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A1C" w:rsidRDefault="00744A1C" w:rsidP="00D10E3C">
      <w:pPr>
        <w:pStyle w:val="libNormal"/>
        <w:rPr>
          <w:rtl/>
          <w:lang w:bidi="fa-IR"/>
        </w:rPr>
      </w:pPr>
      <w:r>
        <w:rPr>
          <w:rtl/>
          <w:lang w:bidi="fa-IR"/>
        </w:rPr>
        <w:br w:type="page"/>
      </w:r>
    </w:p>
    <w:p w:rsidR="00E378DD" w:rsidRDefault="00E378DD" w:rsidP="00D10E3C">
      <w:pPr>
        <w:pStyle w:val="libNormal"/>
        <w:rPr>
          <w:rtl/>
          <w:lang w:bidi="fa-IR"/>
        </w:rPr>
      </w:pPr>
      <w:r w:rsidRPr="00E378DD">
        <w:rPr>
          <w:rFonts w:hint="cs"/>
          <w:noProof/>
          <w:rtl/>
        </w:rPr>
        <w:lastRenderedPageBreak/>
        <w:drawing>
          <wp:inline distT="0" distB="0" distL="0" distR="0">
            <wp:extent cx="4674235" cy="7404100"/>
            <wp:effectExtent l="19050" t="0" r="0" b="0"/>
            <wp:docPr id="3"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8"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D10E3C" w:rsidRPr="00D10E3C" w:rsidRDefault="00D10E3C" w:rsidP="00E378DD">
      <w:pPr>
        <w:pStyle w:val="libNormal"/>
        <w:rPr>
          <w:rtl/>
        </w:rPr>
      </w:pPr>
      <w:r>
        <w:rPr>
          <w:rtl/>
          <w:lang w:bidi="fa-IR"/>
        </w:rPr>
        <w:br w:type="page"/>
      </w:r>
    </w:p>
    <w:p w:rsidR="008D191A" w:rsidRDefault="008D191A" w:rsidP="008D191A">
      <w:pPr>
        <w:pStyle w:val="libCenterBold1"/>
        <w:bidi w:val="0"/>
      </w:pPr>
      <w:r>
        <w:rPr>
          <w:rtl/>
        </w:rPr>
        <w:lastRenderedPageBreak/>
        <w:t>ملاحظة</w:t>
      </w:r>
    </w:p>
    <w:p w:rsidR="008D191A" w:rsidRDefault="008D191A" w:rsidP="008D191A">
      <w:pPr>
        <w:pStyle w:val="libCenterBold1"/>
        <w:bidi w:val="0"/>
      </w:pPr>
      <w:r>
        <w:rPr>
          <w:rtl/>
        </w:rPr>
        <w:t>هذا الكتاب</w:t>
      </w:r>
    </w:p>
    <w:p w:rsidR="008D191A" w:rsidRDefault="008D191A" w:rsidP="008D191A">
      <w:pPr>
        <w:pStyle w:val="libCenterBold1"/>
        <w:bidi w:val="0"/>
      </w:pPr>
      <w:r>
        <w:rPr>
          <w:rtl/>
        </w:rPr>
        <w:t>طبع ونشر الكترونياً وأخرج فنِيّاً برعاية وإشراف</w:t>
      </w:r>
    </w:p>
    <w:p w:rsidR="008D191A" w:rsidRDefault="008D191A" w:rsidP="008D191A">
      <w:pPr>
        <w:pStyle w:val="libCenterBold1"/>
        <w:bidi w:val="0"/>
      </w:pPr>
      <w:r>
        <w:rPr>
          <w:rtl/>
        </w:rPr>
        <w:t>شبكة الإمامين الحسنين (عليهما السل</w:t>
      </w:r>
      <w:bookmarkStart w:id="0" w:name="_GoBack"/>
      <w:bookmarkEnd w:id="0"/>
      <w:r>
        <w:rPr>
          <w:rtl/>
        </w:rPr>
        <w:t>ام) للتراث والفكر الإسلامي</w:t>
      </w:r>
    </w:p>
    <w:p w:rsidR="008D191A" w:rsidRDefault="008D191A" w:rsidP="008D191A">
      <w:pPr>
        <w:pStyle w:val="libCenterBold1"/>
        <w:bidi w:val="0"/>
      </w:pPr>
      <w:r>
        <w:rPr>
          <w:rtl/>
        </w:rPr>
        <w:t>وتولَّى العمل عليه ضبطاً وتصحيحاً وترقيماً</w:t>
      </w:r>
    </w:p>
    <w:p w:rsidR="008D191A" w:rsidRDefault="008D191A" w:rsidP="008D191A">
      <w:pPr>
        <w:pStyle w:val="libCenterBold1"/>
        <w:bidi w:val="0"/>
      </w:pPr>
      <w:r>
        <w:rPr>
          <w:rtl/>
        </w:rPr>
        <w:t>قسم اللجنة العلميّة في الشبكة</w:t>
      </w:r>
    </w:p>
    <w:p w:rsidR="00744A1C" w:rsidRDefault="008D191A" w:rsidP="00D10E3C">
      <w:pPr>
        <w:pStyle w:val="libNormal"/>
        <w:rPr>
          <w:rtl/>
          <w:lang w:bidi="fa-IR"/>
        </w:rPr>
      </w:pPr>
      <w:r>
        <w:rPr>
          <w:lang w:bidi="fa-IR"/>
        </w:rPr>
        <w:br/>
      </w:r>
      <w:r w:rsidR="00744A1C">
        <w:rPr>
          <w:rtl/>
          <w:lang w:bidi="fa-IR"/>
        </w:rPr>
        <w:br w:type="page"/>
      </w:r>
    </w:p>
    <w:p w:rsidR="00E378DD" w:rsidRDefault="00E378DD" w:rsidP="00D10E3C">
      <w:pPr>
        <w:pStyle w:val="libNormal"/>
        <w:rPr>
          <w:rtl/>
          <w:lang w:bidi="fa-IR"/>
        </w:rPr>
      </w:pPr>
      <w:r w:rsidRPr="00E378DD">
        <w:rPr>
          <w:noProof/>
          <w:rtl/>
        </w:rPr>
        <w:lastRenderedPageBreak/>
        <w:drawing>
          <wp:inline distT="0" distB="0" distL="0" distR="0">
            <wp:extent cx="4674235" cy="7404100"/>
            <wp:effectExtent l="19050" t="0" r="0" b="0"/>
            <wp:docPr id="4"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9" cstate="print"/>
                    <a:srcRect/>
                    <a:stretch>
                      <a:fillRect/>
                    </a:stretch>
                  </pic:blipFill>
                  <pic:spPr bwMode="auto">
                    <a:xfrm>
                      <a:off x="0" y="0"/>
                      <a:ext cx="4674235" cy="7404100"/>
                    </a:xfrm>
                    <a:prstGeom prst="rect">
                      <a:avLst/>
                    </a:prstGeom>
                    <a:noFill/>
                    <a:ln w="9525">
                      <a:noFill/>
                      <a:miter lim="800000"/>
                      <a:headEnd/>
                      <a:tailEnd/>
                    </a:ln>
                  </pic:spPr>
                </pic:pic>
              </a:graphicData>
            </a:graphic>
          </wp:inline>
        </w:drawing>
      </w:r>
    </w:p>
    <w:p w:rsidR="00744A1C" w:rsidRDefault="00744A1C" w:rsidP="00D10E3C">
      <w:pPr>
        <w:pStyle w:val="libNormal"/>
        <w:rPr>
          <w:rtl/>
          <w:lang w:bidi="fa-IR"/>
        </w:rPr>
      </w:pPr>
      <w:r>
        <w:rPr>
          <w:rtl/>
          <w:lang w:bidi="fa-IR"/>
        </w:rPr>
        <w:br w:type="page"/>
      </w:r>
    </w:p>
    <w:p w:rsidR="00744A1C" w:rsidRDefault="00744A1C" w:rsidP="00D10E3C">
      <w:pPr>
        <w:pStyle w:val="libNormal"/>
        <w:rPr>
          <w:rtl/>
          <w:lang w:bidi="fa-IR"/>
        </w:rPr>
      </w:pPr>
      <w:r>
        <w:rPr>
          <w:rtl/>
          <w:lang w:bidi="fa-IR"/>
        </w:rPr>
        <w:lastRenderedPageBreak/>
        <w:br w:type="page"/>
      </w:r>
    </w:p>
    <w:p w:rsidR="00E378DD" w:rsidRDefault="00E378DD" w:rsidP="00E378DD">
      <w:pPr>
        <w:pStyle w:val="libLeftBold"/>
        <w:rPr>
          <w:rtl/>
          <w:lang w:bidi="fa-IR"/>
        </w:rPr>
      </w:pPr>
      <w:r>
        <w:rPr>
          <w:rFonts w:hint="cs"/>
          <w:rtl/>
          <w:lang w:bidi="fa-IR"/>
        </w:rPr>
        <w:lastRenderedPageBreak/>
        <w:t>تتمّة كتاب الحجّ</w:t>
      </w:r>
    </w:p>
    <w:p w:rsidR="00E378DD" w:rsidRDefault="00E378DD" w:rsidP="00E378DD">
      <w:pPr>
        <w:pStyle w:val="libNormal"/>
        <w:rPr>
          <w:rtl/>
          <w:lang w:bidi="fa-IR"/>
        </w:rPr>
      </w:pPr>
      <w:r>
        <w:rPr>
          <w:rtl/>
          <w:lang w:bidi="fa-IR"/>
        </w:rPr>
        <w:br w:type="page"/>
      </w:r>
    </w:p>
    <w:p w:rsidR="00744A1C" w:rsidRDefault="00744A1C" w:rsidP="00E378DD">
      <w:pPr>
        <w:pStyle w:val="Heading1Center"/>
        <w:rPr>
          <w:lang w:bidi="fa-IR"/>
        </w:rPr>
      </w:pPr>
      <w:bookmarkStart w:id="1" w:name="_Toc49261299"/>
      <w:r>
        <w:rPr>
          <w:rtl/>
          <w:lang w:bidi="fa-IR"/>
        </w:rPr>
        <w:lastRenderedPageBreak/>
        <w:t>[ تَتِمَّةُ كِتَابِ الْحَجِّ ]</w:t>
      </w:r>
      <w:bookmarkEnd w:id="1"/>
    </w:p>
    <w:p w:rsidR="00744A1C" w:rsidRDefault="00744A1C" w:rsidP="00744A1C">
      <w:pPr>
        <w:pStyle w:val="Heading2Center"/>
        <w:rPr>
          <w:lang w:bidi="fa-IR"/>
        </w:rPr>
      </w:pPr>
      <w:bookmarkStart w:id="2" w:name="_Toc49261300"/>
      <w:r>
        <w:rPr>
          <w:rtl/>
          <w:lang w:bidi="fa-IR"/>
        </w:rPr>
        <w:t xml:space="preserve">157 - بَابُ الْإِحْرَامِ يَوْمَ التَّرْوِيَةِ </w:t>
      </w:r>
      <w:r w:rsidRPr="00744A1C">
        <w:rPr>
          <w:rStyle w:val="libFootnotenumChar"/>
          <w:rtl/>
          <w:lang w:bidi="fa-IR"/>
        </w:rPr>
        <w:t>(1)</w:t>
      </w:r>
      <w:bookmarkEnd w:id="2"/>
    </w:p>
    <w:p w:rsidR="00B60B1F" w:rsidRDefault="00744A1C" w:rsidP="00B60B1F">
      <w:pPr>
        <w:pStyle w:val="libNormal"/>
        <w:rPr>
          <w:rtl/>
          <w:lang w:bidi="fa-IR"/>
        </w:rPr>
      </w:pPr>
      <w:r>
        <w:rPr>
          <w:rtl/>
          <w:lang w:bidi="fa-IR"/>
        </w:rPr>
        <w:t>7707 / 1. عَلِيُّ بْنُ إِبْرَاهِيمَ ، عَنْ أَبِيهِ ، عَنِ ابْنِ أَبِي عُمَيْرٍ ؛</w:t>
      </w:r>
    </w:p>
    <w:p w:rsidR="00144FA6" w:rsidRDefault="00B60B1F" w:rsidP="00B60B1F">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(2)</w:t>
      </w:r>
      <w:r w:rsidR="00744A1C">
        <w:rPr>
          <w:rtl/>
          <w:lang w:bidi="fa-IR"/>
        </w:rPr>
        <w:t xml:space="preserve"> مُحَمَّدُ بْنُ إِسْمَاعِيلَ ، عَنِ الْفَضْلِ بْنِ شَاذَانَ ، عَنِ ابْنِ أَبِي عُمَيْرٍ وَ</w:t>
      </w:r>
      <w:r>
        <w:rPr>
          <w:rFonts w:hint="cs"/>
          <w:rtl/>
          <w:lang w:bidi="fa-IR"/>
        </w:rPr>
        <w:t xml:space="preserve"> </w:t>
      </w:r>
      <w:r w:rsidR="00744A1C">
        <w:rPr>
          <w:rtl/>
          <w:lang w:bidi="fa-IR"/>
        </w:rPr>
        <w:t xml:space="preserve">صَفْوَانَ </w:t>
      </w:r>
      <w:r w:rsidR="00744A1C" w:rsidRPr="00D10E3C">
        <w:rPr>
          <w:rStyle w:val="libFootnotenumChar"/>
          <w:rtl/>
        </w:rPr>
        <w:t>(3)</w:t>
      </w:r>
      <w:r w:rsidR="00744A1C">
        <w:rPr>
          <w:rtl/>
          <w:lang w:bidi="fa-IR"/>
        </w:rPr>
        <w:t xml:space="preserve">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كَانَ يَوْمُ التَّرْوِيَةِ إِنْ شَاءَ اللهُ فَاغْتَسِلْ </w:t>
      </w:r>
      <w:r w:rsidRPr="00D10E3C">
        <w:rPr>
          <w:rStyle w:val="libFootnotenumChar"/>
          <w:rtl/>
        </w:rPr>
        <w:t>(4)</w:t>
      </w:r>
      <w:r>
        <w:rPr>
          <w:rtl/>
          <w:lang w:bidi="fa-IR"/>
        </w:rPr>
        <w:t xml:space="preserve"> ، وَالْبَسْ </w:t>
      </w:r>
      <w:r w:rsidRPr="00D10E3C">
        <w:rPr>
          <w:rStyle w:val="libFootnotenumChar"/>
          <w:rtl/>
        </w:rPr>
        <w:t>(5)</w:t>
      </w:r>
      <w:r>
        <w:rPr>
          <w:rtl/>
          <w:lang w:bidi="fa-IR"/>
        </w:rPr>
        <w:t xml:space="preserve"> ثَوْبَيْكَ ، وَادْخُلِ الْمَسْجِدَ حَافِياً ، وَعَلَيْكَ السَّكِينَةَ وَالْوَقَارَ ، ثُمَّ صَلِّ رَكْعَتَيْنِ عِنْدَ مَقَامِ إِبْرَاهِيمَ </w:t>
      </w:r>
      <w:r w:rsidR="0061079A" w:rsidRPr="0061079A">
        <w:rPr>
          <w:rStyle w:val="libAlaemChar"/>
          <w:rtl/>
        </w:rPr>
        <w:t>عليه‌السلام</w:t>
      </w:r>
      <w:r w:rsidR="00D10E3C">
        <w:rPr>
          <w:rtl/>
          <w:lang w:bidi="fa-IR"/>
        </w:rPr>
        <w:t xml:space="preserve"> </w:t>
      </w:r>
      <w:r>
        <w:rPr>
          <w:rtl/>
          <w:lang w:bidi="fa-IR"/>
        </w:rPr>
        <w:t xml:space="preserve">أَوْ فِي الْحِجْرِ ، ثُمَّ اقْعُدْ حَتّى تَزُولَ الشَّمْسُ ، فَصَلِّ الْمَكْتُوبَةَ ، ثُمَّ قُلْ فِي دُبُرِ صَلَاتِكَ كَمَا قُلْتَ حِينَ أَحْرَمْتَ مِنَ الشَّجَرَةِ </w:t>
      </w:r>
      <w:r w:rsidRPr="00D10E3C">
        <w:rPr>
          <w:rStyle w:val="libFootnotenumChar"/>
          <w:rtl/>
        </w:rPr>
        <w:t>(6)</w:t>
      </w:r>
      <w:r>
        <w:rPr>
          <w:rtl/>
          <w:lang w:bidi="fa-IR"/>
        </w:rPr>
        <w:t xml:space="preserve"> ، وَأَحْرِمْ </w:t>
      </w:r>
      <w:r w:rsidRPr="00D10E3C">
        <w:rPr>
          <w:rStyle w:val="libFootnotenumChar"/>
          <w:rtl/>
        </w:rPr>
        <w:t>(7)</w:t>
      </w:r>
      <w:r>
        <w:rPr>
          <w:rtl/>
          <w:lang w:bidi="fa-IR"/>
        </w:rPr>
        <w:t xml:space="preserve"> بِالْحَجِّ ، ثُمَّ امْضِ </w:t>
      </w:r>
      <w:r w:rsidRPr="00D10E3C">
        <w:rPr>
          <w:rStyle w:val="libFootnotenumChar"/>
          <w:rtl/>
        </w:rPr>
        <w:t>(8)</w:t>
      </w:r>
      <w:r>
        <w:rPr>
          <w:rtl/>
          <w:lang w:bidi="fa-IR"/>
        </w:rPr>
        <w:t xml:space="preserve"> ، وَعَلَيْكَ السَّكِينَةَ وَالْوَقَارَ ، فَإِذَا انْتَهَيْتَ إِلَى الرَّفْضَاءِ </w:t>
      </w:r>
      <w:r w:rsidRPr="00D10E3C">
        <w:rPr>
          <w:rStyle w:val="libFootnotenumChar"/>
          <w:rtl/>
        </w:rPr>
        <w:t>(9)</w:t>
      </w:r>
      <w:r>
        <w:rPr>
          <w:rtl/>
          <w:lang w:bidi="fa-IR"/>
        </w:rPr>
        <w:t xml:space="preserve"> دُونَ الرَّدْمِ ، فَلَبِّ ، فَإِذَا انْتَهَيْتَ إِلَى‌</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يوم التروية : هو اليوم الثامن من ذي الحجّة ، سمّي به لأنّهم كانوا يرتوون فيه من الماء لما بعده ، أي يسقون ويستقون. راجع : </w:t>
      </w:r>
      <w:r w:rsidR="00744A1C" w:rsidRPr="00E978C3">
        <w:rPr>
          <w:rStyle w:val="libFootnoteBoldChar"/>
          <w:rtl/>
        </w:rPr>
        <w:t>الصحاح</w:t>
      </w:r>
      <w:r w:rsidR="00744A1C">
        <w:rPr>
          <w:rtl/>
          <w:lang w:bidi="fa-IR"/>
        </w:rPr>
        <w:t xml:space="preserve"> ، ج 6 ، ص 2364 ؛ </w:t>
      </w:r>
      <w:r w:rsidR="00744A1C" w:rsidRPr="00877682">
        <w:rPr>
          <w:rStyle w:val="libFootnoteBoldChar"/>
          <w:rtl/>
        </w:rPr>
        <w:t>النهاية</w:t>
      </w:r>
      <w:r w:rsidR="00744A1C">
        <w:rPr>
          <w:rtl/>
          <w:lang w:bidi="fa-IR"/>
        </w:rPr>
        <w:t xml:space="preserve"> ، ج 2 ، ص 280 ( روي ).</w:t>
      </w:r>
    </w:p>
    <w:p w:rsidR="00744A1C" w:rsidRDefault="00E378DD" w:rsidP="00E378DD">
      <w:pPr>
        <w:pStyle w:val="libFootnote0"/>
        <w:rPr>
          <w:lang w:bidi="fa-IR"/>
        </w:rPr>
      </w:pPr>
      <w:r>
        <w:rPr>
          <w:rtl/>
          <w:lang w:bidi="fa-IR"/>
        </w:rPr>
        <w:t>(2).</w:t>
      </w:r>
      <w:r w:rsidR="00744A1C">
        <w:rPr>
          <w:rtl/>
          <w:lang w:bidi="fa-IR"/>
        </w:rPr>
        <w:t xml:space="preserve"> في السند تحويل بعطف « محمّد بن إسماعيل ، عن الفضل بن شاذان ، عن ابن أبي عمير وصفوان » على « عليّ‌بن إبراهيم ، عن أبيه ، عن ابن أبي عمير ».</w:t>
      </w:r>
    </w:p>
    <w:p w:rsidR="00744A1C" w:rsidRDefault="00E378DD" w:rsidP="00E378DD">
      <w:pPr>
        <w:pStyle w:val="libFootnote0"/>
        <w:rPr>
          <w:lang w:bidi="fa-IR"/>
        </w:rPr>
      </w:pPr>
      <w:r>
        <w:rPr>
          <w:rtl/>
          <w:lang w:bidi="fa-IR"/>
        </w:rPr>
        <w:t>(3).</w:t>
      </w:r>
      <w:r w:rsidR="00744A1C">
        <w:rPr>
          <w:rtl/>
          <w:lang w:bidi="fa-IR"/>
        </w:rPr>
        <w:t xml:space="preserve"> في الاستبصار : - « ومحمّد بن إسماعيل ، عن الفضل بن شاذان ، عن ابن أبي عمير وصفوان ».</w:t>
      </w:r>
    </w:p>
    <w:tbl>
      <w:tblPr>
        <w:tblStyle w:val="TableGrid"/>
        <w:bidiVisual/>
        <w:tblW w:w="0" w:type="auto"/>
        <w:tblLook w:val="04A0" w:firstRow="1" w:lastRow="0" w:firstColumn="1" w:lastColumn="0" w:noHBand="0" w:noVBand="1"/>
      </w:tblPr>
      <w:tblGrid>
        <w:gridCol w:w="4006"/>
        <w:gridCol w:w="4006"/>
      </w:tblGrid>
      <w:tr w:rsidR="00B60B1F" w:rsidTr="00B60B1F">
        <w:tc>
          <w:tcPr>
            <w:tcW w:w="4006" w:type="dxa"/>
          </w:tcPr>
          <w:p w:rsidR="00B60B1F" w:rsidRDefault="00B60B1F" w:rsidP="00E378DD">
            <w:pPr>
              <w:pStyle w:val="libFootnote0"/>
              <w:rPr>
                <w:rtl/>
                <w:lang w:bidi="fa-IR"/>
              </w:rPr>
            </w:pPr>
            <w:r>
              <w:rPr>
                <w:rtl/>
                <w:lang w:bidi="fa-IR"/>
              </w:rPr>
              <w:t>(4). في « بف » : « اغتسل ».</w:t>
            </w:r>
          </w:p>
        </w:tc>
        <w:tc>
          <w:tcPr>
            <w:tcW w:w="4006" w:type="dxa"/>
          </w:tcPr>
          <w:p w:rsidR="00B60B1F" w:rsidRDefault="00B60B1F" w:rsidP="00E378DD">
            <w:pPr>
              <w:pStyle w:val="libFootnote0"/>
              <w:rPr>
                <w:rtl/>
                <w:lang w:bidi="fa-IR"/>
              </w:rPr>
            </w:pPr>
            <w:r>
              <w:rPr>
                <w:rtl/>
                <w:lang w:bidi="fa-IR"/>
              </w:rPr>
              <w:t xml:space="preserve">(5).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ثمّ البس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الوسائل</w:t>
      </w:r>
      <w:r w:rsidR="00744A1C">
        <w:rPr>
          <w:rtl/>
          <w:lang w:bidi="fa-IR"/>
        </w:rPr>
        <w:t xml:space="preserve"> ، ح 14963 : - « اقعد حتّى تزول الشمس » إلى هنا.</w:t>
      </w:r>
    </w:p>
    <w:tbl>
      <w:tblPr>
        <w:tblStyle w:val="TableGrid"/>
        <w:bidiVisual/>
        <w:tblW w:w="0" w:type="auto"/>
        <w:tblLook w:val="04A0" w:firstRow="1" w:lastRow="0" w:firstColumn="1" w:lastColumn="0" w:noHBand="0" w:noVBand="1"/>
      </w:tblPr>
      <w:tblGrid>
        <w:gridCol w:w="4006"/>
        <w:gridCol w:w="4006"/>
      </w:tblGrid>
      <w:tr w:rsidR="0095168D" w:rsidTr="0095168D">
        <w:tc>
          <w:tcPr>
            <w:tcW w:w="4006" w:type="dxa"/>
          </w:tcPr>
          <w:p w:rsidR="0095168D" w:rsidRDefault="0095168D"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ح 16640 </w:t>
            </w:r>
            <w:r w:rsidRPr="0061079A">
              <w:rPr>
                <w:rStyle w:val="libFootnoteBoldChar"/>
                <w:rtl/>
              </w:rPr>
              <w:t>والتهذيب</w:t>
            </w:r>
            <w:r w:rsidR="00584909">
              <w:rPr>
                <w:rtl/>
                <w:lang w:bidi="fa-IR"/>
              </w:rPr>
              <w:t xml:space="preserve"> : «فأحرم</w:t>
            </w:r>
            <w:r>
              <w:rPr>
                <w:rtl/>
                <w:lang w:bidi="fa-IR"/>
              </w:rPr>
              <w:t>».</w:t>
            </w:r>
          </w:p>
        </w:tc>
        <w:tc>
          <w:tcPr>
            <w:tcW w:w="4006" w:type="dxa"/>
          </w:tcPr>
          <w:p w:rsidR="0095168D" w:rsidRDefault="0095168D" w:rsidP="00E378DD">
            <w:pPr>
              <w:pStyle w:val="libFootnote0"/>
              <w:rPr>
                <w:rtl/>
                <w:lang w:bidi="fa-IR"/>
              </w:rPr>
            </w:pPr>
            <w:r>
              <w:rPr>
                <w:rtl/>
                <w:lang w:bidi="fa-IR"/>
              </w:rPr>
              <w:t xml:space="preserve">(8). في </w:t>
            </w:r>
            <w:r w:rsidRPr="00C24F9C">
              <w:rPr>
                <w:rStyle w:val="libFootnoteBoldChar"/>
                <w:rtl/>
              </w:rPr>
              <w:t>الوسائل</w:t>
            </w:r>
            <w:r>
              <w:rPr>
                <w:rtl/>
                <w:lang w:bidi="fa-IR"/>
              </w:rPr>
              <w:t xml:space="preserve"> : - « ثمّ امض ».</w:t>
            </w:r>
          </w:p>
        </w:tc>
      </w:tr>
    </w:tbl>
    <w:p w:rsidR="00744A1C" w:rsidRDefault="00E378DD" w:rsidP="00E378DD">
      <w:pPr>
        <w:pStyle w:val="libFootnote0"/>
        <w:rPr>
          <w:lang w:bidi="fa-IR"/>
        </w:rPr>
      </w:pPr>
      <w:r>
        <w:rPr>
          <w:rtl/>
          <w:lang w:bidi="fa-IR"/>
        </w:rPr>
        <w:t>(9).</w:t>
      </w:r>
      <w:r w:rsidR="00744A1C">
        <w:rPr>
          <w:rtl/>
          <w:lang w:bidi="fa-IR"/>
        </w:rPr>
        <w:t xml:space="preserve"> في « بخ ، بف » وحاشية « بث ، بح » و</w:t>
      </w:r>
      <w:r w:rsidR="00744A1C" w:rsidRPr="00C24F9C">
        <w:rPr>
          <w:rStyle w:val="libFootnoteBoldChar"/>
          <w:rtl/>
        </w:rPr>
        <w:t>الوافي</w:t>
      </w:r>
      <w:r w:rsidR="00744A1C">
        <w:rPr>
          <w:rtl/>
          <w:lang w:bidi="fa-IR"/>
        </w:rPr>
        <w:t xml:space="preserve"> </w:t>
      </w:r>
      <w:r w:rsidR="00744A1C" w:rsidRPr="00C24F9C">
        <w:rPr>
          <w:rStyle w:val="libFootnoteBoldChar"/>
          <w:rtl/>
        </w:rPr>
        <w:t>والاستبصار</w:t>
      </w:r>
      <w:r w:rsidR="00744A1C">
        <w:rPr>
          <w:rtl/>
          <w:lang w:bidi="fa-IR"/>
        </w:rPr>
        <w:t xml:space="preserve"> : « الروحاء </w:t>
      </w:r>
      <w:r w:rsidR="0095168D">
        <w:rPr>
          <w:rtl/>
          <w:lang w:bidi="fa-IR"/>
        </w:rPr>
        <w:t>». وفي « ى ، جد ، جن » و</w:t>
      </w:r>
      <w:r w:rsidR="0095168D" w:rsidRPr="00C24F9C">
        <w:rPr>
          <w:rStyle w:val="libFootnoteBoldChar"/>
          <w:rtl/>
        </w:rPr>
        <w:t>الوسائل</w:t>
      </w:r>
      <w:r w:rsidR="00744A1C">
        <w:rPr>
          <w:rtl/>
          <w:lang w:bidi="fa-IR"/>
        </w:rPr>
        <w:t xml:space="preserve">، </w:t>
      </w:r>
      <w:r w:rsidR="0095168D">
        <w:rPr>
          <w:rFonts w:hint="cs"/>
          <w:rtl/>
          <w:lang w:bidi="fa-IR"/>
        </w:rPr>
        <w:t>=</w:t>
      </w:r>
    </w:p>
    <w:p w:rsidR="00744A1C" w:rsidRDefault="00744A1C" w:rsidP="00D10E3C">
      <w:pPr>
        <w:pStyle w:val="libNormal"/>
        <w:rPr>
          <w:rtl/>
          <w:lang w:bidi="fa-IR"/>
        </w:rPr>
      </w:pPr>
      <w:r>
        <w:rPr>
          <w:rtl/>
          <w:lang w:bidi="fa-IR"/>
        </w:rPr>
        <w:br w:type="page"/>
      </w:r>
    </w:p>
    <w:p w:rsidR="00144FA6" w:rsidRDefault="00744A1C" w:rsidP="00584909">
      <w:pPr>
        <w:pStyle w:val="libNormal0"/>
        <w:rPr>
          <w:rtl/>
          <w:lang w:bidi="fa-IR"/>
        </w:rPr>
      </w:pPr>
      <w:r>
        <w:rPr>
          <w:rtl/>
          <w:lang w:bidi="fa-IR"/>
        </w:rPr>
        <w:lastRenderedPageBreak/>
        <w:t xml:space="preserve">الرَّدْمِ </w:t>
      </w:r>
      <w:r w:rsidRPr="00D10E3C">
        <w:rPr>
          <w:rStyle w:val="libFootnotenumChar"/>
          <w:rtl/>
        </w:rPr>
        <w:t>(1)</w:t>
      </w:r>
      <w:r>
        <w:rPr>
          <w:rtl/>
          <w:lang w:bidi="fa-IR"/>
        </w:rPr>
        <w:t xml:space="preserve"> ، وَأَشْرَفْتَ عَلَى الْأَبْطَحِ </w:t>
      </w:r>
      <w:r w:rsidRPr="00D10E3C">
        <w:rPr>
          <w:rStyle w:val="libFootnotenumChar"/>
          <w:rtl/>
        </w:rPr>
        <w:t>(2)</w:t>
      </w:r>
      <w:r>
        <w:rPr>
          <w:rtl/>
          <w:lang w:bidi="fa-IR"/>
        </w:rPr>
        <w:t xml:space="preserve"> ، فَارْفَعْ صَوْتَكَ بِالتَّلْبِيَةِ حَتّى تَأْتِيَ مِنًى ». </w:t>
      </w:r>
      <w:r w:rsidRPr="00D10E3C">
        <w:rPr>
          <w:rStyle w:val="libFootnotenumChar"/>
          <w:rtl/>
        </w:rPr>
        <w:t>(3)</w:t>
      </w:r>
    </w:p>
    <w:p w:rsidR="00144FA6" w:rsidRDefault="00744A1C" w:rsidP="00744A1C">
      <w:pPr>
        <w:pStyle w:val="libNormal"/>
        <w:rPr>
          <w:rtl/>
          <w:lang w:bidi="fa-IR"/>
        </w:rPr>
      </w:pPr>
      <w:r>
        <w:rPr>
          <w:rtl/>
          <w:lang w:bidi="fa-IR"/>
        </w:rPr>
        <w:t>7708 / 2. وَفِي رِوَايَةِ أَبِي بَصِيرٍ :</w:t>
      </w:r>
    </w:p>
    <w:p w:rsidR="00744A1C" w:rsidRDefault="00744A1C" w:rsidP="00D10E3C">
      <w:pPr>
        <w:pStyle w:val="libLine"/>
        <w:rPr>
          <w:lang w:bidi="fa-IR"/>
        </w:rPr>
      </w:pPr>
      <w:r>
        <w:rPr>
          <w:rtl/>
          <w:lang w:bidi="fa-IR"/>
        </w:rPr>
        <w:t>____________________</w:t>
      </w:r>
    </w:p>
    <w:p w:rsidR="00744A1C" w:rsidRDefault="00ED7711" w:rsidP="00D10E3C">
      <w:pPr>
        <w:pStyle w:val="libFootnote0"/>
        <w:rPr>
          <w:lang w:bidi="fa-IR"/>
        </w:rPr>
      </w:pPr>
      <w:r>
        <w:rPr>
          <w:rFonts w:hint="cs"/>
          <w:rtl/>
          <w:lang w:bidi="fa-IR"/>
        </w:rPr>
        <w:t xml:space="preserve">= </w:t>
      </w:r>
      <w:r w:rsidR="00744A1C">
        <w:rPr>
          <w:rtl/>
          <w:lang w:bidi="fa-IR"/>
        </w:rPr>
        <w:t xml:space="preserve">ح 16640 : « فضاء ». وفي « بس » : « قضاء ». وفي حاشية « بث » </w:t>
      </w:r>
      <w:r w:rsidR="00744A1C" w:rsidRPr="0061079A">
        <w:rPr>
          <w:rStyle w:val="libFootnoteBoldChar"/>
          <w:rtl/>
        </w:rPr>
        <w:t>والتهذيب</w:t>
      </w:r>
      <w:r w:rsidR="00744A1C">
        <w:rPr>
          <w:rtl/>
          <w:lang w:bidi="fa-IR"/>
        </w:rPr>
        <w:t xml:space="preserve"> : « الرقطاء ».</w:t>
      </w:r>
    </w:p>
    <w:p w:rsidR="00744A1C" w:rsidRDefault="00744A1C" w:rsidP="00D10E3C">
      <w:pPr>
        <w:pStyle w:val="libFootnote0"/>
        <w:rPr>
          <w:lang w:bidi="fa-IR"/>
        </w:rPr>
      </w:pPr>
      <w:r>
        <w:rPr>
          <w:rtl/>
          <w:lang w:bidi="fa-IR"/>
        </w:rPr>
        <w:t xml:space="preserve">وقال في </w:t>
      </w:r>
      <w:r w:rsidRPr="00C24F9C">
        <w:rPr>
          <w:rStyle w:val="libFootnoteBoldChar"/>
          <w:rtl/>
        </w:rPr>
        <w:t>الوافي</w:t>
      </w:r>
      <w:r>
        <w:rPr>
          <w:rtl/>
          <w:lang w:bidi="fa-IR"/>
        </w:rPr>
        <w:t xml:space="preserve"> : « في بعض النسخ : الفضاء ، مكان الروحاء » ، وفي نسخ </w:t>
      </w:r>
      <w:r w:rsidRPr="00C24F9C">
        <w:rPr>
          <w:rStyle w:val="libFootnoteBoldChar"/>
          <w:rtl/>
        </w:rPr>
        <w:t>التهذيب</w:t>
      </w:r>
      <w:r>
        <w:rPr>
          <w:rtl/>
          <w:lang w:bidi="fa-IR"/>
        </w:rPr>
        <w:t xml:space="preserve"> و</w:t>
      </w:r>
      <w:r w:rsidRPr="00C24F9C">
        <w:rPr>
          <w:rStyle w:val="libFootnoteBoldChar"/>
          <w:rtl/>
        </w:rPr>
        <w:t>الفقيه</w:t>
      </w:r>
      <w:r>
        <w:rPr>
          <w:rtl/>
          <w:lang w:bidi="fa-IR"/>
        </w:rPr>
        <w:t xml:space="preserve"> : الرقطاء ، قال في </w:t>
      </w:r>
      <w:r w:rsidRPr="00C24F9C">
        <w:rPr>
          <w:rStyle w:val="libFootnoteBoldChar"/>
          <w:rtl/>
        </w:rPr>
        <w:t>الفقيه</w:t>
      </w:r>
      <w:r>
        <w:rPr>
          <w:rtl/>
          <w:lang w:bidi="fa-IR"/>
        </w:rPr>
        <w:t xml:space="preserve"> : وهو ملتقى الطريقين حين تشرف على الأبطح ، وكأنّه صحّف في </w:t>
      </w:r>
      <w:r w:rsidRPr="0061079A">
        <w:rPr>
          <w:rStyle w:val="libFootnoteBoldChar"/>
          <w:rtl/>
        </w:rPr>
        <w:t>الكافي</w:t>
      </w:r>
      <w:r>
        <w:rPr>
          <w:rtl/>
          <w:lang w:bidi="fa-IR"/>
        </w:rPr>
        <w:t>. والردم : السدّ ، ويقال لذلك الموضع بمكّة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106 : « قوله </w:t>
      </w:r>
      <w:r w:rsidR="0061079A" w:rsidRPr="0061079A">
        <w:rPr>
          <w:rStyle w:val="libFootnoteAlaemChar"/>
          <w:rtl/>
        </w:rPr>
        <w:t>عليه‌السلام</w:t>
      </w:r>
      <w:r w:rsidR="00D10E3C">
        <w:rPr>
          <w:rtl/>
          <w:lang w:bidi="fa-IR"/>
        </w:rPr>
        <w:t xml:space="preserve"> </w:t>
      </w:r>
      <w:r>
        <w:rPr>
          <w:rtl/>
          <w:lang w:bidi="fa-IR"/>
        </w:rPr>
        <w:t xml:space="preserve">: الرفضاء ؛ وفي بعض النسخ : الروحاء. وفي نسخ </w:t>
      </w:r>
      <w:r w:rsidRPr="00C24F9C">
        <w:rPr>
          <w:rStyle w:val="libFootnoteBoldChar"/>
          <w:rtl/>
        </w:rPr>
        <w:t>التهذيب</w:t>
      </w:r>
      <w:r>
        <w:rPr>
          <w:rtl/>
          <w:lang w:bidi="fa-IR"/>
        </w:rPr>
        <w:t xml:space="preserve"> و</w:t>
      </w:r>
      <w:r w:rsidRPr="00C24F9C">
        <w:rPr>
          <w:rStyle w:val="libFootnoteBoldChar"/>
          <w:rtl/>
        </w:rPr>
        <w:t>الفقيه</w:t>
      </w:r>
      <w:r>
        <w:rPr>
          <w:rtl/>
          <w:lang w:bidi="fa-IR"/>
        </w:rPr>
        <w:t xml:space="preserve"> : الرقطاء. قال في القاموس : الرقطة - بالضمّ - : سواد يشوبه نقط بياض ، أو عكسه ، وقد ارقطّ وارقاطّ فهو أرقط ، وهي رقطاء. وقال الفاضل الأسترآبادي : قد فتّشنا تواريخ مكّة فلم نجد فيها أن يكون رقطاء اسم موضع بمكّة ، وأمّا الردم فالمراد منه ال</w:t>
      </w:r>
      <w:r w:rsidR="002C7396">
        <w:rPr>
          <w:rFonts w:hint="cs"/>
          <w:rtl/>
          <w:lang w:bidi="fa-IR"/>
        </w:rPr>
        <w:t>ـ</w:t>
      </w:r>
      <w:r>
        <w:rPr>
          <w:rtl/>
          <w:lang w:bidi="fa-IR"/>
        </w:rPr>
        <w:t xml:space="preserve">مَدْعى ، بفتح الميم وسكون الدال المهملة والعين المهملة بعدها ألف - وهو حاجز يمنع السيل عن البيت المحرّم - والعلّة في التعبير عن المدعى بالردم أنّ الجائي من الأبطح إلى المسجد الحرام كان يشوف الكعبة من موضع مخصوص ، وكان يدعو هناك ، وكانت هناك عمارة </w:t>
      </w:r>
      <w:r w:rsidR="002C7396">
        <w:rPr>
          <w:rtl/>
          <w:lang w:bidi="fa-IR"/>
        </w:rPr>
        <w:t>، ثمّ طاحت وصار موضعها تل</w:t>
      </w:r>
      <w:r w:rsidR="002C7396">
        <w:rPr>
          <w:rFonts w:hint="cs"/>
          <w:rtl/>
          <w:lang w:bidi="fa-IR"/>
        </w:rPr>
        <w:t>ّ</w:t>
      </w:r>
      <w:r w:rsidR="002C7396">
        <w:rPr>
          <w:rtl/>
          <w:lang w:bidi="fa-IR"/>
        </w:rPr>
        <w:t>ا</w:t>
      </w:r>
      <w:r w:rsidR="002C7396">
        <w:rPr>
          <w:rFonts w:hint="cs"/>
          <w:rtl/>
          <w:lang w:bidi="fa-IR"/>
        </w:rPr>
        <w:t>ً</w:t>
      </w:r>
      <w:r>
        <w:rPr>
          <w:rtl/>
          <w:lang w:bidi="fa-IR"/>
        </w:rPr>
        <w:t xml:space="preserve"> ، والظاهر عندي أنّ الصواب : الرمضاء بالراء المفتوحة والميم الساكنة والضاد المعجمة بعدها ألف ، انتهى كلامه </w:t>
      </w:r>
      <w:r w:rsidR="00877682" w:rsidRPr="00877682">
        <w:rPr>
          <w:rStyle w:val="libFootnoteAlaemChar"/>
          <w:rtl/>
        </w:rPr>
        <w:t>رحمه‌الله</w:t>
      </w:r>
      <w:r>
        <w:rPr>
          <w:rtl/>
          <w:lang w:bidi="fa-IR"/>
        </w:rPr>
        <w:t>، والظاهر أنّ ما هنا أظهر.</w:t>
      </w:r>
    </w:p>
    <w:p w:rsidR="00744A1C" w:rsidRDefault="00744A1C" w:rsidP="00D10E3C">
      <w:pPr>
        <w:pStyle w:val="libFootnote0"/>
        <w:rPr>
          <w:lang w:bidi="fa-IR"/>
        </w:rPr>
      </w:pPr>
      <w:r>
        <w:rPr>
          <w:rtl/>
          <w:lang w:bidi="fa-IR"/>
        </w:rPr>
        <w:t xml:space="preserve">وفي </w:t>
      </w:r>
      <w:r w:rsidRPr="00C24F9C">
        <w:rPr>
          <w:rStyle w:val="libFootnoteBoldChar"/>
          <w:rtl/>
        </w:rPr>
        <w:t>الفقيه</w:t>
      </w:r>
      <w:r>
        <w:rPr>
          <w:rtl/>
          <w:lang w:bidi="fa-IR"/>
        </w:rPr>
        <w:t xml:space="preserve"> هكذا : فإذا بلغت الرقطاء دون الردم ، وهو ملتقى الطريقين حين تشرف على الأبطع فارفع صوتك. وفي </w:t>
      </w:r>
      <w:r w:rsidRPr="00C24F9C">
        <w:rPr>
          <w:rStyle w:val="libFootnoteBoldChar"/>
          <w:rtl/>
        </w:rPr>
        <w:t>التهذيب</w:t>
      </w:r>
      <w:r>
        <w:rPr>
          <w:rtl/>
          <w:lang w:bidi="fa-IR"/>
        </w:rPr>
        <w:t xml:space="preserve"> كما هنا. وقال الشيخ في </w:t>
      </w:r>
      <w:r w:rsidRPr="00C24F9C">
        <w:rPr>
          <w:rStyle w:val="libFootnoteBoldChar"/>
          <w:rtl/>
        </w:rPr>
        <w:t>التهذيب</w:t>
      </w:r>
      <w:r>
        <w:rPr>
          <w:rtl/>
          <w:lang w:bidi="fa-IR"/>
        </w:rPr>
        <w:t xml:space="preserve"> عند إيراد رواية أبي بصير : وأمّا ما تضمّن خبر أبي بصير من ذكر التلبية عقيب الصلاة فليس بمناف لرواية معاوية بن عمّار وأنّه ينبغي أن يلبّي إذا انتهى إلى الرقطاء ؛ لأنّ الماشي يلبّي من الموضع الذي يصلّي ، والراكب يلبّي عند الرقطاء ، أو عند شعب </w:t>
      </w:r>
      <w:r w:rsidR="001E7C0C">
        <w:rPr>
          <w:rtl/>
          <w:lang w:bidi="fa-IR"/>
        </w:rPr>
        <w:t>الدُّبّ ولا يجهران بالتلبية إل</w:t>
      </w:r>
      <w:r w:rsidR="001E7C0C">
        <w:rPr>
          <w:rFonts w:hint="cs"/>
          <w:rtl/>
          <w:lang w:bidi="fa-IR"/>
        </w:rPr>
        <w:t>ّ</w:t>
      </w:r>
      <w:r w:rsidR="001E7C0C">
        <w:rPr>
          <w:rtl/>
          <w:lang w:bidi="fa-IR"/>
        </w:rPr>
        <w:t>ا</w:t>
      </w:r>
      <w:r w:rsidR="001E7C0C">
        <w:rPr>
          <w:rFonts w:hint="cs"/>
          <w:rtl/>
          <w:lang w:bidi="fa-IR"/>
        </w:rPr>
        <w:t xml:space="preserve"> </w:t>
      </w:r>
      <w:r>
        <w:rPr>
          <w:rtl/>
          <w:lang w:bidi="fa-IR"/>
        </w:rPr>
        <w:t>عند الإشراف على الأبطح. انتهى.</w:t>
      </w:r>
    </w:p>
    <w:p w:rsidR="00744A1C" w:rsidRDefault="00744A1C" w:rsidP="00D10E3C">
      <w:pPr>
        <w:pStyle w:val="libFootnote0"/>
        <w:rPr>
          <w:lang w:bidi="fa-IR"/>
        </w:rPr>
      </w:pPr>
      <w:r>
        <w:rPr>
          <w:rtl/>
          <w:lang w:bidi="fa-IR"/>
        </w:rPr>
        <w:t>ولا يخفى أنّ ظاهر خبر معاوية تأخير التلبية عن الإحرام إلى الرقطاء ، وعدم الفرق بين الماشي والراكب ، ويمكن القول بالتخيير جمعاً بين الأخبار ، والمشهور بين المتأخّرين أنّه لابدّ من مقارنة التلبية سرّاً ، ويرفع صوته بالتلبية إذا أشرف على الأبطح ».</w:t>
      </w:r>
    </w:p>
    <w:p w:rsidR="00744A1C" w:rsidRDefault="00D10E3C" w:rsidP="00D10E3C">
      <w:pPr>
        <w:pStyle w:val="libFootnote0"/>
        <w:rPr>
          <w:lang w:bidi="fa-IR"/>
        </w:rPr>
      </w:pPr>
      <w:r>
        <w:rPr>
          <w:rtl/>
          <w:lang w:bidi="fa-IR"/>
        </w:rPr>
        <w:t>(1).</w:t>
      </w:r>
      <w:r w:rsidR="00744A1C">
        <w:rPr>
          <w:rtl/>
          <w:lang w:bidi="fa-IR"/>
        </w:rPr>
        <w:t xml:space="preserve"> في الاستبصار : - « ظبّ ، فإذا انتهيت إلى الردم ».</w:t>
      </w:r>
    </w:p>
    <w:p w:rsidR="00744A1C" w:rsidRDefault="00E378DD" w:rsidP="00E378DD">
      <w:pPr>
        <w:pStyle w:val="libFootnote0"/>
        <w:rPr>
          <w:lang w:bidi="fa-IR"/>
        </w:rPr>
      </w:pPr>
      <w:r>
        <w:rPr>
          <w:rtl/>
          <w:lang w:bidi="fa-IR"/>
        </w:rPr>
        <w:t>(2).</w:t>
      </w:r>
      <w:r w:rsidR="00744A1C">
        <w:rPr>
          <w:rtl/>
          <w:lang w:bidi="fa-IR"/>
        </w:rPr>
        <w:t xml:space="preserve"> « الأبطح » : مسيل وادي مكّة ، وهو مسيل واسع فيه دقاق الحصى ، أوّله عند منقطع الشعب بين وادي منى ، وآخره متّصل بالمقبرة التي تسمّى بالمعلّى عند أهل مكّة. راجع : </w:t>
      </w:r>
      <w:r w:rsidR="00744A1C" w:rsidRPr="00877682">
        <w:rPr>
          <w:rStyle w:val="libFootnoteBoldChar"/>
          <w:rtl/>
        </w:rPr>
        <w:t>النهاية</w:t>
      </w:r>
      <w:r w:rsidR="00744A1C">
        <w:rPr>
          <w:rtl/>
          <w:lang w:bidi="fa-IR"/>
        </w:rPr>
        <w:t xml:space="preserve"> ، ج 1 ، ص 134 ؛ </w:t>
      </w:r>
      <w:r w:rsidR="00744A1C" w:rsidRPr="008A57EB">
        <w:rPr>
          <w:rStyle w:val="libFootnoteBoldChar"/>
          <w:rtl/>
        </w:rPr>
        <w:t>مجمع البحرين</w:t>
      </w:r>
      <w:r w:rsidR="00744A1C">
        <w:rPr>
          <w:rtl/>
          <w:lang w:bidi="fa-IR"/>
        </w:rPr>
        <w:t xml:space="preserve"> ، ج 2 ، ص 343 ( بطح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167 ، ح 557 ؛ </w:t>
      </w:r>
      <w:r w:rsidR="00744A1C" w:rsidRPr="00C24F9C">
        <w:rPr>
          <w:rStyle w:val="libFootnoteBoldChar"/>
          <w:rtl/>
        </w:rPr>
        <w:t>والاستبصار</w:t>
      </w:r>
      <w:r w:rsidR="00744A1C">
        <w:rPr>
          <w:rtl/>
          <w:lang w:bidi="fa-IR"/>
        </w:rPr>
        <w:t xml:space="preserve"> ، ج 2 ، ص 251 ، ح 883 ، معلّقاً عن الكليني ، وفي الأخير من قوله : « فإذا انتهيت إلى الرفضاء ». وراجع : </w:t>
      </w:r>
      <w:r w:rsidR="00744A1C" w:rsidRPr="00C24F9C">
        <w:rPr>
          <w:rStyle w:val="libFootnoteBoldChar"/>
          <w:rtl/>
        </w:rPr>
        <w:t>الفقيه</w:t>
      </w:r>
      <w:r w:rsidR="00744A1C">
        <w:rPr>
          <w:rtl/>
          <w:lang w:bidi="fa-IR"/>
        </w:rPr>
        <w:t xml:space="preserve"> ، ج 2 ، ص 537 </w:t>
      </w:r>
      <w:r w:rsidR="003C6AD1">
        <w:rPr>
          <w:rFonts w:hint="cs"/>
          <w:rtl/>
          <w:lang w:bidi="fa-IR"/>
        </w:rPr>
        <w:t>.</w:t>
      </w:r>
      <w:r w:rsidR="00744A1C" w:rsidRPr="00C24F9C">
        <w:rPr>
          <w:rStyle w:val="libFootnoteBoldChar"/>
          <w:rtl/>
        </w:rPr>
        <w:t>الوافي</w:t>
      </w:r>
      <w:r w:rsidR="00744A1C">
        <w:rPr>
          <w:rtl/>
          <w:lang w:bidi="fa-IR"/>
        </w:rPr>
        <w:t xml:space="preserve"> ، ج 13 ، ص 1008 ، ح 13625 ؛ </w:t>
      </w:r>
      <w:r w:rsidR="00744A1C" w:rsidRPr="00C24F9C">
        <w:rPr>
          <w:rStyle w:val="libFootnoteBoldChar"/>
          <w:rtl/>
        </w:rPr>
        <w:t>الوسائل</w:t>
      </w:r>
      <w:r w:rsidR="00744A1C">
        <w:rPr>
          <w:rtl/>
          <w:lang w:bidi="fa-IR"/>
        </w:rPr>
        <w:t xml:space="preserve"> ، ج 12 ، ص 408 ، ح 16640 ؛ وج 13 ، ص 519 ، ح 18348 ؛ وفيه ج 11 ، ص 339 ، ح 14963 ، إلى قوله : « وأحرم بالحجّ ».</w:t>
      </w:r>
    </w:p>
    <w:p w:rsidR="00744A1C" w:rsidRDefault="00744A1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أَرَدْتَ أَنْ تُحْرِمَ يَوْمَ التَّرْوِيَةِ ، فَاصْنَعْ كَمَا صَنَعْتَ حِينَ أَرَدْتَ أَنْ تُحْرِمَ ، وَخُذْ </w:t>
      </w:r>
      <w:r w:rsidRPr="00D10E3C">
        <w:rPr>
          <w:rStyle w:val="libFootnotenumChar"/>
          <w:rtl/>
        </w:rPr>
        <w:t>(1)</w:t>
      </w:r>
      <w:r>
        <w:rPr>
          <w:rtl/>
          <w:lang w:bidi="fa-IR"/>
        </w:rPr>
        <w:t xml:space="preserve"> مِنْ شَارِبِكَ وَمِنْ أَظْفَارِكَ ، وَاطْلِ </w:t>
      </w:r>
      <w:r w:rsidRPr="00D10E3C">
        <w:rPr>
          <w:rStyle w:val="libFootnotenumChar"/>
          <w:rtl/>
        </w:rPr>
        <w:t>(2)</w:t>
      </w:r>
      <w:r>
        <w:rPr>
          <w:rtl/>
          <w:lang w:bidi="fa-IR"/>
        </w:rPr>
        <w:t xml:space="preserve"> عَانَتَكَ إِنْ كَانَ لَكَ شَعْرٌ ، وَانْتِفْ إِبْطَيْكَ </w:t>
      </w:r>
      <w:r w:rsidRPr="00D10E3C">
        <w:rPr>
          <w:rStyle w:val="libFootnotenumChar"/>
          <w:rtl/>
        </w:rPr>
        <w:t>(3)</w:t>
      </w:r>
      <w:r>
        <w:rPr>
          <w:rtl/>
          <w:lang w:bidi="fa-IR"/>
        </w:rPr>
        <w:t xml:space="preserve"> ، وَاغْتَسِلْ ، وَالْبَسْ ثَوْبَيْكَ ، ثُمَّ ائْتِ الْمَسْجِدَ الْحَرَامَ ، فَصَلِّ فِيهِ سِتَّ رَكَعَاتٍ قَبْلَ أَنْ تُحْرِمَ ، وَ</w:t>
      </w:r>
      <w:r w:rsidR="003C6AD1">
        <w:rPr>
          <w:rFonts w:hint="cs"/>
          <w:rtl/>
          <w:lang w:bidi="fa-IR"/>
        </w:rPr>
        <w:t xml:space="preserve"> </w:t>
      </w:r>
      <w:r>
        <w:rPr>
          <w:rtl/>
          <w:lang w:bidi="fa-IR"/>
        </w:rPr>
        <w:t>تَدْعُو اللهَ وَتَسْأَلُهُ الْعَوْنَ ، وَتَقُولُ : الل</w:t>
      </w:r>
      <w:r w:rsidR="003C6AD1">
        <w:rPr>
          <w:rFonts w:hint="cs"/>
          <w:rtl/>
          <w:lang w:bidi="fa-IR"/>
        </w:rPr>
        <w:t>ّ</w:t>
      </w:r>
      <w:r>
        <w:rPr>
          <w:rtl/>
          <w:lang w:bidi="fa-IR"/>
        </w:rPr>
        <w:t xml:space="preserve">هُمَّ إِنِّي أُرِيدُ الْحَجَّ ، فَيَسِّرْهُ لِي ، وَحُلَّنِي حَيْثُ حَبَسْتَنِي لِقَدَرِكَ الَّذِي قَدَّرْتَ عَلَيَّ ، وَتَقُولُ : أَحْرَمَ لَكَ شَعْرِي وَبَشَرِي وَلَحْمِي وَدَمِي مِنَ النِّسَاءِ وَالطِّيبِ وَالثِّيَابِ أُرِيدُ بِذلِكَ وَجْهَكَ </w:t>
      </w:r>
      <w:r w:rsidRPr="00D10E3C">
        <w:rPr>
          <w:rStyle w:val="libFootnotenumChar"/>
          <w:rtl/>
        </w:rPr>
        <w:t>(4)</w:t>
      </w:r>
      <w:r>
        <w:rPr>
          <w:rtl/>
          <w:lang w:bidi="fa-IR"/>
        </w:rPr>
        <w:t xml:space="preserve"> وَالدَّارَ الْآخِرَةَ </w:t>
      </w:r>
      <w:r w:rsidRPr="00D10E3C">
        <w:rPr>
          <w:rStyle w:val="libFootnotenumChar"/>
          <w:rtl/>
        </w:rPr>
        <w:t>(5)</w:t>
      </w:r>
      <w:r>
        <w:rPr>
          <w:rtl/>
          <w:lang w:bidi="fa-IR"/>
        </w:rPr>
        <w:t xml:space="preserve"> وَحُلَّنِي حَيْثُ حَبَسْتَنِي لِقَدَرِكَ </w:t>
      </w:r>
      <w:r w:rsidRPr="00D10E3C">
        <w:rPr>
          <w:rStyle w:val="libFootnotenumChar"/>
          <w:rtl/>
        </w:rPr>
        <w:t>(6)</w:t>
      </w:r>
      <w:r>
        <w:rPr>
          <w:rtl/>
          <w:lang w:bidi="fa-IR"/>
        </w:rPr>
        <w:t xml:space="preserve"> الَّذِي قَدَّرْتَ عَلَيَّ ، ثُمَّ تُلَبِّ </w:t>
      </w:r>
      <w:r w:rsidRPr="00D10E3C">
        <w:rPr>
          <w:rStyle w:val="libFootnotenumChar"/>
          <w:rtl/>
        </w:rPr>
        <w:t>(7)</w:t>
      </w:r>
      <w:r>
        <w:rPr>
          <w:rtl/>
          <w:lang w:bidi="fa-IR"/>
        </w:rPr>
        <w:t xml:space="preserve"> مِنَ الْمَسْجِدِ الْحَرَامِ ، كَمَا لَبَّيْتَ حِينَ أَحْرَمْتَ ، وَتَقُولُ </w:t>
      </w:r>
      <w:r w:rsidRPr="00D10E3C">
        <w:rPr>
          <w:rStyle w:val="libFootnotenumChar"/>
          <w:rtl/>
        </w:rPr>
        <w:t>(8)</w:t>
      </w:r>
      <w:r>
        <w:rPr>
          <w:rtl/>
          <w:lang w:bidi="fa-IR"/>
        </w:rPr>
        <w:t xml:space="preserve"> : لَبَّيْكَ بِحَجَّةٍ تَمَامُهَا وَبَلَاغُهَا عَلَيْكَ ، وَإِنْ </w:t>
      </w:r>
      <w:r w:rsidRPr="00D10E3C">
        <w:rPr>
          <w:rStyle w:val="libFootnotenumChar"/>
          <w:rtl/>
        </w:rPr>
        <w:t>(9)</w:t>
      </w:r>
      <w:r>
        <w:rPr>
          <w:rtl/>
          <w:lang w:bidi="fa-IR"/>
        </w:rPr>
        <w:t xml:space="preserve"> قَدَرْتَ أَنْ يَكُونَ </w:t>
      </w:r>
      <w:r w:rsidRPr="00D10E3C">
        <w:rPr>
          <w:rStyle w:val="libFootnotenumChar"/>
          <w:rtl/>
        </w:rPr>
        <w:t>(10)</w:t>
      </w:r>
      <w:r>
        <w:rPr>
          <w:rtl/>
          <w:lang w:bidi="fa-IR"/>
        </w:rPr>
        <w:t xml:space="preserve"> رَوَاحُكَ إِلى مِ</w:t>
      </w:r>
      <w:r w:rsidR="003C6AD1">
        <w:rPr>
          <w:rtl/>
          <w:lang w:bidi="fa-IR"/>
        </w:rPr>
        <w:t>نًى زَوَالَ الشَّمْسِ ، وَإِل</w:t>
      </w:r>
      <w:r w:rsidR="003C6AD1">
        <w:rPr>
          <w:rFonts w:hint="cs"/>
          <w:rtl/>
          <w:lang w:bidi="fa-IR"/>
        </w:rPr>
        <w:t>َّ</w:t>
      </w:r>
      <w:r w:rsidR="003C6AD1">
        <w:rPr>
          <w:rtl/>
          <w:lang w:bidi="fa-IR"/>
        </w:rPr>
        <w:t>ا</w:t>
      </w:r>
      <w:r>
        <w:rPr>
          <w:rtl/>
          <w:lang w:bidi="fa-IR"/>
        </w:rPr>
        <w:t xml:space="preserve"> فَمَتى مَا </w:t>
      </w:r>
      <w:r w:rsidRPr="00D10E3C">
        <w:rPr>
          <w:rStyle w:val="libFootnotenumChar"/>
          <w:rtl/>
        </w:rPr>
        <w:t>(11)</w:t>
      </w:r>
      <w:r>
        <w:rPr>
          <w:rtl/>
          <w:lang w:bidi="fa-IR"/>
        </w:rPr>
        <w:t xml:space="preserve"> تَيَسَّرَ لَكَ مِنْ </w:t>
      </w:r>
      <w:r w:rsidRPr="00D10E3C">
        <w:rPr>
          <w:rStyle w:val="libFootnotenumChar"/>
          <w:rtl/>
        </w:rPr>
        <w:t>(12)</w:t>
      </w:r>
      <w:r>
        <w:rPr>
          <w:rtl/>
          <w:lang w:bidi="fa-IR"/>
        </w:rPr>
        <w:t xml:space="preserve"> يَوْمِ التَّرْوِيَةِ ». </w:t>
      </w:r>
      <w:r w:rsidRPr="00D10E3C">
        <w:rPr>
          <w:rStyle w:val="libFootnotenumChar"/>
          <w:rtl/>
        </w:rPr>
        <w:t>(13)</w:t>
      </w:r>
    </w:p>
    <w:p w:rsidR="00144FA6" w:rsidRDefault="00744A1C" w:rsidP="00744A1C">
      <w:pPr>
        <w:pStyle w:val="libNormal"/>
        <w:rPr>
          <w:rtl/>
          <w:lang w:bidi="fa-IR"/>
        </w:rPr>
      </w:pPr>
      <w:r>
        <w:rPr>
          <w:rtl/>
          <w:lang w:bidi="fa-IR"/>
        </w:rPr>
        <w:t xml:space="preserve">7709 / 3. عَلِيُّ بْنُ إِبْرَاهِيمَ </w:t>
      </w:r>
      <w:r w:rsidRPr="00D10E3C">
        <w:rPr>
          <w:rStyle w:val="libFootnotenumChar"/>
          <w:rtl/>
        </w:rPr>
        <w:t>(14)</w:t>
      </w:r>
      <w:r>
        <w:rPr>
          <w:rtl/>
          <w:lang w:bidi="fa-IR"/>
        </w:rPr>
        <w:t xml:space="preserve"> ، عَنْ أَبِيهِ ، عَنِ ابْنِ أَبِي عُمَيْرٍ ، عَنْ حَمَّادٍ ، عَنِ الْحَلَبِيِّ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خذ » بدون الواو.</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 - « اطل ».</w:t>
      </w:r>
    </w:p>
    <w:p w:rsidR="00744A1C" w:rsidRDefault="00E378DD" w:rsidP="00E378DD">
      <w:pPr>
        <w:pStyle w:val="libFootnote0"/>
        <w:rPr>
          <w:lang w:bidi="fa-IR"/>
        </w:rPr>
      </w:pPr>
      <w:r>
        <w:rPr>
          <w:rtl/>
          <w:lang w:bidi="fa-IR"/>
        </w:rPr>
        <w:t>(3).</w:t>
      </w:r>
      <w:r w:rsidR="00744A1C">
        <w:rPr>
          <w:rtl/>
          <w:lang w:bidi="fa-IR"/>
        </w:rPr>
        <w:t xml:space="preserve"> في « بخ ، بف » : « إبطك ».</w:t>
      </w:r>
    </w:p>
    <w:p w:rsidR="00744A1C" w:rsidRDefault="00E378DD" w:rsidP="00E378DD">
      <w:pPr>
        <w:pStyle w:val="libFootnote0"/>
        <w:rPr>
          <w:lang w:bidi="fa-IR"/>
        </w:rPr>
      </w:pPr>
      <w:r>
        <w:rPr>
          <w:rtl/>
          <w:lang w:bidi="fa-IR"/>
        </w:rPr>
        <w:t>(4).</w:t>
      </w:r>
      <w:r w:rsidR="00744A1C">
        <w:rPr>
          <w:rtl/>
          <w:lang w:bidi="fa-IR"/>
        </w:rPr>
        <w:t xml:space="preserve"> في « ى » : + « الكريم ».</w:t>
      </w:r>
    </w:p>
    <w:p w:rsidR="00744A1C" w:rsidRDefault="00E378DD" w:rsidP="00E378DD">
      <w:pPr>
        <w:pStyle w:val="libFootnote0"/>
        <w:rPr>
          <w:lang w:bidi="fa-IR"/>
        </w:rPr>
      </w:pPr>
      <w:r>
        <w:rPr>
          <w:rtl/>
          <w:lang w:bidi="fa-IR"/>
        </w:rPr>
        <w:t>(5).</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وفي المطبوع : « الآخر ».</w:t>
      </w:r>
    </w:p>
    <w:tbl>
      <w:tblPr>
        <w:tblStyle w:val="TableGrid"/>
        <w:bidiVisual/>
        <w:tblW w:w="0" w:type="auto"/>
        <w:tblLook w:val="04A0" w:firstRow="1" w:lastRow="0" w:firstColumn="1" w:lastColumn="0" w:noHBand="0" w:noVBand="1"/>
      </w:tblPr>
      <w:tblGrid>
        <w:gridCol w:w="4006"/>
        <w:gridCol w:w="4006"/>
      </w:tblGrid>
      <w:tr w:rsidR="00506895" w:rsidTr="00506895">
        <w:tc>
          <w:tcPr>
            <w:tcW w:w="4006" w:type="dxa"/>
          </w:tcPr>
          <w:p w:rsidR="00506895" w:rsidRDefault="00506895" w:rsidP="00E378DD">
            <w:pPr>
              <w:pStyle w:val="libFootnote0"/>
              <w:rPr>
                <w:rtl/>
                <w:lang w:bidi="fa-IR"/>
              </w:rPr>
            </w:pPr>
            <w:r>
              <w:rPr>
                <w:rtl/>
                <w:lang w:bidi="fa-IR"/>
              </w:rPr>
              <w:t>(6). في « بخ » : « ولقدرك ».</w:t>
            </w:r>
          </w:p>
        </w:tc>
        <w:tc>
          <w:tcPr>
            <w:tcW w:w="4006" w:type="dxa"/>
          </w:tcPr>
          <w:p w:rsidR="00506895" w:rsidRDefault="00506895" w:rsidP="00E378DD">
            <w:pPr>
              <w:pStyle w:val="libFootnote0"/>
              <w:rPr>
                <w:rtl/>
                <w:lang w:bidi="fa-IR"/>
              </w:rPr>
            </w:pPr>
            <w:r>
              <w:rPr>
                <w:rtl/>
                <w:lang w:bidi="fa-IR"/>
              </w:rPr>
              <w:t xml:space="preserve">(7). في </w:t>
            </w:r>
            <w:r w:rsidRPr="00C24F9C">
              <w:rPr>
                <w:rStyle w:val="libFootnoteBoldChar"/>
                <w:rtl/>
              </w:rPr>
              <w:t>الوافي</w:t>
            </w:r>
            <w:r>
              <w:rPr>
                <w:rtl/>
                <w:lang w:bidi="fa-IR"/>
              </w:rPr>
              <w:t xml:space="preserve"> : « تلبّي ».</w:t>
            </w:r>
          </w:p>
        </w:tc>
      </w:tr>
      <w:tr w:rsidR="00506895" w:rsidTr="00506895">
        <w:tc>
          <w:tcPr>
            <w:tcW w:w="4006" w:type="dxa"/>
          </w:tcPr>
          <w:p w:rsidR="00506895" w:rsidRDefault="00506895" w:rsidP="00E378DD">
            <w:pPr>
              <w:pStyle w:val="libFootnote0"/>
              <w:rPr>
                <w:rtl/>
                <w:lang w:bidi="fa-IR"/>
              </w:rPr>
            </w:pPr>
            <w:r>
              <w:rPr>
                <w:rtl/>
                <w:lang w:bidi="fa-IR"/>
              </w:rPr>
              <w:t>(8). في « بخ ، بف » : « تقول » بدون الواو.</w:t>
            </w:r>
          </w:p>
        </w:tc>
        <w:tc>
          <w:tcPr>
            <w:tcW w:w="4006" w:type="dxa"/>
          </w:tcPr>
          <w:p w:rsidR="00506895" w:rsidRDefault="00506895" w:rsidP="00E378DD">
            <w:pPr>
              <w:pStyle w:val="libFootnote0"/>
              <w:rPr>
                <w:rtl/>
                <w:lang w:bidi="fa-IR"/>
              </w:rPr>
            </w:pPr>
            <w:r>
              <w:rPr>
                <w:rtl/>
                <w:lang w:bidi="fa-IR"/>
              </w:rPr>
              <w:t>(9). في « بخ ، بف ، جد » و</w:t>
            </w:r>
            <w:r w:rsidRPr="00C24F9C">
              <w:rPr>
                <w:rStyle w:val="libFootnoteBoldChar"/>
                <w:rtl/>
              </w:rPr>
              <w:t>الوافي</w:t>
            </w:r>
            <w:r>
              <w:rPr>
                <w:rtl/>
                <w:lang w:bidi="fa-IR"/>
              </w:rPr>
              <w:t xml:space="preserve"> : « فإن ».</w:t>
            </w:r>
          </w:p>
        </w:tc>
      </w:tr>
    </w:tbl>
    <w:p w:rsidR="00744A1C" w:rsidRDefault="00E378DD" w:rsidP="00E378DD">
      <w:pPr>
        <w:pStyle w:val="libFootnote0"/>
        <w:rPr>
          <w:lang w:bidi="fa-IR"/>
        </w:rPr>
      </w:pPr>
      <w:r>
        <w:rPr>
          <w:rtl/>
          <w:lang w:bidi="fa-IR"/>
        </w:rPr>
        <w:t>(10).</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وفي المطبوع : + « [ في ] ».</w:t>
      </w:r>
    </w:p>
    <w:tbl>
      <w:tblPr>
        <w:tblStyle w:val="TableGrid"/>
        <w:bidiVisual/>
        <w:tblW w:w="0" w:type="auto"/>
        <w:tblLook w:val="04A0" w:firstRow="1" w:lastRow="0" w:firstColumn="1" w:lastColumn="0" w:noHBand="0" w:noVBand="1"/>
      </w:tblPr>
      <w:tblGrid>
        <w:gridCol w:w="4006"/>
        <w:gridCol w:w="4006"/>
      </w:tblGrid>
      <w:tr w:rsidR="00506895" w:rsidTr="00506895">
        <w:tc>
          <w:tcPr>
            <w:tcW w:w="4006" w:type="dxa"/>
          </w:tcPr>
          <w:p w:rsidR="00506895" w:rsidRDefault="00506895" w:rsidP="00E378DD">
            <w:pPr>
              <w:pStyle w:val="libFootnote0"/>
              <w:rPr>
                <w:rtl/>
                <w:lang w:bidi="fa-IR"/>
              </w:rPr>
            </w:pPr>
            <w:r>
              <w:rPr>
                <w:rtl/>
                <w:lang w:bidi="fa-IR"/>
              </w:rPr>
              <w:t>(11). في « ى ، بف » و</w:t>
            </w:r>
            <w:r w:rsidRPr="00C24F9C">
              <w:rPr>
                <w:rStyle w:val="libFootnoteBoldChar"/>
                <w:rtl/>
              </w:rPr>
              <w:t>الوافي</w:t>
            </w:r>
            <w:r>
              <w:rPr>
                <w:rtl/>
                <w:lang w:bidi="fa-IR"/>
              </w:rPr>
              <w:t xml:space="preserve"> : - « ما ».</w:t>
            </w:r>
          </w:p>
        </w:tc>
        <w:tc>
          <w:tcPr>
            <w:tcW w:w="4006" w:type="dxa"/>
          </w:tcPr>
          <w:p w:rsidR="00506895" w:rsidRDefault="00506895" w:rsidP="00E378DD">
            <w:pPr>
              <w:pStyle w:val="libFootnote0"/>
              <w:rPr>
                <w:rtl/>
                <w:lang w:bidi="fa-IR"/>
              </w:rPr>
            </w:pPr>
            <w:r>
              <w:rPr>
                <w:rtl/>
                <w:lang w:bidi="fa-IR"/>
              </w:rPr>
              <w:t>(12). في « بث » : - « من ».</w:t>
            </w:r>
          </w:p>
        </w:tc>
      </w:tr>
    </w:tbl>
    <w:p w:rsidR="00744A1C" w:rsidRDefault="00E378DD" w:rsidP="00495EF5">
      <w:pPr>
        <w:pStyle w:val="libFootnote0"/>
        <w:rPr>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5 ، ص 168 ، ح 559 ؛ </w:t>
      </w:r>
      <w:r w:rsidR="00744A1C" w:rsidRPr="00C24F9C">
        <w:rPr>
          <w:rStyle w:val="libFootnoteBoldChar"/>
          <w:rtl/>
        </w:rPr>
        <w:t>والاستبصار</w:t>
      </w:r>
      <w:r w:rsidR="00744A1C">
        <w:rPr>
          <w:rtl/>
          <w:lang w:bidi="fa-IR"/>
        </w:rPr>
        <w:t xml:space="preserve"> ، ج 2 ، ص 251 </w:t>
      </w:r>
      <w:r w:rsidR="00495EF5">
        <w:rPr>
          <w:rtl/>
          <w:lang w:bidi="fa-IR"/>
        </w:rPr>
        <w:t>، ح 881 ، بسندهما عن أبي بصير،</w:t>
      </w:r>
      <w:r w:rsidR="00744A1C">
        <w:rPr>
          <w:rtl/>
          <w:lang w:bidi="fa-IR"/>
        </w:rPr>
        <w:t xml:space="preserve">مع اختلاف يسير ، وفي الأخير إلى قوله : « وتسأله العون وتقول » </w:t>
      </w:r>
      <w:r w:rsidR="00495EF5">
        <w:rPr>
          <w:rFonts w:hint="cs"/>
          <w:rtl/>
          <w:lang w:bidi="fa-IR"/>
        </w:rPr>
        <w:t>.</w:t>
      </w:r>
      <w:r w:rsidR="00744A1C" w:rsidRPr="00C24F9C">
        <w:rPr>
          <w:rStyle w:val="libFootnoteBoldChar"/>
          <w:rtl/>
        </w:rPr>
        <w:t>ا</w:t>
      </w:r>
      <w:r w:rsidR="00495EF5" w:rsidRPr="00C24F9C">
        <w:rPr>
          <w:rStyle w:val="libFootnoteBoldChar"/>
          <w:rtl/>
        </w:rPr>
        <w:t>لوافي</w:t>
      </w:r>
      <w:r w:rsidR="00495EF5">
        <w:rPr>
          <w:rtl/>
          <w:lang w:bidi="fa-IR"/>
        </w:rPr>
        <w:t xml:space="preserve"> ، ج 13 ، ص 1008 ، ح 13626؛</w:t>
      </w:r>
      <w:r w:rsidR="00495EF5" w:rsidRPr="00C24F9C">
        <w:rPr>
          <w:rStyle w:val="libFootnoteBoldChar"/>
          <w:rtl/>
        </w:rPr>
        <w:t>الوسائل</w:t>
      </w:r>
      <w:r w:rsidR="00495EF5">
        <w:rPr>
          <w:rtl/>
          <w:lang w:bidi="fa-IR"/>
        </w:rPr>
        <w:t>،ج 12،ص 409،</w:t>
      </w:r>
      <w:r w:rsidR="00744A1C">
        <w:rPr>
          <w:rtl/>
          <w:lang w:bidi="fa-IR"/>
        </w:rPr>
        <w:t>ذيل ح 16641.</w:t>
      </w:r>
      <w:r w:rsidR="00495EF5">
        <w:rPr>
          <w:rFonts w:hint="cs"/>
          <w:rtl/>
          <w:lang w:bidi="fa-IR"/>
        </w:rPr>
        <w:t xml:space="preserve">     </w:t>
      </w:r>
      <w:r>
        <w:rPr>
          <w:rtl/>
          <w:lang w:bidi="fa-IR"/>
        </w:rPr>
        <w:t>(14).</w:t>
      </w:r>
      <w:r w:rsidR="00744A1C">
        <w:rPr>
          <w:rtl/>
          <w:lang w:bidi="fa-IR"/>
        </w:rPr>
        <w:t xml:space="preserve"> في « بخ ، جر » : - « بن إبراهيم ».</w:t>
      </w:r>
    </w:p>
    <w:p w:rsidR="00744A1C" w:rsidRDefault="00744A1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سَأَلْتُهُ عَنْ رَجُلٍ </w:t>
      </w:r>
      <w:r w:rsidRPr="00D10E3C">
        <w:rPr>
          <w:rStyle w:val="libFootnotenumChar"/>
          <w:rtl/>
        </w:rPr>
        <w:t>(1)</w:t>
      </w:r>
      <w:r>
        <w:rPr>
          <w:rtl/>
          <w:lang w:bidi="fa-IR"/>
        </w:rPr>
        <w:t xml:space="preserve"> أَتَى </w:t>
      </w:r>
      <w:r w:rsidRPr="00D10E3C">
        <w:rPr>
          <w:rStyle w:val="libFootnotenumChar"/>
          <w:rtl/>
        </w:rPr>
        <w:t>(2)</w:t>
      </w:r>
      <w:r>
        <w:rPr>
          <w:rtl/>
          <w:lang w:bidi="fa-IR"/>
        </w:rPr>
        <w:t xml:space="preserve"> الْمَسْجِدَ الْحَرَامَ وَقَدْ أَزْمَعَ بِالْحَجِّ </w:t>
      </w:r>
      <w:r w:rsidRPr="00D10E3C">
        <w:rPr>
          <w:rStyle w:val="libFootnotenumChar"/>
          <w:rtl/>
        </w:rPr>
        <w:t>(3)</w:t>
      </w:r>
      <w:r>
        <w:rPr>
          <w:rtl/>
          <w:lang w:bidi="fa-IR"/>
        </w:rPr>
        <w:t xml:space="preserve"> : يَطُوفُ </w:t>
      </w:r>
      <w:r w:rsidRPr="00D10E3C">
        <w:rPr>
          <w:rStyle w:val="libFootnotenumChar"/>
          <w:rtl/>
        </w:rPr>
        <w:t>(4)</w:t>
      </w:r>
      <w:r>
        <w:rPr>
          <w:rtl/>
          <w:lang w:bidi="fa-IR"/>
        </w:rPr>
        <w:t xml:space="preserve"> بِالْبَيْتِ؟</w:t>
      </w:r>
    </w:p>
    <w:p w:rsidR="00144FA6" w:rsidRDefault="00744A1C" w:rsidP="00744A1C">
      <w:pPr>
        <w:pStyle w:val="libNormal"/>
        <w:rPr>
          <w:rtl/>
          <w:lang w:bidi="fa-IR"/>
        </w:rPr>
      </w:pPr>
      <w:r>
        <w:rPr>
          <w:rtl/>
          <w:lang w:bidi="fa-IR"/>
        </w:rPr>
        <w:t xml:space="preserve">قَالَ : « نَعَمْ ، مَا لَمْ يُحْرِمْ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7710 / 4. أَبُو عَلِيٍّ الْأَشْعَرِيُّ ، عَنْ مُحَمَّدِ بْنِ عَبْدِ الْجَبَّارِ ، عَنْ صَفْوَانَ بْنِ يَحْيى ، عَنْ أَبِي أَحْمَدَ عَمْرِو بْنِ حُرَيْثٍ الصَّيْرَفِيِّ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sidRPr="00D10E3C">
        <w:rPr>
          <w:rStyle w:val="libFootnotenumChar"/>
          <w:rtl/>
        </w:rPr>
        <w:t>(7)</w:t>
      </w:r>
      <w:r>
        <w:rPr>
          <w:rtl/>
          <w:lang w:bidi="fa-IR"/>
        </w:rPr>
        <w:t xml:space="preserve"> : مِنْ أَيْنَ أُهِلُّ بِالْحَجِّ؟</w:t>
      </w:r>
    </w:p>
    <w:p w:rsidR="00144FA6" w:rsidRDefault="00744A1C" w:rsidP="00744A1C">
      <w:pPr>
        <w:pStyle w:val="libNormal"/>
        <w:rPr>
          <w:rtl/>
          <w:lang w:bidi="fa-IR"/>
        </w:rPr>
      </w:pPr>
      <w:r>
        <w:rPr>
          <w:rtl/>
          <w:lang w:bidi="fa-IR"/>
        </w:rPr>
        <w:t xml:space="preserve">فَقَالَ </w:t>
      </w:r>
      <w:r w:rsidRPr="00D10E3C">
        <w:rPr>
          <w:rStyle w:val="libFootnotenumChar"/>
          <w:rtl/>
        </w:rPr>
        <w:t>(8)</w:t>
      </w:r>
      <w:r>
        <w:rPr>
          <w:rtl/>
          <w:lang w:bidi="fa-IR"/>
        </w:rPr>
        <w:t xml:space="preserve"> : « إِنْ شِئْتَ مِنْ رَحْلِكَ ، وَإِنْ شِئْتَ مِنَ الْكَعْبَةِ ، وَإِنْ شِئْتَ مِنَ الطَّرِيقِ </w:t>
      </w:r>
      <w:r w:rsidRPr="00D10E3C">
        <w:rPr>
          <w:rStyle w:val="libFootnotenumChar"/>
          <w:rtl/>
        </w:rPr>
        <w:t>(9)</w:t>
      </w:r>
      <w:r>
        <w:rPr>
          <w:rtl/>
          <w:lang w:bidi="fa-IR"/>
        </w:rPr>
        <w:t xml:space="preserve"> ». </w:t>
      </w:r>
      <w:r w:rsidRPr="00D10E3C">
        <w:rPr>
          <w:rStyle w:val="libFootnotenumChar"/>
          <w:rtl/>
        </w:rPr>
        <w:t>(10)</w:t>
      </w:r>
    </w:p>
    <w:p w:rsidR="00144FA6" w:rsidRDefault="00744A1C" w:rsidP="00744A1C">
      <w:pPr>
        <w:pStyle w:val="libNormal"/>
        <w:rPr>
          <w:rtl/>
          <w:lang w:bidi="fa-IR"/>
        </w:rPr>
      </w:pPr>
      <w:r>
        <w:rPr>
          <w:rtl/>
          <w:lang w:bidi="fa-IR"/>
        </w:rPr>
        <w:t>7711 / 5. مُحَمَّدُ بْنُ يَحْيى ، عَنْ أَحْمَدَ بْنِ مُحَمَّدٍ ، عَنِ ابْنِ فَضَّالٍ ، عَنْ يُونُسَ بْنِ يَعْقُوبَ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 مِنْ أَيِّ الْمَسْجِدِ </w:t>
      </w:r>
      <w:r w:rsidRPr="00D10E3C">
        <w:rPr>
          <w:rStyle w:val="libFootnotenumChar"/>
          <w:rtl/>
        </w:rPr>
        <w:t>(11)</w:t>
      </w:r>
      <w:r>
        <w:rPr>
          <w:rtl/>
          <w:lang w:bidi="fa-IR"/>
        </w:rPr>
        <w:t xml:space="preserve"> أُحْرِمُ </w:t>
      </w:r>
      <w:r w:rsidRPr="00D10E3C">
        <w:rPr>
          <w:rStyle w:val="libFootnotenumChar"/>
          <w:rtl/>
        </w:rPr>
        <w:t>(12)</w:t>
      </w:r>
      <w:r>
        <w:rPr>
          <w:rtl/>
          <w:lang w:bidi="fa-IR"/>
        </w:rPr>
        <w:t xml:space="preserve"> يَوْمَ التَّرْوِيَةِ؟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جد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الرجل ».</w:t>
      </w:r>
    </w:p>
    <w:p w:rsidR="00744A1C" w:rsidRDefault="00E378DD" w:rsidP="00E378DD">
      <w:pPr>
        <w:pStyle w:val="libFootnote0"/>
        <w:rPr>
          <w:lang w:bidi="fa-IR"/>
        </w:rPr>
      </w:pPr>
      <w:r>
        <w:rPr>
          <w:rtl/>
          <w:lang w:bidi="fa-IR"/>
        </w:rPr>
        <w:t>(2).</w:t>
      </w:r>
      <w:r w:rsidR="00744A1C">
        <w:rPr>
          <w:rtl/>
          <w:lang w:bidi="fa-IR"/>
        </w:rPr>
        <w:t xml:space="preserve"> في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يأتي ».</w:t>
      </w:r>
    </w:p>
    <w:p w:rsidR="00744A1C" w:rsidRDefault="00E378DD" w:rsidP="00495EF5">
      <w:pPr>
        <w:pStyle w:val="libFootnote0"/>
        <w:rPr>
          <w:lang w:bidi="fa-IR"/>
        </w:rPr>
      </w:pPr>
      <w:r>
        <w:rPr>
          <w:rtl/>
          <w:lang w:bidi="fa-IR"/>
        </w:rPr>
        <w:t>(3).</w:t>
      </w:r>
      <w:r w:rsidR="00744A1C">
        <w:rPr>
          <w:rtl/>
          <w:lang w:bidi="fa-IR"/>
        </w:rPr>
        <w:t xml:space="preserve"> الإزماع : العزم. وقال ابن منظور : أزمع الأمرَ وبه وعليه : مضى فيه فهو مُزْمِعْ وثبت عليه عزمه ». </w:t>
      </w:r>
      <w:r w:rsidR="00744A1C" w:rsidRPr="00877682">
        <w:rPr>
          <w:rStyle w:val="libFootnoteBoldChar"/>
          <w:rtl/>
        </w:rPr>
        <w:t>لسان العرب</w:t>
      </w:r>
      <w:r w:rsidR="00744A1C">
        <w:rPr>
          <w:rtl/>
          <w:lang w:bidi="fa-IR"/>
        </w:rPr>
        <w:t xml:space="preserve"> ، ج 8 ، ص 144 ( زمع ).</w:t>
      </w:r>
      <w:r w:rsidR="00495EF5">
        <w:rPr>
          <w:rFonts w:hint="cs"/>
          <w:rtl/>
          <w:lang w:bidi="fa-IR"/>
        </w:rPr>
        <w:t xml:space="preserve">                        </w:t>
      </w:r>
      <w:r>
        <w:rPr>
          <w:rtl/>
          <w:lang w:bidi="fa-IR"/>
        </w:rPr>
        <w:t>(4).</w:t>
      </w:r>
      <w:r w:rsidR="00744A1C">
        <w:rPr>
          <w:rtl/>
          <w:lang w:bidi="fa-IR"/>
        </w:rPr>
        <w:t xml:space="preserve"> في </w:t>
      </w:r>
      <w:r w:rsidR="00744A1C" w:rsidRPr="00C24F9C">
        <w:rPr>
          <w:rStyle w:val="libFootnoteBoldChar"/>
          <w:rtl/>
        </w:rPr>
        <w:t>الوسائل</w:t>
      </w:r>
      <w:r w:rsidR="00744A1C">
        <w:rPr>
          <w:rtl/>
          <w:lang w:bidi="fa-IR"/>
        </w:rPr>
        <w:t xml:space="preserve"> : « أيطوف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يدلّ على عدم جواز الطواف مطلقاً بعد الإحرام ».</w:t>
      </w:r>
    </w:p>
    <w:p w:rsidR="00744A1C" w:rsidRDefault="00E378DD" w:rsidP="00495EF5">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169 ، ح 9 ، معلّقاً عن الكليني </w:t>
      </w:r>
      <w:r w:rsidR="00495EF5">
        <w:rPr>
          <w:rFonts w:hint="cs"/>
          <w:rtl/>
          <w:lang w:bidi="fa-IR"/>
        </w:rPr>
        <w:t>.</w:t>
      </w:r>
      <w:r w:rsidR="00744A1C" w:rsidRPr="00C24F9C">
        <w:rPr>
          <w:rStyle w:val="libFootnoteBoldChar"/>
          <w:rtl/>
        </w:rPr>
        <w:t>الوافي</w:t>
      </w:r>
      <w:r w:rsidR="00744A1C">
        <w:rPr>
          <w:rtl/>
          <w:lang w:bidi="fa-IR"/>
        </w:rPr>
        <w:t xml:space="preserve"> ، ج 13 ، ص 1011 ، ح 13631 ؛ </w:t>
      </w:r>
      <w:r w:rsidR="00744A1C" w:rsidRPr="00C24F9C">
        <w:rPr>
          <w:rStyle w:val="libFootnoteBoldChar"/>
          <w:rtl/>
        </w:rPr>
        <w:t>الوسائل</w:t>
      </w:r>
      <w:r w:rsidR="00744A1C">
        <w:rPr>
          <w:rtl/>
          <w:lang w:bidi="fa-IR"/>
        </w:rPr>
        <w:t xml:space="preserve"> ، ج 13 ، ص 447 ، ح 18183.</w:t>
      </w:r>
      <w:r w:rsidR="00495EF5">
        <w:rPr>
          <w:rFonts w:hint="cs"/>
          <w:rtl/>
          <w:lang w:bidi="fa-IR"/>
        </w:rPr>
        <w:t xml:space="preserve">      </w:t>
      </w: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ح 1684 : + « وهو بمكّة ».</w:t>
      </w:r>
    </w:p>
    <w:p w:rsidR="00744A1C" w:rsidRDefault="00E378DD" w:rsidP="00E378DD">
      <w:pPr>
        <w:pStyle w:val="libFootnote0"/>
        <w:rPr>
          <w:lang w:bidi="fa-IR"/>
        </w:rPr>
      </w:pPr>
      <w:r>
        <w:rPr>
          <w:rtl/>
          <w:lang w:bidi="fa-IR"/>
        </w:rPr>
        <w:t>(8).</w:t>
      </w:r>
      <w:r w:rsidR="00744A1C">
        <w:rPr>
          <w:rtl/>
          <w:lang w:bidi="fa-IR"/>
        </w:rPr>
        <w:t xml:space="preserve"> في « بخ ، بف ، جد » : « قال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يدلّ على أنّ ميقات حجّ التمتّع أيّ موضع كان من مكّة ، ولا خلاف فيه بين الأصحاب ، بل بين العلماء كافّة ، وقالوا : أفضل ذلك المسجد ، وأفضل المسجد مقام إبراهيم </w:t>
      </w:r>
      <w:r w:rsidR="0061079A" w:rsidRPr="0061079A">
        <w:rPr>
          <w:rStyle w:val="libFootnoteAlaemChar"/>
          <w:rtl/>
        </w:rPr>
        <w:t>عليه‌السلام</w:t>
      </w:r>
      <w:r w:rsidR="00D10E3C">
        <w:rPr>
          <w:rtl/>
          <w:lang w:bidi="fa-IR"/>
        </w:rPr>
        <w:t xml:space="preserve"> </w:t>
      </w:r>
      <w:r w:rsidR="00744A1C">
        <w:rPr>
          <w:rtl/>
          <w:lang w:bidi="fa-IR"/>
        </w:rPr>
        <w:t>أو الحجر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5 ، ص 166 ، ح 555 ؛ معلّقاً عن الكليني. وفيه ، ص 477 ، ح 1684 ، بسنده عن صفوان بن يحيى ، عن عمرو بن حريث الصيرفي </w:t>
      </w:r>
      <w:r w:rsidR="00495EF5">
        <w:rPr>
          <w:rFonts w:hint="cs"/>
          <w:rtl/>
          <w:lang w:bidi="fa-IR"/>
        </w:rPr>
        <w:t>.</w:t>
      </w:r>
      <w:r w:rsidR="00744A1C" w:rsidRPr="00C24F9C">
        <w:rPr>
          <w:rStyle w:val="libFootnoteBoldChar"/>
          <w:rtl/>
        </w:rPr>
        <w:t>الوافي</w:t>
      </w:r>
      <w:r w:rsidR="00744A1C">
        <w:rPr>
          <w:rtl/>
          <w:lang w:bidi="fa-IR"/>
        </w:rPr>
        <w:t xml:space="preserve"> ، ج 13 ، ص 1007 ، ح 13623 ؛ </w:t>
      </w:r>
      <w:r w:rsidR="00744A1C" w:rsidRPr="00C24F9C">
        <w:rPr>
          <w:rStyle w:val="libFootnoteBoldChar"/>
          <w:rtl/>
        </w:rPr>
        <w:t>الوسائل</w:t>
      </w:r>
      <w:r w:rsidR="00744A1C">
        <w:rPr>
          <w:rtl/>
          <w:lang w:bidi="fa-IR"/>
        </w:rPr>
        <w:t xml:space="preserve"> ، ج 11 ، ص 339 ، ح 14964.</w:t>
      </w:r>
    </w:p>
    <w:p w:rsidR="00744A1C" w:rsidRDefault="00E378DD" w:rsidP="00642EC4">
      <w:pPr>
        <w:pStyle w:val="libFootnote0"/>
        <w:rPr>
          <w:lang w:bidi="fa-IR"/>
        </w:rPr>
      </w:pPr>
      <w:r>
        <w:rPr>
          <w:rtl/>
          <w:lang w:bidi="fa-IR"/>
        </w:rPr>
        <w:t>(11).</w:t>
      </w:r>
      <w:r w:rsidR="00495EF5">
        <w:rPr>
          <w:rtl/>
          <w:lang w:bidi="fa-IR"/>
        </w:rPr>
        <w:t xml:space="preserve"> قرأ العل</w:t>
      </w:r>
      <w:r w:rsidR="00495EF5">
        <w:rPr>
          <w:rFonts w:hint="cs"/>
          <w:rtl/>
          <w:lang w:bidi="fa-IR"/>
        </w:rPr>
        <w:t>ّ</w:t>
      </w:r>
      <w:r w:rsidR="00495EF5">
        <w:rPr>
          <w:rtl/>
          <w:lang w:bidi="fa-IR"/>
        </w:rPr>
        <w:t>ا</w:t>
      </w:r>
      <w:r w:rsidR="00744A1C">
        <w:rPr>
          <w:rtl/>
          <w:lang w:bidi="fa-IR"/>
        </w:rPr>
        <w:t xml:space="preserve">مة الفيض في </w:t>
      </w:r>
      <w:r w:rsidR="00744A1C" w:rsidRPr="00C24F9C">
        <w:rPr>
          <w:rStyle w:val="libFootnoteBoldChar"/>
          <w:rtl/>
        </w:rPr>
        <w:t>الوافي</w:t>
      </w:r>
      <w:r w:rsidR="00744A1C">
        <w:rPr>
          <w:rtl/>
          <w:lang w:bidi="fa-IR"/>
        </w:rPr>
        <w:t xml:space="preserve"> : « المسجد الحرام » ، ثمّ فسّر قوله </w:t>
      </w:r>
      <w:r w:rsidR="0061079A" w:rsidRPr="0061079A">
        <w:rPr>
          <w:rStyle w:val="libFootnoteAlaemChar"/>
          <w:rtl/>
        </w:rPr>
        <w:t>عليه‌السلام</w:t>
      </w:r>
      <w:r w:rsidR="00D10E3C">
        <w:rPr>
          <w:rtl/>
          <w:lang w:bidi="fa-IR"/>
        </w:rPr>
        <w:t xml:space="preserve"> </w:t>
      </w:r>
      <w:r w:rsidR="00744A1C">
        <w:rPr>
          <w:rtl/>
          <w:lang w:bidi="fa-IR"/>
        </w:rPr>
        <w:t>: « من أيّ المسجد شئت » بقوله : « يعني من أيّ موضع من المسجد الحرام ».</w:t>
      </w:r>
      <w:r w:rsidR="00642EC4">
        <w:rPr>
          <w:rFonts w:hint="cs"/>
          <w:rtl/>
          <w:lang w:bidi="fa-IR"/>
        </w:rPr>
        <w:t xml:space="preserve">           </w:t>
      </w:r>
      <w:r>
        <w:rPr>
          <w:rtl/>
          <w:lang w:bidi="fa-IR"/>
        </w:rPr>
        <w:t>(12).</w:t>
      </w:r>
      <w:r w:rsidR="00744A1C">
        <w:rPr>
          <w:rtl/>
          <w:lang w:bidi="fa-IR"/>
        </w:rPr>
        <w:t xml:space="preserve"> في « بف » : « أحرمت ».</w:t>
      </w:r>
    </w:p>
    <w:p w:rsidR="00744A1C" w:rsidRDefault="00744A1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w:t>
      </w:r>
      <w:r w:rsidRPr="00D10E3C">
        <w:rPr>
          <w:rStyle w:val="libFootnotenumChar"/>
          <w:rtl/>
        </w:rPr>
        <w:t>(1)</w:t>
      </w:r>
      <w:r>
        <w:rPr>
          <w:rtl/>
          <w:lang w:bidi="fa-IR"/>
        </w:rPr>
        <w:t xml:space="preserve"> : « مِنْ أَيِّ الْمَسْجِدِ شِئْتَ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7712 / 6. مُحَمَّدُ بْنُ يَحْيى ، عَنْ مُحَمَّدِ بْنِ الْحُسَيْنِ ، عَنْ سُلَيْمَانَ بْنِ مُحَمَّدٍ ، عَنْ حَرِيزٍ ، عَنْ زُرَارَةَ ، قَالَ :</w:t>
      </w:r>
    </w:p>
    <w:p w:rsidR="00744A1C" w:rsidRDefault="00744A1C" w:rsidP="00744A1C">
      <w:pPr>
        <w:pStyle w:val="libNormal"/>
        <w:rPr>
          <w:lang w:bidi="fa-IR"/>
        </w:rPr>
      </w:pPr>
      <w:r>
        <w:rPr>
          <w:rtl/>
          <w:lang w:bidi="fa-IR"/>
        </w:rPr>
        <w:t xml:space="preserve">قُلْتُ لِأَبِي جَعْفَرٍ </w:t>
      </w:r>
      <w:r w:rsidR="0061079A" w:rsidRPr="0061079A">
        <w:rPr>
          <w:rStyle w:val="libAlaemChar"/>
          <w:rtl/>
        </w:rPr>
        <w:t>عليه‌السلام</w:t>
      </w:r>
      <w:r w:rsidR="00D10E3C">
        <w:rPr>
          <w:rtl/>
          <w:lang w:bidi="fa-IR"/>
        </w:rPr>
        <w:t xml:space="preserve"> </w:t>
      </w:r>
      <w:r>
        <w:rPr>
          <w:rtl/>
          <w:lang w:bidi="fa-IR"/>
        </w:rPr>
        <w:t>: مَتى أُلَبِّي بِالْحَجِّ؟</w:t>
      </w:r>
    </w:p>
    <w:p w:rsidR="00144FA6" w:rsidRDefault="00744A1C" w:rsidP="00744A1C">
      <w:pPr>
        <w:pStyle w:val="libNormal"/>
        <w:rPr>
          <w:rtl/>
          <w:lang w:bidi="fa-IR"/>
        </w:rPr>
      </w:pPr>
      <w:r>
        <w:rPr>
          <w:rtl/>
          <w:lang w:bidi="fa-IR"/>
        </w:rPr>
        <w:t xml:space="preserve">فَقَالَ </w:t>
      </w:r>
      <w:r w:rsidRPr="00D10E3C">
        <w:rPr>
          <w:rStyle w:val="libFootnotenumChar"/>
          <w:rtl/>
        </w:rPr>
        <w:t>(4)</w:t>
      </w:r>
      <w:r>
        <w:rPr>
          <w:rtl/>
          <w:lang w:bidi="fa-IR"/>
        </w:rPr>
        <w:t xml:space="preserve"> : « إِذَا خَرَجْتَ </w:t>
      </w:r>
      <w:r w:rsidRPr="00D10E3C">
        <w:rPr>
          <w:rStyle w:val="libFootnotenumChar"/>
          <w:rtl/>
        </w:rPr>
        <w:t>(5)</w:t>
      </w:r>
      <w:r>
        <w:rPr>
          <w:rtl/>
          <w:lang w:bidi="fa-IR"/>
        </w:rPr>
        <w:t xml:space="preserve"> إِلى </w:t>
      </w:r>
      <w:r w:rsidRPr="00D10E3C">
        <w:rPr>
          <w:rStyle w:val="libFootnotenumChar"/>
          <w:rtl/>
        </w:rPr>
        <w:t>(6)</w:t>
      </w:r>
      <w:r>
        <w:rPr>
          <w:rtl/>
          <w:lang w:bidi="fa-IR"/>
        </w:rPr>
        <w:t xml:space="preserve"> مِنًى » ثُمَّ قَالَ : « إِذَا جَعَلْتَ شِعْبَ دَرْبٍ </w:t>
      </w:r>
      <w:r w:rsidRPr="00D10E3C">
        <w:rPr>
          <w:rStyle w:val="libFootnotenumChar"/>
          <w:rtl/>
        </w:rPr>
        <w:t>(7)</w:t>
      </w:r>
      <w:r>
        <w:rPr>
          <w:rtl/>
          <w:lang w:bidi="fa-IR"/>
        </w:rPr>
        <w:t xml:space="preserve"> عَلى </w:t>
      </w:r>
      <w:r w:rsidRPr="00D10E3C">
        <w:rPr>
          <w:rStyle w:val="libFootnotenumChar"/>
          <w:rtl/>
        </w:rPr>
        <w:t>(8)</w:t>
      </w:r>
      <w:r>
        <w:rPr>
          <w:rtl/>
          <w:lang w:bidi="fa-IR"/>
        </w:rPr>
        <w:t xml:space="preserve"> يَمِينِكَ ، وَالْعَقَبَةَ عَنْ يَسَارِكَ </w:t>
      </w:r>
      <w:r w:rsidRPr="00D10E3C">
        <w:rPr>
          <w:rStyle w:val="libFootnotenumChar"/>
          <w:rtl/>
        </w:rPr>
        <w:t>(9)</w:t>
      </w:r>
      <w:r>
        <w:rPr>
          <w:rtl/>
          <w:lang w:bidi="fa-IR"/>
        </w:rPr>
        <w:t xml:space="preserve"> ، فَلَبِّ بِالْحَجِّ </w:t>
      </w:r>
      <w:r w:rsidRPr="00D10E3C">
        <w:rPr>
          <w:rStyle w:val="libFootnotenumChar"/>
          <w:rtl/>
        </w:rPr>
        <w:t>(10)</w:t>
      </w:r>
      <w:r>
        <w:rPr>
          <w:rtl/>
          <w:lang w:bidi="fa-IR"/>
        </w:rPr>
        <w:t xml:space="preserve"> ». </w:t>
      </w:r>
      <w:r w:rsidRPr="00D10E3C">
        <w:rPr>
          <w:rStyle w:val="libFootnotenumChar"/>
          <w:rtl/>
        </w:rPr>
        <w:t>(11)</w:t>
      </w:r>
    </w:p>
    <w:p w:rsidR="00744A1C" w:rsidRDefault="00744A1C" w:rsidP="001177B8">
      <w:pPr>
        <w:pStyle w:val="Heading2Center"/>
        <w:rPr>
          <w:lang w:bidi="fa-IR"/>
        </w:rPr>
      </w:pPr>
      <w:bookmarkStart w:id="3" w:name="_Toc49261301"/>
      <w:r>
        <w:rPr>
          <w:rtl/>
          <w:lang w:bidi="fa-IR"/>
        </w:rPr>
        <w:t>158 - بَابُ الْحَجِّ مَاشِياً وَانْقِطَاعِ مَشْيِ الْمَاشِي‌</w:t>
      </w:r>
      <w:bookmarkEnd w:id="3"/>
    </w:p>
    <w:p w:rsidR="00144FA6" w:rsidRDefault="00744A1C" w:rsidP="00744A1C">
      <w:pPr>
        <w:pStyle w:val="libNormal"/>
        <w:rPr>
          <w:rtl/>
          <w:lang w:bidi="fa-IR"/>
        </w:rPr>
      </w:pPr>
      <w:r>
        <w:rPr>
          <w:rtl/>
          <w:lang w:bidi="fa-IR"/>
        </w:rPr>
        <w:t xml:space="preserve">7713 / 1. مُحَمَّدُ بْنُ يَحْيى ، عَنْ أَحْمَدَ بْنِ مُحَمَّدٍ ، عَنِ ابْنِ فَضَّالٍ </w:t>
      </w:r>
      <w:r w:rsidRPr="00D10E3C">
        <w:rPr>
          <w:rStyle w:val="libFootnotenumChar"/>
          <w:rtl/>
        </w:rPr>
        <w:t>(12)</w:t>
      </w:r>
      <w:r>
        <w:rPr>
          <w:rtl/>
          <w:lang w:bidi="fa-IR"/>
        </w:rPr>
        <w:t xml:space="preserve"> ، عَنِ ابْنِ بُكَيْرٍ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وفي المطبوع </w:t>
      </w:r>
      <w:r w:rsidR="00744A1C" w:rsidRPr="0061079A">
        <w:rPr>
          <w:rStyle w:val="libFootnoteBoldChar"/>
          <w:rtl/>
        </w:rPr>
        <w:t>والتهذيب</w:t>
      </w:r>
      <w:r w:rsidR="00744A1C">
        <w:rPr>
          <w:rtl/>
          <w:lang w:bidi="fa-IR"/>
        </w:rPr>
        <w:t xml:space="preserve"> : « فقال ».</w:t>
      </w:r>
    </w:p>
    <w:p w:rsidR="00744A1C" w:rsidRDefault="00E378DD" w:rsidP="00E378DD">
      <w:pPr>
        <w:pStyle w:val="libFootnote0"/>
        <w:rPr>
          <w:lang w:bidi="fa-IR"/>
        </w:rPr>
      </w:pPr>
      <w:r>
        <w:rPr>
          <w:rtl/>
          <w:lang w:bidi="fa-IR"/>
        </w:rPr>
        <w:t>(2).</w:t>
      </w:r>
      <w:r w:rsidR="00744A1C">
        <w:rPr>
          <w:rtl/>
          <w:lang w:bidi="fa-IR"/>
        </w:rPr>
        <w:t xml:space="preserve"> في « بس » وردت هذه الرواية متأخّرة عن الرواية الآتية.</w:t>
      </w:r>
    </w:p>
    <w:p w:rsidR="00744A1C" w:rsidRDefault="00E378DD" w:rsidP="001177B8">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166 ، ح 556 ، معلّقاً عن الكليني </w:t>
      </w:r>
      <w:r w:rsidR="001177B8">
        <w:rPr>
          <w:rFonts w:hint="cs"/>
          <w:rtl/>
          <w:lang w:bidi="fa-IR"/>
        </w:rPr>
        <w:t>.</w:t>
      </w:r>
      <w:r w:rsidR="00744A1C" w:rsidRPr="00C24F9C">
        <w:rPr>
          <w:rStyle w:val="libFootnoteBoldChar"/>
          <w:rtl/>
        </w:rPr>
        <w:t>الوافي</w:t>
      </w:r>
      <w:r w:rsidR="00744A1C">
        <w:rPr>
          <w:rtl/>
          <w:lang w:bidi="fa-IR"/>
        </w:rPr>
        <w:t xml:space="preserve"> ، ج 13 ، ص 1007 ، ح 13624 ؛ </w:t>
      </w:r>
      <w:r w:rsidR="00744A1C" w:rsidRPr="00C24F9C">
        <w:rPr>
          <w:rStyle w:val="libFootnoteBoldChar"/>
          <w:rtl/>
        </w:rPr>
        <w:t>الوسائل</w:t>
      </w:r>
      <w:r w:rsidR="00744A1C">
        <w:rPr>
          <w:rtl/>
          <w:lang w:bidi="fa-IR"/>
        </w:rPr>
        <w:t xml:space="preserve"> ، ج 11 ، ص 340 ، ح 14965.</w:t>
      </w:r>
      <w:r w:rsidR="001177B8">
        <w:rPr>
          <w:rFonts w:hint="cs"/>
          <w:rtl/>
          <w:lang w:bidi="fa-IR"/>
        </w:rPr>
        <w:t xml:space="preserve">     </w:t>
      </w:r>
      <w:r>
        <w:rPr>
          <w:rtl/>
          <w:lang w:bidi="fa-IR"/>
        </w:rPr>
        <w:t>(4).</w:t>
      </w:r>
      <w:r w:rsidR="00584909">
        <w:rPr>
          <w:rtl/>
          <w:lang w:bidi="fa-IR"/>
        </w:rPr>
        <w:t xml:space="preserve"> في «بخ،بف</w:t>
      </w:r>
      <w:r w:rsidR="00744A1C">
        <w:rPr>
          <w:rtl/>
          <w:lang w:bidi="fa-IR"/>
        </w:rPr>
        <w:t>»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584909">
        <w:rPr>
          <w:rtl/>
          <w:lang w:bidi="fa-IR"/>
        </w:rPr>
        <w:t xml:space="preserve"> : «قال</w:t>
      </w:r>
      <w:r w:rsidR="00744A1C">
        <w:rPr>
          <w:rtl/>
          <w:lang w:bidi="fa-IR"/>
        </w:rPr>
        <w:t>».</w:t>
      </w:r>
    </w:p>
    <w:p w:rsidR="00744A1C" w:rsidRDefault="00E378DD" w:rsidP="00E378DD">
      <w:pPr>
        <w:pStyle w:val="libFootnote0"/>
        <w:rPr>
          <w:lang w:bidi="fa-IR"/>
        </w:rPr>
      </w:pPr>
      <w:r>
        <w:rPr>
          <w:rtl/>
          <w:lang w:bidi="fa-IR"/>
        </w:rPr>
        <w:t>(5).</w:t>
      </w:r>
      <w:r w:rsidR="00744A1C">
        <w:rPr>
          <w:rtl/>
          <w:lang w:bidi="fa-IR"/>
        </w:rPr>
        <w:t xml:space="preserve"> في « بث » : « أحرمت ». وفي « بس » : « أخرجت ».</w:t>
      </w:r>
    </w:p>
    <w:p w:rsidR="00744A1C" w:rsidRDefault="00E378DD" w:rsidP="00E378DD">
      <w:pPr>
        <w:pStyle w:val="libFootnote0"/>
        <w:rPr>
          <w:lang w:bidi="fa-IR"/>
        </w:rPr>
      </w:pPr>
      <w:r>
        <w:rPr>
          <w:rtl/>
          <w:lang w:bidi="fa-IR"/>
        </w:rPr>
        <w:t>(6).</w:t>
      </w:r>
      <w:r w:rsidR="00744A1C">
        <w:rPr>
          <w:rtl/>
          <w:lang w:bidi="fa-IR"/>
        </w:rPr>
        <w:t xml:space="preserve"> في « بخ ، بف » : « من ».</w:t>
      </w:r>
    </w:p>
    <w:p w:rsidR="00744A1C" w:rsidRDefault="00E378DD" w:rsidP="001177B8">
      <w:pPr>
        <w:pStyle w:val="libFootnote0"/>
        <w:rPr>
          <w:lang w:bidi="fa-IR"/>
        </w:rPr>
      </w:pPr>
      <w:r>
        <w:rPr>
          <w:rtl/>
          <w:lang w:bidi="fa-IR"/>
        </w:rPr>
        <w:t>(7).</w:t>
      </w:r>
      <w:r w:rsidR="00744A1C">
        <w:rPr>
          <w:rtl/>
          <w:lang w:bidi="fa-IR"/>
        </w:rPr>
        <w:t xml:space="preserve"> هكذا في معظم النسخ التي قوبلت. وفي « بس » و</w:t>
      </w:r>
      <w:r w:rsidR="00744A1C" w:rsidRPr="00C24F9C">
        <w:rPr>
          <w:rStyle w:val="libFootnoteBoldChar"/>
          <w:rtl/>
        </w:rPr>
        <w:t>الوافي</w:t>
      </w:r>
      <w:r w:rsidR="00744A1C">
        <w:rPr>
          <w:rtl/>
          <w:lang w:bidi="fa-IR"/>
        </w:rPr>
        <w:t xml:space="preserve"> : « الدرب ». وفي المطبوع : « دبّ ». وفي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الدبّ ».</w:t>
      </w:r>
      <w:r w:rsidR="00584909">
        <w:rPr>
          <w:rFonts w:hint="cs"/>
          <w:rtl/>
          <w:lang w:bidi="fa-IR"/>
        </w:rPr>
        <w:t xml:space="preserve">          </w:t>
      </w:r>
      <w:r w:rsidR="001177B8">
        <w:rPr>
          <w:rFonts w:hint="cs"/>
          <w:rtl/>
          <w:lang w:bidi="fa-IR"/>
        </w:rPr>
        <w:t xml:space="preserve">     </w:t>
      </w:r>
      <w:r>
        <w:rPr>
          <w:rtl/>
          <w:lang w:bidi="fa-IR"/>
        </w:rPr>
        <w:t>(8).</w:t>
      </w:r>
      <w:r w:rsidR="00744A1C">
        <w:rPr>
          <w:rtl/>
          <w:lang w:bidi="fa-IR"/>
        </w:rPr>
        <w:t xml:space="preserve"> في « بخ » و</w:t>
      </w:r>
      <w:r w:rsidR="00744A1C" w:rsidRPr="00C24F9C">
        <w:rPr>
          <w:rStyle w:val="libFootnoteBoldChar"/>
          <w:rtl/>
        </w:rPr>
        <w:t>الوافي</w:t>
      </w:r>
      <w:r w:rsidR="00744A1C">
        <w:rPr>
          <w:rtl/>
          <w:lang w:bidi="fa-IR"/>
        </w:rPr>
        <w:t xml:space="preserve"> : « عن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عن نسخة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على يسارك » بدل « عن يسارك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حمله في </w:t>
      </w:r>
      <w:r w:rsidR="00744A1C" w:rsidRPr="00C24F9C">
        <w:rPr>
          <w:rStyle w:val="libFootnoteBoldChar"/>
          <w:rtl/>
        </w:rPr>
        <w:t>التهذيب</w:t>
      </w:r>
      <w:r w:rsidR="00744A1C">
        <w:rPr>
          <w:rtl/>
          <w:lang w:bidi="fa-IR"/>
        </w:rPr>
        <w:t xml:space="preserve">ين على الراكب ؛ لأنّ الماشي يلبّي حيث يصلّي ، كما مرّ ». وفي </w:t>
      </w:r>
      <w:r w:rsidR="00744A1C" w:rsidRPr="00C24F9C">
        <w:rPr>
          <w:rStyle w:val="libFootnoteBoldChar"/>
          <w:rtl/>
        </w:rPr>
        <w:t>المرآة</w:t>
      </w:r>
      <w:r w:rsidR="00744A1C">
        <w:rPr>
          <w:rtl/>
          <w:lang w:bidi="fa-IR"/>
        </w:rPr>
        <w:t xml:space="preserve"> : « ظاهره تأخير التلبية عن الإحرام ، كما مرّ ، وحمل في المشهور على الإجهار بها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5 ، ص 167 ، ح 558 ، بسنده عن محمّد بن الحسين ؛ الاستبصار ، ج 2 ، ص 252 ، ح 884 ، بسنده عن محمّد بن الحسين ، عن سليمان بن جرير ، عن حريز </w:t>
      </w:r>
      <w:r w:rsidR="001177B8">
        <w:rPr>
          <w:rFonts w:hint="cs"/>
          <w:rtl/>
          <w:lang w:bidi="fa-IR"/>
        </w:rPr>
        <w:t>.</w:t>
      </w:r>
      <w:r w:rsidR="00744A1C" w:rsidRPr="00C24F9C">
        <w:rPr>
          <w:rStyle w:val="libFootnoteBoldChar"/>
          <w:rtl/>
        </w:rPr>
        <w:t>الوافي</w:t>
      </w:r>
      <w:r w:rsidR="00744A1C">
        <w:rPr>
          <w:rtl/>
          <w:lang w:bidi="fa-IR"/>
        </w:rPr>
        <w:t xml:space="preserve"> ، ج 13 ، ص 1009 ، ح 13627 ؛ </w:t>
      </w:r>
      <w:r w:rsidR="00744A1C" w:rsidRPr="00C24F9C">
        <w:rPr>
          <w:rStyle w:val="libFootnoteBoldChar"/>
          <w:rtl/>
        </w:rPr>
        <w:t>الوسائل</w:t>
      </w:r>
      <w:r w:rsidR="00744A1C">
        <w:rPr>
          <w:rtl/>
          <w:lang w:bidi="fa-IR"/>
        </w:rPr>
        <w:t xml:space="preserve"> ، ج 12 ، ص 398 ، ح 16614.</w:t>
      </w:r>
    </w:p>
    <w:p w:rsidR="00744A1C" w:rsidRDefault="00E378DD" w:rsidP="00E378DD">
      <w:pPr>
        <w:pStyle w:val="libFootnote0"/>
        <w:rPr>
          <w:lang w:bidi="fa-IR"/>
        </w:rPr>
      </w:pPr>
      <w:r>
        <w:rPr>
          <w:rtl/>
          <w:lang w:bidi="fa-IR"/>
        </w:rPr>
        <w:t>(12).</w:t>
      </w:r>
      <w:r w:rsidR="00744A1C">
        <w:rPr>
          <w:rtl/>
          <w:lang w:bidi="fa-IR"/>
        </w:rPr>
        <w:t xml:space="preserve"> هكذا ف</w:t>
      </w:r>
      <w:r w:rsidR="001177B8">
        <w:rPr>
          <w:rtl/>
          <w:lang w:bidi="fa-IR"/>
        </w:rPr>
        <w:t>ي « بخ ، جر ». وهكذا نقله العل</w:t>
      </w:r>
      <w:r w:rsidR="001177B8">
        <w:rPr>
          <w:rFonts w:hint="cs"/>
          <w:rtl/>
          <w:lang w:bidi="fa-IR"/>
        </w:rPr>
        <w:t>ّ</w:t>
      </w:r>
      <w:r w:rsidR="001177B8">
        <w:rPr>
          <w:rtl/>
          <w:lang w:bidi="fa-IR"/>
        </w:rPr>
        <w:t>ا</w:t>
      </w:r>
      <w:r w:rsidR="00744A1C">
        <w:rPr>
          <w:rtl/>
          <w:lang w:bidi="fa-IR"/>
        </w:rPr>
        <w:t xml:space="preserve">مة الخبير السيّد موسى الشبيري </w:t>
      </w:r>
      <w:r w:rsidR="001177B8">
        <w:rPr>
          <w:rtl/>
          <w:lang w:bidi="fa-IR"/>
        </w:rPr>
        <w:t>- دام ظلّه - من نسخة رمز عنها ب</w:t>
      </w:r>
      <w:r w:rsidR="001177B8">
        <w:rPr>
          <w:rFonts w:hint="cs"/>
          <w:rtl/>
          <w:lang w:bidi="fa-IR"/>
        </w:rPr>
        <w:t>ـ</w:t>
      </w:r>
      <w:r w:rsidR="00744A1C">
        <w:rPr>
          <w:rtl/>
          <w:lang w:bidi="fa-IR"/>
        </w:rPr>
        <w:t xml:space="preserve"> « ش ». وفي « بس » : « الحسن بن عليّ بن فضّال ». وفي « ى ، بث ، بح ، بس ، بف ، جد » والمطبوع و</w:t>
      </w:r>
      <w:r w:rsidR="00744A1C" w:rsidRPr="00C24F9C">
        <w:rPr>
          <w:rStyle w:val="libFootnoteBoldChar"/>
          <w:rtl/>
        </w:rPr>
        <w:t>الوسائل</w:t>
      </w:r>
      <w:r w:rsidR="00744A1C">
        <w:rPr>
          <w:rtl/>
          <w:lang w:bidi="fa-IR"/>
        </w:rPr>
        <w:t xml:space="preserve"> : « عليّ بن </w:t>
      </w:r>
      <w:r w:rsidR="001177B8">
        <w:rPr>
          <w:rFonts w:hint="cs"/>
          <w:rtl/>
          <w:lang w:bidi="fa-IR"/>
        </w:rPr>
        <w:t>=</w:t>
      </w:r>
    </w:p>
    <w:p w:rsidR="008859AA" w:rsidRDefault="008859AA" w:rsidP="008859AA">
      <w:pPr>
        <w:pStyle w:val="libNormal"/>
        <w:rPr>
          <w:rtl/>
          <w:lang w:bidi="fa-IR"/>
        </w:rPr>
      </w:pPr>
      <w:r>
        <w:rPr>
          <w:rtl/>
          <w:lang w:bidi="fa-IR"/>
        </w:rPr>
        <w:br w:type="page"/>
      </w:r>
    </w:p>
    <w:p w:rsidR="00144FA6" w:rsidRDefault="00744A1C" w:rsidP="008859AA">
      <w:pPr>
        <w:pStyle w:val="libNormal0"/>
        <w:rPr>
          <w:rtl/>
          <w:lang w:bidi="fa-IR"/>
        </w:rPr>
      </w:pPr>
      <w:r>
        <w:rPr>
          <w:rtl/>
          <w:lang w:bidi="fa-IR"/>
        </w:rPr>
        <w:lastRenderedPageBreak/>
        <w:t>قَالَ :</w:t>
      </w:r>
    </w:p>
    <w:p w:rsidR="00744A1C" w:rsidRDefault="00744A1C" w:rsidP="008859AA">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إِنَّا نُرِيدُ أَنْ </w:t>
      </w:r>
      <w:r w:rsidR="00D10E3C" w:rsidRPr="008859AA">
        <w:rPr>
          <w:rStyle w:val="libFootnotenumChar"/>
          <w:rtl/>
        </w:rPr>
        <w:t>(1)</w:t>
      </w:r>
      <w:r w:rsidR="00D10E3C">
        <w:rPr>
          <w:rtl/>
          <w:lang w:bidi="fa-IR"/>
        </w:rPr>
        <w:t>.</w:t>
      </w:r>
      <w:r>
        <w:rPr>
          <w:rtl/>
          <w:lang w:bidi="fa-IR"/>
        </w:rPr>
        <w:t xml:space="preserve"> نَخْرُجَ إِلى مَكَّةَ مُشَاةً </w:t>
      </w:r>
      <w:r w:rsidR="00E378DD" w:rsidRPr="008859AA">
        <w:rPr>
          <w:rStyle w:val="libFootnotenumChar"/>
          <w:rtl/>
        </w:rPr>
        <w:t>(2)</w:t>
      </w:r>
      <w:r w:rsidR="00E378DD">
        <w:rPr>
          <w:rtl/>
          <w:lang w:bidi="fa-IR"/>
        </w:rPr>
        <w:t>.</w:t>
      </w:r>
    </w:p>
    <w:p w:rsidR="00744A1C" w:rsidRDefault="00744A1C" w:rsidP="008859AA">
      <w:pPr>
        <w:pStyle w:val="libNormal"/>
        <w:rPr>
          <w:lang w:bidi="fa-IR"/>
        </w:rPr>
      </w:pPr>
      <w:r>
        <w:rPr>
          <w:rtl/>
          <w:lang w:bidi="fa-IR"/>
        </w:rPr>
        <w:t xml:space="preserve">فَقَالَ لَنَا </w:t>
      </w:r>
      <w:r w:rsidR="00E378DD" w:rsidRPr="008859AA">
        <w:rPr>
          <w:rStyle w:val="libFootnotenumChar"/>
          <w:rtl/>
        </w:rPr>
        <w:t>(3)</w:t>
      </w:r>
      <w:r w:rsidR="00E378DD">
        <w:rPr>
          <w:rtl/>
          <w:lang w:bidi="fa-IR"/>
        </w:rPr>
        <w:t>.</w:t>
      </w:r>
      <w:r>
        <w:rPr>
          <w:rtl/>
          <w:lang w:bidi="fa-IR"/>
        </w:rPr>
        <w:t xml:space="preserve"> : « لَا تَمْشُوا ، وَاخْرُجُوا رُكْبَاناً ».</w:t>
      </w:r>
    </w:p>
    <w:p w:rsidR="00744A1C" w:rsidRDefault="00744A1C" w:rsidP="008859AA">
      <w:pPr>
        <w:pStyle w:val="libNormal"/>
        <w:rPr>
          <w:lang w:bidi="fa-IR"/>
        </w:rPr>
      </w:pPr>
      <w:r>
        <w:rPr>
          <w:rtl/>
          <w:lang w:bidi="fa-IR"/>
        </w:rPr>
        <w:t xml:space="preserve">قُلْتُ </w:t>
      </w:r>
      <w:r w:rsidR="00E378DD" w:rsidRPr="008859AA">
        <w:rPr>
          <w:rStyle w:val="libFootnotenumChar"/>
          <w:rtl/>
        </w:rPr>
        <w:t>(4)</w:t>
      </w:r>
      <w:r w:rsidR="00E378DD">
        <w:rPr>
          <w:rtl/>
          <w:lang w:bidi="fa-IR"/>
        </w:rPr>
        <w:t>.</w:t>
      </w:r>
      <w:r>
        <w:rPr>
          <w:rtl/>
          <w:lang w:bidi="fa-IR"/>
        </w:rPr>
        <w:t xml:space="preserve"> : أَصْلَحَكَ اللهُ ، إِنَّهُ بَلَغَنَا عَنِ الْحَسَنِ بْنِ عَلِيٍّ - صَلَوَاتُ اللهِ عَلَيْهِمَا - أَنَّهُ كَانَ يَحُجُّ </w:t>
      </w:r>
      <w:r w:rsidR="00E378DD" w:rsidRPr="008859AA">
        <w:rPr>
          <w:rStyle w:val="libFootnotenumChar"/>
          <w:rtl/>
        </w:rPr>
        <w:t>(5)</w:t>
      </w:r>
      <w:r w:rsidR="00E378DD">
        <w:rPr>
          <w:rtl/>
          <w:lang w:bidi="fa-IR"/>
        </w:rPr>
        <w:t>.</w:t>
      </w:r>
      <w:r>
        <w:rPr>
          <w:rtl/>
          <w:lang w:bidi="fa-IR"/>
        </w:rPr>
        <w:t xml:space="preserve"> مَاشِياً.</w:t>
      </w:r>
    </w:p>
    <w:p w:rsidR="00144FA6" w:rsidRDefault="00744A1C" w:rsidP="00E378DD">
      <w:pPr>
        <w:pStyle w:val="libNormal"/>
        <w:rPr>
          <w:rtl/>
          <w:lang w:bidi="fa-IR"/>
        </w:rPr>
      </w:pPr>
      <w:r>
        <w:rPr>
          <w:rtl/>
          <w:lang w:bidi="fa-IR"/>
        </w:rPr>
        <w:t xml:space="preserve">فَقَالَ </w:t>
      </w:r>
      <w:r w:rsidR="00E378DD" w:rsidRPr="008859AA">
        <w:rPr>
          <w:rStyle w:val="libFootnotenumChar"/>
          <w:rtl/>
        </w:rPr>
        <w:t>(6)</w:t>
      </w:r>
      <w:r w:rsidR="00E378DD">
        <w:rPr>
          <w:rtl/>
          <w:lang w:bidi="fa-IR"/>
        </w:rPr>
        <w:t>.</w:t>
      </w:r>
      <w:r>
        <w:rPr>
          <w:rtl/>
          <w:lang w:bidi="fa-IR"/>
        </w:rPr>
        <w:t xml:space="preserve"> : « كَانَ </w:t>
      </w:r>
      <w:r w:rsidR="00E378DD" w:rsidRPr="008859AA">
        <w:rPr>
          <w:rStyle w:val="libFootnotenumChar"/>
          <w:rtl/>
        </w:rPr>
        <w:t>(7)</w:t>
      </w:r>
      <w:r w:rsidR="00E378DD">
        <w:rPr>
          <w:rtl/>
          <w:lang w:bidi="fa-IR"/>
        </w:rPr>
        <w:t>.</w:t>
      </w:r>
      <w:r>
        <w:rPr>
          <w:rtl/>
          <w:lang w:bidi="fa-IR"/>
        </w:rPr>
        <w:t xml:space="preserve"> الْحَسَنُ بْنُ عَلِيٍّ </w:t>
      </w:r>
      <w:r w:rsidR="00E378DD" w:rsidRPr="008859AA">
        <w:rPr>
          <w:rStyle w:val="libFootnotenumChar"/>
          <w:rtl/>
        </w:rPr>
        <w:t>(8)</w:t>
      </w:r>
      <w:r w:rsidR="00E378DD">
        <w:rPr>
          <w:rtl/>
          <w:lang w:bidi="fa-IR"/>
        </w:rPr>
        <w:t>.</w:t>
      </w:r>
      <w:r>
        <w:rPr>
          <w:rtl/>
          <w:lang w:bidi="fa-IR"/>
        </w:rPr>
        <w:t xml:space="preserve"> </w:t>
      </w:r>
      <w:r w:rsidR="008859AA" w:rsidRPr="008859AA">
        <w:rPr>
          <w:rStyle w:val="libAlaemChar"/>
          <w:rtl/>
        </w:rPr>
        <w:t>عليهما‌السلام</w:t>
      </w:r>
      <w:r w:rsidR="00E378DD" w:rsidRPr="008859AA">
        <w:rPr>
          <w:rStyle w:val="libFootnotenumChar"/>
          <w:rtl/>
        </w:rPr>
        <w:t>(9)</w:t>
      </w:r>
      <w:r w:rsidR="00E378DD">
        <w:rPr>
          <w:rtl/>
          <w:lang w:bidi="fa-IR"/>
        </w:rPr>
        <w:t>.</w:t>
      </w:r>
      <w:r>
        <w:rPr>
          <w:rtl/>
          <w:lang w:bidi="fa-IR"/>
        </w:rPr>
        <w:t xml:space="preserve"> يَحُجُّ مَاشِياً ، وَتُسَاقُ </w:t>
      </w:r>
      <w:r w:rsidR="00E378DD" w:rsidRPr="008859AA">
        <w:rPr>
          <w:rStyle w:val="libFootnotenumChar"/>
          <w:rtl/>
        </w:rPr>
        <w:t>(10)</w:t>
      </w:r>
      <w:r w:rsidR="00E378DD">
        <w:rPr>
          <w:rtl/>
          <w:lang w:bidi="fa-IR"/>
        </w:rPr>
        <w:t>.</w:t>
      </w:r>
      <w:r>
        <w:rPr>
          <w:rtl/>
          <w:lang w:bidi="fa-IR"/>
        </w:rPr>
        <w:t xml:space="preserve"> مَعَهُ الْمَحَامِلُ وَالرِّحَالُ </w:t>
      </w:r>
      <w:r w:rsidR="00E378DD" w:rsidRPr="008859AA">
        <w:rPr>
          <w:rStyle w:val="libFootnotenumChar"/>
          <w:rtl/>
        </w:rPr>
        <w:t>(11)</w:t>
      </w:r>
      <w:r w:rsidR="00E378DD">
        <w:rPr>
          <w:rtl/>
          <w:lang w:bidi="fa-IR"/>
        </w:rPr>
        <w:t>.</w:t>
      </w:r>
      <w:r>
        <w:rPr>
          <w:rtl/>
          <w:lang w:bidi="fa-IR"/>
        </w:rPr>
        <w:t xml:space="preserve"> ». </w:t>
      </w:r>
      <w:r w:rsidR="00E378DD" w:rsidRPr="008859AA">
        <w:rPr>
          <w:rStyle w:val="libFootnotenumChar"/>
          <w:rtl/>
        </w:rPr>
        <w:t>(12)</w:t>
      </w:r>
      <w:r w:rsidR="00E378DD">
        <w:rPr>
          <w:rtl/>
          <w:lang w:bidi="fa-IR"/>
        </w:rPr>
        <w:t>.</w:t>
      </w:r>
    </w:p>
    <w:p w:rsidR="00744A1C" w:rsidRDefault="00744A1C" w:rsidP="00D10E3C">
      <w:pPr>
        <w:pStyle w:val="libLine"/>
        <w:rPr>
          <w:lang w:bidi="fa-IR"/>
        </w:rPr>
      </w:pPr>
      <w:r>
        <w:rPr>
          <w:rtl/>
          <w:lang w:bidi="fa-IR"/>
        </w:rPr>
        <w:t>____________________</w:t>
      </w:r>
    </w:p>
    <w:p w:rsidR="00744A1C" w:rsidRDefault="008859AA" w:rsidP="00D10E3C">
      <w:pPr>
        <w:pStyle w:val="libFootnote0"/>
        <w:rPr>
          <w:lang w:bidi="fa-IR"/>
        </w:rPr>
      </w:pPr>
      <w:r>
        <w:rPr>
          <w:rFonts w:hint="cs"/>
          <w:rtl/>
          <w:lang w:bidi="fa-IR"/>
        </w:rPr>
        <w:t xml:space="preserve">= </w:t>
      </w:r>
      <w:r w:rsidR="00744A1C">
        <w:rPr>
          <w:rtl/>
          <w:lang w:bidi="fa-IR"/>
        </w:rPr>
        <w:t>فضّال ».</w:t>
      </w:r>
    </w:p>
    <w:p w:rsidR="00744A1C" w:rsidRDefault="00744A1C" w:rsidP="00D10E3C">
      <w:pPr>
        <w:pStyle w:val="libFootnote0"/>
        <w:rPr>
          <w:lang w:bidi="fa-IR"/>
        </w:rPr>
      </w:pPr>
      <w:r>
        <w:rPr>
          <w:rtl/>
          <w:lang w:bidi="fa-IR"/>
        </w:rPr>
        <w:t>والمراد من ابن فضّال الراوي عن ابن بكير - وهو عبد الله - هو الحسن بن عليّ بن فضّال ، وقد تكرّرت في الأسناد رواية أحمد بن محمّد [ بن عيسى ] عن [ الحسن بن عليّ ] بن فضّال عن [ عبد الله ] بن بكير ، وأحمد بن محمّد في سندنا هذا هو أحمد بن محمّد بن عيسى بقرينة رواية محمّد بن يحيى عنه.</w:t>
      </w:r>
    </w:p>
    <w:p w:rsidR="00744A1C" w:rsidRDefault="00744A1C" w:rsidP="00D10E3C">
      <w:pPr>
        <w:pStyle w:val="libFootnote0"/>
        <w:rPr>
          <w:lang w:bidi="fa-IR"/>
        </w:rPr>
      </w:pPr>
      <w:r>
        <w:rPr>
          <w:rtl/>
          <w:lang w:bidi="fa-IR"/>
        </w:rPr>
        <w:t xml:space="preserve">راجع : </w:t>
      </w:r>
      <w:r w:rsidRPr="0061079A">
        <w:rPr>
          <w:rStyle w:val="libFootnoteBoldChar"/>
          <w:rtl/>
        </w:rPr>
        <w:t>معجم رجال الحديث</w:t>
      </w:r>
      <w:r>
        <w:rPr>
          <w:rtl/>
          <w:lang w:bidi="fa-IR"/>
        </w:rPr>
        <w:t xml:space="preserve"> ، ج 5 ، ص 308 - 309 ؛ ج 23 ، ص 213 - 216 ، وص 224.</w:t>
      </w:r>
    </w:p>
    <w:tbl>
      <w:tblPr>
        <w:tblStyle w:val="TableGrid"/>
        <w:bidiVisual/>
        <w:tblW w:w="0" w:type="auto"/>
        <w:tblLook w:val="04A0" w:firstRow="1" w:lastRow="0" w:firstColumn="1" w:lastColumn="0" w:noHBand="0" w:noVBand="1"/>
      </w:tblPr>
      <w:tblGrid>
        <w:gridCol w:w="4006"/>
        <w:gridCol w:w="4006"/>
      </w:tblGrid>
      <w:tr w:rsidR="008859AA" w:rsidTr="008859AA">
        <w:tc>
          <w:tcPr>
            <w:tcW w:w="4006" w:type="dxa"/>
          </w:tcPr>
          <w:p w:rsidR="008859AA" w:rsidRDefault="008859AA" w:rsidP="00D10E3C">
            <w:pPr>
              <w:pStyle w:val="libFootnote0"/>
              <w:rPr>
                <w:rtl/>
                <w:lang w:bidi="fa-IR"/>
              </w:rPr>
            </w:pPr>
            <w:r>
              <w:rPr>
                <w:rtl/>
                <w:lang w:bidi="fa-IR"/>
              </w:rPr>
              <w:t>(1). في «بخ ، بف» و</w:t>
            </w:r>
            <w:r w:rsidRPr="00C24F9C">
              <w:rPr>
                <w:rStyle w:val="libFootnoteBoldChar"/>
                <w:rtl/>
              </w:rPr>
              <w:t>الوافي</w:t>
            </w:r>
            <w:r>
              <w:rPr>
                <w:rtl/>
                <w:lang w:bidi="fa-IR"/>
              </w:rPr>
              <w:t xml:space="preserve"> : « الحجّ » بدل « أن ».</w:t>
            </w:r>
          </w:p>
        </w:tc>
        <w:tc>
          <w:tcPr>
            <w:tcW w:w="4006" w:type="dxa"/>
          </w:tcPr>
          <w:p w:rsidR="008859AA" w:rsidRDefault="008859AA" w:rsidP="00D10E3C">
            <w:pPr>
              <w:pStyle w:val="libFootnote0"/>
              <w:rPr>
                <w:rtl/>
                <w:lang w:bidi="fa-IR"/>
              </w:rPr>
            </w:pPr>
            <w:r>
              <w:rPr>
                <w:rtl/>
                <w:lang w:bidi="fa-IR"/>
              </w:rPr>
              <w:t xml:space="preserve">(2). في </w:t>
            </w:r>
            <w:r w:rsidRPr="00C24F9C">
              <w:rPr>
                <w:rStyle w:val="libFootnoteBoldChar"/>
                <w:rtl/>
              </w:rPr>
              <w:t>التهذيب</w:t>
            </w:r>
            <w:r>
              <w:rPr>
                <w:rtl/>
                <w:lang w:bidi="fa-IR"/>
              </w:rPr>
              <w:t xml:space="preserve"> </w:t>
            </w:r>
            <w:r w:rsidRPr="00C24F9C">
              <w:rPr>
                <w:rStyle w:val="libFootnoteBoldChar"/>
                <w:rtl/>
              </w:rPr>
              <w:t>والاستبصار</w:t>
            </w:r>
            <w:r>
              <w:rPr>
                <w:rtl/>
                <w:lang w:bidi="fa-IR"/>
              </w:rPr>
              <w:t xml:space="preserve"> : - « مشاة ».</w:t>
            </w:r>
          </w:p>
        </w:tc>
      </w:tr>
    </w:tbl>
    <w:p w:rsidR="00744A1C" w:rsidRDefault="00E378DD" w:rsidP="00E378DD">
      <w:pPr>
        <w:pStyle w:val="libFootnote0"/>
        <w:rPr>
          <w:lang w:bidi="fa-IR"/>
        </w:rPr>
      </w:pPr>
      <w:r>
        <w:rPr>
          <w:rtl/>
          <w:lang w:bidi="fa-IR"/>
        </w:rPr>
        <w:t>(3).</w:t>
      </w:r>
      <w:r w:rsidR="00744A1C">
        <w:rPr>
          <w:rtl/>
          <w:lang w:bidi="fa-IR"/>
        </w:rPr>
        <w:t xml:space="preserve"> في « بث » </w:t>
      </w:r>
      <w:r w:rsidR="00744A1C" w:rsidRPr="00584909">
        <w:rPr>
          <w:rtl/>
        </w:rPr>
        <w:t>والتهذيب والاستبصار وقرب الإسناد</w:t>
      </w:r>
      <w:r w:rsidR="00744A1C">
        <w:rPr>
          <w:rtl/>
          <w:lang w:bidi="fa-IR"/>
        </w:rPr>
        <w:t xml:space="preserve"> : - « لنا ».</w:t>
      </w:r>
    </w:p>
    <w:p w:rsidR="00744A1C" w:rsidRDefault="00E378DD" w:rsidP="00E378DD">
      <w:pPr>
        <w:pStyle w:val="libFootnote0"/>
        <w:rPr>
          <w:lang w:bidi="fa-IR"/>
        </w:rPr>
      </w:pPr>
      <w:r>
        <w:rPr>
          <w:rtl/>
          <w:lang w:bidi="fa-IR"/>
        </w:rPr>
        <w:t>(4).</w:t>
      </w:r>
      <w:r w:rsidR="00744A1C">
        <w:rPr>
          <w:rtl/>
          <w:lang w:bidi="fa-IR"/>
        </w:rPr>
        <w:t xml:space="preserve"> في « بخ ، بس ، بف » وحاشية « بح » : « فقلت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والعلل : « حجّ عشرين حجّة » بدل « أنّه كان يحجّ ».</w:t>
      </w:r>
    </w:p>
    <w:p w:rsidR="00744A1C" w:rsidRDefault="00E378DD" w:rsidP="00E378DD">
      <w:pPr>
        <w:pStyle w:val="libFootnote0"/>
        <w:rPr>
          <w:lang w:bidi="fa-IR"/>
        </w:rPr>
      </w:pPr>
      <w:r>
        <w:rPr>
          <w:rtl/>
          <w:lang w:bidi="fa-IR"/>
        </w:rPr>
        <w:t>(6).</w:t>
      </w:r>
      <w:r w:rsidR="00744A1C">
        <w:rPr>
          <w:rtl/>
          <w:lang w:bidi="fa-IR"/>
        </w:rPr>
        <w:t xml:space="preserve"> في « ى ، بث ، بح ، بس » وحاشية « جد » </w:t>
      </w:r>
      <w:r w:rsidR="00744A1C" w:rsidRPr="0061079A">
        <w:rPr>
          <w:rStyle w:val="libFootnoteBoldChar"/>
          <w:rtl/>
        </w:rPr>
        <w:t>و</w:t>
      </w:r>
      <w:r w:rsidR="00744A1C" w:rsidRPr="00877682">
        <w:rPr>
          <w:rStyle w:val="libFootnoteBoldChar"/>
          <w:rtl/>
        </w:rPr>
        <w:t>قرب الإسناد</w:t>
      </w:r>
      <w:r w:rsidR="00744A1C">
        <w:rPr>
          <w:rtl/>
          <w:lang w:bidi="fa-IR"/>
        </w:rPr>
        <w:t xml:space="preserve"> : « قال ».</w:t>
      </w:r>
    </w:p>
    <w:p w:rsidR="00744A1C" w:rsidRDefault="00E378DD" w:rsidP="00E378DD">
      <w:pPr>
        <w:pStyle w:val="libFootnote0"/>
        <w:rPr>
          <w:lang w:bidi="fa-IR"/>
        </w:rPr>
      </w:pPr>
      <w:r>
        <w:rPr>
          <w:rtl/>
          <w:lang w:bidi="fa-IR"/>
        </w:rPr>
        <w:t>(7).</w:t>
      </w:r>
      <w:r w:rsidR="00744A1C">
        <w:rPr>
          <w:rtl/>
          <w:lang w:bidi="fa-IR"/>
        </w:rPr>
        <w:t xml:space="preserve"> في « بخ ، بف ، جد » </w:t>
      </w:r>
      <w:r w:rsidR="00744A1C" w:rsidRPr="00584909">
        <w:rPr>
          <w:rtl/>
        </w:rPr>
        <w:t xml:space="preserve">والوافي والتهذيب والاستبصار </w:t>
      </w:r>
      <w:r w:rsidR="00744A1C">
        <w:rPr>
          <w:rtl/>
          <w:lang w:bidi="fa-IR"/>
        </w:rPr>
        <w:t xml:space="preserve">والعلل </w:t>
      </w:r>
      <w:r w:rsidR="00744A1C" w:rsidRPr="0061079A">
        <w:rPr>
          <w:rStyle w:val="libFootnoteBoldChar"/>
          <w:rtl/>
        </w:rPr>
        <w:t>و</w:t>
      </w:r>
      <w:r w:rsidR="00744A1C" w:rsidRPr="00877682">
        <w:rPr>
          <w:rStyle w:val="libFootnoteBoldChar"/>
          <w:rtl/>
        </w:rPr>
        <w:t>قرب الإسناد</w:t>
      </w:r>
      <w:r w:rsidR="00744A1C">
        <w:rPr>
          <w:rtl/>
          <w:lang w:bidi="fa-IR"/>
        </w:rPr>
        <w:t xml:space="preserve"> : « إنّ ».</w:t>
      </w:r>
    </w:p>
    <w:tbl>
      <w:tblPr>
        <w:tblStyle w:val="TableGrid"/>
        <w:bidiVisual/>
        <w:tblW w:w="0" w:type="auto"/>
        <w:tblLook w:val="04A0" w:firstRow="1" w:lastRow="0" w:firstColumn="1" w:lastColumn="0" w:noHBand="0" w:noVBand="1"/>
      </w:tblPr>
      <w:tblGrid>
        <w:gridCol w:w="4006"/>
        <w:gridCol w:w="4006"/>
      </w:tblGrid>
      <w:tr w:rsidR="009375A5" w:rsidTr="009375A5">
        <w:tc>
          <w:tcPr>
            <w:tcW w:w="4006" w:type="dxa"/>
          </w:tcPr>
          <w:p w:rsidR="009375A5" w:rsidRDefault="009375A5" w:rsidP="00E378DD">
            <w:pPr>
              <w:pStyle w:val="libFootnote0"/>
              <w:rPr>
                <w:rtl/>
                <w:lang w:bidi="fa-IR"/>
              </w:rPr>
            </w:pPr>
            <w:r>
              <w:rPr>
                <w:rtl/>
                <w:lang w:bidi="fa-IR"/>
              </w:rPr>
              <w:t>(8). في « بخ ، بف ، جد » و</w:t>
            </w:r>
            <w:r w:rsidRPr="00C24F9C">
              <w:rPr>
                <w:rStyle w:val="libFootnoteBoldChar"/>
                <w:rtl/>
              </w:rPr>
              <w:t>الوافي</w:t>
            </w:r>
            <w:r>
              <w:rPr>
                <w:rtl/>
                <w:lang w:bidi="fa-IR"/>
              </w:rPr>
              <w:t xml:space="preserve"> : - « بن عليّ ».</w:t>
            </w:r>
          </w:p>
        </w:tc>
        <w:tc>
          <w:tcPr>
            <w:tcW w:w="4006" w:type="dxa"/>
          </w:tcPr>
          <w:p w:rsidR="009375A5" w:rsidRDefault="009375A5" w:rsidP="00E378DD">
            <w:pPr>
              <w:pStyle w:val="libFootnote0"/>
              <w:rPr>
                <w:rtl/>
                <w:lang w:bidi="fa-IR"/>
              </w:rPr>
            </w:pPr>
            <w:r>
              <w:rPr>
                <w:rtl/>
                <w:lang w:bidi="fa-IR"/>
              </w:rPr>
              <w:t>(9).</w:t>
            </w:r>
            <w:r w:rsidR="00AA21A6">
              <w:rPr>
                <w:rtl/>
                <w:lang w:bidi="fa-IR"/>
              </w:rPr>
              <w:t xml:space="preserve"> في«بخ ،بف ،</w:t>
            </w:r>
            <w:r>
              <w:rPr>
                <w:rtl/>
                <w:lang w:bidi="fa-IR"/>
              </w:rPr>
              <w:t>جد » و</w:t>
            </w:r>
            <w:r w:rsidRPr="00C24F9C">
              <w:rPr>
                <w:rStyle w:val="libFootnoteBoldChar"/>
                <w:rtl/>
              </w:rPr>
              <w:t>الوافي</w:t>
            </w:r>
            <w:r>
              <w:rPr>
                <w:rtl/>
                <w:lang w:bidi="fa-IR"/>
              </w:rPr>
              <w:t xml:space="preserve"> والعلل : + « كان ».</w:t>
            </w:r>
          </w:p>
        </w:tc>
      </w:tr>
    </w:tbl>
    <w:p w:rsidR="00744A1C" w:rsidRDefault="00E378DD" w:rsidP="00E378DD">
      <w:pPr>
        <w:pStyle w:val="libFootnote0"/>
        <w:rPr>
          <w:lang w:bidi="fa-IR"/>
        </w:rPr>
      </w:pPr>
      <w:r>
        <w:rPr>
          <w:rtl/>
          <w:lang w:bidi="fa-IR"/>
        </w:rPr>
        <w:t>(10).</w:t>
      </w:r>
      <w:r w:rsidR="00744A1C">
        <w:rPr>
          <w:rtl/>
          <w:lang w:bidi="fa-IR"/>
        </w:rPr>
        <w:t xml:space="preserve"> في « ى ، بث ، بح ، بس ، جد » و</w:t>
      </w:r>
      <w:r w:rsidR="00744A1C" w:rsidRPr="00C24F9C">
        <w:rPr>
          <w:rStyle w:val="libFootnoteBoldChar"/>
          <w:rtl/>
        </w:rPr>
        <w:t>الوافي</w:t>
      </w:r>
      <w:r w:rsidR="00744A1C">
        <w:rPr>
          <w:rtl/>
          <w:lang w:bidi="fa-IR"/>
        </w:rPr>
        <w:t xml:space="preserve"> : « ويساق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 « ظاهر قول السائل : نخرج إلى مكّة ، مع قوله : بلغنا ، يدلّ على أنّ مشي الحسن - صلوات الله عليه - كان إلى مكّة ، وخبر رفاعة الآتي - وهو الخامس هنا - نصّ في أنّ مشيه كان من مكّة ؛ يعني إلى المواقف وفي المناسك ، فينبغي حمل هذا على ذاك ونسبة الوهم إلى السائل ، وفي قوله </w:t>
      </w:r>
      <w:r w:rsidR="0061079A" w:rsidRPr="0061079A">
        <w:rPr>
          <w:rStyle w:val="libFootnoteAlaemChar"/>
          <w:rtl/>
        </w:rPr>
        <w:t>عليه‌السلام</w:t>
      </w:r>
      <w:r w:rsidR="00D10E3C">
        <w:rPr>
          <w:rtl/>
          <w:lang w:bidi="fa-IR"/>
        </w:rPr>
        <w:t xml:space="preserve"> </w:t>
      </w:r>
      <w:r w:rsidR="00744A1C">
        <w:rPr>
          <w:rtl/>
          <w:lang w:bidi="fa-IR"/>
        </w:rPr>
        <w:t>: كان يحجّ ماشياً ، دلالة على ذلك ، ولعلّ سياق الرحال من أجل أنّه لو تعب ركب ، وتعدّدها من أجل أنّه لو تعب غيره أركبه ولئلاّ يظنّ به البخل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108 : « اختلف الأصحاب لاختلاف الأخبار في أنّ المشي أفضل أو الركوب؟ والمشهور بين الأصحاب القول بالتفصيل بالضعف وعدمه جمعاً بين الأخبار ، ومنهم من جمع بينهما بأنّ </w:t>
      </w:r>
      <w:r w:rsidR="008B126D">
        <w:rPr>
          <w:rFonts w:hint="cs"/>
          <w:rtl/>
          <w:lang w:bidi="fa-IR"/>
        </w:rPr>
        <w:t>=</w:t>
      </w:r>
    </w:p>
    <w:p w:rsidR="00744A1C" w:rsidRDefault="00744A1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7714 / 2. أَبُو عَلِيٍّ الْأَشْعَرِيُّ ، عَنْ مُحَمَّدِ بْنِ عَبْدِ الْجَبَّارِ ، عَنْ صَفْوَانَ بْنِ يَحْيى ، عَنْ سَيْفٍ التَّمَّارِ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إِنَّا كُنَّا نَحُجُّ مُشَاةً ، فَبَلَغَنَا عَنْكَ شَيْ‌ءٌ ، فَمَا تَرى؟</w:t>
      </w:r>
    </w:p>
    <w:p w:rsidR="00744A1C" w:rsidRDefault="00744A1C" w:rsidP="00744A1C">
      <w:pPr>
        <w:pStyle w:val="libNormal"/>
        <w:rPr>
          <w:lang w:bidi="fa-IR"/>
        </w:rPr>
      </w:pPr>
      <w:r>
        <w:rPr>
          <w:rtl/>
          <w:lang w:bidi="fa-IR"/>
        </w:rPr>
        <w:t xml:space="preserve">قَالَ </w:t>
      </w:r>
      <w:r w:rsidRPr="00D10E3C">
        <w:rPr>
          <w:rStyle w:val="libFootnotenumChar"/>
          <w:rtl/>
        </w:rPr>
        <w:t>(1)</w:t>
      </w:r>
      <w:r>
        <w:rPr>
          <w:rtl/>
          <w:lang w:bidi="fa-IR"/>
        </w:rPr>
        <w:t xml:space="preserve"> : « إِنَّ النَّاسَ لَيَحُجُّونَ مُشَاةً وَيَرْكَبُونَ ».</w:t>
      </w:r>
    </w:p>
    <w:p w:rsidR="00744A1C" w:rsidRDefault="00744A1C" w:rsidP="00744A1C">
      <w:pPr>
        <w:pStyle w:val="libNormal"/>
        <w:rPr>
          <w:lang w:bidi="fa-IR"/>
        </w:rPr>
      </w:pPr>
      <w:r>
        <w:rPr>
          <w:rtl/>
          <w:lang w:bidi="fa-IR"/>
        </w:rPr>
        <w:t xml:space="preserve">قُلْتُ </w:t>
      </w:r>
      <w:r w:rsidRPr="00D10E3C">
        <w:rPr>
          <w:rStyle w:val="libFootnotenumChar"/>
          <w:rtl/>
        </w:rPr>
        <w:t>(2)</w:t>
      </w:r>
      <w:r>
        <w:rPr>
          <w:rtl/>
          <w:lang w:bidi="fa-IR"/>
        </w:rPr>
        <w:t xml:space="preserve"> : لَيْسَ عَنْ ذلِكَ </w:t>
      </w:r>
      <w:r w:rsidRPr="00D10E3C">
        <w:rPr>
          <w:rStyle w:val="libFootnotenumChar"/>
          <w:rtl/>
        </w:rPr>
        <w:t>(3)</w:t>
      </w:r>
      <w:r>
        <w:rPr>
          <w:rtl/>
          <w:lang w:bidi="fa-IR"/>
        </w:rPr>
        <w:t xml:space="preserve"> أَسْأَلُكَ.</w:t>
      </w:r>
    </w:p>
    <w:p w:rsidR="00744A1C" w:rsidRDefault="00744A1C" w:rsidP="00744A1C">
      <w:pPr>
        <w:pStyle w:val="libNormal"/>
        <w:rPr>
          <w:lang w:bidi="fa-IR"/>
        </w:rPr>
      </w:pPr>
      <w:r>
        <w:rPr>
          <w:rtl/>
          <w:lang w:bidi="fa-IR"/>
        </w:rPr>
        <w:t xml:space="preserve">قَالَ </w:t>
      </w:r>
      <w:r w:rsidRPr="00D10E3C">
        <w:rPr>
          <w:rStyle w:val="libFootnotenumChar"/>
          <w:rtl/>
        </w:rPr>
        <w:t>(4)</w:t>
      </w:r>
      <w:r>
        <w:rPr>
          <w:rtl/>
          <w:lang w:bidi="fa-IR"/>
        </w:rPr>
        <w:t xml:space="preserve"> : « فَعَنْ </w:t>
      </w:r>
      <w:r w:rsidRPr="00D10E3C">
        <w:rPr>
          <w:rStyle w:val="libFootnotenumChar"/>
          <w:rtl/>
        </w:rPr>
        <w:t>(5)</w:t>
      </w:r>
      <w:r>
        <w:rPr>
          <w:rtl/>
          <w:lang w:bidi="fa-IR"/>
        </w:rPr>
        <w:t xml:space="preserve"> أَيِّ شَيْ‌ءٍ سَأَلْتَ؟ ».</w:t>
      </w:r>
    </w:p>
    <w:p w:rsidR="00744A1C" w:rsidRDefault="00744A1C" w:rsidP="00744A1C">
      <w:pPr>
        <w:pStyle w:val="libNormal"/>
        <w:rPr>
          <w:lang w:bidi="fa-IR"/>
        </w:rPr>
      </w:pPr>
      <w:r>
        <w:rPr>
          <w:rtl/>
          <w:lang w:bidi="fa-IR"/>
        </w:rPr>
        <w:t>قُلْتُ : أَيُّهُمَا أَحَبُّ إِلَيْكَ أَنْ نَصْنَعَ؟</w:t>
      </w:r>
    </w:p>
    <w:p w:rsidR="00144FA6" w:rsidRDefault="00744A1C" w:rsidP="00744A1C">
      <w:pPr>
        <w:pStyle w:val="libNormal"/>
        <w:rPr>
          <w:rtl/>
          <w:lang w:bidi="fa-IR"/>
        </w:rPr>
      </w:pPr>
      <w:r>
        <w:rPr>
          <w:rtl/>
          <w:lang w:bidi="fa-IR"/>
        </w:rPr>
        <w:t xml:space="preserve">قَالَ : « تَرْكَبُونَ أَحَبُّ إِلَيَّ ؛ فَإِنَّ ذلِكَ أَقْوى لَكُمْ عَلَى الدُّعَاءِ وَالْعِبَادَةِ </w:t>
      </w:r>
      <w:r w:rsidRPr="00D10E3C">
        <w:rPr>
          <w:rStyle w:val="libFootnotenumChar"/>
          <w:rtl/>
        </w:rPr>
        <w:t>(6)</w:t>
      </w:r>
      <w:r>
        <w:rPr>
          <w:rtl/>
          <w:lang w:bidi="fa-IR"/>
        </w:rPr>
        <w:t xml:space="preserve"> ». </w:t>
      </w:r>
      <w:r w:rsidRPr="00D10E3C">
        <w:rPr>
          <w:rStyle w:val="libFootnotenumChar"/>
          <w:rtl/>
        </w:rPr>
        <w:t>(7)</w:t>
      </w:r>
    </w:p>
    <w:p w:rsidR="00744A1C" w:rsidRDefault="00744A1C" w:rsidP="00744A1C">
      <w:pPr>
        <w:pStyle w:val="libNormal"/>
        <w:rPr>
          <w:lang w:bidi="fa-IR"/>
        </w:rPr>
      </w:pPr>
      <w:r>
        <w:rPr>
          <w:rtl/>
          <w:lang w:bidi="fa-IR"/>
        </w:rPr>
        <w:t>7715 / 3. عِدَّةٌ مِنْ أَصْحَابِنَا ، عَنْ سَهْلِ بْنِ زِيَادٍ ، عَنْ أَحْمَدَ بْنِ مُحَمَّدٍ ، عَنْ عَلِيِّ بْنِ‌</w:t>
      </w:r>
    </w:p>
    <w:p w:rsidR="00744A1C" w:rsidRDefault="00744A1C" w:rsidP="00D10E3C">
      <w:pPr>
        <w:pStyle w:val="libLine"/>
        <w:rPr>
          <w:lang w:bidi="fa-IR"/>
        </w:rPr>
      </w:pPr>
      <w:r>
        <w:rPr>
          <w:rtl/>
          <w:lang w:bidi="fa-IR"/>
        </w:rPr>
        <w:t>____________________</w:t>
      </w:r>
    </w:p>
    <w:p w:rsidR="00744A1C" w:rsidRDefault="007F3405" w:rsidP="00D10E3C">
      <w:pPr>
        <w:pStyle w:val="libFootnote0"/>
        <w:rPr>
          <w:lang w:bidi="fa-IR"/>
        </w:rPr>
      </w:pPr>
      <w:r>
        <w:rPr>
          <w:rFonts w:hint="cs"/>
          <w:rtl/>
          <w:lang w:bidi="fa-IR"/>
        </w:rPr>
        <w:t xml:space="preserve">= </w:t>
      </w:r>
      <w:r w:rsidR="00744A1C">
        <w:rPr>
          <w:rtl/>
          <w:lang w:bidi="fa-IR"/>
        </w:rPr>
        <w:t>الركوب أفضل لمن كان الحامل له على المشي توفير المال مع استغنائه عنه ، والمشي أفضل إن كان الحامل له عليه كسر النفس ومشقّة العبادة. ويمكن أن يحمل أخبار المشي من مكّة لأفعال الحجّ لصحيحة رفاعة ».</w:t>
      </w:r>
    </w:p>
    <w:p w:rsidR="00744A1C" w:rsidRDefault="00E378DD" w:rsidP="00D722CF">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12 ، ح 33 ؛ </w:t>
      </w:r>
      <w:r w:rsidR="00744A1C" w:rsidRPr="00C24F9C">
        <w:rPr>
          <w:rStyle w:val="libFootnoteBoldChar"/>
          <w:rtl/>
        </w:rPr>
        <w:t>والاستبصار</w:t>
      </w:r>
      <w:r w:rsidR="00744A1C">
        <w:rPr>
          <w:rtl/>
          <w:lang w:bidi="fa-IR"/>
        </w:rPr>
        <w:t xml:space="preserve"> ، ج 2 ، ص 142 ، ح 465 ؛ </w:t>
      </w:r>
      <w:r w:rsidR="00744A1C" w:rsidRPr="0061079A">
        <w:rPr>
          <w:rStyle w:val="libFootnoteBoldChar"/>
          <w:rtl/>
        </w:rPr>
        <w:t>و</w:t>
      </w:r>
      <w:r w:rsidR="00744A1C" w:rsidRPr="00877682">
        <w:rPr>
          <w:rStyle w:val="libFootnoteBoldChar"/>
          <w:rtl/>
        </w:rPr>
        <w:t>قرب الإسناد</w:t>
      </w:r>
      <w:r w:rsidR="00744A1C">
        <w:rPr>
          <w:rtl/>
          <w:lang w:bidi="fa-IR"/>
        </w:rPr>
        <w:t xml:space="preserve"> ، ص 170 ، ح 624 ، بسند آخر عن عبدالله بن بكير. </w:t>
      </w:r>
      <w:r w:rsidR="00744A1C" w:rsidRPr="003A7143">
        <w:rPr>
          <w:rStyle w:val="libFootnoteBoldChar"/>
          <w:rtl/>
        </w:rPr>
        <w:t>علل الشرائع</w:t>
      </w:r>
      <w:r w:rsidR="00744A1C">
        <w:rPr>
          <w:rtl/>
          <w:lang w:bidi="fa-IR"/>
        </w:rPr>
        <w:t xml:space="preserve"> ، ص 447 ، ح 6 ، بسند آخر. </w:t>
      </w:r>
      <w:r w:rsidR="00744A1C" w:rsidRPr="00C24F9C">
        <w:rPr>
          <w:rStyle w:val="libFootnoteBoldChar"/>
          <w:rtl/>
        </w:rPr>
        <w:t>الفقيه</w:t>
      </w:r>
      <w:r w:rsidR="00744A1C">
        <w:rPr>
          <w:rtl/>
          <w:lang w:bidi="fa-IR"/>
        </w:rPr>
        <w:t xml:space="preserve"> ، ج 2 ، ص 219 ، ح 2219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فيه : « وكان الحسين بن عليّ </w:t>
      </w:r>
      <w:r w:rsidR="0061079A" w:rsidRPr="0061079A">
        <w:rPr>
          <w:rStyle w:val="libFootnoteAlaemChar"/>
          <w:rtl/>
        </w:rPr>
        <w:t>عليه‌السلام</w:t>
      </w:r>
      <w:r w:rsidR="00D10E3C">
        <w:rPr>
          <w:rtl/>
          <w:lang w:bidi="fa-IR"/>
        </w:rPr>
        <w:t xml:space="preserve"> </w:t>
      </w:r>
      <w:r w:rsidR="00744A1C">
        <w:rPr>
          <w:rtl/>
          <w:lang w:bidi="fa-IR"/>
        </w:rPr>
        <w:t xml:space="preserve">يمشي وتساق معه المحامل والرحال » </w:t>
      </w:r>
      <w:r w:rsidR="00D722CF">
        <w:rPr>
          <w:rFonts w:hint="cs"/>
          <w:rtl/>
          <w:lang w:bidi="fa-IR"/>
        </w:rPr>
        <w:t>.</w:t>
      </w:r>
      <w:r w:rsidR="00744A1C" w:rsidRPr="00C24F9C">
        <w:rPr>
          <w:rStyle w:val="libFootnoteBoldChar"/>
          <w:rtl/>
        </w:rPr>
        <w:t>الوافي</w:t>
      </w:r>
      <w:r w:rsidR="00744A1C">
        <w:rPr>
          <w:rtl/>
          <w:lang w:bidi="fa-IR"/>
        </w:rPr>
        <w:t xml:space="preserve"> ، ج 12 ، ص 407 ، ح 12197 ؛ </w:t>
      </w:r>
      <w:r w:rsidR="00744A1C" w:rsidRPr="00C24F9C">
        <w:rPr>
          <w:rStyle w:val="libFootnoteBoldChar"/>
          <w:rtl/>
        </w:rPr>
        <w:t>الوسائل</w:t>
      </w:r>
      <w:r w:rsidR="00744A1C">
        <w:rPr>
          <w:rtl/>
          <w:lang w:bidi="fa-IR"/>
        </w:rPr>
        <w:t xml:space="preserve"> ، ج 11 ، ص 83 ، ذيل ح 14300 ؛ </w:t>
      </w:r>
      <w:r w:rsidR="00744A1C" w:rsidRPr="0061079A">
        <w:rPr>
          <w:rStyle w:val="libFootnoteBoldChar"/>
          <w:rtl/>
        </w:rPr>
        <w:t>البحار</w:t>
      </w:r>
      <w:r w:rsidR="00744A1C">
        <w:rPr>
          <w:rtl/>
          <w:lang w:bidi="fa-IR"/>
        </w:rPr>
        <w:t xml:space="preserve"> ، ج 43 ، ص 351 ، ح 27 ، من قوله : « كان الحسن بن عليّ </w:t>
      </w:r>
      <w:r w:rsidR="0061079A" w:rsidRPr="0061079A">
        <w:rPr>
          <w:rStyle w:val="libFootnoteAlaemChar"/>
          <w:rtl/>
        </w:rPr>
        <w:t>عليه‌السلام</w:t>
      </w:r>
      <w:r w:rsidR="00D10E3C">
        <w:rPr>
          <w:rtl/>
          <w:lang w:bidi="fa-IR"/>
        </w:rPr>
        <w:t xml:space="preserve"> </w:t>
      </w:r>
      <w:r w:rsidR="00744A1C">
        <w:rPr>
          <w:rtl/>
          <w:lang w:bidi="fa-IR"/>
        </w:rPr>
        <w:t>».</w:t>
      </w:r>
      <w:r w:rsidR="00D722CF">
        <w:rPr>
          <w:rFonts w:hint="cs"/>
          <w:rtl/>
          <w:lang w:bidi="fa-IR"/>
        </w:rPr>
        <w:t xml:space="preserve"> </w:t>
      </w:r>
      <w:r w:rsidR="00D10E3C">
        <w:rPr>
          <w:rtl/>
          <w:lang w:bidi="fa-IR"/>
        </w:rPr>
        <w:t>(1).</w:t>
      </w:r>
      <w:r w:rsidR="00744A1C">
        <w:rPr>
          <w:rtl/>
          <w:lang w:bidi="fa-IR"/>
        </w:rPr>
        <w:t xml:space="preserve"> في « بخ ، بف » </w:t>
      </w:r>
      <w:r w:rsidR="00744A1C" w:rsidRPr="0061079A">
        <w:rPr>
          <w:rStyle w:val="libFootnoteBoldChar"/>
          <w:rtl/>
        </w:rPr>
        <w:t>والتهذيب</w:t>
      </w:r>
      <w:r w:rsidR="00744A1C">
        <w:rPr>
          <w:rtl/>
          <w:lang w:bidi="fa-IR"/>
        </w:rPr>
        <w:t xml:space="preserve"> ، ح 1690 : « فقال ».</w:t>
      </w:r>
    </w:p>
    <w:p w:rsidR="00744A1C" w:rsidRDefault="00E378DD" w:rsidP="00E378DD">
      <w:pPr>
        <w:pStyle w:val="libFootnote0"/>
        <w:rPr>
          <w:lang w:bidi="fa-IR"/>
        </w:rPr>
      </w:pPr>
      <w:r>
        <w:rPr>
          <w:rtl/>
          <w:lang w:bidi="fa-IR"/>
        </w:rPr>
        <w:t>(2).</w:t>
      </w:r>
      <w:r w:rsidR="00744A1C">
        <w:rPr>
          <w:rtl/>
          <w:lang w:bidi="fa-IR"/>
        </w:rPr>
        <w:t xml:space="preserve"> في « بخ ، بف ، جد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32 </w:t>
      </w:r>
      <w:r w:rsidR="00744A1C" w:rsidRPr="00C24F9C">
        <w:rPr>
          <w:rStyle w:val="libFootnoteBoldChar"/>
          <w:rtl/>
        </w:rPr>
        <w:t>والاستبصار</w:t>
      </w:r>
      <w:r w:rsidR="00744A1C">
        <w:rPr>
          <w:rtl/>
          <w:lang w:bidi="fa-IR"/>
        </w:rPr>
        <w:t xml:space="preserve"> : « فقلت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هذا ».</w:t>
      </w:r>
    </w:p>
    <w:p w:rsidR="00744A1C" w:rsidRDefault="00E378DD" w:rsidP="00E378DD">
      <w:pPr>
        <w:pStyle w:val="libFootnote0"/>
        <w:rPr>
          <w:lang w:bidi="fa-IR"/>
        </w:rPr>
      </w:pPr>
      <w:r>
        <w:rPr>
          <w:rtl/>
          <w:lang w:bidi="fa-IR"/>
        </w:rPr>
        <w:t>(4).</w:t>
      </w:r>
      <w:r w:rsidR="00744A1C">
        <w:rPr>
          <w:rtl/>
          <w:lang w:bidi="fa-IR"/>
        </w:rPr>
        <w:t xml:space="preserve"> في « ى ، بخ ، بف ، جد » وحاشية « بح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32 </w:t>
      </w:r>
      <w:r w:rsidR="00744A1C" w:rsidRPr="00C24F9C">
        <w:rPr>
          <w:rStyle w:val="libFootnoteBoldChar"/>
          <w:rtl/>
        </w:rPr>
        <w:t>والاستبصار</w:t>
      </w:r>
      <w:r w:rsidR="00744A1C">
        <w:rPr>
          <w:rtl/>
          <w:lang w:bidi="fa-IR"/>
        </w:rPr>
        <w:t xml:space="preserve"> والعلل : « فقال ».</w:t>
      </w:r>
    </w:p>
    <w:p w:rsidR="00744A1C" w:rsidRDefault="00E378DD" w:rsidP="00E378DD">
      <w:pPr>
        <w:pStyle w:val="libFootnote0"/>
        <w:rPr>
          <w:lang w:bidi="fa-IR"/>
        </w:rPr>
      </w:pPr>
      <w:r>
        <w:rPr>
          <w:rtl/>
          <w:lang w:bidi="fa-IR"/>
        </w:rPr>
        <w:t>(5).</w:t>
      </w:r>
      <w:r w:rsidR="00744A1C">
        <w:rPr>
          <w:rtl/>
          <w:lang w:bidi="fa-IR"/>
        </w:rPr>
        <w:t xml:space="preserve"> في حاشية « بح » </w:t>
      </w:r>
      <w:r w:rsidR="00744A1C" w:rsidRPr="0061079A">
        <w:rPr>
          <w:rStyle w:val="libFootnoteBoldChar"/>
          <w:rtl/>
        </w:rPr>
        <w:t>والتهذيب</w:t>
      </w:r>
      <w:r w:rsidR="00744A1C">
        <w:rPr>
          <w:rtl/>
          <w:lang w:bidi="fa-IR"/>
        </w:rPr>
        <w:t xml:space="preserve"> ، ح 32 </w:t>
      </w:r>
      <w:r w:rsidR="00744A1C" w:rsidRPr="00C24F9C">
        <w:rPr>
          <w:rStyle w:val="libFootnoteBoldChar"/>
          <w:rtl/>
        </w:rPr>
        <w:t>والاستبصار</w:t>
      </w:r>
      <w:r w:rsidR="00744A1C">
        <w:rPr>
          <w:rtl/>
          <w:lang w:bidi="fa-IR"/>
        </w:rPr>
        <w:t xml:space="preserve"> والعلل : « عن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ظاهر هذا الحديث أنّ المراد بالمشي المشي من مكّة وفي المناسك دون طريق مكّة ، وكذا أكثر الأخبار الآتية ».</w:t>
      </w:r>
    </w:p>
    <w:p w:rsidR="00744A1C" w:rsidRDefault="00E378DD" w:rsidP="00D722CF">
      <w:pPr>
        <w:pStyle w:val="libFootnote0"/>
        <w:rPr>
          <w:lang w:bidi="fa-IR"/>
        </w:rPr>
      </w:pPr>
      <w:r>
        <w:rPr>
          <w:rtl/>
          <w:lang w:bidi="fa-IR"/>
        </w:rPr>
        <w:t>(7).</w:t>
      </w:r>
      <w:r w:rsidR="00744A1C">
        <w:rPr>
          <w:rtl/>
          <w:lang w:bidi="fa-IR"/>
        </w:rPr>
        <w:t xml:space="preserve"> </w:t>
      </w:r>
      <w:r w:rsidR="00744A1C" w:rsidRPr="003A7143">
        <w:rPr>
          <w:rStyle w:val="libFootnoteBoldChar"/>
          <w:rtl/>
        </w:rPr>
        <w:t>علل الشرائع</w:t>
      </w:r>
      <w:r w:rsidR="00744A1C">
        <w:rPr>
          <w:rtl/>
          <w:lang w:bidi="fa-IR"/>
        </w:rPr>
        <w:t xml:space="preserve"> ، ص 447 ، ح 4 ، بسنده عن صفوان بن يحيى ؛ </w:t>
      </w:r>
      <w:r w:rsidR="00744A1C" w:rsidRPr="00C24F9C">
        <w:rPr>
          <w:rStyle w:val="libFootnoteBoldChar"/>
          <w:rtl/>
        </w:rPr>
        <w:t>التهذيب</w:t>
      </w:r>
      <w:r w:rsidR="00744A1C">
        <w:rPr>
          <w:rtl/>
          <w:lang w:bidi="fa-IR"/>
        </w:rPr>
        <w:t xml:space="preserve"> ، ج 5 ، ص 478 ، ح 1690 ، معلّقاً عن صفوان ، عن سيف التمّار. وفي </w:t>
      </w:r>
      <w:r w:rsidR="00744A1C" w:rsidRPr="00C24F9C">
        <w:rPr>
          <w:rStyle w:val="libFootnoteBoldChar"/>
          <w:rtl/>
        </w:rPr>
        <w:t>التهذيب</w:t>
      </w:r>
      <w:r w:rsidR="00744A1C">
        <w:rPr>
          <w:rtl/>
          <w:lang w:bidi="fa-IR"/>
        </w:rPr>
        <w:t xml:space="preserve"> ، ج 5 ، ص 12 ، ح 32 ؛ </w:t>
      </w:r>
      <w:r w:rsidR="00744A1C" w:rsidRPr="00C24F9C">
        <w:rPr>
          <w:rStyle w:val="libFootnoteBoldChar"/>
          <w:rtl/>
        </w:rPr>
        <w:t>والاستبصار</w:t>
      </w:r>
      <w:r w:rsidR="00744A1C">
        <w:rPr>
          <w:rtl/>
          <w:lang w:bidi="fa-IR"/>
        </w:rPr>
        <w:t xml:space="preserve"> ، ج 2 ، ص 142 ، ح 464 ، بسندهما عن سيف التمّار </w:t>
      </w:r>
      <w:r w:rsidR="00D722CF">
        <w:rPr>
          <w:rFonts w:hint="cs"/>
          <w:rtl/>
          <w:lang w:bidi="fa-IR"/>
        </w:rPr>
        <w:t>.</w:t>
      </w:r>
      <w:r w:rsidR="00744A1C" w:rsidRPr="00C24F9C">
        <w:rPr>
          <w:rStyle w:val="libFootnoteBoldChar"/>
          <w:rtl/>
        </w:rPr>
        <w:t>الوافي</w:t>
      </w:r>
      <w:r w:rsidR="00744A1C">
        <w:rPr>
          <w:rtl/>
          <w:lang w:bidi="fa-IR"/>
        </w:rPr>
        <w:t xml:space="preserve"> ، ج 12 ، ص 408 ، ح 12199 ؛ </w:t>
      </w:r>
      <w:r w:rsidR="00744A1C" w:rsidRPr="00C24F9C">
        <w:rPr>
          <w:rStyle w:val="libFootnoteBoldChar"/>
          <w:rtl/>
        </w:rPr>
        <w:t>الوسائل</w:t>
      </w:r>
      <w:r w:rsidR="00744A1C">
        <w:rPr>
          <w:rtl/>
          <w:lang w:bidi="fa-IR"/>
        </w:rPr>
        <w:t xml:space="preserve"> ، ج 11 ، ص 83 ، ذيل ح 14299.</w:t>
      </w:r>
    </w:p>
    <w:p w:rsidR="00744A1C" w:rsidRDefault="00744A1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أَبِي حَمْزَةَ ، عَنْ أَبِي بَصِيرٍ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الْمَشْيُ أَفْضَلُ أَوِ الرُّكُوبُ </w:t>
      </w:r>
      <w:r w:rsidRPr="00D10E3C">
        <w:rPr>
          <w:rStyle w:val="libFootnotenumChar"/>
          <w:rtl/>
        </w:rPr>
        <w:t>(1)</w:t>
      </w:r>
      <w:r>
        <w:rPr>
          <w:rtl/>
          <w:lang w:bidi="fa-IR"/>
        </w:rPr>
        <w:t>؟</w:t>
      </w:r>
    </w:p>
    <w:p w:rsidR="00144FA6" w:rsidRDefault="00744A1C" w:rsidP="00744A1C">
      <w:pPr>
        <w:pStyle w:val="libNormal"/>
        <w:rPr>
          <w:rtl/>
          <w:lang w:bidi="fa-IR"/>
        </w:rPr>
      </w:pPr>
      <w:r>
        <w:rPr>
          <w:rtl/>
          <w:lang w:bidi="fa-IR"/>
        </w:rPr>
        <w:t xml:space="preserve">فَقَالَ : « إِذَا كَانَ الرَّجُلُ مُوسِراً ، فَمَشى لِيَكُونَ أَقَلَّ لِنَفَقَتِهِ ، فَالرُّكُوبُ أَفْضَلُ ». </w:t>
      </w:r>
      <w:r w:rsidRPr="00D10E3C">
        <w:rPr>
          <w:rStyle w:val="libFootnotenumChar"/>
          <w:rtl/>
        </w:rPr>
        <w:t>(2)</w:t>
      </w:r>
    </w:p>
    <w:p w:rsidR="00144FA6" w:rsidRDefault="00744A1C" w:rsidP="00744A1C">
      <w:pPr>
        <w:pStyle w:val="libNormal"/>
        <w:rPr>
          <w:rtl/>
          <w:lang w:bidi="fa-IR"/>
        </w:rPr>
      </w:pPr>
      <w:r>
        <w:rPr>
          <w:rtl/>
          <w:lang w:bidi="fa-IR"/>
        </w:rPr>
        <w:t>7716 / 4. عَلِيُّ بْنُ إِبْرَاهِيمَ ، عَنْ أَبِيهِ ، عَنِ ابْنِ أَبِي عُمَيْرٍ ، عَنْ رِفَاعَةَ وَابْنِ بُكَيْرٍ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أَنَّهُ سُئِلَ عَنِ الْحَجِّ مَاشِياً أَفْضَلُ ، أَوْ رَاكِباً؟</w:t>
      </w:r>
    </w:p>
    <w:p w:rsidR="00144FA6" w:rsidRDefault="00744A1C" w:rsidP="00584909">
      <w:pPr>
        <w:pStyle w:val="libNormal"/>
        <w:rPr>
          <w:rtl/>
          <w:lang w:bidi="fa-IR"/>
        </w:rPr>
      </w:pPr>
      <w:r>
        <w:rPr>
          <w:rtl/>
          <w:lang w:bidi="fa-IR"/>
        </w:rPr>
        <w:t xml:space="preserve">قَالَ </w:t>
      </w:r>
      <w:r w:rsidRPr="00D10E3C">
        <w:rPr>
          <w:rStyle w:val="libFootnotenumChar"/>
          <w:rtl/>
        </w:rPr>
        <w:t>(3)</w:t>
      </w:r>
      <w:r>
        <w:rPr>
          <w:rtl/>
          <w:lang w:bidi="fa-IR"/>
        </w:rPr>
        <w:t xml:space="preserve"> : « بَلْ رَاكِباً ؛ فَإِنَّ رَسُولَ اللهِ </w:t>
      </w:r>
      <w:r w:rsidR="00584909" w:rsidRPr="0017097C">
        <w:rPr>
          <w:rStyle w:val="libAlaemChar"/>
          <w:rtl/>
        </w:rPr>
        <w:t>صلى‌الله‌عليه‌وآله</w:t>
      </w:r>
      <w:r w:rsidR="00D10E3C">
        <w:rPr>
          <w:rtl/>
          <w:lang w:bidi="fa-IR"/>
        </w:rPr>
        <w:t xml:space="preserve"> </w:t>
      </w:r>
      <w:r>
        <w:rPr>
          <w:rtl/>
          <w:lang w:bidi="fa-IR"/>
        </w:rPr>
        <w:t xml:space="preserve">حَجَّ رَاكِباً ». </w:t>
      </w:r>
      <w:r w:rsidRPr="00D10E3C">
        <w:rPr>
          <w:rStyle w:val="libFootnotenumChar"/>
          <w:rtl/>
        </w:rPr>
        <w:t>(4)</w:t>
      </w:r>
    </w:p>
    <w:p w:rsidR="00144FA6" w:rsidRDefault="00744A1C" w:rsidP="00744A1C">
      <w:pPr>
        <w:pStyle w:val="libNormal"/>
        <w:rPr>
          <w:rtl/>
          <w:lang w:bidi="fa-IR"/>
        </w:rPr>
      </w:pPr>
      <w:r>
        <w:rPr>
          <w:rtl/>
          <w:lang w:bidi="fa-IR"/>
        </w:rPr>
        <w:t xml:space="preserve">7717 / 5. عِدَّةٌ مِنْ أَصْحَابِنَا ، عَنْ أَحْمَدَ بْنِ مُحَمَّدٍ ، عَنِ الْحُسَيْنِ بْنِ سَعِيدٍ ، عَنْ فَضَالَةَ بْنِ أَيُّوبَ </w:t>
      </w:r>
      <w:r w:rsidRPr="00D10E3C">
        <w:rPr>
          <w:rStyle w:val="libFootnotenumChar"/>
          <w:rtl/>
        </w:rPr>
        <w:t>(5)</w:t>
      </w:r>
      <w:r>
        <w:rPr>
          <w:rtl/>
          <w:lang w:bidi="fa-IR"/>
        </w:rPr>
        <w:t xml:space="preserve"> ، عَنْ رِفَاعَةَ ، قَالَ :</w:t>
      </w:r>
    </w:p>
    <w:p w:rsidR="00744A1C" w:rsidRDefault="00744A1C" w:rsidP="00516901">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مَشْيِ الْحَسَنِ </w:t>
      </w:r>
      <w:r w:rsidR="00516901" w:rsidRPr="0061079A">
        <w:rPr>
          <w:rStyle w:val="libAlaemChar"/>
          <w:rtl/>
        </w:rPr>
        <w:t>عليه‌السلام</w:t>
      </w:r>
      <w:r>
        <w:rPr>
          <w:rtl/>
          <w:lang w:bidi="fa-IR"/>
        </w:rPr>
        <w:t xml:space="preserve">: مِنْ مَكَّةَ ، أَوْ مِنَ الْمَدِينَةِ؟ قَالَ </w:t>
      </w:r>
      <w:r w:rsidRPr="00D10E3C">
        <w:rPr>
          <w:rStyle w:val="libFootnotenumChar"/>
          <w:rtl/>
        </w:rPr>
        <w:t>(6)</w:t>
      </w:r>
      <w:r>
        <w:rPr>
          <w:rtl/>
          <w:lang w:bidi="fa-IR"/>
        </w:rPr>
        <w:t xml:space="preserve"> : « مِنْ مَكَّةَ ».</w:t>
      </w:r>
    </w:p>
    <w:p w:rsidR="00744A1C" w:rsidRDefault="00744A1C" w:rsidP="00744A1C">
      <w:pPr>
        <w:pStyle w:val="libNormal"/>
        <w:rPr>
          <w:lang w:bidi="fa-IR"/>
        </w:rPr>
      </w:pPr>
      <w:r>
        <w:rPr>
          <w:rtl/>
          <w:lang w:bidi="fa-IR"/>
        </w:rPr>
        <w:t xml:space="preserve">وَسَأَلْتُهُ : إِذَا زُرْتُ الْبَيْتَ ، أَرْكَبُ أَوْ أَمْشِي </w:t>
      </w:r>
      <w:r w:rsidRPr="00D10E3C">
        <w:rPr>
          <w:rStyle w:val="libFootnotenumChar"/>
          <w:rtl/>
        </w:rPr>
        <w:t>(7)</w:t>
      </w:r>
      <w:r>
        <w:rPr>
          <w:rtl/>
          <w:lang w:bidi="fa-IR"/>
        </w:rPr>
        <w:t xml:space="preserve">؟ فَقَالَ : « كَانَ الْحَسَنُ </w:t>
      </w:r>
      <w:r w:rsidR="0061079A" w:rsidRPr="0061079A">
        <w:rPr>
          <w:rStyle w:val="libAlaemChar"/>
          <w:rtl/>
        </w:rPr>
        <w:t>عليه‌السلام</w:t>
      </w:r>
      <w:r w:rsidR="00D10E3C">
        <w:rPr>
          <w:rtl/>
          <w:lang w:bidi="fa-IR"/>
        </w:rPr>
        <w:t xml:space="preserve"> </w:t>
      </w:r>
      <w:r>
        <w:rPr>
          <w:rtl/>
          <w:lang w:bidi="fa-IR"/>
        </w:rPr>
        <w:t>يَزُورُ رَاكِباً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جد » : « أم الركوب ».</w:t>
      </w:r>
    </w:p>
    <w:p w:rsidR="00744A1C" w:rsidRDefault="00E378DD" w:rsidP="00E378DD">
      <w:pPr>
        <w:pStyle w:val="libFootnote0"/>
        <w:rPr>
          <w:lang w:bidi="fa-IR"/>
        </w:rPr>
      </w:pPr>
      <w:r>
        <w:rPr>
          <w:rtl/>
          <w:lang w:bidi="fa-IR"/>
        </w:rPr>
        <w:t>(2).</w:t>
      </w:r>
      <w:r w:rsidR="00744A1C">
        <w:rPr>
          <w:rtl/>
          <w:lang w:bidi="fa-IR"/>
        </w:rPr>
        <w:t xml:space="preserve"> </w:t>
      </w:r>
      <w:r w:rsidR="00744A1C" w:rsidRPr="003A7143">
        <w:rPr>
          <w:rStyle w:val="libFootnoteBoldChar"/>
          <w:rtl/>
        </w:rPr>
        <w:t>علل الشرائع</w:t>
      </w:r>
      <w:r w:rsidR="00744A1C">
        <w:rPr>
          <w:rtl/>
          <w:lang w:bidi="fa-IR"/>
        </w:rPr>
        <w:t xml:space="preserve"> ، ج 2 ، ص 447 ، ح 5 ، بسنده عن أحمد بن أبي عبدالله الكوفي ، عن سهل بن زياد ، عن أحمد بن محمّد بن أبي نصر ، عن عليّ بن أبي حمزة. </w:t>
      </w:r>
      <w:r w:rsidR="00744A1C" w:rsidRPr="00C24F9C">
        <w:rPr>
          <w:rStyle w:val="libFootnoteBoldChar"/>
          <w:rtl/>
        </w:rPr>
        <w:t>الفقيه</w:t>
      </w:r>
      <w:r w:rsidR="00744A1C">
        <w:rPr>
          <w:rtl/>
          <w:lang w:bidi="fa-IR"/>
        </w:rPr>
        <w:t xml:space="preserve"> ، ج 2 ، ص 219 ، ح 2218 ، معلّقاً عن أبي بصير </w:t>
      </w:r>
      <w:r w:rsidR="00F112A7">
        <w:rPr>
          <w:rFonts w:hint="cs"/>
          <w:rtl/>
          <w:lang w:bidi="fa-IR"/>
        </w:rPr>
        <w:t>.</w:t>
      </w:r>
      <w:r w:rsidR="00744A1C" w:rsidRPr="00C24F9C">
        <w:rPr>
          <w:rStyle w:val="libFootnoteBoldChar"/>
          <w:rtl/>
        </w:rPr>
        <w:t>الوافي</w:t>
      </w:r>
      <w:r w:rsidR="00744A1C">
        <w:rPr>
          <w:rtl/>
          <w:lang w:bidi="fa-IR"/>
        </w:rPr>
        <w:t xml:space="preserve"> ، ج 12 ، ص 411 ، ح 12208 ؛ </w:t>
      </w:r>
      <w:r w:rsidR="00744A1C" w:rsidRPr="00C24F9C">
        <w:rPr>
          <w:rStyle w:val="libFootnoteBoldChar"/>
          <w:rtl/>
        </w:rPr>
        <w:t>الوسائل</w:t>
      </w:r>
      <w:r w:rsidR="00744A1C">
        <w:rPr>
          <w:rtl/>
          <w:lang w:bidi="fa-IR"/>
        </w:rPr>
        <w:t xml:space="preserve"> ، ج 11 ، ص 85 ، ذيل ح 14304.</w:t>
      </w:r>
    </w:p>
    <w:p w:rsidR="00744A1C" w:rsidRDefault="00E378DD" w:rsidP="00E378DD">
      <w:pPr>
        <w:pStyle w:val="libFootnote0"/>
        <w:rPr>
          <w:lang w:bidi="fa-IR"/>
        </w:rPr>
      </w:pPr>
      <w:r>
        <w:rPr>
          <w:rtl/>
          <w:lang w:bidi="fa-IR"/>
        </w:rPr>
        <w:t>(3).</w:t>
      </w:r>
      <w:r w:rsidR="00744A1C">
        <w:rPr>
          <w:rtl/>
          <w:lang w:bidi="fa-IR"/>
        </w:rPr>
        <w:t xml:space="preserve"> في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فقال ». وفي « بح ، بس » وحاشية « جد » : + « قال ».</w:t>
      </w:r>
    </w:p>
    <w:p w:rsidR="00744A1C" w:rsidRDefault="00E378DD" w:rsidP="00E378DD">
      <w:pPr>
        <w:pStyle w:val="libFootnote0"/>
        <w:rPr>
          <w:lang w:bidi="fa-IR"/>
        </w:rPr>
      </w:pPr>
      <w:r>
        <w:rPr>
          <w:rtl/>
          <w:lang w:bidi="fa-IR"/>
        </w:rPr>
        <w:t>(4).</w:t>
      </w:r>
      <w:r w:rsidR="00744A1C">
        <w:rPr>
          <w:rtl/>
          <w:lang w:bidi="fa-IR"/>
        </w:rPr>
        <w:t xml:space="preserve"> </w:t>
      </w:r>
      <w:r w:rsidR="00744A1C" w:rsidRPr="003A7143">
        <w:rPr>
          <w:rStyle w:val="libFootnoteBoldChar"/>
          <w:rtl/>
        </w:rPr>
        <w:t>علل الشرائع</w:t>
      </w:r>
      <w:r w:rsidR="00744A1C">
        <w:rPr>
          <w:rtl/>
          <w:lang w:bidi="fa-IR"/>
        </w:rPr>
        <w:t xml:space="preserve"> ، ص 446 ، ح 1 ، بسنده عن عليّ بن إبراهيم. </w:t>
      </w:r>
      <w:r w:rsidR="00744A1C" w:rsidRPr="00C24F9C">
        <w:rPr>
          <w:rStyle w:val="libFootnoteBoldChar"/>
          <w:rtl/>
        </w:rPr>
        <w:t>التهذيب</w:t>
      </w:r>
      <w:r w:rsidR="00744A1C">
        <w:rPr>
          <w:rtl/>
          <w:lang w:bidi="fa-IR"/>
        </w:rPr>
        <w:t xml:space="preserve"> ، ج 5 ، ص 478 ، ح 1691 ، بسنده عن ابن أبي عمير. الاستبصار ، ج 2 ، ص 142 ، ح 463 ، بسنده عن رفاعة. </w:t>
      </w:r>
      <w:r w:rsidR="00744A1C" w:rsidRPr="00C24F9C">
        <w:rPr>
          <w:rStyle w:val="libFootnoteBoldChar"/>
          <w:rtl/>
        </w:rPr>
        <w:t>الفقيه</w:t>
      </w:r>
      <w:r w:rsidR="00744A1C">
        <w:rPr>
          <w:rtl/>
          <w:lang w:bidi="fa-IR"/>
        </w:rPr>
        <w:t xml:space="preserve"> ، ج 2 ، ص 218 ، ح 2217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مع اختلاف يسير </w:t>
      </w:r>
      <w:r w:rsidR="00F112A7">
        <w:rPr>
          <w:rFonts w:hint="cs"/>
          <w:rtl/>
          <w:lang w:bidi="fa-IR"/>
        </w:rPr>
        <w:t>.</w:t>
      </w:r>
      <w:r w:rsidR="00744A1C" w:rsidRPr="00C24F9C">
        <w:rPr>
          <w:rStyle w:val="libFootnoteBoldChar"/>
          <w:rtl/>
        </w:rPr>
        <w:t>الوافي</w:t>
      </w:r>
      <w:r w:rsidR="00744A1C">
        <w:rPr>
          <w:rtl/>
          <w:lang w:bidi="fa-IR"/>
        </w:rPr>
        <w:t xml:space="preserve"> ، ج 12 ، ص 409 ، ح 12201 ؛ </w:t>
      </w:r>
      <w:r w:rsidR="00744A1C" w:rsidRPr="00C24F9C">
        <w:rPr>
          <w:rStyle w:val="libFootnoteBoldChar"/>
          <w:rtl/>
        </w:rPr>
        <w:t>الوسائل</w:t>
      </w:r>
      <w:r w:rsidR="00744A1C">
        <w:rPr>
          <w:rtl/>
          <w:lang w:bidi="fa-IR"/>
        </w:rPr>
        <w:t xml:space="preserve"> ، ج 11 ، ص 82 ، ذيل ح 14298.</w:t>
      </w:r>
    </w:p>
    <w:p w:rsidR="00744A1C" w:rsidRDefault="00E378DD" w:rsidP="00E378DD">
      <w:pPr>
        <w:pStyle w:val="libFootnote0"/>
        <w:rPr>
          <w:lang w:bidi="fa-IR"/>
        </w:rPr>
      </w:pPr>
      <w:r>
        <w:rPr>
          <w:rtl/>
          <w:lang w:bidi="fa-IR"/>
        </w:rPr>
        <w:t>(5).</w:t>
      </w:r>
      <w:r w:rsidR="00744A1C">
        <w:rPr>
          <w:rtl/>
          <w:lang w:bidi="fa-IR"/>
        </w:rPr>
        <w:t xml:space="preserve"> في « بف ، جر » : - « بن أيّوب ».</w:t>
      </w:r>
    </w:p>
    <w:p w:rsidR="00744A1C" w:rsidRDefault="00E378DD" w:rsidP="00E378DD">
      <w:pPr>
        <w:pStyle w:val="libFootnote0"/>
        <w:rPr>
          <w:lang w:bidi="fa-IR"/>
        </w:rPr>
      </w:pPr>
      <w:r>
        <w:rPr>
          <w:rtl/>
          <w:lang w:bidi="fa-IR"/>
        </w:rPr>
        <w:t>(6).</w:t>
      </w:r>
      <w:r w:rsidR="00744A1C">
        <w:rPr>
          <w:rtl/>
          <w:lang w:bidi="fa-IR"/>
        </w:rPr>
        <w:t xml:space="preserve"> في « بخ ، بف ، جد » : « فقال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معنى السؤال الأوّل أنّ مشي الحسن </w:t>
      </w:r>
      <w:r w:rsidR="0061079A" w:rsidRPr="0061079A">
        <w:rPr>
          <w:rStyle w:val="libFootnoteAlaemChar"/>
          <w:rtl/>
        </w:rPr>
        <w:t>عليه‌السلام</w:t>
      </w:r>
      <w:r w:rsidR="00D10E3C">
        <w:rPr>
          <w:rtl/>
          <w:lang w:bidi="fa-IR"/>
        </w:rPr>
        <w:t xml:space="preserve"> </w:t>
      </w:r>
      <w:r w:rsidR="00744A1C">
        <w:rPr>
          <w:rtl/>
          <w:lang w:bidi="fa-IR"/>
        </w:rPr>
        <w:t>للحجّ هل كان من مكّة إلى منى وعرفات ، أو من المدينة إلى مكّة؟ ومعنى السؤال الثاني أنّه بعد ما فرغ من مناسك منى وأراد طواف الزيارة ، فهل الأفضل أن يركب من منى إلى مكّة ، أو يمشي إليها؟ ».</w:t>
      </w:r>
    </w:p>
    <w:p w:rsidR="00744A1C" w:rsidRDefault="00744A1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وَ</w:t>
      </w:r>
      <w:r w:rsidR="00F112A7">
        <w:rPr>
          <w:rFonts w:hint="cs"/>
          <w:rtl/>
          <w:lang w:bidi="fa-IR"/>
        </w:rPr>
        <w:t xml:space="preserve"> </w:t>
      </w:r>
      <w:r>
        <w:rPr>
          <w:rtl/>
          <w:lang w:bidi="fa-IR"/>
        </w:rPr>
        <w:t xml:space="preserve">سَأَلْتُهُ عَنِ </w:t>
      </w:r>
      <w:r w:rsidRPr="00D10E3C">
        <w:rPr>
          <w:rStyle w:val="libFootnotenumChar"/>
          <w:rtl/>
        </w:rPr>
        <w:t>(1)</w:t>
      </w:r>
      <w:r>
        <w:rPr>
          <w:rtl/>
          <w:lang w:bidi="fa-IR"/>
        </w:rPr>
        <w:t xml:space="preserve"> الرُّكُوبُ أَفْضَلُ ، أَوِ الْمَشْيُ؟ فَقَالَ : « الرُّكُوبُ ».</w:t>
      </w:r>
    </w:p>
    <w:p w:rsidR="00144FA6" w:rsidRDefault="00744A1C" w:rsidP="00744A1C">
      <w:pPr>
        <w:pStyle w:val="libNormal"/>
        <w:rPr>
          <w:rtl/>
          <w:lang w:bidi="fa-IR"/>
        </w:rPr>
      </w:pPr>
      <w:r>
        <w:rPr>
          <w:rtl/>
          <w:lang w:bidi="fa-IR"/>
        </w:rPr>
        <w:t xml:space="preserve">قُلْتُ : الرُّكُوبُ أَفْضَلُ مِنَ الْمَشْيِ؟! فَقَالَ </w:t>
      </w:r>
      <w:r w:rsidRPr="00D10E3C">
        <w:rPr>
          <w:rStyle w:val="libFootnotenumChar"/>
          <w:rtl/>
        </w:rPr>
        <w:t>(2)</w:t>
      </w:r>
      <w:r>
        <w:rPr>
          <w:rtl/>
          <w:lang w:bidi="fa-IR"/>
        </w:rPr>
        <w:t xml:space="preserve"> : « نَعَمْ ؛ لِأَنَّ رَسُولَ اللهِ </w:t>
      </w:r>
      <w:r w:rsidR="0017097C" w:rsidRPr="0017097C">
        <w:rPr>
          <w:rStyle w:val="libAlaemChar"/>
          <w:rtl/>
        </w:rPr>
        <w:t>صلى‌الله‌عليه‌وآله</w:t>
      </w:r>
      <w:r>
        <w:rPr>
          <w:rtl/>
          <w:lang w:bidi="fa-IR"/>
        </w:rPr>
        <w:t xml:space="preserve"> رَكِبَ ». </w:t>
      </w:r>
      <w:r w:rsidRPr="00D10E3C">
        <w:rPr>
          <w:rStyle w:val="libFootnotenumChar"/>
          <w:rtl/>
        </w:rPr>
        <w:t>(3)</w:t>
      </w:r>
    </w:p>
    <w:p w:rsidR="00144FA6" w:rsidRDefault="00744A1C" w:rsidP="00744A1C">
      <w:pPr>
        <w:pStyle w:val="libNormal"/>
        <w:rPr>
          <w:rtl/>
          <w:lang w:bidi="fa-IR"/>
        </w:rPr>
      </w:pPr>
      <w:r>
        <w:rPr>
          <w:rtl/>
          <w:lang w:bidi="fa-IR"/>
        </w:rPr>
        <w:t>7718 / 6. مُحَمَّدُ بْنُ يَحْيى ، عَنْ أَحْمَدَ بْنِ مُحَمَّدٍ ، عَنْ عَلِيِّ بْنِ الْحَكَمِ ، عَنْ عَلِيِّ بْنِ أَبِي حَمْزَةَ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سَأَلْتُهُ : مَتى يَنْقَطِعُ مَشْيُ الْمَاشِي؟</w:t>
      </w:r>
    </w:p>
    <w:p w:rsidR="00144FA6" w:rsidRDefault="00744A1C" w:rsidP="00744A1C">
      <w:pPr>
        <w:pStyle w:val="libNormal"/>
        <w:rPr>
          <w:rtl/>
          <w:lang w:bidi="fa-IR"/>
        </w:rPr>
      </w:pPr>
      <w:r>
        <w:rPr>
          <w:rtl/>
          <w:lang w:bidi="fa-IR"/>
        </w:rPr>
        <w:t xml:space="preserve">قَالَ : « إِذَا رَمى جَمْرَةَ الْعَقَبَةِ ، وَحَلَقَ رَأْسَهُ ، فَقَدِ انْقَطَعَ مَشْيُهُ ، فَلْيَزُرْ رَاكِباً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7719 / 7. مُحَمَّدُ بْنُ يَحْيى ، عَنْ أَحْمَدَ بْنِ مُحَمَّدٍ ، عَنْ إِسْمَاعِيلَ بْنِ هَمَّامٍ :</w:t>
      </w:r>
    </w:p>
    <w:p w:rsidR="00144FA6" w:rsidRDefault="00744A1C" w:rsidP="00744A1C">
      <w:pPr>
        <w:pStyle w:val="libNormal"/>
        <w:rPr>
          <w:rtl/>
          <w:lang w:bidi="fa-IR"/>
        </w:rPr>
      </w:pPr>
      <w:r>
        <w:rPr>
          <w:rtl/>
          <w:lang w:bidi="fa-IR"/>
        </w:rPr>
        <w:t xml:space="preserve">عَنْ أَبِي الْحَسَنِ الرِّضَا </w:t>
      </w:r>
      <w:r w:rsidR="0061079A" w:rsidRPr="0061079A">
        <w:rPr>
          <w:rStyle w:val="libAlaemChar"/>
          <w:rtl/>
        </w:rPr>
        <w:t>عليه‌السلام</w:t>
      </w:r>
      <w:r w:rsidR="00D10E3C">
        <w:rPr>
          <w:rtl/>
          <w:lang w:bidi="fa-IR"/>
        </w:rPr>
        <w:t xml:space="preserve"> </w:t>
      </w:r>
      <w:r>
        <w:rPr>
          <w:rtl/>
          <w:lang w:bidi="fa-IR"/>
        </w:rPr>
        <w:t xml:space="preserve">، قَالَ : « قَالَ أَبُو عَبْدِ اللهِ </w:t>
      </w:r>
      <w:r w:rsidR="0061079A" w:rsidRPr="0061079A">
        <w:rPr>
          <w:rStyle w:val="libAlaemChar"/>
          <w:rtl/>
        </w:rPr>
        <w:t>عليه‌السلام</w:t>
      </w:r>
      <w:r w:rsidR="00D10E3C">
        <w:rPr>
          <w:rtl/>
          <w:lang w:bidi="fa-IR"/>
        </w:rPr>
        <w:t xml:space="preserve"> </w:t>
      </w:r>
      <w:r>
        <w:rPr>
          <w:rtl/>
          <w:lang w:bidi="fa-IR"/>
        </w:rPr>
        <w:t xml:space="preserve">فِي الَّذِي عَلَيْهِ الْمَشْيُ فِي الْحَجِّ : إِذَا رَمَى الْجِمَارَ </w:t>
      </w:r>
      <w:r w:rsidRPr="00D10E3C">
        <w:rPr>
          <w:rStyle w:val="libFootnotenumChar"/>
          <w:rtl/>
        </w:rPr>
        <w:t>(6)</w:t>
      </w:r>
      <w:r>
        <w:rPr>
          <w:rtl/>
          <w:lang w:bidi="fa-IR"/>
        </w:rPr>
        <w:t xml:space="preserve"> زَارَ الْبَيْتَ رَاكِباً </w:t>
      </w:r>
      <w:r w:rsidRPr="00D10E3C">
        <w:rPr>
          <w:rStyle w:val="libFootnotenumChar"/>
          <w:rtl/>
        </w:rPr>
        <w:t>(7)</w:t>
      </w:r>
      <w:r>
        <w:rPr>
          <w:rtl/>
          <w:lang w:bidi="fa-IR"/>
        </w:rPr>
        <w:t xml:space="preserve"> ، وَلَيْسَ عَلَيْهِ شَيْ‌ءٌ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و</w:t>
      </w:r>
      <w:r w:rsidR="00744A1C" w:rsidRPr="00C24F9C">
        <w:rPr>
          <w:rStyle w:val="libFootnoteBoldChar"/>
          <w:rtl/>
        </w:rPr>
        <w:t>الوافي</w:t>
      </w:r>
      <w:r w:rsidR="00744A1C">
        <w:rPr>
          <w:rtl/>
          <w:lang w:bidi="fa-IR"/>
        </w:rPr>
        <w:t xml:space="preserve"> : - « عن ».</w:t>
      </w:r>
    </w:p>
    <w:p w:rsidR="00744A1C" w:rsidRDefault="00E378DD" w:rsidP="00E378DD">
      <w:pPr>
        <w:pStyle w:val="libFootnote0"/>
        <w:rPr>
          <w:lang w:bidi="fa-IR"/>
        </w:rPr>
      </w:pPr>
      <w:r>
        <w:rPr>
          <w:rtl/>
          <w:lang w:bidi="fa-IR"/>
        </w:rPr>
        <w:t>(2).</w:t>
      </w:r>
      <w:r w:rsidR="00744A1C">
        <w:rPr>
          <w:rtl/>
          <w:lang w:bidi="fa-IR"/>
        </w:rPr>
        <w:t xml:space="preserve"> في « بخ ، بس » : « قال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12 ، ص 408 ، ح 12200 ؛ </w:t>
      </w:r>
      <w:r w:rsidR="00744A1C" w:rsidRPr="00C24F9C">
        <w:rPr>
          <w:rStyle w:val="libFootnoteBoldChar"/>
          <w:rtl/>
        </w:rPr>
        <w:t>الوسائل</w:t>
      </w:r>
      <w:r w:rsidR="00744A1C">
        <w:rPr>
          <w:rtl/>
          <w:lang w:bidi="fa-IR"/>
        </w:rPr>
        <w:t xml:space="preserve"> ، ج 11 ، ص 81 ، ذيل ح 14295.</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يدلّ على انقطاع مشي من نذر المشي بالحلق ، ويجوز له العود إلى مكّة لطواف الزيارة راكباً ، وهو خلاف المشهور بين الأصحاب ، والظاهر أنّه مختار المصنّف ، ويظهر من الصدوق في </w:t>
      </w:r>
      <w:r w:rsidR="00744A1C" w:rsidRPr="00C24F9C">
        <w:rPr>
          <w:rStyle w:val="libFootnoteBoldChar"/>
          <w:rtl/>
        </w:rPr>
        <w:t>الفقيه</w:t>
      </w:r>
      <w:r w:rsidR="00744A1C">
        <w:rPr>
          <w:rtl/>
          <w:lang w:bidi="fa-IR"/>
        </w:rPr>
        <w:t xml:space="preserve"> أيضاً اختياره ».</w:t>
      </w:r>
    </w:p>
    <w:p w:rsidR="00744A1C" w:rsidRDefault="00E378DD" w:rsidP="00E378DD">
      <w:pPr>
        <w:pStyle w:val="libFootnote0"/>
        <w:rPr>
          <w:lang w:bidi="fa-IR"/>
        </w:rPr>
      </w:pPr>
      <w:r>
        <w:rPr>
          <w:rtl/>
          <w:lang w:bidi="fa-IR"/>
        </w:rPr>
        <w:t>(5).</w:t>
      </w:r>
      <w:r w:rsidR="00744A1C">
        <w:rPr>
          <w:rtl/>
          <w:lang w:bidi="fa-IR"/>
        </w:rPr>
        <w:t xml:space="preserve"> </w:t>
      </w:r>
      <w:r w:rsidR="00744A1C" w:rsidRPr="00877682">
        <w:rPr>
          <w:rStyle w:val="libFootnoteBoldChar"/>
          <w:rtl/>
        </w:rPr>
        <w:t>قرب الإسناد</w:t>
      </w:r>
      <w:r w:rsidR="00744A1C">
        <w:rPr>
          <w:rtl/>
          <w:lang w:bidi="fa-IR"/>
        </w:rPr>
        <w:t xml:space="preserve"> ، ص 161 ، ح 588 ، بسند آخر وتمام الرواية : « متى ينقطع مشي الماشي قال : إذا أفضت من عرفات » </w:t>
      </w:r>
      <w:r w:rsidR="00F112A7">
        <w:rPr>
          <w:rFonts w:hint="cs"/>
          <w:rtl/>
          <w:lang w:bidi="fa-IR"/>
        </w:rPr>
        <w:t>.</w:t>
      </w:r>
      <w:r w:rsidR="00744A1C" w:rsidRPr="00C24F9C">
        <w:rPr>
          <w:rStyle w:val="libFootnoteBoldChar"/>
          <w:rtl/>
        </w:rPr>
        <w:t>الوافي</w:t>
      </w:r>
      <w:r w:rsidR="00744A1C">
        <w:rPr>
          <w:rtl/>
          <w:lang w:bidi="fa-IR"/>
        </w:rPr>
        <w:t xml:space="preserve"> ، ج 12 ، ص 412 ، ح 12211 ؛ </w:t>
      </w:r>
      <w:r w:rsidR="00744A1C" w:rsidRPr="00C24F9C">
        <w:rPr>
          <w:rStyle w:val="libFootnoteBoldChar"/>
          <w:rtl/>
        </w:rPr>
        <w:t>الوسائل</w:t>
      </w:r>
      <w:r w:rsidR="00744A1C">
        <w:rPr>
          <w:rtl/>
          <w:lang w:bidi="fa-IR"/>
        </w:rPr>
        <w:t xml:space="preserve"> ، ج 11 ، ص 90 ، ح 14321.</w:t>
      </w:r>
    </w:p>
    <w:p w:rsidR="00744A1C" w:rsidRDefault="00E378DD" w:rsidP="00E378DD">
      <w:pPr>
        <w:pStyle w:val="libFootnote0"/>
        <w:rPr>
          <w:lang w:bidi="fa-IR"/>
        </w:rPr>
      </w:pPr>
      <w:r>
        <w:rPr>
          <w:rtl/>
          <w:lang w:bidi="fa-IR"/>
        </w:rPr>
        <w:t>(6).</w:t>
      </w:r>
      <w:r w:rsidR="00744A1C">
        <w:rPr>
          <w:rtl/>
          <w:lang w:bidi="fa-IR"/>
        </w:rPr>
        <w:t xml:space="preserve"> في « بخ » و</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 « الجمرة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زار البيت راكباً ، هذا يحتمل أمرين : أحدهما : إرادة زيارة البيت لطواف الحجّ ؛ لأنّه المعروف بطواف الزيارة ، وهذا يخالف القولين معاً ، فيلزم إطراحهما. والثاني : أن يحمل رمي الجمار على الجميع ، ويحمل زيارة البيت على معناه اللغوي ، أو على طواف الوداع ونحوها ، وهذا هو الأظهر. كذا ذكره الشهيد الثاني </w:t>
      </w:r>
      <w:r w:rsidR="00877682" w:rsidRPr="00877682">
        <w:rPr>
          <w:rStyle w:val="libFootnoteAlaemChar"/>
          <w:rtl/>
        </w:rPr>
        <w:t>رحمه‌الله</w:t>
      </w:r>
      <w:r w:rsidR="00F112A7" w:rsidRPr="00F112A7">
        <w:rPr>
          <w:rFonts w:hint="cs"/>
          <w:rtl/>
        </w:rPr>
        <w:t xml:space="preserve"> </w:t>
      </w:r>
      <w:r w:rsidR="00744A1C">
        <w:rPr>
          <w:rtl/>
          <w:lang w:bidi="fa-IR"/>
        </w:rPr>
        <w:t xml:space="preserve">في حواشي </w:t>
      </w:r>
      <w:r w:rsidR="00744A1C" w:rsidRPr="00877682">
        <w:rPr>
          <w:rStyle w:val="libFootnoteBoldChar"/>
          <w:rtl/>
        </w:rPr>
        <w:t>شرح اللمعة</w:t>
      </w:r>
      <w:r w:rsidR="00744A1C">
        <w:rPr>
          <w:rtl/>
          <w:lang w:bidi="fa-IR"/>
        </w:rPr>
        <w:t xml:space="preserve"> ، وقال : في الأصل القولان : أحدهما : أنّ آخره منتهى أفعاله الواجبة ، وهي رمي الجمار. والآخر ، وهو المشهور : أنّ آخره طواف النساء ». وراجع : الروضة البهيّة ، ج 2 ، ص 181.</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2 ، ص 391 ، ح 2790 ، بسنده عن إسماعيل بن همّام المكّي ، عن أبي الحسن الرضا ، عن أبيه </w:t>
      </w:r>
      <w:r w:rsidR="00F112A7" w:rsidRPr="00CE5A92">
        <w:rPr>
          <w:rStyle w:val="libFootnoteAlaemChar"/>
          <w:rtl/>
        </w:rPr>
        <w:t>عليهما‌السلام</w:t>
      </w:r>
      <w:r w:rsidR="00AA1076" w:rsidRPr="00AA1076">
        <w:rPr>
          <w:rFonts w:hint="cs"/>
          <w:rtl/>
        </w:rPr>
        <w:t xml:space="preserve"> </w:t>
      </w:r>
      <w:r w:rsidR="00AD31BF">
        <w:rPr>
          <w:rFonts w:hint="cs"/>
          <w:rtl/>
        </w:rPr>
        <w:t>.</w:t>
      </w:r>
      <w:r w:rsidR="00744A1C" w:rsidRPr="00C24F9C">
        <w:rPr>
          <w:rStyle w:val="libFootnoteBoldChar"/>
          <w:rtl/>
        </w:rPr>
        <w:t>الوافي</w:t>
      </w:r>
      <w:r w:rsidR="00744A1C">
        <w:rPr>
          <w:rtl/>
          <w:lang w:bidi="fa-IR"/>
        </w:rPr>
        <w:t xml:space="preserve"> ، ج 12 ، ص 413 ، ح 12212 ؛ </w:t>
      </w:r>
      <w:r w:rsidR="00744A1C" w:rsidRPr="00C24F9C">
        <w:rPr>
          <w:rStyle w:val="libFootnoteBoldChar"/>
          <w:rtl/>
        </w:rPr>
        <w:t>الوسائل</w:t>
      </w:r>
      <w:r w:rsidR="00744A1C">
        <w:rPr>
          <w:rtl/>
          <w:lang w:bidi="fa-IR"/>
        </w:rPr>
        <w:t xml:space="preserve"> ، ج 11 ، ص 90 ، ح 14320.</w:t>
      </w:r>
    </w:p>
    <w:p w:rsidR="00744A1C" w:rsidRDefault="00744A1C" w:rsidP="00D10E3C">
      <w:pPr>
        <w:pStyle w:val="libNormal"/>
        <w:rPr>
          <w:rtl/>
          <w:lang w:bidi="fa-IR"/>
        </w:rPr>
      </w:pPr>
      <w:r>
        <w:rPr>
          <w:rtl/>
          <w:lang w:bidi="fa-IR"/>
        </w:rPr>
        <w:br w:type="page"/>
      </w:r>
    </w:p>
    <w:p w:rsidR="00744A1C" w:rsidRDefault="00744A1C" w:rsidP="00AD31BF">
      <w:pPr>
        <w:pStyle w:val="Heading2Center"/>
        <w:rPr>
          <w:lang w:bidi="fa-IR"/>
        </w:rPr>
      </w:pPr>
      <w:bookmarkStart w:id="4" w:name="_Toc49261302"/>
      <w:r>
        <w:rPr>
          <w:rtl/>
          <w:lang w:bidi="fa-IR"/>
        </w:rPr>
        <w:lastRenderedPageBreak/>
        <w:t>159 - بَابُ تَقْدِيمِ طَوَافِ الْحَجِّ لِلْمُتَمَتِّعِ قَبْلَ الْخُرُوجِ إِلى مِنًى‌</w:t>
      </w:r>
      <w:bookmarkEnd w:id="4"/>
    </w:p>
    <w:p w:rsidR="00144FA6" w:rsidRDefault="00744A1C" w:rsidP="00744A1C">
      <w:pPr>
        <w:pStyle w:val="libNormal"/>
        <w:rPr>
          <w:rtl/>
          <w:lang w:bidi="fa-IR"/>
        </w:rPr>
      </w:pPr>
      <w:r>
        <w:rPr>
          <w:rtl/>
          <w:lang w:bidi="fa-IR"/>
        </w:rPr>
        <w:t>7720 / 1. أَبُو عَلِيٍّ الْأَشْعَرِيُّ ، عَنْ مُحَمَّدِ بْنِ عَبْدِ الْجَبَّارِ ، عَنْ صَفْوَانَ بْنِ يَحْيى ، عَنْ إِسْحَاقَ بْنِ عَمَّارٍ ، قَالَ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 xml:space="preserve">عَنِ الْمُتَمَتِّعِ إِذَا كَانَ شَيْخاً كَبِيراً ، أَوِ امْرَأَةً تَخَافُ الْحَيْضَ : تُعَجِّلُ </w:t>
      </w:r>
      <w:r w:rsidRPr="00D10E3C">
        <w:rPr>
          <w:rStyle w:val="libFootnotenumChar"/>
          <w:rtl/>
        </w:rPr>
        <w:t>(1)</w:t>
      </w:r>
      <w:r>
        <w:rPr>
          <w:rtl/>
          <w:lang w:bidi="fa-IR"/>
        </w:rPr>
        <w:t xml:space="preserve"> طَوَافَ الْحَجِّ قَبْلَ أَنْ تَأْتِيَ </w:t>
      </w:r>
      <w:r w:rsidRPr="00D10E3C">
        <w:rPr>
          <w:rStyle w:val="libFootnotenumChar"/>
          <w:rtl/>
        </w:rPr>
        <w:t>(2)</w:t>
      </w:r>
      <w:r>
        <w:rPr>
          <w:rtl/>
          <w:lang w:bidi="fa-IR"/>
        </w:rPr>
        <w:t xml:space="preserve"> مِنًى؟</w:t>
      </w:r>
    </w:p>
    <w:p w:rsidR="00744A1C" w:rsidRDefault="00744A1C" w:rsidP="00744A1C">
      <w:pPr>
        <w:pStyle w:val="libNormal"/>
        <w:rPr>
          <w:lang w:bidi="fa-IR"/>
        </w:rPr>
      </w:pPr>
      <w:r>
        <w:rPr>
          <w:rtl/>
          <w:lang w:bidi="fa-IR"/>
        </w:rPr>
        <w:t xml:space="preserve">فَقَالَ : « نَعَمْ ، مَنْ كَانَ هكَذَا يُعَجِّلُ </w:t>
      </w:r>
      <w:r w:rsidRPr="00D10E3C">
        <w:rPr>
          <w:rStyle w:val="libFootnotenumChar"/>
          <w:rtl/>
        </w:rPr>
        <w:t>(3)</w:t>
      </w:r>
      <w:r>
        <w:rPr>
          <w:rtl/>
          <w:lang w:bidi="fa-IR"/>
        </w:rPr>
        <w:t xml:space="preserve"> ».</w:t>
      </w:r>
    </w:p>
    <w:p w:rsidR="00744A1C" w:rsidRDefault="00744A1C" w:rsidP="00744A1C">
      <w:pPr>
        <w:pStyle w:val="libNormal"/>
        <w:rPr>
          <w:lang w:bidi="fa-IR"/>
        </w:rPr>
      </w:pPr>
      <w:r>
        <w:rPr>
          <w:rtl/>
          <w:lang w:bidi="fa-IR"/>
        </w:rPr>
        <w:t xml:space="preserve">قَالَ : وَسَأَلْتُهُ عَنِ الرَّجُلِ </w:t>
      </w:r>
      <w:r w:rsidRPr="00D10E3C">
        <w:rPr>
          <w:rStyle w:val="libFootnotenumChar"/>
          <w:rtl/>
        </w:rPr>
        <w:t>(4)</w:t>
      </w:r>
      <w:r>
        <w:rPr>
          <w:rtl/>
          <w:lang w:bidi="fa-IR"/>
        </w:rPr>
        <w:t xml:space="preserve"> يُحْرِمُ بِالْحَجِّ مِنْ مَكَّةَ ، ثُمَّ يَرَى الْبَيْتَ خَالِياً ، فَيَطُوفُ بِهِ </w:t>
      </w:r>
      <w:r w:rsidRPr="00D10E3C">
        <w:rPr>
          <w:rStyle w:val="libFootnotenumChar"/>
          <w:rtl/>
        </w:rPr>
        <w:t>(5)</w:t>
      </w:r>
      <w:r>
        <w:rPr>
          <w:rtl/>
          <w:lang w:bidi="fa-IR"/>
        </w:rPr>
        <w:t xml:space="preserve"> قَبْلَ أَنْ يَخْرُجَ : عَلَيْهِ شَيْ‌ءٌ؟</w:t>
      </w:r>
    </w:p>
    <w:p w:rsidR="00744A1C" w:rsidRDefault="00744A1C" w:rsidP="00744A1C">
      <w:pPr>
        <w:pStyle w:val="libNormal"/>
        <w:rPr>
          <w:lang w:bidi="fa-IR"/>
        </w:rPr>
      </w:pPr>
      <w:r>
        <w:rPr>
          <w:rtl/>
          <w:lang w:bidi="fa-IR"/>
        </w:rPr>
        <w:t xml:space="preserve">فَقَالَ </w:t>
      </w:r>
      <w:r w:rsidRPr="00D10E3C">
        <w:rPr>
          <w:rStyle w:val="libFootnotenumChar"/>
          <w:rtl/>
        </w:rPr>
        <w:t>(6)</w:t>
      </w:r>
      <w:r>
        <w:rPr>
          <w:rtl/>
          <w:lang w:bidi="fa-IR"/>
        </w:rPr>
        <w:t xml:space="preserve"> : « لَا ».</w:t>
      </w:r>
    </w:p>
    <w:p w:rsidR="00744A1C" w:rsidRDefault="00744A1C" w:rsidP="00744A1C">
      <w:pPr>
        <w:pStyle w:val="libNormal"/>
        <w:rPr>
          <w:lang w:bidi="fa-IR"/>
        </w:rPr>
      </w:pPr>
      <w:r>
        <w:rPr>
          <w:rtl/>
          <w:lang w:bidi="fa-IR"/>
        </w:rPr>
        <w:t xml:space="preserve">قُلْتُ : الْمُفْرِدُ بِالْحَجِّ </w:t>
      </w:r>
      <w:r w:rsidRPr="00D10E3C">
        <w:rPr>
          <w:rStyle w:val="libFootnotenumChar"/>
          <w:rtl/>
        </w:rPr>
        <w:t>(7)</w:t>
      </w:r>
      <w:r>
        <w:rPr>
          <w:rtl/>
          <w:lang w:bidi="fa-IR"/>
        </w:rPr>
        <w:t xml:space="preserve"> إِذَا طَافَ بِالْبَيْتِ وَبِالصَّفَا </w:t>
      </w:r>
      <w:r w:rsidRPr="00D10E3C">
        <w:rPr>
          <w:rStyle w:val="libFootnotenumChar"/>
          <w:rtl/>
        </w:rPr>
        <w:t>(8)</w:t>
      </w:r>
      <w:r>
        <w:rPr>
          <w:rtl/>
          <w:lang w:bidi="fa-IR"/>
        </w:rPr>
        <w:t xml:space="preserve"> وَالْمَرْوَةِ : يُعَجِّلُ </w:t>
      </w:r>
      <w:r w:rsidRPr="00D10E3C">
        <w:rPr>
          <w:rStyle w:val="libFootnotenumChar"/>
          <w:rtl/>
        </w:rPr>
        <w:t>(9)</w:t>
      </w:r>
      <w:r>
        <w:rPr>
          <w:rtl/>
          <w:lang w:bidi="fa-IR"/>
        </w:rPr>
        <w:t xml:space="preserve"> طَوَافَ النِّسَاءِ </w:t>
      </w:r>
      <w:r w:rsidRPr="00D10E3C">
        <w:rPr>
          <w:rStyle w:val="libFootnotenumChar"/>
          <w:rtl/>
        </w:rPr>
        <w:t>(10)</w:t>
      </w:r>
      <w:r>
        <w:rPr>
          <w:rtl/>
          <w:lang w:bidi="fa-IR"/>
        </w:rPr>
        <w:t>؟</w:t>
      </w:r>
    </w:p>
    <w:p w:rsidR="00144FA6" w:rsidRDefault="00744A1C" w:rsidP="00744A1C">
      <w:pPr>
        <w:pStyle w:val="libNormal"/>
        <w:rPr>
          <w:rtl/>
          <w:lang w:bidi="fa-IR"/>
        </w:rPr>
      </w:pPr>
      <w:r>
        <w:rPr>
          <w:rtl/>
          <w:lang w:bidi="fa-IR"/>
        </w:rPr>
        <w:t xml:space="preserve">فَقَالَ </w:t>
      </w:r>
      <w:r w:rsidRPr="00D10E3C">
        <w:rPr>
          <w:rStyle w:val="libFootnotenumChar"/>
          <w:rtl/>
        </w:rPr>
        <w:t>(11)</w:t>
      </w:r>
      <w:r>
        <w:rPr>
          <w:rtl/>
          <w:lang w:bidi="fa-IR"/>
        </w:rPr>
        <w:t xml:space="preserve"> : « لَا ، إِنَّمَا طَوَافُ النِّسَاءِ بَعْدَ مَا يَأْتِي </w:t>
      </w:r>
      <w:r w:rsidRPr="00D10E3C">
        <w:rPr>
          <w:rStyle w:val="libFootnotenumChar"/>
          <w:rtl/>
        </w:rPr>
        <w:t>(12)</w:t>
      </w:r>
      <w:r>
        <w:rPr>
          <w:rtl/>
          <w:lang w:bidi="fa-IR"/>
        </w:rPr>
        <w:t xml:space="preserve"> مِنًى ».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و</w:t>
      </w:r>
      <w:r w:rsidR="00744A1C" w:rsidRPr="00C24F9C">
        <w:rPr>
          <w:rStyle w:val="libFootnoteBoldChar"/>
          <w:rtl/>
        </w:rPr>
        <w:t>الفقيه</w:t>
      </w:r>
      <w:r w:rsidR="00744A1C">
        <w:rPr>
          <w:rtl/>
          <w:lang w:bidi="fa-IR"/>
        </w:rPr>
        <w:t xml:space="preserve"> </w:t>
      </w:r>
      <w:r w:rsidR="00744A1C" w:rsidRPr="00C24F9C">
        <w:rPr>
          <w:rStyle w:val="libFootnoteBoldChar"/>
          <w:rtl/>
        </w:rPr>
        <w:t>والاستبصار</w:t>
      </w:r>
      <w:r w:rsidR="00744A1C">
        <w:rPr>
          <w:rtl/>
          <w:lang w:bidi="fa-IR"/>
        </w:rPr>
        <w:t xml:space="preserve"> ، ح 796 : « يعجّل ».</w:t>
      </w:r>
    </w:p>
    <w:p w:rsidR="00744A1C" w:rsidRDefault="00E378DD" w:rsidP="00E378DD">
      <w:pPr>
        <w:pStyle w:val="libFootnote0"/>
        <w:rPr>
          <w:lang w:bidi="fa-IR"/>
        </w:rPr>
      </w:pPr>
      <w:r>
        <w:rPr>
          <w:rtl/>
          <w:lang w:bidi="fa-IR"/>
        </w:rPr>
        <w:t>(2).</w:t>
      </w:r>
      <w:r w:rsidR="00744A1C">
        <w:rPr>
          <w:rtl/>
          <w:lang w:bidi="fa-IR"/>
        </w:rPr>
        <w:t xml:space="preserve"> في « ى ، بخ ، بف » و</w:t>
      </w:r>
      <w:r w:rsidR="00744A1C" w:rsidRPr="00C24F9C">
        <w:rPr>
          <w:rStyle w:val="libFootnoteBoldChar"/>
          <w:rtl/>
        </w:rPr>
        <w:t>الوافي</w:t>
      </w:r>
      <w:r w:rsidR="00744A1C">
        <w:rPr>
          <w:rtl/>
          <w:lang w:bidi="fa-IR"/>
        </w:rPr>
        <w:t xml:space="preserve"> </w:t>
      </w:r>
      <w:r w:rsidR="00744A1C" w:rsidRPr="00C24F9C">
        <w:rPr>
          <w:rStyle w:val="libFootnoteBoldChar"/>
          <w:rtl/>
        </w:rPr>
        <w:t>والاستبصار</w:t>
      </w:r>
      <w:r w:rsidR="00744A1C">
        <w:rPr>
          <w:rtl/>
          <w:lang w:bidi="fa-IR"/>
        </w:rPr>
        <w:t xml:space="preserve"> ، ح 796 و</w:t>
      </w:r>
      <w:r w:rsidR="00744A1C" w:rsidRPr="00C24F9C">
        <w:rPr>
          <w:rStyle w:val="libFootnoteBoldChar"/>
          <w:rtl/>
        </w:rPr>
        <w:t>الفقيه</w:t>
      </w:r>
      <w:r w:rsidR="00744A1C">
        <w:rPr>
          <w:rtl/>
          <w:lang w:bidi="fa-IR"/>
        </w:rPr>
        <w:t xml:space="preserve"> : « أن يأتي ».</w:t>
      </w:r>
    </w:p>
    <w:tbl>
      <w:tblPr>
        <w:tblStyle w:val="TableGrid"/>
        <w:bidiVisual/>
        <w:tblW w:w="0" w:type="auto"/>
        <w:tblLook w:val="04A0" w:firstRow="1" w:lastRow="0" w:firstColumn="1" w:lastColumn="0" w:noHBand="0" w:noVBand="1"/>
      </w:tblPr>
      <w:tblGrid>
        <w:gridCol w:w="4006"/>
        <w:gridCol w:w="4006"/>
      </w:tblGrid>
      <w:tr w:rsidR="00AD31BF" w:rsidTr="00AD31BF">
        <w:tc>
          <w:tcPr>
            <w:tcW w:w="4006" w:type="dxa"/>
          </w:tcPr>
          <w:p w:rsidR="00AD31BF" w:rsidRDefault="00AD31BF" w:rsidP="00E378DD">
            <w:pPr>
              <w:pStyle w:val="libFootnote0"/>
              <w:rPr>
                <w:rtl/>
                <w:lang w:bidi="fa-IR"/>
              </w:rPr>
            </w:pPr>
            <w:r>
              <w:rPr>
                <w:rtl/>
                <w:lang w:bidi="fa-IR"/>
              </w:rPr>
              <w:t xml:space="preserve">(3). في </w:t>
            </w:r>
            <w:r w:rsidRPr="00C24F9C">
              <w:rPr>
                <w:rStyle w:val="libFootnoteBoldChar"/>
                <w:rtl/>
              </w:rPr>
              <w:t>التهذيب</w:t>
            </w:r>
            <w:r>
              <w:rPr>
                <w:rtl/>
                <w:lang w:bidi="fa-IR"/>
              </w:rPr>
              <w:t xml:space="preserve"> ، ح 432 : « يعجّله ».</w:t>
            </w:r>
          </w:p>
        </w:tc>
        <w:tc>
          <w:tcPr>
            <w:tcW w:w="4006" w:type="dxa"/>
          </w:tcPr>
          <w:p w:rsidR="00AD31BF" w:rsidRDefault="00AD31BF" w:rsidP="00E378DD">
            <w:pPr>
              <w:pStyle w:val="libFootnote0"/>
              <w:rPr>
                <w:rtl/>
                <w:lang w:bidi="fa-IR"/>
              </w:rPr>
            </w:pPr>
            <w:r>
              <w:rPr>
                <w:rtl/>
                <w:lang w:bidi="fa-IR"/>
              </w:rPr>
              <w:t>(4). في « بف » و</w:t>
            </w:r>
            <w:r w:rsidRPr="00C24F9C">
              <w:rPr>
                <w:rStyle w:val="libFootnoteBoldChar"/>
                <w:rtl/>
              </w:rPr>
              <w:t>الوافي</w:t>
            </w:r>
            <w:r>
              <w:rPr>
                <w:rtl/>
                <w:lang w:bidi="fa-IR"/>
              </w:rPr>
              <w:t xml:space="preserve"> و</w:t>
            </w:r>
            <w:r w:rsidRPr="00C24F9C">
              <w:rPr>
                <w:rStyle w:val="libFootnoteBoldChar"/>
                <w:rtl/>
              </w:rPr>
              <w:t>الفقيه</w:t>
            </w:r>
            <w:r>
              <w:rPr>
                <w:rtl/>
                <w:lang w:bidi="fa-IR"/>
              </w:rPr>
              <w:t xml:space="preserve"> : « رجل ».</w:t>
            </w:r>
          </w:p>
        </w:tc>
      </w:tr>
      <w:tr w:rsidR="00AD31BF" w:rsidTr="00AD31BF">
        <w:tc>
          <w:tcPr>
            <w:tcW w:w="4006" w:type="dxa"/>
          </w:tcPr>
          <w:p w:rsidR="00AD31BF" w:rsidRDefault="00AD31BF" w:rsidP="00E378DD">
            <w:pPr>
              <w:pStyle w:val="libFootnote0"/>
              <w:rPr>
                <w:rtl/>
                <w:lang w:bidi="fa-IR"/>
              </w:rPr>
            </w:pPr>
            <w:r>
              <w:rPr>
                <w:rtl/>
                <w:lang w:bidi="fa-IR"/>
              </w:rPr>
              <w:t xml:space="preserve">(5). في </w:t>
            </w:r>
            <w:r w:rsidRPr="00C24F9C">
              <w:rPr>
                <w:rStyle w:val="libFootnoteBoldChar"/>
                <w:rtl/>
              </w:rPr>
              <w:t>الوافي</w:t>
            </w:r>
            <w:r>
              <w:rPr>
                <w:rtl/>
                <w:lang w:bidi="fa-IR"/>
              </w:rPr>
              <w:t xml:space="preserve"> : - « به ».</w:t>
            </w:r>
          </w:p>
        </w:tc>
        <w:tc>
          <w:tcPr>
            <w:tcW w:w="4006" w:type="dxa"/>
          </w:tcPr>
          <w:p w:rsidR="00AD31BF" w:rsidRDefault="00AD31BF" w:rsidP="00E378DD">
            <w:pPr>
              <w:pStyle w:val="libFootnote0"/>
              <w:rPr>
                <w:rtl/>
                <w:lang w:bidi="fa-IR"/>
              </w:rPr>
            </w:pPr>
            <w:r>
              <w:rPr>
                <w:rtl/>
                <w:lang w:bidi="fa-IR"/>
              </w:rPr>
              <w:t>(6). في « بح ، بخ ، بف » و</w:t>
            </w:r>
            <w:r w:rsidRPr="00C24F9C">
              <w:rPr>
                <w:rStyle w:val="libFootnoteBoldChar"/>
                <w:rtl/>
              </w:rPr>
              <w:t>الوافي</w:t>
            </w:r>
            <w:r>
              <w:rPr>
                <w:rtl/>
                <w:lang w:bidi="fa-IR"/>
              </w:rPr>
              <w:t xml:space="preserve"> : « قال ».</w:t>
            </w:r>
          </w:p>
        </w:tc>
      </w:tr>
      <w:tr w:rsidR="00AD31BF" w:rsidTr="00AD31BF">
        <w:tc>
          <w:tcPr>
            <w:tcW w:w="4006" w:type="dxa"/>
          </w:tcPr>
          <w:p w:rsidR="00AD31BF" w:rsidRDefault="00AD31BF"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ح 14811 : « للحجّ ».</w:t>
            </w:r>
          </w:p>
        </w:tc>
        <w:tc>
          <w:tcPr>
            <w:tcW w:w="4006" w:type="dxa"/>
          </w:tcPr>
          <w:p w:rsidR="00AD31BF" w:rsidRDefault="00AD31BF" w:rsidP="00AD31BF">
            <w:pPr>
              <w:pStyle w:val="libFootnote0"/>
              <w:rPr>
                <w:rtl/>
                <w:lang w:bidi="fa-IR"/>
              </w:rPr>
            </w:pPr>
            <w:r>
              <w:rPr>
                <w:rtl/>
                <w:lang w:bidi="fa-IR"/>
              </w:rPr>
              <w:t>(8).في</w:t>
            </w:r>
            <w:r>
              <w:rPr>
                <w:rFonts w:hint="cs"/>
                <w:rtl/>
                <w:lang w:bidi="fa-IR"/>
              </w:rPr>
              <w:t xml:space="preserve"> </w:t>
            </w:r>
            <w:r w:rsidRPr="00C24F9C">
              <w:rPr>
                <w:rStyle w:val="libFootnoteBoldChar"/>
                <w:rtl/>
              </w:rPr>
              <w:t>التهذيب</w:t>
            </w:r>
            <w:r>
              <w:rPr>
                <w:rtl/>
                <w:lang w:bidi="fa-IR"/>
              </w:rPr>
              <w:t>،ح435</w:t>
            </w:r>
            <w:r w:rsidRPr="00C24F9C">
              <w:rPr>
                <w:rStyle w:val="libFootnoteBoldChar"/>
                <w:rtl/>
              </w:rPr>
              <w:t>والاستبصار</w:t>
            </w:r>
            <w:r>
              <w:rPr>
                <w:rtl/>
                <w:lang w:bidi="fa-IR"/>
              </w:rPr>
              <w:t>،ح797:«والصفا».</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14811 </w:t>
      </w:r>
      <w:r w:rsidR="00744A1C" w:rsidRPr="0061079A">
        <w:rPr>
          <w:rStyle w:val="libFootnoteBoldChar"/>
          <w:rtl/>
        </w:rPr>
        <w:t>والتهذيب</w:t>
      </w:r>
      <w:r w:rsidR="00744A1C">
        <w:rPr>
          <w:rtl/>
          <w:lang w:bidi="fa-IR"/>
        </w:rPr>
        <w:t xml:space="preserve"> ، ح 435 </w:t>
      </w:r>
      <w:r w:rsidR="00744A1C" w:rsidRPr="00C24F9C">
        <w:rPr>
          <w:rStyle w:val="libFootnoteBoldChar"/>
          <w:rtl/>
        </w:rPr>
        <w:t>والاستبصار</w:t>
      </w:r>
      <w:r w:rsidR="00744A1C">
        <w:rPr>
          <w:rtl/>
          <w:lang w:bidi="fa-IR"/>
        </w:rPr>
        <w:t xml:space="preserve"> ، ح 797 : « أيعجّل ».</w:t>
      </w:r>
    </w:p>
    <w:p w:rsidR="00744A1C" w:rsidRDefault="00E378DD" w:rsidP="00E378DD">
      <w:pPr>
        <w:pStyle w:val="libFootnote0"/>
        <w:rPr>
          <w:lang w:bidi="fa-IR"/>
        </w:rPr>
      </w:pPr>
      <w:r>
        <w:rPr>
          <w:rtl/>
          <w:lang w:bidi="fa-IR"/>
        </w:rPr>
        <w:t>(10).</w:t>
      </w:r>
      <w:r w:rsidR="00744A1C">
        <w:rPr>
          <w:rtl/>
          <w:lang w:bidi="fa-IR"/>
        </w:rPr>
        <w:t xml:space="preserve"> في </w:t>
      </w:r>
      <w:r w:rsidR="00744A1C" w:rsidRPr="00877682">
        <w:rPr>
          <w:rStyle w:val="libFootnoteBoldChar"/>
          <w:rtl/>
        </w:rPr>
        <w:t>مرآة العقول</w:t>
      </w:r>
      <w:r w:rsidR="00744A1C">
        <w:rPr>
          <w:rtl/>
          <w:lang w:bidi="fa-IR"/>
        </w:rPr>
        <w:t xml:space="preserve"> ، ج 18 ، ص 112 : « ثمّ اعلم أنّ الظاهر من كلام الأصحاب عدم الفرق في جواز التقديم بين طواف الزيارة وطواف النساء ، ويظهر من هذا الخبر الفرق ، والأحوط عدم تقديم طواف النساء مطلقاً إلاّمع العذر ».</w:t>
      </w:r>
    </w:p>
    <w:p w:rsidR="00744A1C" w:rsidRDefault="00E378DD" w:rsidP="00E378DD">
      <w:pPr>
        <w:pStyle w:val="libFootnote0"/>
        <w:rPr>
          <w:lang w:bidi="fa-IR"/>
        </w:rPr>
      </w:pPr>
      <w:r>
        <w:rPr>
          <w:rtl/>
          <w:lang w:bidi="fa-IR"/>
        </w:rPr>
        <w:t>(11).</w:t>
      </w:r>
      <w:r w:rsidR="00744A1C">
        <w:rPr>
          <w:rtl/>
          <w:lang w:bidi="fa-IR"/>
        </w:rPr>
        <w:t xml:space="preserve"> في « بخ ، جد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14811 </w:t>
      </w:r>
      <w:r w:rsidR="00744A1C" w:rsidRPr="0061079A">
        <w:rPr>
          <w:rStyle w:val="libFootnoteBoldChar"/>
          <w:rtl/>
        </w:rPr>
        <w:t>والتهذيب</w:t>
      </w:r>
      <w:r w:rsidR="00744A1C">
        <w:rPr>
          <w:rtl/>
          <w:lang w:bidi="fa-IR"/>
        </w:rPr>
        <w:t xml:space="preserve"> ، ح 435 </w:t>
      </w:r>
      <w:r w:rsidR="00744A1C" w:rsidRPr="00C24F9C">
        <w:rPr>
          <w:rStyle w:val="libFootnoteBoldChar"/>
          <w:rtl/>
        </w:rPr>
        <w:t>والاستبصار</w:t>
      </w:r>
      <w:r w:rsidR="00744A1C">
        <w:rPr>
          <w:rtl/>
          <w:lang w:bidi="fa-IR"/>
        </w:rPr>
        <w:t xml:space="preserve"> ، ح 797 : « قال ».</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الوسائل</w:t>
      </w:r>
      <w:r w:rsidR="00744A1C">
        <w:rPr>
          <w:rtl/>
          <w:lang w:bidi="fa-IR"/>
        </w:rPr>
        <w:t xml:space="preserve"> ، ح 14811 : + « من ».</w:t>
      </w:r>
    </w:p>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5 ، ص 131 ، ح 432 ؛ </w:t>
      </w:r>
      <w:r w:rsidR="00744A1C" w:rsidRPr="00C24F9C">
        <w:rPr>
          <w:rStyle w:val="libFootnoteBoldChar"/>
          <w:rtl/>
        </w:rPr>
        <w:t>والاستبصار</w:t>
      </w:r>
      <w:r w:rsidR="00744A1C">
        <w:rPr>
          <w:rtl/>
          <w:lang w:bidi="fa-IR"/>
        </w:rPr>
        <w:t xml:space="preserve"> ، ج 2 ، ص 230 ، ح 796 ، معلّقاً عن الكليني ، إلى قوله : « من </w:t>
      </w:r>
      <w:r w:rsidR="00AD718D">
        <w:rPr>
          <w:rFonts w:hint="cs"/>
          <w:rtl/>
          <w:lang w:bidi="fa-IR"/>
        </w:rPr>
        <w:t>=</w:t>
      </w:r>
    </w:p>
    <w:p w:rsidR="00744A1C" w:rsidRDefault="00744A1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7721 / 2. مُحَمَّدُ بْنُ يَحْيى ، عَنْ أَحْمَدَ بْنِ مُحَمَّدٍ ، عَنْ عَلِيِّ بْنِ الْحَكَمِ ، عَنْ عَلِيِّ بْنِ أَبِي حَمْزَةَ ، قَالَ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عَنْ رَجُلٍ يَدْخُلُ مَكَّةَ وَمَعَهُ نِسَاءٌ قَدْ أَمَرَهُنَّ فَتَمَتَّعْنَ قَبْلَ التَّرْوِيَةِ بِيَوْمٍ ، أَوْ يَوْمَيْنِ ، أَوْ ثَلَاثَةٍ ، فَخَشِيَ عَلى بَعْضِهِنَّ الْحَيْضَ؟</w:t>
      </w:r>
    </w:p>
    <w:p w:rsidR="00744A1C" w:rsidRDefault="00744A1C" w:rsidP="00744A1C">
      <w:pPr>
        <w:pStyle w:val="libNormal"/>
        <w:rPr>
          <w:lang w:bidi="fa-IR"/>
        </w:rPr>
      </w:pPr>
      <w:r>
        <w:rPr>
          <w:rtl/>
          <w:lang w:bidi="fa-IR"/>
        </w:rPr>
        <w:t xml:space="preserve">فَقَالَ : « إِذَا فَرَغْنَ مِنْ مُتْعَتِهِنَّ </w:t>
      </w:r>
      <w:r w:rsidRPr="00D10E3C">
        <w:rPr>
          <w:rStyle w:val="libFootnotenumChar"/>
          <w:rtl/>
        </w:rPr>
        <w:t>(1)</w:t>
      </w:r>
      <w:r>
        <w:rPr>
          <w:rtl/>
          <w:lang w:bidi="fa-IR"/>
        </w:rPr>
        <w:t xml:space="preserve"> ، وَأَحْلَلْنَ ، فَلْيَنْظُرْ إِلَى الَّتِي يَخَافُ عَلَيْهَا الْحَيْضَ ، فَيَأْمُرُهَا تَغْتَسِلُ </w:t>
      </w:r>
      <w:r w:rsidRPr="00D10E3C">
        <w:rPr>
          <w:rStyle w:val="libFootnotenumChar"/>
          <w:rtl/>
        </w:rPr>
        <w:t>(2)</w:t>
      </w:r>
      <w:r>
        <w:rPr>
          <w:rtl/>
          <w:lang w:bidi="fa-IR"/>
        </w:rPr>
        <w:t xml:space="preserve"> ، وَتُهِلُّ بِالْحَجِّ مِنْ </w:t>
      </w:r>
      <w:r w:rsidRPr="00D10E3C">
        <w:rPr>
          <w:rStyle w:val="libFootnotenumChar"/>
          <w:rtl/>
        </w:rPr>
        <w:t>(3)</w:t>
      </w:r>
      <w:r>
        <w:rPr>
          <w:rtl/>
          <w:lang w:bidi="fa-IR"/>
        </w:rPr>
        <w:t xml:space="preserve"> مَكَانِهَا ، ثُمَّ تَطُوفُ بِالْبَيْتِ وَبِالصَّفَا وَالْمَرْوَةِ ، فَإِنْ حَدَثَ بِهَا شَيْ‌ءٌ ، قَضَتْ بَقِيَّةَ الْمَنَاسِكِ وَهِيَ طَامِثٌ ».</w:t>
      </w:r>
    </w:p>
    <w:p w:rsidR="00744A1C" w:rsidRDefault="00744A1C" w:rsidP="00744A1C">
      <w:pPr>
        <w:pStyle w:val="libNormal"/>
        <w:rPr>
          <w:lang w:bidi="fa-IR"/>
        </w:rPr>
      </w:pPr>
      <w:r>
        <w:rPr>
          <w:rtl/>
          <w:lang w:bidi="fa-IR"/>
        </w:rPr>
        <w:t>فَقُلْتُ : أَلَيْسَ قَدْ بَقِيَ طَوَافُ النِّسَاءِ؟ قَالَ : « بَلى ».</w:t>
      </w:r>
    </w:p>
    <w:p w:rsidR="00744A1C" w:rsidRDefault="00744A1C" w:rsidP="00744A1C">
      <w:pPr>
        <w:pStyle w:val="libNormal"/>
        <w:rPr>
          <w:lang w:bidi="fa-IR"/>
        </w:rPr>
      </w:pPr>
      <w:r>
        <w:rPr>
          <w:rtl/>
          <w:lang w:bidi="fa-IR"/>
        </w:rPr>
        <w:t>قُلْتُ : فَهِيَ مُرْتَهَنَةٌ حَتّى تَفْرُغَ مِنْهُ؟ قَالَ : « نَعَمْ ».</w:t>
      </w:r>
    </w:p>
    <w:p w:rsidR="00744A1C" w:rsidRDefault="00744A1C" w:rsidP="00744A1C">
      <w:pPr>
        <w:pStyle w:val="libNormal"/>
        <w:rPr>
          <w:lang w:bidi="fa-IR"/>
        </w:rPr>
      </w:pPr>
      <w:r>
        <w:rPr>
          <w:rtl/>
          <w:lang w:bidi="fa-IR"/>
        </w:rPr>
        <w:t xml:space="preserve">قُلْتُ : فَلِمَ لَاتَتْرُكُهَا </w:t>
      </w:r>
      <w:r w:rsidRPr="00D10E3C">
        <w:rPr>
          <w:rStyle w:val="libFootnotenumChar"/>
          <w:rtl/>
        </w:rPr>
        <w:t>(4)</w:t>
      </w:r>
      <w:r>
        <w:rPr>
          <w:rtl/>
          <w:lang w:bidi="fa-IR"/>
        </w:rPr>
        <w:t xml:space="preserve"> حَتّى تَقْضِيَ مَنَاسِكَهَا؟</w:t>
      </w:r>
    </w:p>
    <w:p w:rsidR="00744A1C" w:rsidRDefault="00744A1C" w:rsidP="00744A1C">
      <w:pPr>
        <w:pStyle w:val="libNormal"/>
        <w:rPr>
          <w:lang w:bidi="fa-IR"/>
        </w:rPr>
      </w:pPr>
      <w:r>
        <w:rPr>
          <w:rtl/>
          <w:lang w:bidi="fa-IR"/>
        </w:rPr>
        <w:t xml:space="preserve">قَالَ : « يَبْقى عَلَيْهَا مَنْسَكٌ وَاحِدٌ أَهْوَنُ عَلَيْهَا مِنْ أَنْ يَبْقى </w:t>
      </w:r>
      <w:r w:rsidRPr="00D10E3C">
        <w:rPr>
          <w:rStyle w:val="libFootnotenumChar"/>
          <w:rtl/>
        </w:rPr>
        <w:t>(5)</w:t>
      </w:r>
      <w:r>
        <w:rPr>
          <w:rtl/>
          <w:lang w:bidi="fa-IR"/>
        </w:rPr>
        <w:t xml:space="preserve"> عَلَيْهَا الْمَنَاسِكُ كُلُّهَا مَخَافَةَ الْحَدَثَانِ ».</w:t>
      </w:r>
    </w:p>
    <w:p w:rsidR="00744A1C" w:rsidRDefault="00744A1C" w:rsidP="00744A1C">
      <w:pPr>
        <w:pStyle w:val="libNormal"/>
        <w:rPr>
          <w:lang w:bidi="fa-IR"/>
        </w:rPr>
      </w:pPr>
      <w:r>
        <w:rPr>
          <w:rtl/>
          <w:lang w:bidi="fa-IR"/>
        </w:rPr>
        <w:t>قُلْتُ : أَبَى الْجَمَّالُ أَنْ يُقِيمَ عَلَيْهَا وَالرِّفْقَةُ.</w:t>
      </w:r>
    </w:p>
    <w:p w:rsidR="00744A1C" w:rsidRDefault="00744A1C" w:rsidP="00D10E3C">
      <w:pPr>
        <w:pStyle w:val="libLine"/>
        <w:rPr>
          <w:lang w:bidi="fa-IR"/>
        </w:rPr>
      </w:pPr>
      <w:r>
        <w:rPr>
          <w:rtl/>
          <w:lang w:bidi="fa-IR"/>
        </w:rPr>
        <w:t>____________________</w:t>
      </w:r>
    </w:p>
    <w:p w:rsidR="00744A1C" w:rsidRDefault="0060317E" w:rsidP="00D10E3C">
      <w:pPr>
        <w:pStyle w:val="libFootnote0"/>
        <w:rPr>
          <w:lang w:bidi="fa-IR"/>
        </w:rPr>
      </w:pPr>
      <w:r>
        <w:rPr>
          <w:rFonts w:hint="cs"/>
          <w:rtl/>
          <w:lang w:bidi="fa-IR"/>
        </w:rPr>
        <w:t xml:space="preserve">= </w:t>
      </w:r>
      <w:r w:rsidR="00744A1C">
        <w:rPr>
          <w:rtl/>
          <w:lang w:bidi="fa-IR"/>
        </w:rPr>
        <w:t xml:space="preserve">كان هكذا يعجّل » ؛ وفي </w:t>
      </w:r>
      <w:r w:rsidR="00744A1C" w:rsidRPr="00C24F9C">
        <w:rPr>
          <w:rStyle w:val="libFootnoteBoldChar"/>
          <w:rtl/>
        </w:rPr>
        <w:t>التهذيب</w:t>
      </w:r>
      <w:r w:rsidR="00744A1C">
        <w:rPr>
          <w:rtl/>
          <w:lang w:bidi="fa-IR"/>
        </w:rPr>
        <w:t xml:space="preserve"> ، ج 5 ، ص 132 ، ح 435 ؛ </w:t>
      </w:r>
      <w:r w:rsidR="00744A1C" w:rsidRPr="00C24F9C">
        <w:rPr>
          <w:rStyle w:val="libFootnoteBoldChar"/>
          <w:rtl/>
        </w:rPr>
        <w:t>والاستبصار</w:t>
      </w:r>
      <w:r w:rsidR="00744A1C">
        <w:rPr>
          <w:rtl/>
          <w:lang w:bidi="fa-IR"/>
        </w:rPr>
        <w:t xml:space="preserve"> ، ج 2 ، ص 230 ، ح 797 ، معلّقاً عن الكليني ، من قوله : « المفرد بالحجّ إذا طاف ». </w:t>
      </w:r>
      <w:r w:rsidR="00744A1C" w:rsidRPr="00C24F9C">
        <w:rPr>
          <w:rStyle w:val="libFootnoteBoldChar"/>
          <w:rtl/>
        </w:rPr>
        <w:t>الفقيه</w:t>
      </w:r>
      <w:r w:rsidR="00744A1C">
        <w:rPr>
          <w:rtl/>
          <w:lang w:bidi="fa-IR"/>
        </w:rPr>
        <w:t xml:space="preserve"> ، ج 2 ، ص 387 ، ح 2780 ، معلّقاً عن صفوان بن يحيى ، إلى قوله : « قبل أن يخرج عليه شي‌ء فقال : لا ». راجع : </w:t>
      </w:r>
      <w:r w:rsidR="00744A1C" w:rsidRPr="00C24F9C">
        <w:rPr>
          <w:rStyle w:val="libFootnoteBoldChar"/>
          <w:rtl/>
        </w:rPr>
        <w:t>التهذيب</w:t>
      </w:r>
      <w:r w:rsidR="00744A1C">
        <w:rPr>
          <w:rtl/>
          <w:lang w:bidi="fa-IR"/>
        </w:rPr>
        <w:t xml:space="preserve"> ، ج 5 ، ص 254 ، ح 862 ؛ </w:t>
      </w:r>
      <w:r w:rsidR="00744A1C" w:rsidRPr="00C24F9C">
        <w:rPr>
          <w:rStyle w:val="libFootnoteBoldChar"/>
          <w:rtl/>
        </w:rPr>
        <w:t>والاستبصار</w:t>
      </w:r>
      <w:r w:rsidR="00744A1C">
        <w:rPr>
          <w:rtl/>
          <w:lang w:bidi="fa-IR"/>
        </w:rPr>
        <w:t xml:space="preserve"> ، ج 2 ، ص 232 ، ح 805 </w:t>
      </w:r>
      <w:r>
        <w:rPr>
          <w:rFonts w:hint="cs"/>
          <w:rtl/>
          <w:lang w:bidi="fa-IR"/>
        </w:rPr>
        <w:t>.</w:t>
      </w:r>
      <w:r w:rsidR="00744A1C" w:rsidRPr="00C24F9C">
        <w:rPr>
          <w:rStyle w:val="libFootnoteBoldChar"/>
          <w:rtl/>
        </w:rPr>
        <w:t>الوافي</w:t>
      </w:r>
      <w:r w:rsidR="00744A1C">
        <w:rPr>
          <w:rtl/>
          <w:lang w:bidi="fa-IR"/>
        </w:rPr>
        <w:t xml:space="preserve"> ، ج 14 ، ص 1242 ، ح 14186 ؛ </w:t>
      </w:r>
      <w:r w:rsidR="00744A1C" w:rsidRPr="00C24F9C">
        <w:rPr>
          <w:rStyle w:val="libFootnoteBoldChar"/>
          <w:rtl/>
        </w:rPr>
        <w:t>الوسائل</w:t>
      </w:r>
      <w:r w:rsidR="00744A1C">
        <w:rPr>
          <w:rtl/>
          <w:lang w:bidi="fa-IR"/>
        </w:rPr>
        <w:t xml:space="preserve"> ، ج 11 ، ص 281 ، ح 14807 ، إلى قوله : « قبل أن يخرج عليه شي‌ء فقال : لا » ؛ وفيه ، ص 283 ، ح 14811 ، من قوله : « المفرد بالحجّ إذا طاف ».</w:t>
      </w:r>
    </w:p>
    <w:p w:rsidR="00744A1C" w:rsidRDefault="00D10E3C" w:rsidP="00D10E3C">
      <w:pPr>
        <w:pStyle w:val="libFootnote0"/>
        <w:rPr>
          <w:lang w:bidi="fa-IR"/>
        </w:rPr>
      </w:pPr>
      <w:r>
        <w:rPr>
          <w:rtl/>
          <w:lang w:bidi="fa-IR"/>
        </w:rPr>
        <w:t>(1).</w:t>
      </w:r>
      <w:r w:rsidR="00744A1C">
        <w:rPr>
          <w:rtl/>
          <w:lang w:bidi="fa-IR"/>
        </w:rPr>
        <w:t xml:space="preserve"> في « بث » : « سعيهنّ ».</w:t>
      </w:r>
    </w:p>
    <w:p w:rsidR="00744A1C" w:rsidRDefault="00E378DD" w:rsidP="00E378DD">
      <w:pPr>
        <w:pStyle w:val="libFootnote0"/>
        <w:rPr>
          <w:lang w:bidi="fa-IR"/>
        </w:rPr>
      </w:pPr>
      <w:r>
        <w:rPr>
          <w:rtl/>
          <w:lang w:bidi="fa-IR"/>
        </w:rPr>
        <w:t>(2).</w:t>
      </w:r>
      <w:r w:rsidR="00744A1C">
        <w:rPr>
          <w:rtl/>
          <w:lang w:bidi="fa-IR"/>
        </w:rPr>
        <w:t xml:space="preserve"> في « بح ، بخ ، بف ، جد » و</w:t>
      </w:r>
      <w:r w:rsidR="00744A1C" w:rsidRPr="00C24F9C">
        <w:rPr>
          <w:rStyle w:val="libFootnoteBoldChar"/>
          <w:rtl/>
        </w:rPr>
        <w:t>الوسائل</w:t>
      </w:r>
      <w:r w:rsidR="00744A1C">
        <w:rPr>
          <w:rtl/>
          <w:lang w:bidi="fa-IR"/>
        </w:rPr>
        <w:t xml:space="preserve"> ، ح 18100 </w:t>
      </w:r>
      <w:r w:rsidR="00744A1C" w:rsidRPr="0061079A">
        <w:rPr>
          <w:rStyle w:val="libFootnoteBoldChar"/>
          <w:rtl/>
        </w:rPr>
        <w:t>والتهذيب</w:t>
      </w:r>
      <w:r w:rsidR="00744A1C">
        <w:rPr>
          <w:rtl/>
          <w:lang w:bidi="fa-IR"/>
        </w:rPr>
        <w:t xml:space="preserve"> : « فتغتسل ». وفي « ى » : « فتغسل ».</w:t>
      </w:r>
    </w:p>
    <w:p w:rsidR="00744A1C" w:rsidRDefault="00E378DD" w:rsidP="00E378DD">
      <w:pPr>
        <w:pStyle w:val="libFootnote0"/>
        <w:rPr>
          <w:lang w:bidi="fa-IR"/>
        </w:rPr>
      </w:pPr>
      <w:r>
        <w:rPr>
          <w:rtl/>
          <w:lang w:bidi="fa-IR"/>
        </w:rPr>
        <w:t>(3).</w:t>
      </w:r>
      <w:r w:rsidR="00744A1C">
        <w:rPr>
          <w:rtl/>
          <w:lang w:bidi="fa-IR"/>
        </w:rPr>
        <w:t xml:space="preserve"> في « بح ، جد » </w:t>
      </w:r>
      <w:r w:rsidR="00744A1C" w:rsidRPr="0061079A">
        <w:rPr>
          <w:rStyle w:val="libFootnoteBoldChar"/>
          <w:rtl/>
        </w:rPr>
        <w:t>والتهذيب</w:t>
      </w:r>
      <w:r w:rsidR="00744A1C">
        <w:rPr>
          <w:rtl/>
          <w:lang w:bidi="fa-IR"/>
        </w:rPr>
        <w:t xml:space="preserve"> : - « من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لا تترك ». وفي </w:t>
      </w:r>
      <w:r w:rsidR="00744A1C" w:rsidRPr="00C24F9C">
        <w:rPr>
          <w:rStyle w:val="libFootnoteBoldChar"/>
          <w:rtl/>
        </w:rPr>
        <w:t>الوسائل</w:t>
      </w:r>
      <w:r w:rsidR="00744A1C">
        <w:rPr>
          <w:rtl/>
          <w:lang w:bidi="fa-IR"/>
        </w:rPr>
        <w:t xml:space="preserve"> ، ح 18100 </w:t>
      </w:r>
      <w:r w:rsidR="00744A1C" w:rsidRPr="0061079A">
        <w:rPr>
          <w:rStyle w:val="libFootnoteBoldChar"/>
          <w:rtl/>
        </w:rPr>
        <w:t>والتهذيب</w:t>
      </w:r>
      <w:r w:rsidR="00744A1C">
        <w:rPr>
          <w:rtl/>
          <w:lang w:bidi="fa-IR"/>
        </w:rPr>
        <w:t xml:space="preserve"> : « لا يتركها ».</w:t>
      </w:r>
    </w:p>
    <w:p w:rsidR="00744A1C" w:rsidRDefault="00E378DD" w:rsidP="00E378DD">
      <w:pPr>
        <w:pStyle w:val="libFootnote0"/>
        <w:rPr>
          <w:lang w:bidi="fa-IR"/>
        </w:rPr>
      </w:pPr>
      <w:r>
        <w:rPr>
          <w:rtl/>
          <w:lang w:bidi="fa-IR"/>
        </w:rPr>
        <w:t>(5).</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18100. وفي المطبوع </w:t>
      </w:r>
      <w:r w:rsidR="00744A1C" w:rsidRPr="0061079A">
        <w:rPr>
          <w:rStyle w:val="libFootnoteBoldChar"/>
          <w:rtl/>
        </w:rPr>
        <w:t>والتهذيب</w:t>
      </w:r>
      <w:r w:rsidR="00744A1C">
        <w:rPr>
          <w:rtl/>
          <w:lang w:bidi="fa-IR"/>
        </w:rPr>
        <w:t xml:space="preserve"> : « أن تبقي » ، والمذكور في بعض النسخ المعتبرة من </w:t>
      </w:r>
      <w:r w:rsidR="00744A1C" w:rsidRPr="00C24F9C">
        <w:rPr>
          <w:rStyle w:val="libFootnoteBoldChar"/>
          <w:rtl/>
        </w:rPr>
        <w:t>التهذيب</w:t>
      </w:r>
      <w:r w:rsidR="00744A1C">
        <w:rPr>
          <w:rtl/>
          <w:lang w:bidi="fa-IR"/>
        </w:rPr>
        <w:t xml:space="preserve"> كما أثبتناه.</w:t>
      </w:r>
    </w:p>
    <w:p w:rsidR="00744A1C" w:rsidRDefault="00744A1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w:t>
      </w:r>
      <w:r w:rsidRPr="00D10E3C">
        <w:rPr>
          <w:rStyle w:val="libFootnotenumChar"/>
          <w:rtl/>
        </w:rPr>
        <w:t>(1)</w:t>
      </w:r>
      <w:r>
        <w:rPr>
          <w:rtl/>
          <w:lang w:bidi="fa-IR"/>
        </w:rPr>
        <w:t xml:space="preserve"> : « لَيْسَ لَهُمْ ذلِكَ </w:t>
      </w:r>
      <w:r w:rsidRPr="00D10E3C">
        <w:rPr>
          <w:rStyle w:val="libFootnotenumChar"/>
          <w:rtl/>
        </w:rPr>
        <w:t>(2)</w:t>
      </w:r>
      <w:r>
        <w:rPr>
          <w:rtl/>
          <w:lang w:bidi="fa-IR"/>
        </w:rPr>
        <w:t xml:space="preserve"> ، تَسْتَعْدِي </w:t>
      </w:r>
      <w:r w:rsidRPr="00D10E3C">
        <w:rPr>
          <w:rStyle w:val="libFootnotenumChar"/>
          <w:rtl/>
        </w:rPr>
        <w:t>(3)</w:t>
      </w:r>
      <w:r>
        <w:rPr>
          <w:rtl/>
          <w:lang w:bidi="fa-IR"/>
        </w:rPr>
        <w:t xml:space="preserve"> عَلَيْهِمْ </w:t>
      </w:r>
      <w:r w:rsidRPr="00D10E3C">
        <w:rPr>
          <w:rStyle w:val="libFootnotenumChar"/>
          <w:rtl/>
        </w:rPr>
        <w:t>(4)</w:t>
      </w:r>
      <w:r>
        <w:rPr>
          <w:rtl/>
          <w:lang w:bidi="fa-IR"/>
        </w:rPr>
        <w:t xml:space="preserve"> حَتّى يُقِيمَ عَلَيْهَا حَتّى تَطْهُرَ وَتَقْضِيَ مَنَاسِكَهَا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7722 / 3. عَلِيُّ بْنُ إِبْرَاهِيمَ ، عَنْ أَبِيهِ ، عَنِ ابْنِ أَبِي عُمَيْرٍ ، عَنْ حَفْصِ بْنِ الْبَخْتَرِيِّ وَمُعَاوِيَةَ بْنِ عَمَّارٍ ؛ وَ </w:t>
      </w:r>
      <w:r w:rsidRPr="00D10E3C">
        <w:rPr>
          <w:rStyle w:val="libFootnotenumChar"/>
          <w:rtl/>
        </w:rPr>
        <w:t>(7)</w:t>
      </w:r>
      <w:r>
        <w:rPr>
          <w:rtl/>
          <w:lang w:bidi="fa-IR"/>
        </w:rPr>
        <w:t xml:space="preserve"> حَمَّادٍ ، عَنِ الْحَلَبِيِّ جَمِيعاً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بَأْسَ بِتَعْجِيلِ الطَّوَافِ لِلشَّيْخِ الْكَبِيرِ وَالْمَرْأَةِ </w:t>
      </w:r>
      <w:r w:rsidRPr="00D10E3C">
        <w:rPr>
          <w:rStyle w:val="libFootnotenumChar"/>
          <w:rtl/>
        </w:rPr>
        <w:t>(8)</w:t>
      </w:r>
      <w:r>
        <w:rPr>
          <w:rtl/>
          <w:lang w:bidi="fa-IR"/>
        </w:rPr>
        <w:t xml:space="preserve"> تَخَافُ الْحَيْضَ قَبْلَ أَنْ تَخْرُجَ إِلى مِنًى </w:t>
      </w:r>
      <w:r w:rsidRPr="00D10E3C">
        <w:rPr>
          <w:rStyle w:val="libFootnotenumChar"/>
          <w:rtl/>
        </w:rPr>
        <w:t>(9)</w:t>
      </w:r>
      <w:r>
        <w:rPr>
          <w:rtl/>
          <w:lang w:bidi="fa-IR"/>
        </w:rPr>
        <w:t xml:space="preserve"> ». </w:t>
      </w:r>
      <w:r w:rsidRPr="00D10E3C">
        <w:rPr>
          <w:rStyle w:val="libFootnotenumChar"/>
          <w:rtl/>
        </w:rPr>
        <w:t>(10)</w:t>
      </w:r>
    </w:p>
    <w:p w:rsidR="00144FA6" w:rsidRDefault="00744A1C" w:rsidP="00744A1C">
      <w:pPr>
        <w:pStyle w:val="libNormal"/>
        <w:rPr>
          <w:rtl/>
          <w:lang w:bidi="fa-IR"/>
        </w:rPr>
      </w:pPr>
      <w:r>
        <w:rPr>
          <w:rtl/>
          <w:lang w:bidi="fa-IR"/>
        </w:rPr>
        <w:t xml:space="preserve">7723 / 4. عَلِيُّ بْنُ إِبْرَاهِيمَ ، عَنْ أَبِيهِ ، عَنْ إِسْمَاعِيلَ بْنِ مَرَّارٍ ، عَنْ يُونُسَ ، عَنْ عَلِيِّ بْنِ أَبِي حَمْزَةَ ، عَنْ أَبِي بَصِيرٍ </w:t>
      </w:r>
      <w:r w:rsidRPr="00D10E3C">
        <w:rPr>
          <w:rStyle w:val="libFootnotenumChar"/>
          <w:rtl/>
        </w:rPr>
        <w:t>(11)</w:t>
      </w:r>
      <w:r>
        <w:rPr>
          <w:rtl/>
          <w:lang w:bidi="fa-IR"/>
        </w:rPr>
        <w:t xml:space="preserve">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جد » و</w:t>
      </w:r>
      <w:r w:rsidR="00744A1C" w:rsidRPr="00C24F9C">
        <w:rPr>
          <w:rStyle w:val="libFootnoteBoldChar"/>
          <w:rtl/>
        </w:rPr>
        <w:t>الوافي</w:t>
      </w:r>
      <w:r w:rsidR="00744A1C">
        <w:rPr>
          <w:rtl/>
          <w:lang w:bidi="fa-IR"/>
        </w:rPr>
        <w:t xml:space="preserve"> : « فقال ». وفي </w:t>
      </w:r>
      <w:r w:rsidR="00744A1C" w:rsidRPr="00C24F9C">
        <w:rPr>
          <w:rStyle w:val="libFootnoteBoldChar"/>
          <w:rtl/>
        </w:rPr>
        <w:t>الوسائل</w:t>
      </w:r>
      <w:r w:rsidR="00744A1C">
        <w:rPr>
          <w:rtl/>
          <w:lang w:bidi="fa-IR"/>
        </w:rPr>
        <w:t xml:space="preserve"> ، ح 15148 : + « فقال ».</w:t>
      </w:r>
    </w:p>
    <w:tbl>
      <w:tblPr>
        <w:tblStyle w:val="TableGrid"/>
        <w:bidiVisual/>
        <w:tblW w:w="0" w:type="auto"/>
        <w:tblLook w:val="04A0" w:firstRow="1" w:lastRow="0" w:firstColumn="1" w:lastColumn="0" w:noHBand="0" w:noVBand="1"/>
      </w:tblPr>
      <w:tblGrid>
        <w:gridCol w:w="4006"/>
        <w:gridCol w:w="4006"/>
      </w:tblGrid>
      <w:tr w:rsidR="00554A1F" w:rsidTr="00554A1F">
        <w:tc>
          <w:tcPr>
            <w:tcW w:w="4006" w:type="dxa"/>
          </w:tcPr>
          <w:p w:rsidR="00554A1F" w:rsidRDefault="00554A1F" w:rsidP="00E378DD">
            <w:pPr>
              <w:pStyle w:val="libFootnote0"/>
              <w:rPr>
                <w:rtl/>
                <w:lang w:bidi="fa-IR"/>
              </w:rPr>
            </w:pPr>
            <w:r>
              <w:rPr>
                <w:rtl/>
                <w:lang w:bidi="fa-IR"/>
              </w:rPr>
              <w:t>(2). في « بخ ، بف » : « ذاك ».</w:t>
            </w:r>
          </w:p>
        </w:tc>
        <w:tc>
          <w:tcPr>
            <w:tcW w:w="4006" w:type="dxa"/>
          </w:tcPr>
          <w:p w:rsidR="00554A1F" w:rsidRDefault="00554A1F" w:rsidP="00E378DD">
            <w:pPr>
              <w:pStyle w:val="libFootnote0"/>
              <w:rPr>
                <w:rtl/>
                <w:lang w:bidi="fa-IR"/>
              </w:rPr>
            </w:pPr>
            <w:r>
              <w:rPr>
                <w:rtl/>
                <w:lang w:bidi="fa-IR"/>
              </w:rPr>
              <w:t>(3). في « بث ، بف » : « يستعدي ».</w:t>
            </w:r>
          </w:p>
        </w:tc>
      </w:tr>
    </w:tbl>
    <w:p w:rsidR="00744A1C" w:rsidRDefault="00E378DD" w:rsidP="00E378DD">
      <w:pPr>
        <w:pStyle w:val="libFootnote0"/>
        <w:rPr>
          <w:lang w:bidi="fa-IR"/>
        </w:rPr>
      </w:pPr>
      <w:r>
        <w:rPr>
          <w:rtl/>
          <w:lang w:bidi="fa-IR"/>
        </w:rPr>
        <w:t>(4).</w:t>
      </w:r>
      <w:r w:rsidR="00744A1C">
        <w:rPr>
          <w:rtl/>
          <w:lang w:bidi="fa-IR"/>
        </w:rPr>
        <w:t xml:space="preserve"> « تستعدي عليهم » أي تستعين بأحد وتستنصره عليهم ، من الاستعداء ، وهو طلب النصرة والتقوية. راجع : </w:t>
      </w:r>
      <w:r w:rsidR="00744A1C" w:rsidRPr="00E978C3">
        <w:rPr>
          <w:rStyle w:val="libFootnoteBoldChar"/>
          <w:rtl/>
        </w:rPr>
        <w:t>الصحاح</w:t>
      </w:r>
      <w:r w:rsidR="00744A1C">
        <w:rPr>
          <w:rtl/>
          <w:lang w:bidi="fa-IR"/>
        </w:rPr>
        <w:t xml:space="preserve"> ، ج 6 ، ص 2421 ؛ </w:t>
      </w:r>
      <w:r w:rsidR="00744A1C" w:rsidRPr="00E978C3">
        <w:rPr>
          <w:rStyle w:val="libFootnoteBoldChar"/>
          <w:rtl/>
        </w:rPr>
        <w:t>المصباح المنير</w:t>
      </w:r>
      <w:r w:rsidR="00744A1C">
        <w:rPr>
          <w:rtl/>
          <w:lang w:bidi="fa-IR"/>
        </w:rPr>
        <w:t xml:space="preserve"> ، ص 397 ( عدا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 المناسك ». وفي </w:t>
      </w:r>
      <w:r w:rsidR="00744A1C" w:rsidRPr="00C24F9C">
        <w:rPr>
          <w:rStyle w:val="libFootnoteBoldChar"/>
          <w:rtl/>
        </w:rPr>
        <w:t>المرآة</w:t>
      </w:r>
      <w:r w:rsidR="00744A1C">
        <w:rPr>
          <w:rtl/>
          <w:lang w:bidi="fa-IR"/>
        </w:rPr>
        <w:t xml:space="preserve"> : « يدلّ على جواز تقديم طواف النساء مطلقاً ، وهو خلاف المشهور ، قال في </w:t>
      </w:r>
      <w:r w:rsidR="00744A1C" w:rsidRPr="00877682">
        <w:rPr>
          <w:rStyle w:val="libFootnoteBoldChar"/>
          <w:rtl/>
        </w:rPr>
        <w:t>الدروس</w:t>
      </w:r>
      <w:r w:rsidR="00744A1C">
        <w:rPr>
          <w:rtl/>
          <w:lang w:bidi="fa-IR"/>
        </w:rPr>
        <w:t xml:space="preserve"> : روى عليّ بن أبي حمزة عن الكاظم </w:t>
      </w:r>
      <w:r w:rsidR="0061079A" w:rsidRPr="0061079A">
        <w:rPr>
          <w:rStyle w:val="libFootnoteAlaemChar"/>
          <w:rtl/>
        </w:rPr>
        <w:t>عليه‌السلام</w:t>
      </w:r>
      <w:r w:rsidR="00D10E3C">
        <w:rPr>
          <w:rtl/>
          <w:lang w:bidi="fa-IR"/>
        </w:rPr>
        <w:t xml:space="preserve"> </w:t>
      </w:r>
      <w:r w:rsidR="00744A1C">
        <w:rPr>
          <w:rtl/>
          <w:lang w:bidi="fa-IR"/>
        </w:rPr>
        <w:t xml:space="preserve">أنّ الحائض لا تقدّم طواف النساء ، فإن أبت الرفقة الإقامة عليها استعدت عليهم ، والأصحّ جوازه لها ولكلّ مضطرّ ، رواه الحسن بن عليّ عن أبيه </w:t>
      </w:r>
      <w:r w:rsidR="00F112A7" w:rsidRPr="00CE5A92">
        <w:rPr>
          <w:rStyle w:val="libFootnoteAlaemChar"/>
          <w:rtl/>
        </w:rPr>
        <w:t>عليهما‌السلام</w:t>
      </w:r>
      <w:r w:rsidR="00744A1C">
        <w:rPr>
          <w:rtl/>
          <w:lang w:bidi="fa-IR"/>
        </w:rPr>
        <w:t xml:space="preserve">. وفي الرواية الاولى إشارة إلى عدم شرعيّة استنابة الحائض في الطواف ، كما يقوله متأخّر والأصحاب في المذاكرة ». 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485 ، الدرس 121.</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132 ، ح 436 ، معلّقاً عن الكليني </w:t>
      </w:r>
      <w:r w:rsidR="008C37D4">
        <w:rPr>
          <w:rFonts w:hint="cs"/>
          <w:rtl/>
          <w:lang w:bidi="fa-IR"/>
        </w:rPr>
        <w:t>.</w:t>
      </w:r>
      <w:r w:rsidR="00744A1C" w:rsidRPr="00C24F9C">
        <w:rPr>
          <w:rStyle w:val="libFootnoteBoldChar"/>
          <w:rtl/>
        </w:rPr>
        <w:t>الوافي</w:t>
      </w:r>
      <w:r w:rsidR="00744A1C">
        <w:rPr>
          <w:rtl/>
          <w:lang w:bidi="fa-IR"/>
        </w:rPr>
        <w:t xml:space="preserve"> ، ج 14 ، ص 1243 ، ح 14187 ؛ </w:t>
      </w:r>
      <w:r w:rsidR="00744A1C" w:rsidRPr="00C24F9C">
        <w:rPr>
          <w:rStyle w:val="libFootnoteBoldChar"/>
          <w:rtl/>
        </w:rPr>
        <w:t>الوسائل</w:t>
      </w:r>
      <w:r w:rsidR="00744A1C">
        <w:rPr>
          <w:rtl/>
          <w:lang w:bidi="fa-IR"/>
        </w:rPr>
        <w:t xml:space="preserve"> ، ج 13 ، ص 416 ، ح 18100 ؛ وفيه ، ج 11 ، ص 418 ، ح 15148 ، من قوله : « قلت : أبى الجمّال ».</w:t>
      </w:r>
    </w:p>
    <w:p w:rsidR="00744A1C" w:rsidRDefault="00E378DD" w:rsidP="00E378DD">
      <w:pPr>
        <w:pStyle w:val="libFootnote0"/>
        <w:rPr>
          <w:lang w:bidi="fa-IR"/>
        </w:rPr>
      </w:pPr>
      <w:r>
        <w:rPr>
          <w:rtl/>
          <w:lang w:bidi="fa-IR"/>
        </w:rPr>
        <w:t>(7).</w:t>
      </w:r>
      <w:r w:rsidR="00744A1C">
        <w:rPr>
          <w:rtl/>
          <w:lang w:bidi="fa-IR"/>
        </w:rPr>
        <w:t xml:space="preserve"> في السند تحويل بعطف « حمّاد ، عن الحلبي » على « حفص بن البختري ومعاوية بن عمّار ». هذا ، والمراد من حمّاد الراوي عن الحلبي هو حمّاد بن عثمان ، وقد وردت في كثيرٍ من الأسناد رواية ابن أبي عمير عن حمّاد [ بن عثمان ] عن الحبي. فعليه ما ورد في هامش المطبوع من « عن حمّاد » بدل « وحمّاد » سهو. راجع : </w:t>
      </w:r>
      <w:r w:rsidR="00744A1C" w:rsidRPr="0061079A">
        <w:rPr>
          <w:rStyle w:val="libFootnoteBoldChar"/>
          <w:rtl/>
        </w:rPr>
        <w:t>معجم رجال الحديث</w:t>
      </w:r>
      <w:r w:rsidR="00744A1C">
        <w:rPr>
          <w:rtl/>
          <w:lang w:bidi="fa-IR"/>
        </w:rPr>
        <w:t xml:space="preserve"> ، ج 6 ، ص 390 - 399 ؛ وص 419 - 421.</w:t>
      </w:r>
    </w:p>
    <w:tbl>
      <w:tblPr>
        <w:tblStyle w:val="TableGrid"/>
        <w:bidiVisual/>
        <w:tblW w:w="0" w:type="auto"/>
        <w:tblLook w:val="04A0" w:firstRow="1" w:lastRow="0" w:firstColumn="1" w:lastColumn="0" w:noHBand="0" w:noVBand="1"/>
      </w:tblPr>
      <w:tblGrid>
        <w:gridCol w:w="4006"/>
        <w:gridCol w:w="4006"/>
      </w:tblGrid>
      <w:tr w:rsidR="008C37D4" w:rsidTr="008C37D4">
        <w:tc>
          <w:tcPr>
            <w:tcW w:w="4006" w:type="dxa"/>
          </w:tcPr>
          <w:p w:rsidR="008C37D4" w:rsidRDefault="008C37D4" w:rsidP="00E378DD">
            <w:pPr>
              <w:pStyle w:val="libFootnote0"/>
              <w:rPr>
                <w:rtl/>
                <w:lang w:bidi="fa-IR"/>
              </w:rPr>
            </w:pPr>
            <w:r>
              <w:rPr>
                <w:rtl/>
                <w:lang w:bidi="fa-IR"/>
              </w:rPr>
              <w:t>(8). في « ى » : + « التي ».</w:t>
            </w:r>
          </w:p>
        </w:tc>
        <w:tc>
          <w:tcPr>
            <w:tcW w:w="4006" w:type="dxa"/>
          </w:tcPr>
          <w:p w:rsidR="008C37D4" w:rsidRDefault="008C37D4" w:rsidP="00E378DD">
            <w:pPr>
              <w:pStyle w:val="libFootnote0"/>
              <w:rPr>
                <w:rtl/>
                <w:lang w:bidi="fa-IR"/>
              </w:rPr>
            </w:pPr>
            <w:r>
              <w:rPr>
                <w:rtl/>
                <w:lang w:bidi="fa-IR"/>
              </w:rPr>
              <w:t>(9). لم ترد هذه الرواية في « بح ، بس ».</w:t>
            </w:r>
          </w:p>
        </w:tc>
      </w:tr>
    </w:tbl>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الوافي</w:t>
      </w:r>
      <w:r w:rsidR="00744A1C">
        <w:rPr>
          <w:rtl/>
          <w:lang w:bidi="fa-IR"/>
        </w:rPr>
        <w:t xml:space="preserve"> ، ج 14 ، ص 1242 ، ح 14185 ؛ </w:t>
      </w:r>
      <w:r w:rsidR="00744A1C" w:rsidRPr="00C24F9C">
        <w:rPr>
          <w:rStyle w:val="libFootnoteBoldChar"/>
          <w:rtl/>
        </w:rPr>
        <w:t>الوسائل</w:t>
      </w:r>
      <w:r w:rsidR="00744A1C">
        <w:rPr>
          <w:rtl/>
          <w:lang w:bidi="fa-IR"/>
        </w:rPr>
        <w:t xml:space="preserve"> ، ج 11 ، ص 281 ، ح 14804.</w:t>
      </w:r>
    </w:p>
    <w:p w:rsidR="00744A1C" w:rsidRDefault="00E378DD" w:rsidP="00E378DD">
      <w:pPr>
        <w:pStyle w:val="libFootnote0"/>
        <w:rPr>
          <w:lang w:bidi="fa-IR"/>
        </w:rPr>
      </w:pPr>
      <w:r>
        <w:rPr>
          <w:rtl/>
          <w:lang w:bidi="fa-IR"/>
        </w:rPr>
        <w:t>(11).</w:t>
      </w:r>
      <w:r w:rsidR="00744A1C">
        <w:rPr>
          <w:rtl/>
          <w:lang w:bidi="fa-IR"/>
        </w:rPr>
        <w:t xml:space="preserve"> هكذا في « ى ، بث ، بح ، بخ ، بس ، بف ، جد ، جر » و</w:t>
      </w:r>
      <w:r w:rsidR="00744A1C" w:rsidRPr="00C24F9C">
        <w:rPr>
          <w:rStyle w:val="libFootnoteBoldChar"/>
          <w:rtl/>
        </w:rPr>
        <w:t>الوسائل</w:t>
      </w:r>
      <w:r w:rsidR="00744A1C">
        <w:rPr>
          <w:rtl/>
          <w:lang w:bidi="fa-IR"/>
        </w:rPr>
        <w:t xml:space="preserve"> </w:t>
      </w:r>
      <w:r w:rsidR="00744A1C" w:rsidRPr="00C24F9C">
        <w:rPr>
          <w:rStyle w:val="libFootnoteBoldChar"/>
          <w:rtl/>
        </w:rPr>
        <w:t>والاستبصار</w:t>
      </w:r>
      <w:r w:rsidR="00744A1C">
        <w:rPr>
          <w:rtl/>
          <w:lang w:bidi="fa-IR"/>
        </w:rPr>
        <w:t xml:space="preserve">. وفي المطبوع : + « [ عن أبي عبد الله </w:t>
      </w:r>
      <w:r w:rsidR="0061079A" w:rsidRPr="0061079A">
        <w:rPr>
          <w:rStyle w:val="libFootnoteAlaemChar"/>
          <w:rtl/>
        </w:rPr>
        <w:t>عليه‌السلام</w:t>
      </w:r>
      <w:r w:rsidR="00D10E3C">
        <w:rPr>
          <w:rtl/>
          <w:lang w:bidi="fa-IR"/>
        </w:rPr>
        <w:t xml:space="preserve"> </w:t>
      </w:r>
      <w:r w:rsidR="00744A1C">
        <w:rPr>
          <w:rtl/>
          <w:lang w:bidi="fa-IR"/>
        </w:rPr>
        <w:t>] ».</w:t>
      </w:r>
    </w:p>
    <w:p w:rsidR="00744A1C" w:rsidRDefault="00744A1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قُلْتُ </w:t>
      </w:r>
      <w:r w:rsidRPr="00D10E3C">
        <w:rPr>
          <w:rStyle w:val="libFootnotenumChar"/>
          <w:rtl/>
        </w:rPr>
        <w:t>(1)</w:t>
      </w:r>
      <w:r>
        <w:rPr>
          <w:rtl/>
          <w:lang w:bidi="fa-IR"/>
        </w:rPr>
        <w:t xml:space="preserve"> : رَجُلٌ كَانَ مُتَمَتِّعاً ، وَأَهَلَّ بِالْحَجِّ.</w:t>
      </w:r>
    </w:p>
    <w:p w:rsidR="00144FA6" w:rsidRDefault="00744A1C" w:rsidP="00744A1C">
      <w:pPr>
        <w:pStyle w:val="libNormal"/>
        <w:rPr>
          <w:rtl/>
          <w:lang w:bidi="fa-IR"/>
        </w:rPr>
      </w:pPr>
      <w:r>
        <w:rPr>
          <w:rtl/>
          <w:lang w:bidi="fa-IR"/>
        </w:rPr>
        <w:t xml:space="preserve">قَالَ : لَايَطُوفُ بِالْبَيْتِ حَتّى يَأْتِيَ عَرَفَاتٍ ، فَإِذَا </w:t>
      </w:r>
      <w:r w:rsidRPr="00D10E3C">
        <w:rPr>
          <w:rStyle w:val="libFootnotenumChar"/>
          <w:rtl/>
        </w:rPr>
        <w:t>(2)</w:t>
      </w:r>
      <w:r>
        <w:rPr>
          <w:rtl/>
          <w:lang w:bidi="fa-IR"/>
        </w:rPr>
        <w:t xml:space="preserve"> هُوَ طَافَ قَبْلَ أَنْ يَأْتِيَ مِنًى مِنْ غَيْرِ عِلَّةٍ ، فَلَا يَعْتَدَّ بِذلِكَ الطَّوَافِ. </w:t>
      </w:r>
      <w:r w:rsidRPr="00D10E3C">
        <w:rPr>
          <w:rStyle w:val="libFootnotenumChar"/>
          <w:rtl/>
        </w:rPr>
        <w:t>(3)</w:t>
      </w:r>
    </w:p>
    <w:p w:rsidR="00144FA6" w:rsidRDefault="00744A1C" w:rsidP="00744A1C">
      <w:pPr>
        <w:pStyle w:val="libNormal"/>
        <w:rPr>
          <w:rtl/>
          <w:lang w:bidi="fa-IR"/>
        </w:rPr>
      </w:pPr>
      <w:r>
        <w:rPr>
          <w:rtl/>
          <w:lang w:bidi="fa-IR"/>
        </w:rPr>
        <w:t>7724 / 5. عَلِيُّ بْنُ إِبْرَاهِيمَ ، عَنْ أَبِيهِ ، عَنْ إِسْمَاعِيلَ بْنِ مَرَّارٍ ، عَنْ يُونُسَ ، عَنْ إِسْمَاعِيلَ بْنِ عَبْدِ الْخَالِقِ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لَا بَأْسَ أَنْ </w:t>
      </w:r>
      <w:r w:rsidRPr="00D10E3C">
        <w:rPr>
          <w:rStyle w:val="libFootnotenumChar"/>
          <w:rtl/>
        </w:rPr>
        <w:t>(4)</w:t>
      </w:r>
      <w:r>
        <w:rPr>
          <w:rtl/>
          <w:lang w:bidi="fa-IR"/>
        </w:rPr>
        <w:t xml:space="preserve"> يُعَجِّلَ الشَّيْخُ الْكَبِيرُ وَالْمَرِيضُ وَالْمَرْأَةُ وَالْمَعْلُولُ طَوَافَ الْحَجِّ قَبْلَ أَنْ يَخْرُجَ </w:t>
      </w:r>
      <w:r w:rsidRPr="00D10E3C">
        <w:rPr>
          <w:rStyle w:val="libFootnotenumChar"/>
          <w:rtl/>
        </w:rPr>
        <w:t>(5)</w:t>
      </w:r>
      <w:r>
        <w:rPr>
          <w:rtl/>
          <w:lang w:bidi="fa-IR"/>
        </w:rPr>
        <w:t xml:space="preserve"> إِلى مِنًى ». </w:t>
      </w:r>
      <w:r w:rsidRPr="00D10E3C">
        <w:rPr>
          <w:rStyle w:val="libFootnotenumChar"/>
          <w:rtl/>
        </w:rPr>
        <w:t>(6)</w:t>
      </w:r>
    </w:p>
    <w:p w:rsidR="00744A1C" w:rsidRDefault="00744A1C" w:rsidP="0048377F">
      <w:pPr>
        <w:pStyle w:val="Heading2Center"/>
        <w:rPr>
          <w:lang w:bidi="fa-IR"/>
        </w:rPr>
      </w:pPr>
      <w:bookmarkStart w:id="5" w:name="_Toc49261303"/>
      <w:r>
        <w:rPr>
          <w:rtl/>
          <w:lang w:bidi="fa-IR"/>
        </w:rPr>
        <w:t>160 - بَابُ تَقْدِيمِ الطَّوَافِ لِلْمُفْرِدِ‌</w:t>
      </w:r>
      <w:bookmarkEnd w:id="5"/>
    </w:p>
    <w:p w:rsidR="00144FA6" w:rsidRDefault="00744A1C" w:rsidP="00744A1C">
      <w:pPr>
        <w:pStyle w:val="libNormal"/>
        <w:rPr>
          <w:rtl/>
          <w:lang w:bidi="fa-IR"/>
        </w:rPr>
      </w:pPr>
      <w:r>
        <w:rPr>
          <w:rtl/>
          <w:lang w:bidi="fa-IR"/>
        </w:rPr>
        <w:t xml:space="preserve">7725 / 1. مُحَمَّدُ بْنُ يَحْيى ، عَنْ أَحْمَدَ بْنِ مُحَمَّدٍ ، عَنِ ابْنِ فَضَّالٍ ، عَنِ </w:t>
      </w:r>
      <w:r w:rsidR="0048377F">
        <w:rPr>
          <w:rtl/>
          <w:lang w:bidi="fa-IR"/>
        </w:rPr>
        <w:t>ابْنِ بُكَيْرٍ ، عَنْ زُرَارَةَ</w:t>
      </w:r>
      <w:r>
        <w:rPr>
          <w:rtl/>
          <w:lang w:bidi="fa-IR"/>
        </w:rPr>
        <w:t>، قَالَ :</w:t>
      </w:r>
    </w:p>
    <w:p w:rsidR="00744A1C" w:rsidRDefault="00744A1C" w:rsidP="00744A1C">
      <w:pPr>
        <w:pStyle w:val="libNormal"/>
        <w:rPr>
          <w:lang w:bidi="fa-IR"/>
        </w:rPr>
      </w:pPr>
      <w:r>
        <w:rPr>
          <w:rtl/>
          <w:lang w:bidi="fa-IR"/>
        </w:rPr>
        <w:t xml:space="preserve">سَأَلْتُ أَبَا جَعْفَرٍ </w:t>
      </w:r>
      <w:r w:rsidR="0061079A" w:rsidRPr="0061079A">
        <w:rPr>
          <w:rStyle w:val="libAlaemChar"/>
          <w:rtl/>
        </w:rPr>
        <w:t>عليه‌السلام</w:t>
      </w:r>
      <w:r w:rsidR="00D10E3C">
        <w:rPr>
          <w:rtl/>
          <w:lang w:bidi="fa-IR"/>
        </w:rPr>
        <w:t xml:space="preserve"> </w:t>
      </w:r>
      <w:r w:rsidRPr="00D10E3C">
        <w:rPr>
          <w:rStyle w:val="libFootnotenumChar"/>
          <w:rtl/>
        </w:rPr>
        <w:t>(7)</w:t>
      </w:r>
      <w:r>
        <w:rPr>
          <w:rtl/>
          <w:lang w:bidi="fa-IR"/>
        </w:rPr>
        <w:t xml:space="preserve"> عَنِ الْمُفْرِدِ لِلْحَجِّ يَدْخُلُ مَكَّةَ : يُقَدِّمُ </w:t>
      </w:r>
      <w:r w:rsidRPr="00D10E3C">
        <w:rPr>
          <w:rStyle w:val="libFootnotenumChar"/>
          <w:rtl/>
        </w:rPr>
        <w:t>(8)</w:t>
      </w:r>
      <w:r>
        <w:rPr>
          <w:rtl/>
          <w:lang w:bidi="fa-IR"/>
        </w:rPr>
        <w:t xml:space="preserve"> طَوَافَهُ ، أَوْ يُؤَخِّرُهُ؟</w:t>
      </w:r>
    </w:p>
    <w:p w:rsidR="00144FA6" w:rsidRDefault="00744A1C" w:rsidP="00744A1C">
      <w:pPr>
        <w:pStyle w:val="libNormal"/>
        <w:rPr>
          <w:rtl/>
          <w:lang w:bidi="fa-IR"/>
        </w:rPr>
      </w:pPr>
      <w:r>
        <w:rPr>
          <w:rtl/>
          <w:lang w:bidi="fa-IR"/>
        </w:rPr>
        <w:t xml:space="preserve">فَقَالَ : « سَوَاءٌ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 قال : قلت لأبي عبد الله </w:t>
      </w:r>
      <w:r w:rsidR="0061079A" w:rsidRPr="0061079A">
        <w:rPr>
          <w:rStyle w:val="libFootnoteAlaemChar"/>
          <w:rtl/>
        </w:rPr>
        <w:t>عليه‌السلام</w:t>
      </w:r>
      <w:r>
        <w:rPr>
          <w:rtl/>
          <w:lang w:bidi="fa-IR"/>
        </w:rPr>
        <w:t xml:space="preserve"> </w:t>
      </w:r>
      <w:r w:rsidR="00744A1C">
        <w:rPr>
          <w:rtl/>
          <w:lang w:bidi="fa-IR"/>
        </w:rPr>
        <w:t xml:space="preserve">». لكنّه لم ترد هذه العبارة في بعض نسخ </w:t>
      </w:r>
      <w:r w:rsidR="00744A1C" w:rsidRPr="00C24F9C">
        <w:rPr>
          <w:rStyle w:val="libFootnoteBoldChar"/>
          <w:rtl/>
        </w:rPr>
        <w:t>التهذيب</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 ى ، بخ ، بف ، جد » وحاشية « بح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فإن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130 ، ح 429 ؛ </w:t>
      </w:r>
      <w:r w:rsidR="00744A1C" w:rsidRPr="00C24F9C">
        <w:rPr>
          <w:rStyle w:val="libFootnoteBoldChar"/>
          <w:rtl/>
        </w:rPr>
        <w:t>والاستبصار</w:t>
      </w:r>
      <w:r w:rsidR="00744A1C">
        <w:rPr>
          <w:rtl/>
          <w:lang w:bidi="fa-IR"/>
        </w:rPr>
        <w:t xml:space="preserve"> ، ج 2 ، ص 229 ، ح 739 ، معلّقاً عن الكليني </w:t>
      </w:r>
      <w:r w:rsidR="0048377F">
        <w:rPr>
          <w:rFonts w:hint="cs"/>
          <w:rtl/>
          <w:lang w:bidi="fa-IR"/>
        </w:rPr>
        <w:t>.</w:t>
      </w:r>
      <w:r w:rsidR="00744A1C" w:rsidRPr="00C24F9C">
        <w:rPr>
          <w:rStyle w:val="libFootnoteBoldChar"/>
          <w:rtl/>
        </w:rPr>
        <w:t>الوافي</w:t>
      </w:r>
      <w:r w:rsidR="00744A1C">
        <w:rPr>
          <w:rtl/>
          <w:lang w:bidi="fa-IR"/>
        </w:rPr>
        <w:t xml:space="preserve"> ، ج 14 ، ص 1242 ، ح 14183 ؛ </w:t>
      </w:r>
      <w:r w:rsidR="00744A1C" w:rsidRPr="00C24F9C">
        <w:rPr>
          <w:rStyle w:val="libFootnoteBoldChar"/>
          <w:rtl/>
        </w:rPr>
        <w:t>الوسائل</w:t>
      </w:r>
      <w:r w:rsidR="00744A1C">
        <w:rPr>
          <w:rtl/>
          <w:lang w:bidi="fa-IR"/>
        </w:rPr>
        <w:t xml:space="preserve"> ، ج 11 ، ص 281 ، ح 14805.</w:t>
      </w:r>
    </w:p>
    <w:tbl>
      <w:tblPr>
        <w:tblStyle w:val="TableGrid"/>
        <w:bidiVisual/>
        <w:tblW w:w="0" w:type="auto"/>
        <w:tblLook w:val="04A0" w:firstRow="1" w:lastRow="0" w:firstColumn="1" w:lastColumn="0" w:noHBand="0" w:noVBand="1"/>
      </w:tblPr>
      <w:tblGrid>
        <w:gridCol w:w="4006"/>
        <w:gridCol w:w="4006"/>
      </w:tblGrid>
      <w:tr w:rsidR="00C63212" w:rsidTr="00C63212">
        <w:tc>
          <w:tcPr>
            <w:tcW w:w="4006" w:type="dxa"/>
          </w:tcPr>
          <w:p w:rsidR="00C63212" w:rsidRDefault="00C63212" w:rsidP="00E378DD">
            <w:pPr>
              <w:pStyle w:val="libFootnote0"/>
              <w:rPr>
                <w:rtl/>
                <w:lang w:bidi="fa-IR"/>
              </w:rPr>
            </w:pPr>
            <w:r>
              <w:rPr>
                <w:rtl/>
                <w:lang w:bidi="fa-IR"/>
              </w:rPr>
              <w:t>(4). في « جد » : « بأن ».</w:t>
            </w:r>
          </w:p>
        </w:tc>
        <w:tc>
          <w:tcPr>
            <w:tcW w:w="4006" w:type="dxa"/>
          </w:tcPr>
          <w:p w:rsidR="00C63212" w:rsidRDefault="00C63212" w:rsidP="00E378DD">
            <w:pPr>
              <w:pStyle w:val="libFootnote0"/>
              <w:rPr>
                <w:rtl/>
                <w:lang w:bidi="fa-IR"/>
              </w:rPr>
            </w:pPr>
            <w:r>
              <w:rPr>
                <w:rtl/>
                <w:lang w:bidi="fa-IR"/>
              </w:rPr>
              <w:t xml:space="preserve">(5). في </w:t>
            </w:r>
            <w:r w:rsidRPr="00C24F9C">
              <w:rPr>
                <w:rStyle w:val="libFootnoteBoldChar"/>
                <w:rtl/>
              </w:rPr>
              <w:t>الوافي</w:t>
            </w:r>
            <w:r>
              <w:rPr>
                <w:rtl/>
                <w:lang w:bidi="fa-IR"/>
              </w:rPr>
              <w:t xml:space="preserve"> </w:t>
            </w:r>
            <w:r w:rsidRPr="0061079A">
              <w:rPr>
                <w:rStyle w:val="libFootnoteBoldChar"/>
                <w:rtl/>
              </w:rPr>
              <w:t>والتهذيب</w:t>
            </w:r>
            <w:r>
              <w:rPr>
                <w:rtl/>
                <w:lang w:bidi="fa-IR"/>
              </w:rPr>
              <w:t xml:space="preserve"> </w:t>
            </w:r>
            <w:r w:rsidRPr="00C24F9C">
              <w:rPr>
                <w:rStyle w:val="libFootnoteBoldChar"/>
                <w:rtl/>
              </w:rPr>
              <w:t>والاستبصار</w:t>
            </w:r>
            <w:r>
              <w:rPr>
                <w:rtl/>
                <w:lang w:bidi="fa-IR"/>
              </w:rPr>
              <w:t xml:space="preserve"> : « أن يخرجوا ».</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131 ، ح 431 ؛ </w:t>
      </w:r>
      <w:r w:rsidR="00744A1C" w:rsidRPr="00C24F9C">
        <w:rPr>
          <w:rStyle w:val="libFootnoteBoldChar"/>
          <w:rtl/>
        </w:rPr>
        <w:t>والاستبصار</w:t>
      </w:r>
      <w:r w:rsidR="00744A1C">
        <w:rPr>
          <w:rtl/>
          <w:lang w:bidi="fa-IR"/>
        </w:rPr>
        <w:t xml:space="preserve"> ، ج 2 ، ص 230 ، ح 795 ، معلّقاً عن الكليني </w:t>
      </w:r>
      <w:r w:rsidR="003851A9">
        <w:rPr>
          <w:rFonts w:hint="cs"/>
          <w:rtl/>
          <w:lang w:bidi="fa-IR"/>
        </w:rPr>
        <w:t>.</w:t>
      </w:r>
      <w:r w:rsidR="00744A1C" w:rsidRPr="00C24F9C">
        <w:rPr>
          <w:rStyle w:val="libFootnoteBoldChar"/>
          <w:rtl/>
        </w:rPr>
        <w:t>الوافي</w:t>
      </w:r>
      <w:r w:rsidR="00744A1C">
        <w:rPr>
          <w:rtl/>
          <w:lang w:bidi="fa-IR"/>
        </w:rPr>
        <w:t xml:space="preserve"> ، ج 14 ، ص 1242 ، ح 14184 ؛ </w:t>
      </w:r>
      <w:r w:rsidR="00744A1C" w:rsidRPr="00C24F9C">
        <w:rPr>
          <w:rStyle w:val="libFootnoteBoldChar"/>
          <w:rtl/>
        </w:rPr>
        <w:t>الوسائل</w:t>
      </w:r>
      <w:r w:rsidR="00744A1C">
        <w:rPr>
          <w:rtl/>
          <w:lang w:bidi="fa-IR"/>
        </w:rPr>
        <w:t xml:space="preserve"> ، ج 11 ، ص 281 ، ح 14806.</w:t>
      </w:r>
    </w:p>
    <w:p w:rsidR="00744A1C" w:rsidRDefault="00E378DD" w:rsidP="00E378DD">
      <w:pPr>
        <w:pStyle w:val="libFootnote0"/>
        <w:rPr>
          <w:lang w:bidi="fa-IR"/>
        </w:rPr>
      </w:pPr>
      <w:r>
        <w:rPr>
          <w:rtl/>
          <w:lang w:bidi="fa-IR"/>
        </w:rPr>
        <w:t>(7).</w:t>
      </w:r>
      <w:r w:rsidR="00516901">
        <w:rPr>
          <w:rtl/>
          <w:lang w:bidi="fa-IR"/>
        </w:rPr>
        <w:t xml:space="preserve"> في « بخ ، بف ، جد</w:t>
      </w:r>
      <w:r w:rsidR="00744A1C">
        <w:rPr>
          <w:rtl/>
          <w:lang w:bidi="fa-IR"/>
        </w:rPr>
        <w:t>» و</w:t>
      </w:r>
      <w:r w:rsidR="00744A1C" w:rsidRPr="00C24F9C">
        <w:rPr>
          <w:rStyle w:val="libFootnoteBoldChar"/>
          <w:rtl/>
        </w:rPr>
        <w:t>الوافي</w:t>
      </w:r>
      <w:r w:rsidR="00516901">
        <w:rPr>
          <w:rtl/>
          <w:lang w:bidi="fa-IR"/>
        </w:rPr>
        <w:t xml:space="preserve"> : «</w:t>
      </w:r>
      <w:r w:rsidR="00744A1C">
        <w:rPr>
          <w:rtl/>
          <w:lang w:bidi="fa-IR"/>
        </w:rPr>
        <w:t xml:space="preserve">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قال : سألته » بدل « قال : سألت أبا جعفر </w:t>
      </w:r>
      <w:r w:rsidR="0061079A" w:rsidRPr="0061079A">
        <w:rPr>
          <w:rStyle w:val="libFootnoteAlaemChar"/>
          <w:rtl/>
        </w:rPr>
        <w:t>عليه‌السلام</w:t>
      </w:r>
      <w:r w:rsidR="00744A1C">
        <w:rPr>
          <w:rtl/>
          <w:lang w:bidi="fa-IR"/>
        </w:rPr>
        <w:t>».</w:t>
      </w:r>
    </w:p>
    <w:p w:rsidR="00744A1C" w:rsidRDefault="00E378DD" w:rsidP="00E378DD">
      <w:pPr>
        <w:pStyle w:val="libFootnote0"/>
        <w:rPr>
          <w:lang w:bidi="fa-IR"/>
        </w:rPr>
      </w:pPr>
      <w:r>
        <w:rPr>
          <w:rtl/>
          <w:lang w:bidi="fa-IR"/>
        </w:rPr>
        <w:t>(8).</w:t>
      </w:r>
      <w:r w:rsidR="00744A1C">
        <w:rPr>
          <w:rtl/>
          <w:lang w:bidi="fa-IR"/>
        </w:rPr>
        <w:t xml:space="preserve"> في « بح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أيقدّم ».</w:t>
      </w:r>
    </w:p>
    <w:p w:rsidR="00744A1C" w:rsidRDefault="00E378DD" w:rsidP="00E378DD">
      <w:pPr>
        <w:pStyle w:val="libFootnote0"/>
        <w:rPr>
          <w:lang w:bidi="fa-IR"/>
        </w:rPr>
      </w:pPr>
      <w:r>
        <w:rPr>
          <w:rtl/>
          <w:lang w:bidi="fa-IR"/>
        </w:rPr>
        <w:t>(9).</w:t>
      </w:r>
      <w:r w:rsidR="00744A1C">
        <w:rPr>
          <w:rtl/>
          <w:lang w:bidi="fa-IR"/>
        </w:rPr>
        <w:t xml:space="preserve"> في </w:t>
      </w:r>
      <w:r w:rsidR="00744A1C" w:rsidRPr="00877682">
        <w:rPr>
          <w:rStyle w:val="libFootnoteBoldChar"/>
          <w:rtl/>
        </w:rPr>
        <w:t>مرآة العقول</w:t>
      </w:r>
      <w:r w:rsidR="00744A1C">
        <w:rPr>
          <w:rtl/>
          <w:lang w:bidi="fa-IR"/>
        </w:rPr>
        <w:t xml:space="preserve"> ، ج 18 ، ص 114 : « يدلّ على أنّه يجوز للمفرد تقديم الطواف اختياراً ، كما هو المشهور. وذهب الشيخ وجماعة من الأصحاب إلى وجوب </w:t>
      </w:r>
      <w:r w:rsidR="003851A9">
        <w:rPr>
          <w:rtl/>
          <w:lang w:bidi="fa-IR"/>
        </w:rPr>
        <w:t>تجديد التلبية ؛ لئل</w:t>
      </w:r>
      <w:r w:rsidR="003851A9">
        <w:rPr>
          <w:rFonts w:hint="cs"/>
          <w:rtl/>
          <w:lang w:bidi="fa-IR"/>
        </w:rPr>
        <w:t>ّ</w:t>
      </w:r>
      <w:r w:rsidR="003851A9">
        <w:rPr>
          <w:rtl/>
          <w:lang w:bidi="fa-IR"/>
        </w:rPr>
        <w:t>ا</w:t>
      </w:r>
      <w:r w:rsidR="00744A1C">
        <w:rPr>
          <w:rtl/>
          <w:lang w:bidi="fa-IR"/>
        </w:rPr>
        <w:t xml:space="preserve"> ينقلب حجّه عمرة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5 ، ص 45 ، ح 134 ؛ وص 131 ، ح 433 ، معلّقاً عن الكليني. راجع : </w:t>
      </w:r>
      <w:r w:rsidR="00744A1C" w:rsidRPr="00C24F9C">
        <w:rPr>
          <w:rStyle w:val="libFootnoteBoldChar"/>
          <w:rtl/>
        </w:rPr>
        <w:t>الفقيه</w:t>
      </w:r>
      <w:r w:rsidR="00744A1C">
        <w:rPr>
          <w:rtl/>
          <w:lang w:bidi="fa-IR"/>
        </w:rPr>
        <w:t xml:space="preserve"> ، ج 2 ، ص 387 ، </w:t>
      </w:r>
      <w:r w:rsidR="003851A9">
        <w:rPr>
          <w:rFonts w:hint="cs"/>
          <w:rtl/>
          <w:lang w:bidi="fa-IR"/>
        </w:rPr>
        <w:t>=</w:t>
      </w:r>
    </w:p>
    <w:p w:rsidR="00744A1C" w:rsidRDefault="00744A1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7726 / 2. عِدَّةٌ مِنْ أَصْحَابِنَا ، عَنْ أَحْمَدَ بْنِ مُحَمَّدٍ ، عَنِ الْحُسَيْنِ بْنِ سَعِيدٍ ، عَنْ صَفْوَانَ بْنِ يَحْيى </w:t>
      </w:r>
      <w:r w:rsidRPr="00D10E3C">
        <w:rPr>
          <w:rStyle w:val="libFootnotenumChar"/>
          <w:rtl/>
        </w:rPr>
        <w:t>(1)</w:t>
      </w:r>
      <w:r>
        <w:rPr>
          <w:rtl/>
          <w:lang w:bidi="fa-IR"/>
        </w:rPr>
        <w:t xml:space="preserve"> ، عَنْ حَمَّادِ بْنِ عُثْمَانَ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مُفْرِدِ الْحَجِّ </w:t>
      </w:r>
      <w:r w:rsidRPr="00D10E3C">
        <w:rPr>
          <w:rStyle w:val="libFootnotenumChar"/>
          <w:rtl/>
        </w:rPr>
        <w:t>(2)</w:t>
      </w:r>
      <w:r>
        <w:rPr>
          <w:rtl/>
          <w:lang w:bidi="fa-IR"/>
        </w:rPr>
        <w:t xml:space="preserve"> : يُقَدِّمُ </w:t>
      </w:r>
      <w:r w:rsidRPr="00D10E3C">
        <w:rPr>
          <w:rStyle w:val="libFootnotenumChar"/>
          <w:rtl/>
        </w:rPr>
        <w:t>(3)</w:t>
      </w:r>
      <w:r>
        <w:rPr>
          <w:rtl/>
          <w:lang w:bidi="fa-IR"/>
        </w:rPr>
        <w:t xml:space="preserve"> طَوَافَهُ ، أَوْ يُؤَخِّرُهُ </w:t>
      </w:r>
      <w:r w:rsidRPr="00D10E3C">
        <w:rPr>
          <w:rStyle w:val="libFootnotenumChar"/>
          <w:rtl/>
        </w:rPr>
        <w:t>(4)</w:t>
      </w:r>
      <w:r>
        <w:rPr>
          <w:rtl/>
          <w:lang w:bidi="fa-IR"/>
        </w:rPr>
        <w:t>؟</w:t>
      </w:r>
    </w:p>
    <w:p w:rsidR="00144FA6" w:rsidRDefault="00744A1C" w:rsidP="00744A1C">
      <w:pPr>
        <w:pStyle w:val="libNormal"/>
        <w:rPr>
          <w:rtl/>
          <w:lang w:bidi="fa-IR"/>
        </w:rPr>
      </w:pPr>
      <w:r>
        <w:rPr>
          <w:rtl/>
          <w:lang w:bidi="fa-IR"/>
        </w:rPr>
        <w:t xml:space="preserve">فَقَالَ : « هُوَ وَاللهِ سَوَاءٌ عَجَّلَهُ ، أَوْ أَخَّرَهُ ». </w:t>
      </w:r>
      <w:r w:rsidRPr="00D10E3C">
        <w:rPr>
          <w:rStyle w:val="libFootnotenumChar"/>
          <w:rtl/>
        </w:rPr>
        <w:t>(5)</w:t>
      </w:r>
    </w:p>
    <w:p w:rsidR="00144FA6" w:rsidRDefault="00744A1C" w:rsidP="00744A1C">
      <w:pPr>
        <w:pStyle w:val="libNormal"/>
        <w:rPr>
          <w:rtl/>
          <w:lang w:bidi="fa-IR"/>
        </w:rPr>
      </w:pPr>
      <w:r>
        <w:rPr>
          <w:rtl/>
          <w:lang w:bidi="fa-IR"/>
        </w:rPr>
        <w:t>7727 / 3. مُحَمَّدُ بْنُ يَحْيى ، عَنْ أَحْمَدَ بْنِ مُحَمَّدٍ ، عَنِ الْحَسَنِ بْنِ عَلِيٍّ ، عَنِ ابْنِ بُكَيْرٍ ، عَنْ زُرَارَةَ ، قَالَ :</w:t>
      </w:r>
    </w:p>
    <w:p w:rsidR="00744A1C" w:rsidRDefault="00744A1C" w:rsidP="00744A1C">
      <w:pPr>
        <w:pStyle w:val="libNormal"/>
        <w:rPr>
          <w:lang w:bidi="fa-IR"/>
        </w:rPr>
      </w:pPr>
      <w:r>
        <w:rPr>
          <w:rtl/>
          <w:lang w:bidi="fa-IR"/>
        </w:rPr>
        <w:t xml:space="preserve">سَأَلْتُ أَبَا جَعْفَرٍ </w:t>
      </w:r>
      <w:r w:rsidR="0061079A" w:rsidRPr="0061079A">
        <w:rPr>
          <w:rStyle w:val="libAlaemChar"/>
          <w:rtl/>
        </w:rPr>
        <w:t>عليه‌السلام</w:t>
      </w:r>
      <w:r w:rsidR="00D10E3C">
        <w:rPr>
          <w:rtl/>
          <w:lang w:bidi="fa-IR"/>
        </w:rPr>
        <w:t xml:space="preserve"> </w:t>
      </w:r>
      <w:r>
        <w:rPr>
          <w:rtl/>
          <w:lang w:bidi="fa-IR"/>
        </w:rPr>
        <w:t xml:space="preserve">عَنْ مُفْرِدِ الْحَجِّ : يُقَدِّمُ طَوَافَهُ ، أَوْ يُؤَخِّرُهُ </w:t>
      </w:r>
      <w:r w:rsidRPr="00D10E3C">
        <w:rPr>
          <w:rStyle w:val="libFootnotenumChar"/>
          <w:rtl/>
        </w:rPr>
        <w:t>(6)</w:t>
      </w:r>
      <w:r>
        <w:rPr>
          <w:rtl/>
          <w:lang w:bidi="fa-IR"/>
        </w:rPr>
        <w:t>؟ قَالَ : « يُقَدِّمُهُ ».</w:t>
      </w:r>
    </w:p>
    <w:p w:rsidR="00744A1C" w:rsidRDefault="00744A1C" w:rsidP="00744A1C">
      <w:pPr>
        <w:pStyle w:val="libNormal"/>
        <w:rPr>
          <w:lang w:bidi="fa-IR"/>
        </w:rPr>
      </w:pPr>
      <w:r>
        <w:rPr>
          <w:rtl/>
          <w:lang w:bidi="fa-IR"/>
        </w:rPr>
        <w:t xml:space="preserve">فَقَالَ رَجُلٌ إِلى جَنْبِهِ </w:t>
      </w:r>
      <w:r w:rsidRPr="00D10E3C">
        <w:rPr>
          <w:rStyle w:val="libFootnotenumChar"/>
          <w:rtl/>
        </w:rPr>
        <w:t>(7)</w:t>
      </w:r>
      <w:r>
        <w:rPr>
          <w:rtl/>
          <w:lang w:bidi="fa-IR"/>
        </w:rPr>
        <w:t xml:space="preserve"> : لكِنَّ شَيْخِي لَمْ يَفْعَلْ ذلِكَ ، كَانَ إِذَا قَدِمَ أَقَامَ بِفَخٍّ </w:t>
      </w:r>
      <w:r w:rsidRPr="00D10E3C">
        <w:rPr>
          <w:rStyle w:val="libFootnotenumChar"/>
          <w:rtl/>
        </w:rPr>
        <w:t>(8)</w:t>
      </w:r>
      <w:r>
        <w:rPr>
          <w:rtl/>
          <w:lang w:bidi="fa-IR"/>
        </w:rPr>
        <w:t xml:space="preserve"> ، حَتّى إِذَا رَجَعَ </w:t>
      </w:r>
      <w:r w:rsidRPr="00D10E3C">
        <w:rPr>
          <w:rStyle w:val="libFootnotenumChar"/>
          <w:rtl/>
        </w:rPr>
        <w:t>(9)</w:t>
      </w:r>
      <w:r>
        <w:rPr>
          <w:rtl/>
          <w:lang w:bidi="fa-IR"/>
        </w:rPr>
        <w:t xml:space="preserve"> النَّاسُ إِلى مِنًى </w:t>
      </w:r>
      <w:r w:rsidRPr="00D10E3C">
        <w:rPr>
          <w:rStyle w:val="libFootnotenumChar"/>
          <w:rtl/>
        </w:rPr>
        <w:t>(10)</w:t>
      </w:r>
      <w:r>
        <w:rPr>
          <w:rtl/>
          <w:lang w:bidi="fa-IR"/>
        </w:rPr>
        <w:t xml:space="preserve"> رَاحَ مَعَهُمْ ، فَقُلْتُ لَهُ : مَنْ شَيْخُكَ؟ قَالَ : عَلِيُّ بْنُ‌</w:t>
      </w:r>
    </w:p>
    <w:p w:rsidR="00744A1C" w:rsidRDefault="00744A1C" w:rsidP="00D10E3C">
      <w:pPr>
        <w:pStyle w:val="libLine"/>
        <w:rPr>
          <w:lang w:bidi="fa-IR"/>
        </w:rPr>
      </w:pPr>
      <w:r>
        <w:rPr>
          <w:rtl/>
          <w:lang w:bidi="fa-IR"/>
        </w:rPr>
        <w:t>____________________</w:t>
      </w:r>
    </w:p>
    <w:p w:rsidR="00744A1C" w:rsidRDefault="00601F8B" w:rsidP="00D10E3C">
      <w:pPr>
        <w:pStyle w:val="libFootnote0"/>
        <w:rPr>
          <w:lang w:bidi="fa-IR"/>
        </w:rPr>
      </w:pPr>
      <w:r>
        <w:rPr>
          <w:rFonts w:hint="cs"/>
          <w:rtl/>
          <w:lang w:bidi="fa-IR"/>
        </w:rPr>
        <w:t xml:space="preserve">= </w:t>
      </w:r>
      <w:r w:rsidR="00744A1C">
        <w:rPr>
          <w:rtl/>
          <w:lang w:bidi="fa-IR"/>
        </w:rPr>
        <w:t xml:space="preserve">ح 2779 ؛ </w:t>
      </w:r>
      <w:r w:rsidR="00744A1C" w:rsidRPr="0061079A">
        <w:rPr>
          <w:rStyle w:val="libFootnoteBoldChar"/>
          <w:rtl/>
        </w:rPr>
        <w:t>والتهذيب</w:t>
      </w:r>
      <w:r w:rsidR="00744A1C">
        <w:rPr>
          <w:rtl/>
          <w:lang w:bidi="fa-IR"/>
        </w:rPr>
        <w:t xml:space="preserve"> ، ج 5 ، ص 477 ، ح 1685 </w:t>
      </w:r>
      <w:r w:rsidR="00D55751">
        <w:rPr>
          <w:rFonts w:hint="cs"/>
          <w:rtl/>
          <w:lang w:bidi="fa-IR"/>
        </w:rPr>
        <w:t>.</w:t>
      </w:r>
      <w:r w:rsidR="00744A1C" w:rsidRPr="00C24F9C">
        <w:rPr>
          <w:rStyle w:val="libFootnoteBoldChar"/>
          <w:rtl/>
        </w:rPr>
        <w:t>الوافي</w:t>
      </w:r>
      <w:r w:rsidR="00744A1C">
        <w:rPr>
          <w:rtl/>
          <w:lang w:bidi="fa-IR"/>
        </w:rPr>
        <w:t xml:space="preserve"> ، ج 14 ، ص 1246 ، ح 14196 ؛ </w:t>
      </w:r>
      <w:r w:rsidR="00744A1C" w:rsidRPr="00C24F9C">
        <w:rPr>
          <w:rStyle w:val="libFootnoteBoldChar"/>
          <w:rtl/>
        </w:rPr>
        <w:t>الوسائل</w:t>
      </w:r>
      <w:r w:rsidR="00744A1C">
        <w:rPr>
          <w:rtl/>
          <w:lang w:bidi="fa-IR"/>
        </w:rPr>
        <w:t xml:space="preserve"> ، ج 11 ، ص 283 ، ح 14809.</w:t>
      </w:r>
    </w:p>
    <w:p w:rsidR="00744A1C" w:rsidRDefault="00D10E3C" w:rsidP="00D10E3C">
      <w:pPr>
        <w:pStyle w:val="libFootnote0"/>
        <w:rPr>
          <w:lang w:bidi="fa-IR"/>
        </w:rPr>
      </w:pPr>
      <w:r>
        <w:rPr>
          <w:rtl/>
          <w:lang w:bidi="fa-IR"/>
        </w:rPr>
        <w:t>(1).</w:t>
      </w:r>
      <w:r w:rsidR="00744A1C">
        <w:rPr>
          <w:rtl/>
          <w:lang w:bidi="fa-IR"/>
        </w:rPr>
        <w:t xml:space="preserve"> في « جر » </w:t>
      </w:r>
      <w:r w:rsidR="00744A1C" w:rsidRPr="0061079A">
        <w:rPr>
          <w:rStyle w:val="libFootnoteBoldChar"/>
          <w:rtl/>
        </w:rPr>
        <w:t>والتهذيب</w:t>
      </w:r>
      <w:r w:rsidR="00744A1C">
        <w:rPr>
          <w:rtl/>
          <w:lang w:bidi="fa-IR"/>
        </w:rPr>
        <w:t xml:space="preserve"> : - « بن يحيى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ص 45 : « للحجّ ».</w:t>
      </w:r>
    </w:p>
    <w:p w:rsidR="00744A1C" w:rsidRDefault="00E378DD" w:rsidP="00E378DD">
      <w:pPr>
        <w:pStyle w:val="libFootnote0"/>
        <w:rPr>
          <w:lang w:bidi="fa-IR"/>
        </w:rPr>
      </w:pPr>
      <w:r>
        <w:rPr>
          <w:rtl/>
          <w:lang w:bidi="fa-IR"/>
        </w:rPr>
        <w:t>(3).</w:t>
      </w:r>
      <w:r w:rsidR="00744A1C">
        <w:rPr>
          <w:rtl/>
          <w:lang w:bidi="fa-IR"/>
        </w:rPr>
        <w:t xml:space="preserve"> في « بخ ، بف » </w:t>
      </w:r>
      <w:r w:rsidR="00744A1C" w:rsidRPr="0061079A">
        <w:rPr>
          <w:rStyle w:val="libFootnoteBoldChar"/>
          <w:rtl/>
        </w:rPr>
        <w:t>والتهذيب</w:t>
      </w:r>
      <w:r w:rsidR="00744A1C">
        <w:rPr>
          <w:rtl/>
          <w:lang w:bidi="fa-IR"/>
        </w:rPr>
        <w:t xml:space="preserve"> ، ص 45 : « أيعجّل ». وفي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ص 132 وص 477 : « أيقدّم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ص 132 : « أم يؤخّره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45 ، ح 135 ؛ وص 132 ، ح 434 ، معلّقاً عن الكليني. وفيه ، ص 477 ، ح 1687 ، معلّقاً عن صفوان ، عن حمّاد بن عثمان ، عن محمّد بن أبي عمير ، عن أبي عبدالله </w:t>
      </w:r>
      <w:r w:rsidR="0061079A" w:rsidRPr="0061079A">
        <w:rPr>
          <w:rStyle w:val="libFootnoteAlaemChar"/>
          <w:rtl/>
        </w:rPr>
        <w:t>عليه‌السلام</w:t>
      </w:r>
      <w:r w:rsidR="00D10E3C">
        <w:rPr>
          <w:rtl/>
          <w:lang w:bidi="fa-IR"/>
        </w:rPr>
        <w:t xml:space="preserve"> </w:t>
      </w:r>
      <w:r w:rsidR="00D55751">
        <w:rPr>
          <w:rFonts w:hint="cs"/>
          <w:rtl/>
          <w:lang w:bidi="fa-IR"/>
        </w:rPr>
        <w:t>.</w:t>
      </w:r>
      <w:r w:rsidR="00744A1C" w:rsidRPr="00C24F9C">
        <w:rPr>
          <w:rStyle w:val="libFootnoteBoldChar"/>
          <w:rtl/>
        </w:rPr>
        <w:t>الوافي</w:t>
      </w:r>
      <w:r w:rsidR="00744A1C">
        <w:rPr>
          <w:rtl/>
          <w:lang w:bidi="fa-IR"/>
        </w:rPr>
        <w:t xml:space="preserve"> ، ج 14 ، ص 1246 ، ح 14197 ؛ </w:t>
      </w:r>
      <w:r w:rsidR="00744A1C" w:rsidRPr="00C24F9C">
        <w:rPr>
          <w:rStyle w:val="libFootnoteBoldChar"/>
          <w:rtl/>
        </w:rPr>
        <w:t>الوسائل</w:t>
      </w:r>
      <w:r w:rsidR="00744A1C">
        <w:rPr>
          <w:rtl/>
          <w:lang w:bidi="fa-IR"/>
        </w:rPr>
        <w:t xml:space="preserve"> ، ج 11 ، ص 282 ، ح 14808.</w:t>
      </w:r>
    </w:p>
    <w:p w:rsidR="00744A1C" w:rsidRDefault="00E378DD" w:rsidP="00E378DD">
      <w:pPr>
        <w:pStyle w:val="libFootnote0"/>
        <w:rPr>
          <w:lang w:bidi="fa-IR"/>
        </w:rPr>
      </w:pPr>
      <w:r>
        <w:rPr>
          <w:rtl/>
          <w:lang w:bidi="fa-IR"/>
        </w:rPr>
        <w:t>(6).</w:t>
      </w:r>
      <w:r w:rsidR="00744A1C">
        <w:rPr>
          <w:rtl/>
          <w:lang w:bidi="fa-IR"/>
        </w:rPr>
        <w:t xml:space="preserve"> في « بف » : « ويؤخّره ».</w:t>
      </w:r>
    </w:p>
    <w:p w:rsidR="00744A1C" w:rsidRDefault="00E378DD" w:rsidP="00E378DD">
      <w:pPr>
        <w:pStyle w:val="libFootnote0"/>
        <w:rPr>
          <w:lang w:bidi="fa-IR"/>
        </w:rPr>
      </w:pPr>
      <w:r>
        <w:rPr>
          <w:rtl/>
          <w:lang w:bidi="fa-IR"/>
        </w:rPr>
        <w:t>(7).</w:t>
      </w:r>
      <w:r w:rsidR="00744A1C">
        <w:rPr>
          <w:rtl/>
          <w:lang w:bidi="fa-IR"/>
        </w:rPr>
        <w:t xml:space="preserve"> في « بح » : « جنبي ».</w:t>
      </w:r>
    </w:p>
    <w:p w:rsidR="00744A1C" w:rsidRDefault="00E378DD" w:rsidP="00D55751">
      <w:pPr>
        <w:pStyle w:val="libFootnote0"/>
        <w:rPr>
          <w:lang w:bidi="fa-IR"/>
        </w:rPr>
      </w:pPr>
      <w:r>
        <w:rPr>
          <w:rtl/>
          <w:lang w:bidi="fa-IR"/>
        </w:rPr>
        <w:t>(8).</w:t>
      </w:r>
      <w:r w:rsidR="00744A1C">
        <w:rPr>
          <w:rtl/>
          <w:lang w:bidi="fa-IR"/>
        </w:rPr>
        <w:t xml:space="preserve"> قال ابن الأثير : « فَخٌّ : موضع عند مكّة. وقيل : واد دفن به عبد الله بن عمر ، وهو أيضاً أقطعه النبيّ </w:t>
      </w:r>
      <w:r w:rsidR="005E465D" w:rsidRPr="00516901">
        <w:rPr>
          <w:rStyle w:val="libFootnoteAlaemChar"/>
          <w:rFonts w:eastAsiaTheme="minorHAnsi"/>
          <w:rtl/>
        </w:rPr>
        <w:t>صلى‌الله‌عليه‌وآله</w:t>
      </w:r>
      <w:r w:rsidR="00D55751" w:rsidRPr="00D55751">
        <w:rPr>
          <w:rFonts w:eastAsiaTheme="minorHAnsi"/>
          <w:rtl/>
        </w:rPr>
        <w:t xml:space="preserve"> </w:t>
      </w:r>
      <w:r w:rsidR="00744A1C">
        <w:rPr>
          <w:rtl/>
          <w:lang w:bidi="fa-IR"/>
        </w:rPr>
        <w:t xml:space="preserve">عُظيم بن الحارث المحاربيّ ». وقال الطريحي : « هو بفتح أوّله وتشديد ثانيه : بئر قريبة من </w:t>
      </w:r>
      <w:r w:rsidR="00D55751">
        <w:rPr>
          <w:rtl/>
          <w:lang w:bidi="fa-IR"/>
        </w:rPr>
        <w:t>مكّة على نحو فرسخ ». وقال العل</w:t>
      </w:r>
      <w:r w:rsidR="00D55751">
        <w:rPr>
          <w:rFonts w:hint="cs"/>
          <w:rtl/>
          <w:lang w:bidi="fa-IR"/>
        </w:rPr>
        <w:t>ّ</w:t>
      </w:r>
      <w:r w:rsidR="00D55751">
        <w:rPr>
          <w:rtl/>
          <w:lang w:bidi="fa-IR"/>
        </w:rPr>
        <w:t>ا</w:t>
      </w:r>
      <w:r w:rsidR="00744A1C">
        <w:rPr>
          <w:rtl/>
          <w:lang w:bidi="fa-IR"/>
        </w:rPr>
        <w:t xml:space="preserve">مة المجلسي نحوه. راجع : </w:t>
      </w:r>
      <w:r w:rsidR="00744A1C" w:rsidRPr="00877682">
        <w:rPr>
          <w:rStyle w:val="libFootnoteBoldChar"/>
          <w:rtl/>
        </w:rPr>
        <w:t>النهاية</w:t>
      </w:r>
      <w:r w:rsidR="00744A1C">
        <w:rPr>
          <w:rtl/>
          <w:lang w:bidi="fa-IR"/>
        </w:rPr>
        <w:t xml:space="preserve"> ، ج 3 ، ص 418 ؛ </w:t>
      </w:r>
      <w:r w:rsidR="00744A1C" w:rsidRPr="008A57EB">
        <w:rPr>
          <w:rStyle w:val="libFootnoteBoldChar"/>
          <w:rtl/>
        </w:rPr>
        <w:t>مجمع البحرين</w:t>
      </w:r>
      <w:r w:rsidR="00744A1C">
        <w:rPr>
          <w:rtl/>
          <w:lang w:bidi="fa-IR"/>
        </w:rPr>
        <w:t xml:space="preserve"> ، ج 2 ، ص 438 ( فخخ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راح ».</w:t>
      </w:r>
    </w:p>
    <w:p w:rsidR="00744A1C" w:rsidRDefault="00E378DD" w:rsidP="00E378DD">
      <w:pPr>
        <w:pStyle w:val="libFootnote0"/>
        <w:rPr>
          <w:lang w:bidi="fa-IR"/>
        </w:rPr>
      </w:pPr>
      <w:r>
        <w:rPr>
          <w:rtl/>
          <w:lang w:bidi="fa-IR"/>
        </w:rPr>
        <w:t>(10).</w:t>
      </w:r>
      <w:r w:rsidR="00744A1C">
        <w:rPr>
          <w:rtl/>
          <w:lang w:bidi="fa-IR"/>
        </w:rPr>
        <w:t xml:space="preserve"> في « بس » : - « إلى منى ». وفي </w:t>
      </w:r>
      <w:r w:rsidR="00744A1C" w:rsidRPr="00C24F9C">
        <w:rPr>
          <w:rStyle w:val="libFootnoteBoldChar"/>
          <w:rtl/>
        </w:rPr>
        <w:t>الوافي</w:t>
      </w:r>
      <w:r w:rsidR="00744A1C">
        <w:rPr>
          <w:rtl/>
          <w:lang w:bidi="fa-IR"/>
        </w:rPr>
        <w:t xml:space="preserve"> : « بمنى ».</w:t>
      </w:r>
    </w:p>
    <w:p w:rsidR="00744A1C" w:rsidRDefault="00744A1C" w:rsidP="00D10E3C">
      <w:pPr>
        <w:pStyle w:val="libNormal"/>
        <w:rPr>
          <w:rtl/>
          <w:lang w:bidi="fa-IR"/>
        </w:rPr>
      </w:pPr>
      <w:r>
        <w:rPr>
          <w:rtl/>
          <w:lang w:bidi="fa-IR"/>
        </w:rPr>
        <w:br w:type="page"/>
      </w:r>
    </w:p>
    <w:p w:rsidR="00144FA6" w:rsidRDefault="00744A1C" w:rsidP="00777B6E">
      <w:pPr>
        <w:pStyle w:val="libNormal"/>
        <w:rPr>
          <w:rtl/>
          <w:lang w:bidi="fa-IR"/>
        </w:rPr>
      </w:pPr>
      <w:r>
        <w:rPr>
          <w:rtl/>
          <w:lang w:bidi="fa-IR"/>
        </w:rPr>
        <w:lastRenderedPageBreak/>
        <w:t xml:space="preserve">الْحُسَيْنِ </w:t>
      </w:r>
      <w:r w:rsidR="008859AA" w:rsidRPr="008859AA">
        <w:rPr>
          <w:rStyle w:val="libAlaemChar"/>
          <w:rtl/>
        </w:rPr>
        <w:t>عليهما‌السلام</w:t>
      </w:r>
      <w:r>
        <w:rPr>
          <w:rtl/>
          <w:lang w:bidi="fa-IR"/>
        </w:rPr>
        <w:t xml:space="preserve">، فَسَأَلْتُ عَنِ الرَّجُلِ ، فَإِذَا هُوَ أَخُو عَلِيِّ بْنِ الْحُسَيْنِ </w:t>
      </w:r>
      <w:r w:rsidR="008859AA" w:rsidRPr="008859AA">
        <w:rPr>
          <w:rStyle w:val="libAlaemChar"/>
          <w:rtl/>
        </w:rPr>
        <w:t>عليهما‌السلام</w:t>
      </w:r>
      <w:r>
        <w:rPr>
          <w:rtl/>
          <w:lang w:bidi="fa-IR"/>
        </w:rPr>
        <w:t xml:space="preserve">لِأُمِّهِ </w:t>
      </w:r>
      <w:r w:rsidRPr="00D10E3C">
        <w:rPr>
          <w:rStyle w:val="libFootnotenumChar"/>
          <w:rtl/>
        </w:rPr>
        <w:t>(1)</w:t>
      </w:r>
      <w:r w:rsidR="00777B6E">
        <w:rPr>
          <w:rFonts w:hint="cs"/>
          <w:rtl/>
          <w:lang w:bidi="fa-IR"/>
        </w:rPr>
        <w:t>.</w:t>
      </w:r>
      <w:r w:rsidRPr="00D10E3C">
        <w:rPr>
          <w:rStyle w:val="libFootnotenumChar"/>
          <w:rtl/>
        </w:rPr>
        <w:t>(2)</w:t>
      </w:r>
    </w:p>
    <w:p w:rsidR="00744A1C" w:rsidRDefault="00744A1C" w:rsidP="00777B6E">
      <w:pPr>
        <w:pStyle w:val="Heading2Center"/>
        <w:rPr>
          <w:lang w:bidi="fa-IR"/>
        </w:rPr>
      </w:pPr>
      <w:bookmarkStart w:id="6" w:name="_Toc49261304"/>
      <w:r>
        <w:rPr>
          <w:rtl/>
          <w:lang w:bidi="fa-IR"/>
        </w:rPr>
        <w:t>161 - بَابُ الْخُرُوجِ إِلى مِنًى‌</w:t>
      </w:r>
      <w:bookmarkEnd w:id="6"/>
    </w:p>
    <w:p w:rsidR="00144FA6" w:rsidRDefault="00744A1C" w:rsidP="00744A1C">
      <w:pPr>
        <w:pStyle w:val="libNormal"/>
        <w:rPr>
          <w:rtl/>
          <w:lang w:bidi="fa-IR"/>
        </w:rPr>
      </w:pPr>
      <w:r>
        <w:rPr>
          <w:rtl/>
          <w:lang w:bidi="fa-IR"/>
        </w:rPr>
        <w:t xml:space="preserve">7728 / 1. أَبُو عَلِيٍّ الْأَشْعَرِيُّ ، عَنْ مُحَمَّدِ بْنِ عَبْدِ الْجَبَّارِ ، عَنْ صَفْوَانَ بْنِ يَحْيى </w:t>
      </w:r>
      <w:r w:rsidRPr="00D10E3C">
        <w:rPr>
          <w:rStyle w:val="libFootnotenumChar"/>
          <w:rtl/>
        </w:rPr>
        <w:t>(3)</w:t>
      </w:r>
      <w:r>
        <w:rPr>
          <w:rtl/>
          <w:lang w:bidi="fa-IR"/>
        </w:rPr>
        <w:t xml:space="preserve"> ، عَنْ إِسْحَاقَ بْنِ عَمَّارٍ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سَأَلْتُهُ عَنِ الرَّجُلِ يَكُونُ شَيْخاً كَبِيراً ، أَوْ مَرِيضاً يَخَافُ ضِغَاطَ </w:t>
      </w:r>
      <w:r w:rsidRPr="00D10E3C">
        <w:rPr>
          <w:rStyle w:val="libFootnotenumChar"/>
          <w:rtl/>
        </w:rPr>
        <w:t>(4)</w:t>
      </w:r>
      <w:r>
        <w:rPr>
          <w:rtl/>
          <w:lang w:bidi="fa-IR"/>
        </w:rPr>
        <w:t xml:space="preserve"> النَّاسِ وَزِحَامَهُمْ : يُحْرِمُ بِالْحَجِّ ، وَيَخْرُجُ إِلى مِنًى قَبْلَ يَوْمِ التَّرْوِيَةِ؟ قَالَ : « نَعَمْ ».</w:t>
      </w:r>
    </w:p>
    <w:p w:rsidR="00744A1C" w:rsidRDefault="00744A1C" w:rsidP="00744A1C">
      <w:pPr>
        <w:pStyle w:val="libNormal"/>
        <w:rPr>
          <w:lang w:bidi="fa-IR"/>
        </w:rPr>
      </w:pPr>
      <w:r>
        <w:rPr>
          <w:rtl/>
          <w:lang w:bidi="fa-IR"/>
        </w:rPr>
        <w:t xml:space="preserve">قُلْتُ : يَخْرُجُ </w:t>
      </w:r>
      <w:r w:rsidRPr="00D10E3C">
        <w:rPr>
          <w:rStyle w:val="libFootnotenumChar"/>
          <w:rtl/>
        </w:rPr>
        <w:t>(5)</w:t>
      </w:r>
      <w:r>
        <w:rPr>
          <w:rtl/>
          <w:lang w:bidi="fa-IR"/>
        </w:rPr>
        <w:t xml:space="preserve"> الرَّجُلُ الصَّحِيحُ يَلْتَمِسُ مَكَاناً </w:t>
      </w:r>
      <w:r w:rsidRPr="00D10E3C">
        <w:rPr>
          <w:rStyle w:val="libFootnotenumChar"/>
          <w:rtl/>
        </w:rPr>
        <w:t>(6)</w:t>
      </w:r>
      <w:r>
        <w:rPr>
          <w:rtl/>
          <w:lang w:bidi="fa-IR"/>
        </w:rPr>
        <w:t xml:space="preserve"> ، وَيَتَرَوَّحُ </w:t>
      </w:r>
      <w:r w:rsidRPr="00D10E3C">
        <w:rPr>
          <w:rStyle w:val="libFootnotenumChar"/>
          <w:rtl/>
        </w:rPr>
        <w:t>(7)</w:t>
      </w:r>
      <w:r>
        <w:rPr>
          <w:rtl/>
          <w:lang w:bidi="fa-IR"/>
        </w:rPr>
        <w:t xml:space="preserve"> بِذلِكَ الْمَكَانِ </w:t>
      </w:r>
      <w:r w:rsidRPr="00D10E3C">
        <w:rPr>
          <w:rStyle w:val="libFootnotenumChar"/>
          <w:rtl/>
        </w:rPr>
        <w:t>(8)</w:t>
      </w:r>
      <w:r w:rsidR="00777B6E">
        <w:rPr>
          <w:rtl/>
          <w:lang w:bidi="fa-IR"/>
        </w:rPr>
        <w:t>؟ قَالَ: «لَا</w:t>
      </w:r>
      <w:r>
        <w:rPr>
          <w:rtl/>
          <w:lang w:bidi="fa-IR"/>
        </w:rPr>
        <w:t>».</w:t>
      </w:r>
    </w:p>
    <w:p w:rsidR="00144FA6" w:rsidRDefault="00744A1C" w:rsidP="00744A1C">
      <w:pPr>
        <w:pStyle w:val="libNormal"/>
        <w:rPr>
          <w:rtl/>
          <w:lang w:bidi="fa-IR"/>
        </w:rPr>
      </w:pPr>
      <w:r>
        <w:rPr>
          <w:rtl/>
          <w:lang w:bidi="fa-IR"/>
        </w:rPr>
        <w:t xml:space="preserve">قُلْتُ : يُعَجِّلُ </w:t>
      </w:r>
      <w:r w:rsidRPr="00D10E3C">
        <w:rPr>
          <w:rStyle w:val="libFootnotenumChar"/>
          <w:rtl/>
        </w:rPr>
        <w:t>(9)</w:t>
      </w:r>
      <w:r>
        <w:rPr>
          <w:rtl/>
          <w:lang w:bidi="fa-IR"/>
        </w:rPr>
        <w:t xml:space="preserve"> بِيَوْمٍ؟ قَالَ : « نَعَمْ » قُلْتُ </w:t>
      </w:r>
      <w:r w:rsidRPr="00D10E3C">
        <w:rPr>
          <w:rStyle w:val="libFootnotenumChar"/>
          <w:rtl/>
        </w:rPr>
        <w:t>(10)</w:t>
      </w:r>
      <w:r>
        <w:rPr>
          <w:rtl/>
          <w:lang w:bidi="fa-IR"/>
        </w:rPr>
        <w:t xml:space="preserve"> : بِيَوْمَيْنِ؟ قَالَ : « نَعَمْ » قُلْتُ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قد ثبت أنّ امّ عليّ بن الحسين - صلوات الله عليها - كانت بكراً حين تزوّجها الحسين </w:t>
      </w:r>
      <w:r w:rsidR="0061079A" w:rsidRPr="0061079A">
        <w:rPr>
          <w:rStyle w:val="libFootnoteAlaemChar"/>
          <w:rtl/>
        </w:rPr>
        <w:t>عليه‌السلام</w:t>
      </w:r>
      <w:r>
        <w:rPr>
          <w:rtl/>
          <w:lang w:bidi="fa-IR"/>
        </w:rPr>
        <w:t xml:space="preserve"> </w:t>
      </w:r>
      <w:r w:rsidR="00744A1C">
        <w:rPr>
          <w:rtl/>
          <w:lang w:bidi="fa-IR"/>
        </w:rPr>
        <w:t xml:space="preserve">ولم تنكح بعده ، بل ماتت نفساء بعليّ الحسين </w:t>
      </w:r>
      <w:r w:rsidR="00F112A7" w:rsidRPr="00CE5A92">
        <w:rPr>
          <w:rStyle w:val="libFootnoteAlaemChar"/>
          <w:rtl/>
        </w:rPr>
        <w:t>عليهما‌السلام</w:t>
      </w:r>
      <w:r w:rsidR="00744A1C">
        <w:rPr>
          <w:rtl/>
          <w:lang w:bidi="fa-IR"/>
        </w:rPr>
        <w:t xml:space="preserve">إلاّ أنّه كانت للحسين </w:t>
      </w:r>
      <w:r w:rsidR="0061079A" w:rsidRPr="0061079A">
        <w:rPr>
          <w:rStyle w:val="libFootnoteAlaemChar"/>
          <w:rtl/>
        </w:rPr>
        <w:t>عليه‌السلام</w:t>
      </w:r>
      <w:r>
        <w:rPr>
          <w:rtl/>
          <w:lang w:bidi="fa-IR"/>
        </w:rPr>
        <w:t xml:space="preserve"> </w:t>
      </w:r>
      <w:r w:rsidR="00744A1C">
        <w:rPr>
          <w:rtl/>
          <w:lang w:bidi="fa-IR"/>
        </w:rPr>
        <w:t xml:space="preserve">امّ ولد قد ربّت عليّ بن الحسين </w:t>
      </w:r>
      <w:r w:rsidR="00F112A7" w:rsidRPr="00CE5A92">
        <w:rPr>
          <w:rStyle w:val="libFootnoteAlaemChar"/>
          <w:rtl/>
        </w:rPr>
        <w:t>عليهما‌السلام</w:t>
      </w:r>
      <w:r w:rsidR="00777B6E" w:rsidRPr="00777B6E">
        <w:rPr>
          <w:rFonts w:hint="cs"/>
          <w:rtl/>
        </w:rPr>
        <w:t xml:space="preserve"> </w:t>
      </w:r>
      <w:r w:rsidR="00744A1C">
        <w:rPr>
          <w:rtl/>
          <w:lang w:bidi="fa-IR"/>
        </w:rPr>
        <w:t xml:space="preserve">واشتهرت بأنّها امّه ؛ إذ لم يعرف امّاً غيرها ، فتزوّجت بعد الحسين </w:t>
      </w:r>
      <w:r w:rsidR="0061079A" w:rsidRPr="0061079A">
        <w:rPr>
          <w:rStyle w:val="libFootnoteAlaemChar"/>
          <w:rtl/>
        </w:rPr>
        <w:t>عليه‌السلام</w:t>
      </w:r>
      <w:r>
        <w:rPr>
          <w:rtl/>
          <w:lang w:bidi="fa-IR"/>
        </w:rPr>
        <w:t xml:space="preserve"> </w:t>
      </w:r>
      <w:r w:rsidR="00744A1C">
        <w:rPr>
          <w:rtl/>
          <w:lang w:bidi="fa-IR"/>
        </w:rPr>
        <w:t xml:space="preserve">وولدت </w:t>
      </w:r>
      <w:r w:rsidR="00777B6E">
        <w:rPr>
          <w:rtl/>
          <w:lang w:bidi="fa-IR"/>
        </w:rPr>
        <w:t>هذا الرجل ، فاشتهر بأنّه أخوه ل</w:t>
      </w:r>
      <w:r w:rsidR="00744A1C">
        <w:rPr>
          <w:rtl/>
          <w:lang w:bidi="fa-IR"/>
        </w:rPr>
        <w:t>ا</w:t>
      </w:r>
      <w:r w:rsidR="00777B6E">
        <w:rPr>
          <w:rFonts w:hint="cs"/>
          <w:rtl/>
          <w:lang w:bidi="fa-IR"/>
        </w:rPr>
        <w:t>ُ</w:t>
      </w:r>
      <w:r w:rsidR="00516901">
        <w:rPr>
          <w:rtl/>
          <w:lang w:bidi="fa-IR"/>
        </w:rPr>
        <w:t>مّه</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45 ، ح 136 ، معلّقاً عن الكليني. وفيه ، ص 477 ، ح 1688 ، بسنده عن الحسن بن عليّ بن فضّال ، عن ابن بكير </w:t>
      </w:r>
      <w:r w:rsidR="00B00CFC">
        <w:rPr>
          <w:rFonts w:hint="cs"/>
          <w:rtl/>
          <w:lang w:bidi="fa-IR"/>
        </w:rPr>
        <w:t>.</w:t>
      </w:r>
      <w:r w:rsidR="00744A1C" w:rsidRPr="00C24F9C">
        <w:rPr>
          <w:rStyle w:val="libFootnoteBoldChar"/>
          <w:rtl/>
        </w:rPr>
        <w:t>الوافي</w:t>
      </w:r>
      <w:r w:rsidR="00744A1C">
        <w:rPr>
          <w:rtl/>
          <w:lang w:bidi="fa-IR"/>
        </w:rPr>
        <w:t xml:space="preserve"> ، ج 14 ، ص 1247 ، ح 14200 ؛ </w:t>
      </w:r>
      <w:r w:rsidR="00744A1C" w:rsidRPr="00C24F9C">
        <w:rPr>
          <w:rStyle w:val="libFootnoteBoldChar"/>
          <w:rtl/>
        </w:rPr>
        <w:t>الوسائل</w:t>
      </w:r>
      <w:r w:rsidR="00744A1C">
        <w:rPr>
          <w:rtl/>
          <w:lang w:bidi="fa-IR"/>
        </w:rPr>
        <w:t xml:space="preserve"> ، ج 11 ، ص 283 ، ح 14810.</w:t>
      </w:r>
    </w:p>
    <w:p w:rsidR="00744A1C" w:rsidRDefault="00E378DD" w:rsidP="00E378DD">
      <w:pPr>
        <w:pStyle w:val="libFootnote0"/>
        <w:rPr>
          <w:lang w:bidi="fa-IR"/>
        </w:rPr>
      </w:pPr>
      <w:r>
        <w:rPr>
          <w:rtl/>
          <w:lang w:bidi="fa-IR"/>
        </w:rPr>
        <w:t>(3).</w:t>
      </w:r>
      <w:r w:rsidR="00744A1C">
        <w:rPr>
          <w:rtl/>
          <w:lang w:bidi="fa-IR"/>
        </w:rPr>
        <w:t xml:space="preserve"> في « بخ ، بف ، جر » </w:t>
      </w:r>
      <w:r w:rsidR="00744A1C" w:rsidRPr="00C24F9C">
        <w:rPr>
          <w:rStyle w:val="libFootnoteBoldChar"/>
          <w:rtl/>
        </w:rPr>
        <w:t>والاستبصار</w:t>
      </w:r>
      <w:r w:rsidR="00744A1C">
        <w:rPr>
          <w:rtl/>
          <w:lang w:bidi="fa-IR"/>
        </w:rPr>
        <w:t xml:space="preserve"> : - « بن يحيى ».</w:t>
      </w:r>
    </w:p>
    <w:p w:rsidR="00744A1C" w:rsidRDefault="00E378DD" w:rsidP="00E378DD">
      <w:pPr>
        <w:pStyle w:val="libFootnote0"/>
        <w:rPr>
          <w:lang w:bidi="fa-IR"/>
        </w:rPr>
      </w:pPr>
      <w:r>
        <w:rPr>
          <w:rtl/>
          <w:lang w:bidi="fa-IR"/>
        </w:rPr>
        <w:t>(4).</w:t>
      </w:r>
      <w:r w:rsidR="00744A1C">
        <w:rPr>
          <w:rtl/>
          <w:lang w:bidi="fa-IR"/>
        </w:rPr>
        <w:t xml:space="preserve"> الضغاط : المزاحمة ؛ من الضَغْط والضَغْطة ، وهو عصر شي‌ء إلى شي‌ء ، يقال : ضغطه يضغطه ضغطاً ، أي‌زحمه ودفعه إلى حائط ونحوه وعصره ، وضيّق عليه وقهره. راجع : </w:t>
      </w:r>
      <w:r w:rsidR="00744A1C" w:rsidRPr="00877682">
        <w:rPr>
          <w:rStyle w:val="libFootnoteBoldChar"/>
          <w:rtl/>
        </w:rPr>
        <w:t>النهاية</w:t>
      </w:r>
      <w:r w:rsidR="00744A1C">
        <w:rPr>
          <w:rtl/>
          <w:lang w:bidi="fa-IR"/>
        </w:rPr>
        <w:t xml:space="preserve"> ، ج 3 ، ص 90 ؛ </w:t>
      </w:r>
      <w:r w:rsidR="00744A1C" w:rsidRPr="00877682">
        <w:rPr>
          <w:rStyle w:val="libFootnoteBoldChar"/>
          <w:rtl/>
        </w:rPr>
        <w:t>لسان العرب</w:t>
      </w:r>
      <w:r w:rsidR="00744A1C">
        <w:rPr>
          <w:rtl/>
          <w:lang w:bidi="fa-IR"/>
        </w:rPr>
        <w:t xml:space="preserve"> ، ج 7 ، ص 342 ( ضغط ).</w:t>
      </w:r>
    </w:p>
    <w:p w:rsidR="00744A1C" w:rsidRDefault="00E378DD" w:rsidP="00E378DD">
      <w:pPr>
        <w:pStyle w:val="libFootnote0"/>
        <w:rPr>
          <w:lang w:bidi="fa-IR"/>
        </w:rPr>
      </w:pPr>
      <w:r>
        <w:rPr>
          <w:rtl/>
          <w:lang w:bidi="fa-IR"/>
        </w:rPr>
        <w:t>(5).</w:t>
      </w:r>
      <w:r w:rsidR="00744A1C">
        <w:rPr>
          <w:rtl/>
          <w:lang w:bidi="fa-IR"/>
        </w:rPr>
        <w:t xml:space="preserve"> في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589 </w:t>
      </w:r>
      <w:r w:rsidR="00744A1C" w:rsidRPr="00C24F9C">
        <w:rPr>
          <w:rStyle w:val="libFootnoteBoldChar"/>
          <w:rtl/>
        </w:rPr>
        <w:t>والاستبصار</w:t>
      </w:r>
      <w:r w:rsidR="00744A1C">
        <w:rPr>
          <w:rtl/>
          <w:lang w:bidi="fa-IR"/>
        </w:rPr>
        <w:t xml:space="preserve"> ، ح 889 : « فيخرج ».</w:t>
      </w:r>
    </w:p>
    <w:p w:rsidR="00744A1C" w:rsidRDefault="00E378DD" w:rsidP="00E378DD">
      <w:pPr>
        <w:pStyle w:val="libFootnote0"/>
        <w:rPr>
          <w:lang w:bidi="fa-IR"/>
        </w:rPr>
      </w:pPr>
      <w:r>
        <w:rPr>
          <w:rtl/>
          <w:lang w:bidi="fa-IR"/>
        </w:rPr>
        <w:t>(6).</w:t>
      </w:r>
      <w:r w:rsidR="00744A1C">
        <w:rPr>
          <w:rtl/>
          <w:lang w:bidi="fa-IR"/>
        </w:rPr>
        <w:t xml:space="preserve"> في « بخ » : - « يلتمس مكاناً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ح 589 : « أو يتروّح ». وفي الاستبصار ، ح 889 : « أو يتراوح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589 </w:t>
      </w:r>
      <w:r w:rsidR="00744A1C" w:rsidRPr="00C24F9C">
        <w:rPr>
          <w:rStyle w:val="libFootnoteBoldChar"/>
          <w:rtl/>
        </w:rPr>
        <w:t>والاستبصار</w:t>
      </w:r>
      <w:r w:rsidR="00744A1C">
        <w:rPr>
          <w:rtl/>
          <w:lang w:bidi="fa-IR"/>
        </w:rPr>
        <w:t xml:space="preserve"> ، ح 889 : - « المكان ».</w:t>
      </w:r>
    </w:p>
    <w:p w:rsidR="00744A1C" w:rsidRDefault="00E378DD" w:rsidP="00E378DD">
      <w:pPr>
        <w:pStyle w:val="libFootnote0"/>
        <w:rPr>
          <w:lang w:bidi="fa-IR"/>
        </w:rPr>
      </w:pPr>
      <w:r>
        <w:rPr>
          <w:rtl/>
          <w:lang w:bidi="fa-IR"/>
        </w:rPr>
        <w:t>(9).</w:t>
      </w:r>
      <w:r w:rsidR="00744A1C">
        <w:rPr>
          <w:rtl/>
          <w:lang w:bidi="fa-IR"/>
        </w:rPr>
        <w:t xml:space="preserve"> في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589 </w:t>
      </w:r>
      <w:r w:rsidR="00744A1C" w:rsidRPr="00C24F9C">
        <w:rPr>
          <w:rStyle w:val="libFootnoteBoldChar"/>
          <w:rtl/>
        </w:rPr>
        <w:t>والاستبصار</w:t>
      </w:r>
      <w:r w:rsidR="00744A1C">
        <w:rPr>
          <w:rtl/>
          <w:lang w:bidi="fa-IR"/>
        </w:rPr>
        <w:t xml:space="preserve"> ، ح 889 : « يتعجّل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ح 589 </w:t>
      </w:r>
      <w:r w:rsidR="00744A1C" w:rsidRPr="00C24F9C">
        <w:rPr>
          <w:rStyle w:val="libFootnoteBoldChar"/>
          <w:rtl/>
        </w:rPr>
        <w:t>والاستبصار</w:t>
      </w:r>
      <w:r w:rsidR="00744A1C">
        <w:rPr>
          <w:rtl/>
          <w:lang w:bidi="fa-IR"/>
        </w:rPr>
        <w:t xml:space="preserve"> ، ح 889 : + « يتعجّل ».</w:t>
      </w:r>
    </w:p>
    <w:p w:rsidR="00744A1C" w:rsidRDefault="00744A1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ثَلَاثَةٍ </w:t>
      </w:r>
      <w:r w:rsidRPr="00D10E3C">
        <w:rPr>
          <w:rStyle w:val="libFootnotenumChar"/>
          <w:rtl/>
        </w:rPr>
        <w:t>(1)</w:t>
      </w:r>
      <w:r>
        <w:rPr>
          <w:rtl/>
          <w:lang w:bidi="fa-IR"/>
        </w:rPr>
        <w:t xml:space="preserve">؟ قَالَ : « نَعَمْ » قُلْتُ : أَكْثَرَ مِنْ ذلِكَ؟ قَالَ : « لَا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7729 / 2. عَلِيُّ بْنُ إِبْرَاهِيمَ ، عَنْ أَبِيهِ ، عَنِ ابْنِ أَبِي عُمَيْرٍ ، عَنْ جَمِيلِ بْنِ دَرَّاجٍ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عَلَى الْإِمَامِ </w:t>
      </w:r>
      <w:r w:rsidRPr="00D10E3C">
        <w:rPr>
          <w:rStyle w:val="libFootnotenumChar"/>
          <w:rtl/>
        </w:rPr>
        <w:t>(4)</w:t>
      </w:r>
      <w:r>
        <w:rPr>
          <w:rtl/>
          <w:lang w:bidi="fa-IR"/>
        </w:rPr>
        <w:t xml:space="preserve"> أَنْ يُصَلِّيَ الظُّهْرَ </w:t>
      </w:r>
      <w:r w:rsidRPr="00D10E3C">
        <w:rPr>
          <w:rStyle w:val="libFootnotenumChar"/>
          <w:rtl/>
        </w:rPr>
        <w:t>(5)</w:t>
      </w:r>
      <w:r>
        <w:rPr>
          <w:rtl/>
          <w:lang w:bidi="fa-IR"/>
        </w:rPr>
        <w:t xml:space="preserve"> بِمِنًى </w:t>
      </w:r>
      <w:r w:rsidRPr="00D10E3C">
        <w:rPr>
          <w:rStyle w:val="libFootnotenumChar"/>
          <w:rtl/>
        </w:rPr>
        <w:t>(6)</w:t>
      </w:r>
      <w:r>
        <w:rPr>
          <w:rtl/>
          <w:lang w:bidi="fa-IR"/>
        </w:rPr>
        <w:t xml:space="preserve"> ، ثُمَّ يَبِيتُ بِهَا وَيُصْبِحُ حَتّى تَطْلُعَ الشَّمْسُ ، ثُمَّ يَخْرُجُ إِلى عَرَفَاتٍ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7730 / 3. عِدَّةٌ مِنْ أَصْحَابِنَا ، عَنْ سَهْلِ بْنِ زِيَادٍ ، عَنْ أَحْمَدَ بْنِ مُحَمَّدٍ ، عَنْ رِفَاعَةَ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ح 589 </w:t>
      </w:r>
      <w:r w:rsidR="00744A1C" w:rsidRPr="00C24F9C">
        <w:rPr>
          <w:rStyle w:val="libFootnoteBoldChar"/>
          <w:rtl/>
        </w:rPr>
        <w:t>والاستبصار</w:t>
      </w:r>
      <w:r w:rsidR="00744A1C">
        <w:rPr>
          <w:rtl/>
          <w:lang w:bidi="fa-IR"/>
        </w:rPr>
        <w:t xml:space="preserve"> ، ح 889 : « بثلاثة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18 ، ص 115 : « يدلّ على جواز التعجيل للمعذور أكثر من ثلاثة أيّام ، ولعلّه محمول على ما إذا لم يكن العذر شديداً بحيث يضطرّه إلى ذلك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176 ، ح 589 ؛ </w:t>
      </w:r>
      <w:r w:rsidR="00744A1C" w:rsidRPr="00C24F9C">
        <w:rPr>
          <w:rStyle w:val="libFootnoteBoldChar"/>
          <w:rtl/>
        </w:rPr>
        <w:t>والاستبصار</w:t>
      </w:r>
      <w:r w:rsidR="00744A1C">
        <w:rPr>
          <w:rtl/>
          <w:lang w:bidi="fa-IR"/>
        </w:rPr>
        <w:t xml:space="preserve"> ، ج 2 ، ص 253 ، ح 889 ، معلّقاً عن الكليني. </w:t>
      </w:r>
      <w:r w:rsidR="00744A1C" w:rsidRPr="00C24F9C">
        <w:rPr>
          <w:rStyle w:val="libFootnoteBoldChar"/>
          <w:rtl/>
        </w:rPr>
        <w:t>الفقيه</w:t>
      </w:r>
      <w:r w:rsidR="00744A1C">
        <w:rPr>
          <w:rtl/>
          <w:lang w:bidi="fa-IR"/>
        </w:rPr>
        <w:t xml:space="preserve"> ، ج 2 ، ص 462 ، ح 2974 ، معلّقاً عن إسحاق بن عمّار. وفي </w:t>
      </w:r>
      <w:r w:rsidR="00744A1C" w:rsidRPr="00C24F9C">
        <w:rPr>
          <w:rStyle w:val="libFootnoteBoldChar"/>
          <w:rtl/>
        </w:rPr>
        <w:t>التهذيب</w:t>
      </w:r>
      <w:r w:rsidR="00744A1C">
        <w:rPr>
          <w:rtl/>
          <w:lang w:bidi="fa-IR"/>
        </w:rPr>
        <w:t xml:space="preserve"> ، ج 5 ، ص 176 ، ح 590 ؛ </w:t>
      </w:r>
      <w:r w:rsidR="00744A1C" w:rsidRPr="00C24F9C">
        <w:rPr>
          <w:rStyle w:val="libFootnoteBoldChar"/>
          <w:rtl/>
        </w:rPr>
        <w:t>والاستبصار</w:t>
      </w:r>
      <w:r w:rsidR="00744A1C">
        <w:rPr>
          <w:rtl/>
          <w:lang w:bidi="fa-IR"/>
        </w:rPr>
        <w:t xml:space="preserve"> ، ج 2 ، ص 253 ، ح 890 ، بسند آخر ، وفي الثلاثة الأخيرة إلى قوله : « قبل يوم التروية قال : نعم » </w:t>
      </w:r>
      <w:r w:rsidR="00113B39">
        <w:rPr>
          <w:rFonts w:hint="cs"/>
          <w:rtl/>
          <w:lang w:bidi="fa-IR"/>
        </w:rPr>
        <w:t>.</w:t>
      </w:r>
      <w:r w:rsidR="00744A1C" w:rsidRPr="00C24F9C">
        <w:rPr>
          <w:rStyle w:val="libFootnoteBoldChar"/>
          <w:rtl/>
        </w:rPr>
        <w:t>الوافي</w:t>
      </w:r>
      <w:r w:rsidR="00744A1C">
        <w:rPr>
          <w:rtl/>
          <w:lang w:bidi="fa-IR"/>
        </w:rPr>
        <w:t xml:space="preserve"> ، ج 13 ، ص 1013 ، ح 13634 ؛ </w:t>
      </w:r>
      <w:r w:rsidR="00744A1C" w:rsidRPr="00C24F9C">
        <w:rPr>
          <w:rStyle w:val="libFootnoteBoldChar"/>
          <w:rtl/>
        </w:rPr>
        <w:t>الوسائل</w:t>
      </w:r>
      <w:r w:rsidR="00744A1C">
        <w:rPr>
          <w:rtl/>
          <w:lang w:bidi="fa-IR"/>
        </w:rPr>
        <w:t xml:space="preserve"> ، ج 13 ، ص 522 ، ح 18352.</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ص 177 : « ينبغي للإمام » بدل « على الإمام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ص 176 </w:t>
      </w:r>
      <w:r w:rsidR="00744A1C" w:rsidRPr="00C24F9C">
        <w:rPr>
          <w:rStyle w:val="libFootnoteBoldChar"/>
          <w:rtl/>
        </w:rPr>
        <w:t>والاستبصار</w:t>
      </w:r>
      <w:r w:rsidR="00744A1C">
        <w:rPr>
          <w:rtl/>
          <w:lang w:bidi="fa-IR"/>
        </w:rPr>
        <w:t xml:space="preserve"> ، ص 253 : + « يوم التروية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التهذيب</w:t>
      </w:r>
      <w:r w:rsidR="00744A1C">
        <w:rPr>
          <w:rtl/>
          <w:lang w:bidi="fa-IR"/>
        </w:rPr>
        <w:t xml:space="preserve"> ، ص 177 </w:t>
      </w:r>
      <w:r w:rsidR="00744A1C" w:rsidRPr="00C24F9C">
        <w:rPr>
          <w:rStyle w:val="libFootnoteBoldChar"/>
          <w:rtl/>
        </w:rPr>
        <w:t>والاستبصار</w:t>
      </w:r>
      <w:r w:rsidR="00744A1C">
        <w:rPr>
          <w:rtl/>
          <w:lang w:bidi="fa-IR"/>
        </w:rPr>
        <w:t xml:space="preserve"> ، ص 254 : + « يوم التروية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أن يصلّي الظهر بمنى ، المشهور بين المتأخّرين أنّه يستحبّ للمتمتّع أن يخرج إلى عرفات يوم ا</w:t>
      </w:r>
      <w:r w:rsidR="00113B39">
        <w:rPr>
          <w:rtl/>
          <w:lang w:bidi="fa-IR"/>
        </w:rPr>
        <w:t>لتروية بعد أن يصلّي الظهرين إل</w:t>
      </w:r>
      <w:r w:rsidR="00113B39">
        <w:rPr>
          <w:rFonts w:hint="cs"/>
          <w:rtl/>
          <w:lang w:bidi="fa-IR"/>
        </w:rPr>
        <w:t>ّ</w:t>
      </w:r>
      <w:r w:rsidR="00113B39">
        <w:rPr>
          <w:rtl/>
          <w:lang w:bidi="fa-IR"/>
        </w:rPr>
        <w:t>ا</w:t>
      </w:r>
      <w:r>
        <w:rPr>
          <w:rtl/>
          <w:lang w:bidi="fa-IR"/>
        </w:rPr>
        <w:t xml:space="preserve"> المضطرّ ، كالشيخ الهمّ أو المريض ومن يخشى الزحام. وذهب المفيد والمرتضى إلى استحباب الخروج قبل الفريضين وإيقاعهما بمنى. وقال الشيخ في </w:t>
      </w:r>
      <w:r w:rsidRPr="00C24F9C">
        <w:rPr>
          <w:rStyle w:val="libFootnoteBoldChar"/>
          <w:rtl/>
        </w:rPr>
        <w:t>التهذيب</w:t>
      </w:r>
      <w:r>
        <w:rPr>
          <w:rtl/>
          <w:lang w:bidi="fa-IR"/>
        </w:rPr>
        <w:t xml:space="preserve"> : إنّ الخروج بعد الصلاة مختصّ بمن عدا الإمام ، فأمّا الإمام فلا يجوز له أ</w:t>
      </w:r>
      <w:r w:rsidR="00152ED4">
        <w:rPr>
          <w:rtl/>
          <w:lang w:bidi="fa-IR"/>
        </w:rPr>
        <w:t>ن يصلّي الظهرين يوم التروية إل</w:t>
      </w:r>
      <w:r w:rsidR="00152ED4">
        <w:rPr>
          <w:rFonts w:hint="cs"/>
          <w:rtl/>
          <w:lang w:bidi="fa-IR"/>
        </w:rPr>
        <w:t>ّ</w:t>
      </w:r>
      <w:r w:rsidR="00152ED4">
        <w:rPr>
          <w:rtl/>
          <w:lang w:bidi="fa-IR"/>
        </w:rPr>
        <w:t>ا</w:t>
      </w:r>
      <w:r w:rsidR="00152ED4">
        <w:rPr>
          <w:rFonts w:hint="cs"/>
          <w:rtl/>
          <w:lang w:bidi="fa-IR"/>
        </w:rPr>
        <w:t xml:space="preserve"> </w:t>
      </w:r>
      <w:r>
        <w:rPr>
          <w:rtl/>
          <w:lang w:bidi="fa-IR"/>
        </w:rPr>
        <w:t>بمنى ، وا</w:t>
      </w:r>
      <w:r w:rsidR="00894DAC">
        <w:rPr>
          <w:rFonts w:hint="cs"/>
          <w:rtl/>
          <w:lang w:bidi="fa-IR"/>
        </w:rPr>
        <w:t>ُ</w:t>
      </w:r>
      <w:r>
        <w:rPr>
          <w:rtl/>
          <w:lang w:bidi="fa-IR"/>
        </w:rPr>
        <w:t xml:space="preserve">وّل بشدّة الاستحباب ، وما اختاره بعض المحقّقين من المتأخّرين من التخيير لغير الإمام واستحباب التقدّم له لا يخلو من قوّة ». وراجع : المقنعة ، ص 64 ؛ ص 109 ؛ </w:t>
      </w:r>
      <w:r w:rsidRPr="00C24F9C">
        <w:rPr>
          <w:rStyle w:val="libFootnoteBoldChar"/>
          <w:rtl/>
        </w:rPr>
        <w:t>التهذيب</w:t>
      </w:r>
      <w:r>
        <w:rPr>
          <w:rtl/>
          <w:lang w:bidi="fa-IR"/>
        </w:rPr>
        <w:t xml:space="preserve"> ، ج 5 ، ص 175 ، ذيل ح 587 ؛ </w:t>
      </w:r>
      <w:r w:rsidRPr="00877682">
        <w:rPr>
          <w:rStyle w:val="libFootnoteBoldChar"/>
          <w:rtl/>
        </w:rPr>
        <w:t>منتهى المطلب</w:t>
      </w:r>
      <w:r>
        <w:rPr>
          <w:rtl/>
          <w:lang w:bidi="fa-IR"/>
        </w:rPr>
        <w:t xml:space="preserve"> ، ص 715 من الطبعة الحجريّة ؛ </w:t>
      </w:r>
      <w:r w:rsidRPr="00C24F9C">
        <w:rPr>
          <w:rStyle w:val="libFootnoteBoldChar"/>
          <w:rtl/>
        </w:rPr>
        <w:t>مدارك الأحكام</w:t>
      </w:r>
      <w:r>
        <w:rPr>
          <w:rtl/>
          <w:lang w:bidi="fa-IR"/>
        </w:rPr>
        <w:t xml:space="preserve"> ، ج 7 ، ص 387.</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ص 177 </w:t>
      </w:r>
      <w:r w:rsidR="00744A1C" w:rsidRPr="00C24F9C">
        <w:rPr>
          <w:rStyle w:val="libFootnoteBoldChar"/>
          <w:rtl/>
        </w:rPr>
        <w:t>والاستبصار</w:t>
      </w:r>
      <w:r w:rsidR="00744A1C">
        <w:rPr>
          <w:rtl/>
          <w:lang w:bidi="fa-IR"/>
        </w:rPr>
        <w:t xml:space="preserve"> ، ص 254 : - « إلى عرفات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177 ، ح 592 ؛ </w:t>
      </w:r>
      <w:r w:rsidR="00744A1C" w:rsidRPr="00C24F9C">
        <w:rPr>
          <w:rStyle w:val="libFootnoteBoldChar"/>
          <w:rtl/>
        </w:rPr>
        <w:t>والاستبصار</w:t>
      </w:r>
      <w:r w:rsidR="00744A1C">
        <w:rPr>
          <w:rtl/>
          <w:lang w:bidi="fa-IR"/>
        </w:rPr>
        <w:t xml:space="preserve"> ، ج 2 ، ص 254 ، ح 892 ، بسندهما عن صفوان وفضالة بن أيّوب وابن أبي عمير ، عن جميل بن درّاج. </w:t>
      </w:r>
      <w:r w:rsidR="00744A1C" w:rsidRPr="00C24F9C">
        <w:rPr>
          <w:rStyle w:val="libFootnoteBoldChar"/>
          <w:rtl/>
        </w:rPr>
        <w:t>الفقيه</w:t>
      </w:r>
      <w:r w:rsidR="00744A1C">
        <w:rPr>
          <w:rtl/>
          <w:lang w:bidi="fa-IR"/>
        </w:rPr>
        <w:t xml:space="preserve"> ، ج 2 ، ص 462 ، ح 2976 ، معلّقاً عن جميل بن درّاج. وفي </w:t>
      </w:r>
      <w:r w:rsidR="00744A1C" w:rsidRPr="00C24F9C">
        <w:rPr>
          <w:rStyle w:val="libFootnoteBoldChar"/>
          <w:rtl/>
        </w:rPr>
        <w:t>التهذيب</w:t>
      </w:r>
      <w:r w:rsidR="00744A1C">
        <w:rPr>
          <w:rtl/>
          <w:lang w:bidi="fa-IR"/>
        </w:rPr>
        <w:t xml:space="preserve"> ، ج 5 ، ص 176 ، ح 591 ؛ </w:t>
      </w:r>
      <w:r w:rsidR="00744A1C" w:rsidRPr="00C24F9C">
        <w:rPr>
          <w:rStyle w:val="libFootnoteBoldChar"/>
          <w:rtl/>
        </w:rPr>
        <w:t>والاستبصار</w:t>
      </w:r>
      <w:r w:rsidR="00744A1C">
        <w:rPr>
          <w:rtl/>
          <w:lang w:bidi="fa-IR"/>
        </w:rPr>
        <w:t xml:space="preserve"> ، ج 2 ، ص 253 ، ح 891 ، بسند آخر عن أحدهما </w:t>
      </w:r>
      <w:r w:rsidR="00F112A7" w:rsidRPr="00CE5A92">
        <w:rPr>
          <w:rStyle w:val="libFootnoteAlaemChar"/>
          <w:rtl/>
        </w:rPr>
        <w:t>عليهما‌السلام</w:t>
      </w:r>
      <w:r w:rsidR="00744A1C">
        <w:rPr>
          <w:rtl/>
          <w:lang w:bidi="fa-IR"/>
        </w:rPr>
        <w:t xml:space="preserve">، مع اختلاف يسير </w:t>
      </w:r>
      <w:r w:rsidR="00894DAC">
        <w:rPr>
          <w:rFonts w:hint="cs"/>
          <w:rtl/>
          <w:lang w:bidi="fa-IR"/>
        </w:rPr>
        <w:t>.</w:t>
      </w:r>
      <w:r w:rsidR="00744A1C" w:rsidRPr="00C24F9C">
        <w:rPr>
          <w:rStyle w:val="libFootnoteBoldChar"/>
          <w:rtl/>
        </w:rPr>
        <w:t>الوافي</w:t>
      </w:r>
      <w:r w:rsidR="00744A1C">
        <w:rPr>
          <w:rtl/>
          <w:lang w:bidi="fa-IR"/>
        </w:rPr>
        <w:t xml:space="preserve"> ، ج 13 ، ص 1014 ، ح 13637 ؛ </w:t>
      </w:r>
      <w:r w:rsidR="00744A1C" w:rsidRPr="00C24F9C">
        <w:rPr>
          <w:rStyle w:val="libFootnoteBoldChar"/>
          <w:rtl/>
        </w:rPr>
        <w:t>الوسائل</w:t>
      </w:r>
      <w:r w:rsidR="00744A1C">
        <w:rPr>
          <w:rtl/>
          <w:lang w:bidi="fa-IR"/>
        </w:rPr>
        <w:t xml:space="preserve"> ، ج 13 ، ص 525 ، ذيل ح 18361.</w:t>
      </w:r>
    </w:p>
    <w:p w:rsidR="00744A1C" w:rsidRDefault="00744A1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 هَلْ يَخْرُجُ النَّاسُ إِلى مِنًى غُدْوَةً </w:t>
      </w:r>
      <w:r w:rsidRPr="00D10E3C">
        <w:rPr>
          <w:rStyle w:val="libFootnotenumChar"/>
          <w:rtl/>
        </w:rPr>
        <w:t>(1)</w:t>
      </w:r>
      <w:r>
        <w:rPr>
          <w:rtl/>
          <w:lang w:bidi="fa-IR"/>
        </w:rPr>
        <w:t>؟</w:t>
      </w:r>
    </w:p>
    <w:p w:rsidR="00144FA6" w:rsidRDefault="00744A1C" w:rsidP="00744A1C">
      <w:pPr>
        <w:pStyle w:val="libNormal"/>
        <w:rPr>
          <w:rtl/>
          <w:lang w:bidi="fa-IR"/>
        </w:rPr>
      </w:pPr>
      <w:r>
        <w:rPr>
          <w:rtl/>
          <w:lang w:bidi="fa-IR"/>
        </w:rPr>
        <w:t xml:space="preserve">قَالَ : « نَعَمْ ، إِلى غُرُوبِ الشَّمْسِ ». </w:t>
      </w:r>
      <w:r w:rsidRPr="00D10E3C">
        <w:rPr>
          <w:rStyle w:val="libFootnotenumChar"/>
          <w:rtl/>
        </w:rPr>
        <w:t>(2)</w:t>
      </w:r>
    </w:p>
    <w:p w:rsidR="00144FA6" w:rsidRDefault="00744A1C" w:rsidP="00744A1C">
      <w:pPr>
        <w:pStyle w:val="libNormal"/>
        <w:rPr>
          <w:rtl/>
          <w:lang w:bidi="fa-IR"/>
        </w:rPr>
      </w:pPr>
      <w:r>
        <w:rPr>
          <w:rtl/>
          <w:lang w:bidi="fa-IR"/>
        </w:rPr>
        <w:t>7731 / 4. عَلِيُّ بْنُ إِبْرَاهِيمَ ، عَنْ أَبِيهِ ، عَنِ ابْنِ أَبِي عُمَيْرٍ ، عَنْ مُعَاوِيَةَ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إِذَا تَوَجَّهْتَ إِلى مِنًى ، فَقُلِ : الل</w:t>
      </w:r>
      <w:r w:rsidR="00894DAC">
        <w:rPr>
          <w:rFonts w:hint="cs"/>
          <w:rtl/>
          <w:lang w:bidi="fa-IR"/>
        </w:rPr>
        <w:t>ّ</w:t>
      </w:r>
      <w:r>
        <w:rPr>
          <w:rtl/>
          <w:lang w:bidi="fa-IR"/>
        </w:rPr>
        <w:t xml:space="preserve">هُمَّ إِيَّاكَ أَرْجُو ، وَإِيَّاكَ أَدْعُو ، فَبَلِّغْنِي أَمَلِي ، وَأَصْلِحْ لِي عَمَلِي ». </w:t>
      </w:r>
      <w:r w:rsidRPr="00D10E3C">
        <w:rPr>
          <w:rStyle w:val="libFootnotenumChar"/>
          <w:rtl/>
        </w:rPr>
        <w:t>(3)</w:t>
      </w:r>
    </w:p>
    <w:p w:rsidR="00744A1C" w:rsidRDefault="00744A1C" w:rsidP="00894DAC">
      <w:pPr>
        <w:pStyle w:val="Heading2Center"/>
        <w:rPr>
          <w:lang w:bidi="fa-IR"/>
        </w:rPr>
      </w:pPr>
      <w:bookmarkStart w:id="7" w:name="_Toc49261305"/>
      <w:r>
        <w:rPr>
          <w:rtl/>
          <w:lang w:bidi="fa-IR"/>
        </w:rPr>
        <w:t>162 - بَابُ نُزُولِ مِنًى وَحُدُودِهَا‌</w:t>
      </w:r>
      <w:bookmarkEnd w:id="7"/>
    </w:p>
    <w:p w:rsidR="00894DAC" w:rsidRDefault="00744A1C" w:rsidP="00894DAC">
      <w:pPr>
        <w:pStyle w:val="libNormal"/>
        <w:rPr>
          <w:rtl/>
          <w:lang w:bidi="fa-IR"/>
        </w:rPr>
      </w:pPr>
      <w:r>
        <w:rPr>
          <w:rtl/>
          <w:lang w:bidi="fa-IR"/>
        </w:rPr>
        <w:t>7732 / 1. عَلِيُّ بْنُ إِبْرَاهِيمَ ، عَنْ أَبِيهِ ؛</w:t>
      </w:r>
    </w:p>
    <w:p w:rsidR="00144FA6" w:rsidRDefault="00894DAC" w:rsidP="00894DAC">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(4)</w:t>
      </w:r>
      <w:r w:rsidR="00744A1C">
        <w:rPr>
          <w:rtl/>
          <w:lang w:bidi="fa-IR"/>
        </w:rPr>
        <w:t xml:space="preserve"> مُحَمَّدُ بْنُ إِسْمَاعِيلَ ، عَنِ الْفَضْلِ بْنِ شَاذَانَ ، عَنْ صَفْوَانَ بْنِ يَحْيى </w:t>
      </w:r>
      <w:r w:rsidR="00744A1C" w:rsidRPr="00D10E3C">
        <w:rPr>
          <w:rStyle w:val="libFootnotenumChar"/>
          <w:rtl/>
        </w:rPr>
        <w:t>(5)</w:t>
      </w:r>
      <w:r w:rsidR="00744A1C">
        <w:rPr>
          <w:rtl/>
          <w:lang w:bidi="fa-IR"/>
        </w:rPr>
        <w:t xml:space="preserve"> وَابْنِ أَبِي عُمَيْرٍ ، عَنْ مُعَاوِيَةَ بْنِ عَمَّارٍ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 إِذَا انْتَهَيْتَ إِلى مِنًى ، فَقُلِ : الل</w:t>
      </w:r>
      <w:r w:rsidR="00894DAC">
        <w:rPr>
          <w:rFonts w:hint="cs"/>
          <w:rtl/>
          <w:lang w:bidi="fa-IR"/>
        </w:rPr>
        <w:t>ّ</w:t>
      </w:r>
      <w:r>
        <w:rPr>
          <w:rtl/>
          <w:lang w:bidi="fa-IR"/>
        </w:rPr>
        <w:t xml:space="preserve">هُمَّ هذِهِ مِنًى ، وَهِيَ مِمَّا مَنَنْتَ بِهَا </w:t>
      </w:r>
      <w:r w:rsidRPr="00D10E3C">
        <w:rPr>
          <w:rStyle w:val="libFootnotenumChar"/>
          <w:rtl/>
        </w:rPr>
        <w:t>(6)</w:t>
      </w:r>
      <w:r>
        <w:rPr>
          <w:rtl/>
          <w:lang w:bidi="fa-IR"/>
        </w:rPr>
        <w:t xml:space="preserve"> عَلَيْنَا مِنَ الْمَنَاسِكِ ، فَأَسْأَلُكَ أَنْ تَمُنَّ عَلَيْنَا </w:t>
      </w:r>
      <w:r w:rsidRPr="00D10E3C">
        <w:rPr>
          <w:rStyle w:val="libFootnotenumChar"/>
          <w:rtl/>
        </w:rPr>
        <w:t>(7)</w:t>
      </w:r>
      <w:r>
        <w:rPr>
          <w:rtl/>
          <w:lang w:bidi="fa-IR"/>
        </w:rPr>
        <w:t xml:space="preserve"> بِمَا </w:t>
      </w:r>
      <w:r w:rsidRPr="00D10E3C">
        <w:rPr>
          <w:rStyle w:val="libFootnotenumChar"/>
          <w:rtl/>
        </w:rPr>
        <w:t>(8)</w:t>
      </w:r>
      <w:r>
        <w:rPr>
          <w:rtl/>
          <w:lang w:bidi="fa-IR"/>
        </w:rPr>
        <w:t xml:space="preserve"> مَنَنْتَ بِهِ عَلى أَنْبِيَائِكَ ، فَإِنَّمَا أَنَا عَبْدُكَ وَفِي قَبْضَتِكَ ، ثُمَّ تُصَلِّي بِهَا الظُّهْرَ وَالْعَصْرَ وَالْمَغْرِبَ وَالْعِشَاءَ الْآخِرَةَ وَ‌</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يعني غداة يوم التروية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176 ، ح 588 ؛ </w:t>
      </w:r>
      <w:r w:rsidR="00744A1C" w:rsidRPr="00C24F9C">
        <w:rPr>
          <w:rStyle w:val="libFootnoteBoldChar"/>
          <w:rtl/>
        </w:rPr>
        <w:t>والاستبصار</w:t>
      </w:r>
      <w:r w:rsidR="00744A1C">
        <w:rPr>
          <w:rtl/>
          <w:lang w:bidi="fa-IR"/>
        </w:rPr>
        <w:t xml:space="preserve"> ، ج 2 ، ص 253 ، ح 888 ، معلّقاً عن الكليني </w:t>
      </w:r>
      <w:r w:rsidR="00894DAC">
        <w:rPr>
          <w:rFonts w:hint="cs"/>
          <w:rtl/>
          <w:lang w:bidi="fa-IR"/>
        </w:rPr>
        <w:t>.</w:t>
      </w:r>
      <w:r w:rsidR="00744A1C" w:rsidRPr="00C24F9C">
        <w:rPr>
          <w:rStyle w:val="libFootnoteBoldChar"/>
          <w:rtl/>
        </w:rPr>
        <w:t>الوافي</w:t>
      </w:r>
      <w:r w:rsidR="00744A1C">
        <w:rPr>
          <w:rtl/>
          <w:lang w:bidi="fa-IR"/>
        </w:rPr>
        <w:t xml:space="preserve"> ، ج 13 ، ص 1014 ، ح 13636 ؛ </w:t>
      </w:r>
      <w:r w:rsidR="00744A1C" w:rsidRPr="00C24F9C">
        <w:rPr>
          <w:rStyle w:val="libFootnoteBoldChar"/>
          <w:rtl/>
        </w:rPr>
        <w:t>الوسائل</w:t>
      </w:r>
      <w:r w:rsidR="00744A1C">
        <w:rPr>
          <w:rtl/>
          <w:lang w:bidi="fa-IR"/>
        </w:rPr>
        <w:t xml:space="preserve"> ، ج 13 ، ص 522 ، ح 18353.</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177 ، ح 595 ، معلّقاً عن الكليني. </w:t>
      </w:r>
      <w:r w:rsidR="00744A1C" w:rsidRPr="00C24F9C">
        <w:rPr>
          <w:rStyle w:val="libFootnoteBoldChar"/>
          <w:rtl/>
        </w:rPr>
        <w:t>الفقيه</w:t>
      </w:r>
      <w:r w:rsidR="00744A1C">
        <w:rPr>
          <w:rtl/>
          <w:lang w:bidi="fa-IR"/>
        </w:rPr>
        <w:t xml:space="preserve"> ، ج 2 ، ص 537 ، من دون الإسناد إلى المعصوم </w:t>
      </w:r>
      <w:r w:rsidR="0061079A" w:rsidRPr="0061079A">
        <w:rPr>
          <w:rStyle w:val="libFootnoteAlaemChar"/>
          <w:rtl/>
        </w:rPr>
        <w:t>عليه‌السلام</w:t>
      </w:r>
      <w:r w:rsidR="00D10E3C">
        <w:rPr>
          <w:rtl/>
          <w:lang w:bidi="fa-IR"/>
        </w:rPr>
        <w:t xml:space="preserve"> </w:t>
      </w:r>
      <w:r w:rsidR="004A0367">
        <w:rPr>
          <w:rFonts w:hint="cs"/>
          <w:rtl/>
          <w:lang w:bidi="fa-IR"/>
        </w:rPr>
        <w:t>.</w:t>
      </w:r>
      <w:r w:rsidR="00744A1C" w:rsidRPr="00C24F9C">
        <w:rPr>
          <w:rStyle w:val="libFootnoteBoldChar"/>
          <w:rtl/>
        </w:rPr>
        <w:t>الوافي</w:t>
      </w:r>
      <w:r w:rsidR="00744A1C">
        <w:rPr>
          <w:rtl/>
          <w:lang w:bidi="fa-IR"/>
        </w:rPr>
        <w:t xml:space="preserve"> ، ج 13 ، ص 1016 ، ح 13644 ؛ </w:t>
      </w:r>
      <w:r w:rsidR="00744A1C" w:rsidRPr="00C24F9C">
        <w:rPr>
          <w:rStyle w:val="libFootnoteBoldChar"/>
          <w:rtl/>
        </w:rPr>
        <w:t>الوسائل</w:t>
      </w:r>
      <w:r w:rsidR="00744A1C">
        <w:rPr>
          <w:rtl/>
          <w:lang w:bidi="fa-IR"/>
        </w:rPr>
        <w:t xml:space="preserve"> ، ج 13 ، ص 526 ، ح 18364.</w:t>
      </w:r>
    </w:p>
    <w:p w:rsidR="00744A1C" w:rsidRDefault="00E378DD" w:rsidP="00E378DD">
      <w:pPr>
        <w:pStyle w:val="libFootnote0"/>
        <w:rPr>
          <w:lang w:bidi="fa-IR"/>
        </w:rPr>
      </w:pPr>
      <w:r>
        <w:rPr>
          <w:rtl/>
          <w:lang w:bidi="fa-IR"/>
        </w:rPr>
        <w:t>(4).</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(5).</w:t>
      </w:r>
      <w:r w:rsidR="00744A1C">
        <w:rPr>
          <w:rtl/>
          <w:lang w:bidi="fa-IR"/>
        </w:rPr>
        <w:t xml:space="preserve"> في « بف ، جد ، جر » </w:t>
      </w:r>
      <w:r w:rsidR="00744A1C" w:rsidRPr="0061079A">
        <w:rPr>
          <w:rStyle w:val="libFootnoteBoldChar"/>
          <w:rtl/>
        </w:rPr>
        <w:t>والتهذيب</w:t>
      </w:r>
      <w:r w:rsidR="00744A1C">
        <w:rPr>
          <w:rtl/>
          <w:lang w:bidi="fa-IR"/>
        </w:rPr>
        <w:t xml:space="preserve"> : - « بن يحيى ».</w:t>
      </w:r>
    </w:p>
    <w:p w:rsidR="00744A1C" w:rsidRDefault="00E378DD" w:rsidP="00E378DD">
      <w:pPr>
        <w:pStyle w:val="libFootnote0"/>
        <w:rPr>
          <w:lang w:bidi="fa-IR"/>
        </w:rPr>
      </w:pPr>
      <w:r>
        <w:rPr>
          <w:rtl/>
          <w:lang w:bidi="fa-IR"/>
        </w:rPr>
        <w:t>(6).</w:t>
      </w:r>
      <w:r w:rsidR="00744A1C">
        <w:rPr>
          <w:rtl/>
          <w:lang w:bidi="fa-IR"/>
        </w:rPr>
        <w:t xml:space="preserve"> في « بح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به ».</w:t>
      </w:r>
    </w:p>
    <w:p w:rsidR="00744A1C" w:rsidRDefault="00E378DD" w:rsidP="00E378DD">
      <w:pPr>
        <w:pStyle w:val="libFootnote0"/>
        <w:rPr>
          <w:lang w:bidi="fa-IR"/>
        </w:rPr>
      </w:pPr>
      <w:r>
        <w:rPr>
          <w:rtl/>
          <w:lang w:bidi="fa-IR"/>
        </w:rPr>
        <w:t>(7).</w:t>
      </w:r>
      <w:r w:rsidR="00744A1C">
        <w:rPr>
          <w:rtl/>
          <w:lang w:bidi="fa-IR"/>
        </w:rPr>
        <w:t xml:space="preserve"> في « بخ ، بف » وحاشية « ى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عليّ ».</w:t>
      </w:r>
    </w:p>
    <w:p w:rsidR="00744A1C" w:rsidRDefault="00E378DD" w:rsidP="00E378DD">
      <w:pPr>
        <w:pStyle w:val="libFootnote0"/>
        <w:rPr>
          <w:lang w:bidi="fa-IR"/>
        </w:rPr>
      </w:pPr>
      <w:r>
        <w:rPr>
          <w:rtl/>
          <w:lang w:bidi="fa-IR"/>
        </w:rPr>
        <w:t>(8).</w:t>
      </w:r>
      <w:r w:rsidR="00744A1C">
        <w:rPr>
          <w:rtl/>
          <w:lang w:bidi="fa-IR"/>
        </w:rPr>
        <w:t xml:space="preserve"> في « بف » : « ما ».</w:t>
      </w:r>
    </w:p>
    <w:p w:rsidR="00744A1C" w:rsidRDefault="00744A1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الْفَجْرَ ، وَالْإِمَامُ يُصَلِّي بِهَا الظُّهْرَ ، لَاي</w:t>
      </w:r>
      <w:r w:rsidR="004A0367">
        <w:rPr>
          <w:rtl/>
          <w:lang w:bidi="fa-IR"/>
        </w:rPr>
        <w:t>َسَعُهُ إِل</w:t>
      </w:r>
      <w:r w:rsidR="004A0367">
        <w:rPr>
          <w:rFonts w:hint="cs"/>
          <w:rtl/>
          <w:lang w:bidi="fa-IR"/>
        </w:rPr>
        <w:t>َّ</w:t>
      </w:r>
      <w:r w:rsidR="004A0367">
        <w:rPr>
          <w:rtl/>
          <w:lang w:bidi="fa-IR"/>
        </w:rPr>
        <w:t>ا</w:t>
      </w:r>
      <w:r>
        <w:rPr>
          <w:rtl/>
          <w:lang w:bidi="fa-IR"/>
        </w:rPr>
        <w:t xml:space="preserve"> ذلِكَ ، وَمُوَسَّعٌ عَلَيْكَ </w:t>
      </w:r>
      <w:r w:rsidRPr="00D10E3C">
        <w:rPr>
          <w:rStyle w:val="libFootnotenumChar"/>
          <w:rtl/>
        </w:rPr>
        <w:t>(1)</w:t>
      </w:r>
      <w:r>
        <w:rPr>
          <w:rtl/>
          <w:lang w:bidi="fa-IR"/>
        </w:rPr>
        <w:t xml:space="preserve"> أَنْ تُصَلِّيَ بِغَيْرِهَا </w:t>
      </w:r>
      <w:r w:rsidRPr="00D10E3C">
        <w:rPr>
          <w:rStyle w:val="libFootnotenumChar"/>
          <w:rtl/>
        </w:rPr>
        <w:t>(2)</w:t>
      </w:r>
      <w:r>
        <w:rPr>
          <w:rtl/>
          <w:lang w:bidi="fa-IR"/>
        </w:rPr>
        <w:t xml:space="preserve"> إِنْ لَمْ تَقْدِرْ ، ثُمَّ تُدْرِكُهُمْ بِعَرَفَاتٍ ».</w:t>
      </w:r>
    </w:p>
    <w:p w:rsidR="00144FA6" w:rsidRDefault="00744A1C" w:rsidP="00744A1C">
      <w:pPr>
        <w:pStyle w:val="libNormal"/>
        <w:rPr>
          <w:rtl/>
          <w:lang w:bidi="fa-IR"/>
        </w:rPr>
      </w:pPr>
      <w:r>
        <w:rPr>
          <w:rtl/>
          <w:lang w:bidi="fa-IR"/>
        </w:rPr>
        <w:t xml:space="preserve">قَالَ : « وَحَدُّ مِنًى مِنَ الْعَقَبَةِ إِلى وَادِي مُحَسِّرٍ ». </w:t>
      </w:r>
      <w:r w:rsidRPr="00D10E3C">
        <w:rPr>
          <w:rStyle w:val="libFootnotenumChar"/>
          <w:rtl/>
        </w:rPr>
        <w:t>(3)</w:t>
      </w:r>
    </w:p>
    <w:p w:rsidR="00744A1C" w:rsidRDefault="00744A1C" w:rsidP="0066653D">
      <w:pPr>
        <w:pStyle w:val="Heading2Center"/>
        <w:rPr>
          <w:lang w:bidi="fa-IR"/>
        </w:rPr>
      </w:pPr>
      <w:bookmarkStart w:id="8" w:name="_Toc49261306"/>
      <w:r>
        <w:rPr>
          <w:rtl/>
          <w:lang w:bidi="fa-IR"/>
        </w:rPr>
        <w:t xml:space="preserve">163 - بَابُ الْغُدُوِّ </w:t>
      </w:r>
      <w:r w:rsidRPr="00D10E3C">
        <w:rPr>
          <w:rStyle w:val="libFootnotenumChar"/>
          <w:rtl/>
        </w:rPr>
        <w:t>(4)</w:t>
      </w:r>
      <w:r>
        <w:rPr>
          <w:rtl/>
          <w:lang w:bidi="fa-IR"/>
        </w:rPr>
        <w:t xml:space="preserve"> إِلى عَرَفَاتٍ وَحُدُودِهَا‌</w:t>
      </w:r>
      <w:bookmarkEnd w:id="8"/>
    </w:p>
    <w:p w:rsidR="00144FA6" w:rsidRDefault="00744A1C" w:rsidP="00744A1C">
      <w:pPr>
        <w:pStyle w:val="libNormal"/>
        <w:rPr>
          <w:rtl/>
          <w:lang w:bidi="fa-IR"/>
        </w:rPr>
      </w:pPr>
      <w:r>
        <w:rPr>
          <w:rtl/>
          <w:lang w:bidi="fa-IR"/>
        </w:rPr>
        <w:t>7733 / 1. حُمَيْدُ بْنُ زِيَادٍ ، عَنِ ابْنِ سَمَاعَةَ ، عَمَّنْ ذَكَرَهُ ، عَنْ أَبَانٍ ، عَنْ إِسْحَاقَ بْنِ عَمَّارٍ</w:t>
      </w:r>
      <w:r w:rsidRPr="00D10E3C">
        <w:rPr>
          <w:rStyle w:val="libFootnotenumChar"/>
          <w:rtl/>
        </w:rPr>
        <w:t>(5)</w:t>
      </w:r>
      <w:r>
        <w:rPr>
          <w:rtl/>
          <w:lang w:bidi="fa-IR"/>
        </w:rPr>
        <w:t>:</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w:t>
      </w:r>
      <w:r w:rsidR="0066653D">
        <w:rPr>
          <w:rtl/>
          <w:lang w:bidi="fa-IR"/>
        </w:rPr>
        <w:t>قَالَ : « مِنَ السُّنَّةِ أَل</w:t>
      </w:r>
      <w:r w:rsidR="0066653D">
        <w:rPr>
          <w:rFonts w:hint="cs"/>
          <w:rtl/>
          <w:lang w:bidi="fa-IR"/>
        </w:rPr>
        <w:t>َّ</w:t>
      </w:r>
      <w:r w:rsidR="0066653D">
        <w:rPr>
          <w:rtl/>
          <w:lang w:bidi="fa-IR"/>
        </w:rPr>
        <w:t>ا</w:t>
      </w:r>
      <w:r>
        <w:rPr>
          <w:rtl/>
          <w:lang w:bidi="fa-IR"/>
        </w:rPr>
        <w:t xml:space="preserve"> يَخْرُجَ الْإِمَامُ مِنْ مِنًى إِلى عَرَفَةَ </w:t>
      </w:r>
      <w:r w:rsidRPr="00D10E3C">
        <w:rPr>
          <w:rStyle w:val="libFootnotenumChar"/>
          <w:rtl/>
        </w:rPr>
        <w:t>(6)</w:t>
      </w:r>
      <w:r>
        <w:rPr>
          <w:rtl/>
          <w:lang w:bidi="fa-IR"/>
        </w:rPr>
        <w:t xml:space="preserve"> حَتّى‌</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بخ ، بف ، جد » و</w:t>
      </w:r>
      <w:r w:rsidR="00744A1C" w:rsidRPr="00C24F9C">
        <w:rPr>
          <w:rStyle w:val="libFootnoteBoldChar"/>
          <w:rtl/>
        </w:rPr>
        <w:t>الوافي</w:t>
      </w:r>
      <w:r w:rsidR="00744A1C">
        <w:rPr>
          <w:rtl/>
          <w:lang w:bidi="fa-IR"/>
        </w:rPr>
        <w:t xml:space="preserve"> : « لك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18 ، ص 116 : « قوله </w:t>
      </w:r>
      <w:r w:rsidR="0061079A" w:rsidRPr="0061079A">
        <w:rPr>
          <w:rStyle w:val="libFootnoteAlaemChar"/>
          <w:rtl/>
        </w:rPr>
        <w:t>عليه‌السلام</w:t>
      </w:r>
      <w:r w:rsidR="00D10E3C">
        <w:rPr>
          <w:rtl/>
          <w:lang w:bidi="fa-IR"/>
        </w:rPr>
        <w:t xml:space="preserve"> </w:t>
      </w:r>
      <w:r w:rsidR="00744A1C">
        <w:rPr>
          <w:rtl/>
          <w:lang w:bidi="fa-IR"/>
        </w:rPr>
        <w:t>: أن تصلّي بغيرها ، أي الصلوات كلّها ، وأمّا ما ذكره فيه من حدّي منى فلا خلاف فيه بين الأصحاب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177 ، ح 596 ، معلّقاً عن الكليني. </w:t>
      </w:r>
      <w:r w:rsidR="00744A1C" w:rsidRPr="00C24F9C">
        <w:rPr>
          <w:rStyle w:val="libFootnoteBoldChar"/>
          <w:rtl/>
        </w:rPr>
        <w:t>الفقيه</w:t>
      </w:r>
      <w:r w:rsidR="00744A1C">
        <w:rPr>
          <w:rtl/>
          <w:lang w:bidi="fa-IR"/>
        </w:rPr>
        <w:t xml:space="preserve"> ، ج 2 ، ص 463 ، ح 2978 ، معلّقاً عن معاوية بن عمّار وأبي بصير ، عن أبي عبدالله ، من قوله : « وحدّ منى من العقبة » مع زيادة في آخره. </w:t>
      </w:r>
      <w:r w:rsidR="00744A1C" w:rsidRPr="00C24F9C">
        <w:rPr>
          <w:rStyle w:val="libFootnoteBoldChar"/>
          <w:rtl/>
        </w:rPr>
        <w:t>الفقيه</w:t>
      </w:r>
      <w:r w:rsidR="00744A1C">
        <w:rPr>
          <w:rtl/>
          <w:lang w:bidi="fa-IR"/>
        </w:rPr>
        <w:t xml:space="preserve"> ، ج 2 ، ص 436 ، ص 537 ، إلى قوله : « والعشاء الآخرة والفجر »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w:t>
      </w:r>
      <w:r w:rsidR="00A161DD">
        <w:rPr>
          <w:rFonts w:hint="cs"/>
          <w:rtl/>
          <w:lang w:bidi="fa-IR"/>
        </w:rPr>
        <w:t>.</w:t>
      </w:r>
      <w:r w:rsidR="00744A1C" w:rsidRPr="00C24F9C">
        <w:rPr>
          <w:rStyle w:val="libFootnoteBoldChar"/>
          <w:rtl/>
        </w:rPr>
        <w:t>الوافي</w:t>
      </w:r>
      <w:r w:rsidR="00744A1C">
        <w:rPr>
          <w:rtl/>
          <w:lang w:bidi="fa-IR"/>
        </w:rPr>
        <w:t xml:space="preserve"> ، ج 13 ، ص 1016 ، ح 13645 ؛ </w:t>
      </w:r>
      <w:r w:rsidR="00744A1C" w:rsidRPr="00C24F9C">
        <w:rPr>
          <w:rStyle w:val="libFootnoteBoldChar"/>
          <w:rtl/>
        </w:rPr>
        <w:t>الوسائل</w:t>
      </w:r>
      <w:r w:rsidR="00744A1C">
        <w:rPr>
          <w:rtl/>
          <w:lang w:bidi="fa-IR"/>
        </w:rPr>
        <w:t xml:space="preserve"> ، ج 13 ، ص 526 ، ح 18365.</w:t>
      </w:r>
    </w:p>
    <w:p w:rsidR="00744A1C" w:rsidRDefault="00E378DD" w:rsidP="00E378DD">
      <w:pPr>
        <w:pStyle w:val="libFootnote0"/>
        <w:rPr>
          <w:lang w:bidi="fa-IR"/>
        </w:rPr>
      </w:pPr>
      <w:r>
        <w:rPr>
          <w:rtl/>
          <w:lang w:bidi="fa-IR"/>
        </w:rPr>
        <w:t>(4).</w:t>
      </w:r>
      <w:r w:rsidR="00744A1C">
        <w:rPr>
          <w:rtl/>
          <w:lang w:bidi="fa-IR"/>
        </w:rPr>
        <w:t xml:space="preserve"> « الغُدُوُّ » : سير أوّل النهار ، نقيض الرواح. راجع : </w:t>
      </w:r>
      <w:r w:rsidR="00744A1C" w:rsidRPr="00877682">
        <w:rPr>
          <w:rStyle w:val="libFootnoteBoldChar"/>
          <w:rtl/>
        </w:rPr>
        <w:t>النهاية</w:t>
      </w:r>
      <w:r w:rsidR="00744A1C">
        <w:rPr>
          <w:rtl/>
          <w:lang w:bidi="fa-IR"/>
        </w:rPr>
        <w:t xml:space="preserve"> ، ج 3 ، ص 346 ( غدا ).</w:t>
      </w:r>
    </w:p>
    <w:p w:rsidR="00744A1C" w:rsidRDefault="00E378DD" w:rsidP="00E378DD">
      <w:pPr>
        <w:pStyle w:val="libFootnote0"/>
        <w:rPr>
          <w:lang w:bidi="fa-IR"/>
        </w:rPr>
      </w:pPr>
      <w:r>
        <w:rPr>
          <w:rtl/>
          <w:lang w:bidi="fa-IR"/>
        </w:rPr>
        <w:t>(5).</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5 ، ص 178 ، ح 598 بسنده عن فضالة عن أبان عن أبي إسحاق ، لكنّ الظاهر أنّه سهو ؛ فإنّ المراد من أبي إسحاق في هذه الطبقة هو ثعلبة بن ميمون ، ولم نجد رواية أبان - وهو ابن عثمان - عنه في موضع. وما ورد في </w:t>
      </w:r>
      <w:r w:rsidR="00744A1C" w:rsidRPr="00C24F9C">
        <w:rPr>
          <w:rStyle w:val="libFootnoteBoldChar"/>
          <w:rtl/>
        </w:rPr>
        <w:t>الوسائل</w:t>
      </w:r>
      <w:r w:rsidR="00744A1C">
        <w:rPr>
          <w:rtl/>
          <w:lang w:bidi="fa-IR"/>
        </w:rPr>
        <w:t xml:space="preserve"> ، ج 20 ، ص 562 ، ح 26352 ؛ من رواية أبان بن عثمان عن ثعلبة بن ميمون نقلاً من آخر </w:t>
      </w:r>
      <w:r w:rsidR="00744A1C" w:rsidRPr="00877682">
        <w:rPr>
          <w:rStyle w:val="libFootnoteBoldChar"/>
          <w:rtl/>
        </w:rPr>
        <w:t>السرائر</w:t>
      </w:r>
      <w:r w:rsidR="00744A1C">
        <w:rPr>
          <w:rtl/>
          <w:lang w:bidi="fa-IR"/>
        </w:rPr>
        <w:t xml:space="preserve"> ، فهو سهو آخر ؛ فقد أورد ابن إدريس ذاك الخبر في </w:t>
      </w:r>
      <w:r w:rsidR="00744A1C" w:rsidRPr="00877682">
        <w:rPr>
          <w:rStyle w:val="libFootnoteBoldChar"/>
          <w:rtl/>
        </w:rPr>
        <w:t>السرائر</w:t>
      </w:r>
      <w:r w:rsidR="00744A1C">
        <w:rPr>
          <w:rtl/>
          <w:lang w:bidi="fa-IR"/>
        </w:rPr>
        <w:t xml:space="preserve"> ، ج 3 ، ص 565 في ذيل ما أورده أبان بن تغلب صاحب الباقر والصادق </w:t>
      </w:r>
      <w:r w:rsidR="00F112A7" w:rsidRPr="00CE5A92">
        <w:rPr>
          <w:rStyle w:val="libFootnoteAlaemChar"/>
          <w:rtl/>
        </w:rPr>
        <w:t>عليهما‌السلام</w:t>
      </w:r>
      <w:r w:rsidR="00744A1C">
        <w:rPr>
          <w:rtl/>
          <w:lang w:bidi="fa-IR"/>
        </w:rPr>
        <w:t xml:space="preserve">، لكنّه سهو ثالث ؛ فإنّ الظاهر أنّ المراد من أبان في ما أورده ابن إدريس في ذيل ذاك العنوان هو أبان بن محمّد البجلي المعروف بسندي ، وقد اشتبه الأمر على ابن إدريس في تطبيق عنوان أبان ، على أبان بن تغلب. وهذا واضح لمن راجع </w:t>
      </w:r>
      <w:r w:rsidR="00744A1C" w:rsidRPr="00877682">
        <w:rPr>
          <w:rStyle w:val="libFootnoteBoldChar"/>
          <w:rtl/>
        </w:rPr>
        <w:t>السرائر</w:t>
      </w:r>
      <w:r w:rsidR="00744A1C">
        <w:rPr>
          <w:rtl/>
          <w:lang w:bidi="fa-IR"/>
        </w:rPr>
        <w:t xml:space="preserve"> وقارن أسناد تلك الأخبار مع أسناد السندي بن محمّد وأبان بن تغلب ، فلاحظ.</w:t>
      </w:r>
    </w:p>
    <w:p w:rsidR="00744A1C" w:rsidRDefault="00744A1C" w:rsidP="00A161DD">
      <w:pPr>
        <w:pStyle w:val="libFootnote0"/>
        <w:rPr>
          <w:lang w:bidi="fa-IR"/>
        </w:rPr>
      </w:pPr>
      <w:r>
        <w:rPr>
          <w:rtl/>
          <w:lang w:bidi="fa-IR"/>
        </w:rPr>
        <w:t xml:space="preserve">هذا ، وقد تكرّرت رواية أبان [ بن عثمان ] عن إسحاق بن عمّار في الأسناد. راجع : </w:t>
      </w:r>
      <w:r w:rsidRPr="0061079A">
        <w:rPr>
          <w:rStyle w:val="libFootnoteBoldChar"/>
          <w:rtl/>
        </w:rPr>
        <w:t>معجم رجال الحديث</w:t>
      </w:r>
      <w:r>
        <w:rPr>
          <w:rtl/>
          <w:lang w:bidi="fa-IR"/>
        </w:rPr>
        <w:t xml:space="preserve"> ، ج 1 ، ص 378 ، وص 414.</w:t>
      </w:r>
      <w:r w:rsidR="00A161DD">
        <w:rPr>
          <w:rFonts w:hint="cs"/>
          <w:rtl/>
          <w:lang w:bidi="fa-IR"/>
        </w:rPr>
        <w:t xml:space="preserve">                      </w:t>
      </w:r>
      <w:r w:rsidR="00E378DD">
        <w:rPr>
          <w:rtl/>
          <w:lang w:bidi="fa-IR"/>
        </w:rPr>
        <w:t>(6).</w:t>
      </w:r>
      <w:r>
        <w:rPr>
          <w:rtl/>
          <w:lang w:bidi="fa-IR"/>
        </w:rPr>
        <w:t xml:space="preserve"> في « ى ، بث ، بح ، بس » وحاشية « جد » : « عرفات ».</w:t>
      </w:r>
    </w:p>
    <w:p w:rsidR="00744A1C" w:rsidRDefault="00744A1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تَطْلُعَ الشَّمْسُ ». </w:t>
      </w:r>
      <w:r w:rsidRPr="00D10E3C">
        <w:rPr>
          <w:rStyle w:val="libFootnotenumChar"/>
          <w:rtl/>
        </w:rPr>
        <w:t>(1)</w:t>
      </w:r>
    </w:p>
    <w:p w:rsidR="00144FA6" w:rsidRDefault="00744A1C" w:rsidP="00744A1C">
      <w:pPr>
        <w:pStyle w:val="libNormal"/>
        <w:rPr>
          <w:rtl/>
          <w:lang w:bidi="fa-IR"/>
        </w:rPr>
      </w:pPr>
      <w:r>
        <w:rPr>
          <w:rtl/>
          <w:lang w:bidi="fa-IR"/>
        </w:rPr>
        <w:t>7734 / 2. مُحَمَّدُ بْنُ يَحْيى ، عَنْ أَحْمَدَ بْنِ مُحَمَّدٍ ، عَنِ الْحُسَيْنِ بْنِ سَعِيدٍ ، عَنِ النَّضْرِ بْنِ سُوَيْدٍ ، عَنْ يَحْيَى بْنِ عِمْرَانَ الْحَلَبِيِّ ، عَنْ عَبْدِ الْحَمِيدِ الطَّائِيِّ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إِنَّا مُشَاةٌ ، فَكَيْفَ </w:t>
      </w:r>
      <w:r w:rsidRPr="00D10E3C">
        <w:rPr>
          <w:rStyle w:val="libFootnotenumChar"/>
          <w:rtl/>
        </w:rPr>
        <w:t>(2)</w:t>
      </w:r>
      <w:r>
        <w:rPr>
          <w:rtl/>
          <w:lang w:bidi="fa-IR"/>
        </w:rPr>
        <w:t xml:space="preserve"> نَصْنَعُ؟</w:t>
      </w:r>
    </w:p>
    <w:p w:rsidR="00144FA6" w:rsidRDefault="00744A1C" w:rsidP="00744A1C">
      <w:pPr>
        <w:pStyle w:val="libNormal"/>
        <w:rPr>
          <w:rtl/>
          <w:lang w:bidi="fa-IR"/>
        </w:rPr>
      </w:pPr>
      <w:r>
        <w:rPr>
          <w:rtl/>
          <w:lang w:bidi="fa-IR"/>
        </w:rPr>
        <w:t xml:space="preserve">قَالَ : « أَمَّا أَصْحَابُ الرِّحَالِ ، فَكَانُوا يُصَلُّونَ الْغَدَاةَ بِمِنًى ، وَأَمَّا أَنْتُمْ ، فَامْضُوا حَتّى </w:t>
      </w:r>
      <w:r w:rsidRPr="00D10E3C">
        <w:rPr>
          <w:rStyle w:val="libFootnotenumChar"/>
          <w:rtl/>
        </w:rPr>
        <w:t>(3)</w:t>
      </w:r>
      <w:r>
        <w:rPr>
          <w:rtl/>
          <w:lang w:bidi="fa-IR"/>
        </w:rPr>
        <w:t xml:space="preserve"> تُصَلُّوا </w:t>
      </w:r>
      <w:r w:rsidRPr="00D10E3C">
        <w:rPr>
          <w:rStyle w:val="libFootnotenumChar"/>
          <w:rtl/>
        </w:rPr>
        <w:t>(4)</w:t>
      </w:r>
      <w:r>
        <w:rPr>
          <w:rtl/>
          <w:lang w:bidi="fa-IR"/>
        </w:rPr>
        <w:t xml:space="preserve"> فِي الطَّرِيقِ ». </w:t>
      </w:r>
      <w:r w:rsidRPr="00D10E3C">
        <w:rPr>
          <w:rStyle w:val="libFootnotenumChar"/>
          <w:rtl/>
        </w:rPr>
        <w:t>(5)</w:t>
      </w:r>
    </w:p>
    <w:p w:rsidR="00A161DD" w:rsidRDefault="00744A1C" w:rsidP="00A161DD">
      <w:pPr>
        <w:pStyle w:val="libNormal"/>
        <w:rPr>
          <w:rtl/>
          <w:lang w:bidi="fa-IR"/>
        </w:rPr>
      </w:pPr>
      <w:r>
        <w:rPr>
          <w:rtl/>
          <w:lang w:bidi="fa-IR"/>
        </w:rPr>
        <w:t>7735 / 3. عَلِيُّ بْنُ إِبْرَاهِيمَ ، عَنْ أَبِيهِ ؛</w:t>
      </w:r>
    </w:p>
    <w:p w:rsidR="00144FA6" w:rsidRDefault="00A161DD" w:rsidP="00A161DD">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(6)</w:t>
      </w:r>
      <w:r w:rsidR="00744A1C">
        <w:rPr>
          <w:rtl/>
          <w:lang w:bidi="fa-IR"/>
        </w:rPr>
        <w:t xml:space="preserve"> مُحَمَّدُ بْنُ إِسْمَاعِيلَ ، عَنِ الْفَضْلِ بْنِ شَاذَانَ ، عَنِ ابْنِ أَبِي عُمَيْرٍ وَ</w:t>
      </w:r>
      <w:r>
        <w:rPr>
          <w:rFonts w:hint="cs"/>
          <w:rtl/>
          <w:lang w:bidi="fa-IR"/>
        </w:rPr>
        <w:t xml:space="preserve"> </w:t>
      </w:r>
      <w:r w:rsidR="00744A1C">
        <w:rPr>
          <w:rtl/>
          <w:lang w:bidi="fa-IR"/>
        </w:rPr>
        <w:t xml:space="preserve">صَفْوَانَ بْنِ يَحْيى </w:t>
      </w:r>
      <w:r w:rsidR="00744A1C" w:rsidRPr="00D10E3C">
        <w:rPr>
          <w:rStyle w:val="libFootnotenumChar"/>
          <w:rtl/>
        </w:rPr>
        <w:t>(7)</w:t>
      </w:r>
      <w:r w:rsidR="00744A1C">
        <w:rPr>
          <w:rtl/>
          <w:lang w:bidi="fa-IR"/>
        </w:rPr>
        <w:t xml:space="preserve">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غَدَوْتَ </w:t>
      </w:r>
      <w:r w:rsidRPr="00D10E3C">
        <w:rPr>
          <w:rStyle w:val="libFootnotenumChar"/>
          <w:rtl/>
        </w:rPr>
        <w:t>(8)</w:t>
      </w:r>
      <w:r>
        <w:rPr>
          <w:rtl/>
          <w:lang w:bidi="fa-IR"/>
        </w:rPr>
        <w:t xml:space="preserve"> إِلى عَرَفَةَ ، فَقُلْ وَأَنْتَ مُتَوَجِّهٌ إِلَيْهَا : الل</w:t>
      </w:r>
      <w:r w:rsidR="00A161DD">
        <w:rPr>
          <w:rFonts w:hint="cs"/>
          <w:rtl/>
          <w:lang w:bidi="fa-IR"/>
        </w:rPr>
        <w:t>ّ</w:t>
      </w:r>
      <w:r>
        <w:rPr>
          <w:rtl/>
          <w:lang w:bidi="fa-IR"/>
        </w:rPr>
        <w:t xml:space="preserve">هُمَّ إِلَيْكَ صَمَدْتُ ، وَإِيَّاكَ اعْتَمَدْتُ ، وَوَجْهَكَ أَرَدْتُ </w:t>
      </w:r>
      <w:r w:rsidRPr="00D10E3C">
        <w:rPr>
          <w:rStyle w:val="libFootnotenumChar"/>
          <w:rtl/>
        </w:rPr>
        <w:t>(9)</w:t>
      </w:r>
      <w:r>
        <w:rPr>
          <w:rtl/>
          <w:lang w:bidi="fa-IR"/>
        </w:rPr>
        <w:t xml:space="preserve"> ، فَأَسْأَلُكَ </w:t>
      </w:r>
      <w:r w:rsidRPr="00D10E3C">
        <w:rPr>
          <w:rStyle w:val="libFootnotenumChar"/>
          <w:rtl/>
        </w:rPr>
        <w:t>(10)</w:t>
      </w:r>
      <w:r>
        <w:rPr>
          <w:rtl/>
          <w:lang w:bidi="fa-IR"/>
        </w:rPr>
        <w:t xml:space="preserve"> أَنْ تُبَارِكَ لِي فِي‌ رِحْلَتِي </w:t>
      </w:r>
      <w:r w:rsidRPr="00D10E3C">
        <w:rPr>
          <w:rStyle w:val="libFootnotenumChar"/>
          <w:rtl/>
        </w:rPr>
        <w:t>(11)</w:t>
      </w:r>
      <w:r>
        <w:rPr>
          <w:rtl/>
          <w:lang w:bidi="fa-IR"/>
        </w:rPr>
        <w:t xml:space="preserve"> ، وَأَنْ تَقْضِيَ لِي حَاجَتِي ، وَأَنْ تَجْعَلَنِي الْيَوْمَ </w:t>
      </w:r>
      <w:r w:rsidRPr="00D10E3C">
        <w:rPr>
          <w:rStyle w:val="libFootnotenumChar"/>
          <w:rtl/>
        </w:rPr>
        <w:t>(12)</w:t>
      </w:r>
      <w:r>
        <w:rPr>
          <w:rtl/>
          <w:lang w:bidi="fa-IR"/>
        </w:rPr>
        <w:t xml:space="preserve"> مِمَّنْ تُبَاهِي بِهِ </w:t>
      </w:r>
      <w:r w:rsidRPr="00D10E3C">
        <w:rPr>
          <w:rStyle w:val="libFootnotenumChar"/>
          <w:rtl/>
        </w:rPr>
        <w:t>(13)</w:t>
      </w:r>
      <w:r>
        <w:rPr>
          <w:rtl/>
          <w:lang w:bidi="fa-IR"/>
        </w:rPr>
        <w:t xml:space="preserve"> مَنْ هُوَ‌</w:t>
      </w:r>
    </w:p>
    <w:p w:rsidR="00744A1C" w:rsidRDefault="00744A1C" w:rsidP="00D10E3C">
      <w:pPr>
        <w:pStyle w:val="libLine"/>
        <w:rPr>
          <w:lang w:bidi="fa-IR"/>
        </w:rPr>
      </w:pPr>
      <w:r>
        <w:rPr>
          <w:rtl/>
          <w:lang w:bidi="fa-IR"/>
        </w:rPr>
        <w:t>____________________</w:t>
      </w:r>
    </w:p>
    <w:p w:rsidR="00744A1C" w:rsidRDefault="00D10E3C" w:rsidP="00B16590">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178 ، ح 598 ، بسنده عن أبان </w:t>
      </w:r>
      <w:r w:rsidR="00B16590">
        <w:rPr>
          <w:rFonts w:hint="cs"/>
          <w:rtl/>
          <w:lang w:bidi="fa-IR"/>
        </w:rPr>
        <w:t>.</w:t>
      </w:r>
      <w:r w:rsidR="00744A1C" w:rsidRPr="00C24F9C">
        <w:rPr>
          <w:rStyle w:val="libFootnoteBoldChar"/>
          <w:rtl/>
        </w:rPr>
        <w:t>الوافي</w:t>
      </w:r>
      <w:r w:rsidR="00744A1C">
        <w:rPr>
          <w:rtl/>
          <w:lang w:bidi="fa-IR"/>
        </w:rPr>
        <w:t xml:space="preserve"> ، ج 13 ، ص 1020 ، ح 13649 ؛ </w:t>
      </w:r>
      <w:r w:rsidR="00744A1C" w:rsidRPr="00C24F9C">
        <w:rPr>
          <w:rStyle w:val="libFootnoteBoldChar"/>
          <w:rtl/>
        </w:rPr>
        <w:t>الوسائل</w:t>
      </w:r>
      <w:r w:rsidR="00744A1C">
        <w:rPr>
          <w:rtl/>
          <w:lang w:bidi="fa-IR"/>
        </w:rPr>
        <w:t xml:space="preserve"> ، ج 13 ، ص 527 ، ح 18368.</w:t>
      </w:r>
      <w:r w:rsidR="00516901">
        <w:rPr>
          <w:rFonts w:hint="cs"/>
          <w:rtl/>
          <w:lang w:bidi="fa-IR"/>
        </w:rPr>
        <w:t xml:space="preserve">      </w:t>
      </w:r>
      <w:r w:rsidR="00B16590">
        <w:rPr>
          <w:rFonts w:hint="cs"/>
          <w:rtl/>
          <w:lang w:bidi="fa-IR"/>
        </w:rPr>
        <w:t xml:space="preserve">       </w:t>
      </w:r>
      <w:r w:rsidR="00E378DD">
        <w:rPr>
          <w:rtl/>
          <w:lang w:bidi="fa-IR"/>
        </w:rPr>
        <w:t>(2).</w:t>
      </w:r>
      <w:r w:rsidR="00744A1C">
        <w:rPr>
          <w:rtl/>
          <w:lang w:bidi="fa-IR"/>
        </w:rPr>
        <w:t xml:space="preserve"> في « ى » : « كيف ».</w:t>
      </w:r>
    </w:p>
    <w:tbl>
      <w:tblPr>
        <w:tblStyle w:val="TableGrid"/>
        <w:bidiVisual/>
        <w:tblW w:w="0" w:type="auto"/>
        <w:tblLook w:val="04A0" w:firstRow="1" w:lastRow="0" w:firstColumn="1" w:lastColumn="0" w:noHBand="0" w:noVBand="1"/>
      </w:tblPr>
      <w:tblGrid>
        <w:gridCol w:w="4006"/>
        <w:gridCol w:w="4006"/>
      </w:tblGrid>
      <w:tr w:rsidR="00B16590" w:rsidTr="00B16590">
        <w:tc>
          <w:tcPr>
            <w:tcW w:w="4006" w:type="dxa"/>
          </w:tcPr>
          <w:p w:rsidR="00B16590" w:rsidRDefault="00B16590" w:rsidP="00E378DD">
            <w:pPr>
              <w:pStyle w:val="libFootnote0"/>
              <w:rPr>
                <w:rtl/>
                <w:lang w:bidi="fa-IR"/>
              </w:rPr>
            </w:pPr>
            <w:r>
              <w:rPr>
                <w:rtl/>
                <w:lang w:bidi="fa-IR"/>
              </w:rPr>
              <w:t>(3). في « بخ ، بف » و</w:t>
            </w:r>
            <w:r w:rsidRPr="00C24F9C">
              <w:rPr>
                <w:rStyle w:val="libFootnoteBoldChar"/>
                <w:rtl/>
              </w:rPr>
              <w:t>الوافي</w:t>
            </w:r>
            <w:r>
              <w:rPr>
                <w:rtl/>
                <w:lang w:bidi="fa-IR"/>
              </w:rPr>
              <w:t xml:space="preserve"> : « حيث ».</w:t>
            </w:r>
          </w:p>
        </w:tc>
        <w:tc>
          <w:tcPr>
            <w:tcW w:w="4006" w:type="dxa"/>
          </w:tcPr>
          <w:p w:rsidR="00B16590" w:rsidRDefault="00B16590" w:rsidP="00E378DD">
            <w:pPr>
              <w:pStyle w:val="libFootnote0"/>
              <w:rPr>
                <w:rtl/>
                <w:lang w:bidi="fa-IR"/>
              </w:rPr>
            </w:pPr>
            <w:r>
              <w:rPr>
                <w:rtl/>
                <w:lang w:bidi="fa-IR"/>
              </w:rPr>
              <w:t xml:space="preserve">(4). في </w:t>
            </w:r>
            <w:r w:rsidRPr="00C24F9C">
              <w:rPr>
                <w:rStyle w:val="libFootnoteBoldChar"/>
                <w:rtl/>
              </w:rPr>
              <w:t>الوافي</w:t>
            </w:r>
            <w:r>
              <w:rPr>
                <w:rtl/>
                <w:lang w:bidi="fa-IR"/>
              </w:rPr>
              <w:t xml:space="preserve"> : « تصلّون ».</w:t>
            </w:r>
          </w:p>
        </w:tc>
      </w:tr>
    </w:tbl>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179 ، ح 599 ، معلّقاً عن الكليني </w:t>
      </w:r>
      <w:r w:rsidR="00461BFC">
        <w:rPr>
          <w:rFonts w:hint="cs"/>
          <w:rtl/>
          <w:lang w:bidi="fa-IR"/>
        </w:rPr>
        <w:t>.</w:t>
      </w:r>
      <w:r w:rsidR="00744A1C" w:rsidRPr="00C24F9C">
        <w:rPr>
          <w:rStyle w:val="libFootnoteBoldChar"/>
          <w:rtl/>
        </w:rPr>
        <w:t>الوافي</w:t>
      </w:r>
      <w:r w:rsidR="00744A1C">
        <w:rPr>
          <w:rtl/>
          <w:lang w:bidi="fa-IR"/>
        </w:rPr>
        <w:t xml:space="preserve"> ، ج 13 ، ص 1019 ، ح 13647 ؛ </w:t>
      </w:r>
      <w:r w:rsidR="00744A1C" w:rsidRPr="00C24F9C">
        <w:rPr>
          <w:rStyle w:val="libFootnoteBoldChar"/>
          <w:rtl/>
        </w:rPr>
        <w:t>الوسائل</w:t>
      </w:r>
      <w:r w:rsidR="00744A1C">
        <w:rPr>
          <w:rtl/>
          <w:lang w:bidi="fa-IR"/>
        </w:rPr>
        <w:t xml:space="preserve"> ، ج 13 ، ص 527 ، ح 18367.</w:t>
      </w:r>
    </w:p>
    <w:p w:rsidR="00744A1C" w:rsidRDefault="00E378DD" w:rsidP="00E378DD">
      <w:pPr>
        <w:pStyle w:val="libFootnote0"/>
        <w:rPr>
          <w:lang w:bidi="fa-IR"/>
        </w:rPr>
      </w:pPr>
      <w:r>
        <w:rPr>
          <w:rtl/>
          <w:lang w:bidi="fa-IR"/>
        </w:rPr>
        <w:t>(6).</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(7).</w:t>
      </w:r>
      <w:r w:rsidR="00744A1C">
        <w:rPr>
          <w:rtl/>
          <w:lang w:bidi="fa-IR"/>
        </w:rPr>
        <w:t xml:space="preserve"> في « جر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 بن يحيى ».</w:t>
      </w:r>
    </w:p>
    <w:tbl>
      <w:tblPr>
        <w:tblStyle w:val="TableGrid"/>
        <w:bidiVisual/>
        <w:tblW w:w="0" w:type="auto"/>
        <w:tblLook w:val="04A0" w:firstRow="1" w:lastRow="0" w:firstColumn="1" w:lastColumn="0" w:noHBand="0" w:noVBand="1"/>
      </w:tblPr>
      <w:tblGrid>
        <w:gridCol w:w="4006"/>
        <w:gridCol w:w="4006"/>
      </w:tblGrid>
      <w:tr w:rsidR="00461BFC" w:rsidTr="00461BFC">
        <w:tc>
          <w:tcPr>
            <w:tcW w:w="4006" w:type="dxa"/>
          </w:tcPr>
          <w:p w:rsidR="00461BFC" w:rsidRDefault="00461BFC" w:rsidP="00E378DD">
            <w:pPr>
              <w:pStyle w:val="libFootnote0"/>
              <w:rPr>
                <w:rtl/>
                <w:lang w:bidi="fa-IR"/>
              </w:rPr>
            </w:pPr>
            <w:r>
              <w:rPr>
                <w:rtl/>
                <w:lang w:bidi="fa-IR"/>
              </w:rPr>
              <w:t xml:space="preserve">(8). في </w:t>
            </w:r>
            <w:r w:rsidRPr="00C24F9C">
              <w:rPr>
                <w:rStyle w:val="libFootnoteBoldChar"/>
                <w:rtl/>
              </w:rPr>
              <w:t>الفقيه</w:t>
            </w:r>
            <w:r>
              <w:rPr>
                <w:rtl/>
                <w:lang w:bidi="fa-IR"/>
              </w:rPr>
              <w:t xml:space="preserve"> : « ثمّ امض » بدل « إذا غدوت ».</w:t>
            </w:r>
          </w:p>
        </w:tc>
        <w:tc>
          <w:tcPr>
            <w:tcW w:w="4006" w:type="dxa"/>
          </w:tcPr>
          <w:p w:rsidR="00461BFC" w:rsidRDefault="00461BFC" w:rsidP="00E378DD">
            <w:pPr>
              <w:pStyle w:val="libFootnote0"/>
              <w:rPr>
                <w:rtl/>
                <w:lang w:bidi="fa-IR"/>
              </w:rPr>
            </w:pPr>
            <w:r>
              <w:rPr>
                <w:rtl/>
                <w:lang w:bidi="fa-IR"/>
              </w:rPr>
              <w:t xml:space="preserve">(9). في </w:t>
            </w:r>
            <w:r w:rsidRPr="00C24F9C">
              <w:rPr>
                <w:rStyle w:val="libFootnoteBoldChar"/>
                <w:rtl/>
              </w:rPr>
              <w:t>الفقيه</w:t>
            </w:r>
            <w:r>
              <w:rPr>
                <w:rtl/>
                <w:lang w:bidi="fa-IR"/>
              </w:rPr>
              <w:t xml:space="preserve"> : + « قولك صدّقت ، وأمرك اتّبعت ».</w:t>
            </w:r>
          </w:p>
        </w:tc>
      </w:tr>
    </w:tbl>
    <w:p w:rsidR="00744A1C" w:rsidRDefault="00E378DD" w:rsidP="00E378DD">
      <w:pPr>
        <w:pStyle w:val="libFootnote0"/>
        <w:rPr>
          <w:lang w:bidi="fa-IR"/>
        </w:rPr>
      </w:pPr>
      <w:r>
        <w:rPr>
          <w:rtl/>
          <w:lang w:bidi="fa-IR"/>
        </w:rPr>
        <w:t>(10).</w:t>
      </w:r>
      <w:r w:rsidR="00744A1C">
        <w:rPr>
          <w:rtl/>
          <w:lang w:bidi="fa-IR"/>
        </w:rPr>
        <w:t xml:space="preserve"> في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و</w:t>
      </w:r>
      <w:r w:rsidR="00744A1C" w:rsidRPr="00C24F9C">
        <w:rPr>
          <w:rStyle w:val="libFootnoteBoldChar"/>
          <w:rtl/>
        </w:rPr>
        <w:t>الفقيه</w:t>
      </w:r>
      <w:r w:rsidR="00744A1C">
        <w:rPr>
          <w:rtl/>
          <w:lang w:bidi="fa-IR"/>
        </w:rPr>
        <w:t xml:space="preserve"> : « أسألك ».</w:t>
      </w:r>
    </w:p>
    <w:tbl>
      <w:tblPr>
        <w:tblStyle w:val="TableGrid"/>
        <w:bidiVisual/>
        <w:tblW w:w="0" w:type="auto"/>
        <w:tblLook w:val="04A0" w:firstRow="1" w:lastRow="0" w:firstColumn="1" w:lastColumn="0" w:noHBand="0" w:noVBand="1"/>
      </w:tblPr>
      <w:tblGrid>
        <w:gridCol w:w="4006"/>
        <w:gridCol w:w="4006"/>
      </w:tblGrid>
      <w:tr w:rsidR="00461BFC" w:rsidTr="00461BFC">
        <w:tc>
          <w:tcPr>
            <w:tcW w:w="4006" w:type="dxa"/>
          </w:tcPr>
          <w:p w:rsidR="00461BFC" w:rsidRDefault="00461BFC" w:rsidP="00E378DD">
            <w:pPr>
              <w:pStyle w:val="libFootnote0"/>
              <w:rPr>
                <w:rtl/>
                <w:lang w:bidi="fa-IR"/>
              </w:rPr>
            </w:pPr>
            <w:r>
              <w:rPr>
                <w:rtl/>
                <w:lang w:bidi="fa-IR"/>
              </w:rPr>
              <w:t xml:space="preserve">(11). في </w:t>
            </w:r>
            <w:r w:rsidRPr="00C24F9C">
              <w:rPr>
                <w:rStyle w:val="libFootnoteBoldChar"/>
                <w:rtl/>
              </w:rPr>
              <w:t>الفقيه</w:t>
            </w:r>
            <w:r>
              <w:rPr>
                <w:rtl/>
                <w:lang w:bidi="fa-IR"/>
              </w:rPr>
              <w:t xml:space="preserve"> : « أجلي ».</w:t>
            </w:r>
          </w:p>
        </w:tc>
        <w:tc>
          <w:tcPr>
            <w:tcW w:w="4006" w:type="dxa"/>
          </w:tcPr>
          <w:p w:rsidR="00461BFC" w:rsidRDefault="00461BFC" w:rsidP="00E378DD">
            <w:pPr>
              <w:pStyle w:val="libFootnote0"/>
              <w:rPr>
                <w:rtl/>
                <w:lang w:bidi="fa-IR"/>
              </w:rPr>
            </w:pPr>
            <w:r>
              <w:rPr>
                <w:rtl/>
                <w:lang w:bidi="fa-IR"/>
              </w:rPr>
              <w:t>(12). في«بف»و</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و</w:t>
            </w:r>
            <w:r w:rsidRPr="00C24F9C">
              <w:rPr>
                <w:rStyle w:val="libFootnoteBoldChar"/>
                <w:rtl/>
              </w:rPr>
              <w:t>الفقيه</w:t>
            </w:r>
            <w:r>
              <w:rPr>
                <w:rtl/>
                <w:lang w:bidi="fa-IR"/>
              </w:rPr>
              <w:t>:-«اليوم».</w:t>
            </w:r>
          </w:p>
        </w:tc>
      </w:tr>
    </w:tbl>
    <w:p w:rsidR="00744A1C" w:rsidRDefault="00E378DD" w:rsidP="00E378DD">
      <w:pPr>
        <w:pStyle w:val="libFootnote0"/>
        <w:rPr>
          <w:lang w:bidi="fa-IR"/>
        </w:rPr>
      </w:pPr>
      <w:r>
        <w:rPr>
          <w:rtl/>
          <w:lang w:bidi="fa-IR"/>
        </w:rPr>
        <w:t>(13).</w:t>
      </w:r>
      <w:r w:rsidR="00744A1C">
        <w:rPr>
          <w:rtl/>
          <w:lang w:bidi="fa-IR"/>
        </w:rPr>
        <w:t xml:space="preserve"> في « بف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 « اليوم ».</w:t>
      </w:r>
    </w:p>
    <w:p w:rsidR="00744A1C" w:rsidRDefault="00744A1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أَفْضَلُ مِنِّي </w:t>
      </w:r>
      <w:r w:rsidRPr="00D10E3C">
        <w:rPr>
          <w:rStyle w:val="libFootnotenumChar"/>
          <w:rtl/>
        </w:rPr>
        <w:t>(1)</w:t>
      </w:r>
      <w:r>
        <w:rPr>
          <w:rtl/>
          <w:lang w:bidi="fa-IR"/>
        </w:rPr>
        <w:t xml:space="preserve"> ، ثُمَّ تُلَبِّ </w:t>
      </w:r>
      <w:r w:rsidRPr="00D10E3C">
        <w:rPr>
          <w:rStyle w:val="libFootnotenumChar"/>
          <w:rtl/>
        </w:rPr>
        <w:t>(2)</w:t>
      </w:r>
      <w:r>
        <w:rPr>
          <w:rtl/>
          <w:lang w:bidi="fa-IR"/>
        </w:rPr>
        <w:t xml:space="preserve"> وَأَنْتَ غَادٍ إِلى عَرَفَاتٍ </w:t>
      </w:r>
      <w:r w:rsidRPr="00D10E3C">
        <w:rPr>
          <w:rStyle w:val="libFootnotenumChar"/>
          <w:rtl/>
        </w:rPr>
        <w:t>(3)</w:t>
      </w:r>
      <w:r>
        <w:rPr>
          <w:rtl/>
          <w:lang w:bidi="fa-IR"/>
        </w:rPr>
        <w:t xml:space="preserve"> ، فَإِذَا انْتَهَيْتَ إِلى عَرَفَاتٍ ، فَاضْرِبْ خِبَاءَكَ </w:t>
      </w:r>
      <w:r w:rsidRPr="00D10E3C">
        <w:rPr>
          <w:rStyle w:val="libFootnotenumChar"/>
          <w:rtl/>
        </w:rPr>
        <w:t>(4)</w:t>
      </w:r>
      <w:r>
        <w:rPr>
          <w:rtl/>
          <w:lang w:bidi="fa-IR"/>
        </w:rPr>
        <w:t xml:space="preserve"> بِنَمِرَةَ </w:t>
      </w:r>
      <w:r w:rsidRPr="00D10E3C">
        <w:rPr>
          <w:rStyle w:val="libFootnotenumChar"/>
          <w:rtl/>
        </w:rPr>
        <w:t>(5)</w:t>
      </w:r>
      <w:r>
        <w:rPr>
          <w:rtl/>
          <w:lang w:bidi="fa-IR"/>
        </w:rPr>
        <w:t xml:space="preserve"> - وَنَمِرَةُ </w:t>
      </w:r>
      <w:r w:rsidRPr="00D10E3C">
        <w:rPr>
          <w:rStyle w:val="libFootnotenumChar"/>
          <w:rtl/>
        </w:rPr>
        <w:t>(6)</w:t>
      </w:r>
      <w:r>
        <w:rPr>
          <w:rtl/>
          <w:lang w:bidi="fa-IR"/>
        </w:rPr>
        <w:t xml:space="preserve"> هِيَ بَطْنُ عُرَنَةَ </w:t>
      </w:r>
      <w:r w:rsidRPr="00D10E3C">
        <w:rPr>
          <w:rStyle w:val="libFootnotenumChar"/>
          <w:rtl/>
        </w:rPr>
        <w:t>(7)</w:t>
      </w:r>
      <w:r>
        <w:rPr>
          <w:rtl/>
          <w:lang w:bidi="fa-IR"/>
        </w:rPr>
        <w:t xml:space="preserve"> دُونَ الْمَوْقِفِ وَدُونَ عَرَفَةَ - فَإِذَا زَالَتِ الشَّمْسُ يَوْمَ عَرَفَةَ </w:t>
      </w:r>
      <w:r w:rsidRPr="00D10E3C">
        <w:rPr>
          <w:rStyle w:val="libFootnotenumChar"/>
          <w:rtl/>
        </w:rPr>
        <w:t>(8)</w:t>
      </w:r>
      <w:r>
        <w:rPr>
          <w:rtl/>
          <w:lang w:bidi="fa-IR"/>
        </w:rPr>
        <w:t xml:space="preserve"> فَاغْتَسِلْ ، وَصَلِّ الظُّهْرَ وَالْعَصْرَ بِأَذَانٍ وَاحِدٍ وَإِقَامَتَيْنِ ، وَإِنَّمَا تُعَجِّلُ الْعَصْرَ وَتَجْمَعُ بَيْنَهُمَا لِتُفَرِّغَ نَفْسَكَ لِلدُّعَاءِ ؛ فَإِنَّهُ يَوْمُ دُعَاءٍ وَمَسْأَلَةٍ ».</w:t>
      </w:r>
    </w:p>
    <w:p w:rsidR="00744A1C" w:rsidRDefault="00744A1C" w:rsidP="00744A1C">
      <w:pPr>
        <w:pStyle w:val="libNormal"/>
        <w:rPr>
          <w:lang w:bidi="fa-IR"/>
        </w:rPr>
      </w:pPr>
      <w:r>
        <w:rPr>
          <w:rtl/>
          <w:lang w:bidi="fa-IR"/>
        </w:rPr>
        <w:t>قَالَ : « وَ</w:t>
      </w:r>
      <w:r w:rsidR="00163187">
        <w:rPr>
          <w:rFonts w:hint="cs"/>
          <w:rtl/>
          <w:lang w:bidi="fa-IR"/>
        </w:rPr>
        <w:t xml:space="preserve"> </w:t>
      </w:r>
      <w:r>
        <w:rPr>
          <w:rtl/>
          <w:lang w:bidi="fa-IR"/>
        </w:rPr>
        <w:t xml:space="preserve">حَدُّ عَرَفَةَ مِنْ بَطْنِ </w:t>
      </w:r>
      <w:r w:rsidRPr="00D10E3C">
        <w:rPr>
          <w:rStyle w:val="libFootnotenumChar"/>
          <w:rtl/>
        </w:rPr>
        <w:t>(9)</w:t>
      </w:r>
      <w:r>
        <w:rPr>
          <w:rtl/>
          <w:lang w:bidi="fa-IR"/>
        </w:rPr>
        <w:t xml:space="preserve"> عُرَنَةَ وَثَوِيَّةَ </w:t>
      </w:r>
      <w:r w:rsidRPr="00D10E3C">
        <w:rPr>
          <w:rStyle w:val="libFootnotenumChar"/>
          <w:rtl/>
        </w:rPr>
        <w:t>(10)</w:t>
      </w:r>
      <w:r>
        <w:rPr>
          <w:rtl/>
          <w:lang w:bidi="fa-IR"/>
        </w:rPr>
        <w:t xml:space="preserve"> وَنَمِرَةَ إِلى ذِي الْمَجَازِ </w:t>
      </w:r>
      <w:r w:rsidRPr="00D10E3C">
        <w:rPr>
          <w:rStyle w:val="libFootnotenumChar"/>
          <w:rtl/>
        </w:rPr>
        <w:t>(11)</w:t>
      </w:r>
      <w:r>
        <w:rPr>
          <w:rtl/>
          <w:lang w:bidi="fa-IR"/>
        </w:rPr>
        <w:t xml:space="preserve"> ، وَخَلْفَ‌</w:t>
      </w:r>
    </w:p>
    <w:p w:rsidR="00744A1C" w:rsidRDefault="00744A1C" w:rsidP="00D10E3C">
      <w:pPr>
        <w:pStyle w:val="libLine"/>
        <w:rPr>
          <w:lang w:bidi="fa-IR"/>
        </w:rPr>
      </w:pPr>
      <w:r>
        <w:rPr>
          <w:rtl/>
          <w:lang w:bidi="fa-IR"/>
        </w:rPr>
        <w:t>____________________</w:t>
      </w:r>
    </w:p>
    <w:p w:rsidR="00744A1C" w:rsidRDefault="00D10E3C" w:rsidP="00163187">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لعلّه ا</w:t>
      </w:r>
      <w:r w:rsidR="00163187">
        <w:rPr>
          <w:rFonts w:hint="cs"/>
          <w:rtl/>
          <w:lang w:bidi="fa-IR"/>
        </w:rPr>
        <w:t>ُ</w:t>
      </w:r>
      <w:r w:rsidR="00744A1C">
        <w:rPr>
          <w:rtl/>
          <w:lang w:bidi="fa-IR"/>
        </w:rPr>
        <w:t xml:space="preserve">ريد بمن هو أفضل منّي الملائكة ». وفي هامشه ، عن السلطان : « قوله : من هو أفضل منّي ، لعلّ المراد بالأفضل الملائكة ، على ما ورد في بعض الروايات أنّ الله يقول : يا ملائكتي انظروا إلى عبدي وعبادته ، بطريق المباهاة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من هو أفضل منّي ، إذا قال المعصوم ذلك ، فلعلّه على سبيل التواضع والتذلّل ».</w:t>
      </w:r>
      <w:r w:rsidR="00163187">
        <w:rPr>
          <w:rFonts w:hint="cs"/>
          <w:rtl/>
          <w:lang w:bidi="fa-IR"/>
        </w:rPr>
        <w:t xml:space="preserve">                                   </w:t>
      </w:r>
      <w:r w:rsidR="00E378DD">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18371 و</w:t>
      </w:r>
      <w:r w:rsidR="00744A1C" w:rsidRPr="00C24F9C">
        <w:rPr>
          <w:rStyle w:val="libFootnoteBoldChar"/>
          <w:rtl/>
        </w:rPr>
        <w:t>الفقيه</w:t>
      </w:r>
      <w:r w:rsidR="00744A1C">
        <w:rPr>
          <w:rtl/>
          <w:lang w:bidi="fa-IR"/>
        </w:rPr>
        <w:t xml:space="preserve"> : « تلبّي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الفقيه</w:t>
      </w:r>
      <w:r w:rsidR="00744A1C">
        <w:rPr>
          <w:rtl/>
          <w:lang w:bidi="fa-IR"/>
        </w:rPr>
        <w:t xml:space="preserve"> : + « ولا تخرج من منى قبل طلوع الفجر بوجه ».</w:t>
      </w:r>
    </w:p>
    <w:p w:rsidR="00744A1C" w:rsidRDefault="00E378DD" w:rsidP="00E378DD">
      <w:pPr>
        <w:pStyle w:val="libFootnote0"/>
        <w:rPr>
          <w:lang w:bidi="fa-IR"/>
        </w:rPr>
      </w:pPr>
      <w:r>
        <w:rPr>
          <w:rtl/>
          <w:lang w:bidi="fa-IR"/>
        </w:rPr>
        <w:t>(4).</w:t>
      </w:r>
      <w:r w:rsidR="00744A1C">
        <w:rPr>
          <w:rtl/>
          <w:lang w:bidi="fa-IR"/>
        </w:rPr>
        <w:t xml:space="preserve"> الخِباء : واحد الأخبية ، وهو أحد بيوت العرب من وبر أوصوف ، ولا يكون من شعر ، ويكون على عمودين‌أو ثلاثة. راجع : </w:t>
      </w:r>
      <w:r w:rsidR="00744A1C" w:rsidRPr="00E978C3">
        <w:rPr>
          <w:rStyle w:val="libFootnoteBoldChar"/>
          <w:rtl/>
        </w:rPr>
        <w:t>الصحاح</w:t>
      </w:r>
      <w:r w:rsidR="00744A1C">
        <w:rPr>
          <w:rtl/>
          <w:lang w:bidi="fa-IR"/>
        </w:rPr>
        <w:t xml:space="preserve"> ، ج 6 ، ص 2325 ؛ </w:t>
      </w:r>
      <w:r w:rsidR="00744A1C" w:rsidRPr="00877682">
        <w:rPr>
          <w:rStyle w:val="libFootnoteBoldChar"/>
          <w:rtl/>
        </w:rPr>
        <w:t>النهاية</w:t>
      </w:r>
      <w:r w:rsidR="00744A1C">
        <w:rPr>
          <w:rtl/>
          <w:lang w:bidi="fa-IR"/>
        </w:rPr>
        <w:t xml:space="preserve"> ، ج 2 ، ص 9 ( خبا ).</w:t>
      </w:r>
    </w:p>
    <w:p w:rsidR="00744A1C" w:rsidRDefault="00E378DD" w:rsidP="00E378DD">
      <w:pPr>
        <w:pStyle w:val="libFootnote0"/>
        <w:rPr>
          <w:lang w:bidi="fa-IR"/>
        </w:rPr>
      </w:pPr>
      <w:r>
        <w:rPr>
          <w:rtl/>
          <w:lang w:bidi="fa-IR"/>
        </w:rPr>
        <w:t>(5).</w:t>
      </w:r>
      <w:r w:rsidR="00744A1C">
        <w:rPr>
          <w:rtl/>
          <w:lang w:bidi="fa-IR"/>
        </w:rPr>
        <w:t xml:space="preserve"> « بنمرة » ، قال ابن الأثير : « هو الجبل الذي عليه أنصاب الحرم بعرفات ». وقال الفيّومي : « نمرة : موضع ، قيل : من عرفات. وقيل : بقربها خارج عنها ». وقال الفيروزآبادي : « نمرة ، كفرحة : موضع بعرفات ، أو الجبل الذي عليه أنصاب الحرم ، على يمينك خارجاً من المأزمين تريد الموقف ». راجع : </w:t>
      </w:r>
      <w:r w:rsidR="00744A1C" w:rsidRPr="00877682">
        <w:rPr>
          <w:rStyle w:val="libFootnoteBoldChar"/>
          <w:rtl/>
        </w:rPr>
        <w:t>النهاية</w:t>
      </w:r>
      <w:r w:rsidR="00744A1C">
        <w:rPr>
          <w:rtl/>
          <w:lang w:bidi="fa-IR"/>
        </w:rPr>
        <w:t xml:space="preserve"> ، ج 5 ، ص 118 ؛ </w:t>
      </w:r>
      <w:r w:rsidR="00744A1C" w:rsidRPr="00E978C3">
        <w:rPr>
          <w:rStyle w:val="libFootnoteBoldChar"/>
          <w:rtl/>
        </w:rPr>
        <w:t>المصباح المنير</w:t>
      </w:r>
      <w:r w:rsidR="00744A1C">
        <w:rPr>
          <w:rtl/>
          <w:lang w:bidi="fa-IR"/>
        </w:rPr>
        <w:t xml:space="preserve"> ، ص 626 ؛ </w:t>
      </w:r>
      <w:r w:rsidR="00744A1C" w:rsidRPr="008A57EB">
        <w:rPr>
          <w:rStyle w:val="libFootnoteBoldChar"/>
          <w:rtl/>
        </w:rPr>
        <w:t>القاموس المحيط</w:t>
      </w:r>
      <w:r w:rsidR="00744A1C">
        <w:rPr>
          <w:rtl/>
          <w:lang w:bidi="fa-IR"/>
        </w:rPr>
        <w:t xml:space="preserve"> ، ج 1 ، ص 676 ( نمر ).</w:t>
      </w:r>
    </w:p>
    <w:p w:rsidR="00744A1C" w:rsidRDefault="00E378DD" w:rsidP="00E378DD">
      <w:pPr>
        <w:pStyle w:val="libFootnote0"/>
        <w:rPr>
          <w:lang w:bidi="fa-IR"/>
        </w:rPr>
      </w:pPr>
      <w:r>
        <w:rPr>
          <w:rtl/>
          <w:lang w:bidi="fa-IR"/>
        </w:rPr>
        <w:t>(6).</w:t>
      </w:r>
      <w:r w:rsidR="00744A1C">
        <w:rPr>
          <w:rtl/>
          <w:lang w:bidi="fa-IR"/>
        </w:rPr>
        <w:t xml:space="preserve"> في « ى » </w:t>
      </w:r>
      <w:r w:rsidR="00744A1C" w:rsidRPr="0061079A">
        <w:rPr>
          <w:rStyle w:val="libFootnoteBoldChar"/>
          <w:rtl/>
        </w:rPr>
        <w:t>والتهذيب</w:t>
      </w:r>
      <w:r w:rsidR="00744A1C">
        <w:rPr>
          <w:rtl/>
          <w:lang w:bidi="fa-IR"/>
        </w:rPr>
        <w:t xml:space="preserve"> : - « ونمرة ». وفي </w:t>
      </w:r>
      <w:r w:rsidR="00744A1C" w:rsidRPr="00C24F9C">
        <w:rPr>
          <w:rStyle w:val="libFootnoteBoldChar"/>
          <w:rtl/>
        </w:rPr>
        <w:t>الوافي</w:t>
      </w:r>
      <w:r w:rsidR="00744A1C">
        <w:rPr>
          <w:rtl/>
          <w:lang w:bidi="fa-IR"/>
        </w:rPr>
        <w:t xml:space="preserve"> : - « نمرة ».</w:t>
      </w:r>
    </w:p>
    <w:p w:rsidR="00744A1C" w:rsidRDefault="00E378DD" w:rsidP="00E378DD">
      <w:pPr>
        <w:pStyle w:val="libFootnote0"/>
        <w:rPr>
          <w:lang w:bidi="fa-IR"/>
        </w:rPr>
      </w:pPr>
      <w:r>
        <w:rPr>
          <w:rtl/>
          <w:lang w:bidi="fa-IR"/>
        </w:rPr>
        <w:t>(7).</w:t>
      </w:r>
      <w:r w:rsidR="00744A1C">
        <w:rPr>
          <w:rtl/>
          <w:lang w:bidi="fa-IR"/>
        </w:rPr>
        <w:t xml:space="preserve"> « عرنة » وزان رطبة ، وفي لغة بضمّتين. قال ابن الأثير : « موضع عند الموقف بعرفات ». وقال الفيّومي : « موضع بين منى وعرفات ». وقال ابن منظور : « بطن عرنة : واد بحذاء عرفات ». راجع : </w:t>
      </w:r>
      <w:r w:rsidR="00744A1C" w:rsidRPr="00877682">
        <w:rPr>
          <w:rStyle w:val="libFootnoteBoldChar"/>
          <w:rtl/>
        </w:rPr>
        <w:t>النهاية</w:t>
      </w:r>
      <w:r w:rsidR="00744A1C">
        <w:rPr>
          <w:rtl/>
          <w:lang w:bidi="fa-IR"/>
        </w:rPr>
        <w:t xml:space="preserve"> ، ج 3 ، ص 223 ؛ </w:t>
      </w:r>
      <w:r w:rsidR="00744A1C" w:rsidRPr="00877682">
        <w:rPr>
          <w:rStyle w:val="libFootnoteBoldChar"/>
          <w:rtl/>
        </w:rPr>
        <w:t>لسان العرب</w:t>
      </w:r>
      <w:r w:rsidR="00744A1C">
        <w:rPr>
          <w:rtl/>
          <w:lang w:bidi="fa-IR"/>
        </w:rPr>
        <w:t xml:space="preserve"> ، ج 13 ، ص 284 ؛ </w:t>
      </w:r>
      <w:r w:rsidR="00744A1C" w:rsidRPr="00E978C3">
        <w:rPr>
          <w:rStyle w:val="libFootnoteBoldChar"/>
          <w:rtl/>
        </w:rPr>
        <w:t>المصباح المنير</w:t>
      </w:r>
      <w:r w:rsidR="00744A1C">
        <w:rPr>
          <w:rtl/>
          <w:lang w:bidi="fa-IR"/>
        </w:rPr>
        <w:t xml:space="preserve"> ، ص 406 ( عرن ).</w:t>
      </w:r>
    </w:p>
    <w:tbl>
      <w:tblPr>
        <w:tblStyle w:val="TableGrid"/>
        <w:bidiVisual/>
        <w:tblW w:w="0" w:type="auto"/>
        <w:tblLook w:val="04A0" w:firstRow="1" w:lastRow="0" w:firstColumn="1" w:lastColumn="0" w:noHBand="0" w:noVBand="1"/>
      </w:tblPr>
      <w:tblGrid>
        <w:gridCol w:w="4006"/>
        <w:gridCol w:w="4006"/>
      </w:tblGrid>
      <w:tr w:rsidR="00163187" w:rsidTr="00163187">
        <w:tc>
          <w:tcPr>
            <w:tcW w:w="4006" w:type="dxa"/>
          </w:tcPr>
          <w:p w:rsidR="00163187" w:rsidRDefault="00163187" w:rsidP="00E378DD">
            <w:pPr>
              <w:pStyle w:val="libFootnote0"/>
              <w:rPr>
                <w:rtl/>
                <w:lang w:bidi="fa-IR"/>
              </w:rPr>
            </w:pPr>
            <w:r>
              <w:rPr>
                <w:rtl/>
                <w:lang w:bidi="fa-IR"/>
              </w:rPr>
              <w:t xml:space="preserve">(8). في </w:t>
            </w:r>
            <w:r w:rsidRPr="00C24F9C">
              <w:rPr>
                <w:rStyle w:val="libFootnoteBoldChar"/>
                <w:rtl/>
              </w:rPr>
              <w:t>الفقيه</w:t>
            </w:r>
            <w:r>
              <w:rPr>
                <w:rtl/>
                <w:lang w:bidi="fa-IR"/>
              </w:rPr>
              <w:t xml:space="preserve"> : + « فاقطع التلبية ».</w:t>
            </w:r>
          </w:p>
        </w:tc>
        <w:tc>
          <w:tcPr>
            <w:tcW w:w="4006" w:type="dxa"/>
          </w:tcPr>
          <w:p w:rsidR="00163187" w:rsidRDefault="00163187" w:rsidP="00E378DD">
            <w:pPr>
              <w:pStyle w:val="libFootnote0"/>
              <w:rPr>
                <w:rtl/>
                <w:lang w:bidi="fa-IR"/>
              </w:rPr>
            </w:pPr>
            <w:r>
              <w:rPr>
                <w:rtl/>
                <w:lang w:bidi="fa-IR"/>
              </w:rPr>
              <w:t>(9). في « بف » : - « بطن ».</w:t>
            </w:r>
          </w:p>
        </w:tc>
      </w:tr>
    </w:tbl>
    <w:p w:rsidR="00744A1C" w:rsidRDefault="00E378DD" w:rsidP="00E378DD">
      <w:pPr>
        <w:pStyle w:val="libFootnote0"/>
        <w:rPr>
          <w:lang w:bidi="fa-IR"/>
        </w:rPr>
      </w:pPr>
      <w:r>
        <w:rPr>
          <w:rtl/>
          <w:lang w:bidi="fa-IR"/>
        </w:rPr>
        <w:t>(10).</w:t>
      </w:r>
      <w:r w:rsidR="00744A1C">
        <w:rPr>
          <w:rtl/>
          <w:lang w:bidi="fa-IR"/>
        </w:rPr>
        <w:t xml:space="preserve"> « ثويّة » ، على وزن قويّة ، وهو أثبت ، وقد يقرأ بصيغة التصغير ، وهو موضع قريب من الكوفة ، أو بالكوفة ، أو خريبة إلى جانب الحيرة على ساعة منها. هكذا في اللغة والتراجم ، وهو لايناسب المعني المراد منها هنا ، نعم قال الشيخ الطريحي : « الثويّة : حدّ من حدود عرفة ». راجع : </w:t>
      </w:r>
      <w:r w:rsidR="00744A1C" w:rsidRPr="00877682">
        <w:rPr>
          <w:rStyle w:val="libFootnoteBoldChar"/>
          <w:rtl/>
        </w:rPr>
        <w:t>النهاية</w:t>
      </w:r>
      <w:r w:rsidR="00744A1C">
        <w:rPr>
          <w:rtl/>
          <w:lang w:bidi="fa-IR"/>
        </w:rPr>
        <w:t xml:space="preserve"> ، ج 1 ، ص 230 ؛ </w:t>
      </w:r>
      <w:r w:rsidR="00744A1C" w:rsidRPr="008A57EB">
        <w:rPr>
          <w:rStyle w:val="libFootnoteBoldChar"/>
          <w:rtl/>
        </w:rPr>
        <w:t>مجمع البحرين</w:t>
      </w:r>
      <w:r w:rsidR="00744A1C">
        <w:rPr>
          <w:rtl/>
          <w:lang w:bidi="fa-IR"/>
        </w:rPr>
        <w:t xml:space="preserve"> ، ج 1 ، ص 78 ( ثوا ) ؛ معجم البلدان ، ج 2 ، ص 87.</w:t>
      </w:r>
    </w:p>
    <w:p w:rsidR="00744A1C" w:rsidRDefault="00E378DD" w:rsidP="00E378DD">
      <w:pPr>
        <w:pStyle w:val="libFootnote0"/>
        <w:rPr>
          <w:lang w:bidi="fa-IR"/>
        </w:rPr>
      </w:pPr>
      <w:r>
        <w:rPr>
          <w:rtl/>
          <w:lang w:bidi="fa-IR"/>
        </w:rPr>
        <w:t>(11).</w:t>
      </w:r>
      <w:r w:rsidR="00744A1C">
        <w:rPr>
          <w:rtl/>
          <w:lang w:bidi="fa-IR"/>
        </w:rPr>
        <w:t xml:space="preserve"> قال ابن الأثير : « هو موضع عند عرفات ، كان يقام به سوق من أسواق العرب في الجاهليّة ، والمجاز : موضع الجواز ، والميم زائدة. قيل : سمّي به لأنّ إجازة الحاجّ كانت فيه ». وقال الفيروزآبادي : « ذو المجاز : سوق كانت </w:t>
      </w:r>
      <w:r w:rsidR="00163187">
        <w:rPr>
          <w:rFonts w:hint="cs"/>
          <w:rtl/>
          <w:lang w:bidi="fa-IR"/>
        </w:rPr>
        <w:t>=</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الْجَبَلِ مَوْقِفٌ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7736 / 4. عَلِيُّ بْنُ إِبْرَاهِيمَ ، عَنْ أَبِيهِ ، عَنِ ابْنِ أَبِي عُمَيْرٍ </w:t>
      </w:r>
      <w:r w:rsidRPr="00D10E3C">
        <w:rPr>
          <w:rStyle w:val="libFootnotenumChar"/>
          <w:rtl/>
        </w:rPr>
        <w:t>(3)</w:t>
      </w:r>
      <w:r>
        <w:rPr>
          <w:rtl/>
          <w:lang w:bidi="fa-IR"/>
        </w:rPr>
        <w:t xml:space="preserve"> ، عَنْ حَمَّادٍ ، عَنِ الْحَلَبِيِّ ، قَالَ :</w:t>
      </w:r>
    </w:p>
    <w:p w:rsidR="00144FA6" w:rsidRDefault="00744A1C" w:rsidP="00744A1C">
      <w:pPr>
        <w:pStyle w:val="libNormal"/>
        <w:rPr>
          <w:rtl/>
          <w:lang w:bidi="fa-IR"/>
        </w:rPr>
      </w:pPr>
      <w:r>
        <w:rPr>
          <w:rtl/>
          <w:lang w:bidi="fa-IR"/>
        </w:rPr>
        <w:t xml:space="preserve">قَالَ </w:t>
      </w:r>
      <w:r w:rsidRPr="00D10E3C">
        <w:rPr>
          <w:rStyle w:val="libFootnotenumChar"/>
          <w:rtl/>
        </w:rPr>
        <w:t>(4)</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الْغُسْلُ يَوْمَ عَرَفَةَ إِذَا زَالَتِ الشَّمْسُ ، وَتَجْمَعُ </w:t>
      </w:r>
      <w:r w:rsidRPr="00D10E3C">
        <w:rPr>
          <w:rStyle w:val="libFootnotenumChar"/>
          <w:rtl/>
        </w:rPr>
        <w:t>(5)</w:t>
      </w:r>
      <w:r>
        <w:rPr>
          <w:rtl/>
          <w:lang w:bidi="fa-IR"/>
        </w:rPr>
        <w:t xml:space="preserve"> بَيْنَ الظُّهْرِ وَالْعَصْرِ بِأَذَانٍ </w:t>
      </w:r>
      <w:r w:rsidRPr="00D10E3C">
        <w:rPr>
          <w:rStyle w:val="libFootnotenumChar"/>
          <w:rtl/>
        </w:rPr>
        <w:t>(6)</w:t>
      </w:r>
      <w:r>
        <w:rPr>
          <w:rtl/>
          <w:lang w:bidi="fa-IR"/>
        </w:rPr>
        <w:t xml:space="preserve"> وَإِقَامَتَيْنِ ». </w:t>
      </w:r>
      <w:r w:rsidRPr="00D10E3C">
        <w:rPr>
          <w:rStyle w:val="libFootnotenumChar"/>
          <w:rtl/>
        </w:rPr>
        <w:t>(7)</w:t>
      </w:r>
    </w:p>
    <w:p w:rsidR="00144FA6" w:rsidRDefault="00744A1C" w:rsidP="00744A1C">
      <w:pPr>
        <w:pStyle w:val="libNormal"/>
        <w:rPr>
          <w:rtl/>
          <w:lang w:bidi="fa-IR"/>
        </w:rPr>
      </w:pPr>
      <w:r>
        <w:rPr>
          <w:rtl/>
          <w:lang w:bidi="fa-IR"/>
        </w:rPr>
        <w:t>7737 / 5. عَلِيُّ بْنُ إِبْرَاهِيمَ ، عَنْ أَبِيهِ ، عَنِ ابْنِ أَبِي عُمَيْرٍ ، عَنْ حَفْصِ بْنِ الْبَخْتَرِيِّ وَهِشَامِ بْنِ الْحَكَمِ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أَنَّهُ قِيلَ لَهُ : أَيُّمَا </w:t>
      </w:r>
      <w:r w:rsidRPr="00D10E3C">
        <w:rPr>
          <w:rStyle w:val="libFootnotenumChar"/>
          <w:rtl/>
        </w:rPr>
        <w:t>(8)</w:t>
      </w:r>
      <w:r>
        <w:rPr>
          <w:rtl/>
          <w:lang w:bidi="fa-IR"/>
        </w:rPr>
        <w:t xml:space="preserve"> أَفْضَلُ : الْحَرَمُ ، أَوْ عَرَفَةُ؟ فَقَالَ : « الْحَرَمُ ».</w:t>
      </w:r>
    </w:p>
    <w:p w:rsidR="00744A1C" w:rsidRDefault="00744A1C" w:rsidP="00D10E3C">
      <w:pPr>
        <w:pStyle w:val="libLine"/>
        <w:rPr>
          <w:lang w:bidi="fa-IR"/>
        </w:rPr>
      </w:pPr>
      <w:r>
        <w:rPr>
          <w:rtl/>
          <w:lang w:bidi="fa-IR"/>
        </w:rPr>
        <w:t>____________________</w:t>
      </w:r>
    </w:p>
    <w:p w:rsidR="00744A1C" w:rsidRDefault="00270FB4" w:rsidP="00D10E3C">
      <w:pPr>
        <w:pStyle w:val="libFootnote0"/>
        <w:rPr>
          <w:lang w:bidi="fa-IR"/>
        </w:rPr>
      </w:pPr>
      <w:r>
        <w:rPr>
          <w:rFonts w:hint="cs"/>
          <w:rtl/>
          <w:lang w:bidi="fa-IR"/>
        </w:rPr>
        <w:t xml:space="preserve">= </w:t>
      </w:r>
      <w:r w:rsidR="00744A1C">
        <w:rPr>
          <w:rtl/>
          <w:lang w:bidi="fa-IR"/>
        </w:rPr>
        <w:t xml:space="preserve">لهم على فرسخ من عرفة بناحية كَبْكَبٍ ». راجع : </w:t>
      </w:r>
      <w:r w:rsidR="00744A1C" w:rsidRPr="00877682">
        <w:rPr>
          <w:rStyle w:val="libFootnoteBoldChar"/>
          <w:rtl/>
        </w:rPr>
        <w:t>النهاية</w:t>
      </w:r>
      <w:r w:rsidR="00744A1C">
        <w:rPr>
          <w:rtl/>
          <w:lang w:bidi="fa-IR"/>
        </w:rPr>
        <w:t xml:space="preserve"> ، ج 1 ، ص 316 ؛ </w:t>
      </w:r>
      <w:r w:rsidR="00744A1C" w:rsidRPr="008A57EB">
        <w:rPr>
          <w:rStyle w:val="libFootnoteBoldChar"/>
          <w:rtl/>
        </w:rPr>
        <w:t>القاموس المحيط</w:t>
      </w:r>
      <w:r w:rsidR="00744A1C">
        <w:rPr>
          <w:rtl/>
          <w:lang w:bidi="fa-IR"/>
        </w:rPr>
        <w:t xml:space="preserve"> ، ج 1 ، ص 699 ( جوز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وخلف الجبل موقف ، لعلّ المراد خلفه بالنسبة إلى القادم من وراء عرفة إلى جهة مكّة. ويحتمل أن يكون المراد جبال مشعر ، لكنّه مخالف للمشهور بعيد عن السياق ، ولعلّه يؤيّده الخبر الآتي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179 ، ح 600 ، معلّقاً عن الكليني. </w:t>
      </w:r>
      <w:r w:rsidR="00744A1C" w:rsidRPr="00610FB4">
        <w:rPr>
          <w:rStyle w:val="libFootnoteBoldChar"/>
          <w:rtl/>
        </w:rPr>
        <w:t>تفسير القمّي</w:t>
      </w:r>
      <w:r w:rsidR="00744A1C">
        <w:rPr>
          <w:rtl/>
          <w:lang w:bidi="fa-IR"/>
        </w:rPr>
        <w:t xml:space="preserve"> ، ج 2 ، ص 224 ، ضمن الحديث ، بسنده عن معاوية بن عمّار ، من قوله : « فإذا انتهيت إلى عرفات » إلى قوله : « بأذان واحد وإقامتين ». </w:t>
      </w:r>
      <w:r w:rsidR="00744A1C" w:rsidRPr="00C24F9C">
        <w:rPr>
          <w:rStyle w:val="libFootnoteBoldChar"/>
          <w:rtl/>
        </w:rPr>
        <w:t>الفقيه</w:t>
      </w:r>
      <w:r w:rsidR="00744A1C">
        <w:rPr>
          <w:rtl/>
          <w:lang w:bidi="fa-IR"/>
        </w:rPr>
        <w:t xml:space="preserve"> ، ج 2 ، ص 463 ، ح 2979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من قوله : « وحدّ عرفة من بطن عرفة ». </w:t>
      </w:r>
      <w:r w:rsidR="00744A1C" w:rsidRPr="00C24F9C">
        <w:rPr>
          <w:rStyle w:val="libFootnoteBoldChar"/>
          <w:rtl/>
        </w:rPr>
        <w:t>الفقيه</w:t>
      </w:r>
      <w:r w:rsidR="00744A1C">
        <w:rPr>
          <w:rtl/>
          <w:lang w:bidi="fa-IR"/>
        </w:rPr>
        <w:t xml:space="preserve"> ، ج 2 ، ص 540 ، من دون الإسناد إلى المعصوم عليهامسل</w:t>
      </w:r>
      <w:r w:rsidR="00D10E3C">
        <w:rPr>
          <w:rtl/>
          <w:lang w:bidi="fa-IR"/>
        </w:rPr>
        <w:t xml:space="preserve">  </w:t>
      </w:r>
      <w:r w:rsidR="00744A1C">
        <w:rPr>
          <w:rtl/>
          <w:lang w:bidi="fa-IR"/>
        </w:rPr>
        <w:t xml:space="preserve">، إلى قوله : « فإنّه يوم دعاء ومسألة » </w:t>
      </w:r>
      <w:r w:rsidR="002E4C2F">
        <w:rPr>
          <w:rFonts w:hint="cs"/>
          <w:rtl/>
          <w:lang w:bidi="fa-IR"/>
        </w:rPr>
        <w:t>.</w:t>
      </w:r>
      <w:r w:rsidR="00744A1C" w:rsidRPr="00C24F9C">
        <w:rPr>
          <w:rStyle w:val="libFootnoteBoldChar"/>
          <w:rtl/>
        </w:rPr>
        <w:t>الوافي</w:t>
      </w:r>
      <w:r w:rsidR="00744A1C">
        <w:rPr>
          <w:rtl/>
          <w:lang w:bidi="fa-IR"/>
        </w:rPr>
        <w:t xml:space="preserve"> ، ج 13 ، ص 1020 ، ح 13652 ؛ </w:t>
      </w:r>
      <w:r w:rsidR="00744A1C" w:rsidRPr="00C24F9C">
        <w:rPr>
          <w:rStyle w:val="libFootnoteBoldChar"/>
          <w:rtl/>
        </w:rPr>
        <w:t>الوسائل</w:t>
      </w:r>
      <w:r w:rsidR="00744A1C">
        <w:rPr>
          <w:rtl/>
          <w:lang w:bidi="fa-IR"/>
        </w:rPr>
        <w:t xml:space="preserve"> ، ج 13 ، ص 528 ، ح 18371 ، إلى قوله : « وأنت غادٍ إلى عرفات » ؛ وفيه ، ص 531 ، ح 18376 ، من قوله : « وحدّ عرفة من بطن عرفة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 « عن ابن أبي عمير ». وهو سهو واضح ؛ فإنّ المراد من حمّاد هذا هو حمّاد بن عثمان كما تقدّم‌في ذيل ح 7722 ، ولم يثبت رواية إبراهيم بن هاشم والد عليّ عنه مباشرة. والمتكرّر في كثيرٍ من الأسناد رواية عليّ بن إبراهيم عن أبيه عن ابن أبي عمير عن حمّاد [ بن عثمان ] عن الحلبي عن أبي عبدالله </w:t>
      </w:r>
      <w:r w:rsidR="0061079A" w:rsidRPr="0061079A">
        <w:rPr>
          <w:rStyle w:val="libFootnoteAlaemChar"/>
          <w:rtl/>
        </w:rPr>
        <w:t>عليه‌السلام</w:t>
      </w:r>
      <w:r w:rsidR="00744A1C">
        <w:rPr>
          <w:rtl/>
          <w:lang w:bidi="fa-IR"/>
        </w:rPr>
        <w:t xml:space="preserve"> .</w:t>
      </w:r>
    </w:p>
    <w:tbl>
      <w:tblPr>
        <w:tblStyle w:val="TableGrid"/>
        <w:bidiVisual/>
        <w:tblW w:w="0" w:type="auto"/>
        <w:tblLook w:val="04A0" w:firstRow="1" w:lastRow="0" w:firstColumn="1" w:lastColumn="0" w:noHBand="0" w:noVBand="1"/>
      </w:tblPr>
      <w:tblGrid>
        <w:gridCol w:w="4006"/>
        <w:gridCol w:w="4006"/>
      </w:tblGrid>
      <w:tr w:rsidR="002E4C2F" w:rsidTr="002E4C2F">
        <w:tc>
          <w:tcPr>
            <w:tcW w:w="4006" w:type="dxa"/>
          </w:tcPr>
          <w:p w:rsidR="002E4C2F" w:rsidRDefault="002E4C2F" w:rsidP="00E378DD">
            <w:pPr>
              <w:pStyle w:val="libFootnote0"/>
              <w:rPr>
                <w:rtl/>
                <w:lang w:bidi="fa-IR"/>
              </w:rPr>
            </w:pPr>
            <w:r>
              <w:rPr>
                <w:rtl/>
                <w:lang w:bidi="fa-IR"/>
              </w:rPr>
              <w:t xml:space="preserve">(4). في </w:t>
            </w:r>
            <w:r w:rsidRPr="00C24F9C">
              <w:rPr>
                <w:rStyle w:val="libFootnoteBoldChar"/>
                <w:rtl/>
              </w:rPr>
              <w:t>التهذيب</w:t>
            </w:r>
            <w:r>
              <w:rPr>
                <w:rtl/>
                <w:lang w:bidi="fa-IR"/>
              </w:rPr>
              <w:t xml:space="preserve"> : + « قال ».</w:t>
            </w:r>
          </w:p>
        </w:tc>
        <w:tc>
          <w:tcPr>
            <w:tcW w:w="4006" w:type="dxa"/>
          </w:tcPr>
          <w:p w:rsidR="002E4C2F" w:rsidRDefault="002E4C2F" w:rsidP="00E378DD">
            <w:pPr>
              <w:pStyle w:val="libFootnote0"/>
              <w:rPr>
                <w:rtl/>
                <w:lang w:bidi="fa-IR"/>
              </w:rPr>
            </w:pPr>
            <w:r>
              <w:rPr>
                <w:rtl/>
                <w:lang w:bidi="fa-IR"/>
              </w:rPr>
              <w:t xml:space="preserve">(5). في « جد » </w:t>
            </w:r>
            <w:r w:rsidRPr="0061079A">
              <w:rPr>
                <w:rStyle w:val="libFootnoteBoldChar"/>
                <w:rtl/>
              </w:rPr>
              <w:t>والتهذيب</w:t>
            </w:r>
            <w:r>
              <w:rPr>
                <w:rtl/>
                <w:lang w:bidi="fa-IR"/>
              </w:rPr>
              <w:t xml:space="preserve"> : « ويجمع ».</w:t>
            </w:r>
          </w:p>
        </w:tc>
      </w:tr>
    </w:tbl>
    <w:p w:rsidR="00744A1C" w:rsidRDefault="00E378DD" w:rsidP="00E378DD">
      <w:pPr>
        <w:pStyle w:val="libFootnote0"/>
        <w:rPr>
          <w:lang w:bidi="fa-IR"/>
        </w:rPr>
      </w:pPr>
      <w:r>
        <w:rPr>
          <w:rtl/>
          <w:lang w:bidi="fa-IR"/>
        </w:rPr>
        <w:t>(6).</w:t>
      </w:r>
      <w:r w:rsidR="00744A1C">
        <w:rPr>
          <w:rtl/>
          <w:lang w:bidi="fa-IR"/>
        </w:rPr>
        <w:t xml:space="preserve"> في « جن » : + « واحد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181 ، ح 607 ، معلّقاً عن الكليني. </w:t>
      </w:r>
      <w:r w:rsidR="00744A1C" w:rsidRPr="00C24F9C">
        <w:rPr>
          <w:rStyle w:val="libFootnoteBoldChar"/>
          <w:rtl/>
        </w:rPr>
        <w:t>الفقيه</w:t>
      </w:r>
      <w:r w:rsidR="00744A1C">
        <w:rPr>
          <w:rtl/>
          <w:lang w:bidi="fa-IR"/>
        </w:rPr>
        <w:t xml:space="preserve"> ، ج 2 ، ص 315 ، ذيل ح 2554 ، من قوله : « تجمع بين الظهر والعصر » مع اختلاف يسير. وفي </w:t>
      </w:r>
      <w:r w:rsidR="00744A1C" w:rsidRPr="00C24F9C">
        <w:rPr>
          <w:rStyle w:val="libFootnoteBoldChar"/>
          <w:rtl/>
        </w:rPr>
        <w:t>الفقيه</w:t>
      </w:r>
      <w:r w:rsidR="00744A1C">
        <w:rPr>
          <w:rtl/>
          <w:lang w:bidi="fa-IR"/>
        </w:rPr>
        <w:t xml:space="preserve"> ، ج 2 ، ص 540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وزيادة </w:t>
      </w:r>
      <w:r w:rsidR="002E4C2F">
        <w:rPr>
          <w:rFonts w:hint="cs"/>
          <w:rtl/>
          <w:lang w:bidi="fa-IR"/>
        </w:rPr>
        <w:t>.</w:t>
      </w:r>
      <w:r w:rsidR="00744A1C" w:rsidRPr="00C24F9C">
        <w:rPr>
          <w:rStyle w:val="libFootnoteBoldChar"/>
          <w:rtl/>
        </w:rPr>
        <w:t>الوافي</w:t>
      </w:r>
      <w:r w:rsidR="00744A1C">
        <w:rPr>
          <w:rtl/>
          <w:lang w:bidi="fa-IR"/>
        </w:rPr>
        <w:t xml:space="preserve"> ، ج 13 ، ص 1021 ، ح 13653 ؛ </w:t>
      </w:r>
      <w:r w:rsidR="00744A1C" w:rsidRPr="00C24F9C">
        <w:rPr>
          <w:rStyle w:val="libFootnoteBoldChar"/>
          <w:rtl/>
        </w:rPr>
        <w:t>الوسائل</w:t>
      </w:r>
      <w:r w:rsidR="00744A1C">
        <w:rPr>
          <w:rtl/>
          <w:lang w:bidi="fa-IR"/>
        </w:rPr>
        <w:t xml:space="preserve"> ، ج 13 ، ص 530 ، ح 18373.</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أنّهما سألا أبا عبد الله </w:t>
      </w:r>
      <w:r w:rsidR="0061079A" w:rsidRPr="0061079A">
        <w:rPr>
          <w:rStyle w:val="libFootnoteAlaemChar"/>
          <w:rtl/>
        </w:rPr>
        <w:t>عليه‌السلام</w:t>
      </w:r>
      <w:r w:rsidR="00D10E3C">
        <w:rPr>
          <w:rtl/>
          <w:lang w:bidi="fa-IR"/>
        </w:rPr>
        <w:t xml:space="preserve"> </w:t>
      </w:r>
      <w:r w:rsidR="00744A1C">
        <w:rPr>
          <w:rtl/>
          <w:lang w:bidi="fa-IR"/>
        </w:rPr>
        <w:t xml:space="preserve">: أيّهما » بدل « عن أبي عبد الله </w:t>
      </w:r>
      <w:r w:rsidR="0061079A" w:rsidRPr="0061079A">
        <w:rPr>
          <w:rStyle w:val="libFootnoteAlaemChar"/>
          <w:rtl/>
        </w:rPr>
        <w:t>عليه‌السلام</w:t>
      </w:r>
      <w:r w:rsidR="00D10E3C">
        <w:rPr>
          <w:rtl/>
          <w:lang w:bidi="fa-IR"/>
        </w:rPr>
        <w:t xml:space="preserve"> </w:t>
      </w:r>
      <w:r w:rsidR="00744A1C">
        <w:rPr>
          <w:rtl/>
          <w:lang w:bidi="fa-IR"/>
        </w:rPr>
        <w:t>، أنّه قيل له : أيّما ».</w:t>
      </w:r>
    </w:p>
    <w:p w:rsidR="00A55A65" w:rsidRDefault="00A55A65"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فَقِيلَ : وَكَيْفَ </w:t>
      </w:r>
      <w:r w:rsidRPr="00D10E3C">
        <w:rPr>
          <w:rStyle w:val="libFootnotenumChar"/>
          <w:rtl/>
        </w:rPr>
        <w:t>(1)</w:t>
      </w:r>
      <w:r>
        <w:rPr>
          <w:rtl/>
          <w:lang w:bidi="fa-IR"/>
        </w:rPr>
        <w:t xml:space="preserve"> لَمْ تَكُنْ </w:t>
      </w:r>
      <w:r w:rsidRPr="00D10E3C">
        <w:rPr>
          <w:rStyle w:val="libFootnotenumChar"/>
          <w:rtl/>
        </w:rPr>
        <w:t>(2)</w:t>
      </w:r>
      <w:r>
        <w:rPr>
          <w:rtl/>
          <w:lang w:bidi="fa-IR"/>
        </w:rPr>
        <w:t xml:space="preserve"> عَرَفَاتٌ فِي الْحَرَمِ؟</w:t>
      </w:r>
    </w:p>
    <w:p w:rsidR="00144FA6" w:rsidRDefault="00744A1C" w:rsidP="00744A1C">
      <w:pPr>
        <w:pStyle w:val="libNormal"/>
        <w:rPr>
          <w:rtl/>
          <w:lang w:bidi="fa-IR"/>
        </w:rPr>
      </w:pPr>
      <w:r>
        <w:rPr>
          <w:rtl/>
          <w:lang w:bidi="fa-IR"/>
        </w:rPr>
        <w:t xml:space="preserve">فَقَالَ : « هكَذَا جَعَلَهَا اللهُ عَزَّ وَجَلَّ ». </w:t>
      </w:r>
      <w:r w:rsidRPr="00D10E3C">
        <w:rPr>
          <w:rStyle w:val="libFootnotenumChar"/>
          <w:rtl/>
        </w:rPr>
        <w:t>(3)</w:t>
      </w:r>
    </w:p>
    <w:p w:rsidR="00144FA6" w:rsidRDefault="00744A1C" w:rsidP="00744A1C">
      <w:pPr>
        <w:pStyle w:val="libNormal"/>
        <w:rPr>
          <w:rtl/>
          <w:lang w:bidi="fa-IR"/>
        </w:rPr>
      </w:pPr>
      <w:r>
        <w:rPr>
          <w:rtl/>
          <w:lang w:bidi="fa-IR"/>
        </w:rPr>
        <w:t>7738 / 6. عِدَّةٌ مِنْ أَصْحَابِنَا ، عَنْ أَحْمَدَ بْنِ مُحَمَّدٍ ، عَنْ مُحَمَّدِ بْنِ إِسْمَاعِيلَ ، عَنْ عَلِيِّ بْنِ النُّعْمَانِ ، عَنِ ابْنِ مُسْكَانَ ، عَنْ أَبِي بَصِيرٍ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حَدُّ عَرَفَاتٍ مِنَ الْمَأْزِمَيْنِ </w:t>
      </w:r>
      <w:r w:rsidRPr="00D10E3C">
        <w:rPr>
          <w:rStyle w:val="libFootnotenumChar"/>
          <w:rtl/>
        </w:rPr>
        <w:t>(4)</w:t>
      </w:r>
      <w:r>
        <w:rPr>
          <w:rtl/>
          <w:lang w:bidi="fa-IR"/>
        </w:rPr>
        <w:t xml:space="preserve"> إِلى أَقْصَى الْمَوْقِفِ ». </w:t>
      </w:r>
      <w:r w:rsidRPr="00D10E3C">
        <w:rPr>
          <w:rStyle w:val="libFootnotenumChar"/>
          <w:rtl/>
        </w:rPr>
        <w:t>(5)</w:t>
      </w:r>
    </w:p>
    <w:p w:rsidR="00744A1C" w:rsidRDefault="00744A1C" w:rsidP="002E4C2F">
      <w:pPr>
        <w:pStyle w:val="Heading2Center"/>
        <w:rPr>
          <w:lang w:bidi="fa-IR"/>
        </w:rPr>
      </w:pPr>
      <w:bookmarkStart w:id="9" w:name="_Toc49261307"/>
      <w:r>
        <w:rPr>
          <w:rtl/>
          <w:lang w:bidi="fa-IR"/>
        </w:rPr>
        <w:t>164 - بَابُ قَطْعِ تَلْبِيَةِ الْحَاجِّ‌</w:t>
      </w:r>
      <w:bookmarkEnd w:id="9"/>
    </w:p>
    <w:p w:rsidR="00144FA6" w:rsidRDefault="00744A1C" w:rsidP="00744A1C">
      <w:pPr>
        <w:pStyle w:val="libNormal"/>
        <w:rPr>
          <w:rtl/>
          <w:lang w:bidi="fa-IR"/>
        </w:rPr>
      </w:pPr>
      <w:r>
        <w:rPr>
          <w:rtl/>
          <w:lang w:bidi="fa-IR"/>
        </w:rPr>
        <w:t>7739 / 1. مُحَمَّدُ بْنُ يَحْيى ، عَنْ أَحْمَدَ بْنِ مُحَمَّدٍ ، عَنْ عَلِيِّ بْنِ الْحَكَمِ ، عَنِ الْعَلَاءِ بْنِ رَزِينٍ ، عَنْ مُحَمَّدِ بْنِ مُسْلِمٍ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أَنَّهُ </w:t>
      </w:r>
      <w:r w:rsidRPr="00D10E3C">
        <w:rPr>
          <w:rStyle w:val="libFootnotenumChar"/>
          <w:rtl/>
        </w:rPr>
        <w:t>(6)</w:t>
      </w:r>
      <w:r>
        <w:rPr>
          <w:rtl/>
          <w:lang w:bidi="fa-IR"/>
        </w:rPr>
        <w:t xml:space="preserve"> قَالَ : « الْحَاجُّ يَقْطَعُ التَّلْبِيَةَ يَوْمَ عَرَفَةَ زَوَالَ‌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فكيف ». وفي « جد » : - « وكيف ». وفي </w:t>
      </w:r>
      <w:r w:rsidR="00744A1C" w:rsidRPr="00C24F9C">
        <w:rPr>
          <w:rStyle w:val="libFootnoteBoldChar"/>
          <w:rtl/>
        </w:rPr>
        <w:t>الوافي</w:t>
      </w:r>
      <w:r w:rsidR="00744A1C">
        <w:rPr>
          <w:rtl/>
          <w:lang w:bidi="fa-IR"/>
        </w:rPr>
        <w:t xml:space="preserve"> : « كيف » بدون الواو.</w:t>
      </w:r>
    </w:p>
    <w:p w:rsidR="00744A1C" w:rsidRDefault="00E378DD" w:rsidP="00E378DD">
      <w:pPr>
        <w:pStyle w:val="libFootnote0"/>
        <w:rPr>
          <w:lang w:bidi="fa-IR"/>
        </w:rPr>
      </w:pPr>
      <w:r>
        <w:rPr>
          <w:rtl/>
          <w:lang w:bidi="fa-IR"/>
        </w:rPr>
        <w:t>(2).</w:t>
      </w:r>
      <w:r w:rsidR="00744A1C">
        <w:rPr>
          <w:rtl/>
          <w:lang w:bidi="fa-IR"/>
        </w:rPr>
        <w:t xml:space="preserve"> في « بث ، بح ، بخ ، جن » و</w:t>
      </w:r>
      <w:r w:rsidR="00744A1C" w:rsidRPr="00C24F9C">
        <w:rPr>
          <w:rStyle w:val="libFootnoteBoldChar"/>
          <w:rtl/>
        </w:rPr>
        <w:t>الوافي</w:t>
      </w:r>
      <w:r w:rsidR="00744A1C">
        <w:rPr>
          <w:rtl/>
          <w:lang w:bidi="fa-IR"/>
        </w:rPr>
        <w:t xml:space="preserve"> : « لم يكن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478 ، ح 1694 ، بسنده عن ابن أبي عمير. </w:t>
      </w:r>
      <w:r w:rsidR="00744A1C" w:rsidRPr="00C24F9C">
        <w:rPr>
          <w:rStyle w:val="libFootnoteBoldChar"/>
          <w:rtl/>
        </w:rPr>
        <w:t>الفقيه</w:t>
      </w:r>
      <w:r w:rsidR="00744A1C">
        <w:rPr>
          <w:rtl/>
          <w:lang w:bidi="fa-IR"/>
        </w:rPr>
        <w:t xml:space="preserve"> ، ج 2 ، ص 464 ، ذيل ح 2979 ، وتمام الرواية فيه : « وليست عرفات من الحرم ، والحرم أفضل منها » </w:t>
      </w:r>
      <w:r w:rsidR="002E4C2F">
        <w:rPr>
          <w:rFonts w:hint="cs"/>
          <w:rtl/>
          <w:lang w:bidi="fa-IR"/>
        </w:rPr>
        <w:t>.</w:t>
      </w:r>
      <w:r w:rsidR="00744A1C" w:rsidRPr="00C24F9C">
        <w:rPr>
          <w:rStyle w:val="libFootnoteBoldChar"/>
          <w:rtl/>
        </w:rPr>
        <w:t>الوافي</w:t>
      </w:r>
      <w:r w:rsidR="00744A1C">
        <w:rPr>
          <w:rtl/>
          <w:lang w:bidi="fa-IR"/>
        </w:rPr>
        <w:t xml:space="preserve"> ، ج 12 ، ص 42 ، ح 11470 ؛ </w:t>
      </w:r>
      <w:r w:rsidR="00744A1C" w:rsidRPr="00C24F9C">
        <w:rPr>
          <w:rStyle w:val="libFootnoteBoldChar"/>
          <w:rtl/>
        </w:rPr>
        <w:t>الوسائل</w:t>
      </w:r>
      <w:r w:rsidR="00744A1C">
        <w:rPr>
          <w:rtl/>
          <w:lang w:bidi="fa-IR"/>
        </w:rPr>
        <w:t xml:space="preserve"> ، ج 13 ، ص 288 ، ذيل ح 17764 ، إلى قوله : « فقال : الحرم ».</w:t>
      </w:r>
    </w:p>
    <w:p w:rsidR="00744A1C" w:rsidRDefault="00E378DD" w:rsidP="00E378DD">
      <w:pPr>
        <w:pStyle w:val="libFootnote0"/>
        <w:rPr>
          <w:lang w:bidi="fa-IR"/>
        </w:rPr>
      </w:pPr>
      <w:r>
        <w:rPr>
          <w:rtl/>
          <w:lang w:bidi="fa-IR"/>
        </w:rPr>
        <w:t>(4).</w:t>
      </w:r>
      <w:r w:rsidR="00744A1C">
        <w:rPr>
          <w:rtl/>
          <w:lang w:bidi="fa-IR"/>
        </w:rPr>
        <w:t xml:space="preserve"> ال</w:t>
      </w:r>
      <w:r w:rsidR="002E4C2F">
        <w:rPr>
          <w:rFonts w:hint="cs"/>
          <w:rtl/>
          <w:lang w:bidi="fa-IR"/>
        </w:rPr>
        <w:t>ـ</w:t>
      </w:r>
      <w:r w:rsidR="00744A1C">
        <w:rPr>
          <w:rtl/>
          <w:lang w:bidi="fa-IR"/>
        </w:rPr>
        <w:t>مَأْزِم ، وزان مسجد : كلّ طريق ضيّق بين جبلين ، ومنه قيل لموضع الحرب : مأزم ؛ لضيق المجال وعسر الخلاص منه ، ومنه سمّي الموضع الذي بين عرفة و</w:t>
      </w:r>
      <w:r w:rsidR="002E4C2F">
        <w:rPr>
          <w:rtl/>
          <w:lang w:bidi="fa-IR"/>
        </w:rPr>
        <w:t>المشعر « المأزمين ». وقال العل</w:t>
      </w:r>
      <w:r w:rsidR="002E4C2F">
        <w:rPr>
          <w:rFonts w:hint="cs"/>
          <w:rtl/>
          <w:lang w:bidi="fa-IR"/>
        </w:rPr>
        <w:t>ّ</w:t>
      </w:r>
      <w:r w:rsidR="002E4C2F">
        <w:rPr>
          <w:rtl/>
          <w:lang w:bidi="fa-IR"/>
        </w:rPr>
        <w:t>ا</w:t>
      </w:r>
      <w:r w:rsidR="00744A1C">
        <w:rPr>
          <w:rtl/>
          <w:lang w:bidi="fa-IR"/>
        </w:rPr>
        <w:t xml:space="preserve">مة المجلسي : « قوله </w:t>
      </w:r>
      <w:r w:rsidR="0061079A" w:rsidRPr="0061079A">
        <w:rPr>
          <w:rStyle w:val="libFootnoteAlaemChar"/>
          <w:rtl/>
        </w:rPr>
        <w:t>عليه‌السلام</w:t>
      </w:r>
      <w:r w:rsidR="00D10E3C">
        <w:rPr>
          <w:rtl/>
          <w:lang w:bidi="fa-IR"/>
        </w:rPr>
        <w:t xml:space="preserve"> </w:t>
      </w:r>
      <w:r w:rsidR="00744A1C">
        <w:rPr>
          <w:rtl/>
          <w:lang w:bidi="fa-IR"/>
        </w:rPr>
        <w:t>: من المأزمين ، أي الطريق بين جبلي المشعر الذي في جانب عرفة ، وهو مخالف للمشهور وللتح</w:t>
      </w:r>
      <w:r w:rsidR="002E4C2F">
        <w:rPr>
          <w:rtl/>
          <w:lang w:bidi="fa-IR"/>
        </w:rPr>
        <w:t>ديد المذكور في الخبر السابق إل</w:t>
      </w:r>
      <w:r w:rsidR="002E4C2F">
        <w:rPr>
          <w:rFonts w:hint="cs"/>
          <w:rtl/>
          <w:lang w:bidi="fa-IR"/>
        </w:rPr>
        <w:t>ّ</w:t>
      </w:r>
      <w:r w:rsidR="002E4C2F">
        <w:rPr>
          <w:rtl/>
          <w:lang w:bidi="fa-IR"/>
        </w:rPr>
        <w:t>ا</w:t>
      </w:r>
      <w:r w:rsidR="00744A1C">
        <w:rPr>
          <w:rtl/>
          <w:lang w:bidi="fa-IR"/>
        </w:rPr>
        <w:t xml:space="preserve"> أن يقال : المراد أنّه إذا خرج من المأزمين فله ثواب الواقف بعرفة ، أو المراد أنّه من توابع عرفة. وقرأ بعض الأفاضل : المأرمين - بالراء المهملة - وفسّره بالميلين المنصوبين لحدّ الحرم ؛ قال في </w:t>
      </w:r>
      <w:r w:rsidR="00744A1C" w:rsidRPr="00877682">
        <w:rPr>
          <w:rStyle w:val="libFootnoteBoldChar"/>
          <w:rtl/>
        </w:rPr>
        <w:t>النهاية</w:t>
      </w:r>
      <w:r w:rsidR="00744A1C">
        <w:rPr>
          <w:rtl/>
          <w:lang w:bidi="fa-IR"/>
        </w:rPr>
        <w:t xml:space="preserve"> [ ج 1 ، ص 40 ( أرم ) ] : الآرام : الأعلام ، وهي حجارة تجمع وتنصب في المفازة يهتدى بها ، واحدها : إرم ، كعنب ». راجع : </w:t>
      </w:r>
      <w:r w:rsidR="00744A1C" w:rsidRPr="00E978C3">
        <w:rPr>
          <w:rStyle w:val="libFootnoteBoldChar"/>
          <w:rtl/>
        </w:rPr>
        <w:t>الصحاح</w:t>
      </w:r>
      <w:r w:rsidR="00744A1C">
        <w:rPr>
          <w:rtl/>
          <w:lang w:bidi="fa-IR"/>
        </w:rPr>
        <w:t xml:space="preserve"> ، ج 5 ، ص 1861 ؛ </w:t>
      </w:r>
      <w:r w:rsidR="00744A1C" w:rsidRPr="00E978C3">
        <w:rPr>
          <w:rStyle w:val="libFootnoteBoldChar"/>
          <w:rtl/>
        </w:rPr>
        <w:t>المصباح المنير</w:t>
      </w:r>
      <w:r w:rsidR="00744A1C">
        <w:rPr>
          <w:rtl/>
          <w:lang w:bidi="fa-IR"/>
        </w:rPr>
        <w:t xml:space="preserve"> ، ص 13 ( أزم ) ؛ </w:t>
      </w:r>
      <w:r w:rsidR="00744A1C" w:rsidRPr="00877682">
        <w:rPr>
          <w:rStyle w:val="libFootnoteBoldChar"/>
          <w:rtl/>
        </w:rPr>
        <w:t>مرآة العقول</w:t>
      </w:r>
      <w:r w:rsidR="00744A1C">
        <w:rPr>
          <w:rtl/>
          <w:lang w:bidi="fa-IR"/>
        </w:rPr>
        <w:t xml:space="preserve"> ، ج 18 ، ص 119.</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الفقيه</w:t>
      </w:r>
      <w:r w:rsidR="00744A1C">
        <w:rPr>
          <w:rtl/>
          <w:lang w:bidi="fa-IR"/>
        </w:rPr>
        <w:t xml:space="preserve"> ، ج 2 ، ص 463 ، ح 2978 ، معلّقاً عن معاوية بن عمّار وأبي بصير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زيادة في أوّله. </w:t>
      </w:r>
      <w:r w:rsidR="00744A1C" w:rsidRPr="00C24F9C">
        <w:rPr>
          <w:rStyle w:val="libFootnoteBoldChar"/>
          <w:rtl/>
        </w:rPr>
        <w:t>التهذيب</w:t>
      </w:r>
      <w:r w:rsidR="00744A1C">
        <w:rPr>
          <w:rtl/>
          <w:lang w:bidi="fa-IR"/>
        </w:rPr>
        <w:t xml:space="preserve"> ، ج 5 ، ص 179 ، ح 601 ، بسنده عن أبي بصير ، عن أبي عبدالله </w:t>
      </w:r>
      <w:r w:rsidR="0061079A" w:rsidRPr="0061079A">
        <w:rPr>
          <w:rStyle w:val="libFootnoteAlaemChar"/>
          <w:rtl/>
        </w:rPr>
        <w:t>عليه‌السلام</w:t>
      </w:r>
      <w:r w:rsidR="00D10E3C">
        <w:rPr>
          <w:rtl/>
          <w:lang w:bidi="fa-IR"/>
        </w:rPr>
        <w:t xml:space="preserve"> </w:t>
      </w:r>
      <w:r w:rsidR="002E4C2F">
        <w:rPr>
          <w:rFonts w:hint="cs"/>
          <w:rtl/>
          <w:lang w:bidi="fa-IR"/>
        </w:rPr>
        <w:t>.</w:t>
      </w:r>
      <w:r w:rsidR="00744A1C" w:rsidRPr="00C24F9C">
        <w:rPr>
          <w:rStyle w:val="libFootnoteBoldChar"/>
          <w:rtl/>
        </w:rPr>
        <w:t>الوافي</w:t>
      </w:r>
      <w:r w:rsidR="00744A1C">
        <w:rPr>
          <w:rtl/>
          <w:lang w:bidi="fa-IR"/>
        </w:rPr>
        <w:t xml:space="preserve"> ، ج 13 ، ص 1025 ، ح 13660 ؛ </w:t>
      </w:r>
      <w:r w:rsidR="00744A1C" w:rsidRPr="00C24F9C">
        <w:rPr>
          <w:rStyle w:val="libFootnoteBoldChar"/>
          <w:rtl/>
        </w:rPr>
        <w:t>الوسائل</w:t>
      </w:r>
      <w:r w:rsidR="00744A1C">
        <w:rPr>
          <w:rtl/>
          <w:lang w:bidi="fa-IR"/>
        </w:rPr>
        <w:t xml:space="preserve"> ، ج 13 ، ص 531 ، ح 18377.</w:t>
      </w:r>
    </w:p>
    <w:p w:rsidR="00744A1C" w:rsidRDefault="00E378DD" w:rsidP="00E378DD">
      <w:pPr>
        <w:pStyle w:val="libFootnote0"/>
        <w:rPr>
          <w:lang w:bidi="fa-IR"/>
        </w:rPr>
      </w:pPr>
      <w:r>
        <w:rPr>
          <w:rtl/>
          <w:lang w:bidi="fa-IR"/>
        </w:rPr>
        <w:t>(6).</w:t>
      </w:r>
      <w:r w:rsidR="00744A1C">
        <w:rPr>
          <w:rtl/>
          <w:lang w:bidi="fa-IR"/>
        </w:rPr>
        <w:t xml:space="preserve"> في « بث ، بس ، جد » و</w:t>
      </w:r>
      <w:r w:rsidR="00744A1C" w:rsidRPr="00C24F9C">
        <w:rPr>
          <w:rStyle w:val="libFootnoteBoldChar"/>
          <w:rtl/>
        </w:rPr>
        <w:t>الوافي</w:t>
      </w:r>
      <w:r w:rsidR="00744A1C">
        <w:rPr>
          <w:rtl/>
          <w:lang w:bidi="fa-IR"/>
        </w:rPr>
        <w:t xml:space="preserve"> : - « أنّه ».</w:t>
      </w:r>
    </w:p>
    <w:p w:rsidR="00A55A65" w:rsidRDefault="00A55A65" w:rsidP="00D10E3C">
      <w:pPr>
        <w:pStyle w:val="libNormal"/>
        <w:rPr>
          <w:rtl/>
          <w:lang w:bidi="fa-IR"/>
        </w:rPr>
      </w:pPr>
      <w:r>
        <w:rPr>
          <w:rtl/>
          <w:lang w:bidi="fa-IR"/>
        </w:rPr>
        <w:br w:type="page"/>
      </w:r>
    </w:p>
    <w:p w:rsidR="00144FA6" w:rsidRDefault="00744A1C" w:rsidP="002E4C2F">
      <w:pPr>
        <w:pStyle w:val="libNormal0"/>
        <w:rPr>
          <w:rtl/>
          <w:lang w:bidi="fa-IR"/>
        </w:rPr>
      </w:pPr>
      <w:r>
        <w:rPr>
          <w:rtl/>
          <w:lang w:bidi="fa-IR"/>
        </w:rPr>
        <w:lastRenderedPageBreak/>
        <w:t xml:space="preserve">الشَّمْسِ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7740 / 2. عَلِيُّ بْنُ إِبْرَاهِيمَ ، عَنْ أَبِيهِ ، عَنِ ابْنِ أَبِي عُمَيْرٍ ، عَنْ مُعَاوِيَةَ بْنِ عَمَّارٍ </w:t>
      </w:r>
      <w:r w:rsidRPr="00D10E3C">
        <w:rPr>
          <w:rStyle w:val="libFootnotenumChar"/>
          <w:rtl/>
        </w:rPr>
        <w:t>(3)</w:t>
      </w:r>
      <w:r>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قَطَعَ رَسُولُ اللهِ </w:t>
      </w:r>
      <w:r w:rsidR="005E465D" w:rsidRPr="005E465D">
        <w:rPr>
          <w:rStyle w:val="libAlaemChar"/>
          <w:rtl/>
        </w:rPr>
        <w:t>صلى‌الله‌عليه‌وآله</w:t>
      </w:r>
      <w:r w:rsidR="00D10E3C">
        <w:rPr>
          <w:rtl/>
          <w:lang w:bidi="fa-IR"/>
        </w:rPr>
        <w:t xml:space="preserve"> </w:t>
      </w:r>
      <w:r w:rsidRPr="00D10E3C">
        <w:rPr>
          <w:rStyle w:val="libFootnotenumChar"/>
          <w:rtl/>
        </w:rPr>
        <w:t>(4)</w:t>
      </w:r>
      <w:r>
        <w:rPr>
          <w:rtl/>
          <w:lang w:bidi="fa-IR"/>
        </w:rPr>
        <w:t xml:space="preserve"> التَّلْبِيَةَ حِينَ زَاغَتِ الشَّمْسُ </w:t>
      </w:r>
      <w:r w:rsidRPr="00D10E3C">
        <w:rPr>
          <w:rStyle w:val="libFootnotenumChar"/>
          <w:rtl/>
        </w:rPr>
        <w:t>(5)</w:t>
      </w:r>
      <w:r>
        <w:rPr>
          <w:rtl/>
          <w:lang w:bidi="fa-IR"/>
        </w:rPr>
        <w:t xml:space="preserve"> يَوْمَ‌ عَرَفَةَ ، وَكَانَ عَلِيُّ بْنُ الْحُسَيْنِ </w:t>
      </w:r>
      <w:r w:rsidR="008859AA" w:rsidRPr="008859AA">
        <w:rPr>
          <w:rStyle w:val="libAlaemChar"/>
          <w:rtl/>
        </w:rPr>
        <w:t>عليهما‌السلام</w:t>
      </w:r>
      <w:r>
        <w:rPr>
          <w:rtl/>
          <w:lang w:bidi="fa-IR"/>
        </w:rPr>
        <w:t xml:space="preserve">يَقْطَعُ التَّلْبِيَةَ إِذَا زَاغَتِ الشَّمْسُ يَوْمَ عَرَفَةَ </w:t>
      </w:r>
      <w:r w:rsidRPr="00D10E3C">
        <w:rPr>
          <w:rStyle w:val="libFootnotenumChar"/>
          <w:rtl/>
        </w:rPr>
        <w:t>(6)</w:t>
      </w:r>
      <w:r>
        <w:rPr>
          <w:rtl/>
          <w:lang w:bidi="fa-IR"/>
        </w:rPr>
        <w:t xml:space="preserve">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فَإِذَا قَطَعْتَ التَّلْبِيَةَ ، فَعَلَيْكَ بِالتَّهْلِيلِ وَالتَّحْمِيدِ وَالتَّمْجِيدِ </w:t>
      </w:r>
      <w:r w:rsidRPr="00D10E3C">
        <w:rPr>
          <w:rStyle w:val="libFootnotenumChar"/>
          <w:rtl/>
        </w:rPr>
        <w:t>(7)</w:t>
      </w:r>
      <w:r>
        <w:rPr>
          <w:rtl/>
          <w:lang w:bidi="fa-IR"/>
        </w:rPr>
        <w:t xml:space="preserve"> وَالثَّنَاءِ عَلَى اللهِ عَزَّ وَجَلَّ ». </w:t>
      </w:r>
      <w:r w:rsidRPr="00D10E3C">
        <w:rPr>
          <w:rStyle w:val="libFootnotenumChar"/>
          <w:rtl/>
        </w:rPr>
        <w:t>(8)</w:t>
      </w:r>
    </w:p>
    <w:p w:rsidR="00744A1C" w:rsidRDefault="00744A1C" w:rsidP="002E4C2F">
      <w:pPr>
        <w:pStyle w:val="Heading2Center"/>
        <w:rPr>
          <w:lang w:bidi="fa-IR"/>
        </w:rPr>
      </w:pPr>
      <w:bookmarkStart w:id="10" w:name="_Toc49261308"/>
      <w:r>
        <w:rPr>
          <w:rtl/>
          <w:lang w:bidi="fa-IR"/>
        </w:rPr>
        <w:t>165 - بَابُ الْوُقُوفِ بِعَرَفَةَ وَحَدِّ الْمَوْقِفِ‌</w:t>
      </w:r>
      <w:bookmarkEnd w:id="10"/>
    </w:p>
    <w:p w:rsidR="00144FA6" w:rsidRDefault="00744A1C" w:rsidP="00744A1C">
      <w:pPr>
        <w:pStyle w:val="libNormal"/>
        <w:rPr>
          <w:rtl/>
          <w:lang w:bidi="fa-IR"/>
        </w:rPr>
      </w:pPr>
      <w:r>
        <w:rPr>
          <w:rtl/>
          <w:lang w:bidi="fa-IR"/>
        </w:rPr>
        <w:t xml:space="preserve">7741 / 1. عِدَّةٌ مِنْ أَصْحَابِنَا ، عَنْ سَهْلِ بْنِ زِيَادٍ ، عَنِ ابْنِ مَحْبُوبٍ ، عَنِ ابْنِ رِئَابٍ </w:t>
      </w:r>
      <w:r w:rsidRPr="00D10E3C">
        <w:rPr>
          <w:rStyle w:val="libFootnotenumChar"/>
          <w:rtl/>
        </w:rPr>
        <w:t>(9)</w:t>
      </w:r>
      <w:r>
        <w:rPr>
          <w:rtl/>
          <w:lang w:bidi="fa-IR"/>
        </w:rPr>
        <w:t xml:space="preserve"> ، عَنْ مِسْمَعٍ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 « زوال الزوال ». وفي حاشيتها : « عند الزوال » كلاهما بدل « زوال الشمس ».</w:t>
      </w:r>
    </w:p>
    <w:p w:rsidR="00744A1C" w:rsidRDefault="00E378DD" w:rsidP="00E378DD">
      <w:pPr>
        <w:pStyle w:val="libFootnote0"/>
        <w:rPr>
          <w:lang w:bidi="fa-IR"/>
        </w:rPr>
      </w:pPr>
      <w:r>
        <w:rPr>
          <w:rtl/>
          <w:lang w:bidi="fa-IR"/>
        </w:rPr>
        <w:t>(2).</w:t>
      </w:r>
      <w:r w:rsidR="00744A1C">
        <w:rPr>
          <w:rtl/>
          <w:lang w:bidi="fa-IR"/>
        </w:rPr>
        <w:t xml:space="preserve"> </w:t>
      </w:r>
      <w:r w:rsidR="00744A1C" w:rsidRPr="00877682">
        <w:rPr>
          <w:rStyle w:val="libFootnoteBoldChar"/>
          <w:rtl/>
        </w:rPr>
        <w:t>الجعفريّات</w:t>
      </w:r>
      <w:r w:rsidR="00744A1C">
        <w:rPr>
          <w:rtl/>
          <w:lang w:bidi="fa-IR"/>
        </w:rPr>
        <w:t xml:space="preserve"> ، ص 64 ، بسند آخر عن جعفر بن محمّد ، عن أبيه </w:t>
      </w:r>
      <w:r w:rsidR="00F112A7" w:rsidRPr="00CE5A92">
        <w:rPr>
          <w:rStyle w:val="libFootnoteAlaemChar"/>
          <w:rtl/>
        </w:rPr>
        <w:t>عليهما‌السلام</w:t>
      </w:r>
      <w:r w:rsidR="00744A1C">
        <w:rPr>
          <w:rtl/>
          <w:lang w:bidi="fa-IR"/>
        </w:rPr>
        <w:t xml:space="preserve">. وفي </w:t>
      </w:r>
      <w:r w:rsidR="00744A1C" w:rsidRPr="0061079A">
        <w:rPr>
          <w:rStyle w:val="libFootnoteBoldChar"/>
          <w:rtl/>
        </w:rPr>
        <w:t>الكافي</w:t>
      </w:r>
      <w:r w:rsidR="00744A1C">
        <w:rPr>
          <w:rtl/>
          <w:lang w:bidi="fa-IR"/>
        </w:rPr>
        <w:t xml:space="preserve"> ، كتاب الحجّ ، باب ما على المتمتّع من الطواف والسعي ، ذيل ح 7033 ؛ </w:t>
      </w:r>
      <w:r w:rsidR="00744A1C" w:rsidRPr="0061079A">
        <w:rPr>
          <w:rStyle w:val="libFootnoteBoldChar"/>
          <w:rtl/>
        </w:rPr>
        <w:t>والتهذيب</w:t>
      </w:r>
      <w:r w:rsidR="00744A1C">
        <w:rPr>
          <w:rtl/>
          <w:lang w:bidi="fa-IR"/>
        </w:rPr>
        <w:t xml:space="preserve"> ، ج 5 ، ص 35 ، ذيل ح 105 ؛ وص 182 ، ذيل ح 609 ؛ و</w:t>
      </w:r>
      <w:r w:rsidR="00744A1C" w:rsidRPr="00610FB4">
        <w:rPr>
          <w:rStyle w:val="libFootnoteBoldChar"/>
          <w:rtl/>
        </w:rPr>
        <w:t>تفسير القمّي</w:t>
      </w:r>
      <w:r w:rsidR="00744A1C">
        <w:rPr>
          <w:rtl/>
          <w:lang w:bidi="fa-IR"/>
        </w:rPr>
        <w:t xml:space="preserve"> ، ج 1 ، ص 44 ، ضمن الحديث ، بسند آخر عن أبي عبدالله </w:t>
      </w:r>
      <w:r w:rsidR="0061079A" w:rsidRPr="0061079A">
        <w:rPr>
          <w:rStyle w:val="libFootnoteAlaemChar"/>
          <w:rtl/>
        </w:rPr>
        <w:t>عليه‌السلام</w:t>
      </w:r>
      <w:r w:rsidR="00744A1C">
        <w:rPr>
          <w:rtl/>
          <w:lang w:bidi="fa-IR"/>
        </w:rPr>
        <w:t xml:space="preserve"> . </w:t>
      </w:r>
      <w:r w:rsidR="00744A1C" w:rsidRPr="00877682">
        <w:rPr>
          <w:rStyle w:val="libFootnoteBoldChar"/>
          <w:rtl/>
        </w:rPr>
        <w:t>قرب الإسناد</w:t>
      </w:r>
      <w:r w:rsidR="00744A1C">
        <w:rPr>
          <w:rtl/>
          <w:lang w:bidi="fa-IR"/>
        </w:rPr>
        <w:t xml:space="preserve"> ، ص 234 ، ضمن ح 914 ، بسند آخر عن موسى بن جعفر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315 ، ذيل ح 2554 ، وفي كلّ المصادر مع اختلاف يسير </w:t>
      </w:r>
      <w:r w:rsidR="002E4C2F">
        <w:rPr>
          <w:rFonts w:hint="cs"/>
          <w:rtl/>
          <w:lang w:bidi="fa-IR"/>
        </w:rPr>
        <w:t>.</w:t>
      </w:r>
      <w:r w:rsidR="00744A1C" w:rsidRPr="00C24F9C">
        <w:rPr>
          <w:rStyle w:val="libFootnoteBoldChar"/>
          <w:rtl/>
        </w:rPr>
        <w:t>الوافي</w:t>
      </w:r>
      <w:r w:rsidR="00744A1C">
        <w:rPr>
          <w:rtl/>
          <w:lang w:bidi="fa-IR"/>
        </w:rPr>
        <w:t xml:space="preserve"> ، ج 13 ، ص 1021 ، ح 13654 ؛ </w:t>
      </w:r>
      <w:r w:rsidR="00744A1C" w:rsidRPr="00C24F9C">
        <w:rPr>
          <w:rStyle w:val="libFootnoteBoldChar"/>
          <w:rtl/>
        </w:rPr>
        <w:t>الوسائل</w:t>
      </w:r>
      <w:r w:rsidR="00744A1C">
        <w:rPr>
          <w:rtl/>
          <w:lang w:bidi="fa-IR"/>
        </w:rPr>
        <w:t xml:space="preserve"> ، ج 12 ، ص 391 ، ح 16590.</w:t>
      </w:r>
    </w:p>
    <w:tbl>
      <w:tblPr>
        <w:tblStyle w:val="TableGrid"/>
        <w:bidiVisual/>
        <w:tblW w:w="0" w:type="auto"/>
        <w:tblLook w:val="04A0" w:firstRow="1" w:lastRow="0" w:firstColumn="1" w:lastColumn="0" w:noHBand="0" w:noVBand="1"/>
      </w:tblPr>
      <w:tblGrid>
        <w:gridCol w:w="4006"/>
        <w:gridCol w:w="4006"/>
      </w:tblGrid>
      <w:tr w:rsidR="002E4C2F" w:rsidTr="002E4C2F">
        <w:tc>
          <w:tcPr>
            <w:tcW w:w="4006" w:type="dxa"/>
          </w:tcPr>
          <w:p w:rsidR="002E4C2F" w:rsidRDefault="002E4C2F" w:rsidP="00E378DD">
            <w:pPr>
              <w:pStyle w:val="libFootnote0"/>
              <w:rPr>
                <w:rtl/>
                <w:lang w:bidi="fa-IR"/>
              </w:rPr>
            </w:pPr>
            <w:r>
              <w:rPr>
                <w:rtl/>
                <w:lang w:bidi="fa-IR"/>
              </w:rPr>
              <w:t>(3). في « بف ، جر » : - « بن عمّار ».</w:t>
            </w:r>
          </w:p>
        </w:tc>
        <w:tc>
          <w:tcPr>
            <w:tcW w:w="4006" w:type="dxa"/>
          </w:tcPr>
          <w:p w:rsidR="002E4C2F" w:rsidRDefault="002E4C2F" w:rsidP="00E378DD">
            <w:pPr>
              <w:pStyle w:val="libFootnote0"/>
              <w:rPr>
                <w:rtl/>
                <w:lang w:bidi="fa-IR"/>
              </w:rPr>
            </w:pPr>
            <w:r>
              <w:rPr>
                <w:rtl/>
                <w:lang w:bidi="fa-IR"/>
              </w:rPr>
              <w:t xml:space="preserve">(4). في </w:t>
            </w:r>
            <w:r w:rsidRPr="00C24F9C">
              <w:rPr>
                <w:rStyle w:val="libFootnoteBoldChar"/>
                <w:rtl/>
              </w:rPr>
              <w:t>الفقيه</w:t>
            </w:r>
            <w:r>
              <w:rPr>
                <w:rtl/>
                <w:lang w:bidi="fa-IR"/>
              </w:rPr>
              <w:t xml:space="preserve"> : - « رسول الله </w:t>
            </w:r>
            <w:r w:rsidR="005E465D" w:rsidRPr="005520F0">
              <w:rPr>
                <w:rStyle w:val="libFootnoteAlaemChar"/>
                <w:rFonts w:eastAsiaTheme="minorHAnsi"/>
                <w:rtl/>
              </w:rPr>
              <w:t>صلى‌الله‌عليه‌وآله</w:t>
            </w:r>
            <w:r w:rsidRPr="002E4C2F">
              <w:rPr>
                <w:rFonts w:eastAsiaTheme="minorHAnsi"/>
                <w:rtl/>
              </w:rPr>
              <w:t xml:space="preserve"> </w:t>
            </w:r>
            <w:r>
              <w:rPr>
                <w:rtl/>
                <w:lang w:bidi="fa-IR"/>
              </w:rPr>
              <w:t>».</w:t>
            </w:r>
          </w:p>
        </w:tc>
      </w:tr>
    </w:tbl>
    <w:p w:rsidR="00744A1C" w:rsidRDefault="00E378DD" w:rsidP="00E378DD">
      <w:pPr>
        <w:pStyle w:val="libFootnote0"/>
        <w:rPr>
          <w:lang w:bidi="fa-IR"/>
        </w:rPr>
      </w:pPr>
      <w:r>
        <w:rPr>
          <w:rtl/>
          <w:lang w:bidi="fa-IR"/>
        </w:rPr>
        <w:t>(5).</w:t>
      </w:r>
      <w:r w:rsidR="00744A1C">
        <w:rPr>
          <w:rtl/>
          <w:lang w:bidi="fa-IR"/>
        </w:rPr>
        <w:t xml:space="preserve"> « حين زاغت الشمس » ، أي مالت ؛ من الزيغ بمعنى الميل ، راجع : </w:t>
      </w:r>
      <w:r w:rsidR="00744A1C" w:rsidRPr="00E978C3">
        <w:rPr>
          <w:rStyle w:val="libFootnoteBoldChar"/>
          <w:rtl/>
        </w:rPr>
        <w:t>الصحاح</w:t>
      </w:r>
      <w:r w:rsidR="00744A1C">
        <w:rPr>
          <w:rtl/>
          <w:lang w:bidi="fa-IR"/>
        </w:rPr>
        <w:t xml:space="preserve"> ، ج 4 ، ص 1320 ( زيغ ).</w:t>
      </w:r>
    </w:p>
    <w:tbl>
      <w:tblPr>
        <w:tblStyle w:val="TableGrid"/>
        <w:bidiVisual/>
        <w:tblW w:w="0" w:type="auto"/>
        <w:tblLook w:val="04A0" w:firstRow="1" w:lastRow="0" w:firstColumn="1" w:lastColumn="0" w:noHBand="0" w:noVBand="1"/>
      </w:tblPr>
      <w:tblGrid>
        <w:gridCol w:w="4006"/>
        <w:gridCol w:w="4006"/>
      </w:tblGrid>
      <w:tr w:rsidR="006B6348" w:rsidTr="006B6348">
        <w:tc>
          <w:tcPr>
            <w:tcW w:w="4006" w:type="dxa"/>
          </w:tcPr>
          <w:p w:rsidR="006B6348" w:rsidRDefault="006B6348" w:rsidP="00E378DD">
            <w:pPr>
              <w:pStyle w:val="libFootnote0"/>
              <w:rPr>
                <w:rtl/>
                <w:lang w:bidi="fa-IR"/>
              </w:rPr>
            </w:pPr>
            <w:r>
              <w:rPr>
                <w:rtl/>
                <w:lang w:bidi="fa-IR"/>
              </w:rPr>
              <w:t>(6). في « بث » و</w:t>
            </w:r>
            <w:r w:rsidRPr="00C24F9C">
              <w:rPr>
                <w:rStyle w:val="libFootnoteBoldChar"/>
                <w:rtl/>
              </w:rPr>
              <w:t>الوافي</w:t>
            </w:r>
            <w:r>
              <w:rPr>
                <w:rtl/>
                <w:lang w:bidi="fa-IR"/>
              </w:rPr>
              <w:t xml:space="preserve"> : - « وكان عليّ » إلى هنا.</w:t>
            </w:r>
          </w:p>
        </w:tc>
        <w:tc>
          <w:tcPr>
            <w:tcW w:w="4006" w:type="dxa"/>
          </w:tcPr>
          <w:p w:rsidR="006B6348" w:rsidRDefault="006B6348" w:rsidP="00E378DD">
            <w:pPr>
              <w:pStyle w:val="libFootnote0"/>
              <w:rPr>
                <w:rtl/>
                <w:lang w:bidi="fa-IR"/>
              </w:rPr>
            </w:pPr>
            <w:r>
              <w:rPr>
                <w:rtl/>
                <w:lang w:bidi="fa-IR"/>
              </w:rPr>
              <w:t>(7). في « بخ » و</w:t>
            </w:r>
            <w:r w:rsidRPr="00C24F9C">
              <w:rPr>
                <w:rStyle w:val="libFootnoteBoldChar"/>
                <w:rtl/>
              </w:rPr>
              <w:t>الوافي</w:t>
            </w:r>
            <w:r>
              <w:rPr>
                <w:rtl/>
                <w:lang w:bidi="fa-IR"/>
              </w:rPr>
              <w:t xml:space="preserve"> : « والتمجيد والتحميد ».</w:t>
            </w:r>
          </w:p>
        </w:tc>
      </w:tr>
    </w:tbl>
    <w:p w:rsidR="00744A1C" w:rsidRDefault="00E378DD" w:rsidP="00FF26C7">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2 ، ص 239 ، ذيل ح 2293 ، معلّقاً عن معاوية بن عمّار ، وتمام الرواية فيه : « قطع [ النبيّ </w:t>
      </w:r>
      <w:r w:rsidR="005E465D" w:rsidRPr="005520F0">
        <w:rPr>
          <w:rStyle w:val="libFootnoteAlaemChar"/>
          <w:rFonts w:eastAsiaTheme="minorHAnsi"/>
          <w:rtl/>
        </w:rPr>
        <w:t>صلى‌الله‌عليه‌وآله</w:t>
      </w:r>
      <w:r w:rsidR="00744A1C">
        <w:rPr>
          <w:rtl/>
          <w:lang w:bidi="fa-IR"/>
        </w:rPr>
        <w:t xml:space="preserve">] التلبية حين زاغت الشمس يوم عرفة » ؛ الاستبصار ، ج 2 ، ص 176 ، ح 583 ، بسنده عن معاوية بن عمّار ، إلى قوله : « يوم عرفة ». </w:t>
      </w:r>
      <w:r w:rsidR="00744A1C" w:rsidRPr="00C24F9C">
        <w:rPr>
          <w:rStyle w:val="libFootnoteBoldChar"/>
          <w:rtl/>
        </w:rPr>
        <w:t>التهذيب</w:t>
      </w:r>
      <w:r w:rsidR="00744A1C">
        <w:rPr>
          <w:rtl/>
          <w:lang w:bidi="fa-IR"/>
        </w:rPr>
        <w:t xml:space="preserve"> ، ج 5 ، ص 182 ، ح 610 ، بسند آخر ، مع زيادة في آخره ، وفي الأخيرين من دون الإسناد إلى النبيّ </w:t>
      </w:r>
      <w:r w:rsidR="005E465D" w:rsidRPr="005520F0">
        <w:rPr>
          <w:rStyle w:val="libFootnoteAlaemChar"/>
          <w:rFonts w:eastAsiaTheme="minorHAnsi"/>
          <w:rtl/>
        </w:rPr>
        <w:t>صلى‌الله‌عليه‌وآله</w:t>
      </w:r>
      <w:r w:rsidR="00FF26C7">
        <w:rPr>
          <w:rtl/>
          <w:lang w:bidi="fa-IR"/>
        </w:rPr>
        <w:t xml:space="preserve"> </w:t>
      </w:r>
      <w:r w:rsidR="00744A1C">
        <w:rPr>
          <w:rtl/>
          <w:lang w:bidi="fa-IR"/>
        </w:rPr>
        <w:t xml:space="preserve">وعليّ بن الحسين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FF26C7">
        <w:rPr>
          <w:rFonts w:hint="cs"/>
          <w:rtl/>
          <w:lang w:bidi="fa-IR"/>
        </w:rPr>
        <w:t>.</w:t>
      </w:r>
      <w:r w:rsidR="00744A1C" w:rsidRPr="00C24F9C">
        <w:rPr>
          <w:rStyle w:val="libFootnoteBoldChar"/>
          <w:rtl/>
        </w:rPr>
        <w:t>الوافي</w:t>
      </w:r>
      <w:r w:rsidR="00744A1C">
        <w:rPr>
          <w:rtl/>
          <w:lang w:bidi="fa-IR"/>
        </w:rPr>
        <w:t xml:space="preserve"> ، ج 13 ، ص 1021 ، ح 13655 ؛ </w:t>
      </w:r>
      <w:r w:rsidR="00744A1C" w:rsidRPr="00C24F9C">
        <w:rPr>
          <w:rStyle w:val="libFootnoteBoldChar"/>
          <w:rtl/>
        </w:rPr>
        <w:t>الوسائل</w:t>
      </w:r>
      <w:r w:rsidR="00744A1C">
        <w:rPr>
          <w:rtl/>
          <w:lang w:bidi="fa-IR"/>
        </w:rPr>
        <w:t xml:space="preserve"> ، ج 12 ، ص 392 ، ح 16591 ؛ </w:t>
      </w:r>
      <w:r w:rsidR="00744A1C" w:rsidRPr="0061079A">
        <w:rPr>
          <w:rStyle w:val="libFootnoteBoldChar"/>
          <w:rtl/>
        </w:rPr>
        <w:t>البحار</w:t>
      </w:r>
      <w:r w:rsidR="00744A1C">
        <w:rPr>
          <w:rtl/>
          <w:lang w:bidi="fa-IR"/>
        </w:rPr>
        <w:t xml:space="preserve"> ، ج 21 ، ص 379 ، ح 3 ، إلى قوله : « يوم عرفة ».</w:t>
      </w:r>
    </w:p>
    <w:p w:rsidR="00744A1C" w:rsidRDefault="00E378DD" w:rsidP="00E378DD">
      <w:pPr>
        <w:pStyle w:val="libFootnote0"/>
        <w:rPr>
          <w:lang w:bidi="fa-IR"/>
        </w:rPr>
      </w:pPr>
      <w:r>
        <w:rPr>
          <w:rtl/>
          <w:lang w:bidi="fa-IR"/>
        </w:rPr>
        <w:t>(9).</w:t>
      </w:r>
      <w:r w:rsidR="00744A1C">
        <w:rPr>
          <w:rtl/>
          <w:lang w:bidi="fa-IR"/>
        </w:rPr>
        <w:t xml:space="preserve"> في « بف » : « عليّ بن رئاب ».</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عَرَفَاتٌ كُلُّهَا مَوْقِفٌ ، وَأَفْضَلُ الْمَوْقِفِ سَفْحُ </w:t>
      </w:r>
      <w:r w:rsidRPr="00D10E3C">
        <w:rPr>
          <w:rStyle w:val="libFootnotenumChar"/>
          <w:rtl/>
        </w:rPr>
        <w:t>(1)</w:t>
      </w:r>
      <w:r>
        <w:rPr>
          <w:rtl/>
          <w:lang w:bidi="fa-IR"/>
        </w:rPr>
        <w:t xml:space="preserve"> الْجَبَلِ</w:t>
      </w:r>
      <w:r w:rsidRPr="00D10E3C">
        <w:rPr>
          <w:rStyle w:val="libFootnotenumChar"/>
          <w:rtl/>
        </w:rPr>
        <w:t>(2)</w:t>
      </w:r>
      <w:r>
        <w:rPr>
          <w:rtl/>
          <w:lang w:bidi="fa-IR"/>
        </w:rPr>
        <w:t>».</w:t>
      </w:r>
      <w:r w:rsidRPr="00D10E3C">
        <w:rPr>
          <w:rStyle w:val="libFootnotenumChar"/>
          <w:rtl/>
        </w:rPr>
        <w:t>(3)</w:t>
      </w:r>
    </w:p>
    <w:p w:rsidR="00144FA6" w:rsidRDefault="00744A1C" w:rsidP="00744A1C">
      <w:pPr>
        <w:pStyle w:val="libNormal"/>
        <w:rPr>
          <w:rtl/>
          <w:lang w:bidi="fa-IR"/>
        </w:rPr>
      </w:pPr>
      <w:r>
        <w:rPr>
          <w:rtl/>
          <w:lang w:bidi="fa-IR"/>
        </w:rPr>
        <w:t>7742 / 2. مُحَمَّدُ بْنُ يَحْيى ، عَنْ أَحْمَدَ بْنِ مُحَمَّدٍ ، عَنْ عَلِيِّ بْنِ الْحَكَمِ ، عَنْ عَلِيِّ بْنِ أَبِي حَمْزَةَ ، عَنْ أَبِي بَصِيرٍ :</w:t>
      </w:r>
    </w:p>
    <w:p w:rsidR="00144FA6" w:rsidRDefault="00744A1C" w:rsidP="00FF26C7">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وَقَفْتَ بِعَرَفَاتٍ ، فَادْنُ مِنَ </w:t>
      </w:r>
      <w:r w:rsidRPr="00D10E3C">
        <w:rPr>
          <w:rStyle w:val="libFootnotenumChar"/>
          <w:rtl/>
        </w:rPr>
        <w:t>(4)</w:t>
      </w:r>
      <w:r>
        <w:rPr>
          <w:rtl/>
          <w:lang w:bidi="fa-IR"/>
        </w:rPr>
        <w:t xml:space="preserve"> الْهِضَابِ </w:t>
      </w:r>
      <w:r w:rsidRPr="00D10E3C">
        <w:rPr>
          <w:rStyle w:val="libFootnotenumChar"/>
          <w:rtl/>
        </w:rPr>
        <w:t>(5)</w:t>
      </w:r>
      <w:r>
        <w:rPr>
          <w:rtl/>
          <w:lang w:bidi="fa-IR"/>
        </w:rPr>
        <w:t xml:space="preserve"> - وَالْهِضَابُ </w:t>
      </w:r>
      <w:r w:rsidRPr="00D10E3C">
        <w:rPr>
          <w:rStyle w:val="libFootnotenumChar"/>
          <w:rtl/>
        </w:rPr>
        <w:t>(6)</w:t>
      </w:r>
      <w:r>
        <w:rPr>
          <w:rtl/>
          <w:lang w:bidi="fa-IR"/>
        </w:rPr>
        <w:t xml:space="preserve"> هِيَ الْجِبَالُ - فَإِنَّ النَّبِيَّ </w:t>
      </w:r>
      <w:r w:rsidR="005E465D" w:rsidRPr="005E465D">
        <w:rPr>
          <w:rStyle w:val="libAlaemChar"/>
          <w:rFonts w:eastAsiaTheme="minorHAnsi"/>
          <w:rtl/>
        </w:rPr>
        <w:t>صلى‌الله‌عليه‌وآله</w:t>
      </w:r>
      <w:r w:rsidR="00FF26C7">
        <w:rPr>
          <w:rtl/>
          <w:lang w:bidi="fa-IR"/>
        </w:rPr>
        <w:t xml:space="preserve"> </w:t>
      </w:r>
      <w:r>
        <w:rPr>
          <w:rtl/>
          <w:lang w:bidi="fa-IR"/>
        </w:rPr>
        <w:t xml:space="preserve">قَالَ : إِنَّ أَصْحَابَ الْأَرَاكِ </w:t>
      </w:r>
      <w:r w:rsidRPr="00D10E3C">
        <w:rPr>
          <w:rStyle w:val="libFootnotenumChar"/>
          <w:rtl/>
        </w:rPr>
        <w:t>(7)</w:t>
      </w:r>
      <w:r>
        <w:rPr>
          <w:rtl/>
          <w:lang w:bidi="fa-IR"/>
        </w:rPr>
        <w:t xml:space="preserve"> لَاحَجَّ لَهُمْ ، يَعْنِي الَّذِينَ يَقِفُونَ عِنْدَ </w:t>
      </w:r>
      <w:r w:rsidRPr="00D10E3C">
        <w:rPr>
          <w:rStyle w:val="libFootnotenumChar"/>
          <w:rtl/>
        </w:rPr>
        <w:t>(8)</w:t>
      </w:r>
      <w:r>
        <w:rPr>
          <w:rtl/>
          <w:lang w:bidi="fa-IR"/>
        </w:rPr>
        <w:t xml:space="preserve"> الْأَرَاكِ ». </w:t>
      </w:r>
      <w:r w:rsidRPr="00D10E3C">
        <w:rPr>
          <w:rStyle w:val="libFootnotenumChar"/>
          <w:rtl/>
        </w:rPr>
        <w:t>(9)</w:t>
      </w:r>
    </w:p>
    <w:p w:rsidR="00144FA6" w:rsidRDefault="00744A1C" w:rsidP="00744A1C">
      <w:pPr>
        <w:pStyle w:val="libNormal"/>
        <w:rPr>
          <w:rtl/>
          <w:lang w:bidi="fa-IR"/>
        </w:rPr>
      </w:pPr>
      <w:r>
        <w:rPr>
          <w:rtl/>
          <w:lang w:bidi="fa-IR"/>
        </w:rPr>
        <w:t>7743 / 3. عَلِيُّ بْنُ إِبْرَاهِيمَ ، عَنْ أَبِيهِ ، عَنِ ابْنِ أَبِي عُمَيْرٍ ، عَنْ حَمَّادٍ ، عَنِ الْحَلَبِيِّ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 « صفح ».</w:t>
      </w:r>
    </w:p>
    <w:p w:rsidR="00744A1C" w:rsidRDefault="00E378DD" w:rsidP="00E378DD">
      <w:pPr>
        <w:pStyle w:val="libFootnote0"/>
        <w:rPr>
          <w:lang w:bidi="fa-IR"/>
        </w:rPr>
      </w:pPr>
      <w:r>
        <w:rPr>
          <w:rtl/>
          <w:lang w:bidi="fa-IR"/>
        </w:rPr>
        <w:t>(2).</w:t>
      </w:r>
      <w:r w:rsidR="00744A1C">
        <w:rPr>
          <w:rtl/>
          <w:lang w:bidi="fa-IR"/>
        </w:rPr>
        <w:t xml:space="preserve"> سَفْح الجبل : أسفله حيث يسفح فيه الماء ، أي ينصبّ ، وهو مضطجعه ، أو عُرْضه المضطجع. والعُرْض : الجانب من كلّ شي‌ء ، أو أصله ، أو الحضيض الأسفل. والحضيض : القرار من الأرض عند أسفل الجبل. وقال الفيّومي : « سفح الجبل مثل وجهه وزناً ومعنىً ». راجع : </w:t>
      </w:r>
      <w:r w:rsidR="00744A1C" w:rsidRPr="00E978C3">
        <w:rPr>
          <w:rStyle w:val="libFootnoteBoldChar"/>
          <w:rtl/>
        </w:rPr>
        <w:t>الصحاح</w:t>
      </w:r>
      <w:r w:rsidR="00744A1C">
        <w:rPr>
          <w:rtl/>
          <w:lang w:bidi="fa-IR"/>
        </w:rPr>
        <w:t xml:space="preserve"> ، ج 1 ، ص 375 ؛ </w:t>
      </w:r>
      <w:r w:rsidR="00744A1C" w:rsidRPr="00877682">
        <w:rPr>
          <w:rStyle w:val="libFootnoteBoldChar"/>
          <w:rtl/>
        </w:rPr>
        <w:t>لسان العرب</w:t>
      </w:r>
      <w:r w:rsidR="00744A1C">
        <w:rPr>
          <w:rtl/>
          <w:lang w:bidi="fa-IR"/>
        </w:rPr>
        <w:t xml:space="preserve"> ، ج 2 ، ص 485 ؛ </w:t>
      </w:r>
      <w:r w:rsidR="00744A1C" w:rsidRPr="00E978C3">
        <w:rPr>
          <w:rStyle w:val="libFootnoteBoldChar"/>
          <w:rtl/>
        </w:rPr>
        <w:t>المصباح المنير</w:t>
      </w:r>
      <w:r w:rsidR="00744A1C">
        <w:rPr>
          <w:rtl/>
          <w:lang w:bidi="fa-IR"/>
        </w:rPr>
        <w:t xml:space="preserve"> ، ص 278 ( سفح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13 ، ص 1026 ، ح 13662 ؛ </w:t>
      </w:r>
      <w:r w:rsidR="00744A1C" w:rsidRPr="00C24F9C">
        <w:rPr>
          <w:rStyle w:val="libFootnoteBoldChar"/>
          <w:rtl/>
        </w:rPr>
        <w:t>الوسائل</w:t>
      </w:r>
      <w:r w:rsidR="00744A1C">
        <w:rPr>
          <w:rtl/>
          <w:lang w:bidi="fa-IR"/>
        </w:rPr>
        <w:t xml:space="preserve"> ، ج 13 ، ص 534 ، ح 18388.</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ح 975 </w:t>
      </w:r>
      <w:r w:rsidR="00744A1C" w:rsidRPr="00C24F9C">
        <w:rPr>
          <w:rStyle w:val="libFootnoteBoldChar"/>
          <w:rtl/>
        </w:rPr>
        <w:t>والاستبصار</w:t>
      </w:r>
      <w:r w:rsidR="00744A1C">
        <w:rPr>
          <w:rtl/>
          <w:lang w:bidi="fa-IR"/>
        </w:rPr>
        <w:t xml:space="preserve"> والعلل. وفي المطبوع : « عن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ح 975 والعلل : « الهضبات ». والهضاب : جمع الهَضْبَة ، وهو الجبل المنبسط على وجه الأرض ، أو كلّ جبل خلق من صخرة واحدة ، أو كلّ صخرة راسية صُلْبة ضَخْمة ، أو هو الجبل الطويل</w:t>
      </w:r>
      <w:r w:rsidR="00FF26C7">
        <w:rPr>
          <w:rtl/>
          <w:lang w:bidi="fa-IR"/>
        </w:rPr>
        <w:t xml:space="preserve"> الممتنع المنفرد ، ولا تكون إل</w:t>
      </w:r>
      <w:r w:rsidR="00FF26C7">
        <w:rPr>
          <w:rFonts w:hint="cs"/>
          <w:rtl/>
          <w:lang w:bidi="fa-IR"/>
        </w:rPr>
        <w:t>ّ</w:t>
      </w:r>
      <w:r w:rsidR="00FF26C7">
        <w:rPr>
          <w:rtl/>
          <w:lang w:bidi="fa-IR"/>
        </w:rPr>
        <w:t>ا</w:t>
      </w:r>
      <w:r w:rsidR="00744A1C">
        <w:rPr>
          <w:rtl/>
          <w:lang w:bidi="fa-IR"/>
        </w:rPr>
        <w:t xml:space="preserve">في حُمْر الجبال. راجع : </w:t>
      </w:r>
      <w:r w:rsidR="00744A1C" w:rsidRPr="00E978C3">
        <w:rPr>
          <w:rStyle w:val="libFootnoteBoldChar"/>
          <w:rtl/>
        </w:rPr>
        <w:t>الصحاح</w:t>
      </w:r>
      <w:r w:rsidR="00744A1C">
        <w:rPr>
          <w:rtl/>
          <w:lang w:bidi="fa-IR"/>
        </w:rPr>
        <w:t xml:space="preserve"> ، ج 1 ، ص 238 ؛ </w:t>
      </w:r>
      <w:r w:rsidR="00744A1C" w:rsidRPr="00877682">
        <w:rPr>
          <w:rStyle w:val="libFootnoteBoldChar"/>
          <w:rtl/>
        </w:rPr>
        <w:t>لسان العرب</w:t>
      </w:r>
      <w:r w:rsidR="00744A1C">
        <w:rPr>
          <w:rtl/>
          <w:lang w:bidi="fa-IR"/>
        </w:rPr>
        <w:t xml:space="preserve"> ، ج 1 ، ص 784 ( هضب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التهذيب</w:t>
      </w:r>
      <w:r w:rsidR="00744A1C">
        <w:rPr>
          <w:rtl/>
          <w:lang w:bidi="fa-IR"/>
        </w:rPr>
        <w:t xml:space="preserve"> ، ح 975 : « والهضبات ».</w:t>
      </w:r>
    </w:p>
    <w:p w:rsidR="00744A1C" w:rsidRDefault="00E378DD" w:rsidP="00E378DD">
      <w:pPr>
        <w:pStyle w:val="libFootnote0"/>
        <w:rPr>
          <w:lang w:bidi="fa-IR"/>
        </w:rPr>
      </w:pPr>
      <w:r>
        <w:rPr>
          <w:rtl/>
          <w:lang w:bidi="fa-IR"/>
        </w:rPr>
        <w:t>(7).</w:t>
      </w:r>
      <w:r w:rsidR="00744A1C">
        <w:rPr>
          <w:rtl/>
          <w:lang w:bidi="fa-IR"/>
        </w:rPr>
        <w:t xml:space="preserve"> قال الفيّومي : « الأراك : موضع بعرفة من ناحية الشام ». وقال الفيروزآبادي : « الأراك ، كسحاب : ... موضع‌بعرفة قرب نمرة ». وقال العلاّمة المجلسي : « ولا خلاف في أنّ الأراك من حدود عرفة ، وليس بداخل فيها ». راجع : </w:t>
      </w:r>
      <w:r w:rsidR="00744A1C" w:rsidRPr="00E978C3">
        <w:rPr>
          <w:rStyle w:val="libFootnoteBoldChar"/>
          <w:rtl/>
        </w:rPr>
        <w:t>المصباح المنير</w:t>
      </w:r>
      <w:r w:rsidR="00744A1C">
        <w:rPr>
          <w:rtl/>
          <w:lang w:bidi="fa-IR"/>
        </w:rPr>
        <w:t xml:space="preserve"> ، ص 12 ؛ </w:t>
      </w:r>
      <w:r w:rsidR="00744A1C" w:rsidRPr="008A57EB">
        <w:rPr>
          <w:rStyle w:val="libFootnoteBoldChar"/>
          <w:rtl/>
        </w:rPr>
        <w:t>القاموس المحيط</w:t>
      </w:r>
      <w:r w:rsidR="00744A1C">
        <w:rPr>
          <w:rtl/>
          <w:lang w:bidi="fa-IR"/>
        </w:rPr>
        <w:t xml:space="preserve"> ، ج 2 ، ص 1234 ( أرك ).</w:t>
      </w:r>
    </w:p>
    <w:p w:rsidR="00744A1C" w:rsidRDefault="00E378DD" w:rsidP="00E378DD">
      <w:pPr>
        <w:pStyle w:val="libFootnote0"/>
        <w:rPr>
          <w:lang w:bidi="fa-IR"/>
        </w:rPr>
      </w:pPr>
      <w:r>
        <w:rPr>
          <w:rtl/>
          <w:lang w:bidi="fa-IR"/>
        </w:rPr>
        <w:t>(8).</w:t>
      </w:r>
      <w:r w:rsidR="00744A1C">
        <w:rPr>
          <w:rtl/>
          <w:lang w:bidi="fa-IR"/>
        </w:rPr>
        <w:t xml:space="preserve"> في « بخ » وحاشية « بح » و</w:t>
      </w:r>
      <w:r w:rsidR="00744A1C" w:rsidRPr="00C24F9C">
        <w:rPr>
          <w:rStyle w:val="libFootnoteBoldChar"/>
          <w:rtl/>
        </w:rPr>
        <w:t>الوافي</w:t>
      </w:r>
      <w:r w:rsidR="00744A1C">
        <w:rPr>
          <w:rtl/>
          <w:lang w:bidi="fa-IR"/>
        </w:rPr>
        <w:t xml:space="preserve">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ح 606 : « تحت ».</w:t>
      </w:r>
    </w:p>
    <w:p w:rsidR="00744A1C" w:rsidRDefault="00E378DD" w:rsidP="008D10E7">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287 ، ح 975 ؛ </w:t>
      </w:r>
      <w:r w:rsidR="00744A1C" w:rsidRPr="00C24F9C">
        <w:rPr>
          <w:rStyle w:val="libFootnoteBoldChar"/>
          <w:rtl/>
        </w:rPr>
        <w:t>والاستبصار</w:t>
      </w:r>
      <w:r w:rsidR="00744A1C">
        <w:rPr>
          <w:rtl/>
          <w:lang w:bidi="fa-IR"/>
        </w:rPr>
        <w:t xml:space="preserve"> ، ج 2 ، ص 302 ، ح 1078 ، معلّقاً عن الكليني. </w:t>
      </w:r>
      <w:r w:rsidR="00744A1C" w:rsidRPr="00C24F9C">
        <w:rPr>
          <w:rStyle w:val="libFootnoteBoldChar"/>
          <w:rtl/>
        </w:rPr>
        <w:t>التهذيب</w:t>
      </w:r>
      <w:r w:rsidR="00744A1C">
        <w:rPr>
          <w:rtl/>
          <w:lang w:bidi="fa-IR"/>
        </w:rPr>
        <w:t xml:space="preserve"> ، ج 5 ، ص 181 ، ح 606 ، بسنده عن أبي بصير. </w:t>
      </w:r>
      <w:r w:rsidR="00744A1C" w:rsidRPr="003A7143">
        <w:rPr>
          <w:rStyle w:val="libFootnoteBoldChar"/>
          <w:rtl/>
        </w:rPr>
        <w:t>علل الشرائع</w:t>
      </w:r>
      <w:r w:rsidR="00744A1C">
        <w:rPr>
          <w:rtl/>
          <w:lang w:bidi="fa-IR"/>
        </w:rPr>
        <w:t xml:space="preserve"> ، ص 455 ، ح 1 ، بسند آخر. </w:t>
      </w:r>
      <w:r w:rsidR="00744A1C" w:rsidRPr="00C24F9C">
        <w:rPr>
          <w:rStyle w:val="libFootnoteBoldChar"/>
          <w:rtl/>
        </w:rPr>
        <w:t>الفقيه</w:t>
      </w:r>
      <w:r w:rsidR="00744A1C">
        <w:rPr>
          <w:rtl/>
          <w:lang w:bidi="fa-IR"/>
        </w:rPr>
        <w:t xml:space="preserve"> ، ج 2 ، ص 465 ، ح 2981 ، مرسلاً عن النبيّ </w:t>
      </w:r>
      <w:r w:rsidR="005E465D" w:rsidRPr="005520F0">
        <w:rPr>
          <w:rStyle w:val="libFootnoteAlaemChar"/>
          <w:rFonts w:eastAsiaTheme="minorHAnsi"/>
          <w:rtl/>
        </w:rPr>
        <w:t>صلى‌الله‌عليه‌وآله</w:t>
      </w:r>
      <w:r w:rsidR="008D10E7">
        <w:rPr>
          <w:rtl/>
          <w:lang w:bidi="fa-IR"/>
        </w:rPr>
        <w:t xml:space="preserve"> </w:t>
      </w:r>
      <w:r w:rsidR="00744A1C">
        <w:rPr>
          <w:rtl/>
          <w:lang w:bidi="fa-IR"/>
        </w:rPr>
        <w:t xml:space="preserve">، من قوله : « إنّ أصحاب الأراك » </w:t>
      </w:r>
      <w:r w:rsidR="008D10E7">
        <w:rPr>
          <w:rFonts w:hint="cs"/>
          <w:rtl/>
          <w:lang w:bidi="fa-IR"/>
        </w:rPr>
        <w:t>.</w:t>
      </w:r>
      <w:r w:rsidR="00744A1C" w:rsidRPr="00C24F9C">
        <w:rPr>
          <w:rStyle w:val="libFootnoteBoldChar"/>
          <w:rtl/>
        </w:rPr>
        <w:t>الوافي</w:t>
      </w:r>
      <w:r w:rsidR="00744A1C">
        <w:rPr>
          <w:rtl/>
          <w:lang w:bidi="fa-IR"/>
        </w:rPr>
        <w:t xml:space="preserve"> ، ج 13 ، ص 1026 ، ح 13663 ؛ </w:t>
      </w:r>
      <w:r w:rsidR="00744A1C" w:rsidRPr="00C24F9C">
        <w:rPr>
          <w:rStyle w:val="libFootnoteBoldChar"/>
          <w:rtl/>
        </w:rPr>
        <w:t>الوسائل</w:t>
      </w:r>
      <w:r w:rsidR="00744A1C">
        <w:rPr>
          <w:rtl/>
          <w:lang w:bidi="fa-IR"/>
        </w:rPr>
        <w:t xml:space="preserve"> ، ج 13 ، ص 551 ، ح 18418.</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4D054E" w:rsidRPr="004D054E">
        <w:rPr>
          <w:rStyle w:val="libAlaemChar"/>
          <w:rtl/>
        </w:rPr>
        <w:t>صلى‌الله‌عليه‌وآله</w:t>
      </w:r>
      <w:r w:rsidR="00D10E3C">
        <w:rPr>
          <w:rtl/>
          <w:lang w:bidi="fa-IR"/>
        </w:rPr>
        <w:t xml:space="preserve"> </w:t>
      </w:r>
      <w:r>
        <w:rPr>
          <w:rtl/>
          <w:lang w:bidi="fa-IR"/>
        </w:rPr>
        <w:t xml:space="preserve">فِي الْمَوْقِفِ : ارْتَفِعُوا عَنْ بَطْنِ عُرَنَةَ </w:t>
      </w:r>
      <w:r w:rsidRPr="00D10E3C">
        <w:rPr>
          <w:rStyle w:val="libFootnotenumChar"/>
          <w:rtl/>
        </w:rPr>
        <w:t>(1)</w:t>
      </w:r>
      <w:r>
        <w:rPr>
          <w:rtl/>
          <w:lang w:bidi="fa-IR"/>
        </w:rPr>
        <w:t xml:space="preserve"> ، وَقَالَ </w:t>
      </w:r>
      <w:r w:rsidRPr="00D10E3C">
        <w:rPr>
          <w:rStyle w:val="libFootnotenumChar"/>
          <w:rtl/>
        </w:rPr>
        <w:t>(2)</w:t>
      </w:r>
      <w:r>
        <w:rPr>
          <w:rtl/>
          <w:lang w:bidi="fa-IR"/>
        </w:rPr>
        <w:t xml:space="preserve"> : أَصْحَابُ الْأَرَاكِ لَاحَجَّ لَهُمْ ». </w:t>
      </w:r>
      <w:r w:rsidRPr="00D10E3C">
        <w:rPr>
          <w:rStyle w:val="libFootnotenumChar"/>
          <w:rtl/>
        </w:rPr>
        <w:t>(3)</w:t>
      </w:r>
    </w:p>
    <w:p w:rsidR="008D10E7" w:rsidRDefault="00744A1C" w:rsidP="008D10E7">
      <w:pPr>
        <w:pStyle w:val="libNormal"/>
        <w:rPr>
          <w:rtl/>
          <w:lang w:bidi="fa-IR"/>
        </w:rPr>
      </w:pPr>
      <w:r>
        <w:rPr>
          <w:rtl/>
          <w:lang w:bidi="fa-IR"/>
        </w:rPr>
        <w:t xml:space="preserve">7744 / 4. عَلِيُّ بْنُ إِبْرَاهِيمَ </w:t>
      </w:r>
      <w:r w:rsidRPr="00D10E3C">
        <w:rPr>
          <w:rStyle w:val="libFootnotenumChar"/>
          <w:rtl/>
        </w:rPr>
        <w:t>(4)</w:t>
      </w:r>
      <w:r>
        <w:rPr>
          <w:rtl/>
          <w:lang w:bidi="fa-IR"/>
        </w:rPr>
        <w:t xml:space="preserve"> ، عَنْ أَبِيهِ ؛</w:t>
      </w:r>
    </w:p>
    <w:p w:rsidR="00144FA6" w:rsidRDefault="008D10E7" w:rsidP="008D10E7">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(5)</w:t>
      </w:r>
      <w:r w:rsidR="00744A1C">
        <w:rPr>
          <w:rtl/>
          <w:lang w:bidi="fa-IR"/>
        </w:rPr>
        <w:t xml:space="preserve"> مُحَمَّدُ بْنُ إِسْمَاعِيلَ ، عَنِ الْفَضْلِ بْنِ شَاذَانَ ، عَنِ ابْنِ أَبِي عُمَيْرٍ وَصَفْوَانَ بْنِ يَحْيى </w:t>
      </w:r>
      <w:r w:rsidR="00744A1C" w:rsidRPr="00D10E3C">
        <w:rPr>
          <w:rStyle w:val="libFootnotenumChar"/>
          <w:rtl/>
        </w:rPr>
        <w:t>(6)</w:t>
      </w:r>
      <w:r w:rsidR="00744A1C">
        <w:rPr>
          <w:rtl/>
          <w:lang w:bidi="fa-IR"/>
        </w:rPr>
        <w:t xml:space="preserve">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قِفْ فِي مَيْسَرَةِ الْجَبَلِ </w:t>
      </w:r>
      <w:r w:rsidRPr="00D10E3C">
        <w:rPr>
          <w:rStyle w:val="libFootnotenumChar"/>
          <w:rtl/>
        </w:rPr>
        <w:t>(7)</w:t>
      </w:r>
      <w:r>
        <w:rPr>
          <w:rtl/>
          <w:lang w:bidi="fa-IR"/>
        </w:rPr>
        <w:t xml:space="preserve"> ؛ فَإِنَّ رَسُولَ اللهِ </w:t>
      </w:r>
      <w:r w:rsidR="00AE01C7" w:rsidRPr="00AE01C7">
        <w:rPr>
          <w:rStyle w:val="libFootnoteAlaemChar"/>
          <w:rtl/>
        </w:rPr>
        <w:t>صلى‌الله‌عليه‌وآله</w:t>
      </w:r>
      <w:r w:rsidR="00D10E3C">
        <w:rPr>
          <w:rtl/>
          <w:lang w:bidi="fa-IR"/>
        </w:rPr>
        <w:t xml:space="preserve"> </w:t>
      </w:r>
      <w:r>
        <w:rPr>
          <w:rtl/>
          <w:lang w:bidi="fa-IR"/>
        </w:rPr>
        <w:t xml:space="preserve">وَقَفَ بِعَرَفَاتٍ فِي مَيْسَرَةِ الْجَبَلِ ، فَلَمَّا وَقَفَ ، جَعَلَ النَّاسُ يَبْتَدِرُونَ أَخْفَافَ نَاقَتِهِ ، فَيَقِفُونَ إِلى جَانِبِهِ ، فَنَحَّاهَا ، فَفَعَلُوا مِثْلَ ذلِكَ ، فَقَالَ : أَيُّهَا النَّاسُ ، إِنَّهُ لَيْسَ مَوْضِعُ أَخْفَافِ نَاقَتِي الْمَوْقِفَ </w:t>
      </w:r>
      <w:r w:rsidRPr="00D10E3C">
        <w:rPr>
          <w:rStyle w:val="libFootnotenumChar"/>
          <w:rtl/>
        </w:rPr>
        <w:t>(8)</w:t>
      </w:r>
      <w:r>
        <w:rPr>
          <w:rtl/>
          <w:lang w:bidi="fa-IR"/>
        </w:rPr>
        <w:t xml:space="preserve"> ، وَلكِنْ هذَا </w:t>
      </w:r>
      <w:r w:rsidRPr="00D10E3C">
        <w:rPr>
          <w:rStyle w:val="libFootnotenumChar"/>
          <w:rtl/>
        </w:rPr>
        <w:t>(9)</w:t>
      </w:r>
      <w:r>
        <w:rPr>
          <w:rtl/>
          <w:lang w:bidi="fa-IR"/>
        </w:rPr>
        <w:t xml:space="preserve"> كُلُّهُ مَوْقِفٌ </w:t>
      </w:r>
      <w:r w:rsidRPr="00D10E3C">
        <w:rPr>
          <w:rStyle w:val="libFootnotenumChar"/>
          <w:rtl/>
        </w:rPr>
        <w:t>(10)</w:t>
      </w:r>
      <w:r>
        <w:rPr>
          <w:rtl/>
          <w:lang w:bidi="fa-IR"/>
        </w:rPr>
        <w:t xml:space="preserve"> ، وَأَشَارَ بِيَدِهِ إِلَى الْمَوْقِفِ </w:t>
      </w:r>
      <w:r w:rsidRPr="00D10E3C">
        <w:rPr>
          <w:rStyle w:val="libFootnotenumChar"/>
          <w:rtl/>
        </w:rPr>
        <w:t>(11)</w:t>
      </w:r>
      <w:r>
        <w:rPr>
          <w:rtl/>
          <w:lang w:bidi="fa-IR"/>
        </w:rPr>
        <w:t xml:space="preserve"> ، وَفَعَلَ مِثْلَ‌ ذلِكَ فِي الْمُزْدَلِفَةِ ، فَإِذَا رَأَيْتَ خَلَلاً </w:t>
      </w:r>
      <w:r w:rsidRPr="00D10E3C">
        <w:rPr>
          <w:rStyle w:val="libFootnotenumChar"/>
          <w:rtl/>
        </w:rPr>
        <w:t>(12)</w:t>
      </w:r>
      <w:r>
        <w:rPr>
          <w:rtl/>
          <w:lang w:bidi="fa-IR"/>
        </w:rPr>
        <w:t xml:space="preserve"> ، فَسُدَّهُ بِنَفْسِكَ وَرَاحِلَتِكَ ؛ فَإِنَّ اللهَ - عَزَّ وَجَلَّ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عرنة » ، وزان رطبة ، وفي لغة بضمّتين ، قال ابن الأثير : « موضع عند الموقف بعرفات ». وقال الفيّومي : « موضع بين منى وعرفات ». وقال ابن منظور : « بطن عرنة : واد بحذاء عرفات ». راجع : </w:t>
      </w:r>
      <w:r w:rsidR="00744A1C" w:rsidRPr="00877682">
        <w:rPr>
          <w:rStyle w:val="libFootnoteBoldChar"/>
          <w:rtl/>
        </w:rPr>
        <w:t>النهاية</w:t>
      </w:r>
      <w:r w:rsidR="00744A1C">
        <w:rPr>
          <w:rtl/>
          <w:lang w:bidi="fa-IR"/>
        </w:rPr>
        <w:t xml:space="preserve"> ، ج 3 ، ص 223 ؛ </w:t>
      </w:r>
      <w:r w:rsidR="00744A1C" w:rsidRPr="00877682">
        <w:rPr>
          <w:rStyle w:val="libFootnoteBoldChar"/>
          <w:rtl/>
        </w:rPr>
        <w:t>لسان العرب</w:t>
      </w:r>
      <w:r w:rsidR="00744A1C">
        <w:rPr>
          <w:rtl/>
          <w:lang w:bidi="fa-IR"/>
        </w:rPr>
        <w:t xml:space="preserve"> ، ج 13 ، ص 284 ؛ </w:t>
      </w:r>
      <w:r w:rsidR="00744A1C" w:rsidRPr="00E978C3">
        <w:rPr>
          <w:rStyle w:val="libFootnoteBoldChar"/>
          <w:rtl/>
        </w:rPr>
        <w:t>المصباح المنير</w:t>
      </w:r>
      <w:r w:rsidR="00744A1C">
        <w:rPr>
          <w:rtl/>
          <w:lang w:bidi="fa-IR"/>
        </w:rPr>
        <w:t xml:space="preserve"> ، ص 406 ( عرن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 « إنّ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287 ، ح 976 ؛ </w:t>
      </w:r>
      <w:r w:rsidR="00744A1C" w:rsidRPr="00C24F9C">
        <w:rPr>
          <w:rStyle w:val="libFootnoteBoldChar"/>
          <w:rtl/>
        </w:rPr>
        <w:t>والاستبصار</w:t>
      </w:r>
      <w:r w:rsidR="00744A1C">
        <w:rPr>
          <w:rtl/>
          <w:lang w:bidi="fa-IR"/>
        </w:rPr>
        <w:t xml:space="preserve"> ، ج 2 ، ص 302 ، ح 1079 ، معلّقاً عن الكليني </w:t>
      </w:r>
      <w:r w:rsidR="008D10E7">
        <w:rPr>
          <w:rFonts w:hint="cs"/>
          <w:rtl/>
          <w:lang w:bidi="fa-IR"/>
        </w:rPr>
        <w:t>.</w:t>
      </w:r>
      <w:r w:rsidR="00744A1C" w:rsidRPr="00C24F9C">
        <w:rPr>
          <w:rStyle w:val="libFootnoteBoldChar"/>
          <w:rtl/>
        </w:rPr>
        <w:t>الوافي</w:t>
      </w:r>
      <w:r w:rsidR="00744A1C">
        <w:rPr>
          <w:rtl/>
          <w:lang w:bidi="fa-IR"/>
        </w:rPr>
        <w:t xml:space="preserve"> ، ج 13 ، ص 1026 ، ح 13664 ؛ </w:t>
      </w:r>
      <w:r w:rsidR="00744A1C" w:rsidRPr="00C24F9C">
        <w:rPr>
          <w:rStyle w:val="libFootnoteBoldChar"/>
          <w:rtl/>
        </w:rPr>
        <w:t>الوسائل</w:t>
      </w:r>
      <w:r w:rsidR="00744A1C">
        <w:rPr>
          <w:rtl/>
          <w:lang w:bidi="fa-IR"/>
        </w:rPr>
        <w:t xml:space="preserve"> ، ج 13 ، ص 551 ، ح 18417.</w:t>
      </w:r>
    </w:p>
    <w:p w:rsidR="00744A1C" w:rsidRDefault="00E378DD" w:rsidP="00E378DD">
      <w:pPr>
        <w:pStyle w:val="libFootnote0"/>
        <w:rPr>
          <w:lang w:bidi="fa-IR"/>
        </w:rPr>
      </w:pPr>
      <w:r>
        <w:rPr>
          <w:rtl/>
          <w:lang w:bidi="fa-IR"/>
        </w:rPr>
        <w:t>(4).</w:t>
      </w:r>
      <w:r w:rsidR="00744A1C">
        <w:rPr>
          <w:rtl/>
          <w:lang w:bidi="fa-IR"/>
        </w:rPr>
        <w:t xml:space="preserve"> في « بخ ، جر » و</w:t>
      </w:r>
      <w:r w:rsidR="00744A1C" w:rsidRPr="00C24F9C">
        <w:rPr>
          <w:rStyle w:val="libFootnoteBoldChar"/>
          <w:rtl/>
        </w:rPr>
        <w:t>الوسائل</w:t>
      </w:r>
      <w:r w:rsidR="00744A1C">
        <w:rPr>
          <w:rtl/>
          <w:lang w:bidi="fa-IR"/>
        </w:rPr>
        <w:t xml:space="preserve"> : - « بن إبراهيم ».</w:t>
      </w:r>
    </w:p>
    <w:p w:rsidR="00744A1C" w:rsidRDefault="00E378DD" w:rsidP="00E378DD">
      <w:pPr>
        <w:pStyle w:val="libFootnote0"/>
        <w:rPr>
          <w:lang w:bidi="fa-IR"/>
        </w:rPr>
      </w:pPr>
      <w:r>
        <w:rPr>
          <w:rtl/>
          <w:lang w:bidi="fa-IR"/>
        </w:rPr>
        <w:t>(5).</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(6).</w:t>
      </w:r>
      <w:r w:rsidR="00744A1C">
        <w:rPr>
          <w:rtl/>
          <w:lang w:bidi="fa-IR"/>
        </w:rPr>
        <w:t xml:space="preserve"> في « بف ، جر » : - « بن يحيى ».</w:t>
      </w:r>
    </w:p>
    <w:p w:rsidR="00744A1C" w:rsidRDefault="00E378DD" w:rsidP="00E378DD">
      <w:pPr>
        <w:pStyle w:val="libFootnote0"/>
        <w:rPr>
          <w:lang w:bidi="fa-IR"/>
        </w:rPr>
      </w:pPr>
      <w:r>
        <w:rPr>
          <w:rtl/>
          <w:lang w:bidi="fa-IR"/>
        </w:rPr>
        <w:t>(7).</w:t>
      </w:r>
      <w:r w:rsidR="00744A1C">
        <w:rPr>
          <w:rtl/>
          <w:lang w:bidi="fa-IR"/>
        </w:rPr>
        <w:t xml:space="preserve"> في </w:t>
      </w:r>
      <w:r w:rsidR="00744A1C" w:rsidRPr="00877682">
        <w:rPr>
          <w:rStyle w:val="libFootnoteBoldChar"/>
          <w:rtl/>
        </w:rPr>
        <w:t>مرآة العقول</w:t>
      </w:r>
      <w:r w:rsidR="00744A1C">
        <w:rPr>
          <w:rtl/>
          <w:lang w:bidi="fa-IR"/>
        </w:rPr>
        <w:t xml:space="preserve"> ، ج 18 ، ص 121 : « يدلّ على استحباب الوقوف في ميسرة الجبل ، والمراد به ميسرته‌بالإضافة إلى القادم من مكّة ، كما ذكره الأصحاب ».</w:t>
      </w:r>
    </w:p>
    <w:tbl>
      <w:tblPr>
        <w:tblStyle w:val="TableGrid"/>
        <w:bidiVisual/>
        <w:tblW w:w="0" w:type="auto"/>
        <w:tblLook w:val="04A0" w:firstRow="1" w:lastRow="0" w:firstColumn="1" w:lastColumn="0" w:noHBand="0" w:noVBand="1"/>
      </w:tblPr>
      <w:tblGrid>
        <w:gridCol w:w="4006"/>
        <w:gridCol w:w="4006"/>
      </w:tblGrid>
      <w:tr w:rsidR="008D10E7" w:rsidTr="008D10E7">
        <w:tc>
          <w:tcPr>
            <w:tcW w:w="4006" w:type="dxa"/>
          </w:tcPr>
          <w:p w:rsidR="008D10E7" w:rsidRDefault="008D10E7" w:rsidP="00E378DD">
            <w:pPr>
              <w:pStyle w:val="libFootnote0"/>
              <w:rPr>
                <w:rtl/>
                <w:lang w:bidi="fa-IR"/>
              </w:rPr>
            </w:pPr>
            <w:r>
              <w:rPr>
                <w:rtl/>
                <w:lang w:bidi="fa-IR"/>
              </w:rPr>
              <w:t>(8). في « بف » و</w:t>
            </w:r>
            <w:r w:rsidRPr="00C24F9C">
              <w:rPr>
                <w:rStyle w:val="libFootnoteBoldChar"/>
                <w:rtl/>
              </w:rPr>
              <w:t>الفقيه</w:t>
            </w:r>
            <w:r>
              <w:rPr>
                <w:rtl/>
                <w:lang w:bidi="fa-IR"/>
              </w:rPr>
              <w:t xml:space="preserve"> : « بالموقف ».</w:t>
            </w:r>
          </w:p>
        </w:tc>
        <w:tc>
          <w:tcPr>
            <w:tcW w:w="4006" w:type="dxa"/>
          </w:tcPr>
          <w:p w:rsidR="008D10E7" w:rsidRDefault="008D10E7" w:rsidP="00E378DD">
            <w:pPr>
              <w:pStyle w:val="libFootnote0"/>
              <w:rPr>
                <w:rtl/>
                <w:lang w:bidi="fa-IR"/>
              </w:rPr>
            </w:pPr>
            <w:r>
              <w:rPr>
                <w:rtl/>
                <w:lang w:bidi="fa-IR"/>
              </w:rPr>
              <w:t>(9). في « بث ، جن » : « هنا ».</w:t>
            </w:r>
          </w:p>
        </w:tc>
      </w:tr>
    </w:tbl>
    <w:p w:rsidR="00744A1C" w:rsidRDefault="00E378DD" w:rsidP="00E378DD">
      <w:pPr>
        <w:pStyle w:val="libFootnote0"/>
        <w:rPr>
          <w:lang w:bidi="fa-IR"/>
        </w:rPr>
      </w:pPr>
      <w:r>
        <w:rPr>
          <w:rtl/>
          <w:lang w:bidi="fa-IR"/>
        </w:rPr>
        <w:t>(10).</w:t>
      </w:r>
      <w:r w:rsidR="00744A1C">
        <w:rPr>
          <w:rtl/>
          <w:lang w:bidi="fa-IR"/>
        </w:rPr>
        <w:t xml:space="preserve"> في « ى » : « الموقف ».</w:t>
      </w:r>
    </w:p>
    <w:p w:rsidR="00744A1C" w:rsidRDefault="00E378DD" w:rsidP="00E378DD">
      <w:pPr>
        <w:pStyle w:val="libFootnote0"/>
        <w:rPr>
          <w:lang w:bidi="fa-IR"/>
        </w:rPr>
      </w:pPr>
      <w:r>
        <w:rPr>
          <w:rtl/>
          <w:lang w:bidi="fa-IR"/>
        </w:rPr>
        <w:t>(11).</w:t>
      </w:r>
      <w:r w:rsidR="00744A1C">
        <w:rPr>
          <w:rtl/>
          <w:lang w:bidi="fa-IR"/>
        </w:rPr>
        <w:t xml:space="preserve"> في « بث ، بح ، بس ، بف ، جد » : - « وأشار بيده إلى الموقف ». وفي « ى » و</w:t>
      </w:r>
      <w:r w:rsidR="00744A1C" w:rsidRPr="00C24F9C">
        <w:rPr>
          <w:rStyle w:val="libFootnoteBoldChar"/>
          <w:rtl/>
        </w:rPr>
        <w:t>الوسائل</w:t>
      </w:r>
      <w:r w:rsidR="00744A1C">
        <w:rPr>
          <w:rtl/>
          <w:lang w:bidi="fa-IR"/>
        </w:rPr>
        <w:t xml:space="preserve"> ، ح 18387 : + « وقال : هذا كلّه الموقف ». وفي « جن » : + « وقال : هنا كلّه موقف ».</w:t>
      </w:r>
    </w:p>
    <w:p w:rsidR="00744A1C" w:rsidRDefault="00E378DD" w:rsidP="00E378DD">
      <w:pPr>
        <w:pStyle w:val="libFootnote0"/>
        <w:rPr>
          <w:lang w:bidi="fa-IR"/>
        </w:rPr>
      </w:pPr>
      <w:r>
        <w:rPr>
          <w:rtl/>
          <w:lang w:bidi="fa-IR"/>
        </w:rPr>
        <w:t>(12).</w:t>
      </w:r>
      <w:r w:rsidR="00744A1C">
        <w:rPr>
          <w:rtl/>
          <w:lang w:bidi="fa-IR"/>
        </w:rPr>
        <w:t xml:space="preserve"> في « بح ، بف » : + « فتقدّم ».</w:t>
      </w:r>
    </w:p>
    <w:p w:rsidR="00A55A65" w:rsidRDefault="00A55A65" w:rsidP="00D10E3C">
      <w:pPr>
        <w:pStyle w:val="libNormal"/>
        <w:rPr>
          <w:rtl/>
          <w:lang w:bidi="fa-IR"/>
        </w:rPr>
      </w:pPr>
      <w:r>
        <w:rPr>
          <w:rtl/>
          <w:lang w:bidi="fa-IR"/>
        </w:rPr>
        <w:br w:type="page"/>
      </w:r>
    </w:p>
    <w:p w:rsidR="00744A1C" w:rsidRDefault="00744A1C" w:rsidP="005520F0">
      <w:pPr>
        <w:pStyle w:val="libNormal0"/>
        <w:rPr>
          <w:lang w:bidi="fa-IR"/>
        </w:rPr>
      </w:pPr>
      <w:r>
        <w:rPr>
          <w:rtl/>
          <w:lang w:bidi="fa-IR"/>
        </w:rPr>
        <w:lastRenderedPageBreak/>
        <w:t xml:space="preserve">يُحِبُّ أَنْ تُسَدَّ تِلْكَ الْخِلَالُ ، وَانْتَقِلْ عَنِ الْهِضَابِ </w:t>
      </w:r>
      <w:r w:rsidRPr="00D10E3C">
        <w:rPr>
          <w:rStyle w:val="libFootnotenumChar"/>
          <w:rtl/>
        </w:rPr>
        <w:t>(1)</w:t>
      </w:r>
      <w:r>
        <w:rPr>
          <w:rtl/>
          <w:lang w:bidi="fa-IR"/>
        </w:rPr>
        <w:t xml:space="preserve"> ، وَاتَّقِ الْأَرَاكَ ، فَإِذَا وَقَفْتَ بِعَرَفَاتٍ ، فَاحْمَدِ اللهَ ، وَهَلِّلْهُ ، وَمَجِّدْهُ ، وَأَثْنِ عَلَيْهِ ، وَكَبِّرْهُ مِائَةَ تَكْبِيرَةٍ </w:t>
      </w:r>
      <w:r w:rsidRPr="00D10E3C">
        <w:rPr>
          <w:rStyle w:val="libFootnotenumChar"/>
          <w:rtl/>
        </w:rPr>
        <w:t>(2)</w:t>
      </w:r>
      <w:r>
        <w:rPr>
          <w:rtl/>
          <w:lang w:bidi="fa-IR"/>
        </w:rPr>
        <w:t xml:space="preserve"> ، وَاقْرَأْ </w:t>
      </w:r>
      <w:r w:rsidR="008D10E7" w:rsidRPr="008D10E7">
        <w:rPr>
          <w:rStyle w:val="libAlaemChar"/>
          <w:rFonts w:hint="cs"/>
          <w:rtl/>
        </w:rPr>
        <w:t>(</w:t>
      </w:r>
      <w:r w:rsidRPr="008D10E7">
        <w:rPr>
          <w:rStyle w:val="libAieChar"/>
          <w:rtl/>
        </w:rPr>
        <w:t xml:space="preserve"> قُلْ هُوَ اللهُ أَحَدٌ </w:t>
      </w:r>
      <w:r w:rsidR="008D10E7" w:rsidRPr="008D10E7">
        <w:rPr>
          <w:rStyle w:val="libAlaemChar"/>
          <w:rFonts w:hint="cs"/>
          <w:rtl/>
        </w:rPr>
        <w:t>)</w:t>
      </w:r>
      <w:r>
        <w:rPr>
          <w:rtl/>
          <w:lang w:bidi="fa-IR"/>
        </w:rPr>
        <w:t xml:space="preserve"> مِائَةَ مَرَّةٍ ، وَتَخَيَّرْ </w:t>
      </w:r>
      <w:r w:rsidRPr="00D10E3C">
        <w:rPr>
          <w:rStyle w:val="libFootnotenumChar"/>
          <w:rtl/>
        </w:rPr>
        <w:t>(3)</w:t>
      </w:r>
      <w:r>
        <w:rPr>
          <w:rtl/>
          <w:lang w:bidi="fa-IR"/>
        </w:rPr>
        <w:t xml:space="preserve"> لِنَفْسِكَ مِنَ الدُّعَاءِ مَا أَحْبَبْتَ ، وَاجْتَهِدْ ؛ فَإِنَّهُ يَوْمُ دُعَاءٍ وَمَسْأَلَةٍ ، وَتَعَوَّذْ بِاللهِ مِنَ الشَّيْطَانِ </w:t>
      </w:r>
      <w:r w:rsidRPr="00D10E3C">
        <w:rPr>
          <w:rStyle w:val="libFootnotenumChar"/>
          <w:rtl/>
        </w:rPr>
        <w:t>(4)</w:t>
      </w:r>
      <w:r>
        <w:rPr>
          <w:rtl/>
          <w:lang w:bidi="fa-IR"/>
        </w:rPr>
        <w:t xml:space="preserve"> ؛ فَإِنَّ الشَّيْطَانَ لَنْ يُذْهِلَكَ فِي مَوْضِعٍ </w:t>
      </w:r>
      <w:r w:rsidRPr="00D10E3C">
        <w:rPr>
          <w:rStyle w:val="libFootnotenumChar"/>
          <w:rtl/>
        </w:rPr>
        <w:t>(5)</w:t>
      </w:r>
      <w:r>
        <w:rPr>
          <w:rtl/>
          <w:lang w:bidi="fa-IR"/>
        </w:rPr>
        <w:t xml:space="preserve"> أَحَبَّ إِلَيْهِ مِنْ أَنْ يُذْهِلَكَ فِي ذلِكَ الْمَوْضِعِ </w:t>
      </w:r>
      <w:r w:rsidRPr="00D10E3C">
        <w:rPr>
          <w:rStyle w:val="libFootnotenumChar"/>
          <w:rtl/>
        </w:rPr>
        <w:t>(6)</w:t>
      </w:r>
      <w:r>
        <w:rPr>
          <w:rtl/>
          <w:lang w:bidi="fa-IR"/>
        </w:rPr>
        <w:t xml:space="preserve"> ، وَإِيَّاكَ أَنْ تَشْتَغِلَ بِالنَّظَرِ إِلَى النَّاسِ ، وَأَقْبِلْ قِبَلَ نَفْسِكَ ، وَلْيَكُنْ فِيمَا تَقُولُ : الل</w:t>
      </w:r>
      <w:r w:rsidR="008D10E7">
        <w:rPr>
          <w:rFonts w:hint="cs"/>
          <w:rtl/>
          <w:lang w:bidi="fa-IR"/>
        </w:rPr>
        <w:t>ّ</w:t>
      </w:r>
      <w:r>
        <w:rPr>
          <w:rtl/>
          <w:lang w:bidi="fa-IR"/>
        </w:rPr>
        <w:t xml:space="preserve">هُمَّ </w:t>
      </w:r>
      <w:r w:rsidRPr="00D10E3C">
        <w:rPr>
          <w:rStyle w:val="libFootnotenumChar"/>
          <w:rtl/>
        </w:rPr>
        <w:t>(7)</w:t>
      </w:r>
      <w:r>
        <w:rPr>
          <w:rtl/>
          <w:lang w:bidi="fa-IR"/>
        </w:rPr>
        <w:t xml:space="preserve"> رَبَّ الْمَشَاعِرِ كُلِّهَا ، فُكَّ رَقَبَتِي مِنَ النَّارِ ، وَأَوْسِعْ عَلَيَّ مِنَ الرِّزْقِ </w:t>
      </w:r>
      <w:r w:rsidRPr="00D10E3C">
        <w:rPr>
          <w:rStyle w:val="libFootnotenumChar"/>
          <w:rtl/>
        </w:rPr>
        <w:t>(8)</w:t>
      </w:r>
      <w:r>
        <w:rPr>
          <w:rtl/>
          <w:lang w:bidi="fa-IR"/>
        </w:rPr>
        <w:t xml:space="preserve"> الْحَلَالِ </w:t>
      </w:r>
      <w:r w:rsidRPr="00D10E3C">
        <w:rPr>
          <w:rStyle w:val="libFootnotenumChar"/>
          <w:rtl/>
        </w:rPr>
        <w:t>(9)</w:t>
      </w:r>
      <w:r>
        <w:rPr>
          <w:rtl/>
          <w:lang w:bidi="fa-IR"/>
        </w:rPr>
        <w:t xml:space="preserve"> ، وَادْرَأْ عَنِّي شَرَّ فَسَقَةِ الْجِنِّ وَالْإِنْسِ ؛ الل</w:t>
      </w:r>
      <w:r w:rsidR="00F03FA9">
        <w:rPr>
          <w:rFonts w:hint="cs"/>
          <w:rtl/>
          <w:lang w:bidi="fa-IR"/>
        </w:rPr>
        <w:t>ّ</w:t>
      </w:r>
      <w:r>
        <w:rPr>
          <w:rtl/>
          <w:lang w:bidi="fa-IR"/>
        </w:rPr>
        <w:t xml:space="preserve">هُمَّ لَاتَمْكُرْ بِي </w:t>
      </w:r>
      <w:r w:rsidRPr="00D10E3C">
        <w:rPr>
          <w:rStyle w:val="libFootnotenumChar"/>
          <w:rtl/>
        </w:rPr>
        <w:t>(10)</w:t>
      </w:r>
      <w:r>
        <w:rPr>
          <w:rtl/>
          <w:lang w:bidi="fa-IR"/>
        </w:rPr>
        <w:t xml:space="preserve"> ، وَلَا تَخْدَعْنِي ، وَلَاتَسْتَدْرِجْنِي </w:t>
      </w:r>
      <w:r w:rsidRPr="00D10E3C">
        <w:rPr>
          <w:rStyle w:val="libFootnotenumChar"/>
          <w:rtl/>
        </w:rPr>
        <w:t>(11)</w:t>
      </w:r>
      <w:r>
        <w:rPr>
          <w:rtl/>
          <w:lang w:bidi="fa-IR"/>
        </w:rPr>
        <w:t xml:space="preserve"> ، يَا أَسْمَعَ السَّامِعِينَ ، وَيَا أَبْصَرَ النَّاظِرِينَ ، وَيَا أَسْرَعَ الْحَاسِبِينَ ، وَيَا أَرْحَمَ الرَّاحِمِينَ ، أَسْأَلُكَ أَنْ تُصَلِّيَ عَلى مُحَمَّدٍ وَآلِ </w:t>
      </w:r>
      <w:r w:rsidRPr="00D10E3C">
        <w:rPr>
          <w:rStyle w:val="libFootnotenumChar"/>
          <w:rtl/>
        </w:rPr>
        <w:t>(12)</w:t>
      </w:r>
      <w:r>
        <w:rPr>
          <w:rtl/>
          <w:lang w:bidi="fa-IR"/>
        </w:rPr>
        <w:t xml:space="preserve"> مُحَمَّدٍ ، وَأَنْ تَفْعَلَ بِي كَذَا وَكَذَا.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وانتقل عن الهضاب ، أي لا ترفع الجبال ، والمشهور الكراهة ، ونقل عن ابن البرّاج وابن‌إدريس أن</w:t>
      </w:r>
      <w:r w:rsidR="00F03FA9">
        <w:rPr>
          <w:rtl/>
          <w:lang w:bidi="fa-IR"/>
        </w:rPr>
        <w:t>ّهما حرّما الوقوف على الجبل إل</w:t>
      </w:r>
      <w:r w:rsidR="00F03FA9">
        <w:rPr>
          <w:rFonts w:hint="cs"/>
          <w:rtl/>
          <w:lang w:bidi="fa-IR"/>
        </w:rPr>
        <w:t>ّ</w:t>
      </w:r>
      <w:r w:rsidR="00F03FA9">
        <w:rPr>
          <w:rtl/>
          <w:lang w:bidi="fa-IR"/>
        </w:rPr>
        <w:t>ا</w:t>
      </w:r>
      <w:r w:rsidR="00F03FA9">
        <w:rPr>
          <w:rFonts w:hint="cs"/>
          <w:rtl/>
          <w:lang w:bidi="fa-IR"/>
        </w:rPr>
        <w:t xml:space="preserve"> </w:t>
      </w:r>
      <w:r w:rsidR="00744A1C">
        <w:rPr>
          <w:rtl/>
          <w:lang w:bidi="fa-IR"/>
        </w:rPr>
        <w:t>لضرورة ، ومع الضرورة كالزحام وشبهه ينتفي الكراهة والتحريم إجماعاً ».</w:t>
      </w:r>
    </w:p>
    <w:p w:rsidR="00744A1C" w:rsidRDefault="00E378DD" w:rsidP="00E378DD">
      <w:pPr>
        <w:pStyle w:val="libFootnote0"/>
        <w:rPr>
          <w:lang w:bidi="fa-IR"/>
        </w:rPr>
      </w:pPr>
      <w:r>
        <w:rPr>
          <w:rtl/>
          <w:lang w:bidi="fa-IR"/>
        </w:rPr>
        <w:t>(2).</w:t>
      </w:r>
      <w:r w:rsidR="00744A1C">
        <w:rPr>
          <w:rtl/>
          <w:lang w:bidi="fa-IR"/>
        </w:rPr>
        <w:t xml:space="preserve"> في « بخ ، بف » </w:t>
      </w:r>
      <w:r w:rsidR="00744A1C" w:rsidRPr="0061079A">
        <w:rPr>
          <w:rStyle w:val="libFootnoteBoldChar"/>
          <w:rtl/>
        </w:rPr>
        <w:t>والتهذيب</w:t>
      </w:r>
      <w:r w:rsidR="00744A1C">
        <w:rPr>
          <w:rtl/>
          <w:lang w:bidi="fa-IR"/>
        </w:rPr>
        <w:t xml:space="preserve"> ، ص 182 : « مرّة ». وفي </w:t>
      </w:r>
      <w:r w:rsidR="00744A1C" w:rsidRPr="00C24F9C">
        <w:rPr>
          <w:rStyle w:val="libFootnoteBoldChar"/>
          <w:rtl/>
        </w:rPr>
        <w:t>التهذيب</w:t>
      </w:r>
      <w:r w:rsidR="00744A1C">
        <w:rPr>
          <w:rtl/>
          <w:lang w:bidi="fa-IR"/>
        </w:rPr>
        <w:t xml:space="preserve"> ، ص 182 : + « وأحمده مرّة ، وسبّحه مائة مرّة ».</w:t>
      </w:r>
    </w:p>
    <w:tbl>
      <w:tblPr>
        <w:tblStyle w:val="TableGrid"/>
        <w:bidiVisual/>
        <w:tblW w:w="0" w:type="auto"/>
        <w:tblLook w:val="04A0" w:firstRow="1" w:lastRow="0" w:firstColumn="1" w:lastColumn="0" w:noHBand="0" w:noVBand="1"/>
      </w:tblPr>
      <w:tblGrid>
        <w:gridCol w:w="4006"/>
        <w:gridCol w:w="4006"/>
      </w:tblGrid>
      <w:tr w:rsidR="00EA37B2" w:rsidTr="00EA37B2">
        <w:tc>
          <w:tcPr>
            <w:tcW w:w="4006" w:type="dxa"/>
          </w:tcPr>
          <w:p w:rsidR="00EA37B2" w:rsidRDefault="00EA37B2" w:rsidP="00E378DD">
            <w:pPr>
              <w:pStyle w:val="libFootnote0"/>
              <w:rPr>
                <w:rtl/>
                <w:lang w:bidi="fa-IR"/>
              </w:rPr>
            </w:pPr>
            <w:r>
              <w:rPr>
                <w:rtl/>
                <w:lang w:bidi="fa-IR"/>
              </w:rPr>
              <w:t>(3). في « بث ، جن » : « وتختر ».</w:t>
            </w:r>
          </w:p>
        </w:tc>
        <w:tc>
          <w:tcPr>
            <w:tcW w:w="4006" w:type="dxa"/>
          </w:tcPr>
          <w:p w:rsidR="00EA37B2" w:rsidRDefault="00EA37B2" w:rsidP="00E378DD">
            <w:pPr>
              <w:pStyle w:val="libFootnote0"/>
              <w:rPr>
                <w:rtl/>
                <w:lang w:bidi="fa-IR"/>
              </w:rPr>
            </w:pPr>
            <w:r>
              <w:rPr>
                <w:rtl/>
                <w:lang w:bidi="fa-IR"/>
              </w:rPr>
              <w:t xml:space="preserve">(4). في </w:t>
            </w:r>
            <w:r w:rsidRPr="00C24F9C">
              <w:rPr>
                <w:rStyle w:val="libFootnoteBoldChar"/>
                <w:rtl/>
              </w:rPr>
              <w:t>الوافي</w:t>
            </w:r>
            <w:r>
              <w:rPr>
                <w:rtl/>
                <w:lang w:bidi="fa-IR"/>
              </w:rPr>
              <w:t xml:space="preserve"> : + « الرجيم ».</w:t>
            </w:r>
          </w:p>
        </w:tc>
      </w:tr>
      <w:tr w:rsidR="00EA37B2" w:rsidTr="00EA37B2">
        <w:tc>
          <w:tcPr>
            <w:tcW w:w="4006" w:type="dxa"/>
          </w:tcPr>
          <w:p w:rsidR="00EA37B2" w:rsidRDefault="00EA37B2" w:rsidP="00E378DD">
            <w:pPr>
              <w:pStyle w:val="libFootnote0"/>
              <w:rPr>
                <w:rtl/>
                <w:lang w:bidi="fa-IR"/>
              </w:rPr>
            </w:pPr>
            <w:r>
              <w:rPr>
                <w:rtl/>
                <w:lang w:bidi="fa-IR"/>
              </w:rPr>
              <w:t xml:space="preserve">(5). في </w:t>
            </w:r>
            <w:r w:rsidRPr="00C24F9C">
              <w:rPr>
                <w:rStyle w:val="libFootnoteBoldChar"/>
                <w:rtl/>
              </w:rPr>
              <w:t>الوافي</w:t>
            </w:r>
            <w:r>
              <w:rPr>
                <w:rtl/>
                <w:lang w:bidi="fa-IR"/>
              </w:rPr>
              <w:t xml:space="preserve"> : « موطن قطّ ».</w:t>
            </w:r>
          </w:p>
        </w:tc>
        <w:tc>
          <w:tcPr>
            <w:tcW w:w="4006" w:type="dxa"/>
          </w:tcPr>
          <w:p w:rsidR="00EA37B2" w:rsidRDefault="00EA37B2" w:rsidP="00E378DD">
            <w:pPr>
              <w:pStyle w:val="libFootnote0"/>
              <w:rPr>
                <w:rtl/>
                <w:lang w:bidi="fa-IR"/>
              </w:rPr>
            </w:pPr>
            <w:r>
              <w:rPr>
                <w:rtl/>
                <w:lang w:bidi="fa-IR"/>
              </w:rPr>
              <w:t>(6). في « بخ ، بف » و</w:t>
            </w:r>
            <w:r w:rsidRPr="00C24F9C">
              <w:rPr>
                <w:rStyle w:val="libFootnoteBoldChar"/>
                <w:rtl/>
              </w:rPr>
              <w:t>الوافي</w:t>
            </w:r>
            <w:r>
              <w:rPr>
                <w:rtl/>
                <w:lang w:bidi="fa-IR"/>
              </w:rPr>
              <w:t xml:space="preserve"> : « الموطن ».</w:t>
            </w:r>
          </w:p>
        </w:tc>
      </w:tr>
    </w:tbl>
    <w:p w:rsidR="00744A1C" w:rsidRDefault="00E378DD" w:rsidP="00C97C9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ص 182 : + « إنّي عبدك ، فلا تجعلني من أخيب وفدك ، وارحم مسيري اليك من الفجّ العميق ، وليكن فيما تقول الل</w:t>
      </w:r>
      <w:r w:rsidR="00C97C9D">
        <w:rPr>
          <w:rFonts w:hint="cs"/>
          <w:rtl/>
          <w:lang w:bidi="fa-IR"/>
        </w:rPr>
        <w:t>ّ</w:t>
      </w:r>
      <w:r w:rsidR="00744A1C">
        <w:rPr>
          <w:rtl/>
          <w:lang w:bidi="fa-IR"/>
        </w:rPr>
        <w:t>همّ ».</w:t>
      </w:r>
      <w:r w:rsidR="005520F0">
        <w:rPr>
          <w:rFonts w:hint="cs"/>
          <w:rtl/>
          <w:lang w:bidi="fa-IR"/>
        </w:rPr>
        <w:t xml:space="preserve">                 </w:t>
      </w:r>
      <w:r w:rsidR="00C97C9D">
        <w:rPr>
          <w:rFonts w:hint="cs"/>
          <w:rtl/>
          <w:lang w:bidi="fa-IR"/>
        </w:rPr>
        <w:t xml:space="preserve">              </w:t>
      </w: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رزقك ».</w:t>
      </w:r>
    </w:p>
    <w:tbl>
      <w:tblPr>
        <w:tblStyle w:val="TableGrid"/>
        <w:bidiVisual/>
        <w:tblW w:w="0" w:type="auto"/>
        <w:tblLook w:val="04A0" w:firstRow="1" w:lastRow="0" w:firstColumn="1" w:lastColumn="0" w:noHBand="0" w:noVBand="1"/>
      </w:tblPr>
      <w:tblGrid>
        <w:gridCol w:w="4006"/>
        <w:gridCol w:w="4006"/>
      </w:tblGrid>
      <w:tr w:rsidR="00C97C9D" w:rsidTr="00C97C9D">
        <w:tc>
          <w:tcPr>
            <w:tcW w:w="4006" w:type="dxa"/>
          </w:tcPr>
          <w:p w:rsidR="00C97C9D" w:rsidRDefault="00C97C9D" w:rsidP="00E378DD">
            <w:pPr>
              <w:pStyle w:val="libFootnote0"/>
              <w:rPr>
                <w:rtl/>
                <w:lang w:bidi="fa-IR"/>
              </w:rPr>
            </w:pPr>
            <w:r>
              <w:rPr>
                <w:rtl/>
                <w:lang w:bidi="fa-IR"/>
              </w:rPr>
              <w:t>(9). في « جن » : - « الحلال ».</w:t>
            </w:r>
          </w:p>
        </w:tc>
        <w:tc>
          <w:tcPr>
            <w:tcW w:w="4006" w:type="dxa"/>
          </w:tcPr>
          <w:p w:rsidR="00C97C9D" w:rsidRDefault="00C97C9D" w:rsidP="00E378DD">
            <w:pPr>
              <w:pStyle w:val="libFootnote0"/>
              <w:rPr>
                <w:rtl/>
                <w:lang w:bidi="fa-IR"/>
              </w:rPr>
            </w:pPr>
            <w:r>
              <w:rPr>
                <w:rtl/>
                <w:lang w:bidi="fa-IR"/>
              </w:rPr>
              <w:t>(10). في « جد » : « لا تمكرني ».</w:t>
            </w:r>
          </w:p>
        </w:tc>
      </w:tr>
    </w:tbl>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التهذيب</w:t>
      </w:r>
      <w:r w:rsidR="00744A1C">
        <w:rPr>
          <w:rtl/>
          <w:lang w:bidi="fa-IR"/>
        </w:rPr>
        <w:t xml:space="preserve"> ، ص 182 : + « وتقول : الل</w:t>
      </w:r>
      <w:r w:rsidR="00C97C9D">
        <w:rPr>
          <w:rFonts w:hint="cs"/>
          <w:rtl/>
          <w:lang w:bidi="fa-IR"/>
        </w:rPr>
        <w:t>ّ</w:t>
      </w:r>
      <w:r w:rsidR="00744A1C">
        <w:rPr>
          <w:rtl/>
          <w:lang w:bidi="fa-IR"/>
        </w:rPr>
        <w:t xml:space="preserve">همّ إنّي أسألك بحولك وجودك وكرمك ومنّك وفضلك ». والاستدراج : الأخذ قليلاً قليلاً ودرجةً درجةً ، واستدراج الله تعالى العبد : أخذه من حيث لا يحتسب ، وذلك أنّ الله تعالى يفتح عليه من النعيم ما يغتبط به ، فيركن إليه ويأنس به ، فلا يذكر الموت ، فيأخذه على غِرَّته أغفل ما كان. أو أخذه قليلاً قليلاً من غير المباغتة والمفاجعة ، أو أنّه كلّما جدّد خطيئة جدّد له نعمة وأنساه الاستغفار. راجع : </w:t>
      </w:r>
      <w:r w:rsidR="00744A1C" w:rsidRPr="00877682">
        <w:rPr>
          <w:rStyle w:val="libFootnoteBoldChar"/>
          <w:rtl/>
        </w:rPr>
        <w:t>لسان العرب</w:t>
      </w:r>
      <w:r w:rsidR="00744A1C">
        <w:rPr>
          <w:rtl/>
          <w:lang w:bidi="fa-IR"/>
        </w:rPr>
        <w:t xml:space="preserve"> ، ج 2 ، ص 268 ؛ </w:t>
      </w:r>
      <w:r w:rsidR="00744A1C" w:rsidRPr="00E978C3">
        <w:rPr>
          <w:rStyle w:val="libFootnoteBoldChar"/>
          <w:rtl/>
        </w:rPr>
        <w:t>المصباح المنير</w:t>
      </w:r>
      <w:r w:rsidR="00744A1C">
        <w:rPr>
          <w:rtl/>
          <w:lang w:bidi="fa-IR"/>
        </w:rPr>
        <w:t xml:space="preserve"> ، ص 191 ؛ </w:t>
      </w:r>
      <w:r w:rsidR="00744A1C" w:rsidRPr="008A57EB">
        <w:rPr>
          <w:rStyle w:val="libFootnoteBoldChar"/>
          <w:rtl/>
        </w:rPr>
        <w:t>القاموس المحيط</w:t>
      </w:r>
      <w:r w:rsidR="00744A1C">
        <w:rPr>
          <w:rtl/>
          <w:lang w:bidi="fa-IR"/>
        </w:rPr>
        <w:t xml:space="preserve"> ، ج 1 ، ص 294 ( درج ).</w:t>
      </w:r>
    </w:p>
    <w:p w:rsidR="00744A1C" w:rsidRDefault="00E378DD" w:rsidP="00E378DD">
      <w:pPr>
        <w:pStyle w:val="libFootnote0"/>
        <w:rPr>
          <w:lang w:bidi="fa-IR"/>
        </w:rPr>
      </w:pPr>
      <w:r>
        <w:rPr>
          <w:rtl/>
          <w:lang w:bidi="fa-IR"/>
        </w:rPr>
        <w:t>(12).</w:t>
      </w:r>
      <w:r w:rsidR="00744A1C">
        <w:rPr>
          <w:rtl/>
          <w:lang w:bidi="fa-IR"/>
        </w:rPr>
        <w:t xml:space="preserve"> في « جد ، جن » : « وعلى آل ».</w:t>
      </w:r>
    </w:p>
    <w:p w:rsidR="00A55A65" w:rsidRDefault="00A55A65" w:rsidP="00D10E3C">
      <w:pPr>
        <w:pStyle w:val="libNormal"/>
        <w:rPr>
          <w:rtl/>
          <w:lang w:bidi="fa-IR"/>
        </w:rPr>
      </w:pPr>
      <w:r>
        <w:rPr>
          <w:rtl/>
          <w:lang w:bidi="fa-IR"/>
        </w:rPr>
        <w:br w:type="page"/>
      </w:r>
    </w:p>
    <w:p w:rsidR="00744A1C" w:rsidRDefault="00744A1C" w:rsidP="00C97C9D">
      <w:pPr>
        <w:pStyle w:val="libNormal"/>
        <w:rPr>
          <w:lang w:bidi="fa-IR"/>
        </w:rPr>
      </w:pPr>
      <w:r>
        <w:rPr>
          <w:rtl/>
          <w:lang w:bidi="fa-IR"/>
        </w:rPr>
        <w:lastRenderedPageBreak/>
        <w:t xml:space="preserve">وَلْيَكُنْ فِيمَا تَقُولُ وَأَنْتَ رَافِعٌ يَدَيْكَ </w:t>
      </w:r>
      <w:r w:rsidRPr="00D10E3C">
        <w:rPr>
          <w:rStyle w:val="libFootnotenumChar"/>
          <w:rtl/>
        </w:rPr>
        <w:t>(1)</w:t>
      </w:r>
      <w:r>
        <w:rPr>
          <w:rtl/>
          <w:lang w:bidi="fa-IR"/>
        </w:rPr>
        <w:t xml:space="preserve"> إِلَى السَّمَاءِ : الل</w:t>
      </w:r>
      <w:r w:rsidR="00C97C9D">
        <w:rPr>
          <w:rFonts w:hint="cs"/>
          <w:rtl/>
          <w:lang w:bidi="fa-IR"/>
        </w:rPr>
        <w:t>ّ</w:t>
      </w:r>
      <w:r>
        <w:rPr>
          <w:rtl/>
          <w:lang w:bidi="fa-IR"/>
        </w:rPr>
        <w:t xml:space="preserve">هُمَّ حَاجَتِيَ </w:t>
      </w:r>
      <w:r w:rsidRPr="00D10E3C">
        <w:rPr>
          <w:rStyle w:val="libFootnotenumChar"/>
          <w:rtl/>
        </w:rPr>
        <w:t>(2)</w:t>
      </w:r>
      <w:r>
        <w:rPr>
          <w:rtl/>
          <w:lang w:bidi="fa-IR"/>
        </w:rPr>
        <w:t xml:space="preserve"> الَّتِي إِنْ أَعْطَيْتَنِيهَا </w:t>
      </w:r>
      <w:r w:rsidRPr="00D10E3C">
        <w:rPr>
          <w:rStyle w:val="libFootnotenumChar"/>
          <w:rtl/>
        </w:rPr>
        <w:t>(3)</w:t>
      </w:r>
      <w:r>
        <w:rPr>
          <w:rtl/>
          <w:lang w:bidi="fa-IR"/>
        </w:rPr>
        <w:t xml:space="preserve"> لَمْ يَضُرَّنِي مَا مَنَعْتَنِي </w:t>
      </w:r>
      <w:r w:rsidRPr="00D10E3C">
        <w:rPr>
          <w:rStyle w:val="libFootnotenumChar"/>
          <w:rtl/>
        </w:rPr>
        <w:t>(4)</w:t>
      </w:r>
      <w:r>
        <w:rPr>
          <w:rtl/>
          <w:lang w:bidi="fa-IR"/>
        </w:rPr>
        <w:t xml:space="preserve"> ، وَإِنْ مَنَعْتَنِيهَا لَمْ يَنْفَعْنِي مَا أَعْطَيْتَنِي ، أَسْأَلُكَ خَلَاصَ رَقَبَتِي مِنَ النَّارِ ؛ الل</w:t>
      </w:r>
      <w:r w:rsidR="00C97C9D">
        <w:rPr>
          <w:rFonts w:hint="cs"/>
          <w:rtl/>
          <w:lang w:bidi="fa-IR"/>
        </w:rPr>
        <w:t>ّ</w:t>
      </w:r>
      <w:r>
        <w:rPr>
          <w:rtl/>
          <w:lang w:bidi="fa-IR"/>
        </w:rPr>
        <w:t xml:space="preserve">هُمَّ إِنِّي عَبْدُكَ وَمِلْكُ يَدِكَ ، وَنَاصِيَتِي بِيَدِكَ </w:t>
      </w:r>
      <w:r w:rsidRPr="00D10E3C">
        <w:rPr>
          <w:rStyle w:val="libFootnotenumChar"/>
          <w:rtl/>
        </w:rPr>
        <w:t>(5)</w:t>
      </w:r>
      <w:r>
        <w:rPr>
          <w:rtl/>
          <w:lang w:bidi="fa-IR"/>
        </w:rPr>
        <w:t xml:space="preserve"> ، وَأَجَلِي بِعِلْمِكَ ، أَسْأَلُكَ أَنْ تُوَفِّقَنِي لِمَا يُرْضِيكَ عَنِّي ، وَأَنْ تُسَلِّمَ مِنِّي مَنَاسِكِيَ الَّتِي أَرَيْتَهَا إِبْرَاهِيمَ خَلِيلَكَ </w:t>
      </w:r>
      <w:r w:rsidRPr="00D10E3C">
        <w:rPr>
          <w:rStyle w:val="libFootnotenumChar"/>
          <w:rtl/>
        </w:rPr>
        <w:t>(6)</w:t>
      </w:r>
      <w:r>
        <w:rPr>
          <w:rtl/>
          <w:lang w:bidi="fa-IR"/>
        </w:rPr>
        <w:t xml:space="preserve"> ، وَدَلَلْتَ عَلَيْهَا حَبِيبَكَ </w:t>
      </w:r>
      <w:r w:rsidRPr="00D10E3C">
        <w:rPr>
          <w:rStyle w:val="libFootnotenumChar"/>
          <w:rtl/>
        </w:rPr>
        <w:t>(7)</w:t>
      </w:r>
      <w:r>
        <w:rPr>
          <w:rtl/>
          <w:lang w:bidi="fa-IR"/>
        </w:rPr>
        <w:t xml:space="preserve"> مُحَمَّداً </w:t>
      </w:r>
      <w:r w:rsidR="005E465D" w:rsidRPr="005E465D">
        <w:rPr>
          <w:rStyle w:val="libAlaemChar"/>
          <w:rFonts w:eastAsiaTheme="minorHAnsi"/>
          <w:rtl/>
        </w:rPr>
        <w:t>صلى‌الله‌عليه‌وآله</w:t>
      </w:r>
      <w:r>
        <w:rPr>
          <w:rtl/>
          <w:lang w:bidi="fa-IR"/>
        </w:rPr>
        <w:t>.</w:t>
      </w:r>
    </w:p>
    <w:p w:rsidR="00144FA6" w:rsidRDefault="00744A1C" w:rsidP="00744A1C">
      <w:pPr>
        <w:pStyle w:val="libNormal"/>
        <w:rPr>
          <w:rtl/>
          <w:lang w:bidi="fa-IR"/>
        </w:rPr>
      </w:pPr>
      <w:r>
        <w:rPr>
          <w:rtl/>
          <w:lang w:bidi="fa-IR"/>
        </w:rPr>
        <w:t>وَلْيَكُنْ فِيمَا تَقُولُ : الل</w:t>
      </w:r>
      <w:r w:rsidR="00F57E45">
        <w:rPr>
          <w:rFonts w:hint="cs"/>
          <w:rtl/>
          <w:lang w:bidi="fa-IR"/>
        </w:rPr>
        <w:t>ّ</w:t>
      </w:r>
      <w:r>
        <w:rPr>
          <w:rtl/>
          <w:lang w:bidi="fa-IR"/>
        </w:rPr>
        <w:t xml:space="preserve">هُمَّ اجْعَلْنِي مِمَّنْ رَضِيتَ عَمَلَهُ ، وَأَطَلْتَ عُمُرَهُ ، وَأَحْيَيْتَهُ بَعْدَ الْمَوْتِ حَيَاةً طَيِّبَةً ». </w:t>
      </w:r>
      <w:r w:rsidRPr="00D10E3C">
        <w:rPr>
          <w:rStyle w:val="libFootnotenumChar"/>
          <w:rtl/>
        </w:rPr>
        <w:t>(8)</w:t>
      </w:r>
    </w:p>
    <w:p w:rsidR="00144FA6" w:rsidRDefault="00744A1C" w:rsidP="00744A1C">
      <w:pPr>
        <w:pStyle w:val="libNormal"/>
        <w:rPr>
          <w:rtl/>
          <w:lang w:bidi="fa-IR"/>
        </w:rPr>
      </w:pPr>
      <w:r>
        <w:rPr>
          <w:rtl/>
          <w:lang w:bidi="fa-IR"/>
        </w:rPr>
        <w:t>7745 / 5. عِدَّةٌ مِنْ أَصْحَابِنَا ، عَنْ أَحْمَدَ بْنِ مُحَمَّدٍ ، عَنِ الْحُسَيْنِ بْنِ سَعِيدٍ ، عَنْ حَمَّادِ بْنِ عِيسى ، عَنْ عَبْدِ اللهِ بْنِ مَيْمُونٍ ، قَالَ :</w:t>
      </w:r>
    </w:p>
    <w:p w:rsidR="00744A1C" w:rsidRDefault="00744A1C" w:rsidP="00F57E45">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إِنَّ رَسُولَ اللهِ </w:t>
      </w:r>
      <w:r w:rsidR="005E465D" w:rsidRPr="005E465D">
        <w:rPr>
          <w:rStyle w:val="libAlaemChar"/>
          <w:rFonts w:eastAsiaTheme="minorHAnsi"/>
          <w:rtl/>
        </w:rPr>
        <w:t>صلى‌الله‌عليه‌وآله</w:t>
      </w:r>
      <w:r w:rsidR="00F57E45">
        <w:rPr>
          <w:rtl/>
          <w:lang w:bidi="fa-IR"/>
        </w:rPr>
        <w:t xml:space="preserve"> </w:t>
      </w:r>
      <w:r>
        <w:rPr>
          <w:rtl/>
          <w:lang w:bidi="fa-IR"/>
        </w:rPr>
        <w:t>وَقَفَ بِعَرَفَاتٍ ، فَلَمَّا هَمَّتِ‌</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ص 182 : « رأسك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 إليك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الل</w:t>
      </w:r>
      <w:r w:rsidR="00F57E45">
        <w:rPr>
          <w:rFonts w:hint="cs"/>
          <w:rtl/>
          <w:lang w:bidi="fa-IR"/>
        </w:rPr>
        <w:t>ّ</w:t>
      </w:r>
      <w:r w:rsidR="00744A1C">
        <w:rPr>
          <w:rtl/>
          <w:lang w:bidi="fa-IR"/>
        </w:rPr>
        <w:t>همّ حاجتي ، أي أسألك حاجتي. ويحتمل أن يكون « التي » خبراً ، وعلى التقديرين جملة « أسألك » بيان لتلك الجملة. ويحتمل على بعد أن يكون « حاجتي » معمول « أسألك » ، وقوله : « خلاص » خبر مبتدأ محذوف ».</w:t>
      </w:r>
    </w:p>
    <w:p w:rsidR="00744A1C" w:rsidRDefault="00E378DD" w:rsidP="00E378DD">
      <w:pPr>
        <w:pStyle w:val="libFootnote0"/>
        <w:rPr>
          <w:lang w:bidi="fa-IR"/>
        </w:rPr>
      </w:pPr>
      <w:r>
        <w:rPr>
          <w:rtl/>
          <w:lang w:bidi="fa-IR"/>
        </w:rPr>
        <w:t>(3).</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وفي المطبوع : « أعطيتها ».</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وفي المطبوع : « متّعتني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 وملك ناصيتي بيدك ».</w:t>
      </w:r>
    </w:p>
    <w:p w:rsidR="00744A1C" w:rsidRDefault="00E378DD" w:rsidP="00E378DD">
      <w:pPr>
        <w:pStyle w:val="libFootnote0"/>
        <w:rPr>
          <w:lang w:bidi="fa-IR"/>
        </w:rPr>
      </w:pPr>
      <w:r>
        <w:rPr>
          <w:rtl/>
          <w:lang w:bidi="fa-IR"/>
        </w:rPr>
        <w:t>(6).</w:t>
      </w:r>
      <w:r w:rsidR="00744A1C">
        <w:rPr>
          <w:rtl/>
          <w:lang w:bidi="fa-IR"/>
        </w:rPr>
        <w:t xml:space="preserve"> في « بخ ، بف ، جد » و</w:t>
      </w:r>
      <w:r w:rsidR="00744A1C" w:rsidRPr="00C24F9C">
        <w:rPr>
          <w:rStyle w:val="libFootnoteBoldChar"/>
          <w:rtl/>
        </w:rPr>
        <w:t>الوافي</w:t>
      </w:r>
      <w:r w:rsidR="00744A1C">
        <w:rPr>
          <w:rtl/>
          <w:lang w:bidi="fa-IR"/>
        </w:rPr>
        <w:t xml:space="preserve"> : « خليلك إبراهيم ».</w:t>
      </w:r>
    </w:p>
    <w:p w:rsidR="00744A1C" w:rsidRDefault="00E378DD" w:rsidP="00E378DD">
      <w:pPr>
        <w:pStyle w:val="libFootnote0"/>
        <w:rPr>
          <w:lang w:bidi="fa-IR"/>
        </w:rPr>
      </w:pPr>
      <w:r>
        <w:rPr>
          <w:rtl/>
          <w:lang w:bidi="fa-IR"/>
        </w:rPr>
        <w:t>(7).</w:t>
      </w:r>
      <w:r w:rsidR="00744A1C">
        <w:rPr>
          <w:rtl/>
          <w:lang w:bidi="fa-IR"/>
        </w:rPr>
        <w:t xml:space="preserve"> في « بف » و</w:t>
      </w:r>
      <w:r w:rsidR="00744A1C" w:rsidRPr="00C24F9C">
        <w:rPr>
          <w:rStyle w:val="libFootnoteBoldChar"/>
          <w:rtl/>
        </w:rPr>
        <w:t>الوافي</w:t>
      </w:r>
      <w:r w:rsidR="00744A1C">
        <w:rPr>
          <w:rtl/>
          <w:lang w:bidi="fa-IR"/>
        </w:rPr>
        <w:t xml:space="preserve"> : « نبيّك ».</w:t>
      </w:r>
    </w:p>
    <w:p w:rsidR="00744A1C" w:rsidRDefault="00E378DD" w:rsidP="00694696">
      <w:pPr>
        <w:pStyle w:val="libFootnote0"/>
        <w:rPr>
          <w:lang w:bidi="fa-IR"/>
        </w:rPr>
      </w:pPr>
      <w:r>
        <w:rPr>
          <w:rtl/>
          <w:lang w:bidi="fa-IR"/>
        </w:rPr>
        <w:t>(8).</w:t>
      </w:r>
      <w:r w:rsidR="00744A1C">
        <w:rPr>
          <w:rtl/>
          <w:lang w:bidi="fa-IR"/>
        </w:rPr>
        <w:t xml:space="preserve"> </w:t>
      </w:r>
      <w:r w:rsidR="00744A1C" w:rsidRPr="0061079A">
        <w:rPr>
          <w:rStyle w:val="libFootnoteBoldChar"/>
          <w:rtl/>
        </w:rPr>
        <w:t>الكافي</w:t>
      </w:r>
      <w:r w:rsidR="00744A1C">
        <w:rPr>
          <w:rtl/>
          <w:lang w:bidi="fa-IR"/>
        </w:rPr>
        <w:t xml:space="preserve"> ، كتاب الحجّ ، باب حجّ النبيّ </w:t>
      </w:r>
      <w:r w:rsidR="005E465D" w:rsidRPr="005520F0">
        <w:rPr>
          <w:rStyle w:val="libFootnoteAlaemChar"/>
          <w:rFonts w:eastAsiaTheme="minorHAnsi"/>
          <w:rtl/>
        </w:rPr>
        <w:t>صلى‌الله‌عليه‌وآله</w:t>
      </w:r>
      <w:r w:rsidR="00694696">
        <w:rPr>
          <w:rtl/>
          <w:lang w:bidi="fa-IR"/>
        </w:rPr>
        <w:t xml:space="preserve"> </w:t>
      </w:r>
      <w:r w:rsidR="00744A1C">
        <w:rPr>
          <w:rtl/>
          <w:lang w:bidi="fa-IR"/>
        </w:rPr>
        <w:t xml:space="preserve">، ضمن ح 6852 ، إلى قوله : « وفعل مثل ذلك في المزدلفة » مع اختلاف يسير. </w:t>
      </w:r>
      <w:r w:rsidR="00744A1C" w:rsidRPr="00C24F9C">
        <w:rPr>
          <w:rStyle w:val="libFootnoteBoldChar"/>
          <w:rtl/>
        </w:rPr>
        <w:t>التهذيب</w:t>
      </w:r>
      <w:r w:rsidR="00744A1C">
        <w:rPr>
          <w:rtl/>
          <w:lang w:bidi="fa-IR"/>
        </w:rPr>
        <w:t xml:space="preserve"> ، ج 5 ، ص 182 ، ح 611 ، بسنده عن إبراهيم ، عن معاوية بن عمّار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من قوله : « فإذا وقفت بعرفات فاحمدالله ». وفيه ، ص 180 ، ح 604 ، بسند آخر ، مع اختلاف يسير وزيادة في أوّله وآخره. </w:t>
      </w:r>
      <w:r w:rsidR="00744A1C" w:rsidRPr="00C24F9C">
        <w:rPr>
          <w:rStyle w:val="libFootnoteBoldChar"/>
          <w:rtl/>
        </w:rPr>
        <w:t>الفقيه</w:t>
      </w:r>
      <w:r w:rsidR="00744A1C">
        <w:rPr>
          <w:rtl/>
          <w:lang w:bidi="fa-IR"/>
        </w:rPr>
        <w:t xml:space="preserve"> ، ج 2 ، ص 464 ، ح 2980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وفيهما إلى قوله : « انتقل عن الهضاب واتّق الأراك » </w:t>
      </w:r>
      <w:r w:rsidR="00E95202">
        <w:rPr>
          <w:rFonts w:hint="cs"/>
          <w:rtl/>
          <w:lang w:bidi="fa-IR"/>
        </w:rPr>
        <w:t>.</w:t>
      </w:r>
      <w:r w:rsidR="00744A1C" w:rsidRPr="00C24F9C">
        <w:rPr>
          <w:rStyle w:val="libFootnoteBoldChar"/>
          <w:rtl/>
        </w:rPr>
        <w:t>الوافي</w:t>
      </w:r>
      <w:r w:rsidR="00744A1C">
        <w:rPr>
          <w:rtl/>
          <w:lang w:bidi="fa-IR"/>
        </w:rPr>
        <w:t xml:space="preserve"> ، ج 13 ، ص 1029 ، ح 13673 ؛ </w:t>
      </w:r>
      <w:r w:rsidR="00744A1C" w:rsidRPr="00C24F9C">
        <w:rPr>
          <w:rStyle w:val="libFootnoteBoldChar"/>
          <w:rtl/>
        </w:rPr>
        <w:t>الوسائل</w:t>
      </w:r>
      <w:r w:rsidR="00744A1C">
        <w:rPr>
          <w:rtl/>
          <w:lang w:bidi="fa-IR"/>
        </w:rPr>
        <w:t xml:space="preserve"> ، ج 13 ، ص 538 ، ذيل ح 18394 ؛ وفيه ، ص 534 ، ح 18387 ، إلى قوله : « فعل مثل ذلك في المزدلفة ».</w:t>
      </w:r>
    </w:p>
    <w:p w:rsidR="00A55A65" w:rsidRDefault="00A55A65" w:rsidP="00D10E3C">
      <w:pPr>
        <w:pStyle w:val="libNormal"/>
        <w:rPr>
          <w:rtl/>
          <w:lang w:bidi="fa-IR"/>
        </w:rPr>
      </w:pPr>
      <w:r>
        <w:rPr>
          <w:rtl/>
          <w:lang w:bidi="fa-IR"/>
        </w:rPr>
        <w:br w:type="page"/>
      </w:r>
    </w:p>
    <w:p w:rsidR="00744A1C" w:rsidRDefault="00744A1C" w:rsidP="005520F0">
      <w:pPr>
        <w:pStyle w:val="libNormal0"/>
        <w:rPr>
          <w:lang w:bidi="fa-IR"/>
        </w:rPr>
      </w:pPr>
      <w:r>
        <w:rPr>
          <w:rtl/>
          <w:lang w:bidi="fa-IR"/>
        </w:rPr>
        <w:lastRenderedPageBreak/>
        <w:t xml:space="preserve">الشَّمْسُ أَنْ تَغِيبَ قَبْلَ أَنْ تَنْدَفِعَ </w:t>
      </w:r>
      <w:r w:rsidRPr="00D10E3C">
        <w:rPr>
          <w:rStyle w:val="libFootnotenumChar"/>
          <w:rtl/>
        </w:rPr>
        <w:t>(1)</w:t>
      </w:r>
      <w:r>
        <w:rPr>
          <w:rtl/>
          <w:lang w:bidi="fa-IR"/>
        </w:rPr>
        <w:t xml:space="preserve"> ، قَالَ : الل</w:t>
      </w:r>
      <w:r w:rsidR="00E95202">
        <w:rPr>
          <w:rFonts w:hint="cs"/>
          <w:rtl/>
          <w:lang w:bidi="fa-IR"/>
        </w:rPr>
        <w:t>ّ</w:t>
      </w:r>
      <w:r>
        <w:rPr>
          <w:rtl/>
          <w:lang w:bidi="fa-IR"/>
        </w:rPr>
        <w:t xml:space="preserve">هُمَّ إِنِّي أَعُوذُ بِكَ </w:t>
      </w:r>
      <w:r w:rsidRPr="00D10E3C">
        <w:rPr>
          <w:rStyle w:val="libFootnotenumChar"/>
          <w:rtl/>
        </w:rPr>
        <w:t>(2)</w:t>
      </w:r>
      <w:r>
        <w:rPr>
          <w:rtl/>
          <w:lang w:bidi="fa-IR"/>
        </w:rPr>
        <w:t xml:space="preserve"> مِنَ الْفَقْرِ ، وَمِنْ </w:t>
      </w:r>
      <w:r w:rsidRPr="00D10E3C">
        <w:rPr>
          <w:rStyle w:val="libFootnotenumChar"/>
          <w:rtl/>
        </w:rPr>
        <w:t>(3)</w:t>
      </w:r>
      <w:r>
        <w:rPr>
          <w:rtl/>
          <w:lang w:bidi="fa-IR"/>
        </w:rPr>
        <w:t xml:space="preserve"> تَشَتُّتِ الْأَمْرِ </w:t>
      </w:r>
      <w:r w:rsidRPr="00D10E3C">
        <w:rPr>
          <w:rStyle w:val="libFootnotenumChar"/>
          <w:rtl/>
        </w:rPr>
        <w:t>(4)</w:t>
      </w:r>
      <w:r>
        <w:rPr>
          <w:rtl/>
          <w:lang w:bidi="fa-IR"/>
        </w:rPr>
        <w:t xml:space="preserve"> ، وَمِنْ شَرِّ مَا يَحْدُثُ بِاللَّيْلِ وَالنَّهَارِ ، أَمْسى ظُلْمِي مُسْتَجِيراً بِعَفْوِكَ ، وَأَمْسى‌ خَوْفِي مُسْتَجِيراً بِأَمَانِكَ </w:t>
      </w:r>
      <w:r w:rsidRPr="00D10E3C">
        <w:rPr>
          <w:rStyle w:val="libFootnotenumChar"/>
          <w:rtl/>
        </w:rPr>
        <w:t>(5)</w:t>
      </w:r>
      <w:r>
        <w:rPr>
          <w:rtl/>
          <w:lang w:bidi="fa-IR"/>
        </w:rPr>
        <w:t xml:space="preserve"> ، وَأَمْسى </w:t>
      </w:r>
      <w:r w:rsidRPr="00D10E3C">
        <w:rPr>
          <w:rStyle w:val="libFootnotenumChar"/>
          <w:rtl/>
        </w:rPr>
        <w:t>(6)</w:t>
      </w:r>
      <w:r>
        <w:rPr>
          <w:rtl/>
          <w:lang w:bidi="fa-IR"/>
        </w:rPr>
        <w:t xml:space="preserve"> ذُلِّي مُسْتَجِيراً بِعِزِّكَ ، وَأَمْسى وَجْهِيَ الْفَانِي مُسْتَجِيراً بِوَجْهِكَ الْبَاقِي ، يَا خَيْرَ مَنْ سُئِلَ ، وَيَا أَجْوَدَ مَنْ أَعْطى </w:t>
      </w:r>
      <w:r w:rsidRPr="00D10E3C">
        <w:rPr>
          <w:rStyle w:val="libFootnotenumChar"/>
          <w:rtl/>
        </w:rPr>
        <w:t>(7)</w:t>
      </w:r>
      <w:r>
        <w:rPr>
          <w:rtl/>
          <w:lang w:bidi="fa-IR"/>
        </w:rPr>
        <w:t xml:space="preserve"> ، جَلِّلْنِي بِرَحْمَتِكَ </w:t>
      </w:r>
      <w:r w:rsidRPr="00D10E3C">
        <w:rPr>
          <w:rStyle w:val="libFootnotenumChar"/>
          <w:rtl/>
        </w:rPr>
        <w:t>(8)</w:t>
      </w:r>
      <w:r>
        <w:rPr>
          <w:rtl/>
          <w:lang w:bidi="fa-IR"/>
        </w:rPr>
        <w:t xml:space="preserve"> ، وَأَلْبِسْنِي عَافِيَتَكَ ، وَاصْرِفْ عَنِّي شَرَّ جَمِيعِ </w:t>
      </w:r>
      <w:r w:rsidRPr="00D10E3C">
        <w:rPr>
          <w:rStyle w:val="libFootnotenumChar"/>
          <w:rtl/>
        </w:rPr>
        <w:t>(9)</w:t>
      </w:r>
      <w:r>
        <w:rPr>
          <w:rtl/>
          <w:lang w:bidi="fa-IR"/>
        </w:rPr>
        <w:t xml:space="preserve"> خَلْقِكَ ».</w:t>
      </w:r>
    </w:p>
    <w:p w:rsidR="00144FA6" w:rsidRDefault="00744A1C" w:rsidP="00744A1C">
      <w:pPr>
        <w:pStyle w:val="libNormal"/>
        <w:rPr>
          <w:rtl/>
          <w:lang w:bidi="fa-IR"/>
        </w:rPr>
      </w:pPr>
      <w:r>
        <w:rPr>
          <w:rtl/>
          <w:lang w:bidi="fa-IR"/>
        </w:rPr>
        <w:t xml:space="preserve">قَالَ عَبْدُ اللهِ بْنُ مَيْمُونٍ : وَسَمِعْتُ أَبِي </w:t>
      </w:r>
      <w:r w:rsidRPr="00D10E3C">
        <w:rPr>
          <w:rStyle w:val="libFootnotenumChar"/>
          <w:rtl/>
        </w:rPr>
        <w:t>(10)</w:t>
      </w:r>
      <w:r>
        <w:rPr>
          <w:rtl/>
          <w:lang w:bidi="fa-IR"/>
        </w:rPr>
        <w:t xml:space="preserve"> يَقُولُ : يَا خَيْرَ مَنْ سُئِلَ ، وَيَا أَوْسَعَ مَنْ أَعْطى ، وَيَا أَرْحَمَ مَنِ اسْتُرْحِمَ ، ثُمَّ سَلْ </w:t>
      </w:r>
      <w:r w:rsidRPr="00D10E3C">
        <w:rPr>
          <w:rStyle w:val="libFootnotenumChar"/>
          <w:rtl/>
        </w:rPr>
        <w:t>(11)</w:t>
      </w:r>
      <w:r>
        <w:rPr>
          <w:rtl/>
          <w:lang w:bidi="fa-IR"/>
        </w:rPr>
        <w:t xml:space="preserve"> حَاجَتَكَ. </w:t>
      </w:r>
      <w:r w:rsidRPr="00D10E3C">
        <w:rPr>
          <w:rStyle w:val="libFootnotenumChar"/>
          <w:rtl/>
        </w:rPr>
        <w:t>(12)</w:t>
      </w:r>
    </w:p>
    <w:p w:rsidR="00144FA6" w:rsidRDefault="00744A1C" w:rsidP="00744A1C">
      <w:pPr>
        <w:pStyle w:val="libNormal"/>
        <w:rPr>
          <w:rtl/>
          <w:lang w:bidi="fa-IR"/>
        </w:rPr>
      </w:pPr>
      <w:r>
        <w:rPr>
          <w:rtl/>
          <w:lang w:bidi="fa-IR"/>
        </w:rPr>
        <w:t>7746 / 6. مُحَمَّدُ بْنُ يَحْيى ، عَنْ مُحَمَّدِ بْنِ الْحُسَيْنِ ، عَنِ الْحَسَنِ بْنِ عَلِيٍّ ، عَنْ صَالِحِ بْنِ أَبِي الْأَسْوَدِ ، عَنْ أَبِي الْجَارُودِ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بح ، بخ ، بس ، جن » و</w:t>
      </w:r>
      <w:r w:rsidR="00744A1C" w:rsidRPr="00C24F9C">
        <w:rPr>
          <w:rStyle w:val="libFootnoteBoldChar"/>
          <w:rtl/>
        </w:rPr>
        <w:t>الوسائل</w:t>
      </w:r>
      <w:r w:rsidR="00744A1C">
        <w:rPr>
          <w:rtl/>
          <w:lang w:bidi="fa-IR"/>
        </w:rPr>
        <w:t xml:space="preserve"> : « أن يندفع ». وقوله : « أن تندفع » ، أي تسرع ، من قولهم : اندفع‌الفرسُ ، أي أسرع في سيره. راجع : </w:t>
      </w:r>
      <w:r w:rsidR="00744A1C" w:rsidRPr="00E978C3">
        <w:rPr>
          <w:rStyle w:val="libFootnoteBoldChar"/>
          <w:rtl/>
        </w:rPr>
        <w:t>الصحاح</w:t>
      </w:r>
      <w:r w:rsidR="00744A1C">
        <w:rPr>
          <w:rtl/>
          <w:lang w:bidi="fa-IR"/>
        </w:rPr>
        <w:t xml:space="preserve"> ، ج 3 ، ص 1208 ؛ </w:t>
      </w:r>
      <w:r w:rsidR="00744A1C" w:rsidRPr="00877682">
        <w:rPr>
          <w:rStyle w:val="libFootnoteBoldChar"/>
          <w:rtl/>
        </w:rPr>
        <w:t>لسان العرب</w:t>
      </w:r>
      <w:r w:rsidR="00744A1C">
        <w:rPr>
          <w:rtl/>
          <w:lang w:bidi="fa-IR"/>
        </w:rPr>
        <w:t xml:space="preserve"> ، ج 4 ، ص 326 ( دفع ).</w:t>
      </w:r>
    </w:p>
    <w:p w:rsidR="00744A1C" w:rsidRDefault="00E378DD" w:rsidP="00E378DD">
      <w:pPr>
        <w:pStyle w:val="libFootnote0"/>
        <w:rPr>
          <w:lang w:bidi="fa-IR"/>
        </w:rPr>
      </w:pPr>
      <w:r>
        <w:rPr>
          <w:rtl/>
          <w:lang w:bidi="fa-IR"/>
        </w:rPr>
        <w:t>(2).</w:t>
      </w:r>
      <w:r w:rsidR="00744A1C">
        <w:rPr>
          <w:rtl/>
          <w:lang w:bidi="fa-IR"/>
        </w:rPr>
        <w:t xml:space="preserve"> في « بخ » : « أسألك » بدل « أعوذ بك ».</w:t>
      </w:r>
    </w:p>
    <w:p w:rsidR="00744A1C" w:rsidRDefault="00E378DD" w:rsidP="00E378DD">
      <w:pPr>
        <w:pStyle w:val="libFootnote0"/>
        <w:rPr>
          <w:lang w:bidi="fa-IR"/>
        </w:rPr>
      </w:pPr>
      <w:r>
        <w:rPr>
          <w:rtl/>
          <w:lang w:bidi="fa-IR"/>
        </w:rPr>
        <w:t>(3).</w:t>
      </w:r>
      <w:r w:rsidR="00744A1C">
        <w:rPr>
          <w:rtl/>
          <w:lang w:bidi="fa-IR"/>
        </w:rPr>
        <w:t xml:space="preserve"> في « بف » : - « من ».</w:t>
      </w:r>
    </w:p>
    <w:p w:rsidR="00744A1C" w:rsidRDefault="00E378DD" w:rsidP="00E378DD">
      <w:pPr>
        <w:pStyle w:val="libFootnote0"/>
        <w:rPr>
          <w:lang w:bidi="fa-IR"/>
        </w:rPr>
      </w:pPr>
      <w:r>
        <w:rPr>
          <w:rtl/>
          <w:lang w:bidi="fa-IR"/>
        </w:rPr>
        <w:t>(4).</w:t>
      </w:r>
      <w:r w:rsidR="00744A1C">
        <w:rPr>
          <w:rtl/>
          <w:lang w:bidi="fa-IR"/>
        </w:rPr>
        <w:t xml:space="preserve"> في « بخ ، بف » : « الا</w:t>
      </w:r>
      <w:r w:rsidR="00E95202">
        <w:rPr>
          <w:rFonts w:hint="cs"/>
          <w:rtl/>
          <w:lang w:bidi="fa-IR"/>
        </w:rPr>
        <w:t>ُ</w:t>
      </w:r>
      <w:r w:rsidR="00744A1C">
        <w:rPr>
          <w:rtl/>
          <w:lang w:bidi="fa-IR"/>
        </w:rPr>
        <w:t>مور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 وأمسى ذنوبي مستجيرة بمغفرتك ».</w:t>
      </w:r>
    </w:p>
    <w:tbl>
      <w:tblPr>
        <w:tblStyle w:val="TableGrid"/>
        <w:bidiVisual/>
        <w:tblW w:w="0" w:type="auto"/>
        <w:tblLook w:val="04A0" w:firstRow="1" w:lastRow="0" w:firstColumn="1" w:lastColumn="0" w:noHBand="0" w:noVBand="1"/>
      </w:tblPr>
      <w:tblGrid>
        <w:gridCol w:w="4006"/>
        <w:gridCol w:w="4006"/>
      </w:tblGrid>
      <w:tr w:rsidR="00E95202" w:rsidTr="00E95202">
        <w:tc>
          <w:tcPr>
            <w:tcW w:w="4006" w:type="dxa"/>
          </w:tcPr>
          <w:p w:rsidR="00E95202" w:rsidRDefault="00E95202" w:rsidP="00E378DD">
            <w:pPr>
              <w:pStyle w:val="libFootnote0"/>
              <w:rPr>
                <w:rtl/>
                <w:lang w:bidi="fa-IR"/>
              </w:rPr>
            </w:pPr>
            <w:r>
              <w:rPr>
                <w:rtl/>
                <w:lang w:bidi="fa-IR"/>
              </w:rPr>
              <w:t xml:space="preserve">(6). في </w:t>
            </w:r>
            <w:r w:rsidRPr="00877682">
              <w:rPr>
                <w:rStyle w:val="libFootnoteBoldChar"/>
                <w:rtl/>
              </w:rPr>
              <w:t>قرب الإسناد</w:t>
            </w:r>
            <w:r>
              <w:rPr>
                <w:rtl/>
                <w:lang w:bidi="fa-IR"/>
              </w:rPr>
              <w:t xml:space="preserve"> : « وأصبح ».</w:t>
            </w:r>
          </w:p>
        </w:tc>
        <w:tc>
          <w:tcPr>
            <w:tcW w:w="4006" w:type="dxa"/>
          </w:tcPr>
          <w:p w:rsidR="00E95202" w:rsidRDefault="00E95202" w:rsidP="00E378DD">
            <w:pPr>
              <w:pStyle w:val="libFootnote0"/>
              <w:rPr>
                <w:rtl/>
                <w:lang w:bidi="fa-IR"/>
              </w:rPr>
            </w:pPr>
            <w:r>
              <w:rPr>
                <w:rtl/>
                <w:lang w:bidi="fa-IR"/>
              </w:rPr>
              <w:t xml:space="preserve">(7). في </w:t>
            </w:r>
            <w:r w:rsidRPr="00877682">
              <w:rPr>
                <w:rStyle w:val="libFootnoteBoldChar"/>
                <w:rtl/>
              </w:rPr>
              <w:t>قرب الإسناد</w:t>
            </w:r>
            <w:r>
              <w:rPr>
                <w:rtl/>
                <w:lang w:bidi="fa-IR"/>
              </w:rPr>
              <w:t xml:space="preserve"> : + « وأرحم من استرحم ».</w:t>
            </w:r>
          </w:p>
        </w:tc>
      </w:tr>
    </w:tbl>
    <w:p w:rsidR="00744A1C" w:rsidRDefault="00E378DD" w:rsidP="00E378DD">
      <w:pPr>
        <w:pStyle w:val="libFootnote0"/>
        <w:rPr>
          <w:lang w:bidi="fa-IR"/>
        </w:rPr>
      </w:pPr>
      <w:r>
        <w:rPr>
          <w:rtl/>
          <w:lang w:bidi="fa-IR"/>
        </w:rPr>
        <w:t>(8).</w:t>
      </w:r>
      <w:r w:rsidR="00744A1C">
        <w:rPr>
          <w:rtl/>
          <w:lang w:bidi="fa-IR"/>
        </w:rPr>
        <w:t xml:space="preserve"> في « بخ ، بف » : « رحمتك ». وقوله : « جلّلني برحمتك » ، أي غطّني بها وألبسني إيّاه ، كما يتجلّل الرجل بالثوب. راجع : </w:t>
      </w:r>
      <w:r w:rsidR="00744A1C" w:rsidRPr="00877682">
        <w:rPr>
          <w:rStyle w:val="libFootnoteBoldChar"/>
          <w:rtl/>
        </w:rPr>
        <w:t>لسان العرب</w:t>
      </w:r>
      <w:r w:rsidR="00744A1C">
        <w:rPr>
          <w:rtl/>
          <w:lang w:bidi="fa-IR"/>
        </w:rPr>
        <w:t xml:space="preserve"> ، ج 11 ، ص 119 ؛ </w:t>
      </w:r>
      <w:r w:rsidR="00744A1C" w:rsidRPr="00E978C3">
        <w:rPr>
          <w:rStyle w:val="libFootnoteBoldChar"/>
          <w:rtl/>
        </w:rPr>
        <w:t>المصباح المنير</w:t>
      </w:r>
      <w:r w:rsidR="00744A1C">
        <w:rPr>
          <w:rtl/>
          <w:lang w:bidi="fa-IR"/>
        </w:rPr>
        <w:t xml:space="preserve"> ، ص 106 ( جلل ).</w:t>
      </w:r>
    </w:p>
    <w:p w:rsidR="00744A1C" w:rsidRDefault="00E378DD" w:rsidP="00E378DD">
      <w:pPr>
        <w:pStyle w:val="libFootnote0"/>
        <w:rPr>
          <w:lang w:bidi="fa-IR"/>
        </w:rPr>
      </w:pPr>
      <w:r>
        <w:rPr>
          <w:rtl/>
          <w:lang w:bidi="fa-IR"/>
        </w:rPr>
        <w:t>(9).</w:t>
      </w:r>
      <w:r w:rsidR="00744A1C">
        <w:rPr>
          <w:rtl/>
          <w:lang w:bidi="fa-IR"/>
        </w:rPr>
        <w:t xml:space="preserve"> في « بف » : - « جميع ».</w:t>
      </w:r>
    </w:p>
    <w:p w:rsidR="00744A1C" w:rsidRDefault="00E378DD" w:rsidP="00694696">
      <w:pPr>
        <w:pStyle w:val="libFootnote0"/>
        <w:rPr>
          <w:lang w:bidi="fa-IR"/>
        </w:rPr>
      </w:pPr>
      <w:r>
        <w:rPr>
          <w:rtl/>
          <w:lang w:bidi="fa-IR"/>
        </w:rPr>
        <w:t>(10).</w:t>
      </w:r>
      <w:r w:rsidR="00744A1C">
        <w:rPr>
          <w:rtl/>
          <w:lang w:bidi="fa-IR"/>
        </w:rPr>
        <w:t xml:space="preserve"> ورد صدر الخبر في </w:t>
      </w:r>
      <w:r w:rsidR="00744A1C" w:rsidRPr="00877682">
        <w:rPr>
          <w:rStyle w:val="libFootnoteBoldChar"/>
          <w:rtl/>
        </w:rPr>
        <w:t>قرب الإسناد</w:t>
      </w:r>
      <w:r w:rsidR="00744A1C">
        <w:rPr>
          <w:rtl/>
          <w:lang w:bidi="fa-IR"/>
        </w:rPr>
        <w:t xml:space="preserve"> ، ص 21 ، ح 72 ، عن محمّد بن عيسى - وقد عبِّر عنه بالضمير - عن عبد الله‌بن ميمون عن جعفر عن أبيه عن النبيّ </w:t>
      </w:r>
      <w:r w:rsidR="005E465D" w:rsidRPr="005520F0">
        <w:rPr>
          <w:rStyle w:val="libFootnoteAlaemChar"/>
          <w:rFonts w:eastAsiaTheme="minorHAnsi"/>
          <w:rtl/>
        </w:rPr>
        <w:t>صلى‌الله‌عليه‌وآله</w:t>
      </w:r>
      <w:r w:rsidR="00744A1C">
        <w:rPr>
          <w:rtl/>
          <w:lang w:bidi="fa-IR"/>
        </w:rPr>
        <w:t xml:space="preserve">. والظاهر أنّ أصل الخبر ورد من أبي جعفر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61079A" w:rsidRPr="0061079A">
        <w:rPr>
          <w:rStyle w:val="libFootnoteAlaemChar"/>
          <w:rtl/>
        </w:rPr>
        <w:t>عليه‌السلام</w:t>
      </w:r>
      <w:r w:rsidR="00744A1C">
        <w:rPr>
          <w:rtl/>
          <w:lang w:bidi="fa-IR"/>
        </w:rPr>
        <w:t xml:space="preserve"> . وقد حذف من سندنا هذا قبل « وسمعت أبي » « قال » ، أو « قال أبو عبد الله </w:t>
      </w:r>
      <w:r w:rsidR="0061079A" w:rsidRPr="0061079A">
        <w:rPr>
          <w:rStyle w:val="libFootnoteAlaemChar"/>
          <w:rtl/>
        </w:rPr>
        <w:t>عليه‌السلام</w:t>
      </w:r>
      <w:r w:rsidR="00D10E3C">
        <w:rPr>
          <w:rtl/>
          <w:lang w:bidi="fa-IR"/>
        </w:rPr>
        <w:t xml:space="preserve"> </w:t>
      </w:r>
      <w:r w:rsidR="00744A1C">
        <w:rPr>
          <w:rtl/>
          <w:lang w:bidi="fa-IR"/>
        </w:rPr>
        <w:t>» أو ما شابهما ، فيرتفع الإبهام الموجود في السند.</w:t>
      </w:r>
      <w:r w:rsidR="00694696">
        <w:rPr>
          <w:rFonts w:hint="cs"/>
          <w:rtl/>
          <w:lang w:bidi="fa-IR"/>
        </w:rPr>
        <w:t xml:space="preserve">                    </w:t>
      </w:r>
      <w:r w:rsidR="005520F0">
        <w:rPr>
          <w:rFonts w:hint="cs"/>
          <w:rtl/>
          <w:lang w:bidi="fa-IR"/>
        </w:rPr>
        <w:t xml:space="preserve">   </w:t>
      </w:r>
      <w:r w:rsidR="007B2361">
        <w:rPr>
          <w:rFonts w:hint="cs"/>
          <w:rtl/>
          <w:lang w:bidi="fa-IR"/>
        </w:rPr>
        <w:t xml:space="preserve">     </w:t>
      </w:r>
      <w:r w:rsidR="00694696">
        <w:rPr>
          <w:rFonts w:hint="cs"/>
          <w:rtl/>
          <w:lang w:bidi="fa-IR"/>
        </w:rPr>
        <w:t xml:space="preserve"> </w:t>
      </w:r>
      <w:r>
        <w:rPr>
          <w:rtl/>
          <w:lang w:bidi="fa-IR"/>
        </w:rPr>
        <w:t>(11).</w:t>
      </w:r>
      <w:r w:rsidR="00744A1C">
        <w:rPr>
          <w:rtl/>
          <w:lang w:bidi="fa-IR"/>
        </w:rPr>
        <w:t xml:space="preserve"> في « بخ ، بف » : « تسأل ».</w:t>
      </w:r>
    </w:p>
    <w:p w:rsidR="00744A1C" w:rsidRDefault="00E378DD" w:rsidP="00E378DD">
      <w:pPr>
        <w:pStyle w:val="libFootnote0"/>
        <w:rPr>
          <w:lang w:bidi="fa-IR"/>
        </w:rPr>
      </w:pPr>
      <w:r>
        <w:rPr>
          <w:rtl/>
          <w:lang w:bidi="fa-IR"/>
        </w:rPr>
        <w:t>(12).</w:t>
      </w:r>
      <w:r w:rsidR="00744A1C">
        <w:rPr>
          <w:rtl/>
          <w:lang w:bidi="fa-IR"/>
        </w:rPr>
        <w:t xml:space="preserve"> </w:t>
      </w:r>
      <w:r w:rsidR="00744A1C" w:rsidRPr="00877682">
        <w:rPr>
          <w:rStyle w:val="libFootnoteBoldChar"/>
          <w:rtl/>
        </w:rPr>
        <w:t>قرب الإسناد</w:t>
      </w:r>
      <w:r w:rsidR="00744A1C">
        <w:rPr>
          <w:rtl/>
          <w:lang w:bidi="fa-IR"/>
        </w:rPr>
        <w:t xml:space="preserve"> ، ص 21 ، ح 72 ، عن محمّد بن عيسى ، عن عبدالله بن ميمون ، عن جعفر ، عن أبيه </w:t>
      </w:r>
      <w:r w:rsidR="00F112A7" w:rsidRPr="00CE5A92">
        <w:rPr>
          <w:rStyle w:val="libFootnoteAlaemChar"/>
          <w:rtl/>
        </w:rPr>
        <w:t>عليهما‌السلام</w:t>
      </w:r>
      <w:r w:rsidR="00744A1C">
        <w:rPr>
          <w:rtl/>
          <w:lang w:bidi="fa-IR"/>
        </w:rPr>
        <w:t xml:space="preserve">، إلى قوله : « واصرف عنّي شرّ جميع خلقك » مع اختلاف يسير </w:t>
      </w:r>
      <w:r w:rsidR="007B2361">
        <w:rPr>
          <w:rFonts w:hint="cs"/>
          <w:rtl/>
          <w:lang w:bidi="fa-IR"/>
        </w:rPr>
        <w:t>.</w:t>
      </w:r>
      <w:r w:rsidR="00744A1C" w:rsidRPr="00C24F9C">
        <w:rPr>
          <w:rStyle w:val="libFootnoteBoldChar"/>
          <w:rtl/>
        </w:rPr>
        <w:t>الوافي</w:t>
      </w:r>
      <w:r w:rsidR="00744A1C">
        <w:rPr>
          <w:rtl/>
          <w:lang w:bidi="fa-IR"/>
        </w:rPr>
        <w:t xml:space="preserve"> ، ج 13 ، ص 1031 ، ح 13675 ؛ </w:t>
      </w:r>
      <w:r w:rsidR="00744A1C" w:rsidRPr="00C24F9C">
        <w:rPr>
          <w:rStyle w:val="libFootnoteBoldChar"/>
          <w:rtl/>
        </w:rPr>
        <w:t>الوسائل</w:t>
      </w:r>
      <w:r w:rsidR="00744A1C">
        <w:rPr>
          <w:rtl/>
          <w:lang w:bidi="fa-IR"/>
        </w:rPr>
        <w:t xml:space="preserve"> ، ج 13 ، ص 559 ، ح 18440.</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لَيْسَ فِي شَيْ‌ءٍ مِنَ الدُّعَاءِ عَشِيَّةَ عَرَفَةَ شَيْ‌ءٌ مُوَقَّتٌ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7747 / 7. عَلِيُّ بْنُ إِبْرَاهِيمَ ، عَنْ أَبِيهِ ، قَالَ :</w:t>
      </w:r>
    </w:p>
    <w:p w:rsidR="00744A1C" w:rsidRDefault="00744A1C" w:rsidP="00744A1C">
      <w:pPr>
        <w:pStyle w:val="libNormal"/>
        <w:rPr>
          <w:lang w:bidi="fa-IR"/>
        </w:rPr>
      </w:pPr>
      <w:r>
        <w:rPr>
          <w:rtl/>
          <w:lang w:bidi="fa-IR"/>
        </w:rPr>
        <w:t xml:space="preserve">رَأَيْتُ عَبْدَ اللهِ بْنَ جُنْدَبٍ بِالْمَوْقِفِ </w:t>
      </w:r>
      <w:r w:rsidRPr="00D10E3C">
        <w:rPr>
          <w:rStyle w:val="libFootnotenumChar"/>
          <w:rtl/>
        </w:rPr>
        <w:t>(3)</w:t>
      </w:r>
      <w:r>
        <w:rPr>
          <w:rtl/>
          <w:lang w:bidi="fa-IR"/>
        </w:rPr>
        <w:t xml:space="preserve"> ، فَلَمْ أَرَ مَوْقِفاً كَانَ أَحْسَنَ مِنْ مَوْقِفِهِ ، مَا زَالَ مَادّاً يَدَيْهِ </w:t>
      </w:r>
      <w:r w:rsidRPr="00D10E3C">
        <w:rPr>
          <w:rStyle w:val="libFootnotenumChar"/>
          <w:rtl/>
        </w:rPr>
        <w:t>(4)</w:t>
      </w:r>
      <w:r>
        <w:rPr>
          <w:rtl/>
          <w:lang w:bidi="fa-IR"/>
        </w:rPr>
        <w:t xml:space="preserve"> إِلَى السَّمَاءِ وَدُمُوعُهُ تَسِيلُ عَلى خَدَّيْهِ </w:t>
      </w:r>
      <w:r w:rsidRPr="00D10E3C">
        <w:rPr>
          <w:rStyle w:val="libFootnotenumChar"/>
          <w:rtl/>
        </w:rPr>
        <w:t>(5)</w:t>
      </w:r>
      <w:r>
        <w:rPr>
          <w:rtl/>
          <w:lang w:bidi="fa-IR"/>
        </w:rPr>
        <w:t xml:space="preserve"> حَتّى تَبْلُغَ الْأَرْضَ.</w:t>
      </w:r>
    </w:p>
    <w:p w:rsidR="00744A1C" w:rsidRDefault="00744A1C" w:rsidP="00744A1C">
      <w:pPr>
        <w:pStyle w:val="libNormal"/>
        <w:rPr>
          <w:lang w:bidi="fa-IR"/>
        </w:rPr>
      </w:pPr>
      <w:r>
        <w:rPr>
          <w:rtl/>
          <w:lang w:bidi="fa-IR"/>
        </w:rPr>
        <w:t xml:space="preserve">فَلَمَّا انْصَرَفَ </w:t>
      </w:r>
      <w:r w:rsidRPr="00D10E3C">
        <w:rPr>
          <w:rStyle w:val="libFootnotenumChar"/>
          <w:rtl/>
        </w:rPr>
        <w:t>(6)</w:t>
      </w:r>
      <w:r>
        <w:rPr>
          <w:rtl/>
          <w:lang w:bidi="fa-IR"/>
        </w:rPr>
        <w:t xml:space="preserve"> النَّاسُ ، قُلْتُ لَهُ : يَا أَبَا مُحَمَّدٍ ، مَا رَأَيْتُ مَوْقِفاً قَطُّ أَحْسَنَ مِنْ مَوْقِفِكَ.</w:t>
      </w:r>
    </w:p>
    <w:p w:rsidR="00144FA6" w:rsidRDefault="00744A1C" w:rsidP="00744A1C">
      <w:pPr>
        <w:pStyle w:val="libNormal"/>
        <w:rPr>
          <w:rtl/>
          <w:lang w:bidi="fa-IR"/>
        </w:rPr>
      </w:pPr>
      <w:r>
        <w:rPr>
          <w:rtl/>
          <w:lang w:bidi="fa-IR"/>
        </w:rPr>
        <w:t xml:space="preserve">قَالَ : وَاللهِ مَا دَعَوْتُ </w:t>
      </w:r>
      <w:r w:rsidRPr="00D10E3C">
        <w:rPr>
          <w:rStyle w:val="libFootnotenumChar"/>
          <w:rtl/>
        </w:rPr>
        <w:t>(7)</w:t>
      </w:r>
      <w:r w:rsidR="00A5579D">
        <w:rPr>
          <w:rtl/>
          <w:lang w:bidi="fa-IR"/>
        </w:rPr>
        <w:t xml:space="preserve"> إِل</w:t>
      </w:r>
      <w:r w:rsidR="00A5579D">
        <w:rPr>
          <w:rFonts w:hint="cs"/>
          <w:rtl/>
          <w:lang w:bidi="fa-IR"/>
        </w:rPr>
        <w:t>َّ</w:t>
      </w:r>
      <w:r w:rsidR="00A5579D">
        <w:rPr>
          <w:rtl/>
          <w:lang w:bidi="fa-IR"/>
        </w:rPr>
        <w:t>ا</w:t>
      </w:r>
      <w:r>
        <w:rPr>
          <w:rtl/>
          <w:lang w:bidi="fa-IR"/>
        </w:rPr>
        <w:t xml:space="preserve"> لِإِخْوَانِي ، وَذلِكَ أَنَّ </w:t>
      </w:r>
      <w:r w:rsidRPr="00D10E3C">
        <w:rPr>
          <w:rStyle w:val="libFootnotenumChar"/>
          <w:rtl/>
        </w:rPr>
        <w:t>(8)</w:t>
      </w:r>
      <w:r>
        <w:rPr>
          <w:rtl/>
          <w:lang w:bidi="fa-IR"/>
        </w:rPr>
        <w:t xml:space="preserve"> أَبَا الْحَسَنِ مُوسَى بْنَ جَعْفَرٍ </w:t>
      </w:r>
      <w:r w:rsidR="008859AA" w:rsidRPr="008859AA">
        <w:rPr>
          <w:rStyle w:val="libAlaemChar"/>
          <w:rtl/>
        </w:rPr>
        <w:t>عليهما‌السلام</w:t>
      </w:r>
      <w:r>
        <w:rPr>
          <w:rtl/>
          <w:lang w:bidi="fa-IR"/>
        </w:rPr>
        <w:t xml:space="preserve">أَخْبَرَنِي أَنَّهُ </w:t>
      </w:r>
      <w:r w:rsidRPr="00D10E3C">
        <w:rPr>
          <w:rStyle w:val="libFootnotenumChar"/>
          <w:rtl/>
        </w:rPr>
        <w:t>(9)</w:t>
      </w:r>
      <w:r>
        <w:rPr>
          <w:rtl/>
          <w:lang w:bidi="fa-IR"/>
        </w:rPr>
        <w:t xml:space="preserve"> « مَنْ دَعَا لِأَخِيهِ بِظَهْرِ الْغَيْبِ نُودِيَ مِنَ الْعَرْشِ </w:t>
      </w:r>
      <w:r w:rsidRPr="00D10E3C">
        <w:rPr>
          <w:rStyle w:val="libFootnotenumChar"/>
          <w:rtl/>
        </w:rPr>
        <w:t>(10)</w:t>
      </w:r>
      <w:r>
        <w:rPr>
          <w:rtl/>
          <w:lang w:bidi="fa-IR"/>
        </w:rPr>
        <w:t xml:space="preserve"> : وَلَكَ مِائَةُ أَلْفِ ضِعْفِ مِثْلِهِ </w:t>
      </w:r>
      <w:r w:rsidRPr="00D10E3C">
        <w:rPr>
          <w:rStyle w:val="libFootnotenumChar"/>
          <w:rtl/>
        </w:rPr>
        <w:t>(11)</w:t>
      </w:r>
      <w:r>
        <w:rPr>
          <w:rtl/>
          <w:lang w:bidi="fa-IR"/>
        </w:rPr>
        <w:t xml:space="preserve"> » ؛ فَكَرِهْتُ أَنْ أَدَعَ مِائَةَ أَلْفِ ضِعْفٍ </w:t>
      </w:r>
      <w:r w:rsidRPr="00D10E3C">
        <w:rPr>
          <w:rStyle w:val="libFootnotenumChar"/>
          <w:rtl/>
        </w:rPr>
        <w:t>(12)</w:t>
      </w:r>
      <w:r>
        <w:rPr>
          <w:rtl/>
          <w:lang w:bidi="fa-IR"/>
        </w:rPr>
        <w:t xml:space="preserve"> مَضْمُونَةً لِوَاحِدٍ </w:t>
      </w:r>
      <w:r w:rsidRPr="00D10E3C">
        <w:rPr>
          <w:rStyle w:val="libFootnotenumChar"/>
          <w:rtl/>
        </w:rPr>
        <w:t>(13)</w:t>
      </w:r>
      <w:r>
        <w:rPr>
          <w:rtl/>
          <w:lang w:bidi="fa-IR"/>
        </w:rPr>
        <w:t xml:space="preserve"> لَا أَدْرِي </w:t>
      </w:r>
      <w:r w:rsidRPr="00D10E3C">
        <w:rPr>
          <w:rStyle w:val="libFootnotenumChar"/>
          <w:rtl/>
        </w:rPr>
        <w:t>(14)</w:t>
      </w:r>
      <w:r>
        <w:rPr>
          <w:rtl/>
          <w:lang w:bidi="fa-IR"/>
        </w:rPr>
        <w:t xml:space="preserve"> يُسْتَجَابُ </w:t>
      </w:r>
      <w:r w:rsidRPr="00D10E3C">
        <w:rPr>
          <w:rStyle w:val="libFootnotenumChar"/>
          <w:rtl/>
        </w:rPr>
        <w:t>(15)</w:t>
      </w:r>
      <w:r>
        <w:rPr>
          <w:rtl/>
          <w:lang w:bidi="fa-IR"/>
        </w:rPr>
        <w:t xml:space="preserve"> ، أَمْ لَا. </w:t>
      </w:r>
      <w:r w:rsidRPr="00D10E3C">
        <w:rPr>
          <w:rStyle w:val="libFootnotenumChar"/>
          <w:rtl/>
        </w:rPr>
        <w:t>(16)</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122 : « قوله </w:t>
      </w:r>
      <w:r w:rsidR="0061079A" w:rsidRPr="0061079A">
        <w:rPr>
          <w:rStyle w:val="libFootnoteAlaemChar"/>
          <w:rtl/>
        </w:rPr>
        <w:t>عليه‌السلام</w:t>
      </w:r>
      <w:r>
        <w:rPr>
          <w:rtl/>
          <w:lang w:bidi="fa-IR"/>
        </w:rPr>
        <w:t xml:space="preserve"> </w:t>
      </w:r>
      <w:r w:rsidR="00744A1C">
        <w:rPr>
          <w:rtl/>
          <w:lang w:bidi="fa-IR"/>
        </w:rPr>
        <w:t>: شي‌ء موقّت ، أي مفروض ، أو معيّن لا تتأتّى السنّة بدونه ، فلا ينافي كون الفضل في الأدعية المأثورة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13 ، ص 1034 ، ح 13679 ؛ </w:t>
      </w:r>
      <w:r w:rsidR="00744A1C" w:rsidRPr="00C24F9C">
        <w:rPr>
          <w:rStyle w:val="libFootnoteBoldChar"/>
          <w:rtl/>
        </w:rPr>
        <w:t>الوسائل</w:t>
      </w:r>
      <w:r w:rsidR="00744A1C">
        <w:rPr>
          <w:rtl/>
          <w:lang w:bidi="fa-IR"/>
        </w:rPr>
        <w:t xml:space="preserve"> ، ج 13 ، ص 542 ، ح 18399.</w:t>
      </w:r>
    </w:p>
    <w:tbl>
      <w:tblPr>
        <w:tblStyle w:val="TableGrid"/>
        <w:bidiVisual/>
        <w:tblW w:w="0" w:type="auto"/>
        <w:tblLook w:val="04A0" w:firstRow="1" w:lastRow="0" w:firstColumn="1" w:lastColumn="0" w:noHBand="0" w:noVBand="1"/>
      </w:tblPr>
      <w:tblGrid>
        <w:gridCol w:w="4006"/>
        <w:gridCol w:w="4006"/>
      </w:tblGrid>
      <w:tr w:rsidR="00A5579D" w:rsidTr="00A5579D">
        <w:tc>
          <w:tcPr>
            <w:tcW w:w="4006" w:type="dxa"/>
          </w:tcPr>
          <w:p w:rsidR="00A5579D" w:rsidRDefault="00A5579D" w:rsidP="00E378DD">
            <w:pPr>
              <w:pStyle w:val="libFootnote0"/>
              <w:rPr>
                <w:rtl/>
                <w:lang w:bidi="fa-IR"/>
              </w:rPr>
            </w:pPr>
            <w:r>
              <w:rPr>
                <w:rtl/>
                <w:lang w:bidi="fa-IR"/>
              </w:rPr>
              <w:t xml:space="preserve">(3). في </w:t>
            </w:r>
            <w:r w:rsidRPr="0061079A">
              <w:rPr>
                <w:rStyle w:val="libFootnoteBoldChar"/>
                <w:rtl/>
              </w:rPr>
              <w:t>الكافي</w:t>
            </w:r>
            <w:r>
              <w:rPr>
                <w:rtl/>
                <w:lang w:bidi="fa-IR"/>
              </w:rPr>
              <w:t xml:space="preserve"> ، ح 3237 : « في الموقف ».</w:t>
            </w:r>
          </w:p>
        </w:tc>
        <w:tc>
          <w:tcPr>
            <w:tcW w:w="4006" w:type="dxa"/>
          </w:tcPr>
          <w:p w:rsidR="00A5579D" w:rsidRDefault="00A5579D" w:rsidP="00E378DD">
            <w:pPr>
              <w:pStyle w:val="libFootnote0"/>
              <w:rPr>
                <w:rtl/>
                <w:lang w:bidi="fa-IR"/>
              </w:rPr>
            </w:pPr>
            <w:r>
              <w:rPr>
                <w:rtl/>
                <w:lang w:bidi="fa-IR"/>
              </w:rPr>
              <w:t xml:space="preserve">(4).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يده ».</w:t>
            </w:r>
          </w:p>
        </w:tc>
      </w:tr>
    </w:tbl>
    <w:p w:rsidR="00744A1C" w:rsidRDefault="00E378DD" w:rsidP="00E378DD">
      <w:pPr>
        <w:pStyle w:val="libFootnote0"/>
        <w:rPr>
          <w:lang w:bidi="fa-IR"/>
        </w:rPr>
      </w:pPr>
      <w:r>
        <w:rPr>
          <w:rtl/>
          <w:lang w:bidi="fa-IR"/>
        </w:rPr>
        <w:t>(5).</w:t>
      </w:r>
      <w:r w:rsidR="00744A1C">
        <w:rPr>
          <w:rtl/>
          <w:lang w:bidi="fa-IR"/>
        </w:rPr>
        <w:t xml:space="preserve"> في « بث » و</w:t>
      </w:r>
      <w:r w:rsidR="00744A1C" w:rsidRPr="0061079A">
        <w:rPr>
          <w:rStyle w:val="libFootnoteBoldChar"/>
          <w:rtl/>
        </w:rPr>
        <w:t>البحار</w:t>
      </w:r>
      <w:r w:rsidR="00744A1C">
        <w:rPr>
          <w:rtl/>
          <w:lang w:bidi="fa-IR"/>
        </w:rPr>
        <w:t xml:space="preserve"> : « خدّه ».</w:t>
      </w:r>
    </w:p>
    <w:p w:rsidR="00744A1C" w:rsidRDefault="00E378DD" w:rsidP="00E378DD">
      <w:pPr>
        <w:pStyle w:val="libFootnote0"/>
        <w:rPr>
          <w:lang w:bidi="fa-IR"/>
        </w:rPr>
      </w:pPr>
      <w:r>
        <w:rPr>
          <w:rtl/>
          <w:lang w:bidi="fa-IR"/>
        </w:rPr>
        <w:t>(6).</w:t>
      </w:r>
      <w:r w:rsidR="00744A1C">
        <w:rPr>
          <w:rtl/>
          <w:lang w:bidi="fa-IR"/>
        </w:rPr>
        <w:t xml:space="preserve"> في « بخ » </w:t>
      </w:r>
      <w:r w:rsidR="00744A1C" w:rsidRPr="0061079A">
        <w:rPr>
          <w:rStyle w:val="libFootnoteBoldChar"/>
          <w:rtl/>
        </w:rPr>
        <w:t>والتهذيب</w:t>
      </w:r>
      <w:r w:rsidR="00744A1C">
        <w:rPr>
          <w:rtl/>
          <w:lang w:bidi="fa-IR"/>
        </w:rPr>
        <w:t xml:space="preserve"> : « صرف ». وفي </w:t>
      </w:r>
      <w:r w:rsidR="00744A1C" w:rsidRPr="0061079A">
        <w:rPr>
          <w:rStyle w:val="libFootnoteBoldChar"/>
          <w:rtl/>
        </w:rPr>
        <w:t>الكافي</w:t>
      </w:r>
      <w:r w:rsidR="00744A1C">
        <w:rPr>
          <w:rtl/>
          <w:lang w:bidi="fa-IR"/>
        </w:rPr>
        <w:t xml:space="preserve"> ، ح 3237 والأمالي للصدوق : « صدر ».</w:t>
      </w:r>
    </w:p>
    <w:tbl>
      <w:tblPr>
        <w:tblStyle w:val="TableGrid"/>
        <w:bidiVisual/>
        <w:tblW w:w="0" w:type="auto"/>
        <w:tblLook w:val="04A0" w:firstRow="1" w:lastRow="0" w:firstColumn="1" w:lastColumn="0" w:noHBand="0" w:noVBand="1"/>
      </w:tblPr>
      <w:tblGrid>
        <w:gridCol w:w="4006"/>
        <w:gridCol w:w="4006"/>
      </w:tblGrid>
      <w:tr w:rsidR="00A5579D" w:rsidTr="00A5579D">
        <w:tc>
          <w:tcPr>
            <w:tcW w:w="4006" w:type="dxa"/>
          </w:tcPr>
          <w:p w:rsidR="00A5579D" w:rsidRDefault="00A5579D" w:rsidP="00E378DD">
            <w:pPr>
              <w:pStyle w:val="libFootnote0"/>
              <w:rPr>
                <w:rtl/>
                <w:lang w:bidi="fa-IR"/>
              </w:rPr>
            </w:pPr>
            <w:r>
              <w:rPr>
                <w:rtl/>
                <w:lang w:bidi="fa-IR"/>
              </w:rPr>
              <w:t>(7). في « جد » وحاشية « جن » : + « الله ».</w:t>
            </w:r>
          </w:p>
        </w:tc>
        <w:tc>
          <w:tcPr>
            <w:tcW w:w="4006" w:type="dxa"/>
          </w:tcPr>
          <w:p w:rsidR="00A5579D" w:rsidRDefault="00A5579D" w:rsidP="00E378DD">
            <w:pPr>
              <w:pStyle w:val="libFootnote0"/>
              <w:rPr>
                <w:rtl/>
                <w:lang w:bidi="fa-IR"/>
              </w:rPr>
            </w:pPr>
            <w:r>
              <w:rPr>
                <w:rtl/>
                <w:lang w:bidi="fa-IR"/>
              </w:rPr>
              <w:t>(8). في « جد » و</w:t>
            </w:r>
            <w:r w:rsidRPr="00C24F9C">
              <w:rPr>
                <w:rStyle w:val="libFootnoteBoldChar"/>
                <w:rtl/>
              </w:rPr>
              <w:t>الوسائل</w:t>
            </w:r>
            <w:r>
              <w:rPr>
                <w:rtl/>
                <w:lang w:bidi="fa-IR"/>
              </w:rPr>
              <w:t xml:space="preserve"> : « لأنّ ».</w:t>
            </w:r>
          </w:p>
        </w:tc>
      </w:tr>
      <w:tr w:rsidR="00A5579D" w:rsidTr="00A5579D">
        <w:tc>
          <w:tcPr>
            <w:tcW w:w="4006" w:type="dxa"/>
          </w:tcPr>
          <w:p w:rsidR="00A5579D" w:rsidRDefault="00A5579D" w:rsidP="00E378DD">
            <w:pPr>
              <w:pStyle w:val="libFootnote0"/>
              <w:rPr>
                <w:rtl/>
                <w:lang w:bidi="fa-IR"/>
              </w:rPr>
            </w:pPr>
            <w:r>
              <w:rPr>
                <w:rtl/>
                <w:lang w:bidi="fa-IR"/>
              </w:rPr>
              <w:t xml:space="preserve">(9). في </w:t>
            </w:r>
            <w:r w:rsidRPr="0061079A">
              <w:rPr>
                <w:rStyle w:val="libFootnoteBoldChar"/>
                <w:rtl/>
              </w:rPr>
              <w:t>الكافي</w:t>
            </w:r>
            <w:r>
              <w:rPr>
                <w:rtl/>
                <w:lang w:bidi="fa-IR"/>
              </w:rPr>
              <w:t xml:space="preserve"> ، ح 3237 : « أنّ ».</w:t>
            </w:r>
          </w:p>
        </w:tc>
        <w:tc>
          <w:tcPr>
            <w:tcW w:w="4006" w:type="dxa"/>
          </w:tcPr>
          <w:p w:rsidR="00A5579D" w:rsidRDefault="00A5579D" w:rsidP="00E378DD">
            <w:pPr>
              <w:pStyle w:val="libFootnote0"/>
              <w:rPr>
                <w:rtl/>
                <w:lang w:bidi="fa-IR"/>
              </w:rPr>
            </w:pPr>
            <w:r>
              <w:rPr>
                <w:rtl/>
                <w:lang w:bidi="fa-IR"/>
              </w:rPr>
              <w:t xml:space="preserve">(10). في </w:t>
            </w:r>
            <w:r w:rsidRPr="0061079A">
              <w:rPr>
                <w:rStyle w:val="libFootnoteBoldChar"/>
                <w:rtl/>
              </w:rPr>
              <w:t>البحار</w:t>
            </w:r>
            <w:r>
              <w:rPr>
                <w:rtl/>
                <w:lang w:bidi="fa-IR"/>
              </w:rPr>
              <w:t xml:space="preserve"> : + « ها ».</w:t>
            </w:r>
          </w:p>
        </w:tc>
      </w:tr>
    </w:tbl>
    <w:p w:rsidR="00744A1C" w:rsidRDefault="00E378DD" w:rsidP="00E378DD">
      <w:pPr>
        <w:pStyle w:val="libFootnote0"/>
        <w:rPr>
          <w:lang w:bidi="fa-IR"/>
        </w:rPr>
      </w:pPr>
      <w:r>
        <w:rPr>
          <w:rtl/>
          <w:lang w:bidi="fa-IR"/>
        </w:rPr>
        <w:t>(11).</w:t>
      </w:r>
      <w:r w:rsidR="00744A1C">
        <w:rPr>
          <w:rtl/>
          <w:lang w:bidi="fa-IR"/>
        </w:rPr>
        <w:t xml:space="preserve"> في </w:t>
      </w:r>
      <w:r w:rsidR="00744A1C" w:rsidRPr="0061079A">
        <w:rPr>
          <w:rStyle w:val="libFootnoteBoldChar"/>
          <w:rtl/>
        </w:rPr>
        <w:t>الكافي</w:t>
      </w:r>
      <w:r w:rsidR="00744A1C">
        <w:rPr>
          <w:rtl/>
          <w:lang w:bidi="fa-IR"/>
        </w:rPr>
        <w:t xml:space="preserve"> ، ح 3237 والأمالي للصدوق : - « مثله ».</w:t>
      </w:r>
    </w:p>
    <w:p w:rsidR="00744A1C" w:rsidRDefault="00E378DD" w:rsidP="00E378DD">
      <w:pPr>
        <w:pStyle w:val="libFootnote0"/>
        <w:rPr>
          <w:lang w:bidi="fa-IR"/>
        </w:rPr>
      </w:pPr>
      <w:r>
        <w:rPr>
          <w:rtl/>
          <w:lang w:bidi="fa-IR"/>
        </w:rPr>
        <w:t>(12).</w:t>
      </w:r>
      <w:r w:rsidR="00744A1C">
        <w:rPr>
          <w:rtl/>
          <w:lang w:bidi="fa-IR"/>
        </w:rPr>
        <w:t xml:space="preserve"> في </w:t>
      </w:r>
      <w:r w:rsidR="00744A1C" w:rsidRPr="0061079A">
        <w:rPr>
          <w:rStyle w:val="libFootnoteBoldChar"/>
          <w:rtl/>
        </w:rPr>
        <w:t>الكافي</w:t>
      </w:r>
      <w:r w:rsidR="00744A1C">
        <w:rPr>
          <w:rtl/>
          <w:lang w:bidi="fa-IR"/>
        </w:rPr>
        <w:t xml:space="preserve"> ، ح 3237 : - « ضعف ».</w:t>
      </w:r>
    </w:p>
    <w:p w:rsidR="00744A1C" w:rsidRDefault="00E378DD" w:rsidP="00E378DD">
      <w:pPr>
        <w:pStyle w:val="libFootnote0"/>
        <w:rPr>
          <w:lang w:bidi="fa-IR"/>
        </w:rPr>
      </w:pPr>
      <w:r>
        <w:rPr>
          <w:rtl/>
          <w:lang w:bidi="fa-IR"/>
        </w:rPr>
        <w:t>(13).</w:t>
      </w:r>
      <w:r w:rsidR="00744A1C">
        <w:rPr>
          <w:rtl/>
          <w:lang w:bidi="fa-IR"/>
        </w:rPr>
        <w:t xml:space="preserve"> في « بخ ، بس ، بف » و</w:t>
      </w:r>
      <w:r w:rsidR="00744A1C" w:rsidRPr="00C24F9C">
        <w:rPr>
          <w:rStyle w:val="libFootnoteBoldChar"/>
          <w:rtl/>
        </w:rPr>
        <w:t>الوسائل</w:t>
      </w:r>
      <w:r w:rsidR="00744A1C">
        <w:rPr>
          <w:rtl/>
          <w:lang w:bidi="fa-IR"/>
        </w:rPr>
        <w:t xml:space="preserve"> و</w:t>
      </w:r>
      <w:r w:rsidR="00744A1C" w:rsidRPr="0061079A">
        <w:rPr>
          <w:rStyle w:val="libFootnoteBoldChar"/>
          <w:rtl/>
        </w:rPr>
        <w:t>الكافي</w:t>
      </w:r>
      <w:r w:rsidR="00744A1C">
        <w:rPr>
          <w:rtl/>
          <w:lang w:bidi="fa-IR"/>
        </w:rPr>
        <w:t xml:space="preserve"> ، ح 3237 </w:t>
      </w:r>
      <w:r w:rsidR="00744A1C" w:rsidRPr="0061079A">
        <w:rPr>
          <w:rStyle w:val="libFootnoteBoldChar"/>
          <w:rtl/>
        </w:rPr>
        <w:t>والتهذيب</w:t>
      </w:r>
      <w:r w:rsidR="00744A1C">
        <w:rPr>
          <w:rtl/>
          <w:lang w:bidi="fa-IR"/>
        </w:rPr>
        <w:t xml:space="preserve"> والأمالي للصدوق : « لواحدة ».</w:t>
      </w:r>
    </w:p>
    <w:p w:rsidR="00744A1C" w:rsidRDefault="00E378DD" w:rsidP="00E378DD">
      <w:pPr>
        <w:pStyle w:val="libFootnote0"/>
        <w:rPr>
          <w:lang w:bidi="fa-IR"/>
        </w:rPr>
      </w:pPr>
      <w:r>
        <w:rPr>
          <w:rtl/>
          <w:lang w:bidi="fa-IR"/>
        </w:rPr>
        <w:t>(14).</w:t>
      </w:r>
      <w:r w:rsidR="00744A1C">
        <w:rPr>
          <w:rtl/>
          <w:lang w:bidi="fa-IR"/>
        </w:rPr>
        <w:t xml:space="preserve"> في حاشية « بف » : « لا أعلم ».</w:t>
      </w:r>
    </w:p>
    <w:p w:rsidR="00744A1C" w:rsidRDefault="00E378DD" w:rsidP="00E378DD">
      <w:pPr>
        <w:pStyle w:val="libFootnote0"/>
        <w:rPr>
          <w:lang w:bidi="fa-IR"/>
        </w:rPr>
      </w:pPr>
      <w:r>
        <w:rPr>
          <w:rtl/>
          <w:lang w:bidi="fa-IR"/>
        </w:rPr>
        <w:t>(15).</w:t>
      </w:r>
      <w:r w:rsidR="00744A1C">
        <w:rPr>
          <w:rtl/>
          <w:lang w:bidi="fa-IR"/>
        </w:rPr>
        <w:t xml:space="preserve"> في « بس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و</w:t>
      </w:r>
      <w:r w:rsidR="00744A1C" w:rsidRPr="0061079A">
        <w:rPr>
          <w:rStyle w:val="libFootnoteBoldChar"/>
          <w:rtl/>
        </w:rPr>
        <w:t>الكافي</w:t>
      </w:r>
      <w:r w:rsidR="00744A1C">
        <w:rPr>
          <w:rtl/>
          <w:lang w:bidi="fa-IR"/>
        </w:rPr>
        <w:t xml:space="preserve"> ح 3237 </w:t>
      </w:r>
      <w:r w:rsidR="00744A1C" w:rsidRPr="0061079A">
        <w:rPr>
          <w:rStyle w:val="libFootnoteBoldChar"/>
          <w:rtl/>
        </w:rPr>
        <w:t>والتهذيب</w:t>
      </w:r>
      <w:r w:rsidR="00744A1C">
        <w:rPr>
          <w:rtl/>
          <w:lang w:bidi="fa-IR"/>
        </w:rPr>
        <w:t xml:space="preserve"> والأمالي للصدوق : « تستجاب ».</w:t>
      </w:r>
    </w:p>
    <w:p w:rsidR="00744A1C" w:rsidRDefault="00744A1C" w:rsidP="00D10E3C">
      <w:pPr>
        <w:pStyle w:val="libFootnote0"/>
        <w:rPr>
          <w:lang w:bidi="fa-IR"/>
        </w:rPr>
      </w:pPr>
      <w:r>
        <w:rPr>
          <w:rtl/>
          <w:lang w:bidi="fa-IR"/>
        </w:rPr>
        <w:t xml:space="preserve">(16) </w:t>
      </w:r>
      <w:r w:rsidRPr="0061079A">
        <w:rPr>
          <w:rStyle w:val="libFootnoteBoldChar"/>
          <w:rtl/>
        </w:rPr>
        <w:t>الكافي</w:t>
      </w:r>
      <w:r>
        <w:rPr>
          <w:rtl/>
          <w:lang w:bidi="fa-IR"/>
        </w:rPr>
        <w:t xml:space="preserve"> ، كتاب الدعاء ، باب الدعاء للإخوان بظهر الغيب ، ح 3237. وفي </w:t>
      </w:r>
      <w:r w:rsidRPr="00C24F9C">
        <w:rPr>
          <w:rStyle w:val="libFootnoteBoldChar"/>
          <w:rtl/>
        </w:rPr>
        <w:t>التهذيب</w:t>
      </w:r>
      <w:r>
        <w:rPr>
          <w:rtl/>
          <w:lang w:bidi="fa-IR"/>
        </w:rPr>
        <w:t xml:space="preserve"> ، ج 5 ، ص 184 ، ح 615 ، معلّقاً عن الكليني. الأمالي للصدوق ، ص 455 ، المجلس 70 ، ح 2 ، بسنده عن عليّ بن إبراهيم. </w:t>
      </w:r>
      <w:r w:rsidRPr="00C24F9C">
        <w:rPr>
          <w:rStyle w:val="libFootnoteBoldChar"/>
          <w:rtl/>
        </w:rPr>
        <w:t>الفقيه</w:t>
      </w:r>
      <w:r>
        <w:rPr>
          <w:rtl/>
          <w:lang w:bidi="fa-IR"/>
        </w:rPr>
        <w:t xml:space="preserve"> ، ج 2 ، </w:t>
      </w:r>
      <w:r w:rsidR="00A37B1B">
        <w:rPr>
          <w:rFonts w:hint="cs"/>
          <w:rtl/>
          <w:lang w:bidi="fa-IR"/>
        </w:rPr>
        <w:t>=</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7748 / 8. عِدَّةٌ مِنْ أَصْحَابِنَا ، عَنْ سَهْلِ بْنِ زِيَادٍ ، عَنْ مُحَمَّدِ بْنِ عِيسَى بْنِ عُبَيْدٍ ، عَنِ ابْنِ أَبِي عُمَيْرٍ ، قَالَ :</w:t>
      </w:r>
    </w:p>
    <w:p w:rsidR="00744A1C" w:rsidRDefault="00744A1C" w:rsidP="00744A1C">
      <w:pPr>
        <w:pStyle w:val="libNormal"/>
        <w:rPr>
          <w:lang w:bidi="fa-IR"/>
        </w:rPr>
      </w:pPr>
      <w:r>
        <w:rPr>
          <w:rtl/>
          <w:lang w:bidi="fa-IR"/>
        </w:rPr>
        <w:t xml:space="preserve">كَانَ عِيسَى بْنُ أَعْيَنَ إِذَا حَجَّ ، فَصَارَ </w:t>
      </w:r>
      <w:r w:rsidRPr="00D10E3C">
        <w:rPr>
          <w:rStyle w:val="libFootnotenumChar"/>
          <w:rtl/>
        </w:rPr>
        <w:t>(1)</w:t>
      </w:r>
      <w:r>
        <w:rPr>
          <w:rtl/>
          <w:lang w:bidi="fa-IR"/>
        </w:rPr>
        <w:t xml:space="preserve"> إِلَى الْمَوْقِفِ ، أَقْبَلَ عَلَى الدُّعَاءِ لِإِخْوَانِهِ حَتّى يُفِيضَ النَّاسُ.</w:t>
      </w:r>
    </w:p>
    <w:p w:rsidR="00744A1C" w:rsidRDefault="00744A1C" w:rsidP="00744A1C">
      <w:pPr>
        <w:pStyle w:val="libNormal"/>
        <w:rPr>
          <w:lang w:bidi="fa-IR"/>
        </w:rPr>
      </w:pPr>
      <w:r>
        <w:rPr>
          <w:rtl/>
          <w:lang w:bidi="fa-IR"/>
        </w:rPr>
        <w:t xml:space="preserve">قَالَ </w:t>
      </w:r>
      <w:r w:rsidRPr="00D10E3C">
        <w:rPr>
          <w:rStyle w:val="libFootnotenumChar"/>
          <w:rtl/>
        </w:rPr>
        <w:t>(2)</w:t>
      </w:r>
      <w:r>
        <w:rPr>
          <w:rtl/>
          <w:lang w:bidi="fa-IR"/>
        </w:rPr>
        <w:t xml:space="preserve"> : فَقُلْتُ </w:t>
      </w:r>
      <w:r w:rsidRPr="00D10E3C">
        <w:rPr>
          <w:rStyle w:val="libFootnotenumChar"/>
          <w:rtl/>
        </w:rPr>
        <w:t>(3)</w:t>
      </w:r>
      <w:r>
        <w:rPr>
          <w:rtl/>
          <w:lang w:bidi="fa-IR"/>
        </w:rPr>
        <w:t xml:space="preserve"> لَهُ : تُنْفِقُ مَالَكَ ، وَتُتْعِبُ بَدَنَكَ حَتّى إِذَا صِرْتَ إِلَى الْمَوْضِعِ الَّذِي تُبَثُّ فِيهِ الْحَوَائِجُ إِلَى اللهِ - عَزَّ وَجَلَّ - أَقْبَلْتَ عَلَى الدُّعَاءِ لِإِخْوَانِكَ ، وَتَرَكْتَ </w:t>
      </w:r>
      <w:r w:rsidRPr="00D10E3C">
        <w:rPr>
          <w:rStyle w:val="libFootnotenumChar"/>
          <w:rtl/>
        </w:rPr>
        <w:t>(4)</w:t>
      </w:r>
      <w:r>
        <w:rPr>
          <w:rtl/>
          <w:lang w:bidi="fa-IR"/>
        </w:rPr>
        <w:t xml:space="preserve"> نَفْسَكَ؟</w:t>
      </w:r>
    </w:p>
    <w:p w:rsidR="00144FA6" w:rsidRDefault="00744A1C" w:rsidP="00744A1C">
      <w:pPr>
        <w:pStyle w:val="libNormal"/>
        <w:rPr>
          <w:rtl/>
          <w:lang w:bidi="fa-IR"/>
        </w:rPr>
      </w:pPr>
      <w:r>
        <w:rPr>
          <w:rtl/>
          <w:lang w:bidi="fa-IR"/>
        </w:rPr>
        <w:t xml:space="preserve">قَالَ </w:t>
      </w:r>
      <w:r w:rsidRPr="00D10E3C">
        <w:rPr>
          <w:rStyle w:val="libFootnotenumChar"/>
          <w:rtl/>
        </w:rPr>
        <w:t>(5)</w:t>
      </w:r>
      <w:r>
        <w:rPr>
          <w:rtl/>
          <w:lang w:bidi="fa-IR"/>
        </w:rPr>
        <w:t xml:space="preserve"> : إِنِّي عَلى ثِقَةٍ مِنْ دَعْوَةِ الْمَلَكِ لِي ، وَفِي شَكٍّ مِنَ الدُّعَاءِ لِنَفْسِي. </w:t>
      </w:r>
      <w:r w:rsidRPr="00D10E3C">
        <w:rPr>
          <w:rStyle w:val="libFootnotenumChar"/>
          <w:rtl/>
        </w:rPr>
        <w:t>(6)</w:t>
      </w:r>
    </w:p>
    <w:p w:rsidR="00144FA6" w:rsidRDefault="00744A1C" w:rsidP="00744A1C">
      <w:pPr>
        <w:pStyle w:val="libNormal"/>
        <w:rPr>
          <w:rtl/>
          <w:lang w:bidi="fa-IR"/>
        </w:rPr>
      </w:pPr>
      <w:r>
        <w:rPr>
          <w:rtl/>
          <w:lang w:bidi="fa-IR"/>
        </w:rPr>
        <w:t xml:space="preserve">7749 / 9. أَحْمَدُ بْنُ مُحَمَّدٍ الْعَاصِمِيُّ ، عَنْ عَلِيِّ بْنِ الْحَسَنِ التَّيْمُلِيِّ </w:t>
      </w:r>
      <w:r w:rsidRPr="00D10E3C">
        <w:rPr>
          <w:rStyle w:val="libFootnotenumChar"/>
          <w:rtl/>
        </w:rPr>
        <w:t>(7)</w:t>
      </w:r>
      <w:r>
        <w:rPr>
          <w:rtl/>
          <w:lang w:bidi="fa-IR"/>
        </w:rPr>
        <w:t xml:space="preserve"> ، عَنْ عَلِيِّ بْنِ أَسْبَاطٍ ، عَنْ إِبْرَاهِيمَ بْنِ أَبِي الْبِلَادِ أَوْ </w:t>
      </w:r>
      <w:r w:rsidRPr="00D10E3C">
        <w:rPr>
          <w:rStyle w:val="libFootnotenumChar"/>
          <w:rtl/>
        </w:rPr>
        <w:t>(8)</w:t>
      </w:r>
      <w:r>
        <w:rPr>
          <w:rtl/>
          <w:lang w:bidi="fa-IR"/>
        </w:rPr>
        <w:t xml:space="preserve"> عَبْدِ اللهِ بْنِ جُنْدَبٍ ، قَالَ :</w:t>
      </w:r>
    </w:p>
    <w:p w:rsidR="00744A1C" w:rsidRDefault="00744A1C" w:rsidP="00D10E3C">
      <w:pPr>
        <w:pStyle w:val="libLine"/>
        <w:rPr>
          <w:lang w:bidi="fa-IR"/>
        </w:rPr>
      </w:pPr>
      <w:r>
        <w:rPr>
          <w:rtl/>
          <w:lang w:bidi="fa-IR"/>
        </w:rPr>
        <w:t>____________________</w:t>
      </w:r>
    </w:p>
    <w:p w:rsidR="00744A1C" w:rsidRDefault="009C5F2E" w:rsidP="004514E1">
      <w:pPr>
        <w:pStyle w:val="libFootnote0"/>
        <w:rPr>
          <w:lang w:bidi="fa-IR"/>
        </w:rPr>
      </w:pPr>
      <w:r>
        <w:rPr>
          <w:rFonts w:hint="cs"/>
          <w:rtl/>
          <w:lang w:bidi="fa-IR"/>
        </w:rPr>
        <w:t xml:space="preserve">= </w:t>
      </w:r>
      <w:r w:rsidR="00744A1C">
        <w:rPr>
          <w:rtl/>
          <w:lang w:bidi="fa-IR"/>
        </w:rPr>
        <w:t xml:space="preserve">ص 212 ، ح 2185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من قوله : « ما دعا لأخيه بظهر الغيب » مع اختلاف يسير </w:t>
      </w:r>
      <w:r w:rsidR="004514E1">
        <w:rPr>
          <w:rFonts w:hint="cs"/>
          <w:rtl/>
          <w:lang w:bidi="fa-IR"/>
        </w:rPr>
        <w:t>.</w:t>
      </w:r>
      <w:r w:rsidR="00744A1C" w:rsidRPr="00C24F9C">
        <w:rPr>
          <w:rStyle w:val="libFootnoteBoldChar"/>
          <w:rtl/>
        </w:rPr>
        <w:t>الوافي</w:t>
      </w:r>
      <w:r w:rsidR="00744A1C">
        <w:rPr>
          <w:rtl/>
          <w:lang w:bidi="fa-IR"/>
        </w:rPr>
        <w:t xml:space="preserve"> ، ج 9 ، ص 1527 ، ح 8699 ؛ </w:t>
      </w:r>
      <w:r w:rsidR="00744A1C" w:rsidRPr="00C24F9C">
        <w:rPr>
          <w:rStyle w:val="libFootnoteBoldChar"/>
          <w:rtl/>
        </w:rPr>
        <w:t>الوسائل</w:t>
      </w:r>
      <w:r w:rsidR="00744A1C">
        <w:rPr>
          <w:rtl/>
          <w:lang w:bidi="fa-IR"/>
        </w:rPr>
        <w:t xml:space="preserve"> ، ج 13 ، ص 544 ، ح 18402 ؛ </w:t>
      </w:r>
      <w:r w:rsidR="00744A1C" w:rsidRPr="0061079A">
        <w:rPr>
          <w:rStyle w:val="libFootnoteBoldChar"/>
          <w:rtl/>
        </w:rPr>
        <w:t>البحار</w:t>
      </w:r>
      <w:r w:rsidR="00744A1C">
        <w:rPr>
          <w:rtl/>
          <w:lang w:bidi="fa-IR"/>
        </w:rPr>
        <w:t xml:space="preserve"> ، ج 48 ، ص 171 ، ح 10.</w:t>
      </w:r>
      <w:r w:rsidR="004514E1">
        <w:rPr>
          <w:rFonts w:hint="cs"/>
          <w:rtl/>
          <w:lang w:bidi="fa-IR"/>
        </w:rPr>
        <w:t xml:space="preserve">                                 </w:t>
      </w:r>
      <w:r w:rsidR="00D10E3C">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وصار ».</w:t>
      </w:r>
    </w:p>
    <w:p w:rsidR="00744A1C" w:rsidRDefault="00E378DD" w:rsidP="00E378DD">
      <w:pPr>
        <w:pStyle w:val="libFootnote0"/>
        <w:rPr>
          <w:lang w:bidi="fa-IR"/>
        </w:rPr>
      </w:pPr>
      <w:r>
        <w:rPr>
          <w:rtl/>
          <w:lang w:bidi="fa-IR"/>
        </w:rPr>
        <w:t>(2).</w:t>
      </w:r>
      <w:r w:rsidR="00744A1C">
        <w:rPr>
          <w:rtl/>
          <w:lang w:bidi="fa-IR"/>
        </w:rPr>
        <w:t xml:space="preserve"> في « بف » و</w:t>
      </w:r>
      <w:r w:rsidR="00744A1C" w:rsidRPr="00C24F9C">
        <w:rPr>
          <w:rStyle w:val="libFootnoteBoldChar"/>
          <w:rtl/>
        </w:rPr>
        <w:t>الوافي</w:t>
      </w:r>
      <w:r w:rsidR="00744A1C">
        <w:rPr>
          <w:rtl/>
          <w:lang w:bidi="fa-IR"/>
        </w:rPr>
        <w:t xml:space="preserve"> : - « قال ».</w:t>
      </w:r>
    </w:p>
    <w:p w:rsidR="00744A1C" w:rsidRDefault="00E378DD" w:rsidP="00E378DD">
      <w:pPr>
        <w:pStyle w:val="libFootnote0"/>
        <w:rPr>
          <w:lang w:bidi="fa-IR"/>
        </w:rPr>
      </w:pPr>
      <w:r>
        <w:rPr>
          <w:rtl/>
          <w:lang w:bidi="fa-IR"/>
        </w:rPr>
        <w:t>(3).</w:t>
      </w:r>
      <w:r w:rsidR="00744A1C">
        <w:rPr>
          <w:rtl/>
          <w:lang w:bidi="fa-IR"/>
        </w:rPr>
        <w:t xml:space="preserve"> في « بخ ، بف » وحاشية « جن » </w:t>
      </w:r>
      <w:r w:rsidR="00744A1C" w:rsidRPr="005520F0">
        <w:rPr>
          <w:rtl/>
        </w:rPr>
        <w:t>والوافي والتهذيب والاختصاص :</w:t>
      </w:r>
      <w:r w:rsidR="00744A1C">
        <w:rPr>
          <w:rtl/>
          <w:lang w:bidi="fa-IR"/>
        </w:rPr>
        <w:t xml:space="preserve"> « فقيل ».</w:t>
      </w:r>
    </w:p>
    <w:p w:rsidR="00744A1C" w:rsidRDefault="00E378DD" w:rsidP="00E378DD">
      <w:pPr>
        <w:pStyle w:val="libFootnote0"/>
        <w:rPr>
          <w:lang w:bidi="fa-IR"/>
        </w:rPr>
      </w:pPr>
      <w:r>
        <w:rPr>
          <w:rtl/>
          <w:lang w:bidi="fa-IR"/>
        </w:rPr>
        <w:t>(4).</w:t>
      </w:r>
      <w:r w:rsidR="00744A1C">
        <w:rPr>
          <w:rtl/>
          <w:lang w:bidi="fa-IR"/>
        </w:rPr>
        <w:t xml:space="preserve"> في « بخ ، بف » و</w:t>
      </w:r>
      <w:r w:rsidR="00744A1C" w:rsidRPr="00C24F9C">
        <w:rPr>
          <w:rStyle w:val="libFootnoteBoldChar"/>
          <w:rtl/>
        </w:rPr>
        <w:t>الوافي</w:t>
      </w:r>
      <w:r w:rsidR="00744A1C">
        <w:rPr>
          <w:rtl/>
          <w:lang w:bidi="fa-IR"/>
        </w:rPr>
        <w:t xml:space="preserve"> : « وتترك ».</w:t>
      </w:r>
    </w:p>
    <w:p w:rsidR="00744A1C" w:rsidRDefault="00E378DD" w:rsidP="00E378DD">
      <w:pPr>
        <w:pStyle w:val="libFootnote0"/>
        <w:rPr>
          <w:lang w:bidi="fa-IR"/>
        </w:rPr>
      </w:pPr>
      <w:r>
        <w:rPr>
          <w:rtl/>
          <w:lang w:bidi="fa-IR"/>
        </w:rPr>
        <w:t>(5).</w:t>
      </w:r>
      <w:r w:rsidR="00744A1C">
        <w:rPr>
          <w:rtl/>
          <w:lang w:bidi="fa-IR"/>
        </w:rPr>
        <w:t xml:space="preserve"> في « ى ، بخ ، بف ، جد » </w:t>
      </w:r>
      <w:r w:rsidR="00744A1C" w:rsidRPr="005520F0">
        <w:rPr>
          <w:rtl/>
        </w:rPr>
        <w:t>والوافي والوسائل والتهذيب والاختصاص</w:t>
      </w:r>
      <w:r w:rsidR="00744A1C">
        <w:rPr>
          <w:rtl/>
          <w:lang w:bidi="fa-IR"/>
        </w:rPr>
        <w:t xml:space="preserve"> : « فقال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185 ، ح 616 ، معلّقاً عن الكليني. </w:t>
      </w:r>
      <w:r w:rsidR="00744A1C" w:rsidRPr="00211914">
        <w:rPr>
          <w:rStyle w:val="libFootnoteBoldChar"/>
          <w:rtl/>
        </w:rPr>
        <w:t>الاختصاص</w:t>
      </w:r>
      <w:r w:rsidR="00744A1C">
        <w:rPr>
          <w:rtl/>
          <w:lang w:bidi="fa-IR"/>
        </w:rPr>
        <w:t xml:space="preserve"> ، ص 68 ، بسنده عن محمّد بن عيسى ، عن محمّد بن أبي عمير ، عن بعض أصحابه </w:t>
      </w:r>
      <w:r w:rsidR="004514E1">
        <w:rPr>
          <w:rFonts w:hint="cs"/>
          <w:rtl/>
          <w:lang w:bidi="fa-IR"/>
        </w:rPr>
        <w:t>.</w:t>
      </w:r>
      <w:r w:rsidR="00744A1C" w:rsidRPr="00C24F9C">
        <w:rPr>
          <w:rStyle w:val="libFootnoteBoldChar"/>
          <w:rtl/>
        </w:rPr>
        <w:t>الوافي</w:t>
      </w:r>
      <w:r w:rsidR="00744A1C">
        <w:rPr>
          <w:rtl/>
          <w:lang w:bidi="fa-IR"/>
        </w:rPr>
        <w:t xml:space="preserve"> ، ج 9 ، ص 1528 ، ح 8700 ؛ </w:t>
      </w:r>
      <w:r w:rsidR="00744A1C" w:rsidRPr="00C24F9C">
        <w:rPr>
          <w:rStyle w:val="libFootnoteBoldChar"/>
          <w:rtl/>
        </w:rPr>
        <w:t>الوسائل</w:t>
      </w:r>
      <w:r w:rsidR="00744A1C">
        <w:rPr>
          <w:rtl/>
          <w:lang w:bidi="fa-IR"/>
        </w:rPr>
        <w:t xml:space="preserve"> ، ج 13 ، ص 544 ، ح 18403.</w:t>
      </w:r>
    </w:p>
    <w:p w:rsidR="00744A1C" w:rsidRDefault="00E378DD" w:rsidP="00E378DD">
      <w:pPr>
        <w:pStyle w:val="libFootnote0"/>
        <w:rPr>
          <w:lang w:bidi="fa-IR"/>
        </w:rPr>
      </w:pPr>
      <w:r>
        <w:rPr>
          <w:rtl/>
          <w:lang w:bidi="fa-IR"/>
        </w:rPr>
        <w:t>(7).</w:t>
      </w:r>
      <w:r w:rsidR="00744A1C">
        <w:rPr>
          <w:rtl/>
          <w:lang w:bidi="fa-IR"/>
        </w:rPr>
        <w:t xml:space="preserve"> هكذا في « جد ، جر » وحاشية « بث ، بح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وفي « ى ، بف » : « عليّ بن الحسن السلمي ». وفي « بس » وحاشية « جن » : « عليّ بن الحسين التيملي ». وفي « بث ، بح ، بخ ، جن » والمطبوع و</w:t>
      </w:r>
      <w:r w:rsidR="00744A1C" w:rsidRPr="0061079A">
        <w:rPr>
          <w:rStyle w:val="libFootnoteBoldChar"/>
          <w:rtl/>
        </w:rPr>
        <w:t>البحار</w:t>
      </w:r>
      <w:r w:rsidR="00744A1C">
        <w:rPr>
          <w:rtl/>
          <w:lang w:bidi="fa-IR"/>
        </w:rPr>
        <w:t xml:space="preserve"> : « عليّ بن الحسين السلمي ».</w:t>
      </w:r>
    </w:p>
    <w:p w:rsidR="00744A1C" w:rsidRDefault="00744A1C" w:rsidP="00D10E3C">
      <w:pPr>
        <w:pStyle w:val="libFootnote0"/>
        <w:rPr>
          <w:lang w:bidi="fa-IR"/>
        </w:rPr>
      </w:pPr>
      <w:r>
        <w:rPr>
          <w:rtl/>
          <w:lang w:bidi="fa-IR"/>
        </w:rPr>
        <w:t xml:space="preserve">والصواب ما أثبتناه وعليّ بن الحسن التيملي هو عليّ بن الحسن بن فضّال. روى عنه أحمد بن محمّد العاصمي في عدّة من الأسناد. لاحظ ما قدّمناه في </w:t>
      </w:r>
      <w:r w:rsidRPr="0061079A">
        <w:rPr>
          <w:rStyle w:val="libFootnoteBoldChar"/>
          <w:rtl/>
        </w:rPr>
        <w:t>الكافي</w:t>
      </w:r>
      <w:r>
        <w:rPr>
          <w:rtl/>
          <w:lang w:bidi="fa-IR"/>
        </w:rPr>
        <w:t xml:space="preserve"> ، ذيل ح 2333.</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 أنّ » بدل « أو ».</w:t>
      </w:r>
    </w:p>
    <w:p w:rsidR="00A55A65" w:rsidRDefault="00A55A65"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كُنْتُ فِي الْمَوْقِفِ ، فَلَمَّا أَفَضْتُ لَقِيتُ </w:t>
      </w:r>
      <w:r w:rsidRPr="00D10E3C">
        <w:rPr>
          <w:rStyle w:val="libFootnotenumChar"/>
          <w:rtl/>
        </w:rPr>
        <w:t>(1)</w:t>
      </w:r>
      <w:r>
        <w:rPr>
          <w:rtl/>
          <w:lang w:bidi="fa-IR"/>
        </w:rPr>
        <w:t xml:space="preserve"> إِبْرَاهِيمَ بْنَ شُعَيْبٍ ، فَسَلَّمْتُ عَلَيْهِ - وَكَانَ مُصَاباً بِإِحْدى عَيْنَيْهِ - وَإِذَا عَيْنُهُ الصَّحِيحَةُ حَمْرَاءُ كَأَ نَّهَا عَلَقَةُ دَمٍ </w:t>
      </w:r>
      <w:r w:rsidRPr="00D10E3C">
        <w:rPr>
          <w:rStyle w:val="libFootnotenumChar"/>
          <w:rtl/>
        </w:rPr>
        <w:t>(2)</w:t>
      </w:r>
      <w:r>
        <w:rPr>
          <w:rtl/>
          <w:lang w:bidi="fa-IR"/>
        </w:rPr>
        <w:t xml:space="preserve"> ، فَقُلْتُ لَهُ : قَدْ‌ أُصِبْتَ بِإِحْدى عَيْنَيْكَ وَأَنَا وَاللهِ مُشْفِقٌ عَلَى </w:t>
      </w:r>
      <w:r w:rsidRPr="00D10E3C">
        <w:rPr>
          <w:rStyle w:val="libFootnotenumChar"/>
          <w:rtl/>
        </w:rPr>
        <w:t>(3)</w:t>
      </w:r>
      <w:r>
        <w:rPr>
          <w:rtl/>
          <w:lang w:bidi="fa-IR"/>
        </w:rPr>
        <w:t xml:space="preserve"> الْأُخْرى ، فَلَوْ قَصَرْتَ مِنَ الْبُكَاءِ قَلِيلاً.</w:t>
      </w:r>
    </w:p>
    <w:p w:rsidR="00744A1C" w:rsidRDefault="00744A1C" w:rsidP="00744A1C">
      <w:pPr>
        <w:pStyle w:val="libNormal"/>
        <w:rPr>
          <w:lang w:bidi="fa-IR"/>
        </w:rPr>
      </w:pPr>
      <w:r>
        <w:rPr>
          <w:rtl/>
          <w:lang w:bidi="fa-IR"/>
        </w:rPr>
        <w:t xml:space="preserve">فَقَالَ </w:t>
      </w:r>
      <w:r w:rsidRPr="00D10E3C">
        <w:rPr>
          <w:rStyle w:val="libFootnotenumChar"/>
          <w:rtl/>
        </w:rPr>
        <w:t>(4)</w:t>
      </w:r>
      <w:r>
        <w:rPr>
          <w:rtl/>
          <w:lang w:bidi="fa-IR"/>
        </w:rPr>
        <w:t xml:space="preserve"> : وَلَا </w:t>
      </w:r>
      <w:r w:rsidRPr="00D10E3C">
        <w:rPr>
          <w:rStyle w:val="libFootnotenumChar"/>
          <w:rtl/>
        </w:rPr>
        <w:t>(5)</w:t>
      </w:r>
      <w:r>
        <w:rPr>
          <w:rtl/>
          <w:lang w:bidi="fa-IR"/>
        </w:rPr>
        <w:t xml:space="preserve"> اللهِ يَا أَبَا مُحَمَّدٍ ، مَا دَعَوْتُ لِنَفْسِيَ الْيَوْمَ بِدَعْوَةٍ.</w:t>
      </w:r>
    </w:p>
    <w:p w:rsidR="00744A1C" w:rsidRDefault="00744A1C" w:rsidP="00744A1C">
      <w:pPr>
        <w:pStyle w:val="libNormal"/>
        <w:rPr>
          <w:lang w:bidi="fa-IR"/>
        </w:rPr>
      </w:pPr>
      <w:r>
        <w:rPr>
          <w:rtl/>
          <w:lang w:bidi="fa-IR"/>
        </w:rPr>
        <w:t xml:space="preserve">فَقُلْتُ : فَلِمَنْ </w:t>
      </w:r>
      <w:r w:rsidRPr="00D10E3C">
        <w:rPr>
          <w:rStyle w:val="libFootnotenumChar"/>
          <w:rtl/>
        </w:rPr>
        <w:t>(6)</w:t>
      </w:r>
      <w:r>
        <w:rPr>
          <w:rtl/>
          <w:lang w:bidi="fa-IR"/>
        </w:rPr>
        <w:t xml:space="preserve"> دَعَوْتَ؟</w:t>
      </w:r>
    </w:p>
    <w:p w:rsidR="00144FA6" w:rsidRDefault="00744A1C" w:rsidP="005520F0">
      <w:pPr>
        <w:pStyle w:val="libNormal"/>
        <w:rPr>
          <w:rtl/>
          <w:lang w:bidi="fa-IR"/>
        </w:rPr>
      </w:pPr>
      <w:r>
        <w:rPr>
          <w:rtl/>
          <w:lang w:bidi="fa-IR"/>
        </w:rPr>
        <w:t xml:space="preserve">قَالَ : دَعَوْتُ لِإِخْوَانِي ؛ لِأَنِّي </w:t>
      </w:r>
      <w:r w:rsidRPr="00D10E3C">
        <w:rPr>
          <w:rStyle w:val="libFootnotenumChar"/>
          <w:rtl/>
        </w:rPr>
        <w:t>(7)</w:t>
      </w:r>
      <w:r>
        <w:rPr>
          <w:rtl/>
          <w:lang w:bidi="fa-IR"/>
        </w:rPr>
        <w:t xml:space="preserve"> 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مَنْ دَعَا لِأَخِيهِ بِظَهْرِ الْغَيْبِ ، وَكَّلَ اللهُ بِهِ مَلَكاً يَقُولُ : وَلَكَ مِثْلَاهُ » فَأَرَدْتُ أَنْ أَكُونَ </w:t>
      </w:r>
      <w:r w:rsidRPr="00D10E3C">
        <w:rPr>
          <w:rStyle w:val="libFootnotenumChar"/>
          <w:rtl/>
        </w:rPr>
        <w:t>(8)</w:t>
      </w:r>
      <w:r>
        <w:rPr>
          <w:rtl/>
          <w:lang w:bidi="fa-IR"/>
        </w:rPr>
        <w:t xml:space="preserve"> إِنَّمَا </w:t>
      </w:r>
      <w:r w:rsidRPr="00D10E3C">
        <w:rPr>
          <w:rStyle w:val="libFootnotenumChar"/>
          <w:rtl/>
        </w:rPr>
        <w:t>(9)</w:t>
      </w:r>
      <w:r>
        <w:rPr>
          <w:rtl/>
          <w:lang w:bidi="fa-IR"/>
        </w:rPr>
        <w:t xml:space="preserve"> أَدْعُو لِإِخْوَانِي ، وَيَكُونَ الْمَلَكُ يَدْعُو لِي ؛ لِأَنِّي </w:t>
      </w:r>
      <w:r w:rsidRPr="00D10E3C">
        <w:rPr>
          <w:rStyle w:val="libFootnotenumChar"/>
          <w:rtl/>
        </w:rPr>
        <w:t>(10)</w:t>
      </w:r>
      <w:r>
        <w:rPr>
          <w:rtl/>
          <w:lang w:bidi="fa-IR"/>
        </w:rPr>
        <w:t xml:space="preserve"> فِي شَكٍّ مِنْ دُعَائِي لِنَفْسِي وَلَسْتُ فِي شَكٍّ مِنْ دُعَاءِ الْمَلَكِ لِي </w:t>
      </w:r>
      <w:r w:rsidRPr="00D10E3C">
        <w:rPr>
          <w:rStyle w:val="libFootnotenumChar"/>
          <w:rtl/>
        </w:rPr>
        <w:t>(11)</w:t>
      </w:r>
      <w:r w:rsidR="005520F0">
        <w:rPr>
          <w:rFonts w:hint="cs"/>
          <w:rtl/>
          <w:lang w:bidi="fa-IR"/>
        </w:rPr>
        <w:t>.</w:t>
      </w:r>
      <w:r w:rsidRPr="00D10E3C">
        <w:rPr>
          <w:rStyle w:val="libFootnotenumChar"/>
          <w:rtl/>
        </w:rPr>
        <w:t>(12)</w:t>
      </w:r>
    </w:p>
    <w:p w:rsidR="00144FA6" w:rsidRDefault="00744A1C" w:rsidP="00744A1C">
      <w:pPr>
        <w:pStyle w:val="libNormal"/>
        <w:rPr>
          <w:rtl/>
          <w:lang w:bidi="fa-IR"/>
        </w:rPr>
      </w:pPr>
      <w:r>
        <w:rPr>
          <w:rtl/>
          <w:lang w:bidi="fa-IR"/>
        </w:rPr>
        <w:t xml:space="preserve">7750 / 10. مُحَمَّدُ بْنُ يَحْيى ، عَنْ مُحَمَّدِ بْنِ الْحُسَيْنِ ، عَنِ النَّضْرِ بْنِ شُعَيْبٍ </w:t>
      </w:r>
      <w:r w:rsidRPr="00D10E3C">
        <w:rPr>
          <w:rStyle w:val="libFootnotenumChar"/>
          <w:rtl/>
        </w:rPr>
        <w:t>(13)</w:t>
      </w:r>
      <w:r>
        <w:rPr>
          <w:rtl/>
          <w:lang w:bidi="fa-IR"/>
        </w:rPr>
        <w:t xml:space="preserve"> ، عَنْ عَمْرِو بْنِ أَبِي الْمِقْدَامِ ، قَالَ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4514E1" w:rsidTr="004514E1">
        <w:tc>
          <w:tcPr>
            <w:tcW w:w="4006" w:type="dxa"/>
          </w:tcPr>
          <w:p w:rsidR="004514E1" w:rsidRDefault="004514E1" w:rsidP="00D10E3C">
            <w:pPr>
              <w:pStyle w:val="libFootnote0"/>
              <w:rPr>
                <w:rtl/>
                <w:lang w:bidi="fa-IR"/>
              </w:rPr>
            </w:pPr>
            <w:r>
              <w:rPr>
                <w:rtl/>
                <w:lang w:bidi="fa-IR"/>
              </w:rPr>
              <w:t xml:space="preserve">(1). في </w:t>
            </w:r>
            <w:r w:rsidRPr="00C24F9C">
              <w:rPr>
                <w:rStyle w:val="libFootnoteBoldChar"/>
                <w:rtl/>
              </w:rPr>
              <w:t>التهذيب</w:t>
            </w:r>
            <w:r>
              <w:rPr>
                <w:rtl/>
                <w:lang w:bidi="fa-IR"/>
              </w:rPr>
              <w:t xml:space="preserve"> : « أتيت ».</w:t>
            </w:r>
          </w:p>
        </w:tc>
        <w:tc>
          <w:tcPr>
            <w:tcW w:w="4006" w:type="dxa"/>
          </w:tcPr>
          <w:p w:rsidR="004514E1" w:rsidRDefault="004514E1" w:rsidP="00D10E3C">
            <w:pPr>
              <w:pStyle w:val="libFootnote0"/>
              <w:rPr>
                <w:rtl/>
                <w:lang w:bidi="fa-IR"/>
              </w:rPr>
            </w:pPr>
            <w:r>
              <w:rPr>
                <w:rtl/>
                <w:lang w:bidi="fa-IR"/>
              </w:rPr>
              <w:t xml:space="preserve">(2). في </w:t>
            </w:r>
            <w:r w:rsidRPr="00C24F9C">
              <w:rPr>
                <w:rStyle w:val="libFootnoteBoldChar"/>
                <w:rtl/>
              </w:rPr>
              <w:t>الوسائل</w:t>
            </w:r>
            <w:r>
              <w:rPr>
                <w:rtl/>
                <w:lang w:bidi="fa-IR"/>
              </w:rPr>
              <w:t xml:space="preserve"> : - « دم ».</w:t>
            </w:r>
          </w:p>
        </w:tc>
      </w:tr>
      <w:tr w:rsidR="004514E1" w:rsidTr="004514E1">
        <w:tc>
          <w:tcPr>
            <w:tcW w:w="4006" w:type="dxa"/>
          </w:tcPr>
          <w:p w:rsidR="004514E1" w:rsidRDefault="004514E1" w:rsidP="00D10E3C">
            <w:pPr>
              <w:pStyle w:val="libFootnote0"/>
              <w:rPr>
                <w:rtl/>
                <w:lang w:bidi="fa-IR"/>
              </w:rPr>
            </w:pPr>
            <w:r>
              <w:rPr>
                <w:rtl/>
                <w:lang w:bidi="fa-IR"/>
              </w:rPr>
              <w:t>(3). في « بس » : + « عينك ».</w:t>
            </w:r>
          </w:p>
        </w:tc>
        <w:tc>
          <w:tcPr>
            <w:tcW w:w="4006" w:type="dxa"/>
          </w:tcPr>
          <w:p w:rsidR="004514E1" w:rsidRDefault="004514E1" w:rsidP="00D10E3C">
            <w:pPr>
              <w:pStyle w:val="libFootnote0"/>
              <w:rPr>
                <w:rtl/>
                <w:lang w:bidi="fa-IR"/>
              </w:rPr>
            </w:pPr>
            <w:r>
              <w:rPr>
                <w:rtl/>
                <w:lang w:bidi="fa-IR"/>
              </w:rPr>
              <w:t xml:space="preserve">(4).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قال ».</w:t>
            </w:r>
          </w:p>
        </w:tc>
      </w:tr>
    </w:tbl>
    <w:p w:rsidR="00744A1C" w:rsidRDefault="00E378DD" w:rsidP="00E378DD">
      <w:pPr>
        <w:pStyle w:val="libFootnote0"/>
        <w:rPr>
          <w:lang w:bidi="fa-IR"/>
        </w:rPr>
      </w:pPr>
      <w:r>
        <w:rPr>
          <w:rtl/>
          <w:lang w:bidi="fa-IR"/>
        </w:rPr>
        <w:t>(5).</w:t>
      </w:r>
      <w:r w:rsidR="00744A1C">
        <w:rPr>
          <w:rtl/>
          <w:lang w:bidi="fa-IR"/>
        </w:rPr>
        <w:t xml:space="preserve"> هكذا في جميع النسخ التي قوبلت </w:t>
      </w:r>
      <w:r w:rsidR="00744A1C" w:rsidRPr="00EE5E45">
        <w:rPr>
          <w:rtl/>
        </w:rPr>
        <w:t>والوافي والوسائل والبحار والتهذيب والاختصاص</w:t>
      </w:r>
      <w:r w:rsidR="00744A1C">
        <w:rPr>
          <w:rtl/>
          <w:lang w:bidi="fa-IR"/>
        </w:rPr>
        <w:t>. وفي المطبوع : - « لا ».</w:t>
      </w:r>
    </w:p>
    <w:p w:rsidR="00744A1C" w:rsidRDefault="00E378DD" w:rsidP="00E378DD">
      <w:pPr>
        <w:pStyle w:val="libFootnote0"/>
        <w:rPr>
          <w:lang w:bidi="fa-IR"/>
        </w:rPr>
      </w:pPr>
      <w:r>
        <w:rPr>
          <w:rtl/>
          <w:lang w:bidi="fa-IR"/>
        </w:rPr>
        <w:t>(6).</w:t>
      </w:r>
      <w:r w:rsidR="00744A1C">
        <w:rPr>
          <w:rtl/>
          <w:lang w:bidi="fa-IR"/>
        </w:rPr>
        <w:t xml:space="preserve"> في « بث ، بح » و</w:t>
      </w:r>
      <w:r w:rsidR="00744A1C" w:rsidRPr="0061079A">
        <w:rPr>
          <w:rStyle w:val="libFootnoteBoldChar"/>
          <w:rtl/>
        </w:rPr>
        <w:t>البحار</w:t>
      </w:r>
      <w:r w:rsidR="00744A1C">
        <w:rPr>
          <w:rtl/>
          <w:lang w:bidi="fa-IR"/>
        </w:rPr>
        <w:t xml:space="preserve"> : « لمن ».</w:t>
      </w:r>
    </w:p>
    <w:tbl>
      <w:tblPr>
        <w:tblStyle w:val="TableGrid"/>
        <w:bidiVisual/>
        <w:tblW w:w="0" w:type="auto"/>
        <w:tblLook w:val="04A0" w:firstRow="1" w:lastRow="0" w:firstColumn="1" w:lastColumn="0" w:noHBand="0" w:noVBand="1"/>
      </w:tblPr>
      <w:tblGrid>
        <w:gridCol w:w="4006"/>
        <w:gridCol w:w="4006"/>
      </w:tblGrid>
      <w:tr w:rsidR="00BB0D33" w:rsidTr="00BB0D33">
        <w:tc>
          <w:tcPr>
            <w:tcW w:w="4006" w:type="dxa"/>
          </w:tcPr>
          <w:p w:rsidR="00BB0D33" w:rsidRDefault="00BB0D33"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 فإنّي ».</w:t>
            </w:r>
          </w:p>
        </w:tc>
        <w:tc>
          <w:tcPr>
            <w:tcW w:w="4006" w:type="dxa"/>
          </w:tcPr>
          <w:p w:rsidR="00BB0D33" w:rsidRDefault="00BB0D33" w:rsidP="00E378DD">
            <w:pPr>
              <w:pStyle w:val="libFootnote0"/>
              <w:rPr>
                <w:rtl/>
                <w:lang w:bidi="fa-IR"/>
              </w:rPr>
            </w:pPr>
            <w:r>
              <w:rPr>
                <w:rtl/>
                <w:lang w:bidi="fa-IR"/>
              </w:rPr>
              <w:t>(8). في « بخ » : - « أن أكون ».</w:t>
            </w:r>
          </w:p>
        </w:tc>
      </w:tr>
    </w:tbl>
    <w:p w:rsidR="00744A1C" w:rsidRDefault="00E378DD" w:rsidP="00E378DD">
      <w:pPr>
        <w:pStyle w:val="libFootnote0"/>
        <w:rPr>
          <w:lang w:bidi="fa-IR"/>
        </w:rPr>
      </w:pPr>
      <w:r>
        <w:rPr>
          <w:rtl/>
          <w:lang w:bidi="fa-IR"/>
        </w:rPr>
        <w:t>(9).</w:t>
      </w:r>
      <w:r w:rsidR="00744A1C">
        <w:rPr>
          <w:rtl/>
          <w:lang w:bidi="fa-IR"/>
        </w:rPr>
        <w:t xml:space="preserve"> في حاشية « جن » </w:t>
      </w:r>
      <w:r w:rsidR="00744A1C" w:rsidRPr="00EE5E45">
        <w:rPr>
          <w:rtl/>
        </w:rPr>
        <w:t>والوسائل والتهذيب والاختصاص</w:t>
      </w:r>
      <w:r w:rsidR="00744A1C">
        <w:rPr>
          <w:rtl/>
          <w:lang w:bidi="fa-IR"/>
        </w:rPr>
        <w:t xml:space="preserve"> : « أنا ».</w:t>
      </w:r>
    </w:p>
    <w:p w:rsidR="00744A1C" w:rsidRDefault="00E378DD" w:rsidP="00E378DD">
      <w:pPr>
        <w:pStyle w:val="libFootnote0"/>
        <w:rPr>
          <w:lang w:bidi="fa-IR"/>
        </w:rPr>
      </w:pPr>
      <w:r>
        <w:rPr>
          <w:rtl/>
          <w:lang w:bidi="fa-IR"/>
        </w:rPr>
        <w:t>(10).</w:t>
      </w:r>
      <w:r w:rsidR="00744A1C">
        <w:rPr>
          <w:rtl/>
          <w:lang w:bidi="fa-IR"/>
        </w:rPr>
        <w:t xml:space="preserve"> في « بخ ، بف » و</w:t>
      </w:r>
      <w:r w:rsidR="00744A1C" w:rsidRPr="00C24F9C">
        <w:rPr>
          <w:rStyle w:val="libFootnoteBoldChar"/>
          <w:rtl/>
        </w:rPr>
        <w:t>الوافي</w:t>
      </w:r>
      <w:r w:rsidR="00744A1C">
        <w:rPr>
          <w:rtl/>
          <w:lang w:bidi="fa-IR"/>
        </w:rPr>
        <w:t xml:space="preserve"> : « لأنّني ».</w:t>
      </w:r>
    </w:p>
    <w:p w:rsidR="00744A1C" w:rsidRDefault="00E378DD" w:rsidP="00E378DD">
      <w:pPr>
        <w:pStyle w:val="libFootnote0"/>
        <w:rPr>
          <w:lang w:bidi="fa-IR"/>
        </w:rPr>
      </w:pPr>
      <w:r>
        <w:rPr>
          <w:rtl/>
          <w:lang w:bidi="fa-IR"/>
        </w:rPr>
        <w:t>(11).</w:t>
      </w:r>
      <w:r w:rsidR="00744A1C">
        <w:rPr>
          <w:rtl/>
          <w:lang w:bidi="fa-IR"/>
        </w:rPr>
        <w:t xml:space="preserve"> في </w:t>
      </w:r>
      <w:r w:rsidR="00744A1C" w:rsidRPr="0061079A">
        <w:rPr>
          <w:rStyle w:val="libFootnoteBoldChar"/>
          <w:rtl/>
        </w:rPr>
        <w:t>البحار</w:t>
      </w:r>
      <w:r w:rsidR="00744A1C">
        <w:rPr>
          <w:rtl/>
          <w:lang w:bidi="fa-IR"/>
        </w:rPr>
        <w:t xml:space="preserve"> : - « لي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185 ، ح 617 ، معلّقاً عن الكليني. </w:t>
      </w:r>
      <w:r w:rsidR="00744A1C" w:rsidRPr="00211914">
        <w:rPr>
          <w:rStyle w:val="libFootnoteBoldChar"/>
          <w:rtl/>
        </w:rPr>
        <w:t>الاختصاص</w:t>
      </w:r>
      <w:r w:rsidR="00744A1C">
        <w:rPr>
          <w:rtl/>
          <w:lang w:bidi="fa-IR"/>
        </w:rPr>
        <w:t xml:space="preserve"> ، ص 84 ، بسنده عن عليّ بن أسباط. وراجع : </w:t>
      </w:r>
      <w:r w:rsidR="00744A1C" w:rsidRPr="0061079A">
        <w:rPr>
          <w:rStyle w:val="libFootnoteBoldChar"/>
          <w:rtl/>
        </w:rPr>
        <w:t>الكافي</w:t>
      </w:r>
      <w:r w:rsidR="00744A1C">
        <w:rPr>
          <w:rtl/>
          <w:lang w:bidi="fa-IR"/>
        </w:rPr>
        <w:t xml:space="preserve"> ، كتاب الدعاء ، باب الدعاء للإخوان بظهر الغيب ، ح 3235 ومصادره </w:t>
      </w:r>
      <w:r w:rsidR="00047F43">
        <w:rPr>
          <w:rFonts w:hint="cs"/>
          <w:rtl/>
          <w:lang w:bidi="fa-IR"/>
        </w:rPr>
        <w:t>.</w:t>
      </w:r>
      <w:r w:rsidR="00744A1C" w:rsidRPr="00C24F9C">
        <w:rPr>
          <w:rStyle w:val="libFootnoteBoldChar"/>
          <w:rtl/>
        </w:rPr>
        <w:t>الوافي</w:t>
      </w:r>
      <w:r w:rsidR="00744A1C">
        <w:rPr>
          <w:rtl/>
          <w:lang w:bidi="fa-IR"/>
        </w:rPr>
        <w:t xml:space="preserve"> ، ج 9 ، ص 1528 ، ح 8701 ؛ </w:t>
      </w:r>
      <w:r w:rsidR="00744A1C" w:rsidRPr="00C24F9C">
        <w:rPr>
          <w:rStyle w:val="libFootnoteBoldChar"/>
          <w:rtl/>
        </w:rPr>
        <w:t>الوسائل</w:t>
      </w:r>
      <w:r w:rsidR="00744A1C">
        <w:rPr>
          <w:rtl/>
          <w:lang w:bidi="fa-IR"/>
        </w:rPr>
        <w:t xml:space="preserve"> ، ج 13 ، ص 545 ، ح 18404 ؛ </w:t>
      </w:r>
      <w:r w:rsidR="00744A1C" w:rsidRPr="0061079A">
        <w:rPr>
          <w:rStyle w:val="libFootnoteBoldChar"/>
          <w:rtl/>
        </w:rPr>
        <w:t>البحار</w:t>
      </w:r>
      <w:r w:rsidR="00744A1C">
        <w:rPr>
          <w:rtl/>
          <w:lang w:bidi="fa-IR"/>
        </w:rPr>
        <w:t xml:space="preserve"> ، ج 48 ، ص 172 ، ح 11.</w:t>
      </w:r>
    </w:p>
    <w:p w:rsidR="00744A1C" w:rsidRDefault="00E378DD" w:rsidP="00E378DD">
      <w:pPr>
        <w:pStyle w:val="libFootnote0"/>
        <w:rPr>
          <w:lang w:bidi="fa-IR"/>
        </w:rPr>
      </w:pPr>
      <w:r>
        <w:rPr>
          <w:rtl/>
          <w:lang w:bidi="fa-IR"/>
        </w:rPr>
        <w:t>(13).</w:t>
      </w:r>
      <w:r w:rsidR="00744A1C">
        <w:rPr>
          <w:rtl/>
          <w:lang w:bidi="fa-IR"/>
        </w:rPr>
        <w:t xml:space="preserve"> هكذا ورد العنوان في الإقبال للسيّد بن طاووس ، ج 2 ، ص 57 ، نقلاً من الكتاب. وفي « ى ، بث ، بح ، بخ ، بس ، بف ، جد ، جر ، جن » والمطبوع و</w:t>
      </w:r>
      <w:r w:rsidR="00744A1C" w:rsidRPr="0061079A">
        <w:rPr>
          <w:rStyle w:val="libFootnoteBoldChar"/>
          <w:rtl/>
        </w:rPr>
        <w:t>البحار</w:t>
      </w:r>
      <w:r w:rsidR="00744A1C">
        <w:rPr>
          <w:rtl/>
          <w:lang w:bidi="fa-IR"/>
        </w:rPr>
        <w:t xml:space="preserve"> : « النضر بن سويد ».</w:t>
      </w:r>
    </w:p>
    <w:p w:rsidR="00744A1C" w:rsidRDefault="00744A1C" w:rsidP="00D10E3C">
      <w:pPr>
        <w:pStyle w:val="libFootnote0"/>
        <w:rPr>
          <w:lang w:bidi="fa-IR"/>
        </w:rPr>
      </w:pPr>
      <w:r>
        <w:rPr>
          <w:rtl/>
          <w:lang w:bidi="fa-IR"/>
        </w:rPr>
        <w:t xml:space="preserve">والصواب ما أثبتناه كما تقدّم في </w:t>
      </w:r>
      <w:r w:rsidRPr="0061079A">
        <w:rPr>
          <w:rStyle w:val="libFootnoteBoldChar"/>
          <w:rtl/>
        </w:rPr>
        <w:t>الكافي</w:t>
      </w:r>
      <w:r>
        <w:rPr>
          <w:rtl/>
          <w:lang w:bidi="fa-IR"/>
        </w:rPr>
        <w:t xml:space="preserve"> ، ذيل ح 3515 ، فلاحظ.</w:t>
      </w:r>
    </w:p>
    <w:p w:rsidR="00A55A65" w:rsidRDefault="00A55A65" w:rsidP="00D10E3C">
      <w:pPr>
        <w:pStyle w:val="libNormal"/>
        <w:rPr>
          <w:rtl/>
          <w:lang w:bidi="fa-IR"/>
        </w:rPr>
      </w:pPr>
      <w:r>
        <w:rPr>
          <w:rtl/>
          <w:lang w:bidi="fa-IR"/>
        </w:rPr>
        <w:br w:type="page"/>
      </w:r>
    </w:p>
    <w:p w:rsidR="00744A1C" w:rsidRDefault="00744A1C" w:rsidP="00047F43">
      <w:pPr>
        <w:pStyle w:val="libNormal"/>
        <w:rPr>
          <w:lang w:bidi="fa-IR"/>
        </w:rPr>
      </w:pPr>
      <w:r>
        <w:rPr>
          <w:rtl/>
          <w:lang w:bidi="fa-IR"/>
        </w:rPr>
        <w:lastRenderedPageBreak/>
        <w:t xml:space="preserve">رَأَيْتُ أَبَا عَبْدِ اللهِ </w:t>
      </w:r>
      <w:r w:rsidR="0061079A" w:rsidRPr="0061079A">
        <w:rPr>
          <w:rStyle w:val="libAlaemChar"/>
          <w:rtl/>
        </w:rPr>
        <w:t>عليه‌السلام</w:t>
      </w:r>
      <w:r w:rsidR="00D10E3C">
        <w:rPr>
          <w:rtl/>
          <w:lang w:bidi="fa-IR"/>
        </w:rPr>
        <w:t xml:space="preserve"> </w:t>
      </w:r>
      <w:r>
        <w:rPr>
          <w:rtl/>
          <w:lang w:bidi="fa-IR"/>
        </w:rPr>
        <w:t xml:space="preserve">يَوْمَ عَرَفَةَ بِالْمَوْقِفِ وَهُوَ يُنَادِي بِأَعْلى صَوْتِهِ : « أَيُّهَا النَّاسُ ، إِنَّ رَسُولَ اللهِ </w:t>
      </w:r>
      <w:r w:rsidR="005E465D" w:rsidRPr="005E465D">
        <w:rPr>
          <w:rStyle w:val="libAlaemChar"/>
          <w:rFonts w:eastAsiaTheme="minorHAnsi"/>
          <w:rtl/>
        </w:rPr>
        <w:t>صلى‌الله‌عليه‌وآله</w:t>
      </w:r>
      <w:r w:rsidR="00047F43" w:rsidRPr="00047F43">
        <w:rPr>
          <w:rFonts w:eastAsiaTheme="minorHAnsi"/>
          <w:rtl/>
        </w:rPr>
        <w:t xml:space="preserve"> </w:t>
      </w:r>
      <w:r>
        <w:rPr>
          <w:rtl/>
          <w:lang w:bidi="fa-IR"/>
        </w:rPr>
        <w:t xml:space="preserve">كَانَ الْإِمَامَ ، ثُمَّ كَانَ عَلِيُّ بْنُ أَبِي طَالِبٍ ، ثُمَّ الْحَسَنُ ، ثُمَّ الْحُسَيْنُ ، ثُمَّ عَلِيُّ بْنُ الْحُسَيْنِ ، ثُمَّ مُحَمَّدُ بْنُ عَلِيٍّ ، ثُمَّ هَهْ » فَيُنَادِي </w:t>
      </w:r>
      <w:r w:rsidRPr="00D10E3C">
        <w:rPr>
          <w:rStyle w:val="libFootnotenumChar"/>
          <w:rtl/>
        </w:rPr>
        <w:t>(1)</w:t>
      </w:r>
      <w:r>
        <w:rPr>
          <w:rtl/>
          <w:lang w:bidi="fa-IR"/>
        </w:rPr>
        <w:t xml:space="preserve"> ثَلَاثَ مَرَّاتٍ لِمَنْ </w:t>
      </w:r>
      <w:r w:rsidRPr="00D10E3C">
        <w:rPr>
          <w:rStyle w:val="libFootnotenumChar"/>
          <w:rtl/>
        </w:rPr>
        <w:t>(2)</w:t>
      </w:r>
      <w:r>
        <w:rPr>
          <w:rtl/>
          <w:lang w:bidi="fa-IR"/>
        </w:rPr>
        <w:t xml:space="preserve"> بَيْنَ يَدَيْهِ ، وَعَنْ يَمِينِهِ ، وَعَنْ يَسَارِهِ ، وَمِنْ خَلْفِهِ اثْنَيْ عَشَرَ صَوْتاً.</w:t>
      </w:r>
    </w:p>
    <w:p w:rsidR="00144FA6" w:rsidRDefault="00744A1C" w:rsidP="00744A1C">
      <w:pPr>
        <w:pStyle w:val="libNormal"/>
        <w:rPr>
          <w:rtl/>
          <w:lang w:bidi="fa-IR"/>
        </w:rPr>
      </w:pPr>
      <w:r>
        <w:rPr>
          <w:rtl/>
          <w:lang w:bidi="fa-IR"/>
        </w:rPr>
        <w:t xml:space="preserve">وَقَالَ </w:t>
      </w:r>
      <w:r w:rsidRPr="00D10E3C">
        <w:rPr>
          <w:rStyle w:val="libFootnotenumChar"/>
          <w:rtl/>
        </w:rPr>
        <w:t>(3)</w:t>
      </w:r>
      <w:r>
        <w:rPr>
          <w:rtl/>
          <w:lang w:bidi="fa-IR"/>
        </w:rPr>
        <w:t xml:space="preserve"> عَمْرٌو : فَلَمَّا أَتَيْتُ مِنًى ، سَأَلْتُ أَصْحَابَ الْعَرَبِيَّةِ عَنْ تَفْسِيرِ « هَهْ » فَقَالُوا : هَهْ لُغَةُ بَنِي فُلَانٍ : أَنَا فَاسْأَلُونِي ، قَالَ : ثُمَّ سَأَلْتُ </w:t>
      </w:r>
      <w:r w:rsidRPr="00D10E3C">
        <w:rPr>
          <w:rStyle w:val="libFootnotenumChar"/>
          <w:rtl/>
        </w:rPr>
        <w:t>(4)</w:t>
      </w:r>
      <w:r>
        <w:rPr>
          <w:rtl/>
          <w:lang w:bidi="fa-IR"/>
        </w:rPr>
        <w:t xml:space="preserve"> غَيْرَهُمْ أَيْضاً </w:t>
      </w:r>
      <w:r w:rsidRPr="00D10E3C">
        <w:rPr>
          <w:rStyle w:val="libFootnotenumChar"/>
          <w:rtl/>
        </w:rPr>
        <w:t>(5)</w:t>
      </w:r>
      <w:r>
        <w:rPr>
          <w:rtl/>
          <w:lang w:bidi="fa-IR"/>
        </w:rPr>
        <w:t xml:space="preserve"> مِنْ أَصْحَابِ </w:t>
      </w:r>
      <w:r w:rsidRPr="00D10E3C">
        <w:rPr>
          <w:rStyle w:val="libFootnotenumChar"/>
          <w:rtl/>
        </w:rPr>
        <w:t>(6)</w:t>
      </w:r>
      <w:r>
        <w:rPr>
          <w:rtl/>
          <w:lang w:bidi="fa-IR"/>
        </w:rPr>
        <w:t xml:space="preserve"> الْعَرَبِيَّةِ ، فَقَالُوا مِثْلَ ذلِكَ. </w:t>
      </w:r>
      <w:r w:rsidRPr="00D10E3C">
        <w:rPr>
          <w:rStyle w:val="libFootnotenumChar"/>
          <w:rtl/>
        </w:rPr>
        <w:t>(7)</w:t>
      </w:r>
    </w:p>
    <w:p w:rsidR="00144FA6" w:rsidRDefault="00744A1C" w:rsidP="00744A1C">
      <w:pPr>
        <w:pStyle w:val="libNormal"/>
        <w:rPr>
          <w:rtl/>
          <w:lang w:bidi="fa-IR"/>
        </w:rPr>
      </w:pPr>
      <w:r>
        <w:rPr>
          <w:rtl/>
          <w:lang w:bidi="fa-IR"/>
        </w:rPr>
        <w:t>7751 / 11. عِدَّةٌ مِنْ أَصْحَابِنَا ، عَنْ سَهْلِ بْنِ زِيَادٍ ، عَنْ أَحْمَدَ بْنِ مُحَمَّدٍ ، عَنْ سَمَاعَةَ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إِذَا ضَاقَتْ عَرَفَةُ كَيْفَ يَصْنَعُونَ؟</w:t>
      </w:r>
    </w:p>
    <w:p w:rsidR="00144FA6" w:rsidRDefault="00744A1C" w:rsidP="00744A1C">
      <w:pPr>
        <w:pStyle w:val="libNormal"/>
        <w:rPr>
          <w:rtl/>
          <w:lang w:bidi="fa-IR"/>
        </w:rPr>
      </w:pPr>
      <w:r>
        <w:rPr>
          <w:rtl/>
          <w:lang w:bidi="fa-IR"/>
        </w:rPr>
        <w:t xml:space="preserve">قَالَ : « يَرْتَفِعُونَ إِلَى الْجَبَلِ ». </w:t>
      </w:r>
      <w:r w:rsidRPr="00D10E3C">
        <w:rPr>
          <w:rStyle w:val="libFootnotenumChar"/>
          <w:rtl/>
        </w:rPr>
        <w:t>(8)</w:t>
      </w:r>
    </w:p>
    <w:p w:rsidR="00744A1C" w:rsidRDefault="00744A1C" w:rsidP="00DE5696">
      <w:pPr>
        <w:pStyle w:val="Heading2Center"/>
        <w:rPr>
          <w:lang w:bidi="fa-IR"/>
        </w:rPr>
      </w:pPr>
      <w:bookmarkStart w:id="11" w:name="_Toc49261309"/>
      <w:r>
        <w:rPr>
          <w:rtl/>
          <w:lang w:bidi="fa-IR"/>
        </w:rPr>
        <w:t>166 - بَابُ الْإِفَاضَةِ مِنْ عَرَفَاتٍ‌</w:t>
      </w:r>
      <w:bookmarkEnd w:id="11"/>
    </w:p>
    <w:p w:rsidR="00144FA6" w:rsidRDefault="00744A1C" w:rsidP="00744A1C">
      <w:pPr>
        <w:pStyle w:val="libNormal"/>
        <w:rPr>
          <w:rtl/>
          <w:lang w:bidi="fa-IR"/>
        </w:rPr>
      </w:pPr>
      <w:r>
        <w:rPr>
          <w:rtl/>
          <w:lang w:bidi="fa-IR"/>
        </w:rPr>
        <w:t>7752 / 1. مُحَمَّدُ بْنُ يَحْيى ، عَنْ أَحْمَدَ بْنِ مُحَمَّدٍ ، عَنِ ابْنِ فَضَّالٍ ، عَنْ يُونُسَ بْنِ يَعْقُوبَ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فنادى ».</w:t>
      </w:r>
    </w:p>
    <w:p w:rsidR="00744A1C" w:rsidRDefault="00E378DD" w:rsidP="00E378DD">
      <w:pPr>
        <w:pStyle w:val="libFootnote0"/>
        <w:rPr>
          <w:lang w:bidi="fa-IR"/>
        </w:rPr>
      </w:pPr>
      <w:r>
        <w:rPr>
          <w:rtl/>
          <w:lang w:bidi="fa-IR"/>
        </w:rPr>
        <w:t>(2).</w:t>
      </w:r>
      <w:r w:rsidR="00744A1C">
        <w:rPr>
          <w:rtl/>
          <w:lang w:bidi="fa-IR"/>
        </w:rPr>
        <w:t xml:space="preserve"> في « بخ ، جد » و</w:t>
      </w:r>
      <w:r w:rsidR="00744A1C" w:rsidRPr="00C24F9C">
        <w:rPr>
          <w:rStyle w:val="libFootnoteBoldChar"/>
          <w:rtl/>
        </w:rPr>
        <w:t>الوافي</w:t>
      </w:r>
      <w:r w:rsidR="00744A1C">
        <w:rPr>
          <w:rtl/>
          <w:lang w:bidi="fa-IR"/>
        </w:rPr>
        <w:t xml:space="preserve"> : « من ». وفي « بث » : - « لمن ».</w:t>
      </w:r>
    </w:p>
    <w:tbl>
      <w:tblPr>
        <w:tblStyle w:val="TableGrid"/>
        <w:bidiVisual/>
        <w:tblW w:w="0" w:type="auto"/>
        <w:tblLook w:val="04A0" w:firstRow="1" w:lastRow="0" w:firstColumn="1" w:lastColumn="0" w:noHBand="0" w:noVBand="1"/>
      </w:tblPr>
      <w:tblGrid>
        <w:gridCol w:w="4006"/>
        <w:gridCol w:w="4006"/>
      </w:tblGrid>
      <w:tr w:rsidR="00DE5696" w:rsidTr="00DE5696">
        <w:tc>
          <w:tcPr>
            <w:tcW w:w="4006" w:type="dxa"/>
          </w:tcPr>
          <w:p w:rsidR="00DE5696" w:rsidRDefault="00DE5696" w:rsidP="00E378DD">
            <w:pPr>
              <w:pStyle w:val="libFootnote0"/>
              <w:rPr>
                <w:rtl/>
                <w:lang w:bidi="fa-IR"/>
              </w:rPr>
            </w:pPr>
            <w:r>
              <w:rPr>
                <w:rtl/>
                <w:lang w:bidi="fa-IR"/>
              </w:rPr>
              <w:t>(3). في « بح ، بف » : « قال » بدون الواو.</w:t>
            </w:r>
          </w:p>
        </w:tc>
        <w:tc>
          <w:tcPr>
            <w:tcW w:w="4006" w:type="dxa"/>
          </w:tcPr>
          <w:p w:rsidR="00DE5696" w:rsidRDefault="00DE5696" w:rsidP="00E378DD">
            <w:pPr>
              <w:pStyle w:val="libFootnote0"/>
              <w:rPr>
                <w:rtl/>
                <w:lang w:bidi="fa-IR"/>
              </w:rPr>
            </w:pPr>
            <w:r>
              <w:rPr>
                <w:rtl/>
                <w:lang w:bidi="fa-IR"/>
              </w:rPr>
              <w:t>(4). في « بث ، بح » : « سأل ».</w:t>
            </w:r>
          </w:p>
        </w:tc>
      </w:tr>
      <w:tr w:rsidR="00DE5696" w:rsidTr="00DE5696">
        <w:tc>
          <w:tcPr>
            <w:tcW w:w="4006" w:type="dxa"/>
          </w:tcPr>
          <w:p w:rsidR="00DE5696" w:rsidRDefault="00DE5696" w:rsidP="00E378DD">
            <w:pPr>
              <w:pStyle w:val="libFootnote0"/>
              <w:rPr>
                <w:rtl/>
                <w:lang w:bidi="fa-IR"/>
              </w:rPr>
            </w:pPr>
            <w:r>
              <w:rPr>
                <w:rtl/>
                <w:lang w:bidi="fa-IR"/>
              </w:rPr>
              <w:t>(5). في « ى ، جد » : - « أيضاً ».</w:t>
            </w:r>
          </w:p>
        </w:tc>
        <w:tc>
          <w:tcPr>
            <w:tcW w:w="4006" w:type="dxa"/>
          </w:tcPr>
          <w:p w:rsidR="00DE5696" w:rsidRDefault="00DE5696" w:rsidP="00E378DD">
            <w:pPr>
              <w:pStyle w:val="libFootnote0"/>
              <w:rPr>
                <w:rtl/>
                <w:lang w:bidi="fa-IR"/>
              </w:rPr>
            </w:pPr>
            <w:r>
              <w:rPr>
                <w:rtl/>
                <w:lang w:bidi="fa-IR"/>
              </w:rPr>
              <w:t>(6). في « بح » : « أهل ».</w:t>
            </w:r>
          </w:p>
        </w:tc>
      </w:tr>
    </w:tbl>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2 ، ص 303 ، ح 759 ؛ </w:t>
      </w:r>
      <w:r w:rsidR="00744A1C" w:rsidRPr="0061079A">
        <w:rPr>
          <w:rStyle w:val="libFootnoteBoldChar"/>
          <w:rtl/>
        </w:rPr>
        <w:t>البحار</w:t>
      </w:r>
      <w:r w:rsidR="00744A1C">
        <w:rPr>
          <w:rtl/>
          <w:lang w:bidi="fa-IR"/>
        </w:rPr>
        <w:t xml:space="preserve"> ، ج 47 ، ص 58 ، ح 107.</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180 ، ضمن ح 604 ، بسنده عن أحمد بن محمّد بن أبي نصر ، عن محمّد بن سماعة الصيرفي ، عن سماعة بن مهران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8A1356">
        <w:rPr>
          <w:rFonts w:hint="cs"/>
          <w:rtl/>
          <w:lang w:bidi="fa-IR"/>
        </w:rPr>
        <w:t>.</w:t>
      </w:r>
      <w:r w:rsidR="00744A1C" w:rsidRPr="00C24F9C">
        <w:rPr>
          <w:rStyle w:val="libFootnoteBoldChar"/>
          <w:rtl/>
        </w:rPr>
        <w:t>الوافي</w:t>
      </w:r>
      <w:r w:rsidR="00744A1C">
        <w:rPr>
          <w:rtl/>
          <w:lang w:bidi="fa-IR"/>
        </w:rPr>
        <w:t xml:space="preserve"> ، ج 13 ، ص 1027 ، ح 13669 ؛ </w:t>
      </w:r>
      <w:r w:rsidR="00744A1C" w:rsidRPr="00C24F9C">
        <w:rPr>
          <w:rStyle w:val="libFootnoteBoldChar"/>
          <w:rtl/>
        </w:rPr>
        <w:t>الوسائل</w:t>
      </w:r>
      <w:r w:rsidR="00744A1C">
        <w:rPr>
          <w:rtl/>
          <w:lang w:bidi="fa-IR"/>
        </w:rPr>
        <w:t xml:space="preserve"> ، ج 13 ، ص 535 ، ح 18389.</w:t>
      </w:r>
    </w:p>
    <w:p w:rsidR="00A55A65" w:rsidRDefault="00A55A65"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قُلْتُ لِأَبِي عَبْدِ اللهِ </w:t>
      </w:r>
      <w:r w:rsidR="0061079A" w:rsidRPr="0061079A">
        <w:rPr>
          <w:rStyle w:val="libAlaemChar"/>
          <w:rtl/>
        </w:rPr>
        <w:t>عليه‌السلام</w:t>
      </w:r>
      <w:r w:rsidR="00D10E3C">
        <w:rPr>
          <w:rtl/>
          <w:lang w:bidi="fa-IR"/>
        </w:rPr>
        <w:t xml:space="preserve"> </w:t>
      </w:r>
      <w:r>
        <w:rPr>
          <w:rtl/>
          <w:lang w:bidi="fa-IR"/>
        </w:rPr>
        <w:t>: مَتَى الْإِفَاضَةُ مِنْ عَرَفَاتٍ؟</w:t>
      </w:r>
    </w:p>
    <w:p w:rsidR="00144FA6" w:rsidRDefault="00744A1C" w:rsidP="008A1356">
      <w:pPr>
        <w:pStyle w:val="libNormal"/>
        <w:rPr>
          <w:rtl/>
          <w:lang w:bidi="fa-IR"/>
        </w:rPr>
      </w:pPr>
      <w:r>
        <w:rPr>
          <w:rtl/>
          <w:lang w:bidi="fa-IR"/>
        </w:rPr>
        <w:t xml:space="preserve">قَالَ : « إِذَا ذَهَبَتْ </w:t>
      </w:r>
      <w:r w:rsidRPr="00D10E3C">
        <w:rPr>
          <w:rStyle w:val="libFootnotenumChar"/>
          <w:rtl/>
        </w:rPr>
        <w:t>(1)</w:t>
      </w:r>
      <w:r>
        <w:rPr>
          <w:rtl/>
          <w:lang w:bidi="fa-IR"/>
        </w:rPr>
        <w:t xml:space="preserve"> الْحُمْرَةُ » يَعْنِي مِنَ الْجَانِبِ الشَّرْقِيِّ </w:t>
      </w:r>
      <w:r w:rsidRPr="00D10E3C">
        <w:rPr>
          <w:rStyle w:val="libFootnotenumChar"/>
          <w:rtl/>
        </w:rPr>
        <w:t>(2)</w:t>
      </w:r>
      <w:r w:rsidR="008A1356">
        <w:rPr>
          <w:rFonts w:hint="cs"/>
          <w:rtl/>
          <w:lang w:bidi="fa-IR"/>
        </w:rPr>
        <w:t>.</w:t>
      </w:r>
      <w:r w:rsidRPr="00D10E3C">
        <w:rPr>
          <w:rStyle w:val="libFootnotenumChar"/>
          <w:rtl/>
        </w:rPr>
        <w:t>(3)</w:t>
      </w:r>
    </w:p>
    <w:p w:rsidR="008A1356" w:rsidRDefault="00744A1C" w:rsidP="008A1356">
      <w:pPr>
        <w:pStyle w:val="libNormal"/>
        <w:rPr>
          <w:rtl/>
          <w:lang w:bidi="fa-IR"/>
        </w:rPr>
      </w:pPr>
      <w:r>
        <w:rPr>
          <w:rtl/>
          <w:lang w:bidi="fa-IR"/>
        </w:rPr>
        <w:t>7753 / 2. عَلِيُّ بْنُ إِبْرَاهِيمَ ، عَنْ أَبِيهِ ؛</w:t>
      </w:r>
    </w:p>
    <w:p w:rsidR="00144FA6" w:rsidRDefault="008A1356" w:rsidP="008A1356">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(4)</w:t>
      </w:r>
      <w:r w:rsidR="00744A1C">
        <w:rPr>
          <w:rtl/>
          <w:lang w:bidi="fa-IR"/>
        </w:rPr>
        <w:t xml:space="preserve"> مُحَمَّدُ بْنُ إِسْمَاعِيلَ ، عَنِ الْفَضْلِ بْنِ شَاذَانَ ، عَنْ صَفْوَانَ بْنِ يَحْيى </w:t>
      </w:r>
      <w:r w:rsidR="00744A1C" w:rsidRPr="00D10E3C">
        <w:rPr>
          <w:rStyle w:val="libFootnotenumChar"/>
          <w:rtl/>
        </w:rPr>
        <w:t>(5)</w:t>
      </w:r>
      <w:r w:rsidR="00744A1C">
        <w:rPr>
          <w:rtl/>
          <w:lang w:bidi="fa-IR"/>
        </w:rPr>
        <w:t xml:space="preserve"> ، عَنْ مُعَاوِيَةَ بْنِ عَمَّارٍ ، قَالَ :</w:t>
      </w:r>
    </w:p>
    <w:p w:rsidR="00744A1C" w:rsidRDefault="00744A1C" w:rsidP="008A1356">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إِنَّ الْمُشْرِكِينَ كَانُوا يُفِيضُونَ مِنْ </w:t>
      </w:r>
      <w:r w:rsidRPr="00D10E3C">
        <w:rPr>
          <w:rStyle w:val="libFootnotenumChar"/>
          <w:rtl/>
        </w:rPr>
        <w:t>(6)</w:t>
      </w:r>
      <w:r>
        <w:rPr>
          <w:rtl/>
          <w:lang w:bidi="fa-IR"/>
        </w:rPr>
        <w:t xml:space="preserve"> قَبْلِ أَنْ تَغِيبَ الشَّمْسُ ، فَخَالَفَهُمْ رَسُولُ اللهِ </w:t>
      </w:r>
      <w:r w:rsidR="005E465D" w:rsidRPr="005E465D">
        <w:rPr>
          <w:rStyle w:val="libAlaemChar"/>
          <w:rFonts w:eastAsiaTheme="minorHAnsi"/>
          <w:rtl/>
        </w:rPr>
        <w:t>صلى‌الله‌عليه‌وآله</w:t>
      </w:r>
      <w:r w:rsidR="008A1356" w:rsidRPr="008A1356">
        <w:rPr>
          <w:rFonts w:eastAsiaTheme="minorHAnsi"/>
          <w:rtl/>
        </w:rPr>
        <w:t xml:space="preserve"> </w:t>
      </w:r>
      <w:r>
        <w:rPr>
          <w:rtl/>
          <w:lang w:bidi="fa-IR"/>
        </w:rPr>
        <w:t>، فَأَفَاضَ بَعْدَ غُرُوبِ الشَّمْسِ ».</w:t>
      </w:r>
    </w:p>
    <w:p w:rsidR="00744A1C" w:rsidRDefault="00744A1C" w:rsidP="00744A1C">
      <w:pPr>
        <w:pStyle w:val="libNormal"/>
        <w:rPr>
          <w:lang w:bidi="fa-IR"/>
        </w:rPr>
      </w:pPr>
      <w:r>
        <w:rPr>
          <w:rtl/>
          <w:lang w:bidi="fa-IR"/>
        </w:rPr>
        <w:t xml:space="preserve">قَالَ : وَقَالَ أَبُو عَبْدِ اللهِ </w:t>
      </w:r>
      <w:r w:rsidR="0061079A" w:rsidRPr="0061079A">
        <w:rPr>
          <w:rStyle w:val="libAlaemChar"/>
          <w:rtl/>
        </w:rPr>
        <w:t>عليه‌السلام</w:t>
      </w:r>
      <w:r w:rsidR="00D10E3C">
        <w:rPr>
          <w:rtl/>
          <w:lang w:bidi="fa-IR"/>
        </w:rPr>
        <w:t xml:space="preserve"> </w:t>
      </w:r>
      <w:r w:rsidRPr="00D10E3C">
        <w:rPr>
          <w:rStyle w:val="libFootnotenumChar"/>
          <w:rtl/>
        </w:rPr>
        <w:t>(7)</w:t>
      </w:r>
      <w:r>
        <w:rPr>
          <w:rtl/>
          <w:lang w:bidi="fa-IR"/>
        </w:rPr>
        <w:t xml:space="preserve"> : « إِذَا </w:t>
      </w:r>
      <w:r w:rsidRPr="00D10E3C">
        <w:rPr>
          <w:rStyle w:val="libFootnotenumChar"/>
          <w:rtl/>
        </w:rPr>
        <w:t>(8)</w:t>
      </w:r>
      <w:r>
        <w:rPr>
          <w:rtl/>
          <w:lang w:bidi="fa-IR"/>
        </w:rPr>
        <w:t xml:space="preserve"> غَرَبَتِ الشَّمْسُ فَأَفِضْ مَعَ النَّاسِ ، وَعَلَيْكَ السَّكِينَةَ وَالْوَقَارَ ، وَأَفِضْ بِالِاسْتِغْفَارِ ؛ فَإِنَّ اللهَ - عَزَّ وَجَلَّ - يَقُولُ : </w:t>
      </w:r>
      <w:r w:rsidRPr="00F46945">
        <w:rPr>
          <w:rStyle w:val="libAlaemChar"/>
          <w:rtl/>
        </w:rPr>
        <w:t>(</w:t>
      </w:r>
      <w:r w:rsidRPr="00F46945">
        <w:rPr>
          <w:rStyle w:val="libAieChar"/>
          <w:rtl/>
        </w:rPr>
        <w:t xml:space="preserve"> ثُمَّ أَفِيضُوا </w:t>
      </w:r>
      <w:r w:rsidRPr="00D10E3C">
        <w:rPr>
          <w:rStyle w:val="libFootnotenumChar"/>
          <w:rtl/>
        </w:rPr>
        <w:t>(9)</w:t>
      </w:r>
      <w:r>
        <w:rPr>
          <w:rtl/>
          <w:lang w:bidi="fa-IR"/>
        </w:rPr>
        <w:t xml:space="preserve"> </w:t>
      </w:r>
      <w:r w:rsidRPr="00F46945">
        <w:rPr>
          <w:rStyle w:val="libAieChar"/>
          <w:rtl/>
        </w:rPr>
        <w:t>مِنْ حَيْثُ</w:t>
      </w:r>
      <w:r>
        <w:rPr>
          <w:rtl/>
          <w:lang w:bidi="fa-IR"/>
        </w:rPr>
        <w:t xml:space="preserve"> </w:t>
      </w:r>
      <w:r w:rsidRPr="00F46945">
        <w:rPr>
          <w:rStyle w:val="libAieChar"/>
          <w:rtl/>
        </w:rPr>
        <w:t xml:space="preserve">أَفاضَ النّاسُ وَاسْتَغْفِرُوا اللهَ إِنَّ اللهَ غَفُورٌ رَحِيمٌ </w:t>
      </w:r>
      <w:r w:rsidRPr="00F46945">
        <w:rPr>
          <w:rStyle w:val="libAlaemChar"/>
          <w:rtl/>
        </w:rPr>
        <w:t>)</w:t>
      </w:r>
      <w:r>
        <w:rPr>
          <w:rtl/>
          <w:lang w:bidi="fa-IR"/>
        </w:rPr>
        <w:t xml:space="preserve"> </w:t>
      </w:r>
      <w:r w:rsidRPr="00D10E3C">
        <w:rPr>
          <w:rStyle w:val="libFootnotenumChar"/>
          <w:rtl/>
        </w:rPr>
        <w:t>(10)</w:t>
      </w:r>
      <w:r>
        <w:rPr>
          <w:rtl/>
          <w:lang w:bidi="fa-IR"/>
        </w:rPr>
        <w:t xml:space="preserve"> فَإِذَا انْتَهَيْتَ إِلَى الْكَثِيبِ </w:t>
      </w:r>
      <w:r w:rsidRPr="00D10E3C">
        <w:rPr>
          <w:rStyle w:val="libFootnotenumChar"/>
          <w:rtl/>
        </w:rPr>
        <w:t>(11)</w:t>
      </w:r>
      <w:r>
        <w:rPr>
          <w:rtl/>
          <w:lang w:bidi="fa-IR"/>
        </w:rPr>
        <w:t xml:space="preserve"> الْأَحْمَرِ عَنْ يَمِينِ الطَّرِيقِ ، فَقُلِ : الل</w:t>
      </w:r>
      <w:r w:rsidR="00F46945">
        <w:rPr>
          <w:rFonts w:hint="cs"/>
          <w:rtl/>
          <w:lang w:bidi="fa-IR"/>
        </w:rPr>
        <w:t>ّ</w:t>
      </w:r>
      <w:r>
        <w:rPr>
          <w:rtl/>
          <w:lang w:bidi="fa-IR"/>
        </w:rPr>
        <w:t xml:space="preserve">هُمَّ ارْحَمْ مَوْقِفِي ، وَزِدْ فِي عِلْمِي </w:t>
      </w:r>
      <w:r w:rsidRPr="00D10E3C">
        <w:rPr>
          <w:rStyle w:val="libFootnotenumChar"/>
          <w:rtl/>
        </w:rPr>
        <w:t>(12)</w:t>
      </w:r>
      <w:r>
        <w:rPr>
          <w:rtl/>
          <w:lang w:bidi="fa-IR"/>
        </w:rPr>
        <w:t xml:space="preserve"> ، وَسَلِّمْ لِي دِينِي ، وَتَقَبَّلْ‌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وفي المطبوع : « ذهب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18 ، ص 124 : « يدلّ على أنّ منتهى الوقوف ذهاب الحمرة ، كما هو ظاهر جماعة من الأصحاب ، وظاهر أكثر الأخبار الاكتفاء بغيبوبة القرص. والأوّل أحوط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186 ، ح 618 ، بسنده عن يونس بن يعقوب. راجع : </w:t>
      </w:r>
      <w:r w:rsidR="00744A1C" w:rsidRPr="00C24F9C">
        <w:rPr>
          <w:rStyle w:val="libFootnoteBoldChar"/>
          <w:rtl/>
        </w:rPr>
        <w:t>الفقيه</w:t>
      </w:r>
      <w:r w:rsidR="00744A1C">
        <w:rPr>
          <w:rtl/>
          <w:lang w:bidi="fa-IR"/>
        </w:rPr>
        <w:t xml:space="preserve"> ، ج 2 ، ص 467 ، ذيل ح 2986 </w:t>
      </w:r>
      <w:r w:rsidR="00F46945">
        <w:rPr>
          <w:rFonts w:hint="cs"/>
          <w:rtl/>
          <w:lang w:bidi="fa-IR"/>
        </w:rPr>
        <w:t>.</w:t>
      </w:r>
      <w:r w:rsidR="00744A1C" w:rsidRPr="00C24F9C">
        <w:rPr>
          <w:rStyle w:val="libFootnoteBoldChar"/>
          <w:rtl/>
        </w:rPr>
        <w:t>الوافي</w:t>
      </w:r>
      <w:r w:rsidR="00744A1C">
        <w:rPr>
          <w:rtl/>
          <w:lang w:bidi="fa-IR"/>
        </w:rPr>
        <w:t xml:space="preserve"> ، ج 13 ، ص 1037 ، ح 13688 ؛ </w:t>
      </w:r>
      <w:r w:rsidR="00744A1C" w:rsidRPr="00C24F9C">
        <w:rPr>
          <w:rStyle w:val="libFootnoteBoldChar"/>
          <w:rtl/>
        </w:rPr>
        <w:t>الوسائل</w:t>
      </w:r>
      <w:r w:rsidR="00744A1C">
        <w:rPr>
          <w:rtl/>
          <w:lang w:bidi="fa-IR"/>
        </w:rPr>
        <w:t xml:space="preserve"> ، ج 13 ، ص 557 ، ح 18346.</w:t>
      </w:r>
    </w:p>
    <w:p w:rsidR="00744A1C" w:rsidRDefault="00E378DD" w:rsidP="00E378DD">
      <w:pPr>
        <w:pStyle w:val="libFootnote0"/>
        <w:rPr>
          <w:lang w:bidi="fa-IR"/>
        </w:rPr>
      </w:pPr>
      <w:r>
        <w:rPr>
          <w:rtl/>
          <w:lang w:bidi="fa-IR"/>
        </w:rPr>
        <w:t>(4).</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49380A" w:rsidTr="0049380A">
        <w:tc>
          <w:tcPr>
            <w:tcW w:w="4006" w:type="dxa"/>
          </w:tcPr>
          <w:p w:rsidR="0049380A" w:rsidRDefault="0049380A" w:rsidP="00E378DD">
            <w:pPr>
              <w:pStyle w:val="libFootnote0"/>
              <w:rPr>
                <w:rtl/>
                <w:lang w:bidi="fa-IR"/>
              </w:rPr>
            </w:pPr>
            <w:r>
              <w:rPr>
                <w:rtl/>
                <w:lang w:bidi="fa-IR"/>
              </w:rPr>
              <w:t>(5). في « بف ، جر » : - « بن يحيى ».</w:t>
            </w:r>
          </w:p>
        </w:tc>
        <w:tc>
          <w:tcPr>
            <w:tcW w:w="4006" w:type="dxa"/>
          </w:tcPr>
          <w:p w:rsidR="0049380A" w:rsidRDefault="0049380A" w:rsidP="00E378DD">
            <w:pPr>
              <w:pStyle w:val="libFootnote0"/>
              <w:rPr>
                <w:rtl/>
                <w:lang w:bidi="fa-IR"/>
              </w:rPr>
            </w:pPr>
            <w:r>
              <w:rPr>
                <w:rtl/>
                <w:lang w:bidi="fa-IR"/>
              </w:rPr>
              <w:t>(6). في «بخ،بف»</w:t>
            </w:r>
            <w:r w:rsidRPr="0061079A">
              <w:rPr>
                <w:rStyle w:val="libFootnoteBoldChar"/>
                <w:rtl/>
              </w:rPr>
              <w:t>والتهذيب</w:t>
            </w:r>
            <w:r>
              <w:rPr>
                <w:rtl/>
                <w:lang w:bidi="fa-IR"/>
              </w:rPr>
              <w:t xml:space="preserve"> ، ص 186 : - « من ».</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ص 187 : - « إنّ المشركين » إلى هنا.</w:t>
      </w:r>
    </w:p>
    <w:p w:rsidR="00744A1C" w:rsidRDefault="00E378DD" w:rsidP="00E378DD">
      <w:pPr>
        <w:pStyle w:val="libFootnote0"/>
        <w:rPr>
          <w:lang w:bidi="fa-IR"/>
        </w:rPr>
      </w:pPr>
      <w:r>
        <w:rPr>
          <w:rtl/>
          <w:lang w:bidi="fa-IR"/>
        </w:rPr>
        <w:t>(8).</w:t>
      </w:r>
      <w:r w:rsidR="00744A1C">
        <w:rPr>
          <w:rtl/>
          <w:lang w:bidi="fa-IR"/>
        </w:rPr>
        <w:t xml:space="preserve"> في « بف » و</w:t>
      </w:r>
      <w:r w:rsidR="00744A1C" w:rsidRPr="00C24F9C">
        <w:rPr>
          <w:rStyle w:val="libFootnoteBoldChar"/>
          <w:rtl/>
        </w:rPr>
        <w:t>الوافي</w:t>
      </w:r>
      <w:r w:rsidR="00744A1C">
        <w:rPr>
          <w:rtl/>
          <w:lang w:bidi="fa-IR"/>
        </w:rPr>
        <w:t xml:space="preserve"> : « فإذا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التهذيب</w:t>
      </w:r>
      <w:r w:rsidR="00744A1C">
        <w:rPr>
          <w:rtl/>
          <w:lang w:bidi="fa-IR"/>
        </w:rPr>
        <w:t xml:space="preserve"> ، ص 187 : - « وبالاستغفار ، فإنّ الله عزّ وجلّ يقول : </w:t>
      </w:r>
      <w:r w:rsidR="00744A1C" w:rsidRPr="00755BE5">
        <w:rPr>
          <w:rStyle w:val="libFootnoteAlaemChar"/>
          <w:rtl/>
        </w:rPr>
        <w:t>(</w:t>
      </w:r>
      <w:r w:rsidR="00744A1C" w:rsidRPr="00755BE5">
        <w:rPr>
          <w:rStyle w:val="libFootnoteAieChar"/>
          <w:rtl/>
        </w:rPr>
        <w:t xml:space="preserve"> ثُمَّ أَفِيضُوا </w:t>
      </w:r>
      <w:r w:rsidR="00744A1C" w:rsidRPr="00755BE5">
        <w:rPr>
          <w:rStyle w:val="libFootnoteAlaemChar"/>
          <w:rtl/>
        </w:rPr>
        <w:t>)</w:t>
      </w:r>
      <w:r w:rsidR="00744A1C">
        <w:rPr>
          <w:rtl/>
          <w:lang w:bidi="fa-IR"/>
        </w:rPr>
        <w:t xml:space="preserve"> ».</w:t>
      </w:r>
    </w:p>
    <w:p w:rsidR="00744A1C" w:rsidRDefault="00E378DD" w:rsidP="00E378DD">
      <w:pPr>
        <w:pStyle w:val="libFootnote0"/>
        <w:rPr>
          <w:lang w:bidi="fa-IR"/>
        </w:rPr>
      </w:pPr>
      <w:r>
        <w:rPr>
          <w:rtl/>
          <w:lang w:bidi="fa-IR"/>
        </w:rPr>
        <w:t>(10).</w:t>
      </w:r>
      <w:r w:rsidR="00744A1C">
        <w:rPr>
          <w:rtl/>
          <w:lang w:bidi="fa-IR"/>
        </w:rPr>
        <w:t xml:space="preserve"> البقره </w:t>
      </w:r>
      <w:r w:rsidR="00D211C1">
        <w:rPr>
          <w:rtl/>
          <w:lang w:bidi="fa-IR"/>
        </w:rPr>
        <w:t>(2)</w:t>
      </w:r>
      <w:r w:rsidR="00744A1C">
        <w:rPr>
          <w:rtl/>
          <w:lang w:bidi="fa-IR"/>
        </w:rPr>
        <w:t xml:space="preserve"> : 199.</w:t>
      </w:r>
    </w:p>
    <w:p w:rsidR="00744A1C" w:rsidRDefault="00E378DD" w:rsidP="00D211C1">
      <w:pPr>
        <w:pStyle w:val="libFootnote0"/>
        <w:rPr>
          <w:lang w:bidi="fa-IR"/>
        </w:rPr>
      </w:pPr>
      <w:r>
        <w:rPr>
          <w:rtl/>
          <w:lang w:bidi="fa-IR"/>
        </w:rPr>
        <w:t>(11).</w:t>
      </w:r>
      <w:r w:rsidR="00744A1C">
        <w:rPr>
          <w:rtl/>
          <w:lang w:bidi="fa-IR"/>
        </w:rPr>
        <w:t xml:space="preserve"> قال الجوهري : « انكثب الرمل ، أي اجتمع ، وكلّ ما انصبّ في شي‌ء فقد انكثب فيه ، ومنه سمّي الكثب من الرمل ؛ لأنّه انصبّ في مكان فاجتمع فيه. والجمع : الكُثْبان ، وهي تلال الرمل ». </w:t>
      </w:r>
      <w:r w:rsidR="00744A1C" w:rsidRPr="00E978C3">
        <w:rPr>
          <w:rStyle w:val="libFootnoteBoldChar"/>
          <w:rtl/>
        </w:rPr>
        <w:t>الصحاح</w:t>
      </w:r>
      <w:r w:rsidR="00744A1C">
        <w:rPr>
          <w:rtl/>
          <w:lang w:bidi="fa-IR"/>
        </w:rPr>
        <w:t xml:space="preserve"> ، ج 1 ، ص 209 ( كثب ).</w:t>
      </w:r>
      <w:r w:rsidR="00D211C1">
        <w:rPr>
          <w:rFonts w:hint="cs"/>
          <w:rtl/>
          <w:lang w:bidi="fa-IR"/>
        </w:rPr>
        <w:t xml:space="preserve">                                                 </w:t>
      </w:r>
      <w:r>
        <w:rPr>
          <w:rtl/>
          <w:lang w:bidi="fa-IR"/>
        </w:rPr>
        <w:t>(12).</w:t>
      </w:r>
      <w:r w:rsidR="00744A1C">
        <w:rPr>
          <w:rtl/>
          <w:lang w:bidi="fa-IR"/>
        </w:rPr>
        <w:t xml:space="preserve"> في « بث ، بح ، بس ، بف ، جد » : « عملي ».</w:t>
      </w:r>
    </w:p>
    <w:p w:rsidR="00A55A65" w:rsidRDefault="00A55A65"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مَنَاسِكِي.</w:t>
      </w:r>
    </w:p>
    <w:p w:rsidR="00744A1C" w:rsidRDefault="00744A1C" w:rsidP="00EE5E45">
      <w:pPr>
        <w:pStyle w:val="libNormal"/>
        <w:rPr>
          <w:lang w:bidi="fa-IR"/>
        </w:rPr>
      </w:pPr>
      <w:r>
        <w:rPr>
          <w:rtl/>
          <w:lang w:bidi="fa-IR"/>
        </w:rPr>
        <w:t xml:space="preserve">وَإِيَّاكَ وَالْوَجِيفَ </w:t>
      </w:r>
      <w:r w:rsidRPr="00D10E3C">
        <w:rPr>
          <w:rStyle w:val="libFootnotenumChar"/>
          <w:rtl/>
        </w:rPr>
        <w:t>(1)</w:t>
      </w:r>
      <w:r>
        <w:rPr>
          <w:rtl/>
          <w:lang w:bidi="fa-IR"/>
        </w:rPr>
        <w:t xml:space="preserve"> الَّذِي يَصْنَعُهُ </w:t>
      </w:r>
      <w:r w:rsidRPr="00D10E3C">
        <w:rPr>
          <w:rStyle w:val="libFootnotenumChar"/>
          <w:rtl/>
        </w:rPr>
        <w:t>(2)</w:t>
      </w:r>
      <w:r>
        <w:rPr>
          <w:rtl/>
          <w:lang w:bidi="fa-IR"/>
        </w:rPr>
        <w:t xml:space="preserve"> النَّاسُ ؛ فَإِنَّ رَسُولَ اللهِ </w:t>
      </w:r>
      <w:r w:rsidR="00EE5E45" w:rsidRPr="005E465D">
        <w:rPr>
          <w:rStyle w:val="libAlaemChar"/>
          <w:rFonts w:eastAsiaTheme="minorHAnsi"/>
          <w:rtl/>
        </w:rPr>
        <w:t>صلى‌الله‌عليه‌وآله</w:t>
      </w:r>
      <w:r w:rsidR="00EE5E45" w:rsidRPr="00C272A1">
        <w:rPr>
          <w:rFonts w:eastAsiaTheme="minorHAnsi"/>
          <w:rtl/>
        </w:rPr>
        <w:t xml:space="preserve"> </w:t>
      </w:r>
      <w:r>
        <w:rPr>
          <w:rtl/>
          <w:lang w:bidi="fa-IR"/>
        </w:rPr>
        <w:t xml:space="preserve">قَالَ : أَيُّهَا النَّاسُ </w:t>
      </w:r>
      <w:r w:rsidRPr="00D10E3C">
        <w:rPr>
          <w:rStyle w:val="libFootnotenumChar"/>
          <w:rtl/>
        </w:rPr>
        <w:t>(3)</w:t>
      </w:r>
      <w:r>
        <w:rPr>
          <w:rtl/>
          <w:lang w:bidi="fa-IR"/>
        </w:rPr>
        <w:t xml:space="preserve"> ، إِنَّ الْحَجَّ لَيْسَ بِوَجِيفِ </w:t>
      </w:r>
      <w:r w:rsidRPr="00D10E3C">
        <w:rPr>
          <w:rStyle w:val="libFootnotenumChar"/>
          <w:rtl/>
        </w:rPr>
        <w:t>(4)</w:t>
      </w:r>
      <w:r>
        <w:rPr>
          <w:rtl/>
          <w:lang w:bidi="fa-IR"/>
        </w:rPr>
        <w:t xml:space="preserve"> الْخَيْلِ ، وَلَا إِيضَاعِ </w:t>
      </w:r>
      <w:r w:rsidRPr="00D10E3C">
        <w:rPr>
          <w:rStyle w:val="libFootnotenumChar"/>
          <w:rtl/>
        </w:rPr>
        <w:t>(5)</w:t>
      </w:r>
      <w:r>
        <w:rPr>
          <w:rtl/>
          <w:lang w:bidi="fa-IR"/>
        </w:rPr>
        <w:t xml:space="preserve"> الْإِبِلِ ، وَلكِنِ اتَّقُوا اللهَ ، وَسِيرُوا سَيْراً جَمِيلاً ، لَا تُوَطِّئُوا </w:t>
      </w:r>
      <w:r w:rsidRPr="00D10E3C">
        <w:rPr>
          <w:rStyle w:val="libFootnotenumChar"/>
          <w:rtl/>
        </w:rPr>
        <w:t>(6)</w:t>
      </w:r>
      <w:r>
        <w:rPr>
          <w:rtl/>
          <w:lang w:bidi="fa-IR"/>
        </w:rPr>
        <w:t xml:space="preserve"> ضَعِيفاً ، وَلَاتُوَطِّئُوا مُسْلِماً ، وَتَوَأَّدُوا </w:t>
      </w:r>
      <w:r w:rsidRPr="00D10E3C">
        <w:rPr>
          <w:rStyle w:val="libFootnotenumChar"/>
          <w:rtl/>
        </w:rPr>
        <w:t>(7)</w:t>
      </w:r>
      <w:r>
        <w:rPr>
          <w:rtl/>
          <w:lang w:bidi="fa-IR"/>
        </w:rPr>
        <w:t xml:space="preserve"> ، وَاقْتَصِدُوا فِي السَّيْرِ ؛ فَإِنَّ رَسُولَ اللهِ </w:t>
      </w:r>
      <w:r w:rsidR="005E465D" w:rsidRPr="005E465D">
        <w:rPr>
          <w:rStyle w:val="libAlaemChar"/>
          <w:rFonts w:eastAsiaTheme="minorHAnsi"/>
          <w:rtl/>
        </w:rPr>
        <w:t>صلى‌الله‌عليه‌وآله</w:t>
      </w:r>
      <w:r w:rsidR="001F4A7F" w:rsidRPr="00C272A1">
        <w:rPr>
          <w:rFonts w:eastAsiaTheme="minorHAnsi"/>
          <w:rtl/>
        </w:rPr>
        <w:t xml:space="preserve"> </w:t>
      </w:r>
      <w:r>
        <w:rPr>
          <w:rtl/>
          <w:lang w:bidi="fa-IR"/>
        </w:rPr>
        <w:t xml:space="preserve">كَانَ يَكُفُّ نَاقَتَهُ حَتّى يُصِيبَ رَأْسُهَا مُقَدَّمَ الرَّحْلِ </w:t>
      </w:r>
      <w:r w:rsidRPr="00D10E3C">
        <w:rPr>
          <w:rStyle w:val="libFootnotenumChar"/>
          <w:rtl/>
        </w:rPr>
        <w:t>(8)</w:t>
      </w:r>
      <w:r>
        <w:rPr>
          <w:rtl/>
          <w:lang w:bidi="fa-IR"/>
        </w:rPr>
        <w:t xml:space="preserve"> ، وَيَقُولُ : أَيُّهَا النَّاسُ ، عَلَيْكُمْ بِالدَّعَةِ </w:t>
      </w:r>
      <w:r w:rsidRPr="00D10E3C">
        <w:rPr>
          <w:rStyle w:val="libFootnotenumChar"/>
          <w:rtl/>
        </w:rPr>
        <w:t>(9)</w:t>
      </w:r>
      <w:r>
        <w:rPr>
          <w:rtl/>
          <w:lang w:bidi="fa-IR"/>
        </w:rPr>
        <w:t xml:space="preserve"> ؛ فَسُنَّةُ رَسُولِ اللهِ </w:t>
      </w:r>
      <w:r w:rsidR="005E465D" w:rsidRPr="005E465D">
        <w:rPr>
          <w:rStyle w:val="libAlaemChar"/>
          <w:rFonts w:eastAsiaTheme="minorHAnsi"/>
          <w:rtl/>
        </w:rPr>
        <w:t>صلى‌الله‌عليه‌وآله</w:t>
      </w:r>
      <w:r w:rsidR="007A0888" w:rsidRPr="00C272A1">
        <w:rPr>
          <w:rFonts w:eastAsiaTheme="minorHAnsi"/>
          <w:rtl/>
        </w:rPr>
        <w:t xml:space="preserve"> </w:t>
      </w:r>
      <w:r>
        <w:rPr>
          <w:rtl/>
          <w:lang w:bidi="fa-IR"/>
        </w:rPr>
        <w:t>تُتَّبَعُ ».</w:t>
      </w:r>
    </w:p>
    <w:p w:rsidR="00144FA6" w:rsidRDefault="00744A1C" w:rsidP="00744A1C">
      <w:pPr>
        <w:pStyle w:val="libNormal"/>
        <w:rPr>
          <w:rtl/>
          <w:lang w:bidi="fa-IR"/>
        </w:rPr>
      </w:pPr>
      <w:r>
        <w:rPr>
          <w:rtl/>
          <w:lang w:bidi="fa-IR"/>
        </w:rPr>
        <w:t xml:space="preserve">قَالَ مُعَاوِيَةُ : وَسَمِعْتُ أَبَا عَبْدِ اللهِ </w:t>
      </w:r>
      <w:r w:rsidR="0061079A" w:rsidRPr="0061079A">
        <w:rPr>
          <w:rStyle w:val="libAlaemChar"/>
          <w:rtl/>
        </w:rPr>
        <w:t>عليه‌السلام</w:t>
      </w:r>
      <w:r w:rsidR="00D10E3C">
        <w:rPr>
          <w:rtl/>
          <w:lang w:bidi="fa-IR"/>
        </w:rPr>
        <w:t xml:space="preserve"> </w:t>
      </w:r>
      <w:r>
        <w:rPr>
          <w:rtl/>
          <w:lang w:bidi="fa-IR"/>
        </w:rPr>
        <w:t>يَقُولُ : « الل</w:t>
      </w:r>
      <w:r w:rsidR="001F4A7F">
        <w:rPr>
          <w:rFonts w:hint="cs"/>
          <w:rtl/>
          <w:lang w:bidi="fa-IR"/>
        </w:rPr>
        <w:t>ّ</w:t>
      </w:r>
      <w:r>
        <w:rPr>
          <w:rtl/>
          <w:lang w:bidi="fa-IR"/>
        </w:rPr>
        <w:t xml:space="preserve">هُمَّ أَعْتِقْنِي مِنَ النَّارِ » وَكَرَّرَهَا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 « الوجيف » بدون الواو. وفي « بث » : « والوصيف ». وفي </w:t>
      </w:r>
      <w:r w:rsidR="00744A1C" w:rsidRPr="00C24F9C">
        <w:rPr>
          <w:rStyle w:val="libFootnoteBoldChar"/>
          <w:rtl/>
        </w:rPr>
        <w:t>التهذيب</w:t>
      </w:r>
      <w:r w:rsidR="00744A1C">
        <w:rPr>
          <w:rtl/>
          <w:lang w:bidi="fa-IR"/>
        </w:rPr>
        <w:t xml:space="preserve"> ، ص 187 : « والوضيف ». قال‌الجوهري : « الوجيف : ضرب من سير الإبل والخيل ». وقال ابن الأثير : « هو ضرب من السير سريع ». وقال ابن منظور : « الوَجْفُ : سرعة السير ، وَجَفَ البعير والفرس يَجِفُ ووَجِيفاً : أسرع ، والوجيف : دون التقريب من السير ». راجع : </w:t>
      </w:r>
      <w:r w:rsidR="00744A1C" w:rsidRPr="00E978C3">
        <w:rPr>
          <w:rStyle w:val="libFootnoteBoldChar"/>
          <w:rtl/>
        </w:rPr>
        <w:t>الصحاح</w:t>
      </w:r>
      <w:r w:rsidR="00744A1C">
        <w:rPr>
          <w:rtl/>
          <w:lang w:bidi="fa-IR"/>
        </w:rPr>
        <w:t xml:space="preserve"> ، ج 4 ، ص 1437 ؛ </w:t>
      </w:r>
      <w:r w:rsidR="00744A1C" w:rsidRPr="00877682">
        <w:rPr>
          <w:rStyle w:val="libFootnoteBoldChar"/>
          <w:rtl/>
        </w:rPr>
        <w:t>النهاية</w:t>
      </w:r>
      <w:r w:rsidR="00744A1C">
        <w:rPr>
          <w:rtl/>
          <w:lang w:bidi="fa-IR"/>
        </w:rPr>
        <w:t xml:space="preserve"> ، ج 5 ، ص 157 ؛</w:t>
      </w:r>
      <w:r w:rsidR="001F4A7F">
        <w:rPr>
          <w:rtl/>
          <w:lang w:bidi="fa-IR"/>
        </w:rPr>
        <w:t xml:space="preserve"> </w:t>
      </w:r>
      <w:r w:rsidR="001F4A7F" w:rsidRPr="00877682">
        <w:rPr>
          <w:rStyle w:val="libFootnoteBoldChar"/>
          <w:rtl/>
        </w:rPr>
        <w:t>لسان العرب</w:t>
      </w:r>
      <w:r w:rsidR="001F4A7F">
        <w:rPr>
          <w:rtl/>
          <w:lang w:bidi="fa-IR"/>
        </w:rPr>
        <w:t xml:space="preserve"> ، ج 5 ، ص 128 (وجف</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 بح ، بخ ، بف » : « تصنعه ». وفي « ى » : « صنعه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ص 187 : « فإنّه بلغنا » بدل « فإنّ رسول الله </w:t>
      </w:r>
      <w:r w:rsidR="00B7470D" w:rsidRPr="00EE5E45">
        <w:rPr>
          <w:rStyle w:val="libFootnoteAlaemChar"/>
          <w:rtl/>
        </w:rPr>
        <w:t>صلى‌الله‌عليه‌وآله</w:t>
      </w:r>
      <w:r w:rsidR="00D10E3C">
        <w:rPr>
          <w:rtl/>
          <w:lang w:bidi="fa-IR"/>
        </w:rPr>
        <w:t xml:space="preserve"> </w:t>
      </w:r>
      <w:r w:rsidR="00744A1C">
        <w:rPr>
          <w:rtl/>
          <w:lang w:bidi="fa-IR"/>
        </w:rPr>
        <w:t>قال : أيّها الناس ».</w:t>
      </w:r>
    </w:p>
    <w:p w:rsidR="00744A1C" w:rsidRDefault="00E378DD" w:rsidP="00E378DD">
      <w:pPr>
        <w:pStyle w:val="libFootnote0"/>
        <w:rPr>
          <w:lang w:bidi="fa-IR"/>
        </w:rPr>
      </w:pPr>
      <w:r>
        <w:rPr>
          <w:rtl/>
          <w:lang w:bidi="fa-IR"/>
        </w:rPr>
        <w:t>(4).</w:t>
      </w:r>
      <w:r w:rsidR="00744A1C">
        <w:rPr>
          <w:rtl/>
          <w:lang w:bidi="fa-IR"/>
        </w:rPr>
        <w:t xml:space="preserve"> في « بث » : « بوصيف ». وفي </w:t>
      </w:r>
      <w:r w:rsidR="00744A1C" w:rsidRPr="00C24F9C">
        <w:rPr>
          <w:rStyle w:val="libFootnoteBoldChar"/>
          <w:rtl/>
        </w:rPr>
        <w:t>التهذيب</w:t>
      </w:r>
      <w:r w:rsidR="00744A1C">
        <w:rPr>
          <w:rtl/>
          <w:lang w:bidi="fa-IR"/>
        </w:rPr>
        <w:t xml:space="preserve"> ، ص 187 : « بوضف ».</w:t>
      </w:r>
    </w:p>
    <w:p w:rsidR="00744A1C" w:rsidRDefault="00E378DD" w:rsidP="00E378DD">
      <w:pPr>
        <w:pStyle w:val="libFootnote0"/>
        <w:rPr>
          <w:lang w:bidi="fa-IR"/>
        </w:rPr>
      </w:pPr>
      <w:r>
        <w:rPr>
          <w:rtl/>
          <w:lang w:bidi="fa-IR"/>
        </w:rPr>
        <w:t>(5).</w:t>
      </w:r>
      <w:r w:rsidR="00744A1C">
        <w:rPr>
          <w:rtl/>
          <w:lang w:bidi="fa-IR"/>
        </w:rPr>
        <w:t xml:space="preserve"> في « ى » : « بإيضاع ». وإيضاع الإبل : إسراعها في سيرها ، أو حملها على سرعة السير ؛ يقال : وضع البعير وغيره وأوضع ، أي أسرع في سيره ، وأوضعه راكبه ، إذا حمله على سرعة السير. راجع : </w:t>
      </w:r>
      <w:r w:rsidR="00744A1C" w:rsidRPr="00E978C3">
        <w:rPr>
          <w:rStyle w:val="libFootnoteBoldChar"/>
          <w:rtl/>
        </w:rPr>
        <w:t>الصحاح</w:t>
      </w:r>
      <w:r w:rsidR="00744A1C">
        <w:rPr>
          <w:rtl/>
          <w:lang w:bidi="fa-IR"/>
        </w:rPr>
        <w:t xml:space="preserve"> ، ج 3 ، ص 1300 ؛ </w:t>
      </w:r>
      <w:r w:rsidR="00744A1C" w:rsidRPr="00877682">
        <w:rPr>
          <w:rStyle w:val="libFootnoteBoldChar"/>
          <w:rtl/>
        </w:rPr>
        <w:t>النهاية</w:t>
      </w:r>
      <w:r w:rsidR="00744A1C">
        <w:rPr>
          <w:rtl/>
          <w:lang w:bidi="fa-IR"/>
        </w:rPr>
        <w:t xml:space="preserve"> ، ج 5 ، ص 196 ( وضع ).</w:t>
      </w:r>
    </w:p>
    <w:p w:rsidR="00744A1C" w:rsidRDefault="00E378DD" w:rsidP="00E378DD">
      <w:pPr>
        <w:pStyle w:val="libFootnote0"/>
        <w:rPr>
          <w:lang w:bidi="fa-IR"/>
        </w:rPr>
      </w:pPr>
      <w:r>
        <w:rPr>
          <w:rtl/>
          <w:lang w:bidi="fa-IR"/>
        </w:rPr>
        <w:t>(6).</w:t>
      </w:r>
      <w:r w:rsidR="00744A1C">
        <w:rPr>
          <w:rtl/>
          <w:lang w:bidi="fa-IR"/>
        </w:rPr>
        <w:t xml:space="preserve"> الوَطْء والتوطئة : الدوس بالقدم ؛ يقال : وَطِئَ الشي‌ء ووطّأه وتوطّأه ، أي داسه برجله. راجع : </w:t>
      </w:r>
      <w:r w:rsidR="00744A1C" w:rsidRPr="00877682">
        <w:rPr>
          <w:rStyle w:val="libFootnoteBoldChar"/>
          <w:rtl/>
        </w:rPr>
        <w:t>النهاية</w:t>
      </w:r>
      <w:r w:rsidR="00744A1C">
        <w:rPr>
          <w:rtl/>
          <w:lang w:bidi="fa-IR"/>
        </w:rPr>
        <w:t xml:space="preserve"> ، ج 5 ، ص 200 ؛ </w:t>
      </w:r>
      <w:r w:rsidR="00744A1C" w:rsidRPr="00877682">
        <w:rPr>
          <w:rStyle w:val="libFootnoteBoldChar"/>
          <w:rtl/>
        </w:rPr>
        <w:t>لسان العرب</w:t>
      </w:r>
      <w:r w:rsidR="00744A1C">
        <w:rPr>
          <w:rtl/>
          <w:lang w:bidi="fa-IR"/>
        </w:rPr>
        <w:t xml:space="preserve"> ، ج 1 ، ص 196 ( وطأ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و</w:t>
      </w:r>
      <w:r w:rsidR="00744A1C" w:rsidRPr="00C24F9C">
        <w:rPr>
          <w:rStyle w:val="libFootnoteBoldChar"/>
          <w:rtl/>
        </w:rPr>
        <w:t>المرآة</w:t>
      </w:r>
      <w:r w:rsidR="00744A1C">
        <w:rPr>
          <w:rtl/>
          <w:lang w:bidi="fa-IR"/>
        </w:rPr>
        <w:t xml:space="preserve"> عن بعض النسخ : « لا تؤذوا » من الإيذاء. وفي </w:t>
      </w:r>
      <w:r w:rsidR="00744A1C" w:rsidRPr="00C24F9C">
        <w:rPr>
          <w:rStyle w:val="libFootnoteBoldChar"/>
          <w:rtl/>
        </w:rPr>
        <w:t>التهذيب</w:t>
      </w:r>
      <w:r w:rsidR="00744A1C">
        <w:rPr>
          <w:rtl/>
          <w:lang w:bidi="fa-IR"/>
        </w:rPr>
        <w:t xml:space="preserve"> ، ص 187 : - « وتوأّدوا ». و « توأّدوا » ، أي تمهّلوا وتثبّتوا ، أمر من توأّد : إذا تأنّى وتثبّت وتمهّل ، من التُؤَدة بمعنى التأنّي والتمهّل والرزانة ، يقال : مشى على تؤدة ، أي على سكينة ، وأصله وُأدة. راجع : </w:t>
      </w:r>
      <w:r w:rsidR="00744A1C" w:rsidRPr="00877682">
        <w:rPr>
          <w:rStyle w:val="libFootnoteBoldChar"/>
          <w:rtl/>
        </w:rPr>
        <w:t>لسان العرب</w:t>
      </w:r>
      <w:r w:rsidR="00744A1C">
        <w:rPr>
          <w:rtl/>
          <w:lang w:bidi="fa-IR"/>
        </w:rPr>
        <w:t xml:space="preserve"> ، ج 3 ، ص 443 ؛ </w:t>
      </w:r>
      <w:r w:rsidR="00744A1C" w:rsidRPr="00E978C3">
        <w:rPr>
          <w:rStyle w:val="libFootnoteBoldChar"/>
          <w:rtl/>
        </w:rPr>
        <w:t>المصباح المنير</w:t>
      </w:r>
      <w:r w:rsidR="00744A1C">
        <w:rPr>
          <w:rtl/>
          <w:lang w:bidi="fa-IR"/>
        </w:rPr>
        <w:t xml:space="preserve"> ، ص 674 ( وأد ).</w:t>
      </w:r>
    </w:p>
    <w:p w:rsidR="00744A1C" w:rsidRDefault="00E378DD" w:rsidP="00E378DD">
      <w:pPr>
        <w:pStyle w:val="libFootnote0"/>
        <w:rPr>
          <w:lang w:bidi="fa-IR"/>
        </w:rPr>
      </w:pPr>
      <w:r>
        <w:rPr>
          <w:rtl/>
          <w:lang w:bidi="fa-IR"/>
        </w:rPr>
        <w:t>(8).</w:t>
      </w:r>
      <w:r w:rsidR="00744A1C">
        <w:rPr>
          <w:rtl/>
          <w:lang w:bidi="fa-IR"/>
        </w:rPr>
        <w:t xml:space="preserve"> هكذا في معظم النسخ التي قوبلت. وفي « بخ » والمطبوع : « الرجل ».</w:t>
      </w:r>
    </w:p>
    <w:p w:rsidR="00744A1C" w:rsidRDefault="00E378DD" w:rsidP="00E378DD">
      <w:pPr>
        <w:pStyle w:val="libFootnote0"/>
        <w:rPr>
          <w:lang w:bidi="fa-IR"/>
        </w:rPr>
      </w:pPr>
      <w:r>
        <w:rPr>
          <w:rtl/>
          <w:lang w:bidi="fa-IR"/>
        </w:rPr>
        <w:t>(9).</w:t>
      </w:r>
      <w:r w:rsidR="00744A1C">
        <w:rPr>
          <w:rtl/>
          <w:lang w:bidi="fa-IR"/>
        </w:rPr>
        <w:t xml:space="preserve"> الدعة : الخفضُ والسعةُ في العيش ، والراحةُ. راجع : </w:t>
      </w:r>
      <w:r w:rsidR="00744A1C" w:rsidRPr="00877682">
        <w:rPr>
          <w:rStyle w:val="libFootnoteBoldChar"/>
          <w:rtl/>
        </w:rPr>
        <w:t>لسان العرب</w:t>
      </w:r>
      <w:r w:rsidR="00744A1C">
        <w:rPr>
          <w:rtl/>
          <w:lang w:bidi="fa-IR"/>
        </w:rPr>
        <w:t xml:space="preserve"> ، ج 2 ، ص 223 ؛ </w:t>
      </w:r>
      <w:r w:rsidR="00744A1C" w:rsidRPr="008A57EB">
        <w:rPr>
          <w:rStyle w:val="libFootnoteBoldChar"/>
          <w:rtl/>
        </w:rPr>
        <w:t>القاموس المحيط</w:t>
      </w:r>
      <w:r w:rsidR="00744A1C">
        <w:rPr>
          <w:rtl/>
          <w:lang w:bidi="fa-IR"/>
        </w:rPr>
        <w:t xml:space="preserve"> ، ج 2 ، ص 1029 ( ودع ).</w:t>
      </w:r>
    </w:p>
    <w:p w:rsidR="00744A1C" w:rsidRDefault="00E378DD" w:rsidP="00E378DD">
      <w:pPr>
        <w:pStyle w:val="libFootnote0"/>
        <w:rPr>
          <w:lang w:bidi="fa-IR"/>
        </w:rPr>
      </w:pPr>
      <w:r>
        <w:rPr>
          <w:rtl/>
          <w:lang w:bidi="fa-IR"/>
        </w:rPr>
        <w:t>(10).</w:t>
      </w:r>
      <w:r w:rsidR="00744A1C">
        <w:rPr>
          <w:rtl/>
          <w:lang w:bidi="fa-IR"/>
        </w:rPr>
        <w:t xml:space="preserve"> في « بخ ، بف » و</w:t>
      </w:r>
      <w:r w:rsidR="00744A1C" w:rsidRPr="00C24F9C">
        <w:rPr>
          <w:rStyle w:val="libFootnoteBoldChar"/>
          <w:rtl/>
        </w:rPr>
        <w:t>الوافي</w:t>
      </w:r>
      <w:r w:rsidR="00744A1C">
        <w:rPr>
          <w:rtl/>
          <w:lang w:bidi="fa-IR"/>
        </w:rPr>
        <w:t xml:space="preserve"> : « يكرّرها » بدون الواو.</w:t>
      </w:r>
    </w:p>
    <w:p w:rsidR="00A55A65" w:rsidRDefault="00A55A65"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حَتّى أَفَاضَ </w:t>
      </w:r>
      <w:r w:rsidRPr="00D10E3C">
        <w:rPr>
          <w:rStyle w:val="libFootnotenumChar"/>
          <w:rtl/>
        </w:rPr>
        <w:t>(1)</w:t>
      </w:r>
    </w:p>
    <w:p w:rsidR="00744A1C" w:rsidRDefault="00744A1C" w:rsidP="00744A1C">
      <w:pPr>
        <w:pStyle w:val="libNormal"/>
        <w:rPr>
          <w:lang w:bidi="fa-IR"/>
        </w:rPr>
      </w:pPr>
      <w:r>
        <w:rPr>
          <w:rtl/>
          <w:lang w:bidi="fa-IR"/>
        </w:rPr>
        <w:t>فَقُلْتُ : أَلَاتُفِيضُ فَقَدْ أَفَاضَ النَّاسُ؟</w:t>
      </w:r>
    </w:p>
    <w:p w:rsidR="00144FA6" w:rsidRDefault="00744A1C" w:rsidP="00744A1C">
      <w:pPr>
        <w:pStyle w:val="libNormal"/>
        <w:rPr>
          <w:rtl/>
          <w:lang w:bidi="fa-IR"/>
        </w:rPr>
      </w:pPr>
      <w:r>
        <w:rPr>
          <w:rtl/>
          <w:lang w:bidi="fa-IR"/>
        </w:rPr>
        <w:t xml:space="preserve">فَقَالَ </w:t>
      </w:r>
      <w:r w:rsidRPr="00D10E3C">
        <w:rPr>
          <w:rStyle w:val="libFootnotenumChar"/>
          <w:rtl/>
        </w:rPr>
        <w:t>(2)</w:t>
      </w:r>
      <w:r>
        <w:rPr>
          <w:rtl/>
          <w:lang w:bidi="fa-IR"/>
        </w:rPr>
        <w:t xml:space="preserve"> : « إِنِّي أَخَافُ الزِّحَامَ ، وَأَخَافُ أَنْ أَشْرَكَ فِي عَنَتِ </w:t>
      </w:r>
      <w:r w:rsidRPr="00D10E3C">
        <w:rPr>
          <w:rStyle w:val="libFootnotenumChar"/>
          <w:rtl/>
        </w:rPr>
        <w:t>(3)</w:t>
      </w:r>
      <w:r>
        <w:rPr>
          <w:rtl/>
          <w:lang w:bidi="fa-IR"/>
        </w:rPr>
        <w:t xml:space="preserve"> إِنْسَانٍ ». </w:t>
      </w:r>
      <w:r w:rsidRPr="00D10E3C">
        <w:rPr>
          <w:rStyle w:val="libFootnotenumChar"/>
          <w:rtl/>
        </w:rPr>
        <w:t>(4)</w:t>
      </w:r>
    </w:p>
    <w:p w:rsidR="00144FA6" w:rsidRDefault="00744A1C" w:rsidP="00744A1C">
      <w:pPr>
        <w:pStyle w:val="libNormal"/>
        <w:rPr>
          <w:rtl/>
          <w:lang w:bidi="fa-IR"/>
        </w:rPr>
      </w:pPr>
      <w:r>
        <w:rPr>
          <w:rtl/>
          <w:lang w:bidi="fa-IR"/>
        </w:rPr>
        <w:t>7754 / 3. عِدَّةٌ مِنْ أَصْحَابِنَا ، عَنْ أَحْمَدَ بْنِ مُحَمَّدٍ ، عَنِ الْحُسَيْنِ بْنِ سَعِيدٍ ، عَنْ عُثْمَانَ بْنِ عِيسى ، عَنْ هَارُونَ بْنِ خَارِجَةَ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sidRPr="00D10E3C">
        <w:rPr>
          <w:rStyle w:val="libFootnotenumChar"/>
          <w:rtl/>
        </w:rPr>
        <w:t>(5)</w:t>
      </w:r>
      <w:r>
        <w:rPr>
          <w:rtl/>
          <w:lang w:bidi="fa-IR"/>
        </w:rPr>
        <w:t xml:space="preserve"> يَقُولُ فِي آخِرِ كَلَامِهِ حِينَ أَفَاضَ : « الل</w:t>
      </w:r>
      <w:r w:rsidR="001F4A7F">
        <w:rPr>
          <w:rFonts w:hint="cs"/>
          <w:rtl/>
          <w:lang w:bidi="fa-IR"/>
        </w:rPr>
        <w:t>ّ</w:t>
      </w:r>
      <w:r>
        <w:rPr>
          <w:rtl/>
          <w:lang w:bidi="fa-IR"/>
        </w:rPr>
        <w:t xml:space="preserve">هُمَّ إِنِّي أَعُوذُ بِكَ أَنْ أَظْلِمَ ، أَوْ أُظْلَمَ ، أَوْ أَقْطَعَ رَحِماً ، أَوْ أُوذِيَ جَاراً ». </w:t>
      </w:r>
      <w:r w:rsidRPr="00D10E3C">
        <w:rPr>
          <w:rStyle w:val="libFootnotenumChar"/>
          <w:rtl/>
        </w:rPr>
        <w:t>(6)</w:t>
      </w:r>
    </w:p>
    <w:p w:rsidR="00144FA6" w:rsidRDefault="00744A1C" w:rsidP="00744A1C">
      <w:pPr>
        <w:pStyle w:val="libNormal"/>
        <w:rPr>
          <w:rtl/>
          <w:lang w:bidi="fa-IR"/>
        </w:rPr>
      </w:pPr>
      <w:r>
        <w:rPr>
          <w:rtl/>
          <w:lang w:bidi="fa-IR"/>
        </w:rPr>
        <w:t xml:space="preserve">7755 / 4. عِدَّةٌ مِنْ أَصْحَابِنَا ، عَنْ سَهْلِ بْنِ زِيَادٍ وَأَحْمَدَ بْنِ مُحَمَّدٍ ، عَنِ الْحَسَنِ </w:t>
      </w:r>
      <w:r w:rsidRPr="00D10E3C">
        <w:rPr>
          <w:rStyle w:val="libFootnotenumChar"/>
          <w:rtl/>
        </w:rPr>
        <w:t>(7)</w:t>
      </w:r>
      <w:r>
        <w:rPr>
          <w:rtl/>
          <w:lang w:bidi="fa-IR"/>
        </w:rPr>
        <w:t xml:space="preserve"> بْنِ‌ مَحْبُوبٍ ، عَنْ عَلِيِّ </w:t>
      </w:r>
      <w:r w:rsidRPr="00D10E3C">
        <w:rPr>
          <w:rStyle w:val="libFootnotenumChar"/>
          <w:rtl/>
        </w:rPr>
        <w:t>(8)</w:t>
      </w:r>
      <w:r>
        <w:rPr>
          <w:rtl/>
          <w:lang w:bidi="fa-IR"/>
        </w:rPr>
        <w:t xml:space="preserve"> بْنِ رِئَابٍ ، عَنْ ضُرَيْسٍ الْكُنَاسِيِّ </w:t>
      </w:r>
      <w:r w:rsidRPr="00D10E3C">
        <w:rPr>
          <w:rStyle w:val="libFootnotenumChar"/>
          <w:rtl/>
        </w:rPr>
        <w:t>(9)</w:t>
      </w:r>
      <w:r>
        <w:rPr>
          <w:rtl/>
          <w:lang w:bidi="fa-IR"/>
        </w:rPr>
        <w:t xml:space="preserve">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سَأَلْتُهُ عَنْ رَجُلٍ أَفَاضَ مِنْ عَرَفَاتٍ </w:t>
      </w:r>
      <w:r w:rsidRPr="00D10E3C">
        <w:rPr>
          <w:rStyle w:val="libFootnotenumChar"/>
          <w:rtl/>
        </w:rPr>
        <w:t>(10)</w:t>
      </w:r>
      <w:r>
        <w:rPr>
          <w:rtl/>
          <w:lang w:bidi="fa-IR"/>
        </w:rPr>
        <w:t xml:space="preserve"> قَبْلَ أَنْ تَغِيبَ الشَّمْسُ؟</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1F4A7F" w:rsidTr="001F4A7F">
        <w:tc>
          <w:tcPr>
            <w:tcW w:w="4006" w:type="dxa"/>
          </w:tcPr>
          <w:p w:rsidR="001F4A7F" w:rsidRDefault="001F4A7F" w:rsidP="00D10E3C">
            <w:pPr>
              <w:pStyle w:val="libFootnote0"/>
              <w:rPr>
                <w:rtl/>
                <w:lang w:bidi="fa-IR"/>
              </w:rPr>
            </w:pPr>
            <w:r>
              <w:rPr>
                <w:rtl/>
                <w:lang w:bidi="fa-IR"/>
              </w:rPr>
              <w:t xml:space="preserve">(1). في </w:t>
            </w:r>
            <w:r w:rsidRPr="00C24F9C">
              <w:rPr>
                <w:rStyle w:val="libFootnoteBoldChar"/>
                <w:rtl/>
              </w:rPr>
              <w:t>الوافي</w:t>
            </w:r>
            <w:r>
              <w:rPr>
                <w:rtl/>
                <w:lang w:bidi="fa-IR"/>
              </w:rPr>
              <w:t xml:space="preserve"> </w:t>
            </w:r>
            <w:r w:rsidRPr="0061079A">
              <w:rPr>
                <w:rStyle w:val="libFootnoteBoldChar"/>
                <w:rtl/>
              </w:rPr>
              <w:t>والتهذيب</w:t>
            </w:r>
            <w:r>
              <w:rPr>
                <w:rtl/>
                <w:lang w:bidi="fa-IR"/>
              </w:rPr>
              <w:t xml:space="preserve"> ، ص 187 : + « الناس ».</w:t>
            </w:r>
          </w:p>
        </w:tc>
        <w:tc>
          <w:tcPr>
            <w:tcW w:w="4006" w:type="dxa"/>
          </w:tcPr>
          <w:p w:rsidR="001F4A7F" w:rsidRDefault="007913ED" w:rsidP="00D10E3C">
            <w:pPr>
              <w:pStyle w:val="libFootnote0"/>
              <w:rPr>
                <w:rtl/>
                <w:lang w:bidi="fa-IR"/>
              </w:rPr>
            </w:pPr>
            <w:r>
              <w:rPr>
                <w:rtl/>
                <w:lang w:bidi="fa-IR"/>
              </w:rPr>
              <w:t xml:space="preserve">(2). في </w:t>
            </w:r>
            <w:r w:rsidRPr="00C24F9C">
              <w:rPr>
                <w:rStyle w:val="libFootnoteBoldChar"/>
                <w:rtl/>
              </w:rPr>
              <w:t>الوافي</w:t>
            </w:r>
            <w:r>
              <w:rPr>
                <w:rtl/>
                <w:lang w:bidi="fa-IR"/>
              </w:rPr>
              <w:t xml:space="preserve"> : « قال ».</w:t>
            </w:r>
          </w:p>
        </w:tc>
      </w:tr>
    </w:tbl>
    <w:p w:rsidR="00744A1C" w:rsidRDefault="00E378DD" w:rsidP="00E378DD">
      <w:pPr>
        <w:pStyle w:val="libFootnote0"/>
        <w:rPr>
          <w:lang w:bidi="fa-IR"/>
        </w:rPr>
      </w:pPr>
      <w:r>
        <w:rPr>
          <w:rtl/>
          <w:lang w:bidi="fa-IR"/>
        </w:rPr>
        <w:t>(3).</w:t>
      </w:r>
      <w:r w:rsidR="00744A1C">
        <w:rPr>
          <w:rtl/>
          <w:lang w:bidi="fa-IR"/>
        </w:rPr>
        <w:t xml:space="preserve"> العَنَتُ : إدخال المشقّة على إنسان. </w:t>
      </w:r>
      <w:r w:rsidR="00744A1C" w:rsidRPr="00877682">
        <w:rPr>
          <w:rStyle w:val="libFootnoteBoldChar"/>
          <w:rtl/>
        </w:rPr>
        <w:t>لسان العرب</w:t>
      </w:r>
      <w:r w:rsidR="00744A1C">
        <w:rPr>
          <w:rtl/>
          <w:lang w:bidi="fa-IR"/>
        </w:rPr>
        <w:t xml:space="preserve"> ، ج 2 ، ص 61 ( عنت ).</w:t>
      </w:r>
    </w:p>
    <w:p w:rsidR="00744A1C" w:rsidRDefault="00E378DD" w:rsidP="007913E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186 ، ح 2 ، بسنده عن فضالة وصفوان وحمّاد بن عيسى ، عن معاوية بن عمّار ، إلى قوله : « فأفاض بعد غروب الشمس ». وفيه ، ص 187 ، ح 623 ، بسنده عن معاوية بن عمّار. </w:t>
      </w:r>
      <w:r w:rsidR="00744A1C" w:rsidRPr="00C24F9C">
        <w:rPr>
          <w:rStyle w:val="libFootnoteBoldChar"/>
          <w:rtl/>
        </w:rPr>
        <w:t>الفقيه</w:t>
      </w:r>
      <w:r w:rsidR="00744A1C">
        <w:rPr>
          <w:rtl/>
          <w:lang w:bidi="fa-IR"/>
        </w:rPr>
        <w:t xml:space="preserve"> ، ج 2 ، ص 543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من قوله : « إذا غربت الشمس فأفض » إلى قوله : ( إِنَّ اللهَ غَفُورٌ رَحِيمٌ ). راجع : </w:t>
      </w:r>
      <w:r w:rsidR="00744A1C" w:rsidRPr="00C24F9C">
        <w:rPr>
          <w:rStyle w:val="libFootnoteBoldChar"/>
          <w:rtl/>
        </w:rPr>
        <w:t>الفقيه</w:t>
      </w:r>
      <w:r w:rsidR="00744A1C">
        <w:rPr>
          <w:rtl/>
          <w:lang w:bidi="fa-IR"/>
        </w:rPr>
        <w:t xml:space="preserve"> ، ج 2 ، ص 546 ؛ </w:t>
      </w:r>
      <w:r w:rsidR="00744A1C" w:rsidRPr="0061079A">
        <w:rPr>
          <w:rStyle w:val="libFootnoteBoldChar"/>
          <w:rtl/>
        </w:rPr>
        <w:t>والتهذيب</w:t>
      </w:r>
      <w:r w:rsidR="00744A1C">
        <w:rPr>
          <w:rtl/>
          <w:lang w:bidi="fa-IR"/>
        </w:rPr>
        <w:t xml:space="preserve"> ، ج 5 ، ص 456 ، ح 1588 ؛ و</w:t>
      </w:r>
      <w:r w:rsidR="00744A1C" w:rsidRPr="00A914B5">
        <w:rPr>
          <w:rStyle w:val="libFootnoteBoldChar"/>
          <w:rtl/>
        </w:rPr>
        <w:t>تفسير العيّاشي</w:t>
      </w:r>
      <w:r w:rsidR="00744A1C">
        <w:rPr>
          <w:rtl/>
          <w:lang w:bidi="fa-IR"/>
        </w:rPr>
        <w:t xml:space="preserve"> ، ج 1 ، ص 96 ، ح 263 و 266 و 268 </w:t>
      </w:r>
      <w:r w:rsidR="00744A1C" w:rsidRPr="00C24F9C">
        <w:rPr>
          <w:rStyle w:val="libFootnoteBoldChar"/>
          <w:rtl/>
        </w:rPr>
        <w:t>الوافي</w:t>
      </w:r>
      <w:r w:rsidR="00744A1C">
        <w:rPr>
          <w:rtl/>
          <w:lang w:bidi="fa-IR"/>
        </w:rPr>
        <w:t xml:space="preserve"> ، ج 13 ، ص 1037 ، ح 13690 ؛ </w:t>
      </w:r>
      <w:r w:rsidR="00744A1C" w:rsidRPr="00C24F9C">
        <w:rPr>
          <w:rStyle w:val="libFootnoteBoldChar"/>
          <w:rtl/>
        </w:rPr>
        <w:t>الوسائل</w:t>
      </w:r>
      <w:r w:rsidR="00744A1C">
        <w:rPr>
          <w:rtl/>
          <w:lang w:bidi="fa-IR"/>
        </w:rPr>
        <w:t xml:space="preserve"> ، ج 14 ، ص 6 ، ح 18449 ؛ وفيه ، ج 13 ، ص 556 ، ذيل ح 18434 ، إلى قوله : « فأفاض بعد غروب الشمس » ؛ </w:t>
      </w:r>
      <w:r w:rsidR="00744A1C" w:rsidRPr="0061079A">
        <w:rPr>
          <w:rStyle w:val="libFootnoteBoldChar"/>
          <w:rtl/>
        </w:rPr>
        <w:t>البحار</w:t>
      </w:r>
      <w:r w:rsidR="00744A1C">
        <w:rPr>
          <w:rtl/>
          <w:lang w:bidi="fa-IR"/>
        </w:rPr>
        <w:t xml:space="preserve"> ، ج 21 ، ص 379 ، ح 4 ، إلى قوله : « ويقول : أيّها الناس عليكم بالدعة » ملخّصاً.</w:t>
      </w:r>
      <w:r>
        <w:rPr>
          <w:rtl/>
          <w:lang w:bidi="fa-IR"/>
        </w:rPr>
        <w:t>(5).</w:t>
      </w:r>
      <w:r w:rsidR="00744A1C">
        <w:rPr>
          <w:rtl/>
          <w:lang w:bidi="fa-IR"/>
        </w:rPr>
        <w:t xml:space="preserve"> في « بخ ، بف » و</w:t>
      </w:r>
      <w:r w:rsidR="00744A1C" w:rsidRPr="00C24F9C">
        <w:rPr>
          <w:rStyle w:val="libFootnoteBoldChar"/>
          <w:rtl/>
        </w:rPr>
        <w:t>الوافي</w:t>
      </w:r>
      <w:r w:rsidR="00744A1C">
        <w:rPr>
          <w:rtl/>
          <w:lang w:bidi="fa-IR"/>
        </w:rPr>
        <w:t xml:space="preserve"> : + « وهو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13 ، ص 1040 ، ح 13694 ؛ </w:t>
      </w:r>
      <w:r w:rsidR="00744A1C" w:rsidRPr="00C24F9C">
        <w:rPr>
          <w:rStyle w:val="libFootnoteBoldChar"/>
          <w:rtl/>
        </w:rPr>
        <w:t>الوسائل</w:t>
      </w:r>
      <w:r w:rsidR="00744A1C">
        <w:rPr>
          <w:rtl/>
          <w:lang w:bidi="fa-IR"/>
        </w:rPr>
        <w:t xml:space="preserve"> ، ج 14 ، ص 6 ، ح 18450.</w:t>
      </w:r>
    </w:p>
    <w:p w:rsidR="00744A1C" w:rsidRDefault="00E378DD" w:rsidP="00E378DD">
      <w:pPr>
        <w:pStyle w:val="libFootnote0"/>
        <w:rPr>
          <w:lang w:bidi="fa-IR"/>
        </w:rPr>
      </w:pPr>
      <w:r>
        <w:rPr>
          <w:rtl/>
          <w:lang w:bidi="fa-IR"/>
        </w:rPr>
        <w:t>(7).</w:t>
      </w:r>
      <w:r w:rsidR="00744A1C">
        <w:rPr>
          <w:rtl/>
          <w:lang w:bidi="fa-IR"/>
        </w:rPr>
        <w:t xml:space="preserve"> في « بخ ، جر » </w:t>
      </w:r>
      <w:r w:rsidR="00744A1C" w:rsidRPr="0061079A">
        <w:rPr>
          <w:rStyle w:val="libFootnoteBoldChar"/>
          <w:rtl/>
        </w:rPr>
        <w:t>والتهذيب</w:t>
      </w:r>
      <w:r w:rsidR="00744A1C">
        <w:rPr>
          <w:rtl/>
          <w:lang w:bidi="fa-IR"/>
        </w:rPr>
        <w:t xml:space="preserve"> : - « الحسن ».</w:t>
      </w:r>
    </w:p>
    <w:p w:rsidR="00744A1C" w:rsidRDefault="00E378DD" w:rsidP="00E378DD">
      <w:pPr>
        <w:pStyle w:val="libFootnote0"/>
        <w:rPr>
          <w:lang w:bidi="fa-IR"/>
        </w:rPr>
      </w:pPr>
      <w:r>
        <w:rPr>
          <w:rtl/>
          <w:lang w:bidi="fa-IR"/>
        </w:rPr>
        <w:t>(8).</w:t>
      </w:r>
      <w:r w:rsidR="00744A1C">
        <w:rPr>
          <w:rtl/>
          <w:lang w:bidi="fa-IR"/>
        </w:rPr>
        <w:t xml:space="preserve"> ف « جر » : - « عليّ ».</w:t>
      </w:r>
    </w:p>
    <w:p w:rsidR="00744A1C" w:rsidRDefault="00E378DD" w:rsidP="00E378DD">
      <w:pPr>
        <w:pStyle w:val="libFootnote0"/>
        <w:rPr>
          <w:lang w:bidi="fa-IR"/>
        </w:rPr>
      </w:pPr>
      <w:r>
        <w:rPr>
          <w:rtl/>
          <w:lang w:bidi="fa-IR"/>
        </w:rPr>
        <w:t>(9).</w:t>
      </w:r>
      <w:r w:rsidR="00744A1C">
        <w:rPr>
          <w:rtl/>
          <w:lang w:bidi="fa-IR"/>
        </w:rPr>
        <w:t xml:space="preserve"> في « جر » </w:t>
      </w:r>
      <w:r w:rsidR="00744A1C" w:rsidRPr="0061079A">
        <w:rPr>
          <w:rStyle w:val="libFootnoteBoldChar"/>
          <w:rtl/>
        </w:rPr>
        <w:t>والتهذيب</w:t>
      </w:r>
      <w:r w:rsidR="00744A1C">
        <w:rPr>
          <w:rtl/>
          <w:lang w:bidi="fa-IR"/>
        </w:rPr>
        <w:t xml:space="preserve"> : - « الكناسي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ص 186 : + « من ».</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 عَلَيْهِ بَدَنَةٌ </w:t>
      </w:r>
      <w:r w:rsidRPr="00D10E3C">
        <w:rPr>
          <w:rStyle w:val="libFootnotenumChar"/>
          <w:rtl/>
        </w:rPr>
        <w:t>(1)</w:t>
      </w:r>
      <w:r>
        <w:rPr>
          <w:rtl/>
          <w:lang w:bidi="fa-IR"/>
        </w:rPr>
        <w:t xml:space="preserve"> يَنْحَرُهَا يَوْمَ النَّحْرِ ، فَإِنْ لَمْ يَقْدِرْ ، صَامَ ثَمَانِيَةَ عَشَرَ يَوْماً بِمَكَّةَ ، أَوْ فِي الطَّرِيقِ ، أَوْ فِي أَهْلِهِ ». </w:t>
      </w:r>
      <w:r w:rsidRPr="00D10E3C">
        <w:rPr>
          <w:rStyle w:val="libFootnotenumChar"/>
          <w:rtl/>
        </w:rPr>
        <w:t>(2)</w:t>
      </w:r>
    </w:p>
    <w:p w:rsidR="00144FA6" w:rsidRDefault="00744A1C" w:rsidP="00744A1C">
      <w:pPr>
        <w:pStyle w:val="libNormal"/>
        <w:rPr>
          <w:rtl/>
          <w:lang w:bidi="fa-IR"/>
        </w:rPr>
      </w:pPr>
      <w:r>
        <w:rPr>
          <w:rtl/>
          <w:lang w:bidi="fa-IR"/>
        </w:rPr>
        <w:t xml:space="preserve">7756 / 5. أَحْمَدُ بْنُ مُحَمَّدٍ </w:t>
      </w:r>
      <w:r w:rsidRPr="00D10E3C">
        <w:rPr>
          <w:rStyle w:val="libFootnotenumChar"/>
          <w:rtl/>
        </w:rPr>
        <w:t>(3)</w:t>
      </w:r>
      <w:r>
        <w:rPr>
          <w:rtl/>
          <w:lang w:bidi="fa-IR"/>
        </w:rPr>
        <w:t xml:space="preserve"> ، عَنِ الْحُسَيْنِ بْنِ سَعِيدٍ ، عَنِ النَّضْرِ بْنِ سُوَيْدٍ ، عَنْ عَبْدِ اللهِ بْنِ سِنَانٍ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يُوَكِّلُ اللهُ - عَزَّ وَجَلَّ - مَلَكَيْنِ بِمَأْزِمَيْ عَرَفَةَ </w:t>
      </w:r>
      <w:r w:rsidRPr="00D10E3C">
        <w:rPr>
          <w:rStyle w:val="libFootnotenumChar"/>
          <w:rtl/>
        </w:rPr>
        <w:t>(4)</w:t>
      </w:r>
      <w:r>
        <w:rPr>
          <w:rtl/>
          <w:lang w:bidi="fa-IR"/>
        </w:rPr>
        <w:t xml:space="preserve"> ، فَيَقُولَانِ : سَلِّمْ سَلِّمْ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7757 / 6. وَعَنْهُ </w:t>
      </w:r>
      <w:r w:rsidRPr="00D10E3C">
        <w:rPr>
          <w:rStyle w:val="libFootnotenumChar"/>
          <w:rtl/>
        </w:rPr>
        <w:t>(7)</w:t>
      </w:r>
      <w:r>
        <w:rPr>
          <w:rtl/>
          <w:lang w:bidi="fa-IR"/>
        </w:rPr>
        <w:t xml:space="preserve"> ، عَنْ عَلِيِّ بْنِ النُّعْمَانِ ، عَنْ سَعِيدٍ الْأَعْرَجِ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مَلَكَانِ يُفَرِّجَانِ لِلنَّاسِ لَيْلَةَ مُزْدَلِفَةَ </w:t>
      </w:r>
      <w:r w:rsidRPr="00D10E3C">
        <w:rPr>
          <w:rStyle w:val="libFootnotenumChar"/>
          <w:rtl/>
        </w:rPr>
        <w:t>(8)</w:t>
      </w:r>
      <w:r>
        <w:rPr>
          <w:rtl/>
          <w:lang w:bidi="fa-IR"/>
        </w:rPr>
        <w:t xml:space="preserve"> عِنْدَ الْمَأْزِمَيْنِ الضَّيِّقَيْنِ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قال ابن الأثير : « البدنة تقع على الجمل والناقة والبقر ، وهي بالإبل أشبه ، وسمّيت بدنة لعظمها وسمنها ». </w:t>
      </w:r>
      <w:r w:rsidR="00744A1C" w:rsidRPr="00877682">
        <w:rPr>
          <w:rStyle w:val="libFootnoteBoldChar"/>
          <w:rtl/>
        </w:rPr>
        <w:t>النهاية</w:t>
      </w:r>
      <w:r w:rsidR="00744A1C">
        <w:rPr>
          <w:rtl/>
          <w:lang w:bidi="fa-IR"/>
        </w:rPr>
        <w:t xml:space="preserve"> ، ج 1 ، ص 108 ( بدن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186 ، ح 620 ، معلّقاً ، عن الكليني. راجع : </w:t>
      </w:r>
      <w:r w:rsidR="00744A1C" w:rsidRPr="00C24F9C">
        <w:rPr>
          <w:rStyle w:val="libFootnoteBoldChar"/>
          <w:rtl/>
        </w:rPr>
        <w:t>التهذيب</w:t>
      </w:r>
      <w:r w:rsidR="00744A1C">
        <w:rPr>
          <w:rtl/>
          <w:lang w:bidi="fa-IR"/>
        </w:rPr>
        <w:t xml:space="preserve"> ، ج 5 ، ص 187 ، ح 621 </w:t>
      </w:r>
      <w:r w:rsidR="007913ED">
        <w:rPr>
          <w:rFonts w:hint="cs"/>
          <w:rtl/>
          <w:lang w:bidi="fa-IR"/>
        </w:rPr>
        <w:t>.</w:t>
      </w:r>
      <w:r w:rsidR="00744A1C" w:rsidRPr="00C24F9C">
        <w:rPr>
          <w:rStyle w:val="libFootnoteBoldChar"/>
          <w:rtl/>
        </w:rPr>
        <w:t>الوافي</w:t>
      </w:r>
      <w:r w:rsidR="00744A1C">
        <w:rPr>
          <w:rtl/>
          <w:lang w:bidi="fa-IR"/>
        </w:rPr>
        <w:t xml:space="preserve"> ، ج 13 ، ص 1039 ، ح 13691 ؛ </w:t>
      </w:r>
      <w:r w:rsidR="00744A1C" w:rsidRPr="00C24F9C">
        <w:rPr>
          <w:rStyle w:val="libFootnoteBoldChar"/>
          <w:rtl/>
        </w:rPr>
        <w:t>الوسائل</w:t>
      </w:r>
      <w:r w:rsidR="00744A1C">
        <w:rPr>
          <w:rtl/>
          <w:lang w:bidi="fa-IR"/>
        </w:rPr>
        <w:t xml:space="preserve"> ، ج 13 ، ص 558 ، ح 18439.</w:t>
      </w:r>
    </w:p>
    <w:p w:rsidR="00744A1C" w:rsidRDefault="00E378DD" w:rsidP="00E378DD">
      <w:pPr>
        <w:pStyle w:val="libFootnote0"/>
        <w:rPr>
          <w:lang w:bidi="fa-IR"/>
        </w:rPr>
      </w:pPr>
      <w:r>
        <w:rPr>
          <w:rtl/>
          <w:lang w:bidi="fa-IR"/>
        </w:rPr>
        <w:t>(3).</w:t>
      </w:r>
      <w:r w:rsidR="00744A1C">
        <w:rPr>
          <w:rtl/>
          <w:lang w:bidi="fa-IR"/>
        </w:rPr>
        <w:t xml:space="preserve"> السند معلّق على سابقه. ويروي عن أحمد بن محمّد ، عدّة من أصحابنا.</w:t>
      </w:r>
    </w:p>
    <w:p w:rsidR="00744A1C" w:rsidRDefault="00E378DD" w:rsidP="00E378DD">
      <w:pPr>
        <w:pStyle w:val="libFootnote0"/>
        <w:rPr>
          <w:lang w:bidi="fa-IR"/>
        </w:rPr>
      </w:pPr>
      <w:r>
        <w:rPr>
          <w:rtl/>
          <w:lang w:bidi="fa-IR"/>
        </w:rPr>
        <w:t>(4).</w:t>
      </w:r>
      <w:r w:rsidR="00744A1C">
        <w:rPr>
          <w:rtl/>
          <w:lang w:bidi="fa-IR"/>
        </w:rPr>
        <w:t xml:space="preserve"> المأزم ، وزان مسجد : كلّ طريق ضيّق بين جبلين ، ومنه قيل لموضع الحرب : مأزم ؛ لضيق المجال وعسرالخلاص منه ، ومنه سمّي الموضع الذي بين</w:t>
      </w:r>
      <w:r w:rsidR="006F18B8">
        <w:rPr>
          <w:rtl/>
          <w:lang w:bidi="fa-IR"/>
        </w:rPr>
        <w:t xml:space="preserve"> عرفة والمشعر مأزمين. قال العل</w:t>
      </w:r>
      <w:r w:rsidR="006F18B8">
        <w:rPr>
          <w:rFonts w:hint="cs"/>
          <w:rtl/>
          <w:lang w:bidi="fa-IR"/>
        </w:rPr>
        <w:t>ّ</w:t>
      </w:r>
      <w:r w:rsidR="006F18B8">
        <w:rPr>
          <w:rtl/>
          <w:lang w:bidi="fa-IR"/>
        </w:rPr>
        <w:t>ا</w:t>
      </w:r>
      <w:r w:rsidR="00744A1C">
        <w:rPr>
          <w:rtl/>
          <w:lang w:bidi="fa-IR"/>
        </w:rPr>
        <w:t>مة الفيض : « مأزما عرفة : مضيق بين عرفة والمزدلفة بين جبلين ، ويقال : المأزم ، كمامرّ ، والتثنية باعتبار طرفيه ، كما يظه</w:t>
      </w:r>
      <w:r w:rsidR="007913ED">
        <w:rPr>
          <w:rtl/>
          <w:lang w:bidi="fa-IR"/>
        </w:rPr>
        <w:t>ر من الحديث الآتي ». وقال العل</w:t>
      </w:r>
      <w:r w:rsidR="007913ED">
        <w:rPr>
          <w:rFonts w:hint="cs"/>
          <w:rtl/>
          <w:lang w:bidi="fa-IR"/>
        </w:rPr>
        <w:t>ّ</w:t>
      </w:r>
      <w:r w:rsidR="007913ED">
        <w:rPr>
          <w:rtl/>
          <w:lang w:bidi="fa-IR"/>
        </w:rPr>
        <w:t>ا</w:t>
      </w:r>
      <w:r w:rsidR="00744A1C">
        <w:rPr>
          <w:rtl/>
          <w:lang w:bidi="fa-IR"/>
        </w:rPr>
        <w:t xml:space="preserve">مة المجلسي : « قوله </w:t>
      </w:r>
      <w:r w:rsidR="0061079A" w:rsidRPr="0061079A">
        <w:rPr>
          <w:rStyle w:val="libFootnoteAlaemChar"/>
          <w:rtl/>
        </w:rPr>
        <w:t>عليه‌السلام</w:t>
      </w:r>
      <w:r w:rsidR="00D10E3C">
        <w:rPr>
          <w:rtl/>
          <w:lang w:bidi="fa-IR"/>
        </w:rPr>
        <w:t xml:space="preserve"> </w:t>
      </w:r>
      <w:r w:rsidR="00744A1C">
        <w:rPr>
          <w:rtl/>
          <w:lang w:bidi="fa-IR"/>
        </w:rPr>
        <w:t xml:space="preserve">: بمأزمي عرفة ، قال في القاموس : المأزم ويقال له : المأزمان : مضيق بين جمع وعرفة ، وآخر بين مكّة ومنى. انتهى. ولا يبعد إرادتهما معاً هنا ؛ فإنّهما معاً في طريق عرفة ». راجع : </w:t>
      </w:r>
      <w:r w:rsidR="00744A1C" w:rsidRPr="00E978C3">
        <w:rPr>
          <w:rStyle w:val="libFootnoteBoldChar"/>
          <w:rtl/>
        </w:rPr>
        <w:t>الصحاح</w:t>
      </w:r>
      <w:r w:rsidR="00744A1C">
        <w:rPr>
          <w:rtl/>
          <w:lang w:bidi="fa-IR"/>
        </w:rPr>
        <w:t xml:space="preserve"> ، ج 5 ، ص 1861 ؛ </w:t>
      </w:r>
      <w:r w:rsidR="00744A1C" w:rsidRPr="00E978C3">
        <w:rPr>
          <w:rStyle w:val="libFootnoteBoldChar"/>
          <w:rtl/>
        </w:rPr>
        <w:t>المصباح المنير</w:t>
      </w:r>
      <w:r w:rsidR="00744A1C">
        <w:rPr>
          <w:rtl/>
          <w:lang w:bidi="fa-IR"/>
        </w:rPr>
        <w:t xml:space="preserve"> ، ص 13 ؛ </w:t>
      </w:r>
      <w:r w:rsidR="00744A1C" w:rsidRPr="008A57EB">
        <w:rPr>
          <w:rStyle w:val="libFootnoteBoldChar"/>
          <w:rtl/>
        </w:rPr>
        <w:t>القاموس المحيط</w:t>
      </w:r>
      <w:r w:rsidR="00744A1C">
        <w:rPr>
          <w:rtl/>
          <w:lang w:bidi="fa-IR"/>
        </w:rPr>
        <w:t xml:space="preserve"> ، ج 2 ، ص 1419 ( أزم ).</w:t>
      </w:r>
    </w:p>
    <w:p w:rsidR="00744A1C" w:rsidRDefault="00E378DD" w:rsidP="006F18B8">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والملكان إنّما يدعوان للناس بالسلامة ؛ لأنّه محلّ آفة لضيق الطريق وزحام الناس ، والتقدير : ربّ سلّم من سلّمه فسلّم ».</w:t>
      </w:r>
      <w:r w:rsidR="006F18B8">
        <w:rPr>
          <w:rFonts w:hint="cs"/>
          <w:rtl/>
          <w:lang w:bidi="fa-IR"/>
        </w:rPr>
        <w:t xml:space="preserve">     </w:t>
      </w:r>
      <w:r>
        <w:rPr>
          <w:rtl/>
          <w:lang w:bidi="fa-IR"/>
        </w:rPr>
        <w:t>(6).</w:t>
      </w:r>
      <w:r w:rsidR="006F18B8">
        <w:rPr>
          <w:rtl/>
          <w:lang w:bidi="fa-IR"/>
        </w:rPr>
        <w:t xml:space="preserve"> </w:t>
      </w:r>
      <w:r w:rsidR="006F18B8" w:rsidRPr="00C24F9C">
        <w:rPr>
          <w:rStyle w:val="libFootnoteBoldChar"/>
          <w:rtl/>
        </w:rPr>
        <w:t>الوافي</w:t>
      </w:r>
      <w:r w:rsidR="00EE5E45">
        <w:rPr>
          <w:rtl/>
          <w:lang w:bidi="fa-IR"/>
        </w:rPr>
        <w:t>، ج 13 ، ص 1040</w:t>
      </w:r>
      <w:r w:rsidR="006F18B8">
        <w:rPr>
          <w:rtl/>
          <w:lang w:bidi="fa-IR"/>
        </w:rPr>
        <w:t>،</w:t>
      </w:r>
      <w:r w:rsidR="00744A1C">
        <w:rPr>
          <w:rtl/>
          <w:lang w:bidi="fa-IR"/>
        </w:rPr>
        <w:t>ح</w:t>
      </w:r>
      <w:r w:rsidR="006F18B8">
        <w:rPr>
          <w:rtl/>
          <w:lang w:bidi="fa-IR"/>
        </w:rPr>
        <w:t xml:space="preserve"> 13696؛</w:t>
      </w:r>
      <w:r w:rsidR="006F18B8" w:rsidRPr="00C24F9C">
        <w:rPr>
          <w:rStyle w:val="libFootnoteBoldChar"/>
          <w:rtl/>
        </w:rPr>
        <w:t>الوسائل</w:t>
      </w:r>
      <w:r w:rsidR="00EE5E45">
        <w:rPr>
          <w:rtl/>
          <w:lang w:bidi="fa-IR"/>
        </w:rPr>
        <w:t xml:space="preserve"> ،ج 14،ص 7</w:t>
      </w:r>
      <w:r w:rsidR="006F18B8">
        <w:rPr>
          <w:rtl/>
          <w:lang w:bidi="fa-IR"/>
        </w:rPr>
        <w:t>،</w:t>
      </w:r>
      <w:r w:rsidR="00744A1C">
        <w:rPr>
          <w:rtl/>
          <w:lang w:bidi="fa-IR"/>
        </w:rPr>
        <w:t>ح 18452.</w:t>
      </w:r>
    </w:p>
    <w:p w:rsidR="00744A1C" w:rsidRDefault="00E378DD" w:rsidP="006F18B8">
      <w:pPr>
        <w:pStyle w:val="libFootnote0"/>
        <w:rPr>
          <w:lang w:bidi="fa-IR"/>
        </w:rPr>
      </w:pPr>
      <w:r>
        <w:rPr>
          <w:rtl/>
          <w:lang w:bidi="fa-IR"/>
        </w:rPr>
        <w:t>(7).</w:t>
      </w:r>
      <w:r w:rsidR="00744A1C">
        <w:rPr>
          <w:rtl/>
          <w:lang w:bidi="fa-IR"/>
        </w:rPr>
        <w:t xml:space="preserve"> في « بف » : « عنه » بدون الواو. والضمير راجع إلى أحمد بن محمّد المذكور في السند السابق ، فيكون هذا السند أيضاً معلّقاً.</w:t>
      </w:r>
      <w:r w:rsidR="006F18B8">
        <w:rPr>
          <w:rFonts w:hint="cs"/>
          <w:rtl/>
          <w:lang w:bidi="fa-IR"/>
        </w:rPr>
        <w:t xml:space="preserve">                                   </w:t>
      </w:r>
      <w:r>
        <w:rPr>
          <w:rtl/>
          <w:lang w:bidi="fa-IR"/>
        </w:rPr>
        <w:t>(8).</w:t>
      </w:r>
      <w:r w:rsidR="00744A1C">
        <w:rPr>
          <w:rtl/>
          <w:lang w:bidi="fa-IR"/>
        </w:rPr>
        <w:t xml:space="preserve"> في « ى ، بح ، جد » و</w:t>
      </w:r>
      <w:r w:rsidR="00744A1C" w:rsidRPr="00C24F9C">
        <w:rPr>
          <w:rStyle w:val="libFootnoteBoldChar"/>
          <w:rtl/>
        </w:rPr>
        <w:t>الوافي</w:t>
      </w:r>
      <w:r w:rsidR="00744A1C">
        <w:rPr>
          <w:rtl/>
          <w:lang w:bidi="fa-IR"/>
        </w:rPr>
        <w:t xml:space="preserve"> : « المزدلفة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 « المضيّقين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الوافي</w:t>
      </w:r>
      <w:r w:rsidR="00744A1C">
        <w:rPr>
          <w:rtl/>
          <w:lang w:bidi="fa-IR"/>
        </w:rPr>
        <w:t xml:space="preserve"> ، ج 13 ، ص 1040 ، ح 13697 ؛ </w:t>
      </w:r>
      <w:r w:rsidR="00744A1C" w:rsidRPr="00C24F9C">
        <w:rPr>
          <w:rStyle w:val="libFootnoteBoldChar"/>
          <w:rtl/>
        </w:rPr>
        <w:t>الوسائل</w:t>
      </w:r>
      <w:r w:rsidR="00744A1C">
        <w:rPr>
          <w:rtl/>
          <w:lang w:bidi="fa-IR"/>
        </w:rPr>
        <w:t xml:space="preserve"> ، ج 14 ، ص 7 ، ح 18453.</w:t>
      </w:r>
    </w:p>
    <w:p w:rsidR="00A55A65" w:rsidRDefault="00A55A65" w:rsidP="00D10E3C">
      <w:pPr>
        <w:pStyle w:val="libNormal"/>
        <w:rPr>
          <w:rtl/>
          <w:lang w:bidi="fa-IR"/>
        </w:rPr>
      </w:pPr>
      <w:r>
        <w:rPr>
          <w:rtl/>
          <w:lang w:bidi="fa-IR"/>
        </w:rPr>
        <w:br w:type="page"/>
      </w:r>
    </w:p>
    <w:p w:rsidR="00744A1C" w:rsidRDefault="00744A1C" w:rsidP="001E70BC">
      <w:pPr>
        <w:pStyle w:val="Heading2Center"/>
        <w:rPr>
          <w:lang w:bidi="fa-IR"/>
        </w:rPr>
      </w:pPr>
      <w:bookmarkStart w:id="12" w:name="_Toc49261310"/>
      <w:r>
        <w:rPr>
          <w:rtl/>
          <w:lang w:bidi="fa-IR"/>
        </w:rPr>
        <w:lastRenderedPageBreak/>
        <w:t>167 - بَابُ لَيْلَةِ الْمُزْدَلِفَةِ وَالْوُقُوفِ بِالْمَشْعَرِ وَالْإِفَاضَةِ مِنْهُ وَحُدُودِهِ‌</w:t>
      </w:r>
      <w:bookmarkEnd w:id="12"/>
    </w:p>
    <w:p w:rsidR="00144FA6" w:rsidRDefault="00744A1C" w:rsidP="00744A1C">
      <w:pPr>
        <w:pStyle w:val="libNormal"/>
        <w:rPr>
          <w:rtl/>
          <w:lang w:bidi="fa-IR"/>
        </w:rPr>
      </w:pPr>
      <w:r>
        <w:rPr>
          <w:rtl/>
          <w:lang w:bidi="fa-IR"/>
        </w:rPr>
        <w:t xml:space="preserve">7758 / 1. عَلِيُّ بْنُ إِبْرَاهِيمَ ، عَنْ أَبِيهِ ، عَنِ ابْنِ أَبِي عُمَيْرٍ ، عَنْ مُعَاوِيَةَ ؛ وَ </w:t>
      </w:r>
      <w:r w:rsidRPr="00D10E3C">
        <w:rPr>
          <w:rStyle w:val="libFootnotenumChar"/>
          <w:rtl/>
        </w:rPr>
        <w:t>(1)</w:t>
      </w:r>
      <w:r>
        <w:rPr>
          <w:rtl/>
          <w:lang w:bidi="fa-IR"/>
        </w:rPr>
        <w:t xml:space="preserve"> حَمَّادٍ ، عَنِ الْحَلَبِيِّ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قَالَ : « لَا تُصَلِّ الْمَغْرِبَ حَتّى تَأْتِيَ جَمْعاً </w:t>
      </w:r>
      <w:r w:rsidRPr="00D10E3C">
        <w:rPr>
          <w:rStyle w:val="libFootnotenumChar"/>
          <w:rtl/>
        </w:rPr>
        <w:t>(2)</w:t>
      </w:r>
      <w:r>
        <w:rPr>
          <w:rtl/>
          <w:lang w:bidi="fa-IR"/>
        </w:rPr>
        <w:t xml:space="preserve"> ، فَتُصَلِّيَ </w:t>
      </w:r>
      <w:r w:rsidRPr="00D10E3C">
        <w:rPr>
          <w:rStyle w:val="libFootnotenumChar"/>
          <w:rtl/>
        </w:rPr>
        <w:t>(3)</w:t>
      </w:r>
      <w:r>
        <w:rPr>
          <w:rtl/>
          <w:lang w:bidi="fa-IR"/>
        </w:rPr>
        <w:t xml:space="preserve"> بِهَا </w:t>
      </w:r>
      <w:r w:rsidRPr="00D10E3C">
        <w:rPr>
          <w:rStyle w:val="libFootnotenumChar"/>
          <w:rtl/>
        </w:rPr>
        <w:t>(4)</w:t>
      </w:r>
      <w:r>
        <w:rPr>
          <w:rtl/>
          <w:lang w:bidi="fa-IR"/>
        </w:rPr>
        <w:t xml:space="preserve"> الْمَغْرِبَ وَالْعِشَاءَ الْآخِرَةَ بِأَذَانٍ وَاحِدٍ وَإِقَامَتَيْنِ ، وَانْزِلْ </w:t>
      </w:r>
      <w:r w:rsidRPr="00D10E3C">
        <w:rPr>
          <w:rStyle w:val="libFootnotenumChar"/>
          <w:rtl/>
        </w:rPr>
        <w:t>(5)</w:t>
      </w:r>
      <w:r>
        <w:rPr>
          <w:rtl/>
          <w:lang w:bidi="fa-IR"/>
        </w:rPr>
        <w:t xml:space="preserve"> بِبَطْنِ الْوَادِي عَنْ يَمِينِ الطَّرِيقِ قَرِيباً مِنَ الْمَشْعَرِ ، وَيُسْتَحَبُّ لِلصَّرُورَةِ </w:t>
      </w:r>
      <w:r w:rsidRPr="00D10E3C">
        <w:rPr>
          <w:rStyle w:val="libFootnotenumChar"/>
          <w:rtl/>
        </w:rPr>
        <w:t>(6)</w:t>
      </w:r>
      <w:r>
        <w:rPr>
          <w:rtl/>
          <w:lang w:bidi="fa-IR"/>
        </w:rPr>
        <w:t xml:space="preserve"> أَنْ يَقِفَ عَلَى الْمَشْعَرِ الْحَرَامِ </w:t>
      </w:r>
      <w:r w:rsidRPr="00D10E3C">
        <w:rPr>
          <w:rStyle w:val="libFootnotenumChar"/>
          <w:rtl/>
        </w:rPr>
        <w:t>(7)</w:t>
      </w:r>
      <w:r>
        <w:rPr>
          <w:rtl/>
          <w:lang w:bidi="fa-IR"/>
        </w:rPr>
        <w:t xml:space="preserve"> ، وَيَطَأَهُ بِرِجْلِهِ ؛ وَلَايُجَاوِزِ </w:t>
      </w:r>
      <w:r w:rsidRPr="00D10E3C">
        <w:rPr>
          <w:rStyle w:val="libFootnotenumChar"/>
          <w:rtl/>
        </w:rPr>
        <w:t>(8)</w:t>
      </w:r>
      <w:r>
        <w:rPr>
          <w:rtl/>
          <w:lang w:bidi="fa-IR"/>
        </w:rPr>
        <w:t xml:space="preserve"> الْحِيَاضَ </w:t>
      </w:r>
      <w:r w:rsidRPr="00D10E3C">
        <w:rPr>
          <w:rStyle w:val="libFootnotenumChar"/>
          <w:rtl/>
        </w:rPr>
        <w:t>(9)</w:t>
      </w:r>
      <w:r>
        <w:rPr>
          <w:rtl/>
          <w:lang w:bidi="fa-IR"/>
        </w:rPr>
        <w:t xml:space="preserve"> لَيْلَةَ الْمُزْدَلِفَةِ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السند تحويل بعطف « حمّاد ، عن الحلبي » على « معاوية ».</w:t>
      </w:r>
    </w:p>
    <w:p w:rsidR="00744A1C" w:rsidRDefault="00E378DD" w:rsidP="00E378DD">
      <w:pPr>
        <w:pStyle w:val="libFootnote0"/>
        <w:rPr>
          <w:lang w:bidi="fa-IR"/>
        </w:rPr>
      </w:pPr>
      <w:r>
        <w:rPr>
          <w:rtl/>
          <w:lang w:bidi="fa-IR"/>
        </w:rPr>
        <w:t>(2).</w:t>
      </w:r>
      <w:r w:rsidR="00744A1C">
        <w:rPr>
          <w:rtl/>
          <w:lang w:bidi="fa-IR"/>
        </w:rPr>
        <w:t xml:space="preserve"> « جَمْعٌ » : علم للمزدلفة ، سمّيت به لاجتماع الناس فيها ، أو لأنّ آدم </w:t>
      </w:r>
      <w:r w:rsidR="0061079A" w:rsidRPr="0061079A">
        <w:rPr>
          <w:rStyle w:val="libFootnoteAlaemChar"/>
          <w:rtl/>
        </w:rPr>
        <w:t>عليه‌السلام</w:t>
      </w:r>
      <w:r w:rsidR="00D10E3C">
        <w:rPr>
          <w:rtl/>
          <w:lang w:bidi="fa-IR"/>
        </w:rPr>
        <w:t xml:space="preserve"> </w:t>
      </w:r>
      <w:r w:rsidR="00744A1C">
        <w:rPr>
          <w:rtl/>
          <w:lang w:bidi="fa-IR"/>
        </w:rPr>
        <w:t>وحوّاء ل</w:t>
      </w:r>
      <w:r w:rsidR="001E70BC">
        <w:rPr>
          <w:rFonts w:hint="cs"/>
          <w:rtl/>
          <w:lang w:bidi="fa-IR"/>
        </w:rPr>
        <w:t>ـ</w:t>
      </w:r>
      <w:r w:rsidR="00744A1C">
        <w:rPr>
          <w:rtl/>
          <w:lang w:bidi="fa-IR"/>
        </w:rPr>
        <w:t>مّا ا</w:t>
      </w:r>
      <w:r w:rsidR="001E70BC">
        <w:rPr>
          <w:rFonts w:hint="cs"/>
          <w:rtl/>
          <w:lang w:bidi="fa-IR"/>
        </w:rPr>
        <w:t>ُ</w:t>
      </w:r>
      <w:r w:rsidR="001E70BC">
        <w:rPr>
          <w:rtl/>
          <w:lang w:bidi="fa-IR"/>
        </w:rPr>
        <w:t>هبطا اجتمعا بها. وقال‌العل</w:t>
      </w:r>
      <w:r w:rsidR="001E70BC">
        <w:rPr>
          <w:rFonts w:hint="cs"/>
          <w:rtl/>
          <w:lang w:bidi="fa-IR"/>
        </w:rPr>
        <w:t>ّ</w:t>
      </w:r>
      <w:r w:rsidR="001E70BC">
        <w:rPr>
          <w:rtl/>
          <w:lang w:bidi="fa-IR"/>
        </w:rPr>
        <w:t>ا</w:t>
      </w:r>
      <w:r w:rsidR="00744A1C">
        <w:rPr>
          <w:rtl/>
          <w:lang w:bidi="fa-IR"/>
        </w:rPr>
        <w:t xml:space="preserve">مة المجلسي : « قوله </w:t>
      </w:r>
      <w:r w:rsidR="0061079A" w:rsidRPr="0061079A">
        <w:rPr>
          <w:rStyle w:val="libFootnoteAlaemChar"/>
          <w:rtl/>
        </w:rPr>
        <w:t>عليه‌السلام</w:t>
      </w:r>
      <w:r w:rsidR="00D10E3C">
        <w:rPr>
          <w:rtl/>
          <w:lang w:bidi="fa-IR"/>
        </w:rPr>
        <w:t xml:space="preserve"> </w:t>
      </w:r>
      <w:r w:rsidR="00744A1C">
        <w:rPr>
          <w:rtl/>
          <w:lang w:bidi="fa-IR"/>
        </w:rPr>
        <w:t xml:space="preserve">: حتّى تأتي جمعاً ، إنّما سمّي المشعر الحرام جمعاً لاجتماع الناس فيه ، أو لأنّه يجمع فيه بين المغرب والعشاء بأذان وإقامتين ، وأمّا استحباب تأخير الصلاة إلى جمع فهو مجمع عليه بين الأصحاب ، والأظهر جواز إيقاعهما بعرفة وفي الطريق من غير عذر ، ويظهر من الشيخ في الاستبصار المنع ، وأمّا مع العذر فلا ريب في جوازه ، وأمّا الاكتفاء بالأذان والإقامتين فالأشهر تعيينه والأحوط ذلك ». راجع : </w:t>
      </w:r>
      <w:r w:rsidR="00744A1C" w:rsidRPr="00E978C3">
        <w:rPr>
          <w:rStyle w:val="libFootnoteBoldChar"/>
          <w:rtl/>
        </w:rPr>
        <w:t>الصحاح</w:t>
      </w:r>
      <w:r w:rsidR="00744A1C">
        <w:rPr>
          <w:rtl/>
          <w:lang w:bidi="fa-IR"/>
        </w:rPr>
        <w:t xml:space="preserve"> ، ج 3 ، ص 1198 ؛ </w:t>
      </w:r>
      <w:r w:rsidR="00744A1C" w:rsidRPr="00877682">
        <w:rPr>
          <w:rStyle w:val="libFootnoteBoldChar"/>
          <w:rtl/>
        </w:rPr>
        <w:t>النهاية</w:t>
      </w:r>
      <w:r w:rsidR="00744A1C">
        <w:rPr>
          <w:rtl/>
          <w:lang w:bidi="fa-IR"/>
        </w:rPr>
        <w:t xml:space="preserve"> ، ج 1 ، ص 296 ( جمع ) ؛ </w:t>
      </w:r>
      <w:r w:rsidR="00744A1C" w:rsidRPr="00877682">
        <w:rPr>
          <w:rStyle w:val="libFootnoteBoldChar"/>
          <w:rtl/>
        </w:rPr>
        <w:t>مرآة العقول</w:t>
      </w:r>
      <w:r w:rsidR="00744A1C">
        <w:rPr>
          <w:rtl/>
          <w:lang w:bidi="fa-IR"/>
        </w:rPr>
        <w:t xml:space="preserve"> ، ج 18 ، ص 127.</w:t>
      </w:r>
    </w:p>
    <w:p w:rsidR="00744A1C" w:rsidRDefault="00E378DD" w:rsidP="00E378DD">
      <w:pPr>
        <w:pStyle w:val="libFootnote0"/>
        <w:rPr>
          <w:lang w:bidi="fa-IR"/>
        </w:rPr>
      </w:pPr>
      <w:r>
        <w:rPr>
          <w:rtl/>
          <w:lang w:bidi="fa-IR"/>
        </w:rPr>
        <w:t>(3).</w:t>
      </w:r>
      <w:r w:rsidR="00744A1C">
        <w:rPr>
          <w:rtl/>
          <w:lang w:bidi="fa-IR"/>
        </w:rPr>
        <w:t xml:space="preserve"> في « بخ ، بف » وحاشية « بث ، بح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فصلّ ».</w:t>
      </w:r>
    </w:p>
    <w:tbl>
      <w:tblPr>
        <w:tblStyle w:val="TableGrid"/>
        <w:bidiVisual/>
        <w:tblW w:w="0" w:type="auto"/>
        <w:tblLook w:val="04A0" w:firstRow="1" w:lastRow="0" w:firstColumn="1" w:lastColumn="0" w:noHBand="0" w:noVBand="1"/>
      </w:tblPr>
      <w:tblGrid>
        <w:gridCol w:w="4006"/>
        <w:gridCol w:w="4006"/>
      </w:tblGrid>
      <w:tr w:rsidR="00911D87" w:rsidTr="00911D87">
        <w:tc>
          <w:tcPr>
            <w:tcW w:w="4006" w:type="dxa"/>
          </w:tcPr>
          <w:p w:rsidR="00911D87" w:rsidRDefault="00911D87" w:rsidP="00E378DD">
            <w:pPr>
              <w:pStyle w:val="libFootnote0"/>
              <w:rPr>
                <w:rtl/>
                <w:lang w:bidi="fa-IR"/>
              </w:rPr>
            </w:pPr>
            <w:r>
              <w:rPr>
                <w:rtl/>
                <w:lang w:bidi="fa-IR"/>
              </w:rPr>
              <w:t>(4). في « بث ، بح » : « فيها ».</w:t>
            </w:r>
          </w:p>
        </w:tc>
        <w:tc>
          <w:tcPr>
            <w:tcW w:w="4006" w:type="dxa"/>
          </w:tcPr>
          <w:p w:rsidR="00911D87" w:rsidRDefault="00911D87" w:rsidP="00E378DD">
            <w:pPr>
              <w:pStyle w:val="libFootnote0"/>
              <w:rPr>
                <w:rtl/>
                <w:lang w:bidi="fa-IR"/>
              </w:rPr>
            </w:pPr>
            <w:r>
              <w:rPr>
                <w:rtl/>
                <w:lang w:bidi="fa-IR"/>
              </w:rPr>
              <w:t>(5). في « بخ ، بف » وحاشية « بح » : « فانزل ».</w:t>
            </w:r>
          </w:p>
        </w:tc>
      </w:tr>
    </w:tbl>
    <w:p w:rsidR="00744A1C" w:rsidRDefault="00E378DD" w:rsidP="00E378DD">
      <w:pPr>
        <w:pStyle w:val="libFootnote0"/>
        <w:rPr>
          <w:lang w:bidi="fa-IR"/>
        </w:rPr>
      </w:pPr>
      <w:r>
        <w:rPr>
          <w:rtl/>
          <w:lang w:bidi="fa-IR"/>
        </w:rPr>
        <w:t>(6).</w:t>
      </w:r>
      <w:r w:rsidR="00744A1C">
        <w:rPr>
          <w:rtl/>
          <w:lang w:bidi="fa-IR"/>
        </w:rPr>
        <w:t xml:space="preserve"> الصرورة : الذي لم يحجّ قطّ. </w:t>
      </w:r>
      <w:r w:rsidR="00744A1C" w:rsidRPr="00877682">
        <w:rPr>
          <w:rStyle w:val="libFootnoteBoldChar"/>
          <w:rtl/>
        </w:rPr>
        <w:t>النهاية</w:t>
      </w:r>
      <w:r w:rsidR="00744A1C">
        <w:rPr>
          <w:rtl/>
          <w:lang w:bidi="fa-IR"/>
        </w:rPr>
        <w:t xml:space="preserve"> ، ج 3 ، ص 22 ( صرر ).</w:t>
      </w:r>
    </w:p>
    <w:p w:rsidR="00744A1C" w:rsidRDefault="00E378DD" w:rsidP="00E378DD">
      <w:pPr>
        <w:pStyle w:val="libFootnote0"/>
        <w:rPr>
          <w:lang w:bidi="fa-IR"/>
        </w:rPr>
      </w:pPr>
      <w:r>
        <w:rPr>
          <w:rtl/>
          <w:lang w:bidi="fa-IR"/>
        </w:rPr>
        <w:t>(7).</w:t>
      </w:r>
      <w:r w:rsidR="00744A1C">
        <w:rPr>
          <w:rtl/>
          <w:lang w:bidi="fa-IR"/>
        </w:rPr>
        <w:t xml:space="preserve"> في « بف ، جد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 الحرام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127 : اعلم أنّه قد يطلق المشعر - بفتح الميم وقد يكسر - على جميع المزدلفة ، وقد يطلق على الجبل المسمّى بقزح ، وهو المراد هاهنا في الموضعين ، كما ذكره الشيخ ، وفسّرها ابن الجنيد بما قرب من المنارة. وقال في </w:t>
      </w:r>
      <w:r w:rsidRPr="00877682">
        <w:rPr>
          <w:rStyle w:val="libFootnoteBoldChar"/>
          <w:rtl/>
        </w:rPr>
        <w:t>الدروس</w:t>
      </w:r>
      <w:r>
        <w:rPr>
          <w:rtl/>
          <w:lang w:bidi="fa-IR"/>
        </w:rPr>
        <w:t xml:space="preserve"> : الظاهر أنّه المسجد الموجود الآن ، وما ذكره بعض المتأخّرين أنّ المراد المزدلفة فلا يخفى بعده » ونحوه عن ابن الفيض في هامش </w:t>
      </w:r>
      <w:r w:rsidRPr="00C24F9C">
        <w:rPr>
          <w:rStyle w:val="libFootnoteBoldChar"/>
          <w:rtl/>
        </w:rPr>
        <w:t>الوافي</w:t>
      </w:r>
      <w:r>
        <w:rPr>
          <w:rtl/>
          <w:lang w:bidi="fa-IR"/>
        </w:rPr>
        <w:t xml:space="preserve">. وراجع : المبسوط ، ج 1 ، ص 368 وفيه : « فراخ » ؛ </w:t>
      </w:r>
      <w:r w:rsidRPr="00877682">
        <w:rPr>
          <w:rStyle w:val="libFootnoteBoldChar"/>
          <w:rtl/>
        </w:rPr>
        <w:t>الدروس</w:t>
      </w:r>
      <w:r w:rsidRPr="00E978C3">
        <w:rPr>
          <w:rStyle w:val="libFootnoteBoldChar"/>
          <w:rtl/>
        </w:rPr>
        <w:t xml:space="preserve"> الشرعيّة</w:t>
      </w:r>
      <w:r>
        <w:rPr>
          <w:rtl/>
          <w:lang w:bidi="fa-IR"/>
        </w:rPr>
        <w:t xml:space="preserve"> ، ج 1 ، ص 422 ، الدرس 109 ؛ </w:t>
      </w:r>
      <w:r w:rsidRPr="00C24F9C">
        <w:rPr>
          <w:rStyle w:val="libFootnoteBoldChar"/>
          <w:rtl/>
        </w:rPr>
        <w:t>مدارك الأحكام</w:t>
      </w:r>
      <w:r>
        <w:rPr>
          <w:rtl/>
          <w:lang w:bidi="fa-IR"/>
        </w:rPr>
        <w:t xml:space="preserve"> ، ج 7 ، ص 43.</w:t>
      </w:r>
    </w:p>
    <w:p w:rsidR="00744A1C" w:rsidRDefault="00E378DD" w:rsidP="00E378DD">
      <w:pPr>
        <w:pStyle w:val="libFootnote0"/>
        <w:rPr>
          <w:lang w:bidi="fa-IR"/>
        </w:rPr>
      </w:pPr>
      <w:r>
        <w:rPr>
          <w:rtl/>
          <w:lang w:bidi="fa-IR"/>
        </w:rPr>
        <w:t>(8).</w:t>
      </w:r>
      <w:r w:rsidR="00744A1C">
        <w:rPr>
          <w:rtl/>
          <w:lang w:bidi="fa-IR"/>
        </w:rPr>
        <w:t xml:space="preserve"> في « جن » : « لا يجاوز » بدون الواو. وفي </w:t>
      </w:r>
      <w:r w:rsidR="00744A1C" w:rsidRPr="00C24F9C">
        <w:rPr>
          <w:rStyle w:val="libFootnoteBoldChar"/>
          <w:rtl/>
        </w:rPr>
        <w:t>الوسائل</w:t>
      </w:r>
      <w:r w:rsidR="00744A1C">
        <w:rPr>
          <w:rtl/>
          <w:lang w:bidi="fa-IR"/>
        </w:rPr>
        <w:t xml:space="preserve"> ، ح 18488 : « لا تجاوز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EE5E45">
        <w:rPr>
          <w:rtl/>
          <w:lang w:bidi="fa-IR"/>
        </w:rPr>
        <w:t>:</w:t>
      </w:r>
      <w:r w:rsidR="00744A1C">
        <w:rPr>
          <w:rtl/>
          <w:lang w:bidi="fa-IR"/>
        </w:rPr>
        <w:t>ولا يج</w:t>
      </w:r>
      <w:r w:rsidR="00EE5E45">
        <w:rPr>
          <w:rtl/>
          <w:lang w:bidi="fa-IR"/>
        </w:rPr>
        <w:t>اوز الحياض ، أي حياض وادي معسّر؛ فإنّها حدّ عرفة من جهة منى</w:t>
      </w:r>
      <w:r w:rsidR="00744A1C">
        <w:rPr>
          <w:rtl/>
          <w:lang w:bidi="fa-IR"/>
        </w:rPr>
        <w:t xml:space="preserve">، وظاهره </w:t>
      </w:r>
      <w:r w:rsidR="00911D87">
        <w:rPr>
          <w:rFonts w:hint="cs"/>
          <w:rtl/>
          <w:lang w:bidi="fa-IR"/>
        </w:rPr>
        <w:t>=</w:t>
      </w:r>
    </w:p>
    <w:p w:rsidR="00A55A65" w:rsidRDefault="00A55A65"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وَ</w:t>
      </w:r>
      <w:r w:rsidR="00C272A1">
        <w:rPr>
          <w:rFonts w:hint="cs"/>
          <w:rtl/>
          <w:lang w:bidi="fa-IR"/>
        </w:rPr>
        <w:t xml:space="preserve"> </w:t>
      </w:r>
      <w:r>
        <w:rPr>
          <w:rtl/>
          <w:lang w:bidi="fa-IR"/>
        </w:rPr>
        <w:t xml:space="preserve">يَقُولُ </w:t>
      </w:r>
      <w:r w:rsidRPr="00D10E3C">
        <w:rPr>
          <w:rStyle w:val="libFootnotenumChar"/>
          <w:rtl/>
        </w:rPr>
        <w:t>(1)</w:t>
      </w:r>
      <w:r>
        <w:rPr>
          <w:rtl/>
          <w:lang w:bidi="fa-IR"/>
        </w:rPr>
        <w:t xml:space="preserve"> : الل</w:t>
      </w:r>
      <w:r w:rsidR="00C272A1">
        <w:rPr>
          <w:rFonts w:hint="cs"/>
          <w:rtl/>
          <w:lang w:bidi="fa-IR"/>
        </w:rPr>
        <w:t>ّ</w:t>
      </w:r>
      <w:r>
        <w:rPr>
          <w:rtl/>
          <w:lang w:bidi="fa-IR"/>
        </w:rPr>
        <w:t xml:space="preserve">هُمَّ هذِهِ جَمْعٌ </w:t>
      </w:r>
      <w:r w:rsidRPr="00D10E3C">
        <w:rPr>
          <w:rStyle w:val="libFootnotenumChar"/>
          <w:rtl/>
        </w:rPr>
        <w:t>(2)</w:t>
      </w:r>
      <w:r>
        <w:rPr>
          <w:rtl/>
          <w:lang w:bidi="fa-IR"/>
        </w:rPr>
        <w:t xml:space="preserve"> ، الل</w:t>
      </w:r>
      <w:r w:rsidR="00C272A1">
        <w:rPr>
          <w:rFonts w:hint="cs"/>
          <w:rtl/>
          <w:lang w:bidi="fa-IR"/>
        </w:rPr>
        <w:t>ّ</w:t>
      </w:r>
      <w:r>
        <w:rPr>
          <w:rtl/>
          <w:lang w:bidi="fa-IR"/>
        </w:rPr>
        <w:t xml:space="preserve">هُمَّ إِنِّي أَسْأَلُكَ أَنْ تَجْمَعَ لِي فِيهَا </w:t>
      </w:r>
      <w:r w:rsidRPr="00D10E3C">
        <w:rPr>
          <w:rStyle w:val="libFootnotenumChar"/>
          <w:rtl/>
        </w:rPr>
        <w:t>(3)</w:t>
      </w:r>
      <w:r>
        <w:rPr>
          <w:rtl/>
          <w:lang w:bidi="fa-IR"/>
        </w:rPr>
        <w:t xml:space="preserve"> جَوَامِعَ </w:t>
      </w:r>
      <w:r w:rsidRPr="00D10E3C">
        <w:rPr>
          <w:rStyle w:val="libFootnotenumChar"/>
          <w:rtl/>
        </w:rPr>
        <w:t>(4)</w:t>
      </w:r>
      <w:r>
        <w:rPr>
          <w:rtl/>
          <w:lang w:bidi="fa-IR"/>
        </w:rPr>
        <w:t xml:space="preserve"> الْخَيْرِ ، الل</w:t>
      </w:r>
      <w:r w:rsidR="00C272A1">
        <w:rPr>
          <w:rFonts w:hint="cs"/>
          <w:rtl/>
          <w:lang w:bidi="fa-IR"/>
        </w:rPr>
        <w:t>ّ</w:t>
      </w:r>
      <w:r>
        <w:rPr>
          <w:rtl/>
          <w:lang w:bidi="fa-IR"/>
        </w:rPr>
        <w:t xml:space="preserve">هُمَّ لَاتُؤْيِسْنِي مِنَ الْخَيْرِ الَّذِي سَأَلْتُكَ أَنْ تَجْمَعَهُ </w:t>
      </w:r>
      <w:r w:rsidRPr="00D10E3C">
        <w:rPr>
          <w:rStyle w:val="libFootnotenumChar"/>
          <w:rtl/>
        </w:rPr>
        <w:t>(5)</w:t>
      </w:r>
      <w:r>
        <w:rPr>
          <w:rtl/>
          <w:lang w:bidi="fa-IR"/>
        </w:rPr>
        <w:t xml:space="preserve"> لِي فِي قَلْبِي ، وَأَطْلُبُ </w:t>
      </w:r>
      <w:r w:rsidRPr="00D10E3C">
        <w:rPr>
          <w:rStyle w:val="libFootnotenumChar"/>
          <w:rtl/>
        </w:rPr>
        <w:t>(6)</w:t>
      </w:r>
      <w:r>
        <w:rPr>
          <w:rtl/>
          <w:lang w:bidi="fa-IR"/>
        </w:rPr>
        <w:t xml:space="preserve"> إِلَيْكَ أَنْ تُعَرِّفَنِي مَا عَرَّفْتَ أَوْلِيَاءَكَ فِي مَنْزِلِي هذَا ، وَأَنْ تَقِيَنِي جَوَامِعَ الشَّرِّ </w:t>
      </w:r>
      <w:r w:rsidRPr="00D10E3C">
        <w:rPr>
          <w:rStyle w:val="libFootnotenumChar"/>
          <w:rtl/>
        </w:rPr>
        <w:t>(7)</w:t>
      </w:r>
      <w:r w:rsidR="00C272A1" w:rsidRPr="00C272A1">
        <w:rPr>
          <w:rFonts w:hint="cs"/>
          <w:rtl/>
        </w:rPr>
        <w:t>.</w:t>
      </w:r>
    </w:p>
    <w:p w:rsidR="00144FA6" w:rsidRDefault="00744A1C" w:rsidP="00744A1C">
      <w:pPr>
        <w:pStyle w:val="libNormal"/>
        <w:rPr>
          <w:rtl/>
          <w:lang w:bidi="fa-IR"/>
        </w:rPr>
      </w:pPr>
      <w:r>
        <w:rPr>
          <w:rtl/>
          <w:lang w:bidi="fa-IR"/>
        </w:rPr>
        <w:t xml:space="preserve">وَإِنِ اسْتَطَعْتَ أَنْ تُحْيِيَ تِلْكَ اللَّيْلَةَ ، فَافْعَلْ ؛ فَإِنَّهُ بَلَغَنَا أَنَّ أَبْوَابَ السَّمَاءِ لَاتُغْلَقُ تِلْكَ اللَّيْلَةَ لِأَصْوَاتِ الْمُؤْمِنِينَ </w:t>
      </w:r>
      <w:r w:rsidRPr="00D10E3C">
        <w:rPr>
          <w:rStyle w:val="libFootnotenumChar"/>
          <w:rtl/>
        </w:rPr>
        <w:t>(8)</w:t>
      </w:r>
      <w:r>
        <w:rPr>
          <w:rtl/>
          <w:lang w:bidi="fa-IR"/>
        </w:rPr>
        <w:t xml:space="preserve"> ، لَهُمْ دَوِيٌّ </w:t>
      </w:r>
      <w:r w:rsidRPr="00D10E3C">
        <w:rPr>
          <w:rStyle w:val="libFootnotenumChar"/>
          <w:rtl/>
        </w:rPr>
        <w:t>(9)</w:t>
      </w:r>
      <w:r>
        <w:rPr>
          <w:rtl/>
          <w:lang w:bidi="fa-IR"/>
        </w:rPr>
        <w:t xml:space="preserve"> كَدَوِيِّ النَّحْلِ ، يَقُولُ اللهُ - جَلَّ ثَنَاؤُهُ - : أَنَا رَبُّكُمْ وَأَنْتُمْ عِبَادِي ، أَدَّيْتُمْ حَقِّي ، وَحَقٌّ عَلَيَّ أَنْ أَسْتَجِيبَ لَكُمْ ، فَيَحُطُّ </w:t>
      </w:r>
      <w:r w:rsidRPr="00D10E3C">
        <w:rPr>
          <w:rStyle w:val="libFootnotenumChar"/>
          <w:rtl/>
        </w:rPr>
        <w:t>(10)</w:t>
      </w:r>
      <w:r>
        <w:rPr>
          <w:rtl/>
          <w:lang w:bidi="fa-IR"/>
        </w:rPr>
        <w:t xml:space="preserve"> تِلْكَ اللَّيْلَةَ عَمَّنْ أَرَادَ أَنْ يَحُطَّ عَنْهُ ذُنُوبَهُ ، وَيَغْفِرُ لِمَنْ أَرَادَ أَنْ يَغْفِرَ لَهُ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C272A1" w:rsidP="00D10E3C">
      <w:pPr>
        <w:pStyle w:val="libFootnote0"/>
        <w:rPr>
          <w:lang w:bidi="fa-IR"/>
        </w:rPr>
      </w:pPr>
      <w:r>
        <w:rPr>
          <w:rFonts w:hint="cs"/>
          <w:rtl/>
          <w:lang w:bidi="fa-IR"/>
        </w:rPr>
        <w:t xml:space="preserve">= </w:t>
      </w:r>
      <w:r w:rsidR="00744A1C">
        <w:rPr>
          <w:rtl/>
          <w:lang w:bidi="fa-IR"/>
        </w:rPr>
        <w:t>وجوب الوقوف بالليل ، كما اختاره بعض الأصحاب ، والمشهور استحبابه وأنّ الوقوف الواجب الذي هو ركن هو بعد طلوع الفجر ».</w:t>
      </w:r>
    </w:p>
    <w:p w:rsidR="00744A1C" w:rsidRDefault="00D10E3C" w:rsidP="00D10E3C">
      <w:pPr>
        <w:pStyle w:val="libFootnote0"/>
        <w:rPr>
          <w:lang w:bidi="fa-IR"/>
        </w:rPr>
      </w:pPr>
      <w:r>
        <w:rPr>
          <w:rtl/>
          <w:lang w:bidi="fa-IR"/>
        </w:rPr>
        <w:t>(1).</w:t>
      </w:r>
      <w:r w:rsidR="00744A1C">
        <w:rPr>
          <w:rtl/>
          <w:lang w:bidi="fa-IR"/>
        </w:rPr>
        <w:t xml:space="preserve"> في « بح » و</w:t>
      </w:r>
      <w:r w:rsidR="00744A1C" w:rsidRPr="00C24F9C">
        <w:rPr>
          <w:rStyle w:val="libFootnoteBoldChar"/>
          <w:rtl/>
        </w:rPr>
        <w:t>الوسائل</w:t>
      </w:r>
      <w:r w:rsidR="00744A1C">
        <w:rPr>
          <w:rtl/>
          <w:lang w:bidi="fa-IR"/>
        </w:rPr>
        <w:t xml:space="preserve"> ، ح 18488 : « وتقول ».</w:t>
      </w:r>
    </w:p>
    <w:p w:rsidR="00744A1C" w:rsidRDefault="00E378DD" w:rsidP="004F299D">
      <w:pPr>
        <w:pStyle w:val="libFootnote0"/>
        <w:rPr>
          <w:lang w:bidi="fa-IR"/>
        </w:rPr>
      </w:pPr>
      <w:r>
        <w:rPr>
          <w:rtl/>
          <w:lang w:bidi="fa-IR"/>
        </w:rPr>
        <w:t>(2).</w:t>
      </w:r>
      <w:r w:rsidR="00744A1C">
        <w:rPr>
          <w:rtl/>
          <w:lang w:bidi="fa-IR"/>
        </w:rPr>
        <w:t xml:space="preserve"> في </w:t>
      </w:r>
      <w:r w:rsidR="00744A1C" w:rsidRPr="00C24F9C">
        <w:rPr>
          <w:rStyle w:val="libFootnoteBoldChar"/>
          <w:rtl/>
        </w:rPr>
        <w:t>الفقيه</w:t>
      </w:r>
      <w:r w:rsidR="00744A1C">
        <w:rPr>
          <w:rtl/>
          <w:lang w:bidi="fa-IR"/>
        </w:rPr>
        <w:t xml:space="preserve"> ، ح 3137 : « ثمّ صلّ نوافل المغرب بعد العشاء ،</w:t>
      </w:r>
      <w:r w:rsidR="00C50B9D">
        <w:rPr>
          <w:rtl/>
          <w:lang w:bidi="fa-IR"/>
        </w:rPr>
        <w:t xml:space="preserve"> ولا تصلّ المغرب ليلة النحر إل</w:t>
      </w:r>
      <w:r w:rsidR="00C50B9D">
        <w:rPr>
          <w:rFonts w:hint="cs"/>
          <w:rtl/>
          <w:lang w:bidi="fa-IR"/>
        </w:rPr>
        <w:t>ّ</w:t>
      </w:r>
      <w:r w:rsidR="00C50B9D">
        <w:rPr>
          <w:rtl/>
          <w:lang w:bidi="fa-IR"/>
        </w:rPr>
        <w:t>ا</w:t>
      </w:r>
      <w:r w:rsidR="00C50B9D">
        <w:rPr>
          <w:rFonts w:hint="cs"/>
          <w:rtl/>
          <w:lang w:bidi="fa-IR"/>
        </w:rPr>
        <w:t xml:space="preserve"> </w:t>
      </w:r>
      <w:r w:rsidR="00744A1C">
        <w:rPr>
          <w:rtl/>
          <w:lang w:bidi="fa-IR"/>
        </w:rPr>
        <w:t>بالمزدلفة ، وإن ذهب ربع الليل إلى ثلثه ، وبت بمزدلفة ، وليكن من دعائك فيها » بدل « وأنزل ب</w:t>
      </w:r>
      <w:r w:rsidR="00EE5E45">
        <w:rPr>
          <w:rtl/>
          <w:lang w:bidi="fa-IR"/>
        </w:rPr>
        <w:t>بطن الوادي - إلى قوله - هذه جمع</w:t>
      </w:r>
      <w:r w:rsidR="00744A1C">
        <w:rPr>
          <w:rtl/>
          <w:lang w:bidi="fa-IR"/>
        </w:rPr>
        <w:t>».</w:t>
      </w:r>
      <w:r w:rsidR="004F299D">
        <w:rPr>
          <w:rFonts w:hint="cs"/>
          <w:rtl/>
          <w:lang w:bidi="fa-IR"/>
        </w:rPr>
        <w:t xml:space="preserve">        </w:t>
      </w:r>
      <w:r w:rsidR="00EE5E45">
        <w:rPr>
          <w:rFonts w:hint="cs"/>
          <w:rtl/>
          <w:lang w:bidi="fa-IR"/>
        </w:rPr>
        <w:t xml:space="preserve">                              </w:t>
      </w:r>
      <w:r w:rsidR="004F299D">
        <w:rPr>
          <w:rFonts w:hint="cs"/>
          <w:rtl/>
          <w:lang w:bidi="fa-IR"/>
        </w:rPr>
        <w:t xml:space="preserve">  </w:t>
      </w:r>
      <w:r w:rsidR="00EE5E45">
        <w:rPr>
          <w:rFonts w:hint="cs"/>
          <w:rtl/>
          <w:lang w:bidi="fa-IR"/>
        </w:rPr>
        <w:t xml:space="preserve">          </w:t>
      </w:r>
      <w:r w:rsidR="004F299D">
        <w:rPr>
          <w:rFonts w:hint="cs"/>
          <w:rtl/>
          <w:lang w:bidi="fa-IR"/>
        </w:rPr>
        <w:t xml:space="preserve">   </w:t>
      </w:r>
      <w:r>
        <w:rPr>
          <w:rtl/>
          <w:lang w:bidi="fa-IR"/>
        </w:rPr>
        <w:t>(3).</w:t>
      </w:r>
      <w:r w:rsidR="00EE5E45">
        <w:rPr>
          <w:rtl/>
          <w:lang w:bidi="fa-IR"/>
        </w:rPr>
        <w:t xml:space="preserve"> في «بف» : «منها».وفي «بث»:+«خيراً مع</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E2312A" w:rsidTr="00E2312A">
        <w:tc>
          <w:tcPr>
            <w:tcW w:w="4006" w:type="dxa"/>
          </w:tcPr>
          <w:p w:rsidR="00E2312A" w:rsidRDefault="00E2312A" w:rsidP="00E378DD">
            <w:pPr>
              <w:pStyle w:val="libFootnote0"/>
              <w:rPr>
                <w:rtl/>
                <w:lang w:bidi="fa-IR"/>
              </w:rPr>
            </w:pPr>
            <w:r>
              <w:rPr>
                <w:rtl/>
                <w:lang w:bidi="fa-IR"/>
              </w:rPr>
              <w:t>(4). في « بث ، بف » : - « جوامع ».</w:t>
            </w:r>
          </w:p>
        </w:tc>
        <w:tc>
          <w:tcPr>
            <w:tcW w:w="4006" w:type="dxa"/>
          </w:tcPr>
          <w:p w:rsidR="00E2312A" w:rsidRDefault="00E2312A" w:rsidP="00E378DD">
            <w:pPr>
              <w:pStyle w:val="libFootnote0"/>
              <w:rPr>
                <w:rtl/>
                <w:lang w:bidi="fa-IR"/>
              </w:rPr>
            </w:pPr>
            <w:r>
              <w:rPr>
                <w:rtl/>
                <w:lang w:bidi="fa-IR"/>
              </w:rPr>
              <w:t>(5). في « بخ » : « أن تجمع ».</w:t>
            </w:r>
          </w:p>
        </w:tc>
      </w:tr>
    </w:tbl>
    <w:p w:rsidR="00744A1C" w:rsidRDefault="00E378DD" w:rsidP="00E378DD">
      <w:pPr>
        <w:pStyle w:val="libFootnote0"/>
        <w:rPr>
          <w:lang w:bidi="fa-IR"/>
        </w:rPr>
      </w:pPr>
      <w:r>
        <w:rPr>
          <w:rtl/>
          <w:lang w:bidi="fa-IR"/>
        </w:rPr>
        <w:t>(6).</w:t>
      </w:r>
      <w:r w:rsidR="00744A1C">
        <w:rPr>
          <w:rtl/>
          <w:lang w:bidi="fa-IR"/>
        </w:rPr>
        <w:t xml:space="preserve"> في « بخ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ثمّ أطلب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الفقيه</w:t>
      </w:r>
      <w:r w:rsidR="00744A1C">
        <w:rPr>
          <w:rtl/>
          <w:lang w:bidi="fa-IR"/>
        </w:rPr>
        <w:t xml:space="preserve"> ، ح 3137 : « هب لي الخير واليسر كلّه » بدل « أن تقيني جوامع الشرّ ».</w:t>
      </w:r>
    </w:p>
    <w:p w:rsidR="00744A1C" w:rsidRDefault="00E378DD" w:rsidP="00E378DD">
      <w:pPr>
        <w:pStyle w:val="libFootnote0"/>
        <w:rPr>
          <w:lang w:bidi="fa-IR"/>
        </w:rPr>
      </w:pPr>
      <w:r>
        <w:rPr>
          <w:rtl/>
          <w:lang w:bidi="fa-IR"/>
        </w:rPr>
        <w:t>(8).</w:t>
      </w:r>
      <w:r w:rsidR="00744A1C">
        <w:rPr>
          <w:rtl/>
          <w:lang w:bidi="fa-IR"/>
        </w:rPr>
        <w:t xml:space="preserve"> في « بخ ، بف » و</w:t>
      </w:r>
      <w:r w:rsidR="00744A1C" w:rsidRPr="00C24F9C">
        <w:rPr>
          <w:rStyle w:val="libFootnoteBoldChar"/>
          <w:rtl/>
        </w:rPr>
        <w:t>الوافي</w:t>
      </w:r>
      <w:r w:rsidR="00744A1C">
        <w:rPr>
          <w:rtl/>
          <w:lang w:bidi="fa-IR"/>
        </w:rPr>
        <w:t xml:space="preserve"> : « الآدميّين ».</w:t>
      </w:r>
    </w:p>
    <w:p w:rsidR="00744A1C" w:rsidRDefault="00E378DD" w:rsidP="00E378DD">
      <w:pPr>
        <w:pStyle w:val="libFootnote0"/>
        <w:rPr>
          <w:lang w:bidi="fa-IR"/>
        </w:rPr>
      </w:pPr>
      <w:r>
        <w:rPr>
          <w:rtl/>
          <w:lang w:bidi="fa-IR"/>
        </w:rPr>
        <w:t>(9).</w:t>
      </w:r>
      <w:r w:rsidR="00744A1C">
        <w:rPr>
          <w:rtl/>
          <w:lang w:bidi="fa-IR"/>
        </w:rPr>
        <w:t xml:space="preserve"> الدَّوِيُّ : الصوت ، أو صوت ليس بالعالي ، كصوت النحل ونحوه. راجع : </w:t>
      </w:r>
      <w:r w:rsidR="00744A1C" w:rsidRPr="00877682">
        <w:rPr>
          <w:rStyle w:val="libFootnoteBoldChar"/>
          <w:rtl/>
        </w:rPr>
        <w:t>النهاية</w:t>
      </w:r>
      <w:r w:rsidR="00744A1C">
        <w:rPr>
          <w:rtl/>
          <w:lang w:bidi="fa-IR"/>
        </w:rPr>
        <w:t xml:space="preserve"> ، ج 2 ، ص 143 ؛ </w:t>
      </w:r>
      <w:r w:rsidR="00744A1C" w:rsidRPr="00877682">
        <w:rPr>
          <w:rStyle w:val="libFootnoteBoldChar"/>
          <w:rtl/>
        </w:rPr>
        <w:t>لسان العرب</w:t>
      </w:r>
      <w:r w:rsidR="00744A1C">
        <w:rPr>
          <w:rtl/>
          <w:lang w:bidi="fa-IR"/>
        </w:rPr>
        <w:t xml:space="preserve"> ، ج 14 ، ص 281 ( دوا ).</w:t>
      </w:r>
    </w:p>
    <w:p w:rsidR="00744A1C" w:rsidRDefault="00E378DD" w:rsidP="00E378DD">
      <w:pPr>
        <w:pStyle w:val="libFootnote0"/>
        <w:rPr>
          <w:lang w:bidi="fa-IR"/>
        </w:rPr>
      </w:pPr>
      <w:r>
        <w:rPr>
          <w:rtl/>
          <w:lang w:bidi="fa-IR"/>
        </w:rPr>
        <w:t>(10).</w:t>
      </w:r>
      <w:r w:rsidR="00744A1C">
        <w:rPr>
          <w:rtl/>
          <w:lang w:bidi="fa-IR"/>
        </w:rPr>
        <w:t xml:space="preserve"> هكذا في معظم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18488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وفي « بح » وحاشية « جن » والمطبوع : + « الله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فيحطّ ، ظاهره عدم غفران جميع ذنوب الحاجّ ، فيحمل الأخبار الا</w:t>
      </w:r>
      <w:r w:rsidR="00EA02CA">
        <w:rPr>
          <w:rFonts w:hint="cs"/>
          <w:rtl/>
          <w:lang w:bidi="fa-IR"/>
        </w:rPr>
        <w:t>ُ</w:t>
      </w:r>
      <w:r w:rsidR="00744A1C">
        <w:rPr>
          <w:rtl/>
          <w:lang w:bidi="fa-IR"/>
        </w:rPr>
        <w:t xml:space="preserve">خر على الأغلب والأكثر ، ويمكن حمل الحطّ في هذا الخبر على غير المؤمنين ، </w:t>
      </w:r>
      <w:r w:rsidR="00EA02CA">
        <w:rPr>
          <w:rtl/>
          <w:lang w:bidi="fa-IR"/>
        </w:rPr>
        <w:t>أو يكون في الترديد مصلحة ؛ لئل</w:t>
      </w:r>
      <w:r w:rsidR="00EA02CA">
        <w:rPr>
          <w:rFonts w:hint="cs"/>
          <w:rtl/>
          <w:lang w:bidi="fa-IR"/>
        </w:rPr>
        <w:t>ّ</w:t>
      </w:r>
      <w:r w:rsidR="00EA02CA">
        <w:rPr>
          <w:rtl/>
          <w:lang w:bidi="fa-IR"/>
        </w:rPr>
        <w:t>ا</w:t>
      </w:r>
      <w:r w:rsidR="00744A1C">
        <w:rPr>
          <w:rtl/>
          <w:lang w:bidi="fa-IR"/>
        </w:rPr>
        <w:t xml:space="preserve"> يجترئوا على المعاصي ».</w:t>
      </w:r>
    </w:p>
    <w:p w:rsidR="00744A1C" w:rsidRDefault="00E378DD" w:rsidP="00E378DD">
      <w:pPr>
        <w:pStyle w:val="libFootnote0"/>
        <w:rPr>
          <w:lang w:bidi="fa-IR"/>
        </w:rPr>
      </w:pPr>
      <w:r>
        <w:rPr>
          <w:rtl/>
          <w:lang w:bidi="fa-IR"/>
        </w:rPr>
        <w:t>(11).</w:t>
      </w:r>
      <w:r w:rsidR="00744A1C">
        <w:rPr>
          <w:rtl/>
          <w:lang w:bidi="fa-IR"/>
        </w:rPr>
        <w:t xml:space="preserve"> في حاشية « بح » : + « ذنوبه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188 ، ح 626 ، معلّقاً عن الكليني. </w:t>
      </w:r>
      <w:r w:rsidR="00744A1C" w:rsidRPr="00C24F9C">
        <w:rPr>
          <w:rStyle w:val="libFootnoteBoldChar"/>
          <w:rtl/>
        </w:rPr>
        <w:t>الفقيه</w:t>
      </w:r>
      <w:r w:rsidR="00744A1C">
        <w:rPr>
          <w:rtl/>
          <w:lang w:bidi="fa-IR"/>
        </w:rPr>
        <w:t xml:space="preserve"> ، ج 2 ، ص 543 ، ذيل ح 3137 ، بسند آخر. </w:t>
      </w:r>
      <w:r w:rsidR="00744A1C" w:rsidRPr="00C24F9C">
        <w:rPr>
          <w:rStyle w:val="libFootnoteBoldChar"/>
          <w:rtl/>
        </w:rPr>
        <w:t>الفقيه</w:t>
      </w:r>
      <w:r w:rsidR="00744A1C">
        <w:rPr>
          <w:rtl/>
          <w:lang w:bidi="fa-IR"/>
        </w:rPr>
        <w:t xml:space="preserve"> ، ج 2 ، ص 212 ، ح 2188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من قوله : « إنّ أبواب السماء لاتغلق تلك </w:t>
      </w:r>
      <w:r w:rsidR="00EA02CA">
        <w:rPr>
          <w:rFonts w:hint="cs"/>
          <w:rtl/>
          <w:lang w:bidi="fa-IR"/>
        </w:rPr>
        <w:t>=</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7759 / 2. أَبُو عَلِيٍّ الْأَشْعَرِيُّ ، عَنْ مُحَمَّدِ بْنِ عَبْدِ الْجَبَّارِ ، عَنْ صَفْوَانَ ، عَنِ ابْنِ مُسْكَانَ ، عَنْ عَنْبَسَةَ بْنِ مُصْعَبٍ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الرَّكَعَاتِ الَّتِي بَعْدَ الْمَغْرِبِ لَيْلَةَ الْمُزْدَلِفَةِ؟</w:t>
      </w:r>
    </w:p>
    <w:p w:rsidR="00144FA6" w:rsidRDefault="00744A1C" w:rsidP="00744A1C">
      <w:pPr>
        <w:pStyle w:val="libNormal"/>
        <w:rPr>
          <w:rtl/>
          <w:lang w:bidi="fa-IR"/>
        </w:rPr>
      </w:pPr>
      <w:r>
        <w:rPr>
          <w:rtl/>
          <w:lang w:bidi="fa-IR"/>
        </w:rPr>
        <w:t xml:space="preserve">فَقَالَ : « صَلِّهَا بَعْدَ الْعِشَاءِ </w:t>
      </w:r>
      <w:r w:rsidRPr="00D10E3C">
        <w:rPr>
          <w:rStyle w:val="libFootnotenumChar"/>
          <w:rtl/>
        </w:rPr>
        <w:t>(1)</w:t>
      </w:r>
      <w:r>
        <w:rPr>
          <w:rtl/>
          <w:lang w:bidi="fa-IR"/>
        </w:rPr>
        <w:t xml:space="preserve"> أَرْبَعَ رَكَعَاتٍ ». </w:t>
      </w:r>
      <w:r w:rsidRPr="00D10E3C">
        <w:rPr>
          <w:rStyle w:val="libFootnotenumChar"/>
          <w:rtl/>
        </w:rPr>
        <w:t>(2)</w:t>
      </w:r>
    </w:p>
    <w:p w:rsidR="00144FA6" w:rsidRDefault="00744A1C" w:rsidP="00744A1C">
      <w:pPr>
        <w:pStyle w:val="libNormal"/>
        <w:rPr>
          <w:rtl/>
          <w:lang w:bidi="fa-IR"/>
        </w:rPr>
      </w:pPr>
      <w:r>
        <w:rPr>
          <w:rtl/>
          <w:lang w:bidi="fa-IR"/>
        </w:rPr>
        <w:t>7760 / 3. الْحُسَيْنُ بْنُ مُحَمَّدٍ ، عَنْ مُعَلَّى بْنِ مُحَمَّدٍ ، عَنِ الْحَسَنِ بْنِ عَلِيٍّ ، عَنْ أَبَانِ بْنِ عُثْمَانَ ، عَنْ رَجُلٍ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يُسْتَحَبُّ لِلصَّرُورَةِ أَنْ يَطَأَ الْمَشْعَرَ الْحَرَ</w:t>
      </w:r>
      <w:r w:rsidR="00EE5E45">
        <w:rPr>
          <w:rtl/>
          <w:lang w:bidi="fa-IR"/>
        </w:rPr>
        <w:t>امَ ، وَأَنْ يَدْخُلَ الْبَيْتَ</w:t>
      </w:r>
      <w:r>
        <w:rPr>
          <w:rtl/>
          <w:lang w:bidi="fa-IR"/>
        </w:rPr>
        <w:t xml:space="preserve">». </w:t>
      </w:r>
      <w:r w:rsidRPr="00D10E3C">
        <w:rPr>
          <w:rStyle w:val="libFootnotenumChar"/>
          <w:rtl/>
        </w:rPr>
        <w:t>(3)</w:t>
      </w:r>
    </w:p>
    <w:p w:rsidR="00C96419" w:rsidRDefault="00744A1C" w:rsidP="00C96419">
      <w:pPr>
        <w:pStyle w:val="libNormal"/>
        <w:rPr>
          <w:rtl/>
          <w:lang w:bidi="fa-IR"/>
        </w:rPr>
      </w:pPr>
      <w:r>
        <w:rPr>
          <w:rtl/>
          <w:lang w:bidi="fa-IR"/>
        </w:rPr>
        <w:t xml:space="preserve">7761 / 4. عَلِيُّ بْنُ إِبْرَاهِيمَ ، عَنْ أَبِيهِ ، عَنِ ابْنِ أَبِي عُمَيْرٍ </w:t>
      </w:r>
      <w:r w:rsidRPr="00D10E3C">
        <w:rPr>
          <w:rStyle w:val="libFootnotenumChar"/>
          <w:rtl/>
        </w:rPr>
        <w:t>(4)</w:t>
      </w:r>
      <w:r>
        <w:rPr>
          <w:rtl/>
          <w:lang w:bidi="fa-IR"/>
        </w:rPr>
        <w:t xml:space="preserve"> ؛</w:t>
      </w:r>
    </w:p>
    <w:p w:rsidR="00144FA6" w:rsidRDefault="00C96419" w:rsidP="00C96419">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مُحَمَّدُ بْنُ إِسْمَاعِيلَ ، عَنِ الْفَضْلِ بْنِ شَاذَانَ ، عَنْ صَفْوَانَ بْنِ يَحْيى </w:t>
      </w:r>
      <w:r w:rsidR="00744A1C" w:rsidRPr="00D10E3C">
        <w:rPr>
          <w:rStyle w:val="libFootnotenumChar"/>
          <w:rtl/>
        </w:rPr>
        <w:t>(5)</w:t>
      </w:r>
      <w:r w:rsidR="00744A1C">
        <w:rPr>
          <w:rtl/>
          <w:lang w:bidi="fa-IR"/>
        </w:rPr>
        <w:t xml:space="preserve"> وَابْنِ أَبِي عُمَيْرٍ </w:t>
      </w:r>
      <w:r w:rsidR="00744A1C" w:rsidRPr="00D10E3C">
        <w:rPr>
          <w:rStyle w:val="libFootnotenumChar"/>
          <w:rtl/>
        </w:rPr>
        <w:t>(6)</w:t>
      </w:r>
      <w:r w:rsidR="00744A1C">
        <w:rPr>
          <w:rtl/>
          <w:lang w:bidi="fa-IR"/>
        </w:rPr>
        <w:t xml:space="preserve">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أَصْبِحْ عَلى طُهْرٍ بَعْدَ مَا تُصَلِّي الْفَجْرَ ، فَقِفْ </w:t>
      </w:r>
      <w:r w:rsidRPr="00D10E3C">
        <w:rPr>
          <w:rStyle w:val="libFootnotenumChar"/>
          <w:rtl/>
        </w:rPr>
        <w:t>(7)</w:t>
      </w:r>
      <w:r>
        <w:rPr>
          <w:rtl/>
          <w:lang w:bidi="fa-IR"/>
        </w:rPr>
        <w:t xml:space="preserve"> إِنْ شِئْتَ‌</w:t>
      </w:r>
    </w:p>
    <w:p w:rsidR="00744A1C" w:rsidRDefault="00744A1C" w:rsidP="00D10E3C">
      <w:pPr>
        <w:pStyle w:val="libLine"/>
        <w:rPr>
          <w:lang w:bidi="fa-IR"/>
        </w:rPr>
      </w:pPr>
      <w:r>
        <w:rPr>
          <w:rtl/>
          <w:lang w:bidi="fa-IR"/>
        </w:rPr>
        <w:t>____________________</w:t>
      </w:r>
    </w:p>
    <w:p w:rsidR="00744A1C" w:rsidRDefault="007D53DF" w:rsidP="00D10E3C">
      <w:pPr>
        <w:pStyle w:val="libFootnote0"/>
        <w:rPr>
          <w:lang w:bidi="fa-IR"/>
        </w:rPr>
      </w:pPr>
      <w:r>
        <w:rPr>
          <w:rFonts w:hint="cs"/>
          <w:rtl/>
          <w:lang w:bidi="fa-IR"/>
        </w:rPr>
        <w:t xml:space="preserve">= </w:t>
      </w:r>
      <w:r w:rsidR="00744A1C">
        <w:rPr>
          <w:rtl/>
          <w:lang w:bidi="fa-IR"/>
        </w:rPr>
        <w:t xml:space="preserve">الليلة ». راجع : </w:t>
      </w:r>
      <w:r w:rsidR="00744A1C" w:rsidRPr="00C24F9C">
        <w:rPr>
          <w:rStyle w:val="libFootnoteBoldChar"/>
          <w:rtl/>
        </w:rPr>
        <w:t>الفقيه</w:t>
      </w:r>
      <w:r w:rsidR="00744A1C">
        <w:rPr>
          <w:rtl/>
          <w:lang w:bidi="fa-IR"/>
        </w:rPr>
        <w:t xml:space="preserve"> ، ج 2 ، ص 315 ، ح 2554 ؛ </w:t>
      </w:r>
      <w:r w:rsidR="00744A1C" w:rsidRPr="0061079A">
        <w:rPr>
          <w:rStyle w:val="libFootnoteBoldChar"/>
          <w:rtl/>
        </w:rPr>
        <w:t>والتهذيب</w:t>
      </w:r>
      <w:r w:rsidR="00744A1C">
        <w:rPr>
          <w:rtl/>
          <w:lang w:bidi="fa-IR"/>
        </w:rPr>
        <w:t xml:space="preserve"> ، ج 5 ، ص 188 ، ح 624 و 625 ؛ </w:t>
      </w:r>
      <w:r w:rsidR="00744A1C" w:rsidRPr="00C24F9C">
        <w:rPr>
          <w:rStyle w:val="libFootnoteBoldChar"/>
          <w:rtl/>
        </w:rPr>
        <w:t>والاستبصار</w:t>
      </w:r>
      <w:r w:rsidR="00744A1C">
        <w:rPr>
          <w:rtl/>
          <w:lang w:bidi="fa-IR"/>
        </w:rPr>
        <w:t xml:space="preserve"> ، ج 2 ، ص 254 ، ح 894 و 895 ؛ و</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223 </w:t>
      </w:r>
      <w:r w:rsidR="00461906">
        <w:rPr>
          <w:rFonts w:hint="cs"/>
          <w:rtl/>
          <w:lang w:bidi="fa-IR"/>
        </w:rPr>
        <w:t>.</w:t>
      </w:r>
      <w:r w:rsidR="00744A1C" w:rsidRPr="00C24F9C">
        <w:rPr>
          <w:rStyle w:val="libFootnoteBoldChar"/>
          <w:rtl/>
        </w:rPr>
        <w:t>الوافي</w:t>
      </w:r>
      <w:r w:rsidR="00744A1C">
        <w:rPr>
          <w:rtl/>
          <w:lang w:bidi="fa-IR"/>
        </w:rPr>
        <w:t xml:space="preserve"> ، ج 13 ، ص 1043 ، ح 13698 ؛ </w:t>
      </w:r>
      <w:r w:rsidR="00744A1C" w:rsidRPr="00C24F9C">
        <w:rPr>
          <w:rStyle w:val="libFootnoteBoldChar"/>
          <w:rtl/>
        </w:rPr>
        <w:t>الوسائل</w:t>
      </w:r>
      <w:r w:rsidR="00744A1C">
        <w:rPr>
          <w:rtl/>
          <w:lang w:bidi="fa-IR"/>
        </w:rPr>
        <w:t xml:space="preserve"> ، ج 14 ، ص 16 ، ح 18475 ، من قوله : « وانزل ببطن الوادي » إلى قوله : « ويطأه برجله » ؛ وفيه ، ص 19 ، ح 18488 ، من قوله : « ولايجاوز الحياض ».</w:t>
      </w:r>
    </w:p>
    <w:p w:rsidR="00744A1C" w:rsidRDefault="00D10E3C" w:rsidP="00D10E3C">
      <w:pPr>
        <w:pStyle w:val="libFootnote0"/>
        <w:rPr>
          <w:lang w:bidi="fa-IR"/>
        </w:rPr>
      </w:pPr>
      <w:r>
        <w:rPr>
          <w:rtl/>
          <w:lang w:bidi="fa-IR"/>
        </w:rPr>
        <w:t>(1).</w:t>
      </w:r>
      <w:r w:rsidR="00744A1C">
        <w:rPr>
          <w:rtl/>
          <w:lang w:bidi="fa-IR"/>
        </w:rPr>
        <w:t xml:space="preserve"> في « بس » و</w:t>
      </w:r>
      <w:r w:rsidR="00744A1C" w:rsidRPr="00C24F9C">
        <w:rPr>
          <w:rStyle w:val="libFootnoteBoldChar"/>
          <w:rtl/>
        </w:rPr>
        <w:t>الوسائل</w:t>
      </w:r>
      <w:r w:rsidR="00744A1C">
        <w:rPr>
          <w:rtl/>
          <w:lang w:bidi="fa-IR"/>
        </w:rPr>
        <w:t xml:space="preserve"> : + « الآخرة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13 ، ص 1044 ، ح 13701 ؛ </w:t>
      </w:r>
      <w:r w:rsidR="00744A1C" w:rsidRPr="00C24F9C">
        <w:rPr>
          <w:rStyle w:val="libFootnoteBoldChar"/>
          <w:rtl/>
        </w:rPr>
        <w:t>الوسائل</w:t>
      </w:r>
      <w:r w:rsidR="00744A1C">
        <w:rPr>
          <w:rtl/>
          <w:lang w:bidi="fa-IR"/>
        </w:rPr>
        <w:t xml:space="preserve"> ، ج 14 ، ص 14 ، ح 18469.</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191 ، ح 636 ، معلّقاً عن الكليني. </w:t>
      </w:r>
      <w:r w:rsidR="00744A1C" w:rsidRPr="00C24F9C">
        <w:rPr>
          <w:rStyle w:val="libFootnoteBoldChar"/>
          <w:rtl/>
        </w:rPr>
        <w:t>الفقيه</w:t>
      </w:r>
      <w:r w:rsidR="00744A1C">
        <w:rPr>
          <w:rtl/>
          <w:lang w:bidi="fa-IR"/>
        </w:rPr>
        <w:t xml:space="preserve"> ، ج 2 ، ص 466 ، ذيل ح 2983 ، مع اختلاف يسير ؛ المقنعة ، ص 445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E30215">
        <w:rPr>
          <w:rFonts w:hint="cs"/>
          <w:rtl/>
          <w:lang w:bidi="fa-IR"/>
        </w:rPr>
        <w:t>.</w:t>
      </w:r>
      <w:r w:rsidR="00744A1C" w:rsidRPr="00C24F9C">
        <w:rPr>
          <w:rStyle w:val="libFootnoteBoldChar"/>
          <w:rtl/>
        </w:rPr>
        <w:t>الوافي</w:t>
      </w:r>
      <w:r w:rsidR="00744A1C">
        <w:rPr>
          <w:rtl/>
          <w:lang w:bidi="fa-IR"/>
        </w:rPr>
        <w:t xml:space="preserve"> ، ج 13 ، ص 1046 ، ح 13708 ؛ </w:t>
      </w:r>
      <w:r w:rsidR="00744A1C" w:rsidRPr="00C24F9C">
        <w:rPr>
          <w:rStyle w:val="libFootnoteBoldChar"/>
          <w:rtl/>
        </w:rPr>
        <w:t>الوسائل</w:t>
      </w:r>
      <w:r w:rsidR="00744A1C">
        <w:rPr>
          <w:rtl/>
          <w:lang w:bidi="fa-IR"/>
        </w:rPr>
        <w:t xml:space="preserve"> ، ج 13 ، ص 273 ، ح 17732 ؛ وج 14 ، ص 16 ، ح 18476.</w:t>
      </w:r>
    </w:p>
    <w:p w:rsidR="00744A1C" w:rsidRDefault="00E378DD" w:rsidP="00E378DD">
      <w:pPr>
        <w:pStyle w:val="libFootnote0"/>
        <w:rPr>
          <w:lang w:bidi="fa-IR"/>
        </w:rPr>
      </w:pPr>
      <w:r>
        <w:rPr>
          <w:rtl/>
          <w:lang w:bidi="fa-IR"/>
        </w:rPr>
        <w:t>(4).</w:t>
      </w:r>
      <w:r w:rsidR="00744A1C">
        <w:rPr>
          <w:rtl/>
          <w:lang w:bidi="fa-IR"/>
        </w:rPr>
        <w:t xml:space="preserve"> في « بخ » : + « عن معاوية بن عمّار ». وفي « بف ، جر » : + « عن معاوية ».</w:t>
      </w:r>
    </w:p>
    <w:tbl>
      <w:tblPr>
        <w:tblStyle w:val="TableGrid"/>
        <w:bidiVisual/>
        <w:tblW w:w="0" w:type="auto"/>
        <w:tblLook w:val="04A0" w:firstRow="1" w:lastRow="0" w:firstColumn="1" w:lastColumn="0" w:noHBand="0" w:noVBand="1"/>
      </w:tblPr>
      <w:tblGrid>
        <w:gridCol w:w="4006"/>
        <w:gridCol w:w="4006"/>
      </w:tblGrid>
      <w:tr w:rsidR="00E30215" w:rsidTr="00E30215">
        <w:tc>
          <w:tcPr>
            <w:tcW w:w="4006" w:type="dxa"/>
          </w:tcPr>
          <w:p w:rsidR="00E30215" w:rsidRDefault="00E30215" w:rsidP="00E378DD">
            <w:pPr>
              <w:pStyle w:val="libFootnote0"/>
              <w:rPr>
                <w:rtl/>
                <w:lang w:bidi="fa-IR"/>
              </w:rPr>
            </w:pPr>
            <w:r>
              <w:rPr>
                <w:rtl/>
                <w:lang w:bidi="fa-IR"/>
              </w:rPr>
              <w:t xml:space="preserve">(5). في « بف ، جد » </w:t>
            </w:r>
            <w:r w:rsidRPr="0061079A">
              <w:rPr>
                <w:rStyle w:val="libFootnoteBoldChar"/>
                <w:rtl/>
              </w:rPr>
              <w:t>والتهذيب</w:t>
            </w:r>
            <w:r>
              <w:rPr>
                <w:rtl/>
                <w:lang w:bidi="fa-IR"/>
              </w:rPr>
              <w:t xml:space="preserve"> : - « بن يحيى ».</w:t>
            </w:r>
          </w:p>
        </w:tc>
        <w:tc>
          <w:tcPr>
            <w:tcW w:w="4006" w:type="dxa"/>
          </w:tcPr>
          <w:p w:rsidR="00E30215" w:rsidRDefault="00E30215" w:rsidP="00E378DD">
            <w:pPr>
              <w:pStyle w:val="libFootnote0"/>
              <w:rPr>
                <w:rtl/>
                <w:lang w:bidi="fa-IR"/>
              </w:rPr>
            </w:pPr>
            <w:r>
              <w:rPr>
                <w:rtl/>
                <w:lang w:bidi="fa-IR"/>
              </w:rPr>
              <w:t>(6). في « بخ » : - « وابن أبي عمير ».</w:t>
            </w:r>
          </w:p>
        </w:tc>
      </w:tr>
    </w:tbl>
    <w:p w:rsidR="00744A1C" w:rsidRDefault="00E378DD" w:rsidP="00E378DD">
      <w:pPr>
        <w:pStyle w:val="libFootnote0"/>
        <w:rPr>
          <w:lang w:bidi="fa-IR"/>
        </w:rPr>
      </w:pPr>
      <w:r>
        <w:rPr>
          <w:rtl/>
          <w:lang w:bidi="fa-IR"/>
        </w:rPr>
        <w:t>(7).</w:t>
      </w:r>
      <w:r w:rsidR="00744A1C">
        <w:rPr>
          <w:rtl/>
          <w:lang w:bidi="fa-IR"/>
        </w:rPr>
        <w:t xml:space="preserve"> في « جد » : « وقف ».</w:t>
      </w:r>
    </w:p>
    <w:p w:rsidR="00A55A65" w:rsidRDefault="00A55A65" w:rsidP="00D10E3C">
      <w:pPr>
        <w:pStyle w:val="libNormal"/>
        <w:rPr>
          <w:rtl/>
          <w:lang w:bidi="fa-IR"/>
        </w:rPr>
      </w:pPr>
      <w:r>
        <w:rPr>
          <w:rtl/>
          <w:lang w:bidi="fa-IR"/>
        </w:rPr>
        <w:br w:type="page"/>
      </w:r>
    </w:p>
    <w:p w:rsidR="00144FA6" w:rsidRDefault="00744A1C" w:rsidP="00EE5E45">
      <w:pPr>
        <w:pStyle w:val="libNormal0"/>
        <w:rPr>
          <w:rtl/>
          <w:lang w:bidi="fa-IR"/>
        </w:rPr>
      </w:pPr>
      <w:r>
        <w:rPr>
          <w:rtl/>
          <w:lang w:bidi="fa-IR"/>
        </w:rPr>
        <w:lastRenderedPageBreak/>
        <w:t xml:space="preserve">قَرِيباً مِنَ الْجَبَلِ ، وَإِنْ شِئْتَ حَيْثُ شِئْتَ </w:t>
      </w:r>
      <w:r w:rsidRPr="00D10E3C">
        <w:rPr>
          <w:rStyle w:val="libFootnotenumChar"/>
          <w:rtl/>
        </w:rPr>
        <w:t>(1)</w:t>
      </w:r>
      <w:r>
        <w:rPr>
          <w:rtl/>
          <w:lang w:bidi="fa-IR"/>
        </w:rPr>
        <w:t xml:space="preserve"> ، فَإِذَا وَقَفْتَ فَاحْمَدِ اللهَ ، وَأَثْنِ عَلَيْهِ ، وَاذْكُرْ مِنْ آلَائِهِ وَبَلَائِهِ مَا قَدَرْتَ عَلَيْهِ ، وَصَلِّ عَلَى النَّبِيِّ </w:t>
      </w:r>
      <w:r w:rsidR="005E465D" w:rsidRPr="005E465D">
        <w:rPr>
          <w:rStyle w:val="libAlaemChar"/>
          <w:rFonts w:eastAsiaTheme="minorHAnsi"/>
          <w:rtl/>
        </w:rPr>
        <w:t>صلى‌الله‌عليه‌وآله</w:t>
      </w:r>
      <w:r w:rsidR="00200542" w:rsidRPr="00200542">
        <w:rPr>
          <w:rFonts w:eastAsiaTheme="minorHAnsi"/>
          <w:rtl/>
        </w:rPr>
        <w:t xml:space="preserve"> </w:t>
      </w:r>
      <w:r>
        <w:rPr>
          <w:rtl/>
          <w:lang w:bidi="fa-IR"/>
        </w:rPr>
        <w:t xml:space="preserve">، وَلْيَكُنْ </w:t>
      </w:r>
      <w:r w:rsidRPr="00D10E3C">
        <w:rPr>
          <w:rStyle w:val="libFootnotenumChar"/>
          <w:rtl/>
        </w:rPr>
        <w:t>(2)</w:t>
      </w:r>
      <w:r>
        <w:rPr>
          <w:rtl/>
          <w:lang w:bidi="fa-IR"/>
        </w:rPr>
        <w:t xml:space="preserve"> مِنْ قَوْلِكَ : " الل</w:t>
      </w:r>
      <w:r w:rsidR="00200542">
        <w:rPr>
          <w:rFonts w:hint="cs"/>
          <w:rtl/>
          <w:lang w:bidi="fa-IR"/>
        </w:rPr>
        <w:t>ّ</w:t>
      </w:r>
      <w:r>
        <w:rPr>
          <w:rtl/>
          <w:lang w:bidi="fa-IR"/>
        </w:rPr>
        <w:t xml:space="preserve">هُمَّ رَبَّ الْمَشْعَرِ الْحَرَامِ </w:t>
      </w:r>
      <w:r w:rsidRPr="00D10E3C">
        <w:rPr>
          <w:rStyle w:val="libFootnotenumChar"/>
          <w:rtl/>
        </w:rPr>
        <w:t>(3)</w:t>
      </w:r>
      <w:r>
        <w:rPr>
          <w:rtl/>
          <w:lang w:bidi="fa-IR"/>
        </w:rPr>
        <w:t xml:space="preserve"> ، فُكَّ رَقَبَتِي مِنَ النَّارِ ، وَ</w:t>
      </w:r>
      <w:r w:rsidR="00200542">
        <w:rPr>
          <w:rFonts w:hint="cs"/>
          <w:rtl/>
          <w:lang w:bidi="fa-IR"/>
        </w:rPr>
        <w:t xml:space="preserve"> </w:t>
      </w:r>
      <w:r>
        <w:rPr>
          <w:rtl/>
          <w:lang w:bidi="fa-IR"/>
        </w:rPr>
        <w:t xml:space="preserve">أَوْسِعْ عَلَيَّ مِنْ رِزْقِكَ </w:t>
      </w:r>
      <w:r w:rsidRPr="00D10E3C">
        <w:rPr>
          <w:rStyle w:val="libFootnotenumChar"/>
          <w:rtl/>
        </w:rPr>
        <w:t>(4)</w:t>
      </w:r>
      <w:r>
        <w:rPr>
          <w:rtl/>
          <w:lang w:bidi="fa-IR"/>
        </w:rPr>
        <w:t xml:space="preserve"> الْحَلَالِ ، وَ</w:t>
      </w:r>
      <w:r w:rsidR="00200542">
        <w:rPr>
          <w:rFonts w:hint="cs"/>
          <w:rtl/>
          <w:lang w:bidi="fa-IR"/>
        </w:rPr>
        <w:t xml:space="preserve"> </w:t>
      </w:r>
      <w:r>
        <w:rPr>
          <w:rtl/>
          <w:lang w:bidi="fa-IR"/>
        </w:rPr>
        <w:t xml:space="preserve">ادْرَأْ عَنِّي شَرَّ فَسَقَةِ الْجِنِّ وَالْإِنْسِ </w:t>
      </w:r>
      <w:r w:rsidRPr="00D10E3C">
        <w:rPr>
          <w:rStyle w:val="libFootnotenumChar"/>
          <w:rtl/>
        </w:rPr>
        <w:t>(5)</w:t>
      </w:r>
      <w:r>
        <w:rPr>
          <w:rtl/>
          <w:lang w:bidi="fa-IR"/>
        </w:rPr>
        <w:t xml:space="preserve"> ؛ الل</w:t>
      </w:r>
      <w:r w:rsidR="00200542">
        <w:rPr>
          <w:rFonts w:hint="cs"/>
          <w:rtl/>
          <w:lang w:bidi="fa-IR"/>
        </w:rPr>
        <w:t>ّ</w:t>
      </w:r>
      <w:r>
        <w:rPr>
          <w:rtl/>
          <w:lang w:bidi="fa-IR"/>
        </w:rPr>
        <w:t xml:space="preserve">هُمَّ أَنْتَ خَيْرُ مَطْلُوبٍ إِلَيْهِ ، وَخَيْرُ مَدْعُوٍّ ، وَخَيْرُ مَسْؤُولٍ ، وَلِكُلِّ وَافِدٍ </w:t>
      </w:r>
      <w:r w:rsidRPr="00D10E3C">
        <w:rPr>
          <w:rStyle w:val="libFootnotenumChar"/>
          <w:rtl/>
        </w:rPr>
        <w:t>(6)</w:t>
      </w:r>
      <w:r>
        <w:rPr>
          <w:rtl/>
          <w:lang w:bidi="fa-IR"/>
        </w:rPr>
        <w:t xml:space="preserve"> جَائِزَةٌ ، فَاجْعَلْ جَائِزَتِي فِي مَوْطِنِي هذَا أَنْ تُقِيلَنِي </w:t>
      </w:r>
      <w:r w:rsidRPr="00D10E3C">
        <w:rPr>
          <w:rStyle w:val="libFootnotenumChar"/>
          <w:rtl/>
        </w:rPr>
        <w:t>(7)</w:t>
      </w:r>
      <w:r>
        <w:rPr>
          <w:rtl/>
          <w:lang w:bidi="fa-IR"/>
        </w:rPr>
        <w:t xml:space="preserve"> عَثْرَتِي ، وَتَقْبَلَ مَعْذِرَتِي ، وَأَنْ تَجَاوَزَ </w:t>
      </w:r>
      <w:r w:rsidRPr="00D10E3C">
        <w:rPr>
          <w:rStyle w:val="libFootnotenumChar"/>
          <w:rtl/>
        </w:rPr>
        <w:t>(8)</w:t>
      </w:r>
      <w:r>
        <w:rPr>
          <w:rtl/>
          <w:lang w:bidi="fa-IR"/>
        </w:rPr>
        <w:t xml:space="preserve"> عَنْ خَطِيئَتِي ، ثُمَّ اجْعَلِ التَّقْوى مِنَ الدُّنْيَا زَادِي". ثُمَّ أَفِضْ حِينَ </w:t>
      </w:r>
      <w:r w:rsidRPr="00D10E3C">
        <w:rPr>
          <w:rStyle w:val="libFootnotenumChar"/>
          <w:rtl/>
        </w:rPr>
        <w:t>(9)</w:t>
      </w:r>
      <w:r>
        <w:rPr>
          <w:rtl/>
          <w:lang w:bidi="fa-IR"/>
        </w:rPr>
        <w:t xml:space="preserve"> يُشْرِقُ لَكَ ثَبِيرٌ </w:t>
      </w:r>
      <w:r w:rsidRPr="00D10E3C">
        <w:rPr>
          <w:rStyle w:val="libFootnotenumChar"/>
          <w:rtl/>
        </w:rPr>
        <w:t>(10)</w:t>
      </w:r>
      <w:r>
        <w:rPr>
          <w:rtl/>
          <w:lang w:bidi="fa-IR"/>
        </w:rPr>
        <w:t xml:space="preserve"> ، وَتَرَى الْإِبِلُ مَوْضِعَ </w:t>
      </w:r>
      <w:r w:rsidRPr="00D10E3C">
        <w:rPr>
          <w:rStyle w:val="libFootnotenumChar"/>
          <w:rtl/>
        </w:rPr>
        <w:t>(11)</w:t>
      </w:r>
      <w:r>
        <w:rPr>
          <w:rtl/>
          <w:lang w:bidi="fa-IR"/>
        </w:rPr>
        <w:t xml:space="preserve"> أَخْفَافِهَا </w:t>
      </w:r>
      <w:r w:rsidRPr="00D10E3C">
        <w:rPr>
          <w:rStyle w:val="libFootnotenumChar"/>
          <w:rtl/>
        </w:rPr>
        <w:t>(12)</w:t>
      </w:r>
      <w:r>
        <w:rPr>
          <w:rtl/>
          <w:lang w:bidi="fa-IR"/>
        </w:rPr>
        <w:t xml:space="preserve"> ».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وحاشية « بث ، بح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635 : « تبيت ».</w:t>
      </w:r>
    </w:p>
    <w:p w:rsidR="00744A1C" w:rsidRDefault="00E378DD" w:rsidP="00E378DD">
      <w:pPr>
        <w:pStyle w:val="libFootnote0"/>
        <w:rPr>
          <w:lang w:bidi="fa-IR"/>
        </w:rPr>
      </w:pPr>
      <w:r>
        <w:rPr>
          <w:rtl/>
          <w:lang w:bidi="fa-IR"/>
        </w:rPr>
        <w:t>(2).</w:t>
      </w:r>
      <w:r w:rsidR="00744A1C">
        <w:rPr>
          <w:rtl/>
          <w:lang w:bidi="fa-IR"/>
        </w:rPr>
        <w:t xml:space="preserve"> في « بف » </w:t>
      </w:r>
      <w:r w:rsidR="00744A1C" w:rsidRPr="00EE5E45">
        <w:rPr>
          <w:rtl/>
        </w:rPr>
        <w:t>والوافي والوسائل والتهذيب</w:t>
      </w:r>
      <w:r w:rsidR="00744A1C">
        <w:rPr>
          <w:rtl/>
          <w:lang w:bidi="fa-IR"/>
        </w:rPr>
        <w:t xml:space="preserve"> ، ح 635 : « ثمّ ليكن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الفقيه</w:t>
      </w:r>
      <w:r w:rsidR="00744A1C">
        <w:rPr>
          <w:rtl/>
          <w:lang w:bidi="fa-IR"/>
        </w:rPr>
        <w:t xml:space="preserve"> : + « وربّ الركن والمقام ، وربّ الحجر الأسود وزمزم ، وربّ الأيّام المعلومات ».</w:t>
      </w:r>
    </w:p>
    <w:tbl>
      <w:tblPr>
        <w:tblStyle w:val="TableGrid"/>
        <w:bidiVisual/>
        <w:tblW w:w="0" w:type="auto"/>
        <w:tblLook w:val="04A0" w:firstRow="1" w:lastRow="0" w:firstColumn="1" w:lastColumn="0" w:noHBand="0" w:noVBand="1"/>
      </w:tblPr>
      <w:tblGrid>
        <w:gridCol w:w="4006"/>
        <w:gridCol w:w="4006"/>
      </w:tblGrid>
      <w:tr w:rsidR="00200542" w:rsidTr="00200542">
        <w:tc>
          <w:tcPr>
            <w:tcW w:w="4006" w:type="dxa"/>
          </w:tcPr>
          <w:p w:rsidR="00200542" w:rsidRDefault="00200542" w:rsidP="00E378DD">
            <w:pPr>
              <w:pStyle w:val="libFootnote0"/>
              <w:rPr>
                <w:rtl/>
                <w:lang w:bidi="fa-IR"/>
              </w:rPr>
            </w:pPr>
            <w:r>
              <w:rPr>
                <w:rtl/>
                <w:lang w:bidi="fa-IR"/>
              </w:rPr>
              <w:t>(4). في « بخ ، بف » : « الرزق ».</w:t>
            </w:r>
          </w:p>
        </w:tc>
        <w:tc>
          <w:tcPr>
            <w:tcW w:w="4006" w:type="dxa"/>
          </w:tcPr>
          <w:p w:rsidR="00200542" w:rsidRDefault="00200542" w:rsidP="00E378DD">
            <w:pPr>
              <w:pStyle w:val="libFootnote0"/>
              <w:rPr>
                <w:rtl/>
                <w:lang w:bidi="fa-IR"/>
              </w:rPr>
            </w:pPr>
            <w:r>
              <w:rPr>
                <w:rtl/>
                <w:lang w:bidi="fa-IR"/>
              </w:rPr>
              <w:t xml:space="preserve">(5). في </w:t>
            </w:r>
            <w:r w:rsidRPr="00C24F9C">
              <w:rPr>
                <w:rStyle w:val="libFootnoteBoldChar"/>
                <w:rtl/>
              </w:rPr>
              <w:t>الفقيه</w:t>
            </w:r>
            <w:r>
              <w:rPr>
                <w:rtl/>
                <w:lang w:bidi="fa-IR"/>
              </w:rPr>
              <w:t xml:space="preserve"> : + « وشرّ فسقة العرب والعجم ».</w:t>
            </w:r>
          </w:p>
        </w:tc>
      </w:tr>
    </w:tbl>
    <w:p w:rsidR="00744A1C" w:rsidRDefault="00E378DD" w:rsidP="00E378DD">
      <w:pPr>
        <w:pStyle w:val="libFootnote0"/>
        <w:rPr>
          <w:lang w:bidi="fa-IR"/>
        </w:rPr>
      </w:pPr>
      <w:r>
        <w:rPr>
          <w:rtl/>
          <w:lang w:bidi="fa-IR"/>
        </w:rPr>
        <w:t>(6).</w:t>
      </w:r>
      <w:r w:rsidR="00744A1C">
        <w:rPr>
          <w:rtl/>
          <w:lang w:bidi="fa-IR"/>
        </w:rPr>
        <w:t xml:space="preserve"> الوافد : القادم ، وهو واحد الوَفْد ، قال الراغب : « الوَفْد : هم الذين يقدمون على الملوك مستنجزين الحوائج ». راجع : </w:t>
      </w:r>
      <w:r w:rsidR="00744A1C" w:rsidRPr="002D57AD">
        <w:rPr>
          <w:rStyle w:val="libFootnoteBoldChar"/>
          <w:rtl/>
        </w:rPr>
        <w:t>المفردات للراغب</w:t>
      </w:r>
      <w:r w:rsidR="00744A1C">
        <w:rPr>
          <w:rtl/>
          <w:lang w:bidi="fa-IR"/>
        </w:rPr>
        <w:t xml:space="preserve"> ، ص 877 ؛ </w:t>
      </w:r>
      <w:r w:rsidR="00744A1C" w:rsidRPr="00877682">
        <w:rPr>
          <w:rStyle w:val="libFootnoteBoldChar"/>
          <w:rtl/>
        </w:rPr>
        <w:t>النهاية</w:t>
      </w:r>
      <w:r w:rsidR="00744A1C">
        <w:rPr>
          <w:rtl/>
          <w:lang w:bidi="fa-IR"/>
        </w:rPr>
        <w:t xml:space="preserve"> ، ج 5 ، ص 209 ( وفد ).</w:t>
      </w:r>
    </w:p>
    <w:tbl>
      <w:tblPr>
        <w:tblStyle w:val="TableGrid"/>
        <w:bidiVisual/>
        <w:tblW w:w="0" w:type="auto"/>
        <w:tblLook w:val="04A0" w:firstRow="1" w:lastRow="0" w:firstColumn="1" w:lastColumn="0" w:noHBand="0" w:noVBand="1"/>
      </w:tblPr>
      <w:tblGrid>
        <w:gridCol w:w="4006"/>
        <w:gridCol w:w="4006"/>
      </w:tblGrid>
      <w:tr w:rsidR="003A07EA" w:rsidTr="003A07EA">
        <w:tc>
          <w:tcPr>
            <w:tcW w:w="4006" w:type="dxa"/>
          </w:tcPr>
          <w:p w:rsidR="003A07EA" w:rsidRDefault="003A07EA" w:rsidP="00E378DD">
            <w:pPr>
              <w:pStyle w:val="libFootnote0"/>
              <w:rPr>
                <w:rtl/>
                <w:lang w:bidi="fa-IR"/>
              </w:rPr>
            </w:pPr>
            <w:r>
              <w:rPr>
                <w:rtl/>
                <w:lang w:bidi="fa-IR"/>
              </w:rPr>
              <w:t>(7). في حاشية « بث ، بح » : « أن تقيل ».</w:t>
            </w:r>
          </w:p>
        </w:tc>
        <w:tc>
          <w:tcPr>
            <w:tcW w:w="4006" w:type="dxa"/>
          </w:tcPr>
          <w:p w:rsidR="003A07EA" w:rsidRDefault="003A07EA" w:rsidP="00E378DD">
            <w:pPr>
              <w:pStyle w:val="libFootnote0"/>
              <w:rPr>
                <w:rtl/>
                <w:lang w:bidi="fa-IR"/>
              </w:rPr>
            </w:pPr>
            <w:r>
              <w:rPr>
                <w:rtl/>
                <w:lang w:bidi="fa-IR"/>
              </w:rPr>
              <w:t>(8). في « بح » : « وأن تتجاوز ».</w:t>
            </w:r>
          </w:p>
        </w:tc>
      </w:tr>
    </w:tbl>
    <w:p w:rsidR="00744A1C" w:rsidRDefault="00E378DD" w:rsidP="00E378DD">
      <w:pPr>
        <w:pStyle w:val="libFootnote0"/>
        <w:rPr>
          <w:lang w:bidi="fa-IR"/>
        </w:rPr>
      </w:pPr>
      <w:r>
        <w:rPr>
          <w:rtl/>
          <w:lang w:bidi="fa-IR"/>
        </w:rPr>
        <w:t>(9).</w:t>
      </w:r>
      <w:r w:rsidR="00744A1C">
        <w:rPr>
          <w:rtl/>
          <w:lang w:bidi="fa-IR"/>
        </w:rPr>
        <w:t xml:space="preserve"> في « جن » وحاشية « بث ، بح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ح 635 : « حيث ».</w:t>
      </w:r>
    </w:p>
    <w:p w:rsidR="00744A1C" w:rsidRDefault="00E378DD" w:rsidP="00E378DD">
      <w:pPr>
        <w:pStyle w:val="libFootnote0"/>
        <w:rPr>
          <w:lang w:bidi="fa-IR"/>
        </w:rPr>
      </w:pPr>
      <w:r>
        <w:rPr>
          <w:rtl/>
          <w:lang w:bidi="fa-IR"/>
        </w:rPr>
        <w:t>(10).</w:t>
      </w:r>
      <w:r w:rsidR="00744A1C">
        <w:rPr>
          <w:rtl/>
          <w:lang w:bidi="fa-IR"/>
        </w:rPr>
        <w:t xml:space="preserve"> قال ابن الأثير : « ثبير : هو الجبل المعروف بمكّة ». وقال الفيّومي : « ثبير : جبل بين مكّة ومنى ويرى من منى ، وهو على يمين الداخل منها إلى مكّة ». وقال غيرهما : إنّه عدّة جبال بظاهر مكّة ، أي خارجاً عنها ومن قال : بمكّة إنّما هو تجوّز ، أي بقربها ، يقال لكلّ واحد منها : ثبير ، منها ثبير الخضراء ، وهو المراد هنا ، وأصل الثبرة الأرض السهلة. راجع : </w:t>
      </w:r>
      <w:r w:rsidR="00744A1C" w:rsidRPr="00877682">
        <w:rPr>
          <w:rStyle w:val="libFootnoteBoldChar"/>
          <w:rtl/>
        </w:rPr>
        <w:t>النهاية</w:t>
      </w:r>
      <w:r w:rsidR="00744A1C">
        <w:rPr>
          <w:rtl/>
          <w:lang w:bidi="fa-IR"/>
        </w:rPr>
        <w:t xml:space="preserve"> ، ج 1 ، ص 207 ؛ معجم البلدان ، ج 1 ، ص 90 ؛ </w:t>
      </w:r>
      <w:r w:rsidR="00744A1C" w:rsidRPr="00E978C3">
        <w:rPr>
          <w:rStyle w:val="libFootnoteBoldChar"/>
          <w:rtl/>
        </w:rPr>
        <w:t>المصباح المنير</w:t>
      </w:r>
      <w:r w:rsidR="00744A1C">
        <w:rPr>
          <w:rtl/>
          <w:lang w:bidi="fa-IR"/>
        </w:rPr>
        <w:t xml:space="preserve"> ، ص 80 ؛ </w:t>
      </w:r>
      <w:r w:rsidR="00744A1C" w:rsidRPr="008A57EB">
        <w:rPr>
          <w:rStyle w:val="libFootnoteBoldChar"/>
          <w:rtl/>
        </w:rPr>
        <w:t>القاموس المحيط</w:t>
      </w:r>
      <w:r w:rsidR="00744A1C">
        <w:rPr>
          <w:rtl/>
          <w:lang w:bidi="fa-IR"/>
        </w:rPr>
        <w:t xml:space="preserve"> ، ج 1 ، ص 511 ؛ تاج العروس ، ج 6 ، ص 140 ( ثبر ) ؛ </w:t>
      </w:r>
      <w:r w:rsidR="00744A1C" w:rsidRPr="00C24F9C">
        <w:rPr>
          <w:rStyle w:val="libFootnoteBoldChar"/>
          <w:rtl/>
        </w:rPr>
        <w:t>الوافي</w:t>
      </w:r>
      <w:r w:rsidR="00744A1C">
        <w:rPr>
          <w:rtl/>
          <w:lang w:bidi="fa-IR"/>
        </w:rPr>
        <w:t xml:space="preserve"> ، ج 13 ، ص 1051.</w:t>
      </w:r>
    </w:p>
    <w:p w:rsidR="00744A1C" w:rsidRDefault="00E378DD" w:rsidP="00E378DD">
      <w:pPr>
        <w:pStyle w:val="libFootnote0"/>
        <w:rPr>
          <w:lang w:bidi="fa-IR"/>
        </w:rPr>
      </w:pPr>
      <w:r>
        <w:rPr>
          <w:rtl/>
          <w:lang w:bidi="fa-IR"/>
        </w:rPr>
        <w:t>(11).</w:t>
      </w:r>
      <w:r w:rsidR="00744A1C">
        <w:rPr>
          <w:rtl/>
          <w:lang w:bidi="fa-IR"/>
        </w:rPr>
        <w:t xml:space="preserve"> في « بخ » و</w:t>
      </w:r>
      <w:r w:rsidR="00744A1C" w:rsidRPr="00C24F9C">
        <w:rPr>
          <w:rStyle w:val="libFootnoteBoldChar"/>
          <w:rtl/>
        </w:rPr>
        <w:t>الوسائل</w:t>
      </w:r>
      <w:r w:rsidR="00744A1C">
        <w:rPr>
          <w:rtl/>
          <w:lang w:bidi="fa-IR"/>
        </w:rPr>
        <w:t xml:space="preserve"> : « مواضع ».</w:t>
      </w:r>
    </w:p>
    <w:p w:rsidR="00744A1C" w:rsidRDefault="00E378DD" w:rsidP="00E378DD">
      <w:pPr>
        <w:pStyle w:val="libFootnote0"/>
        <w:rPr>
          <w:lang w:bidi="fa-IR"/>
        </w:rPr>
      </w:pPr>
      <w:r>
        <w:rPr>
          <w:rtl/>
          <w:lang w:bidi="fa-IR"/>
        </w:rPr>
        <w:t>(12).</w:t>
      </w:r>
      <w:r w:rsidR="00744A1C">
        <w:rPr>
          <w:rtl/>
          <w:lang w:bidi="fa-IR"/>
        </w:rPr>
        <w:t xml:space="preserve"> عن المحقّق الشعراني في هامش </w:t>
      </w:r>
      <w:r w:rsidR="00744A1C" w:rsidRPr="00C24F9C">
        <w:rPr>
          <w:rStyle w:val="libFootnoteBoldChar"/>
          <w:rtl/>
        </w:rPr>
        <w:t>الوافي</w:t>
      </w:r>
      <w:r w:rsidR="00744A1C">
        <w:rPr>
          <w:rtl/>
          <w:lang w:bidi="fa-IR"/>
        </w:rPr>
        <w:t xml:space="preserve"> : « قوله : وترى الإبل موضع أخفافها ، يظهر منه أنّ المراد من إشراق ثبير ليس طلوع الشمس وظهور ضوئها عليه ، فلا يجب الوقوف بالمشعر إلى الشمس مستوعباً وإن كان أحوط ؛ لأنّ بعض علمائنا كالصدوقين والسيّد رحمهمالله</w:t>
      </w:r>
      <w:r w:rsidR="00D10E3C">
        <w:rPr>
          <w:rtl/>
          <w:lang w:bidi="fa-IR"/>
        </w:rPr>
        <w:t xml:space="preserve"> </w:t>
      </w:r>
      <w:r w:rsidR="00744A1C">
        <w:rPr>
          <w:rtl/>
          <w:lang w:bidi="fa-IR"/>
        </w:rPr>
        <w:t>أوجبوه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أمّا ما اشتمل عليه من الطهارة والوقوف والذكر والدعاء فالمشهور بين الأصحاب استحبابها ، وإنّما الواجب عندهم النيّة والكون بها ما بين طلوع الفجر إلى طلوع الشمس ، والأحوط العمل بما تضمّنته الرواية ».</w:t>
      </w:r>
    </w:p>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5 ، ص 191 ، ح 635 ، معلّقاً عن الكليني. وفيه ، ص 192 ، صدر ح 637 ، بسنده عن معاوية بن </w:t>
      </w:r>
      <w:r w:rsidR="005639EF">
        <w:rPr>
          <w:rFonts w:hint="cs"/>
          <w:rtl/>
          <w:lang w:bidi="fa-IR"/>
        </w:rPr>
        <w:t>=</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7762 / 5. أَبُو عَلِيٍّ الْأَشْعَرِيُّ ، عَنْ مُحَمَّدِ بْنِ عَبْدِ الْجَبَّارِ ، عَنْ صَفْوَانَ بْنِ يَحْيى </w:t>
      </w:r>
      <w:r w:rsidRPr="00D10E3C">
        <w:rPr>
          <w:rStyle w:val="libFootnotenumChar"/>
          <w:rtl/>
        </w:rPr>
        <w:t>(1)</w:t>
      </w:r>
      <w:r>
        <w:rPr>
          <w:rtl/>
          <w:lang w:bidi="fa-IR"/>
        </w:rPr>
        <w:t xml:space="preserve"> ، عَنْ إِسْحَاقَ بْنِ عَمَّارٍ ، قَالَ :</w:t>
      </w:r>
    </w:p>
    <w:p w:rsidR="00744A1C" w:rsidRDefault="00744A1C" w:rsidP="00744A1C">
      <w:pPr>
        <w:pStyle w:val="libNormal"/>
        <w:rPr>
          <w:lang w:bidi="fa-IR"/>
        </w:rPr>
      </w:pPr>
      <w:r>
        <w:rPr>
          <w:rtl/>
          <w:lang w:bidi="fa-IR"/>
        </w:rPr>
        <w:t xml:space="preserve">سَأَلْتُ أَبَا إِبْرَاهِيمَ </w:t>
      </w:r>
      <w:r w:rsidR="0061079A" w:rsidRPr="0061079A">
        <w:rPr>
          <w:rStyle w:val="libAlaemChar"/>
          <w:rtl/>
        </w:rPr>
        <w:t>عليه‌السلام</w:t>
      </w:r>
      <w:r w:rsidR="00D10E3C">
        <w:rPr>
          <w:rtl/>
          <w:lang w:bidi="fa-IR"/>
        </w:rPr>
        <w:t xml:space="preserve"> </w:t>
      </w:r>
      <w:r>
        <w:rPr>
          <w:rtl/>
          <w:lang w:bidi="fa-IR"/>
        </w:rPr>
        <w:t xml:space="preserve">: أَيُّ سَاعَةٍ أَحَبُّ إِلَيْكَ أَنْ أُفِيضَ </w:t>
      </w:r>
      <w:r w:rsidRPr="00D10E3C">
        <w:rPr>
          <w:rStyle w:val="libFootnotenumChar"/>
          <w:rtl/>
        </w:rPr>
        <w:t>(2)</w:t>
      </w:r>
      <w:r>
        <w:rPr>
          <w:rtl/>
          <w:lang w:bidi="fa-IR"/>
        </w:rPr>
        <w:t xml:space="preserve"> مِنْ جَمْعٍ؟</w:t>
      </w:r>
    </w:p>
    <w:p w:rsidR="00744A1C" w:rsidRDefault="00744A1C" w:rsidP="00744A1C">
      <w:pPr>
        <w:pStyle w:val="libNormal"/>
        <w:rPr>
          <w:lang w:bidi="fa-IR"/>
        </w:rPr>
      </w:pPr>
      <w:r>
        <w:rPr>
          <w:rtl/>
          <w:lang w:bidi="fa-IR"/>
        </w:rPr>
        <w:t xml:space="preserve">فَقَالَ </w:t>
      </w:r>
      <w:r w:rsidRPr="00D10E3C">
        <w:rPr>
          <w:rStyle w:val="libFootnotenumChar"/>
          <w:rtl/>
        </w:rPr>
        <w:t>(3)</w:t>
      </w:r>
      <w:r>
        <w:rPr>
          <w:rtl/>
          <w:lang w:bidi="fa-IR"/>
        </w:rPr>
        <w:t xml:space="preserve"> : « قَبْلَ أَنْ تَطْلُعَ الشَّمْسُ بِقَلِيلٍ ، فَهِيَ </w:t>
      </w:r>
      <w:r w:rsidRPr="00D10E3C">
        <w:rPr>
          <w:rStyle w:val="libFootnotenumChar"/>
          <w:rtl/>
        </w:rPr>
        <w:t>(4)</w:t>
      </w:r>
      <w:r>
        <w:rPr>
          <w:rtl/>
          <w:lang w:bidi="fa-IR"/>
        </w:rPr>
        <w:t xml:space="preserve"> أَحَبُّ السَّاعَاتِ إِلَيَّ ».</w:t>
      </w:r>
    </w:p>
    <w:p w:rsidR="00744A1C" w:rsidRDefault="00744A1C" w:rsidP="00744A1C">
      <w:pPr>
        <w:pStyle w:val="libNormal"/>
        <w:rPr>
          <w:lang w:bidi="fa-IR"/>
        </w:rPr>
      </w:pPr>
      <w:r>
        <w:rPr>
          <w:rtl/>
          <w:lang w:bidi="fa-IR"/>
        </w:rPr>
        <w:t xml:space="preserve">قُلْتُ : فَإِنْ مَكَثْنَا </w:t>
      </w:r>
      <w:r w:rsidRPr="00D10E3C">
        <w:rPr>
          <w:rStyle w:val="libFootnotenumChar"/>
          <w:rtl/>
        </w:rPr>
        <w:t>(5)</w:t>
      </w:r>
      <w:r>
        <w:rPr>
          <w:rtl/>
          <w:lang w:bidi="fa-IR"/>
        </w:rPr>
        <w:t xml:space="preserve"> حَتّى تَطْلُعَ الشَّمْسُ؟</w:t>
      </w:r>
    </w:p>
    <w:p w:rsidR="00144FA6" w:rsidRDefault="00744A1C" w:rsidP="00744A1C">
      <w:pPr>
        <w:pStyle w:val="libNormal"/>
        <w:rPr>
          <w:rtl/>
          <w:lang w:bidi="fa-IR"/>
        </w:rPr>
      </w:pPr>
      <w:r>
        <w:rPr>
          <w:rtl/>
          <w:lang w:bidi="fa-IR"/>
        </w:rPr>
        <w:t xml:space="preserve">قَالَ </w:t>
      </w:r>
      <w:r w:rsidRPr="00D10E3C">
        <w:rPr>
          <w:rStyle w:val="libFootnotenumChar"/>
          <w:rtl/>
        </w:rPr>
        <w:t>(6)</w:t>
      </w:r>
      <w:r>
        <w:rPr>
          <w:rtl/>
          <w:lang w:bidi="fa-IR"/>
        </w:rPr>
        <w:t xml:space="preserve"> : « لَيْسَ بِهِ بَأْسٌ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7763 / 6. عَلِيُّ بْنُ إِبْرَاهِيمَ ، عَنْ أَبِيهِ ، عَنِ ابْنِ أَبِي عُمَيْرٍ ، عَنْ هِشَامِ بْنِ الْحَكَمِ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تُجَاوِزْ وَادِيَ مُحَسِّرٍ حَتّى تَطْلُعَ الشَّمْسُ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18371C" w:rsidP="00D10E3C">
      <w:pPr>
        <w:pStyle w:val="libFootnote0"/>
        <w:rPr>
          <w:lang w:bidi="fa-IR"/>
        </w:rPr>
      </w:pPr>
      <w:r>
        <w:rPr>
          <w:rFonts w:hint="cs"/>
          <w:rtl/>
          <w:lang w:bidi="fa-IR"/>
        </w:rPr>
        <w:t xml:space="preserve">= </w:t>
      </w:r>
      <w:r w:rsidR="00744A1C">
        <w:rPr>
          <w:rtl/>
          <w:lang w:bidi="fa-IR"/>
        </w:rPr>
        <w:t xml:space="preserve">عمّار ، وتمام الرواية : « ثمّ أفض حين يشرق لك ثبير وترى الإبل موضع أخفافها ». وفي </w:t>
      </w:r>
      <w:r w:rsidR="00744A1C" w:rsidRPr="00C24F9C">
        <w:rPr>
          <w:rStyle w:val="libFootnoteBoldChar"/>
          <w:rtl/>
        </w:rPr>
        <w:t>الفقيه</w:t>
      </w:r>
      <w:r w:rsidR="00744A1C">
        <w:rPr>
          <w:rtl/>
          <w:lang w:bidi="fa-IR"/>
        </w:rPr>
        <w:t xml:space="preserve"> ، ج 2 ، ص 545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1E41F8">
        <w:rPr>
          <w:rFonts w:hint="cs"/>
          <w:rtl/>
          <w:lang w:bidi="fa-IR"/>
        </w:rPr>
        <w:t>.</w:t>
      </w:r>
      <w:r w:rsidR="00744A1C" w:rsidRPr="00C24F9C">
        <w:rPr>
          <w:rStyle w:val="libFootnoteBoldChar"/>
          <w:rtl/>
        </w:rPr>
        <w:t>الوافي</w:t>
      </w:r>
      <w:r w:rsidR="00744A1C">
        <w:rPr>
          <w:rtl/>
          <w:lang w:bidi="fa-IR"/>
        </w:rPr>
        <w:t xml:space="preserve"> ، ج 13 ، ص 1051 ، ح 13718 ؛ </w:t>
      </w:r>
      <w:r w:rsidR="00744A1C" w:rsidRPr="00C24F9C">
        <w:rPr>
          <w:rStyle w:val="libFootnoteBoldChar"/>
          <w:rtl/>
        </w:rPr>
        <w:t>الوسائل</w:t>
      </w:r>
      <w:r w:rsidR="00744A1C">
        <w:rPr>
          <w:rtl/>
          <w:lang w:bidi="fa-IR"/>
        </w:rPr>
        <w:t xml:space="preserve"> ، ج 14 ، ص 20 ، ح 18489.</w:t>
      </w:r>
    </w:p>
    <w:p w:rsidR="00744A1C" w:rsidRDefault="00D10E3C" w:rsidP="00D10E3C">
      <w:pPr>
        <w:pStyle w:val="libFootnote0"/>
        <w:rPr>
          <w:lang w:bidi="fa-IR"/>
        </w:rPr>
      </w:pPr>
      <w:r>
        <w:rPr>
          <w:rtl/>
          <w:lang w:bidi="fa-IR"/>
        </w:rPr>
        <w:t>(1).</w:t>
      </w:r>
      <w:r w:rsidR="00744A1C">
        <w:rPr>
          <w:rtl/>
          <w:lang w:bidi="fa-IR"/>
        </w:rPr>
        <w:t xml:space="preserve"> في « بف ، جر » </w:t>
      </w:r>
      <w:r w:rsidR="00744A1C" w:rsidRPr="0061079A">
        <w:rPr>
          <w:rStyle w:val="libFootnoteBoldChar"/>
          <w:rtl/>
        </w:rPr>
        <w:t>والتهذيب</w:t>
      </w:r>
      <w:r w:rsidR="00744A1C">
        <w:rPr>
          <w:rtl/>
          <w:lang w:bidi="fa-IR"/>
        </w:rPr>
        <w:t xml:space="preserve"> : - « بن يحيى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ح 638 </w:t>
      </w:r>
      <w:r w:rsidR="00744A1C" w:rsidRPr="00C24F9C">
        <w:rPr>
          <w:rStyle w:val="libFootnoteBoldChar"/>
          <w:rtl/>
        </w:rPr>
        <w:t>والاستبصار</w:t>
      </w:r>
      <w:r w:rsidR="00744A1C">
        <w:rPr>
          <w:rtl/>
          <w:lang w:bidi="fa-IR"/>
        </w:rPr>
        <w:t xml:space="preserve"> : « أن نفيض ».</w:t>
      </w:r>
    </w:p>
    <w:p w:rsidR="00744A1C" w:rsidRDefault="00E378DD" w:rsidP="00E378DD">
      <w:pPr>
        <w:pStyle w:val="libFootnote0"/>
        <w:rPr>
          <w:lang w:bidi="fa-IR"/>
        </w:rPr>
      </w:pPr>
      <w:r>
        <w:rPr>
          <w:rtl/>
          <w:lang w:bidi="fa-IR"/>
        </w:rPr>
        <w:t>(3).</w:t>
      </w:r>
      <w:r w:rsidR="00744A1C">
        <w:rPr>
          <w:rtl/>
          <w:lang w:bidi="fa-IR"/>
        </w:rPr>
        <w:t xml:space="preserve"> في « بح ، بخ ، بف ، جد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ح 639 : « قال ».</w:t>
      </w:r>
    </w:p>
    <w:p w:rsidR="00744A1C" w:rsidRDefault="00E378DD" w:rsidP="00E378DD">
      <w:pPr>
        <w:pStyle w:val="libFootnote0"/>
        <w:rPr>
          <w:lang w:bidi="fa-IR"/>
        </w:rPr>
      </w:pPr>
      <w:r>
        <w:rPr>
          <w:rtl/>
          <w:lang w:bidi="fa-IR"/>
        </w:rPr>
        <w:t>(4).</w:t>
      </w:r>
      <w:r w:rsidR="00744A1C">
        <w:rPr>
          <w:rtl/>
          <w:lang w:bidi="fa-IR"/>
        </w:rPr>
        <w:t xml:space="preserve"> في « بخ » </w:t>
      </w:r>
      <w:r w:rsidR="00744A1C" w:rsidRPr="00EE5E45">
        <w:rPr>
          <w:rtl/>
        </w:rPr>
        <w:t>والوافي والتهذيب والاستبصار</w:t>
      </w:r>
      <w:r w:rsidR="00744A1C">
        <w:rPr>
          <w:rtl/>
          <w:lang w:bidi="fa-IR"/>
        </w:rPr>
        <w:t xml:space="preserve"> : « هي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 مكثت ».</w:t>
      </w:r>
    </w:p>
    <w:p w:rsidR="00744A1C" w:rsidRDefault="00E378DD" w:rsidP="00E378DD">
      <w:pPr>
        <w:pStyle w:val="libFootnote0"/>
        <w:rPr>
          <w:lang w:bidi="fa-IR"/>
        </w:rPr>
      </w:pPr>
      <w:r>
        <w:rPr>
          <w:rtl/>
          <w:lang w:bidi="fa-IR"/>
        </w:rPr>
        <w:t>(6).</w:t>
      </w:r>
      <w:r w:rsidR="00744A1C">
        <w:rPr>
          <w:rtl/>
          <w:lang w:bidi="fa-IR"/>
        </w:rPr>
        <w:t xml:space="preserve"> في « ى ، بث ، بح ، بس ، جن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639 </w:t>
      </w:r>
      <w:r w:rsidR="00744A1C" w:rsidRPr="00C24F9C">
        <w:rPr>
          <w:rStyle w:val="libFootnoteBoldChar"/>
          <w:rtl/>
        </w:rPr>
        <w:t>والاستبصار</w:t>
      </w:r>
      <w:r w:rsidR="00744A1C">
        <w:rPr>
          <w:rtl/>
          <w:lang w:bidi="fa-IR"/>
        </w:rPr>
        <w:t xml:space="preserve"> : « فقال ».</w:t>
      </w:r>
    </w:p>
    <w:p w:rsidR="00744A1C" w:rsidRDefault="00E378DD" w:rsidP="00E378DD">
      <w:pPr>
        <w:pStyle w:val="libFootnote0"/>
        <w:rPr>
          <w:lang w:bidi="fa-IR"/>
        </w:rPr>
      </w:pPr>
      <w:r>
        <w:rPr>
          <w:rtl/>
          <w:lang w:bidi="fa-IR"/>
        </w:rPr>
        <w:t>(7).</w:t>
      </w:r>
      <w:r w:rsidR="00744A1C">
        <w:rPr>
          <w:rtl/>
          <w:lang w:bidi="fa-IR"/>
        </w:rPr>
        <w:t xml:space="preserve"> في « بخ » : « لا بأس به ». وفي </w:t>
      </w:r>
      <w:r w:rsidR="00744A1C" w:rsidRPr="00C24F9C">
        <w:rPr>
          <w:rStyle w:val="libFootnoteBoldChar"/>
          <w:rtl/>
        </w:rPr>
        <w:t>الوسائل</w:t>
      </w:r>
      <w:r w:rsidR="00744A1C">
        <w:rPr>
          <w:rtl/>
          <w:lang w:bidi="fa-IR"/>
        </w:rPr>
        <w:t xml:space="preserve"> : « لا بأس ». وفي </w:t>
      </w:r>
      <w:r w:rsidR="00744A1C" w:rsidRPr="00C24F9C">
        <w:rPr>
          <w:rStyle w:val="libFootnoteBoldChar"/>
          <w:rtl/>
        </w:rPr>
        <w:t>المرآة</w:t>
      </w:r>
      <w:r w:rsidR="00744A1C">
        <w:rPr>
          <w:rtl/>
          <w:lang w:bidi="fa-IR"/>
        </w:rPr>
        <w:t xml:space="preserve"> : « يدلّ على استحباب تقدير الإفاضة على طلوع الشمس ، وحمل على ما إذا لم يتجاوز وادي محسّر قبله ؛ للخبر الآتي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192 ، ح 639 ؛ </w:t>
      </w:r>
      <w:r w:rsidR="00744A1C" w:rsidRPr="00C24F9C">
        <w:rPr>
          <w:rStyle w:val="libFootnoteBoldChar"/>
          <w:rtl/>
        </w:rPr>
        <w:t>والاستبصار</w:t>
      </w:r>
      <w:r w:rsidR="00744A1C">
        <w:rPr>
          <w:rtl/>
          <w:lang w:bidi="fa-IR"/>
        </w:rPr>
        <w:t xml:space="preserve"> ، ج 2 ، ص 257 ، ح 908 ، معلّقاً عن الكليني. وفي </w:t>
      </w:r>
      <w:r w:rsidR="00744A1C" w:rsidRPr="00C24F9C">
        <w:rPr>
          <w:rStyle w:val="libFootnoteBoldChar"/>
          <w:rtl/>
        </w:rPr>
        <w:t>التهذيب</w:t>
      </w:r>
      <w:r w:rsidR="00744A1C">
        <w:rPr>
          <w:rtl/>
          <w:lang w:bidi="fa-IR"/>
        </w:rPr>
        <w:t xml:space="preserve"> ، ج 5 ، ص 192 ، ح 638 ؛ </w:t>
      </w:r>
      <w:r w:rsidR="00744A1C" w:rsidRPr="00C24F9C">
        <w:rPr>
          <w:rStyle w:val="libFootnoteBoldChar"/>
          <w:rtl/>
        </w:rPr>
        <w:t>والاستبصار</w:t>
      </w:r>
      <w:r w:rsidR="00744A1C">
        <w:rPr>
          <w:rtl/>
          <w:lang w:bidi="fa-IR"/>
        </w:rPr>
        <w:t xml:space="preserve"> ، ج 2 ، ص 257 ، ح 907 ، بسند آخر </w:t>
      </w:r>
      <w:r w:rsidR="001E41F8">
        <w:rPr>
          <w:rFonts w:hint="cs"/>
          <w:rtl/>
          <w:lang w:bidi="fa-IR"/>
        </w:rPr>
        <w:t>.</w:t>
      </w:r>
      <w:r w:rsidR="00744A1C" w:rsidRPr="00C24F9C">
        <w:rPr>
          <w:rStyle w:val="libFootnoteBoldChar"/>
          <w:rtl/>
        </w:rPr>
        <w:t>الوافي</w:t>
      </w:r>
      <w:r w:rsidR="00744A1C">
        <w:rPr>
          <w:rtl/>
          <w:lang w:bidi="fa-IR"/>
        </w:rPr>
        <w:t xml:space="preserve"> ، ج 13 ، ص 1053 ، ح 13719 ؛ </w:t>
      </w:r>
      <w:r w:rsidR="00744A1C" w:rsidRPr="00C24F9C">
        <w:rPr>
          <w:rStyle w:val="libFootnoteBoldChar"/>
          <w:rtl/>
        </w:rPr>
        <w:t>الوسائل</w:t>
      </w:r>
      <w:r w:rsidR="00744A1C">
        <w:rPr>
          <w:rtl/>
          <w:lang w:bidi="fa-IR"/>
        </w:rPr>
        <w:t xml:space="preserve"> ، ج 14 ، ص 25 ، ح 18498.</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193 ، ح 640 ، معلّقاً عن الكليني. وفيه ، ص 178 ، ح 598 ، بسنده عن ابن أبي عمير </w:t>
      </w:r>
      <w:r w:rsidR="001E41F8">
        <w:rPr>
          <w:rFonts w:hint="cs"/>
          <w:rtl/>
          <w:lang w:bidi="fa-IR"/>
        </w:rPr>
        <w:t>.</w:t>
      </w:r>
      <w:r w:rsidR="00744A1C" w:rsidRPr="00C24F9C">
        <w:rPr>
          <w:rStyle w:val="libFootnoteBoldChar"/>
          <w:rtl/>
        </w:rPr>
        <w:t>الوافي</w:t>
      </w:r>
      <w:r w:rsidR="00744A1C">
        <w:rPr>
          <w:rtl/>
          <w:lang w:bidi="fa-IR"/>
        </w:rPr>
        <w:t xml:space="preserve"> ، ج 13 ، ص 1019 ، ح 13648 ؛ وص 1053 ، ح 13730 ؛ </w:t>
      </w:r>
      <w:r w:rsidR="00744A1C" w:rsidRPr="00C24F9C">
        <w:rPr>
          <w:rStyle w:val="libFootnoteBoldChar"/>
          <w:rtl/>
        </w:rPr>
        <w:t>الوسائل</w:t>
      </w:r>
      <w:r w:rsidR="00744A1C">
        <w:rPr>
          <w:rtl/>
          <w:lang w:bidi="fa-IR"/>
        </w:rPr>
        <w:t xml:space="preserve"> ، ج 14 ، ص 25 ، ح 18499.</w:t>
      </w:r>
    </w:p>
    <w:p w:rsidR="00A55A65" w:rsidRDefault="00A55A65" w:rsidP="00D10E3C">
      <w:pPr>
        <w:pStyle w:val="libNormal"/>
        <w:rPr>
          <w:rtl/>
          <w:lang w:bidi="fa-IR"/>
        </w:rPr>
      </w:pPr>
      <w:r>
        <w:rPr>
          <w:rtl/>
          <w:lang w:bidi="fa-IR"/>
        </w:rPr>
        <w:br w:type="page"/>
      </w:r>
    </w:p>
    <w:p w:rsidR="00744A1C" w:rsidRDefault="00744A1C" w:rsidP="001E41F8">
      <w:pPr>
        <w:pStyle w:val="Heading2Center"/>
        <w:rPr>
          <w:lang w:bidi="fa-IR"/>
        </w:rPr>
      </w:pPr>
      <w:bookmarkStart w:id="13" w:name="_Toc49261311"/>
      <w:r>
        <w:rPr>
          <w:rtl/>
          <w:lang w:bidi="fa-IR"/>
        </w:rPr>
        <w:lastRenderedPageBreak/>
        <w:t>168 - بَابُ السَّعْيِ فِي وَادِي مُحَسِّرٍ‌</w:t>
      </w:r>
      <w:bookmarkEnd w:id="13"/>
    </w:p>
    <w:p w:rsidR="00744A1C" w:rsidRDefault="00744A1C" w:rsidP="00744A1C">
      <w:pPr>
        <w:pStyle w:val="libNormal"/>
        <w:rPr>
          <w:lang w:bidi="fa-IR"/>
        </w:rPr>
      </w:pPr>
      <w:r>
        <w:rPr>
          <w:rtl/>
          <w:lang w:bidi="fa-IR"/>
        </w:rPr>
        <w:t>7764 / 1. عَلِيُّ بْنُ إِبْرَاهِيمَ ، عَنْ أَبِيهِ ، عَنِ ابْنِ أَبِي عُمَيْرٍ ، عَنْ حَفْصِ</w:t>
      </w:r>
      <w:r w:rsidR="001E41F8">
        <w:rPr>
          <w:rtl/>
          <w:lang w:bidi="fa-IR"/>
        </w:rPr>
        <w:t xml:space="preserve"> بْنِ الْبَخْتَرِيِّ وَغَيْرِهِ:</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أَنَّهُ قَالَ لِبَعْضِ </w:t>
      </w:r>
      <w:r w:rsidRPr="00D10E3C">
        <w:rPr>
          <w:rStyle w:val="libFootnotenumChar"/>
          <w:rtl/>
        </w:rPr>
        <w:t>(1)</w:t>
      </w:r>
      <w:r>
        <w:rPr>
          <w:rtl/>
          <w:lang w:bidi="fa-IR"/>
        </w:rPr>
        <w:t xml:space="preserve"> وُلْدِهِ : « هَلْ سَعَيْتَ فِي وَادِي مُحَسِّرٍ؟ » فَقَالَ : لَا ، قَالَ : فَأَمَرَهُ أَنْ يَرْجِعَ حَتّى يَسْعى.</w:t>
      </w:r>
    </w:p>
    <w:p w:rsidR="00144FA6" w:rsidRDefault="00744A1C" w:rsidP="00744A1C">
      <w:pPr>
        <w:pStyle w:val="libNormal"/>
        <w:rPr>
          <w:rtl/>
          <w:lang w:bidi="fa-IR"/>
        </w:rPr>
      </w:pPr>
      <w:r>
        <w:rPr>
          <w:rtl/>
          <w:lang w:bidi="fa-IR"/>
        </w:rPr>
        <w:t xml:space="preserve">قَالَ : فَقَالَ لَهُ ابْنُهُ : لَا أَعْرِفُهُ </w:t>
      </w:r>
      <w:r w:rsidRPr="00D10E3C">
        <w:rPr>
          <w:rStyle w:val="libFootnotenumChar"/>
          <w:rtl/>
        </w:rPr>
        <w:t>(2)</w:t>
      </w:r>
      <w:r>
        <w:rPr>
          <w:rtl/>
          <w:lang w:bidi="fa-IR"/>
        </w:rPr>
        <w:t xml:space="preserve"> ، فَقَالَ لَهُ : « سَلِ النَّاسَ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7765 / 2. عِدَّةٌ مِنْ أَصْحَابِنَا ، عَنْ أَحْمَدَ بْنِ مُحَمَّدٍ ، عَنِ الْحَجَّالِ ، عَنْ بَعْضِ أَصْحَابِنَا ، قَالَ :</w:t>
      </w:r>
    </w:p>
    <w:p w:rsidR="00144FA6" w:rsidRDefault="00744A1C" w:rsidP="001E41F8">
      <w:pPr>
        <w:pStyle w:val="libNormal"/>
        <w:rPr>
          <w:rtl/>
          <w:lang w:bidi="fa-IR"/>
        </w:rPr>
      </w:pPr>
      <w:r>
        <w:rPr>
          <w:rtl/>
          <w:lang w:bidi="fa-IR"/>
        </w:rPr>
        <w:t xml:space="preserve">مَرَّ رَجُلٌ بِوَادِي مُحَسِّرٍ ، فَأَمَرَهُ أَبُو عَبْدِ اللهِ </w:t>
      </w:r>
      <w:r w:rsidR="0061079A" w:rsidRPr="0061079A">
        <w:rPr>
          <w:rStyle w:val="libAlaemChar"/>
          <w:rtl/>
        </w:rPr>
        <w:t>عليه‌السلام</w:t>
      </w:r>
      <w:r w:rsidR="00D10E3C">
        <w:rPr>
          <w:rtl/>
          <w:lang w:bidi="fa-IR"/>
        </w:rPr>
        <w:t xml:space="preserve"> </w:t>
      </w:r>
      <w:r>
        <w:rPr>
          <w:rtl/>
          <w:lang w:bidi="fa-IR"/>
        </w:rPr>
        <w:t>بَعْدَ الانْصِرَافِ إِلى مَكَّةَ أَنْ يَرْجِعَ ، فَيَسْعى</w:t>
      </w:r>
      <w:r w:rsidRPr="00D10E3C">
        <w:rPr>
          <w:rStyle w:val="libFootnotenumChar"/>
          <w:rtl/>
        </w:rPr>
        <w:t>(5)</w:t>
      </w:r>
      <w:r w:rsidR="001E41F8">
        <w:rPr>
          <w:rFonts w:hint="cs"/>
          <w:rtl/>
          <w:lang w:bidi="fa-IR"/>
        </w:rPr>
        <w:t>.</w:t>
      </w:r>
      <w:r w:rsidRPr="00D10E3C">
        <w:rPr>
          <w:rStyle w:val="libFootnotenumChar"/>
          <w:rtl/>
        </w:rPr>
        <w:t>(6)</w:t>
      </w:r>
    </w:p>
    <w:p w:rsidR="00744A1C" w:rsidRDefault="00744A1C" w:rsidP="00744A1C">
      <w:pPr>
        <w:pStyle w:val="libNormal"/>
        <w:rPr>
          <w:lang w:bidi="fa-IR"/>
        </w:rPr>
      </w:pPr>
      <w:r>
        <w:rPr>
          <w:rtl/>
          <w:lang w:bidi="fa-IR"/>
        </w:rPr>
        <w:t>7766 / 3. عَلِيُّ بْنُ إِبْرَاهِيمَ ، عَنْ أَبِيهِ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 « سأل بعض » بدل « قال لبعض ».</w:t>
      </w:r>
    </w:p>
    <w:p w:rsidR="00744A1C" w:rsidRDefault="00E378DD" w:rsidP="00E378DD">
      <w:pPr>
        <w:pStyle w:val="libFootnote0"/>
        <w:rPr>
          <w:lang w:bidi="fa-IR"/>
        </w:rPr>
      </w:pPr>
      <w:r>
        <w:rPr>
          <w:rtl/>
          <w:lang w:bidi="fa-IR"/>
        </w:rPr>
        <w:t>(2).</w:t>
      </w:r>
      <w:r w:rsidR="00744A1C">
        <w:rPr>
          <w:rtl/>
          <w:lang w:bidi="fa-IR"/>
        </w:rPr>
        <w:t xml:space="preserve"> في « بخ ، بف » و</w:t>
      </w:r>
      <w:r w:rsidR="00744A1C" w:rsidRPr="00C24F9C">
        <w:rPr>
          <w:rStyle w:val="libFootnoteBoldChar"/>
          <w:rtl/>
        </w:rPr>
        <w:t>الوافي</w:t>
      </w:r>
      <w:r w:rsidR="00744A1C">
        <w:rPr>
          <w:rtl/>
          <w:lang w:bidi="fa-IR"/>
        </w:rPr>
        <w:t xml:space="preserve"> : + « قال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130 : « يدلّ على تأكيد استحباب السعي في وادي محسّر ، وأنّه إذا فاته يقضيه ، وأنّه يجوز الاكتفاء في معرفة المشاعر بإخبار الناس ، ويمكن حمله على ما إذا تحقّقت الاستفاضة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الفقيه</w:t>
      </w:r>
      <w:r w:rsidR="00744A1C">
        <w:rPr>
          <w:rtl/>
          <w:lang w:bidi="fa-IR"/>
        </w:rPr>
        <w:t xml:space="preserve"> ، ج 2 ، ص 547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1E41F8">
        <w:rPr>
          <w:rFonts w:hint="cs"/>
          <w:rtl/>
          <w:lang w:bidi="fa-IR"/>
        </w:rPr>
        <w:t>.</w:t>
      </w:r>
      <w:r w:rsidR="00744A1C" w:rsidRPr="00C24F9C">
        <w:rPr>
          <w:rStyle w:val="libFootnoteBoldChar"/>
          <w:rtl/>
        </w:rPr>
        <w:t>الوافي</w:t>
      </w:r>
      <w:r w:rsidR="00744A1C">
        <w:rPr>
          <w:rtl/>
          <w:lang w:bidi="fa-IR"/>
        </w:rPr>
        <w:t xml:space="preserve"> ، ج 13 ، ص 1055 ، ح 13724 ؛ </w:t>
      </w:r>
      <w:r w:rsidR="00744A1C" w:rsidRPr="00C24F9C">
        <w:rPr>
          <w:rStyle w:val="libFootnoteBoldChar"/>
          <w:rtl/>
        </w:rPr>
        <w:t>الوسائل</w:t>
      </w:r>
      <w:r w:rsidR="00744A1C">
        <w:rPr>
          <w:rtl/>
          <w:lang w:bidi="fa-IR"/>
        </w:rPr>
        <w:t xml:space="preserve"> ، ج 14 ، ص 24 ، ح 18496.</w:t>
      </w:r>
    </w:p>
    <w:p w:rsidR="00744A1C" w:rsidRDefault="00E378DD" w:rsidP="00E378DD">
      <w:pPr>
        <w:pStyle w:val="libFootnote0"/>
        <w:rPr>
          <w:lang w:bidi="fa-IR"/>
        </w:rPr>
      </w:pPr>
      <w:r>
        <w:rPr>
          <w:rtl/>
          <w:lang w:bidi="fa-IR"/>
        </w:rPr>
        <w:t>(5).</w:t>
      </w:r>
      <w:r w:rsidR="00744A1C">
        <w:rPr>
          <w:rtl/>
          <w:lang w:bidi="fa-IR"/>
        </w:rPr>
        <w:t xml:space="preserve"> في « بخ ، بف » و</w:t>
      </w:r>
      <w:r w:rsidR="00744A1C" w:rsidRPr="00C24F9C">
        <w:rPr>
          <w:rStyle w:val="libFootnoteBoldChar"/>
          <w:rtl/>
        </w:rPr>
        <w:t>الوافي</w:t>
      </w:r>
      <w:r w:rsidR="00744A1C">
        <w:rPr>
          <w:rtl/>
          <w:lang w:bidi="fa-IR"/>
        </w:rPr>
        <w:t xml:space="preserve"> : « ويسعى ». وفي شرائع الإسلام ، ج 1 ، ص 192 : « ويستحبّ لمن عدا الإمام ... السعي بوادي محسّر ... ولو ترك السعي فيه رجع فسعى استحباباً ». وفي </w:t>
      </w:r>
      <w:r w:rsidR="00744A1C" w:rsidRPr="00C24F9C">
        <w:rPr>
          <w:rStyle w:val="libFootnoteBoldChar"/>
          <w:rtl/>
        </w:rPr>
        <w:t>مدارك الأحكام</w:t>
      </w:r>
      <w:r w:rsidR="00744A1C">
        <w:rPr>
          <w:rtl/>
          <w:lang w:bidi="fa-IR"/>
        </w:rPr>
        <w:t xml:space="preserve"> ، ج 7 ، ص 445 : « والمراد بالسعي هنا الهرولة ، وهو الإسراع في المشي للماشي وتحريك الدابّة للراكب ، وقد أجمع العلماء كافّة على استحباب ذلك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195 ، ح 649 ، معلّقاً عن أحمد بن محمّد بن عيسى ، عن الحجّال. </w:t>
      </w:r>
      <w:r w:rsidR="00744A1C" w:rsidRPr="00C24F9C">
        <w:rPr>
          <w:rStyle w:val="libFootnoteBoldChar"/>
          <w:rtl/>
        </w:rPr>
        <w:t>الفقيه</w:t>
      </w:r>
      <w:r w:rsidR="00744A1C">
        <w:rPr>
          <w:rtl/>
          <w:lang w:bidi="fa-IR"/>
        </w:rPr>
        <w:t xml:space="preserve"> ، ج 2 ، ص 469 ، ذيل ح 2989 ، مع اختلاف يسير </w:t>
      </w:r>
      <w:r w:rsidR="001E41F8">
        <w:rPr>
          <w:rFonts w:hint="cs"/>
          <w:rtl/>
          <w:lang w:bidi="fa-IR"/>
        </w:rPr>
        <w:t>.</w:t>
      </w:r>
      <w:r w:rsidR="00744A1C" w:rsidRPr="00C24F9C">
        <w:rPr>
          <w:rStyle w:val="libFootnoteBoldChar"/>
          <w:rtl/>
        </w:rPr>
        <w:t>الوافي</w:t>
      </w:r>
      <w:r w:rsidR="00744A1C">
        <w:rPr>
          <w:rtl/>
          <w:lang w:bidi="fa-IR"/>
        </w:rPr>
        <w:t xml:space="preserve"> ، ج 13 ، ص 1055 ، ح 13725 ؛ </w:t>
      </w:r>
      <w:r w:rsidR="00744A1C" w:rsidRPr="00C24F9C">
        <w:rPr>
          <w:rStyle w:val="libFootnoteBoldChar"/>
          <w:rtl/>
        </w:rPr>
        <w:t>الوسائل</w:t>
      </w:r>
      <w:r w:rsidR="00744A1C">
        <w:rPr>
          <w:rtl/>
          <w:lang w:bidi="fa-IR"/>
        </w:rPr>
        <w:t xml:space="preserve"> ، ج 14 ، ص 24 ، ح 18497.</w:t>
      </w:r>
    </w:p>
    <w:p w:rsidR="00A55A65" w:rsidRDefault="00A55A65" w:rsidP="00D10E3C">
      <w:pPr>
        <w:pStyle w:val="libNormal"/>
        <w:rPr>
          <w:rtl/>
          <w:lang w:bidi="fa-IR"/>
        </w:rPr>
      </w:pPr>
      <w:r>
        <w:rPr>
          <w:rtl/>
          <w:lang w:bidi="fa-IR"/>
        </w:rPr>
        <w:br w:type="page"/>
      </w:r>
    </w:p>
    <w:p w:rsidR="00144FA6" w:rsidRDefault="0055015C" w:rsidP="00744A1C">
      <w:pPr>
        <w:pStyle w:val="libNormal"/>
        <w:rPr>
          <w:rtl/>
          <w:lang w:bidi="fa-IR"/>
        </w:rPr>
      </w:pPr>
      <w:r>
        <w:rPr>
          <w:rFonts w:hint="cs"/>
          <w:rtl/>
          <w:lang w:bidi="fa-IR"/>
        </w:rPr>
        <w:lastRenderedPageBreak/>
        <w:t xml:space="preserve">              </w:t>
      </w:r>
      <w:r w:rsidR="00744A1C">
        <w:rPr>
          <w:rtl/>
          <w:lang w:bidi="fa-IR"/>
        </w:rPr>
        <w:t xml:space="preserve">وَ </w:t>
      </w:r>
      <w:r w:rsidR="00744A1C" w:rsidRPr="00D10E3C">
        <w:rPr>
          <w:rStyle w:val="libFootnotenumChar"/>
          <w:rtl/>
        </w:rPr>
        <w:t>(1)</w:t>
      </w:r>
      <w:r w:rsidR="00744A1C">
        <w:rPr>
          <w:rtl/>
          <w:lang w:bidi="fa-IR"/>
        </w:rPr>
        <w:t xml:space="preserve"> مُحَمَّدُ بْنُ إِسْمَاعِيلَ ، عَنِ الْفَضْلِ بْنِ شَاذَانَ ، عَنِ ابْنِ أَبِي عُمَيْرٍ وَصَفْوَانَ بْنِ يَحْيى </w:t>
      </w:r>
      <w:r w:rsidR="00744A1C" w:rsidRPr="00D10E3C">
        <w:rPr>
          <w:rStyle w:val="libFootnotenumChar"/>
          <w:rtl/>
        </w:rPr>
        <w:t>(2)</w:t>
      </w:r>
      <w:r w:rsidR="00744A1C">
        <w:rPr>
          <w:rtl/>
          <w:lang w:bidi="fa-IR"/>
        </w:rPr>
        <w:t xml:space="preserve"> ، عَنْ مُعَاوِيَةَ بْنِ عَمَّارٍ :</w:t>
      </w:r>
    </w:p>
    <w:p w:rsidR="00144FA6" w:rsidRDefault="00744A1C" w:rsidP="0055015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مَرَرْتَ بِوَادِي مُحَسِّرٍ - وَهُوَ وَادٍ عَظِيمٌ بَيْنَ جَمْعٍ </w:t>
      </w:r>
      <w:r w:rsidRPr="00D10E3C">
        <w:rPr>
          <w:rStyle w:val="libFootnotenumChar"/>
          <w:rtl/>
        </w:rPr>
        <w:t>(3)</w:t>
      </w:r>
      <w:r>
        <w:rPr>
          <w:rtl/>
          <w:lang w:bidi="fa-IR"/>
        </w:rPr>
        <w:t xml:space="preserve"> وَمِنًى وَهُوَ إِلى مِنًى أَقْرَبُ - فَاسْعَ فِيهِ حَتّى تُجَاوِزَهُ ؛ فَإِنَّ رَسُولَ اللهِ </w:t>
      </w:r>
      <w:r w:rsidR="005E465D" w:rsidRPr="005E465D">
        <w:rPr>
          <w:rStyle w:val="libAlaemChar"/>
          <w:rFonts w:eastAsiaTheme="minorHAnsi"/>
          <w:rtl/>
        </w:rPr>
        <w:t>صلى‌الله‌عليه‌وآله</w:t>
      </w:r>
      <w:r w:rsidR="0055015C" w:rsidRPr="008245CD">
        <w:rPr>
          <w:rFonts w:eastAsiaTheme="minorHAnsi"/>
          <w:rtl/>
        </w:rPr>
        <w:t xml:space="preserve"> </w:t>
      </w:r>
      <w:r>
        <w:rPr>
          <w:rtl/>
          <w:lang w:bidi="fa-IR"/>
        </w:rPr>
        <w:t xml:space="preserve">حَرَّكَ نَاقَتَهُ </w:t>
      </w:r>
      <w:r w:rsidRPr="00D10E3C">
        <w:rPr>
          <w:rStyle w:val="libFootnotenumChar"/>
          <w:rtl/>
        </w:rPr>
        <w:t>(4)</w:t>
      </w:r>
      <w:r>
        <w:rPr>
          <w:rtl/>
          <w:lang w:bidi="fa-IR"/>
        </w:rPr>
        <w:t xml:space="preserve"> ، وَقَالَ : الل</w:t>
      </w:r>
      <w:r w:rsidR="0055015C">
        <w:rPr>
          <w:rFonts w:hint="cs"/>
          <w:rtl/>
          <w:lang w:bidi="fa-IR"/>
        </w:rPr>
        <w:t>ّ</w:t>
      </w:r>
      <w:r>
        <w:rPr>
          <w:rtl/>
          <w:lang w:bidi="fa-IR"/>
        </w:rPr>
        <w:t xml:space="preserve">هُمَّ سَلِّمْ لِي عَهْدِي ، وَاقْبَلْ تَوْبَتِي ، وَأَجِبْ دَعْوَتِي ، وَاخْلُفْنِي فِيمَنْ تَرَكْتُ بَعْدِي ». </w:t>
      </w:r>
      <w:r w:rsidRPr="00D10E3C">
        <w:rPr>
          <w:rStyle w:val="libFootnotenumChar"/>
          <w:rtl/>
        </w:rPr>
        <w:t>(5)</w:t>
      </w:r>
    </w:p>
    <w:p w:rsidR="00144FA6" w:rsidRDefault="00744A1C" w:rsidP="00744A1C">
      <w:pPr>
        <w:pStyle w:val="libNormal"/>
        <w:rPr>
          <w:rtl/>
          <w:lang w:bidi="fa-IR"/>
        </w:rPr>
      </w:pPr>
      <w:r>
        <w:rPr>
          <w:rtl/>
          <w:lang w:bidi="fa-IR"/>
        </w:rPr>
        <w:t>7767 / 4. عَلِيُّ بْنُ إِبْرَاهِيمَ ، عَنْ أَبِيهِ ، عَنْ مُحَمَّدِ بْنِ إِسْمَاعِيلَ :</w:t>
      </w:r>
    </w:p>
    <w:p w:rsidR="00144FA6" w:rsidRDefault="00744A1C" w:rsidP="00744A1C">
      <w:pPr>
        <w:pStyle w:val="libNormal"/>
        <w:rPr>
          <w:rtl/>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 الْحَرَكَةُ فِي وَادِي مُحَسِّرٍ مِائَةُ خُطْوَةٍ </w:t>
      </w:r>
      <w:r w:rsidRPr="00D10E3C">
        <w:rPr>
          <w:rStyle w:val="libFootnotenumChar"/>
          <w:rtl/>
        </w:rPr>
        <w:t>(6)</w:t>
      </w:r>
      <w:r>
        <w:rPr>
          <w:rtl/>
          <w:lang w:bidi="fa-IR"/>
        </w:rPr>
        <w:t xml:space="preserve"> ». </w:t>
      </w:r>
      <w:r w:rsidRPr="00D10E3C">
        <w:rPr>
          <w:rStyle w:val="libFootnotenumChar"/>
          <w:rtl/>
        </w:rPr>
        <w:t>(7)</w:t>
      </w:r>
    </w:p>
    <w:p w:rsidR="00144FA6" w:rsidRDefault="00744A1C" w:rsidP="00744A1C">
      <w:pPr>
        <w:pStyle w:val="libNormal"/>
        <w:rPr>
          <w:rtl/>
          <w:lang w:bidi="fa-IR"/>
        </w:rPr>
      </w:pPr>
      <w:r>
        <w:rPr>
          <w:rtl/>
          <w:lang w:bidi="fa-IR"/>
        </w:rPr>
        <w:t xml:space="preserve">7768 / 5. أَبُو عَلِيٍّ الْأَشْعَرِيُّ ، عَنْ مُحَمَّدِ بْنِ عَبْدِ الْجَبَّارِ ، عَنْ صَفْوَانَ بْنِ يَحْيى </w:t>
      </w:r>
      <w:r w:rsidRPr="00D10E3C">
        <w:rPr>
          <w:rStyle w:val="libFootnotenumChar"/>
          <w:rtl/>
        </w:rPr>
        <w:t>(8)</w:t>
      </w:r>
      <w:r>
        <w:rPr>
          <w:rtl/>
          <w:lang w:bidi="fa-IR"/>
        </w:rPr>
        <w:t xml:space="preserve"> ، عَنْ إِسْحَاقَ بْنِ عَمَّارٍ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(2).</w:t>
      </w:r>
      <w:r w:rsidR="00744A1C">
        <w:rPr>
          <w:rtl/>
          <w:lang w:bidi="fa-IR"/>
        </w:rPr>
        <w:t xml:space="preserve"> في « بف ، جر » : - « بن يحيى ».</w:t>
      </w:r>
    </w:p>
    <w:p w:rsidR="00744A1C" w:rsidRDefault="00E378DD" w:rsidP="00E378DD">
      <w:pPr>
        <w:pStyle w:val="libFootnote0"/>
        <w:rPr>
          <w:lang w:bidi="fa-IR"/>
        </w:rPr>
      </w:pPr>
      <w:r>
        <w:rPr>
          <w:rtl/>
          <w:lang w:bidi="fa-IR"/>
        </w:rPr>
        <w:t>(3).</w:t>
      </w:r>
      <w:r w:rsidR="00744A1C">
        <w:rPr>
          <w:rtl/>
          <w:lang w:bidi="fa-IR"/>
        </w:rPr>
        <w:t xml:space="preserve"> « جَمْعٌ » : علم للمزدلفة ، سمّيت به لاجتماع الناس فيها ، أو لأنّ آدم </w:t>
      </w:r>
      <w:r w:rsidR="0061079A" w:rsidRPr="0061079A">
        <w:rPr>
          <w:rStyle w:val="libFootnoteAlaemChar"/>
          <w:rtl/>
        </w:rPr>
        <w:t>عليه‌السلام</w:t>
      </w:r>
      <w:r w:rsidR="00D10E3C">
        <w:rPr>
          <w:rtl/>
          <w:lang w:bidi="fa-IR"/>
        </w:rPr>
        <w:t xml:space="preserve"> </w:t>
      </w:r>
      <w:r w:rsidR="00744A1C">
        <w:rPr>
          <w:rtl/>
          <w:lang w:bidi="fa-IR"/>
        </w:rPr>
        <w:t>وحوّاء ل</w:t>
      </w:r>
      <w:r w:rsidR="0055015C">
        <w:rPr>
          <w:rFonts w:hint="cs"/>
          <w:rtl/>
          <w:lang w:bidi="fa-IR"/>
        </w:rPr>
        <w:t>ـ</w:t>
      </w:r>
      <w:r w:rsidR="00744A1C">
        <w:rPr>
          <w:rtl/>
          <w:lang w:bidi="fa-IR"/>
        </w:rPr>
        <w:t>مّا ا</w:t>
      </w:r>
      <w:r w:rsidR="0055015C">
        <w:rPr>
          <w:rFonts w:hint="cs"/>
          <w:rtl/>
          <w:lang w:bidi="fa-IR"/>
        </w:rPr>
        <w:t>ُ</w:t>
      </w:r>
      <w:r w:rsidR="00CA1567">
        <w:rPr>
          <w:rtl/>
          <w:lang w:bidi="fa-IR"/>
        </w:rPr>
        <w:t>هبطا اجتمعا فيه. وقال‌العل</w:t>
      </w:r>
      <w:r w:rsidR="00CA1567">
        <w:rPr>
          <w:rFonts w:hint="cs"/>
          <w:rtl/>
          <w:lang w:bidi="fa-IR"/>
        </w:rPr>
        <w:t>ّ</w:t>
      </w:r>
      <w:r w:rsidR="00CA1567">
        <w:rPr>
          <w:rtl/>
          <w:lang w:bidi="fa-IR"/>
        </w:rPr>
        <w:t>ا</w:t>
      </w:r>
      <w:r w:rsidR="00744A1C">
        <w:rPr>
          <w:rtl/>
          <w:lang w:bidi="fa-IR"/>
        </w:rPr>
        <w:t xml:space="preserve">مة المجلسي : « إنّما سمّي المشعر الحرام جمعاً لاجتماع الناس فيه ، أو لأنّه يجمع فيه بين المغرب والعشاء بأذان وإقامتين ». راجع : </w:t>
      </w:r>
      <w:r w:rsidR="00744A1C" w:rsidRPr="00E978C3">
        <w:rPr>
          <w:rStyle w:val="libFootnoteBoldChar"/>
          <w:rtl/>
        </w:rPr>
        <w:t>الصحاح</w:t>
      </w:r>
      <w:r w:rsidR="00744A1C">
        <w:rPr>
          <w:rtl/>
          <w:lang w:bidi="fa-IR"/>
        </w:rPr>
        <w:t xml:space="preserve"> ، ج 3 ، ص 1198 ؛ </w:t>
      </w:r>
      <w:r w:rsidR="00744A1C" w:rsidRPr="00877682">
        <w:rPr>
          <w:rStyle w:val="libFootnoteBoldChar"/>
          <w:rtl/>
        </w:rPr>
        <w:t>النهاية</w:t>
      </w:r>
      <w:r w:rsidR="00744A1C">
        <w:rPr>
          <w:rtl/>
          <w:lang w:bidi="fa-IR"/>
        </w:rPr>
        <w:t xml:space="preserve"> ، ج 1 ، ص 296 ( جمع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يدلّ على أنّ الراكب يركض دابّته قليلاً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الفقيه</w:t>
      </w:r>
      <w:r w:rsidR="00744A1C">
        <w:rPr>
          <w:rtl/>
          <w:lang w:bidi="fa-IR"/>
        </w:rPr>
        <w:t xml:space="preserve"> ، ج 2 ، ص 468 ، ح 2987 ، معلّقاً عن معاوية بن عمّار ؛ </w:t>
      </w:r>
      <w:r w:rsidR="00744A1C" w:rsidRPr="00C24F9C">
        <w:rPr>
          <w:rStyle w:val="libFootnoteBoldChar"/>
          <w:rtl/>
        </w:rPr>
        <w:t>التهذيب</w:t>
      </w:r>
      <w:r w:rsidR="00744A1C">
        <w:rPr>
          <w:rtl/>
          <w:lang w:bidi="fa-IR"/>
        </w:rPr>
        <w:t xml:space="preserve"> ، ج 5 ، ص 192 ، ذيل ح 637 ، بسنده عن معاوية بن عمّار. </w:t>
      </w:r>
      <w:r w:rsidR="00744A1C" w:rsidRPr="00C24F9C">
        <w:rPr>
          <w:rStyle w:val="libFootnoteBoldChar"/>
          <w:rtl/>
        </w:rPr>
        <w:t>الفقيه</w:t>
      </w:r>
      <w:r w:rsidR="00744A1C">
        <w:rPr>
          <w:rtl/>
          <w:lang w:bidi="fa-IR"/>
        </w:rPr>
        <w:t xml:space="preserve"> ، ج 2 ، ص 546 ، من دون الإسناد إلى المعصوم </w:t>
      </w:r>
      <w:r w:rsidR="0061079A" w:rsidRPr="0061079A">
        <w:rPr>
          <w:rStyle w:val="libFootnoteAlaemChar"/>
          <w:rtl/>
        </w:rPr>
        <w:t>عليه‌السلام</w:t>
      </w:r>
      <w:r w:rsidR="00D10E3C">
        <w:rPr>
          <w:rtl/>
          <w:lang w:bidi="fa-IR"/>
        </w:rPr>
        <w:t xml:space="preserve"> </w:t>
      </w:r>
      <w:r w:rsidR="00CA1567">
        <w:rPr>
          <w:rFonts w:hint="cs"/>
          <w:rtl/>
          <w:lang w:bidi="fa-IR"/>
        </w:rPr>
        <w:t>.</w:t>
      </w:r>
      <w:r w:rsidR="00744A1C" w:rsidRPr="00C24F9C">
        <w:rPr>
          <w:rStyle w:val="libFootnoteBoldChar"/>
          <w:rtl/>
        </w:rPr>
        <w:t>الوافي</w:t>
      </w:r>
      <w:r w:rsidR="00744A1C">
        <w:rPr>
          <w:rtl/>
          <w:lang w:bidi="fa-IR"/>
        </w:rPr>
        <w:t xml:space="preserve"> ، ج 13 ، ص 1053 ، ح 13721 ؛ </w:t>
      </w:r>
      <w:r w:rsidR="00744A1C" w:rsidRPr="00C24F9C">
        <w:rPr>
          <w:rStyle w:val="libFootnoteBoldChar"/>
          <w:rtl/>
        </w:rPr>
        <w:t>الوسائل</w:t>
      </w:r>
      <w:r w:rsidR="00744A1C">
        <w:rPr>
          <w:rtl/>
          <w:lang w:bidi="fa-IR"/>
        </w:rPr>
        <w:t xml:space="preserve"> ، ج 14 ، ص 22 ، ذيل ح 18492.</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ظاهره يدلّ على أنّ طول وادي محسّر مائة خطوة ».</w:t>
      </w:r>
    </w:p>
    <w:p w:rsidR="00744A1C" w:rsidRDefault="00E378DD" w:rsidP="00275529">
      <w:pPr>
        <w:pStyle w:val="libFootnote0"/>
        <w:rPr>
          <w:lang w:bidi="fa-IR"/>
        </w:rPr>
      </w:pPr>
      <w:r>
        <w:rPr>
          <w:rtl/>
          <w:lang w:bidi="fa-IR"/>
        </w:rPr>
        <w:t>(7).</w:t>
      </w:r>
      <w:r w:rsidR="00744A1C">
        <w:rPr>
          <w:rtl/>
          <w:lang w:bidi="fa-IR"/>
        </w:rPr>
        <w:t xml:space="preserve"> </w:t>
      </w:r>
      <w:r w:rsidR="00744A1C" w:rsidRPr="00C24F9C">
        <w:rPr>
          <w:rStyle w:val="libFootnoteBoldChar"/>
          <w:rtl/>
        </w:rPr>
        <w:t>الفقيه</w:t>
      </w:r>
      <w:r w:rsidR="00744A1C">
        <w:rPr>
          <w:rtl/>
          <w:lang w:bidi="fa-IR"/>
        </w:rPr>
        <w:t xml:space="preserve"> ، ج 2 ، ص 468 ، ح 2988 ، معلّقاً عن محمّد بن إسماعيل. </w:t>
      </w:r>
      <w:r w:rsidR="00744A1C" w:rsidRPr="00C24F9C">
        <w:rPr>
          <w:rStyle w:val="libFootnoteBoldChar"/>
          <w:rtl/>
        </w:rPr>
        <w:t>الفقيه</w:t>
      </w:r>
      <w:r w:rsidR="00744A1C">
        <w:rPr>
          <w:rtl/>
          <w:lang w:bidi="fa-IR"/>
        </w:rPr>
        <w:t xml:space="preserve"> ، ج 2 ، ص 547 ، من دون الإسناد إلى المعصوم </w:t>
      </w:r>
      <w:r w:rsidR="0061079A" w:rsidRPr="0061079A">
        <w:rPr>
          <w:rStyle w:val="libFootnoteAlaemChar"/>
          <w:rtl/>
        </w:rPr>
        <w:t>عليه‌السلام</w:t>
      </w:r>
      <w:r w:rsidR="00744A1C">
        <w:rPr>
          <w:rtl/>
          <w:lang w:bidi="fa-IR"/>
        </w:rPr>
        <w:t xml:space="preserve">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224 ، وفي الأخيرين مع اختلاف يسير </w:t>
      </w:r>
      <w:r w:rsidR="00275529">
        <w:rPr>
          <w:rFonts w:hint="cs"/>
          <w:rtl/>
          <w:lang w:bidi="fa-IR"/>
        </w:rPr>
        <w:t>.</w:t>
      </w:r>
      <w:r w:rsidR="00744A1C" w:rsidRPr="00C24F9C">
        <w:rPr>
          <w:rStyle w:val="libFootnoteBoldChar"/>
          <w:rtl/>
        </w:rPr>
        <w:t>الوافي</w:t>
      </w:r>
      <w:r w:rsidR="00744A1C">
        <w:rPr>
          <w:rtl/>
          <w:lang w:bidi="fa-IR"/>
        </w:rPr>
        <w:t xml:space="preserve"> ، ج 13 ، ص 1055 ، ح 13728 ؛ </w:t>
      </w:r>
      <w:r w:rsidR="00744A1C" w:rsidRPr="00C24F9C">
        <w:rPr>
          <w:rStyle w:val="libFootnoteBoldChar"/>
          <w:rtl/>
        </w:rPr>
        <w:t>الوسائل</w:t>
      </w:r>
      <w:r w:rsidR="00744A1C">
        <w:rPr>
          <w:rtl/>
          <w:lang w:bidi="fa-IR"/>
        </w:rPr>
        <w:t xml:space="preserve"> ، ج 14 ، ص 23 ، ح 18493.</w:t>
      </w:r>
      <w:r w:rsidR="00744A1C">
        <w:rPr>
          <w:lang w:bidi="fa-IR"/>
        </w:rPr>
        <w:cr/>
      </w:r>
      <w:r>
        <w:rPr>
          <w:rtl/>
          <w:lang w:bidi="fa-IR"/>
        </w:rPr>
        <w:t>(8).</w:t>
      </w:r>
      <w:r w:rsidR="00744A1C">
        <w:rPr>
          <w:rtl/>
          <w:lang w:bidi="fa-IR"/>
        </w:rPr>
        <w:t xml:space="preserve"> في « بف ، جر » : - « بن يحيى ».</w:t>
      </w:r>
    </w:p>
    <w:p w:rsidR="00A55A65" w:rsidRDefault="00A55A65"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سَأَلْتُهُ </w:t>
      </w:r>
      <w:r w:rsidRPr="00D10E3C">
        <w:rPr>
          <w:rStyle w:val="libFootnotenumChar"/>
          <w:rtl/>
        </w:rPr>
        <w:t>(1)</w:t>
      </w:r>
      <w:r>
        <w:rPr>
          <w:rtl/>
          <w:lang w:bidi="fa-IR"/>
        </w:rPr>
        <w:t xml:space="preserve"> عَنْ حَدِّ جَمْعٍ؟</w:t>
      </w:r>
    </w:p>
    <w:p w:rsidR="00144FA6" w:rsidRDefault="00744A1C" w:rsidP="00744A1C">
      <w:pPr>
        <w:pStyle w:val="libNormal"/>
        <w:rPr>
          <w:rtl/>
          <w:lang w:bidi="fa-IR"/>
        </w:rPr>
      </w:pPr>
      <w:r>
        <w:rPr>
          <w:rtl/>
          <w:lang w:bidi="fa-IR"/>
        </w:rPr>
        <w:t xml:space="preserve">قَالَ </w:t>
      </w:r>
      <w:r w:rsidRPr="00D10E3C">
        <w:rPr>
          <w:rStyle w:val="libFootnotenumChar"/>
          <w:rtl/>
        </w:rPr>
        <w:t>(2)</w:t>
      </w:r>
      <w:r>
        <w:rPr>
          <w:rtl/>
          <w:lang w:bidi="fa-IR"/>
        </w:rPr>
        <w:t xml:space="preserve"> : « مَا بَيْنَ الْمَأْزِمَيْنِ </w:t>
      </w:r>
      <w:r w:rsidRPr="00D10E3C">
        <w:rPr>
          <w:rStyle w:val="libFootnotenumChar"/>
          <w:rtl/>
        </w:rPr>
        <w:t>(3)</w:t>
      </w:r>
      <w:r>
        <w:rPr>
          <w:rtl/>
          <w:lang w:bidi="fa-IR"/>
        </w:rPr>
        <w:t xml:space="preserve"> إِلى وَادِي مُحَسِّرٍ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 xml:space="preserve">7769 / 6. مُحَمَّدُ بْنُ يَحْيى وَغَيْرُهُ ، عَنْ أَحْمَدَ بْنِ مُحَمَّدٍ ، عَنْ </w:t>
      </w:r>
      <w:r w:rsidRPr="00D10E3C">
        <w:rPr>
          <w:rStyle w:val="libFootnotenumChar"/>
          <w:rtl/>
        </w:rPr>
        <w:t>(6)</w:t>
      </w:r>
      <w:r>
        <w:rPr>
          <w:rtl/>
          <w:lang w:bidi="fa-IR"/>
        </w:rPr>
        <w:t xml:space="preserve"> مُحَمَّدِ بْنِ إِسْمَاعِيلَ ، عَنْ عَلِيِّ بْنِ النُّعْمَانِ ، عَنْ عَبْدِ اللهِ بْنِ مُسْكَانَ ، عَنْ أَبِي بَصِيرٍ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حَدُّ الْمُزْدَلِفَةِ </w:t>
      </w:r>
      <w:r w:rsidRPr="00D10E3C">
        <w:rPr>
          <w:rStyle w:val="libFootnotenumChar"/>
          <w:rtl/>
        </w:rPr>
        <w:t>(7)</w:t>
      </w:r>
      <w:r>
        <w:rPr>
          <w:rtl/>
          <w:lang w:bidi="fa-IR"/>
        </w:rPr>
        <w:t xml:space="preserve"> مِنْ </w:t>
      </w:r>
      <w:r w:rsidRPr="00D10E3C">
        <w:rPr>
          <w:rStyle w:val="libFootnotenumChar"/>
          <w:rtl/>
        </w:rPr>
        <w:t>(8)</w:t>
      </w:r>
      <w:r>
        <w:rPr>
          <w:rtl/>
          <w:lang w:bidi="fa-IR"/>
        </w:rPr>
        <w:t xml:space="preserve"> مُحَسِّرٍ إِلَى الْمَأْزِمَيْنِ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جد ، جر » و</w:t>
      </w:r>
      <w:r w:rsidR="00744A1C" w:rsidRPr="00C24F9C">
        <w:rPr>
          <w:rStyle w:val="libFootnoteBoldChar"/>
          <w:rtl/>
        </w:rPr>
        <w:t>الوافي</w:t>
      </w:r>
      <w:r w:rsidR="00744A1C">
        <w:rPr>
          <w:rtl/>
          <w:lang w:bidi="fa-IR"/>
        </w:rPr>
        <w:t xml:space="preserve"> : « قال : سألت أبا الحسن صلوات الله عليه » بدل « عن أبي الحسن </w:t>
      </w:r>
      <w:r w:rsidR="0061079A" w:rsidRPr="0061079A">
        <w:rPr>
          <w:rStyle w:val="libFootnoteAlaemChar"/>
          <w:rtl/>
        </w:rPr>
        <w:t>عليه‌السلام</w:t>
      </w:r>
      <w:r>
        <w:rPr>
          <w:rtl/>
          <w:lang w:bidi="fa-IR"/>
        </w:rPr>
        <w:t xml:space="preserve"> </w:t>
      </w:r>
      <w:r w:rsidR="00744A1C">
        <w:rPr>
          <w:rtl/>
          <w:lang w:bidi="fa-IR"/>
        </w:rPr>
        <w:t>قال : سألته ».</w:t>
      </w:r>
    </w:p>
    <w:p w:rsidR="00744A1C" w:rsidRDefault="00E378DD" w:rsidP="00E378DD">
      <w:pPr>
        <w:pStyle w:val="libFootnote0"/>
        <w:rPr>
          <w:lang w:bidi="fa-IR"/>
        </w:rPr>
      </w:pPr>
      <w:r>
        <w:rPr>
          <w:rtl/>
          <w:lang w:bidi="fa-IR"/>
        </w:rPr>
        <w:t>(2).</w:t>
      </w:r>
      <w:r w:rsidR="00744A1C">
        <w:rPr>
          <w:rtl/>
          <w:lang w:bidi="fa-IR"/>
        </w:rPr>
        <w:t xml:space="preserve"> في « بح ، بس ، بف ، جد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 فقال ».</w:t>
      </w:r>
    </w:p>
    <w:p w:rsidR="00744A1C" w:rsidRDefault="00E378DD" w:rsidP="00E378DD">
      <w:pPr>
        <w:pStyle w:val="libFootnote0"/>
        <w:rPr>
          <w:lang w:bidi="fa-IR"/>
        </w:rPr>
      </w:pPr>
      <w:r>
        <w:rPr>
          <w:rtl/>
          <w:lang w:bidi="fa-IR"/>
        </w:rPr>
        <w:t>(3).</w:t>
      </w:r>
      <w:r w:rsidR="00744A1C">
        <w:rPr>
          <w:rtl/>
          <w:lang w:bidi="fa-IR"/>
        </w:rPr>
        <w:t xml:space="preserve"> المأزم ، وزان مسجد : كلّ طريق ضيّق بين جبلين ، ومنه قيل لموضع الحرب : مأزم ؛ لضيق المجال وعسر الخلاص منه ، ومنه سمّي الموضع الذي بين</w:t>
      </w:r>
      <w:r w:rsidR="00511737">
        <w:rPr>
          <w:rtl/>
          <w:lang w:bidi="fa-IR"/>
        </w:rPr>
        <w:t xml:space="preserve"> عرفة والمشعر مأزمين. قال العل</w:t>
      </w:r>
      <w:r w:rsidR="00511737">
        <w:rPr>
          <w:rFonts w:hint="cs"/>
          <w:rtl/>
          <w:lang w:bidi="fa-IR"/>
        </w:rPr>
        <w:t>ّ</w:t>
      </w:r>
      <w:r w:rsidR="00511737">
        <w:rPr>
          <w:rtl/>
          <w:lang w:bidi="fa-IR"/>
        </w:rPr>
        <w:t>ا</w:t>
      </w:r>
      <w:r w:rsidR="00744A1C">
        <w:rPr>
          <w:rtl/>
          <w:lang w:bidi="fa-IR"/>
        </w:rPr>
        <w:t xml:space="preserve">مة الفيض : « مأزما عرفة : مضيق بين عرفة والمزدلفة بين جبلين ، ويقال : المأزم ، كما مرّ ، والتثنية باعتبار طرفيه ». راجع : </w:t>
      </w:r>
      <w:r w:rsidR="00744A1C" w:rsidRPr="00E978C3">
        <w:rPr>
          <w:rStyle w:val="libFootnoteBoldChar"/>
          <w:rtl/>
        </w:rPr>
        <w:t>الصحاح</w:t>
      </w:r>
      <w:r w:rsidR="00744A1C">
        <w:rPr>
          <w:rtl/>
          <w:lang w:bidi="fa-IR"/>
        </w:rPr>
        <w:t xml:space="preserve"> ، ج 5 ، ص 1861 ؛ </w:t>
      </w:r>
      <w:r w:rsidR="00744A1C" w:rsidRPr="00E978C3">
        <w:rPr>
          <w:rStyle w:val="libFootnoteBoldChar"/>
          <w:rtl/>
        </w:rPr>
        <w:t>المصباح المنير</w:t>
      </w:r>
      <w:r w:rsidR="00744A1C">
        <w:rPr>
          <w:rtl/>
          <w:lang w:bidi="fa-IR"/>
        </w:rPr>
        <w:t xml:space="preserve"> ، ص 13 ؛ </w:t>
      </w:r>
      <w:r w:rsidR="00744A1C" w:rsidRPr="008A57EB">
        <w:rPr>
          <w:rStyle w:val="libFootnoteBoldChar"/>
          <w:rtl/>
        </w:rPr>
        <w:t>القاموس المحيط</w:t>
      </w:r>
      <w:r w:rsidR="00744A1C">
        <w:rPr>
          <w:rtl/>
          <w:lang w:bidi="fa-IR"/>
        </w:rPr>
        <w:t xml:space="preserve"> ، ج 2 ، ص 1419 ( أزم ) ؛ </w:t>
      </w:r>
      <w:r w:rsidR="00744A1C" w:rsidRPr="00C24F9C">
        <w:rPr>
          <w:rStyle w:val="libFootnoteBoldChar"/>
          <w:rtl/>
        </w:rPr>
        <w:t>الوافي</w:t>
      </w:r>
      <w:r w:rsidR="00744A1C">
        <w:rPr>
          <w:rtl/>
          <w:lang w:bidi="fa-IR"/>
        </w:rPr>
        <w:t xml:space="preserve"> ، ج 13 ، ص 1041.</w:t>
      </w:r>
    </w:p>
    <w:p w:rsidR="00EE5E45" w:rsidRDefault="00E378DD" w:rsidP="00511737">
      <w:pPr>
        <w:pStyle w:val="libFootnote0"/>
        <w:rPr>
          <w:rtl/>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التحديد المذكور فيه إجماعي ». وعن المحقّق الشعراني في هامش </w:t>
      </w:r>
      <w:r w:rsidR="00744A1C" w:rsidRPr="00C24F9C">
        <w:rPr>
          <w:rStyle w:val="libFootnoteBoldChar"/>
          <w:rtl/>
        </w:rPr>
        <w:t>الوافي</w:t>
      </w:r>
      <w:r w:rsidR="00744A1C">
        <w:rPr>
          <w:rtl/>
          <w:lang w:bidi="fa-IR"/>
        </w:rPr>
        <w:t xml:space="preserve"> : « قوله : إلى وادي محسّر ، هذا الوادي من جهة الإفاضة في حكم المزدلفة بمعنى أنّه يجوز الخروج من المشعر قبل طلوع الشمس اختياراً بشرط</w:t>
      </w:r>
      <w:r w:rsidR="00511737">
        <w:rPr>
          <w:rtl/>
          <w:lang w:bidi="fa-IR"/>
        </w:rPr>
        <w:t xml:space="preserve"> أن لا يتجاوز عن وادي محسّر إل</w:t>
      </w:r>
      <w:r w:rsidR="00511737">
        <w:rPr>
          <w:rFonts w:hint="cs"/>
          <w:rtl/>
          <w:lang w:bidi="fa-IR"/>
        </w:rPr>
        <w:t>ّ</w:t>
      </w:r>
      <w:r w:rsidR="00511737">
        <w:rPr>
          <w:rtl/>
          <w:lang w:bidi="fa-IR"/>
        </w:rPr>
        <w:t>ا</w:t>
      </w:r>
      <w:r w:rsidR="00744A1C">
        <w:rPr>
          <w:rtl/>
          <w:lang w:bidi="fa-IR"/>
        </w:rPr>
        <w:t>بعد الطلوع إن فرضنا كون الوقوف إلى طلوع الشمس واجباً ، ولكنّ الصحيح عدم وجوب ذلك ، بل يجوز الإفاضة من المشعر بعد الفجر بلحظة فيأتي منى ويصلّي الصبح بمنى ».</w:t>
      </w:r>
    </w:p>
    <w:p w:rsidR="00744A1C" w:rsidRDefault="00E378DD" w:rsidP="00511737">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13 ، ص 1049 ، ح 13710 ؛ </w:t>
      </w:r>
      <w:r w:rsidR="00744A1C" w:rsidRPr="00C24F9C">
        <w:rPr>
          <w:rStyle w:val="libFootnoteBoldChar"/>
          <w:rtl/>
        </w:rPr>
        <w:t>الوسائل</w:t>
      </w:r>
      <w:r w:rsidR="00744A1C">
        <w:rPr>
          <w:rtl/>
          <w:lang w:bidi="fa-IR"/>
        </w:rPr>
        <w:t xml:space="preserve"> ، ج 14 ، ص 18 ، ح 18482.</w:t>
      </w:r>
    </w:p>
    <w:p w:rsidR="00744A1C" w:rsidRDefault="00E378DD" w:rsidP="00E378DD">
      <w:pPr>
        <w:pStyle w:val="libFootnote0"/>
        <w:rPr>
          <w:lang w:bidi="fa-IR"/>
        </w:rPr>
      </w:pPr>
      <w:r>
        <w:rPr>
          <w:rtl/>
          <w:lang w:bidi="fa-IR"/>
        </w:rPr>
        <w:t>(6).</w:t>
      </w:r>
      <w:r w:rsidR="00744A1C">
        <w:rPr>
          <w:rtl/>
          <w:lang w:bidi="fa-IR"/>
        </w:rPr>
        <w:t xml:space="preserve"> هكذا في « جر » و</w:t>
      </w:r>
      <w:r w:rsidR="00744A1C" w:rsidRPr="00C24F9C">
        <w:rPr>
          <w:rStyle w:val="libFootnoteBoldChar"/>
          <w:rtl/>
        </w:rPr>
        <w:t>الوافي</w:t>
      </w:r>
      <w:r w:rsidR="00744A1C">
        <w:rPr>
          <w:rtl/>
          <w:lang w:bidi="fa-IR"/>
        </w:rPr>
        <w:t>. وفي « ى ، بث ، بح ، بخ ، بس ، بف ، جد ، جن » والمطبوع و</w:t>
      </w:r>
      <w:r w:rsidR="00744A1C" w:rsidRPr="00C24F9C">
        <w:rPr>
          <w:rStyle w:val="libFootnoteBoldChar"/>
          <w:rtl/>
        </w:rPr>
        <w:t>الوسائل</w:t>
      </w:r>
      <w:r w:rsidR="00744A1C">
        <w:rPr>
          <w:rtl/>
          <w:lang w:bidi="fa-IR"/>
        </w:rPr>
        <w:t xml:space="preserve"> : « و» بدل « عن ». وما ا</w:t>
      </w:r>
      <w:r w:rsidR="008E6B89">
        <w:rPr>
          <w:rFonts w:hint="cs"/>
          <w:rtl/>
          <w:lang w:bidi="fa-IR"/>
        </w:rPr>
        <w:t>ُ</w:t>
      </w:r>
      <w:r w:rsidR="00744A1C">
        <w:rPr>
          <w:rtl/>
          <w:lang w:bidi="fa-IR"/>
        </w:rPr>
        <w:t xml:space="preserve">ثبتناه هو الظاهر ؛ فإنّ المراد من محمّد بن إسماعيل الراوي عن عليّ بن النعمان هو ابن بزيع ، ورواية محمّد بن يحيى عنه - كما هو مقتضي ما ورد في المطبوع وأكثر النسخ - غير معهودة. والمتكرّر في كثيرٍ من الأسناد رواية محمّد بن يحيى ، عن أحمد بن محمّد [ بن عيسى ] ، عن محمّد بن إسماعيل [ بن بزيع ]. راجع : </w:t>
      </w:r>
      <w:r w:rsidR="00744A1C" w:rsidRPr="0061079A">
        <w:rPr>
          <w:rStyle w:val="libFootnoteBoldChar"/>
          <w:rtl/>
        </w:rPr>
        <w:t>معجم رجال الحديث</w:t>
      </w:r>
      <w:r w:rsidR="00744A1C">
        <w:rPr>
          <w:rtl/>
          <w:lang w:bidi="fa-IR"/>
        </w:rPr>
        <w:t xml:space="preserve"> ، ج 2 ، ص 557 - 560 ؛ وص 690 - 692.</w:t>
      </w:r>
    </w:p>
    <w:tbl>
      <w:tblPr>
        <w:tblStyle w:val="TableGrid"/>
        <w:bidiVisual/>
        <w:tblW w:w="0" w:type="auto"/>
        <w:tblLook w:val="04A0" w:firstRow="1" w:lastRow="0" w:firstColumn="1" w:lastColumn="0" w:noHBand="0" w:noVBand="1"/>
      </w:tblPr>
      <w:tblGrid>
        <w:gridCol w:w="4006"/>
        <w:gridCol w:w="4006"/>
      </w:tblGrid>
      <w:tr w:rsidR="008E6B89" w:rsidTr="008E6B89">
        <w:tc>
          <w:tcPr>
            <w:tcW w:w="4006" w:type="dxa"/>
          </w:tcPr>
          <w:p w:rsidR="008E6B89" w:rsidRDefault="008E6B89" w:rsidP="00E378DD">
            <w:pPr>
              <w:pStyle w:val="libFootnote0"/>
              <w:rPr>
                <w:rtl/>
                <w:lang w:bidi="fa-IR"/>
              </w:rPr>
            </w:pPr>
            <w:r>
              <w:rPr>
                <w:rtl/>
                <w:lang w:bidi="fa-IR"/>
              </w:rPr>
              <w:t>(7). في « بخ ، بف » : « مزدلفة ».</w:t>
            </w:r>
          </w:p>
        </w:tc>
        <w:tc>
          <w:tcPr>
            <w:tcW w:w="4006" w:type="dxa"/>
          </w:tcPr>
          <w:p w:rsidR="008E6B89" w:rsidRDefault="008E6B89" w:rsidP="00E378DD">
            <w:pPr>
              <w:pStyle w:val="libFootnote0"/>
              <w:rPr>
                <w:rtl/>
                <w:lang w:bidi="fa-IR"/>
              </w:rPr>
            </w:pPr>
            <w:r>
              <w:rPr>
                <w:rtl/>
                <w:lang w:bidi="fa-IR"/>
              </w:rPr>
              <w:t xml:space="preserve">(8). في </w:t>
            </w:r>
            <w:r w:rsidRPr="00C24F9C">
              <w:rPr>
                <w:rStyle w:val="libFootnoteBoldChar"/>
                <w:rtl/>
              </w:rPr>
              <w:t>الوسائل</w:t>
            </w:r>
            <w:r>
              <w:rPr>
                <w:rtl/>
                <w:lang w:bidi="fa-IR"/>
              </w:rPr>
              <w:t xml:space="preserve"> : + « وادي ».</w:t>
            </w:r>
          </w:p>
        </w:tc>
      </w:tr>
    </w:tbl>
    <w:p w:rsidR="00744A1C" w:rsidRDefault="00E378DD" w:rsidP="00E378DD">
      <w:pPr>
        <w:pStyle w:val="libFootnote0"/>
        <w:rPr>
          <w:lang w:bidi="fa-IR"/>
        </w:rPr>
      </w:pPr>
      <w:r>
        <w:rPr>
          <w:rtl/>
          <w:lang w:bidi="fa-IR"/>
        </w:rPr>
        <w:t>(9).</w:t>
      </w:r>
      <w:r w:rsidR="00744A1C">
        <w:rPr>
          <w:rtl/>
          <w:lang w:bidi="fa-IR"/>
        </w:rPr>
        <w:t xml:space="preserve"> في هامش </w:t>
      </w:r>
      <w:r w:rsidR="00744A1C" w:rsidRPr="00C24F9C">
        <w:rPr>
          <w:rStyle w:val="libFootnoteBoldChar"/>
          <w:rtl/>
        </w:rPr>
        <w:t>الوافي</w:t>
      </w:r>
      <w:r w:rsidR="00744A1C">
        <w:rPr>
          <w:rtl/>
          <w:lang w:bidi="fa-IR"/>
        </w:rPr>
        <w:t xml:space="preserve"> عن ابن المصنّف : « المستفاد من هذا الخبر أنّ المشعر الحرام هو المزدلفة بعينها ، وقد مضى في الباب السابق ما يدلّ على أنّه أخصّ منها ، والشيخ صرّح باتّحادهما ، حيث قال في المبسوط : المزدلفة تسمّى المشعر الحرام ، وتسمّى أيضاً جمعاً ، وحدّه ما بين المأزمين إلى الحياض إلى وادي محس</w:t>
      </w:r>
      <w:r w:rsidR="00016B59">
        <w:rPr>
          <w:rtl/>
          <w:lang w:bidi="fa-IR"/>
        </w:rPr>
        <w:t>ّر ، قال : ولا ينبغي أن يقف إل</w:t>
      </w:r>
      <w:r w:rsidR="00016B59">
        <w:rPr>
          <w:rFonts w:hint="cs"/>
          <w:rtl/>
          <w:lang w:bidi="fa-IR"/>
        </w:rPr>
        <w:t>ّ</w:t>
      </w:r>
      <w:r w:rsidR="00016B59">
        <w:rPr>
          <w:rtl/>
          <w:lang w:bidi="fa-IR"/>
        </w:rPr>
        <w:t>ا</w:t>
      </w:r>
      <w:r w:rsidR="00744A1C">
        <w:rPr>
          <w:rtl/>
          <w:lang w:bidi="fa-IR"/>
        </w:rPr>
        <w:t>في ما بين ذلك ، فإن ضاق عليه الموضع جاز أن يرتفع إلى الجبل ». وراجع : المبسوط ، ج 1 ، ص 367.</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5 ، ص 190 ، ذيل ح 634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فيه : « حدّها ما بين </w:t>
      </w:r>
      <w:r w:rsidR="00016B59">
        <w:rPr>
          <w:rFonts w:hint="cs"/>
          <w:rtl/>
          <w:lang w:bidi="fa-IR"/>
        </w:rPr>
        <w:t>=</w:t>
      </w:r>
    </w:p>
    <w:p w:rsidR="00A55A65" w:rsidRDefault="00A55A65" w:rsidP="00D10E3C">
      <w:pPr>
        <w:pStyle w:val="libNormal"/>
        <w:rPr>
          <w:rtl/>
          <w:lang w:bidi="fa-IR"/>
        </w:rPr>
      </w:pPr>
      <w:r>
        <w:rPr>
          <w:rtl/>
          <w:lang w:bidi="fa-IR"/>
        </w:rPr>
        <w:br w:type="page"/>
      </w:r>
    </w:p>
    <w:p w:rsidR="00C25EA6" w:rsidRDefault="00744A1C" w:rsidP="00C25EA6">
      <w:pPr>
        <w:pStyle w:val="libNormal"/>
        <w:rPr>
          <w:rtl/>
          <w:lang w:bidi="fa-IR"/>
        </w:rPr>
      </w:pPr>
      <w:r>
        <w:rPr>
          <w:rtl/>
          <w:lang w:bidi="fa-IR"/>
        </w:rPr>
        <w:lastRenderedPageBreak/>
        <w:t>7770 / 7. مُحَمَّدُ بْنُ يَحْيى ، عَنْ مُحَمَّدِ بْنِ الْحُسَيْنِ ؛</w:t>
      </w:r>
    </w:p>
    <w:p w:rsidR="00144FA6" w:rsidRDefault="00C25EA6" w:rsidP="00C25EA6">
      <w:pPr>
        <w:pStyle w:val="libNormal"/>
        <w:rPr>
          <w:rtl/>
          <w:lang w:bidi="fa-IR"/>
        </w:rPr>
      </w:pPr>
      <w:r>
        <w:rPr>
          <w:rFonts w:hint="cs"/>
          <w:rtl/>
          <w:lang w:bidi="fa-IR"/>
        </w:rPr>
        <w:t xml:space="preserve">               </w:t>
      </w:r>
      <w:r w:rsidR="00744A1C">
        <w:rPr>
          <w:rtl/>
          <w:lang w:bidi="fa-IR"/>
        </w:rPr>
        <w:t xml:space="preserve">وَعِدَّةٌ مِنْ أَصْحَابِنَا ، عَنْ سَهْلِ بْنِ زِيَادٍ جَمِيعاً ، عَنِ ابْنِ أَبِي نَصْرٍ ، عَنْ سَمَاعَةَ </w:t>
      </w:r>
      <w:r w:rsidR="00744A1C" w:rsidRPr="00D10E3C">
        <w:rPr>
          <w:rStyle w:val="libFootnotenumChar"/>
          <w:rtl/>
        </w:rPr>
        <w:t>(1)</w:t>
      </w:r>
      <w:r w:rsidR="00744A1C">
        <w:rPr>
          <w:rtl/>
          <w:lang w:bidi="fa-IR"/>
        </w:rPr>
        <w:t xml:space="preserve">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إِذَا كَثُرَ النَّاسُ بِجَمْعٍ ، وَضَاقَتْ عَلَيْهِمْ كَيْفَ يَصْنَعُونَ؟</w:t>
      </w:r>
    </w:p>
    <w:p w:rsidR="00144FA6" w:rsidRDefault="00744A1C" w:rsidP="00744A1C">
      <w:pPr>
        <w:pStyle w:val="libNormal"/>
        <w:rPr>
          <w:rtl/>
          <w:lang w:bidi="fa-IR"/>
        </w:rPr>
      </w:pPr>
      <w:r>
        <w:rPr>
          <w:rtl/>
          <w:lang w:bidi="fa-IR"/>
        </w:rPr>
        <w:t xml:space="preserve">قَالَ : « يَرْتَفِعُونَ إِلَى الْمَأْزِمَيْنِ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7771 / 8. أَحْمَدُ بْنُ مُحَمَّدٍ الْعَاصِمِيُّ ، عَنْ عَلِيِّ بْنِ الْحَسَنِ التَّيْمُلِيِّ </w:t>
      </w:r>
      <w:r w:rsidRPr="00D10E3C">
        <w:rPr>
          <w:rStyle w:val="libFootnotenumChar"/>
          <w:rtl/>
        </w:rPr>
        <w:t>(4)</w:t>
      </w:r>
      <w:r>
        <w:rPr>
          <w:rtl/>
          <w:lang w:bidi="fa-IR"/>
        </w:rPr>
        <w:t xml:space="preserve"> ، عَنْ عَمْرِو بْنِ عُثْمَانَ الْأَزْدِيِّ ، عَنْ مُحَمَّدِ بْنِ عُذَافِرٍ ، عَنْ عُمَرَ بْنِ يَزِيدَ ، قَالَ :</w:t>
      </w:r>
    </w:p>
    <w:p w:rsidR="00744A1C" w:rsidRDefault="00744A1C" w:rsidP="00D10E3C">
      <w:pPr>
        <w:pStyle w:val="libLine"/>
        <w:rPr>
          <w:lang w:bidi="fa-IR"/>
        </w:rPr>
      </w:pPr>
      <w:r>
        <w:rPr>
          <w:rtl/>
          <w:lang w:bidi="fa-IR"/>
        </w:rPr>
        <w:t>____________________</w:t>
      </w:r>
    </w:p>
    <w:p w:rsidR="00744A1C" w:rsidRDefault="00C25EA6" w:rsidP="00D10E3C">
      <w:pPr>
        <w:pStyle w:val="libFootnote0"/>
        <w:rPr>
          <w:lang w:bidi="fa-IR"/>
        </w:rPr>
      </w:pPr>
      <w:r>
        <w:rPr>
          <w:rFonts w:hint="cs"/>
          <w:rtl/>
          <w:lang w:bidi="fa-IR"/>
        </w:rPr>
        <w:t xml:space="preserve">= </w:t>
      </w:r>
      <w:r w:rsidR="00744A1C">
        <w:rPr>
          <w:rtl/>
          <w:lang w:bidi="fa-IR"/>
        </w:rPr>
        <w:t xml:space="preserve">المأزمين إلى الجبل إلى حياض محسّر » </w:t>
      </w:r>
      <w:r w:rsidR="005A53B9">
        <w:rPr>
          <w:rFonts w:hint="cs"/>
          <w:rtl/>
          <w:lang w:bidi="fa-IR"/>
        </w:rPr>
        <w:t>.</w:t>
      </w:r>
      <w:r w:rsidR="00744A1C" w:rsidRPr="00C24F9C">
        <w:rPr>
          <w:rStyle w:val="libFootnoteBoldChar"/>
          <w:rtl/>
        </w:rPr>
        <w:t>الوافي</w:t>
      </w:r>
      <w:r w:rsidR="00744A1C">
        <w:rPr>
          <w:rtl/>
          <w:lang w:bidi="fa-IR"/>
        </w:rPr>
        <w:t xml:space="preserve"> ، ج 13 ، ص 1049 ، ح 13711 ؛ </w:t>
      </w:r>
      <w:r w:rsidR="00744A1C" w:rsidRPr="00C24F9C">
        <w:rPr>
          <w:rStyle w:val="libFootnoteBoldChar"/>
          <w:rtl/>
        </w:rPr>
        <w:t>الوسائل</w:t>
      </w:r>
      <w:r w:rsidR="00744A1C">
        <w:rPr>
          <w:rtl/>
          <w:lang w:bidi="fa-IR"/>
        </w:rPr>
        <w:t xml:space="preserve"> ، ج 14 ، ص 18 ، ح 18481.</w:t>
      </w:r>
    </w:p>
    <w:p w:rsidR="00744A1C" w:rsidRDefault="00D10E3C" w:rsidP="00D10E3C">
      <w:pPr>
        <w:pStyle w:val="libFootnote0"/>
        <w:rPr>
          <w:lang w:bidi="fa-IR"/>
        </w:rPr>
      </w:pPr>
      <w:r>
        <w:rPr>
          <w:rtl/>
          <w:lang w:bidi="fa-IR"/>
        </w:rPr>
        <w:t>(1).</w:t>
      </w:r>
      <w:r w:rsidR="00744A1C">
        <w:rPr>
          <w:rtl/>
          <w:lang w:bidi="fa-IR"/>
        </w:rPr>
        <w:t xml:space="preserve"> في « بخ ، بف » : « محمّد بن الحسن بن سماعة ». وفي </w:t>
      </w:r>
      <w:r w:rsidR="00744A1C" w:rsidRPr="00C24F9C">
        <w:rPr>
          <w:rStyle w:val="libFootnoteBoldChar"/>
          <w:rtl/>
        </w:rPr>
        <w:t>الوافي</w:t>
      </w:r>
      <w:r w:rsidR="00744A1C">
        <w:rPr>
          <w:rtl/>
          <w:lang w:bidi="fa-IR"/>
        </w:rPr>
        <w:t xml:space="preserve"> : « محمّد بن سماعة ».</w:t>
      </w:r>
    </w:p>
    <w:p w:rsidR="00744A1C" w:rsidRDefault="00744A1C" w:rsidP="00D10E3C">
      <w:pPr>
        <w:pStyle w:val="libFootnote0"/>
        <w:rPr>
          <w:lang w:bidi="fa-IR"/>
        </w:rPr>
      </w:pPr>
      <w:r>
        <w:rPr>
          <w:rtl/>
          <w:lang w:bidi="fa-IR"/>
        </w:rPr>
        <w:t xml:space="preserve">والخبر رواه الشيخ الطوسي - في ضمن خبر طويل - في </w:t>
      </w:r>
      <w:r w:rsidRPr="00C24F9C">
        <w:rPr>
          <w:rStyle w:val="libFootnoteBoldChar"/>
          <w:rtl/>
        </w:rPr>
        <w:t>التهذيب</w:t>
      </w:r>
      <w:r>
        <w:rPr>
          <w:rtl/>
          <w:lang w:bidi="fa-IR"/>
        </w:rPr>
        <w:t xml:space="preserve"> ، ج 5 ، ص 180 ، ح 604 ، بسنده عن محمّد بن الحسين بن أبي الخطّاب عن أحمد بن محمّد بن أبي نصر عن محمّد بن سماعة الصيرفي عن سماعة بن مهران. ورواية محمّد بن سماعة عن سماعة بن مهران منحصر بهذا الخبر وخبرٍ آخر ورد في </w:t>
      </w:r>
      <w:r w:rsidRPr="00C24F9C">
        <w:rPr>
          <w:rStyle w:val="libFootnoteBoldChar"/>
          <w:rtl/>
        </w:rPr>
        <w:t>التهذيب</w:t>
      </w:r>
      <w:r>
        <w:rPr>
          <w:rtl/>
          <w:lang w:bidi="fa-IR"/>
        </w:rPr>
        <w:t xml:space="preserve"> ، ج 5 ، ص 328 ، ح 1128 ، والراوي عن محمّد بن سماعة في ذاك الخبر أيضاً هو أحمد بن محمّد بن أبي نصر ، والله هو العالم.</w:t>
      </w:r>
    </w:p>
    <w:p w:rsidR="00744A1C" w:rsidRDefault="00744A1C" w:rsidP="00D10E3C">
      <w:pPr>
        <w:pStyle w:val="libFootnote0"/>
        <w:rPr>
          <w:lang w:bidi="fa-IR"/>
        </w:rPr>
      </w:pPr>
      <w:r>
        <w:rPr>
          <w:rtl/>
          <w:lang w:bidi="fa-IR"/>
        </w:rPr>
        <w:t xml:space="preserve">هذا ، وقد تقدّمت في ح 7751 رواية سهل بن زياد عن أحمد بن محمّد - والمراد به البزنطي - عن سماعة ، قال : قلت لأبي عبد الله </w:t>
      </w:r>
      <w:r w:rsidR="0061079A" w:rsidRPr="0061079A">
        <w:rPr>
          <w:rStyle w:val="libFootnoteAlaemChar"/>
          <w:rtl/>
        </w:rPr>
        <w:t>عليه‌السلام</w:t>
      </w:r>
      <w:r w:rsidR="00D10E3C">
        <w:rPr>
          <w:rtl/>
          <w:lang w:bidi="fa-IR"/>
        </w:rPr>
        <w:t xml:space="preserve"> </w:t>
      </w:r>
      <w:r>
        <w:rPr>
          <w:rtl/>
          <w:lang w:bidi="fa-IR"/>
        </w:rPr>
        <w:t>: إذا ضاقت عرفة كيف يصنعون؟ قال : يرتفعون إلى الجبل. كما تقدّمت رواية أحمد بن محمّد بن أبي نصر عن سماعة في ح 7066 و 7388.</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يدلّ على جواز الصعود إلى الجبال عند الضرورة ، وقال في المدارك : جواز الارتفاع إلى الجبل مع الاضطرار مقطوع به في كلام الأصحاب ، وجوّز الشهيدان وجماعة ذلك اختياراً ، وهو مشكل. وقال في </w:t>
      </w:r>
      <w:r w:rsidR="00744A1C" w:rsidRPr="00877682">
        <w:rPr>
          <w:rStyle w:val="libFootnoteBoldChar"/>
          <w:rtl/>
        </w:rPr>
        <w:t>الدروس</w:t>
      </w:r>
      <w:r w:rsidR="00744A1C">
        <w:rPr>
          <w:rtl/>
          <w:lang w:bidi="fa-IR"/>
        </w:rPr>
        <w:t xml:space="preserve"> : والظاهر أنّ ما أقبل من الجبال من المشعر دون ما أدبر ». وراجع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423 ، الدرس 109 ؛ </w:t>
      </w:r>
      <w:r w:rsidR="00744A1C" w:rsidRPr="00C24F9C">
        <w:rPr>
          <w:rStyle w:val="libFootnoteBoldChar"/>
          <w:rtl/>
        </w:rPr>
        <w:t>مدارك الأحكام</w:t>
      </w:r>
      <w:r w:rsidR="00744A1C">
        <w:rPr>
          <w:rtl/>
          <w:lang w:bidi="fa-IR"/>
        </w:rPr>
        <w:t xml:space="preserve"> ، ج 7 ، ص 422.</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180 ، ضمن ح 604 ، بسنده عن محمّد بن الحسين بن أبي الخطّاب ، عن أحمد بن محمّد بن أبي نصر ، عن محمّد بن سماعة الصيرفي ، عن سماعة بن مهران ، عن أبي عبدالله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546 ، من دون الإسناد إلى المعصوم </w:t>
      </w:r>
      <w:r w:rsidR="0061079A" w:rsidRPr="0061079A">
        <w:rPr>
          <w:rStyle w:val="libFootnoteAlaemChar"/>
          <w:rtl/>
        </w:rPr>
        <w:t>عليه‌السلام</w:t>
      </w:r>
      <w:r w:rsidR="00D10E3C">
        <w:rPr>
          <w:rtl/>
          <w:lang w:bidi="fa-IR"/>
        </w:rPr>
        <w:t xml:space="preserve"> </w:t>
      </w:r>
      <w:r w:rsidR="005A53B9">
        <w:rPr>
          <w:rFonts w:hint="cs"/>
          <w:rtl/>
          <w:lang w:bidi="fa-IR"/>
        </w:rPr>
        <w:t>.</w:t>
      </w:r>
      <w:r w:rsidR="00744A1C" w:rsidRPr="00C24F9C">
        <w:rPr>
          <w:rStyle w:val="libFootnoteBoldChar"/>
          <w:rtl/>
        </w:rPr>
        <w:t>الوافي</w:t>
      </w:r>
      <w:r w:rsidR="00744A1C">
        <w:rPr>
          <w:rtl/>
          <w:lang w:bidi="fa-IR"/>
        </w:rPr>
        <w:t xml:space="preserve"> ، ج 13 ، ص 1050 ، ح 13712 ؛ </w:t>
      </w:r>
      <w:r w:rsidR="00744A1C" w:rsidRPr="00C24F9C">
        <w:rPr>
          <w:rStyle w:val="libFootnoteBoldChar"/>
          <w:rtl/>
        </w:rPr>
        <w:t>الوسائل</w:t>
      </w:r>
      <w:r w:rsidR="00744A1C">
        <w:rPr>
          <w:rtl/>
          <w:lang w:bidi="fa-IR"/>
        </w:rPr>
        <w:t xml:space="preserve"> ، ج 14 ، ص 19 ، ح 18486.</w:t>
      </w:r>
    </w:p>
    <w:p w:rsidR="00744A1C" w:rsidRDefault="00E378DD" w:rsidP="00E378DD">
      <w:pPr>
        <w:pStyle w:val="libFootnote0"/>
        <w:rPr>
          <w:lang w:bidi="fa-IR"/>
        </w:rPr>
      </w:pPr>
      <w:r>
        <w:rPr>
          <w:rtl/>
          <w:lang w:bidi="fa-IR"/>
        </w:rPr>
        <w:t>(4).</w:t>
      </w:r>
      <w:r w:rsidR="00744A1C">
        <w:rPr>
          <w:rtl/>
          <w:lang w:bidi="fa-IR"/>
        </w:rPr>
        <w:t xml:space="preserve"> في « بح ، بخ ، جد ، جن » وهامش المطبوع : « عليّ بن الحسين السلمي ». والصواب ما في المتن كما تقدّم في‌ذيل ح 7749.</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الرَّمَلُ </w:t>
      </w:r>
      <w:r w:rsidRPr="00D10E3C">
        <w:rPr>
          <w:rStyle w:val="libFootnotenumChar"/>
          <w:rtl/>
        </w:rPr>
        <w:t>(1)</w:t>
      </w:r>
      <w:r>
        <w:rPr>
          <w:rtl/>
          <w:lang w:bidi="fa-IR"/>
        </w:rPr>
        <w:t xml:space="preserve"> فِي وَادِي مُحَسِّرٍ قَدْرُ مِائَةِ ذِرَاعٍ. </w:t>
      </w:r>
      <w:r w:rsidRPr="00D10E3C">
        <w:rPr>
          <w:rStyle w:val="libFootnotenumChar"/>
          <w:rtl/>
        </w:rPr>
        <w:t>(2)</w:t>
      </w:r>
    </w:p>
    <w:p w:rsidR="00744A1C" w:rsidRDefault="00744A1C" w:rsidP="005A53B9">
      <w:pPr>
        <w:pStyle w:val="Heading2Center"/>
        <w:rPr>
          <w:lang w:bidi="fa-IR"/>
        </w:rPr>
      </w:pPr>
      <w:bookmarkStart w:id="14" w:name="_Toc49261312"/>
      <w:r>
        <w:rPr>
          <w:rtl/>
          <w:lang w:bidi="fa-IR"/>
        </w:rPr>
        <w:t>169 - بَابُ مَنْ جَهِلَ أَنْ يَقِفَ بِالْمَشْعَرِ‌</w:t>
      </w:r>
      <w:bookmarkEnd w:id="14"/>
    </w:p>
    <w:p w:rsidR="00144FA6" w:rsidRDefault="00744A1C" w:rsidP="00744A1C">
      <w:pPr>
        <w:pStyle w:val="libNormal"/>
        <w:rPr>
          <w:rtl/>
          <w:lang w:bidi="fa-IR"/>
        </w:rPr>
      </w:pPr>
      <w:r>
        <w:rPr>
          <w:rtl/>
          <w:lang w:bidi="fa-IR"/>
        </w:rPr>
        <w:t>7772 / 1. عِدَّةٌ مِنْ أَصْحَابِنَا ، عَنْ سَهْلِ بْنِ زِيَادٍ ، عَنْ أَحْمَدَ بْنِ مُحَمَّدِ بْنِ أَبِي نَصْرٍ ، عَنْ حَمَّادِ بْنِ عُثْمَانَ ، عَنْ مُحَمَّدِ بْنِ حَكِيمٍ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الرَّجُلُ الْأَعْجَمِيُّ </w:t>
      </w:r>
      <w:r w:rsidRPr="00D10E3C">
        <w:rPr>
          <w:rStyle w:val="libFootnotenumChar"/>
          <w:rtl/>
        </w:rPr>
        <w:t>(3)</w:t>
      </w:r>
      <w:r>
        <w:rPr>
          <w:rtl/>
          <w:lang w:bidi="fa-IR"/>
        </w:rPr>
        <w:t xml:space="preserve"> وَالْمَرْأَةُ الضَّعِيفَةُ يَكُونَانِ مَعَ الْجَمَّالِ الْأَعْرَابِيِّ ، فَإِذَا أَفَاضَ بِهِمْ مِنْ عَرَفَاتٍ ، مَرَّ بِهِمْ كَمَا مَرَّ بِهِمْ </w:t>
      </w:r>
      <w:r w:rsidRPr="00D10E3C">
        <w:rPr>
          <w:rStyle w:val="libFootnotenumChar"/>
          <w:rtl/>
        </w:rPr>
        <w:t>(4)</w:t>
      </w:r>
      <w:r>
        <w:rPr>
          <w:rtl/>
          <w:lang w:bidi="fa-IR"/>
        </w:rPr>
        <w:t xml:space="preserve"> إِلى مِنًى ، وَلَمْ يَنْزِلْ بِهِمْ جَمْعاً </w:t>
      </w:r>
      <w:r w:rsidRPr="00D10E3C">
        <w:rPr>
          <w:rStyle w:val="libFootnotenumChar"/>
          <w:rtl/>
        </w:rPr>
        <w:t>(5)</w:t>
      </w:r>
      <w:r>
        <w:rPr>
          <w:rtl/>
          <w:lang w:bidi="fa-IR"/>
        </w:rPr>
        <w:t>؟</w:t>
      </w:r>
    </w:p>
    <w:p w:rsidR="00744A1C" w:rsidRDefault="00744A1C" w:rsidP="00744A1C">
      <w:pPr>
        <w:pStyle w:val="libNormal"/>
        <w:rPr>
          <w:lang w:bidi="fa-IR"/>
        </w:rPr>
      </w:pPr>
      <w:r>
        <w:rPr>
          <w:rtl/>
          <w:lang w:bidi="fa-IR"/>
        </w:rPr>
        <w:t>فَقَالَ : « أَلَيْسَ قَدْ صَلَّوْا بِهَا ، فَقَدْ أَجْزَأَهُمْ ».</w:t>
      </w:r>
    </w:p>
    <w:p w:rsidR="00744A1C" w:rsidRDefault="00744A1C" w:rsidP="00744A1C">
      <w:pPr>
        <w:pStyle w:val="libNormal"/>
        <w:rPr>
          <w:lang w:bidi="fa-IR"/>
        </w:rPr>
      </w:pPr>
      <w:r>
        <w:rPr>
          <w:rtl/>
          <w:lang w:bidi="fa-IR"/>
        </w:rPr>
        <w:t xml:space="preserve">قُلْتُ : وَإِنْ </w:t>
      </w:r>
      <w:r w:rsidRPr="00D10E3C">
        <w:rPr>
          <w:rStyle w:val="libFootnotenumChar"/>
          <w:rtl/>
        </w:rPr>
        <w:t>(6)</w:t>
      </w:r>
      <w:r>
        <w:rPr>
          <w:rtl/>
          <w:lang w:bidi="fa-IR"/>
        </w:rPr>
        <w:t xml:space="preserve"> لَمْ يُصَلُّوا بِهَا؟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قال الجوهري : « الرمل - بالتحريك - : الهرولة ». والهرولة : ضرب من العدو ، وهو بين المشي والعدو. وقال ابن الأثير : « يقال : رَمَلَ يَرْمَلُ رَمَلاً ورَمَلاناً ، إذا أسرع في المشي وهزّ منكبيه ». راجع : </w:t>
      </w:r>
      <w:r w:rsidR="00744A1C" w:rsidRPr="00E978C3">
        <w:rPr>
          <w:rStyle w:val="libFootnoteBoldChar"/>
          <w:rtl/>
        </w:rPr>
        <w:t>الصحاح</w:t>
      </w:r>
      <w:r w:rsidR="00744A1C">
        <w:rPr>
          <w:rtl/>
          <w:lang w:bidi="fa-IR"/>
        </w:rPr>
        <w:t xml:space="preserve"> ، ج 4 ، ص 1713 ؛ </w:t>
      </w:r>
      <w:r w:rsidR="00744A1C" w:rsidRPr="00877682">
        <w:rPr>
          <w:rStyle w:val="libFootnoteBoldChar"/>
          <w:rtl/>
        </w:rPr>
        <w:t>النهاية</w:t>
      </w:r>
      <w:r w:rsidR="00744A1C">
        <w:rPr>
          <w:rtl/>
          <w:lang w:bidi="fa-IR"/>
        </w:rPr>
        <w:t xml:space="preserve"> ، ج 2 ، ص 265 ( رمل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13 ، ص 1055 ، ح 13727 ؛ </w:t>
      </w:r>
      <w:r w:rsidR="00744A1C" w:rsidRPr="00C24F9C">
        <w:rPr>
          <w:rStyle w:val="libFootnoteBoldChar"/>
          <w:rtl/>
        </w:rPr>
        <w:t>الوسائل</w:t>
      </w:r>
      <w:r w:rsidR="00744A1C">
        <w:rPr>
          <w:rtl/>
          <w:lang w:bidi="fa-IR"/>
        </w:rPr>
        <w:t xml:space="preserve"> ، ج 14 ، ص 23 ، ح 18495.</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عن بعض النسخ و</w:t>
      </w:r>
      <w:r w:rsidR="00744A1C" w:rsidRPr="00C24F9C">
        <w:rPr>
          <w:rStyle w:val="libFootnoteBoldChar"/>
          <w:rtl/>
        </w:rPr>
        <w:t>الفقيه</w:t>
      </w:r>
      <w:r w:rsidR="00744A1C">
        <w:rPr>
          <w:rtl/>
          <w:lang w:bidi="fa-IR"/>
        </w:rPr>
        <w:t xml:space="preserve"> : « الأعمى ».</w:t>
      </w:r>
    </w:p>
    <w:p w:rsidR="00744A1C" w:rsidRDefault="00E378DD" w:rsidP="00E378DD">
      <w:pPr>
        <w:pStyle w:val="libFootnote0"/>
        <w:rPr>
          <w:lang w:bidi="fa-IR"/>
        </w:rPr>
      </w:pPr>
      <w:r>
        <w:rPr>
          <w:rtl/>
          <w:lang w:bidi="fa-IR"/>
        </w:rPr>
        <w:t>(4).</w:t>
      </w:r>
      <w:r w:rsidR="00744A1C">
        <w:rPr>
          <w:rtl/>
          <w:lang w:bidi="fa-IR"/>
        </w:rPr>
        <w:t xml:space="preserve"> في « بخ » وحاشية « بح » </w:t>
      </w:r>
      <w:r w:rsidR="00744A1C" w:rsidRPr="00EE5E45">
        <w:rPr>
          <w:rtl/>
        </w:rPr>
        <w:t>والفقيه والتهذيب والاستبصار</w:t>
      </w:r>
      <w:r w:rsidR="00744A1C">
        <w:rPr>
          <w:rtl/>
          <w:lang w:bidi="fa-IR"/>
        </w:rPr>
        <w:t xml:space="preserve"> : « هم » بدل « مرّ بهم ». وفي </w:t>
      </w:r>
      <w:r w:rsidR="00744A1C" w:rsidRPr="00C24F9C">
        <w:rPr>
          <w:rStyle w:val="libFootnoteBoldChar"/>
          <w:rtl/>
        </w:rPr>
        <w:t>الوافي</w:t>
      </w:r>
      <w:r w:rsidR="00744A1C">
        <w:rPr>
          <w:rtl/>
          <w:lang w:bidi="fa-IR"/>
        </w:rPr>
        <w:t xml:space="preserve"> : « هو » بدلها.</w:t>
      </w:r>
    </w:p>
    <w:p w:rsidR="00744A1C" w:rsidRDefault="00E378DD" w:rsidP="00E378DD">
      <w:pPr>
        <w:pStyle w:val="libFootnote0"/>
        <w:rPr>
          <w:lang w:bidi="fa-IR"/>
        </w:rPr>
      </w:pPr>
      <w:r>
        <w:rPr>
          <w:rtl/>
          <w:lang w:bidi="fa-IR"/>
        </w:rPr>
        <w:t>(5).</w:t>
      </w:r>
      <w:r w:rsidR="00744A1C">
        <w:rPr>
          <w:rtl/>
          <w:lang w:bidi="fa-IR"/>
        </w:rPr>
        <w:t xml:space="preserve"> « جَمْعٌ » : علم للمزدلفة ، سمّيت به لاجتماع الناس فيها ، أو لأنّ آدم وحوّاء </w:t>
      </w:r>
      <w:r w:rsidR="00F112A7" w:rsidRPr="00CE5A92">
        <w:rPr>
          <w:rStyle w:val="libFootnoteAlaemChar"/>
          <w:rtl/>
        </w:rPr>
        <w:t>عليهما‌السلام</w:t>
      </w:r>
      <w:r w:rsidR="005A53B9" w:rsidRPr="005A53B9">
        <w:rPr>
          <w:rFonts w:hint="cs"/>
          <w:rtl/>
        </w:rPr>
        <w:t xml:space="preserve"> </w:t>
      </w:r>
      <w:r w:rsidR="00744A1C">
        <w:rPr>
          <w:rtl/>
          <w:lang w:bidi="fa-IR"/>
        </w:rPr>
        <w:t>ل</w:t>
      </w:r>
      <w:r w:rsidR="005A53B9">
        <w:rPr>
          <w:rFonts w:hint="cs"/>
          <w:rtl/>
          <w:lang w:bidi="fa-IR"/>
        </w:rPr>
        <w:t>ـ</w:t>
      </w:r>
      <w:r w:rsidR="00744A1C">
        <w:rPr>
          <w:rtl/>
          <w:lang w:bidi="fa-IR"/>
        </w:rPr>
        <w:t>م</w:t>
      </w:r>
      <w:r w:rsidR="00724D17">
        <w:rPr>
          <w:rtl/>
          <w:lang w:bidi="fa-IR"/>
        </w:rPr>
        <w:t>ّا اهبطا اجتمعا فيه. وقال العل</w:t>
      </w:r>
      <w:r w:rsidR="00724D17">
        <w:rPr>
          <w:rFonts w:hint="cs"/>
          <w:rtl/>
          <w:lang w:bidi="fa-IR"/>
        </w:rPr>
        <w:t>ّ</w:t>
      </w:r>
      <w:r w:rsidR="00724D17">
        <w:rPr>
          <w:rtl/>
          <w:lang w:bidi="fa-IR"/>
        </w:rPr>
        <w:t>ا</w:t>
      </w:r>
      <w:r w:rsidR="00744A1C">
        <w:rPr>
          <w:rtl/>
          <w:lang w:bidi="fa-IR"/>
        </w:rPr>
        <w:t xml:space="preserve">مة المجلسي : « إنّما سمّي المشعر الحرام جمعاً لاجتماع الناس فيه ، أو لأنّه يجمع فيه بين المغرب والعشاء بأذان وإقامتين ». راجع : </w:t>
      </w:r>
      <w:r w:rsidR="00744A1C" w:rsidRPr="00E978C3">
        <w:rPr>
          <w:rStyle w:val="libFootnoteBoldChar"/>
          <w:rtl/>
        </w:rPr>
        <w:t>الصحاح</w:t>
      </w:r>
      <w:r w:rsidR="00744A1C">
        <w:rPr>
          <w:rtl/>
          <w:lang w:bidi="fa-IR"/>
        </w:rPr>
        <w:t xml:space="preserve"> ، ج 3 ، ص 1198 ؛ </w:t>
      </w:r>
      <w:r w:rsidR="00744A1C" w:rsidRPr="00877682">
        <w:rPr>
          <w:rStyle w:val="libFootnoteBoldChar"/>
          <w:rtl/>
        </w:rPr>
        <w:t>النهاية</w:t>
      </w:r>
      <w:r w:rsidR="00744A1C">
        <w:rPr>
          <w:rtl/>
          <w:lang w:bidi="fa-IR"/>
        </w:rPr>
        <w:t xml:space="preserve"> ، ج 1 ، ص 296 ( جمع ).</w:t>
      </w:r>
    </w:p>
    <w:p w:rsidR="00744A1C" w:rsidRDefault="00744A1C" w:rsidP="00D10E3C">
      <w:pPr>
        <w:pStyle w:val="libFootnote0"/>
        <w:rPr>
          <w:lang w:bidi="fa-IR"/>
        </w:rPr>
      </w:pPr>
      <w:r>
        <w:rPr>
          <w:rtl/>
          <w:lang w:bidi="fa-IR"/>
        </w:rPr>
        <w:t xml:space="preserve">وعن المحقّق الشعراني في هامش </w:t>
      </w:r>
      <w:r w:rsidRPr="00C24F9C">
        <w:rPr>
          <w:rStyle w:val="libFootnoteBoldChar"/>
          <w:rtl/>
        </w:rPr>
        <w:t>الوافي</w:t>
      </w:r>
      <w:r>
        <w:rPr>
          <w:rtl/>
          <w:lang w:bidi="fa-IR"/>
        </w:rPr>
        <w:t xml:space="preserve"> : « قوله : ولم ينزل بهم جمعاً ، السكون ليس شرط الوقوف ، والركن منه الكون الكلّي به ، ولكنّ الإشكال في النيّة ؛ لأنّ المارّ لا ينوي العبادة ، ومورد الكلام الجاهل الذي لا يعلم كون الوقوف من المناسك فينوي ، وأنّ الجواب مبنيّ على أنّ الجاهل بخصوص وقوف المشعر يمكن أن ينوي إجمالاً ما يجب أن يأتي به الحاجّ في المسير ، وربما يزعم أنّ العبور في هذا الوادي نسك فيكفيه. وأمّا من لم ينو لا إجمالاً ولا تفصيلاً فيجب عليه العود ، كما هو مفاد رواية عليّ بن رئاب ويونس بن يعقوب ».</w:t>
      </w:r>
    </w:p>
    <w:p w:rsidR="00744A1C" w:rsidRDefault="00E378DD" w:rsidP="00E378DD">
      <w:pPr>
        <w:pStyle w:val="libFootnote0"/>
        <w:rPr>
          <w:lang w:bidi="fa-IR"/>
        </w:rPr>
      </w:pPr>
      <w:r>
        <w:rPr>
          <w:rtl/>
          <w:lang w:bidi="fa-IR"/>
        </w:rPr>
        <w:t>(6).</w:t>
      </w:r>
      <w:r w:rsidR="00744A1C">
        <w:rPr>
          <w:rtl/>
          <w:lang w:bidi="fa-IR"/>
        </w:rPr>
        <w:t xml:space="preserve"> في « بخ ، بف </w:t>
      </w:r>
      <w:r w:rsidR="00744A1C" w:rsidRPr="00EE5E45">
        <w:rPr>
          <w:rtl/>
        </w:rPr>
        <w:t>» والوافي والفقيه والتهذيب والاستبصار</w:t>
      </w:r>
      <w:r w:rsidR="00744A1C">
        <w:rPr>
          <w:rtl/>
          <w:lang w:bidi="fa-IR"/>
        </w:rPr>
        <w:t xml:space="preserve"> : « فإن ».</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 ذَكَرُوا اللهَ فِيهَا ، فَإِنْ كَانُوا ذَكَرُوا اللهَ فِيهَا ، فَقَدْ </w:t>
      </w:r>
      <w:r w:rsidRPr="00D10E3C">
        <w:rPr>
          <w:rStyle w:val="libFootnotenumChar"/>
          <w:rtl/>
        </w:rPr>
        <w:t>(1)</w:t>
      </w:r>
      <w:r>
        <w:rPr>
          <w:rtl/>
          <w:lang w:bidi="fa-IR"/>
        </w:rPr>
        <w:t xml:space="preserve"> أَجْزَأَهُمْ ». </w:t>
      </w:r>
      <w:r w:rsidRPr="00D10E3C">
        <w:rPr>
          <w:rStyle w:val="libFootnotenumChar"/>
          <w:rtl/>
        </w:rPr>
        <w:t>(2)</w:t>
      </w:r>
    </w:p>
    <w:p w:rsidR="00144FA6" w:rsidRDefault="00744A1C" w:rsidP="00744A1C">
      <w:pPr>
        <w:pStyle w:val="libNormal"/>
        <w:rPr>
          <w:rtl/>
          <w:lang w:bidi="fa-IR"/>
        </w:rPr>
      </w:pPr>
      <w:r>
        <w:rPr>
          <w:rtl/>
          <w:lang w:bidi="fa-IR"/>
        </w:rPr>
        <w:t>7773 / 2. مُحَمَّدُ بْنُ يَحْيى ، عَنْ أَحْمَدَ بْنِ مُحَمَّدٍ ، عَنْ مُحَمَّدِ بْنِ سِنَانٍ ، عَنِ ابْنِ مُسْكَانَ ، عَنْ أَبِي بَصِيرٍ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sidRPr="00D10E3C">
        <w:rPr>
          <w:rStyle w:val="libFootnotenumChar"/>
          <w:rtl/>
        </w:rPr>
        <w:t>(3)</w:t>
      </w:r>
      <w:r>
        <w:rPr>
          <w:rtl/>
          <w:lang w:bidi="fa-IR"/>
        </w:rPr>
        <w:t xml:space="preserve"> : جُعِلْتُ فِدَاكَ ، إِنَّ صَاحِبَيَّ هذَيْنِ جَهِلَا أَنْ يَقِفَا بِالْمُزْدَلِفَةِ.</w:t>
      </w:r>
    </w:p>
    <w:p w:rsidR="00744A1C" w:rsidRDefault="00744A1C" w:rsidP="00744A1C">
      <w:pPr>
        <w:pStyle w:val="libNormal"/>
        <w:rPr>
          <w:lang w:bidi="fa-IR"/>
        </w:rPr>
      </w:pPr>
      <w:r>
        <w:rPr>
          <w:rtl/>
          <w:lang w:bidi="fa-IR"/>
        </w:rPr>
        <w:t xml:space="preserve">فَقَالَ : « يَرْجِعَانِ مَكَانَهُمَا ، فَيَقِفَانِ </w:t>
      </w:r>
      <w:r w:rsidRPr="00D10E3C">
        <w:rPr>
          <w:rStyle w:val="libFootnotenumChar"/>
          <w:rtl/>
        </w:rPr>
        <w:t>(4)</w:t>
      </w:r>
      <w:r>
        <w:rPr>
          <w:rtl/>
          <w:lang w:bidi="fa-IR"/>
        </w:rPr>
        <w:t xml:space="preserve"> بِالْمَشْعَرِ سَاعَةً ».</w:t>
      </w:r>
    </w:p>
    <w:p w:rsidR="00744A1C" w:rsidRDefault="00744A1C" w:rsidP="00744A1C">
      <w:pPr>
        <w:pStyle w:val="libNormal"/>
        <w:rPr>
          <w:lang w:bidi="fa-IR"/>
        </w:rPr>
      </w:pPr>
      <w:r>
        <w:rPr>
          <w:rtl/>
          <w:lang w:bidi="fa-IR"/>
        </w:rPr>
        <w:t xml:space="preserve">قُلْتُ : فَإِنَّهُ لَمْ يُخْبِرْهُمَا أَحَدٌ حَتّى كَانَ الْيَوْمُ </w:t>
      </w:r>
      <w:r w:rsidRPr="00D10E3C">
        <w:rPr>
          <w:rStyle w:val="libFootnotenumChar"/>
          <w:rtl/>
        </w:rPr>
        <w:t>(5)</w:t>
      </w:r>
      <w:r>
        <w:rPr>
          <w:rtl/>
          <w:lang w:bidi="fa-IR"/>
        </w:rPr>
        <w:t xml:space="preserve"> وَقَدْ نَفَرَ النَّاسُ.</w:t>
      </w:r>
    </w:p>
    <w:p w:rsidR="00744A1C" w:rsidRDefault="00744A1C" w:rsidP="00744A1C">
      <w:pPr>
        <w:pStyle w:val="libNormal"/>
        <w:rPr>
          <w:lang w:bidi="fa-IR"/>
        </w:rPr>
      </w:pPr>
      <w:r>
        <w:rPr>
          <w:rtl/>
          <w:lang w:bidi="fa-IR"/>
        </w:rPr>
        <w:t xml:space="preserve">قَالَ : فَنَكَسَ رَأْسَهُ سَاعَةً ، ثُمَّ قَالَ : « أَلَيْسَا قَدْ صَلَّيَا الْغَدَاةَ بِالْمُزْدَلِفَةِ؟ » قُلْتُ : بَلى ، فَقَالَ </w:t>
      </w:r>
      <w:r w:rsidRPr="00D10E3C">
        <w:rPr>
          <w:rStyle w:val="libFootnotenumChar"/>
          <w:rtl/>
        </w:rPr>
        <w:t>(6)</w:t>
      </w:r>
      <w:r>
        <w:rPr>
          <w:rtl/>
          <w:lang w:bidi="fa-IR"/>
        </w:rPr>
        <w:t xml:space="preserve"> : « أَلَيْسَا </w:t>
      </w:r>
      <w:r w:rsidRPr="00D10E3C">
        <w:rPr>
          <w:rStyle w:val="libFootnotenumChar"/>
          <w:rtl/>
        </w:rPr>
        <w:t>(7)</w:t>
      </w:r>
      <w:r>
        <w:rPr>
          <w:rtl/>
          <w:lang w:bidi="fa-IR"/>
        </w:rPr>
        <w:t xml:space="preserve"> قَدْ قَنَتَا فِي صَلَاتِهِمَا؟ » قُلْتُ : بَلى </w:t>
      </w:r>
      <w:r w:rsidRPr="00D10E3C">
        <w:rPr>
          <w:rStyle w:val="libFootnotenumChar"/>
          <w:rtl/>
        </w:rPr>
        <w:t>(8)</w:t>
      </w:r>
      <w:r>
        <w:rPr>
          <w:rtl/>
          <w:lang w:bidi="fa-IR"/>
        </w:rPr>
        <w:t xml:space="preserve"> ، فَقَالَ </w:t>
      </w:r>
      <w:r w:rsidRPr="00D10E3C">
        <w:rPr>
          <w:rStyle w:val="libFootnotenumChar"/>
          <w:rtl/>
        </w:rPr>
        <w:t>(9)</w:t>
      </w:r>
      <w:r>
        <w:rPr>
          <w:rtl/>
          <w:lang w:bidi="fa-IR"/>
        </w:rPr>
        <w:t xml:space="preserve"> : « تَمَّ حَجُّهُمَا ».</w:t>
      </w:r>
    </w:p>
    <w:p w:rsidR="00144FA6" w:rsidRDefault="00744A1C" w:rsidP="00744A1C">
      <w:pPr>
        <w:pStyle w:val="libNormal"/>
        <w:rPr>
          <w:rtl/>
          <w:lang w:bidi="fa-IR"/>
        </w:rPr>
      </w:pPr>
      <w:r>
        <w:rPr>
          <w:rtl/>
          <w:lang w:bidi="fa-IR"/>
        </w:rPr>
        <w:t xml:space="preserve">ثُمَّ قَالَ </w:t>
      </w:r>
      <w:r w:rsidRPr="00D10E3C">
        <w:rPr>
          <w:rStyle w:val="libFootnotenumChar"/>
          <w:rtl/>
        </w:rPr>
        <w:t>(10)</w:t>
      </w:r>
      <w:r>
        <w:rPr>
          <w:rtl/>
          <w:lang w:bidi="fa-IR"/>
        </w:rPr>
        <w:t xml:space="preserve"> : « الْمَشْعَرُ </w:t>
      </w:r>
      <w:r w:rsidRPr="00D10E3C">
        <w:rPr>
          <w:rStyle w:val="libFootnotenumChar"/>
          <w:rtl/>
        </w:rPr>
        <w:t>(11)</w:t>
      </w:r>
      <w:r>
        <w:rPr>
          <w:rtl/>
          <w:lang w:bidi="fa-IR"/>
        </w:rPr>
        <w:t xml:space="preserve"> مِنَ الْمُزْدَلِفَةِ ، وَالْمُزْدَلِفَةُ مِنَ الْمَشْعَرِ </w:t>
      </w:r>
      <w:r w:rsidRPr="00D10E3C">
        <w:rPr>
          <w:rStyle w:val="libFootnotenumChar"/>
          <w:rtl/>
        </w:rPr>
        <w:t>(12)</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جن » : - « فقد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293 ، ح 995 ؛ </w:t>
      </w:r>
      <w:r w:rsidR="00744A1C" w:rsidRPr="00C24F9C">
        <w:rPr>
          <w:rStyle w:val="libFootnoteBoldChar"/>
          <w:rtl/>
        </w:rPr>
        <w:t>والاستبصار</w:t>
      </w:r>
      <w:r w:rsidR="00744A1C">
        <w:rPr>
          <w:rtl/>
          <w:lang w:bidi="fa-IR"/>
        </w:rPr>
        <w:t xml:space="preserve"> ، ج 2 ، ص 306 ، ح 1093 ، بسندهما عن أحمد بن محمّد ، عن حمّاد بن عثمان. </w:t>
      </w:r>
      <w:r w:rsidR="00744A1C" w:rsidRPr="00C24F9C">
        <w:rPr>
          <w:rStyle w:val="libFootnoteBoldChar"/>
          <w:rtl/>
        </w:rPr>
        <w:t>الفقيه</w:t>
      </w:r>
      <w:r w:rsidR="00744A1C">
        <w:rPr>
          <w:rtl/>
          <w:lang w:bidi="fa-IR"/>
        </w:rPr>
        <w:t xml:space="preserve"> ، ج 2 ، ص 306 ، ح 1093 ، معلّقاً عن محمّد بن حكيم </w:t>
      </w:r>
      <w:r w:rsidR="004459B9">
        <w:rPr>
          <w:rFonts w:hint="cs"/>
          <w:rtl/>
          <w:lang w:bidi="fa-IR"/>
        </w:rPr>
        <w:t>.</w:t>
      </w:r>
      <w:r w:rsidR="00744A1C" w:rsidRPr="00C24F9C">
        <w:rPr>
          <w:rStyle w:val="libFootnoteBoldChar"/>
          <w:rtl/>
        </w:rPr>
        <w:t>الوافي</w:t>
      </w:r>
      <w:r w:rsidR="00744A1C">
        <w:rPr>
          <w:rtl/>
          <w:lang w:bidi="fa-IR"/>
        </w:rPr>
        <w:t xml:space="preserve"> ، ج 13 ، ص 1061 ، ح 13743 ؛ </w:t>
      </w:r>
      <w:r w:rsidR="00744A1C" w:rsidRPr="00C24F9C">
        <w:rPr>
          <w:rStyle w:val="libFootnoteBoldChar"/>
          <w:rtl/>
        </w:rPr>
        <w:t>الوسائل</w:t>
      </w:r>
      <w:r w:rsidR="00744A1C">
        <w:rPr>
          <w:rtl/>
          <w:lang w:bidi="fa-IR"/>
        </w:rPr>
        <w:t xml:space="preserve"> ، ج 14 ، ص 45 ، ذيل ح 18552.</w:t>
      </w:r>
    </w:p>
    <w:p w:rsidR="00744A1C" w:rsidRDefault="00E378DD" w:rsidP="00E378DD">
      <w:pPr>
        <w:pStyle w:val="libFootnote0"/>
        <w:rPr>
          <w:lang w:bidi="fa-IR"/>
        </w:rPr>
      </w:pPr>
      <w:r>
        <w:rPr>
          <w:rtl/>
          <w:lang w:bidi="fa-IR"/>
        </w:rPr>
        <w:t>(3).</w:t>
      </w:r>
      <w:r w:rsidR="00744A1C">
        <w:rPr>
          <w:rtl/>
          <w:lang w:bidi="fa-IR"/>
        </w:rPr>
        <w:t xml:space="preserve"> في « بخ ، بف ، جر » و</w:t>
      </w:r>
      <w:r w:rsidR="00744A1C" w:rsidRPr="00C24F9C">
        <w:rPr>
          <w:rStyle w:val="libFootnoteBoldChar"/>
          <w:rtl/>
        </w:rPr>
        <w:t>الوافي</w:t>
      </w:r>
      <w:r w:rsidR="00744A1C">
        <w:rPr>
          <w:rtl/>
          <w:lang w:bidi="fa-IR"/>
        </w:rPr>
        <w:t xml:space="preserve"> :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قال : قلت له » بدل « قال : قلت لأبي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في « جن » : « يقفان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مكانهما ، أي من حيث كانا ؛ يعني فوراً. حتّى كان اليوم ، يعني هذا اليوم وكان يوم النفر بدليل ما بعده ».</w:t>
      </w:r>
    </w:p>
    <w:p w:rsidR="00744A1C" w:rsidRDefault="00E378DD" w:rsidP="00E378DD">
      <w:pPr>
        <w:pStyle w:val="libFootnote0"/>
        <w:rPr>
          <w:lang w:bidi="fa-IR"/>
        </w:rPr>
      </w:pPr>
      <w:r>
        <w:rPr>
          <w:rtl/>
          <w:lang w:bidi="fa-IR"/>
        </w:rPr>
        <w:t>(6).</w:t>
      </w:r>
      <w:r w:rsidR="00744A1C">
        <w:rPr>
          <w:rtl/>
          <w:lang w:bidi="fa-IR"/>
        </w:rPr>
        <w:t xml:space="preserve"> في « بخ ، بف ، جد » </w:t>
      </w:r>
      <w:r w:rsidR="00744A1C" w:rsidRPr="00EE5E45">
        <w:rPr>
          <w:rtl/>
        </w:rPr>
        <w:t>والوافي والوسائل والتهذيب والاستبصار</w:t>
      </w:r>
      <w:r w:rsidR="00744A1C">
        <w:rPr>
          <w:rtl/>
          <w:lang w:bidi="fa-IR"/>
        </w:rPr>
        <w:t xml:space="preserve"> : « قال ».</w:t>
      </w:r>
    </w:p>
    <w:p w:rsidR="00744A1C" w:rsidRDefault="00E378DD" w:rsidP="00E378DD">
      <w:pPr>
        <w:pStyle w:val="libFootnote0"/>
        <w:rPr>
          <w:lang w:bidi="fa-IR"/>
        </w:rPr>
      </w:pPr>
      <w:r>
        <w:rPr>
          <w:rtl/>
          <w:lang w:bidi="fa-IR"/>
        </w:rPr>
        <w:t>(7).</w:t>
      </w:r>
      <w:r w:rsidR="00744A1C">
        <w:rPr>
          <w:rtl/>
          <w:lang w:bidi="fa-IR"/>
        </w:rPr>
        <w:t xml:space="preserve"> في « بح ، بخ ، جد ، جن » </w:t>
      </w:r>
      <w:r w:rsidR="00744A1C" w:rsidRPr="00EE5E45">
        <w:rPr>
          <w:rtl/>
        </w:rPr>
        <w:t>والوافي والوسائل والاستبصار</w:t>
      </w:r>
      <w:r w:rsidR="00744A1C">
        <w:rPr>
          <w:rtl/>
          <w:lang w:bidi="fa-IR"/>
        </w:rPr>
        <w:t xml:space="preserve"> : « أليس ».</w:t>
      </w:r>
    </w:p>
    <w:p w:rsidR="00744A1C" w:rsidRDefault="00E378DD" w:rsidP="00E378DD">
      <w:pPr>
        <w:pStyle w:val="libFootnote0"/>
        <w:rPr>
          <w:lang w:bidi="fa-IR"/>
        </w:rPr>
      </w:pPr>
      <w:r>
        <w:rPr>
          <w:rtl/>
          <w:lang w:bidi="fa-IR"/>
        </w:rPr>
        <w:t>(8).</w:t>
      </w:r>
      <w:r w:rsidR="00744A1C">
        <w:rPr>
          <w:rtl/>
          <w:lang w:bidi="fa-IR"/>
        </w:rPr>
        <w:t xml:space="preserve"> في « بث ، جد » : - « فقال : أليسا قد قنتا في صلاتهما؟ قلت : بلى ».</w:t>
      </w:r>
    </w:p>
    <w:p w:rsidR="00744A1C" w:rsidRDefault="00E378DD" w:rsidP="00E378DD">
      <w:pPr>
        <w:pStyle w:val="libFootnote0"/>
        <w:rPr>
          <w:lang w:bidi="fa-IR"/>
        </w:rPr>
      </w:pPr>
      <w:r>
        <w:rPr>
          <w:rtl/>
          <w:lang w:bidi="fa-IR"/>
        </w:rPr>
        <w:t>(9).</w:t>
      </w:r>
      <w:r w:rsidR="00744A1C">
        <w:rPr>
          <w:rtl/>
          <w:lang w:bidi="fa-IR"/>
        </w:rPr>
        <w:t xml:space="preserve"> في « بخ » و</w:t>
      </w:r>
      <w:r w:rsidR="00744A1C" w:rsidRPr="00C24F9C">
        <w:rPr>
          <w:rStyle w:val="libFootnoteBoldChar"/>
          <w:rtl/>
        </w:rPr>
        <w:t>الوسائل</w:t>
      </w:r>
      <w:r w:rsidR="00744A1C">
        <w:rPr>
          <w:rtl/>
          <w:lang w:bidi="fa-IR"/>
        </w:rPr>
        <w:t xml:space="preserve"> </w:t>
      </w:r>
      <w:r w:rsidR="00744A1C" w:rsidRPr="00C24F9C">
        <w:rPr>
          <w:rStyle w:val="libFootnoteBoldChar"/>
          <w:rtl/>
        </w:rPr>
        <w:t>والاستبصار</w:t>
      </w:r>
      <w:r w:rsidR="00744A1C">
        <w:rPr>
          <w:rtl/>
          <w:lang w:bidi="fa-IR"/>
        </w:rPr>
        <w:t xml:space="preserve"> : « قال ». وفي </w:t>
      </w:r>
      <w:r w:rsidR="00744A1C" w:rsidRPr="00C24F9C">
        <w:rPr>
          <w:rStyle w:val="libFootnoteBoldChar"/>
          <w:rtl/>
        </w:rPr>
        <w:t>التهذيب</w:t>
      </w:r>
      <w:r w:rsidR="00744A1C">
        <w:rPr>
          <w:rtl/>
          <w:lang w:bidi="fa-IR"/>
        </w:rPr>
        <w:t xml:space="preserve"> : « قال قد ».</w:t>
      </w:r>
    </w:p>
    <w:tbl>
      <w:tblPr>
        <w:tblStyle w:val="TableGrid"/>
        <w:bidiVisual/>
        <w:tblW w:w="0" w:type="auto"/>
        <w:tblLook w:val="04A0" w:firstRow="1" w:lastRow="0" w:firstColumn="1" w:lastColumn="0" w:noHBand="0" w:noVBand="1"/>
      </w:tblPr>
      <w:tblGrid>
        <w:gridCol w:w="4006"/>
        <w:gridCol w:w="4006"/>
      </w:tblGrid>
      <w:tr w:rsidR="004459B9" w:rsidTr="004459B9">
        <w:tc>
          <w:tcPr>
            <w:tcW w:w="4006" w:type="dxa"/>
          </w:tcPr>
          <w:p w:rsidR="004459B9" w:rsidRDefault="004459B9" w:rsidP="00E378DD">
            <w:pPr>
              <w:pStyle w:val="libFootnote0"/>
              <w:rPr>
                <w:rtl/>
                <w:lang w:bidi="fa-IR"/>
              </w:rPr>
            </w:pPr>
            <w:r>
              <w:rPr>
                <w:rtl/>
                <w:lang w:bidi="fa-IR"/>
              </w:rPr>
              <w:t>(10). في « بخ ، بف » و</w:t>
            </w:r>
            <w:r w:rsidRPr="00C24F9C">
              <w:rPr>
                <w:rStyle w:val="libFootnoteBoldChar"/>
                <w:rtl/>
              </w:rPr>
              <w:t>الوافي</w:t>
            </w:r>
            <w:r>
              <w:rPr>
                <w:rtl/>
                <w:lang w:bidi="fa-IR"/>
              </w:rPr>
              <w:t xml:space="preserve"> : + « إنّ ».</w:t>
            </w:r>
          </w:p>
        </w:tc>
        <w:tc>
          <w:tcPr>
            <w:tcW w:w="4006" w:type="dxa"/>
          </w:tcPr>
          <w:p w:rsidR="004459B9" w:rsidRDefault="004459B9" w:rsidP="00E378DD">
            <w:pPr>
              <w:pStyle w:val="libFootnote0"/>
              <w:rPr>
                <w:rtl/>
                <w:lang w:bidi="fa-IR"/>
              </w:rPr>
            </w:pPr>
            <w:r>
              <w:rPr>
                <w:rtl/>
                <w:lang w:bidi="fa-IR"/>
              </w:rPr>
              <w:t xml:space="preserve">(11). في </w:t>
            </w:r>
            <w:r w:rsidRPr="00C24F9C">
              <w:rPr>
                <w:rStyle w:val="libFootnoteBoldChar"/>
                <w:rtl/>
              </w:rPr>
              <w:t>الوسائل</w:t>
            </w:r>
            <w:r>
              <w:rPr>
                <w:rtl/>
                <w:lang w:bidi="fa-IR"/>
              </w:rPr>
              <w:t xml:space="preserve"> : « والمشعر ».</w:t>
            </w:r>
          </w:p>
        </w:tc>
      </w:tr>
    </w:tbl>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الوافي</w:t>
      </w:r>
      <w:r w:rsidR="00744A1C">
        <w:rPr>
          <w:rtl/>
          <w:lang w:bidi="fa-IR"/>
        </w:rPr>
        <w:t xml:space="preserve"> : « إنّ المشعر من المزدلفة والمزدلفة من المشعر ؛ يعني يكفي مرورهما بما ينطلق عليه أحد الاسمين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من المزدلفة ، لفظة « من » إمّا للابتداء ، أي لفظ المشعر مأخوذ من المكان المسمّى بالمزدلفة ، وكذا العكس ؛ أو للتبعيض ، أي لفظ المشعر من أسماء المزدلفة ، أي المكان المسمّى بها </w:t>
      </w:r>
      <w:r w:rsidR="00414697">
        <w:rPr>
          <w:rFonts w:hint="cs"/>
          <w:rtl/>
          <w:lang w:bidi="fa-IR"/>
        </w:rPr>
        <w:t>=</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وَإِنَّمَا </w:t>
      </w:r>
      <w:r w:rsidRPr="00D10E3C">
        <w:rPr>
          <w:rStyle w:val="libFootnotenumChar"/>
          <w:rtl/>
        </w:rPr>
        <w:t>(1)</w:t>
      </w:r>
      <w:r>
        <w:rPr>
          <w:rtl/>
          <w:lang w:bidi="fa-IR"/>
        </w:rPr>
        <w:t xml:space="preserve"> يَكْفِيهِمَا الْيَسِيرُ مِنَ الدُّعَاءِ ». </w:t>
      </w:r>
      <w:r w:rsidRPr="00D10E3C">
        <w:rPr>
          <w:rStyle w:val="libFootnotenumChar"/>
          <w:rtl/>
        </w:rPr>
        <w:t>(2)</w:t>
      </w:r>
    </w:p>
    <w:p w:rsidR="00144FA6" w:rsidRDefault="00744A1C" w:rsidP="00744A1C">
      <w:pPr>
        <w:pStyle w:val="libNormal"/>
        <w:rPr>
          <w:rtl/>
          <w:lang w:bidi="fa-IR"/>
        </w:rPr>
      </w:pPr>
      <w:r>
        <w:rPr>
          <w:rtl/>
          <w:lang w:bidi="fa-IR"/>
        </w:rPr>
        <w:t>7774 / 3. مُحَمَّدُ بْنُ إِسْمَاعِيلَ ، عَنِ الْفَضْلِ بْنِ شَاذَانَ ، عَنْ صَفْوَانَ بْنِ يَحْيى ، عَنْ مُعَاوِيَةَ بْنِ عَمَّارٍ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مَا تَقُولُ فِي رَجُلٍ أَفَاضَ مِنْ عَرَفَاتٍ ، فَأَتى مِنًى؟</w:t>
      </w:r>
    </w:p>
    <w:p w:rsidR="00144FA6" w:rsidRDefault="00744A1C" w:rsidP="00744A1C">
      <w:pPr>
        <w:pStyle w:val="libNormal"/>
        <w:rPr>
          <w:rtl/>
          <w:lang w:bidi="fa-IR"/>
        </w:rPr>
      </w:pPr>
      <w:r>
        <w:rPr>
          <w:rtl/>
          <w:lang w:bidi="fa-IR"/>
        </w:rPr>
        <w:t xml:space="preserve">قَالَ : « فَلْيَرْجِعْ ، فَيَأْتِي </w:t>
      </w:r>
      <w:r w:rsidRPr="00D10E3C">
        <w:rPr>
          <w:rStyle w:val="libFootnotenumChar"/>
          <w:rtl/>
        </w:rPr>
        <w:t>(3)</w:t>
      </w:r>
      <w:r>
        <w:rPr>
          <w:rtl/>
          <w:lang w:bidi="fa-IR"/>
        </w:rPr>
        <w:t xml:space="preserve"> جَمْعاً ، فَيَقِفُ بِهَا وَإِنْ كَانَ النَّاسُ قَدْ أَفَاضُوا مِنْ جَمْعٍ ». </w:t>
      </w:r>
      <w:r w:rsidRPr="00D10E3C">
        <w:rPr>
          <w:rStyle w:val="libFootnotenumChar"/>
          <w:rtl/>
        </w:rPr>
        <w:t>(4)</w:t>
      </w:r>
    </w:p>
    <w:p w:rsidR="00144FA6" w:rsidRDefault="00744A1C" w:rsidP="00744A1C">
      <w:pPr>
        <w:pStyle w:val="libNormal"/>
        <w:rPr>
          <w:rtl/>
          <w:lang w:bidi="fa-IR"/>
        </w:rPr>
      </w:pPr>
      <w:r>
        <w:rPr>
          <w:rtl/>
          <w:lang w:bidi="fa-IR"/>
        </w:rPr>
        <w:t>7775 / 4. مُحَمَّدُ بْنُ يَحْيى ، عَنْ أَحْمَدَ بْنِ مُحَمَّدٍ ، عَنِ ابْنِ فَضَّالٍ ، عَنْ يُونُسَ بْنِ يَعْقُوبَ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رَجُلٌ أَفَاضَ مِنْ عَرَفَاتٍ ، فَمَرَّ بِالْمَشْعَرِ </w:t>
      </w:r>
      <w:r w:rsidRPr="00D10E3C">
        <w:rPr>
          <w:rStyle w:val="libFootnotenumChar"/>
          <w:rtl/>
        </w:rPr>
        <w:t>(5)</w:t>
      </w:r>
      <w:r>
        <w:rPr>
          <w:rtl/>
          <w:lang w:bidi="fa-IR"/>
        </w:rPr>
        <w:t xml:space="preserve"> ، فَلَمْ يَقِفْ حَتّى انْتَهى إِلى مِنًى ، وَرَمَى </w:t>
      </w:r>
      <w:r w:rsidRPr="00D10E3C">
        <w:rPr>
          <w:rStyle w:val="libFootnotenumChar"/>
          <w:rtl/>
        </w:rPr>
        <w:t>(6)</w:t>
      </w:r>
      <w:r>
        <w:rPr>
          <w:rtl/>
          <w:lang w:bidi="fa-IR"/>
        </w:rPr>
        <w:t xml:space="preserve"> الْجَمْرَةَ </w:t>
      </w:r>
      <w:r w:rsidRPr="00D10E3C">
        <w:rPr>
          <w:rStyle w:val="libFootnotenumChar"/>
          <w:rtl/>
        </w:rPr>
        <w:t>(7)</w:t>
      </w:r>
      <w:r>
        <w:rPr>
          <w:rtl/>
          <w:lang w:bidi="fa-IR"/>
        </w:rPr>
        <w:t xml:space="preserve"> ، وَلَمْ يَعْلَمْ حَتّى ارْتَفَعَ النَّهَارُ؟</w:t>
      </w:r>
    </w:p>
    <w:p w:rsidR="00144FA6" w:rsidRDefault="00744A1C" w:rsidP="00744A1C">
      <w:pPr>
        <w:pStyle w:val="libNormal"/>
        <w:rPr>
          <w:rtl/>
          <w:lang w:bidi="fa-IR"/>
        </w:rPr>
      </w:pPr>
      <w:r>
        <w:rPr>
          <w:rtl/>
          <w:lang w:bidi="fa-IR"/>
        </w:rPr>
        <w:t xml:space="preserve">قَالَ : « يَرْجِعُ إِلَى الْمَشْعَرِ ، فَيَقِفُ بِهِ ، ثُمَّ يَرْجِعُ ، فَيَرْمِي </w:t>
      </w:r>
      <w:r w:rsidRPr="00D10E3C">
        <w:rPr>
          <w:rStyle w:val="libFootnotenumChar"/>
          <w:rtl/>
        </w:rPr>
        <w:t>(8)</w:t>
      </w:r>
      <w:r>
        <w:rPr>
          <w:rtl/>
          <w:lang w:bidi="fa-IR"/>
        </w:rPr>
        <w:t xml:space="preserve"> الْجَمْرَةَ ». </w:t>
      </w:r>
      <w:r w:rsidRPr="00D10E3C">
        <w:rPr>
          <w:rStyle w:val="libFootnotenumChar"/>
          <w:rtl/>
        </w:rPr>
        <w:t>(9)</w:t>
      </w:r>
    </w:p>
    <w:p w:rsidR="00144FA6" w:rsidRDefault="00744A1C" w:rsidP="00744A1C">
      <w:pPr>
        <w:pStyle w:val="libNormal"/>
        <w:rPr>
          <w:rtl/>
          <w:lang w:bidi="fa-IR"/>
        </w:rPr>
      </w:pPr>
      <w:r>
        <w:rPr>
          <w:rtl/>
          <w:lang w:bidi="fa-IR"/>
        </w:rPr>
        <w:t xml:space="preserve">7776 / 5. عَلِيُّ بْنُ إِبْرَاهِيمَ ، عَنْ أَبِيهِ ، عَنِ ابْنِ أَبِي عُمَيْرٍ ، عَنْ مُحَمَّدِ بْنِ يَحْيى </w:t>
      </w:r>
      <w:r w:rsidRPr="00D10E3C">
        <w:rPr>
          <w:rStyle w:val="libFootnotenumChar"/>
          <w:rtl/>
        </w:rPr>
        <w:t>(10)</w:t>
      </w:r>
      <w:r>
        <w:rPr>
          <w:rtl/>
          <w:lang w:bidi="fa-IR"/>
        </w:rPr>
        <w:t xml:space="preserve"> :</w:t>
      </w:r>
    </w:p>
    <w:p w:rsidR="00744A1C" w:rsidRDefault="00744A1C" w:rsidP="00D10E3C">
      <w:pPr>
        <w:pStyle w:val="libLine"/>
        <w:rPr>
          <w:lang w:bidi="fa-IR"/>
        </w:rPr>
      </w:pPr>
      <w:r>
        <w:rPr>
          <w:rtl/>
          <w:lang w:bidi="fa-IR"/>
        </w:rPr>
        <w:t>____________________</w:t>
      </w:r>
    </w:p>
    <w:p w:rsidR="00744A1C" w:rsidRDefault="008049FC" w:rsidP="00D10E3C">
      <w:pPr>
        <w:pStyle w:val="libFootnote0"/>
        <w:rPr>
          <w:lang w:bidi="fa-IR"/>
        </w:rPr>
      </w:pPr>
      <w:r>
        <w:rPr>
          <w:rFonts w:hint="cs"/>
          <w:rtl/>
          <w:lang w:bidi="fa-IR"/>
        </w:rPr>
        <w:t xml:space="preserve">= </w:t>
      </w:r>
      <w:r w:rsidR="00744A1C">
        <w:rPr>
          <w:rtl/>
          <w:lang w:bidi="fa-IR"/>
        </w:rPr>
        <w:t>وبالعكس. وعلى التقديرين المراد أنّ المشعر الذي هو الموقف مجموع المزدلفة ، لا خصوص المسجد وإن كان قد يطلق عليه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وإنّه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293 ، ح 994 ؛ </w:t>
      </w:r>
      <w:r w:rsidR="00744A1C" w:rsidRPr="00C24F9C">
        <w:rPr>
          <w:rStyle w:val="libFootnoteBoldChar"/>
          <w:rtl/>
        </w:rPr>
        <w:t>والاستبصار</w:t>
      </w:r>
      <w:r w:rsidR="00744A1C">
        <w:rPr>
          <w:rtl/>
          <w:lang w:bidi="fa-IR"/>
        </w:rPr>
        <w:t xml:space="preserve"> ، ج 2 ، ص 306 ، ح 1092 ، معلّقاً عن الكليني </w:t>
      </w:r>
      <w:r w:rsidR="006538CB">
        <w:rPr>
          <w:rFonts w:hint="cs"/>
          <w:rtl/>
          <w:lang w:bidi="fa-IR"/>
        </w:rPr>
        <w:t>.</w:t>
      </w:r>
      <w:r w:rsidR="00744A1C" w:rsidRPr="00C24F9C">
        <w:rPr>
          <w:rStyle w:val="libFootnoteBoldChar"/>
          <w:rtl/>
        </w:rPr>
        <w:t>الوافي</w:t>
      </w:r>
      <w:r w:rsidR="00744A1C">
        <w:rPr>
          <w:rtl/>
          <w:lang w:bidi="fa-IR"/>
        </w:rPr>
        <w:t xml:space="preserve"> ، ج 13 ، ص 1062 ، ح 13744 ؛ </w:t>
      </w:r>
      <w:r w:rsidR="00744A1C" w:rsidRPr="00C24F9C">
        <w:rPr>
          <w:rStyle w:val="libFootnoteBoldChar"/>
          <w:rtl/>
        </w:rPr>
        <w:t>الوسائل</w:t>
      </w:r>
      <w:r w:rsidR="00744A1C">
        <w:rPr>
          <w:rtl/>
          <w:lang w:bidi="fa-IR"/>
        </w:rPr>
        <w:t xml:space="preserve"> ، ج 14 ، ص 47 ، ح 18556.</w:t>
      </w:r>
    </w:p>
    <w:p w:rsidR="00744A1C" w:rsidRDefault="00E378DD" w:rsidP="00E378DD">
      <w:pPr>
        <w:pStyle w:val="libFootnote0"/>
        <w:rPr>
          <w:lang w:bidi="fa-IR"/>
        </w:rPr>
      </w:pPr>
      <w:r>
        <w:rPr>
          <w:rtl/>
          <w:lang w:bidi="fa-IR"/>
        </w:rPr>
        <w:t>(3).</w:t>
      </w:r>
      <w:r w:rsidR="00744A1C">
        <w:rPr>
          <w:rtl/>
          <w:lang w:bidi="fa-IR"/>
        </w:rPr>
        <w:t xml:space="preserve"> في « بح » : « فليأت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288 ، ح 978 ، بسنده عن صفوان بن يحيى ، مع اختلاف يسير </w:t>
      </w:r>
      <w:r w:rsidR="006538CB">
        <w:rPr>
          <w:rFonts w:hint="cs"/>
          <w:rtl/>
          <w:lang w:bidi="fa-IR"/>
        </w:rPr>
        <w:t>.</w:t>
      </w:r>
      <w:r w:rsidR="00744A1C" w:rsidRPr="00C24F9C">
        <w:rPr>
          <w:rStyle w:val="libFootnoteBoldChar"/>
          <w:rtl/>
        </w:rPr>
        <w:t>الوافي</w:t>
      </w:r>
      <w:r w:rsidR="00744A1C">
        <w:rPr>
          <w:rtl/>
          <w:lang w:bidi="fa-IR"/>
        </w:rPr>
        <w:t xml:space="preserve"> ، ج 13 ، ص 1063 ، ح 13748 ؛ </w:t>
      </w:r>
      <w:r w:rsidR="00744A1C" w:rsidRPr="00C24F9C">
        <w:rPr>
          <w:rStyle w:val="libFootnoteBoldChar"/>
          <w:rtl/>
        </w:rPr>
        <w:t>الوسائل</w:t>
      </w:r>
      <w:r w:rsidR="00744A1C">
        <w:rPr>
          <w:rtl/>
          <w:lang w:bidi="fa-IR"/>
        </w:rPr>
        <w:t xml:space="preserve"> ، ج 14 ، ص 35 ، ح 18522.</w:t>
      </w:r>
    </w:p>
    <w:tbl>
      <w:tblPr>
        <w:tblStyle w:val="TableGrid"/>
        <w:bidiVisual/>
        <w:tblW w:w="0" w:type="auto"/>
        <w:tblLook w:val="04A0" w:firstRow="1" w:lastRow="0" w:firstColumn="1" w:lastColumn="0" w:noHBand="0" w:noVBand="1"/>
      </w:tblPr>
      <w:tblGrid>
        <w:gridCol w:w="4006"/>
        <w:gridCol w:w="4006"/>
      </w:tblGrid>
      <w:tr w:rsidR="006538CB" w:rsidTr="006538CB">
        <w:tc>
          <w:tcPr>
            <w:tcW w:w="4006" w:type="dxa"/>
          </w:tcPr>
          <w:p w:rsidR="006538CB" w:rsidRDefault="006538CB" w:rsidP="00E378DD">
            <w:pPr>
              <w:pStyle w:val="libFootnote0"/>
              <w:rPr>
                <w:rtl/>
                <w:lang w:bidi="fa-IR"/>
              </w:rPr>
            </w:pPr>
            <w:r>
              <w:rPr>
                <w:rtl/>
                <w:lang w:bidi="fa-IR"/>
              </w:rPr>
              <w:t>(5). في « بث » : - « فمرّ بالمشعر ».</w:t>
            </w:r>
          </w:p>
        </w:tc>
        <w:tc>
          <w:tcPr>
            <w:tcW w:w="4006" w:type="dxa"/>
          </w:tcPr>
          <w:p w:rsidR="006538CB" w:rsidRDefault="006538CB" w:rsidP="00E378DD">
            <w:pPr>
              <w:pStyle w:val="libFootnote0"/>
              <w:rPr>
                <w:rtl/>
                <w:lang w:bidi="fa-IR"/>
              </w:rPr>
            </w:pPr>
            <w:r>
              <w:rPr>
                <w:rtl/>
                <w:lang w:bidi="fa-IR"/>
              </w:rPr>
              <w:t>(6). في «بخ،بف»</w:t>
            </w:r>
            <w:r w:rsidRPr="00EE5E45">
              <w:rPr>
                <w:rtl/>
              </w:rPr>
              <w:t>والوافي والفقيه والتهذيب</w:t>
            </w:r>
            <w:r>
              <w:rPr>
                <w:rtl/>
                <w:lang w:bidi="fa-IR"/>
              </w:rPr>
              <w:t xml:space="preserve"> : « فرمى ».</w:t>
            </w:r>
          </w:p>
        </w:tc>
      </w:tr>
      <w:tr w:rsidR="006538CB" w:rsidTr="006538CB">
        <w:tc>
          <w:tcPr>
            <w:tcW w:w="4006" w:type="dxa"/>
          </w:tcPr>
          <w:p w:rsidR="006538CB" w:rsidRDefault="006538CB" w:rsidP="00E378DD">
            <w:pPr>
              <w:pStyle w:val="libFootnote0"/>
              <w:rPr>
                <w:rtl/>
                <w:lang w:bidi="fa-IR"/>
              </w:rPr>
            </w:pPr>
            <w:r>
              <w:rPr>
                <w:rtl/>
                <w:lang w:bidi="fa-IR"/>
              </w:rPr>
              <w:t xml:space="preserve">(7). في </w:t>
            </w:r>
            <w:r w:rsidRPr="00C24F9C">
              <w:rPr>
                <w:rStyle w:val="libFootnoteBoldChar"/>
                <w:rtl/>
              </w:rPr>
              <w:t>الوافي</w:t>
            </w:r>
            <w:r>
              <w:rPr>
                <w:rtl/>
                <w:lang w:bidi="fa-IR"/>
              </w:rPr>
              <w:t xml:space="preserve"> : « بالجمرة ».</w:t>
            </w:r>
          </w:p>
        </w:tc>
        <w:tc>
          <w:tcPr>
            <w:tcW w:w="4006" w:type="dxa"/>
          </w:tcPr>
          <w:p w:rsidR="006538CB" w:rsidRDefault="006538CB" w:rsidP="00E378DD">
            <w:pPr>
              <w:pStyle w:val="libFootnote0"/>
              <w:rPr>
                <w:rtl/>
                <w:lang w:bidi="fa-IR"/>
              </w:rPr>
            </w:pPr>
            <w:r>
              <w:rPr>
                <w:rtl/>
                <w:lang w:bidi="fa-IR"/>
              </w:rPr>
              <w:t xml:space="preserve">(8). في </w:t>
            </w:r>
            <w:r w:rsidRPr="00C24F9C">
              <w:rPr>
                <w:rStyle w:val="libFootnoteBoldChar"/>
                <w:rtl/>
              </w:rPr>
              <w:t>الوسائل</w:t>
            </w:r>
            <w:r>
              <w:rPr>
                <w:rtl/>
                <w:lang w:bidi="fa-IR"/>
              </w:rPr>
              <w:t xml:space="preserve"> و</w:t>
            </w:r>
            <w:r w:rsidRPr="00C24F9C">
              <w:rPr>
                <w:rStyle w:val="libFootnoteBoldChar"/>
                <w:rtl/>
              </w:rPr>
              <w:t>الفقيه</w:t>
            </w:r>
            <w:r>
              <w:rPr>
                <w:rtl/>
                <w:lang w:bidi="fa-IR"/>
              </w:rPr>
              <w:t xml:space="preserve"> : « يرمي ».</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288 ، ح 979 ، معلّقاً عن الكليني. </w:t>
      </w:r>
      <w:r w:rsidR="00744A1C" w:rsidRPr="00C24F9C">
        <w:rPr>
          <w:rStyle w:val="libFootnoteBoldChar"/>
          <w:rtl/>
        </w:rPr>
        <w:t>الفقيه</w:t>
      </w:r>
      <w:r w:rsidR="00744A1C">
        <w:rPr>
          <w:rtl/>
          <w:lang w:bidi="fa-IR"/>
        </w:rPr>
        <w:t xml:space="preserve"> ، ج 2 ، ص 469 ، ح 2991 ، معلّقاً عن يونس بن يعقوب </w:t>
      </w:r>
      <w:r w:rsidR="00BC1256">
        <w:rPr>
          <w:rFonts w:hint="cs"/>
          <w:rtl/>
          <w:lang w:bidi="fa-IR"/>
        </w:rPr>
        <w:t>.</w:t>
      </w:r>
      <w:r w:rsidR="00744A1C" w:rsidRPr="00C24F9C">
        <w:rPr>
          <w:rStyle w:val="libFootnoteBoldChar"/>
          <w:rtl/>
        </w:rPr>
        <w:t>الوافي</w:t>
      </w:r>
      <w:r w:rsidR="00744A1C">
        <w:rPr>
          <w:rtl/>
          <w:lang w:bidi="fa-IR"/>
        </w:rPr>
        <w:t xml:space="preserve"> ، ج 13 ، ص 1063 ، ح 13749 ؛ </w:t>
      </w:r>
      <w:r w:rsidR="00744A1C" w:rsidRPr="00C24F9C">
        <w:rPr>
          <w:rStyle w:val="libFootnoteBoldChar"/>
          <w:rtl/>
        </w:rPr>
        <w:t>الوسائل</w:t>
      </w:r>
      <w:r w:rsidR="00744A1C">
        <w:rPr>
          <w:rtl/>
          <w:lang w:bidi="fa-IR"/>
        </w:rPr>
        <w:t xml:space="preserve"> ، ج 14 ، ص 35 ، ح 18523.</w:t>
      </w:r>
    </w:p>
    <w:p w:rsidR="00744A1C" w:rsidRDefault="00E378DD" w:rsidP="00E378DD">
      <w:pPr>
        <w:pStyle w:val="libFootnote0"/>
        <w:rPr>
          <w:lang w:bidi="fa-IR"/>
        </w:rPr>
      </w:pPr>
      <w:r>
        <w:rPr>
          <w:rtl/>
          <w:lang w:bidi="fa-IR"/>
        </w:rPr>
        <w:t>(10).</w:t>
      </w:r>
      <w:r w:rsidR="00744A1C">
        <w:rPr>
          <w:rtl/>
          <w:lang w:bidi="fa-IR"/>
        </w:rPr>
        <w:t xml:space="preserve"> هكذا في « ى ، بث ، بح ، بخ ، بس ، بف ، جد ، جر ، جن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وفي المطبوع و</w:t>
      </w:r>
      <w:r w:rsidR="00744A1C" w:rsidRPr="00C24F9C">
        <w:rPr>
          <w:rStyle w:val="libFootnoteBoldChar"/>
          <w:rtl/>
        </w:rPr>
        <w:t>الوسائل</w:t>
      </w:r>
      <w:r w:rsidR="00744A1C">
        <w:rPr>
          <w:rtl/>
          <w:lang w:bidi="fa-IR"/>
        </w:rPr>
        <w:t xml:space="preserve"> </w:t>
      </w:r>
      <w:r w:rsidR="00524F76">
        <w:rPr>
          <w:rFonts w:hint="cs"/>
          <w:rtl/>
          <w:lang w:bidi="fa-IR"/>
        </w:rPr>
        <w:t>=</w:t>
      </w:r>
    </w:p>
    <w:p w:rsidR="00A55A65" w:rsidRDefault="00A55A65"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أَنَّهُ قَالَ فِي رَجُلٍ لَمْ </w:t>
      </w:r>
      <w:r w:rsidRPr="00D10E3C">
        <w:rPr>
          <w:rStyle w:val="libFootnotenumChar"/>
          <w:rtl/>
        </w:rPr>
        <w:t>(1)</w:t>
      </w:r>
      <w:r>
        <w:rPr>
          <w:rtl/>
          <w:lang w:bidi="fa-IR"/>
        </w:rPr>
        <w:t xml:space="preserve"> يَقِفْ بِالْمُزْدَلِفَةِ ، وَلَمْ يَبِتْ بِهَا حَتّى أَتى مِنًى ، فَقَالَ : « أَلَمْ يَرَ النَّاسَ ، لَمْ يُنْكِرْ </w:t>
      </w:r>
      <w:r w:rsidRPr="00D10E3C">
        <w:rPr>
          <w:rStyle w:val="libFootnotenumChar"/>
          <w:rtl/>
        </w:rPr>
        <w:t>(2)</w:t>
      </w:r>
      <w:r>
        <w:rPr>
          <w:rtl/>
          <w:lang w:bidi="fa-IR"/>
        </w:rPr>
        <w:t xml:space="preserve"> مِنًى حِينَ </w:t>
      </w:r>
      <w:r w:rsidRPr="00D10E3C">
        <w:rPr>
          <w:rStyle w:val="libFootnotenumChar"/>
          <w:rtl/>
        </w:rPr>
        <w:t>(3)</w:t>
      </w:r>
      <w:r>
        <w:rPr>
          <w:rtl/>
          <w:lang w:bidi="fa-IR"/>
        </w:rPr>
        <w:t xml:space="preserve"> دَخَلَهَا؟ ».</w:t>
      </w:r>
    </w:p>
    <w:p w:rsidR="00744A1C" w:rsidRDefault="00744A1C" w:rsidP="00744A1C">
      <w:pPr>
        <w:pStyle w:val="libNormal"/>
        <w:rPr>
          <w:lang w:bidi="fa-IR"/>
        </w:rPr>
      </w:pPr>
      <w:r>
        <w:rPr>
          <w:rtl/>
          <w:lang w:bidi="fa-IR"/>
        </w:rPr>
        <w:t xml:space="preserve">قُلْتُ : فَإِنَّهُ </w:t>
      </w:r>
      <w:r w:rsidRPr="00D10E3C">
        <w:rPr>
          <w:rStyle w:val="libFootnotenumChar"/>
          <w:rtl/>
        </w:rPr>
        <w:t>(4)</w:t>
      </w:r>
      <w:r>
        <w:rPr>
          <w:rtl/>
          <w:lang w:bidi="fa-IR"/>
        </w:rPr>
        <w:t xml:space="preserve"> جَهِلَ ذلِكَ </w:t>
      </w:r>
      <w:r w:rsidRPr="00D10E3C">
        <w:rPr>
          <w:rStyle w:val="libFootnotenumChar"/>
          <w:rtl/>
        </w:rPr>
        <w:t>(5)</w:t>
      </w:r>
      <w:r>
        <w:rPr>
          <w:rtl/>
          <w:lang w:bidi="fa-IR"/>
        </w:rPr>
        <w:t>؟ قَالَ : « يَرْجِعُ ».</w:t>
      </w:r>
    </w:p>
    <w:p w:rsidR="00144FA6" w:rsidRDefault="00744A1C" w:rsidP="00744A1C">
      <w:pPr>
        <w:pStyle w:val="libNormal"/>
        <w:rPr>
          <w:rtl/>
          <w:lang w:bidi="fa-IR"/>
        </w:rPr>
      </w:pPr>
      <w:r>
        <w:rPr>
          <w:rtl/>
          <w:lang w:bidi="fa-IR"/>
        </w:rPr>
        <w:t xml:space="preserve">قُلْتُ : إِنَّ ذلِكَ قَدْ فَاتَهُ ، قَالَ </w:t>
      </w:r>
      <w:r w:rsidRPr="00D10E3C">
        <w:rPr>
          <w:rStyle w:val="libFootnotenumChar"/>
          <w:rtl/>
        </w:rPr>
        <w:t>(6)</w:t>
      </w:r>
      <w:r>
        <w:rPr>
          <w:rtl/>
          <w:lang w:bidi="fa-IR"/>
        </w:rPr>
        <w:t xml:space="preserve"> : « لَا بَأْسَ </w:t>
      </w:r>
      <w:r w:rsidRPr="00D10E3C">
        <w:rPr>
          <w:rStyle w:val="libFootnotenumChar"/>
          <w:rtl/>
        </w:rPr>
        <w:t>(7)</w:t>
      </w:r>
      <w:r>
        <w:rPr>
          <w:rtl/>
          <w:lang w:bidi="fa-IR"/>
        </w:rPr>
        <w:t xml:space="preserve">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F60078" w:rsidP="00D10E3C">
      <w:pPr>
        <w:pStyle w:val="libFootnote0"/>
        <w:rPr>
          <w:rtl/>
          <w:lang w:bidi="fa-IR"/>
        </w:rPr>
      </w:pPr>
      <w:r>
        <w:rPr>
          <w:rFonts w:hint="cs"/>
          <w:rtl/>
          <w:lang w:bidi="fa-IR"/>
        </w:rPr>
        <w:t xml:space="preserve">= </w:t>
      </w:r>
      <w:r w:rsidR="00744A1C" w:rsidRPr="00C24F9C">
        <w:rPr>
          <w:rStyle w:val="libFootnoteBoldChar"/>
          <w:rtl/>
        </w:rPr>
        <w:t>والاستبصار</w:t>
      </w:r>
      <w:r w:rsidR="00744A1C">
        <w:rPr>
          <w:rtl/>
          <w:lang w:bidi="fa-IR"/>
        </w:rPr>
        <w:t xml:space="preserve"> : + « الخثعمي ».</w:t>
      </w:r>
    </w:p>
    <w:p w:rsidR="00594983" w:rsidRPr="00594983" w:rsidRDefault="00594983" w:rsidP="004B1BB2">
      <w:pPr>
        <w:pStyle w:val="libFootnote0"/>
        <w:rPr>
          <w:lang w:bidi="fa-IR"/>
        </w:rPr>
      </w:pPr>
      <w:r>
        <w:rPr>
          <w:rFonts w:hint="cs"/>
          <w:rtl/>
          <w:lang w:bidi="fa-IR"/>
        </w:rPr>
        <w:t>و الظاهر أنّ الخثعمي جيء به في بعض النسخ تفسيراً لمحمّد بن يحيى، ثمّ اُدرج في المتن بتوهّم</w:t>
      </w:r>
      <w:r w:rsidR="003F1A66">
        <w:rPr>
          <w:rFonts w:hint="cs"/>
          <w:rtl/>
          <w:lang w:bidi="fa-IR"/>
        </w:rPr>
        <w:t xml:space="preserve"> سقوطه منه</w:t>
      </w:r>
      <w:r w:rsidR="004B1BB2">
        <w:rPr>
          <w:rFonts w:hint="cs"/>
          <w:rtl/>
          <w:lang w:bidi="fa-IR"/>
        </w:rPr>
        <w:t xml:space="preserve"> </w:t>
      </w:r>
      <w:r w:rsidR="003F1A66">
        <w:rPr>
          <w:rFonts w:hint="cs"/>
          <w:rtl/>
          <w:lang w:bidi="fa-IR"/>
        </w:rPr>
        <w:t>.</w:t>
      </w:r>
    </w:p>
    <w:p w:rsidR="00744A1C" w:rsidRDefault="00D10E3C" w:rsidP="00D10E3C">
      <w:pPr>
        <w:pStyle w:val="libFootnote0"/>
        <w:rPr>
          <w:lang w:bidi="fa-IR"/>
        </w:rPr>
      </w:pPr>
      <w:r>
        <w:rPr>
          <w:rtl/>
          <w:lang w:bidi="fa-IR"/>
        </w:rPr>
        <w:t>(1).</w:t>
      </w:r>
      <w:r w:rsidR="00744A1C">
        <w:rPr>
          <w:rtl/>
          <w:lang w:bidi="fa-IR"/>
        </w:rPr>
        <w:t xml:space="preserve"> في « ى » : - « لم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وفي المطبوع : « [ و ] لم ينكر ». وفي </w:t>
      </w:r>
      <w:r w:rsidR="00744A1C" w:rsidRPr="00C24F9C">
        <w:rPr>
          <w:rStyle w:val="libFootnoteBoldChar"/>
          <w:rtl/>
        </w:rPr>
        <w:t>الوافي</w:t>
      </w:r>
      <w:r w:rsidR="00744A1C">
        <w:rPr>
          <w:rtl/>
          <w:lang w:bidi="fa-IR"/>
        </w:rPr>
        <w:t xml:space="preserve"> </w:t>
      </w:r>
      <w:r w:rsidR="00744A1C" w:rsidRPr="00C24F9C">
        <w:rPr>
          <w:rStyle w:val="libFootnoteBoldChar"/>
          <w:rtl/>
        </w:rPr>
        <w:t>والاستبصار</w:t>
      </w:r>
      <w:r w:rsidR="00744A1C">
        <w:rPr>
          <w:rtl/>
          <w:lang w:bidi="fa-IR"/>
        </w:rPr>
        <w:t xml:space="preserve"> ، ح 1091 : « لم يكونوا ». وفي </w:t>
      </w:r>
      <w:r w:rsidR="00744A1C" w:rsidRPr="00C24F9C">
        <w:rPr>
          <w:rStyle w:val="libFootnoteBoldChar"/>
          <w:rtl/>
        </w:rPr>
        <w:t>الوسائل</w:t>
      </w:r>
      <w:r w:rsidR="00744A1C">
        <w:rPr>
          <w:rtl/>
          <w:lang w:bidi="fa-IR"/>
        </w:rPr>
        <w:t xml:space="preserve"> : « ألم يذكر ». وفي </w:t>
      </w:r>
      <w:r w:rsidR="00744A1C" w:rsidRPr="00C24F9C">
        <w:rPr>
          <w:rStyle w:val="libFootnoteBoldChar"/>
          <w:rtl/>
        </w:rPr>
        <w:t>التهذيب</w:t>
      </w:r>
      <w:r w:rsidR="00744A1C">
        <w:rPr>
          <w:rtl/>
          <w:lang w:bidi="fa-IR"/>
        </w:rPr>
        <w:t xml:space="preserve"> : ح 993 « لم تبكر ». وقال الشهيد في </w:t>
      </w:r>
      <w:r w:rsidR="00744A1C" w:rsidRPr="00877682">
        <w:rPr>
          <w:rStyle w:val="libFootnoteBoldChar"/>
          <w:rtl/>
        </w:rPr>
        <w:t>الدروس</w:t>
      </w:r>
      <w:r w:rsidR="00744A1C">
        <w:rPr>
          <w:rtl/>
          <w:lang w:bidi="fa-IR"/>
        </w:rPr>
        <w:t xml:space="preserve"> : « الوقوف بالمشعر ركن أعظم من عرفة عندنا ، فلو تعمّد تركه بطل حجّه ، وقول ابن الجنيد بوجوب البدنة لا غير ، ضعيف ، ورواية حريز بوجوب البدنة على متعمّد تركه أو المستخفّ به متروكة محمولة على من وقف به ليلاً قليلاً ثمّ مضى. ولو تركه نسياناً فلا شي‌ء عليه إذا كان قد وقف بعرفات اختياراً ، ولو نسيهما بالكلّيّة بطل حجّه ، وكذا الجاهل. ولو ترك الوقوف بالمشعر جهلاً ، بطل حجّه عند الشيخ في </w:t>
      </w:r>
      <w:r w:rsidR="00744A1C" w:rsidRPr="00C24F9C">
        <w:rPr>
          <w:rStyle w:val="libFootnoteBoldChar"/>
          <w:rtl/>
        </w:rPr>
        <w:t>التهذيب</w:t>
      </w:r>
      <w:r w:rsidR="00744A1C">
        <w:rPr>
          <w:rtl/>
          <w:lang w:bidi="fa-IR"/>
        </w:rPr>
        <w:t xml:space="preserve"> ، ورواية محمّد بن يحيى بخلافه ، وتأوّلها الشيخ على تارك كمال الوقوف جهلاً ، وقد أتى باليسير منه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425 ، الدرس 109.</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ألم يرى الناس ، أي بالمزدلفة حيث ينزلون. وقوله : لم ينكر ، معطوف على مدخول الاستفهام ، أي ألم ينكر منى حين دخلها ولم ير فيها أحداً؟ وظاهره أن الجاهل معذور في ترك الوقوف. وهو خلاف المشهور ، كما عرفت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بمنى حين ». وفي الاستبصار ، ح 1091 : « بمنى حتّى ».</w:t>
      </w:r>
    </w:p>
    <w:p w:rsidR="00744A1C" w:rsidRDefault="00E378DD" w:rsidP="004B1BB2">
      <w:pPr>
        <w:pStyle w:val="libFootnote0"/>
        <w:rPr>
          <w:lang w:bidi="fa-IR"/>
        </w:rPr>
      </w:pPr>
      <w:r>
        <w:rPr>
          <w:rtl/>
          <w:lang w:bidi="fa-IR"/>
        </w:rPr>
        <w:t>(4).</w:t>
      </w:r>
      <w:r w:rsidR="00744A1C">
        <w:rPr>
          <w:rtl/>
          <w:lang w:bidi="fa-IR"/>
        </w:rPr>
        <w:t xml:space="preserve"> هكذا في جميع النسخ التي </w:t>
      </w:r>
      <w:r w:rsidR="00744A1C" w:rsidRPr="00EE5E45">
        <w:rPr>
          <w:rtl/>
        </w:rPr>
        <w:t>قوبلت والوافي والوسائل والتهذيب</w:t>
      </w:r>
      <w:r w:rsidR="00744A1C">
        <w:rPr>
          <w:rtl/>
          <w:lang w:bidi="fa-IR"/>
        </w:rPr>
        <w:t xml:space="preserve"> ، ح 993 </w:t>
      </w:r>
      <w:r w:rsidR="00744A1C" w:rsidRPr="00C24F9C">
        <w:rPr>
          <w:rStyle w:val="libFootnoteBoldChar"/>
          <w:rtl/>
        </w:rPr>
        <w:t>والاستبصار</w:t>
      </w:r>
      <w:r w:rsidR="00744A1C">
        <w:rPr>
          <w:rtl/>
          <w:lang w:bidi="fa-IR"/>
        </w:rPr>
        <w:t xml:space="preserve"> ، ح 1091. وفي المطبوع : « فإن ».</w:t>
      </w:r>
      <w:r w:rsidR="00EE5E45">
        <w:rPr>
          <w:rFonts w:hint="cs"/>
          <w:rtl/>
          <w:lang w:bidi="fa-IR"/>
        </w:rPr>
        <w:t xml:space="preserve">                      </w:t>
      </w:r>
      <w:r w:rsidR="004B1BB2">
        <w:rPr>
          <w:rFonts w:hint="cs"/>
          <w:rtl/>
          <w:lang w:bidi="fa-IR"/>
        </w:rPr>
        <w:t xml:space="preserve">         </w:t>
      </w: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ح 992 : - « فقال : ألم ير الناس » إلى هنا.</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EE5E45">
        <w:rPr>
          <w:rtl/>
        </w:rPr>
        <w:t>والوافي والوسائل والتهذيب</w:t>
      </w:r>
      <w:r w:rsidR="00744A1C">
        <w:rPr>
          <w:rtl/>
          <w:lang w:bidi="fa-IR"/>
        </w:rPr>
        <w:t xml:space="preserve"> ، ح 993 </w:t>
      </w:r>
      <w:r w:rsidR="00744A1C" w:rsidRPr="00C24F9C">
        <w:rPr>
          <w:rStyle w:val="libFootnoteBoldChar"/>
          <w:rtl/>
        </w:rPr>
        <w:t>والاستبصار</w:t>
      </w:r>
      <w:r w:rsidR="00744A1C">
        <w:rPr>
          <w:rtl/>
          <w:lang w:bidi="fa-IR"/>
        </w:rPr>
        <w:t xml:space="preserve"> ، ح 1090 وح 1091. وفي المطبوع : « فقال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حملهما - أي هذا الحديث والذي روي في </w:t>
      </w:r>
      <w:r w:rsidR="00744A1C" w:rsidRPr="00C24F9C">
        <w:rPr>
          <w:rStyle w:val="libFootnoteBoldChar"/>
          <w:rtl/>
        </w:rPr>
        <w:t>التهذيب</w:t>
      </w:r>
      <w:r w:rsidR="00744A1C">
        <w:rPr>
          <w:rtl/>
          <w:lang w:bidi="fa-IR"/>
        </w:rPr>
        <w:t xml:space="preserve"> ، ج 5 ، ص 292 ، ح 992 - في </w:t>
      </w:r>
      <w:r w:rsidR="00744A1C" w:rsidRPr="00C24F9C">
        <w:rPr>
          <w:rStyle w:val="libFootnoteBoldChar"/>
          <w:rtl/>
        </w:rPr>
        <w:t>التهذيب</w:t>
      </w:r>
      <w:r w:rsidR="00744A1C">
        <w:rPr>
          <w:rtl/>
          <w:lang w:bidi="fa-IR"/>
        </w:rPr>
        <w:t xml:space="preserve">ين بعد الطعن في الراوي بأنّه عامّيّ وبأنّه رواه تارة بواسطة واخرى بدونها ، على من وقف بالمزدلفة شيئاً يسيراً دون الوقوف التامّ ، كما ورد في الخبرين السابقين عليهما ». والخبران السابقان هما الثاني هنا وما روى في </w:t>
      </w:r>
      <w:r w:rsidR="00744A1C" w:rsidRPr="00C24F9C">
        <w:rPr>
          <w:rStyle w:val="libFootnoteBoldChar"/>
          <w:rtl/>
        </w:rPr>
        <w:t>الفقيه</w:t>
      </w:r>
      <w:r w:rsidR="00744A1C">
        <w:rPr>
          <w:rtl/>
          <w:lang w:bidi="fa-IR"/>
        </w:rPr>
        <w:t xml:space="preserve"> ، ج 2 ، ص 47 ، ذيل ح 2992.</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293 ، ح 993 ؛ </w:t>
      </w:r>
      <w:r w:rsidR="00744A1C" w:rsidRPr="00C24F9C">
        <w:rPr>
          <w:rStyle w:val="libFootnoteBoldChar"/>
          <w:rtl/>
        </w:rPr>
        <w:t>والاستبصار</w:t>
      </w:r>
      <w:r w:rsidR="00744A1C">
        <w:rPr>
          <w:rtl/>
          <w:lang w:bidi="fa-IR"/>
        </w:rPr>
        <w:t xml:space="preserve"> ، ج 2 ، ص 305 ، ح 1091 ، معلّقاً عن الكليني. وفي </w:t>
      </w:r>
      <w:r w:rsidR="004B1BB2">
        <w:rPr>
          <w:rFonts w:hint="cs"/>
          <w:rtl/>
          <w:lang w:bidi="fa-IR"/>
        </w:rPr>
        <w:t>=</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7777 / 6. عِدَّةٌ مِنْ أَصْحَابِنَا ، عَنْ سَهْلِ بْنِ زِيَادٍ ، عَنِ الْحَسَنِ </w:t>
      </w:r>
      <w:r w:rsidRPr="00D10E3C">
        <w:rPr>
          <w:rStyle w:val="libFootnotenumChar"/>
          <w:rtl/>
        </w:rPr>
        <w:t>(1)</w:t>
      </w:r>
      <w:r>
        <w:rPr>
          <w:rtl/>
          <w:lang w:bidi="fa-IR"/>
        </w:rPr>
        <w:t xml:space="preserve"> بْنِ مَحْبُوبٍ ، عَنْ عَلِيِّ </w:t>
      </w:r>
      <w:r w:rsidRPr="00D10E3C">
        <w:rPr>
          <w:rStyle w:val="libFootnotenumChar"/>
          <w:rtl/>
        </w:rPr>
        <w:t>(2)</w:t>
      </w:r>
      <w:r>
        <w:rPr>
          <w:rtl/>
          <w:lang w:bidi="fa-IR"/>
        </w:rPr>
        <w:t xml:space="preserve"> بْنِ رِئَابٍ ، عَنْ حَرِيزٍ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أَفَاضَ مِنْ عَرَفَاتٍ مَعَ النَّاسِ ، وَلَمْ يَلْبَثْ </w:t>
      </w:r>
      <w:r w:rsidRPr="00D10E3C">
        <w:rPr>
          <w:rStyle w:val="libFootnotenumChar"/>
          <w:rtl/>
        </w:rPr>
        <w:t>(3)</w:t>
      </w:r>
      <w:r>
        <w:rPr>
          <w:rtl/>
          <w:lang w:bidi="fa-IR"/>
        </w:rPr>
        <w:t xml:space="preserve"> مَعَهُمْ بِجَمْعٍ ، وَمَضى إِلى مِنًى مُتَعَمِّداً أَوْ مُسْتَخِفّاً </w:t>
      </w:r>
      <w:r w:rsidRPr="00D10E3C">
        <w:rPr>
          <w:rStyle w:val="libFootnotenumChar"/>
          <w:rtl/>
        </w:rPr>
        <w:t>(4)</w:t>
      </w:r>
      <w:r>
        <w:rPr>
          <w:rtl/>
          <w:lang w:bidi="fa-IR"/>
        </w:rPr>
        <w:t xml:space="preserve"> ، فَعَلَيْهِ بَدَنَةٌ ». </w:t>
      </w:r>
      <w:r w:rsidRPr="00D10E3C">
        <w:rPr>
          <w:rStyle w:val="libFootnotenumChar"/>
          <w:rtl/>
        </w:rPr>
        <w:t>(5)</w:t>
      </w:r>
    </w:p>
    <w:p w:rsidR="00744A1C" w:rsidRDefault="00744A1C" w:rsidP="00C07FDB">
      <w:pPr>
        <w:pStyle w:val="Heading2Center"/>
        <w:rPr>
          <w:lang w:bidi="fa-IR"/>
        </w:rPr>
      </w:pPr>
      <w:bookmarkStart w:id="15" w:name="_Toc49261313"/>
      <w:r>
        <w:rPr>
          <w:rtl/>
          <w:lang w:bidi="fa-IR"/>
        </w:rPr>
        <w:t>170 - بَابُ مَنْ تَعَجَّلَ مِنَ الْمُزْدَلِفَةِ قَبْلَ الْفَجْرِ‌</w:t>
      </w:r>
      <w:bookmarkEnd w:id="15"/>
    </w:p>
    <w:p w:rsidR="00144FA6" w:rsidRDefault="00744A1C" w:rsidP="00744A1C">
      <w:pPr>
        <w:pStyle w:val="libNormal"/>
        <w:rPr>
          <w:rtl/>
          <w:lang w:bidi="fa-IR"/>
        </w:rPr>
      </w:pPr>
      <w:r>
        <w:rPr>
          <w:rtl/>
          <w:lang w:bidi="fa-IR"/>
        </w:rPr>
        <w:t xml:space="preserve">7778 / 1. عِدَّةٌ مِنْ أَصْحَابِنَا ، عَنْ سَهْلِ بْنِ زِيَادٍ ، عَنِ الْحَسَنِ </w:t>
      </w:r>
      <w:r w:rsidRPr="00D10E3C">
        <w:rPr>
          <w:rStyle w:val="libFootnotenumChar"/>
          <w:rtl/>
        </w:rPr>
        <w:t>(6)</w:t>
      </w:r>
      <w:r>
        <w:rPr>
          <w:rtl/>
          <w:lang w:bidi="fa-IR"/>
        </w:rPr>
        <w:t xml:space="preserve"> بْنِ مَحْبُوبٍ ، عَنْ عَلِيِّ </w:t>
      </w:r>
      <w:r w:rsidRPr="00D10E3C">
        <w:rPr>
          <w:rStyle w:val="libFootnotenumChar"/>
          <w:rtl/>
        </w:rPr>
        <w:t>(7)</w:t>
      </w:r>
      <w:r>
        <w:rPr>
          <w:rtl/>
          <w:lang w:bidi="fa-IR"/>
        </w:rPr>
        <w:t xml:space="preserve"> بْنِ رِئَابٍ ، عَنْ مِسْمَعٍ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رَجُلٍ وَقَفَ مَعَ النَّاسِ بِجَمْعٍ </w:t>
      </w:r>
      <w:r w:rsidRPr="00D10E3C">
        <w:rPr>
          <w:rStyle w:val="libFootnotenumChar"/>
          <w:rtl/>
        </w:rPr>
        <w:t>(8)</w:t>
      </w:r>
      <w:r>
        <w:rPr>
          <w:rtl/>
          <w:lang w:bidi="fa-IR"/>
        </w:rPr>
        <w:t xml:space="preserve"> ، ثُمَّ أَفَاضَ قَبْلَ أَنْ يُفِيضَ </w:t>
      </w:r>
      <w:r w:rsidRPr="00D10E3C">
        <w:rPr>
          <w:rStyle w:val="libFootnotenumChar"/>
          <w:rtl/>
        </w:rPr>
        <w:t>(9)</w:t>
      </w:r>
      <w:r>
        <w:rPr>
          <w:rtl/>
          <w:lang w:bidi="fa-IR"/>
        </w:rPr>
        <w:t xml:space="preserve"> النَّاسُ ، قَالَ : « إِنْ كَانَ جَاهِلاً ، فَلَا شَيْ‌ءَ عَلَيْهِ </w:t>
      </w:r>
      <w:r w:rsidRPr="00D10E3C">
        <w:rPr>
          <w:rStyle w:val="libFootnotenumChar"/>
          <w:rtl/>
        </w:rPr>
        <w:t>(10)</w:t>
      </w:r>
      <w:r>
        <w:rPr>
          <w:rtl/>
          <w:lang w:bidi="fa-IR"/>
        </w:rPr>
        <w:t xml:space="preserve"> ، وَإِنْ كَانَ أَفَاضَ قَبْلَ طُلُوعِ الْفَجْرِ ،</w:t>
      </w:r>
    </w:p>
    <w:p w:rsidR="00744A1C" w:rsidRDefault="00744A1C" w:rsidP="00D10E3C">
      <w:pPr>
        <w:pStyle w:val="libLine"/>
        <w:rPr>
          <w:lang w:bidi="fa-IR"/>
        </w:rPr>
      </w:pPr>
      <w:r>
        <w:rPr>
          <w:rtl/>
          <w:lang w:bidi="fa-IR"/>
        </w:rPr>
        <w:t>____________________</w:t>
      </w:r>
    </w:p>
    <w:p w:rsidR="00744A1C" w:rsidRDefault="00C07FDB" w:rsidP="00D10E3C">
      <w:pPr>
        <w:pStyle w:val="libFootnote0"/>
        <w:rPr>
          <w:lang w:bidi="fa-IR"/>
        </w:rPr>
      </w:pPr>
      <w:r>
        <w:rPr>
          <w:rFonts w:hint="cs"/>
          <w:rtl/>
          <w:lang w:bidi="fa-IR"/>
        </w:rPr>
        <w:t xml:space="preserve">= </w:t>
      </w:r>
      <w:r w:rsidR="00744A1C" w:rsidRPr="00C24F9C">
        <w:rPr>
          <w:rStyle w:val="libFootnoteBoldChar"/>
          <w:rtl/>
        </w:rPr>
        <w:t>التهذيب</w:t>
      </w:r>
      <w:r w:rsidR="00744A1C">
        <w:rPr>
          <w:rtl/>
          <w:lang w:bidi="fa-IR"/>
        </w:rPr>
        <w:t xml:space="preserve"> ، ج 5 ، ص 292 ، ح 992 ؛ </w:t>
      </w:r>
      <w:r w:rsidR="00744A1C" w:rsidRPr="00C24F9C">
        <w:rPr>
          <w:rStyle w:val="libFootnoteBoldChar"/>
          <w:rtl/>
        </w:rPr>
        <w:t>والاستبصار</w:t>
      </w:r>
      <w:r w:rsidR="00744A1C">
        <w:rPr>
          <w:rtl/>
          <w:lang w:bidi="fa-IR"/>
        </w:rPr>
        <w:t xml:space="preserve"> ، ج 2 ، ص 305 ، ح 1091 ، بسندهما عن ابن أبي عمير ، عن محمّد بن يحيى الخثعمي ، عن بعض أصحابه ، عن أبي عبدالله </w:t>
      </w:r>
      <w:r w:rsidR="0061079A" w:rsidRPr="0061079A">
        <w:rPr>
          <w:rStyle w:val="libFootnoteAlaemChar"/>
          <w:rtl/>
        </w:rPr>
        <w:t>عليه‌السلام</w:t>
      </w:r>
      <w:r w:rsidR="00D10E3C">
        <w:rPr>
          <w:rtl/>
          <w:lang w:bidi="fa-IR"/>
        </w:rPr>
        <w:t xml:space="preserve"> </w:t>
      </w:r>
      <w:r w:rsidR="002F5168">
        <w:rPr>
          <w:rFonts w:hint="cs"/>
          <w:rtl/>
          <w:lang w:bidi="fa-IR"/>
        </w:rPr>
        <w:t>.</w:t>
      </w:r>
      <w:r w:rsidR="00744A1C" w:rsidRPr="00C24F9C">
        <w:rPr>
          <w:rStyle w:val="libFootnoteBoldChar"/>
          <w:rtl/>
        </w:rPr>
        <w:t>الوافي</w:t>
      </w:r>
      <w:r w:rsidR="00744A1C">
        <w:rPr>
          <w:rtl/>
          <w:lang w:bidi="fa-IR"/>
        </w:rPr>
        <w:t xml:space="preserve"> ، ج 13 ، ص 1062 ، ح 13746 ؛ </w:t>
      </w:r>
      <w:r w:rsidR="00744A1C" w:rsidRPr="00C24F9C">
        <w:rPr>
          <w:rStyle w:val="libFootnoteBoldChar"/>
          <w:rtl/>
        </w:rPr>
        <w:t>الوسائل</w:t>
      </w:r>
      <w:r w:rsidR="00744A1C">
        <w:rPr>
          <w:rtl/>
          <w:lang w:bidi="fa-IR"/>
        </w:rPr>
        <w:t xml:space="preserve"> ، ج 14 ، ص 47 ، ح 18555.</w:t>
      </w:r>
    </w:p>
    <w:p w:rsidR="00744A1C" w:rsidRDefault="00D10E3C" w:rsidP="00D10E3C">
      <w:pPr>
        <w:pStyle w:val="libFootnote0"/>
        <w:rPr>
          <w:lang w:bidi="fa-IR"/>
        </w:rPr>
      </w:pPr>
      <w:r>
        <w:rPr>
          <w:rtl/>
          <w:lang w:bidi="fa-IR"/>
        </w:rPr>
        <w:t>(1).</w:t>
      </w:r>
      <w:r w:rsidR="00744A1C">
        <w:rPr>
          <w:rtl/>
          <w:lang w:bidi="fa-IR"/>
        </w:rPr>
        <w:t xml:space="preserve"> في « بخ ، بف ، جر » </w:t>
      </w:r>
      <w:r w:rsidR="00744A1C" w:rsidRPr="0061079A">
        <w:rPr>
          <w:rStyle w:val="libFootnoteBoldChar"/>
          <w:rtl/>
        </w:rPr>
        <w:t>والتهذيب</w:t>
      </w:r>
      <w:r w:rsidR="00744A1C">
        <w:rPr>
          <w:rtl/>
          <w:lang w:bidi="fa-IR"/>
        </w:rPr>
        <w:t xml:space="preserve"> : - « الحسن ».</w:t>
      </w:r>
    </w:p>
    <w:p w:rsidR="00744A1C" w:rsidRDefault="00E378DD" w:rsidP="00E378DD">
      <w:pPr>
        <w:pStyle w:val="libFootnote0"/>
        <w:rPr>
          <w:lang w:bidi="fa-IR"/>
        </w:rPr>
      </w:pPr>
      <w:r>
        <w:rPr>
          <w:rtl/>
          <w:lang w:bidi="fa-IR"/>
        </w:rPr>
        <w:t>(2).</w:t>
      </w:r>
      <w:r w:rsidR="00744A1C">
        <w:rPr>
          <w:rtl/>
          <w:lang w:bidi="fa-IR"/>
        </w:rPr>
        <w:t xml:space="preserve"> في « بث ، بخ ، بف ، جر » </w:t>
      </w:r>
      <w:r w:rsidR="00744A1C" w:rsidRPr="0061079A">
        <w:rPr>
          <w:rStyle w:val="libFootnoteBoldChar"/>
          <w:rtl/>
        </w:rPr>
        <w:t>والتهذيب</w:t>
      </w:r>
      <w:r w:rsidR="00744A1C">
        <w:rPr>
          <w:rtl/>
          <w:lang w:bidi="fa-IR"/>
        </w:rPr>
        <w:t xml:space="preserve"> : - « علي ».</w:t>
      </w:r>
    </w:p>
    <w:p w:rsidR="00744A1C" w:rsidRDefault="00E378DD" w:rsidP="00E378DD">
      <w:pPr>
        <w:pStyle w:val="libFootnote0"/>
        <w:rPr>
          <w:lang w:bidi="fa-IR"/>
        </w:rPr>
      </w:pPr>
      <w:r>
        <w:rPr>
          <w:rtl/>
          <w:lang w:bidi="fa-IR"/>
        </w:rPr>
        <w:t>(3).</w:t>
      </w:r>
      <w:r w:rsidR="00744A1C">
        <w:rPr>
          <w:rtl/>
          <w:lang w:bidi="fa-IR"/>
        </w:rPr>
        <w:t xml:space="preserve"> في « بح » وحاشية « جن » : « ولم يبت ».</w:t>
      </w:r>
    </w:p>
    <w:p w:rsidR="00744A1C" w:rsidRDefault="00E378DD" w:rsidP="00E378DD">
      <w:pPr>
        <w:pStyle w:val="libFootnote0"/>
        <w:rPr>
          <w:lang w:bidi="fa-IR"/>
        </w:rPr>
      </w:pPr>
      <w:r>
        <w:rPr>
          <w:rtl/>
          <w:lang w:bidi="fa-IR"/>
        </w:rPr>
        <w:t>(4).</w:t>
      </w:r>
      <w:r w:rsidR="00744A1C">
        <w:rPr>
          <w:rtl/>
          <w:lang w:bidi="fa-IR"/>
        </w:rPr>
        <w:t xml:space="preserve"> عن المحقّق الشعراني في هامش </w:t>
      </w:r>
      <w:r w:rsidR="00744A1C" w:rsidRPr="00C24F9C">
        <w:rPr>
          <w:rStyle w:val="libFootnoteBoldChar"/>
          <w:rtl/>
        </w:rPr>
        <w:t>الوافي</w:t>
      </w:r>
      <w:r w:rsidR="00744A1C">
        <w:rPr>
          <w:rtl/>
          <w:lang w:bidi="fa-IR"/>
        </w:rPr>
        <w:t xml:space="preserve"> : « قوله : أو مستخفّاً ، أي مساهلاً مسامحاً ، قال المراد </w:t>
      </w:r>
      <w:r w:rsidR="00877682" w:rsidRPr="00877682">
        <w:rPr>
          <w:rStyle w:val="libFootnoteAlaemChar"/>
          <w:rtl/>
        </w:rPr>
        <w:t>رحمه‌الله</w:t>
      </w:r>
      <w:r w:rsidR="00744A1C">
        <w:rPr>
          <w:rtl/>
          <w:lang w:bidi="fa-IR"/>
        </w:rPr>
        <w:t>: لا يبعد أن يراد بالمستخفّ الجاهل بالوجوب ؛ فإنّه يعدّ ذلك خفيفاً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294 ، ح 996 ، معلّقاً عن الكليني. </w:t>
      </w:r>
      <w:r w:rsidR="00744A1C" w:rsidRPr="00C24F9C">
        <w:rPr>
          <w:rStyle w:val="libFootnoteBoldChar"/>
          <w:rtl/>
        </w:rPr>
        <w:t>الفقيه</w:t>
      </w:r>
      <w:r w:rsidR="00744A1C">
        <w:rPr>
          <w:rtl/>
          <w:lang w:bidi="fa-IR"/>
        </w:rPr>
        <w:t xml:space="preserve"> ، ج 2 ، ص 469 ، ح 2990 ، معلّقاً عن عليّ بن رئاب ، عن الصادق </w:t>
      </w:r>
      <w:r w:rsidR="0061079A" w:rsidRPr="0061079A">
        <w:rPr>
          <w:rStyle w:val="libFootnoteAlaemChar"/>
          <w:rtl/>
        </w:rPr>
        <w:t>عليه‌السلام</w:t>
      </w:r>
      <w:r w:rsidR="00D10E3C">
        <w:rPr>
          <w:rtl/>
          <w:lang w:bidi="fa-IR"/>
        </w:rPr>
        <w:t xml:space="preserve"> </w:t>
      </w:r>
      <w:r w:rsidR="002F5168">
        <w:rPr>
          <w:rFonts w:hint="cs"/>
          <w:rtl/>
          <w:lang w:bidi="fa-IR"/>
        </w:rPr>
        <w:t>.</w:t>
      </w:r>
      <w:r w:rsidR="00744A1C" w:rsidRPr="00C24F9C">
        <w:rPr>
          <w:rStyle w:val="libFootnoteBoldChar"/>
          <w:rtl/>
        </w:rPr>
        <w:t>الوافي</w:t>
      </w:r>
      <w:r w:rsidR="00744A1C">
        <w:rPr>
          <w:rtl/>
          <w:lang w:bidi="fa-IR"/>
        </w:rPr>
        <w:t xml:space="preserve"> ، ج 13 ، ص 1064 ، ح 13750 ؛ </w:t>
      </w:r>
      <w:r w:rsidR="00744A1C" w:rsidRPr="00C24F9C">
        <w:rPr>
          <w:rStyle w:val="libFootnoteBoldChar"/>
          <w:rtl/>
        </w:rPr>
        <w:t>الوسائل</w:t>
      </w:r>
      <w:r w:rsidR="00744A1C">
        <w:rPr>
          <w:rtl/>
          <w:lang w:bidi="fa-IR"/>
        </w:rPr>
        <w:t xml:space="preserve"> ، ج 14 ، ص 48 ، ذيل ح 18557.</w:t>
      </w:r>
    </w:p>
    <w:p w:rsidR="00744A1C" w:rsidRDefault="00E378DD" w:rsidP="00E378DD">
      <w:pPr>
        <w:pStyle w:val="libFootnote0"/>
        <w:rPr>
          <w:lang w:bidi="fa-IR"/>
        </w:rPr>
      </w:pPr>
      <w:r>
        <w:rPr>
          <w:rtl/>
          <w:lang w:bidi="fa-IR"/>
        </w:rPr>
        <w:t>(6).</w:t>
      </w:r>
      <w:r w:rsidR="00744A1C">
        <w:rPr>
          <w:rtl/>
          <w:lang w:bidi="fa-IR"/>
        </w:rPr>
        <w:t xml:space="preserve"> في « بخ ، بف ، جر »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 الحسن ».</w:t>
      </w:r>
    </w:p>
    <w:p w:rsidR="00744A1C" w:rsidRDefault="00E378DD" w:rsidP="00E378DD">
      <w:pPr>
        <w:pStyle w:val="libFootnote0"/>
        <w:rPr>
          <w:lang w:bidi="fa-IR"/>
        </w:rPr>
      </w:pPr>
      <w:r>
        <w:rPr>
          <w:rtl/>
          <w:lang w:bidi="fa-IR"/>
        </w:rPr>
        <w:t>(7).</w:t>
      </w:r>
      <w:r w:rsidR="00744A1C">
        <w:rPr>
          <w:rtl/>
          <w:lang w:bidi="fa-IR"/>
        </w:rPr>
        <w:t xml:space="preserve"> في « بخ ، بف ، جر »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 عليّ ».</w:t>
      </w:r>
    </w:p>
    <w:p w:rsidR="00744A1C" w:rsidRDefault="00E378DD" w:rsidP="00E378DD">
      <w:pPr>
        <w:pStyle w:val="libFootnote0"/>
        <w:rPr>
          <w:lang w:bidi="fa-IR"/>
        </w:rPr>
      </w:pPr>
      <w:r>
        <w:rPr>
          <w:rtl/>
          <w:lang w:bidi="fa-IR"/>
        </w:rPr>
        <w:t>(8).</w:t>
      </w:r>
      <w:r w:rsidR="00744A1C">
        <w:rPr>
          <w:rtl/>
          <w:lang w:bidi="fa-IR"/>
        </w:rPr>
        <w:t xml:space="preserve"> قد مضى معنى « جَمْع » ذيل الحديث الأوّل من الباب الماضي.</w:t>
      </w:r>
    </w:p>
    <w:p w:rsidR="00744A1C" w:rsidRDefault="00E378DD" w:rsidP="00E378DD">
      <w:pPr>
        <w:pStyle w:val="libFootnote0"/>
        <w:rPr>
          <w:lang w:bidi="fa-IR"/>
        </w:rPr>
      </w:pPr>
      <w:r>
        <w:rPr>
          <w:rtl/>
          <w:lang w:bidi="fa-IR"/>
        </w:rPr>
        <w:t>(9).</w:t>
      </w:r>
      <w:r w:rsidR="00744A1C">
        <w:rPr>
          <w:rtl/>
          <w:lang w:bidi="fa-IR"/>
        </w:rPr>
        <w:t xml:space="preserve"> في « بخ » : « أن تفيض ». وفي « ى ، بث ، بح ، بس ، جن » : - « أن يفيض ».</w:t>
      </w:r>
    </w:p>
    <w:p w:rsidR="00744A1C" w:rsidRDefault="00E378DD" w:rsidP="00E378DD">
      <w:pPr>
        <w:pStyle w:val="libFootnote0"/>
        <w:rPr>
          <w:lang w:bidi="fa-IR"/>
        </w:rPr>
      </w:pPr>
      <w:r>
        <w:rPr>
          <w:rtl/>
          <w:lang w:bidi="fa-IR"/>
        </w:rPr>
        <w:t>(10).</w:t>
      </w:r>
      <w:r w:rsidR="00744A1C">
        <w:rPr>
          <w:rtl/>
          <w:lang w:bidi="fa-IR"/>
        </w:rPr>
        <w:t xml:space="preserve"> في حاشية « بح » : « فلا بأس » بدل « فلا شي‌ء عليه ».</w:t>
      </w:r>
    </w:p>
    <w:p w:rsidR="00A55A65" w:rsidRDefault="00A55A65" w:rsidP="00D10E3C">
      <w:pPr>
        <w:pStyle w:val="libNormal"/>
        <w:rPr>
          <w:rtl/>
          <w:lang w:bidi="fa-IR"/>
        </w:rPr>
      </w:pPr>
      <w:r>
        <w:rPr>
          <w:rtl/>
          <w:lang w:bidi="fa-IR"/>
        </w:rPr>
        <w:br w:type="page"/>
      </w:r>
    </w:p>
    <w:p w:rsidR="00144FA6" w:rsidRDefault="00744A1C" w:rsidP="00EE5E45">
      <w:pPr>
        <w:pStyle w:val="libNormal0"/>
        <w:rPr>
          <w:rtl/>
          <w:lang w:bidi="fa-IR"/>
        </w:rPr>
      </w:pPr>
      <w:r>
        <w:rPr>
          <w:rtl/>
          <w:lang w:bidi="fa-IR"/>
        </w:rPr>
        <w:lastRenderedPageBreak/>
        <w:t xml:space="preserve">فَعَلَيْهِ دَمُ شَاةٍ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7779 / 2. الْحُسَيْنُ بْنُ مُحَمَّدٍ ، عَنْ مُعَلَّى بْنِ مُحَمَّدٍ ، عَنِ الْحَسَنِ بْنِ عَلِيٍّ الْوَشَّاءِ ، عَنْ أَبَانِ بْنِ عُثْمَانَ ، عَنْ سَعِيدٍ السَّمَّانِ </w:t>
      </w:r>
      <w:r w:rsidRPr="00D10E3C">
        <w:rPr>
          <w:rStyle w:val="libFootnotenumChar"/>
          <w:rtl/>
        </w:rPr>
        <w:t>(3)</w:t>
      </w:r>
      <w:r>
        <w:rPr>
          <w:rtl/>
          <w:lang w:bidi="fa-IR"/>
        </w:rPr>
        <w:t xml:space="preserve">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إِنَّ رَسُولَ اللهِ </w:t>
      </w:r>
      <w:r w:rsidR="0017097C" w:rsidRPr="0017097C">
        <w:rPr>
          <w:rStyle w:val="libAlaemChar"/>
          <w:rtl/>
        </w:rPr>
        <w:t>صلى‌الله‌عليه‌وآله</w:t>
      </w:r>
      <w:r w:rsidR="00D10E3C">
        <w:rPr>
          <w:rtl/>
          <w:lang w:bidi="fa-IR"/>
        </w:rPr>
        <w:t xml:space="preserve"> </w:t>
      </w:r>
      <w:r>
        <w:rPr>
          <w:rtl/>
          <w:lang w:bidi="fa-IR"/>
        </w:rPr>
        <w:t xml:space="preserve">عَجَّلَ النِّسَاءَ لَيْلاً مِنَ الْمُزْدَلِفَةِ إِلى مِنًى ، وَأَمَرَ </w:t>
      </w:r>
      <w:r w:rsidRPr="00D10E3C">
        <w:rPr>
          <w:rStyle w:val="libFootnotenumChar"/>
          <w:rtl/>
        </w:rPr>
        <w:t>(4)</w:t>
      </w:r>
      <w:r>
        <w:rPr>
          <w:rtl/>
          <w:lang w:bidi="fa-IR"/>
        </w:rPr>
        <w:t xml:space="preserve"> مَنْ كَانَ مِنْهُنَّ عَلَيْهَا </w:t>
      </w:r>
      <w:r w:rsidRPr="00D10E3C">
        <w:rPr>
          <w:rStyle w:val="libFootnotenumChar"/>
          <w:rtl/>
        </w:rPr>
        <w:t>(5)</w:t>
      </w:r>
      <w:r>
        <w:rPr>
          <w:rtl/>
          <w:lang w:bidi="fa-IR"/>
        </w:rPr>
        <w:t xml:space="preserve"> هَدْيٌ أَنْ </w:t>
      </w:r>
      <w:r w:rsidRPr="00D10E3C">
        <w:rPr>
          <w:rStyle w:val="libFootnotenumChar"/>
          <w:rtl/>
        </w:rPr>
        <w:t>(6)</w:t>
      </w:r>
      <w:r>
        <w:rPr>
          <w:rtl/>
          <w:lang w:bidi="fa-IR"/>
        </w:rPr>
        <w:t xml:space="preserve"> تَرْمِيَ </w:t>
      </w:r>
      <w:r w:rsidRPr="00D10E3C">
        <w:rPr>
          <w:rStyle w:val="libFootnotenumChar"/>
          <w:rtl/>
        </w:rPr>
        <w:t>(7)</w:t>
      </w:r>
      <w:r>
        <w:rPr>
          <w:rtl/>
          <w:lang w:bidi="fa-IR"/>
        </w:rPr>
        <w:t xml:space="preserve"> ، وَلَا تَبْرَحَ </w:t>
      </w:r>
      <w:r w:rsidRPr="00D10E3C">
        <w:rPr>
          <w:rStyle w:val="libFootnotenumChar"/>
          <w:rtl/>
        </w:rPr>
        <w:t>(8)</w:t>
      </w:r>
      <w:r>
        <w:rPr>
          <w:rtl/>
          <w:lang w:bidi="fa-IR"/>
        </w:rPr>
        <w:t xml:space="preserve"> حَتّى تَذْبَحَ </w:t>
      </w:r>
      <w:r w:rsidRPr="00D10E3C">
        <w:rPr>
          <w:rStyle w:val="libFootnotenumChar"/>
          <w:rtl/>
        </w:rPr>
        <w:t>(9)</w:t>
      </w:r>
      <w:r>
        <w:rPr>
          <w:rtl/>
          <w:lang w:bidi="fa-IR"/>
        </w:rPr>
        <w:t xml:space="preserve"> ، وَمَنْ لَمْ يَكُنْ عَلَيْهَا مِنْهُنَّ </w:t>
      </w:r>
      <w:r w:rsidRPr="00D10E3C">
        <w:rPr>
          <w:rStyle w:val="libFootnotenumChar"/>
          <w:rtl/>
        </w:rPr>
        <w:t>(10)</w:t>
      </w:r>
      <w:r>
        <w:rPr>
          <w:rtl/>
          <w:lang w:bidi="fa-IR"/>
        </w:rPr>
        <w:t xml:space="preserve"> هَدْيٌ أَنْ تَمْضِيَ إِلى مَكَّةَ حَتّى تَزُورَ </w:t>
      </w:r>
      <w:r w:rsidRPr="00D10E3C">
        <w:rPr>
          <w:rStyle w:val="libFootnotenumChar"/>
          <w:rtl/>
        </w:rPr>
        <w:t>(11)</w:t>
      </w:r>
      <w:r>
        <w:rPr>
          <w:rtl/>
          <w:lang w:bidi="fa-IR"/>
        </w:rPr>
        <w:t xml:space="preserve"> ». </w:t>
      </w:r>
      <w:r w:rsidRPr="00D10E3C">
        <w:rPr>
          <w:rStyle w:val="libFootnotenumChar"/>
          <w:rtl/>
        </w:rPr>
        <w:t>(12)</w:t>
      </w:r>
    </w:p>
    <w:p w:rsidR="00144FA6" w:rsidRDefault="00744A1C" w:rsidP="00744A1C">
      <w:pPr>
        <w:pStyle w:val="libNormal"/>
        <w:rPr>
          <w:rtl/>
          <w:lang w:bidi="fa-IR"/>
        </w:rPr>
      </w:pPr>
      <w:r>
        <w:rPr>
          <w:rtl/>
          <w:lang w:bidi="fa-IR"/>
        </w:rPr>
        <w:t>7780 / 3. عَلِيُّ بْنُ إِبْرَاهِيمَ ، عَنْ أَبِيهِ ، عَنِ ابْنِ أَبِي عُمَيْرٍ ، عَنْ جَمِيلِ بْنِ دَرَّاجٍ ، عَنْ بَعْضِ أَصْحَابِنَا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135 : « اختلف الأصحاب في أنّ الوقوف بالمشعر ليلاً واجب أو مستحبّ؟ وعلى التقديرين يتحقّق به الركن ، فلو أفاض قبل الفجر عامداً بعد أن كان به ليلاً ولو قليلاً ، لم يبطل حجّه ، وجبره بشاة على المشهور بين الأصحاب. قال ابن إدريس : من أفاض قبل الفجر عامداً مختاراً يبطل حجّه ، ولا خلاف في عدم بطلان حجّ الناسي بذلك وعدم وجوب شي‌ء عليه ، ولا في جواز إفاضة ا</w:t>
      </w:r>
      <w:r w:rsidR="002F5168">
        <w:rPr>
          <w:rFonts w:hint="cs"/>
          <w:rtl/>
          <w:lang w:bidi="fa-IR"/>
        </w:rPr>
        <w:t>ُ</w:t>
      </w:r>
      <w:r w:rsidR="00744A1C">
        <w:rPr>
          <w:rtl/>
          <w:lang w:bidi="fa-IR"/>
        </w:rPr>
        <w:t>ولي الأعذار قبل الفجر ، واختلف في الجاهل ، وهذا الخبر يدلّ على أنّه كالناسي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193 ، ص 642 ؛ </w:t>
      </w:r>
      <w:r w:rsidR="00744A1C" w:rsidRPr="00C24F9C">
        <w:rPr>
          <w:rStyle w:val="libFootnoteBoldChar"/>
          <w:rtl/>
        </w:rPr>
        <w:t>والاستبصار</w:t>
      </w:r>
      <w:r w:rsidR="00744A1C">
        <w:rPr>
          <w:rtl/>
          <w:lang w:bidi="fa-IR"/>
        </w:rPr>
        <w:t xml:space="preserve"> ، ج 2 ، ص 256 ، ح 902 ، معلّقاً عن الكليني. </w:t>
      </w:r>
      <w:r w:rsidR="00744A1C" w:rsidRPr="00C24F9C">
        <w:rPr>
          <w:rStyle w:val="libFootnoteBoldChar"/>
          <w:rtl/>
        </w:rPr>
        <w:t>الفقيه</w:t>
      </w:r>
      <w:r w:rsidR="00744A1C">
        <w:rPr>
          <w:rtl/>
          <w:lang w:bidi="fa-IR"/>
        </w:rPr>
        <w:t xml:space="preserve"> ، ج 2 ، ص 471 ، ح 2994 ، معلّقاً عن عليّ بن رئاب ، عن مسمع ، عن أبي إبراهيم </w:t>
      </w:r>
      <w:r w:rsidR="002F5168">
        <w:rPr>
          <w:rFonts w:hint="cs"/>
          <w:rtl/>
          <w:lang w:bidi="fa-IR"/>
        </w:rPr>
        <w:t>.</w:t>
      </w:r>
      <w:r w:rsidR="00744A1C" w:rsidRPr="00C24F9C">
        <w:rPr>
          <w:rStyle w:val="libFootnoteBoldChar"/>
          <w:rtl/>
        </w:rPr>
        <w:t>الوافي</w:t>
      </w:r>
      <w:r w:rsidR="00744A1C">
        <w:rPr>
          <w:rtl/>
          <w:lang w:bidi="fa-IR"/>
        </w:rPr>
        <w:t xml:space="preserve"> ، ج 13 ، ص 1057 ، ح 13733 ؛ </w:t>
      </w:r>
      <w:r w:rsidR="00744A1C" w:rsidRPr="00C24F9C">
        <w:rPr>
          <w:rStyle w:val="libFootnoteBoldChar"/>
          <w:rtl/>
        </w:rPr>
        <w:t>الوسائل</w:t>
      </w:r>
      <w:r w:rsidR="00744A1C">
        <w:rPr>
          <w:rtl/>
          <w:lang w:bidi="fa-IR"/>
        </w:rPr>
        <w:t xml:space="preserve"> ، ج 14 ، ص 27 ، ذيل ح 18503.</w:t>
      </w:r>
    </w:p>
    <w:p w:rsidR="00744A1C" w:rsidRDefault="00E378DD" w:rsidP="00E378DD">
      <w:pPr>
        <w:pStyle w:val="libFootnote0"/>
        <w:rPr>
          <w:lang w:bidi="fa-IR"/>
        </w:rPr>
      </w:pPr>
      <w:r>
        <w:rPr>
          <w:rtl/>
          <w:lang w:bidi="fa-IR"/>
        </w:rPr>
        <w:t>(3).</w:t>
      </w:r>
      <w:r w:rsidR="00744A1C">
        <w:rPr>
          <w:rtl/>
          <w:lang w:bidi="fa-IR"/>
        </w:rPr>
        <w:t xml:space="preserve"> في </w:t>
      </w:r>
      <w:r w:rsidR="00744A1C" w:rsidRPr="0061079A">
        <w:rPr>
          <w:rStyle w:val="libFootnoteBoldChar"/>
          <w:rtl/>
        </w:rPr>
        <w:t>البحار</w:t>
      </w:r>
      <w:r w:rsidR="00744A1C">
        <w:rPr>
          <w:rtl/>
          <w:lang w:bidi="fa-IR"/>
        </w:rPr>
        <w:t xml:space="preserve"> : « الأعرج » بدل « السمّان ». وسعيد هذا ، هو سعيد الأعرج السمّان ، اختلف في اسم أبيه. راجع : </w:t>
      </w:r>
      <w:r w:rsidR="00744A1C" w:rsidRPr="0061079A">
        <w:rPr>
          <w:rStyle w:val="libFootnoteBoldChar"/>
          <w:rtl/>
        </w:rPr>
        <w:t>رجال الطوسي</w:t>
      </w:r>
      <w:r w:rsidR="00744A1C">
        <w:rPr>
          <w:rtl/>
          <w:lang w:bidi="fa-IR"/>
        </w:rPr>
        <w:t xml:space="preserve"> ، ص 213 ، الرقم 2784.</w:t>
      </w:r>
    </w:p>
    <w:p w:rsidR="00744A1C" w:rsidRDefault="00E378DD" w:rsidP="00E378DD">
      <w:pPr>
        <w:pStyle w:val="libFootnote0"/>
        <w:rPr>
          <w:lang w:bidi="fa-IR"/>
        </w:rPr>
      </w:pPr>
      <w:r>
        <w:rPr>
          <w:rtl/>
          <w:lang w:bidi="fa-IR"/>
        </w:rPr>
        <w:t>(4).</w:t>
      </w:r>
      <w:r w:rsidR="00744A1C">
        <w:rPr>
          <w:rtl/>
          <w:lang w:bidi="fa-IR"/>
        </w:rPr>
        <w:t xml:space="preserve"> في « بح ، بف » و</w:t>
      </w:r>
      <w:r w:rsidR="00744A1C" w:rsidRPr="00C24F9C">
        <w:rPr>
          <w:rStyle w:val="libFootnoteBoldChar"/>
          <w:rtl/>
        </w:rPr>
        <w:t>الوافي</w:t>
      </w:r>
      <w:r w:rsidR="00744A1C">
        <w:rPr>
          <w:rtl/>
          <w:lang w:bidi="fa-IR"/>
        </w:rPr>
        <w:t xml:space="preserve"> : « فأمر ».</w:t>
      </w:r>
    </w:p>
    <w:p w:rsidR="00744A1C" w:rsidRDefault="00E378DD" w:rsidP="00E378DD">
      <w:pPr>
        <w:pStyle w:val="libFootnote0"/>
        <w:rPr>
          <w:lang w:bidi="fa-IR"/>
        </w:rPr>
      </w:pPr>
      <w:r>
        <w:rPr>
          <w:rtl/>
          <w:lang w:bidi="fa-IR"/>
        </w:rPr>
        <w:t>(5).</w:t>
      </w:r>
      <w:r w:rsidR="00744A1C">
        <w:rPr>
          <w:rtl/>
          <w:lang w:bidi="fa-IR"/>
        </w:rPr>
        <w:t xml:space="preserve"> في « بف » : « عليها منهنّ ». وفي </w:t>
      </w:r>
      <w:r w:rsidR="00744A1C" w:rsidRPr="00C24F9C">
        <w:rPr>
          <w:rStyle w:val="libFootnoteBoldChar"/>
          <w:rtl/>
        </w:rPr>
        <w:t>الوافي</w:t>
      </w:r>
      <w:r w:rsidR="00744A1C">
        <w:rPr>
          <w:rtl/>
          <w:lang w:bidi="fa-IR"/>
        </w:rPr>
        <w:t xml:space="preserve"> : « عليه منهنّ » كلاهما بدل « منهنّ عليها ».</w:t>
      </w:r>
    </w:p>
    <w:tbl>
      <w:tblPr>
        <w:tblStyle w:val="TableGrid"/>
        <w:bidiVisual/>
        <w:tblW w:w="0" w:type="auto"/>
        <w:tblLook w:val="04A0" w:firstRow="1" w:lastRow="0" w:firstColumn="1" w:lastColumn="0" w:noHBand="0" w:noVBand="1"/>
      </w:tblPr>
      <w:tblGrid>
        <w:gridCol w:w="4006"/>
        <w:gridCol w:w="4006"/>
      </w:tblGrid>
      <w:tr w:rsidR="002F5168" w:rsidTr="002F5168">
        <w:tc>
          <w:tcPr>
            <w:tcW w:w="4006" w:type="dxa"/>
          </w:tcPr>
          <w:p w:rsidR="002F5168" w:rsidRDefault="002F5168" w:rsidP="00E378DD">
            <w:pPr>
              <w:pStyle w:val="libFootnote0"/>
              <w:rPr>
                <w:rtl/>
                <w:lang w:bidi="fa-IR"/>
              </w:rPr>
            </w:pPr>
            <w:r>
              <w:rPr>
                <w:rtl/>
                <w:lang w:bidi="fa-IR"/>
              </w:rPr>
              <w:t>(6). في « بح » : « وأن ».</w:t>
            </w:r>
          </w:p>
        </w:tc>
        <w:tc>
          <w:tcPr>
            <w:tcW w:w="4006" w:type="dxa"/>
          </w:tcPr>
          <w:p w:rsidR="002F5168" w:rsidRDefault="002F5168" w:rsidP="00E378DD">
            <w:pPr>
              <w:pStyle w:val="libFootnote0"/>
              <w:rPr>
                <w:rtl/>
                <w:lang w:bidi="fa-IR"/>
              </w:rPr>
            </w:pPr>
            <w:r>
              <w:rPr>
                <w:rtl/>
                <w:lang w:bidi="fa-IR"/>
              </w:rPr>
              <w:t>(7). في « بف » : « أن يرمي ».</w:t>
            </w:r>
          </w:p>
        </w:tc>
      </w:tr>
    </w:tbl>
    <w:p w:rsidR="00744A1C" w:rsidRDefault="00E378DD" w:rsidP="00E378DD">
      <w:pPr>
        <w:pStyle w:val="libFootnote0"/>
        <w:rPr>
          <w:lang w:bidi="fa-IR"/>
        </w:rPr>
      </w:pPr>
      <w:r>
        <w:rPr>
          <w:rtl/>
          <w:lang w:bidi="fa-IR"/>
        </w:rPr>
        <w:t>(8).</w:t>
      </w:r>
      <w:r w:rsidR="00744A1C">
        <w:rPr>
          <w:rtl/>
          <w:lang w:bidi="fa-IR"/>
        </w:rPr>
        <w:t xml:space="preserve"> في « بف » : « ولا يبرح ».</w:t>
      </w:r>
    </w:p>
    <w:tbl>
      <w:tblPr>
        <w:tblStyle w:val="TableGrid"/>
        <w:bidiVisual/>
        <w:tblW w:w="0" w:type="auto"/>
        <w:tblLook w:val="04A0" w:firstRow="1" w:lastRow="0" w:firstColumn="1" w:lastColumn="0" w:noHBand="0" w:noVBand="1"/>
      </w:tblPr>
      <w:tblGrid>
        <w:gridCol w:w="4006"/>
        <w:gridCol w:w="4006"/>
      </w:tblGrid>
      <w:tr w:rsidR="002F5168" w:rsidTr="002F5168">
        <w:tc>
          <w:tcPr>
            <w:tcW w:w="4006" w:type="dxa"/>
          </w:tcPr>
          <w:p w:rsidR="002F5168" w:rsidRDefault="002F5168" w:rsidP="00E378DD">
            <w:pPr>
              <w:pStyle w:val="libFootnote0"/>
              <w:rPr>
                <w:rtl/>
                <w:lang w:bidi="fa-IR"/>
              </w:rPr>
            </w:pPr>
            <w:r>
              <w:rPr>
                <w:rtl/>
                <w:lang w:bidi="fa-IR"/>
              </w:rPr>
              <w:t>(9). في « بف » : « يذبح ».</w:t>
            </w:r>
          </w:p>
        </w:tc>
        <w:tc>
          <w:tcPr>
            <w:tcW w:w="4006" w:type="dxa"/>
          </w:tcPr>
          <w:p w:rsidR="002F5168" w:rsidRDefault="002F5168" w:rsidP="00E378DD">
            <w:pPr>
              <w:pStyle w:val="libFootnote0"/>
              <w:rPr>
                <w:rtl/>
                <w:lang w:bidi="fa-IR"/>
              </w:rPr>
            </w:pPr>
            <w:r>
              <w:rPr>
                <w:rtl/>
                <w:lang w:bidi="fa-IR"/>
              </w:rPr>
              <w:t>(10). في « جد ، جن » : - « منهنّ ».</w:t>
            </w:r>
          </w:p>
        </w:tc>
      </w:tr>
    </w:tbl>
    <w:p w:rsidR="00744A1C" w:rsidRDefault="00E378DD" w:rsidP="00E378DD">
      <w:pPr>
        <w:pStyle w:val="libFootnote0"/>
        <w:rPr>
          <w:lang w:bidi="fa-IR"/>
        </w:rPr>
      </w:pPr>
      <w:r>
        <w:rPr>
          <w:rtl/>
          <w:lang w:bidi="fa-IR"/>
        </w:rPr>
        <w:t>(11).</w:t>
      </w:r>
      <w:r w:rsidR="00744A1C">
        <w:rPr>
          <w:rtl/>
          <w:lang w:bidi="fa-IR"/>
        </w:rPr>
        <w:t xml:space="preserve"> في حاشية « بح » : + « البيت ». وفي </w:t>
      </w:r>
      <w:r w:rsidR="00744A1C" w:rsidRPr="00C24F9C">
        <w:rPr>
          <w:rStyle w:val="libFootnoteBoldChar"/>
          <w:rtl/>
        </w:rPr>
        <w:t>المرآة</w:t>
      </w:r>
      <w:r w:rsidR="00744A1C">
        <w:rPr>
          <w:rtl/>
          <w:lang w:bidi="fa-IR"/>
        </w:rPr>
        <w:t xml:space="preserve"> : « يدلّ على جواز التعجيل للنساء ؛ لأنّهنّ معذورات في ذلك ».</w:t>
      </w:r>
    </w:p>
    <w:p w:rsidR="00744A1C" w:rsidRDefault="00E378DD" w:rsidP="00E378DD">
      <w:pPr>
        <w:pStyle w:val="libFootnote0"/>
        <w:rPr>
          <w:lang w:bidi="fa-IR"/>
        </w:rPr>
      </w:pPr>
      <w:r>
        <w:rPr>
          <w:rtl/>
          <w:lang w:bidi="fa-IR"/>
        </w:rPr>
        <w:t>(12).</w:t>
      </w:r>
      <w:r w:rsidR="00744A1C">
        <w:rPr>
          <w:rtl/>
          <w:lang w:bidi="fa-IR"/>
        </w:rPr>
        <w:t xml:space="preserve"> راجع : </w:t>
      </w:r>
      <w:r w:rsidR="00744A1C" w:rsidRPr="00C24F9C">
        <w:rPr>
          <w:rStyle w:val="libFootnoteBoldChar"/>
          <w:rtl/>
        </w:rPr>
        <w:t>التهذيب</w:t>
      </w:r>
      <w:r w:rsidR="00744A1C">
        <w:rPr>
          <w:rtl/>
          <w:lang w:bidi="fa-IR"/>
        </w:rPr>
        <w:t xml:space="preserve"> ، ج 5 ، ص 193 ، ح 643 ؛ </w:t>
      </w:r>
      <w:r w:rsidR="00744A1C" w:rsidRPr="00C24F9C">
        <w:rPr>
          <w:rStyle w:val="libFootnoteBoldChar"/>
          <w:rtl/>
        </w:rPr>
        <w:t>والاستبصار</w:t>
      </w:r>
      <w:r w:rsidR="00744A1C">
        <w:rPr>
          <w:rtl/>
          <w:lang w:bidi="fa-IR"/>
        </w:rPr>
        <w:t xml:space="preserve"> ، ج 2 ، ص 256 ، ح 903 </w:t>
      </w:r>
      <w:r w:rsidR="00412563">
        <w:rPr>
          <w:rFonts w:hint="cs"/>
          <w:rtl/>
          <w:lang w:bidi="fa-IR"/>
        </w:rPr>
        <w:t>.</w:t>
      </w:r>
      <w:r w:rsidR="00744A1C" w:rsidRPr="00C24F9C">
        <w:rPr>
          <w:rStyle w:val="libFootnoteBoldChar"/>
          <w:rtl/>
        </w:rPr>
        <w:t>الوافي</w:t>
      </w:r>
      <w:r w:rsidR="00744A1C">
        <w:rPr>
          <w:rtl/>
          <w:lang w:bidi="fa-IR"/>
        </w:rPr>
        <w:t xml:space="preserve"> ، ج 13 ، ص 1058 ، ح 13739 ؛ </w:t>
      </w:r>
      <w:r w:rsidR="00744A1C" w:rsidRPr="00C24F9C">
        <w:rPr>
          <w:rStyle w:val="libFootnoteBoldChar"/>
          <w:rtl/>
        </w:rPr>
        <w:t>الوسائل</w:t>
      </w:r>
      <w:r w:rsidR="00744A1C">
        <w:rPr>
          <w:rtl/>
          <w:lang w:bidi="fa-IR"/>
        </w:rPr>
        <w:t xml:space="preserve"> ، ج 14 ، ص 29 ، ح 18508 ؛ </w:t>
      </w:r>
      <w:r w:rsidR="00744A1C" w:rsidRPr="0061079A">
        <w:rPr>
          <w:rStyle w:val="libFootnoteBoldChar"/>
          <w:rtl/>
        </w:rPr>
        <w:t>البحار</w:t>
      </w:r>
      <w:r w:rsidR="00744A1C">
        <w:rPr>
          <w:rtl/>
          <w:lang w:bidi="fa-IR"/>
        </w:rPr>
        <w:t xml:space="preserve"> ، ج 21 ، ص 394 ، ح 14.</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أَحَدِهِمَا </w:t>
      </w:r>
      <w:r w:rsidR="008859AA" w:rsidRPr="008859AA">
        <w:rPr>
          <w:rStyle w:val="libAlaemChar"/>
          <w:rtl/>
        </w:rPr>
        <w:t>عليهما‌السلام</w:t>
      </w:r>
      <w:r>
        <w:rPr>
          <w:rtl/>
          <w:lang w:bidi="fa-IR"/>
        </w:rPr>
        <w:t xml:space="preserve">، قَالَ : « لَا بَأْسَ بِأَنْ </w:t>
      </w:r>
      <w:r w:rsidRPr="00D10E3C">
        <w:rPr>
          <w:rStyle w:val="libFootnotenumChar"/>
          <w:rtl/>
        </w:rPr>
        <w:t>(1)</w:t>
      </w:r>
      <w:r>
        <w:rPr>
          <w:rtl/>
          <w:lang w:bidi="fa-IR"/>
        </w:rPr>
        <w:t xml:space="preserve"> يُفِيضَ الرَّجُلُ بِلَيْلٍ إِذَا كَانَ خَائِفاً ». </w:t>
      </w:r>
      <w:r w:rsidRPr="00D10E3C">
        <w:rPr>
          <w:rStyle w:val="libFootnotenumChar"/>
          <w:rtl/>
        </w:rPr>
        <w:t>(2)</w:t>
      </w:r>
    </w:p>
    <w:p w:rsidR="00144FA6" w:rsidRDefault="00744A1C" w:rsidP="00744A1C">
      <w:pPr>
        <w:pStyle w:val="libNormal"/>
        <w:rPr>
          <w:rtl/>
          <w:lang w:bidi="fa-IR"/>
        </w:rPr>
      </w:pPr>
      <w:r>
        <w:rPr>
          <w:rtl/>
          <w:lang w:bidi="fa-IR"/>
        </w:rPr>
        <w:t>7781 / 4. عِدَّةٌ مِنْ أَصْحَابِنَا ، عَنْ سَهْلِ بْنِ زِيَادٍ ، عَنْ أَحْمَدَ بْنِ مُحَمَّدٍ ، عَنْ عَلِيِّ بْنِ أَبِي حَمْزَةَ :</w:t>
      </w:r>
    </w:p>
    <w:p w:rsidR="00144FA6" w:rsidRDefault="00744A1C" w:rsidP="00744A1C">
      <w:pPr>
        <w:pStyle w:val="libNormal"/>
        <w:rPr>
          <w:rtl/>
          <w:lang w:bidi="fa-IR"/>
        </w:rPr>
      </w:pPr>
      <w:r>
        <w:rPr>
          <w:rtl/>
          <w:lang w:bidi="fa-IR"/>
        </w:rPr>
        <w:t xml:space="preserve">عَنْ أَحَدِهِمَا </w:t>
      </w:r>
      <w:r w:rsidR="008859AA" w:rsidRPr="008859AA">
        <w:rPr>
          <w:rStyle w:val="libAlaemChar"/>
          <w:rtl/>
        </w:rPr>
        <w:t>عليهما‌السلام</w:t>
      </w:r>
      <w:r>
        <w:rPr>
          <w:rtl/>
          <w:lang w:bidi="fa-IR"/>
        </w:rPr>
        <w:t xml:space="preserve">، قَالَ : « أَيُّ </w:t>
      </w:r>
      <w:r w:rsidRPr="00D10E3C">
        <w:rPr>
          <w:rStyle w:val="libFootnotenumChar"/>
          <w:rtl/>
        </w:rPr>
        <w:t>(3)</w:t>
      </w:r>
      <w:r>
        <w:rPr>
          <w:rtl/>
          <w:lang w:bidi="fa-IR"/>
        </w:rPr>
        <w:t xml:space="preserve"> امْرَأَةٍ أَوْ رَجُلٍ </w:t>
      </w:r>
      <w:r w:rsidRPr="00D10E3C">
        <w:rPr>
          <w:rStyle w:val="libFootnotenumChar"/>
          <w:rtl/>
        </w:rPr>
        <w:t>(4)</w:t>
      </w:r>
      <w:r>
        <w:rPr>
          <w:rtl/>
          <w:lang w:bidi="fa-IR"/>
        </w:rPr>
        <w:t xml:space="preserve"> خَائِفٍ أَفَاضَ مِنَ الْمَشْعَرِ الْحَرَامِ لَيْلاً </w:t>
      </w:r>
      <w:r w:rsidRPr="00D10E3C">
        <w:rPr>
          <w:rStyle w:val="libFootnotenumChar"/>
          <w:rtl/>
        </w:rPr>
        <w:t>(5)</w:t>
      </w:r>
      <w:r>
        <w:rPr>
          <w:rtl/>
          <w:lang w:bidi="fa-IR"/>
        </w:rPr>
        <w:t xml:space="preserve"> ، فَلَا بَأْسَ </w:t>
      </w:r>
      <w:r w:rsidRPr="00D10E3C">
        <w:rPr>
          <w:rStyle w:val="libFootnotenumChar"/>
          <w:rtl/>
        </w:rPr>
        <w:t>(6)</w:t>
      </w:r>
      <w:r>
        <w:rPr>
          <w:rtl/>
          <w:lang w:bidi="fa-IR"/>
        </w:rPr>
        <w:t xml:space="preserve"> ، فَلْيَرْمِ </w:t>
      </w:r>
      <w:r w:rsidRPr="00D10E3C">
        <w:rPr>
          <w:rStyle w:val="libFootnotenumChar"/>
          <w:rtl/>
        </w:rPr>
        <w:t>(7)</w:t>
      </w:r>
      <w:r>
        <w:rPr>
          <w:rtl/>
          <w:lang w:bidi="fa-IR"/>
        </w:rPr>
        <w:t xml:space="preserve"> الْجَمْرَةَ ، ثُمَّ لْيَمْضِ </w:t>
      </w:r>
      <w:r w:rsidRPr="00D10E3C">
        <w:rPr>
          <w:rStyle w:val="libFootnotenumChar"/>
          <w:rtl/>
        </w:rPr>
        <w:t>(8)</w:t>
      </w:r>
      <w:r>
        <w:rPr>
          <w:rtl/>
          <w:lang w:bidi="fa-IR"/>
        </w:rPr>
        <w:t xml:space="preserve"> ، وَلْيَأْمُرْ مَنْ يَذْبَحُ عَنْهُ ، وَتُقَصِّرُ الْمَرْأَةُ ، وَيَحْلِقُ الرَّجُلُ ، ثُمَّ لْيَطُفْ بِالْبَيْتِ وَبِالصَّفَا وَالْمَرْوَةِ ، ثُمَّ لْيَرْجِعْ </w:t>
      </w:r>
      <w:r w:rsidRPr="00D10E3C">
        <w:rPr>
          <w:rStyle w:val="libFootnotenumChar"/>
          <w:rtl/>
        </w:rPr>
        <w:t>(9)</w:t>
      </w:r>
      <w:r>
        <w:rPr>
          <w:rtl/>
          <w:lang w:bidi="fa-IR"/>
        </w:rPr>
        <w:t xml:space="preserve"> إِلى مِنًى ، فَإِنْ أَتى مِنًى ، وَلَمْ يُذْبَحْ عَنْهُ </w:t>
      </w:r>
      <w:r w:rsidRPr="00D10E3C">
        <w:rPr>
          <w:rStyle w:val="libFootnotenumChar"/>
          <w:rtl/>
        </w:rPr>
        <w:t>(10)</w:t>
      </w:r>
      <w:r>
        <w:rPr>
          <w:rtl/>
          <w:lang w:bidi="fa-IR"/>
        </w:rPr>
        <w:t xml:space="preserve"> ، فَلَا بَأْسَ أَنْ يَذْبَحَ هُوَ ، وَلْيَحْمِلِ الشَّعْرَ إِذَا </w:t>
      </w:r>
      <w:r w:rsidRPr="00D10E3C">
        <w:rPr>
          <w:rStyle w:val="libFootnotenumChar"/>
          <w:rtl/>
        </w:rPr>
        <w:t>(11)</w:t>
      </w:r>
      <w:r>
        <w:rPr>
          <w:rtl/>
          <w:lang w:bidi="fa-IR"/>
        </w:rPr>
        <w:t xml:space="preserve"> حَلَقَ بِمَكَّةَ إِلى مِنًى ، وَإِنْ </w:t>
      </w:r>
      <w:r w:rsidRPr="00D10E3C">
        <w:rPr>
          <w:rStyle w:val="libFootnotenumChar"/>
          <w:rtl/>
        </w:rPr>
        <w:t>(12)</w:t>
      </w:r>
      <w:r>
        <w:rPr>
          <w:rtl/>
          <w:lang w:bidi="fa-IR"/>
        </w:rPr>
        <w:t xml:space="preserve"> شَاءَ قَصَّرَ إِنْ كَانَ قَدْ حَجَّ قَبْلَ </w:t>
      </w:r>
      <w:r w:rsidRPr="00D10E3C">
        <w:rPr>
          <w:rStyle w:val="libFootnotenumChar"/>
          <w:rtl/>
        </w:rPr>
        <w:t>(13)</w:t>
      </w:r>
      <w:r>
        <w:rPr>
          <w:rtl/>
          <w:lang w:bidi="fa-IR"/>
        </w:rPr>
        <w:t xml:space="preserve"> ذلِكَ </w:t>
      </w:r>
      <w:r w:rsidRPr="00D10E3C">
        <w:rPr>
          <w:rStyle w:val="libFootnotenumChar"/>
          <w:rtl/>
        </w:rPr>
        <w:t>(14)</w:t>
      </w:r>
      <w:r>
        <w:rPr>
          <w:rtl/>
          <w:lang w:bidi="fa-IR"/>
        </w:rPr>
        <w:t xml:space="preserve"> ». </w:t>
      </w:r>
      <w:r w:rsidRPr="00D10E3C">
        <w:rPr>
          <w:rStyle w:val="libFootnotenumChar"/>
          <w:rtl/>
        </w:rPr>
        <w:t>(15)</w:t>
      </w:r>
    </w:p>
    <w:p w:rsidR="00744A1C" w:rsidRDefault="00744A1C" w:rsidP="00744A1C">
      <w:pPr>
        <w:pStyle w:val="libNormal"/>
        <w:rPr>
          <w:lang w:bidi="fa-IR"/>
        </w:rPr>
      </w:pPr>
      <w:r>
        <w:rPr>
          <w:rtl/>
          <w:lang w:bidi="fa-IR"/>
        </w:rPr>
        <w:t>7782 / 5. عِدَّةٌ مِنْ أَصْحَابِنَا ، عَنْ أَحْمَدَ بْنِ مُحَمَّدٍ ، عَنِ الْحُسَيْنِ بْنِ سَعِيدٍ ، عَنْ أَبِي‌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w:t>
      </w:r>
      <w:r w:rsidR="00744A1C" w:rsidRPr="00EE5E45">
        <w:rPr>
          <w:rtl/>
        </w:rPr>
        <w:t>والوافي والوسائل والاستبصار</w:t>
      </w:r>
      <w:r w:rsidR="00744A1C">
        <w:rPr>
          <w:rtl/>
          <w:lang w:bidi="fa-IR"/>
        </w:rPr>
        <w:t xml:space="preserve"> : « أن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645 ؛ </w:t>
      </w:r>
      <w:r w:rsidR="00744A1C" w:rsidRPr="00C24F9C">
        <w:rPr>
          <w:rStyle w:val="libFootnoteBoldChar"/>
          <w:rtl/>
        </w:rPr>
        <w:t>والاستبصار</w:t>
      </w:r>
      <w:r w:rsidR="00744A1C">
        <w:rPr>
          <w:rtl/>
          <w:lang w:bidi="fa-IR"/>
        </w:rPr>
        <w:t xml:space="preserve"> ، ج 2 ، ص 257 ، ح 905 ، معلّقاً عن الكليني </w:t>
      </w:r>
      <w:r w:rsidR="00412563">
        <w:rPr>
          <w:rFonts w:hint="cs"/>
          <w:rtl/>
          <w:lang w:bidi="fa-IR"/>
        </w:rPr>
        <w:t>.</w:t>
      </w:r>
      <w:r w:rsidR="00744A1C" w:rsidRPr="00C24F9C">
        <w:rPr>
          <w:rStyle w:val="libFootnoteBoldChar"/>
          <w:rtl/>
        </w:rPr>
        <w:t>الوافي</w:t>
      </w:r>
      <w:r w:rsidR="00744A1C">
        <w:rPr>
          <w:rtl/>
          <w:lang w:bidi="fa-IR"/>
        </w:rPr>
        <w:t xml:space="preserve"> ، ج 13 ، ص 1057 ، ح 13735 ؛ </w:t>
      </w:r>
      <w:r w:rsidR="00744A1C" w:rsidRPr="00C24F9C">
        <w:rPr>
          <w:rStyle w:val="libFootnoteBoldChar"/>
          <w:rtl/>
        </w:rPr>
        <w:t>الوسائل</w:t>
      </w:r>
      <w:r w:rsidR="00744A1C">
        <w:rPr>
          <w:rtl/>
          <w:lang w:bidi="fa-IR"/>
        </w:rPr>
        <w:t xml:space="preserve"> ، ج 14 ، ص 28 ، ح 18504 ؛ </w:t>
      </w:r>
      <w:r w:rsidR="00744A1C" w:rsidRPr="0061079A">
        <w:rPr>
          <w:rStyle w:val="libFootnoteBoldChar"/>
          <w:rtl/>
        </w:rPr>
        <w:t>البحار</w:t>
      </w:r>
      <w:r w:rsidR="00744A1C">
        <w:rPr>
          <w:rtl/>
          <w:lang w:bidi="fa-IR"/>
        </w:rPr>
        <w:t xml:space="preserve"> ، ج 83 ، ص 121 ، ذيل ح 55.</w:t>
      </w:r>
    </w:p>
    <w:p w:rsidR="00744A1C" w:rsidRDefault="00E378DD" w:rsidP="00E378DD">
      <w:pPr>
        <w:pStyle w:val="libFootnote0"/>
        <w:rPr>
          <w:lang w:bidi="fa-IR"/>
        </w:rPr>
      </w:pPr>
      <w:r>
        <w:rPr>
          <w:rtl/>
          <w:lang w:bidi="fa-IR"/>
        </w:rPr>
        <w:t>(3).</w:t>
      </w:r>
      <w:r w:rsidR="00744A1C">
        <w:rPr>
          <w:rtl/>
          <w:lang w:bidi="fa-IR"/>
        </w:rPr>
        <w:t xml:space="preserve"> هكذا في جميع النسخ التي قوبلت </w:t>
      </w:r>
      <w:r w:rsidR="00744A1C" w:rsidRPr="00EE5E45">
        <w:rPr>
          <w:rtl/>
        </w:rPr>
        <w:t>والوافي والوسائل والتهذيب والاستبصار</w:t>
      </w:r>
      <w:r w:rsidR="00744A1C">
        <w:rPr>
          <w:rtl/>
          <w:lang w:bidi="fa-IR"/>
        </w:rPr>
        <w:t>. وفي المطبوع : « أيّما ».</w:t>
      </w:r>
    </w:p>
    <w:tbl>
      <w:tblPr>
        <w:tblStyle w:val="TableGrid"/>
        <w:bidiVisual/>
        <w:tblW w:w="0" w:type="auto"/>
        <w:tblLook w:val="04A0" w:firstRow="1" w:lastRow="0" w:firstColumn="1" w:lastColumn="0" w:noHBand="0" w:noVBand="1"/>
      </w:tblPr>
      <w:tblGrid>
        <w:gridCol w:w="4006"/>
        <w:gridCol w:w="4006"/>
      </w:tblGrid>
      <w:tr w:rsidR="00412563" w:rsidTr="00412563">
        <w:tc>
          <w:tcPr>
            <w:tcW w:w="4006" w:type="dxa"/>
          </w:tcPr>
          <w:p w:rsidR="00412563" w:rsidRDefault="00412563" w:rsidP="00E378DD">
            <w:pPr>
              <w:pStyle w:val="libFootnote0"/>
              <w:rPr>
                <w:rtl/>
                <w:lang w:bidi="fa-IR"/>
              </w:rPr>
            </w:pPr>
            <w:r>
              <w:rPr>
                <w:rtl/>
                <w:lang w:bidi="fa-IR"/>
              </w:rPr>
              <w:t>(4). في الاستبصار : « ورجل ».</w:t>
            </w:r>
          </w:p>
        </w:tc>
        <w:tc>
          <w:tcPr>
            <w:tcW w:w="4006" w:type="dxa"/>
          </w:tcPr>
          <w:p w:rsidR="00412563" w:rsidRDefault="00412563" w:rsidP="00E378DD">
            <w:pPr>
              <w:pStyle w:val="libFootnote0"/>
              <w:rPr>
                <w:rtl/>
                <w:lang w:bidi="fa-IR"/>
              </w:rPr>
            </w:pPr>
            <w:r>
              <w:rPr>
                <w:rtl/>
                <w:lang w:bidi="fa-IR"/>
              </w:rPr>
              <w:t xml:space="preserve">(5). في </w:t>
            </w:r>
            <w:r w:rsidRPr="00C24F9C">
              <w:rPr>
                <w:rStyle w:val="libFootnoteBoldChar"/>
                <w:rtl/>
              </w:rPr>
              <w:t>الوسائل</w:t>
            </w:r>
            <w:r>
              <w:rPr>
                <w:rtl/>
                <w:lang w:bidi="fa-IR"/>
              </w:rPr>
              <w:t xml:space="preserve"> ، ح 18565 : « بليل ».</w:t>
            </w:r>
          </w:p>
        </w:tc>
      </w:tr>
      <w:tr w:rsidR="00412563" w:rsidTr="00412563">
        <w:tc>
          <w:tcPr>
            <w:tcW w:w="4006" w:type="dxa"/>
          </w:tcPr>
          <w:p w:rsidR="00412563" w:rsidRDefault="00412563" w:rsidP="00E378DD">
            <w:pPr>
              <w:pStyle w:val="libFootnote0"/>
              <w:rPr>
                <w:rtl/>
                <w:lang w:bidi="fa-IR"/>
              </w:rPr>
            </w:pPr>
            <w:r>
              <w:rPr>
                <w:rtl/>
                <w:lang w:bidi="fa-IR"/>
              </w:rPr>
              <w:t>(6). في « بث » : - « فلا بأس ».</w:t>
            </w:r>
          </w:p>
        </w:tc>
        <w:tc>
          <w:tcPr>
            <w:tcW w:w="4006" w:type="dxa"/>
          </w:tcPr>
          <w:p w:rsidR="00412563" w:rsidRDefault="00412563" w:rsidP="00E378DD">
            <w:pPr>
              <w:pStyle w:val="libFootnote0"/>
              <w:rPr>
                <w:rtl/>
                <w:lang w:bidi="fa-IR"/>
              </w:rPr>
            </w:pPr>
            <w:r>
              <w:rPr>
                <w:rtl/>
                <w:lang w:bidi="fa-IR"/>
              </w:rPr>
              <w:t>(7). في « بث » : «فليلزم ». وفي « بخ »: « ويلزم ».</w:t>
            </w:r>
          </w:p>
        </w:tc>
      </w:tr>
      <w:tr w:rsidR="00412563" w:rsidTr="00412563">
        <w:tc>
          <w:tcPr>
            <w:tcW w:w="4006" w:type="dxa"/>
          </w:tcPr>
          <w:p w:rsidR="00412563" w:rsidRDefault="00412563" w:rsidP="00E378DD">
            <w:pPr>
              <w:pStyle w:val="libFootnote0"/>
              <w:rPr>
                <w:rtl/>
                <w:lang w:bidi="fa-IR"/>
              </w:rPr>
            </w:pPr>
            <w:r>
              <w:rPr>
                <w:rtl/>
                <w:lang w:bidi="fa-IR"/>
              </w:rPr>
              <w:t>(8). في « جد » : « ليفيض ».</w:t>
            </w:r>
          </w:p>
        </w:tc>
        <w:tc>
          <w:tcPr>
            <w:tcW w:w="4006" w:type="dxa"/>
          </w:tcPr>
          <w:p w:rsidR="00412563" w:rsidRDefault="00412563" w:rsidP="00E378DD">
            <w:pPr>
              <w:pStyle w:val="libFootnote0"/>
              <w:rPr>
                <w:rtl/>
                <w:lang w:bidi="fa-IR"/>
              </w:rPr>
            </w:pPr>
            <w:r>
              <w:rPr>
                <w:rtl/>
                <w:lang w:bidi="fa-IR"/>
              </w:rPr>
              <w:t xml:space="preserve">(9). في </w:t>
            </w:r>
            <w:r w:rsidRPr="00C24F9C">
              <w:rPr>
                <w:rStyle w:val="libFootnoteBoldChar"/>
                <w:rtl/>
              </w:rPr>
              <w:t>الوسائل</w:t>
            </w:r>
            <w:r>
              <w:rPr>
                <w:rtl/>
                <w:lang w:bidi="fa-IR"/>
              </w:rPr>
              <w:t xml:space="preserve"> ، ح 18507 : « يرجع ».</w:t>
            </w:r>
          </w:p>
        </w:tc>
      </w:tr>
      <w:tr w:rsidR="00412563" w:rsidTr="00412563">
        <w:tc>
          <w:tcPr>
            <w:tcW w:w="4006" w:type="dxa"/>
          </w:tcPr>
          <w:p w:rsidR="00412563" w:rsidRDefault="00412563" w:rsidP="00E378DD">
            <w:pPr>
              <w:pStyle w:val="libFootnote0"/>
              <w:rPr>
                <w:rtl/>
                <w:lang w:bidi="fa-IR"/>
              </w:rPr>
            </w:pPr>
            <w:r>
              <w:rPr>
                <w:rtl/>
                <w:lang w:bidi="fa-IR"/>
              </w:rPr>
              <w:t>(10). في « بث » : - « عنه ».</w:t>
            </w:r>
          </w:p>
        </w:tc>
        <w:tc>
          <w:tcPr>
            <w:tcW w:w="4006" w:type="dxa"/>
          </w:tcPr>
          <w:p w:rsidR="00412563" w:rsidRDefault="00412563" w:rsidP="00E378DD">
            <w:pPr>
              <w:pStyle w:val="libFootnote0"/>
              <w:rPr>
                <w:rtl/>
                <w:lang w:bidi="fa-IR"/>
              </w:rPr>
            </w:pPr>
            <w:r>
              <w:rPr>
                <w:rtl/>
                <w:lang w:bidi="fa-IR"/>
              </w:rPr>
              <w:t>(11). في « بح » : « إن ».</w:t>
            </w:r>
          </w:p>
        </w:tc>
      </w:tr>
      <w:tr w:rsidR="00412563" w:rsidTr="00412563">
        <w:tc>
          <w:tcPr>
            <w:tcW w:w="4006" w:type="dxa"/>
          </w:tcPr>
          <w:p w:rsidR="00412563" w:rsidRDefault="00412563" w:rsidP="00E378DD">
            <w:pPr>
              <w:pStyle w:val="libFootnote0"/>
              <w:rPr>
                <w:rtl/>
                <w:lang w:bidi="fa-IR"/>
              </w:rPr>
            </w:pPr>
            <w:r>
              <w:rPr>
                <w:rtl/>
                <w:lang w:bidi="fa-IR"/>
              </w:rPr>
              <w:t>(12). في « جد » : « فإن ».</w:t>
            </w:r>
          </w:p>
        </w:tc>
        <w:tc>
          <w:tcPr>
            <w:tcW w:w="4006" w:type="dxa"/>
          </w:tcPr>
          <w:p w:rsidR="00412563" w:rsidRDefault="00412563" w:rsidP="00E378DD">
            <w:pPr>
              <w:pStyle w:val="libFootnote0"/>
              <w:rPr>
                <w:rtl/>
                <w:lang w:bidi="fa-IR"/>
              </w:rPr>
            </w:pPr>
            <w:r>
              <w:rPr>
                <w:rtl/>
                <w:lang w:bidi="fa-IR"/>
              </w:rPr>
              <w:t>(13). في « بث » : « مثل ».</w:t>
            </w:r>
          </w:p>
        </w:tc>
      </w:tr>
    </w:tbl>
    <w:p w:rsidR="00744A1C" w:rsidRDefault="00E378DD" w:rsidP="00E378DD">
      <w:pPr>
        <w:pStyle w:val="libFootnote0"/>
        <w:rPr>
          <w:lang w:bidi="fa-IR"/>
        </w:rPr>
      </w:pPr>
      <w:r>
        <w:rPr>
          <w:rtl/>
          <w:lang w:bidi="fa-IR"/>
        </w:rPr>
        <w:t>(14).</w:t>
      </w:r>
      <w:r w:rsidR="00744A1C">
        <w:rPr>
          <w:rtl/>
          <w:lang w:bidi="fa-IR"/>
        </w:rPr>
        <w:t xml:space="preserve"> في </w:t>
      </w:r>
      <w:r w:rsidR="00744A1C" w:rsidRPr="00C24F9C">
        <w:rPr>
          <w:rStyle w:val="libFootnoteBoldChar"/>
          <w:rtl/>
        </w:rPr>
        <w:t>المرآة</w:t>
      </w:r>
      <w:r w:rsidR="00744A1C">
        <w:rPr>
          <w:rtl/>
          <w:lang w:bidi="fa-IR"/>
        </w:rPr>
        <w:t xml:space="preserve"> : « يدلّ على أنّه يجوز للمعذور الاستنابة في الذبح ، وأنّه لو بان عدمه لا يبطل طوافه وسعيه ، وعلى أنّه لو حلق بغير منى يستحبّ أن يحمل شعره إليها ، وعلى أنّه لابدّ للصرورة من الحلق إمّا وجوباً ، أو استحباباً على الخلاف ».</w:t>
      </w:r>
    </w:p>
    <w:p w:rsidR="00744A1C" w:rsidRDefault="00E378DD" w:rsidP="00E378DD">
      <w:pPr>
        <w:pStyle w:val="libFootnote0"/>
        <w:rPr>
          <w:lang w:bidi="fa-IR"/>
        </w:rPr>
      </w:pPr>
      <w:r>
        <w:rPr>
          <w:rtl/>
          <w:lang w:bidi="fa-IR"/>
        </w:rPr>
        <w:t>(15).</w:t>
      </w:r>
      <w:r w:rsidR="00744A1C">
        <w:rPr>
          <w:rtl/>
          <w:lang w:bidi="fa-IR"/>
        </w:rPr>
        <w:t xml:space="preserve"> </w:t>
      </w:r>
      <w:r w:rsidR="00744A1C" w:rsidRPr="00C24F9C">
        <w:rPr>
          <w:rStyle w:val="libFootnoteBoldChar"/>
          <w:rtl/>
        </w:rPr>
        <w:t>التهذيب</w:t>
      </w:r>
      <w:r w:rsidR="00744A1C">
        <w:rPr>
          <w:rtl/>
          <w:lang w:bidi="fa-IR"/>
        </w:rPr>
        <w:t xml:space="preserve"> ، ج 5 ، ص 194 ، ح 644 ؛ </w:t>
      </w:r>
      <w:r w:rsidR="00744A1C" w:rsidRPr="00C24F9C">
        <w:rPr>
          <w:rStyle w:val="libFootnoteBoldChar"/>
          <w:rtl/>
        </w:rPr>
        <w:t>والاستبصار</w:t>
      </w:r>
      <w:r w:rsidR="00744A1C">
        <w:rPr>
          <w:rtl/>
          <w:lang w:bidi="fa-IR"/>
        </w:rPr>
        <w:t xml:space="preserve"> ، ج 2 ، ص 256 ، ح 904 ، معلّقاً عن الكليني ، وفي الأخير إلى قوله : « فلا بأس فليرم الجمرة ». راجع : </w:t>
      </w:r>
      <w:r w:rsidR="00744A1C" w:rsidRPr="0061079A">
        <w:rPr>
          <w:rStyle w:val="libFootnoteBoldChar"/>
          <w:rtl/>
        </w:rPr>
        <w:t>الكافي</w:t>
      </w:r>
      <w:r w:rsidR="00744A1C">
        <w:rPr>
          <w:rtl/>
          <w:lang w:bidi="fa-IR"/>
        </w:rPr>
        <w:t xml:space="preserve"> ، كتاب الحجّ ، باب الحلق والتقصير ، ح 7906 </w:t>
      </w:r>
      <w:r w:rsidR="00412563">
        <w:rPr>
          <w:rFonts w:hint="cs"/>
          <w:rtl/>
          <w:lang w:bidi="fa-IR"/>
        </w:rPr>
        <w:t>.</w:t>
      </w:r>
      <w:r w:rsidR="00744A1C" w:rsidRPr="00C24F9C">
        <w:rPr>
          <w:rStyle w:val="libFootnoteBoldChar"/>
          <w:rtl/>
        </w:rPr>
        <w:t>الوافي</w:t>
      </w:r>
      <w:r w:rsidR="00744A1C">
        <w:rPr>
          <w:rtl/>
          <w:lang w:bidi="fa-IR"/>
        </w:rPr>
        <w:t xml:space="preserve"> ، ج 13 ، ص 1057 ، ح 13736 ؛ </w:t>
      </w:r>
      <w:r w:rsidR="00744A1C" w:rsidRPr="00C24F9C">
        <w:rPr>
          <w:rStyle w:val="libFootnoteBoldChar"/>
          <w:rtl/>
        </w:rPr>
        <w:t>الوسائل</w:t>
      </w:r>
      <w:r w:rsidR="00744A1C">
        <w:rPr>
          <w:rtl/>
          <w:lang w:bidi="fa-IR"/>
        </w:rPr>
        <w:t xml:space="preserve"> ، ج 14 ، ص 29 ، ح 18507 ؛ وفيه ، ص 53 ، ح 18565 ، إلى قوله : « وتقصّر </w:t>
      </w:r>
      <w:r w:rsidR="00744A1C" w:rsidRPr="00C24F9C">
        <w:rPr>
          <w:rStyle w:val="libFootnoteBoldChar"/>
          <w:rtl/>
        </w:rPr>
        <w:t>المرأة</w:t>
      </w:r>
      <w:r w:rsidR="00744A1C">
        <w:rPr>
          <w:rtl/>
          <w:lang w:bidi="fa-IR"/>
        </w:rPr>
        <w:t xml:space="preserve"> ويحلق الرجل » ؛ وفيه أيضاً ، ح 19053 ، من قوله : « وتقصّر </w:t>
      </w:r>
      <w:r w:rsidR="00744A1C" w:rsidRPr="00C24F9C">
        <w:rPr>
          <w:rStyle w:val="libFootnoteBoldChar"/>
          <w:rtl/>
        </w:rPr>
        <w:t>المرأة</w:t>
      </w:r>
      <w:r w:rsidR="00744A1C">
        <w:rPr>
          <w:rtl/>
          <w:lang w:bidi="fa-IR"/>
        </w:rPr>
        <w:t xml:space="preserve"> ويحلق الرجل » ؛ </w:t>
      </w:r>
      <w:r w:rsidR="00744A1C" w:rsidRPr="0061079A">
        <w:rPr>
          <w:rStyle w:val="libFootnoteBoldChar"/>
          <w:rtl/>
        </w:rPr>
        <w:t>البحار</w:t>
      </w:r>
      <w:r w:rsidR="00744A1C">
        <w:rPr>
          <w:rtl/>
          <w:lang w:bidi="fa-IR"/>
        </w:rPr>
        <w:t xml:space="preserve"> ، ج 83 ، ص 121 ، ح 55 ، إلى قوله : « وليأمر من يذبح عنه ».</w:t>
      </w:r>
    </w:p>
    <w:p w:rsidR="00A55A65" w:rsidRDefault="00A55A65" w:rsidP="00D10E3C">
      <w:pPr>
        <w:pStyle w:val="libNormal"/>
        <w:rPr>
          <w:rtl/>
          <w:lang w:bidi="fa-IR"/>
        </w:rPr>
      </w:pPr>
      <w:r>
        <w:rPr>
          <w:rtl/>
          <w:lang w:bidi="fa-IR"/>
        </w:rPr>
        <w:br w:type="page"/>
      </w:r>
    </w:p>
    <w:p w:rsidR="00144FA6" w:rsidRDefault="00744A1C" w:rsidP="00EE5E45">
      <w:pPr>
        <w:pStyle w:val="libNormal0"/>
        <w:rPr>
          <w:rtl/>
          <w:lang w:bidi="fa-IR"/>
        </w:rPr>
      </w:pPr>
      <w:r>
        <w:rPr>
          <w:rtl/>
          <w:lang w:bidi="fa-IR"/>
        </w:rPr>
        <w:lastRenderedPageBreak/>
        <w:t xml:space="preserve">الْمَغْرَاءِ </w:t>
      </w:r>
      <w:r w:rsidRPr="00D10E3C">
        <w:rPr>
          <w:rStyle w:val="libFootnotenumChar"/>
          <w:rtl/>
        </w:rPr>
        <w:t>(1)</w:t>
      </w:r>
      <w:r>
        <w:rPr>
          <w:rtl/>
          <w:lang w:bidi="fa-IR"/>
        </w:rPr>
        <w:t xml:space="preserve"> ، عَنْ أَبِي بَصِيرٍ :</w:t>
      </w:r>
    </w:p>
    <w:p w:rsidR="00144FA6" w:rsidRDefault="00744A1C" w:rsidP="00EE5E45">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رَخَّصَ رَسُولُ اللهِ </w:t>
      </w:r>
      <w:r w:rsidR="00EE5E45" w:rsidRPr="0017097C">
        <w:rPr>
          <w:rStyle w:val="libAlaemChar"/>
          <w:rtl/>
        </w:rPr>
        <w:t>صلى‌الله‌عليه‌وآله</w:t>
      </w:r>
      <w:r w:rsidR="00EE5E45">
        <w:rPr>
          <w:rtl/>
          <w:lang w:bidi="fa-IR"/>
        </w:rPr>
        <w:t xml:space="preserve"> </w:t>
      </w:r>
      <w:r>
        <w:rPr>
          <w:rtl/>
          <w:lang w:bidi="fa-IR"/>
        </w:rPr>
        <w:t xml:space="preserve">لِلنِّسَاءِ وَالصِّبْيَانِ أَنْ يُفِيضُوا بِلَيْلٍ </w:t>
      </w:r>
      <w:r w:rsidRPr="00D10E3C">
        <w:rPr>
          <w:rStyle w:val="libFootnotenumChar"/>
          <w:rtl/>
        </w:rPr>
        <w:t>(2)</w:t>
      </w:r>
      <w:r>
        <w:rPr>
          <w:rtl/>
          <w:lang w:bidi="fa-IR"/>
        </w:rPr>
        <w:t xml:space="preserve"> ، وَيَرْمُوا </w:t>
      </w:r>
      <w:r w:rsidRPr="00D10E3C">
        <w:rPr>
          <w:rStyle w:val="libFootnotenumChar"/>
          <w:rtl/>
        </w:rPr>
        <w:t>(3)</w:t>
      </w:r>
      <w:r>
        <w:rPr>
          <w:rtl/>
          <w:lang w:bidi="fa-IR"/>
        </w:rPr>
        <w:t xml:space="preserve"> الْجِمَارَ بِلَيْلٍ </w:t>
      </w:r>
      <w:r w:rsidRPr="00D10E3C">
        <w:rPr>
          <w:rStyle w:val="libFootnotenumChar"/>
          <w:rtl/>
        </w:rPr>
        <w:t>(4)</w:t>
      </w:r>
      <w:r>
        <w:rPr>
          <w:rtl/>
          <w:lang w:bidi="fa-IR"/>
        </w:rPr>
        <w:t xml:space="preserve"> ، وَأَنْ يُصَلُّوا الْغَدَاةَ فِي مَنَازِلِهِمْ ، فَإِنْ </w:t>
      </w:r>
      <w:r w:rsidRPr="00D10E3C">
        <w:rPr>
          <w:rStyle w:val="libFootnotenumChar"/>
          <w:rtl/>
        </w:rPr>
        <w:t>(5)</w:t>
      </w:r>
      <w:r>
        <w:rPr>
          <w:rtl/>
          <w:lang w:bidi="fa-IR"/>
        </w:rPr>
        <w:t xml:space="preserve"> خِفْنَ الْحَيْضَ ، مَضَيْنَ إِلى مَكَّةَ ، وَوَكَّلْنَ مَنْ يُضَحِّي عَنْهُنَّ ». </w:t>
      </w:r>
      <w:r w:rsidRPr="00D10E3C">
        <w:rPr>
          <w:rStyle w:val="libFootnotenumChar"/>
          <w:rtl/>
        </w:rPr>
        <w:t>(6)</w:t>
      </w:r>
    </w:p>
    <w:p w:rsidR="00144FA6" w:rsidRDefault="00744A1C" w:rsidP="00744A1C">
      <w:pPr>
        <w:pStyle w:val="libNormal"/>
        <w:rPr>
          <w:rtl/>
          <w:lang w:bidi="fa-IR"/>
        </w:rPr>
      </w:pPr>
      <w:r>
        <w:rPr>
          <w:rtl/>
          <w:lang w:bidi="fa-IR"/>
        </w:rPr>
        <w:t xml:space="preserve">7783 / 6. أَحْمَدُ بْنُ مُحَمَّدٍ </w:t>
      </w:r>
      <w:r w:rsidRPr="00D10E3C">
        <w:rPr>
          <w:rStyle w:val="libFootnotenumChar"/>
          <w:rtl/>
        </w:rPr>
        <w:t>(7)</w:t>
      </w:r>
      <w:r>
        <w:rPr>
          <w:rtl/>
          <w:lang w:bidi="fa-IR"/>
        </w:rPr>
        <w:t xml:space="preserve"> ، عَنْ مُحَمَّدِ بْنِ سِنَانٍ ، عَنْ عَبْدِ اللهِ </w:t>
      </w:r>
      <w:r w:rsidRPr="00D10E3C">
        <w:rPr>
          <w:rStyle w:val="libFootnotenumChar"/>
          <w:rtl/>
        </w:rPr>
        <w:t>(8)</w:t>
      </w:r>
      <w:r>
        <w:rPr>
          <w:rtl/>
          <w:lang w:bidi="fa-IR"/>
        </w:rPr>
        <w:t xml:space="preserve"> بْنِ مُسْكَانَ ، عَنْ أَبِي بَصِيرٍ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sidRPr="00D10E3C">
        <w:rPr>
          <w:rStyle w:val="libFootnotenumChar"/>
          <w:rtl/>
        </w:rPr>
        <w:t>(9)</w:t>
      </w:r>
      <w:r>
        <w:rPr>
          <w:rtl/>
          <w:lang w:bidi="fa-IR"/>
        </w:rPr>
        <w:t xml:space="preserve"> يَقُولُ : « لَا بَأْسَ بِأَنْ تُقَدَّمَ </w:t>
      </w:r>
      <w:r w:rsidRPr="00D10E3C">
        <w:rPr>
          <w:rStyle w:val="libFootnotenumChar"/>
          <w:rtl/>
        </w:rPr>
        <w:t>(10)</w:t>
      </w:r>
      <w:r>
        <w:rPr>
          <w:rtl/>
          <w:lang w:bidi="fa-IR"/>
        </w:rPr>
        <w:t xml:space="preserve"> النِّسَاءُ إِذَا زَالَ اللَّيْلُ ، فَيَقِفْنَ عِنْدَ الْمَشْعَرِ </w:t>
      </w:r>
      <w:r w:rsidRPr="00D10E3C">
        <w:rPr>
          <w:rStyle w:val="libFootnotenumChar"/>
          <w:rtl/>
        </w:rPr>
        <w:t>(11)</w:t>
      </w:r>
      <w:r>
        <w:rPr>
          <w:rtl/>
          <w:lang w:bidi="fa-IR"/>
        </w:rPr>
        <w:t xml:space="preserve"> الْحَرَامِ </w:t>
      </w:r>
      <w:r w:rsidRPr="00D10E3C">
        <w:rPr>
          <w:rStyle w:val="libFootnotenumChar"/>
          <w:rtl/>
        </w:rPr>
        <w:t>(12)</w:t>
      </w:r>
      <w:r>
        <w:rPr>
          <w:rtl/>
          <w:lang w:bidi="fa-IR"/>
        </w:rPr>
        <w:t xml:space="preserve"> سَاعَةً ، ثُمَّ يُنْطَلَقُ </w:t>
      </w:r>
      <w:r w:rsidRPr="00D10E3C">
        <w:rPr>
          <w:rStyle w:val="libFootnotenumChar"/>
          <w:rtl/>
        </w:rPr>
        <w:t>(13)</w:t>
      </w:r>
      <w:r>
        <w:rPr>
          <w:rtl/>
          <w:lang w:bidi="fa-IR"/>
        </w:rPr>
        <w:t xml:space="preserve"> بِهِنَّ إِلى مِنًى ، فَيَرْمِينَ الْجَمْرَةَ ، ثُمَّ يَصْبِرْنَ سَاعَةً ، ثُمَّ يُقَصِّرْنَ </w:t>
      </w:r>
      <w:r w:rsidRPr="00D10E3C">
        <w:rPr>
          <w:rStyle w:val="libFootnotenumChar"/>
          <w:rtl/>
        </w:rPr>
        <w:t>(14)</w:t>
      </w:r>
      <w:r>
        <w:rPr>
          <w:rtl/>
          <w:lang w:bidi="fa-IR"/>
        </w:rPr>
        <w:t xml:space="preserve"> ، وَيَنْطَلِقْنَ </w:t>
      </w:r>
      <w:r w:rsidR="00412563">
        <w:rPr>
          <w:rtl/>
          <w:lang w:bidi="fa-IR"/>
        </w:rPr>
        <w:t>إِلى مَكَّةَ فَيَطُفْنَ ، إِل</w:t>
      </w:r>
      <w:r w:rsidR="00412563">
        <w:rPr>
          <w:rFonts w:hint="cs"/>
          <w:rtl/>
          <w:lang w:bidi="fa-IR"/>
        </w:rPr>
        <w:t>َّ</w:t>
      </w:r>
      <w:r w:rsidR="00412563">
        <w:rPr>
          <w:rtl/>
          <w:lang w:bidi="fa-IR"/>
        </w:rPr>
        <w:t>ا</w:t>
      </w:r>
      <w:r>
        <w:rPr>
          <w:rtl/>
          <w:lang w:bidi="fa-IR"/>
        </w:rPr>
        <w:t xml:space="preserve"> أَنْ يَكُنَّ يُرِدْنَ أَنْ يُذْبَحَ عَنْهُنَّ ، فَإِنَّهُنَّ يُوَكِّلْنَ مَنْ يَذْبَحُ عَنْهُنَّ ». </w:t>
      </w:r>
      <w:r w:rsidRPr="00D10E3C">
        <w:rPr>
          <w:rStyle w:val="libFootnotenumChar"/>
          <w:rtl/>
        </w:rPr>
        <w:t>(15)</w:t>
      </w:r>
    </w:p>
    <w:p w:rsidR="00744A1C" w:rsidRDefault="00744A1C" w:rsidP="00D10E3C">
      <w:pPr>
        <w:pStyle w:val="libLine"/>
        <w:rPr>
          <w:lang w:bidi="fa-IR"/>
        </w:rPr>
      </w:pPr>
      <w:r>
        <w:rPr>
          <w:rtl/>
          <w:lang w:bidi="fa-IR"/>
        </w:rPr>
        <w:t>____________________</w:t>
      </w:r>
    </w:p>
    <w:p w:rsidR="00744A1C" w:rsidRDefault="00D10E3C" w:rsidP="00412563">
      <w:pPr>
        <w:pStyle w:val="libFootnote0"/>
        <w:rPr>
          <w:lang w:bidi="fa-IR"/>
        </w:rPr>
      </w:pPr>
      <w:r>
        <w:rPr>
          <w:rtl/>
          <w:lang w:bidi="fa-IR"/>
        </w:rPr>
        <w:t>(1).</w:t>
      </w:r>
      <w:r w:rsidR="00744A1C">
        <w:rPr>
          <w:rtl/>
          <w:lang w:bidi="fa-IR"/>
        </w:rPr>
        <w:t xml:space="preserve"> في « بث ، جن »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أبي المعزا ». والصواب « أبي المغرا » كما في بعض نسخ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راجع : </w:t>
      </w:r>
      <w:r w:rsidR="00744A1C" w:rsidRPr="003A7143">
        <w:rPr>
          <w:rStyle w:val="libFootnoteBoldChar"/>
          <w:rtl/>
        </w:rPr>
        <w:t>رجال النجاشي</w:t>
      </w:r>
      <w:r w:rsidR="00744A1C">
        <w:rPr>
          <w:rtl/>
          <w:lang w:bidi="fa-IR"/>
        </w:rPr>
        <w:t xml:space="preserve"> ، ص 133 ، الرقم 340 ؛ </w:t>
      </w:r>
      <w:r w:rsidR="00744A1C" w:rsidRPr="0061079A">
        <w:rPr>
          <w:rStyle w:val="libFootnoteBoldChar"/>
          <w:rtl/>
        </w:rPr>
        <w:t>رجال الطوسي</w:t>
      </w:r>
      <w:r w:rsidR="00744A1C">
        <w:rPr>
          <w:rtl/>
          <w:lang w:bidi="fa-IR"/>
        </w:rPr>
        <w:t xml:space="preserve"> ؛ ص 192 ، الرقم 2388 ؛ </w:t>
      </w:r>
      <w:r w:rsidR="00744A1C" w:rsidRPr="003A7143">
        <w:rPr>
          <w:rStyle w:val="libFootnoteBoldChar"/>
          <w:rtl/>
        </w:rPr>
        <w:t>الفهرست للطوسي</w:t>
      </w:r>
      <w:r w:rsidR="00744A1C">
        <w:rPr>
          <w:rtl/>
          <w:lang w:bidi="fa-IR"/>
        </w:rPr>
        <w:t xml:space="preserve"> ، ص 154 ، الرقم 236.</w:t>
      </w:r>
      <w:r w:rsidR="00412563">
        <w:rPr>
          <w:rFonts w:hint="cs"/>
          <w:rtl/>
          <w:lang w:bidi="fa-IR"/>
        </w:rPr>
        <w:t xml:space="preserve">              </w:t>
      </w:r>
      <w:r w:rsidR="00585895">
        <w:rPr>
          <w:rFonts w:hint="cs"/>
          <w:rtl/>
          <w:lang w:bidi="fa-IR"/>
        </w:rPr>
        <w:t xml:space="preserve"> </w:t>
      </w:r>
      <w:r w:rsidR="00412563">
        <w:rPr>
          <w:rFonts w:hint="cs"/>
          <w:rtl/>
          <w:lang w:bidi="fa-IR"/>
        </w:rPr>
        <w:t xml:space="preserve"> </w:t>
      </w:r>
      <w:r w:rsidR="00E378DD">
        <w:rPr>
          <w:rtl/>
          <w:lang w:bidi="fa-IR"/>
        </w:rPr>
        <w:t>(2).</w:t>
      </w:r>
      <w:r w:rsidR="00744A1C">
        <w:rPr>
          <w:rtl/>
          <w:lang w:bidi="fa-IR"/>
        </w:rPr>
        <w:t xml:space="preserve"> في </w:t>
      </w:r>
      <w:r w:rsidR="00744A1C" w:rsidRPr="0061079A">
        <w:rPr>
          <w:rStyle w:val="libFootnoteBoldChar"/>
          <w:rtl/>
        </w:rPr>
        <w:t>البحار</w:t>
      </w:r>
      <w:r w:rsidR="00744A1C">
        <w:rPr>
          <w:rtl/>
          <w:lang w:bidi="fa-IR"/>
        </w:rPr>
        <w:t xml:space="preserve"> </w:t>
      </w:r>
      <w:r w:rsidR="00744A1C" w:rsidRPr="0061079A">
        <w:rPr>
          <w:rStyle w:val="libFootnoteBoldChar"/>
          <w:rtl/>
        </w:rPr>
        <w:t>والتهذيب</w:t>
      </w:r>
      <w:r w:rsidR="00744A1C">
        <w:rPr>
          <w:rtl/>
          <w:lang w:bidi="fa-IR"/>
        </w:rPr>
        <w:t xml:space="preserve"> : « بالليل ».</w:t>
      </w:r>
    </w:p>
    <w:p w:rsidR="00744A1C" w:rsidRDefault="00E378DD" w:rsidP="00E378DD">
      <w:pPr>
        <w:pStyle w:val="libFootnote0"/>
        <w:rPr>
          <w:lang w:bidi="fa-IR"/>
        </w:rPr>
      </w:pPr>
      <w:r>
        <w:rPr>
          <w:rtl/>
          <w:lang w:bidi="fa-IR"/>
        </w:rPr>
        <w:t>(3).</w:t>
      </w:r>
      <w:r w:rsidR="00744A1C">
        <w:rPr>
          <w:rtl/>
          <w:lang w:bidi="fa-IR"/>
        </w:rPr>
        <w:t xml:space="preserve"> في </w:t>
      </w:r>
      <w:r w:rsidR="00744A1C" w:rsidRPr="00EE5E45">
        <w:rPr>
          <w:rtl/>
        </w:rPr>
        <w:t>الوافي والوسائل والبحار والتهذيب</w:t>
      </w:r>
      <w:r w:rsidR="00744A1C">
        <w:rPr>
          <w:rtl/>
          <w:lang w:bidi="fa-IR"/>
        </w:rPr>
        <w:t xml:space="preserve"> : « وأن يرموا ».</w:t>
      </w:r>
    </w:p>
    <w:tbl>
      <w:tblPr>
        <w:tblStyle w:val="TableGrid"/>
        <w:bidiVisual/>
        <w:tblW w:w="0" w:type="auto"/>
        <w:tblLook w:val="04A0" w:firstRow="1" w:lastRow="0" w:firstColumn="1" w:lastColumn="0" w:noHBand="0" w:noVBand="1"/>
      </w:tblPr>
      <w:tblGrid>
        <w:gridCol w:w="4006"/>
        <w:gridCol w:w="4006"/>
      </w:tblGrid>
      <w:tr w:rsidR="00585895" w:rsidTr="00585895">
        <w:tc>
          <w:tcPr>
            <w:tcW w:w="4006" w:type="dxa"/>
          </w:tcPr>
          <w:p w:rsidR="00585895" w:rsidRDefault="00585895" w:rsidP="00E378DD">
            <w:pPr>
              <w:pStyle w:val="libFootnote0"/>
              <w:rPr>
                <w:rtl/>
                <w:lang w:bidi="fa-IR"/>
              </w:rPr>
            </w:pPr>
            <w:r>
              <w:rPr>
                <w:rtl/>
                <w:lang w:bidi="fa-IR"/>
              </w:rPr>
              <w:t xml:space="preserve">(4). في </w:t>
            </w:r>
            <w:r w:rsidRPr="00C24F9C">
              <w:rPr>
                <w:rStyle w:val="libFootnoteBoldChar"/>
                <w:rtl/>
              </w:rPr>
              <w:t>التهذيب</w:t>
            </w:r>
            <w:r>
              <w:rPr>
                <w:rtl/>
                <w:lang w:bidi="fa-IR"/>
              </w:rPr>
              <w:t xml:space="preserve"> : « بالليل ».</w:t>
            </w:r>
          </w:p>
        </w:tc>
        <w:tc>
          <w:tcPr>
            <w:tcW w:w="4006" w:type="dxa"/>
          </w:tcPr>
          <w:p w:rsidR="00585895" w:rsidRDefault="00585895" w:rsidP="00E378DD">
            <w:pPr>
              <w:pStyle w:val="libFootnote0"/>
              <w:rPr>
                <w:rtl/>
                <w:lang w:bidi="fa-IR"/>
              </w:rPr>
            </w:pPr>
            <w:r>
              <w:rPr>
                <w:rtl/>
                <w:lang w:bidi="fa-IR"/>
              </w:rPr>
              <w:t>(5). في الاستبصار : « وإن ».</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194 ، ح 646 ؛ </w:t>
      </w:r>
      <w:r w:rsidR="00744A1C" w:rsidRPr="00C24F9C">
        <w:rPr>
          <w:rStyle w:val="libFootnoteBoldChar"/>
          <w:rtl/>
        </w:rPr>
        <w:t>والاستبصار</w:t>
      </w:r>
      <w:r w:rsidR="00744A1C">
        <w:rPr>
          <w:rtl/>
          <w:lang w:bidi="fa-IR"/>
        </w:rPr>
        <w:t xml:space="preserve"> ، ج 2 ، ص 257 ، ح 906 ، معلّقاً عن الكليني </w:t>
      </w:r>
      <w:r w:rsidR="00C735CB">
        <w:rPr>
          <w:rFonts w:hint="cs"/>
          <w:rtl/>
          <w:lang w:bidi="fa-IR"/>
        </w:rPr>
        <w:t>.</w:t>
      </w:r>
      <w:r w:rsidR="00744A1C" w:rsidRPr="00C24F9C">
        <w:rPr>
          <w:rStyle w:val="libFootnoteBoldChar"/>
          <w:rtl/>
        </w:rPr>
        <w:t>الوافي</w:t>
      </w:r>
      <w:r w:rsidR="00744A1C">
        <w:rPr>
          <w:rtl/>
          <w:lang w:bidi="fa-IR"/>
        </w:rPr>
        <w:t xml:space="preserve"> ، ج 13 ، ص 1057 ، ح 13737 ؛ </w:t>
      </w:r>
      <w:r w:rsidR="00744A1C" w:rsidRPr="00C24F9C">
        <w:rPr>
          <w:rStyle w:val="libFootnoteBoldChar"/>
          <w:rtl/>
        </w:rPr>
        <w:t>الوسائل</w:t>
      </w:r>
      <w:r w:rsidR="00744A1C">
        <w:rPr>
          <w:rtl/>
          <w:lang w:bidi="fa-IR"/>
        </w:rPr>
        <w:t xml:space="preserve"> ، ج 14 ، ص 28 ، ح 18506 ؛ </w:t>
      </w:r>
      <w:r w:rsidR="00744A1C" w:rsidRPr="0061079A">
        <w:rPr>
          <w:rStyle w:val="libFootnoteBoldChar"/>
          <w:rtl/>
        </w:rPr>
        <w:t>البحار</w:t>
      </w:r>
      <w:r w:rsidR="00744A1C">
        <w:rPr>
          <w:rtl/>
          <w:lang w:bidi="fa-IR"/>
        </w:rPr>
        <w:t xml:space="preserve"> ، ج 83 ، ص 121 ، ذيل ح 55 ، إلى قوله : « الغداة في منازلهم ».</w:t>
      </w:r>
    </w:p>
    <w:p w:rsidR="00744A1C" w:rsidRDefault="00E378DD" w:rsidP="00E378DD">
      <w:pPr>
        <w:pStyle w:val="libFootnote0"/>
        <w:rPr>
          <w:lang w:bidi="fa-IR"/>
        </w:rPr>
      </w:pPr>
      <w:r>
        <w:rPr>
          <w:rtl/>
          <w:lang w:bidi="fa-IR"/>
        </w:rPr>
        <w:t>(7).</w:t>
      </w:r>
      <w:r w:rsidR="00744A1C">
        <w:rPr>
          <w:rtl/>
          <w:lang w:bidi="fa-IR"/>
        </w:rPr>
        <w:t xml:space="preserve"> السند معلّق على سابقه. ويروي عن أحمد بن محمّد ، عدّة من أصحابنا.</w:t>
      </w:r>
    </w:p>
    <w:p w:rsidR="00744A1C" w:rsidRDefault="00E378DD" w:rsidP="00E378DD">
      <w:pPr>
        <w:pStyle w:val="libFootnote0"/>
        <w:rPr>
          <w:lang w:bidi="fa-IR"/>
        </w:rPr>
      </w:pPr>
      <w:r>
        <w:rPr>
          <w:rtl/>
          <w:lang w:bidi="fa-IR"/>
        </w:rPr>
        <w:t>(8).</w:t>
      </w:r>
      <w:r w:rsidR="00744A1C">
        <w:rPr>
          <w:rtl/>
          <w:lang w:bidi="fa-IR"/>
        </w:rPr>
        <w:t xml:space="preserve"> في « بخ ، بف ، جد ، جر » : - « عبد الله ».</w:t>
      </w:r>
    </w:p>
    <w:p w:rsidR="00744A1C" w:rsidRDefault="00E378DD" w:rsidP="00E378DD">
      <w:pPr>
        <w:pStyle w:val="libFootnote0"/>
        <w:rPr>
          <w:lang w:bidi="fa-IR"/>
        </w:rPr>
      </w:pPr>
      <w:r>
        <w:rPr>
          <w:rtl/>
          <w:lang w:bidi="fa-IR"/>
        </w:rPr>
        <w:t>(9).</w:t>
      </w:r>
      <w:r w:rsidR="00744A1C">
        <w:rPr>
          <w:rtl/>
          <w:lang w:bidi="fa-IR"/>
        </w:rPr>
        <w:t xml:space="preserve"> في « بخ ، بف ، جد ، جر » و</w:t>
      </w:r>
      <w:r w:rsidR="00744A1C" w:rsidRPr="00C24F9C">
        <w:rPr>
          <w:rStyle w:val="libFootnoteBoldChar"/>
          <w:rtl/>
        </w:rPr>
        <w:t>الوافي</w:t>
      </w:r>
      <w:r w:rsidR="00744A1C">
        <w:rPr>
          <w:rtl/>
          <w:lang w:bidi="fa-IR"/>
        </w:rPr>
        <w:t xml:space="preserve"> :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قال : سمعته » بدل « قال : سمعت أبا عبد الله </w:t>
      </w:r>
      <w:r w:rsidR="0061079A" w:rsidRPr="0061079A">
        <w:rPr>
          <w:rStyle w:val="libFootnoteAlaemChar"/>
          <w:rtl/>
        </w:rPr>
        <w:t>عليه‌السلام</w:t>
      </w:r>
      <w:r w:rsidR="00D10E3C">
        <w:rPr>
          <w:rtl/>
          <w:lang w:bidi="fa-IR"/>
        </w:rPr>
        <w:t xml:space="preserve"> </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C735CB" w:rsidTr="00C735CB">
        <w:tc>
          <w:tcPr>
            <w:tcW w:w="4006" w:type="dxa"/>
          </w:tcPr>
          <w:p w:rsidR="00C735CB" w:rsidRDefault="00C735CB" w:rsidP="00E378DD">
            <w:pPr>
              <w:pStyle w:val="libFootnote0"/>
              <w:rPr>
                <w:rtl/>
                <w:lang w:bidi="fa-IR"/>
              </w:rPr>
            </w:pPr>
            <w:r>
              <w:rPr>
                <w:rtl/>
                <w:lang w:bidi="fa-IR"/>
              </w:rPr>
              <w:t>(10). في « بث » : - « عنه ».</w:t>
            </w:r>
          </w:p>
        </w:tc>
        <w:tc>
          <w:tcPr>
            <w:tcW w:w="4006" w:type="dxa"/>
          </w:tcPr>
          <w:p w:rsidR="00C735CB" w:rsidRDefault="00C735CB" w:rsidP="00E378DD">
            <w:pPr>
              <w:pStyle w:val="libFootnote0"/>
              <w:rPr>
                <w:rtl/>
                <w:lang w:bidi="fa-IR"/>
              </w:rPr>
            </w:pPr>
            <w:r>
              <w:rPr>
                <w:rtl/>
                <w:lang w:bidi="fa-IR"/>
              </w:rPr>
              <w:t>(11). في « بخ » : « بالمشعر ».</w:t>
            </w:r>
          </w:p>
        </w:tc>
      </w:tr>
      <w:tr w:rsidR="00C735CB" w:rsidTr="00C735CB">
        <w:tc>
          <w:tcPr>
            <w:tcW w:w="4006" w:type="dxa"/>
          </w:tcPr>
          <w:p w:rsidR="00C735CB" w:rsidRDefault="00C735CB" w:rsidP="00E378DD">
            <w:pPr>
              <w:pStyle w:val="libFootnote0"/>
              <w:rPr>
                <w:rtl/>
                <w:lang w:bidi="fa-IR"/>
              </w:rPr>
            </w:pPr>
            <w:r>
              <w:rPr>
                <w:rtl/>
                <w:lang w:bidi="fa-IR"/>
              </w:rPr>
              <w:t>(12). في « بخ ، بف » : - « الحرام ».</w:t>
            </w:r>
          </w:p>
        </w:tc>
        <w:tc>
          <w:tcPr>
            <w:tcW w:w="4006" w:type="dxa"/>
          </w:tcPr>
          <w:p w:rsidR="00C735CB" w:rsidRDefault="00C735CB" w:rsidP="00E378DD">
            <w:pPr>
              <w:pStyle w:val="libFootnote0"/>
              <w:rPr>
                <w:rtl/>
                <w:lang w:bidi="fa-IR"/>
              </w:rPr>
            </w:pPr>
            <w:r>
              <w:rPr>
                <w:rtl/>
                <w:lang w:bidi="fa-IR"/>
              </w:rPr>
              <w:t xml:space="preserve">(13). في </w:t>
            </w:r>
            <w:r w:rsidRPr="00C24F9C">
              <w:rPr>
                <w:rStyle w:val="libFootnoteBoldChar"/>
                <w:rtl/>
              </w:rPr>
              <w:t>الوافي</w:t>
            </w:r>
            <w:r>
              <w:rPr>
                <w:rtl/>
                <w:lang w:bidi="fa-IR"/>
              </w:rPr>
              <w:t xml:space="preserve"> : « تنطلق ».</w:t>
            </w:r>
          </w:p>
        </w:tc>
      </w:tr>
    </w:tbl>
    <w:p w:rsidR="00744A1C" w:rsidRDefault="00E378DD" w:rsidP="00E378DD">
      <w:pPr>
        <w:pStyle w:val="libFootnote0"/>
        <w:rPr>
          <w:lang w:bidi="fa-IR"/>
        </w:rPr>
      </w:pPr>
      <w:r>
        <w:rPr>
          <w:rtl/>
          <w:lang w:bidi="fa-IR"/>
        </w:rPr>
        <w:t>(14).</w:t>
      </w:r>
      <w:r w:rsidR="00744A1C">
        <w:rPr>
          <w:rtl/>
          <w:lang w:bidi="fa-IR"/>
        </w:rPr>
        <w:t xml:space="preserve"> في </w:t>
      </w:r>
      <w:r w:rsidR="00744A1C" w:rsidRPr="00C24F9C">
        <w:rPr>
          <w:rStyle w:val="libFootnoteBoldChar"/>
          <w:rtl/>
        </w:rPr>
        <w:t>الوافي</w:t>
      </w:r>
      <w:r w:rsidR="00744A1C">
        <w:rPr>
          <w:rtl/>
          <w:lang w:bidi="fa-IR"/>
        </w:rPr>
        <w:t xml:space="preserve"> : « ثمّ ليقصّرنّ ».</w:t>
      </w:r>
    </w:p>
    <w:p w:rsidR="00744A1C" w:rsidRDefault="00E378DD" w:rsidP="00E378DD">
      <w:pPr>
        <w:pStyle w:val="libFootnote0"/>
        <w:rPr>
          <w:lang w:bidi="fa-IR"/>
        </w:rPr>
      </w:pPr>
      <w:r>
        <w:rPr>
          <w:rtl/>
          <w:lang w:bidi="fa-IR"/>
        </w:rPr>
        <w:t>(15).</w:t>
      </w:r>
      <w:r w:rsidR="00744A1C">
        <w:rPr>
          <w:rtl/>
          <w:lang w:bidi="fa-IR"/>
        </w:rPr>
        <w:t xml:space="preserve"> </w:t>
      </w:r>
      <w:r w:rsidR="00744A1C" w:rsidRPr="00C24F9C">
        <w:rPr>
          <w:rStyle w:val="libFootnoteBoldChar"/>
          <w:rtl/>
        </w:rPr>
        <w:t>الفقيه</w:t>
      </w:r>
      <w:r w:rsidR="00744A1C">
        <w:rPr>
          <w:rtl/>
          <w:lang w:bidi="fa-IR"/>
        </w:rPr>
        <w:t xml:space="preserve"> ، ج 2 ، ص 470 ، ح 1993 ، معلّقاً عن ابن مسكان </w:t>
      </w:r>
      <w:r w:rsidR="000578D5">
        <w:rPr>
          <w:rFonts w:hint="cs"/>
          <w:rtl/>
          <w:lang w:bidi="fa-IR"/>
        </w:rPr>
        <w:t>.</w:t>
      </w:r>
      <w:r w:rsidR="00744A1C" w:rsidRPr="00C24F9C">
        <w:rPr>
          <w:rStyle w:val="libFootnoteBoldChar"/>
          <w:rtl/>
        </w:rPr>
        <w:t>الوافي</w:t>
      </w:r>
      <w:r w:rsidR="00744A1C">
        <w:rPr>
          <w:rtl/>
          <w:lang w:bidi="fa-IR"/>
        </w:rPr>
        <w:t xml:space="preserve"> ، ج 13 ، ص 1058 ، ح 13740 ؛ </w:t>
      </w:r>
      <w:r w:rsidR="00744A1C" w:rsidRPr="00C24F9C">
        <w:rPr>
          <w:rStyle w:val="libFootnoteBoldChar"/>
          <w:rtl/>
        </w:rPr>
        <w:t>الوسائل</w:t>
      </w:r>
      <w:r w:rsidR="00744A1C">
        <w:rPr>
          <w:rtl/>
          <w:lang w:bidi="fa-IR"/>
        </w:rPr>
        <w:t xml:space="preserve"> ، </w:t>
      </w:r>
      <w:r w:rsidR="000578D5">
        <w:rPr>
          <w:rFonts w:hint="cs"/>
          <w:rtl/>
          <w:lang w:bidi="fa-IR"/>
        </w:rPr>
        <w:t>=</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7784 / 7. وَعَنْهُ </w:t>
      </w:r>
      <w:r w:rsidRPr="00D10E3C">
        <w:rPr>
          <w:rStyle w:val="libFootnotenumChar"/>
          <w:rtl/>
        </w:rPr>
        <w:t>(1)</w:t>
      </w:r>
      <w:r>
        <w:rPr>
          <w:rtl/>
          <w:lang w:bidi="fa-IR"/>
        </w:rPr>
        <w:t xml:space="preserve"> ، عَنْ عَلِيِّ بْنِ النُّعْمَانِ ، عَنْ سَعِيدٍ الْأَعْرَجِ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جُعِلْتُ فِدَاكَ </w:t>
      </w:r>
      <w:r w:rsidRPr="00D10E3C">
        <w:rPr>
          <w:rStyle w:val="libFootnotenumChar"/>
          <w:rtl/>
        </w:rPr>
        <w:t>(2)</w:t>
      </w:r>
      <w:r>
        <w:rPr>
          <w:rtl/>
          <w:lang w:bidi="fa-IR"/>
        </w:rPr>
        <w:t xml:space="preserve"> ، مَعَنَا نِسَاءٌ ، فَأُفِيضُ بِهِنَّ بِلَيْلٍ؟</w:t>
      </w:r>
    </w:p>
    <w:p w:rsidR="00744A1C" w:rsidRDefault="00744A1C" w:rsidP="00EE5E45">
      <w:pPr>
        <w:pStyle w:val="libNormal"/>
        <w:rPr>
          <w:lang w:bidi="fa-IR"/>
        </w:rPr>
      </w:pPr>
      <w:r>
        <w:rPr>
          <w:rtl/>
          <w:lang w:bidi="fa-IR"/>
        </w:rPr>
        <w:t xml:space="preserve">قَالَ : « نَعَمْ ، تُرِيدُ أَنْ تَصْنَعَ كَمَا صَنَعَ رَسُولُ اللهِ </w:t>
      </w:r>
      <w:r w:rsidR="00EE5E45" w:rsidRPr="00EE5E45">
        <w:rPr>
          <w:rStyle w:val="libAlaemChar"/>
          <w:rtl/>
        </w:rPr>
        <w:t>صلى‌الله‌عليه‌وآله</w:t>
      </w:r>
      <w:r>
        <w:rPr>
          <w:rtl/>
          <w:lang w:bidi="fa-IR"/>
        </w:rPr>
        <w:t xml:space="preserve"> ؟ ».</w:t>
      </w:r>
    </w:p>
    <w:p w:rsidR="00744A1C" w:rsidRDefault="00744A1C" w:rsidP="00744A1C">
      <w:pPr>
        <w:pStyle w:val="libNormal"/>
        <w:rPr>
          <w:lang w:bidi="fa-IR"/>
        </w:rPr>
      </w:pPr>
      <w:r>
        <w:rPr>
          <w:rtl/>
          <w:lang w:bidi="fa-IR"/>
        </w:rPr>
        <w:t xml:space="preserve">قَالَ : قُلْتُ : نَعَمْ </w:t>
      </w:r>
      <w:r w:rsidRPr="00D10E3C">
        <w:rPr>
          <w:rStyle w:val="libFootnotenumChar"/>
          <w:rtl/>
        </w:rPr>
        <w:t>(3)</w:t>
      </w:r>
      <w:r w:rsidR="008245CD" w:rsidRPr="008245CD">
        <w:rPr>
          <w:rFonts w:hint="cs"/>
          <w:rtl/>
        </w:rPr>
        <w:t>.</w:t>
      </w:r>
    </w:p>
    <w:p w:rsidR="00744A1C" w:rsidRDefault="00744A1C" w:rsidP="00744A1C">
      <w:pPr>
        <w:pStyle w:val="libNormal"/>
        <w:rPr>
          <w:lang w:bidi="fa-IR"/>
        </w:rPr>
      </w:pPr>
      <w:r>
        <w:rPr>
          <w:rtl/>
          <w:lang w:bidi="fa-IR"/>
        </w:rPr>
        <w:t xml:space="preserve">فَقَالَ : « أَفِضْ بِهِنَّ بِلَيْلٍ ، وَلَاتُفِضْ بِهِنَّ حَتّى تَقِفَ بِهِنَّ بِجَمْعٍ ، ثُمَّ أَفِضْ بِهِنَّ حَتّى تَأْتِيَ بِهِنَّ </w:t>
      </w:r>
      <w:r w:rsidRPr="00D10E3C">
        <w:rPr>
          <w:rStyle w:val="libFootnotenumChar"/>
          <w:rtl/>
        </w:rPr>
        <w:t>(4)</w:t>
      </w:r>
      <w:r>
        <w:rPr>
          <w:rtl/>
          <w:lang w:bidi="fa-IR"/>
        </w:rPr>
        <w:t xml:space="preserve"> الْجَمْرَةَ الْعُظْمى ، فَيَرْمِينَ الْجَمْرَةَ </w:t>
      </w:r>
      <w:r w:rsidRPr="00D10E3C">
        <w:rPr>
          <w:rStyle w:val="libFootnotenumChar"/>
          <w:rtl/>
        </w:rPr>
        <w:t>(5)</w:t>
      </w:r>
      <w:r>
        <w:rPr>
          <w:rtl/>
          <w:lang w:bidi="fa-IR"/>
        </w:rPr>
        <w:t xml:space="preserve"> ، فَإِنْ لَمْ يَكُنْ عَلَيْهِنَّ ذَبْحٌ ، فَلْيَأْخُذْنَ مِنْ شُعُورِهِنَّ ، وَيُقَصِّرْنَ مِنْ أَظْفَارِهِنَّ ، وَيَمْضِينَ </w:t>
      </w:r>
      <w:r w:rsidRPr="00D10E3C">
        <w:rPr>
          <w:rStyle w:val="libFootnotenumChar"/>
          <w:rtl/>
        </w:rPr>
        <w:t>(6)</w:t>
      </w:r>
      <w:r>
        <w:rPr>
          <w:rtl/>
          <w:lang w:bidi="fa-IR"/>
        </w:rPr>
        <w:t xml:space="preserve"> إِلى مَكَّةَ فِي وُجُوهِهِنَّ </w:t>
      </w:r>
      <w:r w:rsidRPr="00D10E3C">
        <w:rPr>
          <w:rStyle w:val="libFootnotenumChar"/>
          <w:rtl/>
        </w:rPr>
        <w:t>(7)</w:t>
      </w:r>
      <w:r>
        <w:rPr>
          <w:rtl/>
          <w:lang w:bidi="fa-IR"/>
        </w:rPr>
        <w:t xml:space="preserve"> ، وَيَطُفْنَ </w:t>
      </w:r>
      <w:r w:rsidRPr="00D10E3C">
        <w:rPr>
          <w:rStyle w:val="libFootnotenumChar"/>
          <w:rtl/>
        </w:rPr>
        <w:t>(8)</w:t>
      </w:r>
      <w:r>
        <w:rPr>
          <w:rtl/>
          <w:lang w:bidi="fa-IR"/>
        </w:rPr>
        <w:t xml:space="preserve"> بِالْبَيْتِ ، وَيَسْعَيْنَ بَيْنَ الصَّفَا وَالْمَرْوَةِ ، ثُمَّ يَرْجِعْنَ إِلَى الْبَيْتِ ، وَيَطُفْنَ </w:t>
      </w:r>
      <w:r w:rsidRPr="00D10E3C">
        <w:rPr>
          <w:rStyle w:val="libFootnotenumChar"/>
          <w:rtl/>
        </w:rPr>
        <w:t>(9)</w:t>
      </w:r>
      <w:r>
        <w:rPr>
          <w:rtl/>
          <w:lang w:bidi="fa-IR"/>
        </w:rPr>
        <w:t xml:space="preserve"> أُسْبُوعاً </w:t>
      </w:r>
      <w:r w:rsidRPr="00D10E3C">
        <w:rPr>
          <w:rStyle w:val="libFootnotenumChar"/>
          <w:rtl/>
        </w:rPr>
        <w:t>(10)</w:t>
      </w:r>
      <w:r>
        <w:rPr>
          <w:rtl/>
          <w:lang w:bidi="fa-IR"/>
        </w:rPr>
        <w:t xml:space="preserve"> ، ثُمَّ يَرْجِعْنَ إِلى مِنًى </w:t>
      </w:r>
      <w:r w:rsidR="00EE5E45">
        <w:rPr>
          <w:rtl/>
          <w:lang w:bidi="fa-IR"/>
        </w:rPr>
        <w:t>وَقَدْ فَرَغْنَ مِنْ حَجِّهِنَّ</w:t>
      </w:r>
      <w:r>
        <w:rPr>
          <w:rtl/>
          <w:lang w:bidi="fa-IR"/>
        </w:rPr>
        <w:t>».</w:t>
      </w:r>
    </w:p>
    <w:p w:rsidR="00144FA6" w:rsidRDefault="00744A1C" w:rsidP="00744A1C">
      <w:pPr>
        <w:pStyle w:val="libNormal"/>
        <w:rPr>
          <w:rtl/>
          <w:lang w:bidi="fa-IR"/>
        </w:rPr>
      </w:pPr>
      <w:r>
        <w:rPr>
          <w:rtl/>
          <w:lang w:bidi="fa-IR"/>
        </w:rPr>
        <w:t xml:space="preserve">وَقَالَ : « إِنَّ رَسُولَ اللهِ </w:t>
      </w:r>
      <w:r w:rsidR="00AE01C7" w:rsidRPr="00EE5E45">
        <w:rPr>
          <w:rStyle w:val="libAlaemChar"/>
          <w:rtl/>
        </w:rPr>
        <w:t>صلى‌الله‌عليه‌وآله</w:t>
      </w:r>
      <w:r w:rsidR="00D10E3C">
        <w:rPr>
          <w:rtl/>
          <w:lang w:bidi="fa-IR"/>
        </w:rPr>
        <w:t xml:space="preserve"> </w:t>
      </w:r>
      <w:r>
        <w:rPr>
          <w:rtl/>
          <w:lang w:bidi="fa-IR"/>
        </w:rPr>
        <w:t xml:space="preserve">أَرْسَلَ مَعَهُنَّ أُسَامَةَ </w:t>
      </w:r>
      <w:r w:rsidRPr="00D10E3C">
        <w:rPr>
          <w:rStyle w:val="libFootnotenumChar"/>
          <w:rtl/>
        </w:rPr>
        <w:t>(11)</w:t>
      </w:r>
      <w:r>
        <w:rPr>
          <w:rtl/>
          <w:lang w:bidi="fa-IR"/>
        </w:rPr>
        <w:t xml:space="preserve"> ». </w:t>
      </w:r>
      <w:r w:rsidRPr="00D10E3C">
        <w:rPr>
          <w:rStyle w:val="libFootnotenumChar"/>
          <w:rtl/>
        </w:rPr>
        <w:t>(12)</w:t>
      </w:r>
    </w:p>
    <w:p w:rsidR="00744A1C" w:rsidRDefault="00744A1C" w:rsidP="00744A1C">
      <w:pPr>
        <w:pStyle w:val="libNormal"/>
        <w:rPr>
          <w:lang w:bidi="fa-IR"/>
        </w:rPr>
      </w:pPr>
      <w:r>
        <w:rPr>
          <w:rtl/>
          <w:lang w:bidi="fa-IR"/>
        </w:rPr>
        <w:t>7785 / 8. عَلِيُّ بْنُ إِبْرَاهِيمَ ، عَنْ أَبِيهِ ، عَنِ ابْنِ أَبِي عُمَيْرٍ ، عَنْ حَفْصِ بْنِ الْبَخْتَرِيِّ‌</w:t>
      </w:r>
    </w:p>
    <w:p w:rsidR="00744A1C" w:rsidRDefault="00744A1C" w:rsidP="00D10E3C">
      <w:pPr>
        <w:pStyle w:val="libLine"/>
        <w:rPr>
          <w:lang w:bidi="fa-IR"/>
        </w:rPr>
      </w:pPr>
      <w:r>
        <w:rPr>
          <w:rtl/>
          <w:lang w:bidi="fa-IR"/>
        </w:rPr>
        <w:t>____________________</w:t>
      </w:r>
    </w:p>
    <w:p w:rsidR="00744A1C" w:rsidRDefault="008245CD" w:rsidP="00D10E3C">
      <w:pPr>
        <w:pStyle w:val="libFootnote0"/>
        <w:rPr>
          <w:lang w:bidi="fa-IR"/>
        </w:rPr>
      </w:pPr>
      <w:r>
        <w:rPr>
          <w:rFonts w:hint="cs"/>
          <w:rtl/>
          <w:lang w:bidi="fa-IR"/>
        </w:rPr>
        <w:t xml:space="preserve">= </w:t>
      </w:r>
      <w:r w:rsidR="00744A1C">
        <w:rPr>
          <w:rtl/>
          <w:lang w:bidi="fa-IR"/>
        </w:rPr>
        <w:t>ج 14 ، ص 30 ، ذيل ح 18510.</w:t>
      </w:r>
    </w:p>
    <w:p w:rsidR="00744A1C" w:rsidRDefault="00D10E3C" w:rsidP="00D10E3C">
      <w:pPr>
        <w:pStyle w:val="libFootnote0"/>
        <w:rPr>
          <w:lang w:bidi="fa-IR"/>
        </w:rPr>
      </w:pPr>
      <w:r>
        <w:rPr>
          <w:rtl/>
          <w:lang w:bidi="fa-IR"/>
        </w:rPr>
        <w:t>(1).</w:t>
      </w:r>
      <w:r w:rsidR="00744A1C">
        <w:rPr>
          <w:rtl/>
          <w:lang w:bidi="fa-IR"/>
        </w:rPr>
        <w:t xml:space="preserve"> الضمير راجع إلى أحمد بن محمّد المذكور في السند السابق.</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 ح 18564 : - « جعلت فداك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الوسائل</w:t>
      </w:r>
      <w:r w:rsidR="00744A1C">
        <w:rPr>
          <w:rtl/>
          <w:lang w:bidi="fa-IR"/>
        </w:rPr>
        <w:t xml:space="preserve"> ، ح 18564 : - « فا</w:t>
      </w:r>
      <w:r w:rsidR="00A2459B">
        <w:rPr>
          <w:rFonts w:hint="cs"/>
          <w:rtl/>
          <w:lang w:bidi="fa-IR"/>
        </w:rPr>
        <w:t>ُ</w:t>
      </w:r>
      <w:r w:rsidR="00744A1C">
        <w:rPr>
          <w:rtl/>
          <w:lang w:bidi="fa-IR"/>
        </w:rPr>
        <w:t>فيض بهنّ - إلى - قلت : نعم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 بهنّ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جمرة ».</w:t>
      </w:r>
    </w:p>
    <w:p w:rsidR="00744A1C" w:rsidRDefault="00E378DD" w:rsidP="00E378DD">
      <w:pPr>
        <w:pStyle w:val="libFootnote0"/>
        <w:rPr>
          <w:lang w:bidi="fa-IR"/>
        </w:rPr>
      </w:pPr>
      <w:r>
        <w:rPr>
          <w:rtl/>
          <w:lang w:bidi="fa-IR"/>
        </w:rPr>
        <w:t>(6).</w:t>
      </w:r>
      <w:r w:rsidR="00744A1C">
        <w:rPr>
          <w:rtl/>
          <w:lang w:bidi="fa-IR"/>
        </w:rPr>
        <w:t xml:space="preserve"> في « بخ ، بف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18564 </w:t>
      </w:r>
      <w:r w:rsidR="00744A1C" w:rsidRPr="0061079A">
        <w:rPr>
          <w:rStyle w:val="libFootnoteBoldChar"/>
          <w:rtl/>
        </w:rPr>
        <w:t>والتهذيب</w:t>
      </w:r>
      <w:r w:rsidR="00744A1C">
        <w:rPr>
          <w:rtl/>
          <w:lang w:bidi="fa-IR"/>
        </w:rPr>
        <w:t xml:space="preserve"> : « ثمّ يمضين ».</w:t>
      </w:r>
    </w:p>
    <w:tbl>
      <w:tblPr>
        <w:tblStyle w:val="TableGrid"/>
        <w:bidiVisual/>
        <w:tblW w:w="0" w:type="auto"/>
        <w:tblLook w:val="04A0" w:firstRow="1" w:lastRow="0" w:firstColumn="1" w:lastColumn="0" w:noHBand="0" w:noVBand="1"/>
      </w:tblPr>
      <w:tblGrid>
        <w:gridCol w:w="4006"/>
        <w:gridCol w:w="4006"/>
      </w:tblGrid>
      <w:tr w:rsidR="00A2459B" w:rsidTr="00A2459B">
        <w:tc>
          <w:tcPr>
            <w:tcW w:w="4006" w:type="dxa"/>
          </w:tcPr>
          <w:p w:rsidR="00A2459B" w:rsidRDefault="00A2459B" w:rsidP="00E378DD">
            <w:pPr>
              <w:pStyle w:val="libFootnote0"/>
              <w:rPr>
                <w:rtl/>
                <w:lang w:bidi="fa-IR"/>
              </w:rPr>
            </w:pPr>
            <w:r>
              <w:rPr>
                <w:rtl/>
                <w:lang w:bidi="fa-IR"/>
              </w:rPr>
              <w:t>(7). في « بف » : « وجههنّ ».</w:t>
            </w:r>
          </w:p>
        </w:tc>
        <w:tc>
          <w:tcPr>
            <w:tcW w:w="4006" w:type="dxa"/>
          </w:tcPr>
          <w:p w:rsidR="00A2459B" w:rsidRDefault="00A2459B" w:rsidP="00E378DD">
            <w:pPr>
              <w:pStyle w:val="libFootnote0"/>
              <w:rPr>
                <w:rtl/>
                <w:lang w:bidi="fa-IR"/>
              </w:rPr>
            </w:pPr>
            <w:r>
              <w:rPr>
                <w:rtl/>
                <w:lang w:bidi="fa-IR"/>
              </w:rPr>
              <w:t>(8). في « بث » : « يطفن » بدون الواو.</w:t>
            </w:r>
          </w:p>
        </w:tc>
      </w:tr>
      <w:tr w:rsidR="00A2459B" w:rsidTr="00A2459B">
        <w:tc>
          <w:tcPr>
            <w:tcW w:w="4006" w:type="dxa"/>
          </w:tcPr>
          <w:p w:rsidR="00A2459B" w:rsidRDefault="00A2459B" w:rsidP="00E378DD">
            <w:pPr>
              <w:pStyle w:val="libFootnote0"/>
              <w:rPr>
                <w:rtl/>
                <w:lang w:bidi="fa-IR"/>
              </w:rPr>
            </w:pPr>
            <w:r>
              <w:rPr>
                <w:rtl/>
                <w:lang w:bidi="fa-IR"/>
              </w:rPr>
              <w:t>(9). في « ى ، بس ، بف ، جد » : « فيطفن ».</w:t>
            </w:r>
          </w:p>
        </w:tc>
        <w:tc>
          <w:tcPr>
            <w:tcW w:w="4006" w:type="dxa"/>
          </w:tcPr>
          <w:p w:rsidR="00A2459B" w:rsidRDefault="00A2459B" w:rsidP="00E378DD">
            <w:pPr>
              <w:pStyle w:val="libFootnote0"/>
              <w:rPr>
                <w:rtl/>
                <w:lang w:bidi="fa-IR"/>
              </w:rPr>
            </w:pPr>
            <w:r>
              <w:rPr>
                <w:rtl/>
                <w:lang w:bidi="fa-IR"/>
              </w:rPr>
              <w:t xml:space="preserve">(10). في </w:t>
            </w:r>
            <w:r w:rsidRPr="00C24F9C">
              <w:rPr>
                <w:rStyle w:val="libFootnoteBoldChar"/>
                <w:rtl/>
              </w:rPr>
              <w:t>الوافي</w:t>
            </w:r>
            <w:r>
              <w:rPr>
                <w:rtl/>
                <w:lang w:bidi="fa-IR"/>
              </w:rPr>
              <w:t xml:space="preserve"> : « سبوعاً ».</w:t>
            </w:r>
          </w:p>
        </w:tc>
      </w:tr>
    </w:tbl>
    <w:p w:rsidR="00744A1C" w:rsidRDefault="00E378DD" w:rsidP="00E378DD">
      <w:pPr>
        <w:pStyle w:val="libFootnote0"/>
        <w:rPr>
          <w:lang w:bidi="fa-IR"/>
        </w:rPr>
      </w:pPr>
      <w:r>
        <w:rPr>
          <w:rtl/>
          <w:lang w:bidi="fa-IR"/>
        </w:rPr>
        <w:t>(11).</w:t>
      </w:r>
      <w:r w:rsidR="00744A1C">
        <w:rPr>
          <w:rtl/>
          <w:lang w:bidi="fa-IR"/>
        </w:rPr>
        <w:t xml:space="preserve"> في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ا</w:t>
      </w:r>
      <w:r w:rsidR="004D1F09">
        <w:rPr>
          <w:rFonts w:hint="cs"/>
          <w:rtl/>
          <w:lang w:bidi="fa-IR"/>
        </w:rPr>
        <w:t>ُ</w:t>
      </w:r>
      <w:r w:rsidR="00744A1C">
        <w:rPr>
          <w:rtl/>
          <w:lang w:bidi="fa-IR"/>
        </w:rPr>
        <w:t xml:space="preserve">سامة معهنّ ». وفي </w:t>
      </w:r>
      <w:r w:rsidR="00744A1C" w:rsidRPr="0061079A">
        <w:rPr>
          <w:rStyle w:val="libFootnoteBoldChar"/>
          <w:rtl/>
        </w:rPr>
        <w:t>البحار</w:t>
      </w:r>
      <w:r w:rsidR="00744A1C">
        <w:rPr>
          <w:rtl/>
          <w:lang w:bidi="fa-IR"/>
        </w:rPr>
        <w:t xml:space="preserve"> : + « بن زيد ».</w:t>
      </w:r>
    </w:p>
    <w:p w:rsidR="00744A1C" w:rsidRDefault="00E378DD" w:rsidP="00256304">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195 ، ح 647 ، معلّقاً عن الكليني </w:t>
      </w:r>
      <w:r w:rsidR="004D1F09">
        <w:rPr>
          <w:rFonts w:hint="cs"/>
          <w:rtl/>
          <w:lang w:bidi="fa-IR"/>
        </w:rPr>
        <w:t>.</w:t>
      </w:r>
      <w:r w:rsidR="00744A1C" w:rsidRPr="00C24F9C">
        <w:rPr>
          <w:rStyle w:val="libFootnoteBoldChar"/>
          <w:rtl/>
        </w:rPr>
        <w:t>الوافي</w:t>
      </w:r>
      <w:r w:rsidR="00744A1C">
        <w:rPr>
          <w:rtl/>
          <w:lang w:bidi="fa-IR"/>
        </w:rPr>
        <w:t xml:space="preserve"> ، ج 13 ، ص 1059 ، ح 13741 ؛ </w:t>
      </w:r>
      <w:r w:rsidR="00744A1C" w:rsidRPr="00C24F9C">
        <w:rPr>
          <w:rStyle w:val="libFootnoteBoldChar"/>
          <w:rtl/>
        </w:rPr>
        <w:t>الوسائل</w:t>
      </w:r>
      <w:r w:rsidR="00744A1C">
        <w:rPr>
          <w:rtl/>
          <w:lang w:bidi="fa-IR"/>
        </w:rPr>
        <w:t xml:space="preserve"> ، ج 14 ، ص 28 ، ح 18505 ؛ وفيه ، ص 53 ، ح 18564 ، إلى قوله : « يمضين إلى مكّة » ؛ وفيه أيضاً ، ص 155 ، ح 18855 ، من قوله : « تقف بهنّ بجمع » إلى قوله : « ويقصّرن من أظفارهنّ » ؛ </w:t>
      </w:r>
      <w:r w:rsidR="00744A1C" w:rsidRPr="0061079A">
        <w:rPr>
          <w:rStyle w:val="libFootnoteBoldChar"/>
          <w:rtl/>
        </w:rPr>
        <w:t>البحار</w:t>
      </w:r>
      <w:r w:rsidR="00744A1C">
        <w:rPr>
          <w:rtl/>
          <w:lang w:bidi="fa-IR"/>
        </w:rPr>
        <w:t xml:space="preserve"> ، ج 21 ، ص 394 ، ح 15 ، من قوله : « إنّ رسول الله </w:t>
      </w:r>
      <w:r w:rsidR="005E465D" w:rsidRPr="00EE5E45">
        <w:rPr>
          <w:rStyle w:val="libFootnoteAlaemChar"/>
          <w:rFonts w:eastAsiaTheme="minorHAnsi"/>
          <w:rtl/>
        </w:rPr>
        <w:t>صلى‌الله‌عليه‌وآله</w:t>
      </w:r>
      <w:r w:rsidR="00256304" w:rsidRPr="00256304">
        <w:rPr>
          <w:rFonts w:eastAsiaTheme="minorHAnsi"/>
          <w:rtl/>
        </w:rPr>
        <w:t xml:space="preserve"> </w:t>
      </w:r>
      <w:r w:rsidR="00744A1C">
        <w:rPr>
          <w:rtl/>
          <w:lang w:bidi="fa-IR"/>
        </w:rPr>
        <w:t>أرسل معهنّ اسامة » ؛ وفيه ، ج 83 ، ص 122 ، ذيل ح 55 ، إلى قوله : « فقال : أفض بهنّ بليل ».</w:t>
      </w:r>
    </w:p>
    <w:p w:rsidR="00A55A65" w:rsidRDefault="00A55A65"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وَغَيْرِهِ ، عَنْ أَبِي بَصِيرٍ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رَخَّصَ رَسُولُ اللهِ </w:t>
      </w:r>
      <w:r w:rsidR="0017097C" w:rsidRPr="0017097C">
        <w:rPr>
          <w:rStyle w:val="libAlaemChar"/>
          <w:rtl/>
        </w:rPr>
        <w:t>صلى‌الله‌عليه‌وآله</w:t>
      </w:r>
      <w:r w:rsidR="00D10E3C">
        <w:rPr>
          <w:rtl/>
          <w:lang w:bidi="fa-IR"/>
        </w:rPr>
        <w:t xml:space="preserve"> </w:t>
      </w:r>
      <w:r>
        <w:rPr>
          <w:rtl/>
          <w:lang w:bidi="fa-IR"/>
        </w:rPr>
        <w:t xml:space="preserve">لِلنِّسَاءِ وَالضُّعَفَاءِ </w:t>
      </w:r>
      <w:r w:rsidRPr="00D10E3C">
        <w:rPr>
          <w:rStyle w:val="libFootnotenumChar"/>
          <w:rtl/>
        </w:rPr>
        <w:t>(1)</w:t>
      </w:r>
      <w:r>
        <w:rPr>
          <w:rtl/>
          <w:lang w:bidi="fa-IR"/>
        </w:rPr>
        <w:t xml:space="preserve"> أَنْ يُفِيضُوا مِنْ جَمْعٍ بِلَيْلٍ ، وَأَنْ يَرْمُوا الْجَمْرَةَ بِلَيْلٍ ، فَإِنْ </w:t>
      </w:r>
      <w:r w:rsidRPr="00D10E3C">
        <w:rPr>
          <w:rStyle w:val="libFootnotenumChar"/>
          <w:rtl/>
        </w:rPr>
        <w:t>(2)</w:t>
      </w:r>
      <w:r>
        <w:rPr>
          <w:rtl/>
          <w:lang w:bidi="fa-IR"/>
        </w:rPr>
        <w:t xml:space="preserve"> أَرَادُوا أَنْ يَزُورُوا الْبَيْتَ ، وَكَّلُوا مَنْ يَذْبَحُ عَنْهُنَّ </w:t>
      </w:r>
      <w:r w:rsidRPr="00D10E3C">
        <w:rPr>
          <w:rStyle w:val="libFootnotenumChar"/>
          <w:rtl/>
        </w:rPr>
        <w:t>(3)</w:t>
      </w:r>
      <w:r>
        <w:rPr>
          <w:rtl/>
          <w:lang w:bidi="fa-IR"/>
        </w:rPr>
        <w:t>».</w:t>
      </w:r>
      <w:r w:rsidRPr="00D10E3C">
        <w:rPr>
          <w:rStyle w:val="libFootnotenumChar"/>
          <w:rtl/>
        </w:rPr>
        <w:t>(4)</w:t>
      </w:r>
    </w:p>
    <w:p w:rsidR="00744A1C" w:rsidRDefault="00744A1C" w:rsidP="00256304">
      <w:pPr>
        <w:pStyle w:val="Heading2Center"/>
        <w:rPr>
          <w:lang w:bidi="fa-IR"/>
        </w:rPr>
      </w:pPr>
      <w:bookmarkStart w:id="16" w:name="_Toc49261314"/>
      <w:r>
        <w:rPr>
          <w:rtl/>
          <w:lang w:bidi="fa-IR"/>
        </w:rPr>
        <w:t>171 - بَابُ مَنْ فَاتَهُ الْحَجُّ‌</w:t>
      </w:r>
      <w:bookmarkEnd w:id="16"/>
    </w:p>
    <w:p w:rsidR="00144FA6" w:rsidRDefault="00744A1C" w:rsidP="00744A1C">
      <w:pPr>
        <w:pStyle w:val="libNormal"/>
        <w:rPr>
          <w:rtl/>
          <w:lang w:bidi="fa-IR"/>
        </w:rPr>
      </w:pPr>
      <w:r>
        <w:rPr>
          <w:rtl/>
          <w:lang w:bidi="fa-IR"/>
        </w:rPr>
        <w:t xml:space="preserve">7786 / 1. عِدَّةٌ مِنْ أَصْحَابِنَا ، عَنْ أَحْمَدَ بْنِ مُحَمَّدٍ وَسَهْلِ بْنِ زِيَادٍ ، عَنِ الْحَسَنِ </w:t>
      </w:r>
      <w:r w:rsidRPr="00D10E3C">
        <w:rPr>
          <w:rStyle w:val="libFootnotenumChar"/>
          <w:rtl/>
        </w:rPr>
        <w:t>(5)</w:t>
      </w:r>
      <w:r>
        <w:rPr>
          <w:rtl/>
          <w:lang w:bidi="fa-IR"/>
        </w:rPr>
        <w:t xml:space="preserve"> بْنِ مَحْبُوبٍ ، عَنْ دَاوُدَ الرَّقِّيِّ ، قَالَ :</w:t>
      </w:r>
    </w:p>
    <w:p w:rsidR="00744A1C" w:rsidRDefault="00744A1C" w:rsidP="00744A1C">
      <w:pPr>
        <w:pStyle w:val="libNormal"/>
        <w:rPr>
          <w:lang w:bidi="fa-IR"/>
        </w:rPr>
      </w:pPr>
      <w:r>
        <w:rPr>
          <w:rtl/>
          <w:lang w:bidi="fa-IR"/>
        </w:rPr>
        <w:t xml:space="preserve">كُنْتُ مَعَ أَبِي عَبْدِ اللهِ </w:t>
      </w:r>
      <w:r w:rsidR="0061079A" w:rsidRPr="0061079A">
        <w:rPr>
          <w:rStyle w:val="libAlaemChar"/>
          <w:rtl/>
        </w:rPr>
        <w:t>عليه‌السلام</w:t>
      </w:r>
      <w:r w:rsidR="00D10E3C">
        <w:rPr>
          <w:rtl/>
          <w:lang w:bidi="fa-IR"/>
        </w:rPr>
        <w:t xml:space="preserve"> </w:t>
      </w:r>
      <w:r>
        <w:rPr>
          <w:rtl/>
          <w:lang w:bidi="fa-IR"/>
        </w:rPr>
        <w:t>بِمِنًى إِذْ جَاءَ رَجُلٌ ، فَقَالَ : إِنَّ قَوْماً قَدِمُوا يَوْمَ النَّحْرِ وَقَدْ فَاتَهُمُ الْحَجُّ.</w:t>
      </w:r>
    </w:p>
    <w:p w:rsidR="00144FA6" w:rsidRDefault="00744A1C" w:rsidP="00744A1C">
      <w:pPr>
        <w:pStyle w:val="libNormal"/>
        <w:rPr>
          <w:rtl/>
          <w:lang w:bidi="fa-IR"/>
        </w:rPr>
      </w:pPr>
      <w:r>
        <w:rPr>
          <w:rtl/>
          <w:lang w:bidi="fa-IR"/>
        </w:rPr>
        <w:t xml:space="preserve">فَقَالَ : « نَسْأَلُ اللهَ الْعَافِيَةَ ، وَأَرى </w:t>
      </w:r>
      <w:r w:rsidRPr="00D10E3C">
        <w:rPr>
          <w:rStyle w:val="libFootnotenumChar"/>
          <w:rtl/>
        </w:rPr>
        <w:t>(6)</w:t>
      </w:r>
      <w:r>
        <w:rPr>
          <w:rtl/>
          <w:lang w:bidi="fa-IR"/>
        </w:rPr>
        <w:t xml:space="preserve"> أَنْ يُهَرِيقَ كُلُّ وَاحِدٍ </w:t>
      </w:r>
      <w:r w:rsidRPr="00D10E3C">
        <w:rPr>
          <w:rStyle w:val="libFootnotenumChar"/>
          <w:rtl/>
        </w:rPr>
        <w:t>(7)</w:t>
      </w:r>
      <w:r>
        <w:rPr>
          <w:rtl/>
          <w:lang w:bidi="fa-IR"/>
        </w:rPr>
        <w:t xml:space="preserve"> مِنْهُمْ دَمَ شَاةٍ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256304" w:rsidTr="00256304">
        <w:tc>
          <w:tcPr>
            <w:tcW w:w="4006" w:type="dxa"/>
          </w:tcPr>
          <w:p w:rsidR="00256304" w:rsidRDefault="00256304" w:rsidP="00D10E3C">
            <w:pPr>
              <w:pStyle w:val="libFootnote0"/>
              <w:rPr>
                <w:rtl/>
                <w:lang w:bidi="fa-IR"/>
              </w:rPr>
            </w:pPr>
            <w:r>
              <w:rPr>
                <w:rtl/>
                <w:lang w:bidi="fa-IR"/>
              </w:rPr>
              <w:t>(1). في « بف » : « والصغار ».</w:t>
            </w:r>
          </w:p>
        </w:tc>
        <w:tc>
          <w:tcPr>
            <w:tcW w:w="4006" w:type="dxa"/>
          </w:tcPr>
          <w:p w:rsidR="00256304" w:rsidRDefault="00256304" w:rsidP="00D10E3C">
            <w:pPr>
              <w:pStyle w:val="libFootnote0"/>
              <w:rPr>
                <w:rtl/>
                <w:lang w:bidi="fa-IR"/>
              </w:rPr>
            </w:pPr>
            <w:r>
              <w:rPr>
                <w:rtl/>
                <w:lang w:bidi="fa-IR"/>
              </w:rPr>
              <w:t xml:space="preserve">(2). في « بف » : « وإن ». وفي </w:t>
            </w:r>
            <w:r w:rsidRPr="00C24F9C">
              <w:rPr>
                <w:rStyle w:val="libFootnoteBoldChar"/>
                <w:rtl/>
              </w:rPr>
              <w:t>الوسائل</w:t>
            </w:r>
            <w:r>
              <w:rPr>
                <w:rtl/>
                <w:lang w:bidi="fa-IR"/>
              </w:rPr>
              <w:t xml:space="preserve"> : « فإذا ».</w:t>
            </w:r>
          </w:p>
        </w:tc>
      </w:tr>
    </w:tbl>
    <w:p w:rsidR="00744A1C" w:rsidRDefault="00E378DD" w:rsidP="00E378DD">
      <w:pPr>
        <w:pStyle w:val="libFootnote0"/>
        <w:rPr>
          <w:lang w:bidi="fa-IR"/>
        </w:rPr>
      </w:pPr>
      <w:r>
        <w:rPr>
          <w:rtl/>
          <w:lang w:bidi="fa-IR"/>
        </w:rPr>
        <w:t>(3).</w:t>
      </w:r>
      <w:r w:rsidR="00744A1C">
        <w:rPr>
          <w:rtl/>
          <w:lang w:bidi="fa-IR"/>
        </w:rPr>
        <w:t xml:space="preserve"> في « بح ، بس » و</w:t>
      </w:r>
      <w:r w:rsidR="00744A1C" w:rsidRPr="00C24F9C">
        <w:rPr>
          <w:rStyle w:val="libFootnoteBoldChar"/>
          <w:rtl/>
        </w:rPr>
        <w:t>الوافي</w:t>
      </w:r>
      <w:r w:rsidR="00744A1C">
        <w:rPr>
          <w:rtl/>
          <w:lang w:bidi="fa-IR"/>
        </w:rPr>
        <w:t xml:space="preserve"> : « عنهم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13 ، ص 1058 ، ح 13738 ؛ </w:t>
      </w:r>
      <w:r w:rsidR="00744A1C" w:rsidRPr="00C24F9C">
        <w:rPr>
          <w:rStyle w:val="libFootnoteBoldChar"/>
          <w:rtl/>
        </w:rPr>
        <w:t>الوسائل</w:t>
      </w:r>
      <w:r w:rsidR="00744A1C">
        <w:rPr>
          <w:rtl/>
          <w:lang w:bidi="fa-IR"/>
        </w:rPr>
        <w:t xml:space="preserve"> ، ج 14 ، ص 30 ، ح 18509.</w:t>
      </w:r>
    </w:p>
    <w:p w:rsidR="00744A1C" w:rsidRDefault="00E378DD" w:rsidP="00E378DD">
      <w:pPr>
        <w:pStyle w:val="libFootnote0"/>
        <w:rPr>
          <w:lang w:bidi="fa-IR"/>
        </w:rPr>
      </w:pPr>
      <w:r>
        <w:rPr>
          <w:rtl/>
          <w:lang w:bidi="fa-IR"/>
        </w:rPr>
        <w:t>(5).</w:t>
      </w:r>
      <w:r w:rsidR="00744A1C">
        <w:rPr>
          <w:rtl/>
          <w:lang w:bidi="fa-IR"/>
        </w:rPr>
        <w:t xml:space="preserve"> في « بخ ، بف ، جر » : - « الحسن ».</w:t>
      </w:r>
    </w:p>
    <w:p w:rsidR="00744A1C" w:rsidRDefault="00E378DD" w:rsidP="00E378DD">
      <w:pPr>
        <w:pStyle w:val="libFootnote0"/>
        <w:rPr>
          <w:lang w:bidi="fa-IR"/>
        </w:rPr>
      </w:pPr>
      <w:r>
        <w:rPr>
          <w:rtl/>
          <w:lang w:bidi="fa-IR"/>
        </w:rPr>
        <w:t>(6).</w:t>
      </w:r>
      <w:r w:rsidR="00744A1C">
        <w:rPr>
          <w:rtl/>
          <w:lang w:bidi="fa-IR"/>
        </w:rPr>
        <w:t xml:space="preserve"> في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ص 480 : « أرى » بدون الواو. وفي </w:t>
      </w:r>
      <w:r w:rsidR="00744A1C" w:rsidRPr="00C24F9C">
        <w:rPr>
          <w:rStyle w:val="libFootnoteBoldChar"/>
          <w:rtl/>
        </w:rPr>
        <w:t>التهذيب</w:t>
      </w:r>
      <w:r w:rsidR="00744A1C">
        <w:rPr>
          <w:rtl/>
          <w:lang w:bidi="fa-IR"/>
        </w:rPr>
        <w:t xml:space="preserve"> ، ص 295 </w:t>
      </w:r>
      <w:r w:rsidR="00744A1C" w:rsidRPr="00C24F9C">
        <w:rPr>
          <w:rStyle w:val="libFootnoteBoldChar"/>
          <w:rtl/>
        </w:rPr>
        <w:t>والاستبصار</w:t>
      </w:r>
      <w:r w:rsidR="00744A1C">
        <w:rPr>
          <w:rtl/>
          <w:lang w:bidi="fa-IR"/>
        </w:rPr>
        <w:t xml:space="preserve"> : + « عليهم ».</w:t>
      </w:r>
    </w:p>
    <w:p w:rsidR="00744A1C" w:rsidRDefault="00E378DD" w:rsidP="00E378DD">
      <w:pPr>
        <w:pStyle w:val="libFootnote0"/>
        <w:rPr>
          <w:lang w:bidi="fa-IR"/>
        </w:rPr>
      </w:pPr>
      <w:r>
        <w:rPr>
          <w:rtl/>
          <w:lang w:bidi="fa-IR"/>
        </w:rPr>
        <w:t>(7).</w:t>
      </w:r>
      <w:r w:rsidR="00744A1C">
        <w:rPr>
          <w:rtl/>
          <w:lang w:bidi="fa-IR"/>
        </w:rPr>
        <w:t xml:space="preserve"> في « بخ ، بف » و</w:t>
      </w:r>
      <w:r w:rsidR="00744A1C" w:rsidRPr="00C24F9C">
        <w:rPr>
          <w:rStyle w:val="libFootnoteBoldChar"/>
          <w:rtl/>
        </w:rPr>
        <w:t>الفقيه</w:t>
      </w:r>
      <w:r w:rsidR="00744A1C">
        <w:rPr>
          <w:rtl/>
          <w:lang w:bidi="fa-IR"/>
        </w:rPr>
        <w:t xml:space="preserve"> : « رجل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137 : « أجمع علماؤنا على أنّ من فاته الحجّ تسقط عنه بقيّة أفعاله ويتحلّل بعمرة مفردة. وصرّح في المنتهى وغيره بأنّ معنى تحلّله بالعمرة أنّه ينتقل إحرامه بالنيّة من الحجّ إلى العمرة المفردة ، ثمّ يأتي بأفعالها. ويحتمل قويّاً انقلاب الإحرام إليها بمجرّد الفوات ، كما هو ظاهر القواعد و</w:t>
      </w:r>
      <w:r w:rsidRPr="00877682">
        <w:rPr>
          <w:rStyle w:val="libFootnoteBoldChar"/>
          <w:rtl/>
        </w:rPr>
        <w:t>الدروس</w:t>
      </w:r>
      <w:r>
        <w:rPr>
          <w:rtl/>
          <w:lang w:bidi="fa-IR"/>
        </w:rPr>
        <w:t xml:space="preserve"> ، ولا ريب أنّ العدول أولى وأحوط. وهذه العمرة واجبة بالفوات فلا تجزي عن عمرة الإسلام ، وهل يجب الهدي على فائت الحجّ؟ قيل : لا ، وهو المشهور ، وحكى الشيخ قولاً بالوجوب ؛ للأمر به في رواية الرقّي ، ولم يعمل به أكثر المتأخّرين ؛ لضعف الخبر عندهم ». وراجع : </w:t>
      </w:r>
      <w:r w:rsidRPr="00877682">
        <w:rPr>
          <w:rStyle w:val="libFootnoteBoldChar"/>
          <w:rtl/>
        </w:rPr>
        <w:t>منتهى المطلب</w:t>
      </w:r>
      <w:r>
        <w:rPr>
          <w:rtl/>
          <w:lang w:bidi="fa-IR"/>
        </w:rPr>
        <w:t xml:space="preserve"> ، ص 854 من الطبعة الحجريّة ؛ قواعد </w:t>
      </w:r>
      <w:r w:rsidR="00DA0814">
        <w:rPr>
          <w:rFonts w:hint="cs"/>
          <w:rtl/>
          <w:lang w:bidi="fa-IR"/>
        </w:rPr>
        <w:t>=</w:t>
      </w:r>
    </w:p>
    <w:p w:rsidR="000F7CEC" w:rsidRDefault="000F7CEC" w:rsidP="00D10E3C">
      <w:pPr>
        <w:pStyle w:val="libNormal"/>
        <w:rPr>
          <w:rtl/>
          <w:lang w:bidi="fa-IR"/>
        </w:rPr>
      </w:pPr>
      <w:r>
        <w:rPr>
          <w:rtl/>
          <w:lang w:bidi="fa-IR"/>
        </w:rPr>
        <w:br w:type="page"/>
      </w:r>
    </w:p>
    <w:p w:rsidR="00144FA6" w:rsidRDefault="00744A1C" w:rsidP="00EE5E45">
      <w:pPr>
        <w:pStyle w:val="libNormal0"/>
        <w:rPr>
          <w:rtl/>
          <w:lang w:bidi="fa-IR"/>
        </w:rPr>
      </w:pPr>
      <w:r>
        <w:rPr>
          <w:rtl/>
          <w:lang w:bidi="fa-IR"/>
        </w:rPr>
        <w:lastRenderedPageBreak/>
        <w:t xml:space="preserve">وَيَحِلُّونَ </w:t>
      </w:r>
      <w:r w:rsidRPr="00D10E3C">
        <w:rPr>
          <w:rStyle w:val="libFootnotenumChar"/>
          <w:rtl/>
        </w:rPr>
        <w:t>(1)</w:t>
      </w:r>
      <w:r>
        <w:rPr>
          <w:rtl/>
          <w:lang w:bidi="fa-IR"/>
        </w:rPr>
        <w:t xml:space="preserve"> ، وَعَلَيْهِمُ الْحَجُّ مِنْ قَابِلٍ إِنِ انْصَرَفُوا إِلى بِلَادِهِمْ ، وَإِنْ أَقَامُوا حَتّى تَمْضِيَ </w:t>
      </w:r>
      <w:r w:rsidRPr="00D10E3C">
        <w:rPr>
          <w:rStyle w:val="libFootnotenumChar"/>
          <w:rtl/>
        </w:rPr>
        <w:t>(2)</w:t>
      </w:r>
      <w:r>
        <w:rPr>
          <w:rtl/>
          <w:lang w:bidi="fa-IR"/>
        </w:rPr>
        <w:t xml:space="preserve"> أَيَّامُ التَّشْرِيقِ بِمَكَّةَ ، ثُمَّ يَخْرُجُوا </w:t>
      </w:r>
      <w:r w:rsidRPr="00D10E3C">
        <w:rPr>
          <w:rStyle w:val="libFootnotenumChar"/>
          <w:rtl/>
        </w:rPr>
        <w:t>(3)</w:t>
      </w:r>
      <w:r>
        <w:rPr>
          <w:rtl/>
          <w:lang w:bidi="fa-IR"/>
        </w:rPr>
        <w:t xml:space="preserve"> إِلى وَقْتِ </w:t>
      </w:r>
      <w:r w:rsidRPr="00D10E3C">
        <w:rPr>
          <w:rStyle w:val="libFootnotenumChar"/>
          <w:rtl/>
        </w:rPr>
        <w:t>(4)</w:t>
      </w:r>
      <w:r>
        <w:rPr>
          <w:rtl/>
          <w:lang w:bidi="fa-IR"/>
        </w:rPr>
        <w:t xml:space="preserve"> أَهْلِ مَكَّةَ ، وَأَحْرَمُوا </w:t>
      </w:r>
      <w:r w:rsidRPr="00D10E3C">
        <w:rPr>
          <w:rStyle w:val="libFootnotenumChar"/>
          <w:rtl/>
        </w:rPr>
        <w:t>(5)</w:t>
      </w:r>
      <w:r>
        <w:rPr>
          <w:rtl/>
          <w:lang w:bidi="fa-IR"/>
        </w:rPr>
        <w:t xml:space="preserve"> مِنْهُ وَاعْتَمَرُوا ، فَلَيْسَ عَلَيْهِمُ الْحَجُّ مِنْ قَابِلٍ </w:t>
      </w:r>
      <w:r w:rsidRPr="00D10E3C">
        <w:rPr>
          <w:rStyle w:val="libFootnotenumChar"/>
          <w:rtl/>
        </w:rPr>
        <w:t>(6)</w:t>
      </w:r>
      <w:r>
        <w:rPr>
          <w:rtl/>
          <w:lang w:bidi="fa-IR"/>
        </w:rPr>
        <w:t xml:space="preserve"> ». </w:t>
      </w:r>
      <w:r w:rsidRPr="00D10E3C">
        <w:rPr>
          <w:rStyle w:val="libFootnotenumChar"/>
          <w:rtl/>
        </w:rPr>
        <w:t>(7)</w:t>
      </w:r>
    </w:p>
    <w:p w:rsidR="003F7B9E" w:rsidRDefault="00744A1C" w:rsidP="003F7B9E">
      <w:pPr>
        <w:pStyle w:val="libNormal"/>
        <w:rPr>
          <w:rtl/>
          <w:lang w:bidi="fa-IR"/>
        </w:rPr>
      </w:pPr>
      <w:r>
        <w:rPr>
          <w:rtl/>
          <w:lang w:bidi="fa-IR"/>
        </w:rPr>
        <w:t>7787 / 2. عَلِيُّ بْنُ إِبْرَاهِيمَ ، عَنْ أَبِيهِ ؛</w:t>
      </w:r>
    </w:p>
    <w:p w:rsidR="00144FA6" w:rsidRDefault="003F7B9E" w:rsidP="003F7B9E">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(8)</w:t>
      </w:r>
      <w:r w:rsidR="00744A1C">
        <w:rPr>
          <w:rtl/>
          <w:lang w:bidi="fa-IR"/>
        </w:rPr>
        <w:t xml:space="preserve"> مُحَمَّدُ بْنُ إِسْمَاعِيلَ ، عَنِ الْفَضْلِ بْنِ شَاذَانَ ، عَنْ صَفْوَانَ بْنِ يَحْيى </w:t>
      </w:r>
      <w:r w:rsidR="00744A1C"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744A1C" w:rsidP="00D10E3C">
      <w:pPr>
        <w:pStyle w:val="libFootnote0"/>
        <w:rPr>
          <w:lang w:bidi="fa-IR"/>
        </w:rPr>
      </w:pPr>
      <w:r>
        <w:rPr>
          <w:rtl/>
          <w:lang w:bidi="fa-IR"/>
        </w:rPr>
        <w:t xml:space="preserve">الأحكام ، ج 1 ، ص 437 و 454 ؛ </w:t>
      </w:r>
      <w:r w:rsidRPr="00877682">
        <w:rPr>
          <w:rStyle w:val="libFootnoteBoldChar"/>
          <w:rtl/>
        </w:rPr>
        <w:t>الدروس</w:t>
      </w:r>
      <w:r w:rsidRPr="00E978C3">
        <w:rPr>
          <w:rStyle w:val="libFootnoteBoldChar"/>
          <w:rtl/>
        </w:rPr>
        <w:t xml:space="preserve"> الشرعيّة</w:t>
      </w:r>
      <w:r>
        <w:rPr>
          <w:rtl/>
          <w:lang w:bidi="fa-IR"/>
        </w:rPr>
        <w:t xml:space="preserve"> ، ج 1 ، ص 340 ، الدرس 89 ؛ </w:t>
      </w:r>
      <w:r w:rsidRPr="00C24F9C">
        <w:rPr>
          <w:rStyle w:val="libFootnoteBoldChar"/>
          <w:rtl/>
        </w:rPr>
        <w:t>مدارك الأحكام</w:t>
      </w:r>
      <w:r>
        <w:rPr>
          <w:rtl/>
          <w:lang w:bidi="fa-IR"/>
        </w:rPr>
        <w:t xml:space="preserve"> ، ج 7 ، ص 435.</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ص 295 </w:t>
      </w:r>
      <w:r w:rsidR="00744A1C" w:rsidRPr="00C24F9C">
        <w:rPr>
          <w:rStyle w:val="libFootnoteBoldChar"/>
          <w:rtl/>
        </w:rPr>
        <w:t>والاستبصار</w:t>
      </w:r>
      <w:r w:rsidR="00744A1C">
        <w:rPr>
          <w:rtl/>
          <w:lang w:bidi="fa-IR"/>
        </w:rPr>
        <w:t xml:space="preserve"> : « ويحلق ».</w:t>
      </w:r>
    </w:p>
    <w:p w:rsidR="00744A1C" w:rsidRDefault="00E378DD" w:rsidP="00E378DD">
      <w:pPr>
        <w:pStyle w:val="libFootnote0"/>
        <w:rPr>
          <w:lang w:bidi="fa-IR"/>
        </w:rPr>
      </w:pPr>
      <w:r>
        <w:rPr>
          <w:rtl/>
          <w:lang w:bidi="fa-IR"/>
        </w:rPr>
        <w:t>(2).</w:t>
      </w:r>
      <w:r w:rsidR="00744A1C">
        <w:rPr>
          <w:rtl/>
          <w:lang w:bidi="fa-IR"/>
        </w:rPr>
        <w:t xml:space="preserve"> في « ى ، بث ، بخ » : « يمضي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خرجوا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ص 295 </w:t>
      </w:r>
      <w:r w:rsidR="00744A1C" w:rsidRPr="00C24F9C">
        <w:rPr>
          <w:rStyle w:val="libFootnoteBoldChar"/>
          <w:rtl/>
        </w:rPr>
        <w:t>والاستبصار</w:t>
      </w:r>
      <w:r w:rsidR="00744A1C">
        <w:rPr>
          <w:rtl/>
          <w:lang w:bidi="fa-IR"/>
        </w:rPr>
        <w:t xml:space="preserve"> : « بعض مواقيت » بدل « وقت ».</w:t>
      </w:r>
    </w:p>
    <w:p w:rsidR="00744A1C" w:rsidRDefault="00E378DD" w:rsidP="00E378DD">
      <w:pPr>
        <w:pStyle w:val="libFootnote0"/>
        <w:rPr>
          <w:lang w:bidi="fa-IR"/>
        </w:rPr>
      </w:pPr>
      <w:r>
        <w:rPr>
          <w:rtl/>
          <w:lang w:bidi="fa-IR"/>
        </w:rPr>
        <w:t>(5).</w:t>
      </w:r>
      <w:r w:rsidR="00744A1C">
        <w:rPr>
          <w:rtl/>
          <w:lang w:bidi="fa-IR"/>
        </w:rPr>
        <w:t xml:space="preserve"> في « بخ ، جد » </w:t>
      </w:r>
      <w:r w:rsidR="00744A1C" w:rsidRPr="00EE5E45">
        <w:rPr>
          <w:rtl/>
        </w:rPr>
        <w:t>والوافي والفقيه والتهذيب</w:t>
      </w:r>
      <w:r w:rsidR="00744A1C">
        <w:rPr>
          <w:rtl/>
          <w:lang w:bidi="fa-IR"/>
        </w:rPr>
        <w:t xml:space="preserve"> ، ص 295 </w:t>
      </w:r>
      <w:r w:rsidR="00744A1C" w:rsidRPr="00C24F9C">
        <w:rPr>
          <w:rStyle w:val="libFootnoteBoldChar"/>
          <w:rtl/>
        </w:rPr>
        <w:t>والاستبصار</w:t>
      </w:r>
      <w:r w:rsidR="00744A1C">
        <w:rPr>
          <w:rtl/>
          <w:lang w:bidi="fa-IR"/>
        </w:rPr>
        <w:t xml:space="preserve"> : « فأح</w:t>
      </w:r>
      <w:r w:rsidR="00EE5E45">
        <w:rPr>
          <w:rtl/>
          <w:lang w:bidi="fa-IR"/>
        </w:rPr>
        <w:t>رموا ». وفي « بف » : «فليحرموا</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حمله في </w:t>
      </w:r>
      <w:r w:rsidR="00744A1C" w:rsidRPr="00C24F9C">
        <w:rPr>
          <w:rStyle w:val="libFootnoteBoldChar"/>
          <w:rtl/>
        </w:rPr>
        <w:t>التهذيب</w:t>
      </w:r>
      <w:r w:rsidR="00744A1C">
        <w:rPr>
          <w:rtl/>
          <w:lang w:bidi="fa-IR"/>
        </w:rPr>
        <w:t xml:space="preserve">ين على حجّ التطوّع وحمل الحجّ من قابل على الاستحباب ، واحتمل في الاستبصار حمله على من اشترط في إحرامه ؛ فإنّه لم يلزمه الحجّ من قابل ، كما في الحديث الآتي - وهو حديث ضريس المرويّ في </w:t>
      </w:r>
      <w:r w:rsidR="00744A1C" w:rsidRPr="00C24F9C">
        <w:rPr>
          <w:rStyle w:val="libFootnoteBoldChar"/>
          <w:rtl/>
        </w:rPr>
        <w:t>التهذيب</w:t>
      </w:r>
      <w:r w:rsidR="00744A1C">
        <w:rPr>
          <w:rtl/>
          <w:lang w:bidi="fa-IR"/>
        </w:rPr>
        <w:t xml:space="preserve"> ، ج 5 ، ص 295 ، ح 1001 - أقول : وذلك لأنّه لابدّ لمن أتى مكّة من إتيانه بإحدى العبادتين ، ولهذا يقول في شرطه حين يحرم : وإن لم تكن حجّة فعمرة ». وعن ابن المصنّف في هامشه : « ينبغي أن يحمل الحجّ من قابل على تأكّد الاستحباب في كلتي الصورتين ؛ لأنّ الواجب المستقرّ في الذمّة لا يسقط بالشرط ، وغيره غير واجب التدارك وإن لم يشترط ، أمّا فائدة الاشتراط فالتحليل عند الاحتباس من دون هدي إلاّلمن ساقه ، كما يستفاد من بعض الأخبار ، أو تعجيل التحليل قبل بلوغ الهدي محلّه عند عروض الإحصار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واعترض عليه - أي على الشيخ - العلاّمة بأنّ الحجّ الفائت إن كان واجباً لم يسقط بمجرّد الاشتراط ، وإن لم يكن واجباً لم يجب بترك الاشتراط ، والمسألة محلّ إشكال ، وما ذكره الشيخ لا يخلو من قوّة ، والله يعلم ». وراجع : </w:t>
      </w:r>
      <w:r w:rsidRPr="00877682">
        <w:rPr>
          <w:rStyle w:val="libFootnoteBoldChar"/>
          <w:rtl/>
        </w:rPr>
        <w:t>منتهى المطلب</w:t>
      </w:r>
      <w:r>
        <w:rPr>
          <w:rtl/>
          <w:lang w:bidi="fa-IR"/>
        </w:rPr>
        <w:t xml:space="preserve"> ، ص 853 من الطبعة الحجريّة.</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الفقيه</w:t>
      </w:r>
      <w:r w:rsidR="00744A1C">
        <w:rPr>
          <w:rtl/>
          <w:lang w:bidi="fa-IR"/>
        </w:rPr>
        <w:t xml:space="preserve"> ، ج 2 ، ص 472 ، ح 2996 ؛ </w:t>
      </w:r>
      <w:r w:rsidR="00744A1C" w:rsidRPr="0061079A">
        <w:rPr>
          <w:rStyle w:val="libFootnoteBoldChar"/>
          <w:rtl/>
        </w:rPr>
        <w:t>والتهذيب</w:t>
      </w:r>
      <w:r w:rsidR="00744A1C">
        <w:rPr>
          <w:rtl/>
          <w:lang w:bidi="fa-IR"/>
        </w:rPr>
        <w:t xml:space="preserve"> ، ج 5 ، ص 295 ، ح 1000 ؛ وص 480 ، ح 1705 ؛ </w:t>
      </w:r>
      <w:r w:rsidR="00744A1C" w:rsidRPr="00C24F9C">
        <w:rPr>
          <w:rStyle w:val="libFootnoteBoldChar"/>
          <w:rtl/>
        </w:rPr>
        <w:t>والاستبصار</w:t>
      </w:r>
      <w:r w:rsidR="00744A1C">
        <w:rPr>
          <w:rtl/>
          <w:lang w:bidi="fa-IR"/>
        </w:rPr>
        <w:t xml:space="preserve"> ، ج 2 ، ص 307 ، ح 1097 ، معلّقاً عن الحسن بن محبوب </w:t>
      </w:r>
      <w:r w:rsidR="003F7B9E">
        <w:rPr>
          <w:rFonts w:hint="cs"/>
          <w:rtl/>
          <w:lang w:bidi="fa-IR"/>
        </w:rPr>
        <w:t>.</w:t>
      </w:r>
      <w:r w:rsidR="00744A1C" w:rsidRPr="00C24F9C">
        <w:rPr>
          <w:rStyle w:val="libFootnoteBoldChar"/>
          <w:rtl/>
        </w:rPr>
        <w:t>الوافي</w:t>
      </w:r>
      <w:r w:rsidR="00744A1C">
        <w:rPr>
          <w:rtl/>
          <w:lang w:bidi="fa-IR"/>
        </w:rPr>
        <w:t xml:space="preserve"> ، ج 13 ، ص 1071 ، ح 13774 ؛ </w:t>
      </w:r>
      <w:r w:rsidR="00744A1C" w:rsidRPr="00C24F9C">
        <w:rPr>
          <w:rStyle w:val="libFootnoteBoldChar"/>
          <w:rtl/>
        </w:rPr>
        <w:t>الوسائل</w:t>
      </w:r>
      <w:r w:rsidR="00744A1C">
        <w:rPr>
          <w:rtl/>
          <w:lang w:bidi="fa-IR"/>
        </w:rPr>
        <w:t xml:space="preserve"> ، ج 14 ، ص 50 ، ذيل ح 18562.</w:t>
      </w:r>
    </w:p>
    <w:p w:rsidR="00744A1C" w:rsidRDefault="00E378DD" w:rsidP="00E378DD">
      <w:pPr>
        <w:pStyle w:val="libFootnote0"/>
        <w:rPr>
          <w:lang w:bidi="fa-IR"/>
        </w:rPr>
      </w:pPr>
      <w:r>
        <w:rPr>
          <w:rtl/>
          <w:lang w:bidi="fa-IR"/>
        </w:rPr>
        <w:t>(8).</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(9).</w:t>
      </w:r>
      <w:r w:rsidR="00744A1C">
        <w:rPr>
          <w:rtl/>
          <w:lang w:bidi="fa-IR"/>
        </w:rPr>
        <w:t xml:space="preserve"> في « بف ، جر » : - « بن يحيى ».</w:t>
      </w:r>
    </w:p>
    <w:p w:rsidR="000F7CEC" w:rsidRDefault="000F7CEC" w:rsidP="00D10E3C">
      <w:pPr>
        <w:pStyle w:val="libNormal"/>
        <w:rPr>
          <w:rtl/>
          <w:lang w:bidi="fa-IR"/>
        </w:rPr>
      </w:pPr>
      <w:r>
        <w:rPr>
          <w:rtl/>
          <w:lang w:bidi="fa-IR"/>
        </w:rPr>
        <w:br w:type="page"/>
      </w:r>
    </w:p>
    <w:p w:rsidR="00144FA6" w:rsidRDefault="00744A1C" w:rsidP="00EE5E45">
      <w:pPr>
        <w:pStyle w:val="libNormal0"/>
        <w:rPr>
          <w:rtl/>
          <w:lang w:bidi="fa-IR"/>
        </w:rPr>
      </w:pPr>
      <w:r>
        <w:rPr>
          <w:rtl/>
          <w:lang w:bidi="fa-IR"/>
        </w:rPr>
        <w:lastRenderedPageBreak/>
        <w:t>وَ</w:t>
      </w:r>
      <w:r w:rsidR="003F7B9E">
        <w:rPr>
          <w:rFonts w:hint="cs"/>
          <w:rtl/>
          <w:lang w:bidi="fa-IR"/>
        </w:rPr>
        <w:t xml:space="preserve"> </w:t>
      </w:r>
      <w:r>
        <w:rPr>
          <w:rtl/>
          <w:lang w:bidi="fa-IR"/>
        </w:rPr>
        <w:t>ابْنِ أَبِي عُمَيْرٍ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أَدْرَكَ جَمْعاً </w:t>
      </w:r>
      <w:r w:rsidRPr="00D10E3C">
        <w:rPr>
          <w:rStyle w:val="libFootnotenumChar"/>
          <w:rtl/>
        </w:rPr>
        <w:t>(1)</w:t>
      </w:r>
      <w:r>
        <w:rPr>
          <w:rtl/>
          <w:lang w:bidi="fa-IR"/>
        </w:rPr>
        <w:t xml:space="preserve"> ، فَقَدْ أَدْرَكَ الْحَجَّ » وَقَالَ : « أَيُّمَا قَارِنٍ </w:t>
      </w:r>
      <w:r w:rsidRPr="00D10E3C">
        <w:rPr>
          <w:rStyle w:val="libFootnotenumChar"/>
          <w:rtl/>
        </w:rPr>
        <w:t>(2)</w:t>
      </w:r>
      <w:r>
        <w:rPr>
          <w:rtl/>
          <w:lang w:bidi="fa-IR"/>
        </w:rPr>
        <w:t xml:space="preserve"> ، أَوْ مُفْرِدٍ </w:t>
      </w:r>
      <w:r w:rsidRPr="00D10E3C">
        <w:rPr>
          <w:rStyle w:val="libFootnotenumChar"/>
          <w:rtl/>
        </w:rPr>
        <w:t>(3)</w:t>
      </w:r>
      <w:r>
        <w:rPr>
          <w:rtl/>
          <w:lang w:bidi="fa-IR"/>
        </w:rPr>
        <w:t xml:space="preserve"> ، أَوْ مُتَمَتِّعٍ </w:t>
      </w:r>
      <w:r w:rsidRPr="00D10E3C">
        <w:rPr>
          <w:rStyle w:val="libFootnotenumChar"/>
          <w:rtl/>
        </w:rPr>
        <w:t>(4)</w:t>
      </w:r>
      <w:r>
        <w:rPr>
          <w:rtl/>
          <w:lang w:bidi="fa-IR"/>
        </w:rPr>
        <w:t xml:space="preserve"> قَدِمَ وَقَدْ فَاتَهُ الْحَجُّ ، فَلْيَحِلَّ بِعُمْرَةٍ ، وَعَلَيْهِ الْحَجُّ مِنْ قَابِلٍ ».</w:t>
      </w:r>
    </w:p>
    <w:p w:rsidR="00144FA6" w:rsidRDefault="00744A1C" w:rsidP="00744A1C">
      <w:pPr>
        <w:pStyle w:val="libNormal"/>
        <w:rPr>
          <w:rtl/>
          <w:lang w:bidi="fa-IR"/>
        </w:rPr>
      </w:pPr>
      <w:r>
        <w:rPr>
          <w:rtl/>
          <w:lang w:bidi="fa-IR"/>
        </w:rPr>
        <w:t xml:space="preserve">قَالَ : وَقَالَ فِي رَجُلٍ أَدْرَكَ الْإِمَامَ وَهُوَ بِجَمْعٍ ، فَقَالَ : « إِنْ ظَنَّ أَنَّهُ يَأْتِي عَرَفَاتٍ ، فَيَقِفُ بِهَا قَلِيلاً ، ثُمَّ يُدْرِكُ جَمْعاً قَبْلَ طُلُوعِ الشَّمْسِ فَلْيَأْتِهَا ، وَإِنْ ظَنَّ أَنَّهُ لَايَأْتِيهَا </w:t>
      </w:r>
      <w:r w:rsidRPr="00D10E3C">
        <w:rPr>
          <w:rStyle w:val="libFootnotenumChar"/>
          <w:rtl/>
        </w:rPr>
        <w:t>(5)</w:t>
      </w:r>
      <w:r>
        <w:rPr>
          <w:rtl/>
          <w:lang w:bidi="fa-IR"/>
        </w:rPr>
        <w:t xml:space="preserve"> حَتّى يُفِيضُوا </w:t>
      </w:r>
      <w:r w:rsidRPr="00D10E3C">
        <w:rPr>
          <w:rStyle w:val="libFootnotenumChar"/>
          <w:rtl/>
        </w:rPr>
        <w:t>(6)</w:t>
      </w:r>
      <w:r>
        <w:rPr>
          <w:rtl/>
          <w:lang w:bidi="fa-IR"/>
        </w:rPr>
        <w:t xml:space="preserve"> ، فَلَا يَأْتِهَا ، وَلْيُقِمْ بِجَمْعٍ </w:t>
      </w:r>
      <w:r w:rsidRPr="00D10E3C">
        <w:rPr>
          <w:rStyle w:val="libFootnotenumChar"/>
          <w:rtl/>
        </w:rPr>
        <w:t>(7)</w:t>
      </w:r>
      <w:r>
        <w:rPr>
          <w:rtl/>
          <w:lang w:bidi="fa-IR"/>
        </w:rPr>
        <w:t xml:space="preserve"> ، فَقَدْ تَمَّ حَجُّهُ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جَمْعٌ » : علم للمزدلفة ، سمّيت به لاجتماع الناس فيها ، أو لأنّ آدم وحوّاء عليهمالاماتٍ</w:t>
      </w:r>
      <w:r>
        <w:rPr>
          <w:rtl/>
          <w:lang w:bidi="fa-IR"/>
        </w:rPr>
        <w:t xml:space="preserve"> </w:t>
      </w:r>
      <w:r w:rsidR="00744A1C">
        <w:rPr>
          <w:rtl/>
          <w:lang w:bidi="fa-IR"/>
        </w:rPr>
        <w:t>ل</w:t>
      </w:r>
      <w:r w:rsidR="009E2759">
        <w:rPr>
          <w:rFonts w:hint="cs"/>
          <w:rtl/>
          <w:lang w:bidi="fa-IR"/>
        </w:rPr>
        <w:t>ـ</w:t>
      </w:r>
      <w:r w:rsidR="00744A1C">
        <w:rPr>
          <w:rtl/>
          <w:lang w:bidi="fa-IR"/>
        </w:rPr>
        <w:t>مّا ا</w:t>
      </w:r>
      <w:r w:rsidR="009E2759">
        <w:rPr>
          <w:rFonts w:hint="cs"/>
          <w:rtl/>
          <w:lang w:bidi="fa-IR"/>
        </w:rPr>
        <w:t>ُ</w:t>
      </w:r>
      <w:r w:rsidR="00A519F8">
        <w:rPr>
          <w:rtl/>
          <w:lang w:bidi="fa-IR"/>
        </w:rPr>
        <w:t>هبطا اجتمعا فيه. وقال‌العل</w:t>
      </w:r>
      <w:r w:rsidR="00A519F8">
        <w:rPr>
          <w:rFonts w:hint="cs"/>
          <w:rtl/>
          <w:lang w:bidi="fa-IR"/>
        </w:rPr>
        <w:t>ّ</w:t>
      </w:r>
      <w:r w:rsidR="00A519F8">
        <w:rPr>
          <w:rtl/>
          <w:lang w:bidi="fa-IR"/>
        </w:rPr>
        <w:t>ا</w:t>
      </w:r>
      <w:r w:rsidR="00744A1C">
        <w:rPr>
          <w:rtl/>
          <w:lang w:bidi="fa-IR"/>
        </w:rPr>
        <w:t xml:space="preserve">مة المجلسي : « إنّما سمّي المشعر الحرام جمعاً ؛ لاجتماع الناس فيه ، أو لأنّه يجمع فيه بين المغرب والعشاء بأذان وإقامتين ». راجع : </w:t>
      </w:r>
      <w:r w:rsidR="00744A1C" w:rsidRPr="00E978C3">
        <w:rPr>
          <w:rStyle w:val="libFootnoteBoldChar"/>
          <w:rtl/>
        </w:rPr>
        <w:t>الصحاح</w:t>
      </w:r>
      <w:r w:rsidR="00744A1C">
        <w:rPr>
          <w:rtl/>
          <w:lang w:bidi="fa-IR"/>
        </w:rPr>
        <w:t xml:space="preserve"> ، ج 3 ، ص 1198 ؛ </w:t>
      </w:r>
      <w:r w:rsidR="00744A1C" w:rsidRPr="00877682">
        <w:rPr>
          <w:rStyle w:val="libFootnoteBoldChar"/>
          <w:rtl/>
        </w:rPr>
        <w:t>النهاية</w:t>
      </w:r>
      <w:r w:rsidR="00744A1C">
        <w:rPr>
          <w:rtl/>
          <w:lang w:bidi="fa-IR"/>
        </w:rPr>
        <w:t xml:space="preserve"> ، ج 1 ، ص 296 ( جمع ) ؛ </w:t>
      </w:r>
      <w:r w:rsidR="00744A1C" w:rsidRPr="00877682">
        <w:rPr>
          <w:rStyle w:val="libFootnoteBoldChar"/>
          <w:rtl/>
        </w:rPr>
        <w:t>مرآة العقول</w:t>
      </w:r>
      <w:r w:rsidR="00744A1C">
        <w:rPr>
          <w:rtl/>
          <w:lang w:bidi="fa-IR"/>
        </w:rPr>
        <w:t xml:space="preserve"> ، ج 18 ، ص 127.</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ص 294 </w:t>
      </w:r>
      <w:r w:rsidR="00744A1C" w:rsidRPr="00C24F9C">
        <w:rPr>
          <w:rStyle w:val="libFootnoteBoldChar"/>
          <w:rtl/>
        </w:rPr>
        <w:t>والاستبصار</w:t>
      </w:r>
      <w:r w:rsidR="00744A1C">
        <w:rPr>
          <w:rtl/>
          <w:lang w:bidi="fa-IR"/>
        </w:rPr>
        <w:t xml:space="preserve"> ، ص 307 : « حاجّ سائق للهدي » بدل « قارن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ص 294 </w:t>
      </w:r>
      <w:r w:rsidR="00744A1C" w:rsidRPr="00C24F9C">
        <w:rPr>
          <w:rStyle w:val="libFootnoteBoldChar"/>
          <w:rtl/>
        </w:rPr>
        <w:t>والاستبصار</w:t>
      </w:r>
      <w:r w:rsidR="00744A1C">
        <w:rPr>
          <w:rtl/>
          <w:lang w:bidi="fa-IR"/>
        </w:rPr>
        <w:t xml:space="preserve"> ، ص 307 : + « للحجّ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ص 294 </w:t>
      </w:r>
      <w:r w:rsidR="00744A1C" w:rsidRPr="00C24F9C">
        <w:rPr>
          <w:rStyle w:val="libFootnoteBoldChar"/>
          <w:rtl/>
        </w:rPr>
        <w:t>والاستبصار</w:t>
      </w:r>
      <w:r w:rsidR="00744A1C">
        <w:rPr>
          <w:rtl/>
          <w:lang w:bidi="fa-IR"/>
        </w:rPr>
        <w:t xml:space="preserve"> ، ص 307 : + « بالعمرة إلى الحجّ ».</w:t>
      </w:r>
    </w:p>
    <w:p w:rsidR="00744A1C" w:rsidRDefault="00E378DD" w:rsidP="00E378DD">
      <w:pPr>
        <w:pStyle w:val="libFootnote0"/>
        <w:rPr>
          <w:lang w:bidi="fa-IR"/>
        </w:rPr>
      </w:pPr>
      <w:r>
        <w:rPr>
          <w:rtl/>
          <w:lang w:bidi="fa-IR"/>
        </w:rPr>
        <w:t>(5).</w:t>
      </w:r>
      <w:r w:rsidR="00744A1C">
        <w:rPr>
          <w:rtl/>
          <w:lang w:bidi="fa-IR"/>
        </w:rPr>
        <w:t xml:space="preserve"> هكذا في جميع النسخ التي </w:t>
      </w:r>
      <w:r w:rsidR="00744A1C" w:rsidRPr="00EE5E45">
        <w:rPr>
          <w:rtl/>
        </w:rPr>
        <w:t>قوبلت والوافي والفقيه والاستبصار ،</w:t>
      </w:r>
      <w:r w:rsidR="00744A1C">
        <w:rPr>
          <w:rtl/>
          <w:lang w:bidi="fa-IR"/>
        </w:rPr>
        <w:t xml:space="preserve"> ص 303. وفي المطبوع : « لا يأتها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التهذيب</w:t>
      </w:r>
      <w:r w:rsidR="00744A1C">
        <w:rPr>
          <w:rtl/>
          <w:lang w:bidi="fa-IR"/>
        </w:rPr>
        <w:t xml:space="preserve"> ، ص 290 </w:t>
      </w:r>
      <w:r w:rsidR="00744A1C" w:rsidRPr="00C24F9C">
        <w:rPr>
          <w:rStyle w:val="libFootnoteBoldChar"/>
          <w:rtl/>
        </w:rPr>
        <w:t>والاستبصار</w:t>
      </w:r>
      <w:r w:rsidR="00744A1C">
        <w:rPr>
          <w:rtl/>
          <w:lang w:bidi="fa-IR"/>
        </w:rPr>
        <w:t xml:space="preserve"> ، ص 303 : « يفيض الناس من جمع » بدل « يفيضوا ». وعن المراد في هامش </w:t>
      </w:r>
      <w:r w:rsidR="00744A1C" w:rsidRPr="00C24F9C">
        <w:rPr>
          <w:rStyle w:val="libFootnoteBoldChar"/>
          <w:rtl/>
        </w:rPr>
        <w:t>الوافي</w:t>
      </w:r>
      <w:r w:rsidR="00744A1C">
        <w:rPr>
          <w:rtl/>
          <w:lang w:bidi="fa-IR"/>
        </w:rPr>
        <w:t xml:space="preserve"> : « قوله : فليأتها ، لعلّ وجه ذلك أنّه حينئذٍ يفوت الوقوفان الاختياريّان. قوله : حتّى يفيضوا ، أي يفيض الناس من المشعر إلى منى بعد طلوع الفجر ». وعن المحقّق الشعراني فيه : « وهذا الحديث يدلّ على الاكتفاء باختياريّ المشعر ، وأنّ إدراكه وحده مقدّم على إدراك الاضطراريّين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ص 290 </w:t>
      </w:r>
      <w:r w:rsidR="00744A1C" w:rsidRPr="00C24F9C">
        <w:rPr>
          <w:rStyle w:val="libFootnoteBoldChar"/>
          <w:rtl/>
        </w:rPr>
        <w:t>والاستبصار</w:t>
      </w:r>
      <w:r w:rsidR="00744A1C">
        <w:rPr>
          <w:rtl/>
          <w:lang w:bidi="fa-IR"/>
        </w:rPr>
        <w:t xml:space="preserve"> ، ص 307 : - « وليقم بجمع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2 ، ص 471 ، ح 2995 ، معلّقاً عن معاوية بن عمّار ؛ وفي </w:t>
      </w:r>
      <w:r w:rsidR="00744A1C" w:rsidRPr="00C24F9C">
        <w:rPr>
          <w:rStyle w:val="libFootnoteBoldChar"/>
          <w:rtl/>
        </w:rPr>
        <w:t>التهذيب</w:t>
      </w:r>
      <w:r w:rsidR="00744A1C">
        <w:rPr>
          <w:rtl/>
          <w:lang w:bidi="fa-IR"/>
        </w:rPr>
        <w:t xml:space="preserve"> ، ج 5 ، ص 290 ، ح 983 ؛ </w:t>
      </w:r>
      <w:r w:rsidR="00744A1C" w:rsidRPr="00C24F9C">
        <w:rPr>
          <w:rStyle w:val="libFootnoteBoldChar"/>
          <w:rtl/>
        </w:rPr>
        <w:t>والاستبصار</w:t>
      </w:r>
      <w:r w:rsidR="00744A1C">
        <w:rPr>
          <w:rtl/>
          <w:lang w:bidi="fa-IR"/>
        </w:rPr>
        <w:t xml:space="preserve"> ، ج 2 ، ص 307 ، ح 1095 ، بسند آخر عن معاوية بن عمّار. وفي </w:t>
      </w:r>
      <w:r w:rsidR="00744A1C" w:rsidRPr="00C24F9C">
        <w:rPr>
          <w:rStyle w:val="libFootnoteBoldChar"/>
          <w:rtl/>
        </w:rPr>
        <w:t>التهذيب</w:t>
      </w:r>
      <w:r w:rsidR="00744A1C">
        <w:rPr>
          <w:rtl/>
          <w:lang w:bidi="fa-IR"/>
        </w:rPr>
        <w:t xml:space="preserve"> ، ج 5 ، ص 294 ، ح 998 ؛ </w:t>
      </w:r>
      <w:r w:rsidR="00744A1C" w:rsidRPr="00C24F9C">
        <w:rPr>
          <w:rStyle w:val="libFootnoteBoldChar"/>
          <w:rtl/>
        </w:rPr>
        <w:t>والاستبصار</w:t>
      </w:r>
      <w:r w:rsidR="00744A1C">
        <w:rPr>
          <w:rtl/>
          <w:lang w:bidi="fa-IR"/>
        </w:rPr>
        <w:t xml:space="preserve"> ، ج 2 ، ص 303 ، ح 1081 ، بسند آخر عن معاوية بن عمّار ، إلى قوله : « وعليه الحجّ من قابل ». وفي </w:t>
      </w:r>
      <w:r w:rsidR="00744A1C" w:rsidRPr="00C24F9C">
        <w:rPr>
          <w:rStyle w:val="libFootnoteBoldChar"/>
          <w:rtl/>
        </w:rPr>
        <w:t>التهذيب</w:t>
      </w:r>
      <w:r w:rsidR="00744A1C">
        <w:rPr>
          <w:rtl/>
          <w:lang w:bidi="fa-IR"/>
        </w:rPr>
        <w:t xml:space="preserve"> ، ج 5 ، ص 289 ، ح 982 ؛ </w:t>
      </w:r>
      <w:r w:rsidR="00744A1C" w:rsidRPr="00C24F9C">
        <w:rPr>
          <w:rStyle w:val="libFootnoteBoldChar"/>
          <w:rtl/>
        </w:rPr>
        <w:t>والاستبصار</w:t>
      </w:r>
      <w:r w:rsidR="00744A1C">
        <w:rPr>
          <w:rtl/>
          <w:lang w:bidi="fa-IR"/>
        </w:rPr>
        <w:t xml:space="preserve"> ، ج 2 ، ص 301 ، ح 1087 ، بسند آخر ، من قوله : « في رجل أدرك الإمام » مع اختلاف يسير </w:t>
      </w:r>
      <w:r w:rsidR="00A519F8">
        <w:rPr>
          <w:rFonts w:hint="cs"/>
          <w:rtl/>
          <w:lang w:bidi="fa-IR"/>
        </w:rPr>
        <w:t>.</w:t>
      </w:r>
      <w:r w:rsidR="00744A1C" w:rsidRPr="00C24F9C">
        <w:rPr>
          <w:rStyle w:val="libFootnoteBoldChar"/>
          <w:rtl/>
        </w:rPr>
        <w:t>الوافي</w:t>
      </w:r>
      <w:r w:rsidR="00744A1C">
        <w:rPr>
          <w:rtl/>
          <w:lang w:bidi="fa-IR"/>
        </w:rPr>
        <w:t xml:space="preserve"> ، ج 13 ، ص 1065 ، ح 13752 ؛ </w:t>
      </w:r>
      <w:r w:rsidR="00744A1C" w:rsidRPr="00C24F9C">
        <w:rPr>
          <w:rStyle w:val="libFootnoteBoldChar"/>
          <w:rtl/>
        </w:rPr>
        <w:t>الوسائل</w:t>
      </w:r>
      <w:r w:rsidR="00744A1C">
        <w:rPr>
          <w:rtl/>
          <w:lang w:bidi="fa-IR"/>
        </w:rPr>
        <w:t xml:space="preserve"> ، ج 14 ، ص 35 ، ذيل ح 18524 ؛ وص 45 ، ذيل ح 18551 ؛ وص 48 ، ذيل ح 18558.</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7788 / 3. عَلِيُّ بْنُ إِبْرَاهِيمَ ، عَنْ أَبِيهِ ، عَنِ ابْنِ أَبِي عُمَيْرٍ ، عَنْ جَمِيلِ بْنِ دَرَّاجٍ </w:t>
      </w:r>
      <w:r w:rsidRPr="00D10E3C">
        <w:rPr>
          <w:rStyle w:val="libFootnotenumChar"/>
          <w:rtl/>
        </w:rPr>
        <w:t>(1)</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أَدْرَكَ الْمَشْعَرَ الْحَرَامَ يَوْمَ النَّحْرِ مِنْ </w:t>
      </w:r>
      <w:r w:rsidRPr="00D10E3C">
        <w:rPr>
          <w:rStyle w:val="libFootnotenumChar"/>
          <w:rtl/>
        </w:rPr>
        <w:t>(2)</w:t>
      </w:r>
      <w:r>
        <w:rPr>
          <w:rtl/>
          <w:lang w:bidi="fa-IR"/>
        </w:rPr>
        <w:t xml:space="preserve"> قَبْلِ زَوَالِ الشَّمْسِ </w:t>
      </w:r>
      <w:r w:rsidRPr="00D10E3C">
        <w:rPr>
          <w:rStyle w:val="libFootnotenumChar"/>
          <w:rtl/>
        </w:rPr>
        <w:t>(3)</w:t>
      </w:r>
      <w:r>
        <w:rPr>
          <w:rtl/>
          <w:lang w:bidi="fa-IR"/>
        </w:rPr>
        <w:t xml:space="preserve"> ، فَقَدْ أَدْرَكَ الْحَجَّ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7789 / 4. عِدَّةٌ مِنْ أَصْحَابِنَا ، عَنْ أَحْمَدَ بْنِ مُحَمَّدِ بْنِ عِيسى ، عَنِ ابْنِ فَضَّالٍ ، عَنْ عَبْدِ اللهِ بْنِ الْمُغِيرَةِ ، عَنْ إِسْحَاقَ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أَدْرَكَ الْمَشْعَرَ الْحَرَامَ وَعَلَيْهِ خَمْسَةٌ </w:t>
      </w:r>
      <w:r w:rsidRPr="00D10E3C">
        <w:rPr>
          <w:rStyle w:val="libFootnotenumChar"/>
          <w:rtl/>
        </w:rPr>
        <w:t>(6)</w:t>
      </w:r>
      <w:r>
        <w:rPr>
          <w:rtl/>
          <w:lang w:bidi="fa-IR"/>
        </w:rPr>
        <w:t xml:space="preserve"> مِنَ النَّاسِ </w:t>
      </w:r>
      <w:r w:rsidRPr="00D10E3C">
        <w:rPr>
          <w:rStyle w:val="libFootnotenumChar"/>
          <w:rtl/>
        </w:rPr>
        <w:t>(7)</w:t>
      </w:r>
      <w:r>
        <w:rPr>
          <w:rtl/>
          <w:lang w:bidi="fa-IR"/>
        </w:rPr>
        <w:t xml:space="preserve"> قَبْلَ أَنْ تَزُولَ الشَّمْسُ </w:t>
      </w:r>
      <w:r w:rsidRPr="00D10E3C">
        <w:rPr>
          <w:rStyle w:val="libFootnotenumChar"/>
          <w:rtl/>
        </w:rPr>
        <w:t>(8)</w:t>
      </w:r>
      <w:r>
        <w:rPr>
          <w:rtl/>
          <w:lang w:bidi="fa-IR"/>
        </w:rPr>
        <w:t xml:space="preserve"> ، فَقَدْ أَدْرَكَ الْحَجَّ ». </w:t>
      </w:r>
      <w:r w:rsidRPr="00D10E3C">
        <w:rPr>
          <w:rStyle w:val="libFootnotenumChar"/>
          <w:rtl/>
        </w:rPr>
        <w:t>(9)</w:t>
      </w:r>
    </w:p>
    <w:p w:rsidR="00144FA6" w:rsidRDefault="00744A1C" w:rsidP="00744A1C">
      <w:pPr>
        <w:pStyle w:val="libNormal"/>
        <w:rPr>
          <w:rtl/>
          <w:lang w:bidi="fa-IR"/>
        </w:rPr>
      </w:pPr>
      <w:r>
        <w:rPr>
          <w:rtl/>
          <w:lang w:bidi="fa-IR"/>
        </w:rPr>
        <w:t xml:space="preserve">7790 / 5. أَحْمَدُ بْنُ مُحَمَّدٍ </w:t>
      </w:r>
      <w:r w:rsidRPr="00D10E3C">
        <w:rPr>
          <w:rStyle w:val="libFootnotenumChar"/>
          <w:rtl/>
        </w:rPr>
        <w:t>(10)</w:t>
      </w:r>
      <w:r>
        <w:rPr>
          <w:rtl/>
          <w:lang w:bidi="fa-IR"/>
        </w:rPr>
        <w:t xml:space="preserve"> ، عَنِ ابْنِ أَبِي عُمَيْرٍ ، عَنْ هِشَامِ بْنِ الْحَكَمِ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أَدْرَكَ </w:t>
      </w:r>
      <w:r w:rsidRPr="00D10E3C">
        <w:rPr>
          <w:rStyle w:val="libFootnotenumChar"/>
          <w:rtl/>
        </w:rPr>
        <w:t>(11)</w:t>
      </w:r>
      <w:r>
        <w:rPr>
          <w:rtl/>
          <w:lang w:bidi="fa-IR"/>
        </w:rPr>
        <w:t xml:space="preserve"> الْمَشْعَرَ الْحَرَامَ وَعَلَيْهِ خَمْسَةٌ مِنَ النَّاسِ ، فَقَدْ أَدْرَكَ الْحَجَّ </w:t>
      </w:r>
      <w:r w:rsidRPr="00D10E3C">
        <w:rPr>
          <w:rStyle w:val="libFootnotenumChar"/>
          <w:rtl/>
        </w:rPr>
        <w:t>(12)</w:t>
      </w:r>
      <w:r>
        <w:rPr>
          <w:rtl/>
          <w:lang w:bidi="fa-IR"/>
        </w:rPr>
        <w:t xml:space="preserve"> ».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وحاشية « بح » و</w:t>
      </w:r>
      <w:r w:rsidR="00744A1C" w:rsidRPr="00C24F9C">
        <w:rPr>
          <w:rStyle w:val="libFootnoteBoldChar"/>
          <w:rtl/>
        </w:rPr>
        <w:t>الوسائل</w:t>
      </w:r>
      <w:r w:rsidR="00744A1C">
        <w:rPr>
          <w:rtl/>
          <w:lang w:bidi="fa-IR"/>
        </w:rPr>
        <w:t xml:space="preserve"> </w:t>
      </w:r>
      <w:r w:rsidR="00744A1C" w:rsidRPr="00C24F9C">
        <w:rPr>
          <w:rStyle w:val="libFootnoteBoldChar"/>
          <w:rtl/>
        </w:rPr>
        <w:t>والاستبصار</w:t>
      </w:r>
      <w:r w:rsidR="00744A1C">
        <w:rPr>
          <w:rtl/>
          <w:lang w:bidi="fa-IR"/>
        </w:rPr>
        <w:t xml:space="preserve"> : - « بن درّاج ».</w:t>
      </w:r>
    </w:p>
    <w:tbl>
      <w:tblPr>
        <w:tblStyle w:val="TableGrid"/>
        <w:bidiVisual/>
        <w:tblW w:w="0" w:type="auto"/>
        <w:tblLook w:val="04A0" w:firstRow="1" w:lastRow="0" w:firstColumn="1" w:lastColumn="0" w:noHBand="0" w:noVBand="1"/>
      </w:tblPr>
      <w:tblGrid>
        <w:gridCol w:w="4006"/>
        <w:gridCol w:w="4006"/>
      </w:tblGrid>
      <w:tr w:rsidR="00A519F8" w:rsidTr="00A519F8">
        <w:tc>
          <w:tcPr>
            <w:tcW w:w="4006" w:type="dxa"/>
          </w:tcPr>
          <w:p w:rsidR="00A519F8" w:rsidRDefault="00A519F8" w:rsidP="00E378DD">
            <w:pPr>
              <w:pStyle w:val="libFootnote0"/>
              <w:rPr>
                <w:rtl/>
                <w:lang w:bidi="fa-IR"/>
              </w:rPr>
            </w:pPr>
            <w:r>
              <w:rPr>
                <w:rtl/>
                <w:lang w:bidi="fa-IR"/>
              </w:rPr>
              <w:t>(2). في « بث » : - « من ».</w:t>
            </w:r>
          </w:p>
        </w:tc>
        <w:tc>
          <w:tcPr>
            <w:tcW w:w="4006" w:type="dxa"/>
          </w:tcPr>
          <w:p w:rsidR="00A519F8" w:rsidRDefault="00A519F8" w:rsidP="00E378DD">
            <w:pPr>
              <w:pStyle w:val="libFootnote0"/>
              <w:rPr>
                <w:rtl/>
                <w:lang w:bidi="fa-IR"/>
              </w:rPr>
            </w:pPr>
            <w:r>
              <w:rPr>
                <w:rtl/>
                <w:lang w:bidi="fa-IR"/>
              </w:rPr>
              <w:t>(3). في«بخ»: «قبل الزوال» بدل«قبل زوال الشمس ».</w:t>
            </w:r>
          </w:p>
        </w:tc>
      </w:tr>
    </w:tbl>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يدلّ على الاجتزاء باضطراريّ المشعر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291 ، ح 988 ؛ </w:t>
      </w:r>
      <w:r w:rsidR="00744A1C" w:rsidRPr="00C24F9C">
        <w:rPr>
          <w:rStyle w:val="libFootnoteBoldChar"/>
          <w:rtl/>
        </w:rPr>
        <w:t>والاستبصار</w:t>
      </w:r>
      <w:r w:rsidR="00744A1C">
        <w:rPr>
          <w:rtl/>
          <w:lang w:bidi="fa-IR"/>
        </w:rPr>
        <w:t xml:space="preserve"> ، ج 2 ، ص 304 ، ح 1087 ، معلّقاً عن الكليني. </w:t>
      </w:r>
      <w:r w:rsidR="00744A1C" w:rsidRPr="003A7143">
        <w:rPr>
          <w:rStyle w:val="libFootnoteBoldChar"/>
          <w:rtl/>
        </w:rPr>
        <w:t>علل الشرائع</w:t>
      </w:r>
      <w:r w:rsidR="00744A1C">
        <w:rPr>
          <w:rtl/>
          <w:lang w:bidi="fa-IR"/>
        </w:rPr>
        <w:t xml:space="preserve"> ، ص 451 ، ذيل ح 1 ، بسنده عن محمّد بن أبي عمير ، عن جميل بن درّاج ، مع زيادة في آخره. رجال الكشّي ، ص 382 ، ضمن ح 716 ، عن ابن أبي عمير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راجع : الأمالي للصدوق ، ص 650 ، المجلس 93 </w:t>
      </w:r>
      <w:r w:rsidR="004A7F61">
        <w:rPr>
          <w:rFonts w:hint="cs"/>
          <w:rtl/>
          <w:lang w:bidi="fa-IR"/>
        </w:rPr>
        <w:t>.</w:t>
      </w:r>
      <w:r w:rsidR="00744A1C" w:rsidRPr="00C24F9C">
        <w:rPr>
          <w:rStyle w:val="libFootnoteBoldChar"/>
          <w:rtl/>
        </w:rPr>
        <w:t>الوافي</w:t>
      </w:r>
      <w:r w:rsidR="00744A1C">
        <w:rPr>
          <w:rtl/>
          <w:lang w:bidi="fa-IR"/>
        </w:rPr>
        <w:t xml:space="preserve"> ، ج 13 ، ص 1068 ، ح 13762 ؛ </w:t>
      </w:r>
      <w:r w:rsidR="00744A1C" w:rsidRPr="00C24F9C">
        <w:rPr>
          <w:rStyle w:val="libFootnoteBoldChar"/>
          <w:rtl/>
        </w:rPr>
        <w:t>الوسائل</w:t>
      </w:r>
      <w:r w:rsidR="00744A1C">
        <w:rPr>
          <w:rtl/>
          <w:lang w:bidi="fa-IR"/>
        </w:rPr>
        <w:t xml:space="preserve"> ، ج 14 ، ص 40 ، ح 18536.</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وعليه خمسة ، يحتمل أن يكون ذكر الخمسة لعدم الخوف ، أو للقرب من الزوال ».</w:t>
      </w:r>
    </w:p>
    <w:tbl>
      <w:tblPr>
        <w:tblStyle w:val="TableGrid"/>
        <w:bidiVisual/>
        <w:tblW w:w="0" w:type="auto"/>
        <w:tblLook w:val="04A0" w:firstRow="1" w:lastRow="0" w:firstColumn="1" w:lastColumn="0" w:noHBand="0" w:noVBand="1"/>
      </w:tblPr>
      <w:tblGrid>
        <w:gridCol w:w="4006"/>
        <w:gridCol w:w="4006"/>
      </w:tblGrid>
      <w:tr w:rsidR="006808B4" w:rsidTr="006808B4">
        <w:tc>
          <w:tcPr>
            <w:tcW w:w="4006" w:type="dxa"/>
          </w:tcPr>
          <w:p w:rsidR="006808B4" w:rsidRDefault="006808B4" w:rsidP="00E378DD">
            <w:pPr>
              <w:pStyle w:val="libFootnote0"/>
              <w:rPr>
                <w:rtl/>
                <w:lang w:bidi="fa-IR"/>
              </w:rPr>
            </w:pPr>
            <w:r>
              <w:rPr>
                <w:rtl/>
                <w:lang w:bidi="fa-IR"/>
              </w:rPr>
              <w:t xml:space="preserve">(7). في </w:t>
            </w:r>
            <w:r w:rsidRPr="00C24F9C">
              <w:rPr>
                <w:rStyle w:val="libFootnoteBoldChar"/>
                <w:rtl/>
              </w:rPr>
              <w:t>الفقيه</w:t>
            </w:r>
            <w:r>
              <w:rPr>
                <w:rtl/>
                <w:lang w:bidi="fa-IR"/>
              </w:rPr>
              <w:t xml:space="preserve"> : - « وعليه خمسة من الناس ».</w:t>
            </w:r>
          </w:p>
        </w:tc>
        <w:tc>
          <w:tcPr>
            <w:tcW w:w="4006" w:type="dxa"/>
          </w:tcPr>
          <w:p w:rsidR="006808B4" w:rsidRDefault="006808B4" w:rsidP="00E378DD">
            <w:pPr>
              <w:pStyle w:val="libFootnote0"/>
              <w:rPr>
                <w:rtl/>
                <w:lang w:bidi="fa-IR"/>
              </w:rPr>
            </w:pPr>
            <w:r>
              <w:rPr>
                <w:rtl/>
                <w:lang w:bidi="fa-IR"/>
              </w:rPr>
              <w:t>(8). في « بس » : - « قبل أن تزول الشمس ».</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الفقيه</w:t>
      </w:r>
      <w:r w:rsidR="00744A1C">
        <w:rPr>
          <w:rtl/>
          <w:lang w:bidi="fa-IR"/>
        </w:rPr>
        <w:t xml:space="preserve"> ، ج 2 ، ص 386 ، ح 2775 ، معلّقاً عن عبدالله بن المغيرة </w:t>
      </w:r>
      <w:r w:rsidR="006808B4">
        <w:rPr>
          <w:rFonts w:hint="cs"/>
          <w:rtl/>
          <w:lang w:bidi="fa-IR"/>
        </w:rPr>
        <w:t>.</w:t>
      </w:r>
      <w:r w:rsidR="00744A1C" w:rsidRPr="00C24F9C">
        <w:rPr>
          <w:rStyle w:val="libFootnoteBoldChar"/>
          <w:rtl/>
        </w:rPr>
        <w:t>الوافي</w:t>
      </w:r>
      <w:r w:rsidR="00744A1C">
        <w:rPr>
          <w:rtl/>
          <w:lang w:bidi="fa-IR"/>
        </w:rPr>
        <w:t xml:space="preserve"> ، ج 13 ، ص 1068 ، ح 13763 ؛ </w:t>
      </w:r>
      <w:r w:rsidR="00744A1C" w:rsidRPr="00C24F9C">
        <w:rPr>
          <w:rStyle w:val="libFootnoteBoldChar"/>
          <w:rtl/>
        </w:rPr>
        <w:t>الوسائل</w:t>
      </w:r>
      <w:r w:rsidR="00744A1C">
        <w:rPr>
          <w:rtl/>
          <w:lang w:bidi="fa-IR"/>
        </w:rPr>
        <w:t xml:space="preserve"> ، ج 14 ، ص 41 ، ح 18538.</w:t>
      </w:r>
    </w:p>
    <w:p w:rsidR="00744A1C" w:rsidRDefault="00E378DD" w:rsidP="00E378DD">
      <w:pPr>
        <w:pStyle w:val="libFootnote0"/>
        <w:rPr>
          <w:lang w:bidi="fa-IR"/>
        </w:rPr>
      </w:pPr>
      <w:r>
        <w:rPr>
          <w:rtl/>
          <w:lang w:bidi="fa-IR"/>
        </w:rPr>
        <w:t>(10).</w:t>
      </w:r>
      <w:r w:rsidR="00744A1C">
        <w:rPr>
          <w:rtl/>
          <w:lang w:bidi="fa-IR"/>
        </w:rPr>
        <w:t xml:space="preserve"> السند معلّق على سابقه. ويروي عن أحمد بن محمّد ، عدّة من أصحابنا.</w:t>
      </w:r>
    </w:p>
    <w:tbl>
      <w:tblPr>
        <w:tblStyle w:val="TableGrid"/>
        <w:bidiVisual/>
        <w:tblW w:w="0" w:type="auto"/>
        <w:tblLook w:val="04A0" w:firstRow="1" w:lastRow="0" w:firstColumn="1" w:lastColumn="0" w:noHBand="0" w:noVBand="1"/>
      </w:tblPr>
      <w:tblGrid>
        <w:gridCol w:w="4006"/>
        <w:gridCol w:w="4006"/>
      </w:tblGrid>
      <w:tr w:rsidR="006808B4" w:rsidTr="006808B4">
        <w:tc>
          <w:tcPr>
            <w:tcW w:w="4006" w:type="dxa"/>
          </w:tcPr>
          <w:p w:rsidR="006808B4" w:rsidRDefault="006808B4" w:rsidP="00E378DD">
            <w:pPr>
              <w:pStyle w:val="libFootnote0"/>
              <w:rPr>
                <w:rtl/>
                <w:lang w:bidi="fa-IR"/>
              </w:rPr>
            </w:pPr>
            <w:r>
              <w:rPr>
                <w:rtl/>
                <w:lang w:bidi="fa-IR"/>
              </w:rPr>
              <w:t>(11). في « جن » : + « من ».</w:t>
            </w:r>
          </w:p>
        </w:tc>
        <w:tc>
          <w:tcPr>
            <w:tcW w:w="4006" w:type="dxa"/>
          </w:tcPr>
          <w:p w:rsidR="006808B4" w:rsidRDefault="006808B4" w:rsidP="00E378DD">
            <w:pPr>
              <w:pStyle w:val="libFootnote0"/>
              <w:rPr>
                <w:rtl/>
                <w:lang w:bidi="fa-IR"/>
              </w:rPr>
            </w:pPr>
            <w:r>
              <w:rPr>
                <w:rtl/>
                <w:lang w:bidi="fa-IR"/>
              </w:rPr>
              <w:t>(12). لم ترد هذه الرواية في « بس ».</w:t>
            </w:r>
          </w:p>
        </w:tc>
      </w:tr>
    </w:tbl>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الفقيه</w:t>
      </w:r>
      <w:r w:rsidR="00744A1C">
        <w:rPr>
          <w:rtl/>
          <w:lang w:bidi="fa-IR"/>
        </w:rPr>
        <w:t xml:space="preserve"> ، ج 2 ، ص 386 ، ح 2773 ، معلّقاً عن ابن أبي عمير </w:t>
      </w:r>
      <w:r w:rsidR="00720A90">
        <w:rPr>
          <w:rFonts w:hint="cs"/>
          <w:rtl/>
          <w:lang w:bidi="fa-IR"/>
        </w:rPr>
        <w:t>.</w:t>
      </w:r>
      <w:r w:rsidR="00744A1C" w:rsidRPr="00C24F9C">
        <w:rPr>
          <w:rStyle w:val="libFootnoteBoldChar"/>
          <w:rtl/>
        </w:rPr>
        <w:t>الوافي</w:t>
      </w:r>
      <w:r w:rsidR="00744A1C">
        <w:rPr>
          <w:rtl/>
          <w:lang w:bidi="fa-IR"/>
        </w:rPr>
        <w:t xml:space="preserve"> ، ج 13 ، ص 1069 ، ح 13764 ؛ </w:t>
      </w:r>
      <w:r w:rsidR="00744A1C" w:rsidRPr="00C24F9C">
        <w:rPr>
          <w:rStyle w:val="libFootnoteBoldChar"/>
          <w:rtl/>
        </w:rPr>
        <w:t>الوسائل</w:t>
      </w:r>
      <w:r w:rsidR="00744A1C">
        <w:rPr>
          <w:rtl/>
          <w:lang w:bidi="fa-IR"/>
        </w:rPr>
        <w:t xml:space="preserve"> ، ج 14 ، ص 40 ، ح 18537.</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7791 / 6. عَلِيُّ بْنُ إِبْرَاهِيمَ ، عَنْ أَبِيهِ ، عَنِ ابْنِ أَبِي عُمَيْرٍ ، عَنْ بَعْضِ أَصْحَابِهِ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قَالَ </w:t>
      </w:r>
      <w:r w:rsidRPr="00D10E3C">
        <w:rPr>
          <w:rStyle w:val="libFootnotenumChar"/>
          <w:rtl/>
        </w:rPr>
        <w:t>(1)</w:t>
      </w:r>
      <w:r>
        <w:rPr>
          <w:rtl/>
          <w:lang w:bidi="fa-IR"/>
        </w:rPr>
        <w:t xml:space="preserve"> : « تَدْرِي لِمَ جُعِلَ </w:t>
      </w:r>
      <w:r w:rsidRPr="00D10E3C">
        <w:rPr>
          <w:rStyle w:val="libFootnotenumChar"/>
          <w:rtl/>
        </w:rPr>
        <w:t>(2)</w:t>
      </w:r>
      <w:r>
        <w:rPr>
          <w:rtl/>
          <w:lang w:bidi="fa-IR"/>
        </w:rPr>
        <w:t xml:space="preserve"> ثَلَاثٌ هُنَا </w:t>
      </w:r>
      <w:r w:rsidRPr="00D10E3C">
        <w:rPr>
          <w:rStyle w:val="libFootnotenumChar"/>
          <w:rtl/>
        </w:rPr>
        <w:t>(3)</w:t>
      </w:r>
      <w:r>
        <w:rPr>
          <w:rtl/>
          <w:lang w:bidi="fa-IR"/>
        </w:rPr>
        <w:t>؟ ».</w:t>
      </w:r>
    </w:p>
    <w:p w:rsidR="00744A1C" w:rsidRDefault="00744A1C" w:rsidP="00744A1C">
      <w:pPr>
        <w:pStyle w:val="libNormal"/>
        <w:rPr>
          <w:lang w:bidi="fa-IR"/>
        </w:rPr>
      </w:pPr>
      <w:r>
        <w:rPr>
          <w:rtl/>
          <w:lang w:bidi="fa-IR"/>
        </w:rPr>
        <w:t>قَالَ : قُلْتُ : لَا.</w:t>
      </w:r>
    </w:p>
    <w:p w:rsidR="00144FA6" w:rsidRDefault="00744A1C" w:rsidP="00744A1C">
      <w:pPr>
        <w:pStyle w:val="libNormal"/>
        <w:rPr>
          <w:rtl/>
          <w:lang w:bidi="fa-IR"/>
        </w:rPr>
      </w:pPr>
      <w:r>
        <w:rPr>
          <w:rtl/>
          <w:lang w:bidi="fa-IR"/>
        </w:rPr>
        <w:t xml:space="preserve">قَالَ : « فَمَنْ </w:t>
      </w:r>
      <w:r w:rsidRPr="00D10E3C">
        <w:rPr>
          <w:rStyle w:val="libFootnotenumChar"/>
          <w:rtl/>
        </w:rPr>
        <w:t>(4)</w:t>
      </w:r>
      <w:r>
        <w:rPr>
          <w:rtl/>
          <w:lang w:bidi="fa-IR"/>
        </w:rPr>
        <w:t xml:space="preserve"> أَدْرَكَ شَيْئاً مِنْهَا ، فَقَدْ أَدْرَكَ الْحَجَّ </w:t>
      </w:r>
      <w:r w:rsidRPr="00D10E3C">
        <w:rPr>
          <w:rStyle w:val="libFootnotenumChar"/>
          <w:rtl/>
        </w:rPr>
        <w:t>(5)</w:t>
      </w:r>
      <w:r>
        <w:rPr>
          <w:rtl/>
          <w:lang w:bidi="fa-IR"/>
        </w:rPr>
        <w:t xml:space="preserve"> ». </w:t>
      </w:r>
      <w:r w:rsidRPr="00D10E3C">
        <w:rPr>
          <w:rStyle w:val="libFootnotenumChar"/>
          <w:rtl/>
        </w:rPr>
        <w:t>(6)</w:t>
      </w:r>
    </w:p>
    <w:p w:rsidR="00744A1C" w:rsidRDefault="00744A1C" w:rsidP="00720A90">
      <w:pPr>
        <w:pStyle w:val="Heading2Center"/>
        <w:rPr>
          <w:lang w:bidi="fa-IR"/>
        </w:rPr>
      </w:pPr>
      <w:bookmarkStart w:id="17" w:name="_Toc49261315"/>
      <w:r>
        <w:rPr>
          <w:rtl/>
          <w:lang w:bidi="fa-IR"/>
        </w:rPr>
        <w:t xml:space="preserve">172 - بَابُ حَصَى </w:t>
      </w:r>
      <w:r w:rsidRPr="00D10E3C">
        <w:rPr>
          <w:rStyle w:val="libFootnotenumChar"/>
          <w:rtl/>
        </w:rPr>
        <w:t>(7)</w:t>
      </w:r>
      <w:r>
        <w:rPr>
          <w:rtl/>
          <w:lang w:bidi="fa-IR"/>
        </w:rPr>
        <w:t xml:space="preserve"> الْجِمَارِ </w:t>
      </w:r>
      <w:r w:rsidRPr="00D10E3C">
        <w:rPr>
          <w:rStyle w:val="libFootnotenumChar"/>
          <w:rtl/>
        </w:rPr>
        <w:t>(8)</w:t>
      </w:r>
      <w:r>
        <w:rPr>
          <w:rtl/>
          <w:lang w:bidi="fa-IR"/>
        </w:rPr>
        <w:t xml:space="preserve"> مِنْ أَيْنَ تُؤْخَذُ وَمِقْدَارِهَا‌</w:t>
      </w:r>
      <w:bookmarkEnd w:id="17"/>
    </w:p>
    <w:p w:rsidR="00144FA6" w:rsidRDefault="00744A1C" w:rsidP="00744A1C">
      <w:pPr>
        <w:pStyle w:val="libNormal"/>
        <w:rPr>
          <w:rtl/>
          <w:lang w:bidi="fa-IR"/>
        </w:rPr>
      </w:pPr>
      <w:r>
        <w:rPr>
          <w:rtl/>
          <w:lang w:bidi="fa-IR"/>
        </w:rPr>
        <w:t>7792 / 1. عَلِيُّ بْنُ إِبْرَاهِيمَ ، عَنْ أَبِيهِ ، عَنِ ابْنِ أَبِي عُمَيْرٍ ، عَنْ مُعَاوِيَةَ بْنِ عَمَّارٍ ، قَالَ</w:t>
      </w:r>
      <w:r w:rsidRPr="00D10E3C">
        <w:rPr>
          <w:rStyle w:val="libFootnotenumChar"/>
          <w:rtl/>
        </w:rPr>
        <w:t>(9)</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جد » و</w:t>
      </w:r>
      <w:r w:rsidR="00744A1C" w:rsidRPr="00C24F9C">
        <w:rPr>
          <w:rStyle w:val="libFootnoteBoldChar"/>
          <w:rtl/>
        </w:rPr>
        <w:t>الوافي</w:t>
      </w:r>
      <w:r w:rsidR="00744A1C">
        <w:rPr>
          <w:rtl/>
          <w:lang w:bidi="fa-IR"/>
        </w:rPr>
        <w:t xml:space="preserve"> : « قال : قال أبو عبد الله » بدل « عن أبي عبد الله </w:t>
      </w:r>
      <w:r w:rsidR="0061079A" w:rsidRPr="0061079A">
        <w:rPr>
          <w:rStyle w:val="libFootnoteAlaemChar"/>
          <w:rtl/>
        </w:rPr>
        <w:t>عليه‌السلام</w:t>
      </w:r>
      <w:r>
        <w:rPr>
          <w:rtl/>
          <w:lang w:bidi="fa-IR"/>
        </w:rPr>
        <w:t xml:space="preserve"> </w:t>
      </w:r>
      <w:r w:rsidR="00744A1C">
        <w:rPr>
          <w:rtl/>
          <w:lang w:bidi="fa-IR"/>
        </w:rPr>
        <w:t>، قال : قال ».</w:t>
      </w:r>
    </w:p>
    <w:p w:rsidR="00744A1C" w:rsidRDefault="00E378DD" w:rsidP="00E378DD">
      <w:pPr>
        <w:pStyle w:val="libFootnote0"/>
        <w:rPr>
          <w:lang w:bidi="fa-IR"/>
        </w:rPr>
      </w:pPr>
      <w:r>
        <w:rPr>
          <w:rtl/>
          <w:lang w:bidi="fa-IR"/>
        </w:rPr>
        <w:t>(2).</w:t>
      </w:r>
      <w:r w:rsidR="00744A1C">
        <w:rPr>
          <w:rtl/>
          <w:lang w:bidi="fa-IR"/>
        </w:rPr>
        <w:t xml:space="preserve"> في « بخ » والعلل : « جعلت ». وفي </w:t>
      </w:r>
      <w:r w:rsidR="00744A1C" w:rsidRPr="00C24F9C">
        <w:rPr>
          <w:rStyle w:val="libFootnoteBoldChar"/>
          <w:rtl/>
        </w:rPr>
        <w:t>التهذيب</w:t>
      </w:r>
      <w:r w:rsidR="00744A1C">
        <w:rPr>
          <w:rtl/>
          <w:lang w:bidi="fa-IR"/>
        </w:rPr>
        <w:t xml:space="preserve"> : + « المقام ». وفي العلل : + « أيّام منى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 ثلاثاً بمنى ». وفي العلل : « ثلاثاً » بدون « هنا ».</w:t>
      </w:r>
    </w:p>
    <w:p w:rsidR="00744A1C" w:rsidRDefault="00E378DD" w:rsidP="00E378DD">
      <w:pPr>
        <w:pStyle w:val="libFootnote0"/>
        <w:rPr>
          <w:lang w:bidi="fa-IR"/>
        </w:rPr>
      </w:pPr>
      <w:r>
        <w:rPr>
          <w:rtl/>
          <w:lang w:bidi="fa-IR"/>
        </w:rPr>
        <w:t>(4).</w:t>
      </w:r>
      <w:r w:rsidR="00744A1C">
        <w:rPr>
          <w:rtl/>
          <w:lang w:bidi="fa-IR"/>
        </w:rPr>
        <w:t xml:space="preserve"> في « بخ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والعلل : « من ».</w:t>
      </w:r>
    </w:p>
    <w:p w:rsidR="00744A1C" w:rsidRDefault="00E378DD" w:rsidP="00E378DD">
      <w:pPr>
        <w:pStyle w:val="libFootnote0"/>
        <w:rPr>
          <w:lang w:bidi="fa-IR"/>
        </w:rPr>
      </w:pPr>
      <w:r>
        <w:rPr>
          <w:rtl/>
          <w:lang w:bidi="fa-IR"/>
        </w:rPr>
        <w:t>(5).</w:t>
      </w:r>
      <w:r w:rsidR="00744A1C">
        <w:rPr>
          <w:rtl/>
          <w:lang w:bidi="fa-IR"/>
        </w:rPr>
        <w:t xml:space="preserve"> نقل في </w:t>
      </w:r>
      <w:r w:rsidR="00744A1C" w:rsidRPr="00C24F9C">
        <w:rPr>
          <w:rStyle w:val="libFootnoteBoldChar"/>
          <w:rtl/>
        </w:rPr>
        <w:t>الوافي</w:t>
      </w:r>
      <w:r w:rsidR="00744A1C">
        <w:rPr>
          <w:rtl/>
          <w:lang w:bidi="fa-IR"/>
        </w:rPr>
        <w:t xml:space="preserve"> حديثاً يقرب من هذا الحديث عن </w:t>
      </w:r>
      <w:r w:rsidR="00744A1C" w:rsidRPr="00C24F9C">
        <w:rPr>
          <w:rStyle w:val="libFootnoteBoldChar"/>
          <w:rtl/>
        </w:rPr>
        <w:t>التهذيب</w:t>
      </w:r>
      <w:r w:rsidR="00744A1C">
        <w:rPr>
          <w:rtl/>
          <w:lang w:bidi="fa-IR"/>
        </w:rPr>
        <w:t xml:space="preserve"> ، ج 5 ، ص 471 ، ح 1706 ، ثمّ قال : « الظاهر وحدة الحديثين ووقوع تصحيف في أحدهما ، وما في </w:t>
      </w:r>
      <w:r w:rsidR="00744A1C" w:rsidRPr="0061079A">
        <w:rPr>
          <w:rStyle w:val="libFootnoteBoldChar"/>
          <w:rtl/>
        </w:rPr>
        <w:t>الكافي</w:t>
      </w:r>
      <w:r w:rsidR="00744A1C">
        <w:rPr>
          <w:rtl/>
          <w:lang w:bidi="fa-IR"/>
        </w:rPr>
        <w:t xml:space="preserve"> إن صحّ فيحتمل أن يكون المراد به أنّه جعل في المشعر ثلاث وقفات من الاختياريّة والاضطراريّة : الا</w:t>
      </w:r>
      <w:r w:rsidR="00720A90">
        <w:rPr>
          <w:rFonts w:hint="cs"/>
          <w:rtl/>
          <w:lang w:bidi="fa-IR"/>
        </w:rPr>
        <w:t>ُ</w:t>
      </w:r>
      <w:r w:rsidR="00744A1C">
        <w:rPr>
          <w:rtl/>
          <w:lang w:bidi="fa-IR"/>
        </w:rPr>
        <w:t xml:space="preserve">ولى من أوّل الليل إلى طلوع الفجر ، والثانية من الفجر إلى طلوع الشمس ، والثالثة من طلوع الشمس إلى الزوال ». وقال المحقّق الشعراني في هامشه : « قوله : ثلاث وقفات ، هذا تأويل بعيد ، والمشعر غير منى ». وراجع : </w:t>
      </w:r>
      <w:r w:rsidR="00744A1C" w:rsidRPr="00877682">
        <w:rPr>
          <w:rStyle w:val="libFootnoteBoldChar"/>
          <w:rtl/>
        </w:rPr>
        <w:t>مرآة العقول</w:t>
      </w:r>
      <w:r w:rsidR="00744A1C">
        <w:rPr>
          <w:rtl/>
          <w:lang w:bidi="fa-IR"/>
        </w:rPr>
        <w:t xml:space="preserve"> ، ج 18 ، ص 140.</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481 ، ح 1076 ، معلّقاً عن إبراهيم بن هاشم ، عن ابن أبي عمير ؛ </w:t>
      </w:r>
      <w:r w:rsidR="00744A1C" w:rsidRPr="003A7143">
        <w:rPr>
          <w:rStyle w:val="libFootnoteBoldChar"/>
          <w:rtl/>
        </w:rPr>
        <w:t>علل الشرائع</w:t>
      </w:r>
      <w:r w:rsidR="00744A1C">
        <w:rPr>
          <w:rtl/>
          <w:lang w:bidi="fa-IR"/>
        </w:rPr>
        <w:t xml:space="preserve"> ، ص 450 ، ح 1 ، بسنده عن إبراهيم بن هاشم ، عن محمّد بن أبي عمير </w:t>
      </w:r>
      <w:r w:rsidR="00720A90">
        <w:rPr>
          <w:rFonts w:hint="cs"/>
          <w:rtl/>
          <w:lang w:bidi="fa-IR"/>
        </w:rPr>
        <w:t>.</w:t>
      </w:r>
      <w:r w:rsidR="00744A1C" w:rsidRPr="00C24F9C">
        <w:rPr>
          <w:rStyle w:val="libFootnoteBoldChar"/>
          <w:rtl/>
        </w:rPr>
        <w:t>الوافي</w:t>
      </w:r>
      <w:r w:rsidR="00744A1C">
        <w:rPr>
          <w:rtl/>
          <w:lang w:bidi="fa-IR"/>
        </w:rPr>
        <w:t xml:space="preserve"> ، ج 13 ، ص 1069 ، ح 13769 ؛ </w:t>
      </w:r>
      <w:r w:rsidR="00744A1C" w:rsidRPr="00C24F9C">
        <w:rPr>
          <w:rStyle w:val="libFootnoteBoldChar"/>
          <w:rtl/>
        </w:rPr>
        <w:t>الوسائل</w:t>
      </w:r>
      <w:r w:rsidR="00744A1C">
        <w:rPr>
          <w:rtl/>
          <w:lang w:bidi="fa-IR"/>
        </w:rPr>
        <w:t xml:space="preserve"> ، ج 14 ، ص 41 ، ح 18539.</w:t>
      </w:r>
    </w:p>
    <w:p w:rsidR="00744A1C" w:rsidRDefault="00E378DD" w:rsidP="00E378DD">
      <w:pPr>
        <w:pStyle w:val="libFootnote0"/>
        <w:rPr>
          <w:lang w:bidi="fa-IR"/>
        </w:rPr>
      </w:pPr>
      <w:r>
        <w:rPr>
          <w:rtl/>
          <w:lang w:bidi="fa-IR"/>
        </w:rPr>
        <w:t>(7).</w:t>
      </w:r>
      <w:r w:rsidR="00744A1C">
        <w:rPr>
          <w:rtl/>
          <w:lang w:bidi="fa-IR"/>
        </w:rPr>
        <w:t xml:space="preserve"> الحصى : صغار الحجارة ، والواحدة : حصاة. وعن ابن شميل : « الحصى : ما حَذَفْتَ به حَذْفاً - أي رميت - وهو ما كان مثل بعر الغنم ». راجع : </w:t>
      </w:r>
      <w:r w:rsidR="00744A1C" w:rsidRPr="00E978C3">
        <w:rPr>
          <w:rStyle w:val="libFootnoteBoldChar"/>
          <w:rtl/>
        </w:rPr>
        <w:t>ترتيب كتاب العين</w:t>
      </w:r>
      <w:r w:rsidR="00744A1C">
        <w:rPr>
          <w:rtl/>
          <w:lang w:bidi="fa-IR"/>
        </w:rPr>
        <w:t xml:space="preserve"> ، ج 1 ، ص 393 ؛ </w:t>
      </w:r>
      <w:r w:rsidR="00744A1C" w:rsidRPr="00877682">
        <w:rPr>
          <w:rStyle w:val="libFootnoteBoldChar"/>
          <w:rtl/>
        </w:rPr>
        <w:t>لسان العرب</w:t>
      </w:r>
      <w:r w:rsidR="00744A1C">
        <w:rPr>
          <w:rtl/>
          <w:lang w:bidi="fa-IR"/>
        </w:rPr>
        <w:t xml:space="preserve"> ، ج 14 ، ص 183 ( حصي ).</w:t>
      </w:r>
    </w:p>
    <w:p w:rsidR="00744A1C" w:rsidRDefault="00E378DD" w:rsidP="00720A90">
      <w:pPr>
        <w:pStyle w:val="libFootnote0"/>
        <w:rPr>
          <w:lang w:bidi="fa-IR"/>
        </w:rPr>
      </w:pPr>
      <w:r>
        <w:rPr>
          <w:rtl/>
          <w:lang w:bidi="fa-IR"/>
        </w:rPr>
        <w:t>(8).</w:t>
      </w:r>
      <w:r w:rsidR="00744A1C">
        <w:rPr>
          <w:rtl/>
          <w:lang w:bidi="fa-IR"/>
        </w:rPr>
        <w:t xml:space="preserve"> « الجِمار » : جمع الجَمْرة ، وهي الحصاة التي يرمى بها في مكّة ، وهي أيضاً مجتمع الحصى بمنى ، فكلّ كومة من الحصى جمرة ، أو موضع الجمار بمنى فسمّي جمرة ؛ لأنّها ترمى بالجمار ، أو لأنّها مجمع الحصى التي يرمى بها ؛ من الجمرة ، وهي اجتماع القبيلة على من ناوأها. أو سمّيت به من قولهم : أجمر ، إذا أسرع. والمراد بها هاهنا غير الأوّل ، قال الشهيد الأوّل : « الجمرة : اسم لموضع الرمي ، وهو البناء ، أو موضعه ممّا يجتمع من الحصى. وقيل : هي مجتمع الحصى لا السائل منه ، وصرّح عليّ بن بابويه بأنّه الأرض ». راجع : </w:t>
      </w:r>
      <w:r w:rsidR="00744A1C" w:rsidRPr="00877682">
        <w:rPr>
          <w:rStyle w:val="libFootnoteBoldChar"/>
          <w:rtl/>
        </w:rPr>
        <w:t>النهاية</w:t>
      </w:r>
      <w:r w:rsidR="00744A1C">
        <w:rPr>
          <w:rtl/>
          <w:lang w:bidi="fa-IR"/>
        </w:rPr>
        <w:t xml:space="preserve"> ، ج 1 ، ص 292 ؛ </w:t>
      </w:r>
      <w:r w:rsidR="00744A1C" w:rsidRPr="00877682">
        <w:rPr>
          <w:rStyle w:val="libFootnoteBoldChar"/>
          <w:rtl/>
        </w:rPr>
        <w:t>لسان العرب</w:t>
      </w:r>
      <w:r w:rsidR="00744A1C">
        <w:rPr>
          <w:rtl/>
          <w:lang w:bidi="fa-IR"/>
        </w:rPr>
        <w:t xml:space="preserve"> ، ج 4 ، ص 147 ؛ </w:t>
      </w:r>
      <w:r w:rsidR="00744A1C" w:rsidRPr="00E978C3">
        <w:rPr>
          <w:rStyle w:val="libFootnoteBoldChar"/>
          <w:rtl/>
        </w:rPr>
        <w:t>المصباح المنير</w:t>
      </w:r>
      <w:r w:rsidR="00744A1C">
        <w:rPr>
          <w:rtl/>
          <w:lang w:bidi="fa-IR"/>
        </w:rPr>
        <w:t xml:space="preserve"> ، ص 108 ( جمر )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428 ، الدرس 110.</w:t>
      </w:r>
      <w:r w:rsidR="00720A90">
        <w:rPr>
          <w:rFonts w:hint="cs"/>
          <w:rtl/>
          <w:lang w:bidi="fa-IR"/>
        </w:rPr>
        <w:t xml:space="preserve">   </w:t>
      </w: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 ح 18581 : + « قال أبو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0F7CEC" w:rsidRDefault="000F7CEC" w:rsidP="00D10E3C">
      <w:pPr>
        <w:pStyle w:val="libNormal"/>
        <w:rPr>
          <w:rtl/>
          <w:lang w:bidi="fa-IR"/>
        </w:rPr>
      </w:pPr>
      <w:r>
        <w:rPr>
          <w:rtl/>
          <w:lang w:bidi="fa-IR"/>
        </w:rPr>
        <w:br w:type="page"/>
      </w:r>
    </w:p>
    <w:p w:rsidR="00144FA6" w:rsidRDefault="00744A1C" w:rsidP="00720A90">
      <w:pPr>
        <w:pStyle w:val="libNormal"/>
        <w:rPr>
          <w:rtl/>
          <w:lang w:bidi="fa-IR"/>
        </w:rPr>
      </w:pPr>
      <w:r>
        <w:rPr>
          <w:rtl/>
          <w:lang w:bidi="fa-IR"/>
        </w:rPr>
        <w:lastRenderedPageBreak/>
        <w:t xml:space="preserve">خُذْ حَصَى الْجِمَارِ مِنْ جَمْعٍ ، وَإِنْ </w:t>
      </w:r>
      <w:r w:rsidRPr="00D10E3C">
        <w:rPr>
          <w:rStyle w:val="libFootnotenumChar"/>
          <w:rtl/>
        </w:rPr>
        <w:t>(1)</w:t>
      </w:r>
      <w:r>
        <w:rPr>
          <w:rtl/>
          <w:lang w:bidi="fa-IR"/>
        </w:rPr>
        <w:t xml:space="preserve"> أَخَذْتَهُ مِنْ رَحْلِكَ بِمِنًى أَجْزَأَكَ </w:t>
      </w:r>
      <w:r w:rsidRPr="00D10E3C">
        <w:rPr>
          <w:rStyle w:val="libFootnotenumChar"/>
          <w:rtl/>
        </w:rPr>
        <w:t>(2)</w:t>
      </w:r>
      <w:r w:rsidR="00720A90">
        <w:rPr>
          <w:rFonts w:hint="cs"/>
          <w:rtl/>
          <w:lang w:bidi="fa-IR"/>
        </w:rPr>
        <w:t>.</w:t>
      </w:r>
      <w:r w:rsidRPr="00D10E3C">
        <w:rPr>
          <w:rStyle w:val="libFootnotenumChar"/>
          <w:rtl/>
        </w:rPr>
        <w:t>(3)</w:t>
      </w:r>
    </w:p>
    <w:p w:rsidR="00144FA6" w:rsidRDefault="00744A1C" w:rsidP="00744A1C">
      <w:pPr>
        <w:pStyle w:val="libNormal"/>
        <w:rPr>
          <w:rtl/>
          <w:lang w:bidi="fa-IR"/>
        </w:rPr>
      </w:pPr>
      <w:r>
        <w:rPr>
          <w:rtl/>
          <w:lang w:bidi="fa-IR"/>
        </w:rPr>
        <w:t>7793 / 2. عِدَّةٌ مِنْ أَصْحَابِنَا ، عَنْ سَهْلِ بْنِ زِيَادٍ ، عَنْ أَحْمَدَ بْنِ مُحَمَّدٍ ، عَنْ مُثَنًّى الْحَنَّاطِ ، عَنْ زُرَارَةَ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عَنِ الْحَصَى الَّتِي يُرْمى بِهَا </w:t>
      </w:r>
      <w:r w:rsidRPr="00D10E3C">
        <w:rPr>
          <w:rStyle w:val="libFootnotenumChar"/>
          <w:rtl/>
        </w:rPr>
        <w:t>(4)</w:t>
      </w:r>
      <w:r>
        <w:rPr>
          <w:rtl/>
          <w:lang w:bidi="fa-IR"/>
        </w:rPr>
        <w:t xml:space="preserve"> الْجِمَارُ؟</w:t>
      </w:r>
    </w:p>
    <w:p w:rsidR="00144FA6" w:rsidRDefault="00744A1C" w:rsidP="00744A1C">
      <w:pPr>
        <w:pStyle w:val="libNormal"/>
        <w:rPr>
          <w:rtl/>
          <w:lang w:bidi="fa-IR"/>
        </w:rPr>
      </w:pPr>
      <w:r>
        <w:rPr>
          <w:rtl/>
          <w:lang w:bidi="fa-IR"/>
        </w:rPr>
        <w:t xml:space="preserve">فَقَالَ </w:t>
      </w:r>
      <w:r w:rsidRPr="00D10E3C">
        <w:rPr>
          <w:rStyle w:val="libFootnotenumChar"/>
          <w:rtl/>
        </w:rPr>
        <w:t>(5)</w:t>
      </w:r>
      <w:r>
        <w:rPr>
          <w:rtl/>
          <w:lang w:bidi="fa-IR"/>
        </w:rPr>
        <w:t xml:space="preserve"> : « تُؤْخَذُ </w:t>
      </w:r>
      <w:r w:rsidRPr="00D10E3C">
        <w:rPr>
          <w:rStyle w:val="libFootnotenumChar"/>
          <w:rtl/>
        </w:rPr>
        <w:t>(6)</w:t>
      </w:r>
      <w:r>
        <w:rPr>
          <w:rtl/>
          <w:lang w:bidi="fa-IR"/>
        </w:rPr>
        <w:t xml:space="preserve"> مِنْ جَمْعٍ ، وَتُؤْخَذُ </w:t>
      </w:r>
      <w:r w:rsidRPr="00D10E3C">
        <w:rPr>
          <w:rStyle w:val="libFootnotenumChar"/>
          <w:rtl/>
        </w:rPr>
        <w:t>(7)</w:t>
      </w:r>
      <w:r>
        <w:rPr>
          <w:rtl/>
          <w:lang w:bidi="fa-IR"/>
        </w:rPr>
        <w:t xml:space="preserve"> بَعْدَ ذلِكَ مِنْ مِنًى </w:t>
      </w:r>
      <w:r w:rsidRPr="00D10E3C">
        <w:rPr>
          <w:rStyle w:val="libFootnotenumChar"/>
          <w:rtl/>
        </w:rPr>
        <w:t>(8)</w:t>
      </w:r>
      <w:r>
        <w:rPr>
          <w:rtl/>
          <w:lang w:bidi="fa-IR"/>
        </w:rPr>
        <w:t xml:space="preserve"> ». </w:t>
      </w:r>
      <w:r w:rsidRPr="00D10E3C">
        <w:rPr>
          <w:rStyle w:val="libFootnotenumChar"/>
          <w:rtl/>
        </w:rPr>
        <w:t>(9)</w:t>
      </w:r>
    </w:p>
    <w:p w:rsidR="00144FA6" w:rsidRDefault="00744A1C" w:rsidP="00744A1C">
      <w:pPr>
        <w:pStyle w:val="libNormal"/>
        <w:rPr>
          <w:rtl/>
          <w:lang w:bidi="fa-IR"/>
        </w:rPr>
      </w:pPr>
      <w:r>
        <w:rPr>
          <w:rtl/>
          <w:lang w:bidi="fa-IR"/>
        </w:rPr>
        <w:t xml:space="preserve">7794 / 3. عَلِيُّ بْنُ إِبْرَاهِيمَ </w:t>
      </w:r>
      <w:r w:rsidRPr="00D10E3C">
        <w:rPr>
          <w:rStyle w:val="libFootnotenumChar"/>
          <w:rtl/>
        </w:rPr>
        <w:t>(10)</w:t>
      </w:r>
      <w:r>
        <w:rPr>
          <w:rtl/>
          <w:lang w:bidi="fa-IR"/>
        </w:rPr>
        <w:t xml:space="preserve"> ، عَنْ أَبِيهِ ، عَنْ حَمَّادٍ ، عَنْ رِبْعِيٍّ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خُذْ حَصَى الْجِمَارِ مِنْ جَمْعٍ ، وَإِنْ </w:t>
      </w:r>
      <w:r w:rsidRPr="00D10E3C">
        <w:rPr>
          <w:rStyle w:val="libFootnotenumChar"/>
          <w:rtl/>
        </w:rPr>
        <w:t>(11)</w:t>
      </w:r>
      <w:r>
        <w:rPr>
          <w:rtl/>
          <w:lang w:bidi="fa-IR"/>
        </w:rPr>
        <w:t xml:space="preserve"> أَخَذْتَهُ مِنْ رَحْلِكَ بِمِنًى أَجْزَأَكَ ». </w:t>
      </w:r>
      <w:r w:rsidRPr="00D10E3C">
        <w:rPr>
          <w:rStyle w:val="libFootnotenumChar"/>
          <w:rtl/>
        </w:rPr>
        <w:t>(12)</w:t>
      </w:r>
    </w:p>
    <w:p w:rsidR="00144FA6" w:rsidRDefault="00744A1C" w:rsidP="00744A1C">
      <w:pPr>
        <w:pStyle w:val="libNormal"/>
        <w:rPr>
          <w:rtl/>
          <w:lang w:bidi="fa-IR"/>
        </w:rPr>
      </w:pPr>
      <w:r>
        <w:rPr>
          <w:rtl/>
          <w:lang w:bidi="fa-IR"/>
        </w:rPr>
        <w:t>7795 / 4. مُحَمَّدُ بْنُ يَحْيى ، عَنْ أَحْمَدَ بْنِ مُحَمَّدٍ ، عَنْ عَلِيِّ بْنِ الْحَكَمِ ، عَنْ عَلِيِّ بْنِ أَبِي حَمْزَةَ ، عَنْ أَبِي بَصِيرٍ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الوسائل</w:t>
      </w:r>
      <w:r w:rsidR="00744A1C">
        <w:rPr>
          <w:rtl/>
          <w:lang w:bidi="fa-IR"/>
        </w:rPr>
        <w:t xml:space="preserve"> ، ح 18581 : « فإن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18 ، ص 140 : « لا خلاف في استحباب التقاط الحصى من جمع وجواز أخذها من جميع الحرم سوى المساجد ».</w:t>
      </w:r>
    </w:p>
    <w:p w:rsidR="00744A1C" w:rsidRDefault="00E378DD" w:rsidP="00720A90">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195 ، ح 650 ، معلّقاً عن الكليني. </w:t>
      </w:r>
      <w:r w:rsidR="00744A1C" w:rsidRPr="00C24F9C">
        <w:rPr>
          <w:rStyle w:val="libFootnoteBoldChar"/>
          <w:rtl/>
        </w:rPr>
        <w:t>الفقيه</w:t>
      </w:r>
      <w:r w:rsidR="00744A1C">
        <w:rPr>
          <w:rtl/>
          <w:lang w:bidi="fa-IR"/>
        </w:rPr>
        <w:t xml:space="preserve"> ، ج 2 ، ص 545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720A90">
        <w:rPr>
          <w:rFonts w:hint="cs"/>
          <w:rtl/>
          <w:lang w:bidi="fa-IR"/>
        </w:rPr>
        <w:t>.</w:t>
      </w:r>
      <w:r w:rsidR="00744A1C" w:rsidRPr="00C24F9C">
        <w:rPr>
          <w:rStyle w:val="libFootnoteBoldChar"/>
          <w:rtl/>
        </w:rPr>
        <w:t>الوافي</w:t>
      </w:r>
      <w:r w:rsidR="00744A1C">
        <w:rPr>
          <w:rtl/>
          <w:lang w:bidi="fa-IR"/>
        </w:rPr>
        <w:t xml:space="preserve"> ، ج 13 ، ص 1075 ، ح 13778 ؛ </w:t>
      </w:r>
      <w:r w:rsidR="00744A1C" w:rsidRPr="00C24F9C">
        <w:rPr>
          <w:rStyle w:val="libFootnoteBoldChar"/>
          <w:rtl/>
        </w:rPr>
        <w:t>الوسائل</w:t>
      </w:r>
      <w:r w:rsidR="00744A1C">
        <w:rPr>
          <w:rtl/>
          <w:lang w:bidi="fa-IR"/>
        </w:rPr>
        <w:t xml:space="preserve"> ، ج 14 ، ص 31 ، ح 18512 ؛ وص 59 ، ح 18581.</w:t>
      </w:r>
      <w:r w:rsidR="00EE5E45">
        <w:rPr>
          <w:rFonts w:hint="cs"/>
          <w:rtl/>
          <w:lang w:bidi="fa-IR"/>
        </w:rPr>
        <w:t xml:space="preserve">                 </w:t>
      </w:r>
      <w:r w:rsidR="00720A90">
        <w:rPr>
          <w:rFonts w:hint="cs"/>
          <w:rtl/>
          <w:lang w:bidi="fa-IR"/>
        </w:rPr>
        <w:t xml:space="preserve">     </w:t>
      </w:r>
      <w:r>
        <w:rPr>
          <w:rtl/>
          <w:lang w:bidi="fa-IR"/>
        </w:rPr>
        <w:t>(4).</w:t>
      </w:r>
      <w:r w:rsidR="00744A1C">
        <w:rPr>
          <w:rtl/>
          <w:lang w:bidi="fa-IR"/>
        </w:rPr>
        <w:t xml:space="preserve"> في « بخ » : - « التي يرمى بها ».</w:t>
      </w:r>
    </w:p>
    <w:tbl>
      <w:tblPr>
        <w:tblStyle w:val="TableGrid"/>
        <w:bidiVisual/>
        <w:tblW w:w="0" w:type="auto"/>
        <w:tblLook w:val="04A0" w:firstRow="1" w:lastRow="0" w:firstColumn="1" w:lastColumn="0" w:noHBand="0" w:noVBand="1"/>
      </w:tblPr>
      <w:tblGrid>
        <w:gridCol w:w="4006"/>
        <w:gridCol w:w="4006"/>
      </w:tblGrid>
      <w:tr w:rsidR="00720A90" w:rsidTr="00720A90">
        <w:tc>
          <w:tcPr>
            <w:tcW w:w="4006" w:type="dxa"/>
          </w:tcPr>
          <w:p w:rsidR="00720A90" w:rsidRDefault="00720A90" w:rsidP="00E378DD">
            <w:pPr>
              <w:pStyle w:val="libFootnote0"/>
              <w:rPr>
                <w:rtl/>
                <w:lang w:bidi="fa-IR"/>
              </w:rPr>
            </w:pPr>
            <w:r>
              <w:rPr>
                <w:rtl/>
                <w:lang w:bidi="fa-IR"/>
              </w:rPr>
              <w:t xml:space="preserve">(5). في </w:t>
            </w:r>
            <w:r w:rsidRPr="00C24F9C">
              <w:rPr>
                <w:rStyle w:val="libFootnoteBoldChar"/>
                <w:rtl/>
              </w:rPr>
              <w:t>الوافي</w:t>
            </w:r>
            <w:r>
              <w:rPr>
                <w:rtl/>
                <w:lang w:bidi="fa-IR"/>
              </w:rPr>
              <w:t xml:space="preserve"> : « قال ».</w:t>
            </w:r>
          </w:p>
        </w:tc>
        <w:tc>
          <w:tcPr>
            <w:tcW w:w="4006" w:type="dxa"/>
          </w:tcPr>
          <w:p w:rsidR="00720A90" w:rsidRDefault="00720A90" w:rsidP="00E378DD">
            <w:pPr>
              <w:pStyle w:val="libFootnote0"/>
              <w:rPr>
                <w:rtl/>
                <w:lang w:bidi="fa-IR"/>
              </w:rPr>
            </w:pPr>
            <w:r>
              <w:rPr>
                <w:rtl/>
                <w:lang w:bidi="fa-IR"/>
              </w:rPr>
              <w:t>(6). في « بخ ، بف » : « يؤخذ ».</w:t>
            </w:r>
          </w:p>
        </w:tc>
      </w:tr>
    </w:tbl>
    <w:p w:rsidR="00744A1C" w:rsidRDefault="00E378DD" w:rsidP="00E378DD">
      <w:pPr>
        <w:pStyle w:val="libFootnote0"/>
        <w:rPr>
          <w:lang w:bidi="fa-IR"/>
        </w:rPr>
      </w:pPr>
      <w:r>
        <w:rPr>
          <w:rtl/>
          <w:lang w:bidi="fa-IR"/>
        </w:rPr>
        <w:t>(7).</w:t>
      </w:r>
      <w:r w:rsidR="00744A1C">
        <w:rPr>
          <w:rtl/>
          <w:lang w:bidi="fa-IR"/>
        </w:rPr>
        <w:t xml:space="preserve"> في « بخ ، بف » : « يؤخذ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ظاهره كون الأخذ من منى بعد المشعر أفضل من سائر الحرم ، ويحتمل أن يكون تخصيص منى لقربها من الجمار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13 ، ص 1075 ، ح 13779 ؛ </w:t>
      </w:r>
      <w:r w:rsidR="00744A1C" w:rsidRPr="00C24F9C">
        <w:rPr>
          <w:rStyle w:val="libFootnoteBoldChar"/>
          <w:rtl/>
        </w:rPr>
        <w:t>الوسائل</w:t>
      </w:r>
      <w:r w:rsidR="00744A1C">
        <w:rPr>
          <w:rtl/>
          <w:lang w:bidi="fa-IR"/>
        </w:rPr>
        <w:t xml:space="preserve"> ، ج 14 ، ص 31 ، ح 18513.</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 « بن إبراهيم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التهذيب</w:t>
      </w:r>
      <w:r w:rsidR="00744A1C">
        <w:rPr>
          <w:rtl/>
          <w:lang w:bidi="fa-IR"/>
        </w:rPr>
        <w:t xml:space="preserve"> : « فإن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196 ، ح 651 ، معلّقاً عن الكليني </w:t>
      </w:r>
      <w:r w:rsidR="00D0183B">
        <w:rPr>
          <w:rFonts w:hint="cs"/>
          <w:rtl/>
          <w:lang w:bidi="fa-IR"/>
        </w:rPr>
        <w:t>.</w:t>
      </w:r>
      <w:r w:rsidR="00744A1C" w:rsidRPr="00C24F9C">
        <w:rPr>
          <w:rStyle w:val="libFootnoteBoldChar"/>
          <w:rtl/>
        </w:rPr>
        <w:t>الوافي</w:t>
      </w:r>
      <w:r w:rsidR="00744A1C">
        <w:rPr>
          <w:rtl/>
          <w:lang w:bidi="fa-IR"/>
        </w:rPr>
        <w:t xml:space="preserve"> ، ج 13 ، ص 1075 ، ح 13777 ؛ </w:t>
      </w:r>
      <w:r w:rsidR="00744A1C" w:rsidRPr="00C24F9C">
        <w:rPr>
          <w:rStyle w:val="libFootnoteBoldChar"/>
          <w:rtl/>
        </w:rPr>
        <w:t>الوسائل</w:t>
      </w:r>
      <w:r w:rsidR="00744A1C">
        <w:rPr>
          <w:rtl/>
          <w:lang w:bidi="fa-IR"/>
        </w:rPr>
        <w:t xml:space="preserve"> ، ج 14 ، ص 31 ، ذيل ح 18512.</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الْتَقِطِ الْحَصى ، وَلَاتَكْسِرَنَّ مِنْهُنَّ شَيْئاً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7796 / 5. عَلِيُّ بْنُ إِبْرَاهِيمَ ، عَنْ أَبِيهِ ، عَنِ ابْنِ أَبِي عُمَيْرٍ ، عَنْ جَمِيلٍ ، عَنْ زُرَارَةَ :</w:t>
      </w:r>
    </w:p>
    <w:p w:rsidR="00744A1C" w:rsidRDefault="00744A1C" w:rsidP="00744A1C">
      <w:pPr>
        <w:pStyle w:val="libNormal"/>
        <w:rPr>
          <w:lang w:bidi="fa-IR"/>
        </w:rPr>
      </w:pPr>
      <w:r>
        <w:rPr>
          <w:rtl/>
          <w:lang w:bidi="fa-IR"/>
        </w:rPr>
        <w:t xml:space="preserve">عَنْ أَبِي عَبْدِ اللهِ </w:t>
      </w:r>
      <w:r w:rsidRPr="00D10E3C">
        <w:rPr>
          <w:rStyle w:val="libFootnotenumChar"/>
          <w:rtl/>
        </w:rPr>
        <w:t>(3)</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قَالَ : « حَصَى الْجِمَارِ إِنْ أَخَذْتَهُ مِنَ الْحَرَمِ أَجْزَأَكَ ، وَإِنْ أَخَذْتَهُ مِنْ غَيْرِ الْحَرَمِ لَمْ يُجْزِئْكَ ».</w:t>
      </w:r>
    </w:p>
    <w:p w:rsidR="00144FA6" w:rsidRDefault="00744A1C" w:rsidP="00744A1C">
      <w:pPr>
        <w:pStyle w:val="libNormal"/>
        <w:rPr>
          <w:rtl/>
          <w:lang w:bidi="fa-IR"/>
        </w:rPr>
      </w:pPr>
      <w:r>
        <w:rPr>
          <w:rtl/>
          <w:lang w:bidi="fa-IR"/>
        </w:rPr>
        <w:t xml:space="preserve">قَالَ : وَقَالَ : « لَا تَرْمِي </w:t>
      </w:r>
      <w:r w:rsidRPr="00D10E3C">
        <w:rPr>
          <w:rStyle w:val="libFootnotenumChar"/>
          <w:rtl/>
        </w:rPr>
        <w:t>(4)</w:t>
      </w:r>
      <w:r w:rsidR="00EC381B">
        <w:rPr>
          <w:rtl/>
          <w:lang w:bidi="fa-IR"/>
        </w:rPr>
        <w:t xml:space="preserve"> الْجِمَارَ إِل</w:t>
      </w:r>
      <w:r w:rsidR="00EC381B">
        <w:rPr>
          <w:rFonts w:hint="cs"/>
          <w:rtl/>
          <w:lang w:bidi="fa-IR"/>
        </w:rPr>
        <w:t>َّ</w:t>
      </w:r>
      <w:r w:rsidR="00EC381B">
        <w:rPr>
          <w:rtl/>
          <w:lang w:bidi="fa-IR"/>
        </w:rPr>
        <w:t>ا</w:t>
      </w:r>
      <w:r>
        <w:rPr>
          <w:rtl/>
          <w:lang w:bidi="fa-IR"/>
        </w:rPr>
        <w:t xml:space="preserve"> بِالْحَصى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7797 / 6. ابْنُ أَبِي عُمَيْرٍ </w:t>
      </w:r>
      <w:r w:rsidRPr="00D10E3C">
        <w:rPr>
          <w:rStyle w:val="libFootnotenumChar"/>
          <w:rtl/>
        </w:rPr>
        <w:t>(7)</w:t>
      </w:r>
      <w:r>
        <w:rPr>
          <w:rtl/>
          <w:lang w:bidi="fa-IR"/>
        </w:rPr>
        <w:t xml:space="preserve"> ، عَنْ هِشَامِ بْنِ الْحَكَمِ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حَصَى الْجِمَارِ ، قَالَ : « كُرِهَ الصُّمُّ </w:t>
      </w:r>
      <w:r w:rsidRPr="00D10E3C">
        <w:rPr>
          <w:rStyle w:val="libFootnotenumChar"/>
          <w:rtl/>
        </w:rPr>
        <w:t>(8)</w:t>
      </w:r>
      <w:r>
        <w:rPr>
          <w:rtl/>
          <w:lang w:bidi="fa-IR"/>
        </w:rPr>
        <w:t xml:space="preserve"> مِنْهَا » وَقَالَ : « خُذِ الْبُرْشَ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يدلّ على كراهة الرمي بالمكسورة ، والمشهور استحباب عدم كونها مكسورة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197 ، ح 657 ، معلّقاً عن الكليني. </w:t>
      </w:r>
      <w:r w:rsidR="00744A1C" w:rsidRPr="00C24F9C">
        <w:rPr>
          <w:rStyle w:val="libFootnoteBoldChar"/>
          <w:rtl/>
        </w:rPr>
        <w:t>الفقيه</w:t>
      </w:r>
      <w:r w:rsidR="00744A1C">
        <w:rPr>
          <w:rtl/>
          <w:lang w:bidi="fa-IR"/>
        </w:rPr>
        <w:t xml:space="preserve"> ، ج 2 ، ص 545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فيه : « ولاتأخذ من حصى الجمار الذي قد رمي ، ولاتكسر الأحجار كما يفعل عوامّ الناس » </w:t>
      </w:r>
      <w:r w:rsidR="00EC381B">
        <w:rPr>
          <w:rFonts w:hint="cs"/>
          <w:rtl/>
          <w:lang w:bidi="fa-IR"/>
        </w:rPr>
        <w:t>.</w:t>
      </w:r>
      <w:r w:rsidR="00744A1C" w:rsidRPr="00C24F9C">
        <w:rPr>
          <w:rStyle w:val="libFootnoteBoldChar"/>
          <w:rtl/>
        </w:rPr>
        <w:t>الوافي</w:t>
      </w:r>
      <w:r w:rsidR="00744A1C">
        <w:rPr>
          <w:rtl/>
          <w:lang w:bidi="fa-IR"/>
        </w:rPr>
        <w:t xml:space="preserve"> ، ج 13 ، ص 1076 ، ح 13783 ؛ </w:t>
      </w:r>
      <w:r w:rsidR="00744A1C" w:rsidRPr="00C24F9C">
        <w:rPr>
          <w:rStyle w:val="libFootnoteBoldChar"/>
          <w:rtl/>
        </w:rPr>
        <w:t>الوسائل</w:t>
      </w:r>
      <w:r w:rsidR="00744A1C">
        <w:rPr>
          <w:rtl/>
          <w:lang w:bidi="fa-IR"/>
        </w:rPr>
        <w:t xml:space="preserve"> ، ج 14 ، ص 34 ، ح 18520.</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الوسائل</w:t>
      </w:r>
      <w:r w:rsidR="00744A1C">
        <w:rPr>
          <w:rtl/>
          <w:lang w:bidi="fa-IR"/>
        </w:rPr>
        <w:t xml:space="preserve"> ، ح 18580 : « أبي جعفر ».</w:t>
      </w:r>
    </w:p>
    <w:p w:rsidR="00744A1C" w:rsidRDefault="00E378DD" w:rsidP="00E378DD">
      <w:pPr>
        <w:pStyle w:val="libFootnote0"/>
        <w:rPr>
          <w:lang w:bidi="fa-IR"/>
        </w:rPr>
      </w:pPr>
      <w:r>
        <w:rPr>
          <w:rtl/>
          <w:lang w:bidi="fa-IR"/>
        </w:rPr>
        <w:t>(4).</w:t>
      </w:r>
      <w:r w:rsidR="00744A1C">
        <w:rPr>
          <w:rtl/>
          <w:lang w:bidi="fa-IR"/>
        </w:rPr>
        <w:t xml:space="preserve"> في « ى ، بح ، بخ ، بس ، بف » : « لا يرمى ». </w:t>
      </w:r>
      <w:r w:rsidR="00744A1C" w:rsidRPr="00EE5E45">
        <w:rPr>
          <w:rtl/>
        </w:rPr>
        <w:t>وفي الوافي والوسائل والتهذيب</w:t>
      </w:r>
      <w:r w:rsidR="00744A1C">
        <w:rPr>
          <w:rtl/>
          <w:lang w:bidi="fa-IR"/>
        </w:rPr>
        <w:t xml:space="preserve"> : « لا ترم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EC381B">
        <w:rPr>
          <w:rtl/>
          <w:lang w:bidi="fa-IR"/>
        </w:rPr>
        <w:t>: إل</w:t>
      </w:r>
      <w:r w:rsidR="00EC381B">
        <w:rPr>
          <w:rFonts w:hint="cs"/>
          <w:rtl/>
          <w:lang w:bidi="fa-IR"/>
        </w:rPr>
        <w:t>ّ</w:t>
      </w:r>
      <w:r w:rsidR="00EC381B">
        <w:rPr>
          <w:rtl/>
          <w:lang w:bidi="fa-IR"/>
        </w:rPr>
        <w:t>ا</w:t>
      </w:r>
      <w:r w:rsidR="00EC381B">
        <w:rPr>
          <w:rFonts w:hint="cs"/>
          <w:rtl/>
          <w:lang w:bidi="fa-IR"/>
        </w:rPr>
        <w:t xml:space="preserve"> </w:t>
      </w:r>
      <w:r w:rsidR="00744A1C">
        <w:rPr>
          <w:rtl/>
          <w:lang w:bidi="fa-IR"/>
        </w:rPr>
        <w:t>بالحصى ، يدلّ على تعيّن الرمي بما يسمّى حصاة ، كما هو المشهور فلا يجزئ الرمي بالحجر الكبير ولا الصغيرة جدّاً بحيث لا يقع عليها اسم الحصاة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196 ، ح 654 ، معلّقاً عن الكليني </w:t>
      </w:r>
      <w:r w:rsidR="00EC381B">
        <w:rPr>
          <w:rFonts w:hint="cs"/>
          <w:rtl/>
          <w:lang w:bidi="fa-IR"/>
        </w:rPr>
        <w:t>.</w:t>
      </w:r>
      <w:r w:rsidR="00744A1C" w:rsidRPr="00C24F9C">
        <w:rPr>
          <w:rStyle w:val="libFootnoteBoldChar"/>
          <w:rtl/>
        </w:rPr>
        <w:t>الوافي</w:t>
      </w:r>
      <w:r w:rsidR="00744A1C">
        <w:rPr>
          <w:rtl/>
          <w:lang w:bidi="fa-IR"/>
        </w:rPr>
        <w:t xml:space="preserve"> ، ج 13 ، ص 1075 ، ح 13780 ؛ </w:t>
      </w:r>
      <w:r w:rsidR="00744A1C" w:rsidRPr="00C24F9C">
        <w:rPr>
          <w:rStyle w:val="libFootnoteBoldChar"/>
          <w:rtl/>
        </w:rPr>
        <w:t>الوسائل</w:t>
      </w:r>
      <w:r w:rsidR="00744A1C">
        <w:rPr>
          <w:rtl/>
          <w:lang w:bidi="fa-IR"/>
        </w:rPr>
        <w:t xml:space="preserve"> ، ج 14 ، ص 32 ، ح 18514 ؛ وص 59 ، ح 18580.</w:t>
      </w:r>
    </w:p>
    <w:p w:rsidR="00744A1C" w:rsidRDefault="00E378DD" w:rsidP="00E378DD">
      <w:pPr>
        <w:pStyle w:val="libFootnote0"/>
        <w:rPr>
          <w:lang w:bidi="fa-IR"/>
        </w:rPr>
      </w:pPr>
      <w:r>
        <w:rPr>
          <w:rtl/>
          <w:lang w:bidi="fa-IR"/>
        </w:rPr>
        <w:t>(7).</w:t>
      </w:r>
      <w:r w:rsidR="00744A1C">
        <w:rPr>
          <w:rtl/>
          <w:lang w:bidi="fa-IR"/>
        </w:rPr>
        <w:t xml:space="preserve"> السند معلّق على سابقه. ويروي عن ابن أبي عمير ، عليّ بن إبراهيم عن أبيه.</w:t>
      </w:r>
    </w:p>
    <w:p w:rsidR="00744A1C" w:rsidRDefault="00E378DD" w:rsidP="00E378DD">
      <w:pPr>
        <w:pStyle w:val="libFootnote0"/>
        <w:rPr>
          <w:lang w:bidi="fa-IR"/>
        </w:rPr>
      </w:pPr>
      <w:r>
        <w:rPr>
          <w:rtl/>
          <w:lang w:bidi="fa-IR"/>
        </w:rPr>
        <w:t>(8).</w:t>
      </w:r>
      <w:r w:rsidR="00744A1C">
        <w:rPr>
          <w:rtl/>
          <w:lang w:bidi="fa-IR"/>
        </w:rPr>
        <w:t xml:space="preserve"> الصُمُّ : جمع الأصمّ ، وهو من الحجر : الصُلْبُ المُصْمَتُ ، أي الذي لا جوف له ؛ من الصَمَم في الحجر بمعنى‌الشدّة والصلابة. وكأنّ المستحبّ منها الرخو والمنقّطة ، كما ذكره الأصحاب. راجع : </w:t>
      </w:r>
      <w:r w:rsidR="00744A1C" w:rsidRPr="00E978C3">
        <w:rPr>
          <w:rStyle w:val="libFootnoteBoldChar"/>
          <w:rtl/>
        </w:rPr>
        <w:t>ترتيب كتاب العين</w:t>
      </w:r>
      <w:r w:rsidR="00744A1C">
        <w:rPr>
          <w:rtl/>
          <w:lang w:bidi="fa-IR"/>
        </w:rPr>
        <w:t xml:space="preserve"> ، ج 2 ، ص 1011 ؛ </w:t>
      </w:r>
      <w:r w:rsidR="00744A1C" w:rsidRPr="00E978C3">
        <w:rPr>
          <w:rStyle w:val="libFootnoteBoldChar"/>
          <w:rtl/>
        </w:rPr>
        <w:t>الصحاح</w:t>
      </w:r>
      <w:r w:rsidR="00744A1C">
        <w:rPr>
          <w:rtl/>
          <w:lang w:bidi="fa-IR"/>
        </w:rPr>
        <w:t xml:space="preserve"> ، ج 5 ، ص 1967 ؛ </w:t>
      </w:r>
      <w:r w:rsidR="00744A1C" w:rsidRPr="00877682">
        <w:rPr>
          <w:rStyle w:val="libFootnoteBoldChar"/>
          <w:rtl/>
        </w:rPr>
        <w:t>لسان العرب</w:t>
      </w:r>
      <w:r w:rsidR="00744A1C">
        <w:rPr>
          <w:rtl/>
          <w:lang w:bidi="fa-IR"/>
        </w:rPr>
        <w:t xml:space="preserve"> ، ج 12 ، ص 346 ( صلب ) ؛ </w:t>
      </w:r>
      <w:r w:rsidR="00744A1C" w:rsidRPr="00C24F9C">
        <w:rPr>
          <w:rStyle w:val="libFootnoteBoldChar"/>
          <w:rtl/>
        </w:rPr>
        <w:t>الوافي</w:t>
      </w:r>
      <w:r w:rsidR="00744A1C">
        <w:rPr>
          <w:rtl/>
          <w:lang w:bidi="fa-IR"/>
        </w:rPr>
        <w:t xml:space="preserve"> ، ج 13 ، ص 1077.</w:t>
      </w:r>
    </w:p>
    <w:p w:rsidR="00744A1C" w:rsidRDefault="00E378DD" w:rsidP="00E378DD">
      <w:pPr>
        <w:pStyle w:val="libFootnote0"/>
        <w:rPr>
          <w:lang w:bidi="fa-IR"/>
        </w:rPr>
      </w:pPr>
      <w:r>
        <w:rPr>
          <w:rtl/>
          <w:lang w:bidi="fa-IR"/>
        </w:rPr>
        <w:t>(9).</w:t>
      </w:r>
      <w:r w:rsidR="00744A1C">
        <w:rPr>
          <w:rtl/>
          <w:lang w:bidi="fa-IR"/>
        </w:rPr>
        <w:t xml:space="preserve"> « البُرْش » : جمع الأبرش ، وهو من الحجر ما فيه نكت صغار تخالف سائر لونه ؛ من البَرَش في شعر الفرس ، وهي نكت صغار تخالف سائر لونه. والبُرْشة ، وهو لون مختلط حمرة وبياضاً ، أو غيرهما من الألوان. راجع : </w:t>
      </w:r>
      <w:r w:rsidR="00744A1C" w:rsidRPr="00E978C3">
        <w:rPr>
          <w:rStyle w:val="libFootnoteBoldChar"/>
          <w:rtl/>
        </w:rPr>
        <w:t>الصحاح</w:t>
      </w:r>
      <w:r w:rsidR="00744A1C">
        <w:rPr>
          <w:rtl/>
          <w:lang w:bidi="fa-IR"/>
        </w:rPr>
        <w:t xml:space="preserve"> ، ج 3 ، ص 995 ؛ </w:t>
      </w:r>
      <w:r w:rsidR="00744A1C" w:rsidRPr="00877682">
        <w:rPr>
          <w:rStyle w:val="libFootnoteBoldChar"/>
          <w:rtl/>
        </w:rPr>
        <w:t>النهاية</w:t>
      </w:r>
      <w:r w:rsidR="00744A1C">
        <w:rPr>
          <w:rtl/>
          <w:lang w:bidi="fa-IR"/>
        </w:rPr>
        <w:t xml:space="preserve"> ، ج 1 ، ص 118 ( برش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 « وجنوده ». </w:t>
      </w: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5 ، ص 197 ، ح 655 ، معلّقاً عن الكليني </w:t>
      </w:r>
      <w:r w:rsidR="00EC381B">
        <w:rPr>
          <w:rFonts w:hint="cs"/>
          <w:rtl/>
          <w:lang w:bidi="fa-IR"/>
        </w:rPr>
        <w:t>.</w:t>
      </w:r>
      <w:r w:rsidR="00744A1C" w:rsidRPr="00C24F9C">
        <w:rPr>
          <w:rStyle w:val="libFootnoteBoldChar"/>
          <w:rtl/>
        </w:rPr>
        <w:t>الوافي</w:t>
      </w:r>
      <w:r w:rsidR="00744A1C">
        <w:rPr>
          <w:rtl/>
          <w:lang w:bidi="fa-IR"/>
        </w:rPr>
        <w:t xml:space="preserve"> ، ج 13 ، ص 1077 ، ح 13784 ؛ </w:t>
      </w:r>
      <w:r w:rsidR="00744A1C" w:rsidRPr="00C24F9C">
        <w:rPr>
          <w:rStyle w:val="libFootnoteBoldChar"/>
          <w:rtl/>
        </w:rPr>
        <w:t>الوسائل</w:t>
      </w:r>
      <w:r w:rsidR="00744A1C">
        <w:rPr>
          <w:rtl/>
          <w:lang w:bidi="fa-IR"/>
        </w:rPr>
        <w:t xml:space="preserve"> ، </w:t>
      </w:r>
      <w:r w:rsidR="00EC381B">
        <w:rPr>
          <w:rFonts w:hint="cs"/>
          <w:rtl/>
          <w:lang w:bidi="fa-IR"/>
        </w:rPr>
        <w:t>=</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7798 / 7. عِدَّةٌ مِنْ أَصْحَابِنَا ، عَنْ سَهْلِ بْنِ زِيَادٍ ، عَنْ أَحْمَدَ بْنِ مُحَمَّدِ بْنِ أَبِي نَصْرٍ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 حَصَى الْجِمَارِ تَكُونُ </w:t>
      </w:r>
      <w:r w:rsidRPr="00D10E3C">
        <w:rPr>
          <w:rStyle w:val="libFootnotenumChar"/>
          <w:rtl/>
        </w:rPr>
        <w:t>(1)</w:t>
      </w:r>
      <w:r>
        <w:rPr>
          <w:rtl/>
          <w:lang w:bidi="fa-IR"/>
        </w:rPr>
        <w:t xml:space="preserve"> مِثْلَ الْأَنْمُلَةِ </w:t>
      </w:r>
      <w:r w:rsidRPr="00D10E3C">
        <w:rPr>
          <w:rStyle w:val="libFootnotenumChar"/>
          <w:rtl/>
        </w:rPr>
        <w:t>(2)</w:t>
      </w:r>
      <w:r>
        <w:rPr>
          <w:rtl/>
          <w:lang w:bidi="fa-IR"/>
        </w:rPr>
        <w:t xml:space="preserve"> ، وَلَا تَأْخُذْهَا سَوْدَاءَ ، وَلَابَيْضَاءَ ، وَلَاحَمْرَاءَ ، خُذْهَا كُحْلِيَّةً مُنَقَّطَةً تَخْذِفُهُنَّ </w:t>
      </w:r>
      <w:r w:rsidRPr="00D10E3C">
        <w:rPr>
          <w:rStyle w:val="libFootnotenumChar"/>
          <w:rtl/>
        </w:rPr>
        <w:t>(3)</w:t>
      </w:r>
      <w:r>
        <w:rPr>
          <w:rtl/>
          <w:lang w:bidi="fa-IR"/>
        </w:rPr>
        <w:t xml:space="preserve"> خَذْفاً ، وَتَضَعُهَا عَلَى الْإِبْهَامِ ، وَتَدْفَعُهَا بِظُفُرِ السَّبَّابَةِ </w:t>
      </w:r>
      <w:r w:rsidRPr="00D10E3C">
        <w:rPr>
          <w:rStyle w:val="libFootnotenumChar"/>
          <w:rtl/>
        </w:rPr>
        <w:t>(4)</w:t>
      </w:r>
      <w:r>
        <w:rPr>
          <w:rtl/>
          <w:lang w:bidi="fa-IR"/>
        </w:rPr>
        <w:t xml:space="preserve"> ، وَارْمِهَا مِنْ </w:t>
      </w:r>
      <w:r w:rsidRPr="00D10E3C">
        <w:rPr>
          <w:rStyle w:val="libFootnotenumChar"/>
          <w:rtl/>
        </w:rPr>
        <w:t>(5)</w:t>
      </w:r>
      <w:r>
        <w:rPr>
          <w:rtl/>
          <w:lang w:bidi="fa-IR"/>
        </w:rPr>
        <w:t xml:space="preserve"> بَطْنِ الْوَادِي ، وَاجْعَلْهُنَّ عَنْ </w:t>
      </w:r>
      <w:r w:rsidRPr="00D10E3C">
        <w:rPr>
          <w:rStyle w:val="libFootnotenumChar"/>
          <w:rtl/>
        </w:rPr>
        <w:t>(6)</w:t>
      </w:r>
      <w:r>
        <w:rPr>
          <w:rtl/>
          <w:lang w:bidi="fa-IR"/>
        </w:rPr>
        <w:t xml:space="preserve"> يَمِينِكَ كُلَّهُنَّ </w:t>
      </w:r>
      <w:r w:rsidRPr="00D10E3C">
        <w:rPr>
          <w:rStyle w:val="libFootnotenumChar"/>
          <w:rtl/>
        </w:rPr>
        <w:t>(7)</w:t>
      </w:r>
      <w:r>
        <w:rPr>
          <w:rtl/>
          <w:lang w:bidi="fa-IR"/>
        </w:rPr>
        <w:t xml:space="preserve"> ، وَلَاتَرْمِ عَلَى الْجَمْرَةِ </w:t>
      </w:r>
      <w:r w:rsidRPr="00D10E3C">
        <w:rPr>
          <w:rStyle w:val="libFootnotenumChar"/>
          <w:rtl/>
        </w:rPr>
        <w:t>(8)</w:t>
      </w:r>
      <w:r>
        <w:rPr>
          <w:rtl/>
          <w:lang w:bidi="fa-IR"/>
        </w:rPr>
        <w:t xml:space="preserve"> ، وَتَقِفُ‌</w:t>
      </w:r>
    </w:p>
    <w:p w:rsidR="00744A1C" w:rsidRDefault="00744A1C" w:rsidP="00D10E3C">
      <w:pPr>
        <w:pStyle w:val="libLine"/>
        <w:rPr>
          <w:lang w:bidi="fa-IR"/>
        </w:rPr>
      </w:pPr>
      <w:r>
        <w:rPr>
          <w:rtl/>
          <w:lang w:bidi="fa-IR"/>
        </w:rPr>
        <w:t>____________________</w:t>
      </w:r>
    </w:p>
    <w:p w:rsidR="00744A1C" w:rsidRDefault="00F832ED" w:rsidP="00D10E3C">
      <w:pPr>
        <w:pStyle w:val="libFootnote0"/>
        <w:rPr>
          <w:lang w:bidi="fa-IR"/>
        </w:rPr>
      </w:pPr>
      <w:r>
        <w:rPr>
          <w:rFonts w:hint="cs"/>
          <w:rtl/>
          <w:lang w:bidi="fa-IR"/>
        </w:rPr>
        <w:t xml:space="preserve">= </w:t>
      </w:r>
      <w:r w:rsidR="00744A1C">
        <w:rPr>
          <w:rtl/>
          <w:lang w:bidi="fa-IR"/>
        </w:rPr>
        <w:t>ج 14 ، ص 33 ، ذيل ح 18518.</w:t>
      </w:r>
    </w:p>
    <w:p w:rsidR="00744A1C" w:rsidRDefault="00D10E3C" w:rsidP="00D10E3C">
      <w:pPr>
        <w:pStyle w:val="libFootnote0"/>
        <w:rPr>
          <w:lang w:bidi="fa-IR"/>
        </w:rPr>
      </w:pPr>
      <w:r>
        <w:rPr>
          <w:rtl/>
          <w:lang w:bidi="fa-IR"/>
        </w:rPr>
        <w:t>(1).</w:t>
      </w:r>
      <w:r w:rsidR="00744A1C">
        <w:rPr>
          <w:rtl/>
          <w:lang w:bidi="fa-IR"/>
        </w:rPr>
        <w:t xml:space="preserve"> في « بث ، بخ ، بف ، جد ، جن » : « يكون ».</w:t>
      </w:r>
    </w:p>
    <w:p w:rsidR="00744A1C" w:rsidRDefault="00E378DD" w:rsidP="00E378DD">
      <w:pPr>
        <w:pStyle w:val="libFootnote0"/>
        <w:rPr>
          <w:lang w:bidi="fa-IR"/>
        </w:rPr>
      </w:pPr>
      <w:r>
        <w:rPr>
          <w:rtl/>
          <w:lang w:bidi="fa-IR"/>
        </w:rPr>
        <w:t>(2).</w:t>
      </w:r>
      <w:r w:rsidR="00744A1C">
        <w:rPr>
          <w:rtl/>
          <w:lang w:bidi="fa-IR"/>
        </w:rPr>
        <w:t xml:space="preserve"> قال الخليل : « الأنملة : المفصل الأعلى الذي فيه الظُفْر من الإصبع ». وقال الجوهري : « الأنملة بالفتح : واحدة الأنامل ، وهي رؤوس الأصابع ». وقال الفيّومي : « الأنملة : من الأصابع العُقْدَةُ » ، ثمّ نقل فيه تسع لغات : تثليث الميم والهمزة. راجع : </w:t>
      </w:r>
      <w:r w:rsidR="00744A1C" w:rsidRPr="00E978C3">
        <w:rPr>
          <w:rStyle w:val="libFootnoteBoldChar"/>
          <w:rtl/>
        </w:rPr>
        <w:t>ترتيب كتاب العين</w:t>
      </w:r>
      <w:r w:rsidR="00744A1C">
        <w:rPr>
          <w:rtl/>
          <w:lang w:bidi="fa-IR"/>
        </w:rPr>
        <w:t xml:space="preserve"> ، ج 3 ، ص 1844 ؛ </w:t>
      </w:r>
      <w:r w:rsidR="00744A1C" w:rsidRPr="00E978C3">
        <w:rPr>
          <w:rStyle w:val="libFootnoteBoldChar"/>
          <w:rtl/>
        </w:rPr>
        <w:t>الصحاح</w:t>
      </w:r>
      <w:r w:rsidR="00744A1C">
        <w:rPr>
          <w:rtl/>
          <w:lang w:bidi="fa-IR"/>
        </w:rPr>
        <w:t xml:space="preserve"> ، ج 5 ، ص 1836 ؛ </w:t>
      </w:r>
      <w:r w:rsidR="00744A1C" w:rsidRPr="00E978C3">
        <w:rPr>
          <w:rStyle w:val="libFootnoteBoldChar"/>
          <w:rtl/>
        </w:rPr>
        <w:t>المصباح المنير</w:t>
      </w:r>
      <w:r w:rsidR="00744A1C">
        <w:rPr>
          <w:rtl/>
          <w:lang w:bidi="fa-IR"/>
        </w:rPr>
        <w:t xml:space="preserve"> ، ص 626 ( نمل ).</w:t>
      </w:r>
    </w:p>
    <w:p w:rsidR="00744A1C" w:rsidRDefault="00E378DD" w:rsidP="00382DD5">
      <w:pPr>
        <w:pStyle w:val="libFootnote0"/>
        <w:rPr>
          <w:lang w:bidi="fa-IR"/>
        </w:rPr>
      </w:pPr>
      <w:r>
        <w:rPr>
          <w:rtl/>
          <w:lang w:bidi="fa-IR"/>
        </w:rPr>
        <w:t>(3).</w:t>
      </w:r>
      <w:r w:rsidR="00744A1C">
        <w:rPr>
          <w:rtl/>
          <w:lang w:bidi="fa-IR"/>
        </w:rPr>
        <w:t xml:space="preserve"> قال الجوهري : « الخذف بالحصى : الرمي به بالأصابع ». وقال ابن الأثير : « هو رميك حصاة أو نواة تأخذهابين سبّابتيك وترمي بها ، أو تتّخذ مِخْذَفَة من خشب ، ثمّ ترمي بها الحصاة بين إبهامك والسبّابة ». وقال الفيّومي : « خذفت الحصاة ونحوها خذفاً من باب ضرب : رميتها بطرفي الإبهام والسبّابة ». هذا في اللغة</w:t>
      </w:r>
      <w:r w:rsidR="00F832ED">
        <w:rPr>
          <w:rtl/>
          <w:lang w:bidi="fa-IR"/>
        </w:rPr>
        <w:t xml:space="preserve"> ، وأمّا عند العلماء فقال العل</w:t>
      </w:r>
      <w:r w:rsidR="00F832ED">
        <w:rPr>
          <w:rFonts w:hint="cs"/>
          <w:rtl/>
          <w:lang w:bidi="fa-IR"/>
        </w:rPr>
        <w:t>ّ</w:t>
      </w:r>
      <w:r w:rsidR="00F832ED">
        <w:rPr>
          <w:rtl/>
          <w:lang w:bidi="fa-IR"/>
        </w:rPr>
        <w:t>ا</w:t>
      </w:r>
      <w:r w:rsidR="00744A1C">
        <w:rPr>
          <w:rtl/>
          <w:lang w:bidi="fa-IR"/>
        </w:rPr>
        <w:t xml:space="preserve">مة المجلسي : « اختلفوا في كيفيّته ، فقال الشيخان وأبو الصلاح : إنّه وضع الحصاة على ظهر إبهام اليمنى ودفعها بظفر السبّابة ، وابن البرّاج يضعها على باطن إبهامه ويدفعها بالمسبّحة ، والمرتضى يضعها على إبهام يده اليمنى ويدفعها بظفر الوسطى ، وهذه الرواية محتملة لما ذكره الشيخان وابن البرّاج ، ومقتضى اللغة الرمي بالأصابع ». راجع : </w:t>
      </w:r>
      <w:r w:rsidR="00744A1C" w:rsidRPr="00E978C3">
        <w:rPr>
          <w:rStyle w:val="libFootnoteBoldChar"/>
          <w:rtl/>
        </w:rPr>
        <w:t>الصحاح</w:t>
      </w:r>
      <w:r w:rsidR="00744A1C">
        <w:rPr>
          <w:rtl/>
          <w:lang w:bidi="fa-IR"/>
        </w:rPr>
        <w:t xml:space="preserve"> ، ج 4 ، ص 1347 ؛ </w:t>
      </w:r>
      <w:r w:rsidR="00744A1C" w:rsidRPr="00877682">
        <w:rPr>
          <w:rStyle w:val="libFootnoteBoldChar"/>
          <w:rtl/>
        </w:rPr>
        <w:t>النهاية</w:t>
      </w:r>
      <w:r w:rsidR="00744A1C">
        <w:rPr>
          <w:rtl/>
          <w:lang w:bidi="fa-IR"/>
        </w:rPr>
        <w:t xml:space="preserve"> ، ج 2 ، ص 16 ؛ </w:t>
      </w:r>
      <w:r w:rsidR="00744A1C" w:rsidRPr="00E978C3">
        <w:rPr>
          <w:rStyle w:val="libFootnoteBoldChar"/>
          <w:rtl/>
        </w:rPr>
        <w:t>المصباح المنير</w:t>
      </w:r>
      <w:r w:rsidR="00744A1C">
        <w:rPr>
          <w:rtl/>
          <w:lang w:bidi="fa-IR"/>
        </w:rPr>
        <w:t xml:space="preserve"> ، ص 165 ( خذف ) ؛ </w:t>
      </w:r>
      <w:r w:rsidR="00744A1C" w:rsidRPr="00877682">
        <w:rPr>
          <w:rStyle w:val="libFootnoteBoldChar"/>
          <w:rtl/>
        </w:rPr>
        <w:t>مرآة العقول</w:t>
      </w:r>
      <w:r w:rsidR="00744A1C">
        <w:rPr>
          <w:rtl/>
          <w:lang w:bidi="fa-IR"/>
        </w:rPr>
        <w:t xml:space="preserve"> ، ج 18 ، ص 142.</w:t>
      </w:r>
      <w:r w:rsidR="00744A1C">
        <w:rPr>
          <w:lang w:bidi="fa-IR"/>
        </w:rPr>
        <w:cr/>
      </w:r>
      <w:r>
        <w:rPr>
          <w:rtl/>
          <w:lang w:bidi="fa-IR"/>
        </w:rPr>
        <w:t>(4).</w:t>
      </w:r>
      <w:r w:rsidR="00744A1C">
        <w:rPr>
          <w:rtl/>
          <w:lang w:bidi="fa-IR"/>
        </w:rPr>
        <w:t xml:space="preserve"> في « بخ ، بف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18586 </w:t>
      </w:r>
      <w:r w:rsidR="00744A1C" w:rsidRPr="0061079A">
        <w:rPr>
          <w:rStyle w:val="libFootnoteBoldChar"/>
          <w:rtl/>
        </w:rPr>
        <w:t>والتهذيب</w:t>
      </w:r>
      <w:r w:rsidR="00744A1C">
        <w:rPr>
          <w:rtl/>
          <w:lang w:bidi="fa-IR"/>
        </w:rPr>
        <w:t xml:space="preserve"> : + « قال ».</w:t>
      </w:r>
    </w:p>
    <w:p w:rsidR="00744A1C" w:rsidRDefault="00E378DD" w:rsidP="00E378DD">
      <w:pPr>
        <w:pStyle w:val="libFootnote0"/>
        <w:rPr>
          <w:lang w:bidi="fa-IR"/>
        </w:rPr>
      </w:pPr>
      <w:r>
        <w:rPr>
          <w:rtl/>
          <w:lang w:bidi="fa-IR"/>
        </w:rPr>
        <w:t>(5).</w:t>
      </w:r>
      <w:r w:rsidR="00744A1C">
        <w:rPr>
          <w:rtl/>
          <w:lang w:bidi="fa-IR"/>
        </w:rPr>
        <w:t xml:space="preserve"> في « بح » : « في ».</w:t>
      </w:r>
    </w:p>
    <w:p w:rsidR="00744A1C" w:rsidRDefault="00E378DD" w:rsidP="00E378DD">
      <w:pPr>
        <w:pStyle w:val="libFootnote0"/>
        <w:rPr>
          <w:lang w:bidi="fa-IR"/>
        </w:rPr>
      </w:pPr>
      <w:r>
        <w:rPr>
          <w:rtl/>
          <w:lang w:bidi="fa-IR"/>
        </w:rPr>
        <w:t>(6).</w:t>
      </w:r>
      <w:r w:rsidR="00744A1C">
        <w:rPr>
          <w:rtl/>
          <w:lang w:bidi="fa-IR"/>
        </w:rPr>
        <w:t xml:space="preserve"> في « بث ، بح ، بس ، جد » و</w:t>
      </w:r>
      <w:r w:rsidR="00744A1C" w:rsidRPr="00C24F9C">
        <w:rPr>
          <w:rStyle w:val="libFootnoteBoldChar"/>
          <w:rtl/>
        </w:rPr>
        <w:t>الوسائل</w:t>
      </w:r>
      <w:r w:rsidR="00744A1C">
        <w:rPr>
          <w:rtl/>
          <w:lang w:bidi="fa-IR"/>
        </w:rPr>
        <w:t xml:space="preserve"> ، ح 18586 </w:t>
      </w:r>
      <w:r w:rsidR="00744A1C" w:rsidRPr="0061079A">
        <w:rPr>
          <w:rStyle w:val="libFootnoteBoldChar"/>
          <w:rtl/>
        </w:rPr>
        <w:t>والتهذيب</w:t>
      </w:r>
      <w:r w:rsidR="00744A1C">
        <w:rPr>
          <w:rtl/>
          <w:lang w:bidi="fa-IR"/>
        </w:rPr>
        <w:t xml:space="preserve"> : « على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واجعلهنّ عن يمينك ، يعني الجمار ، وفي بعض النسخ : على يمينك. كلّهنّ ، يعني الثلاث جميعاً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واجعلهنّ ، أي لا يقف مقابل الجمرة ، بل ينحدر إلى بطن الوادي ويجعلها عن يمينه ، فيرميها عن يمينها ».</w:t>
      </w:r>
    </w:p>
    <w:p w:rsidR="00744A1C" w:rsidRDefault="00E378DD" w:rsidP="00E378DD">
      <w:pPr>
        <w:pStyle w:val="libFootnote0"/>
        <w:rPr>
          <w:lang w:bidi="fa-IR"/>
        </w:rPr>
      </w:pPr>
      <w:r>
        <w:rPr>
          <w:rtl/>
          <w:lang w:bidi="fa-IR"/>
        </w:rPr>
        <w:t>(8).</w:t>
      </w:r>
      <w:r w:rsidR="00744A1C">
        <w:rPr>
          <w:rtl/>
          <w:lang w:bidi="fa-IR"/>
        </w:rPr>
        <w:t xml:space="preserve"> في « بخ ، بس ، بف » و</w:t>
      </w:r>
      <w:r w:rsidR="00744A1C" w:rsidRPr="00C24F9C">
        <w:rPr>
          <w:rStyle w:val="libFootnoteBoldChar"/>
          <w:rtl/>
        </w:rPr>
        <w:t>الوافي</w:t>
      </w:r>
      <w:r w:rsidR="00744A1C">
        <w:rPr>
          <w:rtl/>
          <w:lang w:bidi="fa-IR"/>
        </w:rPr>
        <w:t xml:space="preserve"> : + « قال ». وفي </w:t>
      </w:r>
      <w:r w:rsidR="00744A1C" w:rsidRPr="00C24F9C">
        <w:rPr>
          <w:rStyle w:val="libFootnoteBoldChar"/>
          <w:rtl/>
        </w:rPr>
        <w:t>الوافي</w:t>
      </w:r>
      <w:r w:rsidR="00744A1C">
        <w:rPr>
          <w:rtl/>
          <w:lang w:bidi="fa-IR"/>
        </w:rPr>
        <w:t xml:space="preserve"> : « ولا ترم على الجمرة ؛ يعني لا تلق عليه ، بل إليه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744A1C">
        <w:rPr>
          <w:rtl/>
          <w:lang w:bidi="fa-IR"/>
        </w:rPr>
        <w:t>: ولا ترم على الجمرة ، أي لا تصعد</w:t>
      </w:r>
      <w:r w:rsidR="007A2501">
        <w:rPr>
          <w:rtl/>
          <w:lang w:bidi="fa-IR"/>
        </w:rPr>
        <w:t xml:space="preserve"> فوق الجبل فترمي الحصاة عليها،</w:t>
      </w:r>
      <w:r w:rsidR="00744A1C">
        <w:rPr>
          <w:rtl/>
          <w:lang w:bidi="fa-IR"/>
        </w:rPr>
        <w:t xml:space="preserve">بل قف على الأرض </w:t>
      </w:r>
      <w:r w:rsidR="00F17A1B">
        <w:rPr>
          <w:rFonts w:hint="cs"/>
          <w:rtl/>
          <w:lang w:bidi="fa-IR"/>
        </w:rPr>
        <w:t>=</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عِنْدَ </w:t>
      </w:r>
      <w:r w:rsidRPr="00D10E3C">
        <w:rPr>
          <w:rStyle w:val="libFootnotenumChar"/>
          <w:rtl/>
        </w:rPr>
        <w:t>(1)</w:t>
      </w:r>
      <w:r>
        <w:rPr>
          <w:rtl/>
          <w:lang w:bidi="fa-IR"/>
        </w:rPr>
        <w:t xml:space="preserve"> الْجَمْرَتَيْنِ الْأُولَيَيْنِ </w:t>
      </w:r>
      <w:r w:rsidRPr="00D10E3C">
        <w:rPr>
          <w:rStyle w:val="libFootnotenumChar"/>
          <w:rtl/>
        </w:rPr>
        <w:t>(2)</w:t>
      </w:r>
      <w:r>
        <w:rPr>
          <w:rtl/>
          <w:lang w:bidi="fa-IR"/>
        </w:rPr>
        <w:t xml:space="preserve"> ، وَلَاتَقِفْ عِنْدَ جَمْرَةِ الْعَقَبَةِ ». </w:t>
      </w:r>
      <w:r w:rsidRPr="00D10E3C">
        <w:rPr>
          <w:rStyle w:val="libFootnotenumChar"/>
          <w:rtl/>
        </w:rPr>
        <w:t>(3)</w:t>
      </w:r>
    </w:p>
    <w:p w:rsidR="00144FA6" w:rsidRDefault="00744A1C" w:rsidP="00744A1C">
      <w:pPr>
        <w:pStyle w:val="libNormal"/>
        <w:rPr>
          <w:rtl/>
          <w:lang w:bidi="fa-IR"/>
        </w:rPr>
      </w:pPr>
      <w:r>
        <w:rPr>
          <w:rtl/>
          <w:lang w:bidi="fa-IR"/>
        </w:rPr>
        <w:t>7799 / 8. مُحَمَّدُ بْنُ يَحْيى ، عَنْ أَحْمَدَ بْنِ مُحَمَّدٍ ، عَنْ مُحَمَّدِ بْنِ إِسْمَاعِيلَ ، عَنْ حَنَانٍ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يَجُوزُ أَخْذُ حَصَى الْجِمَارِ مِنْ جَمِي</w:t>
      </w:r>
      <w:r w:rsidR="007A2501">
        <w:rPr>
          <w:rtl/>
          <w:lang w:bidi="fa-IR"/>
        </w:rPr>
        <w:t>عِ الْحَرَمِ إِل</w:t>
      </w:r>
      <w:r w:rsidR="007A2501">
        <w:rPr>
          <w:rFonts w:hint="cs"/>
          <w:rtl/>
          <w:lang w:bidi="fa-IR"/>
        </w:rPr>
        <w:t>َّ</w:t>
      </w:r>
      <w:r w:rsidR="007A2501">
        <w:rPr>
          <w:rtl/>
          <w:lang w:bidi="fa-IR"/>
        </w:rPr>
        <w:t>ا</w:t>
      </w:r>
      <w:r>
        <w:rPr>
          <w:rtl/>
          <w:lang w:bidi="fa-IR"/>
        </w:rPr>
        <w:t xml:space="preserve"> مِنَ الْمَسْجِدِ الْحَرَامِ وَمَسْجِدِ الْخَيْفِ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7800 / 9. مُحَمَّدُ بْنُ يَحْيى ، عَنْ مُحَمَّدِ بْنِ أَحْمَدَ ، عَنْ مُحَمَّدِ بْنِ عِيسى ، عَنْ يَاسِينَ الضَّرِيرِ ، عَنْ حَرِيزٍ ، عَمَّنْ أَخْبَرَهُ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 مِنْ أَيْنَ يَنْبَغِي </w:t>
      </w:r>
      <w:r w:rsidRPr="00D10E3C">
        <w:rPr>
          <w:rStyle w:val="libFootnotenumChar"/>
          <w:rtl/>
        </w:rPr>
        <w:t>(6)</w:t>
      </w:r>
      <w:r>
        <w:rPr>
          <w:rtl/>
          <w:lang w:bidi="fa-IR"/>
        </w:rPr>
        <w:t xml:space="preserve"> أَخْذُ حَصَى الْجِمَارِ </w:t>
      </w:r>
      <w:r w:rsidRPr="00D10E3C">
        <w:rPr>
          <w:rStyle w:val="libFootnotenumChar"/>
          <w:rtl/>
        </w:rPr>
        <w:t>(7)</w:t>
      </w:r>
      <w:r>
        <w:rPr>
          <w:rtl/>
          <w:lang w:bidi="fa-IR"/>
        </w:rPr>
        <w:t>؟</w:t>
      </w:r>
    </w:p>
    <w:p w:rsidR="00744A1C" w:rsidRDefault="00744A1C" w:rsidP="00D10E3C">
      <w:pPr>
        <w:pStyle w:val="libLine"/>
        <w:rPr>
          <w:lang w:bidi="fa-IR"/>
        </w:rPr>
      </w:pPr>
      <w:r>
        <w:rPr>
          <w:rtl/>
          <w:lang w:bidi="fa-IR"/>
        </w:rPr>
        <w:t>____________________</w:t>
      </w:r>
    </w:p>
    <w:p w:rsidR="00744A1C" w:rsidRDefault="00780021" w:rsidP="00D10E3C">
      <w:pPr>
        <w:pStyle w:val="libFootnote0"/>
        <w:rPr>
          <w:lang w:bidi="fa-IR"/>
        </w:rPr>
      </w:pPr>
      <w:r>
        <w:rPr>
          <w:rFonts w:hint="cs"/>
          <w:rtl/>
          <w:lang w:bidi="fa-IR"/>
        </w:rPr>
        <w:t xml:space="preserve">= </w:t>
      </w:r>
      <w:r w:rsidR="00744A1C">
        <w:rPr>
          <w:rtl/>
          <w:lang w:bidi="fa-IR"/>
        </w:rPr>
        <w:t xml:space="preserve">وارم إليها ، وأمّا استحباب الوقوف عند الجمرتين وتركه عند العقبة فمقطوع به في كلام الأصحاب » ، وهو عين ما قاله صاحب المدارك. راجع : </w:t>
      </w:r>
      <w:r w:rsidR="00744A1C" w:rsidRPr="00E978C3">
        <w:rPr>
          <w:rStyle w:val="libFootnoteBoldChar"/>
          <w:rtl/>
        </w:rPr>
        <w:t>الصحاح</w:t>
      </w:r>
      <w:r w:rsidR="00744A1C">
        <w:rPr>
          <w:rtl/>
          <w:lang w:bidi="fa-IR"/>
        </w:rPr>
        <w:t xml:space="preserve"> ، ج 4 ، ص 1347 ؛ </w:t>
      </w:r>
      <w:r w:rsidR="00744A1C" w:rsidRPr="00877682">
        <w:rPr>
          <w:rStyle w:val="libFootnoteBoldChar"/>
          <w:rtl/>
        </w:rPr>
        <w:t>النهاية</w:t>
      </w:r>
      <w:r w:rsidR="00744A1C">
        <w:rPr>
          <w:rtl/>
          <w:lang w:bidi="fa-IR"/>
        </w:rPr>
        <w:t xml:space="preserve"> ، ج 2 ، ص 16 ؛ </w:t>
      </w:r>
      <w:r w:rsidR="00744A1C" w:rsidRPr="00E978C3">
        <w:rPr>
          <w:rStyle w:val="libFootnoteBoldChar"/>
          <w:rtl/>
        </w:rPr>
        <w:t>المصباح المنير</w:t>
      </w:r>
      <w:r w:rsidR="00744A1C">
        <w:rPr>
          <w:rtl/>
          <w:lang w:bidi="fa-IR"/>
        </w:rPr>
        <w:t xml:space="preserve"> ، ص 165 ( خذف ) ؛ </w:t>
      </w:r>
      <w:r w:rsidR="00744A1C" w:rsidRPr="00C24F9C">
        <w:rPr>
          <w:rStyle w:val="libFootnoteBoldChar"/>
          <w:rtl/>
        </w:rPr>
        <w:t>مدارك الأحكام</w:t>
      </w:r>
      <w:r w:rsidR="00744A1C">
        <w:rPr>
          <w:rtl/>
          <w:lang w:bidi="fa-IR"/>
        </w:rPr>
        <w:t xml:space="preserve"> ، ج 8 ، ص 12.</w:t>
      </w:r>
    </w:p>
    <w:p w:rsidR="00744A1C" w:rsidRDefault="00D10E3C" w:rsidP="00D10E3C">
      <w:pPr>
        <w:pStyle w:val="libFootnote0"/>
        <w:rPr>
          <w:lang w:bidi="fa-IR"/>
        </w:rPr>
      </w:pPr>
      <w:r>
        <w:rPr>
          <w:rtl/>
          <w:lang w:bidi="fa-IR"/>
        </w:rPr>
        <w:t>(1).</w:t>
      </w:r>
      <w:r w:rsidR="00744A1C">
        <w:rPr>
          <w:rtl/>
          <w:lang w:bidi="fa-IR"/>
        </w:rPr>
        <w:t xml:space="preserve"> في « جن » : « على ».</w:t>
      </w:r>
    </w:p>
    <w:p w:rsidR="00744A1C" w:rsidRDefault="00E378DD" w:rsidP="00E378DD">
      <w:pPr>
        <w:pStyle w:val="libFootnote0"/>
        <w:rPr>
          <w:lang w:bidi="fa-IR"/>
        </w:rPr>
      </w:pPr>
      <w:r>
        <w:rPr>
          <w:rtl/>
          <w:lang w:bidi="fa-IR"/>
        </w:rPr>
        <w:t>(2).</w:t>
      </w:r>
      <w:r w:rsidR="00744A1C">
        <w:rPr>
          <w:rtl/>
          <w:lang w:bidi="fa-IR"/>
        </w:rPr>
        <w:t xml:space="preserve"> في « ى ، بث ، بخ ، بف ، جد ، جن » </w:t>
      </w:r>
      <w:r w:rsidR="00744A1C" w:rsidRPr="00EE5E45">
        <w:rPr>
          <w:rtl/>
        </w:rPr>
        <w:t>والوافي والتهذيب وقرب الإسناد</w:t>
      </w:r>
      <w:r w:rsidR="00744A1C">
        <w:rPr>
          <w:rtl/>
          <w:lang w:bidi="fa-IR"/>
        </w:rPr>
        <w:t xml:space="preserve"> : « الأوّلتين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197 ، ح 656 ، معلّقاً عن الكليني. </w:t>
      </w:r>
      <w:r w:rsidR="00744A1C" w:rsidRPr="00877682">
        <w:rPr>
          <w:rStyle w:val="libFootnoteBoldChar"/>
          <w:rtl/>
        </w:rPr>
        <w:t>قرب الإسناد</w:t>
      </w:r>
      <w:r w:rsidR="00744A1C">
        <w:rPr>
          <w:rtl/>
          <w:lang w:bidi="fa-IR"/>
        </w:rPr>
        <w:t xml:space="preserve"> ، ص 359 ، ح 1284 ، بسنده عن أحمد بن محمّد بن أبي نصر ، عن الرضا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744A1C" w:rsidRPr="0061079A">
        <w:rPr>
          <w:rStyle w:val="libFootnoteBoldChar"/>
          <w:rtl/>
        </w:rPr>
        <w:t>الكافي</w:t>
      </w:r>
      <w:r w:rsidR="00744A1C">
        <w:rPr>
          <w:rtl/>
          <w:lang w:bidi="fa-IR"/>
        </w:rPr>
        <w:t xml:space="preserve"> ، كتاب الحجّ ، باب رمي الجمار في أيّام التشريق ، ح 7813 ، بسند آخر عن أبي الحسن الرضا </w:t>
      </w:r>
      <w:r w:rsidR="0061079A" w:rsidRPr="0061079A">
        <w:rPr>
          <w:rStyle w:val="libFootnoteAlaemChar"/>
          <w:rtl/>
        </w:rPr>
        <w:t>عليه‌السلام</w:t>
      </w:r>
      <w:r w:rsidR="00744A1C">
        <w:rPr>
          <w:rtl/>
          <w:lang w:bidi="fa-IR"/>
        </w:rPr>
        <w:t xml:space="preserve"> ، وفيه هذه الفقرة : « وارمها من بطن الوادي واجعلهنّ عن يمينك كلّهنّ » مع اختلاف يسير وزيادة في أوّله وآخره. راجع : </w:t>
      </w:r>
      <w:r w:rsidR="00744A1C" w:rsidRPr="00C24F9C">
        <w:rPr>
          <w:rStyle w:val="libFootnoteBoldChar"/>
          <w:rtl/>
        </w:rPr>
        <w:t>الفقيه</w:t>
      </w:r>
      <w:r w:rsidR="00744A1C">
        <w:rPr>
          <w:rtl/>
          <w:lang w:bidi="fa-IR"/>
        </w:rPr>
        <w:t xml:space="preserve"> ، ج 2 ، ص 545 ؛ و</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225 </w:t>
      </w:r>
      <w:r w:rsidR="00780021">
        <w:rPr>
          <w:rFonts w:hint="cs"/>
          <w:rtl/>
          <w:lang w:bidi="fa-IR"/>
        </w:rPr>
        <w:t>.</w:t>
      </w:r>
      <w:r w:rsidR="00744A1C" w:rsidRPr="00C24F9C">
        <w:rPr>
          <w:rStyle w:val="libFootnoteBoldChar"/>
          <w:rtl/>
        </w:rPr>
        <w:t>الوافي</w:t>
      </w:r>
      <w:r w:rsidR="00744A1C">
        <w:rPr>
          <w:rtl/>
          <w:lang w:bidi="fa-IR"/>
        </w:rPr>
        <w:t xml:space="preserve"> ، ج 13 ، ص 1077 ، ح 13785 ؛ </w:t>
      </w:r>
      <w:r w:rsidR="00744A1C" w:rsidRPr="00C24F9C">
        <w:rPr>
          <w:rStyle w:val="libFootnoteBoldChar"/>
          <w:rtl/>
        </w:rPr>
        <w:t>الوسائل</w:t>
      </w:r>
      <w:r w:rsidR="00744A1C">
        <w:rPr>
          <w:rtl/>
          <w:lang w:bidi="fa-IR"/>
        </w:rPr>
        <w:t xml:space="preserve"> ، ج 14 ، ص 33 ، ح 18519 ، إلى قوله : « خذها كحليّة منقّطة » ؛ وفيه ، ص 61 ، ح 18586 ، إلى قوله : « عن يمينك كلّهن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مدارك الأحكام</w:t>
      </w:r>
      <w:r w:rsidR="00744A1C">
        <w:rPr>
          <w:rtl/>
          <w:lang w:bidi="fa-IR"/>
        </w:rPr>
        <w:t xml:space="preserve"> ، ج 7 ، ص 440 : « ربما كان الوجه في تخصيص هذين المسجدين في الرواية وكلام الأصحاب أنّهما الفرد المعروف من المساجد في الحرم ، لا لانحصار الحكم فيهما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196 ، ح 652 ، معلّقاً عن الكليني. </w:t>
      </w:r>
      <w:r w:rsidR="00744A1C" w:rsidRPr="00C24F9C">
        <w:rPr>
          <w:rStyle w:val="libFootnoteBoldChar"/>
          <w:rtl/>
        </w:rPr>
        <w:t>الفقيه</w:t>
      </w:r>
      <w:r w:rsidR="00744A1C">
        <w:rPr>
          <w:rtl/>
          <w:lang w:bidi="fa-IR"/>
        </w:rPr>
        <w:t xml:space="preserve"> ، ج 2 ، ص 473 ، ح 2997 ، معلّقاً عن حنان بن سدير ، عن أبي عبدالله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545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مع اختلاف يسير </w:t>
      </w:r>
      <w:r w:rsidR="007D4929">
        <w:rPr>
          <w:rFonts w:hint="cs"/>
          <w:rtl/>
          <w:lang w:bidi="fa-IR"/>
        </w:rPr>
        <w:t>.</w:t>
      </w:r>
      <w:r w:rsidR="00744A1C" w:rsidRPr="00C24F9C">
        <w:rPr>
          <w:rStyle w:val="libFootnoteBoldChar"/>
          <w:rtl/>
        </w:rPr>
        <w:t>الوافي</w:t>
      </w:r>
      <w:r w:rsidR="00744A1C">
        <w:rPr>
          <w:rtl/>
          <w:lang w:bidi="fa-IR"/>
        </w:rPr>
        <w:t xml:space="preserve"> ، ج 13 ، ص 1076 ، ح 13781 ؛ </w:t>
      </w:r>
      <w:r w:rsidR="00744A1C" w:rsidRPr="00C24F9C">
        <w:rPr>
          <w:rStyle w:val="libFootnoteBoldChar"/>
          <w:rtl/>
        </w:rPr>
        <w:t>الوسائل</w:t>
      </w:r>
      <w:r w:rsidR="00744A1C">
        <w:rPr>
          <w:rtl/>
          <w:lang w:bidi="fa-IR"/>
        </w:rPr>
        <w:t xml:space="preserve"> ، ج 14 ، ص 32 ، ح 18515.</w:t>
      </w:r>
    </w:p>
    <w:p w:rsidR="00744A1C" w:rsidRDefault="00E378DD" w:rsidP="00E378DD">
      <w:pPr>
        <w:pStyle w:val="libFootnote0"/>
        <w:rPr>
          <w:lang w:bidi="fa-IR"/>
        </w:rPr>
      </w:pPr>
      <w:r>
        <w:rPr>
          <w:rtl/>
          <w:lang w:bidi="fa-IR"/>
        </w:rPr>
        <w:t>(6).</w:t>
      </w:r>
      <w:r w:rsidR="00744A1C">
        <w:rPr>
          <w:rtl/>
          <w:lang w:bidi="fa-IR"/>
        </w:rPr>
        <w:t xml:space="preserve"> في « بخ ، بف » : « لا ينبغي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الوسائل</w:t>
      </w:r>
      <w:r w:rsidR="00744A1C">
        <w:rPr>
          <w:rtl/>
          <w:lang w:bidi="fa-IR"/>
        </w:rPr>
        <w:t xml:space="preserve"> ، ح 18582 : « في حصى الجمار » بدل « قال : سألته : من أين ينبغي أخذ حصى الجمار ».</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 لَا تَأْخُذْهُ مِنْ مَوْضِعَيْنِ : مِنْ خَارِجِ الْحَرَمِ ، وَمِنْ حَصَى الْجِمَارِ </w:t>
      </w:r>
      <w:r w:rsidRPr="00D10E3C">
        <w:rPr>
          <w:rStyle w:val="libFootnotenumChar"/>
          <w:rtl/>
        </w:rPr>
        <w:t>(1)</w:t>
      </w:r>
      <w:r>
        <w:rPr>
          <w:rtl/>
          <w:lang w:bidi="fa-IR"/>
        </w:rPr>
        <w:t xml:space="preserve"> ؛ وَلَابَأْسَ بِأَخْذِهِ </w:t>
      </w:r>
      <w:r w:rsidRPr="00D10E3C">
        <w:rPr>
          <w:rStyle w:val="libFootnotenumChar"/>
          <w:rtl/>
        </w:rPr>
        <w:t>(2)</w:t>
      </w:r>
      <w:r>
        <w:rPr>
          <w:rtl/>
          <w:lang w:bidi="fa-IR"/>
        </w:rPr>
        <w:t xml:space="preserve"> مِنْ سَائِرِ الْحَرَمِ ». </w:t>
      </w:r>
      <w:r w:rsidRPr="00D10E3C">
        <w:rPr>
          <w:rStyle w:val="libFootnotenumChar"/>
          <w:rtl/>
        </w:rPr>
        <w:t>(3)</w:t>
      </w:r>
    </w:p>
    <w:p w:rsidR="00744A1C" w:rsidRDefault="00744A1C" w:rsidP="00AA2DD8">
      <w:pPr>
        <w:pStyle w:val="Heading2Center"/>
        <w:rPr>
          <w:lang w:bidi="fa-IR"/>
        </w:rPr>
      </w:pPr>
      <w:bookmarkStart w:id="18" w:name="_Toc49261316"/>
      <w:r>
        <w:rPr>
          <w:rtl/>
          <w:lang w:bidi="fa-IR"/>
        </w:rPr>
        <w:t>173 - بَابُ يَوْمِ النَّحْرِ وَمُبْتَدَإِ الرَّمْيِ وَفَضْلِهِ‌</w:t>
      </w:r>
      <w:bookmarkEnd w:id="18"/>
    </w:p>
    <w:p w:rsidR="00144FA6" w:rsidRDefault="00744A1C" w:rsidP="00744A1C">
      <w:pPr>
        <w:pStyle w:val="libNormal"/>
        <w:rPr>
          <w:rtl/>
          <w:lang w:bidi="fa-IR"/>
        </w:rPr>
      </w:pPr>
      <w:r>
        <w:rPr>
          <w:rtl/>
          <w:lang w:bidi="fa-IR"/>
        </w:rPr>
        <w:t>7801 / 1. عَلِيُّ بْنُ إِبْرَاهِيمَ ، عَنْ أَبِيهِ ، عَنِ ابْنِ أَبِي عُمَيْرٍ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خُذْ حَصَى الْجِمَارِ </w:t>
      </w:r>
      <w:r w:rsidRPr="00D10E3C">
        <w:rPr>
          <w:rStyle w:val="libFootnotenumChar"/>
          <w:rtl/>
        </w:rPr>
        <w:t>(4)</w:t>
      </w:r>
      <w:r>
        <w:rPr>
          <w:rtl/>
          <w:lang w:bidi="fa-IR"/>
        </w:rPr>
        <w:t xml:space="preserve"> ، ثُمَّ ائْتِ الْجَمْرَةَ </w:t>
      </w:r>
      <w:r w:rsidRPr="00D10E3C">
        <w:rPr>
          <w:rStyle w:val="libFootnotenumChar"/>
          <w:rtl/>
        </w:rPr>
        <w:t>(5)</w:t>
      </w:r>
      <w:r>
        <w:rPr>
          <w:rtl/>
          <w:lang w:bidi="fa-IR"/>
        </w:rPr>
        <w:t xml:space="preserve"> الْقُصْوَى الَّتِي عِنْدَ الْعَقَبَةِ ، فَارْمِهَا مِنْ قِبَلِ وَجْهِهَا ، وَلَاتَرْمِهَا مِنْ أَعْلَاهَا ، وَتَقُولُ وَالْحَصى فِي يَدِكَ </w:t>
      </w:r>
      <w:r w:rsidRPr="00D10E3C">
        <w:rPr>
          <w:rStyle w:val="libFootnotenumChar"/>
          <w:rtl/>
        </w:rPr>
        <w:t>(6)</w:t>
      </w:r>
      <w:r>
        <w:rPr>
          <w:rtl/>
          <w:lang w:bidi="fa-IR"/>
        </w:rPr>
        <w:t xml:space="preserve"> : الل</w:t>
      </w:r>
      <w:r w:rsidR="00AA2DD8">
        <w:rPr>
          <w:rFonts w:hint="cs"/>
          <w:rtl/>
          <w:lang w:bidi="fa-IR"/>
        </w:rPr>
        <w:t>ّ</w:t>
      </w:r>
      <w:r>
        <w:rPr>
          <w:rtl/>
          <w:lang w:bidi="fa-IR"/>
        </w:rPr>
        <w:t xml:space="preserve">هُمَّ </w:t>
      </w:r>
      <w:r w:rsidRPr="00D10E3C">
        <w:rPr>
          <w:rStyle w:val="libFootnotenumChar"/>
          <w:rtl/>
        </w:rPr>
        <w:t>(7)</w:t>
      </w:r>
      <w:r>
        <w:rPr>
          <w:rtl/>
          <w:lang w:bidi="fa-IR"/>
        </w:rPr>
        <w:t xml:space="preserve"> هؤُلَاءِ حَصَيَاتِي ، فَأَحْصِهِنَّ لِي ، وَارْفَعْهُنَّ فِي عَمَلِي.</w:t>
      </w:r>
    </w:p>
    <w:p w:rsidR="00744A1C" w:rsidRDefault="00744A1C" w:rsidP="00AA2DD8">
      <w:pPr>
        <w:pStyle w:val="libNormal"/>
        <w:rPr>
          <w:lang w:bidi="fa-IR"/>
        </w:rPr>
      </w:pPr>
      <w:r>
        <w:rPr>
          <w:rtl/>
          <w:lang w:bidi="fa-IR"/>
        </w:rPr>
        <w:t xml:space="preserve">ثُمَّ تَرْمِي ، وَتَقُولُ </w:t>
      </w:r>
      <w:r w:rsidRPr="00D10E3C">
        <w:rPr>
          <w:rStyle w:val="libFootnotenumChar"/>
          <w:rtl/>
        </w:rPr>
        <w:t>(8)</w:t>
      </w:r>
      <w:r>
        <w:rPr>
          <w:rtl/>
          <w:lang w:bidi="fa-IR"/>
        </w:rPr>
        <w:t xml:space="preserve"> مَعَ كُلِّ حَصَاةٍ : اللهُ أَكْبَرُ ، الل</w:t>
      </w:r>
      <w:r w:rsidR="00AA2DD8">
        <w:rPr>
          <w:rFonts w:hint="cs"/>
          <w:rtl/>
          <w:lang w:bidi="fa-IR"/>
        </w:rPr>
        <w:t>ّ</w:t>
      </w:r>
      <w:r>
        <w:rPr>
          <w:rtl/>
          <w:lang w:bidi="fa-IR"/>
        </w:rPr>
        <w:t xml:space="preserve">هُمَّ ادْحَرْ </w:t>
      </w:r>
      <w:r w:rsidRPr="00D10E3C">
        <w:rPr>
          <w:rStyle w:val="libFootnotenumChar"/>
          <w:rtl/>
        </w:rPr>
        <w:t>(9)</w:t>
      </w:r>
      <w:r>
        <w:rPr>
          <w:rtl/>
          <w:lang w:bidi="fa-IR"/>
        </w:rPr>
        <w:t xml:space="preserve"> عَنِّي الشَّيْطَانَ </w:t>
      </w:r>
      <w:r w:rsidRPr="00D10E3C">
        <w:rPr>
          <w:rStyle w:val="libFootnotenumChar"/>
          <w:rtl/>
        </w:rPr>
        <w:t>(10)</w:t>
      </w:r>
      <w:r>
        <w:rPr>
          <w:rtl/>
          <w:lang w:bidi="fa-IR"/>
        </w:rPr>
        <w:t xml:space="preserve"> ، </w:t>
      </w:r>
      <w:r w:rsidR="00AA2DD8">
        <w:rPr>
          <w:rtl/>
          <w:lang w:bidi="fa-IR"/>
        </w:rPr>
        <w:t>الل</w:t>
      </w:r>
      <w:r w:rsidR="00AA2DD8">
        <w:rPr>
          <w:rFonts w:hint="cs"/>
          <w:rtl/>
          <w:lang w:bidi="fa-IR"/>
        </w:rPr>
        <w:t>ّ</w:t>
      </w:r>
      <w:r w:rsidR="00AA2DD8">
        <w:rPr>
          <w:rtl/>
          <w:lang w:bidi="fa-IR"/>
        </w:rPr>
        <w:t xml:space="preserve">هُمَّ </w:t>
      </w:r>
      <w:r>
        <w:rPr>
          <w:rtl/>
          <w:lang w:bidi="fa-IR"/>
        </w:rPr>
        <w:t xml:space="preserve">تَصْدِيقاً بِكِتَابِكَ وَعَلى سُنَّةِ نَبِيِّكَ </w:t>
      </w:r>
      <w:r w:rsidR="005E465D" w:rsidRPr="005E465D">
        <w:rPr>
          <w:rStyle w:val="libAlaemChar"/>
          <w:rFonts w:eastAsiaTheme="minorHAnsi"/>
          <w:rtl/>
        </w:rPr>
        <w:t>صلى‌الله‌عليه‌وآله</w:t>
      </w:r>
      <w:r w:rsidR="00AA2DD8" w:rsidRPr="00C24F9C">
        <w:rPr>
          <w:rFonts w:eastAsiaTheme="minorHAnsi"/>
          <w:rtl/>
        </w:rPr>
        <w:t xml:space="preserve"> </w:t>
      </w:r>
      <w:r>
        <w:rPr>
          <w:rtl/>
          <w:lang w:bidi="fa-IR"/>
        </w:rPr>
        <w:t xml:space="preserve">، </w:t>
      </w:r>
      <w:r w:rsidR="00AA2DD8">
        <w:rPr>
          <w:rtl/>
          <w:lang w:bidi="fa-IR"/>
        </w:rPr>
        <w:t>الل</w:t>
      </w:r>
      <w:r w:rsidR="00AA2DD8">
        <w:rPr>
          <w:rFonts w:hint="cs"/>
          <w:rtl/>
          <w:lang w:bidi="fa-IR"/>
        </w:rPr>
        <w:t>ّ</w:t>
      </w:r>
      <w:r w:rsidR="00AA2DD8">
        <w:rPr>
          <w:rtl/>
          <w:lang w:bidi="fa-IR"/>
        </w:rPr>
        <w:t xml:space="preserve">هُمَّ </w:t>
      </w:r>
      <w:r>
        <w:rPr>
          <w:rtl/>
          <w:lang w:bidi="fa-IR"/>
        </w:rPr>
        <w:t>اجْعَلْهُ حَجّاً مَبْرُوراً ، وَعَمَلاً مَقْبُولاً ، وَسَعْياً مَشْكُوراً ، وَذَنْباً مَغْفُوراً.</w:t>
      </w:r>
    </w:p>
    <w:p w:rsidR="00144FA6" w:rsidRDefault="00744A1C" w:rsidP="00AA2DD8">
      <w:pPr>
        <w:pStyle w:val="libNormal"/>
        <w:rPr>
          <w:rtl/>
          <w:lang w:bidi="fa-IR"/>
        </w:rPr>
      </w:pPr>
      <w:r>
        <w:rPr>
          <w:rtl/>
          <w:lang w:bidi="fa-IR"/>
        </w:rPr>
        <w:t xml:space="preserve">وَلْيَكُنْ فِيمَا بَيْنَكَ وَبَيْنَ الْجَمْرَةِ قَدْرَ عَشَرَةِ أَذْرُعٍ ، أَوْ خَمْسَةَ عَشَرَ ذِرَاعاً ، فَإِذَا أَتَيْتَ رَحْلَكَ ، وَرَجَعْتَ مِنَ الرَّمْيِ ، فَقُلِ : </w:t>
      </w:r>
      <w:r w:rsidR="00AA2DD8">
        <w:rPr>
          <w:rtl/>
          <w:lang w:bidi="fa-IR"/>
        </w:rPr>
        <w:t>الل</w:t>
      </w:r>
      <w:r w:rsidR="00AA2DD8">
        <w:rPr>
          <w:rFonts w:hint="cs"/>
          <w:rtl/>
          <w:lang w:bidi="fa-IR"/>
        </w:rPr>
        <w:t>ّ</w:t>
      </w:r>
      <w:r w:rsidR="00AA2DD8">
        <w:rPr>
          <w:rtl/>
          <w:lang w:bidi="fa-IR"/>
        </w:rPr>
        <w:t xml:space="preserve">هُمَّ </w:t>
      </w:r>
      <w:r>
        <w:rPr>
          <w:rtl/>
          <w:lang w:bidi="fa-IR"/>
        </w:rPr>
        <w:t>بِكَ وَثِقْتُ ، وَعَلَيْكَ تَوَكَّلْتُ ، فَنِعْمَ الرَّبُّ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ومن حصى الجمار ، يدلّ على لزوم كونها أبكاراً ، أي لم يرم بها قبل ذلك رمياً صحيحاً ، وعليه الأصحاب. وهذا الخبر والخبر السابق كلّ منهما مخصّص الآخر بوجه ».</w:t>
      </w:r>
    </w:p>
    <w:p w:rsidR="00744A1C" w:rsidRDefault="00E378DD" w:rsidP="00E378DD">
      <w:pPr>
        <w:pStyle w:val="libFootnote0"/>
        <w:rPr>
          <w:lang w:bidi="fa-IR"/>
        </w:rPr>
      </w:pPr>
      <w:r>
        <w:rPr>
          <w:rtl/>
          <w:lang w:bidi="fa-IR"/>
        </w:rPr>
        <w:t>(2).</w:t>
      </w:r>
      <w:r w:rsidR="00744A1C">
        <w:rPr>
          <w:rtl/>
          <w:lang w:bidi="fa-IR"/>
        </w:rPr>
        <w:t xml:space="preserve"> في « جن » : « أن يأخذه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196 ، ح 652 ، معلّقاً عن الكليني </w:t>
      </w:r>
      <w:r w:rsidR="00376FDA">
        <w:rPr>
          <w:rFonts w:hint="cs"/>
          <w:rtl/>
          <w:lang w:bidi="fa-IR"/>
        </w:rPr>
        <w:t>.</w:t>
      </w:r>
      <w:r w:rsidR="00744A1C" w:rsidRPr="00C24F9C">
        <w:rPr>
          <w:rStyle w:val="libFootnoteBoldChar"/>
          <w:rtl/>
        </w:rPr>
        <w:t>الوافي</w:t>
      </w:r>
      <w:r w:rsidR="00744A1C">
        <w:rPr>
          <w:rtl/>
          <w:lang w:bidi="fa-IR"/>
        </w:rPr>
        <w:t xml:space="preserve"> ، ج 13 ، ص 1076 ، ح 13782 ؛ </w:t>
      </w:r>
      <w:r w:rsidR="00744A1C" w:rsidRPr="00C24F9C">
        <w:rPr>
          <w:rStyle w:val="libFootnoteBoldChar"/>
          <w:rtl/>
        </w:rPr>
        <w:t>الوسائل</w:t>
      </w:r>
      <w:r w:rsidR="00744A1C">
        <w:rPr>
          <w:rtl/>
          <w:lang w:bidi="fa-IR"/>
        </w:rPr>
        <w:t xml:space="preserve"> ، ج 14 ، ص 32 ، ح 18516 ؛ وفيه ، ص 60 ، ح 18582 ، إلى قوله : « ومن حصى الجمار ».</w:t>
      </w:r>
    </w:p>
    <w:p w:rsidR="00744A1C" w:rsidRDefault="00E378DD" w:rsidP="00E378DD">
      <w:pPr>
        <w:pStyle w:val="libFootnote0"/>
        <w:rPr>
          <w:lang w:bidi="fa-IR"/>
        </w:rPr>
      </w:pPr>
      <w:r>
        <w:rPr>
          <w:rtl/>
          <w:lang w:bidi="fa-IR"/>
        </w:rPr>
        <w:t>(4).</w:t>
      </w:r>
      <w:r w:rsidR="00744A1C">
        <w:rPr>
          <w:rtl/>
          <w:lang w:bidi="fa-IR"/>
        </w:rPr>
        <w:t xml:space="preserve"> قد مضى معنى الجمار والجمرة والحصى ذيل عنوان الباب السابق.</w:t>
      </w:r>
    </w:p>
    <w:tbl>
      <w:tblPr>
        <w:tblStyle w:val="TableGrid"/>
        <w:bidiVisual/>
        <w:tblW w:w="0" w:type="auto"/>
        <w:tblLook w:val="04A0" w:firstRow="1" w:lastRow="0" w:firstColumn="1" w:lastColumn="0" w:noHBand="0" w:noVBand="1"/>
      </w:tblPr>
      <w:tblGrid>
        <w:gridCol w:w="4006"/>
        <w:gridCol w:w="4006"/>
      </w:tblGrid>
      <w:tr w:rsidR="00376FDA" w:rsidTr="00376FDA">
        <w:tc>
          <w:tcPr>
            <w:tcW w:w="4006" w:type="dxa"/>
          </w:tcPr>
          <w:p w:rsidR="00376FDA" w:rsidRDefault="00376FDA" w:rsidP="00E378DD">
            <w:pPr>
              <w:pStyle w:val="libFootnote0"/>
              <w:rPr>
                <w:rtl/>
                <w:lang w:bidi="fa-IR"/>
              </w:rPr>
            </w:pPr>
            <w:r>
              <w:rPr>
                <w:rtl/>
                <w:lang w:bidi="fa-IR"/>
              </w:rPr>
              <w:t>(5). في « بث ، جن » : « جمرة ».</w:t>
            </w:r>
          </w:p>
        </w:tc>
        <w:tc>
          <w:tcPr>
            <w:tcW w:w="4006" w:type="dxa"/>
          </w:tcPr>
          <w:p w:rsidR="00376FDA" w:rsidRDefault="00376FDA" w:rsidP="00E378DD">
            <w:pPr>
              <w:pStyle w:val="libFootnote0"/>
              <w:rPr>
                <w:rtl/>
                <w:lang w:bidi="fa-IR"/>
              </w:rPr>
            </w:pPr>
            <w:r>
              <w:rPr>
                <w:rtl/>
                <w:lang w:bidi="fa-IR"/>
              </w:rPr>
              <w:t xml:space="preserve">(6). في </w:t>
            </w:r>
            <w:r w:rsidRPr="00C24F9C">
              <w:rPr>
                <w:rStyle w:val="libFootnoteBoldChar"/>
                <w:rtl/>
              </w:rPr>
              <w:t>التهذيب</w:t>
            </w:r>
            <w:r>
              <w:rPr>
                <w:rtl/>
                <w:lang w:bidi="fa-IR"/>
              </w:rPr>
              <w:t xml:space="preserve"> : « يديك ».</w:t>
            </w:r>
          </w:p>
        </w:tc>
      </w:tr>
      <w:tr w:rsidR="00376FDA" w:rsidTr="00376FDA">
        <w:tc>
          <w:tcPr>
            <w:tcW w:w="4006" w:type="dxa"/>
          </w:tcPr>
          <w:p w:rsidR="00376FDA" w:rsidRDefault="00376FDA" w:rsidP="00E378DD">
            <w:pPr>
              <w:pStyle w:val="libFootnote0"/>
              <w:rPr>
                <w:rtl/>
                <w:lang w:bidi="fa-IR"/>
              </w:rPr>
            </w:pPr>
            <w:r>
              <w:rPr>
                <w:rtl/>
                <w:lang w:bidi="fa-IR"/>
              </w:rPr>
              <w:t xml:space="preserve">(7). في </w:t>
            </w:r>
            <w:r w:rsidRPr="00C24F9C">
              <w:rPr>
                <w:rStyle w:val="libFootnoteBoldChar"/>
                <w:rtl/>
              </w:rPr>
              <w:t>الوافي</w:t>
            </w:r>
            <w:r>
              <w:rPr>
                <w:rtl/>
                <w:lang w:bidi="fa-IR"/>
              </w:rPr>
              <w:t xml:space="preserve"> : + « إنّ ».</w:t>
            </w:r>
          </w:p>
        </w:tc>
        <w:tc>
          <w:tcPr>
            <w:tcW w:w="4006" w:type="dxa"/>
          </w:tcPr>
          <w:p w:rsidR="00376FDA" w:rsidRDefault="00376FDA" w:rsidP="00E378DD">
            <w:pPr>
              <w:pStyle w:val="libFootnote0"/>
              <w:rPr>
                <w:rtl/>
                <w:lang w:bidi="fa-IR"/>
              </w:rPr>
            </w:pPr>
            <w:r>
              <w:rPr>
                <w:rtl/>
                <w:lang w:bidi="fa-IR"/>
              </w:rPr>
              <w:t xml:space="preserve">(8). في </w:t>
            </w:r>
            <w:r w:rsidRPr="00C24F9C">
              <w:rPr>
                <w:rStyle w:val="libFootnoteBoldChar"/>
                <w:rtl/>
              </w:rPr>
              <w:t>الوسائل</w:t>
            </w:r>
            <w:r>
              <w:rPr>
                <w:rtl/>
                <w:lang w:bidi="fa-IR"/>
              </w:rPr>
              <w:t xml:space="preserve">، ح 18604 </w:t>
            </w:r>
            <w:r w:rsidRPr="0061079A">
              <w:rPr>
                <w:rStyle w:val="libFootnoteBoldChar"/>
                <w:rtl/>
              </w:rPr>
              <w:t>والتهذيب</w:t>
            </w:r>
            <w:r w:rsidR="00EE5E45">
              <w:rPr>
                <w:rtl/>
                <w:lang w:bidi="fa-IR"/>
              </w:rPr>
              <w:t>:«فتقول</w:t>
            </w:r>
            <w:r>
              <w:rPr>
                <w:rtl/>
                <w:lang w:bidi="fa-IR"/>
              </w:rPr>
              <w:t>».</w:t>
            </w:r>
          </w:p>
        </w:tc>
      </w:tr>
    </w:tbl>
    <w:p w:rsidR="00744A1C" w:rsidRDefault="00E378DD" w:rsidP="00E378DD">
      <w:pPr>
        <w:pStyle w:val="libFootnote0"/>
        <w:rPr>
          <w:lang w:bidi="fa-IR"/>
        </w:rPr>
      </w:pPr>
      <w:r>
        <w:rPr>
          <w:rtl/>
          <w:lang w:bidi="fa-IR"/>
        </w:rPr>
        <w:t>(9).</w:t>
      </w:r>
      <w:r w:rsidR="00744A1C">
        <w:rPr>
          <w:rtl/>
          <w:lang w:bidi="fa-IR"/>
        </w:rPr>
        <w:t xml:space="preserve"> في « بث » : « ازجر ». والدَحْرُ والدُحُور : الطرد والإبعاد ، أو الدفع بعُنف </w:t>
      </w:r>
      <w:r w:rsidR="001C1B37">
        <w:rPr>
          <w:rtl/>
          <w:lang w:bidi="fa-IR"/>
        </w:rPr>
        <w:t>على سبيل الإهانة والإذلال. راجع</w:t>
      </w:r>
      <w:r w:rsidR="00744A1C">
        <w:rPr>
          <w:rtl/>
          <w:lang w:bidi="fa-IR"/>
        </w:rPr>
        <w:t xml:space="preserve">: </w:t>
      </w:r>
      <w:r w:rsidR="00744A1C" w:rsidRPr="00E978C3">
        <w:rPr>
          <w:rStyle w:val="libFootnoteBoldChar"/>
          <w:rtl/>
        </w:rPr>
        <w:t>الصحاح</w:t>
      </w:r>
      <w:r w:rsidR="00744A1C">
        <w:rPr>
          <w:rtl/>
          <w:lang w:bidi="fa-IR"/>
        </w:rPr>
        <w:t xml:space="preserve"> ، ج 2 ، ص 655 ؛ </w:t>
      </w:r>
      <w:r w:rsidR="00744A1C" w:rsidRPr="00877682">
        <w:rPr>
          <w:rStyle w:val="libFootnoteBoldChar"/>
          <w:rtl/>
        </w:rPr>
        <w:t>النهاية</w:t>
      </w:r>
      <w:r w:rsidR="00744A1C">
        <w:rPr>
          <w:rtl/>
          <w:lang w:bidi="fa-IR"/>
        </w:rPr>
        <w:t xml:space="preserve"> ، ج 2 ، ص 103 ( دحر ).</w:t>
      </w:r>
    </w:p>
    <w:p w:rsidR="00744A1C" w:rsidRDefault="00E378DD" w:rsidP="001C1B37">
      <w:pPr>
        <w:pStyle w:val="libFootnote0"/>
        <w:rPr>
          <w:lang w:bidi="fa-IR"/>
        </w:rPr>
      </w:pPr>
      <w:r>
        <w:rPr>
          <w:rtl/>
          <w:lang w:bidi="fa-IR"/>
        </w:rPr>
        <w:t>(10).</w:t>
      </w:r>
      <w:r w:rsidR="00744A1C">
        <w:rPr>
          <w:rtl/>
          <w:lang w:bidi="fa-IR"/>
        </w:rPr>
        <w:t xml:space="preserve"> </w:t>
      </w:r>
      <w:r w:rsidR="001C1B37">
        <w:rPr>
          <w:rtl/>
          <w:lang w:bidi="fa-IR"/>
        </w:rPr>
        <w:t>في</w:t>
      </w:r>
      <w:r w:rsidR="001C1B37">
        <w:rPr>
          <w:rFonts w:hint="cs"/>
          <w:rtl/>
          <w:lang w:bidi="fa-IR"/>
        </w:rPr>
        <w:t xml:space="preserve"> </w:t>
      </w:r>
      <w:r w:rsidR="00744A1C" w:rsidRPr="00C24F9C">
        <w:rPr>
          <w:rStyle w:val="libFootnoteBoldChar"/>
          <w:rtl/>
        </w:rPr>
        <w:t>التهذيب</w:t>
      </w:r>
      <w:r w:rsidR="001C1B37">
        <w:rPr>
          <w:rFonts w:hint="cs"/>
          <w:rtl/>
          <w:lang w:bidi="fa-IR"/>
        </w:rPr>
        <w:t xml:space="preserve"> : </w:t>
      </w:r>
      <w:r w:rsidR="001C1B37">
        <w:rPr>
          <w:rtl/>
          <w:lang w:bidi="fa-IR"/>
        </w:rPr>
        <w:t>«</w:t>
      </w:r>
      <w:r w:rsidR="001C1B37">
        <w:rPr>
          <w:rFonts w:hint="cs"/>
          <w:rtl/>
          <w:lang w:bidi="fa-IR"/>
        </w:rPr>
        <w:t xml:space="preserve"> و جنوده </w:t>
      </w:r>
      <w:r w:rsidR="001C1B37">
        <w:rPr>
          <w:rtl/>
          <w:lang w:bidi="fa-IR"/>
        </w:rPr>
        <w:t>»</w:t>
      </w:r>
      <w:r w:rsidR="00744A1C">
        <w:rPr>
          <w:rtl/>
          <w:lang w:bidi="fa-IR"/>
        </w:rPr>
        <w:t>.</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وَنِعْمَ الْمَوْلى ، وَنِعْمَ النَّصِيرُ ».</w:t>
      </w:r>
    </w:p>
    <w:p w:rsidR="00144FA6" w:rsidRDefault="00744A1C" w:rsidP="00744A1C">
      <w:pPr>
        <w:pStyle w:val="libNormal"/>
        <w:rPr>
          <w:rtl/>
          <w:lang w:bidi="fa-IR"/>
        </w:rPr>
      </w:pPr>
      <w:r>
        <w:rPr>
          <w:rtl/>
          <w:lang w:bidi="fa-IR"/>
        </w:rPr>
        <w:t xml:space="preserve">قَالَ : « وَيُسْتَحَبُّ </w:t>
      </w:r>
      <w:r w:rsidRPr="00D10E3C">
        <w:rPr>
          <w:rStyle w:val="libFootnotenumChar"/>
          <w:rtl/>
        </w:rPr>
        <w:t>(1)</w:t>
      </w:r>
      <w:r>
        <w:rPr>
          <w:rtl/>
          <w:lang w:bidi="fa-IR"/>
        </w:rPr>
        <w:t xml:space="preserve"> أَنْ يُرْمَى </w:t>
      </w:r>
      <w:r w:rsidRPr="00D10E3C">
        <w:rPr>
          <w:rStyle w:val="libFootnotenumChar"/>
          <w:rtl/>
        </w:rPr>
        <w:t>(2)</w:t>
      </w:r>
      <w:r>
        <w:rPr>
          <w:rtl/>
          <w:lang w:bidi="fa-IR"/>
        </w:rPr>
        <w:t xml:space="preserve"> الْجِمَارُ </w:t>
      </w:r>
      <w:r w:rsidRPr="00D10E3C">
        <w:rPr>
          <w:rStyle w:val="libFootnotenumChar"/>
          <w:rtl/>
        </w:rPr>
        <w:t>(3)</w:t>
      </w:r>
      <w:r>
        <w:rPr>
          <w:rtl/>
          <w:lang w:bidi="fa-IR"/>
        </w:rPr>
        <w:t xml:space="preserve"> عَلى طُهْرٍ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7802 / 2. مُحَمَّدُ بْنُ يَحْيى ، عَنْ أَحْمَدَ بْنِ مُحَمَّدٍ ، عَنْ عَلِيِّ بْنِ حَدِيدٍ ، عَنْ جَمِيلِ بْنِ دَرَّاجٍ ، عَنْ زُرَارَةَ :</w:t>
      </w:r>
    </w:p>
    <w:p w:rsidR="00744A1C" w:rsidRDefault="00744A1C" w:rsidP="00744A1C">
      <w:pPr>
        <w:pStyle w:val="libNormal"/>
        <w:rPr>
          <w:lang w:bidi="fa-IR"/>
        </w:rPr>
      </w:pPr>
      <w:r>
        <w:rPr>
          <w:rtl/>
          <w:lang w:bidi="fa-IR"/>
        </w:rPr>
        <w:t xml:space="preserve">عَنْ أَحَدِهِمَا </w:t>
      </w:r>
      <w:r w:rsidR="008859AA" w:rsidRPr="008859AA">
        <w:rPr>
          <w:rStyle w:val="libAlaemChar"/>
          <w:rtl/>
        </w:rPr>
        <w:t>عليهما‌السلام</w:t>
      </w:r>
      <w:r>
        <w:rPr>
          <w:rtl/>
          <w:lang w:bidi="fa-IR"/>
        </w:rPr>
        <w:t xml:space="preserve">، قَالَ : سَأَلْتُهُ عَنْ رَمْيِ الْجَمْرَةِ يَوْمَ النَّحْرِ : مَا لَهَا تُرْمى وَحْدَهَا ، وَلَاتُرْمى </w:t>
      </w:r>
      <w:r w:rsidRPr="00D10E3C">
        <w:rPr>
          <w:rStyle w:val="libFootnotenumChar"/>
          <w:rtl/>
        </w:rPr>
        <w:t>(6)</w:t>
      </w:r>
      <w:r>
        <w:rPr>
          <w:rtl/>
          <w:lang w:bidi="fa-IR"/>
        </w:rPr>
        <w:t xml:space="preserve"> مِنَ الْجِمَارِ </w:t>
      </w:r>
      <w:r w:rsidRPr="00D10E3C">
        <w:rPr>
          <w:rStyle w:val="libFootnotenumChar"/>
          <w:rtl/>
        </w:rPr>
        <w:t>(7)</w:t>
      </w:r>
      <w:r>
        <w:rPr>
          <w:rtl/>
          <w:lang w:bidi="fa-IR"/>
        </w:rPr>
        <w:t xml:space="preserve"> غَيْرُهَا يَوْمَ </w:t>
      </w:r>
      <w:r w:rsidRPr="00D10E3C">
        <w:rPr>
          <w:rStyle w:val="libFootnotenumChar"/>
          <w:rtl/>
        </w:rPr>
        <w:t>(8)</w:t>
      </w:r>
      <w:r>
        <w:rPr>
          <w:rtl/>
          <w:lang w:bidi="fa-IR"/>
        </w:rPr>
        <w:t xml:space="preserve"> النَّحْرِ؟</w:t>
      </w:r>
    </w:p>
    <w:p w:rsidR="00744A1C" w:rsidRDefault="00744A1C" w:rsidP="00744A1C">
      <w:pPr>
        <w:pStyle w:val="libNormal"/>
        <w:rPr>
          <w:lang w:bidi="fa-IR"/>
        </w:rPr>
      </w:pPr>
      <w:r>
        <w:rPr>
          <w:rtl/>
          <w:lang w:bidi="fa-IR"/>
        </w:rPr>
        <w:t xml:space="preserve">فَقَالَ : « قَدْ كُنَّ يُرْمَيْنَ كُلُّهُنَّ ، وَلكِنَّهُمْ تَرَكُوا ذلِكَ </w:t>
      </w:r>
      <w:r w:rsidRPr="00D10E3C">
        <w:rPr>
          <w:rStyle w:val="libFootnotenumChar"/>
          <w:rtl/>
        </w:rPr>
        <w:t>(9)</w:t>
      </w:r>
      <w:r>
        <w:rPr>
          <w:rtl/>
          <w:lang w:bidi="fa-IR"/>
        </w:rPr>
        <w:t xml:space="preserve"> ».</w:t>
      </w:r>
    </w:p>
    <w:p w:rsidR="00744A1C" w:rsidRDefault="00744A1C" w:rsidP="00744A1C">
      <w:pPr>
        <w:pStyle w:val="libNormal"/>
        <w:rPr>
          <w:lang w:bidi="fa-IR"/>
        </w:rPr>
      </w:pPr>
      <w:r>
        <w:rPr>
          <w:rtl/>
          <w:lang w:bidi="fa-IR"/>
        </w:rPr>
        <w:t>فَقُلْتُ لَهُ : جُعِلْتُ فِدَاكَ ، فَأَرْمِيهِنَّ؟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 له ».</w:t>
      </w:r>
    </w:p>
    <w:p w:rsidR="00744A1C" w:rsidRDefault="00E378DD" w:rsidP="00E378DD">
      <w:pPr>
        <w:pStyle w:val="libFootnote0"/>
        <w:rPr>
          <w:lang w:bidi="fa-IR"/>
        </w:rPr>
      </w:pPr>
      <w:r>
        <w:rPr>
          <w:rtl/>
          <w:lang w:bidi="fa-IR"/>
        </w:rPr>
        <w:t>(2).</w:t>
      </w:r>
      <w:r w:rsidR="00744A1C">
        <w:rPr>
          <w:rtl/>
          <w:lang w:bidi="fa-IR"/>
        </w:rPr>
        <w:t xml:space="preserve"> في « ى ، بس ، جد ، جن » و</w:t>
      </w:r>
      <w:r w:rsidR="00744A1C" w:rsidRPr="00C24F9C">
        <w:rPr>
          <w:rStyle w:val="libFootnoteBoldChar"/>
          <w:rtl/>
        </w:rPr>
        <w:t>الوسائل</w:t>
      </w:r>
      <w:r w:rsidR="00744A1C">
        <w:rPr>
          <w:rtl/>
          <w:lang w:bidi="fa-IR"/>
        </w:rPr>
        <w:t xml:space="preserve"> ، ح 18575 : « أن ترمى ».</w:t>
      </w:r>
    </w:p>
    <w:p w:rsidR="00744A1C" w:rsidRDefault="00E378DD" w:rsidP="00E378DD">
      <w:pPr>
        <w:pStyle w:val="libFootnote0"/>
        <w:rPr>
          <w:lang w:bidi="fa-IR"/>
        </w:rPr>
      </w:pPr>
      <w:r>
        <w:rPr>
          <w:rtl/>
          <w:lang w:bidi="fa-IR"/>
        </w:rPr>
        <w:t>(3).</w:t>
      </w:r>
      <w:r w:rsidR="00744A1C">
        <w:rPr>
          <w:rtl/>
          <w:lang w:bidi="fa-IR"/>
        </w:rPr>
        <w:t xml:space="preserve"> في « بس ، جن » : + « وأنت ».</w:t>
      </w:r>
    </w:p>
    <w:p w:rsidR="00744A1C" w:rsidRDefault="00E378DD" w:rsidP="00E378DD">
      <w:pPr>
        <w:pStyle w:val="libFootnote0"/>
        <w:rPr>
          <w:lang w:bidi="fa-IR"/>
        </w:rPr>
      </w:pPr>
      <w:r>
        <w:rPr>
          <w:rtl/>
          <w:lang w:bidi="fa-IR"/>
        </w:rPr>
        <w:t>(4).</w:t>
      </w:r>
      <w:r w:rsidR="00744A1C">
        <w:rPr>
          <w:rtl/>
          <w:lang w:bidi="fa-IR"/>
        </w:rPr>
        <w:t xml:space="preserve"> في </w:t>
      </w:r>
      <w:r w:rsidR="00744A1C" w:rsidRPr="00877682">
        <w:rPr>
          <w:rStyle w:val="libFootnoteBoldChar"/>
          <w:rtl/>
        </w:rPr>
        <w:t>مرآة العقول</w:t>
      </w:r>
      <w:r w:rsidR="00744A1C">
        <w:rPr>
          <w:rtl/>
          <w:lang w:bidi="fa-IR"/>
        </w:rPr>
        <w:t xml:space="preserve"> ، ج 18 ، ص 144 : « ما اشتمل عليه من استحباب الدعاء عند الرمي واستحباب كون البعد بينه وبين الجمرة عشرة أذرع إلى خمسة عشر ذراعاً ، مقطوع به في كلام الأصحاب ، وأمّا كونه في حال الرمي على طهارة فالمشهور استحبابه ، وذهب المفيد والمرتضى وابن الجنيد إلى الوجوب ، وهو أحوط ، وإن كان الأوّل أقوى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198 ، ح 661 ، معلّقاً عن الكليني. </w:t>
      </w:r>
      <w:r w:rsidR="00744A1C" w:rsidRPr="0061079A">
        <w:rPr>
          <w:rStyle w:val="libFootnoteBoldChar"/>
          <w:rtl/>
        </w:rPr>
        <w:t>الكافي</w:t>
      </w:r>
      <w:r w:rsidR="00744A1C">
        <w:rPr>
          <w:rtl/>
          <w:lang w:bidi="fa-IR"/>
        </w:rPr>
        <w:t xml:space="preserve"> ، كتاب الحجّ ، باب رمي الجمار في أيّام التشريق ، ح 7817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وتمام ال</w:t>
      </w:r>
      <w:r w:rsidR="009253DB">
        <w:rPr>
          <w:rtl/>
          <w:lang w:bidi="fa-IR"/>
        </w:rPr>
        <w:t>رواية فيه : « لا ترم الجمار إل</w:t>
      </w:r>
      <w:r w:rsidR="009253DB">
        <w:rPr>
          <w:rFonts w:hint="cs"/>
          <w:rtl/>
          <w:lang w:bidi="fa-IR"/>
        </w:rPr>
        <w:t>ّ</w:t>
      </w:r>
      <w:r w:rsidR="009253DB">
        <w:rPr>
          <w:rtl/>
          <w:lang w:bidi="fa-IR"/>
        </w:rPr>
        <w:t>ا</w:t>
      </w:r>
      <w:r w:rsidR="00744A1C">
        <w:rPr>
          <w:rtl/>
          <w:lang w:bidi="fa-IR"/>
        </w:rPr>
        <w:t xml:space="preserve"> وأنت على طهر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225 ، مع اختلاف يسير. </w:t>
      </w:r>
      <w:r w:rsidR="00744A1C" w:rsidRPr="00C24F9C">
        <w:rPr>
          <w:rStyle w:val="libFootnoteBoldChar"/>
          <w:rtl/>
        </w:rPr>
        <w:t>الفقيه</w:t>
      </w:r>
      <w:r w:rsidR="00744A1C">
        <w:rPr>
          <w:rtl/>
          <w:lang w:bidi="fa-IR"/>
        </w:rPr>
        <w:t xml:space="preserve"> ، ج 2 ، ص 547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أو خمسة عشر ذراعاً » مع اختلاف يسير </w:t>
      </w:r>
      <w:r w:rsidR="009253DB">
        <w:rPr>
          <w:rFonts w:hint="cs"/>
          <w:rtl/>
          <w:lang w:bidi="fa-IR"/>
        </w:rPr>
        <w:t>.</w:t>
      </w:r>
      <w:r w:rsidR="00744A1C" w:rsidRPr="00C24F9C">
        <w:rPr>
          <w:rStyle w:val="libFootnoteBoldChar"/>
          <w:rtl/>
        </w:rPr>
        <w:t>الوافي</w:t>
      </w:r>
      <w:r w:rsidR="00744A1C">
        <w:rPr>
          <w:rtl/>
          <w:lang w:bidi="fa-IR"/>
        </w:rPr>
        <w:t xml:space="preserve"> ، ج 13 ، ص 1078 ، ح 13786 ؛ </w:t>
      </w:r>
      <w:r w:rsidR="00744A1C" w:rsidRPr="00C24F9C">
        <w:rPr>
          <w:rStyle w:val="libFootnoteBoldChar"/>
          <w:rtl/>
        </w:rPr>
        <w:t>الوسائل</w:t>
      </w:r>
      <w:r w:rsidR="00744A1C">
        <w:rPr>
          <w:rtl/>
          <w:lang w:bidi="fa-IR"/>
        </w:rPr>
        <w:t xml:space="preserve"> ، ج 14 ، ص 58 ، ح 18579 ؛ وفيه ، ص 56 ، ح 18575 ، من قوله : « ويستحبّ أن يرمي الجمار » ؛ وفيه أيضاً ، ص 67 ، ح 18604 ، إلى قوله : « مع كلّ حصاة الله أكبر ».</w:t>
      </w:r>
    </w:p>
    <w:p w:rsidR="00744A1C" w:rsidRDefault="00E378DD" w:rsidP="00E378DD">
      <w:pPr>
        <w:pStyle w:val="libFootnote0"/>
        <w:rPr>
          <w:lang w:bidi="fa-IR"/>
        </w:rPr>
      </w:pPr>
      <w:r>
        <w:rPr>
          <w:rtl/>
          <w:lang w:bidi="fa-IR"/>
        </w:rPr>
        <w:t>(6).</w:t>
      </w:r>
      <w:r w:rsidR="00744A1C">
        <w:rPr>
          <w:rtl/>
          <w:lang w:bidi="fa-IR"/>
        </w:rPr>
        <w:t xml:space="preserve"> في « بث ، بح ، بخ ، جن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ولا يرمى ».</w:t>
      </w:r>
    </w:p>
    <w:p w:rsidR="00744A1C" w:rsidRDefault="00E378DD" w:rsidP="00E378DD">
      <w:pPr>
        <w:pStyle w:val="libFootnote0"/>
        <w:rPr>
          <w:lang w:bidi="fa-IR"/>
        </w:rPr>
      </w:pPr>
      <w:r>
        <w:rPr>
          <w:rtl/>
          <w:lang w:bidi="fa-IR"/>
        </w:rPr>
        <w:t>(7).</w:t>
      </w:r>
      <w:r w:rsidR="00744A1C">
        <w:rPr>
          <w:rtl/>
          <w:lang w:bidi="fa-IR"/>
        </w:rPr>
        <w:t xml:space="preserve"> في « ى ، بث ، جن » وحاشية « بح ، جد » : « في الجمرة ». وفي « بف</w:t>
      </w:r>
      <w:r w:rsidR="00EE5E45">
        <w:rPr>
          <w:rtl/>
          <w:lang w:bidi="fa-IR"/>
        </w:rPr>
        <w:t xml:space="preserve"> » : « الجمرة » بدل « من الجمار</w:t>
      </w:r>
      <w:r w:rsidR="00744A1C">
        <w:rPr>
          <w:rtl/>
          <w:lang w:bidi="fa-IR"/>
        </w:rPr>
        <w:t>».</w:t>
      </w:r>
    </w:p>
    <w:p w:rsidR="00744A1C" w:rsidRDefault="00E378DD" w:rsidP="00E378DD">
      <w:pPr>
        <w:pStyle w:val="libFootnote0"/>
        <w:rPr>
          <w:lang w:bidi="fa-IR"/>
        </w:rPr>
      </w:pPr>
      <w:r>
        <w:rPr>
          <w:rtl/>
          <w:lang w:bidi="fa-IR"/>
        </w:rPr>
        <w:t>(8).</w:t>
      </w:r>
      <w:r w:rsidR="00744A1C">
        <w:rPr>
          <w:rtl/>
          <w:lang w:bidi="fa-IR"/>
        </w:rPr>
        <w:t xml:space="preserve"> في « بث ، بف » : « ليوم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روى في </w:t>
      </w:r>
      <w:r w:rsidR="00744A1C" w:rsidRPr="00877682">
        <w:rPr>
          <w:rStyle w:val="libFootnoteBoldChar"/>
          <w:rtl/>
        </w:rPr>
        <w:t>الدروس</w:t>
      </w:r>
      <w:r w:rsidR="00744A1C">
        <w:rPr>
          <w:rtl/>
          <w:lang w:bidi="fa-IR"/>
        </w:rPr>
        <w:t xml:space="preserve"> بعض تلك الروايات ولم ينسب القول بها إلى أحد ، وبالجملة الظاهر عدم تكليفنا بذلك حتّى يظهر الحقّ ».</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 لَا تَرْمِهِنَّ ، أَمَا تَرْضى أَنْ تَصْنَعَ مِثْلَ مَا </w:t>
      </w:r>
      <w:r w:rsidRPr="00D10E3C">
        <w:rPr>
          <w:rStyle w:val="libFootnotenumChar"/>
          <w:rtl/>
        </w:rPr>
        <w:t>(1)</w:t>
      </w:r>
      <w:r>
        <w:rPr>
          <w:rtl/>
          <w:lang w:bidi="fa-IR"/>
        </w:rPr>
        <w:t xml:space="preserve"> نَصْنَعُ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7803 / 3. مُحَمَّدُ بْنُ يَحْيى ، عَنْ أَحْمَدَ بْنِ مُحَمَّدٍ ، عَنِ ابْنِ فَضَّالٍ ، عَنِ ابْنِ بُكَيْرٍ ، عَنْ زُرَارَةَ ، عَنْ حُمْرَانَ ، قَالَ :</w:t>
      </w:r>
    </w:p>
    <w:p w:rsidR="00744A1C" w:rsidRDefault="00744A1C" w:rsidP="00744A1C">
      <w:pPr>
        <w:pStyle w:val="libNormal"/>
        <w:rPr>
          <w:lang w:bidi="fa-IR"/>
        </w:rPr>
      </w:pPr>
      <w:r>
        <w:rPr>
          <w:rtl/>
          <w:lang w:bidi="fa-IR"/>
        </w:rPr>
        <w:t xml:space="preserve">سَأَلْتُ أَبَا جَعْفَرٍ </w:t>
      </w:r>
      <w:r w:rsidRPr="00D10E3C">
        <w:rPr>
          <w:rStyle w:val="libFootnotenumChar"/>
          <w:rtl/>
        </w:rPr>
        <w:t>(4)</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عَنْ رَمْيِ الْجِمَارِ؟</w:t>
      </w:r>
    </w:p>
    <w:p w:rsidR="00744A1C" w:rsidRDefault="00744A1C" w:rsidP="00744A1C">
      <w:pPr>
        <w:pStyle w:val="libNormal"/>
        <w:rPr>
          <w:lang w:bidi="fa-IR"/>
        </w:rPr>
      </w:pPr>
      <w:r>
        <w:rPr>
          <w:rtl/>
          <w:lang w:bidi="fa-IR"/>
        </w:rPr>
        <w:t xml:space="preserve">فَقَالَ : « كُنَّ </w:t>
      </w:r>
      <w:r w:rsidRPr="00D10E3C">
        <w:rPr>
          <w:rStyle w:val="libFootnotenumChar"/>
          <w:rtl/>
        </w:rPr>
        <w:t>(5)</w:t>
      </w:r>
      <w:r>
        <w:rPr>
          <w:rtl/>
          <w:lang w:bidi="fa-IR"/>
        </w:rPr>
        <w:t xml:space="preserve"> يُرْمَيْنَ </w:t>
      </w:r>
      <w:r w:rsidRPr="00D10E3C">
        <w:rPr>
          <w:rStyle w:val="libFootnotenumChar"/>
          <w:rtl/>
        </w:rPr>
        <w:t>(6)</w:t>
      </w:r>
      <w:r>
        <w:rPr>
          <w:rtl/>
          <w:lang w:bidi="fa-IR"/>
        </w:rPr>
        <w:t xml:space="preserve"> جَمِيعاً يَوْمَ النَّحْرِ ».</w:t>
      </w:r>
    </w:p>
    <w:p w:rsidR="00144FA6" w:rsidRDefault="00744A1C" w:rsidP="00744A1C">
      <w:pPr>
        <w:pStyle w:val="libNormal"/>
        <w:rPr>
          <w:rtl/>
          <w:lang w:bidi="fa-IR"/>
        </w:rPr>
      </w:pPr>
      <w:r>
        <w:rPr>
          <w:rtl/>
          <w:lang w:bidi="fa-IR"/>
        </w:rPr>
        <w:t xml:space="preserve">فَرَمَيْتُهَا جَمِيعاً </w:t>
      </w:r>
      <w:r w:rsidRPr="00D10E3C">
        <w:rPr>
          <w:rStyle w:val="libFootnotenumChar"/>
          <w:rtl/>
        </w:rPr>
        <w:t>(7)</w:t>
      </w:r>
      <w:r>
        <w:rPr>
          <w:rtl/>
          <w:lang w:bidi="fa-IR"/>
        </w:rPr>
        <w:t xml:space="preserve"> بَعْدَ ذلِكَ ، ثُمَّ حَدَّثْتُهُ ، فَقَالَ لِي </w:t>
      </w:r>
      <w:r w:rsidRPr="00D10E3C">
        <w:rPr>
          <w:rStyle w:val="libFootnotenumChar"/>
          <w:rtl/>
        </w:rPr>
        <w:t>(8)</w:t>
      </w:r>
      <w:r>
        <w:rPr>
          <w:rtl/>
          <w:lang w:bidi="fa-IR"/>
        </w:rPr>
        <w:t xml:space="preserve"> : « أَمَا تَرْضى أَنْ تَصْنَعَ كَمَا كَانَ عَلِيٌّ </w:t>
      </w:r>
      <w:r w:rsidR="0061079A" w:rsidRPr="0061079A">
        <w:rPr>
          <w:rStyle w:val="libAlaemChar"/>
          <w:rtl/>
        </w:rPr>
        <w:t>عليه‌السلام</w:t>
      </w:r>
      <w:r w:rsidR="00D10E3C">
        <w:rPr>
          <w:rtl/>
          <w:lang w:bidi="fa-IR"/>
        </w:rPr>
        <w:t xml:space="preserve"> </w:t>
      </w:r>
      <w:r>
        <w:rPr>
          <w:rtl/>
          <w:lang w:bidi="fa-IR"/>
        </w:rPr>
        <w:t xml:space="preserve">يَصْنَعُ؟ » فَتَرَكْتُهُ. </w:t>
      </w:r>
      <w:r w:rsidRPr="00D10E3C">
        <w:rPr>
          <w:rStyle w:val="libFootnotenumChar"/>
          <w:rtl/>
        </w:rPr>
        <w:t>(9)</w:t>
      </w:r>
    </w:p>
    <w:p w:rsidR="00144FA6" w:rsidRDefault="00744A1C" w:rsidP="00744A1C">
      <w:pPr>
        <w:pStyle w:val="libNormal"/>
        <w:rPr>
          <w:rtl/>
          <w:lang w:bidi="fa-IR"/>
        </w:rPr>
      </w:pPr>
      <w:r>
        <w:rPr>
          <w:rtl/>
          <w:lang w:bidi="fa-IR"/>
        </w:rPr>
        <w:t xml:space="preserve">7804 / 4. عَلِيُّ بْنُ إِبْرَاهِيمَ ، عَنْ أَبِيهِ ، عَنِ ابْنِ أَبِي عُمَيْرٍ ، عَنْ جَمِيلٍ ، عَنْ زُرَارَةَ ، عَنْ أَحَدِهِمَا </w:t>
      </w:r>
      <w:r w:rsidR="008859AA" w:rsidRPr="008859AA">
        <w:rPr>
          <w:rStyle w:val="libAlaemChar"/>
          <w:rtl/>
        </w:rPr>
        <w:t>عليهما‌السلام</w:t>
      </w:r>
      <w:r>
        <w:rPr>
          <w:rtl/>
          <w:lang w:bidi="fa-IR"/>
        </w:rPr>
        <w:t xml:space="preserve">؛ وَ </w:t>
      </w:r>
      <w:r w:rsidRPr="00D10E3C">
        <w:rPr>
          <w:rStyle w:val="libFootnotenumChar"/>
          <w:rtl/>
        </w:rPr>
        <w:t>(10)</w:t>
      </w:r>
      <w:r>
        <w:rPr>
          <w:rtl/>
          <w:lang w:bidi="fa-IR"/>
        </w:rPr>
        <w:t xml:space="preserve"> عَنِ ابْنِ أُذَيْنَةَ ، عَنِ ابْنِ بُكَيْرٍ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جن » : « كما » بدل « مثل ما ».</w:t>
      </w:r>
    </w:p>
    <w:p w:rsidR="00744A1C" w:rsidRDefault="00E378DD" w:rsidP="00E378DD">
      <w:pPr>
        <w:pStyle w:val="libFootnote0"/>
        <w:rPr>
          <w:lang w:bidi="fa-IR"/>
        </w:rPr>
      </w:pPr>
      <w:r>
        <w:rPr>
          <w:rtl/>
          <w:lang w:bidi="fa-IR"/>
        </w:rPr>
        <w:t>(2).</w:t>
      </w:r>
      <w:r w:rsidR="00744A1C">
        <w:rPr>
          <w:rtl/>
          <w:lang w:bidi="fa-IR"/>
        </w:rPr>
        <w:t xml:space="preserve"> في « بخ ، بف » وحاشية « بث ، بح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أصنع ».</w:t>
      </w:r>
    </w:p>
    <w:p w:rsidR="00744A1C" w:rsidRDefault="00E378DD" w:rsidP="009253DB">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481 ، ح 1707 ، معلّقاً عن أحمد بن محمّد ، عن عليّ بن حديد ، عن جميل بن درّاج ، عن أحدهما </w:t>
      </w:r>
      <w:r w:rsidR="009253DB" w:rsidRPr="00CE5A92">
        <w:rPr>
          <w:rStyle w:val="libFootnoteAlaemChar"/>
          <w:rFonts w:eastAsiaTheme="minorHAnsi"/>
          <w:rtl/>
        </w:rPr>
        <w:t>عليهما‌السلام</w:t>
      </w:r>
      <w:r w:rsidR="009253DB">
        <w:rPr>
          <w:rFonts w:hint="cs"/>
          <w:rtl/>
          <w:lang w:bidi="fa-IR"/>
        </w:rPr>
        <w:t>.</w:t>
      </w:r>
      <w:r w:rsidR="00744A1C" w:rsidRPr="00C24F9C">
        <w:rPr>
          <w:rStyle w:val="libFootnoteBoldChar"/>
          <w:rtl/>
        </w:rPr>
        <w:t>الوافي</w:t>
      </w:r>
      <w:r w:rsidR="00744A1C">
        <w:rPr>
          <w:rtl/>
          <w:lang w:bidi="fa-IR"/>
        </w:rPr>
        <w:t xml:space="preserve"> ، ج 13 ، ص 1079 ، ح 13791 ؛ </w:t>
      </w:r>
      <w:r w:rsidR="00744A1C" w:rsidRPr="00C24F9C">
        <w:rPr>
          <w:rStyle w:val="libFootnoteBoldChar"/>
          <w:rtl/>
        </w:rPr>
        <w:t>الوسائل</w:t>
      </w:r>
      <w:r w:rsidR="00744A1C">
        <w:rPr>
          <w:rtl/>
          <w:lang w:bidi="fa-IR"/>
        </w:rPr>
        <w:t xml:space="preserve"> ، ج 14 ، ص 74 ، ح 18525.</w:t>
      </w:r>
    </w:p>
    <w:tbl>
      <w:tblPr>
        <w:tblStyle w:val="TableGrid"/>
        <w:bidiVisual/>
        <w:tblW w:w="0" w:type="auto"/>
        <w:tblLook w:val="04A0" w:firstRow="1" w:lastRow="0" w:firstColumn="1" w:lastColumn="0" w:noHBand="0" w:noVBand="1"/>
      </w:tblPr>
      <w:tblGrid>
        <w:gridCol w:w="4006"/>
        <w:gridCol w:w="4006"/>
      </w:tblGrid>
      <w:tr w:rsidR="009253DB" w:rsidTr="009253DB">
        <w:tc>
          <w:tcPr>
            <w:tcW w:w="4006" w:type="dxa"/>
          </w:tcPr>
          <w:p w:rsidR="009253DB" w:rsidRDefault="009253DB" w:rsidP="00E378DD">
            <w:pPr>
              <w:pStyle w:val="libFootnote0"/>
              <w:rPr>
                <w:rtl/>
                <w:lang w:bidi="fa-IR"/>
              </w:rPr>
            </w:pPr>
            <w:r>
              <w:rPr>
                <w:rtl/>
                <w:lang w:bidi="fa-IR"/>
              </w:rPr>
              <w:t>(4). في « بخ » : « أبا عبد الله ».</w:t>
            </w:r>
          </w:p>
        </w:tc>
        <w:tc>
          <w:tcPr>
            <w:tcW w:w="4006" w:type="dxa"/>
          </w:tcPr>
          <w:p w:rsidR="009253DB" w:rsidRDefault="00AE5118" w:rsidP="00E378DD">
            <w:pPr>
              <w:pStyle w:val="libFootnote0"/>
              <w:rPr>
                <w:rtl/>
                <w:lang w:bidi="fa-IR"/>
              </w:rPr>
            </w:pPr>
            <w:r>
              <w:rPr>
                <w:rtl/>
                <w:lang w:bidi="fa-IR"/>
              </w:rPr>
              <w:t>(5). في«ى، بث، بح»:«نحن».وفي «بس»: - «كنّ».</w:t>
            </w:r>
          </w:p>
        </w:tc>
      </w:tr>
    </w:tbl>
    <w:p w:rsidR="00744A1C" w:rsidRDefault="00E378DD" w:rsidP="00E378DD">
      <w:pPr>
        <w:pStyle w:val="libFootnote0"/>
        <w:rPr>
          <w:lang w:bidi="fa-IR"/>
        </w:rPr>
      </w:pPr>
      <w:r>
        <w:rPr>
          <w:rtl/>
          <w:lang w:bidi="fa-IR"/>
        </w:rPr>
        <w:t>(6).</w:t>
      </w:r>
      <w:r w:rsidR="00744A1C">
        <w:rPr>
          <w:rtl/>
          <w:lang w:bidi="fa-IR"/>
        </w:rPr>
        <w:t xml:space="preserve"> في « بح » : « ترميهنّ ». وفي حاشية « بح » : « ترمين ».</w:t>
      </w:r>
    </w:p>
    <w:tbl>
      <w:tblPr>
        <w:tblStyle w:val="TableGrid"/>
        <w:bidiVisual/>
        <w:tblW w:w="0" w:type="auto"/>
        <w:tblLook w:val="04A0" w:firstRow="1" w:lastRow="0" w:firstColumn="1" w:lastColumn="0" w:noHBand="0" w:noVBand="1"/>
      </w:tblPr>
      <w:tblGrid>
        <w:gridCol w:w="4006"/>
        <w:gridCol w:w="4006"/>
      </w:tblGrid>
      <w:tr w:rsidR="00AE5118" w:rsidTr="00AE5118">
        <w:tc>
          <w:tcPr>
            <w:tcW w:w="4006" w:type="dxa"/>
          </w:tcPr>
          <w:p w:rsidR="00AE5118" w:rsidRDefault="00AE5118"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 « جميعاً ».</w:t>
            </w:r>
          </w:p>
        </w:tc>
        <w:tc>
          <w:tcPr>
            <w:tcW w:w="4006" w:type="dxa"/>
          </w:tcPr>
          <w:p w:rsidR="00AE5118" w:rsidRDefault="00AE5118" w:rsidP="00E378DD">
            <w:pPr>
              <w:pStyle w:val="libFootnote0"/>
              <w:rPr>
                <w:rtl/>
                <w:lang w:bidi="fa-IR"/>
              </w:rPr>
            </w:pPr>
            <w:r>
              <w:rPr>
                <w:rtl/>
                <w:lang w:bidi="fa-IR"/>
              </w:rPr>
              <w:t>(8). في « بخ » و</w:t>
            </w:r>
            <w:r w:rsidRPr="00C24F9C">
              <w:rPr>
                <w:rStyle w:val="libFootnoteBoldChar"/>
                <w:rtl/>
              </w:rPr>
              <w:t>الوافي</w:t>
            </w:r>
            <w:r>
              <w:rPr>
                <w:rtl/>
                <w:lang w:bidi="fa-IR"/>
              </w:rPr>
              <w:t xml:space="preserve"> : - « لي ».</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13 ، ص 1080 ، ح 13793 ؛ </w:t>
      </w:r>
      <w:r w:rsidR="00744A1C" w:rsidRPr="00C24F9C">
        <w:rPr>
          <w:rStyle w:val="libFootnoteBoldChar"/>
          <w:rtl/>
        </w:rPr>
        <w:t>الوسائل</w:t>
      </w:r>
      <w:r w:rsidR="00744A1C">
        <w:rPr>
          <w:rtl/>
          <w:lang w:bidi="fa-IR"/>
        </w:rPr>
        <w:t xml:space="preserve"> ، ج 14 ، ص 74 ، ح 18526.</w:t>
      </w:r>
    </w:p>
    <w:p w:rsidR="00744A1C" w:rsidRDefault="00E378DD" w:rsidP="00E378DD">
      <w:pPr>
        <w:pStyle w:val="libFootnote0"/>
        <w:rPr>
          <w:lang w:bidi="fa-IR"/>
        </w:rPr>
      </w:pPr>
      <w:r>
        <w:rPr>
          <w:rtl/>
          <w:lang w:bidi="fa-IR"/>
        </w:rPr>
        <w:t>(10).</w:t>
      </w:r>
      <w:r w:rsidR="00744A1C">
        <w:rPr>
          <w:rtl/>
          <w:lang w:bidi="fa-IR"/>
        </w:rPr>
        <w:t xml:space="preserve"> في السند تحويل ظاهر بعطف « عن ابن ا</w:t>
      </w:r>
      <w:r w:rsidR="002F7AF0">
        <w:rPr>
          <w:rFonts w:hint="cs"/>
          <w:rtl/>
          <w:lang w:bidi="fa-IR"/>
        </w:rPr>
        <w:t>ُ</w:t>
      </w:r>
      <w:r w:rsidR="00744A1C">
        <w:rPr>
          <w:rtl/>
          <w:lang w:bidi="fa-IR"/>
        </w:rPr>
        <w:t xml:space="preserve">ذينة ، عن ابن بكير » على « عن جميل ، عن زرارة » ، لكن لم يثبت رواية ابن اذينة وهو عمر ، عن ابن بكير وهو عبد الله. وما ورد في بعض الأسناد القليلة لا يأمن من التحريف ؛ فقد ورد في </w:t>
      </w:r>
      <w:r w:rsidR="00744A1C" w:rsidRPr="0061079A">
        <w:rPr>
          <w:rStyle w:val="libFootnoteBoldChar"/>
          <w:rtl/>
        </w:rPr>
        <w:t>الكافي</w:t>
      </w:r>
      <w:r w:rsidR="00744A1C">
        <w:rPr>
          <w:rtl/>
          <w:lang w:bidi="fa-IR"/>
        </w:rPr>
        <w:t xml:space="preserve"> ، ح 9192 رواية ابن أبي عمير عن ابن ا</w:t>
      </w:r>
      <w:r w:rsidR="002F7AF0">
        <w:rPr>
          <w:rFonts w:hint="cs"/>
          <w:rtl/>
          <w:lang w:bidi="fa-IR"/>
        </w:rPr>
        <w:t>ُ</w:t>
      </w:r>
      <w:r w:rsidR="00744A1C">
        <w:rPr>
          <w:rtl/>
          <w:lang w:bidi="fa-IR"/>
        </w:rPr>
        <w:t>ذينة عن ابن بكير والمذكور في بعض النسخ هو « بكير » بدل « ابن بكير » وهو الصواب.</w:t>
      </w:r>
    </w:p>
    <w:p w:rsidR="00744A1C" w:rsidRDefault="00744A1C" w:rsidP="002F7AF0">
      <w:pPr>
        <w:pStyle w:val="libFootnote0"/>
        <w:rPr>
          <w:lang w:bidi="fa-IR"/>
        </w:rPr>
      </w:pPr>
      <w:r>
        <w:rPr>
          <w:rtl/>
          <w:lang w:bidi="fa-IR"/>
        </w:rPr>
        <w:t>و</w:t>
      </w:r>
      <w:r w:rsidR="002F7AF0">
        <w:rPr>
          <w:rFonts w:hint="cs"/>
          <w:rtl/>
          <w:lang w:bidi="fa-IR"/>
        </w:rPr>
        <w:t xml:space="preserve"> </w:t>
      </w:r>
      <w:r>
        <w:rPr>
          <w:rtl/>
          <w:lang w:bidi="fa-IR"/>
        </w:rPr>
        <w:t xml:space="preserve">ورد في </w:t>
      </w:r>
      <w:r w:rsidRPr="0061079A">
        <w:rPr>
          <w:rStyle w:val="libFootnoteBoldChar"/>
          <w:rtl/>
        </w:rPr>
        <w:t>الكافي</w:t>
      </w:r>
      <w:r>
        <w:rPr>
          <w:rtl/>
          <w:lang w:bidi="fa-IR"/>
        </w:rPr>
        <w:t xml:space="preserve"> ، ح 10686 رواية عليّ بن إبراهيم عن أبيه عن ابن أبي عمير عن ابن اذينة عن ابن بكير وغيره عن أبي جعفر </w:t>
      </w:r>
      <w:r w:rsidR="002F7AF0" w:rsidRPr="002F7AF0">
        <w:rPr>
          <w:rStyle w:val="libFootnoteAlaemChar"/>
          <w:rFonts w:eastAsiaTheme="minorHAnsi"/>
          <w:rtl/>
        </w:rPr>
        <w:t>عليه‌السلام</w:t>
      </w:r>
      <w:r>
        <w:rPr>
          <w:rtl/>
          <w:lang w:bidi="fa-IR"/>
        </w:rPr>
        <w:t xml:space="preserve">. لكنّ الظاهر أنّ هذا الخبر وما ورد في </w:t>
      </w:r>
      <w:r w:rsidRPr="0061079A">
        <w:rPr>
          <w:rStyle w:val="libFootnoteBoldChar"/>
          <w:rtl/>
        </w:rPr>
        <w:t>الكافي</w:t>
      </w:r>
      <w:r>
        <w:rPr>
          <w:rtl/>
          <w:lang w:bidi="fa-IR"/>
        </w:rPr>
        <w:t xml:space="preserve"> ، ح 10668 بنفس الإسناد عن عمر بن ا</w:t>
      </w:r>
      <w:r w:rsidR="002F7AF0">
        <w:rPr>
          <w:rFonts w:hint="cs"/>
          <w:rtl/>
          <w:lang w:bidi="fa-IR"/>
        </w:rPr>
        <w:t>ُ</w:t>
      </w:r>
      <w:r>
        <w:rPr>
          <w:rtl/>
          <w:lang w:bidi="fa-IR"/>
        </w:rPr>
        <w:t>ذينة عن بكير [ بن أعين ] وغيره عن أبي جعفر ، قطعتان من خبرٍ واحدٍ ، فلا يخلو السند الأوّل من خللٍ.</w:t>
      </w:r>
    </w:p>
    <w:p w:rsidR="00744A1C" w:rsidRDefault="00744A1C" w:rsidP="00687AD8">
      <w:pPr>
        <w:pStyle w:val="libFootnote0"/>
        <w:rPr>
          <w:lang w:bidi="fa-IR"/>
        </w:rPr>
      </w:pPr>
      <w:r>
        <w:rPr>
          <w:rtl/>
          <w:lang w:bidi="fa-IR"/>
        </w:rPr>
        <w:t xml:space="preserve">ويؤيّد ذلك أنّ ابن بكير ليس من أصحاب أبي جعفر </w:t>
      </w:r>
      <w:r w:rsidR="00687AD8" w:rsidRPr="002F7AF0">
        <w:rPr>
          <w:rStyle w:val="libFootnoteAlaemChar"/>
          <w:rFonts w:eastAsiaTheme="minorHAnsi"/>
          <w:rtl/>
        </w:rPr>
        <w:t>عليه‌السلام</w:t>
      </w:r>
      <w:r>
        <w:rPr>
          <w:rtl/>
          <w:lang w:bidi="fa-IR"/>
        </w:rPr>
        <w:t>.</w:t>
      </w:r>
      <w:r w:rsidR="002F7AF0">
        <w:rPr>
          <w:rFonts w:hint="cs"/>
          <w:rtl/>
          <w:lang w:bidi="fa-IR"/>
        </w:rPr>
        <w:t>=</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كَانَتِ الْجِمَارُ تُرْمى جَمِيعاً ، قُلْتُ : فَأَرْمِيهَا؟</w:t>
      </w:r>
    </w:p>
    <w:p w:rsidR="00144FA6" w:rsidRDefault="00744A1C" w:rsidP="00744A1C">
      <w:pPr>
        <w:pStyle w:val="libNormal"/>
        <w:rPr>
          <w:rtl/>
          <w:lang w:bidi="fa-IR"/>
        </w:rPr>
      </w:pPr>
      <w:r>
        <w:rPr>
          <w:rtl/>
          <w:lang w:bidi="fa-IR"/>
        </w:rPr>
        <w:t xml:space="preserve">فَقَالَ </w:t>
      </w:r>
      <w:r w:rsidRPr="00D10E3C">
        <w:rPr>
          <w:rStyle w:val="libFootnotenumChar"/>
          <w:rtl/>
        </w:rPr>
        <w:t>(1)</w:t>
      </w:r>
      <w:r>
        <w:rPr>
          <w:rtl/>
          <w:lang w:bidi="fa-IR"/>
        </w:rPr>
        <w:t xml:space="preserve"> : « لَا ، أَمَا تَرْضى أَنْ تَصْنَعَ كَمَا أَصْنَعُ؟ » </w:t>
      </w:r>
      <w:r w:rsidRPr="00D10E3C">
        <w:rPr>
          <w:rStyle w:val="libFootnotenumChar"/>
          <w:rtl/>
        </w:rPr>
        <w:t>(2)</w:t>
      </w:r>
    </w:p>
    <w:p w:rsidR="00744A1C" w:rsidRDefault="00744A1C" w:rsidP="00744A1C">
      <w:pPr>
        <w:pStyle w:val="libNormal"/>
        <w:rPr>
          <w:lang w:bidi="fa-IR"/>
        </w:rPr>
      </w:pPr>
      <w:r>
        <w:rPr>
          <w:rtl/>
          <w:lang w:bidi="fa-IR"/>
        </w:rPr>
        <w:t>7805 / 5. عِدَّةٌ مِنْ أَصْحَابِنَا ، عَنْ أَحْمَدَ بْنِ مُحَمَّدٍ ، عَنْ مُحَمَّدِ بْنِ سِنَانٍ ، عَنِ ابْنِ مُسْكَانَ ، عَن</w:t>
      </w:r>
      <w:r w:rsidR="00F45C71">
        <w:rPr>
          <w:rtl/>
          <w:lang w:bidi="fa-IR"/>
        </w:rPr>
        <w:t>ْ سَعِيدٍ الرُّومِيِّ ، قَالَ :</w:t>
      </w:r>
    </w:p>
    <w:p w:rsidR="00144FA6" w:rsidRDefault="00744A1C" w:rsidP="00744A1C">
      <w:pPr>
        <w:pStyle w:val="libNormal"/>
        <w:rPr>
          <w:rtl/>
          <w:lang w:bidi="fa-IR"/>
        </w:rPr>
      </w:pPr>
      <w:r>
        <w:rPr>
          <w:rtl/>
          <w:lang w:bidi="fa-IR"/>
        </w:rPr>
        <w:t xml:space="preserve">رَمى أَبُو عَبْدِ اللهِ </w:t>
      </w:r>
      <w:r w:rsidR="0061079A" w:rsidRPr="0061079A">
        <w:rPr>
          <w:rStyle w:val="libAlaemChar"/>
          <w:rtl/>
        </w:rPr>
        <w:t>عليه‌السلام</w:t>
      </w:r>
      <w:r w:rsidR="00D10E3C">
        <w:rPr>
          <w:rtl/>
          <w:lang w:bidi="fa-IR"/>
        </w:rPr>
        <w:t xml:space="preserve"> </w:t>
      </w:r>
      <w:r>
        <w:rPr>
          <w:rtl/>
          <w:lang w:bidi="fa-IR"/>
        </w:rPr>
        <w:t xml:space="preserve">الْجَمْرَةَ الْعُظْمى ، فَرَأَى النَّاسَ وُقُوفاً </w:t>
      </w:r>
      <w:r w:rsidRPr="00D10E3C">
        <w:rPr>
          <w:rStyle w:val="libFootnotenumChar"/>
          <w:rtl/>
        </w:rPr>
        <w:t>(3)</w:t>
      </w:r>
      <w:r>
        <w:rPr>
          <w:rtl/>
          <w:lang w:bidi="fa-IR"/>
        </w:rPr>
        <w:t xml:space="preserve"> ، فَقَامَ </w:t>
      </w:r>
      <w:r w:rsidRPr="00D10E3C">
        <w:rPr>
          <w:rStyle w:val="libFootnotenumChar"/>
          <w:rtl/>
        </w:rPr>
        <w:t>(4)</w:t>
      </w:r>
      <w:r>
        <w:rPr>
          <w:rtl/>
          <w:lang w:bidi="fa-IR"/>
        </w:rPr>
        <w:t xml:space="preserve"> وَسْطَهُمْ ، ثُمَّ نَادى </w:t>
      </w:r>
      <w:r w:rsidRPr="00D10E3C">
        <w:rPr>
          <w:rStyle w:val="libFootnotenumChar"/>
          <w:rtl/>
        </w:rPr>
        <w:t>(5)</w:t>
      </w:r>
      <w:r>
        <w:rPr>
          <w:rtl/>
          <w:lang w:bidi="fa-IR"/>
        </w:rPr>
        <w:t xml:space="preserve"> بِأَعْلى صَوْتِهِ </w:t>
      </w:r>
      <w:r w:rsidRPr="00D10E3C">
        <w:rPr>
          <w:rStyle w:val="libFootnotenumChar"/>
          <w:rtl/>
        </w:rPr>
        <w:t>(6)</w:t>
      </w:r>
      <w:r>
        <w:rPr>
          <w:rtl/>
          <w:lang w:bidi="fa-IR"/>
        </w:rPr>
        <w:t xml:space="preserve"> : « أَيُّهَا النَّاسُ ، إِنَّ هذَا لَيْسَ بِمَوْقِفٍ </w:t>
      </w:r>
      <w:r w:rsidRPr="00D10E3C">
        <w:rPr>
          <w:rStyle w:val="libFootnotenumChar"/>
          <w:rtl/>
        </w:rPr>
        <w:t>(7)</w:t>
      </w:r>
      <w:r>
        <w:rPr>
          <w:rtl/>
          <w:lang w:bidi="fa-IR"/>
        </w:rPr>
        <w:t xml:space="preserve"> » ثَلَاثَ مَرَّاتٍ ، فَفَعَلْتُ.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ED0808" w:rsidP="00D10E3C">
      <w:pPr>
        <w:pStyle w:val="libFootnote0"/>
        <w:rPr>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ورد في </w:t>
      </w:r>
      <w:r w:rsidR="00744A1C" w:rsidRPr="00C24F9C">
        <w:rPr>
          <w:rStyle w:val="libFootnoteBoldChar"/>
          <w:rtl/>
        </w:rPr>
        <w:t>التهذيب</w:t>
      </w:r>
      <w:r w:rsidR="00744A1C">
        <w:rPr>
          <w:rtl/>
          <w:lang w:bidi="fa-IR"/>
        </w:rPr>
        <w:t xml:space="preserve"> ، ج 1 ، ص 7 ، ح 9 رواية ابن أبي عمير عن ابن ا</w:t>
      </w:r>
      <w:r w:rsidR="00F0183C">
        <w:rPr>
          <w:rFonts w:hint="cs"/>
          <w:rtl/>
          <w:lang w:bidi="fa-IR"/>
        </w:rPr>
        <w:t>ُ</w:t>
      </w:r>
      <w:r w:rsidR="00744A1C">
        <w:rPr>
          <w:rtl/>
          <w:lang w:bidi="fa-IR"/>
        </w:rPr>
        <w:t xml:space="preserve">ذينة عن ابن بكير ، قال : قلت لأبي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لكنّ الخبر مذكور في </w:t>
      </w:r>
      <w:r w:rsidR="00744A1C" w:rsidRPr="00A914B5">
        <w:rPr>
          <w:rStyle w:val="libFootnoteBoldChar"/>
          <w:rtl/>
        </w:rPr>
        <w:t>تفسير العيّاشي</w:t>
      </w:r>
      <w:r w:rsidR="00744A1C">
        <w:rPr>
          <w:rtl/>
          <w:lang w:bidi="fa-IR"/>
        </w:rPr>
        <w:t xml:space="preserve"> ، ج 1 ، ص 297 ، ح 48 وفيه : « بكير بن أعين ، قال : قلت لأبي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744A1C" w:rsidP="00D10E3C">
      <w:pPr>
        <w:pStyle w:val="libFootnote0"/>
        <w:rPr>
          <w:lang w:bidi="fa-IR"/>
        </w:rPr>
      </w:pPr>
      <w:r>
        <w:rPr>
          <w:rtl/>
          <w:lang w:bidi="fa-IR"/>
        </w:rPr>
        <w:t>و</w:t>
      </w:r>
      <w:r w:rsidR="00ED0808">
        <w:rPr>
          <w:rFonts w:hint="cs"/>
          <w:rtl/>
          <w:lang w:bidi="fa-IR"/>
        </w:rPr>
        <w:t xml:space="preserve"> </w:t>
      </w:r>
      <w:r>
        <w:rPr>
          <w:rtl/>
          <w:lang w:bidi="fa-IR"/>
        </w:rPr>
        <w:t xml:space="preserve">ورد في </w:t>
      </w:r>
      <w:r w:rsidRPr="00C24F9C">
        <w:rPr>
          <w:rStyle w:val="libFootnoteBoldChar"/>
          <w:rtl/>
        </w:rPr>
        <w:t>التهذيب</w:t>
      </w:r>
      <w:r>
        <w:rPr>
          <w:rtl/>
          <w:lang w:bidi="fa-IR"/>
        </w:rPr>
        <w:t xml:space="preserve"> ، ج 8 ، ص 44 ، ح 133 رواية ابن أبي عمير عن ابن ا</w:t>
      </w:r>
      <w:r w:rsidR="00F0183C">
        <w:rPr>
          <w:rFonts w:hint="cs"/>
          <w:rtl/>
          <w:lang w:bidi="fa-IR"/>
        </w:rPr>
        <w:t>ُ</w:t>
      </w:r>
      <w:r>
        <w:rPr>
          <w:rtl/>
          <w:lang w:bidi="fa-IR"/>
        </w:rPr>
        <w:t xml:space="preserve">ذينة عن ابن بكير قال : سمعت أبا جعفر </w:t>
      </w:r>
      <w:r w:rsidR="0061079A" w:rsidRPr="0061079A">
        <w:rPr>
          <w:rStyle w:val="libFootnoteAlaemChar"/>
          <w:rtl/>
        </w:rPr>
        <w:t>عليه‌السلام</w:t>
      </w:r>
      <w:r w:rsidR="00D10E3C">
        <w:rPr>
          <w:rtl/>
          <w:lang w:bidi="fa-IR"/>
        </w:rPr>
        <w:t xml:space="preserve"> </w:t>
      </w:r>
      <w:r>
        <w:rPr>
          <w:rtl/>
          <w:lang w:bidi="fa-IR"/>
        </w:rPr>
        <w:t xml:space="preserve">، والخبر ورد في </w:t>
      </w:r>
      <w:r w:rsidRPr="0061079A">
        <w:rPr>
          <w:rStyle w:val="libFootnoteBoldChar"/>
          <w:rtl/>
        </w:rPr>
        <w:t>الكافي</w:t>
      </w:r>
      <w:r>
        <w:rPr>
          <w:rtl/>
          <w:lang w:bidi="fa-IR"/>
        </w:rPr>
        <w:t xml:space="preserve"> ، ح 10710 عن ابن ا</w:t>
      </w:r>
      <w:r w:rsidR="00F0183C">
        <w:rPr>
          <w:rFonts w:hint="cs"/>
          <w:rtl/>
          <w:lang w:bidi="fa-IR"/>
        </w:rPr>
        <w:t>ُ</w:t>
      </w:r>
      <w:r>
        <w:rPr>
          <w:rtl/>
          <w:lang w:bidi="fa-IR"/>
        </w:rPr>
        <w:t xml:space="preserve">ذينة عن بكير قال : سمعت أبا جعفر </w:t>
      </w:r>
      <w:r w:rsidR="0061079A" w:rsidRPr="0061079A">
        <w:rPr>
          <w:rStyle w:val="libFootnoteAlaemChar"/>
          <w:rtl/>
        </w:rPr>
        <w:t>عليه‌السلام</w:t>
      </w:r>
      <w:r w:rsidR="00D10E3C">
        <w:rPr>
          <w:rtl/>
          <w:lang w:bidi="fa-IR"/>
        </w:rPr>
        <w:t xml:space="preserve"> </w:t>
      </w:r>
      <w:r>
        <w:rPr>
          <w:rtl/>
          <w:lang w:bidi="fa-IR"/>
        </w:rPr>
        <w:t xml:space="preserve">، وورد باختلاف يسير في الألفاظ في </w:t>
      </w:r>
      <w:r w:rsidRPr="00C24F9C">
        <w:rPr>
          <w:rStyle w:val="libFootnoteBoldChar"/>
          <w:rtl/>
        </w:rPr>
        <w:t>الفقيه</w:t>
      </w:r>
      <w:r>
        <w:rPr>
          <w:rtl/>
          <w:lang w:bidi="fa-IR"/>
        </w:rPr>
        <w:t xml:space="preserve"> ، ج 3 ، ص 498 ، ح 4755 عن بكير بن أعين عن أبي جعفر </w:t>
      </w:r>
      <w:r w:rsidR="0061079A" w:rsidRPr="0061079A">
        <w:rPr>
          <w:rStyle w:val="libFootnoteAlaemChar"/>
          <w:rtl/>
        </w:rPr>
        <w:t>عليه‌السلام</w:t>
      </w:r>
      <w:r w:rsidR="00D10E3C">
        <w:rPr>
          <w:rtl/>
          <w:lang w:bidi="fa-IR"/>
        </w:rPr>
        <w:t xml:space="preserve"> </w:t>
      </w:r>
      <w:r>
        <w:rPr>
          <w:rtl/>
          <w:lang w:bidi="fa-IR"/>
        </w:rPr>
        <w:t>، قال : سمعته يقول.</w:t>
      </w:r>
    </w:p>
    <w:p w:rsidR="00744A1C" w:rsidRDefault="00744A1C" w:rsidP="00D10E3C">
      <w:pPr>
        <w:pStyle w:val="libFootnote0"/>
        <w:rPr>
          <w:lang w:bidi="fa-IR"/>
        </w:rPr>
      </w:pPr>
      <w:r>
        <w:rPr>
          <w:rtl/>
          <w:lang w:bidi="fa-IR"/>
        </w:rPr>
        <w:t xml:space="preserve">وأمّا ما ورد في </w:t>
      </w:r>
      <w:r w:rsidRPr="00211914">
        <w:rPr>
          <w:rStyle w:val="libFootnoteBoldChar"/>
          <w:rtl/>
        </w:rPr>
        <w:t>بصائر الدرجات</w:t>
      </w:r>
      <w:r>
        <w:rPr>
          <w:rtl/>
          <w:lang w:bidi="fa-IR"/>
        </w:rPr>
        <w:t xml:space="preserve"> ، ص 46 ، ح 9 من رواية أحمد بن الحسن بن عليّ بن فضّال عن ابن ا</w:t>
      </w:r>
      <w:r w:rsidR="00F0183C">
        <w:rPr>
          <w:rFonts w:hint="cs"/>
          <w:rtl/>
          <w:lang w:bidi="fa-IR"/>
        </w:rPr>
        <w:t>ُ</w:t>
      </w:r>
      <w:r>
        <w:rPr>
          <w:rtl/>
          <w:lang w:bidi="fa-IR"/>
        </w:rPr>
        <w:t>ذينة عن عبد الله بن بكير عن ميسّر ، فالظاهر أنّ ابن ا</w:t>
      </w:r>
      <w:r w:rsidR="00F0183C">
        <w:rPr>
          <w:rFonts w:hint="cs"/>
          <w:rtl/>
          <w:lang w:bidi="fa-IR"/>
        </w:rPr>
        <w:t>ُ</w:t>
      </w:r>
      <w:r>
        <w:rPr>
          <w:rtl/>
          <w:lang w:bidi="fa-IR"/>
        </w:rPr>
        <w:t>ذينة فيه محرّف من « أبيه » ؛ فقد ورد في رجال الكشّي ، ص 242 ، الرقم 443 رواية عليّ بن الحسن بن فضّال عن أخويه : محمّد وأحمد عن أبيهم عن ابن بكير عن ميسّر بن عبد العزيز.</w:t>
      </w:r>
    </w:p>
    <w:p w:rsidR="00744A1C" w:rsidRDefault="00744A1C" w:rsidP="00D10E3C">
      <w:pPr>
        <w:pStyle w:val="libFootnote0"/>
        <w:rPr>
          <w:lang w:bidi="fa-IR"/>
        </w:rPr>
      </w:pPr>
      <w:r>
        <w:rPr>
          <w:rtl/>
          <w:lang w:bidi="fa-IR"/>
        </w:rPr>
        <w:t>فعليه ، لا يبعد أن يكون الصواب في ما نحن فيه أيضاً « بكير » بدل « ابن بكير ». والله هو العالم.</w:t>
      </w:r>
    </w:p>
    <w:p w:rsidR="00744A1C" w:rsidRDefault="00D10E3C" w:rsidP="00D10E3C">
      <w:pPr>
        <w:pStyle w:val="libFootnote0"/>
        <w:rPr>
          <w:lang w:bidi="fa-IR"/>
        </w:rPr>
      </w:pPr>
      <w:r>
        <w:rPr>
          <w:rtl/>
          <w:lang w:bidi="fa-IR"/>
        </w:rPr>
        <w:t>(1).</w:t>
      </w:r>
      <w:r w:rsidR="00744A1C">
        <w:rPr>
          <w:rtl/>
          <w:lang w:bidi="fa-IR"/>
        </w:rPr>
        <w:t xml:space="preserve"> في « بخ ، بف ، جد » و</w:t>
      </w:r>
      <w:r w:rsidR="00744A1C" w:rsidRPr="00C24F9C">
        <w:rPr>
          <w:rStyle w:val="libFootnoteBoldChar"/>
          <w:rtl/>
        </w:rPr>
        <w:t>الوافي</w:t>
      </w:r>
      <w:r w:rsidR="00744A1C">
        <w:rPr>
          <w:rtl/>
          <w:lang w:bidi="fa-IR"/>
        </w:rPr>
        <w:t xml:space="preserve"> : « قال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13 ، ص 1080 ، ح 13792 ؛ </w:t>
      </w:r>
      <w:r w:rsidR="00744A1C" w:rsidRPr="00C24F9C">
        <w:rPr>
          <w:rStyle w:val="libFootnoteBoldChar"/>
          <w:rtl/>
        </w:rPr>
        <w:t>الوسائل</w:t>
      </w:r>
      <w:r w:rsidR="00744A1C">
        <w:rPr>
          <w:rtl/>
          <w:lang w:bidi="fa-IR"/>
        </w:rPr>
        <w:t xml:space="preserve"> ، ج 14 ، ص 73 ، ح 18624.</w:t>
      </w:r>
    </w:p>
    <w:p w:rsidR="00744A1C" w:rsidRDefault="00E378DD" w:rsidP="00E378DD">
      <w:pPr>
        <w:pStyle w:val="libFootnote0"/>
        <w:rPr>
          <w:lang w:bidi="fa-IR"/>
        </w:rPr>
      </w:pPr>
      <w:r>
        <w:rPr>
          <w:rtl/>
          <w:lang w:bidi="fa-IR"/>
        </w:rPr>
        <w:t>(3).</w:t>
      </w:r>
      <w:r w:rsidR="00744A1C">
        <w:rPr>
          <w:rtl/>
          <w:lang w:bidi="fa-IR"/>
        </w:rPr>
        <w:t xml:space="preserve"> في « بخ ، بف » : + « قال ».</w:t>
      </w:r>
    </w:p>
    <w:p w:rsidR="00744A1C" w:rsidRDefault="00E378DD" w:rsidP="00E378DD">
      <w:pPr>
        <w:pStyle w:val="libFootnote0"/>
        <w:rPr>
          <w:lang w:bidi="fa-IR"/>
        </w:rPr>
      </w:pPr>
      <w:r>
        <w:rPr>
          <w:rtl/>
          <w:lang w:bidi="fa-IR"/>
        </w:rPr>
        <w:t>(4).</w:t>
      </w:r>
      <w:r w:rsidR="00744A1C">
        <w:rPr>
          <w:rtl/>
          <w:lang w:bidi="fa-IR"/>
        </w:rPr>
        <w:t xml:space="preserve"> في « بف » : « فوقف ». وفي « ى ، بخ ، جد » : + « في ». وفي </w:t>
      </w:r>
      <w:r w:rsidR="00744A1C" w:rsidRPr="00C24F9C">
        <w:rPr>
          <w:rStyle w:val="libFootnoteBoldChar"/>
          <w:rtl/>
        </w:rPr>
        <w:t>الوافي</w:t>
      </w:r>
      <w:r w:rsidR="00744A1C">
        <w:rPr>
          <w:rtl/>
          <w:lang w:bidi="fa-IR"/>
        </w:rPr>
        <w:t xml:space="preserve"> : « فقال : قف في ».</w:t>
      </w:r>
    </w:p>
    <w:p w:rsidR="00744A1C" w:rsidRDefault="00E378DD" w:rsidP="00E378DD">
      <w:pPr>
        <w:pStyle w:val="libFootnote0"/>
        <w:rPr>
          <w:lang w:bidi="fa-IR"/>
        </w:rPr>
      </w:pPr>
      <w:r>
        <w:rPr>
          <w:rtl/>
          <w:lang w:bidi="fa-IR"/>
        </w:rPr>
        <w:t>(5).</w:t>
      </w:r>
      <w:r w:rsidR="00744A1C">
        <w:rPr>
          <w:rtl/>
          <w:lang w:bidi="fa-IR"/>
        </w:rPr>
        <w:t xml:space="preserve"> في « بخ ، بف » : « ناداهم ». وفي </w:t>
      </w:r>
      <w:r w:rsidR="00744A1C" w:rsidRPr="00C24F9C">
        <w:rPr>
          <w:rStyle w:val="libFootnoteBoldChar"/>
          <w:rtl/>
        </w:rPr>
        <w:t>الوافي</w:t>
      </w:r>
      <w:r w:rsidR="00744A1C">
        <w:rPr>
          <w:rtl/>
          <w:lang w:bidi="fa-IR"/>
        </w:rPr>
        <w:t xml:space="preserve"> : « نادهم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صوتك ». ثمّ قال : « في بعض النسخ : فقام فوقف في وسطهم ، ثمّ ناداهم بأعلى صوته. ولا يلائمه قوله : ففعلت ». وفي </w:t>
      </w:r>
      <w:r w:rsidR="00744A1C" w:rsidRPr="00C24F9C">
        <w:rPr>
          <w:rStyle w:val="libFootnoteBoldChar"/>
          <w:rtl/>
        </w:rPr>
        <w:t>المرآة</w:t>
      </w:r>
      <w:r w:rsidR="00744A1C">
        <w:rPr>
          <w:rtl/>
          <w:lang w:bidi="fa-IR"/>
        </w:rPr>
        <w:t xml:space="preserve"> : « قوله : ففعلت ، أي فعلت أنا أيضاً مثل فعله </w:t>
      </w:r>
      <w:r w:rsidR="0061079A" w:rsidRPr="0061079A">
        <w:rPr>
          <w:rStyle w:val="libFootnoteAlaemChar"/>
          <w:rtl/>
        </w:rPr>
        <w:t>عليه‌السلام</w:t>
      </w:r>
      <w:r w:rsidR="00D10E3C">
        <w:rPr>
          <w:rtl/>
          <w:lang w:bidi="fa-IR"/>
        </w:rPr>
        <w:t xml:space="preserve"> </w:t>
      </w:r>
      <w:r w:rsidR="00744A1C">
        <w:rPr>
          <w:rtl/>
          <w:lang w:bidi="fa-IR"/>
        </w:rPr>
        <w:t>، وفي بعض النسخ : قال : قف في وسطهم ، ثمّ نادهم بأعلى صوتك ، وهو أظهر ، لكنّ أكثر النسخ ، كما في الأصل ».</w:t>
      </w:r>
    </w:p>
    <w:p w:rsidR="00744A1C" w:rsidRDefault="00E378DD" w:rsidP="00E378DD">
      <w:pPr>
        <w:pStyle w:val="libFootnote0"/>
        <w:rPr>
          <w:lang w:bidi="fa-IR"/>
        </w:rPr>
      </w:pPr>
      <w:r>
        <w:rPr>
          <w:rtl/>
          <w:lang w:bidi="fa-IR"/>
        </w:rPr>
        <w:t>(7).</w:t>
      </w:r>
      <w:r w:rsidR="00744A1C">
        <w:rPr>
          <w:rtl/>
          <w:lang w:bidi="fa-IR"/>
        </w:rPr>
        <w:t xml:space="preserve"> في « بخ » و</w:t>
      </w:r>
      <w:r w:rsidR="00744A1C" w:rsidRPr="00C24F9C">
        <w:rPr>
          <w:rStyle w:val="libFootnoteBoldChar"/>
          <w:rtl/>
        </w:rPr>
        <w:t>الوافي</w:t>
      </w:r>
      <w:r w:rsidR="00744A1C">
        <w:rPr>
          <w:rtl/>
          <w:lang w:bidi="fa-IR"/>
        </w:rPr>
        <w:t xml:space="preserve"> : « موقفاً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13 ، ص 1080 ، ح 13794 ؛ </w:t>
      </w:r>
      <w:r w:rsidR="00744A1C" w:rsidRPr="00C24F9C">
        <w:rPr>
          <w:rStyle w:val="libFootnoteBoldChar"/>
          <w:rtl/>
        </w:rPr>
        <w:t>الوسائل</w:t>
      </w:r>
      <w:r w:rsidR="00744A1C">
        <w:rPr>
          <w:rtl/>
          <w:lang w:bidi="fa-IR"/>
        </w:rPr>
        <w:t xml:space="preserve"> ، ج 14 ، ص 66 ، ح 18599.</w:t>
      </w:r>
    </w:p>
    <w:p w:rsidR="000F7CEC" w:rsidRDefault="000F7CEC" w:rsidP="00D10E3C">
      <w:pPr>
        <w:pStyle w:val="libNormal"/>
        <w:rPr>
          <w:rtl/>
          <w:lang w:bidi="fa-IR"/>
        </w:rPr>
      </w:pPr>
      <w:r>
        <w:rPr>
          <w:rtl/>
          <w:lang w:bidi="fa-IR"/>
        </w:rPr>
        <w:br w:type="page"/>
      </w:r>
    </w:p>
    <w:p w:rsidR="00144FA6" w:rsidRDefault="00901D24" w:rsidP="00901D24">
      <w:pPr>
        <w:pStyle w:val="libNormal"/>
        <w:rPr>
          <w:rtl/>
          <w:lang w:bidi="fa-IR"/>
        </w:rPr>
      </w:pPr>
      <w:r>
        <w:rPr>
          <w:rtl/>
          <w:lang w:bidi="fa-IR"/>
        </w:rPr>
        <w:lastRenderedPageBreak/>
        <w:t xml:space="preserve">7806 / 6. مُحَمَّدُ بْنُ يَحْيى ، عَنْ أَحْمَدَ بْنِ مُحَمَّدٍ ، عَنِ الْحَسَنِ </w:t>
      </w:r>
      <w:r w:rsidRPr="00D10E3C">
        <w:rPr>
          <w:rStyle w:val="libFootnotenumChar"/>
          <w:rtl/>
        </w:rPr>
        <w:t>(1)</w:t>
      </w:r>
      <w:r>
        <w:rPr>
          <w:rtl/>
          <w:lang w:bidi="fa-IR"/>
        </w:rPr>
        <w:t xml:space="preserve"> بْنِ مَحْبُوبٍ ، عَنْ عَلِيِّ </w:t>
      </w:r>
      <w:r w:rsidRPr="00D10E3C">
        <w:rPr>
          <w:rStyle w:val="libFootnotenumChar"/>
          <w:rtl/>
        </w:rPr>
        <w:t>(2)</w:t>
      </w:r>
      <w:r>
        <w:rPr>
          <w:rtl/>
          <w:lang w:bidi="fa-IR"/>
        </w:rPr>
        <w:t xml:space="preserve"> بْنِ رِئَابٍ ، عَنْ مُحَمَّدِ بْنِ قَيْسٍ :</w:t>
      </w:r>
    </w:p>
    <w:p w:rsidR="00144FA6" w:rsidRDefault="00901D24" w:rsidP="00901D24">
      <w:pPr>
        <w:pStyle w:val="libNormal"/>
        <w:rPr>
          <w:rtl/>
          <w:lang w:bidi="fa-IR"/>
        </w:rPr>
      </w:pPr>
      <w:r>
        <w:rPr>
          <w:rtl/>
          <w:lang w:bidi="fa-IR"/>
        </w:rPr>
        <w:t xml:space="preserve">عَنْ أَبِي جَعْفَرٍ </w:t>
      </w:r>
      <w:r w:rsidRPr="0061079A">
        <w:rPr>
          <w:rStyle w:val="libAlaemChar"/>
          <w:rtl/>
        </w:rPr>
        <w:t>عليه‌السلام</w:t>
      </w:r>
      <w:r>
        <w:rPr>
          <w:rtl/>
          <w:lang w:bidi="fa-IR"/>
        </w:rPr>
        <w:t xml:space="preserve"> ، قَالَ : « قَالَ رَسُولُ اللهِ </w:t>
      </w:r>
      <w:r w:rsidRPr="00901D24">
        <w:rPr>
          <w:rStyle w:val="libAlaemChar"/>
          <w:rFonts w:eastAsiaTheme="minorHAnsi"/>
          <w:rtl/>
        </w:rPr>
        <w:t>صلى‌الله‌عليه‌وآله</w:t>
      </w:r>
      <w:r>
        <w:rPr>
          <w:rtl/>
          <w:lang w:bidi="fa-IR"/>
        </w:rPr>
        <w:t xml:space="preserve"> لِرَجُلٍ مِنَ الْأَنْصَارِ : إِذَا رَمَيْتَ الْجِمَارَ ، كَانَ لَكَ بِكُلِّ حَصَاةٍ عَشْرُ حَسَنَاتٍ ، تُكْتَبُ </w:t>
      </w:r>
      <w:r w:rsidRPr="00D10E3C">
        <w:rPr>
          <w:rStyle w:val="libFootnotenumChar"/>
          <w:rtl/>
        </w:rPr>
        <w:t>(3)</w:t>
      </w:r>
      <w:r>
        <w:rPr>
          <w:rtl/>
          <w:lang w:bidi="fa-IR"/>
        </w:rPr>
        <w:t xml:space="preserve"> لَكَ لِمَا </w:t>
      </w:r>
      <w:r w:rsidRPr="00D10E3C">
        <w:rPr>
          <w:rStyle w:val="libFootnotenumChar"/>
          <w:rtl/>
        </w:rPr>
        <w:t>(4)</w:t>
      </w:r>
      <w:r>
        <w:rPr>
          <w:rtl/>
          <w:lang w:bidi="fa-IR"/>
        </w:rPr>
        <w:t xml:space="preserve"> يُسْتَقْبَلُ </w:t>
      </w:r>
      <w:r w:rsidRPr="00D10E3C">
        <w:rPr>
          <w:rStyle w:val="libFootnotenumChar"/>
          <w:rtl/>
        </w:rPr>
        <w:t>(5)</w:t>
      </w:r>
      <w:r>
        <w:rPr>
          <w:rtl/>
          <w:lang w:bidi="fa-IR"/>
        </w:rPr>
        <w:t xml:space="preserve"> مِنْ عُمُرِكَ ». </w:t>
      </w:r>
      <w:r w:rsidRPr="00D10E3C">
        <w:rPr>
          <w:rStyle w:val="libFootnotenumChar"/>
          <w:rtl/>
        </w:rPr>
        <w:t>(6)</w:t>
      </w:r>
    </w:p>
    <w:p w:rsidR="00144FA6" w:rsidRDefault="00901D24" w:rsidP="00901D24">
      <w:pPr>
        <w:pStyle w:val="libNormal"/>
        <w:rPr>
          <w:rtl/>
          <w:lang w:bidi="fa-IR"/>
        </w:rPr>
      </w:pPr>
      <w:r>
        <w:rPr>
          <w:rtl/>
          <w:lang w:bidi="fa-IR"/>
        </w:rPr>
        <w:t xml:space="preserve">7807 / 7. عِدَّةٌ مِنْ أَصْحَابِنَا ، عَنْ أَحْمَدَ بْنِ أَبِي عَبْدِ اللهِ </w:t>
      </w:r>
      <w:r w:rsidRPr="00D10E3C">
        <w:rPr>
          <w:rStyle w:val="libFootnotenumChar"/>
          <w:rtl/>
        </w:rPr>
        <w:t>(7)</w:t>
      </w:r>
      <w:r>
        <w:rPr>
          <w:rtl/>
          <w:lang w:bidi="fa-IR"/>
        </w:rPr>
        <w:t xml:space="preserve"> ، عَنْ أَبِيهِ ، عَنْ حَمَّادٍ ، عَنْ حَرِيزٍ :</w:t>
      </w:r>
    </w:p>
    <w:p w:rsidR="00144FA6" w:rsidRDefault="00901D24" w:rsidP="00EE5E45">
      <w:pPr>
        <w:pStyle w:val="libNormal"/>
        <w:rPr>
          <w:rtl/>
          <w:lang w:bidi="fa-IR"/>
        </w:rPr>
      </w:pPr>
      <w:r>
        <w:rPr>
          <w:rtl/>
          <w:lang w:bidi="fa-IR"/>
        </w:rPr>
        <w:t xml:space="preserve">عَنْ أَبِي عَبْدِ اللهِ </w:t>
      </w:r>
      <w:r w:rsidR="00EE5E45" w:rsidRPr="0061079A">
        <w:rPr>
          <w:rStyle w:val="libAlaemChar"/>
          <w:rtl/>
        </w:rPr>
        <w:t>عليه‌السلام</w:t>
      </w:r>
      <w:r w:rsidR="00EE5E45">
        <w:rPr>
          <w:rtl/>
          <w:lang w:bidi="fa-IR"/>
        </w:rPr>
        <w:t xml:space="preserve"> </w:t>
      </w:r>
      <w:r>
        <w:rPr>
          <w:rtl/>
          <w:lang w:bidi="fa-IR"/>
        </w:rPr>
        <w:t xml:space="preserve">فِي رَمْيِ الْجِمَارِ ، قَالَ : « لَهُ بِكُلِّ حَصَاةٍ يَرْمِي بِهَا تُحَطُّ </w:t>
      </w:r>
      <w:r w:rsidRPr="00D10E3C">
        <w:rPr>
          <w:rStyle w:val="libFootnotenumChar"/>
          <w:rtl/>
        </w:rPr>
        <w:t>(8)</w:t>
      </w:r>
      <w:r>
        <w:rPr>
          <w:rtl/>
          <w:lang w:bidi="fa-IR"/>
        </w:rPr>
        <w:t xml:space="preserve"> عَنْهُ كَبِيرَةٌ مُوبِقَةٌ </w:t>
      </w:r>
      <w:r w:rsidRPr="00D10E3C">
        <w:rPr>
          <w:rStyle w:val="libFootnotenumChar"/>
          <w:rtl/>
        </w:rPr>
        <w:t>(9)</w:t>
      </w:r>
      <w:r>
        <w:rPr>
          <w:rtl/>
          <w:lang w:bidi="fa-IR"/>
        </w:rPr>
        <w:t xml:space="preserve"> ». </w:t>
      </w:r>
      <w:r w:rsidRPr="00D10E3C">
        <w:rPr>
          <w:rStyle w:val="libFootnotenumChar"/>
          <w:rtl/>
        </w:rPr>
        <w:t>(10)</w:t>
      </w:r>
    </w:p>
    <w:p w:rsidR="00901D24" w:rsidRDefault="00901D24" w:rsidP="00901D24">
      <w:pPr>
        <w:pStyle w:val="libLine"/>
        <w:rPr>
          <w:lang w:bidi="fa-IR"/>
        </w:rPr>
      </w:pPr>
      <w:r>
        <w:rPr>
          <w:rtl/>
          <w:lang w:bidi="fa-IR"/>
        </w:rPr>
        <w:t>____________________</w:t>
      </w:r>
    </w:p>
    <w:p w:rsidR="00901D24" w:rsidRDefault="00901D24" w:rsidP="00901D24">
      <w:pPr>
        <w:pStyle w:val="libFootnote0"/>
        <w:rPr>
          <w:lang w:bidi="fa-IR"/>
        </w:rPr>
      </w:pPr>
      <w:r>
        <w:rPr>
          <w:rtl/>
          <w:lang w:bidi="fa-IR"/>
        </w:rPr>
        <w:t>(1). في « بخ ، بف » : - « الحسن ».</w:t>
      </w:r>
    </w:p>
    <w:p w:rsidR="00901D24" w:rsidRDefault="00901D24" w:rsidP="00901D24">
      <w:pPr>
        <w:pStyle w:val="libFootnote0"/>
        <w:rPr>
          <w:lang w:bidi="fa-IR"/>
        </w:rPr>
      </w:pPr>
      <w:r>
        <w:rPr>
          <w:rtl/>
          <w:lang w:bidi="fa-IR"/>
        </w:rPr>
        <w:t>(2). في « بخ » : - « عليّ ».</w:t>
      </w:r>
    </w:p>
    <w:p w:rsidR="00901D24" w:rsidRDefault="00901D24" w:rsidP="00901D24">
      <w:pPr>
        <w:pStyle w:val="libFootnote0"/>
        <w:rPr>
          <w:lang w:bidi="fa-IR"/>
        </w:rPr>
      </w:pPr>
      <w:r>
        <w:rPr>
          <w:rtl/>
          <w:lang w:bidi="fa-IR"/>
        </w:rPr>
        <w:t>(3). في « ى ، بح ، بس ، بف ، جد » : « يكتب ». وفي « جن » بالتاء والياء معاً.</w:t>
      </w:r>
    </w:p>
    <w:p w:rsidR="00901D24" w:rsidRDefault="00901D24" w:rsidP="00901D24">
      <w:pPr>
        <w:pStyle w:val="libFootnote0"/>
        <w:rPr>
          <w:lang w:bidi="fa-IR"/>
        </w:rPr>
      </w:pPr>
      <w:r>
        <w:rPr>
          <w:rtl/>
          <w:lang w:bidi="fa-IR"/>
        </w:rPr>
        <w:t>(4). في الوسائل والتهذيب : « فيما ».</w:t>
      </w:r>
    </w:p>
    <w:p w:rsidR="00901D24" w:rsidRDefault="00901D24" w:rsidP="00901D24">
      <w:pPr>
        <w:pStyle w:val="libFootnote0"/>
        <w:rPr>
          <w:lang w:bidi="fa-IR"/>
        </w:rPr>
      </w:pPr>
      <w:r>
        <w:rPr>
          <w:rtl/>
          <w:lang w:bidi="fa-IR"/>
        </w:rPr>
        <w:t xml:space="preserve">(5). هكذا في جميع النسخ التي قوبلت والوسائل. وفي المطبوع : « تستقبل ». وفي الوافي : « لعلّ المراد أنّه تكتب له في كلّ سنة مادام حيّاً ». وفي </w:t>
      </w:r>
      <w:r w:rsidRPr="00901D24">
        <w:rPr>
          <w:rStyle w:val="libFootnoteBoldChar"/>
          <w:rtl/>
        </w:rPr>
        <w:t>المرآة</w:t>
      </w:r>
      <w:r>
        <w:rPr>
          <w:rtl/>
          <w:lang w:bidi="fa-IR"/>
        </w:rPr>
        <w:t xml:space="preserve"> : « قوله </w:t>
      </w:r>
      <w:r w:rsidRPr="00901D24">
        <w:rPr>
          <w:rStyle w:val="libFootnoteAlaemChar"/>
          <w:rtl/>
        </w:rPr>
        <w:t>عليه‌السلام</w:t>
      </w:r>
      <w:r>
        <w:rPr>
          <w:rtl/>
          <w:lang w:bidi="fa-IR"/>
        </w:rPr>
        <w:t>: لما تستقبل ، لعلّ المعنى أنّ فعل الحسنات لم</w:t>
      </w:r>
      <w:r>
        <w:rPr>
          <w:rFonts w:hint="cs"/>
          <w:rtl/>
          <w:lang w:bidi="fa-IR"/>
        </w:rPr>
        <w:t>ـّ</w:t>
      </w:r>
      <w:r>
        <w:rPr>
          <w:rtl/>
          <w:lang w:bidi="fa-IR"/>
        </w:rPr>
        <w:t>ا كان من ثمراتها تكفير السيّئات ، وقد ذهبت سيّئاته لما قد مضى من الأفعال فهذا يدّخر له لما يستقبل من عمره إن أتى فيه سيّئة فهذا يكفّرها».</w:t>
      </w:r>
    </w:p>
    <w:p w:rsidR="00901D24" w:rsidRDefault="00901D24" w:rsidP="00901D24">
      <w:pPr>
        <w:pStyle w:val="libFootnote0"/>
        <w:rPr>
          <w:lang w:bidi="fa-IR"/>
        </w:rPr>
      </w:pPr>
      <w:r>
        <w:rPr>
          <w:rtl/>
          <w:lang w:bidi="fa-IR"/>
        </w:rPr>
        <w:t xml:space="preserve">(6). الفقيه ، ج 2 ، ص 202 ، ضمن الحديث الطويل 2138 ، معلّقاً عن ابن محبوب. وفي التهذيب ، ج 5 ، ص 20 ، ضمن الحديث الطويل 57 ؛ </w:t>
      </w:r>
      <w:r w:rsidRPr="00901D24">
        <w:rPr>
          <w:rStyle w:val="libFootnoteBoldChar"/>
          <w:rtl/>
        </w:rPr>
        <w:t>والأمالي للصدوق</w:t>
      </w:r>
      <w:r>
        <w:rPr>
          <w:rtl/>
          <w:lang w:bidi="fa-IR"/>
        </w:rPr>
        <w:t xml:space="preserve"> ، ص 549 ، المجلس 81 ، ضمن الحديث الطويل 2138 ، بسندهما عن الحسن بن محبوب </w:t>
      </w:r>
      <w:r w:rsidRPr="00901D24">
        <w:rPr>
          <w:rStyle w:val="libFootnoteBoldChar"/>
          <w:rtl/>
        </w:rPr>
        <w:t>الوافي</w:t>
      </w:r>
      <w:r>
        <w:rPr>
          <w:rtl/>
          <w:lang w:bidi="fa-IR"/>
        </w:rPr>
        <w:t xml:space="preserve"> ، ج 13 ، ص 1081 ، ح 13795 ؛ </w:t>
      </w:r>
      <w:r w:rsidRPr="00901D24">
        <w:rPr>
          <w:rStyle w:val="libFootnoteBoldChar"/>
          <w:rtl/>
        </w:rPr>
        <w:t>الوسائل</w:t>
      </w:r>
      <w:r>
        <w:rPr>
          <w:rtl/>
          <w:lang w:bidi="fa-IR"/>
        </w:rPr>
        <w:t xml:space="preserve"> ، ج 14 ، ص 54 ، ح 18567.</w:t>
      </w:r>
    </w:p>
    <w:p w:rsidR="00901D24" w:rsidRDefault="00901D24" w:rsidP="00901D24">
      <w:pPr>
        <w:pStyle w:val="libFootnote0"/>
        <w:rPr>
          <w:lang w:bidi="fa-IR"/>
        </w:rPr>
      </w:pPr>
      <w:r>
        <w:rPr>
          <w:rtl/>
          <w:lang w:bidi="fa-IR"/>
        </w:rPr>
        <w:t>(7). هكذا في « ى ، بث ، بح ، بخ ، بس ، بف ، جد ، جر ، جن » والوسائل. وفي المطبوع : « أحمد بن محمّد بن أبي‌عبد الله ». وهو سهو واضح.</w:t>
      </w:r>
    </w:p>
    <w:p w:rsidR="00901D24" w:rsidRDefault="00901D24" w:rsidP="00901D24">
      <w:pPr>
        <w:pStyle w:val="libFootnote0"/>
        <w:rPr>
          <w:lang w:bidi="fa-IR"/>
        </w:rPr>
      </w:pPr>
      <w:r>
        <w:rPr>
          <w:rtl/>
          <w:lang w:bidi="fa-IR"/>
        </w:rPr>
        <w:t>(8). في « ى ، بخ ، بس ، جد ، جن » والوسائل والمحاسن : « يحطّ ».</w:t>
      </w:r>
    </w:p>
    <w:p w:rsidR="00901D24" w:rsidRDefault="00901D24" w:rsidP="00901D24">
      <w:pPr>
        <w:pStyle w:val="libFootnote0"/>
        <w:rPr>
          <w:lang w:bidi="fa-IR"/>
        </w:rPr>
      </w:pPr>
      <w:r>
        <w:rPr>
          <w:rtl/>
          <w:lang w:bidi="fa-IR"/>
        </w:rPr>
        <w:t>(9). « موبقة » ، أي مهلكة. راجع : الصحاح ، ج 4 ، ص 1562 ( وبق ).</w:t>
      </w:r>
    </w:p>
    <w:p w:rsidR="00901D24" w:rsidRDefault="00901D24" w:rsidP="00901D24">
      <w:pPr>
        <w:pStyle w:val="libFootnote0"/>
        <w:rPr>
          <w:lang w:bidi="fa-IR"/>
        </w:rPr>
      </w:pPr>
      <w:r>
        <w:rPr>
          <w:rtl/>
          <w:lang w:bidi="fa-IR"/>
        </w:rPr>
        <w:t xml:space="preserve">(10). هكذا في معظم النسخ التي قوبلت الوافي والمرآة والوسائل ، ح 18597 والتهذيب. وفي « بث » والمطبوع : - « ثمّ ». (10) </w:t>
      </w:r>
      <w:r w:rsidRPr="00901D24">
        <w:rPr>
          <w:rStyle w:val="libFootnoteBoldChar"/>
          <w:rtl/>
        </w:rPr>
        <w:t>المحاسن</w:t>
      </w:r>
      <w:r>
        <w:rPr>
          <w:rtl/>
          <w:lang w:bidi="fa-IR"/>
        </w:rPr>
        <w:t xml:space="preserve"> ، ص 67 ، كتاب ثواب الأعمال ، ح 125 ، عن أبيه ، عن حمّاد بن عيسى ، عن حريز. الفقيه ، ج 2 ، ص 214 ، ح 2197 ، مرسلاً ، مع اختلاف يسير الوافي ، ج 13 ، ص 1081 ، ح 13796 ؛ الوسائل ، ج 14 ، ص 54 ، ح 18566.</w:t>
      </w:r>
    </w:p>
    <w:p w:rsidR="00901D24" w:rsidRDefault="00901D24" w:rsidP="00901D24">
      <w:pPr>
        <w:pStyle w:val="libNormal"/>
        <w:rPr>
          <w:rtl/>
          <w:lang w:bidi="fa-IR"/>
        </w:rPr>
      </w:pPr>
      <w:r>
        <w:rPr>
          <w:rtl/>
          <w:lang w:bidi="fa-IR"/>
        </w:rPr>
        <w:br w:type="page"/>
      </w:r>
    </w:p>
    <w:p w:rsidR="00144FA6" w:rsidRDefault="00901D24" w:rsidP="00901D24">
      <w:pPr>
        <w:pStyle w:val="Heading2Center"/>
        <w:rPr>
          <w:rtl/>
          <w:lang w:bidi="fa-IR"/>
        </w:rPr>
      </w:pPr>
      <w:bookmarkStart w:id="19" w:name="_Toc49261317"/>
      <w:r>
        <w:rPr>
          <w:rtl/>
          <w:lang w:bidi="fa-IR"/>
        </w:rPr>
        <w:lastRenderedPageBreak/>
        <w:t xml:space="preserve">174 - بَابُ رَمْيِ الْجِمَارِ فِي أَيَّامِ التَّشْرِيقِ </w:t>
      </w:r>
      <w:r w:rsidRPr="00D10E3C">
        <w:rPr>
          <w:rStyle w:val="libFootnotenumChar"/>
          <w:rtl/>
        </w:rPr>
        <w:t>(1)</w:t>
      </w:r>
      <w:bookmarkEnd w:id="19"/>
    </w:p>
    <w:p w:rsidR="00144FA6" w:rsidRDefault="00901D24" w:rsidP="00901D24">
      <w:pPr>
        <w:pStyle w:val="libNormal"/>
        <w:rPr>
          <w:rtl/>
          <w:lang w:bidi="fa-IR"/>
        </w:rPr>
      </w:pPr>
      <w:r>
        <w:rPr>
          <w:rtl/>
          <w:lang w:bidi="fa-IR"/>
        </w:rPr>
        <w:t xml:space="preserve">7808 / 1. عَلِيُّ بْنُ إِبْرَاهِيمَ ، عَنْ أَبِيهِ ، عَنِ ابْنِ أَبِي عُمَيْرٍ </w:t>
      </w:r>
      <w:r w:rsidRPr="00D10E3C">
        <w:rPr>
          <w:rStyle w:val="libFootnotenumChar"/>
          <w:rtl/>
        </w:rPr>
        <w:t>(2)</w:t>
      </w:r>
      <w:r>
        <w:rPr>
          <w:rtl/>
          <w:lang w:bidi="fa-IR"/>
        </w:rPr>
        <w:t xml:space="preserve"> ؛ وَمُحَمَّدُ بْنُ إِسْمَاعِيلَ ، عَنِ الْفَضْلِ بْنِ شَاذَانَ ، عَنْ صَفْوَانَ بْنِ يَحْيى </w:t>
      </w:r>
      <w:r w:rsidRPr="00D10E3C">
        <w:rPr>
          <w:rStyle w:val="libFootnotenumChar"/>
          <w:rtl/>
        </w:rPr>
        <w:t>(3)</w:t>
      </w:r>
      <w:r>
        <w:rPr>
          <w:rtl/>
          <w:lang w:bidi="fa-IR"/>
        </w:rPr>
        <w:t xml:space="preserve"> وَابْنِ أَبِي عُمَيْرٍ ، عَنْ مُعَاوِيَةَ بْنِ عَمَّارٍ :</w:t>
      </w:r>
    </w:p>
    <w:p w:rsidR="00901D24" w:rsidRDefault="00901D24" w:rsidP="00901D24">
      <w:pPr>
        <w:pStyle w:val="libNormal"/>
        <w:rPr>
          <w:lang w:bidi="fa-IR"/>
        </w:rPr>
      </w:pPr>
      <w:r>
        <w:rPr>
          <w:rtl/>
          <w:lang w:bidi="fa-IR"/>
        </w:rPr>
        <w:t xml:space="preserve">عَنْ أَبِي عَبْدِ اللهِ </w:t>
      </w:r>
      <w:r w:rsidRPr="0061079A">
        <w:rPr>
          <w:rStyle w:val="libAlaemChar"/>
          <w:rtl/>
        </w:rPr>
        <w:t>عليه‌السلام</w:t>
      </w:r>
      <w:r>
        <w:rPr>
          <w:rtl/>
          <w:lang w:bidi="fa-IR"/>
        </w:rPr>
        <w:t xml:space="preserve"> ، قَالَ : « ارْمِ فِي كُلِّ يَوْمٍ عِنْدَ زَوَالِ الشَّمْسِ </w:t>
      </w:r>
      <w:r w:rsidRPr="00D10E3C">
        <w:rPr>
          <w:rStyle w:val="libFootnotenumChar"/>
          <w:rtl/>
        </w:rPr>
        <w:t>(4)</w:t>
      </w:r>
      <w:r>
        <w:rPr>
          <w:rtl/>
          <w:lang w:bidi="fa-IR"/>
        </w:rPr>
        <w:t xml:space="preserve"> ، وَقُلْ كَمَا قُلْتَ حِينَ </w:t>
      </w:r>
      <w:r w:rsidRPr="00D10E3C">
        <w:rPr>
          <w:rStyle w:val="libFootnotenumChar"/>
          <w:rtl/>
        </w:rPr>
        <w:t>(5)</w:t>
      </w:r>
      <w:r>
        <w:rPr>
          <w:rtl/>
          <w:lang w:bidi="fa-IR"/>
        </w:rPr>
        <w:t xml:space="preserve"> رَمَيْتَ جَمْرَةَ الْعَقَبَةِ ، فَابْدَأْ </w:t>
      </w:r>
      <w:r w:rsidRPr="00D10E3C">
        <w:rPr>
          <w:rStyle w:val="libFootnotenumChar"/>
          <w:rtl/>
        </w:rPr>
        <w:t>(6)</w:t>
      </w:r>
      <w:r>
        <w:rPr>
          <w:rtl/>
          <w:lang w:bidi="fa-IR"/>
        </w:rPr>
        <w:t xml:space="preserve"> بِالْجَمْرَةِ الْأُولى ، فَارْمِهَا عَنْ يَسَارِهَا </w:t>
      </w:r>
      <w:r w:rsidRPr="00D10E3C">
        <w:rPr>
          <w:rStyle w:val="libFootnotenumChar"/>
          <w:rtl/>
        </w:rPr>
        <w:t>(7)</w:t>
      </w:r>
      <w:r>
        <w:rPr>
          <w:rtl/>
          <w:lang w:bidi="fa-IR"/>
        </w:rPr>
        <w:t xml:space="preserve"> فِي </w:t>
      </w:r>
      <w:r w:rsidRPr="00D10E3C">
        <w:rPr>
          <w:rStyle w:val="libFootnotenumChar"/>
          <w:rtl/>
        </w:rPr>
        <w:t>(8)</w:t>
      </w:r>
      <w:r>
        <w:rPr>
          <w:rtl/>
          <w:lang w:bidi="fa-IR"/>
        </w:rPr>
        <w:t xml:space="preserve"> بَطْنِ الْمَسِيلِ ، وَقُلْ كَمَا قُلْتَ </w:t>
      </w:r>
      <w:r w:rsidRPr="00D10E3C">
        <w:rPr>
          <w:rStyle w:val="libFootnotenumChar"/>
          <w:rtl/>
        </w:rPr>
        <w:t>(9)</w:t>
      </w:r>
      <w:r>
        <w:rPr>
          <w:rtl/>
          <w:lang w:bidi="fa-IR"/>
        </w:rPr>
        <w:t xml:space="preserve"> يَوْمَ النَّحْرِ ، ثُمَّ </w:t>
      </w:r>
      <w:r w:rsidRPr="00D10E3C">
        <w:rPr>
          <w:rStyle w:val="libFootnotenumChar"/>
          <w:rtl/>
        </w:rPr>
        <w:t>(10)</w:t>
      </w:r>
      <w:r>
        <w:rPr>
          <w:rtl/>
          <w:lang w:bidi="fa-IR"/>
        </w:rPr>
        <w:t xml:space="preserve"> قُمْ عَنْ يَسَارِ الطَّرِيقِ ، فَاسْتَقْبِلِ الْقِبْلَةَ ، فَاحْمَدِ </w:t>
      </w:r>
      <w:r w:rsidRPr="00D10E3C">
        <w:rPr>
          <w:rStyle w:val="libFootnotenumChar"/>
          <w:rtl/>
        </w:rPr>
        <w:t>(11)</w:t>
      </w:r>
      <w:r>
        <w:rPr>
          <w:rtl/>
          <w:lang w:bidi="fa-IR"/>
        </w:rPr>
        <w:t xml:space="preserve"> اللهَ ، وَأَثْنِ عَلَيْهِ ، وَصَلِّ عَلَى النَّبِيِّ </w:t>
      </w:r>
      <w:r w:rsidRPr="00D10E3C">
        <w:rPr>
          <w:rStyle w:val="libFootnotenumChar"/>
          <w:rtl/>
        </w:rPr>
        <w:t>(12)</w:t>
      </w:r>
      <w:r>
        <w:rPr>
          <w:rtl/>
          <w:lang w:bidi="fa-IR"/>
        </w:rPr>
        <w:t xml:space="preserve"> </w:t>
      </w:r>
      <w:r w:rsidRPr="00901D24">
        <w:rPr>
          <w:rStyle w:val="libAlaemChar"/>
          <w:rFonts w:eastAsiaTheme="minorHAnsi"/>
          <w:rtl/>
        </w:rPr>
        <w:t>صلى‌الله‌عليه‌وآله</w:t>
      </w:r>
      <w:r>
        <w:rPr>
          <w:rtl/>
          <w:lang w:bidi="fa-IR"/>
        </w:rPr>
        <w:t xml:space="preserve"> ، ثُمَّ تَقَدَّمْ قَلِيلاً ، فَتَدْعُو وَتَسْأَلُهُ أَنْ يَتَقَبَّلَ مِنْكَ ، ثُمَّ تَقَدَّمْ أَيْضاً ، ثُمَّ افْعَلْ ذلِكَ عِنْدَ الثَّانِيَةِ ، وَاصْنَعْ </w:t>
      </w:r>
      <w:r w:rsidRPr="00D10E3C">
        <w:rPr>
          <w:rStyle w:val="libFootnotenumChar"/>
          <w:rtl/>
        </w:rPr>
        <w:t>(13)</w:t>
      </w:r>
      <w:r>
        <w:rPr>
          <w:rtl/>
          <w:lang w:bidi="fa-IR"/>
        </w:rPr>
        <w:t xml:space="preserve"> كَمَا صَنَعْتَ بِالْأُولى ، وَتَقِفُ ، وَتَدْعُو اللهَ كَمَا دَعَوْتَ ، ثُمَّ تَمْضِي إِلَى الثَّالِثَةِ ، وَعَلَيْكَ السَّكِينَةَ‌</w:t>
      </w:r>
    </w:p>
    <w:p w:rsidR="00901D24" w:rsidRDefault="00901D24" w:rsidP="00901D24">
      <w:pPr>
        <w:pStyle w:val="libLine"/>
        <w:rPr>
          <w:lang w:bidi="fa-IR"/>
        </w:rPr>
      </w:pPr>
      <w:r>
        <w:rPr>
          <w:rtl/>
          <w:lang w:bidi="fa-IR"/>
        </w:rPr>
        <w:t>____________________</w:t>
      </w:r>
    </w:p>
    <w:p w:rsidR="00901D24" w:rsidRDefault="00901D24" w:rsidP="00901D24">
      <w:pPr>
        <w:pStyle w:val="libFootnote0"/>
        <w:rPr>
          <w:lang w:bidi="fa-IR"/>
        </w:rPr>
      </w:pPr>
      <w:r>
        <w:rPr>
          <w:rtl/>
          <w:lang w:bidi="fa-IR"/>
        </w:rPr>
        <w:t>(1). « أيّام التشريق » : هي ثلاثة أيّام بعد يوم النحر ؛ سمّيت بذلك ؛ لأنّ لحوم الأضاحيّ تُشرَّق فيها بمنى ، أي تشرّر في الشمس ، من تشريق اللحم ، وهو تقديده وبسطه في الشمس ليجفّ. أو سمّيت بذلك لقولهم في الجاهليّة : أشرق ثبير كيما نُغير. والإغارة : الدفع ، أي ندفع للنفر. أو سمّيت به لأنّ الهدي والضحايا لا تنحر حتّى تشرق الشمس. راجع : الصحاح ، ج 4 ، ص 1501 ؛ النهاية ، ج 2 ، ص 464 ؛ لسان العرب ، ج 10 ، ص 176 ( شرق ).</w:t>
      </w:r>
    </w:p>
    <w:p w:rsidR="00901D24" w:rsidRDefault="00901D24" w:rsidP="00901D24">
      <w:pPr>
        <w:pStyle w:val="libFootnote0"/>
        <w:rPr>
          <w:lang w:bidi="fa-IR"/>
        </w:rPr>
      </w:pPr>
      <w:r>
        <w:rPr>
          <w:rtl/>
          <w:lang w:bidi="fa-IR"/>
        </w:rPr>
        <w:t>(2). في التهذيب : - « عن ابن أبي عمير ».</w:t>
      </w:r>
    </w:p>
    <w:p w:rsidR="00901D24" w:rsidRDefault="00901D24" w:rsidP="00901D24">
      <w:pPr>
        <w:pStyle w:val="libFootnote0"/>
        <w:rPr>
          <w:lang w:bidi="fa-IR"/>
        </w:rPr>
      </w:pPr>
      <w:r>
        <w:rPr>
          <w:rtl/>
          <w:lang w:bidi="fa-IR"/>
        </w:rPr>
        <w:t>(3). في « بف » والتهذيب : - « بن يحيى ».</w:t>
      </w:r>
    </w:p>
    <w:p w:rsidR="00901D24" w:rsidRDefault="00901D24" w:rsidP="00901D24">
      <w:pPr>
        <w:pStyle w:val="libFootnote0"/>
        <w:rPr>
          <w:lang w:bidi="fa-IR"/>
        </w:rPr>
      </w:pPr>
      <w:r>
        <w:rPr>
          <w:rtl/>
          <w:lang w:bidi="fa-IR"/>
        </w:rPr>
        <w:t>(4). في الوافي : « في الاستبصار حمل الرمي عند الزوال على الأفضل ؛ لما يأتي من جواز التقديم والتأخير ».</w:t>
      </w:r>
    </w:p>
    <w:p w:rsidR="00901D24" w:rsidRDefault="00901D24" w:rsidP="00901D24">
      <w:pPr>
        <w:pStyle w:val="libFootnote0"/>
        <w:rPr>
          <w:lang w:bidi="fa-IR"/>
        </w:rPr>
      </w:pPr>
      <w:r>
        <w:rPr>
          <w:rtl/>
          <w:lang w:bidi="fa-IR"/>
        </w:rPr>
        <w:t>(5). في التهذيب : « حيث ».</w:t>
      </w:r>
    </w:p>
    <w:p w:rsidR="00901D24" w:rsidRDefault="00901D24" w:rsidP="00901D24">
      <w:pPr>
        <w:pStyle w:val="libFootnote0"/>
        <w:rPr>
          <w:lang w:bidi="fa-IR"/>
        </w:rPr>
      </w:pPr>
      <w:r>
        <w:rPr>
          <w:rtl/>
          <w:lang w:bidi="fa-IR"/>
        </w:rPr>
        <w:t>(6). في « بخ ، بف » والوافي والوسائل ، ح 18597 : « وابدأ ».</w:t>
      </w:r>
    </w:p>
    <w:p w:rsidR="00901D24" w:rsidRDefault="00901D24" w:rsidP="00901D24">
      <w:pPr>
        <w:pStyle w:val="libFootnote0"/>
        <w:rPr>
          <w:lang w:bidi="fa-IR"/>
        </w:rPr>
      </w:pPr>
      <w:r>
        <w:rPr>
          <w:rtl/>
          <w:lang w:bidi="fa-IR"/>
        </w:rPr>
        <w:t xml:space="preserve">(7). في مرآة العقول ، ج 18 ، ص 147 : « قوله </w:t>
      </w:r>
      <w:r w:rsidRPr="00901D24">
        <w:rPr>
          <w:rStyle w:val="libFootnoteAlaemChar"/>
          <w:rtl/>
        </w:rPr>
        <w:t>عليه‌السلام</w:t>
      </w:r>
      <w:r>
        <w:rPr>
          <w:rtl/>
          <w:lang w:bidi="fa-IR"/>
        </w:rPr>
        <w:t>: عن يسارها ، المراد بيسارها جانبها اليسار بالإضافة إلى المتوجّه إلى القبلة ؛ ليجعلها حينئذٍ عن يمينه ، فيكون ببطن المسيل ؛ لأنّه عن يسارها ».</w:t>
      </w:r>
    </w:p>
    <w:p w:rsidR="00901D24" w:rsidRDefault="00901D24" w:rsidP="00901D24">
      <w:pPr>
        <w:pStyle w:val="libFootnote0"/>
        <w:rPr>
          <w:lang w:bidi="fa-IR"/>
        </w:rPr>
      </w:pPr>
      <w:r>
        <w:rPr>
          <w:rtl/>
          <w:lang w:bidi="fa-IR"/>
        </w:rPr>
        <w:t>(8). في التهذيب : « من ».</w:t>
      </w:r>
    </w:p>
    <w:p w:rsidR="00901D24" w:rsidRDefault="00901D24" w:rsidP="00901D24">
      <w:pPr>
        <w:pStyle w:val="libFootnote0"/>
        <w:rPr>
          <w:lang w:bidi="fa-IR"/>
        </w:rPr>
      </w:pPr>
      <w:r>
        <w:rPr>
          <w:rtl/>
          <w:lang w:bidi="fa-IR"/>
        </w:rPr>
        <w:t>(9). في التهذيب : + « في ».</w:t>
      </w:r>
    </w:p>
    <w:p w:rsidR="00901D24" w:rsidRDefault="00901D24" w:rsidP="00901D24">
      <w:pPr>
        <w:pStyle w:val="libFootnote0"/>
        <w:rPr>
          <w:lang w:bidi="fa-IR"/>
        </w:rPr>
      </w:pPr>
      <w:r>
        <w:rPr>
          <w:rtl/>
          <w:lang w:bidi="fa-IR"/>
        </w:rPr>
        <w:t xml:space="preserve">(10). في السند تحويل بعطف « صفوان ، عن منصور بن حازم » على « صفوان بن يحيى ، عن إسحاق بن عمّار ، عن أبي بصير ». (10) المحاسن ، ص 67 ، كتاب </w:t>
      </w:r>
      <w:r w:rsidRPr="0070403F">
        <w:rPr>
          <w:rStyle w:val="libFootnoteBoldChar"/>
          <w:rtl/>
        </w:rPr>
        <w:t>ثواب الأعمال</w:t>
      </w:r>
      <w:r>
        <w:rPr>
          <w:rtl/>
          <w:lang w:bidi="fa-IR"/>
        </w:rPr>
        <w:t xml:space="preserve"> ، ح 125 ، عن أبيه ، عن حمّاد بن عيسى ، عن حريز. الفقيه ، ج 2 ، ص 214 ، ح 2197 ، مرسلاً ، </w:t>
      </w:r>
      <w:r w:rsidRPr="0070403F">
        <w:rPr>
          <w:rStyle w:val="libFootnoteBoldChar"/>
          <w:rtl/>
        </w:rPr>
        <w:t>مع اختلاف يسير</w:t>
      </w:r>
      <w:r>
        <w:rPr>
          <w:rtl/>
          <w:lang w:bidi="fa-IR"/>
        </w:rPr>
        <w:t xml:space="preserve"> الوافي ، ج 13 ، ص 1081 ، ح 13796 ؛ الوسائل ، ج 14 ، ص 54 ، ح 18566.</w:t>
      </w:r>
    </w:p>
    <w:p w:rsidR="00901D24" w:rsidRDefault="00901D24" w:rsidP="00901D24">
      <w:pPr>
        <w:pStyle w:val="libFootnote0"/>
        <w:rPr>
          <w:lang w:bidi="fa-IR"/>
        </w:rPr>
      </w:pPr>
      <w:r>
        <w:rPr>
          <w:rtl/>
          <w:lang w:bidi="fa-IR"/>
        </w:rPr>
        <w:t>(11). في « ى ، بث ، بح ، بس ، جد » وحاشية « جن » والوسائل ، ح 18597 والتهذيب : « واحمد ».</w:t>
      </w:r>
    </w:p>
    <w:tbl>
      <w:tblPr>
        <w:tblStyle w:val="TableGrid"/>
        <w:bidiVisual/>
        <w:tblW w:w="0" w:type="auto"/>
        <w:tblLook w:val="04A0" w:firstRow="1" w:lastRow="0" w:firstColumn="1" w:lastColumn="0" w:noHBand="0" w:noVBand="1"/>
      </w:tblPr>
      <w:tblGrid>
        <w:gridCol w:w="4006"/>
        <w:gridCol w:w="4006"/>
      </w:tblGrid>
      <w:tr w:rsidR="00901D24" w:rsidTr="00901D24">
        <w:tc>
          <w:tcPr>
            <w:tcW w:w="4006" w:type="dxa"/>
          </w:tcPr>
          <w:p w:rsidR="00901D24" w:rsidRDefault="00901D24" w:rsidP="00901D24">
            <w:pPr>
              <w:pStyle w:val="libFootnote0"/>
              <w:rPr>
                <w:rtl/>
                <w:lang w:bidi="fa-IR"/>
              </w:rPr>
            </w:pPr>
            <w:r>
              <w:rPr>
                <w:rtl/>
                <w:lang w:bidi="fa-IR"/>
              </w:rPr>
              <w:t>(12). في الوسائل ، ح 18597 : + « وآله ».</w:t>
            </w:r>
          </w:p>
        </w:tc>
        <w:tc>
          <w:tcPr>
            <w:tcW w:w="4006" w:type="dxa"/>
          </w:tcPr>
          <w:p w:rsidR="00901D24" w:rsidRDefault="00901D24" w:rsidP="00901D24">
            <w:pPr>
              <w:pStyle w:val="libFootnote0"/>
              <w:rPr>
                <w:rtl/>
                <w:lang w:bidi="fa-IR"/>
              </w:rPr>
            </w:pPr>
            <w:r>
              <w:rPr>
                <w:rtl/>
                <w:lang w:bidi="fa-IR"/>
              </w:rPr>
              <w:t>(13). في « بخ ، بف » والوافي : « فاصنع ».</w:t>
            </w:r>
          </w:p>
        </w:tc>
      </w:tr>
    </w:tbl>
    <w:p w:rsidR="00901D24" w:rsidRDefault="00901D24" w:rsidP="00901D24">
      <w:pPr>
        <w:pStyle w:val="libNormal"/>
        <w:rPr>
          <w:rtl/>
          <w:lang w:bidi="fa-IR"/>
        </w:rPr>
      </w:pPr>
      <w:r>
        <w:rPr>
          <w:rtl/>
          <w:lang w:bidi="fa-IR"/>
        </w:rPr>
        <w:br w:type="page"/>
      </w:r>
    </w:p>
    <w:p w:rsidR="00CD17C6" w:rsidRDefault="00CD17C6" w:rsidP="00D10E3C">
      <w:pPr>
        <w:pStyle w:val="libNormal"/>
        <w:rPr>
          <w:rtl/>
          <w:lang w:bidi="fa-IR"/>
        </w:rPr>
      </w:pPr>
      <w:r>
        <w:rPr>
          <w:rFonts w:hint="cs"/>
          <w:rtl/>
          <w:lang w:bidi="fa-IR"/>
        </w:rPr>
        <w:lastRenderedPageBreak/>
        <w:t>وَ الْوَقَارَ، فَارْمِ</w:t>
      </w:r>
      <w:r w:rsidR="006E6A28">
        <w:rPr>
          <w:rFonts w:hint="cs"/>
          <w:rtl/>
          <w:lang w:bidi="fa-IR"/>
        </w:rPr>
        <w:t xml:space="preserve"> </w:t>
      </w:r>
      <w:r w:rsidR="006E6A28" w:rsidRPr="003466D1">
        <w:rPr>
          <w:rStyle w:val="libFootnotenumChar"/>
          <w:rFonts w:hint="cs"/>
          <w:rtl/>
        </w:rPr>
        <w:t>(1)</w:t>
      </w:r>
      <w:r w:rsidR="006E6A28">
        <w:rPr>
          <w:rFonts w:hint="cs"/>
          <w:rtl/>
          <w:lang w:bidi="fa-IR"/>
        </w:rPr>
        <w:t xml:space="preserve"> </w:t>
      </w:r>
      <w:r>
        <w:rPr>
          <w:rFonts w:hint="cs"/>
          <w:rtl/>
          <w:lang w:bidi="fa-IR"/>
        </w:rPr>
        <w:t xml:space="preserve">، </w:t>
      </w:r>
      <w:r w:rsidR="006E6A28">
        <w:rPr>
          <w:rFonts w:hint="cs"/>
          <w:rtl/>
          <w:lang w:bidi="fa-IR"/>
        </w:rPr>
        <w:t xml:space="preserve">وَ لَا تَقِفْ </w:t>
      </w:r>
      <w:r w:rsidR="005A55BF">
        <w:rPr>
          <w:rFonts w:hint="cs"/>
          <w:rtl/>
          <w:lang w:bidi="fa-IR"/>
        </w:rPr>
        <w:t xml:space="preserve">عِنْدَهَا </w:t>
      </w:r>
      <w:r w:rsidR="005A55BF">
        <w:rPr>
          <w:rtl/>
          <w:lang w:bidi="fa-IR"/>
        </w:rPr>
        <w:t>»</w:t>
      </w:r>
      <w:r w:rsidR="005A55BF">
        <w:rPr>
          <w:rFonts w:hint="cs"/>
          <w:rtl/>
          <w:lang w:bidi="fa-IR"/>
        </w:rPr>
        <w:t xml:space="preserve"> .</w:t>
      </w:r>
      <w:r w:rsidR="005A55BF" w:rsidRPr="003466D1">
        <w:rPr>
          <w:rStyle w:val="libFootnotenumChar"/>
          <w:rFonts w:hint="cs"/>
          <w:rtl/>
        </w:rPr>
        <w:t>(2)</w:t>
      </w:r>
    </w:p>
    <w:p w:rsidR="005A55BF" w:rsidRDefault="005D5C19" w:rsidP="00D10E3C">
      <w:pPr>
        <w:pStyle w:val="libNormal"/>
        <w:rPr>
          <w:rtl/>
          <w:lang w:bidi="fa-IR"/>
        </w:rPr>
      </w:pPr>
      <w:r>
        <w:rPr>
          <w:rFonts w:hint="cs"/>
          <w:rtl/>
          <w:lang w:bidi="fa-IR"/>
        </w:rPr>
        <w:t xml:space="preserve">7809 / </w:t>
      </w:r>
      <w:r w:rsidRPr="004920F8">
        <w:rPr>
          <w:rFonts w:hint="cs"/>
          <w:rtl/>
        </w:rPr>
        <w:t>2</w:t>
      </w:r>
      <w:r>
        <w:rPr>
          <w:rFonts w:hint="cs"/>
          <w:rtl/>
          <w:lang w:bidi="fa-IR"/>
        </w:rPr>
        <w:t xml:space="preserve"> . مُحَمَّدُ بْنُ يَحْيى ، عَنْ مُحَمَّدِ بْنِ الْحُسَيْنِ ، عَنْ صَفْوَانَ بْنِ يَحْيى </w:t>
      </w:r>
      <w:r w:rsidRPr="003466D1">
        <w:rPr>
          <w:rStyle w:val="libFootnotenumChar"/>
          <w:rFonts w:hint="cs"/>
          <w:rtl/>
        </w:rPr>
        <w:t>(3)</w:t>
      </w:r>
      <w:r>
        <w:rPr>
          <w:rFonts w:hint="cs"/>
          <w:rtl/>
          <w:lang w:bidi="fa-IR"/>
        </w:rPr>
        <w:t xml:space="preserve"> ، عَنْ يَعْقُوبَ بْنِ شُعَيْبٍ ، قَالَ:</w:t>
      </w:r>
    </w:p>
    <w:p w:rsidR="005D5C19" w:rsidRDefault="005D5C19" w:rsidP="003466D1">
      <w:pPr>
        <w:pStyle w:val="libNormal"/>
        <w:rPr>
          <w:rtl/>
          <w:lang w:bidi="fa-IR"/>
        </w:rPr>
      </w:pPr>
      <w:r>
        <w:rPr>
          <w:rFonts w:hint="cs"/>
          <w:rtl/>
          <w:lang w:bidi="fa-IR"/>
        </w:rPr>
        <w:t xml:space="preserve">سَأَلْتُ أَبَا عَبْدِ اللهِ </w:t>
      </w:r>
      <w:r w:rsidR="003466D1" w:rsidRPr="003466D1">
        <w:rPr>
          <w:rStyle w:val="libAlaemChar"/>
          <w:rFonts w:eastAsiaTheme="minorHAnsi"/>
          <w:rtl/>
        </w:rPr>
        <w:t>عليه‌السلام</w:t>
      </w:r>
      <w:r w:rsidR="003466D1">
        <w:rPr>
          <w:rFonts w:hint="cs"/>
          <w:rtl/>
          <w:lang w:bidi="fa-IR"/>
        </w:rPr>
        <w:t xml:space="preserve"> </w:t>
      </w:r>
      <w:r>
        <w:rPr>
          <w:rFonts w:hint="cs"/>
          <w:rtl/>
          <w:lang w:bidi="fa-IR"/>
        </w:rPr>
        <w:t xml:space="preserve">عَنِ </w:t>
      </w:r>
      <w:r w:rsidRPr="003466D1">
        <w:rPr>
          <w:rStyle w:val="libFootnotenumChar"/>
          <w:rFonts w:hint="cs"/>
          <w:rtl/>
        </w:rPr>
        <w:t>(4)</w:t>
      </w:r>
      <w:r>
        <w:rPr>
          <w:rFonts w:hint="cs"/>
          <w:rtl/>
          <w:lang w:bidi="fa-IR"/>
        </w:rPr>
        <w:t xml:space="preserve"> الْجِمَارِ ؟</w:t>
      </w:r>
    </w:p>
    <w:p w:rsidR="005D5C19" w:rsidRDefault="005D5C19" w:rsidP="00D10E3C">
      <w:pPr>
        <w:pStyle w:val="libNormal"/>
        <w:rPr>
          <w:rtl/>
          <w:lang w:bidi="fa-IR"/>
        </w:rPr>
      </w:pPr>
      <w:r>
        <w:rPr>
          <w:rFonts w:hint="cs"/>
          <w:rtl/>
          <w:lang w:bidi="fa-IR"/>
        </w:rPr>
        <w:t xml:space="preserve">فَقَالَ : </w:t>
      </w:r>
      <w:r>
        <w:rPr>
          <w:rtl/>
          <w:lang w:bidi="fa-IR"/>
        </w:rPr>
        <w:t>«</w:t>
      </w:r>
      <w:r>
        <w:rPr>
          <w:rFonts w:hint="cs"/>
          <w:rtl/>
          <w:lang w:bidi="fa-IR"/>
        </w:rPr>
        <w:t xml:space="preserve"> قُمْ عِنْدَ الْجَمْرَتَيْنِ ، وَ لَا تَقُمْ عِنْدَ جَمْرَةِ الْعَقَبَةِ </w:t>
      </w:r>
      <w:r>
        <w:rPr>
          <w:rtl/>
          <w:lang w:bidi="fa-IR"/>
        </w:rPr>
        <w:t>»</w:t>
      </w:r>
      <w:r>
        <w:rPr>
          <w:rFonts w:hint="cs"/>
          <w:rtl/>
          <w:lang w:bidi="fa-IR"/>
        </w:rPr>
        <w:t>.</w:t>
      </w:r>
    </w:p>
    <w:p w:rsidR="005D5C19" w:rsidRDefault="005D5C19" w:rsidP="00D10E3C">
      <w:pPr>
        <w:pStyle w:val="libNormal"/>
        <w:rPr>
          <w:rtl/>
          <w:lang w:bidi="fa-IR"/>
        </w:rPr>
      </w:pPr>
      <w:r>
        <w:rPr>
          <w:rFonts w:hint="cs"/>
          <w:rtl/>
          <w:lang w:bidi="fa-IR"/>
        </w:rPr>
        <w:t>قُلْتُ : ه</w:t>
      </w:r>
      <w:r w:rsidR="004920F8">
        <w:rPr>
          <w:rFonts w:hint="cs"/>
          <w:rtl/>
          <w:lang w:bidi="fa-IR"/>
        </w:rPr>
        <w:t xml:space="preserve">ذَا مِنَ السُّنَّةِ ؟ قَالَ : </w:t>
      </w:r>
      <w:r w:rsidR="004920F8">
        <w:rPr>
          <w:rtl/>
          <w:lang w:bidi="fa-IR"/>
        </w:rPr>
        <w:t>«</w:t>
      </w:r>
      <w:r w:rsidR="004920F8">
        <w:rPr>
          <w:rFonts w:hint="cs"/>
          <w:rtl/>
          <w:lang w:bidi="fa-IR"/>
        </w:rPr>
        <w:t xml:space="preserve"> نَعَمْ </w:t>
      </w:r>
      <w:r w:rsidR="004920F8">
        <w:rPr>
          <w:rtl/>
          <w:lang w:bidi="fa-IR"/>
        </w:rPr>
        <w:t>»</w:t>
      </w:r>
      <w:r w:rsidR="004920F8">
        <w:rPr>
          <w:rFonts w:hint="cs"/>
          <w:rtl/>
          <w:lang w:bidi="fa-IR"/>
        </w:rPr>
        <w:t>.</w:t>
      </w:r>
    </w:p>
    <w:p w:rsidR="004920F8" w:rsidRDefault="004920F8" w:rsidP="00D10E3C">
      <w:pPr>
        <w:pStyle w:val="libNormal"/>
        <w:rPr>
          <w:rtl/>
          <w:lang w:bidi="fa-IR"/>
        </w:rPr>
      </w:pPr>
      <w:r>
        <w:rPr>
          <w:rFonts w:hint="cs"/>
          <w:rtl/>
          <w:lang w:bidi="fa-IR"/>
        </w:rPr>
        <w:t xml:space="preserve">قُلْتُ: مَا أَقُولُ إذَا رَمَيْتُ ؟ فَقَالَ : </w:t>
      </w:r>
      <w:r>
        <w:rPr>
          <w:rtl/>
          <w:lang w:bidi="fa-IR"/>
        </w:rPr>
        <w:t>«</w:t>
      </w:r>
      <w:r>
        <w:rPr>
          <w:rFonts w:hint="cs"/>
          <w:rtl/>
          <w:lang w:bidi="fa-IR"/>
        </w:rPr>
        <w:t xml:space="preserve"> كَبِّرْ مَعَ كُلِّ حَصَاةٍ </w:t>
      </w:r>
      <w:r>
        <w:rPr>
          <w:rtl/>
          <w:lang w:bidi="fa-IR"/>
        </w:rPr>
        <w:t>»</w:t>
      </w:r>
      <w:r>
        <w:rPr>
          <w:rFonts w:hint="cs"/>
          <w:rtl/>
          <w:lang w:bidi="fa-IR"/>
        </w:rPr>
        <w:t xml:space="preserve">. </w:t>
      </w:r>
      <w:r w:rsidRPr="003466D1">
        <w:rPr>
          <w:rStyle w:val="libFootnotenumChar"/>
          <w:rFonts w:hint="cs"/>
          <w:rtl/>
        </w:rPr>
        <w:t>(5)</w:t>
      </w:r>
    </w:p>
    <w:p w:rsidR="004920F8" w:rsidRDefault="004920F8" w:rsidP="00D10E3C">
      <w:pPr>
        <w:pStyle w:val="libNormal"/>
        <w:rPr>
          <w:rtl/>
          <w:lang w:bidi="fa-IR"/>
        </w:rPr>
      </w:pPr>
      <w:r>
        <w:rPr>
          <w:rFonts w:hint="cs"/>
          <w:rtl/>
          <w:lang w:bidi="fa-IR"/>
        </w:rPr>
        <w:t>7810 / 3 . مُحَمَّدُ بْنُ يَحْيى ، عَنْ أَحْمَدَ بْنِ مُحَمَّدٍ ، عَنْ عَلِيٍّ بْنِ الْحَكَمِ ، عَنْ عَلِيِّ بْنِ أَبِي حَمْزَةَ ، عَنْ أَبِي بَصِيرٍ ، قَالَ :</w:t>
      </w:r>
    </w:p>
    <w:p w:rsidR="004920F8" w:rsidRDefault="004920F8" w:rsidP="003466D1">
      <w:pPr>
        <w:pStyle w:val="libNormal"/>
        <w:rPr>
          <w:rtl/>
          <w:lang w:bidi="fa-IR"/>
        </w:rPr>
      </w:pPr>
      <w:r>
        <w:rPr>
          <w:rFonts w:hint="cs"/>
          <w:rtl/>
          <w:lang w:bidi="fa-IR"/>
        </w:rPr>
        <w:t xml:space="preserve">قَالَ أَبُو عَبْدِ اللهِ </w:t>
      </w:r>
      <w:r w:rsidR="003466D1" w:rsidRPr="003466D1">
        <w:rPr>
          <w:rStyle w:val="libAlaemChar"/>
          <w:rFonts w:eastAsiaTheme="minorHAnsi"/>
          <w:rtl/>
        </w:rPr>
        <w:t>عليه‌السلام</w:t>
      </w:r>
      <w:r>
        <w:rPr>
          <w:rFonts w:hint="cs"/>
          <w:rtl/>
          <w:lang w:bidi="fa-IR"/>
        </w:rPr>
        <w:t xml:space="preserve">: </w:t>
      </w:r>
      <w:r>
        <w:rPr>
          <w:rtl/>
          <w:lang w:bidi="fa-IR"/>
        </w:rPr>
        <w:t>«</w:t>
      </w:r>
      <w:r>
        <w:rPr>
          <w:rFonts w:hint="cs"/>
          <w:rtl/>
          <w:lang w:bidi="fa-IR"/>
        </w:rPr>
        <w:t xml:space="preserve"> خُذْ حَصَى الْجِمَارِ بِيَدِكَ الْيُسْرى ، وَ ارْمِ </w:t>
      </w:r>
      <w:r w:rsidRPr="003466D1">
        <w:rPr>
          <w:rStyle w:val="libFootnotenumChar"/>
          <w:rFonts w:hint="cs"/>
          <w:rtl/>
        </w:rPr>
        <w:t>(6)</w:t>
      </w:r>
      <w:r>
        <w:rPr>
          <w:rFonts w:hint="cs"/>
          <w:rtl/>
          <w:lang w:bidi="fa-IR"/>
        </w:rPr>
        <w:t xml:space="preserve"> بِالْيُمْنى </w:t>
      </w:r>
      <w:r w:rsidRPr="003466D1">
        <w:rPr>
          <w:rStyle w:val="libFootnotenumChar"/>
          <w:rFonts w:hint="cs"/>
          <w:rtl/>
        </w:rPr>
        <w:t>(7)</w:t>
      </w:r>
      <w:r>
        <w:rPr>
          <w:rFonts w:hint="cs"/>
          <w:rtl/>
          <w:lang w:bidi="fa-IR"/>
        </w:rPr>
        <w:t xml:space="preserve"> </w:t>
      </w:r>
      <w:r>
        <w:rPr>
          <w:rtl/>
          <w:lang w:bidi="fa-IR"/>
        </w:rPr>
        <w:t>»</w:t>
      </w:r>
      <w:r>
        <w:rPr>
          <w:rFonts w:hint="cs"/>
          <w:rtl/>
          <w:lang w:bidi="fa-IR"/>
        </w:rPr>
        <w:t xml:space="preserve">. </w:t>
      </w:r>
      <w:r w:rsidRPr="003466D1">
        <w:rPr>
          <w:rStyle w:val="libFootnotenumChar"/>
          <w:rFonts w:hint="cs"/>
          <w:rtl/>
        </w:rPr>
        <w:t>(8)</w:t>
      </w:r>
    </w:p>
    <w:p w:rsidR="00A4241F" w:rsidRDefault="00A4241F" w:rsidP="00D10E3C">
      <w:pPr>
        <w:pStyle w:val="libNormal"/>
        <w:rPr>
          <w:rtl/>
          <w:lang w:bidi="fa-IR"/>
        </w:rPr>
      </w:pPr>
      <w:r>
        <w:rPr>
          <w:rFonts w:hint="cs"/>
          <w:rtl/>
          <w:lang w:bidi="fa-IR"/>
        </w:rPr>
        <w:t xml:space="preserve">7811 / 4 . أَبُو عَلِىٍّ الْأَشْعَرِىُّ ، عَنْ مُحَمَّدِ بْنِ عَبدِ الْجَبَّارِ ، عَنْ صَفْوَانَ بْنِ يَحْيى </w:t>
      </w:r>
      <w:r w:rsidRPr="003466D1">
        <w:rPr>
          <w:rStyle w:val="libFootnotenumChar"/>
          <w:rFonts w:hint="cs"/>
          <w:rtl/>
        </w:rPr>
        <w:t>(9)</w:t>
      </w:r>
      <w:r>
        <w:rPr>
          <w:rFonts w:hint="cs"/>
          <w:rtl/>
          <w:lang w:bidi="fa-IR"/>
        </w:rPr>
        <w:t xml:space="preserve"> ، عَنْ إِسْحَاقَ بْنِ عَمَّارٍ ، عَنْ أَبِي بَصِيرٍ </w:t>
      </w:r>
      <w:r w:rsidR="00B63C2B">
        <w:rPr>
          <w:rtl/>
          <w:lang w:bidi="fa-IR"/>
        </w:rPr>
        <w:t>؛</w:t>
      </w:r>
      <w:r w:rsidR="00B63C2B">
        <w:rPr>
          <w:rFonts w:hint="cs"/>
          <w:rtl/>
          <w:lang w:bidi="fa-IR"/>
        </w:rPr>
        <w:t xml:space="preserve"> وَ </w:t>
      </w:r>
      <w:r w:rsidR="00B63C2B" w:rsidRPr="003466D1">
        <w:rPr>
          <w:rStyle w:val="libFootnotenumChar"/>
          <w:rFonts w:hint="cs"/>
          <w:rtl/>
        </w:rPr>
        <w:t>(10)</w:t>
      </w:r>
      <w:r w:rsidR="00B63C2B">
        <w:rPr>
          <w:rFonts w:hint="cs"/>
          <w:rtl/>
          <w:lang w:bidi="fa-IR"/>
        </w:rPr>
        <w:t xml:space="preserve"> صَفْوَانَ ، عَنْ مَنْصُورِ بْنِ حَازِمٍ جَمِيعاً :</w:t>
      </w:r>
    </w:p>
    <w:p w:rsidR="00B63C2B" w:rsidRDefault="00B63C2B" w:rsidP="00B63C2B">
      <w:pPr>
        <w:pStyle w:val="libLine"/>
        <w:rPr>
          <w:rtl/>
          <w:lang w:bidi="fa-IR"/>
        </w:rPr>
      </w:pPr>
      <w:r>
        <w:rPr>
          <w:rFonts w:hint="cs"/>
          <w:rtl/>
          <w:lang w:bidi="fa-IR"/>
        </w:rPr>
        <w:t>____________________</w:t>
      </w:r>
    </w:p>
    <w:p w:rsidR="00B63C2B" w:rsidRDefault="00B63C2B" w:rsidP="003466D1">
      <w:pPr>
        <w:pStyle w:val="libFootnote0"/>
        <w:rPr>
          <w:rtl/>
          <w:lang w:bidi="fa-IR"/>
        </w:rPr>
      </w:pPr>
      <w:r>
        <w:rPr>
          <w:rFonts w:hint="cs"/>
          <w:rtl/>
          <w:lang w:bidi="fa-IR"/>
        </w:rPr>
        <w:t xml:space="preserve">1. في </w:t>
      </w:r>
      <w:r w:rsidRPr="00C24F9C">
        <w:rPr>
          <w:rStyle w:val="libFootnoteBoldChar"/>
          <w:rFonts w:hint="cs"/>
          <w:rtl/>
        </w:rPr>
        <w:t>التهذيب</w:t>
      </w:r>
      <w:r>
        <w:rPr>
          <w:rFonts w:hint="cs"/>
          <w:rtl/>
          <w:lang w:bidi="fa-IR"/>
        </w:rPr>
        <w:t xml:space="preserve"> : - </w:t>
      </w:r>
      <w:r>
        <w:rPr>
          <w:rtl/>
          <w:lang w:bidi="fa-IR"/>
        </w:rPr>
        <w:t>«</w:t>
      </w:r>
      <w:r>
        <w:rPr>
          <w:rFonts w:hint="cs"/>
          <w:rtl/>
          <w:lang w:bidi="fa-IR"/>
        </w:rPr>
        <w:t xml:space="preserve"> فارم </w:t>
      </w:r>
      <w:r>
        <w:rPr>
          <w:rtl/>
          <w:lang w:bidi="fa-IR"/>
        </w:rPr>
        <w:t>»</w:t>
      </w:r>
      <w:r>
        <w:rPr>
          <w:rFonts w:hint="cs"/>
          <w:rtl/>
          <w:lang w:bidi="fa-IR"/>
        </w:rPr>
        <w:t>.</w:t>
      </w:r>
    </w:p>
    <w:p w:rsidR="00B63C2B" w:rsidRDefault="00B63C2B" w:rsidP="003466D1">
      <w:pPr>
        <w:pStyle w:val="libFootnote0"/>
        <w:rPr>
          <w:rtl/>
          <w:lang w:bidi="fa-IR"/>
        </w:rPr>
      </w:pPr>
      <w:r>
        <w:rPr>
          <w:rFonts w:hint="cs"/>
          <w:rtl/>
          <w:lang w:bidi="fa-IR"/>
        </w:rPr>
        <w:t xml:space="preserve">2. </w:t>
      </w:r>
      <w:r w:rsidRPr="00C24F9C">
        <w:rPr>
          <w:rStyle w:val="libFootnoteBoldChar"/>
          <w:rFonts w:hint="cs"/>
          <w:rtl/>
        </w:rPr>
        <w:t>التهذيب</w:t>
      </w:r>
      <w:r>
        <w:rPr>
          <w:rFonts w:hint="cs"/>
          <w:rtl/>
          <w:lang w:bidi="fa-IR"/>
        </w:rPr>
        <w:t xml:space="preserve">، ج 5 ، ص 261 ، ح 888 ، معلَقاً عن الكليني . </w:t>
      </w:r>
      <w:r w:rsidRPr="00C24F9C">
        <w:rPr>
          <w:rStyle w:val="libFootnoteBoldChar"/>
          <w:rFonts w:hint="cs"/>
          <w:rtl/>
        </w:rPr>
        <w:t>الفقيه</w:t>
      </w:r>
      <w:r>
        <w:rPr>
          <w:rFonts w:hint="cs"/>
          <w:rtl/>
          <w:lang w:bidi="fa-IR"/>
        </w:rPr>
        <w:t xml:space="preserve"> ، ج 2 ، ص 553 ، من دون الإسناد إلى المعصوم </w:t>
      </w:r>
      <w:r w:rsidR="003466D1" w:rsidRPr="003466D1">
        <w:rPr>
          <w:rStyle w:val="libFootnoteAlaemChar"/>
          <w:rFonts w:eastAsiaTheme="minorHAnsi"/>
          <w:rtl/>
        </w:rPr>
        <w:t>عليه‌السلام</w:t>
      </w:r>
      <w:r w:rsidR="003466D1">
        <w:rPr>
          <w:rFonts w:hint="cs"/>
          <w:rtl/>
          <w:lang w:bidi="fa-IR"/>
        </w:rPr>
        <w:t xml:space="preserve"> </w:t>
      </w:r>
      <w:r>
        <w:rPr>
          <w:rFonts w:hint="cs"/>
          <w:rtl/>
          <w:lang w:bidi="fa-IR"/>
        </w:rPr>
        <w:t xml:space="preserve">مع اختلاف. </w:t>
      </w:r>
      <w:r w:rsidRPr="00C24F9C">
        <w:rPr>
          <w:rStyle w:val="libFootnoteBoldChar"/>
          <w:rFonts w:hint="cs"/>
          <w:rtl/>
        </w:rPr>
        <w:t>الوافي</w:t>
      </w:r>
      <w:r>
        <w:rPr>
          <w:rFonts w:hint="cs"/>
          <w:rtl/>
          <w:lang w:bidi="fa-IR"/>
        </w:rPr>
        <w:t xml:space="preserve"> ج 13 ، ص 1083 ، ح 13800 </w:t>
      </w:r>
      <w:r>
        <w:rPr>
          <w:rtl/>
          <w:lang w:bidi="fa-IR"/>
        </w:rPr>
        <w:t>؛</w:t>
      </w:r>
      <w:r>
        <w:rPr>
          <w:rFonts w:hint="cs"/>
          <w:rtl/>
          <w:lang w:bidi="fa-IR"/>
        </w:rPr>
        <w:t xml:space="preserve"> </w:t>
      </w:r>
      <w:r w:rsidRPr="00C24F9C">
        <w:rPr>
          <w:rStyle w:val="libFootnoteBoldChar"/>
          <w:rFonts w:hint="cs"/>
          <w:rtl/>
        </w:rPr>
        <w:t>الوسائل</w:t>
      </w:r>
      <w:r>
        <w:rPr>
          <w:rFonts w:hint="cs"/>
          <w:rtl/>
          <w:lang w:bidi="fa-IR"/>
        </w:rPr>
        <w:t xml:space="preserve"> ، ج 14 ، ص 65 ، ح 18597 ، من قوله : </w:t>
      </w:r>
      <w:r>
        <w:rPr>
          <w:rtl/>
          <w:lang w:bidi="fa-IR"/>
        </w:rPr>
        <w:t>«</w:t>
      </w:r>
      <w:r>
        <w:rPr>
          <w:rFonts w:hint="cs"/>
          <w:rtl/>
          <w:lang w:bidi="fa-IR"/>
        </w:rPr>
        <w:t xml:space="preserve"> فابدأ بالجمرة الاُولى </w:t>
      </w:r>
      <w:r>
        <w:rPr>
          <w:rtl/>
          <w:lang w:bidi="fa-IR"/>
        </w:rPr>
        <w:t>»</w:t>
      </w:r>
      <w:r>
        <w:rPr>
          <w:rFonts w:hint="cs"/>
          <w:rtl/>
          <w:lang w:bidi="fa-IR"/>
        </w:rPr>
        <w:t xml:space="preserve"> وفيه ، ص 68 ، ح </w:t>
      </w:r>
      <w:r w:rsidR="006513CD">
        <w:rPr>
          <w:rFonts w:hint="cs"/>
          <w:rtl/>
          <w:lang w:bidi="fa-IR"/>
        </w:rPr>
        <w:t xml:space="preserve">18605 ، إلى قوله : </w:t>
      </w:r>
      <w:r w:rsidR="006513CD">
        <w:rPr>
          <w:rtl/>
          <w:lang w:bidi="fa-IR"/>
        </w:rPr>
        <w:t>«</w:t>
      </w:r>
      <w:r w:rsidR="006513CD">
        <w:rPr>
          <w:rFonts w:hint="cs"/>
          <w:rtl/>
          <w:lang w:bidi="fa-IR"/>
        </w:rPr>
        <w:t xml:space="preserve"> رميت جمرة العقبة </w:t>
      </w:r>
      <w:r w:rsidR="006513CD">
        <w:rPr>
          <w:rtl/>
          <w:lang w:bidi="fa-IR"/>
        </w:rPr>
        <w:t>»</w:t>
      </w:r>
      <w:r w:rsidR="006513CD">
        <w:rPr>
          <w:rFonts w:hint="cs"/>
          <w:rtl/>
          <w:lang w:bidi="fa-IR"/>
        </w:rPr>
        <w:t>.</w:t>
      </w:r>
    </w:p>
    <w:tbl>
      <w:tblPr>
        <w:tblStyle w:val="TableGrid"/>
        <w:bidiVisual/>
        <w:tblW w:w="0" w:type="auto"/>
        <w:tblLook w:val="04A0" w:firstRow="1" w:lastRow="0" w:firstColumn="1" w:lastColumn="0" w:noHBand="0" w:noVBand="1"/>
      </w:tblPr>
      <w:tblGrid>
        <w:gridCol w:w="4006"/>
        <w:gridCol w:w="4006"/>
      </w:tblGrid>
      <w:tr w:rsidR="00F45C71" w:rsidTr="00F45C71">
        <w:tc>
          <w:tcPr>
            <w:tcW w:w="4006" w:type="dxa"/>
          </w:tcPr>
          <w:p w:rsidR="00F45C71" w:rsidRDefault="00F45C71" w:rsidP="00F45C71">
            <w:pPr>
              <w:pStyle w:val="libFootnote0"/>
              <w:rPr>
                <w:rtl/>
                <w:lang w:bidi="fa-IR"/>
              </w:rPr>
            </w:pPr>
            <w:r>
              <w:rPr>
                <w:rFonts w:hint="cs"/>
                <w:rtl/>
                <w:lang w:bidi="fa-IR"/>
              </w:rPr>
              <w:t xml:space="preserve">3. في </w:t>
            </w:r>
            <w:r w:rsidRPr="00C24F9C">
              <w:rPr>
                <w:rStyle w:val="libFootnoteBoldChar"/>
                <w:rFonts w:hint="cs"/>
                <w:rtl/>
              </w:rPr>
              <w:t>التهذيب</w:t>
            </w:r>
            <w:r>
              <w:rPr>
                <w:rFonts w:hint="cs"/>
                <w:rtl/>
                <w:lang w:bidi="fa-IR"/>
              </w:rPr>
              <w:t xml:space="preserve">: </w:t>
            </w:r>
            <w:r>
              <w:rPr>
                <w:rtl/>
                <w:lang w:bidi="fa-IR"/>
              </w:rPr>
              <w:t>«</w:t>
            </w:r>
            <w:r>
              <w:rPr>
                <w:rFonts w:hint="cs"/>
                <w:rtl/>
                <w:lang w:bidi="fa-IR"/>
              </w:rPr>
              <w:t xml:space="preserve"> بن يحيى </w:t>
            </w:r>
            <w:r>
              <w:rPr>
                <w:rtl/>
                <w:lang w:bidi="fa-IR"/>
              </w:rPr>
              <w:t>»</w:t>
            </w:r>
            <w:r>
              <w:rPr>
                <w:rFonts w:hint="cs"/>
                <w:rtl/>
                <w:lang w:bidi="fa-IR"/>
              </w:rPr>
              <w:t>.</w:t>
            </w:r>
          </w:p>
        </w:tc>
        <w:tc>
          <w:tcPr>
            <w:tcW w:w="4006" w:type="dxa"/>
          </w:tcPr>
          <w:p w:rsidR="00F45C71" w:rsidRDefault="00F45C71" w:rsidP="00F45C71">
            <w:pPr>
              <w:pStyle w:val="libFootnote0"/>
              <w:rPr>
                <w:rtl/>
                <w:lang w:bidi="fa-IR"/>
              </w:rPr>
            </w:pPr>
            <w:r>
              <w:rPr>
                <w:rFonts w:hint="cs"/>
                <w:rtl/>
                <w:lang w:bidi="fa-IR"/>
              </w:rPr>
              <w:t xml:space="preserve">4. في </w:t>
            </w:r>
            <w:r>
              <w:rPr>
                <w:rtl/>
                <w:lang w:bidi="fa-IR"/>
              </w:rPr>
              <w:t>«</w:t>
            </w:r>
            <w:r>
              <w:rPr>
                <w:rFonts w:hint="cs"/>
                <w:rtl/>
                <w:lang w:bidi="fa-IR"/>
              </w:rPr>
              <w:t xml:space="preserve"> ي، بس ، جد </w:t>
            </w:r>
            <w:r>
              <w:rPr>
                <w:rtl/>
                <w:lang w:bidi="fa-IR"/>
              </w:rPr>
              <w:t>»</w:t>
            </w:r>
            <w:r>
              <w:rPr>
                <w:rFonts w:hint="cs"/>
                <w:rtl/>
                <w:lang w:bidi="fa-IR"/>
              </w:rPr>
              <w:t xml:space="preserve"> : + </w:t>
            </w:r>
            <w:r>
              <w:rPr>
                <w:rtl/>
                <w:lang w:bidi="fa-IR"/>
              </w:rPr>
              <w:t>«</w:t>
            </w:r>
            <w:r>
              <w:rPr>
                <w:rFonts w:hint="cs"/>
                <w:rtl/>
                <w:lang w:bidi="fa-IR"/>
              </w:rPr>
              <w:t xml:space="preserve"> رمي </w:t>
            </w:r>
            <w:r>
              <w:rPr>
                <w:rtl/>
                <w:lang w:bidi="fa-IR"/>
              </w:rPr>
              <w:t>»</w:t>
            </w:r>
            <w:r>
              <w:rPr>
                <w:rFonts w:hint="cs"/>
                <w:rtl/>
                <w:lang w:bidi="fa-IR"/>
              </w:rPr>
              <w:t xml:space="preserve"> .</w:t>
            </w:r>
          </w:p>
        </w:tc>
      </w:tr>
    </w:tbl>
    <w:p w:rsidR="006513CD" w:rsidRDefault="006513CD" w:rsidP="003466D1">
      <w:pPr>
        <w:pStyle w:val="libFootnote0"/>
        <w:rPr>
          <w:rtl/>
          <w:lang w:bidi="fa-IR"/>
        </w:rPr>
      </w:pPr>
      <w:r>
        <w:rPr>
          <w:rFonts w:hint="cs"/>
          <w:rtl/>
          <w:lang w:bidi="fa-IR"/>
        </w:rPr>
        <w:t xml:space="preserve">5. </w:t>
      </w:r>
      <w:r w:rsidRPr="00C24F9C">
        <w:rPr>
          <w:rStyle w:val="libFootnoteBoldChar"/>
          <w:rFonts w:hint="cs"/>
          <w:rtl/>
        </w:rPr>
        <w:t>التهذيب</w:t>
      </w:r>
      <w:r>
        <w:rPr>
          <w:rFonts w:hint="cs"/>
          <w:rtl/>
          <w:lang w:bidi="fa-IR"/>
        </w:rPr>
        <w:t xml:space="preserve">، ج 5، ص 261 ، ح 889 ، معلّقاً عن الكليني . و راجع : </w:t>
      </w:r>
      <w:r w:rsidRPr="003A7143">
        <w:rPr>
          <w:rStyle w:val="libFootnoteBoldChar"/>
          <w:rFonts w:hint="cs"/>
          <w:rtl/>
        </w:rPr>
        <w:t>فقه الرضا</w:t>
      </w:r>
      <w:r>
        <w:rPr>
          <w:rFonts w:hint="cs"/>
          <w:rtl/>
          <w:lang w:bidi="fa-IR"/>
        </w:rPr>
        <w:t xml:space="preserve"> </w:t>
      </w:r>
      <w:r w:rsidR="003466D1" w:rsidRPr="003466D1">
        <w:rPr>
          <w:rStyle w:val="libFootnoteAlaemChar"/>
          <w:rFonts w:eastAsiaTheme="minorHAnsi"/>
          <w:rtl/>
        </w:rPr>
        <w:t>عليه‌السلام</w:t>
      </w:r>
      <w:r w:rsidR="003466D1">
        <w:rPr>
          <w:rFonts w:hint="cs"/>
          <w:rtl/>
          <w:lang w:bidi="fa-IR"/>
        </w:rPr>
        <w:t xml:space="preserve"> </w:t>
      </w:r>
      <w:r>
        <w:rPr>
          <w:rFonts w:hint="cs"/>
          <w:rtl/>
          <w:lang w:bidi="fa-IR"/>
        </w:rPr>
        <w:t xml:space="preserve">، ص 225 . </w:t>
      </w:r>
      <w:r w:rsidRPr="00C24F9C">
        <w:rPr>
          <w:rStyle w:val="libFootnoteBoldChar"/>
          <w:rFonts w:hint="cs"/>
          <w:rtl/>
        </w:rPr>
        <w:t>الوافي</w:t>
      </w:r>
      <w:r>
        <w:rPr>
          <w:rFonts w:hint="cs"/>
          <w:rtl/>
          <w:lang w:bidi="fa-IR"/>
        </w:rPr>
        <w:t xml:space="preserve"> ج 13 ، ص 1084 ، ح 13801 </w:t>
      </w:r>
      <w:r>
        <w:rPr>
          <w:rtl/>
          <w:lang w:bidi="fa-IR"/>
        </w:rPr>
        <w:t>؛</w:t>
      </w:r>
      <w:r>
        <w:rPr>
          <w:rFonts w:hint="cs"/>
          <w:rtl/>
          <w:lang w:bidi="fa-IR"/>
        </w:rPr>
        <w:t xml:space="preserve"> </w:t>
      </w:r>
      <w:r w:rsidRPr="00C24F9C">
        <w:rPr>
          <w:rStyle w:val="libFootnoteBoldChar"/>
          <w:rFonts w:hint="cs"/>
          <w:rtl/>
        </w:rPr>
        <w:t>الوسائل</w:t>
      </w:r>
      <w:r>
        <w:rPr>
          <w:rFonts w:hint="cs"/>
          <w:rtl/>
          <w:lang w:bidi="fa-IR"/>
        </w:rPr>
        <w:t xml:space="preserve"> ، ج 14 ، ص 64 ، ح 18596 ، إلى قوله : </w:t>
      </w:r>
      <w:r>
        <w:rPr>
          <w:rtl/>
          <w:lang w:bidi="fa-IR"/>
        </w:rPr>
        <w:t>«</w:t>
      </w:r>
      <w:r>
        <w:rPr>
          <w:rFonts w:hint="cs"/>
          <w:rtl/>
          <w:lang w:bidi="fa-IR"/>
        </w:rPr>
        <w:t xml:space="preserve"> هذا من السنّة قال : نعم </w:t>
      </w:r>
      <w:r>
        <w:rPr>
          <w:rtl/>
          <w:lang w:bidi="fa-IR"/>
        </w:rPr>
        <w:t>»</w:t>
      </w:r>
      <w:r>
        <w:rPr>
          <w:rFonts w:hint="cs"/>
          <w:rtl/>
          <w:lang w:bidi="fa-IR"/>
        </w:rPr>
        <w:t xml:space="preserve"> </w:t>
      </w:r>
      <w:r>
        <w:rPr>
          <w:rtl/>
          <w:lang w:bidi="fa-IR"/>
        </w:rPr>
        <w:t>؛</w:t>
      </w:r>
      <w:r>
        <w:rPr>
          <w:rFonts w:hint="cs"/>
          <w:rtl/>
          <w:lang w:bidi="fa-IR"/>
        </w:rPr>
        <w:t xml:space="preserve"> </w:t>
      </w:r>
      <w:r w:rsidRPr="006513CD">
        <w:rPr>
          <w:rStyle w:val="libFootnoteBoldChar"/>
          <w:rFonts w:hint="cs"/>
          <w:rtl/>
        </w:rPr>
        <w:t>وفيه</w:t>
      </w:r>
      <w:r>
        <w:rPr>
          <w:rFonts w:hint="cs"/>
          <w:rtl/>
          <w:lang w:bidi="fa-IR"/>
        </w:rPr>
        <w:t xml:space="preserve"> ، ص 67 ، ح 18603 ، من قوله : </w:t>
      </w:r>
      <w:r>
        <w:rPr>
          <w:rtl/>
          <w:lang w:bidi="fa-IR"/>
        </w:rPr>
        <w:t>«</w:t>
      </w:r>
      <w:r>
        <w:rPr>
          <w:rFonts w:hint="cs"/>
          <w:rtl/>
          <w:lang w:bidi="fa-IR"/>
        </w:rPr>
        <w:t xml:space="preserve"> قلت: ما أقول </w:t>
      </w:r>
      <w:r>
        <w:rPr>
          <w:rtl/>
          <w:lang w:bidi="fa-IR"/>
        </w:rPr>
        <w:t>»</w:t>
      </w:r>
      <w:r>
        <w:rPr>
          <w:rFonts w:hint="cs"/>
          <w:rtl/>
          <w:lang w:bidi="fa-IR"/>
        </w:rPr>
        <w:t>.</w:t>
      </w:r>
    </w:p>
    <w:tbl>
      <w:tblPr>
        <w:tblStyle w:val="TableGrid"/>
        <w:bidiVisual/>
        <w:tblW w:w="0" w:type="auto"/>
        <w:tblLook w:val="04A0" w:firstRow="1" w:lastRow="0" w:firstColumn="1" w:lastColumn="0" w:noHBand="0" w:noVBand="1"/>
      </w:tblPr>
      <w:tblGrid>
        <w:gridCol w:w="4006"/>
        <w:gridCol w:w="4006"/>
      </w:tblGrid>
      <w:tr w:rsidR="00F45C71" w:rsidTr="00F45C71">
        <w:tc>
          <w:tcPr>
            <w:tcW w:w="4006" w:type="dxa"/>
          </w:tcPr>
          <w:p w:rsidR="00F45C71" w:rsidRDefault="00F45C71" w:rsidP="00F45C71">
            <w:pPr>
              <w:pStyle w:val="libFootnote0"/>
              <w:rPr>
                <w:rtl/>
                <w:lang w:bidi="fa-IR"/>
              </w:rPr>
            </w:pPr>
            <w:r>
              <w:rPr>
                <w:rFonts w:hint="cs"/>
                <w:rtl/>
                <w:lang w:bidi="fa-IR"/>
              </w:rPr>
              <w:t xml:space="preserve">6. في </w:t>
            </w:r>
            <w:r>
              <w:rPr>
                <w:rtl/>
                <w:lang w:bidi="fa-IR"/>
              </w:rPr>
              <w:t>«</w:t>
            </w:r>
            <w:r>
              <w:rPr>
                <w:rFonts w:hint="cs"/>
                <w:rtl/>
                <w:lang w:bidi="fa-IR"/>
              </w:rPr>
              <w:t xml:space="preserve">بث ، بف </w:t>
            </w:r>
            <w:r>
              <w:rPr>
                <w:rtl/>
                <w:lang w:bidi="fa-IR"/>
              </w:rPr>
              <w:t>»</w:t>
            </w:r>
            <w:r>
              <w:rPr>
                <w:rFonts w:hint="cs"/>
                <w:rtl/>
                <w:lang w:bidi="fa-IR"/>
              </w:rPr>
              <w:t xml:space="preserve"> : </w:t>
            </w:r>
            <w:r>
              <w:rPr>
                <w:rtl/>
                <w:lang w:bidi="fa-IR"/>
              </w:rPr>
              <w:t>«</w:t>
            </w:r>
            <w:r>
              <w:rPr>
                <w:rFonts w:hint="cs"/>
                <w:rtl/>
                <w:lang w:bidi="fa-IR"/>
              </w:rPr>
              <w:t xml:space="preserve"> ثُمّ ارم</w:t>
            </w:r>
            <w:r>
              <w:rPr>
                <w:rtl/>
                <w:lang w:bidi="fa-IR"/>
              </w:rPr>
              <w:t>»</w:t>
            </w:r>
            <w:r>
              <w:rPr>
                <w:rFonts w:hint="cs"/>
                <w:rtl/>
                <w:lang w:bidi="fa-IR"/>
              </w:rPr>
              <w:t>.</w:t>
            </w:r>
          </w:p>
        </w:tc>
        <w:tc>
          <w:tcPr>
            <w:tcW w:w="4006" w:type="dxa"/>
          </w:tcPr>
          <w:p w:rsidR="00F45C71" w:rsidRDefault="00F45C71" w:rsidP="00F45C71">
            <w:pPr>
              <w:pStyle w:val="libFootnote0"/>
              <w:rPr>
                <w:rtl/>
                <w:lang w:bidi="fa-IR"/>
              </w:rPr>
            </w:pPr>
            <w:r>
              <w:rPr>
                <w:rFonts w:hint="cs"/>
                <w:rtl/>
                <w:lang w:bidi="fa-IR"/>
              </w:rPr>
              <w:t xml:space="preserve">7. في </w:t>
            </w:r>
            <w:r w:rsidRPr="00C24F9C">
              <w:rPr>
                <w:rStyle w:val="libFootnoteBoldChar"/>
                <w:rFonts w:hint="cs"/>
                <w:rtl/>
              </w:rPr>
              <w:t>المرآة</w:t>
            </w:r>
            <w:r>
              <w:rPr>
                <w:rFonts w:hint="cs"/>
                <w:rtl/>
                <w:lang w:bidi="fa-IR"/>
              </w:rPr>
              <w:t xml:space="preserve"> : </w:t>
            </w:r>
            <w:r>
              <w:rPr>
                <w:rtl/>
                <w:lang w:bidi="fa-IR"/>
              </w:rPr>
              <w:t>«</w:t>
            </w:r>
            <w:r>
              <w:rPr>
                <w:rFonts w:hint="cs"/>
                <w:rtl/>
                <w:lang w:bidi="fa-IR"/>
              </w:rPr>
              <w:t xml:space="preserve"> يدلّ على استحباب الرمي باليمنى </w:t>
            </w:r>
            <w:r>
              <w:rPr>
                <w:rtl/>
                <w:lang w:bidi="fa-IR"/>
              </w:rPr>
              <w:t>»</w:t>
            </w:r>
            <w:r>
              <w:rPr>
                <w:rFonts w:hint="cs"/>
                <w:rtl/>
                <w:lang w:bidi="fa-IR"/>
              </w:rPr>
              <w:t>.</w:t>
            </w:r>
          </w:p>
        </w:tc>
      </w:tr>
    </w:tbl>
    <w:p w:rsidR="003466D1" w:rsidRDefault="003466D1" w:rsidP="003466D1">
      <w:pPr>
        <w:pStyle w:val="libFootnote0"/>
        <w:rPr>
          <w:rtl/>
          <w:lang w:bidi="fa-IR"/>
        </w:rPr>
      </w:pPr>
      <w:r>
        <w:rPr>
          <w:rFonts w:hint="cs"/>
          <w:rtl/>
          <w:lang w:bidi="fa-IR"/>
        </w:rPr>
        <w:t xml:space="preserve">8. راجع : </w:t>
      </w:r>
      <w:r w:rsidRPr="00C24F9C">
        <w:rPr>
          <w:rStyle w:val="libFootnoteBoldChar"/>
          <w:rFonts w:hint="cs"/>
          <w:rtl/>
        </w:rPr>
        <w:t>الفقيه</w:t>
      </w:r>
      <w:r>
        <w:rPr>
          <w:rFonts w:hint="cs"/>
          <w:rtl/>
          <w:lang w:bidi="fa-IR"/>
        </w:rPr>
        <w:t xml:space="preserve"> ، ج 2، ص 547 </w:t>
      </w:r>
      <w:r>
        <w:rPr>
          <w:rtl/>
          <w:lang w:bidi="fa-IR"/>
        </w:rPr>
        <w:t>؛</w:t>
      </w:r>
      <w:r>
        <w:rPr>
          <w:rFonts w:hint="cs"/>
          <w:rtl/>
          <w:lang w:bidi="fa-IR"/>
        </w:rPr>
        <w:t xml:space="preserve"> و </w:t>
      </w:r>
      <w:r w:rsidRPr="003A7143">
        <w:rPr>
          <w:rStyle w:val="libFootnoteBoldChar"/>
          <w:rFonts w:hint="cs"/>
          <w:rtl/>
        </w:rPr>
        <w:t>فقه الرضا</w:t>
      </w:r>
      <w:r>
        <w:rPr>
          <w:rFonts w:hint="cs"/>
          <w:rtl/>
          <w:lang w:bidi="fa-IR"/>
        </w:rPr>
        <w:t xml:space="preserve"> </w:t>
      </w:r>
      <w:r w:rsidRPr="003466D1">
        <w:rPr>
          <w:rStyle w:val="libFootnoteAlaemChar"/>
          <w:rFonts w:eastAsiaTheme="minorHAnsi"/>
          <w:rtl/>
        </w:rPr>
        <w:t>عليه‌السلام</w:t>
      </w:r>
      <w:r>
        <w:rPr>
          <w:rFonts w:hint="cs"/>
          <w:rtl/>
          <w:lang w:bidi="fa-IR"/>
        </w:rPr>
        <w:t xml:space="preserve"> ، ص 225 . </w:t>
      </w:r>
      <w:r w:rsidRPr="00C24F9C">
        <w:rPr>
          <w:rStyle w:val="libFootnoteBoldChar"/>
          <w:rFonts w:hint="cs"/>
          <w:rtl/>
        </w:rPr>
        <w:t>الوافي</w:t>
      </w:r>
      <w:r>
        <w:rPr>
          <w:rFonts w:hint="cs"/>
          <w:rtl/>
          <w:lang w:bidi="fa-IR"/>
        </w:rPr>
        <w:t xml:space="preserve"> ، ج 13 ، ص 1084 ، ح 3802 </w:t>
      </w:r>
      <w:r>
        <w:rPr>
          <w:rtl/>
          <w:lang w:bidi="fa-IR"/>
        </w:rPr>
        <w:t>؛</w:t>
      </w:r>
      <w:r>
        <w:rPr>
          <w:rFonts w:hint="cs"/>
          <w:rtl/>
          <w:lang w:bidi="fa-IR"/>
        </w:rPr>
        <w:t xml:space="preserve"> </w:t>
      </w:r>
      <w:r w:rsidRPr="00C24F9C">
        <w:rPr>
          <w:rStyle w:val="libFootnoteBoldChar"/>
          <w:rFonts w:hint="cs"/>
          <w:rtl/>
        </w:rPr>
        <w:t>الوسائل</w:t>
      </w:r>
      <w:r>
        <w:rPr>
          <w:rFonts w:hint="cs"/>
          <w:rtl/>
          <w:lang w:bidi="fa-IR"/>
        </w:rPr>
        <w:t xml:space="preserve"> ، ج 14 ، ص 68 ، ح 18606.</w:t>
      </w:r>
    </w:p>
    <w:p w:rsidR="003466D1" w:rsidRDefault="003466D1" w:rsidP="003466D1">
      <w:pPr>
        <w:pStyle w:val="libFootnote0"/>
        <w:rPr>
          <w:rtl/>
          <w:lang w:bidi="fa-IR"/>
        </w:rPr>
      </w:pPr>
      <w:r>
        <w:rPr>
          <w:rFonts w:hint="cs"/>
          <w:rtl/>
          <w:lang w:bidi="fa-IR"/>
        </w:rPr>
        <w:t xml:space="preserve">10. في السند تحويل بعطف </w:t>
      </w:r>
      <w:r>
        <w:rPr>
          <w:rtl/>
          <w:lang w:bidi="fa-IR"/>
        </w:rPr>
        <w:t>«</w:t>
      </w:r>
      <w:r>
        <w:rPr>
          <w:rFonts w:hint="cs"/>
          <w:rtl/>
          <w:lang w:bidi="fa-IR"/>
        </w:rPr>
        <w:t xml:space="preserve"> صفوان ، عن منصور بن حازم </w:t>
      </w:r>
      <w:r>
        <w:rPr>
          <w:rtl/>
          <w:lang w:bidi="fa-IR"/>
        </w:rPr>
        <w:t>»</w:t>
      </w:r>
      <w:r>
        <w:rPr>
          <w:rFonts w:hint="cs"/>
          <w:rtl/>
          <w:lang w:bidi="fa-IR"/>
        </w:rPr>
        <w:t xml:space="preserve"> على </w:t>
      </w:r>
      <w:r>
        <w:rPr>
          <w:rtl/>
          <w:lang w:bidi="fa-IR"/>
        </w:rPr>
        <w:t>«</w:t>
      </w:r>
      <w:r>
        <w:rPr>
          <w:rFonts w:hint="cs"/>
          <w:rtl/>
          <w:lang w:bidi="fa-IR"/>
        </w:rPr>
        <w:t xml:space="preserve"> صفوان بن يحيى ، عن إسحاق بن عمّار، =</w:t>
      </w:r>
    </w:p>
    <w:p w:rsidR="005A55BF" w:rsidRDefault="005A55BF" w:rsidP="005A55BF">
      <w:pPr>
        <w:pStyle w:val="libNormal"/>
        <w:rPr>
          <w:rtl/>
          <w:lang w:bidi="fa-IR"/>
        </w:rPr>
      </w:pPr>
      <w:r>
        <w:rPr>
          <w:rtl/>
          <w:lang w:bidi="fa-IR"/>
        </w:rPr>
        <w:br w:type="page"/>
      </w:r>
    </w:p>
    <w:p w:rsidR="00144FA6" w:rsidRDefault="00744A1C" w:rsidP="00C24F9C">
      <w:pPr>
        <w:pStyle w:val="libNormal"/>
        <w:rPr>
          <w:rtl/>
          <w:lang w:bidi="fa-IR"/>
        </w:rPr>
      </w:pPr>
      <w:r>
        <w:rPr>
          <w:rtl/>
          <w:lang w:bidi="fa-IR"/>
        </w:rPr>
        <w:lastRenderedPageBreak/>
        <w:t xml:space="preserve">عَنْ أَبِي عَبْدِ اللهِ </w:t>
      </w:r>
      <w:r w:rsidR="00C24F9C" w:rsidRPr="003466D1">
        <w:rPr>
          <w:rStyle w:val="libAlaemChar"/>
          <w:rFonts w:eastAsiaTheme="minorHAnsi"/>
          <w:rtl/>
        </w:rPr>
        <w:t>عليه‌السلام</w:t>
      </w:r>
      <w:r w:rsidR="00C24F9C">
        <w:rPr>
          <w:rtl/>
          <w:lang w:bidi="fa-IR"/>
        </w:rPr>
        <w:t xml:space="preserve"> </w:t>
      </w:r>
      <w:r>
        <w:rPr>
          <w:rtl/>
          <w:lang w:bidi="fa-IR"/>
        </w:rPr>
        <w:t xml:space="preserve">، قَالَ : « رَمْيُ الْجِمَارِ مِنْ طُلُوعِ الشَّمْسِ إِلى غُرُوبِهَا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7812 / 5. عَلِيُّ بْنُ إِبْرَاهِيمَ ، عَنْ أَبِيهِ ، عَنِ ابْنِ أَبِي عُمَيْرٍ ، عَنْ عُمَرَ </w:t>
      </w:r>
      <w:r w:rsidRPr="00D10E3C">
        <w:rPr>
          <w:rStyle w:val="libFootnotenumChar"/>
          <w:rtl/>
        </w:rPr>
        <w:t>(3)</w:t>
      </w:r>
      <w:r>
        <w:rPr>
          <w:rtl/>
          <w:lang w:bidi="fa-IR"/>
        </w:rPr>
        <w:t xml:space="preserve"> بْنِ أُذَيْنَةَ ، عَنْ زُرَارَةَ :</w:t>
      </w:r>
    </w:p>
    <w:p w:rsidR="00744A1C" w:rsidRDefault="00744A1C" w:rsidP="00C24F9C">
      <w:pPr>
        <w:pStyle w:val="libNormal"/>
        <w:rPr>
          <w:lang w:bidi="fa-IR"/>
        </w:rPr>
      </w:pPr>
      <w:r>
        <w:rPr>
          <w:rtl/>
          <w:lang w:bidi="fa-IR"/>
        </w:rPr>
        <w:t xml:space="preserve">عَنْ أَبِي جَعْفَرٍ </w:t>
      </w:r>
      <w:r w:rsidR="00C24F9C" w:rsidRPr="003466D1">
        <w:rPr>
          <w:rStyle w:val="libAlaemChar"/>
          <w:rFonts w:eastAsiaTheme="minorHAnsi"/>
          <w:rtl/>
        </w:rPr>
        <w:t>عليه‌السلام</w:t>
      </w:r>
      <w:r>
        <w:rPr>
          <w:rtl/>
          <w:lang w:bidi="fa-IR"/>
        </w:rPr>
        <w:t xml:space="preserve">: أَنَّهُ </w:t>
      </w:r>
      <w:r w:rsidRPr="00D10E3C">
        <w:rPr>
          <w:rStyle w:val="libFootnotenumChar"/>
          <w:rtl/>
        </w:rPr>
        <w:t>(4)</w:t>
      </w:r>
      <w:r>
        <w:rPr>
          <w:rtl/>
          <w:lang w:bidi="fa-IR"/>
        </w:rPr>
        <w:t xml:space="preserve"> قَالَ لِلْحَكَمِ بْنِ عُتَيْبَةَ </w:t>
      </w:r>
      <w:r w:rsidRPr="00D10E3C">
        <w:rPr>
          <w:rStyle w:val="libFootnotenumChar"/>
          <w:rtl/>
        </w:rPr>
        <w:t>(5)</w:t>
      </w:r>
      <w:r>
        <w:rPr>
          <w:rtl/>
          <w:lang w:bidi="fa-IR"/>
        </w:rPr>
        <w:t xml:space="preserve"> : « مَا حَدُّ رَمْيِ الْجِمَارِ؟ ».</w:t>
      </w:r>
    </w:p>
    <w:p w:rsidR="00744A1C" w:rsidRDefault="00744A1C" w:rsidP="00744A1C">
      <w:pPr>
        <w:pStyle w:val="libNormal"/>
        <w:rPr>
          <w:lang w:bidi="fa-IR"/>
        </w:rPr>
      </w:pPr>
      <w:r>
        <w:rPr>
          <w:rtl/>
          <w:lang w:bidi="fa-IR"/>
        </w:rPr>
        <w:t>فَقَالَ الْحَكَمُ : عِنْدَ زَوَالِ الشَّمْسِ.</w:t>
      </w:r>
    </w:p>
    <w:p w:rsidR="00144FA6" w:rsidRDefault="00744A1C" w:rsidP="00C24F9C">
      <w:pPr>
        <w:pStyle w:val="libNormal"/>
        <w:rPr>
          <w:rtl/>
          <w:lang w:bidi="fa-IR"/>
        </w:rPr>
      </w:pPr>
      <w:r>
        <w:rPr>
          <w:rtl/>
          <w:lang w:bidi="fa-IR"/>
        </w:rPr>
        <w:t xml:space="preserve">فَقَالَ أَبُو جَعْفَرٍ </w:t>
      </w:r>
      <w:r w:rsidR="00C24F9C" w:rsidRPr="003466D1">
        <w:rPr>
          <w:rStyle w:val="libAlaemChar"/>
          <w:rFonts w:eastAsiaTheme="minorHAnsi"/>
          <w:rtl/>
        </w:rPr>
        <w:t>عليه‌السلام</w:t>
      </w:r>
      <w:r w:rsidR="00C24F9C" w:rsidRPr="00C24F9C">
        <w:rPr>
          <w:rtl/>
        </w:rPr>
        <w:t xml:space="preserve"> </w:t>
      </w:r>
      <w:r w:rsidRPr="00D10E3C">
        <w:rPr>
          <w:rStyle w:val="libFootnotenumChar"/>
          <w:rtl/>
        </w:rPr>
        <w:t>(6)</w:t>
      </w:r>
      <w:r>
        <w:rPr>
          <w:rtl/>
          <w:lang w:bidi="fa-IR"/>
        </w:rPr>
        <w:t xml:space="preserve"> : « أَ</w:t>
      </w:r>
      <w:r w:rsidR="00C24F9C">
        <w:rPr>
          <w:rFonts w:hint="cs"/>
          <w:rtl/>
          <w:lang w:bidi="fa-IR"/>
        </w:rPr>
        <w:t xml:space="preserve"> </w:t>
      </w:r>
      <w:r>
        <w:rPr>
          <w:rtl/>
          <w:lang w:bidi="fa-IR"/>
        </w:rPr>
        <w:t xml:space="preserve">رَأَيْتَ </w:t>
      </w:r>
      <w:r w:rsidRPr="00D10E3C">
        <w:rPr>
          <w:rStyle w:val="libFootnotenumChar"/>
          <w:rtl/>
        </w:rPr>
        <w:t>(7)</w:t>
      </w:r>
      <w:r>
        <w:rPr>
          <w:rtl/>
          <w:lang w:bidi="fa-IR"/>
        </w:rPr>
        <w:t xml:space="preserve"> لَوْ أَنَّهُمَا كَانَا رَجُلَيْنِ </w:t>
      </w:r>
      <w:r w:rsidRPr="00D10E3C">
        <w:rPr>
          <w:rStyle w:val="libFootnotenumChar"/>
          <w:rtl/>
        </w:rPr>
        <w:t>(8)</w:t>
      </w:r>
      <w:r>
        <w:rPr>
          <w:rtl/>
          <w:lang w:bidi="fa-IR"/>
        </w:rPr>
        <w:t xml:space="preserve"> ، فَقَالَ أَحَدُهُمَا لِصَاحِبِهِ :</w:t>
      </w:r>
    </w:p>
    <w:p w:rsidR="00744A1C" w:rsidRDefault="00744A1C" w:rsidP="00D10E3C">
      <w:pPr>
        <w:pStyle w:val="libLine"/>
        <w:rPr>
          <w:lang w:bidi="fa-IR"/>
        </w:rPr>
      </w:pPr>
      <w:r>
        <w:rPr>
          <w:rtl/>
          <w:lang w:bidi="fa-IR"/>
        </w:rPr>
        <w:t>____________________</w:t>
      </w:r>
    </w:p>
    <w:p w:rsidR="00744A1C" w:rsidRDefault="00C24F9C" w:rsidP="00D10E3C">
      <w:pPr>
        <w:pStyle w:val="libFootnote0"/>
        <w:rPr>
          <w:lang w:bidi="fa-IR"/>
        </w:rPr>
      </w:pPr>
      <w:r>
        <w:rPr>
          <w:rFonts w:hint="cs"/>
          <w:rtl/>
          <w:lang w:bidi="fa-IR"/>
        </w:rPr>
        <w:t xml:space="preserve">= </w:t>
      </w:r>
      <w:r w:rsidR="00744A1C">
        <w:rPr>
          <w:rtl/>
          <w:lang w:bidi="fa-IR"/>
        </w:rPr>
        <w:t>عن أبي بصير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ما دلّ عليه من أنّ وقت الرمي من طلوع الشمس إلى غروبها هو المشهور بين الأصحاب وأقوى سنداً. وقال الشيخ في </w:t>
      </w:r>
      <w:r w:rsidR="00744A1C" w:rsidRPr="00C24F9C">
        <w:rPr>
          <w:rStyle w:val="libFootnoteBoldChar"/>
          <w:rtl/>
        </w:rPr>
        <w:t>الخلاف</w:t>
      </w:r>
      <w:r w:rsidR="00744A1C">
        <w:rPr>
          <w:rtl/>
          <w:lang w:bidi="fa-IR"/>
        </w:rPr>
        <w:t xml:space="preserve"> : </w:t>
      </w:r>
      <w:r w:rsidR="00C24F9C">
        <w:rPr>
          <w:rtl/>
          <w:lang w:bidi="fa-IR"/>
        </w:rPr>
        <w:t>لا يجوز الرمي أيّام التشريق إل</w:t>
      </w:r>
      <w:r w:rsidR="00C24F9C">
        <w:rPr>
          <w:rFonts w:hint="cs"/>
          <w:rtl/>
          <w:lang w:bidi="fa-IR"/>
        </w:rPr>
        <w:t>ّ</w:t>
      </w:r>
      <w:r w:rsidR="00C24F9C">
        <w:rPr>
          <w:rtl/>
          <w:lang w:bidi="fa-IR"/>
        </w:rPr>
        <w:t>ا</w:t>
      </w:r>
      <w:r w:rsidR="00744A1C">
        <w:rPr>
          <w:rtl/>
          <w:lang w:bidi="fa-IR"/>
        </w:rPr>
        <w:t xml:space="preserve">بعد الزوال ، واختاره ابن زهرة. وقال في </w:t>
      </w:r>
      <w:r w:rsidR="00744A1C" w:rsidRPr="00C24F9C">
        <w:rPr>
          <w:rStyle w:val="libFootnoteBoldChar"/>
          <w:rtl/>
        </w:rPr>
        <w:t>الفقيه</w:t>
      </w:r>
      <w:r w:rsidR="00744A1C">
        <w:rPr>
          <w:rtl/>
          <w:lang w:bidi="fa-IR"/>
        </w:rPr>
        <w:t xml:space="preserve"> : وارم الجمار في كلّ يوم بعد طلوع الشمس إلى الزوال ، وكلّما قرب من الزوال فهو أفضل ، وقد رويت رخصة من أوّل النهار. قال ابن حمزة : وقته طلوع النهار ، والفضل في الرمي عند الزوال ، وبه قال ابن إدريس ». راجع : </w:t>
      </w:r>
      <w:r w:rsidR="00744A1C" w:rsidRPr="00C24F9C">
        <w:rPr>
          <w:rStyle w:val="libFootnoteBoldChar"/>
          <w:rtl/>
        </w:rPr>
        <w:t>الخلاف</w:t>
      </w:r>
      <w:r w:rsidR="00744A1C">
        <w:rPr>
          <w:rtl/>
          <w:lang w:bidi="fa-IR"/>
        </w:rPr>
        <w:t xml:space="preserve"> ، ج 2 ، ص 350 ، المسألة 176 ؛ </w:t>
      </w:r>
      <w:r w:rsidR="00744A1C" w:rsidRPr="00C24F9C">
        <w:rPr>
          <w:rStyle w:val="libFootnoteBoldChar"/>
          <w:rtl/>
        </w:rPr>
        <w:t>مدارك الأحكام</w:t>
      </w:r>
      <w:r w:rsidR="00744A1C">
        <w:rPr>
          <w:rtl/>
          <w:lang w:bidi="fa-IR"/>
        </w:rPr>
        <w:t xml:space="preserve"> ، ج 8 ، ص 231.</w:t>
      </w:r>
    </w:p>
    <w:p w:rsidR="00744A1C" w:rsidRDefault="00E378DD" w:rsidP="00C24F9C">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262 ، ح 891 ؛ </w:t>
      </w:r>
      <w:r w:rsidR="00744A1C" w:rsidRPr="00C24F9C">
        <w:rPr>
          <w:rStyle w:val="libFootnoteBoldChar"/>
          <w:rtl/>
        </w:rPr>
        <w:t>والاستبصار</w:t>
      </w:r>
      <w:r w:rsidR="00744A1C">
        <w:rPr>
          <w:rtl/>
          <w:lang w:bidi="fa-IR"/>
        </w:rPr>
        <w:t xml:space="preserve"> ، ج 2 ، ص 296 ، ح 1055 ، بسندهما عن منصور بن حازم. وفي </w:t>
      </w:r>
      <w:r w:rsidR="00744A1C" w:rsidRPr="00C24F9C">
        <w:rPr>
          <w:rStyle w:val="libFootnoteBoldChar"/>
          <w:rtl/>
        </w:rPr>
        <w:t>التهذيب</w:t>
      </w:r>
      <w:r w:rsidR="00744A1C">
        <w:rPr>
          <w:rtl/>
          <w:lang w:bidi="fa-IR"/>
        </w:rPr>
        <w:t xml:space="preserve"> ، ج 5 ، ص 262 ، ح 890 ؛ </w:t>
      </w:r>
      <w:r w:rsidR="00744A1C" w:rsidRPr="00C24F9C">
        <w:rPr>
          <w:rStyle w:val="libFootnoteBoldChar"/>
          <w:rtl/>
        </w:rPr>
        <w:t>والاستبصار</w:t>
      </w:r>
      <w:r w:rsidR="00744A1C">
        <w:rPr>
          <w:rtl/>
          <w:lang w:bidi="fa-IR"/>
        </w:rPr>
        <w:t xml:space="preserve"> ، ج 2 ، ص 296 ، ح 1054 ، بسند آخر. </w:t>
      </w:r>
      <w:r w:rsidR="00744A1C" w:rsidRPr="00C24F9C">
        <w:rPr>
          <w:rStyle w:val="libFootnoteBoldChar"/>
          <w:rtl/>
        </w:rPr>
        <w:t>الفقيه</w:t>
      </w:r>
      <w:r w:rsidR="00744A1C">
        <w:rPr>
          <w:rtl/>
          <w:lang w:bidi="fa-IR"/>
        </w:rPr>
        <w:t xml:space="preserve"> ، ج 2 ، ص 553 ، من دون الإسناد إلى المعصوم </w:t>
      </w:r>
      <w:r w:rsidR="00C24F9C" w:rsidRPr="00C24F9C">
        <w:rPr>
          <w:rStyle w:val="libFootnoteAlaemChar"/>
          <w:rFonts w:eastAsiaTheme="minorHAnsi"/>
          <w:rtl/>
        </w:rPr>
        <w:t>عليه‌السلام</w:t>
      </w:r>
      <w:r w:rsidR="00C24F9C" w:rsidRPr="00C24F9C">
        <w:rPr>
          <w:rtl/>
        </w:rPr>
        <w:t xml:space="preserve"> </w:t>
      </w:r>
      <w:r w:rsidR="00744A1C">
        <w:rPr>
          <w:rtl/>
          <w:lang w:bidi="fa-IR"/>
        </w:rPr>
        <w:t xml:space="preserve">، مع اختلاف </w:t>
      </w:r>
      <w:r w:rsidR="00C24F9C">
        <w:rPr>
          <w:rFonts w:hint="cs"/>
          <w:rtl/>
          <w:lang w:bidi="fa-IR"/>
        </w:rPr>
        <w:t>.</w:t>
      </w:r>
      <w:r w:rsidR="00744A1C" w:rsidRPr="00C24F9C">
        <w:rPr>
          <w:rStyle w:val="libFootnoteBoldChar"/>
          <w:rtl/>
        </w:rPr>
        <w:t>الوافي</w:t>
      </w:r>
      <w:r w:rsidR="00744A1C">
        <w:rPr>
          <w:rtl/>
          <w:lang w:bidi="fa-IR"/>
        </w:rPr>
        <w:t xml:space="preserve"> ، ج 13 ، ص 1084 ، ح 13803 ؛ </w:t>
      </w:r>
      <w:r w:rsidR="00744A1C" w:rsidRPr="00C24F9C">
        <w:rPr>
          <w:rStyle w:val="libFootnoteBoldChar"/>
          <w:rtl/>
        </w:rPr>
        <w:t>الوسائل</w:t>
      </w:r>
      <w:r w:rsidR="00744A1C">
        <w:rPr>
          <w:rtl/>
          <w:lang w:bidi="fa-IR"/>
        </w:rPr>
        <w:t xml:space="preserve"> ، ج 14 ، ص 70 ، ح 18612.</w:t>
      </w:r>
    </w:p>
    <w:p w:rsidR="00744A1C" w:rsidRDefault="00E378DD" w:rsidP="00E378DD">
      <w:pPr>
        <w:pStyle w:val="libFootnote0"/>
        <w:rPr>
          <w:lang w:bidi="fa-IR"/>
        </w:rPr>
      </w:pPr>
      <w:r>
        <w:rPr>
          <w:rtl/>
          <w:lang w:bidi="fa-IR"/>
        </w:rPr>
        <w:t>(3).</w:t>
      </w:r>
      <w:r w:rsidR="00744A1C">
        <w:rPr>
          <w:rtl/>
          <w:lang w:bidi="fa-IR"/>
        </w:rPr>
        <w:t xml:space="preserve"> في « بخ » : - « عمر ».</w:t>
      </w:r>
    </w:p>
    <w:p w:rsidR="00744A1C" w:rsidRDefault="00744A1C" w:rsidP="0061079A">
      <w:pPr>
        <w:pStyle w:val="libFootnote0"/>
        <w:rPr>
          <w:lang w:bidi="fa-IR"/>
        </w:rPr>
      </w:pPr>
      <w:r>
        <w:rPr>
          <w:rtl/>
          <w:lang w:bidi="fa-IR"/>
        </w:rPr>
        <w:t xml:space="preserve">ورد الخبر في </w:t>
      </w:r>
      <w:r w:rsidRPr="00C24F9C">
        <w:rPr>
          <w:rStyle w:val="libFootnoteBoldChar"/>
          <w:rtl/>
        </w:rPr>
        <w:t>التهذيب</w:t>
      </w:r>
      <w:r>
        <w:rPr>
          <w:rtl/>
          <w:lang w:bidi="fa-IR"/>
        </w:rPr>
        <w:t xml:space="preserve"> ، ج 5 ، ص 262 ، ح 892 ، </w:t>
      </w:r>
      <w:r w:rsidRPr="00C24F9C">
        <w:rPr>
          <w:rStyle w:val="libFootnoteBoldChar"/>
          <w:rtl/>
        </w:rPr>
        <w:t>والاستبصار</w:t>
      </w:r>
      <w:r>
        <w:rPr>
          <w:rtl/>
          <w:lang w:bidi="fa-IR"/>
        </w:rPr>
        <w:t xml:space="preserve"> ج 2 ، ص 296 ، ح 1056 بسنده عن حمّاد بن عيسى عن حريز عن زرارة وابن ا</w:t>
      </w:r>
      <w:r w:rsidR="00C24F9C">
        <w:rPr>
          <w:rFonts w:hint="cs"/>
          <w:rtl/>
          <w:lang w:bidi="fa-IR"/>
        </w:rPr>
        <w:t>ُ</w:t>
      </w:r>
      <w:r>
        <w:rPr>
          <w:rtl/>
          <w:lang w:bidi="fa-IR"/>
        </w:rPr>
        <w:t xml:space="preserve">ذينة عن أبي جعفر </w:t>
      </w:r>
      <w:r w:rsidR="00C24F9C" w:rsidRPr="00C24F9C">
        <w:rPr>
          <w:rStyle w:val="libFootnoteAlaemChar"/>
          <w:rFonts w:eastAsiaTheme="minorHAnsi"/>
          <w:rtl/>
        </w:rPr>
        <w:t>عليه‌السلام</w:t>
      </w:r>
      <w:r w:rsidR="00C24F9C" w:rsidRPr="00C24F9C">
        <w:rPr>
          <w:rtl/>
        </w:rPr>
        <w:t xml:space="preserve"> </w:t>
      </w:r>
      <w:r>
        <w:rPr>
          <w:rtl/>
          <w:lang w:bidi="fa-IR"/>
        </w:rPr>
        <w:t>، والمعهود رواية حمّاد [ بن عيسى ] عن [ عمر ] بن ا</w:t>
      </w:r>
      <w:r w:rsidR="00C24F9C">
        <w:rPr>
          <w:rFonts w:hint="cs"/>
          <w:rtl/>
          <w:lang w:bidi="fa-IR"/>
        </w:rPr>
        <w:t>ُ</w:t>
      </w:r>
      <w:r>
        <w:rPr>
          <w:rtl/>
          <w:lang w:bidi="fa-IR"/>
        </w:rPr>
        <w:t xml:space="preserve">ذينة عن زرارة. فلا يخلو سند </w:t>
      </w:r>
      <w:r w:rsidRPr="00C24F9C">
        <w:rPr>
          <w:rtl/>
        </w:rPr>
        <w:t>التهذيبين</w:t>
      </w:r>
      <w:r>
        <w:rPr>
          <w:rtl/>
          <w:lang w:bidi="fa-IR"/>
        </w:rPr>
        <w:t xml:space="preserve"> من خلل. والظاهر أنّ الصواب فيهما : « حمّاد بن عيسى عن حريز وابن ا</w:t>
      </w:r>
      <w:r w:rsidR="00C24F9C">
        <w:rPr>
          <w:rFonts w:hint="cs"/>
          <w:rtl/>
          <w:lang w:bidi="fa-IR"/>
        </w:rPr>
        <w:t>ُ</w:t>
      </w:r>
      <w:r>
        <w:rPr>
          <w:rtl/>
          <w:lang w:bidi="fa-IR"/>
        </w:rPr>
        <w:t xml:space="preserve">ذينة عن زرارة ». فقد ورد في </w:t>
      </w:r>
      <w:r w:rsidRPr="00C24F9C">
        <w:rPr>
          <w:rStyle w:val="libFootnoteBoldChar"/>
          <w:rtl/>
        </w:rPr>
        <w:t>التهذيب</w:t>
      </w:r>
      <w:r>
        <w:rPr>
          <w:rtl/>
          <w:lang w:bidi="fa-IR"/>
        </w:rPr>
        <w:t xml:space="preserve"> ، ج 1 ، ص 6 ، ح 2 ؛ وج 5 ، ص 190 ، ح 634 رواية حمّاد [ بن عيسى ] عن حريز وابن ا</w:t>
      </w:r>
      <w:r w:rsidR="0061079A">
        <w:rPr>
          <w:rFonts w:hint="cs"/>
          <w:rtl/>
          <w:lang w:bidi="fa-IR"/>
        </w:rPr>
        <w:t>ُ</w:t>
      </w:r>
      <w:r>
        <w:rPr>
          <w:rtl/>
          <w:lang w:bidi="fa-IR"/>
        </w:rPr>
        <w:t xml:space="preserve">ذينة عن زرارة. راجع : </w:t>
      </w:r>
      <w:r w:rsidRPr="0061079A">
        <w:rPr>
          <w:rStyle w:val="libFootnoteBoldChar"/>
          <w:rtl/>
        </w:rPr>
        <w:t>معجم رجال الحديث</w:t>
      </w:r>
      <w:r>
        <w:rPr>
          <w:rtl/>
          <w:lang w:bidi="fa-IR"/>
        </w:rPr>
        <w:t xml:space="preserve"> ، ج 13 ، ص 368 - 369 ؛ وج 22 ، ص 358 - 359.</w:t>
      </w:r>
      <w:r w:rsidR="0061079A">
        <w:rPr>
          <w:rFonts w:hint="cs"/>
          <w:rtl/>
          <w:lang w:bidi="fa-IR"/>
        </w:rPr>
        <w:t xml:space="preserve">                                </w:t>
      </w:r>
      <w:r w:rsidR="00596830">
        <w:rPr>
          <w:rFonts w:hint="cs"/>
          <w:rtl/>
          <w:lang w:bidi="fa-IR"/>
        </w:rPr>
        <w:t xml:space="preserve">          </w:t>
      </w:r>
      <w:r w:rsidR="0061079A">
        <w:rPr>
          <w:rFonts w:hint="cs"/>
          <w:rtl/>
          <w:lang w:bidi="fa-IR"/>
        </w:rPr>
        <w:t xml:space="preserve">         </w:t>
      </w:r>
      <w:r w:rsidR="00E378DD">
        <w:rPr>
          <w:rtl/>
          <w:lang w:bidi="fa-IR"/>
        </w:rPr>
        <w:t>(4).</w:t>
      </w:r>
      <w:r>
        <w:rPr>
          <w:rtl/>
          <w:lang w:bidi="fa-IR"/>
        </w:rPr>
        <w:t xml:space="preserve"> في « بخ ، بف » : - « أنّه ».</w:t>
      </w:r>
    </w:p>
    <w:p w:rsidR="00744A1C" w:rsidRDefault="00E378DD" w:rsidP="00E378DD">
      <w:pPr>
        <w:pStyle w:val="libFootnote0"/>
        <w:rPr>
          <w:lang w:bidi="fa-IR"/>
        </w:rPr>
      </w:pPr>
      <w:r>
        <w:rPr>
          <w:rtl/>
          <w:lang w:bidi="fa-IR"/>
        </w:rPr>
        <w:t>(5).</w:t>
      </w:r>
      <w:r w:rsidR="00744A1C">
        <w:rPr>
          <w:rtl/>
          <w:lang w:bidi="fa-IR"/>
        </w:rPr>
        <w:t xml:space="preserve"> في « ى ، بث ، بخ ، بف » : « عيينة ». والحكم هذا ، هو الحكم بن عتيبة أبو محمّد الكندي. راجع : </w:t>
      </w:r>
      <w:r w:rsidR="00744A1C" w:rsidRPr="00B7470D">
        <w:rPr>
          <w:rStyle w:val="libFootnoteBoldChar"/>
          <w:rtl/>
        </w:rPr>
        <w:t>تهذيب الكمال</w:t>
      </w:r>
      <w:r w:rsidR="00744A1C">
        <w:rPr>
          <w:rtl/>
          <w:lang w:bidi="fa-IR"/>
        </w:rPr>
        <w:t xml:space="preserve"> ، ج 7 ، ص 114 ، الرقم 1438 ؛ </w:t>
      </w:r>
      <w:r w:rsidR="00744A1C" w:rsidRPr="0061079A">
        <w:rPr>
          <w:rStyle w:val="libFootnoteBoldChar"/>
          <w:rtl/>
        </w:rPr>
        <w:t>رجال الطوسي</w:t>
      </w:r>
      <w:r w:rsidR="00744A1C">
        <w:rPr>
          <w:rtl/>
          <w:lang w:bidi="fa-IR"/>
        </w:rPr>
        <w:t xml:space="preserve"> ، ص 112 ، الرقم 1099 ؛ ص 131 ، الرقم 1332.</w:t>
      </w:r>
    </w:p>
    <w:tbl>
      <w:tblPr>
        <w:tblStyle w:val="TableGrid"/>
        <w:bidiVisual/>
        <w:tblW w:w="0" w:type="auto"/>
        <w:tblLook w:val="04A0" w:firstRow="1" w:lastRow="0" w:firstColumn="1" w:lastColumn="0" w:noHBand="0" w:noVBand="1"/>
      </w:tblPr>
      <w:tblGrid>
        <w:gridCol w:w="4006"/>
        <w:gridCol w:w="4006"/>
      </w:tblGrid>
      <w:tr w:rsidR="0061079A" w:rsidTr="0061079A">
        <w:tc>
          <w:tcPr>
            <w:tcW w:w="4006" w:type="dxa"/>
          </w:tcPr>
          <w:p w:rsidR="0061079A" w:rsidRDefault="0061079A" w:rsidP="00E378DD">
            <w:pPr>
              <w:pStyle w:val="libFootnote0"/>
              <w:rPr>
                <w:rtl/>
                <w:lang w:bidi="fa-IR"/>
              </w:rPr>
            </w:pPr>
            <w:r>
              <w:rPr>
                <w:rtl/>
                <w:lang w:bidi="fa-IR"/>
              </w:rPr>
              <w:t xml:space="preserve">(6). في </w:t>
            </w:r>
            <w:r w:rsidRPr="00C24F9C">
              <w:rPr>
                <w:rStyle w:val="libFootnoteBoldChar"/>
                <w:rtl/>
              </w:rPr>
              <w:t>الوافي</w:t>
            </w:r>
            <w:r>
              <w:rPr>
                <w:rtl/>
                <w:lang w:bidi="fa-IR"/>
              </w:rPr>
              <w:t xml:space="preserve"> : + « يا حكم ».</w:t>
            </w:r>
          </w:p>
        </w:tc>
        <w:tc>
          <w:tcPr>
            <w:tcW w:w="4006" w:type="dxa"/>
          </w:tcPr>
          <w:p w:rsidR="0061079A" w:rsidRDefault="0061079A" w:rsidP="00E378DD">
            <w:pPr>
              <w:pStyle w:val="libFootnote0"/>
              <w:rPr>
                <w:rtl/>
                <w:lang w:bidi="fa-IR"/>
              </w:rPr>
            </w:pPr>
            <w:r>
              <w:rPr>
                <w:rtl/>
                <w:lang w:bidi="fa-IR"/>
              </w:rPr>
              <w:t>(7). في « بح » : « رأيت » بدون الهمزة للاستفهام.</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اثنين ».</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احْفَظْ عَلَيْنَا مَتَاعَنَا حَتّى أَرْجِعَ ، أَكَانَ يَفُوتُهُ الرَّمْيُ؟ هُوَ وَاللهِ مَا بَيْنَ طُ</w:t>
      </w:r>
      <w:r w:rsidR="0061079A">
        <w:rPr>
          <w:rtl/>
          <w:lang w:bidi="fa-IR"/>
        </w:rPr>
        <w:t>لُوعِ الشَّمْسِ إِلى غُرُوبِهَا</w:t>
      </w:r>
      <w:r>
        <w:rPr>
          <w:rtl/>
          <w:lang w:bidi="fa-IR"/>
        </w:rPr>
        <w:t xml:space="preserve">». </w:t>
      </w:r>
      <w:r w:rsidRPr="00D10E3C">
        <w:rPr>
          <w:rStyle w:val="libFootnotenumChar"/>
          <w:rtl/>
        </w:rPr>
        <w:t>(1)</w:t>
      </w:r>
    </w:p>
    <w:p w:rsidR="00144FA6" w:rsidRDefault="00744A1C" w:rsidP="00744A1C">
      <w:pPr>
        <w:pStyle w:val="libNormal"/>
        <w:rPr>
          <w:rtl/>
          <w:lang w:bidi="fa-IR"/>
        </w:rPr>
      </w:pPr>
      <w:r>
        <w:rPr>
          <w:rtl/>
          <w:lang w:bidi="fa-IR"/>
        </w:rPr>
        <w:t>7813 / 6. مُحَمَّدُ بْنُ يَحْيى ، عَنْ أَحْمَدَ بْنِ مُحَمَّدٍ ، عَنْ عَلِيِّ بْنِ الْحَكَمِ ، عَنْ عَلِيِّ بْنِ أَبِي حَمْزَةَ ، عَنْ أَبِي بَصِيرٍ ، قَالَ :</w:t>
      </w:r>
    </w:p>
    <w:p w:rsidR="00144FA6" w:rsidRDefault="00744A1C" w:rsidP="0061079A">
      <w:pPr>
        <w:pStyle w:val="libNormal"/>
        <w:rPr>
          <w:rtl/>
          <w:lang w:bidi="fa-IR"/>
        </w:rPr>
      </w:pPr>
      <w:r>
        <w:rPr>
          <w:rtl/>
          <w:lang w:bidi="fa-IR"/>
        </w:rPr>
        <w:t xml:space="preserve">قَالَ أَبُو عَبْدِ اللهِ </w:t>
      </w:r>
      <w:r w:rsidR="0061079A" w:rsidRPr="0061079A">
        <w:rPr>
          <w:rStyle w:val="libAlaemChar"/>
          <w:rFonts w:eastAsiaTheme="minorHAnsi"/>
          <w:rtl/>
        </w:rPr>
        <w:t>عليه‌السلام</w:t>
      </w:r>
      <w:r>
        <w:rPr>
          <w:rtl/>
          <w:lang w:bidi="fa-IR"/>
        </w:rPr>
        <w:t xml:space="preserve">: « رَخَّصَ رَسُولُ اللهِ </w:t>
      </w:r>
      <w:r w:rsidR="0061079A" w:rsidRPr="0061079A">
        <w:rPr>
          <w:rStyle w:val="libAlaemChar"/>
          <w:rtl/>
        </w:rPr>
        <w:t>صلى‌الله‌عليه‌وآله</w:t>
      </w:r>
      <w:r w:rsidR="00D10E3C">
        <w:rPr>
          <w:rtl/>
          <w:lang w:bidi="fa-IR"/>
        </w:rPr>
        <w:t xml:space="preserve"> </w:t>
      </w:r>
      <w:r>
        <w:rPr>
          <w:rtl/>
          <w:lang w:bidi="fa-IR"/>
        </w:rPr>
        <w:t xml:space="preserve">لِرُعَاةِ الْإِبِلِ إِذَا جَاؤُوا بِاللَّيْلِ </w:t>
      </w:r>
      <w:r w:rsidRPr="00D10E3C">
        <w:rPr>
          <w:rStyle w:val="libFootnotenumChar"/>
          <w:rtl/>
        </w:rPr>
        <w:t>(2)</w:t>
      </w:r>
      <w:r w:rsidR="00596830">
        <w:rPr>
          <w:rtl/>
          <w:lang w:bidi="fa-IR"/>
        </w:rPr>
        <w:t xml:space="preserve"> أَنْ يَرْمُوا</w:t>
      </w:r>
      <w:r>
        <w:rPr>
          <w:rtl/>
          <w:lang w:bidi="fa-IR"/>
        </w:rPr>
        <w:t>».</w:t>
      </w:r>
      <w:r w:rsidRPr="00D10E3C">
        <w:rPr>
          <w:rStyle w:val="libFootnotenumChar"/>
          <w:rtl/>
        </w:rPr>
        <w:t>(3)</w:t>
      </w:r>
    </w:p>
    <w:p w:rsidR="00144FA6" w:rsidRDefault="00744A1C" w:rsidP="00744A1C">
      <w:pPr>
        <w:pStyle w:val="libNormal"/>
        <w:rPr>
          <w:rtl/>
          <w:lang w:bidi="fa-IR"/>
        </w:rPr>
      </w:pPr>
      <w:r>
        <w:rPr>
          <w:rtl/>
          <w:lang w:bidi="fa-IR"/>
        </w:rPr>
        <w:t xml:space="preserve">7814 / 7. أَحْمَدُ بْنُ مُحَمَّدٍ </w:t>
      </w:r>
      <w:r w:rsidRPr="00D10E3C">
        <w:rPr>
          <w:rStyle w:val="libFootnotenumChar"/>
          <w:rtl/>
        </w:rPr>
        <w:t>(4)</w:t>
      </w:r>
      <w:r>
        <w:rPr>
          <w:rtl/>
          <w:lang w:bidi="fa-IR"/>
        </w:rPr>
        <w:t xml:space="preserve"> ، عَنْ إِسْمَاعِيلَ بْنِ هَمَّامٍ ، قَالَ :</w:t>
      </w:r>
    </w:p>
    <w:p w:rsidR="00144FA6" w:rsidRDefault="00744A1C" w:rsidP="00744A1C">
      <w:pPr>
        <w:pStyle w:val="libNormal"/>
        <w:rPr>
          <w:rtl/>
          <w:lang w:bidi="fa-IR"/>
        </w:rPr>
      </w:pPr>
      <w:r>
        <w:rPr>
          <w:rtl/>
          <w:lang w:bidi="fa-IR"/>
        </w:rPr>
        <w:t xml:space="preserve">سَمِعْتُ أَبَا الْحَسَنِ الرِّضَا </w:t>
      </w:r>
      <w:r w:rsidR="0061079A" w:rsidRPr="0061079A">
        <w:rPr>
          <w:rStyle w:val="libAlaemChar"/>
          <w:rtl/>
        </w:rPr>
        <w:t>عليه‌السلام</w:t>
      </w:r>
      <w:r w:rsidR="00D10E3C">
        <w:rPr>
          <w:rtl/>
          <w:lang w:bidi="fa-IR"/>
        </w:rPr>
        <w:t xml:space="preserve"> </w:t>
      </w:r>
      <w:r>
        <w:rPr>
          <w:rtl/>
          <w:lang w:bidi="fa-IR"/>
        </w:rPr>
        <w:t xml:space="preserve">يَقُولُ : « لَا تَرْمِي </w:t>
      </w:r>
      <w:r w:rsidRPr="00D10E3C">
        <w:rPr>
          <w:rStyle w:val="libFootnotenumChar"/>
          <w:rtl/>
        </w:rPr>
        <w:t>(5)</w:t>
      </w:r>
      <w:r>
        <w:rPr>
          <w:rtl/>
          <w:lang w:bidi="fa-IR"/>
        </w:rPr>
        <w:t xml:space="preserve"> الْجَمْرَةَ يَوْمَ النَّحْرِ حَتّى تَطْلُعَ الشَّمْسُ » وَقَالَ : « تَرْمِي </w:t>
      </w:r>
      <w:r w:rsidRPr="00D10E3C">
        <w:rPr>
          <w:rStyle w:val="libFootnotenumChar"/>
          <w:rtl/>
        </w:rPr>
        <w:t>(6)</w:t>
      </w:r>
      <w:r>
        <w:rPr>
          <w:rtl/>
          <w:lang w:bidi="fa-IR"/>
        </w:rPr>
        <w:t xml:space="preserve"> الْجِمَارَ مِنْ بَطْنِ الْوَادِي ، وَتَجْعَلُ </w:t>
      </w:r>
      <w:r w:rsidRPr="00D10E3C">
        <w:rPr>
          <w:rStyle w:val="libFootnotenumChar"/>
          <w:rtl/>
        </w:rPr>
        <w:t>(7)</w:t>
      </w:r>
      <w:r>
        <w:rPr>
          <w:rtl/>
          <w:lang w:bidi="fa-IR"/>
        </w:rPr>
        <w:t xml:space="preserve"> كُلَّ جَمْرَةٍ عَنْ يَمِينِكَ ، ثُمَّ تَنْفَتِلُ </w:t>
      </w:r>
      <w:r w:rsidRPr="00D10E3C">
        <w:rPr>
          <w:rStyle w:val="libFootnotenumChar"/>
          <w:rtl/>
        </w:rPr>
        <w:t>(8)</w:t>
      </w:r>
      <w:r>
        <w:rPr>
          <w:rtl/>
          <w:lang w:bidi="fa-IR"/>
        </w:rPr>
        <w:t xml:space="preserve"> فِي الشِّقِّ الْآخَرِ إِذَا رَمَيْتَ جَمْرَةَ الْعَقَبَةِ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262 ، ح 892 ؛ </w:t>
      </w:r>
      <w:r w:rsidR="00744A1C" w:rsidRPr="00C24F9C">
        <w:rPr>
          <w:rStyle w:val="libFootnoteBoldChar"/>
          <w:rtl/>
        </w:rPr>
        <w:t>والاستبصار</w:t>
      </w:r>
      <w:r w:rsidR="00744A1C">
        <w:rPr>
          <w:rtl/>
          <w:lang w:bidi="fa-IR"/>
        </w:rPr>
        <w:t xml:space="preserve"> ، ج 2 ، ص 296 ، ح 1056 ، بسندهما عن زرارة وابن ا</w:t>
      </w:r>
      <w:r w:rsidR="0061079A">
        <w:rPr>
          <w:rFonts w:hint="cs"/>
          <w:rtl/>
          <w:lang w:bidi="fa-IR"/>
        </w:rPr>
        <w:t>ُ</w:t>
      </w:r>
      <w:r w:rsidR="00744A1C">
        <w:rPr>
          <w:rtl/>
          <w:lang w:bidi="fa-IR"/>
        </w:rPr>
        <w:t xml:space="preserve">ذينة ، عن أبي جعفر </w:t>
      </w:r>
      <w:r w:rsidR="0061079A" w:rsidRPr="0061079A">
        <w:rPr>
          <w:rStyle w:val="libFootnoteAlaemChar"/>
          <w:rtl/>
        </w:rPr>
        <w:t>عليه‌السلام</w:t>
      </w:r>
      <w:r>
        <w:rPr>
          <w:rtl/>
          <w:lang w:bidi="fa-IR"/>
        </w:rPr>
        <w:t xml:space="preserve"> </w:t>
      </w:r>
      <w:r w:rsidR="0061079A">
        <w:rPr>
          <w:rFonts w:hint="cs"/>
          <w:rtl/>
          <w:lang w:bidi="fa-IR"/>
        </w:rPr>
        <w:t>.</w:t>
      </w:r>
      <w:r w:rsidR="00744A1C" w:rsidRPr="00C24F9C">
        <w:rPr>
          <w:rStyle w:val="libFootnoteBoldChar"/>
          <w:rtl/>
        </w:rPr>
        <w:t>الوافي</w:t>
      </w:r>
      <w:r w:rsidR="00744A1C">
        <w:rPr>
          <w:rtl/>
          <w:lang w:bidi="fa-IR"/>
        </w:rPr>
        <w:t xml:space="preserve"> ، ج 13 ، ص 1084 ، ح 13804 ؛ </w:t>
      </w:r>
      <w:r w:rsidR="00744A1C" w:rsidRPr="00C24F9C">
        <w:rPr>
          <w:rStyle w:val="libFootnoteBoldChar"/>
          <w:rtl/>
        </w:rPr>
        <w:t>الوسائل</w:t>
      </w:r>
      <w:r w:rsidR="00744A1C">
        <w:rPr>
          <w:rtl/>
          <w:lang w:bidi="fa-IR"/>
        </w:rPr>
        <w:t xml:space="preserve"> ، ج 14 ، ص 69 ، ذيل ح 18611.</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إذا جاؤوا بالليل ، لعلّ فيه إشعاراً بجواز الرمي في الليلة المتأخّرة ، وظاهر أكثر</w:t>
      </w:r>
      <w:r w:rsidR="0061079A">
        <w:rPr>
          <w:rFonts w:hint="cs"/>
          <w:rtl/>
          <w:lang w:bidi="fa-IR"/>
        </w:rPr>
        <w:t xml:space="preserve"> </w:t>
      </w:r>
      <w:r w:rsidR="00744A1C">
        <w:rPr>
          <w:rtl/>
          <w:lang w:bidi="fa-IR"/>
        </w:rPr>
        <w:t xml:space="preserve">الأصحاب الليلة المتقدّمة ، وقال السيّد في </w:t>
      </w:r>
      <w:r w:rsidR="00744A1C" w:rsidRPr="0061079A">
        <w:rPr>
          <w:rStyle w:val="libFootnoteBoldChar"/>
          <w:rtl/>
        </w:rPr>
        <w:t>المدارك</w:t>
      </w:r>
      <w:r w:rsidR="00744A1C">
        <w:rPr>
          <w:rtl/>
          <w:lang w:bidi="fa-IR"/>
        </w:rPr>
        <w:t xml:space="preserve"> : الظاهر أنّ المراد بالرمي ليلاً رمي جمرات كلّ يوم في ليلته ، ولو لم يتمكّن من ذلك لم يبعد جواز رمي الجميع في ليلة واحدة ، وربما كان في إطلاق بعض الروايات دلالة عليه ». وراجع : </w:t>
      </w:r>
      <w:r w:rsidR="00744A1C" w:rsidRPr="00C24F9C">
        <w:rPr>
          <w:rStyle w:val="libFootnoteBoldChar"/>
          <w:rtl/>
        </w:rPr>
        <w:t>مدارك الأحكام</w:t>
      </w:r>
      <w:r w:rsidR="00744A1C">
        <w:rPr>
          <w:rtl/>
          <w:lang w:bidi="fa-IR"/>
        </w:rPr>
        <w:t xml:space="preserve"> ، ج 8 ، ص 233.</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13 ، ص 1085 ، ح 13808 ؛ </w:t>
      </w:r>
      <w:r w:rsidR="00744A1C" w:rsidRPr="00C24F9C">
        <w:rPr>
          <w:rStyle w:val="libFootnoteBoldChar"/>
          <w:rtl/>
        </w:rPr>
        <w:t>الوسائل</w:t>
      </w:r>
      <w:r w:rsidR="00744A1C">
        <w:rPr>
          <w:rtl/>
          <w:lang w:bidi="fa-IR"/>
        </w:rPr>
        <w:t xml:space="preserve"> ، ج 14 ، ص 72 ، ح 18619.</w:t>
      </w:r>
    </w:p>
    <w:p w:rsidR="00744A1C" w:rsidRDefault="00E378DD" w:rsidP="00E378DD">
      <w:pPr>
        <w:pStyle w:val="libFootnote0"/>
        <w:rPr>
          <w:lang w:bidi="fa-IR"/>
        </w:rPr>
      </w:pPr>
      <w:r>
        <w:rPr>
          <w:rtl/>
          <w:lang w:bidi="fa-IR"/>
        </w:rPr>
        <w:t>(4).</w:t>
      </w:r>
      <w:r w:rsidR="00744A1C">
        <w:rPr>
          <w:rtl/>
          <w:lang w:bidi="fa-IR"/>
        </w:rPr>
        <w:t xml:space="preserve"> السند معلّق على سابقه. ويروي عن أحمد بن محمّد ، محمّد بن يحيى.</w:t>
      </w:r>
    </w:p>
    <w:tbl>
      <w:tblPr>
        <w:tblStyle w:val="TableGrid"/>
        <w:bidiVisual/>
        <w:tblW w:w="0" w:type="auto"/>
        <w:tblLook w:val="04A0" w:firstRow="1" w:lastRow="0" w:firstColumn="1" w:lastColumn="0" w:noHBand="0" w:noVBand="1"/>
      </w:tblPr>
      <w:tblGrid>
        <w:gridCol w:w="4006"/>
        <w:gridCol w:w="4006"/>
      </w:tblGrid>
      <w:tr w:rsidR="0061079A" w:rsidTr="0061079A">
        <w:tc>
          <w:tcPr>
            <w:tcW w:w="4006" w:type="dxa"/>
          </w:tcPr>
          <w:p w:rsidR="0061079A" w:rsidRDefault="0061079A" w:rsidP="00E378DD">
            <w:pPr>
              <w:pStyle w:val="libFootnote0"/>
              <w:rPr>
                <w:rtl/>
                <w:lang w:bidi="fa-IR"/>
              </w:rPr>
            </w:pPr>
            <w:r>
              <w:rPr>
                <w:rtl/>
                <w:lang w:bidi="fa-IR"/>
              </w:rPr>
              <w:t xml:space="preserve">(5). في </w:t>
            </w:r>
            <w:r w:rsidRPr="0061079A">
              <w:rPr>
                <w:rtl/>
              </w:rPr>
              <w:t>الوسائل</w:t>
            </w:r>
            <w:r>
              <w:rPr>
                <w:rtl/>
                <w:lang w:bidi="fa-IR"/>
              </w:rPr>
              <w:t xml:space="preserve"> و</w:t>
            </w:r>
            <w:r w:rsidRPr="0061079A">
              <w:rPr>
                <w:rStyle w:val="libFootnoteBoldChar"/>
                <w:rtl/>
              </w:rPr>
              <w:t>البحار</w:t>
            </w:r>
            <w:r>
              <w:rPr>
                <w:rtl/>
                <w:lang w:bidi="fa-IR"/>
              </w:rPr>
              <w:t xml:space="preserve"> : « لا ترم ».</w:t>
            </w:r>
          </w:p>
        </w:tc>
        <w:tc>
          <w:tcPr>
            <w:tcW w:w="4006" w:type="dxa"/>
          </w:tcPr>
          <w:p w:rsidR="0061079A" w:rsidRDefault="0061079A" w:rsidP="00E378DD">
            <w:pPr>
              <w:pStyle w:val="libFootnote0"/>
              <w:rPr>
                <w:rtl/>
                <w:lang w:bidi="fa-IR"/>
              </w:rPr>
            </w:pPr>
            <w:r>
              <w:rPr>
                <w:rtl/>
                <w:lang w:bidi="fa-IR"/>
              </w:rPr>
              <w:t>(6). في « بخ ، بف » : « يرمى ».</w:t>
            </w:r>
          </w:p>
        </w:tc>
      </w:tr>
    </w:tbl>
    <w:p w:rsidR="00744A1C" w:rsidRDefault="00E378DD" w:rsidP="00E378DD">
      <w:pPr>
        <w:pStyle w:val="libFootnote0"/>
        <w:rPr>
          <w:lang w:bidi="fa-IR"/>
        </w:rPr>
      </w:pPr>
      <w:r>
        <w:rPr>
          <w:rtl/>
          <w:lang w:bidi="fa-IR"/>
        </w:rPr>
        <w:t>(7).</w:t>
      </w:r>
      <w:r w:rsidR="00744A1C">
        <w:rPr>
          <w:rtl/>
          <w:lang w:bidi="fa-IR"/>
        </w:rPr>
        <w:t xml:space="preserve"> في « بح » : « ويجعل ».</w:t>
      </w:r>
    </w:p>
    <w:p w:rsidR="00744A1C" w:rsidRDefault="00E378DD" w:rsidP="00E378DD">
      <w:pPr>
        <w:pStyle w:val="libFootnote0"/>
        <w:rPr>
          <w:lang w:bidi="fa-IR"/>
        </w:rPr>
      </w:pPr>
      <w:r>
        <w:rPr>
          <w:rtl/>
          <w:lang w:bidi="fa-IR"/>
        </w:rPr>
        <w:t>(8).</w:t>
      </w:r>
      <w:r w:rsidR="00744A1C">
        <w:rPr>
          <w:rtl/>
          <w:lang w:bidi="fa-IR"/>
        </w:rPr>
        <w:t xml:space="preserve"> في « بخ » : « تنتقل ». وفي « بث » : « تتنفّل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ثمّ تنفتل ، أي تنفتل إلى الجانب الآخر ، ولعلّ ذلك لضيق الطريق على الناس في ذلك الموضع. ويحتمل أن يكون المراد الانفتال إلى الجانب الآخر من الطريق بأن يبعد من الجمرة. والمراد عدم الوقوف عند هذه الجمرة ، كما مرّ ».</w:t>
      </w:r>
    </w:p>
    <w:p w:rsidR="00744A1C" w:rsidRDefault="00E378DD" w:rsidP="00E378DD">
      <w:pPr>
        <w:pStyle w:val="libFootnote0"/>
        <w:rPr>
          <w:lang w:bidi="fa-IR"/>
        </w:rPr>
      </w:pPr>
      <w:r>
        <w:rPr>
          <w:rtl/>
          <w:lang w:bidi="fa-IR"/>
        </w:rPr>
        <w:t>(9).</w:t>
      </w:r>
      <w:r w:rsidR="00744A1C">
        <w:rPr>
          <w:rtl/>
          <w:lang w:bidi="fa-IR"/>
        </w:rPr>
        <w:t xml:space="preserve"> </w:t>
      </w:r>
      <w:r w:rsidR="00744A1C" w:rsidRPr="0061079A">
        <w:rPr>
          <w:rStyle w:val="libFootnoteBoldChar"/>
          <w:rtl/>
        </w:rPr>
        <w:t>الكافي</w:t>
      </w:r>
      <w:r w:rsidR="00744A1C">
        <w:rPr>
          <w:rtl/>
          <w:lang w:bidi="fa-IR"/>
        </w:rPr>
        <w:t xml:space="preserve"> ، كتاب الحجّ ، باب حصى الجمار من أين تؤخذ ومقدارها ، ضمن ح 7798 ؛ </w:t>
      </w:r>
      <w:r w:rsidR="00744A1C" w:rsidRPr="0061079A">
        <w:rPr>
          <w:rStyle w:val="libFootnoteBoldChar"/>
          <w:rtl/>
        </w:rPr>
        <w:t>والتهذيب</w:t>
      </w:r>
      <w:r w:rsidR="00744A1C">
        <w:rPr>
          <w:rtl/>
          <w:lang w:bidi="fa-IR"/>
        </w:rPr>
        <w:t xml:space="preserve"> ، ج 5 ، </w:t>
      </w:r>
      <w:r w:rsidR="0061079A">
        <w:rPr>
          <w:rFonts w:hint="cs"/>
          <w:rtl/>
          <w:lang w:bidi="fa-IR"/>
        </w:rPr>
        <w:t>=</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7815 / 8. أَحْمَدُ بْنُ مُحَمَّدٍ </w:t>
      </w:r>
      <w:r w:rsidRPr="00D10E3C">
        <w:rPr>
          <w:rStyle w:val="libFootnotenumChar"/>
          <w:rtl/>
        </w:rPr>
        <w:t>(1)</w:t>
      </w:r>
      <w:r>
        <w:rPr>
          <w:rtl/>
          <w:lang w:bidi="fa-IR"/>
        </w:rPr>
        <w:t xml:space="preserve"> ، عَنِ الْحُسَيْنِ بْنِ سَعِيدٍ ، عَنْ فَضَالَةَ بْنِ أَيُّوبَ </w:t>
      </w:r>
      <w:r w:rsidRPr="00D10E3C">
        <w:rPr>
          <w:rStyle w:val="libFootnotenumChar"/>
          <w:rtl/>
        </w:rPr>
        <w:t>(2)</w:t>
      </w:r>
      <w:r>
        <w:rPr>
          <w:rtl/>
          <w:lang w:bidi="fa-IR"/>
        </w:rPr>
        <w:t xml:space="preserve"> ، عَنْ أَبَانٍ ، عَنْ مُحَمَّدٍ الْحَلَبِيِّ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الْغُسْلِ إِذَا أَرَادَ أَنْ يَرْمِيَ </w:t>
      </w:r>
      <w:r w:rsidRPr="00D10E3C">
        <w:rPr>
          <w:rStyle w:val="libFootnotenumChar"/>
          <w:rtl/>
        </w:rPr>
        <w:t>(3)</w:t>
      </w:r>
      <w:r>
        <w:rPr>
          <w:rtl/>
          <w:lang w:bidi="fa-IR"/>
        </w:rPr>
        <w:t>؟</w:t>
      </w:r>
    </w:p>
    <w:p w:rsidR="00144FA6" w:rsidRDefault="00744A1C" w:rsidP="00744A1C">
      <w:pPr>
        <w:pStyle w:val="libNormal"/>
        <w:rPr>
          <w:rtl/>
          <w:lang w:bidi="fa-IR"/>
        </w:rPr>
      </w:pPr>
      <w:r>
        <w:rPr>
          <w:rtl/>
          <w:lang w:bidi="fa-IR"/>
        </w:rPr>
        <w:t xml:space="preserve">فَقَالَ : « رُبَّمَا اغْتَسَلْتُ ، فَأَمَّا مِنَ السُّنَّةِ ، فَلَا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7816 / 9. عَلِيُّ بْنُ إِبْرَاهِيمَ ، عَنْ أَبِيهِ ، عَنِ ابْنِ أَبِي عُمَيْرٍ ، عَنْ حَمَّادٍ ، عَنِ الْحَلَبِيِّ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سَأَلْتُهُ عَنِ الْغُسْلِ إِذَا رَمَى الْجِمَارَ؟</w:t>
      </w:r>
    </w:p>
    <w:p w:rsidR="00144FA6" w:rsidRDefault="00744A1C" w:rsidP="00744A1C">
      <w:pPr>
        <w:pStyle w:val="libNormal"/>
        <w:rPr>
          <w:rtl/>
          <w:lang w:bidi="fa-IR"/>
        </w:rPr>
      </w:pPr>
      <w:r>
        <w:rPr>
          <w:rtl/>
          <w:lang w:bidi="fa-IR"/>
        </w:rPr>
        <w:t xml:space="preserve">فَقَالَ : « رُبَّمَا فَعَلْتُ ، وَأَمَّا </w:t>
      </w:r>
      <w:r w:rsidRPr="00D10E3C">
        <w:rPr>
          <w:rStyle w:val="libFootnotenumChar"/>
          <w:rtl/>
        </w:rPr>
        <w:t>(6)</w:t>
      </w:r>
      <w:r>
        <w:rPr>
          <w:rtl/>
          <w:lang w:bidi="fa-IR"/>
        </w:rPr>
        <w:t xml:space="preserve"> السُّنَّةِ </w:t>
      </w:r>
      <w:r w:rsidRPr="00D10E3C">
        <w:rPr>
          <w:rStyle w:val="libFootnotenumChar"/>
          <w:rtl/>
        </w:rPr>
        <w:t>(7)</w:t>
      </w:r>
      <w:r>
        <w:rPr>
          <w:rtl/>
          <w:lang w:bidi="fa-IR"/>
        </w:rPr>
        <w:t xml:space="preserve"> فَلَا ، وَلكِنْ مِنَ الْحَرِّ وَالْعَرَقِ ». </w:t>
      </w:r>
      <w:r w:rsidRPr="00D10E3C">
        <w:rPr>
          <w:rStyle w:val="libFootnotenumChar"/>
          <w:rtl/>
        </w:rPr>
        <w:t>(8)</w:t>
      </w:r>
    </w:p>
    <w:p w:rsidR="00144FA6" w:rsidRDefault="00744A1C" w:rsidP="00744A1C">
      <w:pPr>
        <w:pStyle w:val="libNormal"/>
        <w:rPr>
          <w:rtl/>
          <w:lang w:bidi="fa-IR"/>
        </w:rPr>
      </w:pPr>
      <w:r>
        <w:rPr>
          <w:rtl/>
          <w:lang w:bidi="fa-IR"/>
        </w:rPr>
        <w:t xml:space="preserve">7817 / 10. مُحَمَّدُ بْنُ يَحْيى ، عَنْ أَحْمَدَ بْنِ مُحَمَّدٍ ، عَنْ عَلِيِّ بْنِ الْحَكَمِ ، عَنِ الْعَلَاءِ بْنِ رَزِينٍ </w:t>
      </w:r>
      <w:r w:rsidRPr="00D10E3C">
        <w:rPr>
          <w:rStyle w:val="libFootnotenumChar"/>
          <w:rtl/>
        </w:rPr>
        <w:t>(9)</w:t>
      </w:r>
      <w:r>
        <w:rPr>
          <w:rtl/>
          <w:lang w:bidi="fa-IR"/>
        </w:rPr>
        <w:t xml:space="preserve"> ، عَنْ مُحَمَّدِ بْنِ مُسْلِمٍ ، قَالَ :</w:t>
      </w:r>
    </w:p>
    <w:p w:rsidR="00744A1C" w:rsidRDefault="00744A1C" w:rsidP="00D10E3C">
      <w:pPr>
        <w:pStyle w:val="libLine"/>
        <w:rPr>
          <w:lang w:bidi="fa-IR"/>
        </w:rPr>
      </w:pPr>
      <w:r>
        <w:rPr>
          <w:rtl/>
          <w:lang w:bidi="fa-IR"/>
        </w:rPr>
        <w:t>____________________</w:t>
      </w:r>
    </w:p>
    <w:p w:rsidR="00744A1C" w:rsidRDefault="0061079A" w:rsidP="0061079A">
      <w:pPr>
        <w:pStyle w:val="libFootnote0"/>
        <w:rPr>
          <w:lang w:bidi="fa-IR"/>
        </w:rPr>
      </w:pPr>
      <w:r>
        <w:rPr>
          <w:rFonts w:hint="cs"/>
          <w:rtl/>
          <w:lang w:bidi="fa-IR"/>
        </w:rPr>
        <w:t xml:space="preserve">= </w:t>
      </w:r>
      <w:r w:rsidR="00744A1C">
        <w:rPr>
          <w:rtl/>
          <w:lang w:bidi="fa-IR"/>
        </w:rPr>
        <w:t xml:space="preserve">ص 197 ، ح 656 ؛ </w:t>
      </w:r>
      <w:r w:rsidR="00744A1C" w:rsidRPr="0061079A">
        <w:rPr>
          <w:rStyle w:val="libFootnoteBoldChar"/>
          <w:rtl/>
        </w:rPr>
        <w:t>و</w:t>
      </w:r>
      <w:r w:rsidR="00744A1C" w:rsidRPr="00877682">
        <w:rPr>
          <w:rStyle w:val="libFootnoteBoldChar"/>
          <w:rtl/>
        </w:rPr>
        <w:t>قرب الإسناد</w:t>
      </w:r>
      <w:r w:rsidR="00744A1C">
        <w:rPr>
          <w:rtl/>
          <w:lang w:bidi="fa-IR"/>
        </w:rPr>
        <w:t xml:space="preserve"> ، ص 359 ، صدر ح 1284 ، بسند آخر عن الرضا </w:t>
      </w:r>
      <w:r w:rsidRPr="0061079A">
        <w:rPr>
          <w:rStyle w:val="libFootnoteAlaemChar"/>
          <w:rtl/>
        </w:rPr>
        <w:t>عليه‌السلام</w:t>
      </w:r>
      <w:r>
        <w:rPr>
          <w:rtl/>
          <w:lang w:bidi="fa-IR"/>
        </w:rPr>
        <w:t xml:space="preserve"> </w:t>
      </w:r>
      <w:r w:rsidR="00744A1C">
        <w:rPr>
          <w:rtl/>
          <w:lang w:bidi="fa-IR"/>
        </w:rPr>
        <w:t xml:space="preserve">، وفي كلّها هذه الفقرة : « ترمي الجمار من بطن الوادي وتجعل كلّ جمرة عن يمينك » مع اختلاف يسير. وفي </w:t>
      </w:r>
      <w:r w:rsidR="00744A1C" w:rsidRPr="0061079A">
        <w:rPr>
          <w:rStyle w:val="libFootnoteBoldChar"/>
          <w:rtl/>
        </w:rPr>
        <w:t>الكافي</w:t>
      </w:r>
      <w:r w:rsidR="00744A1C">
        <w:rPr>
          <w:rtl/>
          <w:lang w:bidi="fa-IR"/>
        </w:rPr>
        <w:t xml:space="preserve"> ، كتاب الحجّ ، باب حجّ النبيّ </w:t>
      </w:r>
      <w:r w:rsidRPr="0061079A">
        <w:rPr>
          <w:rStyle w:val="libFootnoteAlaemChar"/>
          <w:rtl/>
        </w:rPr>
        <w:t>صلى‌الله‌عليه‌وآله</w:t>
      </w:r>
      <w:r w:rsidR="00D10E3C">
        <w:rPr>
          <w:rtl/>
          <w:lang w:bidi="fa-IR"/>
        </w:rPr>
        <w:t xml:space="preserve"> </w:t>
      </w:r>
      <w:r w:rsidR="00744A1C">
        <w:rPr>
          <w:rtl/>
          <w:lang w:bidi="fa-IR"/>
        </w:rPr>
        <w:t xml:space="preserve">، ضمن ح 6852 ؛ </w:t>
      </w:r>
      <w:r w:rsidR="00744A1C" w:rsidRPr="0061079A">
        <w:rPr>
          <w:rStyle w:val="libFootnoteBoldChar"/>
          <w:rtl/>
        </w:rPr>
        <w:t>والتهذيب</w:t>
      </w:r>
      <w:r w:rsidR="00744A1C">
        <w:rPr>
          <w:rtl/>
          <w:lang w:bidi="fa-IR"/>
        </w:rPr>
        <w:t xml:space="preserve"> ، ج 5 ، ص 456 ، ح 1588 ، بسند آخر عن أبي عبدالله </w:t>
      </w:r>
      <w:r w:rsidRPr="0061079A">
        <w:rPr>
          <w:rStyle w:val="libFootnoteAlaemChar"/>
          <w:rtl/>
        </w:rPr>
        <w:t>عليه‌السلام</w:t>
      </w:r>
      <w:r w:rsidR="00D10E3C">
        <w:rPr>
          <w:rtl/>
          <w:lang w:bidi="fa-IR"/>
        </w:rPr>
        <w:t xml:space="preserve"> </w:t>
      </w:r>
      <w:r w:rsidR="00744A1C">
        <w:rPr>
          <w:rtl/>
          <w:lang w:bidi="fa-IR"/>
        </w:rPr>
        <w:t xml:space="preserve">عن رسول الله </w:t>
      </w:r>
      <w:r w:rsidRPr="0061079A">
        <w:rPr>
          <w:rStyle w:val="libFootnoteAlaemChar"/>
          <w:rtl/>
        </w:rPr>
        <w:t>صلى‌الله‌عليه‌وآله</w:t>
      </w:r>
      <w:r w:rsidR="00D10E3C">
        <w:rPr>
          <w:rtl/>
          <w:lang w:bidi="fa-IR"/>
        </w:rPr>
        <w:t xml:space="preserve"> </w:t>
      </w:r>
      <w:r w:rsidR="00744A1C">
        <w:rPr>
          <w:rtl/>
          <w:lang w:bidi="fa-IR"/>
        </w:rPr>
        <w:t xml:space="preserve">، وفيهما هذه الفقرة : « لاترمي الجمرة يوم النحر حتّى تطلع الشمس » مع اختلاف يسير </w:t>
      </w:r>
      <w:r>
        <w:rPr>
          <w:rFonts w:hint="cs"/>
          <w:rtl/>
          <w:lang w:bidi="fa-IR"/>
        </w:rPr>
        <w:t>.</w:t>
      </w:r>
      <w:r w:rsidR="00744A1C" w:rsidRPr="00C24F9C">
        <w:rPr>
          <w:rStyle w:val="libFootnoteBoldChar"/>
          <w:rtl/>
        </w:rPr>
        <w:t>الوافي</w:t>
      </w:r>
      <w:r w:rsidR="00744A1C">
        <w:rPr>
          <w:rtl/>
          <w:lang w:bidi="fa-IR"/>
        </w:rPr>
        <w:t xml:space="preserve"> ، ج 13 ، ص 1085 ، ح 13807 ؛ </w:t>
      </w:r>
      <w:r w:rsidR="00744A1C" w:rsidRPr="00C24F9C">
        <w:rPr>
          <w:rStyle w:val="libFootnoteBoldChar"/>
          <w:rtl/>
        </w:rPr>
        <w:t>الوسائل</w:t>
      </w:r>
      <w:r w:rsidR="00744A1C">
        <w:rPr>
          <w:rtl/>
          <w:lang w:bidi="fa-IR"/>
        </w:rPr>
        <w:t xml:space="preserve"> ، ج 14 ، ص 70 ، ح 18613 ؛ </w:t>
      </w:r>
      <w:r w:rsidR="00744A1C" w:rsidRPr="0061079A">
        <w:rPr>
          <w:rStyle w:val="libFootnoteBoldChar"/>
          <w:rtl/>
        </w:rPr>
        <w:t>البحار</w:t>
      </w:r>
      <w:r w:rsidR="00744A1C">
        <w:rPr>
          <w:rtl/>
          <w:lang w:bidi="fa-IR"/>
        </w:rPr>
        <w:t xml:space="preserve"> ، ج 83 ، ص 116 ، ح 35 ، وفي الأخيرين إلى قوله : « حتّى تطلع الشمس ».</w:t>
      </w:r>
    </w:p>
    <w:p w:rsidR="00744A1C" w:rsidRDefault="00D10E3C" w:rsidP="00D10E3C">
      <w:pPr>
        <w:pStyle w:val="libFootnote0"/>
        <w:rPr>
          <w:lang w:bidi="fa-IR"/>
        </w:rPr>
      </w:pPr>
      <w:r>
        <w:rPr>
          <w:rtl/>
          <w:lang w:bidi="fa-IR"/>
        </w:rPr>
        <w:t>(1).</w:t>
      </w:r>
      <w:r w:rsidR="00744A1C">
        <w:rPr>
          <w:rtl/>
          <w:lang w:bidi="fa-IR"/>
        </w:rPr>
        <w:t xml:space="preserve"> السند معلّق ، كسابقه.</w:t>
      </w:r>
    </w:p>
    <w:p w:rsidR="00744A1C" w:rsidRDefault="00E378DD" w:rsidP="00E378DD">
      <w:pPr>
        <w:pStyle w:val="libFootnote0"/>
        <w:rPr>
          <w:lang w:bidi="fa-IR"/>
        </w:rPr>
      </w:pPr>
      <w:r>
        <w:rPr>
          <w:rtl/>
          <w:lang w:bidi="fa-IR"/>
        </w:rPr>
        <w:t>(2).</w:t>
      </w:r>
      <w:r w:rsidR="00744A1C">
        <w:rPr>
          <w:rtl/>
          <w:lang w:bidi="fa-IR"/>
        </w:rPr>
        <w:t xml:space="preserve"> في « بف » : - « بن أيّوب ».</w:t>
      </w:r>
    </w:p>
    <w:p w:rsidR="00744A1C" w:rsidRDefault="00E378DD" w:rsidP="00E378DD">
      <w:pPr>
        <w:pStyle w:val="libFootnote0"/>
        <w:rPr>
          <w:lang w:bidi="fa-IR"/>
        </w:rPr>
      </w:pPr>
      <w:r>
        <w:rPr>
          <w:rtl/>
          <w:lang w:bidi="fa-IR"/>
        </w:rPr>
        <w:t>(3).</w:t>
      </w:r>
      <w:r w:rsidR="00744A1C">
        <w:rPr>
          <w:rtl/>
          <w:lang w:bidi="fa-IR"/>
        </w:rPr>
        <w:t xml:space="preserve"> في « بف » : + « الجمار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يدلّ على أنّ الغسل للرمي من التطوّعات دون السنن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13 ، ص 1078 ، ح 13788 ؛ </w:t>
      </w:r>
      <w:r w:rsidR="00744A1C" w:rsidRPr="00C24F9C">
        <w:rPr>
          <w:rStyle w:val="libFootnoteBoldChar"/>
          <w:rtl/>
        </w:rPr>
        <w:t>الوسائل</w:t>
      </w:r>
      <w:r w:rsidR="00744A1C">
        <w:rPr>
          <w:rtl/>
          <w:lang w:bidi="fa-IR"/>
        </w:rPr>
        <w:t xml:space="preserve"> ، ج 14 ، ص 56 ، ح 18576.</w:t>
      </w:r>
    </w:p>
    <w:p w:rsidR="00744A1C" w:rsidRDefault="00E378DD" w:rsidP="00E378DD">
      <w:pPr>
        <w:pStyle w:val="libFootnote0"/>
        <w:rPr>
          <w:lang w:bidi="fa-IR"/>
        </w:rPr>
      </w:pPr>
      <w:r>
        <w:rPr>
          <w:rtl/>
          <w:lang w:bidi="fa-IR"/>
        </w:rPr>
        <w:t>(6).</w:t>
      </w:r>
      <w:r w:rsidR="00744A1C">
        <w:rPr>
          <w:rtl/>
          <w:lang w:bidi="fa-IR"/>
        </w:rPr>
        <w:t xml:space="preserve"> في « بخ ، بف » </w:t>
      </w:r>
      <w:r w:rsidR="00744A1C" w:rsidRPr="0061079A">
        <w:rPr>
          <w:rtl/>
        </w:rPr>
        <w:t>والوافي والوسائل والتهذيب</w:t>
      </w:r>
      <w:r w:rsidR="00744A1C">
        <w:rPr>
          <w:rtl/>
          <w:lang w:bidi="fa-IR"/>
        </w:rPr>
        <w:t xml:space="preserve"> : « فأمّا ».</w:t>
      </w:r>
    </w:p>
    <w:p w:rsidR="00744A1C" w:rsidRDefault="00E378DD" w:rsidP="00E378DD">
      <w:pPr>
        <w:pStyle w:val="libFootnote0"/>
        <w:rPr>
          <w:lang w:bidi="fa-IR"/>
        </w:rPr>
      </w:pPr>
      <w:r>
        <w:rPr>
          <w:rtl/>
          <w:lang w:bidi="fa-IR"/>
        </w:rPr>
        <w:t>(7).</w:t>
      </w:r>
      <w:r w:rsidR="00744A1C">
        <w:rPr>
          <w:rtl/>
          <w:lang w:bidi="fa-IR"/>
        </w:rPr>
        <w:t xml:space="preserve"> هكذا في جميع النسخ التي قوبلت </w:t>
      </w:r>
      <w:r w:rsidR="00744A1C" w:rsidRPr="0061079A">
        <w:rPr>
          <w:rtl/>
        </w:rPr>
        <w:t>والوافي والوسائل والتهذيب والاستبصار</w:t>
      </w:r>
      <w:r w:rsidR="00744A1C">
        <w:rPr>
          <w:rtl/>
          <w:lang w:bidi="fa-IR"/>
        </w:rPr>
        <w:t xml:space="preserve">. وفي المطبوع : « [ من ] السنّة ». وفي </w:t>
      </w:r>
      <w:r w:rsidR="00744A1C" w:rsidRPr="0061079A">
        <w:rPr>
          <w:rtl/>
        </w:rPr>
        <w:t>الوافي</w:t>
      </w:r>
      <w:r w:rsidR="00744A1C">
        <w:rPr>
          <w:rtl/>
          <w:lang w:bidi="fa-IR"/>
        </w:rPr>
        <w:t xml:space="preserve"> عن بعض النسخ : « لسنّة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197 ، ح 658 ؛ </w:t>
      </w:r>
      <w:r w:rsidR="00744A1C" w:rsidRPr="00C24F9C">
        <w:rPr>
          <w:rStyle w:val="libFootnoteBoldChar"/>
          <w:rtl/>
        </w:rPr>
        <w:t>والاستبصار</w:t>
      </w:r>
      <w:r w:rsidR="00744A1C">
        <w:rPr>
          <w:rtl/>
          <w:lang w:bidi="fa-IR"/>
        </w:rPr>
        <w:t xml:space="preserve"> ، ج 2 ، ص 258 ، ح 910 ، معلّقاً عن الكليني </w:t>
      </w:r>
      <w:r w:rsidR="00734CF7">
        <w:rPr>
          <w:rFonts w:hint="cs"/>
          <w:rtl/>
          <w:lang w:bidi="fa-IR"/>
        </w:rPr>
        <w:t>.</w:t>
      </w:r>
      <w:r w:rsidR="00744A1C" w:rsidRPr="00C24F9C">
        <w:rPr>
          <w:rStyle w:val="libFootnoteBoldChar"/>
          <w:rtl/>
        </w:rPr>
        <w:t>الوافي</w:t>
      </w:r>
      <w:r w:rsidR="00744A1C">
        <w:rPr>
          <w:rtl/>
          <w:lang w:bidi="fa-IR"/>
        </w:rPr>
        <w:t xml:space="preserve"> ، ج 13 ، ص 1078 ، ح 13787 ؛ </w:t>
      </w:r>
      <w:r w:rsidR="00744A1C" w:rsidRPr="00C24F9C">
        <w:rPr>
          <w:rStyle w:val="libFootnoteBoldChar"/>
          <w:rtl/>
        </w:rPr>
        <w:t>الوسائل</w:t>
      </w:r>
      <w:r w:rsidR="00744A1C">
        <w:rPr>
          <w:rtl/>
          <w:lang w:bidi="fa-IR"/>
        </w:rPr>
        <w:t xml:space="preserve"> ، ج 14 ، ص 56 ، ح 18574.</w:t>
      </w:r>
    </w:p>
    <w:p w:rsidR="00744A1C" w:rsidRDefault="00E378DD" w:rsidP="00E378DD">
      <w:pPr>
        <w:pStyle w:val="libFootnote0"/>
        <w:rPr>
          <w:lang w:bidi="fa-IR"/>
        </w:rPr>
      </w:pPr>
      <w:r>
        <w:rPr>
          <w:rtl/>
          <w:lang w:bidi="fa-IR"/>
        </w:rPr>
        <w:t>(9).</w:t>
      </w:r>
      <w:r w:rsidR="00744A1C">
        <w:rPr>
          <w:rtl/>
          <w:lang w:bidi="fa-IR"/>
        </w:rPr>
        <w:t xml:space="preserve"> في « بف » </w:t>
      </w:r>
      <w:r w:rsidR="00744A1C" w:rsidRPr="00734CF7">
        <w:rPr>
          <w:rtl/>
        </w:rPr>
        <w:t>والتهذيب والاستبصار</w:t>
      </w:r>
      <w:r w:rsidR="00744A1C">
        <w:rPr>
          <w:rtl/>
          <w:lang w:bidi="fa-IR"/>
        </w:rPr>
        <w:t xml:space="preserve"> : - « بن رزين ».</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سَأَلْتُ أَبَا جَعْفَرٍ </w:t>
      </w:r>
      <w:r w:rsidR="0061079A" w:rsidRPr="0061079A">
        <w:rPr>
          <w:rStyle w:val="libAlaemChar"/>
          <w:rtl/>
        </w:rPr>
        <w:t>عليه‌السلام</w:t>
      </w:r>
      <w:r w:rsidR="00D10E3C">
        <w:rPr>
          <w:rtl/>
          <w:lang w:bidi="fa-IR"/>
        </w:rPr>
        <w:t xml:space="preserve"> </w:t>
      </w:r>
      <w:r>
        <w:rPr>
          <w:rtl/>
          <w:lang w:bidi="fa-IR"/>
        </w:rPr>
        <w:t>عَنِ الْجِمَارِ؟</w:t>
      </w:r>
    </w:p>
    <w:p w:rsidR="00144FA6" w:rsidRDefault="00744A1C" w:rsidP="00744A1C">
      <w:pPr>
        <w:pStyle w:val="libNormal"/>
        <w:rPr>
          <w:rtl/>
          <w:lang w:bidi="fa-IR"/>
        </w:rPr>
      </w:pPr>
      <w:r>
        <w:rPr>
          <w:rtl/>
          <w:lang w:bidi="fa-IR"/>
        </w:rPr>
        <w:t xml:space="preserve">فَقَالَ : « لَا تَرْمِ الْجِمَارَ </w:t>
      </w:r>
      <w:r w:rsidRPr="00D10E3C">
        <w:rPr>
          <w:rStyle w:val="libFootnotenumChar"/>
          <w:rtl/>
        </w:rPr>
        <w:t>(1)</w:t>
      </w:r>
      <w:r w:rsidR="00B01FB6">
        <w:rPr>
          <w:rtl/>
          <w:lang w:bidi="fa-IR"/>
        </w:rPr>
        <w:t xml:space="preserve"> إِل</w:t>
      </w:r>
      <w:r w:rsidR="00B01FB6">
        <w:rPr>
          <w:rFonts w:hint="cs"/>
          <w:rtl/>
          <w:lang w:bidi="fa-IR"/>
        </w:rPr>
        <w:t>َّ</w:t>
      </w:r>
      <w:r w:rsidR="00B01FB6">
        <w:rPr>
          <w:rtl/>
          <w:lang w:bidi="fa-IR"/>
        </w:rPr>
        <w:t>ا</w:t>
      </w:r>
      <w:r>
        <w:rPr>
          <w:rtl/>
          <w:lang w:bidi="fa-IR"/>
        </w:rPr>
        <w:t xml:space="preserve"> وَأَنْتَ عَلى طُهْرٍ </w:t>
      </w:r>
      <w:r w:rsidRPr="00D10E3C">
        <w:rPr>
          <w:rStyle w:val="libFootnotenumChar"/>
          <w:rtl/>
        </w:rPr>
        <w:t>(2)</w:t>
      </w:r>
      <w:r>
        <w:rPr>
          <w:rtl/>
          <w:lang w:bidi="fa-IR"/>
        </w:rPr>
        <w:t xml:space="preserve"> ». </w:t>
      </w:r>
      <w:r w:rsidRPr="00D10E3C">
        <w:rPr>
          <w:rStyle w:val="libFootnotenumChar"/>
          <w:rtl/>
        </w:rPr>
        <w:t>(3)</w:t>
      </w:r>
    </w:p>
    <w:p w:rsidR="00744A1C" w:rsidRDefault="00744A1C" w:rsidP="008360F0">
      <w:pPr>
        <w:pStyle w:val="Heading2Center"/>
        <w:rPr>
          <w:lang w:bidi="fa-IR"/>
        </w:rPr>
      </w:pPr>
      <w:bookmarkStart w:id="20" w:name="_Toc49261318"/>
      <w:r>
        <w:rPr>
          <w:rtl/>
          <w:lang w:bidi="fa-IR"/>
        </w:rPr>
        <w:t>175 - بَابُ مَنْ خَالَفَ الرَّمْيَ أَوْ زَادَ أَوْ نَقَصَ‌</w:t>
      </w:r>
      <w:bookmarkEnd w:id="20"/>
    </w:p>
    <w:p w:rsidR="00144FA6" w:rsidRDefault="00744A1C" w:rsidP="00744A1C">
      <w:pPr>
        <w:pStyle w:val="libNormal"/>
        <w:rPr>
          <w:rtl/>
          <w:lang w:bidi="fa-IR"/>
        </w:rPr>
      </w:pPr>
      <w:r>
        <w:rPr>
          <w:rtl/>
          <w:lang w:bidi="fa-IR"/>
        </w:rPr>
        <w:t xml:space="preserve">7818 / 1. عِدَّةٌ مِنْ أَصْحَابِنَا ، عَنْ سَهْلِ بْنِ زِيَادٍ وَأَحْمَدَ بْنِ مُحَمَّدٍ ، عَنِ الْحَسَنِ </w:t>
      </w:r>
      <w:r w:rsidRPr="00D10E3C">
        <w:rPr>
          <w:rStyle w:val="libFootnotenumChar"/>
          <w:rtl/>
        </w:rPr>
        <w:t>(4)</w:t>
      </w:r>
      <w:r>
        <w:rPr>
          <w:rtl/>
          <w:lang w:bidi="fa-IR"/>
        </w:rPr>
        <w:t xml:space="preserve"> بْنِ مَحْبُوبٍ ، عَنِ ابْنِ رِئَابٍ </w:t>
      </w:r>
      <w:r w:rsidRPr="00D10E3C">
        <w:rPr>
          <w:rStyle w:val="libFootnotenumChar"/>
          <w:rtl/>
        </w:rPr>
        <w:t>(5)</w:t>
      </w:r>
      <w:r>
        <w:rPr>
          <w:rtl/>
          <w:lang w:bidi="fa-IR"/>
        </w:rPr>
        <w:t xml:space="preserve"> ، عَنْ مِسْمَعٍ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رَجُلٍ نَسِيَ رَمْيَ </w:t>
      </w:r>
      <w:r w:rsidRPr="00D10E3C">
        <w:rPr>
          <w:rStyle w:val="libFootnotenumChar"/>
          <w:rtl/>
        </w:rPr>
        <w:t>(6)</w:t>
      </w:r>
      <w:r>
        <w:rPr>
          <w:rtl/>
          <w:lang w:bidi="fa-IR"/>
        </w:rPr>
        <w:t xml:space="preserve"> الْجِمَارِ يَوْمَ الثَّانِي </w:t>
      </w:r>
      <w:r w:rsidRPr="00D10E3C">
        <w:rPr>
          <w:rStyle w:val="libFootnotenumChar"/>
          <w:rtl/>
        </w:rPr>
        <w:t>(7)</w:t>
      </w:r>
      <w:r>
        <w:rPr>
          <w:rtl/>
          <w:lang w:bidi="fa-IR"/>
        </w:rPr>
        <w:t xml:space="preserve"> ، فَبَدَأَ بِجَمْرَةِ الْعَقَبَةِ ، ثُمَّ الْوُسْطى ، ثُمَّ الْأُولى </w:t>
      </w:r>
      <w:r w:rsidRPr="00D10E3C">
        <w:rPr>
          <w:rStyle w:val="libFootnotenumChar"/>
          <w:rtl/>
        </w:rPr>
        <w:t>(8)</w:t>
      </w:r>
      <w:r>
        <w:rPr>
          <w:rtl/>
          <w:lang w:bidi="fa-IR"/>
        </w:rPr>
        <w:t xml:space="preserve"> : « يُؤَخِّرُ مَا رَمى بِمَا رَمى </w:t>
      </w:r>
      <w:r w:rsidRPr="00D10E3C">
        <w:rPr>
          <w:rStyle w:val="libFootnotenumChar"/>
          <w:rtl/>
        </w:rPr>
        <w:t>(9)</w:t>
      </w:r>
      <w:r>
        <w:rPr>
          <w:rtl/>
          <w:lang w:bidi="fa-IR"/>
        </w:rPr>
        <w:t xml:space="preserve"> ، وَيَرْمِي </w:t>
      </w:r>
      <w:r w:rsidRPr="00D10E3C">
        <w:rPr>
          <w:rStyle w:val="libFootnotenumChar"/>
          <w:rtl/>
        </w:rPr>
        <w:t>(10)</w:t>
      </w:r>
      <w:r>
        <w:rPr>
          <w:rtl/>
          <w:lang w:bidi="fa-IR"/>
        </w:rPr>
        <w:t xml:space="preserve"> جَمْرَةَ </w:t>
      </w:r>
      <w:r w:rsidRPr="00D10E3C">
        <w:rPr>
          <w:rStyle w:val="libFootnotenumChar"/>
          <w:rtl/>
        </w:rPr>
        <w:t>(11)</w:t>
      </w:r>
      <w:r>
        <w:rPr>
          <w:rtl/>
          <w:lang w:bidi="fa-IR"/>
        </w:rPr>
        <w:t xml:space="preserve"> الْوُسْطى ، ثُمَّ‌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 الجمار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يعني استحباباً وإذا أمكنك وتيسّر لك ، كما يدلّ عليه الخبر الآتي » ، وهو المرويّ في </w:t>
      </w:r>
      <w:r w:rsidR="00744A1C" w:rsidRPr="00C24F9C">
        <w:rPr>
          <w:rStyle w:val="libFootnoteBoldChar"/>
          <w:rtl/>
        </w:rPr>
        <w:t>التهذيب</w:t>
      </w:r>
      <w:r w:rsidR="00744A1C">
        <w:rPr>
          <w:rtl/>
          <w:lang w:bidi="fa-IR"/>
        </w:rPr>
        <w:t xml:space="preserve"> ، ج 5 ، ص 198 ، ح 660. وفي </w:t>
      </w:r>
      <w:r w:rsidR="00744A1C" w:rsidRPr="00877682">
        <w:rPr>
          <w:rStyle w:val="libFootnoteBoldChar"/>
          <w:rtl/>
        </w:rPr>
        <w:t>مرآة العقول</w:t>
      </w:r>
      <w:r w:rsidR="00744A1C">
        <w:rPr>
          <w:rtl/>
          <w:lang w:bidi="fa-IR"/>
        </w:rPr>
        <w:t xml:space="preserve"> ، ج 18 ، ص 149 : « يدلّ ظاهراً على مذهب المفيد - والسيّد المرتضى وابن الجنيد أيضاً - وحمل في المشهور على الاستحباب ». وللمزيد راجع : المقنعة ، ص 65 ؛ جمل العلم والعمل ، وص 110 ؛ </w:t>
      </w:r>
      <w:r w:rsidR="00744A1C" w:rsidRPr="00C24F9C">
        <w:rPr>
          <w:rStyle w:val="libFootnoteBoldChar"/>
          <w:rtl/>
        </w:rPr>
        <w:t>مدارك الأحكام</w:t>
      </w:r>
      <w:r w:rsidR="00744A1C">
        <w:rPr>
          <w:rtl/>
          <w:lang w:bidi="fa-IR"/>
        </w:rPr>
        <w:t xml:space="preserve"> ، ج 8 ، ص 10.</w:t>
      </w:r>
    </w:p>
    <w:p w:rsidR="00744A1C" w:rsidRDefault="00E378DD" w:rsidP="008360F0">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197 ، ح 659 ؛ </w:t>
      </w:r>
      <w:r w:rsidR="00744A1C" w:rsidRPr="00C24F9C">
        <w:rPr>
          <w:rStyle w:val="libFootnoteBoldChar"/>
          <w:rtl/>
        </w:rPr>
        <w:t>والاستبصار</w:t>
      </w:r>
      <w:r w:rsidR="00744A1C">
        <w:rPr>
          <w:rtl/>
          <w:lang w:bidi="fa-IR"/>
        </w:rPr>
        <w:t xml:space="preserve"> ، ج 2 ، ص 258 ، ح 911 ، معلّقاً عن الكليني. </w:t>
      </w:r>
      <w:r w:rsidR="00744A1C" w:rsidRPr="0061079A">
        <w:rPr>
          <w:rStyle w:val="libFootnoteBoldChar"/>
          <w:rtl/>
        </w:rPr>
        <w:t>الكافي</w:t>
      </w:r>
      <w:r w:rsidR="00744A1C">
        <w:rPr>
          <w:rtl/>
          <w:lang w:bidi="fa-IR"/>
        </w:rPr>
        <w:t xml:space="preserve"> ، كتاب الحجّ ، باب يوم النحر ومبتدأ الرمي وفضله ، ذيل ح 7801 ، بسند آخر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وفيه : « ويستحبّ أن يرمي الجمار على طهر ». وراجع : </w:t>
      </w:r>
      <w:r w:rsidR="00744A1C" w:rsidRPr="00C24F9C">
        <w:rPr>
          <w:rStyle w:val="libFootnoteBoldChar"/>
          <w:rtl/>
        </w:rPr>
        <w:t>الفقيه</w:t>
      </w:r>
      <w:r w:rsidR="00744A1C">
        <w:rPr>
          <w:rtl/>
          <w:lang w:bidi="fa-IR"/>
        </w:rPr>
        <w:t xml:space="preserve"> ، ج 2 ، ص 547 </w:t>
      </w:r>
      <w:r w:rsidR="008360F0">
        <w:rPr>
          <w:rFonts w:hint="cs"/>
          <w:rtl/>
          <w:lang w:bidi="fa-IR"/>
        </w:rPr>
        <w:t>.</w:t>
      </w:r>
      <w:r w:rsidR="00744A1C" w:rsidRPr="00C24F9C">
        <w:rPr>
          <w:rStyle w:val="libFootnoteBoldChar"/>
          <w:rtl/>
        </w:rPr>
        <w:t>الوافي</w:t>
      </w:r>
      <w:r w:rsidR="00744A1C">
        <w:rPr>
          <w:rtl/>
          <w:lang w:bidi="fa-IR"/>
        </w:rPr>
        <w:t xml:space="preserve"> ، ج 13 ، ص 1078 ، ح 13789 ؛ </w:t>
      </w:r>
      <w:r w:rsidR="00744A1C" w:rsidRPr="00C24F9C">
        <w:rPr>
          <w:rStyle w:val="libFootnoteBoldChar"/>
          <w:rtl/>
        </w:rPr>
        <w:t>الوسائل</w:t>
      </w:r>
      <w:r w:rsidR="00744A1C">
        <w:rPr>
          <w:rtl/>
          <w:lang w:bidi="fa-IR"/>
        </w:rPr>
        <w:t xml:space="preserve"> ، ج 14 ، ص 56 ، ح 18573.</w:t>
      </w:r>
      <w:r w:rsidR="008360F0">
        <w:rPr>
          <w:rFonts w:hint="cs"/>
          <w:rtl/>
          <w:lang w:bidi="fa-IR"/>
        </w:rPr>
        <w:t xml:space="preserve">         </w:t>
      </w:r>
      <w:r>
        <w:rPr>
          <w:rtl/>
          <w:lang w:bidi="fa-IR"/>
        </w:rPr>
        <w:t>(4).</w:t>
      </w:r>
      <w:r w:rsidR="00744A1C">
        <w:rPr>
          <w:rtl/>
          <w:lang w:bidi="fa-IR"/>
        </w:rPr>
        <w:t xml:space="preserve"> في « بخ » </w:t>
      </w:r>
      <w:r w:rsidR="00744A1C" w:rsidRPr="0061079A">
        <w:rPr>
          <w:rStyle w:val="libFootnoteBoldChar"/>
          <w:rtl/>
        </w:rPr>
        <w:t>والتهذيب</w:t>
      </w:r>
      <w:r w:rsidR="00744A1C">
        <w:rPr>
          <w:rtl/>
          <w:lang w:bidi="fa-IR"/>
        </w:rPr>
        <w:t xml:space="preserve"> : - « الحسن ».</w:t>
      </w:r>
    </w:p>
    <w:p w:rsidR="00744A1C" w:rsidRDefault="00E378DD" w:rsidP="00E378DD">
      <w:pPr>
        <w:pStyle w:val="libFootnote0"/>
        <w:rPr>
          <w:lang w:bidi="fa-IR"/>
        </w:rPr>
      </w:pPr>
      <w:r>
        <w:rPr>
          <w:rtl/>
          <w:lang w:bidi="fa-IR"/>
        </w:rPr>
        <w:t>(5).</w:t>
      </w:r>
      <w:r w:rsidR="00744A1C">
        <w:rPr>
          <w:rtl/>
          <w:lang w:bidi="fa-IR"/>
        </w:rPr>
        <w:t xml:space="preserve"> في « بف » وحاشية « بح » : « عن عليّ بن رئاب ».</w:t>
      </w:r>
    </w:p>
    <w:p w:rsidR="00744A1C" w:rsidRDefault="00E378DD" w:rsidP="00E378DD">
      <w:pPr>
        <w:pStyle w:val="libFootnote0"/>
        <w:rPr>
          <w:lang w:bidi="fa-IR"/>
        </w:rPr>
      </w:pPr>
      <w:r>
        <w:rPr>
          <w:rtl/>
          <w:lang w:bidi="fa-IR"/>
        </w:rPr>
        <w:t>(6).</w:t>
      </w:r>
      <w:r w:rsidR="00744A1C">
        <w:rPr>
          <w:rtl/>
          <w:lang w:bidi="fa-IR"/>
        </w:rPr>
        <w:t xml:space="preserve"> في « ى » : - « رمي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يوم الثاني ، أي يوم الرمي الثاني. وفي بعض النسخ : في الثاني ».</w:t>
      </w:r>
    </w:p>
    <w:p w:rsidR="00744A1C" w:rsidRDefault="00E378DD" w:rsidP="00E378DD">
      <w:pPr>
        <w:pStyle w:val="libFootnote0"/>
        <w:rPr>
          <w:lang w:bidi="fa-IR"/>
        </w:rPr>
      </w:pPr>
      <w:r>
        <w:rPr>
          <w:rtl/>
          <w:lang w:bidi="fa-IR"/>
        </w:rPr>
        <w:t>(8).</w:t>
      </w:r>
      <w:r w:rsidR="00744A1C">
        <w:rPr>
          <w:rtl/>
          <w:lang w:bidi="fa-IR"/>
        </w:rPr>
        <w:t xml:space="preserve"> في « بخ » : + « ثمّ ». وفي </w:t>
      </w:r>
      <w:r w:rsidR="00744A1C" w:rsidRPr="00C24F9C">
        <w:rPr>
          <w:rStyle w:val="libFootnoteBoldChar"/>
          <w:rtl/>
        </w:rPr>
        <w:t>التهذيب</w:t>
      </w:r>
      <w:r w:rsidR="00744A1C">
        <w:rPr>
          <w:rtl/>
          <w:lang w:bidi="fa-IR"/>
        </w:rPr>
        <w:t xml:space="preserve"> : + « قال ».</w:t>
      </w:r>
    </w:p>
    <w:p w:rsidR="00744A1C" w:rsidRDefault="00E378DD" w:rsidP="00E378DD">
      <w:pPr>
        <w:pStyle w:val="libFootnote0"/>
        <w:rPr>
          <w:lang w:bidi="fa-IR"/>
        </w:rPr>
      </w:pPr>
      <w:r>
        <w:rPr>
          <w:rtl/>
          <w:lang w:bidi="fa-IR"/>
        </w:rPr>
        <w:t>(9).</w:t>
      </w:r>
      <w:r w:rsidR="00744A1C">
        <w:rPr>
          <w:rtl/>
          <w:lang w:bidi="fa-IR"/>
        </w:rPr>
        <w:t xml:space="preserve"> في « ى ، بخ ، بف » </w:t>
      </w:r>
      <w:r w:rsidR="00744A1C" w:rsidRPr="0061079A">
        <w:rPr>
          <w:rStyle w:val="libFootnoteBoldChar"/>
          <w:rtl/>
        </w:rPr>
        <w:t>والتهذيب</w:t>
      </w:r>
      <w:r w:rsidR="00744A1C">
        <w:rPr>
          <w:rtl/>
          <w:lang w:bidi="fa-IR"/>
        </w:rPr>
        <w:t xml:space="preserve"> : - « بما رمى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يؤخّر ما رمى بما يرمي ، أي يؤخّر ما قدّم رميه نسياناً بما يرمي إعادة له ».</w:t>
      </w:r>
    </w:p>
    <w:p w:rsidR="00744A1C" w:rsidRDefault="00744A1C" w:rsidP="00377B94">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150 : « قوله </w:t>
      </w:r>
      <w:r w:rsidR="0061079A" w:rsidRPr="0061079A">
        <w:rPr>
          <w:rStyle w:val="libFootnoteAlaemChar"/>
          <w:rtl/>
        </w:rPr>
        <w:t>عليه‌السلام</w:t>
      </w:r>
      <w:r w:rsidR="00D10E3C">
        <w:rPr>
          <w:rtl/>
          <w:lang w:bidi="fa-IR"/>
        </w:rPr>
        <w:t xml:space="preserve"> </w:t>
      </w:r>
      <w:r>
        <w:rPr>
          <w:rtl/>
          <w:lang w:bidi="fa-IR"/>
        </w:rPr>
        <w:t>: يؤخّر ما رمى ، أي يؤخّره أوّلاً ، أي يعيد مرّة ا</w:t>
      </w:r>
      <w:r w:rsidR="00DC198B">
        <w:rPr>
          <w:rFonts w:hint="cs"/>
          <w:rtl/>
          <w:lang w:bidi="fa-IR"/>
        </w:rPr>
        <w:t>ُ</w:t>
      </w:r>
      <w:r>
        <w:rPr>
          <w:rtl/>
          <w:lang w:bidi="fa-IR"/>
        </w:rPr>
        <w:t>خرى بمثل ما رمى أوّلاً ».</w:t>
      </w:r>
      <w:r w:rsidR="00377B94">
        <w:rPr>
          <w:rFonts w:hint="cs"/>
          <w:rtl/>
          <w:lang w:bidi="fa-IR"/>
        </w:rPr>
        <w:t xml:space="preserve">                                       </w:t>
      </w:r>
      <w:r w:rsidR="00E378DD">
        <w:rPr>
          <w:rtl/>
          <w:lang w:bidi="fa-IR"/>
        </w:rPr>
        <w:t>(10).</w:t>
      </w:r>
      <w:r>
        <w:rPr>
          <w:rtl/>
          <w:lang w:bidi="fa-IR"/>
        </w:rPr>
        <w:t xml:space="preserve"> في « بح » </w:t>
      </w:r>
      <w:r w:rsidRPr="00377B94">
        <w:rPr>
          <w:rtl/>
        </w:rPr>
        <w:t>والوافي والوسائل والتهذيب</w:t>
      </w:r>
      <w:r>
        <w:rPr>
          <w:rtl/>
          <w:lang w:bidi="fa-IR"/>
        </w:rPr>
        <w:t xml:space="preserve"> : « فيرمي ».</w:t>
      </w:r>
    </w:p>
    <w:p w:rsidR="00744A1C" w:rsidRDefault="00E378DD" w:rsidP="00E378DD">
      <w:pPr>
        <w:pStyle w:val="libFootnote0"/>
        <w:rPr>
          <w:lang w:bidi="fa-IR"/>
        </w:rPr>
      </w:pPr>
      <w:r>
        <w:rPr>
          <w:rtl/>
          <w:lang w:bidi="fa-IR"/>
        </w:rPr>
        <w:t>(11).</w:t>
      </w:r>
      <w:r w:rsidR="00744A1C">
        <w:rPr>
          <w:rtl/>
          <w:lang w:bidi="fa-IR"/>
        </w:rPr>
        <w:t xml:space="preserve"> هكذا في جميع النسخ التي قوبلت. وفي المطبوع و</w:t>
      </w:r>
      <w:r w:rsidR="00744A1C" w:rsidRPr="00C24F9C">
        <w:rPr>
          <w:rStyle w:val="libFootnoteBoldChar"/>
          <w:rtl/>
        </w:rPr>
        <w:t>الوافي</w:t>
      </w:r>
      <w:r w:rsidR="00744A1C">
        <w:rPr>
          <w:rtl/>
          <w:lang w:bidi="fa-IR"/>
        </w:rPr>
        <w:t xml:space="preserve"> : « الجمرة ». وفي </w:t>
      </w:r>
      <w:r w:rsidR="00744A1C" w:rsidRPr="00C24F9C">
        <w:rPr>
          <w:rStyle w:val="libFootnoteBoldChar"/>
          <w:rtl/>
        </w:rPr>
        <w:t>الوسائل</w:t>
      </w:r>
      <w:r w:rsidR="00744A1C">
        <w:rPr>
          <w:rtl/>
          <w:lang w:bidi="fa-IR"/>
        </w:rPr>
        <w:t xml:space="preserve"> : - « جمرة ».</w:t>
      </w:r>
    </w:p>
    <w:p w:rsidR="000F7CEC" w:rsidRDefault="000F7CEC" w:rsidP="00D10E3C">
      <w:pPr>
        <w:pStyle w:val="libNormal"/>
        <w:rPr>
          <w:rtl/>
          <w:lang w:bidi="fa-IR"/>
        </w:rPr>
      </w:pPr>
      <w:r>
        <w:rPr>
          <w:rtl/>
          <w:lang w:bidi="fa-IR"/>
        </w:rPr>
        <w:br w:type="page"/>
      </w:r>
    </w:p>
    <w:p w:rsidR="00144FA6" w:rsidRDefault="00744A1C" w:rsidP="00596830">
      <w:pPr>
        <w:pStyle w:val="libNormal0"/>
        <w:rPr>
          <w:rtl/>
          <w:lang w:bidi="fa-IR"/>
        </w:rPr>
      </w:pPr>
      <w:r>
        <w:rPr>
          <w:rtl/>
          <w:lang w:bidi="fa-IR"/>
        </w:rPr>
        <w:lastRenderedPageBreak/>
        <w:t xml:space="preserve">جَمْرَةَ الْعَقَبَةِ ». </w:t>
      </w:r>
      <w:r w:rsidRPr="00D10E3C">
        <w:rPr>
          <w:rStyle w:val="libFootnotenumChar"/>
          <w:rtl/>
        </w:rPr>
        <w:t>(1)</w:t>
      </w:r>
    </w:p>
    <w:p w:rsidR="00144FA6" w:rsidRDefault="00744A1C" w:rsidP="00744A1C">
      <w:pPr>
        <w:pStyle w:val="libNormal"/>
        <w:rPr>
          <w:rtl/>
          <w:lang w:bidi="fa-IR"/>
        </w:rPr>
      </w:pPr>
      <w:r>
        <w:rPr>
          <w:rtl/>
          <w:lang w:bidi="fa-IR"/>
        </w:rPr>
        <w:t xml:space="preserve">7819 / 2. عَلِيُّ بْنُ إِبْرَاهِيمَ ، عَنْ أَبِيهِ ، عَنِ ابْنِ أَبِي عُمَيْرٍ ، عَنْ مُعَاوِيَةَ بْنِ عَمَّارٍ ؛ وَ </w:t>
      </w:r>
      <w:r w:rsidRPr="00D10E3C">
        <w:rPr>
          <w:rStyle w:val="libFootnotenumChar"/>
          <w:rtl/>
        </w:rPr>
        <w:t>(2)</w:t>
      </w:r>
      <w:r>
        <w:rPr>
          <w:rtl/>
          <w:lang w:bidi="fa-IR"/>
        </w:rPr>
        <w:t xml:space="preserve"> حَمَّادٍ </w:t>
      </w:r>
      <w:r w:rsidRPr="00D10E3C">
        <w:rPr>
          <w:rStyle w:val="libFootnotenumChar"/>
          <w:rtl/>
        </w:rPr>
        <w:t>(3)</w:t>
      </w:r>
      <w:r>
        <w:rPr>
          <w:rtl/>
          <w:lang w:bidi="fa-IR"/>
        </w:rPr>
        <w:t xml:space="preserve"> ، عَنِ الْحَلَبِيِّ جَمِيعاً </w:t>
      </w:r>
      <w:r w:rsidRPr="00D10E3C">
        <w:rPr>
          <w:rStyle w:val="libFootnotenumChar"/>
          <w:rtl/>
        </w:rPr>
        <w:t>(4)</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رَجُلٍ يَرْمِي </w:t>
      </w:r>
      <w:r w:rsidRPr="00D10E3C">
        <w:rPr>
          <w:rStyle w:val="libFootnotenumChar"/>
          <w:rtl/>
        </w:rPr>
        <w:t>(5)</w:t>
      </w:r>
      <w:r>
        <w:rPr>
          <w:rtl/>
          <w:lang w:bidi="fa-IR"/>
        </w:rPr>
        <w:t xml:space="preserve"> الْجِمَارَ مَنْكُوسَةً </w:t>
      </w:r>
      <w:r w:rsidRPr="00D10E3C">
        <w:rPr>
          <w:rStyle w:val="libFootnotenumChar"/>
          <w:rtl/>
        </w:rPr>
        <w:t>(6)</w:t>
      </w:r>
      <w:r>
        <w:rPr>
          <w:rtl/>
          <w:lang w:bidi="fa-IR"/>
        </w:rPr>
        <w:t xml:space="preserve"> ، قَالَ : « يُعِيدُ عَلَى الْوُسْطى ، وَجَمْرَةِ الْعَقَبَةِ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7820 / 3. عِدَّةٌ مِنْ أَصْحَابِنَا ، عَنْ سَهْلِ بْنِ زِيَادٍ ، عَنْ أَحْمَدَ بْنِ مُحَمَّدٍ ، عَنْ عَبْدِ الْكَرِيمِ بْنِ عَمْرٍو ، عَنْ عَبْدِ الْأَعْلى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قُلْتُ لَهُ : رَجُلٌ رَمَى الْجَمْرَةَ بِسِتِّ حَصَيَاتٍ ، وَوَقَعَتْ وَاحِدَةٌ فِي الْحَصى.</w:t>
      </w:r>
    </w:p>
    <w:p w:rsidR="00744A1C" w:rsidRDefault="00744A1C" w:rsidP="00744A1C">
      <w:pPr>
        <w:pStyle w:val="libNormal"/>
        <w:rPr>
          <w:lang w:bidi="fa-IR"/>
        </w:rPr>
      </w:pPr>
      <w:r>
        <w:rPr>
          <w:rtl/>
          <w:lang w:bidi="fa-IR"/>
        </w:rPr>
        <w:t>قَالَ : « يُعِيدُهَا إِنْ شَاءَ مِنْ سَاعَتِهِ ، وَإِنْ شَاءَ مِنَ الْغَدِ إِذَا أَرَادَ الرَّمْيَ ، وَلَايَأْخُذُ مِنْ حَصَى الْجِمَارِ ».</w:t>
      </w:r>
    </w:p>
    <w:p w:rsidR="00744A1C" w:rsidRDefault="00744A1C" w:rsidP="00744A1C">
      <w:pPr>
        <w:pStyle w:val="libNormal"/>
        <w:rPr>
          <w:lang w:bidi="fa-IR"/>
        </w:rPr>
      </w:pPr>
      <w:r>
        <w:rPr>
          <w:rtl/>
          <w:lang w:bidi="fa-IR"/>
        </w:rPr>
        <w:t xml:space="preserve">قَالَ : وَسَأَلْتُهُ عَنْ رَجُلٍ رَمى جَمْرَةَ الْعَقَبَةِ بِسِتِّ </w:t>
      </w:r>
      <w:r w:rsidRPr="00D10E3C">
        <w:rPr>
          <w:rStyle w:val="libFootnotenumChar"/>
          <w:rtl/>
        </w:rPr>
        <w:t>(9)</w:t>
      </w:r>
      <w:r>
        <w:rPr>
          <w:rtl/>
          <w:lang w:bidi="fa-IR"/>
        </w:rPr>
        <w:t xml:space="preserve"> حَصَيَاتٍ ، وَوَقَعَتْ وَاحِدَةٌ‌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265 ، ح 902 ، معلّقاً عن الكليني </w:t>
      </w:r>
      <w:r w:rsidR="00377B94">
        <w:rPr>
          <w:rFonts w:hint="cs"/>
          <w:rtl/>
          <w:lang w:bidi="fa-IR"/>
        </w:rPr>
        <w:t>.</w:t>
      </w:r>
      <w:r w:rsidR="00744A1C" w:rsidRPr="00C24F9C">
        <w:rPr>
          <w:rStyle w:val="libFootnoteBoldChar"/>
          <w:rtl/>
        </w:rPr>
        <w:t>الوافي</w:t>
      </w:r>
      <w:r w:rsidR="00744A1C">
        <w:rPr>
          <w:rtl/>
          <w:lang w:bidi="fa-IR"/>
        </w:rPr>
        <w:t xml:space="preserve"> ، ج 13 ، ص 1091 ، ح 13822 ؛ </w:t>
      </w:r>
      <w:r w:rsidR="00744A1C" w:rsidRPr="00C24F9C">
        <w:rPr>
          <w:rStyle w:val="libFootnoteBoldChar"/>
          <w:rtl/>
        </w:rPr>
        <w:t>الوسائل</w:t>
      </w:r>
      <w:r w:rsidR="00744A1C">
        <w:rPr>
          <w:rtl/>
          <w:lang w:bidi="fa-IR"/>
        </w:rPr>
        <w:t xml:space="preserve"> ، ج 14 ، ص 265 ، ح 19159.</w:t>
      </w:r>
    </w:p>
    <w:p w:rsidR="00744A1C" w:rsidRDefault="00E378DD" w:rsidP="00E378DD">
      <w:pPr>
        <w:pStyle w:val="libFootnote0"/>
        <w:rPr>
          <w:lang w:bidi="fa-IR"/>
        </w:rPr>
      </w:pPr>
      <w:r>
        <w:rPr>
          <w:rtl/>
          <w:lang w:bidi="fa-IR"/>
        </w:rPr>
        <w:t>(2).</w:t>
      </w:r>
      <w:r w:rsidR="00744A1C">
        <w:rPr>
          <w:rtl/>
          <w:lang w:bidi="fa-IR"/>
        </w:rPr>
        <w:t xml:space="preserve"> في السند تحويل بعطف « حمّاد ، عن الحلبي » على « معاوية بن عمّار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 « بن عيسى ». وهو سهو ، وحمّاد المتوسّط بين ابن أبي عمير والحلبي - وهو عبيد الله بن عليّ - هو حمّاد بن عثمان. راجع : </w:t>
      </w:r>
      <w:r w:rsidR="00744A1C" w:rsidRPr="0061079A">
        <w:rPr>
          <w:rStyle w:val="libFootnoteBoldChar"/>
          <w:rtl/>
        </w:rPr>
        <w:t>معجم رجال الحديث</w:t>
      </w:r>
      <w:r w:rsidR="00744A1C">
        <w:rPr>
          <w:rtl/>
          <w:lang w:bidi="fa-IR"/>
        </w:rPr>
        <w:t xml:space="preserve"> ، ج 6 ، ص 412 - 414 ؛ وص 419 - 421.</w:t>
      </w:r>
    </w:p>
    <w:p w:rsidR="00744A1C" w:rsidRDefault="00E378DD" w:rsidP="00E378DD">
      <w:pPr>
        <w:pStyle w:val="libFootnote0"/>
        <w:rPr>
          <w:lang w:bidi="fa-IR"/>
        </w:rPr>
      </w:pPr>
      <w:r>
        <w:rPr>
          <w:rtl/>
          <w:lang w:bidi="fa-IR"/>
        </w:rPr>
        <w:t>(4).</w:t>
      </w:r>
      <w:r w:rsidR="00744A1C">
        <w:rPr>
          <w:rtl/>
          <w:lang w:bidi="fa-IR"/>
        </w:rPr>
        <w:t xml:space="preserve"> في « بف » </w:t>
      </w:r>
      <w:r w:rsidR="00744A1C" w:rsidRPr="0061079A">
        <w:rPr>
          <w:rStyle w:val="libFootnoteBoldChar"/>
          <w:rtl/>
        </w:rPr>
        <w:t>والتهذيب</w:t>
      </w:r>
      <w:r w:rsidR="00744A1C">
        <w:rPr>
          <w:rtl/>
          <w:lang w:bidi="fa-IR"/>
        </w:rPr>
        <w:t xml:space="preserve"> : - « جميعاً ».</w:t>
      </w:r>
    </w:p>
    <w:p w:rsidR="00744A1C" w:rsidRDefault="00E378DD" w:rsidP="00E378DD">
      <w:pPr>
        <w:pStyle w:val="libFootnote0"/>
        <w:rPr>
          <w:lang w:bidi="fa-IR"/>
        </w:rPr>
      </w:pPr>
      <w:r>
        <w:rPr>
          <w:rtl/>
          <w:lang w:bidi="fa-IR"/>
        </w:rPr>
        <w:t>(5).</w:t>
      </w:r>
      <w:r w:rsidR="00744A1C">
        <w:rPr>
          <w:rtl/>
          <w:lang w:bidi="fa-IR"/>
        </w:rPr>
        <w:t xml:space="preserve"> في « بف ، جد » وحاشية « جن » </w:t>
      </w:r>
      <w:r w:rsidR="00744A1C" w:rsidRPr="00377B94">
        <w:rPr>
          <w:rtl/>
        </w:rPr>
        <w:t>والوافي والوسائل والتهذيب</w:t>
      </w:r>
      <w:r w:rsidR="00744A1C">
        <w:rPr>
          <w:rtl/>
          <w:lang w:bidi="fa-IR"/>
        </w:rPr>
        <w:t xml:space="preserve"> : « رمى ».</w:t>
      </w:r>
    </w:p>
    <w:p w:rsidR="00744A1C" w:rsidRDefault="00E378DD" w:rsidP="00E378DD">
      <w:pPr>
        <w:pStyle w:val="libFootnote0"/>
        <w:rPr>
          <w:lang w:bidi="fa-IR"/>
        </w:rPr>
      </w:pPr>
      <w:r>
        <w:rPr>
          <w:rtl/>
          <w:lang w:bidi="fa-IR"/>
        </w:rPr>
        <w:t>(6).</w:t>
      </w:r>
      <w:r w:rsidR="00744A1C">
        <w:rPr>
          <w:rtl/>
          <w:lang w:bidi="fa-IR"/>
        </w:rPr>
        <w:t xml:space="preserve"> في « بث ، بح » : « منكوساً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يدلّ كالسابق على وجوب رعاية الترتيب بين الجمرات ، وعلى أنّه إذا خالف الترتيب - سواء كان عمداً أو سهواً أو جهلاً - يعيد على ما يحصل معه الترتيب. وكلّ ذلك مقطوع به في كلام الأصحاب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265 ، ح 903 ، معلّقاً عن الكليني. </w:t>
      </w:r>
      <w:r w:rsidR="00744A1C" w:rsidRPr="00C24F9C">
        <w:rPr>
          <w:rStyle w:val="libFootnoteBoldChar"/>
          <w:rtl/>
        </w:rPr>
        <w:t>الفقيه</w:t>
      </w:r>
      <w:r w:rsidR="00744A1C">
        <w:rPr>
          <w:rtl/>
          <w:lang w:bidi="fa-IR"/>
        </w:rPr>
        <w:t xml:space="preserve"> ، ج 2 ، ص 474 ، ذيل ح 3000 ، معلّقاً عن معاوية بن عمّار ، عن أبي عبدالله </w:t>
      </w:r>
      <w:r w:rsidR="0061079A" w:rsidRPr="0061079A">
        <w:rPr>
          <w:rStyle w:val="libFootnoteAlaemChar"/>
          <w:rtl/>
        </w:rPr>
        <w:t>عليه‌السلام</w:t>
      </w:r>
      <w:r w:rsidR="00D10E3C">
        <w:rPr>
          <w:rtl/>
          <w:lang w:bidi="fa-IR"/>
        </w:rPr>
        <w:t xml:space="preserve"> </w:t>
      </w:r>
      <w:r w:rsidR="00377B94">
        <w:rPr>
          <w:rFonts w:hint="cs"/>
          <w:rtl/>
          <w:lang w:bidi="fa-IR"/>
        </w:rPr>
        <w:t>.</w:t>
      </w:r>
      <w:r w:rsidR="00744A1C" w:rsidRPr="00C24F9C">
        <w:rPr>
          <w:rStyle w:val="libFootnoteBoldChar"/>
          <w:rtl/>
        </w:rPr>
        <w:t>الوافي</w:t>
      </w:r>
      <w:r w:rsidR="00744A1C">
        <w:rPr>
          <w:rtl/>
          <w:lang w:bidi="fa-IR"/>
        </w:rPr>
        <w:t xml:space="preserve"> ، ج 13 ، ص 1091 ، ح 13823 ؛ </w:t>
      </w:r>
      <w:r w:rsidR="00744A1C" w:rsidRPr="00C24F9C">
        <w:rPr>
          <w:rStyle w:val="libFootnoteBoldChar"/>
          <w:rtl/>
        </w:rPr>
        <w:t>الوسائل</w:t>
      </w:r>
      <w:r w:rsidR="00744A1C">
        <w:rPr>
          <w:rtl/>
          <w:lang w:bidi="fa-IR"/>
        </w:rPr>
        <w:t xml:space="preserve"> ، ج 14 ، ص 266 ، ح 19160.</w:t>
      </w:r>
    </w:p>
    <w:p w:rsidR="00744A1C" w:rsidRDefault="00E378DD" w:rsidP="00E378DD">
      <w:pPr>
        <w:pStyle w:val="libFootnote0"/>
        <w:rPr>
          <w:lang w:bidi="fa-IR"/>
        </w:rPr>
      </w:pPr>
      <w:r>
        <w:rPr>
          <w:rtl/>
          <w:lang w:bidi="fa-IR"/>
        </w:rPr>
        <w:t>(9).</w:t>
      </w:r>
      <w:r w:rsidR="00744A1C">
        <w:rPr>
          <w:rtl/>
          <w:lang w:bidi="fa-IR"/>
        </w:rPr>
        <w:t xml:space="preserve"> في « جن » : « ستّ ».</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فِي الْمَحْمِلِ </w:t>
      </w:r>
      <w:r w:rsidRPr="00D10E3C">
        <w:rPr>
          <w:rStyle w:val="libFootnotenumChar"/>
          <w:rtl/>
        </w:rPr>
        <w:t>(1)</w:t>
      </w:r>
      <w:r>
        <w:rPr>
          <w:rtl/>
          <w:lang w:bidi="fa-IR"/>
        </w:rPr>
        <w:t>؟</w:t>
      </w:r>
    </w:p>
    <w:p w:rsidR="00144FA6" w:rsidRDefault="00744A1C" w:rsidP="00744A1C">
      <w:pPr>
        <w:pStyle w:val="libNormal"/>
        <w:rPr>
          <w:rtl/>
          <w:lang w:bidi="fa-IR"/>
        </w:rPr>
      </w:pPr>
      <w:r>
        <w:rPr>
          <w:rtl/>
          <w:lang w:bidi="fa-IR"/>
        </w:rPr>
        <w:t xml:space="preserve">قَالَ : « يُعِيدُهَا ». </w:t>
      </w:r>
      <w:r w:rsidRPr="00D10E3C">
        <w:rPr>
          <w:rStyle w:val="libFootnotenumChar"/>
          <w:rtl/>
        </w:rPr>
        <w:t>(2)</w:t>
      </w:r>
    </w:p>
    <w:p w:rsidR="00144FA6" w:rsidRDefault="00744A1C" w:rsidP="00744A1C">
      <w:pPr>
        <w:pStyle w:val="libNormal"/>
        <w:rPr>
          <w:rtl/>
          <w:lang w:bidi="fa-IR"/>
        </w:rPr>
      </w:pPr>
      <w:r>
        <w:rPr>
          <w:rtl/>
          <w:lang w:bidi="fa-IR"/>
        </w:rPr>
        <w:t>7821 / 4. مُحَمَّدُ بْنُ يَحْيى ، عَنْ أَحْمَدَ بْنِ مُحَمَّدٍ ، عَنْ عَلِيِّ بْنِ الْحَكَمِ ، عَنْ عَلِيِّ بْنِ أَبِي حَمْزَةَ ، عَنْ أَبِي بَصِيرٍ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sidRPr="00D10E3C">
        <w:rPr>
          <w:rStyle w:val="libFootnotenumChar"/>
          <w:rtl/>
        </w:rPr>
        <w:t>(3)</w:t>
      </w:r>
      <w:r>
        <w:rPr>
          <w:rtl/>
          <w:lang w:bidi="fa-IR"/>
        </w:rPr>
        <w:t xml:space="preserve"> : ذَهَبْتُ أَرْمِي </w:t>
      </w:r>
      <w:r w:rsidRPr="00D10E3C">
        <w:rPr>
          <w:rStyle w:val="libFootnotenumChar"/>
          <w:rtl/>
        </w:rPr>
        <w:t>(4)</w:t>
      </w:r>
      <w:r>
        <w:rPr>
          <w:rtl/>
          <w:lang w:bidi="fa-IR"/>
        </w:rPr>
        <w:t xml:space="preserve"> ، فَإِذَا فِي يَدِي سِتُّ حَصَيَاتٍ.</w:t>
      </w:r>
    </w:p>
    <w:p w:rsidR="00144FA6" w:rsidRDefault="00744A1C" w:rsidP="00744A1C">
      <w:pPr>
        <w:pStyle w:val="libNormal"/>
        <w:rPr>
          <w:rtl/>
          <w:lang w:bidi="fa-IR"/>
        </w:rPr>
      </w:pPr>
      <w:r>
        <w:rPr>
          <w:rtl/>
          <w:lang w:bidi="fa-IR"/>
        </w:rPr>
        <w:t xml:space="preserve">فَقَالَ : « خُذْ وَاحِدَةً مِنْ تَحْتِ رِجْلِكَ </w:t>
      </w:r>
      <w:r w:rsidRPr="00D10E3C">
        <w:rPr>
          <w:rStyle w:val="libFootnotenumChar"/>
          <w:rtl/>
        </w:rPr>
        <w:t>(5)</w:t>
      </w:r>
      <w:r>
        <w:rPr>
          <w:rtl/>
          <w:lang w:bidi="fa-IR"/>
        </w:rPr>
        <w:t xml:space="preserve"> ». </w:t>
      </w:r>
      <w:r w:rsidRPr="00D10E3C">
        <w:rPr>
          <w:rStyle w:val="libFootnotenumChar"/>
          <w:rtl/>
        </w:rPr>
        <w:t>(6)</w:t>
      </w:r>
    </w:p>
    <w:p w:rsidR="00377B94" w:rsidRDefault="00744A1C" w:rsidP="00377B94">
      <w:pPr>
        <w:pStyle w:val="libNormal"/>
        <w:rPr>
          <w:rtl/>
          <w:lang w:bidi="fa-IR"/>
        </w:rPr>
      </w:pPr>
      <w:r>
        <w:rPr>
          <w:rtl/>
          <w:lang w:bidi="fa-IR"/>
        </w:rPr>
        <w:t>7822 / 5. عَلِيُّ بْنُ إِبْرَاهِيمَ ، عَنْ أَبِيهِ ؛</w:t>
      </w:r>
    </w:p>
    <w:p w:rsidR="00144FA6" w:rsidRDefault="00377B94" w:rsidP="00377B94">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(7)</w:t>
      </w:r>
      <w:r w:rsidR="00744A1C">
        <w:rPr>
          <w:rtl/>
          <w:lang w:bidi="fa-IR"/>
        </w:rPr>
        <w:t xml:space="preserve"> مُحَمَّدُ بْنُ إِسْمَاعِيلَ ، عَنِ الْفَضْلِ بْنِ شَاذَانَ ، عَنْ صَفْوَانَ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قَالَ فِي رَجُلٍ أَخَذَ إِحْدى وَعِشْرِينَ حَصَاةً ، فَرَمى بِهَا </w:t>
      </w:r>
      <w:r w:rsidRPr="00D10E3C">
        <w:rPr>
          <w:rStyle w:val="libFootnotenumChar"/>
          <w:rtl/>
        </w:rPr>
        <w:t>(8)</w:t>
      </w:r>
      <w:r>
        <w:rPr>
          <w:rtl/>
          <w:lang w:bidi="fa-IR"/>
        </w:rPr>
        <w:t xml:space="preserve"> ، فَزَادَ وَاحِدَةٌ ، فَلَمْ </w:t>
      </w:r>
      <w:r w:rsidRPr="00D10E3C">
        <w:rPr>
          <w:rStyle w:val="libFootnotenumChar"/>
          <w:rtl/>
        </w:rPr>
        <w:t>(9)</w:t>
      </w:r>
      <w:r>
        <w:rPr>
          <w:rtl/>
          <w:lang w:bidi="fa-IR"/>
        </w:rPr>
        <w:t xml:space="preserve"> يَدْرِ مِنْ أَيَّتِهِنَّ </w:t>
      </w:r>
      <w:r w:rsidRPr="00D10E3C">
        <w:rPr>
          <w:rStyle w:val="libFootnotenumChar"/>
          <w:rtl/>
        </w:rPr>
        <w:t>(10)</w:t>
      </w:r>
      <w:r>
        <w:rPr>
          <w:rtl/>
          <w:lang w:bidi="fa-IR"/>
        </w:rPr>
        <w:t xml:space="preserve"> نَقَصَتْ </w:t>
      </w:r>
      <w:r w:rsidRPr="00D10E3C">
        <w:rPr>
          <w:rStyle w:val="libFootnotenumChar"/>
          <w:rtl/>
        </w:rPr>
        <w:t>(11)</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w:t>
      </w:r>
      <w:r w:rsidR="00744A1C" w:rsidRPr="0061079A">
        <w:rPr>
          <w:rStyle w:val="libFootnoteBoldChar"/>
          <w:rtl/>
        </w:rPr>
        <w:t>والتهذيب</w:t>
      </w:r>
      <w:r w:rsidR="00744A1C">
        <w:rPr>
          <w:rtl/>
          <w:lang w:bidi="fa-IR"/>
        </w:rPr>
        <w:t xml:space="preserve"> : « محمل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266 ، ح 906 ، معلّقاً عن الكليني </w:t>
      </w:r>
      <w:r w:rsidR="00B46BC1">
        <w:rPr>
          <w:rFonts w:hint="cs"/>
          <w:rtl/>
          <w:lang w:bidi="fa-IR"/>
        </w:rPr>
        <w:t>.</w:t>
      </w:r>
      <w:r w:rsidR="00744A1C" w:rsidRPr="00C24F9C">
        <w:rPr>
          <w:rStyle w:val="libFootnoteBoldChar"/>
          <w:rtl/>
        </w:rPr>
        <w:t>الوافي</w:t>
      </w:r>
      <w:r w:rsidR="00744A1C">
        <w:rPr>
          <w:rtl/>
          <w:lang w:bidi="fa-IR"/>
        </w:rPr>
        <w:t xml:space="preserve"> ، ج 13 ، ص 1092 ، ح 13824 ؛ </w:t>
      </w:r>
      <w:r w:rsidR="00744A1C" w:rsidRPr="00C24F9C">
        <w:rPr>
          <w:rStyle w:val="libFootnoteBoldChar"/>
          <w:rtl/>
        </w:rPr>
        <w:t>الوسائل</w:t>
      </w:r>
      <w:r w:rsidR="00744A1C">
        <w:rPr>
          <w:rtl/>
          <w:lang w:bidi="fa-IR"/>
        </w:rPr>
        <w:t xml:space="preserve"> ، ج 14 ، ص 61 ، ح 18585 ، من قوله : « وسألته عن رجل رمى جمرة العقبة » ؛ وفيه ، ص 269 ، ح 19167 ، إلى قوله : « ولايأخذ من حصى الجمار ».</w:t>
      </w:r>
    </w:p>
    <w:p w:rsidR="00744A1C" w:rsidRDefault="00E378DD" w:rsidP="00E378DD">
      <w:pPr>
        <w:pStyle w:val="libFootnote0"/>
        <w:rPr>
          <w:lang w:bidi="fa-IR"/>
        </w:rPr>
      </w:pPr>
      <w:r>
        <w:rPr>
          <w:rtl/>
          <w:lang w:bidi="fa-IR"/>
        </w:rPr>
        <w:t>(3).</w:t>
      </w:r>
      <w:r w:rsidR="00744A1C">
        <w:rPr>
          <w:rtl/>
          <w:lang w:bidi="fa-IR"/>
        </w:rPr>
        <w:t xml:space="preserve"> في « بخ ، بف ، جد » و</w:t>
      </w:r>
      <w:r w:rsidR="00744A1C" w:rsidRPr="00C24F9C">
        <w:rPr>
          <w:rStyle w:val="libFootnoteBoldChar"/>
          <w:rtl/>
        </w:rPr>
        <w:t>الوافي</w:t>
      </w:r>
      <w:r w:rsidR="00744A1C">
        <w:rPr>
          <w:rtl/>
          <w:lang w:bidi="fa-IR"/>
        </w:rPr>
        <w:t xml:space="preserve"> :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قال : قلت له » بدل « قال : قلت لأبي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في « بخ » : + « جمرة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من تحت رجلك ، محمول على ما إذا لم يعلم أنّها من الحصيات المرميّة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الفقيه</w:t>
      </w:r>
      <w:r w:rsidR="00744A1C">
        <w:rPr>
          <w:rtl/>
          <w:lang w:bidi="fa-IR"/>
        </w:rPr>
        <w:t xml:space="preserve"> ، ج 2 ، ص 474 ، ح 2998 ، معلّقاً عن عليّ بن أبي حمزة </w:t>
      </w:r>
      <w:r w:rsidR="00B46BC1">
        <w:rPr>
          <w:rFonts w:hint="cs"/>
          <w:rtl/>
          <w:lang w:bidi="fa-IR"/>
        </w:rPr>
        <w:t>.</w:t>
      </w:r>
      <w:r w:rsidR="00744A1C" w:rsidRPr="00C24F9C">
        <w:rPr>
          <w:rStyle w:val="libFootnoteBoldChar"/>
          <w:rtl/>
        </w:rPr>
        <w:t>الوافي</w:t>
      </w:r>
      <w:r w:rsidR="00744A1C">
        <w:rPr>
          <w:rtl/>
          <w:lang w:bidi="fa-IR"/>
        </w:rPr>
        <w:t xml:space="preserve"> ، ج 13 ، ص 1092 ، ح 13825 ؛ </w:t>
      </w:r>
      <w:r w:rsidR="00744A1C" w:rsidRPr="00C24F9C">
        <w:rPr>
          <w:rStyle w:val="libFootnoteBoldChar"/>
          <w:rtl/>
        </w:rPr>
        <w:t>الوسائل</w:t>
      </w:r>
      <w:r w:rsidR="00744A1C">
        <w:rPr>
          <w:rtl/>
          <w:lang w:bidi="fa-IR"/>
        </w:rPr>
        <w:t xml:space="preserve"> ، ج 14 ، ص 269 ، ذيل ح 19166.</w:t>
      </w:r>
    </w:p>
    <w:p w:rsidR="00744A1C" w:rsidRDefault="00E378DD" w:rsidP="00E378DD">
      <w:pPr>
        <w:pStyle w:val="libFootnote0"/>
        <w:rPr>
          <w:lang w:bidi="fa-IR"/>
        </w:rPr>
      </w:pPr>
      <w:r>
        <w:rPr>
          <w:rtl/>
          <w:lang w:bidi="fa-IR"/>
        </w:rPr>
        <w:t>(7).</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(8).</w:t>
      </w:r>
      <w:r w:rsidR="00744A1C">
        <w:rPr>
          <w:rtl/>
          <w:lang w:bidi="fa-IR"/>
        </w:rPr>
        <w:t xml:space="preserve"> في « جن » : - « فرمى بها ».</w:t>
      </w:r>
    </w:p>
    <w:p w:rsidR="00744A1C" w:rsidRDefault="00E378DD" w:rsidP="00E378DD">
      <w:pPr>
        <w:pStyle w:val="libFootnote0"/>
        <w:rPr>
          <w:lang w:bidi="fa-IR"/>
        </w:rPr>
      </w:pPr>
      <w:r>
        <w:rPr>
          <w:rtl/>
          <w:lang w:bidi="fa-IR"/>
        </w:rPr>
        <w:t>(9).</w:t>
      </w:r>
      <w:r w:rsidR="00744A1C">
        <w:rPr>
          <w:rtl/>
          <w:lang w:bidi="fa-IR"/>
        </w:rPr>
        <w:t xml:space="preserve"> في « جن » و</w:t>
      </w:r>
      <w:r w:rsidR="00744A1C" w:rsidRPr="00C24F9C">
        <w:rPr>
          <w:rStyle w:val="libFootnoteBoldChar"/>
          <w:rtl/>
        </w:rPr>
        <w:t>الفقيه</w:t>
      </w:r>
      <w:r w:rsidR="00744A1C">
        <w:rPr>
          <w:rtl/>
          <w:lang w:bidi="fa-IR"/>
        </w:rPr>
        <w:t xml:space="preserve"> : « ولم ».</w:t>
      </w:r>
    </w:p>
    <w:p w:rsidR="00744A1C" w:rsidRDefault="00E378DD" w:rsidP="00E378DD">
      <w:pPr>
        <w:pStyle w:val="libFootnote0"/>
        <w:rPr>
          <w:lang w:bidi="fa-IR"/>
        </w:rPr>
      </w:pPr>
      <w:r>
        <w:rPr>
          <w:rtl/>
          <w:lang w:bidi="fa-IR"/>
        </w:rPr>
        <w:t>(10).</w:t>
      </w:r>
      <w:r w:rsidR="00744A1C">
        <w:rPr>
          <w:rtl/>
          <w:lang w:bidi="fa-IR"/>
        </w:rPr>
        <w:t xml:space="preserve"> في « بث ، بح ، بخ ، بس ، بف ، جد » </w:t>
      </w:r>
      <w:r w:rsidR="00744A1C" w:rsidRPr="0061079A">
        <w:rPr>
          <w:rStyle w:val="libFootnoteBoldChar"/>
          <w:rtl/>
        </w:rPr>
        <w:t>والتهذيب</w:t>
      </w:r>
      <w:r w:rsidR="00744A1C">
        <w:rPr>
          <w:rtl/>
          <w:lang w:bidi="fa-IR"/>
        </w:rPr>
        <w:t xml:space="preserve"> : « أيّهنّ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التهذيب</w:t>
      </w:r>
      <w:r w:rsidR="00744A1C">
        <w:rPr>
          <w:rtl/>
          <w:lang w:bidi="fa-IR"/>
        </w:rPr>
        <w:t xml:space="preserve"> : « نقص ».</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w:t>
      </w:r>
      <w:r w:rsidRPr="00D10E3C">
        <w:rPr>
          <w:rStyle w:val="libFootnotenumChar"/>
          <w:rtl/>
        </w:rPr>
        <w:t>(1)</w:t>
      </w:r>
      <w:r>
        <w:rPr>
          <w:rtl/>
          <w:lang w:bidi="fa-IR"/>
        </w:rPr>
        <w:t xml:space="preserve"> : « فَلْيَرْجِعْ </w:t>
      </w:r>
      <w:r w:rsidRPr="00D10E3C">
        <w:rPr>
          <w:rStyle w:val="libFootnotenumChar"/>
          <w:rtl/>
        </w:rPr>
        <w:t>(2)</w:t>
      </w:r>
      <w:r>
        <w:rPr>
          <w:rtl/>
          <w:lang w:bidi="fa-IR"/>
        </w:rPr>
        <w:t xml:space="preserve"> ، فَلْيَرْمِ </w:t>
      </w:r>
      <w:r w:rsidRPr="00D10E3C">
        <w:rPr>
          <w:rStyle w:val="libFootnotenumChar"/>
          <w:rtl/>
        </w:rPr>
        <w:t>(3)</w:t>
      </w:r>
      <w:r>
        <w:rPr>
          <w:rtl/>
          <w:lang w:bidi="fa-IR"/>
        </w:rPr>
        <w:t xml:space="preserve"> كُلَّ وَاحِدَةٍ بِحَصَاةٍ ».</w:t>
      </w:r>
    </w:p>
    <w:p w:rsidR="00744A1C" w:rsidRDefault="00744A1C" w:rsidP="00744A1C">
      <w:pPr>
        <w:pStyle w:val="libNormal"/>
        <w:rPr>
          <w:lang w:bidi="fa-IR"/>
        </w:rPr>
      </w:pPr>
      <w:r>
        <w:rPr>
          <w:rtl/>
          <w:lang w:bidi="fa-IR"/>
        </w:rPr>
        <w:t xml:space="preserve">فَإِنْ </w:t>
      </w:r>
      <w:r w:rsidRPr="00D10E3C">
        <w:rPr>
          <w:rStyle w:val="libFootnotenumChar"/>
          <w:rtl/>
        </w:rPr>
        <w:t>(4)</w:t>
      </w:r>
      <w:r>
        <w:rPr>
          <w:rtl/>
          <w:lang w:bidi="fa-IR"/>
        </w:rPr>
        <w:t xml:space="preserve"> سَقَطَتْ مِنْ </w:t>
      </w:r>
      <w:r w:rsidRPr="00D10E3C">
        <w:rPr>
          <w:rStyle w:val="libFootnotenumChar"/>
          <w:rtl/>
        </w:rPr>
        <w:t>(5)</w:t>
      </w:r>
      <w:r>
        <w:rPr>
          <w:rtl/>
          <w:lang w:bidi="fa-IR"/>
        </w:rPr>
        <w:t xml:space="preserve"> رَجُلٍ حَصَاةٌ ، فَلَمْ يَدْرِ أَيَّتُهُنَّ </w:t>
      </w:r>
      <w:r w:rsidRPr="00D10E3C">
        <w:rPr>
          <w:rStyle w:val="libFootnotenumChar"/>
          <w:rtl/>
        </w:rPr>
        <w:t>(6)</w:t>
      </w:r>
      <w:r>
        <w:rPr>
          <w:rtl/>
          <w:lang w:bidi="fa-IR"/>
        </w:rPr>
        <w:t xml:space="preserve"> هِيَ؟ قَالَ : « يَأْخُذُ مِنْ تَحْتِ قَدَمَيْهِ حَصَاةً </w:t>
      </w:r>
      <w:r w:rsidRPr="00D10E3C">
        <w:rPr>
          <w:rStyle w:val="libFootnotenumChar"/>
          <w:rtl/>
        </w:rPr>
        <w:t>(7)</w:t>
      </w:r>
      <w:r>
        <w:rPr>
          <w:rtl/>
          <w:lang w:bidi="fa-IR"/>
        </w:rPr>
        <w:t xml:space="preserve"> ، فَيَرْمِي بِهَا ».</w:t>
      </w:r>
    </w:p>
    <w:p w:rsidR="00744A1C" w:rsidRDefault="00744A1C" w:rsidP="00744A1C">
      <w:pPr>
        <w:pStyle w:val="libNormal"/>
        <w:rPr>
          <w:lang w:bidi="fa-IR"/>
        </w:rPr>
      </w:pPr>
      <w:r>
        <w:rPr>
          <w:rtl/>
          <w:lang w:bidi="fa-IR"/>
        </w:rPr>
        <w:t xml:space="preserve">قَالَ : « وَإِنْ رَمَيْتَ بِحَصَاةٍ ، فَوَقَعَتْ فِي مَحْمِلٍ ، فَأَعِدْ مَكَانَهَا ، فَإِنْ هِيَ أَصَابَتْ‌ إِنْسَاناً ، أَوْ جَمَلاً </w:t>
      </w:r>
      <w:r w:rsidRPr="00D10E3C">
        <w:rPr>
          <w:rStyle w:val="libFootnotenumChar"/>
          <w:rtl/>
        </w:rPr>
        <w:t>(8)</w:t>
      </w:r>
      <w:r>
        <w:rPr>
          <w:rtl/>
          <w:lang w:bidi="fa-IR"/>
        </w:rPr>
        <w:t xml:space="preserve"> ، ثُمَّ وَقَعَتْ عَلَى الْجِمَارِ ، أَجْزَأَكَ ».</w:t>
      </w:r>
    </w:p>
    <w:p w:rsidR="00744A1C" w:rsidRDefault="00744A1C" w:rsidP="00744A1C">
      <w:pPr>
        <w:pStyle w:val="libNormal"/>
        <w:rPr>
          <w:lang w:bidi="fa-IR"/>
        </w:rPr>
      </w:pPr>
      <w:r>
        <w:rPr>
          <w:rtl/>
          <w:lang w:bidi="fa-IR"/>
        </w:rPr>
        <w:t xml:space="preserve">وَقَالَ فِي رَجُلٍ رَمَى الْجِمَارَ ، فَرَمَى </w:t>
      </w:r>
      <w:r w:rsidRPr="00D10E3C">
        <w:rPr>
          <w:rStyle w:val="libFootnotenumChar"/>
          <w:rtl/>
        </w:rPr>
        <w:t>(9)</w:t>
      </w:r>
      <w:r>
        <w:rPr>
          <w:rtl/>
          <w:lang w:bidi="fa-IR"/>
        </w:rPr>
        <w:t xml:space="preserve"> الْأُولى بِأَرْبَعٍ ، وَالْأَخِيرَتَيْنِ بِسَبْعٍ سَبْعٍ ، قَالَ : « يَعُودُ ، فَيَرْمِي الْأُولى بِثَلَاثٍ ، وَقَدْ فَرَغَ ، وَإِنْ كَانَ رَمَى الْأُولى بِثَلَاثٍ ، وَرَمَى الْأَخِيرَتَيْنِ </w:t>
      </w:r>
      <w:r w:rsidRPr="00D10E3C">
        <w:rPr>
          <w:rStyle w:val="libFootnotenumChar"/>
          <w:rtl/>
        </w:rPr>
        <w:t>(10)</w:t>
      </w:r>
      <w:r>
        <w:rPr>
          <w:rtl/>
          <w:lang w:bidi="fa-IR"/>
        </w:rPr>
        <w:t xml:space="preserve"> بِسَبْعٍ سَبْعٍ ، فَلْيَعُدْ ، وَلْيَرْمِهِنَّ </w:t>
      </w:r>
      <w:r w:rsidRPr="00D10E3C">
        <w:rPr>
          <w:rStyle w:val="libFootnotenumChar"/>
          <w:rtl/>
        </w:rPr>
        <w:t>(11)</w:t>
      </w:r>
      <w:r>
        <w:rPr>
          <w:rtl/>
          <w:lang w:bidi="fa-IR"/>
        </w:rPr>
        <w:t xml:space="preserve"> جَمِيعاً بِسَبْعٍ سَبْعٍ ، وَإِنْ كَانَ رَمَى الْوُسْطى بِثَلَاثٍ ، ثُمَّ رَمَى الْأُخْرى ، فَلْيَرْمِ الْوُسْطى بِسَبْعٍ ، وَإِنْ كَانَ رَمَى الْوُسْطى بِأَرْبَعٍ ، رَجَعَ فَرَمى بِثَلَاثٍ ».</w:t>
      </w:r>
    </w:p>
    <w:p w:rsidR="00744A1C" w:rsidRDefault="00744A1C" w:rsidP="00744A1C">
      <w:pPr>
        <w:pStyle w:val="libNormal"/>
        <w:rPr>
          <w:lang w:bidi="fa-IR"/>
        </w:rPr>
      </w:pPr>
      <w:r>
        <w:rPr>
          <w:rtl/>
          <w:lang w:bidi="fa-IR"/>
        </w:rPr>
        <w:t xml:space="preserve">قَالَ : قُلْتُ : الرَّجُلُ يَنْكُسُ فِي رَمْيِ الْجِمَارِ ، فَيَبْدَأُ بِجَمْرَةِ </w:t>
      </w:r>
      <w:r w:rsidRPr="00D10E3C">
        <w:rPr>
          <w:rStyle w:val="libFootnotenumChar"/>
          <w:rtl/>
        </w:rPr>
        <w:t>(12)</w:t>
      </w:r>
      <w:r>
        <w:rPr>
          <w:rtl/>
          <w:lang w:bidi="fa-IR"/>
        </w:rPr>
        <w:t xml:space="preserve"> الْعَقَبَةِ ، ثُمَّ الْوُسْطى ، ثُمَّ الْعُظْمى.</w:t>
      </w:r>
    </w:p>
    <w:p w:rsidR="00144FA6" w:rsidRDefault="00744A1C" w:rsidP="00744A1C">
      <w:pPr>
        <w:pStyle w:val="libNormal"/>
        <w:rPr>
          <w:rtl/>
          <w:lang w:bidi="fa-IR"/>
        </w:rPr>
      </w:pPr>
      <w:r>
        <w:rPr>
          <w:rtl/>
          <w:lang w:bidi="fa-IR"/>
        </w:rPr>
        <w:t xml:space="preserve">قَالَ : « يَعُودُ ، فَيَرْمِي الْوُسْطى ، ثُمَّ يَرْمِي جَمْرَةَ الْعَقَبَةِ ، وَإِنْ كَانَ مِنَ الْغَدِ ». </w:t>
      </w:r>
      <w:r w:rsidRPr="00D10E3C">
        <w:rPr>
          <w:rStyle w:val="libFootnotenumChar"/>
          <w:rtl/>
        </w:rPr>
        <w:t>(13)</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B46BC1" w:rsidTr="00B46BC1">
        <w:tc>
          <w:tcPr>
            <w:tcW w:w="4006" w:type="dxa"/>
          </w:tcPr>
          <w:p w:rsidR="00B46BC1" w:rsidRDefault="00B46BC1" w:rsidP="00D10E3C">
            <w:pPr>
              <w:pStyle w:val="libFootnote0"/>
              <w:rPr>
                <w:rtl/>
                <w:lang w:bidi="fa-IR"/>
              </w:rPr>
            </w:pPr>
            <w:r>
              <w:rPr>
                <w:rtl/>
                <w:lang w:bidi="fa-IR"/>
              </w:rPr>
              <w:t>(1). في « بح » : « فقال ».</w:t>
            </w:r>
          </w:p>
        </w:tc>
        <w:tc>
          <w:tcPr>
            <w:tcW w:w="4006" w:type="dxa"/>
          </w:tcPr>
          <w:p w:rsidR="00B46BC1" w:rsidRDefault="00B46BC1" w:rsidP="00D10E3C">
            <w:pPr>
              <w:pStyle w:val="libFootnote0"/>
              <w:rPr>
                <w:rtl/>
                <w:lang w:bidi="fa-IR"/>
              </w:rPr>
            </w:pPr>
            <w:r>
              <w:rPr>
                <w:rtl/>
                <w:lang w:bidi="fa-IR"/>
              </w:rPr>
              <w:t>(2). في « جن » : « فيرجع ».</w:t>
            </w:r>
          </w:p>
        </w:tc>
      </w:tr>
      <w:tr w:rsidR="00B46BC1" w:rsidTr="00B46BC1">
        <w:tc>
          <w:tcPr>
            <w:tcW w:w="4006" w:type="dxa"/>
          </w:tcPr>
          <w:p w:rsidR="00B46BC1" w:rsidRDefault="00B46BC1" w:rsidP="00D10E3C">
            <w:pPr>
              <w:pStyle w:val="libFootnote0"/>
              <w:rPr>
                <w:rtl/>
                <w:lang w:bidi="fa-IR"/>
              </w:rPr>
            </w:pPr>
            <w:r>
              <w:rPr>
                <w:rtl/>
                <w:lang w:bidi="fa-IR"/>
              </w:rPr>
              <w:t>(3). في « بخ » : « وليرم ».</w:t>
            </w:r>
          </w:p>
        </w:tc>
        <w:tc>
          <w:tcPr>
            <w:tcW w:w="4006" w:type="dxa"/>
          </w:tcPr>
          <w:p w:rsidR="00B46BC1" w:rsidRDefault="00B46BC1" w:rsidP="00D10E3C">
            <w:pPr>
              <w:pStyle w:val="libFootnote0"/>
              <w:rPr>
                <w:rtl/>
                <w:lang w:bidi="fa-IR"/>
              </w:rPr>
            </w:pPr>
            <w:r>
              <w:rPr>
                <w:rtl/>
                <w:lang w:bidi="fa-IR"/>
              </w:rPr>
              <w:t xml:space="preserve">(4). في « بخ ، بف » </w:t>
            </w:r>
            <w:r w:rsidRPr="00B46BC1">
              <w:rPr>
                <w:rtl/>
              </w:rPr>
              <w:t>والوافي والفقيه</w:t>
            </w:r>
            <w:r>
              <w:rPr>
                <w:rtl/>
                <w:lang w:bidi="fa-IR"/>
              </w:rPr>
              <w:t xml:space="preserve"> : « وإن ».</w:t>
            </w:r>
          </w:p>
        </w:tc>
      </w:tr>
      <w:tr w:rsidR="00B46BC1" w:rsidTr="00B46BC1">
        <w:tc>
          <w:tcPr>
            <w:tcW w:w="4006" w:type="dxa"/>
          </w:tcPr>
          <w:p w:rsidR="00B46BC1" w:rsidRDefault="00B46BC1" w:rsidP="00D10E3C">
            <w:pPr>
              <w:pStyle w:val="libFootnote0"/>
              <w:rPr>
                <w:rtl/>
                <w:lang w:bidi="fa-IR"/>
              </w:rPr>
            </w:pPr>
            <w:r>
              <w:rPr>
                <w:rtl/>
                <w:lang w:bidi="fa-IR"/>
              </w:rPr>
              <w:t>(5). في « بث » : « عن ».</w:t>
            </w:r>
          </w:p>
        </w:tc>
        <w:tc>
          <w:tcPr>
            <w:tcW w:w="4006" w:type="dxa"/>
          </w:tcPr>
          <w:p w:rsidR="00B46BC1" w:rsidRDefault="00B46BC1" w:rsidP="00D10E3C">
            <w:pPr>
              <w:pStyle w:val="libFootnote0"/>
              <w:rPr>
                <w:rtl/>
                <w:lang w:bidi="fa-IR"/>
              </w:rPr>
            </w:pPr>
            <w:r>
              <w:rPr>
                <w:rtl/>
                <w:lang w:bidi="fa-IR"/>
              </w:rPr>
              <w:t xml:space="preserve">(6). في «بث» : « أيّهنّ ».وفي </w:t>
            </w:r>
            <w:r w:rsidRPr="00B46BC1">
              <w:rPr>
                <w:rtl/>
              </w:rPr>
              <w:t>التهذيب</w:t>
            </w:r>
            <w:r>
              <w:rPr>
                <w:rtl/>
                <w:lang w:bidi="fa-IR"/>
              </w:rPr>
              <w:t>:«من أيّهنّ ».</w:t>
            </w:r>
          </w:p>
        </w:tc>
      </w:tr>
    </w:tbl>
    <w:p w:rsidR="00744A1C" w:rsidRDefault="00E378DD" w:rsidP="00E378DD">
      <w:pPr>
        <w:pStyle w:val="libFootnote0"/>
        <w:rPr>
          <w:lang w:bidi="fa-IR"/>
        </w:rPr>
      </w:pPr>
      <w:r>
        <w:rPr>
          <w:rtl/>
          <w:lang w:bidi="fa-IR"/>
        </w:rPr>
        <w:t>(7).</w:t>
      </w:r>
      <w:r w:rsidR="00744A1C">
        <w:rPr>
          <w:rtl/>
          <w:lang w:bidi="fa-IR"/>
        </w:rPr>
        <w:t xml:space="preserve"> في « بخ » : - « فلم يدر أيّتهنّ هي؟ قال : يأخذ من تحت قدميه حصاة ».</w:t>
      </w:r>
    </w:p>
    <w:p w:rsidR="00744A1C" w:rsidRDefault="00E378DD" w:rsidP="00E378DD">
      <w:pPr>
        <w:pStyle w:val="libFootnote0"/>
        <w:rPr>
          <w:lang w:bidi="fa-IR"/>
        </w:rPr>
      </w:pPr>
      <w:r>
        <w:rPr>
          <w:rtl/>
          <w:lang w:bidi="fa-IR"/>
        </w:rPr>
        <w:t>(8).</w:t>
      </w:r>
      <w:r w:rsidR="00744A1C">
        <w:rPr>
          <w:rtl/>
          <w:lang w:bidi="fa-IR"/>
        </w:rPr>
        <w:t xml:space="preserve"> في « بث ، جن » : « حملاً ».</w:t>
      </w:r>
    </w:p>
    <w:p w:rsidR="00744A1C" w:rsidRDefault="00E378DD" w:rsidP="00E378DD">
      <w:pPr>
        <w:pStyle w:val="libFootnote0"/>
        <w:rPr>
          <w:lang w:bidi="fa-IR"/>
        </w:rPr>
      </w:pPr>
      <w:r>
        <w:rPr>
          <w:rtl/>
          <w:lang w:bidi="fa-IR"/>
        </w:rPr>
        <w:t>(9).</w:t>
      </w:r>
      <w:r w:rsidR="00744A1C">
        <w:rPr>
          <w:rtl/>
          <w:lang w:bidi="fa-IR"/>
        </w:rPr>
        <w:t xml:space="preserve"> في « بح ، بخ ، بف ، جن » و</w:t>
      </w:r>
      <w:r w:rsidR="00744A1C" w:rsidRPr="00C24F9C">
        <w:rPr>
          <w:rStyle w:val="libFootnoteBoldChar"/>
          <w:rtl/>
        </w:rPr>
        <w:t>الوافي</w:t>
      </w:r>
      <w:r w:rsidR="00744A1C">
        <w:rPr>
          <w:rtl/>
          <w:lang w:bidi="fa-IR"/>
        </w:rPr>
        <w:t xml:space="preserve"> : - « الجمار فرمى ». وفي « ى » : « فيرمي ».</w:t>
      </w:r>
    </w:p>
    <w:p w:rsidR="00744A1C" w:rsidRDefault="00E378DD" w:rsidP="00E378DD">
      <w:pPr>
        <w:pStyle w:val="libFootnote0"/>
        <w:rPr>
          <w:lang w:bidi="fa-IR"/>
        </w:rPr>
      </w:pPr>
      <w:r>
        <w:rPr>
          <w:rtl/>
          <w:lang w:bidi="fa-IR"/>
        </w:rPr>
        <w:t>(10).</w:t>
      </w:r>
      <w:r w:rsidR="00744A1C">
        <w:rPr>
          <w:rtl/>
          <w:lang w:bidi="fa-IR"/>
        </w:rPr>
        <w:t xml:space="preserve"> في « بح ، بف » : « الأخيرين ». وفي « جد » : « الا</w:t>
      </w:r>
      <w:r w:rsidR="00B46BC1">
        <w:rPr>
          <w:rFonts w:hint="cs"/>
          <w:rtl/>
          <w:lang w:bidi="fa-IR"/>
        </w:rPr>
        <w:t>ُ</w:t>
      </w:r>
      <w:r w:rsidR="00744A1C">
        <w:rPr>
          <w:rtl/>
          <w:lang w:bidi="fa-IR"/>
        </w:rPr>
        <w:t>خريين ».</w:t>
      </w:r>
    </w:p>
    <w:tbl>
      <w:tblPr>
        <w:tblStyle w:val="TableGrid"/>
        <w:bidiVisual/>
        <w:tblW w:w="0" w:type="auto"/>
        <w:tblLook w:val="04A0" w:firstRow="1" w:lastRow="0" w:firstColumn="1" w:lastColumn="0" w:noHBand="0" w:noVBand="1"/>
      </w:tblPr>
      <w:tblGrid>
        <w:gridCol w:w="4006"/>
        <w:gridCol w:w="4006"/>
      </w:tblGrid>
      <w:tr w:rsidR="00B46BC1" w:rsidTr="00B46BC1">
        <w:tc>
          <w:tcPr>
            <w:tcW w:w="4006" w:type="dxa"/>
          </w:tcPr>
          <w:p w:rsidR="00B46BC1" w:rsidRDefault="00B46BC1" w:rsidP="00E378DD">
            <w:pPr>
              <w:pStyle w:val="libFootnote0"/>
              <w:rPr>
                <w:rtl/>
                <w:lang w:bidi="fa-IR"/>
              </w:rPr>
            </w:pPr>
            <w:r>
              <w:rPr>
                <w:rtl/>
                <w:lang w:bidi="fa-IR"/>
              </w:rPr>
              <w:t>(11). في « جد » و</w:t>
            </w:r>
            <w:r w:rsidRPr="00C24F9C">
              <w:rPr>
                <w:rStyle w:val="libFootnoteBoldChar"/>
                <w:rtl/>
              </w:rPr>
              <w:t>الوافي</w:t>
            </w:r>
            <w:r>
              <w:rPr>
                <w:rtl/>
                <w:lang w:bidi="fa-IR"/>
              </w:rPr>
              <w:t xml:space="preserve"> : « فليرمهنّ ».</w:t>
            </w:r>
          </w:p>
        </w:tc>
        <w:tc>
          <w:tcPr>
            <w:tcW w:w="4006" w:type="dxa"/>
          </w:tcPr>
          <w:p w:rsidR="00B46BC1" w:rsidRDefault="00B46BC1" w:rsidP="00E378DD">
            <w:pPr>
              <w:pStyle w:val="libFootnote0"/>
              <w:rPr>
                <w:rtl/>
                <w:lang w:bidi="fa-IR"/>
              </w:rPr>
            </w:pPr>
            <w:r>
              <w:rPr>
                <w:rtl/>
                <w:lang w:bidi="fa-IR"/>
              </w:rPr>
              <w:t>(12). في«ى»:«بالجمرة».وفي حاشية«بث»:«الجمرة ».</w:t>
            </w:r>
          </w:p>
        </w:tc>
      </w:tr>
    </w:tbl>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5 ، ص 266 ، ح 907 ، معلّقاً عن الكليني ، إلى قوله : « ثمّ وقعت على الجمار أجزأك ». </w:t>
      </w:r>
      <w:r w:rsidR="00744A1C" w:rsidRPr="00C24F9C">
        <w:rPr>
          <w:rStyle w:val="libFootnoteBoldChar"/>
          <w:rtl/>
        </w:rPr>
        <w:t>الفقيه</w:t>
      </w:r>
      <w:r w:rsidR="00744A1C">
        <w:rPr>
          <w:rtl/>
          <w:lang w:bidi="fa-IR"/>
        </w:rPr>
        <w:t xml:space="preserve"> ، ج 2 ، ص 474 ، ح 3000 ، معلّقاً عن معاوية بن عمّار ، مع اختلاف يسير.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225 ، وتمام الرواية فيه : </w:t>
      </w:r>
      <w:r w:rsidR="0021017E">
        <w:rPr>
          <w:rFonts w:hint="cs"/>
          <w:rtl/>
          <w:lang w:bidi="fa-IR"/>
        </w:rPr>
        <w:t>=</w:t>
      </w:r>
    </w:p>
    <w:p w:rsidR="000F7CEC" w:rsidRDefault="000F7CEC" w:rsidP="00D10E3C">
      <w:pPr>
        <w:pStyle w:val="libNormal"/>
        <w:rPr>
          <w:rtl/>
          <w:lang w:bidi="fa-IR"/>
        </w:rPr>
      </w:pPr>
      <w:r>
        <w:rPr>
          <w:rtl/>
          <w:lang w:bidi="fa-IR"/>
        </w:rPr>
        <w:br w:type="page"/>
      </w:r>
    </w:p>
    <w:p w:rsidR="00744A1C" w:rsidRDefault="00744A1C" w:rsidP="002029ED">
      <w:pPr>
        <w:pStyle w:val="Heading2Center"/>
        <w:rPr>
          <w:lang w:bidi="fa-IR"/>
        </w:rPr>
      </w:pPr>
      <w:bookmarkStart w:id="21" w:name="_Toc49261319"/>
      <w:r>
        <w:rPr>
          <w:rtl/>
          <w:lang w:bidi="fa-IR"/>
        </w:rPr>
        <w:lastRenderedPageBreak/>
        <w:t>176 - بَابُ مَنْ نَسِيَ رَمْيَ الْجِمَارِ أَوْ جَهِلَ‌</w:t>
      </w:r>
      <w:bookmarkEnd w:id="21"/>
    </w:p>
    <w:p w:rsidR="00144FA6" w:rsidRDefault="00744A1C" w:rsidP="00744A1C">
      <w:pPr>
        <w:pStyle w:val="libNormal"/>
        <w:rPr>
          <w:rtl/>
          <w:lang w:bidi="fa-IR"/>
        </w:rPr>
      </w:pPr>
      <w:r>
        <w:rPr>
          <w:rtl/>
          <w:lang w:bidi="fa-IR"/>
        </w:rPr>
        <w:t>7823 / 1. عَلِيُّ بْنُ إِبْرَاهِيمَ ، عَنْ أَبِيهِ ، عَنِ ابْنِ أَبِي عُمَيْرٍ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 رَجُلٌ نَسِيَ أَنْ يَرْمِيَ </w:t>
      </w:r>
      <w:r w:rsidRPr="00D10E3C">
        <w:rPr>
          <w:rStyle w:val="libFootnotenumChar"/>
          <w:rtl/>
        </w:rPr>
        <w:t>(1)</w:t>
      </w:r>
      <w:r>
        <w:rPr>
          <w:rtl/>
          <w:lang w:bidi="fa-IR"/>
        </w:rPr>
        <w:t xml:space="preserve"> الْجِمَارَ حَتّى أَتى مَكَّةَ؟</w:t>
      </w:r>
    </w:p>
    <w:p w:rsidR="00744A1C" w:rsidRDefault="00744A1C" w:rsidP="00744A1C">
      <w:pPr>
        <w:pStyle w:val="libNormal"/>
        <w:rPr>
          <w:lang w:bidi="fa-IR"/>
        </w:rPr>
      </w:pPr>
      <w:r>
        <w:rPr>
          <w:rtl/>
          <w:lang w:bidi="fa-IR"/>
        </w:rPr>
        <w:t>قَالَ : « يَرْجِعُ ، فَيَرْمِيهَا ، يَفْصِلُ بَيْنَ كُلِّ رَمْيَتَيْنِ بِسَاعَةٍ ».</w:t>
      </w:r>
    </w:p>
    <w:p w:rsidR="00744A1C" w:rsidRDefault="00744A1C" w:rsidP="00744A1C">
      <w:pPr>
        <w:pStyle w:val="libNormal"/>
        <w:rPr>
          <w:lang w:bidi="fa-IR"/>
        </w:rPr>
      </w:pPr>
      <w:r>
        <w:rPr>
          <w:rtl/>
          <w:lang w:bidi="fa-IR"/>
        </w:rPr>
        <w:t xml:space="preserve">قُلْتُ </w:t>
      </w:r>
      <w:r w:rsidRPr="00D10E3C">
        <w:rPr>
          <w:rStyle w:val="libFootnotenumChar"/>
          <w:rtl/>
        </w:rPr>
        <w:t>(2)</w:t>
      </w:r>
      <w:r>
        <w:rPr>
          <w:rtl/>
          <w:lang w:bidi="fa-IR"/>
        </w:rPr>
        <w:t xml:space="preserve"> : فَاتَهُ ذلِكَ ، وَخَرَجَ </w:t>
      </w:r>
      <w:r w:rsidRPr="00D10E3C">
        <w:rPr>
          <w:rStyle w:val="libFootnotenumChar"/>
          <w:rtl/>
        </w:rPr>
        <w:t>(3)</w:t>
      </w:r>
      <w:r>
        <w:rPr>
          <w:rtl/>
          <w:lang w:bidi="fa-IR"/>
        </w:rPr>
        <w:t>؟</w:t>
      </w:r>
    </w:p>
    <w:p w:rsidR="00744A1C" w:rsidRDefault="00744A1C" w:rsidP="00744A1C">
      <w:pPr>
        <w:pStyle w:val="libNormal"/>
        <w:rPr>
          <w:lang w:bidi="fa-IR"/>
        </w:rPr>
      </w:pPr>
      <w:r>
        <w:rPr>
          <w:rtl/>
          <w:lang w:bidi="fa-IR"/>
        </w:rPr>
        <w:t>قَالَ : « لَيْسَ عَلَيْهِ شَيْ‌ءٌ ».</w:t>
      </w:r>
    </w:p>
    <w:p w:rsidR="00744A1C" w:rsidRDefault="00744A1C" w:rsidP="00744A1C">
      <w:pPr>
        <w:pStyle w:val="libNormal"/>
        <w:rPr>
          <w:lang w:bidi="fa-IR"/>
        </w:rPr>
      </w:pPr>
      <w:r>
        <w:rPr>
          <w:rtl/>
          <w:lang w:bidi="fa-IR"/>
        </w:rPr>
        <w:t xml:space="preserve">قَالَ : قُلْتُ </w:t>
      </w:r>
      <w:r w:rsidRPr="00D10E3C">
        <w:rPr>
          <w:rStyle w:val="libFootnotenumChar"/>
          <w:rtl/>
        </w:rPr>
        <w:t>(4)</w:t>
      </w:r>
      <w:r>
        <w:rPr>
          <w:rtl/>
          <w:lang w:bidi="fa-IR"/>
        </w:rPr>
        <w:t xml:space="preserve"> : فَرَجُلٌ </w:t>
      </w:r>
      <w:r w:rsidRPr="00D10E3C">
        <w:rPr>
          <w:rStyle w:val="libFootnotenumChar"/>
          <w:rtl/>
        </w:rPr>
        <w:t>(5)</w:t>
      </w:r>
      <w:r>
        <w:rPr>
          <w:rtl/>
          <w:lang w:bidi="fa-IR"/>
        </w:rPr>
        <w:t xml:space="preserve"> نَسِيَ السَّعْيَ بَيْنَ الصَّفَا وَالْمَرْوَةِ؟</w:t>
      </w:r>
    </w:p>
    <w:p w:rsidR="00744A1C" w:rsidRDefault="00744A1C" w:rsidP="00744A1C">
      <w:pPr>
        <w:pStyle w:val="libNormal"/>
        <w:rPr>
          <w:lang w:bidi="fa-IR"/>
        </w:rPr>
      </w:pPr>
      <w:r>
        <w:rPr>
          <w:rtl/>
          <w:lang w:bidi="fa-IR"/>
        </w:rPr>
        <w:t xml:space="preserve">فَقَالَ </w:t>
      </w:r>
      <w:r w:rsidRPr="00D10E3C">
        <w:rPr>
          <w:rStyle w:val="libFootnotenumChar"/>
          <w:rtl/>
        </w:rPr>
        <w:t>(6)</w:t>
      </w:r>
      <w:r>
        <w:rPr>
          <w:rtl/>
          <w:lang w:bidi="fa-IR"/>
        </w:rPr>
        <w:t xml:space="preserve"> : « يُعِيدُ السَّعْيَ ».</w:t>
      </w:r>
    </w:p>
    <w:p w:rsidR="00744A1C" w:rsidRDefault="00744A1C" w:rsidP="00744A1C">
      <w:pPr>
        <w:pStyle w:val="libNormal"/>
        <w:rPr>
          <w:lang w:bidi="fa-IR"/>
        </w:rPr>
      </w:pPr>
      <w:r>
        <w:rPr>
          <w:rtl/>
          <w:lang w:bidi="fa-IR"/>
        </w:rPr>
        <w:t xml:space="preserve">قُلْتُ : فَاتَهُ </w:t>
      </w:r>
      <w:r w:rsidRPr="00D10E3C">
        <w:rPr>
          <w:rStyle w:val="libFootnotenumChar"/>
          <w:rtl/>
        </w:rPr>
        <w:t>(7)</w:t>
      </w:r>
      <w:r>
        <w:rPr>
          <w:rtl/>
          <w:lang w:bidi="fa-IR"/>
        </w:rPr>
        <w:t xml:space="preserve"> ذلِكَ حَتّى </w:t>
      </w:r>
      <w:r w:rsidRPr="00D10E3C">
        <w:rPr>
          <w:rStyle w:val="libFootnotenumChar"/>
          <w:rtl/>
        </w:rPr>
        <w:t>(8)</w:t>
      </w:r>
      <w:r>
        <w:rPr>
          <w:rtl/>
          <w:lang w:bidi="fa-IR"/>
        </w:rPr>
        <w:t xml:space="preserve"> خَرَجَ؟</w:t>
      </w:r>
    </w:p>
    <w:p w:rsidR="00144FA6" w:rsidRDefault="00744A1C" w:rsidP="00744A1C">
      <w:pPr>
        <w:pStyle w:val="libNormal"/>
        <w:rPr>
          <w:rtl/>
          <w:lang w:bidi="fa-IR"/>
        </w:rPr>
      </w:pPr>
      <w:r>
        <w:rPr>
          <w:rtl/>
          <w:lang w:bidi="fa-IR"/>
        </w:rPr>
        <w:t xml:space="preserve">قَالَ : « يَرْجِعُ ، فَيُعِيدُ السَّعْيَ ؛ إِنَّ هذَا لَيْسَ كَرَمْيِ الْجِمَارِ ، إِنَّ الرَّمْيَ سُنَّةٌ </w:t>
      </w:r>
      <w:r w:rsidRPr="00D10E3C">
        <w:rPr>
          <w:rStyle w:val="libFootnotenumChar"/>
          <w:rtl/>
        </w:rPr>
        <w:t>(9)</w:t>
      </w:r>
      <w:r>
        <w:rPr>
          <w:rtl/>
          <w:lang w:bidi="fa-IR"/>
        </w:rPr>
        <w:t xml:space="preserve"> ،</w:t>
      </w:r>
    </w:p>
    <w:p w:rsidR="00744A1C" w:rsidRDefault="00744A1C" w:rsidP="00D10E3C">
      <w:pPr>
        <w:pStyle w:val="libLine"/>
        <w:rPr>
          <w:lang w:bidi="fa-IR"/>
        </w:rPr>
      </w:pPr>
      <w:r>
        <w:rPr>
          <w:rtl/>
          <w:lang w:bidi="fa-IR"/>
        </w:rPr>
        <w:t>____________________</w:t>
      </w:r>
    </w:p>
    <w:p w:rsidR="00744A1C" w:rsidRDefault="002029ED" w:rsidP="00D10E3C">
      <w:pPr>
        <w:pStyle w:val="libFootnote0"/>
        <w:rPr>
          <w:lang w:bidi="fa-IR"/>
        </w:rPr>
      </w:pPr>
      <w:r>
        <w:rPr>
          <w:rFonts w:hint="cs"/>
          <w:rtl/>
          <w:lang w:bidi="fa-IR"/>
        </w:rPr>
        <w:t xml:space="preserve">= </w:t>
      </w:r>
      <w:r w:rsidR="00744A1C">
        <w:rPr>
          <w:rtl/>
          <w:lang w:bidi="fa-IR"/>
        </w:rPr>
        <w:t xml:space="preserve">« فإن جهلت ورميت مقلوبة فأعد على الجمرة الوسطى وجمرة العقبة وإن سقطت منك حصاة فخذ من حيث شئت من الحرم » </w:t>
      </w:r>
      <w:r w:rsidR="00F34E1F">
        <w:rPr>
          <w:rFonts w:hint="cs"/>
          <w:rtl/>
          <w:lang w:bidi="fa-IR"/>
        </w:rPr>
        <w:t>.</w:t>
      </w:r>
      <w:r w:rsidR="00744A1C" w:rsidRPr="00C24F9C">
        <w:rPr>
          <w:rStyle w:val="libFootnoteBoldChar"/>
          <w:rtl/>
        </w:rPr>
        <w:t>الوافي</w:t>
      </w:r>
      <w:r w:rsidR="00744A1C">
        <w:rPr>
          <w:rtl/>
          <w:lang w:bidi="fa-IR"/>
        </w:rPr>
        <w:t xml:space="preserve"> ، ج 13 ، ص 1092 ، ح 13827 ؛ </w:t>
      </w:r>
      <w:r w:rsidR="00744A1C" w:rsidRPr="00C24F9C">
        <w:rPr>
          <w:rStyle w:val="libFootnoteBoldChar"/>
          <w:rtl/>
        </w:rPr>
        <w:t>الوسائل</w:t>
      </w:r>
      <w:r w:rsidR="00744A1C">
        <w:rPr>
          <w:rtl/>
          <w:lang w:bidi="fa-IR"/>
        </w:rPr>
        <w:t xml:space="preserve"> ، ج 14 ، ص 268 ، ذيل ح 19165 ؛ وفيه ، ص 266 ، ح 19161 ، من قوله : « قلت : الرجل ينكس » ؛ وفيه ، ص 267 ، ح 19162 ، من قوله : « وقال في رجل رمى الجمار فرمى الا</w:t>
      </w:r>
      <w:r w:rsidR="00F5549C">
        <w:rPr>
          <w:rFonts w:hint="cs"/>
          <w:rtl/>
          <w:lang w:bidi="fa-IR"/>
        </w:rPr>
        <w:t>ُ</w:t>
      </w:r>
      <w:r w:rsidR="00744A1C">
        <w:rPr>
          <w:rtl/>
          <w:lang w:bidi="fa-IR"/>
        </w:rPr>
        <w:t>ولى » إلى قوله : « رمى الوسطى بأربع رجع فرمى بثلاث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الوسائل</w:t>
      </w:r>
      <w:r w:rsidR="00744A1C">
        <w:rPr>
          <w:rtl/>
          <w:lang w:bidi="fa-IR"/>
        </w:rPr>
        <w:t xml:space="preserve"> ، ح 19148 </w:t>
      </w:r>
      <w:r w:rsidR="00744A1C" w:rsidRPr="00F5549C">
        <w:rPr>
          <w:rtl/>
        </w:rPr>
        <w:t>والتهذيب</w:t>
      </w:r>
      <w:r w:rsidR="00744A1C">
        <w:rPr>
          <w:rtl/>
          <w:lang w:bidi="fa-IR"/>
        </w:rPr>
        <w:t xml:space="preserve"> ، ص 286 : - « أن يرمي ».</w:t>
      </w:r>
    </w:p>
    <w:p w:rsidR="00744A1C" w:rsidRDefault="00E378DD" w:rsidP="00E378DD">
      <w:pPr>
        <w:pStyle w:val="libFootnote0"/>
        <w:rPr>
          <w:lang w:bidi="fa-IR"/>
        </w:rPr>
      </w:pPr>
      <w:r>
        <w:rPr>
          <w:rtl/>
          <w:lang w:bidi="fa-IR"/>
        </w:rPr>
        <w:t>(2).</w:t>
      </w:r>
      <w:r w:rsidR="00744A1C">
        <w:rPr>
          <w:rtl/>
          <w:lang w:bidi="fa-IR"/>
        </w:rPr>
        <w:t xml:space="preserve"> في « بح ، بف » </w:t>
      </w:r>
      <w:r w:rsidR="00744A1C" w:rsidRPr="00F5549C">
        <w:rPr>
          <w:rtl/>
        </w:rPr>
        <w:t>والوافي</w:t>
      </w:r>
      <w:r w:rsidR="00744A1C">
        <w:rPr>
          <w:rtl/>
          <w:lang w:bidi="fa-IR"/>
        </w:rPr>
        <w:t xml:space="preserve"> : + « فإنّه ».</w:t>
      </w:r>
    </w:p>
    <w:p w:rsidR="00744A1C" w:rsidRDefault="00E378DD" w:rsidP="00E378DD">
      <w:pPr>
        <w:pStyle w:val="libFootnote0"/>
        <w:rPr>
          <w:lang w:bidi="fa-IR"/>
        </w:rPr>
      </w:pPr>
      <w:r>
        <w:rPr>
          <w:rtl/>
          <w:lang w:bidi="fa-IR"/>
        </w:rPr>
        <w:t>(3).</w:t>
      </w:r>
      <w:r w:rsidR="00744A1C">
        <w:rPr>
          <w:rtl/>
          <w:lang w:bidi="fa-IR"/>
        </w:rPr>
        <w:t xml:space="preserve"> في « بخ ، بف » : « حتّى خرج ».</w:t>
      </w:r>
    </w:p>
    <w:p w:rsidR="00744A1C" w:rsidRDefault="00E378DD" w:rsidP="00E378DD">
      <w:pPr>
        <w:pStyle w:val="libFootnote0"/>
        <w:rPr>
          <w:lang w:bidi="fa-IR"/>
        </w:rPr>
      </w:pPr>
      <w:r>
        <w:rPr>
          <w:rtl/>
          <w:lang w:bidi="fa-IR"/>
        </w:rPr>
        <w:t>(4).</w:t>
      </w:r>
      <w:r w:rsidR="00744A1C">
        <w:rPr>
          <w:rtl/>
          <w:lang w:bidi="fa-IR"/>
        </w:rPr>
        <w:t xml:space="preserve"> في « ى » </w:t>
      </w:r>
      <w:r w:rsidR="00744A1C" w:rsidRPr="00F5549C">
        <w:rPr>
          <w:rtl/>
        </w:rPr>
        <w:t>والوافي والتهذيب</w:t>
      </w:r>
      <w:r w:rsidR="00744A1C">
        <w:rPr>
          <w:rtl/>
          <w:lang w:bidi="fa-IR"/>
        </w:rPr>
        <w:t xml:space="preserve"> ، ص 150 </w:t>
      </w:r>
      <w:r w:rsidR="00744A1C" w:rsidRPr="00F5549C">
        <w:rPr>
          <w:rtl/>
        </w:rPr>
        <w:t>والاستبصار</w:t>
      </w:r>
      <w:r w:rsidR="00744A1C">
        <w:rPr>
          <w:rtl/>
          <w:lang w:bidi="fa-IR"/>
        </w:rPr>
        <w:t xml:space="preserve"> ، ص 238 : + « له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رجل ».</w:t>
      </w:r>
    </w:p>
    <w:p w:rsidR="00744A1C" w:rsidRDefault="00E378DD" w:rsidP="00E378DD">
      <w:pPr>
        <w:pStyle w:val="libFootnote0"/>
        <w:rPr>
          <w:lang w:bidi="fa-IR"/>
        </w:rPr>
      </w:pPr>
      <w:r>
        <w:rPr>
          <w:rtl/>
          <w:lang w:bidi="fa-IR"/>
        </w:rPr>
        <w:t>(6).</w:t>
      </w:r>
      <w:r w:rsidR="00744A1C">
        <w:rPr>
          <w:rtl/>
          <w:lang w:bidi="fa-IR"/>
        </w:rPr>
        <w:t xml:space="preserve"> في « بخ ، بف ، جد » </w:t>
      </w:r>
      <w:r w:rsidR="00744A1C" w:rsidRPr="00F5549C">
        <w:rPr>
          <w:rtl/>
        </w:rPr>
        <w:t>والوافي والتهذيب</w:t>
      </w:r>
      <w:r w:rsidR="00744A1C">
        <w:rPr>
          <w:rtl/>
          <w:lang w:bidi="fa-IR"/>
        </w:rPr>
        <w:t xml:space="preserve"> : « قال ».</w:t>
      </w:r>
    </w:p>
    <w:p w:rsidR="00744A1C" w:rsidRDefault="00E378DD" w:rsidP="00E378DD">
      <w:pPr>
        <w:pStyle w:val="libFootnote0"/>
        <w:rPr>
          <w:lang w:bidi="fa-IR"/>
        </w:rPr>
      </w:pPr>
      <w:r>
        <w:rPr>
          <w:rtl/>
          <w:lang w:bidi="fa-IR"/>
        </w:rPr>
        <w:t>(7).</w:t>
      </w:r>
      <w:r w:rsidR="00744A1C">
        <w:rPr>
          <w:rtl/>
          <w:lang w:bidi="fa-IR"/>
        </w:rPr>
        <w:t xml:space="preserve"> في « بخ » </w:t>
      </w:r>
      <w:r w:rsidR="00744A1C" w:rsidRPr="0061079A">
        <w:rPr>
          <w:rStyle w:val="libFootnoteBoldChar"/>
          <w:rtl/>
        </w:rPr>
        <w:t>والتهذيب</w:t>
      </w:r>
      <w:r w:rsidR="00744A1C">
        <w:rPr>
          <w:rtl/>
          <w:lang w:bidi="fa-IR"/>
        </w:rPr>
        <w:t xml:space="preserve"> ، ص 150 </w:t>
      </w:r>
      <w:r w:rsidR="00744A1C" w:rsidRPr="00C24F9C">
        <w:rPr>
          <w:rStyle w:val="libFootnoteBoldChar"/>
          <w:rtl/>
        </w:rPr>
        <w:t>والاستبصار</w:t>
      </w:r>
      <w:r w:rsidR="00744A1C">
        <w:rPr>
          <w:rtl/>
          <w:lang w:bidi="fa-IR"/>
        </w:rPr>
        <w:t xml:space="preserve"> ، ص 238 : « فانّه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ص 150 </w:t>
      </w:r>
      <w:r w:rsidR="00744A1C" w:rsidRPr="00C24F9C">
        <w:rPr>
          <w:rStyle w:val="libFootnoteBoldChar"/>
          <w:rtl/>
        </w:rPr>
        <w:t>والاستبصار</w:t>
      </w:r>
      <w:r w:rsidR="00744A1C">
        <w:rPr>
          <w:rtl/>
          <w:lang w:bidi="fa-IR"/>
        </w:rPr>
        <w:t xml:space="preserve"> ، ص 238 : - « ذلك حتّى ».</w:t>
      </w:r>
    </w:p>
    <w:p w:rsidR="00744A1C" w:rsidRDefault="00E378DD" w:rsidP="00E378DD">
      <w:pPr>
        <w:pStyle w:val="libFootnote0"/>
        <w:rPr>
          <w:lang w:bidi="fa-IR"/>
        </w:rPr>
      </w:pPr>
      <w:r>
        <w:rPr>
          <w:rtl/>
          <w:lang w:bidi="fa-IR"/>
        </w:rPr>
        <w:t>(9).</w:t>
      </w:r>
      <w:r w:rsidR="00744A1C">
        <w:rPr>
          <w:rtl/>
          <w:lang w:bidi="fa-IR"/>
        </w:rPr>
        <w:t xml:space="preserve"> في </w:t>
      </w:r>
      <w:r w:rsidR="00744A1C" w:rsidRPr="00877682">
        <w:rPr>
          <w:rStyle w:val="libFootnoteBoldChar"/>
          <w:rtl/>
        </w:rPr>
        <w:t>مرآة العقول</w:t>
      </w:r>
      <w:r w:rsidR="00744A1C">
        <w:rPr>
          <w:rtl/>
          <w:lang w:bidi="fa-IR"/>
        </w:rPr>
        <w:t xml:space="preserve"> ، ج 18 ، ص 153 : « قوله </w:t>
      </w:r>
      <w:r w:rsidR="0061079A" w:rsidRPr="0061079A">
        <w:rPr>
          <w:rStyle w:val="libFootnoteAlaemChar"/>
          <w:rtl/>
        </w:rPr>
        <w:t>عليه‌السلام</w:t>
      </w:r>
      <w:r w:rsidR="00D10E3C">
        <w:rPr>
          <w:rtl/>
          <w:lang w:bidi="fa-IR"/>
        </w:rPr>
        <w:t xml:space="preserve"> </w:t>
      </w:r>
      <w:r w:rsidR="00744A1C">
        <w:rPr>
          <w:rtl/>
          <w:lang w:bidi="fa-IR"/>
        </w:rPr>
        <w:t xml:space="preserve">: إنّ الرمي سنّة ، أي ظهر وجوبه من السنّة ، قال في </w:t>
      </w:r>
      <w:r w:rsidR="00744A1C" w:rsidRPr="00877682">
        <w:rPr>
          <w:rStyle w:val="libFootnoteBoldChar"/>
          <w:rtl/>
        </w:rPr>
        <w:t>الدروس</w:t>
      </w:r>
      <w:r w:rsidR="00744A1C">
        <w:rPr>
          <w:rtl/>
          <w:lang w:bidi="fa-IR"/>
        </w:rPr>
        <w:t xml:space="preserve"> : ذهب‌الشيخ والقاضي وهو ظاهر المفيد وابن الجنيد ، إلى استحباب الرمي. وقال ابن إدريس : لا خلاف عندنا في وجوبه ، وكلام الشيخ محمول على ثبوته بالسنّة ». 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433 ، الدرس 110.</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وَالسَّعْيَ بَيْنَ الصَّفَا وَالْمَرْوَةِ فَرِيضَةٌ ». </w:t>
      </w:r>
      <w:r w:rsidRPr="00D10E3C">
        <w:rPr>
          <w:rStyle w:val="libFootnotenumChar"/>
          <w:rtl/>
        </w:rPr>
        <w:t>(1)</w:t>
      </w:r>
    </w:p>
    <w:p w:rsidR="00144FA6" w:rsidRDefault="00744A1C" w:rsidP="00744A1C">
      <w:pPr>
        <w:pStyle w:val="libNormal"/>
        <w:rPr>
          <w:rtl/>
          <w:lang w:bidi="fa-IR"/>
        </w:rPr>
      </w:pPr>
      <w:r>
        <w:rPr>
          <w:rtl/>
          <w:lang w:bidi="fa-IR"/>
        </w:rPr>
        <w:t>7824 / 2. عِدَّةٌ مِنْ أَصْحَابِنَا ، عَنْ أَحْمَدَ بْنِ مُحَمَّدٍ ، عَنِ الْحُسَيْنِ بْنِ سَعِيدٍ ، عَنِ النَّضْرِ بْنِ سُوَيْدٍ وَغَيْرِهِ ، عَنْ عَبْدِ اللهِ بْنِ سِنَانٍ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رَجُلٍ أَفَاضَ مِنْ جَمْعٍ </w:t>
      </w:r>
      <w:r w:rsidRPr="00D10E3C">
        <w:rPr>
          <w:rStyle w:val="libFootnotenumChar"/>
          <w:rtl/>
        </w:rPr>
        <w:t>(2)</w:t>
      </w:r>
      <w:r>
        <w:rPr>
          <w:rtl/>
          <w:lang w:bidi="fa-IR"/>
        </w:rPr>
        <w:t xml:space="preserve"> حَتّى انْتَهى إِلى مِنًى ، فَعَرَضَ لَهُ عَارِضٌ </w:t>
      </w:r>
      <w:r w:rsidRPr="00D10E3C">
        <w:rPr>
          <w:rStyle w:val="libFootnotenumChar"/>
          <w:rtl/>
        </w:rPr>
        <w:t>(3)</w:t>
      </w:r>
      <w:r>
        <w:rPr>
          <w:rtl/>
          <w:lang w:bidi="fa-IR"/>
        </w:rPr>
        <w:t xml:space="preserve"> ، فَلَمْ يَرْمِ الْجَمْرَةَ حَتّى غَابَتِ الشَّمْسُ ، قَالَ : « يَرْمِي إِذَا أَصْبَحَ مَرَّتَيْنِ إِحْدَاهُمَا </w:t>
      </w:r>
      <w:r w:rsidRPr="00D10E3C">
        <w:rPr>
          <w:rStyle w:val="libFootnotenumChar"/>
          <w:rtl/>
        </w:rPr>
        <w:t>(4)</w:t>
      </w:r>
      <w:r>
        <w:rPr>
          <w:rtl/>
          <w:lang w:bidi="fa-IR"/>
        </w:rPr>
        <w:t xml:space="preserve"> بُكْرَةً وَهِيَ لِلْأَمْسِ ، وَالْأُخْرى عِنْدَ زَوَالِ الشَّمْسِ وَهِيَ لِيَوْمِهِ ». </w:t>
      </w:r>
      <w:r w:rsidRPr="00D10E3C">
        <w:rPr>
          <w:rStyle w:val="libFootnotenumChar"/>
          <w:rtl/>
        </w:rPr>
        <w:t>(5)</w:t>
      </w:r>
    </w:p>
    <w:p w:rsidR="00144FA6" w:rsidRDefault="00744A1C" w:rsidP="00744A1C">
      <w:pPr>
        <w:pStyle w:val="libNormal"/>
        <w:rPr>
          <w:rtl/>
          <w:lang w:bidi="fa-IR"/>
        </w:rPr>
      </w:pPr>
      <w:r>
        <w:rPr>
          <w:rtl/>
          <w:lang w:bidi="fa-IR"/>
        </w:rPr>
        <w:t xml:space="preserve">7825 / 3. وَعَنْهُ </w:t>
      </w:r>
      <w:r w:rsidRPr="00D10E3C">
        <w:rPr>
          <w:rStyle w:val="libFootnotenumChar"/>
          <w:rtl/>
        </w:rPr>
        <w:t>(6)</w:t>
      </w:r>
      <w:r>
        <w:rPr>
          <w:rtl/>
          <w:lang w:bidi="fa-IR"/>
        </w:rPr>
        <w:t xml:space="preserve"> ، عَنْ فَضَالَةَ بْنِ أَيُّوبَ ، عَنْ مُعَاوِيَةَ بْنِ عَمَّارٍ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286 ، ح 974 ، معلّقاً عن الكليني. وفيه ، ص 264 ، ح 899 ؛ </w:t>
      </w:r>
      <w:r w:rsidR="00744A1C" w:rsidRPr="00C24F9C">
        <w:rPr>
          <w:rStyle w:val="libFootnoteBoldChar"/>
          <w:rtl/>
        </w:rPr>
        <w:t>والاستبصار</w:t>
      </w:r>
      <w:r w:rsidR="00744A1C">
        <w:rPr>
          <w:rtl/>
          <w:lang w:bidi="fa-IR"/>
        </w:rPr>
        <w:t xml:space="preserve"> ، ج 2 ، ص 297 ، ح 1059 ، إلى قوله : « قال : ليس عليه شي‌ء ». وفي </w:t>
      </w:r>
      <w:r w:rsidR="00744A1C" w:rsidRPr="00C24F9C">
        <w:rPr>
          <w:rStyle w:val="libFootnoteBoldChar"/>
          <w:rtl/>
        </w:rPr>
        <w:t>التهذيب</w:t>
      </w:r>
      <w:r w:rsidR="00744A1C">
        <w:rPr>
          <w:rtl/>
          <w:lang w:bidi="fa-IR"/>
        </w:rPr>
        <w:t xml:space="preserve"> ، ج 5 ، ص 150 ، ح 492 ؛ </w:t>
      </w:r>
      <w:r w:rsidR="00744A1C" w:rsidRPr="00C24F9C">
        <w:rPr>
          <w:rStyle w:val="libFootnoteBoldChar"/>
          <w:rtl/>
        </w:rPr>
        <w:t>والاستبصار</w:t>
      </w:r>
      <w:r w:rsidR="00744A1C">
        <w:rPr>
          <w:rtl/>
          <w:lang w:bidi="fa-IR"/>
        </w:rPr>
        <w:t xml:space="preserve"> ، ج 2 ، ص 238 ، ح 829 ، من قوله : « قال : قلت : فرجل نسي السعي » وفي الأربعة الأخيرة بسند آخر عن ابن أبي عمير ، مع اختلاف يسير. وراجع : </w:t>
      </w:r>
      <w:r w:rsidR="00744A1C" w:rsidRPr="0061079A">
        <w:rPr>
          <w:rStyle w:val="libFootnoteBoldChar"/>
          <w:rtl/>
        </w:rPr>
        <w:t>الكافي</w:t>
      </w:r>
      <w:r w:rsidR="00744A1C">
        <w:rPr>
          <w:rtl/>
          <w:lang w:bidi="fa-IR"/>
        </w:rPr>
        <w:t xml:space="preserve"> ، كتاب الحجّ ، باب السعي بين الصفا والمروة ... ، ح 7637 </w:t>
      </w:r>
      <w:r w:rsidR="00F5549C">
        <w:rPr>
          <w:rFonts w:hint="cs"/>
          <w:rtl/>
          <w:lang w:bidi="fa-IR"/>
        </w:rPr>
        <w:t>.</w:t>
      </w:r>
      <w:r w:rsidR="00744A1C" w:rsidRPr="00C24F9C">
        <w:rPr>
          <w:rStyle w:val="libFootnoteBoldChar"/>
          <w:rtl/>
        </w:rPr>
        <w:t>الوافي</w:t>
      </w:r>
      <w:r w:rsidR="00744A1C">
        <w:rPr>
          <w:rtl/>
          <w:lang w:bidi="fa-IR"/>
        </w:rPr>
        <w:t xml:space="preserve"> ، ج 13 ، ص 1088 ، ح 13818 ، إلى قوله : « ليس عليه شي‌ء » ؛ وفيه ، ص 943 ، ح 13496 ، من قوله : « قال : قلت : فرجل نسي السعي » ؛ </w:t>
      </w:r>
      <w:r w:rsidR="00744A1C" w:rsidRPr="00C24F9C">
        <w:rPr>
          <w:rStyle w:val="libFootnoteBoldChar"/>
          <w:rtl/>
        </w:rPr>
        <w:t>الوسائل</w:t>
      </w:r>
      <w:r w:rsidR="00744A1C">
        <w:rPr>
          <w:rtl/>
          <w:lang w:bidi="fa-IR"/>
        </w:rPr>
        <w:t xml:space="preserve"> ، ج 14 ، ص 261 ، ح 19148 ، إلى قوله : « قال : ليس على شي‌ء » ؛ وفيه ، ج 13 ، ص 485 ، ذيل ح 18265 ، من قوله : « قال : قلت : فرجل نسي السعي ».</w:t>
      </w:r>
    </w:p>
    <w:p w:rsidR="00744A1C" w:rsidRDefault="00E378DD" w:rsidP="00E378DD">
      <w:pPr>
        <w:pStyle w:val="libFootnote0"/>
        <w:rPr>
          <w:lang w:bidi="fa-IR"/>
        </w:rPr>
      </w:pPr>
      <w:r>
        <w:rPr>
          <w:rtl/>
          <w:lang w:bidi="fa-IR"/>
        </w:rPr>
        <w:t>(2).</w:t>
      </w:r>
      <w:r w:rsidR="00744A1C">
        <w:rPr>
          <w:rtl/>
          <w:lang w:bidi="fa-IR"/>
        </w:rPr>
        <w:t xml:space="preserve"> « جَمْعٌ » : علم للمزدلفة ، سمّيت به لاجتماع الناس فيها ، أو لأنّ آدم وحوّاء </w:t>
      </w:r>
      <w:r w:rsidR="00F112A7" w:rsidRPr="00CE5A92">
        <w:rPr>
          <w:rStyle w:val="libFootnoteAlaemChar"/>
          <w:rtl/>
        </w:rPr>
        <w:t>عليهما‌السلام</w:t>
      </w:r>
      <w:r w:rsidR="00F5549C">
        <w:rPr>
          <w:rStyle w:val="libAlaemChar"/>
          <w:rFonts w:hint="cs"/>
          <w:rtl/>
        </w:rPr>
        <w:t xml:space="preserve"> </w:t>
      </w:r>
      <w:r w:rsidR="00744A1C">
        <w:rPr>
          <w:rtl/>
          <w:lang w:bidi="fa-IR"/>
        </w:rPr>
        <w:t>ل</w:t>
      </w:r>
      <w:r w:rsidR="00F5549C">
        <w:rPr>
          <w:rFonts w:hint="cs"/>
          <w:rtl/>
          <w:lang w:bidi="fa-IR"/>
        </w:rPr>
        <w:t>ـ</w:t>
      </w:r>
      <w:r w:rsidR="00744A1C">
        <w:rPr>
          <w:rtl/>
          <w:lang w:bidi="fa-IR"/>
        </w:rPr>
        <w:t>مّا ا</w:t>
      </w:r>
      <w:r w:rsidR="00F5549C">
        <w:rPr>
          <w:rFonts w:hint="cs"/>
          <w:rtl/>
          <w:lang w:bidi="fa-IR"/>
        </w:rPr>
        <w:t>ُ</w:t>
      </w:r>
      <w:r w:rsidR="00BC2709">
        <w:rPr>
          <w:rtl/>
          <w:lang w:bidi="fa-IR"/>
        </w:rPr>
        <w:t>هبطا اجتمعا فيه. وقال‌العل</w:t>
      </w:r>
      <w:r w:rsidR="00BC2709">
        <w:rPr>
          <w:rFonts w:hint="cs"/>
          <w:rtl/>
          <w:lang w:bidi="fa-IR"/>
        </w:rPr>
        <w:t>ّ</w:t>
      </w:r>
      <w:r w:rsidR="00BC2709">
        <w:rPr>
          <w:rtl/>
          <w:lang w:bidi="fa-IR"/>
        </w:rPr>
        <w:t>ا</w:t>
      </w:r>
      <w:r w:rsidR="00744A1C">
        <w:rPr>
          <w:rtl/>
          <w:lang w:bidi="fa-IR"/>
        </w:rPr>
        <w:t xml:space="preserve">مة المجلسي : « إنّما سمّي المشعر الحرام جمعاً لاجتماع الناس فيه ، أو لأنّه يجمع فيه بين المغرب والعشاء بأذان وإقامتين ». راجع : </w:t>
      </w:r>
      <w:r w:rsidR="00744A1C" w:rsidRPr="00E978C3">
        <w:rPr>
          <w:rStyle w:val="libFootnoteBoldChar"/>
          <w:rtl/>
        </w:rPr>
        <w:t>الصحاح</w:t>
      </w:r>
      <w:r w:rsidR="00744A1C">
        <w:rPr>
          <w:rtl/>
          <w:lang w:bidi="fa-IR"/>
        </w:rPr>
        <w:t xml:space="preserve"> ، ج 3 ، ص 1198 ؛ </w:t>
      </w:r>
      <w:r w:rsidR="00744A1C" w:rsidRPr="00877682">
        <w:rPr>
          <w:rStyle w:val="libFootnoteBoldChar"/>
          <w:rtl/>
        </w:rPr>
        <w:t>النهاية</w:t>
      </w:r>
      <w:r w:rsidR="00744A1C">
        <w:rPr>
          <w:rtl/>
          <w:lang w:bidi="fa-IR"/>
        </w:rPr>
        <w:t xml:space="preserve"> ، ج 1 ، ص 296 ؛ </w:t>
      </w:r>
      <w:r w:rsidR="00744A1C" w:rsidRPr="00877682">
        <w:rPr>
          <w:rStyle w:val="libFootnoteBoldChar"/>
          <w:rtl/>
        </w:rPr>
        <w:t>مرآة العقول</w:t>
      </w:r>
      <w:r w:rsidR="00744A1C">
        <w:rPr>
          <w:rtl/>
          <w:lang w:bidi="fa-IR"/>
        </w:rPr>
        <w:t xml:space="preserve"> ، ج 18 ، ص 127.</w:t>
      </w:r>
    </w:p>
    <w:p w:rsidR="00744A1C" w:rsidRDefault="00E378DD" w:rsidP="00E378DD">
      <w:pPr>
        <w:pStyle w:val="libFootnote0"/>
        <w:rPr>
          <w:lang w:bidi="fa-IR"/>
        </w:rPr>
      </w:pPr>
      <w:r>
        <w:rPr>
          <w:rtl/>
          <w:lang w:bidi="fa-IR"/>
        </w:rPr>
        <w:t>(3).</w:t>
      </w:r>
      <w:r w:rsidR="00744A1C">
        <w:rPr>
          <w:rtl/>
          <w:lang w:bidi="fa-IR"/>
        </w:rPr>
        <w:t xml:space="preserve"> في « بف » : « عارض له ».</w:t>
      </w:r>
    </w:p>
    <w:p w:rsidR="00744A1C" w:rsidRDefault="00E378DD" w:rsidP="00E378DD">
      <w:pPr>
        <w:pStyle w:val="libFootnote0"/>
        <w:rPr>
          <w:lang w:bidi="fa-IR"/>
        </w:rPr>
      </w:pPr>
      <w:r>
        <w:rPr>
          <w:rtl/>
          <w:lang w:bidi="fa-IR"/>
        </w:rPr>
        <w:t>(4).</w:t>
      </w:r>
      <w:r w:rsidR="00744A1C">
        <w:rPr>
          <w:rtl/>
          <w:lang w:bidi="fa-IR"/>
        </w:rPr>
        <w:t xml:space="preserve"> في « بث » و</w:t>
      </w:r>
      <w:r w:rsidR="00744A1C" w:rsidRPr="00C24F9C">
        <w:rPr>
          <w:rStyle w:val="libFootnoteBoldChar"/>
          <w:rtl/>
        </w:rPr>
        <w:t>الوسائل</w:t>
      </w:r>
      <w:r w:rsidR="00744A1C">
        <w:rPr>
          <w:rtl/>
          <w:lang w:bidi="fa-IR"/>
        </w:rPr>
        <w:t xml:space="preserve"> : « أحدهما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الفقيه</w:t>
      </w:r>
      <w:r w:rsidR="00744A1C">
        <w:rPr>
          <w:rtl/>
          <w:lang w:bidi="fa-IR"/>
        </w:rPr>
        <w:t xml:space="preserve"> ، ج 2 ، ص 476 ، ح 3003 ، معلّقاً عن عبدالله بن سنان ؛ </w:t>
      </w:r>
      <w:r w:rsidR="00744A1C" w:rsidRPr="00C24F9C">
        <w:rPr>
          <w:rStyle w:val="libFootnoteBoldChar"/>
          <w:rtl/>
        </w:rPr>
        <w:t>التهذيب</w:t>
      </w:r>
      <w:r w:rsidR="00744A1C">
        <w:rPr>
          <w:rtl/>
          <w:lang w:bidi="fa-IR"/>
        </w:rPr>
        <w:t xml:space="preserve"> ، ج 5 ، ص 262 ، ح 893 ، بسنده عن عبدالله بن سنان ، مع زيادة </w:t>
      </w:r>
      <w:r w:rsidR="00BC2709">
        <w:rPr>
          <w:rFonts w:hint="cs"/>
          <w:rtl/>
          <w:lang w:bidi="fa-IR"/>
        </w:rPr>
        <w:t>.</w:t>
      </w:r>
      <w:r w:rsidR="00744A1C" w:rsidRPr="00C24F9C">
        <w:rPr>
          <w:rStyle w:val="libFootnoteBoldChar"/>
          <w:rtl/>
        </w:rPr>
        <w:t>الوافي</w:t>
      </w:r>
      <w:r w:rsidR="00744A1C">
        <w:rPr>
          <w:rtl/>
          <w:lang w:bidi="fa-IR"/>
        </w:rPr>
        <w:t xml:space="preserve"> ، ج 13 ، ص 1087 ، ح 13815 ؛ </w:t>
      </w:r>
      <w:r w:rsidR="00744A1C" w:rsidRPr="00C24F9C">
        <w:rPr>
          <w:rStyle w:val="libFootnoteBoldChar"/>
          <w:rtl/>
        </w:rPr>
        <w:t>الوسائل</w:t>
      </w:r>
      <w:r w:rsidR="00744A1C">
        <w:rPr>
          <w:rtl/>
          <w:lang w:bidi="fa-IR"/>
        </w:rPr>
        <w:t xml:space="preserve"> ، ج 14 ، ص 73 ، ح 18622.</w:t>
      </w:r>
    </w:p>
    <w:p w:rsidR="00744A1C" w:rsidRDefault="00E378DD" w:rsidP="00E378DD">
      <w:pPr>
        <w:pStyle w:val="libFootnote0"/>
        <w:rPr>
          <w:lang w:bidi="fa-IR"/>
        </w:rPr>
      </w:pPr>
      <w:r>
        <w:rPr>
          <w:rtl/>
          <w:lang w:bidi="fa-IR"/>
        </w:rPr>
        <w:t>(6).</w:t>
      </w:r>
      <w:r w:rsidR="00744A1C">
        <w:rPr>
          <w:rtl/>
          <w:lang w:bidi="fa-IR"/>
        </w:rPr>
        <w:t xml:space="preserve"> الضمير راجع إلى الحسين بن سعيد المذكور في السند السابق. فيكون أصل السند هكذا : عدّة من أصحابنا عن أحمد بن محمّد عن الحسين بن سعيد عن فضالة بن أيّوب إلخ ، لكنّ الخبر ورد في </w:t>
      </w:r>
      <w:r w:rsidR="00744A1C" w:rsidRPr="00C24F9C">
        <w:rPr>
          <w:rStyle w:val="libFootnoteBoldChar"/>
          <w:rtl/>
        </w:rPr>
        <w:t>التهذيب</w:t>
      </w:r>
      <w:r w:rsidR="00744A1C">
        <w:rPr>
          <w:rtl/>
          <w:lang w:bidi="fa-IR"/>
        </w:rPr>
        <w:t xml:space="preserve"> ، ج 5 ، ص 263 ، ح 898 ؛ </w:t>
      </w:r>
      <w:r w:rsidR="00744A1C" w:rsidRPr="00C24F9C">
        <w:rPr>
          <w:rStyle w:val="libFootnoteBoldChar"/>
          <w:rtl/>
        </w:rPr>
        <w:t>والاستبصار</w:t>
      </w:r>
      <w:r w:rsidR="00744A1C">
        <w:rPr>
          <w:rtl/>
          <w:lang w:bidi="fa-IR"/>
        </w:rPr>
        <w:t xml:space="preserve"> ، ج 2 ، ص 296 ، ح 1058 ؛ و</w:t>
      </w:r>
      <w:r w:rsidR="00744A1C" w:rsidRPr="00C24F9C">
        <w:rPr>
          <w:rStyle w:val="libFootnoteBoldChar"/>
          <w:rtl/>
        </w:rPr>
        <w:t>الوسائل</w:t>
      </w:r>
      <w:r w:rsidR="00744A1C">
        <w:rPr>
          <w:rtl/>
          <w:lang w:bidi="fa-IR"/>
        </w:rPr>
        <w:t xml:space="preserve"> ، ج 14 ، ص 261 ، ح 19147 عن محمّد بن يعقوب عن محمّد بن يحيى عن أحمد بن محمّد عن الحسين بن سعيد عن فضالة بن أيّوب ، إلخ.</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 مَا تَقُولُ </w:t>
      </w:r>
      <w:r w:rsidRPr="00D10E3C">
        <w:rPr>
          <w:rStyle w:val="libFootnotenumChar"/>
          <w:rtl/>
        </w:rPr>
        <w:t>(1)</w:t>
      </w:r>
      <w:r>
        <w:rPr>
          <w:rtl/>
          <w:lang w:bidi="fa-IR"/>
        </w:rPr>
        <w:t xml:space="preserve"> فِي امْرَأَةٍ جَهِلَتْ أَنْ تَرْمِيَ الْجِمَارَ حَتّى نَفَرَتْ </w:t>
      </w:r>
      <w:r w:rsidRPr="00D10E3C">
        <w:rPr>
          <w:rStyle w:val="libFootnotenumChar"/>
          <w:rtl/>
        </w:rPr>
        <w:t>(2)</w:t>
      </w:r>
      <w:r>
        <w:rPr>
          <w:rtl/>
          <w:lang w:bidi="fa-IR"/>
        </w:rPr>
        <w:t xml:space="preserve"> إِلى مَكَّةَ؟</w:t>
      </w:r>
    </w:p>
    <w:p w:rsidR="00144FA6" w:rsidRDefault="00744A1C" w:rsidP="00744A1C">
      <w:pPr>
        <w:pStyle w:val="libNormal"/>
        <w:rPr>
          <w:rtl/>
          <w:lang w:bidi="fa-IR"/>
        </w:rPr>
      </w:pPr>
      <w:r>
        <w:rPr>
          <w:rtl/>
          <w:lang w:bidi="fa-IR"/>
        </w:rPr>
        <w:t xml:space="preserve">قَالَ : « فَلْتَرْجِعْ ، وَلْتَرْمِ </w:t>
      </w:r>
      <w:r w:rsidRPr="00D10E3C">
        <w:rPr>
          <w:rStyle w:val="libFootnotenumChar"/>
          <w:rtl/>
        </w:rPr>
        <w:t>(3)</w:t>
      </w:r>
      <w:r>
        <w:rPr>
          <w:rtl/>
          <w:lang w:bidi="fa-IR"/>
        </w:rPr>
        <w:t xml:space="preserve"> الْجِمَارَ كَمَا كَانَتْ تَرْمِي ، وَالرَّجُلُ كَذلِكَ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7826 / 4. عَلِيُّ بْنُ إِبْرَاهِيمَ ، عَنْ أَبِيهِ ، عَنِ ابْنِ أَبِي عُمَيْرٍ ، عَنْ جَمِيلٍ ، عَنْ زُرَارَةَ وَمُحَمَّدِ بْنِ مُسْلِمٍ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قَالَ فِي الْخَائِفِ : « لَا بَأْسَ بِأَنْ </w:t>
      </w:r>
      <w:r w:rsidRPr="00D10E3C">
        <w:rPr>
          <w:rStyle w:val="libFootnotenumChar"/>
          <w:rtl/>
        </w:rPr>
        <w:t>(6)</w:t>
      </w:r>
      <w:r>
        <w:rPr>
          <w:rtl/>
          <w:lang w:bidi="fa-IR"/>
        </w:rPr>
        <w:t xml:space="preserve"> يَرْمِيَ الْجِمَارَ بِاللَّيْلِ ، وَيُضَحِّيَ بِاللَّيْلِ ، وَيُفِيضَ بِاللَّيْلِ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7827 / 5. عِدَّةٌ مِنْ أَصْحَابِنَا ، عَنْ أَحْمَدَ بْنِ مُحَمَّدٍ ، عَنِ الْحُسَيْنِ بْنِ سَعِيدٍ ، عَنْ أَخِيهِ الْحَسَنِ ، عَنْ زُرْعَةَ ، عَنْ سَمَاعَةَ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أَنَّهُ كَرِهَ </w:t>
      </w:r>
      <w:r w:rsidRPr="00D10E3C">
        <w:rPr>
          <w:rStyle w:val="libFootnotenumChar"/>
          <w:rtl/>
        </w:rPr>
        <w:t>(9)</w:t>
      </w:r>
      <w:r>
        <w:rPr>
          <w:rtl/>
          <w:lang w:bidi="fa-IR"/>
        </w:rPr>
        <w:t xml:space="preserve"> رَمْيَ الْجِمَارِ بِاللَّيْلِ ، وَرَخَّصَ لِلْعَبْدِ وَالرَّاعِي فِي رَمْيِ الْجِمَارِ لَيْلاً.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الاستبصار : « سمعت أبا عبدالله </w:t>
      </w:r>
      <w:r w:rsidR="0061079A" w:rsidRPr="0061079A">
        <w:rPr>
          <w:rStyle w:val="libFootnoteAlaemChar"/>
          <w:rtl/>
        </w:rPr>
        <w:t>عليه‌السلام</w:t>
      </w:r>
      <w:r>
        <w:rPr>
          <w:rtl/>
          <w:lang w:bidi="fa-IR"/>
        </w:rPr>
        <w:t xml:space="preserve"> </w:t>
      </w:r>
      <w:r w:rsidR="00744A1C">
        <w:rPr>
          <w:rtl/>
          <w:lang w:bidi="fa-IR"/>
        </w:rPr>
        <w:t xml:space="preserve">يقول » بدل « سألت أبا عبدالله </w:t>
      </w:r>
      <w:r w:rsidR="0061079A" w:rsidRPr="0061079A">
        <w:rPr>
          <w:rStyle w:val="libFootnoteAlaemChar"/>
          <w:rtl/>
        </w:rPr>
        <w:t>عليه‌السلام</w:t>
      </w:r>
      <w:r>
        <w:rPr>
          <w:rtl/>
          <w:lang w:bidi="fa-IR"/>
        </w:rPr>
        <w:t xml:space="preserve"> </w:t>
      </w:r>
      <w:r w:rsidR="00744A1C">
        <w:rPr>
          <w:rtl/>
          <w:lang w:bidi="fa-IR"/>
        </w:rPr>
        <w:t>ما تقول ».</w:t>
      </w:r>
    </w:p>
    <w:p w:rsidR="00744A1C" w:rsidRDefault="00E378DD" w:rsidP="00E378DD">
      <w:pPr>
        <w:pStyle w:val="libFootnote0"/>
        <w:rPr>
          <w:lang w:bidi="fa-IR"/>
        </w:rPr>
      </w:pPr>
      <w:r>
        <w:rPr>
          <w:rtl/>
          <w:lang w:bidi="fa-IR"/>
        </w:rPr>
        <w:t>(2).</w:t>
      </w:r>
      <w:r w:rsidR="00744A1C">
        <w:rPr>
          <w:rtl/>
          <w:lang w:bidi="fa-IR"/>
        </w:rPr>
        <w:t xml:space="preserve"> في « بث » : « تقرب ». </w:t>
      </w:r>
      <w:r w:rsidR="00744A1C" w:rsidRPr="00BC2709">
        <w:rPr>
          <w:rtl/>
        </w:rPr>
        <w:t>وفي التهذيب والاستبصار :</w:t>
      </w:r>
      <w:r w:rsidR="00744A1C">
        <w:rPr>
          <w:rtl/>
          <w:lang w:bidi="fa-IR"/>
        </w:rPr>
        <w:t xml:space="preserve"> « تعود ».</w:t>
      </w:r>
    </w:p>
    <w:p w:rsidR="00744A1C" w:rsidRDefault="00E378DD" w:rsidP="00E378DD">
      <w:pPr>
        <w:pStyle w:val="libFootnote0"/>
        <w:rPr>
          <w:lang w:bidi="fa-IR"/>
        </w:rPr>
      </w:pPr>
      <w:r>
        <w:rPr>
          <w:rtl/>
          <w:lang w:bidi="fa-IR"/>
        </w:rPr>
        <w:t>(3).</w:t>
      </w:r>
      <w:r w:rsidR="00744A1C">
        <w:rPr>
          <w:rtl/>
          <w:lang w:bidi="fa-IR"/>
        </w:rPr>
        <w:t xml:space="preserve"> في </w:t>
      </w:r>
      <w:r w:rsidR="00744A1C" w:rsidRPr="00BC2709">
        <w:rPr>
          <w:rtl/>
        </w:rPr>
        <w:t>الوافي والوسائل والفقيه</w:t>
      </w:r>
      <w:r w:rsidR="00744A1C">
        <w:rPr>
          <w:rtl/>
          <w:lang w:bidi="fa-IR"/>
        </w:rPr>
        <w:t xml:space="preserve"> </w:t>
      </w:r>
      <w:r w:rsidR="00744A1C" w:rsidRPr="00BC2709">
        <w:rPr>
          <w:rtl/>
        </w:rPr>
        <w:t xml:space="preserve">والتهذيب : </w:t>
      </w:r>
      <w:r w:rsidR="00744A1C">
        <w:rPr>
          <w:rtl/>
          <w:lang w:bidi="fa-IR"/>
        </w:rPr>
        <w:t>« فلترم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ينبغي حمله على بقاء أيّام التشريق ؛ لما يأتي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263 ، ح 898 ؛ </w:t>
      </w:r>
      <w:r w:rsidR="00744A1C" w:rsidRPr="00C24F9C">
        <w:rPr>
          <w:rStyle w:val="libFootnoteBoldChar"/>
          <w:rtl/>
        </w:rPr>
        <w:t>والاستبصار</w:t>
      </w:r>
      <w:r w:rsidR="00744A1C">
        <w:rPr>
          <w:rtl/>
          <w:lang w:bidi="fa-IR"/>
        </w:rPr>
        <w:t xml:space="preserve"> ، ج 2 ، ص 296 ، ح 1058 ، معلّقاً عن الكليني ، عن محمّد بن يحيى ، عن أحمد بن محمّد ، عن الحسين بن سعيد ، عن فضالة بن أيوب. </w:t>
      </w:r>
      <w:r w:rsidR="00744A1C" w:rsidRPr="00C24F9C">
        <w:rPr>
          <w:rStyle w:val="libFootnoteBoldChar"/>
          <w:rtl/>
        </w:rPr>
        <w:t>الفقيه</w:t>
      </w:r>
      <w:r w:rsidR="00744A1C">
        <w:rPr>
          <w:rtl/>
          <w:lang w:bidi="fa-IR"/>
        </w:rPr>
        <w:t xml:space="preserve"> ، ج 2 ، ص 475 ، ح 3002 ، معلّقاً عن معاوية بن عمّار </w:t>
      </w:r>
      <w:r w:rsidR="00BC2709">
        <w:rPr>
          <w:rFonts w:hint="cs"/>
          <w:rtl/>
          <w:lang w:bidi="fa-IR"/>
        </w:rPr>
        <w:t>.</w:t>
      </w:r>
      <w:r w:rsidR="00744A1C" w:rsidRPr="00C24F9C">
        <w:rPr>
          <w:rStyle w:val="libFootnoteBoldChar"/>
          <w:rtl/>
        </w:rPr>
        <w:t>الوافي</w:t>
      </w:r>
      <w:r w:rsidR="00744A1C">
        <w:rPr>
          <w:rtl/>
          <w:lang w:bidi="fa-IR"/>
        </w:rPr>
        <w:t xml:space="preserve"> ، ج 13 ، ص 1088 ، ح 13817 ؛ </w:t>
      </w:r>
      <w:r w:rsidR="00744A1C" w:rsidRPr="00C24F9C">
        <w:rPr>
          <w:rStyle w:val="libFootnoteBoldChar"/>
          <w:rtl/>
        </w:rPr>
        <w:t>الوسائل</w:t>
      </w:r>
      <w:r w:rsidR="00744A1C">
        <w:rPr>
          <w:rtl/>
          <w:lang w:bidi="fa-IR"/>
        </w:rPr>
        <w:t xml:space="preserve"> ، ج 14 ، ص 261 ، ح 19147.</w:t>
      </w:r>
    </w:p>
    <w:p w:rsidR="00744A1C" w:rsidRDefault="00E378DD" w:rsidP="00E378DD">
      <w:pPr>
        <w:pStyle w:val="libFootnote0"/>
        <w:rPr>
          <w:lang w:bidi="fa-IR"/>
        </w:rPr>
      </w:pPr>
      <w:r>
        <w:rPr>
          <w:rtl/>
          <w:lang w:bidi="fa-IR"/>
        </w:rPr>
        <w:t>(6).</w:t>
      </w:r>
      <w:r w:rsidR="00744A1C">
        <w:rPr>
          <w:rtl/>
          <w:lang w:bidi="fa-IR"/>
        </w:rPr>
        <w:t xml:space="preserve"> في « بث » : « أن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يدلّ على أنّه يجوز لذوي الأعذار إيقاع تلك الأفعال في الليل ، وظاهره الليلة المتقدّمة ، كما ذكره الأصحاب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2 ، ص 475 ، ح 3001 ، معلّقاً عن محمّد بن مسلم. </w:t>
      </w:r>
      <w:r w:rsidR="00744A1C" w:rsidRPr="00C24F9C">
        <w:rPr>
          <w:rStyle w:val="libFootnoteBoldChar"/>
          <w:rtl/>
        </w:rPr>
        <w:t>التهذيب</w:t>
      </w:r>
      <w:r w:rsidR="00744A1C">
        <w:rPr>
          <w:rtl/>
          <w:lang w:bidi="fa-IR"/>
        </w:rPr>
        <w:t xml:space="preserve"> ، ج 5 ، ص 263 ، ح 895 ، بسند آخر ، مع اختلاف يسير </w:t>
      </w:r>
      <w:r w:rsidR="00BC2709">
        <w:rPr>
          <w:rFonts w:hint="cs"/>
          <w:rtl/>
          <w:lang w:bidi="fa-IR"/>
        </w:rPr>
        <w:t>.</w:t>
      </w:r>
      <w:r w:rsidR="00744A1C" w:rsidRPr="00C24F9C">
        <w:rPr>
          <w:rStyle w:val="libFootnoteBoldChar"/>
          <w:rtl/>
        </w:rPr>
        <w:t>الوافي</w:t>
      </w:r>
      <w:r w:rsidR="00744A1C">
        <w:rPr>
          <w:rtl/>
          <w:lang w:bidi="fa-IR"/>
        </w:rPr>
        <w:t xml:space="preserve"> ، ج 13 ، ص 1086 ، ح 13811 ؛ </w:t>
      </w:r>
      <w:r w:rsidR="00744A1C" w:rsidRPr="00C24F9C">
        <w:rPr>
          <w:rStyle w:val="libFootnoteBoldChar"/>
          <w:rtl/>
        </w:rPr>
        <w:t>الوسائل</w:t>
      </w:r>
      <w:r w:rsidR="00744A1C">
        <w:rPr>
          <w:rtl/>
          <w:lang w:bidi="fa-IR"/>
        </w:rPr>
        <w:t xml:space="preserve"> ، ج 14 ، ص 71 ، ح 18617.</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لعلّ الكراهة محمولة على الحرمة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الوافي</w:t>
      </w:r>
      <w:r w:rsidR="00744A1C">
        <w:rPr>
          <w:rtl/>
          <w:lang w:bidi="fa-IR"/>
        </w:rPr>
        <w:t xml:space="preserve"> ، ج 13 ، ص 1085 ، ح 13809 ؛ </w:t>
      </w:r>
      <w:r w:rsidR="00744A1C" w:rsidRPr="00C24F9C">
        <w:rPr>
          <w:rStyle w:val="libFootnoteBoldChar"/>
          <w:rtl/>
        </w:rPr>
        <w:t>الوسائل</w:t>
      </w:r>
      <w:r w:rsidR="00744A1C">
        <w:rPr>
          <w:rtl/>
          <w:lang w:bidi="fa-IR"/>
        </w:rPr>
        <w:t xml:space="preserve"> ، ج 14 ، ص 71 ، ح 18618.</w:t>
      </w:r>
    </w:p>
    <w:p w:rsidR="000F7CEC" w:rsidRDefault="000F7CEC" w:rsidP="00D10E3C">
      <w:pPr>
        <w:pStyle w:val="libNormal"/>
        <w:rPr>
          <w:rtl/>
          <w:lang w:bidi="fa-IR"/>
        </w:rPr>
      </w:pPr>
      <w:r>
        <w:rPr>
          <w:rtl/>
          <w:lang w:bidi="fa-IR"/>
        </w:rPr>
        <w:br w:type="page"/>
      </w:r>
    </w:p>
    <w:p w:rsidR="00744A1C" w:rsidRDefault="00744A1C" w:rsidP="00BC2709">
      <w:pPr>
        <w:pStyle w:val="Heading2Center"/>
        <w:rPr>
          <w:lang w:bidi="fa-IR"/>
        </w:rPr>
      </w:pPr>
      <w:bookmarkStart w:id="22" w:name="_Toc49261320"/>
      <w:r>
        <w:rPr>
          <w:rtl/>
          <w:lang w:bidi="fa-IR"/>
        </w:rPr>
        <w:lastRenderedPageBreak/>
        <w:t>177 - بَابُ الرَّمْيِ عَنِ الْعَلِيلِ وَالصِّبْيَانِ وَالرَّمْيِ رَاكِباً‌</w:t>
      </w:r>
      <w:bookmarkEnd w:id="22"/>
    </w:p>
    <w:p w:rsidR="00144FA6" w:rsidRDefault="00744A1C" w:rsidP="00744A1C">
      <w:pPr>
        <w:pStyle w:val="libNormal"/>
        <w:rPr>
          <w:rtl/>
          <w:lang w:bidi="fa-IR"/>
        </w:rPr>
      </w:pPr>
      <w:r>
        <w:rPr>
          <w:rtl/>
          <w:lang w:bidi="fa-IR"/>
        </w:rPr>
        <w:t xml:space="preserve">7828 / 1. عَلِيُّ بْنُ إِبْرَاهِيمَ ، عَنْ أَبِيهِ ، عَنِ ابْنِ أَبِي عُمَيْرٍ ، عَنْ مُعَاوِيَةَ بْنِ عَمَّارٍ </w:t>
      </w:r>
      <w:r w:rsidRPr="00D10E3C">
        <w:rPr>
          <w:rStyle w:val="libFootnotenumChar"/>
          <w:rtl/>
        </w:rPr>
        <w:t>(1)</w:t>
      </w:r>
      <w:r>
        <w:rPr>
          <w:rtl/>
          <w:lang w:bidi="fa-IR"/>
        </w:rPr>
        <w:t xml:space="preserve"> وَعَبْدِ الرَّحْمنِ بْنِ الْحَجَّاجِ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الْكَسِيرُ </w:t>
      </w:r>
      <w:r w:rsidRPr="00D10E3C">
        <w:rPr>
          <w:rStyle w:val="libFootnotenumChar"/>
          <w:rtl/>
        </w:rPr>
        <w:t>(2)</w:t>
      </w:r>
      <w:r>
        <w:rPr>
          <w:rtl/>
          <w:lang w:bidi="fa-IR"/>
        </w:rPr>
        <w:t xml:space="preserve"> وَالْمَبْطُونُ يُرْمى عَنْهُمَا » قَالَ : « وَالصِّبْيَانُ يُرْمى عَنْهُمْ ». </w:t>
      </w:r>
      <w:r w:rsidRPr="00D10E3C">
        <w:rPr>
          <w:rStyle w:val="libFootnotenumChar"/>
          <w:rtl/>
        </w:rPr>
        <w:t>(3)</w:t>
      </w:r>
    </w:p>
    <w:p w:rsidR="00144FA6" w:rsidRDefault="00744A1C" w:rsidP="00744A1C">
      <w:pPr>
        <w:pStyle w:val="libNormal"/>
        <w:rPr>
          <w:rtl/>
          <w:lang w:bidi="fa-IR"/>
        </w:rPr>
      </w:pPr>
      <w:r>
        <w:rPr>
          <w:rtl/>
          <w:lang w:bidi="fa-IR"/>
        </w:rPr>
        <w:t xml:space="preserve">7829 / 2. أَبُو عَلِيٍّ الْأَشْعَرِيُّ ، عَنْ مُحَمَّدِ بْنِ عَبْدِ الْجَبَّارِ ، عَنْ صَفْوَانَ بْنِ يَحْيى </w:t>
      </w:r>
      <w:r w:rsidRPr="00D10E3C">
        <w:rPr>
          <w:rStyle w:val="libFootnotenumChar"/>
          <w:rtl/>
        </w:rPr>
        <w:t>(4)</w:t>
      </w:r>
      <w:r>
        <w:rPr>
          <w:rtl/>
          <w:lang w:bidi="fa-IR"/>
        </w:rPr>
        <w:t xml:space="preserve"> ، عَنْ إِسْحَاقَ بْنِ عَمَّارٍ ، قَالَ :</w:t>
      </w:r>
    </w:p>
    <w:p w:rsidR="00744A1C" w:rsidRDefault="00744A1C" w:rsidP="00744A1C">
      <w:pPr>
        <w:pStyle w:val="libNormal"/>
        <w:rPr>
          <w:lang w:bidi="fa-IR"/>
        </w:rPr>
      </w:pPr>
      <w:r>
        <w:rPr>
          <w:rtl/>
          <w:lang w:bidi="fa-IR"/>
        </w:rPr>
        <w:t xml:space="preserve">سَأَلْتُ أَبَا إِبْرَاهِيمَ </w:t>
      </w:r>
      <w:r w:rsidR="0061079A" w:rsidRPr="0061079A">
        <w:rPr>
          <w:rStyle w:val="libAlaemChar"/>
          <w:rtl/>
        </w:rPr>
        <w:t>عليه‌السلام</w:t>
      </w:r>
      <w:r w:rsidR="00D10E3C">
        <w:rPr>
          <w:rtl/>
          <w:lang w:bidi="fa-IR"/>
        </w:rPr>
        <w:t xml:space="preserve"> </w:t>
      </w:r>
      <w:r>
        <w:rPr>
          <w:rtl/>
          <w:lang w:bidi="fa-IR"/>
        </w:rPr>
        <w:t xml:space="preserve">عَنِ الْمَرِيضِ : يُرْمى </w:t>
      </w:r>
      <w:r w:rsidRPr="00D10E3C">
        <w:rPr>
          <w:rStyle w:val="libFootnotenumChar"/>
          <w:rtl/>
        </w:rPr>
        <w:t>(5)</w:t>
      </w:r>
      <w:r>
        <w:rPr>
          <w:rtl/>
          <w:lang w:bidi="fa-IR"/>
        </w:rPr>
        <w:t xml:space="preserve"> عَنْهُ الْجِمَارُ؟</w:t>
      </w:r>
    </w:p>
    <w:p w:rsidR="00144FA6" w:rsidRDefault="00744A1C" w:rsidP="00744A1C">
      <w:pPr>
        <w:pStyle w:val="libNormal"/>
        <w:rPr>
          <w:rtl/>
          <w:lang w:bidi="fa-IR"/>
        </w:rPr>
      </w:pPr>
      <w:r>
        <w:rPr>
          <w:rtl/>
          <w:lang w:bidi="fa-IR"/>
        </w:rPr>
        <w:t xml:space="preserve">قَالَ : « نَعَمْ ، يُحْمَلُ إِلَى الْجَمْرَةِ </w:t>
      </w:r>
      <w:r w:rsidRPr="00D10E3C">
        <w:rPr>
          <w:rStyle w:val="libFootnotenumChar"/>
          <w:rtl/>
        </w:rPr>
        <w:t>(6)</w:t>
      </w:r>
      <w:r>
        <w:rPr>
          <w:rtl/>
          <w:lang w:bidi="fa-IR"/>
        </w:rPr>
        <w:t xml:space="preserve"> ، وَيُرْمى عَنْهُ ». </w:t>
      </w:r>
      <w:r w:rsidRPr="00D10E3C">
        <w:rPr>
          <w:rStyle w:val="libFootnotenumChar"/>
          <w:rtl/>
        </w:rPr>
        <w:t>(7)</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BC2709" w:rsidTr="00BC2709">
        <w:tc>
          <w:tcPr>
            <w:tcW w:w="4006" w:type="dxa"/>
          </w:tcPr>
          <w:p w:rsidR="00BC2709" w:rsidRDefault="00BC2709" w:rsidP="00D10E3C">
            <w:pPr>
              <w:pStyle w:val="libFootnote0"/>
              <w:rPr>
                <w:rtl/>
                <w:lang w:bidi="fa-IR"/>
              </w:rPr>
            </w:pPr>
            <w:r>
              <w:rPr>
                <w:rtl/>
                <w:lang w:bidi="fa-IR"/>
              </w:rPr>
              <w:t xml:space="preserve">(1). في « جر » </w:t>
            </w:r>
            <w:r w:rsidRPr="0061079A">
              <w:rPr>
                <w:rStyle w:val="libFootnoteBoldChar"/>
                <w:rtl/>
              </w:rPr>
              <w:t>والتهذيب</w:t>
            </w:r>
            <w:r>
              <w:rPr>
                <w:rtl/>
                <w:lang w:bidi="fa-IR"/>
              </w:rPr>
              <w:t xml:space="preserve"> : - « بن عمّار ».</w:t>
            </w:r>
          </w:p>
        </w:tc>
        <w:tc>
          <w:tcPr>
            <w:tcW w:w="4006" w:type="dxa"/>
          </w:tcPr>
          <w:p w:rsidR="00BC2709" w:rsidRDefault="00BC2709" w:rsidP="00D10E3C">
            <w:pPr>
              <w:pStyle w:val="libFootnote0"/>
              <w:rPr>
                <w:rtl/>
                <w:lang w:bidi="fa-IR"/>
              </w:rPr>
            </w:pPr>
            <w:r>
              <w:rPr>
                <w:rtl/>
                <w:lang w:bidi="fa-IR"/>
              </w:rPr>
              <w:t>(2). في « بح » : « الكبير ».</w:t>
            </w:r>
          </w:p>
        </w:tc>
      </w:tr>
    </w:tbl>
    <w:p w:rsidR="00744A1C" w:rsidRDefault="00E378DD" w:rsidP="00184075">
      <w:pPr>
        <w:pStyle w:val="libFootnote0"/>
        <w:rPr>
          <w:lang w:bidi="fa-IR"/>
        </w:rPr>
      </w:pPr>
      <w:r>
        <w:rPr>
          <w:rtl/>
          <w:lang w:bidi="fa-IR"/>
        </w:rPr>
        <w:t>(3).</w:t>
      </w:r>
      <w:r w:rsidR="00744A1C">
        <w:rPr>
          <w:rtl/>
          <w:lang w:bidi="fa-IR"/>
        </w:rPr>
        <w:t xml:space="preserve"> </w:t>
      </w:r>
      <w:r w:rsidR="00744A1C" w:rsidRPr="0061079A">
        <w:rPr>
          <w:rStyle w:val="libFootnoteBoldChar"/>
          <w:rtl/>
        </w:rPr>
        <w:t>الكافي</w:t>
      </w:r>
      <w:r w:rsidR="00744A1C">
        <w:rPr>
          <w:rtl/>
          <w:lang w:bidi="fa-IR"/>
        </w:rPr>
        <w:t xml:space="preserve"> ، كتاب الحجّ ، باب طواف المريض ومن يطاف به محمولاً من غير علّة ، ح 7577 ، وتمام الرواية فيه : « المبطون والكسير يطاف عنهما ويرمى عنهما الجمار ». </w:t>
      </w:r>
      <w:r w:rsidR="00744A1C" w:rsidRPr="0061079A">
        <w:rPr>
          <w:rStyle w:val="libFootnoteBoldChar"/>
          <w:rtl/>
        </w:rPr>
        <w:t>الكافي</w:t>
      </w:r>
      <w:r w:rsidR="00744A1C">
        <w:rPr>
          <w:rtl/>
          <w:lang w:bidi="fa-IR"/>
        </w:rPr>
        <w:t xml:space="preserve"> ، نفس الباب ، صدر ح 7579 ، عن عليّ بن إبراهيم ، عن أبيه ، عن ابن أبي عمير ، عن معاوية بن عمّار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هكذا : « الصبيان يطاف بهم ويرمى عنهم ». وفي </w:t>
      </w:r>
      <w:r w:rsidR="00744A1C" w:rsidRPr="00C24F9C">
        <w:rPr>
          <w:rStyle w:val="libFootnoteBoldChar"/>
          <w:rtl/>
        </w:rPr>
        <w:t>التهذيب</w:t>
      </w:r>
      <w:r w:rsidR="00744A1C">
        <w:rPr>
          <w:rtl/>
          <w:lang w:bidi="fa-IR"/>
        </w:rPr>
        <w:t xml:space="preserve"> ، ج 5 ، ص 124 ، ح 404 ؛ </w:t>
      </w:r>
      <w:r w:rsidR="00744A1C" w:rsidRPr="00C24F9C">
        <w:rPr>
          <w:rStyle w:val="libFootnoteBoldChar"/>
          <w:rtl/>
        </w:rPr>
        <w:t>والاستبصار</w:t>
      </w:r>
      <w:r w:rsidR="00744A1C">
        <w:rPr>
          <w:rtl/>
          <w:lang w:bidi="fa-IR"/>
        </w:rPr>
        <w:t xml:space="preserve"> ، ج 2 ، ص 226 ، ح 780 ، بسندهما عن محمّد بن أبي عمير ، عن عبدالرحمن بن الحجّاج ، عن معاوية بن عمّار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هكذا : « المبطون والكسير يطاف عنهما ويرمى عنهما ». </w:t>
      </w:r>
      <w:r w:rsidR="00744A1C" w:rsidRPr="00C24F9C">
        <w:rPr>
          <w:rStyle w:val="libFootnoteBoldChar"/>
          <w:rtl/>
        </w:rPr>
        <w:t>الفقيه</w:t>
      </w:r>
      <w:r w:rsidR="00744A1C">
        <w:rPr>
          <w:rtl/>
          <w:lang w:bidi="fa-IR"/>
        </w:rPr>
        <w:t xml:space="preserve"> ، ج 2 ، ص 476 ، ح 3005 ، معلّقاً عن معاوية بن عمّار وعبدالرحمن بن الحجّاج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C24F9C">
        <w:rPr>
          <w:rStyle w:val="libFootnoteBoldChar"/>
          <w:rtl/>
        </w:rPr>
        <w:t>الفقيه</w:t>
      </w:r>
      <w:r w:rsidR="00744A1C">
        <w:rPr>
          <w:rtl/>
          <w:lang w:bidi="fa-IR"/>
        </w:rPr>
        <w:t xml:space="preserve"> ، ج 2 ، ص 404 ، ح 2822 ، إلى قوله : « يرمى عنهما » مع اختلاف يسير ؛ </w:t>
      </w:r>
      <w:r w:rsidR="00744A1C" w:rsidRPr="00C24F9C">
        <w:rPr>
          <w:rStyle w:val="libFootnoteBoldChar"/>
          <w:rtl/>
        </w:rPr>
        <w:t>الفقيه</w:t>
      </w:r>
      <w:r w:rsidR="00744A1C">
        <w:rPr>
          <w:rtl/>
          <w:lang w:bidi="fa-IR"/>
        </w:rPr>
        <w:t xml:space="preserve"> ، ج 2 ، ص 404 ، ح 2823 ، وتمام الرواية فيه : « وقال في الصبيان يطاف بهم ويرمى عنهم » وفي الأخيرين معلّقاً عن معاوية بن عمّار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C24F9C">
        <w:rPr>
          <w:rStyle w:val="libFootnoteBoldChar"/>
          <w:rtl/>
        </w:rPr>
        <w:t>التهذيب</w:t>
      </w:r>
      <w:r w:rsidR="00744A1C">
        <w:rPr>
          <w:rtl/>
          <w:lang w:bidi="fa-IR"/>
        </w:rPr>
        <w:t xml:space="preserve"> ، ج 5 ، ص 125 ، ح 409 ، بسنده عن معاوية بن عمّار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w:t>
      </w:r>
      <w:r w:rsidR="00744A1C" w:rsidRPr="00C24F9C">
        <w:rPr>
          <w:rStyle w:val="libFootnoteBoldChar"/>
          <w:rtl/>
        </w:rPr>
        <w:t>التهذيب</w:t>
      </w:r>
      <w:r w:rsidR="00744A1C">
        <w:rPr>
          <w:rtl/>
          <w:lang w:bidi="fa-IR"/>
        </w:rPr>
        <w:t xml:space="preserve"> ، ج 5 ، ص 268 ، ح 914 ، بسند آخر ، مع اختلاف يسير وفي الأخيرين إلى قوله : « يرمى عنهما » </w:t>
      </w:r>
      <w:r w:rsidR="00184075">
        <w:rPr>
          <w:rFonts w:hint="cs"/>
          <w:rtl/>
          <w:lang w:bidi="fa-IR"/>
        </w:rPr>
        <w:t>.</w:t>
      </w:r>
      <w:r w:rsidR="00744A1C" w:rsidRPr="00C24F9C">
        <w:rPr>
          <w:rStyle w:val="libFootnoteBoldChar"/>
          <w:rtl/>
        </w:rPr>
        <w:t>الوافي</w:t>
      </w:r>
      <w:r w:rsidR="00744A1C">
        <w:rPr>
          <w:rtl/>
          <w:lang w:bidi="fa-IR"/>
        </w:rPr>
        <w:t xml:space="preserve"> ، ج 13 ، ص 1099 ، ح 13738 ؛ </w:t>
      </w:r>
      <w:r w:rsidR="00744A1C" w:rsidRPr="00C24F9C">
        <w:rPr>
          <w:rStyle w:val="libFootnoteBoldChar"/>
          <w:rtl/>
        </w:rPr>
        <w:t>الوسائل</w:t>
      </w:r>
      <w:r w:rsidR="00744A1C">
        <w:rPr>
          <w:rtl/>
          <w:lang w:bidi="fa-IR"/>
        </w:rPr>
        <w:t xml:space="preserve"> ، ج 14 ، ص 75 ، ح 18629.</w:t>
      </w:r>
      <w:r w:rsidR="00184075">
        <w:rPr>
          <w:rFonts w:hint="cs"/>
          <w:rtl/>
          <w:lang w:bidi="fa-IR"/>
        </w:rPr>
        <w:t xml:space="preserve">     </w:t>
      </w:r>
      <w:r>
        <w:rPr>
          <w:rtl/>
          <w:lang w:bidi="fa-IR"/>
        </w:rPr>
        <w:t>(4).</w:t>
      </w:r>
      <w:r w:rsidR="00744A1C">
        <w:rPr>
          <w:rtl/>
          <w:lang w:bidi="fa-IR"/>
        </w:rPr>
        <w:t xml:space="preserve"> في « جر » </w:t>
      </w:r>
      <w:r w:rsidR="00744A1C" w:rsidRPr="0061079A">
        <w:rPr>
          <w:rStyle w:val="libFootnoteBoldChar"/>
          <w:rtl/>
        </w:rPr>
        <w:t>والتهذيب</w:t>
      </w:r>
      <w:r w:rsidR="00744A1C">
        <w:rPr>
          <w:rtl/>
          <w:lang w:bidi="fa-IR"/>
        </w:rPr>
        <w:t xml:space="preserve"> : - « بن يحيى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الوسائل</w:t>
      </w:r>
      <w:r w:rsidR="00744A1C">
        <w:rPr>
          <w:rtl/>
          <w:lang w:bidi="fa-IR"/>
        </w:rPr>
        <w:t xml:space="preserve"> : « ترمى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المشهور وجوب الاستنابة مع العذر ، وحملوا الحمل على الجمرة على الاستحباب جمعاً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268 ، ح 915 ، معلّقاً عن الكليني. </w:t>
      </w:r>
      <w:r w:rsidR="00744A1C" w:rsidRPr="00C24F9C">
        <w:rPr>
          <w:rStyle w:val="libFootnoteBoldChar"/>
          <w:rtl/>
        </w:rPr>
        <w:t>الفقيه</w:t>
      </w:r>
      <w:r w:rsidR="00744A1C">
        <w:rPr>
          <w:rtl/>
          <w:lang w:bidi="fa-IR"/>
        </w:rPr>
        <w:t xml:space="preserve"> ، ج 2 ، ص 476 ، ح 3006 ، معلّقاً عن </w:t>
      </w:r>
      <w:r w:rsidR="00BB7A31">
        <w:rPr>
          <w:rFonts w:hint="cs"/>
          <w:rtl/>
          <w:lang w:bidi="fa-IR"/>
        </w:rPr>
        <w:t>=</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7830 / 3. عِدَّةٌ مِنْ أَصْحَابِنَا ، عَنْ أَحْمَدَ بْنِ مُحَمَّدٍ ، عَنِ الْحُسَيْنِ بْنِ سَعِيدٍ ، عَنِ النَّضْرِ بْنِ سُوَيْدٍ ، عَنْ عَاصِمِ بْنِ حُمَيْدٍ ، عَنْ عَنْبَسَةَ بْنِ مُصْعَبٍ ، قَالَ :</w:t>
      </w:r>
    </w:p>
    <w:p w:rsidR="00144FA6" w:rsidRDefault="00744A1C" w:rsidP="00744A1C">
      <w:pPr>
        <w:pStyle w:val="libNormal"/>
        <w:rPr>
          <w:rtl/>
          <w:lang w:bidi="fa-IR"/>
        </w:rPr>
      </w:pPr>
      <w:r>
        <w:rPr>
          <w:rtl/>
          <w:lang w:bidi="fa-IR"/>
        </w:rPr>
        <w:t xml:space="preserve">رَأَيْتُ أَبَا عَبْدِ اللهِ </w:t>
      </w:r>
      <w:r w:rsidR="0061079A" w:rsidRPr="0061079A">
        <w:rPr>
          <w:rStyle w:val="libAlaemChar"/>
          <w:rtl/>
        </w:rPr>
        <w:t>عليه‌السلام</w:t>
      </w:r>
      <w:r w:rsidR="00D10E3C">
        <w:rPr>
          <w:rtl/>
          <w:lang w:bidi="fa-IR"/>
        </w:rPr>
        <w:t xml:space="preserve"> </w:t>
      </w:r>
      <w:r>
        <w:rPr>
          <w:rtl/>
          <w:lang w:bidi="fa-IR"/>
        </w:rPr>
        <w:t xml:space="preserve">بِمِنًى يَمْشِي وَيَرْكَبُ ، فَحَدَّثْتُ نَفْسِي أَنْ أَسْأَلَهُ حِينَ أَدْخُلُ عَلَيْهِ ، فَابْتَدَأَنِي </w:t>
      </w:r>
      <w:r w:rsidRPr="00D10E3C">
        <w:rPr>
          <w:rStyle w:val="libFootnotenumChar"/>
          <w:rtl/>
        </w:rPr>
        <w:t>(1)</w:t>
      </w:r>
      <w:r>
        <w:rPr>
          <w:rtl/>
          <w:lang w:bidi="fa-IR"/>
        </w:rPr>
        <w:t xml:space="preserve"> هُوَ بِالْحَدِيثِ ، فَقَالَ : « إِنَّ عَلِيَّ بْنَ الْحُسَيْنِ </w:t>
      </w:r>
      <w:r w:rsidR="008859AA" w:rsidRPr="008859AA">
        <w:rPr>
          <w:rStyle w:val="libAlaemChar"/>
          <w:rtl/>
        </w:rPr>
        <w:t>عليهما‌السلام</w:t>
      </w:r>
      <w:r>
        <w:rPr>
          <w:rtl/>
          <w:lang w:bidi="fa-IR"/>
        </w:rPr>
        <w:t xml:space="preserve">كَانَ يَخْرُجُ مِنْ مَنْزِلِهِ مَاشِياً إِذَا رَمَى الْجِمَارَ ، وَمَنْزِلِيَ الْيَوْمَ أَنْفَسُ </w:t>
      </w:r>
      <w:r w:rsidRPr="00D10E3C">
        <w:rPr>
          <w:rStyle w:val="libFootnotenumChar"/>
          <w:rtl/>
        </w:rPr>
        <w:t>(2)</w:t>
      </w:r>
      <w:r>
        <w:rPr>
          <w:rtl/>
          <w:lang w:bidi="fa-IR"/>
        </w:rPr>
        <w:t xml:space="preserve"> مِنْ مَنْزِلِهِ ، فَأَرْكَبُ حَتّى آتِيَ </w:t>
      </w:r>
      <w:r w:rsidRPr="00D10E3C">
        <w:rPr>
          <w:rStyle w:val="libFootnotenumChar"/>
          <w:rtl/>
        </w:rPr>
        <w:t>(3)</w:t>
      </w:r>
      <w:r>
        <w:rPr>
          <w:rtl/>
          <w:lang w:bidi="fa-IR"/>
        </w:rPr>
        <w:t xml:space="preserve"> مَنْزِلَهُ ، فَإِذَا انْتَهَيْتُ إِلى مَنْزِلِهِ مَشَيْتُ حَتّى أَرْمِيَ الْجَمْرَةَ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 xml:space="preserve">7831 / 4. أَحْمَدُ بْنُ مُحَمَّدٍ </w:t>
      </w:r>
      <w:r w:rsidRPr="00D10E3C">
        <w:rPr>
          <w:rStyle w:val="libFootnotenumChar"/>
          <w:rtl/>
        </w:rPr>
        <w:t>(6)</w:t>
      </w:r>
      <w:r>
        <w:rPr>
          <w:rtl/>
          <w:lang w:bidi="fa-IR"/>
        </w:rPr>
        <w:t xml:space="preserve"> ، عَنِ الْحَسَنِ بْنِ عَلِيٍّ الْوَشَّاءِ ، عَنْ مُثَنًّى ، عَنْ رَجُلٍ :</w:t>
      </w:r>
    </w:p>
    <w:p w:rsidR="00744A1C" w:rsidRDefault="00744A1C" w:rsidP="00D10E3C">
      <w:pPr>
        <w:pStyle w:val="libLine"/>
        <w:rPr>
          <w:lang w:bidi="fa-IR"/>
        </w:rPr>
      </w:pPr>
      <w:r>
        <w:rPr>
          <w:rtl/>
          <w:lang w:bidi="fa-IR"/>
        </w:rPr>
        <w:t>____________________</w:t>
      </w:r>
    </w:p>
    <w:p w:rsidR="00744A1C" w:rsidRDefault="00AE5F06" w:rsidP="00136E25">
      <w:pPr>
        <w:pStyle w:val="libFootnote0"/>
        <w:rPr>
          <w:lang w:bidi="fa-IR"/>
        </w:rPr>
      </w:pPr>
      <w:r>
        <w:rPr>
          <w:rFonts w:hint="cs"/>
          <w:rtl/>
          <w:lang w:bidi="fa-IR"/>
        </w:rPr>
        <w:t xml:space="preserve">= </w:t>
      </w:r>
      <w:r w:rsidR="00744A1C">
        <w:rPr>
          <w:rtl/>
          <w:lang w:bidi="fa-IR"/>
        </w:rPr>
        <w:t xml:space="preserve">إسحاق بن عمّار ، عن أبي الحسن موسى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C24F9C">
        <w:rPr>
          <w:rStyle w:val="libFootnoteBoldChar"/>
          <w:rtl/>
        </w:rPr>
        <w:t>التهذيب</w:t>
      </w:r>
      <w:r w:rsidR="00744A1C">
        <w:rPr>
          <w:rtl/>
          <w:lang w:bidi="fa-IR"/>
        </w:rPr>
        <w:t xml:space="preserve"> ، ج 5 ، ص 268 ، ح 919 ، بسنده عن إسحاق بن عمّار ، عن أبي الحسن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مع زيادة في آخره. </w:t>
      </w:r>
      <w:r w:rsidR="00744A1C" w:rsidRPr="00C24F9C">
        <w:rPr>
          <w:rStyle w:val="libFootnoteBoldChar"/>
          <w:rtl/>
        </w:rPr>
        <w:t>التهذيب</w:t>
      </w:r>
      <w:r w:rsidR="00744A1C">
        <w:rPr>
          <w:rtl/>
          <w:lang w:bidi="fa-IR"/>
        </w:rPr>
        <w:t xml:space="preserve"> ، ج 5 ، ص 268 ، ح 917 ، بسند آخر عن أبي الحسن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476 ، ذيل ح 3004 ، بسند آخر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877682">
        <w:rPr>
          <w:rStyle w:val="libFootnoteBoldChar"/>
          <w:rtl/>
        </w:rPr>
        <w:t>قرب الإسناد</w:t>
      </w:r>
      <w:r w:rsidR="00744A1C">
        <w:rPr>
          <w:rtl/>
          <w:lang w:bidi="fa-IR"/>
        </w:rPr>
        <w:t xml:space="preserve"> ، ص 153 ، ح 561 ، بسند آخر عن جعفر بن محمّد ، عن آبائه ، عن عليّ </w:t>
      </w:r>
      <w:r w:rsidR="00877682" w:rsidRPr="00877682">
        <w:rPr>
          <w:rStyle w:val="libFootnoteAlaemChar"/>
          <w:rFonts w:eastAsiaTheme="minorHAnsi"/>
          <w:rtl/>
        </w:rPr>
        <w:t>عليهم‌السلام</w:t>
      </w:r>
      <w:r w:rsidR="00136E25" w:rsidRPr="00136E25">
        <w:rPr>
          <w:rFonts w:eastAsiaTheme="minorHAnsi"/>
          <w:rtl/>
        </w:rPr>
        <w:t xml:space="preserve"> </w:t>
      </w:r>
      <w:r w:rsidR="00744A1C">
        <w:rPr>
          <w:rtl/>
          <w:lang w:bidi="fa-IR"/>
        </w:rPr>
        <w:t xml:space="preserve">، مع زيادة في آخره. </w:t>
      </w:r>
      <w:r w:rsidR="00744A1C" w:rsidRPr="00877682">
        <w:rPr>
          <w:rStyle w:val="libFootnoteBoldChar"/>
          <w:rtl/>
        </w:rPr>
        <w:t>الجعفريّات</w:t>
      </w:r>
      <w:r w:rsidR="00744A1C">
        <w:rPr>
          <w:rtl/>
          <w:lang w:bidi="fa-IR"/>
        </w:rPr>
        <w:t xml:space="preserve"> ، ص 71 ، بسند آخر عن جعفر بن محمّد ، عن آبائه </w:t>
      </w:r>
      <w:r w:rsidR="00877682" w:rsidRPr="00877682">
        <w:rPr>
          <w:rStyle w:val="libFootnoteAlaemChar"/>
          <w:rFonts w:eastAsiaTheme="minorHAnsi"/>
          <w:rtl/>
        </w:rPr>
        <w:t>عليهم‌السلام</w:t>
      </w:r>
      <w:r w:rsidR="00136E25" w:rsidRPr="00136E25">
        <w:rPr>
          <w:rFonts w:eastAsiaTheme="minorHAnsi"/>
          <w:rtl/>
        </w:rPr>
        <w:t xml:space="preserve"> </w:t>
      </w:r>
      <w:r w:rsidR="00744A1C">
        <w:rPr>
          <w:rtl/>
          <w:lang w:bidi="fa-IR"/>
        </w:rPr>
        <w:t xml:space="preserve">عن رسول الله </w:t>
      </w:r>
      <w:r w:rsidR="005E465D" w:rsidRPr="005E465D">
        <w:rPr>
          <w:rStyle w:val="libAlaemChar"/>
          <w:rFonts w:eastAsiaTheme="minorHAnsi"/>
          <w:rtl/>
        </w:rPr>
        <w:t>صلى‌الله‌عليه‌وآله</w:t>
      </w:r>
      <w:r w:rsidR="004D3C4D" w:rsidRPr="004D3C4D">
        <w:rPr>
          <w:rFonts w:eastAsiaTheme="minorHAnsi"/>
          <w:rtl/>
        </w:rPr>
        <w:t xml:space="preserve"> </w:t>
      </w:r>
      <w:r w:rsidR="00744A1C">
        <w:rPr>
          <w:rtl/>
          <w:lang w:bidi="fa-IR"/>
        </w:rPr>
        <w:t xml:space="preserve">، وفي الأخيرين إلى قوله : « قال : نعم » وفي الثلاثة الأخيرة مع اختلاف يسير </w:t>
      </w:r>
      <w:r w:rsidR="004D3C4D">
        <w:rPr>
          <w:rFonts w:hint="cs"/>
          <w:rtl/>
          <w:lang w:bidi="fa-IR"/>
        </w:rPr>
        <w:t>.</w:t>
      </w:r>
      <w:r w:rsidR="00744A1C" w:rsidRPr="00C24F9C">
        <w:rPr>
          <w:rStyle w:val="libFootnoteBoldChar"/>
          <w:rtl/>
        </w:rPr>
        <w:t>الوافي</w:t>
      </w:r>
      <w:r w:rsidR="00744A1C">
        <w:rPr>
          <w:rtl/>
          <w:lang w:bidi="fa-IR"/>
        </w:rPr>
        <w:t xml:space="preserve"> ، ج 13 ، ص 1100 ، ح 13841 ؛ </w:t>
      </w:r>
      <w:r w:rsidR="00744A1C" w:rsidRPr="00C24F9C">
        <w:rPr>
          <w:rStyle w:val="libFootnoteBoldChar"/>
          <w:rtl/>
        </w:rPr>
        <w:t>الوسائل</w:t>
      </w:r>
      <w:r w:rsidR="00744A1C">
        <w:rPr>
          <w:rtl/>
          <w:lang w:bidi="fa-IR"/>
        </w:rPr>
        <w:t xml:space="preserve"> ، ج 14 ، ص 75 ، ح 18630.</w:t>
      </w:r>
    </w:p>
    <w:p w:rsidR="00744A1C" w:rsidRDefault="00D10E3C" w:rsidP="00D10E3C">
      <w:pPr>
        <w:pStyle w:val="libFootnote0"/>
        <w:rPr>
          <w:lang w:bidi="fa-IR"/>
        </w:rPr>
      </w:pPr>
      <w:r>
        <w:rPr>
          <w:rtl/>
          <w:lang w:bidi="fa-IR"/>
        </w:rPr>
        <w:t>(1).</w:t>
      </w:r>
      <w:r w:rsidR="00744A1C">
        <w:rPr>
          <w:rtl/>
          <w:lang w:bidi="fa-IR"/>
        </w:rPr>
        <w:t xml:space="preserve"> في « ى » : « فابتدأ إليّ ».</w:t>
      </w:r>
    </w:p>
    <w:p w:rsidR="00744A1C" w:rsidRDefault="00E378DD" w:rsidP="00E378DD">
      <w:pPr>
        <w:pStyle w:val="libFootnote0"/>
        <w:rPr>
          <w:lang w:bidi="fa-IR"/>
        </w:rPr>
      </w:pPr>
      <w:r>
        <w:rPr>
          <w:rtl/>
          <w:lang w:bidi="fa-IR"/>
        </w:rPr>
        <w:t>(2).</w:t>
      </w:r>
      <w:r w:rsidR="00744A1C">
        <w:rPr>
          <w:rtl/>
          <w:lang w:bidi="fa-IR"/>
        </w:rPr>
        <w:t xml:space="preserve"> في الاستبصار : « أبعد ». وفي </w:t>
      </w:r>
      <w:r w:rsidR="00744A1C" w:rsidRPr="00C24F9C">
        <w:rPr>
          <w:rStyle w:val="libFootnoteBoldChar"/>
          <w:rtl/>
        </w:rPr>
        <w:t>الوافي</w:t>
      </w:r>
      <w:r w:rsidR="00744A1C">
        <w:rPr>
          <w:rtl/>
          <w:lang w:bidi="fa-IR"/>
        </w:rPr>
        <w:t xml:space="preserve"> : « أنفس ، كأنّه من النفْس ، بالتسكين بمعنى الغيب ، أو من النفَس ، بالتحريك بمعنى الفسحة ، وعلى التقديرين كناية عن أبعديّته ، قال في </w:t>
      </w:r>
      <w:r w:rsidR="00744A1C" w:rsidRPr="00877682">
        <w:rPr>
          <w:rStyle w:val="libFootnoteBoldChar"/>
          <w:rtl/>
        </w:rPr>
        <w:t>النهاية</w:t>
      </w:r>
      <w:r w:rsidR="00744A1C">
        <w:rPr>
          <w:rtl/>
          <w:lang w:bidi="fa-IR"/>
        </w:rPr>
        <w:t xml:space="preserve"> [ ج 5 ، ص 94 ( نفس ) ] : في الحديث : من نفّس عن مؤمن كربة ، أي فرّج ، ومنه الحديث : ثمّ يمشي أنفس منه ، أي أفسح وأبعد قليلاً ، والحديث الآخر : من نفّس عن غريمه ، أي أخّر مطالبته ، ومنه حديث عمّار : لقد أبلغت وأوجزت ، فلو كنت تنفّست ، أي أطلت ، وأصله أنّ المتكلّم إذا تنفّس استأنف القول وسهلت عليه الإطالة ».</w:t>
      </w:r>
    </w:p>
    <w:p w:rsidR="00744A1C" w:rsidRDefault="00E378DD" w:rsidP="00E378DD">
      <w:pPr>
        <w:pStyle w:val="libFootnote0"/>
        <w:rPr>
          <w:lang w:bidi="fa-IR"/>
        </w:rPr>
      </w:pPr>
      <w:r>
        <w:rPr>
          <w:rtl/>
          <w:lang w:bidi="fa-IR"/>
        </w:rPr>
        <w:t>(3).</w:t>
      </w:r>
      <w:r w:rsidR="00744A1C">
        <w:rPr>
          <w:rtl/>
          <w:lang w:bidi="fa-IR"/>
        </w:rPr>
        <w:t xml:space="preserve"> في « بف » و</w:t>
      </w:r>
      <w:r w:rsidR="00744A1C" w:rsidRPr="00C24F9C">
        <w:rPr>
          <w:rStyle w:val="libFootnoteBoldChar"/>
          <w:rtl/>
        </w:rPr>
        <w:t>الوافي</w:t>
      </w:r>
      <w:r w:rsidR="00744A1C">
        <w:rPr>
          <w:rtl/>
          <w:lang w:bidi="fa-IR"/>
        </w:rPr>
        <w:t xml:space="preserve"> : « انتهى إلى » بدل « آتي ».</w:t>
      </w:r>
    </w:p>
    <w:p w:rsidR="00744A1C" w:rsidRDefault="00E378DD" w:rsidP="00AF3302">
      <w:pPr>
        <w:pStyle w:val="libFootnote0"/>
        <w:rPr>
          <w:lang w:bidi="fa-IR"/>
        </w:rPr>
      </w:pPr>
      <w:r>
        <w:rPr>
          <w:rtl/>
          <w:lang w:bidi="fa-IR"/>
        </w:rPr>
        <w:t>(4).</w:t>
      </w:r>
      <w:r w:rsidR="00744A1C">
        <w:rPr>
          <w:rtl/>
          <w:lang w:bidi="fa-IR"/>
        </w:rPr>
        <w:t xml:space="preserve"> في « بح ، بخ ، بف » وحاشية « بث » </w:t>
      </w:r>
      <w:r w:rsidR="00744A1C" w:rsidRPr="00596830">
        <w:rPr>
          <w:rtl/>
        </w:rPr>
        <w:t>والوافي والتهذيب والاستبصار</w:t>
      </w:r>
      <w:r w:rsidR="00744A1C">
        <w:rPr>
          <w:rtl/>
          <w:lang w:bidi="fa-IR"/>
        </w:rPr>
        <w:t xml:space="preserve"> : « الجمار ». وفي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431 ، الدرس 110 : « استحباب المشي في الرمي يوم النحر وباقي الأيّام على الأظهر ، وفي المبسوط : الركوب في جمرة العقبة يومها أفضل تأسّياً بالنبيّ </w:t>
      </w:r>
      <w:r w:rsidR="005E465D" w:rsidRPr="005E465D">
        <w:rPr>
          <w:rStyle w:val="libAlaemChar"/>
          <w:rFonts w:eastAsiaTheme="minorHAnsi"/>
          <w:rtl/>
        </w:rPr>
        <w:t>صلى‌الله‌عليه‌وآله</w:t>
      </w:r>
      <w:r w:rsidR="00AF3302" w:rsidRPr="004D3C4D">
        <w:rPr>
          <w:rFonts w:eastAsiaTheme="minorHAnsi"/>
          <w:rtl/>
        </w:rPr>
        <w:t xml:space="preserve"> </w:t>
      </w:r>
      <w:r w:rsidR="00744A1C">
        <w:rPr>
          <w:rtl/>
          <w:lang w:bidi="fa-IR"/>
        </w:rPr>
        <w:t xml:space="preserve">، ورئي الصادق </w:t>
      </w:r>
      <w:r w:rsidR="0061079A" w:rsidRPr="0061079A">
        <w:rPr>
          <w:rStyle w:val="libFootnoteAlaemChar"/>
          <w:rtl/>
        </w:rPr>
        <w:t>عليه‌السلام</w:t>
      </w:r>
      <w:r w:rsidR="00D10E3C">
        <w:rPr>
          <w:rtl/>
          <w:lang w:bidi="fa-IR"/>
        </w:rPr>
        <w:t xml:space="preserve"> </w:t>
      </w:r>
      <w:r w:rsidR="00744A1C">
        <w:rPr>
          <w:rtl/>
          <w:lang w:bidi="fa-IR"/>
        </w:rPr>
        <w:t>يركب ، ثمّ يمشي ، فقيل له في ذلك ، فقال : أركب إلى منزل عليّ بن الحسين ، ثمّ أمشي كما كان يمشي إلى الجمرة ». وراجع : المبسوط ، ج 1 ، ص 369.</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267 ، ح 913 ؛ </w:t>
      </w:r>
      <w:r w:rsidR="00744A1C" w:rsidRPr="00C24F9C">
        <w:rPr>
          <w:rStyle w:val="libFootnoteBoldChar"/>
          <w:rtl/>
        </w:rPr>
        <w:t>والاستبصار</w:t>
      </w:r>
      <w:r w:rsidR="00744A1C">
        <w:rPr>
          <w:rtl/>
          <w:lang w:bidi="fa-IR"/>
        </w:rPr>
        <w:t xml:space="preserve"> ، ج 2 ، ص 298 ، ح 1067 ، معلّقاً عن الحسين بن سعيد </w:t>
      </w:r>
      <w:r w:rsidR="00AF3302">
        <w:rPr>
          <w:rFonts w:hint="cs"/>
          <w:rtl/>
          <w:lang w:bidi="fa-IR"/>
        </w:rPr>
        <w:t>.</w:t>
      </w:r>
      <w:r w:rsidR="00744A1C" w:rsidRPr="00C24F9C">
        <w:rPr>
          <w:rStyle w:val="libFootnoteBoldChar"/>
          <w:rtl/>
        </w:rPr>
        <w:t>الوافي</w:t>
      </w:r>
      <w:r w:rsidR="00744A1C">
        <w:rPr>
          <w:rtl/>
          <w:lang w:bidi="fa-IR"/>
        </w:rPr>
        <w:t xml:space="preserve"> ، ج 13 ، ص 1095 ، ح 13832 ؛ </w:t>
      </w:r>
      <w:r w:rsidR="00744A1C" w:rsidRPr="00C24F9C">
        <w:rPr>
          <w:rStyle w:val="libFootnoteBoldChar"/>
          <w:rtl/>
        </w:rPr>
        <w:t>الوسائل</w:t>
      </w:r>
      <w:r w:rsidR="00744A1C">
        <w:rPr>
          <w:rtl/>
          <w:lang w:bidi="fa-IR"/>
        </w:rPr>
        <w:t xml:space="preserve"> ، ج 14 ، ص 63 ، ذيل ح 18592.</w:t>
      </w:r>
    </w:p>
    <w:p w:rsidR="00744A1C" w:rsidRDefault="00E378DD" w:rsidP="00E378DD">
      <w:pPr>
        <w:pStyle w:val="libFootnote0"/>
        <w:rPr>
          <w:lang w:bidi="fa-IR"/>
        </w:rPr>
      </w:pPr>
      <w:r>
        <w:rPr>
          <w:rtl/>
          <w:lang w:bidi="fa-IR"/>
        </w:rPr>
        <w:t>(6).</w:t>
      </w:r>
      <w:r w:rsidR="00744A1C">
        <w:rPr>
          <w:rtl/>
          <w:lang w:bidi="fa-IR"/>
        </w:rPr>
        <w:t xml:space="preserve"> السند معلّق على سابقه. ويروي عن أحمد بن محمّد ، عدّة من أصحابنا.</w:t>
      </w:r>
    </w:p>
    <w:p w:rsidR="000F7CEC" w:rsidRDefault="000F7CEC" w:rsidP="00D10E3C">
      <w:pPr>
        <w:pStyle w:val="libNormal"/>
        <w:rPr>
          <w:rtl/>
          <w:lang w:bidi="fa-IR"/>
        </w:rPr>
      </w:pPr>
      <w:r>
        <w:rPr>
          <w:rtl/>
          <w:lang w:bidi="fa-IR"/>
        </w:rPr>
        <w:br w:type="page"/>
      </w:r>
    </w:p>
    <w:p w:rsidR="00744A1C" w:rsidRDefault="00744A1C" w:rsidP="00136E25">
      <w:pPr>
        <w:pStyle w:val="libNormal"/>
        <w:rPr>
          <w:lang w:bidi="fa-IR"/>
        </w:rPr>
      </w:pPr>
      <w:r>
        <w:rPr>
          <w:rtl/>
          <w:lang w:bidi="fa-IR"/>
        </w:rPr>
        <w:lastRenderedPageBreak/>
        <w:t xml:space="preserve">عَنْ أَبِي عَبْدِ اللهِ ، عَنْ أَبِيهِ </w:t>
      </w:r>
      <w:r w:rsidR="008859AA" w:rsidRPr="008859AA">
        <w:rPr>
          <w:rStyle w:val="libAlaemChar"/>
          <w:rtl/>
        </w:rPr>
        <w:t>عليهما‌السلام</w:t>
      </w:r>
      <w:r>
        <w:rPr>
          <w:rtl/>
          <w:lang w:bidi="fa-IR"/>
        </w:rPr>
        <w:t xml:space="preserve">: « أَنَّ رَسُولَ اللهِ </w:t>
      </w:r>
      <w:r w:rsidR="005E465D" w:rsidRPr="005E465D">
        <w:rPr>
          <w:rStyle w:val="libAlaemChar"/>
          <w:rFonts w:eastAsiaTheme="minorHAnsi"/>
          <w:rtl/>
        </w:rPr>
        <w:t>صلى‌الله‌عليه‌وآله</w:t>
      </w:r>
      <w:r w:rsidR="00136E25" w:rsidRPr="004D3C4D">
        <w:rPr>
          <w:rFonts w:eastAsiaTheme="minorHAnsi"/>
          <w:rtl/>
        </w:rPr>
        <w:t xml:space="preserve"> </w:t>
      </w:r>
      <w:r>
        <w:rPr>
          <w:rtl/>
          <w:lang w:bidi="fa-IR"/>
        </w:rPr>
        <w:t xml:space="preserve">كَانَ يَرْمِي الْجِمَارَ مَاشِياً </w:t>
      </w:r>
      <w:r w:rsidRPr="00D10E3C">
        <w:rPr>
          <w:rStyle w:val="libFootnotenumChar"/>
          <w:rtl/>
        </w:rPr>
        <w:t>(1)</w:t>
      </w:r>
      <w:r>
        <w:rPr>
          <w:rtl/>
          <w:lang w:bidi="fa-IR"/>
        </w:rPr>
        <w:t xml:space="preserve"> ». </w:t>
      </w:r>
      <w:r w:rsidRPr="00D10E3C">
        <w:rPr>
          <w:rStyle w:val="libFootnotenumChar"/>
          <w:rtl/>
        </w:rPr>
        <w:t>(2)</w:t>
      </w:r>
      <w:r>
        <w:rPr>
          <w:rtl/>
          <w:lang w:bidi="fa-IR"/>
        </w:rPr>
        <w:t>‌</w:t>
      </w:r>
    </w:p>
    <w:p w:rsidR="00144FA6" w:rsidRDefault="00744A1C" w:rsidP="00744A1C">
      <w:pPr>
        <w:pStyle w:val="libNormal"/>
        <w:rPr>
          <w:rtl/>
          <w:lang w:bidi="fa-IR"/>
        </w:rPr>
      </w:pPr>
      <w:r>
        <w:rPr>
          <w:rtl/>
          <w:lang w:bidi="fa-IR"/>
        </w:rPr>
        <w:t xml:space="preserve">7832 / 5. أَحْمَدُ بْنُ مُحَمَّدٍ </w:t>
      </w:r>
      <w:r w:rsidRPr="00D10E3C">
        <w:rPr>
          <w:rStyle w:val="libFootnotenumChar"/>
          <w:rtl/>
        </w:rPr>
        <w:t>(3)</w:t>
      </w:r>
      <w:r>
        <w:rPr>
          <w:rtl/>
          <w:lang w:bidi="fa-IR"/>
        </w:rPr>
        <w:t xml:space="preserve"> ، عَنْ عَلِيِّ بْنِ مَهْزِيَارَ ، قَالَ :</w:t>
      </w:r>
    </w:p>
    <w:p w:rsidR="00744A1C" w:rsidRDefault="00744A1C" w:rsidP="00744A1C">
      <w:pPr>
        <w:pStyle w:val="libNormal"/>
        <w:rPr>
          <w:lang w:bidi="fa-IR"/>
        </w:rPr>
      </w:pPr>
      <w:r>
        <w:rPr>
          <w:rtl/>
          <w:lang w:bidi="fa-IR"/>
        </w:rPr>
        <w:t xml:space="preserve">رَأَيْتُ أَبَا جَعْفَرٍ </w:t>
      </w:r>
      <w:r w:rsidR="0061079A" w:rsidRPr="0061079A">
        <w:rPr>
          <w:rStyle w:val="libAlaemChar"/>
          <w:rtl/>
        </w:rPr>
        <w:t>عليه‌السلام</w:t>
      </w:r>
      <w:r w:rsidR="00D10E3C">
        <w:rPr>
          <w:rtl/>
          <w:lang w:bidi="fa-IR"/>
        </w:rPr>
        <w:t xml:space="preserve"> </w:t>
      </w:r>
      <w:r>
        <w:rPr>
          <w:rtl/>
          <w:lang w:bidi="fa-IR"/>
        </w:rPr>
        <w:t>يَمْشِي بَعْدَ يَوْمِ النَّحْرِ حَتّى يَرْمِيَ الْجَمْرَةَ ، ثُمَّ يَنْصَرِفُ رَاكِباً ، وَكُنْتُ أَرَاهُ مَاشِياً بَعْدَ مَا يُحَاذِي الْمَسْجِدَ بِمِنًى.</w:t>
      </w:r>
    </w:p>
    <w:p w:rsidR="00144FA6" w:rsidRDefault="00744A1C" w:rsidP="00744A1C">
      <w:pPr>
        <w:pStyle w:val="libNormal"/>
        <w:rPr>
          <w:rtl/>
          <w:lang w:bidi="fa-IR"/>
        </w:rPr>
      </w:pPr>
      <w:r>
        <w:rPr>
          <w:rtl/>
          <w:lang w:bidi="fa-IR"/>
        </w:rPr>
        <w:t xml:space="preserve">7833 / 6. قَالَ </w:t>
      </w:r>
      <w:r w:rsidRPr="00D10E3C">
        <w:rPr>
          <w:rStyle w:val="libFootnotenumChar"/>
          <w:rtl/>
        </w:rPr>
        <w:t>(4)</w:t>
      </w:r>
      <w:r>
        <w:rPr>
          <w:rtl/>
          <w:lang w:bidi="fa-IR"/>
        </w:rPr>
        <w:t xml:space="preserve"> : وَحَدَّثَنِي عَلِيُّ بْنُ مُحَمَّدِ بْنِ سُلَيْمَانَ النَّوْفَلِيُّ ، عَنِ الْحَسَنِ </w:t>
      </w:r>
      <w:r w:rsidRPr="00D10E3C">
        <w:rPr>
          <w:rStyle w:val="libFootnotenumChar"/>
          <w:rtl/>
        </w:rPr>
        <w:t>(5)</w:t>
      </w:r>
      <w:r>
        <w:rPr>
          <w:rtl/>
          <w:lang w:bidi="fa-IR"/>
        </w:rPr>
        <w:t xml:space="preserve"> بْنِ صَالِحٍ ، عَنْ بَعْضِ أَصْحَابِهِ </w:t>
      </w:r>
      <w:r w:rsidRPr="00D10E3C">
        <w:rPr>
          <w:rStyle w:val="libFootnotenumChar"/>
          <w:rtl/>
        </w:rPr>
        <w:t>(6)</w:t>
      </w:r>
      <w:r>
        <w:rPr>
          <w:rtl/>
          <w:lang w:bidi="fa-IR"/>
        </w:rPr>
        <w:t xml:space="preserve"> ، قَالَ :</w:t>
      </w:r>
    </w:p>
    <w:p w:rsidR="00744A1C" w:rsidRDefault="00744A1C" w:rsidP="00744A1C">
      <w:pPr>
        <w:pStyle w:val="libNormal"/>
        <w:rPr>
          <w:lang w:bidi="fa-IR"/>
        </w:rPr>
      </w:pPr>
      <w:r>
        <w:rPr>
          <w:rtl/>
          <w:lang w:bidi="fa-IR"/>
        </w:rPr>
        <w:t xml:space="preserve">نَزَلَ أَبُو جَعْفَرٍ </w:t>
      </w:r>
      <w:r w:rsidR="0061079A" w:rsidRPr="0061079A">
        <w:rPr>
          <w:rStyle w:val="libAlaemChar"/>
          <w:rtl/>
        </w:rPr>
        <w:t>عليه‌السلام</w:t>
      </w:r>
      <w:r w:rsidR="00D10E3C">
        <w:rPr>
          <w:rtl/>
          <w:lang w:bidi="fa-IR"/>
        </w:rPr>
        <w:t xml:space="preserve"> </w:t>
      </w:r>
      <w:r>
        <w:rPr>
          <w:rtl/>
          <w:lang w:bidi="fa-IR"/>
        </w:rPr>
        <w:t xml:space="preserve">فَوْقَ الْمَسْجِدِ بِمِنًى قَلِيلاً عَنْ دَابَّتِهِ حَتّى </w:t>
      </w:r>
      <w:r w:rsidRPr="00D10E3C">
        <w:rPr>
          <w:rStyle w:val="libFootnotenumChar"/>
          <w:rtl/>
        </w:rPr>
        <w:t>(7)</w:t>
      </w:r>
      <w:r>
        <w:rPr>
          <w:rtl/>
          <w:lang w:bidi="fa-IR"/>
        </w:rPr>
        <w:t xml:space="preserve"> تَوَجَّهَ لِيَرْمِيَ </w:t>
      </w:r>
      <w:r w:rsidRPr="00D10E3C">
        <w:rPr>
          <w:rStyle w:val="libFootnotenumChar"/>
          <w:rtl/>
        </w:rPr>
        <w:t>(8)</w:t>
      </w:r>
      <w:r>
        <w:rPr>
          <w:rtl/>
          <w:lang w:bidi="fa-IR"/>
        </w:rPr>
        <w:t xml:space="preserve"> الْجَمْرَةَ </w:t>
      </w:r>
      <w:r w:rsidRPr="00D10E3C">
        <w:rPr>
          <w:rStyle w:val="libFootnotenumChar"/>
          <w:rtl/>
        </w:rPr>
        <w:t>(9)</w:t>
      </w:r>
      <w:r>
        <w:rPr>
          <w:rtl/>
          <w:lang w:bidi="fa-IR"/>
        </w:rPr>
        <w:t xml:space="preserve"> عِنْدَ مَضْرِبِ عَلِيِّ بْنِ الْحُسَيْنِ </w:t>
      </w:r>
      <w:r w:rsidR="008859AA" w:rsidRPr="008859AA">
        <w:rPr>
          <w:rStyle w:val="libAlaemChar"/>
          <w:rtl/>
        </w:rPr>
        <w:t>عليهما‌السلام</w:t>
      </w:r>
      <w:r>
        <w:rPr>
          <w:rtl/>
          <w:lang w:bidi="fa-IR"/>
        </w:rPr>
        <w:t>، فَقُلْتُ لَهُ : جُعِلْتُ فِدَاكَ ، لِمَ نَزَلْتَ هَاهُنَا؟</w:t>
      </w:r>
    </w:p>
    <w:p w:rsidR="00144FA6" w:rsidRDefault="00744A1C" w:rsidP="00744A1C">
      <w:pPr>
        <w:pStyle w:val="libNormal"/>
        <w:rPr>
          <w:rtl/>
          <w:lang w:bidi="fa-IR"/>
        </w:rPr>
      </w:pPr>
      <w:r>
        <w:rPr>
          <w:rtl/>
          <w:lang w:bidi="fa-IR"/>
        </w:rPr>
        <w:t xml:space="preserve">فَقَالَ : « إِنَّ هَذَا </w:t>
      </w:r>
      <w:r w:rsidRPr="00D10E3C">
        <w:rPr>
          <w:rStyle w:val="libFootnotenumChar"/>
          <w:rtl/>
        </w:rPr>
        <w:t>(10)</w:t>
      </w:r>
      <w:r>
        <w:rPr>
          <w:rtl/>
          <w:lang w:bidi="fa-IR"/>
        </w:rPr>
        <w:t xml:space="preserve"> مَضْرِبُ عَلِيِّ بْنِ الْحُسَيْنِ </w:t>
      </w:r>
      <w:r w:rsidR="008859AA" w:rsidRPr="008859AA">
        <w:rPr>
          <w:rStyle w:val="libAlaemChar"/>
          <w:rtl/>
        </w:rPr>
        <w:t>عليهما‌السلام</w:t>
      </w:r>
      <w:r>
        <w:rPr>
          <w:rtl/>
          <w:lang w:bidi="fa-IR"/>
        </w:rPr>
        <w:t>، وَمَضْرِبُ بَنِي هَاشِمٍ ، وَأَنَا أُحِبُّ أَنْ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الجعفريّات</w:t>
      </w:r>
      <w:r w:rsidR="00744A1C">
        <w:rPr>
          <w:rtl/>
          <w:lang w:bidi="fa-IR"/>
        </w:rPr>
        <w:t xml:space="preserve"> : + « وذاهباً وراجعاً ».</w:t>
      </w:r>
    </w:p>
    <w:p w:rsidR="00744A1C" w:rsidRDefault="00E378DD" w:rsidP="0006379C">
      <w:pPr>
        <w:pStyle w:val="libFootnote0"/>
        <w:rPr>
          <w:lang w:bidi="fa-IR"/>
        </w:rPr>
      </w:pPr>
      <w:r>
        <w:rPr>
          <w:rtl/>
          <w:lang w:bidi="fa-IR"/>
        </w:rPr>
        <w:t>(2).</w:t>
      </w:r>
      <w:r w:rsidR="00744A1C">
        <w:rPr>
          <w:rtl/>
          <w:lang w:bidi="fa-IR"/>
        </w:rPr>
        <w:t xml:space="preserve"> </w:t>
      </w:r>
      <w:r w:rsidR="00744A1C" w:rsidRPr="00877682">
        <w:rPr>
          <w:rStyle w:val="libFootnoteBoldChar"/>
          <w:rtl/>
        </w:rPr>
        <w:t>الجعفريّات</w:t>
      </w:r>
      <w:r w:rsidR="00744A1C">
        <w:rPr>
          <w:rtl/>
          <w:lang w:bidi="fa-IR"/>
        </w:rPr>
        <w:t xml:space="preserve"> ، ص 64 ، بسند آخر عن جعفر بن محمّد ، عن أبيه ، عن عليّ </w:t>
      </w:r>
      <w:r w:rsidR="00877682" w:rsidRPr="00877682">
        <w:rPr>
          <w:rStyle w:val="libFootnoteAlaemChar"/>
          <w:rFonts w:eastAsiaTheme="minorHAnsi"/>
          <w:rtl/>
        </w:rPr>
        <w:t>عليهم‌السلام</w:t>
      </w:r>
      <w:r w:rsidR="00744A1C">
        <w:rPr>
          <w:rtl/>
          <w:lang w:bidi="fa-IR"/>
        </w:rPr>
        <w:t xml:space="preserve">. وفي </w:t>
      </w:r>
      <w:r w:rsidR="00744A1C" w:rsidRPr="00C24F9C">
        <w:rPr>
          <w:rStyle w:val="libFootnoteBoldChar"/>
          <w:rtl/>
        </w:rPr>
        <w:t>التهذيب</w:t>
      </w:r>
      <w:r w:rsidR="00744A1C">
        <w:rPr>
          <w:rtl/>
          <w:lang w:bidi="fa-IR"/>
        </w:rPr>
        <w:t xml:space="preserve"> ، ج 5 ، ص 267 ، ح 912 ؛ </w:t>
      </w:r>
      <w:r w:rsidR="00744A1C" w:rsidRPr="00C24F9C">
        <w:rPr>
          <w:rStyle w:val="libFootnoteBoldChar"/>
          <w:rtl/>
        </w:rPr>
        <w:t>والاستبصار</w:t>
      </w:r>
      <w:r w:rsidR="00744A1C">
        <w:rPr>
          <w:rtl/>
          <w:lang w:bidi="fa-IR"/>
        </w:rPr>
        <w:t xml:space="preserve"> ، ج 2 ، ص 298 ، ح 1066 ، بسند آخر عن موسى بن جعفر ، عن أبيه ، عن آبائه </w:t>
      </w:r>
      <w:r w:rsidR="00877682" w:rsidRPr="00877682">
        <w:rPr>
          <w:rStyle w:val="libFootnoteAlaemChar"/>
          <w:rFonts w:eastAsiaTheme="minorHAnsi"/>
          <w:rtl/>
        </w:rPr>
        <w:t>عليهم‌السلام</w:t>
      </w:r>
      <w:r w:rsidR="00AF3302">
        <w:rPr>
          <w:rFonts w:hint="cs"/>
          <w:rtl/>
          <w:lang w:bidi="fa-IR"/>
        </w:rPr>
        <w:t>.</w:t>
      </w:r>
      <w:r w:rsidR="00744A1C" w:rsidRPr="00C24F9C">
        <w:rPr>
          <w:rStyle w:val="libFootnoteBoldChar"/>
          <w:rtl/>
        </w:rPr>
        <w:t>الوافي</w:t>
      </w:r>
      <w:r w:rsidR="00744A1C">
        <w:rPr>
          <w:rtl/>
          <w:lang w:bidi="fa-IR"/>
        </w:rPr>
        <w:t xml:space="preserve"> ، ج 13 ، ص 1095 ، ح 13830 ؛ </w:t>
      </w:r>
      <w:r w:rsidR="00744A1C" w:rsidRPr="00C24F9C">
        <w:rPr>
          <w:rStyle w:val="libFootnoteBoldChar"/>
          <w:rtl/>
        </w:rPr>
        <w:t>الوسائل</w:t>
      </w:r>
      <w:r w:rsidR="00744A1C">
        <w:rPr>
          <w:rtl/>
          <w:lang w:bidi="fa-IR"/>
        </w:rPr>
        <w:t xml:space="preserve"> ، ج 14 ، ص 63 ، ح 18593.</w:t>
      </w:r>
    </w:p>
    <w:p w:rsidR="00744A1C" w:rsidRDefault="00E378DD" w:rsidP="00E378DD">
      <w:pPr>
        <w:pStyle w:val="libFootnote0"/>
        <w:rPr>
          <w:lang w:bidi="fa-IR"/>
        </w:rPr>
      </w:pPr>
      <w:r>
        <w:rPr>
          <w:rtl/>
          <w:lang w:bidi="fa-IR"/>
        </w:rPr>
        <w:t>(3).</w:t>
      </w:r>
      <w:r w:rsidR="00744A1C">
        <w:rPr>
          <w:rtl/>
          <w:lang w:bidi="fa-IR"/>
        </w:rPr>
        <w:t xml:space="preserve"> في « بخ ، جر » : - « بن محمّد ».</w:t>
      </w:r>
    </w:p>
    <w:p w:rsidR="00744A1C" w:rsidRDefault="00744A1C" w:rsidP="00D10E3C">
      <w:pPr>
        <w:pStyle w:val="libFootnote0"/>
        <w:rPr>
          <w:lang w:bidi="fa-IR"/>
        </w:rPr>
      </w:pPr>
      <w:r>
        <w:rPr>
          <w:rtl/>
          <w:lang w:bidi="fa-IR"/>
        </w:rPr>
        <w:t>ثمّ إنّ السند معلّق ، كسابقه.</w:t>
      </w:r>
    </w:p>
    <w:p w:rsidR="00744A1C" w:rsidRDefault="00E378DD" w:rsidP="00E81CEC">
      <w:pPr>
        <w:pStyle w:val="libFootnote0"/>
        <w:rPr>
          <w:lang w:bidi="fa-IR"/>
        </w:rPr>
      </w:pPr>
      <w:r>
        <w:rPr>
          <w:rtl/>
          <w:lang w:bidi="fa-IR"/>
        </w:rPr>
        <w:t>(4).</w:t>
      </w:r>
      <w:r w:rsidR="00744A1C">
        <w:rPr>
          <w:rtl/>
          <w:lang w:bidi="fa-IR"/>
        </w:rPr>
        <w:t xml:space="preserve"> ظاهر السياق رجوع الضمير المستترفي « قال » إلى أحمد بن محمّد ، وبه أخذ الشيخ الحرّ في </w:t>
      </w:r>
      <w:r w:rsidR="00744A1C" w:rsidRPr="00C24F9C">
        <w:rPr>
          <w:rStyle w:val="libFootnoteBoldChar"/>
          <w:rtl/>
        </w:rPr>
        <w:t>الوسائل</w:t>
      </w:r>
      <w:r w:rsidR="00744A1C">
        <w:rPr>
          <w:rtl/>
          <w:lang w:bidi="fa-IR"/>
        </w:rPr>
        <w:t xml:space="preserve"> ، ج 14 ، ص 64 ، ح 18595. ويؤيّده ما ورد في </w:t>
      </w:r>
      <w:r w:rsidR="00744A1C" w:rsidRPr="004D054E">
        <w:rPr>
          <w:rStyle w:val="libFootnoteBoldChar"/>
          <w:rtl/>
        </w:rPr>
        <w:t>رجال البرقي</w:t>
      </w:r>
      <w:r w:rsidR="00744A1C">
        <w:rPr>
          <w:rtl/>
          <w:lang w:bidi="fa-IR"/>
        </w:rPr>
        <w:t xml:space="preserve"> ، ص 60 ؛ و</w:t>
      </w:r>
      <w:r w:rsidR="00744A1C" w:rsidRPr="0061079A">
        <w:rPr>
          <w:rStyle w:val="libFootnoteBoldChar"/>
          <w:rtl/>
        </w:rPr>
        <w:t>رجال الطوسي</w:t>
      </w:r>
      <w:r w:rsidR="00744A1C">
        <w:rPr>
          <w:rtl/>
          <w:lang w:bidi="fa-IR"/>
        </w:rPr>
        <w:t xml:space="preserve"> ، ص 388 ، الرقم 5717 من عدّ عليّ بن محمّد النوفلي من أصحاب أبي الحسن الثالث ، كما يؤيّده أيضاً ما ورد في </w:t>
      </w:r>
      <w:r w:rsidR="00744A1C" w:rsidRPr="000B1C3F">
        <w:rPr>
          <w:rStyle w:val="libFootnoteBoldChar"/>
          <w:rtl/>
        </w:rPr>
        <w:t>الأمالي للطوسي</w:t>
      </w:r>
      <w:r w:rsidR="00744A1C">
        <w:rPr>
          <w:rtl/>
          <w:lang w:bidi="fa-IR"/>
        </w:rPr>
        <w:t xml:space="preserve"> ، ص 463 ، المجلس 16 ، ح 1031 من أنّه روى أحمد بن عبيد الله بن عمّار الثقفي سنة إحدى وعشرين وثلاث مائة ، قال : حدّثنا عليّ بن محمّد بن سليمان النوفلي سنة خمسين ومائتين ؛ فإنّ أحمد بن محمّد - وهو ابن عيسى بقرينة روايته عن الحسين بن سعيد في سند الحديث الثالث - كان حيّاً عندما مات أحمد بن محمّد بن خالد البرقي ، وهي سنة 274 ، أو سنة 280.</w:t>
      </w:r>
      <w:r w:rsidR="00E81CEC">
        <w:rPr>
          <w:rFonts w:hint="cs"/>
          <w:rtl/>
          <w:lang w:bidi="fa-IR"/>
        </w:rPr>
        <w:t xml:space="preserve">                                 </w:t>
      </w:r>
      <w:r w:rsidR="0006379C">
        <w:rPr>
          <w:rFonts w:hint="cs"/>
          <w:rtl/>
          <w:lang w:bidi="fa-IR"/>
        </w:rPr>
        <w:t xml:space="preserve">         </w:t>
      </w:r>
      <w:r w:rsidR="00E81CEC">
        <w:rPr>
          <w:rFonts w:hint="cs"/>
          <w:rtl/>
          <w:lang w:bidi="fa-IR"/>
        </w:rPr>
        <w:t xml:space="preserve">   </w:t>
      </w:r>
      <w:r>
        <w:rPr>
          <w:rtl/>
          <w:lang w:bidi="fa-IR"/>
        </w:rPr>
        <w:t>(5).</w:t>
      </w:r>
      <w:r w:rsidR="00744A1C">
        <w:rPr>
          <w:rtl/>
          <w:lang w:bidi="fa-IR"/>
        </w:rPr>
        <w:t xml:space="preserve"> في « بف ، جر » : « الحسين ».</w:t>
      </w:r>
    </w:p>
    <w:p w:rsidR="00744A1C" w:rsidRDefault="00E378DD" w:rsidP="00E378DD">
      <w:pPr>
        <w:pStyle w:val="libFootnote0"/>
        <w:rPr>
          <w:lang w:bidi="fa-IR"/>
        </w:rPr>
      </w:pPr>
      <w:r>
        <w:rPr>
          <w:rtl/>
          <w:lang w:bidi="fa-IR"/>
        </w:rPr>
        <w:t>(6).</w:t>
      </w:r>
      <w:r w:rsidR="00744A1C">
        <w:rPr>
          <w:rtl/>
          <w:lang w:bidi="fa-IR"/>
        </w:rPr>
        <w:t xml:space="preserve"> في « بخ ، بف » و</w:t>
      </w:r>
      <w:r w:rsidR="00744A1C" w:rsidRPr="00C24F9C">
        <w:rPr>
          <w:rStyle w:val="libFootnoteBoldChar"/>
          <w:rtl/>
        </w:rPr>
        <w:t>الوافي</w:t>
      </w:r>
      <w:r w:rsidR="00744A1C">
        <w:rPr>
          <w:rtl/>
          <w:lang w:bidi="fa-IR"/>
        </w:rPr>
        <w:t xml:space="preserve"> : « أصحابنا ».</w:t>
      </w:r>
    </w:p>
    <w:p w:rsidR="00744A1C" w:rsidRDefault="00E378DD" w:rsidP="00E378DD">
      <w:pPr>
        <w:pStyle w:val="libFootnote0"/>
        <w:rPr>
          <w:lang w:bidi="fa-IR"/>
        </w:rPr>
      </w:pPr>
      <w:r>
        <w:rPr>
          <w:rtl/>
          <w:lang w:bidi="fa-IR"/>
        </w:rPr>
        <w:t>(7).</w:t>
      </w:r>
      <w:r w:rsidR="00744A1C">
        <w:rPr>
          <w:rtl/>
          <w:lang w:bidi="fa-IR"/>
        </w:rPr>
        <w:t xml:space="preserve"> في « بح ، بخ ، بس ، بف » وحاشية « بث » و</w:t>
      </w:r>
      <w:r w:rsidR="00744A1C" w:rsidRPr="00C24F9C">
        <w:rPr>
          <w:rStyle w:val="libFootnoteBoldChar"/>
          <w:rtl/>
        </w:rPr>
        <w:t>الوافي</w:t>
      </w:r>
      <w:r w:rsidR="00744A1C">
        <w:rPr>
          <w:rtl/>
          <w:lang w:bidi="fa-IR"/>
        </w:rPr>
        <w:t xml:space="preserve"> : « حين ».</w:t>
      </w:r>
    </w:p>
    <w:tbl>
      <w:tblPr>
        <w:tblStyle w:val="TableGrid"/>
        <w:bidiVisual/>
        <w:tblW w:w="0" w:type="auto"/>
        <w:tblLook w:val="04A0" w:firstRow="1" w:lastRow="0" w:firstColumn="1" w:lastColumn="0" w:noHBand="0" w:noVBand="1"/>
      </w:tblPr>
      <w:tblGrid>
        <w:gridCol w:w="4006"/>
        <w:gridCol w:w="4006"/>
      </w:tblGrid>
      <w:tr w:rsidR="00E81CEC" w:rsidTr="00E81CEC">
        <w:tc>
          <w:tcPr>
            <w:tcW w:w="4006" w:type="dxa"/>
          </w:tcPr>
          <w:p w:rsidR="00E81CEC" w:rsidRDefault="00E81CEC" w:rsidP="00E378DD">
            <w:pPr>
              <w:pStyle w:val="libFootnote0"/>
              <w:rPr>
                <w:rtl/>
                <w:lang w:bidi="fa-IR"/>
              </w:rPr>
            </w:pPr>
            <w:r>
              <w:rPr>
                <w:rtl/>
                <w:lang w:bidi="fa-IR"/>
              </w:rPr>
              <w:t>(8). في « بخ » وحاشية « بث » : « لرمي ».</w:t>
            </w:r>
          </w:p>
        </w:tc>
        <w:tc>
          <w:tcPr>
            <w:tcW w:w="4006" w:type="dxa"/>
          </w:tcPr>
          <w:p w:rsidR="00E81CEC" w:rsidRDefault="00E81CEC" w:rsidP="00E378DD">
            <w:pPr>
              <w:pStyle w:val="libFootnote0"/>
              <w:rPr>
                <w:rtl/>
                <w:lang w:bidi="fa-IR"/>
              </w:rPr>
            </w:pPr>
            <w:r>
              <w:rPr>
                <w:rtl/>
                <w:lang w:bidi="fa-IR"/>
              </w:rPr>
              <w:t>(9). في «بخ،بف» وحاشية«بث» و</w:t>
            </w:r>
            <w:r w:rsidRPr="00C24F9C">
              <w:rPr>
                <w:rStyle w:val="libFootnoteBoldChar"/>
                <w:rtl/>
              </w:rPr>
              <w:t>الوافي</w:t>
            </w:r>
            <w:r>
              <w:rPr>
                <w:rtl/>
                <w:lang w:bidi="fa-IR"/>
              </w:rPr>
              <w:t>:«الجمار».</w:t>
            </w:r>
          </w:p>
        </w:tc>
      </w:tr>
    </w:tbl>
    <w:p w:rsidR="00744A1C" w:rsidRDefault="00E378DD" w:rsidP="00E378DD">
      <w:pPr>
        <w:pStyle w:val="libFootnote0"/>
        <w:rPr>
          <w:lang w:bidi="fa-IR"/>
        </w:rPr>
      </w:pPr>
      <w:r>
        <w:rPr>
          <w:rtl/>
          <w:lang w:bidi="fa-IR"/>
        </w:rPr>
        <w:t>(10).</w:t>
      </w:r>
      <w:r w:rsidR="00744A1C">
        <w:rPr>
          <w:rtl/>
          <w:lang w:bidi="fa-IR"/>
        </w:rPr>
        <w:t xml:space="preserve"> هكذا في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18595. وفي المطبوع : « هاهنا ».</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أَمْشِيَ فِي مَنَازِلِ بَنِي هَاشِمٍ ». </w:t>
      </w:r>
      <w:r w:rsidRPr="00D10E3C">
        <w:rPr>
          <w:rStyle w:val="libFootnotenumChar"/>
          <w:rtl/>
        </w:rPr>
        <w:t>(1)</w:t>
      </w:r>
    </w:p>
    <w:p w:rsidR="00744A1C" w:rsidRDefault="00744A1C" w:rsidP="0006379C">
      <w:pPr>
        <w:pStyle w:val="Heading2Center"/>
        <w:rPr>
          <w:lang w:bidi="fa-IR"/>
        </w:rPr>
      </w:pPr>
      <w:bookmarkStart w:id="23" w:name="_Toc49261321"/>
      <w:r>
        <w:rPr>
          <w:rtl/>
          <w:lang w:bidi="fa-IR"/>
        </w:rPr>
        <w:t>178 - بَابُ أَيَّامِ النَّحْرِ‌</w:t>
      </w:r>
      <w:bookmarkEnd w:id="23"/>
    </w:p>
    <w:p w:rsidR="00144FA6" w:rsidRDefault="00744A1C" w:rsidP="00744A1C">
      <w:pPr>
        <w:pStyle w:val="libNormal"/>
        <w:rPr>
          <w:rtl/>
          <w:lang w:bidi="fa-IR"/>
        </w:rPr>
      </w:pPr>
      <w:r>
        <w:rPr>
          <w:rtl/>
          <w:lang w:bidi="fa-IR"/>
        </w:rPr>
        <w:t>7834 / 1. عِدَّةٌ مِنْ أَصْحَابِنَا ، عَنْ أَحْمَدَ بْنِ مُحَمَّدٍ ، عَنِ الْحُسَيْنِ بْنِ سَعِيدٍ ، عَنْ فَضَالَةَ بْنِ أَيُّوبَ ، عَنْ كُلَيْبٍ الْأَسَدِيِّ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النَّحْرِ؟</w:t>
      </w:r>
    </w:p>
    <w:p w:rsidR="00144FA6" w:rsidRDefault="00744A1C" w:rsidP="00744A1C">
      <w:pPr>
        <w:pStyle w:val="libNormal"/>
        <w:rPr>
          <w:rtl/>
          <w:lang w:bidi="fa-IR"/>
        </w:rPr>
      </w:pPr>
      <w:r>
        <w:rPr>
          <w:rtl/>
          <w:lang w:bidi="fa-IR"/>
        </w:rPr>
        <w:t xml:space="preserve">فَقَالَ : « أَمَّا بِمِنًى فَثَلَاثَةُ أَيَّامٍ ، وَأَمَّا فِي الْبُلْدَانِ فَيَوْمٌ وَاحِدٌ ». </w:t>
      </w:r>
      <w:r w:rsidRPr="00D10E3C">
        <w:rPr>
          <w:rStyle w:val="libFootnotenumChar"/>
          <w:rtl/>
        </w:rPr>
        <w:t>(2)</w:t>
      </w:r>
    </w:p>
    <w:p w:rsidR="00144FA6" w:rsidRDefault="00744A1C" w:rsidP="00744A1C">
      <w:pPr>
        <w:pStyle w:val="libNormal"/>
        <w:rPr>
          <w:rtl/>
          <w:lang w:bidi="fa-IR"/>
        </w:rPr>
      </w:pPr>
      <w:r>
        <w:rPr>
          <w:rtl/>
          <w:lang w:bidi="fa-IR"/>
        </w:rPr>
        <w:t xml:space="preserve">7835 / 2. عَلِيُّ بْنُ إِبْرَاهِيمَ </w:t>
      </w:r>
      <w:r w:rsidRPr="00D10E3C">
        <w:rPr>
          <w:rStyle w:val="libFootnotenumChar"/>
          <w:rtl/>
        </w:rPr>
        <w:t>(3)</w:t>
      </w:r>
      <w:r>
        <w:rPr>
          <w:rtl/>
          <w:lang w:bidi="fa-IR"/>
        </w:rPr>
        <w:t xml:space="preserve"> ، عَنْ أَبِيهِ ، عَنِ ابْنِ أَبِي عُمَيْرٍ ، عَنْ جَمِيلِ بْنِ دَرَّاجٍ ، عَنْ مُحَمَّدِ بْنِ مُسْلِمٍ :</w:t>
      </w:r>
    </w:p>
    <w:p w:rsidR="00144FA6" w:rsidRDefault="00744A1C" w:rsidP="00744A1C">
      <w:pPr>
        <w:pStyle w:val="libNormal"/>
        <w:rPr>
          <w:rtl/>
          <w:lang w:bidi="fa-IR"/>
        </w:rPr>
      </w:pPr>
      <w:r>
        <w:rPr>
          <w:rtl/>
          <w:lang w:bidi="fa-IR"/>
        </w:rPr>
        <w:t xml:space="preserve">عَنْ أَبِي جَعْفَرٍ </w:t>
      </w:r>
      <w:r w:rsidRPr="00D10E3C">
        <w:rPr>
          <w:rStyle w:val="libFootnotenumChar"/>
          <w:rtl/>
        </w:rPr>
        <w:t>(4)</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قَالَ : « الْأَضْحى يَوْمَانِ بَعْدَ يَوْمِ النَّحْرِ </w:t>
      </w:r>
      <w:r w:rsidRPr="00D10E3C">
        <w:rPr>
          <w:rStyle w:val="libFootnotenumChar"/>
          <w:rtl/>
        </w:rPr>
        <w:t>(5)</w:t>
      </w:r>
      <w:r>
        <w:rPr>
          <w:rtl/>
          <w:lang w:bidi="fa-IR"/>
        </w:rPr>
        <w:t xml:space="preserve"> ، وَيَوْمٌ وَاحِدٌ بِالْأَمْصَارِ </w:t>
      </w:r>
      <w:r w:rsidRPr="00D10E3C">
        <w:rPr>
          <w:rStyle w:val="libFootnotenumChar"/>
          <w:rtl/>
        </w:rPr>
        <w:t>(6)</w:t>
      </w:r>
      <w:r>
        <w:rPr>
          <w:rtl/>
          <w:lang w:bidi="fa-IR"/>
        </w:rPr>
        <w:t xml:space="preserve">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الوافي</w:t>
      </w:r>
      <w:r w:rsidR="00744A1C">
        <w:rPr>
          <w:rtl/>
          <w:lang w:bidi="fa-IR"/>
        </w:rPr>
        <w:t xml:space="preserve"> ، ج 13 ، ص 1096 ، ح 13833 ؛ </w:t>
      </w:r>
      <w:r w:rsidR="00744A1C" w:rsidRPr="00C24F9C">
        <w:rPr>
          <w:rStyle w:val="libFootnoteBoldChar"/>
          <w:rtl/>
        </w:rPr>
        <w:t>الوسائل</w:t>
      </w:r>
      <w:r w:rsidR="00744A1C">
        <w:rPr>
          <w:rtl/>
          <w:lang w:bidi="fa-IR"/>
        </w:rPr>
        <w:t xml:space="preserve"> ، ج 14 ، ص 64 ، ح 18594 ، إلى قوله : « بعد ما يحاذي المسجد بمنى » ؛ وفيه ، ح 18595 ، من قوله : « وحدّثني عليّ بن محمّد بن سليمان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203 ، ح 676 ؛ </w:t>
      </w:r>
      <w:r w:rsidR="00744A1C" w:rsidRPr="00C24F9C">
        <w:rPr>
          <w:rStyle w:val="libFootnoteBoldChar"/>
          <w:rtl/>
        </w:rPr>
        <w:t>والاستبصار</w:t>
      </w:r>
      <w:r w:rsidR="00744A1C">
        <w:rPr>
          <w:rtl/>
          <w:lang w:bidi="fa-IR"/>
        </w:rPr>
        <w:t xml:space="preserve"> ، ج 2 ، ص 264 ، ح 933 ، معلّقاً عن الكليني. </w:t>
      </w:r>
      <w:r w:rsidR="00744A1C" w:rsidRPr="00C24F9C">
        <w:rPr>
          <w:rStyle w:val="libFootnoteBoldChar"/>
          <w:rtl/>
        </w:rPr>
        <w:t>الفقيه</w:t>
      </w:r>
      <w:r w:rsidR="00744A1C">
        <w:rPr>
          <w:rtl/>
          <w:lang w:bidi="fa-IR"/>
        </w:rPr>
        <w:t xml:space="preserve"> ، ج 2 ، ص 486 ، ح 3038 ، معلّقاً عن كليب الأسدي. وفي </w:t>
      </w:r>
      <w:r w:rsidR="00744A1C" w:rsidRPr="00C24F9C">
        <w:rPr>
          <w:rStyle w:val="libFootnoteBoldChar"/>
          <w:rtl/>
        </w:rPr>
        <w:t>الفقيه</w:t>
      </w:r>
      <w:r w:rsidR="00744A1C">
        <w:rPr>
          <w:rtl/>
          <w:lang w:bidi="fa-IR"/>
        </w:rPr>
        <w:t xml:space="preserve"> ، ج 2 ، ص 487 ، ح 3039 ؛ </w:t>
      </w:r>
      <w:r w:rsidR="00744A1C" w:rsidRPr="0061079A">
        <w:rPr>
          <w:rStyle w:val="libFootnoteBoldChar"/>
          <w:rtl/>
        </w:rPr>
        <w:t>والتهذيب</w:t>
      </w:r>
      <w:r w:rsidR="00744A1C">
        <w:rPr>
          <w:rtl/>
          <w:lang w:bidi="fa-IR"/>
        </w:rPr>
        <w:t xml:space="preserve"> ، ج 5 ، ص 203 ، ح 678 ؛ </w:t>
      </w:r>
      <w:r w:rsidR="00744A1C" w:rsidRPr="00C24F9C">
        <w:rPr>
          <w:rStyle w:val="libFootnoteBoldChar"/>
          <w:rtl/>
        </w:rPr>
        <w:t>والاستبصار</w:t>
      </w:r>
      <w:r w:rsidR="00744A1C">
        <w:rPr>
          <w:rtl/>
          <w:lang w:bidi="fa-IR"/>
        </w:rPr>
        <w:t xml:space="preserve"> ، ج 2 ، ص 265 ، ح 935 ، بسند آخر ، مع اختلاف يسير وزيادة </w:t>
      </w:r>
      <w:r w:rsidR="004C1811">
        <w:rPr>
          <w:rFonts w:hint="cs"/>
          <w:rtl/>
          <w:lang w:bidi="fa-IR"/>
        </w:rPr>
        <w:t>.</w:t>
      </w:r>
      <w:r w:rsidR="00744A1C" w:rsidRPr="00C24F9C">
        <w:rPr>
          <w:rStyle w:val="libFootnoteBoldChar"/>
          <w:rtl/>
        </w:rPr>
        <w:t>الوافي</w:t>
      </w:r>
      <w:r w:rsidR="00744A1C">
        <w:rPr>
          <w:rtl/>
          <w:lang w:bidi="fa-IR"/>
        </w:rPr>
        <w:t xml:space="preserve"> ، ج 14 ، ص 1141 ، ح 13949 ؛ </w:t>
      </w:r>
      <w:r w:rsidR="00744A1C" w:rsidRPr="00C24F9C">
        <w:rPr>
          <w:rStyle w:val="libFootnoteBoldChar"/>
          <w:rtl/>
        </w:rPr>
        <w:t>الوسائل</w:t>
      </w:r>
      <w:r w:rsidR="00744A1C">
        <w:rPr>
          <w:rtl/>
          <w:lang w:bidi="fa-IR"/>
        </w:rPr>
        <w:t xml:space="preserve"> ، ج 14 ، ص 93 ، ح 18680.</w:t>
      </w:r>
    </w:p>
    <w:tbl>
      <w:tblPr>
        <w:tblStyle w:val="TableGrid"/>
        <w:bidiVisual/>
        <w:tblW w:w="0" w:type="auto"/>
        <w:tblLook w:val="04A0" w:firstRow="1" w:lastRow="0" w:firstColumn="1" w:lastColumn="0" w:noHBand="0" w:noVBand="1"/>
      </w:tblPr>
      <w:tblGrid>
        <w:gridCol w:w="4006"/>
        <w:gridCol w:w="4006"/>
      </w:tblGrid>
      <w:tr w:rsidR="004C1811" w:rsidTr="004C1811">
        <w:tc>
          <w:tcPr>
            <w:tcW w:w="4006" w:type="dxa"/>
          </w:tcPr>
          <w:p w:rsidR="004C1811" w:rsidRDefault="004C1811" w:rsidP="00E378DD">
            <w:pPr>
              <w:pStyle w:val="libFootnote0"/>
              <w:rPr>
                <w:rtl/>
                <w:lang w:bidi="fa-IR"/>
              </w:rPr>
            </w:pPr>
            <w:r>
              <w:rPr>
                <w:rtl/>
                <w:lang w:bidi="fa-IR"/>
              </w:rPr>
              <w:t xml:space="preserve">(3). في </w:t>
            </w:r>
            <w:r w:rsidRPr="00C24F9C">
              <w:rPr>
                <w:rStyle w:val="libFootnoteBoldChar"/>
                <w:rtl/>
              </w:rPr>
              <w:t>التهذيب</w:t>
            </w:r>
            <w:r>
              <w:rPr>
                <w:rtl/>
                <w:lang w:bidi="fa-IR"/>
              </w:rPr>
              <w:t xml:space="preserve"> </w:t>
            </w:r>
            <w:r w:rsidRPr="00C24F9C">
              <w:rPr>
                <w:rStyle w:val="libFootnoteBoldChar"/>
                <w:rtl/>
              </w:rPr>
              <w:t>والاستبصار</w:t>
            </w:r>
            <w:r>
              <w:rPr>
                <w:rtl/>
                <w:lang w:bidi="fa-IR"/>
              </w:rPr>
              <w:t xml:space="preserve"> : - « بن إبراهيم ».</w:t>
            </w:r>
          </w:p>
        </w:tc>
        <w:tc>
          <w:tcPr>
            <w:tcW w:w="4006" w:type="dxa"/>
          </w:tcPr>
          <w:p w:rsidR="004C1811" w:rsidRDefault="004C1811" w:rsidP="00E378DD">
            <w:pPr>
              <w:pStyle w:val="libFootnote0"/>
              <w:rPr>
                <w:rtl/>
                <w:lang w:bidi="fa-IR"/>
              </w:rPr>
            </w:pPr>
            <w:r>
              <w:rPr>
                <w:rtl/>
                <w:lang w:bidi="fa-IR"/>
              </w:rPr>
              <w:t>(4). في حاشية « جد » : « أبي عبدالله ».</w:t>
            </w:r>
          </w:p>
        </w:tc>
      </w:tr>
    </w:tbl>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 « بمنى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حملهما في </w:t>
      </w:r>
      <w:r w:rsidR="00744A1C" w:rsidRPr="00C24F9C">
        <w:rPr>
          <w:rStyle w:val="libFootnoteBoldChar"/>
          <w:rtl/>
        </w:rPr>
        <w:t>التهذيب</w:t>
      </w:r>
      <w:r w:rsidR="00744A1C">
        <w:rPr>
          <w:rtl/>
          <w:lang w:bidi="fa-IR"/>
        </w:rPr>
        <w:t xml:space="preserve">ين على أيّام النحر التي لا يجوز فيها الصوم ، كما يدلّ عليه الخبر الآتي - وهو المرويّ في </w:t>
      </w:r>
      <w:r w:rsidR="00744A1C" w:rsidRPr="00C24F9C">
        <w:rPr>
          <w:rStyle w:val="libFootnoteBoldChar"/>
          <w:rtl/>
        </w:rPr>
        <w:t>التهذيب</w:t>
      </w:r>
      <w:r w:rsidR="00744A1C">
        <w:rPr>
          <w:rtl/>
          <w:lang w:bidi="fa-IR"/>
        </w:rPr>
        <w:t xml:space="preserve"> ، ج 5 ، ص 203 ، ح 678 ، و</w:t>
      </w:r>
      <w:r w:rsidR="00744A1C" w:rsidRPr="00C24F9C">
        <w:rPr>
          <w:rStyle w:val="libFootnoteBoldChar"/>
          <w:rtl/>
        </w:rPr>
        <w:t>الفقيه</w:t>
      </w:r>
      <w:r w:rsidR="00744A1C">
        <w:rPr>
          <w:rtl/>
          <w:lang w:bidi="fa-IR"/>
        </w:rPr>
        <w:t xml:space="preserve"> ، ج 2 ، ص 487 ، ح 3039 - قال في </w:t>
      </w:r>
      <w:r w:rsidR="00744A1C" w:rsidRPr="00C24F9C">
        <w:rPr>
          <w:rStyle w:val="libFootnoteBoldChar"/>
          <w:rtl/>
        </w:rPr>
        <w:t>الفقيه</w:t>
      </w:r>
      <w:r w:rsidR="00744A1C">
        <w:rPr>
          <w:rtl/>
          <w:lang w:bidi="fa-IR"/>
        </w:rPr>
        <w:t xml:space="preserve"> : إنّ خبر عمّار هو للضحيّة وحدها ، وخبر كليب للصوم وحده ، وتصديق ذلك ما رواه سيف ».</w:t>
      </w:r>
    </w:p>
    <w:p w:rsidR="00744A1C" w:rsidRDefault="00744A1C" w:rsidP="00D10E3C">
      <w:pPr>
        <w:pStyle w:val="libFootnote0"/>
        <w:rPr>
          <w:lang w:bidi="fa-IR"/>
        </w:rPr>
      </w:pPr>
      <w:r>
        <w:rPr>
          <w:rtl/>
          <w:lang w:bidi="fa-IR"/>
        </w:rPr>
        <w:t>وفي هامشه عن المحقّق الشعراني : « قوله : هو للضحيّة ، خبر عمّار يدلّ على أنّ أيّام الا</w:t>
      </w:r>
      <w:r w:rsidR="00C03857">
        <w:rPr>
          <w:rFonts w:hint="cs"/>
          <w:rtl/>
          <w:lang w:bidi="fa-IR"/>
        </w:rPr>
        <w:t>ُ</w:t>
      </w:r>
      <w:r>
        <w:rPr>
          <w:rtl/>
          <w:lang w:bidi="fa-IR"/>
        </w:rPr>
        <w:t>ضحيّة بمنى أربعة وبالأمصار ثلاثة ، كما ذكره الفقهاء ، وليس معناه أنّه يجوز تأخير ذبح الا</w:t>
      </w:r>
      <w:r w:rsidR="00C03857">
        <w:rPr>
          <w:rFonts w:hint="cs"/>
          <w:rtl/>
          <w:lang w:bidi="fa-IR"/>
        </w:rPr>
        <w:t>ُ</w:t>
      </w:r>
      <w:r>
        <w:rPr>
          <w:rtl/>
          <w:lang w:bidi="fa-IR"/>
        </w:rPr>
        <w:t xml:space="preserve">ضحيّة اختياراً إلى هذه المدّة ، بل هذه </w:t>
      </w:r>
      <w:r w:rsidR="00C03857">
        <w:rPr>
          <w:rFonts w:hint="cs"/>
          <w:rtl/>
          <w:lang w:bidi="fa-IR"/>
        </w:rPr>
        <w:t>=</w:t>
      </w:r>
    </w:p>
    <w:p w:rsidR="000F7CEC" w:rsidRDefault="000F7CEC" w:rsidP="00D10E3C">
      <w:pPr>
        <w:pStyle w:val="libNormal"/>
        <w:rPr>
          <w:rtl/>
          <w:lang w:bidi="fa-IR"/>
        </w:rPr>
      </w:pPr>
      <w:r>
        <w:rPr>
          <w:rtl/>
          <w:lang w:bidi="fa-IR"/>
        </w:rPr>
        <w:br w:type="page"/>
      </w:r>
    </w:p>
    <w:p w:rsidR="00744A1C" w:rsidRDefault="00744A1C" w:rsidP="00C956B1">
      <w:pPr>
        <w:pStyle w:val="Heading2Center"/>
        <w:rPr>
          <w:lang w:bidi="fa-IR"/>
        </w:rPr>
      </w:pPr>
      <w:bookmarkStart w:id="24" w:name="_Toc49261322"/>
      <w:r>
        <w:rPr>
          <w:rtl/>
          <w:lang w:bidi="fa-IR"/>
        </w:rPr>
        <w:lastRenderedPageBreak/>
        <w:t>179 - بَابُ أَدْنى مَا يُجْزِئُ مِنَ الْهَدْيِ‌</w:t>
      </w:r>
      <w:bookmarkEnd w:id="24"/>
    </w:p>
    <w:p w:rsidR="00144FA6" w:rsidRDefault="00744A1C" w:rsidP="00744A1C">
      <w:pPr>
        <w:pStyle w:val="libNormal"/>
        <w:rPr>
          <w:rtl/>
          <w:lang w:bidi="fa-IR"/>
        </w:rPr>
      </w:pPr>
      <w:r>
        <w:rPr>
          <w:rtl/>
          <w:lang w:bidi="fa-IR"/>
        </w:rPr>
        <w:t>7836 / 1. عِدَّةٌ مِنْ أَصْحَابِنَا ، عَنْ سَهْلِ بْنِ زِيَادٍ وَأَحْمَدَ بْنِ مُحَمَّدٍ جَمِيعاً ، عَنِ ابْنِ مَحْبُوبٍ ، عَنِ ابْنِ رِئَابٍ ، عَنْ أَبِي عُبَيْدَةَ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w:t>
      </w:r>
      <w:r w:rsidRPr="00D10E3C">
        <w:rPr>
          <w:rStyle w:val="libFootnotenumChar"/>
          <w:rtl/>
        </w:rPr>
        <w:t>(1)</w:t>
      </w:r>
      <w:r>
        <w:rPr>
          <w:rtl/>
          <w:lang w:bidi="fa-IR"/>
        </w:rPr>
        <w:t xml:space="preserve"> عَزَّ وَجَلَّ : </w:t>
      </w:r>
      <w:r w:rsidRPr="00C956B1">
        <w:rPr>
          <w:rStyle w:val="libAlaemChar"/>
          <w:rtl/>
        </w:rPr>
        <w:t>(</w:t>
      </w:r>
      <w:r w:rsidRPr="00C956B1">
        <w:rPr>
          <w:rStyle w:val="libAieChar"/>
          <w:rtl/>
        </w:rPr>
        <w:t xml:space="preserve"> فَمَنْ تَمَتَّعَ بِالْعُمْرَةِ إِلَى الْحَجِّ فَمَا اسْتَيْسَرَ مِنَ الْهُدى </w:t>
      </w:r>
      <w:r w:rsidRPr="00C956B1">
        <w:rPr>
          <w:rStyle w:val="libAlaemChar"/>
          <w:rtl/>
        </w:rPr>
        <w:t>)</w:t>
      </w:r>
      <w:r>
        <w:rPr>
          <w:rtl/>
          <w:lang w:bidi="fa-IR"/>
        </w:rPr>
        <w:t xml:space="preserve"> </w:t>
      </w:r>
      <w:r w:rsidRPr="00D10E3C">
        <w:rPr>
          <w:rStyle w:val="libFootnotenumChar"/>
          <w:rtl/>
        </w:rPr>
        <w:t>(2)</w:t>
      </w:r>
      <w:r>
        <w:rPr>
          <w:rtl/>
          <w:lang w:bidi="fa-IR"/>
        </w:rPr>
        <w:t xml:space="preserve"> قَالَ : « شَاةٌ </w:t>
      </w:r>
      <w:r w:rsidRPr="00D10E3C">
        <w:rPr>
          <w:rStyle w:val="libFootnotenumChar"/>
          <w:rtl/>
        </w:rPr>
        <w:t>(3)</w:t>
      </w:r>
      <w:r>
        <w:rPr>
          <w:rtl/>
          <w:lang w:bidi="fa-IR"/>
        </w:rPr>
        <w:t xml:space="preserve"> ». </w:t>
      </w:r>
      <w:r w:rsidRPr="00D10E3C">
        <w:rPr>
          <w:rStyle w:val="libFootnotenumChar"/>
          <w:rtl/>
        </w:rPr>
        <w:t>(4)</w:t>
      </w:r>
    </w:p>
    <w:p w:rsidR="0036263D" w:rsidRDefault="00744A1C" w:rsidP="0036263D">
      <w:pPr>
        <w:pStyle w:val="libNormal"/>
        <w:rPr>
          <w:rtl/>
          <w:lang w:bidi="fa-IR"/>
        </w:rPr>
      </w:pPr>
      <w:r>
        <w:rPr>
          <w:rtl/>
          <w:lang w:bidi="fa-IR"/>
        </w:rPr>
        <w:t xml:space="preserve">7837 / 2. عَلِيُّ بْنُ إِبْرَاهِيمَ ، عَنْ أَبِيهِ ، عَنِ ابْنِ أَبِي عُمَيْرٍ </w:t>
      </w:r>
      <w:r w:rsidRPr="00D10E3C">
        <w:rPr>
          <w:rStyle w:val="libFootnotenumChar"/>
          <w:rtl/>
        </w:rPr>
        <w:t>(5)</w:t>
      </w:r>
      <w:r>
        <w:rPr>
          <w:rtl/>
          <w:lang w:bidi="fa-IR"/>
        </w:rPr>
        <w:t xml:space="preserve"> ؛</w:t>
      </w:r>
    </w:p>
    <w:p w:rsidR="00744A1C" w:rsidRDefault="0036263D" w:rsidP="0036263D">
      <w:pPr>
        <w:pStyle w:val="libNormal"/>
        <w:rPr>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مُحَمَّدُ بْنُ إِسْمَاعِيلَ ، عَنِ الْفَضْلِ بْنِ شَاذَانَ ، عَنْ صَفْوَانَ بْنِ يَحْيى </w:t>
      </w:r>
      <w:r w:rsidR="00744A1C" w:rsidRPr="00D10E3C">
        <w:rPr>
          <w:rStyle w:val="libFootnotenumChar"/>
          <w:rtl/>
        </w:rPr>
        <w:t>(6)</w:t>
      </w:r>
      <w:r w:rsidR="00744A1C">
        <w:rPr>
          <w:rtl/>
          <w:lang w:bidi="fa-IR"/>
        </w:rPr>
        <w:t xml:space="preserve"> وَابْنِ‌</w:t>
      </w:r>
    </w:p>
    <w:p w:rsidR="00744A1C" w:rsidRDefault="00744A1C" w:rsidP="00D10E3C">
      <w:pPr>
        <w:pStyle w:val="libLine"/>
        <w:rPr>
          <w:lang w:bidi="fa-IR"/>
        </w:rPr>
      </w:pPr>
      <w:r>
        <w:rPr>
          <w:rtl/>
          <w:lang w:bidi="fa-IR"/>
        </w:rPr>
        <w:t>____________________</w:t>
      </w:r>
    </w:p>
    <w:p w:rsidR="00744A1C" w:rsidRDefault="0036263D" w:rsidP="00D10E3C">
      <w:pPr>
        <w:pStyle w:val="libFootnote0"/>
        <w:rPr>
          <w:lang w:bidi="fa-IR"/>
        </w:rPr>
      </w:pPr>
      <w:r>
        <w:rPr>
          <w:rFonts w:hint="cs"/>
          <w:rtl/>
          <w:lang w:bidi="fa-IR"/>
        </w:rPr>
        <w:t xml:space="preserve">= </w:t>
      </w:r>
      <w:r w:rsidR="00744A1C">
        <w:rPr>
          <w:rtl/>
          <w:lang w:bidi="fa-IR"/>
        </w:rPr>
        <w:t>مدّة لو لم يجد الا</w:t>
      </w:r>
      <w:r w:rsidR="00FB01ED">
        <w:rPr>
          <w:rFonts w:hint="cs"/>
          <w:rtl/>
          <w:lang w:bidi="fa-IR"/>
        </w:rPr>
        <w:t>ُ</w:t>
      </w:r>
      <w:r w:rsidR="00744A1C">
        <w:rPr>
          <w:rtl/>
          <w:lang w:bidi="fa-IR"/>
        </w:rPr>
        <w:t>ضحيّة فيها ، أو لم يمكن ذبحها فيها ، فات الوقت وتصدّق بثمنها ، وحكمها غير حكم هدي التمتّع ؛ فإنّه يجوز طول ذي الحجّة وإن كان يوم النحر أفضل ، وأمّا الصوم فحرام يوم النحر بالبلدان وثلاثة أيّام في عادة الناس بمنى ؛ لأنّ الغالب أنّهم يقيمون بمنى يوم النحر ويومين بعده وإن اتّفق نادراً أن يكون هناك يوم الثالث فيكون الصوم عليه محرّماً أيضاً ، ولكنّه نادر لم يعبأ به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157 : « هذا الخبر والخبر المتقدّم خلاف المشهور من جواز التضحية بمنى أربعة أيّام ، وفي الأمصار ثلاثة أيّام ، وحملهما في </w:t>
      </w:r>
      <w:r w:rsidRPr="00C24F9C">
        <w:rPr>
          <w:rStyle w:val="libFootnoteBoldChar"/>
          <w:rtl/>
        </w:rPr>
        <w:t>التهذيب</w:t>
      </w:r>
      <w:r>
        <w:rPr>
          <w:rtl/>
          <w:lang w:bidi="fa-IR"/>
        </w:rPr>
        <w:t xml:space="preserve"> على أيّام النحر التي لا يجوز فيه الصوم ، والأظهر حمله على تأكّد الاستحباب ، ويظهر من الكليني القول به ».</w:t>
      </w:r>
    </w:p>
    <w:p w:rsidR="00744A1C" w:rsidRDefault="00E378DD" w:rsidP="00FB01ED">
      <w:pPr>
        <w:pStyle w:val="libFootnote0"/>
        <w:rPr>
          <w:lang w:bidi="fa-IR"/>
        </w:rPr>
      </w:pPr>
      <w:r>
        <w:rPr>
          <w:rtl/>
          <w:lang w:bidi="fa-IR"/>
        </w:rPr>
        <w:t>(</w:t>
      </w:r>
      <w:r w:rsidR="00FB01ED">
        <w:rPr>
          <w:rFonts w:hint="cs"/>
          <w:rtl/>
          <w:lang w:bidi="fa-IR"/>
        </w:rPr>
        <w:t>7</w:t>
      </w:r>
      <w:r>
        <w:rPr>
          <w:rtl/>
          <w:lang w:bidi="fa-IR"/>
        </w:rPr>
        <w:t>).</w:t>
      </w:r>
      <w:r w:rsidR="00744A1C">
        <w:rPr>
          <w:rtl/>
          <w:lang w:bidi="fa-IR"/>
        </w:rPr>
        <w:t xml:space="preserve"> </w:t>
      </w:r>
      <w:r w:rsidR="00744A1C" w:rsidRPr="00C24F9C">
        <w:rPr>
          <w:rStyle w:val="libFootnoteBoldChar"/>
          <w:rtl/>
        </w:rPr>
        <w:t>التهذيب</w:t>
      </w:r>
      <w:r w:rsidR="00744A1C">
        <w:rPr>
          <w:rtl/>
          <w:lang w:bidi="fa-IR"/>
        </w:rPr>
        <w:t xml:space="preserve"> ، ج 5 ، ص 203 ، ح 677 ؛ </w:t>
      </w:r>
      <w:r w:rsidR="00744A1C" w:rsidRPr="00C24F9C">
        <w:rPr>
          <w:rStyle w:val="libFootnoteBoldChar"/>
          <w:rtl/>
        </w:rPr>
        <w:t>والاستبصار</w:t>
      </w:r>
      <w:r w:rsidR="00744A1C">
        <w:rPr>
          <w:rtl/>
          <w:lang w:bidi="fa-IR"/>
        </w:rPr>
        <w:t xml:space="preserve"> ، ج 2 ، ص 264 ، ح 934 ، معلّقاً عن الكليني. راجع : </w:t>
      </w:r>
      <w:r w:rsidR="00744A1C" w:rsidRPr="00C24F9C">
        <w:rPr>
          <w:rStyle w:val="libFootnoteBoldChar"/>
          <w:rtl/>
        </w:rPr>
        <w:t>الفقيه</w:t>
      </w:r>
      <w:r w:rsidR="00744A1C">
        <w:rPr>
          <w:rtl/>
          <w:lang w:bidi="fa-IR"/>
        </w:rPr>
        <w:t xml:space="preserve"> ، ج 2 ، ص 487 ، ح 3040 ؛ </w:t>
      </w:r>
      <w:r w:rsidR="00744A1C" w:rsidRPr="0061079A">
        <w:rPr>
          <w:rStyle w:val="libFootnoteBoldChar"/>
          <w:rtl/>
        </w:rPr>
        <w:t>والتهذيب</w:t>
      </w:r>
      <w:r w:rsidR="00744A1C">
        <w:rPr>
          <w:rtl/>
          <w:lang w:bidi="fa-IR"/>
        </w:rPr>
        <w:t xml:space="preserve"> ، ج 5 ، ص 203 ، ح 675 ؛ </w:t>
      </w:r>
      <w:r w:rsidR="00744A1C" w:rsidRPr="00C24F9C">
        <w:rPr>
          <w:rStyle w:val="libFootnoteBoldChar"/>
          <w:rtl/>
        </w:rPr>
        <w:t>والاستبصار</w:t>
      </w:r>
      <w:r w:rsidR="00744A1C">
        <w:rPr>
          <w:rtl/>
          <w:lang w:bidi="fa-IR"/>
        </w:rPr>
        <w:t xml:space="preserve"> ، ج 2 ، ص 264 ، ح 932 </w:t>
      </w:r>
      <w:r w:rsidR="00FB01ED">
        <w:rPr>
          <w:rFonts w:hint="cs"/>
          <w:rtl/>
          <w:lang w:bidi="fa-IR"/>
        </w:rPr>
        <w:t>.</w:t>
      </w:r>
      <w:r w:rsidR="00744A1C" w:rsidRPr="00C24F9C">
        <w:rPr>
          <w:rStyle w:val="libFootnoteBoldChar"/>
          <w:rtl/>
        </w:rPr>
        <w:t>الوافي</w:t>
      </w:r>
      <w:r w:rsidR="00744A1C">
        <w:rPr>
          <w:rtl/>
          <w:lang w:bidi="fa-IR"/>
        </w:rPr>
        <w:t xml:space="preserve"> ، ج 14 ، ص 1141 ، ح 13950 ؛ </w:t>
      </w:r>
      <w:r w:rsidR="00744A1C" w:rsidRPr="00C24F9C">
        <w:rPr>
          <w:rStyle w:val="libFootnoteBoldChar"/>
          <w:rtl/>
        </w:rPr>
        <w:t>الوسائل</w:t>
      </w:r>
      <w:r w:rsidR="00744A1C">
        <w:rPr>
          <w:rtl/>
          <w:lang w:bidi="fa-IR"/>
        </w:rPr>
        <w:t xml:space="preserve"> ، ج 14 ، ص 93 ، ح 18681.</w:t>
      </w:r>
    </w:p>
    <w:p w:rsidR="00744A1C" w:rsidRDefault="00D10E3C" w:rsidP="00D10E3C">
      <w:pPr>
        <w:pStyle w:val="libFootnote0"/>
        <w:rPr>
          <w:lang w:bidi="fa-IR"/>
        </w:rPr>
      </w:pPr>
      <w:r>
        <w:rPr>
          <w:rtl/>
          <w:lang w:bidi="fa-IR"/>
        </w:rPr>
        <w:t>(1).</w:t>
      </w:r>
      <w:r w:rsidR="00744A1C">
        <w:rPr>
          <w:rtl/>
          <w:lang w:bidi="fa-IR"/>
        </w:rPr>
        <w:t xml:space="preserve"> في « بح » : « قوله » بدل « قول الله ».</w:t>
      </w:r>
    </w:p>
    <w:p w:rsidR="00744A1C" w:rsidRDefault="00E378DD" w:rsidP="00E378DD">
      <w:pPr>
        <w:pStyle w:val="libFootnote0"/>
        <w:rPr>
          <w:lang w:bidi="fa-IR"/>
        </w:rPr>
      </w:pPr>
      <w:r>
        <w:rPr>
          <w:rtl/>
          <w:lang w:bidi="fa-IR"/>
        </w:rPr>
        <w:t>(2).</w:t>
      </w:r>
      <w:r w:rsidR="00744A1C">
        <w:rPr>
          <w:rtl/>
          <w:lang w:bidi="fa-IR"/>
        </w:rPr>
        <w:t xml:space="preserve"> البقرة </w:t>
      </w:r>
      <w:r w:rsidR="00FB01ED">
        <w:rPr>
          <w:rtl/>
          <w:lang w:bidi="fa-IR"/>
        </w:rPr>
        <w:t>(2)</w:t>
      </w:r>
      <w:r w:rsidR="00744A1C">
        <w:rPr>
          <w:rtl/>
          <w:lang w:bidi="fa-IR"/>
        </w:rPr>
        <w:t xml:space="preserve"> : 196.</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لعلّ ذكر الشاة لبيان أدنى ما يجزئ من الهدي ، لا تعيينه ».</w:t>
      </w:r>
    </w:p>
    <w:p w:rsidR="00744A1C" w:rsidRDefault="00E378DD" w:rsidP="00FB01ED">
      <w:pPr>
        <w:pStyle w:val="libFootnote0"/>
        <w:rPr>
          <w:lang w:bidi="fa-IR"/>
        </w:rPr>
      </w:pPr>
      <w:r>
        <w:rPr>
          <w:rtl/>
          <w:lang w:bidi="fa-IR"/>
        </w:rPr>
        <w:t>(4).</w:t>
      </w:r>
      <w:r w:rsidR="00744A1C">
        <w:rPr>
          <w:rtl/>
          <w:lang w:bidi="fa-IR"/>
        </w:rPr>
        <w:t xml:space="preserve"> </w:t>
      </w:r>
      <w:r w:rsidR="00744A1C" w:rsidRPr="003A7143">
        <w:rPr>
          <w:rStyle w:val="libFootnoteBoldChar"/>
          <w:rtl/>
        </w:rPr>
        <w:t>علل الشرائع</w:t>
      </w:r>
      <w:r w:rsidR="00744A1C">
        <w:rPr>
          <w:rtl/>
          <w:lang w:bidi="fa-IR"/>
        </w:rPr>
        <w:t xml:space="preserve"> ، ج 1 ، ص 273 ، ضمن الحديث الطويل 9 ؛ </w:t>
      </w:r>
      <w:r w:rsidR="00744A1C" w:rsidRPr="00877682">
        <w:rPr>
          <w:rStyle w:val="libFootnoteBoldChar"/>
          <w:rtl/>
        </w:rPr>
        <w:t>عيون الأخبار</w:t>
      </w:r>
      <w:r w:rsidR="00744A1C">
        <w:rPr>
          <w:rtl/>
          <w:lang w:bidi="fa-IR"/>
        </w:rPr>
        <w:t xml:space="preserve"> ، ج 2 ، ص 119 ، ضمن الحديث الطويل 1 ، وفيهما بسند آخر عن الرضا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744A1C" w:rsidRPr="00A914B5">
        <w:rPr>
          <w:rStyle w:val="libFootnoteBoldChar"/>
          <w:rtl/>
        </w:rPr>
        <w:t>تفسير العيّاشي</w:t>
      </w:r>
      <w:r w:rsidR="00744A1C">
        <w:rPr>
          <w:rtl/>
          <w:lang w:bidi="fa-IR"/>
        </w:rPr>
        <w:t xml:space="preserve"> ، ج 1 ، ص 89 ، ح 227 ، عن الحلبيّ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زيادة في آخره. وفيه ، ص 88 ، ذيل ح 226 ، عن عبدالله بن فرقد ، عن أبي جعفر </w:t>
      </w:r>
      <w:r w:rsidR="0061079A" w:rsidRPr="0061079A">
        <w:rPr>
          <w:rStyle w:val="libFootnoteAlaemChar"/>
          <w:rtl/>
        </w:rPr>
        <w:t>عليه‌السلام</w:t>
      </w:r>
      <w:r w:rsidR="00744A1C">
        <w:rPr>
          <w:rtl/>
          <w:lang w:bidi="fa-IR"/>
        </w:rPr>
        <w:t xml:space="preserve"> . راجع : </w:t>
      </w:r>
      <w:r w:rsidR="00744A1C" w:rsidRPr="00610FB4">
        <w:rPr>
          <w:rStyle w:val="libFootnoteBoldChar"/>
          <w:rtl/>
        </w:rPr>
        <w:t>تفسير القمّي</w:t>
      </w:r>
      <w:r w:rsidR="00744A1C">
        <w:rPr>
          <w:rtl/>
          <w:lang w:bidi="fa-IR"/>
        </w:rPr>
        <w:t xml:space="preserve"> ، ج 1 ، ص 68 ؛ و</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72 </w:t>
      </w:r>
      <w:r w:rsidR="00FB01ED">
        <w:rPr>
          <w:rFonts w:hint="cs"/>
          <w:rtl/>
          <w:lang w:bidi="fa-IR"/>
        </w:rPr>
        <w:t>.</w:t>
      </w:r>
      <w:r w:rsidR="00744A1C" w:rsidRPr="00C24F9C">
        <w:rPr>
          <w:rStyle w:val="libFootnoteBoldChar"/>
          <w:rtl/>
        </w:rPr>
        <w:t>الوافي</w:t>
      </w:r>
      <w:r w:rsidR="00744A1C">
        <w:rPr>
          <w:rtl/>
          <w:lang w:bidi="fa-IR"/>
        </w:rPr>
        <w:t xml:space="preserve"> ، ج 13 ، ص 1111 ، ح 13864 ؛ </w:t>
      </w:r>
      <w:r w:rsidR="00744A1C" w:rsidRPr="00C24F9C">
        <w:rPr>
          <w:rStyle w:val="libFootnoteBoldChar"/>
          <w:rtl/>
        </w:rPr>
        <w:t>الوسائل</w:t>
      </w:r>
      <w:r w:rsidR="00744A1C">
        <w:rPr>
          <w:rtl/>
          <w:lang w:bidi="fa-IR"/>
        </w:rPr>
        <w:t xml:space="preserve"> ، ج 14 ، ص 100 ، ح 18695.</w:t>
      </w:r>
      <w:r w:rsidR="00FB01ED">
        <w:rPr>
          <w:rFonts w:hint="cs"/>
          <w:rtl/>
          <w:lang w:bidi="fa-IR"/>
        </w:rPr>
        <w:t xml:space="preserve">   </w:t>
      </w:r>
      <w:r>
        <w:rPr>
          <w:rtl/>
          <w:lang w:bidi="fa-IR"/>
        </w:rPr>
        <w:t>(5).</w:t>
      </w:r>
      <w:r w:rsidR="00744A1C">
        <w:rPr>
          <w:rtl/>
          <w:lang w:bidi="fa-IR"/>
        </w:rPr>
        <w:t xml:space="preserve"> في « بخ ، جر » : - « عن ابن أبي عمير ».</w:t>
      </w:r>
    </w:p>
    <w:p w:rsidR="00744A1C" w:rsidRDefault="00E378DD" w:rsidP="00E378DD">
      <w:pPr>
        <w:pStyle w:val="libFootnote0"/>
        <w:rPr>
          <w:lang w:bidi="fa-IR"/>
        </w:rPr>
      </w:pPr>
      <w:r>
        <w:rPr>
          <w:rtl/>
          <w:lang w:bidi="fa-IR"/>
        </w:rPr>
        <w:t>(6).</w:t>
      </w:r>
      <w:r w:rsidR="00744A1C">
        <w:rPr>
          <w:rtl/>
          <w:lang w:bidi="fa-IR"/>
        </w:rPr>
        <w:t xml:space="preserve"> في « بف ، جر » : - « بن يحيى ».</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أَبِي عُمَيْرٍ ، عَنْ مُعَاوِيَةَ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يُجْزِئُ فِي الْمُتْعَةِ شَاةٌ ». </w:t>
      </w:r>
      <w:r w:rsidRPr="00D10E3C">
        <w:rPr>
          <w:rStyle w:val="libFootnotenumChar"/>
          <w:rtl/>
        </w:rPr>
        <w:t>(1)</w:t>
      </w:r>
    </w:p>
    <w:p w:rsidR="00744A1C" w:rsidRDefault="00744A1C" w:rsidP="00EB7B04">
      <w:pPr>
        <w:pStyle w:val="Heading2Center"/>
        <w:rPr>
          <w:lang w:bidi="fa-IR"/>
        </w:rPr>
      </w:pPr>
      <w:bookmarkStart w:id="25" w:name="_Toc49261323"/>
      <w:r>
        <w:rPr>
          <w:rtl/>
          <w:lang w:bidi="fa-IR"/>
        </w:rPr>
        <w:t>180 - بَابُ مَنْ يَجِبُ عَلَيْهِ الْهَدْيُ وَأَيْنَ يَذْبَحُهُ‌</w:t>
      </w:r>
      <w:bookmarkEnd w:id="25"/>
    </w:p>
    <w:p w:rsidR="00144FA6" w:rsidRDefault="00744A1C" w:rsidP="00744A1C">
      <w:pPr>
        <w:pStyle w:val="libNormal"/>
        <w:rPr>
          <w:rtl/>
          <w:lang w:bidi="fa-IR"/>
        </w:rPr>
      </w:pPr>
      <w:r>
        <w:rPr>
          <w:rtl/>
          <w:lang w:bidi="fa-IR"/>
        </w:rPr>
        <w:t>7838 / 1. مُحَمَّدُ بْنُ يَحْيى ، عَنْ أَحْمَدَ بْنِ مُحَمَّدٍ ، عَنْ مُحَمَّدِ بْنِ سِنَانٍ ، عَنِ ابْنِ مُسْكَانَ ، عَنْ سَعِيدٍ الْأَعْرَجِ ، قَالَ :</w:t>
      </w:r>
    </w:p>
    <w:p w:rsidR="00144FA6" w:rsidRDefault="00744A1C" w:rsidP="00EB7B04">
      <w:pPr>
        <w:pStyle w:val="libNormal"/>
        <w:rPr>
          <w:rtl/>
          <w:lang w:bidi="fa-IR"/>
        </w:rPr>
      </w:pPr>
      <w:r>
        <w:rPr>
          <w:rtl/>
          <w:lang w:bidi="fa-IR"/>
        </w:rPr>
        <w:t xml:space="preserve">قَالَ أَبُو عَبْدِ اللهِ </w:t>
      </w:r>
      <w:r w:rsidR="00EB7B04" w:rsidRPr="0061079A">
        <w:rPr>
          <w:rStyle w:val="libAlaemChar"/>
          <w:rtl/>
        </w:rPr>
        <w:t>عليه‌السلام</w:t>
      </w:r>
      <w:r>
        <w:rPr>
          <w:rtl/>
          <w:lang w:bidi="fa-IR"/>
        </w:rPr>
        <w:t xml:space="preserve">: « مَنْ تَمَتَّعَ فِي أَشْهُرِ الْحَجِّ ، ثُمَّ أَقَامَ بِمَكَّةَ حَتّى يَحْضُرَ الْحَجُّ مِنْ قَابِلٍ </w:t>
      </w:r>
      <w:r w:rsidRPr="00D10E3C">
        <w:rPr>
          <w:rStyle w:val="libFootnotenumChar"/>
          <w:rtl/>
        </w:rPr>
        <w:t>(2)</w:t>
      </w:r>
      <w:r>
        <w:rPr>
          <w:rtl/>
          <w:lang w:bidi="fa-IR"/>
        </w:rPr>
        <w:t xml:space="preserve">، فَعَلَيْهِ </w:t>
      </w:r>
      <w:r w:rsidRPr="00D10E3C">
        <w:rPr>
          <w:rStyle w:val="libFootnotenumChar"/>
          <w:rtl/>
        </w:rPr>
        <w:t>(3)</w:t>
      </w:r>
      <w:r>
        <w:rPr>
          <w:rtl/>
          <w:lang w:bidi="fa-IR"/>
        </w:rPr>
        <w:t xml:space="preserve"> شَاةٌ ؛ وَمَنْ تَمَتَّعَ فِي غَيْرِ أَشْهُرِ الْحَجِّ </w:t>
      </w:r>
      <w:r w:rsidRPr="00D10E3C">
        <w:rPr>
          <w:rStyle w:val="libFootnotenumChar"/>
          <w:rtl/>
        </w:rPr>
        <w:t>(4)</w:t>
      </w:r>
      <w:r>
        <w:rPr>
          <w:rtl/>
          <w:lang w:bidi="fa-IR"/>
        </w:rPr>
        <w:t xml:space="preserve"> ، ثُمَّ جَاوَرَ </w:t>
      </w:r>
      <w:r w:rsidRPr="00D10E3C">
        <w:rPr>
          <w:rStyle w:val="libFootnotenumChar"/>
          <w:rtl/>
        </w:rPr>
        <w:t>(5)</w:t>
      </w:r>
      <w:r>
        <w:rPr>
          <w:rtl/>
          <w:lang w:bidi="fa-IR"/>
        </w:rPr>
        <w:t xml:space="preserve"> حَتّى يَحْضُرَ الْحَجُّ ، فَلَيْسَ عَلَيْهِ دَمٌ ، إِنَّمَا هِيَ حَجَّةٌ مُفْرَدَةٌ ، وَإِنَّمَا الْأَضْحى </w:t>
      </w:r>
      <w:r w:rsidRPr="00D10E3C">
        <w:rPr>
          <w:rStyle w:val="libFootnotenumChar"/>
          <w:rtl/>
        </w:rPr>
        <w:t>(6)</w:t>
      </w:r>
      <w:r>
        <w:rPr>
          <w:rtl/>
          <w:lang w:bidi="fa-IR"/>
        </w:rPr>
        <w:t xml:space="preserve"> عَلى أَهْلِ الْأَمْصَارِ ». </w:t>
      </w:r>
      <w:r w:rsidRPr="00D10E3C">
        <w:rPr>
          <w:rStyle w:val="libFootnotenumChar"/>
          <w:rtl/>
        </w:rPr>
        <w:t>(7)</w:t>
      </w:r>
    </w:p>
    <w:p w:rsidR="00144FA6" w:rsidRDefault="00744A1C" w:rsidP="00744A1C">
      <w:pPr>
        <w:pStyle w:val="libNormal"/>
        <w:rPr>
          <w:rtl/>
          <w:lang w:bidi="fa-IR"/>
        </w:rPr>
      </w:pPr>
      <w:r>
        <w:rPr>
          <w:rtl/>
          <w:lang w:bidi="fa-IR"/>
        </w:rPr>
        <w:t xml:space="preserve">7839 / 2. عَلِيُّ بْنُ إِبْرَاهِيمَ ، عَنْ أَبِيهِ ، عَنْ عَبْدِ اللهِ بْنِ الْمُغِيرَةِ ، عَنْ عَبْدِ اللهِ </w:t>
      </w:r>
      <w:r w:rsidRPr="00D10E3C">
        <w:rPr>
          <w:rStyle w:val="libFootnotenumChar"/>
          <w:rtl/>
        </w:rPr>
        <w:t>(8)</w:t>
      </w:r>
      <w:r>
        <w:rPr>
          <w:rtl/>
          <w:lang w:bidi="fa-IR"/>
        </w:rPr>
        <w:t xml:space="preserve"> بْنِ سِنَا</w:t>
      </w:r>
      <w:r w:rsidR="001B0FEF">
        <w:rPr>
          <w:rtl/>
          <w:lang w:bidi="fa-IR"/>
        </w:rPr>
        <w:t>نٍ</w:t>
      </w:r>
      <w:r>
        <w:rPr>
          <w:rtl/>
          <w:lang w:bidi="fa-IR"/>
        </w:rPr>
        <w:t>:</w:t>
      </w:r>
    </w:p>
    <w:p w:rsidR="00744A1C" w:rsidRDefault="00744A1C" w:rsidP="00D10E3C">
      <w:pPr>
        <w:pStyle w:val="libLine"/>
        <w:rPr>
          <w:lang w:bidi="fa-IR"/>
        </w:rPr>
      </w:pPr>
      <w:r>
        <w:rPr>
          <w:rtl/>
          <w:lang w:bidi="fa-IR"/>
        </w:rPr>
        <w:t>____________________</w:t>
      </w:r>
    </w:p>
    <w:p w:rsidR="00744A1C" w:rsidRDefault="00D10E3C" w:rsidP="00596830">
      <w:pPr>
        <w:pStyle w:val="libFootnote0"/>
        <w:rPr>
          <w:lang w:bidi="fa-IR"/>
        </w:rPr>
      </w:pPr>
      <w:r>
        <w:rPr>
          <w:rtl/>
          <w:lang w:bidi="fa-IR"/>
        </w:rPr>
        <w:t>(1).</w:t>
      </w:r>
      <w:r w:rsidR="00744A1C">
        <w:rPr>
          <w:rtl/>
          <w:lang w:bidi="fa-IR"/>
        </w:rPr>
        <w:t xml:space="preserve"> راجع : </w:t>
      </w:r>
      <w:r w:rsidR="00744A1C" w:rsidRPr="00A914B5">
        <w:rPr>
          <w:rStyle w:val="libFootnoteBoldChar"/>
          <w:rtl/>
        </w:rPr>
        <w:t>تفسير العيّاشي</w:t>
      </w:r>
      <w:r w:rsidR="00744A1C">
        <w:rPr>
          <w:rtl/>
          <w:lang w:bidi="fa-IR"/>
        </w:rPr>
        <w:t xml:space="preserve"> ، ج 1 ، ص 91 ، ح 235 </w:t>
      </w:r>
      <w:r w:rsidR="001B0FEF">
        <w:rPr>
          <w:rFonts w:hint="cs"/>
          <w:rtl/>
          <w:lang w:bidi="fa-IR"/>
        </w:rPr>
        <w:t>.</w:t>
      </w:r>
      <w:r w:rsidR="00744A1C" w:rsidRPr="00C24F9C">
        <w:rPr>
          <w:rStyle w:val="libFootnoteBoldChar"/>
          <w:rtl/>
        </w:rPr>
        <w:t>الوافي</w:t>
      </w:r>
      <w:r w:rsidR="00744A1C">
        <w:rPr>
          <w:rtl/>
          <w:lang w:bidi="fa-IR"/>
        </w:rPr>
        <w:t xml:space="preserve"> ، ج 13 ، ص 1111 ، ح 13865 ؛ </w:t>
      </w:r>
      <w:r w:rsidR="00744A1C" w:rsidRPr="00C24F9C">
        <w:rPr>
          <w:rStyle w:val="libFootnoteBoldChar"/>
          <w:rtl/>
        </w:rPr>
        <w:t>الوسائل</w:t>
      </w:r>
      <w:r w:rsidR="00744A1C">
        <w:rPr>
          <w:rtl/>
          <w:lang w:bidi="fa-IR"/>
        </w:rPr>
        <w:t xml:space="preserve"> ، ج 14 ، ص 100 ، ح 18696.</w:t>
      </w:r>
      <w:r w:rsidR="00596830">
        <w:rPr>
          <w:rFonts w:hint="cs"/>
          <w:rtl/>
          <w:lang w:bidi="fa-IR"/>
        </w:rPr>
        <w:t xml:space="preserve">              </w:t>
      </w:r>
      <w:r w:rsidR="001B0FEF">
        <w:rPr>
          <w:rFonts w:hint="cs"/>
          <w:rtl/>
          <w:lang w:bidi="fa-IR"/>
        </w:rPr>
        <w:t xml:space="preserve">        </w:t>
      </w:r>
      <w:r w:rsidR="00E378DD">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 من قابل ».</w:t>
      </w:r>
    </w:p>
    <w:p w:rsidR="00744A1C" w:rsidRDefault="00E378DD" w:rsidP="00E378DD">
      <w:pPr>
        <w:pStyle w:val="libFootnote0"/>
        <w:rPr>
          <w:lang w:bidi="fa-IR"/>
        </w:rPr>
      </w:pPr>
      <w:r>
        <w:rPr>
          <w:rtl/>
          <w:lang w:bidi="fa-IR"/>
        </w:rPr>
        <w:t>(3).</w:t>
      </w:r>
      <w:r w:rsidR="00744A1C">
        <w:rPr>
          <w:rtl/>
          <w:lang w:bidi="fa-IR"/>
        </w:rPr>
        <w:t xml:space="preserve"> في الاستبصار : + « دم ».</w:t>
      </w:r>
    </w:p>
    <w:p w:rsidR="00744A1C" w:rsidRDefault="00E378DD" w:rsidP="00E378DD">
      <w:pPr>
        <w:pStyle w:val="libFootnote0"/>
        <w:rPr>
          <w:lang w:bidi="fa-IR"/>
        </w:rPr>
      </w:pPr>
      <w:r>
        <w:rPr>
          <w:rtl/>
          <w:lang w:bidi="fa-IR"/>
        </w:rPr>
        <w:t>(4).</w:t>
      </w:r>
      <w:r w:rsidR="00744A1C">
        <w:rPr>
          <w:rtl/>
          <w:lang w:bidi="fa-IR"/>
        </w:rPr>
        <w:t xml:space="preserve"> في </w:t>
      </w:r>
      <w:r w:rsidR="00744A1C" w:rsidRPr="00877682">
        <w:rPr>
          <w:rStyle w:val="libFootnoteBoldChar"/>
          <w:rtl/>
        </w:rPr>
        <w:t>مرآة العقول</w:t>
      </w:r>
      <w:r w:rsidR="00744A1C">
        <w:rPr>
          <w:rtl/>
          <w:lang w:bidi="fa-IR"/>
        </w:rPr>
        <w:t xml:space="preserve"> ، ج 18 ، ص 158 : « قوله </w:t>
      </w:r>
      <w:r w:rsidR="0061079A" w:rsidRPr="0061079A">
        <w:rPr>
          <w:rStyle w:val="libFootnoteAlaemChar"/>
          <w:rtl/>
        </w:rPr>
        <w:t>عليه‌السلام</w:t>
      </w:r>
      <w:r w:rsidR="00D10E3C">
        <w:rPr>
          <w:rtl/>
          <w:lang w:bidi="fa-IR"/>
        </w:rPr>
        <w:t xml:space="preserve"> </w:t>
      </w:r>
      <w:r w:rsidR="00744A1C">
        <w:rPr>
          <w:rtl/>
          <w:lang w:bidi="fa-IR"/>
        </w:rPr>
        <w:t>: ومن تمتّع في غير أشهر الحجّ ؛ يعني انتفع بالعمرة في غير أشهر الحجّ ؛ لأنّ عمرة التمتّع لا يكون في غيرها ».</w:t>
      </w:r>
    </w:p>
    <w:p w:rsidR="00744A1C" w:rsidRDefault="00E378DD" w:rsidP="00E378DD">
      <w:pPr>
        <w:pStyle w:val="libFootnote0"/>
        <w:rPr>
          <w:lang w:bidi="fa-IR"/>
        </w:rPr>
      </w:pPr>
      <w:r>
        <w:rPr>
          <w:rtl/>
          <w:lang w:bidi="fa-IR"/>
        </w:rPr>
        <w:t>(5).</w:t>
      </w:r>
      <w:r w:rsidR="00744A1C">
        <w:rPr>
          <w:rtl/>
          <w:lang w:bidi="fa-IR"/>
        </w:rPr>
        <w:t xml:space="preserve"> في « ى ، بث ، بخ ، بس » : « جاوز ». وفي </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18649 : + « بمكّة ». وفي </w:t>
      </w:r>
      <w:r w:rsidR="00744A1C" w:rsidRPr="00C24F9C">
        <w:rPr>
          <w:rStyle w:val="libFootnoteBoldChar"/>
          <w:rtl/>
        </w:rPr>
        <w:t>التهذيب</w:t>
      </w:r>
      <w:r w:rsidR="00744A1C">
        <w:rPr>
          <w:rtl/>
          <w:lang w:bidi="fa-IR"/>
        </w:rPr>
        <w:t xml:space="preserve"> ، ص 199 : + « مكّة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الأضحى : جمع أضحاة ، وهي الا</w:t>
      </w:r>
      <w:r w:rsidR="00FC7E5B">
        <w:rPr>
          <w:rFonts w:hint="cs"/>
          <w:rtl/>
          <w:lang w:bidi="fa-IR"/>
        </w:rPr>
        <w:t>ُ</w:t>
      </w:r>
      <w:r w:rsidR="00744A1C">
        <w:rPr>
          <w:rtl/>
          <w:lang w:bidi="fa-IR"/>
        </w:rPr>
        <w:t>ضحيّة. حاصل الحديث أنّ المتمتّع يجب عليه الهدي ، وغير المتمتّع لا يجب عليه الهدي ، والا</w:t>
      </w:r>
      <w:r w:rsidR="00FC7E5B">
        <w:rPr>
          <w:rFonts w:hint="cs"/>
          <w:rtl/>
          <w:lang w:bidi="fa-IR"/>
        </w:rPr>
        <w:t>ُ</w:t>
      </w:r>
      <w:r w:rsidR="00FC7E5B">
        <w:rPr>
          <w:rtl/>
          <w:lang w:bidi="fa-IR"/>
        </w:rPr>
        <w:t>ضحيّة ليست إل</w:t>
      </w:r>
      <w:r w:rsidR="00FC7E5B">
        <w:rPr>
          <w:rFonts w:hint="cs"/>
          <w:rtl/>
          <w:lang w:bidi="fa-IR"/>
        </w:rPr>
        <w:t>ّ</w:t>
      </w:r>
      <w:r w:rsidR="00FC7E5B">
        <w:rPr>
          <w:rtl/>
          <w:lang w:bidi="fa-IR"/>
        </w:rPr>
        <w:t>ا</w:t>
      </w:r>
      <w:r w:rsidR="00FC7E5B">
        <w:rPr>
          <w:rFonts w:hint="cs"/>
          <w:rtl/>
          <w:lang w:bidi="fa-IR"/>
        </w:rPr>
        <w:t xml:space="preserve"> </w:t>
      </w:r>
      <w:r w:rsidR="00744A1C">
        <w:rPr>
          <w:rtl/>
          <w:lang w:bidi="fa-IR"/>
        </w:rPr>
        <w:t xml:space="preserve">على أهل الأمصار ممّن لم يحضر الحجّ دون من حضر ». وراجع : </w:t>
      </w:r>
      <w:r w:rsidR="00744A1C" w:rsidRPr="00877682">
        <w:rPr>
          <w:rStyle w:val="libFootnoteBoldChar"/>
          <w:rtl/>
        </w:rPr>
        <w:t>النهاية</w:t>
      </w:r>
      <w:r w:rsidR="00744A1C">
        <w:rPr>
          <w:rtl/>
          <w:lang w:bidi="fa-IR"/>
        </w:rPr>
        <w:t xml:space="preserve"> ، ج 3 ، ص 76 ( ضحا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وإنّما الأضحى ، لعلّ الحصر إضافي بالنسبة إلى المتمتّع ، وربما يحمل الأضحى على الهدي فيستأنس له ؛ لقول من قال : إنّ الهدي لا يجب على من تمتّع من أهل مكّة ؛ ولا يخفى بعده ».</w:t>
      </w:r>
    </w:p>
    <w:p w:rsidR="00744A1C" w:rsidRDefault="00E378DD" w:rsidP="00FC7E5B">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36 ، ح 108 ؛ وص 199 ، ح 662 ؛ وص 288 ، ح 980 ؛ </w:t>
      </w:r>
      <w:r w:rsidR="00744A1C" w:rsidRPr="00C24F9C">
        <w:rPr>
          <w:rStyle w:val="libFootnoteBoldChar"/>
          <w:rtl/>
        </w:rPr>
        <w:t>والاستبصار</w:t>
      </w:r>
      <w:r w:rsidR="00744A1C">
        <w:rPr>
          <w:rtl/>
          <w:lang w:bidi="fa-IR"/>
        </w:rPr>
        <w:t xml:space="preserve"> ، ج 2 ، ص 259 ، ح 913 ، معلّقاً عن الكليني </w:t>
      </w:r>
      <w:r w:rsidR="00FC7E5B">
        <w:rPr>
          <w:rFonts w:hint="cs"/>
          <w:rtl/>
          <w:lang w:bidi="fa-IR"/>
        </w:rPr>
        <w:t>.</w:t>
      </w:r>
      <w:r w:rsidR="00744A1C" w:rsidRPr="00C24F9C">
        <w:rPr>
          <w:rStyle w:val="libFootnoteBoldChar"/>
          <w:rtl/>
        </w:rPr>
        <w:t>الوافي</w:t>
      </w:r>
      <w:r w:rsidR="00744A1C">
        <w:rPr>
          <w:rtl/>
          <w:lang w:bidi="fa-IR"/>
        </w:rPr>
        <w:t xml:space="preserve"> ، ج 13 ، ص 1103 ، ح 13846 ؛ </w:t>
      </w:r>
      <w:r w:rsidR="00744A1C" w:rsidRPr="00C24F9C">
        <w:rPr>
          <w:rStyle w:val="libFootnoteBoldChar"/>
          <w:rtl/>
        </w:rPr>
        <w:t>الوسائل</w:t>
      </w:r>
      <w:r w:rsidR="00744A1C">
        <w:rPr>
          <w:rtl/>
          <w:lang w:bidi="fa-IR"/>
        </w:rPr>
        <w:t xml:space="preserve"> ، ج 11 ، ص 270 ، ح 14764 ؛ وج 14 ، ص 82 ، ح 18649.</w:t>
      </w:r>
      <w:r w:rsidR="00FC7E5B">
        <w:rPr>
          <w:rFonts w:hint="cs"/>
          <w:rtl/>
          <w:lang w:bidi="fa-IR"/>
        </w:rPr>
        <w:t xml:space="preserve">    </w:t>
      </w:r>
      <w:r>
        <w:rPr>
          <w:rtl/>
          <w:lang w:bidi="fa-IR"/>
        </w:rPr>
        <w:t>(8).</w:t>
      </w:r>
      <w:r w:rsidR="00744A1C">
        <w:rPr>
          <w:rtl/>
          <w:lang w:bidi="fa-IR"/>
        </w:rPr>
        <w:t xml:space="preserve"> في « بس » : - « عبد الله ».</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سُئِلَ عَنِ الْأَضْحى : أَوَاجِبٌ </w:t>
      </w:r>
      <w:r w:rsidRPr="00D10E3C">
        <w:rPr>
          <w:rStyle w:val="libFootnotenumChar"/>
          <w:rtl/>
        </w:rPr>
        <w:t>(1)</w:t>
      </w:r>
      <w:r>
        <w:rPr>
          <w:rtl/>
          <w:lang w:bidi="fa-IR"/>
        </w:rPr>
        <w:t xml:space="preserve"> عَلى </w:t>
      </w:r>
      <w:r w:rsidRPr="00D10E3C">
        <w:rPr>
          <w:rStyle w:val="libFootnotenumChar"/>
          <w:rtl/>
        </w:rPr>
        <w:t>(2)</w:t>
      </w:r>
      <w:r>
        <w:rPr>
          <w:rtl/>
          <w:lang w:bidi="fa-IR"/>
        </w:rPr>
        <w:t xml:space="preserve"> مَنْ وَجَدَ لِنَفْسِهِ وَ</w:t>
      </w:r>
      <w:r w:rsidR="00FA388F">
        <w:rPr>
          <w:rFonts w:hint="cs"/>
          <w:rtl/>
          <w:lang w:bidi="fa-IR"/>
        </w:rPr>
        <w:t xml:space="preserve"> </w:t>
      </w:r>
      <w:r>
        <w:rPr>
          <w:rtl/>
          <w:lang w:bidi="fa-IR"/>
        </w:rPr>
        <w:t>عِيَالِهِ؟</w:t>
      </w:r>
    </w:p>
    <w:p w:rsidR="00144FA6" w:rsidRDefault="00744A1C" w:rsidP="00744A1C">
      <w:pPr>
        <w:pStyle w:val="libNormal"/>
        <w:rPr>
          <w:rtl/>
          <w:lang w:bidi="fa-IR"/>
        </w:rPr>
      </w:pPr>
      <w:r>
        <w:rPr>
          <w:rtl/>
          <w:lang w:bidi="fa-IR"/>
        </w:rPr>
        <w:t xml:space="preserve">فَقَالَ : « أَمَّا لِنَفْسِهِ فَلَا يَدَعْهُ ، وَأَمَّا لِعِيَالِهِ إِنْ شَاءَ تَرَكَهُ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 xml:space="preserve">7840 / 3. عِدَّةٌ مِنْ أَصْحَابِنَا ، عَنْ سَهْلِ بْنِ زِيَادٍ وَأَحْمَدَ بْنِ مُحَمَّدٍ ، عَنِ الْحَسَنِ </w:t>
      </w:r>
      <w:r w:rsidRPr="00D10E3C">
        <w:rPr>
          <w:rStyle w:val="libFootnotenumChar"/>
          <w:rtl/>
        </w:rPr>
        <w:t>(5)</w:t>
      </w:r>
      <w:r>
        <w:rPr>
          <w:rtl/>
          <w:lang w:bidi="fa-IR"/>
        </w:rPr>
        <w:t xml:space="preserve"> بْنِ مَحْبُوبٍ ، عَنْ إِبْرَاهِيمَ الْكَرْخِيِّ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فِي رَجُلٍ قَدِمَ بِهَدْيِهِ مَكَّةَ فِي الْعَشْرِ ، فَقَالَ : « إِنْ كَانَ هَدْياً وَ</w:t>
      </w:r>
      <w:r w:rsidR="00FA388F">
        <w:rPr>
          <w:rtl/>
          <w:lang w:bidi="fa-IR"/>
        </w:rPr>
        <w:t>اجِباً ، فَلَا يَنْحَرْهُ إِل</w:t>
      </w:r>
      <w:r w:rsidR="00FA388F">
        <w:rPr>
          <w:rFonts w:hint="cs"/>
          <w:rtl/>
          <w:lang w:bidi="fa-IR"/>
        </w:rPr>
        <w:t>َّ</w:t>
      </w:r>
      <w:r w:rsidR="00FA388F">
        <w:rPr>
          <w:rtl/>
          <w:lang w:bidi="fa-IR"/>
        </w:rPr>
        <w:t>ا</w:t>
      </w:r>
      <w:r>
        <w:rPr>
          <w:rtl/>
          <w:lang w:bidi="fa-IR"/>
        </w:rPr>
        <w:t xml:space="preserve"> بِمِنًى </w:t>
      </w:r>
      <w:r w:rsidRPr="00D10E3C">
        <w:rPr>
          <w:rStyle w:val="libFootnotenumChar"/>
          <w:rtl/>
        </w:rPr>
        <w:t>(6)</w:t>
      </w:r>
      <w:r>
        <w:rPr>
          <w:rtl/>
          <w:lang w:bidi="fa-IR"/>
        </w:rPr>
        <w:t xml:space="preserve"> ، وَإِنْ كَانَ لَيْسَ بِوَاجِبٍ ، فَلْيَنْحَرْهُ بِمَكَّةَ إِنْ شَاءَ ، وَإِنْ كَانَ قَدْ أَشْعَرَهُ </w:t>
      </w:r>
      <w:r w:rsidRPr="00D10E3C">
        <w:rPr>
          <w:rStyle w:val="libFootnotenumChar"/>
          <w:rtl/>
        </w:rPr>
        <w:t>(7)</w:t>
      </w:r>
      <w:r>
        <w:rPr>
          <w:rtl/>
          <w:lang w:bidi="fa-IR"/>
        </w:rPr>
        <w:t xml:space="preserve"> وَقَلَّدَهُ </w:t>
      </w:r>
      <w:r w:rsidRPr="00D10E3C">
        <w:rPr>
          <w:rStyle w:val="libFootnotenumChar"/>
          <w:rtl/>
        </w:rPr>
        <w:t>(8)</w:t>
      </w:r>
      <w:r w:rsidR="00CC46D5">
        <w:rPr>
          <w:rtl/>
          <w:lang w:bidi="fa-IR"/>
        </w:rPr>
        <w:t xml:space="preserve"> ، فَلَا يَنْحَرْهُ إِل</w:t>
      </w:r>
      <w:r w:rsidR="00CC46D5">
        <w:rPr>
          <w:rFonts w:hint="cs"/>
          <w:rtl/>
          <w:lang w:bidi="fa-IR"/>
        </w:rPr>
        <w:t>َّ</w:t>
      </w:r>
      <w:r w:rsidR="00CC46D5">
        <w:rPr>
          <w:rtl/>
          <w:lang w:bidi="fa-IR"/>
        </w:rPr>
        <w:t>ا</w:t>
      </w:r>
      <w:r>
        <w:rPr>
          <w:rtl/>
          <w:lang w:bidi="fa-IR"/>
        </w:rPr>
        <w:t xml:space="preserve"> يَوْمَ الْأَضْحى ». </w:t>
      </w:r>
      <w:r w:rsidRPr="00D10E3C">
        <w:rPr>
          <w:rStyle w:val="libFootnotenumChar"/>
          <w:rtl/>
        </w:rPr>
        <w:t>(9)</w:t>
      </w:r>
    </w:p>
    <w:p w:rsidR="00144FA6" w:rsidRDefault="00744A1C" w:rsidP="00744A1C">
      <w:pPr>
        <w:pStyle w:val="libNormal"/>
        <w:rPr>
          <w:rtl/>
          <w:lang w:bidi="fa-IR"/>
        </w:rPr>
      </w:pPr>
      <w:r>
        <w:rPr>
          <w:rtl/>
          <w:lang w:bidi="fa-IR"/>
        </w:rPr>
        <w:t>7841 / 4. أَبُو عَلِيٍّ الْأَشْعَرِيُّ ، عَنْ مُحَمَّدِ بْنِ عَبْدِ الْجَبَّارِ ، عَنْ صَفْوَانَ بْنِ يَحْيى ، عَنْ إِسْحَاقَ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 الرَّجُلُ يَجْرَحُ </w:t>
      </w:r>
      <w:r w:rsidRPr="00D10E3C">
        <w:rPr>
          <w:rStyle w:val="libFootnotenumChar"/>
          <w:rtl/>
        </w:rPr>
        <w:t>(10)</w:t>
      </w:r>
      <w:r>
        <w:rPr>
          <w:rtl/>
          <w:lang w:bidi="fa-IR"/>
        </w:rPr>
        <w:t xml:space="preserve"> مِنْ حَجَّتِهِ شَيْئاً‌</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03551A" w:rsidTr="0003551A">
        <w:tc>
          <w:tcPr>
            <w:tcW w:w="4006" w:type="dxa"/>
          </w:tcPr>
          <w:p w:rsidR="0003551A" w:rsidRDefault="0003551A" w:rsidP="00D10E3C">
            <w:pPr>
              <w:pStyle w:val="libFootnote0"/>
              <w:rPr>
                <w:rtl/>
                <w:lang w:bidi="fa-IR"/>
              </w:rPr>
            </w:pPr>
            <w:r>
              <w:rPr>
                <w:rtl/>
                <w:lang w:bidi="fa-IR"/>
              </w:rPr>
              <w:t xml:space="preserve">(1). في </w:t>
            </w:r>
            <w:r w:rsidRPr="00C24F9C">
              <w:rPr>
                <w:rStyle w:val="libFootnoteBoldChar"/>
                <w:rtl/>
              </w:rPr>
              <w:t>الوسائل</w:t>
            </w:r>
            <w:r>
              <w:rPr>
                <w:rtl/>
                <w:lang w:bidi="fa-IR"/>
              </w:rPr>
              <w:t xml:space="preserve"> : + « هو ».</w:t>
            </w:r>
          </w:p>
        </w:tc>
        <w:tc>
          <w:tcPr>
            <w:tcW w:w="4006" w:type="dxa"/>
          </w:tcPr>
          <w:p w:rsidR="0003551A" w:rsidRDefault="0003551A" w:rsidP="00D10E3C">
            <w:pPr>
              <w:pStyle w:val="libFootnote0"/>
              <w:rPr>
                <w:rtl/>
                <w:lang w:bidi="fa-IR"/>
              </w:rPr>
            </w:pPr>
            <w:r>
              <w:rPr>
                <w:rtl/>
                <w:lang w:bidi="fa-IR"/>
              </w:rPr>
              <w:t>(2). في « بف » : « عن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ترك ». وفي </w:t>
      </w:r>
      <w:r w:rsidR="00744A1C" w:rsidRPr="00C24F9C">
        <w:rPr>
          <w:rStyle w:val="libFootnoteBoldChar"/>
          <w:rtl/>
        </w:rPr>
        <w:t>المرآة</w:t>
      </w:r>
      <w:r w:rsidR="00744A1C">
        <w:rPr>
          <w:rtl/>
          <w:lang w:bidi="fa-IR"/>
        </w:rPr>
        <w:t xml:space="preserve"> : « يدلّ ظاهراً على ما ذهب إليه ابن الجنيد من وجوب الا</w:t>
      </w:r>
      <w:r w:rsidR="0003551A">
        <w:rPr>
          <w:rFonts w:hint="cs"/>
          <w:rtl/>
          <w:lang w:bidi="fa-IR"/>
        </w:rPr>
        <w:t>ُ</w:t>
      </w:r>
      <w:r w:rsidR="00744A1C">
        <w:rPr>
          <w:rtl/>
          <w:lang w:bidi="fa-IR"/>
        </w:rPr>
        <w:t>ضحيّة ، وحمل في المشهور على الاستحباب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13 ، ص 1108 ، ح 13858 ؛ </w:t>
      </w:r>
      <w:r w:rsidR="00744A1C" w:rsidRPr="00C24F9C">
        <w:rPr>
          <w:rStyle w:val="libFootnoteBoldChar"/>
          <w:rtl/>
        </w:rPr>
        <w:t>الوسائل</w:t>
      </w:r>
      <w:r w:rsidR="00744A1C">
        <w:rPr>
          <w:rtl/>
          <w:lang w:bidi="fa-IR"/>
        </w:rPr>
        <w:t xml:space="preserve"> ، ج 14 ، ص 204 ، ح 18986.</w:t>
      </w:r>
    </w:p>
    <w:p w:rsidR="00744A1C" w:rsidRDefault="00E378DD" w:rsidP="00E378DD">
      <w:pPr>
        <w:pStyle w:val="libFootnote0"/>
        <w:rPr>
          <w:lang w:bidi="fa-IR"/>
        </w:rPr>
      </w:pPr>
      <w:r>
        <w:rPr>
          <w:rtl/>
          <w:lang w:bidi="fa-IR"/>
        </w:rPr>
        <w:t>(5).</w:t>
      </w:r>
      <w:r w:rsidR="00744A1C">
        <w:rPr>
          <w:rtl/>
          <w:lang w:bidi="fa-IR"/>
        </w:rPr>
        <w:t xml:space="preserve"> في « بف ، جر »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 الحسن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فلا ينحره </w:t>
      </w:r>
      <w:r w:rsidR="0003551A">
        <w:rPr>
          <w:rtl/>
          <w:lang w:bidi="fa-IR"/>
        </w:rPr>
        <w:t>إل</w:t>
      </w:r>
      <w:r w:rsidR="0003551A">
        <w:rPr>
          <w:rFonts w:hint="cs"/>
          <w:rtl/>
          <w:lang w:bidi="fa-IR"/>
        </w:rPr>
        <w:t>ّ</w:t>
      </w:r>
      <w:r w:rsidR="0003551A">
        <w:rPr>
          <w:rtl/>
          <w:lang w:bidi="fa-IR"/>
        </w:rPr>
        <w:t>ا</w:t>
      </w:r>
      <w:r w:rsidR="0003551A">
        <w:rPr>
          <w:rFonts w:hint="cs"/>
          <w:rtl/>
          <w:lang w:bidi="fa-IR"/>
        </w:rPr>
        <w:t xml:space="preserve"> </w:t>
      </w:r>
      <w:r w:rsidR="00744A1C">
        <w:rPr>
          <w:rtl/>
          <w:lang w:bidi="fa-IR"/>
        </w:rPr>
        <w:t>بمنى ، حمل على ما إذا كان في الحجّ ؛ فإنّ الأصحاب أجمعوا على أنّه يجب‌نحر الهدي بمنى إن كان قرنه بالحجّ ، وبمكّة إن كان قرنه بالعمرة ».</w:t>
      </w:r>
    </w:p>
    <w:p w:rsidR="00744A1C" w:rsidRDefault="00E378DD" w:rsidP="00E378DD">
      <w:pPr>
        <w:pStyle w:val="libFootnote0"/>
        <w:rPr>
          <w:lang w:bidi="fa-IR"/>
        </w:rPr>
      </w:pPr>
      <w:r>
        <w:rPr>
          <w:rtl/>
          <w:lang w:bidi="fa-IR"/>
        </w:rPr>
        <w:t>(7).</w:t>
      </w:r>
      <w:r w:rsidR="00744A1C">
        <w:rPr>
          <w:rtl/>
          <w:lang w:bidi="fa-IR"/>
        </w:rPr>
        <w:t xml:space="preserve"> الإشعار : هو أن يشقّ أحد جنبي سنام البدنة ، أو طعن في سنامها الأيمن حتّى يسيل دمها ، ويجعل ذلك لها علامة تعرف بها أنّها هدي. راجع : </w:t>
      </w:r>
      <w:r w:rsidR="00744A1C" w:rsidRPr="00E978C3">
        <w:rPr>
          <w:rStyle w:val="libFootnoteBoldChar"/>
          <w:rtl/>
        </w:rPr>
        <w:t>الصحاح</w:t>
      </w:r>
      <w:r w:rsidR="00744A1C">
        <w:rPr>
          <w:rtl/>
          <w:lang w:bidi="fa-IR"/>
        </w:rPr>
        <w:t xml:space="preserve"> ، ج 2 ، ص 699 ؛ </w:t>
      </w:r>
      <w:r w:rsidR="00744A1C" w:rsidRPr="00877682">
        <w:rPr>
          <w:rStyle w:val="libFootnoteBoldChar"/>
          <w:rtl/>
        </w:rPr>
        <w:t>النهاية</w:t>
      </w:r>
      <w:r w:rsidR="00744A1C">
        <w:rPr>
          <w:rtl/>
          <w:lang w:bidi="fa-IR"/>
        </w:rPr>
        <w:t xml:space="preserve"> ، ج 2 ، ص 479 ( شعر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 أو قلّدة ». وتقليد الهدي : أن يعلّق في عنقه شي‌ء ، أو قطعة من جلد ؛ ليعلم أنّه هدي ، فيكفّ الناس عنه. راجع : </w:t>
      </w:r>
      <w:r w:rsidR="00744A1C" w:rsidRPr="00E978C3">
        <w:rPr>
          <w:rStyle w:val="libFootnoteBoldChar"/>
          <w:rtl/>
        </w:rPr>
        <w:t>الصحاح</w:t>
      </w:r>
      <w:r w:rsidR="00744A1C">
        <w:rPr>
          <w:rtl/>
          <w:lang w:bidi="fa-IR"/>
        </w:rPr>
        <w:t xml:space="preserve"> ، ج 2 ، ص 527 ؛ </w:t>
      </w:r>
      <w:r w:rsidR="00744A1C" w:rsidRPr="00E978C3">
        <w:rPr>
          <w:rStyle w:val="libFootnoteBoldChar"/>
          <w:rtl/>
        </w:rPr>
        <w:t>المصباح المنير</w:t>
      </w:r>
      <w:r w:rsidR="00744A1C">
        <w:rPr>
          <w:rtl/>
          <w:lang w:bidi="fa-IR"/>
        </w:rPr>
        <w:t xml:space="preserve"> ، ص 512 ( قلد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201 ، ح 670 ؛ </w:t>
      </w:r>
      <w:r w:rsidR="00744A1C" w:rsidRPr="00C24F9C">
        <w:rPr>
          <w:rStyle w:val="libFootnoteBoldChar"/>
          <w:rtl/>
        </w:rPr>
        <w:t>والاستبصار</w:t>
      </w:r>
      <w:r w:rsidR="00744A1C">
        <w:rPr>
          <w:rtl/>
          <w:lang w:bidi="fa-IR"/>
        </w:rPr>
        <w:t xml:space="preserve"> ، ج 2 ، ص 263 ، ح 928 ، معلّقاً عن الكليني </w:t>
      </w:r>
      <w:r w:rsidR="000C0DF7">
        <w:rPr>
          <w:rFonts w:hint="cs"/>
          <w:rtl/>
          <w:lang w:bidi="fa-IR"/>
        </w:rPr>
        <w:t>.</w:t>
      </w:r>
      <w:r w:rsidR="00744A1C" w:rsidRPr="00C24F9C">
        <w:rPr>
          <w:rStyle w:val="libFootnoteBoldChar"/>
          <w:rtl/>
        </w:rPr>
        <w:t>الوافي</w:t>
      </w:r>
      <w:r w:rsidR="00744A1C">
        <w:rPr>
          <w:rtl/>
          <w:lang w:bidi="fa-IR"/>
        </w:rPr>
        <w:t xml:space="preserve"> ، ج 14 ، ص 1137 ، ح 13936 ؛ </w:t>
      </w:r>
      <w:r w:rsidR="00744A1C" w:rsidRPr="00C24F9C">
        <w:rPr>
          <w:rStyle w:val="libFootnoteBoldChar"/>
          <w:rtl/>
        </w:rPr>
        <w:t>الوسائل</w:t>
      </w:r>
      <w:r w:rsidR="00744A1C">
        <w:rPr>
          <w:rtl/>
          <w:lang w:bidi="fa-IR"/>
        </w:rPr>
        <w:t xml:space="preserve"> ، ج 14 ، ص 88 ، ح 18666.</w:t>
      </w:r>
    </w:p>
    <w:p w:rsidR="00744A1C" w:rsidRDefault="00E378DD" w:rsidP="00E378DD">
      <w:pPr>
        <w:pStyle w:val="libFootnote0"/>
        <w:rPr>
          <w:lang w:bidi="fa-IR"/>
        </w:rPr>
      </w:pPr>
      <w:r>
        <w:rPr>
          <w:rtl/>
          <w:lang w:bidi="fa-IR"/>
        </w:rPr>
        <w:t>(10).</w:t>
      </w:r>
      <w:r w:rsidR="00744A1C">
        <w:rPr>
          <w:rtl/>
          <w:lang w:bidi="fa-IR"/>
        </w:rPr>
        <w:t xml:space="preserve"> هكذا في « ت ، بظ ، جن » وحاشية « غ ، بث ، بح » و</w:t>
      </w:r>
      <w:r w:rsidR="00744A1C" w:rsidRPr="00C24F9C">
        <w:rPr>
          <w:rStyle w:val="libFootnoteBoldChar"/>
          <w:rtl/>
        </w:rPr>
        <w:t>الوافي</w:t>
      </w:r>
      <w:r w:rsidR="00744A1C">
        <w:rPr>
          <w:rtl/>
          <w:lang w:bidi="fa-IR"/>
        </w:rPr>
        <w:t xml:space="preserve">. وفي « بس ، بق ، جد » وحاشية « بظ ، جش » : </w:t>
      </w:r>
      <w:r w:rsidR="000C0DF7">
        <w:rPr>
          <w:rFonts w:hint="cs"/>
          <w:rtl/>
          <w:lang w:bidi="fa-IR"/>
        </w:rPr>
        <w:t>=</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يَلْزَمُهُ </w:t>
      </w:r>
      <w:r w:rsidRPr="00D10E3C">
        <w:rPr>
          <w:rStyle w:val="libFootnotenumChar"/>
          <w:rtl/>
        </w:rPr>
        <w:t>(1)</w:t>
      </w:r>
      <w:r>
        <w:rPr>
          <w:rtl/>
          <w:lang w:bidi="fa-IR"/>
        </w:rPr>
        <w:t xml:space="preserve"> مِنْهُ </w:t>
      </w:r>
      <w:r w:rsidRPr="00D10E3C">
        <w:rPr>
          <w:rStyle w:val="libFootnotenumChar"/>
          <w:rtl/>
        </w:rPr>
        <w:t>(2)</w:t>
      </w:r>
      <w:r>
        <w:rPr>
          <w:rtl/>
          <w:lang w:bidi="fa-IR"/>
        </w:rPr>
        <w:t xml:space="preserve"> دَمٌ يُجْزِئُهُ </w:t>
      </w:r>
      <w:r w:rsidRPr="00D10E3C">
        <w:rPr>
          <w:rStyle w:val="libFootnotenumChar"/>
          <w:rtl/>
        </w:rPr>
        <w:t>(3)</w:t>
      </w:r>
      <w:r>
        <w:rPr>
          <w:rtl/>
          <w:lang w:bidi="fa-IR"/>
        </w:rPr>
        <w:t xml:space="preserve"> أَنْ يَذْبَحَهُ إِذَا رَجَعَ إِلى أَهْلِهِ؟</w:t>
      </w:r>
    </w:p>
    <w:p w:rsidR="00744A1C" w:rsidRDefault="00744A1C" w:rsidP="00744A1C">
      <w:pPr>
        <w:pStyle w:val="libNormal"/>
        <w:rPr>
          <w:lang w:bidi="fa-IR"/>
        </w:rPr>
      </w:pPr>
      <w:r>
        <w:rPr>
          <w:rtl/>
          <w:lang w:bidi="fa-IR"/>
        </w:rPr>
        <w:t>فَقَالَ : « نَعَمْ » وَقَالَ فِيمَا أَعْلَمُ : « يَتَصَدَّقُ بِهِ ».</w:t>
      </w:r>
    </w:p>
    <w:p w:rsidR="00744A1C" w:rsidRDefault="00744A1C" w:rsidP="00744A1C">
      <w:pPr>
        <w:pStyle w:val="libNormal"/>
        <w:rPr>
          <w:lang w:bidi="fa-IR"/>
        </w:rPr>
      </w:pPr>
      <w:r>
        <w:rPr>
          <w:rtl/>
          <w:lang w:bidi="fa-IR"/>
        </w:rPr>
        <w:t xml:space="preserve">قَالَ إِسْحَاقُ : وَقُلْتُ لِأَبِي إِبْرَاهِيمَ </w:t>
      </w:r>
      <w:r w:rsidR="0061079A" w:rsidRPr="0061079A">
        <w:rPr>
          <w:rStyle w:val="libAlaemChar"/>
          <w:rtl/>
        </w:rPr>
        <w:t>عليه‌السلام</w:t>
      </w:r>
      <w:r w:rsidR="00D10E3C">
        <w:rPr>
          <w:rtl/>
          <w:lang w:bidi="fa-IR"/>
        </w:rPr>
        <w:t xml:space="preserve"> </w:t>
      </w:r>
      <w:r>
        <w:rPr>
          <w:rtl/>
          <w:lang w:bidi="fa-IR"/>
        </w:rPr>
        <w:t xml:space="preserve">: الرَّجُلُ يَجْرَحُ </w:t>
      </w:r>
      <w:r w:rsidRPr="00D10E3C">
        <w:rPr>
          <w:rStyle w:val="libFootnotenumChar"/>
          <w:rtl/>
        </w:rPr>
        <w:t>(4)</w:t>
      </w:r>
      <w:r>
        <w:rPr>
          <w:rtl/>
          <w:lang w:bidi="fa-IR"/>
        </w:rPr>
        <w:t xml:space="preserve"> مِنْ حَجَّتِهِ مَا يَجِبُ عَلَيْهِ الدَّمُ ، وَلَايُهَرِيقُهُ </w:t>
      </w:r>
      <w:r w:rsidRPr="00D10E3C">
        <w:rPr>
          <w:rStyle w:val="libFootnotenumChar"/>
          <w:rtl/>
        </w:rPr>
        <w:t>(5)</w:t>
      </w:r>
      <w:r>
        <w:rPr>
          <w:rtl/>
          <w:lang w:bidi="fa-IR"/>
        </w:rPr>
        <w:t xml:space="preserve"> حَتّى يَرْجِعَ إِلى أَهْلِهِ؟</w:t>
      </w:r>
    </w:p>
    <w:p w:rsidR="00144FA6" w:rsidRDefault="00744A1C" w:rsidP="00744A1C">
      <w:pPr>
        <w:pStyle w:val="libNormal"/>
        <w:rPr>
          <w:rtl/>
          <w:lang w:bidi="fa-IR"/>
        </w:rPr>
      </w:pPr>
      <w:r>
        <w:rPr>
          <w:rtl/>
          <w:lang w:bidi="fa-IR"/>
        </w:rPr>
        <w:t xml:space="preserve">فَقَالَ : « يُهَرِيقُهُ فِي أَهْلِهِ ، وَيَأْكُلُ مِنْهُ الشَّيْ‌ءَ </w:t>
      </w:r>
      <w:r w:rsidRPr="00D10E3C">
        <w:rPr>
          <w:rStyle w:val="libFootnotenumChar"/>
          <w:rtl/>
        </w:rPr>
        <w:t>(6)</w:t>
      </w:r>
      <w:r>
        <w:rPr>
          <w:rtl/>
          <w:lang w:bidi="fa-IR"/>
        </w:rPr>
        <w:t xml:space="preserve"> ». </w:t>
      </w:r>
      <w:r w:rsidRPr="00D10E3C">
        <w:rPr>
          <w:rStyle w:val="libFootnotenumChar"/>
          <w:rtl/>
        </w:rPr>
        <w:t>(7)</w:t>
      </w:r>
    </w:p>
    <w:p w:rsidR="00744A1C" w:rsidRDefault="00744A1C" w:rsidP="00744A1C">
      <w:pPr>
        <w:pStyle w:val="libNormal"/>
        <w:rPr>
          <w:lang w:bidi="fa-IR"/>
        </w:rPr>
      </w:pPr>
      <w:r>
        <w:rPr>
          <w:rtl/>
          <w:lang w:bidi="fa-IR"/>
        </w:rPr>
        <w:t xml:space="preserve">7842 / 5. مُحَمَّدُ بْنُ يَحْيى ، عَنْ أَحْمَدَ بْنِ مُحَمَّدٍ ، عَنِ ابْنِ فَضَّالٍ </w:t>
      </w:r>
      <w:r w:rsidRPr="00D10E3C">
        <w:rPr>
          <w:rStyle w:val="libFootnotenumChar"/>
          <w:rtl/>
        </w:rPr>
        <w:t>(8)</w:t>
      </w:r>
      <w:r>
        <w:rPr>
          <w:rtl/>
          <w:lang w:bidi="fa-IR"/>
        </w:rPr>
        <w:t xml:space="preserve"> ، عَنْ يُونُسَ بْنِ‌</w:t>
      </w:r>
    </w:p>
    <w:p w:rsidR="00744A1C" w:rsidRDefault="00744A1C" w:rsidP="00D10E3C">
      <w:pPr>
        <w:pStyle w:val="libLine"/>
        <w:rPr>
          <w:lang w:bidi="fa-IR"/>
        </w:rPr>
      </w:pPr>
      <w:r>
        <w:rPr>
          <w:rtl/>
          <w:lang w:bidi="fa-IR"/>
        </w:rPr>
        <w:t>____________________</w:t>
      </w:r>
    </w:p>
    <w:p w:rsidR="00744A1C" w:rsidRDefault="000C0DF7" w:rsidP="00D10E3C">
      <w:pPr>
        <w:pStyle w:val="libFootnote0"/>
        <w:rPr>
          <w:lang w:bidi="fa-IR"/>
        </w:rPr>
      </w:pPr>
      <w:r>
        <w:rPr>
          <w:rFonts w:hint="cs"/>
          <w:rtl/>
          <w:lang w:bidi="fa-IR"/>
        </w:rPr>
        <w:t xml:space="preserve">= </w:t>
      </w:r>
      <w:r w:rsidR="00744A1C">
        <w:rPr>
          <w:rtl/>
          <w:lang w:bidi="fa-IR"/>
        </w:rPr>
        <w:t xml:space="preserve">« يخترج ». وفي سائر النسخ والمطبوع : « يخرج ». وقال في </w:t>
      </w:r>
      <w:r w:rsidR="00744A1C" w:rsidRPr="00C24F9C">
        <w:rPr>
          <w:rStyle w:val="libFootnoteBoldChar"/>
          <w:rtl/>
        </w:rPr>
        <w:t>الوافي</w:t>
      </w:r>
      <w:r w:rsidR="00744A1C">
        <w:rPr>
          <w:rtl/>
          <w:lang w:bidi="fa-IR"/>
        </w:rPr>
        <w:t xml:space="preserve"> : « يجرح ، بالجيم قبل المهملتين بمعنى يكسب في الموضعين ، وقد مضى نظيره في باب من يحجّ عن غيره ، وقد صحّفه بعض النسّاخ ». واستظهره في </w:t>
      </w:r>
      <w:r w:rsidR="00744A1C" w:rsidRPr="00877682">
        <w:rPr>
          <w:rStyle w:val="libFootnoteBoldChar"/>
          <w:rtl/>
        </w:rPr>
        <w:t>مرآة العقول</w:t>
      </w:r>
      <w:r w:rsidR="00744A1C">
        <w:rPr>
          <w:rtl/>
          <w:lang w:bidi="fa-IR"/>
        </w:rPr>
        <w:t xml:space="preserve"> ، ج 18 ، ص 159. وراجع : </w:t>
      </w:r>
      <w:r w:rsidR="00744A1C" w:rsidRPr="00877682">
        <w:rPr>
          <w:rStyle w:val="libFootnoteBoldChar"/>
          <w:rtl/>
        </w:rPr>
        <w:t>لسان العرب</w:t>
      </w:r>
      <w:r w:rsidR="00744A1C">
        <w:rPr>
          <w:rtl/>
          <w:lang w:bidi="fa-IR"/>
        </w:rPr>
        <w:t xml:space="preserve"> ، ج 2 ، ص 423 ( جرح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 يخرج من حجّه وعليه شي‌ء ويلزمه ».</w:t>
      </w:r>
    </w:p>
    <w:tbl>
      <w:tblPr>
        <w:tblStyle w:val="TableGrid"/>
        <w:bidiVisual/>
        <w:tblW w:w="0" w:type="auto"/>
        <w:tblLook w:val="04A0" w:firstRow="1" w:lastRow="0" w:firstColumn="1" w:lastColumn="0" w:noHBand="0" w:noVBand="1"/>
      </w:tblPr>
      <w:tblGrid>
        <w:gridCol w:w="4006"/>
        <w:gridCol w:w="4006"/>
      </w:tblGrid>
      <w:tr w:rsidR="000C0DF7" w:rsidTr="000C0DF7">
        <w:tc>
          <w:tcPr>
            <w:tcW w:w="4006" w:type="dxa"/>
          </w:tcPr>
          <w:p w:rsidR="000C0DF7" w:rsidRDefault="000C0DF7" w:rsidP="00E378DD">
            <w:pPr>
              <w:pStyle w:val="libFootnote0"/>
              <w:rPr>
                <w:rtl/>
                <w:lang w:bidi="fa-IR"/>
              </w:rPr>
            </w:pPr>
            <w:r>
              <w:rPr>
                <w:rtl/>
                <w:lang w:bidi="fa-IR"/>
              </w:rPr>
              <w:t>(2). في « بخ ، بف » و</w:t>
            </w:r>
            <w:r w:rsidRPr="00C24F9C">
              <w:rPr>
                <w:rStyle w:val="libFootnoteBoldChar"/>
                <w:rtl/>
              </w:rPr>
              <w:t>الوافي</w:t>
            </w:r>
            <w:r>
              <w:rPr>
                <w:rtl/>
                <w:lang w:bidi="fa-IR"/>
              </w:rPr>
              <w:t xml:space="preserve"> </w:t>
            </w:r>
            <w:r w:rsidRPr="0061079A">
              <w:rPr>
                <w:rStyle w:val="libFootnoteBoldChar"/>
                <w:rtl/>
              </w:rPr>
              <w:t>والتهذيب</w:t>
            </w:r>
            <w:r>
              <w:rPr>
                <w:rtl/>
                <w:lang w:bidi="fa-IR"/>
              </w:rPr>
              <w:t xml:space="preserve"> : « فيه ».</w:t>
            </w:r>
          </w:p>
        </w:tc>
        <w:tc>
          <w:tcPr>
            <w:tcW w:w="4006" w:type="dxa"/>
          </w:tcPr>
          <w:p w:rsidR="000C0DF7" w:rsidRDefault="000C0DF7" w:rsidP="00E378DD">
            <w:pPr>
              <w:pStyle w:val="libFootnote0"/>
              <w:rPr>
                <w:rtl/>
                <w:lang w:bidi="fa-IR"/>
              </w:rPr>
            </w:pPr>
            <w:r>
              <w:rPr>
                <w:rtl/>
                <w:lang w:bidi="fa-IR"/>
              </w:rPr>
              <w:t>(3). في « بث ، بس » : « مجزئه ».</w:t>
            </w:r>
          </w:p>
        </w:tc>
      </w:tr>
    </w:tbl>
    <w:p w:rsidR="00744A1C" w:rsidRDefault="00E378DD" w:rsidP="00E378DD">
      <w:pPr>
        <w:pStyle w:val="libFootnote0"/>
        <w:rPr>
          <w:lang w:bidi="fa-IR"/>
        </w:rPr>
      </w:pPr>
      <w:r>
        <w:rPr>
          <w:rtl/>
          <w:lang w:bidi="fa-IR"/>
        </w:rPr>
        <w:t>(4).</w:t>
      </w:r>
      <w:r w:rsidR="00744A1C">
        <w:rPr>
          <w:rtl/>
          <w:lang w:bidi="fa-IR"/>
        </w:rPr>
        <w:t xml:space="preserve"> هكذا في « ت ، بظ ، جن » وحاشية « غ ، بث ، بح » و</w:t>
      </w:r>
      <w:r w:rsidR="00744A1C" w:rsidRPr="00C24F9C">
        <w:rPr>
          <w:rStyle w:val="libFootnoteBoldChar"/>
          <w:rtl/>
        </w:rPr>
        <w:t>الوافي</w:t>
      </w:r>
      <w:r w:rsidR="00744A1C">
        <w:rPr>
          <w:rtl/>
          <w:lang w:bidi="fa-IR"/>
        </w:rPr>
        <w:t>. وفي « بس ، بق ، جد » وحاشية « بظ ، جش » : « يخترج ». وفي سائر النسخ والمطبوع : « يخرج ».</w:t>
      </w:r>
    </w:p>
    <w:p w:rsidR="00744A1C" w:rsidRDefault="00E378DD" w:rsidP="00E378DD">
      <w:pPr>
        <w:pStyle w:val="libFootnote0"/>
        <w:rPr>
          <w:lang w:bidi="fa-IR"/>
        </w:rPr>
      </w:pPr>
      <w:r>
        <w:rPr>
          <w:rtl/>
          <w:lang w:bidi="fa-IR"/>
        </w:rPr>
        <w:t>(5).</w:t>
      </w:r>
      <w:r w:rsidR="00744A1C">
        <w:rPr>
          <w:rtl/>
          <w:lang w:bidi="fa-IR"/>
        </w:rPr>
        <w:t xml:space="preserve"> في « جد » و</w:t>
      </w:r>
      <w:r w:rsidR="00744A1C" w:rsidRPr="00C24F9C">
        <w:rPr>
          <w:rStyle w:val="libFootnoteBoldChar"/>
          <w:rtl/>
        </w:rPr>
        <w:t>الوافي</w:t>
      </w:r>
      <w:r w:rsidR="00744A1C">
        <w:rPr>
          <w:rtl/>
          <w:lang w:bidi="fa-IR"/>
        </w:rPr>
        <w:t xml:space="preserve"> : « فلا يهريقه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هذا الخبر يخالف المشهور من وجهين : الذبح بغير منى ، والأكل. والشيخ حمل الأكل في مثله على الضرورة ، وقال في المدارك عند قول المحقّق : كلّ ما يلزم المحرم من فداء يذبحه ، أو ينحره بمكّة إن كان معتمراً ، وبمنى إن كان حاجّاً : هذا مذهب الأصحاب لا أعلم فيه خلافاً ، والروايات مختصّة بفداء الصيد ، وأمّا غيره فلم أقف على نصّ يقتضي تعيّن ذبحه في هذين الموضعين ، فلو قيل بجواز ذبحه حيث كان لم يكن بعيداً ». وراجع : </w:t>
      </w:r>
      <w:r w:rsidR="00744A1C" w:rsidRPr="00C24F9C">
        <w:rPr>
          <w:rStyle w:val="libFootnoteBoldChar"/>
          <w:rtl/>
        </w:rPr>
        <w:t>مدارك الأحكام</w:t>
      </w:r>
      <w:r w:rsidR="00744A1C">
        <w:rPr>
          <w:rtl/>
          <w:lang w:bidi="fa-IR"/>
        </w:rPr>
        <w:t xml:space="preserve"> ، ج 8 ، ص 405.</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481 ، ح 1712 ، معلّقاً عن صفوان ، عن إسحاق بن عمّار ، إلى قوله : « فيما أعلم يتصدّق به » </w:t>
      </w:r>
      <w:r w:rsidR="006D30E6">
        <w:rPr>
          <w:rFonts w:hint="cs"/>
          <w:rtl/>
          <w:lang w:bidi="fa-IR"/>
        </w:rPr>
        <w:t>.</w:t>
      </w:r>
      <w:r w:rsidR="00744A1C" w:rsidRPr="00C24F9C">
        <w:rPr>
          <w:rStyle w:val="libFootnoteBoldChar"/>
          <w:rtl/>
        </w:rPr>
        <w:t>الوافي</w:t>
      </w:r>
      <w:r w:rsidR="00744A1C">
        <w:rPr>
          <w:rtl/>
          <w:lang w:bidi="fa-IR"/>
        </w:rPr>
        <w:t xml:space="preserve"> ، ج 13 ، ص 773 ، ح 13134 ؛ </w:t>
      </w:r>
      <w:r w:rsidR="00744A1C" w:rsidRPr="00C24F9C">
        <w:rPr>
          <w:rStyle w:val="libFootnoteBoldChar"/>
          <w:rtl/>
        </w:rPr>
        <w:t>الوسائل</w:t>
      </w:r>
      <w:r w:rsidR="00744A1C">
        <w:rPr>
          <w:rtl/>
          <w:lang w:bidi="fa-IR"/>
        </w:rPr>
        <w:t xml:space="preserve"> ، ج 14 ، ص 90 ، ح 18673.</w:t>
      </w:r>
    </w:p>
    <w:p w:rsidR="00744A1C" w:rsidRDefault="00E378DD" w:rsidP="00E378DD">
      <w:pPr>
        <w:pStyle w:val="libFootnote0"/>
        <w:rPr>
          <w:lang w:bidi="fa-IR"/>
        </w:rPr>
      </w:pPr>
      <w:r>
        <w:rPr>
          <w:rtl/>
          <w:lang w:bidi="fa-IR"/>
        </w:rPr>
        <w:t>(8).</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5 ، ص 483 ، ح 1717 عن محمّد بن يحيى عن الحسن بن عليّ بن فضّال عن‌يونس بن يعقوب. ولم يثبت رواية محمّد بن يحيى عن الحسن بن عليّ بن فضّال ، بل توسّط بينهما أحمد بن محمّد [ بن عيسى ] في كثيرٍ من الأسناد. راجع : </w:t>
      </w:r>
      <w:r w:rsidR="00744A1C" w:rsidRPr="0061079A">
        <w:rPr>
          <w:rStyle w:val="libFootnoteBoldChar"/>
          <w:rtl/>
        </w:rPr>
        <w:t>معجم رجال الحديث</w:t>
      </w:r>
      <w:r w:rsidR="00744A1C">
        <w:rPr>
          <w:rtl/>
          <w:lang w:bidi="fa-IR"/>
        </w:rPr>
        <w:t xml:space="preserve"> ، ج 2 ، ص 473 - 476 ، ص 496 - 497 ؛ وص 656 - 657.</w:t>
      </w:r>
    </w:p>
    <w:p w:rsidR="00744A1C" w:rsidRDefault="00744A1C" w:rsidP="00D10E3C">
      <w:pPr>
        <w:pStyle w:val="libFootnote0"/>
        <w:rPr>
          <w:lang w:bidi="fa-IR"/>
        </w:rPr>
      </w:pPr>
      <w:r>
        <w:rPr>
          <w:rtl/>
          <w:lang w:bidi="fa-IR"/>
        </w:rPr>
        <w:t xml:space="preserve">والمظنون أنّ الصواب في سند </w:t>
      </w:r>
      <w:r w:rsidRPr="00C24F9C">
        <w:rPr>
          <w:rStyle w:val="libFootnoteBoldChar"/>
          <w:rtl/>
        </w:rPr>
        <w:t>التهذيب</w:t>
      </w:r>
      <w:r>
        <w:rPr>
          <w:rtl/>
          <w:lang w:bidi="fa-IR"/>
        </w:rPr>
        <w:t xml:space="preserve"> هو محمّد بن الحسين بدل محمّد بن يحيى ؛ فقد روى محمّد بن </w:t>
      </w:r>
      <w:r w:rsidR="006D30E6">
        <w:rPr>
          <w:rFonts w:hint="cs"/>
          <w:rtl/>
          <w:lang w:bidi="fa-IR"/>
        </w:rPr>
        <w:t>=</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يَعْقُوبَ ، عَنْ شُعَيْبٍ الْعَقَرْقُوفِيِّ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سُقْتُ فِي الْعُمْرَةِ بَدَنَةً : فَأَيْنَ </w:t>
      </w:r>
      <w:r w:rsidRPr="00D10E3C">
        <w:rPr>
          <w:rStyle w:val="libFootnotenumChar"/>
          <w:rtl/>
        </w:rPr>
        <w:t>(1)</w:t>
      </w:r>
      <w:r>
        <w:rPr>
          <w:rtl/>
          <w:lang w:bidi="fa-IR"/>
        </w:rPr>
        <w:t xml:space="preserve"> أَنْحَرُهَا؟ قَالَ : « بِمَكَّةَ ».</w:t>
      </w:r>
    </w:p>
    <w:p w:rsidR="00144FA6" w:rsidRDefault="00744A1C" w:rsidP="00744A1C">
      <w:pPr>
        <w:pStyle w:val="libNormal"/>
        <w:rPr>
          <w:rtl/>
          <w:lang w:bidi="fa-IR"/>
        </w:rPr>
      </w:pPr>
      <w:r>
        <w:rPr>
          <w:rtl/>
          <w:lang w:bidi="fa-IR"/>
        </w:rPr>
        <w:t xml:space="preserve">قُلْتُ : أَيَّ </w:t>
      </w:r>
      <w:r w:rsidRPr="00D10E3C">
        <w:rPr>
          <w:rStyle w:val="libFootnotenumChar"/>
          <w:rtl/>
        </w:rPr>
        <w:t>(2)</w:t>
      </w:r>
      <w:r>
        <w:rPr>
          <w:rtl/>
          <w:lang w:bidi="fa-IR"/>
        </w:rPr>
        <w:t xml:space="preserve"> شَيْ‌ءٍ أُعْطِي مِنْهَا؟ قَالَ : « كُلْ ثُلُثاً ، وَأَهْدِ ثُلُثاً ، وَتَصَدَّقْ بِثُلُثٍ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7843 / 6. عَلِيُّ بْنُ إِبْرَاهِيمَ ، عَنْ أَبِيهِ ، عَنِ ابْنِ أَبِي عُمَيْرٍ ، عَنْ مُعَاوِيَةَ بْنِ عَمَّارٍ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إِنَّ أَهْلَ مَكَّةَ أَنْكَرُوا عَلَيْكَ أَنَّكَ ذَبَحْتَ هَدْيَكَ فِي مَنْزِلِكَ بِمَكَّةَ.</w:t>
      </w:r>
    </w:p>
    <w:p w:rsidR="00144FA6" w:rsidRDefault="00744A1C" w:rsidP="00744A1C">
      <w:pPr>
        <w:pStyle w:val="libNormal"/>
        <w:rPr>
          <w:rtl/>
          <w:lang w:bidi="fa-IR"/>
        </w:rPr>
      </w:pPr>
      <w:r>
        <w:rPr>
          <w:rtl/>
          <w:lang w:bidi="fa-IR"/>
        </w:rPr>
        <w:t xml:space="preserve">فَقَالَ : « إِنَّ مَكَّةَ كُلَّهَا مَنْحَرٌ </w:t>
      </w:r>
      <w:r w:rsidRPr="00D10E3C">
        <w:rPr>
          <w:rStyle w:val="libFootnotenumChar"/>
          <w:rtl/>
        </w:rPr>
        <w:t>(5)</w:t>
      </w:r>
      <w:r>
        <w:rPr>
          <w:rtl/>
          <w:lang w:bidi="fa-IR"/>
        </w:rPr>
        <w:t xml:space="preserve"> ». </w:t>
      </w:r>
      <w:r w:rsidRPr="00D10E3C">
        <w:rPr>
          <w:rStyle w:val="libFootnotenumChar"/>
          <w:rtl/>
        </w:rPr>
        <w:t>(6)</w:t>
      </w:r>
    </w:p>
    <w:p w:rsidR="00744A1C" w:rsidRDefault="00744A1C" w:rsidP="000272E6">
      <w:pPr>
        <w:pStyle w:val="Heading2Center"/>
        <w:rPr>
          <w:lang w:bidi="fa-IR"/>
        </w:rPr>
      </w:pPr>
      <w:bookmarkStart w:id="26" w:name="_Toc49261324"/>
      <w:r>
        <w:rPr>
          <w:rtl/>
          <w:lang w:bidi="fa-IR"/>
        </w:rPr>
        <w:t>181 - بَابُ مَا يُسْتَحَبُّ مِنَ الْهَدْيِ وَمَا يَجُوزُ مِنْهُ وَمَا لَايَجُوزُ‌</w:t>
      </w:r>
      <w:bookmarkEnd w:id="26"/>
    </w:p>
    <w:p w:rsidR="00744A1C" w:rsidRDefault="00744A1C" w:rsidP="00744A1C">
      <w:pPr>
        <w:pStyle w:val="libNormal"/>
        <w:rPr>
          <w:lang w:bidi="fa-IR"/>
        </w:rPr>
      </w:pPr>
      <w:r>
        <w:rPr>
          <w:rtl/>
          <w:lang w:bidi="fa-IR"/>
        </w:rPr>
        <w:t>7844 / 1. الْحُسَيْنُ بْنُ مُحَمَّدٍ ، عَنْ مُعَلَّى بْنِ مُحَمَّدٍ ، عَمَّنْ حَدَّثَهُ ، عَنْ حَمَّادِ بْنِ‌</w:t>
      </w:r>
    </w:p>
    <w:p w:rsidR="00744A1C" w:rsidRDefault="00744A1C" w:rsidP="00D10E3C">
      <w:pPr>
        <w:pStyle w:val="libLine"/>
        <w:rPr>
          <w:lang w:bidi="fa-IR"/>
        </w:rPr>
      </w:pPr>
      <w:r>
        <w:rPr>
          <w:rtl/>
          <w:lang w:bidi="fa-IR"/>
        </w:rPr>
        <w:t>____________________</w:t>
      </w:r>
    </w:p>
    <w:p w:rsidR="00744A1C" w:rsidRDefault="000272E6" w:rsidP="00D10E3C">
      <w:pPr>
        <w:pStyle w:val="libFootnote0"/>
        <w:rPr>
          <w:lang w:bidi="fa-IR"/>
        </w:rPr>
      </w:pPr>
      <w:r>
        <w:rPr>
          <w:rFonts w:hint="cs"/>
          <w:rtl/>
          <w:lang w:bidi="fa-IR"/>
        </w:rPr>
        <w:t xml:space="preserve">= </w:t>
      </w:r>
      <w:r w:rsidR="00744A1C">
        <w:rPr>
          <w:rtl/>
          <w:lang w:bidi="fa-IR"/>
        </w:rPr>
        <w:t xml:space="preserve">الحسين عن [ الحسن بن عليّ ] بن فضّال في عددٍ من الأسناد ، منها ما ورد في </w:t>
      </w:r>
      <w:r w:rsidR="00744A1C" w:rsidRPr="00C24F9C">
        <w:rPr>
          <w:rStyle w:val="libFootnoteBoldChar"/>
          <w:rtl/>
        </w:rPr>
        <w:t>التهذيب</w:t>
      </w:r>
      <w:r w:rsidR="00744A1C">
        <w:rPr>
          <w:rtl/>
          <w:lang w:bidi="fa-IR"/>
        </w:rPr>
        <w:t xml:space="preserve"> ، ج 5 ، ص 469 ، ح 1643 ؛ وص 474 ، ح 1667 ، وقد ابتدئ السند في الموضعين بمحمّد بن الحسين. راجع : </w:t>
      </w:r>
      <w:r w:rsidR="00744A1C" w:rsidRPr="0061079A">
        <w:rPr>
          <w:rStyle w:val="libFootnoteBoldChar"/>
          <w:rtl/>
        </w:rPr>
        <w:t>معجم رجال الحديث</w:t>
      </w:r>
      <w:r w:rsidR="00744A1C">
        <w:rPr>
          <w:rtl/>
          <w:lang w:bidi="fa-IR"/>
        </w:rPr>
        <w:t xml:space="preserve"> ، ج 15 ، ص 400 - 401 ؛ وص 405 - 406.</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w:t>
      </w:r>
      <w:r w:rsidR="00744A1C" w:rsidRPr="008C7074">
        <w:rPr>
          <w:rtl/>
        </w:rPr>
        <w:t>والوافي والوسائل والتهذيب</w:t>
      </w:r>
      <w:r w:rsidR="00744A1C">
        <w:rPr>
          <w:rtl/>
          <w:lang w:bidi="fa-IR"/>
        </w:rPr>
        <w:t>. وفي المطبوع : « أين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 ح 18668 </w:t>
      </w:r>
      <w:r w:rsidR="00744A1C" w:rsidRPr="0061079A">
        <w:rPr>
          <w:rStyle w:val="libFootnoteBoldChar"/>
          <w:rtl/>
        </w:rPr>
        <w:t>والتهذيب</w:t>
      </w:r>
      <w:r w:rsidR="00744A1C">
        <w:rPr>
          <w:rtl/>
          <w:lang w:bidi="fa-IR"/>
        </w:rPr>
        <w:t xml:space="preserve"> ، ص 202 : « فأيّ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المشهور استحباب القسمة كذلك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202 ، ح 672 ، معلّقاً عن الكليني. وفيه ، ص 483 ، ح 1717 ، معلّقاً عن محمّد بن يحيى ، عن الحسن بن عليّ بن فضّال. وراجع : </w:t>
      </w:r>
      <w:r w:rsidR="00744A1C" w:rsidRPr="00C24F9C">
        <w:rPr>
          <w:rStyle w:val="libFootnoteBoldChar"/>
          <w:rtl/>
        </w:rPr>
        <w:t>الفقيه</w:t>
      </w:r>
      <w:r w:rsidR="00744A1C">
        <w:rPr>
          <w:rtl/>
          <w:lang w:bidi="fa-IR"/>
        </w:rPr>
        <w:t xml:space="preserve"> ، ج 2 ، ص 549 </w:t>
      </w:r>
      <w:r w:rsidR="008C7074">
        <w:rPr>
          <w:rFonts w:hint="cs"/>
          <w:rtl/>
          <w:lang w:bidi="fa-IR"/>
        </w:rPr>
        <w:t>.</w:t>
      </w:r>
      <w:r w:rsidR="00744A1C" w:rsidRPr="00C24F9C">
        <w:rPr>
          <w:rStyle w:val="libFootnoteBoldChar"/>
          <w:rtl/>
        </w:rPr>
        <w:t>الوافي</w:t>
      </w:r>
      <w:r w:rsidR="00744A1C">
        <w:rPr>
          <w:rtl/>
          <w:lang w:bidi="fa-IR"/>
        </w:rPr>
        <w:t xml:space="preserve"> ، ج 14 ، ص 1137 ، ح 13937 ؛ </w:t>
      </w:r>
      <w:r w:rsidR="00744A1C" w:rsidRPr="00C24F9C">
        <w:rPr>
          <w:rStyle w:val="libFootnoteBoldChar"/>
          <w:rtl/>
        </w:rPr>
        <w:t>الوسائل</w:t>
      </w:r>
      <w:r w:rsidR="00744A1C">
        <w:rPr>
          <w:rtl/>
          <w:lang w:bidi="fa-IR"/>
        </w:rPr>
        <w:t xml:space="preserve"> ، ج 14 ، ص 88 ، ح 18668 ؛ وص 165 ، ح 18882.</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يمكن حمله على ما إذا ساقه في العمرة ، أو على ما إذا لم يشعر ولم يقلّد ، أو على المستحبّ ، أو على الضرورة. ويستفاد من الجمع بين الأخبار أ</w:t>
      </w:r>
      <w:r w:rsidR="008C7074">
        <w:rPr>
          <w:rtl/>
          <w:lang w:bidi="fa-IR"/>
        </w:rPr>
        <w:t>نّ هدي الحجّ الواجب لا ينحر إل</w:t>
      </w:r>
      <w:r w:rsidR="008C7074">
        <w:rPr>
          <w:rFonts w:hint="cs"/>
          <w:rtl/>
          <w:lang w:bidi="fa-IR"/>
        </w:rPr>
        <w:t>ّ</w:t>
      </w:r>
      <w:r w:rsidR="008C7074">
        <w:rPr>
          <w:rtl/>
          <w:lang w:bidi="fa-IR"/>
        </w:rPr>
        <w:t>ا</w:t>
      </w:r>
      <w:r w:rsidR="008C7074">
        <w:rPr>
          <w:rFonts w:hint="cs"/>
          <w:rtl/>
          <w:lang w:bidi="fa-IR"/>
        </w:rPr>
        <w:t xml:space="preserve"> </w:t>
      </w:r>
      <w:r w:rsidR="00744A1C">
        <w:rPr>
          <w:rtl/>
          <w:lang w:bidi="fa-IR"/>
        </w:rPr>
        <w:t>بمنى ، وكذا ما اشعر أو قلّد وإن كان مستحبّاً ، والمستحبّ يجوز نحره بمكّة رخصة ، وهدي العمرة ينحر بمكّة واجباً كان أو مستحبّاً ، ومكّة كلّها منحر ، وأفضلها الجزورة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202 ، ح 671 ؛ </w:t>
      </w:r>
      <w:r w:rsidR="00744A1C" w:rsidRPr="00C24F9C">
        <w:rPr>
          <w:rStyle w:val="libFootnoteBoldChar"/>
          <w:rtl/>
        </w:rPr>
        <w:t>والاستبصار</w:t>
      </w:r>
      <w:r w:rsidR="00744A1C">
        <w:rPr>
          <w:rtl/>
          <w:lang w:bidi="fa-IR"/>
        </w:rPr>
        <w:t xml:space="preserve"> ، ج 2 ، ص 263 ، ح 929 ، معلّقاً عن الكليني </w:t>
      </w:r>
      <w:r w:rsidR="008C7074">
        <w:rPr>
          <w:rFonts w:hint="cs"/>
          <w:rtl/>
          <w:lang w:bidi="fa-IR"/>
        </w:rPr>
        <w:t>.</w:t>
      </w:r>
      <w:r w:rsidR="00744A1C" w:rsidRPr="00C24F9C">
        <w:rPr>
          <w:rStyle w:val="libFootnoteBoldChar"/>
          <w:rtl/>
        </w:rPr>
        <w:t>الوافي</w:t>
      </w:r>
      <w:r w:rsidR="00744A1C">
        <w:rPr>
          <w:rtl/>
          <w:lang w:bidi="fa-IR"/>
        </w:rPr>
        <w:t xml:space="preserve"> ، ج 14 ، ص 1138 ، ح 13938 ؛ </w:t>
      </w:r>
      <w:r w:rsidR="00744A1C" w:rsidRPr="00C24F9C">
        <w:rPr>
          <w:rStyle w:val="libFootnoteBoldChar"/>
          <w:rtl/>
        </w:rPr>
        <w:t>الوسائل</w:t>
      </w:r>
      <w:r w:rsidR="00744A1C">
        <w:rPr>
          <w:rtl/>
          <w:lang w:bidi="fa-IR"/>
        </w:rPr>
        <w:t xml:space="preserve"> ، ج 14 ، ص 88 ، ح 18667.</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عُثْمَانَ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أَدْنى مَا يُجْزِئُ مِنْ أَسْنَانِ الْغَنَمِ فِي الْهَدْيِ؟</w:t>
      </w:r>
    </w:p>
    <w:p w:rsidR="00744A1C" w:rsidRDefault="00744A1C" w:rsidP="00744A1C">
      <w:pPr>
        <w:pStyle w:val="libNormal"/>
        <w:rPr>
          <w:lang w:bidi="fa-IR"/>
        </w:rPr>
      </w:pPr>
      <w:r>
        <w:rPr>
          <w:rtl/>
          <w:lang w:bidi="fa-IR"/>
        </w:rPr>
        <w:t xml:space="preserve">فَقَالَ : « الْجَذَعُ </w:t>
      </w:r>
      <w:r w:rsidRPr="00D10E3C">
        <w:rPr>
          <w:rStyle w:val="libFootnotenumChar"/>
          <w:rtl/>
        </w:rPr>
        <w:t>(1)</w:t>
      </w:r>
      <w:r>
        <w:rPr>
          <w:rtl/>
          <w:lang w:bidi="fa-IR"/>
        </w:rPr>
        <w:t xml:space="preserve"> مِنَ الضَّأْنِ </w:t>
      </w:r>
      <w:r w:rsidRPr="00D10E3C">
        <w:rPr>
          <w:rStyle w:val="libFootnotenumChar"/>
          <w:rtl/>
        </w:rPr>
        <w:t>(2)</w:t>
      </w:r>
      <w:r>
        <w:rPr>
          <w:rtl/>
          <w:lang w:bidi="fa-IR"/>
        </w:rPr>
        <w:t xml:space="preserve"> ».</w:t>
      </w:r>
    </w:p>
    <w:p w:rsidR="00744A1C" w:rsidRDefault="00744A1C" w:rsidP="00744A1C">
      <w:pPr>
        <w:pStyle w:val="libNormal"/>
        <w:rPr>
          <w:lang w:bidi="fa-IR"/>
        </w:rPr>
      </w:pPr>
      <w:r>
        <w:rPr>
          <w:rtl/>
          <w:lang w:bidi="fa-IR"/>
        </w:rPr>
        <w:t xml:space="preserve">قُلْتُ : فَالْمَعْزُ </w:t>
      </w:r>
      <w:r w:rsidRPr="00D10E3C">
        <w:rPr>
          <w:rStyle w:val="libFootnotenumChar"/>
          <w:rtl/>
        </w:rPr>
        <w:t>(3)</w:t>
      </w:r>
      <w:r>
        <w:rPr>
          <w:rtl/>
          <w:lang w:bidi="fa-IR"/>
        </w:rPr>
        <w:t xml:space="preserve">؟ قَالَ : « لَا يُجْزِئُ </w:t>
      </w:r>
      <w:r w:rsidRPr="00D10E3C">
        <w:rPr>
          <w:rStyle w:val="libFootnotenumChar"/>
          <w:rtl/>
        </w:rPr>
        <w:t>(4)</w:t>
      </w:r>
      <w:r>
        <w:rPr>
          <w:rtl/>
          <w:lang w:bidi="fa-IR"/>
        </w:rPr>
        <w:t xml:space="preserve"> الْجَذَعُ مِنَ الْمَعْزِ ».</w:t>
      </w:r>
    </w:p>
    <w:p w:rsidR="00144FA6" w:rsidRDefault="00744A1C" w:rsidP="00744A1C">
      <w:pPr>
        <w:pStyle w:val="libNormal"/>
        <w:rPr>
          <w:rtl/>
          <w:lang w:bidi="fa-IR"/>
        </w:rPr>
      </w:pPr>
      <w:r>
        <w:rPr>
          <w:rtl/>
          <w:lang w:bidi="fa-IR"/>
        </w:rPr>
        <w:t xml:space="preserve">قُلْتُ : وَلِمَ </w:t>
      </w:r>
      <w:r w:rsidRPr="00D10E3C">
        <w:rPr>
          <w:rStyle w:val="libFootnotenumChar"/>
          <w:rtl/>
        </w:rPr>
        <w:t>(5)</w:t>
      </w:r>
      <w:r>
        <w:rPr>
          <w:rtl/>
          <w:lang w:bidi="fa-IR"/>
        </w:rPr>
        <w:t xml:space="preserve">؟ قَالَ : « لِأَنَّ الْجَذَعَ مِنَ الضَّأْنِ يَلْقَحُ </w:t>
      </w:r>
      <w:r w:rsidRPr="00D10E3C">
        <w:rPr>
          <w:rStyle w:val="libFootnotenumChar"/>
          <w:rtl/>
        </w:rPr>
        <w:t>(6)</w:t>
      </w:r>
      <w:r>
        <w:rPr>
          <w:rtl/>
          <w:lang w:bidi="fa-IR"/>
        </w:rPr>
        <w:t xml:space="preserve"> ، وَالْجَذَعُ مِنَ الْمَعْزِ لَا يَلْقَحُ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قال الجوهري : « الجَذَع : قبل الثنيّ ... تقول منه لولد الشاة في السنة الثانية ، ولولد البقر والحافر في السنة الثالثة ، وللإبل في السنة الخامسة : أَجْذَعَ ». وقال ابن الأثير : « أصل الجَذَع من أسنان الدوابّ ، وهو ما كان شابّاً فتيّاً ، فهو من الإبل ما دخل في السنة الخامسة ، ومن البقر والمعز ما دخل في السنة الثانية ، وقيل : البقر في الثالثة ، ومن الضأن ما تمّت له سنة ، وقيل أقلّ منها. ومنهم من يخالف بعض هذا في التقدير ». راجع : </w:t>
      </w:r>
      <w:r w:rsidR="00744A1C" w:rsidRPr="00E978C3">
        <w:rPr>
          <w:rStyle w:val="libFootnoteBoldChar"/>
          <w:rtl/>
        </w:rPr>
        <w:t>الصحاح</w:t>
      </w:r>
      <w:r w:rsidR="00744A1C">
        <w:rPr>
          <w:rtl/>
          <w:lang w:bidi="fa-IR"/>
        </w:rPr>
        <w:t xml:space="preserve"> ، ج 3 ، ص 1194 ؛ </w:t>
      </w:r>
      <w:r w:rsidR="00744A1C" w:rsidRPr="00877682">
        <w:rPr>
          <w:rStyle w:val="libFootnoteBoldChar"/>
          <w:rtl/>
        </w:rPr>
        <w:t>النهاية</w:t>
      </w:r>
      <w:r w:rsidR="00744A1C">
        <w:rPr>
          <w:rtl/>
          <w:lang w:bidi="fa-IR"/>
        </w:rPr>
        <w:t xml:space="preserve"> ، ج 1 ، ص 250 ( جذع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الجذع من الضأن والمعز : ما دخل في الثانية ». وفي </w:t>
      </w:r>
      <w:r w:rsidRPr="00877682">
        <w:rPr>
          <w:rStyle w:val="libFootnoteBoldChar"/>
          <w:rtl/>
        </w:rPr>
        <w:t>مرآة العقول</w:t>
      </w:r>
      <w:r>
        <w:rPr>
          <w:rtl/>
          <w:lang w:bidi="fa-IR"/>
        </w:rPr>
        <w:t xml:space="preserve"> ، ج 18 ، ص 161 : « أ</w:t>
      </w:r>
      <w:r w:rsidR="008C7074">
        <w:rPr>
          <w:rtl/>
          <w:lang w:bidi="fa-IR"/>
        </w:rPr>
        <w:t>مّا الجذع من الضأن ، فقال العل</w:t>
      </w:r>
      <w:r w:rsidR="008C7074">
        <w:rPr>
          <w:rFonts w:hint="cs"/>
          <w:rtl/>
          <w:lang w:bidi="fa-IR"/>
        </w:rPr>
        <w:t>ّ</w:t>
      </w:r>
      <w:r w:rsidR="008C7074">
        <w:rPr>
          <w:rtl/>
          <w:lang w:bidi="fa-IR"/>
        </w:rPr>
        <w:t>ا</w:t>
      </w:r>
      <w:r>
        <w:rPr>
          <w:rtl/>
          <w:lang w:bidi="fa-IR"/>
        </w:rPr>
        <w:t xml:space="preserve">مة في التذكرة والمنتهى : إنّه ما كمل له ستّة أشهر ... وقيل : إنّه ما كمل له سبعة أشهر ودخل في الثاني ، وحكى في التذكرة عن ابن الأعرابي أنّه قال : ولد الضأن إنّما يجذع ابن سبعة أشهر إذا كان أبواه شابيّن ، ولو كانا هرمين لم يجذع حتّى يستكمل ثمانية أشهر ، والاحتياط في كلّ ذلك أولى ». وراجع : تذكرة الفقهاء ، ج 5 ، ص 105 ، المسألة 57 ؛ وج 8 ، ص 259 ، المسألة 597 ؛ </w:t>
      </w:r>
      <w:r w:rsidRPr="00877682">
        <w:rPr>
          <w:rStyle w:val="libFootnoteBoldChar"/>
          <w:rtl/>
        </w:rPr>
        <w:t>منتهى المطلب</w:t>
      </w:r>
      <w:r>
        <w:rPr>
          <w:rtl/>
          <w:lang w:bidi="fa-IR"/>
        </w:rPr>
        <w:t xml:space="preserve"> ، ص 740 من الطبعة الحجريّة.</w:t>
      </w:r>
    </w:p>
    <w:p w:rsidR="00744A1C" w:rsidRDefault="00E378DD" w:rsidP="00E378DD">
      <w:pPr>
        <w:pStyle w:val="libFootnote0"/>
        <w:rPr>
          <w:lang w:bidi="fa-IR"/>
        </w:rPr>
      </w:pPr>
      <w:r>
        <w:rPr>
          <w:rtl/>
          <w:lang w:bidi="fa-IR"/>
        </w:rPr>
        <w:t>(2).</w:t>
      </w:r>
      <w:r w:rsidR="00744A1C">
        <w:rPr>
          <w:rtl/>
          <w:lang w:bidi="fa-IR"/>
        </w:rPr>
        <w:t xml:space="preserve"> « الضأن » : جمع الضائن ، وهو ذات الصوف من الغنم ، خلاف الماعز. راجع : </w:t>
      </w:r>
      <w:r w:rsidR="00744A1C" w:rsidRPr="00E978C3">
        <w:rPr>
          <w:rStyle w:val="libFootnoteBoldChar"/>
          <w:rtl/>
        </w:rPr>
        <w:t>الصحاح</w:t>
      </w:r>
      <w:r w:rsidR="00744A1C">
        <w:rPr>
          <w:rtl/>
          <w:lang w:bidi="fa-IR"/>
        </w:rPr>
        <w:t xml:space="preserve"> ، ج 6 ، ص 2152 ؛ </w:t>
      </w:r>
      <w:r w:rsidR="00744A1C" w:rsidRPr="00877682">
        <w:rPr>
          <w:rStyle w:val="libFootnoteBoldChar"/>
          <w:rtl/>
        </w:rPr>
        <w:t>لسان العرب</w:t>
      </w:r>
      <w:r w:rsidR="00744A1C">
        <w:rPr>
          <w:rtl/>
          <w:lang w:bidi="fa-IR"/>
        </w:rPr>
        <w:t xml:space="preserve"> ، ج 13 ، ص 251 ( ضأن ).</w:t>
      </w:r>
    </w:p>
    <w:p w:rsidR="00744A1C" w:rsidRDefault="00E378DD" w:rsidP="008C7074">
      <w:pPr>
        <w:pStyle w:val="libFootnote0"/>
        <w:rPr>
          <w:lang w:bidi="fa-IR"/>
        </w:rPr>
      </w:pPr>
      <w:r>
        <w:rPr>
          <w:rtl/>
          <w:lang w:bidi="fa-IR"/>
        </w:rPr>
        <w:t>(3).</w:t>
      </w:r>
      <w:r w:rsidR="00744A1C">
        <w:rPr>
          <w:rtl/>
          <w:lang w:bidi="fa-IR"/>
        </w:rPr>
        <w:t xml:space="preserve"> في « جن » : « في المعز ». والمعز : هي ذوات الشعر من الغنم ، خلاف الضأن ، وهو اسم جنس لا واحد له من لفظه ، وهي مؤنّثة وتفتح العين وتسكّن ، والذكر : ما عِز ، والا</w:t>
      </w:r>
      <w:r w:rsidR="008C7074">
        <w:rPr>
          <w:rFonts w:hint="cs"/>
          <w:rtl/>
          <w:lang w:bidi="fa-IR"/>
        </w:rPr>
        <w:t>ُ</w:t>
      </w:r>
      <w:r w:rsidR="00744A1C">
        <w:rPr>
          <w:rtl/>
          <w:lang w:bidi="fa-IR"/>
        </w:rPr>
        <w:t xml:space="preserve">نثى : ما عزة. راجع : </w:t>
      </w:r>
      <w:r w:rsidR="00744A1C" w:rsidRPr="00877682">
        <w:rPr>
          <w:rStyle w:val="libFootnoteBoldChar"/>
          <w:rtl/>
        </w:rPr>
        <w:t>لسان العرب</w:t>
      </w:r>
      <w:r w:rsidR="00744A1C">
        <w:rPr>
          <w:rtl/>
          <w:lang w:bidi="fa-IR"/>
        </w:rPr>
        <w:t xml:space="preserve"> ، ج 5 ، ص 410 ؛ </w:t>
      </w:r>
      <w:r w:rsidR="00744A1C" w:rsidRPr="00E978C3">
        <w:rPr>
          <w:rStyle w:val="libFootnoteBoldChar"/>
          <w:rtl/>
        </w:rPr>
        <w:t>المصباح المنير</w:t>
      </w:r>
      <w:r w:rsidR="00744A1C">
        <w:rPr>
          <w:rtl/>
          <w:lang w:bidi="fa-IR"/>
        </w:rPr>
        <w:t xml:space="preserve"> ، ص 575 ( معز ).</w:t>
      </w:r>
      <w:r w:rsidR="008C7074">
        <w:rPr>
          <w:rFonts w:hint="cs"/>
          <w:rtl/>
          <w:lang w:bidi="fa-IR"/>
        </w:rPr>
        <w:t xml:space="preserve">                </w:t>
      </w: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ح 690 : « لا يجوز ».</w:t>
      </w:r>
    </w:p>
    <w:p w:rsidR="00744A1C" w:rsidRDefault="00E378DD" w:rsidP="00E378DD">
      <w:pPr>
        <w:pStyle w:val="libFootnote0"/>
        <w:rPr>
          <w:lang w:bidi="fa-IR"/>
        </w:rPr>
      </w:pPr>
      <w:r>
        <w:rPr>
          <w:rtl/>
          <w:lang w:bidi="fa-IR"/>
        </w:rPr>
        <w:t>(5).</w:t>
      </w:r>
      <w:r w:rsidR="00744A1C">
        <w:rPr>
          <w:rtl/>
          <w:lang w:bidi="fa-IR"/>
        </w:rPr>
        <w:t xml:space="preserve"> في « بح » : « فلم ».</w:t>
      </w:r>
    </w:p>
    <w:p w:rsidR="00744A1C" w:rsidRDefault="00E378DD" w:rsidP="00E378DD">
      <w:pPr>
        <w:pStyle w:val="libFootnote0"/>
        <w:rPr>
          <w:lang w:bidi="fa-IR"/>
        </w:rPr>
      </w:pPr>
      <w:r>
        <w:rPr>
          <w:rtl/>
          <w:lang w:bidi="fa-IR"/>
        </w:rPr>
        <w:t>(6).</w:t>
      </w:r>
      <w:r w:rsidR="00744A1C">
        <w:rPr>
          <w:rtl/>
          <w:lang w:bidi="fa-IR"/>
        </w:rPr>
        <w:t xml:space="preserve"> « يلقح » ، أي يحمل ، يقال : لَقِحَت الناقة تلقَحُ إذا حملت ، وناقة لاقِحٌ إذا كانت حاملاً. راجع : </w:t>
      </w:r>
      <w:r w:rsidR="00744A1C" w:rsidRPr="00877682">
        <w:rPr>
          <w:rStyle w:val="libFootnoteBoldChar"/>
          <w:rtl/>
        </w:rPr>
        <w:t>النهاية</w:t>
      </w:r>
      <w:r w:rsidR="00744A1C">
        <w:rPr>
          <w:rtl/>
          <w:lang w:bidi="fa-IR"/>
        </w:rPr>
        <w:t xml:space="preserve"> ، ج 4 ، ص 262 ؛ </w:t>
      </w:r>
      <w:r w:rsidR="00744A1C" w:rsidRPr="00877682">
        <w:rPr>
          <w:rStyle w:val="libFootnoteBoldChar"/>
          <w:rtl/>
        </w:rPr>
        <w:t>لسان العرب</w:t>
      </w:r>
      <w:r w:rsidR="00744A1C">
        <w:rPr>
          <w:rtl/>
          <w:lang w:bidi="fa-IR"/>
        </w:rPr>
        <w:t xml:space="preserve"> ، ج 2 ، ص 579 ( لقح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206 ، ح 690 ؛ و</w:t>
      </w:r>
      <w:r w:rsidR="00744A1C" w:rsidRPr="003A7143">
        <w:rPr>
          <w:rStyle w:val="libFootnoteBoldChar"/>
          <w:rtl/>
        </w:rPr>
        <w:t>المحاسن</w:t>
      </w:r>
      <w:r w:rsidR="00744A1C">
        <w:rPr>
          <w:rtl/>
          <w:lang w:bidi="fa-IR"/>
        </w:rPr>
        <w:t xml:space="preserve"> ، ص 340 ، كتاب العلل ، ح 127 ؛ و</w:t>
      </w:r>
      <w:r w:rsidR="00744A1C" w:rsidRPr="003A7143">
        <w:rPr>
          <w:rStyle w:val="libFootnoteBoldChar"/>
          <w:rtl/>
        </w:rPr>
        <w:t>علل الشرائع</w:t>
      </w:r>
      <w:r w:rsidR="00744A1C">
        <w:rPr>
          <w:rtl/>
          <w:lang w:bidi="fa-IR"/>
        </w:rPr>
        <w:t xml:space="preserve"> ، ص 441 ، ح 1 ، بسند آخر عن حمّاد بن عثمان ، مع اختلاف يسير. </w:t>
      </w:r>
      <w:r w:rsidR="00744A1C" w:rsidRPr="00C24F9C">
        <w:rPr>
          <w:rStyle w:val="libFootnoteBoldChar"/>
          <w:rtl/>
        </w:rPr>
        <w:t>التهذيب</w:t>
      </w:r>
      <w:r w:rsidR="00744A1C">
        <w:rPr>
          <w:rtl/>
          <w:lang w:bidi="fa-IR"/>
        </w:rPr>
        <w:t xml:space="preserve"> ، ج 5 ، ص 206 ، ح 689 ، بسند آخر ، وتمام </w:t>
      </w:r>
      <w:r w:rsidR="00511982">
        <w:rPr>
          <w:rFonts w:hint="cs"/>
          <w:rtl/>
          <w:lang w:bidi="fa-IR"/>
        </w:rPr>
        <w:t>=</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7845 / 2. عَلِيُّ بْنُ إِبْرَاهِيمَ ، عَنْ أَبِيهِ ، عَنِ ابْنِ أَبِي عُمَيْرٍ ، عَنْ حَمَّادٍ ، عَنِ الْحَلَبِيِّ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sidRPr="00D10E3C">
        <w:rPr>
          <w:rStyle w:val="libFootnotenumChar"/>
          <w:rtl/>
        </w:rPr>
        <w:t>(1)</w:t>
      </w:r>
      <w:r>
        <w:rPr>
          <w:rtl/>
          <w:lang w:bidi="fa-IR"/>
        </w:rPr>
        <w:t xml:space="preserve"> عَنِ الْإِبِلِ وَالْبَقَرِ : أَيُّهُمَا أَفْضَلُ أَنْ يُضَحّى بِهَا </w:t>
      </w:r>
      <w:r w:rsidRPr="00D10E3C">
        <w:rPr>
          <w:rStyle w:val="libFootnotenumChar"/>
          <w:rtl/>
        </w:rPr>
        <w:t>(2)</w:t>
      </w:r>
      <w:r>
        <w:rPr>
          <w:rtl/>
          <w:lang w:bidi="fa-IR"/>
        </w:rPr>
        <w:t>؟</w:t>
      </w:r>
    </w:p>
    <w:p w:rsidR="00744A1C" w:rsidRDefault="00744A1C" w:rsidP="00744A1C">
      <w:pPr>
        <w:pStyle w:val="libNormal"/>
        <w:rPr>
          <w:lang w:bidi="fa-IR"/>
        </w:rPr>
      </w:pPr>
      <w:r>
        <w:rPr>
          <w:rtl/>
          <w:lang w:bidi="fa-IR"/>
        </w:rPr>
        <w:t>قَالَ : « ذَوَاتُ الْأَرْحَامِ ».</w:t>
      </w:r>
    </w:p>
    <w:p w:rsidR="00744A1C" w:rsidRDefault="00744A1C" w:rsidP="00744A1C">
      <w:pPr>
        <w:pStyle w:val="libNormal"/>
        <w:rPr>
          <w:lang w:bidi="fa-IR"/>
        </w:rPr>
      </w:pPr>
      <w:r>
        <w:rPr>
          <w:rtl/>
          <w:lang w:bidi="fa-IR"/>
        </w:rPr>
        <w:t xml:space="preserve">فَسَأَلْتُهُ </w:t>
      </w:r>
      <w:r w:rsidRPr="00D10E3C">
        <w:rPr>
          <w:rStyle w:val="libFootnotenumChar"/>
          <w:rtl/>
        </w:rPr>
        <w:t>(3)</w:t>
      </w:r>
      <w:r>
        <w:rPr>
          <w:rtl/>
          <w:lang w:bidi="fa-IR"/>
        </w:rPr>
        <w:t xml:space="preserve"> عَنْ أَسْنَانِهَا؟</w:t>
      </w:r>
    </w:p>
    <w:p w:rsidR="00744A1C" w:rsidRDefault="00744A1C" w:rsidP="00744A1C">
      <w:pPr>
        <w:pStyle w:val="libNormal"/>
        <w:rPr>
          <w:lang w:bidi="fa-IR"/>
        </w:rPr>
      </w:pPr>
      <w:r>
        <w:rPr>
          <w:rtl/>
          <w:lang w:bidi="fa-IR"/>
        </w:rPr>
        <w:t xml:space="preserve">فَقَالَ : « أَمَّا الْبَقَرُ ، فَلَا يَضُرُّكَ </w:t>
      </w:r>
      <w:r w:rsidRPr="00D10E3C">
        <w:rPr>
          <w:rStyle w:val="libFootnotenumChar"/>
          <w:rtl/>
        </w:rPr>
        <w:t>(4)</w:t>
      </w:r>
      <w:r>
        <w:rPr>
          <w:rtl/>
          <w:lang w:bidi="fa-IR"/>
        </w:rPr>
        <w:t xml:space="preserve"> بِأَيِّ أَسْنَانِهَا ضَحَّيْتَ ، وَأَمَّا ا</w:t>
      </w:r>
      <w:r w:rsidR="00BB0F87">
        <w:rPr>
          <w:rtl/>
          <w:lang w:bidi="fa-IR"/>
        </w:rPr>
        <w:t>لْإِبِلُ ، فَلَا يَصْلُحُ إِل</w:t>
      </w:r>
      <w:r w:rsidR="00BB0F87">
        <w:rPr>
          <w:rFonts w:hint="cs"/>
          <w:rtl/>
          <w:lang w:bidi="fa-IR"/>
        </w:rPr>
        <w:t>َّ</w:t>
      </w:r>
      <w:r w:rsidR="00BB0F87">
        <w:rPr>
          <w:rtl/>
          <w:lang w:bidi="fa-IR"/>
        </w:rPr>
        <w:t>ا</w:t>
      </w:r>
      <w:r>
        <w:rPr>
          <w:rtl/>
          <w:lang w:bidi="fa-IR"/>
        </w:rPr>
        <w:t xml:space="preserve"> الثَّنِيُّ </w:t>
      </w:r>
      <w:r w:rsidRPr="00D10E3C">
        <w:rPr>
          <w:rStyle w:val="libFootnotenumChar"/>
          <w:rtl/>
        </w:rPr>
        <w:t>(5)</w:t>
      </w:r>
      <w:r>
        <w:rPr>
          <w:rtl/>
          <w:lang w:bidi="fa-IR"/>
        </w:rPr>
        <w:t xml:space="preserve"> فَمَا‌</w:t>
      </w:r>
      <w:r w:rsidR="001B570C">
        <w:rPr>
          <w:rFonts w:hint="cs"/>
          <w:rtl/>
          <w:lang w:bidi="fa-IR"/>
        </w:rPr>
        <w:t xml:space="preserve"> .......................</w:t>
      </w:r>
      <w:r w:rsidR="00596830">
        <w:rPr>
          <w:rFonts w:hint="cs"/>
          <w:rtl/>
          <w:lang w:bidi="fa-IR"/>
        </w:rPr>
        <w:t>..........</w:t>
      </w:r>
      <w:r w:rsidR="001B570C">
        <w:rPr>
          <w:rFonts w:hint="cs"/>
          <w:rtl/>
          <w:lang w:bidi="fa-IR"/>
        </w:rPr>
        <w:t>.....................................</w:t>
      </w:r>
      <w:r w:rsidR="001B570C">
        <w:rPr>
          <w:rFonts w:hint="cs"/>
          <w:rtl/>
          <w:lang w:bidi="fa-IR"/>
        </w:rPr>
        <w:tab/>
      </w:r>
    </w:p>
    <w:p w:rsidR="00744A1C" w:rsidRDefault="00744A1C" w:rsidP="00D10E3C">
      <w:pPr>
        <w:pStyle w:val="libLine"/>
        <w:rPr>
          <w:lang w:bidi="fa-IR"/>
        </w:rPr>
      </w:pPr>
      <w:r>
        <w:rPr>
          <w:rtl/>
          <w:lang w:bidi="fa-IR"/>
        </w:rPr>
        <w:t>____________________</w:t>
      </w:r>
    </w:p>
    <w:p w:rsidR="00744A1C" w:rsidRDefault="00885B3D" w:rsidP="00D10E3C">
      <w:pPr>
        <w:pStyle w:val="libFootnote0"/>
        <w:rPr>
          <w:lang w:bidi="fa-IR"/>
        </w:rPr>
      </w:pPr>
      <w:r>
        <w:rPr>
          <w:rFonts w:hint="cs"/>
          <w:rtl/>
          <w:lang w:bidi="fa-IR"/>
        </w:rPr>
        <w:t xml:space="preserve">= </w:t>
      </w:r>
      <w:r w:rsidR="00744A1C">
        <w:rPr>
          <w:rtl/>
          <w:lang w:bidi="fa-IR"/>
        </w:rPr>
        <w:t>الرواية فيه : « يجزئ من ا</w:t>
      </w:r>
      <w:r>
        <w:rPr>
          <w:rtl/>
          <w:lang w:bidi="fa-IR"/>
        </w:rPr>
        <w:t>لضأن الجذع ولايجزئ من المعز إل</w:t>
      </w:r>
      <w:r>
        <w:rPr>
          <w:rFonts w:hint="cs"/>
          <w:rtl/>
          <w:lang w:bidi="fa-IR"/>
        </w:rPr>
        <w:t>ّ</w:t>
      </w:r>
      <w:r>
        <w:rPr>
          <w:rtl/>
          <w:lang w:bidi="fa-IR"/>
        </w:rPr>
        <w:t>ا</w:t>
      </w:r>
      <w:r w:rsidR="00744A1C">
        <w:rPr>
          <w:rtl/>
          <w:lang w:bidi="fa-IR"/>
        </w:rPr>
        <w:t xml:space="preserve"> الثنيّ ». </w:t>
      </w:r>
      <w:r w:rsidR="00744A1C" w:rsidRPr="00C24F9C">
        <w:rPr>
          <w:rStyle w:val="libFootnoteBoldChar"/>
          <w:rtl/>
        </w:rPr>
        <w:t>الفقيه</w:t>
      </w:r>
      <w:r w:rsidR="00744A1C">
        <w:rPr>
          <w:rtl/>
          <w:lang w:bidi="fa-IR"/>
        </w:rPr>
        <w:t xml:space="preserve"> ، ج 2 ، ص 200 ، ذيل ح 2136. راجع : </w:t>
      </w:r>
      <w:r w:rsidR="00744A1C" w:rsidRPr="00C24F9C">
        <w:rPr>
          <w:rStyle w:val="libFootnoteBoldChar"/>
          <w:rtl/>
        </w:rPr>
        <w:t>التهذيب</w:t>
      </w:r>
      <w:r w:rsidR="00744A1C">
        <w:rPr>
          <w:rtl/>
          <w:lang w:bidi="fa-IR"/>
        </w:rPr>
        <w:t xml:space="preserve"> ، ج 5 ، ص 206 ، ح 688 ؛ والأمالي للصدوق ، ص 651 ، المجلس 93 </w:t>
      </w:r>
      <w:r w:rsidR="006E0254">
        <w:rPr>
          <w:rFonts w:hint="cs"/>
          <w:rtl/>
          <w:lang w:bidi="fa-IR"/>
        </w:rPr>
        <w:t>.</w:t>
      </w:r>
      <w:r w:rsidR="00744A1C" w:rsidRPr="00C24F9C">
        <w:rPr>
          <w:rStyle w:val="libFootnoteBoldChar"/>
          <w:rtl/>
        </w:rPr>
        <w:t>الوافي</w:t>
      </w:r>
      <w:r w:rsidR="00744A1C">
        <w:rPr>
          <w:rtl/>
          <w:lang w:bidi="fa-IR"/>
        </w:rPr>
        <w:t xml:space="preserve"> ، ج 14 ، ص 1111 ، ح 13866 ؛ </w:t>
      </w:r>
      <w:r w:rsidR="00744A1C" w:rsidRPr="00C24F9C">
        <w:rPr>
          <w:rStyle w:val="libFootnoteBoldChar"/>
          <w:rtl/>
        </w:rPr>
        <w:t>الوسائل</w:t>
      </w:r>
      <w:r w:rsidR="00744A1C">
        <w:rPr>
          <w:rtl/>
          <w:lang w:bidi="fa-IR"/>
        </w:rPr>
        <w:t xml:space="preserve"> ، ج 14 ، ص 103 ، ذيل ح 18709.</w:t>
      </w:r>
    </w:p>
    <w:p w:rsidR="00744A1C" w:rsidRDefault="00D10E3C" w:rsidP="00D10E3C">
      <w:pPr>
        <w:pStyle w:val="libFootnote0"/>
        <w:rPr>
          <w:lang w:bidi="fa-IR"/>
        </w:rPr>
      </w:pPr>
      <w:r>
        <w:rPr>
          <w:rtl/>
          <w:lang w:bidi="fa-IR"/>
        </w:rPr>
        <w:t>(1).</w:t>
      </w:r>
      <w:r w:rsidR="00744A1C">
        <w:rPr>
          <w:rtl/>
          <w:lang w:bidi="fa-IR"/>
        </w:rPr>
        <w:t xml:space="preserve"> في « بخ ، بف ، جد » و</w:t>
      </w:r>
      <w:r w:rsidR="00744A1C" w:rsidRPr="00C24F9C">
        <w:rPr>
          <w:rStyle w:val="libFootnoteBoldChar"/>
          <w:rtl/>
        </w:rPr>
        <w:t>الوافي</w:t>
      </w:r>
      <w:r w:rsidR="00744A1C">
        <w:rPr>
          <w:rtl/>
          <w:lang w:bidi="fa-IR"/>
        </w:rPr>
        <w:t xml:space="preserve"> : « عن أبي عبد الله </w:t>
      </w:r>
      <w:r w:rsidR="0061079A" w:rsidRPr="0061079A">
        <w:rPr>
          <w:rStyle w:val="libFootnoteAlaemChar"/>
          <w:rtl/>
        </w:rPr>
        <w:t>عليه‌السلام</w:t>
      </w:r>
      <w:r>
        <w:rPr>
          <w:rtl/>
          <w:lang w:bidi="fa-IR"/>
        </w:rPr>
        <w:t xml:space="preserve"> </w:t>
      </w:r>
      <w:r w:rsidR="00744A1C">
        <w:rPr>
          <w:rtl/>
          <w:lang w:bidi="fa-IR"/>
        </w:rPr>
        <w:t xml:space="preserve">، قال : سألته » بدل « قال : سألت أبا عبد الله </w:t>
      </w:r>
      <w:r w:rsidR="0061079A" w:rsidRPr="0061079A">
        <w:rPr>
          <w:rStyle w:val="libFootnoteAlaemChar"/>
          <w:rtl/>
        </w:rPr>
        <w:t>عليه‌السلام</w:t>
      </w:r>
      <w:r>
        <w:rPr>
          <w:rtl/>
          <w:lang w:bidi="fa-IR"/>
        </w:rPr>
        <w:t xml:space="preserve"> </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 ح 18694 </w:t>
      </w:r>
      <w:r w:rsidR="00744A1C" w:rsidRPr="0061079A">
        <w:rPr>
          <w:rStyle w:val="libFootnoteBoldChar"/>
          <w:rtl/>
        </w:rPr>
        <w:t>والتهذيب</w:t>
      </w:r>
      <w:r w:rsidR="00744A1C">
        <w:rPr>
          <w:rtl/>
          <w:lang w:bidi="fa-IR"/>
        </w:rPr>
        <w:t xml:space="preserve"> ، ح 681 : « بهما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عن بعض النسخ و</w:t>
      </w:r>
      <w:r w:rsidR="00744A1C" w:rsidRPr="00C24F9C">
        <w:rPr>
          <w:rStyle w:val="libFootnoteBoldChar"/>
          <w:rtl/>
        </w:rPr>
        <w:t>الوسائل</w:t>
      </w:r>
      <w:r w:rsidR="00744A1C">
        <w:rPr>
          <w:rtl/>
          <w:lang w:bidi="fa-IR"/>
        </w:rPr>
        <w:t xml:space="preserve"> ، ح 18710 </w:t>
      </w:r>
      <w:r w:rsidR="00744A1C" w:rsidRPr="0061079A">
        <w:rPr>
          <w:rStyle w:val="libFootnoteBoldChar"/>
          <w:rtl/>
        </w:rPr>
        <w:t>والتهذيب</w:t>
      </w:r>
      <w:r w:rsidR="00744A1C">
        <w:rPr>
          <w:rtl/>
          <w:lang w:bidi="fa-IR"/>
        </w:rPr>
        <w:t xml:space="preserve"> ، ح 681 : « وسألته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فلا يضرّك </w:t>
      </w:r>
      <w:r w:rsidR="006E0254">
        <w:rPr>
          <w:rtl/>
          <w:lang w:bidi="fa-IR"/>
        </w:rPr>
        <w:t>، هذا مخالف لمذهب الأصحاب ، إل</w:t>
      </w:r>
      <w:r w:rsidR="006E0254">
        <w:rPr>
          <w:rFonts w:hint="cs"/>
          <w:rtl/>
          <w:lang w:bidi="fa-IR"/>
        </w:rPr>
        <w:t>ّ</w:t>
      </w:r>
      <w:r w:rsidR="006E0254">
        <w:rPr>
          <w:rtl/>
          <w:lang w:bidi="fa-IR"/>
        </w:rPr>
        <w:t>ا</w:t>
      </w:r>
      <w:r w:rsidR="00744A1C">
        <w:rPr>
          <w:rtl/>
          <w:lang w:bidi="fa-IR"/>
        </w:rPr>
        <w:t xml:space="preserve"> أن يحمل على أنّ المراد بالأسنان ما كمل‌لها سنّ ، وربما يدّعى أنّه الظاهر منها ، ويؤيّده الخبر الآتي ».</w:t>
      </w:r>
    </w:p>
    <w:p w:rsidR="00744A1C" w:rsidRDefault="00E378DD" w:rsidP="00E378DD">
      <w:pPr>
        <w:pStyle w:val="libFootnote0"/>
        <w:rPr>
          <w:lang w:bidi="fa-IR"/>
        </w:rPr>
      </w:pPr>
      <w:r>
        <w:rPr>
          <w:rtl/>
          <w:lang w:bidi="fa-IR"/>
        </w:rPr>
        <w:t>(5).</w:t>
      </w:r>
      <w:r w:rsidR="00744A1C">
        <w:rPr>
          <w:rtl/>
          <w:lang w:bidi="fa-IR"/>
        </w:rPr>
        <w:t xml:space="preserve"> قال الجوهري : « الثنيّ : الذي يلقي ثنيّته ، ويكون ذلك في الظلف والحافر في السنة الثالثة ، وفي الخفّ في‌السنه السادسة. والجمع : ثُنْيان وثِناء. والا</w:t>
      </w:r>
      <w:r w:rsidR="00FA7C4D">
        <w:rPr>
          <w:rFonts w:hint="cs"/>
          <w:rtl/>
          <w:lang w:bidi="fa-IR"/>
        </w:rPr>
        <w:t>ُ</w:t>
      </w:r>
      <w:r w:rsidR="00744A1C">
        <w:rPr>
          <w:rtl/>
          <w:lang w:bidi="fa-IR"/>
        </w:rPr>
        <w:t>نثى : ثنيّة. والجمع : ثنيّات ». وقال ابن الأثير : « الثنيّة من الغنم : ما دخل في السنة الثالثة ، ومن البقر كذلك ، ومن الإبل في السادسة ، والذكر ثنيّ. وعلى مذهب أحمد بن حنبل : ما دخل من المعز في الثانية ، ومن البقر في الثالثة ».</w:t>
      </w:r>
    </w:p>
    <w:p w:rsidR="00744A1C" w:rsidRDefault="00FA7C4D" w:rsidP="00D10E3C">
      <w:pPr>
        <w:pStyle w:val="libFootnote0"/>
        <w:rPr>
          <w:lang w:bidi="fa-IR"/>
        </w:rPr>
      </w:pPr>
      <w:r>
        <w:rPr>
          <w:rtl/>
          <w:lang w:bidi="fa-IR"/>
        </w:rPr>
        <w:t>وقال العل</w:t>
      </w:r>
      <w:r>
        <w:rPr>
          <w:rFonts w:hint="cs"/>
          <w:rtl/>
          <w:lang w:bidi="fa-IR"/>
        </w:rPr>
        <w:t>ّ</w:t>
      </w:r>
      <w:r>
        <w:rPr>
          <w:rtl/>
          <w:lang w:bidi="fa-IR"/>
        </w:rPr>
        <w:t>ا</w:t>
      </w:r>
      <w:r w:rsidR="00744A1C">
        <w:rPr>
          <w:rtl/>
          <w:lang w:bidi="fa-IR"/>
        </w:rPr>
        <w:t xml:space="preserve">مة الفيض في </w:t>
      </w:r>
      <w:r w:rsidR="00744A1C" w:rsidRPr="00C24F9C">
        <w:rPr>
          <w:rStyle w:val="libFootnoteBoldChar"/>
          <w:rtl/>
        </w:rPr>
        <w:t>الوافي</w:t>
      </w:r>
      <w:r w:rsidR="00744A1C">
        <w:rPr>
          <w:rtl/>
          <w:lang w:bidi="fa-IR"/>
        </w:rPr>
        <w:t xml:space="preserve"> : « الثنيّ من الإبل : ما دخل في السادسة ، ومن البقر والمعز : ما دخل في الثالثة على الأشهر ، وقيل غير ذلك ». وقال ابنه في هامش </w:t>
      </w:r>
      <w:r w:rsidR="00744A1C" w:rsidRPr="00C24F9C">
        <w:rPr>
          <w:rStyle w:val="libFootnoteBoldChar"/>
          <w:rtl/>
        </w:rPr>
        <w:t>الوافي</w:t>
      </w:r>
      <w:r w:rsidR="00744A1C">
        <w:rPr>
          <w:rtl/>
          <w:lang w:bidi="fa-IR"/>
        </w:rPr>
        <w:t xml:space="preserve"> : « ذكر غير واحد من أعاظم الأصحاب أنّ الثنيّ من البقر والغنم ما دخل في الثانية ، ففي المقنعة للمفيد : واعلم أنّه </w:t>
      </w:r>
      <w:r w:rsidR="00F41AB3">
        <w:rPr>
          <w:rtl/>
          <w:lang w:bidi="fa-IR"/>
        </w:rPr>
        <w:t>لا يجوز في الأضاهي من البدن إل</w:t>
      </w:r>
      <w:r w:rsidR="00F41AB3">
        <w:rPr>
          <w:rFonts w:hint="cs"/>
          <w:rtl/>
          <w:lang w:bidi="fa-IR"/>
        </w:rPr>
        <w:t>ّ</w:t>
      </w:r>
      <w:r w:rsidR="00F41AB3">
        <w:rPr>
          <w:rtl/>
          <w:lang w:bidi="fa-IR"/>
        </w:rPr>
        <w:t>ا</w:t>
      </w:r>
      <w:r w:rsidR="00744A1C">
        <w:rPr>
          <w:rtl/>
          <w:lang w:bidi="fa-IR"/>
        </w:rPr>
        <w:t xml:space="preserve"> الثنيّ ، وهو الذي قد تمّ له خمس سنين ودخل في السادسة</w:t>
      </w:r>
      <w:r w:rsidR="00E80064">
        <w:rPr>
          <w:rtl/>
          <w:lang w:bidi="fa-IR"/>
        </w:rPr>
        <w:t xml:space="preserve"> ، ولا يجوز من البقر والمعز إل</w:t>
      </w:r>
      <w:r w:rsidR="00E80064">
        <w:rPr>
          <w:rFonts w:hint="cs"/>
          <w:rtl/>
          <w:lang w:bidi="fa-IR"/>
        </w:rPr>
        <w:t>ّ</w:t>
      </w:r>
      <w:r w:rsidR="00E80064">
        <w:rPr>
          <w:rtl/>
          <w:lang w:bidi="fa-IR"/>
        </w:rPr>
        <w:t>ا</w:t>
      </w:r>
      <w:r w:rsidR="00744A1C">
        <w:rPr>
          <w:rtl/>
          <w:lang w:bidi="fa-IR"/>
        </w:rPr>
        <w:t xml:space="preserve"> الثنيّ ، وهو الذي تمّت له سنة ودخل في الثانية ، ويجزئ من الضأن الجذع لسنته. وجرى على أثره كلام الشيخ في </w:t>
      </w:r>
      <w:r w:rsidR="00744A1C" w:rsidRPr="00877682">
        <w:rPr>
          <w:rStyle w:val="libFootnoteBoldChar"/>
          <w:rtl/>
        </w:rPr>
        <w:t>النهاية</w:t>
      </w:r>
      <w:r w:rsidR="00744A1C">
        <w:rPr>
          <w:rtl/>
          <w:lang w:bidi="fa-IR"/>
        </w:rPr>
        <w:t xml:space="preserve"> ، ومعهما الشهيد</w:t>
      </w:r>
      <w:r w:rsidR="00BF3A5C">
        <w:rPr>
          <w:rtl/>
          <w:lang w:bidi="fa-IR"/>
        </w:rPr>
        <w:t xml:space="preserve"> الثاني وغيره من المتأخّرين إل</w:t>
      </w:r>
      <w:r w:rsidR="00BF3A5C">
        <w:rPr>
          <w:rFonts w:hint="cs"/>
          <w:rtl/>
          <w:lang w:bidi="fa-IR"/>
        </w:rPr>
        <w:t>ّ</w:t>
      </w:r>
      <w:r w:rsidR="00BF3A5C">
        <w:rPr>
          <w:rtl/>
          <w:lang w:bidi="fa-IR"/>
        </w:rPr>
        <w:t>ا</w:t>
      </w:r>
      <w:r w:rsidR="00744A1C">
        <w:rPr>
          <w:rtl/>
          <w:lang w:bidi="fa-IR"/>
        </w:rPr>
        <w:t xml:space="preserve"> أنّ الدخول في الثالثة أوفى لكلام اللغويّين ».</w:t>
      </w:r>
    </w:p>
    <w:p w:rsidR="00744A1C" w:rsidRDefault="00BF3A5C" w:rsidP="00D10E3C">
      <w:pPr>
        <w:pStyle w:val="libFootnote0"/>
        <w:rPr>
          <w:lang w:bidi="fa-IR"/>
        </w:rPr>
      </w:pPr>
      <w:r>
        <w:rPr>
          <w:rtl/>
          <w:lang w:bidi="fa-IR"/>
        </w:rPr>
        <w:t>وقال العل</w:t>
      </w:r>
      <w:r>
        <w:rPr>
          <w:rFonts w:hint="cs"/>
          <w:rtl/>
          <w:lang w:bidi="fa-IR"/>
        </w:rPr>
        <w:t>ّ</w:t>
      </w:r>
      <w:r>
        <w:rPr>
          <w:rtl/>
          <w:lang w:bidi="fa-IR"/>
        </w:rPr>
        <w:t>ا</w:t>
      </w:r>
      <w:r w:rsidR="00744A1C">
        <w:rPr>
          <w:rtl/>
          <w:lang w:bidi="fa-IR"/>
        </w:rPr>
        <w:t>مة المجلسي : « المشهور في كلام الأصحاب أنّ الثنيّ من الإبل ما كمل له خمس سنين ودخل في السادسة ، ومن البقر والغنم</w:t>
      </w:r>
      <w:r w:rsidR="00EE3E06">
        <w:rPr>
          <w:rtl/>
          <w:lang w:bidi="fa-IR"/>
        </w:rPr>
        <w:t xml:space="preserve"> ما دخل في الثانية ، وذكر العل</w:t>
      </w:r>
      <w:r w:rsidR="00EE3E06">
        <w:rPr>
          <w:rFonts w:hint="cs"/>
          <w:rtl/>
          <w:lang w:bidi="fa-IR"/>
        </w:rPr>
        <w:t>ّ</w:t>
      </w:r>
      <w:r w:rsidR="00EE3E06">
        <w:rPr>
          <w:rtl/>
          <w:lang w:bidi="fa-IR"/>
        </w:rPr>
        <w:t>ا</w:t>
      </w:r>
      <w:r w:rsidR="00744A1C">
        <w:rPr>
          <w:rtl/>
          <w:lang w:bidi="fa-IR"/>
        </w:rPr>
        <w:t xml:space="preserve">مة في موضع من التذكرة والمنتهى أنّ الثنيّ من المعز </w:t>
      </w:r>
      <w:r w:rsidR="00B67B6D">
        <w:rPr>
          <w:rFonts w:hint="cs"/>
          <w:rtl/>
          <w:lang w:bidi="fa-IR"/>
        </w:rPr>
        <w:t>=</w:t>
      </w:r>
    </w:p>
    <w:p w:rsidR="000F7CEC" w:rsidRDefault="000F7CEC" w:rsidP="00D10E3C">
      <w:pPr>
        <w:pStyle w:val="libNormal"/>
        <w:rPr>
          <w:rtl/>
          <w:lang w:bidi="fa-IR"/>
        </w:rPr>
      </w:pPr>
      <w:r>
        <w:rPr>
          <w:rtl/>
          <w:lang w:bidi="fa-IR"/>
        </w:rPr>
        <w:br w:type="page"/>
      </w:r>
    </w:p>
    <w:p w:rsidR="00144FA6" w:rsidRDefault="00744A1C" w:rsidP="005868D2">
      <w:pPr>
        <w:pStyle w:val="libNormal0"/>
        <w:rPr>
          <w:rtl/>
          <w:lang w:bidi="fa-IR"/>
        </w:rPr>
      </w:pPr>
      <w:r>
        <w:rPr>
          <w:rtl/>
          <w:lang w:bidi="fa-IR"/>
        </w:rPr>
        <w:lastRenderedPageBreak/>
        <w:t xml:space="preserve">فَوْقُ ». </w:t>
      </w:r>
      <w:r w:rsidRPr="00D10E3C">
        <w:rPr>
          <w:rStyle w:val="libFootnotenumChar"/>
          <w:rtl/>
        </w:rPr>
        <w:t>(1)</w:t>
      </w:r>
    </w:p>
    <w:p w:rsidR="00144FA6" w:rsidRDefault="00744A1C" w:rsidP="00744A1C">
      <w:pPr>
        <w:pStyle w:val="libNormal"/>
        <w:rPr>
          <w:rtl/>
          <w:lang w:bidi="fa-IR"/>
        </w:rPr>
      </w:pPr>
      <w:r>
        <w:rPr>
          <w:rtl/>
          <w:lang w:bidi="fa-IR"/>
        </w:rPr>
        <w:t xml:space="preserve">7846 / 3. عَلِيُّ بْنُ إِبْرَاهِيمَ </w:t>
      </w:r>
      <w:r w:rsidRPr="00D10E3C">
        <w:rPr>
          <w:rStyle w:val="libFootnotenumChar"/>
          <w:rtl/>
        </w:rPr>
        <w:t>(2)</w:t>
      </w:r>
      <w:r>
        <w:rPr>
          <w:rtl/>
          <w:lang w:bidi="fa-IR"/>
        </w:rPr>
        <w:t xml:space="preserve"> ، عَنْ أَبِيهِ ، عَنِ ابْنِ أَبِي نَجْرَانَ ، عَنْ مُحَمَّدِ بْنِ حُمْرَانَ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أَسْنَانُ الْبَقَرِ تَبِيعُهَا </w:t>
      </w:r>
      <w:r w:rsidRPr="00D10E3C">
        <w:rPr>
          <w:rStyle w:val="libFootnotenumChar"/>
          <w:rtl/>
        </w:rPr>
        <w:t>(3)</w:t>
      </w:r>
      <w:r>
        <w:rPr>
          <w:rtl/>
          <w:lang w:bidi="fa-IR"/>
        </w:rPr>
        <w:t xml:space="preserve"> وَمُسِنُّهَا </w:t>
      </w:r>
      <w:r w:rsidRPr="00D10E3C">
        <w:rPr>
          <w:rStyle w:val="libFootnotenumChar"/>
          <w:rtl/>
        </w:rPr>
        <w:t>(4)</w:t>
      </w:r>
      <w:r>
        <w:rPr>
          <w:rtl/>
          <w:lang w:bidi="fa-IR"/>
        </w:rPr>
        <w:t xml:space="preserve"> فِي الذَّبْحِ سَوَاءٌ ». </w:t>
      </w:r>
      <w:r w:rsidRPr="00D10E3C">
        <w:rPr>
          <w:rStyle w:val="libFootnotenumChar"/>
          <w:rtl/>
        </w:rPr>
        <w:t>(5)</w:t>
      </w:r>
    </w:p>
    <w:p w:rsidR="00144FA6" w:rsidRDefault="00744A1C" w:rsidP="00744A1C">
      <w:pPr>
        <w:pStyle w:val="libNormal"/>
        <w:rPr>
          <w:rtl/>
          <w:lang w:bidi="fa-IR"/>
        </w:rPr>
      </w:pPr>
      <w:r>
        <w:rPr>
          <w:rtl/>
          <w:lang w:bidi="fa-IR"/>
        </w:rPr>
        <w:t xml:space="preserve">7847 / 4. عَلِيُّ بْنُ إِبْرَاهِيمَ </w:t>
      </w:r>
      <w:r w:rsidRPr="00D10E3C">
        <w:rPr>
          <w:rStyle w:val="libFootnotenumChar"/>
          <w:rtl/>
        </w:rPr>
        <w:t>(6)</w:t>
      </w:r>
      <w:r>
        <w:rPr>
          <w:rtl/>
          <w:lang w:bidi="fa-IR"/>
        </w:rPr>
        <w:t xml:space="preserve"> ، عَنْ أَبِيهِ ، عَنِ ابْنِ أَبِي عُمَيْرٍ ، عَنْ حَمَّادٍ ، عَنِ الْحَلَبِيِّ ، قَالَ :</w:t>
      </w:r>
    </w:p>
    <w:p w:rsidR="00744A1C" w:rsidRDefault="00744A1C" w:rsidP="00744A1C">
      <w:pPr>
        <w:pStyle w:val="libNormal"/>
        <w:rPr>
          <w:lang w:bidi="fa-IR"/>
        </w:rPr>
      </w:pPr>
      <w:r>
        <w:rPr>
          <w:rtl/>
          <w:lang w:bidi="fa-IR"/>
        </w:rPr>
        <w:t xml:space="preserve">حَدَّثَنِي مَنْ سَمِعَ أَبَا عَبْدِ اللهِ </w:t>
      </w:r>
      <w:r w:rsidR="0061079A" w:rsidRPr="0061079A">
        <w:rPr>
          <w:rStyle w:val="libAlaemChar"/>
          <w:rtl/>
        </w:rPr>
        <w:t>عليه‌السلام</w:t>
      </w:r>
      <w:r w:rsidR="00D10E3C">
        <w:rPr>
          <w:rtl/>
          <w:lang w:bidi="fa-IR"/>
        </w:rPr>
        <w:t xml:space="preserve"> </w:t>
      </w:r>
      <w:r w:rsidRPr="00D10E3C">
        <w:rPr>
          <w:rStyle w:val="libFootnotenumChar"/>
          <w:rtl/>
        </w:rPr>
        <w:t>(7)</w:t>
      </w:r>
      <w:r>
        <w:rPr>
          <w:rtl/>
          <w:lang w:bidi="fa-IR"/>
        </w:rPr>
        <w:t xml:space="preserve"> يَقُولُ : « ضَحِّ بِكَبْشٍ </w:t>
      </w:r>
      <w:r w:rsidRPr="00D10E3C">
        <w:rPr>
          <w:rStyle w:val="libFootnotenumChar"/>
          <w:rtl/>
        </w:rPr>
        <w:t>(8)</w:t>
      </w:r>
      <w:r>
        <w:rPr>
          <w:rtl/>
          <w:lang w:bidi="fa-IR"/>
        </w:rPr>
        <w:t xml:space="preserve"> أَسْوَدَ أَقْرَنَ </w:t>
      </w:r>
      <w:r w:rsidRPr="00D10E3C">
        <w:rPr>
          <w:rStyle w:val="libFootnotenumChar"/>
          <w:rtl/>
        </w:rPr>
        <w:t>(9)</w:t>
      </w:r>
      <w:r>
        <w:rPr>
          <w:rtl/>
          <w:lang w:bidi="fa-IR"/>
        </w:rPr>
        <w:t xml:space="preserve"> فَحْلٍ ، فَإِنْ‌</w:t>
      </w:r>
    </w:p>
    <w:p w:rsidR="00744A1C" w:rsidRDefault="00744A1C" w:rsidP="00D10E3C">
      <w:pPr>
        <w:pStyle w:val="libLine"/>
        <w:rPr>
          <w:lang w:bidi="fa-IR"/>
        </w:rPr>
      </w:pPr>
      <w:r>
        <w:rPr>
          <w:rtl/>
          <w:lang w:bidi="fa-IR"/>
        </w:rPr>
        <w:t>____________________</w:t>
      </w:r>
    </w:p>
    <w:p w:rsidR="00744A1C" w:rsidRDefault="005868D2" w:rsidP="00D10E3C">
      <w:pPr>
        <w:pStyle w:val="libFootnote0"/>
        <w:rPr>
          <w:lang w:bidi="fa-IR"/>
        </w:rPr>
      </w:pPr>
      <w:r>
        <w:rPr>
          <w:rFonts w:hint="cs"/>
          <w:rtl/>
          <w:lang w:bidi="fa-IR"/>
        </w:rPr>
        <w:t xml:space="preserve">= </w:t>
      </w:r>
      <w:r w:rsidR="00744A1C">
        <w:rPr>
          <w:rtl/>
          <w:lang w:bidi="fa-IR"/>
        </w:rPr>
        <w:t xml:space="preserve">ما دخل في الثالثة ، وهو مطابق لكلام أهل اللغة ». راجع : </w:t>
      </w:r>
      <w:r w:rsidR="00744A1C" w:rsidRPr="00E978C3">
        <w:rPr>
          <w:rStyle w:val="libFootnoteBoldChar"/>
          <w:rtl/>
        </w:rPr>
        <w:t>الصحاح</w:t>
      </w:r>
      <w:r w:rsidR="00744A1C">
        <w:rPr>
          <w:rtl/>
          <w:lang w:bidi="fa-IR"/>
        </w:rPr>
        <w:t xml:space="preserve"> ، ج 6 ، ص 2295 ؛ </w:t>
      </w:r>
      <w:r w:rsidR="00744A1C" w:rsidRPr="00877682">
        <w:rPr>
          <w:rStyle w:val="libFootnoteBoldChar"/>
          <w:rtl/>
        </w:rPr>
        <w:t>النهاية</w:t>
      </w:r>
      <w:r w:rsidR="00744A1C">
        <w:rPr>
          <w:rtl/>
          <w:lang w:bidi="fa-IR"/>
        </w:rPr>
        <w:t xml:space="preserve"> ، ج 1 ، ص 226 ( ثنا ) ؛ المقنعة ، ص 418 ؛ </w:t>
      </w:r>
      <w:r w:rsidR="00744A1C" w:rsidRPr="00877682">
        <w:rPr>
          <w:rStyle w:val="libFootnoteBoldChar"/>
          <w:rtl/>
        </w:rPr>
        <w:t>النهاية</w:t>
      </w:r>
      <w:r w:rsidR="00744A1C">
        <w:rPr>
          <w:rtl/>
          <w:lang w:bidi="fa-IR"/>
        </w:rPr>
        <w:t xml:space="preserve"> ، ص 257 ؛ </w:t>
      </w:r>
      <w:r w:rsidR="00744A1C" w:rsidRPr="00877682">
        <w:rPr>
          <w:rStyle w:val="libFootnoteBoldChar"/>
          <w:rtl/>
        </w:rPr>
        <w:t>منتهى المطلب</w:t>
      </w:r>
      <w:r w:rsidR="00744A1C">
        <w:rPr>
          <w:rtl/>
          <w:lang w:bidi="fa-IR"/>
        </w:rPr>
        <w:t xml:space="preserve"> ، ج 2 ، ص 74 من الطبعة الحجريّة ؛ تذكرة الفقهاء ، ج 8 ، ص 259 ، المسألة 597 ؛ </w:t>
      </w:r>
      <w:r w:rsidR="00744A1C" w:rsidRPr="00C24F9C">
        <w:rPr>
          <w:rStyle w:val="libFootnoteBoldChar"/>
          <w:rtl/>
        </w:rPr>
        <w:t>مدارك الأحكام</w:t>
      </w:r>
      <w:r w:rsidR="00744A1C">
        <w:rPr>
          <w:rtl/>
          <w:lang w:bidi="fa-IR"/>
        </w:rPr>
        <w:t xml:space="preserve"> ، ج 5 ، ص 94 ؛ </w:t>
      </w:r>
      <w:r w:rsidR="00744A1C" w:rsidRPr="00877682">
        <w:rPr>
          <w:rStyle w:val="libFootnoteBoldChar"/>
          <w:rtl/>
        </w:rPr>
        <w:t>مرآة العقول</w:t>
      </w:r>
      <w:r w:rsidR="00744A1C">
        <w:rPr>
          <w:rtl/>
          <w:lang w:bidi="fa-IR"/>
        </w:rPr>
        <w:t xml:space="preserve"> ، ج 18 ، ص 160.</w:t>
      </w:r>
    </w:p>
    <w:p w:rsidR="00744A1C" w:rsidRDefault="00D10E3C" w:rsidP="004437A4">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204 ، ح 681 ، معلّقاً عن الكليني. وفيه ، ح 680 و 682 ، بسند آخر ، إلى قوله : « ذوات الأرحام » مع اختلاف يسير وزيادة في آخره ، وفي الأخير من دون التصريح باسم المعصوم </w:t>
      </w:r>
      <w:r w:rsidR="0061079A" w:rsidRPr="0061079A">
        <w:rPr>
          <w:rStyle w:val="libFootnoteAlaemChar"/>
          <w:rtl/>
        </w:rPr>
        <w:t>عليه‌السلام</w:t>
      </w:r>
      <w:r>
        <w:rPr>
          <w:rtl/>
          <w:lang w:bidi="fa-IR"/>
        </w:rPr>
        <w:t xml:space="preserve"> </w:t>
      </w:r>
      <w:r w:rsidR="004571EE">
        <w:rPr>
          <w:rFonts w:hint="cs"/>
          <w:rtl/>
          <w:lang w:bidi="fa-IR"/>
        </w:rPr>
        <w:t>.</w:t>
      </w:r>
      <w:r w:rsidR="00744A1C" w:rsidRPr="00C24F9C">
        <w:rPr>
          <w:rStyle w:val="libFootnoteBoldChar"/>
          <w:rtl/>
        </w:rPr>
        <w:t>الوافي</w:t>
      </w:r>
      <w:r w:rsidR="00744A1C">
        <w:rPr>
          <w:rtl/>
          <w:lang w:bidi="fa-IR"/>
        </w:rPr>
        <w:t xml:space="preserve"> ، ج 13 ، ص 1113 ، ح 13872 ؛ </w:t>
      </w:r>
      <w:r w:rsidR="00744A1C" w:rsidRPr="00C24F9C">
        <w:rPr>
          <w:rStyle w:val="libFootnoteBoldChar"/>
          <w:rtl/>
        </w:rPr>
        <w:t>الوسائل</w:t>
      </w:r>
      <w:r w:rsidR="00744A1C">
        <w:rPr>
          <w:rtl/>
          <w:lang w:bidi="fa-IR"/>
        </w:rPr>
        <w:t xml:space="preserve"> ، ج 14 ، ص 104 ، ح 18710 ؛ وفيه ، ص 99 ، ح 18694 ، إلى قوله : « ذوات الأرحام ».</w:t>
      </w:r>
      <w:r w:rsidR="004437A4">
        <w:rPr>
          <w:rFonts w:hint="cs"/>
          <w:rtl/>
          <w:lang w:bidi="fa-IR"/>
        </w:rPr>
        <w:t xml:space="preserve">                      </w:t>
      </w:r>
      <w:r w:rsidR="00E378DD">
        <w:rPr>
          <w:rtl/>
          <w:lang w:bidi="fa-IR"/>
        </w:rPr>
        <w:t>(2).</w:t>
      </w:r>
      <w:r w:rsidR="00744A1C">
        <w:rPr>
          <w:rtl/>
          <w:lang w:bidi="fa-IR"/>
        </w:rPr>
        <w:t xml:space="preserve"> في « بخ ، جر » و</w:t>
      </w:r>
      <w:r w:rsidR="00744A1C" w:rsidRPr="00C24F9C">
        <w:rPr>
          <w:rStyle w:val="libFootnoteBoldChar"/>
          <w:rtl/>
        </w:rPr>
        <w:t>الوسائل</w:t>
      </w:r>
      <w:r w:rsidR="00744A1C">
        <w:rPr>
          <w:rtl/>
          <w:lang w:bidi="fa-IR"/>
        </w:rPr>
        <w:t xml:space="preserve"> : - « بن إبراهيم ».</w:t>
      </w:r>
    </w:p>
    <w:p w:rsidR="00744A1C" w:rsidRDefault="00E378DD" w:rsidP="00E378DD">
      <w:pPr>
        <w:pStyle w:val="libFootnote0"/>
        <w:rPr>
          <w:lang w:bidi="fa-IR"/>
        </w:rPr>
      </w:pPr>
      <w:r>
        <w:rPr>
          <w:rtl/>
          <w:lang w:bidi="fa-IR"/>
        </w:rPr>
        <w:t>(3).</w:t>
      </w:r>
      <w:r w:rsidR="00744A1C">
        <w:rPr>
          <w:rtl/>
          <w:lang w:bidi="fa-IR"/>
        </w:rPr>
        <w:t xml:space="preserve"> التبيع : ولد البقر في أوّل سنة. راجع : </w:t>
      </w:r>
      <w:r w:rsidR="00744A1C" w:rsidRPr="00E978C3">
        <w:rPr>
          <w:rStyle w:val="libFootnoteBoldChar"/>
          <w:rtl/>
        </w:rPr>
        <w:t>الصحاح</w:t>
      </w:r>
      <w:r w:rsidR="00744A1C">
        <w:rPr>
          <w:rtl/>
          <w:lang w:bidi="fa-IR"/>
        </w:rPr>
        <w:t xml:space="preserve"> ، ج 3 ، ص 1190 ؛ </w:t>
      </w:r>
      <w:r w:rsidR="00744A1C" w:rsidRPr="00877682">
        <w:rPr>
          <w:rStyle w:val="libFootnoteBoldChar"/>
          <w:rtl/>
        </w:rPr>
        <w:t>النهاية</w:t>
      </w:r>
      <w:r w:rsidR="00744A1C">
        <w:rPr>
          <w:rtl/>
          <w:lang w:bidi="fa-IR"/>
        </w:rPr>
        <w:t xml:space="preserve"> ، ج 1 ، ص 179 ( تبع ).</w:t>
      </w:r>
    </w:p>
    <w:p w:rsidR="00744A1C" w:rsidRDefault="00E378DD" w:rsidP="00E378DD">
      <w:pPr>
        <w:pStyle w:val="libFootnote0"/>
        <w:rPr>
          <w:lang w:bidi="fa-IR"/>
        </w:rPr>
      </w:pPr>
      <w:r>
        <w:rPr>
          <w:rtl/>
          <w:lang w:bidi="fa-IR"/>
        </w:rPr>
        <w:t>(4).</w:t>
      </w:r>
      <w:r w:rsidR="00744A1C">
        <w:rPr>
          <w:rtl/>
          <w:lang w:bidi="fa-IR"/>
        </w:rPr>
        <w:t xml:space="preserve"> عن الأزهري : « البقرة والشاة يقع عليهما اسم ال</w:t>
      </w:r>
      <w:r w:rsidR="005D3A01">
        <w:rPr>
          <w:rFonts w:hint="cs"/>
          <w:rtl/>
          <w:lang w:bidi="fa-IR"/>
        </w:rPr>
        <w:t>ـ</w:t>
      </w:r>
      <w:r w:rsidR="00744A1C">
        <w:rPr>
          <w:rtl/>
          <w:lang w:bidi="fa-IR"/>
        </w:rPr>
        <w:t xml:space="preserve">مُسِنّ إذا أثنيا ، وتثنيان في السنة الثالثة ، وليس معنى إسنانها كبرها كالرجل المسنّ ، ولكن معناه طلوع سنّها في السنة الثالثة ». راجع : </w:t>
      </w:r>
      <w:r w:rsidR="00744A1C" w:rsidRPr="00877682">
        <w:rPr>
          <w:rStyle w:val="libFootnoteBoldChar"/>
          <w:rtl/>
        </w:rPr>
        <w:t>النهاية</w:t>
      </w:r>
      <w:r w:rsidR="00744A1C">
        <w:rPr>
          <w:rtl/>
          <w:lang w:bidi="fa-IR"/>
        </w:rPr>
        <w:t xml:space="preserve"> ، ج 2 ، ص 412 ؛ </w:t>
      </w:r>
      <w:r w:rsidR="00744A1C" w:rsidRPr="00E978C3">
        <w:rPr>
          <w:rStyle w:val="libFootnoteBoldChar"/>
          <w:rtl/>
        </w:rPr>
        <w:t>المصباح المنير</w:t>
      </w:r>
      <w:r w:rsidR="00744A1C">
        <w:rPr>
          <w:rtl/>
          <w:lang w:bidi="fa-IR"/>
        </w:rPr>
        <w:t xml:space="preserve"> ، ص 292 ( سنن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التبيع : ما دخل في الثانية ، والمسنّ : ما دخل في الثالثة ». وفي </w:t>
      </w:r>
      <w:r w:rsidRPr="00C24F9C">
        <w:rPr>
          <w:rStyle w:val="libFootnoteBoldChar"/>
          <w:rtl/>
        </w:rPr>
        <w:t>المرآة</w:t>
      </w:r>
      <w:r>
        <w:rPr>
          <w:rtl/>
          <w:lang w:bidi="fa-IR"/>
        </w:rPr>
        <w:t xml:space="preserve"> : « يدلّ على ما هو المشهور من الاكتفاء بالدخول في السنة الثانية ؛ فإنّ التبيع ما دخل في الثانية ، والمسنّ ما دخل في الثالثة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13 ، ص 1114 ، ح 13873 ؛ </w:t>
      </w:r>
      <w:r w:rsidR="00744A1C" w:rsidRPr="00C24F9C">
        <w:rPr>
          <w:rStyle w:val="libFootnoteBoldChar"/>
          <w:rtl/>
        </w:rPr>
        <w:t>الوسائل</w:t>
      </w:r>
      <w:r w:rsidR="00744A1C">
        <w:rPr>
          <w:rtl/>
          <w:lang w:bidi="fa-IR"/>
        </w:rPr>
        <w:t xml:space="preserve"> ، ج 14 ، ص 105 ، ح 18712.</w:t>
      </w:r>
    </w:p>
    <w:p w:rsidR="00744A1C" w:rsidRDefault="00E378DD" w:rsidP="00E378DD">
      <w:pPr>
        <w:pStyle w:val="libFootnote0"/>
        <w:rPr>
          <w:lang w:bidi="fa-IR"/>
        </w:rPr>
      </w:pPr>
      <w:r>
        <w:rPr>
          <w:rtl/>
          <w:lang w:bidi="fa-IR"/>
        </w:rPr>
        <w:t>(6).</w:t>
      </w:r>
      <w:r w:rsidR="00744A1C">
        <w:rPr>
          <w:rtl/>
          <w:lang w:bidi="fa-IR"/>
        </w:rPr>
        <w:t xml:space="preserve"> في « بخ ، جر » : - « بن إبراهيم ».</w:t>
      </w:r>
    </w:p>
    <w:p w:rsidR="00744A1C" w:rsidRDefault="00E378DD" w:rsidP="00E378DD">
      <w:pPr>
        <w:pStyle w:val="libFootnote0"/>
        <w:rPr>
          <w:lang w:bidi="fa-IR"/>
        </w:rPr>
      </w:pPr>
      <w:r>
        <w:rPr>
          <w:rtl/>
          <w:lang w:bidi="fa-IR"/>
        </w:rPr>
        <w:t>(7).</w:t>
      </w:r>
      <w:r w:rsidR="00744A1C">
        <w:rPr>
          <w:rtl/>
          <w:lang w:bidi="fa-IR"/>
        </w:rPr>
        <w:t xml:space="preserve"> هكذا في « ى ، بخ ، بف ، جد ، جر » وحاشية « بح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سائر النسخ والمطبوع : « حدّثني من سمعه ».</w:t>
      </w:r>
    </w:p>
    <w:p w:rsidR="00744A1C" w:rsidRDefault="00E378DD" w:rsidP="00E378DD">
      <w:pPr>
        <w:pStyle w:val="libFootnote0"/>
        <w:rPr>
          <w:lang w:bidi="fa-IR"/>
        </w:rPr>
      </w:pPr>
      <w:r>
        <w:rPr>
          <w:rtl/>
          <w:lang w:bidi="fa-IR"/>
        </w:rPr>
        <w:t>(8).</w:t>
      </w:r>
      <w:r w:rsidR="00744A1C">
        <w:rPr>
          <w:rtl/>
          <w:lang w:bidi="fa-IR"/>
        </w:rPr>
        <w:t xml:space="preserve"> الكَبْشُ : فحل الضأن في أيّ سنّ كان ، أو الحَمَلُ إذا أثنى ، أو إذ أخرجت رَباعِيَتُه. راجع : </w:t>
      </w:r>
      <w:r w:rsidR="00744A1C" w:rsidRPr="00877682">
        <w:rPr>
          <w:rStyle w:val="libFootnoteBoldChar"/>
          <w:rtl/>
        </w:rPr>
        <w:t>لسان العرب</w:t>
      </w:r>
      <w:r w:rsidR="00744A1C">
        <w:rPr>
          <w:rtl/>
          <w:lang w:bidi="fa-IR"/>
        </w:rPr>
        <w:t xml:space="preserve"> ، ج 6 ، ص 338 ؛ </w:t>
      </w:r>
      <w:r w:rsidR="00744A1C" w:rsidRPr="008A57EB">
        <w:rPr>
          <w:rStyle w:val="libFootnoteBoldChar"/>
          <w:rtl/>
        </w:rPr>
        <w:t>القاموس المحيط</w:t>
      </w:r>
      <w:r w:rsidR="00744A1C">
        <w:rPr>
          <w:rtl/>
          <w:lang w:bidi="fa-IR"/>
        </w:rPr>
        <w:t xml:space="preserve"> ، ج 1 ، ص 821 ( كبش ).</w:t>
      </w:r>
    </w:p>
    <w:p w:rsidR="00744A1C" w:rsidRDefault="00E378DD" w:rsidP="00E378DD">
      <w:pPr>
        <w:pStyle w:val="libFootnote0"/>
        <w:rPr>
          <w:lang w:bidi="fa-IR"/>
        </w:rPr>
      </w:pPr>
      <w:r>
        <w:rPr>
          <w:rtl/>
          <w:lang w:bidi="fa-IR"/>
        </w:rPr>
        <w:t>(9).</w:t>
      </w:r>
      <w:r w:rsidR="00744A1C">
        <w:rPr>
          <w:rtl/>
          <w:lang w:bidi="fa-IR"/>
        </w:rPr>
        <w:t xml:space="preserve"> في اللغة : كبش أقرن ، أي كبير القرنين ،</w:t>
      </w:r>
      <w:r w:rsidR="00AE0E08">
        <w:rPr>
          <w:rtl/>
          <w:lang w:bidi="fa-IR"/>
        </w:rPr>
        <w:t xml:space="preserve"> أو المجتمع القرنين. وقال العل</w:t>
      </w:r>
      <w:r w:rsidR="00AE0E08">
        <w:rPr>
          <w:rFonts w:hint="cs"/>
          <w:rtl/>
          <w:lang w:bidi="fa-IR"/>
        </w:rPr>
        <w:t>ّ</w:t>
      </w:r>
      <w:r w:rsidR="00AE0E08">
        <w:rPr>
          <w:rtl/>
          <w:lang w:bidi="fa-IR"/>
        </w:rPr>
        <w:t>ا</w:t>
      </w:r>
      <w:r w:rsidR="00744A1C">
        <w:rPr>
          <w:rtl/>
          <w:lang w:bidi="fa-IR"/>
        </w:rPr>
        <w:t xml:space="preserve">مة : « الأقرن : معروف ، وهو ما له </w:t>
      </w:r>
      <w:r w:rsidR="00AE0E08">
        <w:rPr>
          <w:rFonts w:hint="cs"/>
          <w:rtl/>
          <w:lang w:bidi="fa-IR"/>
        </w:rPr>
        <w:t>=</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لَمْ تَجِدْ أَسْوَدَ ، فَأَقْرَنُ فَحْلٌ يَأْكُلُ فِي سَوَادٍ ، وَيَشْرَبُ فِي سَوَادٍ ، وَيَنْظُرُ فِي سَوَادٍ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7848 / 5. مُحَمَّدُ بْنُ يَحْيى ، عَنْ أَحْمَدَ بْنِ مُحَمَّدٍ ، عَنْ عَلِيِّ بْنِ الْحَكَمِ ، عَنْ عَلِيِّ بْنِ أَبِي حَمْزَةَ ، عَنْ أَبِي بَصِيرٍ ، قَالَ :</w:t>
      </w:r>
    </w:p>
    <w:p w:rsidR="00744A1C" w:rsidRDefault="00744A1C" w:rsidP="00744A1C">
      <w:pPr>
        <w:pStyle w:val="libNormal"/>
        <w:rPr>
          <w:lang w:bidi="fa-IR"/>
        </w:rPr>
      </w:pPr>
      <w:r>
        <w:rPr>
          <w:rtl/>
          <w:lang w:bidi="fa-IR"/>
        </w:rPr>
        <w:t xml:space="preserve">سَأَلْتُ أَبَا عَبْدِ اللهِ </w:t>
      </w:r>
      <w:r w:rsidRPr="00D10E3C">
        <w:rPr>
          <w:rStyle w:val="libFootnotenumChar"/>
          <w:rtl/>
        </w:rPr>
        <w:t>(3)</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عَنِ النَّعْجَةِ </w:t>
      </w:r>
      <w:r w:rsidRPr="00D10E3C">
        <w:rPr>
          <w:rStyle w:val="libFootnotenumChar"/>
          <w:rtl/>
        </w:rPr>
        <w:t>(4)</w:t>
      </w:r>
      <w:r>
        <w:rPr>
          <w:rtl/>
          <w:lang w:bidi="fa-IR"/>
        </w:rPr>
        <w:t xml:space="preserve"> أَحَبُّ إِلَيْكَ ، أَمِ الْمَاعِزُ؟</w:t>
      </w:r>
    </w:p>
    <w:p w:rsidR="00744A1C" w:rsidRDefault="00744A1C" w:rsidP="00744A1C">
      <w:pPr>
        <w:pStyle w:val="libNormal"/>
        <w:rPr>
          <w:lang w:bidi="fa-IR"/>
        </w:rPr>
      </w:pPr>
      <w:r>
        <w:rPr>
          <w:rtl/>
          <w:lang w:bidi="fa-IR"/>
        </w:rPr>
        <w:t xml:space="preserve">قَالَ : « إِنْ كَانَ الْمَاعِزُ ذَكَراً ، فَهُوَ أَحَبُّ إِلَيَّ ، وَإِنْ كَانَ الْمَاعِزُ أُنْثى </w:t>
      </w:r>
      <w:r w:rsidR="00596830">
        <w:rPr>
          <w:rtl/>
          <w:lang w:bidi="fa-IR"/>
        </w:rPr>
        <w:t>، فَالنَّعْجَةُ أَحَبُّ إِلَيَّ</w:t>
      </w:r>
      <w:r>
        <w:rPr>
          <w:rtl/>
          <w:lang w:bidi="fa-IR"/>
        </w:rPr>
        <w:t>».</w:t>
      </w:r>
    </w:p>
    <w:p w:rsidR="00744A1C" w:rsidRDefault="00744A1C" w:rsidP="00744A1C">
      <w:pPr>
        <w:pStyle w:val="libNormal"/>
        <w:rPr>
          <w:lang w:bidi="fa-IR"/>
        </w:rPr>
      </w:pPr>
      <w:r>
        <w:rPr>
          <w:rtl/>
          <w:lang w:bidi="fa-IR"/>
        </w:rPr>
        <w:t xml:space="preserve">قَالَ : قُلْتُ : فَالْخَصِيُّ </w:t>
      </w:r>
      <w:r w:rsidRPr="00D10E3C">
        <w:rPr>
          <w:rStyle w:val="libFootnotenumChar"/>
          <w:rtl/>
        </w:rPr>
        <w:t>(5)</w:t>
      </w:r>
      <w:r>
        <w:rPr>
          <w:rtl/>
          <w:lang w:bidi="fa-IR"/>
        </w:rPr>
        <w:t xml:space="preserve"> يُضَحّى بِهِ؟</w:t>
      </w:r>
    </w:p>
    <w:p w:rsidR="00744A1C" w:rsidRDefault="00A25AE0" w:rsidP="00744A1C">
      <w:pPr>
        <w:pStyle w:val="libNormal"/>
        <w:rPr>
          <w:lang w:bidi="fa-IR"/>
        </w:rPr>
      </w:pPr>
      <w:r>
        <w:rPr>
          <w:rtl/>
          <w:lang w:bidi="fa-IR"/>
        </w:rPr>
        <w:t>قَالَ : « لَا ، إِل</w:t>
      </w:r>
      <w:r>
        <w:rPr>
          <w:rFonts w:hint="cs"/>
          <w:rtl/>
          <w:lang w:bidi="fa-IR"/>
        </w:rPr>
        <w:t>َّ</w:t>
      </w:r>
      <w:r>
        <w:rPr>
          <w:rtl/>
          <w:lang w:bidi="fa-IR"/>
        </w:rPr>
        <w:t>ا</w:t>
      </w:r>
      <w:r w:rsidR="00744A1C">
        <w:rPr>
          <w:rtl/>
          <w:lang w:bidi="fa-IR"/>
        </w:rPr>
        <w:t xml:space="preserve"> أَنْ لَايَكُونَ غَيْرُهُ » وَقَالَ : « يَصْلُحُ الْجَذَعُ مِنَ الضَّأْنِ ، فَأَمَّا الْمَاعِزُ فَلَا يَصْلُحُ ».</w:t>
      </w:r>
    </w:p>
    <w:p w:rsidR="00744A1C" w:rsidRDefault="00744A1C" w:rsidP="00744A1C">
      <w:pPr>
        <w:pStyle w:val="libNormal"/>
        <w:rPr>
          <w:lang w:bidi="fa-IR"/>
        </w:rPr>
      </w:pPr>
      <w:r>
        <w:rPr>
          <w:rtl/>
          <w:lang w:bidi="fa-IR"/>
        </w:rPr>
        <w:t xml:space="preserve">قُلْتُ : الْخَصِيُّ </w:t>
      </w:r>
      <w:r w:rsidRPr="00D10E3C">
        <w:rPr>
          <w:rStyle w:val="libFootnotenumChar"/>
          <w:rtl/>
        </w:rPr>
        <w:t>(6)</w:t>
      </w:r>
      <w:r>
        <w:rPr>
          <w:rtl/>
          <w:lang w:bidi="fa-IR"/>
        </w:rPr>
        <w:t xml:space="preserve"> أَحَبُّ إِلَيْكَ ، أَمِ النَّعْجَةُ؟</w:t>
      </w:r>
    </w:p>
    <w:p w:rsidR="00744A1C" w:rsidRDefault="00744A1C" w:rsidP="00D10E3C">
      <w:pPr>
        <w:pStyle w:val="libLine"/>
        <w:rPr>
          <w:lang w:bidi="fa-IR"/>
        </w:rPr>
      </w:pPr>
      <w:r>
        <w:rPr>
          <w:rtl/>
          <w:lang w:bidi="fa-IR"/>
        </w:rPr>
        <w:t>____________________</w:t>
      </w:r>
    </w:p>
    <w:p w:rsidR="00744A1C" w:rsidRDefault="00B0793F" w:rsidP="00D10E3C">
      <w:pPr>
        <w:pStyle w:val="libFootnote0"/>
        <w:rPr>
          <w:lang w:bidi="fa-IR"/>
        </w:rPr>
      </w:pPr>
      <w:r>
        <w:rPr>
          <w:rFonts w:hint="cs"/>
          <w:rtl/>
          <w:lang w:bidi="fa-IR"/>
        </w:rPr>
        <w:t xml:space="preserve">= </w:t>
      </w:r>
      <w:r w:rsidR="00744A1C">
        <w:rPr>
          <w:rtl/>
          <w:lang w:bidi="fa-IR"/>
        </w:rPr>
        <w:t xml:space="preserve">قرنان ». راجع : </w:t>
      </w:r>
      <w:r w:rsidR="00744A1C" w:rsidRPr="00877682">
        <w:rPr>
          <w:rStyle w:val="libFootnoteBoldChar"/>
          <w:rtl/>
        </w:rPr>
        <w:t>لسان العرب</w:t>
      </w:r>
      <w:r w:rsidR="00744A1C">
        <w:rPr>
          <w:rtl/>
          <w:lang w:bidi="fa-IR"/>
        </w:rPr>
        <w:t xml:space="preserve"> ، ج 13 ، ص 331 ؛ تاج العروس ، ج 18 ، ص 450 ( قرن ) ؛ تذكرة الفقهاء ، ج 8 ، ص 304 ، المسألة 634 ؛ </w:t>
      </w:r>
      <w:r w:rsidR="00744A1C" w:rsidRPr="00877682">
        <w:rPr>
          <w:rStyle w:val="libFootnoteBoldChar"/>
          <w:rtl/>
        </w:rPr>
        <w:t>منتهى المطلب</w:t>
      </w:r>
      <w:r w:rsidR="00744A1C">
        <w:rPr>
          <w:rtl/>
          <w:lang w:bidi="fa-IR"/>
        </w:rPr>
        <w:t xml:space="preserve"> ، ص 755 من الطبعة الحجريّة.</w:t>
      </w:r>
    </w:p>
    <w:p w:rsidR="00744A1C" w:rsidRDefault="00D10E3C" w:rsidP="0007157B">
      <w:pPr>
        <w:pStyle w:val="libFootnote0"/>
        <w:rPr>
          <w:lang w:bidi="fa-IR"/>
        </w:rPr>
      </w:pPr>
      <w:r>
        <w:rPr>
          <w:rtl/>
          <w:lang w:bidi="fa-IR"/>
        </w:rPr>
        <w:t>(1).</w:t>
      </w:r>
      <w:r w:rsidR="00744A1C">
        <w:rPr>
          <w:rtl/>
          <w:lang w:bidi="fa-IR"/>
        </w:rPr>
        <w:t xml:space="preserve"> قال ابن الأثير : « وفيه أنّه ضحّى بكبش يطؤ في سواد ، وينظر في سواد ، ويبرك في سواد ، أي أسود القوائم والمرابض والمحاجز ». وقال الفيّومي : « الشاة تمشي في سواد ، وتأكل في سواد ، وتنظر في سواد ، يراد بذلك سواد قوائمها وفمها وما حول عينيها ، والعرب تسمّي الأخضر أسود ؛ لأنّه</w:t>
      </w:r>
      <w:r w:rsidR="003B514E">
        <w:rPr>
          <w:rtl/>
          <w:lang w:bidi="fa-IR"/>
        </w:rPr>
        <w:t xml:space="preserve"> يرى كذلك على بعد ». وقال العل</w:t>
      </w:r>
      <w:r w:rsidR="003B514E">
        <w:rPr>
          <w:rFonts w:hint="cs"/>
          <w:rtl/>
          <w:lang w:bidi="fa-IR"/>
        </w:rPr>
        <w:t>ّ</w:t>
      </w:r>
      <w:r w:rsidR="003B514E">
        <w:rPr>
          <w:rtl/>
          <w:lang w:bidi="fa-IR"/>
        </w:rPr>
        <w:t>ا</w:t>
      </w:r>
      <w:r w:rsidR="00744A1C">
        <w:rPr>
          <w:rtl/>
          <w:lang w:bidi="fa-IR"/>
        </w:rPr>
        <w:t xml:space="preserve">مة الفيض : « وقيل : السواد كناية عن المرعى والنبت ، فالمعنى حينئذٍ : كان يرعى وينظر ويبرك في خضرة. وقيل : كان من عظمه ينظر في شحمه ويمشي في فيئه ويبرك في ظلّ شحمه. ويروى المعاني الثلاثة عن أهل البيت </w:t>
      </w:r>
      <w:r w:rsidR="00877682" w:rsidRPr="00877682">
        <w:rPr>
          <w:rStyle w:val="libFootnoteAlaemChar"/>
          <w:rFonts w:eastAsiaTheme="minorHAnsi"/>
          <w:rtl/>
        </w:rPr>
        <w:t>عليهم‌السلام</w:t>
      </w:r>
      <w:r w:rsidR="0007157B">
        <w:rPr>
          <w:rtl/>
          <w:lang w:bidi="fa-IR"/>
        </w:rPr>
        <w:t xml:space="preserve"> </w:t>
      </w:r>
      <w:r w:rsidR="00744A1C">
        <w:rPr>
          <w:rtl/>
          <w:lang w:bidi="fa-IR"/>
        </w:rPr>
        <w:t xml:space="preserve">». راجع : </w:t>
      </w:r>
      <w:r w:rsidR="00744A1C" w:rsidRPr="00877682">
        <w:rPr>
          <w:rStyle w:val="libFootnoteBoldChar"/>
          <w:rtl/>
        </w:rPr>
        <w:t>النهاية</w:t>
      </w:r>
      <w:r w:rsidR="00744A1C">
        <w:rPr>
          <w:rtl/>
          <w:lang w:bidi="fa-IR"/>
        </w:rPr>
        <w:t xml:space="preserve"> ، ج 2 ، ص 419 ؛ </w:t>
      </w:r>
      <w:r w:rsidR="00744A1C" w:rsidRPr="00E978C3">
        <w:rPr>
          <w:rStyle w:val="libFootnoteBoldChar"/>
          <w:rtl/>
        </w:rPr>
        <w:t>المصباح المنير</w:t>
      </w:r>
      <w:r w:rsidR="00744A1C">
        <w:rPr>
          <w:rtl/>
          <w:lang w:bidi="fa-IR"/>
        </w:rPr>
        <w:t xml:space="preserve"> ، ص 294 ( سود ) ؛ </w:t>
      </w:r>
      <w:r w:rsidR="00744A1C" w:rsidRPr="00C24F9C">
        <w:rPr>
          <w:rStyle w:val="libFootnoteBoldChar"/>
          <w:rtl/>
        </w:rPr>
        <w:t>الوافي</w:t>
      </w:r>
      <w:r w:rsidR="00744A1C">
        <w:rPr>
          <w:rtl/>
          <w:lang w:bidi="fa-IR"/>
        </w:rPr>
        <w:t xml:space="preserve"> ، ج 12 ، ص 148.</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13 ، ص 1115 ، ح 13876 ؛ </w:t>
      </w:r>
      <w:r w:rsidR="00744A1C" w:rsidRPr="00C24F9C">
        <w:rPr>
          <w:rStyle w:val="libFootnoteBoldChar"/>
          <w:rtl/>
        </w:rPr>
        <w:t>الوسائل</w:t>
      </w:r>
      <w:r w:rsidR="00744A1C">
        <w:rPr>
          <w:rtl/>
          <w:lang w:bidi="fa-IR"/>
        </w:rPr>
        <w:t xml:space="preserve"> ، ج 14 ، ص 110 ، ح 18733.</w:t>
      </w:r>
    </w:p>
    <w:p w:rsidR="00744A1C" w:rsidRDefault="00E378DD" w:rsidP="00E378DD">
      <w:pPr>
        <w:pStyle w:val="libFootnote0"/>
        <w:rPr>
          <w:lang w:bidi="fa-IR"/>
        </w:rPr>
      </w:pPr>
      <w:r>
        <w:rPr>
          <w:rtl/>
          <w:lang w:bidi="fa-IR"/>
        </w:rPr>
        <w:t>(3).</w:t>
      </w:r>
      <w:r w:rsidR="00744A1C">
        <w:rPr>
          <w:rtl/>
          <w:lang w:bidi="fa-IR"/>
        </w:rPr>
        <w:t xml:space="preserve"> في « بث ، بخ ، بف ، جر ، جن » و</w:t>
      </w:r>
      <w:r w:rsidR="00744A1C" w:rsidRPr="00C24F9C">
        <w:rPr>
          <w:rStyle w:val="libFootnoteBoldChar"/>
          <w:rtl/>
        </w:rPr>
        <w:t>الوافي</w:t>
      </w:r>
      <w:r w:rsidR="00744A1C">
        <w:rPr>
          <w:rtl/>
          <w:lang w:bidi="fa-IR"/>
        </w:rPr>
        <w:t xml:space="preserve"> : « أبا جعفر ».</w:t>
      </w:r>
    </w:p>
    <w:p w:rsidR="00744A1C" w:rsidRDefault="00E378DD" w:rsidP="00E378DD">
      <w:pPr>
        <w:pStyle w:val="libFootnote0"/>
        <w:rPr>
          <w:lang w:bidi="fa-IR"/>
        </w:rPr>
      </w:pPr>
      <w:r>
        <w:rPr>
          <w:rtl/>
          <w:lang w:bidi="fa-IR"/>
        </w:rPr>
        <w:t>(4).</w:t>
      </w:r>
      <w:r w:rsidR="00744A1C">
        <w:rPr>
          <w:rtl/>
          <w:lang w:bidi="fa-IR"/>
        </w:rPr>
        <w:t xml:space="preserve"> قال ابن منظور : « النعجة : الا</w:t>
      </w:r>
      <w:r w:rsidR="0007157B">
        <w:rPr>
          <w:rFonts w:hint="cs"/>
          <w:rtl/>
          <w:lang w:bidi="fa-IR"/>
        </w:rPr>
        <w:t>ُ</w:t>
      </w:r>
      <w:r w:rsidR="00744A1C">
        <w:rPr>
          <w:rtl/>
          <w:lang w:bidi="fa-IR"/>
        </w:rPr>
        <w:t>نثى من الضأن والظباء والبقر الوحشيّ والشاء الجبلي ... قال أبو عبيدة : ولا يقال لغير البقر من الوحش : نِعاج ». وقال الفيّومي : « النعجة : الا</w:t>
      </w:r>
      <w:r w:rsidR="0007157B">
        <w:rPr>
          <w:rFonts w:hint="cs"/>
          <w:rtl/>
          <w:lang w:bidi="fa-IR"/>
        </w:rPr>
        <w:t>ُ</w:t>
      </w:r>
      <w:r w:rsidR="00744A1C">
        <w:rPr>
          <w:rtl/>
          <w:lang w:bidi="fa-IR"/>
        </w:rPr>
        <w:t xml:space="preserve">نثى من الضأن ». </w:t>
      </w:r>
      <w:r w:rsidR="00744A1C" w:rsidRPr="00877682">
        <w:rPr>
          <w:rStyle w:val="libFootnoteBoldChar"/>
          <w:rtl/>
        </w:rPr>
        <w:t>لسان العرب</w:t>
      </w:r>
      <w:r w:rsidR="00744A1C">
        <w:rPr>
          <w:rtl/>
          <w:lang w:bidi="fa-IR"/>
        </w:rPr>
        <w:t xml:space="preserve"> ، ج 2 ، ص 380 ؛ </w:t>
      </w:r>
      <w:r w:rsidR="00744A1C" w:rsidRPr="00E978C3">
        <w:rPr>
          <w:rStyle w:val="libFootnoteBoldChar"/>
          <w:rtl/>
        </w:rPr>
        <w:t>المصباح المنير</w:t>
      </w:r>
      <w:r w:rsidR="00744A1C">
        <w:rPr>
          <w:rtl/>
          <w:lang w:bidi="fa-IR"/>
        </w:rPr>
        <w:t xml:space="preserve"> ، ص 612 ( نعج ).</w:t>
      </w:r>
    </w:p>
    <w:p w:rsidR="00744A1C" w:rsidRDefault="00E378DD" w:rsidP="00E378DD">
      <w:pPr>
        <w:pStyle w:val="libFootnote0"/>
        <w:rPr>
          <w:lang w:bidi="fa-IR"/>
        </w:rPr>
      </w:pPr>
      <w:r>
        <w:rPr>
          <w:rtl/>
          <w:lang w:bidi="fa-IR"/>
        </w:rPr>
        <w:t>(5).</w:t>
      </w:r>
      <w:r w:rsidR="00744A1C">
        <w:rPr>
          <w:rtl/>
          <w:lang w:bidi="fa-IR"/>
        </w:rPr>
        <w:t xml:space="preserve"> « الخَصيّ » : مسلول الخصيتين ، أي منزوعهما ؛ يقال : خصيتُ الفحل خِصاءً ، إذا سللت ونزعت خصييه. راجع : </w:t>
      </w:r>
      <w:r w:rsidR="00744A1C" w:rsidRPr="00E978C3">
        <w:rPr>
          <w:rStyle w:val="libFootnoteBoldChar"/>
          <w:rtl/>
        </w:rPr>
        <w:t>الصحاح</w:t>
      </w:r>
      <w:r w:rsidR="00744A1C">
        <w:rPr>
          <w:rtl/>
          <w:lang w:bidi="fa-IR"/>
        </w:rPr>
        <w:t xml:space="preserve"> ، ج 6 ، ص 2328 ؛ </w:t>
      </w:r>
      <w:r w:rsidR="00744A1C" w:rsidRPr="00E978C3">
        <w:rPr>
          <w:rStyle w:val="libFootnoteBoldChar"/>
          <w:rtl/>
        </w:rPr>
        <w:t>المصباح المنير</w:t>
      </w:r>
      <w:r w:rsidR="00744A1C">
        <w:rPr>
          <w:rtl/>
          <w:lang w:bidi="fa-IR"/>
        </w:rPr>
        <w:t xml:space="preserve"> ، ص 171 ( خصي ).</w:t>
      </w:r>
    </w:p>
    <w:p w:rsidR="00744A1C" w:rsidRDefault="00E378DD" w:rsidP="00E378DD">
      <w:pPr>
        <w:pStyle w:val="libFootnote0"/>
        <w:rPr>
          <w:lang w:bidi="fa-IR"/>
        </w:rPr>
      </w:pPr>
      <w:r>
        <w:rPr>
          <w:rtl/>
          <w:lang w:bidi="fa-IR"/>
        </w:rPr>
        <w:t>(6).</w:t>
      </w:r>
      <w:r w:rsidR="00744A1C">
        <w:rPr>
          <w:rtl/>
          <w:lang w:bidi="fa-IR"/>
        </w:rPr>
        <w:t xml:space="preserve"> في « بخ ، بف » </w:t>
      </w:r>
      <w:r w:rsidR="00744A1C" w:rsidRPr="004C2FDD">
        <w:rPr>
          <w:rtl/>
        </w:rPr>
        <w:t>والوافي والوسائل</w:t>
      </w:r>
      <w:r w:rsidR="00744A1C">
        <w:rPr>
          <w:rtl/>
          <w:lang w:bidi="fa-IR"/>
        </w:rPr>
        <w:t xml:space="preserve"> : « فالخصيّ ».</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 الْمَرْضُوضُ </w:t>
      </w:r>
      <w:r w:rsidRPr="00D10E3C">
        <w:rPr>
          <w:rStyle w:val="libFootnotenumChar"/>
          <w:rtl/>
        </w:rPr>
        <w:t>(1)</w:t>
      </w:r>
      <w:r>
        <w:rPr>
          <w:rtl/>
          <w:lang w:bidi="fa-IR"/>
        </w:rPr>
        <w:t xml:space="preserve"> أَحَبُّ إِلَيَّ مِنَ النَّعْجَةِ ، وَإِنْ كَانَ خَصِيّاً فَالنَّعْجَةُ ». </w:t>
      </w:r>
      <w:r w:rsidRPr="00D10E3C">
        <w:rPr>
          <w:rStyle w:val="libFootnotenumChar"/>
          <w:rtl/>
        </w:rPr>
        <w:t>(2)</w:t>
      </w:r>
    </w:p>
    <w:p w:rsidR="00144FA6" w:rsidRDefault="00744A1C" w:rsidP="00744A1C">
      <w:pPr>
        <w:pStyle w:val="libNormal"/>
        <w:rPr>
          <w:rtl/>
          <w:lang w:bidi="fa-IR"/>
        </w:rPr>
      </w:pPr>
      <w:r>
        <w:rPr>
          <w:rtl/>
          <w:lang w:bidi="fa-IR"/>
        </w:rPr>
        <w:t>7849 / 6. عَلِيُّ بْنُ إِبْرَاهِيمَ ، عَنْ أَبِيهِ ، عَنِ ابْنِ أَبِي عُمَيْرٍ ، عَنْ حَمَّادٍ ، عَنِ الْحَلَبِيِّ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اشْتَرَى الرَّجُلُ الْبَدَنَةَ مَهْزُولَةً ، فَوَجَدَهَا سَمِينَةً ، فَقَدْ أَجْزَأَتْ عَنْهُ ، وَإِنِ اشْتَرَاهَا مَهْزُولَةً ، فَوَجَدَهَا مَهْزُولَةً ، فَإِنَّهَا لَاتُجْزِئُ عَنْهُ ». </w:t>
      </w:r>
      <w:r w:rsidRPr="00D10E3C">
        <w:rPr>
          <w:rStyle w:val="libFootnotenumChar"/>
          <w:rtl/>
        </w:rPr>
        <w:t>(3)</w:t>
      </w:r>
    </w:p>
    <w:p w:rsidR="00144FA6" w:rsidRDefault="00744A1C" w:rsidP="00744A1C">
      <w:pPr>
        <w:pStyle w:val="libNormal"/>
        <w:rPr>
          <w:rtl/>
          <w:lang w:bidi="fa-IR"/>
        </w:rPr>
      </w:pPr>
      <w:r>
        <w:rPr>
          <w:rtl/>
          <w:lang w:bidi="fa-IR"/>
        </w:rPr>
        <w:t>7850 / 7. حُمَيْدُ بْنُ زِيَادٍ ، عَنِ ابْنِ سَمَاعَةَ ، عَنْ غَيْرِ وَاحِدٍ ، عَنْ أَبَانِ بْنِ عُثْمَانَ ، عَنْ سَلَمَةَ أَبِي حَفْصٍ :</w:t>
      </w:r>
    </w:p>
    <w:p w:rsidR="00144FA6" w:rsidRDefault="00744A1C" w:rsidP="00744A1C">
      <w:pPr>
        <w:pStyle w:val="libNormal"/>
        <w:rPr>
          <w:rtl/>
          <w:lang w:bidi="fa-IR"/>
        </w:rPr>
      </w:pPr>
      <w:r>
        <w:rPr>
          <w:rtl/>
          <w:lang w:bidi="fa-IR"/>
        </w:rPr>
        <w:t xml:space="preserve">عَنْ أَبِي عَبْدِ اللهِ ، عَنْ أَبِيهِ </w:t>
      </w:r>
      <w:r w:rsidR="008859AA" w:rsidRPr="008859AA">
        <w:rPr>
          <w:rStyle w:val="libAlaemChar"/>
          <w:rtl/>
        </w:rPr>
        <w:t>عليهما‌السلام</w:t>
      </w:r>
      <w:r>
        <w:rPr>
          <w:rtl/>
          <w:lang w:bidi="fa-IR"/>
        </w:rPr>
        <w:t xml:space="preserve">، قَالَ : « كَانَ عَلِيٌّ </w:t>
      </w:r>
      <w:r w:rsidRPr="00D10E3C">
        <w:rPr>
          <w:rStyle w:val="libFootnotenumChar"/>
          <w:rtl/>
        </w:rPr>
        <w:t>(4)</w:t>
      </w:r>
      <w:r>
        <w:rPr>
          <w:rtl/>
          <w:lang w:bidi="fa-IR"/>
        </w:rPr>
        <w:t xml:space="preserve"> </w:t>
      </w:r>
      <w:r w:rsidR="0061079A" w:rsidRPr="0061079A">
        <w:rPr>
          <w:rStyle w:val="libAlaemChar"/>
          <w:rtl/>
        </w:rPr>
        <w:t>عليه‌السلام</w:t>
      </w:r>
      <w:r>
        <w:rPr>
          <w:rtl/>
          <w:lang w:bidi="fa-IR"/>
        </w:rPr>
        <w:t xml:space="preserve"> يَكْرَهُ </w:t>
      </w:r>
      <w:r w:rsidRPr="00D10E3C">
        <w:rPr>
          <w:rStyle w:val="libFootnotenumChar"/>
          <w:rtl/>
        </w:rPr>
        <w:t>(5)</w:t>
      </w:r>
      <w:r>
        <w:rPr>
          <w:rtl/>
          <w:lang w:bidi="fa-IR"/>
        </w:rPr>
        <w:t xml:space="preserve"> التَّشْرِيمَ </w:t>
      </w:r>
      <w:r w:rsidRPr="00D10E3C">
        <w:rPr>
          <w:rStyle w:val="libFootnotenumChar"/>
          <w:rtl/>
        </w:rPr>
        <w:t>(6)</w:t>
      </w:r>
      <w:r>
        <w:rPr>
          <w:rtl/>
          <w:lang w:bidi="fa-IR"/>
        </w:rPr>
        <w:t xml:space="preserve"> فِي الْآذَانِ ، وَالْخَرْمَ </w:t>
      </w:r>
      <w:r w:rsidRPr="00D10E3C">
        <w:rPr>
          <w:rStyle w:val="libFootnotenumChar"/>
          <w:rtl/>
        </w:rPr>
        <w:t>(7)</w:t>
      </w:r>
      <w:r>
        <w:rPr>
          <w:rtl/>
          <w:lang w:bidi="fa-IR"/>
        </w:rPr>
        <w:t xml:space="preserve"> ، وَلَايَرى بِهِ بَأْساً إِنْ كَانَ ثَقْبٌ </w:t>
      </w:r>
      <w:r w:rsidRPr="00D10E3C">
        <w:rPr>
          <w:rStyle w:val="libFootnotenumChar"/>
          <w:rtl/>
        </w:rPr>
        <w:t>(8)</w:t>
      </w:r>
      <w:r>
        <w:rPr>
          <w:rtl/>
          <w:lang w:bidi="fa-IR"/>
        </w:rPr>
        <w:t xml:space="preserve"> فِي مَوْضِعِ </w:t>
      </w:r>
      <w:r w:rsidRPr="00D10E3C">
        <w:rPr>
          <w:rStyle w:val="libFootnotenumChar"/>
          <w:rtl/>
        </w:rPr>
        <w:t>(9)</w:t>
      </w:r>
      <w:r>
        <w:rPr>
          <w:rtl/>
          <w:lang w:bidi="fa-IR"/>
        </w:rPr>
        <w:t xml:space="preserve"> الْوَسْمِ </w:t>
      </w:r>
      <w:r w:rsidRPr="00D10E3C">
        <w:rPr>
          <w:rStyle w:val="libFootnotenumChar"/>
          <w:rtl/>
        </w:rPr>
        <w:t>(10)</w:t>
      </w:r>
      <w:r>
        <w:rPr>
          <w:rtl/>
          <w:lang w:bidi="fa-IR"/>
        </w:rPr>
        <w:t xml:space="preserve"> ، وَكَانَ يَقُولُ : يُجْزِئُ مِنَ الْبُدْنِ الثَّنِيُّ ، وَمِنَ الْمَعْزِ الثَّنِيُّ ، وَمِنَ الضَّأْنِ الْجَذَعُ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المرضوض » : المدقوق والمكسور ، من الرض</w:t>
      </w:r>
      <w:r w:rsidR="004C2FDD">
        <w:rPr>
          <w:rtl/>
          <w:lang w:bidi="fa-IR"/>
        </w:rPr>
        <w:t>ّ ، وهو الدقّ والكسر. قال العل</w:t>
      </w:r>
      <w:r w:rsidR="004C2FDD">
        <w:rPr>
          <w:rFonts w:hint="cs"/>
          <w:rtl/>
          <w:lang w:bidi="fa-IR"/>
        </w:rPr>
        <w:t>ّ</w:t>
      </w:r>
      <w:r w:rsidR="004C2FDD">
        <w:rPr>
          <w:rtl/>
          <w:lang w:bidi="fa-IR"/>
        </w:rPr>
        <w:t>ا</w:t>
      </w:r>
      <w:r w:rsidR="00744A1C">
        <w:rPr>
          <w:rtl/>
          <w:lang w:bidi="fa-IR"/>
        </w:rPr>
        <w:t xml:space="preserve">مة المجلسي : « والمراد مرضوض الخصيتين ، وهو قريب من الموجوء ». راجع : </w:t>
      </w:r>
      <w:r w:rsidR="00744A1C" w:rsidRPr="00E978C3">
        <w:rPr>
          <w:rStyle w:val="libFootnoteBoldChar"/>
          <w:rtl/>
        </w:rPr>
        <w:t>المصباح المنير</w:t>
      </w:r>
      <w:r w:rsidR="004C2FDD">
        <w:rPr>
          <w:rtl/>
          <w:lang w:bidi="fa-IR"/>
        </w:rPr>
        <w:t xml:space="preserve"> ، ص 229 ؛ </w:t>
      </w:r>
      <w:r w:rsidR="004C2FDD" w:rsidRPr="008A57EB">
        <w:rPr>
          <w:rStyle w:val="libFootnoteBoldChar"/>
          <w:rtl/>
        </w:rPr>
        <w:t>القاموس المحيط</w:t>
      </w:r>
      <w:r w:rsidR="004C2FDD">
        <w:rPr>
          <w:rtl/>
          <w:lang w:bidi="fa-IR"/>
        </w:rPr>
        <w:t xml:space="preserve"> ، ج 1،ص 871 (رضض</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13 ، ص 1115 ، ح 13879 ؛ </w:t>
      </w:r>
      <w:r w:rsidR="00744A1C" w:rsidRPr="00C24F9C">
        <w:rPr>
          <w:rStyle w:val="libFootnoteBoldChar"/>
          <w:rtl/>
        </w:rPr>
        <w:t>الوسائل</w:t>
      </w:r>
      <w:r w:rsidR="00744A1C">
        <w:rPr>
          <w:rtl/>
          <w:lang w:bidi="fa-IR"/>
        </w:rPr>
        <w:t xml:space="preserve"> ، ج 14 ، ص 112 ، ح 18740.</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13 ، ص 1120 ، ح 13891 ؛ </w:t>
      </w:r>
      <w:r w:rsidR="00744A1C" w:rsidRPr="00C24F9C">
        <w:rPr>
          <w:rStyle w:val="libFootnoteBoldChar"/>
          <w:rtl/>
        </w:rPr>
        <w:t>الوسائل</w:t>
      </w:r>
      <w:r w:rsidR="00744A1C">
        <w:rPr>
          <w:rtl/>
          <w:lang w:bidi="fa-IR"/>
        </w:rPr>
        <w:t xml:space="preserve"> ، ج 14 ، ص 114 ، ح 18746.</w:t>
      </w:r>
    </w:p>
    <w:tbl>
      <w:tblPr>
        <w:tblStyle w:val="TableGrid"/>
        <w:bidiVisual/>
        <w:tblW w:w="0" w:type="auto"/>
        <w:tblLook w:val="04A0" w:firstRow="1" w:lastRow="0" w:firstColumn="1" w:lastColumn="0" w:noHBand="0" w:noVBand="1"/>
      </w:tblPr>
      <w:tblGrid>
        <w:gridCol w:w="4006"/>
        <w:gridCol w:w="4006"/>
      </w:tblGrid>
      <w:tr w:rsidR="004C2FDD" w:rsidTr="004C2FDD">
        <w:tc>
          <w:tcPr>
            <w:tcW w:w="4006" w:type="dxa"/>
          </w:tcPr>
          <w:p w:rsidR="004C2FDD" w:rsidRDefault="004C2FDD" w:rsidP="00E378DD">
            <w:pPr>
              <w:pStyle w:val="libFootnote0"/>
              <w:rPr>
                <w:rtl/>
                <w:lang w:bidi="fa-IR"/>
              </w:rPr>
            </w:pPr>
            <w:r>
              <w:rPr>
                <w:rtl/>
                <w:lang w:bidi="fa-IR"/>
              </w:rPr>
              <w:t>(4). في حاشية « بف » : + « بن الحسين ».</w:t>
            </w:r>
          </w:p>
        </w:tc>
        <w:tc>
          <w:tcPr>
            <w:tcW w:w="4006" w:type="dxa"/>
          </w:tcPr>
          <w:p w:rsidR="004C2FDD" w:rsidRDefault="004C2FDD" w:rsidP="00E378DD">
            <w:pPr>
              <w:pStyle w:val="libFootnote0"/>
              <w:rPr>
                <w:rtl/>
                <w:lang w:bidi="fa-IR"/>
              </w:rPr>
            </w:pPr>
            <w:r>
              <w:rPr>
                <w:rtl/>
                <w:lang w:bidi="fa-IR"/>
              </w:rPr>
              <w:t>(5). في « بخ » : « يكثر ».</w:t>
            </w:r>
          </w:p>
        </w:tc>
      </w:tr>
    </w:tbl>
    <w:p w:rsidR="00744A1C" w:rsidRDefault="00E378DD" w:rsidP="00E378DD">
      <w:pPr>
        <w:pStyle w:val="libFootnote0"/>
        <w:rPr>
          <w:lang w:bidi="fa-IR"/>
        </w:rPr>
      </w:pPr>
      <w:r>
        <w:rPr>
          <w:rtl/>
          <w:lang w:bidi="fa-IR"/>
        </w:rPr>
        <w:t>(6).</w:t>
      </w:r>
      <w:r w:rsidR="00744A1C">
        <w:rPr>
          <w:rtl/>
          <w:lang w:bidi="fa-IR"/>
        </w:rPr>
        <w:t xml:space="preserve"> « التشريم » : التشقيق. راجع : </w:t>
      </w:r>
      <w:r w:rsidR="00744A1C" w:rsidRPr="00E978C3">
        <w:rPr>
          <w:rStyle w:val="libFootnoteBoldChar"/>
          <w:rtl/>
        </w:rPr>
        <w:t>الصحاح</w:t>
      </w:r>
      <w:r w:rsidR="00744A1C">
        <w:rPr>
          <w:rtl/>
          <w:lang w:bidi="fa-IR"/>
        </w:rPr>
        <w:t xml:space="preserve"> ، ج 5 ، ص 1959 ؛ </w:t>
      </w:r>
      <w:r w:rsidR="00744A1C" w:rsidRPr="00877682">
        <w:rPr>
          <w:rStyle w:val="libFootnoteBoldChar"/>
          <w:rtl/>
        </w:rPr>
        <w:t>النهاية</w:t>
      </w:r>
      <w:r w:rsidR="00744A1C">
        <w:rPr>
          <w:rtl/>
          <w:lang w:bidi="fa-IR"/>
        </w:rPr>
        <w:t xml:space="preserve"> ، ج 2 ، ص 468 ( شرم ).</w:t>
      </w:r>
    </w:p>
    <w:p w:rsidR="00744A1C" w:rsidRDefault="00E378DD" w:rsidP="00E378DD">
      <w:pPr>
        <w:pStyle w:val="libFootnote0"/>
        <w:rPr>
          <w:lang w:bidi="fa-IR"/>
        </w:rPr>
      </w:pPr>
      <w:r>
        <w:rPr>
          <w:rtl/>
          <w:lang w:bidi="fa-IR"/>
        </w:rPr>
        <w:t>(7).</w:t>
      </w:r>
      <w:r w:rsidR="00744A1C">
        <w:rPr>
          <w:rtl/>
          <w:lang w:bidi="fa-IR"/>
        </w:rPr>
        <w:t xml:space="preserve"> « الخَرْم » : الثقب والشقّ. والأخرم : هو المثقوب الا</w:t>
      </w:r>
      <w:r w:rsidR="004C2FDD">
        <w:rPr>
          <w:rFonts w:hint="cs"/>
          <w:rtl/>
          <w:lang w:bidi="fa-IR"/>
        </w:rPr>
        <w:t>ُ</w:t>
      </w:r>
      <w:r w:rsidR="00744A1C">
        <w:rPr>
          <w:rtl/>
          <w:lang w:bidi="fa-IR"/>
        </w:rPr>
        <w:t xml:space="preserve">ذن ، والذي قطعت وَتَرَةُ أنفه شيئاً لا يبلغ الجَدْع ، يقال : انخرم ثقبه ، أي انشقّ ، فإذا لم ينشقّ فهو أخزم. راجع : </w:t>
      </w:r>
      <w:r w:rsidR="00744A1C" w:rsidRPr="00E978C3">
        <w:rPr>
          <w:rStyle w:val="libFootnoteBoldChar"/>
          <w:rtl/>
        </w:rPr>
        <w:t>الصحاح</w:t>
      </w:r>
      <w:r w:rsidR="00744A1C">
        <w:rPr>
          <w:rtl/>
          <w:lang w:bidi="fa-IR"/>
        </w:rPr>
        <w:t xml:space="preserve"> ، ج 5 ، ص 1910 ؛ </w:t>
      </w:r>
      <w:r w:rsidR="00744A1C" w:rsidRPr="00877682">
        <w:rPr>
          <w:rStyle w:val="libFootnoteBoldChar"/>
          <w:rtl/>
        </w:rPr>
        <w:t>النهاية</w:t>
      </w:r>
      <w:r w:rsidR="00744A1C">
        <w:rPr>
          <w:rtl/>
          <w:lang w:bidi="fa-IR"/>
        </w:rPr>
        <w:t xml:space="preserve"> ، ج 2 ، ص 27 ( خرم ).</w:t>
      </w:r>
    </w:p>
    <w:p w:rsidR="00744A1C" w:rsidRDefault="00E378DD" w:rsidP="00E378DD">
      <w:pPr>
        <w:pStyle w:val="libFootnote0"/>
        <w:rPr>
          <w:lang w:bidi="fa-IR"/>
        </w:rPr>
      </w:pPr>
      <w:r>
        <w:rPr>
          <w:rtl/>
          <w:lang w:bidi="fa-IR"/>
        </w:rPr>
        <w:t>(8).</w:t>
      </w:r>
      <w:r w:rsidR="00744A1C">
        <w:rPr>
          <w:rtl/>
          <w:lang w:bidi="fa-IR"/>
        </w:rPr>
        <w:t xml:space="preserve"> في « بف » و</w:t>
      </w:r>
      <w:r w:rsidR="00744A1C" w:rsidRPr="00C24F9C">
        <w:rPr>
          <w:rStyle w:val="libFootnoteBoldChar"/>
          <w:rtl/>
        </w:rPr>
        <w:t>الوافي</w:t>
      </w:r>
      <w:r w:rsidR="00744A1C">
        <w:rPr>
          <w:rtl/>
          <w:lang w:bidi="fa-IR"/>
        </w:rPr>
        <w:t xml:space="preserve"> : « ثقباً ». وقال في </w:t>
      </w:r>
      <w:r w:rsidR="00744A1C" w:rsidRPr="00C24F9C">
        <w:rPr>
          <w:rStyle w:val="libFootnoteBoldChar"/>
          <w:rtl/>
        </w:rPr>
        <w:t>الوافي</w:t>
      </w:r>
      <w:r w:rsidR="00744A1C">
        <w:rPr>
          <w:rtl/>
          <w:lang w:bidi="fa-IR"/>
        </w:rPr>
        <w:t xml:space="preserve"> : « وفي بعض النسخ : إن كان ثقب ، على استئناف ، ولا يرى ».</w:t>
      </w:r>
    </w:p>
    <w:p w:rsidR="00744A1C" w:rsidRDefault="00E378DD" w:rsidP="00E378DD">
      <w:pPr>
        <w:pStyle w:val="libFootnote0"/>
        <w:rPr>
          <w:lang w:bidi="fa-IR"/>
        </w:rPr>
      </w:pPr>
      <w:r>
        <w:rPr>
          <w:rtl/>
          <w:lang w:bidi="fa-IR"/>
        </w:rPr>
        <w:t>(9).</w:t>
      </w:r>
      <w:r w:rsidR="00744A1C">
        <w:rPr>
          <w:rtl/>
          <w:lang w:bidi="fa-IR"/>
        </w:rPr>
        <w:t xml:space="preserve"> في « جن » : « مواضع ».</w:t>
      </w:r>
    </w:p>
    <w:p w:rsidR="00744A1C" w:rsidRDefault="00E378DD" w:rsidP="00E378DD">
      <w:pPr>
        <w:pStyle w:val="libFootnote0"/>
        <w:rPr>
          <w:lang w:bidi="fa-IR"/>
        </w:rPr>
      </w:pPr>
      <w:r>
        <w:rPr>
          <w:rtl/>
          <w:lang w:bidi="fa-IR"/>
        </w:rPr>
        <w:t>(10).</w:t>
      </w:r>
      <w:r w:rsidR="00744A1C">
        <w:rPr>
          <w:rtl/>
          <w:lang w:bidi="fa-IR"/>
        </w:rPr>
        <w:t xml:space="preserve"> في « بث ، بف » : « الموسم ». وفي « بح ، جن » و</w:t>
      </w:r>
      <w:r w:rsidR="00744A1C" w:rsidRPr="00C24F9C">
        <w:rPr>
          <w:rStyle w:val="libFootnoteBoldChar"/>
          <w:rtl/>
        </w:rPr>
        <w:t>الوسائل</w:t>
      </w:r>
      <w:r w:rsidR="00744A1C">
        <w:rPr>
          <w:rtl/>
          <w:lang w:bidi="fa-IR"/>
        </w:rPr>
        <w:t xml:space="preserve"> : « المواسم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الفقيه</w:t>
      </w:r>
      <w:r w:rsidR="00744A1C">
        <w:rPr>
          <w:rtl/>
          <w:lang w:bidi="fa-IR"/>
        </w:rPr>
        <w:t xml:space="preserve"> ، ج 2 ، ص 492 ، ذيل ح 3052 ؛ الأمالي للصدوق ، ص 650 ، المجلس 93 ، في ضمن وصف دين الاماميّة على الإيجاز والاختصار ، وفيهما من قوله : « يجزئ من البدن الثنيّ » ، مع اختلاف يسير </w:t>
      </w:r>
      <w:r w:rsidR="004C2FDD">
        <w:rPr>
          <w:rFonts w:hint="cs"/>
          <w:rtl/>
          <w:lang w:bidi="fa-IR"/>
        </w:rPr>
        <w:t>.</w:t>
      </w:r>
      <w:r w:rsidR="00744A1C" w:rsidRPr="00C24F9C">
        <w:rPr>
          <w:rStyle w:val="libFootnoteBoldChar"/>
          <w:rtl/>
        </w:rPr>
        <w:t>الوافي</w:t>
      </w:r>
      <w:r w:rsidR="00744A1C">
        <w:rPr>
          <w:rtl/>
          <w:lang w:bidi="fa-IR"/>
        </w:rPr>
        <w:t xml:space="preserve"> ، ج 13 ، ص 1122 ، ح 13897 ؛ </w:t>
      </w:r>
      <w:r w:rsidR="00744A1C" w:rsidRPr="00C24F9C">
        <w:rPr>
          <w:rStyle w:val="libFootnoteBoldChar"/>
          <w:rtl/>
        </w:rPr>
        <w:t>الوسائل</w:t>
      </w:r>
      <w:r w:rsidR="00744A1C">
        <w:rPr>
          <w:rtl/>
          <w:lang w:bidi="fa-IR"/>
        </w:rPr>
        <w:t xml:space="preserve"> ، ج 14 ، ص 105 ، ح 18714 ؛ وفيه ، ص 129 ، ح 18790 ، إلى قوله : « إن كان ثقب في موضع الوسم ».</w:t>
      </w:r>
    </w:p>
    <w:p w:rsidR="000F7CEC" w:rsidRDefault="000F7CEC"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7851 / 8. أَبَانٌ </w:t>
      </w:r>
      <w:r w:rsidRPr="00D10E3C">
        <w:rPr>
          <w:rStyle w:val="libFootnotenumChar"/>
          <w:rtl/>
        </w:rPr>
        <w:t>(1)</w:t>
      </w:r>
      <w:r>
        <w:rPr>
          <w:rtl/>
          <w:lang w:bidi="fa-IR"/>
        </w:rPr>
        <w:t xml:space="preserve"> ، عَنْ عَبْدِ الرَّحْمنِ </w:t>
      </w:r>
      <w:r w:rsidRPr="00D10E3C">
        <w:rPr>
          <w:rStyle w:val="libFootnotenumChar"/>
          <w:rtl/>
        </w:rPr>
        <w:t>(2)</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w:t>
      </w:r>
      <w:r w:rsidRPr="00D10E3C">
        <w:rPr>
          <w:rStyle w:val="libFootnotenumChar"/>
          <w:rtl/>
        </w:rPr>
        <w:t>(3)</w:t>
      </w:r>
      <w:r>
        <w:rPr>
          <w:rtl/>
          <w:lang w:bidi="fa-IR"/>
        </w:rPr>
        <w:t xml:space="preserve"> قَالَ : « الْكَبْشُ فِي أَرْضِكُمْ أَفْضَلُ </w:t>
      </w:r>
      <w:r w:rsidRPr="00D10E3C">
        <w:rPr>
          <w:rStyle w:val="libFootnotenumChar"/>
          <w:rtl/>
        </w:rPr>
        <w:t>(4)</w:t>
      </w:r>
      <w:r>
        <w:rPr>
          <w:rtl/>
          <w:lang w:bidi="fa-IR"/>
        </w:rPr>
        <w:t xml:space="preserve"> مِنَ الْجَزُورِ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7852 / 9. عَلِيُّ بْنُ إِبْرَاهِيمَ ، عَنْ أَبِيهِ ، عَنِ ابْنِ أَبِي عُمَيْرٍ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w:t>
      </w:r>
      <w:r w:rsidRPr="00D10E3C">
        <w:rPr>
          <w:rStyle w:val="libFootnotenumChar"/>
          <w:rtl/>
        </w:rPr>
        <w:t>(7)</w:t>
      </w:r>
      <w:r>
        <w:rPr>
          <w:rtl/>
          <w:lang w:bidi="fa-IR"/>
        </w:rPr>
        <w:t xml:space="preserve"> رَجُلٍ يَشْتَرِي </w:t>
      </w:r>
      <w:r w:rsidRPr="00D10E3C">
        <w:rPr>
          <w:rStyle w:val="libFootnotenumChar"/>
          <w:rtl/>
        </w:rPr>
        <w:t>(8)</w:t>
      </w:r>
      <w:r>
        <w:rPr>
          <w:rtl/>
          <w:lang w:bidi="fa-IR"/>
        </w:rPr>
        <w:t xml:space="preserve"> هَدْياً ، وَكَانَ </w:t>
      </w:r>
      <w:r w:rsidRPr="00D10E3C">
        <w:rPr>
          <w:rStyle w:val="libFootnotenumChar"/>
          <w:rtl/>
        </w:rPr>
        <w:t>(9)</w:t>
      </w:r>
      <w:r>
        <w:rPr>
          <w:rtl/>
          <w:lang w:bidi="fa-IR"/>
        </w:rPr>
        <w:t xml:space="preserve"> بِهِ عَيْبٌ : عَوَرٌ </w:t>
      </w:r>
      <w:r w:rsidRPr="00D10E3C">
        <w:rPr>
          <w:rStyle w:val="libFootnotenumChar"/>
          <w:rtl/>
        </w:rPr>
        <w:t>(10)</w:t>
      </w:r>
      <w:r>
        <w:rPr>
          <w:rtl/>
          <w:lang w:bidi="fa-IR"/>
        </w:rPr>
        <w:t xml:space="preserve"> أَوْ غَيْرُهُ ، فَقَالَ : « إِنْ كَانَ </w:t>
      </w:r>
      <w:r w:rsidRPr="00D10E3C">
        <w:rPr>
          <w:rStyle w:val="libFootnotenumChar"/>
          <w:rtl/>
        </w:rPr>
        <w:t>(11)</w:t>
      </w:r>
      <w:r>
        <w:rPr>
          <w:rtl/>
          <w:lang w:bidi="fa-IR"/>
        </w:rPr>
        <w:t xml:space="preserve"> نَقَدَ ثَمَنَهُ </w:t>
      </w:r>
      <w:r w:rsidRPr="00D10E3C">
        <w:rPr>
          <w:rStyle w:val="libFootnotenumChar"/>
          <w:rtl/>
        </w:rPr>
        <w:t>(12)</w:t>
      </w:r>
      <w:r>
        <w:rPr>
          <w:rtl/>
          <w:lang w:bidi="fa-IR"/>
        </w:rPr>
        <w:t xml:space="preserve"> فَقَدْ أَجْزَأَ عَنْهُ ، وَإِنْ لَمْ يَكُنْ نَقَدَ ثَمَنَهُ رَدَّهُ ، وَاشْتَرى غَيْرَهُ ».</w:t>
      </w:r>
    </w:p>
    <w:p w:rsidR="00744A1C" w:rsidRDefault="00744A1C" w:rsidP="00744A1C">
      <w:pPr>
        <w:pStyle w:val="libNormal"/>
        <w:rPr>
          <w:lang w:bidi="fa-IR"/>
        </w:rPr>
      </w:pPr>
      <w:r>
        <w:rPr>
          <w:rtl/>
          <w:lang w:bidi="fa-IR"/>
        </w:rPr>
        <w:t xml:space="preserve">قَالَ : وَقَالَ أَبُو عَبْدِ اللهِ </w:t>
      </w:r>
      <w:r w:rsidR="0061079A" w:rsidRPr="0061079A">
        <w:rPr>
          <w:rStyle w:val="libAlaemChar"/>
          <w:rtl/>
        </w:rPr>
        <w:t>عليه‌السلام</w:t>
      </w:r>
      <w:r w:rsidR="00D10E3C">
        <w:rPr>
          <w:rtl/>
          <w:lang w:bidi="fa-IR"/>
        </w:rPr>
        <w:t xml:space="preserve"> </w:t>
      </w:r>
      <w:r>
        <w:rPr>
          <w:rtl/>
          <w:lang w:bidi="fa-IR"/>
        </w:rPr>
        <w:t xml:space="preserve">: « اشْتَرِ فَحْلاً سَمِيناً لِلْمُتْعَةِ ، فَإِنْ لَمْ تَجِدْ فَمَوْجُوءً </w:t>
      </w:r>
      <w:r w:rsidRPr="00D10E3C">
        <w:rPr>
          <w:rStyle w:val="libFootnotenumChar"/>
          <w:rtl/>
        </w:rPr>
        <w:t>(13)</w:t>
      </w:r>
      <w:r>
        <w:rPr>
          <w:rtl/>
          <w:lang w:bidi="fa-IR"/>
        </w:rPr>
        <w:t xml:space="preserve"> ، فَإِنْ لَمْ تَجِدْ فَمِنْ فُحُولَةِ الْمَعْزِ ، فَإِنْ لَمْ تَجِدْ فَنَعْجَةً ، فَإِنْ لَمْ تَجِدْ فَمَا اسْتَيْسَرَ مِنَ الْهَدْيِ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السند معلّق على سابقه. ويروي عن أبان ، حميد بن زياد عن ابن سماعة عن غير واحد.</w:t>
      </w:r>
    </w:p>
    <w:p w:rsidR="00744A1C" w:rsidRDefault="00E378DD" w:rsidP="00E378DD">
      <w:pPr>
        <w:pStyle w:val="libFootnote0"/>
        <w:rPr>
          <w:lang w:bidi="fa-IR"/>
        </w:rPr>
      </w:pPr>
      <w:r>
        <w:rPr>
          <w:rtl/>
          <w:lang w:bidi="fa-IR"/>
        </w:rPr>
        <w:t>(2).</w:t>
      </w:r>
      <w:r w:rsidR="00744A1C">
        <w:rPr>
          <w:rtl/>
          <w:lang w:bidi="fa-IR"/>
        </w:rPr>
        <w:t xml:space="preserve"> في « بف ، جر » : + « بن أبي عبد الله ».</w:t>
      </w:r>
    </w:p>
    <w:p w:rsidR="00744A1C" w:rsidRDefault="00E378DD" w:rsidP="00E378DD">
      <w:pPr>
        <w:pStyle w:val="libFootnote0"/>
        <w:rPr>
          <w:lang w:bidi="fa-IR"/>
        </w:rPr>
      </w:pPr>
      <w:r>
        <w:rPr>
          <w:rtl/>
          <w:lang w:bidi="fa-IR"/>
        </w:rPr>
        <w:t>(3).</w:t>
      </w:r>
      <w:r w:rsidR="00744A1C">
        <w:rPr>
          <w:rtl/>
          <w:lang w:bidi="fa-IR"/>
        </w:rPr>
        <w:t xml:space="preserve"> في « بخ ، بف ، جد » : - « أنّه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في أرضكم ، لعلّ ذلك لعدم اعتيادهم بأكل لحم الجزور ».</w:t>
      </w:r>
    </w:p>
    <w:p w:rsidR="00744A1C" w:rsidRDefault="00E378DD" w:rsidP="00E378DD">
      <w:pPr>
        <w:pStyle w:val="libFootnote0"/>
        <w:rPr>
          <w:lang w:bidi="fa-IR"/>
        </w:rPr>
      </w:pPr>
      <w:r>
        <w:rPr>
          <w:rtl/>
          <w:lang w:bidi="fa-IR"/>
        </w:rPr>
        <w:t>(5).</w:t>
      </w:r>
      <w:r w:rsidR="00744A1C">
        <w:rPr>
          <w:rtl/>
          <w:lang w:bidi="fa-IR"/>
        </w:rPr>
        <w:t xml:space="preserve"> « الجزور » : البعير والإبل ذكراً كان أو ا</w:t>
      </w:r>
      <w:r w:rsidR="004C2FDD">
        <w:rPr>
          <w:rFonts w:hint="cs"/>
          <w:rtl/>
          <w:lang w:bidi="fa-IR"/>
        </w:rPr>
        <w:t>ُ</w:t>
      </w:r>
      <w:r w:rsidR="004C2FDD">
        <w:rPr>
          <w:rtl/>
          <w:lang w:bidi="fa-IR"/>
        </w:rPr>
        <w:t>نثى إل</w:t>
      </w:r>
      <w:r w:rsidR="00B30AF5">
        <w:rPr>
          <w:rFonts w:hint="cs"/>
          <w:rtl/>
          <w:lang w:bidi="fa-IR"/>
        </w:rPr>
        <w:t>ّ</w:t>
      </w:r>
      <w:r w:rsidR="004C2FDD">
        <w:rPr>
          <w:rtl/>
          <w:lang w:bidi="fa-IR"/>
        </w:rPr>
        <w:t>ا</w:t>
      </w:r>
      <w:r w:rsidR="00744A1C">
        <w:rPr>
          <w:rtl/>
          <w:lang w:bidi="fa-IR"/>
        </w:rPr>
        <w:t xml:space="preserve"> أنّ اللفظة مؤنّثة ، تقول : هذه الجزور وإن أردت ذكراً ، والجمع : جُزُر وجزائر. راجع : </w:t>
      </w:r>
      <w:r w:rsidR="00744A1C" w:rsidRPr="00E978C3">
        <w:rPr>
          <w:rStyle w:val="libFootnoteBoldChar"/>
          <w:rtl/>
        </w:rPr>
        <w:t>الصحاح</w:t>
      </w:r>
      <w:r w:rsidR="00744A1C">
        <w:rPr>
          <w:rtl/>
          <w:lang w:bidi="fa-IR"/>
        </w:rPr>
        <w:t xml:space="preserve"> ، ج 2 ، ص 612 ؛ </w:t>
      </w:r>
      <w:r w:rsidR="00744A1C" w:rsidRPr="00877682">
        <w:rPr>
          <w:rStyle w:val="libFootnoteBoldChar"/>
          <w:rtl/>
        </w:rPr>
        <w:t>النهاية</w:t>
      </w:r>
      <w:r w:rsidR="00744A1C">
        <w:rPr>
          <w:rtl/>
          <w:lang w:bidi="fa-IR"/>
        </w:rPr>
        <w:t xml:space="preserve"> ، ج 1 ، ص 266 ( جزر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13 ، ص 1113 ، ح 13871 ؛ </w:t>
      </w:r>
      <w:r w:rsidR="00744A1C" w:rsidRPr="00C24F9C">
        <w:rPr>
          <w:rStyle w:val="libFootnoteBoldChar"/>
          <w:rtl/>
        </w:rPr>
        <w:t>الوسائل</w:t>
      </w:r>
      <w:r w:rsidR="00744A1C">
        <w:rPr>
          <w:rtl/>
          <w:lang w:bidi="fa-IR"/>
        </w:rPr>
        <w:t xml:space="preserve"> ، ج 14 ، ص 110 ، ح 18735.</w:t>
      </w:r>
    </w:p>
    <w:p w:rsidR="00744A1C" w:rsidRDefault="00E378DD" w:rsidP="00E378DD">
      <w:pPr>
        <w:pStyle w:val="libFootnote0"/>
        <w:rPr>
          <w:lang w:bidi="fa-IR"/>
        </w:rPr>
      </w:pPr>
      <w:r>
        <w:rPr>
          <w:rtl/>
          <w:lang w:bidi="fa-IR"/>
        </w:rPr>
        <w:t>(7).</w:t>
      </w:r>
      <w:r w:rsidR="00744A1C">
        <w:rPr>
          <w:rtl/>
          <w:lang w:bidi="fa-IR"/>
        </w:rPr>
        <w:t xml:space="preserve"> في </w:t>
      </w:r>
      <w:r w:rsidR="00744A1C" w:rsidRPr="00EA66D6">
        <w:rPr>
          <w:rStyle w:val="libFootnoteBoldChar"/>
          <w:rtl/>
        </w:rPr>
        <w:t>الاستبصار</w:t>
      </w:r>
      <w:r w:rsidR="00744A1C">
        <w:rPr>
          <w:rtl/>
          <w:lang w:bidi="fa-IR"/>
        </w:rPr>
        <w:t xml:space="preserve"> : - « في ».</w:t>
      </w:r>
    </w:p>
    <w:p w:rsidR="00744A1C" w:rsidRDefault="00E378DD" w:rsidP="00E378DD">
      <w:pPr>
        <w:pStyle w:val="libFootnote0"/>
        <w:rPr>
          <w:lang w:bidi="fa-IR"/>
        </w:rPr>
      </w:pPr>
      <w:r>
        <w:rPr>
          <w:rtl/>
          <w:lang w:bidi="fa-IR"/>
        </w:rPr>
        <w:t>(8).</w:t>
      </w:r>
      <w:r w:rsidR="00744A1C">
        <w:rPr>
          <w:rtl/>
          <w:lang w:bidi="fa-IR"/>
        </w:rPr>
        <w:t xml:space="preserve"> في « بخ ، بف » </w:t>
      </w:r>
      <w:r w:rsidR="00744A1C" w:rsidRPr="00EA66D6">
        <w:rPr>
          <w:rtl/>
        </w:rPr>
        <w:t>والوافي والتهذيب ، ص 214 والاستبصار : « اش</w:t>
      </w:r>
      <w:r w:rsidR="00744A1C">
        <w:rPr>
          <w:rtl/>
          <w:lang w:bidi="fa-IR"/>
        </w:rPr>
        <w:t>ترى ».</w:t>
      </w:r>
    </w:p>
    <w:p w:rsidR="00744A1C" w:rsidRDefault="00E378DD" w:rsidP="00E378DD">
      <w:pPr>
        <w:pStyle w:val="libFootnote0"/>
        <w:rPr>
          <w:lang w:bidi="fa-IR"/>
        </w:rPr>
      </w:pPr>
      <w:r>
        <w:rPr>
          <w:rtl/>
          <w:lang w:bidi="fa-IR"/>
        </w:rPr>
        <w:t>(9).</w:t>
      </w:r>
      <w:r w:rsidR="00744A1C">
        <w:rPr>
          <w:rtl/>
          <w:lang w:bidi="fa-IR"/>
        </w:rPr>
        <w:t xml:space="preserve"> في « ى ، بخ » </w:t>
      </w:r>
      <w:r w:rsidR="00744A1C" w:rsidRPr="00EA66D6">
        <w:rPr>
          <w:rtl/>
        </w:rPr>
        <w:t>والوافي والوسائل</w:t>
      </w:r>
      <w:r w:rsidR="00744A1C">
        <w:rPr>
          <w:rtl/>
          <w:lang w:bidi="fa-IR"/>
        </w:rPr>
        <w:t xml:space="preserve"> ، ح 18791 </w:t>
      </w:r>
      <w:r w:rsidR="00744A1C" w:rsidRPr="00C24F9C">
        <w:rPr>
          <w:rStyle w:val="libFootnoteBoldChar"/>
          <w:rtl/>
        </w:rPr>
        <w:t>والاستبصار</w:t>
      </w:r>
      <w:r w:rsidR="00744A1C">
        <w:rPr>
          <w:rtl/>
          <w:lang w:bidi="fa-IR"/>
        </w:rPr>
        <w:t xml:space="preserve"> : « فكان ».</w:t>
      </w:r>
    </w:p>
    <w:p w:rsidR="00744A1C" w:rsidRDefault="00E378DD" w:rsidP="00E378DD">
      <w:pPr>
        <w:pStyle w:val="libFootnote0"/>
        <w:rPr>
          <w:lang w:bidi="fa-IR"/>
        </w:rPr>
      </w:pPr>
      <w:r>
        <w:rPr>
          <w:rtl/>
          <w:lang w:bidi="fa-IR"/>
        </w:rPr>
        <w:t>(10).</w:t>
      </w:r>
      <w:r w:rsidR="00744A1C">
        <w:rPr>
          <w:rtl/>
          <w:lang w:bidi="fa-IR"/>
        </w:rPr>
        <w:t xml:space="preserve"> قال ابن منظور : « العَوَر : ذهاب حسّ إحدى العينين ». وقال الفيّومي : « عَوِرَتِ العين عَوَراً ، من باب تعب : نقصت ، أو غارت ». </w:t>
      </w:r>
      <w:r w:rsidR="00744A1C" w:rsidRPr="00877682">
        <w:rPr>
          <w:rStyle w:val="libFootnoteBoldChar"/>
          <w:rtl/>
        </w:rPr>
        <w:t>لسان العرب</w:t>
      </w:r>
      <w:r w:rsidR="00744A1C">
        <w:rPr>
          <w:rtl/>
          <w:lang w:bidi="fa-IR"/>
        </w:rPr>
        <w:t xml:space="preserve"> ، ج 4 ، ص 612 ؛ </w:t>
      </w:r>
      <w:r w:rsidR="00744A1C" w:rsidRPr="00E978C3">
        <w:rPr>
          <w:rStyle w:val="libFootnoteBoldChar"/>
          <w:rtl/>
        </w:rPr>
        <w:t>المصباح المنير</w:t>
      </w:r>
      <w:r w:rsidR="00744A1C">
        <w:rPr>
          <w:rtl/>
          <w:lang w:bidi="fa-IR"/>
        </w:rPr>
        <w:t xml:space="preserve"> ، ص 437 ( عور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التهذيب</w:t>
      </w:r>
      <w:r w:rsidR="00744A1C">
        <w:rPr>
          <w:rtl/>
          <w:lang w:bidi="fa-IR"/>
        </w:rPr>
        <w:t xml:space="preserve"> ، ص 214 : + « قد ».</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إن كان نقد ثمنه ، بهذا التفصيل قال الشيخ في </w:t>
      </w:r>
      <w:r w:rsidR="00744A1C" w:rsidRPr="00C24F9C">
        <w:rPr>
          <w:rStyle w:val="libFootnoteBoldChar"/>
          <w:rtl/>
        </w:rPr>
        <w:t>التهذيب</w:t>
      </w:r>
      <w:r w:rsidR="00744A1C">
        <w:rPr>
          <w:rtl/>
          <w:lang w:bidi="fa-IR"/>
        </w:rPr>
        <w:t xml:space="preserve"> ، والمشهور عدم الإجزاء مطلقاً. ثمّ الخبر يدلّ على عدم إجزاء العوراء ، ولا خلاف فيه ».</w:t>
      </w:r>
    </w:p>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الوسائل</w:t>
      </w:r>
      <w:r w:rsidR="00744A1C">
        <w:rPr>
          <w:rtl/>
          <w:lang w:bidi="fa-IR"/>
        </w:rPr>
        <w:t xml:space="preserve"> ، ح 18724 : « فموجاً ». والوِجاء : رضّ عروق البيضتين رضّاً شديداً حتّى تنفضخا من غيرإخراج ، فيكون شبيهاً بالخِضاء ، ويتنزّل في قطعه منزلة الخصيّ ؛ لأنّه يكسر الشهوة ويُذهب شهوة الجماع. راجع : </w:t>
      </w:r>
      <w:r w:rsidR="00744A1C" w:rsidRPr="00E978C3">
        <w:rPr>
          <w:rStyle w:val="libFootnoteBoldChar"/>
          <w:rtl/>
        </w:rPr>
        <w:t>الصحاح</w:t>
      </w:r>
      <w:r w:rsidR="00744A1C">
        <w:rPr>
          <w:rtl/>
          <w:lang w:bidi="fa-IR"/>
        </w:rPr>
        <w:t xml:space="preserve"> ، ج 1 ، ص 80 ؛ </w:t>
      </w:r>
      <w:r w:rsidR="00744A1C" w:rsidRPr="00877682">
        <w:rPr>
          <w:rStyle w:val="libFootnoteBoldChar"/>
          <w:rtl/>
        </w:rPr>
        <w:t>النهاية</w:t>
      </w:r>
      <w:r w:rsidR="00744A1C">
        <w:rPr>
          <w:rtl/>
          <w:lang w:bidi="fa-IR"/>
        </w:rPr>
        <w:t xml:space="preserve"> ، ج 5 ، ص 152 ؛ </w:t>
      </w:r>
      <w:r w:rsidR="00744A1C" w:rsidRPr="00E978C3">
        <w:rPr>
          <w:rStyle w:val="libFootnoteBoldChar"/>
          <w:rtl/>
        </w:rPr>
        <w:t>المصباح المنير</w:t>
      </w:r>
      <w:r w:rsidR="00744A1C">
        <w:rPr>
          <w:rtl/>
          <w:lang w:bidi="fa-IR"/>
        </w:rPr>
        <w:t xml:space="preserve"> ، ص 650 ( وجأ ).</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 « وَ </w:t>
      </w:r>
      <w:r w:rsidRPr="00D10E3C">
        <w:rPr>
          <w:rStyle w:val="libFootnotenumChar"/>
          <w:rtl/>
        </w:rPr>
        <w:t>(1)</w:t>
      </w:r>
      <w:r>
        <w:rPr>
          <w:rtl/>
          <w:lang w:bidi="fa-IR"/>
        </w:rPr>
        <w:t xml:space="preserve"> يُجْزِئُ فِي الْمُتْعَةِ الْجَذَعُ مِنَ الضَّأْنِ ، وَ</w:t>
      </w:r>
      <w:r w:rsidR="00EA66D6">
        <w:rPr>
          <w:rFonts w:hint="cs"/>
          <w:rtl/>
          <w:lang w:bidi="fa-IR"/>
        </w:rPr>
        <w:t xml:space="preserve"> </w:t>
      </w:r>
      <w:r>
        <w:rPr>
          <w:rtl/>
          <w:lang w:bidi="fa-IR"/>
        </w:rPr>
        <w:t>لَا</w:t>
      </w:r>
      <w:r w:rsidR="00EA66D6">
        <w:rPr>
          <w:rFonts w:hint="cs"/>
          <w:rtl/>
          <w:lang w:bidi="fa-IR"/>
        </w:rPr>
        <w:t xml:space="preserve"> </w:t>
      </w:r>
      <w:r>
        <w:rPr>
          <w:rtl/>
          <w:lang w:bidi="fa-IR"/>
        </w:rPr>
        <w:t>يُجْزِئُ جَذَعُ الْمَعْزِ ».</w:t>
      </w:r>
    </w:p>
    <w:p w:rsidR="00144FA6" w:rsidRDefault="00744A1C" w:rsidP="00744A1C">
      <w:pPr>
        <w:pStyle w:val="libNormal"/>
        <w:rPr>
          <w:rtl/>
          <w:lang w:bidi="fa-IR"/>
        </w:rPr>
      </w:pPr>
      <w:r>
        <w:rPr>
          <w:rtl/>
          <w:lang w:bidi="fa-IR"/>
        </w:rPr>
        <w:t xml:space="preserve">قَالَ : وَقَالَ أَبُو عَبْدِ اللهِ </w:t>
      </w:r>
      <w:r w:rsidR="0061079A" w:rsidRPr="0061079A">
        <w:rPr>
          <w:rStyle w:val="libAlaemChar"/>
          <w:rtl/>
        </w:rPr>
        <w:t>عليه‌السلام</w:t>
      </w:r>
      <w:r w:rsidR="00D10E3C">
        <w:rPr>
          <w:rtl/>
          <w:lang w:bidi="fa-IR"/>
        </w:rPr>
        <w:t xml:space="preserve"> </w:t>
      </w:r>
      <w:r>
        <w:rPr>
          <w:rtl/>
          <w:lang w:bidi="fa-IR"/>
        </w:rPr>
        <w:t xml:space="preserve">فِي رَجُلٍ اشْتَرى شَاةً ، ثُمَّ أَرَادَ أَنْ يَشْتَرِيَ أَسْمَنَ مِنْهَا ، قَالَ : « يَشْتَرِيهَا ، فَإِذَا اشْتَرَاهَا </w:t>
      </w:r>
      <w:r w:rsidRPr="00D10E3C">
        <w:rPr>
          <w:rStyle w:val="libFootnotenumChar"/>
          <w:rtl/>
        </w:rPr>
        <w:t>(2)</w:t>
      </w:r>
      <w:r>
        <w:rPr>
          <w:rtl/>
          <w:lang w:bidi="fa-IR"/>
        </w:rPr>
        <w:t xml:space="preserve"> بَاعَ الْأُولى » قَالَ </w:t>
      </w:r>
      <w:r w:rsidRPr="00D10E3C">
        <w:rPr>
          <w:rStyle w:val="libFootnotenumChar"/>
          <w:rtl/>
        </w:rPr>
        <w:t>(3)</w:t>
      </w:r>
      <w:r>
        <w:rPr>
          <w:rtl/>
          <w:lang w:bidi="fa-IR"/>
        </w:rPr>
        <w:t xml:space="preserve"> : وَلَا أَدْرِي شَاةً قَالَ ، أَوْ بَقَرَةً. </w:t>
      </w:r>
      <w:r w:rsidRPr="00D10E3C">
        <w:rPr>
          <w:rStyle w:val="libFootnotenumChar"/>
          <w:rtl/>
        </w:rPr>
        <w:t>(4)</w:t>
      </w:r>
    </w:p>
    <w:p w:rsidR="00144FA6" w:rsidRDefault="00744A1C" w:rsidP="00744A1C">
      <w:pPr>
        <w:pStyle w:val="libNormal"/>
        <w:rPr>
          <w:rtl/>
          <w:lang w:bidi="fa-IR"/>
        </w:rPr>
      </w:pPr>
      <w:r>
        <w:rPr>
          <w:rtl/>
          <w:lang w:bidi="fa-IR"/>
        </w:rPr>
        <w:t xml:space="preserve">7853 / 10. عَلِيُّ بْنُ إِبْرَاهِيمَ </w:t>
      </w:r>
      <w:r w:rsidRPr="00D10E3C">
        <w:rPr>
          <w:rStyle w:val="libFootnotenumChar"/>
          <w:rtl/>
        </w:rPr>
        <w:t>(5)</w:t>
      </w:r>
      <w:r>
        <w:rPr>
          <w:rtl/>
          <w:lang w:bidi="fa-IR"/>
        </w:rPr>
        <w:t xml:space="preserve"> ، عَنْ أَبِيهِ ، عَنِ النَّوْفَلِيِّ ، عَنِ السَّكُونِيِّ :</w:t>
      </w:r>
    </w:p>
    <w:p w:rsidR="00144FA6" w:rsidRDefault="00744A1C" w:rsidP="00EA66D6">
      <w:pPr>
        <w:pStyle w:val="libNormal"/>
        <w:rPr>
          <w:rtl/>
          <w:lang w:bidi="fa-IR"/>
        </w:rPr>
      </w:pPr>
      <w:r>
        <w:rPr>
          <w:rtl/>
          <w:lang w:bidi="fa-IR"/>
        </w:rPr>
        <w:t xml:space="preserve">عَنْ جَعْفَرٍ ، عَنْ أَبِيهِ </w:t>
      </w:r>
      <w:r w:rsidRPr="00D10E3C">
        <w:rPr>
          <w:rStyle w:val="libFootnotenumChar"/>
          <w:rtl/>
        </w:rPr>
        <w:t>(6)</w:t>
      </w:r>
      <w:r>
        <w:rPr>
          <w:rtl/>
          <w:lang w:bidi="fa-IR"/>
        </w:rPr>
        <w:t xml:space="preserve"> ، عَنْ آبَائِهِ </w:t>
      </w:r>
      <w:r w:rsidR="008859AA" w:rsidRPr="008859AA">
        <w:rPr>
          <w:rStyle w:val="libAlaemChar"/>
          <w:rtl/>
        </w:rPr>
        <w:t>عليهما‌السلام</w:t>
      </w:r>
      <w:r>
        <w:rPr>
          <w:rtl/>
          <w:lang w:bidi="fa-IR"/>
        </w:rPr>
        <w:t xml:space="preserve">، قَالَ : « قَالَ رَسُولُ اللهِ </w:t>
      </w:r>
      <w:r w:rsidR="005E465D" w:rsidRPr="005E465D">
        <w:rPr>
          <w:rStyle w:val="libAlaemChar"/>
          <w:rFonts w:eastAsiaTheme="minorHAnsi"/>
          <w:rtl/>
        </w:rPr>
        <w:t>صلى‌الله‌عليه‌وآله</w:t>
      </w:r>
      <w:r>
        <w:rPr>
          <w:rtl/>
          <w:lang w:bidi="fa-IR"/>
        </w:rPr>
        <w:t xml:space="preserve">: صَدَقَةُ رَغِيفٍ </w:t>
      </w:r>
      <w:r w:rsidRPr="00D10E3C">
        <w:rPr>
          <w:rStyle w:val="libFootnotenumChar"/>
          <w:rtl/>
        </w:rPr>
        <w:t>(7)</w:t>
      </w:r>
      <w:r>
        <w:rPr>
          <w:rtl/>
          <w:lang w:bidi="fa-IR"/>
        </w:rPr>
        <w:t xml:space="preserve"> خَيْرٌ مِنْ نُسُكٍ مَهْزُولَةٍ </w:t>
      </w:r>
      <w:r w:rsidRPr="00D10E3C">
        <w:rPr>
          <w:rStyle w:val="libFootnotenumChar"/>
          <w:rtl/>
        </w:rPr>
        <w:t>(8)</w:t>
      </w:r>
      <w:r>
        <w:rPr>
          <w:rtl/>
          <w:lang w:bidi="fa-IR"/>
        </w:rPr>
        <w:t xml:space="preserve"> ». </w:t>
      </w:r>
      <w:r w:rsidRPr="00D10E3C">
        <w:rPr>
          <w:rStyle w:val="libFootnotenumChar"/>
          <w:rtl/>
        </w:rPr>
        <w:t>(9)</w:t>
      </w:r>
    </w:p>
    <w:p w:rsidR="00144FA6" w:rsidRDefault="00744A1C" w:rsidP="00744A1C">
      <w:pPr>
        <w:pStyle w:val="libNormal"/>
        <w:rPr>
          <w:rtl/>
          <w:lang w:bidi="fa-IR"/>
        </w:rPr>
      </w:pPr>
      <w:r>
        <w:rPr>
          <w:rtl/>
          <w:lang w:bidi="fa-IR"/>
        </w:rPr>
        <w:t xml:space="preserve">7854 / 11. عَلِيُّ بْنُ إِبْرَاهِيمَ </w:t>
      </w:r>
      <w:r w:rsidRPr="00D10E3C">
        <w:rPr>
          <w:rStyle w:val="libFootnotenumChar"/>
          <w:rtl/>
        </w:rPr>
        <w:t>(10)</w:t>
      </w:r>
      <w:r>
        <w:rPr>
          <w:rtl/>
          <w:lang w:bidi="fa-IR"/>
        </w:rPr>
        <w:t xml:space="preserve"> ، عَنْ أَبِيهِ ، عَنِ ابْنِ أَبِي عُمَيْرٍ ، عَنْ حَمَّادٍ ، عَنِ الْحَلَبِيِّ ، قَالَ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9007D9" w:rsidTr="009007D9">
        <w:tc>
          <w:tcPr>
            <w:tcW w:w="4006" w:type="dxa"/>
          </w:tcPr>
          <w:p w:rsidR="009007D9" w:rsidRDefault="009007D9" w:rsidP="00D10E3C">
            <w:pPr>
              <w:pStyle w:val="libFootnote0"/>
              <w:rPr>
                <w:rtl/>
                <w:lang w:bidi="fa-IR"/>
              </w:rPr>
            </w:pPr>
            <w:r>
              <w:rPr>
                <w:rtl/>
                <w:lang w:bidi="fa-IR"/>
              </w:rPr>
              <w:t>(1). في « بخ ، بف » و</w:t>
            </w:r>
            <w:r w:rsidRPr="00C24F9C">
              <w:rPr>
                <w:rStyle w:val="libFootnoteBoldChar"/>
                <w:rtl/>
              </w:rPr>
              <w:t>الوافي</w:t>
            </w:r>
            <w:r>
              <w:rPr>
                <w:rtl/>
                <w:lang w:bidi="fa-IR"/>
              </w:rPr>
              <w:t xml:space="preserve"> : + « قال ».</w:t>
            </w:r>
          </w:p>
        </w:tc>
        <w:tc>
          <w:tcPr>
            <w:tcW w:w="4006" w:type="dxa"/>
          </w:tcPr>
          <w:p w:rsidR="009007D9" w:rsidRDefault="009007D9" w:rsidP="00D10E3C">
            <w:pPr>
              <w:pStyle w:val="libFootnote0"/>
              <w:rPr>
                <w:rtl/>
                <w:lang w:bidi="fa-IR"/>
              </w:rPr>
            </w:pPr>
            <w:r>
              <w:rPr>
                <w:rtl/>
                <w:lang w:bidi="fa-IR"/>
              </w:rPr>
              <w:t xml:space="preserve">(2). في </w:t>
            </w:r>
            <w:r w:rsidRPr="00C24F9C">
              <w:rPr>
                <w:rStyle w:val="libFootnoteBoldChar"/>
                <w:rtl/>
              </w:rPr>
              <w:t>الوافي</w:t>
            </w:r>
            <w:r>
              <w:rPr>
                <w:rtl/>
                <w:lang w:bidi="fa-IR"/>
              </w:rPr>
              <w:t xml:space="preserve"> </w:t>
            </w:r>
            <w:r w:rsidRPr="0061079A">
              <w:rPr>
                <w:rStyle w:val="libFootnoteBoldChar"/>
                <w:rtl/>
              </w:rPr>
              <w:t>والتهذيب</w:t>
            </w:r>
            <w:r>
              <w:rPr>
                <w:rtl/>
                <w:lang w:bidi="fa-IR"/>
              </w:rPr>
              <w:t xml:space="preserve"> ، ص 212 : « اشترى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1E01E4">
        <w:rPr>
          <w:rtl/>
        </w:rPr>
        <w:t>في التهذيب</w:t>
      </w:r>
      <w:r w:rsidR="00744A1C">
        <w:rPr>
          <w:rtl/>
          <w:lang w:bidi="fa-IR"/>
        </w:rPr>
        <w:t xml:space="preserve"> ، ص 212 : - « قال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212 ، ح 713 ، معلّقاً عن الكليني ، من قوله : « وقال أبوعبدالله </w:t>
      </w:r>
      <w:r w:rsidR="0061079A" w:rsidRPr="0061079A">
        <w:rPr>
          <w:rStyle w:val="libFootnoteAlaemChar"/>
          <w:rtl/>
        </w:rPr>
        <w:t>عليه‌السلام</w:t>
      </w:r>
      <w:r w:rsidR="00D10E3C">
        <w:rPr>
          <w:rtl/>
          <w:lang w:bidi="fa-IR"/>
        </w:rPr>
        <w:t xml:space="preserve"> </w:t>
      </w:r>
      <w:r w:rsidR="00744A1C">
        <w:rPr>
          <w:rtl/>
          <w:lang w:bidi="fa-IR"/>
        </w:rPr>
        <w:t xml:space="preserve">في رجل اشترى شاة » ؛ وفي </w:t>
      </w:r>
      <w:r w:rsidR="00744A1C" w:rsidRPr="00C24F9C">
        <w:rPr>
          <w:rStyle w:val="libFootnoteBoldChar"/>
          <w:rtl/>
        </w:rPr>
        <w:t>التهذيب</w:t>
      </w:r>
      <w:r w:rsidR="00744A1C">
        <w:rPr>
          <w:rtl/>
          <w:lang w:bidi="fa-IR"/>
        </w:rPr>
        <w:t xml:space="preserve"> ، ج 5 ، ص 214 ، ح 721 ؛ </w:t>
      </w:r>
      <w:r w:rsidR="00744A1C" w:rsidRPr="00C24F9C">
        <w:rPr>
          <w:rStyle w:val="libFootnoteBoldChar"/>
          <w:rtl/>
        </w:rPr>
        <w:t>والاستبصار</w:t>
      </w:r>
      <w:r w:rsidR="00744A1C">
        <w:rPr>
          <w:rtl/>
          <w:lang w:bidi="fa-IR"/>
        </w:rPr>
        <w:t xml:space="preserve"> ، ج 2 ، ص 269 ، ح 954 ، معلّقاً عن الكليني ، إلى قوله : « ردّه واشترى غيره » </w:t>
      </w:r>
      <w:r w:rsidR="001E01E4">
        <w:rPr>
          <w:rFonts w:hint="cs"/>
          <w:rtl/>
          <w:lang w:bidi="fa-IR"/>
        </w:rPr>
        <w:t>.</w:t>
      </w:r>
      <w:r w:rsidR="00744A1C" w:rsidRPr="00C24F9C">
        <w:rPr>
          <w:rStyle w:val="libFootnoteBoldChar"/>
          <w:rtl/>
        </w:rPr>
        <w:t>الوافي</w:t>
      </w:r>
      <w:r w:rsidR="00744A1C">
        <w:rPr>
          <w:rtl/>
          <w:lang w:bidi="fa-IR"/>
        </w:rPr>
        <w:t xml:space="preserve"> ، ج 13 ، ص 1116 ، ح 13880 ؛ </w:t>
      </w:r>
      <w:r w:rsidR="00744A1C" w:rsidRPr="00C24F9C">
        <w:rPr>
          <w:rStyle w:val="libFootnoteBoldChar"/>
          <w:rtl/>
        </w:rPr>
        <w:t>الوسائل</w:t>
      </w:r>
      <w:r w:rsidR="00744A1C">
        <w:rPr>
          <w:rtl/>
          <w:lang w:bidi="fa-IR"/>
        </w:rPr>
        <w:t xml:space="preserve"> ، ج 14 ، ص 104 ، ح 18711 ، وتمام الرواية فيه : « ويجزئ في المتعة الجذع من الضأن ولايجزئ جذع من المعز » ؛ وفيه ، ص 107 ، ح 18724 ، من قوله : « قال أبوعبدالله </w:t>
      </w:r>
      <w:r w:rsidR="0061079A" w:rsidRPr="0061079A">
        <w:rPr>
          <w:rStyle w:val="libFootnoteAlaemChar"/>
          <w:rtl/>
        </w:rPr>
        <w:t>عليه‌السلام</w:t>
      </w:r>
      <w:r w:rsidR="00D10E3C">
        <w:rPr>
          <w:rtl/>
          <w:lang w:bidi="fa-IR"/>
        </w:rPr>
        <w:t xml:space="preserve"> </w:t>
      </w:r>
      <w:r w:rsidR="00744A1C">
        <w:rPr>
          <w:rtl/>
          <w:lang w:bidi="fa-IR"/>
        </w:rPr>
        <w:t>: اشتر فحلاً سميناً » إلى قوله : « فما استيسر من الهدي » ؛ وفيه أيضاً ، ص 124 ، ح 18778 ، من قوله : « في رجل اشترى شاة » ؛ وفيه أيضاً ، ص 130 ، ح 18791 ، إلى قوله : « ردّه واشترى غيره ».</w:t>
      </w:r>
    </w:p>
    <w:tbl>
      <w:tblPr>
        <w:tblStyle w:val="TableGrid"/>
        <w:bidiVisual/>
        <w:tblW w:w="0" w:type="auto"/>
        <w:tblLook w:val="04A0" w:firstRow="1" w:lastRow="0" w:firstColumn="1" w:lastColumn="0" w:noHBand="0" w:noVBand="1"/>
      </w:tblPr>
      <w:tblGrid>
        <w:gridCol w:w="4006"/>
        <w:gridCol w:w="4006"/>
      </w:tblGrid>
      <w:tr w:rsidR="001E01E4" w:rsidTr="001E01E4">
        <w:tc>
          <w:tcPr>
            <w:tcW w:w="4006" w:type="dxa"/>
          </w:tcPr>
          <w:p w:rsidR="001E01E4" w:rsidRDefault="001E01E4" w:rsidP="00E378DD">
            <w:pPr>
              <w:pStyle w:val="libFootnote0"/>
              <w:rPr>
                <w:rtl/>
                <w:lang w:bidi="fa-IR"/>
              </w:rPr>
            </w:pPr>
            <w:r>
              <w:rPr>
                <w:rtl/>
                <w:lang w:bidi="fa-IR"/>
              </w:rPr>
              <w:t>(5). في « بخ ، بف ، جر » : - « بن إبراهيم ».</w:t>
            </w:r>
          </w:p>
        </w:tc>
        <w:tc>
          <w:tcPr>
            <w:tcW w:w="4006" w:type="dxa"/>
          </w:tcPr>
          <w:p w:rsidR="001E01E4" w:rsidRDefault="004012D6" w:rsidP="00E378DD">
            <w:pPr>
              <w:pStyle w:val="libFootnote0"/>
              <w:rPr>
                <w:rtl/>
                <w:lang w:bidi="fa-IR"/>
              </w:rPr>
            </w:pPr>
            <w:r>
              <w:rPr>
                <w:rtl/>
                <w:lang w:bidi="fa-IR"/>
              </w:rPr>
              <w:t xml:space="preserve">(6). في </w:t>
            </w:r>
            <w:r w:rsidRPr="00C24F9C">
              <w:rPr>
                <w:rStyle w:val="libFootnoteBoldChar"/>
                <w:rtl/>
              </w:rPr>
              <w:t>الوسائل</w:t>
            </w:r>
            <w:r>
              <w:rPr>
                <w:rtl/>
                <w:lang w:bidi="fa-IR"/>
              </w:rPr>
              <w:t xml:space="preserve"> </w:t>
            </w:r>
            <w:r w:rsidRPr="0061079A">
              <w:rPr>
                <w:rStyle w:val="libFootnoteBoldChar"/>
                <w:rtl/>
              </w:rPr>
              <w:t>والتهذيب</w:t>
            </w:r>
            <w:r w:rsidR="0020601E">
              <w:rPr>
                <w:rtl/>
                <w:lang w:bidi="fa-IR"/>
              </w:rPr>
              <w:t xml:space="preserve"> ،ص 211:</w:t>
            </w:r>
            <w:r>
              <w:rPr>
                <w:rtl/>
                <w:lang w:bidi="fa-IR"/>
              </w:rPr>
              <w:t>- « عن أبيه ».</w:t>
            </w:r>
          </w:p>
        </w:tc>
      </w:tr>
    </w:tbl>
    <w:p w:rsidR="00744A1C" w:rsidRDefault="00E378DD" w:rsidP="00E378DD">
      <w:pPr>
        <w:pStyle w:val="libFootnote0"/>
        <w:rPr>
          <w:lang w:bidi="fa-IR"/>
        </w:rPr>
      </w:pPr>
      <w:r>
        <w:rPr>
          <w:rtl/>
          <w:lang w:bidi="fa-IR"/>
        </w:rPr>
        <w:t>(7).</w:t>
      </w:r>
      <w:r w:rsidR="00744A1C">
        <w:rPr>
          <w:rtl/>
          <w:lang w:bidi="fa-IR"/>
        </w:rPr>
        <w:t xml:space="preserve"> الرغيف : الخُبْزة ؛ من الرغْف ، وهو جمعك العجين أو الطين بيدك مستديراً. راجع : </w:t>
      </w:r>
      <w:r w:rsidR="00744A1C" w:rsidRPr="00877682">
        <w:rPr>
          <w:rStyle w:val="libFootnoteBoldChar"/>
          <w:rtl/>
        </w:rPr>
        <w:t>لسان العرب</w:t>
      </w:r>
      <w:r w:rsidR="00744A1C">
        <w:rPr>
          <w:rtl/>
          <w:lang w:bidi="fa-IR"/>
        </w:rPr>
        <w:t xml:space="preserve"> ، ج 9 ، ص 124 ؛ </w:t>
      </w:r>
      <w:r w:rsidR="00744A1C" w:rsidRPr="00E978C3">
        <w:rPr>
          <w:rStyle w:val="libFootnoteBoldChar"/>
          <w:rtl/>
        </w:rPr>
        <w:t>المصباح المنير</w:t>
      </w:r>
      <w:r w:rsidR="00744A1C">
        <w:rPr>
          <w:rtl/>
          <w:lang w:bidi="fa-IR"/>
        </w:rPr>
        <w:t xml:space="preserve"> ، ص 231 ( رغف ).</w:t>
      </w:r>
    </w:p>
    <w:p w:rsidR="00744A1C" w:rsidRDefault="00E378DD" w:rsidP="00E378DD">
      <w:pPr>
        <w:pStyle w:val="libFootnote0"/>
        <w:rPr>
          <w:lang w:bidi="fa-IR"/>
        </w:rPr>
      </w:pPr>
      <w:r>
        <w:rPr>
          <w:rtl/>
          <w:lang w:bidi="fa-IR"/>
        </w:rPr>
        <w:t>(8).</w:t>
      </w:r>
      <w:r w:rsidR="00744A1C">
        <w:rPr>
          <w:rtl/>
          <w:lang w:bidi="fa-IR"/>
        </w:rPr>
        <w:t xml:space="preserve"> في « بخ » </w:t>
      </w:r>
      <w:r w:rsidR="00744A1C" w:rsidRPr="00596830">
        <w:rPr>
          <w:rtl/>
        </w:rPr>
        <w:t>والوافي والتهذيب والجعفريّات</w:t>
      </w:r>
      <w:r w:rsidR="00744A1C">
        <w:rPr>
          <w:rtl/>
          <w:lang w:bidi="fa-IR"/>
        </w:rPr>
        <w:t xml:space="preserve"> : « مهزول ». وقال ابن الأثير : « النسيكة : الذبيحة ، وجمعها : نُسُك ». وقال الفيروزآبادي : « النسك - بالضمّ وبضمّتين وكسفينة - : الذبيحة ، أو النَسك - بالفتح فالسكون - : الدم ». وفي </w:t>
      </w:r>
      <w:r w:rsidR="00744A1C" w:rsidRPr="00C24F9C">
        <w:rPr>
          <w:rStyle w:val="libFootnoteBoldChar"/>
          <w:rtl/>
        </w:rPr>
        <w:t>الوافي</w:t>
      </w:r>
      <w:r w:rsidR="00744A1C">
        <w:rPr>
          <w:rtl/>
          <w:lang w:bidi="fa-IR"/>
        </w:rPr>
        <w:t xml:space="preserve"> : « نسك مهزول ، إمّا بالفتح بمعنى الذبح على الإضافة ، وإمّا بالضمّ أو الضمّتين بمعنى الذبيحة على الوصف ». راجع : </w:t>
      </w:r>
      <w:r w:rsidR="00744A1C" w:rsidRPr="00877682">
        <w:rPr>
          <w:rStyle w:val="libFootnoteBoldChar"/>
          <w:rtl/>
        </w:rPr>
        <w:t>النهاية</w:t>
      </w:r>
      <w:r w:rsidR="00744A1C">
        <w:rPr>
          <w:rtl/>
          <w:lang w:bidi="fa-IR"/>
        </w:rPr>
        <w:t xml:space="preserve"> ، ج 5 ، ص 48 ؛ </w:t>
      </w:r>
      <w:r w:rsidR="00744A1C" w:rsidRPr="008A57EB">
        <w:rPr>
          <w:rStyle w:val="libFootnoteBoldChar"/>
          <w:rtl/>
        </w:rPr>
        <w:t>القاموس المحيط</w:t>
      </w:r>
      <w:r w:rsidR="00744A1C">
        <w:rPr>
          <w:rtl/>
          <w:lang w:bidi="fa-IR"/>
        </w:rPr>
        <w:t xml:space="preserve"> ، ج 2 ، ص 1265 ( نسك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211 ، ح 711 ؛ وص 482 ، ح 1716 ، معلّقاً عن الكليني. </w:t>
      </w:r>
      <w:r w:rsidR="00744A1C" w:rsidRPr="00877682">
        <w:rPr>
          <w:rStyle w:val="libFootnoteBoldChar"/>
          <w:rtl/>
        </w:rPr>
        <w:t>الجعفريّات</w:t>
      </w:r>
      <w:r w:rsidR="00744A1C">
        <w:rPr>
          <w:rtl/>
          <w:lang w:bidi="fa-IR"/>
        </w:rPr>
        <w:t xml:space="preserve"> ، ص 72 ، بسند آخر </w:t>
      </w:r>
      <w:r w:rsidR="007B0D64">
        <w:rPr>
          <w:rFonts w:hint="cs"/>
          <w:rtl/>
          <w:lang w:bidi="fa-IR"/>
        </w:rPr>
        <w:t>.</w:t>
      </w:r>
      <w:r w:rsidR="00744A1C" w:rsidRPr="00C24F9C">
        <w:rPr>
          <w:rStyle w:val="libFootnoteBoldChar"/>
          <w:rtl/>
        </w:rPr>
        <w:t>الوافي</w:t>
      </w:r>
      <w:r w:rsidR="00744A1C">
        <w:rPr>
          <w:rtl/>
          <w:lang w:bidi="fa-IR"/>
        </w:rPr>
        <w:t xml:space="preserve"> ، ج 13 ، ص 1116 ، ح 13881 ؛ </w:t>
      </w:r>
      <w:r w:rsidR="00744A1C" w:rsidRPr="00C24F9C">
        <w:rPr>
          <w:rStyle w:val="libFootnoteBoldChar"/>
          <w:rtl/>
        </w:rPr>
        <w:t>الوسائل</w:t>
      </w:r>
      <w:r w:rsidR="00744A1C">
        <w:rPr>
          <w:rtl/>
          <w:lang w:bidi="fa-IR"/>
        </w:rPr>
        <w:t xml:space="preserve"> ، ج 14 ، ص 114 ، ح 18745.</w:t>
      </w:r>
    </w:p>
    <w:p w:rsidR="00744A1C" w:rsidRDefault="00E378DD" w:rsidP="00E378DD">
      <w:pPr>
        <w:pStyle w:val="libFootnote0"/>
        <w:rPr>
          <w:lang w:bidi="fa-IR"/>
        </w:rPr>
      </w:pPr>
      <w:r>
        <w:rPr>
          <w:rtl/>
          <w:lang w:bidi="fa-IR"/>
        </w:rPr>
        <w:t>(10).</w:t>
      </w:r>
      <w:r w:rsidR="00744A1C">
        <w:rPr>
          <w:rtl/>
          <w:lang w:bidi="fa-IR"/>
        </w:rPr>
        <w:t xml:space="preserve"> في « بخ ، بف ، جر » : - « بن إبراهيم ».</w:t>
      </w:r>
    </w:p>
    <w:p w:rsidR="000F7CEC" w:rsidRDefault="000F7CEC"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الضَّحِيَّةِ </w:t>
      </w:r>
      <w:r w:rsidRPr="00D10E3C">
        <w:rPr>
          <w:rStyle w:val="libFootnotenumChar"/>
          <w:rtl/>
        </w:rPr>
        <w:t>(1)</w:t>
      </w:r>
      <w:r>
        <w:rPr>
          <w:rtl/>
          <w:lang w:bidi="fa-IR"/>
        </w:rPr>
        <w:t xml:space="preserve"> تَكُونُ </w:t>
      </w:r>
      <w:r w:rsidRPr="00D10E3C">
        <w:rPr>
          <w:rStyle w:val="libFootnotenumChar"/>
          <w:rtl/>
        </w:rPr>
        <w:t>(2)</w:t>
      </w:r>
      <w:r>
        <w:rPr>
          <w:rtl/>
          <w:lang w:bidi="fa-IR"/>
        </w:rPr>
        <w:t xml:space="preserve"> الْأُذُنُ مَشْقُوقَةً؟</w:t>
      </w:r>
    </w:p>
    <w:p w:rsidR="00144FA6" w:rsidRDefault="00744A1C" w:rsidP="00744A1C">
      <w:pPr>
        <w:pStyle w:val="libNormal"/>
        <w:rPr>
          <w:rtl/>
          <w:lang w:bidi="fa-IR"/>
        </w:rPr>
      </w:pPr>
      <w:r>
        <w:rPr>
          <w:rtl/>
          <w:lang w:bidi="fa-IR"/>
        </w:rPr>
        <w:t xml:space="preserve">فَقَالَ : « إِنْ كَانَ شَقَّهَا وَسْماً فَلَا بَأْسَ </w:t>
      </w:r>
      <w:r w:rsidRPr="00D10E3C">
        <w:rPr>
          <w:rStyle w:val="libFootnotenumChar"/>
          <w:rtl/>
        </w:rPr>
        <w:t>(3)</w:t>
      </w:r>
      <w:r>
        <w:rPr>
          <w:rtl/>
          <w:lang w:bidi="fa-IR"/>
        </w:rPr>
        <w:t xml:space="preserve"> ، وَإِنْ كَانَ شَقّاً فَلَا يَصْلُحُ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 xml:space="preserve">7855 / 12. عَلِيُّ بْنُ إِبْرَاهِيمَ </w:t>
      </w:r>
      <w:r w:rsidRPr="00D10E3C">
        <w:rPr>
          <w:rStyle w:val="libFootnotenumChar"/>
          <w:rtl/>
        </w:rPr>
        <w:t>(6)</w:t>
      </w:r>
      <w:r>
        <w:rPr>
          <w:rtl/>
          <w:lang w:bidi="fa-IR"/>
        </w:rPr>
        <w:t xml:space="preserve"> ، عَنْ أَبِيهِ ، عَنِ النَّوْفَلِيِّ ، عَنِ السَّكُونِيِّ :</w:t>
      </w:r>
    </w:p>
    <w:p w:rsidR="00144FA6" w:rsidRDefault="00744A1C" w:rsidP="00744A1C">
      <w:pPr>
        <w:pStyle w:val="libNormal"/>
        <w:rPr>
          <w:rtl/>
          <w:lang w:bidi="fa-IR"/>
        </w:rPr>
      </w:pPr>
      <w:r>
        <w:rPr>
          <w:rtl/>
          <w:lang w:bidi="fa-IR"/>
        </w:rPr>
        <w:t xml:space="preserve">عَنْ جَعْفَرٍ ، عَنْ أَبِيهِ </w:t>
      </w:r>
      <w:r w:rsidRPr="00D10E3C">
        <w:rPr>
          <w:rStyle w:val="libFootnotenumChar"/>
          <w:rtl/>
        </w:rPr>
        <w:t>(7)</w:t>
      </w:r>
      <w:r>
        <w:rPr>
          <w:rtl/>
          <w:lang w:bidi="fa-IR"/>
        </w:rPr>
        <w:t xml:space="preserve"> ، عَنْ آبَائِهِ </w:t>
      </w:r>
      <w:r w:rsidR="008859AA" w:rsidRPr="008859AA">
        <w:rPr>
          <w:rStyle w:val="libAlaemChar"/>
          <w:rtl/>
        </w:rPr>
        <w:t>عليهما‌السلام</w:t>
      </w:r>
      <w:r>
        <w:rPr>
          <w:rtl/>
          <w:lang w:bidi="fa-IR"/>
        </w:rPr>
        <w:t xml:space="preserve">، قَالَ : « قَالَ النَّبِيُّ </w:t>
      </w:r>
      <w:r w:rsidR="005E465D" w:rsidRPr="005E465D">
        <w:rPr>
          <w:rStyle w:val="libAlaemChar"/>
          <w:rtl/>
        </w:rPr>
        <w:t>صلى‌الله‌عليه‌وآله</w:t>
      </w:r>
      <w:r w:rsidR="00D10E3C">
        <w:rPr>
          <w:rtl/>
          <w:lang w:bidi="fa-IR"/>
        </w:rPr>
        <w:t xml:space="preserve"> </w:t>
      </w:r>
      <w:r>
        <w:rPr>
          <w:rtl/>
          <w:lang w:bidi="fa-IR"/>
        </w:rPr>
        <w:t xml:space="preserve">: لَاتُضَحّى </w:t>
      </w:r>
      <w:r w:rsidRPr="00D10E3C">
        <w:rPr>
          <w:rStyle w:val="libFootnotenumChar"/>
          <w:rtl/>
        </w:rPr>
        <w:t>(8)</w:t>
      </w:r>
      <w:r>
        <w:rPr>
          <w:rtl/>
          <w:lang w:bidi="fa-IR"/>
        </w:rPr>
        <w:t xml:space="preserve"> بِالْعَرْجَاءِ </w:t>
      </w:r>
      <w:r w:rsidRPr="00D10E3C">
        <w:rPr>
          <w:rStyle w:val="libFootnotenumChar"/>
          <w:rtl/>
        </w:rPr>
        <w:t>(9)</w:t>
      </w:r>
      <w:r>
        <w:rPr>
          <w:rtl/>
          <w:lang w:bidi="fa-IR"/>
        </w:rPr>
        <w:t xml:space="preserve"> بَيِّنٍ عَرَجُهَا </w:t>
      </w:r>
      <w:r w:rsidRPr="00D10E3C">
        <w:rPr>
          <w:rStyle w:val="libFootnotenumChar"/>
          <w:rtl/>
        </w:rPr>
        <w:t>(10)</w:t>
      </w:r>
      <w:r>
        <w:rPr>
          <w:rtl/>
          <w:lang w:bidi="fa-IR"/>
        </w:rPr>
        <w:t xml:space="preserve"> ، وَلَا بِالْعَجْفَاءِ </w:t>
      </w:r>
      <w:r w:rsidRPr="00D10E3C">
        <w:rPr>
          <w:rStyle w:val="libFootnotenumChar"/>
          <w:rtl/>
        </w:rPr>
        <w:t>(11)</w:t>
      </w:r>
      <w:r>
        <w:rPr>
          <w:rtl/>
          <w:lang w:bidi="fa-IR"/>
        </w:rPr>
        <w:t xml:space="preserve"> ، وَلَابِالْجَرْبَاءِ </w:t>
      </w:r>
      <w:r w:rsidRPr="00D10E3C">
        <w:rPr>
          <w:rStyle w:val="libFootnotenumChar"/>
          <w:rtl/>
        </w:rPr>
        <w:t>(12)</w:t>
      </w:r>
      <w:r>
        <w:rPr>
          <w:rtl/>
          <w:lang w:bidi="fa-IR"/>
        </w:rPr>
        <w:t xml:space="preserve"> ، وَلَابِالْخَرْقَاءِ </w:t>
      </w:r>
      <w:r w:rsidRPr="00D10E3C">
        <w:rPr>
          <w:rStyle w:val="libFootnotenumChar"/>
          <w:rtl/>
        </w:rPr>
        <w:t>(13)</w:t>
      </w:r>
      <w:r>
        <w:rPr>
          <w:rtl/>
          <w:lang w:bidi="fa-IR"/>
        </w:rPr>
        <w:t xml:space="preserve">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7B0D64" w:rsidTr="007B0D64">
        <w:tc>
          <w:tcPr>
            <w:tcW w:w="4006" w:type="dxa"/>
          </w:tcPr>
          <w:p w:rsidR="007B0D64" w:rsidRDefault="007B0D64" w:rsidP="00D10E3C">
            <w:pPr>
              <w:pStyle w:val="libFootnote0"/>
              <w:rPr>
                <w:rtl/>
                <w:lang w:bidi="fa-IR"/>
              </w:rPr>
            </w:pPr>
            <w:r>
              <w:rPr>
                <w:rtl/>
                <w:lang w:bidi="fa-IR"/>
              </w:rPr>
              <w:t>(1). في « ى » : « الا</w:t>
            </w:r>
            <w:r>
              <w:rPr>
                <w:rFonts w:hint="cs"/>
                <w:rtl/>
                <w:lang w:bidi="fa-IR"/>
              </w:rPr>
              <w:t>ُ</w:t>
            </w:r>
            <w:r>
              <w:rPr>
                <w:rtl/>
                <w:lang w:bidi="fa-IR"/>
              </w:rPr>
              <w:t>ضحيّة ».</w:t>
            </w:r>
          </w:p>
        </w:tc>
        <w:tc>
          <w:tcPr>
            <w:tcW w:w="4006" w:type="dxa"/>
          </w:tcPr>
          <w:p w:rsidR="007B0D64" w:rsidRDefault="007B0D64" w:rsidP="00D10E3C">
            <w:pPr>
              <w:pStyle w:val="libFootnote0"/>
              <w:rPr>
                <w:rtl/>
                <w:lang w:bidi="fa-IR"/>
              </w:rPr>
            </w:pPr>
            <w:r>
              <w:rPr>
                <w:rtl/>
                <w:lang w:bidi="fa-IR"/>
              </w:rPr>
              <w:t>(2). في « بخ ، بف » : « يكون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يدلّ على كراهة الشقّ الذي لم يكن من جهة الوسم ».</w:t>
      </w:r>
    </w:p>
    <w:p w:rsidR="00744A1C" w:rsidRDefault="00E378DD" w:rsidP="00E378DD">
      <w:pPr>
        <w:pStyle w:val="libFootnote0"/>
        <w:rPr>
          <w:lang w:bidi="fa-IR"/>
        </w:rPr>
      </w:pPr>
      <w:r>
        <w:rPr>
          <w:rtl/>
          <w:lang w:bidi="fa-IR"/>
        </w:rPr>
        <w:t>(4).</w:t>
      </w:r>
      <w:r w:rsidR="00744A1C">
        <w:rPr>
          <w:rtl/>
          <w:lang w:bidi="fa-IR"/>
        </w:rPr>
        <w:t xml:space="preserve"> في « ى ، بخ ، بف ، جد » و</w:t>
      </w:r>
      <w:r w:rsidR="00744A1C" w:rsidRPr="00C24F9C">
        <w:rPr>
          <w:rStyle w:val="libFootnoteBoldChar"/>
          <w:rtl/>
        </w:rPr>
        <w:t>الوافي</w:t>
      </w:r>
      <w:r w:rsidR="00744A1C">
        <w:rPr>
          <w:rtl/>
          <w:lang w:bidi="fa-IR"/>
        </w:rPr>
        <w:t xml:space="preserve"> : « فلا تصلح ». وفي </w:t>
      </w:r>
      <w:r w:rsidR="00744A1C" w:rsidRPr="00C24F9C">
        <w:rPr>
          <w:rStyle w:val="libFootnoteBoldChar"/>
          <w:rtl/>
        </w:rPr>
        <w:t>الوافي</w:t>
      </w:r>
      <w:r w:rsidR="00744A1C">
        <w:rPr>
          <w:rtl/>
          <w:lang w:bidi="fa-IR"/>
        </w:rPr>
        <w:t xml:space="preserve"> : « إن كان شقّها فلايصلح » بدل « إن كان شقّها وسماً » إلى هنا.</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213 ، ح 718 ، بسند آخر عن أحدهما </w:t>
      </w:r>
      <w:r w:rsidR="00F112A7" w:rsidRPr="00CE5A92">
        <w:rPr>
          <w:rStyle w:val="libFootnoteAlaemChar"/>
          <w:rtl/>
        </w:rPr>
        <w:t>عليهما‌السلام</w:t>
      </w:r>
      <w:r w:rsidR="00744A1C">
        <w:rPr>
          <w:rtl/>
          <w:lang w:bidi="fa-IR"/>
        </w:rPr>
        <w:t xml:space="preserve">، مع اختلاف يسير </w:t>
      </w:r>
      <w:r w:rsidR="00973C5B">
        <w:rPr>
          <w:rFonts w:hint="cs"/>
          <w:rtl/>
          <w:lang w:bidi="fa-IR"/>
        </w:rPr>
        <w:t>.</w:t>
      </w:r>
      <w:r w:rsidR="00744A1C" w:rsidRPr="00C24F9C">
        <w:rPr>
          <w:rStyle w:val="libFootnoteBoldChar"/>
          <w:rtl/>
        </w:rPr>
        <w:t>الوافي</w:t>
      </w:r>
      <w:r w:rsidR="00744A1C">
        <w:rPr>
          <w:rtl/>
          <w:lang w:bidi="fa-IR"/>
        </w:rPr>
        <w:t xml:space="preserve"> ، ج 13 ، ص 1122 ، ح 13898 ؛ </w:t>
      </w:r>
      <w:r w:rsidR="00744A1C" w:rsidRPr="00C24F9C">
        <w:rPr>
          <w:rStyle w:val="libFootnoteBoldChar"/>
          <w:rtl/>
        </w:rPr>
        <w:t>الوسائل</w:t>
      </w:r>
      <w:r w:rsidR="00744A1C">
        <w:rPr>
          <w:rtl/>
          <w:lang w:bidi="fa-IR"/>
        </w:rPr>
        <w:t xml:space="preserve"> ، ج 14 ، ص 129 ، ح 18789.</w:t>
      </w:r>
    </w:p>
    <w:tbl>
      <w:tblPr>
        <w:tblStyle w:val="TableGrid"/>
        <w:bidiVisual/>
        <w:tblW w:w="0" w:type="auto"/>
        <w:tblLook w:val="04A0" w:firstRow="1" w:lastRow="0" w:firstColumn="1" w:lastColumn="0" w:noHBand="0" w:noVBand="1"/>
      </w:tblPr>
      <w:tblGrid>
        <w:gridCol w:w="4006"/>
        <w:gridCol w:w="4006"/>
      </w:tblGrid>
      <w:tr w:rsidR="00973C5B" w:rsidTr="00973C5B">
        <w:tc>
          <w:tcPr>
            <w:tcW w:w="4006" w:type="dxa"/>
          </w:tcPr>
          <w:p w:rsidR="00973C5B" w:rsidRDefault="00973C5B" w:rsidP="00E378DD">
            <w:pPr>
              <w:pStyle w:val="libFootnote0"/>
              <w:rPr>
                <w:rtl/>
                <w:lang w:bidi="fa-IR"/>
              </w:rPr>
            </w:pPr>
            <w:r>
              <w:rPr>
                <w:rtl/>
                <w:lang w:bidi="fa-IR"/>
              </w:rPr>
              <w:t>(6). في « بخ ، بف ، جر » : - « بن إبراهيم ».</w:t>
            </w:r>
          </w:p>
        </w:tc>
        <w:tc>
          <w:tcPr>
            <w:tcW w:w="4006" w:type="dxa"/>
          </w:tcPr>
          <w:p w:rsidR="00973C5B" w:rsidRDefault="00973C5B" w:rsidP="00E378DD">
            <w:pPr>
              <w:pStyle w:val="libFootnote0"/>
              <w:rPr>
                <w:rtl/>
                <w:lang w:bidi="fa-IR"/>
              </w:rPr>
            </w:pPr>
            <w:r>
              <w:rPr>
                <w:rtl/>
                <w:lang w:bidi="fa-IR"/>
              </w:rPr>
              <w:t>(7). في « جد » وحاشية « بح » : - « عن أبيه ».</w:t>
            </w:r>
          </w:p>
        </w:tc>
      </w:tr>
    </w:tbl>
    <w:p w:rsidR="00744A1C" w:rsidRDefault="00E378DD" w:rsidP="00E378DD">
      <w:pPr>
        <w:pStyle w:val="libFootnote0"/>
        <w:rPr>
          <w:lang w:bidi="fa-IR"/>
        </w:rPr>
      </w:pPr>
      <w:r>
        <w:rPr>
          <w:rtl/>
          <w:lang w:bidi="fa-IR"/>
        </w:rPr>
        <w:t>(8).</w:t>
      </w:r>
      <w:r w:rsidR="00744A1C">
        <w:rPr>
          <w:rtl/>
          <w:lang w:bidi="fa-IR"/>
        </w:rPr>
        <w:t xml:space="preserve"> في « بح ، بخ ، بف </w:t>
      </w:r>
      <w:r w:rsidR="00744A1C" w:rsidRPr="00596830">
        <w:rPr>
          <w:rtl/>
        </w:rPr>
        <w:t>» والوافي والوسائل والفقيه والتهذيب</w:t>
      </w:r>
      <w:r w:rsidR="00744A1C">
        <w:rPr>
          <w:rtl/>
          <w:lang w:bidi="fa-IR"/>
        </w:rPr>
        <w:t xml:space="preserve"> والمعاني : « لا يضحّى ».</w:t>
      </w:r>
    </w:p>
    <w:p w:rsidR="00744A1C" w:rsidRDefault="00E378DD" w:rsidP="00E378DD">
      <w:pPr>
        <w:pStyle w:val="libFootnote0"/>
        <w:rPr>
          <w:lang w:bidi="fa-IR"/>
        </w:rPr>
      </w:pPr>
      <w:r>
        <w:rPr>
          <w:rtl/>
          <w:lang w:bidi="fa-IR"/>
        </w:rPr>
        <w:t>(9).</w:t>
      </w:r>
      <w:r w:rsidR="00744A1C">
        <w:rPr>
          <w:rtl/>
          <w:lang w:bidi="fa-IR"/>
        </w:rPr>
        <w:t xml:space="preserve"> العرجاء : مؤنّث الأعرج ، وهو الذي في مشيه عَرَجٌ ، أي ميل فيغمز في مشيه ، ويمشي مشية غير متساوية ؛ مِن عرج في مشيه عَرَجاً ، من باب تعب إن كان من علّة لازمة ، أي كان ذلك خلقة ، فهو أعرج. والا</w:t>
      </w:r>
      <w:r w:rsidR="00973C5B">
        <w:rPr>
          <w:rFonts w:hint="cs"/>
          <w:rtl/>
          <w:lang w:bidi="fa-IR"/>
        </w:rPr>
        <w:t>ُ</w:t>
      </w:r>
      <w:r w:rsidR="00744A1C">
        <w:rPr>
          <w:rtl/>
          <w:lang w:bidi="fa-IR"/>
        </w:rPr>
        <w:t xml:space="preserve">نثى : عرجاء ، ومن باب قتل إن كان من علّة غير لازمة ، بل من شي‌ء أصابه حتّى غمز في مشيه ، فهو عارج. راجع : </w:t>
      </w:r>
      <w:r w:rsidR="00744A1C" w:rsidRPr="00E978C3">
        <w:rPr>
          <w:rStyle w:val="libFootnoteBoldChar"/>
          <w:rtl/>
        </w:rPr>
        <w:t>الصحاح</w:t>
      </w:r>
      <w:r w:rsidR="00744A1C">
        <w:rPr>
          <w:rtl/>
          <w:lang w:bidi="fa-IR"/>
        </w:rPr>
        <w:t xml:space="preserve"> ، ج 1 ، ص 328 ؛ </w:t>
      </w:r>
      <w:r w:rsidR="00744A1C" w:rsidRPr="00E978C3">
        <w:rPr>
          <w:rStyle w:val="libFootnoteBoldChar"/>
          <w:rtl/>
        </w:rPr>
        <w:t>المصباح المنير</w:t>
      </w:r>
      <w:r w:rsidR="00744A1C">
        <w:rPr>
          <w:rtl/>
          <w:lang w:bidi="fa-IR"/>
        </w:rPr>
        <w:t xml:space="preserve"> ، ص 401 ( عرج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 بيّن عرجها ». وفي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والمعاني : + « ولا بالعوراء بيّن عورها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بيّن عرجها ، لا خلاف بين الأصحاب في عدم إجزاء العرجاء البيّن عرجها ، وفسّروا البيّن بالمتفاحش الذي منعها السير مع الغنم ومشاركتهنّ في العلف والمرعى فيهزل ».</w:t>
      </w:r>
    </w:p>
    <w:p w:rsidR="00744A1C" w:rsidRDefault="00E378DD" w:rsidP="00E378DD">
      <w:pPr>
        <w:pStyle w:val="libFootnote0"/>
        <w:rPr>
          <w:lang w:bidi="fa-IR"/>
        </w:rPr>
      </w:pPr>
      <w:r>
        <w:rPr>
          <w:rtl/>
          <w:lang w:bidi="fa-IR"/>
        </w:rPr>
        <w:t>(11).</w:t>
      </w:r>
      <w:r w:rsidR="00744A1C">
        <w:rPr>
          <w:rtl/>
          <w:lang w:bidi="fa-IR"/>
        </w:rPr>
        <w:t xml:space="preserve"> العجفاء : المهزولة من الغنم وغيرها ؛ من العَجَف ، با</w:t>
      </w:r>
      <w:r w:rsidR="00973C5B">
        <w:rPr>
          <w:rtl/>
          <w:lang w:bidi="fa-IR"/>
        </w:rPr>
        <w:t>لتحريك بمعنى الهُزال. قال العل</w:t>
      </w:r>
      <w:r w:rsidR="00973C5B">
        <w:rPr>
          <w:rFonts w:hint="cs"/>
          <w:rtl/>
          <w:lang w:bidi="fa-IR"/>
        </w:rPr>
        <w:t>ّ</w:t>
      </w:r>
      <w:r w:rsidR="00973C5B">
        <w:rPr>
          <w:rtl/>
          <w:lang w:bidi="fa-IR"/>
        </w:rPr>
        <w:t>ا</w:t>
      </w:r>
      <w:r w:rsidR="00744A1C">
        <w:rPr>
          <w:rtl/>
          <w:lang w:bidi="fa-IR"/>
        </w:rPr>
        <w:t xml:space="preserve">مة المجلسي : « المشهور عدم إجزائها وفسّرت بالتي لم يكن على كليتيها لحم ؛ لما سيأتي ، وبعضهم أحال على العرف ». راجع : </w:t>
      </w:r>
      <w:r w:rsidR="00744A1C" w:rsidRPr="00E978C3">
        <w:rPr>
          <w:rStyle w:val="libFootnoteBoldChar"/>
          <w:rtl/>
        </w:rPr>
        <w:t>الصحاح</w:t>
      </w:r>
      <w:r w:rsidR="00744A1C">
        <w:rPr>
          <w:rtl/>
          <w:lang w:bidi="fa-IR"/>
        </w:rPr>
        <w:t xml:space="preserve"> ، ج 4 ، ص 1399 ؛ </w:t>
      </w:r>
      <w:r w:rsidR="00744A1C" w:rsidRPr="00877682">
        <w:rPr>
          <w:rStyle w:val="libFootnoteBoldChar"/>
          <w:rtl/>
        </w:rPr>
        <w:t>النهاية</w:t>
      </w:r>
      <w:r w:rsidR="00744A1C">
        <w:rPr>
          <w:rtl/>
          <w:lang w:bidi="fa-IR"/>
        </w:rPr>
        <w:t xml:space="preserve"> ، ج 3 ، ص 186 ( عجف ) ؛ </w:t>
      </w:r>
      <w:r w:rsidR="00744A1C" w:rsidRPr="00877682">
        <w:rPr>
          <w:rStyle w:val="libFootnoteBoldChar"/>
          <w:rtl/>
        </w:rPr>
        <w:t>مرآة العقول</w:t>
      </w:r>
      <w:r w:rsidR="00744A1C">
        <w:rPr>
          <w:rtl/>
          <w:lang w:bidi="fa-IR"/>
        </w:rPr>
        <w:t xml:space="preserve"> ، ج 18 ، ص 166.</w:t>
      </w:r>
    </w:p>
    <w:p w:rsidR="00744A1C" w:rsidRDefault="00E378DD" w:rsidP="00E378DD">
      <w:pPr>
        <w:pStyle w:val="libFootnote0"/>
        <w:rPr>
          <w:lang w:bidi="fa-IR"/>
        </w:rPr>
      </w:pPr>
      <w:r>
        <w:rPr>
          <w:rtl/>
          <w:lang w:bidi="fa-IR"/>
        </w:rPr>
        <w:t>(12).</w:t>
      </w:r>
      <w:r w:rsidR="00744A1C">
        <w:rPr>
          <w:rtl/>
          <w:lang w:bidi="fa-IR"/>
        </w:rPr>
        <w:t xml:space="preserve"> في « ى ، بث ، بخ ، بف ، جد » و</w:t>
      </w:r>
      <w:r w:rsidR="00744A1C" w:rsidRPr="00C24F9C">
        <w:rPr>
          <w:rStyle w:val="libFootnoteBoldChar"/>
          <w:rtl/>
        </w:rPr>
        <w:t>الوافي</w:t>
      </w:r>
      <w:r w:rsidR="00744A1C">
        <w:rPr>
          <w:rtl/>
          <w:lang w:bidi="fa-IR"/>
        </w:rPr>
        <w:t xml:space="preserve"> : - « ولا بالجرباء ». وفي </w:t>
      </w:r>
      <w:r w:rsidR="00744A1C" w:rsidRPr="00C24F9C">
        <w:rPr>
          <w:rStyle w:val="libFootnoteBoldChar"/>
          <w:rtl/>
        </w:rPr>
        <w:t>التهذيب</w:t>
      </w:r>
      <w:r w:rsidR="00744A1C">
        <w:rPr>
          <w:rtl/>
          <w:lang w:bidi="fa-IR"/>
        </w:rPr>
        <w:t xml:space="preserve"> : « ولا بالخرماء ». والجرباء : المصابة بالجَرَب ، وهو داء معروف ، بَثَر يعلو أبدان الناس والإبل. وقال الفيّومي : « في كتب الطبّ أنّ الجرب خِلْط غليظ يحدث تحت الجلد من مخالطة البلغم الملح للدم ، يكون معه بُثور ، وربّما حصل معه هُزال ؛ لكثرته ». راجع : </w:t>
      </w:r>
      <w:r w:rsidR="00744A1C" w:rsidRPr="00877682">
        <w:rPr>
          <w:rStyle w:val="libFootnoteBoldChar"/>
          <w:rtl/>
        </w:rPr>
        <w:t>لسان العرب</w:t>
      </w:r>
      <w:r w:rsidR="00744A1C">
        <w:rPr>
          <w:rtl/>
          <w:lang w:bidi="fa-IR"/>
        </w:rPr>
        <w:t xml:space="preserve"> ، ج 1 ، ص 259 ؛ </w:t>
      </w:r>
      <w:r w:rsidR="00744A1C" w:rsidRPr="00E978C3">
        <w:rPr>
          <w:rStyle w:val="libFootnoteBoldChar"/>
          <w:rtl/>
        </w:rPr>
        <w:t>المصباح المنير</w:t>
      </w:r>
      <w:r w:rsidR="00744A1C">
        <w:rPr>
          <w:rtl/>
          <w:lang w:bidi="fa-IR"/>
        </w:rPr>
        <w:t xml:space="preserve"> ، ص 95 ( جرب ).</w:t>
      </w:r>
    </w:p>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الفقيه</w:t>
      </w:r>
      <w:r w:rsidR="00744A1C">
        <w:rPr>
          <w:rtl/>
          <w:lang w:bidi="fa-IR"/>
        </w:rPr>
        <w:t xml:space="preserve"> والمعاني : - « ولا بالخرقاء ». والخرقاء : المخروقة الا</w:t>
      </w:r>
      <w:r w:rsidR="00973C5B">
        <w:rPr>
          <w:rFonts w:hint="cs"/>
          <w:rtl/>
          <w:lang w:bidi="fa-IR"/>
        </w:rPr>
        <w:t>ُ</w:t>
      </w:r>
      <w:r w:rsidR="00744A1C">
        <w:rPr>
          <w:rtl/>
          <w:lang w:bidi="fa-IR"/>
        </w:rPr>
        <w:t>ذن ، وهي التي في ا</w:t>
      </w:r>
      <w:r w:rsidR="00973C5B">
        <w:rPr>
          <w:rFonts w:hint="cs"/>
          <w:rtl/>
          <w:lang w:bidi="fa-IR"/>
        </w:rPr>
        <w:t>ُ</w:t>
      </w:r>
      <w:r w:rsidR="00744A1C">
        <w:rPr>
          <w:rtl/>
          <w:lang w:bidi="fa-IR"/>
        </w:rPr>
        <w:t xml:space="preserve">ذنها خَرْق ، وهو ثَقْب </w:t>
      </w:r>
      <w:r w:rsidR="00973C5B">
        <w:rPr>
          <w:rFonts w:hint="cs"/>
          <w:rtl/>
          <w:lang w:bidi="fa-IR"/>
        </w:rPr>
        <w:t>=</w:t>
      </w:r>
    </w:p>
    <w:p w:rsidR="000F7CEC" w:rsidRDefault="000F7CEC" w:rsidP="00D10E3C">
      <w:pPr>
        <w:pStyle w:val="libNormal"/>
        <w:rPr>
          <w:rtl/>
          <w:lang w:bidi="fa-IR"/>
        </w:rPr>
      </w:pPr>
      <w:r>
        <w:rPr>
          <w:rtl/>
          <w:lang w:bidi="fa-IR"/>
        </w:rPr>
        <w:br w:type="page"/>
      </w:r>
    </w:p>
    <w:p w:rsidR="00144FA6" w:rsidRDefault="00744A1C" w:rsidP="00596830">
      <w:pPr>
        <w:pStyle w:val="libNormal0"/>
        <w:rPr>
          <w:rtl/>
          <w:lang w:bidi="fa-IR"/>
        </w:rPr>
      </w:pPr>
      <w:r>
        <w:rPr>
          <w:rtl/>
          <w:lang w:bidi="fa-IR"/>
        </w:rPr>
        <w:lastRenderedPageBreak/>
        <w:t xml:space="preserve">وَلَابِالْحَذَّاءِ </w:t>
      </w:r>
      <w:r w:rsidRPr="00D10E3C">
        <w:rPr>
          <w:rStyle w:val="libFootnotenumChar"/>
          <w:rtl/>
        </w:rPr>
        <w:t>(1)</w:t>
      </w:r>
      <w:r>
        <w:rPr>
          <w:rtl/>
          <w:lang w:bidi="fa-IR"/>
        </w:rPr>
        <w:t xml:space="preserve"> ، وَلَابِالْعَضْبَاءِ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7856 / 13. عَلِيُّ بْنُ إِبْرَاهِيمَ </w:t>
      </w:r>
      <w:r w:rsidRPr="00D10E3C">
        <w:rPr>
          <w:rStyle w:val="libFootnotenumChar"/>
          <w:rtl/>
        </w:rPr>
        <w:t>(4)</w:t>
      </w:r>
      <w:r>
        <w:rPr>
          <w:rtl/>
          <w:lang w:bidi="fa-IR"/>
        </w:rPr>
        <w:t xml:space="preserve"> ، عَنْ أَبِيهِ ، عَنِ ابْنِ أَبِي عُمَيْرٍ ، عَنْ جَمِيلٍ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الْأُضْحِيَّةِ يُكْسَرُ قَرْنُهَا ، قَالَ : « إِذَا </w:t>
      </w:r>
      <w:r w:rsidRPr="00D10E3C">
        <w:rPr>
          <w:rStyle w:val="libFootnotenumChar"/>
          <w:rtl/>
        </w:rPr>
        <w:t>(5)</w:t>
      </w:r>
      <w:r>
        <w:rPr>
          <w:rtl/>
          <w:lang w:bidi="fa-IR"/>
        </w:rPr>
        <w:t xml:space="preserve"> كَانَ الْقَرْنُ الدَّاخِلُ صَحِيحاً ، فَهُوَ يُجْزِئُ </w:t>
      </w:r>
      <w:r w:rsidRPr="00D10E3C">
        <w:rPr>
          <w:rStyle w:val="libFootnotenumChar"/>
          <w:rtl/>
        </w:rPr>
        <w:t>(6)</w:t>
      </w:r>
      <w:r>
        <w:rPr>
          <w:rtl/>
          <w:lang w:bidi="fa-IR"/>
        </w:rPr>
        <w:t xml:space="preserve"> ». </w:t>
      </w:r>
      <w:r w:rsidRPr="00D10E3C">
        <w:rPr>
          <w:rStyle w:val="libFootnotenumChar"/>
          <w:rtl/>
        </w:rPr>
        <w:t>(7)</w:t>
      </w:r>
    </w:p>
    <w:p w:rsidR="005D10CD" w:rsidRDefault="00744A1C" w:rsidP="005D10CD">
      <w:pPr>
        <w:pStyle w:val="libNormal"/>
        <w:rPr>
          <w:rtl/>
          <w:lang w:bidi="fa-IR"/>
        </w:rPr>
      </w:pPr>
      <w:r>
        <w:rPr>
          <w:rtl/>
          <w:lang w:bidi="fa-IR"/>
        </w:rPr>
        <w:t xml:space="preserve">7857 / 14. عَلِيُّ بْنُ إِبْرَاهِيمَ </w:t>
      </w:r>
      <w:r w:rsidRPr="00D10E3C">
        <w:rPr>
          <w:rStyle w:val="libFootnotenumChar"/>
          <w:rtl/>
        </w:rPr>
        <w:t>(8)</w:t>
      </w:r>
      <w:r>
        <w:rPr>
          <w:rtl/>
          <w:lang w:bidi="fa-IR"/>
        </w:rPr>
        <w:t xml:space="preserve"> ، عَنْ أَبِيهِ ، عَنِ ابْنِ أَبِي عُمَيْرٍ ؛</w:t>
      </w:r>
    </w:p>
    <w:p w:rsidR="00744A1C" w:rsidRDefault="005D10CD" w:rsidP="005D10CD">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(9)</w:t>
      </w:r>
      <w:r w:rsidR="00744A1C">
        <w:rPr>
          <w:rtl/>
          <w:lang w:bidi="fa-IR"/>
        </w:rPr>
        <w:t xml:space="preserve"> مُحَمَّدُ بْنُ إِسْمَاعِيلَ ، عَنِ الْفَضْلِ بْنِ شَاذَانَ ، عَنِ ابْنِ أَبِي عُمَيْرٍ‌</w:t>
      </w:r>
    </w:p>
    <w:p w:rsidR="00744A1C" w:rsidRDefault="00744A1C" w:rsidP="00D10E3C">
      <w:pPr>
        <w:pStyle w:val="libLine"/>
        <w:rPr>
          <w:lang w:bidi="fa-IR"/>
        </w:rPr>
      </w:pPr>
      <w:r>
        <w:rPr>
          <w:rtl/>
          <w:lang w:bidi="fa-IR"/>
        </w:rPr>
        <w:t>____________________</w:t>
      </w:r>
    </w:p>
    <w:p w:rsidR="00744A1C" w:rsidRDefault="00F15C7D" w:rsidP="00D10E3C">
      <w:pPr>
        <w:pStyle w:val="libFootnote0"/>
        <w:rPr>
          <w:lang w:bidi="fa-IR"/>
        </w:rPr>
      </w:pPr>
      <w:r>
        <w:rPr>
          <w:rFonts w:hint="cs"/>
          <w:rtl/>
          <w:lang w:bidi="fa-IR"/>
        </w:rPr>
        <w:t xml:space="preserve">= </w:t>
      </w:r>
      <w:r w:rsidR="00744A1C">
        <w:rPr>
          <w:rtl/>
          <w:lang w:bidi="fa-IR"/>
        </w:rPr>
        <w:t xml:space="preserve">مستدير. راجع : </w:t>
      </w:r>
      <w:r w:rsidR="00744A1C" w:rsidRPr="00E978C3">
        <w:rPr>
          <w:rStyle w:val="libFootnoteBoldChar"/>
          <w:rtl/>
        </w:rPr>
        <w:t>الصحاح</w:t>
      </w:r>
      <w:r w:rsidR="00744A1C">
        <w:rPr>
          <w:rtl/>
          <w:lang w:bidi="fa-IR"/>
        </w:rPr>
        <w:t xml:space="preserve"> ، ج 4 ، ص 1468 ؛ </w:t>
      </w:r>
      <w:r w:rsidR="00744A1C" w:rsidRPr="00877682">
        <w:rPr>
          <w:rStyle w:val="libFootnoteBoldChar"/>
          <w:rtl/>
        </w:rPr>
        <w:t>النهاية</w:t>
      </w:r>
      <w:r w:rsidR="00744A1C">
        <w:rPr>
          <w:rtl/>
          <w:lang w:bidi="fa-IR"/>
        </w:rPr>
        <w:t xml:space="preserve"> ، ج 2 ، ص 26 ( خرق ).</w:t>
      </w:r>
    </w:p>
    <w:p w:rsidR="00744A1C" w:rsidRDefault="00D10E3C" w:rsidP="00D10E3C">
      <w:pPr>
        <w:pStyle w:val="libFootnote0"/>
        <w:rPr>
          <w:lang w:bidi="fa-IR"/>
        </w:rPr>
      </w:pPr>
      <w:r>
        <w:rPr>
          <w:rtl/>
          <w:lang w:bidi="fa-IR"/>
        </w:rPr>
        <w:t>(1).</w:t>
      </w:r>
      <w:r w:rsidR="00744A1C">
        <w:rPr>
          <w:rtl/>
          <w:lang w:bidi="fa-IR"/>
        </w:rPr>
        <w:t xml:space="preserve"> في « بح » و</w:t>
      </w:r>
      <w:r w:rsidR="00744A1C" w:rsidRPr="00C24F9C">
        <w:rPr>
          <w:rStyle w:val="libFootnoteBoldChar"/>
          <w:rtl/>
        </w:rPr>
        <w:t>المرآة</w:t>
      </w:r>
      <w:r w:rsidR="00744A1C">
        <w:rPr>
          <w:rtl/>
          <w:lang w:bidi="fa-IR"/>
        </w:rPr>
        <w:t xml:space="preserve"> : « بالجذّاء ». وفي « جد » : « بالحدّاء ». وفي </w:t>
      </w:r>
      <w:r w:rsidR="00744A1C" w:rsidRPr="00C24F9C">
        <w:rPr>
          <w:rStyle w:val="libFootnoteBoldChar"/>
          <w:rtl/>
        </w:rPr>
        <w:t>الوافي</w:t>
      </w:r>
      <w:r w:rsidR="00744A1C">
        <w:rPr>
          <w:rtl/>
          <w:lang w:bidi="fa-IR"/>
        </w:rPr>
        <w:t xml:space="preserve"> : « ولا الجذّاء » بدل « ولا بالحذّاء ». وفي </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والمعاني : « وبالجدعاء » بدلها. والحذّاء : خفيفة شعر الذَنَب ، أو قصيرة الذنب مع خفّتها ؛ من الحَذَذ ، وهو خفّة الذَنَب. أو هي المقطوعة الذَنَب ، من الحَذِّ ، وهو القطع المستأصل. راجع : </w:t>
      </w:r>
      <w:r w:rsidR="00744A1C" w:rsidRPr="00E978C3">
        <w:rPr>
          <w:rStyle w:val="libFootnoteBoldChar"/>
          <w:rtl/>
        </w:rPr>
        <w:t>الصحاح</w:t>
      </w:r>
      <w:r w:rsidR="00744A1C">
        <w:rPr>
          <w:rtl/>
          <w:lang w:bidi="fa-IR"/>
        </w:rPr>
        <w:t xml:space="preserve"> ، ج 2 ، ص 562 ؛ </w:t>
      </w:r>
      <w:r w:rsidR="00744A1C" w:rsidRPr="00877682">
        <w:rPr>
          <w:rStyle w:val="libFootnoteBoldChar"/>
          <w:rtl/>
        </w:rPr>
        <w:t>لسان العرب</w:t>
      </w:r>
      <w:r w:rsidR="00744A1C">
        <w:rPr>
          <w:rtl/>
          <w:lang w:bidi="fa-IR"/>
        </w:rPr>
        <w:t xml:space="preserve"> ، ج 3 ، ص 482 و 483 ؛ </w:t>
      </w:r>
      <w:r w:rsidR="00744A1C" w:rsidRPr="00E978C3">
        <w:rPr>
          <w:rStyle w:val="libFootnoteBoldChar"/>
          <w:rtl/>
        </w:rPr>
        <w:t>المصباح المنير</w:t>
      </w:r>
      <w:r w:rsidR="00744A1C">
        <w:rPr>
          <w:rtl/>
          <w:lang w:bidi="fa-IR"/>
        </w:rPr>
        <w:t xml:space="preserve"> ، ص 126 ( حذذ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ولا العضباء ». وفي </w:t>
      </w:r>
      <w:r w:rsidR="00744A1C" w:rsidRPr="00C24F9C">
        <w:rPr>
          <w:rStyle w:val="libFootnoteBoldChar"/>
          <w:rtl/>
        </w:rPr>
        <w:t>التهذيب</w:t>
      </w:r>
      <w:r w:rsidR="00744A1C">
        <w:rPr>
          <w:rtl/>
          <w:lang w:bidi="fa-IR"/>
        </w:rPr>
        <w:t xml:space="preserve"> : + « مكسورة القرن ، والجذّاء : مقطوعة الا</w:t>
      </w:r>
      <w:r w:rsidR="008E4B59">
        <w:rPr>
          <w:rFonts w:hint="cs"/>
          <w:rtl/>
          <w:lang w:bidi="fa-IR"/>
        </w:rPr>
        <w:t>ُ</w:t>
      </w:r>
      <w:r w:rsidR="00744A1C">
        <w:rPr>
          <w:rtl/>
          <w:lang w:bidi="fa-IR"/>
        </w:rPr>
        <w:t>ذُن ». وفي المعاني : + « وهي المكسورة القرن ، والجدعاء : المقطوعة الاذُن ». والعضباء : الشاة المكسورة القرن الداخل ، وهو ال</w:t>
      </w:r>
      <w:r w:rsidR="008E4B59">
        <w:rPr>
          <w:rFonts w:hint="cs"/>
          <w:rtl/>
          <w:lang w:bidi="fa-IR"/>
        </w:rPr>
        <w:t>ـ</w:t>
      </w:r>
      <w:r w:rsidR="00744A1C">
        <w:rPr>
          <w:rtl/>
          <w:lang w:bidi="fa-IR"/>
        </w:rPr>
        <w:t>مُشاش ، أو هي التي انكسر أحد قرنيها ، أو هي الناقة المشقوقة الا</w:t>
      </w:r>
      <w:r w:rsidR="008E4B59">
        <w:rPr>
          <w:rFonts w:hint="cs"/>
          <w:rtl/>
          <w:lang w:bidi="fa-IR"/>
        </w:rPr>
        <w:t>ُ</w:t>
      </w:r>
      <w:r w:rsidR="00744A1C">
        <w:rPr>
          <w:rtl/>
          <w:lang w:bidi="fa-IR"/>
        </w:rPr>
        <w:t xml:space="preserve">ذن ، وكذلك الشاة. راجع : </w:t>
      </w:r>
      <w:r w:rsidR="00744A1C" w:rsidRPr="00E978C3">
        <w:rPr>
          <w:rStyle w:val="libFootnoteBoldChar"/>
          <w:rtl/>
        </w:rPr>
        <w:t>الصحاح</w:t>
      </w:r>
      <w:r w:rsidR="00744A1C">
        <w:rPr>
          <w:rtl/>
          <w:lang w:bidi="fa-IR"/>
        </w:rPr>
        <w:t xml:space="preserve"> ، ج 1 ، ص 183 ؛ </w:t>
      </w:r>
      <w:r w:rsidR="00744A1C" w:rsidRPr="008A57EB">
        <w:rPr>
          <w:rStyle w:val="libFootnoteBoldChar"/>
          <w:rtl/>
        </w:rPr>
        <w:t>القاموس المحيط</w:t>
      </w:r>
      <w:r w:rsidR="00744A1C">
        <w:rPr>
          <w:rtl/>
          <w:lang w:bidi="fa-IR"/>
        </w:rPr>
        <w:t xml:space="preserve"> ، ج 1 ، ص 202 ( عضب ).</w:t>
      </w:r>
    </w:p>
    <w:p w:rsidR="00744A1C" w:rsidRDefault="00744A1C" w:rsidP="00D10E3C">
      <w:pPr>
        <w:pStyle w:val="libFootnote0"/>
        <w:rPr>
          <w:lang w:bidi="fa-IR"/>
        </w:rPr>
      </w:pPr>
      <w:r>
        <w:rPr>
          <w:rtl/>
          <w:lang w:bidi="fa-IR"/>
        </w:rPr>
        <w:t xml:space="preserve">وفي هامش </w:t>
      </w:r>
      <w:r w:rsidRPr="00C24F9C">
        <w:rPr>
          <w:rStyle w:val="libFootnoteBoldChar"/>
          <w:rtl/>
        </w:rPr>
        <w:t>الوافي</w:t>
      </w:r>
      <w:r>
        <w:rPr>
          <w:rtl/>
          <w:lang w:bidi="fa-IR"/>
        </w:rPr>
        <w:t xml:space="preserve"> عن ابن المصنّف : « القرن الداخل هو الأبيض الذي في وسط الخارج ، أمّا الخارج فلا عبرة به على ما صرّح به في حديث جميل الآتي ».</w:t>
      </w:r>
    </w:p>
    <w:p w:rsidR="00744A1C" w:rsidRDefault="00E378DD" w:rsidP="00F50481">
      <w:pPr>
        <w:pStyle w:val="libFootnote0"/>
        <w:rPr>
          <w:lang w:bidi="fa-IR"/>
        </w:rPr>
      </w:pPr>
      <w:r>
        <w:rPr>
          <w:rtl/>
          <w:lang w:bidi="fa-IR"/>
        </w:rPr>
        <w:t>(3).</w:t>
      </w:r>
      <w:r w:rsidR="00744A1C">
        <w:rPr>
          <w:rtl/>
          <w:lang w:bidi="fa-IR"/>
        </w:rPr>
        <w:t xml:space="preserve"> </w:t>
      </w:r>
      <w:r w:rsidR="00744A1C" w:rsidRPr="00610FB4">
        <w:rPr>
          <w:rStyle w:val="libFootnoteBoldChar"/>
          <w:rtl/>
        </w:rPr>
        <w:t>معاني الأخبار</w:t>
      </w:r>
      <w:r w:rsidR="00744A1C">
        <w:rPr>
          <w:rtl/>
          <w:lang w:bidi="fa-IR"/>
        </w:rPr>
        <w:t xml:space="preserve"> ، ص 211 ، ح 1 ؛ </w:t>
      </w:r>
      <w:r w:rsidR="00744A1C" w:rsidRPr="0061079A">
        <w:rPr>
          <w:rStyle w:val="libFootnoteBoldChar"/>
          <w:rtl/>
        </w:rPr>
        <w:t>والتهذيب</w:t>
      </w:r>
      <w:r w:rsidR="00744A1C">
        <w:rPr>
          <w:rtl/>
          <w:lang w:bidi="fa-IR"/>
        </w:rPr>
        <w:t xml:space="preserve"> ، ج 5 ، ص 213 ، ح 716 ، بسندهما عن السكوني. </w:t>
      </w:r>
      <w:r w:rsidR="00744A1C" w:rsidRPr="00C24F9C">
        <w:rPr>
          <w:rStyle w:val="libFootnoteBoldChar"/>
          <w:rtl/>
        </w:rPr>
        <w:t>الفقيه</w:t>
      </w:r>
      <w:r w:rsidR="00744A1C">
        <w:rPr>
          <w:rtl/>
          <w:lang w:bidi="fa-IR"/>
        </w:rPr>
        <w:t xml:space="preserve"> ، ج 2 ، ص 3048 ، مرسلاً عن رسول الله </w:t>
      </w:r>
      <w:r w:rsidR="005E465D" w:rsidRPr="005E465D">
        <w:rPr>
          <w:rStyle w:val="libAlaemChar"/>
          <w:rFonts w:eastAsiaTheme="minorHAnsi"/>
          <w:rtl/>
        </w:rPr>
        <w:t>صلى‌الله‌عليه‌وآله</w:t>
      </w:r>
      <w:r w:rsidR="008E4B59" w:rsidRPr="008E4B59">
        <w:rPr>
          <w:rFonts w:eastAsiaTheme="minorHAnsi"/>
          <w:rtl/>
        </w:rPr>
        <w:t xml:space="preserve"> </w:t>
      </w:r>
      <w:r w:rsidR="008E4B59">
        <w:rPr>
          <w:rFonts w:eastAsiaTheme="minorHAnsi" w:hint="cs"/>
          <w:rtl/>
        </w:rPr>
        <w:t>.</w:t>
      </w:r>
      <w:r w:rsidR="00744A1C" w:rsidRPr="00C24F9C">
        <w:rPr>
          <w:rStyle w:val="libFootnoteBoldChar"/>
          <w:rtl/>
        </w:rPr>
        <w:t>الوافي</w:t>
      </w:r>
      <w:r w:rsidR="00744A1C">
        <w:rPr>
          <w:rtl/>
          <w:lang w:bidi="fa-IR"/>
        </w:rPr>
        <w:t xml:space="preserve"> ، ج 13 ، ص 1122 ، ح 13899 ؛ </w:t>
      </w:r>
      <w:r w:rsidR="00744A1C" w:rsidRPr="00C24F9C">
        <w:rPr>
          <w:rStyle w:val="libFootnoteBoldChar"/>
          <w:rtl/>
        </w:rPr>
        <w:t>الوسائل</w:t>
      </w:r>
      <w:r w:rsidR="00744A1C">
        <w:rPr>
          <w:rtl/>
          <w:lang w:bidi="fa-IR"/>
        </w:rPr>
        <w:t xml:space="preserve"> ، ج 14 ، ص 127 ، ح 18783.</w:t>
      </w:r>
      <w:r w:rsidR="00F50481">
        <w:rPr>
          <w:rFonts w:hint="cs"/>
          <w:rtl/>
          <w:lang w:bidi="fa-IR"/>
        </w:rPr>
        <w:t xml:space="preserve">           </w:t>
      </w:r>
      <w:r w:rsidR="00596830">
        <w:rPr>
          <w:rFonts w:hint="cs"/>
          <w:rtl/>
          <w:lang w:bidi="fa-IR"/>
        </w:rPr>
        <w:t xml:space="preserve">  </w:t>
      </w:r>
      <w:r w:rsidR="00F50481">
        <w:rPr>
          <w:rFonts w:hint="cs"/>
          <w:rtl/>
          <w:lang w:bidi="fa-IR"/>
        </w:rPr>
        <w:t xml:space="preserve">            </w:t>
      </w:r>
      <w:r w:rsidR="00BB0F51">
        <w:rPr>
          <w:rFonts w:hint="cs"/>
          <w:rtl/>
          <w:lang w:bidi="fa-IR"/>
        </w:rPr>
        <w:t xml:space="preserve">  </w:t>
      </w:r>
      <w:r>
        <w:rPr>
          <w:rtl/>
          <w:lang w:bidi="fa-IR"/>
        </w:rPr>
        <w:t>(4).</w:t>
      </w:r>
      <w:r w:rsidR="00744A1C">
        <w:rPr>
          <w:rtl/>
          <w:lang w:bidi="fa-IR"/>
        </w:rPr>
        <w:t xml:space="preserve"> في « بخ ، بف ، جر » : - « بن إبراهيم ».</w:t>
      </w:r>
    </w:p>
    <w:tbl>
      <w:tblPr>
        <w:tblStyle w:val="TableGrid"/>
        <w:bidiVisual/>
        <w:tblW w:w="0" w:type="auto"/>
        <w:tblLook w:val="04A0" w:firstRow="1" w:lastRow="0" w:firstColumn="1" w:lastColumn="0" w:noHBand="0" w:noVBand="1"/>
      </w:tblPr>
      <w:tblGrid>
        <w:gridCol w:w="4006"/>
        <w:gridCol w:w="4006"/>
      </w:tblGrid>
      <w:tr w:rsidR="00F50481" w:rsidTr="00F50481">
        <w:tc>
          <w:tcPr>
            <w:tcW w:w="4006" w:type="dxa"/>
          </w:tcPr>
          <w:p w:rsidR="00F50481" w:rsidRDefault="00F50481" w:rsidP="00E378DD">
            <w:pPr>
              <w:pStyle w:val="libFootnote0"/>
              <w:rPr>
                <w:rtl/>
                <w:lang w:bidi="fa-IR"/>
              </w:rPr>
            </w:pPr>
            <w:r>
              <w:rPr>
                <w:rtl/>
                <w:lang w:bidi="fa-IR"/>
              </w:rPr>
              <w:t xml:space="preserve">(5). في </w:t>
            </w:r>
            <w:r w:rsidRPr="00C24F9C">
              <w:rPr>
                <w:rStyle w:val="libFootnoteBoldChar"/>
                <w:rtl/>
              </w:rPr>
              <w:t>الوسائل</w:t>
            </w:r>
            <w:r>
              <w:rPr>
                <w:rtl/>
                <w:lang w:bidi="fa-IR"/>
              </w:rPr>
              <w:t xml:space="preserve"> : « إن ».</w:t>
            </w:r>
          </w:p>
        </w:tc>
        <w:tc>
          <w:tcPr>
            <w:tcW w:w="4006" w:type="dxa"/>
          </w:tcPr>
          <w:p w:rsidR="00F50481" w:rsidRDefault="00F50481" w:rsidP="00E378DD">
            <w:pPr>
              <w:pStyle w:val="libFootnote0"/>
              <w:rPr>
                <w:rtl/>
                <w:lang w:bidi="fa-IR"/>
              </w:rPr>
            </w:pPr>
            <w:r>
              <w:rPr>
                <w:rtl/>
                <w:lang w:bidi="fa-IR"/>
              </w:rPr>
              <w:t xml:space="preserve">(6). في </w:t>
            </w:r>
            <w:r w:rsidRPr="00C24F9C">
              <w:rPr>
                <w:rStyle w:val="libFootnoteBoldChar"/>
                <w:rtl/>
              </w:rPr>
              <w:t>الوافي</w:t>
            </w:r>
            <w:r>
              <w:rPr>
                <w:rtl/>
                <w:lang w:bidi="fa-IR"/>
              </w:rPr>
              <w:t xml:space="preserve"> : « فهي تجزئ ».</w:t>
            </w:r>
          </w:p>
        </w:tc>
      </w:tr>
    </w:tbl>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213 ، ح 717 ، بسنده عن ابن أبي عمير ، عن جميل بن درّاج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وزيادة في آخره. </w:t>
      </w:r>
      <w:r w:rsidR="00744A1C" w:rsidRPr="00C24F9C">
        <w:rPr>
          <w:rStyle w:val="libFootnoteBoldChar"/>
          <w:rtl/>
        </w:rPr>
        <w:t>الفقيه</w:t>
      </w:r>
      <w:r w:rsidR="00744A1C">
        <w:rPr>
          <w:rtl/>
          <w:lang w:bidi="fa-IR"/>
        </w:rPr>
        <w:t xml:space="preserve"> ، ج 2 ، ص 496 ، ح 3062 ، معلّقاً عن جميل ، مع اختلاف يسير </w:t>
      </w:r>
      <w:r w:rsidR="00575C34">
        <w:rPr>
          <w:rFonts w:hint="cs"/>
          <w:rtl/>
          <w:lang w:bidi="fa-IR"/>
        </w:rPr>
        <w:t>.</w:t>
      </w:r>
      <w:r w:rsidR="00744A1C" w:rsidRPr="00C24F9C">
        <w:rPr>
          <w:rStyle w:val="libFootnoteBoldChar"/>
          <w:rtl/>
        </w:rPr>
        <w:t>الوافي</w:t>
      </w:r>
      <w:r w:rsidR="00744A1C">
        <w:rPr>
          <w:rtl/>
          <w:lang w:bidi="fa-IR"/>
        </w:rPr>
        <w:t xml:space="preserve"> ، ج 13 ، ص 1123 ، ح 13900 ؛ </w:t>
      </w:r>
      <w:r w:rsidR="00744A1C" w:rsidRPr="00C24F9C">
        <w:rPr>
          <w:rStyle w:val="libFootnoteBoldChar"/>
          <w:rtl/>
        </w:rPr>
        <w:t>الوسائل</w:t>
      </w:r>
      <w:r w:rsidR="00744A1C">
        <w:rPr>
          <w:rtl/>
          <w:lang w:bidi="fa-IR"/>
        </w:rPr>
        <w:t xml:space="preserve"> ، ج 14 ، ص 128 ، ح 18785.</w:t>
      </w:r>
    </w:p>
    <w:p w:rsidR="00744A1C" w:rsidRDefault="00E378DD" w:rsidP="00E378DD">
      <w:pPr>
        <w:pStyle w:val="libFootnote0"/>
        <w:rPr>
          <w:lang w:bidi="fa-IR"/>
        </w:rPr>
      </w:pPr>
      <w:r>
        <w:rPr>
          <w:rtl/>
          <w:lang w:bidi="fa-IR"/>
        </w:rPr>
        <w:t>(8).</w:t>
      </w:r>
      <w:r w:rsidR="00744A1C">
        <w:rPr>
          <w:rtl/>
          <w:lang w:bidi="fa-IR"/>
        </w:rPr>
        <w:t xml:space="preserve"> في « بخ ، بف ، جر » : - « بن إبراهيم ».</w:t>
      </w:r>
    </w:p>
    <w:p w:rsidR="00744A1C" w:rsidRDefault="00E378DD" w:rsidP="00E378DD">
      <w:pPr>
        <w:pStyle w:val="libFootnote0"/>
        <w:rPr>
          <w:lang w:bidi="fa-IR"/>
        </w:rPr>
      </w:pPr>
      <w:r>
        <w:rPr>
          <w:rtl/>
          <w:lang w:bidi="fa-IR"/>
        </w:rPr>
        <w:t>(9).</w:t>
      </w:r>
      <w:r w:rsidR="00744A1C">
        <w:rPr>
          <w:rtl/>
          <w:lang w:bidi="fa-IR"/>
        </w:rPr>
        <w:t xml:space="preserve"> في السند تحويل بعطف « محمّد بن إسماعيل ، عن الفضل بن شاذان ، عن ابن أبي عمير وصفوان بن يحيى » على « عليّ بن إبراهيم ، عن أبيه ، عن ابن أبي عمير ».</w:t>
      </w:r>
    </w:p>
    <w:p w:rsidR="000F7CEC" w:rsidRDefault="000F7CEC" w:rsidP="00D10E3C">
      <w:pPr>
        <w:pStyle w:val="libNormal"/>
        <w:rPr>
          <w:rtl/>
          <w:lang w:bidi="fa-IR"/>
        </w:rPr>
      </w:pPr>
      <w:r>
        <w:rPr>
          <w:rtl/>
          <w:lang w:bidi="fa-IR"/>
        </w:rPr>
        <w:br w:type="page"/>
      </w:r>
    </w:p>
    <w:p w:rsidR="00144FA6" w:rsidRDefault="00744A1C" w:rsidP="00575C34">
      <w:pPr>
        <w:pStyle w:val="libNormal0"/>
        <w:rPr>
          <w:rtl/>
          <w:lang w:bidi="fa-IR"/>
        </w:rPr>
      </w:pPr>
      <w:r>
        <w:rPr>
          <w:rtl/>
          <w:lang w:bidi="fa-IR"/>
        </w:rPr>
        <w:lastRenderedPageBreak/>
        <w:t>وَ</w:t>
      </w:r>
      <w:r w:rsidR="00575C34">
        <w:rPr>
          <w:rFonts w:hint="cs"/>
          <w:rtl/>
          <w:lang w:bidi="fa-IR"/>
        </w:rPr>
        <w:t xml:space="preserve"> </w:t>
      </w:r>
      <w:r>
        <w:rPr>
          <w:rtl/>
          <w:lang w:bidi="fa-IR"/>
        </w:rPr>
        <w:t>صَفْوَانَ بْنِ يَحْيى ، عَنْ مُعَاوِيَةَ بْنِ عَمَّارٍ ، قَالَ :</w:t>
      </w:r>
    </w:p>
    <w:p w:rsidR="00144FA6" w:rsidRDefault="00744A1C" w:rsidP="001E5539">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إِذَا رَمَيْتَ الْجَمْرَةَ ، فَاشْتَرِ هَدْيَكَ إِنْ كَانَ مِنَ الْبُدْنِ ، أَوْ مِنَ </w:t>
      </w:r>
      <w:r w:rsidRPr="00D10E3C">
        <w:rPr>
          <w:rStyle w:val="libFootnotenumChar"/>
          <w:rtl/>
        </w:rPr>
        <w:t>(1)</w:t>
      </w:r>
      <w:r>
        <w:rPr>
          <w:rtl/>
          <w:lang w:bidi="fa-IR"/>
        </w:rPr>
        <w:t xml:space="preserve"> الْبَقَرِ </w:t>
      </w:r>
      <w:r w:rsidRPr="00D10E3C">
        <w:rPr>
          <w:rStyle w:val="libFootnotenumChar"/>
          <w:rtl/>
        </w:rPr>
        <w:t>(2)</w:t>
      </w:r>
      <w:r w:rsidR="00575C34">
        <w:rPr>
          <w:rtl/>
          <w:lang w:bidi="fa-IR"/>
        </w:rPr>
        <w:t xml:space="preserve"> ، وَإِل</w:t>
      </w:r>
      <w:r w:rsidR="00575C34">
        <w:rPr>
          <w:rFonts w:hint="cs"/>
          <w:rtl/>
          <w:lang w:bidi="fa-IR"/>
        </w:rPr>
        <w:t>َّ</w:t>
      </w:r>
      <w:r w:rsidR="00575C34">
        <w:rPr>
          <w:rtl/>
          <w:lang w:bidi="fa-IR"/>
        </w:rPr>
        <w:t>ا</w:t>
      </w:r>
      <w:r>
        <w:rPr>
          <w:rtl/>
          <w:lang w:bidi="fa-IR"/>
        </w:rPr>
        <w:t xml:space="preserve"> فَاجْعَلْ </w:t>
      </w:r>
      <w:r w:rsidRPr="00D10E3C">
        <w:rPr>
          <w:rStyle w:val="libFootnotenumChar"/>
          <w:rtl/>
        </w:rPr>
        <w:t>(3)</w:t>
      </w:r>
      <w:r>
        <w:rPr>
          <w:rtl/>
          <w:lang w:bidi="fa-IR"/>
        </w:rPr>
        <w:t xml:space="preserve"> كَبْشاً سَمِيناً فَحْلاً ، فَإِنْ لَمْ تَجِدْ فَمَوْجُوءاً </w:t>
      </w:r>
      <w:r w:rsidRPr="00D10E3C">
        <w:rPr>
          <w:rStyle w:val="libFootnotenumChar"/>
          <w:rtl/>
        </w:rPr>
        <w:t>(4)</w:t>
      </w:r>
      <w:r>
        <w:rPr>
          <w:rtl/>
          <w:lang w:bidi="fa-IR"/>
        </w:rPr>
        <w:t xml:space="preserve"> مِنَ الضَّأْنِ ، فَإِنْ </w:t>
      </w:r>
      <w:r w:rsidRPr="00D10E3C">
        <w:rPr>
          <w:rStyle w:val="libFootnotenumChar"/>
          <w:rtl/>
        </w:rPr>
        <w:t>(5)</w:t>
      </w:r>
      <w:r>
        <w:rPr>
          <w:rtl/>
          <w:lang w:bidi="fa-IR"/>
        </w:rPr>
        <w:t xml:space="preserve"> لَمْ تَجِدْ فَتَيْساً </w:t>
      </w:r>
      <w:r w:rsidRPr="00D10E3C">
        <w:rPr>
          <w:rStyle w:val="libFootnotenumChar"/>
          <w:rtl/>
        </w:rPr>
        <w:t>(6)</w:t>
      </w:r>
      <w:r>
        <w:rPr>
          <w:rtl/>
          <w:lang w:bidi="fa-IR"/>
        </w:rPr>
        <w:t xml:space="preserve"> فَحْلاً </w:t>
      </w:r>
      <w:r w:rsidRPr="00D10E3C">
        <w:rPr>
          <w:rStyle w:val="libFootnotenumChar"/>
          <w:rtl/>
        </w:rPr>
        <w:t>(7)</w:t>
      </w:r>
      <w:r>
        <w:rPr>
          <w:rtl/>
          <w:lang w:bidi="fa-IR"/>
        </w:rPr>
        <w:t xml:space="preserve"> ، فَإِنْ لَمْ تَجِدْ فَمَا اسْتَيْسَرَ </w:t>
      </w:r>
      <w:r w:rsidRPr="00D10E3C">
        <w:rPr>
          <w:rStyle w:val="libFootnotenumChar"/>
          <w:rtl/>
        </w:rPr>
        <w:t>(8)</w:t>
      </w:r>
      <w:r>
        <w:rPr>
          <w:rtl/>
          <w:lang w:bidi="fa-IR"/>
        </w:rPr>
        <w:t xml:space="preserve"> عَلَيْكَ </w:t>
      </w:r>
      <w:r w:rsidRPr="00D10E3C">
        <w:rPr>
          <w:rStyle w:val="libFootnotenumChar"/>
          <w:rtl/>
        </w:rPr>
        <w:t>(9)</w:t>
      </w:r>
      <w:r>
        <w:rPr>
          <w:rtl/>
          <w:lang w:bidi="fa-IR"/>
        </w:rPr>
        <w:t xml:space="preserve"> ، وَعَظِّمْ شَعَائِرَ اللهِ عَزَّ وَجَلَّ ؛ فَإِنَّ رَسُولَ اللهِ </w:t>
      </w:r>
      <w:r w:rsidR="005E465D" w:rsidRPr="005E465D">
        <w:rPr>
          <w:rStyle w:val="libAlaemChar"/>
          <w:rFonts w:eastAsiaTheme="minorHAnsi"/>
          <w:rtl/>
        </w:rPr>
        <w:t>صلى‌الله‌عليه‌وآله</w:t>
      </w:r>
      <w:r w:rsidR="001E5539" w:rsidRPr="00562976">
        <w:rPr>
          <w:rFonts w:eastAsiaTheme="minorHAnsi"/>
          <w:rtl/>
        </w:rPr>
        <w:t xml:space="preserve"> </w:t>
      </w:r>
      <w:r>
        <w:rPr>
          <w:rtl/>
          <w:lang w:bidi="fa-IR"/>
        </w:rPr>
        <w:t xml:space="preserve">ذَبَحَ عَنْ أُمَّهَاتِ الْمُؤْمِنِينَ بَقَرَةً بَقَرَةً ، وَنَحَرَ </w:t>
      </w:r>
      <w:r w:rsidRPr="00D10E3C">
        <w:rPr>
          <w:rStyle w:val="libFootnotenumChar"/>
          <w:rtl/>
        </w:rPr>
        <w:t>(10)</w:t>
      </w:r>
      <w:r>
        <w:rPr>
          <w:rtl/>
          <w:lang w:bidi="fa-IR"/>
        </w:rPr>
        <w:t xml:space="preserve"> بَدَنَةً ». </w:t>
      </w:r>
      <w:r w:rsidRPr="00D10E3C">
        <w:rPr>
          <w:rStyle w:val="libFootnotenumChar"/>
          <w:rtl/>
        </w:rPr>
        <w:t>(11)</w:t>
      </w:r>
    </w:p>
    <w:p w:rsidR="00144FA6" w:rsidRDefault="00744A1C" w:rsidP="00744A1C">
      <w:pPr>
        <w:pStyle w:val="libNormal"/>
        <w:rPr>
          <w:rtl/>
          <w:lang w:bidi="fa-IR"/>
        </w:rPr>
      </w:pPr>
      <w:r>
        <w:rPr>
          <w:rtl/>
          <w:lang w:bidi="fa-IR"/>
        </w:rPr>
        <w:t>7858 / 15. أَبُو عَلِيٍّ الْأَشْعَرِيُّ ، عَنْ مُحَمَّدِ بْنِ عَبْدِ الْجَبَّارِ ، عَنْ صَفْوَانَ بْنِ يَحْيى ، عَنْ‌ عِيصِ بْنِ الْقَاسِمِ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الْهَرِمِ الَّذِي قَدْ </w:t>
      </w:r>
      <w:r w:rsidRPr="00D10E3C">
        <w:rPr>
          <w:rStyle w:val="libFootnotenumChar"/>
          <w:rtl/>
        </w:rPr>
        <w:t>(12)</w:t>
      </w:r>
      <w:r>
        <w:rPr>
          <w:rtl/>
          <w:lang w:bidi="fa-IR"/>
        </w:rPr>
        <w:t xml:space="preserve"> وَقَعَتْ ثَنَايَاهُ : « أَنَّهُ لَابَأْسَ بِهِ فِي الْأَضَاحِيِّ ، وَإِنِ اشْتَرَيْتَهُ مَهْزُولاً ، فَوَجَدْتَهُ سَمِيناً ، أَجْزَأَكَ </w:t>
      </w:r>
      <w:r w:rsidRPr="00D10E3C">
        <w:rPr>
          <w:rStyle w:val="libFootnotenumChar"/>
          <w:rtl/>
        </w:rPr>
        <w:t>(13)</w:t>
      </w:r>
      <w:r>
        <w:rPr>
          <w:rtl/>
          <w:lang w:bidi="fa-IR"/>
        </w:rPr>
        <w:t xml:space="preserve"> ؛ وَإِنِ اشْتَرَيْتَهُ </w:t>
      </w:r>
      <w:r w:rsidRPr="00D10E3C">
        <w:rPr>
          <w:rStyle w:val="libFootnotenumChar"/>
          <w:rtl/>
        </w:rPr>
        <w:t>(14)</w:t>
      </w:r>
      <w:r>
        <w:rPr>
          <w:rtl/>
          <w:lang w:bidi="fa-IR"/>
        </w:rPr>
        <w:t xml:space="preserve"> مَهْزُولاً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1E5539" w:rsidTr="001E5539">
        <w:tc>
          <w:tcPr>
            <w:tcW w:w="4006" w:type="dxa"/>
          </w:tcPr>
          <w:p w:rsidR="001E5539" w:rsidRDefault="001E5539" w:rsidP="00D10E3C">
            <w:pPr>
              <w:pStyle w:val="libFootnote0"/>
              <w:rPr>
                <w:rtl/>
                <w:lang w:bidi="fa-IR"/>
              </w:rPr>
            </w:pPr>
            <w:r>
              <w:rPr>
                <w:rtl/>
                <w:lang w:bidi="fa-IR"/>
              </w:rPr>
              <w:t xml:space="preserve">(1). في </w:t>
            </w:r>
            <w:r w:rsidRPr="00C24F9C">
              <w:rPr>
                <w:rStyle w:val="libFootnoteBoldChar"/>
                <w:rtl/>
              </w:rPr>
              <w:t>الوسائل</w:t>
            </w:r>
            <w:r>
              <w:rPr>
                <w:rtl/>
                <w:lang w:bidi="fa-IR"/>
              </w:rPr>
              <w:t xml:space="preserve"> : - « من ».</w:t>
            </w:r>
          </w:p>
        </w:tc>
        <w:tc>
          <w:tcPr>
            <w:tcW w:w="4006" w:type="dxa"/>
          </w:tcPr>
          <w:p w:rsidR="001E5539" w:rsidRDefault="001E5539" w:rsidP="00D10E3C">
            <w:pPr>
              <w:pStyle w:val="libFootnote0"/>
              <w:rPr>
                <w:rtl/>
                <w:lang w:bidi="fa-IR"/>
              </w:rPr>
            </w:pPr>
            <w:r>
              <w:rPr>
                <w:rtl/>
                <w:lang w:bidi="fa-IR"/>
              </w:rPr>
              <w:t xml:space="preserve">(2). في </w:t>
            </w:r>
            <w:r w:rsidRPr="00C24F9C">
              <w:rPr>
                <w:rStyle w:val="libFootnoteBoldChar"/>
                <w:rtl/>
              </w:rPr>
              <w:t>الفقيه</w:t>
            </w:r>
            <w:r>
              <w:rPr>
                <w:rtl/>
                <w:lang w:bidi="fa-IR"/>
              </w:rPr>
              <w:t xml:space="preserve"> : + « أو من الغنم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8D4975">
        <w:rPr>
          <w:rtl/>
        </w:rPr>
        <w:t>الوسائل والفقيه والتهذيب</w:t>
      </w:r>
      <w:r w:rsidR="00744A1C">
        <w:rPr>
          <w:rtl/>
          <w:lang w:bidi="fa-IR"/>
        </w:rPr>
        <w:t xml:space="preserve"> ، ص 204 : « فاجعله ».</w:t>
      </w:r>
    </w:p>
    <w:tbl>
      <w:tblPr>
        <w:tblStyle w:val="TableGrid"/>
        <w:bidiVisual/>
        <w:tblW w:w="0" w:type="auto"/>
        <w:tblLook w:val="04A0" w:firstRow="1" w:lastRow="0" w:firstColumn="1" w:lastColumn="0" w:noHBand="0" w:noVBand="1"/>
      </w:tblPr>
      <w:tblGrid>
        <w:gridCol w:w="4006"/>
        <w:gridCol w:w="4006"/>
      </w:tblGrid>
      <w:tr w:rsidR="008D4975" w:rsidTr="008D4975">
        <w:tc>
          <w:tcPr>
            <w:tcW w:w="4006" w:type="dxa"/>
          </w:tcPr>
          <w:p w:rsidR="008D4975" w:rsidRDefault="00562976" w:rsidP="00E378DD">
            <w:pPr>
              <w:pStyle w:val="libFootnote0"/>
              <w:rPr>
                <w:rtl/>
                <w:lang w:bidi="fa-IR"/>
              </w:rPr>
            </w:pPr>
            <w:r>
              <w:rPr>
                <w:rtl/>
                <w:lang w:bidi="fa-IR"/>
              </w:rPr>
              <w:t xml:space="preserve">(4). في </w:t>
            </w:r>
            <w:r w:rsidRPr="008D4975">
              <w:rPr>
                <w:rtl/>
              </w:rPr>
              <w:t>الوسائل والتهذيب</w:t>
            </w:r>
            <w:r>
              <w:rPr>
                <w:rtl/>
                <w:lang w:bidi="fa-IR"/>
              </w:rPr>
              <w:t xml:space="preserve"> ، ص 204 : « فموجاً ».</w:t>
            </w:r>
          </w:p>
        </w:tc>
        <w:tc>
          <w:tcPr>
            <w:tcW w:w="4006" w:type="dxa"/>
          </w:tcPr>
          <w:p w:rsidR="008D4975" w:rsidRDefault="00562976" w:rsidP="00E378DD">
            <w:pPr>
              <w:pStyle w:val="libFootnote0"/>
              <w:rPr>
                <w:rtl/>
                <w:lang w:bidi="fa-IR"/>
              </w:rPr>
            </w:pPr>
            <w:r>
              <w:rPr>
                <w:rtl/>
                <w:lang w:bidi="fa-IR"/>
              </w:rPr>
              <w:t>(5). في « بف » : « وإن ».</w:t>
            </w:r>
          </w:p>
        </w:tc>
      </w:tr>
    </w:tbl>
    <w:p w:rsidR="00744A1C" w:rsidRDefault="00E378DD" w:rsidP="00E378DD">
      <w:pPr>
        <w:pStyle w:val="libFootnote0"/>
        <w:rPr>
          <w:lang w:bidi="fa-IR"/>
        </w:rPr>
      </w:pPr>
      <w:r>
        <w:rPr>
          <w:rtl/>
          <w:lang w:bidi="fa-IR"/>
        </w:rPr>
        <w:t>(6).</w:t>
      </w:r>
      <w:r w:rsidR="00744A1C">
        <w:rPr>
          <w:rtl/>
          <w:lang w:bidi="fa-IR"/>
        </w:rPr>
        <w:t xml:space="preserve"> قال الفيّومي : « التيس : الذكر من المعز إذا أتى عليه حول ، وقبل الحول هو جَدْي ، والجمع : تُيوس ». وقال الفيروز آبادي : « التيس : الذكر من الظباء والمعز والوُعول ، أو إذا أتى عليه سنة ». وقيل غير ذلك. راجع : </w:t>
      </w:r>
      <w:r w:rsidR="00744A1C" w:rsidRPr="00E978C3">
        <w:rPr>
          <w:rStyle w:val="libFootnoteBoldChar"/>
          <w:rtl/>
        </w:rPr>
        <w:t>المصباح المنير</w:t>
      </w:r>
      <w:r w:rsidR="00744A1C">
        <w:rPr>
          <w:rtl/>
          <w:lang w:bidi="fa-IR"/>
        </w:rPr>
        <w:t xml:space="preserve"> ، ص 79 ؛ </w:t>
      </w:r>
      <w:r w:rsidR="00744A1C" w:rsidRPr="008A57EB">
        <w:rPr>
          <w:rStyle w:val="libFootnoteBoldChar"/>
          <w:rtl/>
        </w:rPr>
        <w:t>القاموس المحيط</w:t>
      </w:r>
      <w:r w:rsidR="00744A1C">
        <w:rPr>
          <w:rtl/>
          <w:lang w:bidi="fa-IR"/>
        </w:rPr>
        <w:t xml:space="preserve"> ، ج 1 ، ص 735 ؛ تاج العروس ، ج 8 ، ص 219 ( تيس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 « فحلاً ».</w:t>
      </w:r>
    </w:p>
    <w:p w:rsidR="00744A1C" w:rsidRDefault="00E378DD" w:rsidP="00E378DD">
      <w:pPr>
        <w:pStyle w:val="libFootnote0"/>
        <w:rPr>
          <w:lang w:bidi="fa-IR"/>
        </w:rPr>
      </w:pPr>
      <w:r>
        <w:rPr>
          <w:rtl/>
          <w:lang w:bidi="fa-IR"/>
        </w:rPr>
        <w:t>(8).</w:t>
      </w:r>
      <w:r w:rsidR="00744A1C">
        <w:rPr>
          <w:rtl/>
          <w:lang w:bidi="fa-IR"/>
        </w:rPr>
        <w:t xml:space="preserve"> في « بث ، بح ، بخ ، بس ، بف » </w:t>
      </w:r>
      <w:r w:rsidR="00744A1C" w:rsidRPr="00596830">
        <w:rPr>
          <w:rtl/>
        </w:rPr>
        <w:t>والوافي والوسائل والفقيه</w:t>
      </w:r>
      <w:r w:rsidR="00744A1C">
        <w:rPr>
          <w:rtl/>
          <w:lang w:bidi="fa-IR"/>
        </w:rPr>
        <w:t xml:space="preserve"> : « تيسّر ».</w:t>
      </w:r>
    </w:p>
    <w:p w:rsidR="00744A1C" w:rsidRDefault="00E378DD" w:rsidP="00E378DD">
      <w:pPr>
        <w:pStyle w:val="libFootnote0"/>
        <w:rPr>
          <w:lang w:bidi="fa-IR"/>
        </w:rPr>
      </w:pPr>
      <w:r>
        <w:rPr>
          <w:rtl/>
          <w:lang w:bidi="fa-IR"/>
        </w:rPr>
        <w:t>(9).</w:t>
      </w:r>
      <w:r w:rsidR="00744A1C">
        <w:rPr>
          <w:rtl/>
          <w:lang w:bidi="fa-IR"/>
        </w:rPr>
        <w:t xml:space="preserve"> في حاشية « جن » و</w:t>
      </w:r>
      <w:r w:rsidR="00744A1C" w:rsidRPr="00C24F9C">
        <w:rPr>
          <w:rStyle w:val="libFootnoteBoldChar"/>
          <w:rtl/>
        </w:rPr>
        <w:t>الفقيه</w:t>
      </w:r>
      <w:r w:rsidR="00744A1C">
        <w:rPr>
          <w:rtl/>
          <w:lang w:bidi="fa-IR"/>
        </w:rPr>
        <w:t xml:space="preserve"> : « لك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ص 227 : + « هو ستّاً وستّين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5 ، ص 204 ، ح 679 ، بسنده عن معاوية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وعظّم شعائر الله عزّ وجلّ ». وفيه ، ج 5 ، ص 227 ، ح 770 ؛ </w:t>
      </w:r>
      <w:r w:rsidR="00744A1C" w:rsidRPr="00C24F9C">
        <w:rPr>
          <w:rStyle w:val="libFootnoteBoldChar"/>
          <w:rtl/>
        </w:rPr>
        <w:t>والاستبصار</w:t>
      </w:r>
      <w:r w:rsidR="00744A1C">
        <w:rPr>
          <w:rtl/>
          <w:lang w:bidi="fa-IR"/>
        </w:rPr>
        <w:t xml:space="preserve"> ، ج 2 ، ص 275 ، ح 979 ، بسندهما عن معاوية بن عمّار ، من قوله : « فإنّ رسول الله </w:t>
      </w:r>
      <w:r w:rsidR="0061079A" w:rsidRPr="0061079A">
        <w:rPr>
          <w:rStyle w:val="libFootnoteAlaemChar"/>
          <w:rtl/>
        </w:rPr>
        <w:t>عليه‌السلام</w:t>
      </w:r>
      <w:r w:rsidR="00D10E3C">
        <w:rPr>
          <w:rtl/>
          <w:lang w:bidi="fa-IR"/>
        </w:rPr>
        <w:t xml:space="preserve"> </w:t>
      </w:r>
      <w:r w:rsidR="00744A1C">
        <w:rPr>
          <w:rtl/>
          <w:lang w:bidi="fa-IR"/>
        </w:rPr>
        <w:t xml:space="preserve">ذبح ». </w:t>
      </w:r>
      <w:r w:rsidR="00744A1C" w:rsidRPr="00C24F9C">
        <w:rPr>
          <w:rStyle w:val="libFootnoteBoldChar"/>
          <w:rtl/>
        </w:rPr>
        <w:t>الفقيه</w:t>
      </w:r>
      <w:r w:rsidR="00744A1C">
        <w:rPr>
          <w:rtl/>
          <w:lang w:bidi="fa-IR"/>
        </w:rPr>
        <w:t xml:space="preserve"> ، ج 2 ، ص 549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وعظّم شعائر الله عزّ وجلّ » </w:t>
      </w:r>
      <w:r w:rsidR="00562976">
        <w:rPr>
          <w:rFonts w:hint="cs"/>
          <w:rtl/>
          <w:lang w:bidi="fa-IR"/>
        </w:rPr>
        <w:t>.</w:t>
      </w:r>
      <w:r w:rsidR="00744A1C" w:rsidRPr="00C24F9C">
        <w:rPr>
          <w:rStyle w:val="libFootnoteBoldChar"/>
          <w:rtl/>
        </w:rPr>
        <w:t>الوافي</w:t>
      </w:r>
      <w:r w:rsidR="00744A1C">
        <w:rPr>
          <w:rtl/>
          <w:lang w:bidi="fa-IR"/>
        </w:rPr>
        <w:t xml:space="preserve"> ، ج 13 ، ص 1114 ، ح 13874 ؛ </w:t>
      </w:r>
      <w:r w:rsidR="00744A1C" w:rsidRPr="00C24F9C">
        <w:rPr>
          <w:rStyle w:val="libFootnoteBoldChar"/>
          <w:rtl/>
        </w:rPr>
        <w:t>الوسائل</w:t>
      </w:r>
      <w:r w:rsidR="00744A1C">
        <w:rPr>
          <w:rtl/>
          <w:lang w:bidi="fa-IR"/>
        </w:rPr>
        <w:t xml:space="preserve"> ، ج 14 ، ص 96 ، ح 18687.</w:t>
      </w:r>
    </w:p>
    <w:p w:rsidR="00744A1C" w:rsidRDefault="00E378DD" w:rsidP="00E378DD">
      <w:pPr>
        <w:pStyle w:val="libFootnote0"/>
        <w:rPr>
          <w:lang w:bidi="fa-IR"/>
        </w:rPr>
      </w:pPr>
      <w:r>
        <w:rPr>
          <w:rtl/>
          <w:lang w:bidi="fa-IR"/>
        </w:rPr>
        <w:t>(12).</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وفي المطبوع : - « قد ».</w:t>
      </w:r>
    </w:p>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الوافي</w:t>
      </w:r>
      <w:r w:rsidR="00744A1C">
        <w:rPr>
          <w:rtl/>
          <w:lang w:bidi="fa-IR"/>
        </w:rPr>
        <w:t xml:space="preserve"> : « أجزأ ».</w:t>
      </w:r>
    </w:p>
    <w:p w:rsidR="00744A1C" w:rsidRDefault="00E378DD" w:rsidP="00E378DD">
      <w:pPr>
        <w:pStyle w:val="libFootnote0"/>
        <w:rPr>
          <w:lang w:bidi="fa-IR"/>
        </w:rPr>
      </w:pPr>
      <w:r>
        <w:rPr>
          <w:rtl/>
          <w:lang w:bidi="fa-IR"/>
        </w:rPr>
        <w:t>(14).</w:t>
      </w:r>
      <w:r w:rsidR="00744A1C">
        <w:rPr>
          <w:rtl/>
          <w:lang w:bidi="fa-IR"/>
        </w:rPr>
        <w:t xml:space="preserve"> هكذا في « ى ، بح ، بخ ، بس ، بف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سائر النسخ والمطبوع : « إن اشتريت ».</w:t>
      </w:r>
    </w:p>
    <w:p w:rsidR="000F7CEC" w:rsidRDefault="000F7CEC" w:rsidP="00D10E3C">
      <w:pPr>
        <w:pStyle w:val="libNormal"/>
        <w:rPr>
          <w:rtl/>
          <w:lang w:bidi="fa-IR"/>
        </w:rPr>
      </w:pPr>
      <w:r>
        <w:rPr>
          <w:rtl/>
          <w:lang w:bidi="fa-IR"/>
        </w:rPr>
        <w:br w:type="page"/>
      </w:r>
    </w:p>
    <w:p w:rsidR="00144FA6" w:rsidRDefault="00744A1C" w:rsidP="00562976">
      <w:pPr>
        <w:pStyle w:val="libNormal0"/>
        <w:rPr>
          <w:rtl/>
          <w:lang w:bidi="fa-IR"/>
        </w:rPr>
      </w:pPr>
      <w:r>
        <w:rPr>
          <w:rtl/>
          <w:lang w:bidi="fa-IR"/>
        </w:rPr>
        <w:lastRenderedPageBreak/>
        <w:t xml:space="preserve">فَوَجَدْتَهُ </w:t>
      </w:r>
      <w:r w:rsidRPr="00D10E3C">
        <w:rPr>
          <w:rStyle w:val="libFootnotenumChar"/>
          <w:rtl/>
        </w:rPr>
        <w:t>(1)</w:t>
      </w:r>
      <w:r>
        <w:rPr>
          <w:rtl/>
          <w:lang w:bidi="fa-IR"/>
        </w:rPr>
        <w:t xml:space="preserve"> مَهْزُولاً ، فَلَا يُجْزِئُ ». </w:t>
      </w:r>
      <w:r w:rsidRPr="00D10E3C">
        <w:rPr>
          <w:rStyle w:val="libFootnotenumChar"/>
          <w:rtl/>
        </w:rPr>
        <w:t>(2)</w:t>
      </w:r>
    </w:p>
    <w:p w:rsidR="00144FA6" w:rsidRDefault="00562976" w:rsidP="00744A1C">
      <w:pPr>
        <w:pStyle w:val="libNormal"/>
        <w:rPr>
          <w:rtl/>
          <w:lang w:bidi="fa-IR"/>
        </w:rPr>
      </w:pPr>
      <w:r>
        <w:rPr>
          <w:rFonts w:hint="cs"/>
          <w:rtl/>
          <w:lang w:bidi="fa-IR"/>
        </w:rPr>
        <w:t xml:space="preserve">* </w:t>
      </w:r>
      <w:r w:rsidR="00744A1C">
        <w:rPr>
          <w:rtl/>
          <w:lang w:bidi="fa-IR"/>
        </w:rPr>
        <w:t xml:space="preserve">وَفِي رِوَايَةٍ أُخْرى : « إِنَّ حَدَّ الْهُزَالِ إِذَا </w:t>
      </w:r>
      <w:r w:rsidR="00744A1C" w:rsidRPr="00D10E3C">
        <w:rPr>
          <w:rStyle w:val="libFootnotenumChar"/>
          <w:rtl/>
        </w:rPr>
        <w:t>(3)</w:t>
      </w:r>
      <w:r w:rsidR="00744A1C">
        <w:rPr>
          <w:rtl/>
          <w:lang w:bidi="fa-IR"/>
        </w:rPr>
        <w:t xml:space="preserve"> لَمْ يَكُنْ عَلى كُلْيَتَيْهِ شَيْ‌ءٌ مِنَ الشَّحْمِ ». </w:t>
      </w:r>
      <w:r w:rsidR="00744A1C" w:rsidRPr="00D10E3C">
        <w:rPr>
          <w:rStyle w:val="libFootnotenumChar"/>
          <w:rtl/>
        </w:rPr>
        <w:t>(4)</w:t>
      </w:r>
    </w:p>
    <w:p w:rsidR="00144FA6" w:rsidRDefault="00744A1C" w:rsidP="00744A1C">
      <w:pPr>
        <w:pStyle w:val="libNormal"/>
        <w:rPr>
          <w:rtl/>
          <w:lang w:bidi="fa-IR"/>
        </w:rPr>
      </w:pPr>
      <w:r>
        <w:rPr>
          <w:rtl/>
          <w:lang w:bidi="fa-IR"/>
        </w:rPr>
        <w:t>7859 / 16. رَوَاهُ مُحَمَّدُ بْنُ عِيسى ، عَنْ يَاسِينَ الضَّرِيرِ ، عَنْ حَرِيزٍ ، عَنِ الْفُضَيْلِ ، قَالَ :</w:t>
      </w:r>
    </w:p>
    <w:p w:rsidR="00744A1C" w:rsidRDefault="00744A1C" w:rsidP="00744A1C">
      <w:pPr>
        <w:pStyle w:val="libNormal"/>
        <w:rPr>
          <w:lang w:bidi="fa-IR"/>
        </w:rPr>
      </w:pPr>
      <w:r>
        <w:rPr>
          <w:rtl/>
          <w:lang w:bidi="fa-IR"/>
        </w:rPr>
        <w:t xml:space="preserve">حَجَجْتُ بِأَهْلِي سَنَةً ، فَعَزَّتِ </w:t>
      </w:r>
      <w:r w:rsidRPr="00D10E3C">
        <w:rPr>
          <w:rStyle w:val="libFootnotenumChar"/>
          <w:rtl/>
        </w:rPr>
        <w:t>(5)</w:t>
      </w:r>
      <w:r>
        <w:rPr>
          <w:rtl/>
          <w:lang w:bidi="fa-IR"/>
        </w:rPr>
        <w:t xml:space="preserve"> الْأَضَاحِيُّ ، فَانْطَلَقْتُ ، فَاشْتَرَيْتُ شَاتَيْنِ بِغَلَاءٍ ، فَلَمَّا أَلْقَيْتُ إِهَابَهُمَا </w:t>
      </w:r>
      <w:r w:rsidRPr="00D10E3C">
        <w:rPr>
          <w:rStyle w:val="libFootnotenumChar"/>
          <w:rtl/>
        </w:rPr>
        <w:t>(6)</w:t>
      </w:r>
      <w:r>
        <w:rPr>
          <w:rtl/>
          <w:lang w:bidi="fa-IR"/>
        </w:rPr>
        <w:t xml:space="preserve"> نَدِمْتُ نَدَامَةً شَدِيدَةً لِمَا رَأَيْتُ بِهِمَا مِنَ الْهُزَالِ ، فَأَتَيْتُهُ ، فَأَخْبَرْتُهُ ذلِكَ </w:t>
      </w:r>
      <w:r w:rsidRPr="00D10E3C">
        <w:rPr>
          <w:rStyle w:val="libFootnotenumChar"/>
          <w:rtl/>
        </w:rPr>
        <w:t>(7)</w:t>
      </w:r>
      <w:r w:rsidR="00562976" w:rsidRPr="00562976">
        <w:rPr>
          <w:rFonts w:hint="cs"/>
          <w:rtl/>
        </w:rPr>
        <w:t>.</w:t>
      </w:r>
    </w:p>
    <w:p w:rsidR="00144FA6" w:rsidRDefault="00744A1C" w:rsidP="00744A1C">
      <w:pPr>
        <w:pStyle w:val="libNormal"/>
        <w:rPr>
          <w:rtl/>
          <w:lang w:bidi="fa-IR"/>
        </w:rPr>
      </w:pPr>
      <w:r>
        <w:rPr>
          <w:rtl/>
          <w:lang w:bidi="fa-IR"/>
        </w:rPr>
        <w:t xml:space="preserve">فَقَالَ </w:t>
      </w:r>
      <w:r w:rsidRPr="00D10E3C">
        <w:rPr>
          <w:rStyle w:val="libFootnotenumChar"/>
          <w:rtl/>
        </w:rPr>
        <w:t>(8)</w:t>
      </w:r>
      <w:r>
        <w:rPr>
          <w:rtl/>
          <w:lang w:bidi="fa-IR"/>
        </w:rPr>
        <w:t xml:space="preserve"> : « إِنْ كَانَ عَلى كُلْيَتَيْهِمَا شَيْ‌ءٌ مِنَ الشَّحْمِ </w:t>
      </w:r>
      <w:r w:rsidRPr="00D10E3C">
        <w:rPr>
          <w:rStyle w:val="libFootnotenumChar"/>
          <w:rtl/>
        </w:rPr>
        <w:t>(9)</w:t>
      </w:r>
      <w:r>
        <w:rPr>
          <w:rtl/>
          <w:lang w:bidi="fa-IR"/>
        </w:rPr>
        <w:t xml:space="preserve"> ، أَجْزَأَتَا </w:t>
      </w:r>
      <w:r w:rsidRPr="00D10E3C">
        <w:rPr>
          <w:rStyle w:val="libFootnotenumChar"/>
          <w:rtl/>
        </w:rPr>
        <w:t>(10)</w:t>
      </w:r>
      <w:r>
        <w:rPr>
          <w:rtl/>
          <w:lang w:bidi="fa-IR"/>
        </w:rPr>
        <w:t xml:space="preserve"> ». </w:t>
      </w:r>
      <w:r w:rsidRPr="00D10E3C">
        <w:rPr>
          <w:rStyle w:val="libFootnotenumChar"/>
          <w:rtl/>
        </w:rPr>
        <w:t>(11)</w:t>
      </w:r>
    </w:p>
    <w:p w:rsidR="00144FA6" w:rsidRDefault="00744A1C" w:rsidP="00744A1C">
      <w:pPr>
        <w:pStyle w:val="libNormal"/>
        <w:rPr>
          <w:rtl/>
          <w:lang w:bidi="fa-IR"/>
        </w:rPr>
      </w:pPr>
      <w:r>
        <w:rPr>
          <w:rtl/>
          <w:lang w:bidi="fa-IR"/>
        </w:rPr>
        <w:t>7860 / 17. عَلِيُّ بْنُ إِبْرَاهِيمَ ، عَنْ أَبِيهِ ، عَنْ إِبْرَاهِيمَ بْنِ مُحَمَّدٍ ، عَنِ السُّلَمِيِّ ، عَنْ دَاوُدَ الرَّقِّيِّ ، قَالَ :</w:t>
      </w:r>
    </w:p>
    <w:p w:rsidR="00144FA6" w:rsidRDefault="00744A1C" w:rsidP="00744A1C">
      <w:pPr>
        <w:pStyle w:val="libNormal"/>
        <w:rPr>
          <w:rtl/>
          <w:lang w:bidi="fa-IR"/>
        </w:rPr>
      </w:pPr>
      <w:r>
        <w:rPr>
          <w:rtl/>
          <w:lang w:bidi="fa-IR"/>
        </w:rPr>
        <w:t xml:space="preserve">سَأَلَنِي بَعْضُ الْخَوَارِجِ عَنْ هذِهِ الْآيَةِ : </w:t>
      </w:r>
      <w:r w:rsidRPr="00562976">
        <w:rPr>
          <w:rStyle w:val="libAlaemChar"/>
          <w:rtl/>
        </w:rPr>
        <w:t>(</w:t>
      </w:r>
      <w:r w:rsidRPr="00562976">
        <w:rPr>
          <w:rStyle w:val="libAieChar"/>
          <w:rtl/>
        </w:rPr>
        <w:t xml:space="preserve"> مِنَ الضَّأْنِ اثْنَيْنِ </w:t>
      </w:r>
      <w:r w:rsidRPr="00D10E3C">
        <w:rPr>
          <w:rStyle w:val="libFootnotenumChar"/>
          <w:rtl/>
        </w:rPr>
        <w:t>(12)</w:t>
      </w:r>
      <w:r>
        <w:rPr>
          <w:rtl/>
          <w:lang w:bidi="fa-IR"/>
        </w:rPr>
        <w:t xml:space="preserve"> </w:t>
      </w:r>
      <w:r w:rsidRPr="00562976">
        <w:rPr>
          <w:rStyle w:val="libAieChar"/>
          <w:rtl/>
        </w:rPr>
        <w:t>وَمِنَ الْمَعْزِ اثْنَيْنِ قُلْ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و</w:t>
      </w:r>
      <w:r w:rsidR="00744A1C" w:rsidRPr="00C24F9C">
        <w:rPr>
          <w:rStyle w:val="libFootnoteBoldChar"/>
          <w:rtl/>
        </w:rPr>
        <w:t>الوافي</w:t>
      </w:r>
      <w:r w:rsidR="00744A1C">
        <w:rPr>
          <w:rtl/>
          <w:lang w:bidi="fa-IR"/>
        </w:rPr>
        <w:t xml:space="preserve"> : « فخرج ».</w:t>
      </w:r>
    </w:p>
    <w:p w:rsidR="00744A1C" w:rsidRDefault="00E378DD" w:rsidP="00562976">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211 ، ح 712 ، بسند آخر ، مع اختلاف يسير </w:t>
      </w:r>
      <w:r w:rsidR="00562976">
        <w:rPr>
          <w:rFonts w:hint="cs"/>
          <w:rtl/>
          <w:lang w:bidi="fa-IR"/>
        </w:rPr>
        <w:t>.</w:t>
      </w:r>
      <w:r w:rsidR="00744A1C" w:rsidRPr="00C24F9C">
        <w:rPr>
          <w:rStyle w:val="libFootnoteBoldChar"/>
          <w:rtl/>
        </w:rPr>
        <w:t>الوافي</w:t>
      </w:r>
      <w:r w:rsidR="00744A1C">
        <w:rPr>
          <w:rtl/>
          <w:lang w:bidi="fa-IR"/>
        </w:rPr>
        <w:t xml:space="preserve"> ، ج 13 ، ص 1121 ، ح 13894 ؛ </w:t>
      </w:r>
      <w:r w:rsidR="00744A1C" w:rsidRPr="00C24F9C">
        <w:rPr>
          <w:rStyle w:val="libFootnoteBoldChar"/>
          <w:rtl/>
        </w:rPr>
        <w:t>الوسائل</w:t>
      </w:r>
      <w:r w:rsidR="00744A1C">
        <w:rPr>
          <w:rtl/>
          <w:lang w:bidi="fa-IR"/>
        </w:rPr>
        <w:t xml:space="preserve"> ، ج 14 ، ص 114 ، ح 18747.</w:t>
      </w:r>
      <w:r w:rsidR="00562976">
        <w:rPr>
          <w:rFonts w:hint="cs"/>
          <w:rtl/>
          <w:lang w:bidi="fa-IR"/>
        </w:rPr>
        <w:t xml:space="preserve">           </w:t>
      </w:r>
      <w:r>
        <w:rPr>
          <w:rtl/>
          <w:lang w:bidi="fa-IR"/>
        </w:rPr>
        <w:t>(3).</w:t>
      </w:r>
      <w:r w:rsidR="00744A1C">
        <w:rPr>
          <w:rtl/>
          <w:lang w:bidi="fa-IR"/>
        </w:rPr>
        <w:t xml:space="preserve"> في « ى » : « وإذا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13 ، ص 1121 ، ذيل ح 13895 ؛ </w:t>
      </w:r>
      <w:r w:rsidR="00744A1C" w:rsidRPr="00C24F9C">
        <w:rPr>
          <w:rStyle w:val="libFootnoteBoldChar"/>
          <w:rtl/>
        </w:rPr>
        <w:t>الوسائل</w:t>
      </w:r>
      <w:r w:rsidR="00744A1C">
        <w:rPr>
          <w:rtl/>
          <w:lang w:bidi="fa-IR"/>
        </w:rPr>
        <w:t xml:space="preserve"> ، ج 14 ، ص 114 ، ح 18748.</w:t>
      </w:r>
    </w:p>
    <w:p w:rsidR="00744A1C" w:rsidRDefault="00E378DD" w:rsidP="00E378DD">
      <w:pPr>
        <w:pStyle w:val="libFootnote0"/>
        <w:rPr>
          <w:lang w:bidi="fa-IR"/>
        </w:rPr>
      </w:pPr>
      <w:r>
        <w:rPr>
          <w:rtl/>
          <w:lang w:bidi="fa-IR"/>
        </w:rPr>
        <w:t>(5).</w:t>
      </w:r>
      <w:r w:rsidR="00744A1C">
        <w:rPr>
          <w:rtl/>
          <w:lang w:bidi="fa-IR"/>
        </w:rPr>
        <w:t xml:space="preserve"> في حاشية « بح » : « فقلّت ». وقال الجوهري : « عَزَّ الشي‌ءُ يَعِزُّ عِزّاً وعِزَّة وعَزازة ، إذا قلّ لا يكاد يوجد ، فهوعزيز ». </w:t>
      </w:r>
      <w:r w:rsidR="00744A1C" w:rsidRPr="00E978C3">
        <w:rPr>
          <w:rStyle w:val="libFootnoteBoldChar"/>
          <w:rtl/>
        </w:rPr>
        <w:t>الصحاح</w:t>
      </w:r>
      <w:r w:rsidR="00744A1C">
        <w:rPr>
          <w:rtl/>
          <w:lang w:bidi="fa-IR"/>
        </w:rPr>
        <w:t xml:space="preserve"> ، ج 3 ، ص 885 ( عزز ).</w:t>
      </w:r>
    </w:p>
    <w:p w:rsidR="00744A1C" w:rsidRDefault="00E378DD" w:rsidP="00E378DD">
      <w:pPr>
        <w:pStyle w:val="libFootnote0"/>
        <w:rPr>
          <w:lang w:bidi="fa-IR"/>
        </w:rPr>
      </w:pPr>
      <w:r>
        <w:rPr>
          <w:rtl/>
          <w:lang w:bidi="fa-IR"/>
        </w:rPr>
        <w:t>(6).</w:t>
      </w:r>
      <w:r w:rsidR="00744A1C">
        <w:rPr>
          <w:rtl/>
          <w:lang w:bidi="fa-IR"/>
        </w:rPr>
        <w:t xml:space="preserve"> الإهاب : الجلد ، أو الجلد ما لم يدبغ. راجع : </w:t>
      </w:r>
      <w:r w:rsidR="00744A1C" w:rsidRPr="00E978C3">
        <w:rPr>
          <w:rStyle w:val="libFootnoteBoldChar"/>
          <w:rtl/>
        </w:rPr>
        <w:t>الصحاح</w:t>
      </w:r>
      <w:r w:rsidR="00744A1C">
        <w:rPr>
          <w:rtl/>
          <w:lang w:bidi="fa-IR"/>
        </w:rPr>
        <w:t xml:space="preserve"> ، ج </w:t>
      </w:r>
      <w:r w:rsidR="00562976">
        <w:rPr>
          <w:rtl/>
          <w:lang w:bidi="fa-IR"/>
        </w:rPr>
        <w:t xml:space="preserve">1 ، ص 89 ؛ </w:t>
      </w:r>
      <w:r w:rsidR="00562976" w:rsidRPr="00877682">
        <w:rPr>
          <w:rStyle w:val="libFootnoteBoldChar"/>
          <w:rtl/>
        </w:rPr>
        <w:t>النهاية</w:t>
      </w:r>
      <w:r w:rsidR="00562976">
        <w:rPr>
          <w:rtl/>
          <w:lang w:bidi="fa-IR"/>
        </w:rPr>
        <w:t xml:space="preserve"> ، ج 1 ، ص 83</w:t>
      </w:r>
      <w:r w:rsidR="00596830">
        <w:rPr>
          <w:rtl/>
          <w:lang w:bidi="fa-IR"/>
        </w:rPr>
        <w:t>( أهب</w:t>
      </w:r>
      <w:r w:rsidR="00744A1C">
        <w:rPr>
          <w:rtl/>
          <w:lang w:bidi="fa-IR"/>
        </w:rPr>
        <w:t>).</w:t>
      </w:r>
    </w:p>
    <w:p w:rsidR="00744A1C" w:rsidRDefault="00E378DD" w:rsidP="00E378DD">
      <w:pPr>
        <w:pStyle w:val="libFootnote0"/>
        <w:rPr>
          <w:lang w:bidi="fa-IR"/>
        </w:rPr>
      </w:pPr>
      <w:r>
        <w:rPr>
          <w:rtl/>
          <w:lang w:bidi="fa-IR"/>
        </w:rPr>
        <w:t>(7).</w:t>
      </w:r>
      <w:r w:rsidR="00744A1C">
        <w:rPr>
          <w:rtl/>
          <w:lang w:bidi="fa-IR"/>
        </w:rPr>
        <w:t xml:space="preserve"> في « بح ، بخ ، بف » و</w:t>
      </w:r>
      <w:r w:rsidR="00744A1C" w:rsidRPr="00C24F9C">
        <w:rPr>
          <w:rStyle w:val="libFootnoteBoldChar"/>
          <w:rtl/>
        </w:rPr>
        <w:t>الوافي</w:t>
      </w:r>
      <w:r w:rsidR="00744A1C">
        <w:rPr>
          <w:rtl/>
          <w:lang w:bidi="fa-IR"/>
        </w:rPr>
        <w:t xml:space="preserve"> : « بذلك ». وفي « ى ، بس ، ج</w:t>
      </w:r>
      <w:r w:rsidR="00562976">
        <w:rPr>
          <w:rtl/>
          <w:lang w:bidi="fa-IR"/>
        </w:rPr>
        <w:t>د » : « ذاك ». وفي « جن » :«</w:t>
      </w:r>
      <w:r w:rsidR="00744A1C">
        <w:rPr>
          <w:rtl/>
          <w:lang w:bidi="fa-IR"/>
        </w:rPr>
        <w:t>بذاك ».</w:t>
      </w:r>
    </w:p>
    <w:tbl>
      <w:tblPr>
        <w:tblStyle w:val="TableGrid"/>
        <w:bidiVisual/>
        <w:tblW w:w="0" w:type="auto"/>
        <w:tblLook w:val="04A0" w:firstRow="1" w:lastRow="0" w:firstColumn="1" w:lastColumn="0" w:noHBand="0" w:noVBand="1"/>
      </w:tblPr>
      <w:tblGrid>
        <w:gridCol w:w="4006"/>
        <w:gridCol w:w="4006"/>
      </w:tblGrid>
      <w:tr w:rsidR="00562976" w:rsidTr="00562976">
        <w:tc>
          <w:tcPr>
            <w:tcW w:w="4006" w:type="dxa"/>
          </w:tcPr>
          <w:p w:rsidR="00562976" w:rsidRDefault="00562976" w:rsidP="00E378DD">
            <w:pPr>
              <w:pStyle w:val="libFootnote0"/>
              <w:rPr>
                <w:rtl/>
                <w:lang w:bidi="fa-IR"/>
              </w:rPr>
            </w:pPr>
            <w:r>
              <w:rPr>
                <w:rtl/>
                <w:lang w:bidi="fa-IR"/>
              </w:rPr>
              <w:t>(8). في « بخ ، بف » و</w:t>
            </w:r>
            <w:r w:rsidRPr="00C24F9C">
              <w:rPr>
                <w:rStyle w:val="libFootnoteBoldChar"/>
                <w:rtl/>
              </w:rPr>
              <w:t>الوافي</w:t>
            </w:r>
            <w:r>
              <w:rPr>
                <w:rtl/>
                <w:lang w:bidi="fa-IR"/>
              </w:rPr>
              <w:t xml:space="preserve"> : + « لي ».</w:t>
            </w:r>
          </w:p>
        </w:tc>
        <w:tc>
          <w:tcPr>
            <w:tcW w:w="4006" w:type="dxa"/>
          </w:tcPr>
          <w:p w:rsidR="00562976" w:rsidRDefault="00562976" w:rsidP="00E378DD">
            <w:pPr>
              <w:pStyle w:val="libFootnote0"/>
              <w:rPr>
                <w:rtl/>
                <w:lang w:bidi="fa-IR"/>
              </w:rPr>
            </w:pPr>
            <w:r>
              <w:rPr>
                <w:rtl/>
                <w:lang w:bidi="fa-IR"/>
              </w:rPr>
              <w:t>(9). في « بخ » : « شحم » بدل«شي‌ء من الشحم»</w:t>
            </w:r>
            <w:r>
              <w:rPr>
                <w:rFonts w:hint="cs"/>
                <w:rtl/>
                <w:lang w:bidi="fa-IR"/>
              </w:rPr>
              <w:t>.</w:t>
            </w:r>
          </w:p>
        </w:tc>
      </w:tr>
    </w:tbl>
    <w:p w:rsidR="00744A1C" w:rsidRDefault="00E378DD" w:rsidP="00E378DD">
      <w:pPr>
        <w:pStyle w:val="libFootnote0"/>
        <w:rPr>
          <w:lang w:bidi="fa-IR"/>
        </w:rPr>
      </w:pPr>
      <w:r>
        <w:rPr>
          <w:rtl/>
          <w:lang w:bidi="fa-IR"/>
        </w:rPr>
        <w:t>(10).</w:t>
      </w:r>
      <w:r w:rsidR="00744A1C">
        <w:rPr>
          <w:rtl/>
          <w:lang w:bidi="fa-IR"/>
        </w:rPr>
        <w:t xml:space="preserve"> في « بف » : « أجزأت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5 ، ص 212 ، ح 714 ، معلّقاً عن محمّد بن عيسى </w:t>
      </w:r>
      <w:r w:rsidR="00562976">
        <w:rPr>
          <w:rFonts w:hint="cs"/>
          <w:rtl/>
          <w:lang w:bidi="fa-IR"/>
        </w:rPr>
        <w:t>.</w:t>
      </w:r>
      <w:r w:rsidR="00744A1C" w:rsidRPr="00C24F9C">
        <w:rPr>
          <w:rStyle w:val="libFootnoteBoldChar"/>
          <w:rtl/>
        </w:rPr>
        <w:t>الوافي</w:t>
      </w:r>
      <w:r w:rsidR="00744A1C">
        <w:rPr>
          <w:rtl/>
          <w:lang w:bidi="fa-IR"/>
        </w:rPr>
        <w:t xml:space="preserve"> ، ج 13 ، ص 1121 ، ح 13895 ؛ </w:t>
      </w:r>
      <w:r w:rsidR="00744A1C" w:rsidRPr="00C24F9C">
        <w:rPr>
          <w:rStyle w:val="libFootnoteBoldChar"/>
          <w:rtl/>
        </w:rPr>
        <w:t>الوسائل</w:t>
      </w:r>
      <w:r w:rsidR="00744A1C">
        <w:rPr>
          <w:rtl/>
          <w:lang w:bidi="fa-IR"/>
        </w:rPr>
        <w:t xml:space="preserve"> ، ج 14 ، ص 113 ، ذيل ح 18744.</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الوافي</w:t>
      </w:r>
      <w:r w:rsidR="00744A1C">
        <w:rPr>
          <w:rtl/>
          <w:lang w:bidi="fa-IR"/>
        </w:rPr>
        <w:t xml:space="preserve"> : « لعلّ الخارجي كان قد سمع بتحريم الا</w:t>
      </w:r>
      <w:r w:rsidR="00562976">
        <w:rPr>
          <w:rFonts w:hint="cs"/>
          <w:rtl/>
          <w:lang w:bidi="fa-IR"/>
        </w:rPr>
        <w:t>ُ</w:t>
      </w:r>
      <w:r w:rsidR="00744A1C">
        <w:rPr>
          <w:rtl/>
          <w:lang w:bidi="fa-IR"/>
        </w:rPr>
        <w:t>ضحيّة ببعض هذه الأزواج الثمانية ، مع كونها كلّها حلالاً ، فأراد أن يمتحن بمعرفته داود ».</w:t>
      </w:r>
      <w:r w:rsidR="006314DF">
        <w:rPr>
          <w:rFonts w:hint="cs"/>
          <w:rtl/>
          <w:lang w:bidi="fa-IR"/>
        </w:rPr>
        <w:t xml:space="preserve"> </w:t>
      </w:r>
      <w:r w:rsidR="00562976">
        <w:rPr>
          <w:rFonts w:hint="cs"/>
          <w:rtl/>
          <w:lang w:bidi="fa-IR"/>
        </w:rPr>
        <w:t>=</w:t>
      </w:r>
    </w:p>
    <w:p w:rsidR="00150943" w:rsidRDefault="00150943" w:rsidP="00D10E3C">
      <w:pPr>
        <w:pStyle w:val="libNormal"/>
        <w:rPr>
          <w:rtl/>
          <w:lang w:bidi="fa-IR"/>
        </w:rPr>
      </w:pPr>
      <w:r>
        <w:rPr>
          <w:rtl/>
          <w:lang w:bidi="fa-IR"/>
        </w:rPr>
        <w:br w:type="page"/>
      </w:r>
    </w:p>
    <w:p w:rsidR="00744A1C" w:rsidRDefault="00744A1C" w:rsidP="00596830">
      <w:pPr>
        <w:pStyle w:val="libNormal0"/>
        <w:rPr>
          <w:lang w:bidi="fa-IR"/>
        </w:rPr>
      </w:pPr>
      <w:r w:rsidRPr="006314DF">
        <w:rPr>
          <w:rStyle w:val="libAieChar"/>
          <w:rtl/>
        </w:rPr>
        <w:lastRenderedPageBreak/>
        <w:t xml:space="preserve">آلذَّكَرَيْنِ حَرَّمَ أَمِ الْأُنْثَيَيْنِ </w:t>
      </w:r>
      <w:r>
        <w:rPr>
          <w:rtl/>
          <w:lang w:bidi="fa-IR"/>
        </w:rPr>
        <w:t xml:space="preserve">[ ... ] </w:t>
      </w:r>
      <w:r w:rsidRPr="006314DF">
        <w:rPr>
          <w:rStyle w:val="libAieChar"/>
          <w:rtl/>
        </w:rPr>
        <w:t>وَمِنَ الْإِبِلِ اثْنَيْنِ وَمِنَ الْبَقَرِ اثْنَيْنِ</w:t>
      </w:r>
      <w:r>
        <w:rPr>
          <w:rtl/>
          <w:lang w:bidi="fa-IR"/>
        </w:rPr>
        <w:t xml:space="preserve"> </w:t>
      </w:r>
      <w:r w:rsidRPr="006314DF">
        <w:rPr>
          <w:rStyle w:val="libAlaemChar"/>
          <w:rtl/>
        </w:rPr>
        <w:t>)</w:t>
      </w:r>
      <w:r>
        <w:rPr>
          <w:rtl/>
          <w:lang w:bidi="fa-IR"/>
        </w:rPr>
        <w:t xml:space="preserve"> </w:t>
      </w:r>
      <w:r w:rsidRPr="00D10E3C">
        <w:rPr>
          <w:rStyle w:val="libFootnotenumChar"/>
          <w:rtl/>
        </w:rPr>
        <w:t>(1)</w:t>
      </w:r>
      <w:r>
        <w:rPr>
          <w:rtl/>
          <w:lang w:bidi="fa-IR"/>
        </w:rPr>
        <w:t xml:space="preserve"> : مَا الَّذِي أَحَلَّ اللهُ مِنْ ذلِكَ؟ وَمَا الَّذِي حَرَّمَ؟ فَلَمْ يَكُنْ عِنْدِي فِيهِ </w:t>
      </w:r>
      <w:r w:rsidRPr="00D10E3C">
        <w:rPr>
          <w:rStyle w:val="libFootnotenumChar"/>
          <w:rtl/>
        </w:rPr>
        <w:t>(2)</w:t>
      </w:r>
      <w:r>
        <w:rPr>
          <w:rtl/>
          <w:lang w:bidi="fa-IR"/>
        </w:rPr>
        <w:t xml:space="preserve"> شَيْ‌ءٌ ، فَدَخَلْتُ عَلى أَبِي عَبْدِ اللهِ </w:t>
      </w:r>
      <w:r w:rsidR="0061079A" w:rsidRPr="0061079A">
        <w:rPr>
          <w:rStyle w:val="libAlaemChar"/>
          <w:rtl/>
        </w:rPr>
        <w:t>عليه‌السلام</w:t>
      </w:r>
      <w:r w:rsidR="00D10E3C">
        <w:rPr>
          <w:rtl/>
          <w:lang w:bidi="fa-IR"/>
        </w:rPr>
        <w:t xml:space="preserve"> </w:t>
      </w:r>
      <w:r>
        <w:rPr>
          <w:rtl/>
          <w:lang w:bidi="fa-IR"/>
        </w:rPr>
        <w:t>وَأَنَا حَاجٌّ ، فَأَخْبَرْتُهُ بِمَا كَانَ.</w:t>
      </w:r>
    </w:p>
    <w:p w:rsidR="00744A1C" w:rsidRDefault="00744A1C" w:rsidP="00744A1C">
      <w:pPr>
        <w:pStyle w:val="libNormal"/>
        <w:rPr>
          <w:lang w:bidi="fa-IR"/>
        </w:rPr>
      </w:pPr>
      <w:r>
        <w:rPr>
          <w:rtl/>
          <w:lang w:bidi="fa-IR"/>
        </w:rPr>
        <w:t xml:space="preserve">فَقَالَ : « إِنَّ اللهَ - عَزَّ وَجَلَّ - أَحَلَّ فِي الْأُضْحِيَّةِ بِمِنًى الضَّأْنَ وَالْمَعْزَ الْأَهْلِيَّةَ ، وَحَرَّمَ أَنْ يُضَحّى بِالْجَبَلِيَّةِ. وَأَمَّا قَوْلُهُ : </w:t>
      </w:r>
      <w:r w:rsidRPr="008A1674">
        <w:rPr>
          <w:rStyle w:val="libAlaemChar"/>
          <w:rtl/>
        </w:rPr>
        <w:t>(</w:t>
      </w:r>
      <w:r w:rsidRPr="008A1674">
        <w:rPr>
          <w:rStyle w:val="libAieChar"/>
          <w:rtl/>
        </w:rPr>
        <w:t xml:space="preserve"> وَ</w:t>
      </w:r>
      <w:r w:rsidR="008A1674" w:rsidRPr="008A1674">
        <w:rPr>
          <w:rStyle w:val="libAieChar"/>
          <w:rFonts w:hint="cs"/>
          <w:rtl/>
        </w:rPr>
        <w:t xml:space="preserve"> </w:t>
      </w:r>
      <w:r w:rsidRPr="008A1674">
        <w:rPr>
          <w:rStyle w:val="libAieChar"/>
          <w:rtl/>
        </w:rPr>
        <w:t>مِنَ الْإِبِلِ اثْنَيْنِ وَمِنَ الْبَقَرِ اثْنَيْنِ</w:t>
      </w:r>
      <w:r>
        <w:rPr>
          <w:rtl/>
          <w:lang w:bidi="fa-IR"/>
        </w:rPr>
        <w:t xml:space="preserve"> </w:t>
      </w:r>
      <w:r w:rsidRPr="008A1674">
        <w:rPr>
          <w:rStyle w:val="libAlaemChar"/>
          <w:rtl/>
        </w:rPr>
        <w:t>)</w:t>
      </w:r>
      <w:r>
        <w:rPr>
          <w:rtl/>
          <w:lang w:bidi="fa-IR"/>
        </w:rPr>
        <w:t xml:space="preserve"> فَإِنَّ اللهَ - تَبَارَكَ وَتَعَالى - أَحَلَّ فِي الْأُضْحِيَّةِ الْإِبِلَ الْعِرَابَ </w:t>
      </w:r>
      <w:r w:rsidRPr="00D10E3C">
        <w:rPr>
          <w:rStyle w:val="libFootnotenumChar"/>
          <w:rtl/>
        </w:rPr>
        <w:t>(3)</w:t>
      </w:r>
      <w:r>
        <w:rPr>
          <w:rtl/>
          <w:lang w:bidi="fa-IR"/>
        </w:rPr>
        <w:t xml:space="preserve"> ، وَحَرَّمَ فِيهَا </w:t>
      </w:r>
      <w:r w:rsidRPr="00D10E3C">
        <w:rPr>
          <w:rStyle w:val="libFootnotenumChar"/>
          <w:rtl/>
        </w:rPr>
        <w:t>(4)</w:t>
      </w:r>
      <w:r>
        <w:rPr>
          <w:rtl/>
          <w:lang w:bidi="fa-IR"/>
        </w:rPr>
        <w:t xml:space="preserve"> الْبَخَاتِيَّ </w:t>
      </w:r>
      <w:r w:rsidRPr="00D10E3C">
        <w:rPr>
          <w:rStyle w:val="libFootnotenumChar"/>
          <w:rtl/>
        </w:rPr>
        <w:t>(5)</w:t>
      </w:r>
      <w:r>
        <w:rPr>
          <w:rtl/>
          <w:lang w:bidi="fa-IR"/>
        </w:rPr>
        <w:t xml:space="preserve"> ، وَأَحَلَّ‌</w:t>
      </w:r>
    </w:p>
    <w:p w:rsidR="00744A1C" w:rsidRDefault="00744A1C" w:rsidP="00D10E3C">
      <w:pPr>
        <w:pStyle w:val="libLine"/>
        <w:rPr>
          <w:lang w:bidi="fa-IR"/>
        </w:rPr>
      </w:pPr>
      <w:r>
        <w:rPr>
          <w:rtl/>
          <w:lang w:bidi="fa-IR"/>
        </w:rPr>
        <w:t>____________________</w:t>
      </w:r>
    </w:p>
    <w:p w:rsidR="00744A1C" w:rsidRDefault="008A1674" w:rsidP="00D10E3C">
      <w:pPr>
        <w:pStyle w:val="libFootnote0"/>
        <w:rPr>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في </w:t>
      </w:r>
      <w:r w:rsidR="00744A1C" w:rsidRPr="00877682">
        <w:rPr>
          <w:rStyle w:val="libFootnoteBoldChar"/>
          <w:rtl/>
        </w:rPr>
        <w:t>مرآة العقول</w:t>
      </w:r>
      <w:r w:rsidR="00744A1C">
        <w:rPr>
          <w:rtl/>
          <w:lang w:bidi="fa-IR"/>
        </w:rPr>
        <w:t xml:space="preserve"> ، ج 18 ، ص 167 : « قوله تعالى : </w:t>
      </w:r>
      <w:r w:rsidR="00744A1C" w:rsidRPr="008A1674">
        <w:rPr>
          <w:rStyle w:val="libFootnoteAlaemChar"/>
          <w:rtl/>
        </w:rPr>
        <w:t>(</w:t>
      </w:r>
      <w:r w:rsidR="00744A1C" w:rsidRPr="008A1674">
        <w:rPr>
          <w:rStyle w:val="libFootnoteAieChar"/>
          <w:rtl/>
        </w:rPr>
        <w:t xml:space="preserve"> مِنَ الضَّأْنِ اثْنَيْنِ </w:t>
      </w:r>
      <w:r w:rsidR="00744A1C" w:rsidRPr="008A1674">
        <w:rPr>
          <w:rStyle w:val="libFootnoteAlaemChar"/>
          <w:rtl/>
        </w:rPr>
        <w:t>)</w:t>
      </w:r>
      <w:r w:rsidR="00744A1C">
        <w:rPr>
          <w:rtl/>
          <w:lang w:bidi="fa-IR"/>
        </w:rPr>
        <w:t xml:space="preserve"> قال الطبرسي </w:t>
      </w:r>
      <w:r w:rsidR="00877682" w:rsidRPr="00877682">
        <w:rPr>
          <w:rStyle w:val="libFootnoteAlaemChar"/>
          <w:rtl/>
        </w:rPr>
        <w:t>رحمه‌الله</w:t>
      </w:r>
      <w:r w:rsidR="00744A1C">
        <w:rPr>
          <w:rtl/>
          <w:lang w:bidi="fa-IR"/>
        </w:rPr>
        <w:t xml:space="preserve">: ثمّ فسّر سبحانه الحمولة أو الفرش فقال : </w:t>
      </w:r>
      <w:r w:rsidR="00744A1C" w:rsidRPr="008A1674">
        <w:rPr>
          <w:rStyle w:val="libFootnoteAlaemChar"/>
          <w:rtl/>
        </w:rPr>
        <w:t>(</w:t>
      </w:r>
      <w:r w:rsidR="00744A1C" w:rsidRPr="008A1674">
        <w:rPr>
          <w:rStyle w:val="libFootnoteAieChar"/>
          <w:rtl/>
        </w:rPr>
        <w:t xml:space="preserve"> ثَمانِيَةَ أَزْواجٍ </w:t>
      </w:r>
      <w:r w:rsidR="00744A1C" w:rsidRPr="008A1674">
        <w:rPr>
          <w:rStyle w:val="libFootnoteAlaemChar"/>
          <w:rtl/>
        </w:rPr>
        <w:t>)</w:t>
      </w:r>
      <w:r w:rsidR="00744A1C">
        <w:rPr>
          <w:rtl/>
          <w:lang w:bidi="fa-IR"/>
        </w:rPr>
        <w:t xml:space="preserve"> أي أنشأ ثمانية أزواج ، من الضأن اثنين ، وكلّ واحد من الانثى والذكر سمّي زوجاً ، فالذكر زوج الا</w:t>
      </w:r>
      <w:r>
        <w:rPr>
          <w:rFonts w:hint="cs"/>
          <w:rtl/>
          <w:lang w:bidi="fa-IR"/>
        </w:rPr>
        <w:t>ُ</w:t>
      </w:r>
      <w:r w:rsidR="00744A1C">
        <w:rPr>
          <w:rtl/>
          <w:lang w:bidi="fa-IR"/>
        </w:rPr>
        <w:t>نثى والا</w:t>
      </w:r>
      <w:r>
        <w:rPr>
          <w:rFonts w:hint="cs"/>
          <w:rtl/>
          <w:lang w:bidi="fa-IR"/>
        </w:rPr>
        <w:t>ُ</w:t>
      </w:r>
      <w:r w:rsidR="00744A1C">
        <w:rPr>
          <w:rtl/>
          <w:lang w:bidi="fa-IR"/>
        </w:rPr>
        <w:t xml:space="preserve">نثى زوج الذكر ومعناه : ثمانية أصناف. وقيل : المراد بالاثنتين الوحشيّ والأهليّ ، وهو المرويّ عن أبي عبدالله </w:t>
      </w:r>
      <w:r w:rsidR="0061079A" w:rsidRPr="0061079A">
        <w:rPr>
          <w:rStyle w:val="libFootnoteAlaemChar"/>
          <w:rtl/>
        </w:rPr>
        <w:t>عليه‌السلام</w:t>
      </w:r>
      <w:r w:rsidR="00744A1C">
        <w:rPr>
          <w:rtl/>
          <w:lang w:bidi="fa-IR"/>
        </w:rPr>
        <w:t xml:space="preserve"> . انتهى.</w:t>
      </w:r>
    </w:p>
    <w:p w:rsidR="00744A1C" w:rsidRDefault="00744A1C" w:rsidP="00D10E3C">
      <w:pPr>
        <w:pStyle w:val="libFootnote0"/>
        <w:rPr>
          <w:lang w:bidi="fa-IR"/>
        </w:rPr>
      </w:pPr>
      <w:r w:rsidRPr="008A1674">
        <w:rPr>
          <w:rStyle w:val="libFootnoteBoldChar"/>
          <w:rtl/>
        </w:rPr>
        <w:t>أقول</w:t>
      </w:r>
      <w:r>
        <w:rPr>
          <w:rtl/>
          <w:lang w:bidi="fa-IR"/>
        </w:rPr>
        <w:t xml:space="preserve"> : على الأوّل المراد بالذكرين والاثنتين ذكر الضأن والمعز وانثاهما ، وعلى الرواية ذكر الأهليّ والوحشيّ من كلّ من الضأن والمعز ، فأمّا ما ذكره </w:t>
      </w:r>
      <w:r w:rsidR="0061079A" w:rsidRPr="0061079A">
        <w:rPr>
          <w:rStyle w:val="libFootnoteAlaemChar"/>
          <w:rtl/>
        </w:rPr>
        <w:t>عليه‌السلام</w:t>
      </w:r>
      <w:r w:rsidR="00D10E3C">
        <w:rPr>
          <w:rtl/>
          <w:lang w:bidi="fa-IR"/>
        </w:rPr>
        <w:t xml:space="preserve"> </w:t>
      </w:r>
      <w:r>
        <w:rPr>
          <w:rtl/>
          <w:lang w:bidi="fa-IR"/>
        </w:rPr>
        <w:t>من تحريم الا</w:t>
      </w:r>
      <w:r w:rsidR="008A1674">
        <w:rPr>
          <w:rFonts w:hint="cs"/>
          <w:rtl/>
          <w:lang w:bidi="fa-IR"/>
        </w:rPr>
        <w:t>ُ</w:t>
      </w:r>
      <w:r>
        <w:rPr>
          <w:rtl/>
          <w:lang w:bidi="fa-IR"/>
        </w:rPr>
        <w:t>ضحيّة بالوحشيّ إمّا كلام استطراديّ ويكون المقصود في تفسير الآية تفسير الذكرين فقط ، أو يكون داخلاً في التفسير ، فالغرض بيان عجزهم عن معرفة أحكام الله تعالي ومواقع التحريم والتحليل ، فالمعنى : بيّنوا أيّ شي‌ء يحرم من هذين الصنفين في الاضحيّة؟ أيحرم الذكران ، أم الانثيان ، أم تفصيل آخر لاتعرفونه؟ وأما تحريم البخاتيّ فلم أر قائلاً به ، ولعلّه محمول على الكراهة ». وراجع : مجمع البيان ، ج 4 ، ص 181 ، ذيل الآية المذكورة.</w:t>
      </w:r>
    </w:p>
    <w:p w:rsidR="00744A1C" w:rsidRDefault="00D10E3C" w:rsidP="00E378DD">
      <w:pPr>
        <w:pStyle w:val="libFootnote0"/>
        <w:rPr>
          <w:lang w:bidi="fa-IR"/>
        </w:rPr>
      </w:pPr>
      <w:r>
        <w:rPr>
          <w:rtl/>
          <w:lang w:bidi="fa-IR"/>
        </w:rPr>
        <w:t>(1).</w:t>
      </w:r>
      <w:r w:rsidR="00744A1C">
        <w:rPr>
          <w:rtl/>
          <w:lang w:bidi="fa-IR"/>
        </w:rPr>
        <w:t xml:space="preserve"> الأنعام </w:t>
      </w:r>
      <w:r w:rsidR="008A1674">
        <w:rPr>
          <w:rtl/>
          <w:lang w:bidi="fa-IR"/>
        </w:rPr>
        <w:t>(6)</w:t>
      </w:r>
      <w:r w:rsidR="00744A1C">
        <w:rPr>
          <w:rtl/>
          <w:lang w:bidi="fa-IR"/>
        </w:rPr>
        <w:t xml:space="preserve"> : 143 و 144.</w:t>
      </w:r>
    </w:p>
    <w:p w:rsidR="00744A1C" w:rsidRDefault="00E378DD" w:rsidP="00E378DD">
      <w:pPr>
        <w:pStyle w:val="libFootnote0"/>
        <w:rPr>
          <w:lang w:bidi="fa-IR"/>
        </w:rPr>
      </w:pPr>
      <w:r>
        <w:rPr>
          <w:rtl/>
          <w:lang w:bidi="fa-IR"/>
        </w:rPr>
        <w:t>(2).</w:t>
      </w:r>
      <w:r w:rsidR="00744A1C">
        <w:rPr>
          <w:rtl/>
          <w:lang w:bidi="fa-IR"/>
        </w:rPr>
        <w:t xml:space="preserve"> هكذا في معظم النسخ التي قوبلت </w:t>
      </w:r>
      <w:r w:rsidR="00744A1C" w:rsidRPr="00596830">
        <w:rPr>
          <w:rtl/>
        </w:rPr>
        <w:t>والوافي والوسائل والبحار والفقيه وتفسير العيّاشي</w:t>
      </w:r>
      <w:r w:rsidR="00744A1C">
        <w:rPr>
          <w:rtl/>
          <w:lang w:bidi="fa-IR"/>
        </w:rPr>
        <w:t>. وفي « بس » والمطبوع : - « فيه ».</w:t>
      </w:r>
    </w:p>
    <w:p w:rsidR="00744A1C" w:rsidRDefault="00E378DD" w:rsidP="00E378DD">
      <w:pPr>
        <w:pStyle w:val="libFootnote0"/>
        <w:rPr>
          <w:lang w:bidi="fa-IR"/>
        </w:rPr>
      </w:pPr>
      <w:r>
        <w:rPr>
          <w:rtl/>
          <w:lang w:bidi="fa-IR"/>
        </w:rPr>
        <w:t>(3).</w:t>
      </w:r>
      <w:r w:rsidR="00744A1C">
        <w:rPr>
          <w:rtl/>
          <w:lang w:bidi="fa-IR"/>
        </w:rPr>
        <w:t xml:space="preserve"> قال الجوهري : « الإبل العِراب والخيل العِراب : خلاف البَخاتيّ والبرازين ». وقال ابن الأثير : « وفي حديث‌سطيح : يقود خيلاً عِراباً ، أي عربيّة منسوبة إلى العرب ؛ فرّقوا بين الخيل والناس ، فقالوا في الناس : عرب وأعراب ، وفي الخيل : عِراب ». راجع : </w:t>
      </w:r>
      <w:r w:rsidR="00744A1C" w:rsidRPr="00E978C3">
        <w:rPr>
          <w:rStyle w:val="libFootnoteBoldChar"/>
          <w:rtl/>
        </w:rPr>
        <w:t>الصحاح</w:t>
      </w:r>
      <w:r w:rsidR="00744A1C">
        <w:rPr>
          <w:rtl/>
          <w:lang w:bidi="fa-IR"/>
        </w:rPr>
        <w:t xml:space="preserve"> ، ج 1 ، ص 179 ؛ </w:t>
      </w:r>
      <w:r w:rsidR="00744A1C" w:rsidRPr="00877682">
        <w:rPr>
          <w:rStyle w:val="libFootnoteBoldChar"/>
          <w:rtl/>
        </w:rPr>
        <w:t>النهاية</w:t>
      </w:r>
      <w:r w:rsidR="00744A1C">
        <w:rPr>
          <w:rtl/>
          <w:lang w:bidi="fa-IR"/>
        </w:rPr>
        <w:t xml:space="preserve"> ، ج 3 ، ص 203 ( عرب ).</w:t>
      </w:r>
    </w:p>
    <w:p w:rsidR="00744A1C" w:rsidRDefault="00E378DD" w:rsidP="00E378DD">
      <w:pPr>
        <w:pStyle w:val="libFootnote0"/>
        <w:rPr>
          <w:lang w:bidi="fa-IR"/>
        </w:rPr>
      </w:pPr>
      <w:r>
        <w:rPr>
          <w:rtl/>
          <w:lang w:bidi="fa-IR"/>
        </w:rPr>
        <w:t>(4).</w:t>
      </w:r>
      <w:r w:rsidR="00744A1C">
        <w:rPr>
          <w:rtl/>
          <w:lang w:bidi="fa-IR"/>
        </w:rPr>
        <w:t xml:space="preserve"> في « بث » : « فيه ». وفي « جن » : « منها ».</w:t>
      </w:r>
    </w:p>
    <w:p w:rsidR="00744A1C" w:rsidRDefault="00E378DD" w:rsidP="00E378DD">
      <w:pPr>
        <w:pStyle w:val="libFootnote0"/>
        <w:rPr>
          <w:lang w:bidi="fa-IR"/>
        </w:rPr>
      </w:pPr>
      <w:r>
        <w:rPr>
          <w:rtl/>
          <w:lang w:bidi="fa-IR"/>
        </w:rPr>
        <w:t>(5).</w:t>
      </w:r>
      <w:r w:rsidR="00744A1C">
        <w:rPr>
          <w:rtl/>
          <w:lang w:bidi="fa-IR"/>
        </w:rPr>
        <w:t xml:space="preserve"> قال الجوهري : « البُخت من الإبل معرّب أيضاً ، وبعضهم يقول : هو عربيّ ... الواحد : بُخْتيّ ، والا</w:t>
      </w:r>
      <w:r w:rsidR="008A1674">
        <w:rPr>
          <w:rFonts w:hint="cs"/>
          <w:rtl/>
          <w:lang w:bidi="fa-IR"/>
        </w:rPr>
        <w:t>ُ</w:t>
      </w:r>
      <w:r w:rsidR="00744A1C">
        <w:rPr>
          <w:rtl/>
          <w:lang w:bidi="fa-IR"/>
        </w:rPr>
        <w:t>نثى : بُخْتيّة ، وجمعه : بَخاتِيّ غير مصروف ؛ لأنّه بزنة جمع الجمع ، ولك أن تخفّف الياء فتقول : بَخاتِي ».</w:t>
      </w:r>
    </w:p>
    <w:p w:rsidR="00744A1C" w:rsidRDefault="00744A1C" w:rsidP="00D10E3C">
      <w:pPr>
        <w:pStyle w:val="libFootnote0"/>
        <w:rPr>
          <w:lang w:bidi="fa-IR"/>
        </w:rPr>
      </w:pPr>
      <w:r>
        <w:rPr>
          <w:rtl/>
          <w:lang w:bidi="fa-IR"/>
        </w:rPr>
        <w:t>وقال ابن الأثير : « البختيّة : الا</w:t>
      </w:r>
      <w:r w:rsidR="008A1674">
        <w:rPr>
          <w:rFonts w:hint="cs"/>
          <w:rtl/>
          <w:lang w:bidi="fa-IR"/>
        </w:rPr>
        <w:t>ُ</w:t>
      </w:r>
      <w:r>
        <w:rPr>
          <w:rtl/>
          <w:lang w:bidi="fa-IR"/>
        </w:rPr>
        <w:t xml:space="preserve">نثى من الجِمال البُخْتِ ، والذكر : بُخْتِيّ ، وهي جمال طوال الأعناق ، وتجمع على </w:t>
      </w:r>
      <w:r w:rsidR="008A1674">
        <w:rPr>
          <w:rFonts w:hint="cs"/>
          <w:rtl/>
          <w:lang w:bidi="fa-IR"/>
        </w:rPr>
        <w:t>=</w:t>
      </w:r>
    </w:p>
    <w:p w:rsidR="00150943" w:rsidRDefault="00150943" w:rsidP="00D10E3C">
      <w:pPr>
        <w:pStyle w:val="libNormal"/>
        <w:rPr>
          <w:rtl/>
          <w:lang w:bidi="fa-IR"/>
        </w:rPr>
      </w:pPr>
      <w:r>
        <w:rPr>
          <w:rtl/>
          <w:lang w:bidi="fa-IR"/>
        </w:rPr>
        <w:br w:type="page"/>
      </w:r>
    </w:p>
    <w:p w:rsidR="00744A1C" w:rsidRDefault="00744A1C" w:rsidP="00596830">
      <w:pPr>
        <w:pStyle w:val="libNormal0"/>
        <w:rPr>
          <w:lang w:bidi="fa-IR"/>
        </w:rPr>
      </w:pPr>
      <w:r>
        <w:rPr>
          <w:rtl/>
          <w:lang w:bidi="fa-IR"/>
        </w:rPr>
        <w:lastRenderedPageBreak/>
        <w:t>الْبَقَرَ الْأَهْلِيَّةَ أَنْ يُضَحّى بِهَا ، وَحَرَّمَ الْجَبَلِيَّةَ ».</w:t>
      </w:r>
    </w:p>
    <w:p w:rsidR="00744A1C" w:rsidRDefault="00744A1C" w:rsidP="00BC4F06">
      <w:pPr>
        <w:pStyle w:val="libNormal"/>
        <w:rPr>
          <w:lang w:bidi="fa-IR"/>
        </w:rPr>
      </w:pPr>
      <w:r>
        <w:rPr>
          <w:rtl/>
          <w:lang w:bidi="fa-IR"/>
        </w:rPr>
        <w:t xml:space="preserve">فَانْصَرَفْتُ إِلَى الرَّجُلِ ، فَأَخْبَرْتُهُ بِهذَا الْجَوَابِ ، فَقَالَ : هذَا شَيْ‌ءٌ حَمَلَتْهُ الْإِبِلُ مِنَ الْحِجَازِ </w:t>
      </w:r>
      <w:r w:rsidRPr="00D10E3C">
        <w:rPr>
          <w:rStyle w:val="libFootnotenumChar"/>
          <w:rtl/>
        </w:rPr>
        <w:t>(1)</w:t>
      </w:r>
      <w:r w:rsidR="00BC4F06">
        <w:rPr>
          <w:rFonts w:hint="cs"/>
          <w:rtl/>
          <w:lang w:bidi="fa-IR"/>
        </w:rPr>
        <w:t>.</w:t>
      </w:r>
      <w:r w:rsidRPr="00D10E3C">
        <w:rPr>
          <w:rStyle w:val="libFootnotenumChar"/>
          <w:rtl/>
        </w:rPr>
        <w:t>(2)</w:t>
      </w:r>
      <w:r>
        <w:rPr>
          <w:rtl/>
          <w:lang w:bidi="fa-IR"/>
        </w:rPr>
        <w:t>‌</w:t>
      </w:r>
    </w:p>
    <w:p w:rsidR="00744A1C" w:rsidRDefault="00744A1C" w:rsidP="00BC4F06">
      <w:pPr>
        <w:pStyle w:val="Heading2Center"/>
        <w:rPr>
          <w:lang w:bidi="fa-IR"/>
        </w:rPr>
      </w:pPr>
      <w:bookmarkStart w:id="27" w:name="_Toc49261325"/>
      <w:r>
        <w:rPr>
          <w:rtl/>
          <w:lang w:bidi="fa-IR"/>
        </w:rPr>
        <w:t>182 - بَابُ الْهَدْيِ يُنْتَجُ أَوْ يُحْلَبُ أَوْ يُرْكَبُ‌</w:t>
      </w:r>
      <w:bookmarkEnd w:id="27"/>
    </w:p>
    <w:p w:rsidR="00144FA6" w:rsidRDefault="00744A1C" w:rsidP="00744A1C">
      <w:pPr>
        <w:pStyle w:val="libNormal"/>
        <w:rPr>
          <w:rtl/>
          <w:lang w:bidi="fa-IR"/>
        </w:rPr>
      </w:pPr>
      <w:r>
        <w:rPr>
          <w:rtl/>
          <w:lang w:bidi="fa-IR"/>
        </w:rPr>
        <w:t>7861 / 1. مُحَمَّدُ بْنُ يَحْيى ، عَنْ أَحْمَدَ بْنِ مُحَمَّدٍ ، عَنْ مُحَمَّدِ بْنِ إِسْمَاعِيلَ ، عَنْ مُحَمَّدِ بْنِ الْفُضَيْلِ ، عَنْ أَبِي الصَّبَّاحِ الْكِنَانِيِّ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BC4F06">
        <w:rPr>
          <w:rStyle w:val="libAlaemChar"/>
          <w:rtl/>
        </w:rPr>
        <w:t>(</w:t>
      </w:r>
      <w:r w:rsidRPr="00BC4F06">
        <w:rPr>
          <w:rStyle w:val="libAieChar"/>
          <w:rtl/>
        </w:rPr>
        <w:t xml:space="preserve"> لَكُمْ فِيها مَنافِعُ إِلى أَجَلٍ مُسَمًّى </w:t>
      </w:r>
      <w:r w:rsidRPr="00BC4F06">
        <w:rPr>
          <w:rStyle w:val="libAlaemChar"/>
          <w:rtl/>
        </w:rPr>
        <w:t>)</w:t>
      </w:r>
      <w:r>
        <w:rPr>
          <w:rtl/>
          <w:lang w:bidi="fa-IR"/>
        </w:rPr>
        <w:t xml:space="preserve"> </w:t>
      </w:r>
      <w:r w:rsidRPr="00D10E3C">
        <w:rPr>
          <w:rStyle w:val="libFootnotenumChar"/>
          <w:rtl/>
        </w:rPr>
        <w:t>(3)</w:t>
      </w:r>
      <w:r>
        <w:rPr>
          <w:rtl/>
          <w:lang w:bidi="fa-IR"/>
        </w:rPr>
        <w:t xml:space="preserve"> قَالَ : « إِنِ احْتَاجَ إِلى ظَهْرِهَا ، رَكِبَهَا مِنْ غَيْرِ أَنْ يَعْنُفَ </w:t>
      </w:r>
      <w:r w:rsidRPr="00D10E3C">
        <w:rPr>
          <w:rStyle w:val="libFootnotenumChar"/>
          <w:rtl/>
        </w:rPr>
        <w:t>(4)</w:t>
      </w:r>
      <w:r>
        <w:rPr>
          <w:rtl/>
          <w:lang w:bidi="fa-IR"/>
        </w:rPr>
        <w:t xml:space="preserve"> عَلَيْهَا </w:t>
      </w:r>
      <w:r w:rsidRPr="00D10E3C">
        <w:rPr>
          <w:rStyle w:val="libFootnotenumChar"/>
          <w:rtl/>
        </w:rPr>
        <w:t>(5)</w:t>
      </w:r>
      <w:r>
        <w:rPr>
          <w:rtl/>
          <w:lang w:bidi="fa-IR"/>
        </w:rPr>
        <w:t xml:space="preserve"> ، وَإِنْ كَانَ لَهَا لَبَنٌ ، حَلَبَهَا حِلَاباً لَايَنْهَكُهَا </w:t>
      </w:r>
      <w:r w:rsidRPr="00D10E3C">
        <w:rPr>
          <w:rStyle w:val="libFootnotenumChar"/>
          <w:rtl/>
        </w:rPr>
        <w:t>(6)</w:t>
      </w:r>
      <w:r>
        <w:rPr>
          <w:rtl/>
          <w:lang w:bidi="fa-IR"/>
        </w:rPr>
        <w:t xml:space="preserve">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720DAE" w:rsidP="00D10E3C">
      <w:pPr>
        <w:pStyle w:val="libFootnote0"/>
        <w:rPr>
          <w:lang w:bidi="fa-IR"/>
        </w:rPr>
      </w:pPr>
      <w:r>
        <w:rPr>
          <w:rFonts w:hint="cs"/>
          <w:rtl/>
          <w:lang w:bidi="fa-IR"/>
        </w:rPr>
        <w:t xml:space="preserve">= </w:t>
      </w:r>
      <w:r w:rsidR="00744A1C">
        <w:rPr>
          <w:rtl/>
          <w:lang w:bidi="fa-IR"/>
        </w:rPr>
        <w:t>بُخْت و</w:t>
      </w:r>
      <w:r w:rsidR="00FA2DF2">
        <w:rPr>
          <w:rFonts w:hint="cs"/>
          <w:rtl/>
          <w:lang w:bidi="fa-IR"/>
        </w:rPr>
        <w:t xml:space="preserve"> </w:t>
      </w:r>
      <w:r w:rsidR="00744A1C">
        <w:rPr>
          <w:rtl/>
          <w:lang w:bidi="fa-IR"/>
        </w:rPr>
        <w:t xml:space="preserve">بَخاتيّ ، واللفظة معرّبة ». وقال ابن منظور : « البُخْتُ والبُخْتيّة : دخيل في العربيّة ، أعجميّ معرّب ، وهي الإبل الخراسانيّة ، تنتج من بين عربيّة وفالِج ، وبعضهم يقول : إنّ البخت عربيّ ... ويجمع على بُخْتٍ وبَخاتٍ. وقيل : الجمع : بَخاتيّ ، غير مصروف ». راجع : </w:t>
      </w:r>
      <w:r w:rsidR="00744A1C" w:rsidRPr="00E978C3">
        <w:rPr>
          <w:rStyle w:val="libFootnoteBoldChar"/>
          <w:rtl/>
        </w:rPr>
        <w:t>الصحاح</w:t>
      </w:r>
      <w:r w:rsidR="00744A1C">
        <w:rPr>
          <w:rtl/>
          <w:lang w:bidi="fa-IR"/>
        </w:rPr>
        <w:t xml:space="preserve"> ، ج 1 ، ص 243 ؛ </w:t>
      </w:r>
      <w:r w:rsidR="00744A1C" w:rsidRPr="00877682">
        <w:rPr>
          <w:rStyle w:val="libFootnoteBoldChar"/>
          <w:rtl/>
        </w:rPr>
        <w:t>النهاية</w:t>
      </w:r>
      <w:r w:rsidR="00744A1C">
        <w:rPr>
          <w:rtl/>
          <w:lang w:bidi="fa-IR"/>
        </w:rPr>
        <w:t xml:space="preserve"> ، ج 1 ، ص 101 ؛ </w:t>
      </w:r>
      <w:r w:rsidR="00744A1C" w:rsidRPr="00877682">
        <w:rPr>
          <w:rStyle w:val="libFootnoteBoldChar"/>
          <w:rtl/>
        </w:rPr>
        <w:t>لسان العرب</w:t>
      </w:r>
      <w:r w:rsidR="00744A1C">
        <w:rPr>
          <w:rtl/>
          <w:lang w:bidi="fa-IR"/>
        </w:rPr>
        <w:t xml:space="preserve"> ، ج 2 ، ص 9 ( بخت ).</w:t>
      </w:r>
    </w:p>
    <w:p w:rsidR="00744A1C" w:rsidRDefault="00D10E3C" w:rsidP="00D10E3C">
      <w:pPr>
        <w:pStyle w:val="libFootnote0"/>
        <w:rPr>
          <w:lang w:bidi="fa-IR"/>
        </w:rPr>
      </w:pPr>
      <w:r>
        <w:rPr>
          <w:rtl/>
          <w:lang w:bidi="fa-IR"/>
        </w:rPr>
        <w:t>(1).</w:t>
      </w:r>
      <w:r w:rsidR="00744A1C">
        <w:rPr>
          <w:rtl/>
          <w:lang w:bidi="fa-IR"/>
        </w:rPr>
        <w:t xml:space="preserve"> في </w:t>
      </w:r>
      <w:r w:rsidR="00744A1C" w:rsidRPr="00A914B5">
        <w:rPr>
          <w:rStyle w:val="libFootnoteBoldChar"/>
          <w:rtl/>
        </w:rPr>
        <w:t>تفسير العيّاشي</w:t>
      </w:r>
      <w:r w:rsidR="00744A1C">
        <w:rPr>
          <w:rtl/>
          <w:lang w:bidi="fa-IR"/>
        </w:rPr>
        <w:t xml:space="preserve"> : + « عن رجل من البصريّين من الشارية ».</w:t>
      </w:r>
    </w:p>
    <w:p w:rsidR="00744A1C" w:rsidRDefault="00E378DD" w:rsidP="00E378DD">
      <w:pPr>
        <w:pStyle w:val="libFootnote0"/>
        <w:rPr>
          <w:lang w:bidi="fa-IR"/>
        </w:rPr>
      </w:pPr>
      <w:r>
        <w:rPr>
          <w:rtl/>
          <w:lang w:bidi="fa-IR"/>
        </w:rPr>
        <w:t>(2).</w:t>
      </w:r>
      <w:r w:rsidR="00744A1C">
        <w:rPr>
          <w:rtl/>
          <w:lang w:bidi="fa-IR"/>
        </w:rPr>
        <w:t xml:space="preserve"> </w:t>
      </w:r>
      <w:r w:rsidR="00744A1C" w:rsidRPr="00211914">
        <w:rPr>
          <w:rStyle w:val="libFootnoteBoldChar"/>
          <w:rtl/>
        </w:rPr>
        <w:t>الاختصاص</w:t>
      </w:r>
      <w:r w:rsidR="00744A1C">
        <w:rPr>
          <w:rtl/>
          <w:lang w:bidi="fa-IR"/>
        </w:rPr>
        <w:t xml:space="preserve"> ، ص 54 ، بسنده عن إبراهيم بن هاشم ، عن إبراهيم بن محمّد الهمداني ، عن السلمي. </w:t>
      </w:r>
      <w:r w:rsidR="00744A1C" w:rsidRPr="00C24F9C">
        <w:rPr>
          <w:rStyle w:val="libFootnoteBoldChar"/>
          <w:rtl/>
        </w:rPr>
        <w:t>الفقيه</w:t>
      </w:r>
      <w:r w:rsidR="00744A1C">
        <w:rPr>
          <w:rtl/>
          <w:lang w:bidi="fa-IR"/>
        </w:rPr>
        <w:t xml:space="preserve"> ، ج 2 ، ص 490 ، ح 3049 ، معلّقاً عن داود الرقّي. </w:t>
      </w:r>
      <w:r w:rsidR="00744A1C" w:rsidRPr="00A914B5">
        <w:rPr>
          <w:rStyle w:val="libFootnoteBoldChar"/>
          <w:rtl/>
        </w:rPr>
        <w:t>تفسير العيّاشي</w:t>
      </w:r>
      <w:r w:rsidR="00744A1C">
        <w:rPr>
          <w:rtl/>
          <w:lang w:bidi="fa-IR"/>
        </w:rPr>
        <w:t xml:space="preserve"> ، ج 1 ، ص 381 ، ح 116 ، عن داود الرقّي ، وفي كلّها مع اختلاف يسير. راجع : </w:t>
      </w:r>
      <w:r w:rsidR="00744A1C" w:rsidRPr="00A914B5">
        <w:rPr>
          <w:rStyle w:val="libFootnoteBoldChar"/>
          <w:rtl/>
        </w:rPr>
        <w:t>تفسير العيّاشي</w:t>
      </w:r>
      <w:r w:rsidR="00744A1C">
        <w:rPr>
          <w:rtl/>
          <w:lang w:bidi="fa-IR"/>
        </w:rPr>
        <w:t xml:space="preserve"> ، ج 1 ، ص 147 ، ح 26 ؛ و</w:t>
      </w:r>
      <w:r w:rsidR="00744A1C" w:rsidRPr="00610FB4">
        <w:rPr>
          <w:rStyle w:val="libFootnoteBoldChar"/>
          <w:rtl/>
        </w:rPr>
        <w:t>تفسير القمّي</w:t>
      </w:r>
      <w:r w:rsidR="00744A1C">
        <w:rPr>
          <w:rtl/>
          <w:lang w:bidi="fa-IR"/>
        </w:rPr>
        <w:t xml:space="preserve"> ، ج 1 ، ص 219 </w:t>
      </w:r>
      <w:r w:rsidR="00FA2DF2">
        <w:rPr>
          <w:rFonts w:hint="cs"/>
          <w:rtl/>
          <w:lang w:bidi="fa-IR"/>
        </w:rPr>
        <w:t>.</w:t>
      </w:r>
      <w:r w:rsidR="00744A1C" w:rsidRPr="00C24F9C">
        <w:rPr>
          <w:rStyle w:val="libFootnoteBoldChar"/>
          <w:rtl/>
        </w:rPr>
        <w:t>الوافي</w:t>
      </w:r>
      <w:r w:rsidR="00744A1C">
        <w:rPr>
          <w:rtl/>
          <w:lang w:bidi="fa-IR"/>
        </w:rPr>
        <w:t xml:space="preserve"> ، ج 13 ، ص 1117 ، ح 13882 ؛ </w:t>
      </w:r>
      <w:r w:rsidR="00744A1C" w:rsidRPr="00C24F9C">
        <w:rPr>
          <w:rStyle w:val="libFootnoteBoldChar"/>
          <w:rtl/>
        </w:rPr>
        <w:t>الوسائل</w:t>
      </w:r>
      <w:r w:rsidR="00744A1C">
        <w:rPr>
          <w:rtl/>
          <w:lang w:bidi="fa-IR"/>
        </w:rPr>
        <w:t xml:space="preserve"> ، ج 14 ، ص 96 ، ح 18688 ؛ </w:t>
      </w:r>
      <w:r w:rsidR="00744A1C" w:rsidRPr="0061079A">
        <w:rPr>
          <w:rStyle w:val="libFootnoteBoldChar"/>
          <w:rtl/>
        </w:rPr>
        <w:t>البحار</w:t>
      </w:r>
      <w:r w:rsidR="00744A1C">
        <w:rPr>
          <w:rtl/>
          <w:lang w:bidi="fa-IR"/>
        </w:rPr>
        <w:t xml:space="preserve"> ، ج 47 ، ص 221 ، ح 8.</w:t>
      </w:r>
    </w:p>
    <w:p w:rsidR="00744A1C" w:rsidRDefault="00E378DD" w:rsidP="00E378DD">
      <w:pPr>
        <w:pStyle w:val="libFootnote0"/>
        <w:rPr>
          <w:lang w:bidi="fa-IR"/>
        </w:rPr>
      </w:pPr>
      <w:r>
        <w:rPr>
          <w:rtl/>
          <w:lang w:bidi="fa-IR"/>
        </w:rPr>
        <w:t>(3).</w:t>
      </w:r>
      <w:r w:rsidR="00744A1C">
        <w:rPr>
          <w:rtl/>
          <w:lang w:bidi="fa-IR"/>
        </w:rPr>
        <w:t xml:space="preserve"> الحجّ (22) : 33.</w:t>
      </w:r>
    </w:p>
    <w:p w:rsidR="00744A1C" w:rsidRDefault="00E378DD" w:rsidP="00E378DD">
      <w:pPr>
        <w:pStyle w:val="libFootnote0"/>
        <w:rPr>
          <w:lang w:bidi="fa-IR"/>
        </w:rPr>
      </w:pPr>
      <w:r>
        <w:rPr>
          <w:rtl/>
          <w:lang w:bidi="fa-IR"/>
        </w:rPr>
        <w:t>(4).</w:t>
      </w:r>
      <w:r w:rsidR="00744A1C">
        <w:rPr>
          <w:rtl/>
          <w:lang w:bidi="fa-IR"/>
        </w:rPr>
        <w:t xml:space="preserve"> « أن يعنف » ، من العُنْف ، وهو ضدّ الرفق. </w:t>
      </w:r>
      <w:r w:rsidR="00744A1C" w:rsidRPr="00E978C3">
        <w:rPr>
          <w:rStyle w:val="libFootnoteBoldChar"/>
          <w:rtl/>
        </w:rPr>
        <w:t>الصحاح</w:t>
      </w:r>
      <w:r w:rsidR="00744A1C">
        <w:rPr>
          <w:rtl/>
          <w:lang w:bidi="fa-IR"/>
        </w:rPr>
        <w:t xml:space="preserve"> ، ج 4 ، ص 1407 ( عنف ).</w:t>
      </w:r>
    </w:p>
    <w:p w:rsidR="00744A1C" w:rsidRDefault="00E378DD" w:rsidP="00E378DD">
      <w:pPr>
        <w:pStyle w:val="libFootnote0"/>
        <w:rPr>
          <w:lang w:bidi="fa-IR"/>
        </w:rPr>
      </w:pPr>
      <w:r>
        <w:rPr>
          <w:rtl/>
          <w:lang w:bidi="fa-IR"/>
        </w:rPr>
        <w:t>(5).</w:t>
      </w:r>
      <w:r w:rsidR="00744A1C">
        <w:rPr>
          <w:rtl/>
          <w:lang w:bidi="fa-IR"/>
        </w:rPr>
        <w:t xml:space="preserve"> في « بخ ، بف » و</w:t>
      </w:r>
      <w:r w:rsidR="00744A1C" w:rsidRPr="00C24F9C">
        <w:rPr>
          <w:rStyle w:val="libFootnoteBoldChar"/>
          <w:rtl/>
        </w:rPr>
        <w:t>الوافي</w:t>
      </w:r>
      <w:r w:rsidR="00744A1C">
        <w:rPr>
          <w:rtl/>
          <w:lang w:bidi="fa-IR"/>
        </w:rPr>
        <w:t xml:space="preserve"> : « بها ».</w:t>
      </w:r>
    </w:p>
    <w:p w:rsidR="00744A1C" w:rsidRDefault="00E378DD" w:rsidP="00E378DD">
      <w:pPr>
        <w:pStyle w:val="libFootnote0"/>
        <w:rPr>
          <w:lang w:bidi="fa-IR"/>
        </w:rPr>
      </w:pPr>
      <w:r>
        <w:rPr>
          <w:rtl/>
          <w:lang w:bidi="fa-IR"/>
        </w:rPr>
        <w:t>(6).</w:t>
      </w:r>
      <w:r w:rsidR="00744A1C">
        <w:rPr>
          <w:rtl/>
          <w:lang w:bidi="fa-IR"/>
        </w:rPr>
        <w:t xml:space="preserve"> النَّهْكُ : المبالغة في الشي‌ء. والمراد هنا المبالغة في الحلب ، يقال : نهكتُ الناقةَ حَلَباً أنهكها ، إذا لم تُبقِ في ضرعها لبناً. راجع : </w:t>
      </w:r>
      <w:r w:rsidR="00744A1C" w:rsidRPr="00877682">
        <w:rPr>
          <w:rStyle w:val="libFootnoteBoldChar"/>
          <w:rtl/>
        </w:rPr>
        <w:t>النهاية</w:t>
      </w:r>
      <w:r w:rsidR="00744A1C">
        <w:rPr>
          <w:rtl/>
          <w:lang w:bidi="fa-IR"/>
        </w:rPr>
        <w:t xml:space="preserve"> ، ج 5 ، ص 137 ؛ </w:t>
      </w:r>
      <w:r w:rsidR="00744A1C" w:rsidRPr="00E978C3">
        <w:rPr>
          <w:rStyle w:val="libFootnoteBoldChar"/>
          <w:rtl/>
        </w:rPr>
        <w:t>المصباح المنير</w:t>
      </w:r>
      <w:r w:rsidR="00744A1C">
        <w:rPr>
          <w:rtl/>
          <w:lang w:bidi="fa-IR"/>
        </w:rPr>
        <w:t xml:space="preserve"> ، ص 628 ( نهك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والخبر يدلّ على جواز ركوب الهدي ما لم يضرّ به ، وشرب لبنه ما لم يضرّ بولده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220 ، ح 742 ، معلّقاً عن الكليني. </w:t>
      </w:r>
      <w:r w:rsidR="00744A1C" w:rsidRPr="00C24F9C">
        <w:rPr>
          <w:rStyle w:val="libFootnoteBoldChar"/>
          <w:rtl/>
        </w:rPr>
        <w:t>الفقيه</w:t>
      </w:r>
      <w:r w:rsidR="00744A1C">
        <w:rPr>
          <w:rtl/>
          <w:lang w:bidi="fa-IR"/>
        </w:rPr>
        <w:t xml:space="preserve"> ، ج 2 ، ص 504 ، ح 3088 ، بسند آخر ، من </w:t>
      </w:r>
      <w:r w:rsidR="00FA2DF2">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7862 / 2. عِدَّةٌ مِنْ أَصْحَابِنَا ، عَنْ أَحْمَدَ بْنِ مُحَمَّدٍ ، عَنِ الْحُسَيْنِ بْنِ سَعِيدٍ ، عَنِ النَّضْرِ بْنِ سُوَيْدٍ ، عَنْ هِشَامِ بْنِ سَالِمٍ ، عَنْ سُلَيْمَانَ بْنِ خَالِدٍ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نُتِجَتْ بَدَنَتُكَ ، فَاحْلُبْهَا مَا لَايُضِرُّ </w:t>
      </w:r>
      <w:r w:rsidRPr="00D10E3C">
        <w:rPr>
          <w:rStyle w:val="libFootnotenumChar"/>
          <w:rtl/>
        </w:rPr>
        <w:t>(1)</w:t>
      </w:r>
      <w:r>
        <w:rPr>
          <w:rtl/>
          <w:lang w:bidi="fa-IR"/>
        </w:rPr>
        <w:t xml:space="preserve"> بِوَلَدِهَا ، ثُمَّ انْحَرْهُمَا جَمِيعاً ».</w:t>
      </w:r>
    </w:p>
    <w:p w:rsidR="00744A1C" w:rsidRDefault="00744A1C" w:rsidP="00744A1C">
      <w:pPr>
        <w:pStyle w:val="libNormal"/>
        <w:rPr>
          <w:lang w:bidi="fa-IR"/>
        </w:rPr>
      </w:pPr>
      <w:r>
        <w:rPr>
          <w:rtl/>
          <w:lang w:bidi="fa-IR"/>
        </w:rPr>
        <w:t>قُلْتُ : أَشْرَبُ مِنْ لَبَنِهَا ، وَأَسْقِي؟</w:t>
      </w:r>
    </w:p>
    <w:p w:rsidR="00144FA6" w:rsidRDefault="00744A1C" w:rsidP="00744A1C">
      <w:pPr>
        <w:pStyle w:val="libNormal"/>
        <w:rPr>
          <w:rtl/>
          <w:lang w:bidi="fa-IR"/>
        </w:rPr>
      </w:pPr>
      <w:r>
        <w:rPr>
          <w:rtl/>
          <w:lang w:bidi="fa-IR"/>
        </w:rPr>
        <w:t xml:space="preserve">قَالَ : « نَعَمْ » وَقَالَ : « إِنَّ عَلِيّاً </w:t>
      </w:r>
      <w:r w:rsidRPr="00D10E3C">
        <w:rPr>
          <w:rStyle w:val="libFootnotenumChar"/>
          <w:rtl/>
        </w:rPr>
        <w:t>(2)</w:t>
      </w:r>
      <w:r>
        <w:rPr>
          <w:rtl/>
          <w:lang w:bidi="fa-IR"/>
        </w:rPr>
        <w:t xml:space="preserve"> أَمِيرَ الْمُؤْمِنِينَ </w:t>
      </w:r>
      <w:r w:rsidRPr="00D10E3C">
        <w:rPr>
          <w:rStyle w:val="libFootnotenumChar"/>
          <w:rtl/>
        </w:rPr>
        <w:t>(3)</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كَانَ </w:t>
      </w:r>
      <w:r w:rsidRPr="00D10E3C">
        <w:rPr>
          <w:rStyle w:val="libFootnotenumChar"/>
          <w:rtl/>
        </w:rPr>
        <w:t>(4)</w:t>
      </w:r>
      <w:r>
        <w:rPr>
          <w:rtl/>
          <w:lang w:bidi="fa-IR"/>
        </w:rPr>
        <w:t xml:space="preserve"> إِذَا رَأى أُنَاساً </w:t>
      </w:r>
      <w:r w:rsidRPr="00D10E3C">
        <w:rPr>
          <w:rStyle w:val="libFootnotenumChar"/>
          <w:rtl/>
        </w:rPr>
        <w:t>(5)</w:t>
      </w:r>
      <w:r>
        <w:rPr>
          <w:rtl/>
          <w:lang w:bidi="fa-IR"/>
        </w:rPr>
        <w:t xml:space="preserve"> يَمْشُونَ قَدْ جَهَدَهُمُ الْمَشْيُ ، حَمَلَهُمْ عَلى بُدْنِهِ </w:t>
      </w:r>
      <w:r w:rsidRPr="00D10E3C">
        <w:rPr>
          <w:rStyle w:val="libFootnotenumChar"/>
          <w:rtl/>
        </w:rPr>
        <w:t>(6)</w:t>
      </w:r>
      <w:r>
        <w:rPr>
          <w:rtl/>
          <w:lang w:bidi="fa-IR"/>
        </w:rPr>
        <w:t xml:space="preserve"> » وَقَالَ : « إِنْ ضَلَّتْ رَاحِلَةُ </w:t>
      </w:r>
      <w:r w:rsidRPr="00D10E3C">
        <w:rPr>
          <w:rStyle w:val="libFootnotenumChar"/>
          <w:rtl/>
        </w:rPr>
        <w:t>(7)</w:t>
      </w:r>
      <w:r>
        <w:rPr>
          <w:rtl/>
          <w:lang w:bidi="fa-IR"/>
        </w:rPr>
        <w:t xml:space="preserve"> الرَّجُلِ ، أَوْ هَلَكَتْ وَمَعَهُ هَدْيٌ ، فَلْيَرْكَبْ </w:t>
      </w:r>
      <w:r w:rsidRPr="00D10E3C">
        <w:rPr>
          <w:rStyle w:val="libFootnotenumChar"/>
          <w:rtl/>
        </w:rPr>
        <w:t>(8)</w:t>
      </w:r>
      <w:r>
        <w:rPr>
          <w:rtl/>
          <w:lang w:bidi="fa-IR"/>
        </w:rPr>
        <w:t xml:space="preserve"> عَلى هَدْيِهِ ». </w:t>
      </w:r>
      <w:r w:rsidRPr="00D10E3C">
        <w:rPr>
          <w:rStyle w:val="libFootnotenumChar"/>
          <w:rtl/>
        </w:rPr>
        <w:t>(9)</w:t>
      </w:r>
    </w:p>
    <w:p w:rsidR="00144FA6" w:rsidRDefault="00744A1C" w:rsidP="00744A1C">
      <w:pPr>
        <w:pStyle w:val="libNormal"/>
        <w:rPr>
          <w:rtl/>
          <w:lang w:bidi="fa-IR"/>
        </w:rPr>
      </w:pPr>
      <w:r>
        <w:rPr>
          <w:rtl/>
          <w:lang w:bidi="fa-IR"/>
        </w:rPr>
        <w:t>7863 / 3. مُحَمَّدُ بْنُ يَحْيى ، عَنْ أَحْمَدَ بْنِ مُحَمَّدٍ ، عَنْ عَلِيِّ بْنِ الْحَكَمِ ، عَنِ الْعَلَاءِ ، عَنْ مُحَمَّدِ بْنِ مُسْلِمٍ :</w:t>
      </w:r>
    </w:p>
    <w:p w:rsidR="00744A1C" w:rsidRDefault="00744A1C" w:rsidP="00D10E3C">
      <w:pPr>
        <w:pStyle w:val="libLine"/>
        <w:rPr>
          <w:lang w:bidi="fa-IR"/>
        </w:rPr>
      </w:pPr>
      <w:r>
        <w:rPr>
          <w:rtl/>
          <w:lang w:bidi="fa-IR"/>
        </w:rPr>
        <w:t>____________________</w:t>
      </w:r>
    </w:p>
    <w:p w:rsidR="00744A1C" w:rsidRDefault="00E85821" w:rsidP="00D10E3C">
      <w:pPr>
        <w:pStyle w:val="libFootnote0"/>
        <w:rPr>
          <w:lang w:bidi="fa-IR"/>
        </w:rPr>
      </w:pPr>
      <w:r>
        <w:rPr>
          <w:rFonts w:hint="cs"/>
          <w:rtl/>
          <w:lang w:bidi="fa-IR"/>
        </w:rPr>
        <w:t xml:space="preserve">= </w:t>
      </w:r>
      <w:r w:rsidR="00744A1C">
        <w:rPr>
          <w:rtl/>
          <w:lang w:bidi="fa-IR"/>
        </w:rPr>
        <w:t xml:space="preserve">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وفيه ، ح 3086 ، بسند آخر ، من قوله : « إن احتاج » إلى قوله : « يعنف عليها » ؛ تفسير القميّ ، ج 2 ، ص 84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وفيهما مع اختلاف </w:t>
      </w:r>
      <w:r>
        <w:rPr>
          <w:rFonts w:hint="cs"/>
          <w:rtl/>
          <w:lang w:bidi="fa-IR"/>
        </w:rPr>
        <w:t>.</w:t>
      </w:r>
      <w:r w:rsidR="00744A1C" w:rsidRPr="00C24F9C">
        <w:rPr>
          <w:rStyle w:val="libFootnoteBoldChar"/>
          <w:rtl/>
        </w:rPr>
        <w:t>الوافي</w:t>
      </w:r>
      <w:r w:rsidR="00744A1C">
        <w:rPr>
          <w:rtl/>
          <w:lang w:bidi="fa-IR"/>
        </w:rPr>
        <w:t xml:space="preserve"> ، ج 14 ، ص 1151 ، ح 13978 ؛ </w:t>
      </w:r>
      <w:r w:rsidR="00744A1C" w:rsidRPr="00C24F9C">
        <w:rPr>
          <w:rStyle w:val="libFootnoteBoldChar"/>
          <w:rtl/>
        </w:rPr>
        <w:t>الوسائل</w:t>
      </w:r>
      <w:r w:rsidR="00744A1C">
        <w:rPr>
          <w:rtl/>
          <w:lang w:bidi="fa-IR"/>
        </w:rPr>
        <w:t xml:space="preserve"> ، ج 14 ، ص 147 ، ذيل ح 18834.</w:t>
      </w:r>
    </w:p>
    <w:p w:rsidR="00744A1C" w:rsidRDefault="00D10E3C" w:rsidP="00D10E3C">
      <w:pPr>
        <w:pStyle w:val="libFootnote0"/>
        <w:rPr>
          <w:lang w:bidi="fa-IR"/>
        </w:rPr>
      </w:pPr>
      <w:r>
        <w:rPr>
          <w:rtl/>
          <w:lang w:bidi="fa-IR"/>
        </w:rPr>
        <w:t>(1).</w:t>
      </w:r>
      <w:r w:rsidR="00744A1C">
        <w:rPr>
          <w:rtl/>
          <w:lang w:bidi="fa-IR"/>
        </w:rPr>
        <w:t xml:space="preserve"> في « بح » : « لم تضرّ ». وفي « بث » : « لا تضرّ ». وفي </w:t>
      </w:r>
      <w:r w:rsidR="00744A1C" w:rsidRPr="00C24F9C">
        <w:rPr>
          <w:rStyle w:val="libFootnoteBoldChar"/>
          <w:rtl/>
        </w:rPr>
        <w:t>التهذيب</w:t>
      </w:r>
      <w:r w:rsidR="00744A1C">
        <w:rPr>
          <w:rtl/>
          <w:lang w:bidi="fa-IR"/>
        </w:rPr>
        <w:t xml:space="preserve"> : « لم يضرّ ».</w:t>
      </w:r>
    </w:p>
    <w:tbl>
      <w:tblPr>
        <w:tblStyle w:val="TableGrid"/>
        <w:bidiVisual/>
        <w:tblW w:w="0" w:type="auto"/>
        <w:tblLook w:val="04A0" w:firstRow="1" w:lastRow="0" w:firstColumn="1" w:lastColumn="0" w:noHBand="0" w:noVBand="1"/>
      </w:tblPr>
      <w:tblGrid>
        <w:gridCol w:w="4006"/>
        <w:gridCol w:w="4006"/>
      </w:tblGrid>
      <w:tr w:rsidR="00E85821" w:rsidTr="00E85821">
        <w:tc>
          <w:tcPr>
            <w:tcW w:w="4006" w:type="dxa"/>
          </w:tcPr>
          <w:p w:rsidR="00E85821" w:rsidRDefault="00E85821" w:rsidP="00E378DD">
            <w:pPr>
              <w:pStyle w:val="libFootnote0"/>
              <w:rPr>
                <w:rtl/>
                <w:lang w:bidi="fa-IR"/>
              </w:rPr>
            </w:pPr>
            <w:r>
              <w:rPr>
                <w:rtl/>
                <w:lang w:bidi="fa-IR"/>
              </w:rPr>
              <w:t>(2). في « بث » و</w:t>
            </w:r>
            <w:r w:rsidRPr="00C24F9C">
              <w:rPr>
                <w:rStyle w:val="libFootnoteBoldChar"/>
                <w:rtl/>
              </w:rPr>
              <w:t>الوافي</w:t>
            </w:r>
            <w:r>
              <w:rPr>
                <w:rtl/>
                <w:lang w:bidi="fa-IR"/>
              </w:rPr>
              <w:t xml:space="preserve"> : - « عليّاً ».</w:t>
            </w:r>
          </w:p>
        </w:tc>
        <w:tc>
          <w:tcPr>
            <w:tcW w:w="4006" w:type="dxa"/>
          </w:tcPr>
          <w:p w:rsidR="00E85821" w:rsidRDefault="00E85821" w:rsidP="00E378DD">
            <w:pPr>
              <w:pStyle w:val="libFootnote0"/>
              <w:rPr>
                <w:rtl/>
                <w:lang w:bidi="fa-IR"/>
              </w:rPr>
            </w:pPr>
            <w:r>
              <w:rPr>
                <w:rtl/>
                <w:lang w:bidi="fa-IR"/>
              </w:rPr>
              <w:t xml:space="preserve">(3). في </w:t>
            </w:r>
            <w:r w:rsidRPr="00C24F9C">
              <w:rPr>
                <w:rStyle w:val="libFootnoteBoldChar"/>
                <w:rtl/>
              </w:rPr>
              <w:t>الوسائل</w:t>
            </w:r>
            <w:r>
              <w:rPr>
                <w:rtl/>
                <w:lang w:bidi="fa-IR"/>
              </w:rPr>
              <w:t xml:space="preserve"> : - « أمير المؤمنين ».</w:t>
            </w:r>
          </w:p>
        </w:tc>
      </w:tr>
    </w:tbl>
    <w:p w:rsidR="00744A1C" w:rsidRDefault="00E378DD" w:rsidP="00E378DD">
      <w:pPr>
        <w:pStyle w:val="libFootnote0"/>
        <w:rPr>
          <w:lang w:bidi="fa-IR"/>
        </w:rPr>
      </w:pPr>
      <w:r>
        <w:rPr>
          <w:rtl/>
          <w:lang w:bidi="fa-IR"/>
        </w:rPr>
        <w:t>(4).</w:t>
      </w:r>
      <w:r w:rsidR="00744A1C">
        <w:rPr>
          <w:rtl/>
          <w:lang w:bidi="fa-IR"/>
        </w:rPr>
        <w:t xml:space="preserve"> في « بخ » و</w:t>
      </w:r>
      <w:r w:rsidR="00744A1C" w:rsidRPr="00C24F9C">
        <w:rPr>
          <w:rStyle w:val="libFootnoteBoldChar"/>
          <w:rtl/>
        </w:rPr>
        <w:t>الوافي</w:t>
      </w:r>
      <w:r w:rsidR="00744A1C">
        <w:rPr>
          <w:rtl/>
          <w:lang w:bidi="fa-IR"/>
        </w:rPr>
        <w:t xml:space="preserve"> : - « كان ».</w:t>
      </w:r>
    </w:p>
    <w:p w:rsidR="00744A1C" w:rsidRDefault="00E378DD" w:rsidP="00E378DD">
      <w:pPr>
        <w:pStyle w:val="libFootnote0"/>
        <w:rPr>
          <w:lang w:bidi="fa-IR"/>
        </w:rPr>
      </w:pPr>
      <w:r>
        <w:rPr>
          <w:rtl/>
          <w:lang w:bidi="fa-IR"/>
        </w:rPr>
        <w:t>(5).</w:t>
      </w:r>
      <w:r w:rsidR="00744A1C">
        <w:rPr>
          <w:rtl/>
          <w:lang w:bidi="fa-IR"/>
        </w:rPr>
        <w:t xml:space="preserve"> في « ى ، بث ، بح ، بخ ، بف ، جد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 ناساً ».</w:t>
      </w:r>
    </w:p>
    <w:p w:rsidR="00744A1C" w:rsidRDefault="00E378DD" w:rsidP="00E378DD">
      <w:pPr>
        <w:pStyle w:val="libFootnote0"/>
        <w:rPr>
          <w:lang w:bidi="fa-IR"/>
        </w:rPr>
      </w:pPr>
      <w:r>
        <w:rPr>
          <w:rtl/>
          <w:lang w:bidi="fa-IR"/>
        </w:rPr>
        <w:t>(6).</w:t>
      </w:r>
      <w:r w:rsidR="00744A1C">
        <w:rPr>
          <w:rtl/>
          <w:lang w:bidi="fa-IR"/>
        </w:rPr>
        <w:t xml:space="preserve"> في « جن » و</w:t>
      </w:r>
      <w:r w:rsidR="00744A1C" w:rsidRPr="00C24F9C">
        <w:rPr>
          <w:rStyle w:val="libFootnoteBoldChar"/>
          <w:rtl/>
        </w:rPr>
        <w:t>الوافي</w:t>
      </w:r>
      <w:r w:rsidR="00744A1C">
        <w:rPr>
          <w:rtl/>
          <w:lang w:bidi="fa-IR"/>
        </w:rPr>
        <w:t xml:space="preserve"> : « بدنة ».</w:t>
      </w:r>
    </w:p>
    <w:p w:rsidR="00744A1C" w:rsidRDefault="00E378DD" w:rsidP="00E85821">
      <w:pPr>
        <w:pStyle w:val="libFootnote0"/>
        <w:rPr>
          <w:lang w:bidi="fa-IR"/>
        </w:rPr>
      </w:pPr>
      <w:r>
        <w:rPr>
          <w:rtl/>
          <w:lang w:bidi="fa-IR"/>
        </w:rPr>
        <w:t>(7).</w:t>
      </w:r>
      <w:r w:rsidR="00744A1C">
        <w:rPr>
          <w:rtl/>
          <w:lang w:bidi="fa-IR"/>
        </w:rPr>
        <w:t xml:space="preserve"> قال الجوهري : « الراحلة : المركب من الإبل ، ذكراً كان أو ا</w:t>
      </w:r>
      <w:r w:rsidR="00E85821">
        <w:rPr>
          <w:rFonts w:hint="cs"/>
          <w:rtl/>
          <w:lang w:bidi="fa-IR"/>
        </w:rPr>
        <w:t>ُ</w:t>
      </w:r>
      <w:r w:rsidR="00744A1C">
        <w:rPr>
          <w:rtl/>
          <w:lang w:bidi="fa-IR"/>
        </w:rPr>
        <w:t>نثى ». وقال ابن الأثير : « الراحلة من الإبل : البعير القويّ على الأسفار والأحمال ، والذكر والا</w:t>
      </w:r>
      <w:r w:rsidR="00E85821">
        <w:rPr>
          <w:rFonts w:hint="cs"/>
          <w:rtl/>
          <w:lang w:bidi="fa-IR"/>
        </w:rPr>
        <w:t>ُ</w:t>
      </w:r>
      <w:r w:rsidR="00744A1C">
        <w:rPr>
          <w:rtl/>
          <w:lang w:bidi="fa-IR"/>
        </w:rPr>
        <w:t xml:space="preserve">نثى فيه سواء ، والهاء فيها للمبالغة ، وهي التي يختارها الرجل لمركبه ورحله على النجابة وتمام الخَلْق وحسن المنظر ، فإذا كانت في جماعة الإبل عُرفت ». </w:t>
      </w:r>
      <w:r w:rsidR="00744A1C" w:rsidRPr="00E978C3">
        <w:rPr>
          <w:rStyle w:val="libFootnoteBoldChar"/>
          <w:rtl/>
        </w:rPr>
        <w:t>الصحاح</w:t>
      </w:r>
      <w:r w:rsidR="00744A1C">
        <w:rPr>
          <w:rtl/>
          <w:lang w:bidi="fa-IR"/>
        </w:rPr>
        <w:t xml:space="preserve"> ، ج 4 ، ص 1707 ؛ </w:t>
      </w:r>
      <w:r w:rsidR="00744A1C" w:rsidRPr="00877682">
        <w:rPr>
          <w:rStyle w:val="libFootnoteBoldChar"/>
          <w:rtl/>
        </w:rPr>
        <w:t>النهاية</w:t>
      </w:r>
      <w:r w:rsidR="00744A1C">
        <w:rPr>
          <w:rtl/>
          <w:lang w:bidi="fa-IR"/>
        </w:rPr>
        <w:t xml:space="preserve"> ، ج 2 ، ص 209 ( رحل ).</w:t>
      </w:r>
      <w:r w:rsidR="00E85821">
        <w:rPr>
          <w:rFonts w:hint="cs"/>
          <w:rtl/>
          <w:lang w:bidi="fa-IR"/>
        </w:rPr>
        <w:t xml:space="preserve">                               </w:t>
      </w:r>
      <w:r>
        <w:rPr>
          <w:rtl/>
          <w:lang w:bidi="fa-IR"/>
        </w:rPr>
        <w:t>(8).</w:t>
      </w:r>
      <w:r w:rsidR="00744A1C">
        <w:rPr>
          <w:rtl/>
          <w:lang w:bidi="fa-IR"/>
        </w:rPr>
        <w:t xml:space="preserve"> في « جن » : « فيركب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220 ، ح 741 ، معلّقاً عن الكليني ، إلى قوله : « قال : نعم ». </w:t>
      </w:r>
      <w:r w:rsidR="00744A1C" w:rsidRPr="00C24F9C">
        <w:rPr>
          <w:rStyle w:val="libFootnoteBoldChar"/>
          <w:rtl/>
        </w:rPr>
        <w:t>الفقيه</w:t>
      </w:r>
      <w:r w:rsidR="00744A1C">
        <w:rPr>
          <w:rtl/>
          <w:lang w:bidi="fa-IR"/>
        </w:rPr>
        <w:t xml:space="preserve"> ، ج 2 ، ص 504 ، ح 3085 ، بسند آخر ، من قوله : « إنّ عليّاً أميرالمؤمنين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E85821">
        <w:rPr>
          <w:rFonts w:hint="cs"/>
          <w:rtl/>
          <w:lang w:bidi="fa-IR"/>
        </w:rPr>
        <w:t>.</w:t>
      </w:r>
      <w:r w:rsidR="00744A1C" w:rsidRPr="00C24F9C">
        <w:rPr>
          <w:rStyle w:val="libFootnoteBoldChar"/>
          <w:rtl/>
        </w:rPr>
        <w:t>الوافي</w:t>
      </w:r>
      <w:r w:rsidR="00744A1C">
        <w:rPr>
          <w:rtl/>
          <w:lang w:bidi="fa-IR"/>
        </w:rPr>
        <w:t xml:space="preserve"> ، ج 14 ، ص 1152 ، ح 13980 ؛ </w:t>
      </w:r>
      <w:r w:rsidR="00744A1C" w:rsidRPr="00C24F9C">
        <w:rPr>
          <w:rStyle w:val="libFootnoteBoldChar"/>
          <w:rtl/>
        </w:rPr>
        <w:t>الوسائل</w:t>
      </w:r>
      <w:r w:rsidR="00744A1C">
        <w:rPr>
          <w:rtl/>
          <w:lang w:bidi="fa-IR"/>
        </w:rPr>
        <w:t xml:space="preserve"> ، ج 14 ، ص 147 ، ح 18835.</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سَأَلْتُهُ عَنِ الْبَدَنَةِ تُنْتَجُ : أَنَحْلُبُهَا </w:t>
      </w:r>
      <w:r w:rsidRPr="00D10E3C">
        <w:rPr>
          <w:rStyle w:val="libFootnotenumChar"/>
          <w:rtl/>
        </w:rPr>
        <w:t>(1)</w:t>
      </w:r>
      <w:r>
        <w:rPr>
          <w:rtl/>
          <w:lang w:bidi="fa-IR"/>
        </w:rPr>
        <w:t>؟</w:t>
      </w:r>
    </w:p>
    <w:p w:rsidR="00744A1C" w:rsidRDefault="00744A1C" w:rsidP="00744A1C">
      <w:pPr>
        <w:pStyle w:val="libNormal"/>
        <w:rPr>
          <w:lang w:bidi="fa-IR"/>
        </w:rPr>
      </w:pPr>
      <w:r>
        <w:rPr>
          <w:rtl/>
          <w:lang w:bidi="fa-IR"/>
        </w:rPr>
        <w:t xml:space="preserve">قَالَ : « احْلُبْهَا حَلْباً </w:t>
      </w:r>
      <w:r w:rsidRPr="00D10E3C">
        <w:rPr>
          <w:rStyle w:val="libFootnotenumChar"/>
          <w:rtl/>
        </w:rPr>
        <w:t>(2)</w:t>
      </w:r>
      <w:r>
        <w:rPr>
          <w:rtl/>
          <w:lang w:bidi="fa-IR"/>
        </w:rPr>
        <w:t xml:space="preserve"> غَيْرَ مُضِرٍّ بِالْوَلَدِ ، ثُمَّ انْحَرْهُمَا جَمِيعاً ».</w:t>
      </w:r>
    </w:p>
    <w:p w:rsidR="00744A1C" w:rsidRDefault="00744A1C" w:rsidP="00744A1C">
      <w:pPr>
        <w:pStyle w:val="libNormal"/>
        <w:rPr>
          <w:lang w:bidi="fa-IR"/>
        </w:rPr>
      </w:pPr>
      <w:r>
        <w:rPr>
          <w:rtl/>
          <w:lang w:bidi="fa-IR"/>
        </w:rPr>
        <w:t xml:space="preserve">قُلْتُ : يَشْرَبُ </w:t>
      </w:r>
      <w:r w:rsidRPr="00D10E3C">
        <w:rPr>
          <w:rStyle w:val="libFootnotenumChar"/>
          <w:rtl/>
        </w:rPr>
        <w:t>(3)</w:t>
      </w:r>
      <w:r>
        <w:rPr>
          <w:rtl/>
          <w:lang w:bidi="fa-IR"/>
        </w:rPr>
        <w:t xml:space="preserve"> مِنْ لَبَنِهَا؟</w:t>
      </w:r>
    </w:p>
    <w:p w:rsidR="00144FA6" w:rsidRDefault="00744A1C" w:rsidP="00744A1C">
      <w:pPr>
        <w:pStyle w:val="libNormal"/>
        <w:rPr>
          <w:rtl/>
          <w:lang w:bidi="fa-IR"/>
        </w:rPr>
      </w:pPr>
      <w:r>
        <w:rPr>
          <w:rtl/>
          <w:lang w:bidi="fa-IR"/>
        </w:rPr>
        <w:t xml:space="preserve">قَالَ : « نَعَمْ ، وَيَسْقِي إِنْ شَاءَ ». </w:t>
      </w:r>
      <w:r w:rsidRPr="00D10E3C">
        <w:rPr>
          <w:rStyle w:val="libFootnotenumChar"/>
          <w:rtl/>
        </w:rPr>
        <w:t>(4)</w:t>
      </w:r>
    </w:p>
    <w:p w:rsidR="00744A1C" w:rsidRDefault="00744A1C" w:rsidP="00894C36">
      <w:pPr>
        <w:pStyle w:val="Heading2Center"/>
        <w:rPr>
          <w:lang w:bidi="fa-IR"/>
        </w:rPr>
      </w:pPr>
      <w:bookmarkStart w:id="28" w:name="_Toc49261326"/>
      <w:r>
        <w:rPr>
          <w:rtl/>
          <w:lang w:bidi="fa-IR"/>
        </w:rPr>
        <w:t xml:space="preserve">183 - بَابُ الْهَدْيِ يَعْطَبُ </w:t>
      </w:r>
      <w:r w:rsidRPr="00D10E3C">
        <w:rPr>
          <w:rStyle w:val="libFootnotenumChar"/>
          <w:rtl/>
        </w:rPr>
        <w:t>(5)</w:t>
      </w:r>
      <w:r>
        <w:rPr>
          <w:rtl/>
          <w:lang w:bidi="fa-IR"/>
        </w:rPr>
        <w:t xml:space="preserve"> أَوْ يَهْلِكُ قَبْلَ أَنْ يَبْلُغَ مَحِلَّهُ وَالْأَكْلِ مِنْهُ‌</w:t>
      </w:r>
      <w:bookmarkEnd w:id="28"/>
    </w:p>
    <w:p w:rsidR="00144FA6" w:rsidRDefault="00744A1C" w:rsidP="00744A1C">
      <w:pPr>
        <w:pStyle w:val="libNormal"/>
        <w:rPr>
          <w:rtl/>
          <w:lang w:bidi="fa-IR"/>
        </w:rPr>
      </w:pPr>
      <w:r>
        <w:rPr>
          <w:rtl/>
          <w:lang w:bidi="fa-IR"/>
        </w:rPr>
        <w:t>7864 / 1. عَلِيُّ بْنُ إِبْرَاهِيمَ ، عَنْ أَبِيهِ ، عَنْ حَمَّادٍ ، عَنْ حَرِيزٍ ، عَمَّنْ أَخْبَرَهُ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كُلُّ </w:t>
      </w:r>
      <w:r w:rsidRPr="00D10E3C">
        <w:rPr>
          <w:rStyle w:val="libFootnotenumChar"/>
          <w:rtl/>
        </w:rPr>
        <w:t>(6)</w:t>
      </w:r>
      <w:r>
        <w:rPr>
          <w:rtl/>
          <w:lang w:bidi="fa-IR"/>
        </w:rPr>
        <w:t xml:space="preserve"> مَنْ سَاقَ هَدْياً تَطَوُّعاً فَعَطِبَ هَدْيُهُ </w:t>
      </w:r>
      <w:r w:rsidRPr="00D10E3C">
        <w:rPr>
          <w:rStyle w:val="libFootnotenumChar"/>
          <w:rtl/>
        </w:rPr>
        <w:t>(7)</w:t>
      </w:r>
      <w:r>
        <w:rPr>
          <w:rtl/>
          <w:lang w:bidi="fa-IR"/>
        </w:rPr>
        <w:t xml:space="preserve"> ، فَلَا شَيْ‌ءَ عَلَيْهِ يَنْحَرُهُ ، وَيَأْخُذُ نَعْلَ التَّقْلِيدِ </w:t>
      </w:r>
      <w:r w:rsidRPr="00D10E3C">
        <w:rPr>
          <w:rStyle w:val="libFootnotenumChar"/>
          <w:rtl/>
        </w:rPr>
        <w:t>(8)</w:t>
      </w:r>
      <w:r>
        <w:rPr>
          <w:rtl/>
          <w:lang w:bidi="fa-IR"/>
        </w:rPr>
        <w:t xml:space="preserve"> ، فَيَغْمِسُهَا فِي الدَّمِ ، وَيَضْرِبُ </w:t>
      </w:r>
      <w:r w:rsidRPr="00D10E3C">
        <w:rPr>
          <w:rStyle w:val="libFootnotenumChar"/>
          <w:rtl/>
        </w:rPr>
        <w:t>(9)</w:t>
      </w:r>
      <w:r>
        <w:rPr>
          <w:rtl/>
          <w:lang w:bidi="fa-IR"/>
        </w:rPr>
        <w:t xml:space="preserve"> بِهِ </w:t>
      </w:r>
      <w:r w:rsidRPr="00D10E3C">
        <w:rPr>
          <w:rStyle w:val="libFootnotenumChar"/>
          <w:rtl/>
        </w:rPr>
        <w:t>(10)</w:t>
      </w:r>
      <w:r>
        <w:rPr>
          <w:rtl/>
          <w:lang w:bidi="fa-IR"/>
        </w:rPr>
        <w:t xml:space="preserve"> صَفْحَةَ سَنَامِهِ </w:t>
      </w:r>
      <w:r w:rsidRPr="00D10E3C">
        <w:rPr>
          <w:rStyle w:val="libFootnotenumChar"/>
          <w:rtl/>
        </w:rPr>
        <w:t>(11)</w:t>
      </w:r>
      <w:r>
        <w:rPr>
          <w:rtl/>
          <w:lang w:bidi="fa-IR"/>
        </w:rPr>
        <w:t xml:space="preserve"> ، وَلَابَدَلَ عَلَيْهِ ، وَمَا كَانَ مِنْ جَزَاءِ صَيْدٍ أَوْ نَذْرٍ فَعَطِبَ ، فَعَلَ </w:t>
      </w:r>
      <w:r w:rsidRPr="00D10E3C">
        <w:rPr>
          <w:rStyle w:val="libFootnotenumChar"/>
          <w:rtl/>
        </w:rPr>
        <w:t>(12)</w:t>
      </w:r>
      <w:r>
        <w:rPr>
          <w:rtl/>
          <w:lang w:bidi="fa-IR"/>
        </w:rPr>
        <w:t xml:space="preserve"> مِثْلَ ذلِكَ ، وَعَلَيْهِ الْبَدَلُ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894C36" w:rsidTr="00894C36">
        <w:tc>
          <w:tcPr>
            <w:tcW w:w="4006" w:type="dxa"/>
          </w:tcPr>
          <w:p w:rsidR="00894C36" w:rsidRDefault="00894C36" w:rsidP="00D10E3C">
            <w:pPr>
              <w:pStyle w:val="libFootnote0"/>
              <w:rPr>
                <w:rtl/>
                <w:lang w:bidi="fa-IR"/>
              </w:rPr>
            </w:pPr>
            <w:r>
              <w:rPr>
                <w:rtl/>
                <w:lang w:bidi="fa-IR"/>
              </w:rPr>
              <w:t>(1). في « بث » و</w:t>
            </w:r>
            <w:r w:rsidRPr="00C24F9C">
              <w:rPr>
                <w:rStyle w:val="libFootnoteBoldChar"/>
                <w:rtl/>
              </w:rPr>
              <w:t>الوسائل</w:t>
            </w:r>
            <w:r>
              <w:rPr>
                <w:rtl/>
                <w:lang w:bidi="fa-IR"/>
              </w:rPr>
              <w:t xml:space="preserve"> : « أيحلبها ».</w:t>
            </w:r>
          </w:p>
        </w:tc>
        <w:tc>
          <w:tcPr>
            <w:tcW w:w="4006" w:type="dxa"/>
          </w:tcPr>
          <w:p w:rsidR="00894C36" w:rsidRDefault="00894C36" w:rsidP="00D10E3C">
            <w:pPr>
              <w:pStyle w:val="libFootnote0"/>
              <w:rPr>
                <w:rtl/>
                <w:lang w:bidi="fa-IR"/>
              </w:rPr>
            </w:pPr>
            <w:r>
              <w:rPr>
                <w:rtl/>
                <w:lang w:bidi="fa-IR"/>
              </w:rPr>
              <w:t>(2). في « بف » و</w:t>
            </w:r>
            <w:r w:rsidRPr="00C24F9C">
              <w:rPr>
                <w:rStyle w:val="libFootnoteBoldChar"/>
                <w:rtl/>
              </w:rPr>
              <w:t>الوافي</w:t>
            </w:r>
            <w:r>
              <w:rPr>
                <w:rtl/>
                <w:lang w:bidi="fa-IR"/>
              </w:rPr>
              <w:t xml:space="preserve"> : - « حلباً ».</w:t>
            </w:r>
          </w:p>
        </w:tc>
      </w:tr>
    </w:tbl>
    <w:p w:rsidR="00744A1C" w:rsidRDefault="00E378DD" w:rsidP="00E378DD">
      <w:pPr>
        <w:pStyle w:val="libFootnote0"/>
        <w:rPr>
          <w:lang w:bidi="fa-IR"/>
        </w:rPr>
      </w:pPr>
      <w:r>
        <w:rPr>
          <w:rtl/>
          <w:lang w:bidi="fa-IR"/>
        </w:rPr>
        <w:t>(3).</w:t>
      </w:r>
      <w:r w:rsidR="00744A1C">
        <w:rPr>
          <w:rtl/>
          <w:lang w:bidi="fa-IR"/>
        </w:rPr>
        <w:t xml:space="preserve"> في « بث » : « نشرب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14 ، ص 1152 ، ح 13981 ؛ </w:t>
      </w:r>
      <w:r w:rsidR="00744A1C" w:rsidRPr="00C24F9C">
        <w:rPr>
          <w:rStyle w:val="libFootnoteBoldChar"/>
          <w:rtl/>
        </w:rPr>
        <w:t>الوسائل</w:t>
      </w:r>
      <w:r w:rsidR="00744A1C">
        <w:rPr>
          <w:rtl/>
          <w:lang w:bidi="fa-IR"/>
        </w:rPr>
        <w:t xml:space="preserve"> ، ج 14 ، ص 147 ، ح 18836.</w:t>
      </w:r>
    </w:p>
    <w:p w:rsidR="00744A1C" w:rsidRDefault="00E378DD" w:rsidP="00985599">
      <w:pPr>
        <w:pStyle w:val="libFootnote0"/>
        <w:rPr>
          <w:lang w:bidi="fa-IR"/>
        </w:rPr>
      </w:pPr>
      <w:r>
        <w:rPr>
          <w:rtl/>
          <w:lang w:bidi="fa-IR"/>
        </w:rPr>
        <w:t>(5).</w:t>
      </w:r>
      <w:r w:rsidR="00744A1C">
        <w:rPr>
          <w:rtl/>
          <w:lang w:bidi="fa-IR"/>
        </w:rPr>
        <w:t xml:space="preserve"> العَطَب : الهلاك ، وعَطَبُ الهدي : هلاكه ، أو انكساره. وقال ابن الأثير : « وقد يعبّر به عن آفة تعتريه وتمنعه عن السير فيُنحر » ، والمراد هنا ، أي في العنوان غير الهلاك بقرينة « أو يهلك ». راجع : </w:t>
      </w:r>
      <w:r w:rsidR="00744A1C" w:rsidRPr="00E978C3">
        <w:rPr>
          <w:rStyle w:val="libFootnoteBoldChar"/>
          <w:rtl/>
        </w:rPr>
        <w:t>الصحاح</w:t>
      </w:r>
      <w:r w:rsidR="00744A1C">
        <w:rPr>
          <w:rtl/>
          <w:lang w:bidi="fa-IR"/>
        </w:rPr>
        <w:t xml:space="preserve"> ، ج 1 ، ص 184 ؛ </w:t>
      </w:r>
      <w:r w:rsidR="00744A1C" w:rsidRPr="00877682">
        <w:rPr>
          <w:rStyle w:val="libFootnoteBoldChar"/>
          <w:rtl/>
        </w:rPr>
        <w:t>النهاية</w:t>
      </w:r>
      <w:r w:rsidR="00744A1C">
        <w:rPr>
          <w:rtl/>
          <w:lang w:bidi="fa-IR"/>
        </w:rPr>
        <w:t xml:space="preserve"> ، ج 3 ، ص 256 ( عطب ).</w:t>
      </w:r>
      <w:r w:rsidR="00985599">
        <w:rPr>
          <w:rFonts w:hint="cs"/>
          <w:rtl/>
          <w:lang w:bidi="fa-IR"/>
        </w:rPr>
        <w:t xml:space="preserve">                     </w:t>
      </w: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 كلّ ».</w:t>
      </w:r>
    </w:p>
    <w:p w:rsidR="00744A1C" w:rsidRDefault="00E378DD" w:rsidP="00E378DD">
      <w:pPr>
        <w:pStyle w:val="libFootnote0"/>
        <w:rPr>
          <w:lang w:bidi="fa-IR"/>
        </w:rPr>
      </w:pPr>
      <w:r>
        <w:rPr>
          <w:rtl/>
          <w:lang w:bidi="fa-IR"/>
        </w:rPr>
        <w:t>(7).</w:t>
      </w:r>
      <w:r w:rsidR="00744A1C">
        <w:rPr>
          <w:rtl/>
          <w:lang w:bidi="fa-IR"/>
        </w:rPr>
        <w:t xml:space="preserve"> في الاستبصار : - « هديه ».</w:t>
      </w:r>
    </w:p>
    <w:p w:rsidR="00744A1C" w:rsidRDefault="00E378DD" w:rsidP="00E378DD">
      <w:pPr>
        <w:pStyle w:val="libFootnote0"/>
        <w:rPr>
          <w:lang w:bidi="fa-IR"/>
        </w:rPr>
      </w:pPr>
      <w:r>
        <w:rPr>
          <w:rtl/>
          <w:lang w:bidi="fa-IR"/>
        </w:rPr>
        <w:t>(8).</w:t>
      </w:r>
      <w:r w:rsidR="00744A1C">
        <w:rPr>
          <w:rtl/>
          <w:lang w:bidi="fa-IR"/>
        </w:rPr>
        <w:t xml:space="preserve"> تقليد الهدي : أن يعلّق في عنقه شي‌ء ، أو قطعة من جلد ؛ ليعلم أنّه هدي فيكفّ الناس عنه. راجع : </w:t>
      </w:r>
      <w:r w:rsidR="00744A1C" w:rsidRPr="00E978C3">
        <w:rPr>
          <w:rStyle w:val="libFootnoteBoldChar"/>
          <w:rtl/>
        </w:rPr>
        <w:t>الصحاح</w:t>
      </w:r>
      <w:r w:rsidR="00744A1C">
        <w:rPr>
          <w:rtl/>
          <w:lang w:bidi="fa-IR"/>
        </w:rPr>
        <w:t xml:space="preserve"> ، ج 2 ، ص 527 ؛ </w:t>
      </w:r>
      <w:r w:rsidR="00744A1C" w:rsidRPr="00E978C3">
        <w:rPr>
          <w:rStyle w:val="libFootnoteBoldChar"/>
          <w:rtl/>
        </w:rPr>
        <w:t>المصباح المنير</w:t>
      </w:r>
      <w:r w:rsidR="00744A1C">
        <w:rPr>
          <w:rtl/>
          <w:lang w:bidi="fa-IR"/>
        </w:rPr>
        <w:t xml:space="preserve"> ، ص 512 ( قلد ).</w:t>
      </w:r>
    </w:p>
    <w:p w:rsidR="00744A1C" w:rsidRDefault="00E378DD" w:rsidP="00E378DD">
      <w:pPr>
        <w:pStyle w:val="libFootnote0"/>
        <w:rPr>
          <w:lang w:bidi="fa-IR"/>
        </w:rPr>
      </w:pPr>
      <w:r>
        <w:rPr>
          <w:rtl/>
          <w:lang w:bidi="fa-IR"/>
        </w:rPr>
        <w:t>(9).</w:t>
      </w:r>
      <w:r w:rsidR="00744A1C">
        <w:rPr>
          <w:rtl/>
          <w:lang w:bidi="fa-IR"/>
        </w:rPr>
        <w:t xml:space="preserve"> في « بخ ، بف » </w:t>
      </w:r>
      <w:r w:rsidR="00744A1C" w:rsidRPr="00596830">
        <w:rPr>
          <w:rtl/>
        </w:rPr>
        <w:t>والوافي والوسائل والتهذيب والاستبصار :</w:t>
      </w:r>
      <w:r w:rsidR="00744A1C">
        <w:rPr>
          <w:rtl/>
          <w:lang w:bidi="fa-IR"/>
        </w:rPr>
        <w:t xml:space="preserve"> « فيضرب ».</w:t>
      </w:r>
    </w:p>
    <w:p w:rsidR="00744A1C" w:rsidRDefault="00E378DD" w:rsidP="00E378DD">
      <w:pPr>
        <w:pStyle w:val="libFootnote0"/>
        <w:rPr>
          <w:lang w:bidi="fa-IR"/>
        </w:rPr>
      </w:pPr>
      <w:r>
        <w:rPr>
          <w:rtl/>
          <w:lang w:bidi="fa-IR"/>
        </w:rPr>
        <w:t>(10).</w:t>
      </w:r>
      <w:r w:rsidR="00744A1C">
        <w:rPr>
          <w:rtl/>
          <w:lang w:bidi="fa-IR"/>
        </w:rPr>
        <w:t xml:space="preserve"> في « بخ ، بس ، بف ، جد » وحاشية « بث ، بح » و</w:t>
      </w:r>
      <w:r w:rsidR="00744A1C" w:rsidRPr="00C24F9C">
        <w:rPr>
          <w:rStyle w:val="libFootnoteBoldChar"/>
          <w:rtl/>
        </w:rPr>
        <w:t>الوافي</w:t>
      </w:r>
      <w:r w:rsidR="00744A1C">
        <w:rPr>
          <w:rtl/>
          <w:lang w:bidi="fa-IR"/>
        </w:rPr>
        <w:t xml:space="preserve"> : « بها ».</w:t>
      </w:r>
    </w:p>
    <w:p w:rsidR="00744A1C" w:rsidRDefault="00E378DD" w:rsidP="00E378DD">
      <w:pPr>
        <w:pStyle w:val="libFootnote0"/>
        <w:rPr>
          <w:lang w:bidi="fa-IR"/>
        </w:rPr>
      </w:pPr>
      <w:r>
        <w:rPr>
          <w:rtl/>
          <w:lang w:bidi="fa-IR"/>
        </w:rPr>
        <w:t>(11).</w:t>
      </w:r>
      <w:r w:rsidR="00744A1C">
        <w:rPr>
          <w:rtl/>
          <w:lang w:bidi="fa-IR"/>
        </w:rPr>
        <w:t xml:space="preserve"> قال ابن منظور : « سنام البعير والناقة : أعلى ظهرها ، والجمع : أسنمة ... وسنام كلّ شي‌ء : أعلاه ». وقال الفيّومي : « السنام للبعير كالإلية للغنم ، والجمع : أسنمة ». </w:t>
      </w:r>
      <w:r w:rsidR="00744A1C" w:rsidRPr="00877682">
        <w:rPr>
          <w:rStyle w:val="libFootnoteBoldChar"/>
          <w:rtl/>
        </w:rPr>
        <w:t>لسان العرب</w:t>
      </w:r>
      <w:r w:rsidR="00744A1C">
        <w:rPr>
          <w:rtl/>
          <w:lang w:bidi="fa-IR"/>
        </w:rPr>
        <w:t xml:space="preserve"> ، ج 12 ، ص 306 ؛ </w:t>
      </w:r>
      <w:r w:rsidR="00744A1C" w:rsidRPr="00E978C3">
        <w:rPr>
          <w:rStyle w:val="libFootnoteBoldChar"/>
          <w:rtl/>
        </w:rPr>
        <w:t>المصباح المنير</w:t>
      </w:r>
      <w:r w:rsidR="00744A1C">
        <w:rPr>
          <w:rtl/>
          <w:lang w:bidi="fa-IR"/>
        </w:rPr>
        <w:t xml:space="preserve"> ، ص 291 ( سنم ).</w:t>
      </w:r>
    </w:p>
    <w:p w:rsidR="00744A1C" w:rsidRDefault="00E378DD" w:rsidP="00E378DD">
      <w:pPr>
        <w:pStyle w:val="libFootnote0"/>
        <w:rPr>
          <w:lang w:bidi="fa-IR"/>
        </w:rPr>
      </w:pPr>
      <w:r>
        <w:rPr>
          <w:rtl/>
          <w:lang w:bidi="fa-IR"/>
        </w:rPr>
        <w:t>(12).</w:t>
      </w:r>
      <w:r w:rsidR="00744A1C">
        <w:rPr>
          <w:rtl/>
          <w:lang w:bidi="fa-IR"/>
        </w:rPr>
        <w:t xml:space="preserve"> في « ى ، بث ، بح ، بف ، جد ، جن » و</w:t>
      </w:r>
      <w:r w:rsidR="00744A1C" w:rsidRPr="00C24F9C">
        <w:rPr>
          <w:rStyle w:val="libFootnoteBoldChar"/>
          <w:rtl/>
        </w:rPr>
        <w:t>الوافي</w:t>
      </w:r>
      <w:r w:rsidR="00744A1C">
        <w:rPr>
          <w:rtl/>
          <w:lang w:bidi="fa-IR"/>
        </w:rPr>
        <w:t xml:space="preserve"> : « فعلى ». وفي « بس » : « فعليه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وَ</w:t>
      </w:r>
      <w:r w:rsidR="00985599">
        <w:rPr>
          <w:rFonts w:hint="cs"/>
          <w:rtl/>
          <w:lang w:bidi="fa-IR"/>
        </w:rPr>
        <w:t xml:space="preserve"> </w:t>
      </w:r>
      <w:r>
        <w:rPr>
          <w:rtl/>
          <w:lang w:bidi="fa-IR"/>
        </w:rPr>
        <w:t xml:space="preserve">كُلُّ شَيْ‌ءٍ إِذَا دَخَلَ الْحَرَمَ فَعَطِبَ ، فَلَا بَدَلَ عَلى صَاحِبِهِ تَطَوُّعاً </w:t>
      </w:r>
      <w:r w:rsidRPr="00D10E3C">
        <w:rPr>
          <w:rStyle w:val="libFootnotenumChar"/>
          <w:rtl/>
        </w:rPr>
        <w:t>(1)</w:t>
      </w:r>
      <w:r>
        <w:rPr>
          <w:rtl/>
          <w:lang w:bidi="fa-IR"/>
        </w:rPr>
        <w:t xml:space="preserve"> ، أَوْ غَيْرَهُ </w:t>
      </w:r>
      <w:r w:rsidRPr="00D10E3C">
        <w:rPr>
          <w:rStyle w:val="libFootnotenumChar"/>
          <w:rtl/>
        </w:rPr>
        <w:t>(2)</w:t>
      </w:r>
      <w:r>
        <w:rPr>
          <w:rtl/>
          <w:lang w:bidi="fa-IR"/>
        </w:rPr>
        <w:t xml:space="preserve"> ». </w:t>
      </w:r>
      <w:r w:rsidRPr="00D10E3C">
        <w:rPr>
          <w:rStyle w:val="libFootnotenumChar"/>
          <w:rtl/>
        </w:rPr>
        <w:t>(3)</w:t>
      </w:r>
    </w:p>
    <w:p w:rsidR="00985599" w:rsidRDefault="00744A1C" w:rsidP="00985599">
      <w:pPr>
        <w:pStyle w:val="libNormal"/>
        <w:rPr>
          <w:rtl/>
          <w:lang w:bidi="fa-IR"/>
        </w:rPr>
      </w:pPr>
      <w:r>
        <w:rPr>
          <w:rtl/>
          <w:lang w:bidi="fa-IR"/>
        </w:rPr>
        <w:t>7865 / 2. عَلِيُّ بْنُ إِبْرَاهِيمَ ، عَنْ أَبِيهِ ، عَنِ ابْنِ أَبِي عُمَيْرٍ ؛</w:t>
      </w:r>
    </w:p>
    <w:p w:rsidR="00144FA6" w:rsidRDefault="00985599" w:rsidP="00985599">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مُحَمَّدُ بْنُ إِسْمَاعِيلَ ، عَنِ الْفَضْلِ بْنِ شَاذَانَ ، عَنْ صَفْوَانَ بْنِ يَحْيى </w:t>
      </w:r>
      <w:r w:rsidR="00744A1C" w:rsidRPr="00D10E3C">
        <w:rPr>
          <w:rStyle w:val="libFootnotenumChar"/>
          <w:rtl/>
        </w:rPr>
        <w:t>(4)</w:t>
      </w:r>
      <w:r w:rsidR="00744A1C">
        <w:rPr>
          <w:rtl/>
          <w:lang w:bidi="fa-IR"/>
        </w:rPr>
        <w:t xml:space="preserve"> جَمِيعاً </w:t>
      </w:r>
      <w:r w:rsidR="00744A1C" w:rsidRPr="00D10E3C">
        <w:rPr>
          <w:rStyle w:val="libFootnotenumChar"/>
          <w:rtl/>
        </w:rPr>
        <w:t>(5)</w:t>
      </w:r>
      <w:r w:rsidR="00744A1C">
        <w:rPr>
          <w:rtl/>
          <w:lang w:bidi="fa-IR"/>
        </w:rPr>
        <w:t xml:space="preserve"> ، عَنْ مُعَاوِيَةَ بْنِ عَمَّارٍ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رَجُلٍ اشْتَرى أُضْحِيَّةً ، فَمَاتَتْ أَوْ سُرِقَتْ قَبْلَ أَنْ يَذْبَحَهَا؟</w:t>
      </w:r>
    </w:p>
    <w:p w:rsidR="00144FA6" w:rsidRDefault="00744A1C" w:rsidP="00744A1C">
      <w:pPr>
        <w:pStyle w:val="libNormal"/>
        <w:rPr>
          <w:rtl/>
          <w:lang w:bidi="fa-IR"/>
        </w:rPr>
      </w:pPr>
      <w:r>
        <w:rPr>
          <w:rtl/>
          <w:lang w:bidi="fa-IR"/>
        </w:rPr>
        <w:t xml:space="preserve">فَقَالَ : « لَا بَأْسَ ، وَإِنْ </w:t>
      </w:r>
      <w:r w:rsidRPr="00D10E3C">
        <w:rPr>
          <w:rStyle w:val="libFootnotenumChar"/>
          <w:rtl/>
        </w:rPr>
        <w:t>(6)</w:t>
      </w:r>
      <w:r>
        <w:rPr>
          <w:rtl/>
          <w:lang w:bidi="fa-IR"/>
        </w:rPr>
        <w:t xml:space="preserve"> أَبْدَلَهَا فَهُوَ أَفْضَلُ ، وَإِنْ لَمْ يَشْتَرِ فَلَيْسَ عَلَيْهِ شَيْ‌ءٌ ». </w:t>
      </w:r>
      <w:r w:rsidRPr="00D10E3C">
        <w:rPr>
          <w:rStyle w:val="libFootnotenumChar"/>
          <w:rtl/>
        </w:rPr>
        <w:t>(7)</w:t>
      </w:r>
    </w:p>
    <w:p w:rsidR="00144FA6" w:rsidRDefault="00744A1C" w:rsidP="00744A1C">
      <w:pPr>
        <w:pStyle w:val="libNormal"/>
        <w:rPr>
          <w:rtl/>
          <w:lang w:bidi="fa-IR"/>
        </w:rPr>
      </w:pPr>
      <w:r>
        <w:rPr>
          <w:rtl/>
          <w:lang w:bidi="fa-IR"/>
        </w:rPr>
        <w:t xml:space="preserve">7866 / 3. مُحَمَّدُ بْنُ يَحْيى ، عَنْ أَحْمَدَ بْنِ مُحَمَّدٍ </w:t>
      </w:r>
      <w:r w:rsidRPr="00D10E3C">
        <w:rPr>
          <w:rStyle w:val="libFootnotenumChar"/>
          <w:rtl/>
        </w:rPr>
        <w:t>(8)</w:t>
      </w:r>
      <w:r>
        <w:rPr>
          <w:rtl/>
          <w:lang w:bidi="fa-IR"/>
        </w:rPr>
        <w:t xml:space="preserve"> ، عَنْ رَجُلٍ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الْبَدَنَةِ يُهْدِيهَا الرَّجُلُ ، فَتُكْسَرُ ، أَوْ تَهْلِكُ؟</w:t>
      </w:r>
    </w:p>
    <w:p w:rsidR="00744A1C" w:rsidRDefault="00744A1C" w:rsidP="00744A1C">
      <w:pPr>
        <w:pStyle w:val="libNormal"/>
        <w:rPr>
          <w:lang w:bidi="fa-IR"/>
        </w:rPr>
      </w:pPr>
      <w:r>
        <w:rPr>
          <w:rtl/>
          <w:lang w:bidi="fa-IR"/>
        </w:rPr>
        <w:t>فَقَالَ : « إِنْ كَانَ هَدْياً مَضْمُوناً</w:t>
      </w:r>
      <w:r w:rsidR="00985599">
        <w:rPr>
          <w:rtl/>
          <w:lang w:bidi="fa-IR"/>
        </w:rPr>
        <w:t xml:space="preserve"> ، فَإِنَّ عَلَيْهِ مَكَانَهُ،</w:t>
      </w:r>
      <w:r>
        <w:rPr>
          <w:rtl/>
          <w:lang w:bidi="fa-IR"/>
        </w:rPr>
        <w:t>وَإِنْ لَمْ يَكُنْ مَضْمُو</w:t>
      </w:r>
      <w:r w:rsidR="00985599">
        <w:rPr>
          <w:rtl/>
          <w:lang w:bidi="fa-IR"/>
        </w:rPr>
        <w:t>ناً ، فَلَيْسَ عَلَيْهِ شَيْ‌ءٌ</w:t>
      </w:r>
      <w:r>
        <w:rPr>
          <w:rtl/>
          <w:lang w:bidi="fa-IR"/>
        </w:rPr>
        <w:t>».</w:t>
      </w:r>
    </w:p>
    <w:p w:rsidR="00144FA6" w:rsidRDefault="00744A1C" w:rsidP="00744A1C">
      <w:pPr>
        <w:pStyle w:val="libNormal"/>
        <w:rPr>
          <w:rtl/>
          <w:lang w:bidi="fa-IR"/>
        </w:rPr>
      </w:pPr>
      <w:r>
        <w:rPr>
          <w:rtl/>
          <w:lang w:bidi="fa-IR"/>
        </w:rPr>
        <w:t>قُلْتُ : أَ</w:t>
      </w:r>
      <w:r w:rsidR="00985599">
        <w:rPr>
          <w:rFonts w:hint="cs"/>
          <w:rtl/>
          <w:lang w:bidi="fa-IR"/>
        </w:rPr>
        <w:t xml:space="preserve"> </w:t>
      </w:r>
      <w:r>
        <w:rPr>
          <w:rtl/>
          <w:lang w:bidi="fa-IR"/>
        </w:rPr>
        <w:t>وَ</w:t>
      </w:r>
      <w:r w:rsidR="00985599">
        <w:rPr>
          <w:rFonts w:hint="cs"/>
          <w:rtl/>
          <w:lang w:bidi="fa-IR"/>
        </w:rPr>
        <w:t xml:space="preserve"> </w:t>
      </w:r>
      <w:r>
        <w:rPr>
          <w:rtl/>
          <w:lang w:bidi="fa-IR"/>
        </w:rPr>
        <w:t xml:space="preserve">يَأْكُلُ </w:t>
      </w:r>
      <w:r w:rsidRPr="00D10E3C">
        <w:rPr>
          <w:rStyle w:val="libFootnotenumChar"/>
          <w:rtl/>
        </w:rPr>
        <w:t>(9)</w:t>
      </w:r>
      <w:r>
        <w:rPr>
          <w:rtl/>
          <w:lang w:bidi="fa-IR"/>
        </w:rPr>
        <w:t xml:space="preserve"> مِنْهُ </w:t>
      </w:r>
      <w:r w:rsidRPr="00D10E3C">
        <w:rPr>
          <w:rStyle w:val="libFootnotenumChar"/>
          <w:rtl/>
        </w:rPr>
        <w:t>(10)</w:t>
      </w:r>
      <w:r>
        <w:rPr>
          <w:rtl/>
          <w:lang w:bidi="fa-IR"/>
        </w:rPr>
        <w:t xml:space="preserve">؟ قَالَ : « نَعَمْ ». </w:t>
      </w:r>
      <w:r w:rsidRPr="00D10E3C">
        <w:rPr>
          <w:rStyle w:val="libFootnotenumChar"/>
          <w:rtl/>
        </w:rPr>
        <w:t>(11)</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985599" w:rsidTr="00985599">
        <w:tc>
          <w:tcPr>
            <w:tcW w:w="4006" w:type="dxa"/>
          </w:tcPr>
          <w:p w:rsidR="00985599" w:rsidRDefault="00985599" w:rsidP="00D10E3C">
            <w:pPr>
              <w:pStyle w:val="libFootnote0"/>
              <w:rPr>
                <w:rtl/>
                <w:lang w:bidi="fa-IR"/>
              </w:rPr>
            </w:pPr>
            <w:r>
              <w:rPr>
                <w:rtl/>
                <w:lang w:bidi="fa-IR"/>
              </w:rPr>
              <w:t>(1). في الاستبصار : + « كان ».</w:t>
            </w:r>
          </w:p>
        </w:tc>
        <w:tc>
          <w:tcPr>
            <w:tcW w:w="4006" w:type="dxa"/>
          </w:tcPr>
          <w:p w:rsidR="00985599" w:rsidRDefault="00985599" w:rsidP="00D10E3C">
            <w:pPr>
              <w:pStyle w:val="libFootnote0"/>
              <w:rPr>
                <w:rtl/>
                <w:lang w:bidi="fa-IR"/>
              </w:rPr>
            </w:pPr>
            <w:r>
              <w:rPr>
                <w:rtl/>
                <w:lang w:bidi="fa-IR"/>
              </w:rPr>
              <w:t>(2). في « جد » : « وغيره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216 ، ح 727 ؛ </w:t>
      </w:r>
      <w:r w:rsidR="00744A1C" w:rsidRPr="00C24F9C">
        <w:rPr>
          <w:rStyle w:val="libFootnoteBoldChar"/>
          <w:rtl/>
        </w:rPr>
        <w:t>والاستبصار</w:t>
      </w:r>
      <w:r w:rsidR="00744A1C">
        <w:rPr>
          <w:rtl/>
          <w:lang w:bidi="fa-IR"/>
        </w:rPr>
        <w:t xml:space="preserve"> ، ج 2 ، ص 270 ، ح 958 ، معلّقاً عن الكليني </w:t>
      </w:r>
      <w:r w:rsidR="00AE288A">
        <w:rPr>
          <w:rFonts w:hint="cs"/>
          <w:rtl/>
          <w:lang w:bidi="fa-IR"/>
        </w:rPr>
        <w:t>.</w:t>
      </w:r>
      <w:r w:rsidR="00744A1C" w:rsidRPr="00C24F9C">
        <w:rPr>
          <w:rStyle w:val="libFootnoteBoldChar"/>
          <w:rtl/>
        </w:rPr>
        <w:t>الوافي</w:t>
      </w:r>
      <w:r w:rsidR="00744A1C">
        <w:rPr>
          <w:rtl/>
          <w:lang w:bidi="fa-IR"/>
        </w:rPr>
        <w:t xml:space="preserve"> ، ج 14 ، ص 1144 ، ح 13954 ؛ </w:t>
      </w:r>
      <w:r w:rsidR="00744A1C" w:rsidRPr="00C24F9C">
        <w:rPr>
          <w:rStyle w:val="libFootnoteBoldChar"/>
          <w:rtl/>
        </w:rPr>
        <w:t>الوسائل</w:t>
      </w:r>
      <w:r w:rsidR="00744A1C">
        <w:rPr>
          <w:rtl/>
          <w:lang w:bidi="fa-IR"/>
        </w:rPr>
        <w:t xml:space="preserve"> ، ج 14 ، ص 133 ، ح 18799 ؛ وص 142 ، ح 18824.</w:t>
      </w:r>
    </w:p>
    <w:p w:rsidR="00744A1C" w:rsidRDefault="00E378DD" w:rsidP="00E378DD">
      <w:pPr>
        <w:pStyle w:val="libFootnote0"/>
        <w:rPr>
          <w:lang w:bidi="fa-IR"/>
        </w:rPr>
      </w:pPr>
      <w:r>
        <w:rPr>
          <w:rtl/>
          <w:lang w:bidi="fa-IR"/>
        </w:rPr>
        <w:t>(4).</w:t>
      </w:r>
      <w:r w:rsidR="00744A1C">
        <w:rPr>
          <w:rtl/>
          <w:lang w:bidi="fa-IR"/>
        </w:rPr>
        <w:t xml:space="preserve"> في « جر » : - « بن يحيى ».</w:t>
      </w:r>
    </w:p>
    <w:p w:rsidR="00744A1C" w:rsidRDefault="00E378DD" w:rsidP="00E378DD">
      <w:pPr>
        <w:pStyle w:val="libFootnote0"/>
        <w:rPr>
          <w:lang w:bidi="fa-IR"/>
        </w:rPr>
      </w:pPr>
      <w:r>
        <w:rPr>
          <w:rtl/>
          <w:lang w:bidi="fa-IR"/>
        </w:rPr>
        <w:t>(5).</w:t>
      </w:r>
      <w:r w:rsidR="00744A1C">
        <w:rPr>
          <w:rtl/>
          <w:lang w:bidi="fa-IR"/>
        </w:rPr>
        <w:t xml:space="preserve"> في « بخ ، جر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ح 733 : - « جميعاً ».</w:t>
      </w:r>
    </w:p>
    <w:p w:rsidR="00744A1C" w:rsidRDefault="00E378DD" w:rsidP="00E378DD">
      <w:pPr>
        <w:pStyle w:val="libFootnote0"/>
        <w:rPr>
          <w:lang w:bidi="fa-IR"/>
        </w:rPr>
      </w:pPr>
      <w:r>
        <w:rPr>
          <w:rtl/>
          <w:lang w:bidi="fa-IR"/>
        </w:rPr>
        <w:t>(6).</w:t>
      </w:r>
      <w:r w:rsidR="00744A1C">
        <w:rPr>
          <w:rtl/>
          <w:lang w:bidi="fa-IR"/>
        </w:rPr>
        <w:t xml:space="preserve"> في « بخ ، بف » و</w:t>
      </w:r>
      <w:r w:rsidR="00744A1C" w:rsidRPr="00C24F9C">
        <w:rPr>
          <w:rStyle w:val="libFootnoteBoldChar"/>
          <w:rtl/>
        </w:rPr>
        <w:t>الوافي</w:t>
      </w:r>
      <w:r w:rsidR="00744A1C">
        <w:rPr>
          <w:rtl/>
          <w:lang w:bidi="fa-IR"/>
        </w:rPr>
        <w:t xml:space="preserve"> : « فإن ».</w:t>
      </w:r>
    </w:p>
    <w:p w:rsidR="00744A1C" w:rsidRDefault="00E378DD" w:rsidP="00AE288A">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217 ، ح 733 ، معلّقاً عن الكليني. وفيه ، ص 217 ، ح 732 و 734 ، بسند آخر ، إلى قوله : « فقال : لابأس » مع اختلاف. </w:t>
      </w:r>
      <w:r w:rsidR="00744A1C" w:rsidRPr="00C24F9C">
        <w:rPr>
          <w:rStyle w:val="libFootnoteBoldChar"/>
          <w:rtl/>
        </w:rPr>
        <w:t>الفقيه</w:t>
      </w:r>
      <w:r w:rsidR="00744A1C">
        <w:rPr>
          <w:rtl/>
          <w:lang w:bidi="fa-IR"/>
        </w:rPr>
        <w:t xml:space="preserve"> ، ج 2 ، ص 494 ، ذيل ح 3058 ؛ المقنعة ، ص 452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مع اختلاف يسير </w:t>
      </w:r>
      <w:r w:rsidR="00AE288A">
        <w:rPr>
          <w:rFonts w:hint="cs"/>
          <w:rtl/>
          <w:lang w:bidi="fa-IR"/>
        </w:rPr>
        <w:t>.</w:t>
      </w:r>
      <w:r w:rsidR="00744A1C" w:rsidRPr="00C24F9C">
        <w:rPr>
          <w:rStyle w:val="libFootnoteBoldChar"/>
          <w:rtl/>
        </w:rPr>
        <w:t>الوافي</w:t>
      </w:r>
      <w:r w:rsidR="00744A1C">
        <w:rPr>
          <w:rtl/>
          <w:lang w:bidi="fa-IR"/>
        </w:rPr>
        <w:t xml:space="preserve"> ، ج 14 ، ص 1144 ، ح 13955 ؛ </w:t>
      </w:r>
      <w:r w:rsidR="00744A1C" w:rsidRPr="00C24F9C">
        <w:rPr>
          <w:rStyle w:val="libFootnoteBoldChar"/>
          <w:rtl/>
        </w:rPr>
        <w:t>الوسائل</w:t>
      </w:r>
      <w:r w:rsidR="00744A1C">
        <w:rPr>
          <w:rtl/>
          <w:lang w:bidi="fa-IR"/>
        </w:rPr>
        <w:t xml:space="preserve"> ، ج 14 ، ص 140 ، ح 18815.</w:t>
      </w:r>
      <w:r w:rsidR="00AE288A">
        <w:rPr>
          <w:rFonts w:hint="cs"/>
          <w:rtl/>
          <w:lang w:bidi="fa-IR"/>
        </w:rPr>
        <w:t xml:space="preserve">    </w:t>
      </w:r>
      <w:r>
        <w:rPr>
          <w:rtl/>
          <w:lang w:bidi="fa-IR"/>
        </w:rPr>
        <w:t>(8).</w:t>
      </w:r>
      <w:r w:rsidR="00744A1C">
        <w:rPr>
          <w:rtl/>
          <w:lang w:bidi="fa-IR"/>
        </w:rPr>
        <w:t xml:space="preserve"> في « بث » : - « بن محمّد ».</w:t>
      </w:r>
    </w:p>
    <w:p w:rsidR="00744A1C" w:rsidRDefault="00E378DD" w:rsidP="00E378DD">
      <w:pPr>
        <w:pStyle w:val="libFootnote0"/>
        <w:rPr>
          <w:lang w:bidi="fa-IR"/>
        </w:rPr>
      </w:pPr>
      <w:r>
        <w:rPr>
          <w:rtl/>
          <w:lang w:bidi="fa-IR"/>
        </w:rPr>
        <w:t>(9).</w:t>
      </w:r>
      <w:r w:rsidR="00744A1C">
        <w:rPr>
          <w:rtl/>
          <w:lang w:bidi="fa-IR"/>
        </w:rPr>
        <w:t xml:space="preserve"> في « بخ ، بف » و</w:t>
      </w:r>
      <w:r w:rsidR="00744A1C" w:rsidRPr="00C24F9C">
        <w:rPr>
          <w:rStyle w:val="libFootnoteBoldChar"/>
          <w:rtl/>
        </w:rPr>
        <w:t>الوافي</w:t>
      </w:r>
      <w:r w:rsidR="00744A1C">
        <w:rPr>
          <w:rtl/>
          <w:lang w:bidi="fa-IR"/>
        </w:rPr>
        <w:t xml:space="preserve"> : « أيأكل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أو يأكل منه ، لعلّ الضمير راجع إلى غير المضمون ».</w:t>
      </w:r>
    </w:p>
    <w:p w:rsidR="00744A1C" w:rsidRDefault="00E378DD" w:rsidP="00E378DD">
      <w:pPr>
        <w:pStyle w:val="libFootnote0"/>
        <w:rPr>
          <w:lang w:bidi="fa-IR"/>
        </w:rPr>
      </w:pPr>
      <w:r>
        <w:rPr>
          <w:rtl/>
          <w:lang w:bidi="fa-IR"/>
        </w:rPr>
        <w:t>(11).</w:t>
      </w:r>
      <w:r w:rsidR="00744A1C">
        <w:rPr>
          <w:rtl/>
          <w:lang w:bidi="fa-IR"/>
        </w:rPr>
        <w:t xml:space="preserve"> المقنعة ، ص 446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w:t>
      </w:r>
      <w:r w:rsidR="00AE288A">
        <w:rPr>
          <w:rFonts w:hint="cs"/>
          <w:rtl/>
          <w:lang w:bidi="fa-IR"/>
        </w:rPr>
        <w:t>.</w:t>
      </w:r>
      <w:r w:rsidR="00744A1C" w:rsidRPr="00C24F9C">
        <w:rPr>
          <w:rStyle w:val="libFootnoteBoldChar"/>
          <w:rtl/>
        </w:rPr>
        <w:t>الوافي</w:t>
      </w:r>
      <w:r w:rsidR="00744A1C">
        <w:rPr>
          <w:rtl/>
          <w:lang w:bidi="fa-IR"/>
        </w:rPr>
        <w:t xml:space="preserve"> ، ج 14 ، ص 1143 ، ح 13952 ؛ </w:t>
      </w:r>
      <w:r w:rsidR="00744A1C" w:rsidRPr="00C24F9C">
        <w:rPr>
          <w:rStyle w:val="libFootnoteBoldChar"/>
          <w:rtl/>
        </w:rPr>
        <w:t>الوسائل</w:t>
      </w:r>
      <w:r w:rsidR="00744A1C">
        <w:rPr>
          <w:rtl/>
          <w:lang w:bidi="fa-IR"/>
        </w:rPr>
        <w:t xml:space="preserve"> ، ج 14 ، ص 133 ، ح 18800.</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7867 / 4. عَلِيُّ بْنُ إِبْرَاهِيمَ ، عَنْ أَبِيهِ ، عَنِ ابْنِ أَبِي عُمَيْرٍ ، عَنْ حَمَّادٍ ، عَنِ الْحَلَبِيِّ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sidRPr="00D10E3C">
        <w:rPr>
          <w:rStyle w:val="libFootnotenumChar"/>
          <w:rtl/>
        </w:rPr>
        <w:t>(1)</w:t>
      </w:r>
      <w:r>
        <w:rPr>
          <w:rtl/>
          <w:lang w:bidi="fa-IR"/>
        </w:rPr>
        <w:t xml:space="preserve"> ، قَالَ : سَأَلْتُهُ </w:t>
      </w:r>
      <w:r w:rsidRPr="00D10E3C">
        <w:rPr>
          <w:rStyle w:val="libFootnotenumChar"/>
          <w:rtl/>
        </w:rPr>
        <w:t>(2)</w:t>
      </w:r>
      <w:r>
        <w:rPr>
          <w:rtl/>
          <w:lang w:bidi="fa-IR"/>
        </w:rPr>
        <w:t xml:space="preserve"> عَنِ الْهَدْيِ الْوَاجِبِ إِذَا أَصَابَهُ كَسْرٌ أَوْ عَطَبٌ </w:t>
      </w:r>
      <w:r w:rsidRPr="00D10E3C">
        <w:rPr>
          <w:rStyle w:val="libFootnotenumChar"/>
          <w:rtl/>
        </w:rPr>
        <w:t>(3)</w:t>
      </w:r>
      <w:r>
        <w:rPr>
          <w:rtl/>
          <w:lang w:bidi="fa-IR"/>
        </w:rPr>
        <w:t xml:space="preserve"> : أَيَبِيعُهُ صَاحِبُهُ </w:t>
      </w:r>
      <w:r w:rsidRPr="00D10E3C">
        <w:rPr>
          <w:rStyle w:val="libFootnotenumChar"/>
          <w:rtl/>
        </w:rPr>
        <w:t>(4)</w:t>
      </w:r>
      <w:r>
        <w:rPr>
          <w:rtl/>
          <w:lang w:bidi="fa-IR"/>
        </w:rPr>
        <w:t xml:space="preserve"> ، وَيَسْتَعِينُ بِثَمَنِهِ عَلى </w:t>
      </w:r>
      <w:r w:rsidRPr="00D10E3C">
        <w:rPr>
          <w:rStyle w:val="libFootnotenumChar"/>
          <w:rtl/>
        </w:rPr>
        <w:t>(5)</w:t>
      </w:r>
      <w:r>
        <w:rPr>
          <w:rtl/>
          <w:lang w:bidi="fa-IR"/>
        </w:rPr>
        <w:t xml:space="preserve"> هَدْيٍ آخَرَ؟</w:t>
      </w:r>
    </w:p>
    <w:p w:rsidR="00144FA6" w:rsidRDefault="00744A1C" w:rsidP="00744A1C">
      <w:pPr>
        <w:pStyle w:val="libNormal"/>
        <w:rPr>
          <w:rtl/>
          <w:lang w:bidi="fa-IR"/>
        </w:rPr>
      </w:pPr>
      <w:r>
        <w:rPr>
          <w:rtl/>
          <w:lang w:bidi="fa-IR"/>
        </w:rPr>
        <w:t xml:space="preserve">قَالَ : « يَبِيعُهُ ، وَيَتَصَدَّقُ بِثَمَنِهِ ، وَيُهْدِي هَدْياً آخَرَ ». </w:t>
      </w:r>
      <w:r w:rsidRPr="00D10E3C">
        <w:rPr>
          <w:rStyle w:val="libFootnotenumChar"/>
          <w:rtl/>
        </w:rPr>
        <w:t>(6)</w:t>
      </w:r>
    </w:p>
    <w:p w:rsidR="00144FA6" w:rsidRDefault="00744A1C" w:rsidP="00744A1C">
      <w:pPr>
        <w:pStyle w:val="libNormal"/>
        <w:rPr>
          <w:rtl/>
          <w:lang w:bidi="fa-IR"/>
        </w:rPr>
      </w:pPr>
      <w:r>
        <w:rPr>
          <w:rtl/>
          <w:lang w:bidi="fa-IR"/>
        </w:rPr>
        <w:t xml:space="preserve">7868 / 5. مُحَمَّدُ بْنُ يَحْيى ، عَنْ مُحَمَّدِ بْنِ الْحُسَيْنِ ، عَنْ صَفْوَانَ بْنِ يَحْيى </w:t>
      </w:r>
      <w:r w:rsidRPr="00D10E3C">
        <w:rPr>
          <w:rStyle w:val="libFootnotenumChar"/>
          <w:rtl/>
        </w:rPr>
        <w:t>(7)</w:t>
      </w:r>
      <w:r>
        <w:rPr>
          <w:rtl/>
          <w:lang w:bidi="fa-IR"/>
        </w:rPr>
        <w:t xml:space="preserve"> ، عَنِ الْعَلَاءِ بْنِ رَزِينٍ </w:t>
      </w:r>
      <w:r w:rsidRPr="00D10E3C">
        <w:rPr>
          <w:rStyle w:val="libFootnotenumChar"/>
          <w:rtl/>
        </w:rPr>
        <w:t>(8)</w:t>
      </w:r>
      <w:r>
        <w:rPr>
          <w:rtl/>
          <w:lang w:bidi="fa-IR"/>
        </w:rPr>
        <w:t xml:space="preserve"> ، عَنْ مُحَمَّدِ بْنِ مُسْلِمٍ :</w:t>
      </w:r>
    </w:p>
    <w:p w:rsidR="00744A1C" w:rsidRDefault="00744A1C" w:rsidP="00744A1C">
      <w:pPr>
        <w:pStyle w:val="libNormal"/>
        <w:rPr>
          <w:lang w:bidi="fa-IR"/>
        </w:rPr>
      </w:pPr>
      <w:r>
        <w:rPr>
          <w:rtl/>
          <w:lang w:bidi="fa-IR"/>
        </w:rPr>
        <w:t xml:space="preserve">عَنْ أَحَدِهِمَا </w:t>
      </w:r>
      <w:r w:rsidR="008859AA" w:rsidRPr="008859AA">
        <w:rPr>
          <w:rStyle w:val="libAlaemChar"/>
          <w:rtl/>
        </w:rPr>
        <w:t>عليهما‌السلام</w:t>
      </w:r>
      <w:r>
        <w:rPr>
          <w:rtl/>
          <w:lang w:bidi="fa-IR"/>
        </w:rPr>
        <w:t>، قَالَ : « إِذَا وَجَدَ الرَّجُلُ هَدْياً ضَالًّا ، فَلْيُعَرِّفْهُ يَوْمَ النَّحْرِ وَالْيَوْمَ الثَّانِيَ وَالْيَوْمَ الثَّالِثَ ، ثُمَّ يَذْبَحُهُ عَنْ صَاحِبِهِ عَشِيَّةَ يَوْمِ الثَّالِثِ ».</w:t>
      </w:r>
    </w:p>
    <w:p w:rsidR="00144FA6" w:rsidRDefault="00744A1C" w:rsidP="00744A1C">
      <w:pPr>
        <w:pStyle w:val="libNormal"/>
        <w:rPr>
          <w:rtl/>
          <w:lang w:bidi="fa-IR"/>
        </w:rPr>
      </w:pPr>
      <w:r>
        <w:rPr>
          <w:rtl/>
          <w:lang w:bidi="fa-IR"/>
        </w:rPr>
        <w:t xml:space="preserve">وَقَالَ فِي الرَّجُلِ يَبْعَثُ بِالْهَدْيِ </w:t>
      </w:r>
      <w:r w:rsidRPr="00D10E3C">
        <w:rPr>
          <w:rStyle w:val="libFootnotenumChar"/>
          <w:rtl/>
        </w:rPr>
        <w:t>(9)</w:t>
      </w:r>
      <w:r>
        <w:rPr>
          <w:rtl/>
          <w:lang w:bidi="fa-IR"/>
        </w:rPr>
        <w:t xml:space="preserve"> الْوَاجِبِ ، فَيَهْلِكُ </w:t>
      </w:r>
      <w:r w:rsidRPr="00D10E3C">
        <w:rPr>
          <w:rStyle w:val="libFootnotenumChar"/>
          <w:rtl/>
        </w:rPr>
        <w:t>(10)</w:t>
      </w:r>
      <w:r>
        <w:rPr>
          <w:rtl/>
          <w:lang w:bidi="fa-IR"/>
        </w:rPr>
        <w:t xml:space="preserve"> الْهَدْيُ فِي الطَّرِيقِ قَبْلَ أَنْ يَبْلُغَ ، وَلَيْسَ لَهُ سَعَةُ أَنْ يُهْدِيَ ، فَقَالَ : « اللهُ سُبْحَا</w:t>
      </w:r>
      <w:r w:rsidR="00AE288A">
        <w:rPr>
          <w:rtl/>
          <w:lang w:bidi="fa-IR"/>
        </w:rPr>
        <w:t>نَهُ أَوْلى بِالْعُذْرِ ، إِل</w:t>
      </w:r>
      <w:r w:rsidR="00AE288A">
        <w:rPr>
          <w:rFonts w:hint="cs"/>
          <w:rtl/>
          <w:lang w:bidi="fa-IR"/>
        </w:rPr>
        <w:t>َّ</w:t>
      </w:r>
      <w:r w:rsidR="00AE288A">
        <w:rPr>
          <w:rtl/>
          <w:lang w:bidi="fa-IR"/>
        </w:rPr>
        <w:t>ا</w:t>
      </w:r>
      <w:r>
        <w:rPr>
          <w:rtl/>
          <w:lang w:bidi="fa-IR"/>
        </w:rPr>
        <w:t xml:space="preserve"> أَنْ يَكُونَ يَعْلَمُ أَنَّهُ إِذَا سَأَلَ أُعْطِيَ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ح 730 : - « عن أبي عبد الله </w:t>
      </w:r>
      <w:r w:rsidR="0061079A" w:rsidRPr="0061079A">
        <w:rPr>
          <w:rStyle w:val="libFootnoteAlaemChar"/>
          <w:rtl/>
        </w:rPr>
        <w:t>عليه‌السلام</w:t>
      </w:r>
      <w:r>
        <w:rPr>
          <w:rtl/>
          <w:lang w:bidi="fa-IR"/>
        </w:rPr>
        <w:t xml:space="preserve"> </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AE288A" w:rsidTr="00AE288A">
        <w:tc>
          <w:tcPr>
            <w:tcW w:w="4006" w:type="dxa"/>
          </w:tcPr>
          <w:p w:rsidR="00AE288A" w:rsidRDefault="00AE288A" w:rsidP="00E378DD">
            <w:pPr>
              <w:pStyle w:val="libFootnote0"/>
              <w:rPr>
                <w:rtl/>
                <w:lang w:bidi="fa-IR"/>
              </w:rPr>
            </w:pPr>
            <w:r>
              <w:rPr>
                <w:rtl/>
                <w:lang w:bidi="fa-IR"/>
              </w:rPr>
              <w:t>(2). في « بف » : « سألت ».</w:t>
            </w:r>
          </w:p>
        </w:tc>
        <w:tc>
          <w:tcPr>
            <w:tcW w:w="4006" w:type="dxa"/>
          </w:tcPr>
          <w:p w:rsidR="00AE288A" w:rsidRDefault="00AE288A" w:rsidP="00E378DD">
            <w:pPr>
              <w:pStyle w:val="libFootnote0"/>
              <w:rPr>
                <w:rtl/>
                <w:lang w:bidi="fa-IR"/>
              </w:rPr>
            </w:pPr>
            <w:r>
              <w:rPr>
                <w:rtl/>
                <w:lang w:bidi="fa-IR"/>
              </w:rPr>
              <w:t>(3). في « جن » : « وعطب ».</w:t>
            </w:r>
          </w:p>
        </w:tc>
      </w:tr>
      <w:tr w:rsidR="00AE288A" w:rsidTr="00AE288A">
        <w:tc>
          <w:tcPr>
            <w:tcW w:w="4006" w:type="dxa"/>
          </w:tcPr>
          <w:p w:rsidR="00AE288A" w:rsidRDefault="00AE288A" w:rsidP="00E378DD">
            <w:pPr>
              <w:pStyle w:val="libFootnote0"/>
              <w:rPr>
                <w:rtl/>
                <w:lang w:bidi="fa-IR"/>
              </w:rPr>
            </w:pPr>
            <w:r>
              <w:rPr>
                <w:rtl/>
                <w:lang w:bidi="fa-IR"/>
              </w:rPr>
              <w:t>(4). في « ى » : - « صاحبه ».</w:t>
            </w:r>
          </w:p>
        </w:tc>
        <w:tc>
          <w:tcPr>
            <w:tcW w:w="4006" w:type="dxa"/>
          </w:tcPr>
          <w:p w:rsidR="00AE288A" w:rsidRDefault="00AE288A" w:rsidP="00E378DD">
            <w:pPr>
              <w:pStyle w:val="libFootnote0"/>
              <w:rPr>
                <w:rtl/>
                <w:lang w:bidi="fa-IR"/>
              </w:rPr>
            </w:pPr>
            <w:r>
              <w:rPr>
                <w:rtl/>
                <w:lang w:bidi="fa-IR"/>
              </w:rPr>
              <w:t xml:space="preserve">(5). في « بخ » </w:t>
            </w:r>
            <w:r w:rsidRPr="0061079A">
              <w:rPr>
                <w:rStyle w:val="libFootnoteBoldChar"/>
                <w:rtl/>
              </w:rPr>
              <w:t>والتهذيب</w:t>
            </w:r>
            <w:r>
              <w:rPr>
                <w:rtl/>
                <w:lang w:bidi="fa-IR"/>
              </w:rPr>
              <w:t xml:space="preserve"> : « في ».</w:t>
            </w:r>
          </w:p>
        </w:tc>
      </w:tr>
    </w:tbl>
    <w:p w:rsidR="00744A1C" w:rsidRDefault="00E378DD" w:rsidP="00AE288A">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217 ، ح 730 ، معلّقاً عن الكليني. وفيه ، ص 217 ، صدر ح 731 ؛ و</w:t>
      </w:r>
      <w:r w:rsidR="00744A1C" w:rsidRPr="00C24F9C">
        <w:rPr>
          <w:rStyle w:val="libFootnoteBoldChar"/>
          <w:rtl/>
        </w:rPr>
        <w:t>الفقيه</w:t>
      </w:r>
      <w:r w:rsidR="00744A1C">
        <w:rPr>
          <w:rtl/>
          <w:lang w:bidi="fa-IR"/>
        </w:rPr>
        <w:t xml:space="preserve"> ، ج 2 ، ص 502 ، ح 3077 ، بسند آخر عن أحدهما </w:t>
      </w:r>
      <w:r w:rsidR="00F112A7" w:rsidRPr="00CE5A92">
        <w:rPr>
          <w:rStyle w:val="libFootnoteAlaemChar"/>
          <w:rtl/>
        </w:rPr>
        <w:t>عليهما‌السلام</w:t>
      </w:r>
      <w:r w:rsidR="00744A1C">
        <w:rPr>
          <w:rtl/>
          <w:lang w:bidi="fa-IR"/>
        </w:rPr>
        <w:t xml:space="preserve">، مع اختلاف يسير </w:t>
      </w:r>
      <w:r w:rsidR="00AE288A">
        <w:rPr>
          <w:rFonts w:hint="cs"/>
          <w:rtl/>
          <w:lang w:bidi="fa-IR"/>
        </w:rPr>
        <w:t>.</w:t>
      </w:r>
      <w:r w:rsidR="00744A1C" w:rsidRPr="00C24F9C">
        <w:rPr>
          <w:rStyle w:val="libFootnoteBoldChar"/>
          <w:rtl/>
        </w:rPr>
        <w:t>الوافي</w:t>
      </w:r>
      <w:r w:rsidR="00AE288A">
        <w:rPr>
          <w:rtl/>
          <w:lang w:bidi="fa-IR"/>
        </w:rPr>
        <w:t xml:space="preserve"> ، ج 14 ، ص 1146 ، ح 13964</w:t>
      </w:r>
      <w:r w:rsidR="00744A1C">
        <w:rPr>
          <w:rtl/>
          <w:lang w:bidi="fa-IR"/>
        </w:rPr>
        <w:t>؛</w:t>
      </w:r>
      <w:r w:rsidR="00744A1C" w:rsidRPr="00C24F9C">
        <w:rPr>
          <w:rStyle w:val="libFootnoteBoldChar"/>
          <w:rtl/>
        </w:rPr>
        <w:t>الوسائل</w:t>
      </w:r>
      <w:r w:rsidR="00AE288A">
        <w:rPr>
          <w:rtl/>
          <w:lang w:bidi="fa-IR"/>
        </w:rPr>
        <w:t>،ج 14،ص 136 ،</w:t>
      </w:r>
      <w:r w:rsidR="00744A1C">
        <w:rPr>
          <w:rtl/>
          <w:lang w:bidi="fa-IR"/>
        </w:rPr>
        <w:t>ح 18807.</w:t>
      </w:r>
      <w:r w:rsidR="00AE288A">
        <w:rPr>
          <w:rFonts w:hint="cs"/>
          <w:rtl/>
          <w:lang w:bidi="fa-IR"/>
        </w:rPr>
        <w:t xml:space="preserve">    </w:t>
      </w:r>
      <w:r>
        <w:rPr>
          <w:rtl/>
          <w:lang w:bidi="fa-IR"/>
        </w:rPr>
        <w:t>(7).</w:t>
      </w:r>
      <w:r w:rsidR="00744A1C">
        <w:rPr>
          <w:rtl/>
          <w:lang w:bidi="fa-IR"/>
        </w:rPr>
        <w:t xml:space="preserve"> في « بف ، جر » : - « بن يحيى ».</w:t>
      </w:r>
    </w:p>
    <w:tbl>
      <w:tblPr>
        <w:tblStyle w:val="TableGrid"/>
        <w:bidiVisual/>
        <w:tblW w:w="0" w:type="auto"/>
        <w:tblLook w:val="04A0" w:firstRow="1" w:lastRow="0" w:firstColumn="1" w:lastColumn="0" w:noHBand="0" w:noVBand="1"/>
      </w:tblPr>
      <w:tblGrid>
        <w:gridCol w:w="4006"/>
        <w:gridCol w:w="4006"/>
      </w:tblGrid>
      <w:tr w:rsidR="00AE288A" w:rsidTr="00AE288A">
        <w:tc>
          <w:tcPr>
            <w:tcW w:w="4006" w:type="dxa"/>
          </w:tcPr>
          <w:p w:rsidR="00AE288A" w:rsidRDefault="00AE288A" w:rsidP="00E378DD">
            <w:pPr>
              <w:pStyle w:val="libFootnote0"/>
              <w:rPr>
                <w:rtl/>
                <w:lang w:bidi="fa-IR"/>
              </w:rPr>
            </w:pPr>
            <w:r>
              <w:rPr>
                <w:rtl/>
                <w:lang w:bidi="fa-IR"/>
              </w:rPr>
              <w:t>(8). في « بف ، جر » : - « بن رزين ».</w:t>
            </w:r>
          </w:p>
        </w:tc>
        <w:tc>
          <w:tcPr>
            <w:tcW w:w="4006" w:type="dxa"/>
          </w:tcPr>
          <w:p w:rsidR="00AE288A" w:rsidRDefault="00AE288A" w:rsidP="00E378DD">
            <w:pPr>
              <w:pStyle w:val="libFootnote0"/>
              <w:rPr>
                <w:rtl/>
                <w:lang w:bidi="fa-IR"/>
              </w:rPr>
            </w:pPr>
            <w:r>
              <w:rPr>
                <w:rtl/>
                <w:lang w:bidi="fa-IR"/>
              </w:rPr>
              <w:t>(9). في « بث » : « الهدي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الوسائل</w:t>
      </w:r>
      <w:r w:rsidR="00744A1C">
        <w:rPr>
          <w:rtl/>
          <w:lang w:bidi="fa-IR"/>
        </w:rPr>
        <w:t xml:space="preserve"> ، ح 18801 : « فهلك ».</w:t>
      </w:r>
    </w:p>
    <w:p w:rsidR="00744A1C" w:rsidRDefault="00E378DD" w:rsidP="00E378DD">
      <w:pPr>
        <w:pStyle w:val="libFootnote0"/>
        <w:rPr>
          <w:lang w:bidi="fa-IR"/>
        </w:rPr>
      </w:pPr>
      <w:r>
        <w:rPr>
          <w:rtl/>
          <w:lang w:bidi="fa-IR"/>
        </w:rPr>
        <w:t>(11).</w:t>
      </w:r>
      <w:r w:rsidR="00744A1C">
        <w:rPr>
          <w:rtl/>
          <w:lang w:bidi="fa-IR"/>
        </w:rPr>
        <w:t xml:space="preserve"> في </w:t>
      </w:r>
      <w:r w:rsidR="00744A1C" w:rsidRPr="00877682">
        <w:rPr>
          <w:rStyle w:val="libFootnoteBoldChar"/>
          <w:rtl/>
        </w:rPr>
        <w:t>مرآة العقول</w:t>
      </w:r>
      <w:r w:rsidR="00744A1C">
        <w:rPr>
          <w:rtl/>
          <w:lang w:bidi="fa-IR"/>
        </w:rPr>
        <w:t xml:space="preserve"> ، ج 18 ، ص 172 : « قوله </w:t>
      </w:r>
      <w:r w:rsidR="0061079A" w:rsidRPr="0061079A">
        <w:rPr>
          <w:rStyle w:val="libFootnoteAlaemChar"/>
          <w:rtl/>
        </w:rPr>
        <w:t>عليه‌السلام</w:t>
      </w:r>
      <w:r w:rsidR="00D10E3C">
        <w:rPr>
          <w:rtl/>
          <w:lang w:bidi="fa-IR"/>
        </w:rPr>
        <w:t xml:space="preserve"> </w:t>
      </w:r>
      <w:r w:rsidR="00744A1C">
        <w:rPr>
          <w:rtl/>
          <w:lang w:bidi="fa-IR"/>
        </w:rPr>
        <w:t>: إذا سأل ا</w:t>
      </w:r>
      <w:r w:rsidR="00A32C9F">
        <w:rPr>
          <w:rFonts w:hint="cs"/>
          <w:rtl/>
          <w:lang w:bidi="fa-IR"/>
        </w:rPr>
        <w:t>ُ</w:t>
      </w:r>
      <w:r w:rsidR="00744A1C">
        <w:rPr>
          <w:rtl/>
          <w:lang w:bidi="fa-IR"/>
        </w:rPr>
        <w:t>عطي ، أي إذا سأل الناس يعطونه ، ويدلّ على تقدّم السؤال على الصوم ، وهو أحوط ، واحتمال كون المراد سؤال الله تعالى بعيد جدّاً. ويحتمل أن يكون المراد أنّه إذا بعث رجل هدياً مع وكيل فعطب الهدي ولم يكن للوكيل</w:t>
      </w:r>
      <w:r w:rsidR="00A32C9F">
        <w:rPr>
          <w:rtl/>
          <w:lang w:bidi="fa-IR"/>
        </w:rPr>
        <w:t xml:space="preserve"> سعة ، فليس على الوكيل شي‌ء إل</w:t>
      </w:r>
      <w:r w:rsidR="00A32C9F">
        <w:rPr>
          <w:rFonts w:hint="cs"/>
          <w:rtl/>
          <w:lang w:bidi="fa-IR"/>
        </w:rPr>
        <w:t>ّ</w:t>
      </w:r>
      <w:r w:rsidR="00A32C9F">
        <w:rPr>
          <w:rtl/>
          <w:lang w:bidi="fa-IR"/>
        </w:rPr>
        <w:t>ا</w:t>
      </w:r>
      <w:r w:rsidR="00744A1C">
        <w:rPr>
          <w:rtl/>
          <w:lang w:bidi="fa-IR"/>
        </w:rPr>
        <w:t xml:space="preserve"> إذا علم أنّه إذا اقترض يعطيه الموكّل ، فيحتمل حينئذ وجهين : الأوّل : أن يكون المراد بالسؤال السؤال عن الموكّل. والثاني : أن يكون المراد سؤال القرض عن الناس ، ويحتمل الأعمّ ، والله يعلم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217 ، ذيل ح 731 ، بسنده عن صفوان بن يحيى وفضالة ، عن العلاء ، عن محمّد بن </w:t>
      </w:r>
      <w:r w:rsidR="00A32C9F">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7869 / 6. أَبُو عَلِيٍّ الْأَشْعَرِيُّ ، عَنْ مُحَمَّدِ بْنِ عَبْدِ الْجَبَّارِ ، عَنْ صَفْوَانَ بْنِ يَحْيى </w:t>
      </w:r>
      <w:r w:rsidRPr="00D10E3C">
        <w:rPr>
          <w:rStyle w:val="libFootnotenumChar"/>
          <w:rtl/>
        </w:rPr>
        <w:t>(1)</w:t>
      </w:r>
      <w:r>
        <w:rPr>
          <w:rtl/>
          <w:lang w:bidi="fa-IR"/>
        </w:rPr>
        <w:t xml:space="preserve"> ، عَنْ عَبْدِ الرَّحْمنِ بْنِ الْحَجَّاجِ ، قَالَ :</w:t>
      </w:r>
    </w:p>
    <w:p w:rsidR="00744A1C" w:rsidRDefault="00744A1C" w:rsidP="00744A1C">
      <w:pPr>
        <w:pStyle w:val="libNormal"/>
        <w:rPr>
          <w:lang w:bidi="fa-IR"/>
        </w:rPr>
      </w:pPr>
      <w:r>
        <w:rPr>
          <w:rtl/>
          <w:lang w:bidi="fa-IR"/>
        </w:rPr>
        <w:t xml:space="preserve">سَأَلْتُ أَبَا إِبْرَاهِيمَ </w:t>
      </w:r>
      <w:r w:rsidR="0061079A" w:rsidRPr="0061079A">
        <w:rPr>
          <w:rStyle w:val="libAlaemChar"/>
          <w:rtl/>
        </w:rPr>
        <w:t>عليه‌السلام</w:t>
      </w:r>
      <w:r w:rsidR="00D10E3C">
        <w:rPr>
          <w:rtl/>
          <w:lang w:bidi="fa-IR"/>
        </w:rPr>
        <w:t xml:space="preserve"> </w:t>
      </w:r>
      <w:r>
        <w:rPr>
          <w:rtl/>
          <w:lang w:bidi="fa-IR"/>
        </w:rPr>
        <w:t xml:space="preserve">عَنْ رَجُلٍ اشْتَرى هَدْياً لِمُتْعَتِهِ ، فَأَتى بِهِ أَهْلَهُ </w:t>
      </w:r>
      <w:r w:rsidRPr="00D10E3C">
        <w:rPr>
          <w:rStyle w:val="libFootnotenumChar"/>
          <w:rtl/>
        </w:rPr>
        <w:t>(2)</w:t>
      </w:r>
      <w:r>
        <w:rPr>
          <w:rtl/>
          <w:lang w:bidi="fa-IR"/>
        </w:rPr>
        <w:t xml:space="preserve"> وَرَبَطَهُ </w:t>
      </w:r>
      <w:r w:rsidRPr="00D10E3C">
        <w:rPr>
          <w:rStyle w:val="libFootnotenumChar"/>
          <w:rtl/>
        </w:rPr>
        <w:t>(3)</w:t>
      </w:r>
      <w:r>
        <w:rPr>
          <w:rtl/>
          <w:lang w:bidi="fa-IR"/>
        </w:rPr>
        <w:t xml:space="preserve"> ، ثُمَّ انْحَلَّ </w:t>
      </w:r>
      <w:r w:rsidRPr="00D10E3C">
        <w:rPr>
          <w:rStyle w:val="libFootnotenumChar"/>
          <w:rtl/>
        </w:rPr>
        <w:t>(4)</w:t>
      </w:r>
      <w:r>
        <w:rPr>
          <w:rtl/>
          <w:lang w:bidi="fa-IR"/>
        </w:rPr>
        <w:t xml:space="preserve"> فَهَلَكَ </w:t>
      </w:r>
      <w:r w:rsidRPr="00D10E3C">
        <w:rPr>
          <w:rStyle w:val="libFootnotenumChar"/>
          <w:rtl/>
        </w:rPr>
        <w:t>(5)</w:t>
      </w:r>
      <w:r>
        <w:rPr>
          <w:rtl/>
          <w:lang w:bidi="fa-IR"/>
        </w:rPr>
        <w:t xml:space="preserve"> : هَلْ </w:t>
      </w:r>
      <w:r w:rsidRPr="00D10E3C">
        <w:rPr>
          <w:rStyle w:val="libFootnotenumChar"/>
          <w:rtl/>
        </w:rPr>
        <w:t>(6)</w:t>
      </w:r>
      <w:r>
        <w:rPr>
          <w:rtl/>
          <w:lang w:bidi="fa-IR"/>
        </w:rPr>
        <w:t xml:space="preserve"> يُجْزِئُهُ ، أَوْ يُعِيدُ؟</w:t>
      </w:r>
    </w:p>
    <w:p w:rsidR="00144FA6" w:rsidRDefault="00744A1C" w:rsidP="00744A1C">
      <w:pPr>
        <w:pStyle w:val="libNormal"/>
        <w:rPr>
          <w:rtl/>
          <w:lang w:bidi="fa-IR"/>
        </w:rPr>
      </w:pPr>
      <w:r>
        <w:rPr>
          <w:rtl/>
          <w:lang w:bidi="fa-IR"/>
        </w:rPr>
        <w:t>ق</w:t>
      </w:r>
      <w:r w:rsidR="00CC7571">
        <w:rPr>
          <w:rtl/>
          <w:lang w:bidi="fa-IR"/>
        </w:rPr>
        <w:t>َالَ : « لَا يُجْزِئُهُ ، إِل</w:t>
      </w:r>
      <w:r w:rsidR="00CC7571">
        <w:rPr>
          <w:rFonts w:hint="cs"/>
          <w:rtl/>
          <w:lang w:bidi="fa-IR"/>
        </w:rPr>
        <w:t>َّ</w:t>
      </w:r>
      <w:r w:rsidR="00CC7571">
        <w:rPr>
          <w:rtl/>
          <w:lang w:bidi="fa-IR"/>
        </w:rPr>
        <w:t>ا</w:t>
      </w:r>
      <w:r>
        <w:rPr>
          <w:rtl/>
          <w:lang w:bidi="fa-IR"/>
        </w:rPr>
        <w:t xml:space="preserve"> أَنْ يَكُونَ </w:t>
      </w:r>
      <w:r w:rsidRPr="00D10E3C">
        <w:rPr>
          <w:rStyle w:val="libFootnotenumChar"/>
          <w:rtl/>
        </w:rPr>
        <w:t>(7)</w:t>
      </w:r>
      <w:r>
        <w:rPr>
          <w:rtl/>
          <w:lang w:bidi="fa-IR"/>
        </w:rPr>
        <w:t xml:space="preserve"> لَاقُوَّةَ بِهِ عَلَيْهِ ». </w:t>
      </w:r>
      <w:r w:rsidRPr="00D10E3C">
        <w:rPr>
          <w:rStyle w:val="libFootnotenumChar"/>
          <w:rtl/>
        </w:rPr>
        <w:t>(8)</w:t>
      </w:r>
    </w:p>
    <w:p w:rsidR="00144FA6" w:rsidRDefault="00744A1C" w:rsidP="00744A1C">
      <w:pPr>
        <w:pStyle w:val="libNormal"/>
        <w:rPr>
          <w:rtl/>
          <w:lang w:bidi="fa-IR"/>
        </w:rPr>
      </w:pPr>
      <w:r>
        <w:rPr>
          <w:rtl/>
          <w:lang w:bidi="fa-IR"/>
        </w:rPr>
        <w:t>7870 / 7. مُحَمَّدُ بْنُ يَحْيى ، عَنْ أَحْمَدَ بْنِ مُحَمَّدٍ ، عَنْ مُحَمَّدِ بْنِ سِنَانٍ ، عَنِ ابْنِ‌ مُسْكَانَ ، عَنْ أَبِي بَصِيرٍ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w:t>
      </w:r>
      <w:r w:rsidRPr="00D10E3C">
        <w:rPr>
          <w:rStyle w:val="libFootnotenumChar"/>
          <w:rtl/>
        </w:rPr>
        <w:t>(9)</w:t>
      </w:r>
      <w:r>
        <w:rPr>
          <w:rtl/>
          <w:lang w:bidi="fa-IR"/>
        </w:rPr>
        <w:t xml:space="preserve"> عَنْ رَجُلٍ اشْتَرى كَبْشاً </w:t>
      </w:r>
      <w:r w:rsidRPr="00D10E3C">
        <w:rPr>
          <w:rStyle w:val="libFootnotenumChar"/>
          <w:rtl/>
        </w:rPr>
        <w:t>(10)</w:t>
      </w:r>
      <w:r>
        <w:rPr>
          <w:rtl/>
          <w:lang w:bidi="fa-IR"/>
        </w:rPr>
        <w:t xml:space="preserve"> ، فَهَلَكَ </w:t>
      </w:r>
      <w:r w:rsidRPr="00D10E3C">
        <w:rPr>
          <w:rStyle w:val="libFootnotenumChar"/>
          <w:rtl/>
        </w:rPr>
        <w:t>(11)</w:t>
      </w:r>
      <w:r>
        <w:rPr>
          <w:rtl/>
          <w:lang w:bidi="fa-IR"/>
        </w:rPr>
        <w:t xml:space="preserve"> مِنْهُ؟</w:t>
      </w:r>
    </w:p>
    <w:p w:rsidR="00744A1C" w:rsidRDefault="00744A1C" w:rsidP="00D10E3C">
      <w:pPr>
        <w:pStyle w:val="libLine"/>
        <w:rPr>
          <w:lang w:bidi="fa-IR"/>
        </w:rPr>
      </w:pPr>
      <w:r>
        <w:rPr>
          <w:rtl/>
          <w:lang w:bidi="fa-IR"/>
        </w:rPr>
        <w:t>____________________</w:t>
      </w:r>
    </w:p>
    <w:p w:rsidR="00744A1C" w:rsidRDefault="004A4ACB" w:rsidP="00D10E3C">
      <w:pPr>
        <w:pStyle w:val="libFootnote0"/>
        <w:rPr>
          <w:lang w:bidi="fa-IR"/>
        </w:rPr>
      </w:pPr>
      <w:r>
        <w:rPr>
          <w:rFonts w:hint="cs"/>
          <w:rtl/>
          <w:lang w:bidi="fa-IR"/>
        </w:rPr>
        <w:t xml:space="preserve">= </w:t>
      </w:r>
      <w:r w:rsidR="00744A1C">
        <w:rPr>
          <w:rtl/>
          <w:lang w:bidi="fa-IR"/>
        </w:rPr>
        <w:t xml:space="preserve">مسلم. النوادر للأشعري ، ص 137 ، ضمن ح 357 ، بسند آخر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وفيهما إلى قوله : « عشيّة يوم الثالث » </w:t>
      </w:r>
      <w:r w:rsidR="003C1019">
        <w:rPr>
          <w:rFonts w:hint="cs"/>
          <w:rtl/>
          <w:lang w:bidi="fa-IR"/>
        </w:rPr>
        <w:t>.</w:t>
      </w:r>
      <w:r w:rsidR="00744A1C" w:rsidRPr="00C24F9C">
        <w:rPr>
          <w:rStyle w:val="libFootnoteBoldChar"/>
          <w:rtl/>
        </w:rPr>
        <w:t>الوافي</w:t>
      </w:r>
      <w:r w:rsidR="00744A1C">
        <w:rPr>
          <w:rtl/>
          <w:lang w:bidi="fa-IR"/>
        </w:rPr>
        <w:t xml:space="preserve"> ، ج 14 ، ص 1148 ، ح 13969 ؛ </w:t>
      </w:r>
      <w:r w:rsidR="00744A1C" w:rsidRPr="00C24F9C">
        <w:rPr>
          <w:rStyle w:val="libFootnoteBoldChar"/>
          <w:rtl/>
        </w:rPr>
        <w:t>الوسائل</w:t>
      </w:r>
      <w:r w:rsidR="00744A1C">
        <w:rPr>
          <w:rtl/>
          <w:lang w:bidi="fa-IR"/>
        </w:rPr>
        <w:t xml:space="preserve"> ، ج 14 ، ص 134 ، ح 18801 ، من قوله : « قال : في الرجل يبعث بالهدي » ؛ وفيه ، ص 137 ، ذيل ح 18809 </w:t>
      </w:r>
      <w:r w:rsidR="00596830">
        <w:rPr>
          <w:rtl/>
          <w:lang w:bidi="fa-IR"/>
        </w:rPr>
        <w:t>، إلى قوله : « عشيّة يوم الثالث</w:t>
      </w:r>
      <w:r w:rsidR="00744A1C">
        <w:rPr>
          <w:rtl/>
          <w:lang w:bidi="fa-IR"/>
        </w:rPr>
        <w:t>».</w:t>
      </w:r>
    </w:p>
    <w:p w:rsidR="00744A1C" w:rsidRDefault="00D10E3C" w:rsidP="00D10E3C">
      <w:pPr>
        <w:pStyle w:val="libFootnote0"/>
        <w:rPr>
          <w:lang w:bidi="fa-IR"/>
        </w:rPr>
      </w:pPr>
      <w:r>
        <w:rPr>
          <w:rtl/>
          <w:lang w:bidi="fa-IR"/>
        </w:rPr>
        <w:t>(1).</w:t>
      </w:r>
      <w:r w:rsidR="00744A1C">
        <w:rPr>
          <w:rtl/>
          <w:lang w:bidi="fa-IR"/>
        </w:rPr>
        <w:t xml:space="preserve"> في « بف ، جر » </w:t>
      </w:r>
      <w:r w:rsidR="00744A1C" w:rsidRPr="00AF0979">
        <w:rPr>
          <w:rtl/>
        </w:rPr>
        <w:t>والوسائل والتهذيب والاستبصار : -</w:t>
      </w:r>
      <w:r w:rsidR="00744A1C">
        <w:rPr>
          <w:rtl/>
          <w:lang w:bidi="fa-IR"/>
        </w:rPr>
        <w:t xml:space="preserve"> « بن يحيى ».</w:t>
      </w:r>
    </w:p>
    <w:p w:rsidR="00744A1C" w:rsidRDefault="00E378DD" w:rsidP="00E378DD">
      <w:pPr>
        <w:pStyle w:val="libFootnote0"/>
        <w:rPr>
          <w:lang w:bidi="fa-IR"/>
        </w:rPr>
      </w:pPr>
      <w:r>
        <w:rPr>
          <w:rtl/>
          <w:lang w:bidi="fa-IR"/>
        </w:rPr>
        <w:t>(2).</w:t>
      </w:r>
      <w:r w:rsidR="00744A1C">
        <w:rPr>
          <w:rtl/>
          <w:lang w:bidi="fa-IR"/>
        </w:rPr>
        <w:t xml:space="preserve"> في « بخ ، بف ، جد » </w:t>
      </w:r>
      <w:r w:rsidR="00744A1C" w:rsidRPr="00AF0979">
        <w:rPr>
          <w:rtl/>
        </w:rPr>
        <w:t>والوافي والوسائل والفقيه والتهذيب والاستبصار : « م</w:t>
      </w:r>
      <w:r w:rsidR="00744A1C">
        <w:rPr>
          <w:rtl/>
          <w:lang w:bidi="fa-IR"/>
        </w:rPr>
        <w:t>نزله ».</w:t>
      </w:r>
    </w:p>
    <w:tbl>
      <w:tblPr>
        <w:tblStyle w:val="TableGrid"/>
        <w:bidiVisual/>
        <w:tblW w:w="0" w:type="auto"/>
        <w:tblLook w:val="04A0" w:firstRow="1" w:lastRow="0" w:firstColumn="1" w:lastColumn="0" w:noHBand="0" w:noVBand="1"/>
      </w:tblPr>
      <w:tblGrid>
        <w:gridCol w:w="4006"/>
        <w:gridCol w:w="4006"/>
      </w:tblGrid>
      <w:tr w:rsidR="003C1019" w:rsidTr="003C1019">
        <w:tc>
          <w:tcPr>
            <w:tcW w:w="4006" w:type="dxa"/>
          </w:tcPr>
          <w:p w:rsidR="003C1019" w:rsidRDefault="003C1019" w:rsidP="00E378DD">
            <w:pPr>
              <w:pStyle w:val="libFootnote0"/>
              <w:rPr>
                <w:rtl/>
                <w:lang w:bidi="fa-IR"/>
              </w:rPr>
            </w:pPr>
            <w:r>
              <w:rPr>
                <w:rtl/>
                <w:lang w:bidi="fa-IR"/>
              </w:rPr>
              <w:t xml:space="preserve">(3). </w:t>
            </w:r>
            <w:r w:rsidRPr="00AF0979">
              <w:rPr>
                <w:rtl/>
              </w:rPr>
              <w:t>في الوافي والوسائل والفقيه</w:t>
            </w:r>
            <w:r>
              <w:rPr>
                <w:rtl/>
                <w:lang w:bidi="fa-IR"/>
              </w:rPr>
              <w:t xml:space="preserve"> : « فربطه ».</w:t>
            </w:r>
          </w:p>
        </w:tc>
        <w:tc>
          <w:tcPr>
            <w:tcW w:w="4006" w:type="dxa"/>
          </w:tcPr>
          <w:p w:rsidR="003C1019" w:rsidRDefault="003C1019" w:rsidP="00E378DD">
            <w:pPr>
              <w:pStyle w:val="libFootnote0"/>
              <w:rPr>
                <w:rtl/>
                <w:lang w:bidi="fa-IR"/>
              </w:rPr>
            </w:pPr>
            <w:r>
              <w:rPr>
                <w:rtl/>
                <w:lang w:bidi="fa-IR"/>
              </w:rPr>
              <w:t xml:space="preserve">(4). في </w:t>
            </w:r>
            <w:r w:rsidRPr="00C24F9C">
              <w:rPr>
                <w:rStyle w:val="libFootnoteBoldChar"/>
                <w:rtl/>
              </w:rPr>
              <w:t>التهذيب</w:t>
            </w:r>
            <w:r>
              <w:rPr>
                <w:rtl/>
                <w:lang w:bidi="fa-IR"/>
              </w:rPr>
              <w:t xml:space="preserve"> </w:t>
            </w:r>
            <w:r w:rsidRPr="00C24F9C">
              <w:rPr>
                <w:rStyle w:val="libFootnoteBoldChar"/>
                <w:rtl/>
              </w:rPr>
              <w:t>والاستبصار</w:t>
            </w:r>
            <w:r>
              <w:rPr>
                <w:rtl/>
                <w:lang w:bidi="fa-IR"/>
              </w:rPr>
              <w:t xml:space="preserve"> : « فانحلّ ».</w:t>
            </w:r>
          </w:p>
        </w:tc>
      </w:tr>
    </w:tbl>
    <w:p w:rsidR="00744A1C" w:rsidRDefault="00E378DD" w:rsidP="00E378DD">
      <w:pPr>
        <w:pStyle w:val="libFootnote0"/>
        <w:rPr>
          <w:lang w:bidi="fa-IR"/>
        </w:rPr>
      </w:pPr>
      <w:r>
        <w:rPr>
          <w:rtl/>
          <w:lang w:bidi="fa-IR"/>
        </w:rPr>
        <w:t>(5).</w:t>
      </w:r>
      <w:r w:rsidR="00744A1C">
        <w:rPr>
          <w:rtl/>
          <w:lang w:bidi="fa-IR"/>
        </w:rPr>
        <w:t xml:space="preserve"> هكذا في جميع النسخ التي قوبلت </w:t>
      </w:r>
      <w:r w:rsidR="00744A1C" w:rsidRPr="00AF0979">
        <w:rPr>
          <w:rtl/>
        </w:rPr>
        <w:t>والوافي والوسائل والفقيه والتهذيب</w:t>
      </w:r>
      <w:r w:rsidR="00744A1C">
        <w:rPr>
          <w:rtl/>
          <w:lang w:bidi="fa-IR"/>
        </w:rPr>
        <w:t xml:space="preserve">. وفي المطبوع </w:t>
      </w:r>
      <w:r w:rsidR="00744A1C" w:rsidRPr="00C24F9C">
        <w:rPr>
          <w:rStyle w:val="libFootnoteBoldChar"/>
          <w:rtl/>
        </w:rPr>
        <w:t>والاستبصار</w:t>
      </w:r>
      <w:r w:rsidR="00744A1C">
        <w:rPr>
          <w:rtl/>
          <w:lang w:bidi="fa-IR"/>
        </w:rPr>
        <w:t xml:space="preserve"> : « وهلك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فهل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AF0979">
        <w:rPr>
          <w:rtl/>
          <w:lang w:bidi="fa-IR"/>
        </w:rPr>
        <w:t>: إل</w:t>
      </w:r>
      <w:r w:rsidR="00AF0979">
        <w:rPr>
          <w:rFonts w:hint="cs"/>
          <w:rtl/>
          <w:lang w:bidi="fa-IR"/>
        </w:rPr>
        <w:t>ّ</w:t>
      </w:r>
      <w:r w:rsidR="00AF0979">
        <w:rPr>
          <w:rtl/>
          <w:lang w:bidi="fa-IR"/>
        </w:rPr>
        <w:t>ا</w:t>
      </w:r>
      <w:r w:rsidR="00744A1C">
        <w:rPr>
          <w:rtl/>
          <w:lang w:bidi="fa-IR"/>
        </w:rPr>
        <w:t xml:space="preserve"> أن يكون ، ظاهره الإجزاء مع تعذّر البدل ، وهو مخالف للمشهور ، ويمكن حمله على الانتقال إلى الصوم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216 ، ح 729 ؛ </w:t>
      </w:r>
      <w:r w:rsidR="00744A1C" w:rsidRPr="00C24F9C">
        <w:rPr>
          <w:rStyle w:val="libFootnoteBoldChar"/>
          <w:rtl/>
        </w:rPr>
        <w:t>والاستبصار</w:t>
      </w:r>
      <w:r w:rsidR="00744A1C">
        <w:rPr>
          <w:rtl/>
          <w:lang w:bidi="fa-IR"/>
        </w:rPr>
        <w:t xml:space="preserve"> ، ج 2 ، ص 271 ، ح 960 ، معلّقاً عن الكليني. </w:t>
      </w:r>
      <w:r w:rsidR="00744A1C" w:rsidRPr="00C24F9C">
        <w:rPr>
          <w:rStyle w:val="libFootnoteBoldChar"/>
          <w:rtl/>
        </w:rPr>
        <w:t>الفقيه</w:t>
      </w:r>
      <w:r w:rsidR="00744A1C">
        <w:rPr>
          <w:rtl/>
          <w:lang w:bidi="fa-IR"/>
        </w:rPr>
        <w:t xml:space="preserve"> ، ج 2 ، ص 501 ، ح 3074 ، معلّقاً عن عبدالرحمن بن الحجّاج </w:t>
      </w:r>
      <w:r w:rsidR="00ED0988">
        <w:rPr>
          <w:rFonts w:hint="cs"/>
          <w:rtl/>
          <w:lang w:bidi="fa-IR"/>
        </w:rPr>
        <w:t>.</w:t>
      </w:r>
      <w:r w:rsidR="00744A1C" w:rsidRPr="00C24F9C">
        <w:rPr>
          <w:rStyle w:val="libFootnoteBoldChar"/>
          <w:rtl/>
        </w:rPr>
        <w:t>الوافي</w:t>
      </w:r>
      <w:r w:rsidR="00744A1C">
        <w:rPr>
          <w:rtl/>
          <w:lang w:bidi="fa-IR"/>
        </w:rPr>
        <w:t xml:space="preserve"> ، ج 14 ، ص 1143 ، ح 13953 ؛ </w:t>
      </w:r>
      <w:r w:rsidR="00744A1C" w:rsidRPr="00C24F9C">
        <w:rPr>
          <w:rStyle w:val="libFootnoteBoldChar"/>
          <w:rtl/>
        </w:rPr>
        <w:t>الوسائل</w:t>
      </w:r>
      <w:r w:rsidR="00744A1C">
        <w:rPr>
          <w:rtl/>
          <w:lang w:bidi="fa-IR"/>
        </w:rPr>
        <w:t xml:space="preserve"> ، ج 14 ، ص 132 ، ح 18798.</w:t>
      </w:r>
    </w:p>
    <w:p w:rsidR="00744A1C" w:rsidRDefault="00E378DD" w:rsidP="00E378DD">
      <w:pPr>
        <w:pStyle w:val="libFootnote0"/>
        <w:rPr>
          <w:lang w:bidi="fa-IR"/>
        </w:rPr>
      </w:pPr>
      <w:r>
        <w:rPr>
          <w:rtl/>
          <w:lang w:bidi="fa-IR"/>
        </w:rPr>
        <w:t>(9).</w:t>
      </w:r>
      <w:r w:rsidR="00744A1C">
        <w:rPr>
          <w:rtl/>
          <w:lang w:bidi="fa-IR"/>
        </w:rPr>
        <w:t xml:space="preserve"> في « بخ » : « قال : قال : سألت أبا عبد الله </w:t>
      </w:r>
      <w:r w:rsidR="0061079A" w:rsidRPr="0061079A">
        <w:rPr>
          <w:rStyle w:val="libFootnoteAlaemChar"/>
          <w:rtl/>
        </w:rPr>
        <w:t>عليه‌السلام</w:t>
      </w:r>
      <w:r w:rsidR="00D10E3C">
        <w:rPr>
          <w:rtl/>
          <w:lang w:bidi="fa-IR"/>
        </w:rPr>
        <w:t xml:space="preserve"> </w:t>
      </w:r>
      <w:r w:rsidR="00744A1C">
        <w:rPr>
          <w:rtl/>
          <w:lang w:bidi="fa-IR"/>
        </w:rPr>
        <w:t xml:space="preserve">». وفي « بف » : « قال : سألت أبا عبد الله </w:t>
      </w:r>
      <w:r w:rsidR="0061079A" w:rsidRPr="0061079A">
        <w:rPr>
          <w:rStyle w:val="libFootnoteAlaemChar"/>
          <w:rtl/>
        </w:rPr>
        <w:t>عليه‌السلام</w:t>
      </w:r>
      <w:r w:rsidR="00D10E3C">
        <w:rPr>
          <w:rtl/>
          <w:lang w:bidi="fa-IR"/>
        </w:rPr>
        <w:t xml:space="preserve"> </w:t>
      </w:r>
      <w:r w:rsidR="00744A1C">
        <w:rPr>
          <w:rtl/>
          <w:lang w:bidi="fa-IR"/>
        </w:rPr>
        <w:t xml:space="preserve">» كلاهما بدل « عن أبي عبد الله </w:t>
      </w:r>
      <w:r w:rsidR="0061079A" w:rsidRPr="0061079A">
        <w:rPr>
          <w:rStyle w:val="libFootnoteAlaemChar"/>
          <w:rtl/>
        </w:rPr>
        <w:t>عليه‌السلام</w:t>
      </w:r>
      <w:r w:rsidR="00D10E3C">
        <w:rPr>
          <w:rtl/>
          <w:lang w:bidi="fa-IR"/>
        </w:rPr>
        <w:t xml:space="preserve"> </w:t>
      </w:r>
      <w:r w:rsidR="00744A1C">
        <w:rPr>
          <w:rtl/>
          <w:lang w:bidi="fa-IR"/>
        </w:rPr>
        <w:t>، قال : سألته ».</w:t>
      </w:r>
    </w:p>
    <w:p w:rsidR="00744A1C" w:rsidRDefault="00E378DD" w:rsidP="00E378DD">
      <w:pPr>
        <w:pStyle w:val="libFootnote0"/>
        <w:rPr>
          <w:lang w:bidi="fa-IR"/>
        </w:rPr>
      </w:pPr>
      <w:r>
        <w:rPr>
          <w:rtl/>
          <w:lang w:bidi="fa-IR"/>
        </w:rPr>
        <w:t>(10).</w:t>
      </w:r>
      <w:r w:rsidR="00744A1C">
        <w:rPr>
          <w:rtl/>
          <w:lang w:bidi="fa-IR"/>
        </w:rPr>
        <w:t xml:space="preserve"> الكَبْشُ : فحل الضأن في أيّ سنّ كان ، أو الحَمَل إذا أثنى ، أو إذا أخرجت رباعيته. راجع : </w:t>
      </w:r>
      <w:r w:rsidR="00744A1C" w:rsidRPr="00877682">
        <w:rPr>
          <w:rStyle w:val="libFootnoteBoldChar"/>
          <w:rtl/>
        </w:rPr>
        <w:t>لسان العرب</w:t>
      </w:r>
      <w:r w:rsidR="00744A1C">
        <w:rPr>
          <w:rtl/>
          <w:lang w:bidi="fa-IR"/>
        </w:rPr>
        <w:t xml:space="preserve"> ، ج 6 ، ص 338 ؛ </w:t>
      </w:r>
      <w:r w:rsidR="00744A1C" w:rsidRPr="008A57EB">
        <w:rPr>
          <w:rStyle w:val="libFootnoteBoldChar"/>
          <w:rtl/>
        </w:rPr>
        <w:t>القاموس المحيط</w:t>
      </w:r>
      <w:r w:rsidR="00744A1C">
        <w:rPr>
          <w:rtl/>
          <w:lang w:bidi="fa-IR"/>
        </w:rPr>
        <w:t xml:space="preserve"> ، ج 1 ، ص 821 ( كبش ).</w:t>
      </w:r>
    </w:p>
    <w:p w:rsidR="00744A1C" w:rsidRDefault="00E378DD" w:rsidP="00E378DD">
      <w:pPr>
        <w:pStyle w:val="libFootnote0"/>
        <w:rPr>
          <w:lang w:bidi="fa-IR"/>
        </w:rPr>
      </w:pPr>
      <w:r>
        <w:rPr>
          <w:rtl/>
          <w:lang w:bidi="fa-IR"/>
        </w:rPr>
        <w:t>(11).</w:t>
      </w:r>
      <w:r w:rsidR="00744A1C">
        <w:rPr>
          <w:rtl/>
          <w:lang w:bidi="fa-IR"/>
        </w:rPr>
        <w:t xml:space="preserve"> في الاستبصار : « فضلّ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 « يَشْتَرِي مَكَانَهُ آخَرَ ». قُلْتُ : فَإِنِ اشْتَرى مَكَانَهُ آخَرَ ، ثُمَّ وَجَدَ الْأَوَّلَ </w:t>
      </w:r>
      <w:r w:rsidRPr="00D10E3C">
        <w:rPr>
          <w:rStyle w:val="libFootnotenumChar"/>
          <w:rtl/>
        </w:rPr>
        <w:t>(1)</w:t>
      </w:r>
      <w:r>
        <w:rPr>
          <w:rtl/>
          <w:lang w:bidi="fa-IR"/>
        </w:rPr>
        <w:t>؟</w:t>
      </w:r>
    </w:p>
    <w:p w:rsidR="00144FA6" w:rsidRDefault="00744A1C" w:rsidP="00744A1C">
      <w:pPr>
        <w:pStyle w:val="libNormal"/>
        <w:rPr>
          <w:rtl/>
          <w:lang w:bidi="fa-IR"/>
        </w:rPr>
      </w:pPr>
      <w:r>
        <w:rPr>
          <w:rtl/>
          <w:lang w:bidi="fa-IR"/>
        </w:rPr>
        <w:t xml:space="preserve">قَالَ : « إِنْ كَانَا جَمِيعاً قَائِمَيْنِ ، فَلْيَذْبَحِ الْأَوَّلَ ، وَلْيَبِعِ الْآخَرَ ، وَإِنْ شَاءَ ذَبَحَهُ ، وَإِنْ كَانَ قَدْ ذَبَحَ الْآخَرَ ، فَلْيَذْبَحِ الْأَوَّلَ مَعَهُ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7871 / 8. عَلِيُّ بْنُ إِبْرَاهِيمَ ، عَنْ أَبِيهِ ، عَنِ ابْنِ أَبِي عُمَيْرٍ ، عَنْ حَفْصِ بْنِ الْبَخْتَرِيِّ ، عَنْ مَنْصُورِ بْنِ حَازِمٍ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الرَّجُلِ يَضِلُّ هَدْيُهُ ، فَيَجِدُهُ رَجُلٌ آخَرُ ، فَيَنْحَرُهُ ، فَقَالَ </w:t>
      </w:r>
      <w:r w:rsidRPr="00D10E3C">
        <w:rPr>
          <w:rStyle w:val="libFootnotenumChar"/>
          <w:rtl/>
        </w:rPr>
        <w:t>(4)</w:t>
      </w:r>
      <w:r>
        <w:rPr>
          <w:rtl/>
          <w:lang w:bidi="fa-IR"/>
        </w:rPr>
        <w:t xml:space="preserve"> : « إِنْ كَانَ نَحَرَهُ بِمِنًى ، فَقَدْ أَجْزَأَ عَنْ صَاحِبِهِ </w:t>
      </w:r>
      <w:r w:rsidRPr="00D10E3C">
        <w:rPr>
          <w:rStyle w:val="libFootnotenumChar"/>
          <w:rtl/>
        </w:rPr>
        <w:t>(5)</w:t>
      </w:r>
      <w:r>
        <w:rPr>
          <w:rtl/>
          <w:lang w:bidi="fa-IR"/>
        </w:rPr>
        <w:t xml:space="preserve"> الَّذِي ضَلَّ مِنْهُ </w:t>
      </w:r>
      <w:r w:rsidRPr="00D10E3C">
        <w:rPr>
          <w:rStyle w:val="libFootnotenumChar"/>
          <w:rtl/>
        </w:rPr>
        <w:t>(6)</w:t>
      </w:r>
      <w:r>
        <w:rPr>
          <w:rtl/>
          <w:lang w:bidi="fa-IR"/>
        </w:rPr>
        <w:t xml:space="preserve"> ، وَإِنْ كَانَ نَحَرَهُ فِي غَيْرِ </w:t>
      </w:r>
      <w:r w:rsidRPr="00D10E3C">
        <w:rPr>
          <w:rStyle w:val="libFootnotenumChar"/>
          <w:rtl/>
        </w:rPr>
        <w:t>(7)</w:t>
      </w:r>
      <w:r>
        <w:rPr>
          <w:rtl/>
          <w:lang w:bidi="fa-IR"/>
        </w:rPr>
        <w:t xml:space="preserve"> مِنًى ، لَمْ يُجْزِ </w:t>
      </w:r>
      <w:r w:rsidRPr="00D10E3C">
        <w:rPr>
          <w:rStyle w:val="libFootnotenumChar"/>
          <w:rtl/>
        </w:rPr>
        <w:t>(8)</w:t>
      </w:r>
      <w:r>
        <w:rPr>
          <w:rtl/>
          <w:lang w:bidi="fa-IR"/>
        </w:rPr>
        <w:t xml:space="preserve"> عَنْ صَاحِبِهِ ». </w:t>
      </w:r>
      <w:r w:rsidRPr="00D10E3C">
        <w:rPr>
          <w:rStyle w:val="libFootnotenumChar"/>
          <w:rtl/>
        </w:rPr>
        <w:t>(9)</w:t>
      </w:r>
    </w:p>
    <w:p w:rsidR="00144FA6" w:rsidRDefault="00744A1C" w:rsidP="00744A1C">
      <w:pPr>
        <w:pStyle w:val="libNormal"/>
        <w:rPr>
          <w:rtl/>
          <w:lang w:bidi="fa-IR"/>
        </w:rPr>
      </w:pPr>
      <w:r>
        <w:rPr>
          <w:rtl/>
          <w:lang w:bidi="fa-IR"/>
        </w:rPr>
        <w:t>7872 / 9. عِدَّةٌ مِنْ أَصْحَابِنَا ، عَنْ أَحْمَدَ بْنِ مُحَمَّدٍ ، عَنْ عَلِيِّ بْنِ حَدِيدٍ ، عَنْ جَمِيلٍ ، عَنْ بَعْضِ أَصْحَابِنَا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بس » : « الآخر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قال في</w:t>
      </w:r>
      <w:r w:rsidR="00744A1C" w:rsidRPr="005108B0">
        <w:rPr>
          <w:rtl/>
        </w:rPr>
        <w:t xml:space="preserve"> التهذيبين</w:t>
      </w:r>
      <w:r w:rsidR="00744A1C">
        <w:rPr>
          <w:rtl/>
          <w:lang w:bidi="fa-IR"/>
        </w:rPr>
        <w:t xml:space="preserve"> : إنّما يذبح الأوّل مع الأخير إذا أشعره</w:t>
      </w:r>
      <w:r w:rsidR="005108B0">
        <w:rPr>
          <w:rtl/>
          <w:lang w:bidi="fa-IR"/>
        </w:rPr>
        <w:t xml:space="preserve"> ، و</w:t>
      </w:r>
      <w:r w:rsidR="005108B0">
        <w:rPr>
          <w:rFonts w:hint="cs"/>
          <w:rtl/>
          <w:lang w:bidi="fa-IR"/>
        </w:rPr>
        <w:t xml:space="preserve"> </w:t>
      </w:r>
      <w:r w:rsidR="005108B0">
        <w:rPr>
          <w:rtl/>
          <w:lang w:bidi="fa-IR"/>
        </w:rPr>
        <w:t>إل</w:t>
      </w:r>
      <w:r w:rsidR="005108B0">
        <w:rPr>
          <w:rFonts w:hint="cs"/>
          <w:rtl/>
          <w:lang w:bidi="fa-IR"/>
        </w:rPr>
        <w:t>ّ</w:t>
      </w:r>
      <w:r w:rsidR="005108B0">
        <w:rPr>
          <w:rtl/>
          <w:lang w:bidi="fa-IR"/>
        </w:rPr>
        <w:t>ا</w:t>
      </w:r>
      <w:r w:rsidR="00744A1C">
        <w:rPr>
          <w:rtl/>
          <w:lang w:bidi="fa-IR"/>
        </w:rPr>
        <w:t xml:space="preserve"> لم يلزمه ذبحه ، واستدلّ عليه بالخبر الآتي ». والخبر الآتي هو المرويّ في </w:t>
      </w:r>
      <w:r w:rsidR="00744A1C" w:rsidRPr="00C24F9C">
        <w:rPr>
          <w:rStyle w:val="libFootnoteBoldChar"/>
          <w:rtl/>
        </w:rPr>
        <w:t>التهذيب</w:t>
      </w:r>
      <w:r w:rsidR="00744A1C">
        <w:rPr>
          <w:rtl/>
          <w:lang w:bidi="fa-IR"/>
        </w:rPr>
        <w:t xml:space="preserve"> ، ج 5 ، ص 219 ، ح 738.</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فليذبح</w:t>
      </w:r>
      <w:r w:rsidR="00F60400">
        <w:rPr>
          <w:rtl/>
          <w:lang w:bidi="fa-IR"/>
        </w:rPr>
        <w:t xml:space="preserve"> الأوّل ، حمل على الاستحباب إل</w:t>
      </w:r>
      <w:r w:rsidR="00F60400">
        <w:rPr>
          <w:rFonts w:hint="cs"/>
          <w:rtl/>
          <w:lang w:bidi="fa-IR"/>
        </w:rPr>
        <w:t>ّ</w:t>
      </w:r>
      <w:r w:rsidR="00F60400">
        <w:rPr>
          <w:rtl/>
          <w:lang w:bidi="fa-IR"/>
        </w:rPr>
        <w:t>ا</w:t>
      </w:r>
      <w:r>
        <w:rPr>
          <w:rtl/>
          <w:lang w:bidi="fa-IR"/>
        </w:rPr>
        <w:t xml:space="preserve"> أن يكون الأوّل منذوراً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218 ، ح 737 ، بسنده عن محمّد بن سنان. </w:t>
      </w:r>
      <w:r w:rsidR="00744A1C" w:rsidRPr="00C24F9C">
        <w:rPr>
          <w:rStyle w:val="libFootnoteBoldChar"/>
          <w:rtl/>
        </w:rPr>
        <w:t>الفقيه</w:t>
      </w:r>
      <w:r w:rsidR="00744A1C">
        <w:rPr>
          <w:rtl/>
          <w:lang w:bidi="fa-IR"/>
        </w:rPr>
        <w:t xml:space="preserve"> ، ج 2 ، ص 501 ، ح 3075 ، معلّقاً عن ابن مسكان ؛ الاستبصار ، ج 2 ، ص 271 ، ح 961 ، بسنده عن ابن مسكان </w:t>
      </w:r>
      <w:r w:rsidR="0046061A">
        <w:rPr>
          <w:rFonts w:hint="cs"/>
          <w:rtl/>
          <w:lang w:bidi="fa-IR"/>
        </w:rPr>
        <w:t>.</w:t>
      </w:r>
      <w:r w:rsidR="00744A1C" w:rsidRPr="00C24F9C">
        <w:rPr>
          <w:rStyle w:val="libFootnoteBoldChar"/>
          <w:rtl/>
        </w:rPr>
        <w:t>الوافي</w:t>
      </w:r>
      <w:r w:rsidR="00744A1C">
        <w:rPr>
          <w:rtl/>
          <w:lang w:bidi="fa-IR"/>
        </w:rPr>
        <w:t xml:space="preserve"> ، ج 14 ، ص 1147 ، ح 13965 ؛ </w:t>
      </w:r>
      <w:r w:rsidR="00744A1C" w:rsidRPr="00C24F9C">
        <w:rPr>
          <w:rStyle w:val="libFootnoteBoldChar"/>
          <w:rtl/>
        </w:rPr>
        <w:t>الوسائل</w:t>
      </w:r>
      <w:r w:rsidR="00744A1C">
        <w:rPr>
          <w:rtl/>
          <w:lang w:bidi="fa-IR"/>
        </w:rPr>
        <w:t xml:space="preserve"> ، ج 14 ، ص 144 ، ذيل ح 18827.</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قال ».</w:t>
      </w:r>
    </w:p>
    <w:p w:rsidR="00744A1C" w:rsidRDefault="00E378DD" w:rsidP="0046061A">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أجزأ عن صاحبه ، حمل على ما إذا ذبحه عن صاحبه ، فلو ذبحه عن نفسه لا يجزئ عن‌أحدهما ، كما صرّح به الشيخ وجمع من الأصحاب ، ودلّت عليه مرسلة جميل ». ومرسلة جميل هي الرواية التاسعة هنا.</w:t>
      </w:r>
      <w:r w:rsidR="0046061A">
        <w:rPr>
          <w:rFonts w:hint="cs"/>
          <w:rtl/>
          <w:lang w:bidi="fa-IR"/>
        </w:rPr>
        <w:t xml:space="preserve">               </w:t>
      </w:r>
      <w:r w:rsidR="00596830">
        <w:rPr>
          <w:rFonts w:hint="cs"/>
          <w:rtl/>
          <w:lang w:bidi="fa-IR"/>
        </w:rPr>
        <w:t xml:space="preserve">                            </w:t>
      </w:r>
      <w:r w:rsidR="0046061A">
        <w:rPr>
          <w:rFonts w:hint="cs"/>
          <w:rtl/>
          <w:lang w:bidi="fa-IR"/>
        </w:rPr>
        <w:t xml:space="preserve">            </w:t>
      </w: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عنه ».</w:t>
      </w:r>
    </w:p>
    <w:tbl>
      <w:tblPr>
        <w:tblStyle w:val="TableGrid"/>
        <w:bidiVisual/>
        <w:tblW w:w="0" w:type="auto"/>
        <w:tblLook w:val="04A0" w:firstRow="1" w:lastRow="0" w:firstColumn="1" w:lastColumn="0" w:noHBand="0" w:noVBand="1"/>
      </w:tblPr>
      <w:tblGrid>
        <w:gridCol w:w="4006"/>
        <w:gridCol w:w="4006"/>
      </w:tblGrid>
      <w:tr w:rsidR="0046061A" w:rsidTr="0046061A">
        <w:tc>
          <w:tcPr>
            <w:tcW w:w="4006" w:type="dxa"/>
          </w:tcPr>
          <w:p w:rsidR="0046061A" w:rsidRDefault="0046061A" w:rsidP="00E378DD">
            <w:pPr>
              <w:pStyle w:val="libFootnote0"/>
              <w:rPr>
                <w:rtl/>
                <w:lang w:bidi="fa-IR"/>
              </w:rPr>
            </w:pPr>
            <w:r>
              <w:rPr>
                <w:rtl/>
                <w:lang w:bidi="fa-IR"/>
              </w:rPr>
              <w:t xml:space="preserve">(7). في </w:t>
            </w:r>
            <w:r w:rsidRPr="00C24F9C">
              <w:rPr>
                <w:rStyle w:val="libFootnoteBoldChar"/>
                <w:rtl/>
              </w:rPr>
              <w:t>الوافي</w:t>
            </w:r>
            <w:r>
              <w:rPr>
                <w:rtl/>
                <w:lang w:bidi="fa-IR"/>
              </w:rPr>
              <w:t xml:space="preserve"> : « بغير ».</w:t>
            </w:r>
          </w:p>
        </w:tc>
        <w:tc>
          <w:tcPr>
            <w:tcW w:w="4006" w:type="dxa"/>
          </w:tcPr>
          <w:p w:rsidR="0046061A" w:rsidRDefault="0046061A" w:rsidP="00E378DD">
            <w:pPr>
              <w:pStyle w:val="libFootnote0"/>
              <w:rPr>
                <w:rtl/>
                <w:lang w:bidi="fa-IR"/>
              </w:rPr>
            </w:pPr>
            <w:r>
              <w:rPr>
                <w:rtl/>
                <w:lang w:bidi="fa-IR"/>
              </w:rPr>
              <w:t xml:space="preserve">(8). في </w:t>
            </w:r>
            <w:r w:rsidRPr="00C24F9C">
              <w:rPr>
                <w:rStyle w:val="libFootnoteBoldChar"/>
                <w:rtl/>
              </w:rPr>
              <w:t>الوافي</w:t>
            </w:r>
            <w:r>
              <w:rPr>
                <w:rtl/>
                <w:lang w:bidi="fa-IR"/>
              </w:rPr>
              <w:t xml:space="preserve"> : « لم يجزء ».</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219 ، ح 739 ؛ </w:t>
      </w:r>
      <w:r w:rsidR="00744A1C" w:rsidRPr="00C24F9C">
        <w:rPr>
          <w:rStyle w:val="libFootnoteBoldChar"/>
          <w:rtl/>
        </w:rPr>
        <w:t>والاستبصار</w:t>
      </w:r>
      <w:r w:rsidR="00744A1C">
        <w:rPr>
          <w:rtl/>
          <w:lang w:bidi="fa-IR"/>
        </w:rPr>
        <w:t xml:space="preserve"> ، ج 2 ، ص 272 ، ح 963 ، بسندهما عن محمّد بن أبي عمير ، عن حفص بن البختري. </w:t>
      </w:r>
      <w:r w:rsidR="00744A1C" w:rsidRPr="00C24F9C">
        <w:rPr>
          <w:rStyle w:val="libFootnoteBoldChar"/>
          <w:rtl/>
        </w:rPr>
        <w:t>الفقيه</w:t>
      </w:r>
      <w:r w:rsidR="00744A1C">
        <w:rPr>
          <w:rtl/>
          <w:lang w:bidi="fa-IR"/>
        </w:rPr>
        <w:t xml:space="preserve"> ، ج 2 ، ص 499 ، ح 3070 ، معلّقاً عن منصور بن حازم </w:t>
      </w:r>
      <w:r w:rsidR="00470C9C">
        <w:rPr>
          <w:rFonts w:hint="cs"/>
          <w:rtl/>
          <w:lang w:bidi="fa-IR"/>
        </w:rPr>
        <w:t>.</w:t>
      </w:r>
      <w:r w:rsidR="00744A1C" w:rsidRPr="00C24F9C">
        <w:rPr>
          <w:rStyle w:val="libFootnoteBoldChar"/>
          <w:rtl/>
        </w:rPr>
        <w:t>الوافي</w:t>
      </w:r>
      <w:r w:rsidR="00744A1C">
        <w:rPr>
          <w:rtl/>
          <w:lang w:bidi="fa-IR"/>
        </w:rPr>
        <w:t xml:space="preserve"> ، ج 14 ، ص 1150 ، ح 13975 ؛ </w:t>
      </w:r>
      <w:r w:rsidR="00744A1C" w:rsidRPr="00C24F9C">
        <w:rPr>
          <w:rStyle w:val="libFootnoteBoldChar"/>
          <w:rtl/>
        </w:rPr>
        <w:t>الوسائل</w:t>
      </w:r>
      <w:r w:rsidR="00744A1C">
        <w:rPr>
          <w:rtl/>
          <w:lang w:bidi="fa-IR"/>
        </w:rPr>
        <w:t xml:space="preserve"> ، ج 14 ، ص 137 ، ذيل ح 18810.</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أَحَدِهِمَا </w:t>
      </w:r>
      <w:r w:rsidR="008859AA" w:rsidRPr="008859AA">
        <w:rPr>
          <w:rStyle w:val="libAlaemChar"/>
          <w:rtl/>
        </w:rPr>
        <w:t>عليهما‌السلام</w:t>
      </w:r>
      <w:r>
        <w:rPr>
          <w:rtl/>
          <w:lang w:bidi="fa-IR"/>
        </w:rPr>
        <w:t xml:space="preserve">فِي رَجُلٍ اشْتَرى هَدْياً ، فَنَحَرَهُ ، فَمَرَّ بِهِ </w:t>
      </w:r>
      <w:r w:rsidRPr="00D10E3C">
        <w:rPr>
          <w:rStyle w:val="libFootnotenumChar"/>
          <w:rtl/>
        </w:rPr>
        <w:t>(1)</w:t>
      </w:r>
      <w:r>
        <w:rPr>
          <w:rtl/>
          <w:lang w:bidi="fa-IR"/>
        </w:rPr>
        <w:t xml:space="preserve"> رَجُلٌ ، فَعَرَفَهُ </w:t>
      </w:r>
      <w:r w:rsidRPr="00D10E3C">
        <w:rPr>
          <w:rStyle w:val="libFootnotenumChar"/>
          <w:rtl/>
        </w:rPr>
        <w:t>(2)</w:t>
      </w:r>
      <w:r>
        <w:rPr>
          <w:rtl/>
          <w:lang w:bidi="fa-IR"/>
        </w:rPr>
        <w:t xml:space="preserve"> ، فَقَالَ : هذِهِ بَدَنَتِي ضَلَّتْ مِنِّي بِالْأَمْسِ ، وَشَهِدَ لَهُ رَجُلَانِ بِذلِكَ.</w:t>
      </w:r>
    </w:p>
    <w:p w:rsidR="00144FA6" w:rsidRDefault="00744A1C" w:rsidP="00744A1C">
      <w:pPr>
        <w:pStyle w:val="libNormal"/>
        <w:rPr>
          <w:rtl/>
          <w:lang w:bidi="fa-IR"/>
        </w:rPr>
      </w:pPr>
      <w:r>
        <w:rPr>
          <w:rtl/>
          <w:lang w:bidi="fa-IR"/>
        </w:rPr>
        <w:t xml:space="preserve">فَقَالَ : « لَهُ لَحْمُهَا ، وَلَايُجْزِئُ </w:t>
      </w:r>
      <w:r w:rsidRPr="00D10E3C">
        <w:rPr>
          <w:rStyle w:val="libFootnotenumChar"/>
          <w:rtl/>
        </w:rPr>
        <w:t>(3)</w:t>
      </w:r>
      <w:r>
        <w:rPr>
          <w:rtl/>
          <w:lang w:bidi="fa-IR"/>
        </w:rPr>
        <w:t xml:space="preserve"> عَنْ وَاحِدٍ مِنْهُمَا » ثُمَّ قَالَ : « وَلِذلِكَ جَرَتِ السُّنَّةُ بِإِشْعَارِهَا </w:t>
      </w:r>
      <w:r w:rsidRPr="00D10E3C">
        <w:rPr>
          <w:rStyle w:val="libFootnotenumChar"/>
          <w:rtl/>
        </w:rPr>
        <w:t>(4)</w:t>
      </w:r>
      <w:r>
        <w:rPr>
          <w:rtl/>
          <w:lang w:bidi="fa-IR"/>
        </w:rPr>
        <w:t xml:space="preserve"> وَتَقْلِيدِهَا إِذاً عُرِّفَتْ </w:t>
      </w:r>
      <w:r w:rsidRPr="00D10E3C">
        <w:rPr>
          <w:rStyle w:val="libFootnotenumChar"/>
          <w:rtl/>
        </w:rPr>
        <w:t>(5)</w:t>
      </w:r>
      <w:r>
        <w:rPr>
          <w:rtl/>
          <w:lang w:bidi="fa-IR"/>
        </w:rPr>
        <w:t xml:space="preserve"> ». </w:t>
      </w:r>
      <w:r w:rsidRPr="00D10E3C">
        <w:rPr>
          <w:rStyle w:val="libFootnotenumChar"/>
          <w:rtl/>
        </w:rPr>
        <w:t>(6)</w:t>
      </w:r>
    </w:p>
    <w:p w:rsidR="00744A1C" w:rsidRDefault="00744A1C" w:rsidP="00470C9C">
      <w:pPr>
        <w:pStyle w:val="Heading2Center"/>
        <w:rPr>
          <w:lang w:bidi="fa-IR"/>
        </w:rPr>
      </w:pPr>
      <w:bookmarkStart w:id="29" w:name="_Toc49261327"/>
      <w:r>
        <w:rPr>
          <w:rtl/>
          <w:lang w:bidi="fa-IR"/>
        </w:rPr>
        <w:t xml:space="preserve">184 - بَابُ الْبَدَنَةِ </w:t>
      </w:r>
      <w:r w:rsidRPr="00D10E3C">
        <w:rPr>
          <w:rStyle w:val="libFootnotenumChar"/>
          <w:rtl/>
        </w:rPr>
        <w:t>(7)</w:t>
      </w:r>
      <w:r>
        <w:rPr>
          <w:rtl/>
          <w:lang w:bidi="fa-IR"/>
        </w:rPr>
        <w:t xml:space="preserve"> وَالْبَقَرَةِ عَنْ كَمْ تُجْزِئُ‌</w:t>
      </w:r>
      <w:bookmarkEnd w:id="29"/>
    </w:p>
    <w:p w:rsidR="00144FA6" w:rsidRDefault="00744A1C" w:rsidP="00744A1C">
      <w:pPr>
        <w:pStyle w:val="libNormal"/>
        <w:rPr>
          <w:rtl/>
          <w:lang w:bidi="fa-IR"/>
        </w:rPr>
      </w:pPr>
      <w:r>
        <w:rPr>
          <w:rtl/>
          <w:lang w:bidi="fa-IR"/>
        </w:rPr>
        <w:t>7873 / 1. عَلِيُّ بْنُ إِبْرَاهِيمَ ، عَنْ أَبِيهِ ، عَنِ ابْنِ أَبِي عُمَيْرٍ ، عَنْ عَبْدِ اللهِ بْنِ سِنَانٍ ، قَالَ :</w:t>
      </w:r>
    </w:p>
    <w:p w:rsidR="00144FA6" w:rsidRDefault="00744A1C" w:rsidP="00972143">
      <w:pPr>
        <w:pStyle w:val="libNormal"/>
        <w:rPr>
          <w:rtl/>
          <w:lang w:bidi="fa-IR"/>
        </w:rPr>
      </w:pPr>
      <w:r>
        <w:rPr>
          <w:rtl/>
          <w:lang w:bidi="fa-IR"/>
        </w:rPr>
        <w:t xml:space="preserve">كَانَ رَسُولُ اللهِ </w:t>
      </w:r>
      <w:r w:rsidR="005E465D" w:rsidRPr="005E465D">
        <w:rPr>
          <w:rStyle w:val="libAlaemChar"/>
          <w:rFonts w:eastAsiaTheme="minorHAnsi"/>
          <w:rtl/>
        </w:rPr>
        <w:t>صلى‌الله‌عليه‌وآله</w:t>
      </w:r>
      <w:r w:rsidR="00470C9C" w:rsidRPr="007556F9">
        <w:rPr>
          <w:rFonts w:eastAsiaTheme="minorHAnsi"/>
          <w:rtl/>
        </w:rPr>
        <w:t xml:space="preserve"> </w:t>
      </w:r>
      <w:r>
        <w:rPr>
          <w:rtl/>
          <w:lang w:bidi="fa-IR"/>
        </w:rPr>
        <w:t xml:space="preserve">يَذْبَحُ يَوْمَ الْأَضْحى كَبْشَيْنِ </w:t>
      </w:r>
      <w:r w:rsidRPr="00D10E3C">
        <w:rPr>
          <w:rStyle w:val="libFootnotenumChar"/>
          <w:rtl/>
        </w:rPr>
        <w:t>(8)</w:t>
      </w:r>
      <w:r>
        <w:rPr>
          <w:rtl/>
          <w:lang w:bidi="fa-IR"/>
        </w:rPr>
        <w:t xml:space="preserve"> : أَحَدَهُمَا عَنْ نَفْسِهِ ، وَالْآخَرَ عَمَّنْ لَمْ يَجِدْ </w:t>
      </w:r>
      <w:r w:rsidRPr="00D10E3C">
        <w:rPr>
          <w:rStyle w:val="libFootnotenumChar"/>
          <w:rtl/>
        </w:rPr>
        <w:t>(9)</w:t>
      </w:r>
      <w:r>
        <w:rPr>
          <w:rtl/>
          <w:lang w:bidi="fa-IR"/>
        </w:rPr>
        <w:t xml:space="preserve"> مِنْ أُمَّتِهِ ؛ وَكَانَ أَمِيرُ الْمُؤْمِنِينَ </w:t>
      </w:r>
      <w:r w:rsidR="0061079A" w:rsidRPr="0061079A">
        <w:rPr>
          <w:rStyle w:val="libAlaemChar"/>
          <w:rtl/>
        </w:rPr>
        <w:t>عليه‌السلام</w:t>
      </w:r>
      <w:r w:rsidR="00D10E3C">
        <w:rPr>
          <w:rtl/>
          <w:lang w:bidi="fa-IR"/>
        </w:rPr>
        <w:t xml:space="preserve"> </w:t>
      </w:r>
      <w:r>
        <w:rPr>
          <w:rtl/>
          <w:lang w:bidi="fa-IR"/>
        </w:rPr>
        <w:t xml:space="preserve">يَذْبَحُ كَبْشَيْنِ : أَحَدَهُمَا عَنْ رَسُولِ اللهِ </w:t>
      </w:r>
      <w:r w:rsidR="005E465D" w:rsidRPr="005E465D">
        <w:rPr>
          <w:rStyle w:val="libAlaemChar"/>
          <w:rFonts w:eastAsiaTheme="minorHAnsi"/>
          <w:rtl/>
        </w:rPr>
        <w:t>صلى‌الله‌عليه‌وآله</w:t>
      </w:r>
      <w:r w:rsidR="00470C9C" w:rsidRPr="007556F9">
        <w:rPr>
          <w:rFonts w:eastAsiaTheme="minorHAnsi"/>
          <w:rtl/>
        </w:rPr>
        <w:t xml:space="preserve"> </w:t>
      </w:r>
      <w:r>
        <w:rPr>
          <w:rtl/>
          <w:lang w:bidi="fa-IR"/>
        </w:rPr>
        <w:t>، وَ</w:t>
      </w:r>
      <w:r w:rsidR="00972143">
        <w:rPr>
          <w:rFonts w:hint="cs"/>
          <w:rtl/>
          <w:lang w:bidi="fa-IR"/>
        </w:rPr>
        <w:t xml:space="preserve"> </w:t>
      </w:r>
      <w:r>
        <w:rPr>
          <w:rtl/>
          <w:lang w:bidi="fa-IR"/>
        </w:rPr>
        <w:t xml:space="preserve">الْآخَرَ عَنْ نَفْسِهِ </w:t>
      </w:r>
      <w:r w:rsidRPr="00D10E3C">
        <w:rPr>
          <w:rStyle w:val="libFootnotenumChar"/>
          <w:rtl/>
        </w:rPr>
        <w:t>(10)</w:t>
      </w:r>
      <w:r w:rsidR="00972143">
        <w:rPr>
          <w:rFonts w:hint="cs"/>
          <w:rtl/>
          <w:lang w:bidi="fa-IR"/>
        </w:rPr>
        <w:t>.</w:t>
      </w:r>
      <w:r w:rsidRPr="00D10E3C">
        <w:rPr>
          <w:rStyle w:val="libFootnotenumChar"/>
          <w:rtl/>
        </w:rPr>
        <w:t>(11)</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285EC1" w:rsidTr="00285EC1">
        <w:tc>
          <w:tcPr>
            <w:tcW w:w="4006" w:type="dxa"/>
          </w:tcPr>
          <w:p w:rsidR="00285EC1" w:rsidRDefault="00285EC1" w:rsidP="00D10E3C">
            <w:pPr>
              <w:pStyle w:val="libFootnote0"/>
              <w:rPr>
                <w:rtl/>
                <w:lang w:bidi="fa-IR"/>
              </w:rPr>
            </w:pPr>
            <w:r>
              <w:rPr>
                <w:rtl/>
                <w:lang w:bidi="fa-IR"/>
              </w:rPr>
              <w:t xml:space="preserve">(1). في </w:t>
            </w:r>
            <w:r w:rsidRPr="00285EC1">
              <w:rPr>
                <w:rtl/>
              </w:rPr>
              <w:t>الوسائل والتهذيب والاستبصار</w:t>
            </w:r>
            <w:r>
              <w:rPr>
                <w:rtl/>
                <w:lang w:bidi="fa-IR"/>
              </w:rPr>
              <w:t xml:space="preserve"> : « بها ».</w:t>
            </w:r>
          </w:p>
        </w:tc>
        <w:tc>
          <w:tcPr>
            <w:tcW w:w="4006" w:type="dxa"/>
          </w:tcPr>
          <w:p w:rsidR="00285EC1" w:rsidRDefault="00285EC1" w:rsidP="00D10E3C">
            <w:pPr>
              <w:pStyle w:val="libFootnote0"/>
              <w:rPr>
                <w:rtl/>
                <w:lang w:bidi="fa-IR"/>
              </w:rPr>
            </w:pPr>
            <w:r>
              <w:rPr>
                <w:rtl/>
                <w:lang w:bidi="fa-IR"/>
              </w:rPr>
              <w:t xml:space="preserve">(2). في « بخ » </w:t>
            </w:r>
            <w:r w:rsidRPr="0061079A">
              <w:rPr>
                <w:rStyle w:val="libFootnoteBoldChar"/>
                <w:rtl/>
              </w:rPr>
              <w:t>والتهذيب</w:t>
            </w:r>
            <w:r>
              <w:rPr>
                <w:rtl/>
                <w:lang w:bidi="fa-IR"/>
              </w:rPr>
              <w:t xml:space="preserve"> </w:t>
            </w:r>
            <w:r w:rsidRPr="00C24F9C">
              <w:rPr>
                <w:rStyle w:val="libFootnoteBoldChar"/>
                <w:rtl/>
              </w:rPr>
              <w:t>والاستبصار</w:t>
            </w:r>
            <w:r>
              <w:rPr>
                <w:rtl/>
                <w:lang w:bidi="fa-IR"/>
              </w:rPr>
              <w:t xml:space="preserve"> : « فعرفها ».</w:t>
            </w:r>
          </w:p>
        </w:tc>
      </w:tr>
    </w:tbl>
    <w:p w:rsidR="00744A1C" w:rsidRDefault="00E378DD" w:rsidP="00E378DD">
      <w:pPr>
        <w:pStyle w:val="libFootnote0"/>
        <w:rPr>
          <w:lang w:bidi="fa-IR"/>
        </w:rPr>
      </w:pPr>
      <w:r>
        <w:rPr>
          <w:rtl/>
          <w:lang w:bidi="fa-IR"/>
        </w:rPr>
        <w:t>(3).</w:t>
      </w:r>
      <w:r w:rsidR="00744A1C">
        <w:rPr>
          <w:rtl/>
          <w:lang w:bidi="fa-IR"/>
        </w:rPr>
        <w:t xml:space="preserve"> في « بس »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ولا تجزئ ».</w:t>
      </w:r>
    </w:p>
    <w:p w:rsidR="00744A1C" w:rsidRDefault="00E378DD" w:rsidP="00E378DD">
      <w:pPr>
        <w:pStyle w:val="libFootnote0"/>
        <w:rPr>
          <w:lang w:bidi="fa-IR"/>
        </w:rPr>
      </w:pPr>
      <w:r>
        <w:rPr>
          <w:rtl/>
          <w:lang w:bidi="fa-IR"/>
        </w:rPr>
        <w:t>(4).</w:t>
      </w:r>
      <w:r w:rsidR="00744A1C">
        <w:rPr>
          <w:rtl/>
          <w:lang w:bidi="fa-IR"/>
        </w:rPr>
        <w:t xml:space="preserve"> الإشعار : هو أن يشقّ أحد جنبي سنام البدنة ، أو طعن في سنامها الأيمن حتّى يسيل دمها ، ويجعل ذلك لها علامة تعرف بها أنّها هدي. راجع : </w:t>
      </w:r>
      <w:r w:rsidR="00744A1C" w:rsidRPr="00E978C3">
        <w:rPr>
          <w:rStyle w:val="libFootnoteBoldChar"/>
          <w:rtl/>
        </w:rPr>
        <w:t>الصحاح</w:t>
      </w:r>
      <w:r w:rsidR="00744A1C">
        <w:rPr>
          <w:rtl/>
          <w:lang w:bidi="fa-IR"/>
        </w:rPr>
        <w:t xml:space="preserve"> ، ج 2 ، ص 699 ؛ </w:t>
      </w:r>
      <w:r w:rsidR="00744A1C" w:rsidRPr="00877682">
        <w:rPr>
          <w:rStyle w:val="libFootnoteBoldChar"/>
          <w:rtl/>
        </w:rPr>
        <w:t>النهاية</w:t>
      </w:r>
      <w:r w:rsidR="00744A1C">
        <w:rPr>
          <w:rtl/>
          <w:lang w:bidi="fa-IR"/>
        </w:rPr>
        <w:t xml:space="preserve"> ، ج 2 ، ص 479 ( شعر ). وأمّا التقليد فقد مضى معناه ذيل ح 7864.</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إذاً عرفت ، أي حينئذٍ صارت معروفة ؛ يعني بأحد الأمرين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220 ، ح 740 ؛ </w:t>
      </w:r>
      <w:r w:rsidR="00744A1C" w:rsidRPr="00C24F9C">
        <w:rPr>
          <w:rStyle w:val="libFootnoteBoldChar"/>
          <w:rtl/>
        </w:rPr>
        <w:t>والاستبصار</w:t>
      </w:r>
      <w:r w:rsidR="00744A1C">
        <w:rPr>
          <w:rtl/>
          <w:lang w:bidi="fa-IR"/>
        </w:rPr>
        <w:t xml:space="preserve"> ، ج 2 ، ص 272 ، ح 964 ، معلّقاً عن الكليني </w:t>
      </w:r>
      <w:r w:rsidR="000E07C4">
        <w:rPr>
          <w:rFonts w:hint="cs"/>
          <w:rtl/>
          <w:lang w:bidi="fa-IR"/>
        </w:rPr>
        <w:t>.</w:t>
      </w:r>
      <w:r w:rsidR="00744A1C" w:rsidRPr="00C24F9C">
        <w:rPr>
          <w:rStyle w:val="libFootnoteBoldChar"/>
          <w:rtl/>
        </w:rPr>
        <w:t>الوافي</w:t>
      </w:r>
      <w:r w:rsidR="00744A1C">
        <w:rPr>
          <w:rtl/>
          <w:lang w:bidi="fa-IR"/>
        </w:rPr>
        <w:t xml:space="preserve"> ، ج 14 ، ص 1150 ، ح 13976 ؛ </w:t>
      </w:r>
      <w:r w:rsidR="00744A1C" w:rsidRPr="00C24F9C">
        <w:rPr>
          <w:rStyle w:val="libFootnoteBoldChar"/>
          <w:rtl/>
        </w:rPr>
        <w:t>الوسائل</w:t>
      </w:r>
      <w:r w:rsidR="00744A1C">
        <w:rPr>
          <w:rtl/>
          <w:lang w:bidi="fa-IR"/>
        </w:rPr>
        <w:t xml:space="preserve"> ، ج 14 ، ص 145 ، ح 18829.</w:t>
      </w:r>
    </w:p>
    <w:p w:rsidR="00744A1C" w:rsidRDefault="00E378DD" w:rsidP="00E378DD">
      <w:pPr>
        <w:pStyle w:val="libFootnote0"/>
        <w:rPr>
          <w:lang w:bidi="fa-IR"/>
        </w:rPr>
      </w:pPr>
      <w:r>
        <w:rPr>
          <w:rtl/>
          <w:lang w:bidi="fa-IR"/>
        </w:rPr>
        <w:t>(7).</w:t>
      </w:r>
      <w:r w:rsidR="00744A1C">
        <w:rPr>
          <w:rtl/>
          <w:lang w:bidi="fa-IR"/>
        </w:rPr>
        <w:t xml:space="preserve"> قال الجوهري : « البدنة : ناقة أو بقرة تنحر بمكّة ، سمّيت بذلك لأنّهم كانوا يسمّنونها ». وقال ابن الأثير : « البدنة تقع على الجمل والناقة والبقر ، وهي بالإبل أشبه ، وسمّيت بدنة لعظمها وسمنها ». </w:t>
      </w:r>
      <w:r w:rsidR="00744A1C" w:rsidRPr="00E978C3">
        <w:rPr>
          <w:rStyle w:val="libFootnoteBoldChar"/>
          <w:rtl/>
        </w:rPr>
        <w:t>الصحاح</w:t>
      </w:r>
      <w:r w:rsidR="00744A1C">
        <w:rPr>
          <w:rtl/>
          <w:lang w:bidi="fa-IR"/>
        </w:rPr>
        <w:t xml:space="preserve"> ، ج 5 ، ص 2077 ؛ </w:t>
      </w:r>
      <w:r w:rsidR="00744A1C" w:rsidRPr="00877682">
        <w:rPr>
          <w:rStyle w:val="libFootnoteBoldChar"/>
          <w:rtl/>
        </w:rPr>
        <w:t>النهاية</w:t>
      </w:r>
      <w:r w:rsidR="00744A1C">
        <w:rPr>
          <w:rtl/>
          <w:lang w:bidi="fa-IR"/>
        </w:rPr>
        <w:t xml:space="preserve"> ، ج 1 ، ص 108 ( بدن ).</w:t>
      </w:r>
    </w:p>
    <w:p w:rsidR="00744A1C" w:rsidRDefault="00E378DD" w:rsidP="00E378DD">
      <w:pPr>
        <w:pStyle w:val="libFootnote0"/>
        <w:rPr>
          <w:lang w:bidi="fa-IR"/>
        </w:rPr>
      </w:pPr>
      <w:r>
        <w:rPr>
          <w:rtl/>
          <w:lang w:bidi="fa-IR"/>
        </w:rPr>
        <w:t>(8).</w:t>
      </w:r>
      <w:r w:rsidR="00744A1C">
        <w:rPr>
          <w:rtl/>
          <w:lang w:bidi="fa-IR"/>
        </w:rPr>
        <w:t xml:space="preserve"> مضى معنى الكبش ذيل الحديث السابع من الباب الماضي.</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 + « هدياً ».</w:t>
      </w:r>
    </w:p>
    <w:p w:rsidR="00744A1C" w:rsidRDefault="00E378DD" w:rsidP="00E378DD">
      <w:pPr>
        <w:pStyle w:val="libFootnote0"/>
        <w:rPr>
          <w:lang w:bidi="fa-IR"/>
        </w:rPr>
      </w:pPr>
      <w:r>
        <w:rPr>
          <w:rtl/>
          <w:lang w:bidi="fa-IR"/>
        </w:rPr>
        <w:t>(10).</w:t>
      </w:r>
      <w:r w:rsidR="00744A1C">
        <w:rPr>
          <w:rtl/>
          <w:lang w:bidi="fa-IR"/>
        </w:rPr>
        <w:t xml:space="preserve"> في </w:t>
      </w:r>
      <w:r w:rsidR="00744A1C" w:rsidRPr="00877682">
        <w:rPr>
          <w:rStyle w:val="libFootnoteBoldChar"/>
          <w:rtl/>
        </w:rPr>
        <w:t>مرآة العقول</w:t>
      </w:r>
      <w:r w:rsidR="00744A1C">
        <w:rPr>
          <w:rtl/>
          <w:lang w:bidi="fa-IR"/>
        </w:rPr>
        <w:t xml:space="preserve"> ، ج 18 ، ص 174 : « يدلّ على استحباب التذكية عن الغير وإن كان حيّاً لا سيّما النبيّ والأئمة</w:t>
      </w:r>
      <w:r w:rsidR="000E07C4">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7874 / 2. أَبُو عَلِيٍّ الْأَشْعَرِيُّ ، عَنْ مُحَمَّدِ بْنِ عَبْدِ الْجَبَّارِ ، عَنْ صَفْوَانَ بْنِ يَحْيى </w:t>
      </w:r>
      <w:r w:rsidRPr="00D10E3C">
        <w:rPr>
          <w:rStyle w:val="libFootnotenumChar"/>
          <w:rtl/>
        </w:rPr>
        <w:t>(1)</w:t>
      </w:r>
      <w:r>
        <w:rPr>
          <w:rtl/>
          <w:lang w:bidi="fa-IR"/>
        </w:rPr>
        <w:t xml:space="preserve"> ، عَنْ عَبْدِ الرَّحْمنِ بْنِ الْحَجَّاجِ ، قَالَ :</w:t>
      </w:r>
    </w:p>
    <w:p w:rsidR="00744A1C" w:rsidRDefault="00744A1C" w:rsidP="00744A1C">
      <w:pPr>
        <w:pStyle w:val="libNormal"/>
        <w:rPr>
          <w:lang w:bidi="fa-IR"/>
        </w:rPr>
      </w:pPr>
      <w:r>
        <w:rPr>
          <w:rtl/>
          <w:lang w:bidi="fa-IR"/>
        </w:rPr>
        <w:t xml:space="preserve">سَأَلْتُ أَبَا إِبْرَاهِيمَ </w:t>
      </w:r>
      <w:r w:rsidR="0061079A" w:rsidRPr="0061079A">
        <w:rPr>
          <w:rStyle w:val="libAlaemChar"/>
          <w:rtl/>
        </w:rPr>
        <w:t>عليه‌السلام</w:t>
      </w:r>
      <w:r w:rsidR="00D10E3C">
        <w:rPr>
          <w:rtl/>
          <w:lang w:bidi="fa-IR"/>
        </w:rPr>
        <w:t xml:space="preserve"> </w:t>
      </w:r>
      <w:r>
        <w:rPr>
          <w:rtl/>
          <w:lang w:bidi="fa-IR"/>
        </w:rPr>
        <w:t xml:space="preserve">عَنْ قَوْمٍ غَلَتْ عَلَيْهِمُ الْأَضَاحِيُّ ، وَهُمْ مُتَمَتِّعُونَ ، وَهُمْ مُتَرَافِقُونَ ، وَلَيْسُوا </w:t>
      </w:r>
      <w:r w:rsidRPr="00D10E3C">
        <w:rPr>
          <w:rStyle w:val="libFootnotenumChar"/>
          <w:rtl/>
        </w:rPr>
        <w:t>(2)</w:t>
      </w:r>
      <w:r>
        <w:rPr>
          <w:rtl/>
          <w:lang w:bidi="fa-IR"/>
        </w:rPr>
        <w:t xml:space="preserve"> بِأَهْلِ بَيْتٍ وَاحِدٍ ، وَقَدِ </w:t>
      </w:r>
      <w:r w:rsidRPr="00D10E3C">
        <w:rPr>
          <w:rStyle w:val="libFootnotenumChar"/>
          <w:rtl/>
        </w:rPr>
        <w:t>(3)</w:t>
      </w:r>
      <w:r>
        <w:rPr>
          <w:rtl/>
          <w:lang w:bidi="fa-IR"/>
        </w:rPr>
        <w:t xml:space="preserve"> اجْتَمَعُوا فِي مَسِيرِهِمْ ، وَمَضْرَبُهُمْ وَاحِدٌ : أَ</w:t>
      </w:r>
      <w:r w:rsidR="008A54A0">
        <w:rPr>
          <w:rFonts w:hint="cs"/>
          <w:rtl/>
          <w:lang w:bidi="fa-IR"/>
        </w:rPr>
        <w:t xml:space="preserve"> </w:t>
      </w:r>
      <w:r>
        <w:rPr>
          <w:rtl/>
          <w:lang w:bidi="fa-IR"/>
        </w:rPr>
        <w:t xml:space="preserve">لَهُمْ </w:t>
      </w:r>
      <w:r w:rsidRPr="00D10E3C">
        <w:rPr>
          <w:rStyle w:val="libFootnotenumChar"/>
          <w:rtl/>
        </w:rPr>
        <w:t>(4)</w:t>
      </w:r>
      <w:r>
        <w:rPr>
          <w:rtl/>
          <w:lang w:bidi="fa-IR"/>
        </w:rPr>
        <w:t xml:space="preserve"> أَنْ يَذْبَحُوا بَقَرَةً؟</w:t>
      </w:r>
    </w:p>
    <w:p w:rsidR="00144FA6" w:rsidRDefault="00744A1C" w:rsidP="00744A1C">
      <w:pPr>
        <w:pStyle w:val="libNormal"/>
        <w:rPr>
          <w:rtl/>
          <w:lang w:bidi="fa-IR"/>
        </w:rPr>
      </w:pPr>
      <w:r>
        <w:rPr>
          <w:rtl/>
          <w:lang w:bidi="fa-IR"/>
        </w:rPr>
        <w:t>فَقَ</w:t>
      </w:r>
      <w:r w:rsidR="008A54A0">
        <w:rPr>
          <w:rtl/>
          <w:lang w:bidi="fa-IR"/>
        </w:rPr>
        <w:t>الَ : « لَا أُحِبُّ ذلِكَ إِل</w:t>
      </w:r>
      <w:r w:rsidR="008A54A0">
        <w:rPr>
          <w:rFonts w:hint="cs"/>
          <w:rtl/>
          <w:lang w:bidi="fa-IR"/>
        </w:rPr>
        <w:t>َّ</w:t>
      </w:r>
      <w:r w:rsidR="008A54A0">
        <w:rPr>
          <w:rtl/>
          <w:lang w:bidi="fa-IR"/>
        </w:rPr>
        <w:t>ا</w:t>
      </w:r>
      <w:r>
        <w:rPr>
          <w:rtl/>
          <w:lang w:bidi="fa-IR"/>
        </w:rPr>
        <w:t xml:space="preserve"> مِنْ ضَرُورَةٍ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7875 / 3. عِدَّةٌ مِنْ أَصْحَابِنَا ، عَنْ أَحْمَدَ بْنِ مُحَمَّدٍ ، عَنِ الْحَسَنِ بْنِ عَلِيٍّ ، عَنْ رَجُلٍ يُسَمّى سَوَادَةَ </w:t>
      </w:r>
      <w:r w:rsidRPr="00D10E3C">
        <w:rPr>
          <w:rStyle w:val="libFootnotenumChar"/>
          <w:rtl/>
        </w:rPr>
        <w:t>(7)</w:t>
      </w:r>
      <w:r>
        <w:rPr>
          <w:rtl/>
          <w:lang w:bidi="fa-IR"/>
        </w:rPr>
        <w:t xml:space="preserve"> ، قَالَ :</w:t>
      </w:r>
    </w:p>
    <w:p w:rsidR="00744A1C" w:rsidRDefault="00744A1C" w:rsidP="00D10E3C">
      <w:pPr>
        <w:pStyle w:val="libLine"/>
        <w:rPr>
          <w:lang w:bidi="fa-IR"/>
        </w:rPr>
      </w:pPr>
      <w:r>
        <w:rPr>
          <w:rtl/>
          <w:lang w:bidi="fa-IR"/>
        </w:rPr>
        <w:t>____________________</w:t>
      </w:r>
    </w:p>
    <w:p w:rsidR="00744A1C" w:rsidRDefault="00057BA6" w:rsidP="00C20D85">
      <w:pPr>
        <w:pStyle w:val="libFootnote0"/>
        <w:rPr>
          <w:lang w:bidi="fa-IR"/>
        </w:rPr>
      </w:pPr>
      <w:r>
        <w:rPr>
          <w:rFonts w:hint="cs"/>
          <w:rtl/>
          <w:lang w:bidi="fa-IR"/>
        </w:rPr>
        <w:t xml:space="preserve">= </w:t>
      </w:r>
      <w:r w:rsidR="00744A1C">
        <w:rPr>
          <w:rtl/>
          <w:lang w:bidi="fa-IR"/>
        </w:rPr>
        <w:t xml:space="preserve">صلوات الله عليهم. ولا يخفى عدم مناسبة الخبر لهذا الباب ، ويمكن أن يكون ذكره لتشريك الجماعة الكثيرة في الهذى الذي ضحّى رسول الله </w:t>
      </w:r>
      <w:r w:rsidR="005E465D" w:rsidRPr="00596830">
        <w:rPr>
          <w:rStyle w:val="libFootnoteAlaemChar"/>
          <w:rFonts w:eastAsiaTheme="minorHAnsi"/>
          <w:rtl/>
        </w:rPr>
        <w:t>صلى‌الله‌عليه‌وآله</w:t>
      </w:r>
      <w:r w:rsidR="00C20D85" w:rsidRPr="00AD4202">
        <w:rPr>
          <w:rFonts w:eastAsiaTheme="minorHAnsi"/>
          <w:rtl/>
        </w:rPr>
        <w:t xml:space="preserve"> </w:t>
      </w:r>
      <w:r w:rsidR="00AD4202">
        <w:rPr>
          <w:rtl/>
          <w:lang w:bidi="fa-IR"/>
        </w:rPr>
        <w:t xml:space="preserve">عن </w:t>
      </w:r>
      <w:r w:rsidR="00AD4202">
        <w:rPr>
          <w:rFonts w:hint="cs"/>
          <w:rtl/>
          <w:lang w:bidi="fa-IR"/>
        </w:rPr>
        <w:t>اُ</w:t>
      </w:r>
      <w:r w:rsidR="00744A1C">
        <w:rPr>
          <w:rtl/>
          <w:lang w:bidi="fa-IR"/>
        </w:rPr>
        <w:t>مّته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الفقيه</w:t>
      </w:r>
      <w:r w:rsidR="00744A1C">
        <w:rPr>
          <w:rtl/>
          <w:lang w:bidi="fa-IR"/>
        </w:rPr>
        <w:t xml:space="preserve"> ، ج 2 ، ص 489 ، ح 3046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وزيادة </w:t>
      </w:r>
      <w:r w:rsidR="001F7BFE">
        <w:rPr>
          <w:rFonts w:hint="cs"/>
          <w:rtl/>
          <w:lang w:bidi="fa-IR"/>
        </w:rPr>
        <w:t>.</w:t>
      </w:r>
      <w:r w:rsidR="00744A1C" w:rsidRPr="00C24F9C">
        <w:rPr>
          <w:rStyle w:val="libFootnoteBoldChar"/>
          <w:rtl/>
        </w:rPr>
        <w:t>الوافي</w:t>
      </w:r>
      <w:r w:rsidR="00744A1C">
        <w:rPr>
          <w:rtl/>
          <w:lang w:bidi="fa-IR"/>
        </w:rPr>
        <w:t xml:space="preserve"> ، ج 14 ، ص 1131 ، ح 13920 ؛ </w:t>
      </w:r>
      <w:r w:rsidR="00744A1C" w:rsidRPr="00C24F9C">
        <w:rPr>
          <w:rStyle w:val="libFootnoteBoldChar"/>
          <w:rtl/>
        </w:rPr>
        <w:t>الوسائل</w:t>
      </w:r>
      <w:r w:rsidR="00744A1C">
        <w:rPr>
          <w:rtl/>
          <w:lang w:bidi="fa-IR"/>
        </w:rPr>
        <w:t xml:space="preserve"> ، ج 14 ، ص 100 ، ح 18697 ؛ </w:t>
      </w:r>
      <w:r w:rsidR="00744A1C" w:rsidRPr="0061079A">
        <w:rPr>
          <w:rStyle w:val="libFootnoteBoldChar"/>
          <w:rtl/>
        </w:rPr>
        <w:t>البحار</w:t>
      </w:r>
      <w:r w:rsidR="00744A1C">
        <w:rPr>
          <w:rtl/>
          <w:lang w:bidi="fa-IR"/>
        </w:rPr>
        <w:t xml:space="preserve"> ، ج 16 ، ص 274 ، ح 106 ، إلى قوله : « عمّن لم يجد من ا</w:t>
      </w:r>
      <w:r w:rsidR="001F7BFE">
        <w:rPr>
          <w:rFonts w:hint="cs"/>
          <w:rtl/>
          <w:lang w:bidi="fa-IR"/>
        </w:rPr>
        <w:t>ُ</w:t>
      </w:r>
      <w:r w:rsidR="00744A1C">
        <w:rPr>
          <w:rtl/>
          <w:lang w:bidi="fa-IR"/>
        </w:rPr>
        <w:t xml:space="preserve">مّته » ؛ وفيه ، ج 41 ، ص 23 ، ح 14 ، من قوله : « وكان أميرالمؤمنين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D10E3C" w:rsidP="00D10E3C">
      <w:pPr>
        <w:pStyle w:val="libFootnote0"/>
        <w:rPr>
          <w:lang w:bidi="fa-IR"/>
        </w:rPr>
      </w:pPr>
      <w:r>
        <w:rPr>
          <w:rtl/>
          <w:lang w:bidi="fa-IR"/>
        </w:rPr>
        <w:t>(1).</w:t>
      </w:r>
      <w:r w:rsidR="00744A1C">
        <w:rPr>
          <w:rtl/>
          <w:lang w:bidi="fa-IR"/>
        </w:rPr>
        <w:t xml:space="preserve"> في « بف ، جر » : - « بن يحيى ».</w:t>
      </w:r>
    </w:p>
    <w:p w:rsidR="00744A1C" w:rsidRDefault="00E378DD" w:rsidP="00E378DD">
      <w:pPr>
        <w:pStyle w:val="libFootnote0"/>
        <w:rPr>
          <w:lang w:bidi="fa-IR"/>
        </w:rPr>
      </w:pPr>
      <w:r>
        <w:rPr>
          <w:rtl/>
          <w:lang w:bidi="fa-IR"/>
        </w:rPr>
        <w:t>(2).</w:t>
      </w:r>
      <w:r w:rsidR="00744A1C">
        <w:rPr>
          <w:rtl/>
          <w:lang w:bidi="fa-IR"/>
        </w:rPr>
        <w:t xml:space="preserve"> في </w:t>
      </w:r>
      <w:r w:rsidR="00744A1C" w:rsidRPr="001F7BFE">
        <w:rPr>
          <w:rtl/>
        </w:rPr>
        <w:t>التهذيب والاستبصار</w:t>
      </w:r>
      <w:r w:rsidR="00744A1C">
        <w:rPr>
          <w:rtl/>
          <w:lang w:bidi="fa-IR"/>
        </w:rPr>
        <w:t xml:space="preserve"> : « ليسوا » بدون الواو.</w:t>
      </w:r>
    </w:p>
    <w:tbl>
      <w:tblPr>
        <w:tblStyle w:val="TableGrid"/>
        <w:bidiVisual/>
        <w:tblW w:w="0" w:type="auto"/>
        <w:tblLook w:val="04A0" w:firstRow="1" w:lastRow="0" w:firstColumn="1" w:lastColumn="0" w:noHBand="0" w:noVBand="1"/>
      </w:tblPr>
      <w:tblGrid>
        <w:gridCol w:w="4006"/>
        <w:gridCol w:w="4006"/>
      </w:tblGrid>
      <w:tr w:rsidR="001F7BFE" w:rsidTr="001F7BFE">
        <w:tc>
          <w:tcPr>
            <w:tcW w:w="4006" w:type="dxa"/>
          </w:tcPr>
          <w:p w:rsidR="001F7BFE" w:rsidRDefault="001F7BFE" w:rsidP="00E378DD">
            <w:pPr>
              <w:pStyle w:val="libFootnote0"/>
              <w:rPr>
                <w:rtl/>
                <w:lang w:bidi="fa-IR"/>
              </w:rPr>
            </w:pPr>
            <w:r>
              <w:rPr>
                <w:rtl/>
                <w:lang w:bidi="fa-IR"/>
              </w:rPr>
              <w:t>(3). في الاستبصار : « رفقة » بدل « وقد ».</w:t>
            </w:r>
          </w:p>
        </w:tc>
        <w:tc>
          <w:tcPr>
            <w:tcW w:w="4006" w:type="dxa"/>
          </w:tcPr>
          <w:p w:rsidR="001F7BFE" w:rsidRDefault="001F7BFE" w:rsidP="00E378DD">
            <w:pPr>
              <w:pStyle w:val="libFootnote0"/>
              <w:rPr>
                <w:rtl/>
                <w:lang w:bidi="fa-IR"/>
              </w:rPr>
            </w:pPr>
            <w:r>
              <w:rPr>
                <w:rtl/>
                <w:lang w:bidi="fa-IR"/>
              </w:rPr>
              <w:t>(4). في « بح » : « لهم » من دون همزة الاستفهام.</w:t>
            </w:r>
          </w:p>
        </w:tc>
      </w:tr>
    </w:tbl>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لا ا</w:t>
      </w:r>
      <w:r w:rsidR="00755637">
        <w:rPr>
          <w:rFonts w:hint="cs"/>
          <w:rtl/>
          <w:lang w:bidi="fa-IR"/>
        </w:rPr>
        <w:t>ُ</w:t>
      </w:r>
      <w:r w:rsidR="00744A1C">
        <w:rPr>
          <w:rtl/>
          <w:lang w:bidi="fa-IR"/>
        </w:rPr>
        <w:t>حبّ ذلك ، ظاهره كراهة الاكتفاء بالواحد في غير الضرورة ، وعدم الكراهة في حال الضرورة. واختلف الأصحاب فيه ، فقال الشيخ في موضع من ال</w:t>
      </w:r>
      <w:r w:rsidR="00755637">
        <w:rPr>
          <w:rtl/>
          <w:lang w:bidi="fa-IR"/>
        </w:rPr>
        <w:t>خلاف : الهدي الواجب لا يجزئ إل</w:t>
      </w:r>
      <w:r w:rsidR="00755637">
        <w:rPr>
          <w:rFonts w:hint="cs"/>
          <w:rtl/>
          <w:lang w:bidi="fa-IR"/>
        </w:rPr>
        <w:t>ّ</w:t>
      </w:r>
      <w:r w:rsidR="00755637">
        <w:rPr>
          <w:rtl/>
          <w:lang w:bidi="fa-IR"/>
        </w:rPr>
        <w:t>ا</w:t>
      </w:r>
      <w:r w:rsidR="00755637">
        <w:rPr>
          <w:rFonts w:hint="cs"/>
          <w:rtl/>
          <w:lang w:bidi="fa-IR"/>
        </w:rPr>
        <w:t xml:space="preserve"> </w:t>
      </w:r>
      <w:r w:rsidR="00744A1C">
        <w:rPr>
          <w:rtl/>
          <w:lang w:bidi="fa-IR"/>
        </w:rPr>
        <w:t xml:space="preserve">عن واحد ، وعليه الأكثر. وقال الشيخ في </w:t>
      </w:r>
      <w:r w:rsidR="00744A1C" w:rsidRPr="00877682">
        <w:rPr>
          <w:rStyle w:val="libFootnoteBoldChar"/>
          <w:rtl/>
        </w:rPr>
        <w:t>النهاية</w:t>
      </w:r>
      <w:r w:rsidR="00744A1C">
        <w:rPr>
          <w:rtl/>
          <w:lang w:bidi="fa-IR"/>
        </w:rPr>
        <w:t xml:space="preserve"> والمبسوط والجمل وموضع من الخلاف : يجزئ الواجب عند الضرورة عن خمسة وعن سبعة وعن سبعين. وقال المفيد : تجزئ البقرة عن خمسة إذا كانوا أهل بيت ،</w:t>
      </w:r>
      <w:r w:rsidR="008E2911">
        <w:rPr>
          <w:rtl/>
          <w:lang w:bidi="fa-IR"/>
        </w:rPr>
        <w:t xml:space="preserve"> ونحوه قال ابن بابويه. وقال سل</w:t>
      </w:r>
      <w:r w:rsidR="008E2911">
        <w:rPr>
          <w:rFonts w:hint="cs"/>
          <w:rtl/>
          <w:lang w:bidi="fa-IR"/>
        </w:rPr>
        <w:t>ّ</w:t>
      </w:r>
      <w:r w:rsidR="008E2911">
        <w:rPr>
          <w:rtl/>
          <w:lang w:bidi="fa-IR"/>
        </w:rPr>
        <w:t>ا</w:t>
      </w:r>
      <w:r w:rsidR="00744A1C">
        <w:rPr>
          <w:rtl/>
          <w:lang w:bidi="fa-IR"/>
        </w:rPr>
        <w:t xml:space="preserve">ر : تجزئ البقرة عن خمسة وأطلق. والمسألة محلّ إشكال وإن كان القول بإجزاء البقرة عن خمسة غير بعيد ، كما قوّاه بعض المحقّقين. ويمكن حمل هذا الخبر على المستحبّ بعد ذبح الهدي الواجب وإن كان بعيداً ». وللمزيد راجع : </w:t>
      </w:r>
      <w:r w:rsidR="00744A1C" w:rsidRPr="00C24F9C">
        <w:rPr>
          <w:rStyle w:val="libFootnoteBoldChar"/>
          <w:rtl/>
        </w:rPr>
        <w:t>مدارك الأحكام</w:t>
      </w:r>
      <w:r w:rsidR="00744A1C">
        <w:rPr>
          <w:rtl/>
          <w:lang w:bidi="fa-IR"/>
        </w:rPr>
        <w:t xml:space="preserve"> ، ج 8 ، ص 20 - 23.</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210 ، ح 706 ؛ </w:t>
      </w:r>
      <w:r w:rsidR="00744A1C" w:rsidRPr="00C24F9C">
        <w:rPr>
          <w:rStyle w:val="libFootnoteBoldChar"/>
          <w:rtl/>
        </w:rPr>
        <w:t>والاستبصار</w:t>
      </w:r>
      <w:r w:rsidR="00744A1C">
        <w:rPr>
          <w:rtl/>
          <w:lang w:bidi="fa-IR"/>
        </w:rPr>
        <w:t xml:space="preserve"> ، ج 2 ، ص 268 ، ح 951 ، معلّقاً عن الكليني </w:t>
      </w:r>
      <w:r w:rsidR="00590D04">
        <w:rPr>
          <w:rFonts w:hint="cs"/>
          <w:rtl/>
          <w:lang w:bidi="fa-IR"/>
        </w:rPr>
        <w:t>.</w:t>
      </w:r>
      <w:r w:rsidR="00744A1C" w:rsidRPr="00C24F9C">
        <w:rPr>
          <w:rStyle w:val="libFootnoteBoldChar"/>
          <w:rtl/>
        </w:rPr>
        <w:t>الوافي</w:t>
      </w:r>
      <w:r w:rsidR="00744A1C">
        <w:rPr>
          <w:rtl/>
          <w:lang w:bidi="fa-IR"/>
        </w:rPr>
        <w:t xml:space="preserve"> ، ج 14 ، ص 1131 ، ح 13919 ؛ </w:t>
      </w:r>
      <w:r w:rsidR="00744A1C" w:rsidRPr="00C24F9C">
        <w:rPr>
          <w:rStyle w:val="libFootnoteBoldChar"/>
          <w:rtl/>
        </w:rPr>
        <w:t>الوسائل</w:t>
      </w:r>
      <w:r w:rsidR="00744A1C">
        <w:rPr>
          <w:rtl/>
          <w:lang w:bidi="fa-IR"/>
        </w:rPr>
        <w:t xml:space="preserve"> ، ج 14 ، ص 119 ، ح 18763.</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بسوادة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كُنَّا جَمَاعَةً بِمِنًى ، فَعَزَّتِ </w:t>
      </w:r>
      <w:r w:rsidRPr="00D10E3C">
        <w:rPr>
          <w:rStyle w:val="libFootnotenumChar"/>
          <w:rtl/>
        </w:rPr>
        <w:t>(1)</w:t>
      </w:r>
      <w:r>
        <w:rPr>
          <w:rtl/>
          <w:lang w:bidi="fa-IR"/>
        </w:rPr>
        <w:t xml:space="preserve"> الْأَضَاحِيُّ ، فَنَظَرْنَا ، فَإِذَا أَبُو عَبْدِ اللهِ </w:t>
      </w:r>
      <w:r w:rsidR="0061079A" w:rsidRPr="0061079A">
        <w:rPr>
          <w:rStyle w:val="libAlaemChar"/>
          <w:rtl/>
        </w:rPr>
        <w:t>عليه‌السلام</w:t>
      </w:r>
      <w:r w:rsidR="00D10E3C">
        <w:rPr>
          <w:rtl/>
          <w:lang w:bidi="fa-IR"/>
        </w:rPr>
        <w:t xml:space="preserve"> </w:t>
      </w:r>
      <w:r>
        <w:rPr>
          <w:rtl/>
          <w:lang w:bidi="fa-IR"/>
        </w:rPr>
        <w:t xml:space="preserve">وَاقِفٌ عَلى قَطِيعٍ </w:t>
      </w:r>
      <w:r w:rsidRPr="00D10E3C">
        <w:rPr>
          <w:rStyle w:val="libFootnotenumChar"/>
          <w:rtl/>
        </w:rPr>
        <w:t>(2)</w:t>
      </w:r>
      <w:r>
        <w:rPr>
          <w:rtl/>
          <w:lang w:bidi="fa-IR"/>
        </w:rPr>
        <w:t xml:space="preserve"> يُسَاوِمُ </w:t>
      </w:r>
      <w:r w:rsidRPr="00D10E3C">
        <w:rPr>
          <w:rStyle w:val="libFootnotenumChar"/>
          <w:rtl/>
        </w:rPr>
        <w:t>(3)</w:t>
      </w:r>
      <w:r>
        <w:rPr>
          <w:rtl/>
          <w:lang w:bidi="fa-IR"/>
        </w:rPr>
        <w:t xml:space="preserve"> بِغَنَمٍ ، وَيُمَاكِسُهُمْ مِكَاساً </w:t>
      </w:r>
      <w:r w:rsidRPr="00D10E3C">
        <w:rPr>
          <w:rStyle w:val="libFootnotenumChar"/>
          <w:rtl/>
        </w:rPr>
        <w:t>(4)</w:t>
      </w:r>
      <w:r>
        <w:rPr>
          <w:rtl/>
          <w:lang w:bidi="fa-IR"/>
        </w:rPr>
        <w:t xml:space="preserve"> شَدِيداً ، فَوَقَفْنَا </w:t>
      </w:r>
      <w:r w:rsidRPr="00D10E3C">
        <w:rPr>
          <w:rStyle w:val="libFootnotenumChar"/>
          <w:rtl/>
        </w:rPr>
        <w:t>(5)</w:t>
      </w:r>
      <w:r>
        <w:rPr>
          <w:rtl/>
          <w:lang w:bidi="fa-IR"/>
        </w:rPr>
        <w:t xml:space="preserve"> نَنْتَظِرُ </w:t>
      </w:r>
      <w:r w:rsidRPr="00D10E3C">
        <w:rPr>
          <w:rStyle w:val="libFootnotenumChar"/>
          <w:rtl/>
        </w:rPr>
        <w:t>(6)</w:t>
      </w:r>
      <w:r>
        <w:rPr>
          <w:rtl/>
          <w:lang w:bidi="fa-IR"/>
        </w:rPr>
        <w:t xml:space="preserve"> ، فَلَمَّا فَرَغَ أَقْبَلَ عَلَيْنَا ، فَقَالَ </w:t>
      </w:r>
      <w:r w:rsidRPr="00D10E3C">
        <w:rPr>
          <w:rStyle w:val="libFootnotenumChar"/>
          <w:rtl/>
        </w:rPr>
        <w:t>(7)</w:t>
      </w:r>
      <w:r>
        <w:rPr>
          <w:rtl/>
          <w:lang w:bidi="fa-IR"/>
        </w:rPr>
        <w:t xml:space="preserve"> : « أَظُنُّكُمْ قَدْ تَعَجَّبْتُمْ مِنْ مِكَاسِي </w:t>
      </w:r>
      <w:r w:rsidRPr="00D10E3C">
        <w:rPr>
          <w:rStyle w:val="libFootnotenumChar"/>
          <w:rtl/>
        </w:rPr>
        <w:t>(8)</w:t>
      </w:r>
      <w:r>
        <w:rPr>
          <w:rtl/>
          <w:lang w:bidi="fa-IR"/>
        </w:rPr>
        <w:t xml:space="preserve"> » فَقُلْنَا : نَعَمْ ، فَقَالَ </w:t>
      </w:r>
      <w:r w:rsidRPr="00D10E3C">
        <w:rPr>
          <w:rStyle w:val="libFootnotenumChar"/>
          <w:rtl/>
        </w:rPr>
        <w:t>(9)</w:t>
      </w:r>
      <w:r>
        <w:rPr>
          <w:rtl/>
          <w:lang w:bidi="fa-IR"/>
        </w:rPr>
        <w:t xml:space="preserve"> : « إِنَّ الْمَغْبُونَ لَا مَحْمُودٌ ، وَ</w:t>
      </w:r>
      <w:r w:rsidR="00FA0150">
        <w:rPr>
          <w:rFonts w:hint="cs"/>
          <w:rtl/>
          <w:lang w:bidi="fa-IR"/>
        </w:rPr>
        <w:t xml:space="preserve"> </w:t>
      </w:r>
      <w:r>
        <w:rPr>
          <w:rtl/>
          <w:lang w:bidi="fa-IR"/>
        </w:rPr>
        <w:t>لَا</w:t>
      </w:r>
      <w:r w:rsidR="00FA0150">
        <w:rPr>
          <w:rFonts w:hint="cs"/>
          <w:rtl/>
          <w:lang w:bidi="fa-IR"/>
        </w:rPr>
        <w:t xml:space="preserve"> </w:t>
      </w:r>
      <w:r>
        <w:rPr>
          <w:rtl/>
          <w:lang w:bidi="fa-IR"/>
        </w:rPr>
        <w:t>مَأْجُورٌ أَ</w:t>
      </w:r>
      <w:r w:rsidR="00FA0150">
        <w:rPr>
          <w:rFonts w:hint="cs"/>
          <w:rtl/>
          <w:lang w:bidi="fa-IR"/>
        </w:rPr>
        <w:t xml:space="preserve"> </w:t>
      </w:r>
      <w:r>
        <w:rPr>
          <w:rtl/>
          <w:lang w:bidi="fa-IR"/>
        </w:rPr>
        <w:t>لَكُمْ حَاجَةٌ؟ ».</w:t>
      </w:r>
    </w:p>
    <w:p w:rsidR="00744A1C" w:rsidRDefault="00744A1C" w:rsidP="00744A1C">
      <w:pPr>
        <w:pStyle w:val="libNormal"/>
        <w:rPr>
          <w:lang w:bidi="fa-IR"/>
        </w:rPr>
      </w:pPr>
      <w:r>
        <w:rPr>
          <w:rtl/>
          <w:lang w:bidi="fa-IR"/>
        </w:rPr>
        <w:t xml:space="preserve">فَقُلْنَا </w:t>
      </w:r>
      <w:r w:rsidRPr="00D10E3C">
        <w:rPr>
          <w:rStyle w:val="libFootnotenumChar"/>
          <w:rtl/>
        </w:rPr>
        <w:t>(10)</w:t>
      </w:r>
      <w:r>
        <w:rPr>
          <w:rtl/>
          <w:lang w:bidi="fa-IR"/>
        </w:rPr>
        <w:t xml:space="preserve"> : نَعَمْ أَصْلَحَكَ اللهُ ، إِنَّ الْأَضَاحِيَّ قَدْ عَزَّتْ عَلَيْنَا.</w:t>
      </w:r>
    </w:p>
    <w:p w:rsidR="00744A1C" w:rsidRDefault="00744A1C" w:rsidP="00744A1C">
      <w:pPr>
        <w:pStyle w:val="libNormal"/>
        <w:rPr>
          <w:lang w:bidi="fa-IR"/>
        </w:rPr>
      </w:pPr>
      <w:r>
        <w:rPr>
          <w:rtl/>
          <w:lang w:bidi="fa-IR"/>
        </w:rPr>
        <w:t xml:space="preserve">قَالَ : « فَاجْتَمِعُوا ، فَاشْتَرُوا جَزُوراً </w:t>
      </w:r>
      <w:r w:rsidRPr="00D10E3C">
        <w:rPr>
          <w:rStyle w:val="libFootnotenumChar"/>
          <w:rtl/>
        </w:rPr>
        <w:t>(11)</w:t>
      </w:r>
      <w:r>
        <w:rPr>
          <w:rtl/>
          <w:lang w:bidi="fa-IR"/>
        </w:rPr>
        <w:t xml:space="preserve"> فَانْحَرُوهَا </w:t>
      </w:r>
      <w:r w:rsidRPr="00D10E3C">
        <w:rPr>
          <w:rStyle w:val="libFootnotenumChar"/>
          <w:rtl/>
        </w:rPr>
        <w:t>(12)</w:t>
      </w:r>
      <w:r>
        <w:rPr>
          <w:rtl/>
          <w:lang w:bidi="fa-IR"/>
        </w:rPr>
        <w:t xml:space="preserve"> فِيمَا بَيْنَكُمْ ».</w:t>
      </w:r>
    </w:p>
    <w:p w:rsidR="00744A1C" w:rsidRDefault="00744A1C" w:rsidP="00744A1C">
      <w:pPr>
        <w:pStyle w:val="libNormal"/>
        <w:rPr>
          <w:lang w:bidi="fa-IR"/>
        </w:rPr>
      </w:pPr>
      <w:r>
        <w:rPr>
          <w:rtl/>
          <w:lang w:bidi="fa-IR"/>
        </w:rPr>
        <w:t xml:space="preserve">قُلْنَا : وَلَاتَبْلُغُ </w:t>
      </w:r>
      <w:r w:rsidRPr="00D10E3C">
        <w:rPr>
          <w:rStyle w:val="libFootnotenumChar"/>
          <w:rtl/>
        </w:rPr>
        <w:t>(13)</w:t>
      </w:r>
      <w:r>
        <w:rPr>
          <w:rtl/>
          <w:lang w:bidi="fa-IR"/>
        </w:rPr>
        <w:t xml:space="preserve"> نَفَقَتُنَا </w:t>
      </w:r>
      <w:r w:rsidRPr="00D10E3C">
        <w:rPr>
          <w:rStyle w:val="libFootnotenumChar"/>
          <w:rtl/>
        </w:rPr>
        <w:t>(14)</w:t>
      </w:r>
      <w:r w:rsidR="00FA0150" w:rsidRPr="00FA0150">
        <w:rPr>
          <w:rFonts w:hint="cs"/>
          <w:rtl/>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بخ ، بف » و</w:t>
      </w:r>
      <w:r w:rsidR="00744A1C" w:rsidRPr="00C24F9C">
        <w:rPr>
          <w:rStyle w:val="libFootnoteBoldChar"/>
          <w:rtl/>
        </w:rPr>
        <w:t>الوافي</w:t>
      </w:r>
      <w:r w:rsidR="00744A1C">
        <w:rPr>
          <w:rtl/>
          <w:lang w:bidi="fa-IR"/>
        </w:rPr>
        <w:t xml:space="preserve"> : + « علينا ». وقال الجوهري : « عزّ الشي‌ءُ يعزّ عزّاً وعزّة وعَزازة ، إذا قلّ لايكاديوجد ، فهو عزيز ». وقال الفيّومي : « عزّ الشي‌ءُ يعزّ ، من باب ضرب : لم يُقْدَر عليه ». </w:t>
      </w:r>
      <w:r w:rsidR="00744A1C" w:rsidRPr="00E978C3">
        <w:rPr>
          <w:rStyle w:val="libFootnoteBoldChar"/>
          <w:rtl/>
        </w:rPr>
        <w:t>الصحاح</w:t>
      </w:r>
      <w:r w:rsidR="00744A1C">
        <w:rPr>
          <w:rtl/>
          <w:lang w:bidi="fa-IR"/>
        </w:rPr>
        <w:t xml:space="preserve"> ، ج 3 ، ص 885 ؛ </w:t>
      </w:r>
      <w:r w:rsidR="00744A1C" w:rsidRPr="00E978C3">
        <w:rPr>
          <w:rStyle w:val="libFootnoteBoldChar"/>
          <w:rtl/>
        </w:rPr>
        <w:t>المصباح المنير</w:t>
      </w:r>
      <w:r w:rsidR="00744A1C">
        <w:rPr>
          <w:rtl/>
          <w:lang w:bidi="fa-IR"/>
        </w:rPr>
        <w:t xml:space="preserve"> ، ص 407 ( عزز ).</w:t>
      </w:r>
    </w:p>
    <w:p w:rsidR="00744A1C" w:rsidRDefault="00E378DD" w:rsidP="00E378DD">
      <w:pPr>
        <w:pStyle w:val="libFootnote0"/>
        <w:rPr>
          <w:lang w:bidi="fa-IR"/>
        </w:rPr>
      </w:pPr>
      <w:r>
        <w:rPr>
          <w:rtl/>
          <w:lang w:bidi="fa-IR"/>
        </w:rPr>
        <w:t>(2).</w:t>
      </w:r>
      <w:r w:rsidR="00744A1C">
        <w:rPr>
          <w:rtl/>
          <w:lang w:bidi="fa-IR"/>
        </w:rPr>
        <w:t xml:space="preserve"> في الاستبصار : « القطيع ». والقطيع : الطائفة من البقر والغنم. </w:t>
      </w:r>
      <w:r w:rsidR="00744A1C" w:rsidRPr="00E978C3">
        <w:rPr>
          <w:rStyle w:val="libFootnoteBoldChar"/>
          <w:rtl/>
        </w:rPr>
        <w:t>الصحاح</w:t>
      </w:r>
      <w:r w:rsidR="00744A1C">
        <w:rPr>
          <w:rtl/>
          <w:lang w:bidi="fa-IR"/>
        </w:rPr>
        <w:t xml:space="preserve"> ، ج 3 ، ص 1268 ( قطع ).</w:t>
      </w:r>
    </w:p>
    <w:p w:rsidR="00744A1C" w:rsidRDefault="00E378DD" w:rsidP="00E378DD">
      <w:pPr>
        <w:pStyle w:val="libFootnote0"/>
        <w:rPr>
          <w:lang w:bidi="fa-IR"/>
        </w:rPr>
      </w:pPr>
      <w:r>
        <w:rPr>
          <w:rtl/>
          <w:lang w:bidi="fa-IR"/>
        </w:rPr>
        <w:t>(3).</w:t>
      </w:r>
      <w:r w:rsidR="00744A1C">
        <w:rPr>
          <w:rtl/>
          <w:lang w:bidi="fa-IR"/>
        </w:rPr>
        <w:t xml:space="preserve"> قال ابن الأثير : « المساومة : المجاذبة بين البائع والمشتري على السلعة وفصل ثمنها ». وقال الفيّومي : « التساؤم بين اثنين : أن يعرض البائع السلعة بثمن ويطلبها صاحبه بثمن دون الأوّل ، وساومته سواماً وتساومنا ». </w:t>
      </w:r>
      <w:r w:rsidR="00744A1C" w:rsidRPr="00877682">
        <w:rPr>
          <w:rStyle w:val="libFootnoteBoldChar"/>
          <w:rtl/>
        </w:rPr>
        <w:t>النهاية</w:t>
      </w:r>
      <w:r w:rsidR="00744A1C">
        <w:rPr>
          <w:rtl/>
          <w:lang w:bidi="fa-IR"/>
        </w:rPr>
        <w:t xml:space="preserve"> ، ج 2 ، ص 425 ؛ </w:t>
      </w:r>
      <w:r w:rsidR="00744A1C" w:rsidRPr="00E978C3">
        <w:rPr>
          <w:rStyle w:val="libFootnoteBoldChar"/>
          <w:rtl/>
        </w:rPr>
        <w:t>المصباح المنير</w:t>
      </w:r>
      <w:r w:rsidR="00744A1C">
        <w:rPr>
          <w:rtl/>
          <w:lang w:bidi="fa-IR"/>
        </w:rPr>
        <w:t xml:space="preserve"> ، ص 297 ( سوم ).</w:t>
      </w:r>
    </w:p>
    <w:p w:rsidR="00744A1C" w:rsidRDefault="00E378DD" w:rsidP="0079502C">
      <w:pPr>
        <w:pStyle w:val="libFootnote0"/>
        <w:rPr>
          <w:lang w:bidi="fa-IR"/>
        </w:rPr>
      </w:pPr>
      <w:r>
        <w:rPr>
          <w:rtl/>
          <w:lang w:bidi="fa-IR"/>
        </w:rPr>
        <w:t>(4).</w:t>
      </w:r>
      <w:r w:rsidR="00744A1C">
        <w:rPr>
          <w:rtl/>
          <w:lang w:bidi="fa-IR"/>
        </w:rPr>
        <w:t xml:space="preserve"> قال ابن الأثير : « المماكسة في البيع : انتقاص الثمن واستحطاطه ، والمنابذة بين المتبايعين ». </w:t>
      </w:r>
      <w:r w:rsidR="00744A1C" w:rsidRPr="00877682">
        <w:rPr>
          <w:rStyle w:val="libFootnoteBoldChar"/>
          <w:rtl/>
        </w:rPr>
        <w:t>النهاية</w:t>
      </w:r>
      <w:r w:rsidR="00744A1C">
        <w:rPr>
          <w:rtl/>
          <w:lang w:bidi="fa-IR"/>
        </w:rPr>
        <w:t xml:space="preserve"> ، ج 4 ، ص 349 ( مكس ).</w:t>
      </w:r>
      <w:r w:rsidR="0079502C">
        <w:rPr>
          <w:rFonts w:hint="cs"/>
          <w:rtl/>
          <w:lang w:bidi="fa-IR"/>
        </w:rPr>
        <w:t xml:space="preserve">                                      </w:t>
      </w:r>
      <w:r>
        <w:rPr>
          <w:rtl/>
          <w:lang w:bidi="fa-IR"/>
        </w:rPr>
        <w:t>(5).</w:t>
      </w:r>
      <w:r w:rsidR="00744A1C">
        <w:rPr>
          <w:rtl/>
          <w:lang w:bidi="fa-IR"/>
        </w:rPr>
        <w:t xml:space="preserve"> في الاستبصار : « ونحن » بدل « فوقفنا ».</w:t>
      </w:r>
    </w:p>
    <w:p w:rsidR="00744A1C" w:rsidRDefault="00E378DD" w:rsidP="00E378DD">
      <w:pPr>
        <w:pStyle w:val="libFootnote0"/>
        <w:rPr>
          <w:lang w:bidi="fa-IR"/>
        </w:rPr>
      </w:pPr>
      <w:r>
        <w:rPr>
          <w:rtl/>
          <w:lang w:bidi="fa-IR"/>
        </w:rPr>
        <w:t>(6).</w:t>
      </w:r>
      <w:r w:rsidR="00744A1C">
        <w:rPr>
          <w:rtl/>
          <w:lang w:bidi="fa-IR"/>
        </w:rPr>
        <w:t xml:space="preserve"> في « بف » وحاشية « بث » </w:t>
      </w:r>
      <w:r w:rsidR="00744A1C" w:rsidRPr="00596830">
        <w:rPr>
          <w:rtl/>
        </w:rPr>
        <w:t>والوافي والوسائل والتهذيب</w:t>
      </w:r>
      <w:r w:rsidR="00744A1C">
        <w:rPr>
          <w:rtl/>
          <w:lang w:bidi="fa-IR"/>
        </w:rPr>
        <w:t xml:space="preserve"> : « ننظر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وقال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يمكن أن يكون مكاسه </w:t>
      </w:r>
      <w:r w:rsidR="0061079A" w:rsidRPr="0061079A">
        <w:rPr>
          <w:rStyle w:val="libFootnoteAlaemChar"/>
          <w:rtl/>
        </w:rPr>
        <w:t>عليه‌السلام</w:t>
      </w:r>
      <w:r w:rsidR="00D10E3C">
        <w:rPr>
          <w:rtl/>
          <w:lang w:bidi="fa-IR"/>
        </w:rPr>
        <w:t xml:space="preserve"> </w:t>
      </w:r>
      <w:r w:rsidR="00744A1C">
        <w:rPr>
          <w:rtl/>
          <w:lang w:bidi="fa-IR"/>
        </w:rPr>
        <w:t>لبيان جوازه ، أو لكونه غير الهدي ، أو لكونهم مخالفين ، فلا ينافي ما ورد من عدم المكاس في ثمن الهدي ».</w:t>
      </w:r>
    </w:p>
    <w:p w:rsidR="00744A1C" w:rsidRDefault="00E378DD" w:rsidP="00E378DD">
      <w:pPr>
        <w:pStyle w:val="libFootnote0"/>
        <w:rPr>
          <w:lang w:bidi="fa-IR"/>
        </w:rPr>
      </w:pPr>
      <w:r>
        <w:rPr>
          <w:rtl/>
          <w:lang w:bidi="fa-IR"/>
        </w:rPr>
        <w:t>(9).</w:t>
      </w:r>
      <w:r w:rsidR="00744A1C">
        <w:rPr>
          <w:rtl/>
          <w:lang w:bidi="fa-IR"/>
        </w:rPr>
        <w:t xml:space="preserve"> في « بخ ، بف » و</w:t>
      </w:r>
      <w:r w:rsidR="00744A1C" w:rsidRPr="00C24F9C">
        <w:rPr>
          <w:rStyle w:val="libFootnoteBoldChar"/>
          <w:rtl/>
        </w:rPr>
        <w:t>الوافي</w:t>
      </w:r>
      <w:r w:rsidR="00744A1C">
        <w:rPr>
          <w:rtl/>
          <w:lang w:bidi="fa-IR"/>
        </w:rPr>
        <w:t xml:space="preserve"> : « قال ».</w:t>
      </w:r>
    </w:p>
    <w:p w:rsidR="00744A1C" w:rsidRDefault="00E378DD" w:rsidP="00E378DD">
      <w:pPr>
        <w:pStyle w:val="libFootnote0"/>
        <w:rPr>
          <w:lang w:bidi="fa-IR"/>
        </w:rPr>
      </w:pPr>
      <w:r>
        <w:rPr>
          <w:rtl/>
          <w:lang w:bidi="fa-IR"/>
        </w:rPr>
        <w:t>(10).</w:t>
      </w:r>
      <w:r w:rsidR="00744A1C">
        <w:rPr>
          <w:rtl/>
          <w:lang w:bidi="fa-IR"/>
        </w:rPr>
        <w:t xml:space="preserve"> في « بخ ، بف » </w:t>
      </w:r>
      <w:r w:rsidR="00744A1C" w:rsidRPr="0064290A">
        <w:rPr>
          <w:rtl/>
        </w:rPr>
        <w:t>والتهذيب والاستبصار</w:t>
      </w:r>
      <w:r w:rsidR="00744A1C">
        <w:rPr>
          <w:rtl/>
          <w:lang w:bidi="fa-IR"/>
        </w:rPr>
        <w:t xml:space="preserve"> : « قلنا ».</w:t>
      </w:r>
    </w:p>
    <w:p w:rsidR="00744A1C" w:rsidRDefault="00E378DD" w:rsidP="00E378DD">
      <w:pPr>
        <w:pStyle w:val="libFootnote0"/>
        <w:rPr>
          <w:lang w:bidi="fa-IR"/>
        </w:rPr>
      </w:pPr>
      <w:r>
        <w:rPr>
          <w:rtl/>
          <w:lang w:bidi="fa-IR"/>
        </w:rPr>
        <w:t>(11).</w:t>
      </w:r>
      <w:r w:rsidR="00744A1C">
        <w:rPr>
          <w:rtl/>
          <w:lang w:bidi="fa-IR"/>
        </w:rPr>
        <w:t xml:space="preserve"> الجزور : البعير والإبل ذكراً كان أو ا</w:t>
      </w:r>
      <w:r w:rsidR="0064290A">
        <w:rPr>
          <w:rFonts w:hint="cs"/>
          <w:rtl/>
          <w:lang w:bidi="fa-IR"/>
        </w:rPr>
        <w:t>ُ</w:t>
      </w:r>
      <w:r w:rsidR="0064290A">
        <w:rPr>
          <w:rtl/>
          <w:lang w:bidi="fa-IR"/>
        </w:rPr>
        <w:t>نثى إل</w:t>
      </w:r>
      <w:r w:rsidR="0064290A">
        <w:rPr>
          <w:rFonts w:hint="cs"/>
          <w:rtl/>
          <w:lang w:bidi="fa-IR"/>
        </w:rPr>
        <w:t>ّ</w:t>
      </w:r>
      <w:r w:rsidR="0064290A">
        <w:rPr>
          <w:rtl/>
          <w:lang w:bidi="fa-IR"/>
        </w:rPr>
        <w:t>ا</w:t>
      </w:r>
      <w:r w:rsidR="00744A1C">
        <w:rPr>
          <w:rtl/>
          <w:lang w:bidi="fa-IR"/>
        </w:rPr>
        <w:t xml:space="preserve"> أنّ اللفظة مؤنّثة ، تقول : هذه الجزور وإن أردت ذكراً ، والجمع : جُزُر وجزائر. راجع : </w:t>
      </w:r>
      <w:r w:rsidR="00744A1C" w:rsidRPr="00E978C3">
        <w:rPr>
          <w:rStyle w:val="libFootnoteBoldChar"/>
          <w:rtl/>
        </w:rPr>
        <w:t>الصحاح</w:t>
      </w:r>
      <w:r w:rsidR="00744A1C">
        <w:rPr>
          <w:rtl/>
          <w:lang w:bidi="fa-IR"/>
        </w:rPr>
        <w:t xml:space="preserve"> ، ج 2 ، ص 612 ؛ </w:t>
      </w:r>
      <w:r w:rsidR="00744A1C" w:rsidRPr="00877682">
        <w:rPr>
          <w:rStyle w:val="libFootnoteBoldChar"/>
          <w:rtl/>
        </w:rPr>
        <w:t>النهاية</w:t>
      </w:r>
      <w:r w:rsidR="00744A1C">
        <w:rPr>
          <w:rtl/>
          <w:lang w:bidi="fa-IR"/>
        </w:rPr>
        <w:t xml:space="preserve"> ، ج 1 ، ص 266 ( جزر ).</w:t>
      </w:r>
    </w:p>
    <w:p w:rsidR="00744A1C" w:rsidRDefault="00E378DD" w:rsidP="00E378DD">
      <w:pPr>
        <w:pStyle w:val="libFootnote0"/>
        <w:rPr>
          <w:lang w:bidi="fa-IR"/>
        </w:rPr>
      </w:pPr>
      <w:r>
        <w:rPr>
          <w:rtl/>
          <w:lang w:bidi="fa-IR"/>
        </w:rPr>
        <w:t>(12).</w:t>
      </w:r>
      <w:r w:rsidR="00744A1C">
        <w:rPr>
          <w:rtl/>
          <w:lang w:bidi="fa-IR"/>
        </w:rPr>
        <w:t xml:space="preserve"> هكذا في جميع النسخ التي قوبلت </w:t>
      </w:r>
      <w:r w:rsidR="00744A1C" w:rsidRPr="00596830">
        <w:rPr>
          <w:rtl/>
        </w:rPr>
        <w:t>والوافي والتهذيب والاستبصار</w:t>
      </w:r>
      <w:r w:rsidR="00744A1C">
        <w:rPr>
          <w:rtl/>
          <w:lang w:bidi="fa-IR"/>
        </w:rPr>
        <w:t>. وفي المطبوع : - « فانحروها ».</w:t>
      </w:r>
    </w:p>
    <w:p w:rsidR="00744A1C" w:rsidRDefault="00E378DD" w:rsidP="00E378DD">
      <w:pPr>
        <w:pStyle w:val="libFootnote0"/>
        <w:rPr>
          <w:lang w:bidi="fa-IR"/>
        </w:rPr>
      </w:pPr>
      <w:r>
        <w:rPr>
          <w:rtl/>
          <w:lang w:bidi="fa-IR"/>
        </w:rPr>
        <w:t>(13).</w:t>
      </w:r>
      <w:r w:rsidR="00744A1C">
        <w:rPr>
          <w:rtl/>
          <w:lang w:bidi="fa-IR"/>
        </w:rPr>
        <w:t xml:space="preserve"> في « بخ ، بف » : « لا تبلغ » بدون الواو. وفي الاستبصار : « فلا تبلغ ».</w:t>
      </w:r>
    </w:p>
    <w:p w:rsidR="00744A1C" w:rsidRDefault="00E378DD" w:rsidP="00E378DD">
      <w:pPr>
        <w:pStyle w:val="libFootnote0"/>
        <w:rPr>
          <w:lang w:bidi="fa-IR"/>
        </w:rPr>
      </w:pPr>
      <w:r>
        <w:rPr>
          <w:rtl/>
          <w:lang w:bidi="fa-IR"/>
        </w:rPr>
        <w:t>(14).</w:t>
      </w:r>
      <w:r w:rsidR="00744A1C">
        <w:rPr>
          <w:rtl/>
          <w:lang w:bidi="fa-IR"/>
        </w:rPr>
        <w:t xml:space="preserve"> في </w:t>
      </w:r>
      <w:r w:rsidR="00744A1C" w:rsidRPr="00115C68">
        <w:rPr>
          <w:rtl/>
        </w:rPr>
        <w:t>الوافي والتهذيب والاستبصار</w:t>
      </w:r>
      <w:r w:rsidR="00744A1C">
        <w:rPr>
          <w:rtl/>
          <w:lang w:bidi="fa-IR"/>
        </w:rPr>
        <w:t xml:space="preserve"> : + « ذلك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 « فَاجْتَمِعُوا ، وَاشْتَرُوا </w:t>
      </w:r>
      <w:r w:rsidRPr="00D10E3C">
        <w:rPr>
          <w:rStyle w:val="libFootnotenumChar"/>
          <w:rtl/>
        </w:rPr>
        <w:t>(1)</w:t>
      </w:r>
      <w:r>
        <w:rPr>
          <w:rtl/>
          <w:lang w:bidi="fa-IR"/>
        </w:rPr>
        <w:t xml:space="preserve"> بَقَرَةً فِيمَا بَيْنَكُمْ </w:t>
      </w:r>
      <w:r w:rsidRPr="00D10E3C">
        <w:rPr>
          <w:rStyle w:val="libFootnotenumChar"/>
          <w:rtl/>
        </w:rPr>
        <w:t>(2)</w:t>
      </w:r>
      <w:r>
        <w:rPr>
          <w:rtl/>
          <w:lang w:bidi="fa-IR"/>
        </w:rPr>
        <w:t xml:space="preserve"> ».</w:t>
      </w:r>
    </w:p>
    <w:p w:rsidR="00744A1C" w:rsidRDefault="00744A1C" w:rsidP="00744A1C">
      <w:pPr>
        <w:pStyle w:val="libNormal"/>
        <w:rPr>
          <w:lang w:bidi="fa-IR"/>
        </w:rPr>
      </w:pPr>
      <w:r>
        <w:rPr>
          <w:rtl/>
          <w:lang w:bidi="fa-IR"/>
        </w:rPr>
        <w:t xml:space="preserve">قُلْنَا : وَلَاتَبْلُغُ </w:t>
      </w:r>
      <w:r w:rsidRPr="00D10E3C">
        <w:rPr>
          <w:rStyle w:val="libFootnotenumChar"/>
          <w:rtl/>
        </w:rPr>
        <w:t>(3)</w:t>
      </w:r>
      <w:r>
        <w:rPr>
          <w:rtl/>
          <w:lang w:bidi="fa-IR"/>
        </w:rPr>
        <w:t xml:space="preserve"> نَفَقَتُنَا </w:t>
      </w:r>
      <w:r w:rsidRPr="00D10E3C">
        <w:rPr>
          <w:rStyle w:val="libFootnotenumChar"/>
          <w:rtl/>
        </w:rPr>
        <w:t>(4)</w:t>
      </w:r>
      <w:r w:rsidR="00115C68" w:rsidRPr="00115C68">
        <w:rPr>
          <w:rFonts w:hint="cs"/>
          <w:rtl/>
        </w:rPr>
        <w:t>.</w:t>
      </w:r>
    </w:p>
    <w:p w:rsidR="00744A1C" w:rsidRDefault="00744A1C" w:rsidP="00744A1C">
      <w:pPr>
        <w:pStyle w:val="libNormal"/>
        <w:rPr>
          <w:lang w:bidi="fa-IR"/>
        </w:rPr>
      </w:pPr>
      <w:r>
        <w:rPr>
          <w:rtl/>
          <w:lang w:bidi="fa-IR"/>
        </w:rPr>
        <w:t xml:space="preserve">قَالَ : « فَاجْتَمِعُوا ، فَاشْتَرُوا فِيمَا بَيْنَكُمْ </w:t>
      </w:r>
      <w:r w:rsidRPr="00D10E3C">
        <w:rPr>
          <w:rStyle w:val="libFootnotenumChar"/>
          <w:rtl/>
        </w:rPr>
        <w:t>(5)</w:t>
      </w:r>
      <w:r>
        <w:rPr>
          <w:rtl/>
          <w:lang w:bidi="fa-IR"/>
        </w:rPr>
        <w:t xml:space="preserve"> شَاةً ، فَاذْبَحُوهَا فِيمَا بَيْنَكُمْ ».</w:t>
      </w:r>
    </w:p>
    <w:p w:rsidR="00144FA6" w:rsidRDefault="00744A1C" w:rsidP="00744A1C">
      <w:pPr>
        <w:pStyle w:val="libNormal"/>
        <w:rPr>
          <w:rtl/>
          <w:lang w:bidi="fa-IR"/>
        </w:rPr>
      </w:pPr>
      <w:r>
        <w:rPr>
          <w:rtl/>
          <w:lang w:bidi="fa-IR"/>
        </w:rPr>
        <w:t xml:space="preserve">قُلْنَا : تُجْزِئُ عَنْ سَبْعَةٍ؟ قَالَ : « نَعَمْ ، وَعَنْ سَبْعِينَ </w:t>
      </w:r>
      <w:r w:rsidRPr="00D10E3C">
        <w:rPr>
          <w:rStyle w:val="libFootnotenumChar"/>
          <w:rtl/>
        </w:rPr>
        <w:t>(6)</w:t>
      </w:r>
      <w:r>
        <w:rPr>
          <w:rtl/>
          <w:lang w:bidi="fa-IR"/>
        </w:rPr>
        <w:t xml:space="preserve"> ». </w:t>
      </w:r>
      <w:r w:rsidRPr="00D10E3C">
        <w:rPr>
          <w:rStyle w:val="libFootnotenumChar"/>
          <w:rtl/>
        </w:rPr>
        <w:t>(7)</w:t>
      </w:r>
    </w:p>
    <w:p w:rsidR="00144FA6" w:rsidRDefault="00744A1C" w:rsidP="00744A1C">
      <w:pPr>
        <w:pStyle w:val="libNormal"/>
        <w:rPr>
          <w:rtl/>
          <w:lang w:bidi="fa-IR"/>
        </w:rPr>
      </w:pPr>
      <w:r>
        <w:rPr>
          <w:rtl/>
          <w:lang w:bidi="fa-IR"/>
        </w:rPr>
        <w:t xml:space="preserve">7876 / 4. عَلِيُّ بْنُ إِبْرَاهِيمَ ، عَنْ أَبِيهِ ، عَنِ ابْنِ أَبِي عُمَيْرٍ ، عَنْ عُمَرَ </w:t>
      </w:r>
      <w:r w:rsidRPr="00D10E3C">
        <w:rPr>
          <w:rStyle w:val="libFootnotenumChar"/>
          <w:rtl/>
        </w:rPr>
        <w:t>(8)</w:t>
      </w:r>
      <w:r>
        <w:rPr>
          <w:rtl/>
          <w:lang w:bidi="fa-IR"/>
        </w:rPr>
        <w:t xml:space="preserve"> بْنِ أُذَيْنَةَ ، عَنْ حُمْرَانَ ، قَالَ :</w:t>
      </w:r>
    </w:p>
    <w:p w:rsidR="00744A1C" w:rsidRDefault="00744A1C" w:rsidP="00744A1C">
      <w:pPr>
        <w:pStyle w:val="libNormal"/>
        <w:rPr>
          <w:lang w:bidi="fa-IR"/>
        </w:rPr>
      </w:pPr>
      <w:r>
        <w:rPr>
          <w:rtl/>
          <w:lang w:bidi="fa-IR"/>
        </w:rPr>
        <w:t xml:space="preserve">عَزَّتِ الْبُدْنُ سَنَةً بِمِنًى حَتّى بَلَغَتِ الْبَدَنَةُ مِائَةَ دِينَارٍ ، فَسُئِلَ أَبُو جَعْفَرٍ </w:t>
      </w:r>
      <w:r w:rsidRPr="00D10E3C">
        <w:rPr>
          <w:rStyle w:val="libFootnotenumChar"/>
          <w:rtl/>
        </w:rPr>
        <w:t>(9)</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عَنْ‌ ذلِكَ ، فَقَالَ : « اشْتَرِكُوا فِيهَا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بخ ، بس ، جد ، جن » </w:t>
      </w:r>
      <w:r w:rsidR="00744A1C" w:rsidRPr="00115C68">
        <w:rPr>
          <w:rtl/>
        </w:rPr>
        <w:t>والوافي والتهذيب والاستبصار :</w:t>
      </w:r>
      <w:r w:rsidR="00744A1C">
        <w:rPr>
          <w:rtl/>
          <w:lang w:bidi="fa-IR"/>
        </w:rPr>
        <w:t xml:space="preserve"> « فاشتروا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w:t>
      </w:r>
      <w:r w:rsidR="00744A1C" w:rsidRPr="00115C68">
        <w:rPr>
          <w:rtl/>
        </w:rPr>
        <w:t>قوبلت والتهذيب والاستبصار</w:t>
      </w:r>
      <w:r w:rsidR="00744A1C">
        <w:rPr>
          <w:rtl/>
          <w:lang w:bidi="fa-IR"/>
        </w:rPr>
        <w:t>. وفي المطبوع : + « فاذبحوها ».</w:t>
      </w:r>
    </w:p>
    <w:p w:rsidR="00744A1C" w:rsidRDefault="00E378DD" w:rsidP="00E378DD">
      <w:pPr>
        <w:pStyle w:val="libFootnote0"/>
        <w:rPr>
          <w:lang w:bidi="fa-IR"/>
        </w:rPr>
      </w:pPr>
      <w:r>
        <w:rPr>
          <w:rtl/>
          <w:lang w:bidi="fa-IR"/>
        </w:rPr>
        <w:t>(3).</w:t>
      </w:r>
      <w:r w:rsidR="00744A1C">
        <w:rPr>
          <w:rtl/>
          <w:lang w:bidi="fa-IR"/>
        </w:rPr>
        <w:t xml:space="preserve"> في « ى » </w:t>
      </w:r>
      <w:r w:rsidR="00744A1C" w:rsidRPr="0061079A">
        <w:rPr>
          <w:rStyle w:val="libFootnoteBoldChar"/>
          <w:rtl/>
        </w:rPr>
        <w:t>والتهذيب</w:t>
      </w:r>
      <w:r w:rsidR="00744A1C">
        <w:rPr>
          <w:rtl/>
          <w:lang w:bidi="fa-IR"/>
        </w:rPr>
        <w:t xml:space="preserve"> : « فلا تبلغ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 ذلك ». وفي الاستبصار : + « أيضاً ذلك ».</w:t>
      </w:r>
    </w:p>
    <w:p w:rsidR="00744A1C" w:rsidRDefault="00E378DD" w:rsidP="00E378DD">
      <w:pPr>
        <w:pStyle w:val="libFootnote0"/>
        <w:rPr>
          <w:lang w:bidi="fa-IR"/>
        </w:rPr>
      </w:pPr>
      <w:r>
        <w:rPr>
          <w:rtl/>
          <w:lang w:bidi="fa-IR"/>
        </w:rPr>
        <w:t>(5).</w:t>
      </w:r>
      <w:r w:rsidR="00744A1C">
        <w:rPr>
          <w:rtl/>
          <w:lang w:bidi="fa-IR"/>
        </w:rPr>
        <w:t xml:space="preserve"> في « بخ ، بف » </w:t>
      </w:r>
      <w:r w:rsidR="00744A1C" w:rsidRPr="00115C68">
        <w:rPr>
          <w:rtl/>
        </w:rPr>
        <w:t>والوافي والتهذيب والاستبصار</w:t>
      </w:r>
      <w:r w:rsidR="00744A1C">
        <w:rPr>
          <w:rtl/>
          <w:lang w:bidi="fa-IR"/>
        </w:rPr>
        <w:t xml:space="preserve"> : - « فيما بينكم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115C68">
        <w:rPr>
          <w:rtl/>
          <w:lang w:bidi="fa-IR"/>
        </w:rPr>
        <w:t xml:space="preserve"> : « نقل العل</w:t>
      </w:r>
      <w:r w:rsidR="00115C68">
        <w:rPr>
          <w:rFonts w:hint="cs"/>
          <w:rtl/>
          <w:lang w:bidi="fa-IR"/>
        </w:rPr>
        <w:t>ّ</w:t>
      </w:r>
      <w:r w:rsidR="00115C68">
        <w:rPr>
          <w:rtl/>
          <w:lang w:bidi="fa-IR"/>
        </w:rPr>
        <w:t>ا</w:t>
      </w:r>
      <w:r w:rsidR="00744A1C">
        <w:rPr>
          <w:rtl/>
          <w:lang w:bidi="fa-IR"/>
        </w:rPr>
        <w:t xml:space="preserve">مة في المنتهى الإجماع على إجزاء الهدي الواحد في التطوّع عن سبعة نفر ، سواء كان من الإبل أو البقر أو الغنم ، وتدلّ عليه رواية الحلبي. وقال في التذكرة : أمّا التطوّع فيجزئ الواحد في التطوع عن سبعة وسبعين حال الاختيار ، سواء كان من الإبل أو البقر أو الغنم إجماعاً ». راجع : </w:t>
      </w:r>
      <w:r w:rsidR="00744A1C" w:rsidRPr="00877682">
        <w:rPr>
          <w:rStyle w:val="libFootnoteBoldChar"/>
          <w:rtl/>
        </w:rPr>
        <w:t>منتهى المطلب</w:t>
      </w:r>
      <w:r w:rsidR="00744A1C">
        <w:rPr>
          <w:rtl/>
          <w:lang w:bidi="fa-IR"/>
        </w:rPr>
        <w:t xml:space="preserve"> ، ص 748 من الطبعة الحجريّة ؛ تذكرة الفقهاء ، ج 8 ، ص 284 ، المسألة 619.</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209 ، ح 702 ؛ </w:t>
      </w:r>
      <w:r w:rsidR="00744A1C" w:rsidRPr="00C24F9C">
        <w:rPr>
          <w:rStyle w:val="libFootnoteBoldChar"/>
          <w:rtl/>
        </w:rPr>
        <w:t>والاستبصار</w:t>
      </w:r>
      <w:r w:rsidR="00744A1C">
        <w:rPr>
          <w:rtl/>
          <w:lang w:bidi="fa-IR"/>
        </w:rPr>
        <w:t xml:space="preserve"> ، ج 2 ، ص 267 ، ح 947 ، معلّقاً عن الكليني.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224 ، وتمام الرواية فيه : « وروي أنّ شاة تجزىً عن سبعين إذا لم يوجد شي‌ء ». وفي </w:t>
      </w:r>
      <w:r w:rsidR="00744A1C" w:rsidRPr="00C24F9C">
        <w:rPr>
          <w:rStyle w:val="libFootnoteBoldChar"/>
          <w:rtl/>
        </w:rPr>
        <w:t>الفقيه</w:t>
      </w:r>
      <w:r w:rsidR="00744A1C">
        <w:rPr>
          <w:rtl/>
          <w:lang w:bidi="fa-IR"/>
        </w:rPr>
        <w:t xml:space="preserve"> ، ج 2 ، ص 549 ؛ والأمالي للصدوق ، ص 650 ، ضمن المجلس 93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 « وإذا عزّت الأضاحيّ أجزأت شاة عن سبعين ». راجع : </w:t>
      </w:r>
      <w:r w:rsidR="00744A1C" w:rsidRPr="00C24F9C">
        <w:rPr>
          <w:rStyle w:val="libFootnoteBoldChar"/>
          <w:rtl/>
        </w:rPr>
        <w:t>الفقيه</w:t>
      </w:r>
      <w:r w:rsidR="00744A1C">
        <w:rPr>
          <w:rtl/>
          <w:lang w:bidi="fa-IR"/>
        </w:rPr>
        <w:t xml:space="preserve"> ، ج 2 ، ص 491 ، ح 3051 و 3052 ؛ </w:t>
      </w:r>
      <w:r w:rsidR="00744A1C" w:rsidRPr="00596830">
        <w:rPr>
          <w:rStyle w:val="libFootnoteBoldChar"/>
          <w:rtl/>
        </w:rPr>
        <w:t>والج</w:t>
      </w:r>
      <w:r w:rsidR="00744A1C" w:rsidRPr="00877682">
        <w:rPr>
          <w:rStyle w:val="libFootnoteBoldChar"/>
          <w:rtl/>
        </w:rPr>
        <w:t>عفريّات</w:t>
      </w:r>
      <w:r w:rsidR="00744A1C">
        <w:rPr>
          <w:rtl/>
          <w:lang w:bidi="fa-IR"/>
        </w:rPr>
        <w:t xml:space="preserve"> ، ص 74 ؛ والخصال ، ص 292 ، باب الخمسة ، ح 55 ؛ وص 356 ، باب الستّة ، ح 37 ؛ </w:t>
      </w:r>
      <w:r w:rsidR="00744A1C" w:rsidRPr="00596830">
        <w:rPr>
          <w:rStyle w:val="libFootnoteBoldChar"/>
          <w:rtl/>
        </w:rPr>
        <w:t>وعلل</w:t>
      </w:r>
      <w:r w:rsidR="00744A1C" w:rsidRPr="003A7143">
        <w:rPr>
          <w:rStyle w:val="libFootnoteBoldChar"/>
          <w:rtl/>
        </w:rPr>
        <w:t xml:space="preserve"> الشرائع</w:t>
      </w:r>
      <w:r w:rsidR="00744A1C">
        <w:rPr>
          <w:rtl/>
          <w:lang w:bidi="fa-IR"/>
        </w:rPr>
        <w:t xml:space="preserve"> ، ص 441 ، ذيل ح 1 </w:t>
      </w:r>
      <w:r w:rsidR="007556F9">
        <w:rPr>
          <w:rFonts w:hint="cs"/>
          <w:rtl/>
          <w:lang w:bidi="fa-IR"/>
        </w:rPr>
        <w:t>.</w:t>
      </w:r>
      <w:r w:rsidR="00744A1C" w:rsidRPr="00C24F9C">
        <w:rPr>
          <w:rStyle w:val="libFootnoteBoldChar"/>
          <w:rtl/>
        </w:rPr>
        <w:t>الوافي</w:t>
      </w:r>
      <w:r w:rsidR="00744A1C">
        <w:rPr>
          <w:rtl/>
          <w:lang w:bidi="fa-IR"/>
        </w:rPr>
        <w:t xml:space="preserve"> ، ج 14 ، ص 1129 ، ح 13915 ؛ </w:t>
      </w:r>
      <w:r w:rsidR="00744A1C" w:rsidRPr="00C24F9C">
        <w:rPr>
          <w:rStyle w:val="libFootnoteBoldChar"/>
          <w:rtl/>
        </w:rPr>
        <w:t>الوسائل</w:t>
      </w:r>
      <w:r w:rsidR="00744A1C">
        <w:rPr>
          <w:rtl/>
          <w:lang w:bidi="fa-IR"/>
        </w:rPr>
        <w:t xml:space="preserve"> ، ج 14 ، ص 123 ، ح 18776 ، إلى قوله : « لامحمود ولامأجور ».</w:t>
      </w:r>
    </w:p>
    <w:p w:rsidR="00744A1C" w:rsidRDefault="00E378DD" w:rsidP="00E378DD">
      <w:pPr>
        <w:pStyle w:val="libFootnote0"/>
        <w:rPr>
          <w:lang w:bidi="fa-IR"/>
        </w:rPr>
      </w:pPr>
      <w:r>
        <w:rPr>
          <w:rtl/>
          <w:lang w:bidi="fa-IR"/>
        </w:rPr>
        <w:t>(8).</w:t>
      </w:r>
      <w:r w:rsidR="00744A1C">
        <w:rPr>
          <w:rtl/>
          <w:lang w:bidi="fa-IR"/>
        </w:rPr>
        <w:t xml:space="preserve"> في « بف ، جر » </w:t>
      </w:r>
      <w:r w:rsidR="00744A1C" w:rsidRPr="007556F9">
        <w:rPr>
          <w:rtl/>
        </w:rPr>
        <w:t>والتهذيب والاستبصار</w:t>
      </w:r>
      <w:r w:rsidR="00744A1C">
        <w:rPr>
          <w:rtl/>
          <w:lang w:bidi="fa-IR"/>
        </w:rPr>
        <w:t xml:space="preserve"> : - « عمر ».</w:t>
      </w:r>
    </w:p>
    <w:p w:rsidR="00744A1C" w:rsidRDefault="00E378DD" w:rsidP="00E378DD">
      <w:pPr>
        <w:pStyle w:val="libFootnote0"/>
        <w:rPr>
          <w:lang w:bidi="fa-IR"/>
        </w:rPr>
      </w:pPr>
      <w:r>
        <w:rPr>
          <w:rtl/>
          <w:lang w:bidi="fa-IR"/>
        </w:rPr>
        <w:t>(9).</w:t>
      </w:r>
      <w:r w:rsidR="00744A1C">
        <w:rPr>
          <w:rtl/>
          <w:lang w:bidi="fa-IR"/>
        </w:rPr>
        <w:t xml:space="preserve"> في حاشية « بث » : « أبو عبد الله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 قُلْتُ : كَمْ </w:t>
      </w:r>
      <w:r w:rsidRPr="00D10E3C">
        <w:rPr>
          <w:rStyle w:val="libFootnotenumChar"/>
          <w:rtl/>
        </w:rPr>
        <w:t>(1)</w:t>
      </w:r>
      <w:r>
        <w:rPr>
          <w:rtl/>
          <w:lang w:bidi="fa-IR"/>
        </w:rPr>
        <w:t xml:space="preserve">؟ قَالَ : « مَا خَفَّ </w:t>
      </w:r>
      <w:r w:rsidRPr="00D10E3C">
        <w:rPr>
          <w:rStyle w:val="libFootnotenumChar"/>
          <w:rtl/>
        </w:rPr>
        <w:t>(2)</w:t>
      </w:r>
      <w:r>
        <w:rPr>
          <w:rtl/>
          <w:lang w:bidi="fa-IR"/>
        </w:rPr>
        <w:t xml:space="preserve"> هُوَ </w:t>
      </w:r>
      <w:r w:rsidRPr="00D10E3C">
        <w:rPr>
          <w:rStyle w:val="libFootnotenumChar"/>
          <w:rtl/>
        </w:rPr>
        <w:t>(3)</w:t>
      </w:r>
      <w:r>
        <w:rPr>
          <w:rtl/>
          <w:lang w:bidi="fa-IR"/>
        </w:rPr>
        <w:t xml:space="preserve"> أَفْضَلُ </w:t>
      </w:r>
      <w:r w:rsidRPr="00D10E3C">
        <w:rPr>
          <w:rStyle w:val="libFootnotenumChar"/>
          <w:rtl/>
        </w:rPr>
        <w:t>(4)</w:t>
      </w:r>
      <w:r>
        <w:rPr>
          <w:rtl/>
          <w:lang w:bidi="fa-IR"/>
        </w:rPr>
        <w:t xml:space="preserve"> ».</w:t>
      </w:r>
    </w:p>
    <w:p w:rsidR="00144FA6" w:rsidRDefault="00744A1C" w:rsidP="00744A1C">
      <w:pPr>
        <w:pStyle w:val="libNormal"/>
        <w:rPr>
          <w:rtl/>
          <w:lang w:bidi="fa-IR"/>
        </w:rPr>
      </w:pPr>
      <w:r>
        <w:rPr>
          <w:rtl/>
          <w:lang w:bidi="fa-IR"/>
        </w:rPr>
        <w:t xml:space="preserve">قُلْتُ : عَنْ </w:t>
      </w:r>
      <w:r w:rsidRPr="00D10E3C">
        <w:rPr>
          <w:rStyle w:val="libFootnotenumChar"/>
          <w:rtl/>
        </w:rPr>
        <w:t>(5)</w:t>
      </w:r>
      <w:r>
        <w:rPr>
          <w:rtl/>
          <w:lang w:bidi="fa-IR"/>
        </w:rPr>
        <w:t xml:space="preserve"> كَمْ تُجْزِئُ </w:t>
      </w:r>
      <w:r w:rsidRPr="00D10E3C">
        <w:rPr>
          <w:rStyle w:val="libFootnotenumChar"/>
          <w:rtl/>
        </w:rPr>
        <w:t>(6)</w:t>
      </w:r>
      <w:r>
        <w:rPr>
          <w:rtl/>
          <w:lang w:bidi="fa-IR"/>
        </w:rPr>
        <w:t xml:space="preserve">؟ قَالَ </w:t>
      </w:r>
      <w:r w:rsidRPr="00D10E3C">
        <w:rPr>
          <w:rStyle w:val="libFootnotenumChar"/>
          <w:rtl/>
        </w:rPr>
        <w:t>(7)</w:t>
      </w:r>
      <w:r>
        <w:rPr>
          <w:rtl/>
          <w:lang w:bidi="fa-IR"/>
        </w:rPr>
        <w:t xml:space="preserve"> : « عَنْ سَبْعِينَ ». </w:t>
      </w:r>
      <w:r w:rsidRPr="00D10E3C">
        <w:rPr>
          <w:rStyle w:val="libFootnotenumChar"/>
          <w:rtl/>
        </w:rPr>
        <w:t>(8)</w:t>
      </w:r>
    </w:p>
    <w:p w:rsidR="00144FA6" w:rsidRDefault="00744A1C" w:rsidP="00744A1C">
      <w:pPr>
        <w:pStyle w:val="libNormal"/>
        <w:rPr>
          <w:rtl/>
          <w:lang w:bidi="fa-IR"/>
        </w:rPr>
      </w:pPr>
      <w:r>
        <w:rPr>
          <w:rtl/>
          <w:lang w:bidi="fa-IR"/>
        </w:rPr>
        <w:t xml:space="preserve">7877 / 5. عَلِيُّ بْنُ إِبْرَاهِيمَ </w:t>
      </w:r>
      <w:r w:rsidRPr="00D10E3C">
        <w:rPr>
          <w:rStyle w:val="libFootnotenumChar"/>
          <w:rtl/>
        </w:rPr>
        <w:t>(9)</w:t>
      </w:r>
      <w:r>
        <w:rPr>
          <w:rtl/>
          <w:lang w:bidi="fa-IR"/>
        </w:rPr>
        <w:t xml:space="preserve"> ، عَنْ أَبِيهِ ، عَنِ ابْنِ أَبِي عُمَيْرٍ ، عَنْ حَفْصِ بْنِ قَرْعَةَ ، عَنْ زَيْدِ بْنِ جَهْمٍ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مُتَمَتِّعٌ لَمْ يَجِدْ هَدْياً؟</w:t>
      </w:r>
    </w:p>
    <w:p w:rsidR="00144FA6" w:rsidRDefault="00744A1C" w:rsidP="00744A1C">
      <w:pPr>
        <w:pStyle w:val="libNormal"/>
        <w:rPr>
          <w:rtl/>
          <w:lang w:bidi="fa-IR"/>
        </w:rPr>
      </w:pPr>
      <w:r>
        <w:rPr>
          <w:rtl/>
          <w:lang w:bidi="fa-IR"/>
        </w:rPr>
        <w:t xml:space="preserve">فَقَالَ : « أَمَا كَانَ مَعَهُ دِرْهَمٌ يَأْتِي بِهِ قَوْمَهُ ، فَيَقُولَ : أَشْرِكُونِي بِهذَا الدِّرْهَمِ؟ ». </w:t>
      </w:r>
      <w:r w:rsidRPr="00D10E3C">
        <w:rPr>
          <w:rStyle w:val="libFootnotenumChar"/>
          <w:rtl/>
        </w:rPr>
        <w:t>(10)</w:t>
      </w:r>
    </w:p>
    <w:p w:rsidR="00144FA6" w:rsidRDefault="00744A1C" w:rsidP="007556F9">
      <w:pPr>
        <w:pStyle w:val="Heading2Center"/>
        <w:rPr>
          <w:rtl/>
          <w:lang w:bidi="fa-IR"/>
        </w:rPr>
      </w:pPr>
      <w:bookmarkStart w:id="30" w:name="_Toc49261328"/>
      <w:r>
        <w:rPr>
          <w:rtl/>
          <w:lang w:bidi="fa-IR"/>
        </w:rPr>
        <w:t xml:space="preserve">185 - بَابُ الذَّبْحِ </w:t>
      </w:r>
      <w:r w:rsidRPr="00D10E3C">
        <w:rPr>
          <w:rStyle w:val="libFootnotenumChar"/>
          <w:rtl/>
        </w:rPr>
        <w:t>(11)</w:t>
      </w:r>
      <w:bookmarkEnd w:id="30"/>
    </w:p>
    <w:p w:rsidR="00144FA6" w:rsidRDefault="00744A1C" w:rsidP="00744A1C">
      <w:pPr>
        <w:pStyle w:val="libNormal"/>
        <w:rPr>
          <w:rtl/>
          <w:lang w:bidi="fa-IR"/>
        </w:rPr>
      </w:pPr>
      <w:r>
        <w:rPr>
          <w:rtl/>
          <w:lang w:bidi="fa-IR"/>
        </w:rPr>
        <w:t xml:space="preserve">7878 / 1. أَبُو عَلِيٍّ الْأَشْعَرِيُّ ، عَنْ مُحَمَّدِ بْنِ عَبْدِ الْجَبَّارِ ، عَنْ صَفْوَانَ بْنِ يَحْيى </w:t>
      </w:r>
      <w:r w:rsidRPr="00D10E3C">
        <w:rPr>
          <w:rStyle w:val="libFootnotenumChar"/>
          <w:rtl/>
        </w:rPr>
        <w:t>(12)</w:t>
      </w:r>
      <w:r>
        <w:rPr>
          <w:rtl/>
          <w:lang w:bidi="fa-IR"/>
        </w:rPr>
        <w:t xml:space="preserve"> ، عَنْ عَبْدِ اللهِ بْنِ سِنَانٍ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E963F2">
        <w:rPr>
          <w:rStyle w:val="libAlaemChar"/>
          <w:rtl/>
        </w:rPr>
        <w:t>(</w:t>
      </w:r>
      <w:r w:rsidRPr="00E963F2">
        <w:rPr>
          <w:rStyle w:val="libAieChar"/>
          <w:rtl/>
        </w:rPr>
        <w:t xml:space="preserve"> فَاذْكُرُوا اسْمَ اللهِ عَلَيْها صَوافَّ </w:t>
      </w:r>
      <w:r w:rsidRPr="00E963F2">
        <w:rPr>
          <w:rStyle w:val="libAlaemChar"/>
          <w:rtl/>
        </w:rPr>
        <w:t>)</w:t>
      </w:r>
      <w:r>
        <w:rPr>
          <w:rtl/>
          <w:lang w:bidi="fa-IR"/>
        </w:rPr>
        <w:t xml:space="preserve"> </w:t>
      </w:r>
      <w:r w:rsidRPr="00D10E3C">
        <w:rPr>
          <w:rStyle w:val="libFootnotenumChar"/>
          <w:rtl/>
        </w:rPr>
        <w:t>(13)</w:t>
      </w:r>
      <w:r w:rsidR="00E963F2">
        <w:rPr>
          <w:rtl/>
          <w:lang w:bidi="fa-IR"/>
        </w:rPr>
        <w:t xml:space="preserve"> قَالَ</w:t>
      </w:r>
      <w:r>
        <w:rPr>
          <w:rtl/>
          <w:lang w:bidi="fa-IR"/>
        </w:rPr>
        <w:t>: « ذلِكَ حِينَ تَصُفُّ لِلنَّحْرِ ، تَرْبِطُ يَدَيْهَا مَا بَيْنَ الْخُفِّ إِلَى الرُّكْبَةِ ، وَ</w:t>
      </w:r>
      <w:r w:rsidR="00E963F2">
        <w:rPr>
          <w:rFonts w:hint="cs"/>
          <w:rtl/>
          <w:lang w:bidi="fa-IR"/>
        </w:rPr>
        <w:t xml:space="preserve"> </w:t>
      </w:r>
      <w:r>
        <w:rPr>
          <w:rtl/>
          <w:lang w:bidi="fa-IR"/>
        </w:rPr>
        <w:t xml:space="preserve">وُجُوبُ جُنُوبِهَا </w:t>
      </w:r>
      <w:r w:rsidRPr="00D10E3C">
        <w:rPr>
          <w:rStyle w:val="libFootnotenumChar"/>
          <w:rtl/>
        </w:rPr>
        <w:t>(14)</w:t>
      </w:r>
      <w:r>
        <w:rPr>
          <w:rtl/>
          <w:lang w:bidi="fa-IR"/>
        </w:rPr>
        <w:t xml:space="preserve"> إِذَا‌</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E963F2" w:rsidTr="00E963F2">
        <w:tc>
          <w:tcPr>
            <w:tcW w:w="4006" w:type="dxa"/>
          </w:tcPr>
          <w:p w:rsidR="00E963F2" w:rsidRDefault="00E963F2" w:rsidP="00D10E3C">
            <w:pPr>
              <w:pStyle w:val="libFootnote0"/>
              <w:rPr>
                <w:rtl/>
                <w:lang w:bidi="fa-IR"/>
              </w:rPr>
            </w:pPr>
            <w:r>
              <w:rPr>
                <w:rtl/>
                <w:lang w:bidi="fa-IR"/>
              </w:rPr>
              <w:t xml:space="preserve">(1). في </w:t>
            </w:r>
            <w:r w:rsidRPr="00C24F9C">
              <w:rPr>
                <w:rStyle w:val="libFootnoteBoldChar"/>
                <w:rtl/>
              </w:rPr>
              <w:t>التهذيب</w:t>
            </w:r>
            <w:r>
              <w:rPr>
                <w:rtl/>
                <w:lang w:bidi="fa-IR"/>
              </w:rPr>
              <w:t xml:space="preserve"> : « وكم ».</w:t>
            </w:r>
          </w:p>
        </w:tc>
        <w:tc>
          <w:tcPr>
            <w:tcW w:w="4006" w:type="dxa"/>
          </w:tcPr>
          <w:p w:rsidR="00E963F2" w:rsidRDefault="00E963F2" w:rsidP="00D10E3C">
            <w:pPr>
              <w:pStyle w:val="libFootnote0"/>
              <w:rPr>
                <w:rtl/>
                <w:lang w:bidi="fa-IR"/>
              </w:rPr>
            </w:pPr>
            <w:r>
              <w:rPr>
                <w:rtl/>
                <w:lang w:bidi="fa-IR"/>
              </w:rPr>
              <w:t xml:space="preserve">(2). في </w:t>
            </w:r>
            <w:r w:rsidRPr="00C24F9C">
              <w:rPr>
                <w:rStyle w:val="libFootnoteBoldChar"/>
                <w:rtl/>
              </w:rPr>
              <w:t>الوافي</w:t>
            </w:r>
            <w:r>
              <w:rPr>
                <w:rtl/>
                <w:lang w:bidi="fa-IR"/>
              </w:rPr>
              <w:t xml:space="preserve"> : « اريد بالتخفيف قلّة عدد الشركاء ».</w:t>
            </w:r>
          </w:p>
        </w:tc>
      </w:tr>
    </w:tbl>
    <w:p w:rsidR="00744A1C" w:rsidRDefault="00E378DD" w:rsidP="00E378DD">
      <w:pPr>
        <w:pStyle w:val="libFootnote0"/>
        <w:rPr>
          <w:lang w:bidi="fa-IR"/>
        </w:rPr>
      </w:pPr>
      <w:r>
        <w:rPr>
          <w:rtl/>
          <w:lang w:bidi="fa-IR"/>
        </w:rPr>
        <w:t>(3).</w:t>
      </w:r>
      <w:r w:rsidR="00744A1C">
        <w:rPr>
          <w:rtl/>
          <w:lang w:bidi="fa-IR"/>
        </w:rPr>
        <w:t xml:space="preserve"> في « بح ، بس » </w:t>
      </w:r>
      <w:r w:rsidR="00744A1C" w:rsidRPr="00E963F2">
        <w:rPr>
          <w:rtl/>
        </w:rPr>
        <w:t>والوافي والوسائل والتهذيب والاستبصار</w:t>
      </w:r>
      <w:r w:rsidR="00744A1C">
        <w:rPr>
          <w:rtl/>
          <w:lang w:bidi="fa-IR"/>
        </w:rPr>
        <w:t xml:space="preserve"> : « فهو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الوسائل</w:t>
      </w:r>
      <w:r w:rsidR="00744A1C">
        <w:rPr>
          <w:rtl/>
          <w:lang w:bidi="fa-IR"/>
        </w:rPr>
        <w:t xml:space="preserve"> : + « قال ». وفي </w:t>
      </w:r>
      <w:r w:rsidR="00744A1C" w:rsidRPr="00E963F2">
        <w:rPr>
          <w:rtl/>
        </w:rPr>
        <w:t>التهذيب والاستبصار</w:t>
      </w:r>
      <w:r w:rsidR="00744A1C">
        <w:rPr>
          <w:rtl/>
          <w:lang w:bidi="fa-IR"/>
        </w:rPr>
        <w:t xml:space="preserve"> : + « فقال ».</w:t>
      </w:r>
    </w:p>
    <w:tbl>
      <w:tblPr>
        <w:tblStyle w:val="TableGrid"/>
        <w:bidiVisual/>
        <w:tblW w:w="0" w:type="auto"/>
        <w:tblLook w:val="04A0" w:firstRow="1" w:lastRow="0" w:firstColumn="1" w:lastColumn="0" w:noHBand="0" w:noVBand="1"/>
      </w:tblPr>
      <w:tblGrid>
        <w:gridCol w:w="4006"/>
        <w:gridCol w:w="4006"/>
      </w:tblGrid>
      <w:tr w:rsidR="00E963F2" w:rsidTr="00E963F2">
        <w:tc>
          <w:tcPr>
            <w:tcW w:w="4006" w:type="dxa"/>
          </w:tcPr>
          <w:p w:rsidR="00E963F2" w:rsidRDefault="00E963F2" w:rsidP="00E378DD">
            <w:pPr>
              <w:pStyle w:val="libFootnote0"/>
              <w:rPr>
                <w:rtl/>
                <w:lang w:bidi="fa-IR"/>
              </w:rPr>
            </w:pPr>
            <w:r>
              <w:rPr>
                <w:rtl/>
                <w:lang w:bidi="fa-IR"/>
              </w:rPr>
              <w:t>(5). في « ى » : - « عن ».</w:t>
            </w:r>
          </w:p>
        </w:tc>
        <w:tc>
          <w:tcPr>
            <w:tcW w:w="4006" w:type="dxa"/>
          </w:tcPr>
          <w:p w:rsidR="00E963F2" w:rsidRDefault="00E963F2" w:rsidP="00E378DD">
            <w:pPr>
              <w:pStyle w:val="libFootnote0"/>
              <w:rPr>
                <w:rtl/>
                <w:lang w:bidi="fa-IR"/>
              </w:rPr>
            </w:pPr>
            <w:r>
              <w:rPr>
                <w:rtl/>
                <w:lang w:bidi="fa-IR"/>
              </w:rPr>
              <w:t xml:space="preserve">(6). في « بخ » </w:t>
            </w:r>
            <w:r w:rsidRPr="0061079A">
              <w:rPr>
                <w:rStyle w:val="libFootnoteBoldChar"/>
                <w:rtl/>
              </w:rPr>
              <w:t>والتهذيب</w:t>
            </w:r>
            <w:r>
              <w:rPr>
                <w:rtl/>
                <w:lang w:bidi="fa-IR"/>
              </w:rPr>
              <w:t xml:space="preserve"> : « يجزئ ».</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9B3E63">
        <w:rPr>
          <w:rtl/>
        </w:rPr>
        <w:t>الوسائل والتهذيب</w:t>
      </w:r>
      <w:r w:rsidR="00744A1C">
        <w:rPr>
          <w:rtl/>
          <w:lang w:bidi="fa-IR"/>
        </w:rPr>
        <w:t xml:space="preserve"> : « فقال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209 ، ح 703 ؛ </w:t>
      </w:r>
      <w:r w:rsidR="00744A1C" w:rsidRPr="00C24F9C">
        <w:rPr>
          <w:rStyle w:val="libFootnoteBoldChar"/>
          <w:rtl/>
        </w:rPr>
        <w:t>والاستبصار</w:t>
      </w:r>
      <w:r w:rsidR="00744A1C">
        <w:rPr>
          <w:rtl/>
          <w:lang w:bidi="fa-IR"/>
        </w:rPr>
        <w:t xml:space="preserve"> ، ج 2 ، ص 267 ، ح 948 ، معلّقاً عن الكليني </w:t>
      </w:r>
      <w:r w:rsidR="009B3E63">
        <w:rPr>
          <w:rFonts w:hint="cs"/>
          <w:rtl/>
          <w:lang w:bidi="fa-IR"/>
        </w:rPr>
        <w:t>.</w:t>
      </w:r>
      <w:r w:rsidR="00744A1C" w:rsidRPr="00C24F9C">
        <w:rPr>
          <w:rStyle w:val="libFootnoteBoldChar"/>
          <w:rtl/>
        </w:rPr>
        <w:t>الوافي</w:t>
      </w:r>
      <w:r w:rsidR="00744A1C">
        <w:rPr>
          <w:rtl/>
          <w:lang w:bidi="fa-IR"/>
        </w:rPr>
        <w:t xml:space="preserve"> ، ج 14 ، ص 1130 ، ح 13917 ؛ </w:t>
      </w:r>
      <w:r w:rsidR="00744A1C" w:rsidRPr="00C24F9C">
        <w:rPr>
          <w:rStyle w:val="libFootnoteBoldChar"/>
          <w:rtl/>
        </w:rPr>
        <w:t>الوسائل</w:t>
      </w:r>
      <w:r w:rsidR="00744A1C">
        <w:rPr>
          <w:rtl/>
          <w:lang w:bidi="fa-IR"/>
        </w:rPr>
        <w:t xml:space="preserve"> ، ج 14 ، ص 119 ، ح 18764.</w:t>
      </w:r>
    </w:p>
    <w:p w:rsidR="00744A1C" w:rsidRDefault="00E378DD" w:rsidP="00E378DD">
      <w:pPr>
        <w:pStyle w:val="libFootnote0"/>
        <w:rPr>
          <w:lang w:bidi="fa-IR"/>
        </w:rPr>
      </w:pPr>
      <w:r>
        <w:rPr>
          <w:rtl/>
          <w:lang w:bidi="fa-IR"/>
        </w:rPr>
        <w:t>(9).</w:t>
      </w:r>
      <w:r w:rsidR="00744A1C">
        <w:rPr>
          <w:rtl/>
          <w:lang w:bidi="fa-IR"/>
        </w:rPr>
        <w:t xml:space="preserve"> في « بخ ، بف ، جر » و</w:t>
      </w:r>
      <w:r w:rsidR="00744A1C" w:rsidRPr="00C24F9C">
        <w:rPr>
          <w:rStyle w:val="libFootnoteBoldChar"/>
          <w:rtl/>
        </w:rPr>
        <w:t>الوسائل</w:t>
      </w:r>
      <w:r w:rsidR="00744A1C">
        <w:rPr>
          <w:rtl/>
          <w:lang w:bidi="fa-IR"/>
        </w:rPr>
        <w:t xml:space="preserve"> : - « بن إبراهيم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الوافي</w:t>
      </w:r>
      <w:r w:rsidR="00744A1C">
        <w:rPr>
          <w:rtl/>
          <w:lang w:bidi="fa-IR"/>
        </w:rPr>
        <w:t xml:space="preserve"> ، ج 14 ، ص 1131 ، ح 13918 ؛ </w:t>
      </w:r>
      <w:r w:rsidR="00744A1C" w:rsidRPr="00C24F9C">
        <w:rPr>
          <w:rStyle w:val="libFootnoteBoldChar"/>
          <w:rtl/>
        </w:rPr>
        <w:t>الوسائل</w:t>
      </w:r>
      <w:r w:rsidR="00744A1C">
        <w:rPr>
          <w:rtl/>
          <w:lang w:bidi="fa-IR"/>
        </w:rPr>
        <w:t xml:space="preserve"> ، ج 14 ، ص 120 ، ح 18766.</w:t>
      </w:r>
    </w:p>
    <w:tbl>
      <w:tblPr>
        <w:tblStyle w:val="TableGrid"/>
        <w:bidiVisual/>
        <w:tblW w:w="0" w:type="auto"/>
        <w:tblLook w:val="04A0" w:firstRow="1" w:lastRow="0" w:firstColumn="1" w:lastColumn="0" w:noHBand="0" w:noVBand="1"/>
      </w:tblPr>
      <w:tblGrid>
        <w:gridCol w:w="4006"/>
        <w:gridCol w:w="4006"/>
      </w:tblGrid>
      <w:tr w:rsidR="009B3E63" w:rsidTr="009B3E63">
        <w:tc>
          <w:tcPr>
            <w:tcW w:w="4006" w:type="dxa"/>
          </w:tcPr>
          <w:p w:rsidR="009B3E63" w:rsidRDefault="009B3E63" w:rsidP="00E378DD">
            <w:pPr>
              <w:pStyle w:val="libFootnote0"/>
              <w:rPr>
                <w:rtl/>
                <w:lang w:bidi="fa-IR"/>
              </w:rPr>
            </w:pPr>
            <w:r>
              <w:rPr>
                <w:rtl/>
                <w:lang w:bidi="fa-IR"/>
              </w:rPr>
              <w:t xml:space="preserve">(11). في </w:t>
            </w:r>
            <w:r w:rsidRPr="00C24F9C">
              <w:rPr>
                <w:rStyle w:val="libFootnoteBoldChar"/>
                <w:rtl/>
              </w:rPr>
              <w:t>المرآة</w:t>
            </w:r>
            <w:r>
              <w:rPr>
                <w:rtl/>
                <w:lang w:bidi="fa-IR"/>
              </w:rPr>
              <w:t xml:space="preserve"> : « أراد به ما يعمّ الذبح أو النحر ».</w:t>
            </w:r>
          </w:p>
        </w:tc>
        <w:tc>
          <w:tcPr>
            <w:tcW w:w="4006" w:type="dxa"/>
          </w:tcPr>
          <w:p w:rsidR="009B3E63" w:rsidRDefault="009B3E63" w:rsidP="00E378DD">
            <w:pPr>
              <w:pStyle w:val="libFootnote0"/>
              <w:rPr>
                <w:rtl/>
                <w:lang w:bidi="fa-IR"/>
              </w:rPr>
            </w:pPr>
            <w:r>
              <w:rPr>
                <w:rtl/>
                <w:lang w:bidi="fa-IR"/>
              </w:rPr>
              <w:t>(12). في « بف » : - « بن يحيى ».</w:t>
            </w:r>
          </w:p>
        </w:tc>
      </w:tr>
    </w:tbl>
    <w:p w:rsidR="00744A1C" w:rsidRDefault="00E378DD" w:rsidP="00E378DD">
      <w:pPr>
        <w:pStyle w:val="libFootnote0"/>
        <w:rPr>
          <w:lang w:bidi="fa-IR"/>
        </w:rPr>
      </w:pPr>
      <w:r>
        <w:rPr>
          <w:rtl/>
          <w:lang w:bidi="fa-IR"/>
        </w:rPr>
        <w:t>(13).</w:t>
      </w:r>
      <w:r w:rsidR="00744A1C">
        <w:rPr>
          <w:rtl/>
          <w:lang w:bidi="fa-IR"/>
        </w:rPr>
        <w:t xml:space="preserve"> الحجّ (22) : 36.</w:t>
      </w:r>
    </w:p>
    <w:p w:rsidR="00744A1C" w:rsidRDefault="00E378DD" w:rsidP="00E378DD">
      <w:pPr>
        <w:pStyle w:val="libFootnote0"/>
        <w:rPr>
          <w:lang w:bidi="fa-IR"/>
        </w:rPr>
      </w:pPr>
      <w:r>
        <w:rPr>
          <w:rtl/>
          <w:lang w:bidi="fa-IR"/>
        </w:rPr>
        <w:t>(14).</w:t>
      </w:r>
      <w:r w:rsidR="00744A1C">
        <w:rPr>
          <w:rtl/>
          <w:lang w:bidi="fa-IR"/>
        </w:rPr>
        <w:t xml:space="preserve"> « وجوب جنوبها » : سقوطها إلى الأرض ، وأصل الو</w:t>
      </w:r>
      <w:r w:rsidR="00CF628C">
        <w:rPr>
          <w:rtl/>
          <w:lang w:bidi="fa-IR"/>
        </w:rPr>
        <w:t>جوب : السقوط والوقوع. قال العل</w:t>
      </w:r>
      <w:r w:rsidR="00CF628C">
        <w:rPr>
          <w:rFonts w:hint="cs"/>
          <w:rtl/>
          <w:lang w:bidi="fa-IR"/>
        </w:rPr>
        <w:t>ّ</w:t>
      </w:r>
      <w:r w:rsidR="00CF628C">
        <w:rPr>
          <w:rtl/>
          <w:lang w:bidi="fa-IR"/>
        </w:rPr>
        <w:t>ا</w:t>
      </w:r>
      <w:r w:rsidR="00744A1C">
        <w:rPr>
          <w:rtl/>
          <w:lang w:bidi="fa-IR"/>
        </w:rPr>
        <w:t xml:space="preserve">مة المجلسي : </w:t>
      </w:r>
      <w:r w:rsidR="00CF628C">
        <w:rPr>
          <w:rFonts w:hint="cs"/>
          <w:rtl/>
          <w:lang w:bidi="fa-IR"/>
        </w:rPr>
        <w:t>=</w:t>
      </w:r>
    </w:p>
    <w:p w:rsidR="00150943" w:rsidRDefault="00150943" w:rsidP="00D10E3C">
      <w:pPr>
        <w:pStyle w:val="libNormal"/>
        <w:rPr>
          <w:rtl/>
          <w:lang w:bidi="fa-IR"/>
        </w:rPr>
      </w:pPr>
      <w:r>
        <w:rPr>
          <w:rtl/>
          <w:lang w:bidi="fa-IR"/>
        </w:rPr>
        <w:br w:type="page"/>
      </w:r>
    </w:p>
    <w:p w:rsidR="00144FA6" w:rsidRDefault="00744A1C" w:rsidP="00D87914">
      <w:pPr>
        <w:pStyle w:val="libNormal0"/>
        <w:rPr>
          <w:rtl/>
          <w:lang w:bidi="fa-IR"/>
        </w:rPr>
      </w:pPr>
      <w:r>
        <w:rPr>
          <w:rtl/>
          <w:lang w:bidi="fa-IR"/>
        </w:rPr>
        <w:lastRenderedPageBreak/>
        <w:t xml:space="preserve">وَقَعَتْ عَلَى الْأَرْضِ ». </w:t>
      </w:r>
      <w:r w:rsidRPr="00D10E3C">
        <w:rPr>
          <w:rStyle w:val="libFootnotenumChar"/>
          <w:rtl/>
        </w:rPr>
        <w:t>(1)</w:t>
      </w:r>
    </w:p>
    <w:p w:rsidR="00144FA6" w:rsidRDefault="00744A1C" w:rsidP="00744A1C">
      <w:pPr>
        <w:pStyle w:val="libNormal"/>
        <w:rPr>
          <w:rtl/>
          <w:lang w:bidi="fa-IR"/>
        </w:rPr>
      </w:pPr>
      <w:r>
        <w:rPr>
          <w:rtl/>
          <w:lang w:bidi="fa-IR"/>
        </w:rPr>
        <w:t>7879 / 2. مُحَمَّدُ بْنُ يَحْيى ، عَنْ أَحْمَدَ بْنِ مُحَمَّدٍ ، عَنْ مُحَمَّدِ بْنِ إِسْمَاعِيلَ ، عَنْ مُحَمَّدِ بْنِ الْفُضَيْلِ ، عَنْ أَبِي الصَّبَّاحِ الْكِنَانِيِّ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 كَيْفَ تُنْحَرُ </w:t>
      </w:r>
      <w:r w:rsidRPr="00D10E3C">
        <w:rPr>
          <w:rStyle w:val="libFootnotenumChar"/>
          <w:rtl/>
        </w:rPr>
        <w:t>(2)</w:t>
      </w:r>
      <w:r>
        <w:rPr>
          <w:rtl/>
          <w:lang w:bidi="fa-IR"/>
        </w:rPr>
        <w:t xml:space="preserve"> الْبَدَنَةُ؟</w:t>
      </w:r>
    </w:p>
    <w:p w:rsidR="00144FA6" w:rsidRDefault="00744A1C" w:rsidP="00744A1C">
      <w:pPr>
        <w:pStyle w:val="libNormal"/>
        <w:rPr>
          <w:rtl/>
          <w:lang w:bidi="fa-IR"/>
        </w:rPr>
      </w:pPr>
      <w:r>
        <w:rPr>
          <w:rtl/>
          <w:lang w:bidi="fa-IR"/>
        </w:rPr>
        <w:t xml:space="preserve">فَقَالَ </w:t>
      </w:r>
      <w:r w:rsidRPr="00D10E3C">
        <w:rPr>
          <w:rStyle w:val="libFootnotenumChar"/>
          <w:rtl/>
        </w:rPr>
        <w:t>(3)</w:t>
      </w:r>
      <w:r>
        <w:rPr>
          <w:rtl/>
          <w:lang w:bidi="fa-IR"/>
        </w:rPr>
        <w:t xml:space="preserve"> : « تُنْحَرُ وَهِيَ قَائِمَةٌ مِنْ قِبَلِ الْيَمِينِ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7880 / 3. عَلِيُّ بْنُ إِبْرَاهِيمَ ، عَنْ أَبِيهِ ، عَنِ ابْنِ أَبِي عُمَيْرٍ ، عَنْ مُعَاوِيَةَ بْنِ عَمَّارٍ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النَّحْرُ فِي اللَّبَّةِ </w:t>
      </w:r>
      <w:r w:rsidRPr="00D10E3C">
        <w:rPr>
          <w:rStyle w:val="libFootnotenumChar"/>
          <w:rtl/>
        </w:rPr>
        <w:t>(6)</w:t>
      </w:r>
      <w:r>
        <w:rPr>
          <w:rtl/>
          <w:lang w:bidi="fa-IR"/>
        </w:rPr>
        <w:t xml:space="preserve"> ، </w:t>
      </w:r>
      <w:r w:rsidR="00596830">
        <w:rPr>
          <w:rFonts w:hint="cs"/>
          <w:rtl/>
          <w:lang w:bidi="fa-IR"/>
        </w:rPr>
        <w:t>....................</w:t>
      </w:r>
      <w:r w:rsidR="00D87914">
        <w:rPr>
          <w:rFonts w:hint="cs"/>
          <w:rtl/>
          <w:lang w:bidi="fa-IR"/>
        </w:rPr>
        <w:t>...........</w:t>
      </w:r>
      <w:r w:rsidR="00D87914">
        <w:rPr>
          <w:rFonts w:hint="cs"/>
          <w:rtl/>
          <w:lang w:bidi="fa-IR"/>
        </w:rPr>
        <w:tab/>
      </w:r>
    </w:p>
    <w:p w:rsidR="00744A1C" w:rsidRDefault="00744A1C" w:rsidP="00D10E3C">
      <w:pPr>
        <w:pStyle w:val="libLine"/>
        <w:rPr>
          <w:lang w:bidi="fa-IR"/>
        </w:rPr>
      </w:pPr>
      <w:r>
        <w:rPr>
          <w:rtl/>
          <w:lang w:bidi="fa-IR"/>
        </w:rPr>
        <w:t>____________________</w:t>
      </w:r>
    </w:p>
    <w:p w:rsidR="00744A1C" w:rsidRDefault="007B5977" w:rsidP="00D10E3C">
      <w:pPr>
        <w:pStyle w:val="libFootnote0"/>
        <w:rPr>
          <w:lang w:bidi="fa-IR"/>
        </w:rPr>
      </w:pPr>
      <w:r>
        <w:rPr>
          <w:rFonts w:hint="cs"/>
          <w:rtl/>
          <w:lang w:bidi="fa-IR"/>
        </w:rPr>
        <w:t xml:space="preserve">= </w:t>
      </w:r>
      <w:r w:rsidR="00744A1C">
        <w:rPr>
          <w:rtl/>
          <w:lang w:bidi="fa-IR"/>
        </w:rPr>
        <w:t xml:space="preserve">« فسّروا وجوب الجنوب بما في الخبر ، لكن صرّحوا بأنّه كناية عن تمام خروج الروح ، وهو المشهور بين الأصحاب والأحوط في العمل ». راجع : </w:t>
      </w:r>
      <w:r w:rsidR="00744A1C" w:rsidRPr="00877682">
        <w:rPr>
          <w:rStyle w:val="libFootnoteBoldChar"/>
          <w:rtl/>
        </w:rPr>
        <w:t>النهاية</w:t>
      </w:r>
      <w:r w:rsidR="00744A1C">
        <w:rPr>
          <w:rtl/>
          <w:lang w:bidi="fa-IR"/>
        </w:rPr>
        <w:t xml:space="preserve"> ، ج 5 ، ص 154 ؛ </w:t>
      </w:r>
      <w:r w:rsidR="00744A1C" w:rsidRPr="00E978C3">
        <w:rPr>
          <w:rStyle w:val="libFootnoteBoldChar"/>
          <w:rtl/>
        </w:rPr>
        <w:t>المصباح المنير</w:t>
      </w:r>
      <w:r w:rsidR="00744A1C">
        <w:rPr>
          <w:rtl/>
          <w:lang w:bidi="fa-IR"/>
        </w:rPr>
        <w:t xml:space="preserve"> ، ص 648 ( وجب ) ؛ </w:t>
      </w:r>
      <w:r w:rsidR="00744A1C" w:rsidRPr="00877682">
        <w:rPr>
          <w:rStyle w:val="libFootnoteBoldChar"/>
          <w:rtl/>
        </w:rPr>
        <w:t>مرآة العقول</w:t>
      </w:r>
      <w:r w:rsidR="00744A1C">
        <w:rPr>
          <w:rtl/>
          <w:lang w:bidi="fa-IR"/>
        </w:rPr>
        <w:t xml:space="preserve"> ، ج 18 ، ص 177.</w:t>
      </w:r>
    </w:p>
    <w:p w:rsidR="00744A1C" w:rsidRDefault="00D10E3C" w:rsidP="007B5977">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220 ، ح 743 ، معلّقاً عن الكليني. </w:t>
      </w:r>
      <w:r w:rsidR="00744A1C" w:rsidRPr="00C24F9C">
        <w:rPr>
          <w:rStyle w:val="libFootnoteBoldChar"/>
          <w:rtl/>
        </w:rPr>
        <w:t>الفقيه</w:t>
      </w:r>
      <w:r w:rsidR="00744A1C">
        <w:rPr>
          <w:rtl/>
          <w:lang w:bidi="fa-IR"/>
        </w:rPr>
        <w:t xml:space="preserve"> ، ج 2 ، ص 503 ، ح 3082 ، معلّقاً عن عبدالله بن سنان. وفي </w:t>
      </w:r>
      <w:r w:rsidR="00744A1C" w:rsidRPr="0061079A">
        <w:rPr>
          <w:rStyle w:val="libFootnoteBoldChar"/>
          <w:rtl/>
        </w:rPr>
        <w:t>الكافي</w:t>
      </w:r>
      <w:r w:rsidR="00744A1C">
        <w:rPr>
          <w:rtl/>
          <w:lang w:bidi="fa-IR"/>
        </w:rPr>
        <w:t xml:space="preserve"> ، كتاب الحجّ ، باب الأكل من الهدي الواجب ... ، صدر ح 7887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208 ، صدر ح 1 ، بسند آخر ، من قوله : « وجوب جنوبها » مع اختلاف يسير. تفسيرالقميّ ، ج 2 ، ص 84 ، من دون الإسناد إلى المعصوم </w:t>
      </w:r>
      <w:r w:rsidR="0061079A" w:rsidRPr="0061079A">
        <w:rPr>
          <w:rStyle w:val="libFootnoteAlaemChar"/>
          <w:rtl/>
        </w:rPr>
        <w:t>عليه‌السلام</w:t>
      </w:r>
      <w:r>
        <w:rPr>
          <w:rtl/>
          <w:lang w:bidi="fa-IR"/>
        </w:rPr>
        <w:t xml:space="preserve"> </w:t>
      </w:r>
      <w:r w:rsidR="00744A1C">
        <w:rPr>
          <w:rtl/>
          <w:lang w:bidi="fa-IR"/>
        </w:rPr>
        <w:t xml:space="preserve">، مع اختلاف </w:t>
      </w:r>
      <w:r w:rsidR="007B5977">
        <w:rPr>
          <w:rFonts w:hint="cs"/>
          <w:rtl/>
          <w:lang w:bidi="fa-IR"/>
        </w:rPr>
        <w:t>.</w:t>
      </w:r>
      <w:r w:rsidR="00744A1C" w:rsidRPr="00C24F9C">
        <w:rPr>
          <w:rStyle w:val="libFootnoteBoldChar"/>
          <w:rtl/>
        </w:rPr>
        <w:t>الوافي</w:t>
      </w:r>
      <w:r w:rsidR="00744A1C">
        <w:rPr>
          <w:rtl/>
          <w:lang w:bidi="fa-IR"/>
        </w:rPr>
        <w:t xml:space="preserve"> ، ج 14 ، ص 1155 ، ح 13985 ؛ </w:t>
      </w:r>
      <w:r w:rsidR="00744A1C" w:rsidRPr="00C24F9C">
        <w:rPr>
          <w:rStyle w:val="libFootnoteBoldChar"/>
          <w:rtl/>
        </w:rPr>
        <w:t>الوسائل</w:t>
      </w:r>
      <w:r w:rsidR="00744A1C">
        <w:rPr>
          <w:rtl/>
          <w:lang w:bidi="fa-IR"/>
        </w:rPr>
        <w:t xml:space="preserve"> ، ج 14 ، ص 148 ، ح 18838 ؛ </w:t>
      </w:r>
      <w:r w:rsidR="00744A1C" w:rsidRPr="0061079A">
        <w:rPr>
          <w:rStyle w:val="libFootnoteBoldChar"/>
          <w:rtl/>
        </w:rPr>
        <w:t>البحار</w:t>
      </w:r>
      <w:r w:rsidR="00744A1C">
        <w:rPr>
          <w:rtl/>
          <w:lang w:bidi="fa-IR"/>
        </w:rPr>
        <w:t xml:space="preserve"> ، ج 65 ، ص 301.</w:t>
      </w:r>
      <w:r w:rsidR="007B5977">
        <w:rPr>
          <w:rFonts w:hint="cs"/>
          <w:rtl/>
          <w:lang w:bidi="fa-IR"/>
        </w:rPr>
        <w:t xml:space="preserve">   </w:t>
      </w:r>
      <w:r w:rsidR="00E378DD">
        <w:rPr>
          <w:rtl/>
          <w:lang w:bidi="fa-IR"/>
        </w:rPr>
        <w:t>(2).</w:t>
      </w:r>
      <w:r w:rsidR="00744A1C">
        <w:rPr>
          <w:rtl/>
          <w:lang w:bidi="fa-IR"/>
        </w:rPr>
        <w:t xml:space="preserve"> في « بث » </w:t>
      </w:r>
      <w:r w:rsidR="00744A1C" w:rsidRPr="0061079A">
        <w:rPr>
          <w:rStyle w:val="libFootnoteBoldChar"/>
          <w:rtl/>
        </w:rPr>
        <w:t>والتهذيب</w:t>
      </w:r>
      <w:r w:rsidR="00744A1C">
        <w:rPr>
          <w:rtl/>
          <w:lang w:bidi="fa-IR"/>
        </w:rPr>
        <w:t xml:space="preserve"> : « ينحر ».</w:t>
      </w:r>
    </w:p>
    <w:p w:rsidR="00744A1C" w:rsidRDefault="00E378DD" w:rsidP="00E378DD">
      <w:pPr>
        <w:pStyle w:val="libFootnote0"/>
        <w:rPr>
          <w:lang w:bidi="fa-IR"/>
        </w:rPr>
      </w:pPr>
      <w:r>
        <w:rPr>
          <w:rtl/>
          <w:lang w:bidi="fa-IR"/>
        </w:rPr>
        <w:t>(3).</w:t>
      </w:r>
      <w:r w:rsidR="00744A1C">
        <w:rPr>
          <w:rtl/>
          <w:lang w:bidi="fa-IR"/>
        </w:rPr>
        <w:t xml:space="preserve"> في « بث ، بح ، بخ ، بف ، بس ، جد » و</w:t>
      </w:r>
      <w:r w:rsidR="00744A1C" w:rsidRPr="00C24F9C">
        <w:rPr>
          <w:rStyle w:val="libFootnoteBoldChar"/>
          <w:rtl/>
        </w:rPr>
        <w:t>الفقيه</w:t>
      </w:r>
      <w:r w:rsidR="00744A1C">
        <w:rPr>
          <w:rtl/>
          <w:lang w:bidi="fa-IR"/>
        </w:rPr>
        <w:t xml:space="preserve"> ، ح 3082 : « قال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من قبل اليمين ، أي الذي ينحرها يقف من جانب</w:t>
      </w:r>
      <w:r w:rsidR="00596830">
        <w:rPr>
          <w:rtl/>
          <w:lang w:bidi="fa-IR"/>
        </w:rPr>
        <w:t>ها الأيمن ويطعنها في موضع النحر</w:t>
      </w:r>
      <w:r w:rsidR="00744A1C">
        <w:rPr>
          <w:rtl/>
          <w:lang w:bidi="fa-IR"/>
        </w:rPr>
        <w:t>».</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221 ، ح 744 ، معلّقاً عن الكليني. </w:t>
      </w:r>
      <w:r w:rsidR="00744A1C" w:rsidRPr="00C24F9C">
        <w:rPr>
          <w:rStyle w:val="libFootnoteBoldChar"/>
          <w:rtl/>
        </w:rPr>
        <w:t>الفقيه</w:t>
      </w:r>
      <w:r w:rsidR="00744A1C">
        <w:rPr>
          <w:rtl/>
          <w:lang w:bidi="fa-IR"/>
        </w:rPr>
        <w:t xml:space="preserve"> ، ج 2 ، ص 503 ، ح 3082 ، معلّقاً عن محمّد بن الفضيل. </w:t>
      </w:r>
      <w:r w:rsidR="00744A1C" w:rsidRPr="00C24F9C">
        <w:rPr>
          <w:rStyle w:val="libFootnoteBoldChar"/>
          <w:rtl/>
        </w:rPr>
        <w:t>الفقيه</w:t>
      </w:r>
      <w:r w:rsidR="00744A1C">
        <w:rPr>
          <w:rtl/>
          <w:lang w:bidi="fa-IR"/>
        </w:rPr>
        <w:t xml:space="preserve"> ، ج 2 ، ص 324 ، ح 2574 ، معلّقاً عن أبي الصبّاح الكناني ، مع اختلاف يسير وزيادة في أوّله. وفي </w:t>
      </w:r>
      <w:r w:rsidR="00744A1C" w:rsidRPr="0061079A">
        <w:rPr>
          <w:rStyle w:val="libFootnoteBoldChar"/>
          <w:rtl/>
        </w:rPr>
        <w:t>الكافي</w:t>
      </w:r>
      <w:r w:rsidR="00744A1C">
        <w:rPr>
          <w:rtl/>
          <w:lang w:bidi="fa-IR"/>
        </w:rPr>
        <w:t xml:space="preserve"> ، كتاب الحجّ ، باب صفة الإشعار والتقليد ، ضمن ح 7041 ؛ والنوادر للأشعري ، ص 137 ، ضمن ح 357 ، بسند آخر ، هكذا : « تنحر وهي قائمة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222 ، هذه الفقرة : « تنحر وهي قائمة » مع اختلاف يسير </w:t>
      </w:r>
      <w:r w:rsidR="00080897">
        <w:rPr>
          <w:rFonts w:hint="cs"/>
          <w:rtl/>
          <w:lang w:bidi="fa-IR"/>
        </w:rPr>
        <w:t>.</w:t>
      </w:r>
      <w:r w:rsidR="00744A1C" w:rsidRPr="00C24F9C">
        <w:rPr>
          <w:rStyle w:val="libFootnoteBoldChar"/>
          <w:rtl/>
        </w:rPr>
        <w:t>الوافي</w:t>
      </w:r>
      <w:r w:rsidR="00744A1C">
        <w:rPr>
          <w:rtl/>
          <w:lang w:bidi="fa-IR"/>
        </w:rPr>
        <w:t xml:space="preserve"> ، ج 14 ، ص 1155 ، ح 13986 ؛ </w:t>
      </w:r>
      <w:r w:rsidR="00744A1C" w:rsidRPr="00C24F9C">
        <w:rPr>
          <w:rStyle w:val="libFootnoteBoldChar"/>
          <w:rtl/>
        </w:rPr>
        <w:t>الوسائل</w:t>
      </w:r>
      <w:r w:rsidR="00744A1C">
        <w:rPr>
          <w:rtl/>
          <w:lang w:bidi="fa-IR"/>
        </w:rPr>
        <w:t xml:space="preserve"> ، ج 14 ، ص 149 ، ح 18839 ؛ </w:t>
      </w:r>
      <w:r w:rsidR="00744A1C" w:rsidRPr="0061079A">
        <w:rPr>
          <w:rStyle w:val="libFootnoteBoldChar"/>
          <w:rtl/>
        </w:rPr>
        <w:t>البحار</w:t>
      </w:r>
      <w:r w:rsidR="00744A1C">
        <w:rPr>
          <w:rtl/>
          <w:lang w:bidi="fa-IR"/>
        </w:rPr>
        <w:t xml:space="preserve"> ، ج 65 ، ص 301.</w:t>
      </w:r>
    </w:p>
    <w:p w:rsidR="00744A1C" w:rsidRDefault="00E378DD" w:rsidP="00E378DD">
      <w:pPr>
        <w:pStyle w:val="libFootnote0"/>
        <w:rPr>
          <w:lang w:bidi="fa-IR"/>
        </w:rPr>
      </w:pPr>
      <w:r>
        <w:rPr>
          <w:rtl/>
          <w:lang w:bidi="fa-IR"/>
        </w:rPr>
        <w:t>(6).</w:t>
      </w:r>
      <w:r w:rsidR="00744A1C">
        <w:rPr>
          <w:rtl/>
          <w:lang w:bidi="fa-IR"/>
        </w:rPr>
        <w:t xml:space="preserve"> قال الجوهري : « اللَّبَّةُ : ال</w:t>
      </w:r>
      <w:r w:rsidR="00080897">
        <w:rPr>
          <w:rFonts w:hint="cs"/>
          <w:rtl/>
          <w:lang w:bidi="fa-IR"/>
        </w:rPr>
        <w:t>ـ</w:t>
      </w:r>
      <w:r w:rsidR="00744A1C">
        <w:rPr>
          <w:rtl/>
          <w:lang w:bidi="fa-IR"/>
        </w:rPr>
        <w:t xml:space="preserve">مَنْحَر ، والجمع : اللبّات ، وكذلك اللَبَبُ ، وهو موضع القلادة من الصدر من كلّ شي‌ء. والجمع : الألباب ». وقال ابن الأثير : « قيل : هو - أي الألباب - جمع لَبَب ، وهو المنحر من كلّ شي‌ء ، وبه سمّي لَبَبُ السرج ، وأمّا اللبّات فهي جمع لَبَّة ، وهي الهَزْمَة - أي النَقْرة - التي فوق الصدر ، وفيها تنحر الإبل ». وعن </w:t>
      </w:r>
      <w:r w:rsidR="008C3667">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وَ</w:t>
      </w:r>
      <w:r w:rsidR="002F7B64">
        <w:rPr>
          <w:rFonts w:hint="cs"/>
          <w:rtl/>
          <w:lang w:bidi="fa-IR"/>
        </w:rPr>
        <w:t xml:space="preserve"> </w:t>
      </w:r>
      <w:r>
        <w:rPr>
          <w:rtl/>
          <w:lang w:bidi="fa-IR"/>
        </w:rPr>
        <w:t xml:space="preserve">الذَّبْحُ </w:t>
      </w:r>
      <w:r w:rsidRPr="00D10E3C">
        <w:rPr>
          <w:rStyle w:val="libFootnotenumChar"/>
          <w:rtl/>
        </w:rPr>
        <w:t>(1)</w:t>
      </w:r>
      <w:r>
        <w:rPr>
          <w:rtl/>
          <w:lang w:bidi="fa-IR"/>
        </w:rPr>
        <w:t xml:space="preserve"> فِي الْحَلْقِ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7881 / 4. عَلِيُّ بْنُ إِبْرَاهِيمَ </w:t>
      </w:r>
      <w:r w:rsidRPr="00D10E3C">
        <w:rPr>
          <w:rStyle w:val="libFootnotenumChar"/>
          <w:rtl/>
        </w:rPr>
        <w:t>(4)</w:t>
      </w:r>
      <w:r>
        <w:rPr>
          <w:rtl/>
          <w:lang w:bidi="fa-IR"/>
        </w:rPr>
        <w:t xml:space="preserve"> ، عَنْ أَبِيهِ ، عَنِ ابْنِ أَبِي عُمَيْرٍ ، عَنْ حَمَّادٍ ، عَنِ الْحَلَبِيِّ ، قَالَ :</w:t>
      </w:r>
    </w:p>
    <w:p w:rsidR="00144FA6" w:rsidRDefault="00744A1C" w:rsidP="00744A1C">
      <w:pPr>
        <w:pStyle w:val="libNormal"/>
        <w:rPr>
          <w:rtl/>
          <w:lang w:bidi="fa-IR"/>
        </w:rPr>
      </w:pPr>
      <w:r>
        <w:rPr>
          <w:rtl/>
          <w:lang w:bidi="fa-IR"/>
        </w:rPr>
        <w:t xml:space="preserve">لَا يَذْبَحْ لَكَ الْيَهُودِيُّ وَلَا النَّصْرَانِيُّ أُضْحِيَّتَكَ ، فَإِنْ كَانَتِ امْرَأَةً ، فَلْتَذْبَحْ لِنَفْسِهَا </w:t>
      </w:r>
      <w:r w:rsidRPr="00D10E3C">
        <w:rPr>
          <w:rStyle w:val="libFootnotenumChar"/>
          <w:rtl/>
        </w:rPr>
        <w:t>(5)</w:t>
      </w:r>
      <w:r>
        <w:rPr>
          <w:rtl/>
          <w:lang w:bidi="fa-IR"/>
        </w:rPr>
        <w:t xml:space="preserve"> ، وَتَسْتَقْبِلُ الْقِبْلَةَ ، وَتَقُولُ : </w:t>
      </w:r>
      <w:r w:rsidRPr="002F7B64">
        <w:rPr>
          <w:rStyle w:val="libAlaemChar"/>
          <w:rtl/>
        </w:rPr>
        <w:t>(</w:t>
      </w:r>
      <w:r w:rsidRPr="002F7B64">
        <w:rPr>
          <w:rStyle w:val="libAieChar"/>
          <w:rtl/>
        </w:rPr>
        <w:t xml:space="preserve"> وَجَّهْتُ وَجْهِيَ لِلَّذِي فَطَرَ السَّماواتِ وَالْأَرْضَ حَنِيفاً </w:t>
      </w:r>
      <w:r w:rsidRPr="002F7B64">
        <w:rPr>
          <w:rStyle w:val="libAlaemChar"/>
          <w:rtl/>
        </w:rPr>
        <w:t>)</w:t>
      </w:r>
      <w:r>
        <w:rPr>
          <w:rtl/>
          <w:lang w:bidi="fa-IR"/>
        </w:rPr>
        <w:t xml:space="preserve"> </w:t>
      </w:r>
      <w:r w:rsidRPr="00D10E3C">
        <w:rPr>
          <w:rStyle w:val="libFootnotenumChar"/>
          <w:rtl/>
        </w:rPr>
        <w:t>(6)</w:t>
      </w:r>
      <w:r>
        <w:rPr>
          <w:rtl/>
          <w:lang w:bidi="fa-IR"/>
        </w:rPr>
        <w:t xml:space="preserve"> الل</w:t>
      </w:r>
      <w:r w:rsidR="002F7B64">
        <w:rPr>
          <w:rFonts w:hint="cs"/>
          <w:rtl/>
          <w:lang w:bidi="fa-IR"/>
        </w:rPr>
        <w:t>ّ</w:t>
      </w:r>
      <w:r>
        <w:rPr>
          <w:rtl/>
          <w:lang w:bidi="fa-IR"/>
        </w:rPr>
        <w:t xml:space="preserve">هُمَّ مِنْكَ وَلَكَ. </w:t>
      </w:r>
      <w:r w:rsidRPr="00D10E3C">
        <w:rPr>
          <w:rStyle w:val="libFootnotenumChar"/>
          <w:rtl/>
        </w:rPr>
        <w:t>(7)</w:t>
      </w:r>
    </w:p>
    <w:p w:rsidR="00144FA6" w:rsidRDefault="00744A1C" w:rsidP="00744A1C">
      <w:pPr>
        <w:pStyle w:val="libNormal"/>
        <w:rPr>
          <w:rtl/>
          <w:lang w:bidi="fa-IR"/>
        </w:rPr>
      </w:pPr>
      <w:r>
        <w:rPr>
          <w:rtl/>
          <w:lang w:bidi="fa-IR"/>
        </w:rPr>
        <w:t xml:space="preserve">7882 / 5. وَعَنْهُ </w:t>
      </w:r>
      <w:r w:rsidRPr="00D10E3C">
        <w:rPr>
          <w:rStyle w:val="libFootnotenumChar"/>
          <w:rtl/>
        </w:rPr>
        <w:t>(8)</w:t>
      </w:r>
      <w:r>
        <w:rPr>
          <w:rtl/>
          <w:lang w:bidi="fa-IR"/>
        </w:rPr>
        <w:t xml:space="preserve">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عَلِيُّ بْنُ الْحُسَيْنِ </w:t>
      </w:r>
      <w:r w:rsidR="008859AA" w:rsidRPr="008859AA">
        <w:rPr>
          <w:rStyle w:val="libAlaemChar"/>
          <w:rtl/>
        </w:rPr>
        <w:t>عليهما‌السلام</w:t>
      </w:r>
      <w:r>
        <w:rPr>
          <w:rtl/>
          <w:lang w:bidi="fa-IR"/>
        </w:rPr>
        <w:t xml:space="preserve">يَجْعَلُ </w:t>
      </w:r>
      <w:r w:rsidRPr="00D10E3C">
        <w:rPr>
          <w:rStyle w:val="libFootnotenumChar"/>
          <w:rtl/>
        </w:rPr>
        <w:t>(9)</w:t>
      </w:r>
      <w:r>
        <w:rPr>
          <w:rtl/>
          <w:lang w:bidi="fa-IR"/>
        </w:rPr>
        <w:t xml:space="preserve"> السِّكِّينَ‌ فِي يَدِ الصَّبِيِّ </w:t>
      </w:r>
      <w:r w:rsidRPr="00D10E3C">
        <w:rPr>
          <w:rStyle w:val="libFootnotenumChar"/>
          <w:rtl/>
        </w:rPr>
        <w:t>(10)</w:t>
      </w:r>
      <w:r>
        <w:rPr>
          <w:rtl/>
          <w:lang w:bidi="fa-IR"/>
        </w:rPr>
        <w:t xml:space="preserve"> ، ثُمَّ يَقْبِضُ الرَّجُلُ عَلى يَدِ الصَّبِيِّ </w:t>
      </w:r>
      <w:r w:rsidRPr="00D10E3C">
        <w:rPr>
          <w:rStyle w:val="libFootnotenumChar"/>
          <w:rtl/>
        </w:rPr>
        <w:t>(11)</w:t>
      </w:r>
      <w:r>
        <w:rPr>
          <w:rtl/>
          <w:lang w:bidi="fa-IR"/>
        </w:rPr>
        <w:t xml:space="preserve"> ، </w:t>
      </w:r>
      <w:r w:rsidR="00596830">
        <w:rPr>
          <w:rFonts w:hint="cs"/>
          <w:rtl/>
          <w:lang w:bidi="fa-IR"/>
        </w:rPr>
        <w:t>...................</w:t>
      </w:r>
      <w:r w:rsidR="002F7B64">
        <w:rPr>
          <w:rFonts w:hint="cs"/>
          <w:rtl/>
          <w:lang w:bidi="fa-IR"/>
        </w:rPr>
        <w:t>..........</w:t>
      </w:r>
      <w:r w:rsidR="002F7B64">
        <w:rPr>
          <w:rFonts w:hint="cs"/>
          <w:rtl/>
          <w:lang w:bidi="fa-IR"/>
        </w:rPr>
        <w:tab/>
      </w:r>
    </w:p>
    <w:p w:rsidR="00744A1C" w:rsidRDefault="00744A1C" w:rsidP="00D10E3C">
      <w:pPr>
        <w:pStyle w:val="libLine"/>
        <w:rPr>
          <w:lang w:bidi="fa-IR"/>
        </w:rPr>
      </w:pPr>
      <w:r>
        <w:rPr>
          <w:rtl/>
          <w:lang w:bidi="fa-IR"/>
        </w:rPr>
        <w:t>____________________</w:t>
      </w:r>
    </w:p>
    <w:p w:rsidR="00744A1C" w:rsidRDefault="00AC1AE6" w:rsidP="00D10E3C">
      <w:pPr>
        <w:pStyle w:val="libFootnote0"/>
        <w:rPr>
          <w:lang w:bidi="fa-IR"/>
        </w:rPr>
      </w:pPr>
      <w:r>
        <w:rPr>
          <w:rFonts w:hint="cs"/>
          <w:rtl/>
          <w:lang w:bidi="fa-IR"/>
        </w:rPr>
        <w:t xml:space="preserve">= </w:t>
      </w:r>
      <w:r w:rsidR="00744A1C">
        <w:rPr>
          <w:rtl/>
          <w:lang w:bidi="fa-IR"/>
        </w:rPr>
        <w:t xml:space="preserve">ابن قتيبة : « من قال : إنّها - أي اللبّة - النقرة التي في الحلق فقد غلط ». راجع : </w:t>
      </w:r>
      <w:r w:rsidR="00744A1C" w:rsidRPr="00E978C3">
        <w:rPr>
          <w:rStyle w:val="libFootnoteBoldChar"/>
          <w:rtl/>
        </w:rPr>
        <w:t>الصحاح</w:t>
      </w:r>
      <w:r w:rsidR="00744A1C">
        <w:rPr>
          <w:rtl/>
          <w:lang w:bidi="fa-IR"/>
        </w:rPr>
        <w:t xml:space="preserve"> ، ج 1 ، ص 217 ؛ </w:t>
      </w:r>
      <w:r w:rsidR="00744A1C" w:rsidRPr="00877682">
        <w:rPr>
          <w:rStyle w:val="libFootnoteBoldChar"/>
          <w:rtl/>
        </w:rPr>
        <w:t>النهاية</w:t>
      </w:r>
      <w:r w:rsidR="00744A1C">
        <w:rPr>
          <w:rtl/>
          <w:lang w:bidi="fa-IR"/>
        </w:rPr>
        <w:t xml:space="preserve"> ، ج 4 ، ص 223 ؛ </w:t>
      </w:r>
      <w:r w:rsidR="00744A1C" w:rsidRPr="00E978C3">
        <w:rPr>
          <w:rStyle w:val="libFootnoteBoldChar"/>
          <w:rtl/>
        </w:rPr>
        <w:t>المصباح المنير</w:t>
      </w:r>
      <w:r w:rsidR="00744A1C">
        <w:rPr>
          <w:rtl/>
          <w:lang w:bidi="fa-IR"/>
        </w:rPr>
        <w:t xml:space="preserve"> ، ص 547 ( لبب ).</w:t>
      </w:r>
    </w:p>
    <w:tbl>
      <w:tblPr>
        <w:tblStyle w:val="TableGrid"/>
        <w:bidiVisual/>
        <w:tblW w:w="0" w:type="auto"/>
        <w:tblLook w:val="04A0" w:firstRow="1" w:lastRow="0" w:firstColumn="1" w:lastColumn="0" w:noHBand="0" w:noVBand="1"/>
      </w:tblPr>
      <w:tblGrid>
        <w:gridCol w:w="4006"/>
        <w:gridCol w:w="4006"/>
      </w:tblGrid>
      <w:tr w:rsidR="00AC1AE6" w:rsidTr="00AC1AE6">
        <w:tc>
          <w:tcPr>
            <w:tcW w:w="4006" w:type="dxa"/>
          </w:tcPr>
          <w:p w:rsidR="00AC1AE6" w:rsidRDefault="00AC1AE6" w:rsidP="00D10E3C">
            <w:pPr>
              <w:pStyle w:val="libFootnote0"/>
              <w:rPr>
                <w:rtl/>
                <w:lang w:bidi="fa-IR"/>
              </w:rPr>
            </w:pPr>
            <w:r>
              <w:rPr>
                <w:rtl/>
                <w:lang w:bidi="fa-IR"/>
              </w:rPr>
              <w:t>(1). في « بث » : - « والذبح ».</w:t>
            </w:r>
          </w:p>
        </w:tc>
        <w:tc>
          <w:tcPr>
            <w:tcW w:w="4006" w:type="dxa"/>
          </w:tcPr>
          <w:p w:rsidR="00AC1AE6" w:rsidRDefault="00AC1AE6" w:rsidP="00D10E3C">
            <w:pPr>
              <w:pStyle w:val="libFootnote0"/>
              <w:rPr>
                <w:rtl/>
                <w:lang w:bidi="fa-IR"/>
              </w:rPr>
            </w:pPr>
            <w:r>
              <w:rPr>
                <w:rtl/>
                <w:lang w:bidi="fa-IR"/>
              </w:rPr>
              <w:t xml:space="preserve">(2). في </w:t>
            </w:r>
            <w:r w:rsidRPr="00AC1AE6">
              <w:rPr>
                <w:rtl/>
              </w:rPr>
              <w:t>التهذيب</w:t>
            </w:r>
            <w:r>
              <w:rPr>
                <w:rtl/>
                <w:lang w:bidi="fa-IR"/>
              </w:rPr>
              <w:t xml:space="preserve"> : « الحلقوم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61079A">
        <w:rPr>
          <w:rStyle w:val="libFootnoteBoldChar"/>
          <w:rtl/>
        </w:rPr>
        <w:t>الكافي</w:t>
      </w:r>
      <w:r w:rsidR="00744A1C">
        <w:rPr>
          <w:rtl/>
          <w:lang w:bidi="fa-IR"/>
        </w:rPr>
        <w:t xml:space="preserve"> ، كتاب الذبائح ، باب صفة الذبح والنحر ، ح 11377. وفي </w:t>
      </w:r>
      <w:r w:rsidR="00744A1C" w:rsidRPr="00C24F9C">
        <w:rPr>
          <w:rStyle w:val="libFootnoteBoldChar"/>
          <w:rtl/>
        </w:rPr>
        <w:t>التهذيب</w:t>
      </w:r>
      <w:r w:rsidR="00744A1C">
        <w:rPr>
          <w:rtl/>
          <w:lang w:bidi="fa-IR"/>
        </w:rPr>
        <w:t xml:space="preserve"> ، ج 9 ، ص 53 ، ح 217 ، معلّقاً عن الكليني. </w:t>
      </w:r>
      <w:r w:rsidR="00744A1C" w:rsidRPr="00C24F9C">
        <w:rPr>
          <w:rStyle w:val="libFootnoteBoldChar"/>
          <w:rtl/>
        </w:rPr>
        <w:t>الفقيه</w:t>
      </w:r>
      <w:r w:rsidR="00744A1C">
        <w:rPr>
          <w:rtl/>
          <w:lang w:bidi="fa-IR"/>
        </w:rPr>
        <w:t xml:space="preserve"> ، ج 2 ، ص 502 ، ح 3079 ، معلّقاً عن معاوية بن عمّار </w:t>
      </w:r>
      <w:r w:rsidR="0030059D">
        <w:rPr>
          <w:rFonts w:hint="cs"/>
          <w:rtl/>
          <w:lang w:bidi="fa-IR"/>
        </w:rPr>
        <w:t>.</w:t>
      </w:r>
      <w:r w:rsidR="00744A1C" w:rsidRPr="00C24F9C">
        <w:rPr>
          <w:rStyle w:val="libFootnoteBoldChar"/>
          <w:rtl/>
        </w:rPr>
        <w:t>الوافي</w:t>
      </w:r>
      <w:r w:rsidR="00744A1C">
        <w:rPr>
          <w:rtl/>
          <w:lang w:bidi="fa-IR"/>
        </w:rPr>
        <w:t xml:space="preserve"> ، ج 14 ، ص 1157 ، ح 13990 ؛ </w:t>
      </w:r>
      <w:r w:rsidR="00744A1C" w:rsidRPr="00C24F9C">
        <w:rPr>
          <w:rStyle w:val="libFootnoteBoldChar"/>
          <w:rtl/>
        </w:rPr>
        <w:t>الوسائل</w:t>
      </w:r>
      <w:r w:rsidR="00744A1C">
        <w:rPr>
          <w:rtl/>
          <w:lang w:bidi="fa-IR"/>
        </w:rPr>
        <w:t xml:space="preserve"> ، ج 14 ، ص 149 ، ح 18841 ؛ وج 24 ، ص 10 ، ح 29855 ؛ وص 12 ، ح 29859.</w:t>
      </w:r>
    </w:p>
    <w:tbl>
      <w:tblPr>
        <w:tblStyle w:val="TableGrid"/>
        <w:bidiVisual/>
        <w:tblW w:w="0" w:type="auto"/>
        <w:tblLook w:val="04A0" w:firstRow="1" w:lastRow="0" w:firstColumn="1" w:lastColumn="0" w:noHBand="0" w:noVBand="1"/>
      </w:tblPr>
      <w:tblGrid>
        <w:gridCol w:w="4006"/>
        <w:gridCol w:w="4006"/>
      </w:tblGrid>
      <w:tr w:rsidR="0030059D" w:rsidTr="0030059D">
        <w:tc>
          <w:tcPr>
            <w:tcW w:w="4006" w:type="dxa"/>
          </w:tcPr>
          <w:p w:rsidR="0030059D" w:rsidRDefault="0030059D" w:rsidP="00E378DD">
            <w:pPr>
              <w:pStyle w:val="libFootnote0"/>
              <w:rPr>
                <w:rtl/>
                <w:lang w:bidi="fa-IR"/>
              </w:rPr>
            </w:pPr>
            <w:r>
              <w:rPr>
                <w:rtl/>
                <w:lang w:bidi="fa-IR"/>
              </w:rPr>
              <w:t>(4). في « بخ ، بف ، جر » : - « بن إبراهيم ».</w:t>
            </w:r>
          </w:p>
        </w:tc>
        <w:tc>
          <w:tcPr>
            <w:tcW w:w="4006" w:type="dxa"/>
          </w:tcPr>
          <w:p w:rsidR="0030059D" w:rsidRDefault="0030059D" w:rsidP="00E378DD">
            <w:pPr>
              <w:pStyle w:val="libFootnote0"/>
              <w:rPr>
                <w:rtl/>
                <w:lang w:bidi="fa-IR"/>
              </w:rPr>
            </w:pPr>
            <w:r>
              <w:rPr>
                <w:rtl/>
                <w:lang w:bidi="fa-IR"/>
              </w:rPr>
              <w:t>(5). في « ى » : « عن نفسها ».</w:t>
            </w:r>
          </w:p>
        </w:tc>
      </w:tr>
    </w:tbl>
    <w:p w:rsidR="00744A1C" w:rsidRDefault="00E378DD" w:rsidP="00E378DD">
      <w:pPr>
        <w:pStyle w:val="libFootnote0"/>
        <w:rPr>
          <w:lang w:bidi="fa-IR"/>
        </w:rPr>
      </w:pPr>
      <w:r>
        <w:rPr>
          <w:rtl/>
          <w:lang w:bidi="fa-IR"/>
        </w:rPr>
        <w:t>(6).</w:t>
      </w:r>
      <w:r w:rsidR="00744A1C">
        <w:rPr>
          <w:rtl/>
          <w:lang w:bidi="fa-IR"/>
        </w:rPr>
        <w:t xml:space="preserve"> الأنعام </w:t>
      </w:r>
      <w:r w:rsidR="00F00A59">
        <w:rPr>
          <w:rtl/>
          <w:lang w:bidi="fa-IR"/>
        </w:rPr>
        <w:t>(6)</w:t>
      </w:r>
      <w:r w:rsidR="00744A1C">
        <w:rPr>
          <w:rtl/>
          <w:lang w:bidi="fa-IR"/>
        </w:rPr>
        <w:t xml:space="preserve"> : 79. وفي </w:t>
      </w:r>
      <w:r w:rsidR="00744A1C" w:rsidRPr="00F00A59">
        <w:rPr>
          <w:rtl/>
        </w:rPr>
        <w:t>الوافي والفقيه</w:t>
      </w:r>
      <w:r w:rsidR="00744A1C">
        <w:rPr>
          <w:rtl/>
          <w:lang w:bidi="fa-IR"/>
        </w:rPr>
        <w:t xml:space="preserve"> : + </w:t>
      </w:r>
      <w:r w:rsidR="00744A1C" w:rsidRPr="00F00A59">
        <w:rPr>
          <w:rStyle w:val="libFootnoteAlaemChar"/>
          <w:rtl/>
        </w:rPr>
        <w:t>(</w:t>
      </w:r>
      <w:r w:rsidR="00744A1C" w:rsidRPr="00F00A59">
        <w:rPr>
          <w:rStyle w:val="libFootnoteAieChar"/>
          <w:rtl/>
        </w:rPr>
        <w:t xml:space="preserve"> مُّسْلِمًا</w:t>
      </w:r>
      <w:r w:rsidR="00744A1C">
        <w:rPr>
          <w:rtl/>
          <w:lang w:bidi="fa-IR"/>
        </w:rPr>
        <w:t xml:space="preserve"> </w:t>
      </w:r>
      <w:r w:rsidR="00744A1C" w:rsidRPr="00F00A59">
        <w:rPr>
          <w:rStyle w:val="libFootnoteAlaemChar"/>
          <w:rtl/>
        </w:rPr>
        <w:t>)</w:t>
      </w:r>
      <w:r w:rsidR="00744A1C">
        <w:rPr>
          <w:rtl/>
          <w:lang w:bidi="fa-IR"/>
        </w:rPr>
        <w:t xml:space="preserve">.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حنيفاً ، يحتمل أن يكون هذا على‌سبيل الاختصار ، والمراد إلى آخر الآيات ، كما ورد في غيره من الأخبار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الفقيه</w:t>
      </w:r>
      <w:r w:rsidR="00744A1C">
        <w:rPr>
          <w:rtl/>
          <w:lang w:bidi="fa-IR"/>
        </w:rPr>
        <w:t xml:space="preserve"> ، ج 2 ، ص 503 ، ح 3081 ، معلّقاً عن الحلبي ، من دون التصريح باسم المعصوم </w:t>
      </w:r>
      <w:r w:rsidR="0061079A" w:rsidRPr="0061079A">
        <w:rPr>
          <w:rStyle w:val="libFootnoteAlaemChar"/>
          <w:rtl/>
        </w:rPr>
        <w:t>عليه‌السلام</w:t>
      </w:r>
      <w:r w:rsidR="00744A1C">
        <w:rPr>
          <w:rtl/>
          <w:lang w:bidi="fa-IR"/>
        </w:rPr>
        <w:t xml:space="preserve"> . وفي </w:t>
      </w:r>
      <w:r w:rsidR="00744A1C" w:rsidRPr="00C24F9C">
        <w:rPr>
          <w:rStyle w:val="libFootnoteBoldChar"/>
          <w:rtl/>
        </w:rPr>
        <w:t>التهذيب</w:t>
      </w:r>
      <w:r w:rsidR="00744A1C">
        <w:rPr>
          <w:rtl/>
          <w:lang w:bidi="fa-IR"/>
        </w:rPr>
        <w:t xml:space="preserve"> ، ج 9 ، ص 64 ، ح 273 ؛ </w:t>
      </w:r>
      <w:r w:rsidR="00744A1C" w:rsidRPr="00C24F9C">
        <w:rPr>
          <w:rStyle w:val="libFootnoteBoldChar"/>
          <w:rtl/>
        </w:rPr>
        <w:t>والاستبصار</w:t>
      </w:r>
      <w:r w:rsidR="00744A1C">
        <w:rPr>
          <w:rtl/>
          <w:lang w:bidi="fa-IR"/>
        </w:rPr>
        <w:t xml:space="preserve"> ، ج 4 ، ص 82 ، ح 306 ، بسند آخر ، إلى قوله : « فلتذبح لنفسها » مع اختلاف يسير. وراجع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224 </w:t>
      </w:r>
      <w:r w:rsidR="00F00A59">
        <w:rPr>
          <w:rFonts w:hint="cs"/>
          <w:rtl/>
          <w:lang w:bidi="fa-IR"/>
        </w:rPr>
        <w:t>.</w:t>
      </w:r>
      <w:r w:rsidR="00744A1C" w:rsidRPr="00C24F9C">
        <w:rPr>
          <w:rStyle w:val="libFootnoteBoldChar"/>
          <w:rtl/>
        </w:rPr>
        <w:t>الوافي</w:t>
      </w:r>
      <w:r w:rsidR="00744A1C">
        <w:rPr>
          <w:rtl/>
          <w:lang w:bidi="fa-IR"/>
        </w:rPr>
        <w:t xml:space="preserve"> ، ج 14 ، ص 1157 ، ح 13992 ؛ </w:t>
      </w:r>
      <w:r w:rsidR="00744A1C" w:rsidRPr="00C24F9C">
        <w:rPr>
          <w:rStyle w:val="libFootnoteBoldChar"/>
          <w:rtl/>
        </w:rPr>
        <w:t>الوسائل</w:t>
      </w:r>
      <w:r w:rsidR="00744A1C">
        <w:rPr>
          <w:rtl/>
          <w:lang w:bidi="fa-IR"/>
        </w:rPr>
        <w:t xml:space="preserve"> ، ج 14 ، ص 150 ، ذيل ح 18843 ؛ وفيه ، ج 24 ، ص 65 ، ذيل ح 30008 ، إلى قوله : « أضحيتك ».</w:t>
      </w:r>
    </w:p>
    <w:p w:rsidR="00744A1C" w:rsidRDefault="00E378DD" w:rsidP="00E378DD">
      <w:pPr>
        <w:pStyle w:val="libFootnote0"/>
        <w:rPr>
          <w:lang w:bidi="fa-IR"/>
        </w:rPr>
      </w:pPr>
      <w:r>
        <w:rPr>
          <w:rtl/>
          <w:lang w:bidi="fa-IR"/>
        </w:rPr>
        <w:t>(8).</w:t>
      </w:r>
      <w:r w:rsidR="00744A1C">
        <w:rPr>
          <w:rtl/>
          <w:lang w:bidi="fa-IR"/>
        </w:rPr>
        <w:t xml:space="preserve"> الضمير راجع إلى ابن أبي عمير المذكور في السند السابق.</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و</w:t>
      </w:r>
      <w:r w:rsidR="00744A1C" w:rsidRPr="0061079A">
        <w:rPr>
          <w:rStyle w:val="libFootnoteBoldChar"/>
          <w:rtl/>
        </w:rPr>
        <w:t>الكافي</w:t>
      </w:r>
      <w:r w:rsidR="00744A1C">
        <w:rPr>
          <w:rtl/>
          <w:lang w:bidi="fa-IR"/>
        </w:rPr>
        <w:t xml:space="preserve"> ، ح 7061 و</w:t>
      </w:r>
      <w:r w:rsidR="00744A1C" w:rsidRPr="00C24F9C">
        <w:rPr>
          <w:rStyle w:val="libFootnoteBoldChar"/>
          <w:rtl/>
        </w:rPr>
        <w:t>الفقيه</w:t>
      </w:r>
      <w:r w:rsidR="00744A1C">
        <w:rPr>
          <w:rtl/>
          <w:lang w:bidi="fa-IR"/>
        </w:rPr>
        <w:t xml:space="preserve"> : « يضع ».</w:t>
      </w:r>
    </w:p>
    <w:p w:rsidR="00744A1C" w:rsidRDefault="00E378DD" w:rsidP="00E378DD">
      <w:pPr>
        <w:pStyle w:val="libFootnote0"/>
        <w:rPr>
          <w:lang w:bidi="fa-IR"/>
        </w:rPr>
      </w:pPr>
      <w:r>
        <w:rPr>
          <w:rtl/>
          <w:lang w:bidi="fa-IR"/>
        </w:rPr>
        <w:t>(10).</w:t>
      </w:r>
      <w:r w:rsidR="00744A1C">
        <w:rPr>
          <w:rtl/>
          <w:lang w:bidi="fa-IR"/>
        </w:rPr>
        <w:t xml:space="preserve"> في « ى » : « يدي » بدل « يد الصبيّ ». وفي حاشية « بث » : « يده » بدلها.</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الوسائل</w:t>
      </w:r>
      <w:r w:rsidR="00744A1C">
        <w:rPr>
          <w:rtl/>
          <w:lang w:bidi="fa-IR"/>
        </w:rPr>
        <w:t xml:space="preserve"> و</w:t>
      </w:r>
      <w:r w:rsidR="00744A1C" w:rsidRPr="0061079A">
        <w:rPr>
          <w:rStyle w:val="libFootnoteBoldChar"/>
          <w:rtl/>
        </w:rPr>
        <w:t>الكافي</w:t>
      </w:r>
      <w:r w:rsidR="00744A1C">
        <w:rPr>
          <w:rtl/>
          <w:lang w:bidi="fa-IR"/>
        </w:rPr>
        <w:t xml:space="preserve"> ، ح 7061 : « على يديه الرجل ». وفي </w:t>
      </w:r>
      <w:r w:rsidR="00744A1C" w:rsidRPr="00C24F9C">
        <w:rPr>
          <w:rStyle w:val="libFootnoteBoldChar"/>
          <w:rtl/>
        </w:rPr>
        <w:t>الفقيه</w:t>
      </w:r>
      <w:r w:rsidR="00744A1C">
        <w:rPr>
          <w:rtl/>
          <w:lang w:bidi="fa-IR"/>
        </w:rPr>
        <w:t xml:space="preserve"> : « على يده الرجل » كلاهما بدل « الرجل </w:t>
      </w:r>
      <w:r w:rsidR="00F00A59">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فَيَذْبَحُ </w:t>
      </w:r>
      <w:r w:rsidRPr="00D10E3C">
        <w:rPr>
          <w:rStyle w:val="libFootnotenumChar"/>
          <w:rtl/>
        </w:rPr>
        <w:t>(1)</w:t>
      </w:r>
      <w:r>
        <w:rPr>
          <w:rtl/>
          <w:lang w:bidi="fa-IR"/>
        </w:rPr>
        <w:t xml:space="preserve"> ». </w:t>
      </w:r>
      <w:r w:rsidRPr="00D10E3C">
        <w:rPr>
          <w:rStyle w:val="libFootnotenumChar"/>
          <w:rtl/>
        </w:rPr>
        <w:t>(2)</w:t>
      </w:r>
    </w:p>
    <w:p w:rsidR="00296F12" w:rsidRDefault="00744A1C" w:rsidP="00296F12">
      <w:pPr>
        <w:pStyle w:val="libNormal"/>
        <w:rPr>
          <w:rtl/>
          <w:lang w:bidi="fa-IR"/>
        </w:rPr>
      </w:pPr>
      <w:r>
        <w:rPr>
          <w:rtl/>
          <w:lang w:bidi="fa-IR"/>
        </w:rPr>
        <w:t>7883 / 6. عَلِيُّ بْنُ إِبْرَاهِيمَ ، عَنْ أَبِيهِ ؛</w:t>
      </w:r>
    </w:p>
    <w:p w:rsidR="00144FA6" w:rsidRDefault="00296F12" w:rsidP="00296F12">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(3)</w:t>
      </w:r>
      <w:r w:rsidR="00744A1C">
        <w:rPr>
          <w:rtl/>
          <w:lang w:bidi="fa-IR"/>
        </w:rPr>
        <w:t xml:space="preserve"> مُحَمَّدُ بْنُ إِسْمَاعِيلَ ، عَنِ الْفَضْلِ بْنِ شَاذَانَ ، عَنْ صَفْوَانَ وَابْنِ أَبِي عُمَيْرٍ </w:t>
      </w:r>
      <w:r w:rsidR="00744A1C" w:rsidRPr="00D10E3C">
        <w:rPr>
          <w:rStyle w:val="libFootnotenumChar"/>
          <w:rtl/>
        </w:rPr>
        <w:t>(4)</w:t>
      </w:r>
      <w:r w:rsidR="00744A1C">
        <w:rPr>
          <w:rtl/>
          <w:lang w:bidi="fa-IR"/>
        </w:rPr>
        <w:t xml:space="preserve">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إِذَا اشْتَرَيْتَ هَدْيَكَ ، فَاسْتَقْبِلْ بِهِ الْقِبْلَةَ </w:t>
      </w:r>
      <w:r w:rsidRPr="00D10E3C">
        <w:rPr>
          <w:rStyle w:val="libFootnotenumChar"/>
          <w:rtl/>
        </w:rPr>
        <w:t>(5)</w:t>
      </w:r>
      <w:r>
        <w:rPr>
          <w:rtl/>
          <w:lang w:bidi="fa-IR"/>
        </w:rPr>
        <w:t xml:space="preserve"> ، وَانْحَرْهُ أَوِ اذْبَحْهُ ، وَقُلْ : </w:t>
      </w:r>
      <w:r w:rsidRPr="00296F12">
        <w:rPr>
          <w:rStyle w:val="libAlaemChar"/>
          <w:rtl/>
        </w:rPr>
        <w:t>(</w:t>
      </w:r>
      <w:r w:rsidRPr="00296F12">
        <w:rPr>
          <w:rStyle w:val="libAieChar"/>
          <w:rtl/>
        </w:rPr>
        <w:t xml:space="preserve"> وَجَّهْتُ وَجْهِيَ لِلَّذِي فَطَرَ السَّماواتِ وَالْأَرْضَ حَنِيفاً</w:t>
      </w:r>
      <w:r>
        <w:rPr>
          <w:rtl/>
          <w:lang w:bidi="fa-IR"/>
        </w:rPr>
        <w:t xml:space="preserve"> </w:t>
      </w:r>
      <w:r w:rsidRPr="00D10E3C">
        <w:rPr>
          <w:rStyle w:val="libFootnotenumChar"/>
          <w:rtl/>
        </w:rPr>
        <w:t>(6)</w:t>
      </w:r>
      <w:r w:rsidRPr="00296F12">
        <w:rPr>
          <w:rStyle w:val="libAieChar"/>
          <w:rtl/>
        </w:rPr>
        <w:t xml:space="preserve"> وَما أَنَا مِنَ الْمُشْرِكِينَ </w:t>
      </w:r>
      <w:r w:rsidRPr="00296F12">
        <w:rPr>
          <w:rStyle w:val="libAlaemChar"/>
          <w:rtl/>
        </w:rPr>
        <w:t>)</w:t>
      </w:r>
      <w:r>
        <w:rPr>
          <w:rtl/>
          <w:lang w:bidi="fa-IR"/>
        </w:rPr>
        <w:t xml:space="preserve"> </w:t>
      </w:r>
      <w:r w:rsidRPr="00D10E3C">
        <w:rPr>
          <w:rStyle w:val="libFootnotenumChar"/>
          <w:rtl/>
        </w:rPr>
        <w:t>(7)</w:t>
      </w:r>
      <w:r>
        <w:rPr>
          <w:rtl/>
          <w:lang w:bidi="fa-IR"/>
        </w:rPr>
        <w:t xml:space="preserve"> ، </w:t>
      </w:r>
      <w:r w:rsidRPr="00296F12">
        <w:rPr>
          <w:rStyle w:val="libAlaemChar"/>
          <w:rtl/>
        </w:rPr>
        <w:t>(</w:t>
      </w:r>
      <w:r>
        <w:rPr>
          <w:rtl/>
          <w:lang w:bidi="fa-IR"/>
        </w:rPr>
        <w:t xml:space="preserve"> </w:t>
      </w:r>
      <w:r w:rsidRPr="00296F12">
        <w:rPr>
          <w:rStyle w:val="libAieChar"/>
          <w:rtl/>
        </w:rPr>
        <w:t>إِنَّ</w:t>
      </w:r>
      <w:r>
        <w:rPr>
          <w:rtl/>
          <w:lang w:bidi="fa-IR"/>
        </w:rPr>
        <w:t xml:space="preserve"> </w:t>
      </w:r>
      <w:r w:rsidRPr="00296F12">
        <w:rPr>
          <w:rStyle w:val="libAieChar"/>
          <w:rtl/>
        </w:rPr>
        <w:t xml:space="preserve">صَلاتِي وَنُسُكِي وَمَحْيايَ وَمَماتِي لِلّهِ رَبِّ الْعالَمِينَ </w:t>
      </w:r>
      <w:r w:rsidR="00296F12">
        <w:rPr>
          <w:rStyle w:val="libAieChar"/>
          <w:rFonts w:hint="cs"/>
          <w:rtl/>
        </w:rPr>
        <w:t xml:space="preserve">* </w:t>
      </w:r>
      <w:r w:rsidRPr="00296F12">
        <w:rPr>
          <w:rStyle w:val="libAieChar"/>
          <w:rtl/>
        </w:rPr>
        <w:t>ل</w:t>
      </w:r>
      <w:r w:rsidR="00296F12">
        <w:rPr>
          <w:rStyle w:val="libAieChar"/>
          <w:rFonts w:hint="cs"/>
          <w:rtl/>
        </w:rPr>
        <w:t>َ</w:t>
      </w:r>
      <w:r w:rsidRPr="00296F12">
        <w:rPr>
          <w:rStyle w:val="libAieChar"/>
          <w:rtl/>
        </w:rPr>
        <w:t xml:space="preserve">ا شَرِيكَ لَهُ وَبِذلِكَ أُمِرْتُ وَأَنَا من </w:t>
      </w:r>
      <w:r w:rsidRPr="00D10E3C">
        <w:rPr>
          <w:rStyle w:val="libFootnotenumChar"/>
          <w:rtl/>
        </w:rPr>
        <w:t>(8)</w:t>
      </w:r>
      <w:r w:rsidRPr="00296F12">
        <w:rPr>
          <w:rStyle w:val="libAieChar"/>
          <w:rtl/>
        </w:rPr>
        <w:t xml:space="preserve"> الْمُسْلِمِينَ</w:t>
      </w:r>
      <w:r>
        <w:rPr>
          <w:rtl/>
          <w:lang w:bidi="fa-IR"/>
        </w:rPr>
        <w:t xml:space="preserve"> </w:t>
      </w:r>
      <w:r w:rsidRPr="00296F12">
        <w:rPr>
          <w:rStyle w:val="libAlaemChar"/>
          <w:rtl/>
        </w:rPr>
        <w:t>)</w:t>
      </w:r>
      <w:r>
        <w:rPr>
          <w:rtl/>
          <w:lang w:bidi="fa-IR"/>
        </w:rPr>
        <w:t xml:space="preserve"> </w:t>
      </w:r>
      <w:r w:rsidRPr="00D10E3C">
        <w:rPr>
          <w:rStyle w:val="libFootnotenumChar"/>
          <w:rtl/>
        </w:rPr>
        <w:t>(9)</w:t>
      </w:r>
      <w:r>
        <w:rPr>
          <w:rtl/>
          <w:lang w:bidi="fa-IR"/>
        </w:rPr>
        <w:t xml:space="preserve"> الل</w:t>
      </w:r>
      <w:r w:rsidR="00296F12">
        <w:rPr>
          <w:rFonts w:hint="cs"/>
          <w:rtl/>
          <w:lang w:bidi="fa-IR"/>
        </w:rPr>
        <w:t>ّ</w:t>
      </w:r>
      <w:r>
        <w:rPr>
          <w:rtl/>
          <w:lang w:bidi="fa-IR"/>
        </w:rPr>
        <w:t xml:space="preserve">هُمَّ مِنْكَ </w:t>
      </w:r>
      <w:r w:rsidRPr="00D10E3C">
        <w:rPr>
          <w:rStyle w:val="libFootnotenumChar"/>
          <w:rtl/>
        </w:rPr>
        <w:t>(10)</w:t>
      </w:r>
      <w:r>
        <w:rPr>
          <w:rtl/>
          <w:lang w:bidi="fa-IR"/>
        </w:rPr>
        <w:t xml:space="preserve"> وَلَكَ </w:t>
      </w:r>
      <w:r w:rsidRPr="00D10E3C">
        <w:rPr>
          <w:rStyle w:val="libFootnotenumChar"/>
          <w:rtl/>
        </w:rPr>
        <w:t>(11)</w:t>
      </w:r>
      <w:r>
        <w:rPr>
          <w:rtl/>
          <w:lang w:bidi="fa-IR"/>
        </w:rPr>
        <w:t xml:space="preserve"> ، بِسْمِ اللهِ </w:t>
      </w:r>
      <w:r w:rsidRPr="00D10E3C">
        <w:rPr>
          <w:rStyle w:val="libFootnotenumChar"/>
          <w:rtl/>
        </w:rPr>
        <w:t>(12)</w:t>
      </w:r>
      <w:r>
        <w:rPr>
          <w:rtl/>
          <w:lang w:bidi="fa-IR"/>
        </w:rPr>
        <w:t xml:space="preserve"> ، وَاللهُ أَكْبَرُ ، الل</w:t>
      </w:r>
      <w:r w:rsidR="00296F12">
        <w:rPr>
          <w:rFonts w:hint="cs"/>
          <w:rtl/>
          <w:lang w:bidi="fa-IR"/>
        </w:rPr>
        <w:t>ّ</w:t>
      </w:r>
      <w:r>
        <w:rPr>
          <w:rtl/>
          <w:lang w:bidi="fa-IR"/>
        </w:rPr>
        <w:t xml:space="preserve">هُمَّ تَقَبَّلْ مِنِّي </w:t>
      </w:r>
      <w:r w:rsidRPr="00D10E3C">
        <w:rPr>
          <w:rStyle w:val="libFootnotenumChar"/>
          <w:rtl/>
        </w:rPr>
        <w:t>(13)</w:t>
      </w:r>
      <w:r>
        <w:rPr>
          <w:rtl/>
          <w:lang w:bidi="fa-IR"/>
        </w:rPr>
        <w:t xml:space="preserve"> ؛ ثُمَّ أَمِرَّ‌</w:t>
      </w:r>
    </w:p>
    <w:p w:rsidR="00744A1C" w:rsidRDefault="00744A1C" w:rsidP="00D10E3C">
      <w:pPr>
        <w:pStyle w:val="libLine"/>
        <w:rPr>
          <w:lang w:bidi="fa-IR"/>
        </w:rPr>
      </w:pPr>
      <w:r>
        <w:rPr>
          <w:rtl/>
          <w:lang w:bidi="fa-IR"/>
        </w:rPr>
        <w:t>____________________</w:t>
      </w:r>
    </w:p>
    <w:p w:rsidR="00744A1C" w:rsidRDefault="00296F12" w:rsidP="00D10E3C">
      <w:pPr>
        <w:pStyle w:val="libFootnote0"/>
        <w:rPr>
          <w:lang w:bidi="fa-IR"/>
        </w:rPr>
      </w:pPr>
      <w:r>
        <w:rPr>
          <w:rFonts w:hint="cs"/>
          <w:rtl/>
          <w:lang w:bidi="fa-IR"/>
        </w:rPr>
        <w:t xml:space="preserve">= </w:t>
      </w:r>
      <w:r w:rsidR="00744A1C">
        <w:rPr>
          <w:rtl/>
          <w:lang w:bidi="fa-IR"/>
        </w:rPr>
        <w:t>على يد الصبيّ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هو في المشهور محمول على الاستحباب ».</w:t>
      </w:r>
    </w:p>
    <w:p w:rsidR="00744A1C" w:rsidRDefault="00E378DD" w:rsidP="00E378DD">
      <w:pPr>
        <w:pStyle w:val="libFootnote0"/>
        <w:rPr>
          <w:lang w:bidi="fa-IR"/>
        </w:rPr>
      </w:pPr>
      <w:r>
        <w:rPr>
          <w:rtl/>
          <w:lang w:bidi="fa-IR"/>
        </w:rPr>
        <w:t>(2).</w:t>
      </w:r>
      <w:r w:rsidR="00744A1C">
        <w:rPr>
          <w:rtl/>
          <w:lang w:bidi="fa-IR"/>
        </w:rPr>
        <w:t xml:space="preserve"> </w:t>
      </w:r>
      <w:r w:rsidR="00744A1C" w:rsidRPr="0061079A">
        <w:rPr>
          <w:rStyle w:val="libFootnoteBoldChar"/>
          <w:rtl/>
        </w:rPr>
        <w:t>الكافي</w:t>
      </w:r>
      <w:r w:rsidR="00744A1C">
        <w:rPr>
          <w:rtl/>
          <w:lang w:bidi="fa-IR"/>
        </w:rPr>
        <w:t xml:space="preserve"> ، كتاب الحجّ ، باب حجّ الصبيان والمماليك ، ح 7061. وفي </w:t>
      </w:r>
      <w:r w:rsidR="00744A1C" w:rsidRPr="00C24F9C">
        <w:rPr>
          <w:rStyle w:val="libFootnoteBoldChar"/>
          <w:rtl/>
        </w:rPr>
        <w:t>الفقيه</w:t>
      </w:r>
      <w:r w:rsidR="00744A1C">
        <w:rPr>
          <w:rtl/>
          <w:lang w:bidi="fa-IR"/>
        </w:rPr>
        <w:t xml:space="preserve"> ، ج 2 ، ص 434 ، ذيل ح 2896 ، معلّقاً عن معاوية بن عمّار </w:t>
      </w:r>
      <w:r w:rsidR="00296F12">
        <w:rPr>
          <w:rFonts w:hint="cs"/>
          <w:rtl/>
          <w:lang w:bidi="fa-IR"/>
        </w:rPr>
        <w:t>.</w:t>
      </w:r>
      <w:r w:rsidR="00744A1C" w:rsidRPr="00C24F9C">
        <w:rPr>
          <w:rStyle w:val="libFootnoteBoldChar"/>
          <w:rtl/>
        </w:rPr>
        <w:t>الوافي</w:t>
      </w:r>
      <w:r w:rsidR="00744A1C">
        <w:rPr>
          <w:rtl/>
          <w:lang w:bidi="fa-IR"/>
        </w:rPr>
        <w:t xml:space="preserve"> ، ج 14 ، ص 1158 ، ح 13994 ؛ </w:t>
      </w:r>
      <w:r w:rsidR="00744A1C" w:rsidRPr="00C24F9C">
        <w:rPr>
          <w:rStyle w:val="libFootnoteBoldChar"/>
          <w:rtl/>
        </w:rPr>
        <w:t>الوسائل</w:t>
      </w:r>
      <w:r w:rsidR="00744A1C">
        <w:rPr>
          <w:rtl/>
          <w:lang w:bidi="fa-IR"/>
        </w:rPr>
        <w:t xml:space="preserve"> ، ج 14 ، ص 151 ، ح 18844.</w:t>
      </w:r>
    </w:p>
    <w:p w:rsidR="00744A1C" w:rsidRDefault="00E378DD" w:rsidP="00E378DD">
      <w:pPr>
        <w:pStyle w:val="libFootnote0"/>
        <w:rPr>
          <w:lang w:bidi="fa-IR"/>
        </w:rPr>
      </w:pPr>
      <w:r>
        <w:rPr>
          <w:rtl/>
          <w:lang w:bidi="fa-IR"/>
        </w:rPr>
        <w:t>(3).</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(4).</w:t>
      </w:r>
      <w:r w:rsidR="00744A1C">
        <w:rPr>
          <w:rtl/>
          <w:lang w:bidi="fa-IR"/>
        </w:rPr>
        <w:t xml:space="preserve"> روى الشيخ الصدوق الخبر في </w:t>
      </w:r>
      <w:r w:rsidR="00744A1C" w:rsidRPr="00C24F9C">
        <w:rPr>
          <w:rStyle w:val="libFootnoteBoldChar"/>
          <w:rtl/>
        </w:rPr>
        <w:t>الفقيه</w:t>
      </w:r>
      <w:r w:rsidR="00744A1C">
        <w:rPr>
          <w:rtl/>
          <w:lang w:bidi="fa-IR"/>
        </w:rPr>
        <w:t xml:space="preserve"> ، ج 2 ، ص 503 ، ح 3084 ، قال : « وروى معاوية بن عمّار عنه </w:t>
      </w:r>
      <w:r w:rsidR="0061079A" w:rsidRPr="0061079A">
        <w:rPr>
          <w:rStyle w:val="libFootnoteAlaemChar"/>
          <w:rtl/>
        </w:rPr>
        <w:t>عليه‌السلام</w:t>
      </w:r>
      <w:r w:rsidR="00D10E3C">
        <w:rPr>
          <w:rtl/>
          <w:lang w:bidi="fa-IR"/>
        </w:rPr>
        <w:t xml:space="preserve"> </w:t>
      </w:r>
      <w:r w:rsidR="00744A1C">
        <w:rPr>
          <w:rtl/>
          <w:lang w:bidi="fa-IR"/>
        </w:rPr>
        <w:t>- والضمير راجع إلى أبي عبد الله - ».</w:t>
      </w:r>
    </w:p>
    <w:p w:rsidR="00744A1C" w:rsidRDefault="00744A1C" w:rsidP="00D10E3C">
      <w:pPr>
        <w:pStyle w:val="libFootnote0"/>
        <w:rPr>
          <w:lang w:bidi="fa-IR"/>
        </w:rPr>
      </w:pPr>
      <w:r>
        <w:rPr>
          <w:rtl/>
          <w:lang w:bidi="fa-IR"/>
        </w:rPr>
        <w:t>والظاهر في ما نحن فيه ، سقوط « عن معاوية [ بن عمّار ] » من السند. ويؤيّد ذلك الإتيان ب- « قال » مفرداً بعد العنوانين المعطوفين : صفوان وابن أبي عمير.</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فاستقبل به القبلة ، ظاهره جعل الذبيحة مقابلة للقبلة ، وربما يفهم منه استقبال الذابح‌أيضاً ، وفيه نظر ».</w:t>
      </w:r>
    </w:p>
    <w:p w:rsidR="00744A1C" w:rsidRDefault="00E378DD" w:rsidP="00E378DD">
      <w:pPr>
        <w:pStyle w:val="libFootnote0"/>
        <w:rPr>
          <w:lang w:bidi="fa-IR"/>
        </w:rPr>
      </w:pPr>
      <w:r>
        <w:rPr>
          <w:rtl/>
          <w:lang w:bidi="fa-IR"/>
        </w:rPr>
        <w:t>(6).</w:t>
      </w:r>
      <w:r w:rsidR="00744A1C">
        <w:rPr>
          <w:rtl/>
          <w:lang w:bidi="fa-IR"/>
        </w:rPr>
        <w:t xml:space="preserve"> في « ى ، بح ، بخ ، بف » </w:t>
      </w:r>
      <w:r w:rsidR="00744A1C" w:rsidRPr="00596830">
        <w:rPr>
          <w:rtl/>
        </w:rPr>
        <w:t>والوافي والفقيه وفقه الرضا</w:t>
      </w:r>
      <w:r w:rsidR="00744A1C">
        <w:rPr>
          <w:rtl/>
          <w:lang w:bidi="fa-IR"/>
        </w:rPr>
        <w:t xml:space="preserve"> ومسائل عليّ بن جعفر : + « مسلماً ».</w:t>
      </w:r>
    </w:p>
    <w:p w:rsidR="00744A1C" w:rsidRDefault="00E378DD" w:rsidP="00426338">
      <w:pPr>
        <w:pStyle w:val="libFootnote0"/>
        <w:rPr>
          <w:lang w:bidi="fa-IR"/>
        </w:rPr>
      </w:pPr>
      <w:r>
        <w:rPr>
          <w:rtl/>
          <w:lang w:bidi="fa-IR"/>
        </w:rPr>
        <w:t>(7).</w:t>
      </w:r>
      <w:r w:rsidR="00744A1C">
        <w:rPr>
          <w:rtl/>
          <w:lang w:bidi="fa-IR"/>
        </w:rPr>
        <w:t xml:space="preserve"> الأنعام </w:t>
      </w:r>
      <w:r w:rsidR="00426338">
        <w:rPr>
          <w:rtl/>
          <w:lang w:bidi="fa-IR"/>
        </w:rPr>
        <w:t>(6)</w:t>
      </w:r>
      <w:r w:rsidR="00744A1C">
        <w:rPr>
          <w:rtl/>
          <w:lang w:bidi="fa-IR"/>
        </w:rPr>
        <w:t xml:space="preserve"> : 79.</w:t>
      </w:r>
      <w:r w:rsidR="00426338">
        <w:rPr>
          <w:rFonts w:hint="cs"/>
          <w:rtl/>
          <w:lang w:bidi="fa-IR"/>
        </w:rPr>
        <w:t xml:space="preserve">        </w:t>
      </w:r>
      <w:r>
        <w:rPr>
          <w:rtl/>
          <w:lang w:bidi="fa-IR"/>
        </w:rPr>
        <w:t>(8).</w:t>
      </w:r>
      <w:r w:rsidR="00426338">
        <w:rPr>
          <w:rtl/>
          <w:lang w:bidi="fa-IR"/>
        </w:rPr>
        <w:t xml:space="preserve"> في</w:t>
      </w:r>
      <w:r w:rsidR="00744A1C">
        <w:rPr>
          <w:rtl/>
          <w:lang w:bidi="fa-IR"/>
        </w:rPr>
        <w:t xml:space="preserve">« بخ » : « فأنا أوّل » بدل « وأنا من ». وفي </w:t>
      </w:r>
      <w:r w:rsidR="00744A1C" w:rsidRPr="00C24F9C">
        <w:rPr>
          <w:rStyle w:val="libFootnoteBoldChar"/>
          <w:rtl/>
        </w:rPr>
        <w:t>الوافي</w:t>
      </w:r>
      <w:r w:rsidR="00744A1C">
        <w:rPr>
          <w:rtl/>
          <w:lang w:bidi="fa-IR"/>
        </w:rPr>
        <w:t xml:space="preserve"> : « وأنا أوّل » بدلها.</w:t>
      </w:r>
    </w:p>
    <w:tbl>
      <w:tblPr>
        <w:tblStyle w:val="TableGrid"/>
        <w:bidiVisual/>
        <w:tblW w:w="0" w:type="auto"/>
        <w:tblLook w:val="04A0" w:firstRow="1" w:lastRow="0" w:firstColumn="1" w:lastColumn="0" w:noHBand="0" w:noVBand="1"/>
      </w:tblPr>
      <w:tblGrid>
        <w:gridCol w:w="4006"/>
        <w:gridCol w:w="4006"/>
      </w:tblGrid>
      <w:tr w:rsidR="00426338" w:rsidTr="00426338">
        <w:tc>
          <w:tcPr>
            <w:tcW w:w="4006" w:type="dxa"/>
          </w:tcPr>
          <w:p w:rsidR="00426338" w:rsidRDefault="00426338" w:rsidP="00E378DD">
            <w:pPr>
              <w:pStyle w:val="libFootnote0"/>
              <w:rPr>
                <w:rtl/>
                <w:lang w:bidi="fa-IR"/>
              </w:rPr>
            </w:pPr>
            <w:r>
              <w:rPr>
                <w:rtl/>
                <w:lang w:bidi="fa-IR"/>
              </w:rPr>
              <w:t>(9). الأنعام (6) : 162 - 163.</w:t>
            </w:r>
          </w:p>
        </w:tc>
        <w:tc>
          <w:tcPr>
            <w:tcW w:w="4006" w:type="dxa"/>
          </w:tcPr>
          <w:p w:rsidR="00426338" w:rsidRDefault="00426338" w:rsidP="00E378DD">
            <w:pPr>
              <w:pStyle w:val="libFootnote0"/>
              <w:rPr>
                <w:rtl/>
                <w:lang w:bidi="fa-IR"/>
              </w:rPr>
            </w:pPr>
            <w:r>
              <w:rPr>
                <w:rtl/>
                <w:lang w:bidi="fa-IR"/>
              </w:rPr>
              <w:t xml:space="preserve">(10). في </w:t>
            </w:r>
            <w:r w:rsidRPr="003A7143">
              <w:rPr>
                <w:rStyle w:val="libFootnoteBoldChar"/>
                <w:rtl/>
              </w:rPr>
              <w:t>فقه الرضا</w:t>
            </w:r>
            <w:r>
              <w:rPr>
                <w:rtl/>
                <w:lang w:bidi="fa-IR"/>
              </w:rPr>
              <w:t xml:space="preserve"> : + « وبك ».</w:t>
            </w:r>
          </w:p>
        </w:tc>
      </w:tr>
    </w:tbl>
    <w:p w:rsidR="00744A1C" w:rsidRDefault="00E378DD" w:rsidP="00E378DD">
      <w:pPr>
        <w:pStyle w:val="libFootnote0"/>
        <w:rPr>
          <w:lang w:bidi="fa-IR"/>
        </w:rPr>
      </w:pPr>
      <w:r>
        <w:rPr>
          <w:rtl/>
          <w:lang w:bidi="fa-IR"/>
        </w:rPr>
        <w:t>(11).</w:t>
      </w:r>
      <w:r w:rsidR="00744A1C">
        <w:rPr>
          <w:rtl/>
          <w:lang w:bidi="fa-IR"/>
        </w:rPr>
        <w:t xml:space="preserve"> في </w:t>
      </w:r>
      <w:r w:rsidR="00744A1C" w:rsidRPr="003A7143">
        <w:rPr>
          <w:rStyle w:val="libFootnoteBoldChar"/>
          <w:rtl/>
        </w:rPr>
        <w:t>فقه الرضا</w:t>
      </w:r>
      <w:r w:rsidR="00744A1C">
        <w:rPr>
          <w:rtl/>
          <w:lang w:bidi="fa-IR"/>
        </w:rPr>
        <w:t xml:space="preserve"> : + « وإليك ».</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التهذيب</w:t>
      </w:r>
      <w:r w:rsidR="00744A1C">
        <w:rPr>
          <w:rtl/>
          <w:lang w:bidi="fa-IR"/>
        </w:rPr>
        <w:t xml:space="preserve"> : + « وبالله ». وفي </w:t>
      </w:r>
      <w:r w:rsidR="00744A1C" w:rsidRPr="003A7143">
        <w:rPr>
          <w:rStyle w:val="libFootnoteBoldChar"/>
          <w:rtl/>
        </w:rPr>
        <w:t>فقه الرضا</w:t>
      </w:r>
      <w:r w:rsidR="00744A1C">
        <w:rPr>
          <w:rtl/>
          <w:lang w:bidi="fa-IR"/>
        </w:rPr>
        <w:t xml:space="preserve"> : + « الرحمن الرحيم ». وفي مسائل علي</w:t>
      </w:r>
      <w:r w:rsidR="00426338">
        <w:rPr>
          <w:rtl/>
          <w:lang w:bidi="fa-IR"/>
        </w:rPr>
        <w:t>ّ بن جعفر : + « الذي لا إله إل</w:t>
      </w:r>
      <w:r w:rsidR="00426338">
        <w:rPr>
          <w:rFonts w:hint="cs"/>
          <w:rtl/>
          <w:lang w:bidi="fa-IR"/>
        </w:rPr>
        <w:t>ّ</w:t>
      </w:r>
      <w:r w:rsidR="00426338">
        <w:rPr>
          <w:rtl/>
          <w:lang w:bidi="fa-IR"/>
        </w:rPr>
        <w:t>ا</w:t>
      </w:r>
      <w:r w:rsidR="00744A1C">
        <w:rPr>
          <w:rtl/>
          <w:lang w:bidi="fa-IR"/>
        </w:rPr>
        <w:t>هو ».</w:t>
      </w:r>
    </w:p>
    <w:p w:rsidR="00744A1C" w:rsidRDefault="00E378DD" w:rsidP="00426338">
      <w:pPr>
        <w:pStyle w:val="libFootnote0"/>
        <w:rPr>
          <w:lang w:bidi="fa-IR"/>
        </w:rPr>
      </w:pPr>
      <w:r>
        <w:rPr>
          <w:rtl/>
          <w:lang w:bidi="fa-IR"/>
        </w:rPr>
        <w:t>(13).</w:t>
      </w:r>
      <w:r w:rsidR="00744A1C">
        <w:rPr>
          <w:rtl/>
          <w:lang w:bidi="fa-IR"/>
        </w:rPr>
        <w:t xml:space="preserve"> في </w:t>
      </w:r>
      <w:r w:rsidR="00744A1C" w:rsidRPr="003A7143">
        <w:rPr>
          <w:rStyle w:val="libFootnoteBoldChar"/>
          <w:rtl/>
        </w:rPr>
        <w:t>فقه الرضا</w:t>
      </w:r>
      <w:r w:rsidR="00744A1C">
        <w:rPr>
          <w:rtl/>
          <w:lang w:bidi="fa-IR"/>
        </w:rPr>
        <w:t xml:space="preserve"> : + « كما تقبّلت من إبراهيم خليلك ، وموسى كليمك ، ومحمّد حبيبك </w:t>
      </w:r>
      <w:r w:rsidR="005E465D" w:rsidRPr="00596830">
        <w:rPr>
          <w:rStyle w:val="libFootnoteAlaemChar"/>
          <w:rFonts w:eastAsiaTheme="minorHAnsi"/>
          <w:rtl/>
        </w:rPr>
        <w:t>صلى‌الله‌عليه‌وآله</w:t>
      </w:r>
      <w:r w:rsidR="00426338" w:rsidRPr="00426338">
        <w:rPr>
          <w:rFonts w:eastAsiaTheme="minorHAnsi"/>
          <w:rtl/>
        </w:rPr>
        <w:t xml:space="preserve"> </w:t>
      </w:r>
      <w:r w:rsidR="00744A1C">
        <w:rPr>
          <w:rtl/>
          <w:lang w:bidi="fa-IR"/>
        </w:rPr>
        <w:t>».</w:t>
      </w:r>
    </w:p>
    <w:p w:rsidR="00150943" w:rsidRDefault="00150943" w:rsidP="00D10E3C">
      <w:pPr>
        <w:pStyle w:val="libNormal"/>
        <w:rPr>
          <w:rtl/>
          <w:lang w:bidi="fa-IR"/>
        </w:rPr>
      </w:pPr>
      <w:r>
        <w:rPr>
          <w:rtl/>
          <w:lang w:bidi="fa-IR"/>
        </w:rPr>
        <w:br w:type="page"/>
      </w:r>
    </w:p>
    <w:p w:rsidR="00144FA6" w:rsidRDefault="00744A1C" w:rsidP="00596830">
      <w:pPr>
        <w:pStyle w:val="libNormal0"/>
        <w:rPr>
          <w:rtl/>
          <w:lang w:bidi="fa-IR"/>
        </w:rPr>
      </w:pPr>
      <w:r>
        <w:rPr>
          <w:rtl/>
          <w:lang w:bidi="fa-IR"/>
        </w:rPr>
        <w:lastRenderedPageBreak/>
        <w:t xml:space="preserve">السِّكِّينَ </w:t>
      </w:r>
      <w:r w:rsidRPr="00D10E3C">
        <w:rPr>
          <w:rStyle w:val="libFootnotenumChar"/>
          <w:rtl/>
        </w:rPr>
        <w:t>(1)</w:t>
      </w:r>
      <w:r>
        <w:rPr>
          <w:rtl/>
          <w:lang w:bidi="fa-IR"/>
        </w:rPr>
        <w:t xml:space="preserve"> ، وَلَاتَنْخَعْهَا </w:t>
      </w:r>
      <w:r w:rsidRPr="00D10E3C">
        <w:rPr>
          <w:rStyle w:val="libFootnotenumChar"/>
          <w:rtl/>
        </w:rPr>
        <w:t>(2)</w:t>
      </w:r>
      <w:r>
        <w:rPr>
          <w:rtl/>
          <w:lang w:bidi="fa-IR"/>
        </w:rPr>
        <w:t xml:space="preserve"> حَتّى تَمُوتَ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7884 / 7. مُحَمَّدُ بْنُ يَحْيى ، عَنْ مُحَمَّدِ بْنِ أَحْمَدَ ، عَنْ مُوسَى بْنِ جَعْفَرٍ الْبَغْدَادِيِّ ، عَنْ جَمِيلٍ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تَبْدَأُ </w:t>
      </w:r>
      <w:r w:rsidRPr="00D10E3C">
        <w:rPr>
          <w:rStyle w:val="libFootnotenumChar"/>
          <w:rtl/>
        </w:rPr>
        <w:t>(5)</w:t>
      </w:r>
      <w:r>
        <w:rPr>
          <w:rtl/>
          <w:lang w:bidi="fa-IR"/>
        </w:rPr>
        <w:t xml:space="preserve"> بِمِنًى بِالذَّبْحِ </w:t>
      </w:r>
      <w:r w:rsidRPr="00D10E3C">
        <w:rPr>
          <w:rStyle w:val="libFootnotenumChar"/>
          <w:rtl/>
        </w:rPr>
        <w:t>(6)</w:t>
      </w:r>
      <w:r>
        <w:rPr>
          <w:rtl/>
          <w:lang w:bidi="fa-IR"/>
        </w:rPr>
        <w:t xml:space="preserve"> قَبْلَ الْحَلْقِ ، وَفِي الْعَقِيقَةِ بِالْحَلْقِ قَبْلَ الذَّبْحِ ». </w:t>
      </w:r>
      <w:r w:rsidRPr="00D10E3C">
        <w:rPr>
          <w:rStyle w:val="libFootnotenumChar"/>
          <w:rtl/>
        </w:rPr>
        <w:t>(7)</w:t>
      </w:r>
    </w:p>
    <w:p w:rsidR="00144FA6" w:rsidRDefault="00744A1C" w:rsidP="00744A1C">
      <w:pPr>
        <w:pStyle w:val="libNormal"/>
        <w:rPr>
          <w:rtl/>
          <w:lang w:bidi="fa-IR"/>
        </w:rPr>
      </w:pPr>
      <w:r>
        <w:rPr>
          <w:rtl/>
          <w:lang w:bidi="fa-IR"/>
        </w:rPr>
        <w:t>7885 / 8. مُحَمَّدُ بْنُ يَحْيى ، عَنْ مُحَمَّدِ بْنِ الْحُسَيْنِ ، عَنْ عَبْدِ الرَّحْمنِ بْنِ أَبِي هَاشِمٍ الْبَجَلِيِّ ، عَنْ أَبِي خَدِيجَةَ ، قَالَ :</w:t>
      </w:r>
    </w:p>
    <w:p w:rsidR="00744A1C" w:rsidRDefault="00744A1C" w:rsidP="00744A1C">
      <w:pPr>
        <w:pStyle w:val="libNormal"/>
        <w:rPr>
          <w:lang w:bidi="fa-IR"/>
        </w:rPr>
      </w:pPr>
      <w:r>
        <w:rPr>
          <w:rtl/>
          <w:lang w:bidi="fa-IR"/>
        </w:rPr>
        <w:t xml:space="preserve">رَأَيْتُ أَبَا عَبْدِ اللهِ </w:t>
      </w:r>
      <w:r w:rsidR="0061079A" w:rsidRPr="0061079A">
        <w:rPr>
          <w:rStyle w:val="libAlaemChar"/>
          <w:rtl/>
        </w:rPr>
        <w:t>عليه‌السلام</w:t>
      </w:r>
      <w:r w:rsidR="00D10E3C">
        <w:rPr>
          <w:rtl/>
          <w:lang w:bidi="fa-IR"/>
        </w:rPr>
        <w:t xml:space="preserve"> </w:t>
      </w:r>
      <w:r>
        <w:rPr>
          <w:rtl/>
          <w:lang w:bidi="fa-IR"/>
        </w:rPr>
        <w:t xml:space="preserve">وَهُوَ يَنْحَرُ بَدَنَتَهُ </w:t>
      </w:r>
      <w:r w:rsidRPr="00D10E3C">
        <w:rPr>
          <w:rStyle w:val="libFootnotenumChar"/>
          <w:rtl/>
        </w:rPr>
        <w:t>(8)</w:t>
      </w:r>
      <w:r>
        <w:rPr>
          <w:rtl/>
          <w:lang w:bidi="fa-IR"/>
        </w:rPr>
        <w:t xml:space="preserve"> مَعْقُولَةً يَدُهَا الْيُسْرى ، ثُمَّ‌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 « بالسكّين ». وفي « بس » : - « السكّين ».</w:t>
      </w:r>
    </w:p>
    <w:p w:rsidR="00744A1C" w:rsidRDefault="00E378DD" w:rsidP="00E378DD">
      <w:pPr>
        <w:pStyle w:val="libFootnote0"/>
        <w:rPr>
          <w:lang w:bidi="fa-IR"/>
        </w:rPr>
      </w:pPr>
      <w:r>
        <w:rPr>
          <w:rtl/>
          <w:lang w:bidi="fa-IR"/>
        </w:rPr>
        <w:t>(2).</w:t>
      </w:r>
      <w:r w:rsidR="00744A1C">
        <w:rPr>
          <w:rtl/>
          <w:lang w:bidi="fa-IR"/>
        </w:rPr>
        <w:t xml:space="preserve"> قال الجوهري : « يقال : ذبحه فنخعه نخعاً ، أي جاوز منتهى الذبح إلى النخاع ». وقال ابن الأثير : « النَخْع : أشدّ القتل ، حتّى يبلغ الذَّبْح النخاع ، وهو الخيط الأبيض الذي في فقار الظهر ، ويقال له : خيط الرقبة ... ومنه الحديث : ألا لا تنخعوا الذبيحة حتّى تجب ، أي لا تقطعوا رقبتها وتفصلوها قبل أن تسكن حركتها ». </w:t>
      </w:r>
      <w:r w:rsidR="00744A1C" w:rsidRPr="00E978C3">
        <w:rPr>
          <w:rStyle w:val="libFootnoteBoldChar"/>
          <w:rtl/>
        </w:rPr>
        <w:t>الصحاح</w:t>
      </w:r>
      <w:r w:rsidR="00744A1C">
        <w:rPr>
          <w:rtl/>
          <w:lang w:bidi="fa-IR"/>
        </w:rPr>
        <w:t xml:space="preserve"> ، ج 3 ، ص 1288 ؛ </w:t>
      </w:r>
      <w:r w:rsidR="00744A1C" w:rsidRPr="00877682">
        <w:rPr>
          <w:rStyle w:val="libFootnoteBoldChar"/>
          <w:rtl/>
        </w:rPr>
        <w:t>النهاية</w:t>
      </w:r>
      <w:r w:rsidR="00744A1C">
        <w:rPr>
          <w:rtl/>
          <w:lang w:bidi="fa-IR"/>
        </w:rPr>
        <w:t xml:space="preserve"> ، ج 5 ، ص 33 ( نخع ).</w:t>
      </w:r>
    </w:p>
    <w:p w:rsidR="00744A1C" w:rsidRDefault="00E378DD" w:rsidP="00E378DD">
      <w:pPr>
        <w:pStyle w:val="libFootnote0"/>
        <w:rPr>
          <w:lang w:bidi="fa-IR"/>
        </w:rPr>
      </w:pPr>
      <w:r>
        <w:rPr>
          <w:rtl/>
          <w:lang w:bidi="fa-IR"/>
        </w:rPr>
        <w:t>(3).</w:t>
      </w:r>
      <w:r w:rsidR="00744A1C">
        <w:rPr>
          <w:rtl/>
          <w:lang w:bidi="fa-IR"/>
        </w:rPr>
        <w:t xml:space="preserve"> في مسائل عليّ بن جعفر : « وصلّى الله على محمّد وعلى أهل بيته ، ثمّ كل وأطعم » بدل « الل</w:t>
      </w:r>
      <w:r w:rsidR="00830BB7">
        <w:rPr>
          <w:rFonts w:hint="cs"/>
          <w:rtl/>
          <w:lang w:bidi="fa-IR"/>
        </w:rPr>
        <w:t>ّ</w:t>
      </w:r>
      <w:r w:rsidR="00744A1C">
        <w:rPr>
          <w:rtl/>
          <w:lang w:bidi="fa-IR"/>
        </w:rPr>
        <w:t>همّ تقبّل منّي - إلى - حتّى تموت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221 ، ح 746 ، معلّقاً عن الكليني. </w:t>
      </w:r>
      <w:r w:rsidR="00744A1C" w:rsidRPr="00C24F9C">
        <w:rPr>
          <w:rStyle w:val="libFootnoteBoldChar"/>
          <w:rtl/>
        </w:rPr>
        <w:t>الفقيه</w:t>
      </w:r>
      <w:r w:rsidR="00744A1C">
        <w:rPr>
          <w:rtl/>
          <w:lang w:bidi="fa-IR"/>
        </w:rPr>
        <w:t xml:space="preserve"> ، ج 2 ، ص 503 ، ح 3084 ، بسند آخر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مسائل عليّ بن جعفر ، ص 141 ، بسند آخر عن موسى بن جعفر </w:t>
      </w:r>
      <w:r w:rsidR="0061079A" w:rsidRPr="0061079A">
        <w:rPr>
          <w:rStyle w:val="libFootnoteAlaemChar"/>
          <w:rtl/>
        </w:rPr>
        <w:t>عليه‌السلام</w:t>
      </w:r>
      <w:r w:rsidR="00744A1C">
        <w:rPr>
          <w:rtl/>
          <w:lang w:bidi="fa-IR"/>
        </w:rPr>
        <w:t xml:space="preserve"> . وفي </w:t>
      </w:r>
      <w:r w:rsidR="00744A1C" w:rsidRPr="00C24F9C">
        <w:rPr>
          <w:rStyle w:val="libFootnoteBoldChar"/>
          <w:rtl/>
        </w:rPr>
        <w:t>الفقيه</w:t>
      </w:r>
      <w:r w:rsidR="00744A1C">
        <w:rPr>
          <w:rtl/>
          <w:lang w:bidi="fa-IR"/>
        </w:rPr>
        <w:t xml:space="preserve"> ، ج 2 ، ص 549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224. راجع : </w:t>
      </w:r>
      <w:r w:rsidR="00744A1C" w:rsidRPr="0061079A">
        <w:rPr>
          <w:rStyle w:val="libFootnoteBoldChar"/>
          <w:rtl/>
        </w:rPr>
        <w:t>الكافي</w:t>
      </w:r>
      <w:r w:rsidR="00744A1C">
        <w:rPr>
          <w:rtl/>
          <w:lang w:bidi="fa-IR"/>
        </w:rPr>
        <w:t xml:space="preserve"> ، كتاب الذبائح ، باب صفة الذبح والنحر ، ح 11381 ، وباب ما ذبح لغير القبلة .... ، ح 11400 ؛ </w:t>
      </w:r>
      <w:r w:rsidR="00744A1C" w:rsidRPr="0061079A">
        <w:rPr>
          <w:rStyle w:val="libFootnoteBoldChar"/>
          <w:rtl/>
        </w:rPr>
        <w:t>والتهذيب</w:t>
      </w:r>
      <w:r w:rsidR="00744A1C">
        <w:rPr>
          <w:rtl/>
          <w:lang w:bidi="fa-IR"/>
        </w:rPr>
        <w:t xml:space="preserve"> ، ج 9 ، ص 53 ، ح 220 ؛ وص 60 ، ح 253 </w:t>
      </w:r>
      <w:r w:rsidR="00830BB7">
        <w:rPr>
          <w:rFonts w:hint="cs"/>
          <w:rtl/>
          <w:lang w:bidi="fa-IR"/>
        </w:rPr>
        <w:t>.</w:t>
      </w:r>
      <w:r w:rsidR="00744A1C" w:rsidRPr="00C24F9C">
        <w:rPr>
          <w:rStyle w:val="libFootnoteBoldChar"/>
          <w:rtl/>
        </w:rPr>
        <w:t>الوافي</w:t>
      </w:r>
      <w:r w:rsidR="00744A1C">
        <w:rPr>
          <w:rtl/>
          <w:lang w:bidi="fa-IR"/>
        </w:rPr>
        <w:t xml:space="preserve"> ، ج 14 ، ص 1156 ، ح 13988 ؛ </w:t>
      </w:r>
      <w:r w:rsidR="00744A1C" w:rsidRPr="00C24F9C">
        <w:rPr>
          <w:rStyle w:val="libFootnoteBoldChar"/>
          <w:rtl/>
        </w:rPr>
        <w:t>الوسائل</w:t>
      </w:r>
      <w:r w:rsidR="00744A1C">
        <w:rPr>
          <w:rtl/>
          <w:lang w:bidi="fa-IR"/>
        </w:rPr>
        <w:t xml:space="preserve"> ، ج 14 ، ص 152 ، ذيل ح 18849.</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 يبدأ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المشهور بين الأصحاب وجوب الترتيب بين مناسك منى يوم النحر : الرمي ، ثمّ الذبح ، ثمّ الحلق. وذهب جماعة إلى الاستحباب ، وربما يؤيّد الاستحباب مقارنته لحكم العقيقة الذي لا خلاف في استحبابه ».</w:t>
      </w:r>
    </w:p>
    <w:p w:rsidR="00744A1C" w:rsidRDefault="00E378DD" w:rsidP="00830BB7">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222 ، ح 749 ، معلّقاً عن الكليني </w:t>
      </w:r>
      <w:r w:rsidR="00830BB7">
        <w:rPr>
          <w:rFonts w:hint="cs"/>
          <w:rtl/>
          <w:lang w:bidi="fa-IR"/>
        </w:rPr>
        <w:t>.</w:t>
      </w:r>
      <w:r w:rsidR="00744A1C" w:rsidRPr="00C24F9C">
        <w:rPr>
          <w:rStyle w:val="libFootnoteBoldChar"/>
          <w:rtl/>
        </w:rPr>
        <w:t>الوافي</w:t>
      </w:r>
      <w:r w:rsidR="00744A1C">
        <w:rPr>
          <w:rtl/>
          <w:lang w:bidi="fa-IR"/>
        </w:rPr>
        <w:t xml:space="preserve"> ، ج 14 ، ص 1139 ، ح 14174 ؛ </w:t>
      </w:r>
      <w:r w:rsidR="00744A1C" w:rsidRPr="00C24F9C">
        <w:rPr>
          <w:rStyle w:val="libFootnoteBoldChar"/>
          <w:rtl/>
        </w:rPr>
        <w:t>الوسائل</w:t>
      </w:r>
      <w:r w:rsidR="00744A1C">
        <w:rPr>
          <w:rtl/>
          <w:lang w:bidi="fa-IR"/>
        </w:rPr>
        <w:t xml:space="preserve"> ، ج 14 ، ص 155 ، ح 18856.</w:t>
      </w:r>
      <w:r w:rsidR="00830BB7">
        <w:rPr>
          <w:rFonts w:hint="cs"/>
          <w:rtl/>
          <w:lang w:bidi="fa-IR"/>
        </w:rPr>
        <w:t xml:space="preserve">           </w:t>
      </w:r>
      <w:r>
        <w:rPr>
          <w:rtl/>
          <w:lang w:bidi="fa-IR"/>
        </w:rPr>
        <w:t>(8).</w:t>
      </w:r>
      <w:r w:rsidR="00744A1C">
        <w:rPr>
          <w:rtl/>
          <w:lang w:bidi="fa-IR"/>
        </w:rPr>
        <w:t xml:space="preserve"> في « بخ » وحاشية « بث » و</w:t>
      </w:r>
      <w:r w:rsidR="00744A1C" w:rsidRPr="00C24F9C">
        <w:rPr>
          <w:rStyle w:val="libFootnoteBoldChar"/>
          <w:rtl/>
        </w:rPr>
        <w:t>الوافي</w:t>
      </w:r>
      <w:r w:rsidR="00744A1C">
        <w:rPr>
          <w:rtl/>
          <w:lang w:bidi="fa-IR"/>
        </w:rPr>
        <w:t xml:space="preserve"> : « بدنة ».</w:t>
      </w:r>
    </w:p>
    <w:p w:rsidR="00150943" w:rsidRDefault="00150943" w:rsidP="00D10E3C">
      <w:pPr>
        <w:pStyle w:val="libNormal"/>
        <w:rPr>
          <w:rtl/>
          <w:lang w:bidi="fa-IR"/>
        </w:rPr>
      </w:pPr>
      <w:r>
        <w:rPr>
          <w:rtl/>
          <w:lang w:bidi="fa-IR"/>
        </w:rPr>
        <w:br w:type="page"/>
      </w:r>
    </w:p>
    <w:p w:rsidR="00144FA6" w:rsidRDefault="00744A1C" w:rsidP="00596830">
      <w:pPr>
        <w:pStyle w:val="libNormal0"/>
        <w:rPr>
          <w:rtl/>
          <w:lang w:bidi="fa-IR"/>
        </w:rPr>
      </w:pPr>
      <w:r>
        <w:rPr>
          <w:rtl/>
          <w:lang w:bidi="fa-IR"/>
        </w:rPr>
        <w:lastRenderedPageBreak/>
        <w:t xml:space="preserve">يَقُومُ </w:t>
      </w:r>
      <w:r w:rsidRPr="00D10E3C">
        <w:rPr>
          <w:rStyle w:val="libFootnotenumChar"/>
          <w:rtl/>
        </w:rPr>
        <w:t>(1)</w:t>
      </w:r>
      <w:r>
        <w:rPr>
          <w:rtl/>
          <w:lang w:bidi="fa-IR"/>
        </w:rPr>
        <w:t xml:space="preserve"> مِنْ </w:t>
      </w:r>
      <w:r w:rsidRPr="00D10E3C">
        <w:rPr>
          <w:rStyle w:val="libFootnotenumChar"/>
          <w:rtl/>
        </w:rPr>
        <w:t>(2)</w:t>
      </w:r>
      <w:r>
        <w:rPr>
          <w:rtl/>
          <w:lang w:bidi="fa-IR"/>
        </w:rPr>
        <w:t xml:space="preserve"> جَانِبِ يَدِهَا الْيُمْنى ، وَيَقُولُ : « بِسْمِ اللهِ </w:t>
      </w:r>
      <w:r w:rsidRPr="00D10E3C">
        <w:rPr>
          <w:rStyle w:val="libFootnotenumChar"/>
          <w:rtl/>
        </w:rPr>
        <w:t>(3)</w:t>
      </w:r>
      <w:r>
        <w:rPr>
          <w:rtl/>
          <w:lang w:bidi="fa-IR"/>
        </w:rPr>
        <w:t xml:space="preserve"> ، وَاللهُ أَكْبَرُ ، الل</w:t>
      </w:r>
      <w:r w:rsidR="00830BB7">
        <w:rPr>
          <w:rFonts w:hint="cs"/>
          <w:rtl/>
          <w:lang w:bidi="fa-IR"/>
        </w:rPr>
        <w:t>ّ</w:t>
      </w:r>
      <w:r>
        <w:rPr>
          <w:rtl/>
          <w:lang w:bidi="fa-IR"/>
        </w:rPr>
        <w:t>هُمَّ هذَا مِنْكَ وَلَكَ ، الل</w:t>
      </w:r>
      <w:r w:rsidR="00633CE1">
        <w:rPr>
          <w:rFonts w:hint="cs"/>
          <w:rtl/>
          <w:lang w:bidi="fa-IR"/>
        </w:rPr>
        <w:t>ّ</w:t>
      </w:r>
      <w:r>
        <w:rPr>
          <w:rtl/>
          <w:lang w:bidi="fa-IR"/>
        </w:rPr>
        <w:t xml:space="preserve">هُمَّ تَقَبَّلْهُ </w:t>
      </w:r>
      <w:r w:rsidRPr="00D10E3C">
        <w:rPr>
          <w:rStyle w:val="libFootnotenumChar"/>
          <w:rtl/>
        </w:rPr>
        <w:t>(4)</w:t>
      </w:r>
      <w:r>
        <w:rPr>
          <w:rtl/>
          <w:lang w:bidi="fa-IR"/>
        </w:rPr>
        <w:t xml:space="preserve"> مِنِّي ؛ ثُمَّ يَطْعُنُ </w:t>
      </w:r>
      <w:r w:rsidRPr="00D10E3C">
        <w:rPr>
          <w:rStyle w:val="libFootnotenumChar"/>
          <w:rtl/>
        </w:rPr>
        <w:t>(5)</w:t>
      </w:r>
      <w:r>
        <w:rPr>
          <w:rtl/>
          <w:lang w:bidi="fa-IR"/>
        </w:rPr>
        <w:t xml:space="preserve"> فِي لَبَّتِهَا ، ثُمَّ يُخْرِجُ السِّكِّينَ بِيَدِهِ ، فَإِذَا وَجَبَتْ </w:t>
      </w:r>
      <w:r w:rsidRPr="00D10E3C">
        <w:rPr>
          <w:rStyle w:val="libFootnotenumChar"/>
          <w:rtl/>
        </w:rPr>
        <w:t>(6)</w:t>
      </w:r>
      <w:r>
        <w:rPr>
          <w:rtl/>
          <w:lang w:bidi="fa-IR"/>
        </w:rPr>
        <w:t xml:space="preserve"> قَطَعَ مَوْضِعَ الذَّبْحِ </w:t>
      </w:r>
      <w:r w:rsidRPr="00D10E3C">
        <w:rPr>
          <w:rStyle w:val="libFootnotenumChar"/>
          <w:rtl/>
        </w:rPr>
        <w:t>(7)</w:t>
      </w:r>
      <w:r>
        <w:rPr>
          <w:rtl/>
          <w:lang w:bidi="fa-IR"/>
        </w:rPr>
        <w:t xml:space="preserve"> بِيَدِهِ ». </w:t>
      </w:r>
      <w:r w:rsidRPr="00D10E3C">
        <w:rPr>
          <w:rStyle w:val="libFootnotenumChar"/>
          <w:rtl/>
        </w:rPr>
        <w:t>(8)</w:t>
      </w:r>
    </w:p>
    <w:p w:rsidR="00744A1C" w:rsidRDefault="00744A1C" w:rsidP="00633CE1">
      <w:pPr>
        <w:pStyle w:val="Heading2Center"/>
        <w:rPr>
          <w:lang w:bidi="fa-IR"/>
        </w:rPr>
      </w:pPr>
      <w:bookmarkStart w:id="31" w:name="_Toc49261329"/>
      <w:r>
        <w:rPr>
          <w:rtl/>
          <w:lang w:bidi="fa-IR"/>
        </w:rPr>
        <w:t xml:space="preserve">186 - بَابُ الْأَكْلِ مِنَ الْهَدْيِ الْوَاجِبِ وَالصَّدَقَةِ مِنْهَا </w:t>
      </w:r>
      <w:r w:rsidRPr="00D10E3C">
        <w:rPr>
          <w:rStyle w:val="libFootnotenumChar"/>
          <w:rtl/>
        </w:rPr>
        <w:t>(9)</w:t>
      </w:r>
      <w:r>
        <w:rPr>
          <w:rtl/>
          <w:lang w:bidi="fa-IR"/>
        </w:rPr>
        <w:t xml:space="preserve"> وَإِخْرَاجِهِ مِنْ مِنًى‌</w:t>
      </w:r>
      <w:bookmarkEnd w:id="31"/>
    </w:p>
    <w:p w:rsidR="00633CE1" w:rsidRDefault="00744A1C" w:rsidP="00633CE1">
      <w:pPr>
        <w:pStyle w:val="libNormal"/>
        <w:rPr>
          <w:rtl/>
          <w:lang w:bidi="fa-IR"/>
        </w:rPr>
      </w:pPr>
      <w:r>
        <w:rPr>
          <w:rtl/>
          <w:lang w:bidi="fa-IR"/>
        </w:rPr>
        <w:t>7886 / 1. عَلِيُّ بْنُ إِبْرَاهِيمَ ، عَنْ أَبِيهِ ، عَنِ ابْنِ أَبِي عُمَيْرٍ ؛</w:t>
      </w:r>
    </w:p>
    <w:p w:rsidR="00144FA6" w:rsidRDefault="00633CE1" w:rsidP="00633CE1">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(10)</w:t>
      </w:r>
      <w:r w:rsidR="00744A1C">
        <w:rPr>
          <w:rtl/>
          <w:lang w:bidi="fa-IR"/>
        </w:rPr>
        <w:t xml:space="preserve"> مُحَمَّدُ بْنُ إِسْمَاعِيلَ ، عَنِ الْفَضْلِ بْنِ شَاذَانَ ، عَنِ ابْنِ أَبِي عُمَيْرٍ وَصَفْوَانَ بْنِ يَحْيى ، عَنْ مُعَاوِيَةَ بْنِ عَمَّارٍ :</w:t>
      </w:r>
    </w:p>
    <w:p w:rsidR="00744A1C" w:rsidRDefault="00744A1C" w:rsidP="00236B5F">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أَمَرَ رَسُولُ اللهِ </w:t>
      </w:r>
      <w:r w:rsidR="005E465D" w:rsidRPr="005E465D">
        <w:rPr>
          <w:rStyle w:val="libAlaemChar"/>
          <w:rFonts w:eastAsiaTheme="minorHAnsi"/>
          <w:rtl/>
        </w:rPr>
        <w:t>صلى‌الله‌عليه‌وآله</w:t>
      </w:r>
      <w:r w:rsidR="00236B5F" w:rsidRPr="00236B5F">
        <w:rPr>
          <w:rFonts w:eastAsiaTheme="minorHAnsi"/>
          <w:rtl/>
        </w:rPr>
        <w:t xml:space="preserve"> </w:t>
      </w:r>
      <w:r>
        <w:rPr>
          <w:rtl/>
          <w:lang w:bidi="fa-IR"/>
        </w:rPr>
        <w:t xml:space="preserve">حِينَ نَحَرَ </w:t>
      </w:r>
      <w:r w:rsidRPr="00D10E3C">
        <w:rPr>
          <w:rStyle w:val="libFootnotenumChar"/>
          <w:rtl/>
        </w:rPr>
        <w:t>(11)</w:t>
      </w:r>
      <w:r>
        <w:rPr>
          <w:rtl/>
          <w:lang w:bidi="fa-IR"/>
        </w:rPr>
        <w:t xml:space="preserve"> أَنْ يُؤْخَذَ </w:t>
      </w:r>
      <w:r w:rsidRPr="00D10E3C">
        <w:rPr>
          <w:rStyle w:val="libFootnotenumChar"/>
          <w:rtl/>
        </w:rPr>
        <w:t>(12)</w:t>
      </w:r>
      <w:r>
        <w:rPr>
          <w:rtl/>
          <w:lang w:bidi="fa-IR"/>
        </w:rPr>
        <w:t xml:space="preserve"> مِنْ‌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الوسائل</w:t>
      </w:r>
      <w:r w:rsidR="00744A1C">
        <w:rPr>
          <w:rtl/>
          <w:lang w:bidi="fa-IR"/>
        </w:rPr>
        <w:t xml:space="preserve"> : + « به ».</w:t>
      </w:r>
    </w:p>
    <w:p w:rsidR="00744A1C" w:rsidRDefault="00E378DD" w:rsidP="00E378DD">
      <w:pPr>
        <w:pStyle w:val="libFootnote0"/>
        <w:rPr>
          <w:lang w:bidi="fa-IR"/>
        </w:rPr>
      </w:pPr>
      <w:r>
        <w:rPr>
          <w:rtl/>
          <w:lang w:bidi="fa-IR"/>
        </w:rPr>
        <w:t>(2).</w:t>
      </w:r>
      <w:r w:rsidR="00744A1C">
        <w:rPr>
          <w:rtl/>
          <w:lang w:bidi="fa-IR"/>
        </w:rPr>
        <w:t xml:space="preserve"> في </w:t>
      </w:r>
      <w:r w:rsidR="00744A1C" w:rsidRPr="00236B5F">
        <w:rPr>
          <w:rtl/>
        </w:rPr>
        <w:t>الوافي والتهذيب</w:t>
      </w:r>
      <w:r w:rsidR="00744A1C">
        <w:rPr>
          <w:rtl/>
          <w:lang w:bidi="fa-IR"/>
        </w:rPr>
        <w:t xml:space="preserve"> : « على ».</w:t>
      </w:r>
    </w:p>
    <w:p w:rsidR="00744A1C" w:rsidRDefault="00E378DD" w:rsidP="00E378DD">
      <w:pPr>
        <w:pStyle w:val="libFootnote0"/>
        <w:rPr>
          <w:lang w:bidi="fa-IR"/>
        </w:rPr>
      </w:pPr>
      <w:r>
        <w:rPr>
          <w:rtl/>
          <w:lang w:bidi="fa-IR"/>
        </w:rPr>
        <w:t>(3).</w:t>
      </w:r>
      <w:r w:rsidR="00744A1C">
        <w:rPr>
          <w:rtl/>
          <w:lang w:bidi="fa-IR"/>
        </w:rPr>
        <w:t xml:space="preserve"> في « بح ، بف » : + « وبالله ».</w:t>
      </w:r>
    </w:p>
    <w:p w:rsidR="00744A1C" w:rsidRDefault="00E378DD" w:rsidP="00E378DD">
      <w:pPr>
        <w:pStyle w:val="libFootnote0"/>
        <w:rPr>
          <w:lang w:bidi="fa-IR"/>
        </w:rPr>
      </w:pPr>
      <w:r>
        <w:rPr>
          <w:rtl/>
          <w:lang w:bidi="fa-IR"/>
        </w:rPr>
        <w:t>(4).</w:t>
      </w:r>
      <w:r w:rsidR="00744A1C">
        <w:rPr>
          <w:rtl/>
          <w:lang w:bidi="fa-IR"/>
        </w:rPr>
        <w:t xml:space="preserve"> في « بس » : « تقبل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ثمّ يطعن ، ظاهره جواز الاكتفاء بالمقارنة العرفيّة بين التسمية والذبح ، فتفطّن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التهذيب</w:t>
      </w:r>
      <w:r w:rsidR="00744A1C">
        <w:rPr>
          <w:rtl/>
          <w:lang w:bidi="fa-IR"/>
        </w:rPr>
        <w:t xml:space="preserve"> : + « جنوبها ».</w:t>
      </w:r>
    </w:p>
    <w:p w:rsidR="00744A1C" w:rsidRDefault="00E378DD" w:rsidP="00E378DD">
      <w:pPr>
        <w:pStyle w:val="libFootnote0"/>
        <w:rPr>
          <w:lang w:bidi="fa-IR"/>
        </w:rPr>
      </w:pPr>
      <w:r>
        <w:rPr>
          <w:rtl/>
          <w:lang w:bidi="fa-IR"/>
        </w:rPr>
        <w:t>(7).</w:t>
      </w:r>
      <w:r w:rsidR="00744A1C">
        <w:rPr>
          <w:rtl/>
          <w:lang w:bidi="fa-IR"/>
        </w:rPr>
        <w:t xml:space="preserve"> في « بث ، بح ، بخ ، بس ، بف ، جد » : « المذبح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221 ، ح 745 ، معلّقاً عن الكليني </w:t>
      </w:r>
      <w:r w:rsidR="00236B5F">
        <w:rPr>
          <w:rFonts w:hint="cs"/>
          <w:rtl/>
          <w:lang w:bidi="fa-IR"/>
        </w:rPr>
        <w:t>.</w:t>
      </w:r>
      <w:r w:rsidR="00744A1C" w:rsidRPr="00C24F9C">
        <w:rPr>
          <w:rStyle w:val="libFootnoteBoldChar"/>
          <w:rtl/>
        </w:rPr>
        <w:t>الوافي</w:t>
      </w:r>
      <w:r w:rsidR="00744A1C">
        <w:rPr>
          <w:rtl/>
          <w:lang w:bidi="fa-IR"/>
        </w:rPr>
        <w:t xml:space="preserve"> ، ج 14 ، ص 1156 ، ح 13987 ؛ </w:t>
      </w:r>
      <w:r w:rsidR="00744A1C" w:rsidRPr="00C24F9C">
        <w:rPr>
          <w:rStyle w:val="libFootnoteBoldChar"/>
          <w:rtl/>
        </w:rPr>
        <w:t>الوسائل</w:t>
      </w:r>
      <w:r w:rsidR="00744A1C">
        <w:rPr>
          <w:rtl/>
          <w:lang w:bidi="fa-IR"/>
        </w:rPr>
        <w:t xml:space="preserve"> ، ج 14 ، ص 149 ، ح 18840 ؛ </w:t>
      </w:r>
      <w:r w:rsidR="00744A1C" w:rsidRPr="0061079A">
        <w:rPr>
          <w:rStyle w:val="libFootnoteBoldChar"/>
          <w:rtl/>
        </w:rPr>
        <w:t>البحار</w:t>
      </w:r>
      <w:r w:rsidR="00744A1C">
        <w:rPr>
          <w:rtl/>
          <w:lang w:bidi="fa-IR"/>
        </w:rPr>
        <w:t xml:space="preserve"> ، ج 65 ، ص 301.</w:t>
      </w:r>
    </w:p>
    <w:p w:rsidR="00744A1C" w:rsidRDefault="00E378DD" w:rsidP="00E378DD">
      <w:pPr>
        <w:pStyle w:val="libFootnote0"/>
        <w:rPr>
          <w:lang w:bidi="fa-IR"/>
        </w:rPr>
      </w:pPr>
      <w:r>
        <w:rPr>
          <w:rtl/>
          <w:lang w:bidi="fa-IR"/>
        </w:rPr>
        <w:t>(9).</w:t>
      </w:r>
      <w:r w:rsidR="00744A1C">
        <w:rPr>
          <w:rtl/>
          <w:lang w:bidi="fa-IR"/>
        </w:rPr>
        <w:t xml:space="preserve"> </w:t>
      </w:r>
      <w:r w:rsidR="00236B5F">
        <w:rPr>
          <w:rFonts w:hint="cs"/>
          <w:rtl/>
          <w:lang w:bidi="fa-IR"/>
        </w:rPr>
        <w:t xml:space="preserve">في </w:t>
      </w:r>
      <w:r w:rsidR="007B1EC3">
        <w:rPr>
          <w:rtl/>
          <w:lang w:bidi="fa-IR"/>
        </w:rPr>
        <w:t>«</w:t>
      </w:r>
      <w:r w:rsidR="007B1EC3">
        <w:rPr>
          <w:rFonts w:hint="cs"/>
          <w:rtl/>
          <w:lang w:bidi="fa-IR"/>
        </w:rPr>
        <w:t xml:space="preserve"> بخ ، بس ، جد </w:t>
      </w:r>
      <w:r w:rsidR="007B1EC3">
        <w:rPr>
          <w:rtl/>
          <w:lang w:bidi="fa-IR"/>
        </w:rPr>
        <w:t>»</w:t>
      </w:r>
      <w:r w:rsidR="007B1EC3">
        <w:rPr>
          <w:rFonts w:hint="cs"/>
          <w:rtl/>
          <w:lang w:bidi="fa-IR"/>
        </w:rPr>
        <w:t xml:space="preserve"> و حاشية </w:t>
      </w:r>
      <w:r w:rsidR="007B1EC3">
        <w:rPr>
          <w:rtl/>
          <w:lang w:bidi="fa-IR"/>
        </w:rPr>
        <w:t>«</w:t>
      </w:r>
      <w:r w:rsidR="007B1EC3">
        <w:rPr>
          <w:rFonts w:hint="cs"/>
          <w:rtl/>
          <w:lang w:bidi="fa-IR"/>
        </w:rPr>
        <w:t xml:space="preserve"> ى </w:t>
      </w:r>
      <w:r w:rsidR="007B1EC3">
        <w:rPr>
          <w:rtl/>
          <w:lang w:bidi="fa-IR"/>
        </w:rPr>
        <w:t>»</w:t>
      </w:r>
      <w:r w:rsidR="007B1EC3">
        <w:rPr>
          <w:rFonts w:hint="cs"/>
          <w:rtl/>
          <w:lang w:bidi="fa-IR"/>
        </w:rPr>
        <w:t xml:space="preserve"> : </w:t>
      </w:r>
      <w:r w:rsidR="007B1EC3">
        <w:rPr>
          <w:rtl/>
          <w:lang w:bidi="fa-IR"/>
        </w:rPr>
        <w:t>«</w:t>
      </w:r>
      <w:r w:rsidR="007B1EC3">
        <w:rPr>
          <w:rFonts w:hint="cs"/>
          <w:rtl/>
          <w:lang w:bidi="fa-IR"/>
        </w:rPr>
        <w:t xml:space="preserve"> منه </w:t>
      </w:r>
      <w:r w:rsidR="007B1EC3">
        <w:rPr>
          <w:rtl/>
          <w:lang w:bidi="fa-IR"/>
        </w:rPr>
        <w:t>»</w:t>
      </w:r>
      <w:r w:rsidR="007B1EC3">
        <w:rPr>
          <w:rFonts w:hint="cs"/>
          <w:rtl/>
          <w:lang w:bidi="fa-IR"/>
        </w:rPr>
        <w:t>.</w:t>
      </w:r>
    </w:p>
    <w:p w:rsidR="00744A1C" w:rsidRDefault="00E378DD" w:rsidP="00E378DD">
      <w:pPr>
        <w:pStyle w:val="libFootnote0"/>
        <w:rPr>
          <w:lang w:bidi="fa-IR"/>
        </w:rPr>
      </w:pPr>
      <w:r>
        <w:rPr>
          <w:rtl/>
          <w:lang w:bidi="fa-IR"/>
        </w:rPr>
        <w:t>(10).</w:t>
      </w:r>
      <w:r w:rsidR="00744A1C">
        <w:rPr>
          <w:rtl/>
          <w:lang w:bidi="fa-IR"/>
        </w:rPr>
        <w:t xml:space="preserve"> في السند تحويل بعطف « محمّد بن إسماعيل ، عن الفضل بن شاذان ، عن ابن أبي عمير وصفوان بن يحيى » على « عليّ بن إبراهيم ، عن أبيه ، عن ابن أبي عمير ».</w:t>
      </w:r>
    </w:p>
    <w:p w:rsidR="00744A1C" w:rsidRDefault="00E378DD" w:rsidP="00E378DD">
      <w:pPr>
        <w:pStyle w:val="libFootnote0"/>
        <w:rPr>
          <w:lang w:bidi="fa-IR"/>
        </w:rPr>
      </w:pPr>
      <w:r>
        <w:rPr>
          <w:rtl/>
          <w:lang w:bidi="fa-IR"/>
        </w:rPr>
        <w:t>(11).</w:t>
      </w:r>
      <w:r w:rsidR="00744A1C">
        <w:rPr>
          <w:rtl/>
          <w:lang w:bidi="fa-IR"/>
        </w:rPr>
        <w:t xml:space="preserve"> في « بس » : « ينحر ». وفي </w:t>
      </w:r>
      <w:r w:rsidR="00744A1C" w:rsidRPr="0061079A">
        <w:rPr>
          <w:rStyle w:val="libFootnoteBoldChar"/>
          <w:rtl/>
        </w:rPr>
        <w:t>الكافي</w:t>
      </w:r>
      <w:r w:rsidR="00744A1C">
        <w:rPr>
          <w:rtl/>
          <w:lang w:bidi="fa-IR"/>
        </w:rPr>
        <w:t xml:space="preserve"> ، ح 6852 </w:t>
      </w:r>
      <w:r w:rsidR="00744A1C" w:rsidRPr="0061079A">
        <w:rPr>
          <w:rStyle w:val="libFootnoteBoldChar"/>
          <w:rtl/>
        </w:rPr>
        <w:t>والتهذيب</w:t>
      </w:r>
      <w:r w:rsidR="00744A1C">
        <w:rPr>
          <w:rtl/>
          <w:lang w:bidi="fa-IR"/>
        </w:rPr>
        <w:t xml:space="preserve"> : - « حين نحر ».</w:t>
      </w:r>
    </w:p>
    <w:p w:rsidR="00744A1C" w:rsidRDefault="00E378DD" w:rsidP="00E378DD">
      <w:pPr>
        <w:pStyle w:val="libFootnote0"/>
        <w:rPr>
          <w:lang w:bidi="fa-IR"/>
        </w:rPr>
      </w:pPr>
      <w:r>
        <w:rPr>
          <w:rtl/>
          <w:lang w:bidi="fa-IR"/>
        </w:rPr>
        <w:t>(12).</w:t>
      </w:r>
      <w:r w:rsidR="00744A1C">
        <w:rPr>
          <w:rtl/>
          <w:lang w:bidi="fa-IR"/>
        </w:rPr>
        <w:t xml:space="preserve"> هكذا في معظم النسخ التي قوبلت </w:t>
      </w:r>
      <w:r w:rsidR="00744A1C" w:rsidRPr="00596830">
        <w:rPr>
          <w:rtl/>
        </w:rPr>
        <w:t>والوسائل والبحار والتهذيب</w:t>
      </w:r>
      <w:r w:rsidR="00744A1C">
        <w:rPr>
          <w:rtl/>
          <w:lang w:bidi="fa-IR"/>
        </w:rPr>
        <w:t xml:space="preserve"> ، ويحتمل من نسخة « بث ». وفي المطبوع و</w:t>
      </w:r>
      <w:r w:rsidR="00744A1C" w:rsidRPr="00C24F9C">
        <w:rPr>
          <w:rStyle w:val="libFootnoteBoldChar"/>
          <w:rtl/>
        </w:rPr>
        <w:t>الوافي</w:t>
      </w:r>
      <w:r w:rsidR="00744A1C">
        <w:rPr>
          <w:rtl/>
          <w:lang w:bidi="fa-IR"/>
        </w:rPr>
        <w:t xml:space="preserve"> : « أن تؤخذ ».</w:t>
      </w:r>
    </w:p>
    <w:p w:rsidR="00150943" w:rsidRDefault="00150943" w:rsidP="00D10E3C">
      <w:pPr>
        <w:pStyle w:val="libNormal"/>
        <w:rPr>
          <w:rtl/>
          <w:lang w:bidi="fa-IR"/>
        </w:rPr>
      </w:pPr>
      <w:r>
        <w:rPr>
          <w:rtl/>
          <w:lang w:bidi="fa-IR"/>
        </w:rPr>
        <w:br w:type="page"/>
      </w:r>
    </w:p>
    <w:p w:rsidR="00144FA6" w:rsidRDefault="00744A1C" w:rsidP="00596830">
      <w:pPr>
        <w:pStyle w:val="libNormal0"/>
        <w:rPr>
          <w:rtl/>
          <w:lang w:bidi="fa-IR"/>
        </w:rPr>
      </w:pPr>
      <w:r>
        <w:rPr>
          <w:rtl/>
          <w:lang w:bidi="fa-IR"/>
        </w:rPr>
        <w:lastRenderedPageBreak/>
        <w:t xml:space="preserve">كُلِّ بَدَنَةٍ حُذْوَةٌ </w:t>
      </w:r>
      <w:r w:rsidRPr="00D10E3C">
        <w:rPr>
          <w:rStyle w:val="libFootnotenumChar"/>
          <w:rtl/>
        </w:rPr>
        <w:t>(1)</w:t>
      </w:r>
      <w:r>
        <w:rPr>
          <w:rtl/>
          <w:lang w:bidi="fa-IR"/>
        </w:rPr>
        <w:t xml:space="preserve"> مِنْ لَحْمِهَا </w:t>
      </w:r>
      <w:r w:rsidRPr="00D10E3C">
        <w:rPr>
          <w:rStyle w:val="libFootnotenumChar"/>
          <w:rtl/>
        </w:rPr>
        <w:t>(2)</w:t>
      </w:r>
      <w:r>
        <w:rPr>
          <w:rtl/>
          <w:lang w:bidi="fa-IR"/>
        </w:rPr>
        <w:t xml:space="preserve"> ، ثُمَّ تُطْرَحَ </w:t>
      </w:r>
      <w:r w:rsidRPr="00D10E3C">
        <w:rPr>
          <w:rStyle w:val="libFootnotenumChar"/>
          <w:rtl/>
        </w:rPr>
        <w:t>(3)</w:t>
      </w:r>
      <w:r>
        <w:rPr>
          <w:rtl/>
          <w:lang w:bidi="fa-IR"/>
        </w:rPr>
        <w:t xml:space="preserve"> فِي بُرْمَةٍ </w:t>
      </w:r>
      <w:r w:rsidRPr="00D10E3C">
        <w:rPr>
          <w:rStyle w:val="libFootnotenumChar"/>
          <w:rtl/>
        </w:rPr>
        <w:t>(4)</w:t>
      </w:r>
      <w:r>
        <w:rPr>
          <w:rtl/>
          <w:lang w:bidi="fa-IR"/>
        </w:rPr>
        <w:t xml:space="preserve"> ، ثُمَّ تُطْبَخَ </w:t>
      </w:r>
      <w:r w:rsidRPr="00D10E3C">
        <w:rPr>
          <w:rStyle w:val="libFootnotenumChar"/>
          <w:rtl/>
        </w:rPr>
        <w:t>(5)</w:t>
      </w:r>
      <w:r>
        <w:rPr>
          <w:rtl/>
          <w:lang w:bidi="fa-IR"/>
        </w:rPr>
        <w:t xml:space="preserve"> ، وَأَكَلَ </w:t>
      </w:r>
      <w:r w:rsidRPr="00D10E3C">
        <w:rPr>
          <w:rStyle w:val="libFootnotenumChar"/>
          <w:rtl/>
        </w:rPr>
        <w:t>(6)</w:t>
      </w:r>
      <w:r>
        <w:rPr>
          <w:rtl/>
          <w:lang w:bidi="fa-IR"/>
        </w:rPr>
        <w:t xml:space="preserve"> رَسُولُ اللهِ </w:t>
      </w:r>
      <w:r w:rsidR="005E465D" w:rsidRPr="005E465D">
        <w:rPr>
          <w:rStyle w:val="libAlaemChar"/>
          <w:rFonts w:eastAsiaTheme="minorHAnsi"/>
          <w:rtl/>
        </w:rPr>
        <w:t>صلى‌الله‌عليه‌وآله</w:t>
      </w:r>
      <w:r w:rsidR="00830ED5" w:rsidRPr="00830ED5">
        <w:rPr>
          <w:rFonts w:eastAsiaTheme="minorHAnsi"/>
          <w:rtl/>
        </w:rPr>
        <w:t xml:space="preserve"> </w:t>
      </w:r>
      <w:r w:rsidRPr="00D10E3C">
        <w:rPr>
          <w:rStyle w:val="libFootnotenumChar"/>
          <w:rtl/>
        </w:rPr>
        <w:t>(7)</w:t>
      </w:r>
      <w:r>
        <w:rPr>
          <w:rtl/>
          <w:lang w:bidi="fa-IR"/>
        </w:rPr>
        <w:t xml:space="preserve"> وَعَلِيٌّ </w:t>
      </w:r>
      <w:r w:rsidR="0061079A" w:rsidRPr="0061079A">
        <w:rPr>
          <w:rStyle w:val="libAlaemChar"/>
          <w:rtl/>
        </w:rPr>
        <w:t>عليه‌السلام</w:t>
      </w:r>
      <w:r w:rsidR="00D10E3C">
        <w:rPr>
          <w:rtl/>
          <w:lang w:bidi="fa-IR"/>
        </w:rPr>
        <w:t xml:space="preserve"> </w:t>
      </w:r>
      <w:r>
        <w:rPr>
          <w:rtl/>
          <w:lang w:bidi="fa-IR"/>
        </w:rPr>
        <w:t xml:space="preserve">مِنْهَا </w:t>
      </w:r>
      <w:r w:rsidRPr="00D10E3C">
        <w:rPr>
          <w:rStyle w:val="libFootnotenumChar"/>
          <w:rtl/>
        </w:rPr>
        <w:t>(8)</w:t>
      </w:r>
      <w:r>
        <w:rPr>
          <w:rtl/>
          <w:lang w:bidi="fa-IR"/>
        </w:rPr>
        <w:t xml:space="preserve"> ، وَ</w:t>
      </w:r>
      <w:r w:rsidR="00830ED5">
        <w:rPr>
          <w:rFonts w:hint="cs"/>
          <w:rtl/>
          <w:lang w:bidi="fa-IR"/>
        </w:rPr>
        <w:t xml:space="preserve"> </w:t>
      </w:r>
      <w:r>
        <w:rPr>
          <w:rtl/>
          <w:lang w:bidi="fa-IR"/>
        </w:rPr>
        <w:t xml:space="preserve">حَسَوَا </w:t>
      </w:r>
      <w:r w:rsidRPr="00D10E3C">
        <w:rPr>
          <w:rStyle w:val="libFootnotenumChar"/>
          <w:rtl/>
        </w:rPr>
        <w:t>(9)</w:t>
      </w:r>
      <w:r>
        <w:rPr>
          <w:rtl/>
          <w:lang w:bidi="fa-IR"/>
        </w:rPr>
        <w:t xml:space="preserve"> مِنْ مَرَقِهَا </w:t>
      </w:r>
      <w:r w:rsidRPr="00D10E3C">
        <w:rPr>
          <w:rStyle w:val="libFootnotenumChar"/>
          <w:rtl/>
        </w:rPr>
        <w:t>(10)</w:t>
      </w:r>
      <w:r>
        <w:rPr>
          <w:rtl/>
          <w:lang w:bidi="fa-IR"/>
        </w:rPr>
        <w:t xml:space="preserve"> ». </w:t>
      </w:r>
      <w:r w:rsidRPr="00D10E3C">
        <w:rPr>
          <w:rStyle w:val="libFootnotenumChar"/>
          <w:rtl/>
        </w:rPr>
        <w:t>(11)</w:t>
      </w:r>
    </w:p>
    <w:p w:rsidR="00144FA6" w:rsidRDefault="00744A1C" w:rsidP="00744A1C">
      <w:pPr>
        <w:pStyle w:val="libNormal"/>
        <w:rPr>
          <w:rtl/>
          <w:lang w:bidi="fa-IR"/>
        </w:rPr>
      </w:pPr>
      <w:r>
        <w:rPr>
          <w:rtl/>
          <w:lang w:bidi="fa-IR"/>
        </w:rPr>
        <w:t>7887 / 2. حُمَيْدُ بْنُ زِيَادٍ ، عَنِ ابْنِ سَمَاعَةَ ، عَنْ غَيْرِ وَاحِدٍ ، عَنْ أَبَانِ بْنِ عُثْمَانَ ، عَنْ عَبْدِ الرَّحْمنِ بْنِ أَبِي عَبْدِ اللهِ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بح ، بخ ، بس ، بف ، جد ، جن » </w:t>
      </w:r>
      <w:r w:rsidR="00744A1C" w:rsidRPr="00596830">
        <w:rPr>
          <w:rtl/>
        </w:rPr>
        <w:t>والوسائل والبحار والتهذيب</w:t>
      </w:r>
      <w:r w:rsidR="00744A1C">
        <w:rPr>
          <w:rtl/>
          <w:lang w:bidi="fa-IR"/>
        </w:rPr>
        <w:t xml:space="preserve"> ، ص 457 : « جذوة ». والأنسب ما في‌المتن وسائر النسخ ؛ فإنّ الجذوة هي القبسة من النار ، وأمّا الحذوة - بكسر الحاء وضمّها - فهي من اللحم : القطعة ، أو ما قطع طولاً ، أو هي القطعة الصغيرة. راجع : </w:t>
      </w:r>
      <w:r w:rsidR="00744A1C" w:rsidRPr="00877682">
        <w:rPr>
          <w:rStyle w:val="libFootnoteBoldChar"/>
          <w:rtl/>
        </w:rPr>
        <w:t>النهاية</w:t>
      </w:r>
      <w:r w:rsidR="00744A1C">
        <w:rPr>
          <w:rtl/>
          <w:lang w:bidi="fa-IR"/>
        </w:rPr>
        <w:t xml:space="preserve"> ، ج 1 ، ص 357 ؛ </w:t>
      </w:r>
      <w:r w:rsidR="00744A1C" w:rsidRPr="00877682">
        <w:rPr>
          <w:rStyle w:val="libFootnoteBoldChar"/>
          <w:rtl/>
        </w:rPr>
        <w:t>لسان العرب</w:t>
      </w:r>
      <w:r w:rsidR="00744A1C">
        <w:rPr>
          <w:rtl/>
          <w:lang w:bidi="fa-IR"/>
        </w:rPr>
        <w:t xml:space="preserve"> ، ج 14 ، ص 171 ( حذا ) ؛ </w:t>
      </w:r>
      <w:r w:rsidR="00744A1C" w:rsidRPr="008A57EB">
        <w:rPr>
          <w:rStyle w:val="libFootnoteBoldChar"/>
          <w:rtl/>
        </w:rPr>
        <w:t>القاموس المحيط</w:t>
      </w:r>
      <w:r w:rsidR="00744A1C">
        <w:rPr>
          <w:rtl/>
          <w:lang w:bidi="fa-IR"/>
        </w:rPr>
        <w:t xml:space="preserve"> ، ج 2 ، ص 1671 ( حذا ).</w:t>
      </w:r>
    </w:p>
    <w:p w:rsidR="00744A1C" w:rsidRDefault="00E378DD" w:rsidP="00E378DD">
      <w:pPr>
        <w:pStyle w:val="libFootnote0"/>
        <w:rPr>
          <w:lang w:bidi="fa-IR"/>
        </w:rPr>
      </w:pPr>
      <w:r>
        <w:rPr>
          <w:rtl/>
          <w:lang w:bidi="fa-IR"/>
        </w:rPr>
        <w:t>(2).</w:t>
      </w:r>
      <w:r w:rsidR="00744A1C">
        <w:rPr>
          <w:rtl/>
          <w:lang w:bidi="fa-IR"/>
        </w:rPr>
        <w:t xml:space="preserve"> في « بخ ، بف » و</w:t>
      </w:r>
      <w:r w:rsidR="00744A1C" w:rsidRPr="00C24F9C">
        <w:rPr>
          <w:rStyle w:val="libFootnoteBoldChar"/>
          <w:rtl/>
        </w:rPr>
        <w:t>الوافي</w:t>
      </w:r>
      <w:r w:rsidR="00744A1C">
        <w:rPr>
          <w:rtl/>
          <w:lang w:bidi="fa-IR"/>
        </w:rPr>
        <w:t xml:space="preserve"> و</w:t>
      </w:r>
      <w:r w:rsidR="00744A1C" w:rsidRPr="0061079A">
        <w:rPr>
          <w:rStyle w:val="libFootnoteBoldChar"/>
          <w:rtl/>
        </w:rPr>
        <w:t>الكافي</w:t>
      </w:r>
      <w:r w:rsidR="00744A1C">
        <w:rPr>
          <w:rtl/>
          <w:lang w:bidi="fa-IR"/>
        </w:rPr>
        <w:t xml:space="preserve"> ، ح 6852 </w:t>
      </w:r>
      <w:r w:rsidR="00744A1C" w:rsidRPr="0061079A">
        <w:rPr>
          <w:rStyle w:val="libFootnoteBoldChar"/>
          <w:rtl/>
        </w:rPr>
        <w:t>والتهذيب</w:t>
      </w:r>
      <w:r w:rsidR="00744A1C">
        <w:rPr>
          <w:rtl/>
          <w:lang w:bidi="fa-IR"/>
        </w:rPr>
        <w:t xml:space="preserve"> ، ص 457 : « لحم ».</w:t>
      </w:r>
    </w:p>
    <w:p w:rsidR="00744A1C" w:rsidRDefault="00E378DD" w:rsidP="00E378DD">
      <w:pPr>
        <w:pStyle w:val="libFootnote0"/>
        <w:rPr>
          <w:lang w:bidi="fa-IR"/>
        </w:rPr>
      </w:pPr>
      <w:r>
        <w:rPr>
          <w:rtl/>
          <w:lang w:bidi="fa-IR"/>
        </w:rPr>
        <w:t>(3).</w:t>
      </w:r>
      <w:r w:rsidR="00744A1C">
        <w:rPr>
          <w:rtl/>
          <w:lang w:bidi="fa-IR"/>
        </w:rPr>
        <w:t xml:space="preserve"> في « بث ، بخ ، بس ، جن » : « ثمّ يطرح ».</w:t>
      </w:r>
    </w:p>
    <w:p w:rsidR="00744A1C" w:rsidRDefault="00E378DD" w:rsidP="00E378DD">
      <w:pPr>
        <w:pStyle w:val="libFootnote0"/>
        <w:rPr>
          <w:lang w:bidi="fa-IR"/>
        </w:rPr>
      </w:pPr>
      <w:r>
        <w:rPr>
          <w:rtl/>
          <w:lang w:bidi="fa-IR"/>
        </w:rPr>
        <w:t>(4).</w:t>
      </w:r>
      <w:r w:rsidR="00744A1C">
        <w:rPr>
          <w:rtl/>
          <w:lang w:bidi="fa-IR"/>
        </w:rPr>
        <w:t xml:space="preserve"> « البُرْمة » : القِدْر مطلقاً. قال ابن الأثير : « وهي في الأصل : المتّخذة من الحجر المعروف بالحجاز واليمن ». راجع : </w:t>
      </w:r>
      <w:r w:rsidR="00744A1C" w:rsidRPr="00E978C3">
        <w:rPr>
          <w:rStyle w:val="libFootnoteBoldChar"/>
          <w:rtl/>
        </w:rPr>
        <w:t>الصحاح</w:t>
      </w:r>
      <w:r w:rsidR="00744A1C">
        <w:rPr>
          <w:rtl/>
          <w:lang w:bidi="fa-IR"/>
        </w:rPr>
        <w:t xml:space="preserve"> ، ج 5 ، ص 187 ؛ </w:t>
      </w:r>
      <w:r w:rsidR="00744A1C" w:rsidRPr="00877682">
        <w:rPr>
          <w:rStyle w:val="libFootnoteBoldChar"/>
          <w:rtl/>
        </w:rPr>
        <w:t>النهاية</w:t>
      </w:r>
      <w:r w:rsidR="00744A1C">
        <w:rPr>
          <w:rtl/>
          <w:lang w:bidi="fa-IR"/>
        </w:rPr>
        <w:t xml:space="preserve"> ، ج 1 ، ص 121 ( برم ).</w:t>
      </w:r>
    </w:p>
    <w:p w:rsidR="00744A1C" w:rsidRDefault="00E378DD" w:rsidP="00E378DD">
      <w:pPr>
        <w:pStyle w:val="libFootnote0"/>
        <w:rPr>
          <w:lang w:bidi="fa-IR"/>
        </w:rPr>
      </w:pPr>
      <w:r>
        <w:rPr>
          <w:rtl/>
          <w:lang w:bidi="fa-IR"/>
        </w:rPr>
        <w:t>(5).</w:t>
      </w:r>
      <w:r w:rsidR="00744A1C">
        <w:rPr>
          <w:rtl/>
          <w:lang w:bidi="fa-IR"/>
        </w:rPr>
        <w:t xml:space="preserve"> في « بث ، بخ ، بس ، جد ، جن » و</w:t>
      </w:r>
      <w:r w:rsidR="00744A1C" w:rsidRPr="00C24F9C">
        <w:rPr>
          <w:rStyle w:val="libFootnoteBoldChar"/>
          <w:rtl/>
        </w:rPr>
        <w:t>الوسائل</w:t>
      </w:r>
      <w:r w:rsidR="00744A1C">
        <w:rPr>
          <w:rtl/>
          <w:lang w:bidi="fa-IR"/>
        </w:rPr>
        <w:t xml:space="preserve"> : « يطبخ ».</w:t>
      </w:r>
    </w:p>
    <w:p w:rsidR="00744A1C" w:rsidRDefault="00E378DD" w:rsidP="00E378DD">
      <w:pPr>
        <w:pStyle w:val="libFootnote0"/>
        <w:rPr>
          <w:lang w:bidi="fa-IR"/>
        </w:rPr>
      </w:pPr>
      <w:r>
        <w:rPr>
          <w:rtl/>
          <w:lang w:bidi="fa-IR"/>
        </w:rPr>
        <w:t>(6).</w:t>
      </w:r>
      <w:r w:rsidR="00744A1C">
        <w:rPr>
          <w:rtl/>
          <w:lang w:bidi="fa-IR"/>
        </w:rPr>
        <w:t xml:space="preserve"> في « بخ ، بف » </w:t>
      </w:r>
      <w:r w:rsidR="00744A1C" w:rsidRPr="00830ED5">
        <w:rPr>
          <w:rtl/>
        </w:rPr>
        <w:t xml:space="preserve">والوافي والوسائل والكافي ، </w:t>
      </w:r>
      <w:r w:rsidR="00744A1C">
        <w:rPr>
          <w:rtl/>
          <w:lang w:bidi="fa-IR"/>
        </w:rPr>
        <w:t xml:space="preserve">ح 6852 </w:t>
      </w:r>
      <w:r w:rsidR="00744A1C" w:rsidRPr="00830ED5">
        <w:rPr>
          <w:rtl/>
        </w:rPr>
        <w:t>والتهذيب ،</w:t>
      </w:r>
      <w:r w:rsidR="00744A1C">
        <w:rPr>
          <w:rtl/>
          <w:lang w:bidi="fa-IR"/>
        </w:rPr>
        <w:t xml:space="preserve"> ص 457 : « فأكل ».</w:t>
      </w:r>
    </w:p>
    <w:tbl>
      <w:tblPr>
        <w:tblStyle w:val="TableGrid"/>
        <w:bidiVisual/>
        <w:tblW w:w="0" w:type="auto"/>
        <w:tblLook w:val="04A0" w:firstRow="1" w:lastRow="0" w:firstColumn="1" w:lastColumn="0" w:noHBand="0" w:noVBand="1"/>
      </w:tblPr>
      <w:tblGrid>
        <w:gridCol w:w="4006"/>
        <w:gridCol w:w="4006"/>
      </w:tblGrid>
      <w:tr w:rsidR="00830ED5" w:rsidTr="00830ED5">
        <w:tc>
          <w:tcPr>
            <w:tcW w:w="4006" w:type="dxa"/>
          </w:tcPr>
          <w:p w:rsidR="00830ED5" w:rsidRDefault="00830ED5" w:rsidP="00E378DD">
            <w:pPr>
              <w:pStyle w:val="libFootnote0"/>
              <w:rPr>
                <w:rtl/>
                <w:lang w:bidi="fa-IR"/>
              </w:rPr>
            </w:pPr>
            <w:r>
              <w:rPr>
                <w:rtl/>
                <w:lang w:bidi="fa-IR"/>
              </w:rPr>
              <w:t>(7). في « بف » : + « منها ».</w:t>
            </w:r>
          </w:p>
        </w:tc>
        <w:tc>
          <w:tcPr>
            <w:tcW w:w="4006" w:type="dxa"/>
          </w:tcPr>
          <w:p w:rsidR="00830ED5" w:rsidRDefault="00830ED5" w:rsidP="00E378DD">
            <w:pPr>
              <w:pStyle w:val="libFootnote0"/>
              <w:rPr>
                <w:rtl/>
                <w:lang w:bidi="fa-IR"/>
              </w:rPr>
            </w:pPr>
            <w:r>
              <w:rPr>
                <w:rtl/>
                <w:lang w:bidi="fa-IR"/>
              </w:rPr>
              <w:t xml:space="preserve">(8). في </w:t>
            </w:r>
            <w:r w:rsidRPr="0061079A">
              <w:rPr>
                <w:rStyle w:val="libFootnoteBoldChar"/>
                <w:rtl/>
              </w:rPr>
              <w:t>الكافي</w:t>
            </w:r>
            <w:r>
              <w:rPr>
                <w:rtl/>
                <w:lang w:bidi="fa-IR"/>
              </w:rPr>
              <w:t xml:space="preserve"> ، ح 6852 : - « منها ».</w:t>
            </w:r>
          </w:p>
        </w:tc>
      </w:tr>
    </w:tbl>
    <w:p w:rsidR="00744A1C" w:rsidRDefault="00E378DD" w:rsidP="00E378DD">
      <w:pPr>
        <w:pStyle w:val="libFootnote0"/>
        <w:rPr>
          <w:lang w:bidi="fa-IR"/>
        </w:rPr>
      </w:pPr>
      <w:r>
        <w:rPr>
          <w:rtl/>
          <w:lang w:bidi="fa-IR"/>
        </w:rPr>
        <w:t>(9).</w:t>
      </w:r>
      <w:r w:rsidR="00744A1C">
        <w:rPr>
          <w:rtl/>
          <w:lang w:bidi="fa-IR"/>
        </w:rPr>
        <w:t xml:space="preserve"> هكذا في النسخ و</w:t>
      </w:r>
      <w:r w:rsidR="00744A1C" w:rsidRPr="0061079A">
        <w:rPr>
          <w:rStyle w:val="libFootnoteBoldChar"/>
          <w:rtl/>
        </w:rPr>
        <w:t>الكافي</w:t>
      </w:r>
      <w:r w:rsidR="00744A1C">
        <w:rPr>
          <w:rtl/>
          <w:lang w:bidi="fa-IR"/>
        </w:rPr>
        <w:t xml:space="preserve"> ، ح 6852 </w:t>
      </w:r>
      <w:r w:rsidR="00744A1C" w:rsidRPr="0061079A">
        <w:rPr>
          <w:rStyle w:val="libFootnoteBoldChar"/>
          <w:rtl/>
        </w:rPr>
        <w:t>والتهذيب</w:t>
      </w:r>
      <w:r w:rsidR="00744A1C">
        <w:rPr>
          <w:rtl/>
          <w:lang w:bidi="fa-IR"/>
        </w:rPr>
        <w:t xml:space="preserve"> ، ح 752 ، وفي المطبوع و</w:t>
      </w:r>
      <w:r w:rsidR="00744A1C" w:rsidRPr="00C24F9C">
        <w:rPr>
          <w:rStyle w:val="libFootnoteBoldChar"/>
          <w:rtl/>
        </w:rPr>
        <w:t>الوافي</w:t>
      </w:r>
      <w:r w:rsidR="00744A1C">
        <w:rPr>
          <w:rtl/>
          <w:lang w:bidi="fa-IR"/>
        </w:rPr>
        <w:t xml:space="preserve"> : « وحسيا ». وفي </w:t>
      </w:r>
      <w:r w:rsidR="00744A1C" w:rsidRPr="00830ED5">
        <w:rPr>
          <w:rtl/>
        </w:rPr>
        <w:t>الوسائل والبحار والتهذيب</w:t>
      </w:r>
      <w:r w:rsidR="00744A1C">
        <w:rPr>
          <w:rtl/>
          <w:lang w:bidi="fa-IR"/>
        </w:rPr>
        <w:t xml:space="preserve"> ، ص 457 : « وحسياً ». و « حَسَوا » أي شربا منه شيئاً بعد ، يقال : حسا زيد المرق وتحسّاه ، أي شرب منه شيئاً بعد شي‌ء. راجع : </w:t>
      </w:r>
      <w:r w:rsidR="00744A1C" w:rsidRPr="008A57EB">
        <w:rPr>
          <w:rStyle w:val="libFootnoteBoldChar"/>
          <w:rtl/>
        </w:rPr>
        <w:t>القاموس المحيط</w:t>
      </w:r>
      <w:r w:rsidR="00744A1C">
        <w:rPr>
          <w:rtl/>
          <w:lang w:bidi="fa-IR"/>
        </w:rPr>
        <w:t xml:space="preserve"> ، ج 2 ، ص 1672 ؛ </w:t>
      </w:r>
      <w:r w:rsidR="00744A1C" w:rsidRPr="008A57EB">
        <w:rPr>
          <w:rStyle w:val="libFootnoteBoldChar"/>
          <w:rtl/>
        </w:rPr>
        <w:t>مجمع البحرين</w:t>
      </w:r>
      <w:r w:rsidR="00744A1C">
        <w:rPr>
          <w:rtl/>
          <w:lang w:bidi="fa-IR"/>
        </w:rPr>
        <w:t xml:space="preserve"> ، ج 1 ، ص 99 ( حسو ).</w:t>
      </w:r>
    </w:p>
    <w:p w:rsidR="00744A1C" w:rsidRDefault="00E378DD" w:rsidP="00830ED5">
      <w:pPr>
        <w:pStyle w:val="libFootnote0"/>
        <w:rPr>
          <w:lang w:bidi="fa-IR"/>
        </w:rPr>
      </w:pPr>
      <w:r>
        <w:rPr>
          <w:rtl/>
          <w:lang w:bidi="fa-IR"/>
        </w:rPr>
        <w:t>(10).</w:t>
      </w:r>
      <w:r w:rsidR="00744A1C">
        <w:rPr>
          <w:rtl/>
          <w:lang w:bidi="fa-IR"/>
        </w:rPr>
        <w:t xml:space="preserve"> المرق - بالتحريك - : ماء اللحم إذا طبخ. وفي </w:t>
      </w:r>
      <w:r w:rsidR="00744A1C" w:rsidRPr="00C24F9C">
        <w:rPr>
          <w:rStyle w:val="libFootnoteBoldChar"/>
          <w:rtl/>
        </w:rPr>
        <w:t>الوافي</w:t>
      </w:r>
      <w:r w:rsidR="00744A1C">
        <w:rPr>
          <w:rtl/>
          <w:lang w:bidi="fa-IR"/>
        </w:rPr>
        <w:t xml:space="preserve"> : « إنّما فعل </w:t>
      </w:r>
      <w:r w:rsidR="005E465D" w:rsidRPr="005E465D">
        <w:rPr>
          <w:rStyle w:val="libAlaemChar"/>
          <w:rFonts w:eastAsiaTheme="minorHAnsi"/>
          <w:rtl/>
        </w:rPr>
        <w:t>صلى‌الله‌عليه‌وآله</w:t>
      </w:r>
      <w:r w:rsidR="00830ED5" w:rsidRPr="00830ED5">
        <w:rPr>
          <w:rFonts w:eastAsiaTheme="minorHAnsi"/>
          <w:rtl/>
        </w:rPr>
        <w:t xml:space="preserve"> </w:t>
      </w:r>
      <w:r w:rsidR="00744A1C">
        <w:rPr>
          <w:rtl/>
          <w:lang w:bidi="fa-IR"/>
        </w:rPr>
        <w:t xml:space="preserve">ذلك ليكونا آكلين من كلّ بدنة ، كما وقع التصريح به في متن الحديث ، على ما مضى في باب حجّ نبيّنا </w:t>
      </w:r>
      <w:r w:rsidR="005E465D" w:rsidRPr="005E465D">
        <w:rPr>
          <w:rStyle w:val="libAlaemChar"/>
          <w:rFonts w:eastAsiaTheme="minorHAnsi"/>
          <w:rtl/>
        </w:rPr>
        <w:t>صلى‌الله‌عليه‌وآله</w:t>
      </w:r>
      <w:r w:rsidR="00830ED5" w:rsidRPr="00830ED5">
        <w:rPr>
          <w:rFonts w:eastAsiaTheme="minorHAnsi"/>
          <w:rtl/>
        </w:rPr>
        <w:t xml:space="preserve"> </w:t>
      </w:r>
      <w:r w:rsidR="00830ED5">
        <w:rPr>
          <w:rtl/>
          <w:lang w:bidi="fa-IR"/>
        </w:rPr>
        <w:t>». وقال العل</w:t>
      </w:r>
      <w:r w:rsidR="00830ED5">
        <w:rPr>
          <w:rFonts w:hint="cs"/>
          <w:rtl/>
          <w:lang w:bidi="fa-IR"/>
        </w:rPr>
        <w:t>ّ</w:t>
      </w:r>
      <w:r w:rsidR="00830ED5">
        <w:rPr>
          <w:rtl/>
          <w:lang w:bidi="fa-IR"/>
        </w:rPr>
        <w:t>ا</w:t>
      </w:r>
      <w:r w:rsidR="00744A1C">
        <w:rPr>
          <w:rtl/>
          <w:lang w:bidi="fa-IR"/>
        </w:rPr>
        <w:t xml:space="preserve">مة المجلسي : « يدلّ على تحقّق الأكل من الذبيحة بشرب المرق الذي يحصل من لحمها ». راجع : </w:t>
      </w:r>
      <w:r w:rsidR="00744A1C" w:rsidRPr="008A57EB">
        <w:rPr>
          <w:rStyle w:val="libFootnoteBoldChar"/>
          <w:rtl/>
        </w:rPr>
        <w:t>مجمع البحرين</w:t>
      </w:r>
      <w:r w:rsidR="00744A1C">
        <w:rPr>
          <w:rtl/>
          <w:lang w:bidi="fa-IR"/>
        </w:rPr>
        <w:t xml:space="preserve"> ، ج 5 ، ص 236 ( مرق ) ؛ </w:t>
      </w:r>
      <w:r w:rsidR="00744A1C" w:rsidRPr="00877682">
        <w:rPr>
          <w:rStyle w:val="libFootnoteBoldChar"/>
          <w:rtl/>
        </w:rPr>
        <w:t>مرآة العقول</w:t>
      </w:r>
      <w:r w:rsidR="00744A1C">
        <w:rPr>
          <w:rtl/>
          <w:lang w:bidi="fa-IR"/>
        </w:rPr>
        <w:t xml:space="preserve"> ، ج 18 ، ص 180.</w:t>
      </w:r>
    </w:p>
    <w:p w:rsidR="00744A1C" w:rsidRDefault="00E378DD" w:rsidP="00830ED5">
      <w:pPr>
        <w:pStyle w:val="libFootnote0"/>
        <w:rPr>
          <w:lang w:bidi="fa-IR"/>
        </w:rPr>
      </w:pPr>
      <w:r>
        <w:rPr>
          <w:rtl/>
          <w:lang w:bidi="fa-IR"/>
        </w:rPr>
        <w:t>(11).</w:t>
      </w:r>
      <w:r w:rsidR="00744A1C">
        <w:rPr>
          <w:rtl/>
          <w:lang w:bidi="fa-IR"/>
        </w:rPr>
        <w:t xml:space="preserve"> </w:t>
      </w:r>
      <w:r w:rsidR="00744A1C" w:rsidRPr="0061079A">
        <w:rPr>
          <w:rStyle w:val="libFootnoteBoldChar"/>
          <w:rtl/>
        </w:rPr>
        <w:t>الكافي</w:t>
      </w:r>
      <w:r w:rsidR="00744A1C">
        <w:rPr>
          <w:rtl/>
          <w:lang w:bidi="fa-IR"/>
        </w:rPr>
        <w:t xml:space="preserve"> ، كتاب الحجّ ، باب حجّ النبيّ </w:t>
      </w:r>
      <w:r w:rsidR="005E465D" w:rsidRPr="005E465D">
        <w:rPr>
          <w:rStyle w:val="libAlaemChar"/>
          <w:rFonts w:eastAsiaTheme="minorHAnsi"/>
          <w:rtl/>
        </w:rPr>
        <w:t>صلى‌الله‌عليه‌وآله</w:t>
      </w:r>
      <w:r w:rsidR="00830ED5" w:rsidRPr="00830ED5">
        <w:rPr>
          <w:rFonts w:eastAsiaTheme="minorHAnsi"/>
          <w:rtl/>
        </w:rPr>
        <w:t xml:space="preserve"> </w:t>
      </w:r>
      <w:r w:rsidR="00744A1C">
        <w:rPr>
          <w:rtl/>
          <w:lang w:bidi="fa-IR"/>
        </w:rPr>
        <w:t xml:space="preserve">، ضمن الحديث الطويل 6852. وفي </w:t>
      </w:r>
      <w:r w:rsidR="00744A1C" w:rsidRPr="00C24F9C">
        <w:rPr>
          <w:rStyle w:val="libFootnoteBoldChar"/>
          <w:rtl/>
        </w:rPr>
        <w:t>التهذيب</w:t>
      </w:r>
      <w:r w:rsidR="00744A1C">
        <w:rPr>
          <w:rtl/>
          <w:lang w:bidi="fa-IR"/>
        </w:rPr>
        <w:t xml:space="preserve"> ، ج 5 ، ص 223 ، ح 752 ، بسنده عن صفوان وابن أبي عمير وجميل بن درّاج وحمّاد بن عيسى وجماعة ممّن روينا عنه من أصحابنا ، عن أبي جعفر وأبي عبدالله </w:t>
      </w:r>
      <w:r w:rsidR="00F112A7" w:rsidRPr="00CE5A92">
        <w:rPr>
          <w:rStyle w:val="libFootnoteAlaemChar"/>
          <w:rtl/>
        </w:rPr>
        <w:t>عليهما‌السلام</w:t>
      </w:r>
      <w:r w:rsidR="00744A1C">
        <w:rPr>
          <w:rtl/>
          <w:lang w:bidi="fa-IR"/>
        </w:rPr>
        <w:t xml:space="preserve">؛ </w:t>
      </w:r>
      <w:r w:rsidR="00744A1C" w:rsidRPr="00C24F9C">
        <w:rPr>
          <w:rStyle w:val="libFootnoteBoldChar"/>
          <w:rtl/>
        </w:rPr>
        <w:t>التهذيب</w:t>
      </w:r>
      <w:r w:rsidR="00744A1C">
        <w:rPr>
          <w:rtl/>
          <w:lang w:bidi="fa-IR"/>
        </w:rPr>
        <w:t xml:space="preserve"> ، ج 5 ، ص 457 ، ضمن الحديث الطويل 1588 ، بسنده عن ابن أبي عمير ، عن معاوية بن عمّار وبسند آخر عن صفوان ، عن معاوية بن عمّار. </w:t>
      </w:r>
      <w:r w:rsidR="00744A1C" w:rsidRPr="003A7143">
        <w:rPr>
          <w:rStyle w:val="libFootnoteBoldChar"/>
          <w:rtl/>
        </w:rPr>
        <w:t>علل الشرائع</w:t>
      </w:r>
      <w:r w:rsidR="00744A1C">
        <w:rPr>
          <w:rtl/>
          <w:lang w:bidi="fa-IR"/>
        </w:rPr>
        <w:t xml:space="preserve"> ، ص 412 ، ضمن ح 1 ، بسند آخر ، مع اختلاف يسير </w:t>
      </w:r>
      <w:r w:rsidR="0037229F">
        <w:rPr>
          <w:rFonts w:hint="cs"/>
          <w:rtl/>
          <w:lang w:bidi="fa-IR"/>
        </w:rPr>
        <w:t>.</w:t>
      </w:r>
      <w:r w:rsidR="00744A1C" w:rsidRPr="00C24F9C">
        <w:rPr>
          <w:rStyle w:val="libFootnoteBoldChar"/>
          <w:rtl/>
        </w:rPr>
        <w:t>الوافي</w:t>
      </w:r>
      <w:r w:rsidR="00744A1C">
        <w:rPr>
          <w:rtl/>
          <w:lang w:bidi="fa-IR"/>
        </w:rPr>
        <w:t xml:space="preserve"> ، ج 14 ، ص 1159 ، ح 13997 ؛ </w:t>
      </w:r>
      <w:r w:rsidR="00744A1C" w:rsidRPr="00C24F9C">
        <w:rPr>
          <w:rStyle w:val="libFootnoteBoldChar"/>
          <w:rtl/>
        </w:rPr>
        <w:t>الوسائل</w:t>
      </w:r>
      <w:r w:rsidR="00744A1C">
        <w:rPr>
          <w:rtl/>
          <w:lang w:bidi="fa-IR"/>
        </w:rPr>
        <w:t xml:space="preserve"> ، ج 14 ، ص 162 ، ح 18875 ؛ </w:t>
      </w:r>
      <w:r w:rsidR="00744A1C" w:rsidRPr="0061079A">
        <w:rPr>
          <w:rStyle w:val="libFootnoteBoldChar"/>
          <w:rtl/>
        </w:rPr>
        <w:t>البحار</w:t>
      </w:r>
      <w:r w:rsidR="00744A1C">
        <w:rPr>
          <w:rtl/>
          <w:lang w:bidi="fa-IR"/>
        </w:rPr>
        <w:t xml:space="preserve"> ، ج 21 ، ص 394 ، ح 16.</w:t>
      </w:r>
    </w:p>
    <w:p w:rsidR="00150943" w:rsidRDefault="00150943" w:rsidP="00D10E3C">
      <w:pPr>
        <w:pStyle w:val="libNormal"/>
        <w:rPr>
          <w:rtl/>
          <w:lang w:bidi="fa-IR"/>
        </w:rPr>
      </w:pPr>
      <w:r>
        <w:rPr>
          <w:rtl/>
          <w:lang w:bidi="fa-IR"/>
        </w:rPr>
        <w:br w:type="page"/>
      </w:r>
    </w:p>
    <w:p w:rsidR="00744A1C" w:rsidRDefault="00744A1C" w:rsidP="0037229F">
      <w:pPr>
        <w:pStyle w:val="libNormal0"/>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تَعَالى : </w:t>
      </w:r>
      <w:r w:rsidRPr="0037229F">
        <w:rPr>
          <w:rStyle w:val="libAlaemChar"/>
          <w:rtl/>
        </w:rPr>
        <w:t>(</w:t>
      </w:r>
      <w:r w:rsidRPr="0037229F">
        <w:rPr>
          <w:rStyle w:val="libAieChar"/>
          <w:rtl/>
        </w:rPr>
        <w:t xml:space="preserve"> فَإِذا وَجَبَتْ جُنُوبُها </w:t>
      </w:r>
      <w:r w:rsidRPr="0037229F">
        <w:rPr>
          <w:rStyle w:val="libAlaemChar"/>
          <w:rtl/>
        </w:rPr>
        <w:t>)</w:t>
      </w:r>
      <w:r>
        <w:rPr>
          <w:rtl/>
          <w:lang w:bidi="fa-IR"/>
        </w:rPr>
        <w:t xml:space="preserve"> قَالَ : « إِذَا وَقَعَتْ عَلَى </w:t>
      </w:r>
      <w:r w:rsidRPr="00D10E3C">
        <w:rPr>
          <w:rStyle w:val="libFootnotenumChar"/>
          <w:rtl/>
        </w:rPr>
        <w:t>(1)</w:t>
      </w:r>
      <w:r>
        <w:rPr>
          <w:rtl/>
          <w:lang w:bidi="fa-IR"/>
        </w:rPr>
        <w:t xml:space="preserve"> الْأَرْضِ ».</w:t>
      </w:r>
    </w:p>
    <w:p w:rsidR="00144FA6" w:rsidRDefault="00744A1C" w:rsidP="00744A1C">
      <w:pPr>
        <w:pStyle w:val="libNormal"/>
        <w:rPr>
          <w:rtl/>
          <w:lang w:bidi="fa-IR"/>
        </w:rPr>
      </w:pPr>
      <w:r w:rsidRPr="0087251F">
        <w:rPr>
          <w:rStyle w:val="libAlaemChar"/>
          <w:rtl/>
        </w:rPr>
        <w:t>(</w:t>
      </w:r>
      <w:r w:rsidRPr="0087251F">
        <w:rPr>
          <w:rStyle w:val="libAieChar"/>
          <w:rtl/>
        </w:rPr>
        <w:t xml:space="preserve"> فَكُلُوا مِنْها وَأَطْعِمُوا الْقانِعَ وَالْمُعْتَرَّ </w:t>
      </w:r>
      <w:r w:rsidRPr="0087251F">
        <w:rPr>
          <w:rStyle w:val="libAlaemChar"/>
          <w:rtl/>
        </w:rPr>
        <w:t>)</w:t>
      </w:r>
      <w:r>
        <w:rPr>
          <w:rtl/>
          <w:lang w:bidi="fa-IR"/>
        </w:rPr>
        <w:t xml:space="preserve"> </w:t>
      </w:r>
      <w:r w:rsidRPr="00D10E3C">
        <w:rPr>
          <w:rStyle w:val="libFootnotenumChar"/>
          <w:rtl/>
        </w:rPr>
        <w:t>(2)</w:t>
      </w:r>
      <w:r>
        <w:rPr>
          <w:rtl/>
          <w:lang w:bidi="fa-IR"/>
        </w:rPr>
        <w:t xml:space="preserve"> قَالَ : « الْقَانِعُ : الَّذِي يَرْضى بِمَا أَعْطَيْتَهُ ، وَلَا يَسْخَطُ ، وَلَا يَكْلَحُ </w:t>
      </w:r>
      <w:r w:rsidRPr="00D10E3C">
        <w:rPr>
          <w:rStyle w:val="libFootnotenumChar"/>
          <w:rtl/>
        </w:rPr>
        <w:t>(3)</w:t>
      </w:r>
      <w:r>
        <w:rPr>
          <w:rtl/>
          <w:lang w:bidi="fa-IR"/>
        </w:rPr>
        <w:t xml:space="preserve"> ، وَلَايَلْوِي </w:t>
      </w:r>
      <w:r w:rsidRPr="00D10E3C">
        <w:rPr>
          <w:rStyle w:val="libFootnotenumChar"/>
          <w:rtl/>
        </w:rPr>
        <w:t>(4)</w:t>
      </w:r>
      <w:r>
        <w:rPr>
          <w:rtl/>
          <w:lang w:bidi="fa-IR"/>
        </w:rPr>
        <w:t xml:space="preserve"> شِدْقَهُ </w:t>
      </w:r>
      <w:r w:rsidRPr="00D10E3C">
        <w:rPr>
          <w:rStyle w:val="libFootnotenumChar"/>
          <w:rtl/>
        </w:rPr>
        <w:t>(5)</w:t>
      </w:r>
      <w:r>
        <w:rPr>
          <w:rtl/>
          <w:lang w:bidi="fa-IR"/>
        </w:rPr>
        <w:t xml:space="preserve"> غَضَباً ؛ وَالْمُعْتَرُّ </w:t>
      </w:r>
      <w:r w:rsidRPr="00D10E3C">
        <w:rPr>
          <w:rStyle w:val="libFootnotenumChar"/>
          <w:rtl/>
        </w:rPr>
        <w:t>(6)</w:t>
      </w:r>
      <w:r>
        <w:rPr>
          <w:rtl/>
          <w:lang w:bidi="fa-IR"/>
        </w:rPr>
        <w:t xml:space="preserve"> : الْمَارُّ بِكَ لِتُطْعِمَهُ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7888 / 3. عِدَّةٌ مِنْ أَصْحَابِنَا ، عَنْ أَحْمَدَ بْنِ مُحَمَّدٍ ، عَنْ مُحَمَّدِ بْنِ إِسْمَاعِيلَ ، عَنْ مُحَمَّدِ بْنِ الْفُضَيْلِ ، عَنْ أَبِي الصَّبَّاحِ الْكِنَانِيِّ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لُحُومِ الْأَضَاحِيِّ؟</w:t>
      </w:r>
    </w:p>
    <w:p w:rsidR="00144FA6" w:rsidRDefault="00744A1C" w:rsidP="00744A1C">
      <w:pPr>
        <w:pStyle w:val="libNormal"/>
        <w:rPr>
          <w:rtl/>
          <w:lang w:bidi="fa-IR"/>
        </w:rPr>
      </w:pPr>
      <w:r>
        <w:rPr>
          <w:rtl/>
          <w:lang w:bidi="fa-IR"/>
        </w:rPr>
        <w:t xml:space="preserve">فَقَالَ : « كَانَ عَلِيُّ بْنُ الْحُسَيْنِ وَأَبُو جَعْفَرٍ </w:t>
      </w:r>
      <w:r w:rsidR="008859AA" w:rsidRPr="00FD752B">
        <w:rPr>
          <w:rStyle w:val="libFootnoteAlaemChar"/>
          <w:rtl/>
        </w:rPr>
        <w:t>عليهما‌السلام</w:t>
      </w:r>
      <w:r w:rsidR="00FD752B" w:rsidRPr="00FD752B">
        <w:rPr>
          <w:rFonts w:hint="cs"/>
          <w:rtl/>
        </w:rPr>
        <w:t xml:space="preserve"> </w:t>
      </w:r>
      <w:r>
        <w:rPr>
          <w:rtl/>
          <w:lang w:bidi="fa-IR"/>
        </w:rPr>
        <w:t xml:space="preserve">يَتَصَدَّقَانِ بِثُلُثٍ عَلى جِيرَانِهِمْ </w:t>
      </w:r>
      <w:r w:rsidRPr="00D10E3C">
        <w:rPr>
          <w:rStyle w:val="libFootnotenumChar"/>
          <w:rtl/>
        </w:rPr>
        <w:t>(9)</w:t>
      </w:r>
      <w:r>
        <w:rPr>
          <w:rtl/>
          <w:lang w:bidi="fa-IR"/>
        </w:rPr>
        <w:t xml:space="preserve"> ، وَثُلُثٍ عَلَى السُّؤَّالِ ، وَثُلُثٌ يُمْسِكُونَهُ </w:t>
      </w:r>
      <w:r w:rsidRPr="00D10E3C">
        <w:rPr>
          <w:rStyle w:val="libFootnotenumChar"/>
          <w:rtl/>
        </w:rPr>
        <w:t>(10)</w:t>
      </w:r>
      <w:r>
        <w:rPr>
          <w:rtl/>
          <w:lang w:bidi="fa-IR"/>
        </w:rPr>
        <w:t xml:space="preserve"> لِأَهْلِ الْبَيْتِ ». </w:t>
      </w:r>
      <w:r w:rsidRPr="00D10E3C">
        <w:rPr>
          <w:rStyle w:val="libFootnotenumChar"/>
          <w:rtl/>
        </w:rPr>
        <w:t>(11)</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FD752B" w:rsidTr="00FD752B">
        <w:tc>
          <w:tcPr>
            <w:tcW w:w="4006" w:type="dxa"/>
          </w:tcPr>
          <w:p w:rsidR="00FD752B" w:rsidRDefault="00FD752B" w:rsidP="00D10E3C">
            <w:pPr>
              <w:pStyle w:val="libFootnote0"/>
              <w:rPr>
                <w:rtl/>
                <w:lang w:bidi="fa-IR"/>
              </w:rPr>
            </w:pPr>
            <w:r>
              <w:rPr>
                <w:rtl/>
                <w:lang w:bidi="fa-IR"/>
              </w:rPr>
              <w:t>(1). في « بث ، بف » : « إلى ».</w:t>
            </w:r>
          </w:p>
        </w:tc>
        <w:tc>
          <w:tcPr>
            <w:tcW w:w="4006" w:type="dxa"/>
          </w:tcPr>
          <w:p w:rsidR="00FD752B" w:rsidRDefault="00FD752B" w:rsidP="00D10E3C">
            <w:pPr>
              <w:pStyle w:val="libFootnote0"/>
              <w:rPr>
                <w:rtl/>
                <w:lang w:bidi="fa-IR"/>
              </w:rPr>
            </w:pPr>
            <w:r>
              <w:rPr>
                <w:rtl/>
                <w:lang w:bidi="fa-IR"/>
              </w:rPr>
              <w:t>(2). الحجّ (22) : 36.</w:t>
            </w:r>
          </w:p>
        </w:tc>
      </w:tr>
    </w:tbl>
    <w:p w:rsidR="00744A1C" w:rsidRDefault="00E378DD" w:rsidP="00E378DD">
      <w:pPr>
        <w:pStyle w:val="libFootnote0"/>
        <w:rPr>
          <w:lang w:bidi="fa-IR"/>
        </w:rPr>
      </w:pPr>
      <w:r>
        <w:rPr>
          <w:rtl/>
          <w:lang w:bidi="fa-IR"/>
        </w:rPr>
        <w:t>(3).</w:t>
      </w:r>
      <w:r w:rsidR="00744A1C">
        <w:rPr>
          <w:rtl/>
          <w:lang w:bidi="fa-IR"/>
        </w:rPr>
        <w:t xml:space="preserve"> « يكلح » أي يعبس ؛ من الكُلُوح بمعنى العُبوس ، أو بمعنى بُدُوّ الأسنان عند العُبوس. راجع : </w:t>
      </w:r>
      <w:r w:rsidR="00744A1C" w:rsidRPr="00E978C3">
        <w:rPr>
          <w:rStyle w:val="libFootnoteBoldChar"/>
          <w:rtl/>
        </w:rPr>
        <w:t>ترتيب كتاب العين</w:t>
      </w:r>
      <w:r w:rsidR="00744A1C">
        <w:rPr>
          <w:rtl/>
          <w:lang w:bidi="fa-IR"/>
        </w:rPr>
        <w:t xml:space="preserve"> ، ج 3 ، ص 1590 ؛ </w:t>
      </w:r>
      <w:r w:rsidR="00744A1C" w:rsidRPr="00877682">
        <w:rPr>
          <w:rStyle w:val="libFootnoteBoldChar"/>
          <w:rtl/>
        </w:rPr>
        <w:t>النهاية</w:t>
      </w:r>
      <w:r w:rsidR="00744A1C">
        <w:rPr>
          <w:rtl/>
          <w:lang w:bidi="fa-IR"/>
        </w:rPr>
        <w:t xml:space="preserve"> ، ج 4 ، ص 196 ( كلح ).</w:t>
      </w:r>
    </w:p>
    <w:p w:rsidR="00744A1C" w:rsidRDefault="00E378DD" w:rsidP="00E378DD">
      <w:pPr>
        <w:pStyle w:val="libFootnote0"/>
        <w:rPr>
          <w:lang w:bidi="fa-IR"/>
        </w:rPr>
      </w:pPr>
      <w:r>
        <w:rPr>
          <w:rtl/>
          <w:lang w:bidi="fa-IR"/>
        </w:rPr>
        <w:t>(4).</w:t>
      </w:r>
      <w:r w:rsidR="00744A1C">
        <w:rPr>
          <w:rtl/>
          <w:lang w:bidi="fa-IR"/>
        </w:rPr>
        <w:t xml:space="preserve"> في المعاني : « ولا يزيد ». وقوله : « لا يلوي » ، أي لا يميل ؛ يقال : ألوى برأسه ولواه ، أي أماله من جانب إلى جانب ، وأعرضه. راجع : </w:t>
      </w:r>
      <w:r w:rsidR="00744A1C" w:rsidRPr="00E978C3">
        <w:rPr>
          <w:rStyle w:val="libFootnoteBoldChar"/>
          <w:rtl/>
        </w:rPr>
        <w:t>الصحاح</w:t>
      </w:r>
      <w:r w:rsidR="00744A1C">
        <w:rPr>
          <w:rtl/>
          <w:lang w:bidi="fa-IR"/>
        </w:rPr>
        <w:t xml:space="preserve"> ، ج 6 ، ص 2489 ؛ </w:t>
      </w:r>
      <w:r w:rsidR="00744A1C" w:rsidRPr="00877682">
        <w:rPr>
          <w:rStyle w:val="libFootnoteBoldChar"/>
          <w:rtl/>
        </w:rPr>
        <w:t>النهاية</w:t>
      </w:r>
      <w:r w:rsidR="00744A1C">
        <w:rPr>
          <w:rtl/>
          <w:lang w:bidi="fa-IR"/>
        </w:rPr>
        <w:t xml:space="preserve"> ، ج 4 ، ص 279 ( لوا ).</w:t>
      </w:r>
    </w:p>
    <w:p w:rsidR="00744A1C" w:rsidRDefault="00E378DD" w:rsidP="00E378DD">
      <w:pPr>
        <w:pStyle w:val="libFootnote0"/>
        <w:rPr>
          <w:lang w:bidi="fa-IR"/>
        </w:rPr>
      </w:pPr>
      <w:r>
        <w:rPr>
          <w:rtl/>
          <w:lang w:bidi="fa-IR"/>
        </w:rPr>
        <w:t>(5).</w:t>
      </w:r>
      <w:r w:rsidR="00744A1C">
        <w:rPr>
          <w:rtl/>
          <w:lang w:bidi="fa-IR"/>
        </w:rPr>
        <w:t xml:space="preserve"> « الشدق » : جانب الفم. قال الفيّومي « الشدق : جانب الفم ، بالفتح والكسر ». راجع : </w:t>
      </w:r>
      <w:r w:rsidR="00744A1C" w:rsidRPr="00E978C3">
        <w:rPr>
          <w:rStyle w:val="libFootnoteBoldChar"/>
          <w:rtl/>
        </w:rPr>
        <w:t>الصحاح</w:t>
      </w:r>
      <w:r w:rsidR="00744A1C">
        <w:rPr>
          <w:rtl/>
          <w:lang w:bidi="fa-IR"/>
        </w:rPr>
        <w:t xml:space="preserve"> ، ج 4 ، ص 1500 ؛ </w:t>
      </w:r>
      <w:r w:rsidR="00744A1C" w:rsidRPr="00E978C3">
        <w:rPr>
          <w:rStyle w:val="libFootnoteBoldChar"/>
          <w:rtl/>
        </w:rPr>
        <w:t>المصباح المنير</w:t>
      </w:r>
      <w:r w:rsidR="00744A1C">
        <w:rPr>
          <w:rtl/>
          <w:lang w:bidi="fa-IR"/>
        </w:rPr>
        <w:t xml:space="preserve"> ، ص 307 ( شدق ).</w:t>
      </w:r>
    </w:p>
    <w:p w:rsidR="00744A1C" w:rsidRDefault="00E378DD" w:rsidP="00E378DD">
      <w:pPr>
        <w:pStyle w:val="libFootnote0"/>
        <w:rPr>
          <w:lang w:bidi="fa-IR"/>
        </w:rPr>
      </w:pPr>
      <w:r>
        <w:rPr>
          <w:rtl/>
          <w:lang w:bidi="fa-IR"/>
        </w:rPr>
        <w:t>(6).</w:t>
      </w:r>
      <w:r w:rsidR="00744A1C">
        <w:rPr>
          <w:rtl/>
          <w:lang w:bidi="fa-IR"/>
        </w:rPr>
        <w:t xml:space="preserve"> قال الجوهري : « المعترّ : الذي يتعرّض للمسألة ولا يسأل ». راجع : </w:t>
      </w:r>
      <w:r w:rsidR="00744A1C" w:rsidRPr="00E978C3">
        <w:rPr>
          <w:rStyle w:val="libFootnoteBoldChar"/>
          <w:rtl/>
        </w:rPr>
        <w:t>الصحاح</w:t>
      </w:r>
      <w:r w:rsidR="00744A1C">
        <w:rPr>
          <w:rtl/>
          <w:lang w:bidi="fa-IR"/>
        </w:rPr>
        <w:t xml:space="preserve"> ، ج 2 ، ص 744 ( عرر ).</w:t>
      </w:r>
    </w:p>
    <w:p w:rsidR="00744A1C" w:rsidRDefault="00E378DD" w:rsidP="00E378DD">
      <w:pPr>
        <w:pStyle w:val="libFootnote0"/>
        <w:rPr>
          <w:lang w:bidi="fa-IR"/>
        </w:rPr>
      </w:pPr>
      <w:r>
        <w:rPr>
          <w:rtl/>
          <w:lang w:bidi="fa-IR"/>
        </w:rPr>
        <w:t>(7).</w:t>
      </w:r>
      <w:r w:rsidR="00744A1C">
        <w:rPr>
          <w:rtl/>
          <w:lang w:bidi="fa-IR"/>
        </w:rPr>
        <w:t xml:space="preserve"> في « بف » : « تطعمه ».</w:t>
      </w:r>
    </w:p>
    <w:p w:rsidR="00744A1C" w:rsidRDefault="00E378DD" w:rsidP="00E378DD">
      <w:pPr>
        <w:pStyle w:val="libFootnote0"/>
        <w:rPr>
          <w:lang w:bidi="fa-IR"/>
        </w:rPr>
      </w:pPr>
      <w:r>
        <w:rPr>
          <w:rtl/>
          <w:lang w:bidi="fa-IR"/>
        </w:rPr>
        <w:t>(8).</w:t>
      </w:r>
      <w:r w:rsidR="00744A1C">
        <w:rPr>
          <w:rtl/>
          <w:lang w:bidi="fa-IR"/>
        </w:rPr>
        <w:t xml:space="preserve"> </w:t>
      </w:r>
      <w:r w:rsidR="00744A1C" w:rsidRPr="00610FB4">
        <w:rPr>
          <w:rStyle w:val="libFootnoteBoldChar"/>
          <w:rtl/>
        </w:rPr>
        <w:t>معاني الأخبار</w:t>
      </w:r>
      <w:r w:rsidR="00744A1C">
        <w:rPr>
          <w:rtl/>
          <w:lang w:bidi="fa-IR"/>
        </w:rPr>
        <w:t xml:space="preserve"> ، ص 208 ، ح 1 ، بسنده عن أبان بن عثمان. وفي </w:t>
      </w:r>
      <w:r w:rsidR="00744A1C" w:rsidRPr="0061079A">
        <w:rPr>
          <w:rStyle w:val="libFootnoteBoldChar"/>
          <w:rtl/>
        </w:rPr>
        <w:t>الكافي</w:t>
      </w:r>
      <w:r w:rsidR="00744A1C">
        <w:rPr>
          <w:rtl/>
          <w:lang w:bidi="fa-IR"/>
        </w:rPr>
        <w:t xml:space="preserve"> ، كتاب الزكاة ، باب الحصاد والجداد ، ضمن ح 5986 ؛ </w:t>
      </w:r>
      <w:r w:rsidR="00744A1C" w:rsidRPr="0061079A">
        <w:rPr>
          <w:rStyle w:val="libFootnoteBoldChar"/>
          <w:rtl/>
        </w:rPr>
        <w:t>والتهذيب</w:t>
      </w:r>
      <w:r w:rsidR="00744A1C">
        <w:rPr>
          <w:rtl/>
          <w:lang w:bidi="fa-IR"/>
        </w:rPr>
        <w:t xml:space="preserve"> ، ج 4 ، ص 106 ، ضمن ح 304 ، بسند آخر ، من قوله : « القانع : الذي يرضى » مع اختلاف يسير. </w:t>
      </w:r>
      <w:r w:rsidR="00744A1C" w:rsidRPr="00C24F9C">
        <w:rPr>
          <w:rStyle w:val="libFootnoteBoldChar"/>
          <w:rtl/>
        </w:rPr>
        <w:t>التهذيب</w:t>
      </w:r>
      <w:r w:rsidR="00744A1C">
        <w:rPr>
          <w:rtl/>
          <w:lang w:bidi="fa-IR"/>
        </w:rPr>
        <w:t xml:space="preserve"> ، ج 5 ، ص 223 ، ح 753 ، بسند آخر ، من قوله : « فكلوا منها وأطعموا » مع اختلاف. وفي </w:t>
      </w:r>
      <w:r w:rsidR="00744A1C" w:rsidRPr="0061079A">
        <w:rPr>
          <w:rStyle w:val="libFootnoteBoldChar"/>
          <w:rtl/>
        </w:rPr>
        <w:t>الكافي</w:t>
      </w:r>
      <w:r w:rsidR="00744A1C">
        <w:rPr>
          <w:rtl/>
          <w:lang w:bidi="fa-IR"/>
        </w:rPr>
        <w:t xml:space="preserve"> ، كتاب الحجّ ، باب الذبح ، ذيل ح 7878 ؛ و</w:t>
      </w:r>
      <w:r w:rsidR="00744A1C" w:rsidRPr="00C24F9C">
        <w:rPr>
          <w:rStyle w:val="libFootnoteBoldChar"/>
          <w:rtl/>
        </w:rPr>
        <w:t>الفقيه</w:t>
      </w:r>
      <w:r w:rsidR="00744A1C">
        <w:rPr>
          <w:rtl/>
          <w:lang w:bidi="fa-IR"/>
        </w:rPr>
        <w:t xml:space="preserve"> ، ج 2 ، ص 503 ، ذيل ح 3082 ؛ </w:t>
      </w:r>
      <w:r w:rsidR="00744A1C" w:rsidRPr="0061079A">
        <w:rPr>
          <w:rStyle w:val="libFootnoteBoldChar"/>
          <w:rtl/>
        </w:rPr>
        <w:t>والتهذيب</w:t>
      </w:r>
      <w:r w:rsidR="00744A1C">
        <w:rPr>
          <w:rtl/>
          <w:lang w:bidi="fa-IR"/>
        </w:rPr>
        <w:t xml:space="preserve"> ، ج 5 ، ص 220 ، ح 743 ، بسند آخر ، إلى قوله : « وقعت على الأرض » مع اختلاف يسير </w:t>
      </w:r>
      <w:r w:rsidR="00FD752B">
        <w:rPr>
          <w:rFonts w:hint="cs"/>
          <w:rtl/>
          <w:lang w:bidi="fa-IR"/>
        </w:rPr>
        <w:t>.</w:t>
      </w:r>
      <w:r w:rsidR="00744A1C" w:rsidRPr="00C24F9C">
        <w:rPr>
          <w:rStyle w:val="libFootnoteBoldChar"/>
          <w:rtl/>
        </w:rPr>
        <w:t>الوافي</w:t>
      </w:r>
      <w:r w:rsidR="00744A1C">
        <w:rPr>
          <w:rtl/>
          <w:lang w:bidi="fa-IR"/>
        </w:rPr>
        <w:t xml:space="preserve"> ، ج 14 ، ص 1159 ، ح 13996 ؛ </w:t>
      </w:r>
      <w:r w:rsidR="00744A1C" w:rsidRPr="00C24F9C">
        <w:rPr>
          <w:rStyle w:val="libFootnoteBoldChar"/>
          <w:rtl/>
        </w:rPr>
        <w:t>الوسائل</w:t>
      </w:r>
      <w:r w:rsidR="00744A1C">
        <w:rPr>
          <w:rtl/>
          <w:lang w:bidi="fa-IR"/>
        </w:rPr>
        <w:t xml:space="preserve"> ، ج 14 ، ص 163 ، ح 18876.</w:t>
      </w:r>
    </w:p>
    <w:tbl>
      <w:tblPr>
        <w:tblStyle w:val="TableGrid"/>
        <w:bidiVisual/>
        <w:tblW w:w="0" w:type="auto"/>
        <w:tblLook w:val="04A0" w:firstRow="1" w:lastRow="0" w:firstColumn="1" w:lastColumn="0" w:noHBand="0" w:noVBand="1"/>
      </w:tblPr>
      <w:tblGrid>
        <w:gridCol w:w="4006"/>
        <w:gridCol w:w="4006"/>
      </w:tblGrid>
      <w:tr w:rsidR="00FD752B" w:rsidTr="00FD752B">
        <w:tc>
          <w:tcPr>
            <w:tcW w:w="4006" w:type="dxa"/>
          </w:tcPr>
          <w:p w:rsidR="00FD752B" w:rsidRDefault="00FD752B" w:rsidP="00E378DD">
            <w:pPr>
              <w:pStyle w:val="libFootnote0"/>
              <w:rPr>
                <w:rtl/>
                <w:lang w:bidi="fa-IR"/>
              </w:rPr>
            </w:pPr>
            <w:r>
              <w:rPr>
                <w:rtl/>
                <w:lang w:bidi="fa-IR"/>
              </w:rPr>
              <w:t>(9). في «بخ ، بف » وحاشية « بح » : « جيرانهما ».</w:t>
            </w:r>
          </w:p>
        </w:tc>
        <w:tc>
          <w:tcPr>
            <w:tcW w:w="4006" w:type="dxa"/>
          </w:tcPr>
          <w:p w:rsidR="00FD752B" w:rsidRDefault="00FD752B" w:rsidP="00E378DD">
            <w:pPr>
              <w:pStyle w:val="libFootnote0"/>
              <w:rPr>
                <w:rtl/>
                <w:lang w:bidi="fa-IR"/>
              </w:rPr>
            </w:pPr>
            <w:r>
              <w:rPr>
                <w:rtl/>
                <w:lang w:bidi="fa-IR"/>
              </w:rPr>
              <w:t xml:space="preserve">(10). </w:t>
            </w:r>
            <w:r w:rsidRPr="00FD752B">
              <w:rPr>
                <w:rtl/>
              </w:rPr>
              <w:t xml:space="preserve">في الوافي والوسائل والبحار والعلل </w:t>
            </w:r>
            <w:r>
              <w:rPr>
                <w:rtl/>
                <w:lang w:bidi="fa-IR"/>
              </w:rPr>
              <w:t>:« يمسكانه ».</w:t>
            </w:r>
          </w:p>
        </w:tc>
      </w:tr>
    </w:tbl>
    <w:p w:rsidR="00744A1C" w:rsidRDefault="00E378DD" w:rsidP="008F0813">
      <w:pPr>
        <w:pStyle w:val="libFootnote0"/>
        <w:rPr>
          <w:lang w:bidi="fa-IR"/>
        </w:rPr>
      </w:pPr>
      <w:r>
        <w:rPr>
          <w:rtl/>
          <w:lang w:bidi="fa-IR"/>
        </w:rPr>
        <w:t>(11).</w:t>
      </w:r>
      <w:r w:rsidR="00744A1C">
        <w:rPr>
          <w:rtl/>
          <w:lang w:bidi="fa-IR"/>
        </w:rPr>
        <w:t xml:space="preserve"> </w:t>
      </w:r>
      <w:r w:rsidR="00744A1C" w:rsidRPr="003A7143">
        <w:rPr>
          <w:rStyle w:val="libFootnoteBoldChar"/>
          <w:rtl/>
        </w:rPr>
        <w:t>علل الشرائع</w:t>
      </w:r>
      <w:r w:rsidR="00744A1C">
        <w:rPr>
          <w:rtl/>
          <w:lang w:bidi="fa-IR"/>
        </w:rPr>
        <w:t xml:space="preserve"> ، ص 438 ، ح 3 ، بسند آخر.</w:t>
      </w:r>
      <w:r w:rsidR="00744A1C" w:rsidRPr="00C24F9C">
        <w:rPr>
          <w:rStyle w:val="libFootnoteBoldChar"/>
          <w:rtl/>
        </w:rPr>
        <w:t>الفقيه</w:t>
      </w:r>
      <w:r w:rsidR="00744A1C">
        <w:rPr>
          <w:rtl/>
          <w:lang w:bidi="fa-IR"/>
        </w:rPr>
        <w:t xml:space="preserve"> ، ج 2 ، ص 49</w:t>
      </w:r>
      <w:r w:rsidR="008F0813">
        <w:rPr>
          <w:rtl/>
          <w:lang w:bidi="fa-IR"/>
        </w:rPr>
        <w:t>3 ، ح 3054،من دون الإسناد إلى</w:t>
      </w:r>
      <w:r w:rsidR="00FD752B">
        <w:rPr>
          <w:rFonts w:hint="cs"/>
          <w:rtl/>
          <w:lang w:bidi="fa-IR"/>
        </w:rPr>
        <w:t>=</w:t>
      </w:r>
    </w:p>
    <w:p w:rsidR="00150943" w:rsidRDefault="00150943" w:rsidP="00D10E3C">
      <w:pPr>
        <w:pStyle w:val="libNormal"/>
        <w:rPr>
          <w:rtl/>
          <w:lang w:bidi="fa-IR"/>
        </w:rPr>
      </w:pPr>
      <w:r>
        <w:rPr>
          <w:rtl/>
          <w:lang w:bidi="fa-IR"/>
        </w:rPr>
        <w:br w:type="page"/>
      </w:r>
    </w:p>
    <w:p w:rsidR="008F0813" w:rsidRDefault="00744A1C" w:rsidP="008F0813">
      <w:pPr>
        <w:pStyle w:val="libNormal"/>
        <w:rPr>
          <w:rtl/>
          <w:lang w:bidi="fa-IR"/>
        </w:rPr>
      </w:pPr>
      <w:r>
        <w:rPr>
          <w:rtl/>
          <w:lang w:bidi="fa-IR"/>
        </w:rPr>
        <w:lastRenderedPageBreak/>
        <w:t>7889 / 4. الْحُسَيْنُ بْنُ مُحَمَّدٍ ، عَنْ مُعَلَّى بْنِ مُحَمَّدٍ ، عَنِ الْحَسَنِ بْنِ عَلِيٍّ ؛</w:t>
      </w:r>
    </w:p>
    <w:p w:rsidR="00144FA6" w:rsidRDefault="008F0813" w:rsidP="008F0813">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حُمَيْدُ بْنُ زِيَادٍ ، عَنِ ابْنِ سَمَاعَةَ ، عَنْ غَيْرِ وَاحِدٍ جَمِيعاً ، عَنْ أَبَانِ بْنِ عُثْمَانَ </w:t>
      </w:r>
      <w:r w:rsidR="00744A1C" w:rsidRPr="00D10E3C">
        <w:rPr>
          <w:rStyle w:val="libFootnotenumChar"/>
          <w:rtl/>
        </w:rPr>
        <w:t>(1)</w:t>
      </w:r>
      <w:r w:rsidR="00744A1C">
        <w:rPr>
          <w:rtl/>
          <w:lang w:bidi="fa-IR"/>
        </w:rPr>
        <w:t xml:space="preserve"> ، عَنْ عَبْدِ الرَّحْمنِ بْنِ أَبِي عَبْدِ اللهِ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الْهَدْيِ : مَا يَأْكُلُ مِنْهُ الَّذِي يُهْدِيهِ فِي مُتْعَتِهِ وَغَيْرِ ذلِكَ؟</w:t>
      </w:r>
    </w:p>
    <w:p w:rsidR="00144FA6" w:rsidRDefault="00744A1C" w:rsidP="00744A1C">
      <w:pPr>
        <w:pStyle w:val="libNormal"/>
        <w:rPr>
          <w:rtl/>
          <w:lang w:bidi="fa-IR"/>
        </w:rPr>
      </w:pPr>
      <w:r>
        <w:rPr>
          <w:rtl/>
          <w:lang w:bidi="fa-IR"/>
        </w:rPr>
        <w:t xml:space="preserve">فَقَالَ : « كَمَا يَأْكُلُ مِنْ </w:t>
      </w:r>
      <w:r w:rsidRPr="00D10E3C">
        <w:rPr>
          <w:rStyle w:val="libFootnotenumChar"/>
          <w:rtl/>
        </w:rPr>
        <w:t>(2)</w:t>
      </w:r>
      <w:r>
        <w:rPr>
          <w:rtl/>
          <w:lang w:bidi="fa-IR"/>
        </w:rPr>
        <w:t xml:space="preserve"> هَدْيِهِ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 xml:space="preserve">7890 / 5. عَلِيُّ بْنُ إِبْرَاهِيمَ </w:t>
      </w:r>
      <w:r w:rsidRPr="00D10E3C">
        <w:rPr>
          <w:rStyle w:val="libFootnotenumChar"/>
          <w:rtl/>
        </w:rPr>
        <w:t>(5)</w:t>
      </w:r>
      <w:r>
        <w:rPr>
          <w:rtl/>
          <w:lang w:bidi="fa-IR"/>
        </w:rPr>
        <w:t xml:space="preserve"> ، عَنْ أَبِيهِ ، عَنِ ابْنِ أَبِي عُمَيْرٍ ، عَنْ حَمَّادٍ ، عَنِ الْحَلَبِيِّ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فِدَاءِ الصَّيْدِ : يَأْكُلُ صَاحِبُهُ </w:t>
      </w:r>
      <w:r w:rsidRPr="00D10E3C">
        <w:rPr>
          <w:rStyle w:val="libFootnotenumChar"/>
          <w:rtl/>
        </w:rPr>
        <w:t>(6)</w:t>
      </w:r>
      <w:r>
        <w:rPr>
          <w:rtl/>
          <w:lang w:bidi="fa-IR"/>
        </w:rPr>
        <w:t xml:space="preserve"> مِنْ لَحْمِهِ؟</w:t>
      </w:r>
    </w:p>
    <w:p w:rsidR="00144FA6" w:rsidRDefault="00744A1C" w:rsidP="00744A1C">
      <w:pPr>
        <w:pStyle w:val="libNormal"/>
        <w:rPr>
          <w:rtl/>
          <w:lang w:bidi="fa-IR"/>
        </w:rPr>
      </w:pPr>
      <w:r>
        <w:rPr>
          <w:rtl/>
          <w:lang w:bidi="fa-IR"/>
        </w:rPr>
        <w:t xml:space="preserve">فَقَالَ : « يَأْكُلُ مِنْ أُضْحِيَّتِهِ ، وَيَتَصَدَّقُ بِالْفِدَاءِ ». </w:t>
      </w:r>
      <w:r w:rsidRPr="00D10E3C">
        <w:rPr>
          <w:rStyle w:val="libFootnotenumChar"/>
          <w:rtl/>
        </w:rPr>
        <w:t>(7)</w:t>
      </w:r>
    </w:p>
    <w:p w:rsidR="00744A1C" w:rsidRDefault="00744A1C" w:rsidP="00744A1C">
      <w:pPr>
        <w:pStyle w:val="libNormal"/>
        <w:rPr>
          <w:lang w:bidi="fa-IR"/>
        </w:rPr>
      </w:pPr>
      <w:r>
        <w:rPr>
          <w:rtl/>
          <w:lang w:bidi="fa-IR"/>
        </w:rPr>
        <w:t xml:space="preserve">7891 / 6. عَلِيُّ بْنُ إِبْرَاهِيمَ ، عَنْ أَبِيهِ </w:t>
      </w:r>
      <w:r w:rsidRPr="00D10E3C">
        <w:rPr>
          <w:rStyle w:val="libFootnotenumChar"/>
          <w:rtl/>
        </w:rPr>
        <w:t>(8)</w:t>
      </w:r>
      <w:r>
        <w:rPr>
          <w:rtl/>
          <w:lang w:bidi="fa-IR"/>
        </w:rPr>
        <w:t xml:space="preserve"> ؛</w:t>
      </w:r>
    </w:p>
    <w:p w:rsidR="00744A1C" w:rsidRDefault="00744A1C" w:rsidP="00D10E3C">
      <w:pPr>
        <w:pStyle w:val="libLine"/>
        <w:rPr>
          <w:lang w:bidi="fa-IR"/>
        </w:rPr>
      </w:pPr>
      <w:r>
        <w:rPr>
          <w:rtl/>
          <w:lang w:bidi="fa-IR"/>
        </w:rPr>
        <w:t>____________________</w:t>
      </w:r>
    </w:p>
    <w:p w:rsidR="00744A1C" w:rsidRDefault="008F0813" w:rsidP="00D10E3C">
      <w:pPr>
        <w:pStyle w:val="libFootnote0"/>
        <w:rPr>
          <w:lang w:bidi="fa-IR"/>
        </w:rPr>
      </w:pPr>
      <w:r>
        <w:rPr>
          <w:rFonts w:hint="cs"/>
          <w:rtl/>
          <w:lang w:bidi="fa-IR"/>
        </w:rPr>
        <w:t xml:space="preserve">= </w:t>
      </w:r>
      <w:r w:rsidR="00744A1C">
        <w:rPr>
          <w:rtl/>
          <w:lang w:bidi="fa-IR"/>
        </w:rPr>
        <w:t xml:space="preserve">المعصوم </w:t>
      </w:r>
      <w:r w:rsidR="0061079A" w:rsidRPr="0061079A">
        <w:rPr>
          <w:rStyle w:val="libFootnoteAlaemChar"/>
          <w:rtl/>
        </w:rPr>
        <w:t>عليه‌السلام</w:t>
      </w:r>
      <w:r w:rsidR="00D10E3C">
        <w:rPr>
          <w:rtl/>
          <w:lang w:bidi="fa-IR"/>
        </w:rPr>
        <w:t xml:space="preserve"> </w:t>
      </w:r>
      <w:r w:rsidR="00744A1C">
        <w:rPr>
          <w:rtl/>
          <w:lang w:bidi="fa-IR"/>
        </w:rPr>
        <w:t xml:space="preserve">، من قوله : « وكان عليّ بن الحسين </w:t>
      </w:r>
      <w:r w:rsidR="0061079A" w:rsidRPr="0061079A">
        <w:rPr>
          <w:rStyle w:val="libFootnoteAlaemChar"/>
          <w:rtl/>
        </w:rPr>
        <w:t>عليه‌السلام</w:t>
      </w:r>
      <w:r w:rsidR="00D10E3C">
        <w:rPr>
          <w:rtl/>
          <w:lang w:bidi="fa-IR"/>
        </w:rPr>
        <w:t xml:space="preserve"> </w:t>
      </w:r>
      <w:r w:rsidR="00744A1C">
        <w:rPr>
          <w:rtl/>
          <w:lang w:bidi="fa-IR"/>
        </w:rPr>
        <w:t xml:space="preserve">» </w:t>
      </w:r>
      <w:r w:rsidR="00E31213">
        <w:rPr>
          <w:rFonts w:hint="cs"/>
          <w:rtl/>
          <w:lang w:bidi="fa-IR"/>
        </w:rPr>
        <w:t>.</w:t>
      </w:r>
      <w:r w:rsidR="00744A1C" w:rsidRPr="00C24F9C">
        <w:rPr>
          <w:rStyle w:val="libFootnoteBoldChar"/>
          <w:rtl/>
        </w:rPr>
        <w:t>الوافي</w:t>
      </w:r>
      <w:r w:rsidR="00744A1C">
        <w:rPr>
          <w:rtl/>
          <w:lang w:bidi="fa-IR"/>
        </w:rPr>
        <w:t xml:space="preserve"> ، ج 14 ، ص 1161 ، ح 14000 ؛ </w:t>
      </w:r>
      <w:r w:rsidR="00744A1C" w:rsidRPr="00C24F9C">
        <w:rPr>
          <w:rStyle w:val="libFootnoteBoldChar"/>
          <w:rtl/>
        </w:rPr>
        <w:t>الوسائل</w:t>
      </w:r>
      <w:r w:rsidR="00744A1C">
        <w:rPr>
          <w:rtl/>
          <w:lang w:bidi="fa-IR"/>
        </w:rPr>
        <w:t xml:space="preserve"> ، ج 14 ، ص 163 ، ح 18877 ؛ </w:t>
      </w:r>
      <w:r w:rsidR="00744A1C" w:rsidRPr="0061079A">
        <w:rPr>
          <w:rStyle w:val="libFootnoteBoldChar"/>
          <w:rtl/>
        </w:rPr>
        <w:t>البحار</w:t>
      </w:r>
      <w:r w:rsidR="00744A1C">
        <w:rPr>
          <w:rtl/>
          <w:lang w:bidi="fa-IR"/>
        </w:rPr>
        <w:t xml:space="preserve"> ، ج 46 ، ص 300 ، ح 40.</w:t>
      </w:r>
    </w:p>
    <w:p w:rsidR="00744A1C" w:rsidRDefault="00D10E3C" w:rsidP="00D10E3C">
      <w:pPr>
        <w:pStyle w:val="libFootnote0"/>
        <w:rPr>
          <w:lang w:bidi="fa-IR"/>
        </w:rPr>
      </w:pPr>
      <w:r>
        <w:rPr>
          <w:rtl/>
          <w:lang w:bidi="fa-IR"/>
        </w:rPr>
        <w:t>(1).</w:t>
      </w:r>
      <w:r w:rsidR="00744A1C">
        <w:rPr>
          <w:rtl/>
          <w:lang w:bidi="fa-IR"/>
        </w:rPr>
        <w:t xml:space="preserve"> في « جر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 بن عثمان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ح 754 : « في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ح 758 : « قال : كلّ هدي من نقصان الحجّ ، فلا تأكل منه ، وكلّ هدي من تمام الحجّ فكل » بدل « فقال : كما يأكل من هديه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من هديه ، أي من ا</w:t>
      </w:r>
      <w:r w:rsidR="00E31213">
        <w:rPr>
          <w:rFonts w:hint="cs"/>
          <w:rtl/>
          <w:lang w:bidi="fa-IR"/>
        </w:rPr>
        <w:t>ُ</w:t>
      </w:r>
      <w:r>
        <w:rPr>
          <w:rtl/>
          <w:lang w:bidi="fa-IR"/>
        </w:rPr>
        <w:t>ضحيّته ، وقد مضت رواية بأنّ كلّ هدي من نقصان الحجّ فلا تأكل منه ، وكلّ هدي من تمام الحجّ فكل مع أخبار ا</w:t>
      </w:r>
      <w:r w:rsidR="00E31213">
        <w:rPr>
          <w:rFonts w:hint="cs"/>
          <w:rtl/>
          <w:lang w:bidi="fa-IR"/>
        </w:rPr>
        <w:t>ُ</w:t>
      </w:r>
      <w:r>
        <w:rPr>
          <w:rtl/>
          <w:lang w:bidi="fa-IR"/>
        </w:rPr>
        <w:t xml:space="preserve">خر تناسب هذا الباب في باب مصرف الكفّارة فلا نعيد ». 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من هديه ، أي من هدي السياق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224 ، ح 754 ، معلّقاً عن الكليني. وفيه ، ص 224 ، ح 758 ، بسنده عن العبّاس بن عامر ، عن أبان بن عثمان ، عن عبدالرحمن ، عن أبي عبدلله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E31213">
        <w:rPr>
          <w:rFonts w:hint="cs"/>
          <w:rtl/>
          <w:lang w:bidi="fa-IR"/>
        </w:rPr>
        <w:t>.</w:t>
      </w:r>
      <w:r w:rsidR="00744A1C" w:rsidRPr="00C24F9C">
        <w:rPr>
          <w:rStyle w:val="libFootnoteBoldChar"/>
          <w:rtl/>
        </w:rPr>
        <w:t>الوافي</w:t>
      </w:r>
      <w:r w:rsidR="00744A1C">
        <w:rPr>
          <w:rtl/>
          <w:lang w:bidi="fa-IR"/>
        </w:rPr>
        <w:t xml:space="preserve"> ، ج 14 ، ص 1162 ، ح 14004 ؛ </w:t>
      </w:r>
      <w:r w:rsidR="00744A1C" w:rsidRPr="00C24F9C">
        <w:rPr>
          <w:rStyle w:val="libFootnoteBoldChar"/>
          <w:rtl/>
        </w:rPr>
        <w:t>الوسائل</w:t>
      </w:r>
      <w:r w:rsidR="00744A1C">
        <w:rPr>
          <w:rtl/>
          <w:lang w:bidi="fa-IR"/>
        </w:rPr>
        <w:t xml:space="preserve"> ، ج 14 ، ص 165 ، ح 18883.</w:t>
      </w:r>
    </w:p>
    <w:p w:rsidR="00744A1C" w:rsidRDefault="00E378DD" w:rsidP="00E378DD">
      <w:pPr>
        <w:pStyle w:val="libFootnote0"/>
        <w:rPr>
          <w:lang w:bidi="fa-IR"/>
        </w:rPr>
      </w:pPr>
      <w:r>
        <w:rPr>
          <w:rtl/>
          <w:lang w:bidi="fa-IR"/>
        </w:rPr>
        <w:t>(5).</w:t>
      </w:r>
      <w:r w:rsidR="00744A1C">
        <w:rPr>
          <w:rtl/>
          <w:lang w:bidi="fa-IR"/>
        </w:rPr>
        <w:t xml:space="preserve"> في </w:t>
      </w:r>
      <w:r w:rsidR="00744A1C" w:rsidRPr="00E31213">
        <w:rPr>
          <w:rtl/>
        </w:rPr>
        <w:t>التهذيب والاستبصار</w:t>
      </w:r>
      <w:r w:rsidR="00744A1C">
        <w:rPr>
          <w:rtl/>
          <w:lang w:bidi="fa-IR"/>
        </w:rPr>
        <w:t xml:space="preserve"> : - « بن إبراهيم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الوسائل</w:t>
      </w:r>
      <w:r w:rsidR="00744A1C">
        <w:rPr>
          <w:rtl/>
          <w:lang w:bidi="fa-IR"/>
        </w:rPr>
        <w:t xml:space="preserve"> : - « صاحبه ». وفي </w:t>
      </w:r>
      <w:r w:rsidR="00744A1C" w:rsidRPr="00E31213">
        <w:rPr>
          <w:rtl/>
        </w:rPr>
        <w:t>التهذيب والاستبصار</w:t>
      </w:r>
      <w:r w:rsidR="00744A1C">
        <w:rPr>
          <w:rtl/>
          <w:lang w:bidi="fa-IR"/>
        </w:rPr>
        <w:t xml:space="preserve"> : « منه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224 ، ح 757 ؛ </w:t>
      </w:r>
      <w:r w:rsidR="00744A1C" w:rsidRPr="00C24F9C">
        <w:rPr>
          <w:rStyle w:val="libFootnoteBoldChar"/>
          <w:rtl/>
        </w:rPr>
        <w:t>والاستبصار</w:t>
      </w:r>
      <w:r w:rsidR="00744A1C">
        <w:rPr>
          <w:rtl/>
          <w:lang w:bidi="fa-IR"/>
        </w:rPr>
        <w:t xml:space="preserve"> ، ج 2 ، ص 273 ، ح 966 ، معلّقاً عن الكليني. </w:t>
      </w:r>
      <w:r w:rsidR="00744A1C" w:rsidRPr="00C24F9C">
        <w:rPr>
          <w:rStyle w:val="libFootnoteBoldChar"/>
          <w:rtl/>
        </w:rPr>
        <w:t>الفقيه</w:t>
      </w:r>
      <w:r w:rsidR="00744A1C">
        <w:rPr>
          <w:rtl/>
          <w:lang w:bidi="fa-IR"/>
        </w:rPr>
        <w:t xml:space="preserve"> ، ج 2 ، ص 494 ، ح 3957 ، مرسلاً </w:t>
      </w:r>
      <w:r w:rsidR="00E31213">
        <w:rPr>
          <w:rFonts w:hint="cs"/>
          <w:rtl/>
          <w:lang w:bidi="fa-IR"/>
        </w:rPr>
        <w:t>.</w:t>
      </w:r>
      <w:r w:rsidR="00744A1C" w:rsidRPr="00C24F9C">
        <w:rPr>
          <w:rStyle w:val="libFootnoteBoldChar"/>
          <w:rtl/>
        </w:rPr>
        <w:t>الوافي</w:t>
      </w:r>
      <w:r w:rsidR="00744A1C">
        <w:rPr>
          <w:rtl/>
          <w:lang w:bidi="fa-IR"/>
        </w:rPr>
        <w:t xml:space="preserve"> ، ج 13 ، ص 774 ، ح 13136 ؛ </w:t>
      </w:r>
      <w:r w:rsidR="00744A1C" w:rsidRPr="00C24F9C">
        <w:rPr>
          <w:rStyle w:val="libFootnoteBoldChar"/>
          <w:rtl/>
        </w:rPr>
        <w:t>الوسائل</w:t>
      </w:r>
      <w:r w:rsidR="00744A1C">
        <w:rPr>
          <w:rtl/>
          <w:lang w:bidi="fa-IR"/>
        </w:rPr>
        <w:t xml:space="preserve"> ، ج 14 ، ص 164 ، ح 18879.</w:t>
      </w:r>
    </w:p>
    <w:p w:rsidR="00744A1C" w:rsidRDefault="00E378DD" w:rsidP="00E378DD">
      <w:pPr>
        <w:pStyle w:val="libFootnote0"/>
        <w:rPr>
          <w:lang w:bidi="fa-IR"/>
        </w:rPr>
      </w:pPr>
      <w:r>
        <w:rPr>
          <w:rtl/>
          <w:lang w:bidi="fa-IR"/>
        </w:rPr>
        <w:t>(8).</w:t>
      </w:r>
      <w:r w:rsidR="00744A1C">
        <w:rPr>
          <w:rtl/>
          <w:lang w:bidi="fa-IR"/>
        </w:rPr>
        <w:t xml:space="preserve"> في « ى ، بح ، بخ ، جد ، جر » : + « عن ابن أبي عمير ».</w:t>
      </w:r>
    </w:p>
    <w:p w:rsidR="00150943" w:rsidRDefault="00150943" w:rsidP="00D10E3C">
      <w:pPr>
        <w:pStyle w:val="libNormal"/>
        <w:rPr>
          <w:rtl/>
          <w:lang w:bidi="fa-IR"/>
        </w:rPr>
      </w:pPr>
      <w:r>
        <w:rPr>
          <w:rtl/>
          <w:lang w:bidi="fa-IR"/>
        </w:rPr>
        <w:br w:type="page"/>
      </w:r>
    </w:p>
    <w:p w:rsidR="00144FA6" w:rsidRDefault="00E31213" w:rsidP="00744A1C">
      <w:pPr>
        <w:pStyle w:val="libNormal"/>
        <w:rPr>
          <w:rtl/>
          <w:lang w:bidi="fa-IR"/>
        </w:rPr>
      </w:pPr>
      <w:r>
        <w:rPr>
          <w:rFonts w:hint="cs"/>
          <w:rtl/>
          <w:lang w:bidi="fa-IR"/>
        </w:rPr>
        <w:lastRenderedPageBreak/>
        <w:t xml:space="preserve">                  </w:t>
      </w:r>
      <w:r w:rsidR="00744A1C">
        <w:rPr>
          <w:rtl/>
          <w:lang w:bidi="fa-IR"/>
        </w:rPr>
        <w:t xml:space="preserve">وَ </w:t>
      </w:r>
      <w:r w:rsidR="00744A1C" w:rsidRPr="00D10E3C">
        <w:rPr>
          <w:rStyle w:val="libFootnotenumChar"/>
          <w:rtl/>
        </w:rPr>
        <w:t>(1)</w:t>
      </w:r>
      <w:r w:rsidR="00744A1C">
        <w:rPr>
          <w:rtl/>
          <w:lang w:bidi="fa-IR"/>
        </w:rPr>
        <w:t xml:space="preserve"> مُحَمَّدُ بْنُ إِسْمَاعِيلَ ، عَنِ الْفَضْلِ بْنِ شَاذَانَ ، عَنْ صَفْوَانَ ، عَنْ مُعَاوِيَةَ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1F7B07">
        <w:rPr>
          <w:rStyle w:val="libAlaemChar"/>
          <w:rtl/>
        </w:rPr>
        <w:t>(</w:t>
      </w:r>
      <w:r w:rsidRPr="001F7B07">
        <w:rPr>
          <w:rStyle w:val="libAieChar"/>
          <w:rtl/>
        </w:rPr>
        <w:t xml:space="preserve"> فَإِذا وَجَبَتْ جُنُوبُها فَكُلُوا مِنْها وَأَطْعِمُوا الْقانِعَ وَالْمُعْتَرَّ </w:t>
      </w:r>
      <w:r w:rsidRPr="001F7B07">
        <w:rPr>
          <w:rStyle w:val="libAlaemChar"/>
          <w:rtl/>
        </w:rPr>
        <w:t>)</w:t>
      </w:r>
      <w:r>
        <w:rPr>
          <w:rtl/>
          <w:lang w:bidi="fa-IR"/>
        </w:rPr>
        <w:t xml:space="preserve"> </w:t>
      </w:r>
      <w:r w:rsidRPr="00D10E3C">
        <w:rPr>
          <w:rStyle w:val="libFootnotenumChar"/>
          <w:rtl/>
        </w:rPr>
        <w:t>(2)</w:t>
      </w:r>
      <w:r>
        <w:rPr>
          <w:rtl/>
          <w:lang w:bidi="fa-IR"/>
        </w:rPr>
        <w:t xml:space="preserve"> قَالَ : « الْقَانِعُ : الَّذِي يَقْنَعُ بِمَا أَعْطَيْتَهُ </w:t>
      </w:r>
      <w:r w:rsidRPr="00D10E3C">
        <w:rPr>
          <w:rStyle w:val="libFootnotenumChar"/>
          <w:rtl/>
        </w:rPr>
        <w:t>(3)</w:t>
      </w:r>
      <w:r>
        <w:rPr>
          <w:rtl/>
          <w:lang w:bidi="fa-IR"/>
        </w:rPr>
        <w:t xml:space="preserve"> ؛ وَالْمُعْتَرُّ </w:t>
      </w:r>
      <w:r w:rsidRPr="00D10E3C">
        <w:rPr>
          <w:rStyle w:val="libFootnotenumChar"/>
          <w:rtl/>
        </w:rPr>
        <w:t>(4)</w:t>
      </w:r>
      <w:r>
        <w:rPr>
          <w:rtl/>
          <w:lang w:bidi="fa-IR"/>
        </w:rPr>
        <w:t xml:space="preserve"> : الَّذِي يَعْتَرِيكَ </w:t>
      </w:r>
      <w:r w:rsidRPr="00D10E3C">
        <w:rPr>
          <w:rStyle w:val="libFootnotenumChar"/>
          <w:rtl/>
        </w:rPr>
        <w:t>(5)</w:t>
      </w:r>
      <w:r>
        <w:rPr>
          <w:rtl/>
          <w:lang w:bidi="fa-IR"/>
        </w:rPr>
        <w:t xml:space="preserve"> ؛ وَالسَّائِلُ : الَّذِي يَسْأَلُكَ فِي يَدَيْهِ ؛ وَالْبَائِسُ هُوَ الْفَقِيرُ ». </w:t>
      </w:r>
      <w:r w:rsidRPr="00D10E3C">
        <w:rPr>
          <w:rStyle w:val="libFootnotenumChar"/>
          <w:rtl/>
        </w:rPr>
        <w:t>(6)</w:t>
      </w:r>
    </w:p>
    <w:p w:rsidR="00144FA6" w:rsidRDefault="00744A1C" w:rsidP="00744A1C">
      <w:pPr>
        <w:pStyle w:val="libNormal"/>
        <w:rPr>
          <w:rtl/>
          <w:lang w:bidi="fa-IR"/>
        </w:rPr>
      </w:pPr>
      <w:r>
        <w:rPr>
          <w:rtl/>
          <w:lang w:bidi="fa-IR"/>
        </w:rPr>
        <w:t xml:space="preserve">7892 / 7. عَلِيُّ بْنُ إِبْرَاهِيمَ ، عَنْ أَبِيهِ ، عَنِ ابْنِ أَبِي عُمَيْرٍ ، عَنْ جَمِيلٍ </w:t>
      </w:r>
      <w:r w:rsidRPr="00D10E3C">
        <w:rPr>
          <w:rStyle w:val="libFootnotenumChar"/>
          <w:rtl/>
        </w:rPr>
        <w:t>(7)</w:t>
      </w:r>
      <w:r>
        <w:rPr>
          <w:rtl/>
          <w:lang w:bidi="fa-IR"/>
        </w:rPr>
        <w:t xml:space="preserve"> ، عَنْ مُحَمَّدِ بْنِ مُسْلِمٍ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عَنْ إِخْرَاجِ لُحُومِ الْأَضَاحِيِّ مِنْ </w:t>
      </w:r>
      <w:r w:rsidRPr="00D10E3C">
        <w:rPr>
          <w:rStyle w:val="libFootnotenumChar"/>
          <w:rtl/>
        </w:rPr>
        <w:t>(8)</w:t>
      </w:r>
      <w:r>
        <w:rPr>
          <w:rtl/>
          <w:lang w:bidi="fa-IR"/>
        </w:rPr>
        <w:t xml:space="preserve"> مِنًى؟</w:t>
      </w:r>
    </w:p>
    <w:p w:rsidR="00144FA6" w:rsidRDefault="00744A1C" w:rsidP="00744A1C">
      <w:pPr>
        <w:pStyle w:val="libNormal"/>
        <w:rPr>
          <w:rtl/>
          <w:lang w:bidi="fa-IR"/>
        </w:rPr>
      </w:pPr>
      <w:r>
        <w:rPr>
          <w:rtl/>
          <w:lang w:bidi="fa-IR"/>
        </w:rPr>
        <w:t xml:space="preserve">فَقَالَ : « كُنَّا نَقُولُ : لَايُخْرَجْ مِنْهَا </w:t>
      </w:r>
      <w:r w:rsidRPr="00D10E3C">
        <w:rPr>
          <w:rStyle w:val="libFootnotenumChar"/>
          <w:rtl/>
        </w:rPr>
        <w:t>(9)</w:t>
      </w:r>
      <w:r>
        <w:rPr>
          <w:rtl/>
          <w:lang w:bidi="fa-IR"/>
        </w:rPr>
        <w:t xml:space="preserve"> شَيْ‌ءٌ ؛ لِحَاجَةِ النَّاسِ إِلَيْهِ ، فَأَمَّا الْيَوْمَ ، فَقَدْ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السند تحويل بعطف « محمّد بن إسماعيل ، عن الفضل بن شاذان » على « عليّ بن إبراهيم ، عن أبيه ».</w:t>
      </w:r>
    </w:p>
    <w:p w:rsidR="00744A1C" w:rsidRDefault="00744A1C" w:rsidP="00D10E3C">
      <w:pPr>
        <w:pStyle w:val="libFootnote0"/>
        <w:rPr>
          <w:lang w:bidi="fa-IR"/>
        </w:rPr>
      </w:pPr>
      <w:r>
        <w:rPr>
          <w:rtl/>
          <w:lang w:bidi="fa-IR"/>
        </w:rPr>
        <w:t>وأمّا بناءً على ما نقلناه من بعض النسخ من زيادة « عن ابن أبي عمير » ، فيقع التحويل بعطف « محمّد بن إسماعيل ، عن الفضل بن شاذان ، عن صفوان » على « عليّ بن إبراهيم ، عن أبيه ، عن ابن أبي عمير ».</w:t>
      </w:r>
    </w:p>
    <w:tbl>
      <w:tblPr>
        <w:tblStyle w:val="TableGrid"/>
        <w:bidiVisual/>
        <w:tblW w:w="0" w:type="auto"/>
        <w:tblLook w:val="04A0" w:firstRow="1" w:lastRow="0" w:firstColumn="1" w:lastColumn="0" w:noHBand="0" w:noVBand="1"/>
      </w:tblPr>
      <w:tblGrid>
        <w:gridCol w:w="4006"/>
        <w:gridCol w:w="4006"/>
      </w:tblGrid>
      <w:tr w:rsidR="001F7B07" w:rsidTr="001F7B07">
        <w:tc>
          <w:tcPr>
            <w:tcW w:w="4006" w:type="dxa"/>
          </w:tcPr>
          <w:p w:rsidR="001F7B07" w:rsidRDefault="001F7B07" w:rsidP="00E378DD">
            <w:pPr>
              <w:pStyle w:val="libFootnote0"/>
              <w:rPr>
                <w:rtl/>
                <w:lang w:bidi="fa-IR"/>
              </w:rPr>
            </w:pPr>
            <w:r>
              <w:rPr>
                <w:rtl/>
                <w:lang w:bidi="fa-IR"/>
              </w:rPr>
              <w:t>(2). الحجّ (22) : 36.</w:t>
            </w:r>
          </w:p>
        </w:tc>
        <w:tc>
          <w:tcPr>
            <w:tcW w:w="4006" w:type="dxa"/>
          </w:tcPr>
          <w:p w:rsidR="001F7B07" w:rsidRDefault="001F7B07" w:rsidP="00E378DD">
            <w:pPr>
              <w:pStyle w:val="libFootnote0"/>
              <w:rPr>
                <w:rtl/>
                <w:lang w:bidi="fa-IR"/>
              </w:rPr>
            </w:pPr>
            <w:r>
              <w:rPr>
                <w:rtl/>
                <w:lang w:bidi="fa-IR"/>
              </w:rPr>
              <w:t xml:space="preserve">(3). في </w:t>
            </w:r>
            <w:r w:rsidRPr="00877682">
              <w:rPr>
                <w:rStyle w:val="libFootnoteBoldChar"/>
                <w:rtl/>
              </w:rPr>
              <w:t>الجعفريّات</w:t>
            </w:r>
            <w:r w:rsidR="00097CCA">
              <w:rPr>
                <w:rtl/>
                <w:lang w:bidi="fa-IR"/>
              </w:rPr>
              <w:t xml:space="preserve"> : «في دخله» بدل «بما أعطيته</w:t>
            </w:r>
            <w:r>
              <w:rPr>
                <w:rtl/>
                <w:lang w:bidi="fa-IR"/>
              </w:rPr>
              <w:t>».</w:t>
            </w:r>
          </w:p>
        </w:tc>
      </w:tr>
    </w:tbl>
    <w:p w:rsidR="00744A1C" w:rsidRDefault="00E378DD" w:rsidP="00E378DD">
      <w:pPr>
        <w:pStyle w:val="libFootnote0"/>
        <w:rPr>
          <w:lang w:bidi="fa-IR"/>
        </w:rPr>
      </w:pPr>
      <w:r>
        <w:rPr>
          <w:rtl/>
          <w:lang w:bidi="fa-IR"/>
        </w:rPr>
        <w:t>(4).</w:t>
      </w:r>
      <w:r w:rsidR="00744A1C">
        <w:rPr>
          <w:rtl/>
          <w:lang w:bidi="fa-IR"/>
        </w:rPr>
        <w:t xml:space="preserve"> في </w:t>
      </w:r>
      <w:r w:rsidR="00744A1C" w:rsidRPr="00610FB4">
        <w:rPr>
          <w:rStyle w:val="libFootnoteBoldChar"/>
          <w:rtl/>
        </w:rPr>
        <w:t>تفسير القمّي</w:t>
      </w:r>
      <w:r w:rsidR="00744A1C">
        <w:rPr>
          <w:rtl/>
          <w:lang w:bidi="fa-IR"/>
        </w:rPr>
        <w:t xml:space="preserve"> : « يسأل ، فيعطيه المعترّ » بدل « والمعترّ ».</w:t>
      </w:r>
    </w:p>
    <w:p w:rsidR="00744A1C" w:rsidRDefault="00E378DD" w:rsidP="00E378DD">
      <w:pPr>
        <w:pStyle w:val="libFootnote0"/>
        <w:rPr>
          <w:lang w:bidi="fa-IR"/>
        </w:rPr>
      </w:pPr>
      <w:r>
        <w:rPr>
          <w:rtl/>
          <w:lang w:bidi="fa-IR"/>
        </w:rPr>
        <w:t>(5).</w:t>
      </w:r>
      <w:r w:rsidR="00744A1C">
        <w:rPr>
          <w:rtl/>
          <w:lang w:bidi="fa-IR"/>
        </w:rPr>
        <w:t xml:space="preserve"> في </w:t>
      </w:r>
      <w:r w:rsidR="00744A1C" w:rsidRPr="00610FB4">
        <w:rPr>
          <w:rStyle w:val="libFootnoteBoldChar"/>
          <w:rtl/>
        </w:rPr>
        <w:t>تفسير القمّي</w:t>
      </w:r>
      <w:r w:rsidR="00744A1C">
        <w:rPr>
          <w:rtl/>
          <w:lang w:bidi="fa-IR"/>
        </w:rPr>
        <w:t xml:space="preserve"> : + « فلا يسأل ». وفي </w:t>
      </w:r>
      <w:r w:rsidR="00744A1C" w:rsidRPr="00877682">
        <w:rPr>
          <w:rStyle w:val="libFootnoteBoldChar"/>
          <w:rtl/>
        </w:rPr>
        <w:t>الجعفريّات</w:t>
      </w:r>
      <w:r w:rsidR="00744A1C">
        <w:rPr>
          <w:rtl/>
          <w:lang w:bidi="fa-IR"/>
        </w:rPr>
        <w:t xml:space="preserve"> : « يعترّ من المسألة ». والمعتري : القاصد لطلب الصلة ، يقال : عراه واعتراه ، إذا قصده لطلب رِفْده وصلته. راجع : </w:t>
      </w:r>
      <w:r w:rsidR="00744A1C" w:rsidRPr="00877682">
        <w:rPr>
          <w:rStyle w:val="libFootnoteBoldChar"/>
          <w:rtl/>
        </w:rPr>
        <w:t>النهاية</w:t>
      </w:r>
      <w:r w:rsidR="00744A1C">
        <w:rPr>
          <w:rtl/>
          <w:lang w:bidi="fa-IR"/>
        </w:rPr>
        <w:t xml:space="preserve"> ، ج 3 ، ص 226 ؛ </w:t>
      </w:r>
      <w:r w:rsidR="00744A1C" w:rsidRPr="00E978C3">
        <w:rPr>
          <w:rStyle w:val="libFootnoteBoldChar"/>
          <w:rtl/>
        </w:rPr>
        <w:t>المصباح المنير</w:t>
      </w:r>
      <w:r w:rsidR="00744A1C">
        <w:rPr>
          <w:rtl/>
          <w:lang w:bidi="fa-IR"/>
        </w:rPr>
        <w:t xml:space="preserve"> ، ص 406 ( عرا ).</w:t>
      </w:r>
    </w:p>
    <w:p w:rsidR="00744A1C" w:rsidRDefault="00E378DD" w:rsidP="00BF40AF">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223 ، ح 751 ، بسنده عن صفوان بن يحيى ، عن معاوية بن عمّار ، من قوله : « فكلوا منها وأطعموا ». </w:t>
      </w:r>
      <w:r w:rsidR="00744A1C" w:rsidRPr="00610FB4">
        <w:rPr>
          <w:rStyle w:val="libFootnoteBoldChar"/>
          <w:rtl/>
        </w:rPr>
        <w:t>معاني الأخبار</w:t>
      </w:r>
      <w:r w:rsidR="00744A1C">
        <w:rPr>
          <w:rtl/>
          <w:lang w:bidi="fa-IR"/>
        </w:rPr>
        <w:t xml:space="preserve"> ، ص 208 ، ذيل ح 2 ، بسند آخر ، من قوله : « القانع الذي يقنع » إلى قوله : « يعتريك » مع اختلاف يسير. </w:t>
      </w:r>
      <w:r w:rsidR="00744A1C" w:rsidRPr="00877682">
        <w:rPr>
          <w:rStyle w:val="libFootnoteBoldChar"/>
          <w:rtl/>
        </w:rPr>
        <w:t>الجعفريّات</w:t>
      </w:r>
      <w:r w:rsidR="00744A1C">
        <w:rPr>
          <w:rtl/>
          <w:lang w:bidi="fa-IR"/>
        </w:rPr>
        <w:t xml:space="preserve"> ، ص 177 ، بسند آخر عن جعفر بن محمّد ، عن آبائه </w:t>
      </w:r>
      <w:r w:rsidR="00877682" w:rsidRPr="00877682">
        <w:rPr>
          <w:rStyle w:val="libFootnoteAlaemChar"/>
          <w:rFonts w:eastAsiaTheme="minorHAnsi"/>
          <w:rtl/>
        </w:rPr>
        <w:t>عليهم‌السلام</w:t>
      </w:r>
      <w:r w:rsidR="00BF40AF" w:rsidRPr="00BF40AF">
        <w:rPr>
          <w:rFonts w:eastAsiaTheme="minorHAnsi"/>
          <w:rtl/>
        </w:rPr>
        <w:t xml:space="preserve"> </w:t>
      </w:r>
      <w:r w:rsidR="00744A1C">
        <w:rPr>
          <w:rtl/>
          <w:lang w:bidi="fa-IR"/>
        </w:rPr>
        <w:t xml:space="preserve">عن رسول الله </w:t>
      </w:r>
      <w:r w:rsidR="005E465D" w:rsidRPr="00097CCA">
        <w:rPr>
          <w:rStyle w:val="libFootnoteAlaemChar"/>
          <w:rFonts w:eastAsiaTheme="minorHAnsi"/>
          <w:rtl/>
        </w:rPr>
        <w:t>صلى‌الله‌عليه‌وآله</w:t>
      </w:r>
      <w:r w:rsidR="00BF40AF" w:rsidRPr="00BF40AF">
        <w:rPr>
          <w:rFonts w:eastAsiaTheme="minorHAnsi"/>
          <w:rtl/>
        </w:rPr>
        <w:t xml:space="preserve"> </w:t>
      </w:r>
      <w:r w:rsidR="00744A1C">
        <w:rPr>
          <w:rtl/>
          <w:lang w:bidi="fa-IR"/>
        </w:rPr>
        <w:t xml:space="preserve">، من قوله : « وأطعموا القانع » مع اختلاف. </w:t>
      </w:r>
      <w:r w:rsidR="00744A1C" w:rsidRPr="00C24F9C">
        <w:rPr>
          <w:rStyle w:val="libFootnoteBoldChar"/>
          <w:rtl/>
        </w:rPr>
        <w:t>الفقيه</w:t>
      </w:r>
      <w:r w:rsidR="00744A1C">
        <w:rPr>
          <w:rtl/>
          <w:lang w:bidi="fa-IR"/>
        </w:rPr>
        <w:t xml:space="preserve"> ، ج 2 ، ص 493 ، ح 3053 ، مرسلاً ؛ </w:t>
      </w:r>
      <w:r w:rsidR="00744A1C" w:rsidRPr="00610FB4">
        <w:rPr>
          <w:rStyle w:val="libFootnoteBoldChar"/>
          <w:rtl/>
        </w:rPr>
        <w:t>تفسير القمّي</w:t>
      </w:r>
      <w:r w:rsidR="00744A1C">
        <w:rPr>
          <w:rtl/>
          <w:lang w:bidi="fa-IR"/>
        </w:rPr>
        <w:t xml:space="preserve"> ، ج 2 ، ص 84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إلى قوله : « يعتريك »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222 ؛ </w:t>
      </w:r>
      <w:r w:rsidR="00744A1C" w:rsidRPr="00610FB4">
        <w:rPr>
          <w:rStyle w:val="libFootnoteBoldChar"/>
          <w:rtl/>
        </w:rPr>
        <w:t>معاني الأخبار</w:t>
      </w:r>
      <w:r w:rsidR="00744A1C">
        <w:rPr>
          <w:rtl/>
          <w:lang w:bidi="fa-IR"/>
        </w:rPr>
        <w:t xml:space="preserve"> ، ص 208 ، ضمن بيانه في ذيل ح 3 ، وفي الأخيرين من قوله : « فكلوا منها وأطعموا » إلى قوله : « يعتريك » مع اختلاف يسير </w:t>
      </w:r>
      <w:r w:rsidR="00BF40AF">
        <w:rPr>
          <w:rFonts w:hint="cs"/>
          <w:rtl/>
          <w:lang w:bidi="fa-IR"/>
        </w:rPr>
        <w:t>.</w:t>
      </w:r>
      <w:r w:rsidR="00744A1C" w:rsidRPr="00C24F9C">
        <w:rPr>
          <w:rStyle w:val="libFootnoteBoldChar"/>
          <w:rtl/>
        </w:rPr>
        <w:t>الوافي</w:t>
      </w:r>
      <w:r w:rsidR="00744A1C">
        <w:rPr>
          <w:rtl/>
          <w:lang w:bidi="fa-IR"/>
        </w:rPr>
        <w:t xml:space="preserve"> ، ج 14 ، ص 1162 ، ح 14002 ؛ </w:t>
      </w:r>
      <w:r w:rsidR="00744A1C" w:rsidRPr="00C24F9C">
        <w:rPr>
          <w:rStyle w:val="libFootnoteBoldChar"/>
          <w:rtl/>
        </w:rPr>
        <w:t>الوسائل</w:t>
      </w:r>
      <w:r w:rsidR="00744A1C">
        <w:rPr>
          <w:rtl/>
          <w:lang w:bidi="fa-IR"/>
        </w:rPr>
        <w:t xml:space="preserve"> ، ج 14 ، ص 164 ، ح 18878.</w:t>
      </w:r>
    </w:p>
    <w:tbl>
      <w:tblPr>
        <w:tblStyle w:val="TableGrid"/>
        <w:bidiVisual/>
        <w:tblW w:w="0" w:type="auto"/>
        <w:tblLook w:val="04A0" w:firstRow="1" w:lastRow="0" w:firstColumn="1" w:lastColumn="0" w:noHBand="0" w:noVBand="1"/>
      </w:tblPr>
      <w:tblGrid>
        <w:gridCol w:w="4006"/>
        <w:gridCol w:w="4006"/>
      </w:tblGrid>
      <w:tr w:rsidR="00BF40AF" w:rsidTr="00BF40AF">
        <w:tc>
          <w:tcPr>
            <w:tcW w:w="4006" w:type="dxa"/>
          </w:tcPr>
          <w:p w:rsidR="00BF40AF" w:rsidRDefault="00BF40AF" w:rsidP="00E378DD">
            <w:pPr>
              <w:pStyle w:val="libFootnote0"/>
              <w:rPr>
                <w:rtl/>
                <w:lang w:bidi="fa-IR"/>
              </w:rPr>
            </w:pPr>
            <w:r>
              <w:rPr>
                <w:rtl/>
                <w:lang w:bidi="fa-IR"/>
              </w:rPr>
              <w:t xml:space="preserve">(7). في </w:t>
            </w:r>
            <w:r w:rsidRPr="00BF40AF">
              <w:rPr>
                <w:rtl/>
              </w:rPr>
              <w:t xml:space="preserve">التهذيب والاستبصار </w:t>
            </w:r>
            <w:r>
              <w:rPr>
                <w:rtl/>
                <w:lang w:bidi="fa-IR"/>
              </w:rPr>
              <w:t>: + « بن درّاج ».</w:t>
            </w:r>
          </w:p>
        </w:tc>
        <w:tc>
          <w:tcPr>
            <w:tcW w:w="4006" w:type="dxa"/>
          </w:tcPr>
          <w:p w:rsidR="00BF40AF" w:rsidRDefault="00BF40AF" w:rsidP="00E378DD">
            <w:pPr>
              <w:pStyle w:val="libFootnote0"/>
              <w:rPr>
                <w:rtl/>
                <w:lang w:bidi="fa-IR"/>
              </w:rPr>
            </w:pPr>
            <w:r>
              <w:rPr>
                <w:rtl/>
                <w:lang w:bidi="fa-IR"/>
              </w:rPr>
              <w:t>(8). في « ى » : « عن ».</w:t>
            </w:r>
          </w:p>
        </w:tc>
      </w:tr>
      <w:tr w:rsidR="00BF40AF" w:rsidTr="00BF40AF">
        <w:tc>
          <w:tcPr>
            <w:tcW w:w="4006" w:type="dxa"/>
          </w:tcPr>
          <w:p w:rsidR="00BF40AF" w:rsidRDefault="00BF40AF" w:rsidP="00E378DD">
            <w:pPr>
              <w:pStyle w:val="libFootnote0"/>
              <w:rPr>
                <w:rtl/>
                <w:lang w:bidi="fa-IR"/>
              </w:rPr>
            </w:pPr>
            <w:r>
              <w:rPr>
                <w:rtl/>
                <w:lang w:bidi="fa-IR"/>
              </w:rPr>
              <w:t xml:space="preserve">(9). </w:t>
            </w:r>
            <w:r w:rsidRPr="00BF40AF">
              <w:rPr>
                <w:rtl/>
              </w:rPr>
              <w:t>في التهذيب والاستبصار</w:t>
            </w:r>
            <w:r>
              <w:rPr>
                <w:rtl/>
                <w:lang w:bidi="fa-IR"/>
              </w:rPr>
              <w:t xml:space="preserve"> : - « منها ».</w:t>
            </w:r>
          </w:p>
        </w:tc>
        <w:tc>
          <w:tcPr>
            <w:tcW w:w="4006" w:type="dxa"/>
          </w:tcPr>
          <w:p w:rsidR="00BF40AF" w:rsidRDefault="00BF40AF" w:rsidP="00E378DD">
            <w:pPr>
              <w:pStyle w:val="libFootnote0"/>
              <w:rPr>
                <w:rtl/>
                <w:lang w:bidi="fa-IR"/>
              </w:rPr>
            </w:pPr>
            <w:r>
              <w:rPr>
                <w:rtl/>
                <w:lang w:bidi="fa-IR"/>
              </w:rPr>
              <w:t xml:space="preserve">(10). في </w:t>
            </w:r>
            <w:r w:rsidRPr="00C24F9C">
              <w:rPr>
                <w:rStyle w:val="libFootnoteBoldChar"/>
                <w:rtl/>
              </w:rPr>
              <w:t>المرآة</w:t>
            </w:r>
            <w:r>
              <w:rPr>
                <w:rtl/>
                <w:lang w:bidi="fa-IR"/>
              </w:rPr>
              <w:t xml:space="preserve"> : « وقد ».</w:t>
            </w:r>
          </w:p>
        </w:tc>
      </w:tr>
    </w:tbl>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كَثُرَ النَّاسُ </w:t>
      </w:r>
      <w:r w:rsidRPr="00D10E3C">
        <w:rPr>
          <w:rStyle w:val="libFootnotenumChar"/>
          <w:rtl/>
        </w:rPr>
        <w:t>(1)</w:t>
      </w:r>
      <w:r>
        <w:rPr>
          <w:rtl/>
          <w:lang w:bidi="fa-IR"/>
        </w:rPr>
        <w:t xml:space="preserve"> ، فَلَا بَأْسَ بِإِخْرَاجِهِ ». </w:t>
      </w:r>
      <w:r w:rsidRPr="00D10E3C">
        <w:rPr>
          <w:rStyle w:val="libFootnotenumChar"/>
          <w:rtl/>
        </w:rPr>
        <w:t>(2)</w:t>
      </w:r>
    </w:p>
    <w:p w:rsidR="00144FA6" w:rsidRDefault="00744A1C" w:rsidP="00744A1C">
      <w:pPr>
        <w:pStyle w:val="libNormal"/>
        <w:rPr>
          <w:rtl/>
          <w:lang w:bidi="fa-IR"/>
        </w:rPr>
      </w:pPr>
      <w:r>
        <w:rPr>
          <w:rtl/>
          <w:lang w:bidi="fa-IR"/>
        </w:rPr>
        <w:t xml:space="preserve">7893 / 8. عَلِيُّ بْنُ إِبْرَاهِيمَ </w:t>
      </w:r>
      <w:r w:rsidRPr="00D10E3C">
        <w:rPr>
          <w:rStyle w:val="libFootnotenumChar"/>
          <w:rtl/>
        </w:rPr>
        <w:t>(3)</w:t>
      </w:r>
      <w:r>
        <w:rPr>
          <w:rtl/>
          <w:lang w:bidi="fa-IR"/>
        </w:rPr>
        <w:t xml:space="preserve"> ، عَنْ أَبِيهِ </w:t>
      </w:r>
      <w:r w:rsidRPr="00D10E3C">
        <w:rPr>
          <w:rStyle w:val="libFootnotenumChar"/>
          <w:rtl/>
        </w:rPr>
        <w:t>(4)</w:t>
      </w:r>
      <w:r>
        <w:rPr>
          <w:rtl/>
          <w:lang w:bidi="fa-IR"/>
        </w:rPr>
        <w:t xml:space="preserve"> ، عَنْ إِسْمَاعِيلَ بْنِ مَرَّارٍ ، عَنْ يُونُسَ ، عَنِ ابْنِ مُسْكَانَ ، عَنْ أَبِي بَصِيرٍ ، قَالَ :</w:t>
      </w:r>
    </w:p>
    <w:p w:rsidR="00744A1C" w:rsidRDefault="00744A1C" w:rsidP="00744A1C">
      <w:pPr>
        <w:pStyle w:val="libNormal"/>
        <w:rPr>
          <w:lang w:bidi="fa-IR"/>
        </w:rPr>
      </w:pPr>
      <w:r>
        <w:rPr>
          <w:rtl/>
          <w:lang w:bidi="fa-IR"/>
        </w:rPr>
        <w:t>سَأَلْتُهُ عَنْ رَجُلٍ أَهْدى هَدْياً ، فَانْكَسَرَ؟</w:t>
      </w:r>
    </w:p>
    <w:p w:rsidR="00744A1C" w:rsidRDefault="00744A1C" w:rsidP="00744A1C">
      <w:pPr>
        <w:pStyle w:val="libNormal"/>
        <w:rPr>
          <w:lang w:bidi="fa-IR"/>
        </w:rPr>
      </w:pPr>
      <w:r>
        <w:rPr>
          <w:rtl/>
          <w:lang w:bidi="fa-IR"/>
        </w:rPr>
        <w:t xml:space="preserve">فَقَالَ </w:t>
      </w:r>
      <w:r w:rsidRPr="00D10E3C">
        <w:rPr>
          <w:rStyle w:val="libFootnotenumChar"/>
          <w:rtl/>
        </w:rPr>
        <w:t>(5)</w:t>
      </w:r>
      <w:r>
        <w:rPr>
          <w:rtl/>
          <w:lang w:bidi="fa-IR"/>
        </w:rPr>
        <w:t xml:space="preserve"> : « إِنْ كَانَ مَضْمُوناً - وَالْمَضْمُونُ مَا كَانَ فِي‌</w:t>
      </w:r>
      <w:r w:rsidR="0034547C">
        <w:rPr>
          <w:rFonts w:hint="cs"/>
          <w:rtl/>
          <w:lang w:bidi="fa-IR"/>
        </w:rPr>
        <w:t>.....................</w:t>
      </w:r>
      <w:r w:rsidR="0034547C">
        <w:rPr>
          <w:rFonts w:hint="cs"/>
          <w:rtl/>
          <w:lang w:bidi="fa-IR"/>
        </w:rPr>
        <w:tab/>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عبّر بكثرة الناس عن كثرة اللحم ؛ لأنّ كثرتهم توجب كثرة الهدي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وقد كثر الناس ، أي الذين يأتون بالهدي ويضحّون ، ويدلّ على جواز إخراج لحم الا</w:t>
      </w:r>
      <w:r w:rsidR="00062956">
        <w:rPr>
          <w:rFonts w:hint="cs"/>
          <w:rtl/>
          <w:lang w:bidi="fa-IR"/>
        </w:rPr>
        <w:t>ُ</w:t>
      </w:r>
      <w:r>
        <w:rPr>
          <w:rtl/>
          <w:lang w:bidi="fa-IR"/>
        </w:rPr>
        <w:t>ضحيّة مع عدم حاجة الناس إليها في منى ، والمشهور بين الأصحاب أنّه لا بأس بادّخار لحم الا</w:t>
      </w:r>
      <w:r w:rsidR="00062956">
        <w:rPr>
          <w:rFonts w:hint="cs"/>
          <w:rtl/>
          <w:lang w:bidi="fa-IR"/>
        </w:rPr>
        <w:t>ُ</w:t>
      </w:r>
      <w:r>
        <w:rPr>
          <w:rtl/>
          <w:lang w:bidi="fa-IR"/>
        </w:rPr>
        <w:t>ضحيّة ، ويكره إخراج لحمها ، ولا بأس بإخراج ما يضحّيه غيره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227 ، ح 768 ؛ </w:t>
      </w:r>
      <w:r w:rsidR="00744A1C" w:rsidRPr="00C24F9C">
        <w:rPr>
          <w:rStyle w:val="libFootnoteBoldChar"/>
          <w:rtl/>
        </w:rPr>
        <w:t>والاستبصار</w:t>
      </w:r>
      <w:r w:rsidR="00744A1C">
        <w:rPr>
          <w:rtl/>
          <w:lang w:bidi="fa-IR"/>
        </w:rPr>
        <w:t xml:space="preserve"> ، ج 2 ، ص 275 ، ح 977 ، معلّقاً عن الكليني. </w:t>
      </w:r>
      <w:r w:rsidR="00744A1C" w:rsidRPr="003A7143">
        <w:rPr>
          <w:rStyle w:val="libFootnoteBoldChar"/>
          <w:rtl/>
        </w:rPr>
        <w:t>المحاسن</w:t>
      </w:r>
      <w:r w:rsidR="00744A1C">
        <w:rPr>
          <w:rtl/>
          <w:lang w:bidi="fa-IR"/>
        </w:rPr>
        <w:t xml:space="preserve"> ، ص 320 ، كتاب العلل ، ح 56 ، عن أبيه ، عن ابن أبي عمير ، عن جميل ، عن محمّد بن مسلم ، عن أبي جعفر </w:t>
      </w:r>
      <w:r w:rsidR="0061079A" w:rsidRPr="0061079A">
        <w:rPr>
          <w:rStyle w:val="libFootnoteAlaemChar"/>
          <w:rtl/>
        </w:rPr>
        <w:t>عليه‌السلام</w:t>
      </w:r>
      <w:r w:rsidR="00744A1C">
        <w:rPr>
          <w:rtl/>
          <w:lang w:bidi="fa-IR"/>
        </w:rPr>
        <w:t xml:space="preserve"> . وفيه ، ح 57 ، بسنده عن جميل بن درّاج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وفيهما مع اختلاف. </w:t>
      </w:r>
      <w:r w:rsidR="00744A1C" w:rsidRPr="003A7143">
        <w:rPr>
          <w:rStyle w:val="libFootnoteBoldChar"/>
          <w:rtl/>
        </w:rPr>
        <w:t>علل الشرائع</w:t>
      </w:r>
      <w:r w:rsidR="00744A1C">
        <w:rPr>
          <w:rtl/>
          <w:lang w:bidi="fa-IR"/>
        </w:rPr>
        <w:t xml:space="preserve"> ، ص 439 ، ذيل ح 2 ، بسنده عن جميل بن درّاج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وفيه ، ص 438 ، ح 1 ، بسنده عن محمّد بن مسلم ،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w:t>
      </w:r>
      <w:r w:rsidR="00744A1C" w:rsidRPr="00C24F9C">
        <w:rPr>
          <w:rStyle w:val="libFootnoteBoldChar"/>
          <w:rtl/>
        </w:rPr>
        <w:t>الفقيه</w:t>
      </w:r>
      <w:r w:rsidR="00744A1C">
        <w:rPr>
          <w:rtl/>
          <w:lang w:bidi="fa-IR"/>
        </w:rPr>
        <w:t xml:space="preserve"> ، ج 2 ، ص 493 ، ح 3056 ، مرسلاً عن الصادق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062956">
        <w:rPr>
          <w:rFonts w:hint="cs"/>
          <w:rtl/>
          <w:lang w:bidi="fa-IR"/>
        </w:rPr>
        <w:t>.</w:t>
      </w:r>
      <w:r w:rsidR="00744A1C" w:rsidRPr="00C24F9C">
        <w:rPr>
          <w:rStyle w:val="libFootnoteBoldChar"/>
          <w:rtl/>
        </w:rPr>
        <w:t>الوافي</w:t>
      </w:r>
      <w:r w:rsidR="00744A1C">
        <w:rPr>
          <w:rtl/>
          <w:lang w:bidi="fa-IR"/>
        </w:rPr>
        <w:t xml:space="preserve"> ، ج 14 ، ص 1166 ، ح 14010 ؛ </w:t>
      </w:r>
      <w:r w:rsidR="00744A1C" w:rsidRPr="00C24F9C">
        <w:rPr>
          <w:rStyle w:val="libFootnoteBoldChar"/>
          <w:rtl/>
        </w:rPr>
        <w:t>الوسائل</w:t>
      </w:r>
      <w:r w:rsidR="00744A1C">
        <w:rPr>
          <w:rtl/>
          <w:lang w:bidi="fa-IR"/>
        </w:rPr>
        <w:t xml:space="preserve"> ، ج 14 ، ص 172 ، ح 18904.</w:t>
      </w:r>
    </w:p>
    <w:p w:rsidR="00744A1C" w:rsidRDefault="00E378DD" w:rsidP="00E378DD">
      <w:pPr>
        <w:pStyle w:val="libFootnote0"/>
        <w:rPr>
          <w:lang w:bidi="fa-IR"/>
        </w:rPr>
      </w:pPr>
      <w:r>
        <w:rPr>
          <w:rtl/>
          <w:lang w:bidi="fa-IR"/>
        </w:rPr>
        <w:t>(3).</w:t>
      </w:r>
      <w:r w:rsidR="00744A1C">
        <w:rPr>
          <w:rtl/>
          <w:lang w:bidi="fa-IR"/>
        </w:rPr>
        <w:t xml:space="preserve"> في « جر » </w:t>
      </w:r>
      <w:r w:rsidR="00744A1C" w:rsidRPr="00C24F9C">
        <w:rPr>
          <w:rStyle w:val="libFootnoteBoldChar"/>
          <w:rtl/>
        </w:rPr>
        <w:t>والاستبصار</w:t>
      </w:r>
      <w:r w:rsidR="00744A1C">
        <w:rPr>
          <w:rtl/>
          <w:lang w:bidi="fa-IR"/>
        </w:rPr>
        <w:t xml:space="preserve"> : - « بن إبراهيم ».</w:t>
      </w:r>
    </w:p>
    <w:p w:rsidR="00744A1C" w:rsidRDefault="00E378DD" w:rsidP="00E378DD">
      <w:pPr>
        <w:pStyle w:val="libFootnote0"/>
        <w:rPr>
          <w:lang w:bidi="fa-IR"/>
        </w:rPr>
      </w:pPr>
      <w:r>
        <w:rPr>
          <w:rtl/>
          <w:lang w:bidi="fa-IR"/>
        </w:rPr>
        <w:t>(4).</w:t>
      </w:r>
      <w:r w:rsidR="00744A1C">
        <w:rPr>
          <w:rtl/>
          <w:lang w:bidi="fa-IR"/>
        </w:rPr>
        <w:t xml:space="preserve"> هكذا في « بف ، جر »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وفي « ى ، بث ، بح ، بخ ، بس ، جن » والمطبوع : + « عن ابن أبي عمير ». وفي « جن » : + « عن ابن أبي عمير و» قبل إسماعيل بن مرّار. وأمّا </w:t>
      </w:r>
      <w:r w:rsidR="00744A1C" w:rsidRPr="00C24F9C">
        <w:rPr>
          <w:rStyle w:val="libFootnoteBoldChar"/>
          <w:rtl/>
        </w:rPr>
        <w:t>الوسائل</w:t>
      </w:r>
      <w:r w:rsidR="00744A1C">
        <w:rPr>
          <w:rtl/>
          <w:lang w:bidi="fa-IR"/>
        </w:rPr>
        <w:t xml:space="preserve"> ، ففي ح 18805 ، كما أثبتناه. وفي ح 1880 كما في « جن ».</w:t>
      </w:r>
    </w:p>
    <w:p w:rsidR="00744A1C" w:rsidRDefault="00744A1C" w:rsidP="00D10E3C">
      <w:pPr>
        <w:pStyle w:val="libFootnote0"/>
        <w:rPr>
          <w:lang w:bidi="fa-IR"/>
        </w:rPr>
      </w:pPr>
      <w:r>
        <w:rPr>
          <w:rtl/>
          <w:lang w:bidi="fa-IR"/>
        </w:rPr>
        <w:t>والصواب ما أثبتناه ، وكلا النقلين الآخرين سهو.</w:t>
      </w:r>
    </w:p>
    <w:p w:rsidR="00744A1C" w:rsidRDefault="00744A1C" w:rsidP="00D10E3C">
      <w:pPr>
        <w:pStyle w:val="libFootnote0"/>
        <w:rPr>
          <w:lang w:bidi="fa-IR"/>
        </w:rPr>
      </w:pPr>
      <w:r>
        <w:rPr>
          <w:rtl/>
          <w:lang w:bidi="fa-IR"/>
        </w:rPr>
        <w:t xml:space="preserve">أمّا ما ورد في المطبوع وأكثر النسخ فلازمه توسّط ابن أبي عمير بين إبراهيم بن هاشم وشيخه إسماعيل بن مرّار ؛ فقد روى إبراهيم بن هاشم عن إسماعيل بن مرّار في أسنادٍ كثيرة ، وقال الشيخ الطوسي في رجاله ، ص 412 ، الرقم 5972 : « إسماعيل بن مرّار ، روى عن يونس بن عبد الرحمن ، روى عنه إبراهيم بن هاشم ». أضف إلى ذلك عدم معهوديّة رواية ابن أبي عمير عن إسماعيل بن مرّار في الأسناد والطرق. راجع : </w:t>
      </w:r>
      <w:r w:rsidRPr="0061079A">
        <w:rPr>
          <w:rStyle w:val="libFootnoteBoldChar"/>
          <w:rtl/>
        </w:rPr>
        <w:t>معجم رجال الحديث</w:t>
      </w:r>
      <w:r>
        <w:rPr>
          <w:rtl/>
          <w:lang w:bidi="fa-IR"/>
        </w:rPr>
        <w:t xml:space="preserve"> ، ج 1 ، ص 502 - 505.</w:t>
      </w:r>
    </w:p>
    <w:p w:rsidR="00744A1C" w:rsidRDefault="00744A1C" w:rsidP="00D10E3C">
      <w:pPr>
        <w:pStyle w:val="libFootnote0"/>
        <w:rPr>
          <w:lang w:bidi="fa-IR"/>
        </w:rPr>
      </w:pPr>
      <w:r>
        <w:rPr>
          <w:rtl/>
          <w:lang w:bidi="fa-IR"/>
        </w:rPr>
        <w:t xml:space="preserve">وأمّا ما ورد في « جن » وموضعٍ من </w:t>
      </w:r>
      <w:r w:rsidRPr="00C24F9C">
        <w:rPr>
          <w:rStyle w:val="libFootnoteBoldChar"/>
          <w:rtl/>
        </w:rPr>
        <w:t>الوسائل</w:t>
      </w:r>
      <w:r>
        <w:rPr>
          <w:rtl/>
          <w:lang w:bidi="fa-IR"/>
        </w:rPr>
        <w:t xml:space="preserve"> من عطف إسماعيل بن مرّار ، فهو وإن لم يواجه الإشكال السابق ، لكن يلزم رواية ابن أبي عمير عن يونس - وهو ابن عبد الرحمن - وقد تقدّم في </w:t>
      </w:r>
      <w:r w:rsidRPr="0061079A">
        <w:rPr>
          <w:rStyle w:val="libFootnoteBoldChar"/>
          <w:rtl/>
        </w:rPr>
        <w:t>الكافي</w:t>
      </w:r>
      <w:r>
        <w:rPr>
          <w:rtl/>
          <w:lang w:bidi="fa-IR"/>
        </w:rPr>
        <w:t xml:space="preserve"> ، ذيل ح 106 أنّا لم نجد رواية ابن أبي عمير عن يونس بن عبد الرحمن في موضع ، فلاحظ.</w:t>
      </w:r>
    </w:p>
    <w:p w:rsidR="00062956" w:rsidRDefault="00E378DD" w:rsidP="00062956">
      <w:pPr>
        <w:pStyle w:val="libFootnote0"/>
        <w:rPr>
          <w:rtl/>
          <w:lang w:bidi="fa-IR"/>
        </w:rPr>
      </w:pPr>
      <w:r>
        <w:rPr>
          <w:rtl/>
          <w:lang w:bidi="fa-IR"/>
        </w:rPr>
        <w:t>(5).</w:t>
      </w:r>
      <w:r w:rsidR="00744A1C">
        <w:rPr>
          <w:rtl/>
          <w:lang w:bidi="fa-IR"/>
        </w:rPr>
        <w:t xml:space="preserve"> في « ى ، بث ، بخ ، بف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18805 </w:t>
      </w:r>
      <w:r w:rsidR="00744A1C" w:rsidRPr="0061079A">
        <w:rPr>
          <w:rStyle w:val="libFootnoteBoldChar"/>
          <w:rtl/>
        </w:rPr>
        <w:t>والتهذيب</w:t>
      </w:r>
      <w:r w:rsidR="00744A1C">
        <w:rPr>
          <w:rtl/>
          <w:lang w:bidi="fa-IR"/>
        </w:rPr>
        <w:t xml:space="preserve"> ، ص 224 </w:t>
      </w:r>
      <w:r w:rsidR="00744A1C" w:rsidRPr="00C24F9C">
        <w:rPr>
          <w:rStyle w:val="libFootnoteBoldChar"/>
          <w:rtl/>
        </w:rPr>
        <w:t>والاستبصار</w:t>
      </w:r>
      <w:r w:rsidR="00744A1C">
        <w:rPr>
          <w:rtl/>
          <w:lang w:bidi="fa-IR"/>
        </w:rPr>
        <w:t xml:space="preserve"> ، ص 272 : « قال ».</w:t>
      </w:r>
    </w:p>
    <w:p w:rsidR="00150943" w:rsidRDefault="00150943" w:rsidP="00062956">
      <w:pPr>
        <w:pStyle w:val="libFootnote0"/>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يَمِينٍ </w:t>
      </w:r>
      <w:r w:rsidRPr="00D10E3C">
        <w:rPr>
          <w:rStyle w:val="libFootnotenumChar"/>
          <w:rtl/>
        </w:rPr>
        <w:t>(1)</w:t>
      </w:r>
      <w:r>
        <w:rPr>
          <w:rtl/>
          <w:lang w:bidi="fa-IR"/>
        </w:rPr>
        <w:t xml:space="preserve"> يَعْنِي نَذْراً أَوْ جَزَاءً </w:t>
      </w:r>
      <w:r w:rsidRPr="00D10E3C">
        <w:rPr>
          <w:rStyle w:val="libFootnotenumChar"/>
          <w:rtl/>
        </w:rPr>
        <w:t>(2)</w:t>
      </w:r>
      <w:r>
        <w:rPr>
          <w:rtl/>
          <w:lang w:bidi="fa-IR"/>
        </w:rPr>
        <w:t xml:space="preserve"> - فَعَلَيْهِ فِدَاؤُهُ ».</w:t>
      </w:r>
    </w:p>
    <w:p w:rsidR="00744A1C" w:rsidRDefault="00744A1C" w:rsidP="00744A1C">
      <w:pPr>
        <w:pStyle w:val="libNormal"/>
        <w:rPr>
          <w:lang w:bidi="fa-IR"/>
        </w:rPr>
      </w:pPr>
      <w:r>
        <w:rPr>
          <w:rtl/>
          <w:lang w:bidi="fa-IR"/>
        </w:rPr>
        <w:t xml:space="preserve">قُلْتُ : أَيَأْكُلُ </w:t>
      </w:r>
      <w:r w:rsidRPr="00D10E3C">
        <w:rPr>
          <w:rStyle w:val="libFootnotenumChar"/>
          <w:rtl/>
        </w:rPr>
        <w:t>(3)</w:t>
      </w:r>
      <w:r>
        <w:rPr>
          <w:rtl/>
          <w:lang w:bidi="fa-IR"/>
        </w:rPr>
        <w:t xml:space="preserve"> مِنْهُ </w:t>
      </w:r>
      <w:r w:rsidRPr="00D10E3C">
        <w:rPr>
          <w:rStyle w:val="libFootnotenumChar"/>
          <w:rtl/>
        </w:rPr>
        <w:t>(4)</w:t>
      </w:r>
      <w:r>
        <w:rPr>
          <w:rtl/>
          <w:lang w:bidi="fa-IR"/>
        </w:rPr>
        <w:t>؟</w:t>
      </w:r>
    </w:p>
    <w:p w:rsidR="00744A1C" w:rsidRDefault="00744A1C" w:rsidP="00744A1C">
      <w:pPr>
        <w:pStyle w:val="libNormal"/>
        <w:rPr>
          <w:lang w:bidi="fa-IR"/>
        </w:rPr>
      </w:pPr>
      <w:r>
        <w:rPr>
          <w:rtl/>
          <w:lang w:bidi="fa-IR"/>
        </w:rPr>
        <w:t xml:space="preserve">فَقَالَ </w:t>
      </w:r>
      <w:r w:rsidRPr="00D10E3C">
        <w:rPr>
          <w:rStyle w:val="libFootnotenumChar"/>
          <w:rtl/>
        </w:rPr>
        <w:t>(5)</w:t>
      </w:r>
      <w:r>
        <w:rPr>
          <w:rtl/>
          <w:lang w:bidi="fa-IR"/>
        </w:rPr>
        <w:t xml:space="preserve"> : « لَا ، إِنَّمَا هُوَ لِلْمَسَاكِينِ ، فَإِنْ </w:t>
      </w:r>
      <w:r w:rsidRPr="00D10E3C">
        <w:rPr>
          <w:rStyle w:val="libFootnotenumChar"/>
          <w:rtl/>
        </w:rPr>
        <w:t>(6)</w:t>
      </w:r>
      <w:r>
        <w:rPr>
          <w:rtl/>
          <w:lang w:bidi="fa-IR"/>
        </w:rPr>
        <w:t xml:space="preserve"> لَمْ يَكُنْ مَضْمُوناً ، فَلَيْسَ عَلَيْهِ شَيْ‌ءٌ ».</w:t>
      </w:r>
    </w:p>
    <w:p w:rsidR="00744A1C" w:rsidRDefault="00744A1C" w:rsidP="00744A1C">
      <w:pPr>
        <w:pStyle w:val="libNormal"/>
        <w:rPr>
          <w:lang w:bidi="fa-IR"/>
        </w:rPr>
      </w:pPr>
      <w:r>
        <w:rPr>
          <w:rtl/>
          <w:lang w:bidi="fa-IR"/>
        </w:rPr>
        <w:t xml:space="preserve">قُلْتُ : أَيَأْكُلُ </w:t>
      </w:r>
      <w:r w:rsidRPr="00D10E3C">
        <w:rPr>
          <w:rStyle w:val="libFootnotenumChar"/>
          <w:rtl/>
        </w:rPr>
        <w:t>(7)</w:t>
      </w:r>
      <w:r>
        <w:rPr>
          <w:rtl/>
          <w:lang w:bidi="fa-IR"/>
        </w:rPr>
        <w:t xml:space="preserve"> مِنْهُ؟</w:t>
      </w:r>
    </w:p>
    <w:p w:rsidR="00744A1C" w:rsidRDefault="00744A1C" w:rsidP="00744A1C">
      <w:pPr>
        <w:pStyle w:val="libNormal"/>
        <w:rPr>
          <w:lang w:bidi="fa-IR"/>
        </w:rPr>
      </w:pPr>
      <w:r>
        <w:rPr>
          <w:rtl/>
          <w:lang w:bidi="fa-IR"/>
        </w:rPr>
        <w:t>قَالَ : « يَأْكُلُ مِنْهُ ».</w:t>
      </w:r>
    </w:p>
    <w:p w:rsidR="00144FA6" w:rsidRDefault="00116C72" w:rsidP="00744A1C">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رُوِيَ أَيْضاً </w:t>
      </w:r>
      <w:r w:rsidR="00744A1C" w:rsidRPr="00D10E3C">
        <w:rPr>
          <w:rStyle w:val="libFootnotenumChar"/>
          <w:rtl/>
        </w:rPr>
        <w:t>(8)</w:t>
      </w:r>
      <w:r w:rsidR="00744A1C">
        <w:rPr>
          <w:rtl/>
          <w:lang w:bidi="fa-IR"/>
        </w:rPr>
        <w:t xml:space="preserve"> « أَنَّهُ يَأْكُلُ مِنْهُ مَضْمُوناً كَانَ ، أَوْ غَيْرَ مَضْمُونٍ ». </w:t>
      </w:r>
      <w:r w:rsidR="00744A1C" w:rsidRPr="00D10E3C">
        <w:rPr>
          <w:rStyle w:val="libFootnotenumChar"/>
          <w:rtl/>
        </w:rPr>
        <w:t>(9)</w:t>
      </w:r>
    </w:p>
    <w:p w:rsidR="00144FA6" w:rsidRDefault="00744A1C" w:rsidP="00744A1C">
      <w:pPr>
        <w:pStyle w:val="libNormal"/>
        <w:rPr>
          <w:rtl/>
          <w:lang w:bidi="fa-IR"/>
        </w:rPr>
      </w:pPr>
      <w:r>
        <w:rPr>
          <w:rtl/>
          <w:lang w:bidi="fa-IR"/>
        </w:rPr>
        <w:t xml:space="preserve">7894 / 9. عِدَّةٌ مِنْ أَصْحَابِنَا ، عَنْ سَهْلِ بْنِ زِيَادٍ ، عَنْ عَلِيِّ بْنِ أَسْبَاطٍ ، عَنْ مَوْلًى لِأَبِي عَبْدِ اللهِ </w:t>
      </w:r>
      <w:r w:rsidR="0061079A" w:rsidRPr="0061079A">
        <w:rPr>
          <w:rStyle w:val="libAlaemChar"/>
          <w:rtl/>
        </w:rPr>
        <w:t>عليه‌السلام</w:t>
      </w:r>
      <w:r w:rsidR="00D10E3C">
        <w:rPr>
          <w:rtl/>
          <w:lang w:bidi="fa-IR"/>
        </w:rPr>
        <w:t xml:space="preserve"> </w:t>
      </w:r>
      <w:r>
        <w:rPr>
          <w:rtl/>
          <w:lang w:bidi="fa-IR"/>
        </w:rPr>
        <w:t>،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 « عين ».</w:t>
      </w:r>
    </w:p>
    <w:p w:rsidR="00744A1C" w:rsidRDefault="00E378DD" w:rsidP="00E378DD">
      <w:pPr>
        <w:pStyle w:val="libFootnote0"/>
        <w:rPr>
          <w:lang w:bidi="fa-IR"/>
        </w:rPr>
      </w:pPr>
      <w:r>
        <w:rPr>
          <w:rtl/>
          <w:lang w:bidi="fa-IR"/>
        </w:rPr>
        <w:t>(2).</w:t>
      </w:r>
      <w:r w:rsidR="00744A1C">
        <w:rPr>
          <w:rtl/>
          <w:lang w:bidi="fa-IR"/>
        </w:rPr>
        <w:t xml:space="preserve"> في « بف » : « وجزاء ».</w:t>
      </w:r>
    </w:p>
    <w:p w:rsidR="00744A1C" w:rsidRDefault="00E378DD" w:rsidP="00E378DD">
      <w:pPr>
        <w:pStyle w:val="libFootnote0"/>
        <w:rPr>
          <w:lang w:bidi="fa-IR"/>
        </w:rPr>
      </w:pPr>
      <w:r>
        <w:rPr>
          <w:rtl/>
          <w:lang w:bidi="fa-IR"/>
        </w:rPr>
        <w:t>(3).</w:t>
      </w:r>
      <w:r w:rsidR="00744A1C">
        <w:rPr>
          <w:rtl/>
          <w:lang w:bidi="fa-IR"/>
        </w:rPr>
        <w:t xml:space="preserve"> في « بث » : « أنأكل ».</w:t>
      </w:r>
    </w:p>
    <w:p w:rsidR="00744A1C" w:rsidRDefault="00E378DD" w:rsidP="00E378DD">
      <w:pPr>
        <w:pStyle w:val="libFootnote0"/>
        <w:rPr>
          <w:lang w:bidi="fa-IR"/>
        </w:rPr>
      </w:pPr>
      <w:r>
        <w:rPr>
          <w:rtl/>
          <w:lang w:bidi="fa-IR"/>
        </w:rPr>
        <w:t>(4).</w:t>
      </w:r>
      <w:r w:rsidR="00744A1C">
        <w:rPr>
          <w:rtl/>
          <w:lang w:bidi="fa-IR"/>
        </w:rPr>
        <w:t xml:space="preserve"> في </w:t>
      </w:r>
      <w:r w:rsidR="00744A1C" w:rsidRPr="00877682">
        <w:rPr>
          <w:rStyle w:val="libFootnoteBoldChar"/>
          <w:rtl/>
        </w:rPr>
        <w:t>مرآة العقول</w:t>
      </w:r>
      <w:r w:rsidR="00744A1C">
        <w:rPr>
          <w:rtl/>
          <w:lang w:bidi="fa-IR"/>
        </w:rPr>
        <w:t xml:space="preserve"> ، ج 18 ، ص 183 : « قوله </w:t>
      </w:r>
      <w:r w:rsidR="0061079A" w:rsidRPr="0061079A">
        <w:rPr>
          <w:rStyle w:val="libFootnoteAlaemChar"/>
          <w:rtl/>
        </w:rPr>
        <w:t>عليه‌السلام</w:t>
      </w:r>
      <w:r w:rsidR="00D10E3C">
        <w:rPr>
          <w:rtl/>
          <w:lang w:bidi="fa-IR"/>
        </w:rPr>
        <w:t xml:space="preserve"> </w:t>
      </w:r>
      <w:r w:rsidR="00744A1C">
        <w:rPr>
          <w:rtl/>
          <w:lang w:bidi="fa-IR"/>
        </w:rPr>
        <w:t>: أيأكل منه ، أي من المضمون ، أو ممّا انكسر ، والاحتمالان جاريان في السؤال الثاني أيضاً ».</w:t>
      </w:r>
    </w:p>
    <w:p w:rsidR="00744A1C" w:rsidRDefault="00E378DD" w:rsidP="00E378DD">
      <w:pPr>
        <w:pStyle w:val="libFootnote0"/>
        <w:rPr>
          <w:lang w:bidi="fa-IR"/>
        </w:rPr>
      </w:pPr>
      <w:r>
        <w:rPr>
          <w:rtl/>
          <w:lang w:bidi="fa-IR"/>
        </w:rPr>
        <w:t>(5).</w:t>
      </w:r>
      <w:r w:rsidR="00744A1C">
        <w:rPr>
          <w:rtl/>
          <w:lang w:bidi="fa-IR"/>
        </w:rPr>
        <w:t xml:space="preserve"> في « بخ ، بف » </w:t>
      </w:r>
      <w:r w:rsidR="00744A1C" w:rsidRPr="00116C72">
        <w:rPr>
          <w:rtl/>
        </w:rPr>
        <w:t>والوافي والتهذيب ، ص 224 والاستبصار ، ص</w:t>
      </w:r>
      <w:r w:rsidR="00744A1C">
        <w:rPr>
          <w:rtl/>
          <w:lang w:bidi="fa-IR"/>
        </w:rPr>
        <w:t xml:space="preserve"> 272 : « قال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الوسائل</w:t>
      </w:r>
      <w:r w:rsidR="00744A1C">
        <w:rPr>
          <w:rtl/>
          <w:lang w:bidi="fa-IR"/>
        </w:rPr>
        <w:t xml:space="preserve"> ، ح 18805 </w:t>
      </w:r>
      <w:r w:rsidR="00744A1C" w:rsidRPr="0061079A">
        <w:rPr>
          <w:rStyle w:val="libFootnoteBoldChar"/>
          <w:rtl/>
        </w:rPr>
        <w:t>والتهذيب</w:t>
      </w:r>
      <w:r w:rsidR="00744A1C">
        <w:rPr>
          <w:rtl/>
          <w:lang w:bidi="fa-IR"/>
        </w:rPr>
        <w:t xml:space="preserve"> ، ص 224 </w:t>
      </w:r>
      <w:r w:rsidR="00744A1C" w:rsidRPr="00C24F9C">
        <w:rPr>
          <w:rStyle w:val="libFootnoteBoldChar"/>
          <w:rtl/>
        </w:rPr>
        <w:t>والاستبصار</w:t>
      </w:r>
      <w:r w:rsidR="00744A1C">
        <w:rPr>
          <w:rtl/>
          <w:lang w:bidi="fa-IR"/>
        </w:rPr>
        <w:t xml:space="preserve"> ، ص 272 : « وإن ».</w:t>
      </w:r>
    </w:p>
    <w:p w:rsidR="00744A1C" w:rsidRDefault="00E378DD" w:rsidP="00E378DD">
      <w:pPr>
        <w:pStyle w:val="libFootnote0"/>
        <w:rPr>
          <w:lang w:bidi="fa-IR"/>
        </w:rPr>
      </w:pPr>
      <w:r>
        <w:rPr>
          <w:rtl/>
          <w:lang w:bidi="fa-IR"/>
        </w:rPr>
        <w:t>(7).</w:t>
      </w:r>
      <w:r w:rsidR="00744A1C">
        <w:rPr>
          <w:rtl/>
          <w:lang w:bidi="fa-IR"/>
        </w:rPr>
        <w:t xml:space="preserve"> في « بث » </w:t>
      </w:r>
      <w:r w:rsidR="00744A1C" w:rsidRPr="0061079A">
        <w:rPr>
          <w:rStyle w:val="libFootnoteBoldChar"/>
          <w:rtl/>
        </w:rPr>
        <w:t>والتهذيب</w:t>
      </w:r>
      <w:r w:rsidR="00744A1C">
        <w:rPr>
          <w:rtl/>
          <w:lang w:bidi="fa-IR"/>
        </w:rPr>
        <w:t xml:space="preserve"> ، ص 224 : « يأكل » بدون همزة الاستفهام.</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قوله : وروي أيضاً ، حمله الشيخ على الضرورة مع الفداء ، وقال السيّد في المدارك : لا بأس بالمصير إلى هذا الحمل وإن كان بعيداً ؛ لأنّها لاتعارض الإجماع والأخبار الكثيرة. انتهى. وربما يجمع [ بحمل ] المنع على الكراهة ، أو بحمل المضمون على غير الفداء والمنذور ، بل على ما لزم بالسياق والإشعار والتقليد ». وراجع : </w:t>
      </w:r>
      <w:r w:rsidR="00744A1C" w:rsidRPr="00C24F9C">
        <w:rPr>
          <w:rStyle w:val="libFootnoteBoldChar"/>
          <w:rtl/>
        </w:rPr>
        <w:t>مدارك الأحكام</w:t>
      </w:r>
      <w:r w:rsidR="00744A1C">
        <w:rPr>
          <w:rtl/>
          <w:lang w:bidi="fa-IR"/>
        </w:rPr>
        <w:t xml:space="preserve"> ، ج 8 ، ص 78.</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224 ، ح 756 ؛ </w:t>
      </w:r>
      <w:r w:rsidR="00744A1C" w:rsidRPr="00C24F9C">
        <w:rPr>
          <w:rStyle w:val="libFootnoteBoldChar"/>
          <w:rtl/>
        </w:rPr>
        <w:t>والاستبصار</w:t>
      </w:r>
      <w:r w:rsidR="00744A1C">
        <w:rPr>
          <w:rtl/>
          <w:lang w:bidi="fa-IR"/>
        </w:rPr>
        <w:t xml:space="preserve"> ، ج 2 ، ص 272 ، ح 965 ، معلّقاً عن الكليني. وفي </w:t>
      </w:r>
      <w:r w:rsidR="00744A1C" w:rsidRPr="00C24F9C">
        <w:rPr>
          <w:rStyle w:val="libFootnoteBoldChar"/>
          <w:rtl/>
        </w:rPr>
        <w:t>الفقيه</w:t>
      </w:r>
      <w:r w:rsidR="00744A1C">
        <w:rPr>
          <w:rtl/>
          <w:lang w:bidi="fa-IR"/>
        </w:rPr>
        <w:t xml:space="preserve"> ، ج 2 ، ص 500 ، ح 3073 ؛ و</w:t>
      </w:r>
      <w:r w:rsidR="00744A1C" w:rsidRPr="003A7143">
        <w:rPr>
          <w:rStyle w:val="libFootnoteBoldChar"/>
          <w:rtl/>
        </w:rPr>
        <w:t>علل الشرائع</w:t>
      </w:r>
      <w:r w:rsidR="00744A1C">
        <w:rPr>
          <w:rtl/>
          <w:lang w:bidi="fa-IR"/>
        </w:rPr>
        <w:t xml:space="preserve"> ، ص 435 ، ح 3 ، مع اختلاف وزيادة. وفي </w:t>
      </w:r>
      <w:r w:rsidR="00744A1C" w:rsidRPr="00C24F9C">
        <w:rPr>
          <w:rStyle w:val="libFootnoteBoldChar"/>
          <w:rtl/>
        </w:rPr>
        <w:t>التهذيب</w:t>
      </w:r>
      <w:r w:rsidR="00744A1C">
        <w:rPr>
          <w:rtl/>
          <w:lang w:bidi="fa-IR"/>
        </w:rPr>
        <w:t xml:space="preserve"> ، ج 5 ، ص 215 ، ح 725 ؛ </w:t>
      </w:r>
      <w:r w:rsidR="00744A1C" w:rsidRPr="00C24F9C">
        <w:rPr>
          <w:rStyle w:val="libFootnoteBoldChar"/>
          <w:rtl/>
        </w:rPr>
        <w:t>والاستبصار</w:t>
      </w:r>
      <w:r w:rsidR="00744A1C">
        <w:rPr>
          <w:rtl/>
          <w:lang w:bidi="fa-IR"/>
        </w:rPr>
        <w:t xml:space="preserve"> ، ج 2 ، ص 269 ، ح 956 ، مع اختلاف يسير ، وفي الأربعة الأخيرة بسند آخر عن أبي عبدالله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502 ، ح 3078 ، بسند آخر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فيه : « إنَّ الهدي المضمون لا يأكل منه إذا عطب ، فإن أكل منه غرم » </w:t>
      </w:r>
      <w:r w:rsidR="00907B39">
        <w:rPr>
          <w:rFonts w:hint="cs"/>
          <w:rtl/>
          <w:lang w:bidi="fa-IR"/>
        </w:rPr>
        <w:t>.</w:t>
      </w:r>
      <w:r w:rsidR="00744A1C" w:rsidRPr="00C24F9C">
        <w:rPr>
          <w:rStyle w:val="libFootnoteBoldChar"/>
          <w:rtl/>
        </w:rPr>
        <w:t>الوافي</w:t>
      </w:r>
      <w:r w:rsidR="00744A1C">
        <w:rPr>
          <w:rtl/>
          <w:lang w:bidi="fa-IR"/>
        </w:rPr>
        <w:t xml:space="preserve"> ، ج 13 ، ص 775 ، ح 13141 ؛ </w:t>
      </w:r>
      <w:r w:rsidR="00744A1C" w:rsidRPr="00C24F9C">
        <w:rPr>
          <w:rStyle w:val="libFootnoteBoldChar"/>
          <w:rtl/>
        </w:rPr>
        <w:t>الوسائل</w:t>
      </w:r>
      <w:r w:rsidR="00744A1C">
        <w:rPr>
          <w:rtl/>
          <w:lang w:bidi="fa-IR"/>
        </w:rPr>
        <w:t xml:space="preserve"> ، ج 14 ، ص 165 ، ح 18805 ؛ وص 165 ، ح 18880.</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رَأَيْتُ </w:t>
      </w:r>
      <w:r w:rsidRPr="00D10E3C">
        <w:rPr>
          <w:rStyle w:val="libFootnotenumChar"/>
          <w:rtl/>
        </w:rPr>
        <w:t>(1)</w:t>
      </w:r>
      <w:r>
        <w:rPr>
          <w:rtl/>
          <w:lang w:bidi="fa-IR"/>
        </w:rPr>
        <w:t xml:space="preserve"> أَبَا الْحَسَنِ الْأَوَّلَ </w:t>
      </w:r>
      <w:r w:rsidRPr="00D10E3C">
        <w:rPr>
          <w:rStyle w:val="libFootnotenumChar"/>
          <w:rtl/>
        </w:rPr>
        <w:t>(2)</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دَعَا بِبَدَنَةٍ ، فَنَحَرَهَا ، فَلَمَّا ضَرَبَ الْجَزَّارُونَ </w:t>
      </w:r>
      <w:r w:rsidRPr="00D10E3C">
        <w:rPr>
          <w:rStyle w:val="libFootnotenumChar"/>
          <w:rtl/>
        </w:rPr>
        <w:t>(3)</w:t>
      </w:r>
      <w:r>
        <w:rPr>
          <w:rtl/>
          <w:lang w:bidi="fa-IR"/>
        </w:rPr>
        <w:t xml:space="preserve"> عَرَاقِيبَهَا </w:t>
      </w:r>
      <w:r w:rsidRPr="00D10E3C">
        <w:rPr>
          <w:rStyle w:val="libFootnotenumChar"/>
          <w:rtl/>
        </w:rPr>
        <w:t>(4)</w:t>
      </w:r>
      <w:r>
        <w:rPr>
          <w:rtl/>
          <w:lang w:bidi="fa-IR"/>
        </w:rPr>
        <w:t xml:space="preserve"> ، فَوَقَعَتْ إِلَى </w:t>
      </w:r>
      <w:r w:rsidRPr="00D10E3C">
        <w:rPr>
          <w:rStyle w:val="libFootnotenumChar"/>
          <w:rtl/>
        </w:rPr>
        <w:t>(5)</w:t>
      </w:r>
      <w:r>
        <w:rPr>
          <w:rtl/>
          <w:lang w:bidi="fa-IR"/>
        </w:rPr>
        <w:t xml:space="preserve"> الْأَرْضِ ، وَكَشَفُوا شَيْئاً عَنْ </w:t>
      </w:r>
      <w:r w:rsidRPr="00D10E3C">
        <w:rPr>
          <w:rStyle w:val="libFootnotenumChar"/>
          <w:rtl/>
        </w:rPr>
        <w:t>(6)</w:t>
      </w:r>
      <w:r>
        <w:rPr>
          <w:rtl/>
          <w:lang w:bidi="fa-IR"/>
        </w:rPr>
        <w:t xml:space="preserve"> سَنَامِهَا </w:t>
      </w:r>
      <w:r w:rsidRPr="00D10E3C">
        <w:rPr>
          <w:rStyle w:val="libFootnotenumChar"/>
          <w:rtl/>
        </w:rPr>
        <w:t>(7)</w:t>
      </w:r>
      <w:r>
        <w:rPr>
          <w:rtl/>
          <w:lang w:bidi="fa-IR"/>
        </w:rPr>
        <w:t xml:space="preserve"> ، قَالَ </w:t>
      </w:r>
      <w:r w:rsidRPr="00D10E3C">
        <w:rPr>
          <w:rStyle w:val="libFootnotenumChar"/>
          <w:rtl/>
        </w:rPr>
        <w:t>(8)</w:t>
      </w:r>
      <w:r>
        <w:rPr>
          <w:rtl/>
          <w:lang w:bidi="fa-IR"/>
        </w:rPr>
        <w:t xml:space="preserve"> : « اقْطَعُوا ، وَكُلُوا مِنْهَا ، وَأَطْعِمُوا </w:t>
      </w:r>
      <w:r w:rsidRPr="00D10E3C">
        <w:rPr>
          <w:rStyle w:val="libFootnotenumChar"/>
          <w:rtl/>
        </w:rPr>
        <w:t>(9)</w:t>
      </w:r>
      <w:r>
        <w:rPr>
          <w:rtl/>
          <w:lang w:bidi="fa-IR"/>
        </w:rPr>
        <w:t xml:space="preserve"> ؛ فَإِنَّ اللهَ - عَزَّ وَجَلَّ - يَقُولُ : </w:t>
      </w:r>
      <w:r w:rsidRPr="00907B39">
        <w:rPr>
          <w:rStyle w:val="libAlaemChar"/>
          <w:rtl/>
        </w:rPr>
        <w:t>(</w:t>
      </w:r>
      <w:r w:rsidRPr="00907B39">
        <w:rPr>
          <w:rStyle w:val="libAieChar"/>
          <w:rtl/>
        </w:rPr>
        <w:t xml:space="preserve"> فَإِذا وَجَبَتْ جُنُوبُها فَكُلُوا مِنْها وَأَطْعِمُوا </w:t>
      </w:r>
      <w:r w:rsidRPr="00907B39">
        <w:rPr>
          <w:rStyle w:val="libAlaemChar"/>
          <w:rtl/>
        </w:rPr>
        <w:t>)</w:t>
      </w:r>
      <w:r>
        <w:rPr>
          <w:rtl/>
          <w:lang w:bidi="fa-IR"/>
        </w:rPr>
        <w:t xml:space="preserve"> </w:t>
      </w:r>
      <w:r w:rsidRPr="00D10E3C">
        <w:rPr>
          <w:rStyle w:val="libFootnotenumChar"/>
          <w:rtl/>
        </w:rPr>
        <w:t>(10)</w:t>
      </w:r>
      <w:r>
        <w:rPr>
          <w:rtl/>
          <w:lang w:bidi="fa-IR"/>
        </w:rPr>
        <w:t>».</w:t>
      </w:r>
      <w:r w:rsidRPr="00D10E3C">
        <w:rPr>
          <w:rStyle w:val="libFootnotenumChar"/>
          <w:rtl/>
        </w:rPr>
        <w:t>(11)</w:t>
      </w:r>
    </w:p>
    <w:p w:rsidR="00744A1C" w:rsidRDefault="00744A1C" w:rsidP="00744A1C">
      <w:pPr>
        <w:pStyle w:val="libNormal"/>
        <w:rPr>
          <w:lang w:bidi="fa-IR"/>
        </w:rPr>
      </w:pPr>
      <w:r>
        <w:rPr>
          <w:rtl/>
          <w:lang w:bidi="fa-IR"/>
        </w:rPr>
        <w:t xml:space="preserve">7895 / 10. مُحَمَّدُ بْنُ يَحْيى ، عَنْ أَحْمَدَ بْنِ مُحَمَّدٍ ، عَنْ مُحَمَّدِ بْنِ إِسْمَاعِيلَ ، عَنْ حَنَانِ بْنِ سَدِيرٍ ، عَنْ أَبِيهِ </w:t>
      </w:r>
      <w:r w:rsidRPr="00D10E3C">
        <w:rPr>
          <w:rStyle w:val="libFootnotenumChar"/>
          <w:rtl/>
        </w:rPr>
        <w:t>(12)</w:t>
      </w:r>
      <w:r>
        <w:rPr>
          <w:rtl/>
          <w:lang w:bidi="fa-IR"/>
        </w:rPr>
        <w:t xml:space="preserve"> ، عَنْ أَبِي جَعْفَرٍ </w:t>
      </w:r>
      <w:r w:rsidR="0061079A" w:rsidRPr="0061079A">
        <w:rPr>
          <w:rStyle w:val="libAlaemChar"/>
          <w:rtl/>
        </w:rPr>
        <w:t>عليه‌السلام</w:t>
      </w:r>
      <w:r w:rsidR="00D10E3C">
        <w:rPr>
          <w:rtl/>
          <w:lang w:bidi="fa-IR"/>
        </w:rPr>
        <w:t xml:space="preserve"> </w:t>
      </w:r>
      <w:r>
        <w:rPr>
          <w:rtl/>
          <w:lang w:bidi="fa-IR"/>
        </w:rPr>
        <w:t>؛</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D920BE" w:rsidTr="00D920BE">
        <w:tc>
          <w:tcPr>
            <w:tcW w:w="4006" w:type="dxa"/>
          </w:tcPr>
          <w:p w:rsidR="00D920BE" w:rsidRDefault="00D920BE" w:rsidP="00D10E3C">
            <w:pPr>
              <w:pStyle w:val="libFootnote0"/>
              <w:rPr>
                <w:rtl/>
                <w:lang w:bidi="fa-IR"/>
              </w:rPr>
            </w:pPr>
            <w:r>
              <w:rPr>
                <w:rtl/>
                <w:lang w:bidi="fa-IR"/>
              </w:rPr>
              <w:t>(1). في « جن » : « أرأيت ».</w:t>
            </w:r>
          </w:p>
        </w:tc>
        <w:tc>
          <w:tcPr>
            <w:tcW w:w="4006" w:type="dxa"/>
          </w:tcPr>
          <w:p w:rsidR="00D920BE" w:rsidRDefault="00D920BE" w:rsidP="00D10E3C">
            <w:pPr>
              <w:pStyle w:val="libFootnote0"/>
              <w:rPr>
                <w:rtl/>
                <w:lang w:bidi="fa-IR"/>
              </w:rPr>
            </w:pPr>
            <w:r>
              <w:rPr>
                <w:rtl/>
                <w:lang w:bidi="fa-IR"/>
              </w:rPr>
              <w:t>(2). في « جن » : - « الأوّل ».</w:t>
            </w:r>
          </w:p>
        </w:tc>
      </w:tr>
    </w:tbl>
    <w:p w:rsidR="00744A1C" w:rsidRDefault="00E378DD" w:rsidP="00E378DD">
      <w:pPr>
        <w:pStyle w:val="libFootnote0"/>
        <w:rPr>
          <w:lang w:bidi="fa-IR"/>
        </w:rPr>
      </w:pPr>
      <w:r>
        <w:rPr>
          <w:rtl/>
          <w:lang w:bidi="fa-IR"/>
        </w:rPr>
        <w:t>(3).</w:t>
      </w:r>
      <w:r w:rsidR="00744A1C">
        <w:rPr>
          <w:rtl/>
          <w:lang w:bidi="fa-IR"/>
        </w:rPr>
        <w:t xml:space="preserve"> في « بس » : « الجزّازون ». وفي </w:t>
      </w:r>
      <w:r w:rsidR="00744A1C" w:rsidRPr="00C24F9C">
        <w:rPr>
          <w:rStyle w:val="libFootnoteBoldChar"/>
          <w:rtl/>
        </w:rPr>
        <w:t>الوسائل</w:t>
      </w:r>
      <w:r w:rsidR="00744A1C">
        <w:rPr>
          <w:rtl/>
          <w:lang w:bidi="fa-IR"/>
        </w:rPr>
        <w:t xml:space="preserve"> : « الجرّارون ». والجزّار : الناحر ؛ تقول : جزرتُ الجزورَ وغيرها من باب قتل ، إذا نحرتها وجلّدتها. راجع : </w:t>
      </w:r>
      <w:r w:rsidR="00744A1C" w:rsidRPr="00E978C3">
        <w:rPr>
          <w:rStyle w:val="libFootnoteBoldChar"/>
          <w:rtl/>
        </w:rPr>
        <w:t>الصحاح</w:t>
      </w:r>
      <w:r w:rsidR="00744A1C">
        <w:rPr>
          <w:rtl/>
          <w:lang w:bidi="fa-IR"/>
        </w:rPr>
        <w:t xml:space="preserve"> ، ج 2 ، ص 613 ؛ </w:t>
      </w:r>
      <w:r w:rsidR="00744A1C" w:rsidRPr="00E978C3">
        <w:rPr>
          <w:rStyle w:val="libFootnoteBoldChar"/>
          <w:rtl/>
        </w:rPr>
        <w:t>المصباح المنير</w:t>
      </w:r>
      <w:r w:rsidR="00744A1C">
        <w:rPr>
          <w:rtl/>
          <w:lang w:bidi="fa-IR"/>
        </w:rPr>
        <w:t xml:space="preserve"> ، ص 99 ( جزر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عراقبها ». والعراقيب : جمع العُرْقُوب ، وهو - على ما قاله الجوهري - العصب الغليظ المُوَتَّر فوق عقب الإنسان ، وعُرْقوب الدابّة في رجلها بمنزلة الركبة في يدها. وعلى ما قاله ابن الأثير هو الوتر الذي خلف الكعبين بين مفصل القدم والساق من ذوات الأربع ، وهو من الإنسان فُويق العقب. راجع : </w:t>
      </w:r>
      <w:r w:rsidR="00744A1C" w:rsidRPr="00E978C3">
        <w:rPr>
          <w:rStyle w:val="libFootnoteBoldChar"/>
          <w:rtl/>
        </w:rPr>
        <w:t>الصحاح</w:t>
      </w:r>
      <w:r w:rsidR="00744A1C">
        <w:rPr>
          <w:rtl/>
          <w:lang w:bidi="fa-IR"/>
        </w:rPr>
        <w:t xml:space="preserve"> ، ج 1 ، ص 180 ؛ </w:t>
      </w:r>
      <w:r w:rsidR="00744A1C" w:rsidRPr="00877682">
        <w:rPr>
          <w:rStyle w:val="libFootnoteBoldChar"/>
          <w:rtl/>
        </w:rPr>
        <w:t>النهاية</w:t>
      </w:r>
      <w:r w:rsidR="00744A1C">
        <w:rPr>
          <w:rtl/>
          <w:lang w:bidi="fa-IR"/>
        </w:rPr>
        <w:t xml:space="preserve"> ، ج 3 ، ص 221 ( عرقب ).</w:t>
      </w:r>
    </w:p>
    <w:tbl>
      <w:tblPr>
        <w:tblStyle w:val="TableGrid"/>
        <w:bidiVisual/>
        <w:tblW w:w="0" w:type="auto"/>
        <w:tblLook w:val="04A0" w:firstRow="1" w:lastRow="0" w:firstColumn="1" w:lastColumn="0" w:noHBand="0" w:noVBand="1"/>
      </w:tblPr>
      <w:tblGrid>
        <w:gridCol w:w="4006"/>
        <w:gridCol w:w="4006"/>
      </w:tblGrid>
      <w:tr w:rsidR="00BC2A1F" w:rsidTr="00BC2A1F">
        <w:tc>
          <w:tcPr>
            <w:tcW w:w="4006" w:type="dxa"/>
          </w:tcPr>
          <w:p w:rsidR="00BC2A1F" w:rsidRDefault="00BC2A1F" w:rsidP="00E378DD">
            <w:pPr>
              <w:pStyle w:val="libFootnote0"/>
              <w:rPr>
                <w:rtl/>
                <w:lang w:bidi="fa-IR"/>
              </w:rPr>
            </w:pPr>
            <w:r>
              <w:rPr>
                <w:rtl/>
                <w:lang w:bidi="fa-IR"/>
              </w:rPr>
              <w:t>(5). في « ى ، بخ » : « على ».</w:t>
            </w:r>
          </w:p>
        </w:tc>
        <w:tc>
          <w:tcPr>
            <w:tcW w:w="4006" w:type="dxa"/>
          </w:tcPr>
          <w:p w:rsidR="00BC2A1F" w:rsidRDefault="00BC2A1F" w:rsidP="00E378DD">
            <w:pPr>
              <w:pStyle w:val="libFootnote0"/>
              <w:rPr>
                <w:rtl/>
                <w:lang w:bidi="fa-IR"/>
              </w:rPr>
            </w:pPr>
            <w:r>
              <w:rPr>
                <w:rtl/>
                <w:lang w:bidi="fa-IR"/>
              </w:rPr>
              <w:t xml:space="preserve">(6). في «بث،بخ ،بف» </w:t>
            </w:r>
            <w:r w:rsidRPr="00BC2A1F">
              <w:rPr>
                <w:rtl/>
              </w:rPr>
              <w:t>والوافي والوسائل :</w:t>
            </w:r>
            <w:r>
              <w:rPr>
                <w:rtl/>
                <w:lang w:bidi="fa-IR"/>
              </w:rPr>
              <w:t xml:space="preserve"> « من ».</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 منها » بدل « عن سنامها ». وقال ابن منظور : سَنام البعير والناقة : أعلى ظهرها ، والجمع : أسنمة ... وسنام كلّ شي‌ء : أعلاه ». وقال الفيّومي : « السنام للبعير كالإلية للغنم ، والجمع : أسنمة ». </w:t>
      </w:r>
      <w:r w:rsidR="00744A1C" w:rsidRPr="00877682">
        <w:rPr>
          <w:rStyle w:val="libFootnoteBoldChar"/>
          <w:rtl/>
        </w:rPr>
        <w:t>لسان العرب</w:t>
      </w:r>
      <w:r w:rsidR="00744A1C">
        <w:rPr>
          <w:rtl/>
          <w:lang w:bidi="fa-IR"/>
        </w:rPr>
        <w:t xml:space="preserve"> ، ج 12 ، ص 306 ؛ </w:t>
      </w:r>
      <w:r w:rsidR="00744A1C" w:rsidRPr="00E978C3">
        <w:rPr>
          <w:rStyle w:val="libFootnoteBoldChar"/>
          <w:rtl/>
        </w:rPr>
        <w:t>المصباح المنير</w:t>
      </w:r>
      <w:r w:rsidR="00744A1C">
        <w:rPr>
          <w:rtl/>
          <w:lang w:bidi="fa-IR"/>
        </w:rPr>
        <w:t xml:space="preserve"> ، ص 291 ( سنم ).</w:t>
      </w:r>
    </w:p>
    <w:p w:rsidR="00744A1C" w:rsidRDefault="00E378DD" w:rsidP="00E378DD">
      <w:pPr>
        <w:pStyle w:val="libFootnote0"/>
        <w:rPr>
          <w:lang w:bidi="fa-IR"/>
        </w:rPr>
      </w:pPr>
      <w:r>
        <w:rPr>
          <w:rtl/>
          <w:lang w:bidi="fa-IR"/>
        </w:rPr>
        <w:t>(8).</w:t>
      </w:r>
      <w:r w:rsidR="00744A1C">
        <w:rPr>
          <w:rtl/>
          <w:lang w:bidi="fa-IR"/>
        </w:rPr>
        <w:t xml:space="preserve"> في « جد » و</w:t>
      </w:r>
      <w:r w:rsidR="00744A1C" w:rsidRPr="00C24F9C">
        <w:rPr>
          <w:rStyle w:val="libFootnoteBoldChar"/>
          <w:rtl/>
        </w:rPr>
        <w:t>الوسائل</w:t>
      </w:r>
      <w:r w:rsidR="00744A1C">
        <w:rPr>
          <w:rtl/>
          <w:lang w:bidi="fa-IR"/>
        </w:rPr>
        <w:t xml:space="preserve"> : « فقال ».</w:t>
      </w:r>
    </w:p>
    <w:p w:rsidR="00744A1C" w:rsidRDefault="00E378DD" w:rsidP="00E378DD">
      <w:pPr>
        <w:pStyle w:val="libFootnote0"/>
        <w:rPr>
          <w:lang w:bidi="fa-IR"/>
        </w:rPr>
      </w:pPr>
      <w:r>
        <w:rPr>
          <w:rtl/>
          <w:lang w:bidi="fa-IR"/>
        </w:rPr>
        <w:t>(9).</w:t>
      </w:r>
      <w:r w:rsidR="00744A1C">
        <w:rPr>
          <w:rtl/>
          <w:lang w:bidi="fa-IR"/>
        </w:rPr>
        <w:t xml:space="preserve"> في « ى ، بث ، بح ، بس ، جن » و</w:t>
      </w:r>
      <w:r w:rsidR="00744A1C" w:rsidRPr="00C24F9C">
        <w:rPr>
          <w:rStyle w:val="libFootnoteBoldChar"/>
          <w:rtl/>
        </w:rPr>
        <w:t>الوافي</w:t>
      </w:r>
      <w:r w:rsidR="00744A1C">
        <w:rPr>
          <w:rtl/>
          <w:lang w:bidi="fa-IR"/>
        </w:rPr>
        <w:t xml:space="preserve"> : - « وأطعموا ». وفي </w:t>
      </w:r>
      <w:r w:rsidR="00744A1C" w:rsidRPr="00C24F9C">
        <w:rPr>
          <w:rStyle w:val="libFootnoteBoldChar"/>
          <w:rtl/>
        </w:rPr>
        <w:t>التهذيب</w:t>
      </w:r>
      <w:r w:rsidR="00744A1C">
        <w:rPr>
          <w:rtl/>
          <w:lang w:bidi="fa-IR"/>
        </w:rPr>
        <w:t xml:space="preserve"> : - « منها وأطعموا ».</w:t>
      </w:r>
    </w:p>
    <w:p w:rsidR="00744A1C" w:rsidRDefault="00E378DD" w:rsidP="00E378DD">
      <w:pPr>
        <w:pStyle w:val="libFootnote0"/>
        <w:rPr>
          <w:lang w:bidi="fa-IR"/>
        </w:rPr>
      </w:pPr>
      <w:r>
        <w:rPr>
          <w:rtl/>
          <w:lang w:bidi="fa-IR"/>
        </w:rPr>
        <w:t>(10).</w:t>
      </w:r>
      <w:r w:rsidR="00744A1C">
        <w:rPr>
          <w:rtl/>
          <w:lang w:bidi="fa-IR"/>
        </w:rPr>
        <w:t xml:space="preserve"> الحجّ (22) : 36. وقال في </w:t>
      </w:r>
      <w:r w:rsidR="00744A1C" w:rsidRPr="00C24F9C">
        <w:rPr>
          <w:rStyle w:val="libFootnoteBoldChar"/>
          <w:rtl/>
        </w:rPr>
        <w:t>المرآة</w:t>
      </w:r>
      <w:r w:rsidR="00744A1C">
        <w:rPr>
          <w:rtl/>
          <w:lang w:bidi="fa-IR"/>
        </w:rPr>
        <w:t xml:space="preserve"> : « ظاهر الخبر جواز الأكل منه بعد السقوط وإن لم يفارقه الحياة ، كما هو ظاهر الآية ، وهو خلاف المشهور بين الأصحاب. ويمكن حمله على ذهاب الروح بأن</w:t>
      </w:r>
      <w:r w:rsidR="009A01B3">
        <w:rPr>
          <w:rtl/>
          <w:lang w:bidi="fa-IR"/>
        </w:rPr>
        <w:t xml:space="preserve"> يكون المراد عدم وجوب الصبر إل</w:t>
      </w:r>
      <w:r w:rsidR="009A01B3">
        <w:rPr>
          <w:rFonts w:hint="cs"/>
          <w:rtl/>
          <w:lang w:bidi="fa-IR"/>
        </w:rPr>
        <w:t>ّ</w:t>
      </w:r>
      <w:r w:rsidR="009A01B3">
        <w:rPr>
          <w:rtl/>
          <w:lang w:bidi="fa-IR"/>
        </w:rPr>
        <w:t>ا</w:t>
      </w:r>
      <w:r w:rsidR="00744A1C">
        <w:rPr>
          <w:rtl/>
          <w:lang w:bidi="fa-IR"/>
        </w:rPr>
        <w:t xml:space="preserve"> أن يسلخ جلده وإن كان بعيداً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5 ، ص 224 ، ح 755 ، معلّقاً عن الكليني </w:t>
      </w:r>
      <w:r w:rsidR="00C0608E">
        <w:rPr>
          <w:rFonts w:hint="cs"/>
          <w:rtl/>
          <w:lang w:bidi="fa-IR"/>
        </w:rPr>
        <w:t>.</w:t>
      </w:r>
      <w:r w:rsidR="00744A1C" w:rsidRPr="00C24F9C">
        <w:rPr>
          <w:rStyle w:val="libFootnoteBoldChar"/>
          <w:rtl/>
        </w:rPr>
        <w:t>الوافي</w:t>
      </w:r>
      <w:r w:rsidR="00744A1C">
        <w:rPr>
          <w:rtl/>
          <w:lang w:bidi="fa-IR"/>
        </w:rPr>
        <w:t xml:space="preserve"> ، ج 14 ، ص 1160 ، ح 13999 ؛ </w:t>
      </w:r>
      <w:r w:rsidR="00744A1C" w:rsidRPr="00C24F9C">
        <w:rPr>
          <w:rStyle w:val="libFootnoteBoldChar"/>
          <w:rtl/>
        </w:rPr>
        <w:t>الوسائل</w:t>
      </w:r>
      <w:r w:rsidR="00744A1C">
        <w:rPr>
          <w:rtl/>
          <w:lang w:bidi="fa-IR"/>
        </w:rPr>
        <w:t xml:space="preserve"> ، ج 14 ، ص 166 ، ح 18884.</w:t>
      </w:r>
    </w:p>
    <w:p w:rsidR="00744A1C" w:rsidRDefault="00E378DD" w:rsidP="00E378DD">
      <w:pPr>
        <w:pStyle w:val="libFootnote0"/>
        <w:rPr>
          <w:lang w:bidi="fa-IR"/>
        </w:rPr>
      </w:pPr>
      <w:r>
        <w:rPr>
          <w:rtl/>
          <w:lang w:bidi="fa-IR"/>
        </w:rPr>
        <w:t>(12).</w:t>
      </w:r>
      <w:r w:rsidR="00744A1C">
        <w:rPr>
          <w:rtl/>
          <w:lang w:bidi="fa-IR"/>
        </w:rPr>
        <w:t xml:space="preserve"> هكذا في </w:t>
      </w:r>
      <w:r w:rsidR="00744A1C" w:rsidRPr="00C0608E">
        <w:rPr>
          <w:rtl/>
        </w:rPr>
        <w:t>التهذيب والاستبصار</w:t>
      </w:r>
      <w:r w:rsidR="00744A1C">
        <w:rPr>
          <w:rtl/>
          <w:lang w:bidi="fa-IR"/>
        </w:rPr>
        <w:t>. وفي « ى ، بث ، بح ، بخ ، بس ، بف ، جد ، جن » والمطبوع و</w:t>
      </w:r>
      <w:r w:rsidR="00744A1C" w:rsidRPr="00C24F9C">
        <w:rPr>
          <w:rStyle w:val="libFootnoteBoldChar"/>
          <w:rtl/>
        </w:rPr>
        <w:t>الوسائل</w:t>
      </w:r>
      <w:r w:rsidR="00744A1C">
        <w:rPr>
          <w:rtl/>
          <w:lang w:bidi="fa-IR"/>
        </w:rPr>
        <w:t xml:space="preserve"> : - « عن‌أبيه ».</w:t>
      </w:r>
    </w:p>
    <w:p w:rsidR="00744A1C" w:rsidRDefault="00744A1C" w:rsidP="00D10E3C">
      <w:pPr>
        <w:pStyle w:val="libFootnote0"/>
        <w:rPr>
          <w:lang w:bidi="fa-IR"/>
        </w:rPr>
      </w:pPr>
      <w:r>
        <w:rPr>
          <w:rtl/>
          <w:lang w:bidi="fa-IR"/>
        </w:rPr>
        <w:t xml:space="preserve">والمعهود رواية حنان بن سدير عن أبيه عن أبي جعفر </w:t>
      </w:r>
      <w:r w:rsidR="0061079A" w:rsidRPr="0061079A">
        <w:rPr>
          <w:rStyle w:val="libFootnoteAlaemChar"/>
          <w:rtl/>
        </w:rPr>
        <w:t>عليه‌السلام</w:t>
      </w:r>
      <w:r>
        <w:rPr>
          <w:rtl/>
          <w:lang w:bidi="fa-IR"/>
        </w:rPr>
        <w:t xml:space="preserve"> . وقد عدّ النجاشي والبرقي والشيخ الطوسي حنان بن سدير من رواة أبي عبد الله وأبي الحسن موسى </w:t>
      </w:r>
      <w:r w:rsidR="00F112A7" w:rsidRPr="00CE5A92">
        <w:rPr>
          <w:rStyle w:val="libFootnoteAlaemChar"/>
          <w:rtl/>
        </w:rPr>
        <w:t>عليهما‌السلام</w:t>
      </w:r>
      <w:r>
        <w:rPr>
          <w:rtl/>
          <w:lang w:bidi="fa-IR"/>
        </w:rPr>
        <w:t xml:space="preserve">. راجع : </w:t>
      </w:r>
      <w:r w:rsidRPr="0061079A">
        <w:rPr>
          <w:rStyle w:val="libFootnoteBoldChar"/>
          <w:rtl/>
        </w:rPr>
        <w:t>معجم رجال الحديث</w:t>
      </w:r>
      <w:r>
        <w:rPr>
          <w:rtl/>
          <w:lang w:bidi="fa-IR"/>
        </w:rPr>
        <w:t xml:space="preserve"> ، ج 8 ، </w:t>
      </w:r>
      <w:r w:rsidR="00C0608E">
        <w:rPr>
          <w:rFonts w:hint="cs"/>
          <w:rtl/>
          <w:lang w:bidi="fa-IR"/>
        </w:rPr>
        <w:t>=</w:t>
      </w:r>
    </w:p>
    <w:p w:rsidR="00150943" w:rsidRDefault="00150943" w:rsidP="00D10E3C">
      <w:pPr>
        <w:pStyle w:val="libNormal"/>
        <w:rPr>
          <w:rtl/>
          <w:lang w:bidi="fa-IR"/>
        </w:rPr>
      </w:pPr>
      <w:r>
        <w:rPr>
          <w:rtl/>
          <w:lang w:bidi="fa-IR"/>
        </w:rPr>
        <w:br w:type="page"/>
      </w:r>
    </w:p>
    <w:p w:rsidR="00144FA6" w:rsidRDefault="00D53C2A" w:rsidP="00744A1C">
      <w:pPr>
        <w:pStyle w:val="libNormal"/>
        <w:rPr>
          <w:rtl/>
          <w:lang w:bidi="fa-IR"/>
        </w:rPr>
      </w:pPr>
      <w:r>
        <w:rPr>
          <w:rFonts w:hint="cs"/>
          <w:rtl/>
          <w:lang w:bidi="fa-IR"/>
        </w:rPr>
        <w:lastRenderedPageBreak/>
        <w:t xml:space="preserve">                </w:t>
      </w:r>
      <w:r w:rsidR="00744A1C">
        <w:rPr>
          <w:rtl/>
          <w:lang w:bidi="fa-IR"/>
        </w:rPr>
        <w:t xml:space="preserve">وَ </w:t>
      </w:r>
      <w:r w:rsidR="00744A1C" w:rsidRPr="00D10E3C">
        <w:rPr>
          <w:rStyle w:val="libFootnotenumChar"/>
          <w:rtl/>
        </w:rPr>
        <w:t>(1)</w:t>
      </w:r>
      <w:r w:rsidR="00744A1C">
        <w:rPr>
          <w:rtl/>
          <w:lang w:bidi="fa-IR"/>
        </w:rPr>
        <w:t xml:space="preserve"> عَنْ مُحَمَّدِ بْنِ الْفُضَيْلِ ، عَنْ أَبِي الصَّبَّاحِ </w:t>
      </w:r>
      <w:r w:rsidR="00744A1C" w:rsidRPr="00D10E3C">
        <w:rPr>
          <w:rStyle w:val="libFootnotenumChar"/>
          <w:rtl/>
        </w:rPr>
        <w:t>(2)</w:t>
      </w:r>
      <w:r w:rsidR="00744A1C">
        <w:rPr>
          <w:rtl/>
          <w:lang w:bidi="fa-IR"/>
        </w:rPr>
        <w:t xml:space="preserve"> ، عَنْ أَبِي عَبْدِ اللهِ </w:t>
      </w:r>
      <w:r w:rsidR="0061079A" w:rsidRPr="0061079A">
        <w:rPr>
          <w:rStyle w:val="libAlaemChar"/>
          <w:rtl/>
        </w:rPr>
        <w:t>عليه‌السلام</w:t>
      </w:r>
      <w:r w:rsidR="00D10E3C">
        <w:rPr>
          <w:rtl/>
          <w:lang w:bidi="fa-IR"/>
        </w:rPr>
        <w:t xml:space="preserve"> </w:t>
      </w:r>
      <w:r w:rsidR="00744A1C">
        <w:rPr>
          <w:rtl/>
          <w:lang w:bidi="fa-IR"/>
        </w:rPr>
        <w:t>:</w:t>
      </w:r>
    </w:p>
    <w:p w:rsidR="00144FA6" w:rsidRDefault="00744A1C" w:rsidP="00D53C2A">
      <w:pPr>
        <w:pStyle w:val="libNormal"/>
        <w:rPr>
          <w:rtl/>
          <w:lang w:bidi="fa-IR"/>
        </w:rPr>
      </w:pPr>
      <w:r>
        <w:rPr>
          <w:rtl/>
          <w:lang w:bidi="fa-IR"/>
        </w:rPr>
        <w:t xml:space="preserve">قَالَا </w:t>
      </w:r>
      <w:r w:rsidRPr="00D10E3C">
        <w:rPr>
          <w:rStyle w:val="libFootnotenumChar"/>
          <w:rtl/>
        </w:rPr>
        <w:t>(3)</w:t>
      </w:r>
      <w:r>
        <w:rPr>
          <w:rtl/>
          <w:lang w:bidi="fa-IR"/>
        </w:rPr>
        <w:t xml:space="preserve"> : « نَهَانَا </w:t>
      </w:r>
      <w:r w:rsidRPr="00D10E3C">
        <w:rPr>
          <w:rStyle w:val="libFootnotenumChar"/>
          <w:rtl/>
        </w:rPr>
        <w:t>(4)</w:t>
      </w:r>
      <w:r>
        <w:rPr>
          <w:rtl/>
          <w:lang w:bidi="fa-IR"/>
        </w:rPr>
        <w:t xml:space="preserve"> رَسُولُ اللهِ </w:t>
      </w:r>
      <w:r w:rsidR="005E465D" w:rsidRPr="005E465D">
        <w:rPr>
          <w:rStyle w:val="libAlaemChar"/>
          <w:rFonts w:eastAsiaTheme="minorHAnsi"/>
          <w:rtl/>
        </w:rPr>
        <w:t>صلى‌الله‌عليه‌وآله</w:t>
      </w:r>
      <w:r w:rsidR="00D53C2A" w:rsidRPr="00795992">
        <w:rPr>
          <w:rFonts w:eastAsiaTheme="minorHAnsi"/>
          <w:rtl/>
        </w:rPr>
        <w:t xml:space="preserve"> </w:t>
      </w:r>
      <w:r>
        <w:rPr>
          <w:rtl/>
          <w:lang w:bidi="fa-IR"/>
        </w:rPr>
        <w:t xml:space="preserve">عَنْ لُحُومِ الْأَضَاحِيِّ بَعْدَ ثَلَاثٍ </w:t>
      </w:r>
      <w:r w:rsidRPr="00D10E3C">
        <w:rPr>
          <w:rStyle w:val="libFootnotenumChar"/>
          <w:rtl/>
        </w:rPr>
        <w:t>(5)</w:t>
      </w:r>
      <w:r>
        <w:rPr>
          <w:rtl/>
          <w:lang w:bidi="fa-IR"/>
        </w:rPr>
        <w:t xml:space="preserve"> ، ثُمَّ أَذِنَ فِيهَا ، وَقَالَ </w:t>
      </w:r>
      <w:r w:rsidRPr="00D10E3C">
        <w:rPr>
          <w:rStyle w:val="libFootnotenumChar"/>
          <w:rtl/>
        </w:rPr>
        <w:t>(6)</w:t>
      </w:r>
      <w:r>
        <w:rPr>
          <w:rtl/>
          <w:lang w:bidi="fa-IR"/>
        </w:rPr>
        <w:t xml:space="preserve"> : كُلُوا مِنْ لُحُومِ الْأَضَاحِيِّ بَعْدَ ثَلَاثٍ </w:t>
      </w:r>
      <w:r w:rsidRPr="00D10E3C">
        <w:rPr>
          <w:rStyle w:val="libFootnotenumChar"/>
          <w:rtl/>
        </w:rPr>
        <w:t>(7)</w:t>
      </w:r>
      <w:r>
        <w:rPr>
          <w:rtl/>
          <w:lang w:bidi="fa-IR"/>
        </w:rPr>
        <w:t xml:space="preserve"> ، وَادَّخِرُوا </w:t>
      </w:r>
      <w:r w:rsidRPr="00D10E3C">
        <w:rPr>
          <w:rStyle w:val="libFootnotenumChar"/>
          <w:rtl/>
        </w:rPr>
        <w:t>(8)</w:t>
      </w:r>
      <w:r>
        <w:rPr>
          <w:rtl/>
          <w:lang w:bidi="fa-IR"/>
        </w:rPr>
        <w:t xml:space="preserve"> ». </w:t>
      </w:r>
      <w:r w:rsidRPr="00D10E3C">
        <w:rPr>
          <w:rStyle w:val="libFootnotenumChar"/>
          <w:rtl/>
        </w:rPr>
        <w:t>(9)</w:t>
      </w:r>
    </w:p>
    <w:p w:rsidR="00744A1C" w:rsidRDefault="00744A1C" w:rsidP="00D53C2A">
      <w:pPr>
        <w:pStyle w:val="Heading2Center"/>
        <w:rPr>
          <w:lang w:bidi="fa-IR"/>
        </w:rPr>
      </w:pPr>
      <w:bookmarkStart w:id="32" w:name="_Toc49261330"/>
      <w:r>
        <w:rPr>
          <w:rtl/>
          <w:lang w:bidi="fa-IR"/>
        </w:rPr>
        <w:t>187 - بَابُ جُلُودِ الْهَدْيِ‌</w:t>
      </w:r>
      <w:bookmarkEnd w:id="32"/>
    </w:p>
    <w:p w:rsidR="00144FA6" w:rsidRDefault="00744A1C" w:rsidP="00744A1C">
      <w:pPr>
        <w:pStyle w:val="libNormal"/>
        <w:rPr>
          <w:rtl/>
          <w:lang w:bidi="fa-IR"/>
        </w:rPr>
      </w:pPr>
      <w:r>
        <w:rPr>
          <w:rtl/>
          <w:lang w:bidi="fa-IR"/>
        </w:rPr>
        <w:t>7896 / 1. عَلِيُّ بْنُ إِبْرَاهِيمَ ، عَنْ أَبِيهِ ، عَنِ ابْنِ أَبِي عُمَيْرٍ ، عَنْ حَفْصِ بْنِ الْبَخْتَرِيِّ :</w:t>
      </w:r>
    </w:p>
    <w:p w:rsidR="00144FA6" w:rsidRDefault="00744A1C" w:rsidP="00D53C2A">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نَهى رَسُولُ اللهِ </w:t>
      </w:r>
      <w:r w:rsidR="005E465D" w:rsidRPr="005E465D">
        <w:rPr>
          <w:rStyle w:val="libAlaemChar"/>
          <w:rFonts w:eastAsiaTheme="minorHAnsi"/>
          <w:rtl/>
        </w:rPr>
        <w:t>صلى‌الله‌عليه‌وآله</w:t>
      </w:r>
      <w:r w:rsidR="00D53C2A" w:rsidRPr="00795992">
        <w:rPr>
          <w:rFonts w:eastAsiaTheme="minorHAnsi"/>
          <w:rtl/>
        </w:rPr>
        <w:t xml:space="preserve"> </w:t>
      </w:r>
      <w:r>
        <w:rPr>
          <w:rtl/>
          <w:lang w:bidi="fa-IR"/>
        </w:rPr>
        <w:t xml:space="preserve">أَنْ يُعْطَى الْجَزَّارُ </w:t>
      </w:r>
      <w:r w:rsidRPr="00D10E3C">
        <w:rPr>
          <w:rStyle w:val="libFootnotenumChar"/>
          <w:rtl/>
        </w:rPr>
        <w:t>(10)</w:t>
      </w:r>
      <w:r>
        <w:rPr>
          <w:rtl/>
          <w:lang w:bidi="fa-IR"/>
        </w:rPr>
        <w:t xml:space="preserve"> مِنْ جُلُودِ الْهَدْيِ وَأَجْلَالِهَا </w:t>
      </w:r>
      <w:r w:rsidRPr="00D10E3C">
        <w:rPr>
          <w:rStyle w:val="libFootnotenumChar"/>
          <w:rtl/>
        </w:rPr>
        <w:t>(11)</w:t>
      </w:r>
      <w:r>
        <w:rPr>
          <w:rtl/>
          <w:lang w:bidi="fa-IR"/>
        </w:rPr>
        <w:t xml:space="preserve"> شَيْئاً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53C2A" w:rsidP="00D10E3C">
      <w:pPr>
        <w:pStyle w:val="libFootnote0"/>
        <w:rPr>
          <w:lang w:bidi="fa-IR"/>
        </w:rPr>
      </w:pPr>
      <w:r>
        <w:rPr>
          <w:rFonts w:hint="cs"/>
          <w:rtl/>
          <w:lang w:bidi="fa-IR"/>
        </w:rPr>
        <w:t xml:space="preserve">= </w:t>
      </w:r>
      <w:r w:rsidR="00744A1C">
        <w:rPr>
          <w:rtl/>
          <w:lang w:bidi="fa-IR"/>
        </w:rPr>
        <w:t xml:space="preserve">ص 382 - 383 ؛ </w:t>
      </w:r>
      <w:r w:rsidR="00744A1C" w:rsidRPr="003A7143">
        <w:rPr>
          <w:rStyle w:val="libFootnoteBoldChar"/>
          <w:rtl/>
        </w:rPr>
        <w:t>رجال النجاشي</w:t>
      </w:r>
      <w:r w:rsidR="00744A1C">
        <w:rPr>
          <w:rtl/>
          <w:lang w:bidi="fa-IR"/>
        </w:rPr>
        <w:t xml:space="preserve"> ، ص 146 ، الرقم 378 ؛ </w:t>
      </w:r>
      <w:r w:rsidR="00744A1C" w:rsidRPr="004D054E">
        <w:rPr>
          <w:rStyle w:val="libFootnoteBoldChar"/>
          <w:rtl/>
        </w:rPr>
        <w:t>رجال البرقي</w:t>
      </w:r>
      <w:r w:rsidR="00744A1C">
        <w:rPr>
          <w:rtl/>
          <w:lang w:bidi="fa-IR"/>
        </w:rPr>
        <w:t xml:space="preserve"> ، ص 46 ، وص 48 ؛ </w:t>
      </w:r>
      <w:r w:rsidR="00744A1C" w:rsidRPr="0061079A">
        <w:rPr>
          <w:rStyle w:val="libFootnoteBoldChar"/>
          <w:rtl/>
        </w:rPr>
        <w:t>رجال الطوسي</w:t>
      </w:r>
      <w:r w:rsidR="00744A1C">
        <w:rPr>
          <w:rtl/>
          <w:lang w:bidi="fa-IR"/>
        </w:rPr>
        <w:t xml:space="preserve"> ، ص 193 ، الرقم 2404 ؛ وص 334 ، الرقم 4974.</w:t>
      </w:r>
    </w:p>
    <w:p w:rsidR="00744A1C" w:rsidRDefault="00D10E3C" w:rsidP="00E378DD">
      <w:pPr>
        <w:pStyle w:val="libFootnote0"/>
        <w:rPr>
          <w:lang w:bidi="fa-IR"/>
        </w:rPr>
      </w:pPr>
      <w:r>
        <w:rPr>
          <w:rtl/>
          <w:lang w:bidi="fa-IR"/>
        </w:rPr>
        <w:t>(1).</w:t>
      </w:r>
      <w:r w:rsidR="00744A1C">
        <w:rPr>
          <w:rtl/>
          <w:lang w:bidi="fa-IR"/>
        </w:rPr>
        <w:t xml:space="preserve"> في السند تحويل بعطف « عن محمّد بن الفضيل ، عن أبي الصبّاح ، عن أبي عبد الله </w:t>
      </w:r>
      <w:r w:rsidR="0061079A" w:rsidRPr="0061079A">
        <w:rPr>
          <w:rStyle w:val="libFootnoteAlaemChar"/>
          <w:rtl/>
        </w:rPr>
        <w:t>عليه‌السلام</w:t>
      </w:r>
      <w:r>
        <w:rPr>
          <w:rtl/>
          <w:lang w:bidi="fa-IR"/>
        </w:rPr>
        <w:t xml:space="preserve"> </w:t>
      </w:r>
      <w:r w:rsidR="00744A1C">
        <w:rPr>
          <w:rtl/>
          <w:lang w:bidi="fa-IR"/>
        </w:rPr>
        <w:t xml:space="preserve">» على « حنان بن سدير ، عن أبيه ، عن أبي جعفر </w:t>
      </w:r>
      <w:r w:rsidR="0061079A" w:rsidRPr="0061079A">
        <w:rPr>
          <w:rStyle w:val="libFootnoteAlaemChar"/>
          <w:rtl/>
        </w:rPr>
        <w:t>عليه‌السلام</w:t>
      </w:r>
      <w:r>
        <w:rPr>
          <w:rtl/>
          <w:lang w:bidi="fa-IR"/>
        </w:rPr>
        <w:t xml:space="preserve"> </w:t>
      </w:r>
      <w:r w:rsidR="00744A1C">
        <w:rPr>
          <w:rtl/>
          <w:lang w:bidi="fa-IR"/>
        </w:rPr>
        <w:t xml:space="preserve">». </w:t>
      </w:r>
      <w:r w:rsidR="00795992">
        <w:rPr>
          <w:rFonts w:hint="cs"/>
          <w:rtl/>
          <w:lang w:bidi="fa-IR"/>
        </w:rPr>
        <w:t xml:space="preserve">                   </w:t>
      </w:r>
      <w:r w:rsidR="00E378DD">
        <w:rPr>
          <w:rtl/>
          <w:lang w:bidi="fa-IR"/>
        </w:rPr>
        <w:t>(2).</w:t>
      </w:r>
      <w:r w:rsidR="00744A1C">
        <w:rPr>
          <w:rtl/>
          <w:lang w:bidi="fa-IR"/>
        </w:rPr>
        <w:t xml:space="preserve"> في « بخ ، بس » </w:t>
      </w:r>
      <w:r w:rsidR="00744A1C" w:rsidRPr="0061079A">
        <w:rPr>
          <w:rStyle w:val="libFootnoteBoldChar"/>
          <w:rtl/>
        </w:rPr>
        <w:t>والتهذيب</w:t>
      </w:r>
      <w:r w:rsidR="00744A1C">
        <w:rPr>
          <w:rtl/>
          <w:lang w:bidi="fa-IR"/>
        </w:rPr>
        <w:t xml:space="preserve"> : + « الكناني ».</w:t>
      </w:r>
    </w:p>
    <w:p w:rsidR="00744A1C" w:rsidRDefault="00E378DD" w:rsidP="00E378DD">
      <w:pPr>
        <w:pStyle w:val="libFootnote0"/>
        <w:rPr>
          <w:lang w:bidi="fa-IR"/>
        </w:rPr>
      </w:pPr>
      <w:r>
        <w:rPr>
          <w:rtl/>
          <w:lang w:bidi="fa-IR"/>
        </w:rPr>
        <w:t>(3).</w:t>
      </w:r>
      <w:r w:rsidR="00744A1C">
        <w:rPr>
          <w:rtl/>
          <w:lang w:bidi="fa-IR"/>
        </w:rPr>
        <w:t xml:space="preserve"> في </w:t>
      </w:r>
      <w:r w:rsidR="00744A1C" w:rsidRPr="00795992">
        <w:rPr>
          <w:rtl/>
        </w:rPr>
        <w:t>الوسائل والاستبصار</w:t>
      </w:r>
      <w:r w:rsidR="00744A1C">
        <w:rPr>
          <w:rtl/>
          <w:lang w:bidi="fa-IR"/>
        </w:rPr>
        <w:t xml:space="preserve"> ، ح 972 : « قال ».</w:t>
      </w:r>
    </w:p>
    <w:p w:rsidR="00744A1C" w:rsidRDefault="00E378DD" w:rsidP="00E378DD">
      <w:pPr>
        <w:pStyle w:val="libFootnote0"/>
        <w:rPr>
          <w:lang w:bidi="fa-IR"/>
        </w:rPr>
      </w:pPr>
      <w:r>
        <w:rPr>
          <w:rtl/>
          <w:lang w:bidi="fa-IR"/>
        </w:rPr>
        <w:t>(4).</w:t>
      </w:r>
      <w:r w:rsidR="00744A1C">
        <w:rPr>
          <w:rtl/>
          <w:lang w:bidi="fa-IR"/>
        </w:rPr>
        <w:t xml:space="preserve"> في « بح ، بخ ، بف » وحاشية « بث » </w:t>
      </w:r>
      <w:r w:rsidR="00744A1C" w:rsidRPr="00097CCA">
        <w:rPr>
          <w:rtl/>
        </w:rPr>
        <w:t>والوافي والوسائل والتهذيب</w:t>
      </w:r>
      <w:r w:rsidR="00744A1C">
        <w:rPr>
          <w:rtl/>
          <w:lang w:bidi="fa-IR"/>
        </w:rPr>
        <w:t xml:space="preserve"> ، ح 763 </w:t>
      </w:r>
      <w:r w:rsidR="00744A1C" w:rsidRPr="00C24F9C">
        <w:rPr>
          <w:rStyle w:val="libFootnoteBoldChar"/>
          <w:rtl/>
        </w:rPr>
        <w:t>والاستبصار</w:t>
      </w:r>
      <w:r w:rsidR="00744A1C">
        <w:rPr>
          <w:rtl/>
          <w:lang w:bidi="fa-IR"/>
        </w:rPr>
        <w:t xml:space="preserve"> ، ح 972 : « نهى ».</w:t>
      </w:r>
    </w:p>
    <w:tbl>
      <w:tblPr>
        <w:tblStyle w:val="TableGrid"/>
        <w:bidiVisual/>
        <w:tblW w:w="0" w:type="auto"/>
        <w:tblLook w:val="04A0" w:firstRow="1" w:lastRow="0" w:firstColumn="1" w:lastColumn="0" w:noHBand="0" w:noVBand="1"/>
      </w:tblPr>
      <w:tblGrid>
        <w:gridCol w:w="4006"/>
        <w:gridCol w:w="4006"/>
      </w:tblGrid>
      <w:tr w:rsidR="00795992" w:rsidTr="00795992">
        <w:tc>
          <w:tcPr>
            <w:tcW w:w="4006" w:type="dxa"/>
          </w:tcPr>
          <w:p w:rsidR="00795992" w:rsidRDefault="00795992" w:rsidP="00E378DD">
            <w:pPr>
              <w:pStyle w:val="libFootnote0"/>
              <w:rPr>
                <w:rtl/>
                <w:lang w:bidi="fa-IR"/>
              </w:rPr>
            </w:pPr>
            <w:r>
              <w:rPr>
                <w:rtl/>
                <w:lang w:bidi="fa-IR"/>
              </w:rPr>
              <w:t>(5). في « بف » : « ثلاثة ».</w:t>
            </w:r>
          </w:p>
        </w:tc>
        <w:tc>
          <w:tcPr>
            <w:tcW w:w="4006" w:type="dxa"/>
          </w:tcPr>
          <w:p w:rsidR="00795992" w:rsidRDefault="00795992" w:rsidP="00E378DD">
            <w:pPr>
              <w:pStyle w:val="libFootnote0"/>
              <w:rPr>
                <w:rtl/>
                <w:lang w:bidi="fa-IR"/>
              </w:rPr>
            </w:pPr>
            <w:r>
              <w:rPr>
                <w:rtl/>
                <w:lang w:bidi="fa-IR"/>
              </w:rPr>
              <w:t>(6). في « بخ ، بف » و</w:t>
            </w:r>
            <w:r w:rsidRPr="00C24F9C">
              <w:rPr>
                <w:rStyle w:val="libFootnoteBoldChar"/>
                <w:rtl/>
              </w:rPr>
              <w:t>الوافي</w:t>
            </w:r>
            <w:r>
              <w:rPr>
                <w:rtl/>
                <w:lang w:bidi="fa-IR"/>
              </w:rPr>
              <w:t xml:space="preserve"> : « فقال ».</w:t>
            </w:r>
          </w:p>
        </w:tc>
      </w:tr>
      <w:tr w:rsidR="00795992" w:rsidTr="00795992">
        <w:tc>
          <w:tcPr>
            <w:tcW w:w="4006" w:type="dxa"/>
          </w:tcPr>
          <w:p w:rsidR="00795992" w:rsidRDefault="00795992" w:rsidP="00E378DD">
            <w:pPr>
              <w:pStyle w:val="libFootnote0"/>
              <w:rPr>
                <w:rtl/>
                <w:lang w:bidi="fa-IR"/>
              </w:rPr>
            </w:pPr>
            <w:r>
              <w:rPr>
                <w:rtl/>
                <w:lang w:bidi="fa-IR"/>
              </w:rPr>
              <w:t xml:space="preserve">(7). في </w:t>
            </w:r>
            <w:r w:rsidRPr="00795992">
              <w:rPr>
                <w:rtl/>
              </w:rPr>
              <w:t>الوسائل والتهذيب</w:t>
            </w:r>
            <w:r>
              <w:rPr>
                <w:rtl/>
                <w:lang w:bidi="fa-IR"/>
              </w:rPr>
              <w:t xml:space="preserve"> ، ح 763 : « ذلك ».</w:t>
            </w:r>
          </w:p>
        </w:tc>
        <w:tc>
          <w:tcPr>
            <w:tcW w:w="4006" w:type="dxa"/>
          </w:tcPr>
          <w:p w:rsidR="00795992" w:rsidRDefault="00795992" w:rsidP="00E378DD">
            <w:pPr>
              <w:pStyle w:val="libFootnote0"/>
              <w:rPr>
                <w:rtl/>
                <w:lang w:bidi="fa-IR"/>
              </w:rPr>
            </w:pPr>
            <w:r>
              <w:rPr>
                <w:rtl/>
                <w:lang w:bidi="fa-IR"/>
              </w:rPr>
              <w:t>(8). في « بث ، بخ » : « واذّخروا ».</w:t>
            </w:r>
          </w:p>
        </w:tc>
      </w:tr>
    </w:tbl>
    <w:p w:rsidR="00744A1C" w:rsidRDefault="00E378DD" w:rsidP="000147F6">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226 ، ح 763 ؛ </w:t>
      </w:r>
      <w:r w:rsidR="00744A1C" w:rsidRPr="00C24F9C">
        <w:rPr>
          <w:rStyle w:val="libFootnoteBoldChar"/>
          <w:rtl/>
        </w:rPr>
        <w:t>والاستبصار</w:t>
      </w:r>
      <w:r w:rsidR="00744A1C">
        <w:rPr>
          <w:rtl/>
          <w:lang w:bidi="fa-IR"/>
        </w:rPr>
        <w:t xml:space="preserve"> ، ج 2 ، ص 274 ، ح 972 ، معلّقاً عن الكليني. وفي </w:t>
      </w:r>
      <w:r w:rsidR="00744A1C" w:rsidRPr="00795992">
        <w:rPr>
          <w:rtl/>
        </w:rPr>
        <w:t>التهذيب</w:t>
      </w:r>
      <w:r w:rsidR="00744A1C">
        <w:rPr>
          <w:rtl/>
          <w:lang w:bidi="fa-IR"/>
        </w:rPr>
        <w:t xml:space="preserve"> ، ج 5 ، ص 226 ، ح 764 ؛ </w:t>
      </w:r>
      <w:r w:rsidR="00744A1C" w:rsidRPr="00C24F9C">
        <w:rPr>
          <w:rStyle w:val="libFootnoteBoldChar"/>
          <w:rtl/>
        </w:rPr>
        <w:t>والاستبصار</w:t>
      </w:r>
      <w:r w:rsidR="00744A1C">
        <w:rPr>
          <w:rtl/>
          <w:lang w:bidi="fa-IR"/>
        </w:rPr>
        <w:t xml:space="preserve"> ، ج 2 ، ص 274 ، ح 973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744A1C" w:rsidRPr="003A7143">
        <w:rPr>
          <w:rStyle w:val="libFootnoteBoldChar"/>
          <w:rtl/>
        </w:rPr>
        <w:t>علل الشرائع</w:t>
      </w:r>
      <w:r w:rsidR="00744A1C">
        <w:rPr>
          <w:rtl/>
          <w:lang w:bidi="fa-IR"/>
        </w:rPr>
        <w:t xml:space="preserve"> ، ص 439 ، ضمن ح 3 ، بسند آخر عن عليّ بن الحسين ، عن آبائه </w:t>
      </w:r>
      <w:r w:rsidR="00877682" w:rsidRPr="00877682">
        <w:rPr>
          <w:rStyle w:val="libFootnoteAlaemChar"/>
          <w:rFonts w:eastAsiaTheme="minorHAnsi"/>
          <w:rtl/>
        </w:rPr>
        <w:t>عليهم‌السلام</w:t>
      </w:r>
      <w:r w:rsidR="000147F6" w:rsidRPr="000147F6">
        <w:rPr>
          <w:rFonts w:eastAsiaTheme="minorHAnsi"/>
          <w:rtl/>
        </w:rPr>
        <w:t xml:space="preserve"> </w:t>
      </w:r>
      <w:r w:rsidR="00744A1C">
        <w:rPr>
          <w:rtl/>
          <w:lang w:bidi="fa-IR"/>
        </w:rPr>
        <w:t xml:space="preserve">عن رسول الله </w:t>
      </w:r>
      <w:r w:rsidR="005E465D" w:rsidRPr="005E465D">
        <w:rPr>
          <w:rStyle w:val="libAlaemChar"/>
          <w:rFonts w:eastAsiaTheme="minorHAnsi"/>
          <w:rtl/>
        </w:rPr>
        <w:t>صلى‌الله‌عليه‌وآله</w:t>
      </w:r>
      <w:r w:rsidR="000147F6" w:rsidRPr="000147F6">
        <w:rPr>
          <w:rFonts w:eastAsiaTheme="minorHAnsi"/>
          <w:rtl/>
        </w:rPr>
        <w:t xml:space="preserve"> </w:t>
      </w:r>
      <w:r w:rsidR="00744A1C">
        <w:rPr>
          <w:rtl/>
          <w:lang w:bidi="fa-IR"/>
        </w:rPr>
        <w:t xml:space="preserve">، مع اختلاف يسير. الاستبصار ، ج 2 ، ص 274 ، ح 971 ، بسند آخر عن رسول الله </w:t>
      </w:r>
      <w:r w:rsidR="005E465D" w:rsidRPr="005E465D">
        <w:rPr>
          <w:rStyle w:val="libAlaemChar"/>
          <w:rFonts w:eastAsiaTheme="minorHAnsi"/>
          <w:rtl/>
        </w:rPr>
        <w:t>صلى‌الله‌عليه‌وآله</w:t>
      </w:r>
      <w:r w:rsidR="000147F6" w:rsidRPr="000147F6">
        <w:rPr>
          <w:rFonts w:eastAsiaTheme="minorHAnsi"/>
          <w:rtl/>
        </w:rPr>
        <w:t xml:space="preserve"> </w:t>
      </w:r>
      <w:r w:rsidR="00744A1C">
        <w:rPr>
          <w:rtl/>
          <w:lang w:bidi="fa-IR"/>
        </w:rPr>
        <w:t xml:space="preserve">، مع اختلاف يسير. راجع : </w:t>
      </w:r>
      <w:r w:rsidR="00744A1C" w:rsidRPr="00C24F9C">
        <w:rPr>
          <w:rStyle w:val="libFootnoteBoldChar"/>
          <w:rtl/>
        </w:rPr>
        <w:t>التهذيب</w:t>
      </w:r>
      <w:r w:rsidR="00744A1C">
        <w:rPr>
          <w:rtl/>
          <w:lang w:bidi="fa-IR"/>
        </w:rPr>
        <w:t xml:space="preserve"> ، ج 5 ، ص 226 ، ح 765 ؛ </w:t>
      </w:r>
      <w:r w:rsidR="00744A1C" w:rsidRPr="00C24F9C">
        <w:rPr>
          <w:rStyle w:val="libFootnoteBoldChar"/>
          <w:rtl/>
        </w:rPr>
        <w:t>والاستبصار</w:t>
      </w:r>
      <w:r w:rsidR="00744A1C">
        <w:rPr>
          <w:rtl/>
          <w:lang w:bidi="fa-IR"/>
        </w:rPr>
        <w:t xml:space="preserve"> ، ج 2 ، ص 274 ، ح 973 </w:t>
      </w:r>
      <w:r w:rsidR="000147F6">
        <w:rPr>
          <w:rFonts w:hint="cs"/>
          <w:rtl/>
          <w:lang w:bidi="fa-IR"/>
        </w:rPr>
        <w:t>.</w:t>
      </w:r>
      <w:r w:rsidR="00744A1C" w:rsidRPr="00C24F9C">
        <w:rPr>
          <w:rStyle w:val="libFootnoteBoldChar"/>
          <w:rtl/>
        </w:rPr>
        <w:t>الوافي</w:t>
      </w:r>
      <w:r w:rsidR="00744A1C">
        <w:rPr>
          <w:rtl/>
          <w:lang w:bidi="fa-IR"/>
        </w:rPr>
        <w:t xml:space="preserve"> ، ج 14 ، ص 1165 ، ح 14007 ؛ </w:t>
      </w:r>
      <w:r w:rsidR="00744A1C" w:rsidRPr="00C24F9C">
        <w:rPr>
          <w:rStyle w:val="libFootnoteBoldChar"/>
          <w:rtl/>
        </w:rPr>
        <w:t>الوسائل</w:t>
      </w:r>
      <w:r w:rsidR="00744A1C">
        <w:rPr>
          <w:rtl/>
          <w:lang w:bidi="fa-IR"/>
        </w:rPr>
        <w:t xml:space="preserve"> ، ج 14 ، ص 168 ، ح 18893.</w:t>
      </w:r>
    </w:p>
    <w:p w:rsidR="00744A1C" w:rsidRDefault="00E378DD" w:rsidP="00E378DD">
      <w:pPr>
        <w:pStyle w:val="libFootnote0"/>
        <w:rPr>
          <w:lang w:bidi="fa-IR"/>
        </w:rPr>
      </w:pPr>
      <w:r>
        <w:rPr>
          <w:rtl/>
          <w:lang w:bidi="fa-IR"/>
        </w:rPr>
        <w:t>(10).</w:t>
      </w:r>
      <w:r w:rsidR="00744A1C">
        <w:rPr>
          <w:rtl/>
          <w:lang w:bidi="fa-IR"/>
        </w:rPr>
        <w:t xml:space="preserve"> في « ى ، بس » : « الجزّاز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 « ولإجلالها ». وفي </w:t>
      </w:r>
      <w:r w:rsidR="00744A1C" w:rsidRPr="00C24F9C">
        <w:rPr>
          <w:rStyle w:val="libFootnoteBoldChar"/>
          <w:rtl/>
        </w:rPr>
        <w:t>الوسائل</w:t>
      </w:r>
      <w:r w:rsidR="00744A1C">
        <w:rPr>
          <w:rtl/>
          <w:lang w:bidi="fa-IR"/>
        </w:rPr>
        <w:t xml:space="preserve"> : « وجلالها ». وقال ابن منظور : « جُلّ الدابّة وجَلّها : الذي تُلْبَسه ؛ لتصان به. الفتح عن ابن دريد ، قال : وهي لغة تميميّة معروفة. والجمع : جِلال وأجلال ». وقال الفيّومي : « جُلّ الدابّة كثوب الإنسان يلبسه يقيه البرد. والجمع : جِلال وأجلال ». راجع : </w:t>
      </w:r>
      <w:r w:rsidR="00744A1C" w:rsidRPr="00877682">
        <w:rPr>
          <w:rStyle w:val="libFootnoteBoldChar"/>
          <w:rtl/>
        </w:rPr>
        <w:t>لسان العرب</w:t>
      </w:r>
      <w:r w:rsidR="00744A1C">
        <w:rPr>
          <w:rtl/>
          <w:lang w:bidi="fa-IR"/>
        </w:rPr>
        <w:t xml:space="preserve"> ، ج 11 ، ص 119 ؛ </w:t>
      </w:r>
      <w:r w:rsidR="00744A1C" w:rsidRPr="00E978C3">
        <w:rPr>
          <w:rStyle w:val="libFootnoteBoldChar"/>
          <w:rtl/>
        </w:rPr>
        <w:t>المصباح المنير</w:t>
      </w:r>
      <w:r w:rsidR="00744A1C">
        <w:rPr>
          <w:rtl/>
          <w:lang w:bidi="fa-IR"/>
        </w:rPr>
        <w:t xml:space="preserve"> ، ص 105 ( جلل ).</w:t>
      </w:r>
    </w:p>
    <w:p w:rsidR="00744A1C" w:rsidRDefault="00E378DD" w:rsidP="00E378DD">
      <w:pPr>
        <w:pStyle w:val="libFootnote0"/>
        <w:rPr>
          <w:lang w:bidi="fa-IR"/>
        </w:rPr>
      </w:pPr>
      <w:r>
        <w:rPr>
          <w:rtl/>
          <w:lang w:bidi="fa-IR"/>
        </w:rPr>
        <w:t>(12).</w:t>
      </w:r>
      <w:r w:rsidR="00744A1C">
        <w:rPr>
          <w:rtl/>
          <w:lang w:bidi="fa-IR"/>
        </w:rPr>
        <w:t xml:space="preserve">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222 ، وتمام الرواية فيه : « ولا تعطى الجزّار منها شيئاً » </w:t>
      </w:r>
      <w:r w:rsidR="000147F6">
        <w:rPr>
          <w:rFonts w:hint="cs"/>
          <w:rtl/>
          <w:lang w:bidi="fa-IR"/>
        </w:rPr>
        <w:t>.</w:t>
      </w:r>
      <w:r w:rsidR="00744A1C" w:rsidRPr="00C24F9C">
        <w:rPr>
          <w:rStyle w:val="libFootnoteBoldChar"/>
          <w:rtl/>
        </w:rPr>
        <w:t>الوافي</w:t>
      </w:r>
      <w:r w:rsidR="00744A1C">
        <w:rPr>
          <w:rtl/>
          <w:lang w:bidi="fa-IR"/>
        </w:rPr>
        <w:t xml:space="preserve"> ، ج 14 ، ص 1169 ، </w:t>
      </w:r>
      <w:r w:rsidR="000147F6">
        <w:rPr>
          <w:rFonts w:hint="cs"/>
          <w:rtl/>
          <w:lang w:bidi="fa-IR"/>
        </w:rPr>
        <w:t>=</w:t>
      </w:r>
    </w:p>
    <w:p w:rsidR="00150943" w:rsidRDefault="00150943" w:rsidP="00D10E3C">
      <w:pPr>
        <w:pStyle w:val="libNormal"/>
        <w:rPr>
          <w:rtl/>
          <w:lang w:bidi="fa-IR"/>
        </w:rPr>
      </w:pPr>
      <w:r>
        <w:rPr>
          <w:rtl/>
          <w:lang w:bidi="fa-IR"/>
        </w:rPr>
        <w:br w:type="page"/>
      </w:r>
    </w:p>
    <w:p w:rsidR="005E5308" w:rsidRDefault="00744A1C" w:rsidP="005E5308">
      <w:pPr>
        <w:pStyle w:val="libNormal"/>
        <w:rPr>
          <w:lang w:bidi="fa-IR"/>
        </w:rPr>
      </w:pPr>
      <w:r>
        <w:rPr>
          <w:rtl/>
          <w:lang w:bidi="fa-IR"/>
        </w:rPr>
        <w:lastRenderedPageBreak/>
        <w:t xml:space="preserve">7897 / 2. وَفِي </w:t>
      </w:r>
      <w:r w:rsidRPr="00D10E3C">
        <w:rPr>
          <w:rStyle w:val="libFootnotenumChar"/>
          <w:rtl/>
        </w:rPr>
        <w:t>(1)</w:t>
      </w:r>
      <w:r>
        <w:rPr>
          <w:rtl/>
          <w:lang w:bidi="fa-IR"/>
        </w:rPr>
        <w:t xml:space="preserve"> رِوَايَةِ مُعَاوِيَةَ بْنِ عَمَّارٍ :</w:t>
      </w:r>
    </w:p>
    <w:p w:rsidR="00744A1C" w:rsidRDefault="00744A1C" w:rsidP="005E5308">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يُنْتَفَعُ بِجِلْدِ </w:t>
      </w:r>
      <w:r w:rsidRPr="00D10E3C">
        <w:rPr>
          <w:rStyle w:val="libFootnotenumChar"/>
          <w:rtl/>
        </w:rPr>
        <w:t>(2)</w:t>
      </w:r>
      <w:r>
        <w:rPr>
          <w:rtl/>
          <w:lang w:bidi="fa-IR"/>
        </w:rPr>
        <w:t xml:space="preserve"> الْأُضْحِيَّةِ ، وَيُشْتَرى بِهِ </w:t>
      </w:r>
      <w:r w:rsidRPr="00D10E3C">
        <w:rPr>
          <w:rStyle w:val="libFootnotenumChar"/>
          <w:rtl/>
        </w:rPr>
        <w:t>(3)</w:t>
      </w:r>
      <w:r>
        <w:rPr>
          <w:rtl/>
          <w:lang w:bidi="fa-IR"/>
        </w:rPr>
        <w:t xml:space="preserve"> الْمَتَاعُ ، وَإِنْ تُصُدِّقَ </w:t>
      </w:r>
      <w:r w:rsidRPr="00D10E3C">
        <w:rPr>
          <w:rStyle w:val="libFootnotenumChar"/>
          <w:rtl/>
        </w:rPr>
        <w:t>(4)</w:t>
      </w:r>
      <w:r>
        <w:rPr>
          <w:rtl/>
          <w:lang w:bidi="fa-IR"/>
        </w:rPr>
        <w:t xml:space="preserve"> بِهِ فَهُوَ أَفْضَلُ ».</w:t>
      </w:r>
    </w:p>
    <w:p w:rsidR="00744A1C" w:rsidRDefault="00744A1C" w:rsidP="005E5308">
      <w:pPr>
        <w:pStyle w:val="libNormal"/>
        <w:rPr>
          <w:lang w:bidi="fa-IR"/>
        </w:rPr>
      </w:pPr>
      <w:r>
        <w:rPr>
          <w:rtl/>
          <w:lang w:bidi="fa-IR"/>
        </w:rPr>
        <w:t xml:space="preserve">وَقَالَ </w:t>
      </w:r>
      <w:r w:rsidRPr="00D10E3C">
        <w:rPr>
          <w:rStyle w:val="libFootnotenumChar"/>
          <w:rtl/>
        </w:rPr>
        <w:t>(5)</w:t>
      </w:r>
      <w:r>
        <w:rPr>
          <w:rtl/>
          <w:lang w:bidi="fa-IR"/>
        </w:rPr>
        <w:t xml:space="preserve"> : « نَحَرَ رَسُولُ اللهِ </w:t>
      </w:r>
      <w:r w:rsidR="005E5308" w:rsidRPr="00D53C2A">
        <w:rPr>
          <w:rStyle w:val="libAlaemChar"/>
          <w:rFonts w:eastAsiaTheme="minorHAnsi"/>
          <w:rtl/>
        </w:rPr>
        <w:t>صلى‌الله‌عليه‌وآله</w:t>
      </w:r>
      <w:r>
        <w:rPr>
          <w:rtl/>
          <w:lang w:bidi="fa-IR"/>
        </w:rPr>
        <w:t xml:space="preserve">، بَدَنَةً ، وَلَمْ يُعْطِ الْجَزَّارِينَ </w:t>
      </w:r>
      <w:r w:rsidRPr="00D10E3C">
        <w:rPr>
          <w:rStyle w:val="libFootnotenumChar"/>
          <w:rtl/>
        </w:rPr>
        <w:t>(6)</w:t>
      </w:r>
      <w:r>
        <w:rPr>
          <w:rtl/>
          <w:lang w:bidi="fa-IR"/>
        </w:rPr>
        <w:t xml:space="preserve"> جُلُودَهَا ، وَلَا قَلَائِدَهَا </w:t>
      </w:r>
      <w:r w:rsidRPr="00D10E3C">
        <w:rPr>
          <w:rStyle w:val="libFootnotenumChar"/>
          <w:rtl/>
        </w:rPr>
        <w:t>(7)</w:t>
      </w:r>
      <w:r>
        <w:rPr>
          <w:rtl/>
          <w:lang w:bidi="fa-IR"/>
        </w:rPr>
        <w:t xml:space="preserve"> ، وَلَاجِلَالَهَا ، وَلكِنْ تَصَدّ</w:t>
      </w:r>
      <w:r w:rsidR="00586C16">
        <w:rPr>
          <w:rtl/>
          <w:lang w:bidi="fa-IR"/>
        </w:rPr>
        <w:t>َقَ بِهِ ، وَلَاتُعْطِ السَّل</w:t>
      </w:r>
      <w:r w:rsidR="00586C16">
        <w:rPr>
          <w:rFonts w:hint="cs"/>
          <w:rtl/>
          <w:lang w:bidi="fa-IR"/>
        </w:rPr>
        <w:t>َّ</w:t>
      </w:r>
      <w:r w:rsidR="00586C16">
        <w:rPr>
          <w:rtl/>
          <w:lang w:bidi="fa-IR"/>
        </w:rPr>
        <w:t>ا</w:t>
      </w:r>
      <w:r>
        <w:rPr>
          <w:rtl/>
          <w:lang w:bidi="fa-IR"/>
        </w:rPr>
        <w:t xml:space="preserve">خَ مِنْهَا شَيْئاً ، وَلكِنْ أَعْطِهِ مِنْ غَيْرِ ذلِكَ ». </w:t>
      </w:r>
      <w:r w:rsidRPr="00D10E3C">
        <w:rPr>
          <w:rStyle w:val="libFootnotenumChar"/>
          <w:rtl/>
        </w:rPr>
        <w:t>(8)</w:t>
      </w:r>
    </w:p>
    <w:p w:rsidR="00744A1C" w:rsidRDefault="00744A1C" w:rsidP="007D65AE">
      <w:pPr>
        <w:pStyle w:val="Heading2Center"/>
        <w:rPr>
          <w:lang w:bidi="fa-IR"/>
        </w:rPr>
      </w:pPr>
      <w:bookmarkStart w:id="33" w:name="_Toc49261331"/>
      <w:r>
        <w:rPr>
          <w:rtl/>
          <w:lang w:bidi="fa-IR"/>
        </w:rPr>
        <w:t>188 - بَابُ الْحَلْقِ وَالتَّقْصِيرِ‌</w:t>
      </w:r>
      <w:bookmarkEnd w:id="33"/>
    </w:p>
    <w:p w:rsidR="00744A1C" w:rsidRDefault="00744A1C" w:rsidP="00744A1C">
      <w:pPr>
        <w:pStyle w:val="libNormal"/>
        <w:rPr>
          <w:lang w:bidi="fa-IR"/>
        </w:rPr>
      </w:pPr>
      <w:r>
        <w:rPr>
          <w:rtl/>
          <w:lang w:bidi="fa-IR"/>
        </w:rPr>
        <w:t xml:space="preserve">7898 / 1. عِدَّةٌ مِنْ أَصْحَابِنَا ، عَنْ أَحْمَدَ بْنِ مُحَمَّدٍ ، عَنْ مُحَمَّدِ بْنِ الْحَسَنِ </w:t>
      </w:r>
      <w:r w:rsidRPr="00D10E3C">
        <w:rPr>
          <w:rStyle w:val="libFootnotenumChar"/>
          <w:rtl/>
        </w:rPr>
        <w:t>(9)</w:t>
      </w:r>
      <w:r>
        <w:rPr>
          <w:rtl/>
          <w:lang w:bidi="fa-IR"/>
        </w:rPr>
        <w:t xml:space="preserve"> ، عَنْ‌</w:t>
      </w:r>
    </w:p>
    <w:p w:rsidR="00744A1C" w:rsidRDefault="00744A1C" w:rsidP="00D10E3C">
      <w:pPr>
        <w:pStyle w:val="libLine"/>
        <w:rPr>
          <w:lang w:bidi="fa-IR"/>
        </w:rPr>
      </w:pPr>
      <w:r>
        <w:rPr>
          <w:rtl/>
          <w:lang w:bidi="fa-IR"/>
        </w:rPr>
        <w:t>____________________</w:t>
      </w:r>
    </w:p>
    <w:p w:rsidR="00744A1C" w:rsidRDefault="00276893" w:rsidP="00D10E3C">
      <w:pPr>
        <w:pStyle w:val="libFootnote0"/>
        <w:rPr>
          <w:lang w:bidi="fa-IR"/>
        </w:rPr>
      </w:pPr>
      <w:r w:rsidRPr="00276893">
        <w:rPr>
          <w:rFonts w:hint="cs"/>
          <w:rtl/>
        </w:rPr>
        <w:t xml:space="preserve">= </w:t>
      </w:r>
      <w:r w:rsidR="00744A1C">
        <w:rPr>
          <w:rtl/>
          <w:lang w:bidi="fa-IR"/>
        </w:rPr>
        <w:t xml:space="preserve">ح 14016 ؛ </w:t>
      </w:r>
      <w:r w:rsidR="00744A1C" w:rsidRPr="00C24F9C">
        <w:rPr>
          <w:rStyle w:val="libFootnoteBoldChar"/>
          <w:rtl/>
        </w:rPr>
        <w:t>الوسائل</w:t>
      </w:r>
      <w:r w:rsidR="00744A1C">
        <w:rPr>
          <w:rtl/>
          <w:lang w:bidi="fa-IR"/>
        </w:rPr>
        <w:t xml:space="preserve"> ، ج 14 ، ص 173 ، ح 18905.</w:t>
      </w:r>
    </w:p>
    <w:p w:rsidR="00744A1C" w:rsidRDefault="00D10E3C" w:rsidP="00F9096C">
      <w:pPr>
        <w:pStyle w:val="libFootnote0"/>
        <w:rPr>
          <w:lang w:bidi="fa-IR"/>
        </w:rPr>
      </w:pPr>
      <w:r>
        <w:rPr>
          <w:rtl/>
          <w:lang w:bidi="fa-IR"/>
        </w:rPr>
        <w:t>(1).</w:t>
      </w:r>
      <w:r w:rsidR="00744A1C">
        <w:rPr>
          <w:rtl/>
          <w:lang w:bidi="fa-IR"/>
        </w:rPr>
        <w:t xml:space="preserve"> أورد الشيخ الحرّ الخبر في </w:t>
      </w:r>
      <w:r w:rsidR="00744A1C" w:rsidRPr="00C24F9C">
        <w:rPr>
          <w:rStyle w:val="libFootnoteBoldChar"/>
          <w:rtl/>
        </w:rPr>
        <w:t>الوسائل</w:t>
      </w:r>
      <w:r w:rsidR="00744A1C">
        <w:rPr>
          <w:rtl/>
          <w:lang w:bidi="fa-IR"/>
        </w:rPr>
        <w:t xml:space="preserve"> ، ج 14 ، ص 173 ، ح 18906 مرسلاً ؛ حيث قال : « قال الكليني وفي رواية معاوية بن عمّار ... ». لكن احتمال وقوع التعليق في السند - بأن يكون « وفي رواية معاوية بن عمّار » من كلام ابن أبي عمير - غير منفيّ ؛ فقد روى عليّ بن إبراهيم عن أبيه عن ابن أبي عمير عن معاوية بن عمّار روايات عديدة في أبواب الحجّ المختلفة.</w:t>
      </w:r>
      <w:r w:rsidR="00097CCA">
        <w:rPr>
          <w:rFonts w:hint="cs"/>
          <w:rtl/>
          <w:lang w:bidi="fa-IR"/>
        </w:rPr>
        <w:t xml:space="preserve">                     </w:t>
      </w:r>
      <w:r w:rsidR="00F9096C">
        <w:rPr>
          <w:rFonts w:hint="cs"/>
          <w:rtl/>
          <w:lang w:bidi="fa-IR"/>
        </w:rPr>
        <w:t xml:space="preserve">      </w:t>
      </w:r>
      <w:r w:rsidR="00F9096C">
        <w:rPr>
          <w:rtl/>
          <w:lang w:bidi="fa-IR"/>
        </w:rPr>
        <w:t xml:space="preserve"> </w:t>
      </w:r>
      <w:r w:rsidR="00E378DD">
        <w:rPr>
          <w:rtl/>
          <w:lang w:bidi="fa-IR"/>
        </w:rPr>
        <w:t>(2).</w:t>
      </w:r>
      <w:r w:rsidR="00744A1C">
        <w:rPr>
          <w:rtl/>
          <w:lang w:bidi="fa-IR"/>
        </w:rPr>
        <w:t xml:space="preserve"> في « بث » : « بجلود ».</w:t>
      </w:r>
    </w:p>
    <w:tbl>
      <w:tblPr>
        <w:tblStyle w:val="TableGrid"/>
        <w:bidiVisual/>
        <w:tblW w:w="0" w:type="auto"/>
        <w:tblLook w:val="04A0" w:firstRow="1" w:lastRow="0" w:firstColumn="1" w:lastColumn="0" w:noHBand="0" w:noVBand="1"/>
      </w:tblPr>
      <w:tblGrid>
        <w:gridCol w:w="4006"/>
        <w:gridCol w:w="4006"/>
      </w:tblGrid>
      <w:tr w:rsidR="003F7D61" w:rsidTr="003F7D61">
        <w:tc>
          <w:tcPr>
            <w:tcW w:w="4006" w:type="dxa"/>
          </w:tcPr>
          <w:p w:rsidR="003F7D61" w:rsidRDefault="003F7D61" w:rsidP="00E378DD">
            <w:pPr>
              <w:pStyle w:val="libFootnote0"/>
              <w:rPr>
                <w:rtl/>
                <w:lang w:bidi="fa-IR"/>
              </w:rPr>
            </w:pPr>
            <w:r>
              <w:rPr>
                <w:rtl/>
                <w:lang w:bidi="fa-IR"/>
              </w:rPr>
              <w:t>(3). في « ى » : « بها ».</w:t>
            </w:r>
          </w:p>
        </w:tc>
        <w:tc>
          <w:tcPr>
            <w:tcW w:w="4006" w:type="dxa"/>
          </w:tcPr>
          <w:p w:rsidR="003F7D61" w:rsidRDefault="003F7D61" w:rsidP="00FD6071">
            <w:pPr>
              <w:pStyle w:val="libFootnote0"/>
              <w:rPr>
                <w:rtl/>
                <w:lang w:bidi="fa-IR"/>
              </w:rPr>
            </w:pPr>
            <w:r>
              <w:rPr>
                <w:rtl/>
                <w:lang w:bidi="fa-IR"/>
              </w:rPr>
              <w:t>(4). في</w:t>
            </w:r>
            <w:r w:rsidR="00FD6071">
              <w:rPr>
                <w:rtl/>
                <w:lang w:bidi="fa-IR"/>
              </w:rPr>
              <w:t>«</w:t>
            </w:r>
            <w:r>
              <w:rPr>
                <w:rtl/>
                <w:lang w:bidi="fa-IR"/>
              </w:rPr>
              <w:t>بخ،بف»:«يتصدّق».وفي«</w:t>
            </w:r>
            <w:r w:rsidR="00FD6071">
              <w:rPr>
                <w:rtl/>
                <w:lang w:bidi="fa-IR"/>
              </w:rPr>
              <w:t>بث</w:t>
            </w:r>
            <w:r>
              <w:rPr>
                <w:rtl/>
                <w:lang w:bidi="fa-IR"/>
              </w:rPr>
              <w:t>»:«يصّدّق».</w:t>
            </w:r>
          </w:p>
        </w:tc>
      </w:tr>
    </w:tbl>
    <w:p w:rsidR="00744A1C" w:rsidRDefault="00E378DD" w:rsidP="00E378DD">
      <w:pPr>
        <w:pStyle w:val="libFootnote0"/>
        <w:rPr>
          <w:lang w:bidi="fa-IR"/>
        </w:rPr>
      </w:pPr>
      <w:r>
        <w:rPr>
          <w:rtl/>
          <w:lang w:bidi="fa-IR"/>
        </w:rPr>
        <w:t>(5).</w:t>
      </w:r>
      <w:r w:rsidR="00744A1C">
        <w:rPr>
          <w:rtl/>
          <w:lang w:bidi="fa-IR"/>
        </w:rPr>
        <w:t xml:space="preserve"> في « بف » : « وقالوا ».</w:t>
      </w:r>
    </w:p>
    <w:p w:rsidR="00744A1C" w:rsidRDefault="00E378DD" w:rsidP="00E378DD">
      <w:pPr>
        <w:pStyle w:val="libFootnote0"/>
        <w:rPr>
          <w:lang w:bidi="fa-IR"/>
        </w:rPr>
      </w:pPr>
      <w:r>
        <w:rPr>
          <w:rtl/>
          <w:lang w:bidi="fa-IR"/>
        </w:rPr>
        <w:t>(6).</w:t>
      </w:r>
      <w:r w:rsidR="00744A1C">
        <w:rPr>
          <w:rtl/>
          <w:lang w:bidi="fa-IR"/>
        </w:rPr>
        <w:t xml:space="preserve"> في « بف » و</w:t>
      </w:r>
      <w:r w:rsidR="00744A1C" w:rsidRPr="00C24F9C">
        <w:rPr>
          <w:rStyle w:val="libFootnoteBoldChar"/>
          <w:rtl/>
        </w:rPr>
        <w:t>الوافي</w:t>
      </w:r>
      <w:r w:rsidR="00744A1C">
        <w:rPr>
          <w:rtl/>
          <w:lang w:bidi="fa-IR"/>
        </w:rPr>
        <w:t xml:space="preserve"> : « الجزّار ». وفي « بس » : « الجزازين ». وفي « بخ ، بف ، جن » و</w:t>
      </w:r>
      <w:r w:rsidR="00744A1C" w:rsidRPr="00C24F9C">
        <w:rPr>
          <w:rStyle w:val="libFootnoteBoldChar"/>
          <w:rtl/>
        </w:rPr>
        <w:t>الوافي</w:t>
      </w:r>
      <w:r w:rsidR="00097CCA">
        <w:rPr>
          <w:rtl/>
          <w:lang w:bidi="fa-IR"/>
        </w:rPr>
        <w:t xml:space="preserve"> : + «من</w:t>
      </w:r>
      <w:r w:rsidR="00744A1C">
        <w:rPr>
          <w:rtl/>
          <w:lang w:bidi="fa-IR"/>
        </w:rPr>
        <w:t>».</w:t>
      </w:r>
    </w:p>
    <w:p w:rsidR="00744A1C" w:rsidRDefault="00E378DD" w:rsidP="00E378DD">
      <w:pPr>
        <w:pStyle w:val="libFootnote0"/>
        <w:rPr>
          <w:lang w:bidi="fa-IR"/>
        </w:rPr>
      </w:pPr>
      <w:r>
        <w:rPr>
          <w:rtl/>
          <w:lang w:bidi="fa-IR"/>
        </w:rPr>
        <w:t>(7).</w:t>
      </w:r>
      <w:r w:rsidR="00744A1C">
        <w:rPr>
          <w:rtl/>
          <w:lang w:bidi="fa-IR"/>
        </w:rPr>
        <w:t xml:space="preserve"> القلائد : جمع القلادة ، وهي التي تجعل في العنق. وقلائد الهدي : ما يقلَّدُ به ليعلم أنّه هدي فيكفّ الناس عنه. راجع : </w:t>
      </w:r>
      <w:r w:rsidR="00744A1C" w:rsidRPr="00E978C3">
        <w:rPr>
          <w:rStyle w:val="libFootnoteBoldChar"/>
          <w:rtl/>
        </w:rPr>
        <w:t>الصحاح</w:t>
      </w:r>
      <w:r w:rsidR="00744A1C">
        <w:rPr>
          <w:rtl/>
          <w:lang w:bidi="fa-IR"/>
        </w:rPr>
        <w:t xml:space="preserve"> ، ج 2 ، ص 527 ؛ </w:t>
      </w:r>
      <w:r w:rsidR="00744A1C" w:rsidRPr="00E978C3">
        <w:rPr>
          <w:rStyle w:val="libFootnoteBoldChar"/>
          <w:rtl/>
        </w:rPr>
        <w:t>المصباح المنير</w:t>
      </w:r>
      <w:r w:rsidR="00744A1C">
        <w:rPr>
          <w:rtl/>
          <w:lang w:bidi="fa-IR"/>
        </w:rPr>
        <w:t xml:space="preserve"> ، ص 512 ( قلد ).</w:t>
      </w:r>
    </w:p>
    <w:p w:rsidR="00744A1C" w:rsidRDefault="00E378DD" w:rsidP="00C56A7D">
      <w:pPr>
        <w:pStyle w:val="libFootnote0"/>
        <w:rPr>
          <w:lang w:bidi="fa-IR"/>
        </w:rPr>
      </w:pPr>
      <w:r>
        <w:rPr>
          <w:rtl/>
          <w:lang w:bidi="fa-IR"/>
        </w:rPr>
        <w:t>(8).</w:t>
      </w:r>
      <w:r w:rsidR="00744A1C">
        <w:rPr>
          <w:rtl/>
          <w:lang w:bidi="fa-IR"/>
        </w:rPr>
        <w:t xml:space="preserve"> </w:t>
      </w:r>
      <w:r w:rsidR="00744A1C" w:rsidRPr="0061079A">
        <w:rPr>
          <w:rStyle w:val="libFootnoteBoldChar"/>
          <w:rtl/>
        </w:rPr>
        <w:t>الكافي</w:t>
      </w:r>
      <w:r w:rsidR="00744A1C">
        <w:rPr>
          <w:rtl/>
          <w:lang w:bidi="fa-IR"/>
        </w:rPr>
        <w:t xml:space="preserve"> ، كتاب الحجّ ، باب حجّ النبيّ </w:t>
      </w:r>
      <w:r w:rsidR="00246CFE" w:rsidRPr="009B2BB1">
        <w:rPr>
          <w:rStyle w:val="libFootnoteAlaemChar"/>
          <w:rFonts w:eastAsiaTheme="minorHAnsi"/>
          <w:rtl/>
        </w:rPr>
        <w:t>صلى‌الله‌عليه‌وآله</w:t>
      </w:r>
      <w:r w:rsidR="00246CFE">
        <w:rPr>
          <w:rtl/>
          <w:lang w:bidi="fa-IR"/>
        </w:rPr>
        <w:t xml:space="preserve"> </w:t>
      </w:r>
      <w:r w:rsidR="00744A1C">
        <w:rPr>
          <w:rtl/>
          <w:lang w:bidi="fa-IR"/>
        </w:rPr>
        <w:t xml:space="preserve">، ضمن الحديث الطويل 6852 ؛ </w:t>
      </w:r>
      <w:r w:rsidR="00744A1C" w:rsidRPr="0061079A">
        <w:rPr>
          <w:rStyle w:val="libFootnoteBoldChar"/>
          <w:rtl/>
        </w:rPr>
        <w:t>والتهذيب</w:t>
      </w:r>
      <w:r w:rsidR="00744A1C">
        <w:rPr>
          <w:rtl/>
          <w:lang w:bidi="fa-IR"/>
        </w:rPr>
        <w:t xml:space="preserve"> ، ج 5 ، ص 227 ، ذيل ح 770 ؛ وص 228 ، ذيل ح 771 ؛ وص 456 ، ضمن الحديث الطويل 1588 ؛ </w:t>
      </w:r>
      <w:r w:rsidR="00744A1C" w:rsidRPr="00C24F9C">
        <w:rPr>
          <w:rStyle w:val="libFootnoteBoldChar"/>
          <w:rtl/>
        </w:rPr>
        <w:t>والاستبصار</w:t>
      </w:r>
      <w:r w:rsidR="00744A1C">
        <w:rPr>
          <w:rtl/>
          <w:lang w:bidi="fa-IR"/>
        </w:rPr>
        <w:t xml:space="preserve"> ، ج 2 ، ص 275 ، ذيل ح 979 ؛ وص 276 ، ذيل ح 980 ، وفي كلّ المصادر بسند آخر عن معاوية بن عمّار. </w:t>
      </w:r>
      <w:r w:rsidR="00744A1C" w:rsidRPr="00C24F9C">
        <w:rPr>
          <w:rStyle w:val="libFootnoteBoldChar"/>
          <w:rtl/>
        </w:rPr>
        <w:t>الفقيه</w:t>
      </w:r>
      <w:r w:rsidR="00744A1C">
        <w:rPr>
          <w:rtl/>
          <w:lang w:bidi="fa-IR"/>
        </w:rPr>
        <w:t xml:space="preserve"> ، ج 2 ، ص 236 ، ح 2288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 كلّ المصادر من قوله : « نحر رسول الله </w:t>
      </w:r>
      <w:r w:rsidR="00246CFE" w:rsidRPr="009B2BB1">
        <w:rPr>
          <w:rStyle w:val="libFootnoteAlaemChar"/>
          <w:rFonts w:eastAsiaTheme="minorHAnsi"/>
          <w:rtl/>
        </w:rPr>
        <w:t>صلى‌الله‌عليه‌وآله</w:t>
      </w:r>
      <w:r w:rsidR="00246CFE">
        <w:rPr>
          <w:rtl/>
          <w:lang w:bidi="fa-IR"/>
        </w:rPr>
        <w:t xml:space="preserve"> </w:t>
      </w:r>
      <w:r w:rsidR="00744A1C">
        <w:rPr>
          <w:rtl/>
          <w:lang w:bidi="fa-IR"/>
        </w:rPr>
        <w:t xml:space="preserve">» إلى قوله : « ولكن تصدّق به » مع اختلاف يسير. </w:t>
      </w:r>
      <w:r w:rsidR="00744A1C" w:rsidRPr="00C24F9C">
        <w:rPr>
          <w:rStyle w:val="libFootnoteBoldChar"/>
          <w:rtl/>
        </w:rPr>
        <w:t>الفقيه</w:t>
      </w:r>
      <w:r w:rsidR="00744A1C">
        <w:rPr>
          <w:rtl/>
          <w:lang w:bidi="fa-IR"/>
        </w:rPr>
        <w:t xml:space="preserve"> ، ج 2 ، ص 549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من قوله : « ولم يعط الجزّارين » إلى قوله : « ولاتعط السلاّخ منها » مع اختلاف يسير</w:t>
      </w:r>
      <w:r w:rsidR="00C56A7D">
        <w:rPr>
          <w:rFonts w:hint="cs"/>
          <w:rtl/>
          <w:lang w:bidi="fa-IR"/>
        </w:rPr>
        <w:t>.</w:t>
      </w:r>
      <w:r w:rsidR="00744A1C" w:rsidRPr="00C24F9C">
        <w:rPr>
          <w:rStyle w:val="libFootnoteBoldChar"/>
          <w:rtl/>
        </w:rPr>
        <w:t>الوافي</w:t>
      </w:r>
      <w:r w:rsidR="00744A1C">
        <w:rPr>
          <w:rtl/>
          <w:lang w:bidi="fa-IR"/>
        </w:rPr>
        <w:t xml:space="preserve"> ، ج 14 ، ص 1169 ، ح 14017 ؛ </w:t>
      </w:r>
      <w:r w:rsidR="00744A1C" w:rsidRPr="00C24F9C">
        <w:rPr>
          <w:rStyle w:val="libFootnoteBoldChar"/>
          <w:rtl/>
        </w:rPr>
        <w:t>الوسائل</w:t>
      </w:r>
      <w:r w:rsidR="00744A1C">
        <w:rPr>
          <w:rtl/>
          <w:lang w:bidi="fa-IR"/>
        </w:rPr>
        <w:t xml:space="preserve"> ، ج 14 ، ص 173 ، ح 18906.</w:t>
      </w:r>
    </w:p>
    <w:p w:rsidR="00744A1C" w:rsidRDefault="00E378DD" w:rsidP="00E378DD">
      <w:pPr>
        <w:pStyle w:val="libFootnote0"/>
        <w:rPr>
          <w:lang w:bidi="fa-IR"/>
        </w:rPr>
      </w:pPr>
      <w:r>
        <w:rPr>
          <w:rtl/>
          <w:lang w:bidi="fa-IR"/>
        </w:rPr>
        <w:t>(9).</w:t>
      </w:r>
      <w:r w:rsidR="00744A1C">
        <w:rPr>
          <w:rtl/>
          <w:lang w:bidi="fa-IR"/>
        </w:rPr>
        <w:t xml:space="preserve"> في « بخ ، بف » وحاشية « بث ، بح ، جن » : « الحسين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إِبْرَاهِيمَ بْنِ</w:t>
      </w:r>
      <w:r w:rsidR="007376E7">
        <w:rPr>
          <w:rtl/>
          <w:lang w:bidi="fa-IR"/>
        </w:rPr>
        <w:t xml:space="preserve"> مُسْلِمٍ ، عَنْ أَبِي شِبْلٍ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w:t>
      </w:r>
      <w:r w:rsidRPr="00D10E3C">
        <w:rPr>
          <w:rStyle w:val="libFootnotenumChar"/>
          <w:rtl/>
        </w:rPr>
        <w:t>(1)</w:t>
      </w:r>
      <w:r>
        <w:rPr>
          <w:rtl/>
          <w:lang w:bidi="fa-IR"/>
        </w:rPr>
        <w:t xml:space="preserve"> الْمُؤْمِنَ إِذَا حَلَقَ رَأْسَهُ بِمِنًى ، ثُمَّ دَفَنَهُ ، جَاءَ يَوْمَ الْقِيَامَةِ وَكُلُّ شَعْرَةٍ لَهَا لِسَانٌ طَلْقٌ </w:t>
      </w:r>
      <w:r w:rsidRPr="00D10E3C">
        <w:rPr>
          <w:rStyle w:val="libFootnotenumChar"/>
          <w:rtl/>
        </w:rPr>
        <w:t>(2)</w:t>
      </w:r>
      <w:r>
        <w:rPr>
          <w:rtl/>
          <w:lang w:bidi="fa-IR"/>
        </w:rPr>
        <w:t xml:space="preserve"> تُلَبِّي </w:t>
      </w:r>
      <w:r w:rsidRPr="00D10E3C">
        <w:rPr>
          <w:rStyle w:val="libFootnotenumChar"/>
          <w:rtl/>
        </w:rPr>
        <w:t>(3)</w:t>
      </w:r>
      <w:r>
        <w:rPr>
          <w:rtl/>
          <w:lang w:bidi="fa-IR"/>
        </w:rPr>
        <w:t xml:space="preserve"> بِاسْمِ صَاحِبِهَا </w:t>
      </w:r>
      <w:r w:rsidRPr="00D10E3C">
        <w:rPr>
          <w:rStyle w:val="libFootnotenumChar"/>
          <w:rtl/>
        </w:rPr>
        <w:t>(4)</w:t>
      </w:r>
      <w:r>
        <w:rPr>
          <w:rtl/>
          <w:lang w:bidi="fa-IR"/>
        </w:rPr>
        <w:t xml:space="preserve"> ». </w:t>
      </w:r>
      <w:r w:rsidRPr="00D10E3C">
        <w:rPr>
          <w:rStyle w:val="libFootnotenumChar"/>
          <w:rtl/>
        </w:rPr>
        <w:t>(5)</w:t>
      </w:r>
    </w:p>
    <w:p w:rsidR="00744A1C" w:rsidRDefault="00744A1C" w:rsidP="00744A1C">
      <w:pPr>
        <w:pStyle w:val="libNormal"/>
        <w:rPr>
          <w:lang w:bidi="fa-IR"/>
        </w:rPr>
      </w:pPr>
      <w:r>
        <w:rPr>
          <w:rtl/>
          <w:lang w:bidi="fa-IR"/>
        </w:rPr>
        <w:t xml:space="preserve">7899 / 2. عِدَّةٌ مِنْ أَصْحَابِنَا ، عَنْ سَهْلِ بْنِ زِيَادٍ ، عَنْ أَحْمَدَ بْنِ مُحَمَّدِ بْنِ أَبِي نَصْرٍ ، عَنْ مُفَضَّلِ بْنِ صَالِحٍ ، عَنْ </w:t>
      </w:r>
      <w:r w:rsidR="000475FD">
        <w:rPr>
          <w:rtl/>
          <w:lang w:bidi="fa-IR"/>
        </w:rPr>
        <w:t>أَبَانِ بْنِ تَغْلِبَ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لِلرَّجُلِ أَنْ يَغْسِلَ رَأْسَهُ بِالْخِطْمِيِّ </w:t>
      </w:r>
      <w:r w:rsidRPr="00D10E3C">
        <w:rPr>
          <w:rStyle w:val="libFootnotenumChar"/>
          <w:rtl/>
        </w:rPr>
        <w:t>(6)</w:t>
      </w:r>
      <w:r>
        <w:rPr>
          <w:rtl/>
          <w:lang w:bidi="fa-IR"/>
        </w:rPr>
        <w:t xml:space="preserve"> قَبْلَ أَنْ يَحْلِقَهُ؟</w:t>
      </w:r>
    </w:p>
    <w:p w:rsidR="00744A1C" w:rsidRDefault="00744A1C" w:rsidP="00744A1C">
      <w:pPr>
        <w:pStyle w:val="libNormal"/>
        <w:rPr>
          <w:lang w:bidi="fa-IR"/>
        </w:rPr>
      </w:pPr>
      <w:r>
        <w:rPr>
          <w:rtl/>
          <w:lang w:bidi="fa-IR"/>
        </w:rPr>
        <w:t xml:space="preserve">قَالَ : « يُقَصِّرُ ، وَيَغْسِلُهُ ». </w:t>
      </w:r>
      <w:r w:rsidRPr="00D10E3C">
        <w:rPr>
          <w:rStyle w:val="libFootnotenumChar"/>
          <w:rtl/>
        </w:rPr>
        <w:t>(7)</w:t>
      </w:r>
      <w:r>
        <w:rPr>
          <w:rtl/>
          <w:lang w:bidi="fa-IR"/>
        </w:rPr>
        <w:t>‌</w:t>
      </w:r>
    </w:p>
    <w:p w:rsidR="00744A1C" w:rsidRDefault="00744A1C" w:rsidP="00744A1C">
      <w:pPr>
        <w:pStyle w:val="libNormal"/>
        <w:rPr>
          <w:lang w:bidi="fa-IR"/>
        </w:rPr>
      </w:pPr>
      <w:r>
        <w:rPr>
          <w:rtl/>
          <w:lang w:bidi="fa-IR"/>
        </w:rPr>
        <w:t>7900 / 3. حُمَيْدُ بْنُ زِيَادٍ ، عَنِ ابْنِ سَمَاعَةَ ، عَنْ غَيْرِ وَاحِدٍ ، عَنْ أَبَانِ بْنِ عُثْمَانَ ، عَنْ عَبْدِ الرَّ</w:t>
      </w:r>
      <w:r w:rsidR="00F9398E">
        <w:rPr>
          <w:rtl/>
          <w:lang w:bidi="fa-IR"/>
        </w:rPr>
        <w:t>حْمنِ بْنِ أَبِي عَبْدِ اللهِ :</w:t>
      </w:r>
    </w:p>
    <w:p w:rsidR="00744A1C" w:rsidRDefault="00744A1C" w:rsidP="00EC495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رَسُولُ اللهِ </w:t>
      </w:r>
      <w:r w:rsidR="00EC495C" w:rsidRPr="00D53C2A">
        <w:rPr>
          <w:rStyle w:val="libAlaemChar"/>
          <w:rFonts w:eastAsiaTheme="minorHAnsi"/>
          <w:rtl/>
        </w:rPr>
        <w:t>صلى‌الله‌عليه‌وآله</w:t>
      </w:r>
      <w:r w:rsidR="00EC495C">
        <w:rPr>
          <w:rtl/>
          <w:lang w:bidi="fa-IR"/>
        </w:rPr>
        <w:t xml:space="preserve"> </w:t>
      </w:r>
      <w:r>
        <w:rPr>
          <w:rtl/>
          <w:lang w:bidi="fa-IR"/>
        </w:rPr>
        <w:t xml:space="preserve">يَوْمَ النَّحْرِ يَحْلِقُ رَأْسَهُ ، وَيُقَلِّمُ أَظْفَارَهُ ، وَيَأْخُذُ مِنْ شَارِبِهِ وَمِنْ أَطْرَافِ لِحْيَتِهِ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جن » : - « إنّ ».</w:t>
      </w:r>
    </w:p>
    <w:p w:rsidR="00744A1C" w:rsidRDefault="00E378DD" w:rsidP="00E378DD">
      <w:pPr>
        <w:pStyle w:val="libFootnote0"/>
        <w:rPr>
          <w:lang w:bidi="fa-IR"/>
        </w:rPr>
      </w:pPr>
      <w:r>
        <w:rPr>
          <w:rtl/>
          <w:lang w:bidi="fa-IR"/>
        </w:rPr>
        <w:t>(2).</w:t>
      </w:r>
      <w:r w:rsidR="00744A1C">
        <w:rPr>
          <w:rtl/>
          <w:lang w:bidi="fa-IR"/>
        </w:rPr>
        <w:t xml:space="preserve"> « لسان طلق » ، أي ماضي القول سريع النطق ، أو فصيح عذب المنطق ، أو ذو حِدَّة ، وهو كفلس وحبر وعنق وصرد وكتف وأمير. راجع : </w:t>
      </w:r>
      <w:r w:rsidR="00744A1C" w:rsidRPr="00877682">
        <w:rPr>
          <w:rStyle w:val="libFootnoteBoldChar"/>
          <w:rtl/>
        </w:rPr>
        <w:t>النهاية</w:t>
      </w:r>
      <w:r w:rsidR="00744A1C">
        <w:rPr>
          <w:rtl/>
          <w:lang w:bidi="fa-IR"/>
        </w:rPr>
        <w:t xml:space="preserve"> ، ج 3 ، ص 134 ؛ </w:t>
      </w:r>
      <w:r w:rsidR="00744A1C" w:rsidRPr="00E978C3">
        <w:rPr>
          <w:rStyle w:val="libFootnoteBoldChar"/>
          <w:rtl/>
        </w:rPr>
        <w:t>المصباح المنير</w:t>
      </w:r>
      <w:r w:rsidR="00744A1C">
        <w:rPr>
          <w:rtl/>
          <w:lang w:bidi="fa-IR"/>
        </w:rPr>
        <w:t xml:space="preserve"> ، ص 376 ؛ </w:t>
      </w:r>
      <w:r w:rsidR="00744A1C" w:rsidRPr="008A57EB">
        <w:rPr>
          <w:rStyle w:val="libFootnoteBoldChar"/>
          <w:rtl/>
        </w:rPr>
        <w:t>القاموس المحيط</w:t>
      </w:r>
      <w:r w:rsidR="00744A1C">
        <w:rPr>
          <w:rtl/>
          <w:lang w:bidi="fa-IR"/>
        </w:rPr>
        <w:t xml:space="preserve"> ، ج 2 ، ص 1200 ( طلق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يلبّي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يعني يقول : لبّيك من فلان ، كأنّه كناية عن مطاوعتها له ودخولها تحت أمره وتسخيره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الفقيه</w:t>
      </w:r>
      <w:r w:rsidR="00744A1C">
        <w:rPr>
          <w:rtl/>
          <w:lang w:bidi="fa-IR"/>
        </w:rPr>
        <w:t xml:space="preserve"> ، ج 2 ، ص 214 ، ح 2198 ، مرسلاً </w:t>
      </w:r>
      <w:r w:rsidR="001950CA">
        <w:rPr>
          <w:rFonts w:hint="cs"/>
          <w:rtl/>
          <w:lang w:bidi="fa-IR"/>
        </w:rPr>
        <w:t>.</w:t>
      </w:r>
      <w:r w:rsidR="00744A1C" w:rsidRPr="00C24F9C">
        <w:rPr>
          <w:rStyle w:val="libFootnoteBoldChar"/>
          <w:rtl/>
        </w:rPr>
        <w:t>الوافي</w:t>
      </w:r>
      <w:r w:rsidR="00744A1C">
        <w:rPr>
          <w:rtl/>
          <w:lang w:bidi="fa-IR"/>
        </w:rPr>
        <w:t xml:space="preserve"> ، ج 14 ، ص 1199 ، ح 14077 ؛ </w:t>
      </w:r>
      <w:r w:rsidR="00744A1C" w:rsidRPr="00C24F9C">
        <w:rPr>
          <w:rStyle w:val="libFootnoteBoldChar"/>
          <w:rtl/>
        </w:rPr>
        <w:t>الوسائل</w:t>
      </w:r>
      <w:r w:rsidR="00744A1C">
        <w:rPr>
          <w:rtl/>
          <w:lang w:bidi="fa-IR"/>
        </w:rPr>
        <w:t xml:space="preserve"> ، ج 14 ، ص 220 ، ح 19031.</w:t>
      </w:r>
    </w:p>
    <w:p w:rsidR="00744A1C" w:rsidRDefault="00E378DD" w:rsidP="00E378DD">
      <w:pPr>
        <w:pStyle w:val="libFootnote0"/>
        <w:rPr>
          <w:lang w:bidi="fa-IR"/>
        </w:rPr>
      </w:pPr>
      <w:r>
        <w:rPr>
          <w:rtl/>
          <w:lang w:bidi="fa-IR"/>
        </w:rPr>
        <w:t>(6).</w:t>
      </w:r>
      <w:r w:rsidR="00744A1C">
        <w:rPr>
          <w:rtl/>
          <w:lang w:bidi="fa-IR"/>
        </w:rPr>
        <w:t xml:space="preserve"> الخطميّ - بكسر الخاء وفتحها وسكون الطاء - : الذي يغسل به الرأس ، أو ضرب من النبات يغسل به. راجع : </w:t>
      </w:r>
      <w:r w:rsidR="00744A1C" w:rsidRPr="00E978C3">
        <w:rPr>
          <w:rStyle w:val="libFootnoteBoldChar"/>
          <w:rtl/>
        </w:rPr>
        <w:t>الصحاح</w:t>
      </w:r>
      <w:r w:rsidR="00744A1C">
        <w:rPr>
          <w:rtl/>
          <w:lang w:bidi="fa-IR"/>
        </w:rPr>
        <w:t xml:space="preserve"> ، ج 5 ، ص 1915 ؛ </w:t>
      </w:r>
      <w:r w:rsidR="00744A1C" w:rsidRPr="00877682">
        <w:rPr>
          <w:rStyle w:val="libFootnoteBoldChar"/>
          <w:rtl/>
        </w:rPr>
        <w:t>لسان العرب</w:t>
      </w:r>
      <w:r w:rsidR="00744A1C">
        <w:rPr>
          <w:rtl/>
          <w:lang w:bidi="fa-IR"/>
        </w:rPr>
        <w:t xml:space="preserve"> ، ج 12 ، ص 188 ( خطم ).</w:t>
      </w:r>
    </w:p>
    <w:p w:rsidR="00744A1C" w:rsidRDefault="00E378DD" w:rsidP="00F221D6">
      <w:pPr>
        <w:pStyle w:val="libFootnote0"/>
        <w:rPr>
          <w:lang w:bidi="fa-IR"/>
        </w:rPr>
      </w:pPr>
      <w:r>
        <w:rPr>
          <w:rtl/>
          <w:lang w:bidi="fa-IR"/>
        </w:rPr>
        <w:t>(7).</w:t>
      </w:r>
      <w:r w:rsidR="00744A1C">
        <w:rPr>
          <w:rtl/>
          <w:lang w:bidi="fa-IR"/>
        </w:rPr>
        <w:t xml:space="preserve"> </w:t>
      </w:r>
      <w:r w:rsidR="00744A1C" w:rsidRPr="00877682">
        <w:rPr>
          <w:rStyle w:val="libFootnoteBoldChar"/>
          <w:rtl/>
        </w:rPr>
        <w:t>قرب الإسناد</w:t>
      </w:r>
      <w:r w:rsidR="00744A1C">
        <w:rPr>
          <w:rtl/>
          <w:lang w:bidi="fa-IR"/>
        </w:rPr>
        <w:t xml:space="preserve"> ، ص 238 ، ح 936 ، بسند آخر عن موسى بن جعفر </w:t>
      </w:r>
      <w:r w:rsidR="0061079A" w:rsidRPr="0061079A">
        <w:rPr>
          <w:rStyle w:val="libFootnoteAlaemChar"/>
          <w:rtl/>
        </w:rPr>
        <w:t>عليه‌السلام</w:t>
      </w:r>
      <w:r w:rsidR="00D10E3C">
        <w:rPr>
          <w:rtl/>
          <w:lang w:bidi="fa-IR"/>
        </w:rPr>
        <w:t xml:space="preserve"> </w:t>
      </w:r>
      <w:r w:rsidR="00744A1C">
        <w:rPr>
          <w:rtl/>
          <w:lang w:bidi="fa-IR"/>
        </w:rPr>
        <w:t>، مع اختلاف</w:t>
      </w:r>
      <w:r w:rsidR="00F221D6">
        <w:rPr>
          <w:rFonts w:hint="cs"/>
          <w:rtl/>
          <w:lang w:bidi="fa-IR"/>
        </w:rPr>
        <w:t>.</w:t>
      </w:r>
      <w:r w:rsidR="00744A1C" w:rsidRPr="00C24F9C">
        <w:rPr>
          <w:rStyle w:val="libFootnoteBoldChar"/>
          <w:rtl/>
        </w:rPr>
        <w:t>الوافي</w:t>
      </w:r>
      <w:r w:rsidR="00744A1C">
        <w:rPr>
          <w:rtl/>
          <w:lang w:bidi="fa-IR"/>
        </w:rPr>
        <w:t xml:space="preserve"> ، ج 14 ، ص 1208 ، ح 14105 ؛ </w:t>
      </w:r>
      <w:r w:rsidR="00744A1C" w:rsidRPr="00C24F9C">
        <w:rPr>
          <w:rStyle w:val="libFootnoteBoldChar"/>
          <w:rtl/>
        </w:rPr>
        <w:t>الوسائل</w:t>
      </w:r>
      <w:r w:rsidR="00744A1C">
        <w:rPr>
          <w:rtl/>
          <w:lang w:bidi="fa-IR"/>
        </w:rPr>
        <w:t xml:space="preserve"> ، ج 14 ، ص 239 ، ح 19089.</w:t>
      </w:r>
    </w:p>
    <w:p w:rsidR="00744A1C" w:rsidRDefault="00E378DD" w:rsidP="005C4E10">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2 ، ص 507 ، ح 3095 ، من دون الإسناد إلى المعصوم </w:t>
      </w:r>
      <w:r w:rsidR="00042DE2" w:rsidRPr="0061079A">
        <w:rPr>
          <w:rStyle w:val="libFootnoteAlaemChar"/>
          <w:rtl/>
        </w:rPr>
        <w:t>عليه‌السلام</w:t>
      </w:r>
      <w:r w:rsidR="00042DE2">
        <w:rPr>
          <w:rtl/>
          <w:lang w:bidi="fa-IR"/>
        </w:rPr>
        <w:t xml:space="preserve"> </w:t>
      </w:r>
      <w:r w:rsidR="00744A1C">
        <w:rPr>
          <w:rtl/>
          <w:lang w:bidi="fa-IR"/>
        </w:rPr>
        <w:t xml:space="preserve">، من قوله : « كان رسول الله </w:t>
      </w:r>
      <w:r w:rsidR="00042DE2" w:rsidRPr="00042DE2">
        <w:rPr>
          <w:rStyle w:val="libFootnoteAlaemChar"/>
          <w:rFonts w:eastAsiaTheme="minorHAnsi"/>
          <w:rtl/>
        </w:rPr>
        <w:t>صلى‌الله‌عليه‌وآله</w:t>
      </w:r>
      <w:r w:rsidR="00042DE2">
        <w:rPr>
          <w:rtl/>
          <w:lang w:bidi="fa-IR"/>
        </w:rPr>
        <w:t xml:space="preserve"> </w:t>
      </w:r>
      <w:r w:rsidR="00744A1C">
        <w:rPr>
          <w:rtl/>
          <w:lang w:bidi="fa-IR"/>
        </w:rPr>
        <w:t>»</w:t>
      </w:r>
      <w:r w:rsidR="005C4E10">
        <w:rPr>
          <w:rFonts w:hint="cs"/>
          <w:rtl/>
          <w:lang w:bidi="fa-IR"/>
        </w:rPr>
        <w:t>.</w:t>
      </w:r>
      <w:r w:rsidR="00744A1C" w:rsidRPr="00C24F9C">
        <w:rPr>
          <w:rStyle w:val="libFootnoteBoldChar"/>
          <w:rtl/>
        </w:rPr>
        <w:t>الوافي</w:t>
      </w:r>
      <w:r w:rsidR="00744A1C">
        <w:rPr>
          <w:rtl/>
          <w:lang w:bidi="fa-IR"/>
        </w:rPr>
        <w:t xml:space="preserve"> ، </w:t>
      </w:r>
      <w:r w:rsidR="00E063EF">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7901 / 4. مُحَمَّدُ بْنُ يَحْيى ، عَنْ أَحْمَدَ بْنِ مُحَمَّدٍ ، عَنْ عَلِيِّ بْنِ الْحَكَمِ ، عَنْ عَلِيِّ بْنِ أَبِي حَمْزَةَ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 إِذَا اشْتَرَيْتَ أُضْحِيَّتَكَ ، وَوَزَنْتَ ثَمَنَهَا </w:t>
      </w:r>
      <w:r w:rsidRPr="00D10E3C">
        <w:rPr>
          <w:rStyle w:val="libFootnotenumChar"/>
          <w:rtl/>
        </w:rPr>
        <w:t>(1)</w:t>
      </w:r>
      <w:r>
        <w:rPr>
          <w:rtl/>
          <w:lang w:bidi="fa-IR"/>
        </w:rPr>
        <w:t xml:space="preserve"> ، وَصَارَتْ فِي رَحْلِكَ ، فَقَدْ بَلَغَ الْهَدْيُ مَحِلَّهُ </w:t>
      </w:r>
      <w:r w:rsidRPr="00D10E3C">
        <w:rPr>
          <w:rStyle w:val="libFootnotenumChar"/>
          <w:rtl/>
        </w:rPr>
        <w:t>(2)</w:t>
      </w:r>
      <w:r>
        <w:rPr>
          <w:rtl/>
          <w:lang w:bidi="fa-IR"/>
        </w:rPr>
        <w:t xml:space="preserve"> ؛ فَإِنْ أَحْبَبْتَ أَنْ تَحْلِقَ ، فَاحْلِقْ ». </w:t>
      </w:r>
      <w:r w:rsidRPr="00D10E3C">
        <w:rPr>
          <w:rStyle w:val="libFootnotenumChar"/>
          <w:rtl/>
        </w:rPr>
        <w:t>(3)</w:t>
      </w:r>
    </w:p>
    <w:p w:rsidR="00744A1C" w:rsidRDefault="00744A1C" w:rsidP="00744A1C">
      <w:pPr>
        <w:pStyle w:val="libNormal"/>
        <w:rPr>
          <w:lang w:bidi="fa-IR"/>
        </w:rPr>
      </w:pPr>
      <w:r>
        <w:rPr>
          <w:rtl/>
          <w:lang w:bidi="fa-IR"/>
        </w:rPr>
        <w:t xml:space="preserve">7902 / 5. وَبِإِسْنَادِهِ </w:t>
      </w:r>
      <w:r w:rsidRPr="00D10E3C">
        <w:rPr>
          <w:rStyle w:val="libFootnotenumChar"/>
          <w:rtl/>
        </w:rPr>
        <w:t>(4)</w:t>
      </w:r>
      <w:r>
        <w:rPr>
          <w:rtl/>
          <w:lang w:bidi="fa-IR"/>
        </w:rPr>
        <w:t xml:space="preserve"> ، عَنْ عَلِيِّ بْنِ أَبِي حَمْزَةَ ، عَنْ أَبِي بَصِيرٍ ، قَال</w:t>
      </w:r>
      <w:r w:rsidR="00C72508">
        <w:rPr>
          <w:rtl/>
          <w:lang w:bidi="fa-IR"/>
        </w:rPr>
        <w:t>َ :</w:t>
      </w:r>
    </w:p>
    <w:p w:rsidR="00744A1C" w:rsidRDefault="00744A1C" w:rsidP="00744A1C">
      <w:pPr>
        <w:pStyle w:val="libNormal"/>
        <w:rPr>
          <w:lang w:bidi="fa-IR"/>
        </w:rPr>
      </w:pPr>
      <w:r>
        <w:rPr>
          <w:rtl/>
          <w:lang w:bidi="fa-IR"/>
        </w:rPr>
        <w:t xml:space="preserve">سَأَلْتُهُ عَنْ رَجُلٍ جَهِلَ أَنْ يُقَصِّرَ مِنْ رَأْسِهِ </w:t>
      </w:r>
      <w:r w:rsidRPr="00D10E3C">
        <w:rPr>
          <w:rStyle w:val="libFootnotenumChar"/>
          <w:rtl/>
        </w:rPr>
        <w:t>(5)</w:t>
      </w:r>
      <w:r>
        <w:rPr>
          <w:rtl/>
          <w:lang w:bidi="fa-IR"/>
        </w:rPr>
        <w:t xml:space="preserve"> أَوْ يَحْلِقَ حَتّى ارْتَحَلَ مِنْ مِنًى؟</w:t>
      </w:r>
    </w:p>
    <w:p w:rsidR="00744A1C" w:rsidRDefault="00744A1C" w:rsidP="00744A1C">
      <w:pPr>
        <w:pStyle w:val="libNormal"/>
        <w:rPr>
          <w:lang w:bidi="fa-IR"/>
        </w:rPr>
      </w:pPr>
      <w:r>
        <w:rPr>
          <w:rtl/>
          <w:lang w:bidi="fa-IR"/>
        </w:rPr>
        <w:t xml:space="preserve">قَالَ : « فَلْيَرْجِعْ إِلى مِنًى حَتّى يَحْلِقَ بِهَا شَعْرَهُ </w:t>
      </w:r>
      <w:r w:rsidRPr="00D10E3C">
        <w:rPr>
          <w:rStyle w:val="libFootnotenumChar"/>
          <w:rtl/>
        </w:rPr>
        <w:t>(6)</w:t>
      </w:r>
      <w:r>
        <w:rPr>
          <w:rtl/>
          <w:lang w:bidi="fa-IR"/>
        </w:rPr>
        <w:t xml:space="preserve"> ، أَوْ يُقَصِّرَ ، وَعَلَى الصَّرُورَةِ </w:t>
      </w:r>
      <w:r w:rsidRPr="00D10E3C">
        <w:rPr>
          <w:rStyle w:val="libFootnotenumChar"/>
          <w:rtl/>
        </w:rPr>
        <w:t>(7)</w:t>
      </w:r>
      <w:r>
        <w:rPr>
          <w:rtl/>
          <w:lang w:bidi="fa-IR"/>
        </w:rPr>
        <w:t xml:space="preserve"> أَنْ يَحْلِقَ </w:t>
      </w:r>
      <w:r w:rsidRPr="00D10E3C">
        <w:rPr>
          <w:rStyle w:val="libFootnotenumChar"/>
          <w:rtl/>
        </w:rPr>
        <w:t>(8)</w:t>
      </w:r>
      <w:r>
        <w:rPr>
          <w:rtl/>
          <w:lang w:bidi="fa-IR"/>
        </w:rPr>
        <w:t>».</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E2024E" w:rsidP="00D10E3C">
      <w:pPr>
        <w:pStyle w:val="libFootnote0"/>
        <w:rPr>
          <w:lang w:bidi="fa-IR"/>
        </w:rPr>
      </w:pPr>
      <w:r>
        <w:rPr>
          <w:rFonts w:hint="cs"/>
          <w:rtl/>
          <w:lang w:bidi="fa-IR"/>
        </w:rPr>
        <w:t xml:space="preserve">= </w:t>
      </w:r>
      <w:r w:rsidR="00744A1C">
        <w:rPr>
          <w:rtl/>
          <w:lang w:bidi="fa-IR"/>
        </w:rPr>
        <w:t xml:space="preserve">ج 14 ، ص 1199 ، ح 14076 ؛ </w:t>
      </w:r>
      <w:r w:rsidR="00744A1C" w:rsidRPr="00C24F9C">
        <w:rPr>
          <w:rStyle w:val="libFootnoteBoldChar"/>
          <w:rtl/>
        </w:rPr>
        <w:t>الوسائل</w:t>
      </w:r>
      <w:r w:rsidR="00744A1C">
        <w:rPr>
          <w:rtl/>
          <w:lang w:bidi="fa-IR"/>
        </w:rPr>
        <w:t xml:space="preserve"> ، ج 14 ، ص 214 ، ح 19016 ؛ وص 246 ، ح 19110.</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 « قمطتها » بدل « وزنت ثمنها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18 ، ص 186 : « قوله </w:t>
      </w:r>
      <w:r w:rsidR="0061079A" w:rsidRPr="0061079A">
        <w:rPr>
          <w:rStyle w:val="libFootnoteAlaemChar"/>
          <w:rtl/>
        </w:rPr>
        <w:t>عليه‌السلام</w:t>
      </w:r>
      <w:r w:rsidR="00D10E3C">
        <w:rPr>
          <w:rtl/>
          <w:lang w:bidi="fa-IR"/>
        </w:rPr>
        <w:t xml:space="preserve"> </w:t>
      </w:r>
      <w:r w:rsidR="00744A1C">
        <w:rPr>
          <w:rtl/>
          <w:lang w:bidi="fa-IR"/>
        </w:rPr>
        <w:t xml:space="preserve">: فقد بلغ الهدي محلّه ، يدلّ على جواز الحلق بعد شراء الهدي وربطه في منزله ، كما هو الظاهر من الآية ، حيث قال تعالى : </w:t>
      </w:r>
      <w:r w:rsidR="00744A1C" w:rsidRPr="000F35CE">
        <w:rPr>
          <w:rStyle w:val="libFootnoteAlaemChar"/>
          <w:rtl/>
        </w:rPr>
        <w:t>(</w:t>
      </w:r>
      <w:r w:rsidR="004E7006">
        <w:rPr>
          <w:rStyle w:val="libFootnoteAieChar"/>
          <w:rtl/>
        </w:rPr>
        <w:t xml:space="preserve"> وَلا تَحْلِقُوا رُؤُسَك</w:t>
      </w:r>
      <w:r w:rsidR="004E7006">
        <w:rPr>
          <w:rStyle w:val="libFootnoteAieChar"/>
          <w:rFonts w:hint="cs"/>
          <w:rtl/>
        </w:rPr>
        <w:t>َ</w:t>
      </w:r>
      <w:r w:rsidR="00744A1C" w:rsidRPr="000F35CE">
        <w:rPr>
          <w:rStyle w:val="libFootnoteAieChar"/>
          <w:rtl/>
        </w:rPr>
        <w:t>مْ حَتّى يَبْلُغَ الْهَدْيُ مَحِلَّهُ</w:t>
      </w:r>
      <w:r w:rsidR="00744A1C">
        <w:rPr>
          <w:rtl/>
          <w:lang w:bidi="fa-IR"/>
        </w:rPr>
        <w:t xml:space="preserve"> </w:t>
      </w:r>
      <w:r w:rsidR="00744A1C" w:rsidRPr="000F35CE">
        <w:rPr>
          <w:rStyle w:val="libFootnoteAlaemChar"/>
          <w:rtl/>
        </w:rPr>
        <w:t>)</w:t>
      </w:r>
      <w:r w:rsidR="00744A1C">
        <w:rPr>
          <w:rtl/>
          <w:lang w:bidi="fa-IR"/>
        </w:rPr>
        <w:t xml:space="preserve"> [ البقرة </w:t>
      </w:r>
      <w:r>
        <w:rPr>
          <w:rtl/>
          <w:lang w:bidi="fa-IR"/>
        </w:rPr>
        <w:t>(2).</w:t>
      </w:r>
      <w:r w:rsidR="00744A1C">
        <w:rPr>
          <w:rtl/>
          <w:lang w:bidi="fa-IR"/>
        </w:rPr>
        <w:t xml:space="preserve"> : 196 ] وبه قال الشيخ </w:t>
      </w:r>
      <w:r w:rsidR="00877682" w:rsidRPr="00877682">
        <w:rPr>
          <w:rStyle w:val="libFootnoteAlaemChar"/>
          <w:rtl/>
        </w:rPr>
        <w:t>رحمه‌الله</w:t>
      </w:r>
      <w:r w:rsidR="00744A1C">
        <w:rPr>
          <w:rtl/>
          <w:lang w:bidi="fa-IR"/>
        </w:rPr>
        <w:t>في المبسوط و</w:t>
      </w:r>
      <w:r w:rsidR="00744A1C" w:rsidRPr="00877682">
        <w:rPr>
          <w:rStyle w:val="libFootnoteBoldChar"/>
          <w:rtl/>
        </w:rPr>
        <w:t>النهاية</w:t>
      </w:r>
      <w:r w:rsidR="00744A1C">
        <w:rPr>
          <w:rtl/>
          <w:lang w:bidi="fa-IR"/>
        </w:rPr>
        <w:t xml:space="preserve"> </w:t>
      </w:r>
      <w:r w:rsidR="00744A1C" w:rsidRPr="0061079A">
        <w:rPr>
          <w:rStyle w:val="libFootnoteBoldChar"/>
          <w:rtl/>
        </w:rPr>
        <w:t>والتهذيب</w:t>
      </w:r>
      <w:r w:rsidR="00744A1C">
        <w:rPr>
          <w:rtl/>
          <w:lang w:bidi="fa-IR"/>
        </w:rPr>
        <w:t xml:space="preserve"> ، والمشهور عدم جوازه قبل الذبح والنحر ، وهو أحوط ». وراجع : </w:t>
      </w:r>
      <w:r w:rsidR="00744A1C" w:rsidRPr="00877682">
        <w:rPr>
          <w:rStyle w:val="libFootnoteBoldChar"/>
          <w:rtl/>
        </w:rPr>
        <w:t>النهاية</w:t>
      </w:r>
      <w:r w:rsidR="00744A1C">
        <w:rPr>
          <w:rtl/>
          <w:lang w:bidi="fa-IR"/>
        </w:rPr>
        <w:t xml:space="preserve"> ، ص 262 ؛ المبسوط ، ج 1 ، ص 374 ؛ </w:t>
      </w:r>
      <w:r w:rsidR="00744A1C" w:rsidRPr="00C24F9C">
        <w:rPr>
          <w:rStyle w:val="libFootnoteBoldChar"/>
          <w:rtl/>
        </w:rPr>
        <w:t>التهذيب</w:t>
      </w:r>
      <w:r w:rsidR="00744A1C">
        <w:rPr>
          <w:rtl/>
          <w:lang w:bidi="fa-IR"/>
        </w:rPr>
        <w:t xml:space="preserve"> ، ج 5 ، ص 235 ، ذيل ح 793.</w:t>
      </w:r>
    </w:p>
    <w:p w:rsidR="00744A1C" w:rsidRDefault="00E378DD" w:rsidP="004E7006">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218 ، ح 735 ، بسند آخر عن عبدصالح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بلغ الهدي محلّه ». وفي </w:t>
      </w:r>
      <w:r w:rsidR="00744A1C" w:rsidRPr="00C24F9C">
        <w:rPr>
          <w:rStyle w:val="libFootnoteBoldChar"/>
          <w:rtl/>
        </w:rPr>
        <w:t>التهذيب</w:t>
      </w:r>
      <w:r w:rsidR="00744A1C">
        <w:rPr>
          <w:rtl/>
          <w:lang w:bidi="fa-IR"/>
        </w:rPr>
        <w:t xml:space="preserve"> ، ج 5 ، ص 235 ، ح 794 ؛ </w:t>
      </w:r>
      <w:r w:rsidR="00744A1C" w:rsidRPr="00C24F9C">
        <w:rPr>
          <w:rStyle w:val="libFootnoteBoldChar"/>
          <w:rtl/>
        </w:rPr>
        <w:t>والاستبصار</w:t>
      </w:r>
      <w:r w:rsidR="00744A1C">
        <w:rPr>
          <w:rtl/>
          <w:lang w:bidi="fa-IR"/>
        </w:rPr>
        <w:t xml:space="preserve"> ، ج 2 ، ص 284 ، ح 1007 ، بسند آخر عن أبي عبدالله </w:t>
      </w:r>
      <w:r w:rsidR="0061079A" w:rsidRPr="0061079A">
        <w:rPr>
          <w:rStyle w:val="libFootnoteAlaemChar"/>
          <w:rtl/>
        </w:rPr>
        <w:t>عليه‌السلام</w:t>
      </w:r>
      <w:r w:rsidR="004E7006">
        <w:rPr>
          <w:rFonts w:hint="cs"/>
          <w:rtl/>
          <w:lang w:bidi="fa-IR"/>
        </w:rPr>
        <w:t>.</w:t>
      </w:r>
      <w:r w:rsidR="00744A1C" w:rsidRPr="00C24F9C">
        <w:rPr>
          <w:rStyle w:val="libFootnoteBoldChar"/>
          <w:rtl/>
        </w:rPr>
        <w:t>الوافي</w:t>
      </w:r>
      <w:r w:rsidR="00744A1C">
        <w:rPr>
          <w:rtl/>
          <w:lang w:bidi="fa-IR"/>
        </w:rPr>
        <w:t xml:space="preserve"> ، ج 14 ، ص 1200 ، ح 14078 ؛ </w:t>
      </w:r>
      <w:r w:rsidR="00744A1C" w:rsidRPr="00C24F9C">
        <w:rPr>
          <w:rStyle w:val="libFootnoteBoldChar"/>
          <w:rtl/>
        </w:rPr>
        <w:t>الوسائل</w:t>
      </w:r>
      <w:r w:rsidR="00744A1C">
        <w:rPr>
          <w:rtl/>
          <w:lang w:bidi="fa-IR"/>
        </w:rPr>
        <w:t xml:space="preserve"> ، ج 14 ، ص 157 ، ذيل ح 18860.</w:t>
      </w:r>
    </w:p>
    <w:p w:rsidR="00744A1C" w:rsidRDefault="00E378DD" w:rsidP="00E378DD">
      <w:pPr>
        <w:pStyle w:val="libFootnote0"/>
        <w:rPr>
          <w:lang w:bidi="fa-IR"/>
        </w:rPr>
      </w:pPr>
      <w:r>
        <w:rPr>
          <w:rtl/>
          <w:lang w:bidi="fa-IR"/>
        </w:rPr>
        <w:t>(4).</w:t>
      </w:r>
      <w:r w:rsidR="00744A1C">
        <w:rPr>
          <w:rtl/>
          <w:lang w:bidi="fa-IR"/>
        </w:rPr>
        <w:t xml:space="preserve"> الظاهر أنّ المراد من بإسناده ، هو السند المتقدّم إلى عليّ بن أبي حمزة.</w:t>
      </w:r>
    </w:p>
    <w:p w:rsidR="00744A1C" w:rsidRDefault="00E378DD" w:rsidP="00E378DD">
      <w:pPr>
        <w:pStyle w:val="libFootnote0"/>
        <w:rPr>
          <w:lang w:bidi="fa-IR"/>
        </w:rPr>
      </w:pPr>
      <w:r>
        <w:rPr>
          <w:rtl/>
          <w:lang w:bidi="fa-IR"/>
        </w:rPr>
        <w:t>(5).</w:t>
      </w:r>
      <w:r w:rsidR="00744A1C">
        <w:rPr>
          <w:rtl/>
          <w:lang w:bidi="fa-IR"/>
        </w:rPr>
        <w:t xml:space="preserve"> في « جن » : « شعر رأسه ». وفي </w:t>
      </w:r>
      <w:r w:rsidR="00744A1C" w:rsidRPr="00C24F9C">
        <w:rPr>
          <w:rStyle w:val="libFootnoteBoldChar"/>
          <w:rtl/>
        </w:rPr>
        <w:t>الوافي</w:t>
      </w:r>
      <w:r w:rsidR="00744A1C">
        <w:rPr>
          <w:rtl/>
          <w:lang w:bidi="fa-IR"/>
        </w:rPr>
        <w:t xml:space="preserve"> : « شعره » كلاهما بدل « رأسه ».</w:t>
      </w:r>
    </w:p>
    <w:p w:rsidR="00744A1C" w:rsidRDefault="00E378DD" w:rsidP="00E378DD">
      <w:pPr>
        <w:pStyle w:val="libFootnote0"/>
        <w:rPr>
          <w:lang w:bidi="fa-IR"/>
        </w:rPr>
      </w:pPr>
      <w:r>
        <w:rPr>
          <w:rtl/>
          <w:lang w:bidi="fa-IR"/>
        </w:rPr>
        <w:t>(6).</w:t>
      </w:r>
      <w:r w:rsidR="00744A1C">
        <w:rPr>
          <w:rtl/>
          <w:lang w:bidi="fa-IR"/>
        </w:rPr>
        <w:t xml:space="preserve"> في « بخ ، بف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ح 813 </w:t>
      </w:r>
      <w:r w:rsidR="00744A1C" w:rsidRPr="00EF7330">
        <w:rPr>
          <w:rtl/>
        </w:rPr>
        <w:t>والاستبصار</w:t>
      </w:r>
      <w:r w:rsidR="00744A1C">
        <w:rPr>
          <w:rtl/>
          <w:lang w:bidi="fa-IR"/>
        </w:rPr>
        <w:t xml:space="preserve"> ، ح 1012 : « شعره بها ». وفي </w:t>
      </w:r>
      <w:r w:rsidR="00744A1C" w:rsidRPr="00EF7330">
        <w:rPr>
          <w:rtl/>
        </w:rPr>
        <w:t>الوافي</w:t>
      </w:r>
      <w:r w:rsidR="00744A1C">
        <w:rPr>
          <w:rtl/>
          <w:lang w:bidi="fa-IR"/>
        </w:rPr>
        <w:t xml:space="preserve"> : « رأسه بها ».</w:t>
      </w:r>
    </w:p>
    <w:p w:rsidR="00744A1C" w:rsidRDefault="00E378DD" w:rsidP="00E378DD">
      <w:pPr>
        <w:pStyle w:val="libFootnote0"/>
        <w:rPr>
          <w:lang w:bidi="fa-IR"/>
        </w:rPr>
      </w:pPr>
      <w:r>
        <w:rPr>
          <w:rtl/>
          <w:lang w:bidi="fa-IR"/>
        </w:rPr>
        <w:t>(7).</w:t>
      </w:r>
      <w:r w:rsidR="00744A1C">
        <w:rPr>
          <w:rtl/>
          <w:lang w:bidi="fa-IR"/>
        </w:rPr>
        <w:t xml:space="preserve"> « الصرورة » : الذي لم يحجّ قطّ. </w:t>
      </w:r>
      <w:r w:rsidR="00744A1C" w:rsidRPr="00E978C3">
        <w:rPr>
          <w:rStyle w:val="libFootnoteBoldChar"/>
          <w:rtl/>
        </w:rPr>
        <w:t>الصحاح</w:t>
      </w:r>
      <w:r w:rsidR="00744A1C">
        <w:rPr>
          <w:rtl/>
          <w:lang w:bidi="fa-IR"/>
        </w:rPr>
        <w:t xml:space="preserve"> ، ج 2 ، ص 710 ( صرر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يدلّ على أنّه لابدّ للجاهل أن يرجع إلى منى للحلق والتقصير ، ولعلّه محمول على الإمكان ، ويدلّ على تعيّن الحلق على الصرورة ، وحمل في المشهور على تأكّد الاستحباب ، وقال الشيخ ب</w:t>
      </w:r>
      <w:r w:rsidR="00097CCA">
        <w:rPr>
          <w:rtl/>
          <w:lang w:bidi="fa-IR"/>
        </w:rPr>
        <w:t>تعيّنه على الصرورة وعلى الملبّد</w:t>
      </w:r>
      <w:r w:rsidR="00744A1C">
        <w:rPr>
          <w:rtl/>
          <w:lang w:bidi="fa-IR"/>
        </w:rPr>
        <w:t>».</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241 ، ح 813 ؛ </w:t>
      </w:r>
      <w:r w:rsidR="00744A1C" w:rsidRPr="00C24F9C">
        <w:rPr>
          <w:rStyle w:val="libFootnoteBoldChar"/>
          <w:rtl/>
        </w:rPr>
        <w:t>والاستبصار</w:t>
      </w:r>
      <w:r w:rsidR="00744A1C">
        <w:rPr>
          <w:rtl/>
          <w:lang w:bidi="fa-IR"/>
        </w:rPr>
        <w:t xml:space="preserve"> ، ج 2 ، ص 285 ، ح 1012 ، معلّقاً عن الكليني. </w:t>
      </w:r>
      <w:r w:rsidR="00744A1C" w:rsidRPr="00C24F9C">
        <w:rPr>
          <w:rStyle w:val="libFootnoteBoldChar"/>
          <w:rtl/>
        </w:rPr>
        <w:t>الفقيه</w:t>
      </w:r>
      <w:r w:rsidR="00744A1C">
        <w:rPr>
          <w:rtl/>
          <w:lang w:bidi="fa-IR"/>
        </w:rPr>
        <w:t xml:space="preserve"> ، ج 2 ، </w:t>
      </w:r>
      <w:r w:rsidR="00EF7330">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7903 / 6. عَلِيُّ بْنُ إِبْرَاهِيمَ ، عَنْ أَبِيهِ ، عَنِ ابْنِ أَبِي عُمَيْرٍ ، ع</w:t>
      </w:r>
      <w:r w:rsidR="00190C4A">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يَنْبَغِي لِلصَّرُورَةِ أَنْ يَحْلِقَ ؛ وَإِنْ كَانَ قَدْ حَجَّ ، فَإِنْ شَاءَ قَصَّرَ ، وَإِنْ شَاءَ حَلَقَ ».</w:t>
      </w:r>
    </w:p>
    <w:p w:rsidR="00744A1C" w:rsidRDefault="00744A1C" w:rsidP="00744A1C">
      <w:pPr>
        <w:pStyle w:val="libNormal"/>
        <w:rPr>
          <w:lang w:bidi="fa-IR"/>
        </w:rPr>
      </w:pPr>
      <w:r>
        <w:rPr>
          <w:rtl/>
          <w:lang w:bidi="fa-IR"/>
        </w:rPr>
        <w:t xml:space="preserve">قَالَ </w:t>
      </w:r>
      <w:r w:rsidRPr="00D10E3C">
        <w:rPr>
          <w:rStyle w:val="libFootnotenumChar"/>
          <w:rtl/>
        </w:rPr>
        <w:t>(1)</w:t>
      </w:r>
      <w:r>
        <w:rPr>
          <w:rtl/>
          <w:lang w:bidi="fa-IR"/>
        </w:rPr>
        <w:t xml:space="preserve"> : « وَإِذَا لَبَّدَ شَعْرَهُ أَوْ عَقَصَهُ ، فَإِنَّ عَلَيْهِ الْحَلْقَ ، وَلَيْسَ لَهُ التَّقْصِيرُ ». </w:t>
      </w:r>
      <w:r w:rsidRPr="00D10E3C">
        <w:rPr>
          <w:rStyle w:val="libFootnotenumChar"/>
          <w:rtl/>
        </w:rPr>
        <w:t>(2)</w:t>
      </w:r>
    </w:p>
    <w:p w:rsidR="00744A1C" w:rsidRDefault="00744A1C" w:rsidP="00744A1C">
      <w:pPr>
        <w:pStyle w:val="libNormal"/>
        <w:rPr>
          <w:lang w:bidi="fa-IR"/>
        </w:rPr>
      </w:pPr>
      <w:r>
        <w:rPr>
          <w:rtl/>
          <w:lang w:bidi="fa-IR"/>
        </w:rPr>
        <w:t xml:space="preserve">7904 / 7. عِدَّةٌ مِنْ أَصْحَابِنَا ، عَنْ سَهْلِ بْنِ زِيَادٍ ، عَنْ أَحْمَدَ بْنِ مُحَمَّدٍ ، عَنْ عَلِيِّ بْنِ أَبِي </w:t>
      </w:r>
      <w:r w:rsidR="007310C8">
        <w:rPr>
          <w:rtl/>
          <w:lang w:bidi="fa-IR"/>
        </w:rPr>
        <w:t>حَمْزَةَ ، عَنْ أَبِي بَصِيرٍ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عَلَى الصَّرُورَةِ أَنْ يَحْلِقَ رَأْسَهُ ، وَلَايُقَصِّرَ ، وَإِنَّمَا </w:t>
      </w:r>
      <w:r w:rsidRPr="00D10E3C">
        <w:rPr>
          <w:rStyle w:val="libFootnotenumChar"/>
          <w:rtl/>
        </w:rPr>
        <w:t>(3)</w:t>
      </w:r>
      <w:r>
        <w:rPr>
          <w:rtl/>
          <w:lang w:bidi="fa-IR"/>
        </w:rPr>
        <w:t xml:space="preserve"> التَّقْصِيرُ لِمَنْ حَجَّ حَجَّةَ الْإِسْلَامِ ». </w:t>
      </w:r>
      <w:r w:rsidRPr="00D10E3C">
        <w:rPr>
          <w:rStyle w:val="libFootnotenumChar"/>
          <w:rtl/>
        </w:rPr>
        <w:t>(4)</w:t>
      </w:r>
    </w:p>
    <w:p w:rsidR="00744A1C" w:rsidRDefault="00744A1C" w:rsidP="00744A1C">
      <w:pPr>
        <w:pStyle w:val="libNormal"/>
        <w:rPr>
          <w:lang w:bidi="fa-IR"/>
        </w:rPr>
      </w:pPr>
      <w:r>
        <w:rPr>
          <w:rtl/>
          <w:lang w:bidi="fa-IR"/>
        </w:rPr>
        <w:t>7905 / 8. مُحَمَّدُ بْنُ يَحْيى ، عَنْ أَحْمَدَ بْنِ مُحَمَّدٍ ، عَنْ مُحَمَّدِ بْنِ إِسْمَاعِيلَ ، عَنْ مُحَمَّدِ بْنِ الْفُضَيْلِ ، عَنْ أَبِي الصّ</w:t>
      </w:r>
      <w:r w:rsidR="00F37EA6">
        <w:rPr>
          <w:rtl/>
          <w:lang w:bidi="fa-IR"/>
        </w:rPr>
        <w:t>َبَّاحِ الْكِنَانِيِّ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رَجُلٍ نَسِيَ أَنْ يُقَصِّرَ مِنْ شَعْرِهِ وَهُوَ حَاجٌّ </w:t>
      </w:r>
      <w:r w:rsidRPr="00D10E3C">
        <w:rPr>
          <w:rStyle w:val="libFootnotenumChar"/>
          <w:rtl/>
        </w:rPr>
        <w:t>(5)</w:t>
      </w:r>
      <w:r>
        <w:rPr>
          <w:rtl/>
          <w:lang w:bidi="fa-IR"/>
        </w:rPr>
        <w:t xml:space="preserve"> حَتّى ارْتَحَلَ‌</w:t>
      </w:r>
    </w:p>
    <w:p w:rsidR="00744A1C" w:rsidRDefault="00744A1C" w:rsidP="00D10E3C">
      <w:pPr>
        <w:pStyle w:val="libLine"/>
        <w:rPr>
          <w:lang w:bidi="fa-IR"/>
        </w:rPr>
      </w:pPr>
      <w:r>
        <w:rPr>
          <w:rtl/>
          <w:lang w:bidi="fa-IR"/>
        </w:rPr>
        <w:t>____________________</w:t>
      </w:r>
    </w:p>
    <w:p w:rsidR="00744A1C" w:rsidRDefault="004645D0" w:rsidP="00512F80">
      <w:pPr>
        <w:pStyle w:val="libFootnote0"/>
        <w:rPr>
          <w:lang w:bidi="fa-IR"/>
        </w:rPr>
      </w:pPr>
      <w:r>
        <w:rPr>
          <w:rFonts w:hint="cs"/>
          <w:rtl/>
          <w:lang w:bidi="fa-IR"/>
        </w:rPr>
        <w:t>=</w:t>
      </w:r>
      <w:r w:rsidR="00744A1C">
        <w:rPr>
          <w:rtl/>
          <w:lang w:bidi="fa-IR"/>
        </w:rPr>
        <w:t xml:space="preserve">ص 506 ، ح 3093 ، معلّقاً عن عليّ بن أبي حمزة ، مع اختلاف يسير. وفي </w:t>
      </w:r>
      <w:r w:rsidR="00744A1C" w:rsidRPr="00C24F9C">
        <w:rPr>
          <w:rStyle w:val="libFootnoteBoldChar"/>
          <w:rtl/>
        </w:rPr>
        <w:t>التهذيب</w:t>
      </w:r>
      <w:r w:rsidR="00744A1C">
        <w:rPr>
          <w:rtl/>
          <w:lang w:bidi="fa-IR"/>
        </w:rPr>
        <w:t xml:space="preserve"> ، ج 5 ، ص 241 ، ح 812 ؛ </w:t>
      </w:r>
      <w:r w:rsidR="00744A1C" w:rsidRPr="00C24F9C">
        <w:rPr>
          <w:rStyle w:val="libFootnoteBoldChar"/>
          <w:rtl/>
        </w:rPr>
        <w:t>والاستبصار</w:t>
      </w:r>
      <w:r w:rsidR="00744A1C">
        <w:rPr>
          <w:rtl/>
          <w:lang w:bidi="fa-IR"/>
        </w:rPr>
        <w:t xml:space="preserve"> ، ج 2 ، ص 285 ، ح 1011 ، بسند آخر عن أبي عبدالله </w:t>
      </w:r>
      <w:r w:rsidR="0061079A" w:rsidRPr="0061079A">
        <w:rPr>
          <w:rStyle w:val="libFootnoteAlaemChar"/>
          <w:rtl/>
        </w:rPr>
        <w:t>عليه‌السلام</w:t>
      </w:r>
      <w:r w:rsidR="00D10E3C">
        <w:rPr>
          <w:rtl/>
          <w:lang w:bidi="fa-IR"/>
        </w:rPr>
        <w:t xml:space="preserve"> </w:t>
      </w:r>
      <w:r w:rsidR="00744A1C">
        <w:rPr>
          <w:rtl/>
          <w:lang w:bidi="fa-IR"/>
        </w:rPr>
        <w:t>، إلى قوله : « يحلق بها شعره أو يقصّر » مع اختلاف يسير</w:t>
      </w:r>
      <w:r w:rsidR="00512F80">
        <w:rPr>
          <w:rFonts w:hint="cs"/>
          <w:rtl/>
          <w:lang w:bidi="fa-IR"/>
        </w:rPr>
        <w:t>.</w:t>
      </w:r>
      <w:r w:rsidR="00744A1C" w:rsidRPr="00C24F9C">
        <w:rPr>
          <w:rStyle w:val="libFootnoteBoldChar"/>
          <w:rtl/>
        </w:rPr>
        <w:t>الوافي</w:t>
      </w:r>
      <w:r w:rsidR="00744A1C">
        <w:rPr>
          <w:rtl/>
          <w:lang w:bidi="fa-IR"/>
        </w:rPr>
        <w:t xml:space="preserve"> ، ج 14 ، ص 1201 ، ح 14082 ؛ </w:t>
      </w:r>
      <w:r w:rsidR="00744A1C" w:rsidRPr="00C24F9C">
        <w:rPr>
          <w:rStyle w:val="libFootnoteBoldChar"/>
          <w:rtl/>
        </w:rPr>
        <w:t>الوسائل</w:t>
      </w:r>
      <w:r w:rsidR="00744A1C">
        <w:rPr>
          <w:rtl/>
          <w:lang w:bidi="fa-IR"/>
        </w:rPr>
        <w:t xml:space="preserve"> ، ج 14 ، ص 218 ، ح 19026.</w:t>
      </w:r>
    </w:p>
    <w:p w:rsidR="00744A1C" w:rsidRDefault="00D10E3C" w:rsidP="00D10E3C">
      <w:pPr>
        <w:pStyle w:val="libFootnote0"/>
        <w:rPr>
          <w:lang w:bidi="fa-IR"/>
        </w:rPr>
      </w:pPr>
      <w:r>
        <w:rPr>
          <w:rtl/>
          <w:lang w:bidi="fa-IR"/>
        </w:rPr>
        <w:t>(1).</w:t>
      </w:r>
      <w:r w:rsidR="00744A1C">
        <w:rPr>
          <w:rtl/>
          <w:lang w:bidi="fa-IR"/>
        </w:rPr>
        <w:t xml:space="preserve"> في « ى ، بف » </w:t>
      </w:r>
      <w:r w:rsidR="00744A1C" w:rsidRPr="0061079A">
        <w:rPr>
          <w:rStyle w:val="libFootnoteBoldChar"/>
          <w:rtl/>
        </w:rPr>
        <w:t>والتهذيب</w:t>
      </w:r>
      <w:r w:rsidR="00744A1C">
        <w:rPr>
          <w:rtl/>
          <w:lang w:bidi="fa-IR"/>
        </w:rPr>
        <w:t xml:space="preserve"> ، ح 1726 و 1727 : - « قال ».</w:t>
      </w:r>
    </w:p>
    <w:p w:rsidR="00744A1C" w:rsidRDefault="00E378DD" w:rsidP="00AE2389">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243 ، ح 821 ، بسنده عن ابن أبي عمير. وفيه ، ص 484 ، ح 1726 ، بسنده عن ابن أبي عمير ، عن معاوية ، عن أبي عبدالله </w:t>
      </w:r>
      <w:r w:rsidR="0061079A" w:rsidRPr="0061079A">
        <w:rPr>
          <w:rStyle w:val="libFootnoteAlaemChar"/>
          <w:rtl/>
        </w:rPr>
        <w:t>عليه‌السلام</w:t>
      </w:r>
      <w:r w:rsidR="00744A1C">
        <w:rPr>
          <w:rtl/>
          <w:lang w:bidi="fa-IR"/>
        </w:rPr>
        <w:t xml:space="preserve"> . وفيه أيضاً ، ح 1727 ، بسند آخر ؛ وفيه أيضاً ، ح 1724 ، بسند آخر ، مع اختلاف يسير ؛ وفيه أيضاً ، ص 485 ، ح 1739 ، بسند آخر ، مع اختلاف ، وفي الأخيرين من قوله : « إذا لبّد شعره »</w:t>
      </w:r>
      <w:r w:rsidR="00AE2389">
        <w:rPr>
          <w:rFonts w:hint="cs"/>
          <w:rtl/>
          <w:lang w:bidi="fa-IR"/>
        </w:rPr>
        <w:t>.</w:t>
      </w:r>
      <w:r w:rsidR="00744A1C" w:rsidRPr="00C24F9C">
        <w:rPr>
          <w:rStyle w:val="libFootnoteBoldChar"/>
          <w:rtl/>
        </w:rPr>
        <w:t>الوافي</w:t>
      </w:r>
      <w:r w:rsidR="00744A1C">
        <w:rPr>
          <w:rtl/>
          <w:lang w:bidi="fa-IR"/>
        </w:rPr>
        <w:t xml:space="preserve"> ، ج 14 ، ص 1202 ، ح 14085 ؛ </w:t>
      </w:r>
      <w:r w:rsidR="00744A1C" w:rsidRPr="00C24F9C">
        <w:rPr>
          <w:rStyle w:val="libFootnoteBoldChar"/>
          <w:rtl/>
        </w:rPr>
        <w:t>الوسائل</w:t>
      </w:r>
      <w:r w:rsidR="00744A1C">
        <w:rPr>
          <w:rtl/>
          <w:lang w:bidi="fa-IR"/>
        </w:rPr>
        <w:t xml:space="preserve"> ، ج 14 ، ص 221 ، ذيل ح 19037.</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ح 819 و 1725 : « إنّما » من دون الواو.</w:t>
      </w:r>
    </w:p>
    <w:p w:rsidR="00744A1C" w:rsidRDefault="00E378DD" w:rsidP="005B17A3">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243 ، ح 819 ، معلّقاً عن الكليني. وفيه ، ص 484 ، ح 1725 ، معلّقاً عن أحمد بن محمّد ، عن عليّ ، عن أبي بصير. وفيه أيضاً ، ص 243 ، ح 820 ، بسند آخر ، إلى قوله : « ولايقصّر » مع اختلاف يسير. راجع : </w:t>
      </w:r>
      <w:r w:rsidR="00744A1C" w:rsidRPr="00C24F9C">
        <w:rPr>
          <w:rStyle w:val="libFootnoteBoldChar"/>
          <w:rtl/>
        </w:rPr>
        <w:t>الفقيه</w:t>
      </w:r>
      <w:r w:rsidR="00744A1C">
        <w:rPr>
          <w:rtl/>
          <w:lang w:bidi="fa-IR"/>
        </w:rPr>
        <w:t xml:space="preserve"> ، ج 2 ، ص 238 ، ح 2292 ؛ و</w:t>
      </w:r>
      <w:r w:rsidR="00744A1C" w:rsidRPr="003A7143">
        <w:rPr>
          <w:rStyle w:val="libFootnoteBoldChar"/>
          <w:rtl/>
        </w:rPr>
        <w:t>علل الشرائع</w:t>
      </w:r>
      <w:r w:rsidR="00744A1C">
        <w:rPr>
          <w:rtl/>
          <w:lang w:bidi="fa-IR"/>
        </w:rPr>
        <w:t xml:space="preserve"> ، ص 449 ، ح 1</w:t>
      </w:r>
      <w:r w:rsidR="005B17A3">
        <w:rPr>
          <w:rFonts w:hint="cs"/>
          <w:rtl/>
          <w:lang w:bidi="fa-IR"/>
        </w:rPr>
        <w:t>.</w:t>
      </w:r>
      <w:r w:rsidR="00744A1C" w:rsidRPr="00C24F9C">
        <w:rPr>
          <w:rStyle w:val="libFootnoteBoldChar"/>
          <w:rtl/>
        </w:rPr>
        <w:t>الوافي</w:t>
      </w:r>
      <w:r w:rsidR="00744A1C">
        <w:rPr>
          <w:rtl/>
          <w:lang w:bidi="fa-IR"/>
        </w:rPr>
        <w:t xml:space="preserve"> ، ج 14 ، ص 1202 ، ح 14086 ؛ </w:t>
      </w:r>
      <w:r w:rsidR="00744A1C" w:rsidRPr="00C24F9C">
        <w:rPr>
          <w:rStyle w:val="libFootnoteBoldChar"/>
          <w:rtl/>
        </w:rPr>
        <w:t>الوسائل</w:t>
      </w:r>
      <w:r w:rsidR="00744A1C">
        <w:rPr>
          <w:rtl/>
          <w:lang w:bidi="fa-IR"/>
        </w:rPr>
        <w:t xml:space="preserve"> ، ج 14 ، ص 223 ، ذيل ح 19041.</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ص 242 </w:t>
      </w:r>
      <w:r w:rsidR="00744A1C" w:rsidRPr="005B17A3">
        <w:rPr>
          <w:rtl/>
        </w:rPr>
        <w:t>والاستبصار</w:t>
      </w:r>
      <w:r w:rsidR="00744A1C">
        <w:rPr>
          <w:rtl/>
          <w:lang w:bidi="fa-IR"/>
        </w:rPr>
        <w:t xml:space="preserve"> : « أن يحلق رأسه » بدل « أن يقصّر من شعره وهو حاجّ ».</w:t>
      </w:r>
    </w:p>
    <w:p w:rsidR="00150943" w:rsidRDefault="00150943" w:rsidP="00D10E3C">
      <w:pPr>
        <w:pStyle w:val="libNormal"/>
        <w:rPr>
          <w:rtl/>
          <w:lang w:bidi="fa-IR"/>
        </w:rPr>
      </w:pPr>
      <w:r>
        <w:rPr>
          <w:rtl/>
          <w:lang w:bidi="fa-IR"/>
        </w:rPr>
        <w:br w:type="page"/>
      </w:r>
    </w:p>
    <w:p w:rsidR="00744A1C" w:rsidRDefault="00744A1C" w:rsidP="00097CCA">
      <w:pPr>
        <w:pStyle w:val="libNormal0"/>
        <w:rPr>
          <w:lang w:bidi="fa-IR"/>
        </w:rPr>
      </w:pPr>
      <w:r>
        <w:rPr>
          <w:rtl/>
          <w:lang w:bidi="fa-IR"/>
        </w:rPr>
        <w:lastRenderedPageBreak/>
        <w:t>مِنْ مِنًى؟</w:t>
      </w:r>
    </w:p>
    <w:p w:rsidR="00744A1C" w:rsidRDefault="00744A1C" w:rsidP="00744A1C">
      <w:pPr>
        <w:pStyle w:val="libNormal"/>
        <w:rPr>
          <w:lang w:bidi="fa-IR"/>
        </w:rPr>
      </w:pPr>
      <w:r>
        <w:rPr>
          <w:rtl/>
          <w:lang w:bidi="fa-IR"/>
        </w:rPr>
        <w:t xml:space="preserve">قَالَ </w:t>
      </w:r>
      <w:r w:rsidRPr="00D10E3C">
        <w:rPr>
          <w:rStyle w:val="libFootnotenumChar"/>
          <w:rtl/>
        </w:rPr>
        <w:t>(1)</w:t>
      </w:r>
      <w:r>
        <w:rPr>
          <w:rtl/>
          <w:lang w:bidi="fa-IR"/>
        </w:rPr>
        <w:t xml:space="preserve"> : « مَا يُعْجِبُن</w:t>
      </w:r>
      <w:r w:rsidR="00E61AAB">
        <w:rPr>
          <w:rtl/>
          <w:lang w:bidi="fa-IR"/>
        </w:rPr>
        <w:t>ِي أَنْ يُلْقِيَ شَعْرَهُ إِل</w:t>
      </w:r>
      <w:r w:rsidR="00E61AAB">
        <w:rPr>
          <w:rFonts w:hint="cs"/>
          <w:rtl/>
          <w:lang w:bidi="fa-IR"/>
        </w:rPr>
        <w:t>َّ</w:t>
      </w:r>
      <w:r w:rsidR="00E61AAB">
        <w:rPr>
          <w:rtl/>
          <w:lang w:bidi="fa-IR"/>
        </w:rPr>
        <w:t>ا</w:t>
      </w:r>
      <w:r>
        <w:rPr>
          <w:rtl/>
          <w:lang w:bidi="fa-IR"/>
        </w:rPr>
        <w:t xml:space="preserve"> بِمِنًى </w:t>
      </w:r>
      <w:r w:rsidRPr="00D10E3C">
        <w:rPr>
          <w:rStyle w:val="libFootnotenumChar"/>
          <w:rtl/>
        </w:rPr>
        <w:t>(2)</w:t>
      </w:r>
      <w:r>
        <w:rPr>
          <w:rtl/>
          <w:lang w:bidi="fa-IR"/>
        </w:rPr>
        <w:t xml:space="preserve"> ».</w:t>
      </w:r>
    </w:p>
    <w:p w:rsidR="00744A1C" w:rsidRDefault="00744A1C" w:rsidP="00744A1C">
      <w:pPr>
        <w:pStyle w:val="libNormal"/>
        <w:rPr>
          <w:lang w:bidi="fa-IR"/>
        </w:rPr>
      </w:pPr>
      <w:r>
        <w:rPr>
          <w:rtl/>
          <w:lang w:bidi="fa-IR"/>
        </w:rPr>
        <w:t xml:space="preserve">وَقَالَ فِي قَوْلِ اللهِ عَزَّ وَجَلَّ : </w:t>
      </w:r>
      <w:r w:rsidRPr="007414D8">
        <w:rPr>
          <w:rStyle w:val="libAlaemChar"/>
          <w:rtl/>
        </w:rPr>
        <w:t>(</w:t>
      </w:r>
      <w:r>
        <w:rPr>
          <w:rtl/>
          <w:lang w:bidi="fa-IR"/>
        </w:rPr>
        <w:t xml:space="preserve"> </w:t>
      </w:r>
      <w:r w:rsidRPr="007414D8">
        <w:rPr>
          <w:rStyle w:val="libAieChar"/>
          <w:rtl/>
        </w:rPr>
        <w:t>ثُمَّ لْيَقْضُوا تَفَثَهُمْ</w:t>
      </w:r>
      <w:r>
        <w:rPr>
          <w:rtl/>
          <w:lang w:bidi="fa-IR"/>
        </w:rPr>
        <w:t xml:space="preserve"> </w:t>
      </w:r>
      <w:r w:rsidRPr="007414D8">
        <w:rPr>
          <w:rStyle w:val="libAlaemChar"/>
          <w:rtl/>
        </w:rPr>
        <w:t>)</w:t>
      </w:r>
      <w:r>
        <w:rPr>
          <w:rtl/>
          <w:lang w:bidi="fa-IR"/>
        </w:rPr>
        <w:t xml:space="preserve"> </w:t>
      </w:r>
      <w:r w:rsidRPr="00D10E3C">
        <w:rPr>
          <w:rStyle w:val="libFootnotenumChar"/>
          <w:rtl/>
        </w:rPr>
        <w:t>(3)</w:t>
      </w:r>
      <w:r>
        <w:rPr>
          <w:rtl/>
          <w:lang w:bidi="fa-IR"/>
        </w:rPr>
        <w:t xml:space="preserve"> قَالَ : « هُوَ الْحَلْقُ وَمَا فِي جِلْدِ الْإِنْسَانِ ». </w:t>
      </w:r>
      <w:r w:rsidRPr="00D10E3C">
        <w:rPr>
          <w:rStyle w:val="libFootnotenumChar"/>
          <w:rtl/>
        </w:rPr>
        <w:t>(4)</w:t>
      </w:r>
    </w:p>
    <w:p w:rsidR="00744A1C" w:rsidRDefault="00744A1C" w:rsidP="00744A1C">
      <w:pPr>
        <w:pStyle w:val="libNormal"/>
        <w:rPr>
          <w:lang w:bidi="fa-IR"/>
        </w:rPr>
      </w:pPr>
      <w:r>
        <w:rPr>
          <w:rtl/>
          <w:lang w:bidi="fa-IR"/>
        </w:rPr>
        <w:t>7906 / 9. عَلِيُّ بْنُ إِبْرَاهِيمَ ، عَنْ أَبِيهِ ، عَنِ ابْنِ أَبِي عُمَيْرٍ ، عَ</w:t>
      </w:r>
      <w:r w:rsidR="00014823">
        <w:rPr>
          <w:rtl/>
          <w:lang w:bidi="fa-IR"/>
        </w:rPr>
        <w:t>نْ حَفْصِ بْنِ الْبَخْتَرِيِّ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الرَجُلِ </w:t>
      </w:r>
      <w:r w:rsidRPr="00D10E3C">
        <w:rPr>
          <w:rStyle w:val="libFootnotenumChar"/>
          <w:rtl/>
        </w:rPr>
        <w:t>(5)</w:t>
      </w:r>
      <w:r>
        <w:rPr>
          <w:rtl/>
          <w:lang w:bidi="fa-IR"/>
        </w:rPr>
        <w:t xml:space="preserve"> يَحْلِقُ رَأْسَهُ بِمَكَّةَ ، قَالَ : « يَرُدُّ الشَّعْرَ إِلى مِنًى ». </w:t>
      </w:r>
      <w:r w:rsidRPr="00D10E3C">
        <w:rPr>
          <w:rStyle w:val="libFootnotenumChar"/>
          <w:rtl/>
        </w:rPr>
        <w:t>(6)</w:t>
      </w:r>
    </w:p>
    <w:p w:rsidR="00144FA6" w:rsidRDefault="00744A1C" w:rsidP="00744A1C">
      <w:pPr>
        <w:pStyle w:val="libNormal"/>
        <w:rPr>
          <w:rtl/>
          <w:lang w:bidi="fa-IR"/>
        </w:rPr>
      </w:pPr>
      <w:r>
        <w:rPr>
          <w:rtl/>
          <w:lang w:bidi="fa-IR"/>
        </w:rPr>
        <w:t>7907 / 10. مُحَمَّدُ بْنُ يَحْيى ، عَنْ أَحْمَدَ بْنِ مُحَمَّدٍ ، عَنْ مُحَمَّدِ بْنِ يَحْيى ، عَنْ غِيَاثِ بْنِ‌ إِبْرَاهِيمَ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جد » : « فقال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ص 242 </w:t>
      </w:r>
      <w:r w:rsidR="00744A1C" w:rsidRPr="00AE20F0">
        <w:rPr>
          <w:rtl/>
        </w:rPr>
        <w:t>والاستبصار</w:t>
      </w:r>
      <w:r w:rsidR="00744A1C">
        <w:rPr>
          <w:rtl/>
          <w:lang w:bidi="fa-IR"/>
        </w:rPr>
        <w:t xml:space="preserve"> : + « ولم يجعل عليه شيئاً ».</w:t>
      </w:r>
    </w:p>
    <w:p w:rsidR="00744A1C" w:rsidRDefault="00E378DD" w:rsidP="00E378DD">
      <w:pPr>
        <w:pStyle w:val="libFootnote0"/>
        <w:rPr>
          <w:lang w:bidi="fa-IR"/>
        </w:rPr>
      </w:pPr>
      <w:r>
        <w:rPr>
          <w:rtl/>
          <w:lang w:bidi="fa-IR"/>
        </w:rPr>
        <w:t>(3).</w:t>
      </w:r>
      <w:r w:rsidR="00744A1C">
        <w:rPr>
          <w:rtl/>
          <w:lang w:bidi="fa-IR"/>
        </w:rPr>
        <w:t xml:space="preserve"> الحجّ (22) 29. وقال الراغب : « أصل التَفَث : وسخ الظفر وغير ذلك ممّا شاء به أن يزال عن البدن » ، ثمّ قال : « </w:t>
      </w:r>
      <w:r w:rsidR="00744A1C" w:rsidRPr="00AE20F0">
        <w:rPr>
          <w:rStyle w:val="libFootnoteAlaemChar"/>
          <w:rtl/>
        </w:rPr>
        <w:t>(</w:t>
      </w:r>
      <w:r w:rsidR="00744A1C" w:rsidRPr="00AE20F0">
        <w:rPr>
          <w:rStyle w:val="libFootnoteAieChar"/>
          <w:rtl/>
        </w:rPr>
        <w:t xml:space="preserve"> لْيَقْضُوا تَفَثَهُمْ </w:t>
      </w:r>
      <w:r w:rsidR="00744A1C" w:rsidRPr="00AE20F0">
        <w:rPr>
          <w:rStyle w:val="libFootnoteAlaemChar"/>
          <w:rtl/>
        </w:rPr>
        <w:t>)</w:t>
      </w:r>
      <w:r w:rsidR="00744A1C">
        <w:rPr>
          <w:rtl/>
          <w:lang w:bidi="fa-IR"/>
        </w:rPr>
        <w:t xml:space="preserve"> ، أي يزيلوا وسخهم ». وقال ابن الأثير</w:t>
      </w:r>
      <w:r w:rsidR="00247816">
        <w:rPr>
          <w:rtl/>
          <w:lang w:bidi="fa-IR"/>
        </w:rPr>
        <w:t xml:space="preserve"> : « التَفَثُ : هو ما يفعله الم</w:t>
      </w:r>
      <w:r w:rsidR="00247816">
        <w:rPr>
          <w:rFonts w:hint="cs"/>
          <w:rtl/>
          <w:lang w:bidi="fa-IR"/>
        </w:rPr>
        <w:t>ـُ</w:t>
      </w:r>
      <w:r w:rsidR="00744A1C">
        <w:rPr>
          <w:rtl/>
          <w:lang w:bidi="fa-IR"/>
        </w:rPr>
        <w:t xml:space="preserve">حْرم بالحجّ إذا حلّ كقصّ الشارب والأظفار ». </w:t>
      </w:r>
      <w:r w:rsidR="00744A1C" w:rsidRPr="002D57AD">
        <w:rPr>
          <w:rStyle w:val="libFootnoteBoldChar"/>
          <w:rtl/>
        </w:rPr>
        <w:t>المفردات للراغب</w:t>
      </w:r>
      <w:r w:rsidR="00744A1C">
        <w:rPr>
          <w:rtl/>
          <w:lang w:bidi="fa-IR"/>
        </w:rPr>
        <w:t xml:space="preserve"> ، ص 165 ؛ </w:t>
      </w:r>
      <w:r w:rsidR="00744A1C" w:rsidRPr="00877682">
        <w:rPr>
          <w:rStyle w:val="libFootnoteBoldChar"/>
          <w:rtl/>
        </w:rPr>
        <w:t>النهاية</w:t>
      </w:r>
      <w:r w:rsidR="00744A1C">
        <w:rPr>
          <w:rtl/>
          <w:lang w:bidi="fa-IR"/>
        </w:rPr>
        <w:t xml:space="preserve"> ، ج 1 ، ص 191 ( تفث ).</w:t>
      </w:r>
    </w:p>
    <w:p w:rsidR="00744A1C" w:rsidRDefault="00E378DD" w:rsidP="002D5C1E">
      <w:pPr>
        <w:pStyle w:val="libFootnote0"/>
        <w:rPr>
          <w:lang w:bidi="fa-IR"/>
        </w:rPr>
      </w:pPr>
      <w:r>
        <w:rPr>
          <w:rtl/>
          <w:lang w:bidi="fa-IR"/>
        </w:rPr>
        <w:t>(4).</w:t>
      </w:r>
      <w:r w:rsidR="00744A1C">
        <w:rPr>
          <w:rtl/>
          <w:lang w:bidi="fa-IR"/>
        </w:rPr>
        <w:t xml:space="preserve"> </w:t>
      </w:r>
      <w:r w:rsidR="00744A1C" w:rsidRPr="00C24F9C">
        <w:rPr>
          <w:rStyle w:val="libFootnoteBoldChar"/>
          <w:rtl/>
        </w:rPr>
        <w:t>الفقيه</w:t>
      </w:r>
      <w:r w:rsidR="00744A1C">
        <w:rPr>
          <w:rtl/>
          <w:lang w:bidi="fa-IR"/>
        </w:rPr>
        <w:t xml:space="preserve"> ، ج 2 ، ص 485 ، ح 3033 ؛ </w:t>
      </w:r>
      <w:r w:rsidR="00744A1C" w:rsidRPr="00A77942">
        <w:rPr>
          <w:rtl/>
        </w:rPr>
        <w:t>والتهذيب</w:t>
      </w:r>
      <w:r w:rsidR="00744A1C">
        <w:rPr>
          <w:rtl/>
          <w:lang w:bidi="fa-IR"/>
        </w:rPr>
        <w:t xml:space="preserve"> ، ج 5 ، ص 243 ، ذيل ح 823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338 ، ح 2 ؛ وص 339 ، ح 7 ، بسند آخر ، من قوله : « وقال في قول الله عزّ وجلّ : </w:t>
      </w:r>
      <w:r w:rsidR="00744A1C" w:rsidRPr="00A77942">
        <w:rPr>
          <w:rStyle w:val="libFootnoteAlaemChar"/>
          <w:rtl/>
        </w:rPr>
        <w:t>(</w:t>
      </w:r>
      <w:r w:rsidR="00744A1C" w:rsidRPr="00A77942">
        <w:rPr>
          <w:rStyle w:val="libFootnoteAieChar"/>
          <w:rtl/>
        </w:rPr>
        <w:t xml:space="preserve"> ثُمَّ لْيَقْضُوا </w:t>
      </w:r>
      <w:r w:rsidR="00744A1C" w:rsidRPr="00A77942">
        <w:rPr>
          <w:rStyle w:val="libFootnoteAlaemChar"/>
          <w:rtl/>
        </w:rPr>
        <w:t>)</w:t>
      </w:r>
      <w:r w:rsidR="00744A1C">
        <w:rPr>
          <w:rtl/>
          <w:lang w:bidi="fa-IR"/>
        </w:rPr>
        <w:t xml:space="preserve"> ». وفي </w:t>
      </w:r>
      <w:r w:rsidR="00744A1C" w:rsidRPr="00C24F9C">
        <w:rPr>
          <w:rStyle w:val="libFootnoteBoldChar"/>
          <w:rtl/>
        </w:rPr>
        <w:t>التهذيب</w:t>
      </w:r>
      <w:r w:rsidR="00744A1C">
        <w:rPr>
          <w:rtl/>
          <w:lang w:bidi="fa-IR"/>
        </w:rPr>
        <w:t xml:space="preserve"> ، ج 5 ، ص 242 ، ح 818 ؛ </w:t>
      </w:r>
      <w:r w:rsidR="00744A1C" w:rsidRPr="00C24F9C">
        <w:rPr>
          <w:rStyle w:val="libFootnoteBoldChar"/>
          <w:rtl/>
        </w:rPr>
        <w:t>والاستبصار</w:t>
      </w:r>
      <w:r w:rsidR="00744A1C">
        <w:rPr>
          <w:rtl/>
          <w:lang w:bidi="fa-IR"/>
        </w:rPr>
        <w:t xml:space="preserve"> ، ج 2 ، ص 286 ، ح 1017 ، بسند آ</w:t>
      </w:r>
      <w:r w:rsidR="007B5324">
        <w:rPr>
          <w:rtl/>
          <w:lang w:bidi="fa-IR"/>
        </w:rPr>
        <w:t>خر ، إلى قوله : « يلقى شعره إل</w:t>
      </w:r>
      <w:r w:rsidR="007B5324">
        <w:rPr>
          <w:rFonts w:hint="cs"/>
          <w:rtl/>
          <w:lang w:bidi="fa-IR"/>
        </w:rPr>
        <w:t>ّ</w:t>
      </w:r>
      <w:r w:rsidR="007B5324">
        <w:rPr>
          <w:rtl/>
          <w:lang w:bidi="fa-IR"/>
        </w:rPr>
        <w:t>ا</w:t>
      </w:r>
      <w:r w:rsidR="00744A1C">
        <w:rPr>
          <w:rtl/>
          <w:lang w:bidi="fa-IR"/>
        </w:rPr>
        <w:t xml:space="preserve"> بمنى » وفي كلّ المصادر مع اختلاف يسير. وراجع : </w:t>
      </w:r>
      <w:r w:rsidR="00744A1C" w:rsidRPr="0061079A">
        <w:rPr>
          <w:rStyle w:val="libFootnoteBoldChar"/>
          <w:rtl/>
        </w:rPr>
        <w:t>الكافي</w:t>
      </w:r>
      <w:r w:rsidR="00744A1C">
        <w:rPr>
          <w:rtl/>
          <w:lang w:bidi="fa-IR"/>
        </w:rPr>
        <w:t xml:space="preserve"> ، كتاب الحجّ ، باب المتمتّع ينسي أن يقصّر حتّى يهلّ بالحجّ ... ، ح 7662</w:t>
      </w:r>
      <w:r w:rsidR="002D5C1E">
        <w:rPr>
          <w:rFonts w:hint="cs"/>
          <w:rtl/>
          <w:lang w:bidi="fa-IR"/>
        </w:rPr>
        <w:t>.</w:t>
      </w:r>
      <w:r w:rsidR="00744A1C" w:rsidRPr="00C24F9C">
        <w:rPr>
          <w:rStyle w:val="libFootnoteBoldChar"/>
          <w:rtl/>
        </w:rPr>
        <w:t>الوافي</w:t>
      </w:r>
      <w:r w:rsidR="00744A1C">
        <w:rPr>
          <w:rtl/>
          <w:lang w:bidi="fa-IR"/>
        </w:rPr>
        <w:t xml:space="preserve"> ، ج 14 ، ص 1204 ، ح 14092 ؛ </w:t>
      </w:r>
      <w:r w:rsidR="00744A1C" w:rsidRPr="00C24F9C">
        <w:rPr>
          <w:rStyle w:val="libFootnoteBoldChar"/>
          <w:rtl/>
        </w:rPr>
        <w:t>الوسائل</w:t>
      </w:r>
      <w:r w:rsidR="00744A1C">
        <w:rPr>
          <w:rtl/>
          <w:lang w:bidi="fa-IR"/>
        </w:rPr>
        <w:t xml:space="preserve"> ، ج 14 ، ص 218 ، ح 19025.</w:t>
      </w:r>
    </w:p>
    <w:p w:rsidR="00744A1C" w:rsidRDefault="00E378DD" w:rsidP="00E378DD">
      <w:pPr>
        <w:pStyle w:val="libFootnote0"/>
        <w:rPr>
          <w:lang w:bidi="fa-IR"/>
        </w:rPr>
      </w:pPr>
      <w:r>
        <w:rPr>
          <w:rtl/>
          <w:lang w:bidi="fa-IR"/>
        </w:rPr>
        <w:t>(5).</w:t>
      </w:r>
      <w:r w:rsidR="00744A1C">
        <w:rPr>
          <w:rtl/>
          <w:lang w:bidi="fa-IR"/>
        </w:rPr>
        <w:t xml:space="preserve"> هكذا في جميع النسخ التي </w:t>
      </w:r>
      <w:r w:rsidR="00744A1C" w:rsidRPr="00E53CB1">
        <w:rPr>
          <w:rtl/>
        </w:rPr>
        <w:t>قوبلت والوافي والوسائل. وفي</w:t>
      </w:r>
      <w:r w:rsidR="00744A1C">
        <w:rPr>
          <w:rtl/>
          <w:lang w:bidi="fa-IR"/>
        </w:rPr>
        <w:t xml:space="preserve"> المطبوع : « رجل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242 ، ح 816 ؛ </w:t>
      </w:r>
      <w:r w:rsidR="00744A1C" w:rsidRPr="00C24F9C">
        <w:rPr>
          <w:rStyle w:val="libFootnoteBoldChar"/>
          <w:rtl/>
        </w:rPr>
        <w:t>والاستبصار</w:t>
      </w:r>
      <w:r w:rsidR="00744A1C">
        <w:rPr>
          <w:rtl/>
          <w:lang w:bidi="fa-IR"/>
        </w:rPr>
        <w:t xml:space="preserve"> ، ج 2 ، ص 286 ، ح 1015 ، معلّقاً عن الكليني. وفي </w:t>
      </w:r>
      <w:r w:rsidR="00744A1C" w:rsidRPr="00C24F9C">
        <w:rPr>
          <w:rStyle w:val="libFootnoteBoldChar"/>
          <w:rtl/>
        </w:rPr>
        <w:t>التهذيب</w:t>
      </w:r>
      <w:r w:rsidR="00744A1C">
        <w:rPr>
          <w:rtl/>
          <w:lang w:bidi="fa-IR"/>
        </w:rPr>
        <w:t xml:space="preserve"> ، ج 5 ، ص 242 ، ح 817 ؛ </w:t>
      </w:r>
      <w:r w:rsidR="00744A1C" w:rsidRPr="00C24F9C">
        <w:rPr>
          <w:rStyle w:val="libFootnoteBoldChar"/>
          <w:rtl/>
        </w:rPr>
        <w:t>والاستبصار</w:t>
      </w:r>
      <w:r w:rsidR="00744A1C">
        <w:rPr>
          <w:rtl/>
          <w:lang w:bidi="fa-IR"/>
        </w:rPr>
        <w:t xml:space="preserve"> ، ج 2 ، ص 286 ، ح 1016 ، بسند آخر ، مع اختلاف. </w:t>
      </w:r>
      <w:r w:rsidR="00744A1C" w:rsidRPr="0061079A">
        <w:rPr>
          <w:rStyle w:val="libFootnoteBoldChar"/>
          <w:rtl/>
        </w:rPr>
        <w:t>الكافي</w:t>
      </w:r>
      <w:r w:rsidR="00744A1C">
        <w:rPr>
          <w:rtl/>
          <w:lang w:bidi="fa-IR"/>
        </w:rPr>
        <w:t xml:space="preserve"> ، كتاب الحجّ ، باب من تعجّل من المزدلفة قبل الفجر ، ح 7781 ؛ </w:t>
      </w:r>
      <w:r w:rsidR="00744A1C" w:rsidRPr="0061079A">
        <w:rPr>
          <w:rStyle w:val="libFootnoteBoldChar"/>
          <w:rtl/>
        </w:rPr>
        <w:t>والتهذيب</w:t>
      </w:r>
      <w:r w:rsidR="00744A1C">
        <w:rPr>
          <w:rtl/>
          <w:lang w:bidi="fa-IR"/>
        </w:rPr>
        <w:t xml:space="preserve"> ، ج 5 ، ص 194 ، ضمن ح 644 ، بسند آخر عن أحدهما </w:t>
      </w:r>
      <w:r w:rsidR="00F112A7" w:rsidRPr="00CE5A92">
        <w:rPr>
          <w:rStyle w:val="libFootnoteAlaemChar"/>
          <w:rtl/>
        </w:rPr>
        <w:t>عليهما‌السلام</w:t>
      </w:r>
      <w:r w:rsidR="00744A1C">
        <w:rPr>
          <w:rtl/>
          <w:lang w:bidi="fa-IR"/>
        </w:rPr>
        <w:t xml:space="preserve">، مع اختلاف </w:t>
      </w:r>
      <w:r w:rsidR="00E978C3">
        <w:rPr>
          <w:rFonts w:hint="cs"/>
          <w:rtl/>
          <w:lang w:bidi="fa-IR"/>
        </w:rPr>
        <w:t>.</w:t>
      </w:r>
      <w:r w:rsidR="00744A1C" w:rsidRPr="00C24F9C">
        <w:rPr>
          <w:rStyle w:val="libFootnoteBoldChar"/>
          <w:rtl/>
        </w:rPr>
        <w:t>الوافي</w:t>
      </w:r>
      <w:r w:rsidR="00744A1C">
        <w:rPr>
          <w:rtl/>
          <w:lang w:bidi="fa-IR"/>
        </w:rPr>
        <w:t xml:space="preserve"> ، ج 14 ، ص 1207 ، ح 14101 ؛ </w:t>
      </w:r>
      <w:r w:rsidR="00744A1C" w:rsidRPr="00C24F9C">
        <w:rPr>
          <w:rStyle w:val="libFootnoteBoldChar"/>
          <w:rtl/>
        </w:rPr>
        <w:t>الوسائل</w:t>
      </w:r>
      <w:r w:rsidR="00744A1C">
        <w:rPr>
          <w:rtl/>
          <w:lang w:bidi="fa-IR"/>
        </w:rPr>
        <w:t xml:space="preserve"> ، ج 14 ، ص 219 ، ح 19029.</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جَعْفَرٍ ، عَنْ آبَائِهِ ، عَنْ عَلِيٍّ </w:t>
      </w:r>
      <w:r w:rsidR="008859AA" w:rsidRPr="008859AA">
        <w:rPr>
          <w:rStyle w:val="libAlaemChar"/>
          <w:rtl/>
        </w:rPr>
        <w:t>عليهما‌السلام</w:t>
      </w:r>
      <w:r>
        <w:rPr>
          <w:rtl/>
          <w:lang w:bidi="fa-IR"/>
        </w:rPr>
        <w:t xml:space="preserve">، قَالَ : « السُّنَّةُ فِي الْحَلْقِ أَنْ يَبْلُغَ </w:t>
      </w:r>
      <w:r w:rsidRPr="00D10E3C">
        <w:rPr>
          <w:rStyle w:val="libFootnotenumChar"/>
          <w:rtl/>
        </w:rPr>
        <w:t>(1)</w:t>
      </w:r>
      <w:r>
        <w:rPr>
          <w:rtl/>
          <w:lang w:bidi="fa-IR"/>
        </w:rPr>
        <w:t xml:space="preserve"> الْعَظْمَيْنِ</w:t>
      </w:r>
      <w:r w:rsidRPr="00D10E3C">
        <w:rPr>
          <w:rStyle w:val="libFootnotenumChar"/>
          <w:rtl/>
        </w:rPr>
        <w:t>(2)</w:t>
      </w:r>
      <w:r>
        <w:rPr>
          <w:rtl/>
          <w:lang w:bidi="fa-IR"/>
        </w:rPr>
        <w:t>».</w:t>
      </w:r>
      <w:r w:rsidRPr="00D10E3C">
        <w:rPr>
          <w:rStyle w:val="libFootnotenumChar"/>
          <w:rtl/>
        </w:rPr>
        <w:t>(3)</w:t>
      </w:r>
    </w:p>
    <w:p w:rsidR="00144FA6" w:rsidRDefault="00744A1C" w:rsidP="00744A1C">
      <w:pPr>
        <w:pStyle w:val="libNormal"/>
        <w:rPr>
          <w:rtl/>
          <w:lang w:bidi="fa-IR"/>
        </w:rPr>
      </w:pPr>
      <w:r>
        <w:rPr>
          <w:rtl/>
          <w:lang w:bidi="fa-IR"/>
        </w:rPr>
        <w:t xml:space="preserve">7908 / 11. أَحْمَدُ بْنُ مُحَمَّدٍ </w:t>
      </w:r>
      <w:r w:rsidRPr="00D10E3C">
        <w:rPr>
          <w:rStyle w:val="libFootnotenumChar"/>
          <w:rtl/>
        </w:rPr>
        <w:t>(4)</w:t>
      </w:r>
      <w:r>
        <w:rPr>
          <w:rtl/>
          <w:lang w:bidi="fa-IR"/>
        </w:rPr>
        <w:t xml:space="preserve"> ، عَنِ ابْنِ أَبِي عُمَيْرٍ ، عَنْ بَعْضِ أَصْحَابِنَا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تُقَصِّرُ الْمَرْأَةُ مِنْ شَعْرِهَا لِعُمْرَتِهَا قَدْرَ أَنْمُلَةٍ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7909 / 12. أَحْمَدُ بْنُ مُحَمَّدٍ </w:t>
      </w:r>
      <w:r w:rsidRPr="00D10E3C">
        <w:rPr>
          <w:rStyle w:val="libFootnotenumChar"/>
          <w:rtl/>
        </w:rPr>
        <w:t>(7)</w:t>
      </w:r>
      <w:r>
        <w:rPr>
          <w:rtl/>
          <w:lang w:bidi="fa-IR"/>
        </w:rPr>
        <w:t xml:space="preserve"> ، عَنِ ابْنِ أَبِي نَصْرٍ ، قَالَ :</w:t>
      </w:r>
    </w:p>
    <w:p w:rsidR="00744A1C" w:rsidRDefault="00744A1C" w:rsidP="00744A1C">
      <w:pPr>
        <w:pStyle w:val="libNormal"/>
        <w:rPr>
          <w:lang w:bidi="fa-IR"/>
        </w:rPr>
      </w:pPr>
      <w:r>
        <w:rPr>
          <w:rtl/>
          <w:lang w:bidi="fa-IR"/>
        </w:rPr>
        <w:t xml:space="preserve">قُلْتُ لِأَبِي الْحَسَنِ </w:t>
      </w:r>
      <w:r w:rsidRPr="00D10E3C">
        <w:rPr>
          <w:rStyle w:val="libFootnotenumChar"/>
          <w:rtl/>
        </w:rPr>
        <w:t>(8)</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إِنَّا </w:t>
      </w:r>
      <w:r w:rsidRPr="00D10E3C">
        <w:rPr>
          <w:rStyle w:val="libFootnotenumChar"/>
          <w:rtl/>
        </w:rPr>
        <w:t>(9)</w:t>
      </w:r>
      <w:r>
        <w:rPr>
          <w:rtl/>
          <w:lang w:bidi="fa-IR"/>
        </w:rPr>
        <w:t xml:space="preserve"> حِينَ نَفَرْنَا مِنْ مِنًى ، أَقَمْنَا أَيَّاماً ، ثُمَّ حَلَقْتُ رَأْسِي طَلَبَ </w:t>
      </w:r>
      <w:r w:rsidRPr="00D10E3C">
        <w:rPr>
          <w:rStyle w:val="libFootnotenumChar"/>
          <w:rtl/>
        </w:rPr>
        <w:t>(10)</w:t>
      </w:r>
      <w:r>
        <w:rPr>
          <w:rtl/>
          <w:lang w:bidi="fa-IR"/>
        </w:rPr>
        <w:t xml:space="preserve"> التَّلَذُّذِ ، فَدَخَلَنِي مِنْ ذلِكَ شَيْ‌ءٌ.</w:t>
      </w:r>
    </w:p>
    <w:p w:rsidR="00744A1C" w:rsidRDefault="00744A1C" w:rsidP="00744A1C">
      <w:pPr>
        <w:pStyle w:val="libNormal"/>
        <w:rPr>
          <w:lang w:bidi="fa-IR"/>
        </w:rPr>
      </w:pPr>
      <w:r>
        <w:rPr>
          <w:rtl/>
          <w:lang w:bidi="fa-IR"/>
        </w:rPr>
        <w:t xml:space="preserve">فَقَالَ : « كَانَ أَبُو الْحَسَنِ </w:t>
      </w:r>
      <w:r w:rsidRPr="00D10E3C">
        <w:rPr>
          <w:rStyle w:val="libFootnotenumChar"/>
          <w:rtl/>
        </w:rPr>
        <w:t>(11)</w:t>
      </w:r>
      <w:r>
        <w:rPr>
          <w:rtl/>
          <w:lang w:bidi="fa-IR"/>
        </w:rPr>
        <w:t xml:space="preserve"> - صَلَوَاتُ اللهِ عَلَيْهِ - إِذَا خَرَجَ مِنْ مَكَّةَ ، فَأُتِيَ بِثِيَابِهِ ، حَلَقَ رَأْسَهُ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E978C3">
        <w:rPr>
          <w:rtl/>
        </w:rPr>
        <w:t>الوسائل</w:t>
      </w:r>
      <w:r w:rsidR="00744A1C">
        <w:rPr>
          <w:rtl/>
          <w:lang w:bidi="fa-IR"/>
        </w:rPr>
        <w:t xml:space="preserve"> : « أن تبلغ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قال في </w:t>
      </w:r>
      <w:r w:rsidR="00744A1C" w:rsidRPr="00877682">
        <w:rPr>
          <w:rStyle w:val="libFootnoteBoldChar"/>
          <w:rtl/>
        </w:rPr>
        <w:t>الدروس</w:t>
      </w:r>
      <w:r w:rsidR="00744A1C">
        <w:rPr>
          <w:rtl/>
          <w:lang w:bidi="fa-IR"/>
        </w:rPr>
        <w:t xml:space="preserve"> : يستحبّ استقبال القبلة ، والبدأة بالقرن الأيمن من ناصيته ، وتسمية المحلوق ، والدعاء ، والاستقبال إلى العظمين اللذين عند الصدغين منتهى قبالة وتد الا</w:t>
      </w:r>
      <w:r w:rsidR="00E978C3">
        <w:rPr>
          <w:rFonts w:hint="cs"/>
          <w:rtl/>
          <w:lang w:bidi="fa-IR"/>
        </w:rPr>
        <w:t>ُ</w:t>
      </w:r>
      <w:r w:rsidR="00744A1C">
        <w:rPr>
          <w:rtl/>
          <w:lang w:bidi="fa-IR"/>
        </w:rPr>
        <w:t xml:space="preserve">ذنين ». 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453.</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244 ، ح 827 ، معلّقاً عن الكليني </w:t>
      </w:r>
      <w:r w:rsidR="00E978C3">
        <w:rPr>
          <w:rFonts w:hint="cs"/>
          <w:rtl/>
          <w:lang w:bidi="fa-IR"/>
        </w:rPr>
        <w:t>.</w:t>
      </w:r>
      <w:r w:rsidR="00744A1C" w:rsidRPr="00C24F9C">
        <w:rPr>
          <w:rStyle w:val="libFootnoteBoldChar"/>
          <w:rtl/>
        </w:rPr>
        <w:t>الوافي</w:t>
      </w:r>
      <w:r w:rsidR="00744A1C">
        <w:rPr>
          <w:rtl/>
          <w:lang w:bidi="fa-IR"/>
        </w:rPr>
        <w:t xml:space="preserve"> ، ج 14 ، ص 1208 ، ح 14106 ؛ </w:t>
      </w:r>
      <w:r w:rsidR="00744A1C" w:rsidRPr="00C24F9C">
        <w:rPr>
          <w:rStyle w:val="libFootnoteBoldChar"/>
          <w:rtl/>
        </w:rPr>
        <w:t>الوسائل</w:t>
      </w:r>
      <w:r w:rsidR="00744A1C">
        <w:rPr>
          <w:rtl/>
          <w:lang w:bidi="fa-IR"/>
        </w:rPr>
        <w:t xml:space="preserve"> ، ج 14 ، ص 229 ، ح 19058.</w:t>
      </w:r>
    </w:p>
    <w:p w:rsidR="00744A1C" w:rsidRDefault="00E378DD" w:rsidP="00E378DD">
      <w:pPr>
        <w:pStyle w:val="libFootnote0"/>
        <w:rPr>
          <w:lang w:bidi="fa-IR"/>
        </w:rPr>
      </w:pPr>
      <w:r>
        <w:rPr>
          <w:rtl/>
          <w:lang w:bidi="fa-IR"/>
        </w:rPr>
        <w:t>(4).</w:t>
      </w:r>
      <w:r w:rsidR="00744A1C">
        <w:rPr>
          <w:rtl/>
          <w:lang w:bidi="fa-IR"/>
        </w:rPr>
        <w:t xml:space="preserve"> السند معلّق على سابقه. ويروي عن أحمد بن محمّد ، محمّد بن يحيى شيخ المصنّف.</w:t>
      </w:r>
    </w:p>
    <w:p w:rsidR="00744A1C" w:rsidRDefault="00E378DD" w:rsidP="00E378DD">
      <w:pPr>
        <w:pStyle w:val="libFootnote0"/>
        <w:rPr>
          <w:lang w:bidi="fa-IR"/>
        </w:rPr>
      </w:pPr>
      <w:r>
        <w:rPr>
          <w:rtl/>
          <w:lang w:bidi="fa-IR"/>
        </w:rPr>
        <w:t>(5).</w:t>
      </w:r>
      <w:r w:rsidR="00744A1C">
        <w:rPr>
          <w:rtl/>
          <w:lang w:bidi="fa-IR"/>
        </w:rPr>
        <w:t xml:space="preserve"> قال الخليل : « الأنملة : المفصل الأعلى الذي فيه الظُفر من الإصبع ». وقال الجوهري : « الأنملة بالفتح : واحدة الأنامل ، وهي رؤوس الأصابع ». وقال الفيّومي : « الأنملة : من الأصابع العُقْدَة » ، ثمّ نقل فيه تسع لغات : تثليث الميم والهمزة. راجع : </w:t>
      </w:r>
      <w:r w:rsidR="00744A1C" w:rsidRPr="00E978C3">
        <w:rPr>
          <w:rStyle w:val="libFootnoteBoldChar"/>
          <w:rtl/>
        </w:rPr>
        <w:t>ترتيب كتاب العين</w:t>
      </w:r>
      <w:r w:rsidR="00744A1C">
        <w:rPr>
          <w:rtl/>
          <w:lang w:bidi="fa-IR"/>
        </w:rPr>
        <w:t xml:space="preserve"> ، ج 3 ، ص 1844 ؛ </w:t>
      </w:r>
      <w:r w:rsidR="00744A1C" w:rsidRPr="00E978C3">
        <w:rPr>
          <w:rStyle w:val="libFootnoteBoldChar"/>
          <w:rtl/>
        </w:rPr>
        <w:t>الصحاح</w:t>
      </w:r>
      <w:r w:rsidR="00744A1C">
        <w:rPr>
          <w:rtl/>
          <w:lang w:bidi="fa-IR"/>
        </w:rPr>
        <w:t xml:space="preserve"> ، ج 5 ، ص 1836 ؛ </w:t>
      </w:r>
      <w:r w:rsidR="00744A1C" w:rsidRPr="00E978C3">
        <w:rPr>
          <w:rStyle w:val="libFootnoteBoldChar"/>
          <w:rtl/>
        </w:rPr>
        <w:t>المصباح المنير</w:t>
      </w:r>
      <w:r w:rsidR="00744A1C">
        <w:rPr>
          <w:rtl/>
          <w:lang w:bidi="fa-IR"/>
        </w:rPr>
        <w:t xml:space="preserve"> ، ص 626 ( نمل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244 ، ح 824 ، معلّقاً عن أحمد بن محمّد بن عيسى ، عن ابن أبي عمير ، مع اختلاف يسير </w:t>
      </w:r>
      <w:r w:rsidR="00E978C3">
        <w:rPr>
          <w:rFonts w:hint="cs"/>
          <w:rtl/>
          <w:lang w:bidi="fa-IR"/>
        </w:rPr>
        <w:t>.</w:t>
      </w:r>
      <w:r w:rsidR="00744A1C" w:rsidRPr="00C24F9C">
        <w:rPr>
          <w:rStyle w:val="libFootnoteBoldChar"/>
          <w:rtl/>
        </w:rPr>
        <w:t>الوافي</w:t>
      </w:r>
      <w:r w:rsidR="00744A1C">
        <w:rPr>
          <w:rtl/>
          <w:lang w:bidi="fa-IR"/>
        </w:rPr>
        <w:t xml:space="preserve"> ، ج 13 ، ص 959 ، ح 13537 ؛ </w:t>
      </w:r>
      <w:r w:rsidR="00744A1C" w:rsidRPr="00C24F9C">
        <w:rPr>
          <w:rStyle w:val="libFootnoteBoldChar"/>
          <w:rtl/>
        </w:rPr>
        <w:t>الوسائل</w:t>
      </w:r>
      <w:r w:rsidR="00744A1C">
        <w:rPr>
          <w:rtl/>
          <w:lang w:bidi="fa-IR"/>
        </w:rPr>
        <w:t xml:space="preserve"> ، ج 13 ، ص 508 ، ذيل ح 18324.</w:t>
      </w:r>
    </w:p>
    <w:p w:rsidR="00744A1C" w:rsidRDefault="00E378DD" w:rsidP="00E378DD">
      <w:pPr>
        <w:pStyle w:val="libFootnote0"/>
        <w:rPr>
          <w:lang w:bidi="fa-IR"/>
        </w:rPr>
      </w:pPr>
      <w:r>
        <w:rPr>
          <w:rtl/>
          <w:lang w:bidi="fa-IR"/>
        </w:rPr>
        <w:t>(7).</w:t>
      </w:r>
      <w:r w:rsidR="00744A1C">
        <w:rPr>
          <w:rtl/>
          <w:lang w:bidi="fa-IR"/>
        </w:rPr>
        <w:t xml:space="preserve"> السند معلّق ، كسابقه.</w:t>
      </w:r>
    </w:p>
    <w:p w:rsidR="00744A1C" w:rsidRDefault="00E378DD" w:rsidP="00E378DD">
      <w:pPr>
        <w:pStyle w:val="libFootnote0"/>
        <w:rPr>
          <w:lang w:bidi="fa-IR"/>
        </w:rPr>
      </w:pPr>
      <w:r>
        <w:rPr>
          <w:rtl/>
          <w:lang w:bidi="fa-IR"/>
        </w:rPr>
        <w:t>(8).</w:t>
      </w:r>
      <w:r w:rsidR="00744A1C">
        <w:rPr>
          <w:rtl/>
          <w:lang w:bidi="fa-IR"/>
        </w:rPr>
        <w:t xml:space="preserve"> هكذا في « ى ، بح ، بخ ، بف ، جد ، جر ، جن ». وفي « بث ، بس » والمطبوع </w:t>
      </w:r>
      <w:r w:rsidR="00744A1C" w:rsidRPr="00E978C3">
        <w:rPr>
          <w:rtl/>
        </w:rPr>
        <w:t>والوسائل</w:t>
      </w:r>
      <w:r w:rsidR="00744A1C">
        <w:rPr>
          <w:rtl/>
          <w:lang w:bidi="fa-IR"/>
        </w:rPr>
        <w:t xml:space="preserve"> : + « الرضا ».</w:t>
      </w:r>
    </w:p>
    <w:p w:rsidR="00744A1C" w:rsidRDefault="00E378DD" w:rsidP="00E378DD">
      <w:pPr>
        <w:pStyle w:val="libFootnote0"/>
        <w:rPr>
          <w:lang w:bidi="fa-IR"/>
        </w:rPr>
      </w:pPr>
      <w:r>
        <w:rPr>
          <w:rtl/>
          <w:lang w:bidi="fa-IR"/>
        </w:rPr>
        <w:t>(9).</w:t>
      </w:r>
      <w:r w:rsidR="00744A1C">
        <w:rPr>
          <w:rtl/>
          <w:lang w:bidi="fa-IR"/>
        </w:rPr>
        <w:t xml:space="preserve"> في « بث ، بس ، بف ، جد ، جن » : « إنّي ».</w:t>
      </w:r>
    </w:p>
    <w:p w:rsidR="00744A1C" w:rsidRDefault="00E378DD" w:rsidP="00E378DD">
      <w:pPr>
        <w:pStyle w:val="libFootnote0"/>
        <w:rPr>
          <w:lang w:bidi="fa-IR"/>
        </w:rPr>
      </w:pPr>
      <w:r>
        <w:rPr>
          <w:rtl/>
          <w:lang w:bidi="fa-IR"/>
        </w:rPr>
        <w:t>(10).</w:t>
      </w:r>
      <w:r w:rsidR="00744A1C">
        <w:rPr>
          <w:rtl/>
          <w:lang w:bidi="fa-IR"/>
        </w:rPr>
        <w:t xml:space="preserve"> في « بس » : « طلبت ».</w:t>
      </w:r>
    </w:p>
    <w:p w:rsidR="00744A1C" w:rsidRDefault="00E378DD" w:rsidP="00E378DD">
      <w:pPr>
        <w:pStyle w:val="libFootnote0"/>
        <w:rPr>
          <w:lang w:bidi="fa-IR"/>
        </w:rPr>
      </w:pPr>
      <w:r>
        <w:rPr>
          <w:rtl/>
          <w:lang w:bidi="fa-IR"/>
        </w:rPr>
        <w:t>(11).</w:t>
      </w:r>
      <w:r w:rsidR="00744A1C">
        <w:rPr>
          <w:rtl/>
          <w:lang w:bidi="fa-IR"/>
        </w:rPr>
        <w:t xml:space="preserve"> في « بث » وحاشية « ى » : « أبو عبد الله ». وفي « جن » : + « موسى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وَقَالَ فِي قَوْلِ اللهِ </w:t>
      </w:r>
      <w:r w:rsidRPr="00D10E3C">
        <w:rPr>
          <w:rStyle w:val="libFootnotenumChar"/>
          <w:rtl/>
        </w:rPr>
        <w:t>(1)</w:t>
      </w:r>
      <w:r>
        <w:rPr>
          <w:rtl/>
          <w:lang w:bidi="fa-IR"/>
        </w:rPr>
        <w:t xml:space="preserve"> عَزَّ وَجَلَّ : </w:t>
      </w:r>
      <w:r w:rsidRPr="00877682">
        <w:rPr>
          <w:rStyle w:val="libAlaemChar"/>
          <w:rtl/>
        </w:rPr>
        <w:t>(</w:t>
      </w:r>
      <w:r w:rsidRPr="00877682">
        <w:rPr>
          <w:rStyle w:val="libAieChar"/>
          <w:rtl/>
        </w:rPr>
        <w:t xml:space="preserve"> ثُمَّ لْيَقْضُوا تَفَثَهُمْ وَلْيُوفُوا نُذُورَهُمْ </w:t>
      </w:r>
      <w:r w:rsidRPr="00877682">
        <w:rPr>
          <w:rStyle w:val="libAlaemChar"/>
          <w:rtl/>
        </w:rPr>
        <w:t>)</w:t>
      </w:r>
      <w:r>
        <w:rPr>
          <w:rtl/>
          <w:lang w:bidi="fa-IR"/>
        </w:rPr>
        <w:t xml:space="preserve"> </w:t>
      </w:r>
      <w:r w:rsidRPr="00D10E3C">
        <w:rPr>
          <w:rStyle w:val="libFootnotenumChar"/>
          <w:rtl/>
        </w:rPr>
        <w:t>(2)</w:t>
      </w:r>
      <w:r>
        <w:rPr>
          <w:rtl/>
          <w:lang w:bidi="fa-IR"/>
        </w:rPr>
        <w:t xml:space="preserve"> قَالَ : « التَّفَثُ : تَقْلِيمُ الْأَظْفَارِ ، وَطَرْحُ الْوَسَخِ ، وَطَرْحُ الْإِحْرَامِ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 xml:space="preserve">7910 / 13. مُحَمَّدُ بْنُ يَحْيى ، عَنْ مُحَمَّدِ بْنِ أَحْمَدَ ، عَنْ مُحَمَّدِ بْنِ عِيسى </w:t>
      </w:r>
      <w:r w:rsidRPr="00D10E3C">
        <w:rPr>
          <w:rStyle w:val="libFootnotenumChar"/>
          <w:rtl/>
        </w:rPr>
        <w:t>(5)</w:t>
      </w:r>
      <w:r>
        <w:rPr>
          <w:rtl/>
          <w:lang w:bidi="fa-IR"/>
        </w:rPr>
        <w:t xml:space="preserve"> ، عَنْ يَاسِينَ الضَّرِيرِ </w:t>
      </w:r>
      <w:r w:rsidRPr="00D10E3C">
        <w:rPr>
          <w:rStyle w:val="libFootnotenumChar"/>
          <w:rtl/>
        </w:rPr>
        <w:t>(6)</w:t>
      </w:r>
      <w:r>
        <w:rPr>
          <w:rtl/>
          <w:lang w:bidi="fa-IR"/>
        </w:rPr>
        <w:t xml:space="preserve"> ، عَنْ حَرِيزٍ ، عَنْ زُرَارَةَ :</w:t>
      </w:r>
    </w:p>
    <w:p w:rsidR="00144FA6" w:rsidRDefault="00744A1C" w:rsidP="00744A1C">
      <w:pPr>
        <w:pStyle w:val="libNormal"/>
        <w:rPr>
          <w:rtl/>
          <w:lang w:bidi="fa-IR"/>
        </w:rPr>
      </w:pPr>
      <w:r>
        <w:rPr>
          <w:rtl/>
          <w:lang w:bidi="fa-IR"/>
        </w:rPr>
        <w:t xml:space="preserve">أَنَّ رَجُلاً مِنْ أَهْلِ خُرَاسَانَ قَدِمَ حَاجّاً ، وَكَانَ أَقْرَعَ </w:t>
      </w:r>
      <w:r w:rsidRPr="00D10E3C">
        <w:rPr>
          <w:rStyle w:val="libFootnotenumChar"/>
          <w:rtl/>
        </w:rPr>
        <w:t>(7)</w:t>
      </w:r>
      <w:r>
        <w:rPr>
          <w:rtl/>
          <w:lang w:bidi="fa-IR"/>
        </w:rPr>
        <w:t xml:space="preserve"> الرَّأْسِ لَايُحْسِنُ أَنْ يُلَبِّيَ ، فَاسْتُفْتِيَ لَهُ أَبُو عَبْدِ اللهِ </w:t>
      </w:r>
      <w:r w:rsidR="0061079A" w:rsidRPr="0061079A">
        <w:rPr>
          <w:rStyle w:val="libAlaemChar"/>
          <w:rtl/>
        </w:rPr>
        <w:t>عليه‌السلام</w:t>
      </w:r>
      <w:r w:rsidR="00D10E3C">
        <w:rPr>
          <w:rtl/>
          <w:lang w:bidi="fa-IR"/>
        </w:rPr>
        <w:t xml:space="preserve"> </w:t>
      </w:r>
      <w:r>
        <w:rPr>
          <w:rtl/>
          <w:lang w:bidi="fa-IR"/>
        </w:rPr>
        <w:t xml:space="preserve">، فَأَمَرَ أَنْ يُلَبّى عَنْهُ </w:t>
      </w:r>
      <w:r w:rsidRPr="00D10E3C">
        <w:rPr>
          <w:rStyle w:val="libFootnotenumChar"/>
          <w:rtl/>
        </w:rPr>
        <w:t>(8)</w:t>
      </w:r>
      <w:r>
        <w:rPr>
          <w:rtl/>
          <w:lang w:bidi="fa-IR"/>
        </w:rPr>
        <w:t xml:space="preserve"> ، وَيُمَرَّ </w:t>
      </w:r>
      <w:r w:rsidRPr="00D10E3C">
        <w:rPr>
          <w:rStyle w:val="libFootnotenumChar"/>
          <w:rtl/>
        </w:rPr>
        <w:t>(9)</w:t>
      </w:r>
      <w:r>
        <w:rPr>
          <w:rtl/>
          <w:lang w:bidi="fa-IR"/>
        </w:rPr>
        <w:t xml:space="preserve"> الْمُوسى عَلى رَأْسِهِ ، فَإِنَّ ذلِكَ يُجْزِئُ عَنْهُ. </w:t>
      </w:r>
      <w:r w:rsidRPr="00D10E3C">
        <w:rPr>
          <w:rStyle w:val="libFootnotenumChar"/>
          <w:rtl/>
        </w:rPr>
        <w:t>(10)</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877682" w:rsidTr="00877682">
        <w:tc>
          <w:tcPr>
            <w:tcW w:w="4006" w:type="dxa"/>
          </w:tcPr>
          <w:p w:rsidR="00877682" w:rsidRDefault="00877682" w:rsidP="00D10E3C">
            <w:pPr>
              <w:pStyle w:val="libFootnote0"/>
              <w:rPr>
                <w:rtl/>
                <w:lang w:bidi="fa-IR"/>
              </w:rPr>
            </w:pPr>
            <w:r>
              <w:rPr>
                <w:rtl/>
                <w:lang w:bidi="fa-IR"/>
              </w:rPr>
              <w:t>(1). في « ى » : « قوله ».</w:t>
            </w:r>
          </w:p>
        </w:tc>
        <w:tc>
          <w:tcPr>
            <w:tcW w:w="4006" w:type="dxa"/>
          </w:tcPr>
          <w:p w:rsidR="00877682" w:rsidRDefault="00877682" w:rsidP="00D10E3C">
            <w:pPr>
              <w:pStyle w:val="libFootnote0"/>
              <w:rPr>
                <w:rtl/>
                <w:lang w:bidi="fa-IR"/>
              </w:rPr>
            </w:pPr>
            <w:r>
              <w:rPr>
                <w:rtl/>
                <w:lang w:bidi="fa-IR"/>
              </w:rPr>
              <w:t>(2). الحجّ (22) : 29.</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يدلّ على عدم كراهة الحلق بمنى بعد الحلق الواجب ».</w:t>
      </w:r>
    </w:p>
    <w:p w:rsidR="00744A1C" w:rsidRDefault="00E378DD" w:rsidP="00877682">
      <w:pPr>
        <w:pStyle w:val="libFootnote0"/>
        <w:rPr>
          <w:lang w:bidi="fa-IR"/>
        </w:rPr>
      </w:pPr>
      <w:r>
        <w:rPr>
          <w:rtl/>
          <w:lang w:bidi="fa-IR"/>
        </w:rPr>
        <w:t>(4).</w:t>
      </w:r>
      <w:r w:rsidR="00744A1C">
        <w:rPr>
          <w:rtl/>
          <w:lang w:bidi="fa-IR"/>
        </w:rPr>
        <w:t xml:space="preserve"> </w:t>
      </w:r>
      <w:r w:rsidR="00744A1C" w:rsidRPr="00877682">
        <w:rPr>
          <w:rStyle w:val="libFootnoteBoldChar"/>
          <w:rtl/>
        </w:rPr>
        <w:t>قرب الإسناد</w:t>
      </w:r>
      <w:r w:rsidR="00744A1C">
        <w:rPr>
          <w:rtl/>
          <w:lang w:bidi="fa-IR"/>
        </w:rPr>
        <w:t xml:space="preserve"> ، ص 358 ، ح 1280 ، عن أحمد بن محمّد ، عن أحمد بن محمّد بن أبي نصر ، من قوله : « وقال في قوله الله عزّ وجلّ</w:t>
      </w:r>
      <w:r w:rsidR="00877682">
        <w:rPr>
          <w:rFonts w:hint="cs"/>
          <w:rtl/>
          <w:lang w:bidi="fa-IR"/>
        </w:rPr>
        <w:t xml:space="preserve"> </w:t>
      </w:r>
      <w:r w:rsidR="00744A1C" w:rsidRPr="00877682">
        <w:rPr>
          <w:rStyle w:val="libFootnoteAlaemChar"/>
          <w:rtl/>
        </w:rPr>
        <w:t>(</w:t>
      </w:r>
      <w:r w:rsidR="00744A1C" w:rsidRPr="00877682">
        <w:rPr>
          <w:rStyle w:val="libFootnoteAieChar"/>
          <w:rtl/>
        </w:rPr>
        <w:t xml:space="preserve"> ثُمَّ لْيَقْضُوا </w:t>
      </w:r>
      <w:r w:rsidR="00744A1C" w:rsidRPr="00877682">
        <w:rPr>
          <w:rStyle w:val="libFootnoteAlaemChar"/>
          <w:rtl/>
        </w:rPr>
        <w:t>)</w:t>
      </w:r>
      <w:r w:rsidR="00744A1C">
        <w:rPr>
          <w:rtl/>
          <w:lang w:bidi="fa-IR"/>
        </w:rPr>
        <w:t xml:space="preserve"> » مع زيادة في آخره. وفيه ، ص 387 ، ح 1359 ، بسنده عن أحمد بن محمّد بن أبي نصر ، إلى قوله : « فا</w:t>
      </w:r>
      <w:r w:rsidR="00877682">
        <w:rPr>
          <w:rFonts w:hint="cs"/>
          <w:rtl/>
          <w:lang w:bidi="fa-IR"/>
        </w:rPr>
        <w:t>ُ</w:t>
      </w:r>
      <w:r w:rsidR="00744A1C">
        <w:rPr>
          <w:rtl/>
          <w:lang w:bidi="fa-IR"/>
        </w:rPr>
        <w:t xml:space="preserve">تي بثيابه حلق رأسه ». وفي </w:t>
      </w:r>
      <w:r w:rsidR="00744A1C" w:rsidRPr="00877682">
        <w:rPr>
          <w:rStyle w:val="libFootnoteBoldChar"/>
          <w:rtl/>
        </w:rPr>
        <w:t>عيون الأخبار</w:t>
      </w:r>
      <w:r w:rsidR="00744A1C">
        <w:rPr>
          <w:rtl/>
          <w:lang w:bidi="fa-IR"/>
        </w:rPr>
        <w:t xml:space="preserve"> ، ج 1 ، ص 312 ، ح 82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339 ، ح 4 ، بسندهما عن أحمد بن محمّد بن عيسى ، عن أحمد بن محمّد بن أبي نصر ، من قوله : « وقال في قول الله عزّ وجلّ : </w:t>
      </w:r>
      <w:r w:rsidR="00877682" w:rsidRPr="00877682">
        <w:rPr>
          <w:rStyle w:val="libFootnoteAlaemChar"/>
          <w:rtl/>
        </w:rPr>
        <w:t>(</w:t>
      </w:r>
      <w:r w:rsidR="00877682" w:rsidRPr="00877682">
        <w:rPr>
          <w:rStyle w:val="libFootnoteAieChar"/>
          <w:rtl/>
        </w:rPr>
        <w:t xml:space="preserve"> ثُمَّ لْيَقْضُوا </w:t>
      </w:r>
      <w:r w:rsidR="00877682" w:rsidRPr="00877682">
        <w:rPr>
          <w:rStyle w:val="libFootnoteAlaemChar"/>
          <w:rtl/>
        </w:rPr>
        <w:t>)</w:t>
      </w:r>
      <w:r w:rsidR="00744A1C">
        <w:rPr>
          <w:rtl/>
          <w:lang w:bidi="fa-IR"/>
        </w:rPr>
        <w:t xml:space="preserve"> ». </w:t>
      </w:r>
      <w:r w:rsidR="00744A1C" w:rsidRPr="00C24F9C">
        <w:rPr>
          <w:rStyle w:val="libFootnoteBoldChar"/>
          <w:rtl/>
        </w:rPr>
        <w:t>الفقيه</w:t>
      </w:r>
      <w:r w:rsidR="00744A1C">
        <w:rPr>
          <w:rtl/>
          <w:lang w:bidi="fa-IR"/>
        </w:rPr>
        <w:t xml:space="preserve"> ، ج 2 ، ص 485 ، ح 3035 ، معلّقاً عن البزنطي ، عن الرضا </w:t>
      </w:r>
      <w:r w:rsidR="0061079A" w:rsidRPr="0061079A">
        <w:rPr>
          <w:rStyle w:val="libFootnoteAlaemChar"/>
          <w:rtl/>
        </w:rPr>
        <w:t>عليه‌السلام</w:t>
      </w:r>
      <w:r w:rsidR="00D10E3C">
        <w:rPr>
          <w:rtl/>
          <w:lang w:bidi="fa-IR"/>
        </w:rPr>
        <w:t xml:space="preserve"> </w:t>
      </w:r>
      <w:r w:rsidR="00744A1C">
        <w:rPr>
          <w:rtl/>
          <w:lang w:bidi="fa-IR"/>
        </w:rPr>
        <w:t xml:space="preserve">، من قوله : « التفث تقليم الأظفار » </w:t>
      </w:r>
      <w:r w:rsidR="00877682">
        <w:rPr>
          <w:rFonts w:hint="cs"/>
          <w:rtl/>
          <w:lang w:bidi="fa-IR"/>
        </w:rPr>
        <w:t>.</w:t>
      </w:r>
      <w:r w:rsidR="00744A1C" w:rsidRPr="00C24F9C">
        <w:rPr>
          <w:rStyle w:val="libFootnoteBoldChar"/>
          <w:rtl/>
        </w:rPr>
        <w:t>الوافي</w:t>
      </w:r>
      <w:r w:rsidR="00744A1C">
        <w:rPr>
          <w:rtl/>
          <w:lang w:bidi="fa-IR"/>
        </w:rPr>
        <w:t xml:space="preserve"> ، ج 14 ، ص 1205 ، ح 14095 ؛ </w:t>
      </w:r>
      <w:r w:rsidR="00744A1C" w:rsidRPr="00C24F9C">
        <w:rPr>
          <w:rStyle w:val="libFootnoteBoldChar"/>
          <w:rtl/>
        </w:rPr>
        <w:t>الوسائل</w:t>
      </w:r>
      <w:r w:rsidR="00744A1C">
        <w:rPr>
          <w:rtl/>
          <w:lang w:bidi="fa-IR"/>
        </w:rPr>
        <w:t xml:space="preserve"> ، ج 14 ، ص 212 ، ذيل ح 19012 ؛ وص 230 ، ح 19063.</w:t>
      </w:r>
    </w:p>
    <w:p w:rsidR="00744A1C" w:rsidRDefault="00E378DD" w:rsidP="00E378DD">
      <w:pPr>
        <w:pStyle w:val="libFootnote0"/>
        <w:rPr>
          <w:lang w:bidi="fa-IR"/>
        </w:rPr>
      </w:pPr>
      <w:r>
        <w:rPr>
          <w:rtl/>
          <w:lang w:bidi="fa-IR"/>
        </w:rPr>
        <w:t>(5).</w:t>
      </w:r>
      <w:r w:rsidR="00744A1C">
        <w:rPr>
          <w:rtl/>
          <w:lang w:bidi="fa-IR"/>
        </w:rPr>
        <w:t xml:space="preserve"> في </w:t>
      </w:r>
      <w:r w:rsidR="00744A1C" w:rsidRPr="00877682">
        <w:rPr>
          <w:rtl/>
        </w:rPr>
        <w:t>الوسائل</w:t>
      </w:r>
      <w:r w:rsidR="00744A1C">
        <w:rPr>
          <w:rtl/>
          <w:lang w:bidi="fa-IR"/>
        </w:rPr>
        <w:t xml:space="preserve"> : « محمّد بن أحمد بن عيسى » بدل « محمّد بن أحمد عن محمّد بن عيسى ». وهو سهو واضح.</w:t>
      </w:r>
    </w:p>
    <w:p w:rsidR="00744A1C" w:rsidRDefault="00E378DD" w:rsidP="00E378DD">
      <w:pPr>
        <w:pStyle w:val="libFootnote0"/>
        <w:rPr>
          <w:lang w:bidi="fa-IR"/>
        </w:rPr>
      </w:pPr>
      <w:r>
        <w:rPr>
          <w:rtl/>
          <w:lang w:bidi="fa-IR"/>
        </w:rPr>
        <w:t>(6).</w:t>
      </w:r>
      <w:r w:rsidR="00744A1C">
        <w:rPr>
          <w:rtl/>
          <w:lang w:bidi="fa-IR"/>
        </w:rPr>
        <w:t xml:space="preserve"> في « ى ، بث ، بخ ، بف ، جر ، جن » : - « الضرير ».</w:t>
      </w:r>
    </w:p>
    <w:p w:rsidR="00744A1C" w:rsidRDefault="00E378DD" w:rsidP="00E378DD">
      <w:pPr>
        <w:pStyle w:val="libFootnote0"/>
        <w:rPr>
          <w:lang w:bidi="fa-IR"/>
        </w:rPr>
      </w:pPr>
      <w:r>
        <w:rPr>
          <w:rtl/>
          <w:lang w:bidi="fa-IR"/>
        </w:rPr>
        <w:t>(7).</w:t>
      </w:r>
      <w:r w:rsidR="00744A1C">
        <w:rPr>
          <w:rtl/>
          <w:lang w:bidi="fa-IR"/>
        </w:rPr>
        <w:t xml:space="preserve"> الأَقْرَعُ : الذي لاشَعْرَ له على رأسه. </w:t>
      </w:r>
      <w:r w:rsidR="00744A1C" w:rsidRPr="00877682">
        <w:rPr>
          <w:rStyle w:val="libFootnoteBoldChar"/>
          <w:rtl/>
        </w:rPr>
        <w:t>لسان العرب</w:t>
      </w:r>
      <w:r w:rsidR="00744A1C">
        <w:rPr>
          <w:rtl/>
          <w:lang w:bidi="fa-IR"/>
        </w:rPr>
        <w:t xml:space="preserve"> ، ج 8 ، ص 262 ( قرع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هذا موافق لمذهب ابن الجنيد ، والمشهور أنّه يعقد قلبه ويشير بإصبعه. قال في </w:t>
      </w:r>
      <w:r w:rsidR="00744A1C" w:rsidRPr="00877682">
        <w:rPr>
          <w:rStyle w:val="libFootnoteBoldChar"/>
          <w:rtl/>
        </w:rPr>
        <w:t>الدروس</w:t>
      </w:r>
      <w:r w:rsidR="00744A1C">
        <w:rPr>
          <w:rtl/>
          <w:lang w:bidi="fa-IR"/>
        </w:rPr>
        <w:t xml:space="preserve"> : والأخرس يعقد بالتلبية قلبه ، ويحرّك لسانه ، ويشير بإصبعه. وقال ابن الجنيد : يلبّي غيره عنه ، ولو تعذّر على الأعجمي ففي ترجمتها نظر ، وروى حسن أنّ غيره يلبّي عنه ». 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347 ؛ </w:t>
      </w:r>
      <w:r w:rsidR="00744A1C" w:rsidRPr="00877682">
        <w:rPr>
          <w:rStyle w:val="libFootnoteBoldChar"/>
          <w:rtl/>
        </w:rPr>
        <w:t>مختلف الشيعة</w:t>
      </w:r>
      <w:r w:rsidR="00744A1C">
        <w:rPr>
          <w:rtl/>
          <w:lang w:bidi="fa-IR"/>
        </w:rPr>
        <w:t xml:space="preserve"> ، ج 1 ، ص 266 ؛ </w:t>
      </w:r>
      <w:r w:rsidR="00744A1C" w:rsidRPr="00C24F9C">
        <w:rPr>
          <w:rStyle w:val="libFootnoteBoldChar"/>
          <w:rtl/>
        </w:rPr>
        <w:t>مدارك الأحكام</w:t>
      </w:r>
      <w:r w:rsidR="00744A1C">
        <w:rPr>
          <w:rtl/>
          <w:lang w:bidi="fa-IR"/>
        </w:rPr>
        <w:t xml:space="preserve"> ، ج 8 ، ص 98.</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 « وأن يمرّ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5 ، ص 244 ، ح 828 ، معلّقاً عن الكليني. </w:t>
      </w:r>
      <w:r w:rsidR="00744A1C" w:rsidRPr="00877682">
        <w:rPr>
          <w:rStyle w:val="libFootnoteBoldChar"/>
          <w:rtl/>
        </w:rPr>
        <w:t>الجعفريّات</w:t>
      </w:r>
      <w:r w:rsidR="00744A1C">
        <w:rPr>
          <w:rtl/>
          <w:lang w:bidi="fa-IR"/>
        </w:rPr>
        <w:t xml:space="preserve"> ، ص 70 ، بسند آخر عن جعفر بن محمّد ، عن آبائه ، عن عليّ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w:t>
      </w:r>
      <w:r w:rsidR="00877682">
        <w:rPr>
          <w:rFonts w:hint="cs"/>
          <w:rtl/>
          <w:lang w:bidi="fa-IR"/>
        </w:rPr>
        <w:t>.</w:t>
      </w:r>
      <w:r w:rsidR="00744A1C" w:rsidRPr="00C24F9C">
        <w:rPr>
          <w:rStyle w:val="libFootnoteBoldChar"/>
          <w:rtl/>
        </w:rPr>
        <w:t>الوافي</w:t>
      </w:r>
      <w:r w:rsidR="00744A1C">
        <w:rPr>
          <w:rtl/>
          <w:lang w:bidi="fa-IR"/>
        </w:rPr>
        <w:t xml:space="preserve"> ، ج 14 ، ص 1209 ، ح 14107 ؛ </w:t>
      </w:r>
      <w:r w:rsidR="00744A1C" w:rsidRPr="00C24F9C">
        <w:rPr>
          <w:rStyle w:val="libFootnoteBoldChar"/>
          <w:rtl/>
        </w:rPr>
        <w:t>الوسائل</w:t>
      </w:r>
      <w:r w:rsidR="00744A1C">
        <w:rPr>
          <w:rtl/>
          <w:lang w:bidi="fa-IR"/>
        </w:rPr>
        <w:t xml:space="preserve"> ، ج 14 ، ص 230 ، ح 19061.</w:t>
      </w:r>
    </w:p>
    <w:p w:rsidR="00150943" w:rsidRDefault="00150943" w:rsidP="00D10E3C">
      <w:pPr>
        <w:pStyle w:val="libNormal"/>
        <w:rPr>
          <w:rtl/>
          <w:lang w:bidi="fa-IR"/>
        </w:rPr>
      </w:pPr>
      <w:r>
        <w:rPr>
          <w:rtl/>
          <w:lang w:bidi="fa-IR"/>
        </w:rPr>
        <w:br w:type="page"/>
      </w:r>
    </w:p>
    <w:p w:rsidR="00744A1C" w:rsidRDefault="00744A1C" w:rsidP="00877682">
      <w:pPr>
        <w:pStyle w:val="Heading2Center"/>
        <w:rPr>
          <w:lang w:bidi="fa-IR"/>
        </w:rPr>
      </w:pPr>
      <w:bookmarkStart w:id="34" w:name="_Toc49261332"/>
      <w:r>
        <w:rPr>
          <w:rtl/>
          <w:lang w:bidi="fa-IR"/>
        </w:rPr>
        <w:lastRenderedPageBreak/>
        <w:t xml:space="preserve">189 - بَابُ مَنْ قَدَّمَ شَيْئاً أَوْ أَخَّرَهُ </w:t>
      </w:r>
      <w:r w:rsidRPr="00D10E3C">
        <w:rPr>
          <w:rStyle w:val="libFootnotenumChar"/>
          <w:rtl/>
        </w:rPr>
        <w:t>(1)</w:t>
      </w:r>
      <w:r>
        <w:rPr>
          <w:rtl/>
          <w:lang w:bidi="fa-IR"/>
        </w:rPr>
        <w:t xml:space="preserve"> مِنْ مَنَاسِكِهِ‌</w:t>
      </w:r>
      <w:bookmarkEnd w:id="34"/>
    </w:p>
    <w:p w:rsidR="00144FA6" w:rsidRDefault="00744A1C" w:rsidP="00744A1C">
      <w:pPr>
        <w:pStyle w:val="libNormal"/>
        <w:rPr>
          <w:rtl/>
          <w:lang w:bidi="fa-IR"/>
        </w:rPr>
      </w:pPr>
      <w:r>
        <w:rPr>
          <w:rtl/>
          <w:lang w:bidi="fa-IR"/>
        </w:rPr>
        <w:t>7911 / 1. عَلِيُّ بْنُ إِبْرَاهِيمَ ، عَنْ أَبِيهِ ، عَنِ ابْنِ أَبِي عُمَيْرٍ ، عَنْ جَمِيلِ بْنِ دَرَّاجٍ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الرَّجُلِ يَزُورُ الْبَيْتَ قَبْلَ أَنْ يَحْلِقَ؟</w:t>
      </w:r>
    </w:p>
    <w:p w:rsidR="00144FA6" w:rsidRDefault="00877682" w:rsidP="00744A1C">
      <w:pPr>
        <w:pStyle w:val="libNormal"/>
        <w:rPr>
          <w:rtl/>
          <w:lang w:bidi="fa-IR"/>
        </w:rPr>
      </w:pPr>
      <w:r>
        <w:rPr>
          <w:rtl/>
          <w:lang w:bidi="fa-IR"/>
        </w:rPr>
        <w:t>قَالَ : « لَا يَنْبَغِي إِل</w:t>
      </w:r>
      <w:r>
        <w:rPr>
          <w:rFonts w:hint="cs"/>
          <w:rtl/>
          <w:lang w:bidi="fa-IR"/>
        </w:rPr>
        <w:t>َّ</w:t>
      </w:r>
      <w:r>
        <w:rPr>
          <w:rtl/>
          <w:lang w:bidi="fa-IR"/>
        </w:rPr>
        <w:t>ا</w:t>
      </w:r>
      <w:r w:rsidR="00744A1C">
        <w:rPr>
          <w:rtl/>
          <w:lang w:bidi="fa-IR"/>
        </w:rPr>
        <w:t xml:space="preserve"> أَنْ يَكُونَ نَاسِياً » ثُمَّ قَالَ : « إِنَّ رَسُولَ اللهِ </w:t>
      </w:r>
      <w:r w:rsidR="0061079A" w:rsidRPr="0061079A">
        <w:rPr>
          <w:rStyle w:val="libAlaemChar"/>
          <w:rtl/>
        </w:rPr>
        <w:t>صلى‌الله‌عليه‌وآله</w:t>
      </w:r>
      <w:r w:rsidR="00D10E3C">
        <w:rPr>
          <w:rtl/>
          <w:lang w:bidi="fa-IR"/>
        </w:rPr>
        <w:t xml:space="preserve"> </w:t>
      </w:r>
      <w:r w:rsidR="00744A1C">
        <w:rPr>
          <w:rtl/>
          <w:lang w:bidi="fa-IR"/>
        </w:rPr>
        <w:t xml:space="preserve">أَتَاهُ أُنَاسٌ يَوْمَ النَّحْرِ ، فَقَالَ بَعْضُهُمْ : يَا رَسُولَ اللهِ ، إِنِّي </w:t>
      </w:r>
      <w:r w:rsidR="00744A1C" w:rsidRPr="00D10E3C">
        <w:rPr>
          <w:rStyle w:val="libFootnotenumChar"/>
          <w:rtl/>
        </w:rPr>
        <w:t>(2)</w:t>
      </w:r>
      <w:r w:rsidR="00744A1C">
        <w:rPr>
          <w:rtl/>
          <w:lang w:bidi="fa-IR"/>
        </w:rPr>
        <w:t xml:space="preserve"> حَلَقْتُ قَبْلَ أَنْ أَذْبَحَ ، وَقَالَ بَعْضُهُمْ : حَلَقْتُ قَبْلَ أَنْ أَرْمِيَ ، فَلَمْ يَتْرُكُوا شَيْئاً كَانَ يَنْبَغِي لَهُمْ </w:t>
      </w:r>
      <w:r w:rsidR="00744A1C" w:rsidRPr="00D10E3C">
        <w:rPr>
          <w:rStyle w:val="libFootnotenumChar"/>
          <w:rtl/>
        </w:rPr>
        <w:t>(3)</w:t>
      </w:r>
      <w:r>
        <w:rPr>
          <w:rtl/>
          <w:lang w:bidi="fa-IR"/>
        </w:rPr>
        <w:t xml:space="preserve"> أَنْ يُؤَخِّرُوهُ إِل</w:t>
      </w:r>
      <w:r>
        <w:rPr>
          <w:rFonts w:hint="cs"/>
          <w:rtl/>
          <w:lang w:bidi="fa-IR"/>
        </w:rPr>
        <w:t>َّ</w:t>
      </w:r>
      <w:r>
        <w:rPr>
          <w:rtl/>
          <w:lang w:bidi="fa-IR"/>
        </w:rPr>
        <w:t>ا</w:t>
      </w:r>
      <w:r w:rsidR="00744A1C">
        <w:rPr>
          <w:rtl/>
          <w:lang w:bidi="fa-IR"/>
        </w:rPr>
        <w:t xml:space="preserve"> قَدَّمُوهُ ، فَقَالَ : لَا حَرَجَ </w:t>
      </w:r>
      <w:r w:rsidR="00744A1C" w:rsidRPr="00D10E3C">
        <w:rPr>
          <w:rStyle w:val="libFootnotenumChar"/>
          <w:rtl/>
        </w:rPr>
        <w:t>(4)</w:t>
      </w:r>
      <w:r w:rsidR="00744A1C">
        <w:rPr>
          <w:rtl/>
          <w:lang w:bidi="fa-IR"/>
        </w:rPr>
        <w:t xml:space="preserve"> ». </w:t>
      </w:r>
      <w:r w:rsidR="00744A1C" w:rsidRPr="00D10E3C">
        <w:rPr>
          <w:rStyle w:val="libFootnotenumChar"/>
          <w:rtl/>
        </w:rPr>
        <w:t>(5)</w:t>
      </w:r>
    </w:p>
    <w:p w:rsidR="00744A1C" w:rsidRDefault="00744A1C" w:rsidP="00744A1C">
      <w:pPr>
        <w:pStyle w:val="libNormal"/>
        <w:rPr>
          <w:lang w:bidi="fa-IR"/>
        </w:rPr>
      </w:pPr>
      <w:r>
        <w:rPr>
          <w:rtl/>
          <w:lang w:bidi="fa-IR"/>
        </w:rPr>
        <w:t>7912 / 2. عِدَّةٌ مِنْ أَصْحَابِنَا ، عَنْ سَهْلِ بْنِ زِيَادٍ ، عَنْ أَحْمَدَ بْنِ مُحَم</w:t>
      </w:r>
      <w:r w:rsidR="00877682">
        <w:rPr>
          <w:rtl/>
          <w:lang w:bidi="fa-IR"/>
        </w:rPr>
        <w:t>َّدِ بْنِ أَبِي نَصْرٍ ، قَالَ: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أخّر ».</w:t>
      </w:r>
    </w:p>
    <w:p w:rsidR="00744A1C" w:rsidRDefault="00E378DD" w:rsidP="00E378DD">
      <w:pPr>
        <w:pStyle w:val="libFootnote0"/>
        <w:rPr>
          <w:lang w:bidi="fa-IR"/>
        </w:rPr>
      </w:pPr>
      <w:r>
        <w:rPr>
          <w:rtl/>
          <w:lang w:bidi="fa-IR"/>
        </w:rPr>
        <w:t>(2).</w:t>
      </w:r>
      <w:r w:rsidR="00744A1C">
        <w:rPr>
          <w:rtl/>
          <w:lang w:bidi="fa-IR"/>
        </w:rPr>
        <w:t xml:space="preserve"> في « ى ، بث ، بح ، بخ ، بف ، جن » </w:t>
      </w:r>
      <w:r w:rsidR="00744A1C" w:rsidRPr="00877682">
        <w:rPr>
          <w:rtl/>
        </w:rPr>
        <w:t>والوافي والفقيه والتهذيب</w:t>
      </w:r>
      <w:r w:rsidR="00744A1C">
        <w:rPr>
          <w:rtl/>
          <w:lang w:bidi="fa-IR"/>
        </w:rPr>
        <w:t xml:space="preserve"> ، ص 222 وص 236 : - « إنّي ». وفي « جد » : + « قد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tl/>
        </w:rPr>
        <w:t>الوسائل</w:t>
      </w:r>
      <w:r w:rsidR="00744A1C">
        <w:rPr>
          <w:rtl/>
          <w:lang w:bidi="fa-IR"/>
        </w:rPr>
        <w:t xml:space="preserve"> : - « لهم ».</w:t>
      </w:r>
    </w:p>
    <w:p w:rsidR="00744A1C" w:rsidRDefault="00E378DD" w:rsidP="00E378DD">
      <w:pPr>
        <w:pStyle w:val="libFootnote0"/>
        <w:rPr>
          <w:lang w:bidi="fa-IR"/>
        </w:rPr>
      </w:pPr>
      <w:r>
        <w:rPr>
          <w:rtl/>
          <w:lang w:bidi="fa-IR"/>
        </w:rPr>
        <w:t>(4).</w:t>
      </w:r>
      <w:r w:rsidR="00744A1C">
        <w:rPr>
          <w:rtl/>
          <w:lang w:bidi="fa-IR"/>
        </w:rPr>
        <w:t xml:space="preserve"> في هامش </w:t>
      </w:r>
      <w:r w:rsidR="00744A1C" w:rsidRPr="00C24F9C">
        <w:rPr>
          <w:rStyle w:val="libFootnoteBoldChar"/>
          <w:rtl/>
        </w:rPr>
        <w:t>الوافي</w:t>
      </w:r>
      <w:r w:rsidR="00744A1C">
        <w:rPr>
          <w:rtl/>
          <w:lang w:bidi="fa-IR"/>
        </w:rPr>
        <w:t xml:space="preserve"> عن سلطان العلماء </w:t>
      </w:r>
      <w:r w:rsidR="00877682" w:rsidRPr="00877682">
        <w:rPr>
          <w:rStyle w:val="libFootnoteAlaemChar"/>
          <w:rtl/>
        </w:rPr>
        <w:t>رحمه‌الله</w:t>
      </w:r>
      <w:r w:rsidR="00744A1C">
        <w:rPr>
          <w:rtl/>
          <w:lang w:bidi="fa-IR"/>
        </w:rPr>
        <w:t xml:space="preserve">: « لا يخفى شمول الحكم بظاهره العمد والنسيان والجهل ، والحكم في صورة العمد والجهل مشكل ، وكذا يشمل مناسك منى وغيره من الطواف والسعي ، وهو أيضاً مشكل ، ويمكن أن يقال في مناسك منى : إنّ المراد بنفي الحجّ عدم فساد الحجّ ، وإن أثم مع العمد ، كما صرّح به الشهيد في </w:t>
      </w:r>
      <w:r w:rsidR="00744A1C" w:rsidRPr="00877682">
        <w:rPr>
          <w:rStyle w:val="libFootnoteBoldChar"/>
          <w:rtl/>
        </w:rPr>
        <w:t>اللمعة</w:t>
      </w:r>
      <w:r w:rsidR="00744A1C">
        <w:rPr>
          <w:rtl/>
          <w:lang w:bidi="fa-IR"/>
        </w:rPr>
        <w:t xml:space="preserve"> ، وقد قطع الأصحاب بأنّه يجب عليه دم شاة في تقديم زيارة البيت على الحلق عمداً ، والمشهور إعادة الطواف في صورة العمد والنسيان ، وفي الجهل خلاف في نفي الكفّارة ». وللمزيد راجع : </w:t>
      </w:r>
      <w:r w:rsidR="00744A1C" w:rsidRPr="00877682">
        <w:rPr>
          <w:rStyle w:val="libFootnoteBoldChar"/>
          <w:rtl/>
        </w:rPr>
        <w:t>النهاية</w:t>
      </w:r>
      <w:r w:rsidR="00744A1C">
        <w:rPr>
          <w:rtl/>
          <w:lang w:bidi="fa-IR"/>
        </w:rPr>
        <w:t xml:space="preserve"> ، ج 1 ، ص 533 ؛ </w:t>
      </w:r>
      <w:r w:rsidR="00744A1C" w:rsidRPr="00877682">
        <w:rPr>
          <w:rStyle w:val="libFootnoteBoldChar"/>
          <w:rtl/>
        </w:rPr>
        <w:t>السرائر</w:t>
      </w:r>
      <w:r w:rsidR="00744A1C">
        <w:rPr>
          <w:rtl/>
          <w:lang w:bidi="fa-IR"/>
        </w:rPr>
        <w:t xml:space="preserve"> ، ج 2 ، ص 295 ؛ </w:t>
      </w:r>
      <w:r w:rsidR="00744A1C" w:rsidRPr="00877682">
        <w:rPr>
          <w:rStyle w:val="libFootnoteBoldChar"/>
          <w:rtl/>
        </w:rPr>
        <w:t>مختلف الشيعة</w:t>
      </w:r>
      <w:r w:rsidR="00744A1C">
        <w:rPr>
          <w:rtl/>
          <w:lang w:bidi="fa-IR"/>
        </w:rPr>
        <w:t xml:space="preserve"> ، ص 308 ؛ </w:t>
      </w:r>
      <w:r w:rsidR="00744A1C" w:rsidRPr="00877682">
        <w:rPr>
          <w:rStyle w:val="libFootnoteBoldChar"/>
          <w:rtl/>
        </w:rPr>
        <w:t>منتهى المطلب</w:t>
      </w:r>
      <w:r w:rsidR="00744A1C">
        <w:rPr>
          <w:rtl/>
          <w:lang w:bidi="fa-IR"/>
        </w:rPr>
        <w:t xml:space="preserve"> ، ج 2 ، ص 766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459 ؛ </w:t>
      </w:r>
      <w:r w:rsidR="00744A1C" w:rsidRPr="00877682">
        <w:rPr>
          <w:rStyle w:val="libFootnoteBoldChar"/>
          <w:rtl/>
        </w:rPr>
        <w:t>شرح اللمعة</w:t>
      </w:r>
      <w:r w:rsidR="00744A1C">
        <w:rPr>
          <w:rtl/>
          <w:lang w:bidi="fa-IR"/>
        </w:rPr>
        <w:t xml:space="preserve"> ، ج 2 ، ص 271 ؛ </w:t>
      </w:r>
      <w:r w:rsidR="00744A1C" w:rsidRPr="00877682">
        <w:rPr>
          <w:rStyle w:val="libFootnoteBoldChar"/>
          <w:rtl/>
        </w:rPr>
        <w:t>مسالك الأفهام</w:t>
      </w:r>
      <w:r w:rsidR="00744A1C">
        <w:rPr>
          <w:rtl/>
          <w:lang w:bidi="fa-IR"/>
        </w:rPr>
        <w:t xml:space="preserve"> ، ج 2 ، ص 322 ؛ </w:t>
      </w:r>
      <w:r w:rsidR="00744A1C" w:rsidRPr="00C24F9C">
        <w:rPr>
          <w:rStyle w:val="libFootnoteBoldChar"/>
          <w:rtl/>
        </w:rPr>
        <w:t>مدارك الأحكام</w:t>
      </w:r>
      <w:r w:rsidR="00744A1C">
        <w:rPr>
          <w:rtl/>
          <w:lang w:bidi="fa-IR"/>
        </w:rPr>
        <w:t xml:space="preserve"> ، ج 8 ، ص 92 ؛ </w:t>
      </w:r>
      <w:r w:rsidR="00744A1C" w:rsidRPr="00877682">
        <w:rPr>
          <w:rStyle w:val="libFootnoteBoldChar"/>
          <w:rtl/>
        </w:rPr>
        <w:t>مرآة العقول</w:t>
      </w:r>
      <w:r w:rsidR="00744A1C">
        <w:rPr>
          <w:rtl/>
          <w:lang w:bidi="fa-IR"/>
        </w:rPr>
        <w:t xml:space="preserve"> ، ج 18 ، ص 189 و 190.</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222 ، ح 750 ، معلّقاً عن الكليني. </w:t>
      </w:r>
      <w:r w:rsidR="00744A1C" w:rsidRPr="00877682">
        <w:rPr>
          <w:rStyle w:val="libFootnoteBoldChar"/>
          <w:rtl/>
        </w:rPr>
        <w:t>وفيه</w:t>
      </w:r>
      <w:r w:rsidR="00744A1C">
        <w:rPr>
          <w:rtl/>
          <w:lang w:bidi="fa-IR"/>
        </w:rPr>
        <w:t xml:space="preserve"> ، ص 236 ، ح 797 ؛ </w:t>
      </w:r>
      <w:r w:rsidR="00744A1C" w:rsidRPr="00C24F9C">
        <w:rPr>
          <w:rStyle w:val="libFootnoteBoldChar"/>
          <w:rtl/>
        </w:rPr>
        <w:t>والاستبصار</w:t>
      </w:r>
      <w:r w:rsidR="00744A1C">
        <w:rPr>
          <w:rtl/>
          <w:lang w:bidi="fa-IR"/>
        </w:rPr>
        <w:t xml:space="preserve"> ، ج 2 ، ص 285 ، ح 1009 ، معلّقاً عن عليّ بن إبراهيم. </w:t>
      </w:r>
      <w:r w:rsidR="00744A1C" w:rsidRPr="00C24F9C">
        <w:rPr>
          <w:rStyle w:val="libFootnoteBoldChar"/>
          <w:rtl/>
        </w:rPr>
        <w:t>الفقيه</w:t>
      </w:r>
      <w:r w:rsidR="00744A1C">
        <w:rPr>
          <w:rtl/>
          <w:lang w:bidi="fa-IR"/>
        </w:rPr>
        <w:t xml:space="preserve"> ، ج 2 ، ص 505 ، ح 3091 ، معلّقاً عن ابن أبي عمير. </w:t>
      </w:r>
      <w:r w:rsidR="00744A1C" w:rsidRPr="00C24F9C">
        <w:rPr>
          <w:rStyle w:val="libFootnoteBoldChar"/>
          <w:rtl/>
        </w:rPr>
        <w:t>التهذيب</w:t>
      </w:r>
      <w:r w:rsidR="00744A1C">
        <w:rPr>
          <w:rtl/>
          <w:lang w:bidi="fa-IR"/>
        </w:rPr>
        <w:t xml:space="preserve"> ، ج 5 ، ص 240 ، ح 810 ، بسند آخر ، وفي الأخيرين مع اختلاف يسير </w:t>
      </w:r>
      <w:r w:rsidR="00877682">
        <w:rPr>
          <w:rFonts w:hint="cs"/>
          <w:rtl/>
          <w:lang w:bidi="fa-IR"/>
        </w:rPr>
        <w:t>.</w:t>
      </w:r>
      <w:r w:rsidR="00744A1C" w:rsidRPr="00C24F9C">
        <w:rPr>
          <w:rStyle w:val="libFootnoteBoldChar"/>
          <w:rtl/>
        </w:rPr>
        <w:t>الوافي</w:t>
      </w:r>
      <w:r w:rsidR="00744A1C">
        <w:rPr>
          <w:rtl/>
          <w:lang w:bidi="fa-IR"/>
        </w:rPr>
        <w:t xml:space="preserve"> ، ج 14 ، ص 1237 ، ح 14170 ؛ </w:t>
      </w:r>
      <w:r w:rsidR="00744A1C" w:rsidRPr="00C24F9C">
        <w:rPr>
          <w:rStyle w:val="libFootnoteBoldChar"/>
          <w:rtl/>
        </w:rPr>
        <w:t>الوسائل</w:t>
      </w:r>
      <w:r w:rsidR="00744A1C">
        <w:rPr>
          <w:rtl/>
          <w:lang w:bidi="fa-IR"/>
        </w:rPr>
        <w:t xml:space="preserve"> ، ج 14 ، ص 155 ، ح 18857.</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قُلْتُ لِأَبِي جَعْفَرٍ الثَّانِي </w:t>
      </w:r>
      <w:r w:rsidR="0061079A" w:rsidRPr="0061079A">
        <w:rPr>
          <w:rStyle w:val="libAlaemChar"/>
          <w:rtl/>
        </w:rPr>
        <w:t>عليه‌السلام</w:t>
      </w:r>
      <w:r w:rsidR="00D10E3C">
        <w:rPr>
          <w:rtl/>
          <w:lang w:bidi="fa-IR"/>
        </w:rPr>
        <w:t xml:space="preserve"> </w:t>
      </w:r>
      <w:r>
        <w:rPr>
          <w:rtl/>
          <w:lang w:bidi="fa-IR"/>
        </w:rPr>
        <w:t>: جُعِلْتُ فِدَاكَ ، إِنَّ رَجُلاً مِنْ أَصْحَابِنَا رَمَى الْجَمْرَةَ يَوْمَ النَّحْرِ ، وَحَلَقَ قَبْلَ أَنْ يَذْبَحَ.</w:t>
      </w:r>
    </w:p>
    <w:p w:rsidR="00744A1C" w:rsidRDefault="00744A1C" w:rsidP="003171E6">
      <w:pPr>
        <w:pStyle w:val="libNormal"/>
        <w:rPr>
          <w:lang w:bidi="fa-IR"/>
        </w:rPr>
      </w:pPr>
      <w:r>
        <w:rPr>
          <w:rtl/>
          <w:lang w:bidi="fa-IR"/>
        </w:rPr>
        <w:t xml:space="preserve">فَقَالَ : « إِنَّ رَسُولَ اللهِ </w:t>
      </w:r>
      <w:r w:rsidR="00925353" w:rsidRPr="00925353">
        <w:rPr>
          <w:rStyle w:val="libAlaemChar"/>
          <w:rFonts w:eastAsiaTheme="minorHAnsi"/>
          <w:rtl/>
        </w:rPr>
        <w:t>صلى‌الله‌عليه‌وآله</w:t>
      </w:r>
      <w:r w:rsidR="00925353" w:rsidRPr="0041234E">
        <w:rPr>
          <w:rFonts w:eastAsiaTheme="minorHAnsi"/>
          <w:rtl/>
        </w:rPr>
        <w:t xml:space="preserve"> </w:t>
      </w:r>
      <w:r>
        <w:rPr>
          <w:rtl/>
          <w:lang w:bidi="fa-IR"/>
        </w:rPr>
        <w:t xml:space="preserve">لَمَّا </w:t>
      </w:r>
      <w:r w:rsidRPr="00D10E3C">
        <w:rPr>
          <w:rStyle w:val="libFootnotenumChar"/>
          <w:rtl/>
        </w:rPr>
        <w:t>(1)</w:t>
      </w:r>
      <w:r>
        <w:rPr>
          <w:rtl/>
          <w:lang w:bidi="fa-IR"/>
        </w:rPr>
        <w:t xml:space="preserve"> كَانَ يَوْمُ النَّحْرِ ، أَتَاهُ طَوَائِفُ مِنَ الْمُسْلِمِينَ ، فَقَالُوا : يَا رَسُولَ اللهِ ، ذَبَحْنَا مِنْ قَبْلِ أَنْ نَرْمِيَ </w:t>
      </w:r>
      <w:r w:rsidRPr="00D10E3C">
        <w:rPr>
          <w:rStyle w:val="libFootnotenumChar"/>
          <w:rtl/>
        </w:rPr>
        <w:t>(2)</w:t>
      </w:r>
      <w:r>
        <w:rPr>
          <w:rtl/>
          <w:lang w:bidi="fa-IR"/>
        </w:rPr>
        <w:t xml:space="preserve"> ، وَحَلَقْنَا مِنْ قَبْلِ أَنْ نَذْبَحَ ، وَلَمْ </w:t>
      </w:r>
      <w:r w:rsidRPr="00D10E3C">
        <w:rPr>
          <w:rStyle w:val="libFootnotenumChar"/>
          <w:rtl/>
        </w:rPr>
        <w:t>(3)</w:t>
      </w:r>
      <w:r>
        <w:rPr>
          <w:rtl/>
          <w:lang w:bidi="fa-IR"/>
        </w:rPr>
        <w:t xml:space="preserve"> يَبْقَ شَيْ‌ءٌ مِمَّا يَنْبَغِي</w:t>
      </w:r>
      <w:r w:rsidR="00634543">
        <w:rPr>
          <w:rtl/>
          <w:lang w:bidi="fa-IR"/>
        </w:rPr>
        <w:t xml:space="preserve"> لَهُمْ أَنْ يُقَدِّمُوهُ إِل</w:t>
      </w:r>
      <w:r w:rsidR="00634543">
        <w:rPr>
          <w:rFonts w:hint="cs"/>
          <w:rtl/>
          <w:lang w:bidi="fa-IR"/>
        </w:rPr>
        <w:t>َّ</w:t>
      </w:r>
      <w:r w:rsidR="00634543">
        <w:rPr>
          <w:rtl/>
          <w:lang w:bidi="fa-IR"/>
        </w:rPr>
        <w:t>ا</w:t>
      </w:r>
      <w:r>
        <w:rPr>
          <w:rtl/>
          <w:lang w:bidi="fa-IR"/>
        </w:rPr>
        <w:t xml:space="preserve"> أَخَّرُوهُ ، وَلَاشَيْ‌ءٌ مِمَّا يَنْبَغِي لَهُمْ </w:t>
      </w:r>
      <w:r w:rsidRPr="00D10E3C">
        <w:rPr>
          <w:rStyle w:val="libFootnotenumChar"/>
          <w:rtl/>
        </w:rPr>
        <w:t>(4)</w:t>
      </w:r>
      <w:r w:rsidR="00DC2567">
        <w:rPr>
          <w:rtl/>
          <w:lang w:bidi="fa-IR"/>
        </w:rPr>
        <w:t xml:space="preserve"> أَنْ يُؤَخِّرُوهُ إِل</w:t>
      </w:r>
      <w:r w:rsidR="00DC2567">
        <w:rPr>
          <w:rFonts w:hint="cs"/>
          <w:rtl/>
          <w:lang w:bidi="fa-IR"/>
        </w:rPr>
        <w:t>َّ</w:t>
      </w:r>
      <w:r w:rsidR="00DC2567">
        <w:rPr>
          <w:rtl/>
          <w:lang w:bidi="fa-IR"/>
        </w:rPr>
        <w:t>ا</w:t>
      </w:r>
      <w:r>
        <w:rPr>
          <w:rtl/>
          <w:lang w:bidi="fa-IR"/>
        </w:rPr>
        <w:t xml:space="preserve"> قَدَّمُوهُ </w:t>
      </w:r>
      <w:r w:rsidRPr="00D10E3C">
        <w:rPr>
          <w:rStyle w:val="libFootnotenumChar"/>
          <w:rtl/>
        </w:rPr>
        <w:t>(5)</w:t>
      </w:r>
      <w:r>
        <w:rPr>
          <w:rtl/>
          <w:lang w:bidi="fa-IR"/>
        </w:rPr>
        <w:t xml:space="preserve"> ، فَقَالَ رَسُولُ اللهِ </w:t>
      </w:r>
      <w:r w:rsidR="003171E6" w:rsidRPr="00925353">
        <w:rPr>
          <w:rStyle w:val="libAlaemChar"/>
          <w:rFonts w:eastAsiaTheme="minorHAnsi"/>
          <w:rtl/>
        </w:rPr>
        <w:t>صلى‌الله‌عليه‌وآله</w:t>
      </w:r>
      <w:r>
        <w:rPr>
          <w:rtl/>
          <w:lang w:bidi="fa-IR"/>
        </w:rPr>
        <w:t xml:space="preserve">: لَاحَرَجَ ، لَاحَرَجَ </w:t>
      </w:r>
      <w:r w:rsidRPr="00D10E3C">
        <w:rPr>
          <w:rStyle w:val="libFootnotenumChar"/>
          <w:rtl/>
        </w:rPr>
        <w:t>(6)</w:t>
      </w:r>
      <w:r>
        <w:rPr>
          <w:rtl/>
          <w:lang w:bidi="fa-IR"/>
        </w:rPr>
        <w:t xml:space="preserve"> ». </w:t>
      </w:r>
      <w:r w:rsidRPr="00D10E3C">
        <w:rPr>
          <w:rStyle w:val="libFootnotenumChar"/>
          <w:rtl/>
        </w:rPr>
        <w:t>(7)</w:t>
      </w:r>
    </w:p>
    <w:p w:rsidR="00744A1C" w:rsidRDefault="00744A1C" w:rsidP="00744A1C">
      <w:pPr>
        <w:pStyle w:val="libNormal"/>
        <w:rPr>
          <w:lang w:bidi="fa-IR"/>
        </w:rPr>
      </w:pPr>
      <w:r>
        <w:rPr>
          <w:rtl/>
          <w:lang w:bidi="fa-IR"/>
        </w:rPr>
        <w:t xml:space="preserve">7913 / 3. عِدَّةٌ مِنْ أَصْحَابِنَا ، عَنْ أَحْمَدَ بْنِ مُحَمَّدٍ وَسَهْلِ </w:t>
      </w:r>
      <w:r w:rsidRPr="00D10E3C">
        <w:rPr>
          <w:rStyle w:val="libFootnotenumChar"/>
          <w:rtl/>
        </w:rPr>
        <w:t>(8)</w:t>
      </w:r>
      <w:r>
        <w:rPr>
          <w:rtl/>
          <w:lang w:bidi="fa-IR"/>
        </w:rPr>
        <w:t xml:space="preserve"> بْنِ زِيَادٍ جَمِيعاً ، عَنِ ابْنِ مَحْبُوبٍ ، عَنْ أَبِي أَيُّوبَ الْخَزَّازِ </w:t>
      </w:r>
      <w:r w:rsidRPr="00D10E3C">
        <w:rPr>
          <w:rStyle w:val="libFootnotenumChar"/>
          <w:rtl/>
        </w:rPr>
        <w:t>(9)</w:t>
      </w:r>
      <w:r>
        <w:rPr>
          <w:rtl/>
          <w:lang w:bidi="fa-IR"/>
        </w:rPr>
        <w:t xml:space="preserve"> ،</w:t>
      </w:r>
      <w:r w:rsidR="00580A59">
        <w:rPr>
          <w:rtl/>
          <w:lang w:bidi="fa-IR"/>
        </w:rPr>
        <w:t xml:space="preserve"> عَنْ مُحَمَّدِ بْنِ مُسْلِمٍ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EF6E38" w:rsidTr="00EF6E38">
        <w:tc>
          <w:tcPr>
            <w:tcW w:w="4006" w:type="dxa"/>
          </w:tcPr>
          <w:p w:rsidR="00EF6E38" w:rsidRDefault="00EF6E38" w:rsidP="00D10E3C">
            <w:pPr>
              <w:pStyle w:val="libFootnote0"/>
              <w:rPr>
                <w:rtl/>
                <w:lang w:bidi="fa-IR"/>
              </w:rPr>
            </w:pPr>
            <w:r>
              <w:rPr>
                <w:rtl/>
                <w:lang w:bidi="fa-IR"/>
              </w:rPr>
              <w:t xml:space="preserve">(1). في </w:t>
            </w:r>
            <w:r w:rsidRPr="00C24F9C">
              <w:rPr>
                <w:rStyle w:val="libFootnoteBoldChar"/>
                <w:rtl/>
              </w:rPr>
              <w:t>التهذيب</w:t>
            </w:r>
            <w:r>
              <w:rPr>
                <w:rtl/>
                <w:lang w:bidi="fa-IR"/>
              </w:rPr>
              <w:t xml:space="preserve"> : - « لم</w:t>
            </w:r>
            <w:r>
              <w:rPr>
                <w:rFonts w:hint="cs"/>
                <w:rtl/>
                <w:lang w:bidi="fa-IR"/>
              </w:rPr>
              <w:t>ـّ</w:t>
            </w:r>
            <w:r>
              <w:rPr>
                <w:rtl/>
                <w:lang w:bidi="fa-IR"/>
              </w:rPr>
              <w:t>ا ».</w:t>
            </w:r>
          </w:p>
        </w:tc>
        <w:tc>
          <w:tcPr>
            <w:tcW w:w="4006" w:type="dxa"/>
          </w:tcPr>
          <w:p w:rsidR="00EF6E38" w:rsidRDefault="00EF6E38" w:rsidP="00D10E3C">
            <w:pPr>
              <w:pStyle w:val="libFootnote0"/>
              <w:rPr>
                <w:rtl/>
                <w:lang w:bidi="fa-IR"/>
              </w:rPr>
            </w:pPr>
            <w:r>
              <w:rPr>
                <w:rtl/>
                <w:lang w:bidi="fa-IR"/>
              </w:rPr>
              <w:t>(2). في « ى » : + « وحلقنا من قبل أن نرمي ».</w:t>
            </w:r>
          </w:p>
        </w:tc>
      </w:tr>
    </w:tbl>
    <w:p w:rsidR="00744A1C" w:rsidRDefault="00E378DD" w:rsidP="00E378DD">
      <w:pPr>
        <w:pStyle w:val="libFootnote0"/>
        <w:rPr>
          <w:lang w:bidi="fa-IR"/>
        </w:rPr>
      </w:pPr>
      <w:r>
        <w:rPr>
          <w:rtl/>
          <w:lang w:bidi="fa-IR"/>
        </w:rPr>
        <w:t>(3).</w:t>
      </w:r>
      <w:r w:rsidR="00744A1C">
        <w:rPr>
          <w:rtl/>
          <w:lang w:bidi="fa-IR"/>
        </w:rPr>
        <w:t xml:space="preserve"> في « بخ » </w:t>
      </w:r>
      <w:r w:rsidR="00744A1C" w:rsidRPr="00097CCA">
        <w:rPr>
          <w:rtl/>
        </w:rPr>
        <w:t>والوسائل والتهذيب والاستبصار</w:t>
      </w:r>
      <w:r w:rsidR="00744A1C">
        <w:rPr>
          <w:rtl/>
          <w:lang w:bidi="fa-IR"/>
        </w:rPr>
        <w:t xml:space="preserve"> : « فلم ».</w:t>
      </w:r>
    </w:p>
    <w:p w:rsidR="00744A1C" w:rsidRDefault="00E378DD" w:rsidP="00E378DD">
      <w:pPr>
        <w:pStyle w:val="libFootnote0"/>
        <w:rPr>
          <w:lang w:bidi="fa-IR"/>
        </w:rPr>
      </w:pPr>
      <w:r>
        <w:rPr>
          <w:rtl/>
          <w:lang w:bidi="fa-IR"/>
        </w:rPr>
        <w:t>(4).</w:t>
      </w:r>
      <w:r w:rsidR="00744A1C">
        <w:rPr>
          <w:rtl/>
          <w:lang w:bidi="fa-IR"/>
        </w:rPr>
        <w:t xml:space="preserve"> </w:t>
      </w:r>
      <w:r w:rsidR="00744A1C" w:rsidRPr="00097CCA">
        <w:rPr>
          <w:rtl/>
        </w:rPr>
        <w:t>في الوسائل والتهذيب والاستبصار</w:t>
      </w:r>
      <w:r w:rsidR="00744A1C">
        <w:rPr>
          <w:rtl/>
          <w:lang w:bidi="fa-IR"/>
        </w:rPr>
        <w:t xml:space="preserve"> : - « لهم ».</w:t>
      </w:r>
    </w:p>
    <w:p w:rsidR="00744A1C" w:rsidRDefault="00E378DD" w:rsidP="00E378DD">
      <w:pPr>
        <w:pStyle w:val="libFootnote0"/>
        <w:rPr>
          <w:lang w:bidi="fa-IR"/>
        </w:rPr>
      </w:pPr>
      <w:r>
        <w:rPr>
          <w:rtl/>
          <w:lang w:bidi="fa-IR"/>
        </w:rPr>
        <w:t>(5).</w:t>
      </w:r>
      <w:r w:rsidR="00744A1C">
        <w:rPr>
          <w:rtl/>
          <w:lang w:bidi="fa-IR"/>
        </w:rPr>
        <w:t xml:space="preserve"> في « بخ » : - « ولا شي‌</w:t>
      </w:r>
      <w:r w:rsidR="000522F1">
        <w:rPr>
          <w:rtl/>
          <w:lang w:bidi="fa-IR"/>
        </w:rPr>
        <w:t>ء ممّا ينبغي لهم أن يؤخّروه إل</w:t>
      </w:r>
      <w:r w:rsidR="000522F1">
        <w:rPr>
          <w:rFonts w:hint="cs"/>
          <w:rtl/>
          <w:lang w:bidi="fa-IR"/>
        </w:rPr>
        <w:t>ّ</w:t>
      </w:r>
      <w:r w:rsidR="000522F1">
        <w:rPr>
          <w:rtl/>
          <w:lang w:bidi="fa-IR"/>
        </w:rPr>
        <w:t>ا</w:t>
      </w:r>
      <w:r w:rsidR="000522F1">
        <w:rPr>
          <w:rFonts w:hint="cs"/>
          <w:rtl/>
          <w:lang w:bidi="fa-IR"/>
        </w:rPr>
        <w:t xml:space="preserve"> </w:t>
      </w:r>
      <w:r w:rsidR="00744A1C">
        <w:rPr>
          <w:rtl/>
          <w:lang w:bidi="fa-IR"/>
        </w:rPr>
        <w:t>قدّموه ».</w:t>
      </w:r>
    </w:p>
    <w:p w:rsidR="00744A1C" w:rsidRDefault="00E378DD" w:rsidP="00E378DD">
      <w:pPr>
        <w:pStyle w:val="libFootnote0"/>
        <w:rPr>
          <w:lang w:bidi="fa-IR"/>
        </w:rPr>
      </w:pPr>
      <w:r>
        <w:rPr>
          <w:rtl/>
          <w:lang w:bidi="fa-IR"/>
        </w:rPr>
        <w:t>(6).</w:t>
      </w:r>
      <w:r w:rsidR="00744A1C">
        <w:rPr>
          <w:rtl/>
          <w:lang w:bidi="fa-IR"/>
        </w:rPr>
        <w:t xml:space="preserve"> قال المحقّق العاملي </w:t>
      </w:r>
      <w:r w:rsidR="00877682" w:rsidRPr="00877682">
        <w:rPr>
          <w:rStyle w:val="libFootnoteAlaemChar"/>
          <w:rtl/>
        </w:rPr>
        <w:t>رحمه‌الله</w:t>
      </w:r>
      <w:r w:rsidR="00744A1C">
        <w:rPr>
          <w:rtl/>
          <w:lang w:bidi="fa-IR"/>
        </w:rPr>
        <w:t xml:space="preserve">في </w:t>
      </w:r>
      <w:r w:rsidR="00744A1C" w:rsidRPr="00C24F9C">
        <w:rPr>
          <w:rStyle w:val="libFootnoteBoldChar"/>
          <w:rtl/>
        </w:rPr>
        <w:t>مدارك الأحكام</w:t>
      </w:r>
      <w:r w:rsidR="00744A1C">
        <w:rPr>
          <w:rtl/>
          <w:lang w:bidi="fa-IR"/>
        </w:rPr>
        <w:t xml:space="preserve"> ، ج 8 ، ص 101 : « لا ريب في حصول الإثم بالإخلال بالترتيب بناء على القول بوجوبه ، وإنّما الكلام في الحكم الثاني ، أعني عدم الإعادة ؛ فإنّ عدم تحقّق الامتثال مع الإخلال بالت</w:t>
      </w:r>
      <w:r w:rsidR="00FA6580">
        <w:rPr>
          <w:rtl/>
          <w:lang w:bidi="fa-IR"/>
        </w:rPr>
        <w:t>رتيب الواجب يقتضي الإعادة ، إل</w:t>
      </w:r>
      <w:r w:rsidR="00FA6580">
        <w:rPr>
          <w:rFonts w:hint="cs"/>
          <w:rtl/>
          <w:lang w:bidi="fa-IR"/>
        </w:rPr>
        <w:t>ّ</w:t>
      </w:r>
      <w:r w:rsidR="00FA6580">
        <w:rPr>
          <w:rtl/>
          <w:lang w:bidi="fa-IR"/>
        </w:rPr>
        <w:t>ا</w:t>
      </w:r>
      <w:r w:rsidR="00744A1C">
        <w:rPr>
          <w:rtl/>
          <w:lang w:bidi="fa-IR"/>
        </w:rPr>
        <w:t xml:space="preserve"> أنّ الأصحاب قاطعون بعدم الوجوب ، وأسنده في المنتهى إلى علمائنا مؤذناً بدعوى الإجماع عليه ، واستدلّ عليه بصحيحة جميل بن درّاج المتقدّمة ، وما في معناها ، وهو مشكل جدّاً ؛ لأنّ تلك الأخبار محمولة على الناسي أو الجاهل عند القائلين بالوجوب ، فلا تبقى لها دلالة على حكم العامد بوجه ، ولو قيل بتناولها للعامد لدلّت على ما ذهب إليه الشيخ في الخلاف وأتباعه من عدم وجوب الترتيب ، والمسألة محلّ تردّد ، وإن كان المصير إلى ما ذهب إليه الأصحاب غير بعيد من الصواب ». وللمزيد راجع : الخلاف ، ج 2 ، ص 345 ؛ </w:t>
      </w:r>
      <w:r w:rsidR="00744A1C" w:rsidRPr="00877682">
        <w:rPr>
          <w:rStyle w:val="libFootnoteBoldChar"/>
          <w:rtl/>
        </w:rPr>
        <w:t>السرائر</w:t>
      </w:r>
      <w:r w:rsidR="00744A1C">
        <w:rPr>
          <w:rtl/>
          <w:lang w:bidi="fa-IR"/>
        </w:rPr>
        <w:t xml:space="preserve"> ، ج 1 ، ص 602 ؛ </w:t>
      </w:r>
      <w:r w:rsidR="00744A1C" w:rsidRPr="00FA6580">
        <w:rPr>
          <w:rStyle w:val="libFootnoteBoldChar"/>
          <w:rtl/>
        </w:rPr>
        <w:t>الكافي في الفقه</w:t>
      </w:r>
      <w:r w:rsidR="00744A1C">
        <w:rPr>
          <w:rtl/>
          <w:lang w:bidi="fa-IR"/>
        </w:rPr>
        <w:t xml:space="preserve"> ، ص 200 ؛ </w:t>
      </w:r>
      <w:r w:rsidR="00744A1C" w:rsidRPr="00877682">
        <w:rPr>
          <w:rStyle w:val="libFootnoteBoldChar"/>
          <w:rtl/>
        </w:rPr>
        <w:t>منتهى المطلب</w:t>
      </w:r>
      <w:r w:rsidR="00744A1C">
        <w:rPr>
          <w:rtl/>
          <w:lang w:bidi="fa-IR"/>
        </w:rPr>
        <w:t xml:space="preserve"> ، ص 765 ؛ ذخيرة المعاد ، ص 664.</w:t>
      </w:r>
    </w:p>
    <w:p w:rsidR="00744A1C" w:rsidRDefault="00E378DD" w:rsidP="004C2F1F">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236 ، ح 796 ؛ </w:t>
      </w:r>
      <w:r w:rsidR="00744A1C" w:rsidRPr="00C24F9C">
        <w:rPr>
          <w:rStyle w:val="libFootnoteBoldChar"/>
          <w:rtl/>
        </w:rPr>
        <w:t>والاستبصار</w:t>
      </w:r>
      <w:r w:rsidR="00744A1C">
        <w:rPr>
          <w:rtl/>
          <w:lang w:bidi="fa-IR"/>
        </w:rPr>
        <w:t xml:space="preserve"> ، ج 2 ، ص 284 ، ح 1008 ، معلّقاً عن الكليني</w:t>
      </w:r>
      <w:r w:rsidR="004C2F1F">
        <w:rPr>
          <w:rFonts w:hint="cs"/>
          <w:rtl/>
          <w:lang w:bidi="fa-IR"/>
        </w:rPr>
        <w:t>.</w:t>
      </w:r>
      <w:r w:rsidR="00744A1C" w:rsidRPr="00C24F9C">
        <w:rPr>
          <w:rStyle w:val="libFootnoteBoldChar"/>
          <w:rtl/>
        </w:rPr>
        <w:t>الوافي</w:t>
      </w:r>
      <w:r w:rsidR="00744A1C">
        <w:rPr>
          <w:rtl/>
          <w:lang w:bidi="fa-IR"/>
        </w:rPr>
        <w:t xml:space="preserve"> ، ج 14 ، ص 1238 ، ح 14172 ؛ </w:t>
      </w:r>
      <w:r w:rsidR="00744A1C" w:rsidRPr="00C24F9C">
        <w:rPr>
          <w:rStyle w:val="libFootnoteBoldChar"/>
          <w:rtl/>
        </w:rPr>
        <w:t>الوسائل</w:t>
      </w:r>
      <w:r w:rsidR="00744A1C">
        <w:rPr>
          <w:rtl/>
          <w:lang w:bidi="fa-IR"/>
        </w:rPr>
        <w:t xml:space="preserve"> ، ج 14 ، ص 156 ، ح 18859 ؛ </w:t>
      </w:r>
      <w:r w:rsidR="00744A1C" w:rsidRPr="0061079A">
        <w:rPr>
          <w:rStyle w:val="libFootnoteBoldChar"/>
          <w:rtl/>
        </w:rPr>
        <w:t>البحار</w:t>
      </w:r>
      <w:r w:rsidR="00744A1C">
        <w:rPr>
          <w:rtl/>
          <w:lang w:bidi="fa-IR"/>
        </w:rPr>
        <w:t xml:space="preserve"> ، ج 21 ، ص 380 ، ح 5 ، من قوله : « فقال : إنّ رسول الله </w:t>
      </w:r>
      <w:r w:rsidR="004C2F1F" w:rsidRPr="004C2F1F">
        <w:rPr>
          <w:rStyle w:val="libFootnoteAlaemChar"/>
          <w:rFonts w:eastAsiaTheme="minorHAnsi"/>
          <w:rtl/>
        </w:rPr>
        <w:t>صلى‌الله‌عليه‌وآله</w:t>
      </w:r>
      <w:r w:rsidR="004C2F1F" w:rsidRPr="004C2F1F">
        <w:rPr>
          <w:rFonts w:eastAsiaTheme="minorHAnsi"/>
          <w:rtl/>
        </w:rPr>
        <w:t xml:space="preserve"> </w:t>
      </w:r>
      <w:r w:rsidR="004C2F1F">
        <w:rPr>
          <w:rtl/>
          <w:lang w:bidi="fa-IR"/>
        </w:rPr>
        <w:t>لم</w:t>
      </w:r>
      <w:r w:rsidR="004C2F1F">
        <w:rPr>
          <w:rFonts w:hint="cs"/>
          <w:rtl/>
          <w:lang w:bidi="fa-IR"/>
        </w:rPr>
        <w:t>ـّ</w:t>
      </w:r>
      <w:r w:rsidR="00744A1C">
        <w:rPr>
          <w:rtl/>
          <w:lang w:bidi="fa-IR"/>
        </w:rPr>
        <w:t>ا كان يوم النحر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 حميد » بدل « سهل ». وهو سهو ؛ فإنّ حميد بن زياد من مشايخ المصنّف ، وروايته عن ابن‌محبوب مباشرة لم تثبت في شي‌ء من الطرق والأسناد.</w:t>
      </w:r>
    </w:p>
    <w:p w:rsidR="00744A1C" w:rsidRDefault="00E378DD" w:rsidP="00E378DD">
      <w:pPr>
        <w:pStyle w:val="libFootnote0"/>
        <w:rPr>
          <w:lang w:bidi="fa-IR"/>
        </w:rPr>
      </w:pPr>
      <w:r>
        <w:rPr>
          <w:rtl/>
          <w:lang w:bidi="fa-IR"/>
        </w:rPr>
        <w:t>(9).</w:t>
      </w:r>
      <w:r w:rsidR="00744A1C">
        <w:rPr>
          <w:rtl/>
          <w:lang w:bidi="fa-IR"/>
        </w:rPr>
        <w:t xml:space="preserve"> في « بث ، بس ، جن » </w:t>
      </w:r>
      <w:r w:rsidR="00744A1C" w:rsidRPr="0061079A">
        <w:rPr>
          <w:rStyle w:val="libFootnoteBoldChar"/>
          <w:rtl/>
        </w:rPr>
        <w:t>والتهذيب</w:t>
      </w:r>
      <w:r w:rsidR="00744A1C">
        <w:rPr>
          <w:rtl/>
          <w:lang w:bidi="fa-IR"/>
        </w:rPr>
        <w:t xml:space="preserve"> : - « الخزّاز ».</w:t>
      </w:r>
      <w:r w:rsidR="0067171B">
        <w:rPr>
          <w:rFonts w:hint="cs"/>
          <w:rtl/>
          <w:lang w:bidi="fa-IR"/>
        </w:rPr>
        <w:t xml:space="preserve">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جَعْفَرٍ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فِي رَجُلٍ زَارَ الْبَيْتَ قَبْلَ أَنْ يَحْلِقَ ، فَقَالَ : « إِنْ كَانَ زَارَ الْبَيْتَ قَبْلَ أَنْ يَحْلِقَ </w:t>
      </w:r>
      <w:r w:rsidRPr="00D10E3C">
        <w:rPr>
          <w:rStyle w:val="libFootnotenumChar"/>
          <w:rtl/>
        </w:rPr>
        <w:t>(2)</w:t>
      </w:r>
      <w:r>
        <w:rPr>
          <w:rtl/>
          <w:lang w:bidi="fa-IR"/>
        </w:rPr>
        <w:t xml:space="preserve"> وَهُوَ عَالِمٌ أَنَّ ذلِكَ لَايَنْبَغِي لَهُ ، فَإِنَّ عَلَيْهِ دَمَ شَاةٍ ». </w:t>
      </w:r>
      <w:r w:rsidRPr="00D10E3C">
        <w:rPr>
          <w:rStyle w:val="libFootnotenumChar"/>
          <w:rtl/>
        </w:rPr>
        <w:t>(3)</w:t>
      </w:r>
    </w:p>
    <w:p w:rsidR="00744A1C" w:rsidRDefault="00744A1C" w:rsidP="00744A1C">
      <w:pPr>
        <w:pStyle w:val="libNormal"/>
        <w:rPr>
          <w:lang w:bidi="fa-IR"/>
        </w:rPr>
      </w:pPr>
      <w:r>
        <w:rPr>
          <w:rtl/>
          <w:lang w:bidi="fa-IR"/>
        </w:rPr>
        <w:t xml:space="preserve">7914 / 4. أَبُو عَلِيٍّ الْأَشْعَرِيُّ ، عَنْ مُحَمَّدِ بْنِ عَبْدِ الْجَبَّارِ ، عَنْ صَفْوَانَ بْنِ يَحْيى </w:t>
      </w:r>
      <w:r w:rsidRPr="00D10E3C">
        <w:rPr>
          <w:rStyle w:val="libFootnotenumChar"/>
          <w:rtl/>
        </w:rPr>
        <w:t>(4)</w:t>
      </w:r>
      <w:r>
        <w:rPr>
          <w:rtl/>
          <w:lang w:bidi="fa-IR"/>
        </w:rPr>
        <w:t xml:space="preserve"> ، عَنْ مُعَاوِيَةَ بْنِ عَمَّارٍ </w:t>
      </w:r>
      <w:r w:rsidRPr="00D10E3C">
        <w:rPr>
          <w:rStyle w:val="libFootnotenumChar"/>
          <w:rtl/>
        </w:rPr>
        <w:t>(5)</w:t>
      </w:r>
      <w:r w:rsidR="009228B2">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w:t>
      </w:r>
      <w:r w:rsidRPr="00D10E3C">
        <w:rPr>
          <w:rStyle w:val="libFootnotenumChar"/>
          <w:rtl/>
        </w:rPr>
        <w:t>(6)</w:t>
      </w:r>
      <w:r>
        <w:rPr>
          <w:rtl/>
          <w:lang w:bidi="fa-IR"/>
        </w:rPr>
        <w:t xml:space="preserve"> رَجُلٍ نَسِيَ أَنْ يَذْبَحَ بِمِنًى حَتّى زَارَ الْبَيْتَ ، فَاشْتَرى بِمَكَّةَ ، ثُمَّ ذَبَحَ ، قَالَ : « لَا بَأْسَ ، قَدْ أَجْزَأَ عَنْهُ ». </w:t>
      </w:r>
      <w:r w:rsidRPr="00D10E3C">
        <w:rPr>
          <w:rStyle w:val="libFootnotenumChar"/>
          <w:rtl/>
        </w:rPr>
        <w:t>(7)</w:t>
      </w:r>
    </w:p>
    <w:p w:rsidR="00744A1C" w:rsidRDefault="00744A1C" w:rsidP="00793030">
      <w:pPr>
        <w:pStyle w:val="Heading2Center"/>
        <w:rPr>
          <w:lang w:bidi="fa-IR"/>
        </w:rPr>
      </w:pPr>
      <w:bookmarkStart w:id="35" w:name="_Toc49261333"/>
      <w:r>
        <w:rPr>
          <w:rtl/>
          <w:lang w:bidi="fa-IR"/>
        </w:rPr>
        <w:t>190 - بَابُ مَا يَحِلُّ لِلرَّجُلِ مِنَ اللِّبَاسِ وَالطِّيبِ إِذَا حَلَقَ قَبْلَ أَنْ يَزُورَ‌</w:t>
      </w:r>
      <w:bookmarkEnd w:id="35"/>
    </w:p>
    <w:p w:rsidR="00144FA6" w:rsidRDefault="00744A1C" w:rsidP="00744A1C">
      <w:pPr>
        <w:pStyle w:val="libNormal"/>
        <w:rPr>
          <w:rtl/>
          <w:lang w:bidi="fa-IR"/>
        </w:rPr>
      </w:pPr>
      <w:r>
        <w:rPr>
          <w:rtl/>
          <w:lang w:bidi="fa-IR"/>
        </w:rPr>
        <w:t>7915 / 1. أَبُو عَلِيٍّ الْأَشْعَرِيُّ ، عَنْ مُحَمَّدِ بْنِ عَبْدِ الْجَبَّارِ ، عَنْ صَفْوَانَ بْنِ يَحْيى ، عَنْ سَعِيدِ بْنِ يَسَارٍ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الْمُتَمَتِّعِ </w:t>
      </w:r>
      <w:r w:rsidRPr="00D10E3C">
        <w:rPr>
          <w:rStyle w:val="libFootnotenumChar"/>
          <w:rtl/>
        </w:rPr>
        <w:t>(8)</w:t>
      </w:r>
      <w:r>
        <w:rPr>
          <w:rtl/>
          <w:lang w:bidi="fa-IR"/>
        </w:rPr>
        <w:t xml:space="preserve"> إِذَا حَلَقَ رَأْسَهُ قَبْلَ أَنْ يَزُورَ الْبَيْتَ </w:t>
      </w:r>
      <w:r w:rsidRPr="00D10E3C">
        <w:rPr>
          <w:rStyle w:val="libFootnotenumChar"/>
          <w:rtl/>
        </w:rPr>
        <w:t>(9)</w:t>
      </w:r>
      <w:r>
        <w:rPr>
          <w:rtl/>
          <w:lang w:bidi="fa-IR"/>
        </w:rPr>
        <w:t xml:space="preserve"> : يَطْلِيهِ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67171B" w:rsidP="00D10E3C">
      <w:pPr>
        <w:pStyle w:val="libFootnote0"/>
        <w:rPr>
          <w:lang w:bidi="fa-IR"/>
        </w:rPr>
      </w:pPr>
      <w:r>
        <w:rPr>
          <w:rFonts w:hint="cs"/>
          <w:rtl/>
          <w:lang w:bidi="fa-IR"/>
        </w:rPr>
        <w:t xml:space="preserve">= </w:t>
      </w:r>
      <w:r w:rsidR="00744A1C">
        <w:rPr>
          <w:rtl/>
          <w:lang w:bidi="fa-IR"/>
        </w:rPr>
        <w:t xml:space="preserve">وقد تقدّم في </w:t>
      </w:r>
      <w:r w:rsidR="00744A1C" w:rsidRPr="0061079A">
        <w:rPr>
          <w:rStyle w:val="libFootnoteBoldChar"/>
          <w:rtl/>
        </w:rPr>
        <w:t>الكافي</w:t>
      </w:r>
      <w:r w:rsidR="00744A1C">
        <w:rPr>
          <w:rtl/>
          <w:lang w:bidi="fa-IR"/>
        </w:rPr>
        <w:t xml:space="preserve"> ، ذيل ح 75 أنّ الصواب في لقب أبي أيّوب هذا ، هو الخرّاز.</w:t>
      </w:r>
    </w:p>
    <w:p w:rsidR="00744A1C" w:rsidRDefault="00D10E3C" w:rsidP="00D10E3C">
      <w:pPr>
        <w:pStyle w:val="libFootnote0"/>
        <w:rPr>
          <w:lang w:bidi="fa-IR"/>
        </w:rPr>
      </w:pPr>
      <w:r>
        <w:rPr>
          <w:rtl/>
          <w:lang w:bidi="fa-IR"/>
        </w:rPr>
        <w:t>(1).</w:t>
      </w:r>
      <w:r w:rsidR="00744A1C">
        <w:rPr>
          <w:rtl/>
          <w:lang w:bidi="fa-IR"/>
        </w:rPr>
        <w:t xml:space="preserve"> في « بخ » : « أبي عبد الله ».</w:t>
      </w:r>
    </w:p>
    <w:p w:rsidR="00744A1C" w:rsidRDefault="00E378DD" w:rsidP="00E378DD">
      <w:pPr>
        <w:pStyle w:val="libFootnote0"/>
        <w:rPr>
          <w:lang w:bidi="fa-IR"/>
        </w:rPr>
      </w:pPr>
      <w:r>
        <w:rPr>
          <w:rtl/>
          <w:lang w:bidi="fa-IR"/>
        </w:rPr>
        <w:t>(2).</w:t>
      </w:r>
      <w:r w:rsidR="00744A1C">
        <w:rPr>
          <w:rtl/>
          <w:lang w:bidi="fa-IR"/>
        </w:rPr>
        <w:t xml:space="preserve"> في « ى ، جن » : - « فقال : إن كان زار البيت قبل أن يحلق ».</w:t>
      </w:r>
    </w:p>
    <w:p w:rsidR="00744A1C" w:rsidRDefault="00E378DD" w:rsidP="00DF1B3F">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240 ، ح 809 ، معلّقاً عن الكليني</w:t>
      </w:r>
      <w:r w:rsidR="00DF1B3F">
        <w:rPr>
          <w:rFonts w:hint="cs"/>
          <w:rtl/>
          <w:lang w:bidi="fa-IR"/>
        </w:rPr>
        <w:t>.</w:t>
      </w:r>
      <w:r w:rsidR="00744A1C" w:rsidRPr="00C24F9C">
        <w:rPr>
          <w:rStyle w:val="libFootnoteBoldChar"/>
          <w:rtl/>
        </w:rPr>
        <w:t>الوافي</w:t>
      </w:r>
      <w:r w:rsidR="00744A1C">
        <w:rPr>
          <w:rtl/>
          <w:lang w:bidi="fa-IR"/>
        </w:rPr>
        <w:t xml:space="preserve"> ، ج 14 ، ص 1240 ، ح 14178 ؛ </w:t>
      </w:r>
      <w:r w:rsidR="00744A1C" w:rsidRPr="00C24F9C">
        <w:rPr>
          <w:rStyle w:val="libFootnoteBoldChar"/>
          <w:rtl/>
        </w:rPr>
        <w:t>الوسائل</w:t>
      </w:r>
      <w:r w:rsidR="00744A1C">
        <w:rPr>
          <w:rtl/>
          <w:lang w:bidi="fa-IR"/>
        </w:rPr>
        <w:t xml:space="preserve"> ، ج 14 ، ص 215 ، ح 19017 ؛ وص 238 ، ح 19086.</w:t>
      </w:r>
    </w:p>
    <w:tbl>
      <w:tblPr>
        <w:tblStyle w:val="TableGrid"/>
        <w:bidiVisual/>
        <w:tblW w:w="0" w:type="auto"/>
        <w:tblLook w:val="04A0" w:firstRow="1" w:lastRow="0" w:firstColumn="1" w:lastColumn="0" w:noHBand="0" w:noVBand="1"/>
      </w:tblPr>
      <w:tblGrid>
        <w:gridCol w:w="4006"/>
        <w:gridCol w:w="4006"/>
      </w:tblGrid>
      <w:tr w:rsidR="00371177" w:rsidTr="00371177">
        <w:tc>
          <w:tcPr>
            <w:tcW w:w="4006" w:type="dxa"/>
          </w:tcPr>
          <w:p w:rsidR="00371177" w:rsidRDefault="00371177" w:rsidP="00371177">
            <w:pPr>
              <w:pStyle w:val="libFootnote0"/>
              <w:rPr>
                <w:rtl/>
                <w:lang w:bidi="fa-IR"/>
              </w:rPr>
            </w:pPr>
            <w:r>
              <w:rPr>
                <w:rtl/>
                <w:lang w:bidi="fa-IR"/>
              </w:rPr>
              <w:t>(4). في«بث،جن»وحاشية«بح»:-«بن يحيى».</w:t>
            </w:r>
          </w:p>
        </w:tc>
        <w:tc>
          <w:tcPr>
            <w:tcW w:w="4006" w:type="dxa"/>
          </w:tcPr>
          <w:p w:rsidR="00371177" w:rsidRDefault="002B64D1" w:rsidP="00E378DD">
            <w:pPr>
              <w:pStyle w:val="libFootnote0"/>
              <w:rPr>
                <w:rtl/>
                <w:lang w:bidi="fa-IR"/>
              </w:rPr>
            </w:pPr>
            <w:r>
              <w:rPr>
                <w:rtl/>
                <w:lang w:bidi="fa-IR"/>
              </w:rPr>
              <w:t>(5). في « بث » : - « بن عمّار ».</w:t>
            </w:r>
          </w:p>
        </w:tc>
      </w:tr>
    </w:tbl>
    <w:p w:rsidR="00744A1C" w:rsidRDefault="00E378DD" w:rsidP="00E378DD">
      <w:pPr>
        <w:pStyle w:val="libFootnote0"/>
        <w:rPr>
          <w:lang w:bidi="fa-IR"/>
        </w:rPr>
      </w:pPr>
      <w:r>
        <w:rPr>
          <w:rtl/>
          <w:lang w:bidi="fa-IR"/>
        </w:rPr>
        <w:t>(6).</w:t>
      </w:r>
      <w:r w:rsidR="00744A1C">
        <w:rPr>
          <w:rtl/>
          <w:lang w:bidi="fa-IR"/>
        </w:rPr>
        <w:t xml:space="preserve"> في « بف » : « عن ».</w:t>
      </w:r>
    </w:p>
    <w:p w:rsidR="00744A1C" w:rsidRDefault="00E378DD" w:rsidP="00E121BA">
      <w:pPr>
        <w:pStyle w:val="libFootnote0"/>
        <w:rPr>
          <w:lang w:bidi="fa-IR"/>
        </w:rPr>
      </w:pPr>
      <w:r>
        <w:rPr>
          <w:rtl/>
          <w:lang w:bidi="fa-IR"/>
        </w:rPr>
        <w:t>(7).</w:t>
      </w:r>
      <w:r w:rsidR="00744A1C">
        <w:rPr>
          <w:rtl/>
          <w:lang w:bidi="fa-IR"/>
        </w:rPr>
        <w:t xml:space="preserve"> </w:t>
      </w:r>
      <w:r w:rsidR="00744A1C" w:rsidRPr="00C24F9C">
        <w:rPr>
          <w:rStyle w:val="libFootnoteBoldChar"/>
          <w:rtl/>
        </w:rPr>
        <w:t>الفقيه</w:t>
      </w:r>
      <w:r w:rsidR="00744A1C">
        <w:rPr>
          <w:rtl/>
          <w:lang w:bidi="fa-IR"/>
        </w:rPr>
        <w:t xml:space="preserve"> ، ج 2 ، ص 506 ، ح 3092 ، معلّقاً عن معاوية بن عمّار. وفيه ، ص 494 ، ذيل ح 3058 ، مع اختلاف يسير</w:t>
      </w:r>
      <w:r w:rsidR="00E121BA">
        <w:rPr>
          <w:rFonts w:hint="cs"/>
          <w:rtl/>
          <w:lang w:bidi="fa-IR"/>
        </w:rPr>
        <w:t>.</w:t>
      </w:r>
      <w:r w:rsidR="00744A1C" w:rsidRPr="00C24F9C">
        <w:rPr>
          <w:rStyle w:val="libFootnoteBoldChar"/>
          <w:rtl/>
        </w:rPr>
        <w:t>الوافي</w:t>
      </w:r>
      <w:r w:rsidR="00744A1C">
        <w:rPr>
          <w:rtl/>
          <w:lang w:bidi="fa-IR"/>
        </w:rPr>
        <w:t xml:space="preserve"> ، ج 14 ، ص 1239 ، ح 14173 ؛ </w:t>
      </w:r>
      <w:r w:rsidR="00744A1C" w:rsidRPr="00C24F9C">
        <w:rPr>
          <w:rStyle w:val="libFootnoteBoldChar"/>
          <w:rtl/>
        </w:rPr>
        <w:t>الوسائل</w:t>
      </w:r>
      <w:r w:rsidR="00744A1C">
        <w:rPr>
          <w:rtl/>
          <w:lang w:bidi="fa-IR"/>
        </w:rPr>
        <w:t xml:space="preserve"> ، ج 14 ، ص 156 ، ح 18858.</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الوسائل</w:t>
      </w:r>
      <w:r w:rsidR="00744A1C">
        <w:rPr>
          <w:rtl/>
          <w:lang w:bidi="fa-IR"/>
        </w:rPr>
        <w:t xml:space="preserve"> : + « قلت ». وفي الاستبصار ، ح 1021 : + « فقال ».</w:t>
      </w:r>
    </w:p>
    <w:p w:rsidR="00744A1C" w:rsidRDefault="00E378DD" w:rsidP="00E378DD">
      <w:pPr>
        <w:pStyle w:val="libFootnote0"/>
        <w:rPr>
          <w:lang w:bidi="fa-IR"/>
        </w:rPr>
      </w:pPr>
      <w:r>
        <w:rPr>
          <w:rtl/>
          <w:lang w:bidi="fa-IR"/>
        </w:rPr>
        <w:t>(9).</w:t>
      </w:r>
      <w:r w:rsidR="00744A1C">
        <w:rPr>
          <w:rtl/>
          <w:lang w:bidi="fa-IR"/>
        </w:rPr>
        <w:t xml:space="preserve"> في « ى ، بث ، بح ، بخ ، بف ، جد » : - « البيت ». وفي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ح 832 </w:t>
      </w:r>
      <w:r w:rsidR="00744A1C" w:rsidRPr="00C24F9C">
        <w:rPr>
          <w:rStyle w:val="libFootnoteBoldChar"/>
          <w:rtl/>
        </w:rPr>
        <w:t>والاستبصار</w:t>
      </w:r>
      <w:r w:rsidR="00744A1C">
        <w:rPr>
          <w:rtl/>
          <w:lang w:bidi="fa-IR"/>
        </w:rPr>
        <w:t xml:space="preserve"> ، ح 1021 : - « قبل أن يزور البيت ».</w:t>
      </w:r>
    </w:p>
    <w:p w:rsidR="00744A1C" w:rsidRDefault="00E378DD" w:rsidP="00E378DD">
      <w:pPr>
        <w:pStyle w:val="libFootnote0"/>
        <w:rPr>
          <w:lang w:bidi="fa-IR"/>
        </w:rPr>
      </w:pPr>
      <w:r>
        <w:rPr>
          <w:rtl/>
          <w:lang w:bidi="fa-IR"/>
        </w:rPr>
        <w:t>(10).</w:t>
      </w:r>
      <w:r w:rsidR="00744A1C">
        <w:rPr>
          <w:rtl/>
          <w:lang w:bidi="fa-IR"/>
        </w:rPr>
        <w:t xml:space="preserve"> في « بخ ، بف » و</w:t>
      </w:r>
      <w:r w:rsidR="00744A1C" w:rsidRPr="00C24F9C">
        <w:rPr>
          <w:rStyle w:val="libFootnoteBoldChar"/>
          <w:rtl/>
        </w:rPr>
        <w:t>الوافي</w:t>
      </w:r>
      <w:r w:rsidR="00744A1C">
        <w:rPr>
          <w:rtl/>
          <w:lang w:bidi="fa-IR"/>
        </w:rPr>
        <w:t xml:space="preserve"> : « فيطليه ». وطَلَى الشي‌ء بالحنّاء وغيره ، أي لَطخَه. </w:t>
      </w:r>
      <w:r w:rsidR="00744A1C" w:rsidRPr="00877682">
        <w:rPr>
          <w:rStyle w:val="libFootnoteBoldChar"/>
          <w:rtl/>
        </w:rPr>
        <w:t>لسان العرب</w:t>
      </w:r>
      <w:r w:rsidR="00744A1C">
        <w:rPr>
          <w:rtl/>
          <w:lang w:bidi="fa-IR"/>
        </w:rPr>
        <w:t xml:space="preserve"> ، ج 15 ، ص 10 ( لطخ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بِالْحِنَّاءِ </w:t>
      </w:r>
      <w:r w:rsidRPr="00D10E3C">
        <w:rPr>
          <w:rStyle w:val="libFootnotenumChar"/>
          <w:rtl/>
        </w:rPr>
        <w:t>(1)</w:t>
      </w:r>
      <w:r>
        <w:rPr>
          <w:rtl/>
          <w:lang w:bidi="fa-IR"/>
        </w:rPr>
        <w:t>؟</w:t>
      </w:r>
    </w:p>
    <w:p w:rsidR="00744A1C" w:rsidRDefault="00744A1C" w:rsidP="00744A1C">
      <w:pPr>
        <w:pStyle w:val="libNormal"/>
        <w:rPr>
          <w:lang w:bidi="fa-IR"/>
        </w:rPr>
      </w:pPr>
      <w:r>
        <w:rPr>
          <w:rtl/>
          <w:lang w:bidi="fa-IR"/>
        </w:rPr>
        <w:t xml:space="preserve">قَالَ : « نَعَمْ ، الْحِنَّاءُ </w:t>
      </w:r>
      <w:r w:rsidRPr="00D10E3C">
        <w:rPr>
          <w:rStyle w:val="libFootnotenumChar"/>
          <w:rtl/>
        </w:rPr>
        <w:t>(2)</w:t>
      </w:r>
      <w:r>
        <w:rPr>
          <w:rtl/>
          <w:lang w:bidi="fa-IR"/>
        </w:rPr>
        <w:t xml:space="preserve"> وَالثِّيَابُ </w:t>
      </w:r>
      <w:r w:rsidRPr="00D10E3C">
        <w:rPr>
          <w:rStyle w:val="libFootnotenumChar"/>
          <w:rtl/>
        </w:rPr>
        <w:t>(3)</w:t>
      </w:r>
      <w:r>
        <w:rPr>
          <w:rtl/>
          <w:lang w:bidi="fa-IR"/>
        </w:rPr>
        <w:t xml:space="preserve"> وَالطِّيبُ </w:t>
      </w:r>
      <w:r w:rsidRPr="00D10E3C">
        <w:rPr>
          <w:rStyle w:val="libFootnotenumChar"/>
          <w:rtl/>
        </w:rPr>
        <w:t>(4)</w:t>
      </w:r>
      <w:r w:rsidR="00906FEB">
        <w:rPr>
          <w:rtl/>
          <w:lang w:bidi="fa-IR"/>
        </w:rPr>
        <w:t xml:space="preserve"> وَكُلُّ شَيْ‌ءٍ إِل</w:t>
      </w:r>
      <w:r w:rsidR="00906FEB">
        <w:rPr>
          <w:rFonts w:hint="cs"/>
          <w:rtl/>
          <w:lang w:bidi="fa-IR"/>
        </w:rPr>
        <w:t>َّ</w:t>
      </w:r>
      <w:r w:rsidR="00906FEB">
        <w:rPr>
          <w:rtl/>
          <w:lang w:bidi="fa-IR"/>
        </w:rPr>
        <w:t>ا</w:t>
      </w:r>
      <w:r>
        <w:rPr>
          <w:rtl/>
          <w:lang w:bidi="fa-IR"/>
        </w:rPr>
        <w:t xml:space="preserve"> النِّسَاءَ » رَدَّدَهَا عَلَيَّ مَرَّتَيْنِ أَوْ ثَلَاثَةً </w:t>
      </w:r>
      <w:r w:rsidRPr="00D10E3C">
        <w:rPr>
          <w:rStyle w:val="libFootnotenumChar"/>
          <w:rtl/>
        </w:rPr>
        <w:t>(5)</w:t>
      </w:r>
      <w:r w:rsidR="00DE1821">
        <w:rPr>
          <w:rFonts w:hint="cs"/>
          <w:rtl/>
          <w:lang w:bidi="fa-IR"/>
        </w:rPr>
        <w:t>.</w:t>
      </w:r>
    </w:p>
    <w:p w:rsidR="00744A1C" w:rsidRDefault="00744A1C" w:rsidP="00744A1C">
      <w:pPr>
        <w:pStyle w:val="libNormal"/>
        <w:rPr>
          <w:lang w:bidi="fa-IR"/>
        </w:rPr>
      </w:pPr>
      <w:r>
        <w:rPr>
          <w:rtl/>
          <w:lang w:bidi="fa-IR"/>
        </w:rPr>
        <w:t xml:space="preserve">قَالَ </w:t>
      </w:r>
      <w:r w:rsidRPr="00D10E3C">
        <w:rPr>
          <w:rStyle w:val="libFootnotenumChar"/>
          <w:rtl/>
        </w:rPr>
        <w:t>(6)</w:t>
      </w:r>
      <w:r>
        <w:rPr>
          <w:rtl/>
          <w:lang w:bidi="fa-IR"/>
        </w:rPr>
        <w:t xml:space="preserve"> : وَسَأَلْتُ أَبَا الْحَسَنِ </w:t>
      </w:r>
      <w:r w:rsidR="0061079A" w:rsidRPr="0061079A">
        <w:rPr>
          <w:rStyle w:val="libAlaemChar"/>
          <w:rtl/>
        </w:rPr>
        <w:t>عليه‌السلام</w:t>
      </w:r>
      <w:r w:rsidR="00D10E3C">
        <w:rPr>
          <w:rtl/>
          <w:lang w:bidi="fa-IR"/>
        </w:rPr>
        <w:t xml:space="preserve"> </w:t>
      </w:r>
      <w:r>
        <w:rPr>
          <w:rtl/>
          <w:lang w:bidi="fa-IR"/>
        </w:rPr>
        <w:t xml:space="preserve">عَنْهَا </w:t>
      </w:r>
      <w:r w:rsidRPr="00D10E3C">
        <w:rPr>
          <w:rStyle w:val="libFootnotenumChar"/>
          <w:rtl/>
        </w:rPr>
        <w:t>(7)</w:t>
      </w:r>
      <w:r>
        <w:rPr>
          <w:rtl/>
          <w:lang w:bidi="fa-IR"/>
        </w:rPr>
        <w:t xml:space="preserve"> ، فَقَالَ : « نَعَمْ ، الْحِنَّاءُ وَالثِّيَابُ و</w:t>
      </w:r>
      <w:r w:rsidR="00DC54E0">
        <w:rPr>
          <w:rtl/>
          <w:lang w:bidi="fa-IR"/>
        </w:rPr>
        <w:t>َالطِّيبُ وَكُلُّ شَيْ‌ءٍ إِل</w:t>
      </w:r>
      <w:r w:rsidR="00DC54E0">
        <w:rPr>
          <w:rFonts w:hint="cs"/>
          <w:rtl/>
          <w:lang w:bidi="fa-IR"/>
        </w:rPr>
        <w:t>َّ</w:t>
      </w:r>
      <w:r w:rsidR="00DC54E0">
        <w:rPr>
          <w:rtl/>
          <w:lang w:bidi="fa-IR"/>
        </w:rPr>
        <w:t>ا</w:t>
      </w:r>
      <w:r>
        <w:rPr>
          <w:rtl/>
          <w:lang w:bidi="fa-IR"/>
        </w:rPr>
        <w:t xml:space="preserve"> النِّسَاءَ </w:t>
      </w:r>
      <w:r w:rsidRPr="00D10E3C">
        <w:rPr>
          <w:rStyle w:val="libFootnotenumChar"/>
          <w:rtl/>
        </w:rPr>
        <w:t>(8)</w:t>
      </w:r>
      <w:r>
        <w:rPr>
          <w:rtl/>
          <w:lang w:bidi="fa-IR"/>
        </w:rPr>
        <w:t xml:space="preserve"> ». </w:t>
      </w:r>
      <w:r w:rsidRPr="00D10E3C">
        <w:rPr>
          <w:rStyle w:val="libFootnotenumChar"/>
          <w:rtl/>
        </w:rPr>
        <w:t>(9)</w:t>
      </w:r>
    </w:p>
    <w:p w:rsidR="00744A1C" w:rsidRDefault="00744A1C" w:rsidP="00744A1C">
      <w:pPr>
        <w:pStyle w:val="libNormal"/>
        <w:rPr>
          <w:lang w:bidi="fa-IR"/>
        </w:rPr>
      </w:pPr>
      <w:r>
        <w:rPr>
          <w:rtl/>
          <w:lang w:bidi="fa-IR"/>
        </w:rPr>
        <w:t>7916 / 2. مُحَمَّدُ بْنُ يَحْيى ، عَنْ أَحْمَدَ بْنِ مُحَمَّدٍ ، عَنِ ابْنِ فَضَّالٍ ، عَنْ ي</w:t>
      </w:r>
      <w:r w:rsidR="00B14CC0">
        <w:rPr>
          <w:rtl/>
          <w:lang w:bidi="fa-IR"/>
        </w:rPr>
        <w:t>ُونُسَ بْنِ يَعْقُوبَ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 + « والثياب ».</w:t>
      </w:r>
    </w:p>
    <w:p w:rsidR="00744A1C" w:rsidRDefault="00E378DD" w:rsidP="00E378DD">
      <w:pPr>
        <w:pStyle w:val="libFootnote0"/>
        <w:rPr>
          <w:lang w:bidi="fa-IR"/>
        </w:rPr>
      </w:pPr>
      <w:r>
        <w:rPr>
          <w:rtl/>
          <w:lang w:bidi="fa-IR"/>
        </w:rPr>
        <w:t>(2).</w:t>
      </w:r>
      <w:r w:rsidR="00744A1C">
        <w:rPr>
          <w:rtl/>
          <w:lang w:bidi="fa-IR"/>
        </w:rPr>
        <w:t xml:space="preserve"> في الاستبصار ، ح 1021 : - « قال : نعم الحنّاء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ح 832 </w:t>
      </w:r>
      <w:r w:rsidR="00744A1C" w:rsidRPr="00C24F9C">
        <w:rPr>
          <w:rStyle w:val="libFootnoteBoldChar"/>
          <w:rtl/>
        </w:rPr>
        <w:t>والاستبصار</w:t>
      </w:r>
      <w:r w:rsidR="00744A1C">
        <w:rPr>
          <w:rtl/>
          <w:lang w:bidi="fa-IR"/>
        </w:rPr>
        <w:t xml:space="preserve"> ، ح 1021 : « وحلّ له الثياب ».</w:t>
      </w:r>
    </w:p>
    <w:p w:rsidR="00744A1C" w:rsidRDefault="00E378DD" w:rsidP="00E378DD">
      <w:pPr>
        <w:pStyle w:val="libFootnote0"/>
        <w:rPr>
          <w:lang w:bidi="fa-IR"/>
        </w:rPr>
      </w:pPr>
      <w:r>
        <w:rPr>
          <w:rtl/>
          <w:lang w:bidi="fa-IR"/>
        </w:rPr>
        <w:t>(4).</w:t>
      </w:r>
      <w:r w:rsidR="00744A1C">
        <w:rPr>
          <w:rtl/>
          <w:lang w:bidi="fa-IR"/>
        </w:rPr>
        <w:t xml:space="preserve"> في « بث » : - « قال : نعم الحنّاء والثياب والطيب ».</w:t>
      </w:r>
    </w:p>
    <w:p w:rsidR="00744A1C" w:rsidRDefault="00E378DD" w:rsidP="00E378DD">
      <w:pPr>
        <w:pStyle w:val="libFootnote0"/>
        <w:rPr>
          <w:lang w:bidi="fa-IR"/>
        </w:rPr>
      </w:pPr>
      <w:r>
        <w:rPr>
          <w:rtl/>
          <w:lang w:bidi="fa-IR"/>
        </w:rPr>
        <w:t>(5).</w:t>
      </w:r>
      <w:r w:rsidR="00744A1C">
        <w:rPr>
          <w:rtl/>
          <w:lang w:bidi="fa-IR"/>
        </w:rPr>
        <w:t xml:space="preserve"> في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832 : « ثلاثاً ».</w:t>
      </w:r>
    </w:p>
    <w:p w:rsidR="00097CCA" w:rsidRDefault="00E378DD" w:rsidP="00097CCA">
      <w:pPr>
        <w:pStyle w:val="libFootnote0"/>
        <w:rPr>
          <w:rtl/>
          <w:lang w:bidi="fa-IR"/>
        </w:rPr>
      </w:pPr>
      <w:r>
        <w:rPr>
          <w:rtl/>
          <w:lang w:bidi="fa-IR"/>
        </w:rPr>
        <w:t>(6).</w:t>
      </w:r>
      <w:r w:rsidR="00744A1C">
        <w:rPr>
          <w:rtl/>
          <w:lang w:bidi="fa-IR"/>
        </w:rPr>
        <w:t xml:space="preserve"> في « بث ، بح » : « وقال ». وظاهر السياق رجوع الضمير المستتر في « قال » إلى سعيد بن يسار ، فقد صرّح‌النجاشي في رجاله ، ص 181 ، الرقم 478 أنّ سعيد بن يسار روى عن أبي عبد الله وأبي الحسن </w:t>
      </w:r>
      <w:r w:rsidR="00F112A7" w:rsidRPr="00CE5A92">
        <w:rPr>
          <w:rStyle w:val="libFootnoteAlaemChar"/>
          <w:rtl/>
        </w:rPr>
        <w:t>عليهما‌السلام</w:t>
      </w:r>
      <w:r w:rsidR="00744A1C">
        <w:rPr>
          <w:rtl/>
          <w:lang w:bidi="fa-IR"/>
        </w:rPr>
        <w:t xml:space="preserve">. وورد في بعض الأسناد رواية صفوان بن يحيى عن سعيد بن يسار عن أبي الحسن </w:t>
      </w:r>
      <w:r w:rsidR="0061079A" w:rsidRPr="0061079A">
        <w:rPr>
          <w:rStyle w:val="libFootnoteAlaemChar"/>
          <w:rtl/>
        </w:rPr>
        <w:t>عليه‌السلام</w:t>
      </w:r>
      <w:r w:rsidR="00D10E3C">
        <w:rPr>
          <w:rtl/>
          <w:lang w:bidi="fa-IR"/>
        </w:rPr>
        <w:t xml:space="preserve"> </w:t>
      </w:r>
      <w:r w:rsidR="00744A1C">
        <w:rPr>
          <w:rtl/>
          <w:lang w:bidi="fa-IR"/>
        </w:rPr>
        <w:t xml:space="preserve">، منها ما يأتي في </w:t>
      </w:r>
      <w:r w:rsidR="00744A1C" w:rsidRPr="0061079A">
        <w:rPr>
          <w:rStyle w:val="libFootnoteBoldChar"/>
          <w:rtl/>
        </w:rPr>
        <w:t>الكافي</w:t>
      </w:r>
      <w:r w:rsidR="00744A1C">
        <w:rPr>
          <w:rtl/>
          <w:lang w:bidi="fa-IR"/>
        </w:rPr>
        <w:t xml:space="preserve"> ، ح 10099.</w:t>
      </w:r>
    </w:p>
    <w:p w:rsidR="00744A1C" w:rsidRDefault="00E378DD" w:rsidP="00097CCA">
      <w:pPr>
        <w:pStyle w:val="libFootnote0"/>
        <w:rPr>
          <w:lang w:bidi="fa-IR"/>
        </w:rPr>
      </w:pPr>
      <w:r>
        <w:rPr>
          <w:rtl/>
          <w:lang w:bidi="fa-IR"/>
        </w:rPr>
        <w:t>(7).</w:t>
      </w:r>
      <w:r w:rsidR="00744A1C">
        <w:rPr>
          <w:rtl/>
          <w:lang w:bidi="fa-IR"/>
        </w:rPr>
        <w:t xml:space="preserve"> في « بث ، بح ، بخ ، جن » : « عنهما ».</w:t>
      </w:r>
    </w:p>
    <w:p w:rsidR="00744A1C" w:rsidRDefault="00E378DD" w:rsidP="00E378DD">
      <w:pPr>
        <w:pStyle w:val="libFootnote0"/>
        <w:rPr>
          <w:lang w:bidi="fa-IR"/>
        </w:rPr>
      </w:pPr>
      <w:r>
        <w:rPr>
          <w:rtl/>
          <w:lang w:bidi="fa-IR"/>
        </w:rPr>
        <w:t>(8).</w:t>
      </w:r>
      <w:r w:rsidR="00744A1C">
        <w:rPr>
          <w:rtl/>
          <w:lang w:bidi="fa-IR"/>
        </w:rPr>
        <w:t xml:space="preserve"> في « ى » : - « ردّدها عليّ » إلى هنا.</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191 : « ويدلّ على التحلّل عقيب الحلق من كلّ شي‌ء سوى النساء ، والمشهور بين الأصحاب أنّه يبقى عليه الطيب والنساء والصيد ، ويحلّ ما سواها ، واستثنى في </w:t>
      </w:r>
      <w:r w:rsidRPr="00C24F9C">
        <w:rPr>
          <w:rStyle w:val="libFootnoteBoldChar"/>
          <w:rtl/>
        </w:rPr>
        <w:t>التهذيب</w:t>
      </w:r>
      <w:r>
        <w:rPr>
          <w:rtl/>
          <w:lang w:bidi="fa-IR"/>
        </w:rPr>
        <w:t xml:space="preserve"> الطيب والنساء خاصّة ، فيحلّ الصيد الإحرامي أيضاً وهو قويّ.</w:t>
      </w:r>
    </w:p>
    <w:p w:rsidR="00744A1C" w:rsidRDefault="00744A1C" w:rsidP="00D10E3C">
      <w:pPr>
        <w:pStyle w:val="libFootnote0"/>
        <w:rPr>
          <w:lang w:bidi="fa-IR"/>
        </w:rPr>
      </w:pPr>
      <w:r>
        <w:rPr>
          <w:rtl/>
          <w:lang w:bidi="fa-IR"/>
        </w:rPr>
        <w:t xml:space="preserve">وقال في المدارك : قد ورد في بعض الروايات حلّ الطيب عقيب الحلق أيضاً ، ولو قيل يحلّ الطيب للمتمتّع وغيره بالحلق لم يكن بعيداً من الصواب إن لم ينعقد الإجماع على خلافه ». راجع : </w:t>
      </w:r>
      <w:r w:rsidRPr="00C24F9C">
        <w:rPr>
          <w:rStyle w:val="libFootnoteBoldChar"/>
          <w:rtl/>
        </w:rPr>
        <w:t>مدارك الأحكام</w:t>
      </w:r>
      <w:r>
        <w:rPr>
          <w:rtl/>
          <w:lang w:bidi="fa-IR"/>
        </w:rPr>
        <w:t xml:space="preserve"> ، ج 8 ، ص 103.</w:t>
      </w:r>
    </w:p>
    <w:p w:rsidR="00744A1C" w:rsidRDefault="00E378DD" w:rsidP="0001470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245 ، ح 832 ؛ </w:t>
      </w:r>
      <w:r w:rsidR="00744A1C" w:rsidRPr="00C24F9C">
        <w:rPr>
          <w:rStyle w:val="libFootnoteBoldChar"/>
          <w:rtl/>
        </w:rPr>
        <w:t>والاستبصار</w:t>
      </w:r>
      <w:r w:rsidR="00744A1C">
        <w:rPr>
          <w:rtl/>
          <w:lang w:bidi="fa-IR"/>
        </w:rPr>
        <w:t xml:space="preserve"> ، ج 2 ، ص 287 ، ح 1021 ، معلّقاً عن الكليني. وفي </w:t>
      </w:r>
      <w:r w:rsidR="00744A1C" w:rsidRPr="00C24F9C">
        <w:rPr>
          <w:rStyle w:val="libFootnoteBoldChar"/>
          <w:rtl/>
        </w:rPr>
        <w:t>التهذيب</w:t>
      </w:r>
      <w:r w:rsidR="00744A1C">
        <w:rPr>
          <w:rtl/>
          <w:lang w:bidi="fa-IR"/>
        </w:rPr>
        <w:t xml:space="preserve"> ، ج 5 ، ص 245 ، ح 831 ؛ </w:t>
      </w:r>
      <w:r w:rsidR="00744A1C" w:rsidRPr="00C24F9C">
        <w:rPr>
          <w:rStyle w:val="libFootnoteBoldChar"/>
          <w:rtl/>
        </w:rPr>
        <w:t>والاستبصار</w:t>
      </w:r>
      <w:r w:rsidR="00744A1C">
        <w:rPr>
          <w:rtl/>
          <w:lang w:bidi="fa-IR"/>
        </w:rPr>
        <w:t xml:space="preserve"> ، ج 2 ، ص 287 ، ح 1020 ، بسند آخر ، وتمام الرواية هكذا : « اعلم أنّك إذا حل</w:t>
      </w:r>
      <w:r w:rsidR="0001470D">
        <w:rPr>
          <w:rtl/>
          <w:lang w:bidi="fa-IR"/>
        </w:rPr>
        <w:t>قت رأسك فقد حلّ لك كلّ شي‌ء إل</w:t>
      </w:r>
      <w:r w:rsidR="0001470D">
        <w:rPr>
          <w:rFonts w:hint="cs"/>
          <w:rtl/>
          <w:lang w:bidi="fa-IR"/>
        </w:rPr>
        <w:t>ّ</w:t>
      </w:r>
      <w:r w:rsidR="0001470D">
        <w:rPr>
          <w:rtl/>
          <w:lang w:bidi="fa-IR"/>
        </w:rPr>
        <w:t>ا</w:t>
      </w:r>
      <w:r w:rsidR="00744A1C">
        <w:rPr>
          <w:rtl/>
          <w:lang w:bidi="fa-IR"/>
        </w:rPr>
        <w:t xml:space="preserve"> النساء والطيب »</w:t>
      </w:r>
      <w:r w:rsidR="0001470D">
        <w:rPr>
          <w:rFonts w:hint="cs"/>
          <w:rtl/>
          <w:lang w:bidi="fa-IR"/>
        </w:rPr>
        <w:t>.</w:t>
      </w:r>
      <w:r w:rsidR="00744A1C" w:rsidRPr="00C24F9C">
        <w:rPr>
          <w:rStyle w:val="libFootnoteBoldChar"/>
          <w:rtl/>
        </w:rPr>
        <w:t>الوافي</w:t>
      </w:r>
      <w:r w:rsidR="00744A1C">
        <w:rPr>
          <w:rtl/>
          <w:lang w:bidi="fa-IR"/>
        </w:rPr>
        <w:t xml:space="preserve"> ، ج 14 ، ص 1213 ، ح 14115 ؛ </w:t>
      </w:r>
      <w:r w:rsidR="00744A1C" w:rsidRPr="00C24F9C">
        <w:rPr>
          <w:rStyle w:val="libFootnoteBoldChar"/>
          <w:rtl/>
        </w:rPr>
        <w:t>الوسائل</w:t>
      </w:r>
      <w:r w:rsidR="00744A1C">
        <w:rPr>
          <w:rtl/>
          <w:lang w:bidi="fa-IR"/>
        </w:rPr>
        <w:t xml:space="preserve"> ، ج 14 ، ص 234 ، ح 19075.</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سَأَلْتُ أَبَا عَبْدِ اللهِ </w:t>
      </w:r>
      <w:r w:rsidR="0061079A" w:rsidRPr="0061079A">
        <w:rPr>
          <w:rStyle w:val="libAlaemChar"/>
          <w:rtl/>
        </w:rPr>
        <w:t>عليه‌السلام</w:t>
      </w:r>
      <w:r w:rsidR="00D10E3C">
        <w:rPr>
          <w:rtl/>
          <w:lang w:bidi="fa-IR"/>
        </w:rPr>
        <w:t xml:space="preserve"> </w:t>
      </w:r>
      <w:r>
        <w:rPr>
          <w:rtl/>
          <w:lang w:bidi="fa-IR"/>
        </w:rPr>
        <w:t>، فَقُلْتُ : الْمُتَمَتِّعُ يُغَطِّي رَأْسَهُ إِذَا حَلَقَ؟</w:t>
      </w:r>
    </w:p>
    <w:p w:rsidR="00744A1C" w:rsidRDefault="00744A1C" w:rsidP="00744A1C">
      <w:pPr>
        <w:pStyle w:val="libNormal"/>
        <w:rPr>
          <w:lang w:bidi="fa-IR"/>
        </w:rPr>
      </w:pPr>
      <w:r>
        <w:rPr>
          <w:rtl/>
          <w:lang w:bidi="fa-IR"/>
        </w:rPr>
        <w:t xml:space="preserve">فَقَالَ : « يَا بُنَيَّ ، حَلْقُ رَأْسِهِ أَعْظَمُ مِنْ تَغْطِيَتِهِ إِيَّاهُ ». </w:t>
      </w:r>
      <w:r w:rsidRPr="00D10E3C">
        <w:rPr>
          <w:rStyle w:val="libFootnotenumChar"/>
          <w:rtl/>
        </w:rPr>
        <w:t>(1)</w:t>
      </w:r>
    </w:p>
    <w:p w:rsidR="00744A1C" w:rsidRDefault="00744A1C" w:rsidP="00744A1C">
      <w:pPr>
        <w:pStyle w:val="libNormal"/>
        <w:rPr>
          <w:lang w:bidi="fa-IR"/>
        </w:rPr>
      </w:pPr>
      <w:r>
        <w:rPr>
          <w:rtl/>
          <w:lang w:bidi="fa-IR"/>
        </w:rPr>
        <w:t xml:space="preserve">7917 / 3. مُحَمَّدُ بْنُ يَحْيى ، عَنْ أَحْمَدَ بْنِ مُحَمَّدٍ ، عَنِ الْحَسَنِ بْنِ عَلِيِّ بْنِ يَقْطِينٍ ، عَنْ يُونُسَ مَوْلى عَلِيٍّ ، عَنْ أَبِي أَيُّوبَ الْخَرَّازِ </w:t>
      </w:r>
      <w:r w:rsidRPr="00D10E3C">
        <w:rPr>
          <w:rStyle w:val="libFootnotenumChar"/>
          <w:rtl/>
        </w:rPr>
        <w:t>(2)</w:t>
      </w:r>
      <w:r w:rsidR="00B37998">
        <w:rPr>
          <w:rtl/>
          <w:lang w:bidi="fa-IR"/>
        </w:rPr>
        <w:t xml:space="preserve"> ، قَالَ :</w:t>
      </w:r>
    </w:p>
    <w:p w:rsidR="00744A1C" w:rsidRDefault="00744A1C" w:rsidP="00744A1C">
      <w:pPr>
        <w:pStyle w:val="libNormal"/>
        <w:rPr>
          <w:lang w:bidi="fa-IR"/>
        </w:rPr>
      </w:pPr>
      <w:r>
        <w:rPr>
          <w:rtl/>
          <w:lang w:bidi="fa-IR"/>
        </w:rPr>
        <w:t xml:space="preserve">رَأَيْتُ أَبَا الْحَسَنِ </w:t>
      </w:r>
      <w:r w:rsidR="0061079A" w:rsidRPr="0061079A">
        <w:rPr>
          <w:rStyle w:val="libAlaemChar"/>
          <w:rtl/>
        </w:rPr>
        <w:t>عليه‌السلام</w:t>
      </w:r>
      <w:r w:rsidR="00D10E3C">
        <w:rPr>
          <w:rtl/>
          <w:lang w:bidi="fa-IR"/>
        </w:rPr>
        <w:t xml:space="preserve"> </w:t>
      </w:r>
      <w:r>
        <w:rPr>
          <w:rtl/>
          <w:lang w:bidi="fa-IR"/>
        </w:rPr>
        <w:t xml:space="preserve">بَعْدَ مَا ذَبَحَ حَلَقَ ، ثُمَّ ضَمَّدَ رَأْسَهُ </w:t>
      </w:r>
      <w:r w:rsidRPr="00D10E3C">
        <w:rPr>
          <w:rStyle w:val="libFootnotenumChar"/>
          <w:rtl/>
        </w:rPr>
        <w:t>(3)</w:t>
      </w:r>
      <w:r>
        <w:rPr>
          <w:rtl/>
          <w:lang w:bidi="fa-IR"/>
        </w:rPr>
        <w:t xml:space="preserve"> بِمِسْكٍ </w:t>
      </w:r>
      <w:r w:rsidRPr="00D10E3C">
        <w:rPr>
          <w:rStyle w:val="libFootnotenumChar"/>
          <w:rtl/>
        </w:rPr>
        <w:t>(4)</w:t>
      </w:r>
      <w:r>
        <w:rPr>
          <w:rtl/>
          <w:lang w:bidi="fa-IR"/>
        </w:rPr>
        <w:t xml:space="preserve"> ، وَزَارَ </w:t>
      </w:r>
      <w:r w:rsidRPr="00D10E3C">
        <w:rPr>
          <w:rStyle w:val="libFootnotenumChar"/>
          <w:rtl/>
        </w:rPr>
        <w:t>(5)</w:t>
      </w:r>
      <w:r>
        <w:rPr>
          <w:rtl/>
          <w:lang w:bidi="fa-IR"/>
        </w:rPr>
        <w:t xml:space="preserve"> الْبَيْتَ وَعَلَيْهِ قَمِيصٌ </w:t>
      </w:r>
      <w:r w:rsidRPr="00D10E3C">
        <w:rPr>
          <w:rStyle w:val="libFootnotenumChar"/>
          <w:rtl/>
        </w:rPr>
        <w:t>(6)</w:t>
      </w:r>
      <w:r>
        <w:rPr>
          <w:rtl/>
          <w:lang w:bidi="fa-IR"/>
        </w:rPr>
        <w:t xml:space="preserve"> وَكَانَ مُتَمَتِّعاً.</w:t>
      </w:r>
    </w:p>
    <w:p w:rsidR="00744A1C" w:rsidRDefault="00B37998" w:rsidP="00744A1C">
      <w:pPr>
        <w:pStyle w:val="libNormal"/>
        <w:rPr>
          <w:lang w:bidi="fa-IR"/>
        </w:rPr>
      </w:pPr>
      <w:r>
        <w:rPr>
          <w:rFonts w:hint="cs"/>
          <w:rtl/>
          <w:lang w:bidi="fa-IR"/>
        </w:rPr>
        <w:t xml:space="preserve">* </w:t>
      </w:r>
      <w:r w:rsidR="00744A1C">
        <w:rPr>
          <w:rtl/>
          <w:lang w:bidi="fa-IR"/>
        </w:rPr>
        <w:t xml:space="preserve">عَلِيُّ بْنُ إِبْرَاهِيمَ ، عَنْ أَبِيهِ ، عَنْ إِسْمَاعِيلَ بْنِ مَرَّارٍ ، عَنْ يُونُسَ ، عَنْ أَبِي أَيُّوبَ نَحْوَهُ. </w:t>
      </w:r>
      <w:r w:rsidR="00744A1C" w:rsidRPr="00D10E3C">
        <w:rPr>
          <w:rStyle w:val="libFootnotenumChar"/>
          <w:rtl/>
        </w:rPr>
        <w:t>(7)</w:t>
      </w:r>
    </w:p>
    <w:p w:rsidR="00744A1C" w:rsidRDefault="00744A1C" w:rsidP="00B37998">
      <w:pPr>
        <w:pStyle w:val="libNormal"/>
        <w:rPr>
          <w:lang w:bidi="fa-IR"/>
        </w:rPr>
      </w:pPr>
      <w:r>
        <w:rPr>
          <w:rtl/>
          <w:lang w:bidi="fa-IR"/>
        </w:rPr>
        <w:t xml:space="preserve">7918 / 4. أَبُو عَلِيٍّ الْأَشْعَرِيُّ ، عَنْ مُحَمَّدِ بْنِ عَبْدِ الْجَبَّارِ ، عَنْ صَفْوَانَ بْنِ يَحْيى </w:t>
      </w:r>
      <w:r w:rsidRPr="00D10E3C">
        <w:rPr>
          <w:rStyle w:val="libFootnotenumChar"/>
          <w:rtl/>
        </w:rPr>
        <w:t>(8)</w:t>
      </w:r>
      <w:r>
        <w:rPr>
          <w:rtl/>
          <w:lang w:bidi="fa-IR"/>
        </w:rPr>
        <w:t xml:space="preserve"> ، عَنْ عَبْدِ الرَّحْمنِ بْنِ الْحَجَّاجِ ، قَالَ :</w:t>
      </w:r>
    </w:p>
    <w:p w:rsidR="00744A1C" w:rsidRDefault="00744A1C" w:rsidP="00744A1C">
      <w:pPr>
        <w:pStyle w:val="libNormal"/>
        <w:rPr>
          <w:lang w:bidi="fa-IR"/>
        </w:rPr>
      </w:pPr>
      <w:r>
        <w:rPr>
          <w:rtl/>
          <w:lang w:bidi="fa-IR"/>
        </w:rPr>
        <w:t xml:space="preserve">وُلِدَ لِأَبِي الْحَسَنِ </w:t>
      </w:r>
      <w:r w:rsidR="0061079A" w:rsidRPr="0061079A">
        <w:rPr>
          <w:rStyle w:val="libAlaemChar"/>
          <w:rtl/>
        </w:rPr>
        <w:t>عليه‌السلام</w:t>
      </w:r>
      <w:r w:rsidR="00D10E3C">
        <w:rPr>
          <w:rtl/>
          <w:lang w:bidi="fa-IR"/>
        </w:rPr>
        <w:t xml:space="preserve"> </w:t>
      </w:r>
      <w:r>
        <w:rPr>
          <w:rtl/>
          <w:lang w:bidi="fa-IR"/>
        </w:rPr>
        <w:t xml:space="preserve">مَوْلُودٌ بِمِنًى ، فَأَرْسَلَ إِلَيْنَا يَوْمَ النَّحْرِ بِخَبِيصٍ </w:t>
      </w:r>
      <w:r w:rsidRPr="00D10E3C">
        <w:rPr>
          <w:rStyle w:val="libFootnotenumChar"/>
          <w:rtl/>
        </w:rPr>
        <w:t>(9)</w:t>
      </w:r>
      <w:r>
        <w:rPr>
          <w:rtl/>
          <w:lang w:bidi="fa-IR"/>
        </w:rPr>
        <w:t xml:space="preserve"> فِيهِ زَعْفَرَانٌ ، وَكُنَّا قَدْ حَلَقْنَا ، قَالَ عَبْدُ الرَّحْمنِ : فَأَكَلْتُ أَنَا ، وَأَبَى </w:t>
      </w:r>
      <w:r w:rsidRPr="00D10E3C">
        <w:rPr>
          <w:rStyle w:val="libFootnotenumChar"/>
          <w:rtl/>
        </w:rPr>
        <w:t>(10)</w:t>
      </w:r>
      <w:r>
        <w:rPr>
          <w:rtl/>
          <w:lang w:bidi="fa-IR"/>
        </w:rPr>
        <w:t xml:space="preserve"> الْكَاهِلِيُّ وَمُرَازِمٌ أَنْ يَأْكُلَا </w:t>
      </w:r>
      <w:r w:rsidRPr="00D10E3C">
        <w:rPr>
          <w:rStyle w:val="libFootnotenumChar"/>
          <w:rtl/>
        </w:rPr>
        <w:t>(11)</w:t>
      </w:r>
      <w:r w:rsidR="00221254">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513469">
      <w:pPr>
        <w:pStyle w:val="libFootnote0"/>
        <w:rPr>
          <w:lang w:bidi="fa-IR"/>
        </w:rPr>
      </w:pPr>
      <w:r>
        <w:rPr>
          <w:rtl/>
          <w:lang w:bidi="fa-IR"/>
        </w:rPr>
        <w:t>(1).</w:t>
      </w:r>
      <w:r w:rsidR="00744A1C">
        <w:rPr>
          <w:rtl/>
          <w:lang w:bidi="fa-IR"/>
        </w:rPr>
        <w:t xml:space="preserve"> </w:t>
      </w:r>
      <w:r w:rsidR="00744A1C" w:rsidRPr="00C24F9C">
        <w:rPr>
          <w:rStyle w:val="libFootnoteBoldChar"/>
          <w:rtl/>
        </w:rPr>
        <w:t>الفقيه</w:t>
      </w:r>
      <w:r w:rsidR="00744A1C">
        <w:rPr>
          <w:rtl/>
          <w:lang w:bidi="fa-IR"/>
        </w:rPr>
        <w:t xml:space="preserve"> ، ج 2 ، ص 508 ، ذيل ح 3096 ، مع اختلاف يسير</w:t>
      </w:r>
      <w:r w:rsidR="00513469">
        <w:rPr>
          <w:rFonts w:hint="cs"/>
          <w:rtl/>
          <w:lang w:bidi="fa-IR"/>
        </w:rPr>
        <w:t>.</w:t>
      </w:r>
      <w:r w:rsidR="00744A1C" w:rsidRPr="00C24F9C">
        <w:rPr>
          <w:rStyle w:val="libFootnoteBoldChar"/>
          <w:rtl/>
        </w:rPr>
        <w:t>الوافي</w:t>
      </w:r>
      <w:r w:rsidR="00744A1C">
        <w:rPr>
          <w:rtl/>
          <w:lang w:bidi="fa-IR"/>
        </w:rPr>
        <w:t xml:space="preserve"> ، ج 14 ، ص 1214 ، ح 14118 ؛ </w:t>
      </w:r>
      <w:r w:rsidR="00744A1C" w:rsidRPr="00C24F9C">
        <w:rPr>
          <w:rStyle w:val="libFootnoteBoldChar"/>
          <w:rtl/>
        </w:rPr>
        <w:t>الوسائل</w:t>
      </w:r>
      <w:r w:rsidR="00744A1C">
        <w:rPr>
          <w:rtl/>
          <w:lang w:bidi="fa-IR"/>
        </w:rPr>
        <w:t xml:space="preserve"> ، ج 14 ، ص 234 ، ح 19077.</w:t>
      </w:r>
    </w:p>
    <w:p w:rsidR="00744A1C" w:rsidRDefault="00E378DD" w:rsidP="00E378DD">
      <w:pPr>
        <w:pStyle w:val="libFootnote0"/>
        <w:rPr>
          <w:lang w:bidi="fa-IR"/>
        </w:rPr>
      </w:pPr>
      <w:r>
        <w:rPr>
          <w:rtl/>
          <w:lang w:bidi="fa-IR"/>
        </w:rPr>
        <w:t>(2).</w:t>
      </w:r>
      <w:r w:rsidR="00744A1C">
        <w:rPr>
          <w:rtl/>
          <w:lang w:bidi="fa-IR"/>
        </w:rPr>
        <w:t xml:space="preserve"> هكذا في « جد » و</w:t>
      </w:r>
      <w:r w:rsidR="00744A1C" w:rsidRPr="00C24F9C">
        <w:rPr>
          <w:rStyle w:val="libFootnoteBoldChar"/>
          <w:rtl/>
        </w:rPr>
        <w:t>الوافي</w:t>
      </w:r>
      <w:r w:rsidR="00744A1C">
        <w:rPr>
          <w:rtl/>
          <w:lang w:bidi="fa-IR"/>
        </w:rPr>
        <w:t>. وفي « ى ، بس ، بف ، جن » والمطبوع و</w:t>
      </w:r>
      <w:r w:rsidR="00744A1C" w:rsidRPr="00C24F9C">
        <w:rPr>
          <w:rStyle w:val="libFootnoteBoldChar"/>
          <w:rtl/>
        </w:rPr>
        <w:t>الوسائل</w:t>
      </w:r>
      <w:r w:rsidR="00744A1C">
        <w:rPr>
          <w:rtl/>
          <w:lang w:bidi="fa-IR"/>
        </w:rPr>
        <w:t xml:space="preserve"> : « الخزّاز ». وما أثبتناه هو الصواب ، كما تقدّم ذيل ح 75.</w:t>
      </w:r>
    </w:p>
    <w:p w:rsidR="00744A1C" w:rsidRDefault="00E378DD" w:rsidP="00E378DD">
      <w:pPr>
        <w:pStyle w:val="libFootnote0"/>
        <w:rPr>
          <w:lang w:bidi="fa-IR"/>
        </w:rPr>
      </w:pPr>
      <w:r>
        <w:rPr>
          <w:rtl/>
          <w:lang w:bidi="fa-IR"/>
        </w:rPr>
        <w:t>(3).</w:t>
      </w:r>
      <w:r w:rsidR="00744A1C">
        <w:rPr>
          <w:rtl/>
          <w:lang w:bidi="fa-IR"/>
        </w:rPr>
        <w:t xml:space="preserve"> ضَمَّدَ فلان رأسه بالشي‌ء ، أي طلاه ولَطَخَه. راجع : </w:t>
      </w:r>
      <w:r w:rsidR="00744A1C" w:rsidRPr="00877682">
        <w:rPr>
          <w:rStyle w:val="libFootnoteBoldChar"/>
          <w:rtl/>
        </w:rPr>
        <w:t>لسان العرب</w:t>
      </w:r>
      <w:r w:rsidR="00744A1C">
        <w:rPr>
          <w:rtl/>
          <w:lang w:bidi="fa-IR"/>
        </w:rPr>
        <w:t xml:space="preserve"> ، ج 3 ، ص 265 ( ضمد ).</w:t>
      </w:r>
    </w:p>
    <w:p w:rsidR="00744A1C" w:rsidRDefault="00E378DD" w:rsidP="00E378DD">
      <w:pPr>
        <w:pStyle w:val="libFootnote0"/>
        <w:rPr>
          <w:lang w:bidi="fa-IR"/>
        </w:rPr>
      </w:pPr>
      <w:r>
        <w:rPr>
          <w:rtl/>
          <w:lang w:bidi="fa-IR"/>
        </w:rPr>
        <w:t>(4).</w:t>
      </w:r>
      <w:r w:rsidR="00744A1C">
        <w:rPr>
          <w:rtl/>
          <w:lang w:bidi="fa-IR"/>
        </w:rPr>
        <w:t xml:space="preserve"> في هامش المطبوع عن بعض النسخ و</w:t>
      </w:r>
      <w:r w:rsidR="00744A1C" w:rsidRPr="00C24F9C">
        <w:rPr>
          <w:rStyle w:val="libFootnoteBoldChar"/>
          <w:rtl/>
        </w:rPr>
        <w:t>الوافي</w:t>
      </w:r>
      <w:r w:rsidR="00744A1C">
        <w:rPr>
          <w:rtl/>
          <w:lang w:bidi="fa-IR"/>
        </w:rPr>
        <w:t xml:space="preserve"> : « بسُكّ ». ونقله في </w:t>
      </w:r>
      <w:r w:rsidR="00744A1C" w:rsidRPr="00C24F9C">
        <w:rPr>
          <w:rStyle w:val="libFootnoteBoldChar"/>
          <w:rtl/>
        </w:rPr>
        <w:t>المرآة</w:t>
      </w:r>
      <w:r w:rsidR="00744A1C">
        <w:rPr>
          <w:rtl/>
          <w:lang w:bidi="fa-IR"/>
        </w:rPr>
        <w:t xml:space="preserve"> عن بعض النسخ ، وهو طيب خاصّ.</w:t>
      </w:r>
    </w:p>
    <w:p w:rsidR="00744A1C" w:rsidRDefault="00E378DD" w:rsidP="00E378DD">
      <w:pPr>
        <w:pStyle w:val="libFootnote0"/>
        <w:rPr>
          <w:lang w:bidi="fa-IR"/>
        </w:rPr>
      </w:pPr>
      <w:r>
        <w:rPr>
          <w:rtl/>
          <w:lang w:bidi="fa-IR"/>
        </w:rPr>
        <w:t>(5).</w:t>
      </w:r>
      <w:r w:rsidR="00744A1C">
        <w:rPr>
          <w:rtl/>
          <w:lang w:bidi="fa-IR"/>
        </w:rPr>
        <w:t xml:space="preserve"> في « بث ، بخ ، بف » و</w:t>
      </w:r>
      <w:r w:rsidR="00744A1C" w:rsidRPr="00C24F9C">
        <w:rPr>
          <w:rStyle w:val="libFootnoteBoldChar"/>
          <w:rtl/>
        </w:rPr>
        <w:t>الوافي</w:t>
      </w:r>
      <w:r w:rsidR="00744A1C">
        <w:rPr>
          <w:rtl/>
          <w:lang w:bidi="fa-IR"/>
        </w:rPr>
        <w:t xml:space="preserve"> : « ثمّ زار ».</w:t>
      </w:r>
    </w:p>
    <w:p w:rsidR="00744A1C" w:rsidRDefault="00E378DD" w:rsidP="00E378DD">
      <w:pPr>
        <w:pStyle w:val="libFootnote0"/>
        <w:rPr>
          <w:lang w:bidi="fa-IR"/>
        </w:rPr>
      </w:pPr>
      <w:r>
        <w:rPr>
          <w:rtl/>
          <w:lang w:bidi="fa-IR"/>
        </w:rPr>
        <w:t>(6).</w:t>
      </w:r>
      <w:r w:rsidR="00744A1C">
        <w:rPr>
          <w:rtl/>
          <w:lang w:bidi="fa-IR"/>
        </w:rPr>
        <w:t xml:space="preserve"> في « بح » : « القميص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14 ، ص 1214 ، ح 14119 ؛ </w:t>
      </w:r>
      <w:r w:rsidR="00744A1C" w:rsidRPr="00C24F9C">
        <w:rPr>
          <w:rStyle w:val="libFootnoteBoldChar"/>
          <w:rtl/>
        </w:rPr>
        <w:t>الوسائل</w:t>
      </w:r>
      <w:r w:rsidR="00744A1C">
        <w:rPr>
          <w:rtl/>
          <w:lang w:bidi="fa-IR"/>
        </w:rPr>
        <w:t xml:space="preserve"> ، ج 14 ، ص 235 ، ح 19078.</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 - « بن يحيى ».</w:t>
      </w:r>
    </w:p>
    <w:p w:rsidR="00744A1C" w:rsidRDefault="00E378DD" w:rsidP="00E378DD">
      <w:pPr>
        <w:pStyle w:val="libFootnote0"/>
        <w:rPr>
          <w:lang w:bidi="fa-IR"/>
        </w:rPr>
      </w:pPr>
      <w:r>
        <w:rPr>
          <w:rtl/>
          <w:lang w:bidi="fa-IR"/>
        </w:rPr>
        <w:t>(9).</w:t>
      </w:r>
      <w:r w:rsidR="00744A1C">
        <w:rPr>
          <w:rtl/>
          <w:lang w:bidi="fa-IR"/>
        </w:rPr>
        <w:t xml:space="preserve"> الخَبيص : حلواء يُعمل من التمر والسمن. راجع : </w:t>
      </w:r>
      <w:r w:rsidR="00744A1C" w:rsidRPr="00877682">
        <w:rPr>
          <w:rStyle w:val="libFootnoteBoldChar"/>
          <w:rtl/>
        </w:rPr>
        <w:t>لسان العرب</w:t>
      </w:r>
      <w:r w:rsidR="00744A1C">
        <w:rPr>
          <w:rtl/>
          <w:lang w:bidi="fa-IR"/>
        </w:rPr>
        <w:t xml:space="preserve"> ، ج 7 ، ص 20 ( خبص ).</w:t>
      </w:r>
    </w:p>
    <w:tbl>
      <w:tblPr>
        <w:tblStyle w:val="TableGrid"/>
        <w:bidiVisual/>
        <w:tblW w:w="0" w:type="auto"/>
        <w:tblLook w:val="04A0" w:firstRow="1" w:lastRow="0" w:firstColumn="1" w:lastColumn="0" w:noHBand="0" w:noVBand="1"/>
      </w:tblPr>
      <w:tblGrid>
        <w:gridCol w:w="4006"/>
        <w:gridCol w:w="4006"/>
      </w:tblGrid>
      <w:tr w:rsidR="005B250E" w:rsidTr="005B250E">
        <w:tc>
          <w:tcPr>
            <w:tcW w:w="4006" w:type="dxa"/>
          </w:tcPr>
          <w:p w:rsidR="005B250E" w:rsidRDefault="005B250E" w:rsidP="00183778">
            <w:pPr>
              <w:pStyle w:val="libFootnote0"/>
              <w:rPr>
                <w:rtl/>
                <w:lang w:bidi="fa-IR"/>
              </w:rPr>
            </w:pPr>
            <w:r>
              <w:rPr>
                <w:rtl/>
                <w:lang w:bidi="fa-IR"/>
              </w:rPr>
              <w:t xml:space="preserve">(10). في </w:t>
            </w:r>
            <w:r>
              <w:rPr>
                <w:rFonts w:hint="cs"/>
                <w:rtl/>
                <w:lang w:bidi="fa-IR"/>
              </w:rPr>
              <w:t>الت</w:t>
            </w:r>
            <w:r w:rsidRPr="00183778">
              <w:rPr>
                <w:rFonts w:hint="cs"/>
                <w:rtl/>
              </w:rPr>
              <w:t>ه</w:t>
            </w:r>
            <w:r w:rsidRPr="00183778">
              <w:rPr>
                <w:rtl/>
              </w:rPr>
              <w:t>ذيب</w:t>
            </w:r>
            <w:r>
              <w:rPr>
                <w:rFonts w:hint="cs"/>
                <w:rtl/>
                <w:lang w:bidi="fa-IR"/>
              </w:rPr>
              <w:t xml:space="preserve"> :</w:t>
            </w:r>
            <w:r w:rsidRPr="00183778">
              <w:rPr>
                <w:rtl/>
                <w:lang w:bidi="fa-IR"/>
              </w:rPr>
              <w:t xml:space="preserve"> </w:t>
            </w:r>
            <w:r>
              <w:rPr>
                <w:rtl/>
                <w:lang w:bidi="fa-IR"/>
              </w:rPr>
              <w:t>«</w:t>
            </w:r>
            <w:r>
              <w:rPr>
                <w:rFonts w:hint="cs"/>
                <w:rtl/>
                <w:lang w:bidi="fa-IR"/>
              </w:rPr>
              <w:t>وامتنع</w:t>
            </w:r>
            <w:r>
              <w:rPr>
                <w:rtl/>
                <w:lang w:bidi="fa-IR"/>
              </w:rPr>
              <w:t>»</w:t>
            </w:r>
            <w:r>
              <w:rPr>
                <w:rFonts w:hint="cs"/>
                <w:rtl/>
                <w:lang w:bidi="fa-IR"/>
              </w:rPr>
              <w:t>.</w:t>
            </w:r>
          </w:p>
        </w:tc>
        <w:tc>
          <w:tcPr>
            <w:tcW w:w="4006" w:type="dxa"/>
          </w:tcPr>
          <w:p w:rsidR="005B250E" w:rsidRDefault="005B250E" w:rsidP="004E51EA">
            <w:pPr>
              <w:pStyle w:val="libFootnote0"/>
              <w:rPr>
                <w:rtl/>
                <w:lang w:bidi="fa-IR"/>
              </w:rPr>
            </w:pPr>
            <w:r>
              <w:rPr>
                <w:rtl/>
                <w:lang w:bidi="fa-IR"/>
              </w:rPr>
              <w:t>(11). في</w:t>
            </w:r>
            <w:r w:rsidR="004E51EA">
              <w:rPr>
                <w:rFonts w:hint="cs"/>
                <w:rtl/>
                <w:lang w:bidi="fa-IR"/>
              </w:rPr>
              <w:t xml:space="preserve"> </w:t>
            </w:r>
            <w:r w:rsidRPr="00097CCA">
              <w:rPr>
                <w:rtl/>
              </w:rPr>
              <w:t>الوسائل والتهذيب والاستبصار</w:t>
            </w:r>
            <w:r>
              <w:rPr>
                <w:rtl/>
                <w:lang w:bidi="fa-IR"/>
              </w:rPr>
              <w:t>:+</w:t>
            </w:r>
            <w:r w:rsidR="004E51EA">
              <w:rPr>
                <w:rtl/>
                <w:lang w:bidi="fa-IR"/>
              </w:rPr>
              <w:t>«</w:t>
            </w:r>
            <w:r>
              <w:rPr>
                <w:rtl/>
                <w:lang w:bidi="fa-IR"/>
              </w:rPr>
              <w:t>منه».</w:t>
            </w:r>
          </w:p>
        </w:tc>
      </w:tr>
    </w:tbl>
    <w:p w:rsidR="00150943" w:rsidRDefault="00150943" w:rsidP="00D10E3C">
      <w:pPr>
        <w:pStyle w:val="libNormal"/>
        <w:rPr>
          <w:rtl/>
          <w:lang w:bidi="fa-IR"/>
        </w:rPr>
      </w:pPr>
      <w:r>
        <w:rPr>
          <w:rtl/>
          <w:lang w:bidi="fa-IR"/>
        </w:rPr>
        <w:br w:type="page"/>
      </w:r>
    </w:p>
    <w:p w:rsidR="00744A1C" w:rsidRDefault="00744A1C" w:rsidP="00097CCA">
      <w:pPr>
        <w:pStyle w:val="libNormal0"/>
        <w:rPr>
          <w:lang w:bidi="fa-IR"/>
        </w:rPr>
      </w:pPr>
      <w:r>
        <w:rPr>
          <w:rtl/>
          <w:lang w:bidi="fa-IR"/>
        </w:rPr>
        <w:lastRenderedPageBreak/>
        <w:t xml:space="preserve">وَقَالَا </w:t>
      </w:r>
      <w:r w:rsidRPr="00D10E3C">
        <w:rPr>
          <w:rStyle w:val="libFootnotenumChar"/>
          <w:rtl/>
        </w:rPr>
        <w:t>(1)</w:t>
      </w:r>
      <w:r>
        <w:rPr>
          <w:rtl/>
          <w:lang w:bidi="fa-IR"/>
        </w:rPr>
        <w:t xml:space="preserve"> : لَمْ نَزُرِ الْبَيْتَ.</w:t>
      </w:r>
    </w:p>
    <w:p w:rsidR="00744A1C" w:rsidRDefault="00744A1C" w:rsidP="00744A1C">
      <w:pPr>
        <w:pStyle w:val="libNormal"/>
        <w:rPr>
          <w:lang w:bidi="fa-IR"/>
        </w:rPr>
      </w:pPr>
      <w:r>
        <w:rPr>
          <w:rtl/>
          <w:lang w:bidi="fa-IR"/>
        </w:rPr>
        <w:t xml:space="preserve">فَسَمِعَ أَبُو الْحَسَنِ </w:t>
      </w:r>
      <w:r w:rsidR="0061079A" w:rsidRPr="0061079A">
        <w:rPr>
          <w:rStyle w:val="libAlaemChar"/>
          <w:rtl/>
        </w:rPr>
        <w:t>عليه‌السلام</w:t>
      </w:r>
      <w:r w:rsidR="00D10E3C">
        <w:rPr>
          <w:rtl/>
          <w:lang w:bidi="fa-IR"/>
        </w:rPr>
        <w:t xml:space="preserve"> </w:t>
      </w:r>
      <w:r>
        <w:rPr>
          <w:rtl/>
          <w:lang w:bidi="fa-IR"/>
        </w:rPr>
        <w:t xml:space="preserve">كَلَامَنَا ، فَقَالَ لِمُصَادِفٍ - وَكَانَ هُوَ الرَّسُولَ الَّذِي جَاءَنَا </w:t>
      </w:r>
      <w:r w:rsidRPr="00D10E3C">
        <w:rPr>
          <w:rStyle w:val="libFootnotenumChar"/>
          <w:rtl/>
        </w:rPr>
        <w:t>(2)</w:t>
      </w:r>
      <w:r>
        <w:rPr>
          <w:rtl/>
          <w:lang w:bidi="fa-IR"/>
        </w:rPr>
        <w:t xml:space="preserve"> بِهِ - : « فِي أَيِّ شَيْ‌ءٍ كَانُوا يَتَكَلَّمُونَ؟ ».</w:t>
      </w:r>
    </w:p>
    <w:p w:rsidR="00744A1C" w:rsidRDefault="00744A1C" w:rsidP="00744A1C">
      <w:pPr>
        <w:pStyle w:val="libNormal"/>
        <w:rPr>
          <w:lang w:bidi="fa-IR"/>
        </w:rPr>
      </w:pPr>
      <w:r>
        <w:rPr>
          <w:rtl/>
          <w:lang w:bidi="fa-IR"/>
        </w:rPr>
        <w:t xml:space="preserve">قَالَ </w:t>
      </w:r>
      <w:r w:rsidRPr="00D10E3C">
        <w:rPr>
          <w:rStyle w:val="libFootnotenumChar"/>
          <w:rtl/>
        </w:rPr>
        <w:t>(3)</w:t>
      </w:r>
      <w:r>
        <w:rPr>
          <w:rtl/>
          <w:lang w:bidi="fa-IR"/>
        </w:rPr>
        <w:t xml:space="preserve"> : أَكَلَ عَبْدُ الرَّحْمنِ وَأَبَى الْآخَرَانِ ، وَقَالَا </w:t>
      </w:r>
      <w:r w:rsidRPr="00D10E3C">
        <w:rPr>
          <w:rStyle w:val="libFootnotenumChar"/>
          <w:rtl/>
        </w:rPr>
        <w:t>(4)</w:t>
      </w:r>
      <w:r>
        <w:rPr>
          <w:rtl/>
          <w:lang w:bidi="fa-IR"/>
        </w:rPr>
        <w:t xml:space="preserve"> : لَمْ نَزُرْ </w:t>
      </w:r>
      <w:r w:rsidRPr="00D10E3C">
        <w:rPr>
          <w:rStyle w:val="libFootnotenumChar"/>
          <w:rtl/>
        </w:rPr>
        <w:t>(5)</w:t>
      </w:r>
      <w:r>
        <w:rPr>
          <w:rtl/>
          <w:lang w:bidi="fa-IR"/>
        </w:rPr>
        <w:t xml:space="preserve"> بَعْدُ </w:t>
      </w:r>
      <w:r w:rsidRPr="00D10E3C">
        <w:rPr>
          <w:rStyle w:val="libFootnotenumChar"/>
          <w:rtl/>
        </w:rPr>
        <w:t>(6)</w:t>
      </w:r>
      <w:r w:rsidR="00C65C04">
        <w:rPr>
          <w:rFonts w:hint="cs"/>
          <w:rtl/>
          <w:lang w:bidi="fa-IR"/>
        </w:rPr>
        <w:t>.</w:t>
      </w:r>
    </w:p>
    <w:p w:rsidR="00744A1C" w:rsidRDefault="00744A1C" w:rsidP="00744A1C">
      <w:pPr>
        <w:pStyle w:val="libNormal"/>
        <w:rPr>
          <w:lang w:bidi="fa-IR"/>
        </w:rPr>
      </w:pPr>
      <w:r>
        <w:rPr>
          <w:rtl/>
          <w:lang w:bidi="fa-IR"/>
        </w:rPr>
        <w:t xml:space="preserve">فَقَالَ : « أَصَابَ عَبْدُ الرَّحْمنِ » ثُمَّ قَالَ : « أَمَا يَذْكُرُ </w:t>
      </w:r>
      <w:r w:rsidRPr="00D10E3C">
        <w:rPr>
          <w:rStyle w:val="libFootnotenumChar"/>
          <w:rtl/>
        </w:rPr>
        <w:t>(7)</w:t>
      </w:r>
      <w:r>
        <w:rPr>
          <w:rtl/>
          <w:lang w:bidi="fa-IR"/>
        </w:rPr>
        <w:t xml:space="preserve"> حِينَ أُوتِينَا </w:t>
      </w:r>
      <w:r w:rsidRPr="00D10E3C">
        <w:rPr>
          <w:rStyle w:val="libFootnotenumChar"/>
          <w:rtl/>
        </w:rPr>
        <w:t>(8)</w:t>
      </w:r>
      <w:r>
        <w:rPr>
          <w:rtl/>
          <w:lang w:bidi="fa-IR"/>
        </w:rPr>
        <w:t xml:space="preserve"> بِهِ فِي مِثْلِ هذَا الْيَوْمِ ، فَأَكَلْتُ أَنَا مِنْهُ ، وَأَبى عَبْدُ اللهِ أَخِي أَنْ يَأْكُلَ مِنْهُ ، فَلَمَّا جَاءَ أَبِي حَرَّشَهُ </w:t>
      </w:r>
      <w:r w:rsidRPr="00D10E3C">
        <w:rPr>
          <w:rStyle w:val="libFootnotenumChar"/>
          <w:rtl/>
        </w:rPr>
        <w:t>(9)</w:t>
      </w:r>
      <w:r>
        <w:rPr>
          <w:rtl/>
          <w:lang w:bidi="fa-IR"/>
        </w:rPr>
        <w:t xml:space="preserve"> عَلَيَّ ، فَقَالَ : يَا أَبَهْ </w:t>
      </w:r>
      <w:r w:rsidRPr="00D10E3C">
        <w:rPr>
          <w:rStyle w:val="libFootnotenumChar"/>
          <w:rtl/>
        </w:rPr>
        <w:t>(10)</w:t>
      </w:r>
      <w:r>
        <w:rPr>
          <w:rtl/>
          <w:lang w:bidi="fa-IR"/>
        </w:rPr>
        <w:t xml:space="preserve"> ، إِنَّ مُوسى أَكَلَ خَبِيصاً فِيهِ زَعْفَرَانٌ ، وَلَمْ يَزُرْ بَعْدُ ، فَقَالَ أَبِي : هُوَ أَفْقَهُ مِنْكَ ، أَلَيْسَ قَدْ حَلَقْتُمْ رُؤُوسَكُمْ؟ </w:t>
      </w:r>
      <w:r w:rsidRPr="00D10E3C">
        <w:rPr>
          <w:rStyle w:val="libFootnotenumChar"/>
          <w:rtl/>
        </w:rPr>
        <w:t>(11)</w:t>
      </w:r>
      <w:r>
        <w:rPr>
          <w:rtl/>
          <w:lang w:bidi="fa-IR"/>
        </w:rPr>
        <w:t xml:space="preserve"> ». </w:t>
      </w:r>
      <w:r w:rsidRPr="00D10E3C">
        <w:rPr>
          <w:rStyle w:val="libFootnotenumChar"/>
          <w:rtl/>
        </w:rPr>
        <w:t>(12)</w:t>
      </w:r>
    </w:p>
    <w:p w:rsidR="00744A1C" w:rsidRDefault="00744A1C" w:rsidP="00744A1C">
      <w:pPr>
        <w:pStyle w:val="libNormal"/>
        <w:rPr>
          <w:lang w:bidi="fa-IR"/>
        </w:rPr>
      </w:pPr>
      <w:r>
        <w:rPr>
          <w:rtl/>
          <w:lang w:bidi="fa-IR"/>
        </w:rPr>
        <w:t xml:space="preserve">7919 / 5. صَفْوَانُ </w:t>
      </w:r>
      <w:r w:rsidRPr="00D10E3C">
        <w:rPr>
          <w:rStyle w:val="libFootnotenumChar"/>
          <w:rtl/>
        </w:rPr>
        <w:t>(13)</w:t>
      </w:r>
      <w:r>
        <w:rPr>
          <w:rtl/>
          <w:lang w:bidi="fa-IR"/>
        </w:rPr>
        <w:t xml:space="preserve"> ، عَنْ إِ</w:t>
      </w:r>
      <w:r w:rsidR="005B3CBA">
        <w:rPr>
          <w:rtl/>
          <w:lang w:bidi="fa-IR"/>
        </w:rPr>
        <w:t>سْحَاقَ بْنِ عَمَّارٍ ، قَالَ :</w:t>
      </w:r>
    </w:p>
    <w:p w:rsidR="00744A1C" w:rsidRDefault="00744A1C" w:rsidP="00744A1C">
      <w:pPr>
        <w:pStyle w:val="libNormal"/>
        <w:rPr>
          <w:lang w:bidi="fa-IR"/>
        </w:rPr>
      </w:pPr>
      <w:r>
        <w:rPr>
          <w:rtl/>
          <w:lang w:bidi="fa-IR"/>
        </w:rPr>
        <w:t xml:space="preserve">سَأَلْتُ أَبَا إِبْرَاهِيمَ </w:t>
      </w:r>
      <w:r w:rsidR="0061079A" w:rsidRPr="0061079A">
        <w:rPr>
          <w:rStyle w:val="libAlaemChar"/>
          <w:rtl/>
        </w:rPr>
        <w:t>عليه‌السلام</w:t>
      </w:r>
      <w:r w:rsidR="00D10E3C">
        <w:rPr>
          <w:rtl/>
          <w:lang w:bidi="fa-IR"/>
        </w:rPr>
        <w:t xml:space="preserve"> </w:t>
      </w:r>
      <w:r>
        <w:rPr>
          <w:rtl/>
          <w:lang w:bidi="fa-IR"/>
        </w:rPr>
        <w:t xml:space="preserve">عَنِ الْمُتَمَتِّعِ : إِذَا حَلَقَ رَأْسَهُ مَا يَحِلُّ </w:t>
      </w:r>
      <w:r w:rsidRPr="00D10E3C">
        <w:rPr>
          <w:rStyle w:val="libFootnotenumChar"/>
          <w:rtl/>
        </w:rPr>
        <w:t>(14)</w:t>
      </w:r>
      <w:r>
        <w:rPr>
          <w:rtl/>
          <w:lang w:bidi="fa-IR"/>
        </w:rPr>
        <w:t xml:space="preserve"> لَهُ؟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فقالا ».</w:t>
      </w:r>
    </w:p>
    <w:p w:rsidR="00744A1C" w:rsidRDefault="00E378DD" w:rsidP="00E378DD">
      <w:pPr>
        <w:pStyle w:val="libFootnote0"/>
        <w:rPr>
          <w:lang w:bidi="fa-IR"/>
        </w:rPr>
      </w:pPr>
      <w:r>
        <w:rPr>
          <w:rtl/>
          <w:lang w:bidi="fa-IR"/>
        </w:rPr>
        <w:t>(2).</w:t>
      </w:r>
      <w:r w:rsidR="00744A1C">
        <w:rPr>
          <w:rtl/>
          <w:lang w:bidi="fa-IR"/>
        </w:rPr>
        <w:t xml:space="preserve"> في « بث ، بخ ، بف » : « جاء ».</w:t>
      </w:r>
    </w:p>
    <w:tbl>
      <w:tblPr>
        <w:tblStyle w:val="TableGrid"/>
        <w:bidiVisual/>
        <w:tblW w:w="0" w:type="auto"/>
        <w:tblLook w:val="04A0" w:firstRow="1" w:lastRow="0" w:firstColumn="1" w:lastColumn="0" w:noHBand="0" w:noVBand="1"/>
      </w:tblPr>
      <w:tblGrid>
        <w:gridCol w:w="4006"/>
        <w:gridCol w:w="4006"/>
      </w:tblGrid>
      <w:tr w:rsidR="006F32F8" w:rsidTr="006F32F8">
        <w:tc>
          <w:tcPr>
            <w:tcW w:w="4006" w:type="dxa"/>
          </w:tcPr>
          <w:p w:rsidR="006F32F8" w:rsidRDefault="006F32F8" w:rsidP="00E378DD">
            <w:pPr>
              <w:pStyle w:val="libFootnote0"/>
              <w:rPr>
                <w:rtl/>
                <w:lang w:bidi="fa-IR"/>
              </w:rPr>
            </w:pPr>
            <w:r>
              <w:rPr>
                <w:rtl/>
                <w:lang w:bidi="fa-IR"/>
              </w:rPr>
              <w:t xml:space="preserve">(3).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فقال ».</w:t>
            </w:r>
          </w:p>
        </w:tc>
        <w:tc>
          <w:tcPr>
            <w:tcW w:w="4006" w:type="dxa"/>
          </w:tcPr>
          <w:p w:rsidR="006F32F8" w:rsidRDefault="006F32F8" w:rsidP="00E378DD">
            <w:pPr>
              <w:pStyle w:val="libFootnote0"/>
              <w:rPr>
                <w:rtl/>
                <w:lang w:bidi="fa-IR"/>
              </w:rPr>
            </w:pPr>
            <w:r>
              <w:rPr>
                <w:rtl/>
                <w:lang w:bidi="fa-IR"/>
              </w:rPr>
              <w:t xml:space="preserve">(4).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فقالا ».</w:t>
            </w:r>
          </w:p>
        </w:tc>
      </w:tr>
      <w:tr w:rsidR="006F32F8" w:rsidTr="006F32F8">
        <w:tc>
          <w:tcPr>
            <w:tcW w:w="4006" w:type="dxa"/>
          </w:tcPr>
          <w:p w:rsidR="006F32F8" w:rsidRDefault="006F32F8" w:rsidP="00E378DD">
            <w:pPr>
              <w:pStyle w:val="libFootnote0"/>
              <w:rPr>
                <w:rtl/>
                <w:lang w:bidi="fa-IR"/>
              </w:rPr>
            </w:pPr>
            <w:r>
              <w:rPr>
                <w:rtl/>
                <w:lang w:bidi="fa-IR"/>
              </w:rPr>
              <w:t xml:space="preserve">(5). في </w:t>
            </w:r>
            <w:r w:rsidRPr="00C24F9C">
              <w:rPr>
                <w:rStyle w:val="libFootnoteBoldChar"/>
                <w:rtl/>
              </w:rPr>
              <w:t>التهذيب</w:t>
            </w:r>
            <w:r>
              <w:rPr>
                <w:rtl/>
                <w:lang w:bidi="fa-IR"/>
              </w:rPr>
              <w:t xml:space="preserve"> : + « البيت ».</w:t>
            </w:r>
          </w:p>
        </w:tc>
        <w:tc>
          <w:tcPr>
            <w:tcW w:w="4006" w:type="dxa"/>
          </w:tcPr>
          <w:p w:rsidR="006F32F8" w:rsidRDefault="007275FF" w:rsidP="00E378DD">
            <w:pPr>
              <w:pStyle w:val="libFootnote0"/>
              <w:rPr>
                <w:rtl/>
                <w:lang w:bidi="fa-IR"/>
              </w:rPr>
            </w:pPr>
            <w:r>
              <w:rPr>
                <w:rtl/>
                <w:lang w:bidi="fa-IR"/>
              </w:rPr>
              <w:t xml:space="preserve">(6). في </w:t>
            </w:r>
            <w:r w:rsidRPr="00C24F9C">
              <w:rPr>
                <w:rStyle w:val="libFootnoteBoldChar"/>
                <w:rtl/>
              </w:rPr>
              <w:t>الوسائل</w:t>
            </w:r>
            <w:r>
              <w:rPr>
                <w:rtl/>
                <w:lang w:bidi="fa-IR"/>
              </w:rPr>
              <w:t xml:space="preserve"> : + « البيت ».</w:t>
            </w:r>
          </w:p>
        </w:tc>
      </w:tr>
    </w:tbl>
    <w:p w:rsidR="00744A1C" w:rsidRDefault="00E378DD" w:rsidP="00E378DD">
      <w:pPr>
        <w:pStyle w:val="libFootnote0"/>
        <w:rPr>
          <w:lang w:bidi="fa-IR"/>
        </w:rPr>
      </w:pPr>
      <w:r>
        <w:rPr>
          <w:rtl/>
          <w:lang w:bidi="fa-IR"/>
        </w:rPr>
        <w:t>(7).</w:t>
      </w:r>
      <w:r w:rsidR="00744A1C">
        <w:rPr>
          <w:rtl/>
          <w:lang w:bidi="fa-IR"/>
        </w:rPr>
        <w:t xml:space="preserve"> في « ى ، بخ ، بس ، جد » </w:t>
      </w:r>
      <w:r w:rsidR="00744A1C" w:rsidRPr="00097CCA">
        <w:rPr>
          <w:rtl/>
        </w:rPr>
        <w:t>والوافي والوسائل والتهذيب</w:t>
      </w:r>
      <w:r w:rsidR="00744A1C">
        <w:rPr>
          <w:rtl/>
          <w:lang w:bidi="fa-IR"/>
        </w:rPr>
        <w:t xml:space="preserve"> : « تذكر ».</w:t>
      </w:r>
    </w:p>
    <w:p w:rsidR="00744A1C" w:rsidRDefault="00E378DD" w:rsidP="00E378DD">
      <w:pPr>
        <w:pStyle w:val="libFootnote0"/>
        <w:rPr>
          <w:lang w:bidi="fa-IR"/>
        </w:rPr>
      </w:pPr>
      <w:r>
        <w:rPr>
          <w:rtl/>
          <w:lang w:bidi="fa-IR"/>
        </w:rPr>
        <w:t>(8).</w:t>
      </w:r>
      <w:r w:rsidR="00744A1C">
        <w:rPr>
          <w:rtl/>
          <w:lang w:bidi="fa-IR"/>
        </w:rPr>
        <w:t xml:space="preserve"> في « بس » </w:t>
      </w:r>
      <w:r w:rsidR="00744A1C" w:rsidRPr="00097CCA">
        <w:rPr>
          <w:rtl/>
        </w:rPr>
        <w:t>والوافي والوسائل والتهذيب</w:t>
      </w:r>
      <w:r w:rsidR="00744A1C">
        <w:rPr>
          <w:rtl/>
          <w:lang w:bidi="fa-IR"/>
        </w:rPr>
        <w:t xml:space="preserve"> : « ا</w:t>
      </w:r>
      <w:r w:rsidR="00521BB9">
        <w:rPr>
          <w:rFonts w:hint="cs"/>
          <w:rtl/>
          <w:lang w:bidi="fa-IR"/>
        </w:rPr>
        <w:t>ُ</w:t>
      </w:r>
      <w:r w:rsidR="00744A1C">
        <w:rPr>
          <w:rtl/>
          <w:lang w:bidi="fa-IR"/>
        </w:rPr>
        <w:t>تينا ».</w:t>
      </w:r>
    </w:p>
    <w:p w:rsidR="00744A1C" w:rsidRDefault="00E378DD" w:rsidP="00E378DD">
      <w:pPr>
        <w:pStyle w:val="libFootnote0"/>
        <w:rPr>
          <w:lang w:bidi="fa-IR"/>
        </w:rPr>
      </w:pPr>
      <w:r>
        <w:rPr>
          <w:rtl/>
          <w:lang w:bidi="fa-IR"/>
        </w:rPr>
        <w:t>(9).</w:t>
      </w:r>
      <w:r w:rsidR="00744A1C">
        <w:rPr>
          <w:rtl/>
          <w:lang w:bidi="fa-IR"/>
        </w:rPr>
        <w:t xml:space="preserve"> التحريش : الإغراء والتهييج. راجع : </w:t>
      </w:r>
      <w:r w:rsidR="00744A1C" w:rsidRPr="00E978C3">
        <w:rPr>
          <w:rStyle w:val="libFootnoteBoldChar"/>
          <w:rtl/>
        </w:rPr>
        <w:t>الصحاح</w:t>
      </w:r>
      <w:r w:rsidR="00744A1C">
        <w:rPr>
          <w:rtl/>
          <w:lang w:bidi="fa-IR"/>
        </w:rPr>
        <w:t xml:space="preserve"> ، ج 3 ، ص 1001 ؛ </w:t>
      </w:r>
      <w:r w:rsidR="00744A1C" w:rsidRPr="00877682">
        <w:rPr>
          <w:rStyle w:val="libFootnoteBoldChar"/>
          <w:rtl/>
        </w:rPr>
        <w:t>لسان العرب</w:t>
      </w:r>
      <w:r w:rsidR="00744A1C">
        <w:rPr>
          <w:rtl/>
          <w:lang w:bidi="fa-IR"/>
        </w:rPr>
        <w:t xml:space="preserve"> ، ج 6 ، ص 279 ( حرش ).</w:t>
      </w:r>
    </w:p>
    <w:p w:rsidR="00744A1C" w:rsidRDefault="00E378DD" w:rsidP="001964CD">
      <w:pPr>
        <w:pStyle w:val="libFootnote0"/>
        <w:rPr>
          <w:lang w:bidi="fa-IR"/>
        </w:rPr>
      </w:pPr>
      <w:r>
        <w:rPr>
          <w:rtl/>
          <w:lang w:bidi="fa-IR"/>
        </w:rPr>
        <w:t>(10).</w:t>
      </w:r>
      <w:r w:rsidR="00744A1C">
        <w:rPr>
          <w:rtl/>
          <w:lang w:bidi="fa-IR"/>
        </w:rPr>
        <w:t xml:space="preserve"> في « بخ </w:t>
      </w:r>
      <w:r w:rsidR="00B618DF">
        <w:rPr>
          <w:rtl/>
          <w:lang w:bidi="fa-IR"/>
        </w:rPr>
        <w:t>»</w:t>
      </w:r>
      <w:r w:rsidR="00744A1C">
        <w:rPr>
          <w:rtl/>
          <w:lang w:bidi="fa-IR"/>
        </w:rPr>
        <w:t xml:space="preserve"> و</w:t>
      </w:r>
      <w:r w:rsidR="001964CD">
        <w:rPr>
          <w:rFonts w:hint="cs"/>
          <w:rtl/>
          <w:lang w:bidi="fa-IR"/>
        </w:rPr>
        <w:t xml:space="preserve"> الاستبصار : </w:t>
      </w:r>
      <w:r w:rsidR="001964CD">
        <w:rPr>
          <w:rtl/>
          <w:lang w:bidi="fa-IR"/>
        </w:rPr>
        <w:t xml:space="preserve">« </w:t>
      </w:r>
      <w:r w:rsidR="001964CD">
        <w:rPr>
          <w:rFonts w:hint="cs"/>
          <w:rtl/>
          <w:lang w:bidi="fa-IR"/>
        </w:rPr>
        <w:t>يا أبت</w:t>
      </w:r>
      <w:r w:rsidR="001964CD">
        <w:rPr>
          <w:rtl/>
          <w:lang w:bidi="fa-IR"/>
        </w:rPr>
        <w:t xml:space="preserve">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المرآة</w:t>
      </w:r>
      <w:r w:rsidR="00744A1C">
        <w:rPr>
          <w:rtl/>
          <w:lang w:bidi="fa-IR"/>
        </w:rPr>
        <w:t xml:space="preserve"> : « وهذا الخبر أيضاً يدلّ على حلّ الطيب بالحلق. وحمل الشيخ في </w:t>
      </w:r>
      <w:r w:rsidR="00744A1C" w:rsidRPr="00C24F9C">
        <w:rPr>
          <w:rStyle w:val="libFootnoteBoldChar"/>
          <w:rtl/>
        </w:rPr>
        <w:t>التهذيب</w:t>
      </w:r>
      <w:r w:rsidR="00744A1C">
        <w:rPr>
          <w:rtl/>
          <w:lang w:bidi="fa-IR"/>
        </w:rPr>
        <w:t xml:space="preserve"> تلك الأخبار على غير المتمتّع ، وقال : إنّما لا يحلّ استعمال الطيب مع ذلك للمتمتّع دون غيره ، واستشهد له بخبر محمّد بن حمران الدالّ على هذا التفصيل ، واستحسنه بعض المتأخّرين ». راجع : </w:t>
      </w:r>
      <w:r w:rsidR="00744A1C" w:rsidRPr="00C24F9C">
        <w:rPr>
          <w:rStyle w:val="libFootnoteBoldChar"/>
          <w:rtl/>
        </w:rPr>
        <w:t>التهذيب</w:t>
      </w:r>
      <w:r w:rsidR="00744A1C">
        <w:rPr>
          <w:rtl/>
          <w:lang w:bidi="fa-IR"/>
        </w:rPr>
        <w:t xml:space="preserve"> ، ج 5 ، ص 247.</w:t>
      </w:r>
    </w:p>
    <w:p w:rsidR="00744A1C" w:rsidRDefault="00E378DD" w:rsidP="00417D97">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246 ، ح 833 ؛ </w:t>
      </w:r>
      <w:r w:rsidR="00744A1C" w:rsidRPr="00C24F9C">
        <w:rPr>
          <w:rStyle w:val="libFootnoteBoldChar"/>
          <w:rtl/>
        </w:rPr>
        <w:t>والاستبصار</w:t>
      </w:r>
      <w:r w:rsidR="00744A1C">
        <w:rPr>
          <w:rtl/>
          <w:lang w:bidi="fa-IR"/>
        </w:rPr>
        <w:t xml:space="preserve"> ، ج 2 ، ص 288 ، ح 1022 ، معلّقاً عن الكليني</w:t>
      </w:r>
      <w:r w:rsidR="00417D97">
        <w:rPr>
          <w:rFonts w:hint="cs"/>
          <w:rtl/>
          <w:lang w:bidi="fa-IR"/>
        </w:rPr>
        <w:t>.</w:t>
      </w:r>
      <w:r w:rsidR="00744A1C" w:rsidRPr="00C24F9C">
        <w:rPr>
          <w:rStyle w:val="libFootnoteBoldChar"/>
          <w:rtl/>
        </w:rPr>
        <w:t>الوافي</w:t>
      </w:r>
      <w:r w:rsidR="00744A1C">
        <w:rPr>
          <w:rtl/>
          <w:lang w:bidi="fa-IR"/>
        </w:rPr>
        <w:t xml:space="preserve"> ، ج 14 ، ص 1213 ، ح 14116 ؛ </w:t>
      </w:r>
      <w:r w:rsidR="00744A1C" w:rsidRPr="00C24F9C">
        <w:rPr>
          <w:rStyle w:val="libFootnoteBoldChar"/>
          <w:rtl/>
        </w:rPr>
        <w:t>الوسائل</w:t>
      </w:r>
      <w:r w:rsidR="00744A1C">
        <w:rPr>
          <w:rtl/>
          <w:lang w:bidi="fa-IR"/>
        </w:rPr>
        <w:t xml:space="preserve"> ، ج 14 ، ص 237 ، ح 19084.</w:t>
      </w:r>
    </w:p>
    <w:p w:rsidR="00744A1C" w:rsidRDefault="00E378DD" w:rsidP="00E378DD">
      <w:pPr>
        <w:pStyle w:val="libFootnote0"/>
        <w:rPr>
          <w:lang w:bidi="fa-IR"/>
        </w:rPr>
      </w:pPr>
      <w:r>
        <w:rPr>
          <w:rtl/>
          <w:lang w:bidi="fa-IR"/>
        </w:rPr>
        <w:t>(13).</w:t>
      </w:r>
      <w:r w:rsidR="00744A1C">
        <w:rPr>
          <w:rtl/>
          <w:lang w:bidi="fa-IR"/>
        </w:rPr>
        <w:t xml:space="preserve"> السند معلّق على سابقه. ويروي عن صفوان ، أبو عليٍّ الأشعري عن محمّد بن عبد الجبّار.</w:t>
      </w:r>
    </w:p>
    <w:p w:rsidR="00744A1C" w:rsidRDefault="00E378DD" w:rsidP="00E378DD">
      <w:pPr>
        <w:pStyle w:val="libFootnote0"/>
        <w:rPr>
          <w:lang w:bidi="fa-IR"/>
        </w:rPr>
      </w:pPr>
      <w:r>
        <w:rPr>
          <w:rtl/>
          <w:lang w:bidi="fa-IR"/>
        </w:rPr>
        <w:t>(14).</w:t>
      </w:r>
      <w:r w:rsidR="00744A1C">
        <w:rPr>
          <w:rtl/>
          <w:lang w:bidi="fa-IR"/>
        </w:rPr>
        <w:t xml:space="preserve"> في « بخ ، بف » : « فما يحلّ ».</w:t>
      </w:r>
    </w:p>
    <w:p w:rsidR="00150943" w:rsidRDefault="00150943" w:rsidP="00D10E3C">
      <w:pPr>
        <w:pStyle w:val="libNormal"/>
        <w:rPr>
          <w:rtl/>
          <w:lang w:bidi="fa-IR"/>
        </w:rPr>
      </w:pPr>
      <w:r>
        <w:rPr>
          <w:rtl/>
          <w:lang w:bidi="fa-IR"/>
        </w:rPr>
        <w:br w:type="page"/>
      </w:r>
    </w:p>
    <w:p w:rsidR="00744A1C" w:rsidRDefault="008F5A50" w:rsidP="00744A1C">
      <w:pPr>
        <w:pStyle w:val="libNormal"/>
        <w:rPr>
          <w:lang w:bidi="fa-IR"/>
        </w:rPr>
      </w:pPr>
      <w:r>
        <w:rPr>
          <w:rtl/>
          <w:lang w:bidi="fa-IR"/>
        </w:rPr>
        <w:lastRenderedPageBreak/>
        <w:t>فَقَالَ : « كُلُّ شَيْ‌ءٍ إِل</w:t>
      </w:r>
      <w:r>
        <w:rPr>
          <w:rFonts w:hint="cs"/>
          <w:rtl/>
          <w:lang w:bidi="fa-IR"/>
        </w:rPr>
        <w:t>َّ</w:t>
      </w:r>
      <w:r>
        <w:rPr>
          <w:rtl/>
          <w:lang w:bidi="fa-IR"/>
        </w:rPr>
        <w:t>ا</w:t>
      </w:r>
      <w:r w:rsidR="00744A1C">
        <w:rPr>
          <w:rtl/>
          <w:lang w:bidi="fa-IR"/>
        </w:rPr>
        <w:t xml:space="preserve"> النِّسَاءَ ». </w:t>
      </w:r>
      <w:r w:rsidR="00744A1C" w:rsidRPr="00D10E3C">
        <w:rPr>
          <w:rStyle w:val="libFootnotenumChar"/>
          <w:rtl/>
        </w:rPr>
        <w:t>(1)</w:t>
      </w:r>
    </w:p>
    <w:p w:rsidR="00744A1C" w:rsidRDefault="00744A1C" w:rsidP="008F5A50">
      <w:pPr>
        <w:pStyle w:val="Heading2Center"/>
        <w:rPr>
          <w:lang w:bidi="fa-IR"/>
        </w:rPr>
      </w:pPr>
      <w:bookmarkStart w:id="36" w:name="_Toc49261334"/>
      <w:r>
        <w:rPr>
          <w:rtl/>
          <w:lang w:bidi="fa-IR"/>
        </w:rPr>
        <w:t>191 - بَابُ صَوْمِ الْمُتَمَتِّعِ إِذَا لَمْ يَجِدِ الْهَدْيَ‌</w:t>
      </w:r>
      <w:bookmarkEnd w:id="36"/>
    </w:p>
    <w:p w:rsidR="00144FA6" w:rsidRDefault="00744A1C" w:rsidP="00744A1C">
      <w:pPr>
        <w:pStyle w:val="libNormal"/>
        <w:rPr>
          <w:rtl/>
          <w:lang w:bidi="fa-IR"/>
        </w:rPr>
      </w:pPr>
      <w:r>
        <w:rPr>
          <w:rtl/>
          <w:lang w:bidi="fa-IR"/>
        </w:rPr>
        <w:t xml:space="preserve">7920 / 1. عِدَّةٌ مِنْ أَصْحَابِنَا ، عَنْ أَحْمَدَ بْنِ مُحَمَّدٍ وَسَهْلِ بْنِ زِيَادٍ جَمِيعاً ، عَنْ رِفَاعَةَ بْنِ مُوسى </w:t>
      </w:r>
      <w:r w:rsidRPr="00D10E3C">
        <w:rPr>
          <w:rStyle w:val="libFootnotenumChar"/>
          <w:rtl/>
        </w:rPr>
        <w:t>(2)</w:t>
      </w:r>
      <w:r>
        <w:rPr>
          <w:rtl/>
          <w:lang w:bidi="fa-IR"/>
        </w:rPr>
        <w:t xml:space="preserve">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الْمُتَمَتِّعِ لَايَجِدُ الْهَدْيَ؟</w:t>
      </w:r>
    </w:p>
    <w:p w:rsidR="00744A1C" w:rsidRDefault="00744A1C" w:rsidP="00744A1C">
      <w:pPr>
        <w:pStyle w:val="libNormal"/>
        <w:rPr>
          <w:lang w:bidi="fa-IR"/>
        </w:rPr>
      </w:pPr>
      <w:r>
        <w:rPr>
          <w:rtl/>
          <w:lang w:bidi="fa-IR"/>
        </w:rPr>
        <w:t xml:space="preserve">قَالَ : « يَصُومُ </w:t>
      </w:r>
      <w:r w:rsidRPr="00D10E3C">
        <w:rPr>
          <w:rStyle w:val="libFootnotenumChar"/>
          <w:rtl/>
        </w:rPr>
        <w:t>(3)</w:t>
      </w:r>
      <w:r>
        <w:rPr>
          <w:rtl/>
          <w:lang w:bidi="fa-IR"/>
        </w:rPr>
        <w:t xml:space="preserve"> قَبْلَ التَّرْوِيَةِ بِيَوْمٍ </w:t>
      </w:r>
      <w:r w:rsidRPr="00D10E3C">
        <w:rPr>
          <w:rStyle w:val="libFootnotenumChar"/>
          <w:rtl/>
        </w:rPr>
        <w:t>(4)</w:t>
      </w:r>
      <w:r>
        <w:rPr>
          <w:rtl/>
          <w:lang w:bidi="fa-IR"/>
        </w:rPr>
        <w:t xml:space="preserve"> ، وَيَوْمَ التَّرْوِيَةِ ، وَيَوْمَ عَرَفَةَ ».</w:t>
      </w:r>
    </w:p>
    <w:p w:rsidR="00744A1C" w:rsidRDefault="00744A1C" w:rsidP="00744A1C">
      <w:pPr>
        <w:pStyle w:val="libNormal"/>
        <w:rPr>
          <w:lang w:bidi="fa-IR"/>
        </w:rPr>
      </w:pPr>
      <w:r>
        <w:rPr>
          <w:rtl/>
          <w:lang w:bidi="fa-IR"/>
        </w:rPr>
        <w:t xml:space="preserve">قُلْتُ : فَإِنَّهُ قَدِمَ يَوْمَ التَّرْوِيَةِ </w:t>
      </w:r>
      <w:r w:rsidRPr="00D10E3C">
        <w:rPr>
          <w:rStyle w:val="libFootnotenumChar"/>
          <w:rtl/>
        </w:rPr>
        <w:t>(5)</w:t>
      </w:r>
      <w:r w:rsidR="00BC18CD">
        <w:rPr>
          <w:rFonts w:hint="cs"/>
          <w:rtl/>
          <w:lang w:bidi="fa-IR"/>
        </w:rPr>
        <w:t>.</w:t>
      </w:r>
    </w:p>
    <w:p w:rsidR="00BC18CD" w:rsidRPr="00BC18CD" w:rsidRDefault="00744A1C" w:rsidP="00BC18CD">
      <w:pPr>
        <w:pStyle w:val="libNormal"/>
        <w:rPr>
          <w:lang w:bidi="fa-IR"/>
        </w:rPr>
      </w:pPr>
      <w:r>
        <w:rPr>
          <w:rtl/>
          <w:lang w:bidi="fa-IR"/>
        </w:rPr>
        <w:t xml:space="preserve">قَالَ : « يَصُومُ ثَلَاثَةَ أَيَّامٍ بَعْدَ </w:t>
      </w:r>
      <w:r w:rsidRPr="00D10E3C">
        <w:rPr>
          <w:rStyle w:val="libFootnotenumChar"/>
          <w:rtl/>
        </w:rPr>
        <w:t>(6)</w:t>
      </w:r>
      <w:r>
        <w:rPr>
          <w:rtl/>
          <w:lang w:bidi="fa-IR"/>
        </w:rPr>
        <w:t xml:space="preserve"> التَّشْرِيقِ </w:t>
      </w:r>
      <w:r w:rsidRPr="00D10E3C">
        <w:rPr>
          <w:rStyle w:val="libFootnotenumChar"/>
          <w:rtl/>
        </w:rPr>
        <w:t>(7)</w:t>
      </w:r>
      <w:r>
        <w:rPr>
          <w:rtl/>
          <w:lang w:bidi="fa-IR"/>
        </w:rPr>
        <w:t xml:space="preserve"> ».</w:t>
      </w:r>
    </w:p>
    <w:p w:rsidR="00BC18CD" w:rsidRDefault="00BC18CD" w:rsidP="00BC18CD">
      <w:pPr>
        <w:pStyle w:val="libNormal"/>
        <w:rPr>
          <w:lang w:bidi="fa-IR"/>
        </w:rPr>
      </w:pPr>
      <w:r>
        <w:rPr>
          <w:rtl/>
          <w:lang w:bidi="fa-IR"/>
        </w:rPr>
        <w:t>قُلْتُ : لَمْ يُقِمْ عَلَيْهِ جَمَّالُهُ.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الوافي</w:t>
      </w:r>
      <w:r w:rsidR="00744A1C">
        <w:rPr>
          <w:rtl/>
          <w:lang w:bidi="fa-IR"/>
        </w:rPr>
        <w:t xml:space="preserve"> ، ج 14 ، ص 1214 ، ح 14117 ؛ </w:t>
      </w:r>
      <w:r w:rsidR="00744A1C" w:rsidRPr="00C24F9C">
        <w:rPr>
          <w:rStyle w:val="libFootnoteBoldChar"/>
          <w:rtl/>
        </w:rPr>
        <w:t>الوسائل</w:t>
      </w:r>
      <w:r w:rsidR="00744A1C">
        <w:rPr>
          <w:rtl/>
          <w:lang w:bidi="fa-IR"/>
        </w:rPr>
        <w:t xml:space="preserve"> ، ج 14 ، ص 234 ، ح 19076.</w:t>
      </w:r>
    </w:p>
    <w:p w:rsidR="008275B9" w:rsidRDefault="00E378DD" w:rsidP="008275B9">
      <w:pPr>
        <w:pStyle w:val="libFootnote0"/>
        <w:rPr>
          <w:rtl/>
          <w:lang w:bidi="fa-IR"/>
        </w:rPr>
      </w:pPr>
      <w:r>
        <w:rPr>
          <w:rtl/>
          <w:lang w:bidi="fa-IR"/>
        </w:rPr>
        <w:t>(2).</w:t>
      </w:r>
      <w:r w:rsidR="00744A1C">
        <w:rPr>
          <w:rtl/>
          <w:lang w:bidi="fa-IR"/>
        </w:rPr>
        <w:t xml:space="preserve"> المعهود والمتكرّر في الأسناد رواية سهل بن زياد عن رفاعة بن موسى بالتوسّط ، والواسطة بينهما في الأغلب هو أحمد بن محمّد [ بن أبي نصر ]. راجع : </w:t>
      </w:r>
      <w:r w:rsidR="00744A1C" w:rsidRPr="0061079A">
        <w:rPr>
          <w:rStyle w:val="libFootnoteBoldChar"/>
          <w:rtl/>
        </w:rPr>
        <w:t>معجم رجال الحديث</w:t>
      </w:r>
      <w:r w:rsidR="00744A1C">
        <w:rPr>
          <w:rtl/>
          <w:lang w:bidi="fa-IR"/>
        </w:rPr>
        <w:t xml:space="preserve"> ، ج 2 ، ص 518 ؛ وص 609 ؛ وج 22 ، ص 345 - 346.</w:t>
      </w:r>
    </w:p>
    <w:p w:rsidR="00744A1C" w:rsidRDefault="00744A1C" w:rsidP="00CE653C">
      <w:pPr>
        <w:pStyle w:val="libFootnote0"/>
        <w:rPr>
          <w:lang w:bidi="fa-IR"/>
        </w:rPr>
      </w:pPr>
      <w:r>
        <w:rPr>
          <w:rtl/>
          <w:lang w:bidi="fa-IR"/>
        </w:rPr>
        <w:t xml:space="preserve">والظاهر - بملاحظة سند الخبر الآتي بلا فصل أيضاً - أنّ الساقط من سندنا هذا ، هو « عن أحمد بن محمّد بن أبي نصر » ؛ فقد ابتدئ السند الآتي بأحمد بن محمّد بن أبي نصر ، والظاهر أنّ السند معلّق على سابقه - أعني ما نحن فيه - وقد اكتفى المصنّف </w:t>
      </w:r>
      <w:r w:rsidR="00CE653C" w:rsidRPr="00DF6404">
        <w:rPr>
          <w:rStyle w:val="libFootnoteAlaemChar"/>
          <w:rtl/>
        </w:rPr>
        <w:t>رحمه‌الله</w:t>
      </w:r>
      <w:r w:rsidR="00CE653C" w:rsidRPr="00DF6404">
        <w:rPr>
          <w:rtl/>
        </w:rPr>
        <w:t xml:space="preserve"> </w:t>
      </w:r>
      <w:r>
        <w:rPr>
          <w:rtl/>
          <w:lang w:bidi="fa-IR"/>
        </w:rPr>
        <w:t>بذكر أحمد بن محمّد بن أبي نصر في صدر السند بناءً عليه.</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ص 38 : « فليصم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ص 38 وص 232 </w:t>
      </w:r>
      <w:r w:rsidR="00744A1C" w:rsidRPr="00C24F9C">
        <w:rPr>
          <w:rStyle w:val="libFootnoteBoldChar"/>
          <w:rtl/>
        </w:rPr>
        <w:t>والاستبصار</w:t>
      </w:r>
      <w:r w:rsidR="00744A1C">
        <w:rPr>
          <w:rtl/>
          <w:lang w:bidi="fa-IR"/>
        </w:rPr>
        <w:t xml:space="preserve"> ، ص 280 : - « بيوم ». وفي </w:t>
      </w:r>
      <w:r w:rsidR="00744A1C" w:rsidRPr="00C24F9C">
        <w:rPr>
          <w:rStyle w:val="libFootnoteBoldChar"/>
          <w:rtl/>
        </w:rPr>
        <w:t>المرآة</w:t>
      </w:r>
      <w:r w:rsidR="00744A1C">
        <w:rPr>
          <w:rtl/>
          <w:lang w:bidi="fa-IR"/>
        </w:rPr>
        <w:t xml:space="preserve"> : « أجمع الأصحاب على استحباب هذه الأيّام ، والأحوط عدم التقديم عليها ». وللمزيد راجع : </w:t>
      </w:r>
      <w:r w:rsidR="00744A1C" w:rsidRPr="00877682">
        <w:rPr>
          <w:rStyle w:val="libFootnoteBoldChar"/>
          <w:rtl/>
        </w:rPr>
        <w:t>السرائر</w:t>
      </w:r>
      <w:r w:rsidR="00744A1C">
        <w:rPr>
          <w:rtl/>
          <w:lang w:bidi="fa-IR"/>
        </w:rPr>
        <w:t xml:space="preserve"> ، ج 1 ، ص 593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440.</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ص 232 </w:t>
      </w:r>
      <w:r w:rsidR="00744A1C" w:rsidRPr="00C24F9C">
        <w:rPr>
          <w:rStyle w:val="libFootnoteBoldChar"/>
          <w:rtl/>
        </w:rPr>
        <w:t>والاستبصار</w:t>
      </w:r>
      <w:r w:rsidR="00744A1C">
        <w:rPr>
          <w:rtl/>
          <w:lang w:bidi="fa-IR"/>
        </w:rPr>
        <w:t xml:space="preserve"> ، ص 280 : + « فخرج إلى عرفات ».</w:t>
      </w:r>
    </w:p>
    <w:p w:rsidR="00744A1C" w:rsidRDefault="00E378DD" w:rsidP="00E378DD">
      <w:pPr>
        <w:pStyle w:val="libFootnote0"/>
        <w:rPr>
          <w:lang w:bidi="fa-IR"/>
        </w:rPr>
      </w:pPr>
      <w:r>
        <w:rPr>
          <w:rtl/>
          <w:lang w:bidi="fa-IR"/>
        </w:rPr>
        <w:t>(6).</w:t>
      </w:r>
      <w:r w:rsidR="00744A1C">
        <w:rPr>
          <w:rtl/>
          <w:lang w:bidi="fa-IR"/>
        </w:rPr>
        <w:t xml:space="preserve"> في « جن » : - « بعد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ص 232 : « النفر ». وفي الاستبصار ، ص 280 : « يوم النفر يوماً بعد التروية ويوم النفر » بدل « التشريق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 « يَصُومُ يَوْمَ الْحَصْبَةِ </w:t>
      </w:r>
      <w:r w:rsidRPr="00D10E3C">
        <w:rPr>
          <w:rStyle w:val="libFootnotenumChar"/>
          <w:rtl/>
        </w:rPr>
        <w:t>(1)</w:t>
      </w:r>
      <w:r>
        <w:rPr>
          <w:rtl/>
          <w:lang w:bidi="fa-IR"/>
        </w:rPr>
        <w:t xml:space="preserve"> ، وَبَعْدَهُ يَوْمَيْنِ ».</w:t>
      </w:r>
    </w:p>
    <w:p w:rsidR="00744A1C" w:rsidRDefault="00744A1C" w:rsidP="00744A1C">
      <w:pPr>
        <w:pStyle w:val="libNormal"/>
        <w:rPr>
          <w:lang w:bidi="fa-IR"/>
        </w:rPr>
      </w:pPr>
      <w:r>
        <w:rPr>
          <w:rtl/>
          <w:lang w:bidi="fa-IR"/>
        </w:rPr>
        <w:t>قَالَ : قُلْتُ : وَمَا الْحَصْبَةُ؟</w:t>
      </w:r>
    </w:p>
    <w:p w:rsidR="00744A1C" w:rsidRDefault="00744A1C" w:rsidP="00744A1C">
      <w:pPr>
        <w:pStyle w:val="libNormal"/>
        <w:rPr>
          <w:lang w:bidi="fa-IR"/>
        </w:rPr>
      </w:pPr>
      <w:r>
        <w:rPr>
          <w:rtl/>
          <w:lang w:bidi="fa-IR"/>
        </w:rPr>
        <w:t>قَالَ : « يَوْمُ نَفْرِهِ ».</w:t>
      </w:r>
    </w:p>
    <w:p w:rsidR="00744A1C" w:rsidRDefault="00744A1C" w:rsidP="00744A1C">
      <w:pPr>
        <w:pStyle w:val="libNormal"/>
        <w:rPr>
          <w:lang w:bidi="fa-IR"/>
        </w:rPr>
      </w:pPr>
      <w:r>
        <w:rPr>
          <w:rtl/>
          <w:lang w:bidi="fa-IR"/>
        </w:rPr>
        <w:t>قُلْتُ : يَصُومُ وَهُوَ مُسَافِرٌ؟</w:t>
      </w:r>
    </w:p>
    <w:p w:rsidR="00744A1C" w:rsidRDefault="00744A1C" w:rsidP="00744A1C">
      <w:pPr>
        <w:pStyle w:val="libNormal"/>
        <w:rPr>
          <w:lang w:bidi="fa-IR"/>
        </w:rPr>
      </w:pPr>
      <w:r>
        <w:rPr>
          <w:rtl/>
          <w:lang w:bidi="fa-IR"/>
        </w:rPr>
        <w:t xml:space="preserve">قَالَ : « نَعَمْ ، أَلَيْسَ </w:t>
      </w:r>
      <w:r w:rsidRPr="00D10E3C">
        <w:rPr>
          <w:rStyle w:val="libFootnotenumChar"/>
          <w:rtl/>
        </w:rPr>
        <w:t>(2)</w:t>
      </w:r>
      <w:r>
        <w:rPr>
          <w:rtl/>
          <w:lang w:bidi="fa-IR"/>
        </w:rPr>
        <w:t xml:space="preserve"> هُوَ يَوْمَ عَرَفَةَ مُسَافِراً؟ إِنَّا أَهْلُ بَيْتٍ نَقُولُ ذلِكَ لِقَوْلِ اللهِ عَزَّ وَجَلَّ : </w:t>
      </w:r>
      <w:r w:rsidRPr="00DF6404">
        <w:rPr>
          <w:rStyle w:val="libFootnoteAlaemChar"/>
          <w:rtl/>
        </w:rPr>
        <w:t>(</w:t>
      </w:r>
      <w:r w:rsidRPr="00DF6404">
        <w:rPr>
          <w:rStyle w:val="libFootnoteAieChar"/>
          <w:rtl/>
        </w:rPr>
        <w:t xml:space="preserve"> فَصِيامُ ثَلاثَةِ أَيّامٍ فِي الْحَجِّ </w:t>
      </w:r>
      <w:r w:rsidRPr="00DF6404">
        <w:rPr>
          <w:rStyle w:val="libFootnoteAlaemChar"/>
          <w:rtl/>
        </w:rPr>
        <w:t>)</w:t>
      </w:r>
      <w:r>
        <w:rPr>
          <w:rtl/>
          <w:lang w:bidi="fa-IR"/>
        </w:rPr>
        <w:t xml:space="preserve"> </w:t>
      </w:r>
      <w:r w:rsidRPr="00D10E3C">
        <w:rPr>
          <w:rStyle w:val="libFootnotenumChar"/>
          <w:rtl/>
        </w:rPr>
        <w:t>(3)</w:t>
      </w:r>
      <w:r>
        <w:rPr>
          <w:rtl/>
          <w:lang w:bidi="fa-IR"/>
        </w:rPr>
        <w:t xml:space="preserve"> يَقُولُ </w:t>
      </w:r>
      <w:r w:rsidRPr="00D10E3C">
        <w:rPr>
          <w:rStyle w:val="libFootnotenumChar"/>
          <w:rtl/>
        </w:rPr>
        <w:t>(4)</w:t>
      </w:r>
      <w:r>
        <w:rPr>
          <w:rtl/>
          <w:lang w:bidi="fa-IR"/>
        </w:rPr>
        <w:t xml:space="preserve"> : فِي ذِي الْحِجَّةِ ». </w:t>
      </w:r>
      <w:r w:rsidRPr="00D10E3C">
        <w:rPr>
          <w:rStyle w:val="libFootnotenumChar"/>
          <w:rtl/>
        </w:rPr>
        <w:t>(5)</w:t>
      </w:r>
    </w:p>
    <w:p w:rsidR="00144FA6" w:rsidRDefault="00744A1C" w:rsidP="00744A1C">
      <w:pPr>
        <w:pStyle w:val="libNormal"/>
        <w:rPr>
          <w:rtl/>
          <w:lang w:bidi="fa-IR"/>
        </w:rPr>
      </w:pPr>
      <w:r>
        <w:rPr>
          <w:rtl/>
          <w:lang w:bidi="fa-IR"/>
        </w:rPr>
        <w:t xml:space="preserve">7921 / 2. أَحْمَدُ بْنُ مُحَمَّدِ بْنِ أَبِي نَصْرٍ </w:t>
      </w:r>
      <w:r w:rsidRPr="00D10E3C">
        <w:rPr>
          <w:rStyle w:val="libFootnotenumChar"/>
          <w:rtl/>
        </w:rPr>
        <w:t>(6)</w:t>
      </w:r>
      <w:r>
        <w:rPr>
          <w:rtl/>
          <w:lang w:bidi="fa-IR"/>
        </w:rPr>
        <w:t xml:space="preserve"> ، عَنْ عَبْدِ الْكَرِيمِ بْنِ عَمْرٍو ، عَنْ زُرَارَةَ :</w:t>
      </w:r>
    </w:p>
    <w:p w:rsidR="00744A1C" w:rsidRDefault="00744A1C" w:rsidP="00744A1C">
      <w:pPr>
        <w:pStyle w:val="libNormal"/>
        <w:rPr>
          <w:lang w:bidi="fa-IR"/>
        </w:rPr>
      </w:pPr>
      <w:r>
        <w:rPr>
          <w:rtl/>
          <w:lang w:bidi="fa-IR"/>
        </w:rPr>
        <w:t xml:space="preserve">عَنْ أَحَدِهِمَا </w:t>
      </w:r>
      <w:r w:rsidR="008859AA" w:rsidRPr="008859AA">
        <w:rPr>
          <w:rStyle w:val="libAlaemChar"/>
          <w:rtl/>
        </w:rPr>
        <w:t>عليهما‌السلام</w:t>
      </w:r>
      <w:r>
        <w:rPr>
          <w:rtl/>
          <w:lang w:bidi="fa-IR"/>
        </w:rPr>
        <w:t xml:space="preserve">أَنَّهُ قَالَ : « مَنْ لَمْ يَجِدْ هَدْياً وَأَحَبَّ أَنْ يُقَدِّمَ </w:t>
      </w:r>
      <w:r w:rsidRPr="00D10E3C">
        <w:rPr>
          <w:rStyle w:val="libFootnotenumChar"/>
          <w:rtl/>
        </w:rPr>
        <w:t>(7)</w:t>
      </w:r>
      <w:r>
        <w:rPr>
          <w:rtl/>
          <w:lang w:bidi="fa-IR"/>
        </w:rPr>
        <w:t xml:space="preserve"> الثَّلَاثَةَ الْأَيَّامِ فِي‌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الحَصْبَة - بالفتح - : الأبطح ، وإنّما أضاف يوم النفر إليه لأنّ من السنّة أن ينزل فيه إذا بلغ في نفره إليه. ويستفاد من هذا الحديث وما في معناه ممّا يأتي جواز صيام اليوم الثالث عشر في هذه الصورة ، ولا بأس به ، فيخصّ المنع من صيام أيّام التشريق بغيرها كتخصيص منع الصيام في ا</w:t>
      </w:r>
      <w:r w:rsidR="00DC44DB">
        <w:rPr>
          <w:rtl/>
          <w:lang w:bidi="fa-IR"/>
        </w:rPr>
        <w:t>لسفر بغير الثلاثة الأيّام ، إل</w:t>
      </w:r>
      <w:r w:rsidR="00DC44DB">
        <w:rPr>
          <w:rFonts w:hint="cs"/>
          <w:rtl/>
          <w:lang w:bidi="fa-IR"/>
        </w:rPr>
        <w:t>ّ</w:t>
      </w:r>
      <w:r w:rsidR="00DC44DB">
        <w:rPr>
          <w:rtl/>
          <w:lang w:bidi="fa-IR"/>
        </w:rPr>
        <w:t>ا</w:t>
      </w:r>
      <w:r w:rsidR="00744A1C">
        <w:rPr>
          <w:rtl/>
          <w:lang w:bidi="fa-IR"/>
        </w:rPr>
        <w:t xml:space="preserve"> أنّه يأتي ما ينافيه. ويظهر من كلام بعض أهل اللغة أنّ يوم الحصبة اليوم الرابع عشر ، ولا يلائمه هذه الأخبار ». وللمزيد راجع : </w:t>
      </w:r>
      <w:r w:rsidR="00744A1C" w:rsidRPr="00877682">
        <w:rPr>
          <w:rStyle w:val="libFootnoteBoldChar"/>
          <w:rtl/>
        </w:rPr>
        <w:t>النهاية</w:t>
      </w:r>
      <w:r w:rsidR="00744A1C">
        <w:rPr>
          <w:rtl/>
          <w:lang w:bidi="fa-IR"/>
        </w:rPr>
        <w:t xml:space="preserve"> ، ص 255 ؛ المهذّب ، ج 1 ، ص 201 ؛ </w:t>
      </w:r>
      <w:r w:rsidR="00744A1C" w:rsidRPr="00877682">
        <w:rPr>
          <w:rStyle w:val="libFootnoteBoldChar"/>
          <w:rtl/>
        </w:rPr>
        <w:t>السرائر</w:t>
      </w:r>
      <w:r w:rsidR="00744A1C">
        <w:rPr>
          <w:rtl/>
          <w:lang w:bidi="fa-IR"/>
        </w:rPr>
        <w:t xml:space="preserve"> ، ج 1 ، ص 592 ؛ </w:t>
      </w:r>
      <w:r w:rsidR="00744A1C" w:rsidRPr="00877682">
        <w:rPr>
          <w:rStyle w:val="libFootnoteBoldChar"/>
          <w:rtl/>
        </w:rPr>
        <w:t>مختلف الشيعة</w:t>
      </w:r>
      <w:r w:rsidR="00744A1C">
        <w:rPr>
          <w:rtl/>
          <w:lang w:bidi="fa-IR"/>
        </w:rPr>
        <w:t xml:space="preserve"> ، ج 4 ، ص 274 ؛ </w:t>
      </w:r>
      <w:r w:rsidR="00744A1C" w:rsidRPr="00C24F9C">
        <w:rPr>
          <w:rStyle w:val="libFootnoteBoldChar"/>
          <w:rtl/>
        </w:rPr>
        <w:t>مدارك الأحكام</w:t>
      </w:r>
      <w:r w:rsidR="00744A1C">
        <w:rPr>
          <w:rtl/>
          <w:lang w:bidi="fa-IR"/>
        </w:rPr>
        <w:t xml:space="preserve"> ، ج 8 ، ص 51 ؛ </w:t>
      </w:r>
      <w:r w:rsidR="00744A1C" w:rsidRPr="008A57EB">
        <w:rPr>
          <w:rStyle w:val="libFootnoteBoldChar"/>
          <w:rtl/>
        </w:rPr>
        <w:t>مجمع البحرين</w:t>
      </w:r>
      <w:r w:rsidR="00744A1C">
        <w:rPr>
          <w:rtl/>
          <w:lang w:bidi="fa-IR"/>
        </w:rPr>
        <w:t xml:space="preserve"> ، ج 1 ، ص 521 ( حصب ) ؛ </w:t>
      </w:r>
      <w:r w:rsidR="00744A1C" w:rsidRPr="00877682">
        <w:rPr>
          <w:rStyle w:val="libFootnoteBoldChar"/>
          <w:rtl/>
        </w:rPr>
        <w:t>مرآة العقول</w:t>
      </w:r>
      <w:r w:rsidR="00744A1C">
        <w:rPr>
          <w:rtl/>
          <w:lang w:bidi="fa-IR"/>
        </w:rPr>
        <w:t xml:space="preserve"> ، ج 18 ، ص 194.</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ص 38 : « فليس ».</w:t>
      </w:r>
    </w:p>
    <w:p w:rsidR="00744A1C" w:rsidRDefault="00E378DD" w:rsidP="00DE3BEC">
      <w:pPr>
        <w:pStyle w:val="libFootnote0"/>
        <w:rPr>
          <w:lang w:bidi="fa-IR"/>
        </w:rPr>
      </w:pPr>
      <w:r>
        <w:rPr>
          <w:rtl/>
          <w:lang w:bidi="fa-IR"/>
        </w:rPr>
        <w:t>(3).</w:t>
      </w:r>
      <w:r w:rsidR="00744A1C">
        <w:rPr>
          <w:rtl/>
          <w:lang w:bidi="fa-IR"/>
        </w:rPr>
        <w:t xml:space="preserve"> البقرة </w:t>
      </w:r>
      <w:r>
        <w:rPr>
          <w:rtl/>
          <w:lang w:bidi="fa-IR"/>
        </w:rPr>
        <w:t>(2)</w:t>
      </w:r>
      <w:r w:rsidR="00744A1C">
        <w:rPr>
          <w:rtl/>
          <w:lang w:bidi="fa-IR"/>
        </w:rPr>
        <w:t xml:space="preserve"> : 196. وفي « بخ » : + « وسبعة إذا رجعتم ».</w:t>
      </w:r>
    </w:p>
    <w:p w:rsidR="00744A1C" w:rsidRDefault="00E378DD" w:rsidP="00E378DD">
      <w:pPr>
        <w:pStyle w:val="libFootnote0"/>
        <w:rPr>
          <w:lang w:bidi="fa-IR"/>
        </w:rPr>
      </w:pPr>
      <w:r>
        <w:rPr>
          <w:rtl/>
          <w:lang w:bidi="fa-IR"/>
        </w:rPr>
        <w:t>(4).</w:t>
      </w:r>
      <w:r w:rsidR="00744A1C">
        <w:rPr>
          <w:rtl/>
          <w:lang w:bidi="fa-IR"/>
        </w:rPr>
        <w:t xml:space="preserve"> في « بح » </w:t>
      </w:r>
      <w:r w:rsidR="00744A1C" w:rsidRPr="0061079A">
        <w:rPr>
          <w:rStyle w:val="libFootnoteBoldChar"/>
          <w:rtl/>
        </w:rPr>
        <w:t>والتهذيب</w:t>
      </w:r>
      <w:r w:rsidR="00744A1C">
        <w:rPr>
          <w:rtl/>
          <w:lang w:bidi="fa-IR"/>
        </w:rPr>
        <w:t xml:space="preserve"> ، ص 38 : « نقول ». وفي « بخ ، جن » : « تقول ».</w:t>
      </w:r>
    </w:p>
    <w:p w:rsidR="00744A1C" w:rsidRDefault="00E378DD" w:rsidP="004050B8">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38 ، ح 114 ، معلّقاً عن الكليني. وفي </w:t>
      </w:r>
      <w:r w:rsidR="00744A1C" w:rsidRPr="00C24F9C">
        <w:rPr>
          <w:rStyle w:val="libFootnoteBoldChar"/>
          <w:rtl/>
        </w:rPr>
        <w:t>التهذيب</w:t>
      </w:r>
      <w:r w:rsidR="00744A1C">
        <w:rPr>
          <w:rtl/>
          <w:lang w:bidi="fa-IR"/>
        </w:rPr>
        <w:t xml:space="preserve"> ، ج 5 ، ص 232 ، ح 785 ؛ </w:t>
      </w:r>
      <w:r w:rsidR="00744A1C" w:rsidRPr="00C24F9C">
        <w:rPr>
          <w:rStyle w:val="libFootnoteBoldChar"/>
          <w:rtl/>
        </w:rPr>
        <w:t>والاستبصار</w:t>
      </w:r>
      <w:r w:rsidR="00744A1C">
        <w:rPr>
          <w:rtl/>
          <w:lang w:bidi="fa-IR"/>
        </w:rPr>
        <w:t xml:space="preserve"> ، ج 2 ، ص 280 ، ح 995 ، بسندهما عن رفاعة بن موسى. </w:t>
      </w:r>
      <w:r w:rsidR="00744A1C" w:rsidRPr="00A914B5">
        <w:rPr>
          <w:rStyle w:val="libFootnoteBoldChar"/>
          <w:rtl/>
        </w:rPr>
        <w:t>تفسير العيّاشي</w:t>
      </w:r>
      <w:r w:rsidR="00744A1C">
        <w:rPr>
          <w:rtl/>
          <w:lang w:bidi="fa-IR"/>
        </w:rPr>
        <w:t xml:space="preserve"> ، ج 1 ، ص 93 ، ح 243 و 246 ، عن أبي عبدالله ، عن أبيه ، عن عليّ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 وفيه ، ص 93 ، ح 244 و 245 ، عن عليّ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 وفيه أيضاً ، ص 91 ، ح 236 ، عن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 وفيه أيضاً ، ح 238 ، عن أبي الحسن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راجع : </w:t>
      </w:r>
      <w:r w:rsidR="00744A1C" w:rsidRPr="00C24F9C">
        <w:rPr>
          <w:rStyle w:val="libFootnoteBoldChar"/>
          <w:rtl/>
        </w:rPr>
        <w:t>الفقيه</w:t>
      </w:r>
      <w:r w:rsidR="00744A1C">
        <w:rPr>
          <w:rtl/>
          <w:lang w:bidi="fa-IR"/>
        </w:rPr>
        <w:t xml:space="preserve"> ، ج 2 ، ص 512 ، ح 3101 ؛ </w:t>
      </w:r>
      <w:r w:rsidR="00744A1C" w:rsidRPr="0061079A">
        <w:rPr>
          <w:rStyle w:val="libFootnoteBoldChar"/>
          <w:rtl/>
        </w:rPr>
        <w:t>والتهذيب</w:t>
      </w:r>
      <w:r w:rsidR="00744A1C">
        <w:rPr>
          <w:rtl/>
          <w:lang w:bidi="fa-IR"/>
        </w:rPr>
        <w:t xml:space="preserve"> ، ج 5 ، ص 231 ، ح 781 و 783 ؛ </w:t>
      </w:r>
      <w:r w:rsidR="00DE3BEC">
        <w:rPr>
          <w:rStyle w:val="libFootnoteBoldChar"/>
          <w:rtl/>
        </w:rPr>
        <w:t>والاستب</w:t>
      </w:r>
      <w:r w:rsidR="00DE3BEC">
        <w:rPr>
          <w:rStyle w:val="libFootnoteBoldChar"/>
          <w:rFonts w:hint="cs"/>
          <w:rtl/>
        </w:rPr>
        <w:t>ص</w:t>
      </w:r>
      <w:r w:rsidR="00744A1C" w:rsidRPr="00C24F9C">
        <w:rPr>
          <w:rStyle w:val="libFootnoteBoldChar"/>
          <w:rtl/>
        </w:rPr>
        <w:t>ار</w:t>
      </w:r>
      <w:r w:rsidR="00744A1C">
        <w:rPr>
          <w:rtl/>
          <w:lang w:bidi="fa-IR"/>
        </w:rPr>
        <w:t xml:space="preserve"> ، ج 2 ، ص 279 ، ح 992 ؛ وص 281 ، ح 997</w:t>
      </w:r>
      <w:r w:rsidR="004050B8">
        <w:rPr>
          <w:rFonts w:hint="cs"/>
          <w:rtl/>
          <w:lang w:bidi="fa-IR"/>
        </w:rPr>
        <w:t>.</w:t>
      </w:r>
      <w:r w:rsidR="00744A1C" w:rsidRPr="00C24F9C">
        <w:rPr>
          <w:rStyle w:val="libFootnoteBoldChar"/>
          <w:rtl/>
        </w:rPr>
        <w:t>الوافي</w:t>
      </w:r>
      <w:r w:rsidR="00744A1C">
        <w:rPr>
          <w:rtl/>
          <w:lang w:bidi="fa-IR"/>
        </w:rPr>
        <w:t xml:space="preserve"> ، ج 14 ، ص 1183 ، ح 14041 ؛ </w:t>
      </w:r>
      <w:r w:rsidR="00744A1C" w:rsidRPr="00C24F9C">
        <w:rPr>
          <w:rStyle w:val="libFootnoteBoldChar"/>
          <w:rtl/>
        </w:rPr>
        <w:t>الوسائل</w:t>
      </w:r>
      <w:r w:rsidR="00744A1C">
        <w:rPr>
          <w:rtl/>
          <w:lang w:bidi="fa-IR"/>
        </w:rPr>
        <w:t xml:space="preserve"> ، ج 14 ، ص 178 ، ح 18919.</w:t>
      </w:r>
    </w:p>
    <w:p w:rsidR="00744A1C" w:rsidRDefault="00E378DD" w:rsidP="000049D4">
      <w:pPr>
        <w:pStyle w:val="libFootnote0"/>
        <w:rPr>
          <w:lang w:bidi="fa-IR"/>
        </w:rPr>
      </w:pPr>
      <w:r>
        <w:rPr>
          <w:rtl/>
          <w:lang w:bidi="fa-IR"/>
        </w:rPr>
        <w:t>(6).</w:t>
      </w:r>
      <w:r w:rsidR="00744A1C">
        <w:rPr>
          <w:rtl/>
          <w:lang w:bidi="fa-IR"/>
        </w:rPr>
        <w:t xml:space="preserve"> تقدّم آنفاً أنّ السند معلّق على سابقه ، فيروي عن أحمد بن محمّد بن أبي نصر ، عدّة من أصحابنا عن أحمد بن محمّد وسهل بن زياد.</w:t>
      </w:r>
      <w:r w:rsidR="000049D4">
        <w:rPr>
          <w:rFonts w:hint="cs"/>
          <w:rtl/>
          <w:lang w:bidi="fa-IR"/>
        </w:rPr>
        <w:t xml:space="preserve">                                        </w:t>
      </w: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 « أن يصوم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أَوَّلِ الْعَشْرِ ، فَلَا بَأْسَ </w:t>
      </w:r>
      <w:r w:rsidRPr="00D10E3C">
        <w:rPr>
          <w:rStyle w:val="libFootnotenumChar"/>
          <w:rtl/>
        </w:rPr>
        <w:t>(1)</w:t>
      </w:r>
      <w:r>
        <w:rPr>
          <w:rtl/>
          <w:lang w:bidi="fa-IR"/>
        </w:rPr>
        <w:t xml:space="preserve"> ». </w:t>
      </w:r>
      <w:r w:rsidRPr="00D10E3C">
        <w:rPr>
          <w:rStyle w:val="libFootnotenumChar"/>
          <w:rtl/>
        </w:rPr>
        <w:t>(2)</w:t>
      </w:r>
    </w:p>
    <w:p w:rsidR="00744A1C" w:rsidRDefault="00744A1C" w:rsidP="00744A1C">
      <w:pPr>
        <w:pStyle w:val="libNormal"/>
        <w:rPr>
          <w:lang w:bidi="fa-IR"/>
        </w:rPr>
      </w:pPr>
      <w:r>
        <w:rPr>
          <w:rtl/>
          <w:lang w:bidi="fa-IR"/>
        </w:rPr>
        <w:t>7922 / 3. عَلِيُّ بْنُ إِبْرَاهِيمَ ، عَنْ أَبِيهِ ؛</w:t>
      </w:r>
    </w:p>
    <w:p w:rsidR="00744A1C" w:rsidRDefault="00DA12D7" w:rsidP="00744A1C">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(3)</w:t>
      </w:r>
      <w:r w:rsidR="00744A1C">
        <w:rPr>
          <w:rtl/>
          <w:lang w:bidi="fa-IR"/>
        </w:rPr>
        <w:t xml:space="preserve"> مُحَمَّدُ بْنُ إِسْمَاعِيلَ ، عَنِ الْفَضْلِ بْنِ شَاذَانَ ، عَنْ صَفْوَانَ بْنِ يَحْيى </w:t>
      </w:r>
      <w:r w:rsidR="00744A1C" w:rsidRPr="00D10E3C">
        <w:rPr>
          <w:rStyle w:val="libFootnotenumChar"/>
          <w:rtl/>
        </w:rPr>
        <w:t>(4)</w:t>
      </w:r>
      <w:r w:rsidR="00744A1C">
        <w:rPr>
          <w:rtl/>
          <w:lang w:bidi="fa-IR"/>
        </w:rPr>
        <w:t xml:space="preserve"> وَابْنِ أَبِي عُمَيْرٍ ، ع</w:t>
      </w:r>
      <w:r w:rsidR="00C9029D">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سَأَلْتُهُ عَنْ مُتَمَتِّعٍ لَمْ يَجِدْ هَدْياً؟</w:t>
      </w:r>
    </w:p>
    <w:p w:rsidR="00744A1C" w:rsidRDefault="00744A1C" w:rsidP="00744A1C">
      <w:pPr>
        <w:pStyle w:val="libNormal"/>
        <w:rPr>
          <w:lang w:bidi="fa-IR"/>
        </w:rPr>
      </w:pPr>
      <w:r>
        <w:rPr>
          <w:rtl/>
          <w:lang w:bidi="fa-IR"/>
        </w:rPr>
        <w:t xml:space="preserve">قَالَ : « يَصُومُ ثَلَاثَةَ أَيَّامٍ فِي الْحَجِّ : يَوْماً </w:t>
      </w:r>
      <w:r w:rsidRPr="00D10E3C">
        <w:rPr>
          <w:rStyle w:val="libFootnotenumChar"/>
          <w:rtl/>
        </w:rPr>
        <w:t>(5)</w:t>
      </w:r>
      <w:r>
        <w:rPr>
          <w:rtl/>
          <w:lang w:bidi="fa-IR"/>
        </w:rPr>
        <w:t xml:space="preserve"> قَبْلَ </w:t>
      </w:r>
      <w:r w:rsidRPr="00D10E3C">
        <w:rPr>
          <w:rStyle w:val="libFootnotenumChar"/>
          <w:rtl/>
        </w:rPr>
        <w:t>(6)</w:t>
      </w:r>
      <w:r>
        <w:rPr>
          <w:rtl/>
          <w:lang w:bidi="fa-IR"/>
        </w:rPr>
        <w:t xml:space="preserve"> التَّرْوِيَةِ ، وَيَوْمَ التَّرْوِيَةِ ، وَيَوْمَ عَرَفَةَ ».</w:t>
      </w:r>
    </w:p>
    <w:p w:rsidR="00744A1C" w:rsidRDefault="00744A1C" w:rsidP="00744A1C">
      <w:pPr>
        <w:pStyle w:val="libNormal"/>
        <w:rPr>
          <w:lang w:bidi="fa-IR"/>
        </w:rPr>
      </w:pPr>
      <w:r>
        <w:rPr>
          <w:rtl/>
          <w:lang w:bidi="fa-IR"/>
        </w:rPr>
        <w:t xml:space="preserve">قَالَ : قُلْتُ : فَإِنْ فَاتَهُ ذلِكَ </w:t>
      </w:r>
      <w:r w:rsidRPr="00D10E3C">
        <w:rPr>
          <w:rStyle w:val="libFootnotenumChar"/>
          <w:rtl/>
        </w:rPr>
        <w:t>(7)</w:t>
      </w:r>
      <w:r>
        <w:rPr>
          <w:rtl/>
          <w:lang w:bidi="fa-IR"/>
        </w:rPr>
        <w:t>؟</w:t>
      </w:r>
    </w:p>
    <w:p w:rsidR="00744A1C" w:rsidRDefault="00744A1C" w:rsidP="00744A1C">
      <w:pPr>
        <w:pStyle w:val="libNormal"/>
        <w:rPr>
          <w:lang w:bidi="fa-IR"/>
        </w:rPr>
      </w:pPr>
      <w:r>
        <w:rPr>
          <w:rtl/>
          <w:lang w:bidi="fa-IR"/>
        </w:rPr>
        <w:t xml:space="preserve">قَالَ : « يَتَسَحَّرُ </w:t>
      </w:r>
      <w:r w:rsidRPr="00D10E3C">
        <w:rPr>
          <w:rStyle w:val="libFootnotenumChar"/>
          <w:rtl/>
        </w:rPr>
        <w:t>(8)</w:t>
      </w:r>
      <w:r>
        <w:rPr>
          <w:rtl/>
          <w:lang w:bidi="fa-IR"/>
        </w:rPr>
        <w:t xml:space="preserve"> لَيْلَةَ الْحَصْبَةِ ، وَيَصُومُ ذلِكَ الْيَوْمَ ، وَيَوْمَيْنِ بَعْدَهُ ».</w:t>
      </w:r>
    </w:p>
    <w:p w:rsidR="00744A1C" w:rsidRDefault="00744A1C" w:rsidP="00744A1C">
      <w:pPr>
        <w:pStyle w:val="libNormal"/>
        <w:rPr>
          <w:lang w:bidi="fa-IR"/>
        </w:rPr>
      </w:pPr>
      <w:r>
        <w:rPr>
          <w:rtl/>
          <w:lang w:bidi="fa-IR"/>
        </w:rPr>
        <w:t xml:space="preserve">قُلْتُ : فَإِنْ لَمْ يُقِمْ عَلَيْهِ </w:t>
      </w:r>
      <w:r w:rsidRPr="00D10E3C">
        <w:rPr>
          <w:rStyle w:val="libFootnotenumChar"/>
          <w:rtl/>
        </w:rPr>
        <w:t>(9)</w:t>
      </w:r>
      <w:r>
        <w:rPr>
          <w:rtl/>
          <w:lang w:bidi="fa-IR"/>
        </w:rPr>
        <w:t xml:space="preserve"> جَمَّالُهُ ، أَيَصُومُهَا فِي الطَّرِيقِ </w:t>
      </w:r>
      <w:r w:rsidRPr="00D10E3C">
        <w:rPr>
          <w:rStyle w:val="libFootnotenumChar"/>
          <w:rtl/>
        </w:rPr>
        <w:t>(10)</w:t>
      </w:r>
      <w:r>
        <w:rPr>
          <w:rtl/>
          <w:lang w:bidi="fa-IR"/>
        </w:rPr>
        <w:t>؟</w:t>
      </w:r>
    </w:p>
    <w:p w:rsidR="00744A1C" w:rsidRDefault="00744A1C" w:rsidP="00744A1C">
      <w:pPr>
        <w:pStyle w:val="libNormal"/>
        <w:rPr>
          <w:lang w:bidi="fa-IR"/>
        </w:rPr>
      </w:pPr>
      <w:r>
        <w:rPr>
          <w:rtl/>
          <w:lang w:bidi="fa-IR"/>
        </w:rPr>
        <w:t xml:space="preserve">قَالَ : « إِنْ شَاءَ صَامَهَا فِي الطَّرِيقِ ، وَإِنْ شَاءَ إِذَا رَجَعَ إِلى أَهْلِهِ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يدلّ على جواز تقديم الثلاثة من أوّل ذي الحجّة ، وحمل على ما إذا تلبّس بالحجّ أو بالعمرة على القولين كما عرفت ».</w:t>
      </w:r>
    </w:p>
    <w:p w:rsidR="00744A1C" w:rsidRDefault="00E378DD" w:rsidP="007D4AF6">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235 ، ح 793 ؛ </w:t>
      </w:r>
      <w:r w:rsidR="00744A1C" w:rsidRPr="00C24F9C">
        <w:rPr>
          <w:rStyle w:val="libFootnoteBoldChar"/>
          <w:rtl/>
        </w:rPr>
        <w:t>والاستبصار</w:t>
      </w:r>
      <w:r w:rsidR="00744A1C">
        <w:rPr>
          <w:rtl/>
          <w:lang w:bidi="fa-IR"/>
        </w:rPr>
        <w:t xml:space="preserve"> ، ج 2 ، ص 283 ، ح 1005 ، بسندهما عن زرارة ، عن أبي عبدالله </w:t>
      </w:r>
      <w:r w:rsidR="0061079A" w:rsidRPr="0061079A">
        <w:rPr>
          <w:rStyle w:val="libFootnoteAlaemChar"/>
          <w:rtl/>
        </w:rPr>
        <w:t>عليه‌السلام</w:t>
      </w:r>
      <w:r w:rsidR="007D4AF6">
        <w:rPr>
          <w:rFonts w:hint="cs"/>
          <w:rtl/>
          <w:lang w:bidi="fa-IR"/>
        </w:rPr>
        <w:t>.</w:t>
      </w:r>
      <w:r w:rsidR="00744A1C" w:rsidRPr="00C24F9C">
        <w:rPr>
          <w:rStyle w:val="libFootnoteBoldChar"/>
          <w:rtl/>
        </w:rPr>
        <w:t>الوافي</w:t>
      </w:r>
      <w:r w:rsidR="00744A1C">
        <w:rPr>
          <w:rtl/>
          <w:lang w:bidi="fa-IR"/>
        </w:rPr>
        <w:t xml:space="preserve"> ، ج 14 ، ص 1186 ، ح 14048 ؛ </w:t>
      </w:r>
      <w:r w:rsidR="00744A1C" w:rsidRPr="00C24F9C">
        <w:rPr>
          <w:rStyle w:val="libFootnoteBoldChar"/>
          <w:rtl/>
        </w:rPr>
        <w:t>الوسائل</w:t>
      </w:r>
      <w:r w:rsidR="00744A1C">
        <w:rPr>
          <w:rtl/>
          <w:lang w:bidi="fa-IR"/>
        </w:rPr>
        <w:t xml:space="preserve"> ، ج 14 ، ص 179 ، ح 18920 ؛ وص 199 ، ح 18975.</w:t>
      </w:r>
    </w:p>
    <w:p w:rsidR="00744A1C" w:rsidRDefault="00E378DD" w:rsidP="00E378DD">
      <w:pPr>
        <w:pStyle w:val="libFootnote0"/>
        <w:rPr>
          <w:lang w:bidi="fa-IR"/>
        </w:rPr>
      </w:pPr>
      <w:r>
        <w:rPr>
          <w:rtl/>
          <w:lang w:bidi="fa-IR"/>
        </w:rPr>
        <w:t>(3).</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EE6309" w:rsidTr="00EE6309">
        <w:tc>
          <w:tcPr>
            <w:tcW w:w="4006" w:type="dxa"/>
          </w:tcPr>
          <w:p w:rsidR="00EE6309" w:rsidRDefault="00EE6309" w:rsidP="00E378DD">
            <w:pPr>
              <w:pStyle w:val="libFootnote0"/>
              <w:rPr>
                <w:rtl/>
                <w:lang w:bidi="fa-IR"/>
              </w:rPr>
            </w:pPr>
            <w:r>
              <w:rPr>
                <w:rtl/>
                <w:lang w:bidi="fa-IR"/>
              </w:rPr>
              <w:t xml:space="preserve">(4).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 بن يحيى ».</w:t>
            </w:r>
          </w:p>
        </w:tc>
        <w:tc>
          <w:tcPr>
            <w:tcW w:w="4006" w:type="dxa"/>
          </w:tcPr>
          <w:p w:rsidR="00EE6309" w:rsidRDefault="00EE6309" w:rsidP="00E378DD">
            <w:pPr>
              <w:pStyle w:val="libFootnote0"/>
              <w:rPr>
                <w:rtl/>
                <w:lang w:bidi="fa-IR"/>
              </w:rPr>
            </w:pPr>
            <w:r>
              <w:rPr>
                <w:rtl/>
                <w:lang w:bidi="fa-IR"/>
              </w:rPr>
              <w:t>(5). في « بف » : - « يوماً ».</w:t>
            </w:r>
          </w:p>
        </w:tc>
      </w:tr>
      <w:tr w:rsidR="00EE6309" w:rsidTr="00EE6309">
        <w:tc>
          <w:tcPr>
            <w:tcW w:w="4006" w:type="dxa"/>
          </w:tcPr>
          <w:p w:rsidR="00EE6309" w:rsidRDefault="00EE6309" w:rsidP="00E378DD">
            <w:pPr>
              <w:pStyle w:val="libFootnote0"/>
              <w:rPr>
                <w:rtl/>
                <w:lang w:bidi="fa-IR"/>
              </w:rPr>
            </w:pPr>
            <w:r>
              <w:rPr>
                <w:rtl/>
                <w:lang w:bidi="fa-IR"/>
              </w:rPr>
              <w:t>(6). في « بف » و</w:t>
            </w:r>
            <w:r w:rsidRPr="00C24F9C">
              <w:rPr>
                <w:rStyle w:val="libFootnoteBoldChar"/>
                <w:rtl/>
              </w:rPr>
              <w:t>الوافي</w:t>
            </w:r>
            <w:r>
              <w:rPr>
                <w:rtl/>
                <w:lang w:bidi="fa-IR"/>
              </w:rPr>
              <w:t xml:space="preserve"> : + « يوم ».</w:t>
            </w:r>
          </w:p>
        </w:tc>
        <w:tc>
          <w:tcPr>
            <w:tcW w:w="4006" w:type="dxa"/>
          </w:tcPr>
          <w:p w:rsidR="00EE6309" w:rsidRDefault="00EE6309" w:rsidP="00E378DD">
            <w:pPr>
              <w:pStyle w:val="libFootnote0"/>
              <w:rPr>
                <w:rtl/>
                <w:lang w:bidi="fa-IR"/>
              </w:rPr>
            </w:pPr>
            <w:r>
              <w:rPr>
                <w:rtl/>
                <w:lang w:bidi="fa-IR"/>
              </w:rPr>
              <w:t xml:space="preserve">(7). في </w:t>
            </w:r>
            <w:r w:rsidRPr="00C24F9C">
              <w:rPr>
                <w:rStyle w:val="libFootnoteBoldChar"/>
                <w:rtl/>
              </w:rPr>
              <w:t>التهذيب</w:t>
            </w:r>
            <w:r>
              <w:rPr>
                <w:rtl/>
                <w:lang w:bidi="fa-IR"/>
              </w:rPr>
              <w:t xml:space="preserve"> ، ص 39 : + « اليوم ».</w:t>
            </w:r>
          </w:p>
        </w:tc>
      </w:tr>
    </w:tbl>
    <w:p w:rsidR="00744A1C" w:rsidRDefault="00E378DD" w:rsidP="009F4A0C">
      <w:pPr>
        <w:pStyle w:val="libFootnote0"/>
        <w:rPr>
          <w:lang w:bidi="fa-IR"/>
        </w:rPr>
      </w:pP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ص 39 : « فليتسحّر ». وفي </w:t>
      </w:r>
      <w:r w:rsidR="00744A1C" w:rsidRPr="00C24F9C">
        <w:rPr>
          <w:rStyle w:val="libFootnoteBoldChar"/>
          <w:rtl/>
        </w:rPr>
        <w:t>المرآة</w:t>
      </w:r>
      <w:r w:rsidR="00744A1C">
        <w:rPr>
          <w:rtl/>
          <w:lang w:bidi="fa-IR"/>
        </w:rPr>
        <w:t xml:space="preserve"> : « أي يأكل السُحور ، أو يخرج في السحر ليجوز له صوم اليوم ».</w:t>
      </w:r>
      <w:r w:rsidR="009F4A0C">
        <w:rPr>
          <w:rFonts w:hint="cs"/>
          <w:rtl/>
          <w:lang w:bidi="fa-IR"/>
        </w:rPr>
        <w:t xml:space="preserve"> </w:t>
      </w:r>
      <w:r w:rsidR="00097CCA">
        <w:rPr>
          <w:rFonts w:hint="cs"/>
          <w:rtl/>
          <w:lang w:bidi="fa-IR"/>
        </w:rPr>
        <w:t xml:space="preserve">                          </w:t>
      </w:r>
      <w:r w:rsidR="009F4A0C">
        <w:rPr>
          <w:rFonts w:hint="cs"/>
          <w:rtl/>
          <w:lang w:bidi="fa-IR"/>
        </w:rPr>
        <w:t xml:space="preserve">                         </w:t>
      </w:r>
      <w:r>
        <w:rPr>
          <w:rtl/>
          <w:lang w:bidi="fa-IR"/>
        </w:rPr>
        <w:t>(9).</w:t>
      </w:r>
      <w:r w:rsidR="00744A1C">
        <w:rPr>
          <w:rtl/>
          <w:lang w:bidi="fa-IR"/>
        </w:rPr>
        <w:t xml:space="preserve"> في « جن » : - « عليه ».</w:t>
      </w:r>
    </w:p>
    <w:p w:rsidR="00744A1C" w:rsidRDefault="00E378DD" w:rsidP="00E378DD">
      <w:pPr>
        <w:pStyle w:val="libFootnote0"/>
        <w:rPr>
          <w:lang w:bidi="fa-IR"/>
        </w:rPr>
      </w:pPr>
      <w:r>
        <w:rPr>
          <w:rtl/>
          <w:lang w:bidi="fa-IR"/>
        </w:rPr>
        <w:t>(10).</w:t>
      </w:r>
      <w:r w:rsidR="00744A1C">
        <w:rPr>
          <w:rtl/>
          <w:lang w:bidi="fa-IR"/>
        </w:rPr>
        <w:t xml:space="preserve"> في « بف » : « طريق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 « حمله في الاستبصار ، [ ج 2 ، ص 279 ] على ما إذا رجع قبل انقضاء ذي الحجّة ، فإذا انقضت ف</w:t>
      </w:r>
      <w:r w:rsidR="009964BF">
        <w:rPr>
          <w:rtl/>
          <w:lang w:bidi="fa-IR"/>
        </w:rPr>
        <w:t>لا يجوز له إل</w:t>
      </w:r>
      <w:r w:rsidR="009964BF">
        <w:rPr>
          <w:rFonts w:hint="cs"/>
          <w:rtl/>
          <w:lang w:bidi="fa-IR"/>
        </w:rPr>
        <w:t>ّ</w:t>
      </w:r>
      <w:r w:rsidR="009964BF">
        <w:rPr>
          <w:rtl/>
          <w:lang w:bidi="fa-IR"/>
        </w:rPr>
        <w:t>ا</w:t>
      </w:r>
      <w:r w:rsidR="00744A1C">
        <w:rPr>
          <w:rtl/>
          <w:lang w:bidi="fa-IR"/>
        </w:rPr>
        <w:t xml:space="preserve"> الدم كما يأتي في الباب الآتي ». وفي </w:t>
      </w:r>
      <w:r w:rsidR="00744A1C" w:rsidRPr="00C24F9C">
        <w:rPr>
          <w:rStyle w:val="libFootnoteBoldChar"/>
          <w:rtl/>
        </w:rPr>
        <w:t>المرآة</w:t>
      </w:r>
      <w:r w:rsidR="00744A1C">
        <w:rPr>
          <w:rtl/>
          <w:lang w:bidi="fa-IR"/>
        </w:rPr>
        <w:t xml:space="preserve"> : « نقل السيّد في المدارك : إجماع علمائنا على أنّه إذا لم يصم الثلاثة حتّى خرج ذو الحجّة تعيّن الهدي ، ولم يجز الصوم ، وظاهر الخبر جواز الصوم وإن خرج ذو </w:t>
      </w:r>
      <w:r w:rsidR="00876D05">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7923 / 4. أَبُو عَلِيٍّ الْأَشْعَرِيُّ ، عَنْ مُحَمَّدِ بْنِ عَبْدِ الْجَبَّارِ ، عَنْ صَفْوَانَ بْنِ يَحْيى</w:t>
      </w:r>
      <w:r w:rsidR="00CD6A10">
        <w:rPr>
          <w:rtl/>
          <w:lang w:bidi="fa-IR"/>
        </w:rPr>
        <w:t xml:space="preserve"> ، عَنْ عِيصِ بْنِ الْقَاسِمِ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عَنْ مُتَمَتِّعٍ يَدْخُلُ </w:t>
      </w:r>
      <w:r w:rsidRPr="00D10E3C">
        <w:rPr>
          <w:rStyle w:val="libFootnotenumChar"/>
          <w:rtl/>
        </w:rPr>
        <w:t>(1)</w:t>
      </w:r>
      <w:r>
        <w:rPr>
          <w:rtl/>
          <w:lang w:bidi="fa-IR"/>
        </w:rPr>
        <w:t xml:space="preserve"> يَوْمَ التَّرْوِيَةِ ، وَلَيْسَ مَعَهُ هَدْيٌ؟</w:t>
      </w:r>
    </w:p>
    <w:p w:rsidR="00744A1C" w:rsidRDefault="00744A1C" w:rsidP="00744A1C">
      <w:pPr>
        <w:pStyle w:val="libNormal"/>
        <w:rPr>
          <w:lang w:bidi="fa-IR"/>
        </w:rPr>
      </w:pPr>
      <w:r>
        <w:rPr>
          <w:rtl/>
          <w:lang w:bidi="fa-IR"/>
        </w:rPr>
        <w:t xml:space="preserve">قَالَ : « فَلَا يَصُومُ ذلِكَ الْيَوْمَ ، وَلَايَوْمَ عَرَفَةَ ، وَيَتَسَحَّرُ لَيْلَةَ الْحَصْبَةِ ، فَيُصْبِحُ </w:t>
      </w:r>
      <w:r w:rsidRPr="00D10E3C">
        <w:rPr>
          <w:rStyle w:val="libFootnotenumChar"/>
          <w:rtl/>
        </w:rPr>
        <w:t>(2)</w:t>
      </w:r>
      <w:r>
        <w:rPr>
          <w:rtl/>
          <w:lang w:bidi="fa-IR"/>
        </w:rPr>
        <w:t xml:space="preserve"> صَائِماً وَهُوَ يَوْمُ النَّفْرِ ، وَيَصُومُ يَوْمَيْنِ بَعْدَهُ </w:t>
      </w:r>
      <w:r w:rsidRPr="00D10E3C">
        <w:rPr>
          <w:rStyle w:val="libFootnotenumChar"/>
          <w:rtl/>
        </w:rPr>
        <w:t>(3)</w:t>
      </w:r>
      <w:r>
        <w:rPr>
          <w:rtl/>
          <w:lang w:bidi="fa-IR"/>
        </w:rPr>
        <w:t xml:space="preserve"> ». </w:t>
      </w:r>
      <w:r w:rsidRPr="00D10E3C">
        <w:rPr>
          <w:rStyle w:val="libFootnotenumChar"/>
          <w:rtl/>
        </w:rPr>
        <w:t>(4)</w:t>
      </w:r>
    </w:p>
    <w:p w:rsidR="00744A1C" w:rsidRDefault="00744A1C" w:rsidP="00744A1C">
      <w:pPr>
        <w:pStyle w:val="libNormal"/>
        <w:rPr>
          <w:lang w:bidi="fa-IR"/>
        </w:rPr>
      </w:pPr>
      <w:r>
        <w:rPr>
          <w:rtl/>
          <w:lang w:bidi="fa-IR"/>
        </w:rPr>
        <w:t xml:space="preserve">7924 / 5. عَلِيُّ بْنُ إِبْرَاهِيمَ ، عَنْ أَبِيهِ ، عَنْ بَعْضِ أَصْحَابِهِ </w:t>
      </w:r>
      <w:r w:rsidRPr="00D10E3C">
        <w:rPr>
          <w:rStyle w:val="libFootnotenumChar"/>
          <w:rtl/>
        </w:rPr>
        <w:t>(5)</w:t>
      </w:r>
      <w:r w:rsidR="00FA2182">
        <w:rPr>
          <w:rtl/>
          <w:lang w:bidi="fa-IR"/>
        </w:rPr>
        <w:t xml:space="preserve"> :</w:t>
      </w:r>
    </w:p>
    <w:p w:rsidR="00744A1C" w:rsidRDefault="00744A1C" w:rsidP="00D10E3C">
      <w:pPr>
        <w:pStyle w:val="libLine"/>
        <w:rPr>
          <w:lang w:bidi="fa-IR"/>
        </w:rPr>
      </w:pPr>
      <w:r>
        <w:rPr>
          <w:rtl/>
          <w:lang w:bidi="fa-IR"/>
        </w:rPr>
        <w:t>____________________</w:t>
      </w:r>
    </w:p>
    <w:p w:rsidR="00744A1C" w:rsidRDefault="00744A1C" w:rsidP="00D10E3C">
      <w:pPr>
        <w:pStyle w:val="libFootnote0"/>
        <w:rPr>
          <w:lang w:bidi="fa-IR"/>
        </w:rPr>
      </w:pPr>
      <w:r>
        <w:rPr>
          <w:rtl/>
          <w:lang w:bidi="fa-IR"/>
        </w:rPr>
        <w:t>الحجّة ، وحمله على عدم الخروج بعيد ، وتدلّ عليه أخبار ا</w:t>
      </w:r>
      <w:r w:rsidR="00DD0FCE">
        <w:rPr>
          <w:rFonts w:hint="cs"/>
          <w:rtl/>
          <w:lang w:bidi="fa-IR"/>
        </w:rPr>
        <w:t>ُ</w:t>
      </w:r>
      <w:r>
        <w:rPr>
          <w:rtl/>
          <w:lang w:bidi="fa-IR"/>
        </w:rPr>
        <w:t xml:space="preserve">خر ، وظاهر الشيخ في </w:t>
      </w:r>
      <w:r w:rsidRPr="00C24F9C">
        <w:rPr>
          <w:rStyle w:val="libFootnoteBoldChar"/>
          <w:rtl/>
        </w:rPr>
        <w:t>التهذيب</w:t>
      </w:r>
      <w:r>
        <w:rPr>
          <w:rtl/>
          <w:lang w:bidi="fa-IR"/>
        </w:rPr>
        <w:t xml:space="preserve"> العمل بها ، والله يعلم ». وراجع : </w:t>
      </w:r>
      <w:r w:rsidRPr="00C24F9C">
        <w:rPr>
          <w:rStyle w:val="libFootnoteBoldChar"/>
          <w:rtl/>
        </w:rPr>
        <w:t>مدارك الأحكام</w:t>
      </w:r>
      <w:r>
        <w:rPr>
          <w:rtl/>
          <w:lang w:bidi="fa-IR"/>
        </w:rPr>
        <w:t xml:space="preserve"> ، ج 8 ، ص 55.</w:t>
      </w:r>
    </w:p>
    <w:p w:rsidR="00744A1C" w:rsidRDefault="00E378DD" w:rsidP="00DF4597">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39 ، ح 115 ، معلّقاً عن الكليني. الاستبصار ، ج 2 ، ص 282 ، ح 1002 ، بسنده عن معاوية بن عمّار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DD0FCE" w:rsidRPr="00DD0FCE">
        <w:rPr>
          <w:rStyle w:val="libFootnoteAlaemChar"/>
          <w:rFonts w:eastAsiaTheme="minorHAnsi"/>
          <w:rtl/>
        </w:rPr>
        <w:t>صلى‌الله‌عليه‌وآله</w:t>
      </w:r>
      <w:r w:rsidR="00DD0FCE" w:rsidRPr="00DD0FCE">
        <w:rPr>
          <w:rFonts w:eastAsiaTheme="minorHAnsi"/>
          <w:rtl/>
        </w:rPr>
        <w:t xml:space="preserve"> </w:t>
      </w:r>
      <w:r w:rsidR="00744A1C">
        <w:rPr>
          <w:rtl/>
          <w:lang w:bidi="fa-IR"/>
        </w:rPr>
        <w:t xml:space="preserve">، مع اختلاف يسير. الاستبصار ، ج 2 ، ص 282 ، ح 1001 ، بسند آخر ، مع اختلاف يسير. </w:t>
      </w:r>
      <w:r w:rsidR="00744A1C" w:rsidRPr="00C24F9C">
        <w:rPr>
          <w:rStyle w:val="libFootnoteBoldChar"/>
          <w:rtl/>
        </w:rPr>
        <w:t>التهذيب</w:t>
      </w:r>
      <w:r w:rsidR="00744A1C">
        <w:rPr>
          <w:rtl/>
          <w:lang w:bidi="fa-IR"/>
        </w:rPr>
        <w:t xml:space="preserve"> ، ج 5 ، ص 233 ، ح 789 ، بسند آخر ، مع اختلاف. وفيه ، ص 232 ، ح 786 ؛ </w:t>
      </w:r>
      <w:r w:rsidR="00744A1C" w:rsidRPr="00C24F9C">
        <w:rPr>
          <w:rStyle w:val="libFootnoteBoldChar"/>
          <w:rtl/>
        </w:rPr>
        <w:t>والاستبصار</w:t>
      </w:r>
      <w:r w:rsidR="00744A1C">
        <w:rPr>
          <w:rtl/>
          <w:lang w:bidi="fa-IR"/>
        </w:rPr>
        <w:t xml:space="preserve"> ، ج 2 ، ص 280 ، ح 996 ، بسند آخر عن أبي عبدالله ، عن عليّ </w:t>
      </w:r>
      <w:r w:rsidR="00F112A7" w:rsidRPr="00CE5A92">
        <w:rPr>
          <w:rStyle w:val="libFootnoteAlaemChar"/>
          <w:rtl/>
        </w:rPr>
        <w:t>عليهما‌السلام</w:t>
      </w:r>
      <w:r w:rsidR="00744A1C">
        <w:rPr>
          <w:rtl/>
          <w:lang w:bidi="fa-IR"/>
        </w:rPr>
        <w:t xml:space="preserve">، إلى قوله : « يصوم ذلك اليوم ويومين بعده » مع اختلاف يسير. وفي </w:t>
      </w:r>
      <w:r w:rsidR="00744A1C" w:rsidRPr="00C24F9C">
        <w:rPr>
          <w:rStyle w:val="libFootnoteBoldChar"/>
          <w:rtl/>
        </w:rPr>
        <w:t>التهذيب</w:t>
      </w:r>
      <w:r w:rsidR="00744A1C">
        <w:rPr>
          <w:rtl/>
          <w:lang w:bidi="fa-IR"/>
        </w:rPr>
        <w:t xml:space="preserve"> ، ج 5 ، ص 234 ، ح 790 ، بسند آخر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AD45E0" w:rsidRPr="00DD0FCE">
        <w:rPr>
          <w:rStyle w:val="libFootnoteAlaemChar"/>
          <w:rFonts w:eastAsiaTheme="minorHAnsi"/>
          <w:rtl/>
        </w:rPr>
        <w:t>صلى‌الله‌عليه‌وآله</w:t>
      </w:r>
      <w:r w:rsidR="00AD45E0" w:rsidRPr="00DD0FCE">
        <w:rPr>
          <w:rFonts w:eastAsiaTheme="minorHAnsi"/>
          <w:rtl/>
        </w:rPr>
        <w:t xml:space="preserve"> </w:t>
      </w:r>
      <w:r w:rsidR="00744A1C">
        <w:rPr>
          <w:rtl/>
          <w:lang w:bidi="fa-IR"/>
        </w:rPr>
        <w:t xml:space="preserve">، مع اختلاف. </w:t>
      </w:r>
      <w:r w:rsidR="00744A1C" w:rsidRPr="00C24F9C">
        <w:rPr>
          <w:rStyle w:val="libFootnoteBoldChar"/>
          <w:rtl/>
        </w:rPr>
        <w:t>التهذيب</w:t>
      </w:r>
      <w:r w:rsidR="00744A1C">
        <w:rPr>
          <w:rtl/>
          <w:lang w:bidi="fa-IR"/>
        </w:rPr>
        <w:t xml:space="preserve"> ، ج 5 ، ص 233 ، ح 788 ، بسنده عن معاوية بن عمّار ، عن عبدصالح </w:t>
      </w:r>
      <w:r w:rsidR="0061079A" w:rsidRPr="0061079A">
        <w:rPr>
          <w:rStyle w:val="libFootnoteAlaemChar"/>
          <w:rtl/>
        </w:rPr>
        <w:t>عليه‌السلام</w:t>
      </w:r>
      <w:r w:rsidR="00744A1C">
        <w:rPr>
          <w:rtl/>
          <w:lang w:bidi="fa-IR"/>
        </w:rPr>
        <w:t xml:space="preserve"> . الاستبصار ، ج 2 ، ص 277 ، ح 985 ، بسند آخرعن أبي الحسن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من قوله : « قال : قلت : فإن فاته ذلك » مع اختلاف يسير. </w:t>
      </w:r>
      <w:r w:rsidR="00744A1C" w:rsidRPr="00A914B5">
        <w:rPr>
          <w:rStyle w:val="libFootnoteBoldChar"/>
          <w:rtl/>
        </w:rPr>
        <w:t>تفسير العيّاشي</w:t>
      </w:r>
      <w:r w:rsidR="00744A1C">
        <w:rPr>
          <w:rtl/>
          <w:lang w:bidi="fa-IR"/>
        </w:rPr>
        <w:t xml:space="preserve"> ، ج 1 ، ص 92 ، ح 237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 </w:t>
      </w:r>
      <w:r w:rsidR="00744A1C" w:rsidRPr="00C24F9C">
        <w:rPr>
          <w:rStyle w:val="libFootnoteBoldChar"/>
          <w:rtl/>
        </w:rPr>
        <w:t>الفقيه</w:t>
      </w:r>
      <w:r w:rsidR="00744A1C">
        <w:rPr>
          <w:rtl/>
          <w:lang w:bidi="fa-IR"/>
        </w:rPr>
        <w:t xml:space="preserve"> ، ج 2 ، ص 508 ، صدر ح 3097 ، مرسلاً عن الأئمّة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يسير. راجع : </w:t>
      </w:r>
      <w:r w:rsidR="00744A1C" w:rsidRPr="00C24F9C">
        <w:rPr>
          <w:rStyle w:val="libFootnoteBoldChar"/>
          <w:rtl/>
        </w:rPr>
        <w:t>التهذيب</w:t>
      </w:r>
      <w:r w:rsidR="00744A1C">
        <w:rPr>
          <w:rtl/>
          <w:lang w:bidi="fa-IR"/>
        </w:rPr>
        <w:t xml:space="preserve"> ، ج 5 ، ص 231 ، ح 782 ؛ </w:t>
      </w:r>
      <w:r w:rsidR="00744A1C" w:rsidRPr="00C24F9C">
        <w:rPr>
          <w:rStyle w:val="libFootnoteBoldChar"/>
          <w:rtl/>
        </w:rPr>
        <w:t>والاستبصار</w:t>
      </w:r>
      <w:r w:rsidR="00744A1C">
        <w:rPr>
          <w:rtl/>
          <w:lang w:bidi="fa-IR"/>
        </w:rPr>
        <w:t xml:space="preserve"> ، ج 2 ، ص 279 ، ح 993 ؛ </w:t>
      </w:r>
      <w:r w:rsidR="00744A1C" w:rsidRPr="0061079A">
        <w:rPr>
          <w:rStyle w:val="libFootnoteBoldChar"/>
          <w:rtl/>
        </w:rPr>
        <w:t>و</w:t>
      </w:r>
      <w:r w:rsidR="00744A1C" w:rsidRPr="00877682">
        <w:rPr>
          <w:rStyle w:val="libFootnoteBoldChar"/>
          <w:rtl/>
        </w:rPr>
        <w:t>قرب الإسناد</w:t>
      </w:r>
      <w:r w:rsidR="00744A1C">
        <w:rPr>
          <w:rtl/>
          <w:lang w:bidi="fa-IR"/>
        </w:rPr>
        <w:t xml:space="preserve"> ، ص 394 ، ح 1381</w:t>
      </w:r>
      <w:r w:rsidR="00DF4597">
        <w:rPr>
          <w:rFonts w:hint="cs"/>
          <w:rtl/>
          <w:lang w:bidi="fa-IR"/>
        </w:rPr>
        <w:t>.</w:t>
      </w:r>
      <w:r w:rsidR="00744A1C" w:rsidRPr="00C24F9C">
        <w:rPr>
          <w:rStyle w:val="libFootnoteBoldChar"/>
          <w:rtl/>
        </w:rPr>
        <w:t>الوافي</w:t>
      </w:r>
      <w:r w:rsidR="00744A1C">
        <w:rPr>
          <w:rtl/>
          <w:lang w:bidi="fa-IR"/>
        </w:rPr>
        <w:t xml:space="preserve"> ، ج 14 ، ص 1184 ، ح 14043 ؛ </w:t>
      </w:r>
      <w:r w:rsidR="00744A1C" w:rsidRPr="00C24F9C">
        <w:rPr>
          <w:rStyle w:val="libFootnoteBoldChar"/>
          <w:rtl/>
        </w:rPr>
        <w:t>الوسائل</w:t>
      </w:r>
      <w:r w:rsidR="00744A1C">
        <w:rPr>
          <w:rtl/>
          <w:lang w:bidi="fa-IR"/>
        </w:rPr>
        <w:t xml:space="preserve"> ، ج 14 ، ص 179 ، ح 18922.</w:t>
      </w:r>
    </w:p>
    <w:p w:rsidR="00744A1C" w:rsidRDefault="00D10E3C" w:rsidP="00D10E3C">
      <w:pPr>
        <w:pStyle w:val="libFootnote0"/>
        <w:rPr>
          <w:lang w:bidi="fa-IR"/>
        </w:rPr>
      </w:pPr>
      <w:r>
        <w:rPr>
          <w:rtl/>
          <w:lang w:bidi="fa-IR"/>
        </w:rPr>
        <w:t>(1).</w:t>
      </w:r>
      <w:r w:rsidR="00744A1C">
        <w:rPr>
          <w:rtl/>
          <w:lang w:bidi="fa-IR"/>
        </w:rPr>
        <w:t xml:space="preserve"> في « ى ، بح ، جد » : + « في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ويصبح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196 : « المشهور بين الأصحاب جواز صوم يوم التروية ويوم عرفة وصوم الثالث بعد أيّام التشريق ، بل ادّعى عليه الإجماع ، وظاهر الخبر وأخبار ا</w:t>
      </w:r>
      <w:r w:rsidR="00EB1940">
        <w:rPr>
          <w:rFonts w:hint="cs"/>
          <w:rtl/>
          <w:lang w:bidi="fa-IR"/>
        </w:rPr>
        <w:t>ُ</w:t>
      </w:r>
      <w:r w:rsidR="00744A1C">
        <w:rPr>
          <w:rtl/>
          <w:lang w:bidi="fa-IR"/>
        </w:rPr>
        <w:t>خر عدم الجواز ، ويمكن حملها على الكراهة ، وحمل هذا الخبر على ما إذا كان دخوله بعد الزوال ، والله يعلم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14 ، ص 1184 ، ح 14044 ؛ </w:t>
      </w:r>
      <w:r w:rsidR="00744A1C" w:rsidRPr="00C24F9C">
        <w:rPr>
          <w:rStyle w:val="libFootnoteBoldChar"/>
          <w:rtl/>
        </w:rPr>
        <w:t>الوسائل</w:t>
      </w:r>
      <w:r w:rsidR="00744A1C">
        <w:rPr>
          <w:rtl/>
          <w:lang w:bidi="fa-IR"/>
        </w:rPr>
        <w:t xml:space="preserve"> ، ج 14 ، ص 179 ، ح 18921 ؛ وص 197 ، ح 18971.</w:t>
      </w:r>
    </w:p>
    <w:p w:rsidR="00744A1C" w:rsidRDefault="00E378DD" w:rsidP="00E378DD">
      <w:pPr>
        <w:pStyle w:val="libFootnote0"/>
        <w:rPr>
          <w:lang w:bidi="fa-IR"/>
        </w:rPr>
      </w:pPr>
      <w:r>
        <w:rPr>
          <w:rtl/>
          <w:lang w:bidi="fa-IR"/>
        </w:rPr>
        <w:t>(5).</w:t>
      </w:r>
      <w:r w:rsidR="00744A1C">
        <w:rPr>
          <w:rtl/>
          <w:lang w:bidi="fa-IR"/>
        </w:rPr>
        <w:t xml:space="preserve"> في « بث ، بخ » : وحاشية « جن » : « أصحابنا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الْحَسَنِ الرِّضَا </w:t>
      </w:r>
      <w:r w:rsidR="0061079A" w:rsidRPr="0061079A">
        <w:rPr>
          <w:rStyle w:val="libAlaemChar"/>
          <w:rtl/>
        </w:rPr>
        <w:t>عليه‌السلام</w:t>
      </w:r>
      <w:r w:rsidR="00D10E3C">
        <w:rPr>
          <w:rtl/>
          <w:lang w:bidi="fa-IR"/>
        </w:rPr>
        <w:t xml:space="preserve"> </w:t>
      </w:r>
      <w:r>
        <w:rPr>
          <w:rtl/>
          <w:lang w:bidi="fa-IR"/>
        </w:rPr>
        <w:t xml:space="preserve">، قَالَ : قُلْتُ لَهُ : رَجُلٌ تَمَتَّعَ بِالْعُمْرَةِ إِلَى الْحَجِّ فِي عَيْبَتِهِ </w:t>
      </w:r>
      <w:r w:rsidRPr="00D10E3C">
        <w:rPr>
          <w:rStyle w:val="libFootnotenumChar"/>
          <w:rtl/>
        </w:rPr>
        <w:t>(1)</w:t>
      </w:r>
      <w:r>
        <w:rPr>
          <w:rtl/>
          <w:lang w:bidi="fa-IR"/>
        </w:rPr>
        <w:t xml:space="preserve"> ثِيَابٌ لَهُ : يَبِيعُ </w:t>
      </w:r>
      <w:r w:rsidRPr="00D10E3C">
        <w:rPr>
          <w:rStyle w:val="libFootnotenumChar"/>
          <w:rtl/>
        </w:rPr>
        <w:t>(2)</w:t>
      </w:r>
      <w:r>
        <w:rPr>
          <w:rtl/>
          <w:lang w:bidi="fa-IR"/>
        </w:rPr>
        <w:t xml:space="preserve"> مِنْ ثِيَابِهِ وَيَشْتَرِي هَدْيَهُ </w:t>
      </w:r>
      <w:r w:rsidRPr="00D10E3C">
        <w:rPr>
          <w:rStyle w:val="libFootnotenumChar"/>
          <w:rtl/>
        </w:rPr>
        <w:t>(3)</w:t>
      </w:r>
      <w:r>
        <w:rPr>
          <w:rtl/>
          <w:lang w:bidi="fa-IR"/>
        </w:rPr>
        <w:t>؟</w:t>
      </w:r>
    </w:p>
    <w:p w:rsidR="00744A1C" w:rsidRDefault="00744A1C" w:rsidP="00744A1C">
      <w:pPr>
        <w:pStyle w:val="libNormal"/>
        <w:rPr>
          <w:lang w:bidi="fa-IR"/>
        </w:rPr>
      </w:pPr>
      <w:r>
        <w:rPr>
          <w:rtl/>
          <w:lang w:bidi="fa-IR"/>
        </w:rPr>
        <w:t xml:space="preserve">قَالَ : « لَا ، هذَا يَتَزَيَّنُ بِهِ الْمُؤْمِنُ ، يَصُومُ وَلَايَأْخُذُ شَيْئاً مِنْ ثِيَابِهِ </w:t>
      </w:r>
      <w:r w:rsidRPr="00D10E3C">
        <w:rPr>
          <w:rStyle w:val="libFootnotenumChar"/>
          <w:rtl/>
        </w:rPr>
        <w:t>(4)</w:t>
      </w:r>
      <w:r>
        <w:rPr>
          <w:rtl/>
          <w:lang w:bidi="fa-IR"/>
        </w:rPr>
        <w:t xml:space="preserve"> ». </w:t>
      </w:r>
      <w:r w:rsidRPr="00D10E3C">
        <w:rPr>
          <w:rStyle w:val="libFootnotenumChar"/>
          <w:rtl/>
        </w:rPr>
        <w:t>(5)</w:t>
      </w:r>
    </w:p>
    <w:p w:rsidR="00744A1C" w:rsidRDefault="00744A1C" w:rsidP="00744A1C">
      <w:pPr>
        <w:pStyle w:val="libNormal"/>
        <w:rPr>
          <w:lang w:bidi="fa-IR"/>
        </w:rPr>
      </w:pPr>
      <w:r>
        <w:rPr>
          <w:rtl/>
          <w:lang w:bidi="fa-IR"/>
        </w:rPr>
        <w:t>7925 / 6. عَلِيُّ بْنُ إِبْرَاهِيمَ ، عَنْ أَبِيهِ ، عَنْ حَمَّ</w:t>
      </w:r>
      <w:r w:rsidR="00451919">
        <w:rPr>
          <w:rtl/>
          <w:lang w:bidi="fa-IR"/>
        </w:rPr>
        <w:t>ادِ بْنِ عِيسى ، عَنْ حَرِيزٍ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مُتَمَتِّعٍ يَجِدُ الثَّمَنَ ، وَلَايَجِدُ الْغَنَمَ </w:t>
      </w:r>
      <w:r w:rsidRPr="00D10E3C">
        <w:rPr>
          <w:rStyle w:val="libFootnotenumChar"/>
          <w:rtl/>
        </w:rPr>
        <w:t>(6)</w:t>
      </w:r>
      <w:r>
        <w:rPr>
          <w:rtl/>
          <w:lang w:bidi="fa-IR"/>
        </w:rPr>
        <w:t xml:space="preserve"> ، قَالَ : « يُخَلِّفُ الثَّمَنَ عِنْدَ بَعْضِ أَهْلِ مَكَّةَ ، وَيَأْمُرُ مَنْ يَشْتَرِي لَهُ ، وَيَذْبَحُ </w:t>
      </w:r>
      <w:r w:rsidRPr="00D10E3C">
        <w:rPr>
          <w:rStyle w:val="libFootnotenumChar"/>
          <w:rtl/>
        </w:rPr>
        <w:t>(7)</w:t>
      </w:r>
      <w:r>
        <w:rPr>
          <w:rtl/>
          <w:lang w:bidi="fa-IR"/>
        </w:rPr>
        <w:t xml:space="preserve"> عَنْهُ ، وَهُوَ يُجْزِئُ عَنْهُ ؛ فَإِنْ مَضى </w:t>
      </w:r>
      <w:r w:rsidRPr="00D10E3C">
        <w:rPr>
          <w:rStyle w:val="libFootnotenumChar"/>
          <w:rtl/>
        </w:rPr>
        <w:t>(8)</w:t>
      </w:r>
      <w:r>
        <w:rPr>
          <w:rtl/>
          <w:lang w:bidi="fa-IR"/>
        </w:rPr>
        <w:t xml:space="preserve"> ذُو الْحِجَّةِ ، أَخَّرَ ذلِكَ إِلى قَابِلٍ مِنْ ذِي الْحِجَّةِ ». </w:t>
      </w:r>
      <w:r w:rsidRPr="00D10E3C">
        <w:rPr>
          <w:rStyle w:val="libFootnotenumChar"/>
          <w:rtl/>
        </w:rPr>
        <w:t>(9)</w:t>
      </w:r>
    </w:p>
    <w:p w:rsidR="00744A1C" w:rsidRDefault="00744A1C" w:rsidP="00744A1C">
      <w:pPr>
        <w:pStyle w:val="libNormal"/>
        <w:rPr>
          <w:lang w:bidi="fa-IR"/>
        </w:rPr>
      </w:pPr>
      <w:r>
        <w:rPr>
          <w:rtl/>
          <w:lang w:bidi="fa-IR"/>
        </w:rPr>
        <w:t xml:space="preserve">7926 / 7. أَبُو عَلِيٍّ الْأَشْعَرِيُّ ، عَنْ مُحَمَّدِ بْنِ عَبْدِ الْجَبَّارِ ، عَنْ صَفْوَانَ بْنِ يَحْيى </w:t>
      </w:r>
      <w:r w:rsidRPr="00D10E3C">
        <w:rPr>
          <w:rStyle w:val="libFootnotenumChar"/>
          <w:rtl/>
        </w:rPr>
        <w:t>(10)</w:t>
      </w:r>
      <w:r>
        <w:rPr>
          <w:rtl/>
          <w:lang w:bidi="fa-IR"/>
        </w:rPr>
        <w:t xml:space="preserve"> ، عَن</w:t>
      </w:r>
      <w:r w:rsidR="00DA01FE">
        <w:rPr>
          <w:rtl/>
          <w:lang w:bidi="fa-IR"/>
        </w:rPr>
        <w:t>ْ يَحْيَى الْأَزْرَقِ ، قَالَ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 xml:space="preserve">عَنْ مُتَمَتِّعٍ كَانَ مَعَهُ ثَمَنُ هَدْيٍ وَهُوَ يَجِدُ بِمِثْلِ ذلِكَ الَّذِي مَعَهُ هَدْياً ، فَلَمْ يَزَلْ يَتَوَانى </w:t>
      </w:r>
      <w:r w:rsidRPr="00D10E3C">
        <w:rPr>
          <w:rStyle w:val="libFootnotenumChar"/>
          <w:rtl/>
        </w:rPr>
        <w:t>(11)</w:t>
      </w:r>
      <w:r>
        <w:rPr>
          <w:rtl/>
          <w:lang w:bidi="fa-IR"/>
        </w:rPr>
        <w:t xml:space="preserve"> وَيُؤَخِّرُ ذلِكَ حَتّى إِذَا كَانَ آخِرُ النَّهَارِ </w:t>
      </w:r>
      <w:r w:rsidRPr="00D10E3C">
        <w:rPr>
          <w:rStyle w:val="libFootnotenumChar"/>
          <w:rtl/>
        </w:rPr>
        <w:t>(12)</w:t>
      </w:r>
      <w:r>
        <w:rPr>
          <w:rtl/>
          <w:lang w:bidi="fa-IR"/>
        </w:rPr>
        <w:t xml:space="preserve"> غَلَتِ الْغَنَمُ ، فَلَمْ‌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العَيْبَةُ : ما يُجعل فيه الثياب. </w:t>
      </w:r>
      <w:r w:rsidR="00744A1C" w:rsidRPr="00E978C3">
        <w:rPr>
          <w:rStyle w:val="libFootnoteBoldChar"/>
          <w:rtl/>
        </w:rPr>
        <w:t>الصحاح</w:t>
      </w:r>
      <w:r w:rsidR="00744A1C">
        <w:rPr>
          <w:rtl/>
          <w:lang w:bidi="fa-IR"/>
        </w:rPr>
        <w:t xml:space="preserve"> ، ج 1 ، ص 190 ( عيب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 أيبيع ».</w:t>
      </w:r>
    </w:p>
    <w:p w:rsidR="00744A1C" w:rsidRDefault="00E378DD" w:rsidP="00E378DD">
      <w:pPr>
        <w:pStyle w:val="libFootnote0"/>
        <w:rPr>
          <w:lang w:bidi="fa-IR"/>
        </w:rPr>
      </w:pPr>
      <w:r>
        <w:rPr>
          <w:rtl/>
          <w:lang w:bidi="fa-IR"/>
        </w:rPr>
        <w:t>(3).</w:t>
      </w:r>
      <w:r w:rsidR="00744A1C">
        <w:rPr>
          <w:rtl/>
          <w:lang w:bidi="fa-IR"/>
        </w:rPr>
        <w:t xml:space="preserve"> في « بس » : « هدياً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يدلّ على عدم وجوب بيع ثياب التجمّل لثمن الهدي ، وعليه فتوى الأصحاب ».</w:t>
      </w:r>
    </w:p>
    <w:p w:rsidR="00744A1C" w:rsidRDefault="00E378DD" w:rsidP="003459C2">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238 ، ح 802 ، بسند آخر</w:t>
      </w:r>
      <w:r w:rsidR="005352D5">
        <w:rPr>
          <w:rFonts w:hint="cs"/>
          <w:rtl/>
          <w:lang w:bidi="fa-IR"/>
        </w:rPr>
        <w:t>.</w:t>
      </w:r>
      <w:r w:rsidR="00744A1C" w:rsidRPr="00C24F9C">
        <w:rPr>
          <w:rStyle w:val="libFootnoteBoldChar"/>
          <w:rtl/>
        </w:rPr>
        <w:t>الوافي</w:t>
      </w:r>
      <w:r w:rsidR="00744A1C">
        <w:rPr>
          <w:rtl/>
          <w:lang w:bidi="fa-IR"/>
        </w:rPr>
        <w:t xml:space="preserve"> ، ج 14 ، ص 1175 ، ح 14027 ؛ </w:t>
      </w:r>
      <w:r w:rsidR="00744A1C" w:rsidRPr="00C24F9C">
        <w:rPr>
          <w:rStyle w:val="libFootnoteBoldChar"/>
          <w:rtl/>
        </w:rPr>
        <w:t>الوسائل</w:t>
      </w:r>
      <w:r w:rsidR="00744A1C">
        <w:rPr>
          <w:rtl/>
          <w:lang w:bidi="fa-IR"/>
        </w:rPr>
        <w:t xml:space="preserve"> ، ج 14 ، ص 202 ، ذيل ح 18982.</w:t>
      </w:r>
      <w:r w:rsidR="00097CCA">
        <w:rPr>
          <w:rFonts w:hint="cs"/>
          <w:rtl/>
          <w:lang w:bidi="fa-IR"/>
        </w:rPr>
        <w:t xml:space="preserve">      </w:t>
      </w:r>
      <w:r w:rsidR="00177D89">
        <w:rPr>
          <w:rFonts w:hint="cs"/>
          <w:rtl/>
          <w:lang w:bidi="fa-IR"/>
        </w:rPr>
        <w:t xml:space="preserve">           </w:t>
      </w:r>
      <w:r>
        <w:rPr>
          <w:rtl/>
          <w:lang w:bidi="fa-IR"/>
        </w:rPr>
        <w:t>(6).</w:t>
      </w:r>
      <w:r w:rsidR="00744A1C">
        <w:rPr>
          <w:rtl/>
          <w:lang w:bidi="fa-IR"/>
        </w:rPr>
        <w:t xml:space="preserve"> في حاشية « جن » : « الهدي ».</w:t>
      </w:r>
    </w:p>
    <w:tbl>
      <w:tblPr>
        <w:tblStyle w:val="TableGrid"/>
        <w:bidiVisual/>
        <w:tblW w:w="0" w:type="auto"/>
        <w:tblLook w:val="04A0" w:firstRow="1" w:lastRow="0" w:firstColumn="1" w:lastColumn="0" w:noHBand="0" w:noVBand="1"/>
      </w:tblPr>
      <w:tblGrid>
        <w:gridCol w:w="4006"/>
        <w:gridCol w:w="4006"/>
      </w:tblGrid>
      <w:tr w:rsidR="00BE4E1C" w:rsidTr="00BE4E1C">
        <w:tc>
          <w:tcPr>
            <w:tcW w:w="4006" w:type="dxa"/>
          </w:tcPr>
          <w:p w:rsidR="00BE4E1C" w:rsidRDefault="00BE4E1C" w:rsidP="00E378DD">
            <w:pPr>
              <w:pStyle w:val="libFootnote0"/>
              <w:rPr>
                <w:rtl/>
                <w:lang w:bidi="fa-IR"/>
              </w:rPr>
            </w:pPr>
            <w:r>
              <w:rPr>
                <w:rtl/>
                <w:lang w:bidi="fa-IR"/>
              </w:rPr>
              <w:t>(7). في « بس » : « فيذبح ».</w:t>
            </w:r>
          </w:p>
        </w:tc>
        <w:tc>
          <w:tcPr>
            <w:tcW w:w="4006" w:type="dxa"/>
          </w:tcPr>
          <w:p w:rsidR="00BE4E1C" w:rsidRDefault="00BE4E1C" w:rsidP="00E378DD">
            <w:pPr>
              <w:pStyle w:val="libFootnote0"/>
              <w:rPr>
                <w:rtl/>
                <w:lang w:bidi="fa-IR"/>
              </w:rPr>
            </w:pPr>
            <w:r>
              <w:rPr>
                <w:rtl/>
                <w:lang w:bidi="fa-IR"/>
              </w:rPr>
              <w:t>(8). في « بس » : « يمضي ».</w:t>
            </w:r>
          </w:p>
        </w:tc>
      </w:tr>
    </w:tbl>
    <w:p w:rsidR="00744A1C" w:rsidRDefault="00E378DD" w:rsidP="003459C2">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37 ، ح 109 ؛ </w:t>
      </w:r>
      <w:r w:rsidR="00744A1C" w:rsidRPr="00C24F9C">
        <w:rPr>
          <w:rStyle w:val="libFootnoteBoldChar"/>
          <w:rtl/>
        </w:rPr>
        <w:t>والاستبصار</w:t>
      </w:r>
      <w:r w:rsidR="00744A1C">
        <w:rPr>
          <w:rtl/>
          <w:lang w:bidi="fa-IR"/>
        </w:rPr>
        <w:t xml:space="preserve"> ، ج 2 ، ص 260 ، ح 916 ، معلّقاً عن الكليني.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224 ، مع اختلاف يسير ؛ </w:t>
      </w:r>
      <w:r w:rsidR="00744A1C" w:rsidRPr="00C24F9C">
        <w:rPr>
          <w:rStyle w:val="libFootnoteBoldChar"/>
          <w:rtl/>
        </w:rPr>
        <w:t>الفقيه</w:t>
      </w:r>
      <w:r w:rsidR="00744A1C">
        <w:rPr>
          <w:rtl/>
          <w:lang w:bidi="fa-IR"/>
        </w:rPr>
        <w:t xml:space="preserve"> ، ج 2 ، ص 513 ، نقلاً عن رسالة أبيه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مع اختلاف يسير</w:t>
      </w:r>
      <w:r w:rsidR="003459C2">
        <w:rPr>
          <w:rFonts w:hint="cs"/>
          <w:rtl/>
          <w:lang w:bidi="fa-IR"/>
        </w:rPr>
        <w:t>.</w:t>
      </w:r>
      <w:r w:rsidR="00744A1C" w:rsidRPr="00C24F9C">
        <w:rPr>
          <w:rStyle w:val="libFootnoteBoldChar"/>
          <w:rtl/>
        </w:rPr>
        <w:t>الوافي</w:t>
      </w:r>
      <w:r w:rsidR="00744A1C">
        <w:rPr>
          <w:rtl/>
          <w:lang w:bidi="fa-IR"/>
        </w:rPr>
        <w:t xml:space="preserve"> ، ج 14 ، ص 1173 ، ح 14022 ؛ </w:t>
      </w:r>
      <w:r w:rsidR="00744A1C" w:rsidRPr="00C24F9C">
        <w:rPr>
          <w:rStyle w:val="libFootnoteBoldChar"/>
          <w:rtl/>
        </w:rPr>
        <w:t>الوسائل</w:t>
      </w:r>
      <w:r w:rsidR="00744A1C">
        <w:rPr>
          <w:rtl/>
          <w:lang w:bidi="fa-IR"/>
        </w:rPr>
        <w:t xml:space="preserve"> ، ج 14 ، ص 176 ، ح 18913.</w:t>
      </w:r>
    </w:p>
    <w:p w:rsidR="00744A1C" w:rsidRDefault="00E378DD" w:rsidP="00E378DD">
      <w:pPr>
        <w:pStyle w:val="libFootnote0"/>
        <w:rPr>
          <w:lang w:bidi="fa-IR"/>
        </w:rPr>
      </w:pPr>
      <w:r>
        <w:rPr>
          <w:rtl/>
          <w:lang w:bidi="fa-IR"/>
        </w:rPr>
        <w:t>(10).</w:t>
      </w:r>
      <w:r w:rsidR="00744A1C">
        <w:rPr>
          <w:rtl/>
          <w:lang w:bidi="fa-IR"/>
        </w:rPr>
        <w:t xml:space="preserve"> في « جن » : - « بن يحيى ».</w:t>
      </w:r>
    </w:p>
    <w:p w:rsidR="00744A1C" w:rsidRDefault="00E378DD" w:rsidP="00E378DD">
      <w:pPr>
        <w:pStyle w:val="libFootnote0"/>
        <w:rPr>
          <w:lang w:bidi="fa-IR"/>
        </w:rPr>
      </w:pPr>
      <w:r>
        <w:rPr>
          <w:rtl/>
          <w:lang w:bidi="fa-IR"/>
        </w:rPr>
        <w:t>(11).</w:t>
      </w:r>
      <w:r w:rsidR="00744A1C">
        <w:rPr>
          <w:rtl/>
          <w:lang w:bidi="fa-IR"/>
        </w:rPr>
        <w:t xml:space="preserve"> يقال : تواني في الأمر توانياً ، أي قصّر فيه وفتر ولم يبادر إلى ضبطه ولم يهتمّ به. راجع : </w:t>
      </w:r>
      <w:r w:rsidR="00744A1C" w:rsidRPr="00877682">
        <w:rPr>
          <w:rStyle w:val="libFootnoteBoldChar"/>
          <w:rtl/>
        </w:rPr>
        <w:t>لسان العرب</w:t>
      </w:r>
      <w:r w:rsidR="00744A1C">
        <w:rPr>
          <w:rtl/>
          <w:lang w:bidi="fa-IR"/>
        </w:rPr>
        <w:t xml:space="preserve"> ، ج 15 ، ص 415 ؛ </w:t>
      </w:r>
      <w:r w:rsidR="00744A1C" w:rsidRPr="00E978C3">
        <w:rPr>
          <w:rStyle w:val="libFootnoteBoldChar"/>
          <w:rtl/>
        </w:rPr>
        <w:t>المصباح المنير</w:t>
      </w:r>
      <w:r w:rsidR="00744A1C">
        <w:rPr>
          <w:rtl/>
          <w:lang w:bidi="fa-IR"/>
        </w:rPr>
        <w:t xml:space="preserve"> ، ص 673 ( ونى ).</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الفقيه</w:t>
      </w:r>
      <w:r w:rsidR="00744A1C">
        <w:rPr>
          <w:rtl/>
          <w:lang w:bidi="fa-IR"/>
        </w:rPr>
        <w:t xml:space="preserve"> : « أيّام التشريق و» بدل « النهار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يَقْدِرْ أَنْ يَشْتَرِيَ </w:t>
      </w:r>
      <w:r w:rsidRPr="00D10E3C">
        <w:rPr>
          <w:rStyle w:val="libFootnotenumChar"/>
          <w:rtl/>
        </w:rPr>
        <w:t>(1)</w:t>
      </w:r>
      <w:r>
        <w:rPr>
          <w:rtl/>
          <w:lang w:bidi="fa-IR"/>
        </w:rPr>
        <w:t xml:space="preserve"> بِالَّذِي مَعَهُ هَدْياً؟</w:t>
      </w:r>
    </w:p>
    <w:p w:rsidR="00744A1C" w:rsidRDefault="00744A1C" w:rsidP="00744A1C">
      <w:pPr>
        <w:pStyle w:val="libNormal"/>
        <w:rPr>
          <w:lang w:bidi="fa-IR"/>
        </w:rPr>
      </w:pPr>
      <w:r>
        <w:rPr>
          <w:rtl/>
          <w:lang w:bidi="fa-IR"/>
        </w:rPr>
        <w:t xml:space="preserve">قَالَ : « يَصُومُ ثَلَاثَةَ أَيَّامٍ بَعْدَ أَيَّامِ </w:t>
      </w:r>
      <w:r w:rsidRPr="00D10E3C">
        <w:rPr>
          <w:rStyle w:val="libFootnotenumChar"/>
          <w:rtl/>
        </w:rPr>
        <w:t>(2)</w:t>
      </w:r>
      <w:r>
        <w:rPr>
          <w:rtl/>
          <w:lang w:bidi="fa-IR"/>
        </w:rPr>
        <w:t xml:space="preserve"> التَّشْرِيقِ ». </w:t>
      </w:r>
      <w:r w:rsidRPr="00D10E3C">
        <w:rPr>
          <w:rStyle w:val="libFootnotenumChar"/>
          <w:rtl/>
        </w:rPr>
        <w:t>(3)</w:t>
      </w:r>
    </w:p>
    <w:p w:rsidR="00744A1C" w:rsidRDefault="00744A1C" w:rsidP="00744A1C">
      <w:pPr>
        <w:pStyle w:val="libNormal"/>
        <w:rPr>
          <w:lang w:bidi="fa-IR"/>
        </w:rPr>
      </w:pPr>
      <w:r>
        <w:rPr>
          <w:rtl/>
          <w:lang w:bidi="fa-IR"/>
        </w:rPr>
        <w:t>7927 / 8. عِدَّةٌ مِنْ أَصْحَابِنَا ، عَنْ سَهْلِ بْنِ زِيَادٍ ، عَنْ أَحْمَدَ بْنِ مُحَمَّدِ بْنِ أَبِي نَصْرٍ ، عَنْ عَبْدِ الْكَرِيمِ</w:t>
      </w:r>
      <w:r w:rsidR="009001B2">
        <w:rPr>
          <w:rtl/>
          <w:lang w:bidi="fa-IR"/>
        </w:rPr>
        <w:t xml:space="preserve"> ، عَنْ أَبِي بَصِيرٍ ، قَالَ :</w:t>
      </w:r>
    </w:p>
    <w:p w:rsidR="00744A1C" w:rsidRDefault="00744A1C" w:rsidP="00744A1C">
      <w:pPr>
        <w:pStyle w:val="libNormal"/>
        <w:rPr>
          <w:lang w:bidi="fa-IR"/>
        </w:rPr>
      </w:pPr>
      <w:r>
        <w:rPr>
          <w:rtl/>
          <w:lang w:bidi="fa-IR"/>
        </w:rPr>
        <w:t xml:space="preserve">سَأَلْتُهُ عَنْ رَجُلٍ تَمَتَّعَ ، فَلَمْ يَجِدْ هَدْياً ، فَصَامَ الثَّلَاثَةَ </w:t>
      </w:r>
      <w:r w:rsidRPr="00D10E3C">
        <w:rPr>
          <w:rStyle w:val="libFootnotenumChar"/>
          <w:rtl/>
        </w:rPr>
        <w:t>(4)</w:t>
      </w:r>
      <w:r>
        <w:rPr>
          <w:rtl/>
          <w:lang w:bidi="fa-IR"/>
        </w:rPr>
        <w:t xml:space="preserve"> الْأَيَّامِ ، فَلَمَّا قَضى نُسُكَهُ ، بَدَا لَهُ أَنْ يُقِيمَ </w:t>
      </w:r>
      <w:r w:rsidRPr="00D10E3C">
        <w:rPr>
          <w:rStyle w:val="libFootnotenumChar"/>
          <w:rtl/>
        </w:rPr>
        <w:t>(5)</w:t>
      </w:r>
      <w:r>
        <w:rPr>
          <w:rtl/>
          <w:lang w:bidi="fa-IR"/>
        </w:rPr>
        <w:t xml:space="preserve"> بِمَكَّةَ </w:t>
      </w:r>
      <w:r w:rsidRPr="00D10E3C">
        <w:rPr>
          <w:rStyle w:val="libFootnotenumChar"/>
          <w:rtl/>
        </w:rPr>
        <w:t>(6)</w:t>
      </w:r>
      <w:r>
        <w:rPr>
          <w:rtl/>
          <w:lang w:bidi="fa-IR"/>
        </w:rPr>
        <w:t>؟</w:t>
      </w:r>
    </w:p>
    <w:p w:rsidR="00744A1C" w:rsidRDefault="00744A1C" w:rsidP="00744A1C">
      <w:pPr>
        <w:pStyle w:val="libNormal"/>
        <w:rPr>
          <w:lang w:bidi="fa-IR"/>
        </w:rPr>
      </w:pPr>
      <w:r>
        <w:rPr>
          <w:rtl/>
          <w:lang w:bidi="fa-IR"/>
        </w:rPr>
        <w:t xml:space="preserve">قَالَ : « يَنْظُرُ </w:t>
      </w:r>
      <w:r w:rsidRPr="00D10E3C">
        <w:rPr>
          <w:rStyle w:val="libFootnotenumChar"/>
          <w:rtl/>
        </w:rPr>
        <w:t>(7)</w:t>
      </w:r>
      <w:r>
        <w:rPr>
          <w:rtl/>
          <w:lang w:bidi="fa-IR"/>
        </w:rPr>
        <w:t xml:space="preserve"> مَقْدَمَ </w:t>
      </w:r>
      <w:r w:rsidRPr="00D10E3C">
        <w:rPr>
          <w:rStyle w:val="libFootnotenumChar"/>
          <w:rtl/>
        </w:rPr>
        <w:t>(8)</w:t>
      </w:r>
      <w:r>
        <w:rPr>
          <w:rtl/>
          <w:lang w:bidi="fa-IR"/>
        </w:rPr>
        <w:t xml:space="preserve"> أَهْلِ بِلَادِهِ ، فَإِذَا ظَنَّ أَنَّهُمْ قَدْ دَخَلُوا </w:t>
      </w:r>
      <w:r w:rsidRPr="00D10E3C">
        <w:rPr>
          <w:rStyle w:val="libFootnotenumChar"/>
          <w:rtl/>
        </w:rPr>
        <w:t>(9)</w:t>
      </w:r>
      <w:r>
        <w:rPr>
          <w:rtl/>
          <w:lang w:bidi="fa-IR"/>
        </w:rPr>
        <w:t xml:space="preserve"> ، فَلْيَصُمِ السَّبْعَةَ الْأَيَّامِ </w:t>
      </w:r>
      <w:r w:rsidRPr="00D10E3C">
        <w:rPr>
          <w:rStyle w:val="libFootnotenumChar"/>
          <w:rtl/>
        </w:rPr>
        <w:t>(10)</w:t>
      </w:r>
      <w:r>
        <w:rPr>
          <w:rtl/>
          <w:lang w:bidi="fa-IR"/>
        </w:rPr>
        <w:t xml:space="preserve"> ». </w:t>
      </w:r>
      <w:r w:rsidRPr="00D10E3C">
        <w:rPr>
          <w:rStyle w:val="libFootnotenumChar"/>
          <w:rtl/>
        </w:rPr>
        <w:t>(11)</w:t>
      </w:r>
    </w:p>
    <w:p w:rsidR="00744A1C" w:rsidRDefault="00744A1C" w:rsidP="00744A1C">
      <w:pPr>
        <w:pStyle w:val="libNormal"/>
        <w:rPr>
          <w:lang w:bidi="fa-IR"/>
        </w:rPr>
      </w:pPr>
      <w:r>
        <w:rPr>
          <w:rtl/>
          <w:lang w:bidi="fa-IR"/>
        </w:rPr>
        <w:t xml:space="preserve">7928 / 9. أَحْمَدُ بْنُ مُحَمَّدِ بْنِ أَبِي نَصْرٍ </w:t>
      </w:r>
      <w:r w:rsidRPr="00D10E3C">
        <w:rPr>
          <w:rStyle w:val="libFootnotenumChar"/>
          <w:rtl/>
        </w:rPr>
        <w:t>(12)</w:t>
      </w:r>
      <w:r>
        <w:rPr>
          <w:rtl/>
          <w:lang w:bidi="fa-IR"/>
        </w:rPr>
        <w:t xml:space="preserve"> ، عَنْ عَبْدِ ال</w:t>
      </w:r>
      <w:r w:rsidR="00253238">
        <w:rPr>
          <w:rtl/>
          <w:lang w:bidi="fa-IR"/>
        </w:rPr>
        <w:t>ْكَرِيمِ ، عَنْ أَبِي بَصِيرٍ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بح ، بخ ، بس ، جد ، جن » و</w:t>
      </w:r>
      <w:r w:rsidR="00744A1C" w:rsidRPr="00C24F9C">
        <w:rPr>
          <w:rStyle w:val="libFootnoteBoldChar"/>
          <w:rtl/>
        </w:rPr>
        <w:t>الوسائل</w:t>
      </w:r>
      <w:r w:rsidR="00744A1C">
        <w:rPr>
          <w:rtl/>
          <w:lang w:bidi="fa-IR"/>
        </w:rPr>
        <w:t xml:space="preserve"> : « بأن يشتري ».</w:t>
      </w:r>
    </w:p>
    <w:p w:rsidR="00744A1C" w:rsidRDefault="00E378DD" w:rsidP="00E378DD">
      <w:pPr>
        <w:pStyle w:val="libFootnote0"/>
        <w:rPr>
          <w:lang w:bidi="fa-IR"/>
        </w:rPr>
      </w:pPr>
      <w:r>
        <w:rPr>
          <w:rtl/>
          <w:lang w:bidi="fa-IR"/>
        </w:rPr>
        <w:t>(2).</w:t>
      </w:r>
      <w:r w:rsidR="00744A1C">
        <w:rPr>
          <w:rtl/>
          <w:lang w:bidi="fa-IR"/>
        </w:rPr>
        <w:t xml:space="preserve"> في « بخ » و</w:t>
      </w:r>
      <w:r w:rsidR="00744A1C" w:rsidRPr="00C24F9C">
        <w:rPr>
          <w:rStyle w:val="libFootnoteBoldChar"/>
          <w:rtl/>
        </w:rPr>
        <w:t>الوافي</w:t>
      </w:r>
      <w:r w:rsidR="00744A1C">
        <w:rPr>
          <w:rtl/>
          <w:lang w:bidi="fa-IR"/>
        </w:rPr>
        <w:t xml:space="preserve"> : - « أيّام ».</w:t>
      </w:r>
    </w:p>
    <w:p w:rsidR="00744A1C" w:rsidRDefault="00E378DD" w:rsidP="00E21C07">
      <w:pPr>
        <w:pStyle w:val="libFootnote0"/>
        <w:rPr>
          <w:lang w:bidi="fa-IR"/>
        </w:rPr>
      </w:pPr>
      <w:r>
        <w:rPr>
          <w:rtl/>
          <w:lang w:bidi="fa-IR"/>
        </w:rPr>
        <w:t>(3).</w:t>
      </w:r>
      <w:r w:rsidR="00744A1C">
        <w:rPr>
          <w:rtl/>
          <w:lang w:bidi="fa-IR"/>
        </w:rPr>
        <w:t xml:space="preserve"> </w:t>
      </w:r>
      <w:r w:rsidR="00744A1C" w:rsidRPr="00C24F9C">
        <w:rPr>
          <w:rStyle w:val="libFootnoteBoldChar"/>
          <w:rtl/>
        </w:rPr>
        <w:t>الفقيه</w:t>
      </w:r>
      <w:r w:rsidR="00744A1C">
        <w:rPr>
          <w:rtl/>
          <w:lang w:bidi="fa-IR"/>
        </w:rPr>
        <w:t xml:space="preserve"> ، ج 2 ، ص 512 ، ح 3101 ، معلّقاً عن يحيى الأزرق ، عن أبي إبراهيم </w:t>
      </w:r>
      <w:r w:rsidR="0061079A" w:rsidRPr="0061079A">
        <w:rPr>
          <w:rStyle w:val="libFootnoteAlaemChar"/>
          <w:rtl/>
        </w:rPr>
        <w:t>عليه‌السلام</w:t>
      </w:r>
      <w:r w:rsidR="00E21C07">
        <w:rPr>
          <w:rFonts w:hint="cs"/>
          <w:rtl/>
          <w:lang w:bidi="fa-IR"/>
        </w:rPr>
        <w:t>.</w:t>
      </w:r>
      <w:r w:rsidR="00744A1C" w:rsidRPr="00C24F9C">
        <w:rPr>
          <w:rStyle w:val="libFootnoteBoldChar"/>
          <w:rtl/>
        </w:rPr>
        <w:t>الوافي</w:t>
      </w:r>
      <w:r w:rsidR="00744A1C">
        <w:rPr>
          <w:rtl/>
          <w:lang w:bidi="fa-IR"/>
        </w:rPr>
        <w:t xml:space="preserve"> ، ج 14 ، ص 1175 ، ح 14028 ؛ </w:t>
      </w:r>
      <w:r w:rsidR="00744A1C" w:rsidRPr="00C24F9C">
        <w:rPr>
          <w:rStyle w:val="libFootnoteBoldChar"/>
          <w:rtl/>
        </w:rPr>
        <w:t>الوسائل</w:t>
      </w:r>
      <w:r w:rsidR="00744A1C">
        <w:rPr>
          <w:rtl/>
          <w:lang w:bidi="fa-IR"/>
        </w:rPr>
        <w:t xml:space="preserve"> ، ج 14 ، ص 194 ، ح 18964.</w:t>
      </w:r>
    </w:p>
    <w:p w:rsidR="00744A1C" w:rsidRDefault="00E378DD" w:rsidP="00E378DD">
      <w:pPr>
        <w:pStyle w:val="libFootnote0"/>
        <w:rPr>
          <w:lang w:bidi="fa-IR"/>
        </w:rPr>
      </w:pPr>
      <w:r>
        <w:rPr>
          <w:rtl/>
          <w:lang w:bidi="fa-IR"/>
        </w:rPr>
        <w:t>(4).</w:t>
      </w:r>
      <w:r w:rsidR="00744A1C">
        <w:rPr>
          <w:rtl/>
          <w:lang w:bidi="fa-IR"/>
        </w:rPr>
        <w:t xml:space="preserve"> في « بث » : « ثلاثة ».</w:t>
      </w:r>
    </w:p>
    <w:p w:rsidR="00744A1C" w:rsidRDefault="00E378DD" w:rsidP="00E378DD">
      <w:pPr>
        <w:pStyle w:val="libFootnote0"/>
        <w:rPr>
          <w:lang w:bidi="fa-IR"/>
        </w:rPr>
      </w:pPr>
      <w:r>
        <w:rPr>
          <w:rtl/>
          <w:lang w:bidi="fa-IR"/>
        </w:rPr>
        <w:t>(5).</w:t>
      </w:r>
      <w:r w:rsidR="00744A1C">
        <w:rPr>
          <w:rtl/>
          <w:lang w:bidi="fa-IR"/>
        </w:rPr>
        <w:t xml:space="preserve"> في « بث » : « أن يصوم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ج 4 : « سنة ».</w:t>
      </w:r>
    </w:p>
    <w:p w:rsidR="00744A1C" w:rsidRDefault="00E378DD" w:rsidP="00E378DD">
      <w:pPr>
        <w:pStyle w:val="libFootnote0"/>
        <w:rPr>
          <w:lang w:bidi="fa-IR"/>
        </w:rPr>
      </w:pPr>
      <w:r>
        <w:rPr>
          <w:rtl/>
          <w:lang w:bidi="fa-IR"/>
        </w:rPr>
        <w:t>(7).</w:t>
      </w:r>
      <w:r w:rsidR="00744A1C">
        <w:rPr>
          <w:rtl/>
          <w:lang w:bidi="fa-IR"/>
        </w:rPr>
        <w:t xml:space="preserve"> هكذا في جميع النسخ التي قوبلت. وفي المطبوع : « ينتظر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ج 4 : « منهل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عن نسخة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ج 4 : + « بلدهم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المشهور بين الأصحاب أنّ المقيم بمكّة ينتظر أقلّ الأمرين من مضيّ الشهر ومن مدّة وصوله إلى أهله على تقدير الرجوع ».</w:t>
      </w:r>
    </w:p>
    <w:p w:rsidR="00744A1C" w:rsidRDefault="00E378DD" w:rsidP="007A7EB7">
      <w:pPr>
        <w:pStyle w:val="libFootnote0"/>
        <w:rPr>
          <w:lang w:bidi="fa-IR"/>
        </w:rPr>
      </w:pPr>
      <w:r>
        <w:rPr>
          <w:rtl/>
          <w:lang w:bidi="fa-IR"/>
        </w:rPr>
        <w:t>(11).</w:t>
      </w:r>
      <w:r w:rsidR="00744A1C">
        <w:rPr>
          <w:rtl/>
          <w:lang w:bidi="fa-IR"/>
        </w:rPr>
        <w:t xml:space="preserve"> </w:t>
      </w:r>
      <w:r w:rsidR="00744A1C" w:rsidRPr="00C24F9C">
        <w:rPr>
          <w:rStyle w:val="libFootnoteBoldChar"/>
          <w:rtl/>
        </w:rPr>
        <w:t>الفقيه</w:t>
      </w:r>
      <w:r w:rsidR="00744A1C">
        <w:rPr>
          <w:rtl/>
          <w:lang w:bidi="fa-IR"/>
        </w:rPr>
        <w:t xml:space="preserve"> ، ج 2 ، ص 511 ، ح 3098 ؛ </w:t>
      </w:r>
      <w:r w:rsidR="00744A1C" w:rsidRPr="0061079A">
        <w:rPr>
          <w:rStyle w:val="libFootnoteBoldChar"/>
          <w:rtl/>
        </w:rPr>
        <w:t>والتهذيب</w:t>
      </w:r>
      <w:r w:rsidR="00744A1C">
        <w:rPr>
          <w:rtl/>
          <w:lang w:bidi="fa-IR"/>
        </w:rPr>
        <w:t xml:space="preserve"> ، ج 4 ، ص 314 ، ح 954 ، معلّقاً عن ابن مسكان ، عن أبي بصير. </w:t>
      </w:r>
      <w:r w:rsidR="00744A1C" w:rsidRPr="00C24F9C">
        <w:rPr>
          <w:rStyle w:val="libFootnoteBoldChar"/>
          <w:rtl/>
        </w:rPr>
        <w:t>التهذيب</w:t>
      </w:r>
      <w:r w:rsidR="00744A1C">
        <w:rPr>
          <w:rtl/>
          <w:lang w:bidi="fa-IR"/>
        </w:rPr>
        <w:t xml:space="preserve"> ، ج 5 ، ص 41 ، ح 121 ، بسند آخر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المقنعة ، ص 452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مع اختلاف يسير</w:t>
      </w:r>
      <w:r w:rsidR="007A7EB7">
        <w:rPr>
          <w:rFonts w:hint="cs"/>
          <w:rtl/>
          <w:lang w:bidi="fa-IR"/>
        </w:rPr>
        <w:t>.</w:t>
      </w:r>
      <w:r w:rsidR="00744A1C" w:rsidRPr="00C24F9C">
        <w:rPr>
          <w:rStyle w:val="libFootnoteBoldChar"/>
          <w:rtl/>
        </w:rPr>
        <w:t>الوافي</w:t>
      </w:r>
      <w:r w:rsidR="00744A1C">
        <w:rPr>
          <w:rtl/>
          <w:lang w:bidi="fa-IR"/>
        </w:rPr>
        <w:t xml:space="preserve"> ، ج 14 ، ص 1195 ، ح 14069 ؛ </w:t>
      </w:r>
      <w:r w:rsidR="00744A1C" w:rsidRPr="00C24F9C">
        <w:rPr>
          <w:rStyle w:val="libFootnoteBoldChar"/>
          <w:rtl/>
        </w:rPr>
        <w:t>الوسائل</w:t>
      </w:r>
      <w:r w:rsidR="00744A1C">
        <w:rPr>
          <w:rtl/>
          <w:lang w:bidi="fa-IR"/>
        </w:rPr>
        <w:t xml:space="preserve"> ، ج 14 ، ص 190 ، ذيل ح 18954.</w:t>
      </w:r>
    </w:p>
    <w:p w:rsidR="00744A1C" w:rsidRDefault="00E378DD" w:rsidP="00E378DD">
      <w:pPr>
        <w:pStyle w:val="libFootnote0"/>
        <w:rPr>
          <w:lang w:bidi="fa-IR"/>
        </w:rPr>
      </w:pPr>
      <w:r>
        <w:rPr>
          <w:rtl/>
          <w:lang w:bidi="fa-IR"/>
        </w:rPr>
        <w:t>(12).</w:t>
      </w:r>
      <w:r w:rsidR="00744A1C">
        <w:rPr>
          <w:rtl/>
          <w:lang w:bidi="fa-IR"/>
        </w:rPr>
        <w:t xml:space="preserve"> السند معلّق على سابقه. ويروي عن أحمد بن محمّد بن أبي نصر ، عدّة من أصحابنا عن سهل بن زياد.</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أَحَدِهِمَا </w:t>
      </w:r>
      <w:r w:rsidR="008859AA" w:rsidRPr="008859AA">
        <w:rPr>
          <w:rStyle w:val="libAlaemChar"/>
          <w:rtl/>
        </w:rPr>
        <w:t>عليهما‌السلام</w:t>
      </w:r>
      <w:r>
        <w:rPr>
          <w:rtl/>
          <w:lang w:bidi="fa-IR"/>
        </w:rPr>
        <w:t xml:space="preserve">، قَالَ : سَأَلْتُهُ عَنْ رَجُلٍ تَمَتَّعَ ، فَلَمْ </w:t>
      </w:r>
      <w:r w:rsidRPr="00D10E3C">
        <w:rPr>
          <w:rStyle w:val="libFootnotenumChar"/>
          <w:rtl/>
        </w:rPr>
        <w:t>(1)</w:t>
      </w:r>
      <w:r>
        <w:rPr>
          <w:rtl/>
          <w:lang w:bidi="fa-IR"/>
        </w:rPr>
        <w:t xml:space="preserve"> يَجِدْ مَا يُهْدِي </w:t>
      </w:r>
      <w:r w:rsidRPr="00D10E3C">
        <w:rPr>
          <w:rStyle w:val="libFootnotenumChar"/>
          <w:rtl/>
        </w:rPr>
        <w:t>(2)</w:t>
      </w:r>
      <w:r>
        <w:rPr>
          <w:rtl/>
          <w:lang w:bidi="fa-IR"/>
        </w:rPr>
        <w:t xml:space="preserve"> بِهِ </w:t>
      </w:r>
      <w:r w:rsidRPr="00D10E3C">
        <w:rPr>
          <w:rStyle w:val="libFootnotenumChar"/>
          <w:rtl/>
        </w:rPr>
        <w:t>(3)</w:t>
      </w:r>
      <w:r>
        <w:rPr>
          <w:rtl/>
          <w:lang w:bidi="fa-IR"/>
        </w:rPr>
        <w:t xml:space="preserve"> حَتّى إِذَا كَانَ يَوْمُ </w:t>
      </w:r>
      <w:r w:rsidRPr="00D10E3C">
        <w:rPr>
          <w:rStyle w:val="libFootnotenumChar"/>
          <w:rtl/>
        </w:rPr>
        <w:t>(4)</w:t>
      </w:r>
      <w:r>
        <w:rPr>
          <w:rtl/>
          <w:lang w:bidi="fa-IR"/>
        </w:rPr>
        <w:t xml:space="preserve"> النَّفْرِ ، وَجَدَ ثَمَنَ شَاةٍ ، أَيَذْبَحُ </w:t>
      </w:r>
      <w:r w:rsidRPr="00D10E3C">
        <w:rPr>
          <w:rStyle w:val="libFootnotenumChar"/>
          <w:rtl/>
        </w:rPr>
        <w:t>(5)</w:t>
      </w:r>
      <w:r>
        <w:rPr>
          <w:rtl/>
          <w:lang w:bidi="fa-IR"/>
        </w:rPr>
        <w:t xml:space="preserve"> ، أَوْ يَصُومُ؟</w:t>
      </w:r>
    </w:p>
    <w:p w:rsidR="00744A1C" w:rsidRDefault="00744A1C" w:rsidP="00744A1C">
      <w:pPr>
        <w:pStyle w:val="libNormal"/>
        <w:rPr>
          <w:lang w:bidi="fa-IR"/>
        </w:rPr>
      </w:pPr>
      <w:r>
        <w:rPr>
          <w:rtl/>
          <w:lang w:bidi="fa-IR"/>
        </w:rPr>
        <w:t xml:space="preserve">قَالَ : « بَلْ يَصُومُ ؛ فَإِنَّ أَيَّامَ الذَّبْحِ قَدْ مَضَتْ </w:t>
      </w:r>
      <w:r w:rsidRPr="00D10E3C">
        <w:rPr>
          <w:rStyle w:val="libFootnotenumChar"/>
          <w:rtl/>
        </w:rPr>
        <w:t>(6)</w:t>
      </w:r>
      <w:r>
        <w:rPr>
          <w:rtl/>
          <w:lang w:bidi="fa-IR"/>
        </w:rPr>
        <w:t xml:space="preserve"> ». </w:t>
      </w:r>
      <w:r w:rsidRPr="00D10E3C">
        <w:rPr>
          <w:rStyle w:val="libFootnotenumChar"/>
          <w:rtl/>
        </w:rPr>
        <w:t>(7)</w:t>
      </w:r>
    </w:p>
    <w:p w:rsidR="00744A1C" w:rsidRDefault="00744A1C" w:rsidP="00744A1C">
      <w:pPr>
        <w:pStyle w:val="libNormal"/>
        <w:rPr>
          <w:lang w:bidi="fa-IR"/>
        </w:rPr>
      </w:pPr>
      <w:r>
        <w:rPr>
          <w:rtl/>
          <w:lang w:bidi="fa-IR"/>
        </w:rPr>
        <w:t xml:space="preserve">7929 / 10. عَلِيُّ بْنُ إِبْرَاهِيمَ ، عَنْ أَبِيهِ ، عَنِ ابْنِ أَبِي عُمَيْرٍ ، عَنْ حَفْصِ بْنِ الْبَخْتَرِيِّ ، عَنْ مَنْصُورٍ </w:t>
      </w:r>
      <w:r w:rsidRPr="00D10E3C">
        <w:rPr>
          <w:rStyle w:val="libFootnotenumChar"/>
          <w:rtl/>
        </w:rPr>
        <w:t>(8)</w:t>
      </w:r>
      <w:r w:rsidR="00F04BBA">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لَمْ يَصُمْ فِي ذِي الْحِجَّةِ حَتّى يُهَلَّ هِلَالُ الْمُحَرَّمِ ، فَعَلَيْهِ دَمُ شَاةٍ ، وَلَيْسَ لَهُ صَوْمٌ ، وَيَذْبَحُهُ </w:t>
      </w:r>
      <w:r w:rsidRPr="00D10E3C">
        <w:rPr>
          <w:rStyle w:val="libFootnotenumChar"/>
          <w:rtl/>
        </w:rPr>
        <w:t>(9)</w:t>
      </w:r>
      <w:r>
        <w:rPr>
          <w:rtl/>
          <w:lang w:bidi="fa-IR"/>
        </w:rPr>
        <w:t xml:space="preserve"> بِمِنًى ». </w:t>
      </w:r>
      <w:r w:rsidRPr="00D10E3C">
        <w:rPr>
          <w:rStyle w:val="libFootnotenumChar"/>
          <w:rtl/>
        </w:rPr>
        <w:t>(10)</w:t>
      </w:r>
    </w:p>
    <w:p w:rsidR="00744A1C" w:rsidRDefault="00744A1C" w:rsidP="00744A1C">
      <w:pPr>
        <w:pStyle w:val="libNormal"/>
        <w:rPr>
          <w:lang w:bidi="fa-IR"/>
        </w:rPr>
      </w:pPr>
      <w:r>
        <w:rPr>
          <w:rtl/>
          <w:lang w:bidi="fa-IR"/>
        </w:rPr>
        <w:t>7930 / 11. عِدَّةٌ مِنْ أَصْحَابِنَا ، عَنْ أَحْمَدَ بْنِ مُحَمَّدٍ ، عَنِ الْحُسَيْنِ بْنِ سَعِيدٍ ، عَنْ‌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856FEA" w:rsidTr="00856FEA">
        <w:tc>
          <w:tcPr>
            <w:tcW w:w="4006" w:type="dxa"/>
          </w:tcPr>
          <w:p w:rsidR="00856FEA" w:rsidRDefault="00856FEA" w:rsidP="00D10E3C">
            <w:pPr>
              <w:pStyle w:val="libFootnote0"/>
              <w:rPr>
                <w:rtl/>
                <w:lang w:bidi="fa-IR"/>
              </w:rPr>
            </w:pPr>
            <w:r>
              <w:rPr>
                <w:rtl/>
                <w:lang w:bidi="fa-IR"/>
              </w:rPr>
              <w:t xml:space="preserve">(1). في « بخ » </w:t>
            </w:r>
            <w:r w:rsidRPr="0061079A">
              <w:rPr>
                <w:rStyle w:val="libFootnoteBoldChar"/>
                <w:rtl/>
              </w:rPr>
              <w:t>والتهذيب</w:t>
            </w:r>
            <w:r>
              <w:rPr>
                <w:rtl/>
                <w:lang w:bidi="fa-IR"/>
              </w:rPr>
              <w:t xml:space="preserve"> ، ص 483 : « ولم ».</w:t>
            </w:r>
          </w:p>
        </w:tc>
        <w:tc>
          <w:tcPr>
            <w:tcW w:w="4006" w:type="dxa"/>
          </w:tcPr>
          <w:p w:rsidR="00856FEA" w:rsidRDefault="00856FEA" w:rsidP="00D10E3C">
            <w:pPr>
              <w:pStyle w:val="libFootnote0"/>
              <w:rPr>
                <w:rtl/>
                <w:lang w:bidi="fa-IR"/>
              </w:rPr>
            </w:pPr>
            <w:r>
              <w:rPr>
                <w:rtl/>
                <w:lang w:bidi="fa-IR"/>
              </w:rPr>
              <w:t>(2). في « جن » : « يهديه ».</w:t>
            </w:r>
          </w:p>
        </w:tc>
      </w:tr>
    </w:tbl>
    <w:p w:rsidR="00744A1C" w:rsidRDefault="00E378DD" w:rsidP="00E378DD">
      <w:pPr>
        <w:pStyle w:val="libFootnote0"/>
        <w:rPr>
          <w:lang w:bidi="fa-IR"/>
        </w:rPr>
      </w:pPr>
      <w:r>
        <w:rPr>
          <w:rtl/>
          <w:lang w:bidi="fa-IR"/>
        </w:rPr>
        <w:t>(3).</w:t>
      </w:r>
      <w:r w:rsidR="00744A1C">
        <w:rPr>
          <w:rtl/>
          <w:lang w:bidi="fa-IR"/>
        </w:rPr>
        <w:t xml:space="preserve"> في « بخ ، جد ، جن » و</w:t>
      </w:r>
      <w:r w:rsidR="00744A1C" w:rsidRPr="00C24F9C">
        <w:rPr>
          <w:rStyle w:val="libFootnoteBoldChar"/>
          <w:rtl/>
        </w:rPr>
        <w:t>الوافي</w:t>
      </w:r>
      <w:r w:rsidR="00744A1C">
        <w:rPr>
          <w:rtl/>
          <w:lang w:bidi="fa-IR"/>
        </w:rPr>
        <w:t xml:space="preserve"> : - « به ». وفي </w:t>
      </w:r>
      <w:r w:rsidR="00744A1C" w:rsidRPr="00C24F9C">
        <w:rPr>
          <w:rStyle w:val="libFootnoteBoldChar"/>
          <w:rtl/>
        </w:rPr>
        <w:t>التهذيب</w:t>
      </w:r>
      <w:r w:rsidR="00744A1C">
        <w:rPr>
          <w:rtl/>
          <w:lang w:bidi="fa-IR"/>
        </w:rPr>
        <w:t xml:space="preserve"> ، ص 483 : « ولم يصم الثلاثة الأيّام » بدل « به ».</w:t>
      </w:r>
    </w:p>
    <w:tbl>
      <w:tblPr>
        <w:tblStyle w:val="TableGrid"/>
        <w:bidiVisual/>
        <w:tblW w:w="0" w:type="auto"/>
        <w:tblLook w:val="04A0" w:firstRow="1" w:lastRow="0" w:firstColumn="1" w:lastColumn="0" w:noHBand="0" w:noVBand="1"/>
      </w:tblPr>
      <w:tblGrid>
        <w:gridCol w:w="4006"/>
        <w:gridCol w:w="4006"/>
      </w:tblGrid>
      <w:tr w:rsidR="007121DC" w:rsidTr="007121DC">
        <w:tc>
          <w:tcPr>
            <w:tcW w:w="4006" w:type="dxa"/>
          </w:tcPr>
          <w:p w:rsidR="007121DC" w:rsidRDefault="007121DC" w:rsidP="00E378DD">
            <w:pPr>
              <w:pStyle w:val="libFootnote0"/>
              <w:rPr>
                <w:rtl/>
                <w:lang w:bidi="fa-IR"/>
              </w:rPr>
            </w:pPr>
            <w:r>
              <w:rPr>
                <w:rtl/>
                <w:lang w:bidi="fa-IR"/>
              </w:rPr>
              <w:t xml:space="preserve">(4). في </w:t>
            </w:r>
            <w:r w:rsidRPr="00C24F9C">
              <w:rPr>
                <w:rStyle w:val="libFootnoteBoldChar"/>
                <w:rtl/>
              </w:rPr>
              <w:t>التهذيب</w:t>
            </w:r>
            <w:r>
              <w:rPr>
                <w:rtl/>
                <w:lang w:bidi="fa-IR"/>
              </w:rPr>
              <w:t xml:space="preserve"> ، ص 483 : « بعد ».</w:t>
            </w:r>
          </w:p>
        </w:tc>
        <w:tc>
          <w:tcPr>
            <w:tcW w:w="4006" w:type="dxa"/>
          </w:tcPr>
          <w:p w:rsidR="007121DC" w:rsidRDefault="007121DC" w:rsidP="00E378DD">
            <w:pPr>
              <w:pStyle w:val="libFootnote0"/>
              <w:rPr>
                <w:rtl/>
                <w:lang w:bidi="fa-IR"/>
              </w:rPr>
            </w:pPr>
            <w:r>
              <w:rPr>
                <w:rtl/>
                <w:lang w:bidi="fa-IR"/>
              </w:rPr>
              <w:t>(5). في « جن » : « ليذبح ».</w:t>
            </w:r>
          </w:p>
        </w:tc>
      </w:tr>
    </w:tbl>
    <w:p w:rsidR="00744A1C" w:rsidRDefault="00E378DD" w:rsidP="00E378DD">
      <w:pPr>
        <w:pStyle w:val="libFootnote0"/>
        <w:rPr>
          <w:lang w:bidi="fa-IR"/>
        </w:rPr>
      </w:pPr>
      <w:r>
        <w:rPr>
          <w:rtl/>
          <w:lang w:bidi="fa-IR"/>
        </w:rPr>
        <w:t>(6).</w:t>
      </w:r>
      <w:r w:rsidR="00744A1C">
        <w:rPr>
          <w:rtl/>
          <w:lang w:bidi="fa-IR"/>
        </w:rPr>
        <w:t xml:space="preserve"> في حاشية « بف » : + « عنه ».</w:t>
      </w:r>
    </w:p>
    <w:p w:rsidR="00744A1C" w:rsidRDefault="00DC44BF" w:rsidP="00D10E3C">
      <w:pPr>
        <w:pStyle w:val="libFootnote0"/>
        <w:rPr>
          <w:lang w:bidi="fa-IR"/>
        </w:rPr>
      </w:pPr>
      <w:r>
        <w:rPr>
          <w:rtl/>
          <w:lang w:bidi="fa-IR"/>
        </w:rPr>
        <w:t>قال العل</w:t>
      </w:r>
      <w:r>
        <w:rPr>
          <w:rFonts w:hint="cs"/>
          <w:rtl/>
          <w:lang w:bidi="fa-IR"/>
        </w:rPr>
        <w:t>ّ</w:t>
      </w:r>
      <w:r>
        <w:rPr>
          <w:rtl/>
          <w:lang w:bidi="fa-IR"/>
        </w:rPr>
        <w:t>ا</w:t>
      </w:r>
      <w:r w:rsidR="00744A1C">
        <w:rPr>
          <w:rtl/>
          <w:lang w:bidi="fa-IR"/>
        </w:rPr>
        <w:t xml:space="preserve">مة الفيض </w:t>
      </w:r>
      <w:r w:rsidR="00877682" w:rsidRPr="00877682">
        <w:rPr>
          <w:rStyle w:val="libFootnoteAlaemChar"/>
          <w:rtl/>
        </w:rPr>
        <w:t>رحمه‌الله</w:t>
      </w:r>
      <w:r w:rsidR="00744A1C">
        <w:rPr>
          <w:rtl/>
          <w:lang w:bidi="fa-IR"/>
        </w:rPr>
        <w:t xml:space="preserve">في </w:t>
      </w:r>
      <w:r w:rsidR="00744A1C" w:rsidRPr="00C24F9C">
        <w:rPr>
          <w:rStyle w:val="libFootnoteBoldChar"/>
          <w:rtl/>
        </w:rPr>
        <w:t>الوافي</w:t>
      </w:r>
      <w:r w:rsidR="00744A1C">
        <w:rPr>
          <w:rtl/>
          <w:lang w:bidi="fa-IR"/>
        </w:rPr>
        <w:t xml:space="preserve"> : « حمله في الاستبصار على من لم يجد الهدي ولاثمنه ، وصام الثلاثة الأيّام ، ثمّ وجد ثمن الهدي ، فعليه أن يصوم السبعة. وينافيه ما في </w:t>
      </w:r>
      <w:r w:rsidR="00744A1C" w:rsidRPr="00C24F9C">
        <w:rPr>
          <w:rStyle w:val="libFootnoteBoldChar"/>
          <w:rtl/>
        </w:rPr>
        <w:t>التهذيب</w:t>
      </w:r>
      <w:r w:rsidR="00744A1C">
        <w:rPr>
          <w:rtl/>
          <w:lang w:bidi="fa-IR"/>
        </w:rPr>
        <w:t xml:space="preserve"> فيما أورده بالإسناد الثاني بعد قوله : فلم يجد ما يهدي ولم يصم الثلاثة الأيّام. وقال في </w:t>
      </w:r>
      <w:r w:rsidR="00744A1C" w:rsidRPr="00C24F9C">
        <w:rPr>
          <w:rStyle w:val="libFootnoteBoldChar"/>
          <w:rtl/>
        </w:rPr>
        <w:t>الفقيه</w:t>
      </w:r>
      <w:r w:rsidR="00744A1C">
        <w:rPr>
          <w:rtl/>
          <w:lang w:bidi="fa-IR"/>
        </w:rPr>
        <w:t xml:space="preserve"> : وإذا لم يصم الثلاثة الأيّام فوجد بعد النفر ثمن الهدي ، فإنّه يصوم الثلاثة ؛ لأنّ أيّام الذبح قد مضت. فالصواب إبقاؤه على إطلاقه ، ولا دلالة في الخبر الآتي على تقييده كما ظنّه ».</w:t>
      </w:r>
    </w:p>
    <w:p w:rsidR="00744A1C" w:rsidRDefault="00E378DD" w:rsidP="00BF0DF0">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37 ، ح 111 ؛ </w:t>
      </w:r>
      <w:r w:rsidR="00744A1C" w:rsidRPr="00C24F9C">
        <w:rPr>
          <w:rStyle w:val="libFootnoteBoldChar"/>
          <w:rtl/>
        </w:rPr>
        <w:t>والاستبصار</w:t>
      </w:r>
      <w:r w:rsidR="00744A1C">
        <w:rPr>
          <w:rtl/>
          <w:lang w:bidi="fa-IR"/>
        </w:rPr>
        <w:t xml:space="preserve"> ، ج 2 ، ص 260 ، ح 918 ، معلّقاً عن أحمد بن محمّد بن أبي نصر. </w:t>
      </w:r>
      <w:r w:rsidR="00744A1C" w:rsidRPr="00C24F9C">
        <w:rPr>
          <w:rStyle w:val="libFootnoteBoldChar"/>
          <w:rtl/>
        </w:rPr>
        <w:t>التهذيب</w:t>
      </w:r>
      <w:r w:rsidR="00744A1C">
        <w:rPr>
          <w:rtl/>
          <w:lang w:bidi="fa-IR"/>
        </w:rPr>
        <w:t xml:space="preserve"> ، ج 5 ، ص 483 ، ح 1721 ، بسنده عن أبي بصير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744A1C" w:rsidRPr="00C24F9C">
        <w:rPr>
          <w:rStyle w:val="libFootnoteBoldChar"/>
          <w:rtl/>
        </w:rPr>
        <w:t>الفقيه</w:t>
      </w:r>
      <w:r w:rsidR="00744A1C">
        <w:rPr>
          <w:rtl/>
          <w:lang w:bidi="fa-IR"/>
        </w:rPr>
        <w:t xml:space="preserve"> ، ج 2 ، ص 511 ، ذيل ح 3099 ، مع اختلاف يسير</w:t>
      </w:r>
      <w:r w:rsidR="00C05A32">
        <w:rPr>
          <w:rFonts w:hint="cs"/>
          <w:rtl/>
          <w:lang w:bidi="fa-IR"/>
        </w:rPr>
        <w:t>.</w:t>
      </w:r>
      <w:r w:rsidR="00744A1C" w:rsidRPr="00C24F9C">
        <w:rPr>
          <w:rStyle w:val="libFootnoteBoldChar"/>
          <w:rtl/>
        </w:rPr>
        <w:t>الوافي</w:t>
      </w:r>
      <w:r w:rsidR="00744A1C">
        <w:rPr>
          <w:rtl/>
          <w:lang w:bidi="fa-IR"/>
        </w:rPr>
        <w:t xml:space="preserve"> ، ج 14 ، ص 1176 ، ح 14030 ؛ </w:t>
      </w:r>
      <w:r w:rsidR="00744A1C" w:rsidRPr="00C24F9C">
        <w:rPr>
          <w:rStyle w:val="libFootnoteBoldChar"/>
          <w:rtl/>
        </w:rPr>
        <w:t>الوسائل</w:t>
      </w:r>
      <w:r w:rsidR="00744A1C">
        <w:rPr>
          <w:rtl/>
          <w:lang w:bidi="fa-IR"/>
        </w:rPr>
        <w:t xml:space="preserve"> ، ج 14 ، ص 177 ، ذيل ح 18916.</w:t>
      </w:r>
      <w:r w:rsidR="00BF0DF0">
        <w:rPr>
          <w:rFonts w:hint="cs"/>
          <w:rtl/>
          <w:lang w:bidi="fa-IR"/>
        </w:rPr>
        <w:t xml:space="preserve">   </w:t>
      </w:r>
      <w:r>
        <w:rPr>
          <w:rtl/>
          <w:lang w:bidi="fa-IR"/>
        </w:rPr>
        <w:t>(8).</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C24F9C">
        <w:rPr>
          <w:rStyle w:val="libFootnoteBoldChar"/>
          <w:rtl/>
        </w:rPr>
        <w:t>والاستبصار</w:t>
      </w:r>
      <w:r w:rsidR="00744A1C">
        <w:rPr>
          <w:rtl/>
          <w:lang w:bidi="fa-IR"/>
        </w:rPr>
        <w:t xml:space="preserve"> : + « بن حازم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 « ويذبح ».</w:t>
      </w:r>
    </w:p>
    <w:p w:rsidR="00744A1C" w:rsidRDefault="00E378DD" w:rsidP="00B226F6">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5 ، ص 39 ، ح 116 ؛ </w:t>
      </w:r>
      <w:r w:rsidR="00744A1C" w:rsidRPr="00C24F9C">
        <w:rPr>
          <w:rStyle w:val="libFootnoteBoldChar"/>
          <w:rtl/>
        </w:rPr>
        <w:t>والاستبصار</w:t>
      </w:r>
      <w:r w:rsidR="00744A1C">
        <w:rPr>
          <w:rtl/>
          <w:lang w:bidi="fa-IR"/>
        </w:rPr>
        <w:t xml:space="preserve"> ، ج 2 ، ص 278 ، ح 989 ، معلّقاً عن الكليني. وفي </w:t>
      </w:r>
      <w:r w:rsidR="00744A1C" w:rsidRPr="00C24F9C">
        <w:rPr>
          <w:rStyle w:val="libFootnoteBoldChar"/>
          <w:rtl/>
        </w:rPr>
        <w:t>التهذيب</w:t>
      </w:r>
      <w:r w:rsidR="00744A1C">
        <w:rPr>
          <w:rtl/>
          <w:lang w:bidi="fa-IR"/>
        </w:rPr>
        <w:t xml:space="preserve"> ، ج 4 ، ص 231 ، ح 680 ، بسنده عن محمّد بن أبي عمير ، عن حفص بن البختري ، مع اختلاف يسير. </w:t>
      </w:r>
      <w:r w:rsidR="00744A1C" w:rsidRPr="00A914B5">
        <w:rPr>
          <w:rStyle w:val="libFootnoteBoldChar"/>
          <w:rtl/>
        </w:rPr>
        <w:t>تفسير العيّاشي</w:t>
      </w:r>
      <w:r w:rsidR="00744A1C">
        <w:rPr>
          <w:rtl/>
          <w:lang w:bidi="fa-IR"/>
        </w:rPr>
        <w:t xml:space="preserve"> ، ج 1 ، ص 92 ، ح 240 ، عن حفص بن البختري ، عن أبي عبدالله </w:t>
      </w:r>
      <w:r w:rsidR="0061079A" w:rsidRPr="0061079A">
        <w:rPr>
          <w:rStyle w:val="libFootnoteAlaemChar"/>
          <w:rtl/>
        </w:rPr>
        <w:t>عليه‌السلام</w:t>
      </w:r>
      <w:r w:rsidR="00D10E3C">
        <w:rPr>
          <w:rtl/>
          <w:lang w:bidi="fa-IR"/>
        </w:rPr>
        <w:t xml:space="preserve"> </w:t>
      </w:r>
      <w:r w:rsidR="00744A1C">
        <w:rPr>
          <w:rtl/>
          <w:lang w:bidi="fa-IR"/>
        </w:rPr>
        <w:t>، إلى قوله : « فعليه دم شاة » مع اختلاف يسير وزيادة في آخره</w:t>
      </w:r>
      <w:r w:rsidR="00B226F6">
        <w:rPr>
          <w:rFonts w:hint="cs"/>
          <w:rtl/>
          <w:lang w:bidi="fa-IR"/>
        </w:rPr>
        <w:t>.</w:t>
      </w:r>
      <w:r w:rsidR="00744A1C" w:rsidRPr="00C24F9C">
        <w:rPr>
          <w:rStyle w:val="libFootnoteBoldChar"/>
          <w:rtl/>
        </w:rPr>
        <w:t>الوافي</w:t>
      </w:r>
      <w:r w:rsidR="00744A1C">
        <w:rPr>
          <w:rtl/>
          <w:lang w:bidi="fa-IR"/>
        </w:rPr>
        <w:t xml:space="preserve"> ، ج 14 ، ص 1197 ، ح 14072 ؛ </w:t>
      </w:r>
      <w:r w:rsidR="00744A1C" w:rsidRPr="00C24F9C">
        <w:rPr>
          <w:rStyle w:val="libFootnoteBoldChar"/>
          <w:rtl/>
        </w:rPr>
        <w:t>الوسائل</w:t>
      </w:r>
      <w:r w:rsidR="00744A1C">
        <w:rPr>
          <w:rtl/>
          <w:lang w:bidi="fa-IR"/>
        </w:rPr>
        <w:t xml:space="preserve"> ، ج 14 ، ص 185 ، ح 18939.</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عَبْدِ اللهِ بْنِ بَحْرٍ </w:t>
      </w:r>
      <w:r w:rsidRPr="00D10E3C">
        <w:rPr>
          <w:rStyle w:val="libFootnotenumChar"/>
          <w:rtl/>
        </w:rPr>
        <w:t>(1)</w:t>
      </w:r>
      <w:r>
        <w:rPr>
          <w:rtl/>
          <w:lang w:bidi="fa-IR"/>
        </w:rPr>
        <w:t xml:space="preserve"> ، عَنْ حَ</w:t>
      </w:r>
      <w:r w:rsidR="002B3CB4">
        <w:rPr>
          <w:rtl/>
          <w:lang w:bidi="fa-IR"/>
        </w:rPr>
        <w:t>مَّادِ بْنِ عُثْمَانَ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مُتَمَتِّعٍ صَامَ ثَلَاثَةَ أَيَّامٍ فِي الْحَجِّ ، ثُمَّ أَصَابَ هَدْياً يَوْمَ خَرَجَ مِنْ مِنًى؟</w:t>
      </w:r>
    </w:p>
    <w:p w:rsidR="00744A1C" w:rsidRDefault="00744A1C" w:rsidP="00744A1C">
      <w:pPr>
        <w:pStyle w:val="libNormal"/>
        <w:rPr>
          <w:lang w:bidi="fa-IR"/>
        </w:rPr>
      </w:pPr>
      <w:r>
        <w:rPr>
          <w:rtl/>
          <w:lang w:bidi="fa-IR"/>
        </w:rPr>
        <w:t xml:space="preserve">قَالَ : « أَجْزَأَهُ صِيَامُهُ ». </w:t>
      </w:r>
      <w:r w:rsidRPr="00D10E3C">
        <w:rPr>
          <w:rStyle w:val="libFootnotenumChar"/>
          <w:rtl/>
        </w:rPr>
        <w:t>(2)</w:t>
      </w:r>
    </w:p>
    <w:p w:rsidR="00744A1C" w:rsidRDefault="00744A1C" w:rsidP="00744A1C">
      <w:pPr>
        <w:pStyle w:val="libNormal"/>
        <w:rPr>
          <w:lang w:bidi="fa-IR"/>
        </w:rPr>
      </w:pPr>
      <w:r>
        <w:rPr>
          <w:rtl/>
          <w:lang w:bidi="fa-IR"/>
        </w:rPr>
        <w:t xml:space="preserve">7931 / 12. عِدَّةٌ مِنْ أَصْحَابِنَا ، عَنْ أَحْمَدَ بْنِ مُحَمَّدٍ ، عَنِ الْحُسَيْنِ بْنِ سَعِيدٍ ، عَنْ فَضَالَةَ بْنِ أَيُّوبَ </w:t>
      </w:r>
      <w:r w:rsidRPr="00D10E3C">
        <w:rPr>
          <w:rStyle w:val="libFootnotenumChar"/>
          <w:rtl/>
        </w:rPr>
        <w:t>(3)</w:t>
      </w:r>
      <w:r>
        <w:rPr>
          <w:rtl/>
          <w:lang w:bidi="fa-IR"/>
        </w:rPr>
        <w:t xml:space="preserve"> ، عَنْ مُعَ</w:t>
      </w:r>
      <w:r w:rsidR="00CD028F">
        <w:rPr>
          <w:rtl/>
          <w:lang w:bidi="fa-IR"/>
        </w:rPr>
        <w:t>اوِيَةَ بْنِ عَمَّارٍ ، قَالَ :</w:t>
      </w:r>
    </w:p>
    <w:p w:rsidR="00744A1C" w:rsidRDefault="00744A1C" w:rsidP="00744A1C">
      <w:pPr>
        <w:pStyle w:val="libNormal"/>
        <w:rPr>
          <w:lang w:bidi="fa-IR"/>
        </w:rPr>
      </w:pPr>
      <w:r>
        <w:rPr>
          <w:rtl/>
          <w:lang w:bidi="fa-IR"/>
        </w:rPr>
        <w:t xml:space="preserve">مَنْ مَاتَ وَلَمْ يَكُنْ لَهُ هَدْيٌ لِمُتْعَتِهِ ، فَلْيَصُمْ عَنْهُ وَلِيُّهُ. </w:t>
      </w:r>
      <w:r w:rsidRPr="00D10E3C">
        <w:rPr>
          <w:rStyle w:val="libFootnotenumChar"/>
          <w:rtl/>
        </w:rPr>
        <w:t>(4)</w:t>
      </w:r>
    </w:p>
    <w:p w:rsidR="00144FA6" w:rsidRDefault="00744A1C" w:rsidP="00744A1C">
      <w:pPr>
        <w:pStyle w:val="libNormal"/>
        <w:rPr>
          <w:rtl/>
          <w:lang w:bidi="fa-IR"/>
        </w:rPr>
      </w:pPr>
      <w:r>
        <w:rPr>
          <w:rtl/>
          <w:lang w:bidi="fa-IR"/>
        </w:rPr>
        <w:t>7932 / 13. عَلِيُّ بْنُ إِبْرَاهِيمَ ، عَنْ أَبِيهِ ، عَنِ ابْنِ أَبِي عُمَيْرٍ ، عَنْ حَمَّادٍ ، عَنِ الْحَلَبِيِّ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سُئِلَ </w:t>
      </w:r>
      <w:r w:rsidRPr="00D10E3C">
        <w:rPr>
          <w:rStyle w:val="libFootnotenumChar"/>
          <w:rtl/>
        </w:rPr>
        <w:t>(5)</w:t>
      </w:r>
      <w:r>
        <w:rPr>
          <w:rtl/>
          <w:lang w:bidi="fa-IR"/>
        </w:rPr>
        <w:t xml:space="preserve"> عَنْ رَجُلٍ يَتَمَتَّعُ </w:t>
      </w:r>
      <w:r w:rsidRPr="00D10E3C">
        <w:rPr>
          <w:rStyle w:val="libFootnotenumChar"/>
          <w:rtl/>
        </w:rPr>
        <w:t>(6)</w:t>
      </w:r>
      <w:r>
        <w:rPr>
          <w:rtl/>
          <w:lang w:bidi="fa-IR"/>
        </w:rPr>
        <w:t xml:space="preserve"> بِالْعُمْرَةِ إِلَى الْحَجِّ </w:t>
      </w:r>
      <w:r w:rsidRPr="00D10E3C">
        <w:rPr>
          <w:rStyle w:val="libFootnotenumChar"/>
          <w:rtl/>
        </w:rPr>
        <w:t>(7)</w:t>
      </w:r>
      <w:r>
        <w:rPr>
          <w:rtl/>
          <w:lang w:bidi="fa-IR"/>
        </w:rPr>
        <w:t xml:space="preserve"> ، وَلَمْ يَكُنْ لَهُ‌ هَدْيٌ ، فَصَامَ ثَلَاثَةَ أَيَّامٍ فِي الْحَجِّ </w:t>
      </w:r>
      <w:r w:rsidRPr="00D10E3C">
        <w:rPr>
          <w:rStyle w:val="libFootnotenumChar"/>
          <w:rtl/>
        </w:rPr>
        <w:t>(8)</w:t>
      </w:r>
      <w:r>
        <w:rPr>
          <w:rtl/>
          <w:lang w:bidi="fa-IR"/>
        </w:rPr>
        <w:t xml:space="preserve"> ، ثُمَّ مَاتَ بَعْدَ مَا رَجَعَ إِلى أَهْلِهِ قَبْلَ أَنْ يَصُومَ السَّبْعَةَ الْأَيَّامِ ، أَعَلى وَلِيِّهِ أَنْ يَقْضِيَ عَنْهُ؟</w:t>
      </w:r>
    </w:p>
    <w:p w:rsidR="00744A1C" w:rsidRDefault="00744A1C" w:rsidP="00744A1C">
      <w:pPr>
        <w:pStyle w:val="libNormal"/>
        <w:rPr>
          <w:lang w:bidi="fa-IR"/>
        </w:rPr>
      </w:pPr>
      <w:r>
        <w:rPr>
          <w:rtl/>
          <w:lang w:bidi="fa-IR"/>
        </w:rPr>
        <w:t xml:space="preserve">قَالَ : « مَا أَرى عَلَيْهِ قَضَاءً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عن بعض النسخ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يحيى » بدل « بحر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38 ، ح 112 ؛ </w:t>
      </w:r>
      <w:r w:rsidR="00744A1C" w:rsidRPr="00C24F9C">
        <w:rPr>
          <w:rStyle w:val="libFootnoteBoldChar"/>
          <w:rtl/>
        </w:rPr>
        <w:t>والاستبصار</w:t>
      </w:r>
      <w:r w:rsidR="00744A1C">
        <w:rPr>
          <w:rtl/>
          <w:lang w:bidi="fa-IR"/>
        </w:rPr>
        <w:t xml:space="preserve"> ، ج 2 ، ص 260 ، ح 919 ، معلّقاً عن الكليني </w:t>
      </w:r>
      <w:r w:rsidR="00744A1C" w:rsidRPr="00C24F9C">
        <w:rPr>
          <w:rStyle w:val="libFootnoteBoldChar"/>
          <w:rtl/>
        </w:rPr>
        <w:t>الوافي</w:t>
      </w:r>
      <w:r w:rsidR="00744A1C">
        <w:rPr>
          <w:rtl/>
          <w:lang w:bidi="fa-IR"/>
        </w:rPr>
        <w:t xml:space="preserve"> ، ج 14 ، ص 1177 ، ح 14031 ؛ </w:t>
      </w:r>
      <w:r w:rsidR="00744A1C" w:rsidRPr="00C24F9C">
        <w:rPr>
          <w:rStyle w:val="libFootnoteBoldChar"/>
          <w:rtl/>
        </w:rPr>
        <w:t>الوسائل</w:t>
      </w:r>
      <w:r w:rsidR="00744A1C">
        <w:rPr>
          <w:rtl/>
          <w:lang w:bidi="fa-IR"/>
        </w:rPr>
        <w:t xml:space="preserve"> ، ج 14 ، ص 177 ، ح 18917.</w:t>
      </w:r>
    </w:p>
    <w:p w:rsidR="00744A1C" w:rsidRDefault="00E378DD" w:rsidP="00E378DD">
      <w:pPr>
        <w:pStyle w:val="libFootnote0"/>
        <w:rPr>
          <w:lang w:bidi="fa-IR"/>
        </w:rPr>
      </w:pPr>
      <w:r>
        <w:rPr>
          <w:rtl/>
          <w:lang w:bidi="fa-IR"/>
        </w:rPr>
        <w:t>(3).</w:t>
      </w:r>
      <w:r w:rsidR="00744A1C">
        <w:rPr>
          <w:rtl/>
          <w:lang w:bidi="fa-IR"/>
        </w:rPr>
        <w:t xml:space="preserve"> في </w:t>
      </w:r>
      <w:r w:rsidR="00744A1C" w:rsidRPr="00097CCA">
        <w:rPr>
          <w:rtl/>
        </w:rPr>
        <w:t>الوسائل والتهذيب والاستبصار</w:t>
      </w:r>
      <w:r w:rsidR="00744A1C">
        <w:rPr>
          <w:rtl/>
          <w:lang w:bidi="fa-IR"/>
        </w:rPr>
        <w:t xml:space="preserve"> : - « بن أيّوب ».</w:t>
      </w:r>
    </w:p>
    <w:p w:rsidR="00744A1C" w:rsidRDefault="00E378DD" w:rsidP="00E52546">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40 ، ح 117 ؛ </w:t>
      </w:r>
      <w:r w:rsidR="00744A1C" w:rsidRPr="00C24F9C">
        <w:rPr>
          <w:rStyle w:val="libFootnoteBoldChar"/>
          <w:rtl/>
        </w:rPr>
        <w:t>والاستبصار</w:t>
      </w:r>
      <w:r w:rsidR="00744A1C">
        <w:rPr>
          <w:rtl/>
          <w:lang w:bidi="fa-IR"/>
        </w:rPr>
        <w:t xml:space="preserve"> ، ج 2 ، ص 261 ، ح 921 ، معلّقاً عن الكليني. </w:t>
      </w:r>
      <w:r w:rsidR="00744A1C" w:rsidRPr="00C24F9C">
        <w:rPr>
          <w:rStyle w:val="libFootnoteBoldChar"/>
          <w:rtl/>
        </w:rPr>
        <w:t>الفقيه</w:t>
      </w:r>
      <w:r w:rsidR="00744A1C">
        <w:rPr>
          <w:rtl/>
          <w:lang w:bidi="fa-IR"/>
        </w:rPr>
        <w:t xml:space="preserve"> ، ج 2 ، ص 510 ، ح 3097 ، بسنده عن معاوية بن عمّار ، عن أبي عبدالله </w:t>
      </w:r>
      <w:r w:rsidR="0061079A" w:rsidRPr="0061079A">
        <w:rPr>
          <w:rStyle w:val="libFootnoteAlaemChar"/>
          <w:rtl/>
        </w:rPr>
        <w:t>عليه‌السلام</w:t>
      </w:r>
      <w:r w:rsidR="00744A1C">
        <w:rPr>
          <w:rtl/>
          <w:lang w:bidi="fa-IR"/>
        </w:rPr>
        <w:t xml:space="preserve"> . المقنعة ، ص 448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مع اختلاف يسير</w:t>
      </w:r>
      <w:r w:rsidR="00F50D96">
        <w:rPr>
          <w:rFonts w:hint="cs"/>
          <w:rtl/>
          <w:lang w:bidi="fa-IR"/>
        </w:rPr>
        <w:t>.</w:t>
      </w:r>
      <w:r w:rsidR="00744A1C" w:rsidRPr="00C24F9C">
        <w:rPr>
          <w:rStyle w:val="libFootnoteBoldChar"/>
          <w:rtl/>
        </w:rPr>
        <w:t>الوافي</w:t>
      </w:r>
      <w:r w:rsidR="00744A1C">
        <w:rPr>
          <w:rtl/>
          <w:lang w:bidi="fa-IR"/>
        </w:rPr>
        <w:t xml:space="preserve"> ، ج 14 ، ص 1179 ، ح 14038 ؛ </w:t>
      </w:r>
      <w:r w:rsidR="00744A1C" w:rsidRPr="00C24F9C">
        <w:rPr>
          <w:rStyle w:val="libFootnoteBoldChar"/>
          <w:rtl/>
        </w:rPr>
        <w:t>الوسائل</w:t>
      </w:r>
      <w:r w:rsidR="00744A1C">
        <w:rPr>
          <w:rtl/>
          <w:lang w:bidi="fa-IR"/>
        </w:rPr>
        <w:t xml:space="preserve"> ، ج 14 ، ص 187 ، ح 18945.</w:t>
      </w:r>
      <w:r w:rsidR="00E52546">
        <w:rPr>
          <w:rFonts w:hint="cs"/>
          <w:rtl/>
          <w:lang w:bidi="fa-IR"/>
        </w:rPr>
        <w:t xml:space="preserve">                         </w:t>
      </w:r>
      <w:r>
        <w:rPr>
          <w:rtl/>
          <w:lang w:bidi="fa-IR"/>
        </w:rPr>
        <w:t>(5).</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سأله ».</w:t>
      </w:r>
    </w:p>
    <w:p w:rsidR="00744A1C" w:rsidRDefault="00E378DD" w:rsidP="00E378DD">
      <w:pPr>
        <w:pStyle w:val="libFootnote0"/>
        <w:rPr>
          <w:lang w:bidi="fa-IR"/>
        </w:rPr>
      </w:pPr>
      <w:r>
        <w:rPr>
          <w:rtl/>
          <w:lang w:bidi="fa-IR"/>
        </w:rPr>
        <w:t>(6).</w:t>
      </w:r>
      <w:r w:rsidR="00744A1C">
        <w:rPr>
          <w:rtl/>
          <w:lang w:bidi="fa-IR"/>
        </w:rPr>
        <w:t xml:space="preserve"> في « جن » وحاشية « بح </w:t>
      </w:r>
      <w:r w:rsidR="00744A1C" w:rsidRPr="00097CCA">
        <w:rPr>
          <w:rtl/>
        </w:rPr>
        <w:t>» والوافي والوسائل والتهذيب والاستبصار</w:t>
      </w:r>
      <w:r w:rsidR="00744A1C">
        <w:rPr>
          <w:rtl/>
          <w:lang w:bidi="fa-IR"/>
        </w:rPr>
        <w:t xml:space="preserve"> : « تمتّع ». وفي « بث » : « متمتّع ».</w:t>
      </w:r>
    </w:p>
    <w:tbl>
      <w:tblPr>
        <w:tblStyle w:val="TableGrid"/>
        <w:bidiVisual/>
        <w:tblW w:w="0" w:type="auto"/>
        <w:tblLook w:val="04A0" w:firstRow="1" w:lastRow="0" w:firstColumn="1" w:lastColumn="0" w:noHBand="0" w:noVBand="1"/>
      </w:tblPr>
      <w:tblGrid>
        <w:gridCol w:w="4006"/>
        <w:gridCol w:w="4006"/>
      </w:tblGrid>
      <w:tr w:rsidR="006F0D2A" w:rsidTr="006F0D2A">
        <w:tc>
          <w:tcPr>
            <w:tcW w:w="4006" w:type="dxa"/>
          </w:tcPr>
          <w:p w:rsidR="006F0D2A" w:rsidRDefault="006F0D2A"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 إلى الحجّ ».</w:t>
            </w:r>
          </w:p>
        </w:tc>
        <w:tc>
          <w:tcPr>
            <w:tcW w:w="4006" w:type="dxa"/>
          </w:tcPr>
          <w:p w:rsidR="006F0D2A" w:rsidRDefault="006F0D2A" w:rsidP="00280916">
            <w:pPr>
              <w:pStyle w:val="libFootnote0"/>
              <w:rPr>
                <w:rtl/>
                <w:lang w:bidi="fa-IR"/>
              </w:rPr>
            </w:pPr>
            <w:r>
              <w:rPr>
                <w:rtl/>
                <w:lang w:bidi="fa-IR"/>
              </w:rPr>
              <w:t xml:space="preserve">(8).في </w:t>
            </w:r>
            <w:r w:rsidRPr="00280916">
              <w:rPr>
                <w:rtl/>
              </w:rPr>
              <w:t>الوسائل والتهذيب والاستبصار:«</w:t>
            </w:r>
            <w:r>
              <w:rPr>
                <w:rtl/>
                <w:lang w:bidi="fa-IR"/>
              </w:rPr>
              <w:t>في ذي الحجّة».</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877682">
        <w:rPr>
          <w:rStyle w:val="libFootnoteBoldChar"/>
          <w:rtl/>
        </w:rPr>
        <w:t>مرآة العقول</w:t>
      </w:r>
      <w:r w:rsidR="00744A1C">
        <w:rPr>
          <w:rtl/>
          <w:lang w:bidi="fa-IR"/>
        </w:rPr>
        <w:t xml:space="preserve"> ، ج 18 ، ص 199 : « ذهب أكثر المتأخّرين إلى وجوب قضاء الجميع ، وذهب الشيخ وجماعة </w:t>
      </w:r>
      <w:r w:rsidR="006C6209">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7933 / 14. مُحَمَّدُ بْنُ يَحْيى ، عَنْ مُحَمَّدِ بْنِ الْحُسَيْنِ ، عَنْ مُحَمَّدِ بْنِ عَبْدِ اللهِ بْنِ هِلَالٍ ، عَنْ </w:t>
      </w:r>
      <w:r w:rsidR="00585F11">
        <w:rPr>
          <w:rtl/>
          <w:lang w:bidi="fa-IR"/>
        </w:rPr>
        <w:t>عُقْبَةَ بْنِ خَالِدٍ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رَجُلٍ تَمَتَّعَ وَلَيْسَ مَعَهُ مَا يَشْتَرِي بِهِ هَدْياً ، فَلَمَّا أَنْ صَامَ ثَلَاثَةَ أَيَّامٍ فِي الْحَجِّ أَيْسَرَ </w:t>
      </w:r>
      <w:r w:rsidRPr="00D10E3C">
        <w:rPr>
          <w:rStyle w:val="libFootnotenumChar"/>
          <w:rtl/>
        </w:rPr>
        <w:t>(1)</w:t>
      </w:r>
      <w:r>
        <w:rPr>
          <w:rtl/>
          <w:lang w:bidi="fa-IR"/>
        </w:rPr>
        <w:t xml:space="preserve"> ، أَيَشْتَرِي هَدْياً فَيَنْحَرُهُ ، أَوْ يَدَعُ ذلِكَ وَيَصُومُ سَبْعَةَ أَيَّامٍ إِذَا رَجَعَ إِلى أَهْلِهِ؟</w:t>
      </w:r>
    </w:p>
    <w:p w:rsidR="00744A1C" w:rsidRDefault="00744A1C" w:rsidP="00744A1C">
      <w:pPr>
        <w:pStyle w:val="libNormal"/>
        <w:rPr>
          <w:lang w:bidi="fa-IR"/>
        </w:rPr>
      </w:pPr>
      <w:r>
        <w:rPr>
          <w:rtl/>
          <w:lang w:bidi="fa-IR"/>
        </w:rPr>
        <w:t xml:space="preserve">قَالَ : « يَشْتَرِي هَدْياً فَيَنْحَرُهُ ، وَيَكُونُ صِيَامُهُ الَّذِي صَامَهُ نَافِلَةً لَهُ </w:t>
      </w:r>
      <w:r w:rsidRPr="00D10E3C">
        <w:rPr>
          <w:rStyle w:val="libFootnotenumChar"/>
          <w:rtl/>
        </w:rPr>
        <w:t>(2)</w:t>
      </w:r>
      <w:r>
        <w:rPr>
          <w:rtl/>
          <w:lang w:bidi="fa-IR"/>
        </w:rPr>
        <w:t xml:space="preserve"> ». </w:t>
      </w:r>
      <w:r w:rsidRPr="00D10E3C">
        <w:rPr>
          <w:rStyle w:val="libFootnotenumChar"/>
          <w:rtl/>
        </w:rPr>
        <w:t>(3)</w:t>
      </w:r>
    </w:p>
    <w:p w:rsidR="00744A1C" w:rsidRDefault="00744A1C" w:rsidP="00744A1C">
      <w:pPr>
        <w:pStyle w:val="libNormal"/>
        <w:rPr>
          <w:lang w:bidi="fa-IR"/>
        </w:rPr>
      </w:pPr>
      <w:r>
        <w:rPr>
          <w:rtl/>
          <w:lang w:bidi="fa-IR"/>
        </w:rPr>
        <w:t xml:space="preserve">7934 / 15. عَلِيُّ بْنُ إِبْرَاهِيمَ ، عَنْ أَبِيهِ </w:t>
      </w:r>
      <w:r w:rsidRPr="00D10E3C">
        <w:rPr>
          <w:rStyle w:val="libFootnotenumChar"/>
          <w:rtl/>
        </w:rPr>
        <w:t>(4)</w:t>
      </w:r>
      <w:r w:rsidR="00496196">
        <w:rPr>
          <w:rtl/>
          <w:lang w:bidi="fa-IR"/>
        </w:rPr>
        <w:t xml:space="preserve"> :</w:t>
      </w:r>
    </w:p>
    <w:p w:rsidR="00744A1C" w:rsidRDefault="00744A1C" w:rsidP="00744A1C">
      <w:pPr>
        <w:pStyle w:val="libNormal"/>
        <w:rPr>
          <w:lang w:bidi="fa-IR"/>
        </w:rPr>
      </w:pPr>
      <w:r>
        <w:rPr>
          <w:rtl/>
          <w:lang w:bidi="fa-IR"/>
        </w:rPr>
        <w:t xml:space="preserve">رَفَعَهُ فِي قَوْلِهِ عَزَّ وَجَلَّ : ( فَمَنْ لَمْ يَجِدْ فَصِيامُ ثَلاثَةِ أَيّامٍ فِي الْحَجِّ وَسَبْعَةٍ إِذا رَجَعْتُمْ تِلْكَ عَشَرَةٌ كامِلَةٌ ) </w:t>
      </w:r>
      <w:r w:rsidRPr="00D10E3C">
        <w:rPr>
          <w:rStyle w:val="libFootnotenumChar"/>
          <w:rtl/>
        </w:rPr>
        <w:t>(5)</w:t>
      </w:r>
      <w:r>
        <w:rPr>
          <w:rtl/>
          <w:lang w:bidi="fa-IR"/>
        </w:rPr>
        <w:t xml:space="preserve"> قَالَ : « كَمَالُهَا كَمَالُ الْأُضْحِيَّةِ </w:t>
      </w:r>
      <w:r w:rsidRPr="00D10E3C">
        <w:rPr>
          <w:rStyle w:val="libFootnotenumChar"/>
          <w:rtl/>
        </w:rPr>
        <w:t>(6)</w:t>
      </w:r>
      <w:r>
        <w:rPr>
          <w:rtl/>
          <w:lang w:bidi="fa-IR"/>
        </w:rPr>
        <w:t xml:space="preserve">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0A04FC" w:rsidP="00D10E3C">
      <w:pPr>
        <w:pStyle w:val="libFootnote0"/>
        <w:rPr>
          <w:lang w:bidi="fa-IR"/>
        </w:rPr>
      </w:pPr>
      <w:r>
        <w:rPr>
          <w:rFonts w:hint="cs"/>
          <w:rtl/>
          <w:lang w:bidi="fa-IR"/>
        </w:rPr>
        <w:t xml:space="preserve">= </w:t>
      </w:r>
      <w:r w:rsidR="00744A1C">
        <w:rPr>
          <w:rtl/>
          <w:lang w:bidi="fa-IR"/>
        </w:rPr>
        <w:t xml:space="preserve">إلى وجوب قضاء الثلاثة فقط لهذا الخبر ، وحمل في المنتهى على ما إذا مات قبل التمكّن من الصيام ، وربّما ظهر من كلام الصدوق استحباب قضاء الثلاثة أيضاً وهو ضعيف ». وراجع : </w:t>
      </w:r>
      <w:r w:rsidR="00744A1C" w:rsidRPr="00877682">
        <w:rPr>
          <w:rStyle w:val="libFootnoteBoldChar"/>
          <w:rtl/>
        </w:rPr>
        <w:t>منتهى المطلب</w:t>
      </w:r>
      <w:r w:rsidR="00744A1C">
        <w:rPr>
          <w:rtl/>
          <w:lang w:bidi="fa-IR"/>
        </w:rPr>
        <w:t xml:space="preserve"> ، ص 746.</w:t>
      </w:r>
    </w:p>
    <w:p w:rsidR="00744A1C" w:rsidRDefault="00E378DD" w:rsidP="00740A56">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5 ، ص 40 ، ح 118 ؛ </w:t>
      </w:r>
      <w:r w:rsidR="00744A1C" w:rsidRPr="00C24F9C">
        <w:rPr>
          <w:rStyle w:val="libFootnoteBoldChar"/>
          <w:rtl/>
        </w:rPr>
        <w:t>والاستبصار</w:t>
      </w:r>
      <w:r w:rsidR="00744A1C">
        <w:rPr>
          <w:rtl/>
          <w:lang w:bidi="fa-IR"/>
        </w:rPr>
        <w:t xml:space="preserve"> ، ج 2 ، ص 261 ، ح 922 ، معلّقاً عن الكليني</w:t>
      </w:r>
      <w:r w:rsidR="00740A56">
        <w:rPr>
          <w:rFonts w:hint="cs"/>
          <w:rtl/>
          <w:lang w:bidi="fa-IR"/>
        </w:rPr>
        <w:t>.</w:t>
      </w:r>
      <w:r w:rsidR="00744A1C" w:rsidRPr="00C24F9C">
        <w:rPr>
          <w:rStyle w:val="libFootnoteBoldChar"/>
          <w:rtl/>
        </w:rPr>
        <w:t>الوافي</w:t>
      </w:r>
      <w:r w:rsidR="00744A1C">
        <w:rPr>
          <w:rtl/>
          <w:lang w:bidi="fa-IR"/>
        </w:rPr>
        <w:t xml:space="preserve"> ، ج 14 ، ص 1198 ، ح 14075 ؛ </w:t>
      </w:r>
      <w:r w:rsidR="00744A1C" w:rsidRPr="00C24F9C">
        <w:rPr>
          <w:rStyle w:val="libFootnoteBoldChar"/>
          <w:rtl/>
        </w:rPr>
        <w:t>الوسائل</w:t>
      </w:r>
      <w:r w:rsidR="00744A1C">
        <w:rPr>
          <w:rtl/>
          <w:lang w:bidi="fa-IR"/>
        </w:rPr>
        <w:t xml:space="preserve"> ، ج 14 ، ص 188 ، ح 18946.</w:t>
      </w:r>
    </w:p>
    <w:p w:rsidR="00744A1C" w:rsidRDefault="00D10E3C" w:rsidP="00D10E3C">
      <w:pPr>
        <w:pStyle w:val="libFootnote0"/>
        <w:rPr>
          <w:lang w:bidi="fa-IR"/>
        </w:rPr>
      </w:pPr>
      <w:r>
        <w:rPr>
          <w:rtl/>
          <w:lang w:bidi="fa-IR"/>
        </w:rPr>
        <w:t>(1).</w:t>
      </w:r>
      <w:r w:rsidR="00744A1C">
        <w:rPr>
          <w:rtl/>
          <w:lang w:bidi="fa-IR"/>
        </w:rPr>
        <w:t xml:space="preserve"> في « بخ ، جد » : - « أيسر ».</w:t>
      </w:r>
    </w:p>
    <w:p w:rsidR="00744A1C" w:rsidRDefault="00E378DD" w:rsidP="00E378DD">
      <w:pPr>
        <w:pStyle w:val="libFootnote0"/>
        <w:rPr>
          <w:lang w:bidi="fa-IR"/>
        </w:rPr>
      </w:pPr>
      <w:r>
        <w:rPr>
          <w:rtl/>
          <w:lang w:bidi="fa-IR"/>
        </w:rPr>
        <w:t>(2).</w:t>
      </w:r>
      <w:r w:rsidR="00744A1C">
        <w:rPr>
          <w:rtl/>
          <w:lang w:bidi="fa-IR"/>
        </w:rPr>
        <w:t xml:space="preserve"> قال الشيخ </w:t>
      </w:r>
      <w:r w:rsidR="00877682" w:rsidRPr="00877682">
        <w:rPr>
          <w:rStyle w:val="libFootnoteAlaemChar"/>
          <w:rtl/>
        </w:rPr>
        <w:t>رحمه‌الله</w:t>
      </w:r>
      <w:r w:rsidR="00744A1C">
        <w:rPr>
          <w:rtl/>
          <w:lang w:bidi="fa-IR"/>
        </w:rPr>
        <w:t xml:space="preserve">في </w:t>
      </w:r>
      <w:r w:rsidR="00744A1C" w:rsidRPr="00C24F9C">
        <w:rPr>
          <w:rStyle w:val="libFootnoteBoldChar"/>
          <w:rtl/>
        </w:rPr>
        <w:t>التهذيب</w:t>
      </w:r>
      <w:r w:rsidR="00744A1C">
        <w:rPr>
          <w:rtl/>
          <w:lang w:bidi="fa-IR"/>
        </w:rPr>
        <w:t xml:space="preserve"> بعد نقل هذا الخبر : « فهذا الخبر محمول على الاستحباب والندب ؛ لأنّ من أصاب ثمن الهدي بعد أن صام شيئاً فهو بالخيار ، إن شاء صام بقيّة ما عليه ، وإن شاء ذبح الهدي ، ومن لم يجد الهدي فإنّه يجب عليه صيام عشرة أيّام ؛ ثلاثة في الحجّ ، وسبعة إذا رجع إلى أهله ».</w:t>
      </w:r>
    </w:p>
    <w:p w:rsidR="00744A1C" w:rsidRDefault="00E378DD" w:rsidP="00024FC3">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38 ، ح 113 ؛ </w:t>
      </w:r>
      <w:r w:rsidR="00744A1C" w:rsidRPr="00C24F9C">
        <w:rPr>
          <w:rStyle w:val="libFootnoteBoldChar"/>
          <w:rtl/>
        </w:rPr>
        <w:t>والاستبصار</w:t>
      </w:r>
      <w:r w:rsidR="00744A1C">
        <w:rPr>
          <w:rtl/>
          <w:lang w:bidi="fa-IR"/>
        </w:rPr>
        <w:t xml:space="preserve"> ، ج 2 ، ص 261 ، ح 920 ، معلّقاً عن محمّد بن يحيى</w:t>
      </w:r>
      <w:r w:rsidR="00024FC3">
        <w:rPr>
          <w:rFonts w:hint="cs"/>
          <w:rtl/>
          <w:lang w:bidi="fa-IR"/>
        </w:rPr>
        <w:t>.</w:t>
      </w:r>
      <w:r w:rsidR="00744A1C" w:rsidRPr="00C24F9C">
        <w:rPr>
          <w:rStyle w:val="libFootnoteBoldChar"/>
          <w:rtl/>
        </w:rPr>
        <w:t>الوافي</w:t>
      </w:r>
      <w:r w:rsidR="00744A1C">
        <w:rPr>
          <w:rtl/>
          <w:lang w:bidi="fa-IR"/>
        </w:rPr>
        <w:t xml:space="preserve"> ، ج 14 ، ص 1177 ، ح 14032 ؛ </w:t>
      </w:r>
      <w:r w:rsidR="00744A1C" w:rsidRPr="00C24F9C">
        <w:rPr>
          <w:rStyle w:val="libFootnoteBoldChar"/>
          <w:rtl/>
        </w:rPr>
        <w:t>الوسائل</w:t>
      </w:r>
      <w:r w:rsidR="00744A1C">
        <w:rPr>
          <w:rtl/>
          <w:lang w:bidi="fa-IR"/>
        </w:rPr>
        <w:t xml:space="preserve"> ، ج 14 ، ص 178 ، ذيل ح 18918.</w:t>
      </w:r>
    </w:p>
    <w:tbl>
      <w:tblPr>
        <w:tblStyle w:val="TableGrid"/>
        <w:bidiVisual/>
        <w:tblW w:w="0" w:type="auto"/>
        <w:tblLook w:val="04A0" w:firstRow="1" w:lastRow="0" w:firstColumn="1" w:lastColumn="0" w:noHBand="0" w:noVBand="1"/>
      </w:tblPr>
      <w:tblGrid>
        <w:gridCol w:w="4006"/>
        <w:gridCol w:w="4006"/>
      </w:tblGrid>
      <w:tr w:rsidR="003C7C4A" w:rsidTr="003C7C4A">
        <w:tc>
          <w:tcPr>
            <w:tcW w:w="4006" w:type="dxa"/>
          </w:tcPr>
          <w:p w:rsidR="003C7C4A" w:rsidRDefault="003C7C4A" w:rsidP="00E378DD">
            <w:pPr>
              <w:pStyle w:val="libFootnote0"/>
              <w:rPr>
                <w:rtl/>
                <w:lang w:bidi="fa-IR"/>
              </w:rPr>
            </w:pPr>
            <w:r>
              <w:rPr>
                <w:rtl/>
                <w:lang w:bidi="fa-IR"/>
              </w:rPr>
              <w:t>(4). في « بخ » : - « عن أبيه ».</w:t>
            </w:r>
          </w:p>
        </w:tc>
        <w:tc>
          <w:tcPr>
            <w:tcW w:w="4006" w:type="dxa"/>
          </w:tcPr>
          <w:p w:rsidR="003C7C4A" w:rsidRDefault="003C7C4A" w:rsidP="00E378DD">
            <w:pPr>
              <w:pStyle w:val="libFootnote0"/>
              <w:rPr>
                <w:rtl/>
                <w:lang w:bidi="fa-IR"/>
              </w:rPr>
            </w:pPr>
            <w:r>
              <w:rPr>
                <w:rtl/>
                <w:lang w:bidi="fa-IR"/>
              </w:rPr>
              <w:t>(5). البقرة (2). : 196.</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يعني أنّها في البدليّة لانقص فيها ». وفي </w:t>
      </w:r>
      <w:r w:rsidR="00744A1C" w:rsidRPr="00C24F9C">
        <w:rPr>
          <w:rStyle w:val="libFootnoteBoldChar"/>
          <w:rtl/>
        </w:rPr>
        <w:t>المرآة</w:t>
      </w:r>
      <w:r w:rsidR="00744A1C">
        <w:rPr>
          <w:rtl/>
          <w:lang w:bidi="fa-IR"/>
        </w:rPr>
        <w:t xml:space="preserve"> : « أي ليس الغرض بيان أنّ الثلاثة والسبعة عشرة تامّة ؛ فإنّ هذا لا يحتاج إلى البيان ، بل الغرض أنّ تلك العشرة كاملة في بدليّة الهدي ، ولا ينقص ثوابها عن ثواب الهدي ، فذكر العشرة أيضاً لبيان هذا الوصف. وهذا أحسن ممّا قاله الأكثر من أنّ ذلك يدفع توهّم كون الواو بمعنى أو ، أو للتأكيد لئلاّ ينقص من عددها شي‌ء ».</w:t>
      </w:r>
    </w:p>
    <w:p w:rsidR="00744A1C" w:rsidRDefault="00E378DD" w:rsidP="0080128F">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40 ، ضمن ح 120 ، بسند آخر عن أبي عبدالله </w:t>
      </w:r>
      <w:r w:rsidR="00277C78" w:rsidRPr="00277C78">
        <w:rPr>
          <w:rStyle w:val="libFootnoteAlaemChar"/>
          <w:rtl/>
        </w:rPr>
        <w:t>عليه‌السلام</w:t>
      </w:r>
      <w:r w:rsidR="00277C78">
        <w:rPr>
          <w:rtl/>
          <w:lang w:bidi="fa-IR"/>
        </w:rPr>
        <w:t xml:space="preserve"> </w:t>
      </w:r>
      <w:r w:rsidR="00744A1C">
        <w:rPr>
          <w:rtl/>
          <w:lang w:bidi="fa-IR"/>
        </w:rPr>
        <w:t>، مع اختلاف يسير</w:t>
      </w:r>
      <w:r w:rsidR="0080128F">
        <w:rPr>
          <w:rFonts w:hint="cs"/>
          <w:rtl/>
          <w:lang w:bidi="fa-IR"/>
        </w:rPr>
        <w:t>.</w:t>
      </w:r>
      <w:r w:rsidR="00744A1C" w:rsidRPr="00C24F9C">
        <w:rPr>
          <w:rStyle w:val="libFootnoteBoldChar"/>
          <w:rtl/>
        </w:rPr>
        <w:t>الوافي</w:t>
      </w:r>
      <w:r w:rsidR="00744A1C">
        <w:rPr>
          <w:rtl/>
          <w:lang w:bidi="fa-IR"/>
        </w:rPr>
        <w:t xml:space="preserve"> ، ج 14 ، ص 1180 ، ح 14039 ؛ </w:t>
      </w:r>
      <w:r w:rsidR="00744A1C" w:rsidRPr="00C24F9C">
        <w:rPr>
          <w:rStyle w:val="libFootnoteBoldChar"/>
          <w:rtl/>
        </w:rPr>
        <w:t>الوسائل</w:t>
      </w:r>
      <w:r w:rsidR="00744A1C">
        <w:rPr>
          <w:rtl/>
          <w:lang w:bidi="fa-IR"/>
        </w:rPr>
        <w:t xml:space="preserve"> ، ج 14 ، ص 180 ، ح 18923.</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7935 / 16. بَعْضُ أَصْحَابِنَا ، عَنْ مُحَمَّدِ بْنِ الْحُسَيْنِ ، عَنْ أَحْمَدَ بْنِ عَ</w:t>
      </w:r>
      <w:r w:rsidR="00097CCA">
        <w:rPr>
          <w:rtl/>
          <w:lang w:bidi="fa-IR"/>
        </w:rPr>
        <w:t>بْدِ اللهِ الْكَرْخِيِّ ، قَالَ</w:t>
      </w:r>
      <w:r>
        <w:rPr>
          <w:rtl/>
          <w:lang w:bidi="fa-IR"/>
        </w:rPr>
        <w:t>:</w:t>
      </w:r>
    </w:p>
    <w:p w:rsidR="00744A1C" w:rsidRDefault="00744A1C" w:rsidP="00744A1C">
      <w:pPr>
        <w:pStyle w:val="libNormal"/>
        <w:rPr>
          <w:lang w:bidi="fa-IR"/>
        </w:rPr>
      </w:pPr>
      <w:r>
        <w:rPr>
          <w:rtl/>
          <w:lang w:bidi="fa-IR"/>
        </w:rPr>
        <w:t xml:space="preserve">قُلْتُ لِلرِّضَا </w:t>
      </w:r>
      <w:r w:rsidR="0061079A" w:rsidRPr="0061079A">
        <w:rPr>
          <w:rStyle w:val="libAlaemChar"/>
          <w:rtl/>
        </w:rPr>
        <w:t>عليه‌السلام</w:t>
      </w:r>
      <w:r w:rsidR="00D10E3C">
        <w:rPr>
          <w:rtl/>
          <w:lang w:bidi="fa-IR"/>
        </w:rPr>
        <w:t xml:space="preserve"> </w:t>
      </w:r>
      <w:r>
        <w:rPr>
          <w:rtl/>
          <w:lang w:bidi="fa-IR"/>
        </w:rPr>
        <w:t>: الْمُتَمَتِّعُ يَقْدَمُ وَلَيْسَ مَعَهُ هَدْيٌ ، أَيَصُومُ مَا لَمْ يَجِبْ عَلَيْهِ؟</w:t>
      </w:r>
    </w:p>
    <w:p w:rsidR="00744A1C" w:rsidRDefault="00744A1C" w:rsidP="00744A1C">
      <w:pPr>
        <w:pStyle w:val="libNormal"/>
        <w:rPr>
          <w:lang w:bidi="fa-IR"/>
        </w:rPr>
      </w:pPr>
      <w:r>
        <w:rPr>
          <w:rtl/>
          <w:lang w:bidi="fa-IR"/>
        </w:rPr>
        <w:t xml:space="preserve">قَالَ : « يَصْبِرُ </w:t>
      </w:r>
      <w:r w:rsidRPr="00D10E3C">
        <w:rPr>
          <w:rStyle w:val="libFootnotenumChar"/>
          <w:rtl/>
        </w:rPr>
        <w:t>(1)</w:t>
      </w:r>
      <w:r>
        <w:rPr>
          <w:rtl/>
          <w:lang w:bidi="fa-IR"/>
        </w:rPr>
        <w:t xml:space="preserve"> إِلى يَوْمِ النَّحْرِ ، فَإِنْ لَمْ يُصِبْ </w:t>
      </w:r>
      <w:r w:rsidRPr="00D10E3C">
        <w:rPr>
          <w:rStyle w:val="libFootnotenumChar"/>
          <w:rtl/>
        </w:rPr>
        <w:t>(2)</w:t>
      </w:r>
      <w:r>
        <w:rPr>
          <w:rtl/>
          <w:lang w:bidi="fa-IR"/>
        </w:rPr>
        <w:t xml:space="preserve"> فَهُوَ مِمَّنْ لَمْ يَجِدْ </w:t>
      </w:r>
      <w:r w:rsidRPr="00D10E3C">
        <w:rPr>
          <w:rStyle w:val="libFootnotenumChar"/>
          <w:rtl/>
        </w:rPr>
        <w:t>(3)</w:t>
      </w:r>
      <w:r>
        <w:rPr>
          <w:rtl/>
          <w:lang w:bidi="fa-IR"/>
        </w:rPr>
        <w:t xml:space="preserve"> ». </w:t>
      </w:r>
      <w:r w:rsidRPr="00D10E3C">
        <w:rPr>
          <w:rStyle w:val="libFootnotenumChar"/>
          <w:rtl/>
        </w:rPr>
        <w:t>(4)</w:t>
      </w:r>
    </w:p>
    <w:p w:rsidR="00744A1C" w:rsidRDefault="00744A1C" w:rsidP="00B12AFF">
      <w:pPr>
        <w:pStyle w:val="Heading2Center"/>
        <w:rPr>
          <w:lang w:bidi="fa-IR"/>
        </w:rPr>
      </w:pPr>
      <w:bookmarkStart w:id="37" w:name="_Toc49261335"/>
      <w:r>
        <w:rPr>
          <w:rtl/>
          <w:lang w:bidi="fa-IR"/>
        </w:rPr>
        <w:t>192 - بَابُ الزِّيَارَةِ وَالْغُسْلِ فِيهَا‌</w:t>
      </w:r>
      <w:bookmarkEnd w:id="37"/>
    </w:p>
    <w:p w:rsidR="00144FA6" w:rsidRDefault="00744A1C" w:rsidP="00744A1C">
      <w:pPr>
        <w:pStyle w:val="libNormal"/>
        <w:rPr>
          <w:rtl/>
          <w:lang w:bidi="fa-IR"/>
        </w:rPr>
      </w:pPr>
      <w:r>
        <w:rPr>
          <w:rtl/>
          <w:lang w:bidi="fa-IR"/>
        </w:rPr>
        <w:t>7936 / 1. الْحُسَيْنُ بْنُ مُحَمَّدٍ ، عَنْ مُعَلَّى بْنِ مُحَمَّدٍ ، عَنِ الْحَسَنِ بْنِ عَلِيٍّ الْوَشَّاءِ ، عَنْ أَحْمَدَ بْنِ عَائِذٍ ، عَنِ الْحُسَيْنِ بْنِ أَبِي الْعَلَاءِ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الْغُسْلِ إِذَا زَارَ الْبَيْتَ مِنْ مِنًى؟</w:t>
      </w:r>
    </w:p>
    <w:p w:rsidR="00744A1C" w:rsidRDefault="00744A1C" w:rsidP="00744A1C">
      <w:pPr>
        <w:pStyle w:val="libNormal"/>
        <w:rPr>
          <w:lang w:bidi="fa-IR"/>
        </w:rPr>
      </w:pPr>
      <w:r>
        <w:rPr>
          <w:rtl/>
          <w:lang w:bidi="fa-IR"/>
        </w:rPr>
        <w:t xml:space="preserve">فَقَالَ : « أَنَا أَغْتَسِلُ مِنْ مِنًى ، ثُمَّ أَزُورُ الْبَيْتَ ». </w:t>
      </w:r>
      <w:r w:rsidRPr="00D10E3C">
        <w:rPr>
          <w:rStyle w:val="libFootnotenumChar"/>
          <w:rtl/>
        </w:rPr>
        <w:t>(5)</w:t>
      </w:r>
    </w:p>
    <w:p w:rsidR="00744A1C" w:rsidRDefault="00744A1C" w:rsidP="00744A1C">
      <w:pPr>
        <w:pStyle w:val="libNormal"/>
        <w:rPr>
          <w:lang w:bidi="fa-IR"/>
        </w:rPr>
      </w:pPr>
      <w:r>
        <w:rPr>
          <w:rtl/>
          <w:lang w:bidi="fa-IR"/>
        </w:rPr>
        <w:t>7937 / 2. أَبُو عَلِيٍّ الْأَشْعَرِيُّ ، عَنْ مُحَمَّدِ بْنِ عَبْدِ الْجَبَّارِ ، عَنْ صَفْوَانَ ، عَنْ إِ</w:t>
      </w:r>
      <w:r w:rsidR="0009090A">
        <w:rPr>
          <w:rtl/>
          <w:lang w:bidi="fa-IR"/>
        </w:rPr>
        <w:t>سْحَاقَ بْنِ عَمَّارٍ ، قَالَ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 xml:space="preserve">عَنْ غُسْلِ الزِّيَارَةِ يَغْتَسِلُ الرَّجُلُ بِاللَّيْلِ </w:t>
      </w:r>
      <w:r w:rsidRPr="00D10E3C">
        <w:rPr>
          <w:rStyle w:val="libFootnotenumChar"/>
          <w:rtl/>
        </w:rPr>
        <w:t>(6)</w:t>
      </w:r>
      <w:r>
        <w:rPr>
          <w:rtl/>
          <w:lang w:bidi="fa-IR"/>
        </w:rPr>
        <w:t xml:space="preserve"> ، وَيَزُورُ فِي اللَّيْلِ </w:t>
      </w:r>
      <w:r w:rsidRPr="00D10E3C">
        <w:rPr>
          <w:rStyle w:val="libFootnotenumChar"/>
          <w:rtl/>
        </w:rPr>
        <w:t>(7)</w:t>
      </w:r>
      <w:r>
        <w:rPr>
          <w:rtl/>
          <w:lang w:bidi="fa-IR"/>
        </w:rPr>
        <w:t xml:space="preserve"> بِغُسْلٍ وَاحِدٍ ، أَيُجْزِئُهُ ذلِكَ؟</w:t>
      </w:r>
    </w:p>
    <w:p w:rsidR="00744A1C" w:rsidRDefault="00744A1C" w:rsidP="00744A1C">
      <w:pPr>
        <w:pStyle w:val="libNormal"/>
        <w:rPr>
          <w:lang w:bidi="fa-IR"/>
        </w:rPr>
      </w:pPr>
      <w:r>
        <w:rPr>
          <w:rtl/>
          <w:lang w:bidi="fa-IR"/>
        </w:rPr>
        <w:t xml:space="preserve">قَالَ : « يُجْزِئُهُ مَا لَمْ يُحْدِثْ مَا يُوجِبُ </w:t>
      </w:r>
      <w:r w:rsidRPr="00D10E3C">
        <w:rPr>
          <w:rStyle w:val="libFootnotenumChar"/>
          <w:rtl/>
        </w:rPr>
        <w:t>(8)</w:t>
      </w:r>
      <w:r>
        <w:rPr>
          <w:rtl/>
          <w:lang w:bidi="fa-IR"/>
        </w:rPr>
        <w:t xml:space="preserve"> وُضُوءاً </w:t>
      </w:r>
      <w:r w:rsidRPr="00D10E3C">
        <w:rPr>
          <w:rStyle w:val="libFootnotenumChar"/>
          <w:rtl/>
        </w:rPr>
        <w:t>(9)</w:t>
      </w:r>
      <w:r>
        <w:rPr>
          <w:rtl/>
          <w:lang w:bidi="fa-IR"/>
        </w:rPr>
        <w:t xml:space="preserve"> ، فَإِنْ أَحْدَثَ فَلْيُعِدْ غُسْلَهُ‌</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345E30" w:rsidTr="00345E30">
        <w:tc>
          <w:tcPr>
            <w:tcW w:w="4006" w:type="dxa"/>
          </w:tcPr>
          <w:p w:rsidR="00345E30" w:rsidRDefault="00345E30" w:rsidP="00D10E3C">
            <w:pPr>
              <w:pStyle w:val="libFootnote0"/>
              <w:rPr>
                <w:rtl/>
                <w:lang w:bidi="fa-IR"/>
              </w:rPr>
            </w:pPr>
            <w:r>
              <w:rPr>
                <w:rtl/>
                <w:lang w:bidi="fa-IR"/>
              </w:rPr>
              <w:t>(1). في « جن » : + « عليه ».</w:t>
            </w:r>
          </w:p>
        </w:tc>
        <w:tc>
          <w:tcPr>
            <w:tcW w:w="4006" w:type="dxa"/>
          </w:tcPr>
          <w:p w:rsidR="00345E30" w:rsidRDefault="00345E30" w:rsidP="00D10E3C">
            <w:pPr>
              <w:pStyle w:val="libFootnote0"/>
              <w:rPr>
                <w:rtl/>
                <w:lang w:bidi="fa-IR"/>
              </w:rPr>
            </w:pPr>
            <w:r>
              <w:rPr>
                <w:rtl/>
                <w:lang w:bidi="fa-IR"/>
              </w:rPr>
              <w:t>(2). في « بث ، بح » : « لم يجد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ينبغي حمله على ما إذا توقّع حصوله ، وما يأتي من جواز تقديم الصيام على ما إذا لم يتوقّع ». وفي </w:t>
      </w:r>
      <w:r w:rsidR="00744A1C" w:rsidRPr="00C24F9C">
        <w:rPr>
          <w:rStyle w:val="libFootnoteBoldChar"/>
          <w:rtl/>
        </w:rPr>
        <w:t>المرآة</w:t>
      </w:r>
      <w:r w:rsidR="00744A1C">
        <w:rPr>
          <w:rtl/>
          <w:lang w:bidi="fa-IR"/>
        </w:rPr>
        <w:t xml:space="preserve"> : « ولا يبعد حمله على التقيّة أيضاً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14 ، ص 1174 ، ح 14024 ؛ </w:t>
      </w:r>
      <w:r w:rsidR="00744A1C" w:rsidRPr="00C24F9C">
        <w:rPr>
          <w:rStyle w:val="libFootnoteBoldChar"/>
          <w:rtl/>
        </w:rPr>
        <w:t>الوسائل</w:t>
      </w:r>
      <w:r w:rsidR="00744A1C">
        <w:rPr>
          <w:rtl/>
          <w:lang w:bidi="fa-IR"/>
        </w:rPr>
        <w:t xml:space="preserve"> ، ج 14 ، ص 180 ، ح 18924 ؛ وص 199 ، ح 18976.</w:t>
      </w:r>
    </w:p>
    <w:p w:rsidR="00744A1C" w:rsidRDefault="00E378DD" w:rsidP="005D4CB1">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250 ، ح 849 ، بسنده عن حسين بن أبي العلاء</w:t>
      </w:r>
      <w:r w:rsidR="003D7AB6">
        <w:rPr>
          <w:rFonts w:hint="cs"/>
          <w:rtl/>
          <w:lang w:bidi="fa-IR"/>
        </w:rPr>
        <w:t>.</w:t>
      </w:r>
      <w:r w:rsidR="00744A1C" w:rsidRPr="00C24F9C">
        <w:rPr>
          <w:rStyle w:val="libFootnoteBoldChar"/>
          <w:rtl/>
        </w:rPr>
        <w:t>الوافي</w:t>
      </w:r>
      <w:r w:rsidR="00744A1C">
        <w:rPr>
          <w:rtl/>
          <w:lang w:bidi="fa-IR"/>
        </w:rPr>
        <w:t xml:space="preserve"> ، ج 14 ، ص 1224 ، ح 14143؛</w:t>
      </w:r>
      <w:r w:rsidR="00744A1C" w:rsidRPr="00C24F9C">
        <w:rPr>
          <w:rStyle w:val="libFootnoteBoldChar"/>
          <w:rtl/>
        </w:rPr>
        <w:t>الوسائل</w:t>
      </w:r>
      <w:r w:rsidR="00744A1C">
        <w:rPr>
          <w:rtl/>
          <w:lang w:bidi="fa-IR"/>
        </w:rPr>
        <w:t>،ج14،ص248،ذيل</w:t>
      </w:r>
      <w:r w:rsidR="005D4CB1">
        <w:rPr>
          <w:rFonts w:hint="cs"/>
          <w:rtl/>
          <w:lang w:bidi="fa-IR"/>
        </w:rPr>
        <w:t xml:space="preserve"> </w:t>
      </w:r>
      <w:r w:rsidR="00744A1C">
        <w:rPr>
          <w:rtl/>
          <w:lang w:bidi="fa-IR"/>
        </w:rPr>
        <w:t>ح 19113.</w:t>
      </w:r>
      <w:r w:rsidR="005D4CB1">
        <w:rPr>
          <w:rFonts w:hint="cs"/>
          <w:rtl/>
          <w:lang w:bidi="fa-IR"/>
        </w:rPr>
        <w:t xml:space="preserve">   </w:t>
      </w: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:«بالنهار»بدل«الرجل بالليل».</w:t>
      </w:r>
    </w:p>
    <w:tbl>
      <w:tblPr>
        <w:tblStyle w:val="TableGrid"/>
        <w:bidiVisual/>
        <w:tblW w:w="0" w:type="auto"/>
        <w:tblLook w:val="04A0" w:firstRow="1" w:lastRow="0" w:firstColumn="1" w:lastColumn="0" w:noHBand="0" w:noVBand="1"/>
      </w:tblPr>
      <w:tblGrid>
        <w:gridCol w:w="4006"/>
        <w:gridCol w:w="4006"/>
      </w:tblGrid>
      <w:tr w:rsidR="009A4241" w:rsidTr="009A4241">
        <w:tc>
          <w:tcPr>
            <w:tcW w:w="4006" w:type="dxa"/>
          </w:tcPr>
          <w:p w:rsidR="009A4241" w:rsidRDefault="009A4241"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 بالليل ».</w:t>
            </w:r>
          </w:p>
        </w:tc>
        <w:tc>
          <w:tcPr>
            <w:tcW w:w="4006" w:type="dxa"/>
          </w:tcPr>
          <w:p w:rsidR="009A4241" w:rsidRDefault="00B2373B" w:rsidP="00E378DD">
            <w:pPr>
              <w:pStyle w:val="libFootnote0"/>
              <w:rPr>
                <w:rtl/>
                <w:lang w:bidi="fa-IR"/>
              </w:rPr>
            </w:pPr>
            <w:r>
              <w:rPr>
                <w:rtl/>
                <w:lang w:bidi="fa-IR"/>
              </w:rPr>
              <w:t>(8). في «ى،بث،بح،بخ،بس،جد،جن»:-«ما يوجب».</w:t>
            </w:r>
          </w:p>
        </w:tc>
      </w:tr>
    </w:tbl>
    <w:p w:rsidR="00744A1C" w:rsidRDefault="00E378DD" w:rsidP="00E378DD">
      <w:pPr>
        <w:pStyle w:val="libFootnote0"/>
        <w:rPr>
          <w:lang w:bidi="fa-IR"/>
        </w:rPr>
      </w:pPr>
      <w:r>
        <w:rPr>
          <w:rtl/>
          <w:lang w:bidi="fa-IR"/>
        </w:rPr>
        <w:t>(9).</w:t>
      </w:r>
      <w:r w:rsidR="00744A1C">
        <w:rPr>
          <w:rtl/>
          <w:lang w:bidi="fa-IR"/>
        </w:rPr>
        <w:t xml:space="preserve"> في « بح » : « الوضوء ».</w:t>
      </w:r>
    </w:p>
    <w:p w:rsidR="00150943" w:rsidRDefault="00150943" w:rsidP="00D10E3C">
      <w:pPr>
        <w:pStyle w:val="libNormal"/>
        <w:rPr>
          <w:rtl/>
          <w:lang w:bidi="fa-IR"/>
        </w:rPr>
      </w:pPr>
      <w:r>
        <w:rPr>
          <w:rtl/>
          <w:lang w:bidi="fa-IR"/>
        </w:rPr>
        <w:br w:type="page"/>
      </w:r>
    </w:p>
    <w:p w:rsidR="00144FA6" w:rsidRDefault="00744A1C" w:rsidP="00097CCA">
      <w:pPr>
        <w:pStyle w:val="libNormal0"/>
        <w:rPr>
          <w:rtl/>
          <w:lang w:bidi="fa-IR"/>
        </w:rPr>
      </w:pPr>
      <w:r>
        <w:rPr>
          <w:rtl/>
          <w:lang w:bidi="fa-IR"/>
        </w:rPr>
        <w:lastRenderedPageBreak/>
        <w:t xml:space="preserve">بِاللَّيْلِ </w:t>
      </w:r>
      <w:r w:rsidRPr="00D10E3C">
        <w:rPr>
          <w:rStyle w:val="libFootnotenumChar"/>
          <w:rtl/>
        </w:rPr>
        <w:t>(1)</w:t>
      </w:r>
      <w:r>
        <w:rPr>
          <w:rtl/>
          <w:lang w:bidi="fa-IR"/>
        </w:rPr>
        <w:t xml:space="preserve"> ». </w:t>
      </w:r>
      <w:r w:rsidRPr="00D10E3C">
        <w:rPr>
          <w:rStyle w:val="libFootnotenumChar"/>
          <w:rtl/>
        </w:rPr>
        <w:t>(2)</w:t>
      </w:r>
    </w:p>
    <w:p w:rsidR="00744A1C" w:rsidRDefault="00744A1C" w:rsidP="00744A1C">
      <w:pPr>
        <w:pStyle w:val="libNormal"/>
        <w:rPr>
          <w:lang w:bidi="fa-IR"/>
        </w:rPr>
      </w:pPr>
      <w:r>
        <w:rPr>
          <w:rtl/>
          <w:lang w:bidi="fa-IR"/>
        </w:rPr>
        <w:t>7938 / 3. عَلِيُّ بْنُ إِبْرَاهِيمَ ، عَنْ أَبِيهِ ، عَنِ ابْنِ أَبِي عُمَيْرٍ ، عَنْ</w:t>
      </w:r>
      <w:r w:rsidR="00A30C8C">
        <w:rPr>
          <w:rtl/>
          <w:lang w:bidi="fa-IR"/>
        </w:rPr>
        <w:t xml:space="preserve"> حَمَّادٍ ، عَنِ الْحَلَبِيِّ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يَنْبَغِي لِلْمُتَمَتِّعِ أَنْ يَزُورَ الْبَيْتَ يَوْمَ النَّحْرِ أَوْ مِنْ لَيْلَتِهِ ، وَلَايُؤَخِّرَ ذلِكَ </w:t>
      </w:r>
      <w:r w:rsidRPr="00D10E3C">
        <w:rPr>
          <w:rStyle w:val="libFootnotenumChar"/>
          <w:rtl/>
        </w:rPr>
        <w:t>(3)</w:t>
      </w:r>
      <w:r>
        <w:rPr>
          <w:rtl/>
          <w:lang w:bidi="fa-IR"/>
        </w:rPr>
        <w:t xml:space="preserve"> ». </w:t>
      </w:r>
      <w:r w:rsidRPr="00D10E3C">
        <w:rPr>
          <w:rStyle w:val="libFootnotenumChar"/>
          <w:rtl/>
        </w:rPr>
        <w:t>(4)</w:t>
      </w:r>
    </w:p>
    <w:p w:rsidR="00882188" w:rsidRDefault="00744A1C" w:rsidP="00882188">
      <w:pPr>
        <w:pStyle w:val="libNormal"/>
        <w:rPr>
          <w:rtl/>
          <w:lang w:bidi="fa-IR"/>
        </w:rPr>
      </w:pPr>
      <w:r>
        <w:rPr>
          <w:rtl/>
          <w:lang w:bidi="fa-IR"/>
        </w:rPr>
        <w:t>7939 / 4. عَلِيُّ بْنُ إِبْرَاهِيمَ ، عَنْ أَبِيهِ ؛</w:t>
      </w:r>
    </w:p>
    <w:p w:rsidR="00744A1C" w:rsidRDefault="00882188" w:rsidP="00882188">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(5)</w:t>
      </w:r>
      <w:r w:rsidR="00744A1C">
        <w:rPr>
          <w:rtl/>
          <w:lang w:bidi="fa-IR"/>
        </w:rPr>
        <w:t xml:space="preserve"> مُحَمَّدُ بْنُ إِسْمَاعِيلَ ، عَنِ الْفَضْلِ بْنِ شَاذَانَ </w:t>
      </w:r>
      <w:r w:rsidR="00744A1C" w:rsidRPr="00D10E3C">
        <w:rPr>
          <w:rStyle w:val="libFootnotenumChar"/>
          <w:rtl/>
        </w:rPr>
        <w:t>(6)</w:t>
      </w:r>
      <w:r w:rsidR="00744A1C">
        <w:rPr>
          <w:rtl/>
          <w:lang w:bidi="fa-IR"/>
        </w:rPr>
        <w:t xml:space="preserve"> ، عَنِ ابْنِ أَبِي عُمَيْرٍ وَصَفْوَانَ بْنِ يَحْيى </w:t>
      </w:r>
      <w:r w:rsidR="00744A1C" w:rsidRPr="00D10E3C">
        <w:rPr>
          <w:rStyle w:val="libFootnotenumChar"/>
          <w:rtl/>
        </w:rPr>
        <w:t>(7)</w:t>
      </w:r>
      <w:r w:rsidR="00744A1C">
        <w:rPr>
          <w:rtl/>
          <w:lang w:bidi="fa-IR"/>
        </w:rPr>
        <w:t xml:space="preserve"> ، ع</w:t>
      </w:r>
      <w:r w:rsidR="006C0AED">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فِي زِيَارَةِ الْبَيْتِ يَوْمَ النَّحْرِ ، قَالَ : « زُرْهُ ، فَإِنْ شُغِلْتَ فَلَا يَضُرُّكَ أَنْ تَزُورَ الْبَيْتَ مِنَ الْغَدِ ، وَلَا</w:t>
      </w:r>
      <w:r w:rsidR="00590D10">
        <w:rPr>
          <w:rFonts w:hint="cs"/>
          <w:rtl/>
          <w:lang w:bidi="fa-IR"/>
        </w:rPr>
        <w:t xml:space="preserve"> </w:t>
      </w:r>
      <w:r>
        <w:rPr>
          <w:rtl/>
          <w:lang w:bidi="fa-IR"/>
        </w:rPr>
        <w:t xml:space="preserve">تُؤَخِّرْ </w:t>
      </w:r>
      <w:r w:rsidRPr="00D10E3C">
        <w:rPr>
          <w:rStyle w:val="libFootnotenumChar"/>
          <w:rtl/>
        </w:rPr>
        <w:t>(8)</w:t>
      </w:r>
      <w:r>
        <w:rPr>
          <w:rtl/>
          <w:lang w:bidi="fa-IR"/>
        </w:rPr>
        <w:t xml:space="preserve"> أَنْ تَزُورَ مِنْ يَوْمِكَ ، فَإِنَّهُ يُكْرَهُ لِلْمُتَمَتِّعِ أَنْ‌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200 : « يدلّ على استحباب إعادة الغسل بعد الحدث الموجب للوضوء ، ولعلّه محمول على الفضل والاستحباب ، وقد مرّ من الأخبار ما يرشد إلى ذلك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251 ، ح 850 ، بسنده عن إسحاق بن عمّار </w:t>
      </w:r>
      <w:r w:rsidR="00744A1C" w:rsidRPr="00C24F9C">
        <w:rPr>
          <w:rStyle w:val="libFootnoteBoldChar"/>
          <w:rtl/>
        </w:rPr>
        <w:t>الوافي</w:t>
      </w:r>
      <w:r w:rsidR="00744A1C">
        <w:rPr>
          <w:rtl/>
          <w:lang w:bidi="fa-IR"/>
        </w:rPr>
        <w:t xml:space="preserve"> ، ج 14 ، ص 1224 ، ح 14144 ؛ </w:t>
      </w:r>
      <w:r w:rsidR="00744A1C" w:rsidRPr="00C24F9C">
        <w:rPr>
          <w:rStyle w:val="libFootnoteBoldChar"/>
          <w:rtl/>
        </w:rPr>
        <w:t>الوسائل</w:t>
      </w:r>
      <w:r w:rsidR="00744A1C">
        <w:rPr>
          <w:rtl/>
          <w:lang w:bidi="fa-IR"/>
        </w:rPr>
        <w:t xml:space="preserve"> ، ج 14 ، ص 248 ، ح 19115.</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ظاهره كراهة التأخير ، تأخير طواف الزيارة عن يوم النحر والليلة التي بعده ، والمشهور جواز التأخير لليوم الذي بعد النحر ، واختلف في جواز تأخيره عن اليوم الثاني للمتمتّع اختياراً ، والمشهور جواز تأخيره طول ذي الحجّة ، ولا خلاف في جواز التأخير للقارن والمفرد ».</w:t>
      </w:r>
    </w:p>
    <w:p w:rsidR="00744A1C" w:rsidRDefault="00E378DD" w:rsidP="00590D10">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249 ، ح 843 ؛ </w:t>
      </w:r>
      <w:r w:rsidR="00744A1C" w:rsidRPr="00C24F9C">
        <w:rPr>
          <w:rStyle w:val="libFootnoteBoldChar"/>
          <w:rtl/>
        </w:rPr>
        <w:t>والاستبصار</w:t>
      </w:r>
      <w:r w:rsidR="00744A1C">
        <w:rPr>
          <w:rtl/>
          <w:lang w:bidi="fa-IR"/>
        </w:rPr>
        <w:t xml:space="preserve"> ، ج 2 ، ص 291 ، ح 1032 ، بسندهما عن حمّاد بن عيسى ، عن عمران الحلبي. وفي </w:t>
      </w:r>
      <w:r w:rsidR="00744A1C" w:rsidRPr="00C24F9C">
        <w:rPr>
          <w:rStyle w:val="libFootnoteBoldChar"/>
          <w:rtl/>
        </w:rPr>
        <w:t>التهذيب</w:t>
      </w:r>
      <w:r w:rsidR="00744A1C">
        <w:rPr>
          <w:rtl/>
          <w:lang w:bidi="fa-IR"/>
        </w:rPr>
        <w:t xml:space="preserve"> ، ج 5 ، ص 249 ، ح 842 ؛ </w:t>
      </w:r>
      <w:r w:rsidR="00744A1C" w:rsidRPr="00C24F9C">
        <w:rPr>
          <w:rStyle w:val="libFootnoteBoldChar"/>
          <w:rtl/>
        </w:rPr>
        <w:t>والاستبصار</w:t>
      </w:r>
      <w:r w:rsidR="00744A1C">
        <w:rPr>
          <w:rtl/>
          <w:lang w:bidi="fa-IR"/>
        </w:rPr>
        <w:t xml:space="preserve"> ، ج 2 ، ص 290 ، ح 1031 ، بسند آخر ، وتمام الرواية : « لايبيت المتمتّع يوم النحر بمنى حتّى يزور البيت ». وفي </w:t>
      </w:r>
      <w:r w:rsidR="00744A1C" w:rsidRPr="00C24F9C">
        <w:rPr>
          <w:rStyle w:val="libFootnoteBoldChar"/>
          <w:rtl/>
        </w:rPr>
        <w:t>التهذيب</w:t>
      </w:r>
      <w:r w:rsidR="00744A1C">
        <w:rPr>
          <w:rtl/>
          <w:lang w:bidi="fa-IR"/>
        </w:rPr>
        <w:t xml:space="preserve"> ، ج 5 ، ص 249 ، ح 844 ؛ </w:t>
      </w:r>
      <w:r w:rsidR="00744A1C" w:rsidRPr="00C24F9C">
        <w:rPr>
          <w:rStyle w:val="libFootnoteBoldChar"/>
          <w:rtl/>
        </w:rPr>
        <w:t>والاستبصار</w:t>
      </w:r>
      <w:r w:rsidR="00744A1C">
        <w:rPr>
          <w:rtl/>
          <w:lang w:bidi="fa-IR"/>
        </w:rPr>
        <w:t xml:space="preserve"> ، ج 2 ، ص 291 ، ح 1036 ، بسند آخر ، مع اختلاف يسير وزيادة في آخره. وفي </w:t>
      </w:r>
      <w:r w:rsidR="00744A1C" w:rsidRPr="00C24F9C">
        <w:rPr>
          <w:rStyle w:val="libFootnoteBoldChar"/>
          <w:rtl/>
        </w:rPr>
        <w:t>التهذيب</w:t>
      </w:r>
      <w:r w:rsidR="00744A1C">
        <w:rPr>
          <w:rtl/>
          <w:lang w:bidi="fa-IR"/>
        </w:rPr>
        <w:t xml:space="preserve"> ، ج 5 ، ص 249 ، ح 841 ؛ </w:t>
      </w:r>
      <w:r w:rsidR="00744A1C" w:rsidRPr="00C24F9C">
        <w:rPr>
          <w:rStyle w:val="libFootnoteBoldChar"/>
          <w:rtl/>
        </w:rPr>
        <w:t>والاستبصار</w:t>
      </w:r>
      <w:r w:rsidR="00744A1C">
        <w:rPr>
          <w:rtl/>
          <w:lang w:bidi="fa-IR"/>
        </w:rPr>
        <w:t xml:space="preserve"> ، ج 2 ، ص 290 ، ح 1030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إلى قوله : « يوم النحر » مع اختلاف يسير</w:t>
      </w:r>
      <w:r w:rsidR="00590D10">
        <w:rPr>
          <w:rFonts w:hint="cs"/>
          <w:rtl/>
          <w:lang w:bidi="fa-IR"/>
        </w:rPr>
        <w:t>.</w:t>
      </w:r>
      <w:r w:rsidR="00744A1C" w:rsidRPr="00C24F9C">
        <w:rPr>
          <w:rStyle w:val="libFootnoteBoldChar"/>
          <w:rtl/>
        </w:rPr>
        <w:t>الوافي</w:t>
      </w:r>
      <w:r w:rsidR="00744A1C">
        <w:rPr>
          <w:rtl/>
          <w:lang w:bidi="fa-IR"/>
        </w:rPr>
        <w:t xml:space="preserve"> ، ج 14 ، ص 1221 ، ح 14133 ؛ </w:t>
      </w:r>
      <w:r w:rsidR="00744A1C" w:rsidRPr="00C24F9C">
        <w:rPr>
          <w:rStyle w:val="libFootnoteBoldChar"/>
          <w:rtl/>
        </w:rPr>
        <w:t>الوسائل</w:t>
      </w:r>
      <w:r w:rsidR="00744A1C">
        <w:rPr>
          <w:rtl/>
          <w:lang w:bidi="fa-IR"/>
        </w:rPr>
        <w:t xml:space="preserve"> ، ج 14 ، ص 245 ، ذيل ح 19105.</w:t>
      </w:r>
    </w:p>
    <w:p w:rsidR="00744A1C" w:rsidRDefault="00E378DD" w:rsidP="00E378DD">
      <w:pPr>
        <w:pStyle w:val="libFootnote0"/>
        <w:rPr>
          <w:lang w:bidi="fa-IR"/>
        </w:rPr>
      </w:pPr>
      <w:r>
        <w:rPr>
          <w:rtl/>
          <w:lang w:bidi="fa-IR"/>
        </w:rPr>
        <w:t>(5).</w:t>
      </w:r>
      <w:r w:rsidR="00744A1C">
        <w:rPr>
          <w:rtl/>
          <w:lang w:bidi="fa-IR"/>
        </w:rPr>
        <w:t xml:space="preserve"> في السند تحويل بعطف « محمّد بن إسماعيل ، عن الفضل شاذان » على « عليّ بن إبراهيم ، عن أبيه ».</w:t>
      </w:r>
    </w:p>
    <w:p w:rsidR="00744A1C" w:rsidRDefault="00E378DD" w:rsidP="00E378DD">
      <w:pPr>
        <w:pStyle w:val="libFootnote0"/>
        <w:rPr>
          <w:lang w:bidi="fa-IR"/>
        </w:rPr>
      </w:pPr>
      <w:r>
        <w:rPr>
          <w:rtl/>
          <w:lang w:bidi="fa-IR"/>
        </w:rPr>
        <w:t>(6).</w:t>
      </w:r>
      <w:r w:rsidR="00744A1C">
        <w:rPr>
          <w:rtl/>
          <w:lang w:bidi="fa-IR"/>
        </w:rPr>
        <w:t xml:space="preserve"> في الاستبصار : - « ومحمّد بن إسماعيل عن الفضل بن شاذان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 بن يحيى ».</w:t>
      </w:r>
    </w:p>
    <w:p w:rsidR="00744A1C" w:rsidRDefault="00E378DD" w:rsidP="00E378DD">
      <w:pPr>
        <w:pStyle w:val="libFootnote0"/>
        <w:rPr>
          <w:lang w:bidi="fa-IR"/>
        </w:rPr>
      </w:pPr>
      <w:r>
        <w:rPr>
          <w:rtl/>
          <w:lang w:bidi="fa-IR"/>
        </w:rPr>
        <w:t>(8).</w:t>
      </w:r>
      <w:r w:rsidR="00744A1C">
        <w:rPr>
          <w:rtl/>
          <w:lang w:bidi="fa-IR"/>
        </w:rPr>
        <w:t xml:space="preserve"> هكذا في جميع النسخ التي </w:t>
      </w:r>
      <w:r w:rsidR="00744A1C" w:rsidRPr="00097CCA">
        <w:rPr>
          <w:rtl/>
        </w:rPr>
        <w:t>قوبلت والوافي والتهذيب والاستبصار</w:t>
      </w:r>
      <w:r w:rsidR="00744A1C">
        <w:rPr>
          <w:rtl/>
          <w:lang w:bidi="fa-IR"/>
        </w:rPr>
        <w:t xml:space="preserve">. وفي المطبوع : « ولا تؤخّره ». وفي </w:t>
      </w:r>
      <w:r w:rsidR="00144C9D">
        <w:rPr>
          <w:rFonts w:hint="cs"/>
          <w:rtl/>
          <w:lang w:bidi="fa-IR"/>
        </w:rPr>
        <w:t>=</w:t>
      </w:r>
    </w:p>
    <w:p w:rsidR="00150943" w:rsidRDefault="00150943" w:rsidP="00D10E3C">
      <w:pPr>
        <w:pStyle w:val="libNormal"/>
        <w:rPr>
          <w:rtl/>
          <w:lang w:bidi="fa-IR"/>
        </w:rPr>
      </w:pPr>
      <w:r>
        <w:rPr>
          <w:rtl/>
          <w:lang w:bidi="fa-IR"/>
        </w:rPr>
        <w:br w:type="page"/>
      </w:r>
    </w:p>
    <w:p w:rsidR="00744A1C" w:rsidRDefault="00744A1C" w:rsidP="00097CCA">
      <w:pPr>
        <w:pStyle w:val="libNormal0"/>
        <w:rPr>
          <w:lang w:bidi="fa-IR"/>
        </w:rPr>
      </w:pPr>
      <w:r>
        <w:rPr>
          <w:rtl/>
          <w:lang w:bidi="fa-IR"/>
        </w:rPr>
        <w:lastRenderedPageBreak/>
        <w:t>يُؤَخِّرَهُ ، وَمُوَسَّعٌ لِلْمُفْرِدِ أَنْ يُؤَخِّرَهُ.</w:t>
      </w:r>
    </w:p>
    <w:p w:rsidR="00744A1C" w:rsidRDefault="00744A1C" w:rsidP="00744A1C">
      <w:pPr>
        <w:pStyle w:val="libNormal"/>
        <w:rPr>
          <w:lang w:bidi="fa-IR"/>
        </w:rPr>
      </w:pPr>
      <w:r>
        <w:rPr>
          <w:rtl/>
          <w:lang w:bidi="fa-IR"/>
        </w:rPr>
        <w:t xml:space="preserve">فَإِذَا أَتَيْتَ الْبَيْتَ يَوْمَ النَّحْرِ ، فَقُمْتَ عَلى بَابِ الْمَسْجِدِ ، قُلْتَ : اللهُمَّ أَعِنِّي عَلى نُسُكِكَ ، وَسَلِّمْنِي لَهُ ، وَسَلِّمْهُ </w:t>
      </w:r>
      <w:r w:rsidRPr="00D10E3C">
        <w:rPr>
          <w:rStyle w:val="libFootnotenumChar"/>
          <w:rtl/>
        </w:rPr>
        <w:t>(1)</w:t>
      </w:r>
      <w:r>
        <w:rPr>
          <w:rtl/>
          <w:lang w:bidi="fa-IR"/>
        </w:rPr>
        <w:t xml:space="preserve"> لِي </w:t>
      </w:r>
      <w:r w:rsidRPr="00D10E3C">
        <w:rPr>
          <w:rStyle w:val="libFootnotenumChar"/>
          <w:rtl/>
        </w:rPr>
        <w:t>(2)</w:t>
      </w:r>
      <w:r>
        <w:rPr>
          <w:rtl/>
          <w:lang w:bidi="fa-IR"/>
        </w:rPr>
        <w:t xml:space="preserve"> ، أَسْأَلُكَ مَسْأَلَةَ الْغَلِيلِ </w:t>
      </w:r>
      <w:r w:rsidRPr="00D10E3C">
        <w:rPr>
          <w:rStyle w:val="libFootnotenumChar"/>
          <w:rtl/>
        </w:rPr>
        <w:t>(3)</w:t>
      </w:r>
      <w:r>
        <w:rPr>
          <w:rtl/>
          <w:lang w:bidi="fa-IR"/>
        </w:rPr>
        <w:t xml:space="preserve"> الذَّلِيلِ ، الْمُعْتَرِفِ بِذَنْبِهِ ، أَنْ تَغْفِرَ لِي </w:t>
      </w:r>
      <w:r w:rsidRPr="00D10E3C">
        <w:rPr>
          <w:rStyle w:val="libFootnotenumChar"/>
          <w:rtl/>
        </w:rPr>
        <w:t>(4)</w:t>
      </w:r>
      <w:r>
        <w:rPr>
          <w:rtl/>
          <w:lang w:bidi="fa-IR"/>
        </w:rPr>
        <w:t xml:space="preserve"> ذُنُوبِي </w:t>
      </w:r>
      <w:r w:rsidRPr="00D10E3C">
        <w:rPr>
          <w:rStyle w:val="libFootnotenumChar"/>
          <w:rtl/>
        </w:rPr>
        <w:t>(5)</w:t>
      </w:r>
      <w:r>
        <w:rPr>
          <w:rtl/>
          <w:lang w:bidi="fa-IR"/>
        </w:rPr>
        <w:t xml:space="preserve"> ، وَأَنْ تَرْجِعَنِي بِحَاجَتِي ، اللهُمَّ إِنِّي عَبْدُكَ ، وَالْبَلَدُ بَلَدُكَ ، وَالْبَيْتُ‌ بَيْتُكَ ، جِئْتُ </w:t>
      </w:r>
      <w:r w:rsidRPr="00D10E3C">
        <w:rPr>
          <w:rStyle w:val="libFootnotenumChar"/>
          <w:rtl/>
        </w:rPr>
        <w:t>(6)</w:t>
      </w:r>
      <w:r>
        <w:rPr>
          <w:rtl/>
          <w:lang w:bidi="fa-IR"/>
        </w:rPr>
        <w:t xml:space="preserve"> أَطْلُبُ رَحْمَتَكَ ، وَأَؤُمُّ طَاعَتَكَ ، مُتَّبِعاً لِأَمْرِكَ ، رَاضِياً بِقَدَرِكَ ، أَسْأَلُكَ مَسْأَلَةَ الْمُضْطَرِّ إِلَيْكَ ، الْمُطِيعِ لِأَمْرِكَ ، الْمُشْفِقِ مِنْ عَذَابِكَ ، الْخَائِفِ لِعُقُوبَتِكَ ، أَنْ تُبَلِّغَنِي عَفْوَكَ ، وَتُجِيرَنِي </w:t>
      </w:r>
      <w:r w:rsidRPr="00D10E3C">
        <w:rPr>
          <w:rStyle w:val="libFootnotenumChar"/>
          <w:rtl/>
        </w:rPr>
        <w:t>(7)</w:t>
      </w:r>
      <w:r>
        <w:rPr>
          <w:rtl/>
          <w:lang w:bidi="fa-IR"/>
        </w:rPr>
        <w:t xml:space="preserve"> مِنَ النَّارِ بِرَحْمَتِكَ.</w:t>
      </w:r>
    </w:p>
    <w:p w:rsidR="00744A1C" w:rsidRDefault="00744A1C" w:rsidP="00744A1C">
      <w:pPr>
        <w:pStyle w:val="libNormal"/>
        <w:rPr>
          <w:lang w:bidi="fa-IR"/>
        </w:rPr>
      </w:pPr>
      <w:r>
        <w:rPr>
          <w:rtl/>
          <w:lang w:bidi="fa-IR"/>
        </w:rPr>
        <w:t xml:space="preserve">ثُمَّ تَأْتِي الْحَجَرَ الْأَسْوَدَ ، فَتَسْتَلِمُهُ </w:t>
      </w:r>
      <w:r w:rsidRPr="00D10E3C">
        <w:rPr>
          <w:rStyle w:val="libFootnotenumChar"/>
          <w:rtl/>
        </w:rPr>
        <w:t>(8)</w:t>
      </w:r>
      <w:r>
        <w:rPr>
          <w:rtl/>
          <w:lang w:bidi="fa-IR"/>
        </w:rPr>
        <w:t xml:space="preserve"> ، وَتُقَبِّلُهُ ، فَإِنْ لَمْ تَسْتَطِعْ فَاسْتَلِمْهُ بِيَدِكَ ، وَقَبِّلْ يَدَكَ ، فَإِنْ لَمْ تَسْتَطِعْ فَاسْتَقْبِلْهُ ، وَكَبِّرْ ، وَقُلْ كَمَا قُلْتَ حِينَ طُفْتَ بِالْبَيْتِ يَوْمَ قَدِمْتَ مَكَّةَ.</w:t>
      </w:r>
    </w:p>
    <w:p w:rsidR="00744A1C" w:rsidRDefault="00744A1C" w:rsidP="00D31090">
      <w:pPr>
        <w:pStyle w:val="libNormal"/>
        <w:rPr>
          <w:lang w:bidi="fa-IR"/>
        </w:rPr>
      </w:pPr>
      <w:r>
        <w:rPr>
          <w:rtl/>
          <w:lang w:bidi="fa-IR"/>
        </w:rPr>
        <w:t xml:space="preserve">ثُمَّ طُفْ بِالْبَيْتِ سَبْعَةَ أَشْوَاطٍ </w:t>
      </w:r>
      <w:r w:rsidRPr="00D10E3C">
        <w:rPr>
          <w:rStyle w:val="libFootnotenumChar"/>
          <w:rtl/>
        </w:rPr>
        <w:t>(9)</w:t>
      </w:r>
      <w:r>
        <w:rPr>
          <w:rtl/>
          <w:lang w:bidi="fa-IR"/>
        </w:rPr>
        <w:t xml:space="preserve"> كَمَا وَصَفْتُ لَكَ يَوْمَ قَدِمْتَ مَكَّةَ ، ثُمَّ صَلِّ عِنْدَ مَقَامِ إِبْرَاهِيمَ </w:t>
      </w:r>
      <w:r w:rsidR="0061079A" w:rsidRPr="0061079A">
        <w:rPr>
          <w:rStyle w:val="libAlaemChar"/>
          <w:rtl/>
        </w:rPr>
        <w:t>عليه‌السلام</w:t>
      </w:r>
      <w:r w:rsidR="00D10E3C">
        <w:rPr>
          <w:rtl/>
          <w:lang w:bidi="fa-IR"/>
        </w:rPr>
        <w:t xml:space="preserve"> </w:t>
      </w:r>
      <w:r>
        <w:rPr>
          <w:rtl/>
          <w:lang w:bidi="fa-IR"/>
        </w:rPr>
        <w:t xml:space="preserve">رَكْعَتَيْنِ تَقْرَأُ فِيهِمَا </w:t>
      </w:r>
      <w:r w:rsidRPr="00D10E3C">
        <w:rPr>
          <w:rStyle w:val="libFootnotenumChar"/>
          <w:rtl/>
        </w:rPr>
        <w:t>(10)</w:t>
      </w:r>
      <w:r>
        <w:rPr>
          <w:rtl/>
          <w:lang w:bidi="fa-IR"/>
        </w:rPr>
        <w:t xml:space="preserve"> بِ</w:t>
      </w:r>
      <w:r w:rsidR="00D31090">
        <w:rPr>
          <w:rFonts w:hint="cs"/>
          <w:rtl/>
          <w:lang w:bidi="fa-IR"/>
        </w:rPr>
        <w:t>ـ</w:t>
      </w:r>
      <w:r>
        <w:rPr>
          <w:rtl/>
          <w:lang w:bidi="fa-IR"/>
        </w:rPr>
        <w:t xml:space="preserve"> « قُلْ هُوَ اللهُ أَحَدٌ » وَ « قُلْ يا أَيُّهَا الْكافِرُونَ » ثُمَّ ارْجِعْ إِلَى الْحَجَرِ الْأَسْوَدِ ، فَقَبِّلْهُ إِنِ </w:t>
      </w:r>
      <w:r w:rsidRPr="00D10E3C">
        <w:rPr>
          <w:rStyle w:val="libFootnotenumChar"/>
          <w:rtl/>
        </w:rPr>
        <w:t>(11)</w:t>
      </w:r>
      <w:r>
        <w:rPr>
          <w:rtl/>
          <w:lang w:bidi="fa-IR"/>
        </w:rPr>
        <w:t xml:space="preserve"> اسْتَطَعْتَ ، وَاسْتَقْبِلْهُ ، وَكَبِّرْ.</w:t>
      </w:r>
    </w:p>
    <w:p w:rsidR="00744A1C" w:rsidRDefault="00744A1C" w:rsidP="00744A1C">
      <w:pPr>
        <w:pStyle w:val="libNormal"/>
        <w:rPr>
          <w:lang w:bidi="fa-IR"/>
        </w:rPr>
      </w:pPr>
      <w:r>
        <w:rPr>
          <w:rtl/>
          <w:lang w:bidi="fa-IR"/>
        </w:rPr>
        <w:t xml:space="preserve">ثُمَّ اخْرُجْ إِلَى الصَّفَا ، فَاصْعَدْ </w:t>
      </w:r>
      <w:r w:rsidRPr="00D10E3C">
        <w:rPr>
          <w:rStyle w:val="libFootnotenumChar"/>
          <w:rtl/>
        </w:rPr>
        <w:t>(12)</w:t>
      </w:r>
      <w:r>
        <w:rPr>
          <w:rtl/>
          <w:lang w:bidi="fa-IR"/>
        </w:rPr>
        <w:t xml:space="preserve"> عَلَيْهِ ، وَاصْنَعْ </w:t>
      </w:r>
      <w:r w:rsidRPr="00D10E3C">
        <w:rPr>
          <w:rStyle w:val="libFootnotenumChar"/>
          <w:rtl/>
        </w:rPr>
        <w:t>(13)</w:t>
      </w:r>
      <w:r>
        <w:rPr>
          <w:rtl/>
          <w:lang w:bidi="fa-IR"/>
        </w:rPr>
        <w:t xml:space="preserve"> كَمَا صَنَعْتَ يَوْمَ دَخَلْتَ مَكَّةَ ، ثُمَّ‌</w:t>
      </w:r>
    </w:p>
    <w:p w:rsidR="00744A1C" w:rsidRDefault="00744A1C" w:rsidP="00D10E3C">
      <w:pPr>
        <w:pStyle w:val="libLine"/>
        <w:rPr>
          <w:lang w:bidi="fa-IR"/>
        </w:rPr>
      </w:pPr>
      <w:r>
        <w:rPr>
          <w:rtl/>
          <w:lang w:bidi="fa-IR"/>
        </w:rPr>
        <w:t>____________________</w:t>
      </w:r>
    </w:p>
    <w:p w:rsidR="00744A1C" w:rsidRDefault="006D13A7" w:rsidP="00D10E3C">
      <w:pPr>
        <w:pStyle w:val="libFootnote0"/>
        <w:rPr>
          <w:lang w:bidi="fa-IR"/>
        </w:rPr>
      </w:pPr>
      <w:r>
        <w:rPr>
          <w:rFonts w:hint="cs"/>
          <w:rtl/>
          <w:lang w:bidi="fa-IR"/>
        </w:rPr>
        <w:t xml:space="preserve">= </w:t>
      </w:r>
      <w:r w:rsidR="00744A1C">
        <w:rPr>
          <w:rtl/>
          <w:lang w:bidi="fa-IR"/>
        </w:rPr>
        <w:t>« جن » : + « ذلك ».</w:t>
      </w:r>
    </w:p>
    <w:tbl>
      <w:tblPr>
        <w:tblStyle w:val="TableGrid"/>
        <w:bidiVisual/>
        <w:tblW w:w="0" w:type="auto"/>
        <w:tblLook w:val="04A0" w:firstRow="1" w:lastRow="0" w:firstColumn="1" w:lastColumn="0" w:noHBand="0" w:noVBand="1"/>
      </w:tblPr>
      <w:tblGrid>
        <w:gridCol w:w="4006"/>
        <w:gridCol w:w="4006"/>
      </w:tblGrid>
      <w:tr w:rsidR="006D13A7" w:rsidTr="006D13A7">
        <w:tc>
          <w:tcPr>
            <w:tcW w:w="4006" w:type="dxa"/>
          </w:tcPr>
          <w:p w:rsidR="006D13A7" w:rsidRDefault="006D13A7" w:rsidP="00D10E3C">
            <w:pPr>
              <w:pStyle w:val="libFootnote0"/>
              <w:rPr>
                <w:rtl/>
                <w:lang w:bidi="fa-IR"/>
              </w:rPr>
            </w:pPr>
            <w:r>
              <w:rPr>
                <w:rtl/>
                <w:lang w:bidi="fa-IR"/>
              </w:rPr>
              <w:t xml:space="preserve">(1). في </w:t>
            </w:r>
            <w:r w:rsidRPr="00C24F9C">
              <w:rPr>
                <w:rStyle w:val="libFootnoteBoldChar"/>
                <w:rtl/>
              </w:rPr>
              <w:t>التهذيب</w:t>
            </w:r>
            <w:r>
              <w:rPr>
                <w:rtl/>
                <w:lang w:bidi="fa-IR"/>
              </w:rPr>
              <w:t xml:space="preserve"> : « وتسلّمه ».</w:t>
            </w:r>
          </w:p>
        </w:tc>
        <w:tc>
          <w:tcPr>
            <w:tcW w:w="4006" w:type="dxa"/>
          </w:tcPr>
          <w:p w:rsidR="006D13A7" w:rsidRDefault="006D13A7" w:rsidP="00D10E3C">
            <w:pPr>
              <w:pStyle w:val="libFootnote0"/>
              <w:rPr>
                <w:rtl/>
                <w:lang w:bidi="fa-IR"/>
              </w:rPr>
            </w:pPr>
            <w:r>
              <w:rPr>
                <w:rtl/>
                <w:lang w:bidi="fa-IR"/>
              </w:rPr>
              <w:t>(2). في « ى » : + « اللهمّ ».</w:t>
            </w:r>
          </w:p>
        </w:tc>
      </w:tr>
    </w:tbl>
    <w:p w:rsidR="00744A1C" w:rsidRDefault="00E378DD" w:rsidP="00C27248">
      <w:pPr>
        <w:pStyle w:val="libFootnote0"/>
        <w:rPr>
          <w:lang w:bidi="fa-IR"/>
        </w:rPr>
      </w:pPr>
      <w:r>
        <w:rPr>
          <w:rtl/>
          <w:lang w:bidi="fa-IR"/>
        </w:rPr>
        <w:t>(3).</w:t>
      </w:r>
      <w:r w:rsidR="00744A1C">
        <w:rPr>
          <w:rtl/>
          <w:lang w:bidi="fa-IR"/>
        </w:rPr>
        <w:t xml:space="preserve"> هكذا في معظم النسخ التي قوبلت. وفي المطبوع : « العليل ». وفي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القليل ». والغليل : عطشان شديد العطش. لسان‌العرب ، ج 11 ، ص 499 ( غلل ).</w:t>
      </w:r>
      <w:r w:rsidR="00C27248">
        <w:rPr>
          <w:rFonts w:hint="cs"/>
          <w:rtl/>
          <w:lang w:bidi="fa-IR"/>
        </w:rPr>
        <w:t xml:space="preserve">   </w:t>
      </w: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 لي ».</w:t>
      </w:r>
    </w:p>
    <w:tbl>
      <w:tblPr>
        <w:tblStyle w:val="TableGrid"/>
        <w:bidiVisual/>
        <w:tblW w:w="0" w:type="auto"/>
        <w:tblLook w:val="04A0" w:firstRow="1" w:lastRow="0" w:firstColumn="1" w:lastColumn="0" w:noHBand="0" w:noVBand="1"/>
      </w:tblPr>
      <w:tblGrid>
        <w:gridCol w:w="4006"/>
        <w:gridCol w:w="4006"/>
      </w:tblGrid>
      <w:tr w:rsidR="00626BD6" w:rsidTr="00626BD6">
        <w:tc>
          <w:tcPr>
            <w:tcW w:w="4006" w:type="dxa"/>
          </w:tcPr>
          <w:p w:rsidR="00626BD6" w:rsidRDefault="00626BD6" w:rsidP="00E378DD">
            <w:pPr>
              <w:pStyle w:val="libFootnote0"/>
              <w:rPr>
                <w:rtl/>
                <w:lang w:bidi="fa-IR"/>
              </w:rPr>
            </w:pPr>
            <w:r>
              <w:rPr>
                <w:rtl/>
                <w:lang w:bidi="fa-IR"/>
              </w:rPr>
              <w:t>(5). في « بخ » : « ذنبي ».</w:t>
            </w:r>
          </w:p>
        </w:tc>
        <w:tc>
          <w:tcPr>
            <w:tcW w:w="4006" w:type="dxa"/>
          </w:tcPr>
          <w:p w:rsidR="00626BD6" w:rsidRDefault="00626BD6" w:rsidP="00E378DD">
            <w:pPr>
              <w:pStyle w:val="libFootnote0"/>
              <w:rPr>
                <w:rtl/>
                <w:lang w:bidi="fa-IR"/>
              </w:rPr>
            </w:pPr>
            <w:r>
              <w:rPr>
                <w:rtl/>
                <w:lang w:bidi="fa-IR"/>
              </w:rPr>
              <w:t>(6). في حاشية « بث » : « جئتك ».</w:t>
            </w:r>
          </w:p>
        </w:tc>
      </w:tr>
    </w:tbl>
    <w:p w:rsidR="00744A1C" w:rsidRDefault="00E378DD" w:rsidP="00E378DD">
      <w:pPr>
        <w:pStyle w:val="libFootnote0"/>
        <w:rPr>
          <w:lang w:bidi="fa-IR"/>
        </w:rPr>
      </w:pPr>
      <w:r>
        <w:rPr>
          <w:rtl/>
          <w:lang w:bidi="fa-IR"/>
        </w:rPr>
        <w:t>(7).</w:t>
      </w:r>
      <w:r w:rsidR="00744A1C">
        <w:rPr>
          <w:rtl/>
          <w:lang w:bidi="fa-IR"/>
        </w:rPr>
        <w:t xml:space="preserve"> في « بخ ، بف » : « وأن تجيرني ». وفي « بث » : « وتجرني ».</w:t>
      </w:r>
    </w:p>
    <w:p w:rsidR="00744A1C" w:rsidRDefault="00E378DD" w:rsidP="00E378DD">
      <w:pPr>
        <w:pStyle w:val="libFootnote0"/>
        <w:rPr>
          <w:lang w:bidi="fa-IR"/>
        </w:rPr>
      </w:pPr>
      <w:r>
        <w:rPr>
          <w:rtl/>
          <w:lang w:bidi="fa-IR"/>
        </w:rPr>
        <w:t>(8).</w:t>
      </w:r>
      <w:r w:rsidR="00744A1C">
        <w:rPr>
          <w:rtl/>
          <w:lang w:bidi="fa-IR"/>
        </w:rPr>
        <w:t xml:space="preserve"> في « جد » : « وتستلمه ». وفي « بث » : « تستلمه ».</w:t>
      </w:r>
    </w:p>
    <w:tbl>
      <w:tblPr>
        <w:tblStyle w:val="TableGrid"/>
        <w:bidiVisual/>
        <w:tblW w:w="0" w:type="auto"/>
        <w:tblLook w:val="04A0" w:firstRow="1" w:lastRow="0" w:firstColumn="1" w:lastColumn="0" w:noHBand="0" w:noVBand="1"/>
      </w:tblPr>
      <w:tblGrid>
        <w:gridCol w:w="4006"/>
        <w:gridCol w:w="4006"/>
      </w:tblGrid>
      <w:tr w:rsidR="000A6273" w:rsidTr="000A6273">
        <w:tc>
          <w:tcPr>
            <w:tcW w:w="4006" w:type="dxa"/>
          </w:tcPr>
          <w:p w:rsidR="000A6273" w:rsidRDefault="000A6273" w:rsidP="000A6273">
            <w:pPr>
              <w:pStyle w:val="libFootnote0"/>
              <w:rPr>
                <w:rtl/>
                <w:lang w:bidi="fa-IR"/>
              </w:rPr>
            </w:pPr>
            <w:r>
              <w:rPr>
                <w:rtl/>
                <w:lang w:bidi="fa-IR"/>
              </w:rPr>
              <w:t>(9). في«بخ»:-«فإن لم تستطع فاستقبله»إلى هنا.</w:t>
            </w:r>
          </w:p>
        </w:tc>
        <w:tc>
          <w:tcPr>
            <w:tcW w:w="4006" w:type="dxa"/>
          </w:tcPr>
          <w:p w:rsidR="000A6273" w:rsidRDefault="000A6273" w:rsidP="000A6273">
            <w:pPr>
              <w:pStyle w:val="libFootnote0"/>
              <w:rPr>
                <w:rtl/>
                <w:lang w:bidi="fa-IR"/>
              </w:rPr>
            </w:pPr>
            <w:r>
              <w:rPr>
                <w:rtl/>
                <w:lang w:bidi="fa-IR"/>
              </w:rPr>
              <w:t>(10). في « بف » : « فيها ».</w:t>
            </w:r>
          </w:p>
        </w:tc>
      </w:tr>
      <w:tr w:rsidR="000A6273" w:rsidTr="000A6273">
        <w:tc>
          <w:tcPr>
            <w:tcW w:w="4006" w:type="dxa"/>
          </w:tcPr>
          <w:p w:rsidR="000A6273" w:rsidRDefault="000A6273" w:rsidP="000A6273">
            <w:pPr>
              <w:pStyle w:val="libFootnote0"/>
              <w:rPr>
                <w:rtl/>
                <w:lang w:bidi="fa-IR"/>
              </w:rPr>
            </w:pPr>
            <w:r>
              <w:rPr>
                <w:rtl/>
                <w:lang w:bidi="fa-IR"/>
              </w:rPr>
              <w:t>(11). في « ى » : « إذا ».</w:t>
            </w:r>
          </w:p>
        </w:tc>
        <w:tc>
          <w:tcPr>
            <w:tcW w:w="4006" w:type="dxa"/>
          </w:tcPr>
          <w:p w:rsidR="000A6273" w:rsidRDefault="000A6273" w:rsidP="00AD607D">
            <w:pPr>
              <w:pStyle w:val="libFootnote0"/>
              <w:rPr>
                <w:rtl/>
                <w:lang w:bidi="fa-IR"/>
              </w:rPr>
            </w:pPr>
            <w:r>
              <w:rPr>
                <w:rtl/>
                <w:lang w:bidi="fa-IR"/>
              </w:rPr>
              <w:t>(12). في«بخ</w:t>
            </w:r>
            <w:r w:rsidR="00AD607D">
              <w:rPr>
                <w:rtl/>
                <w:lang w:bidi="fa-IR"/>
              </w:rPr>
              <w:t>»</w:t>
            </w:r>
            <w:r>
              <w:rPr>
                <w:rtl/>
                <w:lang w:bidi="fa-IR"/>
              </w:rPr>
              <w:t>:«واصعد».وفي«ى»:«فاصنع».</w:t>
            </w:r>
          </w:p>
        </w:tc>
      </w:tr>
    </w:tbl>
    <w:p w:rsidR="00744A1C" w:rsidRDefault="00E378DD" w:rsidP="00E378DD">
      <w:pPr>
        <w:pStyle w:val="libFootnote0"/>
        <w:rPr>
          <w:lang w:bidi="fa-IR"/>
        </w:rPr>
      </w:pPr>
      <w:r>
        <w:rPr>
          <w:rtl/>
          <w:lang w:bidi="fa-IR"/>
        </w:rPr>
        <w:t>(13).</w:t>
      </w:r>
      <w:r w:rsidR="00744A1C">
        <w:rPr>
          <w:rtl/>
          <w:lang w:bidi="fa-IR"/>
        </w:rPr>
        <w:t xml:space="preserve"> في « ى » : - « واصنع ».</w:t>
      </w:r>
    </w:p>
    <w:p w:rsidR="00150943" w:rsidRDefault="00150943" w:rsidP="00D10E3C">
      <w:pPr>
        <w:pStyle w:val="libNormal"/>
        <w:rPr>
          <w:rtl/>
          <w:lang w:bidi="fa-IR"/>
        </w:rPr>
      </w:pPr>
      <w:r>
        <w:rPr>
          <w:rtl/>
          <w:lang w:bidi="fa-IR"/>
        </w:rPr>
        <w:br w:type="page"/>
      </w:r>
    </w:p>
    <w:p w:rsidR="00744A1C" w:rsidRDefault="00744A1C" w:rsidP="00097CCA">
      <w:pPr>
        <w:pStyle w:val="libNormal0"/>
        <w:rPr>
          <w:lang w:bidi="fa-IR"/>
        </w:rPr>
      </w:pPr>
      <w:r>
        <w:rPr>
          <w:rtl/>
          <w:lang w:bidi="fa-IR"/>
        </w:rPr>
        <w:lastRenderedPageBreak/>
        <w:t>ائْتِ الْمَرْوَةَ ، فَاصْعَدْ عَلَيْهَا ، وَطُفْ بَيْنَهُمَا سَبْعَةَ أَشْوَاطٍ تَبْدَأُ بِالصَّفَا ، وَتَخْتِمُ بِالْمَرْوَةِ ، فَإِذَا فَعَلْتَ ذلِكَ ، فَقَدْ أَحْلَلْتَ مِنْ كُلِّ شَيْ‌ءٍ أَحْرَمْتَ مِنْ</w:t>
      </w:r>
      <w:r w:rsidR="00EB58D5">
        <w:rPr>
          <w:rtl/>
          <w:lang w:bidi="fa-IR"/>
        </w:rPr>
        <w:t>هُ إِل</w:t>
      </w:r>
      <w:r w:rsidR="00EB58D5">
        <w:rPr>
          <w:rFonts w:hint="cs"/>
          <w:rtl/>
          <w:lang w:bidi="fa-IR"/>
        </w:rPr>
        <w:t>َّ</w:t>
      </w:r>
      <w:r w:rsidR="00EB58D5">
        <w:rPr>
          <w:rtl/>
          <w:lang w:bidi="fa-IR"/>
        </w:rPr>
        <w:t>ا</w:t>
      </w:r>
      <w:r>
        <w:rPr>
          <w:rtl/>
          <w:lang w:bidi="fa-IR"/>
        </w:rPr>
        <w:t xml:space="preserve"> النِّسَاءَ.</w:t>
      </w:r>
    </w:p>
    <w:p w:rsidR="00744A1C" w:rsidRDefault="00744A1C" w:rsidP="00744A1C">
      <w:pPr>
        <w:pStyle w:val="libNormal"/>
        <w:rPr>
          <w:lang w:bidi="fa-IR"/>
        </w:rPr>
      </w:pPr>
      <w:r>
        <w:rPr>
          <w:rtl/>
          <w:lang w:bidi="fa-IR"/>
        </w:rPr>
        <w:t xml:space="preserve">ثُمَّ ارْجِعْ إِلَى الْبَيْتِ ، وَطُفْ </w:t>
      </w:r>
      <w:r w:rsidRPr="00D10E3C">
        <w:rPr>
          <w:rStyle w:val="libFootnotenumChar"/>
          <w:rtl/>
        </w:rPr>
        <w:t>(1)</w:t>
      </w:r>
      <w:r>
        <w:rPr>
          <w:rtl/>
          <w:lang w:bidi="fa-IR"/>
        </w:rPr>
        <w:t xml:space="preserve"> بِهِ أُسْبُوعاً آخَرَ ، ثُمَّ صَلِّ </w:t>
      </w:r>
      <w:r w:rsidRPr="00D10E3C">
        <w:rPr>
          <w:rStyle w:val="libFootnotenumChar"/>
          <w:rtl/>
        </w:rPr>
        <w:t>(2)</w:t>
      </w:r>
      <w:r>
        <w:rPr>
          <w:rtl/>
          <w:lang w:bidi="fa-IR"/>
        </w:rPr>
        <w:t xml:space="preserve"> رَكْعَتَيْنِ عِنْدَ مَقَامِ إِبْرَاهِيمَ </w:t>
      </w:r>
      <w:r w:rsidR="0061079A" w:rsidRPr="0061079A">
        <w:rPr>
          <w:rStyle w:val="libAlaemChar"/>
          <w:rtl/>
        </w:rPr>
        <w:t>عليه‌السلام</w:t>
      </w:r>
      <w:r w:rsidR="00D10E3C">
        <w:rPr>
          <w:rtl/>
          <w:lang w:bidi="fa-IR"/>
        </w:rPr>
        <w:t xml:space="preserve"> </w:t>
      </w:r>
      <w:r>
        <w:rPr>
          <w:rtl/>
          <w:lang w:bidi="fa-IR"/>
        </w:rPr>
        <w:t xml:space="preserve">، ثُمَّ قَدْ </w:t>
      </w:r>
      <w:r w:rsidRPr="00D10E3C">
        <w:rPr>
          <w:rStyle w:val="libFootnotenumChar"/>
          <w:rtl/>
        </w:rPr>
        <w:t>(3)</w:t>
      </w:r>
      <w:r>
        <w:rPr>
          <w:rtl/>
          <w:lang w:bidi="fa-IR"/>
        </w:rPr>
        <w:t xml:space="preserve"> أَحْلَلْتَ مِنْ كُلِّ شَيْ‌ءٍ ، وَفَرَغْتَ مِنْ حَجِّكَ كُلِّهِ وَكُلِّ شَيْ‌ءٍ أَحْرَمْتَ مِنْهُ ». </w:t>
      </w:r>
      <w:r w:rsidRPr="00D10E3C">
        <w:rPr>
          <w:rStyle w:val="libFootnotenumChar"/>
          <w:rtl/>
        </w:rPr>
        <w:t>(4)</w:t>
      </w:r>
      <w:r>
        <w:rPr>
          <w:rtl/>
          <w:lang w:bidi="fa-IR"/>
        </w:rPr>
        <w:t>‌</w:t>
      </w:r>
    </w:p>
    <w:p w:rsidR="00144FA6" w:rsidRDefault="00744A1C" w:rsidP="00744A1C">
      <w:pPr>
        <w:pStyle w:val="libNormal"/>
        <w:rPr>
          <w:rtl/>
          <w:lang w:bidi="fa-IR"/>
        </w:rPr>
      </w:pPr>
      <w:r>
        <w:rPr>
          <w:rtl/>
          <w:lang w:bidi="fa-IR"/>
        </w:rPr>
        <w:t>7940 / 5. مُحَمَّدُ بْنُ يَحْيى ، عَنْ أَحْمَدَ بْنِ مُحَمَّدٍ ، عَمَّنْ ذَكَرَهُ ، قَالَ :</w:t>
      </w:r>
    </w:p>
    <w:p w:rsidR="00744A1C" w:rsidRDefault="00744A1C" w:rsidP="00744A1C">
      <w:pPr>
        <w:pStyle w:val="libNormal"/>
        <w:rPr>
          <w:lang w:bidi="fa-IR"/>
        </w:rPr>
      </w:pPr>
      <w:r>
        <w:rPr>
          <w:rtl/>
          <w:lang w:bidi="fa-IR"/>
        </w:rPr>
        <w:t xml:space="preserve">قُلْتُ لِأَبِي الْحَسَنِ </w:t>
      </w:r>
      <w:r w:rsidR="0061079A" w:rsidRPr="0061079A">
        <w:rPr>
          <w:rStyle w:val="libAlaemChar"/>
          <w:rtl/>
        </w:rPr>
        <w:t>عليه‌السلام</w:t>
      </w:r>
      <w:r w:rsidR="00D10E3C">
        <w:rPr>
          <w:rtl/>
          <w:lang w:bidi="fa-IR"/>
        </w:rPr>
        <w:t xml:space="preserve"> </w:t>
      </w:r>
      <w:r>
        <w:rPr>
          <w:rtl/>
          <w:lang w:bidi="fa-IR"/>
        </w:rPr>
        <w:t xml:space="preserve">: جُعِلْتُ فِدَاكَ ، مُتَمَتِّعٌ زَارَ الْبَيْتَ ، فَطَافَ </w:t>
      </w:r>
      <w:r w:rsidRPr="00D10E3C">
        <w:rPr>
          <w:rStyle w:val="libFootnotenumChar"/>
          <w:rtl/>
        </w:rPr>
        <w:t>(5)</w:t>
      </w:r>
      <w:r>
        <w:rPr>
          <w:rtl/>
          <w:lang w:bidi="fa-IR"/>
        </w:rPr>
        <w:t xml:space="preserve"> طَوَافَ الْحَجِّ ، ثُمَّ طَافَ طَوَافَ النِّسَاءِ ، ثُمَّ سَعى.</w:t>
      </w:r>
    </w:p>
    <w:p w:rsidR="00744A1C" w:rsidRDefault="00744A1C" w:rsidP="00744A1C">
      <w:pPr>
        <w:pStyle w:val="libNormal"/>
        <w:rPr>
          <w:lang w:bidi="fa-IR"/>
        </w:rPr>
      </w:pPr>
      <w:r>
        <w:rPr>
          <w:rtl/>
          <w:lang w:bidi="fa-IR"/>
        </w:rPr>
        <w:t xml:space="preserve">فَقَالَ </w:t>
      </w:r>
      <w:r w:rsidR="007660B7">
        <w:rPr>
          <w:rtl/>
          <w:lang w:bidi="fa-IR"/>
        </w:rPr>
        <w:t>: « لَا يَكُونُ السَّعْيُ إِل</w:t>
      </w:r>
      <w:r w:rsidR="007660B7">
        <w:rPr>
          <w:rFonts w:hint="cs"/>
          <w:rtl/>
          <w:lang w:bidi="fa-IR"/>
        </w:rPr>
        <w:t>َّ</w:t>
      </w:r>
      <w:r w:rsidR="007660B7">
        <w:rPr>
          <w:rtl/>
          <w:lang w:bidi="fa-IR"/>
        </w:rPr>
        <w:t>ا</w:t>
      </w:r>
      <w:r>
        <w:rPr>
          <w:rtl/>
          <w:lang w:bidi="fa-IR"/>
        </w:rPr>
        <w:t xml:space="preserve"> </w:t>
      </w:r>
      <w:r w:rsidRPr="00D10E3C">
        <w:rPr>
          <w:rStyle w:val="libFootnotenumChar"/>
          <w:rtl/>
        </w:rPr>
        <w:t>(6)</w:t>
      </w:r>
      <w:r>
        <w:rPr>
          <w:rtl/>
          <w:lang w:bidi="fa-IR"/>
        </w:rPr>
        <w:t xml:space="preserve"> قَبْلَ طَوَافِ النِّسَاءِ ».</w:t>
      </w:r>
    </w:p>
    <w:p w:rsidR="00744A1C" w:rsidRDefault="00744A1C" w:rsidP="00744A1C">
      <w:pPr>
        <w:pStyle w:val="libNormal"/>
        <w:rPr>
          <w:lang w:bidi="fa-IR"/>
        </w:rPr>
      </w:pPr>
      <w:r>
        <w:rPr>
          <w:rtl/>
          <w:lang w:bidi="fa-IR"/>
        </w:rPr>
        <w:t xml:space="preserve">فَقُلْتُ : عَلَيْهِ </w:t>
      </w:r>
      <w:r w:rsidRPr="00D10E3C">
        <w:rPr>
          <w:rStyle w:val="libFootnotenumChar"/>
          <w:rtl/>
        </w:rPr>
        <w:t>(7)</w:t>
      </w:r>
      <w:r>
        <w:rPr>
          <w:rtl/>
          <w:lang w:bidi="fa-IR"/>
        </w:rPr>
        <w:t xml:space="preserve"> شَيْ‌ءٌ؟</w:t>
      </w:r>
    </w:p>
    <w:p w:rsidR="00744A1C" w:rsidRDefault="00744A1C" w:rsidP="00744A1C">
      <w:pPr>
        <w:pStyle w:val="libNormal"/>
        <w:rPr>
          <w:lang w:bidi="fa-IR"/>
        </w:rPr>
      </w:pPr>
      <w:r>
        <w:rPr>
          <w:rtl/>
          <w:lang w:bidi="fa-IR"/>
        </w:rPr>
        <w:t xml:space="preserve">فَقَالَ : « لَا يَكُونُ السَّعْيُ </w:t>
      </w:r>
      <w:r w:rsidRPr="00D10E3C">
        <w:rPr>
          <w:rStyle w:val="libFootnotenumChar"/>
          <w:rtl/>
        </w:rPr>
        <w:t>(8)</w:t>
      </w:r>
      <w:r w:rsidR="007660B7">
        <w:rPr>
          <w:rtl/>
          <w:lang w:bidi="fa-IR"/>
        </w:rPr>
        <w:t xml:space="preserve"> إِل</w:t>
      </w:r>
      <w:r w:rsidR="007660B7">
        <w:rPr>
          <w:rFonts w:hint="cs"/>
          <w:rtl/>
          <w:lang w:bidi="fa-IR"/>
        </w:rPr>
        <w:t>َّ</w:t>
      </w:r>
      <w:r w:rsidR="007660B7">
        <w:rPr>
          <w:rtl/>
          <w:lang w:bidi="fa-IR"/>
        </w:rPr>
        <w:t>ا</w:t>
      </w:r>
      <w:r>
        <w:rPr>
          <w:rtl/>
          <w:lang w:bidi="fa-IR"/>
        </w:rPr>
        <w:t xml:space="preserve"> قَبْلَ طَوَافِ النِّسَاءِ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جد » و</w:t>
      </w:r>
      <w:r w:rsidR="00744A1C" w:rsidRPr="00C24F9C">
        <w:rPr>
          <w:rStyle w:val="libFootnoteBoldChar"/>
          <w:rtl/>
        </w:rPr>
        <w:t>الوافي</w:t>
      </w:r>
      <w:r w:rsidR="00744A1C">
        <w:rPr>
          <w:rtl/>
          <w:lang w:bidi="fa-IR"/>
        </w:rPr>
        <w:t xml:space="preserve"> : « فطف ».</w:t>
      </w:r>
    </w:p>
    <w:p w:rsidR="00744A1C" w:rsidRDefault="00E378DD" w:rsidP="00E378DD">
      <w:pPr>
        <w:pStyle w:val="libFootnote0"/>
        <w:rPr>
          <w:lang w:bidi="fa-IR"/>
        </w:rPr>
      </w:pPr>
      <w:r>
        <w:rPr>
          <w:rtl/>
          <w:lang w:bidi="fa-IR"/>
        </w:rPr>
        <w:t>(2).</w:t>
      </w:r>
      <w:r w:rsidR="00744A1C">
        <w:rPr>
          <w:rtl/>
          <w:lang w:bidi="fa-IR"/>
        </w:rPr>
        <w:t xml:space="preserve"> في « بح ، بس ، جد » وحاشية « جن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تصلّي ».</w:t>
      </w:r>
    </w:p>
    <w:p w:rsidR="00744A1C" w:rsidRDefault="00E378DD" w:rsidP="00E378DD">
      <w:pPr>
        <w:pStyle w:val="libFootnote0"/>
        <w:rPr>
          <w:lang w:bidi="fa-IR"/>
        </w:rPr>
      </w:pPr>
      <w:r>
        <w:rPr>
          <w:rtl/>
          <w:lang w:bidi="fa-IR"/>
        </w:rPr>
        <w:t>(3).</w:t>
      </w:r>
      <w:r w:rsidR="00744A1C">
        <w:rPr>
          <w:rtl/>
          <w:lang w:bidi="fa-IR"/>
        </w:rPr>
        <w:t xml:space="preserve"> هكذا في جميع النسخ التي قوبلت </w:t>
      </w:r>
      <w:r w:rsidR="00744A1C" w:rsidRPr="00097CCA">
        <w:rPr>
          <w:rtl/>
        </w:rPr>
        <w:t>والوافي والوسائل والتهذيب</w:t>
      </w:r>
      <w:r w:rsidR="00744A1C">
        <w:rPr>
          <w:rtl/>
          <w:lang w:bidi="fa-IR"/>
        </w:rPr>
        <w:t>. وفي المطبوع : - « قد ».</w:t>
      </w:r>
    </w:p>
    <w:p w:rsidR="00744A1C" w:rsidRDefault="00E378DD" w:rsidP="00352F4B">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251 ، ح 853 ؛ </w:t>
      </w:r>
      <w:r w:rsidR="00744A1C" w:rsidRPr="00C24F9C">
        <w:rPr>
          <w:rStyle w:val="libFootnoteBoldChar"/>
          <w:rtl/>
        </w:rPr>
        <w:t>والاستبصار</w:t>
      </w:r>
      <w:r w:rsidR="00744A1C">
        <w:rPr>
          <w:rtl/>
          <w:lang w:bidi="fa-IR"/>
        </w:rPr>
        <w:t xml:space="preserve"> ، ج 2 ، ص 292 ، ح 1037 ، معلّقاً عن الكليني ، وفي الأخير إلى قوله : « وموسّع للمفرد أن يؤخّره ». وفي </w:t>
      </w:r>
      <w:r w:rsidR="00744A1C" w:rsidRPr="00C24F9C">
        <w:rPr>
          <w:rStyle w:val="libFootnoteBoldChar"/>
          <w:rtl/>
        </w:rPr>
        <w:t>الفقيه</w:t>
      </w:r>
      <w:r w:rsidR="00744A1C">
        <w:rPr>
          <w:rtl/>
          <w:lang w:bidi="fa-IR"/>
        </w:rPr>
        <w:t xml:space="preserve"> ، ج 2 ، ص 551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راجع : </w:t>
      </w:r>
      <w:r w:rsidR="00744A1C" w:rsidRPr="0061079A">
        <w:rPr>
          <w:rStyle w:val="libFootnoteBoldChar"/>
          <w:rtl/>
        </w:rPr>
        <w:t>الكافي</w:t>
      </w:r>
      <w:r w:rsidR="00744A1C">
        <w:rPr>
          <w:rtl/>
          <w:lang w:bidi="fa-IR"/>
        </w:rPr>
        <w:t xml:space="preserve"> ، كتاب الحجّ ، باب دخول المسجد الحرام ، ح 7492</w:t>
      </w:r>
      <w:r w:rsidR="00352F4B">
        <w:rPr>
          <w:rFonts w:hint="cs"/>
          <w:rtl/>
          <w:lang w:bidi="fa-IR"/>
        </w:rPr>
        <w:t>.</w:t>
      </w:r>
      <w:r w:rsidR="00744A1C" w:rsidRPr="00C24F9C">
        <w:rPr>
          <w:rStyle w:val="libFootnoteBoldChar"/>
          <w:rtl/>
        </w:rPr>
        <w:t>الوافي</w:t>
      </w:r>
      <w:r w:rsidR="00744A1C">
        <w:rPr>
          <w:rtl/>
          <w:lang w:bidi="fa-IR"/>
        </w:rPr>
        <w:t xml:space="preserve"> ، ج 14 ، ص 1226 ، ح 14148 ؛ </w:t>
      </w:r>
      <w:r w:rsidR="00744A1C" w:rsidRPr="00C24F9C">
        <w:rPr>
          <w:rStyle w:val="libFootnoteBoldChar"/>
          <w:rtl/>
        </w:rPr>
        <w:t>الوسائل</w:t>
      </w:r>
      <w:r w:rsidR="00744A1C">
        <w:rPr>
          <w:rtl/>
          <w:lang w:bidi="fa-IR"/>
        </w:rPr>
        <w:t xml:space="preserve"> ، ج 14 ، ص 249 ، ح 19117 ، من قوله : « فإذا أتيت البيت يوم النحر ».</w:t>
      </w:r>
    </w:p>
    <w:tbl>
      <w:tblPr>
        <w:tblStyle w:val="TableGrid"/>
        <w:bidiVisual/>
        <w:tblW w:w="0" w:type="auto"/>
        <w:tblLook w:val="04A0" w:firstRow="1" w:lastRow="0" w:firstColumn="1" w:lastColumn="0" w:noHBand="0" w:noVBand="1"/>
      </w:tblPr>
      <w:tblGrid>
        <w:gridCol w:w="4006"/>
        <w:gridCol w:w="4006"/>
      </w:tblGrid>
      <w:tr w:rsidR="00BB4057" w:rsidTr="00BB4057">
        <w:tc>
          <w:tcPr>
            <w:tcW w:w="4006" w:type="dxa"/>
          </w:tcPr>
          <w:p w:rsidR="00BB4057" w:rsidRDefault="00BB4057" w:rsidP="00E378DD">
            <w:pPr>
              <w:pStyle w:val="libFootnote0"/>
              <w:rPr>
                <w:rtl/>
                <w:lang w:bidi="fa-IR"/>
              </w:rPr>
            </w:pPr>
            <w:r>
              <w:rPr>
                <w:rtl/>
                <w:lang w:bidi="fa-IR"/>
              </w:rPr>
              <w:t>(5). في « بح » : « وطاف ».</w:t>
            </w:r>
          </w:p>
        </w:tc>
        <w:tc>
          <w:tcPr>
            <w:tcW w:w="4006" w:type="dxa"/>
          </w:tcPr>
          <w:p w:rsidR="00BB4057" w:rsidRDefault="00BB4057" w:rsidP="00E378DD">
            <w:pPr>
              <w:pStyle w:val="libFootnote0"/>
              <w:rPr>
                <w:rtl/>
                <w:lang w:bidi="fa-IR"/>
              </w:rPr>
            </w:pPr>
            <w:r>
              <w:rPr>
                <w:rtl/>
                <w:lang w:bidi="fa-IR"/>
              </w:rPr>
              <w:t xml:space="preserve">(6).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 من ».</w:t>
            </w:r>
          </w:p>
        </w:tc>
      </w:tr>
      <w:tr w:rsidR="00BB4057" w:rsidTr="00BB4057">
        <w:tc>
          <w:tcPr>
            <w:tcW w:w="4006" w:type="dxa"/>
          </w:tcPr>
          <w:p w:rsidR="00BB4057" w:rsidRDefault="00BB4057"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 أفعليه ».</w:t>
            </w:r>
          </w:p>
        </w:tc>
        <w:tc>
          <w:tcPr>
            <w:tcW w:w="4006" w:type="dxa"/>
          </w:tcPr>
          <w:p w:rsidR="00BB4057" w:rsidRDefault="00BB4057" w:rsidP="00E378DD">
            <w:pPr>
              <w:pStyle w:val="libFootnote0"/>
              <w:rPr>
                <w:rtl/>
                <w:lang w:bidi="fa-IR"/>
              </w:rPr>
            </w:pPr>
            <w:r>
              <w:rPr>
                <w:rtl/>
                <w:lang w:bidi="fa-IR"/>
              </w:rPr>
              <w:t xml:space="preserve">(8). في </w:t>
            </w:r>
            <w:r w:rsidRPr="00C24F9C">
              <w:rPr>
                <w:rStyle w:val="libFootnoteBoldChar"/>
                <w:rtl/>
              </w:rPr>
              <w:t>التهذيب</w:t>
            </w:r>
            <w:r>
              <w:rPr>
                <w:rtl/>
                <w:lang w:bidi="fa-IR"/>
              </w:rPr>
              <w:t xml:space="preserve"> </w:t>
            </w:r>
            <w:r w:rsidRPr="00C24F9C">
              <w:rPr>
                <w:rStyle w:val="libFootnoteBoldChar"/>
                <w:rtl/>
              </w:rPr>
              <w:t>والاستبصار</w:t>
            </w:r>
            <w:r>
              <w:rPr>
                <w:rtl/>
                <w:lang w:bidi="fa-IR"/>
              </w:rPr>
              <w:t xml:space="preserve"> : « سعى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لاخلاف في عدم جواز </w:t>
      </w:r>
      <w:r w:rsidR="00EA4414">
        <w:rPr>
          <w:rtl/>
          <w:lang w:bidi="fa-IR"/>
        </w:rPr>
        <w:t>تقديم طواف النساء على السعي إل</w:t>
      </w:r>
      <w:r w:rsidR="00EA4414">
        <w:rPr>
          <w:rFonts w:hint="cs"/>
          <w:rtl/>
          <w:lang w:bidi="fa-IR"/>
        </w:rPr>
        <w:t>ّ</w:t>
      </w:r>
      <w:r w:rsidR="00EA4414">
        <w:rPr>
          <w:rtl/>
          <w:lang w:bidi="fa-IR"/>
        </w:rPr>
        <w:t>ا</w:t>
      </w:r>
      <w:r w:rsidR="00EA4414">
        <w:rPr>
          <w:rFonts w:hint="cs"/>
          <w:rtl/>
          <w:lang w:bidi="fa-IR"/>
        </w:rPr>
        <w:t xml:space="preserve"> </w:t>
      </w:r>
      <w:r w:rsidR="00744A1C">
        <w:rPr>
          <w:rtl/>
          <w:lang w:bidi="fa-IR"/>
        </w:rPr>
        <w:t xml:space="preserve">مع العذر ، فلو قدّمه عامداً بطل ، ويجزئ إذا كان ناسياً ، وفي إلحاق الجاهل بالعامد أو الناسي وجهان ». راجع : المبسوط ، ج 1 ، ص 359 ؛ </w:t>
      </w:r>
      <w:r w:rsidR="00744A1C" w:rsidRPr="00877682">
        <w:rPr>
          <w:rStyle w:val="libFootnoteBoldChar"/>
          <w:rtl/>
        </w:rPr>
        <w:t>النهاية</w:t>
      </w:r>
      <w:r w:rsidR="00744A1C">
        <w:rPr>
          <w:rtl/>
          <w:lang w:bidi="fa-IR"/>
        </w:rPr>
        <w:t xml:space="preserve"> ، ص 241 ؛ المهذّب ، ج 1 ، ص 238 ؛ </w:t>
      </w:r>
      <w:r w:rsidR="00744A1C" w:rsidRPr="00877682">
        <w:rPr>
          <w:rStyle w:val="libFootnoteBoldChar"/>
          <w:rtl/>
        </w:rPr>
        <w:t>السرائر</w:t>
      </w:r>
      <w:r w:rsidR="00744A1C">
        <w:rPr>
          <w:rtl/>
          <w:lang w:bidi="fa-IR"/>
        </w:rPr>
        <w:t xml:space="preserve"> ، ج 1 ، ص 575 ؛ </w:t>
      </w:r>
      <w:r w:rsidR="00744A1C" w:rsidRPr="00877682">
        <w:rPr>
          <w:rStyle w:val="libFootnoteBoldChar"/>
          <w:rtl/>
        </w:rPr>
        <w:t>مختلف الشيعة</w:t>
      </w:r>
      <w:r w:rsidR="00744A1C">
        <w:rPr>
          <w:rtl/>
          <w:lang w:bidi="fa-IR"/>
        </w:rPr>
        <w:t xml:space="preserve"> ، ج 4 ، ص 207 ؛ </w:t>
      </w:r>
      <w:r w:rsidR="00744A1C" w:rsidRPr="00877682">
        <w:rPr>
          <w:rStyle w:val="libFootnoteBoldChar"/>
          <w:rtl/>
        </w:rPr>
        <w:t>مسالك الأفهام</w:t>
      </w:r>
      <w:r w:rsidR="00744A1C">
        <w:rPr>
          <w:rtl/>
          <w:lang w:bidi="fa-IR"/>
        </w:rPr>
        <w:t xml:space="preserve"> ، ج 2 ، ص 363 ؛ </w:t>
      </w:r>
      <w:r w:rsidR="00744A1C" w:rsidRPr="00C24F9C">
        <w:rPr>
          <w:rStyle w:val="libFootnoteBoldChar"/>
          <w:rtl/>
        </w:rPr>
        <w:t>مدارك الأحكام</w:t>
      </w:r>
      <w:r w:rsidR="00744A1C">
        <w:rPr>
          <w:rtl/>
          <w:lang w:bidi="fa-IR"/>
        </w:rPr>
        <w:t xml:space="preserve"> ، ج 8 ، ص 190.</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5 ، ص 133 ، ح 438 ؛ </w:t>
      </w:r>
      <w:r w:rsidR="00744A1C" w:rsidRPr="00C24F9C">
        <w:rPr>
          <w:rStyle w:val="libFootnoteBoldChar"/>
          <w:rtl/>
        </w:rPr>
        <w:t>والاستبصار</w:t>
      </w:r>
      <w:r w:rsidR="00744A1C">
        <w:rPr>
          <w:rtl/>
          <w:lang w:bidi="fa-IR"/>
        </w:rPr>
        <w:t xml:space="preserve"> ، ج 2 ، ص 231 ، ح 799 ، معلّقاً عن الكليني. راجع : </w:t>
      </w:r>
      <w:r w:rsidR="005C1D53">
        <w:rPr>
          <w:rFonts w:hint="cs"/>
          <w:rtl/>
          <w:lang w:bidi="fa-IR"/>
        </w:rPr>
        <w:t>=</w:t>
      </w:r>
    </w:p>
    <w:p w:rsidR="00150943" w:rsidRDefault="00150943" w:rsidP="00D10E3C">
      <w:pPr>
        <w:pStyle w:val="libNormal"/>
        <w:rPr>
          <w:rtl/>
          <w:lang w:bidi="fa-IR"/>
        </w:rPr>
      </w:pPr>
      <w:r>
        <w:rPr>
          <w:rtl/>
          <w:lang w:bidi="fa-IR"/>
        </w:rPr>
        <w:br w:type="page"/>
      </w:r>
    </w:p>
    <w:p w:rsidR="00744A1C" w:rsidRDefault="00744A1C" w:rsidP="00D76964">
      <w:pPr>
        <w:pStyle w:val="Heading2Center"/>
        <w:rPr>
          <w:lang w:bidi="fa-IR"/>
        </w:rPr>
      </w:pPr>
      <w:bookmarkStart w:id="38" w:name="_Toc49261336"/>
      <w:r>
        <w:rPr>
          <w:rtl/>
          <w:lang w:bidi="fa-IR"/>
        </w:rPr>
        <w:lastRenderedPageBreak/>
        <w:t>193 - بَابُ طَوَافِ النِّسَاءِ‌</w:t>
      </w:r>
      <w:bookmarkEnd w:id="38"/>
    </w:p>
    <w:p w:rsidR="00744A1C" w:rsidRDefault="00744A1C" w:rsidP="00744A1C">
      <w:pPr>
        <w:pStyle w:val="libNormal"/>
        <w:rPr>
          <w:lang w:bidi="fa-IR"/>
        </w:rPr>
      </w:pPr>
      <w:r>
        <w:rPr>
          <w:rtl/>
          <w:lang w:bidi="fa-IR"/>
        </w:rPr>
        <w:t>7941 / 1. عِدَّةٌ مِنْ أَصْحَابِنَا ، عَنْ سَهْلِ بْنِ زِيَادٍ ، عَنْ أَ</w:t>
      </w:r>
      <w:r w:rsidR="000D3A3C">
        <w:rPr>
          <w:rtl/>
          <w:lang w:bidi="fa-IR"/>
        </w:rPr>
        <w:t>حْمَدَ بْنِ مُحَمَّدٍ ، قَالَ :</w:t>
      </w:r>
    </w:p>
    <w:p w:rsidR="00744A1C" w:rsidRDefault="00744A1C" w:rsidP="00744A1C">
      <w:pPr>
        <w:pStyle w:val="libNormal"/>
        <w:rPr>
          <w:lang w:bidi="fa-IR"/>
        </w:rPr>
      </w:pPr>
      <w:r>
        <w:rPr>
          <w:rtl/>
          <w:lang w:bidi="fa-IR"/>
        </w:rPr>
        <w:t xml:space="preserve">قَالَ أَبُو الْحَسَنِ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097CCA">
        <w:rPr>
          <w:rStyle w:val="libAlaemChar"/>
          <w:rtl/>
        </w:rPr>
        <w:t>(</w:t>
      </w:r>
      <w:r w:rsidRPr="00097CCA">
        <w:rPr>
          <w:rStyle w:val="libAieChar"/>
          <w:rtl/>
        </w:rPr>
        <w:t xml:space="preserve"> وَلْيَطَّوَّفُوا بِالْبَيْتِ الْعَتِيقِ </w:t>
      </w:r>
      <w:r w:rsidRPr="00097CCA">
        <w:rPr>
          <w:rStyle w:val="libAlaemChar"/>
          <w:rtl/>
        </w:rPr>
        <w:t>)</w:t>
      </w:r>
      <w:r>
        <w:rPr>
          <w:rtl/>
          <w:lang w:bidi="fa-IR"/>
        </w:rPr>
        <w:t xml:space="preserve"> </w:t>
      </w:r>
      <w:r w:rsidRPr="00D10E3C">
        <w:rPr>
          <w:rStyle w:val="libFootnotenumChar"/>
          <w:rtl/>
        </w:rPr>
        <w:t>(1)</w:t>
      </w:r>
      <w:r>
        <w:rPr>
          <w:rtl/>
          <w:lang w:bidi="fa-IR"/>
        </w:rPr>
        <w:t xml:space="preserve"> قَالَ : « طَوَافُ الْفَرِيضَةِ </w:t>
      </w:r>
      <w:r w:rsidRPr="00D10E3C">
        <w:rPr>
          <w:rStyle w:val="libFootnotenumChar"/>
          <w:rtl/>
        </w:rPr>
        <w:t>(2)</w:t>
      </w:r>
      <w:r>
        <w:rPr>
          <w:rtl/>
          <w:lang w:bidi="fa-IR"/>
        </w:rPr>
        <w:t xml:space="preserve"> طَوَافُ النِّسَاءِ ». </w:t>
      </w:r>
      <w:r w:rsidRPr="00D10E3C">
        <w:rPr>
          <w:rStyle w:val="libFootnotenumChar"/>
          <w:rtl/>
        </w:rPr>
        <w:t>(3)</w:t>
      </w:r>
    </w:p>
    <w:p w:rsidR="00744A1C" w:rsidRDefault="00744A1C" w:rsidP="00744A1C">
      <w:pPr>
        <w:pStyle w:val="libNormal"/>
        <w:rPr>
          <w:lang w:bidi="fa-IR"/>
        </w:rPr>
      </w:pPr>
      <w:r>
        <w:rPr>
          <w:rtl/>
          <w:lang w:bidi="fa-IR"/>
        </w:rPr>
        <w:t xml:space="preserve">7942 / 2. الْحُسَيْنُ بْنُ مُحَمَّدٍ ، عَنْ مُعَلَّى بْنِ مُحَمَّدٍ ، عَنْ بَعْضِ أَصْحَابِهِ </w:t>
      </w:r>
      <w:r w:rsidRPr="00D10E3C">
        <w:rPr>
          <w:rStyle w:val="libFootnotenumChar"/>
          <w:rtl/>
        </w:rPr>
        <w:t>(4)</w:t>
      </w:r>
      <w:r>
        <w:rPr>
          <w:rtl/>
          <w:lang w:bidi="fa-IR"/>
        </w:rPr>
        <w:t xml:space="preserve"> ،</w:t>
      </w:r>
      <w:r w:rsidR="001B78AE">
        <w:rPr>
          <w:rtl/>
          <w:lang w:bidi="fa-IR"/>
        </w:rPr>
        <w:t xml:space="preserve"> عَنْ حَمَّادِ بْنِ عُثْمَانَ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1B78AE">
        <w:rPr>
          <w:rStyle w:val="libAlaemChar"/>
          <w:rtl/>
        </w:rPr>
        <w:t>(</w:t>
      </w:r>
      <w:r w:rsidRPr="001B78AE">
        <w:rPr>
          <w:rStyle w:val="libAieChar"/>
          <w:rtl/>
        </w:rPr>
        <w:t xml:space="preserve"> وَلْيُوفُوا نُذُورَهُمْ وَلْيَطَّوَّفُوا بِالْبَيْتِ الْعَتِيقِ </w:t>
      </w:r>
      <w:r w:rsidRPr="001B78AE">
        <w:rPr>
          <w:rStyle w:val="libAlaemChar"/>
          <w:rtl/>
        </w:rPr>
        <w:t>)</w:t>
      </w:r>
      <w:r>
        <w:rPr>
          <w:rtl/>
          <w:lang w:bidi="fa-IR"/>
        </w:rPr>
        <w:t xml:space="preserve"> </w:t>
      </w:r>
      <w:r w:rsidRPr="00D10E3C">
        <w:rPr>
          <w:rStyle w:val="libFootnotenumChar"/>
          <w:rtl/>
        </w:rPr>
        <w:t>(5)</w:t>
      </w:r>
      <w:r>
        <w:rPr>
          <w:rtl/>
          <w:lang w:bidi="fa-IR"/>
        </w:rPr>
        <w:t xml:space="preserve"> قَالَ : « طَوَافُ النِّسَاءِ ». </w:t>
      </w:r>
      <w:r w:rsidRPr="00D10E3C">
        <w:rPr>
          <w:rStyle w:val="libFootnotenumChar"/>
          <w:rtl/>
        </w:rPr>
        <w:t>(6)</w:t>
      </w:r>
    </w:p>
    <w:p w:rsidR="00744A1C" w:rsidRDefault="00744A1C" w:rsidP="00744A1C">
      <w:pPr>
        <w:pStyle w:val="libNormal"/>
        <w:rPr>
          <w:lang w:bidi="fa-IR"/>
        </w:rPr>
      </w:pPr>
      <w:r>
        <w:rPr>
          <w:rtl/>
          <w:lang w:bidi="fa-IR"/>
        </w:rPr>
        <w:t>7943 / 3. عِدَّةٌ مِنْ أَصْحَابِنَا ، عَنْ أَحْمَدَ بْنِ مُحَمَّدٍ ، عَنِ الْحَسَنِ بْنِ عَلِيٍّ الْوَشَّاءِ ، عَنْ عَبْدِ اللهِ بْنِ سِنَانٍ ، عَنْ إِسْحَاقَ بْنِ عَمَّارٍ :</w:t>
      </w:r>
    </w:p>
    <w:p w:rsidR="00744A1C" w:rsidRDefault="00744A1C" w:rsidP="00D10E3C">
      <w:pPr>
        <w:pStyle w:val="libLine"/>
        <w:rPr>
          <w:lang w:bidi="fa-IR"/>
        </w:rPr>
      </w:pPr>
      <w:r>
        <w:rPr>
          <w:rtl/>
          <w:lang w:bidi="fa-IR"/>
        </w:rPr>
        <w:t>____________________</w:t>
      </w:r>
    </w:p>
    <w:p w:rsidR="00744A1C" w:rsidRDefault="00562DFF" w:rsidP="0045104A">
      <w:pPr>
        <w:pStyle w:val="libFootnote0"/>
        <w:rPr>
          <w:lang w:bidi="fa-IR"/>
        </w:rPr>
      </w:pPr>
      <w:r w:rsidRPr="00562DFF">
        <w:rPr>
          <w:rFonts w:hint="cs"/>
          <w:rtl/>
        </w:rPr>
        <w:t xml:space="preserve">= </w:t>
      </w:r>
      <w:r w:rsidR="00744A1C" w:rsidRPr="0061079A">
        <w:rPr>
          <w:rStyle w:val="libFootnoteBoldChar"/>
          <w:rtl/>
        </w:rPr>
        <w:t>الكافي</w:t>
      </w:r>
      <w:r w:rsidR="00744A1C">
        <w:rPr>
          <w:rtl/>
          <w:lang w:bidi="fa-IR"/>
        </w:rPr>
        <w:t xml:space="preserve"> ، كتاب الحجّ ، باب طواف النساء ، ح 7947 ؛ و</w:t>
      </w:r>
      <w:r w:rsidR="00744A1C" w:rsidRPr="00C24F9C">
        <w:rPr>
          <w:rStyle w:val="libFootnoteBoldChar"/>
          <w:rtl/>
        </w:rPr>
        <w:t>الفقيه</w:t>
      </w:r>
      <w:r w:rsidR="00744A1C">
        <w:rPr>
          <w:rtl/>
          <w:lang w:bidi="fa-IR"/>
        </w:rPr>
        <w:t xml:space="preserve"> ، ج 2 ، ص 387 ، ح 2777 ؛ </w:t>
      </w:r>
      <w:r w:rsidR="00744A1C" w:rsidRPr="0061079A">
        <w:rPr>
          <w:rStyle w:val="libFootnoteBoldChar"/>
          <w:rtl/>
        </w:rPr>
        <w:t>والتهذيب</w:t>
      </w:r>
      <w:r w:rsidR="00744A1C">
        <w:rPr>
          <w:rtl/>
          <w:lang w:bidi="fa-IR"/>
        </w:rPr>
        <w:t xml:space="preserve"> ، ج 5 ، ص 133 ، ح 349 ؛ وص 489 ، ح 1749 ؛ </w:t>
      </w:r>
      <w:r w:rsidR="00744A1C" w:rsidRPr="00C24F9C">
        <w:rPr>
          <w:rStyle w:val="libFootnoteBoldChar"/>
          <w:rtl/>
        </w:rPr>
        <w:t>والاستبصار</w:t>
      </w:r>
      <w:r w:rsidR="00744A1C">
        <w:rPr>
          <w:rtl/>
          <w:lang w:bidi="fa-IR"/>
        </w:rPr>
        <w:t xml:space="preserve"> ، ج 2 ، ص 231 ، ح 800</w:t>
      </w:r>
      <w:r w:rsidR="0045104A">
        <w:rPr>
          <w:rFonts w:hint="cs"/>
          <w:rtl/>
          <w:lang w:bidi="fa-IR"/>
        </w:rPr>
        <w:t>.</w:t>
      </w:r>
      <w:r w:rsidR="00744A1C" w:rsidRPr="00C24F9C">
        <w:rPr>
          <w:rStyle w:val="libFootnoteBoldChar"/>
          <w:rtl/>
        </w:rPr>
        <w:t>الوافي</w:t>
      </w:r>
      <w:r w:rsidR="00744A1C">
        <w:rPr>
          <w:rtl/>
          <w:lang w:bidi="fa-IR"/>
        </w:rPr>
        <w:t xml:space="preserve"> ، ج 14 ، ص 1240 ، ح 14180 ؛ </w:t>
      </w:r>
      <w:r w:rsidR="00744A1C" w:rsidRPr="00C24F9C">
        <w:rPr>
          <w:rStyle w:val="libFootnoteBoldChar"/>
          <w:rtl/>
        </w:rPr>
        <w:t>الوسائل</w:t>
      </w:r>
      <w:r w:rsidR="00744A1C">
        <w:rPr>
          <w:rtl/>
          <w:lang w:bidi="fa-IR"/>
        </w:rPr>
        <w:t xml:space="preserve"> ، ج 13 ، ص 417 ، ح 18101.</w:t>
      </w:r>
    </w:p>
    <w:p w:rsidR="00744A1C" w:rsidRDefault="00D10E3C" w:rsidP="00D10E3C">
      <w:pPr>
        <w:pStyle w:val="libFootnote0"/>
        <w:rPr>
          <w:lang w:bidi="fa-IR"/>
        </w:rPr>
      </w:pPr>
      <w:r>
        <w:rPr>
          <w:rtl/>
          <w:lang w:bidi="fa-IR"/>
        </w:rPr>
        <w:t>(1).</w:t>
      </w:r>
      <w:r w:rsidR="00744A1C">
        <w:rPr>
          <w:rtl/>
          <w:lang w:bidi="fa-IR"/>
        </w:rPr>
        <w:t xml:space="preserve"> الحجّ (22) : 29.</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18 ، ص 202 : « لعلّ المعنى أنّه أيضاً داخل في الآية ، ولعلّ في صيغة المبالغة إشعاراً بذلك. والظاهر أنّه ا</w:t>
      </w:r>
      <w:r w:rsidR="00862994">
        <w:rPr>
          <w:rFonts w:hint="cs"/>
          <w:rtl/>
          <w:lang w:bidi="fa-IR"/>
        </w:rPr>
        <w:t>ُ</w:t>
      </w:r>
      <w:r w:rsidR="00744A1C">
        <w:rPr>
          <w:rtl/>
          <w:lang w:bidi="fa-IR"/>
        </w:rPr>
        <w:t>طلق هنا طواف الفريضة على طواف النساء لإشعار تلك الآية بتعدّد الطواف. وقيل : المراد بطواف الفريضة هنا طواف الزيارة ، وحذف العاطف بينه وبين طواف النساء. ولايخلو من بعد ».</w:t>
      </w:r>
    </w:p>
    <w:p w:rsidR="00744A1C" w:rsidRDefault="00E378DD" w:rsidP="00837124">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252 ، ح 854 ؛ وص 285 ، ح 971 ، معلّقاً عن الكليني. </w:t>
      </w:r>
      <w:r w:rsidR="00744A1C" w:rsidRPr="00C24F9C">
        <w:rPr>
          <w:rStyle w:val="libFootnoteBoldChar"/>
          <w:rtl/>
        </w:rPr>
        <w:t>الفقيه</w:t>
      </w:r>
      <w:r w:rsidR="00744A1C">
        <w:rPr>
          <w:rtl/>
          <w:lang w:bidi="fa-IR"/>
        </w:rPr>
        <w:t xml:space="preserve"> ، ج 2 ، ص 486 ، ذيل ح 3036 ، مع اختلاف يسير</w:t>
      </w:r>
      <w:r w:rsidR="00837124">
        <w:rPr>
          <w:rFonts w:hint="cs"/>
          <w:rtl/>
          <w:lang w:bidi="fa-IR"/>
        </w:rPr>
        <w:t>.</w:t>
      </w:r>
      <w:r w:rsidR="00744A1C" w:rsidRPr="00C24F9C">
        <w:rPr>
          <w:rStyle w:val="libFootnoteBoldChar"/>
          <w:rtl/>
        </w:rPr>
        <w:t>الوافي</w:t>
      </w:r>
      <w:r w:rsidR="00744A1C">
        <w:rPr>
          <w:rtl/>
          <w:lang w:bidi="fa-IR"/>
        </w:rPr>
        <w:t xml:space="preserve"> ، ج 14 ، ص 1229 ، ح 14149 ؛ </w:t>
      </w:r>
      <w:r w:rsidR="00744A1C" w:rsidRPr="00C24F9C">
        <w:rPr>
          <w:rStyle w:val="libFootnoteBoldChar"/>
          <w:rtl/>
        </w:rPr>
        <w:t>الوسائل</w:t>
      </w:r>
      <w:r w:rsidR="00744A1C">
        <w:rPr>
          <w:rtl/>
          <w:lang w:bidi="fa-IR"/>
        </w:rPr>
        <w:t xml:space="preserve"> ، ج 13 ، ص 299 ، ح 17793.</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ص 285 : « أصحابنا ».</w:t>
      </w:r>
    </w:p>
    <w:p w:rsidR="00744A1C" w:rsidRDefault="00E378DD" w:rsidP="00E378DD">
      <w:pPr>
        <w:pStyle w:val="libFootnote0"/>
        <w:rPr>
          <w:lang w:bidi="fa-IR"/>
        </w:rPr>
      </w:pPr>
      <w:r>
        <w:rPr>
          <w:rtl/>
          <w:lang w:bidi="fa-IR"/>
        </w:rPr>
        <w:t>(5).</w:t>
      </w:r>
      <w:r w:rsidR="00744A1C">
        <w:rPr>
          <w:rtl/>
          <w:lang w:bidi="fa-IR"/>
        </w:rPr>
        <w:t xml:space="preserve"> الحجّ (22) : 29.</w:t>
      </w:r>
    </w:p>
    <w:p w:rsidR="00744A1C" w:rsidRDefault="00E378DD" w:rsidP="005B1ED1">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285 ، ح 972 ، معلّقاً عن الكليني. وفيه ، ص 253 ، ح 855 ، بسنده عن حمّاد الناب ، عن أبي عبدالله </w:t>
      </w:r>
      <w:r w:rsidR="0061079A" w:rsidRPr="0061079A">
        <w:rPr>
          <w:rStyle w:val="libFootnoteAlaemChar"/>
          <w:rtl/>
        </w:rPr>
        <w:t>عليه‌السلام</w:t>
      </w:r>
      <w:r w:rsidR="00D10E3C">
        <w:rPr>
          <w:rtl/>
          <w:lang w:bidi="fa-IR"/>
        </w:rPr>
        <w:t xml:space="preserve"> </w:t>
      </w:r>
      <w:r w:rsidR="00744A1C">
        <w:rPr>
          <w:rtl/>
          <w:lang w:bidi="fa-IR"/>
        </w:rPr>
        <w:t>، مع اختلاف يسير</w:t>
      </w:r>
      <w:r w:rsidR="005B1ED1">
        <w:rPr>
          <w:rFonts w:hint="cs"/>
          <w:rtl/>
          <w:lang w:bidi="fa-IR"/>
        </w:rPr>
        <w:t>.</w:t>
      </w:r>
      <w:r w:rsidR="00744A1C" w:rsidRPr="00C24F9C">
        <w:rPr>
          <w:rStyle w:val="libFootnoteBoldChar"/>
          <w:rtl/>
        </w:rPr>
        <w:t>الوافي</w:t>
      </w:r>
      <w:r w:rsidR="00744A1C">
        <w:rPr>
          <w:rtl/>
          <w:lang w:bidi="fa-IR"/>
        </w:rPr>
        <w:t xml:space="preserve"> ، ج 14 ، ص 1229 ، ح 14150 ؛ </w:t>
      </w:r>
      <w:r w:rsidR="00744A1C" w:rsidRPr="00C24F9C">
        <w:rPr>
          <w:rStyle w:val="libFootnoteBoldChar"/>
          <w:rtl/>
        </w:rPr>
        <w:t>الوسائل</w:t>
      </w:r>
      <w:r w:rsidR="00744A1C">
        <w:rPr>
          <w:rtl/>
          <w:lang w:bidi="fa-IR"/>
        </w:rPr>
        <w:t xml:space="preserve"> ، ج 13 ، ص 299 ، ح 17794.</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لَوْ لَامَا مَنَّ اللهُ - عَزَّ وَجَلَّ </w:t>
      </w:r>
      <w:r w:rsidRPr="00D10E3C">
        <w:rPr>
          <w:rStyle w:val="libFootnotenumChar"/>
          <w:rtl/>
        </w:rPr>
        <w:t>(1)</w:t>
      </w:r>
      <w:r>
        <w:rPr>
          <w:rtl/>
          <w:lang w:bidi="fa-IR"/>
        </w:rPr>
        <w:t xml:space="preserve"> - عَلَى النَّاسِ مِنْ طَوَافِ النِّسَاءِ ، لَرَجَعَ الرَّجُلُ إِلى أَهْلِهِ وَلَيْسَ يَحِلُّ </w:t>
      </w:r>
      <w:r w:rsidRPr="00D10E3C">
        <w:rPr>
          <w:rStyle w:val="libFootnotenumChar"/>
          <w:rtl/>
        </w:rPr>
        <w:t>(2)</w:t>
      </w:r>
      <w:r>
        <w:rPr>
          <w:rtl/>
          <w:lang w:bidi="fa-IR"/>
        </w:rPr>
        <w:t xml:space="preserve"> لَهُ أَهْلُهُ </w:t>
      </w:r>
      <w:r w:rsidRPr="00D10E3C">
        <w:rPr>
          <w:rStyle w:val="libFootnotenumChar"/>
          <w:rtl/>
        </w:rPr>
        <w:t>(3)</w:t>
      </w:r>
      <w:r>
        <w:rPr>
          <w:rtl/>
          <w:lang w:bidi="fa-IR"/>
        </w:rPr>
        <w:t xml:space="preserve"> ». </w:t>
      </w:r>
      <w:r w:rsidRPr="00D10E3C">
        <w:rPr>
          <w:rStyle w:val="libFootnotenumChar"/>
          <w:rtl/>
        </w:rPr>
        <w:t>(4)</w:t>
      </w:r>
    </w:p>
    <w:p w:rsidR="00744A1C" w:rsidRDefault="00744A1C" w:rsidP="00744A1C">
      <w:pPr>
        <w:pStyle w:val="libNormal"/>
        <w:rPr>
          <w:lang w:bidi="fa-IR"/>
        </w:rPr>
      </w:pPr>
      <w:r>
        <w:rPr>
          <w:rtl/>
          <w:lang w:bidi="fa-IR"/>
        </w:rPr>
        <w:t xml:space="preserve">7944 / 4. أَحْمَدُ بْنُ مُحَمَّدٍ </w:t>
      </w:r>
      <w:r w:rsidRPr="00D10E3C">
        <w:rPr>
          <w:rStyle w:val="libFootnotenumChar"/>
          <w:rtl/>
        </w:rPr>
        <w:t>(5)</w:t>
      </w:r>
      <w:r>
        <w:rPr>
          <w:rtl/>
          <w:lang w:bidi="fa-IR"/>
        </w:rPr>
        <w:t xml:space="preserve"> ، عَنِ الْحَسَنِ بْنِ عَلِيِّ بْنِ يَقْطِينٍ ، عَنْ أَخِيهِ الْحُسَيْنِ بْنِ ع</w:t>
      </w:r>
      <w:r w:rsidR="00EF6C93">
        <w:rPr>
          <w:rtl/>
          <w:lang w:bidi="fa-IR"/>
        </w:rPr>
        <w:t>َلِيِّ بْنِ يَقْطِينٍ ، قَالَ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 xml:space="preserve">عَنِ الْخِصْيَانِ </w:t>
      </w:r>
      <w:r w:rsidRPr="00D10E3C">
        <w:rPr>
          <w:rStyle w:val="libFootnotenumChar"/>
          <w:rtl/>
        </w:rPr>
        <w:t>(6)</w:t>
      </w:r>
      <w:r>
        <w:rPr>
          <w:rtl/>
          <w:lang w:bidi="fa-IR"/>
        </w:rPr>
        <w:t xml:space="preserve"> وَالْمَرْأَةِ الْكَبِيرَةِ </w:t>
      </w:r>
      <w:r w:rsidRPr="00D10E3C">
        <w:rPr>
          <w:rStyle w:val="libFootnotenumChar"/>
          <w:rtl/>
        </w:rPr>
        <w:t>(7)</w:t>
      </w:r>
      <w:r>
        <w:rPr>
          <w:rtl/>
          <w:lang w:bidi="fa-IR"/>
        </w:rPr>
        <w:t xml:space="preserve"> : أَعَلَيْهِمْ طَوَافُ النِّسَاءِ؟</w:t>
      </w:r>
    </w:p>
    <w:p w:rsidR="00744A1C" w:rsidRDefault="00744A1C" w:rsidP="00744A1C">
      <w:pPr>
        <w:pStyle w:val="libNormal"/>
        <w:rPr>
          <w:lang w:bidi="fa-IR"/>
        </w:rPr>
      </w:pPr>
      <w:r>
        <w:rPr>
          <w:rtl/>
          <w:lang w:bidi="fa-IR"/>
        </w:rPr>
        <w:t xml:space="preserve">قَالَ </w:t>
      </w:r>
      <w:r w:rsidRPr="00D10E3C">
        <w:rPr>
          <w:rStyle w:val="libFootnotenumChar"/>
          <w:rtl/>
        </w:rPr>
        <w:t>(8)</w:t>
      </w:r>
      <w:r>
        <w:rPr>
          <w:rtl/>
          <w:lang w:bidi="fa-IR"/>
        </w:rPr>
        <w:t xml:space="preserve"> : « نَعَمْ ، عَلَيْهِمُ الطَّوَافُ كُلِّهِمْ ». </w:t>
      </w:r>
      <w:r w:rsidRPr="00D10E3C">
        <w:rPr>
          <w:rStyle w:val="libFootnotenumChar"/>
          <w:rtl/>
        </w:rPr>
        <w:t>(9)</w:t>
      </w:r>
    </w:p>
    <w:p w:rsidR="00861E90" w:rsidRDefault="00744A1C" w:rsidP="004906EF">
      <w:pPr>
        <w:pStyle w:val="libNormal"/>
        <w:rPr>
          <w:lang w:bidi="fa-IR"/>
        </w:rPr>
      </w:pPr>
      <w:r>
        <w:rPr>
          <w:rtl/>
          <w:lang w:bidi="fa-IR"/>
        </w:rPr>
        <w:t xml:space="preserve">7945 / 5. عَلِيُّ بْنُ إِبْرَاهِيمَ ، عَنْ أَبِيهِ ، عَنِ ابْنِ أَبِي عُمَيْرٍ </w:t>
      </w:r>
      <w:r w:rsidRPr="00D10E3C">
        <w:rPr>
          <w:rStyle w:val="libFootnotenumChar"/>
          <w:rtl/>
        </w:rPr>
        <w:t>(10)</w:t>
      </w:r>
      <w:r>
        <w:rPr>
          <w:rtl/>
          <w:lang w:bidi="fa-IR"/>
        </w:rPr>
        <w:t xml:space="preserve"> ، عَنْ مُعَ</w:t>
      </w:r>
      <w:r w:rsidR="00861E90">
        <w:rPr>
          <w:rtl/>
          <w:lang w:bidi="fa-IR"/>
        </w:rPr>
        <w:t>اوِيَةَ بْنِ عَمَّارٍ ، قَالَ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3727AD" w:rsidTr="003727AD">
        <w:tc>
          <w:tcPr>
            <w:tcW w:w="4006" w:type="dxa"/>
          </w:tcPr>
          <w:p w:rsidR="003727AD" w:rsidRDefault="003727AD" w:rsidP="003727AD">
            <w:pPr>
              <w:pStyle w:val="libFootnote0"/>
              <w:rPr>
                <w:rtl/>
                <w:lang w:bidi="fa-IR"/>
              </w:rPr>
            </w:pPr>
            <w:r>
              <w:rPr>
                <w:rtl/>
                <w:lang w:bidi="fa-IR"/>
              </w:rPr>
              <w:t>(1). في«ى،بخ،بف»و</w:t>
            </w:r>
            <w:r w:rsidRPr="00C24F9C">
              <w:rPr>
                <w:rStyle w:val="libFootnoteBoldChar"/>
                <w:rtl/>
              </w:rPr>
              <w:t>الوافي</w:t>
            </w:r>
            <w:r>
              <w:rPr>
                <w:rtl/>
                <w:lang w:bidi="fa-IR"/>
              </w:rPr>
              <w:t xml:space="preserve"> </w:t>
            </w:r>
            <w:r w:rsidRPr="0061079A">
              <w:rPr>
                <w:rStyle w:val="libFootnoteBoldChar"/>
                <w:rtl/>
              </w:rPr>
              <w:t>والتهذيب</w:t>
            </w:r>
            <w:r>
              <w:rPr>
                <w:rtl/>
                <w:lang w:bidi="fa-IR"/>
              </w:rPr>
              <w:t>:+«به».</w:t>
            </w:r>
          </w:p>
        </w:tc>
        <w:tc>
          <w:tcPr>
            <w:tcW w:w="4006" w:type="dxa"/>
          </w:tcPr>
          <w:p w:rsidR="003727AD" w:rsidRDefault="003727AD" w:rsidP="003727AD">
            <w:pPr>
              <w:pStyle w:val="libFootnote0"/>
              <w:rPr>
                <w:rtl/>
                <w:lang w:bidi="fa-IR"/>
              </w:rPr>
            </w:pPr>
            <w:r>
              <w:rPr>
                <w:rtl/>
                <w:lang w:bidi="fa-IR"/>
              </w:rPr>
              <w:t xml:space="preserve">(2). في </w:t>
            </w:r>
            <w:r w:rsidRPr="00C24F9C">
              <w:rPr>
                <w:rStyle w:val="libFootnoteBoldChar"/>
                <w:rtl/>
              </w:rPr>
              <w:t>الوافي</w:t>
            </w:r>
            <w:r>
              <w:rPr>
                <w:rtl/>
                <w:lang w:bidi="fa-IR"/>
              </w:rPr>
              <w:t xml:space="preserve"> : « تحلّ ».</w:t>
            </w:r>
          </w:p>
        </w:tc>
      </w:tr>
    </w:tbl>
    <w:p w:rsidR="00744A1C" w:rsidRDefault="00E378DD" w:rsidP="00993B21">
      <w:pPr>
        <w:pStyle w:val="libFootnote0"/>
        <w:rPr>
          <w:lang w:bidi="fa-IR"/>
        </w:rPr>
      </w:pPr>
      <w:r>
        <w:rPr>
          <w:rtl/>
          <w:lang w:bidi="fa-IR"/>
        </w:rPr>
        <w:t>(3).</w:t>
      </w:r>
      <w:r w:rsidR="003727AD">
        <w:rPr>
          <w:rtl/>
          <w:lang w:bidi="fa-IR"/>
        </w:rPr>
        <w:t xml:space="preserve"> قال العل</w:t>
      </w:r>
      <w:r w:rsidR="003727AD">
        <w:rPr>
          <w:rFonts w:hint="cs"/>
          <w:rtl/>
        </w:rPr>
        <w:t>ّ</w:t>
      </w:r>
      <w:r w:rsidR="003727AD">
        <w:rPr>
          <w:rtl/>
          <w:lang w:bidi="fa-IR"/>
        </w:rPr>
        <w:t>ا</w:t>
      </w:r>
      <w:r w:rsidR="00744A1C">
        <w:rPr>
          <w:rtl/>
          <w:lang w:bidi="fa-IR"/>
        </w:rPr>
        <w:t xml:space="preserve">مة الفيض </w:t>
      </w:r>
      <w:r w:rsidR="00877682" w:rsidRPr="00877682">
        <w:rPr>
          <w:rStyle w:val="libFootnoteAlaemChar"/>
          <w:rtl/>
        </w:rPr>
        <w:t>رحمه‌الله</w:t>
      </w:r>
      <w:r w:rsidR="00744A1C">
        <w:rPr>
          <w:rtl/>
          <w:lang w:bidi="fa-IR"/>
        </w:rPr>
        <w:t xml:space="preserve">: « معناه ظاهر ، والأظهر طواف الوداع بدل طواف النساء ، كما يأتي من </w:t>
      </w:r>
      <w:r w:rsidR="00744A1C" w:rsidRPr="00C24F9C">
        <w:rPr>
          <w:rStyle w:val="libFootnoteBoldChar"/>
          <w:rtl/>
        </w:rPr>
        <w:t>التهذيب</w:t>
      </w:r>
      <w:r w:rsidR="00744A1C">
        <w:rPr>
          <w:rtl/>
          <w:lang w:bidi="fa-IR"/>
        </w:rPr>
        <w:t xml:space="preserve"> و</w:t>
      </w:r>
      <w:r w:rsidR="00744A1C" w:rsidRPr="00C24F9C">
        <w:rPr>
          <w:rStyle w:val="libFootnoteBoldChar"/>
          <w:rtl/>
        </w:rPr>
        <w:t>الفقيه</w:t>
      </w:r>
      <w:r w:rsidR="00744A1C">
        <w:rPr>
          <w:rtl/>
          <w:lang w:bidi="fa-IR"/>
        </w:rPr>
        <w:t xml:space="preserve"> ، يعني أنّ العامّة وإن لم يوجبوا طواف النساء ولا يأتون</w:t>
      </w:r>
      <w:r w:rsidR="00993B21">
        <w:rPr>
          <w:rFonts w:hint="cs"/>
          <w:rtl/>
          <w:lang w:bidi="fa-IR"/>
        </w:rPr>
        <w:t xml:space="preserve"> </w:t>
      </w:r>
      <w:r w:rsidR="00993B21">
        <w:rPr>
          <w:rtl/>
          <w:lang w:bidi="fa-IR"/>
        </w:rPr>
        <w:t>به ، إل</w:t>
      </w:r>
      <w:r w:rsidR="00993B21">
        <w:rPr>
          <w:rFonts w:hint="cs"/>
          <w:rtl/>
          <w:lang w:bidi="fa-IR"/>
        </w:rPr>
        <w:t>ّ</w:t>
      </w:r>
      <w:r w:rsidR="00993B21">
        <w:rPr>
          <w:rtl/>
          <w:lang w:bidi="fa-IR"/>
        </w:rPr>
        <w:t>ا</w:t>
      </w:r>
      <w:r w:rsidR="00744A1C">
        <w:rPr>
          <w:rtl/>
          <w:lang w:bidi="fa-IR"/>
        </w:rPr>
        <w:t xml:space="preserve"> أنّ طوافهم للوداع ينوب مناب طواف النساء لهم ، وبه تحلّ لهم النساء ، وهذا ممّا منّ الله تعالى به عليهم ، أو المراد أنّ من نسي طواف النساء ، وطاف طواف الوداع ، فهو قائم له مقامه بفضل الله ومنّته في حلّ النساء وإن لزمه التدارك ».</w:t>
      </w:r>
    </w:p>
    <w:p w:rsidR="00744A1C" w:rsidRDefault="00E378DD" w:rsidP="00310A61">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253 ، ح 856 ، بسنده عن عبدالله بن سنان ، مع اختلاف يسير</w:t>
      </w:r>
      <w:r w:rsidR="00310A61">
        <w:rPr>
          <w:rFonts w:hint="cs"/>
          <w:rtl/>
          <w:lang w:bidi="fa-IR"/>
        </w:rPr>
        <w:t>.</w:t>
      </w:r>
      <w:r w:rsidR="00744A1C" w:rsidRPr="00C24F9C">
        <w:rPr>
          <w:rStyle w:val="libFootnoteBoldChar"/>
          <w:rtl/>
        </w:rPr>
        <w:t>الوافي</w:t>
      </w:r>
      <w:r w:rsidR="00744A1C">
        <w:rPr>
          <w:rtl/>
          <w:lang w:bidi="fa-IR"/>
        </w:rPr>
        <w:t xml:space="preserve"> ، ج 14 ، ص 1230 ، ح 14154 ؛ </w:t>
      </w:r>
      <w:r w:rsidR="00744A1C" w:rsidRPr="00C24F9C">
        <w:rPr>
          <w:rStyle w:val="libFootnoteBoldChar"/>
          <w:rtl/>
        </w:rPr>
        <w:t>الوسائل</w:t>
      </w:r>
      <w:r w:rsidR="00744A1C">
        <w:rPr>
          <w:rtl/>
          <w:lang w:bidi="fa-IR"/>
        </w:rPr>
        <w:t xml:space="preserve"> ، ج 13 ، ص 298 ، ح 17791.</w:t>
      </w:r>
    </w:p>
    <w:p w:rsidR="00744A1C" w:rsidRDefault="00E378DD" w:rsidP="00E378DD">
      <w:pPr>
        <w:pStyle w:val="libFootnote0"/>
        <w:rPr>
          <w:lang w:bidi="fa-IR"/>
        </w:rPr>
      </w:pPr>
      <w:r>
        <w:rPr>
          <w:rtl/>
          <w:lang w:bidi="fa-IR"/>
        </w:rPr>
        <w:t>(5).</w:t>
      </w:r>
      <w:r w:rsidR="00744A1C">
        <w:rPr>
          <w:rtl/>
          <w:lang w:bidi="fa-IR"/>
        </w:rPr>
        <w:t xml:space="preserve"> السند معلّق على سابقه. ويروي عن أحمد بن محمّد ، عدّة من أصحابنا.</w:t>
      </w:r>
    </w:p>
    <w:p w:rsidR="00744A1C" w:rsidRDefault="00E378DD" w:rsidP="00E378DD">
      <w:pPr>
        <w:pStyle w:val="libFootnote0"/>
        <w:rPr>
          <w:lang w:bidi="fa-IR"/>
        </w:rPr>
      </w:pPr>
      <w:r>
        <w:rPr>
          <w:rtl/>
          <w:lang w:bidi="fa-IR"/>
        </w:rPr>
        <w:t>(6).</w:t>
      </w:r>
      <w:r w:rsidR="00744A1C">
        <w:rPr>
          <w:rtl/>
          <w:lang w:bidi="fa-IR"/>
        </w:rPr>
        <w:t xml:space="preserve"> قال الفيّومي : « خَصَيْتُ العبدَ أخْصِيه خِصاءً - بالكسر والمدّ - : سَلَلْتُ خُصْيَيْه ، فهو خَصيّ ، فَعيل بمعنى مفعول مثل جريح وقتيل ، والجمع : خِصْيان ». </w:t>
      </w:r>
      <w:r w:rsidR="00744A1C" w:rsidRPr="00E978C3">
        <w:rPr>
          <w:rStyle w:val="libFootnoteBoldChar"/>
          <w:rtl/>
        </w:rPr>
        <w:t>المصباح المنير</w:t>
      </w:r>
      <w:r w:rsidR="00744A1C">
        <w:rPr>
          <w:rtl/>
          <w:lang w:bidi="fa-IR"/>
        </w:rPr>
        <w:t xml:space="preserve"> ، ص 171 ( خصي ).</w:t>
      </w:r>
    </w:p>
    <w:p w:rsidR="00744A1C" w:rsidRDefault="00E378DD" w:rsidP="00D50D1B">
      <w:pPr>
        <w:pStyle w:val="libFootnote0"/>
        <w:rPr>
          <w:lang w:bidi="fa-IR"/>
        </w:rPr>
      </w:pPr>
      <w:r>
        <w:rPr>
          <w:rtl/>
          <w:lang w:bidi="fa-IR"/>
        </w:rPr>
        <w:t>(7).</w:t>
      </w:r>
      <w:r w:rsidR="00744A1C">
        <w:rPr>
          <w:rtl/>
          <w:lang w:bidi="fa-IR"/>
        </w:rPr>
        <w:t xml:space="preserve"> قال المحقّق الشعراني </w:t>
      </w:r>
      <w:r w:rsidR="00877682" w:rsidRPr="00877682">
        <w:rPr>
          <w:rStyle w:val="libFootnoteAlaemChar"/>
          <w:rtl/>
        </w:rPr>
        <w:t>رحمه‌الله</w:t>
      </w:r>
      <w:r w:rsidR="00744A1C">
        <w:rPr>
          <w:rtl/>
          <w:lang w:bidi="fa-IR"/>
        </w:rPr>
        <w:t xml:space="preserve">في هامش </w:t>
      </w:r>
      <w:r w:rsidR="00744A1C" w:rsidRPr="00C24F9C">
        <w:rPr>
          <w:rStyle w:val="libFootnoteBoldChar"/>
          <w:rtl/>
        </w:rPr>
        <w:t>الوافي</w:t>
      </w:r>
      <w:r w:rsidR="00744A1C">
        <w:rPr>
          <w:rtl/>
          <w:lang w:bidi="fa-IR"/>
        </w:rPr>
        <w:t xml:space="preserve"> : « قوله : </w:t>
      </w:r>
      <w:r w:rsidR="00744A1C" w:rsidRPr="00C24F9C">
        <w:rPr>
          <w:rStyle w:val="libFootnoteBoldChar"/>
          <w:rtl/>
        </w:rPr>
        <w:t>المرأة</w:t>
      </w:r>
      <w:r w:rsidR="00744A1C">
        <w:rPr>
          <w:rtl/>
          <w:lang w:bidi="fa-IR"/>
        </w:rPr>
        <w:t xml:space="preserve"> الكبيرة ، يدلّ على أنّ </w:t>
      </w:r>
      <w:r w:rsidR="00744A1C" w:rsidRPr="00C24F9C">
        <w:rPr>
          <w:rStyle w:val="libFootnoteBoldChar"/>
          <w:rtl/>
        </w:rPr>
        <w:t>المرأة</w:t>
      </w:r>
      <w:r w:rsidR="00744A1C">
        <w:rPr>
          <w:rtl/>
          <w:lang w:bidi="fa-IR"/>
        </w:rPr>
        <w:t xml:space="preserve"> أيضاً يجب عليها طواف النساء ، وبدونه لا يحلّ لها الرجال ، وذكر </w:t>
      </w:r>
      <w:r w:rsidR="00744A1C" w:rsidRPr="00C24F9C">
        <w:rPr>
          <w:rStyle w:val="libFootnoteBoldChar"/>
          <w:rtl/>
        </w:rPr>
        <w:t>المرأة</w:t>
      </w:r>
      <w:r w:rsidR="00744A1C">
        <w:rPr>
          <w:rtl/>
          <w:lang w:bidi="fa-IR"/>
        </w:rPr>
        <w:t xml:space="preserve"> الكبيرة بالخصوص ؛ لأنّها لا يرغب فيها الرجل ، فيتوهّم أن ليس عليها طواف ».</w:t>
      </w:r>
      <w:r w:rsidR="00D50D1B">
        <w:rPr>
          <w:rFonts w:hint="cs"/>
          <w:rtl/>
          <w:lang w:bidi="fa-IR"/>
        </w:rPr>
        <w:t xml:space="preserve">          </w:t>
      </w:r>
      <w:r w:rsidR="00097CCA">
        <w:rPr>
          <w:rFonts w:hint="cs"/>
          <w:rtl/>
          <w:lang w:bidi="fa-IR"/>
        </w:rPr>
        <w:t xml:space="preserve">                   </w:t>
      </w:r>
      <w:r w:rsidR="00D50D1B">
        <w:rPr>
          <w:rFonts w:hint="cs"/>
          <w:rtl/>
          <w:lang w:bidi="fa-IR"/>
        </w:rPr>
        <w:t xml:space="preserve">                 </w:t>
      </w:r>
      <w:r>
        <w:rPr>
          <w:rtl/>
          <w:lang w:bidi="fa-IR"/>
        </w:rPr>
        <w:t>(8).</w:t>
      </w:r>
      <w:r w:rsidR="00744A1C">
        <w:rPr>
          <w:rtl/>
          <w:lang w:bidi="fa-IR"/>
        </w:rPr>
        <w:t xml:space="preserve"> في « بث ، بف » : « فقال ».</w:t>
      </w:r>
    </w:p>
    <w:p w:rsidR="00744A1C" w:rsidRDefault="00E378DD" w:rsidP="00A67332">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255 ، ح 864 ، معلّقاً عن الكليني</w:t>
      </w:r>
      <w:r w:rsidR="00A67332">
        <w:rPr>
          <w:rFonts w:hint="cs"/>
          <w:rtl/>
          <w:lang w:bidi="fa-IR"/>
        </w:rPr>
        <w:t>.</w:t>
      </w:r>
      <w:r w:rsidR="00744A1C" w:rsidRPr="00C24F9C">
        <w:rPr>
          <w:rStyle w:val="libFootnoteBoldChar"/>
          <w:rtl/>
        </w:rPr>
        <w:t>الوافي</w:t>
      </w:r>
      <w:r w:rsidR="00744A1C">
        <w:rPr>
          <w:rtl/>
          <w:lang w:bidi="fa-IR"/>
        </w:rPr>
        <w:t xml:space="preserve"> ، ج 14 ، ص 1231 ، ح 14156 ؛ </w:t>
      </w:r>
      <w:r w:rsidR="00744A1C" w:rsidRPr="00C24F9C">
        <w:rPr>
          <w:rStyle w:val="libFootnoteBoldChar"/>
          <w:rtl/>
        </w:rPr>
        <w:t>الوسائل</w:t>
      </w:r>
      <w:r w:rsidR="00744A1C">
        <w:rPr>
          <w:rtl/>
          <w:lang w:bidi="fa-IR"/>
        </w:rPr>
        <w:t xml:space="preserve"> ، ج 13 ، ص 298 ، ح 17790.</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ح 922 </w:t>
      </w:r>
      <w:r w:rsidR="00744A1C" w:rsidRPr="00C24F9C">
        <w:rPr>
          <w:rStyle w:val="libFootnoteBoldChar"/>
          <w:rtl/>
        </w:rPr>
        <w:t>والاستبصار</w:t>
      </w:r>
      <w:r w:rsidR="00744A1C">
        <w:rPr>
          <w:rtl/>
          <w:lang w:bidi="fa-IR"/>
        </w:rPr>
        <w:t xml:space="preserve"> ، ح 789 : « رجل » بدل « ابن أبي عمير ».</w:t>
      </w:r>
    </w:p>
    <w:p w:rsidR="00744A1C" w:rsidRDefault="00744A1C" w:rsidP="00D10E3C">
      <w:pPr>
        <w:pStyle w:val="libFootnote0"/>
        <w:rPr>
          <w:lang w:bidi="fa-IR"/>
        </w:rPr>
      </w:pPr>
      <w:r>
        <w:rPr>
          <w:rtl/>
          <w:lang w:bidi="fa-IR"/>
        </w:rPr>
        <w:t xml:space="preserve">هذا ، ولم نجد توسُّط عنوان مبهم بين إبراهيم بن هاشم ومعاوية بن عمّار في موضع ، وقد توسَّطَ ابن أبي عمير بينهما في كثيرٍ من الأسناد في كتاب الحجّ وغيره من الكتب. راجع : </w:t>
      </w:r>
      <w:r w:rsidRPr="0061079A">
        <w:rPr>
          <w:rStyle w:val="libFootnoteBoldChar"/>
          <w:rtl/>
        </w:rPr>
        <w:t>معجم رجال الحديث</w:t>
      </w:r>
      <w:r>
        <w:rPr>
          <w:rtl/>
          <w:lang w:bidi="fa-IR"/>
        </w:rPr>
        <w:t xml:space="preserve"> ، ج 22 ، ص 306 - 309.</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رَجُلٌ نَسِيَ طَوَافَ النِّسَاءِ حَتّى دَخَلَ </w:t>
      </w:r>
      <w:r w:rsidRPr="00D10E3C">
        <w:rPr>
          <w:rStyle w:val="libFootnotenumChar"/>
          <w:rtl/>
        </w:rPr>
        <w:t>(1)</w:t>
      </w:r>
      <w:r>
        <w:rPr>
          <w:rtl/>
          <w:lang w:bidi="fa-IR"/>
        </w:rPr>
        <w:t xml:space="preserve"> أَهْلَهُ </w:t>
      </w:r>
      <w:r w:rsidRPr="00D10E3C">
        <w:rPr>
          <w:rStyle w:val="libFootnotenumChar"/>
          <w:rtl/>
        </w:rPr>
        <w:t>(2)</w:t>
      </w:r>
      <w:r w:rsidR="00A67332">
        <w:rPr>
          <w:rFonts w:hint="cs"/>
          <w:rtl/>
          <w:lang w:bidi="fa-IR"/>
        </w:rPr>
        <w:t>.</w:t>
      </w:r>
    </w:p>
    <w:p w:rsidR="00744A1C" w:rsidRDefault="00744A1C" w:rsidP="00744A1C">
      <w:pPr>
        <w:pStyle w:val="libNormal"/>
        <w:rPr>
          <w:lang w:bidi="fa-IR"/>
        </w:rPr>
      </w:pPr>
      <w:r>
        <w:rPr>
          <w:rtl/>
          <w:lang w:bidi="fa-IR"/>
        </w:rPr>
        <w:t xml:space="preserve">قَالَ : « لَا تَحِلُّ </w:t>
      </w:r>
      <w:r w:rsidRPr="00D10E3C">
        <w:rPr>
          <w:rStyle w:val="libFootnotenumChar"/>
          <w:rtl/>
        </w:rPr>
        <w:t>(3)</w:t>
      </w:r>
      <w:r>
        <w:rPr>
          <w:rtl/>
          <w:lang w:bidi="fa-IR"/>
        </w:rPr>
        <w:t xml:space="preserve"> لَهُ النِّسَاءُ حَتّى يَزُورَ الْبَيْتَ » </w:t>
      </w:r>
      <w:r w:rsidRPr="00D10E3C">
        <w:rPr>
          <w:rStyle w:val="libFootnotenumChar"/>
          <w:rtl/>
        </w:rPr>
        <w:t>(4)</w:t>
      </w:r>
      <w:r>
        <w:rPr>
          <w:rtl/>
          <w:lang w:bidi="fa-IR"/>
        </w:rPr>
        <w:t xml:space="preserve"> وَقَالَ : « يَأْمُرُ أَنْ </w:t>
      </w:r>
      <w:r w:rsidRPr="00D10E3C">
        <w:rPr>
          <w:rStyle w:val="libFootnotenumChar"/>
          <w:rtl/>
        </w:rPr>
        <w:t>(5)</w:t>
      </w:r>
      <w:r>
        <w:rPr>
          <w:rtl/>
          <w:lang w:bidi="fa-IR"/>
        </w:rPr>
        <w:t xml:space="preserve"> يُقْضى عَنْهُ إِنْ لَمْ يَحُجَّ </w:t>
      </w:r>
      <w:r w:rsidRPr="00D10E3C">
        <w:rPr>
          <w:rStyle w:val="libFootnotenumChar"/>
          <w:rtl/>
        </w:rPr>
        <w:t>(6)</w:t>
      </w:r>
      <w:r>
        <w:rPr>
          <w:rtl/>
          <w:lang w:bidi="fa-IR"/>
        </w:rPr>
        <w:t xml:space="preserve"> ، فَإِنْ تُوُفِّيَ قَبْلَ أَنْ يُطَافَ عَنْهُ ، فَلْيَقْضِ عَنْهُ وَلِيُّهُ </w:t>
      </w:r>
      <w:r w:rsidRPr="00D10E3C">
        <w:rPr>
          <w:rStyle w:val="libFootnotenumChar"/>
          <w:rtl/>
        </w:rPr>
        <w:t>(7)</w:t>
      </w:r>
      <w:r>
        <w:rPr>
          <w:rtl/>
          <w:lang w:bidi="fa-IR"/>
        </w:rPr>
        <w:t xml:space="preserve"> أَوْ غَيْرُهُ ». </w:t>
      </w:r>
      <w:r w:rsidRPr="00D10E3C">
        <w:rPr>
          <w:rStyle w:val="libFootnotenumChar"/>
          <w:rtl/>
        </w:rPr>
        <w:t>(8)</w:t>
      </w:r>
    </w:p>
    <w:p w:rsidR="00744A1C" w:rsidRDefault="00744A1C" w:rsidP="00744A1C">
      <w:pPr>
        <w:pStyle w:val="libNormal"/>
        <w:rPr>
          <w:lang w:bidi="fa-IR"/>
        </w:rPr>
      </w:pPr>
      <w:r>
        <w:rPr>
          <w:rtl/>
          <w:lang w:bidi="fa-IR"/>
        </w:rPr>
        <w:t>7946 / 6. مُحَمَّدُ بْنُ يَحْيى ، عَنْ أَحْمَدَ بْنِ مُحَمَّدٍ ، عَنْ مُحَمَّدِ بْنِ سِنَانٍ ، عَنِ ابْنِ مُسْكَان</w:t>
      </w:r>
      <w:r w:rsidR="006548D1">
        <w:rPr>
          <w:rtl/>
          <w:lang w:bidi="fa-IR"/>
        </w:rPr>
        <w:t>َ ، عَنِ الْحَلَبِيِّ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الْمَرْأَةِ الْمُتَمَتِّعَةِ تَطُوفُ بِالْبَيْتِ وَبِالصَّفَا وَالْمَرْوَةِ لِلْحَجِّ ، ثُمَّ تَرْجِعُ إِلى مِنًى </w:t>
      </w:r>
      <w:r w:rsidRPr="00D10E3C">
        <w:rPr>
          <w:rStyle w:val="libFootnotenumChar"/>
          <w:rtl/>
        </w:rPr>
        <w:t>(9)</w:t>
      </w:r>
      <w:r>
        <w:rPr>
          <w:rtl/>
          <w:lang w:bidi="fa-IR"/>
        </w:rPr>
        <w:t xml:space="preserve"> قَبْلَ أَنْ تَطُوفَ بِالْبَيْتِ؟</w:t>
      </w:r>
    </w:p>
    <w:p w:rsidR="00744A1C" w:rsidRDefault="00744A1C" w:rsidP="00744A1C">
      <w:pPr>
        <w:pStyle w:val="libNormal"/>
        <w:rPr>
          <w:lang w:bidi="fa-IR"/>
        </w:rPr>
      </w:pPr>
      <w:r>
        <w:rPr>
          <w:rtl/>
          <w:lang w:bidi="fa-IR"/>
        </w:rPr>
        <w:t xml:space="preserve">فَقَالَ : « أَلَيْسَ تَزُورُ الْبَيْتَ؟ » قُلْتُ : بَلى ، قَالَ : « فَلْتَطُفْ </w:t>
      </w:r>
      <w:r w:rsidRPr="00D10E3C">
        <w:rPr>
          <w:rStyle w:val="libFootnotenumChar"/>
          <w:rtl/>
        </w:rPr>
        <w:t>(10)</w:t>
      </w:r>
      <w:r>
        <w:rPr>
          <w:rtl/>
          <w:lang w:bidi="fa-IR"/>
        </w:rPr>
        <w:t xml:space="preserve"> ». </w:t>
      </w:r>
      <w:r w:rsidRPr="00D10E3C">
        <w:rPr>
          <w:rStyle w:val="libFootnotenumChar"/>
          <w:rtl/>
        </w:rPr>
        <w:t>(11)</w:t>
      </w:r>
    </w:p>
    <w:p w:rsidR="00744A1C" w:rsidRDefault="00744A1C" w:rsidP="00744A1C">
      <w:pPr>
        <w:pStyle w:val="libNormal"/>
        <w:rPr>
          <w:lang w:bidi="fa-IR"/>
        </w:rPr>
      </w:pPr>
      <w:r>
        <w:rPr>
          <w:rtl/>
          <w:lang w:bidi="fa-IR"/>
        </w:rPr>
        <w:t>7947 / 7. أَبُو عَلِيٍّ الْأَشْعَرِيُّ ، عَنْ مُحَمَّدِ بْنِ عَبْدِ الْجَبَّارِ ، عَنْ صَفْوَانَ بْنِ يَحْيى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ح 865 و 1746 و 1747 : « حتّى رجع إلى ». وفي </w:t>
      </w:r>
      <w:r w:rsidR="00744A1C" w:rsidRPr="00C24F9C">
        <w:rPr>
          <w:rStyle w:val="libFootnoteBoldChar"/>
          <w:rtl/>
        </w:rPr>
        <w:t>التهذيب</w:t>
      </w:r>
      <w:r w:rsidR="00744A1C">
        <w:rPr>
          <w:rtl/>
          <w:lang w:bidi="fa-IR"/>
        </w:rPr>
        <w:t xml:space="preserve"> ، ح 857 و 866 </w:t>
      </w:r>
      <w:r w:rsidR="00744A1C" w:rsidRPr="00C24F9C">
        <w:rPr>
          <w:rStyle w:val="libFootnoteBoldChar"/>
          <w:rtl/>
        </w:rPr>
        <w:t>والاستبصار</w:t>
      </w:r>
      <w:r w:rsidR="00744A1C">
        <w:rPr>
          <w:rtl/>
          <w:lang w:bidi="fa-IR"/>
        </w:rPr>
        <w:t xml:space="preserve"> ، ح 807 و 808 : « حتّى يرجع إلى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ح 767 </w:t>
      </w:r>
      <w:r w:rsidR="00744A1C" w:rsidRPr="00C24F9C">
        <w:rPr>
          <w:rStyle w:val="libFootnoteBoldChar"/>
          <w:rtl/>
        </w:rPr>
        <w:t>والاستبصار</w:t>
      </w:r>
      <w:r w:rsidR="00744A1C">
        <w:rPr>
          <w:rtl/>
          <w:lang w:bidi="fa-IR"/>
        </w:rPr>
        <w:t xml:space="preserve"> ، ح 809 : « حتّى أتى الكوفة ».</w:t>
      </w:r>
    </w:p>
    <w:p w:rsidR="00744A1C" w:rsidRDefault="00E378DD" w:rsidP="00E378DD">
      <w:pPr>
        <w:pStyle w:val="libFootnote0"/>
        <w:rPr>
          <w:lang w:bidi="fa-IR"/>
        </w:rPr>
      </w:pPr>
      <w:r>
        <w:rPr>
          <w:rtl/>
          <w:lang w:bidi="fa-IR"/>
        </w:rPr>
        <w:t>(3).</w:t>
      </w:r>
      <w:r w:rsidR="00744A1C">
        <w:rPr>
          <w:rtl/>
          <w:lang w:bidi="fa-IR"/>
        </w:rPr>
        <w:t xml:space="preserve"> في « ى ، بث ، بخ ، بس ، جد ، جن » </w:t>
      </w:r>
      <w:r w:rsidR="00744A1C" w:rsidRPr="00C24F9C">
        <w:rPr>
          <w:rStyle w:val="libFootnoteBoldChar"/>
          <w:rtl/>
        </w:rPr>
        <w:t>والاستبصار</w:t>
      </w:r>
      <w:r w:rsidR="00744A1C">
        <w:rPr>
          <w:rtl/>
          <w:lang w:bidi="fa-IR"/>
        </w:rPr>
        <w:t xml:space="preserve"> ، ح 789 : « لا يحلّ ».</w:t>
      </w:r>
    </w:p>
    <w:tbl>
      <w:tblPr>
        <w:tblStyle w:val="TableGrid"/>
        <w:bidiVisual/>
        <w:tblW w:w="0" w:type="auto"/>
        <w:tblLook w:val="04A0" w:firstRow="1" w:lastRow="0" w:firstColumn="1" w:lastColumn="0" w:noHBand="0" w:noVBand="1"/>
      </w:tblPr>
      <w:tblGrid>
        <w:gridCol w:w="4006"/>
        <w:gridCol w:w="4006"/>
      </w:tblGrid>
      <w:tr w:rsidR="00786777" w:rsidTr="00786777">
        <w:tc>
          <w:tcPr>
            <w:tcW w:w="4006" w:type="dxa"/>
          </w:tcPr>
          <w:p w:rsidR="00786777" w:rsidRDefault="00786777" w:rsidP="00E378DD">
            <w:pPr>
              <w:pStyle w:val="libFootnote0"/>
              <w:rPr>
                <w:rtl/>
                <w:lang w:bidi="fa-IR"/>
              </w:rPr>
            </w:pPr>
            <w:r>
              <w:rPr>
                <w:rtl/>
                <w:lang w:bidi="fa-IR"/>
              </w:rPr>
              <w:t xml:space="preserve">(4). في </w:t>
            </w:r>
            <w:r w:rsidRPr="00C24F9C">
              <w:rPr>
                <w:rStyle w:val="libFootnoteBoldChar"/>
                <w:rtl/>
              </w:rPr>
              <w:t>التهذيب</w:t>
            </w:r>
            <w:r>
              <w:rPr>
                <w:rtl/>
                <w:lang w:bidi="fa-IR"/>
              </w:rPr>
              <w:t xml:space="preserve"> ، ح 857 : + « ويطوف ».</w:t>
            </w:r>
          </w:p>
        </w:tc>
        <w:tc>
          <w:tcPr>
            <w:tcW w:w="4006" w:type="dxa"/>
          </w:tcPr>
          <w:p w:rsidR="00786777" w:rsidRDefault="00786777" w:rsidP="00246039">
            <w:pPr>
              <w:pStyle w:val="libFootnote0"/>
              <w:rPr>
                <w:rtl/>
                <w:lang w:bidi="fa-IR"/>
              </w:rPr>
            </w:pPr>
            <w:r>
              <w:rPr>
                <w:rtl/>
                <w:lang w:bidi="fa-IR"/>
              </w:rPr>
              <w:t>(5). في«جن»و</w:t>
            </w:r>
            <w:r w:rsidRPr="00C24F9C">
              <w:rPr>
                <w:rStyle w:val="libFootnoteBoldChar"/>
                <w:rtl/>
              </w:rPr>
              <w:t>الوافي</w:t>
            </w:r>
            <w:r>
              <w:rPr>
                <w:rtl/>
                <w:lang w:bidi="fa-IR"/>
              </w:rPr>
              <w:t xml:space="preserve"> </w:t>
            </w:r>
            <w:r w:rsidRPr="0061079A">
              <w:rPr>
                <w:rStyle w:val="libFootnoteBoldChar"/>
                <w:rtl/>
              </w:rPr>
              <w:t>والتهذيب</w:t>
            </w:r>
            <w:r>
              <w:rPr>
                <w:rtl/>
                <w:lang w:bidi="fa-IR"/>
              </w:rPr>
              <w:t>،ح922:«من».</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التهذيب</w:t>
      </w:r>
      <w:r w:rsidR="00744A1C">
        <w:rPr>
          <w:rtl/>
          <w:lang w:bidi="fa-IR"/>
        </w:rPr>
        <w:t xml:space="preserve"> ، ح 857 و 865 و 1747 </w:t>
      </w:r>
      <w:r w:rsidR="00744A1C" w:rsidRPr="00C24F9C">
        <w:rPr>
          <w:rStyle w:val="libFootnoteBoldChar"/>
          <w:rtl/>
        </w:rPr>
        <w:t>والاستبصار</w:t>
      </w:r>
      <w:r w:rsidR="00744A1C">
        <w:rPr>
          <w:rtl/>
          <w:lang w:bidi="fa-IR"/>
        </w:rPr>
        <w:t xml:space="preserve"> ، ح 807 : - « وقال : يأمر أن يقضى عنه إن لم يحجّ ».</w:t>
      </w:r>
    </w:p>
    <w:p w:rsidR="00744A1C" w:rsidRDefault="00E378DD" w:rsidP="00E378DD">
      <w:pPr>
        <w:pStyle w:val="libFootnote0"/>
        <w:rPr>
          <w:lang w:bidi="fa-IR"/>
        </w:rPr>
      </w:pPr>
      <w:r>
        <w:rPr>
          <w:rtl/>
          <w:lang w:bidi="fa-IR"/>
        </w:rPr>
        <w:t>(7).</w:t>
      </w:r>
      <w:r w:rsidR="00744A1C">
        <w:rPr>
          <w:rtl/>
          <w:lang w:bidi="fa-IR"/>
        </w:rPr>
        <w:t xml:space="preserve"> قال المحقّق الشعراني </w:t>
      </w:r>
      <w:r w:rsidR="00877682" w:rsidRPr="00877682">
        <w:rPr>
          <w:rStyle w:val="libFootnoteAlaemChar"/>
          <w:rtl/>
        </w:rPr>
        <w:t>رحمه‌الله</w:t>
      </w:r>
      <w:r w:rsidR="00744A1C">
        <w:rPr>
          <w:rtl/>
          <w:lang w:bidi="fa-IR"/>
        </w:rPr>
        <w:t xml:space="preserve">في هامش </w:t>
      </w:r>
      <w:r w:rsidR="00744A1C" w:rsidRPr="00C24F9C">
        <w:rPr>
          <w:rStyle w:val="libFootnoteBoldChar"/>
          <w:rtl/>
        </w:rPr>
        <w:t>الوافي</w:t>
      </w:r>
      <w:r w:rsidR="00744A1C">
        <w:rPr>
          <w:rtl/>
          <w:lang w:bidi="fa-IR"/>
        </w:rPr>
        <w:t xml:space="preserve"> : « الظاهر أنّه كسائر أعمال الحجّ فيما ترك الميّت ».</w:t>
      </w:r>
    </w:p>
    <w:p w:rsidR="00744A1C" w:rsidRDefault="00E378DD" w:rsidP="00AA124E">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128 ، ح 922 ؛ </w:t>
      </w:r>
      <w:r w:rsidR="00744A1C" w:rsidRPr="00C24F9C">
        <w:rPr>
          <w:rStyle w:val="libFootnoteBoldChar"/>
          <w:rtl/>
        </w:rPr>
        <w:t>والاستبصار</w:t>
      </w:r>
      <w:r w:rsidR="00744A1C">
        <w:rPr>
          <w:rtl/>
          <w:lang w:bidi="fa-IR"/>
        </w:rPr>
        <w:t xml:space="preserve"> ، ج 2 ، ص 228 ، ح 789 ، معلّقاً عن الكليني. وفي </w:t>
      </w:r>
      <w:r w:rsidR="00744A1C" w:rsidRPr="00C24F9C">
        <w:rPr>
          <w:rStyle w:val="libFootnoteBoldChar"/>
          <w:rtl/>
        </w:rPr>
        <w:t>التهذيب</w:t>
      </w:r>
      <w:r w:rsidR="00744A1C">
        <w:rPr>
          <w:rtl/>
          <w:lang w:bidi="fa-IR"/>
        </w:rPr>
        <w:t xml:space="preserve"> ، ج 5 ، ص 256 ، ح 767 ؛ </w:t>
      </w:r>
      <w:r w:rsidR="00744A1C" w:rsidRPr="00C24F9C">
        <w:rPr>
          <w:rStyle w:val="libFootnoteBoldChar"/>
          <w:rtl/>
        </w:rPr>
        <w:t>والاستبصار</w:t>
      </w:r>
      <w:r w:rsidR="00744A1C">
        <w:rPr>
          <w:rtl/>
          <w:lang w:bidi="fa-IR"/>
        </w:rPr>
        <w:t xml:space="preserve"> ، ج 2 ، ص 233 ، ح 809 ، بسندهما عن محمّد بن أبي عمير ، عن معاوية بن عمّار ، إلى قوله : « قال : يأمر أن يقضى عنه ». </w:t>
      </w:r>
      <w:r w:rsidR="00744A1C" w:rsidRPr="00C24F9C">
        <w:rPr>
          <w:rStyle w:val="libFootnoteBoldChar"/>
          <w:rtl/>
        </w:rPr>
        <w:t>الفقيه</w:t>
      </w:r>
      <w:r w:rsidR="00744A1C">
        <w:rPr>
          <w:rtl/>
          <w:lang w:bidi="fa-IR"/>
        </w:rPr>
        <w:t xml:space="preserve"> ، ج 2 ، ص 389 ، ح 2786 ، معلّقاً عن معاوية بن عمّار ، إلى قوله : « يقضى عنه إن لم يحجّ ». وفي </w:t>
      </w:r>
      <w:r w:rsidR="00744A1C" w:rsidRPr="00C24F9C">
        <w:rPr>
          <w:rStyle w:val="libFootnoteBoldChar"/>
          <w:rtl/>
        </w:rPr>
        <w:t>التهذيب</w:t>
      </w:r>
      <w:r w:rsidR="00744A1C">
        <w:rPr>
          <w:rtl/>
          <w:lang w:bidi="fa-IR"/>
        </w:rPr>
        <w:t xml:space="preserve"> ، ج 5 ، ص 253 ، ح 857 ؛ وص 255 ، ح 865 ؛ وص 489 ، ح 1747 ؛ </w:t>
      </w:r>
      <w:r w:rsidR="00744A1C" w:rsidRPr="00C24F9C">
        <w:rPr>
          <w:rStyle w:val="libFootnoteBoldChar"/>
          <w:rtl/>
        </w:rPr>
        <w:t>والاستبصار</w:t>
      </w:r>
      <w:r w:rsidR="00744A1C">
        <w:rPr>
          <w:rtl/>
          <w:lang w:bidi="fa-IR"/>
        </w:rPr>
        <w:t xml:space="preserve"> ، ج 2 ، ص 233 ، ح 807 ، بسند آخر عن معاوية بن عمّار ، مع زيادة في آخره. وفي </w:t>
      </w:r>
      <w:r w:rsidR="00744A1C" w:rsidRPr="00C24F9C">
        <w:rPr>
          <w:rStyle w:val="libFootnoteBoldChar"/>
          <w:rtl/>
        </w:rPr>
        <w:t>التهذيب</w:t>
      </w:r>
      <w:r w:rsidR="00744A1C">
        <w:rPr>
          <w:rtl/>
          <w:lang w:bidi="fa-IR"/>
        </w:rPr>
        <w:t xml:space="preserve"> ، ج 5 ، ص 255 ، ح 866 ؛ وص 488 ، ح 1746 ؛ </w:t>
      </w:r>
      <w:r w:rsidR="00744A1C" w:rsidRPr="00C24F9C">
        <w:rPr>
          <w:rStyle w:val="libFootnoteBoldChar"/>
          <w:rtl/>
        </w:rPr>
        <w:t>والاستبصار</w:t>
      </w:r>
      <w:r w:rsidR="00744A1C">
        <w:rPr>
          <w:rtl/>
          <w:lang w:bidi="fa-IR"/>
        </w:rPr>
        <w:t xml:space="preserve"> ، ج 2 ، ص 233 ، ح 807 ، بسند آخر عن معاوية بن عمّار ، مع اختلاف يسير</w:t>
      </w:r>
      <w:r w:rsidR="00B804FF">
        <w:rPr>
          <w:rFonts w:hint="cs"/>
          <w:rtl/>
          <w:lang w:bidi="fa-IR"/>
        </w:rPr>
        <w:t>.</w:t>
      </w:r>
      <w:r w:rsidR="00744A1C" w:rsidRPr="00C24F9C">
        <w:rPr>
          <w:rStyle w:val="libFootnoteBoldChar"/>
          <w:rtl/>
        </w:rPr>
        <w:t>الوافي</w:t>
      </w:r>
      <w:r w:rsidR="00744A1C">
        <w:rPr>
          <w:rtl/>
          <w:lang w:bidi="fa-IR"/>
        </w:rPr>
        <w:t xml:space="preserve"> ، ج 14 ، ص 1232،</w:t>
      </w:r>
      <w:r w:rsidR="00AA124E">
        <w:rPr>
          <w:rtl/>
          <w:lang w:bidi="fa-IR"/>
        </w:rPr>
        <w:t>ح</w:t>
      </w:r>
      <w:r w:rsidR="00744A1C">
        <w:rPr>
          <w:rtl/>
          <w:lang w:bidi="fa-IR"/>
        </w:rPr>
        <w:t>14157؛</w:t>
      </w:r>
      <w:r w:rsidR="00744A1C" w:rsidRPr="00C24F9C">
        <w:rPr>
          <w:rStyle w:val="libFootnoteBoldChar"/>
          <w:rtl/>
        </w:rPr>
        <w:t>الوسائل</w:t>
      </w:r>
      <w:r w:rsidR="00744A1C">
        <w:rPr>
          <w:rtl/>
          <w:lang w:bidi="fa-IR"/>
        </w:rPr>
        <w:t>،ج13،ص407</w:t>
      </w:r>
      <w:r w:rsidR="00AA124E">
        <w:rPr>
          <w:rtl/>
          <w:lang w:bidi="fa-IR"/>
        </w:rPr>
        <w:t>،ح</w:t>
      </w:r>
      <w:r w:rsidR="00744A1C">
        <w:rPr>
          <w:rtl/>
          <w:lang w:bidi="fa-IR"/>
        </w:rPr>
        <w:t>18081.</w:t>
      </w:r>
      <w:r w:rsidR="00AA124E">
        <w:rPr>
          <w:rFonts w:hint="cs"/>
          <w:rtl/>
          <w:lang w:bidi="fa-IR"/>
        </w:rPr>
        <w:t xml:space="preserve">    </w:t>
      </w:r>
      <w:r w:rsidR="00875D97">
        <w:rPr>
          <w:rFonts w:hint="cs"/>
          <w:rtl/>
          <w:lang w:bidi="fa-IR"/>
        </w:rPr>
        <w:t xml:space="preserve">       </w:t>
      </w:r>
      <w:r>
        <w:rPr>
          <w:rtl/>
          <w:lang w:bidi="fa-IR"/>
        </w:rPr>
        <w:t>(9).</w:t>
      </w:r>
      <w:r w:rsidR="00744A1C">
        <w:rPr>
          <w:rtl/>
          <w:lang w:bidi="fa-IR"/>
        </w:rPr>
        <w:t xml:space="preserve"> في « جد » : + « من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يعني أليس تزور البيت للوداع بعد رجوعها من منى ، فلتطف حينئذٍ طواف النساء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الوافي</w:t>
      </w:r>
      <w:r w:rsidR="00744A1C">
        <w:rPr>
          <w:rtl/>
          <w:lang w:bidi="fa-IR"/>
        </w:rPr>
        <w:t xml:space="preserve"> ، ج 14 ، ص 1234 ، ح 14164 ؛ </w:t>
      </w:r>
      <w:r w:rsidR="00744A1C" w:rsidRPr="00C24F9C">
        <w:rPr>
          <w:rStyle w:val="libFootnoteBoldChar"/>
          <w:rtl/>
        </w:rPr>
        <w:t>الوسائل</w:t>
      </w:r>
      <w:r w:rsidR="00744A1C">
        <w:rPr>
          <w:rtl/>
          <w:lang w:bidi="fa-IR"/>
        </w:rPr>
        <w:t xml:space="preserve"> ، ج 13 ، ص 408 ، ح 18082.</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إِسْحَاقَ بْنِ عَمَّارٍ ، عَنْ سَمَاعَةَ :</w:t>
      </w:r>
    </w:p>
    <w:p w:rsidR="00744A1C" w:rsidRDefault="00744A1C" w:rsidP="00744A1C">
      <w:pPr>
        <w:pStyle w:val="libNormal"/>
        <w:rPr>
          <w:lang w:bidi="fa-IR"/>
        </w:rPr>
      </w:pPr>
      <w:r>
        <w:rPr>
          <w:rtl/>
          <w:lang w:bidi="fa-IR"/>
        </w:rPr>
        <w:t xml:space="preserve">عَنْ أَبِي إِبْرَاهِيمَ </w:t>
      </w:r>
      <w:r w:rsidR="0061079A" w:rsidRPr="0061079A">
        <w:rPr>
          <w:rStyle w:val="libAlaemChar"/>
          <w:rtl/>
        </w:rPr>
        <w:t>عليه‌السلام</w:t>
      </w:r>
      <w:r w:rsidR="00D10E3C">
        <w:rPr>
          <w:rtl/>
          <w:lang w:bidi="fa-IR"/>
        </w:rPr>
        <w:t xml:space="preserve"> </w:t>
      </w:r>
      <w:r>
        <w:rPr>
          <w:rtl/>
          <w:lang w:bidi="fa-IR"/>
        </w:rPr>
        <w:t>، قَالَ : سَأَلْتُهُ عَنْ رَجُلٍ طَافَ طَوَافَ الْحَجِّ وَطَوَافَ النِّسَاءِ قَبْلَ أَنْ يَسْعى بَيْنَ الصَّفَا وَالْمَرْوَةِ؟</w:t>
      </w:r>
    </w:p>
    <w:p w:rsidR="00744A1C" w:rsidRDefault="00744A1C" w:rsidP="00744A1C">
      <w:pPr>
        <w:pStyle w:val="libNormal"/>
        <w:rPr>
          <w:lang w:bidi="fa-IR"/>
        </w:rPr>
      </w:pPr>
      <w:r>
        <w:rPr>
          <w:rtl/>
          <w:lang w:bidi="fa-IR"/>
        </w:rPr>
        <w:t xml:space="preserve">فَقَالَ : « لَا يَضُرُّهُ ، يَطُوفُ بَيْنَ الصَّفَا وَالْمَرْوَةِ وَقَدْ فَرَغَ مِنْ حَجِّهِ </w:t>
      </w:r>
      <w:r w:rsidRPr="00D10E3C">
        <w:rPr>
          <w:rStyle w:val="libFootnotenumChar"/>
          <w:rtl/>
        </w:rPr>
        <w:t>(1)</w:t>
      </w:r>
      <w:r>
        <w:rPr>
          <w:rtl/>
          <w:lang w:bidi="fa-IR"/>
        </w:rPr>
        <w:t xml:space="preserve"> ». </w:t>
      </w:r>
      <w:r w:rsidRPr="00D10E3C">
        <w:rPr>
          <w:rStyle w:val="libFootnotenumChar"/>
          <w:rtl/>
        </w:rPr>
        <w:t>(2)</w:t>
      </w:r>
    </w:p>
    <w:p w:rsidR="00744A1C" w:rsidRDefault="00744A1C" w:rsidP="00203FB2">
      <w:pPr>
        <w:pStyle w:val="Heading2Center"/>
        <w:rPr>
          <w:lang w:bidi="fa-IR"/>
        </w:rPr>
      </w:pPr>
      <w:bookmarkStart w:id="39" w:name="_Toc49261337"/>
      <w:r>
        <w:rPr>
          <w:rtl/>
          <w:lang w:bidi="fa-IR"/>
        </w:rPr>
        <w:t>194 - بَابُ مَنْ بَاتَ عَنْ مِنًى فِي لَيَالِيهَا‌</w:t>
      </w:r>
      <w:bookmarkEnd w:id="39"/>
    </w:p>
    <w:p w:rsidR="00171CF7" w:rsidRDefault="00744A1C" w:rsidP="00171CF7">
      <w:pPr>
        <w:pStyle w:val="libNormal"/>
        <w:rPr>
          <w:rtl/>
          <w:lang w:bidi="fa-IR"/>
        </w:rPr>
      </w:pPr>
      <w:r>
        <w:rPr>
          <w:rtl/>
          <w:lang w:bidi="fa-IR"/>
        </w:rPr>
        <w:t>7948 / 1. عَلِيُّ بْنُ إِبْرَاهِيمَ ، عَنْ أَبِيهِ ؛</w:t>
      </w:r>
    </w:p>
    <w:p w:rsidR="00744A1C" w:rsidRDefault="00171CF7" w:rsidP="00171CF7">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(3)</w:t>
      </w:r>
      <w:r w:rsidR="00744A1C">
        <w:rPr>
          <w:rtl/>
          <w:lang w:bidi="fa-IR"/>
        </w:rPr>
        <w:t xml:space="preserve"> مُحَمَّدُ بْنُ إِسْمَاعِيلَ ، عَنِ الْفَضْلِ بْنِ شَاذَانَ ، عَنْ صَفْوَانَ وَابْنِ أَبِي عُمَيْرٍ ، ع</w:t>
      </w:r>
      <w:r w:rsidR="0045550C">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تَبِتْ لَيَالِيَ </w:t>
      </w:r>
      <w:r w:rsidRPr="00D10E3C">
        <w:rPr>
          <w:rStyle w:val="libFootnotenumChar"/>
          <w:rtl/>
        </w:rPr>
        <w:t>(4)</w:t>
      </w:r>
      <w:r w:rsidR="004C3DD4">
        <w:rPr>
          <w:rtl/>
          <w:lang w:bidi="fa-IR"/>
        </w:rPr>
        <w:t xml:space="preserve"> التَّشْرِيقِ إِل</w:t>
      </w:r>
      <w:r w:rsidR="004C3DD4">
        <w:rPr>
          <w:rFonts w:hint="cs"/>
          <w:rtl/>
          <w:lang w:bidi="fa-IR"/>
        </w:rPr>
        <w:t>َّ</w:t>
      </w:r>
      <w:r w:rsidR="004C3DD4">
        <w:rPr>
          <w:rtl/>
          <w:lang w:bidi="fa-IR"/>
        </w:rPr>
        <w:t>ا</w:t>
      </w:r>
      <w:r>
        <w:rPr>
          <w:rtl/>
          <w:lang w:bidi="fa-IR"/>
        </w:rPr>
        <w:t xml:space="preserve"> بِمِنًى ، فَإِنْ </w:t>
      </w:r>
      <w:r w:rsidRPr="00D10E3C">
        <w:rPr>
          <w:rStyle w:val="libFootnotenumChar"/>
          <w:rtl/>
        </w:rPr>
        <w:t>(5)</w:t>
      </w:r>
      <w:r>
        <w:rPr>
          <w:rtl/>
          <w:lang w:bidi="fa-IR"/>
        </w:rPr>
        <w:t xml:space="preserve"> بِتَّ فِي غَيْرِهَا </w:t>
      </w:r>
      <w:r w:rsidRPr="00D10E3C">
        <w:rPr>
          <w:rStyle w:val="libFootnotenumChar"/>
          <w:rtl/>
        </w:rPr>
        <w:t>(6)</w:t>
      </w:r>
      <w:r>
        <w:rPr>
          <w:rtl/>
          <w:lang w:bidi="fa-IR"/>
        </w:rPr>
        <w:t xml:space="preserve"> ، فَعَلَيْكَ دَمٌ </w:t>
      </w:r>
      <w:r w:rsidRPr="00D10E3C">
        <w:rPr>
          <w:rStyle w:val="libFootnotenumChar"/>
          <w:rtl/>
        </w:rPr>
        <w:t>(7)</w:t>
      </w:r>
      <w:r>
        <w:rPr>
          <w:rtl/>
          <w:lang w:bidi="fa-IR"/>
        </w:rPr>
        <w:t xml:space="preserve"> ؛ وَإِنْ خَرَجْتَ </w:t>
      </w:r>
      <w:r w:rsidRPr="00D10E3C">
        <w:rPr>
          <w:rStyle w:val="libFootnotenumChar"/>
          <w:rtl/>
        </w:rPr>
        <w:t>(8)</w:t>
      </w:r>
      <w:r>
        <w:rPr>
          <w:rtl/>
          <w:lang w:bidi="fa-IR"/>
        </w:rPr>
        <w:t xml:space="preserve"> أَوَّلَ اللَّيْلِ ، فَلَا </w:t>
      </w:r>
      <w:r w:rsidR="00F348FF">
        <w:rPr>
          <w:rtl/>
          <w:lang w:bidi="fa-IR"/>
        </w:rPr>
        <w:t>يَنْتَصِفْ لَكَ اللَّيْلُ إِل</w:t>
      </w:r>
      <w:r w:rsidR="00F348FF">
        <w:rPr>
          <w:rFonts w:hint="cs"/>
          <w:rtl/>
          <w:lang w:bidi="fa-IR"/>
        </w:rPr>
        <w:t>َّ</w:t>
      </w:r>
      <w:r w:rsidR="00F348FF">
        <w:rPr>
          <w:rtl/>
          <w:lang w:bidi="fa-IR"/>
        </w:rPr>
        <w:t>ا</w:t>
      </w:r>
      <w:r w:rsidR="00A6459E">
        <w:rPr>
          <w:rtl/>
          <w:lang w:bidi="fa-IR"/>
        </w:rPr>
        <w:t xml:space="preserve"> وَأَنْتَ بِمِنًى ، إِل</w:t>
      </w:r>
      <w:r w:rsidR="00A6459E">
        <w:rPr>
          <w:rFonts w:hint="cs"/>
          <w:rtl/>
          <w:lang w:bidi="fa-IR"/>
        </w:rPr>
        <w:t>َّ</w:t>
      </w:r>
      <w:r w:rsidR="00A6459E">
        <w:rPr>
          <w:rtl/>
          <w:lang w:bidi="fa-IR"/>
        </w:rPr>
        <w:t>ا</w:t>
      </w:r>
      <w:r>
        <w:rPr>
          <w:rtl/>
          <w:lang w:bidi="fa-IR"/>
        </w:rPr>
        <w:t xml:space="preserve"> أَنْ يَكُونَ شُغُلُكَ بِنُسُكِكَ ، أَوْ قَدْ </w:t>
      </w:r>
      <w:r w:rsidRPr="00D10E3C">
        <w:rPr>
          <w:rStyle w:val="libFootnotenumChar"/>
          <w:rtl/>
        </w:rPr>
        <w:t>(9)</w:t>
      </w:r>
      <w:r>
        <w:rPr>
          <w:rtl/>
          <w:lang w:bidi="fa-IR"/>
        </w:rPr>
        <w:t xml:space="preserve"> خَرَجْتَ مِنْ </w:t>
      </w:r>
      <w:r w:rsidRPr="00D10E3C">
        <w:rPr>
          <w:rStyle w:val="libFootnotenumChar"/>
          <w:rtl/>
        </w:rPr>
        <w:t>(10)</w:t>
      </w:r>
      <w:r>
        <w:rPr>
          <w:rtl/>
          <w:lang w:bidi="fa-IR"/>
        </w:rPr>
        <w:t xml:space="preserve"> مَكَّةَ </w:t>
      </w:r>
      <w:r w:rsidRPr="00D10E3C">
        <w:rPr>
          <w:rStyle w:val="libFootnotenumChar"/>
          <w:rtl/>
        </w:rPr>
        <w:t>(11)</w:t>
      </w:r>
      <w:r>
        <w:rPr>
          <w:rtl/>
          <w:lang w:bidi="fa-IR"/>
        </w:rPr>
        <w:t xml:space="preserve"> ، وَإِنْ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حمل على الناسي ، وفي الجاهل خلاف ، ويمكن الاستدلال بهذا الخبر على عدم وجوب الإعادة عليه أيضاً ».</w:t>
      </w:r>
    </w:p>
    <w:p w:rsidR="00744A1C" w:rsidRDefault="00E378DD" w:rsidP="0016561F">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489 ، ح 1749 ، معلّقاً عن صفوان ، عن إسحاق بن عمّار. وفي </w:t>
      </w:r>
      <w:r w:rsidR="00744A1C" w:rsidRPr="00C24F9C">
        <w:rPr>
          <w:rStyle w:val="libFootnoteBoldChar"/>
          <w:rtl/>
        </w:rPr>
        <w:t>التهذيب</w:t>
      </w:r>
      <w:r w:rsidR="00744A1C">
        <w:rPr>
          <w:rtl/>
          <w:lang w:bidi="fa-IR"/>
        </w:rPr>
        <w:t xml:space="preserve"> ، ج 5 ، ص 133 ، ح 439 ؛ </w:t>
      </w:r>
      <w:r w:rsidR="00744A1C" w:rsidRPr="00C24F9C">
        <w:rPr>
          <w:rStyle w:val="libFootnoteBoldChar"/>
          <w:rtl/>
        </w:rPr>
        <w:t>والاستبصار</w:t>
      </w:r>
      <w:r w:rsidR="00744A1C">
        <w:rPr>
          <w:rtl/>
          <w:lang w:bidi="fa-IR"/>
        </w:rPr>
        <w:t xml:space="preserve"> ، ج 2 ، ص 231 ، ح 800 ، بسندهما عن صفوان بن يحيى ، عن إسحاق بن عمّار ، عن سماعة بن مهران ، عن أبي الحسن الماضي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387 ، ح 2777 ، معلّقاً عن إسحاق بن عمّار ، عن سماعة بن مهران ، عن أبي الحسن الماضي </w:t>
      </w:r>
      <w:r w:rsidR="0061079A" w:rsidRPr="0061079A">
        <w:rPr>
          <w:rStyle w:val="libFootnoteAlaemChar"/>
          <w:rtl/>
        </w:rPr>
        <w:t>عليه‌السلام</w:t>
      </w:r>
      <w:r w:rsidR="00744A1C">
        <w:rPr>
          <w:rtl/>
          <w:lang w:bidi="fa-IR"/>
        </w:rPr>
        <w:t xml:space="preserve"> . وراجع : </w:t>
      </w:r>
      <w:r w:rsidR="00744A1C" w:rsidRPr="0061079A">
        <w:rPr>
          <w:rStyle w:val="libFootnoteBoldChar"/>
          <w:rtl/>
        </w:rPr>
        <w:t>الكافي</w:t>
      </w:r>
      <w:r w:rsidR="00744A1C">
        <w:rPr>
          <w:rtl/>
          <w:lang w:bidi="fa-IR"/>
        </w:rPr>
        <w:t xml:space="preserve"> ، كتاب الحجّ ، باب الزيارة والغسل فيها ، ح 7940 ، ومصادره</w:t>
      </w:r>
      <w:r w:rsidR="0016561F">
        <w:rPr>
          <w:rFonts w:hint="cs"/>
          <w:rtl/>
          <w:lang w:bidi="fa-IR"/>
        </w:rPr>
        <w:t>.</w:t>
      </w:r>
      <w:r w:rsidR="00744A1C" w:rsidRPr="00C24F9C">
        <w:rPr>
          <w:rStyle w:val="libFootnoteBoldChar"/>
          <w:rtl/>
        </w:rPr>
        <w:t>الوافي</w:t>
      </w:r>
      <w:r w:rsidR="00744A1C">
        <w:rPr>
          <w:rtl/>
          <w:lang w:bidi="fa-IR"/>
        </w:rPr>
        <w:t xml:space="preserve"> ، ج 14 ، ص 1241 ، ح 14181 ؛ </w:t>
      </w:r>
      <w:r w:rsidR="00744A1C" w:rsidRPr="00C24F9C">
        <w:rPr>
          <w:rStyle w:val="libFootnoteBoldChar"/>
          <w:rtl/>
        </w:rPr>
        <w:t>الوسائل</w:t>
      </w:r>
      <w:r w:rsidR="00744A1C">
        <w:rPr>
          <w:rtl/>
          <w:lang w:bidi="fa-IR"/>
        </w:rPr>
        <w:t xml:space="preserve"> ، ج 13 ، ص 418 ، ذيل ح 18102.</w:t>
      </w:r>
    </w:p>
    <w:p w:rsidR="00744A1C" w:rsidRDefault="00E378DD" w:rsidP="00E378DD">
      <w:pPr>
        <w:pStyle w:val="libFootnote0"/>
        <w:rPr>
          <w:lang w:bidi="fa-IR"/>
        </w:rPr>
      </w:pPr>
      <w:r>
        <w:rPr>
          <w:rtl/>
          <w:lang w:bidi="fa-IR"/>
        </w:rPr>
        <w:t>(3).</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(4).</w:t>
      </w:r>
      <w:r w:rsidR="00744A1C">
        <w:rPr>
          <w:rtl/>
          <w:lang w:bidi="fa-IR"/>
        </w:rPr>
        <w:t xml:space="preserve"> في « جن » </w:t>
      </w:r>
      <w:r w:rsidR="00744A1C" w:rsidRPr="00C24F9C">
        <w:rPr>
          <w:rStyle w:val="libFootnoteBoldChar"/>
          <w:rtl/>
        </w:rPr>
        <w:t>والاستبصار</w:t>
      </w:r>
      <w:r w:rsidR="00744A1C">
        <w:rPr>
          <w:rtl/>
          <w:lang w:bidi="fa-IR"/>
        </w:rPr>
        <w:t xml:space="preserve"> ، ح 1045 : « أيّام ». وفي « ى ، بس ، جد » : + « أيّام ».</w:t>
      </w:r>
    </w:p>
    <w:tbl>
      <w:tblPr>
        <w:tblStyle w:val="TableGrid"/>
        <w:bidiVisual/>
        <w:tblW w:w="0" w:type="auto"/>
        <w:tblLook w:val="04A0" w:firstRow="1" w:lastRow="0" w:firstColumn="1" w:lastColumn="0" w:noHBand="0" w:noVBand="1"/>
      </w:tblPr>
      <w:tblGrid>
        <w:gridCol w:w="4006"/>
        <w:gridCol w:w="4006"/>
      </w:tblGrid>
      <w:tr w:rsidR="0022015F" w:rsidTr="0022015F">
        <w:tc>
          <w:tcPr>
            <w:tcW w:w="4006" w:type="dxa"/>
          </w:tcPr>
          <w:p w:rsidR="0022015F" w:rsidRDefault="0022015F" w:rsidP="00E378DD">
            <w:pPr>
              <w:pStyle w:val="libFootnote0"/>
              <w:rPr>
                <w:rtl/>
                <w:lang w:bidi="fa-IR"/>
              </w:rPr>
            </w:pPr>
            <w:r>
              <w:rPr>
                <w:rtl/>
                <w:lang w:bidi="fa-IR"/>
              </w:rPr>
              <w:t>(5). في « بح » : « وإن ».</w:t>
            </w:r>
          </w:p>
        </w:tc>
        <w:tc>
          <w:tcPr>
            <w:tcW w:w="4006" w:type="dxa"/>
          </w:tcPr>
          <w:p w:rsidR="0022015F" w:rsidRDefault="0022015F" w:rsidP="00E378DD">
            <w:pPr>
              <w:pStyle w:val="libFootnote0"/>
              <w:rPr>
                <w:rtl/>
                <w:lang w:bidi="fa-IR"/>
              </w:rPr>
            </w:pPr>
            <w:r>
              <w:rPr>
                <w:rtl/>
                <w:lang w:bidi="fa-IR"/>
              </w:rPr>
              <w:t>(6). في « بخ ، بف » و</w:t>
            </w:r>
            <w:r w:rsidRPr="00C24F9C">
              <w:rPr>
                <w:rStyle w:val="libFootnoteBoldChar"/>
                <w:rtl/>
              </w:rPr>
              <w:t>الوافي</w:t>
            </w:r>
            <w:r>
              <w:rPr>
                <w:rtl/>
                <w:lang w:bidi="fa-IR"/>
              </w:rPr>
              <w:t xml:space="preserve"> : « بغيرها ».</w:t>
            </w:r>
          </w:p>
        </w:tc>
      </w:tr>
      <w:tr w:rsidR="0022015F" w:rsidTr="0022015F">
        <w:tc>
          <w:tcPr>
            <w:tcW w:w="4006" w:type="dxa"/>
          </w:tcPr>
          <w:p w:rsidR="0022015F" w:rsidRDefault="0022015F" w:rsidP="0022015F">
            <w:pPr>
              <w:pStyle w:val="libFootnote0"/>
              <w:rPr>
                <w:rtl/>
                <w:lang w:bidi="fa-IR"/>
              </w:rPr>
            </w:pPr>
            <w:r>
              <w:rPr>
                <w:rtl/>
                <w:lang w:bidi="fa-IR"/>
              </w:rPr>
              <w:t xml:space="preserve">(7). في </w:t>
            </w:r>
            <w:r w:rsidRPr="00C24F9C">
              <w:rPr>
                <w:rStyle w:val="libFootnoteBoldChar"/>
                <w:rtl/>
              </w:rPr>
              <w:t>الفقيه</w:t>
            </w:r>
            <w:r>
              <w:rPr>
                <w:rtl/>
                <w:lang w:bidi="fa-IR"/>
              </w:rPr>
              <w:t>،ج2،ص553:+« شاة لكلّ ليلة ».</w:t>
            </w:r>
          </w:p>
        </w:tc>
        <w:tc>
          <w:tcPr>
            <w:tcW w:w="4006" w:type="dxa"/>
          </w:tcPr>
          <w:p w:rsidR="0022015F" w:rsidRDefault="0022015F" w:rsidP="00E378DD">
            <w:pPr>
              <w:pStyle w:val="libFootnote0"/>
              <w:rPr>
                <w:rtl/>
                <w:lang w:bidi="fa-IR"/>
              </w:rPr>
            </w:pPr>
            <w:r>
              <w:rPr>
                <w:rtl/>
                <w:lang w:bidi="fa-IR"/>
              </w:rPr>
              <w:t>(8). في « بح » : + « في ».</w:t>
            </w:r>
          </w:p>
        </w:tc>
      </w:tr>
      <w:tr w:rsidR="0022015F" w:rsidTr="0022015F">
        <w:tc>
          <w:tcPr>
            <w:tcW w:w="4006" w:type="dxa"/>
          </w:tcPr>
          <w:p w:rsidR="0022015F" w:rsidRDefault="0022015F" w:rsidP="00E378DD">
            <w:pPr>
              <w:pStyle w:val="libFootnote0"/>
              <w:rPr>
                <w:rtl/>
                <w:lang w:bidi="fa-IR"/>
              </w:rPr>
            </w:pPr>
            <w:r>
              <w:rPr>
                <w:rtl/>
                <w:lang w:bidi="fa-IR"/>
              </w:rPr>
              <w:t>(9). في « جد » : « وقد ».</w:t>
            </w:r>
          </w:p>
        </w:tc>
        <w:tc>
          <w:tcPr>
            <w:tcW w:w="4006" w:type="dxa"/>
          </w:tcPr>
          <w:p w:rsidR="0022015F" w:rsidRDefault="0022015F" w:rsidP="00E378DD">
            <w:pPr>
              <w:pStyle w:val="libFootnote0"/>
              <w:rPr>
                <w:rtl/>
                <w:lang w:bidi="fa-IR"/>
              </w:rPr>
            </w:pPr>
            <w:r>
              <w:rPr>
                <w:rtl/>
                <w:lang w:bidi="fa-IR"/>
              </w:rPr>
              <w:t>(10). في « بح » : « عن ».</w:t>
            </w:r>
          </w:p>
        </w:tc>
      </w:tr>
      <w:tr w:rsidR="0022015F" w:rsidTr="0022015F">
        <w:tc>
          <w:tcPr>
            <w:tcW w:w="4006" w:type="dxa"/>
          </w:tcPr>
          <w:p w:rsidR="0022015F" w:rsidRDefault="0022015F" w:rsidP="00E378DD">
            <w:pPr>
              <w:pStyle w:val="libFootnote0"/>
              <w:rPr>
                <w:rtl/>
                <w:lang w:bidi="fa-IR"/>
              </w:rPr>
            </w:pPr>
            <w:r>
              <w:rPr>
                <w:rtl/>
                <w:lang w:bidi="fa-IR"/>
              </w:rPr>
              <w:t>(11). في « بخ » : - « أو قد خرجت من مكّة ».</w:t>
            </w:r>
          </w:p>
        </w:tc>
        <w:tc>
          <w:tcPr>
            <w:tcW w:w="4006" w:type="dxa"/>
          </w:tcPr>
          <w:p w:rsidR="0022015F" w:rsidRDefault="0022015F" w:rsidP="00E378DD">
            <w:pPr>
              <w:pStyle w:val="libFootnote0"/>
              <w:rPr>
                <w:rtl/>
                <w:lang w:bidi="fa-IR"/>
              </w:rPr>
            </w:pPr>
            <w:r>
              <w:rPr>
                <w:rtl/>
                <w:lang w:bidi="fa-IR"/>
              </w:rPr>
              <w:t>(12). في « ى » : « وأنت ».</w:t>
            </w:r>
          </w:p>
        </w:tc>
      </w:tr>
    </w:tbl>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خَرَجْتَ </w:t>
      </w:r>
      <w:r w:rsidRPr="00D10E3C">
        <w:rPr>
          <w:rStyle w:val="libFootnotenumChar"/>
          <w:rtl/>
        </w:rPr>
        <w:t>(1)</w:t>
      </w:r>
      <w:r>
        <w:rPr>
          <w:rtl/>
          <w:lang w:bidi="fa-IR"/>
        </w:rPr>
        <w:t xml:space="preserve"> نِصْفَ اللَّيْلِ ، فَلَا يَضُرُّكَ أَنْ تُصْبِحَ بِغَيْرِهَا ».</w:t>
      </w:r>
    </w:p>
    <w:p w:rsidR="00744A1C" w:rsidRDefault="00744A1C" w:rsidP="00744A1C">
      <w:pPr>
        <w:pStyle w:val="libNormal"/>
        <w:rPr>
          <w:lang w:bidi="fa-IR"/>
        </w:rPr>
      </w:pPr>
      <w:r>
        <w:rPr>
          <w:rtl/>
          <w:lang w:bidi="fa-IR"/>
        </w:rPr>
        <w:t xml:space="preserve">قَالَ : وَسَأَلْتُهُ عَنْ رَجُلٍ زَارَ عِشَاءً ، فَلَمْ يَزَلْ فِي طَوَافِهِ وَدُعَائِهِ ، وَفِي </w:t>
      </w:r>
      <w:r w:rsidRPr="00D10E3C">
        <w:rPr>
          <w:rStyle w:val="libFootnotenumChar"/>
          <w:rtl/>
        </w:rPr>
        <w:t>(2)</w:t>
      </w:r>
      <w:r>
        <w:rPr>
          <w:rtl/>
          <w:lang w:bidi="fa-IR"/>
        </w:rPr>
        <w:t xml:space="preserve"> السَّعْيِ بَيْنَ الصَّفَا وَالْمَرْوَةِ حَتّى يَطْلُعَ </w:t>
      </w:r>
      <w:r w:rsidRPr="00D10E3C">
        <w:rPr>
          <w:rStyle w:val="libFootnotenumChar"/>
          <w:rtl/>
        </w:rPr>
        <w:t>(3)</w:t>
      </w:r>
      <w:r>
        <w:rPr>
          <w:rtl/>
          <w:lang w:bidi="fa-IR"/>
        </w:rPr>
        <w:t xml:space="preserve"> الْفَجْرُ؟</w:t>
      </w:r>
    </w:p>
    <w:p w:rsidR="00744A1C" w:rsidRDefault="00744A1C" w:rsidP="00744A1C">
      <w:pPr>
        <w:pStyle w:val="libNormal"/>
        <w:rPr>
          <w:lang w:bidi="fa-IR"/>
        </w:rPr>
      </w:pPr>
      <w:r>
        <w:rPr>
          <w:rtl/>
          <w:lang w:bidi="fa-IR"/>
        </w:rPr>
        <w:t xml:space="preserve">قَالَ : « لَيْسَ عَلَيْهِ شَيْ‌ءٌ ، كَانَ فِي طَاعَةِ اللهِ ». </w:t>
      </w:r>
      <w:r w:rsidRPr="00D10E3C">
        <w:rPr>
          <w:rStyle w:val="libFootnotenumChar"/>
          <w:rtl/>
        </w:rPr>
        <w:t>(4)</w:t>
      </w:r>
    </w:p>
    <w:p w:rsidR="00144FA6" w:rsidRDefault="00744A1C" w:rsidP="00744A1C">
      <w:pPr>
        <w:pStyle w:val="libNormal"/>
        <w:rPr>
          <w:rtl/>
          <w:lang w:bidi="fa-IR"/>
        </w:rPr>
      </w:pPr>
      <w:r>
        <w:rPr>
          <w:rtl/>
          <w:lang w:bidi="fa-IR"/>
        </w:rPr>
        <w:t>7949 / 2. أَبُو عَلِيٍّ الْأَشْعَرِيُّ ، عَنْ مُحَمَّدِ بْنِ عَبْدِ الْجَبَّارِ ، عَنْ صَفْوَانَ بْنِ يَحْيى ، عَنْ عِيصِ بْنِ الْقَاسِمِ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الزِّيَارَةِ مِنْ مِنًى؟</w:t>
      </w:r>
    </w:p>
    <w:p w:rsidR="00744A1C" w:rsidRDefault="00744A1C" w:rsidP="00744A1C">
      <w:pPr>
        <w:pStyle w:val="libNormal"/>
        <w:rPr>
          <w:lang w:bidi="fa-IR"/>
        </w:rPr>
      </w:pPr>
      <w:r>
        <w:rPr>
          <w:rtl/>
          <w:lang w:bidi="fa-IR"/>
        </w:rPr>
        <w:t xml:space="preserve">قَالَ : « إِنْ زَارَ بِالنَّهَارِ أَوْ عِشَاءً </w:t>
      </w:r>
      <w:r w:rsidRPr="00D10E3C">
        <w:rPr>
          <w:rStyle w:val="libFootnotenumChar"/>
          <w:rtl/>
        </w:rPr>
        <w:t>(5)</w:t>
      </w:r>
      <w:r>
        <w:rPr>
          <w:rtl/>
          <w:lang w:bidi="fa-IR"/>
        </w:rPr>
        <w:t xml:space="preserve"> ، ف</w:t>
      </w:r>
      <w:r w:rsidR="005C53BF">
        <w:rPr>
          <w:rtl/>
          <w:lang w:bidi="fa-IR"/>
        </w:rPr>
        <w:t>َلَا يَنْفَجِرِ الْفَجْرُ إِل</w:t>
      </w:r>
      <w:r w:rsidR="005C53BF">
        <w:rPr>
          <w:rFonts w:hint="cs"/>
          <w:rtl/>
          <w:lang w:bidi="fa-IR"/>
        </w:rPr>
        <w:t>َّ</w:t>
      </w:r>
      <w:r w:rsidR="005C53BF">
        <w:rPr>
          <w:rtl/>
          <w:lang w:bidi="fa-IR"/>
        </w:rPr>
        <w:t>ا</w:t>
      </w:r>
      <w:r>
        <w:rPr>
          <w:rtl/>
          <w:lang w:bidi="fa-IR"/>
        </w:rPr>
        <w:t xml:space="preserve"> وَهُوَ بِمِنًى ، وَإِنْ زَارَ بَعْدَ نِصْفِ اللَّيْلِ وَأَسْحَرَ </w:t>
      </w:r>
      <w:r w:rsidRPr="00D10E3C">
        <w:rPr>
          <w:rStyle w:val="libFootnotenumChar"/>
          <w:rtl/>
        </w:rPr>
        <w:t>(6)</w:t>
      </w:r>
      <w:r>
        <w:rPr>
          <w:rtl/>
          <w:lang w:bidi="fa-IR"/>
        </w:rPr>
        <w:t xml:space="preserve"> ، فَلَا بَأْسَ </w:t>
      </w:r>
      <w:r w:rsidRPr="00D10E3C">
        <w:rPr>
          <w:rStyle w:val="libFootnotenumChar"/>
          <w:rtl/>
        </w:rPr>
        <w:t>(7)</w:t>
      </w:r>
      <w:r>
        <w:rPr>
          <w:rtl/>
          <w:lang w:bidi="fa-IR"/>
        </w:rPr>
        <w:t xml:space="preserve"> أَنْ يَنْفَجِرَ الْفَجْرُ وَهُوَ بِمَكَّةَ ». </w:t>
      </w:r>
      <w:r w:rsidRPr="00D10E3C">
        <w:rPr>
          <w:rStyle w:val="libFootnotenumChar"/>
          <w:rtl/>
        </w:rPr>
        <w:t>(8)</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DC6ECA" w:rsidTr="00DC6ECA">
        <w:tc>
          <w:tcPr>
            <w:tcW w:w="4006" w:type="dxa"/>
          </w:tcPr>
          <w:p w:rsidR="00DC6ECA" w:rsidRDefault="00DC6ECA" w:rsidP="00D10E3C">
            <w:pPr>
              <w:pStyle w:val="libFootnote0"/>
              <w:rPr>
                <w:rtl/>
                <w:lang w:bidi="fa-IR"/>
              </w:rPr>
            </w:pPr>
            <w:r>
              <w:rPr>
                <w:rtl/>
                <w:lang w:bidi="fa-IR"/>
              </w:rPr>
              <w:t xml:space="preserve">(1). في </w:t>
            </w:r>
            <w:r w:rsidRPr="00C24F9C">
              <w:rPr>
                <w:rStyle w:val="libFootnoteBoldChar"/>
                <w:rtl/>
              </w:rPr>
              <w:t>الوافي</w:t>
            </w:r>
            <w:r>
              <w:rPr>
                <w:rtl/>
                <w:lang w:bidi="fa-IR"/>
              </w:rPr>
              <w:t xml:space="preserve"> : + « بعد ».</w:t>
            </w:r>
          </w:p>
        </w:tc>
        <w:tc>
          <w:tcPr>
            <w:tcW w:w="4006" w:type="dxa"/>
          </w:tcPr>
          <w:p w:rsidR="00DC6ECA" w:rsidRDefault="00DC6ECA" w:rsidP="00D10E3C">
            <w:pPr>
              <w:pStyle w:val="libFootnote0"/>
              <w:rPr>
                <w:rtl/>
                <w:lang w:bidi="fa-IR"/>
              </w:rPr>
            </w:pPr>
            <w:r>
              <w:rPr>
                <w:rtl/>
                <w:lang w:bidi="fa-IR"/>
              </w:rPr>
              <w:t>(2). في « جن » : « في » بدون الواو.</w:t>
            </w:r>
          </w:p>
        </w:tc>
      </w:tr>
    </w:tbl>
    <w:p w:rsidR="00744A1C" w:rsidRDefault="00E378DD" w:rsidP="00E378DD">
      <w:pPr>
        <w:pStyle w:val="libFootnote0"/>
        <w:rPr>
          <w:lang w:bidi="fa-IR"/>
        </w:rPr>
      </w:pPr>
      <w:r>
        <w:rPr>
          <w:rtl/>
          <w:lang w:bidi="fa-IR"/>
        </w:rPr>
        <w:t>(3).</w:t>
      </w:r>
      <w:r w:rsidR="00744A1C">
        <w:rPr>
          <w:rtl/>
          <w:lang w:bidi="fa-IR"/>
        </w:rPr>
        <w:t xml:space="preserve"> في « جد » : « حتّى تطلع ».</w:t>
      </w:r>
    </w:p>
    <w:p w:rsidR="00744A1C" w:rsidRDefault="00E378DD" w:rsidP="00C11600">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258 ، ح 878 ؛ </w:t>
      </w:r>
      <w:r w:rsidR="00744A1C" w:rsidRPr="00C24F9C">
        <w:rPr>
          <w:rStyle w:val="libFootnoteBoldChar"/>
          <w:rtl/>
        </w:rPr>
        <w:t>والاستبصار</w:t>
      </w:r>
      <w:r w:rsidR="00744A1C">
        <w:rPr>
          <w:rtl/>
          <w:lang w:bidi="fa-IR"/>
        </w:rPr>
        <w:t xml:space="preserve"> ، ج 2 ، ص 293 ، ح 1045 ، بسندهما عن صفوان وفضالة ، عن معاوية بن عمّار ، إلى قوله : « فلايضرّك أن تصبح بغيرها ». وفي </w:t>
      </w:r>
      <w:r w:rsidR="00744A1C" w:rsidRPr="00C24F9C">
        <w:rPr>
          <w:rStyle w:val="libFootnoteBoldChar"/>
          <w:rtl/>
        </w:rPr>
        <w:t>التهذيب</w:t>
      </w:r>
      <w:r w:rsidR="00744A1C">
        <w:rPr>
          <w:rtl/>
          <w:lang w:bidi="fa-IR"/>
        </w:rPr>
        <w:t xml:space="preserve"> ، ج 5 ، ص 258 ، ح 876 ؛ </w:t>
      </w:r>
      <w:r w:rsidR="00744A1C" w:rsidRPr="00C24F9C">
        <w:rPr>
          <w:rStyle w:val="libFootnoteBoldChar"/>
          <w:rtl/>
        </w:rPr>
        <w:t>والاستبصار</w:t>
      </w:r>
      <w:r w:rsidR="00744A1C">
        <w:rPr>
          <w:rtl/>
          <w:lang w:bidi="fa-IR"/>
        </w:rPr>
        <w:t xml:space="preserve"> ، ج 2 ، ص 293 ، ح 1043 ، بسندهما عن حمّاد بن عيسى وفضالة وصفوان ، عن معاوية بن عمّار. </w:t>
      </w:r>
      <w:r w:rsidR="00744A1C" w:rsidRPr="00C24F9C">
        <w:rPr>
          <w:rStyle w:val="libFootnoteBoldChar"/>
          <w:rtl/>
        </w:rPr>
        <w:t>الفقيه</w:t>
      </w:r>
      <w:r w:rsidR="00744A1C">
        <w:rPr>
          <w:rtl/>
          <w:lang w:bidi="fa-IR"/>
        </w:rPr>
        <w:t xml:space="preserve"> ، ج 2 ، ص 478 ، ح 3008 ، معلّقاً عن معاوية بن عمّار ، وفي الثلاثة الأخيرة من قوله : « وسألته عن رجل زار عشاء ». وفيه ، ح 3010 ، بسند آخر ، من قوله : « وإن خرجت أوّل الليل » إلى قوله : « أن تصبح بغيرها » ؛ </w:t>
      </w:r>
      <w:r w:rsidR="00744A1C" w:rsidRPr="00C24F9C">
        <w:rPr>
          <w:rStyle w:val="libFootnoteBoldChar"/>
          <w:rtl/>
        </w:rPr>
        <w:t>التهذيب</w:t>
      </w:r>
      <w:r w:rsidR="00744A1C">
        <w:rPr>
          <w:rtl/>
          <w:lang w:bidi="fa-IR"/>
        </w:rPr>
        <w:t xml:space="preserve"> ، ج 5 ، ص 257 ، ح 875 ، بسند آخر ، وتمام الرواية فيه : « قلت لأبي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فاتتني ليلة المبيت بمنى من شغل فقال : لابأس ». </w:t>
      </w:r>
      <w:r w:rsidR="00744A1C" w:rsidRPr="00C24F9C">
        <w:rPr>
          <w:rStyle w:val="libFootnoteBoldChar"/>
          <w:rtl/>
        </w:rPr>
        <w:t>الفقيه</w:t>
      </w:r>
      <w:r w:rsidR="00744A1C">
        <w:rPr>
          <w:rtl/>
          <w:lang w:bidi="fa-IR"/>
        </w:rPr>
        <w:t xml:space="preserve"> ، ج 2 ، ص 553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إلى قوله : « وأن تصبح بغيرها » مع اختلاف يسير</w:t>
      </w:r>
      <w:r w:rsidR="004B75AF">
        <w:rPr>
          <w:rFonts w:hint="cs"/>
          <w:rtl/>
          <w:lang w:bidi="fa-IR"/>
        </w:rPr>
        <w:t>.</w:t>
      </w:r>
      <w:r w:rsidR="00744A1C" w:rsidRPr="00C24F9C">
        <w:rPr>
          <w:rStyle w:val="libFootnoteBoldChar"/>
          <w:rtl/>
        </w:rPr>
        <w:t>الوافي</w:t>
      </w:r>
      <w:r w:rsidR="00744A1C">
        <w:rPr>
          <w:rtl/>
          <w:lang w:bidi="fa-IR"/>
        </w:rPr>
        <w:t xml:space="preserve"> ، ج 14 ، ص 1249 ، ح 14201 ؛ </w:t>
      </w:r>
      <w:r w:rsidR="00744A1C" w:rsidRPr="00C24F9C">
        <w:rPr>
          <w:rStyle w:val="libFootnoteBoldChar"/>
          <w:rtl/>
        </w:rPr>
        <w:t>الوسائل</w:t>
      </w:r>
      <w:r w:rsidR="00744A1C">
        <w:rPr>
          <w:rtl/>
          <w:lang w:bidi="fa-IR"/>
        </w:rPr>
        <w:t xml:space="preserve"> ، ج 14،ص254،ح19126؛</w:t>
      </w:r>
      <w:r w:rsidR="00744A1C" w:rsidRPr="0061079A">
        <w:rPr>
          <w:rStyle w:val="libFootnoteBoldChar"/>
          <w:rtl/>
        </w:rPr>
        <w:t>البحار</w:t>
      </w:r>
      <w:r w:rsidR="00744A1C">
        <w:rPr>
          <w:rtl/>
          <w:lang w:bidi="fa-IR"/>
        </w:rPr>
        <w:t>،ج83،ص116،ح39.</w:t>
      </w:r>
      <w:r w:rsidR="00C11600">
        <w:rPr>
          <w:rFonts w:hint="cs"/>
          <w:rtl/>
          <w:lang w:bidi="fa-IR"/>
        </w:rPr>
        <w:t xml:space="preserve">      </w:t>
      </w: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عشيّاً ».</w:t>
      </w:r>
    </w:p>
    <w:p w:rsidR="00744A1C" w:rsidRDefault="00E378DD" w:rsidP="00E378DD">
      <w:pPr>
        <w:pStyle w:val="libFootnote0"/>
        <w:rPr>
          <w:lang w:bidi="fa-IR"/>
        </w:rPr>
      </w:pPr>
      <w:r>
        <w:rPr>
          <w:rtl/>
          <w:lang w:bidi="fa-IR"/>
        </w:rPr>
        <w:t>(6).</w:t>
      </w:r>
      <w:r w:rsidR="00744A1C">
        <w:rPr>
          <w:rtl/>
          <w:lang w:bidi="fa-IR"/>
        </w:rPr>
        <w:t xml:space="preserve"> في « بخ » : « أو أسحر ». وفي « بث » : « أو تسحر ». وفي « جن » : « أو يسحر ». وفي « ى ، بح » : « وتسحر ». وفي « بس ، جد » : « ويسحر ». وفي </w:t>
      </w:r>
      <w:r w:rsidR="00744A1C" w:rsidRPr="00C24F9C">
        <w:rPr>
          <w:rStyle w:val="libFootnoteBoldChar"/>
          <w:rtl/>
        </w:rPr>
        <w:t>الوافي</w:t>
      </w:r>
      <w:r w:rsidR="00744A1C">
        <w:rPr>
          <w:rtl/>
          <w:lang w:bidi="fa-IR"/>
        </w:rPr>
        <w:t xml:space="preserve"> : « أو بسحر » وفي </w:t>
      </w:r>
      <w:r w:rsidR="00744A1C" w:rsidRPr="00C24F9C">
        <w:rPr>
          <w:rStyle w:val="libFootnoteBoldChar"/>
          <w:rtl/>
        </w:rPr>
        <w:t>التهذيب</w:t>
      </w:r>
      <w:r w:rsidR="00744A1C">
        <w:rPr>
          <w:rtl/>
          <w:lang w:bidi="fa-IR"/>
        </w:rPr>
        <w:t xml:space="preserve"> ، ح 870 : « أو السحر ».</w:t>
      </w:r>
    </w:p>
    <w:p w:rsidR="00744A1C" w:rsidRDefault="00E378DD" w:rsidP="00E378DD">
      <w:pPr>
        <w:pStyle w:val="libFootnote0"/>
        <w:rPr>
          <w:lang w:bidi="fa-IR"/>
        </w:rPr>
      </w:pPr>
      <w:r>
        <w:rPr>
          <w:rtl/>
          <w:lang w:bidi="fa-IR"/>
        </w:rPr>
        <w:t>(7).</w:t>
      </w:r>
      <w:r w:rsidR="00744A1C">
        <w:rPr>
          <w:rtl/>
          <w:lang w:bidi="fa-IR"/>
        </w:rPr>
        <w:t xml:space="preserve"> في « جد » </w:t>
      </w:r>
      <w:r w:rsidR="00744A1C" w:rsidRPr="0061079A">
        <w:rPr>
          <w:rStyle w:val="libFootnoteBoldChar"/>
          <w:rtl/>
        </w:rPr>
        <w:t>والتهذيب</w:t>
      </w:r>
      <w:r w:rsidR="00744A1C">
        <w:rPr>
          <w:rtl/>
          <w:lang w:bidi="fa-IR"/>
        </w:rPr>
        <w:t xml:space="preserve"> ، ح 870 : + « عليه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256 ، ح 870 ، بسنده عن صفوان ، عن العيص بن القاسم ، مع اختلاف يسير. </w:t>
      </w:r>
      <w:r w:rsidR="00744A1C" w:rsidRPr="00C24F9C">
        <w:rPr>
          <w:rStyle w:val="libFootnoteBoldChar"/>
          <w:rtl/>
        </w:rPr>
        <w:t>الفقيه</w:t>
      </w:r>
      <w:r w:rsidR="00744A1C">
        <w:rPr>
          <w:rtl/>
          <w:lang w:bidi="fa-IR"/>
        </w:rPr>
        <w:t xml:space="preserve"> ، ج 2 ، ص 478 ، ح 3009 ، بسند آخر. </w:t>
      </w:r>
      <w:r w:rsidR="00744A1C" w:rsidRPr="00C24F9C">
        <w:rPr>
          <w:rStyle w:val="libFootnoteBoldChar"/>
          <w:rtl/>
        </w:rPr>
        <w:t>التهذيب</w:t>
      </w:r>
      <w:r w:rsidR="00744A1C">
        <w:rPr>
          <w:rtl/>
          <w:lang w:bidi="fa-IR"/>
        </w:rPr>
        <w:t xml:space="preserve"> ، ج 5 ، ص 256 ، ح 869 ، بسند آخر عن أحدهما </w:t>
      </w:r>
      <w:r w:rsidR="00F112A7" w:rsidRPr="00CE5A92">
        <w:rPr>
          <w:rStyle w:val="libFootnoteAlaemChar"/>
          <w:rtl/>
        </w:rPr>
        <w:t>عليهما‌السلام</w:t>
      </w:r>
      <w:r w:rsidR="00744A1C">
        <w:rPr>
          <w:rtl/>
          <w:lang w:bidi="fa-IR"/>
        </w:rPr>
        <w:t xml:space="preserve">، وفي الأخيرين </w:t>
      </w:r>
      <w:r w:rsidR="005916F9">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7950 / 3. عَلِيُّ بْنُ إِبْرَاهِيمَ ، عَنْ أَبِيهِ ، عَنِ ابْنِ </w:t>
      </w:r>
      <w:r w:rsidR="00CC7DAD">
        <w:rPr>
          <w:rtl/>
          <w:lang w:bidi="fa-IR"/>
        </w:rPr>
        <w:t>أَبِي عُمَيْرٍ ، عَنْ جَمِيلٍ :</w:t>
      </w:r>
    </w:p>
    <w:p w:rsidR="00744A1C" w:rsidRDefault="00744A1C" w:rsidP="00744A1C">
      <w:pPr>
        <w:pStyle w:val="libNormal"/>
        <w:rPr>
          <w:lang w:bidi="fa-IR"/>
        </w:rPr>
      </w:pPr>
      <w:r>
        <w:rPr>
          <w:rtl/>
          <w:lang w:bidi="fa-IR"/>
        </w:rPr>
        <w:t xml:space="preserve">عَنْ بَعْضِ أَصْحَابِنَا فِي </w:t>
      </w:r>
      <w:r w:rsidRPr="00D10E3C">
        <w:rPr>
          <w:rStyle w:val="libFootnotenumChar"/>
          <w:rtl/>
        </w:rPr>
        <w:t>(1)</w:t>
      </w:r>
      <w:r>
        <w:rPr>
          <w:rtl/>
          <w:lang w:bidi="fa-IR"/>
        </w:rPr>
        <w:t xml:space="preserve"> رَجُلٍ زَارَ الْبَيْتَ </w:t>
      </w:r>
      <w:r w:rsidRPr="00D10E3C">
        <w:rPr>
          <w:rStyle w:val="libFootnotenumChar"/>
          <w:rtl/>
        </w:rPr>
        <w:t>(2)</w:t>
      </w:r>
      <w:r>
        <w:rPr>
          <w:rtl/>
          <w:lang w:bidi="fa-IR"/>
        </w:rPr>
        <w:t xml:space="preserve"> ، فَنَامَ فِي الطَّرِيقِ ، قَالَ : إِنْ بَاتَ بِمَكَّةَ ، فَعَلَيْهِ دَمٌ ، وَإِنْ كَانَ قَدْ خَرَجَ مِنْهَا ، فَلَيْسَ عَلَيْهِ شَيْ‌ءٌ وَلَوْ </w:t>
      </w:r>
      <w:r w:rsidRPr="00D10E3C">
        <w:rPr>
          <w:rStyle w:val="libFootnotenumChar"/>
          <w:rtl/>
        </w:rPr>
        <w:t>(3)</w:t>
      </w:r>
      <w:r>
        <w:rPr>
          <w:rtl/>
          <w:lang w:bidi="fa-IR"/>
        </w:rPr>
        <w:t xml:space="preserve"> أَصْبَحَ دُونَ مِنًى. </w:t>
      </w:r>
      <w:r w:rsidRPr="00D10E3C">
        <w:rPr>
          <w:rStyle w:val="libFootnotenumChar"/>
          <w:rtl/>
        </w:rPr>
        <w:t>(4)</w:t>
      </w:r>
    </w:p>
    <w:p w:rsidR="00744A1C" w:rsidRDefault="00744A1C" w:rsidP="00744A1C">
      <w:pPr>
        <w:pStyle w:val="libNormal"/>
        <w:rPr>
          <w:lang w:bidi="fa-IR"/>
        </w:rPr>
      </w:pPr>
      <w:r>
        <w:rPr>
          <w:rtl/>
          <w:lang w:bidi="fa-IR"/>
        </w:rPr>
        <w:t xml:space="preserve">7951 / 4. وَفِي </w:t>
      </w:r>
      <w:r w:rsidRPr="00D10E3C">
        <w:rPr>
          <w:rStyle w:val="libFootnotenumChar"/>
          <w:rtl/>
        </w:rPr>
        <w:t>(5)</w:t>
      </w:r>
      <w:r w:rsidR="009639A8">
        <w:rPr>
          <w:rtl/>
          <w:lang w:bidi="fa-IR"/>
        </w:rPr>
        <w:t xml:space="preserve"> رِوَايَةٍ أُخْرى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sidRPr="00D10E3C">
        <w:rPr>
          <w:rStyle w:val="libFootnotenumChar"/>
          <w:rtl/>
        </w:rPr>
        <w:t>(6)</w:t>
      </w:r>
      <w:r>
        <w:rPr>
          <w:rtl/>
          <w:lang w:bidi="fa-IR"/>
        </w:rPr>
        <w:t xml:space="preserve"> فِي الرَّجُلِ يَزُورُ ، فَيَنَامُ </w:t>
      </w:r>
      <w:r w:rsidRPr="00D10E3C">
        <w:rPr>
          <w:rStyle w:val="libFootnotenumChar"/>
          <w:rtl/>
        </w:rPr>
        <w:t>(7)</w:t>
      </w:r>
      <w:r>
        <w:rPr>
          <w:rtl/>
          <w:lang w:bidi="fa-IR"/>
        </w:rPr>
        <w:t xml:space="preserve"> دُونَ مِنًى ، قَالَ : « إِذَا جَازَ </w:t>
      </w:r>
      <w:r w:rsidRPr="00D10E3C">
        <w:rPr>
          <w:rStyle w:val="libFootnotenumChar"/>
          <w:rtl/>
        </w:rPr>
        <w:t>(8)</w:t>
      </w:r>
      <w:r>
        <w:rPr>
          <w:rtl/>
          <w:lang w:bidi="fa-IR"/>
        </w:rPr>
        <w:t xml:space="preserve"> عَقَبَةَ الْمَدَنِيِّينَ ، فَلَا بَأْسَ أَنْ يَنَامَ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A276C9" w:rsidP="00A276C9">
      <w:pPr>
        <w:pStyle w:val="libFootnote0"/>
        <w:rPr>
          <w:lang w:bidi="fa-IR"/>
        </w:rPr>
      </w:pPr>
      <w:r>
        <w:rPr>
          <w:rFonts w:hint="cs"/>
          <w:rtl/>
          <w:lang w:bidi="fa-IR"/>
        </w:rPr>
        <w:t xml:space="preserve">= </w:t>
      </w:r>
      <w:r>
        <w:rPr>
          <w:rtl/>
          <w:lang w:bidi="fa-IR"/>
        </w:rPr>
        <w:t>إلى قوله : « إل</w:t>
      </w:r>
      <w:r>
        <w:rPr>
          <w:rFonts w:hint="cs"/>
          <w:rtl/>
          <w:lang w:bidi="fa-IR"/>
        </w:rPr>
        <w:t>ّ</w:t>
      </w:r>
      <w:r>
        <w:rPr>
          <w:rtl/>
          <w:lang w:bidi="fa-IR"/>
        </w:rPr>
        <w:t>ا</w:t>
      </w:r>
      <w:r w:rsidR="00744A1C">
        <w:rPr>
          <w:rtl/>
          <w:lang w:bidi="fa-IR"/>
        </w:rPr>
        <w:t xml:space="preserve"> وهو بمنى » مع اختلاف</w:t>
      </w:r>
      <w:r>
        <w:rPr>
          <w:rFonts w:hint="cs"/>
          <w:rtl/>
          <w:lang w:bidi="fa-IR"/>
        </w:rPr>
        <w:t>.</w:t>
      </w:r>
      <w:r w:rsidR="00744A1C" w:rsidRPr="00C24F9C">
        <w:rPr>
          <w:rStyle w:val="libFootnoteBoldChar"/>
          <w:rtl/>
        </w:rPr>
        <w:t>الوافي</w:t>
      </w:r>
      <w:r w:rsidR="00744A1C">
        <w:rPr>
          <w:rtl/>
          <w:lang w:bidi="fa-IR"/>
        </w:rPr>
        <w:t xml:space="preserve"> ، ج 14 ، ص 1250 ، ح 14203 ؛ </w:t>
      </w:r>
      <w:r w:rsidR="00744A1C" w:rsidRPr="00C24F9C">
        <w:rPr>
          <w:rStyle w:val="libFootnoteBoldChar"/>
          <w:rtl/>
        </w:rPr>
        <w:t>الوسائل</w:t>
      </w:r>
      <w:r w:rsidR="00744A1C">
        <w:rPr>
          <w:rtl/>
          <w:lang w:bidi="fa-IR"/>
        </w:rPr>
        <w:t xml:space="preserve"> ، ج 14 ، ص 252 ، ذيل ح 19121.</w:t>
      </w:r>
    </w:p>
    <w:tbl>
      <w:tblPr>
        <w:tblStyle w:val="TableGrid"/>
        <w:bidiVisual/>
        <w:tblW w:w="0" w:type="auto"/>
        <w:tblLook w:val="04A0" w:firstRow="1" w:lastRow="0" w:firstColumn="1" w:lastColumn="0" w:noHBand="0" w:noVBand="1"/>
      </w:tblPr>
      <w:tblGrid>
        <w:gridCol w:w="4006"/>
        <w:gridCol w:w="4006"/>
      </w:tblGrid>
      <w:tr w:rsidR="005924A2" w:rsidTr="005924A2">
        <w:tc>
          <w:tcPr>
            <w:tcW w:w="4006" w:type="dxa"/>
          </w:tcPr>
          <w:p w:rsidR="005924A2" w:rsidRDefault="005924A2" w:rsidP="00D10E3C">
            <w:pPr>
              <w:pStyle w:val="libFootnote0"/>
              <w:rPr>
                <w:rtl/>
                <w:lang w:bidi="fa-IR"/>
              </w:rPr>
            </w:pPr>
            <w:r>
              <w:rPr>
                <w:rtl/>
                <w:lang w:bidi="fa-IR"/>
              </w:rPr>
              <w:t>(1). في « بث ، بف » : « عن ».</w:t>
            </w:r>
          </w:p>
        </w:tc>
        <w:tc>
          <w:tcPr>
            <w:tcW w:w="4006" w:type="dxa"/>
          </w:tcPr>
          <w:p w:rsidR="005924A2" w:rsidRDefault="005924A2" w:rsidP="00D10E3C">
            <w:pPr>
              <w:pStyle w:val="libFootnote0"/>
              <w:rPr>
                <w:rtl/>
                <w:lang w:bidi="fa-IR"/>
              </w:rPr>
            </w:pPr>
            <w:r>
              <w:rPr>
                <w:rtl/>
                <w:lang w:bidi="fa-IR"/>
              </w:rPr>
              <w:t xml:space="preserve">(2). في </w:t>
            </w:r>
            <w:r w:rsidRPr="00C24F9C">
              <w:rPr>
                <w:rStyle w:val="libFootnoteBoldChar"/>
                <w:rtl/>
              </w:rPr>
              <w:t>الوافي</w:t>
            </w:r>
            <w:r>
              <w:rPr>
                <w:rtl/>
                <w:lang w:bidi="fa-IR"/>
              </w:rPr>
              <w:t xml:space="preserve"> : - « البيت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وإن ».</w:t>
      </w:r>
    </w:p>
    <w:p w:rsidR="00744A1C" w:rsidRDefault="00E378DD" w:rsidP="00AF0B36">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259 ، ح 881 ؛ </w:t>
      </w:r>
      <w:r w:rsidR="00744A1C" w:rsidRPr="00C24F9C">
        <w:rPr>
          <w:rStyle w:val="libFootnoteBoldChar"/>
          <w:rtl/>
        </w:rPr>
        <w:t>والاستبصار</w:t>
      </w:r>
      <w:r w:rsidR="00744A1C">
        <w:rPr>
          <w:rtl/>
          <w:lang w:bidi="fa-IR"/>
        </w:rPr>
        <w:t xml:space="preserve"> ، ج 2 ، ص 294 ، ح 1048 ، بسندهما عن ابن أبي عمير ، عن جميل بن درّاج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وفي </w:t>
      </w:r>
      <w:r w:rsidR="00744A1C" w:rsidRPr="00C24F9C">
        <w:rPr>
          <w:rStyle w:val="libFootnoteBoldChar"/>
          <w:rtl/>
        </w:rPr>
        <w:t>التهذيب</w:t>
      </w:r>
      <w:r w:rsidR="00744A1C">
        <w:rPr>
          <w:rtl/>
          <w:lang w:bidi="fa-IR"/>
        </w:rPr>
        <w:t xml:space="preserve"> ، ج 5 ، ص 257 ، ح 873 ؛ </w:t>
      </w:r>
      <w:r w:rsidR="00744A1C" w:rsidRPr="00C24F9C">
        <w:rPr>
          <w:rStyle w:val="libFootnoteBoldChar"/>
          <w:rtl/>
        </w:rPr>
        <w:t>والاستبصار</w:t>
      </w:r>
      <w:r w:rsidR="00744A1C">
        <w:rPr>
          <w:rtl/>
          <w:lang w:bidi="fa-IR"/>
        </w:rPr>
        <w:t xml:space="preserve"> ، ج 2 ، ص 292 ، ح 1040 ، إلى قوله : « ولو أصبح دون منى » ؛ </w:t>
      </w:r>
      <w:r w:rsidR="00744A1C" w:rsidRPr="00877682">
        <w:rPr>
          <w:rStyle w:val="libFootnoteBoldChar"/>
          <w:rtl/>
        </w:rPr>
        <w:t>قرب الإسناد</w:t>
      </w:r>
      <w:r w:rsidR="00744A1C">
        <w:rPr>
          <w:rtl/>
          <w:lang w:bidi="fa-IR"/>
        </w:rPr>
        <w:t xml:space="preserve"> ، ص 242 ، ح 958 ، وفي الثلاثة الأخيرة بسند آخر عن موسى بن جعفر </w:t>
      </w:r>
      <w:r w:rsidR="0061079A" w:rsidRPr="0061079A">
        <w:rPr>
          <w:rStyle w:val="libFootnoteAlaemChar"/>
          <w:rtl/>
        </w:rPr>
        <w:t>عليه‌السلام</w:t>
      </w:r>
      <w:r w:rsidR="00D10E3C">
        <w:rPr>
          <w:rtl/>
          <w:lang w:bidi="fa-IR"/>
        </w:rPr>
        <w:t xml:space="preserve"> </w:t>
      </w:r>
      <w:r w:rsidR="00744A1C">
        <w:rPr>
          <w:rtl/>
          <w:lang w:bidi="fa-IR"/>
        </w:rPr>
        <w:t>، مع اختلاف</w:t>
      </w:r>
      <w:r w:rsidR="00AF0B36">
        <w:rPr>
          <w:rFonts w:hint="cs"/>
          <w:rtl/>
          <w:lang w:bidi="fa-IR"/>
        </w:rPr>
        <w:t>.</w:t>
      </w:r>
      <w:r w:rsidR="00744A1C" w:rsidRPr="00C24F9C">
        <w:rPr>
          <w:rStyle w:val="libFootnoteBoldChar"/>
          <w:rtl/>
        </w:rPr>
        <w:t>الوافي</w:t>
      </w:r>
      <w:r w:rsidR="00744A1C">
        <w:rPr>
          <w:rtl/>
          <w:lang w:bidi="fa-IR"/>
        </w:rPr>
        <w:t xml:space="preserve"> ، ج 14 ، ص 1253 ، ح 14213 ؛ </w:t>
      </w:r>
      <w:r w:rsidR="00744A1C" w:rsidRPr="00C24F9C">
        <w:rPr>
          <w:rStyle w:val="libFootnoteBoldChar"/>
          <w:rtl/>
        </w:rPr>
        <w:t>الوسائل</w:t>
      </w:r>
      <w:r w:rsidR="00744A1C">
        <w:rPr>
          <w:rtl/>
          <w:lang w:bidi="fa-IR"/>
        </w:rPr>
        <w:t xml:space="preserve"> ، ج 14 ، ص 256 ، ح 19133 ؛ </w:t>
      </w:r>
      <w:r w:rsidR="00744A1C" w:rsidRPr="0061079A">
        <w:rPr>
          <w:rStyle w:val="libFootnoteBoldChar"/>
          <w:rtl/>
        </w:rPr>
        <w:t>البحار</w:t>
      </w:r>
      <w:r w:rsidR="00744A1C">
        <w:rPr>
          <w:rtl/>
          <w:lang w:bidi="fa-IR"/>
        </w:rPr>
        <w:t xml:space="preserve"> ، ج 83 ، ص 117 ، ذيل ح 40.</w:t>
      </w:r>
    </w:p>
    <w:tbl>
      <w:tblPr>
        <w:tblStyle w:val="TableGrid"/>
        <w:bidiVisual/>
        <w:tblW w:w="0" w:type="auto"/>
        <w:tblLook w:val="04A0" w:firstRow="1" w:lastRow="0" w:firstColumn="1" w:lastColumn="0" w:noHBand="0" w:noVBand="1"/>
      </w:tblPr>
      <w:tblGrid>
        <w:gridCol w:w="4006"/>
        <w:gridCol w:w="4006"/>
      </w:tblGrid>
      <w:tr w:rsidR="009E6C63" w:rsidTr="009E6C63">
        <w:tc>
          <w:tcPr>
            <w:tcW w:w="4006" w:type="dxa"/>
          </w:tcPr>
          <w:p w:rsidR="009E6C63" w:rsidRDefault="009E6C63" w:rsidP="00E378DD">
            <w:pPr>
              <w:pStyle w:val="libFootnote0"/>
              <w:rPr>
                <w:rtl/>
                <w:lang w:bidi="fa-IR"/>
              </w:rPr>
            </w:pPr>
            <w:r>
              <w:rPr>
                <w:rtl/>
                <w:lang w:bidi="fa-IR"/>
              </w:rPr>
              <w:t>(5). في « بخ ، بف » : « وجاء ».</w:t>
            </w:r>
          </w:p>
        </w:tc>
        <w:tc>
          <w:tcPr>
            <w:tcW w:w="4006" w:type="dxa"/>
          </w:tcPr>
          <w:p w:rsidR="009E6C63" w:rsidRDefault="009E6C63" w:rsidP="00E378DD">
            <w:pPr>
              <w:pStyle w:val="libFootnote0"/>
              <w:rPr>
                <w:rtl/>
                <w:lang w:bidi="fa-IR"/>
              </w:rPr>
            </w:pPr>
            <w:r>
              <w:rPr>
                <w:rtl/>
                <w:lang w:bidi="fa-IR"/>
              </w:rPr>
              <w:t>(6). في « بح » : + « قال ».</w:t>
            </w:r>
          </w:p>
        </w:tc>
      </w:tr>
      <w:tr w:rsidR="009E6C63" w:rsidTr="009E6C63">
        <w:tc>
          <w:tcPr>
            <w:tcW w:w="4006" w:type="dxa"/>
          </w:tcPr>
          <w:p w:rsidR="009E6C63" w:rsidRDefault="009E6C63" w:rsidP="00E378DD">
            <w:pPr>
              <w:pStyle w:val="libFootnote0"/>
              <w:rPr>
                <w:rtl/>
                <w:lang w:bidi="fa-IR"/>
              </w:rPr>
            </w:pPr>
            <w:r>
              <w:rPr>
                <w:rtl/>
                <w:lang w:bidi="fa-IR"/>
              </w:rPr>
              <w:t>(7). في « بس » : « فنام ».</w:t>
            </w:r>
          </w:p>
        </w:tc>
        <w:tc>
          <w:tcPr>
            <w:tcW w:w="4006" w:type="dxa"/>
          </w:tcPr>
          <w:p w:rsidR="009E6C63" w:rsidRDefault="009E6C63" w:rsidP="00E378DD">
            <w:pPr>
              <w:pStyle w:val="libFootnote0"/>
              <w:rPr>
                <w:rtl/>
                <w:lang w:bidi="fa-IR"/>
              </w:rPr>
            </w:pPr>
            <w:r>
              <w:rPr>
                <w:rtl/>
                <w:lang w:bidi="fa-IR"/>
              </w:rPr>
              <w:t>(8). في « بح ، بخ » : « جاوز ».</w:t>
            </w:r>
          </w:p>
        </w:tc>
      </w:tr>
    </w:tbl>
    <w:p w:rsidR="00744A1C" w:rsidRDefault="00E378DD" w:rsidP="00E378DD">
      <w:pPr>
        <w:pStyle w:val="libFootnote0"/>
        <w:rPr>
          <w:lang w:bidi="fa-IR"/>
        </w:rPr>
      </w:pPr>
      <w:r>
        <w:rPr>
          <w:rtl/>
          <w:lang w:bidi="fa-IR"/>
        </w:rPr>
        <w:t>(9).</w:t>
      </w:r>
      <w:r w:rsidR="00744A1C">
        <w:rPr>
          <w:rtl/>
          <w:lang w:bidi="fa-IR"/>
        </w:rPr>
        <w:t xml:space="preserve"> قال الشهيد الثاني </w:t>
      </w:r>
      <w:r w:rsidR="00877682" w:rsidRPr="00877682">
        <w:rPr>
          <w:rStyle w:val="libFootnoteAlaemChar"/>
          <w:rtl/>
        </w:rPr>
        <w:t>رحمه‌الله</w:t>
      </w:r>
      <w:r w:rsidR="00744A1C">
        <w:rPr>
          <w:rtl/>
          <w:lang w:bidi="fa-IR"/>
        </w:rPr>
        <w:t xml:space="preserve">في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459 : « لو فرغ من العبادة قبل الانتصاف ، ولم يرد العبادة بعده ، وجب عليه الرجوع إلى منى ، ولو علم أنّه لا يدركها قبل انتصاف الليل على إشكال ، وأولى بعدم الوجوب إذا علم أنّه لا يدركها حتّى يطلع الفجر ». ثمّ قال : « وروى الحسن فيمن زار وقضى نسكه ، ثمّ رجع إلى منى ، فنام في الطريق حتّى يصبح ، إن كان قد خرج من مكّة وجاز عقبة المدنيّين فلا شي‌ء عليه ، وإن لم يجز العقبة فعليه دم » ، وقال : « اختار ابن الجنيد ما رواه الحسن ».</w:t>
      </w:r>
    </w:p>
    <w:p w:rsidR="00744A1C" w:rsidRDefault="00744A1C" w:rsidP="00D10E3C">
      <w:pPr>
        <w:pStyle w:val="libFootnote0"/>
        <w:rPr>
          <w:lang w:bidi="fa-IR"/>
        </w:rPr>
      </w:pPr>
      <w:r>
        <w:rPr>
          <w:rtl/>
          <w:lang w:bidi="fa-IR"/>
        </w:rPr>
        <w:t xml:space="preserve">وعن السيّد العاملي </w:t>
      </w:r>
      <w:r w:rsidR="00877682" w:rsidRPr="00877682">
        <w:rPr>
          <w:rStyle w:val="libFootnoteAlaemChar"/>
          <w:rtl/>
        </w:rPr>
        <w:t>رحمه‌الله</w:t>
      </w:r>
      <w:r>
        <w:rPr>
          <w:rtl/>
          <w:lang w:bidi="fa-IR"/>
        </w:rPr>
        <w:t xml:space="preserve">في </w:t>
      </w:r>
      <w:r w:rsidRPr="00C24F9C">
        <w:rPr>
          <w:rStyle w:val="libFootnoteBoldChar"/>
          <w:rtl/>
        </w:rPr>
        <w:t>مدارك الأحكام</w:t>
      </w:r>
      <w:r>
        <w:rPr>
          <w:rtl/>
          <w:lang w:bidi="fa-IR"/>
        </w:rPr>
        <w:t xml:space="preserve"> ، ج 8 ، ص 224 : « اعلم أنّ أقصى ما يستفاد من الروايات ترتّب الدم على مبيت الليالي المذكورة في غير منى بحيث يكون خارجاً عنها من أوّل الليل إلى آخره ، بل أكثر الأخبار المعتبرة إنّما تدلّ على ترتّب الدم على مبيت هذه الليالي بمكّة ».</w:t>
      </w:r>
    </w:p>
    <w:p w:rsidR="00744A1C" w:rsidRDefault="00E378DD" w:rsidP="000537B2">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5 ، ص 259 ، ح 880 ؛ </w:t>
      </w:r>
      <w:r w:rsidR="00744A1C" w:rsidRPr="00C24F9C">
        <w:rPr>
          <w:rStyle w:val="libFootnoteBoldChar"/>
          <w:rtl/>
        </w:rPr>
        <w:t>والاستبصار</w:t>
      </w:r>
      <w:r w:rsidR="00744A1C">
        <w:rPr>
          <w:rtl/>
          <w:lang w:bidi="fa-IR"/>
        </w:rPr>
        <w:t xml:space="preserve"> ، ج 2 ، ص 294 ، ح 1047 ، بسند آخر عن أبي الحسن </w:t>
      </w:r>
      <w:r w:rsidR="0061079A" w:rsidRPr="0061079A">
        <w:rPr>
          <w:rStyle w:val="libFootnoteAlaemChar"/>
          <w:rtl/>
        </w:rPr>
        <w:t>عليه‌السلام</w:t>
      </w:r>
      <w:r w:rsidR="000537B2">
        <w:rPr>
          <w:rFonts w:hint="cs"/>
          <w:rtl/>
          <w:lang w:bidi="fa-IR"/>
        </w:rPr>
        <w:t>.</w:t>
      </w:r>
      <w:r w:rsidR="00744A1C" w:rsidRPr="00C24F9C">
        <w:rPr>
          <w:rStyle w:val="libFootnoteBoldChar"/>
          <w:rtl/>
        </w:rPr>
        <w:t>الوافي</w:t>
      </w:r>
      <w:r w:rsidR="00744A1C">
        <w:rPr>
          <w:rtl/>
          <w:lang w:bidi="fa-IR"/>
        </w:rPr>
        <w:t xml:space="preserve"> ، ج 14 ، ص 1253 ، ح 14214 ؛ </w:t>
      </w:r>
      <w:r w:rsidR="00744A1C" w:rsidRPr="00C24F9C">
        <w:rPr>
          <w:rStyle w:val="libFootnoteBoldChar"/>
          <w:rtl/>
        </w:rPr>
        <w:t>الوسائل</w:t>
      </w:r>
      <w:r w:rsidR="00744A1C">
        <w:rPr>
          <w:rtl/>
          <w:lang w:bidi="fa-IR"/>
        </w:rPr>
        <w:t xml:space="preserve"> ، ج 14 ، ص 256 ، ذيل ح 19132.</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7952 / 5. عَلِيُّ بْنُ إِبْرَاهِيمَ ، عَنْ أَبِيهِ ، عَنِ ابْنِ أَبِي عُمَيْرٍ ، عَنْ هِشَامِ بْنِ الْحَكَمِ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زَارَ الْحَاجُّ مِنْ مِنًى ، فَخَرَجَ مِنْ مَكَّةَ </w:t>
      </w:r>
      <w:r w:rsidRPr="00D10E3C">
        <w:rPr>
          <w:rStyle w:val="libFootnotenumChar"/>
          <w:rtl/>
        </w:rPr>
        <w:t>(1)</w:t>
      </w:r>
      <w:r>
        <w:rPr>
          <w:rtl/>
          <w:lang w:bidi="fa-IR"/>
        </w:rPr>
        <w:t xml:space="preserve"> ، فَجَاوَزَ بُيُوتَ مَكَّةَ ، فَنَامَ ، ثُمَّ أَصْبَحَ قَبْلَ أَنْ يَأْتِيَ مِنًى ، فَلَا شَيْ‌ءَ عَلَيْهِ ». </w:t>
      </w:r>
      <w:r w:rsidRPr="00D10E3C">
        <w:rPr>
          <w:rStyle w:val="libFootnotenumChar"/>
          <w:rtl/>
        </w:rPr>
        <w:t>(2)</w:t>
      </w:r>
    </w:p>
    <w:p w:rsidR="00744A1C" w:rsidRDefault="00744A1C" w:rsidP="00744A1C">
      <w:pPr>
        <w:pStyle w:val="libNormal"/>
        <w:rPr>
          <w:lang w:bidi="fa-IR"/>
        </w:rPr>
      </w:pPr>
      <w:r>
        <w:rPr>
          <w:rtl/>
          <w:lang w:bidi="fa-IR"/>
        </w:rPr>
        <w:t xml:space="preserve">7953 / 6. مُحَمَّدُ بْنُ يَحْيى ، عَنْ أَحْمَدَ بْنِ مُحَمَّدٍ ، عَنِ الْحَسَنِ بْنِ عَلِيٍّ ، عَنِ ابْنِ </w:t>
      </w:r>
      <w:r w:rsidR="000B4F0E">
        <w:rPr>
          <w:rtl/>
          <w:lang w:bidi="fa-IR"/>
        </w:rPr>
        <w:t>بُكَيْرٍ ، عَمَّنْ أَخْبَرَهُ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قَالَ : « لَا تَدْخُلُوا مَنَازِلَكُمْ بِمَكَّةَ </w:t>
      </w:r>
      <w:r w:rsidRPr="00D10E3C">
        <w:rPr>
          <w:rStyle w:val="libFootnotenumChar"/>
          <w:rtl/>
        </w:rPr>
        <w:t>(3)</w:t>
      </w:r>
      <w:r>
        <w:rPr>
          <w:rtl/>
          <w:lang w:bidi="fa-IR"/>
        </w:rPr>
        <w:t xml:space="preserve"> إِذَا زُرْتُمْ » يَعْنِي أَهْلَ مَكَّةَ. </w:t>
      </w:r>
      <w:r w:rsidRPr="00D10E3C">
        <w:rPr>
          <w:rStyle w:val="libFootnotenumChar"/>
          <w:rtl/>
        </w:rPr>
        <w:t>(4)</w:t>
      </w:r>
    </w:p>
    <w:p w:rsidR="00744A1C" w:rsidRDefault="00744A1C" w:rsidP="00790393">
      <w:pPr>
        <w:pStyle w:val="Heading2Center"/>
        <w:rPr>
          <w:lang w:bidi="fa-IR"/>
        </w:rPr>
      </w:pPr>
      <w:bookmarkStart w:id="40" w:name="_Toc49261338"/>
      <w:r>
        <w:rPr>
          <w:rtl/>
          <w:lang w:bidi="fa-IR"/>
        </w:rPr>
        <w:t xml:space="preserve">195 - بَابُ إِتْيَانِ مَكَّةَ </w:t>
      </w:r>
      <w:r w:rsidRPr="00D10E3C">
        <w:rPr>
          <w:rStyle w:val="libFootnotenumChar"/>
          <w:rtl/>
        </w:rPr>
        <w:t>(5)</w:t>
      </w:r>
      <w:r>
        <w:rPr>
          <w:rtl/>
          <w:lang w:bidi="fa-IR"/>
        </w:rPr>
        <w:t xml:space="preserve"> بَعْدَ الزِّيَارَةِ لِلطَّوَافِ </w:t>
      </w:r>
      <w:r w:rsidRPr="00D10E3C">
        <w:rPr>
          <w:rStyle w:val="libFootnotenumChar"/>
          <w:rtl/>
        </w:rPr>
        <w:t>(6)</w:t>
      </w:r>
      <w:bookmarkEnd w:id="40"/>
    </w:p>
    <w:p w:rsidR="00744A1C" w:rsidRDefault="00744A1C" w:rsidP="00744A1C">
      <w:pPr>
        <w:pStyle w:val="libNormal"/>
        <w:rPr>
          <w:lang w:bidi="fa-IR"/>
        </w:rPr>
      </w:pPr>
      <w:r>
        <w:rPr>
          <w:rtl/>
          <w:lang w:bidi="fa-IR"/>
        </w:rPr>
        <w:t>7954 / 1. مُحَمَّدُ بْنُ يَحْيى ، عَنْ أَحْمَدَ بْنِ مُحَمَّدٍ ، عَنِ ابْنِ فَضَّالٍ ، عَنِ الْمُفَضَّلِ بْنِ صَالِحٍ ، عَنْ</w:t>
      </w:r>
      <w:r w:rsidR="000B4F0E">
        <w:rPr>
          <w:rtl/>
          <w:lang w:bidi="fa-IR"/>
        </w:rPr>
        <w:t xml:space="preserve"> لَيْثٍ الْمُرَادِيِّ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الرَّجُلِ يَأْتِي مَكَّةَ أَيَّامَ مِنًى بَعْدَ فَرَاغِهِ مِنْ زِيَارَةِ الْبَيْتِ ، فَيَطُوفُ بِالْبَيْتِ تَطَوُّعاً؟</w:t>
      </w:r>
    </w:p>
    <w:p w:rsidR="00744A1C" w:rsidRDefault="00744A1C" w:rsidP="00744A1C">
      <w:pPr>
        <w:pStyle w:val="libNormal"/>
        <w:rPr>
          <w:lang w:bidi="fa-IR"/>
        </w:rPr>
      </w:pPr>
      <w:r>
        <w:rPr>
          <w:rtl/>
          <w:lang w:bidi="fa-IR"/>
        </w:rPr>
        <w:t xml:space="preserve">فَقَالَ : « الْمُقَامُ بِمِنًى أَفْضَلُ ، وَأَحَبُّ إِلَيَّ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61079A">
        <w:rPr>
          <w:rStyle w:val="libFootnoteBoldChar"/>
          <w:rtl/>
        </w:rPr>
        <w:t>البحار</w:t>
      </w:r>
      <w:r w:rsidR="00744A1C">
        <w:rPr>
          <w:rtl/>
          <w:lang w:bidi="fa-IR"/>
        </w:rPr>
        <w:t xml:space="preserve"> : - « من مكّة ».</w:t>
      </w:r>
    </w:p>
    <w:p w:rsidR="00744A1C" w:rsidRDefault="00E378DD" w:rsidP="00243B17">
      <w:pPr>
        <w:pStyle w:val="libFootnote0"/>
        <w:rPr>
          <w:lang w:bidi="fa-IR"/>
        </w:rPr>
      </w:pPr>
      <w:r>
        <w:rPr>
          <w:rtl/>
          <w:lang w:bidi="fa-IR"/>
        </w:rPr>
        <w:t>(2).</w:t>
      </w:r>
      <w:r w:rsidR="00744A1C">
        <w:rPr>
          <w:rtl/>
          <w:lang w:bidi="fa-IR"/>
        </w:rPr>
        <w:t xml:space="preserve"> </w:t>
      </w:r>
      <w:r w:rsidR="00744A1C" w:rsidRPr="00C24F9C">
        <w:rPr>
          <w:rStyle w:val="libFootnoteBoldChar"/>
          <w:rtl/>
        </w:rPr>
        <w:t>الفقيه</w:t>
      </w:r>
      <w:r w:rsidR="00744A1C">
        <w:rPr>
          <w:rtl/>
          <w:lang w:bidi="fa-IR"/>
        </w:rPr>
        <w:t xml:space="preserve"> ، ج 2 ، ص 478 ، ح 3012 ، معلّقاً عن ابن أبي عمير</w:t>
      </w:r>
      <w:r w:rsidR="00243B17">
        <w:rPr>
          <w:rFonts w:hint="cs"/>
          <w:rtl/>
          <w:lang w:bidi="fa-IR"/>
        </w:rPr>
        <w:t>.</w:t>
      </w:r>
      <w:r w:rsidR="00744A1C" w:rsidRPr="00C24F9C">
        <w:rPr>
          <w:rStyle w:val="libFootnoteBoldChar"/>
          <w:rtl/>
        </w:rPr>
        <w:t>الوافي</w:t>
      </w:r>
      <w:r w:rsidR="00744A1C">
        <w:rPr>
          <w:rtl/>
          <w:lang w:bidi="fa-IR"/>
        </w:rPr>
        <w:t xml:space="preserve"> ، ج 14 ، ص 1253 ، ح 14216 ؛ </w:t>
      </w:r>
      <w:r w:rsidR="00744A1C" w:rsidRPr="00C24F9C">
        <w:rPr>
          <w:rStyle w:val="libFootnoteBoldChar"/>
          <w:rtl/>
        </w:rPr>
        <w:t>الوسائل</w:t>
      </w:r>
      <w:r w:rsidR="00744A1C">
        <w:rPr>
          <w:rtl/>
          <w:lang w:bidi="fa-IR"/>
        </w:rPr>
        <w:t xml:space="preserve"> ، ج 14 ، ص 257 ، ح 19134 ؛ </w:t>
      </w:r>
      <w:r w:rsidR="00744A1C" w:rsidRPr="0061079A">
        <w:rPr>
          <w:rStyle w:val="libFootnoteBoldChar"/>
          <w:rtl/>
        </w:rPr>
        <w:t>البحار</w:t>
      </w:r>
      <w:r w:rsidR="00744A1C">
        <w:rPr>
          <w:rtl/>
          <w:lang w:bidi="fa-IR"/>
        </w:rPr>
        <w:t xml:space="preserve"> ، ج 83 ، ص 117 ، ح 41.</w:t>
      </w:r>
    </w:p>
    <w:p w:rsidR="00744A1C" w:rsidRDefault="00E378DD" w:rsidP="00E378DD">
      <w:pPr>
        <w:pStyle w:val="libFootnote0"/>
        <w:rPr>
          <w:lang w:bidi="fa-IR"/>
        </w:rPr>
      </w:pPr>
      <w:r>
        <w:rPr>
          <w:rtl/>
          <w:lang w:bidi="fa-IR"/>
        </w:rPr>
        <w:t>(3).</w:t>
      </w:r>
      <w:r w:rsidR="00744A1C">
        <w:rPr>
          <w:rtl/>
          <w:lang w:bidi="fa-IR"/>
        </w:rPr>
        <w:t xml:space="preserve"> في « بح » : - « بمكّة ».</w:t>
      </w:r>
    </w:p>
    <w:p w:rsidR="00744A1C" w:rsidRDefault="00E378DD" w:rsidP="00B65D3B">
      <w:pPr>
        <w:pStyle w:val="libFootnote0"/>
        <w:rPr>
          <w:lang w:bidi="fa-IR"/>
        </w:rPr>
      </w:pPr>
      <w:r>
        <w:rPr>
          <w:rtl/>
          <w:lang w:bidi="fa-IR"/>
        </w:rPr>
        <w:t>(4).</w:t>
      </w:r>
      <w:r w:rsidR="00744A1C">
        <w:rPr>
          <w:rtl/>
          <w:lang w:bidi="fa-IR"/>
        </w:rPr>
        <w:t xml:space="preserve"> </w:t>
      </w:r>
      <w:r w:rsidR="00744A1C" w:rsidRPr="00C24F9C">
        <w:rPr>
          <w:rStyle w:val="libFootnoteBoldChar"/>
          <w:rtl/>
        </w:rPr>
        <w:t>الفقيه</w:t>
      </w:r>
      <w:r w:rsidR="00744A1C">
        <w:rPr>
          <w:rtl/>
          <w:lang w:bidi="fa-IR"/>
        </w:rPr>
        <w:t xml:space="preserve"> ، ج 2 ، ص 478 ، ح 3011 ، مرسلاً</w:t>
      </w:r>
      <w:r w:rsidR="005067D8">
        <w:rPr>
          <w:rFonts w:hint="cs"/>
          <w:rtl/>
          <w:lang w:bidi="fa-IR"/>
        </w:rPr>
        <w:t>.</w:t>
      </w:r>
      <w:r w:rsidR="00744A1C" w:rsidRPr="00C24F9C">
        <w:rPr>
          <w:rStyle w:val="libFootnoteBoldChar"/>
          <w:rtl/>
        </w:rPr>
        <w:t>الوافي</w:t>
      </w:r>
      <w:r w:rsidR="00744A1C">
        <w:rPr>
          <w:rtl/>
          <w:lang w:bidi="fa-IR"/>
        </w:rPr>
        <w:t xml:space="preserve"> ، ج 14 ، ص 1254 ، ح 14218 ؛ </w:t>
      </w:r>
      <w:r w:rsidR="00744A1C" w:rsidRPr="00C24F9C">
        <w:rPr>
          <w:rStyle w:val="libFootnoteBoldChar"/>
          <w:rtl/>
        </w:rPr>
        <w:t>الوسائل</w:t>
      </w:r>
      <w:r w:rsidR="00744A1C">
        <w:rPr>
          <w:rtl/>
          <w:lang w:bidi="fa-IR"/>
        </w:rPr>
        <w:t xml:space="preserve"> ، ج 14 ، ص 257 ، ح 19135.</w:t>
      </w:r>
      <w:r w:rsidR="00B65D3B">
        <w:rPr>
          <w:rFonts w:hint="cs"/>
          <w:rtl/>
          <w:lang w:bidi="fa-IR"/>
        </w:rPr>
        <w:t xml:space="preserve">                                      </w:t>
      </w:r>
      <w:r>
        <w:rPr>
          <w:rtl/>
          <w:lang w:bidi="fa-IR"/>
        </w:rPr>
        <w:t>(5).</w:t>
      </w:r>
      <w:r w:rsidR="00744A1C">
        <w:rPr>
          <w:rtl/>
          <w:lang w:bidi="fa-IR"/>
        </w:rPr>
        <w:t xml:space="preserve"> في « ى » : + « من ».</w:t>
      </w:r>
    </w:p>
    <w:p w:rsidR="00744A1C" w:rsidRDefault="00E378DD" w:rsidP="00E378DD">
      <w:pPr>
        <w:pStyle w:val="libFootnote0"/>
        <w:rPr>
          <w:lang w:bidi="fa-IR"/>
        </w:rPr>
      </w:pPr>
      <w:r>
        <w:rPr>
          <w:rtl/>
          <w:lang w:bidi="fa-IR"/>
        </w:rPr>
        <w:t>(6).</w:t>
      </w:r>
      <w:r w:rsidR="00744A1C">
        <w:rPr>
          <w:rtl/>
          <w:lang w:bidi="fa-IR"/>
        </w:rPr>
        <w:t xml:space="preserve"> في « بس » : « والطواف ».</w:t>
      </w:r>
    </w:p>
    <w:p w:rsidR="00744A1C" w:rsidRDefault="00E378DD" w:rsidP="004951C4">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260 ، ح 887 ؛ </w:t>
      </w:r>
      <w:r w:rsidR="00744A1C" w:rsidRPr="00C24F9C">
        <w:rPr>
          <w:rStyle w:val="libFootnoteBoldChar"/>
          <w:rtl/>
        </w:rPr>
        <w:t>والاستبصار</w:t>
      </w:r>
      <w:r w:rsidR="00744A1C">
        <w:rPr>
          <w:rtl/>
          <w:lang w:bidi="fa-IR"/>
        </w:rPr>
        <w:t xml:space="preserve"> ، ج 2 ، ص 295 ، ح 1053 ، معلّقاً عن الكليني. </w:t>
      </w:r>
      <w:r w:rsidR="00744A1C" w:rsidRPr="00C24F9C">
        <w:rPr>
          <w:rStyle w:val="libFootnoteBoldChar"/>
          <w:rtl/>
        </w:rPr>
        <w:t>الفقيه</w:t>
      </w:r>
      <w:r w:rsidR="00744A1C">
        <w:rPr>
          <w:rtl/>
          <w:lang w:bidi="fa-IR"/>
        </w:rPr>
        <w:t xml:space="preserve"> ، ج 2 ، ص 479 ، ح 3014 ، معلّقاً عن ليث المرادي ؛ </w:t>
      </w:r>
      <w:r w:rsidR="00744A1C" w:rsidRPr="00C24F9C">
        <w:rPr>
          <w:rStyle w:val="libFootnoteBoldChar"/>
          <w:rtl/>
        </w:rPr>
        <w:t>التهذيب</w:t>
      </w:r>
      <w:r w:rsidR="00744A1C">
        <w:rPr>
          <w:rtl/>
          <w:lang w:bidi="fa-IR"/>
        </w:rPr>
        <w:t xml:space="preserve"> ، ج 5 ، ص 490 ، ح 1755 ، بسند آخر عن ليث المرادي</w:t>
      </w:r>
      <w:r w:rsidR="004951C4">
        <w:rPr>
          <w:rFonts w:hint="cs"/>
          <w:rtl/>
          <w:lang w:bidi="fa-IR"/>
        </w:rPr>
        <w:t>.</w:t>
      </w:r>
      <w:r w:rsidR="00744A1C" w:rsidRPr="00C24F9C">
        <w:rPr>
          <w:rStyle w:val="libFootnoteBoldChar"/>
          <w:rtl/>
        </w:rPr>
        <w:t>الوافي</w:t>
      </w:r>
      <w:r w:rsidR="00744A1C">
        <w:rPr>
          <w:rtl/>
          <w:lang w:bidi="fa-IR"/>
        </w:rPr>
        <w:t xml:space="preserve"> ، ج 14 ، ص 1255 ، ح 14222 ؛ </w:t>
      </w:r>
      <w:r w:rsidR="00744A1C" w:rsidRPr="00C24F9C">
        <w:rPr>
          <w:rStyle w:val="libFootnoteBoldChar"/>
          <w:rtl/>
        </w:rPr>
        <w:t>الوسائل</w:t>
      </w:r>
      <w:r w:rsidR="00744A1C">
        <w:rPr>
          <w:rtl/>
          <w:lang w:bidi="fa-IR"/>
        </w:rPr>
        <w:t xml:space="preserve"> ، ج 14 ، ص 260 ، ذيل ح 19145.</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7955 / 2. أَبُو عَلِيٍّ الْأَشْعَرِيُّ ، عَنْ مُحَمَّدِ بْنِ عَبْدِ الْجَبَّارِ ، عَنْ صَفْوَانَ بْنِ يَحْيى </w:t>
      </w:r>
      <w:r w:rsidRPr="00D10E3C">
        <w:rPr>
          <w:rStyle w:val="libFootnotenumChar"/>
          <w:rtl/>
        </w:rPr>
        <w:t>(1)</w:t>
      </w:r>
      <w:r>
        <w:rPr>
          <w:rtl/>
          <w:lang w:bidi="fa-IR"/>
        </w:rPr>
        <w:t xml:space="preserve"> ، عَنْ عِيصِ بْنِ الْقَاسِمِ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الزِّيَارَةِ بَعْدَ زِيَارَةِ الْحَجِّ فِي أَيَّامِ التَّشْرِيقِ؟</w:t>
      </w:r>
    </w:p>
    <w:p w:rsidR="00744A1C" w:rsidRDefault="00744A1C" w:rsidP="00744A1C">
      <w:pPr>
        <w:pStyle w:val="libNormal"/>
        <w:rPr>
          <w:lang w:bidi="fa-IR"/>
        </w:rPr>
      </w:pPr>
      <w:r>
        <w:rPr>
          <w:rtl/>
          <w:lang w:bidi="fa-IR"/>
        </w:rPr>
        <w:t xml:space="preserve">فَقَالَ : « لَا </w:t>
      </w:r>
      <w:r w:rsidRPr="00D10E3C">
        <w:rPr>
          <w:rStyle w:val="libFootnotenumChar"/>
          <w:rtl/>
        </w:rPr>
        <w:t>(2)</w:t>
      </w:r>
      <w:r>
        <w:rPr>
          <w:rtl/>
          <w:lang w:bidi="fa-IR"/>
        </w:rPr>
        <w:t xml:space="preserve"> ». </w:t>
      </w:r>
      <w:r w:rsidRPr="00D10E3C">
        <w:rPr>
          <w:rStyle w:val="libFootnotenumChar"/>
          <w:rtl/>
        </w:rPr>
        <w:t>(3)</w:t>
      </w:r>
    </w:p>
    <w:p w:rsidR="00744A1C" w:rsidRDefault="00744A1C" w:rsidP="00C1353D">
      <w:pPr>
        <w:pStyle w:val="Heading2Center"/>
        <w:rPr>
          <w:lang w:bidi="fa-IR"/>
        </w:rPr>
      </w:pPr>
      <w:bookmarkStart w:id="41" w:name="_Toc49261339"/>
      <w:r>
        <w:rPr>
          <w:rtl/>
          <w:lang w:bidi="fa-IR"/>
        </w:rPr>
        <w:t xml:space="preserve">196 - بَابُ التَّكْبِيرِ </w:t>
      </w:r>
      <w:r w:rsidRPr="00D10E3C">
        <w:rPr>
          <w:rStyle w:val="libFootnotenumChar"/>
          <w:rtl/>
        </w:rPr>
        <w:t>(4)</w:t>
      </w:r>
      <w:r>
        <w:rPr>
          <w:rtl/>
          <w:lang w:bidi="fa-IR"/>
        </w:rPr>
        <w:t xml:space="preserve"> أَيَّامَ التَّشْرِيقِ‌</w:t>
      </w:r>
      <w:bookmarkEnd w:id="41"/>
    </w:p>
    <w:p w:rsidR="00144FA6" w:rsidRDefault="00744A1C" w:rsidP="00744A1C">
      <w:pPr>
        <w:pStyle w:val="libNormal"/>
        <w:rPr>
          <w:rtl/>
          <w:lang w:bidi="fa-IR"/>
        </w:rPr>
      </w:pPr>
      <w:r>
        <w:rPr>
          <w:rtl/>
          <w:lang w:bidi="fa-IR"/>
        </w:rPr>
        <w:t>7956 / 1. عَلِيُّ بْنُ إِبْرَاهِيمَ ، عَنْ أَبِيهِ ، عَنْ حَمَّادِ بْنِ عِيسى ، عَنْ حَرِيزٍ ، عَنْ مُحَمَّدِ بْنِ مُسْلِمٍ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قَوْلِ اللهِ عَزَّ وَ</w:t>
      </w:r>
      <w:r w:rsidR="00C1353D">
        <w:rPr>
          <w:rFonts w:hint="cs"/>
          <w:rtl/>
          <w:lang w:bidi="fa-IR"/>
        </w:rPr>
        <w:t xml:space="preserve"> </w:t>
      </w:r>
      <w:r>
        <w:rPr>
          <w:rtl/>
          <w:lang w:bidi="fa-IR"/>
        </w:rPr>
        <w:t xml:space="preserve">جَلَّ : </w:t>
      </w:r>
      <w:r w:rsidRPr="00C1353D">
        <w:rPr>
          <w:rStyle w:val="libAlaemChar"/>
          <w:rtl/>
        </w:rPr>
        <w:t>(</w:t>
      </w:r>
      <w:r w:rsidRPr="00C1353D">
        <w:rPr>
          <w:rStyle w:val="libAieChar"/>
          <w:rtl/>
        </w:rPr>
        <w:t xml:space="preserve"> وَاذْكُرُوا اللهَ فِي أَيّامٍ مَعْدُوداتٍ </w:t>
      </w:r>
      <w:r w:rsidRPr="00C1353D">
        <w:rPr>
          <w:rStyle w:val="libAlaemChar"/>
          <w:rtl/>
        </w:rPr>
        <w:t>)</w:t>
      </w:r>
      <w:r>
        <w:rPr>
          <w:rtl/>
          <w:lang w:bidi="fa-IR"/>
        </w:rPr>
        <w:t xml:space="preserve"> </w:t>
      </w:r>
      <w:r w:rsidRPr="00D10E3C">
        <w:rPr>
          <w:rStyle w:val="libFootnotenumChar"/>
          <w:rtl/>
        </w:rPr>
        <w:t>(5)</w:t>
      </w:r>
      <w:r>
        <w:rPr>
          <w:rtl/>
          <w:lang w:bidi="fa-IR"/>
        </w:rPr>
        <w:t>؟</w:t>
      </w:r>
    </w:p>
    <w:p w:rsidR="00744A1C" w:rsidRDefault="00744A1C" w:rsidP="00744A1C">
      <w:pPr>
        <w:pStyle w:val="libNormal"/>
        <w:rPr>
          <w:lang w:bidi="fa-IR"/>
        </w:rPr>
      </w:pPr>
      <w:r>
        <w:rPr>
          <w:rtl/>
          <w:lang w:bidi="fa-IR"/>
        </w:rPr>
        <w:t xml:space="preserve">قَالَ : « التَّكْبِيرُ فِي أَيَّامِ التَّشْرِيقِ </w:t>
      </w:r>
      <w:r w:rsidRPr="00D10E3C">
        <w:rPr>
          <w:rStyle w:val="libFootnotenumChar"/>
          <w:rtl/>
        </w:rPr>
        <w:t>(6)</w:t>
      </w:r>
      <w:r>
        <w:rPr>
          <w:rtl/>
          <w:lang w:bidi="fa-IR"/>
        </w:rPr>
        <w:t xml:space="preserve"> صَلَاةِ الظُّهْرِ مِنْ يَوْمِ النَّحْرِ إِلى صَلَاةِ </w:t>
      </w:r>
      <w:r w:rsidRPr="00D10E3C">
        <w:rPr>
          <w:rStyle w:val="libFootnotenumChar"/>
          <w:rtl/>
        </w:rPr>
        <w:t>(7)</w:t>
      </w:r>
      <w:r>
        <w:rPr>
          <w:rtl/>
          <w:lang w:bidi="fa-IR"/>
        </w:rPr>
        <w:t xml:space="preserve"> الْفَجْرِ مِنْ يَوْمِ </w:t>
      </w:r>
      <w:r w:rsidRPr="00D10E3C">
        <w:rPr>
          <w:rStyle w:val="libFootnotenumChar"/>
          <w:rtl/>
        </w:rPr>
        <w:t>(8)</w:t>
      </w:r>
      <w:r>
        <w:rPr>
          <w:rtl/>
          <w:lang w:bidi="fa-IR"/>
        </w:rPr>
        <w:t xml:space="preserve"> الثَّالِثِ ، وَفِي الْأَمْصَارِ عَشْرَ صَلَوَاتٍ ، فَإِذَا نَفَرَ بَعْدَ الْأُولى </w:t>
      </w:r>
      <w:r w:rsidRPr="00D10E3C">
        <w:rPr>
          <w:rStyle w:val="libFootnotenumChar"/>
          <w:rtl/>
        </w:rPr>
        <w:t>(9)</w:t>
      </w:r>
      <w:r>
        <w:rPr>
          <w:rtl/>
          <w:lang w:bidi="fa-IR"/>
        </w:rPr>
        <w:t xml:space="preserve"> ، أَمْسَكَ أَهْلُ الْأَمْصَارِ </w:t>
      </w:r>
      <w:r w:rsidRPr="00D10E3C">
        <w:rPr>
          <w:rStyle w:val="libFootnotenumChar"/>
          <w:rtl/>
        </w:rPr>
        <w:t>(10)</w:t>
      </w:r>
      <w:r>
        <w:rPr>
          <w:rtl/>
          <w:lang w:bidi="fa-IR"/>
        </w:rPr>
        <w:t xml:space="preserve"> ؛ وَمَنْ أَقَامَ بِمِنًى ، فَصَلّى بِهَا الظُّهْرَ وَالْعَصْرَ ، فَلْيُكَبِّرْ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 - « بن يحيى ».</w:t>
      </w:r>
    </w:p>
    <w:p w:rsidR="00744A1C" w:rsidRDefault="00E378DD" w:rsidP="00E378DD">
      <w:pPr>
        <w:pStyle w:val="libFootnote0"/>
        <w:rPr>
          <w:lang w:bidi="fa-IR"/>
        </w:rPr>
      </w:pPr>
      <w:r>
        <w:rPr>
          <w:rtl/>
          <w:lang w:bidi="fa-IR"/>
        </w:rPr>
        <w:t>(2).</w:t>
      </w:r>
      <w:r w:rsidR="00744A1C">
        <w:rPr>
          <w:rtl/>
          <w:lang w:bidi="fa-IR"/>
        </w:rPr>
        <w:t xml:space="preserve"> حمله في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على الفضل والاستحباب دون الحظر والإيجاب.</w:t>
      </w:r>
    </w:p>
    <w:p w:rsidR="00744A1C" w:rsidRDefault="00E378DD" w:rsidP="00426135">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260 ، ح 886 ؛ </w:t>
      </w:r>
      <w:r w:rsidR="00744A1C" w:rsidRPr="00C24F9C">
        <w:rPr>
          <w:rStyle w:val="libFootnoteBoldChar"/>
          <w:rtl/>
        </w:rPr>
        <w:t>والاستبصار</w:t>
      </w:r>
      <w:r w:rsidR="00744A1C">
        <w:rPr>
          <w:rtl/>
          <w:lang w:bidi="fa-IR"/>
        </w:rPr>
        <w:t xml:space="preserve"> ، ج 2 ، ص 295 ، ح 1052 ، معلّقاً عن الكليني. وفي </w:t>
      </w:r>
      <w:r w:rsidR="00744A1C" w:rsidRPr="00C24F9C">
        <w:rPr>
          <w:rStyle w:val="libFootnoteBoldChar"/>
          <w:rtl/>
        </w:rPr>
        <w:t>التهذيب</w:t>
      </w:r>
      <w:r w:rsidR="00744A1C">
        <w:rPr>
          <w:rtl/>
          <w:lang w:bidi="fa-IR"/>
        </w:rPr>
        <w:t xml:space="preserve"> ، ج 5 ، ص 490 ، ح 1754 ، معلّقاً عن العيص بن قاسم. راجع : </w:t>
      </w:r>
      <w:r w:rsidR="00744A1C" w:rsidRPr="00C24F9C">
        <w:rPr>
          <w:rStyle w:val="libFootnoteBoldChar"/>
          <w:rtl/>
        </w:rPr>
        <w:t>التهذيب</w:t>
      </w:r>
      <w:r w:rsidR="00744A1C">
        <w:rPr>
          <w:rtl/>
          <w:lang w:bidi="fa-IR"/>
        </w:rPr>
        <w:t xml:space="preserve"> ، ج 5 ، ص 260 ، ح 884 و 885 ؛ </w:t>
      </w:r>
      <w:r w:rsidR="00744A1C" w:rsidRPr="00C24F9C">
        <w:rPr>
          <w:rStyle w:val="libFootnoteBoldChar"/>
          <w:rtl/>
        </w:rPr>
        <w:t>والاستبصار</w:t>
      </w:r>
      <w:r w:rsidR="00744A1C">
        <w:rPr>
          <w:rtl/>
          <w:lang w:bidi="fa-IR"/>
        </w:rPr>
        <w:t xml:space="preserve"> ، ج 2 ، ص 295 ، ح 1051</w:t>
      </w:r>
      <w:r w:rsidR="0034756C">
        <w:rPr>
          <w:rFonts w:hint="cs"/>
          <w:rtl/>
          <w:lang w:bidi="fa-IR"/>
        </w:rPr>
        <w:t>.</w:t>
      </w:r>
      <w:r w:rsidR="00744A1C" w:rsidRPr="00C24F9C">
        <w:rPr>
          <w:rStyle w:val="libFootnoteBoldChar"/>
          <w:rtl/>
        </w:rPr>
        <w:t>الوافي</w:t>
      </w:r>
      <w:r w:rsidR="00744A1C">
        <w:rPr>
          <w:rtl/>
          <w:lang w:bidi="fa-IR"/>
        </w:rPr>
        <w:t xml:space="preserve"> ، ج 14 ، ص 1257 ، ح 14226 ؛ </w:t>
      </w:r>
      <w:r w:rsidR="00744A1C" w:rsidRPr="00C24F9C">
        <w:rPr>
          <w:rStyle w:val="libFootnoteBoldChar"/>
          <w:rtl/>
        </w:rPr>
        <w:t>الوسائل</w:t>
      </w:r>
      <w:r w:rsidR="00744A1C">
        <w:rPr>
          <w:rtl/>
          <w:lang w:bidi="fa-IR"/>
        </w:rPr>
        <w:t xml:space="preserve"> ، ج 14 ، ص 260 ، ح 19146.</w:t>
      </w:r>
      <w:r w:rsidR="00426135">
        <w:rPr>
          <w:rFonts w:hint="cs"/>
          <w:rtl/>
          <w:lang w:bidi="fa-IR"/>
        </w:rPr>
        <w:t xml:space="preserve">              </w:t>
      </w:r>
      <w:r>
        <w:rPr>
          <w:rtl/>
          <w:lang w:bidi="fa-IR"/>
        </w:rPr>
        <w:t>(4).</w:t>
      </w:r>
      <w:r w:rsidR="00744A1C">
        <w:rPr>
          <w:rtl/>
          <w:lang w:bidi="fa-IR"/>
        </w:rPr>
        <w:t xml:space="preserve"> في « ى ، بخ ، بس ، بف » : + « في ».</w:t>
      </w:r>
    </w:p>
    <w:p w:rsidR="00744A1C" w:rsidRDefault="00E378DD" w:rsidP="00E378DD">
      <w:pPr>
        <w:pStyle w:val="libFootnote0"/>
        <w:rPr>
          <w:lang w:bidi="fa-IR"/>
        </w:rPr>
      </w:pPr>
      <w:r>
        <w:rPr>
          <w:rtl/>
          <w:lang w:bidi="fa-IR"/>
        </w:rPr>
        <w:t>(5).</w:t>
      </w:r>
      <w:r w:rsidR="00744A1C">
        <w:rPr>
          <w:rtl/>
          <w:lang w:bidi="fa-IR"/>
        </w:rPr>
        <w:t xml:space="preserve"> البقرة </w:t>
      </w:r>
      <w:r>
        <w:rPr>
          <w:rtl/>
          <w:lang w:bidi="fa-IR"/>
        </w:rPr>
        <w:t>(2).</w:t>
      </w:r>
      <w:r w:rsidR="00744A1C">
        <w:rPr>
          <w:rtl/>
          <w:lang w:bidi="fa-IR"/>
        </w:rPr>
        <w:t xml:space="preserve"> : 203.</w:t>
      </w:r>
    </w:p>
    <w:p w:rsidR="00744A1C" w:rsidRDefault="00E378DD" w:rsidP="00082DFC">
      <w:pPr>
        <w:pStyle w:val="libFootnote0"/>
        <w:rPr>
          <w:lang w:bidi="fa-IR"/>
        </w:rPr>
      </w:pPr>
      <w:r>
        <w:rPr>
          <w:rtl/>
          <w:lang w:bidi="fa-IR"/>
        </w:rPr>
        <w:t>(6).</w:t>
      </w:r>
      <w:r w:rsidR="00744A1C">
        <w:rPr>
          <w:rtl/>
          <w:lang w:bidi="fa-IR"/>
        </w:rPr>
        <w:t xml:space="preserve"> هكذا في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9852. وفي المطبوع : + « من ». وفي </w:t>
      </w:r>
      <w:r w:rsidR="00744A1C" w:rsidRPr="00A914B5">
        <w:rPr>
          <w:rStyle w:val="libFootnoteBoldChar"/>
          <w:rtl/>
        </w:rPr>
        <w:t>تفسير العيّاشي</w:t>
      </w:r>
      <w:r w:rsidR="00744A1C">
        <w:rPr>
          <w:rtl/>
          <w:lang w:bidi="fa-IR"/>
        </w:rPr>
        <w:t xml:space="preserve"> : + « في دبر الصلاة ».</w:t>
      </w:r>
      <w:r w:rsidR="00082DFC">
        <w:rPr>
          <w:rFonts w:hint="cs"/>
          <w:rtl/>
          <w:lang w:bidi="fa-IR"/>
        </w:rPr>
        <w:t xml:space="preserve"> </w:t>
      </w:r>
      <w:r w:rsidR="00097CCA">
        <w:rPr>
          <w:rFonts w:hint="cs"/>
          <w:rtl/>
          <w:lang w:bidi="fa-IR"/>
        </w:rPr>
        <w:t xml:space="preserve">             </w:t>
      </w:r>
      <w:r w:rsidR="00082DFC">
        <w:rPr>
          <w:rFonts w:hint="cs"/>
          <w:rtl/>
          <w:lang w:bidi="fa-IR"/>
        </w:rPr>
        <w:t xml:space="preserve">                        </w:t>
      </w:r>
      <w:r w:rsidR="00082DFC">
        <w:rPr>
          <w:rtl/>
          <w:lang w:bidi="fa-IR"/>
        </w:rPr>
        <w:t xml:space="preserve"> </w:t>
      </w:r>
      <w:r>
        <w:rPr>
          <w:rtl/>
          <w:lang w:bidi="fa-IR"/>
        </w:rPr>
        <w:t>(7).</w:t>
      </w:r>
      <w:r w:rsidR="00744A1C">
        <w:rPr>
          <w:rtl/>
          <w:lang w:bidi="fa-IR"/>
        </w:rPr>
        <w:t xml:space="preserve"> في « بف » : - « صلاة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19171 </w:t>
      </w:r>
      <w:r w:rsidR="00744A1C" w:rsidRPr="0061079A">
        <w:rPr>
          <w:rStyle w:val="libFootnoteBoldChar"/>
          <w:rtl/>
        </w:rPr>
        <w:t>والتهذيب</w:t>
      </w:r>
      <w:r w:rsidR="00744A1C">
        <w:rPr>
          <w:rtl/>
          <w:lang w:bidi="fa-IR"/>
        </w:rPr>
        <w:t xml:space="preserve"> ، ج 5 : « اليوم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19171 </w:t>
      </w:r>
      <w:r w:rsidR="00744A1C" w:rsidRPr="0061079A">
        <w:rPr>
          <w:rStyle w:val="libFootnoteBoldChar"/>
          <w:rtl/>
        </w:rPr>
        <w:t>والتهذيب</w:t>
      </w:r>
      <w:r w:rsidR="00744A1C">
        <w:rPr>
          <w:rtl/>
          <w:lang w:bidi="fa-IR"/>
        </w:rPr>
        <w:t xml:space="preserve"> ، ج 5 : « الناس النفر الأوّل » بدل « بعد الا</w:t>
      </w:r>
      <w:r w:rsidR="00B67291">
        <w:rPr>
          <w:rFonts w:hint="cs"/>
          <w:rtl/>
          <w:lang w:bidi="fa-IR"/>
        </w:rPr>
        <w:t>ُ</w:t>
      </w:r>
      <w:r w:rsidR="00744A1C">
        <w:rPr>
          <w:rtl/>
          <w:lang w:bidi="fa-IR"/>
        </w:rPr>
        <w:t>ولى ».</w:t>
      </w:r>
    </w:p>
    <w:p w:rsidR="00744A1C" w:rsidRDefault="00E378DD" w:rsidP="00E378DD">
      <w:pPr>
        <w:pStyle w:val="libFootnote0"/>
        <w:rPr>
          <w:lang w:bidi="fa-IR"/>
        </w:rPr>
      </w:pPr>
      <w:r>
        <w:rPr>
          <w:rtl/>
          <w:lang w:bidi="fa-IR"/>
        </w:rPr>
        <w:t>(10).</w:t>
      </w:r>
      <w:r w:rsidR="00744A1C">
        <w:rPr>
          <w:rtl/>
          <w:lang w:bidi="fa-IR"/>
        </w:rPr>
        <w:t xml:space="preserve"> في الاستبصار : - « من يوم النحر إلى صلاة الفجر » إلى هنا.</w:t>
      </w:r>
    </w:p>
    <w:p w:rsidR="00744A1C" w:rsidRDefault="00E378DD" w:rsidP="00E378DD">
      <w:pPr>
        <w:pStyle w:val="libFootnote0"/>
        <w:rPr>
          <w:lang w:bidi="fa-IR"/>
        </w:rPr>
      </w:pPr>
      <w:r>
        <w:rPr>
          <w:rtl/>
          <w:lang w:bidi="fa-IR"/>
        </w:rPr>
        <w:t>(11).</w:t>
      </w:r>
      <w:r w:rsidR="00744A1C">
        <w:rPr>
          <w:rtl/>
          <w:lang w:bidi="fa-IR"/>
        </w:rPr>
        <w:t xml:space="preserve"> في « بف » : « فيكبّر ». وفي </w:t>
      </w:r>
      <w:r w:rsidR="00744A1C" w:rsidRPr="00877682">
        <w:rPr>
          <w:rStyle w:val="libFootnoteBoldChar"/>
          <w:rtl/>
        </w:rPr>
        <w:t>مرآة العقول</w:t>
      </w:r>
      <w:r w:rsidR="00744A1C">
        <w:rPr>
          <w:rtl/>
          <w:lang w:bidi="fa-IR"/>
        </w:rPr>
        <w:t xml:space="preserve"> ، ج 18 ، ص 208 : « على التفصيل المذكور فيه فتوى الأصحاب ، وذهب الأكثر إلى استحبابها ، وذهب السيّد إلى الوجوب ». راجع : </w:t>
      </w:r>
      <w:r w:rsidR="00744A1C" w:rsidRPr="00C24F9C">
        <w:rPr>
          <w:rStyle w:val="libFootnoteBoldChar"/>
          <w:rtl/>
        </w:rPr>
        <w:t>مدارك الأحكام</w:t>
      </w:r>
      <w:r w:rsidR="00744A1C">
        <w:rPr>
          <w:rtl/>
          <w:lang w:bidi="fa-IR"/>
        </w:rPr>
        <w:t xml:space="preserve"> ، ج 8 ، ص 243 و 244.</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3 ، ص 139 ، ح 312 ؛ وج 5 ، ص 269 ، ح 920 ؛ </w:t>
      </w:r>
      <w:r w:rsidR="00744A1C" w:rsidRPr="00C24F9C">
        <w:rPr>
          <w:rStyle w:val="libFootnoteBoldChar"/>
          <w:rtl/>
        </w:rPr>
        <w:t>والاستبصار</w:t>
      </w:r>
      <w:r w:rsidR="00744A1C">
        <w:rPr>
          <w:rtl/>
          <w:lang w:bidi="fa-IR"/>
        </w:rPr>
        <w:t xml:space="preserve"> ، ج 2 ، ص 299 ، ح 1068 ، معلّقاً </w:t>
      </w:r>
      <w:r w:rsidR="00B67291">
        <w:rPr>
          <w:rFonts w:hint="cs"/>
          <w:rtl/>
          <w:lang w:bidi="fa-IR"/>
        </w:rPr>
        <w:t>=</w:t>
      </w:r>
    </w:p>
    <w:p w:rsidR="00150943" w:rsidRDefault="00150943" w:rsidP="00D10E3C">
      <w:pPr>
        <w:pStyle w:val="libNormal"/>
        <w:rPr>
          <w:rtl/>
          <w:lang w:bidi="fa-IR"/>
        </w:rPr>
      </w:pPr>
      <w:r>
        <w:rPr>
          <w:rtl/>
          <w:lang w:bidi="fa-IR"/>
        </w:rPr>
        <w:lastRenderedPageBreak/>
        <w:br w:type="page"/>
      </w:r>
    </w:p>
    <w:p w:rsidR="00744A1C" w:rsidRDefault="00744A1C" w:rsidP="00744A1C">
      <w:pPr>
        <w:pStyle w:val="libNormal"/>
        <w:rPr>
          <w:lang w:bidi="fa-IR"/>
        </w:rPr>
      </w:pPr>
      <w:r>
        <w:rPr>
          <w:rtl/>
          <w:lang w:bidi="fa-IR"/>
        </w:rPr>
        <w:lastRenderedPageBreak/>
        <w:t xml:space="preserve">7957 / 2. حَمَّادُ بْنُ عِيسى </w:t>
      </w:r>
      <w:r w:rsidRPr="00D10E3C">
        <w:rPr>
          <w:rStyle w:val="libFootnotenumChar"/>
          <w:rtl/>
        </w:rPr>
        <w:t>(1)</w:t>
      </w:r>
      <w:r>
        <w:rPr>
          <w:rtl/>
          <w:lang w:bidi="fa-IR"/>
        </w:rPr>
        <w:t xml:space="preserve"> ، عَنْ حَرِيزِ بْنِ عَبْدِ ا</w:t>
      </w:r>
      <w:r w:rsidR="00987330">
        <w:rPr>
          <w:rtl/>
          <w:lang w:bidi="fa-IR"/>
        </w:rPr>
        <w:t>للهِ ، عَنْ زُرَارَةَ ، قَالَ :</w:t>
      </w:r>
    </w:p>
    <w:p w:rsidR="00744A1C" w:rsidRDefault="00744A1C" w:rsidP="00744A1C">
      <w:pPr>
        <w:pStyle w:val="libNormal"/>
        <w:rPr>
          <w:lang w:bidi="fa-IR"/>
        </w:rPr>
      </w:pPr>
      <w:r>
        <w:rPr>
          <w:rtl/>
          <w:lang w:bidi="fa-IR"/>
        </w:rPr>
        <w:t xml:space="preserve">قُلْتُ لِأَبِي جَعْفَرٍ </w:t>
      </w:r>
      <w:r w:rsidRPr="00D10E3C">
        <w:rPr>
          <w:rStyle w:val="libFootnotenumChar"/>
          <w:rtl/>
        </w:rPr>
        <w:t>(2)</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التَّكْبِيرُ فِي </w:t>
      </w:r>
      <w:r w:rsidRPr="00D10E3C">
        <w:rPr>
          <w:rStyle w:val="libFootnotenumChar"/>
          <w:rtl/>
        </w:rPr>
        <w:t>(3)</w:t>
      </w:r>
      <w:r>
        <w:rPr>
          <w:rtl/>
          <w:lang w:bidi="fa-IR"/>
        </w:rPr>
        <w:t xml:space="preserve"> أَيَّامِ التَّشْرِيقِ فِي دُبُرِ الصَّلَوَاتِ </w:t>
      </w:r>
      <w:r w:rsidRPr="00D10E3C">
        <w:rPr>
          <w:rStyle w:val="libFootnotenumChar"/>
          <w:rtl/>
        </w:rPr>
        <w:t>(4)</w:t>
      </w:r>
      <w:r>
        <w:rPr>
          <w:rtl/>
          <w:lang w:bidi="fa-IR"/>
        </w:rPr>
        <w:t>؟</w:t>
      </w:r>
    </w:p>
    <w:p w:rsidR="00744A1C" w:rsidRDefault="00744A1C" w:rsidP="00744A1C">
      <w:pPr>
        <w:pStyle w:val="libNormal"/>
        <w:rPr>
          <w:lang w:bidi="fa-IR"/>
        </w:rPr>
      </w:pPr>
      <w:r>
        <w:rPr>
          <w:rtl/>
          <w:lang w:bidi="fa-IR"/>
        </w:rPr>
        <w:t xml:space="preserve">فَقَالَ : « التَّكْبِيرُ بِمِنًى فِي دُبُرِ خَمْسَ عَشْرَةَ صَلَاةً ، وَفِي سَائِرِ الْأَمْصَارِ فِي دُبُرِ عَشْرِ صَلَوَاتٍ ، وَأَوَّلُ </w:t>
      </w:r>
      <w:r w:rsidRPr="00D10E3C">
        <w:rPr>
          <w:rStyle w:val="libFootnotenumChar"/>
          <w:rtl/>
        </w:rPr>
        <w:t>(5)</w:t>
      </w:r>
      <w:r>
        <w:rPr>
          <w:rtl/>
          <w:lang w:bidi="fa-IR"/>
        </w:rPr>
        <w:t xml:space="preserve"> التَّكْبِيرِ فِي دُبُرِ صَلَاةِ الظُّهْرِ يَوْمَ النَّحْرِ ، يَقُولُ </w:t>
      </w:r>
      <w:r w:rsidRPr="00D10E3C">
        <w:rPr>
          <w:rStyle w:val="libFootnotenumChar"/>
          <w:rtl/>
        </w:rPr>
        <w:t>(6)</w:t>
      </w:r>
      <w:r>
        <w:rPr>
          <w:rtl/>
          <w:lang w:bidi="fa-IR"/>
        </w:rPr>
        <w:t xml:space="preserve"> فِيهِ : اللهُ أَكْبَرُ ، اللهُ أَكْبَرُ </w:t>
      </w:r>
      <w:r w:rsidRPr="00D10E3C">
        <w:rPr>
          <w:rStyle w:val="libFootnotenumChar"/>
          <w:rtl/>
        </w:rPr>
        <w:t>(7)</w:t>
      </w:r>
      <w:r>
        <w:rPr>
          <w:rtl/>
          <w:lang w:bidi="fa-IR"/>
        </w:rPr>
        <w:t xml:space="preserve"> ، </w:t>
      </w:r>
      <w:r w:rsidR="00987330">
        <w:rPr>
          <w:rtl/>
          <w:lang w:bidi="fa-IR"/>
        </w:rPr>
        <w:t>لَا إِلهَ إِل</w:t>
      </w:r>
      <w:r w:rsidR="00987330">
        <w:rPr>
          <w:rFonts w:hint="cs"/>
          <w:rtl/>
          <w:lang w:bidi="fa-IR"/>
        </w:rPr>
        <w:t>َّ</w:t>
      </w:r>
      <w:r w:rsidR="00987330">
        <w:rPr>
          <w:rtl/>
          <w:lang w:bidi="fa-IR"/>
        </w:rPr>
        <w:t>ا</w:t>
      </w:r>
      <w:r>
        <w:rPr>
          <w:rtl/>
          <w:lang w:bidi="fa-IR"/>
        </w:rPr>
        <w:t xml:space="preserve"> اللهُ ، وَاللهُ أَكْبَرُ ، اللهُ أَكْبَرُ </w:t>
      </w:r>
      <w:r w:rsidRPr="00D10E3C">
        <w:rPr>
          <w:rStyle w:val="libFootnotenumChar"/>
          <w:rtl/>
        </w:rPr>
        <w:t>(8)</w:t>
      </w:r>
      <w:r>
        <w:rPr>
          <w:rtl/>
          <w:lang w:bidi="fa-IR"/>
        </w:rPr>
        <w:t xml:space="preserve"> ، وَلِلّهِ الْحَمْدُ ، اللهُ أَكْبَرُ </w:t>
      </w:r>
      <w:r w:rsidRPr="00D10E3C">
        <w:rPr>
          <w:rStyle w:val="libFootnotenumChar"/>
          <w:rtl/>
        </w:rPr>
        <w:t>(9)</w:t>
      </w:r>
      <w:r>
        <w:rPr>
          <w:rtl/>
          <w:lang w:bidi="fa-IR"/>
        </w:rPr>
        <w:t xml:space="preserve"> عَلى مَا هَدَانَا ، اللهُ أَكْبَرُ عَلى مَا رَزَقَنَا مِنْ بَهِيمَةِ الْأَنْعَامِ </w:t>
      </w:r>
      <w:r w:rsidRPr="00D10E3C">
        <w:rPr>
          <w:rStyle w:val="libFootnotenumChar"/>
          <w:rtl/>
        </w:rPr>
        <w:t>(10)</w:t>
      </w:r>
      <w:r w:rsidR="00987330" w:rsidRPr="00987330">
        <w:rPr>
          <w:rFonts w:hint="cs"/>
          <w:rtl/>
        </w:rPr>
        <w:t>.</w:t>
      </w:r>
    </w:p>
    <w:p w:rsidR="00744A1C" w:rsidRDefault="00744A1C" w:rsidP="00744A1C">
      <w:pPr>
        <w:pStyle w:val="libNormal"/>
        <w:rPr>
          <w:lang w:bidi="fa-IR"/>
        </w:rPr>
      </w:pPr>
      <w:r>
        <w:rPr>
          <w:rtl/>
          <w:lang w:bidi="fa-IR"/>
        </w:rPr>
        <w:t xml:space="preserve">وَ </w:t>
      </w:r>
      <w:r w:rsidRPr="00D10E3C">
        <w:rPr>
          <w:rStyle w:val="libFootnotenumChar"/>
          <w:rtl/>
        </w:rPr>
        <w:t>(11)</w:t>
      </w:r>
      <w:r>
        <w:rPr>
          <w:rtl/>
          <w:lang w:bidi="fa-IR"/>
        </w:rPr>
        <w:t xml:space="preserve"> إِنَّمَا جُعِلَ فِي سَائِرِ الْأَمْصَارِ فِي دُبُرِ عَشْرِ صَلَوَاتٍ </w:t>
      </w:r>
      <w:r w:rsidRPr="00D10E3C">
        <w:rPr>
          <w:rStyle w:val="libFootnotenumChar"/>
          <w:rtl/>
        </w:rPr>
        <w:t>(12)</w:t>
      </w:r>
      <w:r>
        <w:rPr>
          <w:rtl/>
          <w:lang w:bidi="fa-IR"/>
        </w:rPr>
        <w:t xml:space="preserve"> لِأَنَّهُ </w:t>
      </w:r>
      <w:r w:rsidRPr="00D10E3C">
        <w:rPr>
          <w:rStyle w:val="libFootnotenumChar"/>
          <w:rtl/>
        </w:rPr>
        <w:t>(13)</w:t>
      </w:r>
      <w:r>
        <w:rPr>
          <w:rtl/>
          <w:lang w:bidi="fa-IR"/>
        </w:rPr>
        <w:t xml:space="preserve"> إِذَا نَفَرَ النَّاسُ فِي النَّفْرِ الْأَوَّلِ ، أَمْسَكَ أَهْلُ الْأَمْصَارِ عَنِ التَّكْبِيرِ ، وَكَبَّرَ أَهْلُ مِنًى مَا دَامُوا بِمِنًى إِلَى النَّفْرِ الْأَخِيرِ ».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1443F4" w:rsidP="008F0CA7">
      <w:pPr>
        <w:pStyle w:val="libFootnote0"/>
        <w:rPr>
          <w:lang w:bidi="fa-IR"/>
        </w:rPr>
      </w:pPr>
      <w:r>
        <w:rPr>
          <w:rFonts w:hint="cs"/>
          <w:rtl/>
          <w:lang w:bidi="fa-IR"/>
        </w:rPr>
        <w:t xml:space="preserve">= </w:t>
      </w:r>
      <w:r w:rsidR="00744A1C">
        <w:rPr>
          <w:rtl/>
          <w:lang w:bidi="fa-IR"/>
        </w:rPr>
        <w:t xml:space="preserve">عن الكليني. الخصال ، ص 502 ، أبواب الخمسة عشر ، ح 5 ، بسند آخر ، مع اختلاف. </w:t>
      </w:r>
      <w:r w:rsidR="00744A1C" w:rsidRPr="00A914B5">
        <w:rPr>
          <w:rStyle w:val="libFootnoteBoldChar"/>
          <w:rtl/>
        </w:rPr>
        <w:t>تفسير العيّاشي</w:t>
      </w:r>
      <w:r w:rsidR="00744A1C">
        <w:rPr>
          <w:rtl/>
          <w:lang w:bidi="fa-IR"/>
        </w:rPr>
        <w:t xml:space="preserve"> ، ج 1 ، ص 99 ، ح 279 ، عن محمّد بن مسلم ، إلى قوله : « التكبير في أيّام التشريق »</w:t>
      </w:r>
      <w:r w:rsidR="008F0CA7">
        <w:rPr>
          <w:rFonts w:hint="cs"/>
          <w:rtl/>
          <w:lang w:bidi="fa-IR"/>
        </w:rPr>
        <w:t>.</w:t>
      </w:r>
      <w:r w:rsidR="00744A1C" w:rsidRPr="00C24F9C">
        <w:rPr>
          <w:rStyle w:val="libFootnoteBoldChar"/>
          <w:rtl/>
        </w:rPr>
        <w:t>الوافي</w:t>
      </w:r>
      <w:r w:rsidR="00744A1C">
        <w:rPr>
          <w:rtl/>
          <w:lang w:bidi="fa-IR"/>
        </w:rPr>
        <w:t xml:space="preserve"> ، ج 9 ، ص 1354 ، ح 8354 ؛ وج 14 ، ص 1259 ، ح 14228 ؛ </w:t>
      </w:r>
      <w:r w:rsidR="00744A1C" w:rsidRPr="00C24F9C">
        <w:rPr>
          <w:rStyle w:val="libFootnoteBoldChar"/>
          <w:rtl/>
        </w:rPr>
        <w:t>الوسائل</w:t>
      </w:r>
      <w:r w:rsidR="00744A1C">
        <w:rPr>
          <w:rtl/>
          <w:lang w:bidi="fa-IR"/>
        </w:rPr>
        <w:t xml:space="preserve"> ، ج 7 ، ص 457 ، ح 9852 ؛ وج 14 ، ص 271 ، ح 19171.</w:t>
      </w:r>
    </w:p>
    <w:p w:rsidR="00744A1C" w:rsidRDefault="00D10E3C" w:rsidP="00D10E3C">
      <w:pPr>
        <w:pStyle w:val="libFootnote0"/>
        <w:rPr>
          <w:lang w:bidi="fa-IR"/>
        </w:rPr>
      </w:pPr>
      <w:r>
        <w:rPr>
          <w:rtl/>
          <w:lang w:bidi="fa-IR"/>
        </w:rPr>
        <w:t>(1).</w:t>
      </w:r>
      <w:r w:rsidR="00744A1C">
        <w:rPr>
          <w:rtl/>
          <w:lang w:bidi="fa-IR"/>
        </w:rPr>
        <w:t xml:space="preserve"> السند معلّق على سابقه. ويروي عن حمّاد بن عيسى ، عليّ بن إبراهيم عن أبيه.</w:t>
      </w:r>
    </w:p>
    <w:tbl>
      <w:tblPr>
        <w:tblStyle w:val="TableGrid"/>
        <w:bidiVisual/>
        <w:tblW w:w="0" w:type="auto"/>
        <w:tblLook w:val="04A0" w:firstRow="1" w:lastRow="0" w:firstColumn="1" w:lastColumn="0" w:noHBand="0" w:noVBand="1"/>
      </w:tblPr>
      <w:tblGrid>
        <w:gridCol w:w="4006"/>
        <w:gridCol w:w="4006"/>
      </w:tblGrid>
      <w:tr w:rsidR="007E498A" w:rsidTr="007E498A">
        <w:tc>
          <w:tcPr>
            <w:tcW w:w="4006" w:type="dxa"/>
          </w:tcPr>
          <w:p w:rsidR="007E498A" w:rsidRDefault="007E498A" w:rsidP="00E378DD">
            <w:pPr>
              <w:pStyle w:val="libFootnote0"/>
              <w:rPr>
                <w:rtl/>
                <w:lang w:bidi="fa-IR"/>
              </w:rPr>
            </w:pPr>
            <w:r>
              <w:rPr>
                <w:rtl/>
                <w:lang w:bidi="fa-IR"/>
              </w:rPr>
              <w:t>(2). في « جن » و</w:t>
            </w:r>
            <w:r w:rsidRPr="00C24F9C">
              <w:rPr>
                <w:rStyle w:val="libFootnoteBoldChar"/>
                <w:rtl/>
              </w:rPr>
              <w:t>الوسائل</w:t>
            </w:r>
            <w:r>
              <w:rPr>
                <w:rtl/>
                <w:lang w:bidi="fa-IR"/>
              </w:rPr>
              <w:t xml:space="preserve"> : « لأبي عبد الله ».</w:t>
            </w:r>
          </w:p>
        </w:tc>
        <w:tc>
          <w:tcPr>
            <w:tcW w:w="4006" w:type="dxa"/>
          </w:tcPr>
          <w:p w:rsidR="007E498A" w:rsidRDefault="007E498A" w:rsidP="00E378DD">
            <w:pPr>
              <w:pStyle w:val="libFootnote0"/>
              <w:rPr>
                <w:rtl/>
                <w:lang w:bidi="fa-IR"/>
              </w:rPr>
            </w:pPr>
            <w:r>
              <w:rPr>
                <w:rtl/>
                <w:lang w:bidi="fa-IR"/>
              </w:rPr>
              <w:t>(3). في « بخ ، بف » و</w:t>
            </w:r>
            <w:r w:rsidRPr="00C24F9C">
              <w:rPr>
                <w:rStyle w:val="libFootnoteBoldChar"/>
                <w:rtl/>
              </w:rPr>
              <w:t>الوافي</w:t>
            </w:r>
            <w:r>
              <w:rPr>
                <w:rtl/>
                <w:lang w:bidi="fa-IR"/>
              </w:rPr>
              <w:t xml:space="preserve"> والخصال : - « في ».</w:t>
            </w:r>
          </w:p>
        </w:tc>
      </w:tr>
    </w:tbl>
    <w:p w:rsidR="00744A1C" w:rsidRDefault="00E378DD" w:rsidP="00E378DD">
      <w:pPr>
        <w:pStyle w:val="libFootnote0"/>
        <w:rPr>
          <w:lang w:bidi="fa-IR"/>
        </w:rPr>
      </w:pPr>
      <w:r>
        <w:rPr>
          <w:rtl/>
          <w:lang w:bidi="fa-IR"/>
        </w:rPr>
        <w:t>(4).</w:t>
      </w:r>
      <w:r w:rsidR="00744A1C">
        <w:rPr>
          <w:rtl/>
          <w:lang w:bidi="fa-IR"/>
        </w:rPr>
        <w:t xml:space="preserve"> في « ى ، جد » </w:t>
      </w:r>
      <w:r w:rsidR="00744A1C" w:rsidRPr="0061079A">
        <w:rPr>
          <w:rStyle w:val="libFootnoteBoldChar"/>
          <w:rtl/>
        </w:rPr>
        <w:t>والتهذيب</w:t>
      </w:r>
      <w:r w:rsidR="00744A1C">
        <w:rPr>
          <w:rtl/>
          <w:lang w:bidi="fa-IR"/>
        </w:rPr>
        <w:t xml:space="preserve"> ، ج 5 والعلل : « الصلاة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ج 3 والخصال : « أوّل » بدون الواو.</w:t>
      </w:r>
    </w:p>
    <w:p w:rsidR="00744A1C" w:rsidRDefault="00E378DD" w:rsidP="00E378DD">
      <w:pPr>
        <w:pStyle w:val="libFootnote0"/>
        <w:rPr>
          <w:lang w:bidi="fa-IR"/>
        </w:rPr>
      </w:pPr>
      <w:r>
        <w:rPr>
          <w:rtl/>
          <w:lang w:bidi="fa-IR"/>
        </w:rPr>
        <w:t>(6).</w:t>
      </w:r>
      <w:r w:rsidR="00744A1C">
        <w:rPr>
          <w:rtl/>
          <w:lang w:bidi="fa-IR"/>
        </w:rPr>
        <w:t xml:space="preserve"> في « جد » </w:t>
      </w:r>
      <w:r w:rsidR="00744A1C" w:rsidRPr="00097CCA">
        <w:rPr>
          <w:rtl/>
        </w:rPr>
        <w:t>والوافي والوسائل والتهذيب</w:t>
      </w:r>
      <w:r w:rsidR="00744A1C">
        <w:rPr>
          <w:rtl/>
          <w:lang w:bidi="fa-IR"/>
        </w:rPr>
        <w:t xml:space="preserve"> ، ج 3 و 5 والعلل والخصال : « تقول ».</w:t>
      </w:r>
    </w:p>
    <w:tbl>
      <w:tblPr>
        <w:tblStyle w:val="TableGrid"/>
        <w:bidiVisual/>
        <w:tblW w:w="0" w:type="auto"/>
        <w:tblLook w:val="04A0" w:firstRow="1" w:lastRow="0" w:firstColumn="1" w:lastColumn="0" w:noHBand="0" w:noVBand="1"/>
      </w:tblPr>
      <w:tblGrid>
        <w:gridCol w:w="4006"/>
        <w:gridCol w:w="4006"/>
      </w:tblGrid>
      <w:tr w:rsidR="00813788" w:rsidTr="00813788">
        <w:tc>
          <w:tcPr>
            <w:tcW w:w="4006" w:type="dxa"/>
          </w:tcPr>
          <w:p w:rsidR="00813788" w:rsidRDefault="00813788" w:rsidP="00E378DD">
            <w:pPr>
              <w:pStyle w:val="libFootnote0"/>
              <w:rPr>
                <w:rtl/>
                <w:lang w:bidi="fa-IR"/>
              </w:rPr>
            </w:pPr>
            <w:r>
              <w:rPr>
                <w:rtl/>
                <w:lang w:bidi="fa-IR"/>
              </w:rPr>
              <w:t xml:space="preserve">(7). في </w:t>
            </w:r>
            <w:r w:rsidRPr="00C24F9C">
              <w:rPr>
                <w:rStyle w:val="libFootnoteBoldChar"/>
                <w:rtl/>
              </w:rPr>
              <w:t>التهذيب</w:t>
            </w:r>
            <w:r>
              <w:rPr>
                <w:rtl/>
                <w:lang w:bidi="fa-IR"/>
              </w:rPr>
              <w:t xml:space="preserve"> ، ج 5 : + « الله أكبر ».</w:t>
            </w:r>
          </w:p>
        </w:tc>
        <w:tc>
          <w:tcPr>
            <w:tcW w:w="4006" w:type="dxa"/>
          </w:tcPr>
          <w:p w:rsidR="00813788" w:rsidRDefault="00813788" w:rsidP="00E378DD">
            <w:pPr>
              <w:pStyle w:val="libFootnote0"/>
              <w:rPr>
                <w:rtl/>
                <w:lang w:bidi="fa-IR"/>
              </w:rPr>
            </w:pPr>
            <w:r>
              <w:rPr>
                <w:rtl/>
                <w:lang w:bidi="fa-IR"/>
              </w:rPr>
              <w:t xml:space="preserve">(8). في </w:t>
            </w:r>
            <w:r w:rsidRPr="00C24F9C">
              <w:rPr>
                <w:rStyle w:val="libFootnoteBoldChar"/>
                <w:rtl/>
              </w:rPr>
              <w:t>الوافي</w:t>
            </w:r>
            <w:r>
              <w:rPr>
                <w:rtl/>
                <w:lang w:bidi="fa-IR"/>
              </w:rPr>
              <w:t xml:space="preserve"> : - « الله أكبر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التهذيب</w:t>
      </w:r>
      <w:r w:rsidR="00744A1C">
        <w:rPr>
          <w:rtl/>
          <w:lang w:bidi="fa-IR"/>
        </w:rPr>
        <w:t xml:space="preserve"> ، ج 3 : - « ولله الحمد الله أكبر ».</w:t>
      </w:r>
    </w:p>
    <w:p w:rsidR="00744A1C" w:rsidRDefault="00E378DD" w:rsidP="002842CC">
      <w:pPr>
        <w:pStyle w:val="libFootnote0"/>
        <w:rPr>
          <w:lang w:bidi="fa-IR"/>
        </w:rPr>
      </w:pPr>
      <w:r>
        <w:rPr>
          <w:rtl/>
          <w:lang w:bidi="fa-IR"/>
        </w:rPr>
        <w:t>(10).</w:t>
      </w:r>
      <w:r w:rsidR="002842CC">
        <w:rPr>
          <w:rtl/>
          <w:lang w:bidi="fa-IR"/>
        </w:rPr>
        <w:t xml:space="preserve"> قال العل</w:t>
      </w:r>
      <w:r w:rsidR="002842CC">
        <w:rPr>
          <w:rFonts w:hint="cs"/>
          <w:rtl/>
          <w:lang w:bidi="fa-IR"/>
        </w:rPr>
        <w:t>ّ</w:t>
      </w:r>
      <w:r w:rsidR="002842CC">
        <w:rPr>
          <w:rtl/>
          <w:lang w:bidi="fa-IR"/>
        </w:rPr>
        <w:t>ا</w:t>
      </w:r>
      <w:r w:rsidR="00744A1C">
        <w:rPr>
          <w:rtl/>
          <w:lang w:bidi="fa-IR"/>
        </w:rPr>
        <w:t xml:space="preserve">مة المجلسي </w:t>
      </w:r>
      <w:r w:rsidR="00877682" w:rsidRPr="00877682">
        <w:rPr>
          <w:rStyle w:val="libFootnoteAlaemChar"/>
          <w:rtl/>
        </w:rPr>
        <w:t>رحمه‌الله</w:t>
      </w:r>
      <w:r w:rsidR="00744A1C">
        <w:rPr>
          <w:rtl/>
          <w:lang w:bidi="fa-IR"/>
        </w:rPr>
        <w:t xml:space="preserve">في </w:t>
      </w:r>
      <w:r w:rsidR="00744A1C" w:rsidRPr="00C24F9C">
        <w:rPr>
          <w:rStyle w:val="libFootnoteBoldChar"/>
          <w:rtl/>
        </w:rPr>
        <w:t>المرآة</w:t>
      </w:r>
      <w:r w:rsidR="00744A1C">
        <w:rPr>
          <w:rtl/>
          <w:lang w:bidi="fa-IR"/>
        </w:rPr>
        <w:t xml:space="preserve"> : « الأولى في كيفيّة التكبير اتّباع هذا الخبر المعتبر ، وإن كان خلاف ما ذكره الأكثر ».</w:t>
      </w:r>
      <w:r w:rsidR="002842CC">
        <w:rPr>
          <w:rFonts w:hint="cs"/>
          <w:rtl/>
          <w:lang w:bidi="fa-IR"/>
        </w:rPr>
        <w:t xml:space="preserve">                                                        </w:t>
      </w:r>
      <w:r>
        <w:rPr>
          <w:rtl/>
          <w:lang w:bidi="fa-IR"/>
        </w:rPr>
        <w:t>(11).</w:t>
      </w:r>
      <w:r w:rsidR="00744A1C">
        <w:rPr>
          <w:rtl/>
          <w:lang w:bidi="fa-IR"/>
        </w:rPr>
        <w:t xml:space="preserve"> في العلل : + « الحمد لله‌على ما أبلانا ».</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التهذيب</w:t>
      </w:r>
      <w:r w:rsidR="00744A1C">
        <w:rPr>
          <w:rtl/>
          <w:lang w:bidi="fa-IR"/>
        </w:rPr>
        <w:t xml:space="preserve"> ، ج 3 و 5 والعلل والخصال : + « التكبير ».</w:t>
      </w:r>
    </w:p>
    <w:p w:rsidR="00744A1C" w:rsidRDefault="00E378DD" w:rsidP="00E378DD">
      <w:pPr>
        <w:pStyle w:val="libFootnote0"/>
        <w:rPr>
          <w:lang w:bidi="fa-IR"/>
        </w:rPr>
      </w:pPr>
      <w:r>
        <w:rPr>
          <w:rtl/>
          <w:lang w:bidi="fa-IR"/>
        </w:rPr>
        <w:t>(13).</w:t>
      </w:r>
      <w:r w:rsidR="00744A1C">
        <w:rPr>
          <w:rtl/>
          <w:lang w:bidi="fa-IR"/>
        </w:rPr>
        <w:t xml:space="preserve"> في « بث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ج 3 والخصال : « أنّه ».</w:t>
      </w:r>
    </w:p>
    <w:p w:rsidR="00744A1C" w:rsidRDefault="00E378DD" w:rsidP="00E378DD">
      <w:pPr>
        <w:pStyle w:val="libFootnote0"/>
        <w:rPr>
          <w:lang w:bidi="fa-IR"/>
        </w:rPr>
      </w:pPr>
      <w:r>
        <w:rPr>
          <w:rtl/>
          <w:lang w:bidi="fa-IR"/>
        </w:rPr>
        <w:t>(14).</w:t>
      </w:r>
      <w:r w:rsidR="00744A1C">
        <w:rPr>
          <w:rtl/>
          <w:lang w:bidi="fa-IR"/>
        </w:rPr>
        <w:t xml:space="preserve"> </w:t>
      </w:r>
      <w:r w:rsidR="00744A1C" w:rsidRPr="00C24F9C">
        <w:rPr>
          <w:rStyle w:val="libFootnoteBoldChar"/>
          <w:rtl/>
        </w:rPr>
        <w:t>التهذيب</w:t>
      </w:r>
      <w:r w:rsidR="00744A1C">
        <w:rPr>
          <w:rtl/>
          <w:lang w:bidi="fa-IR"/>
        </w:rPr>
        <w:t xml:space="preserve"> ، ج 3 ، ص 139 ، ح 313 ؛ وج 5 ، ص 269 ، ح 921 ؛ </w:t>
      </w:r>
      <w:r w:rsidR="00744A1C" w:rsidRPr="00C24F9C">
        <w:rPr>
          <w:rStyle w:val="libFootnoteBoldChar"/>
          <w:rtl/>
        </w:rPr>
        <w:t>والاستبصار</w:t>
      </w:r>
      <w:r w:rsidR="00744A1C">
        <w:rPr>
          <w:rtl/>
          <w:lang w:bidi="fa-IR"/>
        </w:rPr>
        <w:t xml:space="preserve"> ، ج 2 ، ص 299 ، ح 1069 ، معلّقاً عن الكليني ، وفي الأخير إلى قوله : « دبر صلاة الظهر يوم النحر ». وفي الخصال ، ص 502 ، أبواب الخمسة </w:t>
      </w:r>
      <w:r w:rsidR="005151FE">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7958 / 3. أَبُو عَلِيٍّ الْأَشْعَرِيُّ ، عَنْ مُحَمَّدِ بْنِ عَبْدِ الْجَبَّارِ ، عَنْ صَفْوَانَ بْنِ يَحْيى ، عَنْ مَنْصُورِ بْنِ حَازِمٍ :</w:t>
      </w:r>
    </w:p>
    <w:p w:rsidR="00744A1C" w:rsidRDefault="00744A1C" w:rsidP="00DD7207">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3F0ACC">
        <w:rPr>
          <w:rStyle w:val="libAlaemChar"/>
          <w:rtl/>
        </w:rPr>
        <w:t>(</w:t>
      </w:r>
      <w:r w:rsidRPr="003F0ACC">
        <w:rPr>
          <w:rStyle w:val="libAieChar"/>
          <w:rtl/>
        </w:rPr>
        <w:t xml:space="preserve"> وَاذْكُرُوا اللهَ فِي أَيّامٍ مَعْدُوداتٍ</w:t>
      </w:r>
      <w:r>
        <w:rPr>
          <w:rtl/>
          <w:lang w:bidi="fa-IR"/>
        </w:rPr>
        <w:t xml:space="preserve"> </w:t>
      </w:r>
      <w:r w:rsidRPr="003F0ACC">
        <w:rPr>
          <w:rStyle w:val="libAlaemChar"/>
          <w:rtl/>
        </w:rPr>
        <w:t>)</w:t>
      </w:r>
      <w:r>
        <w:rPr>
          <w:rtl/>
          <w:lang w:bidi="fa-IR"/>
        </w:rPr>
        <w:t xml:space="preserve"> </w:t>
      </w:r>
      <w:r w:rsidRPr="00D10E3C">
        <w:rPr>
          <w:rStyle w:val="libFootnotenumChar"/>
          <w:rtl/>
        </w:rPr>
        <w:t>(1)</w:t>
      </w:r>
      <w:r>
        <w:rPr>
          <w:rtl/>
          <w:lang w:bidi="fa-IR"/>
        </w:rPr>
        <w:t xml:space="preserve"> قَالَ : « هِيَ أَيَّامُ التَّشْرِيقِ كَانُوا إِذَا أَقَامُوا بِمِنًى بَعْدَ النَّحْرِ تَفَاخَرُوا ، فَقَالَ الرَّجُلُ مِنْهُمْ : كَانَ أَبِي يَفْعَلُ كَذَا وَكَذَا ، فَقَالَ اللهُ جَلَّ ثَنَاؤُهُ : </w:t>
      </w:r>
      <w:r w:rsidR="00DD7207" w:rsidRPr="00DD7207">
        <w:rPr>
          <w:rStyle w:val="libAlaemChar"/>
          <w:rFonts w:hint="cs"/>
          <w:rtl/>
        </w:rPr>
        <w:t>(</w:t>
      </w:r>
      <w:r w:rsidRPr="00DD7207">
        <w:rPr>
          <w:rStyle w:val="libAieChar"/>
          <w:rtl/>
        </w:rPr>
        <w:t xml:space="preserve"> فَإِذا أَفَضْتُمْ </w:t>
      </w:r>
      <w:r w:rsidR="00DD7207">
        <w:rPr>
          <w:rStyle w:val="libAieChar"/>
          <w:rtl/>
        </w:rPr>
        <w:t>مِنْ عَرَفاتٍ فَاذْكُرُوا اللهَ</w:t>
      </w:r>
      <w:r w:rsidR="00DD7207">
        <w:rPr>
          <w:rStyle w:val="libAieChar"/>
          <w:rFonts w:hint="cs"/>
          <w:rtl/>
        </w:rPr>
        <w:t xml:space="preserve"> </w:t>
      </w:r>
      <w:r w:rsidRPr="00DD7207">
        <w:rPr>
          <w:rStyle w:val="libAieChar"/>
          <w:rtl/>
        </w:rPr>
        <w:t>[ ... ]</w:t>
      </w:r>
      <w:r w:rsidR="00DD7207">
        <w:rPr>
          <w:rStyle w:val="libAieChar"/>
          <w:rFonts w:hint="cs"/>
          <w:rtl/>
        </w:rPr>
        <w:t xml:space="preserve"> </w:t>
      </w:r>
      <w:r w:rsidRPr="00DD7207">
        <w:rPr>
          <w:rStyle w:val="libAieChar"/>
          <w:rtl/>
        </w:rPr>
        <w:t>كَذِكْرِكُمْ آباءَكُمْ أَوْ أَشَدَّ ذِكْراً</w:t>
      </w:r>
      <w:r w:rsidRPr="00D875AB">
        <w:rPr>
          <w:rStyle w:val="libAieChar"/>
          <w:rtl/>
        </w:rPr>
        <w:t xml:space="preserve"> </w:t>
      </w:r>
      <w:r w:rsidRPr="00D875AB">
        <w:rPr>
          <w:rStyle w:val="libAlaemChar"/>
          <w:rtl/>
        </w:rPr>
        <w:t>)</w:t>
      </w:r>
      <w:r>
        <w:rPr>
          <w:rtl/>
          <w:lang w:bidi="fa-IR"/>
        </w:rPr>
        <w:t xml:space="preserve"> </w:t>
      </w:r>
      <w:r w:rsidRPr="00D10E3C">
        <w:rPr>
          <w:rStyle w:val="libFootnotenumChar"/>
          <w:rtl/>
        </w:rPr>
        <w:t>(2)</w:t>
      </w:r>
      <w:r>
        <w:rPr>
          <w:rtl/>
          <w:lang w:bidi="fa-IR"/>
        </w:rPr>
        <w:t xml:space="preserve"> » قَالَ : « وَالتَّكْبِيرُ : اللهُ أَكْبَرُ ، اللهُ أَكْبَرُ </w:t>
      </w:r>
      <w:r w:rsidRPr="00D10E3C">
        <w:rPr>
          <w:rStyle w:val="libFootnotenumChar"/>
          <w:rtl/>
        </w:rPr>
        <w:t>(3)</w:t>
      </w:r>
      <w:r w:rsidR="00D875AB">
        <w:rPr>
          <w:rtl/>
          <w:lang w:bidi="fa-IR"/>
        </w:rPr>
        <w:t xml:space="preserve"> ، لَا إِلهَ إِل</w:t>
      </w:r>
      <w:r w:rsidR="00D875AB">
        <w:rPr>
          <w:rFonts w:hint="cs"/>
          <w:rtl/>
          <w:lang w:bidi="fa-IR"/>
        </w:rPr>
        <w:t>َّ</w:t>
      </w:r>
      <w:r w:rsidR="00D875AB">
        <w:rPr>
          <w:rtl/>
          <w:lang w:bidi="fa-IR"/>
        </w:rPr>
        <w:t>ا</w:t>
      </w:r>
      <w:r>
        <w:rPr>
          <w:rtl/>
          <w:lang w:bidi="fa-IR"/>
        </w:rPr>
        <w:t xml:space="preserve"> اللهُ ، وَاللهُ أَكْبَرُ ، اللهُ أَكْبَرُ </w:t>
      </w:r>
      <w:r w:rsidRPr="00D10E3C">
        <w:rPr>
          <w:rStyle w:val="libFootnotenumChar"/>
          <w:rtl/>
        </w:rPr>
        <w:t>(4)</w:t>
      </w:r>
      <w:r>
        <w:rPr>
          <w:rtl/>
          <w:lang w:bidi="fa-IR"/>
        </w:rPr>
        <w:t xml:space="preserve"> ، وَلِلّهِ الْحَمْدُ ، اللهُ أَكْبَرُ عَلى مَا هَدَانَا ، اللهُ أَكْبَرُ عَلى مَا رَزَقَنَا مِنْ بَهِيمَةِ الْأَنْعَامِ ». </w:t>
      </w:r>
      <w:r w:rsidRPr="00D10E3C">
        <w:rPr>
          <w:rStyle w:val="libFootnotenumChar"/>
          <w:rtl/>
        </w:rPr>
        <w:t>(5)</w:t>
      </w:r>
    </w:p>
    <w:p w:rsidR="00744A1C" w:rsidRDefault="00744A1C" w:rsidP="00744A1C">
      <w:pPr>
        <w:pStyle w:val="libNormal"/>
        <w:rPr>
          <w:lang w:bidi="fa-IR"/>
        </w:rPr>
      </w:pPr>
      <w:r>
        <w:rPr>
          <w:rtl/>
          <w:lang w:bidi="fa-IR"/>
        </w:rPr>
        <w:t>7959 / 4. عَلِيُّ بْنُ إِبْرَاهِيمَ ، عَنْ أَبِيهِ ؛</w:t>
      </w:r>
    </w:p>
    <w:p w:rsidR="00744A1C" w:rsidRDefault="00744A1C" w:rsidP="00D10E3C">
      <w:pPr>
        <w:pStyle w:val="libLine"/>
        <w:rPr>
          <w:lang w:bidi="fa-IR"/>
        </w:rPr>
      </w:pPr>
      <w:r>
        <w:rPr>
          <w:rtl/>
          <w:lang w:bidi="fa-IR"/>
        </w:rPr>
        <w:t>____________________</w:t>
      </w:r>
    </w:p>
    <w:p w:rsidR="00744A1C" w:rsidRDefault="00D875AB" w:rsidP="008218B4">
      <w:pPr>
        <w:pStyle w:val="libFootnote0"/>
        <w:rPr>
          <w:lang w:bidi="fa-IR"/>
        </w:rPr>
      </w:pPr>
      <w:r>
        <w:rPr>
          <w:rFonts w:hint="cs"/>
          <w:rtl/>
          <w:lang w:bidi="fa-IR"/>
        </w:rPr>
        <w:t xml:space="preserve">= </w:t>
      </w:r>
      <w:r w:rsidR="00744A1C">
        <w:rPr>
          <w:rtl/>
          <w:lang w:bidi="fa-IR"/>
        </w:rPr>
        <w:t>عشر ، ح 4 ؛ و</w:t>
      </w:r>
      <w:r w:rsidR="00744A1C" w:rsidRPr="003A7143">
        <w:rPr>
          <w:rStyle w:val="libFootnoteBoldChar"/>
          <w:rtl/>
        </w:rPr>
        <w:t>علل الشرائع</w:t>
      </w:r>
      <w:r w:rsidR="00744A1C">
        <w:rPr>
          <w:rtl/>
          <w:lang w:bidi="fa-IR"/>
        </w:rPr>
        <w:t xml:space="preserve"> ، ص 447 ، ح 1 ، بسندهما عن حمّاد بن عيسى ، مع اختلاف يسير. وفي </w:t>
      </w:r>
      <w:r w:rsidR="00744A1C" w:rsidRPr="00877682">
        <w:rPr>
          <w:rStyle w:val="libFootnoteBoldChar"/>
          <w:rtl/>
        </w:rPr>
        <w:t>قرب الإسناد</w:t>
      </w:r>
      <w:r w:rsidR="00744A1C">
        <w:rPr>
          <w:rtl/>
          <w:lang w:bidi="fa-IR"/>
        </w:rPr>
        <w:t xml:space="preserve"> ، ص 221 ، ح 865 ؛ ومسائل عليّ بن جعفر ، ص 141 و 161 ، من قوله : « يقول فيه : الله أكبر » إلى قوله : « من بهيمة الأنعام » مع اختلاف يسير. الأمالي للصدوق ، ص 651 ، المجلس 93 ، ضمن وصف دين الإماميّة على الإيجاز والاختصار ، إلى قوله : « دبر صلاة الظهر يوم النحر » مع اختلاف يسير. </w:t>
      </w:r>
      <w:r w:rsidR="00744A1C" w:rsidRPr="00C24F9C">
        <w:rPr>
          <w:rStyle w:val="libFootnoteBoldChar"/>
          <w:rtl/>
        </w:rPr>
        <w:t>الفقيه</w:t>
      </w:r>
      <w:r w:rsidR="00744A1C">
        <w:rPr>
          <w:rtl/>
          <w:lang w:bidi="fa-IR"/>
        </w:rPr>
        <w:t xml:space="preserve"> ، ج 2 ، ص 199 ، ح 2133 ؛ وص 554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راجع : </w:t>
      </w:r>
      <w:r w:rsidR="00744A1C" w:rsidRPr="00C24F9C">
        <w:rPr>
          <w:rStyle w:val="libFootnoteBoldChar"/>
          <w:rtl/>
        </w:rPr>
        <w:t>الفقيه</w:t>
      </w:r>
      <w:r w:rsidR="00744A1C">
        <w:rPr>
          <w:rtl/>
          <w:lang w:bidi="fa-IR"/>
        </w:rPr>
        <w:t xml:space="preserve"> ، ج 1 ، ص 517 ، ح 1483 ؛ </w:t>
      </w:r>
      <w:r w:rsidR="00744A1C" w:rsidRPr="0061079A">
        <w:rPr>
          <w:rStyle w:val="libFootnoteBoldChar"/>
          <w:rtl/>
        </w:rPr>
        <w:t>والتهذيب</w:t>
      </w:r>
      <w:r w:rsidR="00744A1C">
        <w:rPr>
          <w:rtl/>
          <w:lang w:bidi="fa-IR"/>
        </w:rPr>
        <w:t xml:space="preserve"> ، ج 3 ، ص 289 ، ح 869</w:t>
      </w:r>
      <w:r w:rsidR="008218B4">
        <w:rPr>
          <w:rFonts w:hint="cs"/>
          <w:rtl/>
          <w:lang w:bidi="fa-IR"/>
        </w:rPr>
        <w:t>.</w:t>
      </w:r>
      <w:r w:rsidR="00744A1C" w:rsidRPr="00C24F9C">
        <w:rPr>
          <w:rStyle w:val="libFootnoteBoldChar"/>
          <w:rtl/>
        </w:rPr>
        <w:t>الوافي</w:t>
      </w:r>
      <w:r w:rsidR="00744A1C">
        <w:rPr>
          <w:rtl/>
          <w:lang w:bidi="fa-IR"/>
        </w:rPr>
        <w:t xml:space="preserve"> ، ج 9 ، ص 1342 ، ح 8347 ؛ وج 14 ، ص 458 ، ح 14228 ؛ </w:t>
      </w:r>
      <w:r w:rsidR="00744A1C" w:rsidRPr="00C24F9C">
        <w:rPr>
          <w:rStyle w:val="libFootnoteBoldChar"/>
          <w:rtl/>
        </w:rPr>
        <w:t>الوسائل</w:t>
      </w:r>
      <w:r w:rsidR="00744A1C">
        <w:rPr>
          <w:rtl/>
          <w:lang w:bidi="fa-IR"/>
        </w:rPr>
        <w:t xml:space="preserve"> ، ج 7 ، ص 458 ، ح 9853.</w:t>
      </w:r>
    </w:p>
    <w:p w:rsidR="00744A1C" w:rsidRDefault="00D10E3C" w:rsidP="00E378DD">
      <w:pPr>
        <w:pStyle w:val="libFootnote0"/>
        <w:rPr>
          <w:lang w:bidi="fa-IR"/>
        </w:rPr>
      </w:pPr>
      <w:r>
        <w:rPr>
          <w:rtl/>
          <w:lang w:bidi="fa-IR"/>
        </w:rPr>
        <w:t>(1).</w:t>
      </w:r>
      <w:r w:rsidR="00744A1C">
        <w:rPr>
          <w:rtl/>
          <w:lang w:bidi="fa-IR"/>
        </w:rPr>
        <w:t xml:space="preserve"> البقرة </w:t>
      </w:r>
      <w:r w:rsidR="00E378DD">
        <w:rPr>
          <w:rtl/>
          <w:lang w:bidi="fa-IR"/>
        </w:rPr>
        <w:t>(2).</w:t>
      </w:r>
      <w:r w:rsidR="00744A1C">
        <w:rPr>
          <w:rtl/>
          <w:lang w:bidi="fa-IR"/>
        </w:rPr>
        <w:t xml:space="preserve"> : 203.</w:t>
      </w:r>
    </w:p>
    <w:p w:rsidR="00744A1C" w:rsidRDefault="00E378DD" w:rsidP="00E378DD">
      <w:pPr>
        <w:pStyle w:val="libFootnote0"/>
        <w:rPr>
          <w:lang w:bidi="fa-IR"/>
        </w:rPr>
      </w:pPr>
      <w:r>
        <w:rPr>
          <w:rtl/>
          <w:lang w:bidi="fa-IR"/>
        </w:rPr>
        <w:t>(2).</w:t>
      </w:r>
      <w:r w:rsidR="00744A1C">
        <w:rPr>
          <w:rtl/>
          <w:lang w:bidi="fa-IR"/>
        </w:rPr>
        <w:t xml:space="preserve"> البقرة </w:t>
      </w:r>
      <w:r>
        <w:rPr>
          <w:rtl/>
          <w:lang w:bidi="fa-IR"/>
        </w:rPr>
        <w:t>(2).</w:t>
      </w:r>
      <w:r w:rsidR="00744A1C">
        <w:rPr>
          <w:rtl/>
          <w:lang w:bidi="fa-IR"/>
        </w:rPr>
        <w:t xml:space="preserve"> : 198 - 200. وفي </w:t>
      </w:r>
      <w:r w:rsidR="00744A1C" w:rsidRPr="00C24F9C">
        <w:rPr>
          <w:rStyle w:val="libFootnoteBoldChar"/>
          <w:rtl/>
        </w:rPr>
        <w:t>المرآة</w:t>
      </w:r>
      <w:r w:rsidR="00744A1C">
        <w:rPr>
          <w:rtl/>
          <w:lang w:bidi="fa-IR"/>
        </w:rPr>
        <w:t xml:space="preserve"> : « كان المراد : إلى قوله : </w:t>
      </w:r>
      <w:r w:rsidR="00744A1C" w:rsidRPr="00D653A3">
        <w:rPr>
          <w:rStyle w:val="libFootnoteAlaemChar"/>
          <w:rtl/>
        </w:rPr>
        <w:t>(</w:t>
      </w:r>
      <w:r w:rsidR="00744A1C" w:rsidRPr="00D653A3">
        <w:rPr>
          <w:rStyle w:val="libFootnoteAieChar"/>
          <w:rtl/>
        </w:rPr>
        <w:t xml:space="preserve"> فَاذْكُرُوا اللهَ كَذِكْرِكُمْ </w:t>
      </w:r>
      <w:r w:rsidR="00744A1C" w:rsidRPr="00D653A3">
        <w:rPr>
          <w:rStyle w:val="libFootnoteAlaemChar"/>
          <w:rtl/>
        </w:rPr>
        <w:t>)</w:t>
      </w:r>
      <w:r w:rsidR="00744A1C">
        <w:rPr>
          <w:rtl/>
          <w:lang w:bidi="fa-IR"/>
        </w:rPr>
        <w:t xml:space="preserve"> ، ولعلّ في أوّل الآية</w:t>
      </w:r>
      <w:r w:rsidR="00D653A3">
        <w:rPr>
          <w:rFonts w:hint="cs"/>
          <w:rtl/>
          <w:lang w:bidi="fa-IR"/>
        </w:rPr>
        <w:t xml:space="preserve"> </w:t>
      </w:r>
      <w:r w:rsidR="00744A1C">
        <w:rPr>
          <w:rtl/>
          <w:lang w:bidi="fa-IR"/>
        </w:rPr>
        <w:t>تصحيفاً من النسّاخ ».</w:t>
      </w:r>
    </w:p>
    <w:p w:rsidR="00744A1C" w:rsidRDefault="00E378DD" w:rsidP="00E378DD">
      <w:pPr>
        <w:pStyle w:val="libFootnote0"/>
        <w:rPr>
          <w:lang w:bidi="fa-IR"/>
        </w:rPr>
      </w:pPr>
      <w:r>
        <w:rPr>
          <w:rtl/>
          <w:lang w:bidi="fa-IR"/>
        </w:rPr>
        <w:t>(3).</w:t>
      </w:r>
      <w:r w:rsidR="00744A1C">
        <w:rPr>
          <w:rtl/>
          <w:lang w:bidi="fa-IR"/>
        </w:rPr>
        <w:t xml:space="preserve"> في حاشية « بح » : + « الله أكبر ».</w:t>
      </w:r>
    </w:p>
    <w:p w:rsidR="00744A1C" w:rsidRDefault="00E378DD" w:rsidP="00E378DD">
      <w:pPr>
        <w:pStyle w:val="libFootnote0"/>
        <w:rPr>
          <w:lang w:bidi="fa-IR"/>
        </w:rPr>
      </w:pPr>
      <w:r>
        <w:rPr>
          <w:rtl/>
          <w:lang w:bidi="fa-IR"/>
        </w:rPr>
        <w:t>(4).</w:t>
      </w:r>
      <w:r w:rsidR="00744A1C">
        <w:rPr>
          <w:rtl/>
          <w:lang w:bidi="fa-IR"/>
        </w:rPr>
        <w:t xml:space="preserve"> في حاشية « بح » : + « الله أكبر ».</w:t>
      </w:r>
    </w:p>
    <w:p w:rsidR="00744A1C" w:rsidRDefault="00E378DD" w:rsidP="00D653A3">
      <w:pPr>
        <w:pStyle w:val="libFootnote0"/>
        <w:rPr>
          <w:lang w:bidi="fa-IR"/>
        </w:rPr>
      </w:pPr>
      <w:r>
        <w:rPr>
          <w:rtl/>
          <w:lang w:bidi="fa-IR"/>
        </w:rPr>
        <w:t>(5).</w:t>
      </w:r>
      <w:r w:rsidR="00744A1C">
        <w:rPr>
          <w:rtl/>
          <w:lang w:bidi="fa-IR"/>
        </w:rPr>
        <w:t xml:space="preserve"> </w:t>
      </w:r>
      <w:r w:rsidR="00744A1C" w:rsidRPr="00A914B5">
        <w:rPr>
          <w:rStyle w:val="libFootnoteBoldChar"/>
          <w:rtl/>
        </w:rPr>
        <w:t>تفسير العيّاشي</w:t>
      </w:r>
      <w:r w:rsidR="00744A1C">
        <w:rPr>
          <w:rtl/>
          <w:lang w:bidi="fa-IR"/>
        </w:rPr>
        <w:t xml:space="preserve"> ، ج 1 ، ص 98 ، ح 271 ، عن محمّد بن مسلم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والحسين ، عن فضالة بن أيّوب ، عن العلاء ، عن محمّد بن مسلم ، عن أبي جعفر </w:t>
      </w:r>
      <w:r w:rsidR="0061079A" w:rsidRPr="0061079A">
        <w:rPr>
          <w:rStyle w:val="libFootnoteAlaemChar"/>
          <w:rtl/>
        </w:rPr>
        <w:t>عليه‌السلام</w:t>
      </w:r>
      <w:r w:rsidR="00744A1C">
        <w:rPr>
          <w:rtl/>
          <w:lang w:bidi="fa-IR"/>
        </w:rPr>
        <w:t xml:space="preserve"> . تفسير القميّ ، ج 1 ، ص 68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وفيهما مع اختلاف. راجع : </w:t>
      </w:r>
      <w:r w:rsidR="00744A1C" w:rsidRPr="00A914B5">
        <w:rPr>
          <w:rStyle w:val="libFootnoteBoldChar"/>
          <w:rtl/>
        </w:rPr>
        <w:t>تفسير العيّاشي</w:t>
      </w:r>
      <w:r w:rsidR="00744A1C">
        <w:rPr>
          <w:rtl/>
          <w:lang w:bidi="fa-IR"/>
        </w:rPr>
        <w:t xml:space="preserve"> ، ج 1 ، ص 98 ، ح 270 و 272 و 273 ؛ وص 99 ، ح 276 </w:t>
      </w:r>
      <w:r w:rsidR="00D653A3">
        <w:rPr>
          <w:rtl/>
          <w:lang w:bidi="fa-IR"/>
        </w:rPr>
        <w:t>–</w:t>
      </w:r>
      <w:r w:rsidR="00744A1C">
        <w:rPr>
          <w:rtl/>
          <w:lang w:bidi="fa-IR"/>
        </w:rPr>
        <w:t xml:space="preserve"> 279</w:t>
      </w:r>
      <w:r w:rsidR="00D653A3">
        <w:rPr>
          <w:rFonts w:hint="cs"/>
          <w:rtl/>
          <w:lang w:bidi="fa-IR"/>
        </w:rPr>
        <w:t>.</w:t>
      </w:r>
      <w:r w:rsidR="00744A1C" w:rsidRPr="00C24F9C">
        <w:rPr>
          <w:rStyle w:val="libFootnoteBoldChar"/>
          <w:rtl/>
        </w:rPr>
        <w:t>الوافي</w:t>
      </w:r>
      <w:r w:rsidR="00744A1C">
        <w:rPr>
          <w:rtl/>
          <w:lang w:bidi="fa-IR"/>
        </w:rPr>
        <w:t xml:space="preserve"> ، ج 14 ، ص 1260 ، ح 14230 ؛ </w:t>
      </w:r>
      <w:r w:rsidR="00744A1C" w:rsidRPr="00C24F9C">
        <w:rPr>
          <w:rStyle w:val="libFootnoteBoldChar"/>
          <w:rtl/>
        </w:rPr>
        <w:t>الوسائل</w:t>
      </w:r>
      <w:r w:rsidR="00744A1C">
        <w:rPr>
          <w:rtl/>
          <w:lang w:bidi="fa-IR"/>
        </w:rPr>
        <w:t xml:space="preserve"> ، ج 7 ، ص 459 ، ح 9854.</w:t>
      </w:r>
    </w:p>
    <w:p w:rsidR="00150943" w:rsidRDefault="00150943" w:rsidP="00D10E3C">
      <w:pPr>
        <w:pStyle w:val="libNormal"/>
        <w:rPr>
          <w:rtl/>
          <w:lang w:bidi="fa-IR"/>
        </w:rPr>
      </w:pPr>
      <w:r>
        <w:rPr>
          <w:rtl/>
          <w:lang w:bidi="fa-IR"/>
        </w:rPr>
        <w:br w:type="page"/>
      </w:r>
    </w:p>
    <w:p w:rsidR="00744A1C" w:rsidRDefault="00744A1C" w:rsidP="00097CCA">
      <w:pPr>
        <w:pStyle w:val="libNormal0"/>
        <w:rPr>
          <w:lang w:bidi="fa-IR"/>
        </w:rPr>
      </w:pPr>
      <w:r>
        <w:rPr>
          <w:rtl/>
          <w:lang w:bidi="fa-IR"/>
        </w:rPr>
        <w:lastRenderedPageBreak/>
        <w:t xml:space="preserve">وَ </w:t>
      </w:r>
      <w:r w:rsidRPr="00D10E3C">
        <w:rPr>
          <w:rStyle w:val="libFootnotenumChar"/>
          <w:rtl/>
        </w:rPr>
        <w:t>(1)</w:t>
      </w:r>
      <w:r>
        <w:rPr>
          <w:rtl/>
          <w:lang w:bidi="fa-IR"/>
        </w:rPr>
        <w:t xml:space="preserve"> مُحَمَّدُ بْنُ إِسْمَاعِيلَ ، عَنِ الْفَضْلِ بْنِ شَاذَانَ ، عَنْ صَفْوَانَ بْنِ يَحْيى وَابْنِ أَبِي عُمَيْرٍ ، ع</w:t>
      </w:r>
      <w:r w:rsidR="00163437">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التَّكْبِيرُ أَيَّامَ التَّشْرِيقِ مِنْ صَلَاةِ الظُّهْرِ يَوْمَ النَّحْرِ إِلى صَلَاةِ الْعَصْرِ </w:t>
      </w:r>
      <w:r w:rsidRPr="00D10E3C">
        <w:rPr>
          <w:rStyle w:val="libFootnotenumChar"/>
          <w:rtl/>
        </w:rPr>
        <w:t>(2)</w:t>
      </w:r>
      <w:r>
        <w:rPr>
          <w:rtl/>
          <w:lang w:bidi="fa-IR"/>
        </w:rPr>
        <w:t xml:space="preserve"> مِنْ آخِرِ أَيَّامِ التَّشْرِيقِ إِنْ أَنْتَ أَقَمْتَ بِمِنًى ، وَإِنْ أَنْتَ خَرَجْتَ ، فَلَيْسَ عَلَيْكَ التَّكْبِيرُ ؛ وَالتَّكْبِيرُ أَنْ تَقُولَ : اللهُ أَكْبَرُ ، اللهُ أَكْبَرُ </w:t>
      </w:r>
      <w:r w:rsidRPr="00D10E3C">
        <w:rPr>
          <w:rStyle w:val="libFootnotenumChar"/>
          <w:rtl/>
        </w:rPr>
        <w:t>(3)</w:t>
      </w:r>
      <w:r w:rsidR="00163437">
        <w:rPr>
          <w:rtl/>
          <w:lang w:bidi="fa-IR"/>
        </w:rPr>
        <w:t xml:space="preserve"> ، لَا إِلهَ إِل</w:t>
      </w:r>
      <w:r w:rsidR="00163437">
        <w:rPr>
          <w:rFonts w:hint="cs"/>
          <w:rtl/>
          <w:lang w:bidi="fa-IR"/>
        </w:rPr>
        <w:t>َّ</w:t>
      </w:r>
      <w:r w:rsidR="00163437">
        <w:rPr>
          <w:rtl/>
          <w:lang w:bidi="fa-IR"/>
        </w:rPr>
        <w:t>ا</w:t>
      </w:r>
      <w:r>
        <w:rPr>
          <w:rtl/>
          <w:lang w:bidi="fa-IR"/>
        </w:rPr>
        <w:t xml:space="preserve"> اللهُ ، وَاللهُ أَكْبَرُ ، اللهُ أَكْبَرُ </w:t>
      </w:r>
      <w:r w:rsidRPr="00D10E3C">
        <w:rPr>
          <w:rStyle w:val="libFootnotenumChar"/>
          <w:rtl/>
        </w:rPr>
        <w:t>(4)</w:t>
      </w:r>
      <w:r>
        <w:rPr>
          <w:rtl/>
          <w:lang w:bidi="fa-IR"/>
        </w:rPr>
        <w:t xml:space="preserve"> ، وَلِلّهِ الْحَمْدُ ، اللهُ أَكْبَرُ </w:t>
      </w:r>
      <w:r w:rsidRPr="00D10E3C">
        <w:rPr>
          <w:rStyle w:val="libFootnotenumChar"/>
          <w:rtl/>
        </w:rPr>
        <w:t>(5)</w:t>
      </w:r>
      <w:r>
        <w:rPr>
          <w:rtl/>
          <w:lang w:bidi="fa-IR"/>
        </w:rPr>
        <w:t xml:space="preserve"> عَلى مَا هَدَانَا ، اللهُ أَكْبَرُ </w:t>
      </w:r>
      <w:r w:rsidRPr="00D10E3C">
        <w:rPr>
          <w:rStyle w:val="libFootnotenumChar"/>
          <w:rtl/>
        </w:rPr>
        <w:t>(6)</w:t>
      </w:r>
      <w:r>
        <w:rPr>
          <w:rtl/>
          <w:lang w:bidi="fa-IR"/>
        </w:rPr>
        <w:t xml:space="preserve"> عَلى مَا رَزَقَنَا مِنْ بَهِيمَةِ الْأَنْعَامِ ، وَالْحَمْدُ لِلّهِ عَلى مَا أَبْلَانَا </w:t>
      </w:r>
      <w:r w:rsidRPr="00D10E3C">
        <w:rPr>
          <w:rStyle w:val="libFootnotenumChar"/>
          <w:rtl/>
        </w:rPr>
        <w:t>(7)</w:t>
      </w:r>
      <w:r>
        <w:rPr>
          <w:rtl/>
          <w:lang w:bidi="fa-IR"/>
        </w:rPr>
        <w:t xml:space="preserve"> ». </w:t>
      </w:r>
      <w:r w:rsidRPr="00D10E3C">
        <w:rPr>
          <w:rStyle w:val="libFootnotenumChar"/>
          <w:rtl/>
        </w:rPr>
        <w:t>(8)</w:t>
      </w:r>
    </w:p>
    <w:p w:rsidR="00744A1C" w:rsidRDefault="00744A1C" w:rsidP="00744A1C">
      <w:pPr>
        <w:pStyle w:val="libNormal"/>
        <w:rPr>
          <w:lang w:bidi="fa-IR"/>
        </w:rPr>
      </w:pPr>
      <w:r>
        <w:rPr>
          <w:rtl/>
          <w:lang w:bidi="fa-IR"/>
        </w:rPr>
        <w:t xml:space="preserve">7960 / 5. مُحَمَّدُ بْنُ يَحْيى ، عَنْ مُحَمَّدِ بْنِ الْحُسَيْنِ ، عَنْ صَفْوَانَ بْنِ يَحْيى ، عَنِ الْعَلَاءِ بْنِ رَزِينٍ ، عَنْ مُحَمَّدِ </w:t>
      </w:r>
      <w:r w:rsidR="009C39AA">
        <w:rPr>
          <w:rtl/>
          <w:lang w:bidi="fa-IR"/>
        </w:rPr>
        <w:t>بْنِ مُسْلِمٍ :</w:t>
      </w:r>
    </w:p>
    <w:p w:rsidR="00744A1C" w:rsidRDefault="00744A1C" w:rsidP="00744A1C">
      <w:pPr>
        <w:pStyle w:val="libNormal"/>
        <w:rPr>
          <w:lang w:bidi="fa-IR"/>
        </w:rPr>
      </w:pPr>
      <w:r>
        <w:rPr>
          <w:rtl/>
          <w:lang w:bidi="fa-IR"/>
        </w:rPr>
        <w:t xml:space="preserve">عَنْ أَحَدِهِمَا </w:t>
      </w:r>
      <w:r w:rsidR="008859AA" w:rsidRPr="008859AA">
        <w:rPr>
          <w:rStyle w:val="libAlaemChar"/>
          <w:rtl/>
        </w:rPr>
        <w:t>عليهما‌السلام</w:t>
      </w:r>
      <w:r>
        <w:rPr>
          <w:rtl/>
          <w:lang w:bidi="fa-IR"/>
        </w:rPr>
        <w:t>، قَالَ : سَأَلْتُهُ عَنْ رَجُلٍ فَاتَتْهُ رَكْعَةٌ مَعَ الْإِمَامِ مِنَ الصَّلَاةِ أَيَّامَ التَّشْرِيقِ؟</w:t>
      </w:r>
    </w:p>
    <w:p w:rsidR="00744A1C" w:rsidRDefault="00744A1C" w:rsidP="00744A1C">
      <w:pPr>
        <w:pStyle w:val="libNormal"/>
        <w:rPr>
          <w:lang w:bidi="fa-IR"/>
        </w:rPr>
      </w:pPr>
      <w:r>
        <w:rPr>
          <w:rtl/>
          <w:lang w:bidi="fa-IR"/>
        </w:rPr>
        <w:t>قَالَ : « يُتِمُّ صَلَاتَهُ ، ثُمَّ يُكَبِّرُ ».</w:t>
      </w:r>
    </w:p>
    <w:p w:rsidR="00744A1C" w:rsidRDefault="00744A1C" w:rsidP="00744A1C">
      <w:pPr>
        <w:pStyle w:val="libNormal"/>
        <w:rPr>
          <w:lang w:bidi="fa-IR"/>
        </w:rPr>
      </w:pPr>
      <w:r>
        <w:rPr>
          <w:rtl/>
          <w:lang w:bidi="fa-IR"/>
        </w:rPr>
        <w:t xml:space="preserve">قَالَ : وَسَأَلْتُهُ عَنِ التَّكْبِيرِ </w:t>
      </w:r>
      <w:r w:rsidRPr="00D10E3C">
        <w:rPr>
          <w:rStyle w:val="libFootnotenumChar"/>
          <w:rtl/>
        </w:rPr>
        <w:t>(9)</w:t>
      </w:r>
      <w:r>
        <w:rPr>
          <w:rtl/>
          <w:lang w:bidi="fa-IR"/>
        </w:rPr>
        <w:t xml:space="preserve"> بَعْدَ كُلِّ </w:t>
      </w:r>
      <w:r w:rsidRPr="00D10E3C">
        <w:rPr>
          <w:rStyle w:val="libFootnotenumChar"/>
          <w:rtl/>
        </w:rPr>
        <w:t>(10)</w:t>
      </w:r>
      <w:r>
        <w:rPr>
          <w:rtl/>
          <w:lang w:bidi="fa-IR"/>
        </w:rPr>
        <w:t xml:space="preserve"> صَلَاةٍ؟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(2).</w:t>
      </w:r>
      <w:r w:rsidR="00744A1C">
        <w:rPr>
          <w:rtl/>
          <w:lang w:bidi="fa-IR"/>
        </w:rPr>
        <w:t xml:space="preserve"> في حاشية « بح ، بخ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3C3382">
        <w:rPr>
          <w:rtl/>
          <w:lang w:bidi="fa-IR"/>
        </w:rPr>
        <w:t xml:space="preserve"> : « الفجر ». واستظهره العل</w:t>
      </w:r>
      <w:r w:rsidR="003C3382">
        <w:rPr>
          <w:rFonts w:hint="cs"/>
          <w:rtl/>
          <w:lang w:bidi="fa-IR"/>
        </w:rPr>
        <w:t>ّ</w:t>
      </w:r>
      <w:r w:rsidR="003C3382">
        <w:rPr>
          <w:rtl/>
          <w:lang w:bidi="fa-IR"/>
        </w:rPr>
        <w:t>ا</w:t>
      </w:r>
      <w:r w:rsidR="00744A1C">
        <w:rPr>
          <w:rtl/>
          <w:lang w:bidi="fa-IR"/>
        </w:rPr>
        <w:t xml:space="preserve">مة المجلسي </w:t>
      </w:r>
      <w:r w:rsidR="00877682" w:rsidRPr="00877682">
        <w:rPr>
          <w:rStyle w:val="libFootnoteAlaemChar"/>
          <w:rtl/>
        </w:rPr>
        <w:t>رحمه‌الله</w:t>
      </w:r>
      <w:r w:rsidR="00744A1C">
        <w:rPr>
          <w:rtl/>
          <w:lang w:bidi="fa-IR"/>
        </w:rPr>
        <w:t xml:space="preserve">في </w:t>
      </w:r>
      <w:r w:rsidR="00744A1C" w:rsidRPr="00C24F9C">
        <w:rPr>
          <w:rStyle w:val="libFootnoteBoldChar"/>
          <w:rtl/>
        </w:rPr>
        <w:t>المرآة</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في حاشية « بث » : + « الله أكبر ».</w:t>
      </w:r>
    </w:p>
    <w:p w:rsidR="00744A1C" w:rsidRDefault="00E378DD" w:rsidP="00E378DD">
      <w:pPr>
        <w:pStyle w:val="libFootnote0"/>
        <w:rPr>
          <w:lang w:bidi="fa-IR"/>
        </w:rPr>
      </w:pPr>
      <w:r>
        <w:rPr>
          <w:rtl/>
          <w:lang w:bidi="fa-IR"/>
        </w:rPr>
        <w:t>(4).</w:t>
      </w:r>
      <w:r w:rsidR="00744A1C">
        <w:rPr>
          <w:rtl/>
          <w:lang w:bidi="fa-IR"/>
        </w:rPr>
        <w:t xml:space="preserve"> في « جن » : « والله أكبر ».</w:t>
      </w:r>
    </w:p>
    <w:p w:rsidR="00744A1C" w:rsidRDefault="00E378DD" w:rsidP="00E378DD">
      <w:pPr>
        <w:pStyle w:val="libFootnote0"/>
        <w:rPr>
          <w:lang w:bidi="fa-IR"/>
        </w:rPr>
      </w:pPr>
      <w:r>
        <w:rPr>
          <w:rtl/>
          <w:lang w:bidi="fa-IR"/>
        </w:rPr>
        <w:t>(5).</w:t>
      </w:r>
      <w:r w:rsidR="00744A1C">
        <w:rPr>
          <w:rtl/>
          <w:lang w:bidi="fa-IR"/>
        </w:rPr>
        <w:t xml:space="preserve"> في « جن » : « والله أكبر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التهذيب</w:t>
      </w:r>
      <w:r w:rsidR="00744A1C">
        <w:rPr>
          <w:rtl/>
          <w:lang w:bidi="fa-IR"/>
        </w:rPr>
        <w:t xml:space="preserve"> : « والله أكبر ».</w:t>
      </w:r>
    </w:p>
    <w:p w:rsidR="00744A1C" w:rsidRDefault="00E378DD" w:rsidP="00E378DD">
      <w:pPr>
        <w:pStyle w:val="libFootnote0"/>
        <w:rPr>
          <w:lang w:bidi="fa-IR"/>
        </w:rPr>
      </w:pPr>
      <w:r>
        <w:rPr>
          <w:rtl/>
          <w:lang w:bidi="fa-IR"/>
        </w:rPr>
        <w:t>(7).</w:t>
      </w:r>
      <w:r w:rsidR="00744A1C">
        <w:rPr>
          <w:rtl/>
          <w:lang w:bidi="fa-IR"/>
        </w:rPr>
        <w:t xml:space="preserve"> في حاشية « بف » : « أولانا ».</w:t>
      </w:r>
    </w:p>
    <w:p w:rsidR="00744A1C" w:rsidRDefault="00E378DD" w:rsidP="003C3382">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269 ، ح 922 ، بسنده عن معاوية بن عمّار</w:t>
      </w:r>
      <w:r w:rsidR="003C3382">
        <w:rPr>
          <w:rFonts w:hint="cs"/>
          <w:rtl/>
          <w:lang w:bidi="fa-IR"/>
        </w:rPr>
        <w:t>.</w:t>
      </w:r>
      <w:r w:rsidR="00744A1C" w:rsidRPr="00C24F9C">
        <w:rPr>
          <w:rStyle w:val="libFootnoteBoldChar"/>
          <w:rtl/>
        </w:rPr>
        <w:t>الوافي</w:t>
      </w:r>
      <w:r w:rsidR="00744A1C">
        <w:rPr>
          <w:rtl/>
          <w:lang w:bidi="fa-IR"/>
        </w:rPr>
        <w:t xml:space="preserve"> ، ج 14 ، ص 1259 ، ح 14229 ؛ </w:t>
      </w:r>
      <w:r w:rsidR="00744A1C" w:rsidRPr="00C24F9C">
        <w:rPr>
          <w:rStyle w:val="libFootnoteBoldChar"/>
          <w:rtl/>
        </w:rPr>
        <w:t>الوسائل</w:t>
      </w:r>
      <w:r w:rsidR="00744A1C">
        <w:rPr>
          <w:rtl/>
          <w:lang w:bidi="fa-IR"/>
        </w:rPr>
        <w:t xml:space="preserve"> ، ج 7 ، ص 459 ، ح 9855.</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التهذيب</w:t>
      </w:r>
      <w:r w:rsidR="00744A1C">
        <w:rPr>
          <w:rtl/>
          <w:lang w:bidi="fa-IR"/>
        </w:rPr>
        <w:t xml:space="preserve"> ، ج 5 : + « أيّام التشريق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ج 5 : « كم » بدل « كلّ ».</w:t>
      </w:r>
    </w:p>
    <w:p w:rsidR="00150943" w:rsidRDefault="00150943" w:rsidP="00D10E3C">
      <w:pPr>
        <w:pStyle w:val="libNormal"/>
        <w:rPr>
          <w:rtl/>
          <w:lang w:bidi="fa-IR"/>
        </w:rPr>
      </w:pPr>
      <w:r>
        <w:rPr>
          <w:rtl/>
          <w:lang w:bidi="fa-IR"/>
        </w:rPr>
        <w:br w:type="page"/>
      </w:r>
    </w:p>
    <w:p w:rsidR="00744A1C" w:rsidRDefault="00744A1C" w:rsidP="005B383B">
      <w:pPr>
        <w:pStyle w:val="libNormal"/>
        <w:rPr>
          <w:lang w:bidi="fa-IR"/>
        </w:rPr>
      </w:pPr>
      <w:r>
        <w:rPr>
          <w:rtl/>
          <w:lang w:bidi="fa-IR"/>
        </w:rPr>
        <w:lastRenderedPageBreak/>
        <w:t xml:space="preserve">فَقَالَ : « كَمْ شِئْتَ ، إِنَّهُ لَيْسَ شَيْ‌ءٌ مُوَقَّتٌ » يَعْنِي فِي الْكَلَامِ </w:t>
      </w:r>
      <w:r w:rsidRPr="00D10E3C">
        <w:rPr>
          <w:rStyle w:val="libFootnotenumChar"/>
          <w:rtl/>
        </w:rPr>
        <w:t>(1)</w:t>
      </w:r>
      <w:r w:rsidR="005F58A4">
        <w:rPr>
          <w:rFonts w:hint="cs"/>
          <w:rtl/>
          <w:lang w:bidi="fa-IR"/>
        </w:rPr>
        <w:t>.</w:t>
      </w:r>
      <w:r w:rsidRPr="00D10E3C">
        <w:rPr>
          <w:rStyle w:val="libFootnotenumChar"/>
          <w:rtl/>
        </w:rPr>
        <w:t>(2)</w:t>
      </w:r>
      <w:r>
        <w:rPr>
          <w:rtl/>
          <w:lang w:bidi="fa-IR"/>
        </w:rPr>
        <w:t>‌</w:t>
      </w:r>
    </w:p>
    <w:p w:rsidR="00744A1C" w:rsidRDefault="00744A1C" w:rsidP="00D879B8">
      <w:pPr>
        <w:pStyle w:val="Heading2Center"/>
        <w:rPr>
          <w:lang w:bidi="fa-IR"/>
        </w:rPr>
      </w:pPr>
      <w:bookmarkStart w:id="42" w:name="_Toc49261340"/>
      <w:r>
        <w:rPr>
          <w:rtl/>
          <w:lang w:bidi="fa-IR"/>
        </w:rPr>
        <w:t>197 - بَابُ الصَّلَاةِ فِي مَسْجِدِ مِنًى وَمَنْ يَجِبُ عَلَيْهِ التَّقْصِيرُ وَالتَّمَامُ بِمِنًى‌</w:t>
      </w:r>
      <w:bookmarkEnd w:id="42"/>
    </w:p>
    <w:p w:rsidR="00744A1C" w:rsidRDefault="00744A1C" w:rsidP="00744A1C">
      <w:pPr>
        <w:pStyle w:val="libNormal"/>
        <w:rPr>
          <w:lang w:bidi="fa-IR"/>
        </w:rPr>
      </w:pPr>
      <w:r>
        <w:rPr>
          <w:rtl/>
          <w:lang w:bidi="fa-IR"/>
        </w:rPr>
        <w:t>7961 / 1. عَلِيُّ بْنُ إِبْرَاهِيمَ ، عَنْ أَبِيهِ ، عَنِ ابْنِ أَبِي عُمَيْرٍ ، ع</w:t>
      </w:r>
      <w:r w:rsidR="00D879B8">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w:t>
      </w:r>
      <w:r w:rsidRPr="00D10E3C">
        <w:rPr>
          <w:rStyle w:val="libFootnotenumChar"/>
          <w:rtl/>
        </w:rPr>
        <w:t>(3)</w:t>
      </w:r>
      <w:r>
        <w:rPr>
          <w:rtl/>
          <w:lang w:bidi="fa-IR"/>
        </w:rPr>
        <w:t xml:space="preserve"> أَهْلَ مَكَّةَ إِذَا زَارُوا الْبَيْتَ وَدَخَلُوا مَنَازِلَهُمْ ، أَتَمُّوا ، وَإِذَا </w:t>
      </w:r>
      <w:r w:rsidRPr="00D10E3C">
        <w:rPr>
          <w:rStyle w:val="libFootnotenumChar"/>
          <w:rtl/>
        </w:rPr>
        <w:t>(4)</w:t>
      </w:r>
      <w:r>
        <w:rPr>
          <w:rtl/>
          <w:lang w:bidi="fa-IR"/>
        </w:rPr>
        <w:t xml:space="preserve"> لَمْ يَدْخُلُوا مَنَازِلَهُمْ ، قَصَّرُوا ». </w:t>
      </w:r>
      <w:r w:rsidRPr="00D10E3C">
        <w:rPr>
          <w:rStyle w:val="libFootnotenumChar"/>
          <w:rtl/>
        </w:rPr>
        <w:t>(5)</w:t>
      </w:r>
    </w:p>
    <w:p w:rsidR="00744A1C" w:rsidRDefault="00744A1C" w:rsidP="00744A1C">
      <w:pPr>
        <w:pStyle w:val="libNormal"/>
        <w:rPr>
          <w:lang w:bidi="fa-IR"/>
        </w:rPr>
      </w:pPr>
      <w:r>
        <w:rPr>
          <w:rtl/>
          <w:lang w:bidi="fa-IR"/>
        </w:rPr>
        <w:t>7962 / 2. عَلِيُّ بْنُ إِبْرَاهِيمَ ، عَنْ أَبِيهِ ، عَنِ ابْنِ أَبِي عُمَيْرٍ ، عَنْ</w:t>
      </w:r>
      <w:r w:rsidR="00D879B8">
        <w:rPr>
          <w:rtl/>
          <w:lang w:bidi="fa-IR"/>
        </w:rPr>
        <w:t xml:space="preserve"> حَمَّادٍ ، عَنِ الْحَلَبِيِّ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أَهْلَ مَكَّةَ إِذَا خَرَجُوا حُجَّاجاً ، قَصَّرُوا ، وَإِذَا زَارُوا وَرَجَعُوا </w:t>
      </w:r>
      <w:r w:rsidRPr="00D10E3C">
        <w:rPr>
          <w:rStyle w:val="libFootnotenumChar"/>
          <w:rtl/>
        </w:rPr>
        <w:t>(6)</w:t>
      </w:r>
      <w:r>
        <w:rPr>
          <w:rtl/>
          <w:lang w:bidi="fa-IR"/>
        </w:rPr>
        <w:t xml:space="preserve"> إِلَى مَنَازِلِهِمْ ، أَتَمُّوا ». </w:t>
      </w:r>
      <w:r w:rsidRPr="00D10E3C">
        <w:rPr>
          <w:rStyle w:val="libFootnotenumChar"/>
          <w:rtl/>
        </w:rPr>
        <w:t>(7)</w:t>
      </w:r>
    </w:p>
    <w:p w:rsidR="00744A1C" w:rsidRDefault="00744A1C" w:rsidP="00744A1C">
      <w:pPr>
        <w:pStyle w:val="libNormal"/>
        <w:rPr>
          <w:lang w:bidi="fa-IR"/>
        </w:rPr>
      </w:pPr>
      <w:r>
        <w:rPr>
          <w:rtl/>
          <w:lang w:bidi="fa-IR"/>
        </w:rPr>
        <w:t>7963 / 3. عَلِيُّ بْنُ إِبْرَاهِيمَ ، عَنْ أَبِيهِ ، عَنِ ابْنِ أَبِي عُمَيْرٍ ، عَنْ عُمَرَ بْن</w:t>
      </w:r>
      <w:r w:rsidR="00097CCA">
        <w:rPr>
          <w:rtl/>
          <w:lang w:bidi="fa-IR"/>
        </w:rPr>
        <w:t>ِ أُذَيْنَةَ ، عَنْ زُرَارَةَ</w:t>
      </w:r>
      <w:r w:rsidR="00C22B6A">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210 : « لعلّ السائل سأل عن عدد التكبيرات التي تقرأ بعد كلّ صلاة ، فقال </w:t>
      </w:r>
      <w:r w:rsidR="0061079A" w:rsidRPr="0061079A">
        <w:rPr>
          <w:rStyle w:val="libFootnoteAlaemChar"/>
          <w:rtl/>
        </w:rPr>
        <w:t>عليه‌السلام</w:t>
      </w:r>
      <w:r>
        <w:rPr>
          <w:rtl/>
          <w:lang w:bidi="fa-IR"/>
        </w:rPr>
        <w:t xml:space="preserve"> </w:t>
      </w:r>
      <w:r w:rsidR="00744A1C">
        <w:rPr>
          <w:rtl/>
          <w:lang w:bidi="fa-IR"/>
        </w:rPr>
        <w:t>: ليس فيه عدد معيّن موقّت ، أي محدود. وهذا هو المراد بقوله : يعني في الكلام ، أي ليس المراد عدم التوقيت في عدد الصلاة ، بل في عدد الذكر ».</w:t>
      </w:r>
    </w:p>
    <w:p w:rsidR="00744A1C" w:rsidRDefault="00E378DD" w:rsidP="004C6FB9">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487 ، ح 1737 ، معلّقاً عن محمّد بن الحسين ، عن صفوان ، عن العلاء ، عن محمّد بن مسلم. وفي </w:t>
      </w:r>
      <w:r w:rsidR="00744A1C" w:rsidRPr="0061079A">
        <w:rPr>
          <w:rStyle w:val="libFootnoteBoldChar"/>
          <w:rtl/>
        </w:rPr>
        <w:t>الكافي</w:t>
      </w:r>
      <w:r w:rsidR="00744A1C">
        <w:rPr>
          <w:rtl/>
          <w:lang w:bidi="fa-IR"/>
        </w:rPr>
        <w:t xml:space="preserve"> ، كتاب الصلاة ، باب صلاة العيدين والخطبة فيهما ، ح 5627 ؛ </w:t>
      </w:r>
      <w:r w:rsidR="00744A1C" w:rsidRPr="0061079A">
        <w:rPr>
          <w:rStyle w:val="libFootnoteBoldChar"/>
          <w:rtl/>
        </w:rPr>
        <w:t>والتهذيب</w:t>
      </w:r>
      <w:r w:rsidR="00744A1C">
        <w:rPr>
          <w:rtl/>
          <w:lang w:bidi="fa-IR"/>
        </w:rPr>
        <w:t xml:space="preserve"> ، ج 3 ، ص 287 ، ح 857 ، بسندهما عن العلاء بن رزين</w:t>
      </w:r>
      <w:r w:rsidR="00707CE0">
        <w:rPr>
          <w:rFonts w:hint="cs"/>
          <w:rtl/>
          <w:lang w:bidi="fa-IR"/>
        </w:rPr>
        <w:t xml:space="preserve"> </w:t>
      </w:r>
      <w:r w:rsidR="004C6FB9">
        <w:rPr>
          <w:rFonts w:hint="cs"/>
          <w:rtl/>
          <w:lang w:bidi="fa-IR"/>
        </w:rPr>
        <w:t>.</w:t>
      </w:r>
      <w:r w:rsidR="00744A1C" w:rsidRPr="00C24F9C">
        <w:rPr>
          <w:rStyle w:val="libFootnoteBoldChar"/>
          <w:rtl/>
        </w:rPr>
        <w:t>الوافي</w:t>
      </w:r>
      <w:r w:rsidR="00744A1C">
        <w:rPr>
          <w:rtl/>
          <w:lang w:bidi="fa-IR"/>
        </w:rPr>
        <w:t xml:space="preserve"> ، ج 9 ، ص 1343 ، ح 8348 ؛ وج 14 ، ص 1261 ، ح 14233 ؛ </w:t>
      </w:r>
      <w:r w:rsidR="00744A1C" w:rsidRPr="00C24F9C">
        <w:rPr>
          <w:rStyle w:val="libFootnoteBoldChar"/>
          <w:rtl/>
        </w:rPr>
        <w:t>الوسائل</w:t>
      </w:r>
      <w:r w:rsidR="00744A1C">
        <w:rPr>
          <w:rtl/>
          <w:lang w:bidi="fa-IR"/>
        </w:rPr>
        <w:t xml:space="preserve"> ، ج 7 ، ص 465 ، ح 9874 ؛ </w:t>
      </w:r>
      <w:r w:rsidR="00744A1C" w:rsidRPr="0061079A">
        <w:rPr>
          <w:rStyle w:val="libFootnoteBoldChar"/>
          <w:rtl/>
        </w:rPr>
        <w:t>البحار</w:t>
      </w:r>
      <w:r w:rsidR="00744A1C">
        <w:rPr>
          <w:rtl/>
          <w:lang w:bidi="fa-IR"/>
        </w:rPr>
        <w:t xml:space="preserve"> ، ج 91 ، ص 126 ، ذيل ح 21 ، من قوله : « سألته عن التكبير ».</w:t>
      </w:r>
    </w:p>
    <w:p w:rsidR="00744A1C" w:rsidRDefault="00E378DD" w:rsidP="00E378DD">
      <w:pPr>
        <w:pStyle w:val="libFootnote0"/>
        <w:rPr>
          <w:lang w:bidi="fa-IR"/>
        </w:rPr>
      </w:pPr>
      <w:r>
        <w:rPr>
          <w:rtl/>
          <w:lang w:bidi="fa-IR"/>
        </w:rPr>
        <w:t>(3).</w:t>
      </w:r>
      <w:r w:rsidR="00744A1C">
        <w:rPr>
          <w:rtl/>
          <w:lang w:bidi="fa-IR"/>
        </w:rPr>
        <w:t xml:space="preserve"> في « ى ، بث ، بح ، بخ ، بس ، بف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ح 11204 </w:t>
      </w:r>
      <w:r w:rsidR="00744A1C" w:rsidRPr="0061079A">
        <w:rPr>
          <w:rStyle w:val="libFootnoteBoldChar"/>
          <w:rtl/>
        </w:rPr>
        <w:t>والتهذيب</w:t>
      </w:r>
      <w:r w:rsidR="00744A1C">
        <w:rPr>
          <w:rtl/>
          <w:lang w:bidi="fa-IR"/>
        </w:rPr>
        <w:t xml:space="preserve"> : - « إنّ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ودخلوا إلى منازلهم ، ثمّ رجعوا إلى منى أتمّوا الصلاة ، وإن » بدل « ودخلوا منازلهم أتمّوا ، وإذا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488 ،</w:t>
      </w:r>
      <w:r w:rsidR="00707CE0">
        <w:rPr>
          <w:rtl/>
          <w:lang w:bidi="fa-IR"/>
        </w:rPr>
        <w:t xml:space="preserve"> ح 1743 ، بسنده عن ابن أبي عمير</w:t>
      </w:r>
      <w:r w:rsidR="00707CE0">
        <w:rPr>
          <w:rFonts w:hint="cs"/>
          <w:rtl/>
          <w:lang w:bidi="fa-IR"/>
        </w:rPr>
        <w:t xml:space="preserve"> .</w:t>
      </w:r>
      <w:r w:rsidR="00744A1C" w:rsidRPr="00C24F9C">
        <w:rPr>
          <w:rStyle w:val="libFootnoteBoldChar"/>
          <w:rtl/>
        </w:rPr>
        <w:t>الوافي</w:t>
      </w:r>
      <w:r w:rsidR="00744A1C">
        <w:rPr>
          <w:rtl/>
          <w:lang w:bidi="fa-IR"/>
        </w:rPr>
        <w:t xml:space="preserve"> ، ج 7 ، ص 128 ، ح 5608 ؛ </w:t>
      </w:r>
      <w:r w:rsidR="00744A1C" w:rsidRPr="00C24F9C">
        <w:rPr>
          <w:rStyle w:val="libFootnoteBoldChar"/>
          <w:rtl/>
        </w:rPr>
        <w:t>الوسائل</w:t>
      </w:r>
      <w:r w:rsidR="00744A1C">
        <w:rPr>
          <w:rtl/>
          <w:lang w:bidi="fa-IR"/>
        </w:rPr>
        <w:t xml:space="preserve"> ، ج 8 ، ص 464 ، ح 11182 ؛ وص 474 ، ح 11204.</w:t>
      </w:r>
    </w:p>
    <w:p w:rsidR="00744A1C" w:rsidRDefault="00E378DD" w:rsidP="00E378DD">
      <w:pPr>
        <w:pStyle w:val="libFootnote0"/>
        <w:rPr>
          <w:lang w:bidi="fa-IR"/>
        </w:rPr>
      </w:pPr>
      <w:r>
        <w:rPr>
          <w:rtl/>
          <w:lang w:bidi="fa-IR"/>
        </w:rPr>
        <w:t>(6).</w:t>
      </w:r>
      <w:r w:rsidR="00744A1C">
        <w:rPr>
          <w:rtl/>
          <w:lang w:bidi="fa-IR"/>
        </w:rPr>
        <w:t xml:space="preserve"> في « بث » و</w:t>
      </w:r>
      <w:r w:rsidR="00744A1C" w:rsidRPr="00C24F9C">
        <w:rPr>
          <w:rStyle w:val="libFootnoteBoldChar"/>
          <w:rtl/>
        </w:rPr>
        <w:t>الوسائل</w:t>
      </w:r>
      <w:r w:rsidR="00744A1C">
        <w:rPr>
          <w:rtl/>
          <w:lang w:bidi="fa-IR"/>
        </w:rPr>
        <w:t xml:space="preserve"> : « رجعوا » بدون الواو.</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7 ، ص 129 ، ح 5609 ؛ </w:t>
      </w:r>
      <w:r w:rsidR="00744A1C" w:rsidRPr="00C24F9C">
        <w:rPr>
          <w:rStyle w:val="libFootnoteBoldChar"/>
          <w:rtl/>
        </w:rPr>
        <w:t>الوسائل</w:t>
      </w:r>
      <w:r w:rsidR="00744A1C">
        <w:rPr>
          <w:rtl/>
          <w:lang w:bidi="fa-IR"/>
        </w:rPr>
        <w:t xml:space="preserve"> ، ج 8 ، ص 465 ، ح 11183.</w:t>
      </w:r>
    </w:p>
    <w:p w:rsidR="00150943" w:rsidRDefault="00150943" w:rsidP="00D10E3C">
      <w:pPr>
        <w:pStyle w:val="libNormal"/>
        <w:rPr>
          <w:rtl/>
          <w:lang w:bidi="fa-IR"/>
        </w:rPr>
      </w:pPr>
      <w:r>
        <w:rPr>
          <w:rtl/>
          <w:lang w:bidi="fa-IR"/>
        </w:rPr>
        <w:br w:type="page"/>
      </w:r>
    </w:p>
    <w:p w:rsidR="00744A1C" w:rsidRDefault="00744A1C" w:rsidP="0015412B">
      <w:pPr>
        <w:pStyle w:val="libNormal"/>
        <w:rPr>
          <w:lang w:bidi="fa-IR"/>
        </w:rPr>
      </w:pPr>
      <w:r>
        <w:rPr>
          <w:rtl/>
          <w:lang w:bidi="fa-IR"/>
        </w:rPr>
        <w:lastRenderedPageBreak/>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حَجَّ النَّبِيُّ </w:t>
      </w:r>
      <w:r w:rsidR="0015412B" w:rsidRPr="0015412B">
        <w:rPr>
          <w:rStyle w:val="libAlaemChar"/>
          <w:rFonts w:eastAsiaTheme="minorHAnsi"/>
          <w:rtl/>
        </w:rPr>
        <w:t>صلى‌الله‌عليه‌وآله</w:t>
      </w:r>
      <w:r w:rsidR="0015412B" w:rsidRPr="0041234E">
        <w:rPr>
          <w:rFonts w:eastAsiaTheme="minorHAnsi"/>
          <w:rtl/>
        </w:rPr>
        <w:t xml:space="preserve"> </w:t>
      </w:r>
      <w:r>
        <w:rPr>
          <w:rtl/>
          <w:lang w:bidi="fa-IR"/>
        </w:rPr>
        <w:t xml:space="preserve">، فَأَقَامَ بِمِنًى ثَلَاثاً يُصَلِّي </w:t>
      </w:r>
      <w:r w:rsidRPr="00D10E3C">
        <w:rPr>
          <w:rStyle w:val="libFootnotenumChar"/>
          <w:rtl/>
        </w:rPr>
        <w:t>(1)</w:t>
      </w:r>
      <w:r>
        <w:rPr>
          <w:rtl/>
          <w:lang w:bidi="fa-IR"/>
        </w:rPr>
        <w:t xml:space="preserve"> رَكْعَتَيْنِ ، ثُمَّ صَنَعَ ذلِكَ أَبُو بَكْرٍ ، ثُمَّ صَنَعَ </w:t>
      </w:r>
      <w:r w:rsidRPr="00D10E3C">
        <w:rPr>
          <w:rStyle w:val="libFootnotenumChar"/>
          <w:rtl/>
        </w:rPr>
        <w:t>(2)</w:t>
      </w:r>
      <w:r>
        <w:rPr>
          <w:rtl/>
          <w:lang w:bidi="fa-IR"/>
        </w:rPr>
        <w:t xml:space="preserve"> ذلِكَ عُمَرُ ، ثُمَّ صَنَعَ </w:t>
      </w:r>
      <w:r w:rsidRPr="00D10E3C">
        <w:rPr>
          <w:rStyle w:val="libFootnotenumChar"/>
          <w:rtl/>
        </w:rPr>
        <w:t>(3)</w:t>
      </w:r>
      <w:r>
        <w:rPr>
          <w:rtl/>
          <w:lang w:bidi="fa-IR"/>
        </w:rPr>
        <w:t xml:space="preserve"> ذلِكَ عُثْمَانُ سِتَّ </w:t>
      </w:r>
      <w:r w:rsidRPr="00D10E3C">
        <w:rPr>
          <w:rStyle w:val="libFootnotenumChar"/>
          <w:rtl/>
        </w:rPr>
        <w:t>(4)</w:t>
      </w:r>
      <w:r>
        <w:rPr>
          <w:rtl/>
          <w:lang w:bidi="fa-IR"/>
        </w:rPr>
        <w:t xml:space="preserve"> سِنِينَ ، ثُمَّ أَكْمَلَهَا عُثْمَانُ أَرْبَعاً ، فَصَلَّى الظُّهْرَ أَرْبَعاً ، ثُمَّ تَمَارَضَ لِيَشُدَّ </w:t>
      </w:r>
      <w:r w:rsidRPr="00D10E3C">
        <w:rPr>
          <w:rStyle w:val="libFootnotenumChar"/>
          <w:rtl/>
        </w:rPr>
        <w:t>(5)</w:t>
      </w:r>
      <w:r>
        <w:rPr>
          <w:rtl/>
          <w:lang w:bidi="fa-IR"/>
        </w:rPr>
        <w:t xml:space="preserve"> بِذلِكَ بِدْعَتَهُ ، فَقَالَ لِلْمُؤَذِّنِ : اذْهَبْ إِلى عَلِيٍّ ، فَقُلْ لَهُ : فَلْيُصَلِّ بِالنَّاسِ الْعَصْرَ.</w:t>
      </w:r>
    </w:p>
    <w:p w:rsidR="00744A1C" w:rsidRDefault="00744A1C" w:rsidP="00E25A50">
      <w:pPr>
        <w:pStyle w:val="libNormal"/>
        <w:rPr>
          <w:lang w:bidi="fa-IR"/>
        </w:rPr>
      </w:pPr>
      <w:r>
        <w:rPr>
          <w:rtl/>
          <w:lang w:bidi="fa-IR"/>
        </w:rPr>
        <w:t xml:space="preserve">فَأَتَى الْمُؤَذِّنُ عَلِيّاً </w:t>
      </w:r>
      <w:r w:rsidR="0061079A" w:rsidRPr="0061079A">
        <w:rPr>
          <w:rStyle w:val="libAlaemChar"/>
          <w:rtl/>
        </w:rPr>
        <w:t>عليه‌السلام</w:t>
      </w:r>
      <w:r w:rsidR="00D10E3C">
        <w:rPr>
          <w:rtl/>
          <w:lang w:bidi="fa-IR"/>
        </w:rPr>
        <w:t xml:space="preserve"> </w:t>
      </w:r>
      <w:r>
        <w:rPr>
          <w:rtl/>
          <w:lang w:bidi="fa-IR"/>
        </w:rPr>
        <w:t xml:space="preserve">، فَقَالَ لَهُ : إِنَّ أَمِيرَ الْمُؤْمِنِينَ عُثْمَانَ </w:t>
      </w:r>
      <w:r w:rsidRPr="00D10E3C">
        <w:rPr>
          <w:rStyle w:val="libFootnotenumChar"/>
          <w:rtl/>
        </w:rPr>
        <w:t>(6)</w:t>
      </w:r>
      <w:r>
        <w:rPr>
          <w:rtl/>
          <w:lang w:bidi="fa-IR"/>
        </w:rPr>
        <w:t xml:space="preserve"> يَأْمُرُكَ أَنْ تُصَلّيَ بِالنَّاسِ الْعَصْرَ ، فَقَالَ </w:t>
      </w:r>
      <w:r w:rsidRPr="00D10E3C">
        <w:rPr>
          <w:rStyle w:val="libFootnotenumChar"/>
          <w:rtl/>
        </w:rPr>
        <w:t>(7)</w:t>
      </w:r>
      <w:r w:rsidR="00E25A50">
        <w:rPr>
          <w:rtl/>
          <w:lang w:bidi="fa-IR"/>
        </w:rPr>
        <w:t xml:space="preserve"> : إِذَنْ لَا أُصَلِّي إِل</w:t>
      </w:r>
      <w:r w:rsidR="00E25A50">
        <w:rPr>
          <w:rFonts w:hint="cs"/>
          <w:rtl/>
          <w:lang w:bidi="fa-IR"/>
        </w:rPr>
        <w:t>َّ</w:t>
      </w:r>
      <w:r w:rsidR="00E25A50">
        <w:rPr>
          <w:rtl/>
          <w:lang w:bidi="fa-IR"/>
        </w:rPr>
        <w:t>ا</w:t>
      </w:r>
      <w:r>
        <w:rPr>
          <w:rtl/>
          <w:lang w:bidi="fa-IR"/>
        </w:rPr>
        <w:t xml:space="preserve"> رَكْعَتَيْنِ كَمَا صَلّى رَسُولُ اللهِ </w:t>
      </w:r>
      <w:r w:rsidR="00E25A50" w:rsidRPr="0015412B">
        <w:rPr>
          <w:rStyle w:val="libAlaemChar"/>
          <w:rFonts w:eastAsiaTheme="minorHAnsi"/>
          <w:rtl/>
        </w:rPr>
        <w:t>صلى‌الله‌عليه‌وآله</w:t>
      </w:r>
      <w:r w:rsidR="00E25A50" w:rsidRPr="0041234E">
        <w:rPr>
          <w:rFonts w:eastAsiaTheme="minorHAnsi"/>
          <w:rtl/>
        </w:rPr>
        <w:t xml:space="preserve"> </w:t>
      </w:r>
      <w:r>
        <w:rPr>
          <w:rtl/>
          <w:lang w:bidi="fa-IR"/>
        </w:rPr>
        <w:t xml:space="preserve">، فَذَهَبَ الْمُؤَذِّنُ ، فَأَخْبَرَ عُثْمَانَ بِمَا قَالَ عَلِيٌّ </w:t>
      </w:r>
      <w:r w:rsidR="0061079A" w:rsidRPr="0061079A">
        <w:rPr>
          <w:rStyle w:val="libAlaemChar"/>
          <w:rtl/>
        </w:rPr>
        <w:t>عليه‌السلام</w:t>
      </w:r>
      <w:r w:rsidR="00D10E3C">
        <w:rPr>
          <w:rtl/>
          <w:lang w:bidi="fa-IR"/>
        </w:rPr>
        <w:t xml:space="preserve"> </w:t>
      </w:r>
      <w:r>
        <w:rPr>
          <w:rtl/>
          <w:lang w:bidi="fa-IR"/>
        </w:rPr>
        <w:t xml:space="preserve">، فَقَالَ : اذْهَبْ إِلَيْهِ ، وَقُلْ </w:t>
      </w:r>
      <w:r w:rsidRPr="00D10E3C">
        <w:rPr>
          <w:rStyle w:val="libFootnotenumChar"/>
          <w:rtl/>
        </w:rPr>
        <w:t>(8)</w:t>
      </w:r>
      <w:r>
        <w:rPr>
          <w:rtl/>
          <w:lang w:bidi="fa-IR"/>
        </w:rPr>
        <w:t xml:space="preserve"> لَهُ : إِنَّكَ لَسْتَ مِنْ هذَا فِي شَيْ‌ءٍ ، اذْهَبْ </w:t>
      </w:r>
      <w:r w:rsidRPr="00D10E3C">
        <w:rPr>
          <w:rStyle w:val="libFootnotenumChar"/>
          <w:rtl/>
        </w:rPr>
        <w:t>(9)</w:t>
      </w:r>
      <w:r>
        <w:rPr>
          <w:rtl/>
          <w:lang w:bidi="fa-IR"/>
        </w:rPr>
        <w:t xml:space="preserve"> فَصَلِّ كَمَا تُؤْمَرُ ، قَالَ </w:t>
      </w:r>
      <w:r w:rsidRPr="00D10E3C">
        <w:rPr>
          <w:rStyle w:val="libFootnotenumChar"/>
          <w:rtl/>
        </w:rPr>
        <w:t>(10)</w:t>
      </w:r>
      <w:r>
        <w:rPr>
          <w:rtl/>
          <w:lang w:bidi="fa-IR"/>
        </w:rPr>
        <w:t xml:space="preserve"> عَلِيٌّ </w:t>
      </w:r>
      <w:r w:rsidR="0061079A" w:rsidRPr="0061079A">
        <w:rPr>
          <w:rStyle w:val="libAlaemChar"/>
          <w:rtl/>
        </w:rPr>
        <w:t>عليه‌السلام</w:t>
      </w:r>
      <w:r w:rsidR="00D10E3C">
        <w:rPr>
          <w:rtl/>
          <w:lang w:bidi="fa-IR"/>
        </w:rPr>
        <w:t xml:space="preserve"> </w:t>
      </w:r>
      <w:r>
        <w:rPr>
          <w:rtl/>
          <w:lang w:bidi="fa-IR"/>
        </w:rPr>
        <w:t xml:space="preserve">: لَاوَ اللهِ </w:t>
      </w:r>
      <w:r w:rsidRPr="00D10E3C">
        <w:rPr>
          <w:rStyle w:val="libFootnotenumChar"/>
          <w:rtl/>
        </w:rPr>
        <w:t>(11)</w:t>
      </w:r>
      <w:r>
        <w:rPr>
          <w:rtl/>
          <w:lang w:bidi="fa-IR"/>
        </w:rPr>
        <w:t xml:space="preserve"> لَا أَفْعَلُ ، فَخَرَجَ عُثْمَانُ ، فَصَلّى بِهِمْ أَرْبَعاً.</w:t>
      </w:r>
    </w:p>
    <w:p w:rsidR="00744A1C" w:rsidRDefault="00744A1C" w:rsidP="00744A1C">
      <w:pPr>
        <w:pStyle w:val="libNormal"/>
        <w:rPr>
          <w:lang w:bidi="fa-IR"/>
        </w:rPr>
      </w:pPr>
      <w:r>
        <w:rPr>
          <w:rtl/>
          <w:lang w:bidi="fa-IR"/>
        </w:rPr>
        <w:t xml:space="preserve">فَلَمَّا كَانَ فِي خِلَافَةِ مُعَاوِيَةَ ، وَاجْتَمَعَ النَّاسُ عَلَيْهِ ، وَقُتِلَ أَمِيرُ الْمُؤْمِنِينَ </w:t>
      </w:r>
      <w:r w:rsidRPr="00D10E3C">
        <w:rPr>
          <w:rStyle w:val="libFootnotenumChar"/>
          <w:rtl/>
        </w:rPr>
        <w:t>(12)</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حَجَّ مُعَاوِيَةُ فَصَلّى بِالنَّاسِ بِمِنًى رَكْعَتَيْنِ الظُّهْرَ ، ثُمَّ سَلَّمَ </w:t>
      </w:r>
      <w:r w:rsidRPr="00D10E3C">
        <w:rPr>
          <w:rStyle w:val="libFootnotenumChar"/>
          <w:rtl/>
        </w:rPr>
        <w:t>(13)</w:t>
      </w:r>
      <w:r>
        <w:rPr>
          <w:rtl/>
          <w:lang w:bidi="fa-IR"/>
        </w:rPr>
        <w:t xml:space="preserve"> ، فَنَظَرَتْ بَنُو أُمَيَّةَ بَعْضُهُمْ إِلى بَعْضٍ وَثَقِيفٌ وَ</w:t>
      </w:r>
      <w:r w:rsidR="003256E1">
        <w:rPr>
          <w:rFonts w:hint="cs"/>
          <w:rtl/>
          <w:lang w:bidi="fa-IR"/>
        </w:rPr>
        <w:t xml:space="preserve"> </w:t>
      </w:r>
      <w:r>
        <w:rPr>
          <w:rtl/>
          <w:lang w:bidi="fa-IR"/>
        </w:rPr>
        <w:t xml:space="preserve">مَنْ كَانَ مِنْ شِيعَةِ عُثْمَانَ ، ثُمَّ قَالُوا : قَدْ قَضى عَلى صَاحِبِكُمْ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 « ويصلّي ».</w:t>
      </w:r>
    </w:p>
    <w:p w:rsidR="00744A1C" w:rsidRDefault="00E378DD" w:rsidP="00E378DD">
      <w:pPr>
        <w:pStyle w:val="libFootnote0"/>
        <w:rPr>
          <w:lang w:bidi="fa-IR"/>
        </w:rPr>
      </w:pPr>
      <w:r>
        <w:rPr>
          <w:rtl/>
          <w:lang w:bidi="fa-IR"/>
        </w:rPr>
        <w:t>(2).</w:t>
      </w:r>
      <w:r w:rsidR="00744A1C">
        <w:rPr>
          <w:rtl/>
          <w:lang w:bidi="fa-IR"/>
        </w:rPr>
        <w:t xml:space="preserve"> هكذا في « بخ ، جن » وحاشية « بح » و</w:t>
      </w:r>
      <w:r w:rsidR="00744A1C" w:rsidRPr="00C24F9C">
        <w:rPr>
          <w:rStyle w:val="libFootnoteBoldChar"/>
          <w:rtl/>
        </w:rPr>
        <w:t>الوافي</w:t>
      </w:r>
      <w:r w:rsidR="00744A1C">
        <w:rPr>
          <w:rtl/>
          <w:lang w:bidi="fa-IR"/>
        </w:rPr>
        <w:t xml:space="preserve"> و</w:t>
      </w:r>
      <w:r w:rsidR="00744A1C" w:rsidRPr="0061079A">
        <w:rPr>
          <w:rStyle w:val="libFootnoteBoldChar"/>
          <w:rtl/>
        </w:rPr>
        <w:t>البحار</w:t>
      </w:r>
      <w:r w:rsidR="00744A1C">
        <w:rPr>
          <w:rtl/>
          <w:lang w:bidi="fa-IR"/>
        </w:rPr>
        <w:t>. وفي سائر النسخ والمطبوع : « وصنع ».</w:t>
      </w:r>
    </w:p>
    <w:p w:rsidR="00744A1C" w:rsidRDefault="00E378DD" w:rsidP="00E378DD">
      <w:pPr>
        <w:pStyle w:val="libFootnote0"/>
        <w:rPr>
          <w:lang w:bidi="fa-IR"/>
        </w:rPr>
      </w:pPr>
      <w:r>
        <w:rPr>
          <w:rtl/>
          <w:lang w:bidi="fa-IR"/>
        </w:rPr>
        <w:t>(3).</w:t>
      </w:r>
      <w:r w:rsidR="00744A1C">
        <w:rPr>
          <w:rtl/>
          <w:lang w:bidi="fa-IR"/>
        </w:rPr>
        <w:t xml:space="preserve"> في « بح » : « وصنع » بدل « ثم صنع ».</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11184 و</w:t>
      </w:r>
      <w:r w:rsidR="00744A1C" w:rsidRPr="0061079A">
        <w:rPr>
          <w:rStyle w:val="libFootnoteBoldChar"/>
          <w:rtl/>
        </w:rPr>
        <w:t>البحار</w:t>
      </w:r>
      <w:r w:rsidR="00744A1C">
        <w:rPr>
          <w:rtl/>
          <w:lang w:bidi="fa-IR"/>
        </w:rPr>
        <w:t>. وفي المطبوع : « ستّة ».</w:t>
      </w:r>
    </w:p>
    <w:p w:rsidR="00744A1C" w:rsidRDefault="00E378DD" w:rsidP="00E378DD">
      <w:pPr>
        <w:pStyle w:val="libFootnote0"/>
        <w:rPr>
          <w:lang w:bidi="fa-IR"/>
        </w:rPr>
      </w:pPr>
      <w:r>
        <w:rPr>
          <w:rtl/>
          <w:lang w:bidi="fa-IR"/>
        </w:rPr>
        <w:t>(5).</w:t>
      </w:r>
      <w:r w:rsidR="00744A1C">
        <w:rPr>
          <w:rtl/>
          <w:lang w:bidi="fa-IR"/>
        </w:rPr>
        <w:t xml:space="preserve"> في « بح ، جد » : « ليسدّ ». وفي « ى » : - « ليشدّ ».</w:t>
      </w:r>
    </w:p>
    <w:p w:rsidR="00744A1C" w:rsidRDefault="00E378DD" w:rsidP="00E378DD">
      <w:pPr>
        <w:pStyle w:val="libFootnote0"/>
        <w:rPr>
          <w:lang w:bidi="fa-IR"/>
        </w:rPr>
      </w:pPr>
      <w:r>
        <w:rPr>
          <w:rtl/>
          <w:lang w:bidi="fa-IR"/>
        </w:rPr>
        <w:t>(6).</w:t>
      </w:r>
      <w:r w:rsidR="00744A1C">
        <w:rPr>
          <w:rtl/>
          <w:lang w:bidi="fa-IR"/>
        </w:rPr>
        <w:t xml:space="preserve"> في « ى ، بث ، بح ، بس ، جد ، جن » و</w:t>
      </w:r>
      <w:r w:rsidR="00744A1C" w:rsidRPr="0061079A">
        <w:rPr>
          <w:rStyle w:val="libFootnoteBoldChar"/>
          <w:rtl/>
        </w:rPr>
        <w:t>البحار</w:t>
      </w:r>
      <w:r w:rsidR="00744A1C">
        <w:rPr>
          <w:rtl/>
          <w:lang w:bidi="fa-IR"/>
        </w:rPr>
        <w:t xml:space="preserve"> : - « عثمان ».</w:t>
      </w:r>
    </w:p>
    <w:p w:rsidR="00744A1C" w:rsidRDefault="00E378DD" w:rsidP="00E378DD">
      <w:pPr>
        <w:pStyle w:val="libFootnote0"/>
        <w:rPr>
          <w:lang w:bidi="fa-IR"/>
        </w:rPr>
      </w:pPr>
      <w:r>
        <w:rPr>
          <w:rtl/>
          <w:lang w:bidi="fa-IR"/>
        </w:rPr>
        <w:t>(7).</w:t>
      </w:r>
      <w:r w:rsidR="00744A1C">
        <w:rPr>
          <w:rtl/>
          <w:lang w:bidi="fa-IR"/>
        </w:rPr>
        <w:t xml:space="preserve"> في </w:t>
      </w:r>
      <w:r w:rsidR="00744A1C" w:rsidRPr="0061079A">
        <w:rPr>
          <w:rStyle w:val="libFootnoteBoldChar"/>
          <w:rtl/>
        </w:rPr>
        <w:t>البحار</w:t>
      </w:r>
      <w:r w:rsidR="00744A1C">
        <w:rPr>
          <w:rtl/>
          <w:lang w:bidi="fa-IR"/>
        </w:rPr>
        <w:t xml:space="preserve"> : + « لا ».</w:t>
      </w:r>
    </w:p>
    <w:p w:rsidR="00744A1C" w:rsidRDefault="00E378DD" w:rsidP="00E378DD">
      <w:pPr>
        <w:pStyle w:val="libFootnote0"/>
        <w:rPr>
          <w:lang w:bidi="fa-IR"/>
        </w:rPr>
      </w:pPr>
      <w:r>
        <w:rPr>
          <w:rtl/>
          <w:lang w:bidi="fa-IR"/>
        </w:rPr>
        <w:t>(8).</w:t>
      </w:r>
      <w:r w:rsidR="00744A1C">
        <w:rPr>
          <w:rtl/>
          <w:lang w:bidi="fa-IR"/>
        </w:rPr>
        <w:t xml:space="preserve"> هكذا في جميع النسخ التي قوبلت و</w:t>
      </w:r>
      <w:r w:rsidR="00744A1C" w:rsidRPr="0061079A">
        <w:rPr>
          <w:rStyle w:val="libFootnoteBoldChar"/>
          <w:rtl/>
        </w:rPr>
        <w:t>البحار</w:t>
      </w:r>
      <w:r w:rsidR="00744A1C">
        <w:rPr>
          <w:rtl/>
          <w:lang w:bidi="fa-IR"/>
        </w:rPr>
        <w:t>. وفي المطبوع : « فقل ».</w:t>
      </w:r>
    </w:p>
    <w:p w:rsidR="00744A1C" w:rsidRDefault="00E378DD" w:rsidP="00E378DD">
      <w:pPr>
        <w:pStyle w:val="libFootnote0"/>
        <w:rPr>
          <w:lang w:bidi="fa-IR"/>
        </w:rPr>
      </w:pPr>
      <w:r>
        <w:rPr>
          <w:rtl/>
          <w:lang w:bidi="fa-IR"/>
        </w:rPr>
        <w:t>(9).</w:t>
      </w:r>
      <w:r w:rsidR="00744A1C">
        <w:rPr>
          <w:rtl/>
          <w:lang w:bidi="fa-IR"/>
        </w:rPr>
        <w:t xml:space="preserve"> في « بخ » : « فاذهب ».</w:t>
      </w:r>
    </w:p>
    <w:p w:rsidR="00744A1C" w:rsidRDefault="00E378DD" w:rsidP="00E378DD">
      <w:pPr>
        <w:pStyle w:val="libFootnote0"/>
        <w:rPr>
          <w:lang w:bidi="fa-IR"/>
        </w:rPr>
      </w:pPr>
      <w:r>
        <w:rPr>
          <w:rtl/>
          <w:lang w:bidi="fa-IR"/>
        </w:rPr>
        <w:t>(10).</w:t>
      </w:r>
      <w:r w:rsidR="00744A1C">
        <w:rPr>
          <w:rtl/>
          <w:lang w:bidi="fa-IR"/>
        </w:rPr>
        <w:t xml:space="preserve"> في « بخ ، بف » وحاشية « ى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11184 : « فقال ».</w:t>
      </w:r>
    </w:p>
    <w:tbl>
      <w:tblPr>
        <w:tblStyle w:val="TableGrid"/>
        <w:bidiVisual/>
        <w:tblW w:w="0" w:type="auto"/>
        <w:tblLook w:val="04A0" w:firstRow="1" w:lastRow="0" w:firstColumn="1" w:lastColumn="0" w:noHBand="0" w:noVBand="1"/>
      </w:tblPr>
      <w:tblGrid>
        <w:gridCol w:w="4006"/>
        <w:gridCol w:w="4006"/>
      </w:tblGrid>
      <w:tr w:rsidR="00F31A84" w:rsidTr="00F31A84">
        <w:tc>
          <w:tcPr>
            <w:tcW w:w="4006" w:type="dxa"/>
          </w:tcPr>
          <w:p w:rsidR="00F31A84" w:rsidRDefault="00F31A84" w:rsidP="00E378DD">
            <w:pPr>
              <w:pStyle w:val="libFootnote0"/>
              <w:rPr>
                <w:rtl/>
                <w:lang w:bidi="fa-IR"/>
              </w:rPr>
            </w:pPr>
            <w:r>
              <w:rPr>
                <w:rtl/>
                <w:lang w:bidi="fa-IR"/>
              </w:rPr>
              <w:t>(11). في « بخ » : - « لا والله ».</w:t>
            </w:r>
          </w:p>
        </w:tc>
        <w:tc>
          <w:tcPr>
            <w:tcW w:w="4006" w:type="dxa"/>
          </w:tcPr>
          <w:p w:rsidR="00F31A84" w:rsidRDefault="00F31A84" w:rsidP="00E378DD">
            <w:pPr>
              <w:pStyle w:val="libFootnote0"/>
              <w:rPr>
                <w:rtl/>
                <w:lang w:bidi="fa-IR"/>
              </w:rPr>
            </w:pPr>
            <w:r>
              <w:rPr>
                <w:rtl/>
                <w:lang w:bidi="fa-IR"/>
              </w:rPr>
              <w:t>(12). في « بس » : + « عليّ ».</w:t>
            </w:r>
          </w:p>
        </w:tc>
      </w:tr>
      <w:tr w:rsidR="00F31A84" w:rsidTr="00F31A84">
        <w:tc>
          <w:tcPr>
            <w:tcW w:w="4006" w:type="dxa"/>
          </w:tcPr>
          <w:p w:rsidR="00F31A84" w:rsidRDefault="00F31A84" w:rsidP="00E378DD">
            <w:pPr>
              <w:pStyle w:val="libFootnote0"/>
              <w:rPr>
                <w:rtl/>
                <w:lang w:bidi="fa-IR"/>
              </w:rPr>
            </w:pPr>
            <w:r>
              <w:rPr>
                <w:rtl/>
                <w:lang w:bidi="fa-IR"/>
              </w:rPr>
              <w:t>(13). في « بخ » : « فسلّم ».</w:t>
            </w:r>
          </w:p>
        </w:tc>
        <w:tc>
          <w:tcPr>
            <w:tcW w:w="4006" w:type="dxa"/>
          </w:tcPr>
          <w:p w:rsidR="00F31A84" w:rsidRDefault="00F31A84" w:rsidP="00E378DD">
            <w:pPr>
              <w:pStyle w:val="libFootnote0"/>
              <w:rPr>
                <w:rtl/>
                <w:lang w:bidi="fa-IR"/>
              </w:rPr>
            </w:pPr>
            <w:r>
              <w:rPr>
                <w:rtl/>
                <w:lang w:bidi="fa-IR"/>
              </w:rPr>
              <w:t xml:space="preserve">(14). في </w:t>
            </w:r>
            <w:r w:rsidRPr="00C24F9C">
              <w:rPr>
                <w:rStyle w:val="libFootnoteBoldChar"/>
                <w:rtl/>
              </w:rPr>
              <w:t>المرآة</w:t>
            </w:r>
            <w:r>
              <w:rPr>
                <w:rtl/>
                <w:lang w:bidi="fa-IR"/>
              </w:rPr>
              <w:t xml:space="preserve"> : « أي حكم عليه بالخطاء ».</w:t>
            </w:r>
          </w:p>
        </w:tc>
      </w:tr>
    </w:tbl>
    <w:p w:rsidR="00150943" w:rsidRDefault="00150943" w:rsidP="00D10E3C">
      <w:pPr>
        <w:pStyle w:val="libNormal"/>
        <w:rPr>
          <w:rtl/>
          <w:lang w:bidi="fa-IR"/>
        </w:rPr>
      </w:pPr>
      <w:r>
        <w:rPr>
          <w:rtl/>
          <w:lang w:bidi="fa-IR"/>
        </w:rPr>
        <w:br w:type="page"/>
      </w:r>
    </w:p>
    <w:p w:rsidR="00744A1C" w:rsidRDefault="00744A1C" w:rsidP="00F15CAC">
      <w:pPr>
        <w:pStyle w:val="libNormal"/>
        <w:rPr>
          <w:lang w:bidi="fa-IR"/>
        </w:rPr>
      </w:pPr>
      <w:r>
        <w:rPr>
          <w:rtl/>
          <w:lang w:bidi="fa-IR"/>
        </w:rPr>
        <w:lastRenderedPageBreak/>
        <w:t xml:space="preserve">وَخَالَفَ ، وَأَشْمَتَ بِهِ عَدُوَّهُ ، فَقَامُوا فَدَخَلُوا عَلَيْهِ ، فَقَالُوا : أَتَدْرِي مَا صَنَعْتَ؟ مَا زِدْتَ عَلى أَنْ قَضَيْتَ عَلى صَاحِبِنَا ، وَأَشْمَتَّ بِهِ عَدُوَّهُ ، وَرَغِبْتَ عَنْ صَنِيعِهِ وَسُنَّتِهِ </w:t>
      </w:r>
      <w:r w:rsidRPr="00D10E3C">
        <w:rPr>
          <w:rStyle w:val="libFootnotenumChar"/>
          <w:rtl/>
        </w:rPr>
        <w:t>(1)</w:t>
      </w:r>
      <w:r>
        <w:rPr>
          <w:rtl/>
          <w:lang w:bidi="fa-IR"/>
        </w:rPr>
        <w:t xml:space="preserve"> ، فَقَالَ : وَيْلَكُمْ ، أَمَا تَعْلَمُونَ أَنَّ رَسُولَ اللهِ </w:t>
      </w:r>
      <w:r w:rsidR="00A556DF" w:rsidRPr="0015412B">
        <w:rPr>
          <w:rStyle w:val="libAlaemChar"/>
          <w:rFonts w:eastAsiaTheme="minorHAnsi"/>
          <w:rtl/>
        </w:rPr>
        <w:t>صلى‌الله‌عليه‌وآله</w:t>
      </w:r>
      <w:r w:rsidR="00A556DF" w:rsidRPr="0041234E">
        <w:rPr>
          <w:rFonts w:eastAsiaTheme="minorHAnsi"/>
          <w:rtl/>
        </w:rPr>
        <w:t xml:space="preserve"> </w:t>
      </w:r>
      <w:r>
        <w:rPr>
          <w:rtl/>
          <w:lang w:bidi="fa-IR"/>
        </w:rPr>
        <w:t xml:space="preserve">صَلّى فِي هذَا الْمَكَانِ رَكْعَتَيْنِ وَأَبُو بَكْرٍ وَعُمَرُ ، وَصَلّى صَاحِبُكُمْ سِتَّ </w:t>
      </w:r>
      <w:r w:rsidRPr="00D10E3C">
        <w:rPr>
          <w:rStyle w:val="libFootnotenumChar"/>
          <w:rtl/>
        </w:rPr>
        <w:t>(2)</w:t>
      </w:r>
      <w:r>
        <w:rPr>
          <w:rtl/>
          <w:lang w:bidi="fa-IR"/>
        </w:rPr>
        <w:t xml:space="preserve"> سِنِينَ كَذلِكَ ، فَتَأْمُرُونِّي أَنْ أَدَعَ سُنَّةَ رَسُولِ اللهِ </w:t>
      </w:r>
      <w:r w:rsidR="00F15CAC" w:rsidRPr="0015412B">
        <w:rPr>
          <w:rStyle w:val="libAlaemChar"/>
          <w:rFonts w:eastAsiaTheme="minorHAnsi"/>
          <w:rtl/>
        </w:rPr>
        <w:t>صلى‌الله‌عليه‌وآله</w:t>
      </w:r>
      <w:r w:rsidR="00F15CAC" w:rsidRPr="0041234E">
        <w:rPr>
          <w:rFonts w:eastAsiaTheme="minorHAnsi"/>
          <w:rtl/>
        </w:rPr>
        <w:t xml:space="preserve"> </w:t>
      </w:r>
      <w:r>
        <w:rPr>
          <w:rtl/>
          <w:lang w:bidi="fa-IR"/>
        </w:rPr>
        <w:t>وَمَا صَنَعَ أَبُو بَكْرٍ وَعُمَرُ وَعُثْمَانُ قَبْلَ أَنْ يُحْدِثَ ، فَقَالُوا : لَاو</w:t>
      </w:r>
      <w:r w:rsidR="004E5627">
        <w:rPr>
          <w:rtl/>
          <w:lang w:bidi="fa-IR"/>
        </w:rPr>
        <w:t>َ اللهِ مَا نَرْضى عَنْكَ إِل</w:t>
      </w:r>
      <w:r w:rsidR="004E5627">
        <w:rPr>
          <w:rFonts w:hint="cs"/>
          <w:rtl/>
          <w:lang w:bidi="fa-IR"/>
        </w:rPr>
        <w:t>َّ</w:t>
      </w:r>
      <w:r w:rsidR="004E5627">
        <w:rPr>
          <w:rtl/>
          <w:lang w:bidi="fa-IR"/>
        </w:rPr>
        <w:t>ا</w:t>
      </w:r>
      <w:r>
        <w:rPr>
          <w:rtl/>
          <w:lang w:bidi="fa-IR"/>
        </w:rPr>
        <w:t xml:space="preserve"> بِذلِكَ ، قَالَ : فَأَقِيلُوا </w:t>
      </w:r>
      <w:r w:rsidRPr="00D10E3C">
        <w:rPr>
          <w:rStyle w:val="libFootnotenumChar"/>
          <w:rtl/>
        </w:rPr>
        <w:t>(3)</w:t>
      </w:r>
      <w:r>
        <w:rPr>
          <w:rtl/>
          <w:lang w:bidi="fa-IR"/>
        </w:rPr>
        <w:t xml:space="preserve"> ؛ فَإِنِّي مُشَفِّعُكُمْ </w:t>
      </w:r>
      <w:r w:rsidRPr="00D10E3C">
        <w:rPr>
          <w:rStyle w:val="libFootnotenumChar"/>
          <w:rtl/>
        </w:rPr>
        <w:t>(4)</w:t>
      </w:r>
      <w:r>
        <w:rPr>
          <w:rtl/>
          <w:lang w:bidi="fa-IR"/>
        </w:rPr>
        <w:t xml:space="preserve"> ، وَرَاجِعٌ إِلى سُنَّةِ صَاحِبِكُمْ ، فَصَلَّى الْعَصْرَ </w:t>
      </w:r>
      <w:r w:rsidRPr="00D10E3C">
        <w:rPr>
          <w:rStyle w:val="libFootnotenumChar"/>
          <w:rtl/>
        </w:rPr>
        <w:t>(5)</w:t>
      </w:r>
      <w:r>
        <w:rPr>
          <w:rtl/>
          <w:lang w:bidi="fa-IR"/>
        </w:rPr>
        <w:t xml:space="preserve"> أَرْبَعاً ، فَلَمْ يَزَلِ </w:t>
      </w:r>
      <w:r w:rsidRPr="00D10E3C">
        <w:rPr>
          <w:rStyle w:val="libFootnotenumChar"/>
          <w:rtl/>
        </w:rPr>
        <w:t>(6)</w:t>
      </w:r>
      <w:r>
        <w:rPr>
          <w:rtl/>
          <w:lang w:bidi="fa-IR"/>
        </w:rPr>
        <w:t xml:space="preserve"> الْخُلَفَاءُ وَالْأُمَرَاءُ عَلى ذلِكَ إِلَى الْيَوْمِ </w:t>
      </w:r>
      <w:r w:rsidRPr="00D10E3C">
        <w:rPr>
          <w:rStyle w:val="libFootnotenumChar"/>
          <w:rtl/>
        </w:rPr>
        <w:t>(7)</w:t>
      </w:r>
      <w:r>
        <w:rPr>
          <w:rtl/>
          <w:lang w:bidi="fa-IR"/>
        </w:rPr>
        <w:t xml:space="preserve"> ». </w:t>
      </w:r>
      <w:r w:rsidRPr="00D10E3C">
        <w:rPr>
          <w:rStyle w:val="libFootnotenumChar"/>
          <w:rtl/>
        </w:rPr>
        <w:t>(8)</w:t>
      </w:r>
    </w:p>
    <w:p w:rsidR="00EE6ECC" w:rsidRDefault="00744A1C" w:rsidP="00EE6ECC">
      <w:pPr>
        <w:pStyle w:val="libNormal"/>
        <w:rPr>
          <w:rtl/>
          <w:lang w:bidi="fa-IR"/>
        </w:rPr>
      </w:pPr>
      <w:r>
        <w:rPr>
          <w:rtl/>
          <w:lang w:bidi="fa-IR"/>
        </w:rPr>
        <w:t>7964 / 4. عَلِيُّ بْنُ إِبْرَاهِيمَ ، عَنْ أَبِيهِ ؛</w:t>
      </w:r>
    </w:p>
    <w:p w:rsidR="00744A1C" w:rsidRDefault="00EE6ECC" w:rsidP="00EE6ECC">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(9)</w:t>
      </w:r>
      <w:r w:rsidR="00744A1C">
        <w:rPr>
          <w:rtl/>
          <w:lang w:bidi="fa-IR"/>
        </w:rPr>
        <w:t xml:space="preserve"> مُحَمَّدُ بْنُ إِسْمَاعِيلَ ، عَنِ الْفَضْلِ بْنِ شَاذَانَ ، عَنْ صَفْوَانَ بْنِ يَحْيى ، ع</w:t>
      </w:r>
      <w:r w:rsidR="00664B88">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صَلِّ </w:t>
      </w:r>
      <w:r w:rsidRPr="00D10E3C">
        <w:rPr>
          <w:rStyle w:val="libFootnotenumChar"/>
          <w:rtl/>
        </w:rPr>
        <w:t>(10)</w:t>
      </w:r>
      <w:r>
        <w:rPr>
          <w:rtl/>
          <w:lang w:bidi="fa-IR"/>
        </w:rPr>
        <w:t xml:space="preserve"> فِي مَسْجِدِ الْخَيْفِ وَهُوَ مَسْجِدُ مِنًى </w:t>
      </w:r>
      <w:r w:rsidRPr="00D10E3C">
        <w:rPr>
          <w:rStyle w:val="libFootnotenumChar"/>
          <w:rtl/>
        </w:rPr>
        <w:t>(11)</w:t>
      </w:r>
      <w:r>
        <w:rPr>
          <w:rtl/>
          <w:lang w:bidi="fa-IR"/>
        </w:rPr>
        <w:t xml:space="preserve"> ، وَكَانَ مَسْجِدُ رَسُولِ اللهِ </w:t>
      </w:r>
      <w:r w:rsidR="0061079A" w:rsidRPr="0061079A">
        <w:rPr>
          <w:rStyle w:val="libAlaemChar"/>
          <w:rtl/>
        </w:rPr>
        <w:t>صلى‌الله‌عليه‌وآله</w:t>
      </w:r>
      <w:r w:rsidR="00D10E3C">
        <w:rPr>
          <w:rtl/>
          <w:lang w:bidi="fa-IR"/>
        </w:rPr>
        <w:t xml:space="preserve"> </w:t>
      </w:r>
      <w:r>
        <w:rPr>
          <w:rtl/>
          <w:lang w:bidi="fa-IR"/>
        </w:rPr>
        <w:t xml:space="preserve">عَلى عَهْدِهِ عِنْدَ الْمَنَارَةِ الَّتِي فِي وَسَطِ الْمَسْجِدِ ، وَفَوْقُهَا </w:t>
      </w:r>
      <w:r w:rsidRPr="00D10E3C">
        <w:rPr>
          <w:rStyle w:val="libFootnotenumChar"/>
          <w:rtl/>
        </w:rPr>
        <w:t>(12)</w:t>
      </w:r>
      <w:r>
        <w:rPr>
          <w:rtl/>
          <w:lang w:bidi="fa-IR"/>
        </w:rPr>
        <w:t xml:space="preserve"> إِلَى الْقِبْلَةِ </w:t>
      </w:r>
      <w:r w:rsidRPr="00D10E3C">
        <w:rPr>
          <w:rStyle w:val="libFootnotenumChar"/>
          <w:rtl/>
        </w:rPr>
        <w:t>(13)</w:t>
      </w:r>
      <w:r>
        <w:rPr>
          <w:rtl/>
          <w:lang w:bidi="fa-IR"/>
        </w:rPr>
        <w:t xml:space="preserve"> نَحْواً مِنْ ثَلَاثِينَ ذِرَاعاً ، وَعَنْ يَمِينِهَا‌</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6D0AFA" w:rsidTr="006D0AFA">
        <w:tc>
          <w:tcPr>
            <w:tcW w:w="4006" w:type="dxa"/>
          </w:tcPr>
          <w:p w:rsidR="006D0AFA" w:rsidRDefault="006D0AFA" w:rsidP="00D10E3C">
            <w:pPr>
              <w:pStyle w:val="libFootnote0"/>
              <w:rPr>
                <w:rtl/>
                <w:lang w:bidi="fa-IR"/>
              </w:rPr>
            </w:pPr>
            <w:r>
              <w:rPr>
                <w:rtl/>
                <w:lang w:bidi="fa-IR"/>
              </w:rPr>
              <w:t>(1). في « بح » وحاشية « بث » : « وعن سنّته ».</w:t>
            </w:r>
          </w:p>
        </w:tc>
        <w:tc>
          <w:tcPr>
            <w:tcW w:w="4006" w:type="dxa"/>
          </w:tcPr>
          <w:p w:rsidR="006D0AFA" w:rsidRDefault="00122492" w:rsidP="00D10E3C">
            <w:pPr>
              <w:pStyle w:val="libFootnote0"/>
              <w:rPr>
                <w:rtl/>
                <w:lang w:bidi="fa-IR"/>
              </w:rPr>
            </w:pPr>
            <w:r>
              <w:rPr>
                <w:rtl/>
                <w:lang w:bidi="fa-IR"/>
              </w:rPr>
              <w:t>(2). في « جن » : « ستّة ».</w:t>
            </w:r>
          </w:p>
        </w:tc>
      </w:tr>
    </w:tbl>
    <w:p w:rsidR="00744A1C" w:rsidRDefault="00E378DD" w:rsidP="00E378DD">
      <w:pPr>
        <w:pStyle w:val="libFootnote0"/>
        <w:rPr>
          <w:lang w:bidi="fa-IR"/>
        </w:rPr>
      </w:pPr>
      <w:r>
        <w:rPr>
          <w:rtl/>
          <w:lang w:bidi="fa-IR"/>
        </w:rPr>
        <w:t>(3).</w:t>
      </w:r>
      <w:r w:rsidR="00744A1C">
        <w:rPr>
          <w:rtl/>
          <w:lang w:bidi="fa-IR"/>
        </w:rPr>
        <w:t xml:space="preserve"> في « ى ، بث ، بح ، بخ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11184 و</w:t>
      </w:r>
      <w:r w:rsidR="00744A1C" w:rsidRPr="0061079A">
        <w:rPr>
          <w:rStyle w:val="libFootnoteBoldChar"/>
          <w:rtl/>
        </w:rPr>
        <w:t>البحار</w:t>
      </w:r>
      <w:r w:rsidR="00744A1C">
        <w:rPr>
          <w:rtl/>
          <w:lang w:bidi="fa-IR"/>
        </w:rPr>
        <w:t xml:space="preserve"> : « فاقبلوا ».</w:t>
      </w:r>
    </w:p>
    <w:tbl>
      <w:tblPr>
        <w:tblStyle w:val="TableGrid"/>
        <w:bidiVisual/>
        <w:tblW w:w="0" w:type="auto"/>
        <w:tblLook w:val="04A0" w:firstRow="1" w:lastRow="0" w:firstColumn="1" w:lastColumn="0" w:noHBand="0" w:noVBand="1"/>
      </w:tblPr>
      <w:tblGrid>
        <w:gridCol w:w="4006"/>
        <w:gridCol w:w="4006"/>
      </w:tblGrid>
      <w:tr w:rsidR="00CF3483" w:rsidTr="00CF3483">
        <w:tc>
          <w:tcPr>
            <w:tcW w:w="4006" w:type="dxa"/>
          </w:tcPr>
          <w:p w:rsidR="00CF3483" w:rsidRDefault="00CF3483" w:rsidP="00E378DD">
            <w:pPr>
              <w:pStyle w:val="libFootnote0"/>
              <w:rPr>
                <w:rtl/>
                <w:lang w:bidi="fa-IR"/>
              </w:rPr>
            </w:pPr>
            <w:r>
              <w:rPr>
                <w:rtl/>
                <w:lang w:bidi="fa-IR"/>
              </w:rPr>
              <w:t>(4). في « بخ » و</w:t>
            </w:r>
            <w:r w:rsidRPr="00C24F9C">
              <w:rPr>
                <w:rStyle w:val="libFootnoteBoldChar"/>
                <w:rtl/>
              </w:rPr>
              <w:t>الوافي</w:t>
            </w:r>
            <w:r>
              <w:rPr>
                <w:rtl/>
                <w:lang w:bidi="fa-IR"/>
              </w:rPr>
              <w:t xml:space="preserve"> و</w:t>
            </w:r>
            <w:r w:rsidRPr="0061079A">
              <w:rPr>
                <w:rStyle w:val="libFootnoteBoldChar"/>
                <w:rtl/>
              </w:rPr>
              <w:t>البحار</w:t>
            </w:r>
            <w:r>
              <w:rPr>
                <w:rtl/>
                <w:lang w:bidi="fa-IR"/>
              </w:rPr>
              <w:t xml:space="preserve"> : « متّبعكم ».</w:t>
            </w:r>
          </w:p>
        </w:tc>
        <w:tc>
          <w:tcPr>
            <w:tcW w:w="4006" w:type="dxa"/>
          </w:tcPr>
          <w:p w:rsidR="00CF3483" w:rsidRDefault="00CF3483" w:rsidP="00E378DD">
            <w:pPr>
              <w:pStyle w:val="libFootnote0"/>
              <w:rPr>
                <w:rtl/>
                <w:lang w:bidi="fa-IR"/>
              </w:rPr>
            </w:pPr>
            <w:r>
              <w:rPr>
                <w:rtl/>
                <w:lang w:bidi="fa-IR"/>
              </w:rPr>
              <w:t>(5). في « بخ » : « الظهر ».</w:t>
            </w:r>
          </w:p>
        </w:tc>
      </w:tr>
    </w:tbl>
    <w:p w:rsidR="00744A1C" w:rsidRDefault="00E378DD" w:rsidP="00E378DD">
      <w:pPr>
        <w:pStyle w:val="libFootnote0"/>
        <w:rPr>
          <w:lang w:bidi="fa-IR"/>
        </w:rPr>
      </w:pPr>
      <w:r>
        <w:rPr>
          <w:rtl/>
          <w:lang w:bidi="fa-IR"/>
        </w:rPr>
        <w:t>(6).</w:t>
      </w:r>
      <w:r w:rsidR="00744A1C">
        <w:rPr>
          <w:rtl/>
          <w:lang w:bidi="fa-IR"/>
        </w:rPr>
        <w:t xml:space="preserve"> في « بخ » و</w:t>
      </w:r>
      <w:r w:rsidR="00744A1C" w:rsidRPr="00C24F9C">
        <w:rPr>
          <w:rStyle w:val="libFootnoteBoldChar"/>
          <w:rtl/>
        </w:rPr>
        <w:t>الوافي</w:t>
      </w:r>
      <w:r w:rsidR="00744A1C">
        <w:rPr>
          <w:rtl/>
          <w:lang w:bidi="fa-IR"/>
        </w:rPr>
        <w:t xml:space="preserve"> و</w:t>
      </w:r>
      <w:r w:rsidR="00744A1C" w:rsidRPr="0061079A">
        <w:rPr>
          <w:rStyle w:val="libFootnoteBoldChar"/>
          <w:rtl/>
        </w:rPr>
        <w:t>البحار</w:t>
      </w:r>
      <w:r w:rsidR="00744A1C">
        <w:rPr>
          <w:rtl/>
          <w:lang w:bidi="fa-IR"/>
        </w:rPr>
        <w:t xml:space="preserve"> : « فلم تزل ».</w:t>
      </w:r>
    </w:p>
    <w:p w:rsidR="00744A1C" w:rsidRDefault="00E378DD" w:rsidP="00E378DD">
      <w:pPr>
        <w:pStyle w:val="libFootnote0"/>
        <w:rPr>
          <w:lang w:bidi="fa-IR"/>
        </w:rPr>
      </w:pPr>
      <w:r>
        <w:rPr>
          <w:rtl/>
          <w:lang w:bidi="fa-IR"/>
        </w:rPr>
        <w:t>(7).</w:t>
      </w:r>
      <w:r w:rsidR="00744A1C">
        <w:rPr>
          <w:rtl/>
          <w:lang w:bidi="fa-IR"/>
        </w:rPr>
        <w:t xml:space="preserve"> في </w:t>
      </w:r>
      <w:r w:rsidR="00744A1C" w:rsidRPr="00877682">
        <w:rPr>
          <w:rStyle w:val="libFootnoteBoldChar"/>
          <w:rtl/>
        </w:rPr>
        <w:t>مرآة العقول</w:t>
      </w:r>
      <w:r w:rsidR="00744A1C">
        <w:rPr>
          <w:rtl/>
          <w:lang w:bidi="fa-IR"/>
        </w:rPr>
        <w:t xml:space="preserve"> ، ج 18 ، ص 211 : « إنّ هذا الخبر يدلّ على أنّ مطلق الحرم ليس من مواضع التخيير ، أو على أن لا تخيير في تلك المواضع ، كما هو مذهب الصدوق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7 ، ص 129 ، ح 5610 ؛ </w:t>
      </w:r>
      <w:r w:rsidR="00744A1C" w:rsidRPr="00C24F9C">
        <w:rPr>
          <w:rStyle w:val="libFootnoteBoldChar"/>
          <w:rtl/>
        </w:rPr>
        <w:t>الوسائل</w:t>
      </w:r>
      <w:r w:rsidR="00744A1C">
        <w:rPr>
          <w:rtl/>
          <w:lang w:bidi="fa-IR"/>
        </w:rPr>
        <w:t xml:space="preserve"> ، ج 8 ، ص 465 ، ح 11184 ؛ وفيه ، ص 537 ، ح 11382 ، إلى قوله : « فأقام بمنى ثلاثاً يصلّي ركعتين » ؛ </w:t>
      </w:r>
      <w:r w:rsidR="00744A1C" w:rsidRPr="0061079A">
        <w:rPr>
          <w:rStyle w:val="libFootnoteBoldChar"/>
          <w:rtl/>
        </w:rPr>
        <w:t>البحار</w:t>
      </w:r>
      <w:r w:rsidR="00744A1C">
        <w:rPr>
          <w:rtl/>
          <w:lang w:bidi="fa-IR"/>
        </w:rPr>
        <w:t xml:space="preserve"> ، ج 31 ، ص 467 ، ح 5.</w:t>
      </w:r>
    </w:p>
    <w:p w:rsidR="00744A1C" w:rsidRDefault="00E378DD" w:rsidP="00E378DD">
      <w:pPr>
        <w:pStyle w:val="libFootnote0"/>
        <w:rPr>
          <w:lang w:bidi="fa-IR"/>
        </w:rPr>
      </w:pPr>
      <w:r>
        <w:rPr>
          <w:rtl/>
          <w:lang w:bidi="fa-IR"/>
        </w:rPr>
        <w:t>(9).</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77627B" w:rsidTr="0077627B">
        <w:tc>
          <w:tcPr>
            <w:tcW w:w="4006" w:type="dxa"/>
          </w:tcPr>
          <w:p w:rsidR="0077627B" w:rsidRDefault="0077627B" w:rsidP="00E378DD">
            <w:pPr>
              <w:pStyle w:val="libFootnote0"/>
              <w:rPr>
                <w:rtl/>
                <w:lang w:bidi="fa-IR"/>
              </w:rPr>
            </w:pPr>
            <w:r>
              <w:rPr>
                <w:rtl/>
                <w:lang w:bidi="fa-IR"/>
              </w:rPr>
              <w:t>(10). في « ى ، بخ ، بف ، جد » : « صلّى ».</w:t>
            </w:r>
          </w:p>
        </w:tc>
        <w:tc>
          <w:tcPr>
            <w:tcW w:w="4006" w:type="dxa"/>
          </w:tcPr>
          <w:p w:rsidR="0077627B" w:rsidRDefault="0077627B" w:rsidP="00E378DD">
            <w:pPr>
              <w:pStyle w:val="libFootnote0"/>
              <w:rPr>
                <w:rtl/>
                <w:lang w:bidi="fa-IR"/>
              </w:rPr>
            </w:pPr>
            <w:r>
              <w:rPr>
                <w:rtl/>
                <w:lang w:bidi="fa-IR"/>
              </w:rPr>
              <w:t>(11). في « ى » : « بمنى ».</w:t>
            </w:r>
          </w:p>
        </w:tc>
      </w:tr>
      <w:tr w:rsidR="0077627B" w:rsidTr="0077627B">
        <w:tc>
          <w:tcPr>
            <w:tcW w:w="4006" w:type="dxa"/>
          </w:tcPr>
          <w:p w:rsidR="0077627B" w:rsidRDefault="0077627B" w:rsidP="00E378DD">
            <w:pPr>
              <w:pStyle w:val="libFootnote0"/>
              <w:rPr>
                <w:rtl/>
                <w:lang w:bidi="fa-IR"/>
              </w:rPr>
            </w:pPr>
            <w:r>
              <w:rPr>
                <w:rtl/>
                <w:lang w:bidi="fa-IR"/>
              </w:rPr>
              <w:t xml:space="preserve">(12). في </w:t>
            </w:r>
            <w:r w:rsidRPr="00C24F9C">
              <w:rPr>
                <w:rStyle w:val="libFootnoteBoldChar"/>
                <w:rtl/>
              </w:rPr>
              <w:t>التهذيب</w:t>
            </w:r>
            <w:r>
              <w:rPr>
                <w:rtl/>
                <w:lang w:bidi="fa-IR"/>
              </w:rPr>
              <w:t xml:space="preserve"> : « وقربها ».</w:t>
            </w:r>
          </w:p>
        </w:tc>
        <w:tc>
          <w:tcPr>
            <w:tcW w:w="4006" w:type="dxa"/>
          </w:tcPr>
          <w:p w:rsidR="0077627B" w:rsidRDefault="009E5594" w:rsidP="00E378DD">
            <w:pPr>
              <w:pStyle w:val="libFootnote0"/>
              <w:rPr>
                <w:rtl/>
                <w:lang w:bidi="fa-IR"/>
              </w:rPr>
            </w:pPr>
            <w:r>
              <w:rPr>
                <w:rtl/>
                <w:lang w:bidi="fa-IR"/>
              </w:rPr>
              <w:t>(13). في « بس » : « الكعبة ».</w:t>
            </w:r>
          </w:p>
        </w:tc>
      </w:tr>
    </w:tbl>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وَعَنْ </w:t>
      </w:r>
      <w:r w:rsidRPr="00D10E3C">
        <w:rPr>
          <w:rStyle w:val="libFootnotenumChar"/>
          <w:rtl/>
        </w:rPr>
        <w:t>(1)</w:t>
      </w:r>
      <w:r>
        <w:rPr>
          <w:rtl/>
          <w:lang w:bidi="fa-IR"/>
        </w:rPr>
        <w:t xml:space="preserve"> يَسَارِهَا وَخَلْفِهَا نَحْواً مِنْ ذلِكَ ».</w:t>
      </w:r>
    </w:p>
    <w:p w:rsidR="00744A1C" w:rsidRDefault="00744A1C" w:rsidP="00744A1C">
      <w:pPr>
        <w:pStyle w:val="libNormal"/>
        <w:rPr>
          <w:lang w:bidi="fa-IR"/>
        </w:rPr>
      </w:pPr>
      <w:r>
        <w:rPr>
          <w:rtl/>
          <w:lang w:bidi="fa-IR"/>
        </w:rPr>
        <w:t xml:space="preserve">فَقَالَ </w:t>
      </w:r>
      <w:r w:rsidRPr="00D10E3C">
        <w:rPr>
          <w:rStyle w:val="libFootnotenumChar"/>
          <w:rtl/>
        </w:rPr>
        <w:t>(2)</w:t>
      </w:r>
      <w:r>
        <w:rPr>
          <w:rtl/>
          <w:lang w:bidi="fa-IR"/>
        </w:rPr>
        <w:t xml:space="preserve"> : « فَتَحَرَّ </w:t>
      </w:r>
      <w:r w:rsidRPr="00D10E3C">
        <w:rPr>
          <w:rStyle w:val="libFootnotenumChar"/>
          <w:rtl/>
        </w:rPr>
        <w:t>(3)</w:t>
      </w:r>
      <w:r>
        <w:rPr>
          <w:rtl/>
          <w:lang w:bidi="fa-IR"/>
        </w:rPr>
        <w:t xml:space="preserve"> ذلِكَ ، فَإِنِ </w:t>
      </w:r>
      <w:r w:rsidRPr="00D10E3C">
        <w:rPr>
          <w:rStyle w:val="libFootnotenumChar"/>
          <w:rtl/>
        </w:rPr>
        <w:t>(4)</w:t>
      </w:r>
      <w:r>
        <w:rPr>
          <w:rtl/>
          <w:lang w:bidi="fa-IR"/>
        </w:rPr>
        <w:t xml:space="preserve"> ا</w:t>
      </w:r>
      <w:r w:rsidR="0045026C">
        <w:rPr>
          <w:rtl/>
          <w:lang w:bidi="fa-IR"/>
        </w:rPr>
        <w:t>سْتَطَعْتَ أَنْ يَكُونَ مُصَل</w:t>
      </w:r>
      <w:r w:rsidR="0045026C">
        <w:rPr>
          <w:rFonts w:hint="cs"/>
          <w:rtl/>
          <w:lang w:bidi="fa-IR"/>
        </w:rPr>
        <w:t>َّ</w:t>
      </w:r>
      <w:r w:rsidR="0045026C">
        <w:rPr>
          <w:rtl/>
          <w:lang w:bidi="fa-IR"/>
        </w:rPr>
        <w:t>ا</w:t>
      </w:r>
      <w:r>
        <w:rPr>
          <w:rtl/>
          <w:lang w:bidi="fa-IR"/>
        </w:rPr>
        <w:t xml:space="preserve">كَ فِيهِ ، فَافْعَلْ ، فَإِنَّهُ قَدْ صَلّى فِيهِ أَلْفُ نَبِيٍّ ، وَإِنَّمَا سُمِّيَ الْخَيْفَ لِأَنَّهُ مُرْتَفِعٌ عَنِ </w:t>
      </w:r>
      <w:r w:rsidRPr="00D10E3C">
        <w:rPr>
          <w:rStyle w:val="libFootnotenumChar"/>
          <w:rtl/>
        </w:rPr>
        <w:t>(5)</w:t>
      </w:r>
      <w:r>
        <w:rPr>
          <w:rtl/>
          <w:lang w:bidi="fa-IR"/>
        </w:rPr>
        <w:t xml:space="preserve"> الْوَادِي ، وَمَا ارْتَفَعَ عَنْهُ </w:t>
      </w:r>
      <w:r w:rsidRPr="00D10E3C">
        <w:rPr>
          <w:rStyle w:val="libFootnotenumChar"/>
          <w:rtl/>
        </w:rPr>
        <w:t>(6)</w:t>
      </w:r>
      <w:r>
        <w:rPr>
          <w:rtl/>
          <w:lang w:bidi="fa-IR"/>
        </w:rPr>
        <w:t xml:space="preserve"> يُسَمّى </w:t>
      </w:r>
      <w:r w:rsidRPr="00D10E3C">
        <w:rPr>
          <w:rStyle w:val="libFootnotenumChar"/>
          <w:rtl/>
        </w:rPr>
        <w:t>(7)</w:t>
      </w:r>
      <w:r>
        <w:rPr>
          <w:rtl/>
          <w:lang w:bidi="fa-IR"/>
        </w:rPr>
        <w:t xml:space="preserve"> خَيْفاً </w:t>
      </w:r>
      <w:r w:rsidRPr="00D10E3C">
        <w:rPr>
          <w:rStyle w:val="libFootnotenumChar"/>
          <w:rtl/>
        </w:rPr>
        <w:t>(8)</w:t>
      </w:r>
      <w:r>
        <w:rPr>
          <w:rtl/>
          <w:lang w:bidi="fa-IR"/>
        </w:rPr>
        <w:t xml:space="preserve"> ». </w:t>
      </w:r>
      <w:r w:rsidRPr="00D10E3C">
        <w:rPr>
          <w:rStyle w:val="libFootnotenumChar"/>
          <w:rtl/>
        </w:rPr>
        <w:t>(9)</w:t>
      </w:r>
    </w:p>
    <w:p w:rsidR="00744A1C" w:rsidRDefault="00744A1C" w:rsidP="00744A1C">
      <w:pPr>
        <w:pStyle w:val="libNormal"/>
        <w:rPr>
          <w:lang w:bidi="fa-IR"/>
        </w:rPr>
      </w:pPr>
      <w:r>
        <w:rPr>
          <w:rtl/>
          <w:lang w:bidi="fa-IR"/>
        </w:rPr>
        <w:t xml:space="preserve">7965 / 5. مُعَاوِيَةُ بْنُ عَمَّارٍ </w:t>
      </w:r>
      <w:r w:rsidRPr="00D10E3C">
        <w:rPr>
          <w:rStyle w:val="libFootnotenumChar"/>
          <w:rtl/>
        </w:rPr>
        <w:t>(10)</w:t>
      </w:r>
      <w:r w:rsidR="004B5246">
        <w:rPr>
          <w:rtl/>
          <w:lang w:bidi="fa-IR"/>
        </w:rPr>
        <w:t xml:space="preserve">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إِنَّ أَهْلَ مَكَّةَ يُتِمُّونَ الصَّلَاةَ بِعَرَفَاتٍ.</w:t>
      </w:r>
    </w:p>
    <w:p w:rsidR="00744A1C" w:rsidRDefault="00744A1C" w:rsidP="00744A1C">
      <w:pPr>
        <w:pStyle w:val="libNormal"/>
        <w:rPr>
          <w:lang w:bidi="fa-IR"/>
        </w:rPr>
      </w:pPr>
      <w:r>
        <w:rPr>
          <w:rtl/>
          <w:lang w:bidi="fa-IR"/>
        </w:rPr>
        <w:t xml:space="preserve">فَقَالَ : « وَيْلَهُمْ أَوْ وَيْحَهُمْ ، وَأَيُّ سَفَرٍ أَشَدُّ مِنْهُ؟ لَا ، لَايُتِمُّ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 - « عن ».</w:t>
      </w:r>
    </w:p>
    <w:p w:rsidR="00744A1C" w:rsidRDefault="00E378DD" w:rsidP="00E378DD">
      <w:pPr>
        <w:pStyle w:val="libFootnote0"/>
        <w:rPr>
          <w:lang w:bidi="fa-IR"/>
        </w:rPr>
      </w:pPr>
      <w:r>
        <w:rPr>
          <w:rtl/>
          <w:lang w:bidi="fa-IR"/>
        </w:rPr>
        <w:t>(2).</w:t>
      </w:r>
      <w:r w:rsidR="00744A1C">
        <w:rPr>
          <w:rtl/>
          <w:lang w:bidi="fa-IR"/>
        </w:rPr>
        <w:t xml:space="preserve"> في « ى ، بخ ، بس ، بف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 قال ».</w:t>
      </w:r>
    </w:p>
    <w:p w:rsidR="00744A1C" w:rsidRDefault="00E378DD" w:rsidP="00E378DD">
      <w:pPr>
        <w:pStyle w:val="libFootnote0"/>
        <w:rPr>
          <w:lang w:bidi="fa-IR"/>
        </w:rPr>
      </w:pPr>
      <w:r>
        <w:rPr>
          <w:rtl/>
          <w:lang w:bidi="fa-IR"/>
        </w:rPr>
        <w:t>(3).</w:t>
      </w:r>
      <w:r w:rsidR="00744A1C">
        <w:rPr>
          <w:rtl/>
          <w:lang w:bidi="fa-IR"/>
        </w:rPr>
        <w:t xml:space="preserve"> التَحَرّي : القصد والاجتهاد في الطلب. يقال : فلان يتحرّي الأمر ، أي يقصده. راجع : </w:t>
      </w:r>
      <w:r w:rsidR="00744A1C" w:rsidRPr="00E978C3">
        <w:rPr>
          <w:rStyle w:val="libFootnoteBoldChar"/>
          <w:rtl/>
        </w:rPr>
        <w:t>الصحاح</w:t>
      </w:r>
      <w:r w:rsidR="00744A1C">
        <w:rPr>
          <w:rtl/>
          <w:lang w:bidi="fa-IR"/>
        </w:rPr>
        <w:t xml:space="preserve"> ، ج 6 ، ص 2311 ؛ </w:t>
      </w:r>
      <w:r w:rsidR="00744A1C" w:rsidRPr="00877682">
        <w:rPr>
          <w:rStyle w:val="libFootnoteBoldChar"/>
          <w:rtl/>
        </w:rPr>
        <w:t>لسان العرب</w:t>
      </w:r>
      <w:r w:rsidR="00744A1C">
        <w:rPr>
          <w:rtl/>
          <w:lang w:bidi="fa-IR"/>
        </w:rPr>
        <w:t xml:space="preserve"> ، ج 14 ، ص 173 ( حري ).</w:t>
      </w:r>
    </w:p>
    <w:tbl>
      <w:tblPr>
        <w:tblStyle w:val="TableGrid"/>
        <w:bidiVisual/>
        <w:tblW w:w="0" w:type="auto"/>
        <w:tblLook w:val="04A0" w:firstRow="1" w:lastRow="0" w:firstColumn="1" w:lastColumn="0" w:noHBand="0" w:noVBand="1"/>
      </w:tblPr>
      <w:tblGrid>
        <w:gridCol w:w="4006"/>
        <w:gridCol w:w="4006"/>
      </w:tblGrid>
      <w:tr w:rsidR="001F2145" w:rsidTr="001F2145">
        <w:tc>
          <w:tcPr>
            <w:tcW w:w="4006" w:type="dxa"/>
          </w:tcPr>
          <w:p w:rsidR="001F2145" w:rsidRDefault="001F2145" w:rsidP="00E378DD">
            <w:pPr>
              <w:pStyle w:val="libFootnote0"/>
              <w:rPr>
                <w:rtl/>
                <w:lang w:bidi="fa-IR"/>
              </w:rPr>
            </w:pPr>
            <w:r>
              <w:rPr>
                <w:rtl/>
                <w:lang w:bidi="fa-IR"/>
              </w:rPr>
              <w:t xml:space="preserve">(4). في </w:t>
            </w:r>
            <w:r w:rsidRPr="00C24F9C">
              <w:rPr>
                <w:rStyle w:val="libFootnoteBoldChar"/>
                <w:rtl/>
              </w:rPr>
              <w:t>الوسائل</w:t>
            </w:r>
            <w:r>
              <w:rPr>
                <w:rtl/>
                <w:lang w:bidi="fa-IR"/>
              </w:rPr>
              <w:t xml:space="preserve"> و</w:t>
            </w:r>
            <w:r w:rsidRPr="00C24F9C">
              <w:rPr>
                <w:rStyle w:val="libFootnoteBoldChar"/>
                <w:rtl/>
              </w:rPr>
              <w:t>الفقيه</w:t>
            </w:r>
            <w:r>
              <w:rPr>
                <w:rtl/>
                <w:lang w:bidi="fa-IR"/>
              </w:rPr>
              <w:t xml:space="preserve"> ، ح 690 : « وإن ».</w:t>
            </w:r>
          </w:p>
        </w:tc>
        <w:tc>
          <w:tcPr>
            <w:tcW w:w="4006" w:type="dxa"/>
          </w:tcPr>
          <w:p w:rsidR="001F2145" w:rsidRDefault="001F2145" w:rsidP="00E378DD">
            <w:pPr>
              <w:pStyle w:val="libFootnote0"/>
              <w:rPr>
                <w:rtl/>
                <w:lang w:bidi="fa-IR"/>
              </w:rPr>
            </w:pPr>
            <w:r>
              <w:rPr>
                <w:rtl/>
                <w:lang w:bidi="fa-IR"/>
              </w:rPr>
              <w:t>(5). في حاشية « جن » : « من ».</w:t>
            </w:r>
          </w:p>
        </w:tc>
      </w:tr>
    </w:tbl>
    <w:p w:rsidR="00744A1C" w:rsidRDefault="00E378DD" w:rsidP="00E378DD">
      <w:pPr>
        <w:pStyle w:val="libFootnote0"/>
        <w:rPr>
          <w:lang w:bidi="fa-IR"/>
        </w:rPr>
      </w:pPr>
      <w:r>
        <w:rPr>
          <w:rtl/>
          <w:lang w:bidi="fa-IR"/>
        </w:rPr>
        <w:t>(6).</w:t>
      </w:r>
      <w:r w:rsidR="00744A1C">
        <w:rPr>
          <w:rtl/>
          <w:lang w:bidi="fa-IR"/>
        </w:rPr>
        <w:t xml:space="preserve"> في « ى ، بح ، بس ، جد » و</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 ح 2128 و</w:t>
      </w:r>
      <w:r w:rsidR="00744A1C" w:rsidRPr="003A7143">
        <w:rPr>
          <w:rStyle w:val="libFootnoteBoldChar"/>
          <w:rtl/>
        </w:rPr>
        <w:t>المحاسن</w:t>
      </w:r>
      <w:r w:rsidR="00744A1C">
        <w:rPr>
          <w:rtl/>
          <w:lang w:bidi="fa-IR"/>
        </w:rPr>
        <w:t xml:space="preserve"> والعلل : « عن الوادي ».</w:t>
      </w:r>
    </w:p>
    <w:p w:rsidR="00744A1C" w:rsidRDefault="00E378DD" w:rsidP="00E378DD">
      <w:pPr>
        <w:pStyle w:val="libFootnote0"/>
        <w:rPr>
          <w:lang w:bidi="fa-IR"/>
        </w:rPr>
      </w:pPr>
      <w:r>
        <w:rPr>
          <w:rtl/>
          <w:lang w:bidi="fa-IR"/>
        </w:rPr>
        <w:t>(7).</w:t>
      </w:r>
      <w:r w:rsidR="00744A1C">
        <w:rPr>
          <w:rtl/>
          <w:lang w:bidi="fa-IR"/>
        </w:rPr>
        <w:t xml:space="preserve"> في « بخ ، جن » و</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 ح 2128 و</w:t>
      </w:r>
      <w:r w:rsidR="00744A1C" w:rsidRPr="003A7143">
        <w:rPr>
          <w:rStyle w:val="libFootnoteBoldChar"/>
          <w:rtl/>
        </w:rPr>
        <w:t>المحاسن</w:t>
      </w:r>
      <w:r w:rsidR="00744A1C">
        <w:rPr>
          <w:rtl/>
          <w:lang w:bidi="fa-IR"/>
        </w:rPr>
        <w:t xml:space="preserve"> والعلل : « سمّي ».</w:t>
      </w:r>
    </w:p>
    <w:p w:rsidR="00744A1C" w:rsidRDefault="00E378DD" w:rsidP="00E378DD">
      <w:pPr>
        <w:pStyle w:val="libFootnote0"/>
        <w:rPr>
          <w:lang w:bidi="fa-IR"/>
        </w:rPr>
      </w:pPr>
      <w:r>
        <w:rPr>
          <w:rtl/>
          <w:lang w:bidi="fa-IR"/>
        </w:rPr>
        <w:t>(8).</w:t>
      </w:r>
      <w:r w:rsidR="00744A1C">
        <w:rPr>
          <w:rtl/>
          <w:lang w:bidi="fa-IR"/>
        </w:rPr>
        <w:t xml:space="preserve"> في « بخ » و</w:t>
      </w:r>
      <w:r w:rsidR="00744A1C" w:rsidRPr="00C24F9C">
        <w:rPr>
          <w:rStyle w:val="libFootnoteBoldChar"/>
          <w:rtl/>
        </w:rPr>
        <w:t>الوافي</w:t>
      </w:r>
      <w:r w:rsidR="00744A1C">
        <w:rPr>
          <w:rtl/>
          <w:lang w:bidi="fa-IR"/>
        </w:rPr>
        <w:t xml:space="preserve"> : « الخيف ».</w:t>
      </w:r>
    </w:p>
    <w:p w:rsidR="00744A1C" w:rsidRDefault="00E378DD" w:rsidP="00EE1B3E">
      <w:pPr>
        <w:pStyle w:val="libFootnote0"/>
        <w:rPr>
          <w:lang w:bidi="fa-IR"/>
        </w:rPr>
      </w:pPr>
      <w:r>
        <w:rPr>
          <w:rtl/>
          <w:lang w:bidi="fa-IR"/>
        </w:rPr>
        <w:t>(9).</w:t>
      </w:r>
      <w:r w:rsidR="00744A1C">
        <w:rPr>
          <w:rtl/>
          <w:lang w:bidi="fa-IR"/>
        </w:rPr>
        <w:t xml:space="preserve"> </w:t>
      </w:r>
      <w:r w:rsidR="00744A1C" w:rsidRPr="003A7143">
        <w:rPr>
          <w:rStyle w:val="libFootnoteBoldChar"/>
          <w:rtl/>
        </w:rPr>
        <w:t>المحاسن</w:t>
      </w:r>
      <w:r w:rsidR="00744A1C">
        <w:rPr>
          <w:rtl/>
          <w:lang w:bidi="fa-IR"/>
        </w:rPr>
        <w:t xml:space="preserve"> ، ص 340 ، كتاب العلل ، ح 128 ؛ و</w:t>
      </w:r>
      <w:r w:rsidR="00744A1C" w:rsidRPr="003A7143">
        <w:rPr>
          <w:rStyle w:val="libFootnoteBoldChar"/>
          <w:rtl/>
        </w:rPr>
        <w:t>علل الشرائع</w:t>
      </w:r>
      <w:r w:rsidR="00744A1C">
        <w:rPr>
          <w:rtl/>
          <w:lang w:bidi="fa-IR"/>
        </w:rPr>
        <w:t xml:space="preserve"> ، ص 436 ، ح 1 ، بسندهما عن صفوان بن يحيى ، من قوله : « وإنّما سمّي الخيف ». </w:t>
      </w:r>
      <w:r w:rsidR="00744A1C" w:rsidRPr="00C24F9C">
        <w:rPr>
          <w:rStyle w:val="libFootnoteBoldChar"/>
          <w:rtl/>
        </w:rPr>
        <w:t>التهذيب</w:t>
      </w:r>
      <w:r w:rsidR="00744A1C">
        <w:rPr>
          <w:rtl/>
          <w:lang w:bidi="fa-IR"/>
        </w:rPr>
        <w:t xml:space="preserve"> ، ج 5 ، ص 274 ، ح 939 ، بسنده عن إبراهيم ، عن معاوية بن عمّار. </w:t>
      </w:r>
      <w:r w:rsidR="00744A1C" w:rsidRPr="00C24F9C">
        <w:rPr>
          <w:rStyle w:val="libFootnoteBoldChar"/>
          <w:rtl/>
        </w:rPr>
        <w:t>الفقيه</w:t>
      </w:r>
      <w:r w:rsidR="00744A1C">
        <w:rPr>
          <w:rtl/>
          <w:lang w:bidi="fa-IR"/>
        </w:rPr>
        <w:t xml:space="preserve"> ، ج 1 ، ص 230 ، ح 690 ، مرسلاً ، من قوله : « كان مسجد رسول الله </w:t>
      </w:r>
      <w:r w:rsidR="00EE1B3E" w:rsidRPr="00EE1B3E">
        <w:rPr>
          <w:rStyle w:val="libFootnoteAlaemChar"/>
          <w:rFonts w:eastAsiaTheme="minorHAnsi"/>
          <w:rtl/>
        </w:rPr>
        <w:t>صلى‌الله‌عليه‌وآله</w:t>
      </w:r>
      <w:r w:rsidR="00EE1B3E" w:rsidRPr="00EE1B3E">
        <w:rPr>
          <w:rFonts w:eastAsiaTheme="minorHAnsi"/>
          <w:rtl/>
        </w:rPr>
        <w:t xml:space="preserve"> </w:t>
      </w:r>
      <w:r w:rsidR="00744A1C">
        <w:rPr>
          <w:rtl/>
          <w:lang w:bidi="fa-IR"/>
        </w:rPr>
        <w:t xml:space="preserve">» ؛ وفيه ، ج 2 ، ص 197 ، ح 2128 ، من قوله : « وإنّما سمّي الخيف » ؛ وص 210 ، ح 2177 ، من قوله : « كان مسجد رسول الله </w:t>
      </w:r>
      <w:r w:rsidR="00EE1B3E" w:rsidRPr="00EE1B3E">
        <w:rPr>
          <w:rStyle w:val="libFootnoteAlaemChar"/>
          <w:rFonts w:eastAsiaTheme="minorHAnsi"/>
          <w:rtl/>
        </w:rPr>
        <w:t>صلى‌الله‌عليه‌وآله</w:t>
      </w:r>
      <w:r w:rsidR="00EE1B3E" w:rsidRPr="00DA58F8">
        <w:rPr>
          <w:rFonts w:eastAsiaTheme="minorHAnsi"/>
          <w:rtl/>
        </w:rPr>
        <w:t xml:space="preserve"> </w:t>
      </w:r>
      <w:r w:rsidR="00744A1C">
        <w:rPr>
          <w:rtl/>
          <w:lang w:bidi="fa-IR"/>
        </w:rPr>
        <w:t xml:space="preserve">» إلى قوله : « وخلفها نحواً من ذلك » وفي الأخيرين من دون الإسناد إلى المعصوم </w:t>
      </w:r>
      <w:r w:rsidR="0061079A" w:rsidRPr="0061079A">
        <w:rPr>
          <w:rStyle w:val="libFootnoteAlaemChar"/>
          <w:rtl/>
        </w:rPr>
        <w:t>عليه‌السلام</w:t>
      </w:r>
      <w:r w:rsidR="00EE1B3E">
        <w:rPr>
          <w:rFonts w:hint="cs"/>
          <w:rtl/>
          <w:lang w:bidi="fa-IR"/>
        </w:rPr>
        <w:t>.</w:t>
      </w:r>
      <w:r w:rsidR="00744A1C" w:rsidRPr="00C24F9C">
        <w:rPr>
          <w:rStyle w:val="libFootnoteBoldChar"/>
          <w:rtl/>
        </w:rPr>
        <w:t>الوافي</w:t>
      </w:r>
      <w:r w:rsidR="00744A1C">
        <w:rPr>
          <w:rtl/>
          <w:lang w:bidi="fa-IR"/>
        </w:rPr>
        <w:t xml:space="preserve"> ج 14 ، ص 1265 ، ح 14236 ؛ </w:t>
      </w:r>
      <w:r w:rsidR="00744A1C" w:rsidRPr="00C24F9C">
        <w:rPr>
          <w:rStyle w:val="libFootnoteBoldChar"/>
          <w:rtl/>
        </w:rPr>
        <w:t>الوسائل</w:t>
      </w:r>
      <w:r w:rsidR="00744A1C">
        <w:rPr>
          <w:rtl/>
          <w:lang w:bidi="fa-IR"/>
        </w:rPr>
        <w:t xml:space="preserve"> ، ج 5 ، ص 268 ، ح 6511.</w:t>
      </w:r>
    </w:p>
    <w:p w:rsidR="00744A1C" w:rsidRDefault="00E378DD" w:rsidP="00E378DD">
      <w:pPr>
        <w:pStyle w:val="libFootnote0"/>
        <w:rPr>
          <w:lang w:bidi="fa-IR"/>
        </w:rPr>
      </w:pPr>
      <w:r>
        <w:rPr>
          <w:rtl/>
          <w:lang w:bidi="fa-IR"/>
        </w:rPr>
        <w:t>(10).</w:t>
      </w:r>
      <w:r w:rsidR="00744A1C">
        <w:rPr>
          <w:rtl/>
          <w:lang w:bidi="fa-IR"/>
        </w:rPr>
        <w:t xml:space="preserve"> السند معلّق على سابقه. وينسحب إليه كلا الطريقين المتقدّمين إلى معاوية بن عمّار.</w:t>
      </w:r>
    </w:p>
    <w:p w:rsidR="00744A1C" w:rsidRDefault="00E378DD" w:rsidP="00E378DD">
      <w:pPr>
        <w:pStyle w:val="libFootnote0"/>
        <w:rPr>
          <w:lang w:bidi="fa-IR"/>
        </w:rPr>
      </w:pPr>
      <w:r>
        <w:rPr>
          <w:rtl/>
          <w:lang w:bidi="fa-IR"/>
        </w:rPr>
        <w:t>(11).</w:t>
      </w:r>
      <w:r w:rsidR="00744A1C">
        <w:rPr>
          <w:rtl/>
          <w:lang w:bidi="fa-IR"/>
        </w:rPr>
        <w:t xml:space="preserve"> في « جن » بالتاء والياء معاً.</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433 ، ح 1501 ، بسنده عن حمّاد بن عيسى وصفوان بن يحيى ، عن معاوية بن عمّار. </w:t>
      </w:r>
      <w:r w:rsidR="00744A1C" w:rsidRPr="00C24F9C">
        <w:rPr>
          <w:rStyle w:val="libFootnoteBoldChar"/>
          <w:rtl/>
        </w:rPr>
        <w:t>الفقيه</w:t>
      </w:r>
      <w:r w:rsidR="00744A1C">
        <w:rPr>
          <w:rtl/>
          <w:lang w:bidi="fa-IR"/>
        </w:rPr>
        <w:t xml:space="preserve"> ، ج 1 ، ص 447 ، ح 1301 ؛ وج 2 ، ص 466 ، ح 2984 ، معلّقاً عن معاوية بن عمّار ؛ </w:t>
      </w:r>
      <w:r w:rsidR="00744A1C" w:rsidRPr="00C24F9C">
        <w:rPr>
          <w:rStyle w:val="libFootnoteBoldChar"/>
          <w:rtl/>
        </w:rPr>
        <w:t>التهذيب</w:t>
      </w:r>
      <w:r w:rsidR="00744A1C">
        <w:rPr>
          <w:rtl/>
          <w:lang w:bidi="fa-IR"/>
        </w:rPr>
        <w:t xml:space="preserve"> ، ج 3 ، ص 210 ، ح 507 ، بسنده عن معاوية بن عمّار. وفيه ، ج 5 ، ص 487 ، ح 1740 ، بسنده عن معاوية ، عن أبي </w:t>
      </w:r>
      <w:r w:rsidR="00E819B0">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7966 / 6. مُحَمَّدُ بْنُ يَحْيى ، عَنْ أَحْمَدَ بْنِ مُحَمَّدٍ ، عَنِ الْحُسَيْنِ بْنِ سَعِيدٍ ، عَنِ الْقَاسِمِ بْنِ مُحَمَّدٍ ، عَنْ عَلِيِّ بْنِ أَبِي حَمْزَةَ </w:t>
      </w:r>
      <w:r w:rsidRPr="00D10E3C">
        <w:rPr>
          <w:rStyle w:val="libFootnotenumChar"/>
          <w:rtl/>
        </w:rPr>
        <w:t>(1)</w:t>
      </w:r>
      <w:r w:rsidR="00F840E4">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صَلِّ سِتَّ رَكَعَاتٍ فِي مَسْجِدِ مِنًى فِي أَصْلِ الصَّوْمَعَةِ </w:t>
      </w:r>
      <w:r w:rsidRPr="00D10E3C">
        <w:rPr>
          <w:rStyle w:val="libFootnotenumChar"/>
          <w:rtl/>
        </w:rPr>
        <w:t>(2)</w:t>
      </w:r>
      <w:r>
        <w:rPr>
          <w:rtl/>
          <w:lang w:bidi="fa-IR"/>
        </w:rPr>
        <w:t xml:space="preserve"> ».</w:t>
      </w:r>
      <w:r w:rsidRPr="00D10E3C">
        <w:rPr>
          <w:rStyle w:val="libFootnotenumChar"/>
          <w:rtl/>
        </w:rPr>
        <w:t>(3)</w:t>
      </w:r>
    </w:p>
    <w:p w:rsidR="00744A1C" w:rsidRDefault="00744A1C" w:rsidP="00DD09F0">
      <w:pPr>
        <w:pStyle w:val="Heading2Center"/>
        <w:rPr>
          <w:lang w:bidi="fa-IR"/>
        </w:rPr>
      </w:pPr>
      <w:bookmarkStart w:id="43" w:name="_Toc49261341"/>
      <w:r>
        <w:rPr>
          <w:rtl/>
          <w:lang w:bidi="fa-IR"/>
        </w:rPr>
        <w:t>198 - بَابُ النَّفْرِ مِنْ مِنًى الْأَوَّلِ وَالْآخِرِ‌</w:t>
      </w:r>
      <w:bookmarkEnd w:id="43"/>
    </w:p>
    <w:p w:rsidR="00144FA6" w:rsidRDefault="00744A1C" w:rsidP="00744A1C">
      <w:pPr>
        <w:pStyle w:val="libNormal"/>
        <w:rPr>
          <w:rtl/>
          <w:lang w:bidi="fa-IR"/>
        </w:rPr>
      </w:pPr>
      <w:r>
        <w:rPr>
          <w:rtl/>
          <w:lang w:bidi="fa-IR"/>
        </w:rPr>
        <w:t>7967 / 1. عِدَّةٌ مِنْ أَصْحَابِنَا ، عَنْ أَحْمَدَ بْنِ مُحَمَّدٍ ، عَنْ عَلِيِّ بْنِ الْحَكَمِ ، عَنْ دَاوُدَ بْنِ النُّعْمَانِ ، عَنْ أَبِي أَيُّوبَ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إِنَّا نُرِيدُ أَنْ نَتَعَجَّلَ السَّيْرَ ، وَكَانَتْ لَيْلَةُ النَّفْرِ حِينَ سَأَلْتُهُ ، فَأَيَّ سَاعَةٍ نَنْفِرُ؟</w:t>
      </w:r>
    </w:p>
    <w:p w:rsidR="00744A1C" w:rsidRDefault="00744A1C" w:rsidP="00744A1C">
      <w:pPr>
        <w:pStyle w:val="libNormal"/>
        <w:rPr>
          <w:lang w:bidi="fa-IR"/>
        </w:rPr>
      </w:pPr>
      <w:r>
        <w:rPr>
          <w:rtl/>
          <w:lang w:bidi="fa-IR"/>
        </w:rPr>
        <w:t xml:space="preserve">فَقَالَ لِي </w:t>
      </w:r>
      <w:r w:rsidRPr="00D10E3C">
        <w:rPr>
          <w:rStyle w:val="libFootnotenumChar"/>
          <w:rtl/>
        </w:rPr>
        <w:t>(4)</w:t>
      </w:r>
      <w:r>
        <w:rPr>
          <w:rtl/>
          <w:lang w:bidi="fa-IR"/>
        </w:rPr>
        <w:t xml:space="preserve"> : « أَمَّا الْيَوْمَ الثَّانِيَ ، فَلَا تَنْفِرْ حَتّى تَزُولَ الشَّمْسُ ، وَكَانَتْ لَيْلَةُ النَّفْرِ ، وَأَمَّا </w:t>
      </w:r>
      <w:r w:rsidRPr="00D10E3C">
        <w:rPr>
          <w:rStyle w:val="libFootnotenumChar"/>
          <w:rtl/>
        </w:rPr>
        <w:t>(5)</w:t>
      </w:r>
      <w:r>
        <w:rPr>
          <w:rtl/>
          <w:lang w:bidi="fa-IR"/>
        </w:rPr>
        <w:t xml:space="preserve"> الْيَوْمَ الثَّالِثَ ، فَإِذَا ابْيَضَّتِ </w:t>
      </w:r>
      <w:r w:rsidRPr="00D10E3C">
        <w:rPr>
          <w:rStyle w:val="libFootnotenumChar"/>
          <w:rtl/>
        </w:rPr>
        <w:t>(6)</w:t>
      </w:r>
      <w:r>
        <w:rPr>
          <w:rtl/>
          <w:lang w:bidi="fa-IR"/>
        </w:rPr>
        <w:t xml:space="preserve"> الشَّمْسُ ، فَانْفِرْ عَلى بَرَكَةِ </w:t>
      </w:r>
      <w:r w:rsidRPr="00D10E3C">
        <w:rPr>
          <w:rStyle w:val="libFootnotenumChar"/>
          <w:rtl/>
        </w:rPr>
        <w:t>(7)</w:t>
      </w:r>
      <w:r>
        <w:rPr>
          <w:rtl/>
          <w:lang w:bidi="fa-IR"/>
        </w:rPr>
        <w:t xml:space="preserve"> اللهِ </w:t>
      </w:r>
      <w:r w:rsidRPr="00D10E3C">
        <w:rPr>
          <w:rStyle w:val="libFootnotenumChar"/>
          <w:rtl/>
        </w:rPr>
        <w:t>(8)</w:t>
      </w:r>
      <w:r>
        <w:rPr>
          <w:rtl/>
          <w:lang w:bidi="fa-IR"/>
        </w:rPr>
        <w:t xml:space="preserve"> ؛ فَإِنَّ اللهَ - جَلَّ‌ ثَنَاؤُهُ - يَقُولُ : </w:t>
      </w:r>
      <w:r w:rsidRPr="00DD09F0">
        <w:rPr>
          <w:rStyle w:val="libAlaemChar"/>
          <w:rtl/>
        </w:rPr>
        <w:t>(</w:t>
      </w:r>
      <w:r w:rsidRPr="00DD09F0">
        <w:rPr>
          <w:rStyle w:val="libAieChar"/>
          <w:rtl/>
        </w:rPr>
        <w:t xml:space="preserve"> فَمَنْ تَعَجَّلَ فِي يَوْمَيْنِ فَل</w:t>
      </w:r>
      <w:r w:rsidR="00921143">
        <w:rPr>
          <w:rStyle w:val="libAieChar"/>
          <w:rFonts w:hint="cs"/>
          <w:rtl/>
        </w:rPr>
        <w:t>َ</w:t>
      </w:r>
      <w:r w:rsidRPr="00DD09F0">
        <w:rPr>
          <w:rStyle w:val="libAieChar"/>
          <w:rtl/>
        </w:rPr>
        <w:t>ا إِثْمَ عَلَيْهِ وَمَنْ تَأَخَّرَ فَل</w:t>
      </w:r>
      <w:r w:rsidR="00921143">
        <w:rPr>
          <w:rStyle w:val="libAieChar"/>
          <w:rFonts w:hint="cs"/>
          <w:rtl/>
        </w:rPr>
        <w:t>َ</w:t>
      </w:r>
      <w:r w:rsidRPr="00DD09F0">
        <w:rPr>
          <w:rStyle w:val="libAieChar"/>
          <w:rtl/>
        </w:rPr>
        <w:t xml:space="preserve">ا إِثْمَ عَلَيْهِ </w:t>
      </w:r>
      <w:r w:rsidRPr="00DD09F0">
        <w:rPr>
          <w:rStyle w:val="libAlaemChar"/>
          <w:rtl/>
        </w:rPr>
        <w:t>)</w:t>
      </w:r>
      <w:r>
        <w:rPr>
          <w:rtl/>
          <w:lang w:bidi="fa-IR"/>
        </w:rPr>
        <w:t xml:space="preserve"> </w:t>
      </w:r>
      <w:r w:rsidRPr="00D10E3C">
        <w:rPr>
          <w:rStyle w:val="libFootnotenumChar"/>
          <w:rtl/>
        </w:rPr>
        <w:t>(9)</w:t>
      </w:r>
      <w:r>
        <w:rPr>
          <w:rtl/>
          <w:lang w:bidi="fa-IR"/>
        </w:rPr>
        <w:t xml:space="preserve"> فَلَوْ سَكَتَ لَمْ يَبْقَ‌</w:t>
      </w:r>
    </w:p>
    <w:p w:rsidR="00744A1C" w:rsidRDefault="00744A1C" w:rsidP="00D10E3C">
      <w:pPr>
        <w:pStyle w:val="libLine"/>
        <w:rPr>
          <w:lang w:bidi="fa-IR"/>
        </w:rPr>
      </w:pPr>
      <w:r>
        <w:rPr>
          <w:rtl/>
          <w:lang w:bidi="fa-IR"/>
        </w:rPr>
        <w:t>____________________</w:t>
      </w:r>
    </w:p>
    <w:p w:rsidR="00744A1C" w:rsidRDefault="00155C36" w:rsidP="00561654">
      <w:pPr>
        <w:pStyle w:val="libFootnote0"/>
        <w:rPr>
          <w:lang w:bidi="fa-IR"/>
        </w:rPr>
      </w:pPr>
      <w:r>
        <w:rPr>
          <w:rFonts w:hint="cs"/>
          <w:rtl/>
          <w:lang w:bidi="fa-IR"/>
        </w:rPr>
        <w:t xml:space="preserve">= </w:t>
      </w:r>
      <w:r w:rsidR="00744A1C">
        <w:rPr>
          <w:rtl/>
          <w:lang w:bidi="fa-IR"/>
        </w:rPr>
        <w:t xml:space="preserve">عبدالله </w:t>
      </w:r>
      <w:r w:rsidR="0061079A" w:rsidRPr="0061079A">
        <w:rPr>
          <w:rStyle w:val="libFootnoteAlaemChar"/>
          <w:rtl/>
        </w:rPr>
        <w:t>عليه‌السلام</w:t>
      </w:r>
      <w:r w:rsidR="00744A1C">
        <w:rPr>
          <w:rtl/>
          <w:lang w:bidi="fa-IR"/>
        </w:rPr>
        <w:t xml:space="preserve"> . المقنعة ، ص 448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مع اختلاف يسير</w:t>
      </w:r>
      <w:r w:rsidR="00561654">
        <w:rPr>
          <w:rFonts w:hint="cs"/>
          <w:rtl/>
          <w:lang w:bidi="fa-IR"/>
        </w:rPr>
        <w:t>.</w:t>
      </w:r>
      <w:r w:rsidR="00744A1C" w:rsidRPr="00C24F9C">
        <w:rPr>
          <w:rStyle w:val="libFootnoteBoldChar"/>
          <w:rtl/>
        </w:rPr>
        <w:t>الوافي</w:t>
      </w:r>
      <w:r w:rsidR="00744A1C">
        <w:rPr>
          <w:rtl/>
          <w:lang w:bidi="fa-IR"/>
        </w:rPr>
        <w:t xml:space="preserve"> ، ج 7 ، ص 128 ، ح 13 ؛ </w:t>
      </w:r>
      <w:r w:rsidR="00744A1C" w:rsidRPr="00C24F9C">
        <w:rPr>
          <w:rStyle w:val="libFootnoteBoldChar"/>
          <w:rtl/>
        </w:rPr>
        <w:t>الوسائل</w:t>
      </w:r>
      <w:r w:rsidR="00744A1C">
        <w:rPr>
          <w:rtl/>
          <w:lang w:bidi="fa-IR"/>
        </w:rPr>
        <w:t xml:space="preserve"> ، ج 8 ، ص 463 ، ذيل ح 11176.</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 عن أبي بصير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أي العمارة التي عند المنارة ، وهو داخل في التحديد السابق ».</w:t>
      </w:r>
    </w:p>
    <w:p w:rsidR="00744A1C" w:rsidRDefault="00E378DD" w:rsidP="00610327">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274 ، ح 940 ، معلّقاً عن الحسين بن سعيد</w:t>
      </w:r>
      <w:r w:rsidR="007309B6">
        <w:rPr>
          <w:rFonts w:hint="cs"/>
          <w:rtl/>
          <w:lang w:bidi="fa-IR"/>
        </w:rPr>
        <w:t xml:space="preserve"> </w:t>
      </w:r>
      <w:r w:rsidR="00610327">
        <w:rPr>
          <w:rFonts w:hint="cs"/>
          <w:rtl/>
          <w:lang w:bidi="fa-IR"/>
        </w:rPr>
        <w:t>.</w:t>
      </w:r>
      <w:r w:rsidR="00744A1C" w:rsidRPr="00C24F9C">
        <w:rPr>
          <w:rStyle w:val="libFootnoteBoldChar"/>
          <w:rtl/>
        </w:rPr>
        <w:t>الوافي</w:t>
      </w:r>
      <w:r w:rsidR="00744A1C">
        <w:rPr>
          <w:rtl/>
          <w:lang w:bidi="fa-IR"/>
        </w:rPr>
        <w:t xml:space="preserve"> ، ج 14 ، ص 1266 ، ح 14240 ؛ </w:t>
      </w:r>
      <w:r w:rsidR="00744A1C" w:rsidRPr="00C24F9C">
        <w:rPr>
          <w:rStyle w:val="libFootnoteBoldChar"/>
          <w:rtl/>
        </w:rPr>
        <w:t>الوسائل</w:t>
      </w:r>
      <w:r w:rsidR="00744A1C">
        <w:rPr>
          <w:rtl/>
          <w:lang w:bidi="fa-IR"/>
        </w:rPr>
        <w:t xml:space="preserve"> ، ج 5 ، ص 270 ، ح 6515.</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 لي ».</w:t>
      </w:r>
    </w:p>
    <w:p w:rsidR="00744A1C" w:rsidRDefault="00E378DD" w:rsidP="00E378DD">
      <w:pPr>
        <w:pStyle w:val="libFootnote0"/>
        <w:rPr>
          <w:lang w:bidi="fa-IR"/>
        </w:rPr>
      </w:pPr>
      <w:r>
        <w:rPr>
          <w:rtl/>
          <w:lang w:bidi="fa-IR"/>
        </w:rPr>
        <w:t>(5).</w:t>
      </w:r>
      <w:r w:rsidR="00744A1C">
        <w:rPr>
          <w:rtl/>
          <w:lang w:bidi="fa-IR"/>
        </w:rPr>
        <w:t xml:space="preserve"> في </w:t>
      </w:r>
      <w:r w:rsidR="00744A1C" w:rsidRPr="00097CCA">
        <w:rPr>
          <w:rtl/>
        </w:rPr>
        <w:t>الوسائل والبحار والتهذيب وتفسير العيّاشي</w:t>
      </w:r>
      <w:r w:rsidR="00744A1C">
        <w:rPr>
          <w:rtl/>
          <w:lang w:bidi="fa-IR"/>
        </w:rPr>
        <w:t xml:space="preserve"> : « فأمّا ».</w:t>
      </w:r>
    </w:p>
    <w:tbl>
      <w:tblPr>
        <w:tblStyle w:val="TableGrid"/>
        <w:bidiVisual/>
        <w:tblW w:w="0" w:type="auto"/>
        <w:tblLook w:val="04A0" w:firstRow="1" w:lastRow="0" w:firstColumn="1" w:lastColumn="0" w:noHBand="0" w:noVBand="1"/>
      </w:tblPr>
      <w:tblGrid>
        <w:gridCol w:w="3711"/>
        <w:gridCol w:w="4301"/>
      </w:tblGrid>
      <w:tr w:rsidR="001D158E" w:rsidTr="00097CCA">
        <w:tc>
          <w:tcPr>
            <w:tcW w:w="3711" w:type="dxa"/>
          </w:tcPr>
          <w:p w:rsidR="001D158E" w:rsidRDefault="001D158E" w:rsidP="00E378DD">
            <w:pPr>
              <w:pStyle w:val="libFootnote0"/>
              <w:rPr>
                <w:rtl/>
                <w:lang w:bidi="fa-IR"/>
              </w:rPr>
            </w:pPr>
            <w:r>
              <w:rPr>
                <w:rtl/>
                <w:lang w:bidi="fa-IR"/>
              </w:rPr>
              <w:t xml:space="preserve">(6). في </w:t>
            </w:r>
            <w:r w:rsidRPr="00C24F9C">
              <w:rPr>
                <w:rStyle w:val="libFootnoteBoldChar"/>
                <w:rtl/>
              </w:rPr>
              <w:t>الوافي</w:t>
            </w:r>
            <w:r>
              <w:rPr>
                <w:rtl/>
                <w:lang w:bidi="fa-IR"/>
              </w:rPr>
              <w:t xml:space="preserve"> : « انتصبت ».</w:t>
            </w:r>
          </w:p>
        </w:tc>
        <w:tc>
          <w:tcPr>
            <w:tcW w:w="4301" w:type="dxa"/>
          </w:tcPr>
          <w:p w:rsidR="001D158E" w:rsidRDefault="001D158E" w:rsidP="00744AB5">
            <w:pPr>
              <w:pStyle w:val="libFootnote0"/>
              <w:rPr>
                <w:rtl/>
                <w:lang w:bidi="fa-IR"/>
              </w:rPr>
            </w:pPr>
            <w:r>
              <w:rPr>
                <w:rtl/>
                <w:lang w:bidi="fa-IR"/>
              </w:rPr>
              <w:t xml:space="preserve">(7).في </w:t>
            </w:r>
            <w:r w:rsidRPr="00097CCA">
              <w:rPr>
                <w:rtl/>
              </w:rPr>
              <w:t>الوسائل والبحار والتهذيب</w:t>
            </w:r>
            <w:r>
              <w:rPr>
                <w:rtl/>
                <w:lang w:bidi="fa-IR"/>
              </w:rPr>
              <w:t xml:space="preserve"> </w:t>
            </w:r>
            <w:r w:rsidRPr="00097CCA">
              <w:rPr>
                <w:rtl/>
              </w:rPr>
              <w:t>والاستبصار:«</w:t>
            </w:r>
            <w:r>
              <w:rPr>
                <w:rtl/>
                <w:lang w:bidi="fa-IR"/>
              </w:rPr>
              <w:t>كتاب».</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A914B5">
        <w:rPr>
          <w:rStyle w:val="libFootnoteBoldChar"/>
          <w:rtl/>
        </w:rPr>
        <w:t>تفسير العيّاشي</w:t>
      </w:r>
      <w:r w:rsidR="00744A1C">
        <w:rPr>
          <w:rtl/>
          <w:lang w:bidi="fa-IR"/>
        </w:rPr>
        <w:t xml:space="preserve"> : « فإذا انتصف فانفروا » بدل « فإذا ابيضّت الشمس ، فانفر على بركة الله ».</w:t>
      </w:r>
    </w:p>
    <w:p w:rsidR="00744A1C" w:rsidRDefault="00E378DD" w:rsidP="00E378DD">
      <w:pPr>
        <w:pStyle w:val="libFootnote0"/>
        <w:rPr>
          <w:lang w:bidi="fa-IR"/>
        </w:rPr>
      </w:pPr>
      <w:r>
        <w:rPr>
          <w:rtl/>
          <w:lang w:bidi="fa-IR"/>
        </w:rPr>
        <w:t>(9).</w:t>
      </w:r>
      <w:r w:rsidR="00744A1C">
        <w:rPr>
          <w:rtl/>
          <w:lang w:bidi="fa-IR"/>
        </w:rPr>
        <w:t xml:space="preserve"> البقرة </w:t>
      </w:r>
      <w:r w:rsidR="00097CCA">
        <w:rPr>
          <w:rtl/>
          <w:lang w:bidi="fa-IR"/>
        </w:rPr>
        <w:t>(2)</w:t>
      </w:r>
      <w:r w:rsidR="00744A1C">
        <w:rPr>
          <w:rtl/>
          <w:lang w:bidi="fa-IR"/>
        </w:rPr>
        <w:t xml:space="preserve"> : 203.</w:t>
      </w:r>
    </w:p>
    <w:p w:rsidR="00150943" w:rsidRDefault="00150943" w:rsidP="00D10E3C">
      <w:pPr>
        <w:pStyle w:val="libNormal"/>
        <w:rPr>
          <w:rtl/>
          <w:lang w:bidi="fa-IR"/>
        </w:rPr>
      </w:pPr>
      <w:r>
        <w:rPr>
          <w:rtl/>
          <w:lang w:bidi="fa-IR"/>
        </w:rPr>
        <w:br w:type="page"/>
      </w:r>
    </w:p>
    <w:p w:rsidR="00744A1C" w:rsidRDefault="00BB1F8B" w:rsidP="00744A1C">
      <w:pPr>
        <w:pStyle w:val="libNormal"/>
        <w:rPr>
          <w:lang w:bidi="fa-IR"/>
        </w:rPr>
      </w:pPr>
      <w:r>
        <w:rPr>
          <w:rtl/>
          <w:lang w:bidi="fa-IR"/>
        </w:rPr>
        <w:lastRenderedPageBreak/>
        <w:t>أَحَدٌ إِل</w:t>
      </w:r>
      <w:r>
        <w:rPr>
          <w:rFonts w:hint="cs"/>
          <w:rtl/>
          <w:lang w:bidi="fa-IR"/>
        </w:rPr>
        <w:t>َّ</w:t>
      </w:r>
      <w:r>
        <w:rPr>
          <w:rtl/>
          <w:lang w:bidi="fa-IR"/>
        </w:rPr>
        <w:t>ا</w:t>
      </w:r>
      <w:r w:rsidR="00744A1C">
        <w:rPr>
          <w:rtl/>
          <w:lang w:bidi="fa-IR"/>
        </w:rPr>
        <w:t xml:space="preserve"> تَعَجَّلَ ، وَلكِنَّهُ قَالَ : </w:t>
      </w:r>
      <w:r w:rsidR="00744A1C" w:rsidRPr="00BB1F8B">
        <w:rPr>
          <w:rStyle w:val="libAlaemChar"/>
          <w:rtl/>
        </w:rPr>
        <w:t>(</w:t>
      </w:r>
      <w:r w:rsidR="00744A1C" w:rsidRPr="00BB1F8B">
        <w:rPr>
          <w:rStyle w:val="libAieChar"/>
          <w:rtl/>
        </w:rPr>
        <w:t xml:space="preserve"> وَمَنْ تَأَخَّرَ فَلا إِثْمَ عَلَيْهِ </w:t>
      </w:r>
      <w:r w:rsidR="00744A1C" w:rsidRPr="00BB1F8B">
        <w:rPr>
          <w:rStyle w:val="libAlaemChar"/>
          <w:rtl/>
        </w:rPr>
        <w:t>)</w:t>
      </w:r>
      <w:r w:rsidR="00744A1C">
        <w:rPr>
          <w:rtl/>
          <w:lang w:bidi="fa-IR"/>
        </w:rPr>
        <w:t xml:space="preserve"> ». </w:t>
      </w:r>
      <w:r w:rsidR="00744A1C" w:rsidRPr="00D10E3C">
        <w:rPr>
          <w:rStyle w:val="libFootnotenumChar"/>
          <w:rtl/>
        </w:rPr>
        <w:t>(1)</w:t>
      </w:r>
    </w:p>
    <w:p w:rsidR="00144FA6" w:rsidRDefault="00744A1C" w:rsidP="00744A1C">
      <w:pPr>
        <w:pStyle w:val="libNormal"/>
        <w:rPr>
          <w:rtl/>
          <w:lang w:bidi="fa-IR"/>
        </w:rPr>
      </w:pPr>
      <w:r>
        <w:rPr>
          <w:rtl/>
          <w:lang w:bidi="fa-IR"/>
        </w:rPr>
        <w:t xml:space="preserve">7968 / 2. أَحْمَدُ بْنُ مُحَمَّدٍ </w:t>
      </w:r>
      <w:r w:rsidRPr="00D10E3C">
        <w:rPr>
          <w:rStyle w:val="libFootnotenumChar"/>
          <w:rtl/>
        </w:rPr>
        <w:t>(2)</w:t>
      </w:r>
      <w:r>
        <w:rPr>
          <w:rtl/>
          <w:lang w:bidi="fa-IR"/>
        </w:rPr>
        <w:t xml:space="preserve"> ، عَنْ عَلِيِّ بْنِ الْحَكَمِ ، عَنْ أَبِي الْفَرَجِ ، عَنْ أَبَانِ بْنِ تَغْلِبَ ، قَالَ :</w:t>
      </w:r>
    </w:p>
    <w:p w:rsidR="00744A1C" w:rsidRDefault="00744A1C" w:rsidP="00744A1C">
      <w:pPr>
        <w:pStyle w:val="libNormal"/>
        <w:rPr>
          <w:lang w:bidi="fa-IR"/>
        </w:rPr>
      </w:pPr>
      <w:r>
        <w:rPr>
          <w:rtl/>
          <w:lang w:bidi="fa-IR"/>
        </w:rPr>
        <w:t xml:space="preserve">سَأَلْتُهُ : أَيُقَدِّمُ الرَّجُلُ رَحْلَهُ وَثَقَلَهُ </w:t>
      </w:r>
      <w:r w:rsidRPr="00D10E3C">
        <w:rPr>
          <w:rStyle w:val="libFootnotenumChar"/>
          <w:rtl/>
        </w:rPr>
        <w:t>(3)</w:t>
      </w:r>
      <w:r>
        <w:rPr>
          <w:rtl/>
          <w:lang w:bidi="fa-IR"/>
        </w:rPr>
        <w:t xml:space="preserve"> قَبْلَ النَّفْرِ </w:t>
      </w:r>
      <w:r w:rsidRPr="00D10E3C">
        <w:rPr>
          <w:rStyle w:val="libFootnotenumChar"/>
          <w:rtl/>
        </w:rPr>
        <w:t>(4)</w:t>
      </w:r>
      <w:r>
        <w:rPr>
          <w:rtl/>
          <w:lang w:bidi="fa-IR"/>
        </w:rPr>
        <w:t>؟</w:t>
      </w:r>
    </w:p>
    <w:p w:rsidR="00744A1C" w:rsidRDefault="00744A1C" w:rsidP="00744A1C">
      <w:pPr>
        <w:pStyle w:val="libNormal"/>
        <w:rPr>
          <w:lang w:bidi="fa-IR"/>
        </w:rPr>
      </w:pPr>
      <w:r>
        <w:rPr>
          <w:rtl/>
          <w:lang w:bidi="fa-IR"/>
        </w:rPr>
        <w:t xml:space="preserve">فَقَالَ : « لَا ، أَمَا يَخَافُ الَّذِي يُقَدِّمُ ثَقَلَهُ أَنْ يَحْبِسَهُ اللهُ تَعَالى </w:t>
      </w:r>
      <w:r w:rsidRPr="00D10E3C">
        <w:rPr>
          <w:rStyle w:val="libFootnotenumChar"/>
          <w:rtl/>
        </w:rPr>
        <w:t>(5)</w:t>
      </w:r>
      <w:r>
        <w:rPr>
          <w:rtl/>
          <w:lang w:bidi="fa-IR"/>
        </w:rPr>
        <w:t xml:space="preserve">؟ » قَالَ : « وَلكِنْ يُخَلِّفُ </w:t>
      </w:r>
      <w:r w:rsidRPr="00D10E3C">
        <w:rPr>
          <w:rStyle w:val="libFootnotenumChar"/>
          <w:rtl/>
        </w:rPr>
        <w:t>(6)</w:t>
      </w:r>
      <w:r>
        <w:rPr>
          <w:rtl/>
          <w:lang w:bidi="fa-IR"/>
        </w:rPr>
        <w:t xml:space="preserve"> مِنْهُ مَا شَاءَ ، لَايَدْخُلُ مَكَّةَ ».</w:t>
      </w:r>
    </w:p>
    <w:p w:rsidR="00744A1C" w:rsidRDefault="00744A1C" w:rsidP="00744A1C">
      <w:pPr>
        <w:pStyle w:val="libNormal"/>
        <w:rPr>
          <w:lang w:bidi="fa-IR"/>
        </w:rPr>
      </w:pPr>
      <w:r>
        <w:rPr>
          <w:rtl/>
          <w:lang w:bidi="fa-IR"/>
        </w:rPr>
        <w:t xml:space="preserve">قُلْتُ : أَفَأَتَعَجَّلُ مِنَ النِّسْيَانِ أَقْضِي مَنَاسِكِي ، وَأَنَا أُبَادِرُ بِهِ </w:t>
      </w:r>
      <w:r w:rsidRPr="00D10E3C">
        <w:rPr>
          <w:rStyle w:val="libFootnotenumChar"/>
          <w:rtl/>
        </w:rPr>
        <w:t>(7)</w:t>
      </w:r>
      <w:r>
        <w:rPr>
          <w:rtl/>
          <w:lang w:bidi="fa-IR"/>
        </w:rPr>
        <w:t xml:space="preserve"> إِهْلَالاً وَإِحْلَالاً؟</w:t>
      </w:r>
    </w:p>
    <w:p w:rsidR="00744A1C" w:rsidRDefault="00744A1C" w:rsidP="00744A1C">
      <w:pPr>
        <w:pStyle w:val="libNormal"/>
        <w:rPr>
          <w:lang w:bidi="fa-IR"/>
        </w:rPr>
      </w:pPr>
      <w:r>
        <w:rPr>
          <w:rtl/>
          <w:lang w:bidi="fa-IR"/>
        </w:rPr>
        <w:t xml:space="preserve">قَالَ : فَقَالَ : « لَا بَأْسَ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3539DE">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271 ، ح 927 ؛ </w:t>
      </w:r>
      <w:r w:rsidR="00744A1C" w:rsidRPr="00C24F9C">
        <w:rPr>
          <w:rStyle w:val="libFootnoteBoldChar"/>
          <w:rtl/>
        </w:rPr>
        <w:t>والاستبصار</w:t>
      </w:r>
      <w:r w:rsidR="00744A1C">
        <w:rPr>
          <w:rtl/>
          <w:lang w:bidi="fa-IR"/>
        </w:rPr>
        <w:t xml:space="preserve"> ، ج 2 ، ص 300 ، ح 1074 ، معلّقاً عن الكليني ، وفي الأخير إلى قوله : « فانفر على بركة الله ». </w:t>
      </w:r>
      <w:r w:rsidR="00744A1C" w:rsidRPr="00A914B5">
        <w:rPr>
          <w:rStyle w:val="libFootnoteBoldChar"/>
          <w:rtl/>
        </w:rPr>
        <w:t>تفسير العيّاشي</w:t>
      </w:r>
      <w:r w:rsidR="00744A1C">
        <w:rPr>
          <w:rtl/>
          <w:lang w:bidi="fa-IR"/>
        </w:rPr>
        <w:t xml:space="preserve"> ، ج 1 ، ص 99 ، ح 282 ، عن أبي أيّوب الخزّاز ، مع اختلاف يسير. راجع : </w:t>
      </w:r>
      <w:r w:rsidR="00744A1C" w:rsidRPr="00C24F9C">
        <w:rPr>
          <w:rStyle w:val="libFootnoteBoldChar"/>
          <w:rtl/>
        </w:rPr>
        <w:t>الفقيه</w:t>
      </w:r>
      <w:r w:rsidR="00744A1C">
        <w:rPr>
          <w:rtl/>
          <w:lang w:bidi="fa-IR"/>
        </w:rPr>
        <w:t xml:space="preserve"> ، ج 2 ، ص 555</w:t>
      </w:r>
      <w:r w:rsidR="003539DE">
        <w:rPr>
          <w:rFonts w:hint="cs"/>
          <w:rtl/>
          <w:lang w:bidi="fa-IR"/>
        </w:rPr>
        <w:t>.</w:t>
      </w:r>
      <w:r w:rsidR="00744A1C" w:rsidRPr="00C24F9C">
        <w:rPr>
          <w:rStyle w:val="libFootnoteBoldChar"/>
          <w:rtl/>
        </w:rPr>
        <w:t>الوافي</w:t>
      </w:r>
      <w:r w:rsidR="00744A1C">
        <w:rPr>
          <w:rtl/>
          <w:lang w:bidi="fa-IR"/>
        </w:rPr>
        <w:t xml:space="preserve"> ، ج 14 ، ص 1270 ، ح 14242 ؛ </w:t>
      </w:r>
      <w:r w:rsidR="00744A1C" w:rsidRPr="00C24F9C">
        <w:rPr>
          <w:rStyle w:val="libFootnoteBoldChar"/>
          <w:rtl/>
        </w:rPr>
        <w:t>الوسائل</w:t>
      </w:r>
      <w:r w:rsidR="00744A1C">
        <w:rPr>
          <w:rtl/>
          <w:lang w:bidi="fa-IR"/>
        </w:rPr>
        <w:t xml:space="preserve"> ، ج 14 ، ص 275 ، ح 19182 ؛ </w:t>
      </w:r>
      <w:r w:rsidR="00744A1C" w:rsidRPr="0061079A">
        <w:rPr>
          <w:rStyle w:val="libFootnoteBoldChar"/>
          <w:rtl/>
        </w:rPr>
        <w:t>البحار</w:t>
      </w:r>
      <w:r w:rsidR="00744A1C">
        <w:rPr>
          <w:rtl/>
          <w:lang w:bidi="fa-IR"/>
        </w:rPr>
        <w:t xml:space="preserve"> ، ج 2 ، ص 275 ، ح 22.</w:t>
      </w:r>
    </w:p>
    <w:p w:rsidR="00744A1C" w:rsidRDefault="00E378DD" w:rsidP="00E378DD">
      <w:pPr>
        <w:pStyle w:val="libFootnote0"/>
        <w:rPr>
          <w:lang w:bidi="fa-IR"/>
        </w:rPr>
      </w:pPr>
      <w:r>
        <w:rPr>
          <w:rtl/>
          <w:lang w:bidi="fa-IR"/>
        </w:rPr>
        <w:t>(2).</w:t>
      </w:r>
      <w:r w:rsidR="00744A1C">
        <w:rPr>
          <w:rtl/>
          <w:lang w:bidi="fa-IR"/>
        </w:rPr>
        <w:t xml:space="preserve"> السند معلّق على سابقه. ويروي عن أحمد بن محمّد ، عدّة من أصحابنا.</w:t>
      </w:r>
    </w:p>
    <w:p w:rsidR="00744A1C" w:rsidRDefault="00E378DD" w:rsidP="00CB2904">
      <w:pPr>
        <w:pStyle w:val="libFootnote0"/>
        <w:rPr>
          <w:lang w:bidi="fa-IR"/>
        </w:rPr>
      </w:pPr>
      <w:r>
        <w:rPr>
          <w:rtl/>
          <w:lang w:bidi="fa-IR"/>
        </w:rPr>
        <w:t>(3).</w:t>
      </w:r>
      <w:r w:rsidR="00E4142F">
        <w:rPr>
          <w:rtl/>
          <w:lang w:bidi="fa-IR"/>
        </w:rPr>
        <w:t xml:space="preserve"> الثَقَلُ - بالتحريك - : الم</w:t>
      </w:r>
      <w:r w:rsidR="00E4142F">
        <w:rPr>
          <w:rFonts w:hint="cs"/>
          <w:rtl/>
          <w:lang w:bidi="fa-IR"/>
        </w:rPr>
        <w:t>ـَ</w:t>
      </w:r>
      <w:r w:rsidR="00744A1C">
        <w:rPr>
          <w:rtl/>
          <w:lang w:bidi="fa-IR"/>
        </w:rPr>
        <w:t xml:space="preserve">تاع والحَشَم. راجع : </w:t>
      </w:r>
      <w:r w:rsidR="00744A1C" w:rsidRPr="00E978C3">
        <w:rPr>
          <w:rStyle w:val="libFootnoteBoldChar"/>
          <w:rtl/>
        </w:rPr>
        <w:t>ترتيب كتاب العين</w:t>
      </w:r>
      <w:r w:rsidR="00744A1C">
        <w:rPr>
          <w:rtl/>
          <w:lang w:bidi="fa-IR"/>
        </w:rPr>
        <w:t xml:space="preserve"> ، ج 1 ، ص 245 ؛ </w:t>
      </w:r>
      <w:r w:rsidR="00744A1C" w:rsidRPr="00877682">
        <w:rPr>
          <w:rStyle w:val="libFootnoteBoldChar"/>
          <w:rtl/>
        </w:rPr>
        <w:t>لسان العرب</w:t>
      </w:r>
      <w:r w:rsidR="00744A1C">
        <w:rPr>
          <w:rtl/>
          <w:lang w:bidi="fa-IR"/>
        </w:rPr>
        <w:t xml:space="preserve"> ، ج 11 ، ص 87 ( ثقل ).</w:t>
      </w:r>
      <w:r w:rsidR="00CB2904">
        <w:rPr>
          <w:rFonts w:hint="cs"/>
          <w:rtl/>
          <w:lang w:bidi="fa-IR"/>
        </w:rPr>
        <w:t xml:space="preserve">  </w:t>
      </w:r>
      <w:r w:rsidR="00097CCA">
        <w:rPr>
          <w:rFonts w:hint="cs"/>
          <w:rtl/>
          <w:lang w:bidi="fa-IR"/>
        </w:rPr>
        <w:t xml:space="preserve">                         </w:t>
      </w:r>
      <w:r w:rsidR="00CB2904">
        <w:rPr>
          <w:rFonts w:hint="cs"/>
          <w:rtl/>
          <w:lang w:bidi="fa-IR"/>
        </w:rPr>
        <w:t xml:space="preserve">   </w:t>
      </w:r>
      <w:r w:rsidR="00C86CA2">
        <w:rPr>
          <w:rFonts w:hint="cs"/>
          <w:rtl/>
          <w:lang w:bidi="fa-IR"/>
        </w:rPr>
        <w:t xml:space="preserve"> </w:t>
      </w:r>
      <w:r w:rsidR="00CB2904">
        <w:rPr>
          <w:rFonts w:hint="cs"/>
          <w:rtl/>
          <w:lang w:bidi="fa-IR"/>
        </w:rPr>
        <w:t xml:space="preserve">        </w:t>
      </w:r>
      <w:r>
        <w:rPr>
          <w:rtl/>
          <w:lang w:bidi="fa-IR"/>
        </w:rPr>
        <w:t>(4).</w:t>
      </w:r>
      <w:r w:rsidR="00744A1C">
        <w:rPr>
          <w:rtl/>
          <w:lang w:bidi="fa-IR"/>
        </w:rPr>
        <w:t xml:space="preserve"> في </w:t>
      </w:r>
      <w:r w:rsidR="00744A1C" w:rsidRPr="00C24F9C">
        <w:rPr>
          <w:rStyle w:val="libFootnoteBoldChar"/>
          <w:rtl/>
        </w:rPr>
        <w:t>الوسائل</w:t>
      </w:r>
      <w:r w:rsidR="00744A1C">
        <w:rPr>
          <w:rtl/>
          <w:lang w:bidi="fa-IR"/>
        </w:rPr>
        <w:t xml:space="preserve"> : - « قبل النفر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لعلّ الوجه في خوفه الحبس اعتماده على وصوله إليه مع أنّه ليس في يده ».</w:t>
      </w:r>
    </w:p>
    <w:tbl>
      <w:tblPr>
        <w:tblStyle w:val="TableGrid"/>
        <w:bidiVisual/>
        <w:tblW w:w="0" w:type="auto"/>
        <w:tblLook w:val="04A0" w:firstRow="1" w:lastRow="0" w:firstColumn="1" w:lastColumn="0" w:noHBand="0" w:noVBand="1"/>
      </w:tblPr>
      <w:tblGrid>
        <w:gridCol w:w="4006"/>
        <w:gridCol w:w="4006"/>
      </w:tblGrid>
      <w:tr w:rsidR="0083005C" w:rsidTr="0083005C">
        <w:tc>
          <w:tcPr>
            <w:tcW w:w="4006" w:type="dxa"/>
          </w:tcPr>
          <w:p w:rsidR="0083005C" w:rsidRDefault="0083005C" w:rsidP="00E378DD">
            <w:pPr>
              <w:pStyle w:val="libFootnote0"/>
              <w:rPr>
                <w:rtl/>
                <w:lang w:bidi="fa-IR"/>
              </w:rPr>
            </w:pPr>
            <w:r>
              <w:rPr>
                <w:rtl/>
                <w:lang w:bidi="fa-IR"/>
              </w:rPr>
              <w:t>(6). في « جن » : « يؤخّر ».</w:t>
            </w:r>
          </w:p>
        </w:tc>
        <w:tc>
          <w:tcPr>
            <w:tcW w:w="4006" w:type="dxa"/>
          </w:tcPr>
          <w:p w:rsidR="0083005C" w:rsidRDefault="005058A1" w:rsidP="00E378DD">
            <w:pPr>
              <w:pStyle w:val="libFootnote0"/>
              <w:rPr>
                <w:rtl/>
                <w:lang w:bidi="fa-IR"/>
              </w:rPr>
            </w:pPr>
            <w:r>
              <w:rPr>
                <w:rtl/>
                <w:lang w:bidi="fa-IR"/>
              </w:rPr>
              <w:t>(7). في « بخ » : « ابادره ».</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قوله : من النسيان ، يعني به من خوفه ، وينبغي تخصيصه بما لم يكن له وقت معيّن ، لا يجوز التجاوز عنه من المناسك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w:t>
      </w:r>
      <w:r w:rsidR="00FA7715">
        <w:rPr>
          <w:rtl/>
          <w:lang w:bidi="fa-IR"/>
        </w:rPr>
        <w:t>18 ، ص 213 نقلاً عن والده العل</w:t>
      </w:r>
      <w:r w:rsidR="00FA7715">
        <w:rPr>
          <w:rFonts w:hint="cs"/>
          <w:rtl/>
          <w:lang w:bidi="fa-IR"/>
        </w:rPr>
        <w:t>ّ</w:t>
      </w:r>
      <w:r w:rsidR="00FA7715">
        <w:rPr>
          <w:rtl/>
          <w:lang w:bidi="fa-IR"/>
        </w:rPr>
        <w:t>ا</w:t>
      </w:r>
      <w:r>
        <w:rPr>
          <w:rtl/>
          <w:lang w:bidi="fa-IR"/>
        </w:rPr>
        <w:t xml:space="preserve">مة </w:t>
      </w:r>
      <w:r w:rsidR="00877682" w:rsidRPr="00877682">
        <w:rPr>
          <w:rStyle w:val="libFootnoteAlaemChar"/>
          <w:rtl/>
        </w:rPr>
        <w:t>رحمه‌الله</w:t>
      </w:r>
      <w:r>
        <w:rPr>
          <w:rtl/>
          <w:lang w:bidi="fa-IR"/>
        </w:rPr>
        <w:t xml:space="preserve">: « </w:t>
      </w:r>
      <w:r w:rsidR="00F83DFD">
        <w:rPr>
          <w:rtl/>
          <w:lang w:bidi="fa-IR"/>
        </w:rPr>
        <w:t>الظاهر أنّ النهي للإرشاد ؛ لئل</w:t>
      </w:r>
      <w:r w:rsidR="00F83DFD">
        <w:rPr>
          <w:rFonts w:hint="cs"/>
          <w:rtl/>
          <w:lang w:bidi="fa-IR"/>
        </w:rPr>
        <w:t>ّ</w:t>
      </w:r>
      <w:r w:rsidR="00F83DFD">
        <w:rPr>
          <w:rtl/>
          <w:lang w:bidi="fa-IR"/>
        </w:rPr>
        <w:t>ا</w:t>
      </w:r>
      <w:r>
        <w:rPr>
          <w:rtl/>
          <w:lang w:bidi="fa-IR"/>
        </w:rPr>
        <w:t xml:space="preserve"> يعتمد على ما ليس بيده ، والمراد بالجملة الأخيرة أنّه لو نسيت في مناسكي بالتقديم أو التأخير ، فا</w:t>
      </w:r>
      <w:r w:rsidR="00DD5380">
        <w:rPr>
          <w:rFonts w:hint="cs"/>
          <w:rtl/>
          <w:lang w:bidi="fa-IR"/>
        </w:rPr>
        <w:t>ُ</w:t>
      </w:r>
      <w:r>
        <w:rPr>
          <w:rtl/>
          <w:lang w:bidi="fa-IR"/>
        </w:rPr>
        <w:t>بادر بها بعد الذكر ، هل يلزمني شي‌ء؟ أو أتعجّل مخافة النسيان ، وعلى التقديرين لابدّ من التخصيص ببعض الأعمال ».</w:t>
      </w:r>
    </w:p>
    <w:p w:rsidR="00744A1C" w:rsidRDefault="00744A1C" w:rsidP="00D10E3C">
      <w:pPr>
        <w:pStyle w:val="libFootnote0"/>
        <w:rPr>
          <w:lang w:bidi="fa-IR"/>
        </w:rPr>
      </w:pPr>
      <w:r>
        <w:rPr>
          <w:rtl/>
          <w:lang w:bidi="fa-IR"/>
        </w:rPr>
        <w:t xml:space="preserve">وفي هامش الطبعة الحجريّة من </w:t>
      </w:r>
      <w:r w:rsidRPr="0061079A">
        <w:rPr>
          <w:rStyle w:val="libFootnoteBoldChar"/>
          <w:rtl/>
        </w:rPr>
        <w:t>الكافي</w:t>
      </w:r>
      <w:r>
        <w:rPr>
          <w:rtl/>
          <w:lang w:bidi="fa-IR"/>
        </w:rPr>
        <w:t xml:space="preserve"> : « لعلّ مغزاه أتعجّل أقضي مناسكي خوفاً من النسيان ، والحال أنّ شأني أنّي ا</w:t>
      </w:r>
      <w:r w:rsidR="00516A72">
        <w:rPr>
          <w:rFonts w:hint="cs"/>
          <w:rtl/>
          <w:lang w:bidi="fa-IR"/>
        </w:rPr>
        <w:t>ُ</w:t>
      </w:r>
      <w:r>
        <w:rPr>
          <w:rtl/>
          <w:lang w:bidi="fa-IR"/>
        </w:rPr>
        <w:t>بادر بقضاء مناسكي إهلالاً وإحلالاً ، فما تأمرني؟ أتعجّل في النفر أيضاً كما في سائر المناسك ، وا</w:t>
      </w:r>
      <w:r w:rsidR="00CD74E3">
        <w:rPr>
          <w:rFonts w:hint="cs"/>
          <w:rtl/>
          <w:lang w:bidi="fa-IR"/>
        </w:rPr>
        <w:t>ُ</w:t>
      </w:r>
      <w:r>
        <w:rPr>
          <w:rtl/>
          <w:lang w:bidi="fa-IR"/>
        </w:rPr>
        <w:t xml:space="preserve">نفّر في اليوم الثاني عشر؟ فأجاب </w:t>
      </w:r>
      <w:r w:rsidR="0061079A" w:rsidRPr="0061079A">
        <w:rPr>
          <w:rStyle w:val="libFootnoteAlaemChar"/>
          <w:rtl/>
        </w:rPr>
        <w:t>عليه‌السلام</w:t>
      </w:r>
      <w:r w:rsidR="00D10E3C">
        <w:rPr>
          <w:rtl/>
          <w:lang w:bidi="fa-IR"/>
        </w:rPr>
        <w:t xml:space="preserve"> </w:t>
      </w:r>
      <w:r>
        <w:rPr>
          <w:rtl/>
          <w:lang w:bidi="fa-IR"/>
        </w:rPr>
        <w:t>بالجواز ، ويحتمل أن ي</w:t>
      </w:r>
      <w:r w:rsidR="008D602F">
        <w:rPr>
          <w:rtl/>
          <w:lang w:bidi="fa-IR"/>
        </w:rPr>
        <w:t>كون المراد أنّه لم</w:t>
      </w:r>
      <w:r w:rsidR="008D602F">
        <w:rPr>
          <w:rFonts w:hint="cs"/>
          <w:rtl/>
          <w:lang w:bidi="fa-IR"/>
        </w:rPr>
        <w:t>ـّ</w:t>
      </w:r>
      <w:r>
        <w:rPr>
          <w:rtl/>
          <w:lang w:bidi="fa-IR"/>
        </w:rPr>
        <w:t xml:space="preserve">ا نهى </w:t>
      </w:r>
      <w:r w:rsidR="0061079A" w:rsidRPr="0061079A">
        <w:rPr>
          <w:rStyle w:val="libFootnoteAlaemChar"/>
          <w:rtl/>
        </w:rPr>
        <w:t>عليه‌السلام</w:t>
      </w:r>
      <w:r w:rsidR="00D10E3C">
        <w:rPr>
          <w:rtl/>
          <w:lang w:bidi="fa-IR"/>
        </w:rPr>
        <w:t xml:space="preserve"> </w:t>
      </w:r>
      <w:r>
        <w:rPr>
          <w:rtl/>
          <w:lang w:bidi="fa-IR"/>
        </w:rPr>
        <w:t xml:space="preserve">عن التعجيل وتقديم الرحل </w:t>
      </w:r>
      <w:r w:rsidR="008D602F">
        <w:rPr>
          <w:rFonts w:hint="cs"/>
          <w:rtl/>
          <w:lang w:bidi="fa-IR"/>
        </w:rPr>
        <w:t>=</w:t>
      </w:r>
    </w:p>
    <w:p w:rsidR="00150943" w:rsidRDefault="00150943" w:rsidP="00D10E3C">
      <w:pPr>
        <w:pStyle w:val="libNormal"/>
        <w:rPr>
          <w:rtl/>
          <w:lang w:bidi="fa-IR"/>
        </w:rPr>
      </w:pPr>
      <w:r>
        <w:rPr>
          <w:rtl/>
          <w:lang w:bidi="fa-IR"/>
        </w:rPr>
        <w:br w:type="page"/>
      </w:r>
    </w:p>
    <w:p w:rsidR="00EF7194" w:rsidRDefault="00744A1C" w:rsidP="00EF7194">
      <w:pPr>
        <w:pStyle w:val="libNormal"/>
        <w:rPr>
          <w:rtl/>
          <w:lang w:bidi="fa-IR"/>
        </w:rPr>
      </w:pPr>
      <w:r>
        <w:rPr>
          <w:rtl/>
          <w:lang w:bidi="fa-IR"/>
        </w:rPr>
        <w:lastRenderedPageBreak/>
        <w:t>7969 / 3. عَلِيُّ بْنُ إِبْرَاهِيمَ ، عَنْ أَبِيهِ ؛</w:t>
      </w:r>
    </w:p>
    <w:p w:rsidR="00744A1C" w:rsidRDefault="00EF7194" w:rsidP="00EF7194">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(1)</w:t>
      </w:r>
      <w:r w:rsidR="00744A1C">
        <w:rPr>
          <w:rtl/>
          <w:lang w:bidi="fa-IR"/>
        </w:rPr>
        <w:t xml:space="preserve"> مُحَمَّدُ بْنُ إِسْمَاعِيلَ ، عَنِ الْفَضْلِ بْنِ شَاذَانَ ، عَنْ صَفْوَانَ بْنِ يَحْيى </w:t>
      </w:r>
      <w:r w:rsidR="00744A1C" w:rsidRPr="00D10E3C">
        <w:rPr>
          <w:rStyle w:val="libFootnotenumChar"/>
          <w:rtl/>
        </w:rPr>
        <w:t>(2)</w:t>
      </w:r>
      <w:r w:rsidR="00744A1C">
        <w:rPr>
          <w:rtl/>
          <w:lang w:bidi="fa-IR"/>
        </w:rPr>
        <w:t xml:space="preserve"> ، ع</w:t>
      </w:r>
      <w:r w:rsidR="005B1A7E">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أَرَدْتَ أَنْ تَنْفِرَ فِي يَوْمَيْنِ ، فَلَيْسَ لَكَ أَنْ تَنْفِرَ حَتّى تَزُولَ الشَّمْسُ ، وَإِنْ تَأَخَّرْتَ إِلى آخِرِ أَيَّامِ التَّشْرِيقِ وَهُوَ يَوْمُ النَّفْرِ الْأَخِيرِ ، فَلَا عَلَيْكَ أَيَّ سَاعَةٍ نَفَرْتَ وَرَمَيْتَ </w:t>
      </w:r>
      <w:r w:rsidRPr="00D10E3C">
        <w:rPr>
          <w:rStyle w:val="libFootnotenumChar"/>
          <w:rtl/>
        </w:rPr>
        <w:t>(3)</w:t>
      </w:r>
      <w:r>
        <w:rPr>
          <w:rtl/>
          <w:lang w:bidi="fa-IR"/>
        </w:rPr>
        <w:t xml:space="preserve"> : قَبْلَ الزَّوَالِ ، أَوْ بَعْدَهُ ؛ فَإِذَا نَفَرْتَ وَانْتَهَيْتَ إِلَى الْحَصْبَةِ </w:t>
      </w:r>
      <w:r w:rsidRPr="00D10E3C">
        <w:rPr>
          <w:rStyle w:val="libFootnotenumChar"/>
          <w:rtl/>
        </w:rPr>
        <w:t>(4)</w:t>
      </w:r>
      <w:r>
        <w:rPr>
          <w:rtl/>
          <w:lang w:bidi="fa-IR"/>
        </w:rPr>
        <w:t xml:space="preserve"> - وَهِيَ الْبَطْحَاءُ - فَشِئْتَ أَنْ تَنْزِلَ قَلِيلاً » فَإِنَّ أَبَا عَبْدِ اللهِ </w:t>
      </w:r>
      <w:r w:rsidR="0061079A" w:rsidRPr="0061079A">
        <w:rPr>
          <w:rStyle w:val="libAlaemChar"/>
          <w:rtl/>
        </w:rPr>
        <w:t>عليه‌السلام</w:t>
      </w:r>
      <w:r w:rsidR="00D10E3C">
        <w:rPr>
          <w:rtl/>
          <w:lang w:bidi="fa-IR"/>
        </w:rPr>
        <w:t xml:space="preserve"> </w:t>
      </w:r>
      <w:r>
        <w:rPr>
          <w:rtl/>
          <w:lang w:bidi="fa-IR"/>
        </w:rPr>
        <w:t xml:space="preserve">قَالَ </w:t>
      </w:r>
      <w:r w:rsidRPr="00D10E3C">
        <w:rPr>
          <w:rStyle w:val="libFootnotenumChar"/>
          <w:rtl/>
        </w:rPr>
        <w:t>(5)</w:t>
      </w:r>
      <w:r>
        <w:rPr>
          <w:rtl/>
          <w:lang w:bidi="fa-IR"/>
        </w:rPr>
        <w:t xml:space="preserve"> : « كَانَ أَبِي يَنْزِلُهَا ، ثُمَّ يَحْمِلُ فَيَدْخُلُ مَكَّةَ مِنْ غَيْرِ أَنْ يَنَامَ بِهَا </w:t>
      </w:r>
      <w:r w:rsidRPr="00D10E3C">
        <w:rPr>
          <w:rStyle w:val="libFootnotenumChar"/>
          <w:rtl/>
        </w:rPr>
        <w:t>(6)</w:t>
      </w:r>
      <w:r>
        <w:rPr>
          <w:rtl/>
          <w:lang w:bidi="fa-IR"/>
        </w:rPr>
        <w:t xml:space="preserve"> ». </w:t>
      </w:r>
      <w:r w:rsidRPr="00D10E3C">
        <w:rPr>
          <w:rStyle w:val="libFootnotenumChar"/>
          <w:rtl/>
        </w:rPr>
        <w:t>(7)</w:t>
      </w:r>
    </w:p>
    <w:p w:rsidR="00744A1C" w:rsidRDefault="00744A1C" w:rsidP="00744A1C">
      <w:pPr>
        <w:pStyle w:val="libNormal"/>
        <w:rPr>
          <w:lang w:bidi="fa-IR"/>
        </w:rPr>
      </w:pPr>
      <w:r>
        <w:rPr>
          <w:rtl/>
          <w:lang w:bidi="fa-IR"/>
        </w:rPr>
        <w:t xml:space="preserve">7970 / 4. عَلِيُّ بْنُ إِبْرَاهِيمَ </w:t>
      </w:r>
      <w:r w:rsidRPr="00D10E3C">
        <w:rPr>
          <w:rStyle w:val="libFootnotenumChar"/>
          <w:rtl/>
        </w:rPr>
        <w:t>(8)</w:t>
      </w:r>
      <w:r>
        <w:rPr>
          <w:rtl/>
          <w:lang w:bidi="fa-IR"/>
        </w:rPr>
        <w:t xml:space="preserve"> ، عَنْ أَبِيهِ ، عَنِ ابْنِ أَبِي عُمَيْرٍ </w:t>
      </w:r>
      <w:r w:rsidRPr="00D10E3C">
        <w:rPr>
          <w:rStyle w:val="libFootnotenumChar"/>
          <w:rtl/>
        </w:rPr>
        <w:t>(9)</w:t>
      </w:r>
      <w:r>
        <w:rPr>
          <w:rtl/>
          <w:lang w:bidi="fa-IR"/>
        </w:rPr>
        <w:t xml:space="preserve"> ، عَنْ</w:t>
      </w:r>
      <w:r w:rsidR="009455E4">
        <w:rPr>
          <w:rtl/>
          <w:lang w:bidi="fa-IR"/>
        </w:rPr>
        <w:t xml:space="preserve"> حَمَّادٍ ، عَنِ الْحَلَبِيِّ :</w:t>
      </w:r>
    </w:p>
    <w:p w:rsidR="00744A1C" w:rsidRDefault="00744A1C" w:rsidP="00D10E3C">
      <w:pPr>
        <w:pStyle w:val="libLine"/>
        <w:rPr>
          <w:lang w:bidi="fa-IR"/>
        </w:rPr>
      </w:pPr>
      <w:r>
        <w:rPr>
          <w:rtl/>
          <w:lang w:bidi="fa-IR"/>
        </w:rPr>
        <w:t>____________________</w:t>
      </w:r>
    </w:p>
    <w:p w:rsidR="00744A1C" w:rsidRDefault="007B17D4" w:rsidP="00D10E3C">
      <w:pPr>
        <w:pStyle w:val="libFootnote0"/>
        <w:rPr>
          <w:lang w:bidi="fa-IR"/>
        </w:rPr>
      </w:pPr>
      <w:r>
        <w:rPr>
          <w:rFonts w:hint="cs"/>
          <w:rtl/>
          <w:lang w:bidi="fa-IR"/>
        </w:rPr>
        <w:t xml:space="preserve">= </w:t>
      </w:r>
      <w:r w:rsidR="00744A1C">
        <w:rPr>
          <w:rtl/>
          <w:lang w:bidi="fa-IR"/>
        </w:rPr>
        <w:t xml:space="preserve">والثقل ، وكان حال السائل وشأنه التعجيل في قضاء مناسكه ، فهم أنّ ما فعله من التعجيل مضرّ وخطأ ، فسأل عن حاله وشأنه في قضاء مناسكه إحراماً وإحلالاً ، فأجاب </w:t>
      </w:r>
      <w:r w:rsidR="0061079A" w:rsidRPr="0061079A">
        <w:rPr>
          <w:rStyle w:val="libFootnoteAlaemChar"/>
          <w:rtl/>
        </w:rPr>
        <w:t>عليه‌السلام</w:t>
      </w:r>
      <w:r w:rsidR="00D10E3C">
        <w:rPr>
          <w:rtl/>
          <w:lang w:bidi="fa-IR"/>
        </w:rPr>
        <w:t xml:space="preserve"> </w:t>
      </w:r>
      <w:r w:rsidR="00744A1C">
        <w:rPr>
          <w:rtl/>
          <w:lang w:bidi="fa-IR"/>
        </w:rPr>
        <w:t>بأنّ ذلك غير مضرّ. والأوّل أنسب بعنوان الباب ، والثاني أقرب بالسياق ، والله أعلم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14 ، ص 1275 ، ح 14257 ؛ </w:t>
      </w:r>
      <w:r w:rsidR="00744A1C" w:rsidRPr="00C24F9C">
        <w:rPr>
          <w:rStyle w:val="libFootnoteBoldChar"/>
          <w:rtl/>
        </w:rPr>
        <w:t>الوسائل</w:t>
      </w:r>
      <w:r w:rsidR="00744A1C">
        <w:rPr>
          <w:rtl/>
          <w:lang w:bidi="fa-IR"/>
        </w:rPr>
        <w:t xml:space="preserve"> ، ج 14 ، ص 283 ، ح 19210.</w:t>
      </w:r>
    </w:p>
    <w:p w:rsidR="00744A1C" w:rsidRDefault="00D10E3C" w:rsidP="00D10E3C">
      <w:pPr>
        <w:pStyle w:val="libFootnote0"/>
        <w:rPr>
          <w:lang w:bidi="fa-IR"/>
        </w:rPr>
      </w:pPr>
      <w:r>
        <w:rPr>
          <w:rtl/>
          <w:lang w:bidi="fa-IR"/>
        </w:rPr>
        <w:t>(1).</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7B17D4" w:rsidTr="007B17D4">
        <w:tc>
          <w:tcPr>
            <w:tcW w:w="4006" w:type="dxa"/>
          </w:tcPr>
          <w:p w:rsidR="007B17D4" w:rsidRDefault="007B17D4" w:rsidP="00E378DD">
            <w:pPr>
              <w:pStyle w:val="libFootnote0"/>
              <w:rPr>
                <w:rtl/>
                <w:lang w:bidi="fa-IR"/>
              </w:rPr>
            </w:pPr>
            <w:r>
              <w:rPr>
                <w:rtl/>
                <w:lang w:bidi="fa-IR"/>
              </w:rPr>
              <w:t xml:space="preserve">(2). في </w:t>
            </w:r>
            <w:r w:rsidRPr="00C24F9C">
              <w:rPr>
                <w:rStyle w:val="libFootnoteBoldChar"/>
                <w:rtl/>
              </w:rPr>
              <w:t>التهذيب</w:t>
            </w:r>
            <w:r>
              <w:rPr>
                <w:rtl/>
                <w:lang w:bidi="fa-IR"/>
              </w:rPr>
              <w:t xml:space="preserve"> </w:t>
            </w:r>
            <w:r w:rsidRPr="00C24F9C">
              <w:rPr>
                <w:rStyle w:val="libFootnoteBoldChar"/>
                <w:rtl/>
              </w:rPr>
              <w:t>والاستبصار</w:t>
            </w:r>
            <w:r>
              <w:rPr>
                <w:rtl/>
                <w:lang w:bidi="fa-IR"/>
              </w:rPr>
              <w:t xml:space="preserve"> : - « بن يحيى ».</w:t>
            </w:r>
          </w:p>
        </w:tc>
        <w:tc>
          <w:tcPr>
            <w:tcW w:w="4006" w:type="dxa"/>
          </w:tcPr>
          <w:p w:rsidR="007B17D4" w:rsidRDefault="007B17D4" w:rsidP="00E378DD">
            <w:pPr>
              <w:pStyle w:val="libFootnote0"/>
              <w:rPr>
                <w:rtl/>
                <w:lang w:bidi="fa-IR"/>
              </w:rPr>
            </w:pPr>
            <w:r>
              <w:rPr>
                <w:rtl/>
                <w:lang w:bidi="fa-IR"/>
              </w:rPr>
              <w:t xml:space="preserve">(3). في </w:t>
            </w:r>
            <w:r w:rsidRPr="00C24F9C">
              <w:rPr>
                <w:rStyle w:val="libFootnoteBoldChar"/>
                <w:rtl/>
              </w:rPr>
              <w:t>الوسائل</w:t>
            </w:r>
            <w:r>
              <w:rPr>
                <w:rtl/>
                <w:lang w:bidi="fa-IR"/>
              </w:rPr>
              <w:t xml:space="preserve"> ، ح 19181 : - « ورميت ».</w:t>
            </w:r>
          </w:p>
        </w:tc>
      </w:tr>
    </w:tbl>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الوسائل</w:t>
      </w:r>
      <w:r w:rsidR="00744A1C">
        <w:rPr>
          <w:rtl/>
          <w:lang w:bidi="fa-IR"/>
        </w:rPr>
        <w:t xml:space="preserve"> ، ح 19212 </w:t>
      </w:r>
      <w:r w:rsidR="00744A1C" w:rsidRPr="0061079A">
        <w:rPr>
          <w:rStyle w:val="libFootnoteBoldChar"/>
          <w:rtl/>
        </w:rPr>
        <w:t>والتهذيب</w:t>
      </w:r>
      <w:r w:rsidR="00744A1C">
        <w:rPr>
          <w:rtl/>
          <w:lang w:bidi="fa-IR"/>
        </w:rPr>
        <w:t xml:space="preserve"> : « الحصباء ».</w:t>
      </w:r>
    </w:p>
    <w:p w:rsidR="00744A1C" w:rsidRDefault="00744A1C" w:rsidP="00176EC0">
      <w:pPr>
        <w:pStyle w:val="libFootnote0"/>
        <w:rPr>
          <w:lang w:bidi="fa-IR"/>
        </w:rPr>
      </w:pPr>
      <w:r>
        <w:rPr>
          <w:rtl/>
          <w:lang w:bidi="fa-IR"/>
        </w:rPr>
        <w:t xml:space="preserve">وفي </w:t>
      </w:r>
      <w:r w:rsidRPr="00C24F9C">
        <w:rPr>
          <w:rStyle w:val="libFootnoteBoldChar"/>
          <w:rtl/>
        </w:rPr>
        <w:t>الوافي</w:t>
      </w:r>
      <w:r>
        <w:rPr>
          <w:rtl/>
          <w:lang w:bidi="fa-IR"/>
        </w:rPr>
        <w:t xml:space="preserve"> : « الحَصْبَة ، ويقال : المحصب ، شعب بين مكّة ومنى ، مخرجه إلى الأبطح ، سمّي به لاجتماع الحصباء فيه ، ويقال للنزول فيه : التحصيب ». وراجع : </w:t>
      </w:r>
      <w:r w:rsidRPr="008A57EB">
        <w:rPr>
          <w:rStyle w:val="libFootnoteBoldChar"/>
          <w:rtl/>
        </w:rPr>
        <w:t>القاموس المحيط</w:t>
      </w:r>
      <w:r>
        <w:rPr>
          <w:rtl/>
          <w:lang w:bidi="fa-IR"/>
        </w:rPr>
        <w:t xml:space="preserve"> ، ج 1 ، ص 149 ؛ </w:t>
      </w:r>
      <w:r w:rsidRPr="00E978C3">
        <w:rPr>
          <w:rStyle w:val="libFootnoteBoldChar"/>
          <w:rtl/>
        </w:rPr>
        <w:t>المصباح المنير</w:t>
      </w:r>
      <w:r>
        <w:rPr>
          <w:rtl/>
          <w:lang w:bidi="fa-IR"/>
        </w:rPr>
        <w:t xml:space="preserve"> ، ص 138 ( حصب ).</w:t>
      </w:r>
      <w:r w:rsidR="00176EC0">
        <w:rPr>
          <w:rFonts w:hint="cs"/>
          <w:rtl/>
          <w:lang w:bidi="fa-IR"/>
        </w:rPr>
        <w:t xml:space="preserve">           </w:t>
      </w:r>
      <w:r w:rsidR="00097CCA">
        <w:rPr>
          <w:rFonts w:hint="cs"/>
          <w:rtl/>
          <w:lang w:bidi="fa-IR"/>
        </w:rPr>
        <w:t xml:space="preserve">                        </w:t>
      </w:r>
      <w:r w:rsidR="00176EC0">
        <w:rPr>
          <w:rFonts w:hint="cs"/>
          <w:rtl/>
          <w:lang w:bidi="fa-IR"/>
        </w:rPr>
        <w:t xml:space="preserve">              </w:t>
      </w:r>
      <w:r w:rsidR="00E378DD">
        <w:rPr>
          <w:rtl/>
          <w:lang w:bidi="fa-IR"/>
        </w:rPr>
        <w:t>(5).</w:t>
      </w:r>
      <w:r>
        <w:rPr>
          <w:rtl/>
          <w:lang w:bidi="fa-IR"/>
        </w:rPr>
        <w:t xml:space="preserve"> في </w:t>
      </w:r>
      <w:r w:rsidRPr="00C24F9C">
        <w:rPr>
          <w:rStyle w:val="libFootnoteBoldChar"/>
          <w:rtl/>
        </w:rPr>
        <w:t>الوافي</w:t>
      </w:r>
      <w:r>
        <w:rPr>
          <w:rtl/>
          <w:lang w:bidi="fa-IR"/>
        </w:rPr>
        <w:t xml:space="preserve"> : + « إنّه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التهذيب</w:t>
      </w:r>
      <w:r w:rsidR="00744A1C">
        <w:rPr>
          <w:rtl/>
          <w:lang w:bidi="fa-IR"/>
        </w:rPr>
        <w:t xml:space="preserve"> : « فيها ».</w:t>
      </w:r>
    </w:p>
    <w:p w:rsidR="00744A1C" w:rsidRDefault="00E378DD" w:rsidP="007038B2">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271 ، ح 926 ؛ </w:t>
      </w:r>
      <w:r w:rsidR="00744A1C" w:rsidRPr="00C24F9C">
        <w:rPr>
          <w:rStyle w:val="libFootnoteBoldChar"/>
          <w:rtl/>
        </w:rPr>
        <w:t>والاستبصار</w:t>
      </w:r>
      <w:r w:rsidR="00744A1C">
        <w:rPr>
          <w:rtl/>
          <w:lang w:bidi="fa-IR"/>
        </w:rPr>
        <w:t xml:space="preserve"> ، ج 2 ، ص 300 ، ح 1073 ، معلّقاً عن الكليني. </w:t>
      </w:r>
      <w:r w:rsidR="00744A1C" w:rsidRPr="00C24F9C">
        <w:rPr>
          <w:rStyle w:val="libFootnoteBoldChar"/>
          <w:rtl/>
        </w:rPr>
        <w:t>الفقيه</w:t>
      </w:r>
      <w:r w:rsidR="00744A1C">
        <w:rPr>
          <w:rtl/>
          <w:lang w:bidi="fa-IR"/>
        </w:rPr>
        <w:t xml:space="preserve"> ، ج 2 ، ص 479 ، ح 3015 ، معلّقاً عن معاوية بن عمّار ، وفي الأخيرين إلى قوله : « رميت قبل الزوال أو بعده »</w:t>
      </w:r>
      <w:r w:rsidR="007038B2">
        <w:rPr>
          <w:rFonts w:hint="cs"/>
          <w:rtl/>
          <w:lang w:bidi="fa-IR"/>
        </w:rPr>
        <w:t>.</w:t>
      </w:r>
      <w:r w:rsidR="00744A1C" w:rsidRPr="00C24F9C">
        <w:rPr>
          <w:rStyle w:val="libFootnoteBoldChar"/>
          <w:rtl/>
        </w:rPr>
        <w:t>الوافي</w:t>
      </w:r>
      <w:r w:rsidR="00744A1C">
        <w:rPr>
          <w:rtl/>
          <w:lang w:bidi="fa-IR"/>
        </w:rPr>
        <w:t xml:space="preserve"> ، ج 14 ، ص 1269 ، ح 14241 ؛ </w:t>
      </w:r>
      <w:r w:rsidR="00744A1C" w:rsidRPr="00C24F9C">
        <w:rPr>
          <w:rStyle w:val="libFootnoteBoldChar"/>
          <w:rtl/>
        </w:rPr>
        <w:t>الوسائل</w:t>
      </w:r>
      <w:r w:rsidR="00744A1C">
        <w:rPr>
          <w:rtl/>
          <w:lang w:bidi="fa-IR"/>
        </w:rPr>
        <w:t xml:space="preserve"> ، ج 14 ، ص 274 ، ح 19181 ، إلى قوله : « رميت قبل الزوال أو بعده » ؛ وفيه ، ص 284 ، ح 19212 ، من قوله : « فإذا نفرت وانتهيت إلى الحصبة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 « بن إبراهيم ».</w:t>
      </w:r>
    </w:p>
    <w:p w:rsidR="00744A1C" w:rsidRDefault="00E378DD" w:rsidP="00E378DD">
      <w:pPr>
        <w:pStyle w:val="libFootnote0"/>
        <w:rPr>
          <w:lang w:bidi="fa-IR"/>
        </w:rPr>
      </w:pPr>
      <w:r>
        <w:rPr>
          <w:rtl/>
          <w:lang w:bidi="fa-IR"/>
        </w:rPr>
        <w:t>(9).</w:t>
      </w:r>
      <w:r w:rsidR="00744A1C">
        <w:rPr>
          <w:rtl/>
          <w:lang w:bidi="fa-IR"/>
        </w:rPr>
        <w:t xml:space="preserve"> هكذا في « جر »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وهو الموافق لما ن</w:t>
      </w:r>
      <w:r w:rsidR="00916248">
        <w:rPr>
          <w:rtl/>
          <w:lang w:bidi="fa-IR"/>
        </w:rPr>
        <w:t>قله العل</w:t>
      </w:r>
      <w:r w:rsidR="00916248">
        <w:rPr>
          <w:rFonts w:hint="cs"/>
          <w:rtl/>
          <w:lang w:bidi="fa-IR"/>
        </w:rPr>
        <w:t>ّ</w:t>
      </w:r>
      <w:r w:rsidR="00916248">
        <w:rPr>
          <w:rtl/>
          <w:lang w:bidi="fa-IR"/>
        </w:rPr>
        <w:t>ا</w:t>
      </w:r>
      <w:r w:rsidR="00744A1C">
        <w:rPr>
          <w:rtl/>
          <w:lang w:bidi="fa-IR"/>
        </w:rPr>
        <w:t xml:space="preserve">مة الخبير السيّد موسى الشبيري - دام ظلّه - </w:t>
      </w:r>
      <w:r w:rsidR="00145A3E">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تَعَجَّلَ فِي يَوْمَيْنِ ، فَلَا يَنْفِرْ حَتّى تَزُولَ الشَّمْسُ ، فَإِنْ </w:t>
      </w:r>
      <w:r w:rsidRPr="00D10E3C">
        <w:rPr>
          <w:rStyle w:val="libFootnotenumChar"/>
          <w:rtl/>
        </w:rPr>
        <w:t>(1)</w:t>
      </w:r>
      <w:r>
        <w:rPr>
          <w:rtl/>
          <w:lang w:bidi="fa-IR"/>
        </w:rPr>
        <w:t xml:space="preserve"> أَدْرَكَهُ الْمَسَاءُ بَاتَ ، وَلَمْ يَنْفِرْ ». </w:t>
      </w:r>
      <w:r w:rsidRPr="00D10E3C">
        <w:rPr>
          <w:rStyle w:val="libFootnotenumChar"/>
          <w:rtl/>
        </w:rPr>
        <w:t>(2)</w:t>
      </w:r>
    </w:p>
    <w:p w:rsidR="00744A1C" w:rsidRDefault="00744A1C" w:rsidP="00744A1C">
      <w:pPr>
        <w:pStyle w:val="libNormal"/>
        <w:rPr>
          <w:lang w:bidi="fa-IR"/>
        </w:rPr>
      </w:pPr>
      <w:r>
        <w:rPr>
          <w:rtl/>
          <w:lang w:bidi="fa-IR"/>
        </w:rPr>
        <w:t xml:space="preserve">7971 / 5. عَلِيٌّ </w:t>
      </w:r>
      <w:r w:rsidRPr="00D10E3C">
        <w:rPr>
          <w:rStyle w:val="libFootnotenumChar"/>
          <w:rtl/>
        </w:rPr>
        <w:t>(3)</w:t>
      </w:r>
      <w:r>
        <w:rPr>
          <w:rtl/>
          <w:lang w:bidi="fa-IR"/>
        </w:rPr>
        <w:t xml:space="preserve"> ، عَنْ أَبِيهِ ، عَنِ ابْنِ أَبِي عُمَيْرٍ ، عَنْ مُعَاوِيَةَ بْنِ عَمَّارٍ </w:t>
      </w:r>
      <w:r w:rsidRPr="00D10E3C">
        <w:rPr>
          <w:rStyle w:val="libFootnotenumChar"/>
          <w:rtl/>
        </w:rPr>
        <w:t>(4)</w:t>
      </w:r>
      <w:r w:rsidR="0024420E">
        <w:rPr>
          <w:rFonts w:hint="cs"/>
          <w:rtl/>
          <w:lang w:bidi="fa-IR"/>
        </w:rPr>
        <w:t>:</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يُصَلِّي الْإِمَامُ </w:t>
      </w:r>
      <w:r w:rsidRPr="00D10E3C">
        <w:rPr>
          <w:rStyle w:val="libFootnotenumChar"/>
          <w:rtl/>
        </w:rPr>
        <w:t>(5)</w:t>
      </w:r>
      <w:r>
        <w:rPr>
          <w:rtl/>
          <w:lang w:bidi="fa-IR"/>
        </w:rPr>
        <w:t xml:space="preserve"> الظُّهْرَ يَوْمَ النَّفْرِ‌</w:t>
      </w:r>
    </w:p>
    <w:p w:rsidR="00744A1C" w:rsidRDefault="00744A1C" w:rsidP="00D10E3C">
      <w:pPr>
        <w:pStyle w:val="libLine"/>
        <w:rPr>
          <w:lang w:bidi="fa-IR"/>
        </w:rPr>
      </w:pPr>
      <w:r>
        <w:rPr>
          <w:rtl/>
          <w:lang w:bidi="fa-IR"/>
        </w:rPr>
        <w:t>____________________</w:t>
      </w:r>
    </w:p>
    <w:p w:rsidR="00744A1C" w:rsidRDefault="00A51900" w:rsidP="00D656CD">
      <w:pPr>
        <w:pStyle w:val="libFootnote0"/>
        <w:rPr>
          <w:lang w:bidi="fa-IR"/>
        </w:rPr>
      </w:pPr>
      <w:r>
        <w:rPr>
          <w:rFonts w:hint="cs"/>
          <w:rtl/>
          <w:lang w:bidi="fa-IR"/>
        </w:rPr>
        <w:t xml:space="preserve">= </w:t>
      </w:r>
      <w:r w:rsidR="00744A1C">
        <w:rPr>
          <w:rtl/>
          <w:lang w:bidi="fa-IR"/>
        </w:rPr>
        <w:t>من نسخة رمز عنها ب</w:t>
      </w:r>
      <w:r w:rsidR="00D656CD">
        <w:rPr>
          <w:rFonts w:hint="cs"/>
          <w:rtl/>
          <w:lang w:bidi="fa-IR"/>
        </w:rPr>
        <w:t>ـ</w:t>
      </w:r>
      <w:r w:rsidR="00744A1C">
        <w:rPr>
          <w:rtl/>
          <w:lang w:bidi="fa-IR"/>
        </w:rPr>
        <w:t xml:space="preserve"> « ش ». وفي « ى ، بث ، بح ، بخ ، بس ، بف ، جد ، جن » : + « عن معاوية بن عمّار ». وفي المطبوع : + « عن معاوية بن عمّارو ».</w:t>
      </w:r>
    </w:p>
    <w:p w:rsidR="00744A1C" w:rsidRDefault="00744A1C" w:rsidP="00D10E3C">
      <w:pPr>
        <w:pStyle w:val="libFootnote0"/>
        <w:rPr>
          <w:lang w:bidi="fa-IR"/>
        </w:rPr>
      </w:pPr>
      <w:r>
        <w:rPr>
          <w:rtl/>
          <w:lang w:bidi="fa-IR"/>
        </w:rPr>
        <w:t xml:space="preserve">هذا ، ووقوع السهو في ما ورد في أكثر النسخ واضح ، فقد روى ابن أبي عمير عن معاوية بن عمّار عن أبي عبد الله </w:t>
      </w:r>
      <w:r w:rsidR="0061079A" w:rsidRPr="0061079A">
        <w:rPr>
          <w:rStyle w:val="libFootnoteAlaemChar"/>
          <w:rtl/>
        </w:rPr>
        <w:t>عليه‌السلام</w:t>
      </w:r>
      <w:r w:rsidR="00D10E3C">
        <w:rPr>
          <w:rtl/>
          <w:lang w:bidi="fa-IR"/>
        </w:rPr>
        <w:t xml:space="preserve"> </w:t>
      </w:r>
      <w:r>
        <w:rPr>
          <w:rtl/>
          <w:lang w:bidi="fa-IR"/>
        </w:rPr>
        <w:t xml:space="preserve">في غير واحدٍ من الأسناد وظاهر هذه النسخ رواية معاوية بن عمّار عن أبي عبد الله </w:t>
      </w:r>
      <w:r w:rsidR="0061079A" w:rsidRPr="0061079A">
        <w:rPr>
          <w:rStyle w:val="libFootnoteAlaemChar"/>
          <w:rtl/>
        </w:rPr>
        <w:t>عليه‌السلام</w:t>
      </w:r>
      <w:r w:rsidR="00D10E3C">
        <w:rPr>
          <w:rtl/>
          <w:lang w:bidi="fa-IR"/>
        </w:rPr>
        <w:t xml:space="preserve"> </w:t>
      </w:r>
      <w:r>
        <w:rPr>
          <w:rtl/>
          <w:lang w:bidi="fa-IR"/>
        </w:rPr>
        <w:t>بواسطتين ، وهو باطل بالأخصّ في ما نحن فيه ، كما لا يخفى.</w:t>
      </w:r>
    </w:p>
    <w:p w:rsidR="00744A1C" w:rsidRDefault="00744A1C" w:rsidP="00D10E3C">
      <w:pPr>
        <w:pStyle w:val="libFootnote0"/>
        <w:rPr>
          <w:lang w:bidi="fa-IR"/>
        </w:rPr>
      </w:pPr>
      <w:r>
        <w:rPr>
          <w:rtl/>
          <w:lang w:bidi="fa-IR"/>
        </w:rPr>
        <w:t>وأمّا ما ورد في المطبوع ، وإن احتمل في بادئ النظر صحّته ؛ بأن يكون « عن حمّاد عن الحلبي » معطوفاً على « عن معاوية بن عمّار » فيكون في السند تحويل ، لكن بعد خلوّ النسخ من « و» قبل « عن حمّاد » ، واحتمال إضافتها توضيحاً ، ثمّ اندراجها في المتن سهواً ، لا يعتمد على هذا الاحتمال الضعيف.</w:t>
      </w:r>
    </w:p>
    <w:p w:rsidR="00744A1C" w:rsidRDefault="00744A1C" w:rsidP="00D10E3C">
      <w:pPr>
        <w:pStyle w:val="libFootnote0"/>
        <w:rPr>
          <w:lang w:bidi="fa-IR"/>
        </w:rPr>
      </w:pPr>
      <w:r>
        <w:rPr>
          <w:rtl/>
          <w:lang w:bidi="fa-IR"/>
        </w:rPr>
        <w:t>وسيأتي في ذيل السند الآتي ما يوضح الأمر أكثر من هذا ، فلاحظ.</w:t>
      </w:r>
    </w:p>
    <w:p w:rsidR="00744A1C" w:rsidRDefault="00D10E3C" w:rsidP="00D10E3C">
      <w:pPr>
        <w:pStyle w:val="libFootnote0"/>
        <w:rPr>
          <w:lang w:bidi="fa-IR"/>
        </w:rPr>
      </w:pPr>
      <w:r>
        <w:rPr>
          <w:rtl/>
          <w:lang w:bidi="fa-IR"/>
        </w:rPr>
        <w:t>(1).</w:t>
      </w:r>
      <w:r w:rsidR="00744A1C">
        <w:rPr>
          <w:rtl/>
          <w:lang w:bidi="fa-IR"/>
        </w:rPr>
        <w:t xml:space="preserve"> في « بس » : « فإذا ».</w:t>
      </w:r>
    </w:p>
    <w:p w:rsidR="00744A1C" w:rsidRDefault="00E378DD" w:rsidP="00050C11">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272 ، ح 929 ، معلّقاً عن الكليني</w:t>
      </w:r>
      <w:r w:rsidR="000368BD">
        <w:rPr>
          <w:rFonts w:hint="cs"/>
          <w:rtl/>
          <w:lang w:bidi="fa-IR"/>
        </w:rPr>
        <w:t>.</w:t>
      </w:r>
      <w:r w:rsidR="00744A1C" w:rsidRPr="00C24F9C">
        <w:rPr>
          <w:rStyle w:val="libFootnoteBoldChar"/>
          <w:rtl/>
        </w:rPr>
        <w:t>الوافي</w:t>
      </w:r>
      <w:r w:rsidR="00744A1C">
        <w:rPr>
          <w:rtl/>
          <w:lang w:bidi="fa-IR"/>
        </w:rPr>
        <w:t xml:space="preserve"> ، ج 14 ، ص 1270 ، ح 14243 ؛ </w:t>
      </w:r>
      <w:r w:rsidR="00744A1C" w:rsidRPr="00C24F9C">
        <w:rPr>
          <w:rStyle w:val="libFootnoteBoldChar"/>
          <w:rtl/>
        </w:rPr>
        <w:t>الوسائل</w:t>
      </w:r>
      <w:r w:rsidR="00744A1C">
        <w:rPr>
          <w:rtl/>
          <w:lang w:bidi="fa-IR"/>
        </w:rPr>
        <w:t xml:space="preserve"> ، ج 14 ، ص 277 ، ح 19191.</w:t>
      </w:r>
      <w:r w:rsidR="00050C11">
        <w:rPr>
          <w:rFonts w:hint="cs"/>
          <w:rtl/>
          <w:lang w:bidi="fa-IR"/>
        </w:rPr>
        <w:t xml:space="preserve">      </w:t>
      </w:r>
      <w:r>
        <w:rPr>
          <w:rtl/>
          <w:lang w:bidi="fa-IR"/>
        </w:rPr>
        <w:t>(3).</w:t>
      </w:r>
      <w:r w:rsidR="00744A1C">
        <w:rPr>
          <w:rtl/>
          <w:lang w:bidi="fa-IR"/>
        </w:rPr>
        <w:t xml:space="preserve"> في « بس ، جد ، جن » : + « بن إبراهيم ».</w:t>
      </w:r>
    </w:p>
    <w:p w:rsidR="00744A1C" w:rsidRDefault="00E378DD" w:rsidP="00E378DD">
      <w:pPr>
        <w:pStyle w:val="libFootnote0"/>
        <w:rPr>
          <w:lang w:bidi="fa-IR"/>
        </w:rPr>
      </w:pPr>
      <w:r>
        <w:rPr>
          <w:rtl/>
          <w:lang w:bidi="fa-IR"/>
        </w:rPr>
        <w:t>(4).</w:t>
      </w:r>
      <w:r w:rsidR="00744A1C">
        <w:rPr>
          <w:rtl/>
          <w:lang w:bidi="fa-IR"/>
        </w:rPr>
        <w:t xml:space="preserve"> هكذا في « جر » </w:t>
      </w:r>
      <w:r w:rsidR="00744A1C" w:rsidRPr="0061079A">
        <w:rPr>
          <w:rStyle w:val="libFootnoteBoldChar"/>
          <w:rtl/>
        </w:rPr>
        <w:t>والتهذيب</w:t>
      </w:r>
      <w:r w:rsidR="00744A1C">
        <w:rPr>
          <w:rtl/>
          <w:lang w:bidi="fa-IR"/>
        </w:rPr>
        <w:t>. وفي « ى ، بث ، بح ، بخ ، بس ، بف ، جد » والمطبوع و</w:t>
      </w:r>
      <w:r w:rsidR="00744A1C" w:rsidRPr="00C24F9C">
        <w:rPr>
          <w:rStyle w:val="libFootnoteBoldChar"/>
          <w:rtl/>
        </w:rPr>
        <w:t>الوسائل</w:t>
      </w:r>
      <w:r w:rsidR="00744A1C">
        <w:rPr>
          <w:rtl/>
          <w:lang w:bidi="fa-IR"/>
        </w:rPr>
        <w:t xml:space="preserve"> : « عن حمّاد ، عن الحلبي » بدل « عن معاوية بن عمّار ». وفي « جن » : « عن معاوية بن عمّار ، عن حمّاد ».</w:t>
      </w:r>
    </w:p>
    <w:p w:rsidR="00744A1C" w:rsidRDefault="00744A1C" w:rsidP="00D10E3C">
      <w:pPr>
        <w:pStyle w:val="libFootnote0"/>
        <w:rPr>
          <w:lang w:bidi="fa-IR"/>
        </w:rPr>
      </w:pPr>
      <w:r>
        <w:rPr>
          <w:rtl/>
          <w:lang w:bidi="fa-IR"/>
        </w:rPr>
        <w:t>والمظنون أنّ ما أثبتناه هو الصواب ، ويظهر ذلك بالتأمّل في سندنا هذا والسند السابق ، وما ورد في المخطوطات. توضيح ذلك : وردت في كثيرٍ من الأسناد جدّاً رواية عليّ [ بن إبراهيم ] عن أبيه عن ابن أبي عمير عن حمّاد عن الحلبي ، وهذا النحو من الكثرة قد أوجب تحريفاتٍ عديدةً في الأسناد ، وقد مرّ أمثلتها مراراً.</w:t>
      </w:r>
    </w:p>
    <w:p w:rsidR="00744A1C" w:rsidRDefault="00744A1C" w:rsidP="00D10E3C">
      <w:pPr>
        <w:pStyle w:val="libFootnote0"/>
        <w:rPr>
          <w:lang w:bidi="fa-IR"/>
        </w:rPr>
      </w:pPr>
      <w:r>
        <w:rPr>
          <w:rtl/>
          <w:lang w:bidi="fa-IR"/>
        </w:rPr>
        <w:t xml:space="preserve">إذا تبيّن هذا ، فنقول : الظاهر أنّ الأصل في السند كان « عليّ ، عن أبيه ، عن ابن أبي عمير ، عن معاوية بن عمّار » - كما في « جر » </w:t>
      </w:r>
      <w:r w:rsidRPr="0061079A">
        <w:rPr>
          <w:rStyle w:val="libFootnoteBoldChar"/>
          <w:rtl/>
        </w:rPr>
        <w:t>والتهذيب</w:t>
      </w:r>
      <w:r>
        <w:rPr>
          <w:rtl/>
          <w:lang w:bidi="fa-IR"/>
        </w:rPr>
        <w:t xml:space="preserve"> - وقد سبق قلم الناسخ إلى « حمّاد ، عن الحلبي » بدل « معاوية بن عمّار » ؛ لاشتهار هذا الارتباط ، ولِقُرب ذكره في سند الحديث المتقدّم عليه ، ثمّ كُتب « معاوية بن عمّار » في حاشية النسخ تصحيحاً لهذا التحريف ، وقد اندرج في الاستنساخات التالية في غير موضعه لتكرار عبارة « ابن أبي عمير ، عن حمّاد ، عن الحلبي » وقُرب ذكرهما. وهذا أمر غيرُ خفيّ على من له أدنى ممارسة بالنسخ الخطّيّة.</w:t>
      </w:r>
    </w:p>
    <w:p w:rsidR="00744A1C" w:rsidRDefault="00E378DD" w:rsidP="00E378DD">
      <w:pPr>
        <w:pStyle w:val="libFootnote0"/>
        <w:rPr>
          <w:lang w:bidi="fa-IR"/>
        </w:rPr>
      </w:pPr>
      <w:r>
        <w:rPr>
          <w:rtl/>
          <w:lang w:bidi="fa-IR"/>
        </w:rPr>
        <w:t>(5).</w:t>
      </w:r>
      <w:r w:rsidR="00744A1C">
        <w:rPr>
          <w:rtl/>
          <w:lang w:bidi="fa-IR"/>
        </w:rPr>
        <w:t xml:space="preserve"> في هامش المطبوع : « يعني أمير الحاجّ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بِمَكَّةَ </w:t>
      </w:r>
      <w:r w:rsidRPr="00D10E3C">
        <w:rPr>
          <w:rStyle w:val="libFootnotenumChar"/>
          <w:rtl/>
        </w:rPr>
        <w:t>(1)</w:t>
      </w:r>
      <w:r>
        <w:rPr>
          <w:rtl/>
          <w:lang w:bidi="fa-IR"/>
        </w:rPr>
        <w:t xml:space="preserve"> ». </w:t>
      </w:r>
      <w:r w:rsidRPr="00D10E3C">
        <w:rPr>
          <w:rStyle w:val="libFootnotenumChar"/>
          <w:rtl/>
        </w:rPr>
        <w:t>(2)</w:t>
      </w:r>
    </w:p>
    <w:p w:rsidR="00744A1C" w:rsidRDefault="00744A1C" w:rsidP="00744A1C">
      <w:pPr>
        <w:pStyle w:val="libNormal"/>
        <w:rPr>
          <w:lang w:bidi="fa-IR"/>
        </w:rPr>
      </w:pPr>
      <w:r>
        <w:rPr>
          <w:rtl/>
          <w:lang w:bidi="fa-IR"/>
        </w:rPr>
        <w:t>7972 / 6. عَلِيُّ بْنُ إِبْرَاهِيمَ ، عَنْ أَبِيهِ ، عَنِ ابْنِ أَبِي عُمَيْرٍ</w:t>
      </w:r>
      <w:r w:rsidR="00894C25">
        <w:rPr>
          <w:rtl/>
          <w:lang w:bidi="fa-IR"/>
        </w:rPr>
        <w:t xml:space="preserve"> ، عَنْ جَمِيلِ بْنِ دَرَّاجٍ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بَأْسَ أَنْ </w:t>
      </w:r>
      <w:r w:rsidRPr="00D10E3C">
        <w:rPr>
          <w:rStyle w:val="libFootnotenumChar"/>
          <w:rtl/>
        </w:rPr>
        <w:t>(3)</w:t>
      </w:r>
      <w:r>
        <w:rPr>
          <w:rtl/>
          <w:lang w:bidi="fa-IR"/>
        </w:rPr>
        <w:t xml:space="preserve"> يَنْفِرَ الرَّجُلُ فِي النَّفْرِ الْأَ</w:t>
      </w:r>
      <w:r w:rsidR="00097CCA">
        <w:rPr>
          <w:rtl/>
          <w:lang w:bidi="fa-IR"/>
        </w:rPr>
        <w:t>وَّلِ ، ثُمَّ يُقِيمُ بِمَكَّةَ</w:t>
      </w:r>
      <w:r>
        <w:rPr>
          <w:rtl/>
          <w:lang w:bidi="fa-IR"/>
        </w:rPr>
        <w:t>».</w:t>
      </w:r>
      <w:r w:rsidRPr="00D10E3C">
        <w:rPr>
          <w:rStyle w:val="libFootnotenumChar"/>
          <w:rtl/>
        </w:rPr>
        <w:t>(4)</w:t>
      </w:r>
    </w:p>
    <w:p w:rsidR="00744A1C" w:rsidRDefault="00744A1C" w:rsidP="00744A1C">
      <w:pPr>
        <w:pStyle w:val="libNormal"/>
        <w:rPr>
          <w:lang w:bidi="fa-IR"/>
        </w:rPr>
      </w:pPr>
      <w:r>
        <w:rPr>
          <w:rtl/>
          <w:lang w:bidi="fa-IR"/>
        </w:rPr>
        <w:t xml:space="preserve">7973 / 7. مُحَمَّدُ بْنُ إِسْمَاعِيلَ ، عَنِ الْفَضْلِ بْنِ شَاذَانَ ، عَنْ صَفْوَانَ بْنِ يَحْيى </w:t>
      </w:r>
      <w:r w:rsidRPr="00D10E3C">
        <w:rPr>
          <w:rStyle w:val="libFootnotenumChar"/>
          <w:rtl/>
        </w:rPr>
        <w:t>(5)</w:t>
      </w:r>
      <w:r>
        <w:rPr>
          <w:rtl/>
          <w:lang w:bidi="fa-IR"/>
        </w:rPr>
        <w:t xml:space="preserve"> ، ع</w:t>
      </w:r>
      <w:r w:rsidR="00C30144">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نَفَرْتَ فِي النَّفْرِ الْأَوَّلِ </w:t>
      </w:r>
      <w:r w:rsidRPr="00D10E3C">
        <w:rPr>
          <w:rStyle w:val="libFootnotenumChar"/>
          <w:rtl/>
        </w:rPr>
        <w:t>(6)</w:t>
      </w:r>
      <w:r>
        <w:rPr>
          <w:rtl/>
          <w:lang w:bidi="fa-IR"/>
        </w:rPr>
        <w:t xml:space="preserve"> ، فَإِنْ شِئْتَ أَنْ تُقِيمَ بِمَكَّةَ وَتَبِيتَ بِهَا ، فَلَا بَأْسَ بِذلِكَ ».</w:t>
      </w:r>
    </w:p>
    <w:p w:rsidR="00744A1C" w:rsidRDefault="00744A1C" w:rsidP="00744A1C">
      <w:pPr>
        <w:pStyle w:val="libNormal"/>
        <w:rPr>
          <w:lang w:bidi="fa-IR"/>
        </w:rPr>
      </w:pPr>
      <w:r>
        <w:rPr>
          <w:rtl/>
          <w:lang w:bidi="fa-IR"/>
        </w:rPr>
        <w:t xml:space="preserve">قَالَ : وَقَالَ : « إِذَا جَاءَ اللَّيْلُ بَعْدَ النَّفْرِ الْأَوَّلِ ، فَبِتْ بِمِنًى ، وَلَيْسَ </w:t>
      </w:r>
      <w:r w:rsidRPr="00D10E3C">
        <w:rPr>
          <w:rStyle w:val="libFootnotenumChar"/>
          <w:rtl/>
        </w:rPr>
        <w:t>(7)</w:t>
      </w:r>
      <w:r>
        <w:rPr>
          <w:rtl/>
          <w:lang w:bidi="fa-IR"/>
        </w:rPr>
        <w:t xml:space="preserve"> لَكَ أَنْ تَخْرُجَ مِنْهَا حَتّى تُصْبِحَ ». </w:t>
      </w:r>
      <w:r w:rsidRPr="00D10E3C">
        <w:rPr>
          <w:rStyle w:val="libFootnotenumChar"/>
          <w:rtl/>
        </w:rPr>
        <w:t>(8)</w:t>
      </w:r>
    </w:p>
    <w:p w:rsidR="00744A1C" w:rsidRDefault="00744A1C" w:rsidP="00744A1C">
      <w:pPr>
        <w:pStyle w:val="libNormal"/>
        <w:rPr>
          <w:lang w:bidi="fa-IR"/>
        </w:rPr>
      </w:pPr>
      <w:r>
        <w:rPr>
          <w:rtl/>
          <w:lang w:bidi="fa-IR"/>
        </w:rPr>
        <w:t>7974 / 8. مُحَمَّدُ بْنُ يَحْيى ، عَنْ عَبْدِ اللهِ بْنِ جَعْفَرٍ ، عَن</w:t>
      </w:r>
      <w:r w:rsidR="00966590">
        <w:rPr>
          <w:rtl/>
          <w:lang w:bidi="fa-IR"/>
        </w:rPr>
        <w:t>ْ أَيُّوبَ بْنِ نُوحٍ ، قَالَ :</w:t>
      </w:r>
    </w:p>
    <w:p w:rsidR="00744A1C" w:rsidRDefault="00744A1C" w:rsidP="00744A1C">
      <w:pPr>
        <w:pStyle w:val="libNormal"/>
        <w:rPr>
          <w:lang w:bidi="fa-IR"/>
        </w:rPr>
      </w:pPr>
      <w:r>
        <w:rPr>
          <w:rtl/>
          <w:lang w:bidi="fa-IR"/>
        </w:rPr>
        <w:t xml:space="preserve">كَتَبْتُ إِلَيْهِ : أَنَّ </w:t>
      </w:r>
      <w:r w:rsidRPr="00D10E3C">
        <w:rPr>
          <w:rStyle w:val="libFootnotenumChar"/>
          <w:rtl/>
        </w:rPr>
        <w:t>(9)</w:t>
      </w:r>
      <w:r>
        <w:rPr>
          <w:rtl/>
          <w:lang w:bidi="fa-IR"/>
        </w:rPr>
        <w:t xml:space="preserve"> أَصْحَابَنَا قَدِ اخْتَلَفُوا عَلَيْنَا ، فَقَالَ بَعْضُهُمْ : إِنَّ النَّفْرَ يَوْمَ الْأَخِيرِ بَعْدَ‌</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متن الحديث الخامس في « جن » هو متن الحديث الرابع فيها وبالعكس ، وأمّا السندين فكما في المتن.</w:t>
      </w:r>
    </w:p>
    <w:p w:rsidR="00744A1C" w:rsidRDefault="00E378DD" w:rsidP="00D2353C">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273 ، ح 934 ، معلّقاً عن الكليني</w:t>
      </w:r>
      <w:r w:rsidR="00966590">
        <w:rPr>
          <w:rFonts w:hint="cs"/>
          <w:rtl/>
          <w:lang w:bidi="fa-IR"/>
        </w:rPr>
        <w:t>.</w:t>
      </w:r>
      <w:r w:rsidR="00744A1C" w:rsidRPr="00C24F9C">
        <w:rPr>
          <w:rStyle w:val="libFootnoteBoldChar"/>
          <w:rtl/>
        </w:rPr>
        <w:t>الوافي</w:t>
      </w:r>
      <w:r w:rsidR="00744A1C">
        <w:rPr>
          <w:rtl/>
          <w:lang w:bidi="fa-IR"/>
        </w:rPr>
        <w:t xml:space="preserve"> ، ج 14 ، ص 1271 ، ح 14245 ؛ </w:t>
      </w:r>
      <w:r w:rsidR="00744A1C" w:rsidRPr="00C24F9C">
        <w:rPr>
          <w:rStyle w:val="libFootnoteBoldChar"/>
          <w:rtl/>
        </w:rPr>
        <w:t>الوسائل</w:t>
      </w:r>
      <w:r w:rsidR="00744A1C">
        <w:rPr>
          <w:rtl/>
          <w:lang w:bidi="fa-IR"/>
        </w:rPr>
        <w:t xml:space="preserve"> ، ج 14 ، ص 281 ، ح 19207.</w:t>
      </w:r>
      <w:r w:rsidR="00D2353C">
        <w:rPr>
          <w:rFonts w:hint="cs"/>
          <w:rtl/>
          <w:lang w:bidi="fa-IR"/>
        </w:rPr>
        <w:t xml:space="preserve">                      </w:t>
      </w:r>
      <w:r>
        <w:rPr>
          <w:rtl/>
          <w:lang w:bidi="fa-IR"/>
        </w:rPr>
        <w:t>(3).</w:t>
      </w:r>
      <w:r w:rsidR="00744A1C">
        <w:rPr>
          <w:rtl/>
          <w:lang w:bidi="fa-IR"/>
        </w:rPr>
        <w:t xml:space="preserve"> في « ى » : « بأن ».</w:t>
      </w:r>
    </w:p>
    <w:p w:rsidR="00744A1C" w:rsidRDefault="00E378DD" w:rsidP="00E60BCE">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274 ، ح 938 ، بسنده عن محمّد بن أبي عمير. </w:t>
      </w:r>
      <w:r w:rsidR="00744A1C" w:rsidRPr="00C24F9C">
        <w:rPr>
          <w:rStyle w:val="libFootnoteBoldChar"/>
          <w:rtl/>
        </w:rPr>
        <w:t>الفقيه</w:t>
      </w:r>
      <w:r w:rsidR="00744A1C">
        <w:rPr>
          <w:rtl/>
          <w:lang w:bidi="fa-IR"/>
        </w:rPr>
        <w:t xml:space="preserve"> ، ج 2 ، ص 481 ، صدر ح 3025 ، معلّقاً عن جميل بن درّاج</w:t>
      </w:r>
      <w:r w:rsidR="00E60BCE">
        <w:rPr>
          <w:rFonts w:hint="cs"/>
          <w:rtl/>
          <w:lang w:bidi="fa-IR"/>
        </w:rPr>
        <w:t>.</w:t>
      </w:r>
      <w:r w:rsidR="00744A1C" w:rsidRPr="00C24F9C">
        <w:rPr>
          <w:rStyle w:val="libFootnoteBoldChar"/>
          <w:rtl/>
        </w:rPr>
        <w:t>الوافي</w:t>
      </w:r>
      <w:r w:rsidR="00744A1C">
        <w:rPr>
          <w:rtl/>
          <w:lang w:bidi="fa-IR"/>
        </w:rPr>
        <w:t xml:space="preserve"> ، ج 14 ، ص 1272 ، ح 14248 ؛ </w:t>
      </w:r>
      <w:r w:rsidR="00744A1C" w:rsidRPr="00C24F9C">
        <w:rPr>
          <w:rStyle w:val="libFootnoteBoldChar"/>
          <w:rtl/>
        </w:rPr>
        <w:t>الوسائل</w:t>
      </w:r>
      <w:r w:rsidR="00744A1C">
        <w:rPr>
          <w:rtl/>
          <w:lang w:bidi="fa-IR"/>
        </w:rPr>
        <w:t xml:space="preserve"> ، ج 14 ، ص 274 ، ح 19179 ؛ وص 278 ، ذيل ح 19193.</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الوسائل</w:t>
      </w:r>
      <w:r w:rsidR="00744A1C">
        <w:rPr>
          <w:rtl/>
          <w:lang w:bidi="fa-IR"/>
        </w:rPr>
        <w:t xml:space="preserve"> : « صفوان وابن أبي عمير » بدل « صفوان بن يحيى ».</w:t>
      </w:r>
    </w:p>
    <w:p w:rsidR="00744A1C" w:rsidRDefault="00E378DD" w:rsidP="00E378DD">
      <w:pPr>
        <w:pStyle w:val="libFootnote0"/>
        <w:rPr>
          <w:lang w:bidi="fa-IR"/>
        </w:rPr>
      </w:pPr>
      <w:r>
        <w:rPr>
          <w:rtl/>
          <w:lang w:bidi="fa-IR"/>
        </w:rPr>
        <w:t>(6).</w:t>
      </w:r>
      <w:r w:rsidR="00744A1C">
        <w:rPr>
          <w:rtl/>
          <w:lang w:bidi="fa-IR"/>
        </w:rPr>
        <w:t xml:space="preserve"> في « ى » : - « الأوّل ».</w:t>
      </w:r>
    </w:p>
    <w:p w:rsidR="00744A1C" w:rsidRDefault="00E378DD" w:rsidP="00E378DD">
      <w:pPr>
        <w:pStyle w:val="libFootnote0"/>
        <w:rPr>
          <w:lang w:bidi="fa-IR"/>
        </w:rPr>
      </w:pPr>
      <w:r>
        <w:rPr>
          <w:rtl/>
          <w:lang w:bidi="fa-IR"/>
        </w:rPr>
        <w:t>(7).</w:t>
      </w:r>
      <w:r w:rsidR="00744A1C">
        <w:rPr>
          <w:rtl/>
          <w:lang w:bidi="fa-IR"/>
        </w:rPr>
        <w:t xml:space="preserve"> في « بس » و</w:t>
      </w:r>
      <w:r w:rsidR="00744A1C" w:rsidRPr="00C24F9C">
        <w:rPr>
          <w:rStyle w:val="libFootnoteBoldChar"/>
          <w:rtl/>
        </w:rPr>
        <w:t>الوسائل</w:t>
      </w:r>
      <w:r w:rsidR="00744A1C">
        <w:rPr>
          <w:rtl/>
          <w:lang w:bidi="fa-IR"/>
        </w:rPr>
        <w:t xml:space="preserve"> : « فليس ». وفي </w:t>
      </w:r>
      <w:r w:rsidR="00744A1C" w:rsidRPr="0061079A">
        <w:rPr>
          <w:rStyle w:val="libFootnoteBoldChar"/>
          <w:rtl/>
        </w:rPr>
        <w:t>البحار</w:t>
      </w:r>
      <w:r w:rsidR="00744A1C">
        <w:rPr>
          <w:rtl/>
          <w:lang w:bidi="fa-IR"/>
        </w:rPr>
        <w:t xml:space="preserve"> : « ليس » بدون الواو.</w:t>
      </w:r>
    </w:p>
    <w:p w:rsidR="00744A1C" w:rsidRDefault="00E378DD" w:rsidP="00B66C66">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272 ، ح 930 ، معلّقاً عن الكليني</w:t>
      </w:r>
      <w:r w:rsidR="00B66C66">
        <w:rPr>
          <w:rFonts w:hint="cs"/>
          <w:rtl/>
          <w:lang w:bidi="fa-IR"/>
        </w:rPr>
        <w:t>.</w:t>
      </w:r>
      <w:r w:rsidR="00744A1C" w:rsidRPr="00C24F9C">
        <w:rPr>
          <w:rStyle w:val="libFootnoteBoldChar"/>
          <w:rtl/>
        </w:rPr>
        <w:t>الوافي</w:t>
      </w:r>
      <w:r w:rsidR="00744A1C">
        <w:rPr>
          <w:rtl/>
          <w:lang w:bidi="fa-IR"/>
        </w:rPr>
        <w:t xml:space="preserve"> ، ج 14 ، ص 1273 ، ح 14249 ؛ </w:t>
      </w:r>
      <w:r w:rsidR="00744A1C" w:rsidRPr="00C24F9C">
        <w:rPr>
          <w:rStyle w:val="libFootnoteBoldChar"/>
          <w:rtl/>
        </w:rPr>
        <w:t>الوسائل</w:t>
      </w:r>
      <w:r w:rsidR="00744A1C">
        <w:rPr>
          <w:rtl/>
          <w:lang w:bidi="fa-IR"/>
        </w:rPr>
        <w:t xml:space="preserve"> ، ج 14 ، ص 277 ، ح 19192 ؛ </w:t>
      </w:r>
      <w:r w:rsidR="00744A1C" w:rsidRPr="0061079A">
        <w:rPr>
          <w:rStyle w:val="libFootnoteBoldChar"/>
          <w:rtl/>
        </w:rPr>
        <w:t>البحار</w:t>
      </w:r>
      <w:r w:rsidR="00744A1C">
        <w:rPr>
          <w:rtl/>
          <w:lang w:bidi="fa-IR"/>
        </w:rPr>
        <w:t xml:space="preserve"> ، ج 83 ، ص 89 ، من قوله : « إذا جاء الليل ».</w:t>
      </w:r>
    </w:p>
    <w:p w:rsidR="00744A1C" w:rsidRDefault="00E378DD" w:rsidP="00E378DD">
      <w:pPr>
        <w:pStyle w:val="libFootnote0"/>
        <w:rPr>
          <w:lang w:bidi="fa-IR"/>
        </w:rPr>
      </w:pPr>
      <w:r>
        <w:rPr>
          <w:rtl/>
          <w:lang w:bidi="fa-IR"/>
        </w:rPr>
        <w:t>(9).</w:t>
      </w:r>
      <w:r w:rsidR="00744A1C">
        <w:rPr>
          <w:rtl/>
          <w:lang w:bidi="fa-IR"/>
        </w:rPr>
        <w:t xml:space="preserve"> في « بخ ، بف » : + « بعض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الزَّوَالِ أَفْضَلُ ، وَقَالَ بَعْضُهُمْ : قَبْلَ الزَّوَالِ.</w:t>
      </w:r>
    </w:p>
    <w:p w:rsidR="00144FA6" w:rsidRDefault="00744A1C" w:rsidP="00450542">
      <w:pPr>
        <w:pStyle w:val="libNormal"/>
        <w:rPr>
          <w:rtl/>
          <w:lang w:bidi="fa-IR"/>
        </w:rPr>
      </w:pPr>
      <w:r>
        <w:rPr>
          <w:rtl/>
          <w:lang w:bidi="fa-IR"/>
        </w:rPr>
        <w:t xml:space="preserve">فَكَتَبَ : « أَمَا عَلِمْتَ أَنَّ رَسُولَ اللهِ </w:t>
      </w:r>
      <w:r w:rsidR="00450542" w:rsidRPr="00450542">
        <w:rPr>
          <w:rStyle w:val="libAlaemChar"/>
          <w:rFonts w:eastAsiaTheme="minorHAnsi"/>
          <w:rtl/>
        </w:rPr>
        <w:t>صلى‌الله‌عليه‌وآله</w:t>
      </w:r>
      <w:r w:rsidR="00450542" w:rsidRPr="0041234E">
        <w:rPr>
          <w:rFonts w:eastAsiaTheme="minorHAnsi"/>
          <w:rtl/>
        </w:rPr>
        <w:t xml:space="preserve"> </w:t>
      </w:r>
      <w:r>
        <w:rPr>
          <w:rtl/>
          <w:lang w:bidi="fa-IR"/>
        </w:rPr>
        <w:t>صَلَّى الظُّهْرَ وَالْعَصْرَ بِمَ</w:t>
      </w:r>
      <w:r w:rsidR="00450542">
        <w:rPr>
          <w:rtl/>
          <w:lang w:bidi="fa-IR"/>
        </w:rPr>
        <w:t>كَّةَ؟ وَلَايَكُونُ ذلِكَ إِل</w:t>
      </w:r>
      <w:r w:rsidR="00450542">
        <w:rPr>
          <w:rFonts w:hint="cs"/>
          <w:rtl/>
          <w:lang w:bidi="fa-IR"/>
        </w:rPr>
        <w:t>َّ</w:t>
      </w:r>
      <w:r w:rsidR="00450542">
        <w:rPr>
          <w:rtl/>
          <w:lang w:bidi="fa-IR"/>
        </w:rPr>
        <w:t>ا</w:t>
      </w:r>
      <w:r>
        <w:rPr>
          <w:rtl/>
          <w:lang w:bidi="fa-IR"/>
        </w:rPr>
        <w:t xml:space="preserve"> وَقَدْ نَفَرَ قَبْلَ الزَّوَالِ ». </w:t>
      </w:r>
      <w:r w:rsidRPr="00D10E3C">
        <w:rPr>
          <w:rStyle w:val="libFootnotenumChar"/>
          <w:rtl/>
        </w:rPr>
        <w:t>(1)</w:t>
      </w:r>
    </w:p>
    <w:p w:rsidR="00744A1C" w:rsidRDefault="00744A1C" w:rsidP="00744A1C">
      <w:pPr>
        <w:pStyle w:val="libNormal"/>
        <w:rPr>
          <w:lang w:bidi="fa-IR"/>
        </w:rPr>
      </w:pPr>
      <w:r>
        <w:rPr>
          <w:rtl/>
          <w:lang w:bidi="fa-IR"/>
        </w:rPr>
        <w:t>7975 / 9. عِدَّةٌ مِنْ أَصْحَابِنَا ، عَنْ سَهْلِ بْنِ زِيَادٍ ، عَنْ مَنْصُورِ بْنِ الْعَبَّاسِ ، عَنْ عَلِيِّ بْنِ أَسْبَاطٍ ، عَنْ سُلَيْمَانَ بْنِ أَبِي زَيْنَبَةَ ،</w:t>
      </w:r>
      <w:r w:rsidR="00450542">
        <w:rPr>
          <w:rtl/>
          <w:lang w:bidi="fa-IR"/>
        </w:rPr>
        <w:t xml:space="preserve"> عَنْ إِسْحَاقَ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أَبِي يَقُولُ : لَوْ </w:t>
      </w:r>
      <w:r w:rsidRPr="00D10E3C">
        <w:rPr>
          <w:rStyle w:val="libFootnotenumChar"/>
          <w:rtl/>
        </w:rPr>
        <w:t>(2)</w:t>
      </w:r>
      <w:r>
        <w:rPr>
          <w:rtl/>
          <w:lang w:bidi="fa-IR"/>
        </w:rPr>
        <w:t xml:space="preserve"> كَانَ لِي طَرِيقٌ إِلى مَنْزِلِي مِنْ مِنًى ، مَا دَخَلْتُ مَكَّةَ </w:t>
      </w:r>
      <w:r w:rsidRPr="00D10E3C">
        <w:rPr>
          <w:rStyle w:val="libFootnotenumChar"/>
          <w:rtl/>
        </w:rPr>
        <w:t>(3)</w:t>
      </w:r>
      <w:r>
        <w:rPr>
          <w:rtl/>
          <w:lang w:bidi="fa-IR"/>
        </w:rPr>
        <w:t xml:space="preserve"> ». </w:t>
      </w:r>
      <w:r w:rsidRPr="00D10E3C">
        <w:rPr>
          <w:rStyle w:val="libFootnotenumChar"/>
          <w:rtl/>
        </w:rPr>
        <w:t>(4)</w:t>
      </w:r>
    </w:p>
    <w:p w:rsidR="00744A1C" w:rsidRDefault="00744A1C" w:rsidP="00744A1C">
      <w:pPr>
        <w:pStyle w:val="libNormal"/>
        <w:rPr>
          <w:lang w:bidi="fa-IR"/>
        </w:rPr>
      </w:pPr>
      <w:r>
        <w:rPr>
          <w:rtl/>
          <w:lang w:bidi="fa-IR"/>
        </w:rPr>
        <w:t xml:space="preserve">7976 / 10. عَلِيُّ بْنُ إِبْرَاهِيمَ ، عَنْ أَبِيهِ وَعَلِيِّ بْنِ مُحَمَّدٍ الْقَاسَانِيِّ </w:t>
      </w:r>
      <w:r w:rsidRPr="00D10E3C">
        <w:rPr>
          <w:rStyle w:val="libFootnotenumChar"/>
          <w:rtl/>
        </w:rPr>
        <w:t>(5)</w:t>
      </w:r>
      <w:r>
        <w:rPr>
          <w:rtl/>
          <w:lang w:bidi="fa-IR"/>
        </w:rPr>
        <w:t xml:space="preserve"> جَمِيعاً </w:t>
      </w:r>
      <w:r w:rsidRPr="00D10E3C">
        <w:rPr>
          <w:rStyle w:val="libFootnotenumChar"/>
          <w:rtl/>
        </w:rPr>
        <w:t>(6)</w:t>
      </w:r>
      <w:r>
        <w:rPr>
          <w:rtl/>
          <w:lang w:bidi="fa-IR"/>
        </w:rPr>
        <w:t xml:space="preserve"> ، عَنِ الْقَاسِمِ بْنِ مُحَمَّدٍ ، عَنْ سُلَيْمَانَ بْنِ دَاوُدَ الْمِنْقَرِيِّ ، عَنْ سُفْيَانَ بْ</w:t>
      </w:r>
      <w:r w:rsidR="00DE3971">
        <w:rPr>
          <w:rtl/>
          <w:lang w:bidi="fa-IR"/>
        </w:rPr>
        <w:t>نِ عُيَيْنَةَ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سَأَلَ رَجُلٌ أَبِي </w:t>
      </w:r>
      <w:r w:rsidRPr="00D10E3C">
        <w:rPr>
          <w:rStyle w:val="libFootnotenumChar"/>
          <w:rtl/>
        </w:rPr>
        <w:t>(7)</w:t>
      </w:r>
      <w:r>
        <w:rPr>
          <w:rtl/>
          <w:lang w:bidi="fa-IR"/>
        </w:rPr>
        <w:t xml:space="preserve"> بَعْدَ مُنْصَرَفِهِ مِنَ الْمَوْقِفِ ، فَقَالَ </w:t>
      </w:r>
      <w:r w:rsidRPr="00D10E3C">
        <w:rPr>
          <w:rStyle w:val="libFootnotenumChar"/>
          <w:rtl/>
        </w:rPr>
        <w:t>(8)</w:t>
      </w:r>
      <w:r>
        <w:rPr>
          <w:rtl/>
          <w:lang w:bidi="fa-IR"/>
        </w:rPr>
        <w:t xml:space="preserve"> : أَتَرى يُخَيِّبُ اللهُ هذَا الْخَلْقَ كُلَّهُ </w:t>
      </w:r>
      <w:r w:rsidRPr="00D10E3C">
        <w:rPr>
          <w:rStyle w:val="libFootnotenumChar"/>
          <w:rtl/>
        </w:rPr>
        <w:t>(9)</w:t>
      </w:r>
      <w:r>
        <w:rPr>
          <w:rtl/>
          <w:lang w:bidi="fa-IR"/>
        </w:rPr>
        <w:t>؟</w:t>
      </w:r>
    </w:p>
    <w:p w:rsidR="00744A1C" w:rsidRDefault="00744A1C" w:rsidP="00744A1C">
      <w:pPr>
        <w:pStyle w:val="libNormal"/>
        <w:rPr>
          <w:lang w:bidi="fa-IR"/>
        </w:rPr>
      </w:pPr>
      <w:r>
        <w:rPr>
          <w:rtl/>
          <w:lang w:bidi="fa-IR"/>
        </w:rPr>
        <w:t xml:space="preserve">فَقَالَ أَبِي </w:t>
      </w:r>
      <w:r w:rsidRPr="00D10E3C">
        <w:rPr>
          <w:rStyle w:val="libFootnotenumChar"/>
          <w:rtl/>
        </w:rPr>
        <w:t>(10)</w:t>
      </w:r>
      <w:r>
        <w:rPr>
          <w:rtl/>
          <w:lang w:bidi="fa-IR"/>
        </w:rPr>
        <w:t xml:space="preserve"> : مَا </w:t>
      </w:r>
      <w:r w:rsidRPr="00D10E3C">
        <w:rPr>
          <w:rStyle w:val="libFootnotenumChar"/>
          <w:rtl/>
        </w:rPr>
        <w:t>(11)</w:t>
      </w:r>
      <w:r>
        <w:rPr>
          <w:rtl/>
          <w:lang w:bidi="fa-IR"/>
        </w:rPr>
        <w:t xml:space="preserve"> وَقَفَ بِهذَا </w:t>
      </w:r>
      <w:r w:rsidRPr="00D10E3C">
        <w:rPr>
          <w:rStyle w:val="libFootnotenumChar"/>
          <w:rtl/>
        </w:rPr>
        <w:t>(12)</w:t>
      </w:r>
      <w:r>
        <w:rPr>
          <w:rtl/>
          <w:lang w:bidi="fa-IR"/>
        </w:rPr>
        <w:t xml:space="preserve"> الْمَوْقِفِ أَ</w:t>
      </w:r>
      <w:r w:rsidR="004C328A">
        <w:rPr>
          <w:rtl/>
          <w:lang w:bidi="fa-IR"/>
        </w:rPr>
        <w:t>حَدٌ إِل</w:t>
      </w:r>
      <w:r w:rsidR="004C328A">
        <w:rPr>
          <w:rFonts w:hint="cs"/>
          <w:rtl/>
          <w:lang w:bidi="fa-IR"/>
        </w:rPr>
        <w:t>َّ</w:t>
      </w:r>
      <w:r w:rsidR="004C328A">
        <w:rPr>
          <w:rtl/>
          <w:lang w:bidi="fa-IR"/>
        </w:rPr>
        <w:t>ا</w:t>
      </w:r>
      <w:r>
        <w:rPr>
          <w:rtl/>
          <w:lang w:bidi="fa-IR"/>
        </w:rPr>
        <w:t xml:space="preserve"> غَفَرَ اللهُ </w:t>
      </w:r>
      <w:r w:rsidRPr="00D10E3C">
        <w:rPr>
          <w:rStyle w:val="libFootnotenumChar"/>
          <w:rtl/>
        </w:rPr>
        <w:t>(13)</w:t>
      </w:r>
      <w:r>
        <w:rPr>
          <w:rtl/>
          <w:lang w:bidi="fa-IR"/>
        </w:rPr>
        <w:t xml:space="preserve"> لَهُ ، مُؤْمِ</w:t>
      </w:r>
      <w:r w:rsidR="00FA2EDE">
        <w:rPr>
          <w:rtl/>
          <w:lang w:bidi="fa-IR"/>
        </w:rPr>
        <w:t>ناً كَانَ أَوْ كَافِراً ، إِل</w:t>
      </w:r>
      <w:r w:rsidR="00FA2EDE">
        <w:rPr>
          <w:rFonts w:hint="cs"/>
          <w:rtl/>
          <w:lang w:bidi="fa-IR"/>
        </w:rPr>
        <w:t>َّ</w:t>
      </w:r>
      <w:r w:rsidR="00FA2EDE">
        <w:rPr>
          <w:rtl/>
          <w:lang w:bidi="fa-IR"/>
        </w:rPr>
        <w:t>ا</w:t>
      </w:r>
      <w:r>
        <w:rPr>
          <w:rtl/>
          <w:lang w:bidi="fa-IR"/>
        </w:rPr>
        <w:t xml:space="preserve"> أَنَّهُمْ فِي مَغْفِرَ</w:t>
      </w:r>
      <w:r w:rsidR="00FA2EDE">
        <w:rPr>
          <w:rtl/>
          <w:lang w:bidi="fa-IR"/>
        </w:rPr>
        <w:t xml:space="preserve">تِهِمْ عَلى ثَلَاثِ مَنَازِلَ </w:t>
      </w:r>
      <w:r w:rsidR="00FA2EDE">
        <w:rPr>
          <w:rFonts w:hint="cs"/>
          <w:rtl/>
          <w:lang w:bidi="fa-IR"/>
        </w:rPr>
        <w:t>:</w:t>
      </w:r>
    </w:p>
    <w:p w:rsidR="00744A1C" w:rsidRDefault="00744A1C" w:rsidP="00D10E3C">
      <w:pPr>
        <w:pStyle w:val="libLine"/>
        <w:rPr>
          <w:lang w:bidi="fa-IR"/>
        </w:rPr>
      </w:pPr>
      <w:r>
        <w:rPr>
          <w:rtl/>
          <w:lang w:bidi="fa-IR"/>
        </w:rPr>
        <w:t>____________________</w:t>
      </w:r>
    </w:p>
    <w:p w:rsidR="00744A1C" w:rsidRDefault="00D10E3C" w:rsidP="00ED5D66">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273 ، ح 935 ، معلّقاً عن الكليني</w:t>
      </w:r>
      <w:r w:rsidR="0012259C">
        <w:rPr>
          <w:rFonts w:hint="cs"/>
          <w:rtl/>
          <w:lang w:bidi="fa-IR"/>
        </w:rPr>
        <w:t xml:space="preserve"> .</w:t>
      </w:r>
      <w:r w:rsidR="00744A1C" w:rsidRPr="00C24F9C">
        <w:rPr>
          <w:rStyle w:val="libFootnoteBoldChar"/>
          <w:rtl/>
        </w:rPr>
        <w:t>الوافي</w:t>
      </w:r>
      <w:r w:rsidR="00744A1C">
        <w:rPr>
          <w:rtl/>
          <w:lang w:bidi="fa-IR"/>
        </w:rPr>
        <w:t xml:space="preserve"> ، ج 14 ، ص 1272 ، ح 14246 ؛ </w:t>
      </w:r>
      <w:r w:rsidR="00744A1C" w:rsidRPr="00C24F9C">
        <w:rPr>
          <w:rStyle w:val="libFootnoteBoldChar"/>
          <w:rtl/>
        </w:rPr>
        <w:t>الوسائل</w:t>
      </w:r>
      <w:r w:rsidR="00744A1C">
        <w:rPr>
          <w:rtl/>
          <w:lang w:bidi="fa-IR"/>
        </w:rPr>
        <w:t xml:space="preserve"> ، ج 14 ، ص 282 ، ح 19208.</w:t>
      </w:r>
      <w:r w:rsidR="00ED5D66">
        <w:rPr>
          <w:rFonts w:hint="cs"/>
          <w:rtl/>
          <w:lang w:bidi="fa-IR"/>
        </w:rPr>
        <w:t xml:space="preserve">              </w:t>
      </w:r>
      <w:r w:rsidR="00E378DD">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ولو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215 : « ظاهره عدم استحباب العود إلى مكّة إن لم يبق عليه شي‌ء من المناسك ، والمشهور استحبابه لوداع البيت ، وحمل الخبر عليه أو على العذر ».</w:t>
      </w:r>
    </w:p>
    <w:p w:rsidR="00744A1C" w:rsidRDefault="00E378DD" w:rsidP="00C677E0">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274 ، ح 937 ، معلّقاً عن الكليني </w:t>
      </w:r>
      <w:r w:rsidR="003108FD">
        <w:rPr>
          <w:rFonts w:hint="cs"/>
          <w:rtl/>
          <w:lang w:bidi="fa-IR"/>
        </w:rPr>
        <w:t>.</w:t>
      </w:r>
      <w:r w:rsidR="00744A1C" w:rsidRPr="00C24F9C">
        <w:rPr>
          <w:rStyle w:val="libFootnoteBoldChar"/>
          <w:rtl/>
        </w:rPr>
        <w:t>الوافي</w:t>
      </w:r>
      <w:r w:rsidR="00744A1C">
        <w:rPr>
          <w:rtl/>
          <w:lang w:bidi="fa-IR"/>
        </w:rPr>
        <w:t xml:space="preserve"> ، ج 14 ، ص 1273 ، ح 14250 ؛ </w:t>
      </w:r>
      <w:r w:rsidR="00744A1C" w:rsidRPr="00C24F9C">
        <w:rPr>
          <w:rStyle w:val="libFootnoteBoldChar"/>
          <w:rtl/>
        </w:rPr>
        <w:t>الوسائل</w:t>
      </w:r>
      <w:r w:rsidR="00744A1C">
        <w:rPr>
          <w:rtl/>
          <w:lang w:bidi="fa-IR"/>
        </w:rPr>
        <w:t xml:space="preserve"> ، ج 14 ، ص 283 ، ح 19211.</w:t>
      </w:r>
      <w:r w:rsidR="00097CCA">
        <w:rPr>
          <w:rFonts w:hint="cs"/>
          <w:rtl/>
          <w:lang w:bidi="fa-IR"/>
        </w:rPr>
        <w:t xml:space="preserve">       </w:t>
      </w:r>
      <w:r w:rsidR="00C677E0">
        <w:rPr>
          <w:rFonts w:hint="cs"/>
          <w:rtl/>
          <w:lang w:bidi="fa-IR"/>
        </w:rPr>
        <w:t xml:space="preserve">      </w:t>
      </w:r>
      <w:r>
        <w:rPr>
          <w:rtl/>
          <w:lang w:bidi="fa-IR"/>
        </w:rPr>
        <w:t>(5).</w:t>
      </w:r>
      <w:r w:rsidR="00744A1C">
        <w:rPr>
          <w:rtl/>
          <w:lang w:bidi="fa-IR"/>
        </w:rPr>
        <w:t xml:space="preserve"> في « بث » : « القاشاني ».</w:t>
      </w:r>
    </w:p>
    <w:tbl>
      <w:tblPr>
        <w:tblStyle w:val="TableGrid"/>
        <w:bidiVisual/>
        <w:tblW w:w="0" w:type="auto"/>
        <w:tblLook w:val="04A0" w:firstRow="1" w:lastRow="0" w:firstColumn="1" w:lastColumn="0" w:noHBand="0" w:noVBand="1"/>
      </w:tblPr>
      <w:tblGrid>
        <w:gridCol w:w="4006"/>
        <w:gridCol w:w="4006"/>
      </w:tblGrid>
      <w:tr w:rsidR="00C677E0" w:rsidTr="00C677E0">
        <w:tc>
          <w:tcPr>
            <w:tcW w:w="4006" w:type="dxa"/>
          </w:tcPr>
          <w:p w:rsidR="00C677E0" w:rsidRDefault="00C677E0" w:rsidP="00E378DD">
            <w:pPr>
              <w:pStyle w:val="libFootnote0"/>
              <w:rPr>
                <w:rtl/>
                <w:lang w:bidi="fa-IR"/>
              </w:rPr>
            </w:pPr>
            <w:r>
              <w:rPr>
                <w:rtl/>
                <w:lang w:bidi="fa-IR"/>
              </w:rPr>
              <w:t xml:space="preserve">(6). في </w:t>
            </w:r>
            <w:r w:rsidRPr="00C24F9C">
              <w:rPr>
                <w:rStyle w:val="libFootnoteBoldChar"/>
                <w:rtl/>
              </w:rPr>
              <w:t>الوافي</w:t>
            </w:r>
            <w:r>
              <w:rPr>
                <w:rtl/>
                <w:lang w:bidi="fa-IR"/>
              </w:rPr>
              <w:t xml:space="preserve"> : - « جميعاً ».</w:t>
            </w:r>
          </w:p>
        </w:tc>
        <w:tc>
          <w:tcPr>
            <w:tcW w:w="4006" w:type="dxa"/>
          </w:tcPr>
          <w:p w:rsidR="00C677E0" w:rsidRDefault="005E742C" w:rsidP="005E742C">
            <w:pPr>
              <w:pStyle w:val="libFootnote0"/>
              <w:rPr>
                <w:rtl/>
                <w:lang w:bidi="fa-IR"/>
              </w:rPr>
            </w:pPr>
            <w:r>
              <w:rPr>
                <w:rtl/>
                <w:lang w:bidi="fa-IR"/>
              </w:rPr>
              <w:t xml:space="preserve">(7).في </w:t>
            </w:r>
            <w:r w:rsidRPr="00097CCA">
              <w:rPr>
                <w:rtl/>
              </w:rPr>
              <w:t>تفسير القمّي:«</w:t>
            </w:r>
            <w:r>
              <w:rPr>
                <w:rtl/>
                <w:lang w:bidi="fa-IR"/>
              </w:rPr>
              <w:t xml:space="preserve">من أبي عبد الله </w:t>
            </w:r>
            <w:r w:rsidRPr="0061079A">
              <w:rPr>
                <w:rStyle w:val="libFootnoteAlaemChar"/>
                <w:rtl/>
              </w:rPr>
              <w:t>عليه‌السلام</w:t>
            </w:r>
            <w:r>
              <w:rPr>
                <w:rtl/>
                <w:lang w:bidi="fa-IR"/>
              </w:rPr>
              <w:t>»بدل«أبي».</w:t>
            </w:r>
          </w:p>
        </w:tc>
      </w:tr>
      <w:tr w:rsidR="00C677E0" w:rsidTr="00C677E0">
        <w:tc>
          <w:tcPr>
            <w:tcW w:w="4006" w:type="dxa"/>
          </w:tcPr>
          <w:p w:rsidR="00C677E0" w:rsidRDefault="00C677E0" w:rsidP="00E378DD">
            <w:pPr>
              <w:pStyle w:val="libFootnote0"/>
              <w:rPr>
                <w:rtl/>
                <w:lang w:bidi="fa-IR"/>
              </w:rPr>
            </w:pPr>
            <w:r>
              <w:rPr>
                <w:rtl/>
                <w:lang w:bidi="fa-IR"/>
              </w:rPr>
              <w:t>(8). في « بخ ، بف » : « قال ».</w:t>
            </w:r>
          </w:p>
        </w:tc>
        <w:tc>
          <w:tcPr>
            <w:tcW w:w="4006" w:type="dxa"/>
          </w:tcPr>
          <w:p w:rsidR="00C677E0" w:rsidRDefault="005E742C" w:rsidP="00E378DD">
            <w:pPr>
              <w:pStyle w:val="libFootnote0"/>
              <w:rPr>
                <w:rtl/>
                <w:lang w:bidi="fa-IR"/>
              </w:rPr>
            </w:pPr>
            <w:r>
              <w:rPr>
                <w:rtl/>
                <w:lang w:bidi="fa-IR"/>
              </w:rPr>
              <w:t>(9). في«بخ،بف»وحاشية«جن»و</w:t>
            </w:r>
            <w:r w:rsidRPr="00C24F9C">
              <w:rPr>
                <w:rStyle w:val="libFootnoteBoldChar"/>
                <w:rtl/>
              </w:rPr>
              <w:t>الوافي</w:t>
            </w:r>
            <w:r>
              <w:rPr>
                <w:rtl/>
                <w:lang w:bidi="fa-IR"/>
              </w:rPr>
              <w:t>:«كلّهم».</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610FB4">
        <w:rPr>
          <w:rStyle w:val="libFootnoteBoldChar"/>
          <w:rtl/>
        </w:rPr>
        <w:t>تفسير القمّي</w:t>
      </w:r>
      <w:r w:rsidR="00744A1C">
        <w:rPr>
          <w:rtl/>
          <w:lang w:bidi="fa-IR"/>
        </w:rPr>
        <w:t xml:space="preserve"> : « أبو عبد الله </w:t>
      </w:r>
      <w:r w:rsidR="0061079A" w:rsidRPr="0061079A">
        <w:rPr>
          <w:rStyle w:val="libFootnoteAlaemChar"/>
          <w:rtl/>
        </w:rPr>
        <w:t>عليه‌السلام</w:t>
      </w:r>
      <w:r w:rsidR="00D10E3C">
        <w:rPr>
          <w:rtl/>
          <w:lang w:bidi="fa-IR"/>
        </w:rPr>
        <w:t xml:space="preserve"> </w:t>
      </w:r>
      <w:r w:rsidR="00744A1C">
        <w:rPr>
          <w:rtl/>
          <w:lang w:bidi="fa-IR"/>
        </w:rPr>
        <w:t>» بدل « أبي ».</w:t>
      </w:r>
    </w:p>
    <w:tbl>
      <w:tblPr>
        <w:tblStyle w:val="TableGrid"/>
        <w:bidiVisual/>
        <w:tblW w:w="0" w:type="auto"/>
        <w:tblLook w:val="04A0" w:firstRow="1" w:lastRow="0" w:firstColumn="1" w:lastColumn="0" w:noHBand="0" w:noVBand="1"/>
      </w:tblPr>
      <w:tblGrid>
        <w:gridCol w:w="4006"/>
        <w:gridCol w:w="4006"/>
      </w:tblGrid>
      <w:tr w:rsidR="00177513" w:rsidTr="00177513">
        <w:tc>
          <w:tcPr>
            <w:tcW w:w="4006" w:type="dxa"/>
          </w:tcPr>
          <w:p w:rsidR="00177513" w:rsidRDefault="00177513" w:rsidP="00E378DD">
            <w:pPr>
              <w:pStyle w:val="libFootnote0"/>
              <w:rPr>
                <w:rtl/>
                <w:lang w:bidi="fa-IR"/>
              </w:rPr>
            </w:pPr>
            <w:r>
              <w:rPr>
                <w:rtl/>
                <w:lang w:bidi="fa-IR"/>
              </w:rPr>
              <w:t>(11). في « جن » : « وما ».</w:t>
            </w:r>
          </w:p>
        </w:tc>
        <w:tc>
          <w:tcPr>
            <w:tcW w:w="4006" w:type="dxa"/>
          </w:tcPr>
          <w:p w:rsidR="00177513" w:rsidRDefault="00177513" w:rsidP="00E378DD">
            <w:pPr>
              <w:pStyle w:val="libFootnote0"/>
              <w:rPr>
                <w:rtl/>
                <w:lang w:bidi="fa-IR"/>
              </w:rPr>
            </w:pPr>
            <w:r>
              <w:rPr>
                <w:rtl/>
                <w:lang w:bidi="fa-IR"/>
              </w:rPr>
              <w:t>(12). في « جن » : « هذا ».</w:t>
            </w:r>
          </w:p>
        </w:tc>
      </w:tr>
    </w:tbl>
    <w:p w:rsidR="00744A1C" w:rsidRDefault="00E378DD" w:rsidP="00E378DD">
      <w:pPr>
        <w:pStyle w:val="libFootnote0"/>
        <w:rPr>
          <w:lang w:bidi="fa-IR"/>
        </w:rPr>
      </w:pPr>
      <w:r>
        <w:rPr>
          <w:rtl/>
          <w:lang w:bidi="fa-IR"/>
        </w:rPr>
        <w:t>(13).</w:t>
      </w:r>
      <w:r w:rsidR="00744A1C">
        <w:rPr>
          <w:rtl/>
          <w:lang w:bidi="fa-IR"/>
        </w:rPr>
        <w:t xml:space="preserve"> في « بث » : - « الله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مُؤْمِنٌ غَفَرَ اللهُ لَهُ مَا تَقَدَّمَ مِنْ ذَنْبِهِ وَمَا تَأَخَّرَ ، وَأَعْتَقَهُ مِنَ النَّارِ ، وَذلِكَ قَوْلُهُ عَزَّ وَ</w:t>
      </w:r>
      <w:r w:rsidR="00B8339E">
        <w:rPr>
          <w:rFonts w:hint="cs"/>
          <w:rtl/>
          <w:lang w:bidi="fa-IR"/>
        </w:rPr>
        <w:t xml:space="preserve"> </w:t>
      </w:r>
      <w:r>
        <w:rPr>
          <w:rtl/>
          <w:lang w:bidi="fa-IR"/>
        </w:rPr>
        <w:t xml:space="preserve">جَلَّ : </w:t>
      </w:r>
      <w:r w:rsidRPr="00B027F4">
        <w:rPr>
          <w:rStyle w:val="libAlaemChar"/>
          <w:rtl/>
        </w:rPr>
        <w:t>(</w:t>
      </w:r>
      <w:r w:rsidRPr="00B027F4">
        <w:rPr>
          <w:rStyle w:val="libAieChar"/>
          <w:rtl/>
        </w:rPr>
        <w:t>رَبَّنا آتِنا فِي الدُّنْيا حَسَنَةً وَفِي الْآخِرَةِ حَسَنَةً وَقِنا عَذابَ النّارِ</w:t>
      </w:r>
      <w:r w:rsidR="00B027F4">
        <w:rPr>
          <w:rStyle w:val="libAieChar"/>
          <w:rFonts w:hint="cs"/>
          <w:rtl/>
        </w:rPr>
        <w:t xml:space="preserve"> *</w:t>
      </w:r>
      <w:r w:rsidRPr="00B027F4">
        <w:rPr>
          <w:rStyle w:val="libAieChar"/>
          <w:rtl/>
        </w:rPr>
        <w:t xml:space="preserve"> أُولئِكَ لَهُمْ نَصِيبٌ مِمّا كَسَبُوا وَاللهُ سَرِيعُ الْحِسابِ </w:t>
      </w:r>
      <w:r w:rsidRPr="00B027F4">
        <w:rPr>
          <w:rStyle w:val="libAlaemChar"/>
          <w:rtl/>
        </w:rPr>
        <w:t>)</w:t>
      </w:r>
      <w:r>
        <w:rPr>
          <w:rtl/>
          <w:lang w:bidi="fa-IR"/>
        </w:rPr>
        <w:t xml:space="preserve"> </w:t>
      </w:r>
      <w:r w:rsidRPr="00D10E3C">
        <w:rPr>
          <w:rStyle w:val="libFootnotenumChar"/>
          <w:rtl/>
        </w:rPr>
        <w:t>(1)</w:t>
      </w:r>
      <w:r w:rsidR="00E42DC8" w:rsidRPr="00E42DC8">
        <w:rPr>
          <w:rFonts w:hint="cs"/>
          <w:rtl/>
        </w:rPr>
        <w:t>.</w:t>
      </w:r>
    </w:p>
    <w:p w:rsidR="00744A1C" w:rsidRDefault="00744A1C" w:rsidP="00744A1C">
      <w:pPr>
        <w:pStyle w:val="libNormal"/>
        <w:rPr>
          <w:lang w:bidi="fa-IR"/>
        </w:rPr>
      </w:pPr>
      <w:r>
        <w:rPr>
          <w:rtl/>
          <w:lang w:bidi="fa-IR"/>
        </w:rPr>
        <w:t xml:space="preserve">وَمِنْهُمْ مَنْ </w:t>
      </w:r>
      <w:r w:rsidRPr="00D10E3C">
        <w:rPr>
          <w:rStyle w:val="libFootnotenumChar"/>
          <w:rtl/>
        </w:rPr>
        <w:t>(2)</w:t>
      </w:r>
      <w:r>
        <w:rPr>
          <w:rtl/>
          <w:lang w:bidi="fa-IR"/>
        </w:rPr>
        <w:t xml:space="preserve"> غَفَرَ اللهُ لَهُ مَا تَقَدَّمَ مِنْ ذَنْبِهِ ، وَقِيلَ لَهُ : أَحْسِنْ فِيمَا بَقِيَ مِنْ عُمُرِكَ ، وَذلِكَ قَوْلُهُ عَزَّ وَجَلَّ : </w:t>
      </w:r>
      <w:r w:rsidRPr="00E42DC8">
        <w:rPr>
          <w:rStyle w:val="libAlaemChar"/>
          <w:rtl/>
        </w:rPr>
        <w:t>(</w:t>
      </w:r>
      <w:r w:rsidRPr="00E42DC8">
        <w:rPr>
          <w:rStyle w:val="libAieChar"/>
          <w:rtl/>
        </w:rPr>
        <w:t xml:space="preserve"> فَمَنْ تَعَجَّلَ فِي يَوْمَيْنِ فَل</w:t>
      </w:r>
      <w:r w:rsidR="00622C1D">
        <w:rPr>
          <w:rStyle w:val="libAieChar"/>
          <w:rFonts w:hint="cs"/>
          <w:rtl/>
        </w:rPr>
        <w:t>َ</w:t>
      </w:r>
      <w:r w:rsidRPr="00E42DC8">
        <w:rPr>
          <w:rStyle w:val="libAieChar"/>
          <w:rtl/>
        </w:rPr>
        <w:t>ا إِثْمَ عَلَيْهِ وَمَنْ تَأَخَّرَ فَل</w:t>
      </w:r>
      <w:r w:rsidR="00E42DC8">
        <w:rPr>
          <w:rStyle w:val="libAieChar"/>
          <w:rFonts w:hint="cs"/>
          <w:rtl/>
        </w:rPr>
        <w:t>َ</w:t>
      </w:r>
      <w:r w:rsidRPr="00E42DC8">
        <w:rPr>
          <w:rStyle w:val="libAieChar"/>
          <w:rtl/>
        </w:rPr>
        <w:t xml:space="preserve">ا إِثْمَ عَلَيْهِ </w:t>
      </w:r>
      <w:r w:rsidRPr="00E42DC8">
        <w:rPr>
          <w:rStyle w:val="libAlaemChar"/>
          <w:rtl/>
        </w:rPr>
        <w:t>)</w:t>
      </w:r>
      <w:r>
        <w:rPr>
          <w:rtl/>
          <w:lang w:bidi="fa-IR"/>
        </w:rPr>
        <w:t xml:space="preserve"> </w:t>
      </w:r>
      <w:r w:rsidRPr="00D10E3C">
        <w:rPr>
          <w:rStyle w:val="libFootnotenumChar"/>
          <w:rtl/>
        </w:rPr>
        <w:t>(3)</w:t>
      </w:r>
      <w:r>
        <w:rPr>
          <w:rtl/>
          <w:lang w:bidi="fa-IR"/>
        </w:rPr>
        <w:t xml:space="preserve"> يَعْنِي مَنْ مَاتَ قَبْلَ أَنْ يَمْضِيَ فَلَا إِثْمَ عَلَيْهِ </w:t>
      </w:r>
      <w:r w:rsidRPr="00E42DC8">
        <w:rPr>
          <w:rStyle w:val="libAlaemChar"/>
          <w:rtl/>
        </w:rPr>
        <w:t>(</w:t>
      </w:r>
      <w:r w:rsidRPr="00E42DC8">
        <w:rPr>
          <w:rStyle w:val="libAieChar"/>
          <w:rtl/>
        </w:rPr>
        <w:t xml:space="preserve"> وَمَنْ تَأَخَّرَ فَلا إِثْمَ عَلَيْهِ </w:t>
      </w:r>
      <w:r w:rsidRPr="00D10E3C">
        <w:rPr>
          <w:rStyle w:val="libFootnotenumChar"/>
          <w:rtl/>
        </w:rPr>
        <w:t>(4)</w:t>
      </w:r>
      <w:r w:rsidRPr="00E42DC8">
        <w:rPr>
          <w:rStyle w:val="libAieChar"/>
          <w:rtl/>
        </w:rPr>
        <w:t xml:space="preserve"> لِمَنِ اتَّقى </w:t>
      </w:r>
      <w:r w:rsidRPr="00E42DC8">
        <w:rPr>
          <w:rStyle w:val="libAlaemChar"/>
          <w:rtl/>
        </w:rPr>
        <w:t>)</w:t>
      </w:r>
      <w:r>
        <w:rPr>
          <w:rtl/>
          <w:lang w:bidi="fa-IR"/>
        </w:rPr>
        <w:t xml:space="preserve"> </w:t>
      </w:r>
      <w:r w:rsidRPr="00D10E3C">
        <w:rPr>
          <w:rStyle w:val="libFootnotenumChar"/>
          <w:rtl/>
        </w:rPr>
        <w:t>(5)</w:t>
      </w:r>
      <w:r>
        <w:rPr>
          <w:rtl/>
          <w:lang w:bidi="fa-IR"/>
        </w:rPr>
        <w:t xml:space="preserve"> الْكَبَائِرَ. وَأَمَّا الْعَامَّةُ ، فَيَقُولُونَ : </w:t>
      </w:r>
      <w:r w:rsidRPr="00107A04">
        <w:rPr>
          <w:rStyle w:val="libAlaemChar"/>
          <w:rtl/>
        </w:rPr>
        <w:t>(</w:t>
      </w:r>
      <w:r w:rsidRPr="00107A04">
        <w:rPr>
          <w:rStyle w:val="libAieChar"/>
          <w:rtl/>
        </w:rPr>
        <w:t xml:space="preserve"> فَمَنْ تَعَجَّلَ فِي يَوْمَيْنِ فَل</w:t>
      </w:r>
      <w:r w:rsidR="00107A04">
        <w:rPr>
          <w:rStyle w:val="libAieChar"/>
          <w:rFonts w:hint="cs"/>
          <w:rtl/>
        </w:rPr>
        <w:t>َ</w:t>
      </w:r>
      <w:r w:rsidRPr="00107A04">
        <w:rPr>
          <w:rStyle w:val="libAieChar"/>
          <w:rtl/>
        </w:rPr>
        <w:t xml:space="preserve">ا إِثْمَ عَلَيْهِ </w:t>
      </w:r>
      <w:r w:rsidRPr="00622C1D">
        <w:rPr>
          <w:rStyle w:val="libAlaemChar"/>
          <w:rtl/>
        </w:rPr>
        <w:t>)</w:t>
      </w:r>
      <w:r>
        <w:rPr>
          <w:rtl/>
          <w:lang w:bidi="fa-IR"/>
        </w:rPr>
        <w:t xml:space="preserve"> يَعْنِي فِي النَّفْرِ الْأَوَّلِ </w:t>
      </w:r>
      <w:r w:rsidRPr="00D10E3C">
        <w:rPr>
          <w:rStyle w:val="libFootnotenumChar"/>
          <w:rtl/>
        </w:rPr>
        <w:t>(6)</w:t>
      </w:r>
      <w:r>
        <w:rPr>
          <w:rtl/>
          <w:lang w:bidi="fa-IR"/>
        </w:rPr>
        <w:t xml:space="preserve"> </w:t>
      </w:r>
      <w:r w:rsidRPr="008555E8">
        <w:rPr>
          <w:rStyle w:val="libAlaemChar"/>
          <w:rtl/>
        </w:rPr>
        <w:t>(</w:t>
      </w:r>
      <w:r w:rsidRPr="008555E8">
        <w:rPr>
          <w:rStyle w:val="libAieChar"/>
          <w:rtl/>
        </w:rPr>
        <w:t xml:space="preserve"> وَمَنْ تَأَخَّرَ فَل</w:t>
      </w:r>
      <w:r w:rsidR="008555E8">
        <w:rPr>
          <w:rStyle w:val="libAieChar"/>
          <w:rFonts w:hint="cs"/>
          <w:rtl/>
        </w:rPr>
        <w:t>َ</w:t>
      </w:r>
      <w:r w:rsidRPr="008555E8">
        <w:rPr>
          <w:rStyle w:val="libAieChar"/>
          <w:rtl/>
        </w:rPr>
        <w:t xml:space="preserve">ا إِثْمَ عَلَيْهِ </w:t>
      </w:r>
      <w:r w:rsidRPr="008555E8">
        <w:rPr>
          <w:rStyle w:val="libAlaemChar"/>
          <w:rtl/>
        </w:rPr>
        <w:t>)</w:t>
      </w:r>
      <w:r>
        <w:rPr>
          <w:rtl/>
          <w:lang w:bidi="fa-IR"/>
        </w:rPr>
        <w:t xml:space="preserve"> يَعْنِي لِمَنِ اتَّقَى الصَّيْدَ </w:t>
      </w:r>
      <w:r w:rsidRPr="00D10E3C">
        <w:rPr>
          <w:rStyle w:val="libFootnotenumChar"/>
          <w:rtl/>
        </w:rPr>
        <w:t>(7)</w:t>
      </w:r>
      <w:r>
        <w:rPr>
          <w:rtl/>
          <w:lang w:bidi="fa-IR"/>
        </w:rPr>
        <w:t xml:space="preserve"> ، أَفَتَرى أَنَّ الصَّيْدَ يُحَرِّمُهُ اللهُ بَعْدَ‌</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59487F" w:rsidTr="0059487F">
        <w:tc>
          <w:tcPr>
            <w:tcW w:w="4006" w:type="dxa"/>
          </w:tcPr>
          <w:p w:rsidR="0059487F" w:rsidRDefault="0059487F" w:rsidP="00E378DD">
            <w:pPr>
              <w:pStyle w:val="libFootnote0"/>
              <w:rPr>
                <w:rtl/>
                <w:lang w:bidi="fa-IR"/>
              </w:rPr>
            </w:pPr>
            <w:r>
              <w:rPr>
                <w:rtl/>
                <w:lang w:bidi="fa-IR"/>
              </w:rPr>
              <w:t>(1). البقرة (2). : 201 - 202.</w:t>
            </w:r>
          </w:p>
        </w:tc>
        <w:tc>
          <w:tcPr>
            <w:tcW w:w="4006" w:type="dxa"/>
          </w:tcPr>
          <w:p w:rsidR="0059487F" w:rsidRDefault="0059487F" w:rsidP="00E378DD">
            <w:pPr>
              <w:pStyle w:val="libFootnote0"/>
              <w:rPr>
                <w:rtl/>
                <w:lang w:bidi="fa-IR"/>
              </w:rPr>
            </w:pPr>
            <w:r>
              <w:rPr>
                <w:rtl/>
                <w:lang w:bidi="fa-IR"/>
              </w:rPr>
              <w:t xml:space="preserve">(2). في </w:t>
            </w:r>
            <w:r w:rsidRPr="00610FB4">
              <w:rPr>
                <w:rStyle w:val="libFootnoteBoldChar"/>
                <w:rtl/>
              </w:rPr>
              <w:t>تفسير القمّي</w:t>
            </w:r>
            <w:r>
              <w:rPr>
                <w:rtl/>
                <w:lang w:bidi="fa-IR"/>
              </w:rPr>
              <w:t xml:space="preserve"> : « ومؤمن ».</w:t>
            </w:r>
          </w:p>
        </w:tc>
      </w:tr>
    </w:tbl>
    <w:p w:rsidR="00744A1C" w:rsidRDefault="00E378DD" w:rsidP="00E378DD">
      <w:pPr>
        <w:pStyle w:val="libFootnote0"/>
        <w:rPr>
          <w:lang w:bidi="fa-IR"/>
        </w:rPr>
      </w:pPr>
      <w:r>
        <w:rPr>
          <w:rtl/>
          <w:lang w:bidi="fa-IR"/>
        </w:rPr>
        <w:t>(3).</w:t>
      </w:r>
      <w:r w:rsidR="00744A1C">
        <w:rPr>
          <w:rtl/>
          <w:lang w:bidi="fa-IR"/>
        </w:rPr>
        <w:t xml:space="preserve"> في « بس » : - </w:t>
      </w:r>
      <w:r w:rsidR="00744A1C" w:rsidRPr="00580665">
        <w:rPr>
          <w:rStyle w:val="libFootnoteAlaemChar"/>
          <w:rtl/>
        </w:rPr>
        <w:t>(</w:t>
      </w:r>
      <w:r w:rsidR="00744A1C" w:rsidRPr="00580665">
        <w:rPr>
          <w:rStyle w:val="libFootnoteAieChar"/>
          <w:rtl/>
        </w:rPr>
        <w:t xml:space="preserve"> وَمَنْ تَأَخَّرَ فَل</w:t>
      </w:r>
      <w:r w:rsidR="00580665" w:rsidRPr="00580665">
        <w:rPr>
          <w:rStyle w:val="libFootnoteAieChar"/>
          <w:rFonts w:hint="cs"/>
          <w:rtl/>
        </w:rPr>
        <w:t>َ</w:t>
      </w:r>
      <w:r w:rsidR="00744A1C" w:rsidRPr="00580665">
        <w:rPr>
          <w:rStyle w:val="libFootnoteAieChar"/>
          <w:rtl/>
        </w:rPr>
        <w:t xml:space="preserve">ا إِثْمَ عَلَيْهِ </w:t>
      </w:r>
      <w:r w:rsidR="00744A1C" w:rsidRPr="00580665">
        <w:rPr>
          <w:rStyle w:val="libFootnoteAlaemChar"/>
          <w:rtl/>
        </w:rPr>
        <w:t>)</w:t>
      </w:r>
      <w:r w:rsidR="00744A1C">
        <w:rPr>
          <w:rtl/>
          <w:lang w:bidi="fa-IR"/>
        </w:rPr>
        <w:t>.</w:t>
      </w:r>
    </w:p>
    <w:p w:rsidR="00744A1C" w:rsidRDefault="00E378DD" w:rsidP="001C42B6">
      <w:pPr>
        <w:pStyle w:val="libFootnote0"/>
        <w:rPr>
          <w:lang w:bidi="fa-IR"/>
        </w:rPr>
      </w:pPr>
      <w:r>
        <w:rPr>
          <w:rtl/>
          <w:lang w:bidi="fa-IR"/>
        </w:rPr>
        <w:t>(4).</w:t>
      </w:r>
      <w:r w:rsidR="00744A1C">
        <w:rPr>
          <w:rtl/>
          <w:lang w:bidi="fa-IR"/>
        </w:rPr>
        <w:t xml:space="preserve"> في « بخ » : - </w:t>
      </w:r>
      <w:r w:rsidR="00580665">
        <w:rPr>
          <w:rStyle w:val="libFootnoteAlaemChar"/>
          <w:rFonts w:hint="cs"/>
          <w:rtl/>
        </w:rPr>
        <w:t>(</w:t>
      </w:r>
      <w:r w:rsidR="00744A1C" w:rsidRPr="00580665">
        <w:rPr>
          <w:rStyle w:val="libFootnoteAieChar"/>
          <w:rtl/>
        </w:rPr>
        <w:t xml:space="preserve"> وَمَنْ تَأَخَّرَ فَل</w:t>
      </w:r>
      <w:r w:rsidR="001A65C0">
        <w:rPr>
          <w:rStyle w:val="libFootnoteAieChar"/>
          <w:rFonts w:hint="cs"/>
          <w:rtl/>
        </w:rPr>
        <w:t>َ</w:t>
      </w:r>
      <w:r w:rsidR="00744A1C" w:rsidRPr="00580665">
        <w:rPr>
          <w:rStyle w:val="libFootnoteAieChar"/>
          <w:rtl/>
        </w:rPr>
        <w:t xml:space="preserve">ا إِثْمَ عَلَيْهِ </w:t>
      </w:r>
      <w:r w:rsidR="00580665" w:rsidRPr="00580665">
        <w:rPr>
          <w:rStyle w:val="libFootnoteAlaemChar"/>
          <w:rtl/>
        </w:rPr>
        <w:t>)</w:t>
      </w:r>
      <w:r w:rsidR="00744A1C">
        <w:rPr>
          <w:rtl/>
          <w:lang w:bidi="fa-IR"/>
        </w:rPr>
        <w:t>. وفي « ى » و</w:t>
      </w:r>
      <w:r w:rsidR="00744A1C" w:rsidRPr="00610FB4">
        <w:rPr>
          <w:rStyle w:val="libFootnoteBoldChar"/>
          <w:rtl/>
        </w:rPr>
        <w:t>تفسير القمّي</w:t>
      </w:r>
      <w:r w:rsidR="00744A1C">
        <w:rPr>
          <w:rtl/>
          <w:lang w:bidi="fa-IR"/>
        </w:rPr>
        <w:t xml:space="preserve"> : - « يعني من مات - إلى </w:t>
      </w:r>
      <w:r w:rsidR="001C42B6">
        <w:rPr>
          <w:rtl/>
          <w:lang w:bidi="fa-IR"/>
        </w:rPr>
        <w:t>–</w:t>
      </w:r>
      <w:r w:rsidR="00744A1C">
        <w:rPr>
          <w:rtl/>
          <w:lang w:bidi="fa-IR"/>
        </w:rPr>
        <w:t xml:space="preserve"> </w:t>
      </w:r>
      <w:r w:rsidR="001C42B6">
        <w:rPr>
          <w:rStyle w:val="libFootnoteAlaemChar"/>
          <w:rFonts w:hint="cs"/>
          <w:rtl/>
        </w:rPr>
        <w:t>(</w:t>
      </w:r>
      <w:r w:rsidR="00744A1C" w:rsidRPr="001C42B6">
        <w:rPr>
          <w:rStyle w:val="libFootnoteAieChar"/>
          <w:rtl/>
        </w:rPr>
        <w:t>فَل</w:t>
      </w:r>
      <w:r w:rsidR="001C42B6">
        <w:rPr>
          <w:rStyle w:val="libFootnoteAieChar"/>
          <w:rFonts w:hint="cs"/>
          <w:rtl/>
        </w:rPr>
        <w:t>َ</w:t>
      </w:r>
      <w:r w:rsidR="00744A1C" w:rsidRPr="001C42B6">
        <w:rPr>
          <w:rStyle w:val="libFootnoteAieChar"/>
          <w:rtl/>
        </w:rPr>
        <w:t xml:space="preserve">ا إِثْمَ عَلَيْهِ </w:t>
      </w:r>
      <w:r w:rsidR="00744A1C" w:rsidRPr="001C42B6">
        <w:rPr>
          <w:rStyle w:val="libFootnoteAlaemChar"/>
          <w:rtl/>
        </w:rPr>
        <w:t>)</w:t>
      </w:r>
      <w:r w:rsidR="00744A1C">
        <w:rPr>
          <w:rtl/>
          <w:lang w:bidi="fa-IR"/>
        </w:rPr>
        <w:t xml:space="preserve"> ».</w:t>
      </w:r>
    </w:p>
    <w:tbl>
      <w:tblPr>
        <w:tblStyle w:val="TableGrid"/>
        <w:bidiVisual/>
        <w:tblW w:w="0" w:type="auto"/>
        <w:tblLook w:val="04A0" w:firstRow="1" w:lastRow="0" w:firstColumn="1" w:lastColumn="0" w:noHBand="0" w:noVBand="1"/>
      </w:tblPr>
      <w:tblGrid>
        <w:gridCol w:w="4006"/>
        <w:gridCol w:w="4006"/>
      </w:tblGrid>
      <w:tr w:rsidR="00837436" w:rsidTr="00837436">
        <w:tc>
          <w:tcPr>
            <w:tcW w:w="4006" w:type="dxa"/>
          </w:tcPr>
          <w:p w:rsidR="00837436" w:rsidRDefault="00837436" w:rsidP="00E378DD">
            <w:pPr>
              <w:pStyle w:val="libFootnote0"/>
              <w:rPr>
                <w:rtl/>
                <w:lang w:bidi="fa-IR"/>
              </w:rPr>
            </w:pPr>
            <w:r>
              <w:rPr>
                <w:rtl/>
                <w:lang w:bidi="fa-IR"/>
              </w:rPr>
              <w:t>(5). البقرة (2). : 203.</w:t>
            </w:r>
          </w:p>
        </w:tc>
        <w:tc>
          <w:tcPr>
            <w:tcW w:w="4006" w:type="dxa"/>
          </w:tcPr>
          <w:p w:rsidR="00837436" w:rsidRDefault="00837436" w:rsidP="00E378DD">
            <w:pPr>
              <w:pStyle w:val="libFootnote0"/>
              <w:rPr>
                <w:rtl/>
                <w:lang w:bidi="fa-IR"/>
              </w:rPr>
            </w:pPr>
            <w:r>
              <w:rPr>
                <w:rtl/>
                <w:lang w:bidi="fa-IR"/>
              </w:rPr>
              <w:t xml:space="preserve">(6). في </w:t>
            </w:r>
            <w:r w:rsidRPr="00610FB4">
              <w:rPr>
                <w:rStyle w:val="libFootnoteBoldChar"/>
                <w:rtl/>
              </w:rPr>
              <w:t>تفسير القمّي</w:t>
            </w:r>
            <w:r>
              <w:rPr>
                <w:rtl/>
                <w:lang w:bidi="fa-IR"/>
              </w:rPr>
              <w:t xml:space="preserve"> : - « يعني في النفر الأوّل ».</w:t>
            </w:r>
          </w:p>
        </w:tc>
      </w:tr>
    </w:tbl>
    <w:p w:rsidR="00744A1C" w:rsidRDefault="00E378DD" w:rsidP="005773D7">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يعني من مات قبل أن يمضي ، يعني إلى أهله.</w:t>
      </w:r>
      <w:r w:rsidR="00744A1C" w:rsidRPr="00FA1230">
        <w:rPr>
          <w:rStyle w:val="libFootnoteAlaemChar"/>
          <w:rtl/>
        </w:rPr>
        <w:t>(</w:t>
      </w:r>
      <w:r w:rsidR="00744A1C" w:rsidRPr="00FA1230">
        <w:rPr>
          <w:rStyle w:val="libFootnoteAieChar"/>
          <w:rtl/>
        </w:rPr>
        <w:t xml:space="preserve"> فَل</w:t>
      </w:r>
      <w:r w:rsidR="00FA1230">
        <w:rPr>
          <w:rStyle w:val="libFootnoteAieChar"/>
          <w:rFonts w:hint="cs"/>
          <w:rtl/>
        </w:rPr>
        <w:t>َ</w:t>
      </w:r>
      <w:r w:rsidR="00744A1C" w:rsidRPr="00FA1230">
        <w:rPr>
          <w:rStyle w:val="libFootnoteAieChar"/>
          <w:rtl/>
        </w:rPr>
        <w:t xml:space="preserve">ا إِثْمَ عَلَيْهِ </w:t>
      </w:r>
      <w:r w:rsidR="00744A1C" w:rsidRPr="00FA1230">
        <w:rPr>
          <w:rStyle w:val="libFootnoteAlaemChar"/>
          <w:rtl/>
        </w:rPr>
        <w:t>)</w:t>
      </w:r>
      <w:r w:rsidR="00744A1C">
        <w:rPr>
          <w:rtl/>
          <w:lang w:bidi="fa-IR"/>
        </w:rPr>
        <w:t xml:space="preserve"> : لخروجه من ذنوبه بحجّه. و </w:t>
      </w:r>
      <w:r w:rsidR="00744A1C" w:rsidRPr="00CB1768">
        <w:rPr>
          <w:rStyle w:val="libFootnoteAlaemChar"/>
          <w:rtl/>
        </w:rPr>
        <w:t>(</w:t>
      </w:r>
      <w:r w:rsidR="00744A1C" w:rsidRPr="00CB1768">
        <w:rPr>
          <w:rStyle w:val="libFootnoteAieChar"/>
          <w:rtl/>
        </w:rPr>
        <w:t xml:space="preserve"> مَنْ تَأَخَّرَ </w:t>
      </w:r>
      <w:r w:rsidR="00744A1C" w:rsidRPr="00CB1768">
        <w:rPr>
          <w:rStyle w:val="libFootnoteAlaemChar"/>
          <w:rtl/>
        </w:rPr>
        <w:t>)</w:t>
      </w:r>
      <w:r w:rsidR="00744A1C">
        <w:rPr>
          <w:rtl/>
          <w:lang w:bidi="fa-IR"/>
        </w:rPr>
        <w:t xml:space="preserve"> ، يعني تأخّر موته</w:t>
      </w:r>
      <w:r w:rsidR="009645E2" w:rsidRPr="00FA1230">
        <w:rPr>
          <w:rStyle w:val="libFootnoteAlaemChar"/>
          <w:rtl/>
        </w:rPr>
        <w:t>(</w:t>
      </w:r>
      <w:r w:rsidR="009645E2" w:rsidRPr="00FA1230">
        <w:rPr>
          <w:rStyle w:val="libFootnoteAieChar"/>
          <w:rtl/>
        </w:rPr>
        <w:t xml:space="preserve"> فَل</w:t>
      </w:r>
      <w:r w:rsidR="009645E2">
        <w:rPr>
          <w:rStyle w:val="libFootnoteAieChar"/>
          <w:rFonts w:hint="cs"/>
          <w:rtl/>
        </w:rPr>
        <w:t>َ</w:t>
      </w:r>
      <w:r w:rsidR="009645E2" w:rsidRPr="00FA1230">
        <w:rPr>
          <w:rStyle w:val="libFootnoteAieChar"/>
          <w:rtl/>
        </w:rPr>
        <w:t xml:space="preserve">ا إِثْمَ عَلَيْهِ </w:t>
      </w:r>
      <w:r w:rsidR="009645E2" w:rsidRPr="00FA1230">
        <w:rPr>
          <w:rStyle w:val="libFootnoteAlaemChar"/>
          <w:rtl/>
        </w:rPr>
        <w:t>)</w:t>
      </w:r>
      <w:r w:rsidR="00744A1C">
        <w:rPr>
          <w:rtl/>
          <w:lang w:bidi="fa-IR"/>
        </w:rPr>
        <w:t xml:space="preserve"> ، يعني في بقيّة عمره إذا اتّقى الكبائر. يعني لمن اتّقى الصيد ، أي في بقيّة عمره. فإنكاره </w:t>
      </w:r>
      <w:r w:rsidR="0061079A" w:rsidRPr="0061079A">
        <w:rPr>
          <w:rStyle w:val="libFootnoteAlaemChar"/>
          <w:rtl/>
        </w:rPr>
        <w:t>عليه‌السلام</w:t>
      </w:r>
      <w:r w:rsidR="00D10E3C">
        <w:rPr>
          <w:rtl/>
          <w:lang w:bidi="fa-IR"/>
        </w:rPr>
        <w:t xml:space="preserve"> </w:t>
      </w:r>
      <w:r w:rsidR="00744A1C">
        <w:rPr>
          <w:rtl/>
          <w:lang w:bidi="fa-IR"/>
        </w:rPr>
        <w:t xml:space="preserve">هذا التفسير لا ينافي ما مضى وما يأتي من تفسيره </w:t>
      </w:r>
      <w:r w:rsidR="0061079A" w:rsidRPr="0061079A">
        <w:rPr>
          <w:rStyle w:val="libFootnoteAlaemChar"/>
          <w:rtl/>
        </w:rPr>
        <w:t>عليه‌السلام</w:t>
      </w:r>
      <w:r w:rsidR="00D10E3C">
        <w:rPr>
          <w:rtl/>
          <w:lang w:bidi="fa-IR"/>
        </w:rPr>
        <w:t xml:space="preserve"> </w:t>
      </w:r>
      <w:r w:rsidR="00744A1C">
        <w:rPr>
          <w:rtl/>
          <w:lang w:bidi="fa-IR"/>
        </w:rPr>
        <w:t xml:space="preserve">الاتّقاء باتّقاء الصيد ؛ لأنّه </w:t>
      </w:r>
      <w:r w:rsidR="0061079A" w:rsidRPr="0061079A">
        <w:rPr>
          <w:rStyle w:val="libFootnoteAlaemChar"/>
          <w:rtl/>
        </w:rPr>
        <w:t>عليه‌السلام</w:t>
      </w:r>
      <w:r w:rsidR="00D10E3C">
        <w:rPr>
          <w:rtl/>
          <w:lang w:bidi="fa-IR"/>
        </w:rPr>
        <w:t xml:space="preserve"> </w:t>
      </w:r>
      <w:r w:rsidR="00744A1C">
        <w:rPr>
          <w:rtl/>
          <w:lang w:bidi="fa-IR"/>
        </w:rPr>
        <w:t xml:space="preserve">فسّره فيما مضى باتّقائه إيّاه في إحرامه ، وفيما يأتي فسّره باتّقائه إيّاه إلى النفر الأخير ، ولم يفسّر في شي‌ء منهما اتّقاءه إيّاه بقيّة عمره كما قالته العامّة ، وكلّما فسّر الاتّقاء بالصيد ونحوه من محرّمات الإحرام ، فالمراد بالتعجيل والتأخير ، التعجيل والتأخير في النفر ، و </w:t>
      </w:r>
      <w:r w:rsidR="00744A1C" w:rsidRPr="005773D7">
        <w:rPr>
          <w:rStyle w:val="libFootnoteAlaemChar"/>
          <w:rtl/>
        </w:rPr>
        <w:t>(</w:t>
      </w:r>
      <w:r w:rsidR="00744A1C" w:rsidRPr="005773D7">
        <w:rPr>
          <w:rStyle w:val="libFootnoteAieChar"/>
          <w:rtl/>
        </w:rPr>
        <w:t xml:space="preserve"> لِمَنِ اتَّقى </w:t>
      </w:r>
      <w:r w:rsidR="00744A1C" w:rsidRPr="005773D7">
        <w:rPr>
          <w:rStyle w:val="libFootnoteAlaemChar"/>
          <w:rtl/>
        </w:rPr>
        <w:t>)</w:t>
      </w:r>
      <w:r w:rsidR="00744A1C">
        <w:rPr>
          <w:rtl/>
          <w:lang w:bidi="fa-IR"/>
        </w:rPr>
        <w:t xml:space="preserve"> متعلّق بالجملتين معاً ، يعني أنّهما سواء للمتّقي ، وكلّما فسّر بالكبائر والذنوب ، فالمراد بهما تعجّل الموت وتأخّره ، و </w:t>
      </w:r>
      <w:r w:rsidR="005773D7" w:rsidRPr="005773D7">
        <w:rPr>
          <w:rStyle w:val="libFootnoteAlaemChar"/>
          <w:rtl/>
        </w:rPr>
        <w:t>(</w:t>
      </w:r>
      <w:r w:rsidR="005773D7" w:rsidRPr="005773D7">
        <w:rPr>
          <w:rStyle w:val="libFootnoteAieChar"/>
          <w:rtl/>
        </w:rPr>
        <w:t xml:space="preserve"> لِمَنِ اتَّقى </w:t>
      </w:r>
      <w:r w:rsidR="005773D7" w:rsidRPr="005773D7">
        <w:rPr>
          <w:rStyle w:val="libFootnoteAlaemChar"/>
          <w:rtl/>
        </w:rPr>
        <w:t>)</w:t>
      </w:r>
      <w:r w:rsidR="00744A1C">
        <w:rPr>
          <w:rtl/>
          <w:lang w:bidi="fa-IR"/>
        </w:rPr>
        <w:t xml:space="preserve"> متعلّق بالجملة الأخيرة خاصّة. والحديث الآتي ظاهره المعنى الثاني أعني الموت ، والاختلاف في تأويلهم </w:t>
      </w:r>
      <w:r w:rsidR="00877682" w:rsidRPr="00877682">
        <w:rPr>
          <w:rStyle w:val="libFootnoteAlaemChar"/>
          <w:rtl/>
        </w:rPr>
        <w:t>عليهم‌السلام</w:t>
      </w:r>
      <w:r w:rsidR="00D10E3C">
        <w:rPr>
          <w:rtl/>
          <w:lang w:bidi="fa-IR"/>
        </w:rPr>
        <w:t xml:space="preserve"> </w:t>
      </w:r>
      <w:r w:rsidR="00744A1C">
        <w:rPr>
          <w:rtl/>
          <w:lang w:bidi="fa-IR"/>
        </w:rPr>
        <w:t>المتشابه ليس بمستنكر ؛ لأ</w:t>
      </w:r>
      <w:r w:rsidR="00B03098">
        <w:rPr>
          <w:rtl/>
          <w:lang w:bidi="fa-IR"/>
        </w:rPr>
        <w:t>نّ القرآن ذو وجوه ، والكلّ صحيح</w:t>
      </w:r>
      <w:r w:rsidR="00744A1C">
        <w:rPr>
          <w:rtl/>
          <w:lang w:bidi="fa-IR"/>
        </w:rPr>
        <w:t>».</w:t>
      </w:r>
    </w:p>
    <w:p w:rsidR="00144FA6" w:rsidRDefault="00744A1C" w:rsidP="00D10E3C">
      <w:pPr>
        <w:pStyle w:val="libFootnote0"/>
        <w:rPr>
          <w:rtl/>
          <w:lang w:bidi="fa-IR"/>
        </w:rPr>
      </w:pPr>
      <w:r>
        <w:rPr>
          <w:rtl/>
          <w:lang w:bidi="fa-IR"/>
        </w:rPr>
        <w:t xml:space="preserve">وفي </w:t>
      </w:r>
      <w:r w:rsidRPr="00877682">
        <w:rPr>
          <w:rStyle w:val="libFootnoteBoldChar"/>
          <w:rtl/>
        </w:rPr>
        <w:t>مرآة العقول</w:t>
      </w:r>
      <w:r>
        <w:rPr>
          <w:rtl/>
          <w:lang w:bidi="fa-IR"/>
        </w:rPr>
        <w:t xml:space="preserve"> ، ج 18 ، ص 216 : « اعلم أنّه يظهر من أخبارنا في الآية وجوه من التأويل :</w:t>
      </w:r>
    </w:p>
    <w:p w:rsidR="00744A1C" w:rsidRDefault="00744A1C" w:rsidP="00997D67">
      <w:pPr>
        <w:pStyle w:val="libFootnote0"/>
        <w:rPr>
          <w:lang w:bidi="fa-IR"/>
        </w:rPr>
      </w:pPr>
      <w:r>
        <w:rPr>
          <w:rtl/>
          <w:lang w:bidi="fa-IR"/>
        </w:rPr>
        <w:t>الأوّل : أنّه</w:t>
      </w:r>
      <w:r w:rsidRPr="00665FC0">
        <w:rPr>
          <w:rStyle w:val="libFootnoteAlaemChar"/>
          <w:rtl/>
        </w:rPr>
        <w:t>(</w:t>
      </w:r>
      <w:r w:rsidRPr="00665FC0">
        <w:rPr>
          <w:rStyle w:val="libFootnoteAieChar"/>
          <w:rtl/>
        </w:rPr>
        <w:t xml:space="preserve"> فَمَنْ تَعَجَّلَ فِي يَوْمَيْنِ </w:t>
      </w:r>
      <w:r w:rsidRPr="00665FC0">
        <w:rPr>
          <w:rStyle w:val="libFootnoteAlaemChar"/>
          <w:rtl/>
        </w:rPr>
        <w:t>)</w:t>
      </w:r>
      <w:r>
        <w:rPr>
          <w:rtl/>
          <w:lang w:bidi="fa-IR"/>
        </w:rPr>
        <w:t xml:space="preserve"> أي نفر في اليوم الثاني عشر ، فلا إثم عليه ، ومن تأخّر إلى الثالث عشر فلا إثم عليه ، فذكر</w:t>
      </w:r>
      <w:r w:rsidR="00997D67">
        <w:rPr>
          <w:rFonts w:hint="cs"/>
          <w:rtl/>
          <w:lang w:bidi="fa-IR"/>
        </w:rPr>
        <w:t xml:space="preserve"> </w:t>
      </w:r>
      <w:r w:rsidRPr="00997D67">
        <w:rPr>
          <w:rStyle w:val="libFootnoteAlaemChar"/>
          <w:rtl/>
        </w:rPr>
        <w:t>(</w:t>
      </w:r>
      <w:r w:rsidR="00997D67">
        <w:rPr>
          <w:rStyle w:val="libFootnoteAlaemChar"/>
          <w:rFonts w:hint="cs"/>
          <w:rtl/>
        </w:rPr>
        <w:t xml:space="preserve"> </w:t>
      </w:r>
      <w:r w:rsidRPr="00997D67">
        <w:rPr>
          <w:rStyle w:val="libFootnoteAieChar"/>
          <w:rtl/>
        </w:rPr>
        <w:t>ل</w:t>
      </w:r>
      <w:r w:rsidR="00997D67" w:rsidRPr="00997D67">
        <w:rPr>
          <w:rStyle w:val="libFootnoteAieChar"/>
          <w:rFonts w:hint="cs"/>
          <w:rtl/>
        </w:rPr>
        <w:t>َ</w:t>
      </w:r>
      <w:r w:rsidRPr="00997D67">
        <w:rPr>
          <w:rStyle w:val="libFootnoteAieChar"/>
          <w:rtl/>
        </w:rPr>
        <w:t>ا إِثْمَ عَلَيْهِ</w:t>
      </w:r>
      <w:r>
        <w:rPr>
          <w:rtl/>
          <w:lang w:bidi="fa-IR"/>
        </w:rPr>
        <w:t xml:space="preserve"> </w:t>
      </w:r>
      <w:r w:rsidRPr="00997D67">
        <w:rPr>
          <w:rStyle w:val="libFootnoteAlaemChar"/>
          <w:rtl/>
        </w:rPr>
        <w:t>)</w:t>
      </w:r>
      <w:r>
        <w:rPr>
          <w:rtl/>
          <w:lang w:bidi="fa-IR"/>
        </w:rPr>
        <w:t xml:space="preserve"> ثانياً إمّا للمزاوجة ، أو لأنّ بعضهم كانوا يرون في التأخير الإثم ، أو لعدم توهّم اعتبار المفهوم في الجزء الأوّل ، كما أومأ إليه الصادق </w:t>
      </w:r>
      <w:r w:rsidR="0061079A" w:rsidRPr="0061079A">
        <w:rPr>
          <w:rStyle w:val="libFootnoteAlaemChar"/>
          <w:rtl/>
        </w:rPr>
        <w:t>عليه‌السلام</w:t>
      </w:r>
      <w:r w:rsidR="00D10E3C">
        <w:rPr>
          <w:rtl/>
          <w:lang w:bidi="fa-IR"/>
        </w:rPr>
        <w:t xml:space="preserve"> </w:t>
      </w:r>
      <w:r>
        <w:rPr>
          <w:rtl/>
          <w:lang w:bidi="fa-IR"/>
        </w:rPr>
        <w:t xml:space="preserve">في خبر أبي أيّوب [ </w:t>
      </w:r>
      <w:r w:rsidRPr="00C24F9C">
        <w:rPr>
          <w:rStyle w:val="libFootnoteBoldChar"/>
          <w:rtl/>
        </w:rPr>
        <w:t>الوسائل</w:t>
      </w:r>
      <w:r>
        <w:rPr>
          <w:rtl/>
          <w:lang w:bidi="fa-IR"/>
        </w:rPr>
        <w:t xml:space="preserve"> ، ج 14 ، ص 275 ، ح 19182 ]. فقوله : </w:t>
      </w:r>
      <w:r w:rsidRPr="000838BB">
        <w:rPr>
          <w:rStyle w:val="libFootnoteAlaemChar"/>
          <w:rtl/>
        </w:rPr>
        <w:t>(</w:t>
      </w:r>
      <w:r w:rsidRPr="000838BB">
        <w:rPr>
          <w:rStyle w:val="libFootnoteAieChar"/>
          <w:rtl/>
        </w:rPr>
        <w:t xml:space="preserve"> لِمَنِ ا</w:t>
      </w:r>
      <w:r w:rsidR="002458D9">
        <w:rPr>
          <w:rStyle w:val="libFootnoteAieChar"/>
          <w:rFonts w:hint="cs"/>
          <w:rtl/>
        </w:rPr>
        <w:t>ِ</w:t>
      </w:r>
      <w:r w:rsidRPr="000838BB">
        <w:rPr>
          <w:rStyle w:val="libFootnoteAieChar"/>
          <w:rtl/>
        </w:rPr>
        <w:t xml:space="preserve">تَّقى </w:t>
      </w:r>
      <w:r w:rsidRPr="000838BB">
        <w:rPr>
          <w:rStyle w:val="libFootnoteAlaemChar"/>
          <w:rtl/>
        </w:rPr>
        <w:t>)</w:t>
      </w:r>
      <w:r>
        <w:rPr>
          <w:rtl/>
          <w:lang w:bidi="fa-IR"/>
        </w:rPr>
        <w:t xml:space="preserve"> أي لمن اتّقى في إحرامه الصيد والنساء ، أو لمن اتّقى إلى النفر الثاني الصيد كما في رواية </w:t>
      </w:r>
      <w:r w:rsidR="005769B9">
        <w:rPr>
          <w:rFonts w:hint="cs"/>
          <w:rtl/>
          <w:lang w:bidi="fa-IR"/>
        </w:rPr>
        <w:t>=</w:t>
      </w:r>
    </w:p>
    <w:p w:rsidR="00150943" w:rsidRDefault="00150943" w:rsidP="00D10E3C">
      <w:pPr>
        <w:pStyle w:val="libNormal"/>
        <w:rPr>
          <w:rtl/>
          <w:lang w:bidi="fa-IR"/>
        </w:rPr>
      </w:pPr>
      <w:r>
        <w:rPr>
          <w:rtl/>
          <w:lang w:bidi="fa-IR"/>
        </w:rPr>
        <w:br w:type="page"/>
      </w:r>
    </w:p>
    <w:p w:rsidR="00744A1C" w:rsidRDefault="00744A1C" w:rsidP="00B03098">
      <w:pPr>
        <w:pStyle w:val="libNormal0"/>
        <w:rPr>
          <w:lang w:bidi="fa-IR"/>
        </w:rPr>
      </w:pPr>
      <w:r>
        <w:rPr>
          <w:rtl/>
          <w:lang w:bidi="fa-IR"/>
        </w:rPr>
        <w:lastRenderedPageBreak/>
        <w:t xml:space="preserve">مَا أَحَلَّهُ فِي قَوْلِهِ عَزَّ وَجَلَّ : </w:t>
      </w:r>
      <w:r w:rsidRPr="004C1CEE">
        <w:rPr>
          <w:rStyle w:val="libAlaemChar"/>
          <w:rtl/>
        </w:rPr>
        <w:t>(</w:t>
      </w:r>
      <w:r w:rsidRPr="004C1CEE">
        <w:rPr>
          <w:rStyle w:val="libAieChar"/>
          <w:rtl/>
        </w:rPr>
        <w:t xml:space="preserve"> وَإِذا حَلَلْتُمْ فَاصْطادُوا </w:t>
      </w:r>
      <w:r w:rsidRPr="004C1CEE">
        <w:rPr>
          <w:rStyle w:val="libAlaemChar"/>
          <w:rtl/>
        </w:rPr>
        <w:t>)</w:t>
      </w:r>
      <w:r>
        <w:rPr>
          <w:rtl/>
          <w:lang w:bidi="fa-IR"/>
        </w:rPr>
        <w:t xml:space="preserve"> </w:t>
      </w:r>
      <w:r w:rsidRPr="00D10E3C">
        <w:rPr>
          <w:rStyle w:val="libFootnotenumChar"/>
          <w:rtl/>
        </w:rPr>
        <w:t>(1)</w:t>
      </w:r>
      <w:r>
        <w:rPr>
          <w:rtl/>
          <w:lang w:bidi="fa-IR"/>
        </w:rPr>
        <w:t>؟ وَ</w:t>
      </w:r>
      <w:r w:rsidR="00141884">
        <w:rPr>
          <w:rFonts w:hint="cs"/>
          <w:rtl/>
          <w:lang w:bidi="fa-IR"/>
        </w:rPr>
        <w:t xml:space="preserve"> </w:t>
      </w:r>
      <w:r>
        <w:rPr>
          <w:rtl/>
          <w:lang w:bidi="fa-IR"/>
        </w:rPr>
        <w:t>فِي تَفْسِيرِ الْعَامَّةِ مَعْنَاهُ : وَإِذَا حَلَلْتُمْ فَاتَّقُوا الصَّيْدَ.</w:t>
      </w:r>
    </w:p>
    <w:p w:rsidR="00744A1C" w:rsidRDefault="00744A1C" w:rsidP="00744A1C">
      <w:pPr>
        <w:pStyle w:val="libNormal"/>
        <w:rPr>
          <w:lang w:bidi="fa-IR"/>
        </w:rPr>
      </w:pPr>
      <w:r>
        <w:rPr>
          <w:rtl/>
          <w:lang w:bidi="fa-IR"/>
        </w:rPr>
        <w:t xml:space="preserve">وَكَافِرٌ وَقَفَ </w:t>
      </w:r>
      <w:r w:rsidRPr="00D10E3C">
        <w:rPr>
          <w:rStyle w:val="libFootnotenumChar"/>
          <w:rtl/>
        </w:rPr>
        <w:t>(2)</w:t>
      </w:r>
      <w:r>
        <w:rPr>
          <w:rtl/>
          <w:lang w:bidi="fa-IR"/>
        </w:rPr>
        <w:t xml:space="preserve"> هذَا الْمَوْقِفَ </w:t>
      </w:r>
      <w:r w:rsidRPr="00D10E3C">
        <w:rPr>
          <w:rStyle w:val="libFootnotenumChar"/>
          <w:rtl/>
        </w:rPr>
        <w:t>(3)</w:t>
      </w:r>
      <w:r>
        <w:rPr>
          <w:rtl/>
          <w:lang w:bidi="fa-IR"/>
        </w:rPr>
        <w:t xml:space="preserve"> زِينَةَ </w:t>
      </w:r>
      <w:r w:rsidRPr="00D10E3C">
        <w:rPr>
          <w:rStyle w:val="libFootnotenumChar"/>
          <w:rtl/>
        </w:rPr>
        <w:t>(4)</w:t>
      </w:r>
      <w:r>
        <w:rPr>
          <w:rtl/>
          <w:lang w:bidi="fa-IR"/>
        </w:rPr>
        <w:t xml:space="preserve"> الْحَيَاةِ الدُّنْيَا غَفَرَ اللهُ لَهُ مَا تَقَدَّمَ مِنْ ذَنْبِهِ </w:t>
      </w:r>
      <w:r w:rsidRPr="00D10E3C">
        <w:rPr>
          <w:rStyle w:val="libFootnotenumChar"/>
          <w:rtl/>
        </w:rPr>
        <w:t>(5)</w:t>
      </w:r>
      <w:r>
        <w:rPr>
          <w:rtl/>
          <w:lang w:bidi="fa-IR"/>
        </w:rPr>
        <w:t xml:space="preserve"> إِنْ تَابَ مِنَ الشِّرْكِ فِيمَا بَقِيَ مِنْ عُمُرِهِ </w:t>
      </w:r>
      <w:r w:rsidRPr="00D10E3C">
        <w:rPr>
          <w:rStyle w:val="libFootnotenumChar"/>
          <w:rtl/>
        </w:rPr>
        <w:t>(6)</w:t>
      </w:r>
      <w:r>
        <w:rPr>
          <w:rtl/>
          <w:lang w:bidi="fa-IR"/>
        </w:rPr>
        <w:t xml:space="preserve"> ، وَإِنْ لَمْ يَتُبْ وَفَّاهُ </w:t>
      </w:r>
      <w:r w:rsidRPr="00D10E3C">
        <w:rPr>
          <w:rStyle w:val="libFootnotenumChar"/>
          <w:rtl/>
        </w:rPr>
        <w:t>(7)</w:t>
      </w:r>
      <w:r>
        <w:rPr>
          <w:rtl/>
          <w:lang w:bidi="fa-IR"/>
        </w:rPr>
        <w:t xml:space="preserve"> أَجْرَهُ </w:t>
      </w:r>
      <w:r w:rsidRPr="00D10E3C">
        <w:rPr>
          <w:rStyle w:val="libFootnotenumChar"/>
          <w:rtl/>
        </w:rPr>
        <w:t>(8)</w:t>
      </w:r>
      <w:r>
        <w:rPr>
          <w:rtl/>
          <w:lang w:bidi="fa-IR"/>
        </w:rPr>
        <w:t xml:space="preserve"> ، وَلَمْ يَحْرِمْهُ أَجْرَ </w:t>
      </w:r>
      <w:r w:rsidRPr="00D10E3C">
        <w:rPr>
          <w:rStyle w:val="libFootnotenumChar"/>
          <w:rtl/>
        </w:rPr>
        <w:t>(9)</w:t>
      </w:r>
      <w:r>
        <w:rPr>
          <w:rtl/>
          <w:lang w:bidi="fa-IR"/>
        </w:rPr>
        <w:t xml:space="preserve"> هذَا الْمَوْقِفِ ، وَذلِكَ قَوْلُهُ عَزَّ وَجَلَّ </w:t>
      </w:r>
      <w:r w:rsidRPr="00D44C45">
        <w:rPr>
          <w:rStyle w:val="libAlaemChar"/>
          <w:rtl/>
        </w:rPr>
        <w:t>(</w:t>
      </w:r>
      <w:r w:rsidRPr="00D44C45">
        <w:rPr>
          <w:rStyle w:val="libAieChar"/>
          <w:rtl/>
        </w:rPr>
        <w:t xml:space="preserve"> مَنْ كانَ يُرِيدُ الْحَياةَ الدُّنْيا وَ</w:t>
      </w:r>
      <w:r w:rsidR="00D44C45">
        <w:rPr>
          <w:rStyle w:val="libAieChar"/>
          <w:rFonts w:hint="cs"/>
          <w:rtl/>
        </w:rPr>
        <w:t xml:space="preserve"> </w:t>
      </w:r>
      <w:r w:rsidRPr="00D44C45">
        <w:rPr>
          <w:rStyle w:val="libAieChar"/>
          <w:rtl/>
        </w:rPr>
        <w:t>زِينَتَها نُوَفِّ إِلَيْهِمْ أَعْمالَهُمْ فِيها وَهُمْ فِيها ل</w:t>
      </w:r>
      <w:r w:rsidR="00E34AE3">
        <w:rPr>
          <w:rStyle w:val="libAieChar"/>
          <w:rFonts w:hint="cs"/>
          <w:rtl/>
        </w:rPr>
        <w:t>َ</w:t>
      </w:r>
      <w:r w:rsidRPr="00D44C45">
        <w:rPr>
          <w:rStyle w:val="libAieChar"/>
          <w:rtl/>
        </w:rPr>
        <w:t>ا يُبْخَسُونَ</w:t>
      </w:r>
      <w:r w:rsidR="00612E2A">
        <w:rPr>
          <w:rStyle w:val="libAieChar"/>
          <w:rFonts w:hint="cs"/>
          <w:rtl/>
        </w:rPr>
        <w:t xml:space="preserve"> *</w:t>
      </w:r>
      <w:r w:rsidRPr="00D44C45">
        <w:rPr>
          <w:rStyle w:val="libAieChar"/>
          <w:rtl/>
        </w:rPr>
        <w:t xml:space="preserve"> أُولئِكَ الَّذِينَ لَي</w:t>
      </w:r>
      <w:r w:rsidR="00AD5F3C">
        <w:rPr>
          <w:rStyle w:val="libAieChar"/>
          <w:rtl/>
        </w:rPr>
        <w:t>ْسَ لَهُمْ فِي الْآخِرَةِ إِل</w:t>
      </w:r>
      <w:r w:rsidR="00AD5F3C">
        <w:rPr>
          <w:rStyle w:val="libAieChar"/>
          <w:rFonts w:hint="cs"/>
          <w:rtl/>
        </w:rPr>
        <w:t>َّ</w:t>
      </w:r>
      <w:r w:rsidR="00AD5F3C">
        <w:rPr>
          <w:rStyle w:val="libAieChar"/>
          <w:rtl/>
        </w:rPr>
        <w:t>ا</w:t>
      </w:r>
      <w:r w:rsidRPr="00D44C45">
        <w:rPr>
          <w:rStyle w:val="libAieChar"/>
          <w:rtl/>
        </w:rPr>
        <w:t xml:space="preserve"> النّارُ وَحَبِطَ ما صَنَعُوا فِيها وَباطِلٌ ما كانُوا يَعْمَلُونَ </w:t>
      </w:r>
      <w:r w:rsidRPr="00D44C45">
        <w:rPr>
          <w:rStyle w:val="libAlaemChar"/>
          <w:rtl/>
        </w:rPr>
        <w:t>)</w:t>
      </w:r>
      <w:r>
        <w:rPr>
          <w:rtl/>
          <w:lang w:bidi="fa-IR"/>
        </w:rPr>
        <w:t xml:space="preserve"> </w:t>
      </w:r>
      <w:r w:rsidRPr="00D10E3C">
        <w:rPr>
          <w:rStyle w:val="libFootnotenumChar"/>
          <w:rtl/>
        </w:rPr>
        <w:t>(10)</w:t>
      </w:r>
      <w:r>
        <w:rPr>
          <w:rtl/>
          <w:lang w:bidi="fa-IR"/>
        </w:rPr>
        <w:t xml:space="preserve">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027A36" w:rsidP="00D10E3C">
      <w:pPr>
        <w:pStyle w:val="libFootnote0"/>
        <w:rPr>
          <w:lang w:bidi="fa-IR"/>
        </w:rPr>
      </w:pPr>
      <w:r>
        <w:rPr>
          <w:rFonts w:hint="cs"/>
          <w:rtl/>
          <w:lang w:bidi="fa-IR"/>
        </w:rPr>
        <w:t xml:space="preserve">= </w:t>
      </w:r>
      <w:r w:rsidR="00744A1C">
        <w:rPr>
          <w:rtl/>
          <w:lang w:bidi="fa-IR"/>
        </w:rPr>
        <w:t xml:space="preserve">العامّة عن ابن عبّاس ، وروي في أخبارنا عن معاوية بن عمّار عن الصادق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C24F9C">
        <w:rPr>
          <w:rStyle w:val="libFootnoteBoldChar"/>
          <w:rtl/>
        </w:rPr>
        <w:t>الوسائل</w:t>
      </w:r>
      <w:r w:rsidR="00744A1C">
        <w:rPr>
          <w:rtl/>
          <w:lang w:bidi="fa-IR"/>
        </w:rPr>
        <w:t xml:space="preserve"> ، ج 14 ، ص 280 ، ح 19198 - 191200 ].</w:t>
      </w:r>
    </w:p>
    <w:p w:rsidR="00744A1C" w:rsidRDefault="00744A1C" w:rsidP="00D10E3C">
      <w:pPr>
        <w:pStyle w:val="libFootnote0"/>
        <w:rPr>
          <w:lang w:bidi="fa-IR"/>
        </w:rPr>
      </w:pPr>
      <w:r>
        <w:rPr>
          <w:rtl/>
          <w:lang w:bidi="fa-IR"/>
        </w:rPr>
        <w:t xml:space="preserve">ويظهر من هذا الخبر أنّه محمول على التقيّة ؛ إذ الاتّقاء إنّما يكون من الأمر المحذّر عنه ، وقد قال الله تعالى : </w:t>
      </w:r>
      <w:r w:rsidRPr="005D1D4B">
        <w:rPr>
          <w:rStyle w:val="libFootnoteAlaemChar"/>
          <w:rtl/>
        </w:rPr>
        <w:t>(</w:t>
      </w:r>
      <w:r w:rsidRPr="005D1D4B">
        <w:rPr>
          <w:rStyle w:val="libFootnoteAieChar"/>
          <w:rtl/>
        </w:rPr>
        <w:t xml:space="preserve"> وَإِذا حَلَلْتُمْ فَاصْطادُوا </w:t>
      </w:r>
      <w:r w:rsidRPr="005D1D4B">
        <w:rPr>
          <w:rStyle w:val="libFootnoteAlaemChar"/>
          <w:rtl/>
        </w:rPr>
        <w:t>)</w:t>
      </w:r>
      <w:r>
        <w:rPr>
          <w:rtl/>
          <w:lang w:bidi="fa-IR"/>
        </w:rPr>
        <w:t xml:space="preserve"> وحمله على أنّ المراد به الاتّقاء في بقيّة العمر بعيد لم ينقل من أحد منهم ، وأمّا تفسير الاتّقاء باتّقاء الصيد فلم ينقل أيضاً من أحد ، ولعلّه قال به بعضهم في ذلك الزمان ، ولم ينقل ، أو غرضه </w:t>
      </w:r>
      <w:r w:rsidR="0061079A" w:rsidRPr="0061079A">
        <w:rPr>
          <w:rStyle w:val="libFootnoteAlaemChar"/>
          <w:rtl/>
        </w:rPr>
        <w:t>عليه‌السلام</w:t>
      </w:r>
      <w:r w:rsidR="00D10E3C">
        <w:rPr>
          <w:rtl/>
          <w:lang w:bidi="fa-IR"/>
        </w:rPr>
        <w:t xml:space="preserve"> </w:t>
      </w:r>
      <w:r>
        <w:rPr>
          <w:rtl/>
          <w:lang w:bidi="fa-IR"/>
        </w:rPr>
        <w:t>أنّه يلزمهم ذلك وإن لم يقولوا به.</w:t>
      </w:r>
    </w:p>
    <w:p w:rsidR="00744A1C" w:rsidRDefault="00744A1C" w:rsidP="00D10E3C">
      <w:pPr>
        <w:pStyle w:val="libFootnote0"/>
        <w:rPr>
          <w:lang w:bidi="fa-IR"/>
        </w:rPr>
      </w:pPr>
      <w:r>
        <w:rPr>
          <w:rtl/>
          <w:lang w:bidi="fa-IR"/>
        </w:rPr>
        <w:t xml:space="preserve">الثاني : تفسير التعجيل والتأخير على الوجه المتقدّم ، وعدم الإثم بعدمه رأساً بغفران جميع الذنوب ، فقوله : </w:t>
      </w:r>
      <w:r w:rsidRPr="002B6336">
        <w:rPr>
          <w:rStyle w:val="libFootnoteAlaemChar"/>
          <w:rtl/>
        </w:rPr>
        <w:t>(</w:t>
      </w:r>
      <w:r w:rsidRPr="002B6336">
        <w:rPr>
          <w:rStyle w:val="libFootnoteAieChar"/>
          <w:rtl/>
        </w:rPr>
        <w:t xml:space="preserve"> لِمَنِ ا</w:t>
      </w:r>
      <w:r w:rsidR="002B6336">
        <w:rPr>
          <w:rStyle w:val="libFootnoteAieChar"/>
          <w:rFonts w:hint="cs"/>
          <w:rtl/>
        </w:rPr>
        <w:t>ِ</w:t>
      </w:r>
      <w:r w:rsidRPr="002B6336">
        <w:rPr>
          <w:rStyle w:val="libFootnoteAieChar"/>
          <w:rtl/>
        </w:rPr>
        <w:t>تَّقى</w:t>
      </w:r>
      <w:r w:rsidRPr="002B6336">
        <w:rPr>
          <w:rStyle w:val="libFootnoteAlaemChar"/>
          <w:rtl/>
        </w:rPr>
        <w:t>)</w:t>
      </w:r>
      <w:r>
        <w:rPr>
          <w:rtl/>
          <w:lang w:bidi="fa-IR"/>
        </w:rPr>
        <w:t xml:space="preserve"> أي لمن اتّقى الكبائر في بقيّة عمره ، أو اتّقى الشرك بأنواعه ، فيكون مخصوصاً بالشيعة ، والظاهر من خبر ابن نجيح المعنى الأخير.</w:t>
      </w:r>
    </w:p>
    <w:p w:rsidR="00744A1C" w:rsidRDefault="00744A1C" w:rsidP="00D10E3C">
      <w:pPr>
        <w:pStyle w:val="libFootnote0"/>
        <w:rPr>
          <w:lang w:bidi="fa-IR"/>
        </w:rPr>
      </w:pPr>
      <w:r>
        <w:rPr>
          <w:rtl/>
          <w:lang w:bidi="fa-IR"/>
        </w:rPr>
        <w:t>الثالث : أن يكون المعنى من تعجّل الموت في اليومين فهو مغفور له ، ومن تأخّر أجله فهو مغفور له ، إذا اتّقى الكبائر في بقيّة عمره.</w:t>
      </w:r>
    </w:p>
    <w:p w:rsidR="00744A1C" w:rsidRDefault="00744A1C" w:rsidP="00D10E3C">
      <w:pPr>
        <w:pStyle w:val="libFootnote0"/>
        <w:rPr>
          <w:lang w:bidi="fa-IR"/>
        </w:rPr>
      </w:pPr>
      <w:r>
        <w:rPr>
          <w:rtl/>
          <w:lang w:bidi="fa-IR"/>
        </w:rPr>
        <w:t>فعلى بعض الوجوه الاتّقاء متعلّق بالحملتين ، وعلى بعضها بالأخيرة ، ولا تنافي بينهما ؛ فإنّ للقرآن ظهراً وبطوناً ».</w:t>
      </w:r>
    </w:p>
    <w:tbl>
      <w:tblPr>
        <w:tblStyle w:val="TableGrid"/>
        <w:bidiVisual/>
        <w:tblW w:w="0" w:type="auto"/>
        <w:tblLook w:val="04A0" w:firstRow="1" w:lastRow="0" w:firstColumn="1" w:lastColumn="0" w:noHBand="0" w:noVBand="1"/>
      </w:tblPr>
      <w:tblGrid>
        <w:gridCol w:w="4006"/>
        <w:gridCol w:w="4006"/>
      </w:tblGrid>
      <w:tr w:rsidR="00054002" w:rsidTr="00054002">
        <w:tc>
          <w:tcPr>
            <w:tcW w:w="4006" w:type="dxa"/>
          </w:tcPr>
          <w:p w:rsidR="00054002" w:rsidRDefault="00054002" w:rsidP="00E378DD">
            <w:pPr>
              <w:pStyle w:val="libFootnote0"/>
              <w:rPr>
                <w:rtl/>
                <w:lang w:bidi="fa-IR"/>
              </w:rPr>
            </w:pPr>
            <w:r>
              <w:rPr>
                <w:rtl/>
                <w:lang w:bidi="fa-IR"/>
              </w:rPr>
              <w:t>(1). المائدة (5). : 2.</w:t>
            </w:r>
          </w:p>
        </w:tc>
        <w:tc>
          <w:tcPr>
            <w:tcW w:w="4006" w:type="dxa"/>
          </w:tcPr>
          <w:p w:rsidR="00054002" w:rsidRDefault="00054002" w:rsidP="00E378DD">
            <w:pPr>
              <w:pStyle w:val="libFootnote0"/>
              <w:rPr>
                <w:rtl/>
                <w:lang w:bidi="fa-IR"/>
              </w:rPr>
            </w:pPr>
            <w:r>
              <w:rPr>
                <w:rtl/>
                <w:lang w:bidi="fa-IR"/>
              </w:rPr>
              <w:t>(2). في « جن » : + « في ».</w:t>
            </w:r>
          </w:p>
        </w:tc>
      </w:tr>
      <w:tr w:rsidR="00054002" w:rsidTr="00054002">
        <w:tc>
          <w:tcPr>
            <w:tcW w:w="4006" w:type="dxa"/>
          </w:tcPr>
          <w:p w:rsidR="00054002" w:rsidRDefault="00054002" w:rsidP="00E378DD">
            <w:pPr>
              <w:pStyle w:val="libFootnote0"/>
              <w:rPr>
                <w:rtl/>
                <w:lang w:bidi="fa-IR"/>
              </w:rPr>
            </w:pPr>
            <w:r>
              <w:rPr>
                <w:rtl/>
                <w:lang w:bidi="fa-IR"/>
              </w:rPr>
              <w:t xml:space="preserve">(3). في </w:t>
            </w:r>
            <w:r w:rsidRPr="00610FB4">
              <w:rPr>
                <w:rStyle w:val="libFootnoteBoldChar"/>
                <w:rtl/>
              </w:rPr>
              <w:t>تفسير القمّي</w:t>
            </w:r>
            <w:r>
              <w:rPr>
                <w:rtl/>
                <w:lang w:bidi="fa-IR"/>
              </w:rPr>
              <w:t xml:space="preserve"> : + « يريد ».</w:t>
            </w:r>
          </w:p>
        </w:tc>
        <w:tc>
          <w:tcPr>
            <w:tcW w:w="4006" w:type="dxa"/>
          </w:tcPr>
          <w:p w:rsidR="00054002" w:rsidRDefault="00054002" w:rsidP="00E378DD">
            <w:pPr>
              <w:pStyle w:val="libFootnote0"/>
              <w:rPr>
                <w:rtl/>
                <w:lang w:bidi="fa-IR"/>
              </w:rPr>
            </w:pPr>
            <w:r>
              <w:rPr>
                <w:rtl/>
                <w:lang w:bidi="fa-IR"/>
              </w:rPr>
              <w:t xml:space="preserve">(4). في </w:t>
            </w:r>
            <w:r w:rsidRPr="00C24F9C">
              <w:rPr>
                <w:rStyle w:val="libFootnoteBoldChar"/>
                <w:rtl/>
              </w:rPr>
              <w:t>الوسائل</w:t>
            </w:r>
            <w:r>
              <w:rPr>
                <w:rtl/>
                <w:lang w:bidi="fa-IR"/>
              </w:rPr>
              <w:t xml:space="preserve"> : « لزينة ».</w:t>
            </w:r>
          </w:p>
        </w:tc>
      </w:tr>
      <w:tr w:rsidR="00054002" w:rsidTr="00054002">
        <w:tc>
          <w:tcPr>
            <w:tcW w:w="4006" w:type="dxa"/>
          </w:tcPr>
          <w:p w:rsidR="00054002" w:rsidRDefault="00054002" w:rsidP="00E378DD">
            <w:pPr>
              <w:pStyle w:val="libFootnote0"/>
              <w:rPr>
                <w:rtl/>
                <w:lang w:bidi="fa-IR"/>
              </w:rPr>
            </w:pPr>
            <w:r>
              <w:rPr>
                <w:rtl/>
                <w:lang w:bidi="fa-IR"/>
              </w:rPr>
              <w:t>(5). في « بف » : + « وما تأخّر ».</w:t>
            </w:r>
          </w:p>
        </w:tc>
        <w:tc>
          <w:tcPr>
            <w:tcW w:w="4006" w:type="dxa"/>
          </w:tcPr>
          <w:p w:rsidR="00054002" w:rsidRDefault="00054002" w:rsidP="00E378DD">
            <w:pPr>
              <w:pStyle w:val="libFootnote0"/>
              <w:rPr>
                <w:rtl/>
                <w:lang w:bidi="fa-IR"/>
              </w:rPr>
            </w:pPr>
            <w:r>
              <w:rPr>
                <w:rtl/>
                <w:lang w:bidi="fa-IR"/>
              </w:rPr>
              <w:t xml:space="preserve">(6). في </w:t>
            </w:r>
            <w:r w:rsidRPr="00610FB4">
              <w:rPr>
                <w:rStyle w:val="libFootnoteBoldChar"/>
                <w:rtl/>
              </w:rPr>
              <w:t>تفسير القمّي</w:t>
            </w:r>
            <w:r>
              <w:rPr>
                <w:rtl/>
                <w:lang w:bidi="fa-IR"/>
              </w:rPr>
              <w:t xml:space="preserve"> : - « فيما بقي من عمره ».</w:t>
            </w:r>
          </w:p>
        </w:tc>
      </w:tr>
      <w:tr w:rsidR="00054002" w:rsidTr="00054002">
        <w:tc>
          <w:tcPr>
            <w:tcW w:w="4006" w:type="dxa"/>
          </w:tcPr>
          <w:p w:rsidR="00054002" w:rsidRDefault="00054002" w:rsidP="00E378DD">
            <w:pPr>
              <w:pStyle w:val="libFootnote0"/>
              <w:rPr>
                <w:rtl/>
                <w:lang w:bidi="fa-IR"/>
              </w:rPr>
            </w:pPr>
            <w:r>
              <w:rPr>
                <w:rtl/>
                <w:lang w:bidi="fa-IR"/>
              </w:rPr>
              <w:t>(7). في حاشية « جن » : « وافاه ».</w:t>
            </w:r>
          </w:p>
        </w:tc>
        <w:tc>
          <w:tcPr>
            <w:tcW w:w="4006" w:type="dxa"/>
          </w:tcPr>
          <w:p w:rsidR="00054002" w:rsidRDefault="00054002" w:rsidP="00E378DD">
            <w:pPr>
              <w:pStyle w:val="libFootnote0"/>
              <w:rPr>
                <w:rtl/>
                <w:lang w:bidi="fa-IR"/>
              </w:rPr>
            </w:pPr>
            <w:r>
              <w:rPr>
                <w:rtl/>
                <w:lang w:bidi="fa-IR"/>
              </w:rPr>
              <w:t xml:space="preserve">(8). في </w:t>
            </w:r>
            <w:r w:rsidRPr="00610FB4">
              <w:rPr>
                <w:rStyle w:val="libFootnoteBoldChar"/>
                <w:rtl/>
              </w:rPr>
              <w:t>تفسير القمّي</w:t>
            </w:r>
            <w:r>
              <w:rPr>
                <w:rtl/>
                <w:lang w:bidi="fa-IR"/>
              </w:rPr>
              <w:t xml:space="preserve"> : + « في الدنيا ».</w:t>
            </w:r>
          </w:p>
        </w:tc>
      </w:tr>
    </w:tbl>
    <w:p w:rsidR="00744A1C" w:rsidRDefault="00E378DD" w:rsidP="00E378DD">
      <w:pPr>
        <w:pStyle w:val="libFootnote0"/>
        <w:rPr>
          <w:lang w:bidi="fa-IR"/>
        </w:rPr>
      </w:pPr>
      <w:r>
        <w:rPr>
          <w:rtl/>
          <w:lang w:bidi="fa-IR"/>
        </w:rPr>
        <w:t>(9).</w:t>
      </w:r>
      <w:r w:rsidR="00744A1C">
        <w:rPr>
          <w:rtl/>
          <w:lang w:bidi="fa-IR"/>
        </w:rPr>
        <w:t xml:space="preserve"> في « بخ » : - « له ما تقدّم - إلى - لم يحرمه أجر ».</w:t>
      </w:r>
    </w:p>
    <w:p w:rsidR="00744A1C" w:rsidRDefault="00E378DD" w:rsidP="00E378DD">
      <w:pPr>
        <w:pStyle w:val="libFootnote0"/>
        <w:rPr>
          <w:lang w:bidi="fa-IR"/>
        </w:rPr>
      </w:pPr>
      <w:r>
        <w:rPr>
          <w:rtl/>
          <w:lang w:bidi="fa-IR"/>
        </w:rPr>
        <w:t>(10).</w:t>
      </w:r>
      <w:r w:rsidR="00744A1C">
        <w:rPr>
          <w:rtl/>
          <w:lang w:bidi="fa-IR"/>
        </w:rPr>
        <w:t xml:space="preserve"> هود </w:t>
      </w:r>
      <w:r>
        <w:rPr>
          <w:rtl/>
          <w:lang w:bidi="fa-IR"/>
        </w:rPr>
        <w:t>(11).</w:t>
      </w:r>
      <w:r w:rsidR="00744A1C">
        <w:rPr>
          <w:rtl/>
          <w:lang w:bidi="fa-IR"/>
        </w:rPr>
        <w:t xml:space="preserve"> : 15 - 16.</w:t>
      </w:r>
    </w:p>
    <w:p w:rsidR="00744A1C" w:rsidRDefault="00E378DD" w:rsidP="00DD0065">
      <w:pPr>
        <w:pStyle w:val="libFootnote0"/>
        <w:rPr>
          <w:lang w:bidi="fa-IR"/>
        </w:rPr>
      </w:pPr>
      <w:r>
        <w:rPr>
          <w:rtl/>
          <w:lang w:bidi="fa-IR"/>
        </w:rPr>
        <w:t>(11).</w:t>
      </w:r>
      <w:r w:rsidR="00744A1C">
        <w:rPr>
          <w:rtl/>
          <w:lang w:bidi="fa-IR"/>
        </w:rPr>
        <w:t xml:space="preserve"> </w:t>
      </w:r>
      <w:r w:rsidR="00744A1C" w:rsidRPr="00610FB4">
        <w:rPr>
          <w:rStyle w:val="libFootnoteBoldChar"/>
          <w:rtl/>
        </w:rPr>
        <w:t>تفسير القمّي</w:t>
      </w:r>
      <w:r w:rsidR="00744A1C">
        <w:rPr>
          <w:rtl/>
          <w:lang w:bidi="fa-IR"/>
        </w:rPr>
        <w:t xml:space="preserve"> ، ج 1 ، ص 70 ، عن أبيه ، عن سليمان بن داود المنقري ، مع اختلاف يسير</w:t>
      </w:r>
      <w:r w:rsidR="00DD0065">
        <w:rPr>
          <w:rFonts w:hint="cs"/>
          <w:rtl/>
          <w:lang w:bidi="fa-IR"/>
        </w:rPr>
        <w:t>.</w:t>
      </w:r>
      <w:r w:rsidR="00744A1C" w:rsidRPr="00C24F9C">
        <w:rPr>
          <w:rStyle w:val="libFootnoteBoldChar"/>
          <w:rtl/>
        </w:rPr>
        <w:t>الوافي</w:t>
      </w:r>
      <w:r w:rsidR="00744A1C">
        <w:rPr>
          <w:rtl/>
          <w:lang w:bidi="fa-IR"/>
        </w:rPr>
        <w:t xml:space="preserve"> ، ج 14 ، </w:t>
      </w:r>
      <w:r w:rsidR="00AD47BC">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7977 / 11. مُحَمَّدُ بْنُ يَحْيى ، عَنْ أَحْمَدَ بْنِ مُحَمَّدٍ ، عَنِ الْحَسَنِ بْنِ مَحْبُوبٍ ، عَنْ مُحَمَّدِ بْنِ الْمُسْتَنِيرِ :</w:t>
      </w:r>
    </w:p>
    <w:p w:rsidR="00CE7431" w:rsidRDefault="00744A1C" w:rsidP="00CE7431">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أَتَى النِّسَاءَ فِي إِحْرَامِهِ ، لَمْ يَكُنْ لَهُ أَنْ يَنْفِرَ فِي النَّفْرِ الْأَوَّلِ ». </w:t>
      </w:r>
      <w:r w:rsidRPr="00D10E3C">
        <w:rPr>
          <w:rStyle w:val="libFootnotenumChar"/>
          <w:rtl/>
        </w:rPr>
        <w:t>(1)</w:t>
      </w:r>
    </w:p>
    <w:p w:rsidR="00744A1C" w:rsidRDefault="00894E12" w:rsidP="00CE7431">
      <w:pPr>
        <w:pStyle w:val="libNormal"/>
        <w:rPr>
          <w:lang w:bidi="fa-IR"/>
        </w:rPr>
      </w:pPr>
      <w:r>
        <w:rPr>
          <w:rFonts w:hint="cs"/>
          <w:rtl/>
          <w:lang w:bidi="fa-IR"/>
        </w:rPr>
        <w:t xml:space="preserve">* </w:t>
      </w:r>
      <w:r w:rsidR="00744A1C">
        <w:rPr>
          <w:rtl/>
          <w:lang w:bidi="fa-IR"/>
        </w:rPr>
        <w:t xml:space="preserve">وَفِي رِوَايَةٍ أُخْرى : « الصَّيْدُ أَيْضاً ». </w:t>
      </w:r>
      <w:r w:rsidR="00744A1C" w:rsidRPr="00D10E3C">
        <w:rPr>
          <w:rStyle w:val="libFootnotenumChar"/>
          <w:rtl/>
        </w:rPr>
        <w:t>(2)</w:t>
      </w:r>
    </w:p>
    <w:p w:rsidR="00144FA6" w:rsidRDefault="00744A1C" w:rsidP="00744A1C">
      <w:pPr>
        <w:pStyle w:val="libNormal"/>
        <w:rPr>
          <w:rtl/>
          <w:lang w:bidi="fa-IR"/>
        </w:rPr>
      </w:pPr>
      <w:r>
        <w:rPr>
          <w:rtl/>
          <w:lang w:bidi="fa-IR"/>
        </w:rPr>
        <w:t>7978 / 12. حُمَيْدُ بْنُ زِيَادٍ ، عَنِ الْحَسَنِ بْنِ مُحَمَّدِ بْنِ سَمَاعَةَ ، عَنْ أَحْمَدَ بْنِ الْحَسَنِ الْمِيثَمِيِّ ، عَنْ مُعَاوِيَةَ بْنِ وَهْبٍ ، عَنْ إِسْمَاعِيلَ بْنِ نَجِيحٍ الرَّمَّاحِ ، قَالَ :</w:t>
      </w:r>
    </w:p>
    <w:p w:rsidR="00744A1C" w:rsidRDefault="00744A1C" w:rsidP="00744A1C">
      <w:pPr>
        <w:pStyle w:val="libNormal"/>
        <w:rPr>
          <w:lang w:bidi="fa-IR"/>
        </w:rPr>
      </w:pPr>
      <w:r>
        <w:rPr>
          <w:rtl/>
          <w:lang w:bidi="fa-IR"/>
        </w:rPr>
        <w:t xml:space="preserve">كُنَّا عِنْدَ أَبِي عَبْدِ اللهِ </w:t>
      </w:r>
      <w:r w:rsidR="0061079A" w:rsidRPr="0061079A">
        <w:rPr>
          <w:rStyle w:val="libAlaemChar"/>
          <w:rtl/>
        </w:rPr>
        <w:t>عليه‌السلام</w:t>
      </w:r>
      <w:r w:rsidR="00D10E3C">
        <w:rPr>
          <w:rtl/>
          <w:lang w:bidi="fa-IR"/>
        </w:rPr>
        <w:t xml:space="preserve"> </w:t>
      </w:r>
      <w:r>
        <w:rPr>
          <w:rtl/>
          <w:lang w:bidi="fa-IR"/>
        </w:rPr>
        <w:t xml:space="preserve">بِمِنًى </w:t>
      </w:r>
      <w:r w:rsidRPr="00D10E3C">
        <w:rPr>
          <w:rStyle w:val="libFootnotenumChar"/>
          <w:rtl/>
        </w:rPr>
        <w:t>(3)</w:t>
      </w:r>
      <w:r>
        <w:rPr>
          <w:rtl/>
          <w:lang w:bidi="fa-IR"/>
        </w:rPr>
        <w:t xml:space="preserve"> لَيْلَةً مِنَ اللَّيَالِي ، فَقَالَ : « مَا يَقُولُ هؤُلَاءِ فِي </w:t>
      </w:r>
      <w:r w:rsidRPr="00D10E3C">
        <w:rPr>
          <w:rStyle w:val="libFootnotenumChar"/>
          <w:rtl/>
        </w:rPr>
        <w:t>(4)</w:t>
      </w:r>
      <w:r>
        <w:rPr>
          <w:rtl/>
          <w:lang w:bidi="fa-IR"/>
        </w:rPr>
        <w:t xml:space="preserve"> </w:t>
      </w:r>
      <w:r w:rsidRPr="00F97D65">
        <w:rPr>
          <w:rStyle w:val="libAlaemChar"/>
          <w:rtl/>
        </w:rPr>
        <w:t>(</w:t>
      </w:r>
      <w:r w:rsidRPr="00F97D65">
        <w:rPr>
          <w:rStyle w:val="libFootnoteAieChar"/>
          <w:rtl/>
        </w:rPr>
        <w:t xml:space="preserve"> </w:t>
      </w:r>
      <w:r w:rsidRPr="00F97D65">
        <w:rPr>
          <w:rStyle w:val="libAieChar"/>
          <w:rtl/>
        </w:rPr>
        <w:t xml:space="preserve">فَمَنْ </w:t>
      </w:r>
      <w:r w:rsidRPr="00D10E3C">
        <w:rPr>
          <w:rStyle w:val="libFootnotenumChar"/>
          <w:rtl/>
        </w:rPr>
        <w:t>(5</w:t>
      </w:r>
      <w:r w:rsidRPr="00F97D65">
        <w:rPr>
          <w:rStyle w:val="libFootnotenumChar"/>
          <w:rtl/>
        </w:rPr>
        <w:t>)</w:t>
      </w:r>
      <w:r w:rsidRPr="00F97D65">
        <w:rPr>
          <w:rStyle w:val="libAieChar"/>
          <w:rtl/>
        </w:rPr>
        <w:t xml:space="preserve"> تَعَجَّلَ فِي يَوْمَيْنِ فَلا إِثْمَ عَلَيْهِ وَمَنْ تَأَخَّرَ فَل</w:t>
      </w:r>
      <w:r w:rsidR="00A7478F">
        <w:rPr>
          <w:rStyle w:val="libAieChar"/>
          <w:rFonts w:hint="cs"/>
          <w:rtl/>
        </w:rPr>
        <w:t>َ</w:t>
      </w:r>
      <w:r w:rsidRPr="00F97D65">
        <w:rPr>
          <w:rStyle w:val="libAieChar"/>
          <w:rtl/>
        </w:rPr>
        <w:t xml:space="preserve">ا إِثْمَ عَلَيْهِ </w:t>
      </w:r>
      <w:r w:rsidRPr="00F97D65">
        <w:rPr>
          <w:rStyle w:val="libAlaemChar"/>
          <w:rtl/>
        </w:rPr>
        <w:t>)</w:t>
      </w:r>
      <w:r>
        <w:rPr>
          <w:rtl/>
          <w:lang w:bidi="fa-IR"/>
        </w:rPr>
        <w:t xml:space="preserve"> </w:t>
      </w:r>
      <w:r w:rsidRPr="00D10E3C">
        <w:rPr>
          <w:rStyle w:val="libFootnotenumChar"/>
          <w:rtl/>
        </w:rPr>
        <w:t>(6)</w:t>
      </w:r>
      <w:r>
        <w:rPr>
          <w:rtl/>
          <w:lang w:bidi="fa-IR"/>
        </w:rPr>
        <w:t>؟ ».</w:t>
      </w:r>
    </w:p>
    <w:p w:rsidR="00744A1C" w:rsidRDefault="00744A1C" w:rsidP="00744A1C">
      <w:pPr>
        <w:pStyle w:val="libNormal"/>
        <w:rPr>
          <w:lang w:bidi="fa-IR"/>
        </w:rPr>
      </w:pPr>
      <w:r>
        <w:rPr>
          <w:rtl/>
          <w:lang w:bidi="fa-IR"/>
        </w:rPr>
        <w:t>قُلْنَا : مَا نَدْرِي.</w:t>
      </w:r>
    </w:p>
    <w:p w:rsidR="00144FA6" w:rsidRPr="00B03098" w:rsidRDefault="00744A1C" w:rsidP="00744A1C">
      <w:pPr>
        <w:pStyle w:val="libNormal"/>
        <w:rPr>
          <w:rtl/>
        </w:rPr>
      </w:pPr>
      <w:r>
        <w:rPr>
          <w:rtl/>
          <w:lang w:bidi="fa-IR"/>
        </w:rPr>
        <w:t xml:space="preserve">قَالَ : « بَلى يَقُولُونَ : مَنْ تَعَجَّلَ مِنْ أَهْلِ الْبَادِيَةِ </w:t>
      </w:r>
      <w:r w:rsidRPr="00D10E3C">
        <w:rPr>
          <w:rStyle w:val="libFootnotenumChar"/>
          <w:rtl/>
        </w:rPr>
        <w:t>(7)</w:t>
      </w:r>
      <w:r>
        <w:rPr>
          <w:rtl/>
          <w:lang w:bidi="fa-IR"/>
        </w:rPr>
        <w:t xml:space="preserve"> ، فَلَا إِثْمَ عَلَيْهِ ، وَمَنْ تَأَخَّرَ مِنْ‌ أَهْلِ الْحَضَرِ ، فَلَا إِثْمَ عَلَيْهِ ، وَلَيْسَ كَمَا يَقُولُونَ </w:t>
      </w:r>
      <w:r w:rsidRPr="00D10E3C">
        <w:rPr>
          <w:rStyle w:val="libFootnotenumChar"/>
          <w:rtl/>
        </w:rPr>
        <w:t>(8)</w:t>
      </w:r>
      <w:r>
        <w:rPr>
          <w:rtl/>
          <w:lang w:bidi="fa-IR"/>
        </w:rPr>
        <w:t xml:space="preserve"> ، قَالَ اللهُ جَلَّ ثَنَاؤُهُ </w:t>
      </w:r>
      <w:r w:rsidRPr="00AF4A9B">
        <w:rPr>
          <w:rStyle w:val="libAlaemChar"/>
          <w:rtl/>
        </w:rPr>
        <w:t>(</w:t>
      </w:r>
      <w:r w:rsidRPr="00AF4A9B">
        <w:rPr>
          <w:rStyle w:val="libAieChar"/>
          <w:rtl/>
        </w:rPr>
        <w:t xml:space="preserve"> فَمَنْ تَعَجَّلَ فِي</w:t>
      </w:r>
    </w:p>
    <w:p w:rsidR="00744A1C" w:rsidRDefault="00744A1C" w:rsidP="00D10E3C">
      <w:pPr>
        <w:pStyle w:val="libLine"/>
        <w:rPr>
          <w:lang w:bidi="fa-IR"/>
        </w:rPr>
      </w:pPr>
      <w:r>
        <w:rPr>
          <w:rtl/>
          <w:lang w:bidi="fa-IR"/>
        </w:rPr>
        <w:t>____________________</w:t>
      </w:r>
    </w:p>
    <w:p w:rsidR="00744A1C" w:rsidRDefault="001D072F" w:rsidP="00D10E3C">
      <w:pPr>
        <w:pStyle w:val="libFootnote0"/>
        <w:rPr>
          <w:lang w:bidi="fa-IR"/>
        </w:rPr>
      </w:pPr>
      <w:r>
        <w:rPr>
          <w:rFonts w:hint="cs"/>
          <w:rtl/>
          <w:lang w:bidi="fa-IR"/>
        </w:rPr>
        <w:t xml:space="preserve">= </w:t>
      </w:r>
      <w:r w:rsidR="00744A1C">
        <w:rPr>
          <w:rtl/>
          <w:lang w:bidi="fa-IR"/>
        </w:rPr>
        <w:t xml:space="preserve">ص 1277 ، ح 14262 ؛ </w:t>
      </w:r>
      <w:r w:rsidR="00744A1C" w:rsidRPr="00C24F9C">
        <w:rPr>
          <w:rStyle w:val="libFootnoteBoldChar"/>
          <w:rtl/>
        </w:rPr>
        <w:t>الوسائل</w:t>
      </w:r>
      <w:r w:rsidR="00744A1C">
        <w:rPr>
          <w:rtl/>
          <w:lang w:bidi="fa-IR"/>
        </w:rPr>
        <w:t xml:space="preserve"> ، ج 13 ، ص 546 ، ح 18406.</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273 ، ح 932 ، معلّقاً عن الكليني </w:t>
      </w:r>
      <w:r w:rsidR="008C2810">
        <w:rPr>
          <w:rFonts w:hint="cs"/>
          <w:rtl/>
          <w:lang w:bidi="fa-IR"/>
        </w:rPr>
        <w:t>.</w:t>
      </w:r>
      <w:r w:rsidR="00744A1C" w:rsidRPr="00C24F9C">
        <w:rPr>
          <w:rStyle w:val="libFootnoteBoldChar"/>
          <w:rtl/>
        </w:rPr>
        <w:t>الوافي</w:t>
      </w:r>
      <w:r w:rsidR="00744A1C">
        <w:rPr>
          <w:rtl/>
          <w:lang w:bidi="fa-IR"/>
        </w:rPr>
        <w:t xml:space="preserve"> ، ج 14 ، ص 1274 ، ح 14252 ؛ </w:t>
      </w:r>
      <w:r w:rsidR="00744A1C" w:rsidRPr="00C24F9C">
        <w:rPr>
          <w:rStyle w:val="libFootnoteBoldChar"/>
          <w:rtl/>
        </w:rPr>
        <w:t>الوسائل</w:t>
      </w:r>
      <w:r w:rsidR="00744A1C">
        <w:rPr>
          <w:rtl/>
          <w:lang w:bidi="fa-IR"/>
        </w:rPr>
        <w:t xml:space="preserve"> ، ج 14 ، ص 279 ، ح 19195.</w:t>
      </w:r>
    </w:p>
    <w:p w:rsidR="00744A1C" w:rsidRDefault="00E378DD" w:rsidP="00527065">
      <w:pPr>
        <w:pStyle w:val="libFootnote0"/>
        <w:rPr>
          <w:lang w:bidi="fa-IR"/>
        </w:rPr>
      </w:pPr>
      <w:r>
        <w:rPr>
          <w:rtl/>
          <w:lang w:bidi="fa-IR"/>
        </w:rPr>
        <w:t>(2).</w:t>
      </w:r>
      <w:r w:rsidR="00744A1C">
        <w:rPr>
          <w:rtl/>
          <w:lang w:bidi="fa-IR"/>
        </w:rPr>
        <w:t xml:space="preserve"> </w:t>
      </w:r>
      <w:r w:rsidR="00744A1C" w:rsidRPr="00C24F9C">
        <w:rPr>
          <w:rStyle w:val="libFootnoteBoldChar"/>
          <w:rtl/>
        </w:rPr>
        <w:t>الفقيه</w:t>
      </w:r>
      <w:r w:rsidR="00744A1C">
        <w:rPr>
          <w:rtl/>
          <w:lang w:bidi="fa-IR"/>
        </w:rPr>
        <w:t xml:space="preserve"> ، ج 2 ، ص 418 ، ذيل ح 3025 ؛ </w:t>
      </w:r>
      <w:r w:rsidR="00744A1C" w:rsidRPr="0061079A">
        <w:rPr>
          <w:rStyle w:val="libFootnoteBoldChar"/>
          <w:rtl/>
        </w:rPr>
        <w:t>و</w:t>
      </w:r>
      <w:r w:rsidR="00FD2241">
        <w:rPr>
          <w:rStyle w:val="libFootnoteBoldChar"/>
          <w:rFonts w:hint="cs"/>
          <w:rtl/>
        </w:rPr>
        <w:t xml:space="preserve"> </w:t>
      </w:r>
      <w:r w:rsidR="00744A1C" w:rsidRPr="0061079A">
        <w:rPr>
          <w:rStyle w:val="libFootnoteBoldChar"/>
          <w:rtl/>
        </w:rPr>
        <w:t>التهذيب</w:t>
      </w:r>
      <w:r w:rsidR="00744A1C">
        <w:rPr>
          <w:rtl/>
          <w:lang w:bidi="fa-IR"/>
        </w:rPr>
        <w:t xml:space="preserve"> ، ج 5 ، ص 273 ، ح 933 ؛ وص 490 ، ح 1758 ، بسند آخر ، مع اختلاف يسير</w:t>
      </w:r>
      <w:r w:rsidR="00527065">
        <w:rPr>
          <w:rFonts w:hint="cs"/>
          <w:rtl/>
          <w:lang w:bidi="fa-IR"/>
        </w:rPr>
        <w:t>.</w:t>
      </w:r>
      <w:r w:rsidR="00744A1C" w:rsidRPr="00C24F9C">
        <w:rPr>
          <w:rStyle w:val="libFootnoteBoldChar"/>
          <w:rtl/>
        </w:rPr>
        <w:t>الوافي</w:t>
      </w:r>
      <w:r w:rsidR="00744A1C">
        <w:rPr>
          <w:rtl/>
          <w:lang w:bidi="fa-IR"/>
        </w:rPr>
        <w:t xml:space="preserve"> ، ج 14 ، ص 1274 ، ح 14253 ؛ </w:t>
      </w:r>
      <w:r w:rsidR="00744A1C" w:rsidRPr="00C24F9C">
        <w:rPr>
          <w:rStyle w:val="libFootnoteBoldChar"/>
          <w:rtl/>
        </w:rPr>
        <w:t>الوسائل</w:t>
      </w:r>
      <w:r w:rsidR="00744A1C">
        <w:rPr>
          <w:rtl/>
          <w:lang w:bidi="fa-IR"/>
        </w:rPr>
        <w:t xml:space="preserve"> ، ج 14 ، ص 279 ، ذيل ح 19195.</w:t>
      </w:r>
    </w:p>
    <w:p w:rsidR="00744A1C" w:rsidRDefault="00E378DD" w:rsidP="00E378DD">
      <w:pPr>
        <w:pStyle w:val="libFootnote0"/>
        <w:rPr>
          <w:lang w:bidi="fa-IR"/>
        </w:rPr>
      </w:pPr>
      <w:r>
        <w:rPr>
          <w:rtl/>
          <w:lang w:bidi="fa-IR"/>
        </w:rPr>
        <w:t>(3).</w:t>
      </w:r>
      <w:r w:rsidR="00744A1C">
        <w:rPr>
          <w:rtl/>
          <w:lang w:bidi="fa-IR"/>
        </w:rPr>
        <w:t xml:space="preserve"> في « بث » : - « بمنى ».</w:t>
      </w:r>
    </w:p>
    <w:p w:rsidR="00744A1C" w:rsidRDefault="00E378DD" w:rsidP="00E378DD">
      <w:pPr>
        <w:pStyle w:val="libFootnote0"/>
        <w:rPr>
          <w:lang w:bidi="fa-IR"/>
        </w:rPr>
      </w:pPr>
      <w:r>
        <w:rPr>
          <w:rtl/>
          <w:lang w:bidi="fa-IR"/>
        </w:rPr>
        <w:t>(4).</w:t>
      </w:r>
      <w:r w:rsidR="00744A1C">
        <w:rPr>
          <w:rtl/>
          <w:lang w:bidi="fa-IR"/>
        </w:rPr>
        <w:t xml:space="preserve"> في « بث ، جن » : - « في ».</w:t>
      </w:r>
    </w:p>
    <w:p w:rsidR="00744A1C" w:rsidRDefault="00E378DD" w:rsidP="00E378DD">
      <w:pPr>
        <w:pStyle w:val="libFootnote0"/>
        <w:rPr>
          <w:lang w:bidi="fa-IR"/>
        </w:rPr>
      </w:pPr>
      <w:r>
        <w:rPr>
          <w:rtl/>
          <w:lang w:bidi="fa-IR"/>
        </w:rPr>
        <w:t>(5).</w:t>
      </w:r>
      <w:r w:rsidR="00744A1C">
        <w:rPr>
          <w:rtl/>
          <w:lang w:bidi="fa-IR"/>
        </w:rPr>
        <w:t xml:space="preserve"> في « ى ، بح ، بخ ، بس ، بف ، جد » و</w:t>
      </w:r>
      <w:r w:rsidR="00744A1C" w:rsidRPr="00C24F9C">
        <w:rPr>
          <w:rStyle w:val="libFootnoteBoldChar"/>
          <w:rtl/>
        </w:rPr>
        <w:t>الوافي</w:t>
      </w:r>
      <w:r w:rsidR="00744A1C">
        <w:rPr>
          <w:rtl/>
          <w:lang w:bidi="fa-IR"/>
        </w:rPr>
        <w:t xml:space="preserve"> : « من ».</w:t>
      </w:r>
    </w:p>
    <w:p w:rsidR="00744A1C" w:rsidRDefault="00E378DD" w:rsidP="00E378DD">
      <w:pPr>
        <w:pStyle w:val="libFootnote0"/>
        <w:rPr>
          <w:lang w:bidi="fa-IR"/>
        </w:rPr>
      </w:pPr>
      <w:r>
        <w:rPr>
          <w:rtl/>
          <w:lang w:bidi="fa-IR"/>
        </w:rPr>
        <w:t>(6).</w:t>
      </w:r>
      <w:r w:rsidR="00744A1C">
        <w:rPr>
          <w:rtl/>
          <w:lang w:bidi="fa-IR"/>
        </w:rPr>
        <w:t xml:space="preserve"> البقرة </w:t>
      </w:r>
      <w:r>
        <w:rPr>
          <w:rtl/>
          <w:lang w:bidi="fa-IR"/>
        </w:rPr>
        <w:t>(2).</w:t>
      </w:r>
      <w:r w:rsidR="00744A1C">
        <w:rPr>
          <w:rtl/>
          <w:lang w:bidi="fa-IR"/>
        </w:rPr>
        <w:t xml:space="preserve"> : 203.</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إشارة إلى ما قال به أحمد : إنّه لا ينبغي لمن أراد المقام بمكّة أن يتعجّل ، وإلى قول مالك : من كان‌من أهل مكّة ، وفيه عذر ، فله أن يتعجّل في يومين ، وإن أراد التخفيف عن نفسه فلا ».</w:t>
      </w:r>
    </w:p>
    <w:p w:rsidR="00744A1C" w:rsidRDefault="00E378DD" w:rsidP="00E378DD">
      <w:pPr>
        <w:pStyle w:val="libFootnote0"/>
        <w:rPr>
          <w:lang w:bidi="fa-IR"/>
        </w:rPr>
      </w:pPr>
      <w:r>
        <w:rPr>
          <w:rtl/>
          <w:lang w:bidi="fa-IR"/>
        </w:rPr>
        <w:t>(8).</w:t>
      </w:r>
      <w:r w:rsidR="00744A1C">
        <w:rPr>
          <w:rtl/>
          <w:lang w:bidi="fa-IR"/>
        </w:rPr>
        <w:t xml:space="preserve"> في « بس » : - « يقولون ».</w:t>
      </w:r>
    </w:p>
    <w:p w:rsidR="00150943" w:rsidRDefault="00150943" w:rsidP="00D10E3C">
      <w:pPr>
        <w:pStyle w:val="libNormal"/>
        <w:rPr>
          <w:rtl/>
          <w:lang w:bidi="fa-IR"/>
        </w:rPr>
      </w:pPr>
      <w:r>
        <w:rPr>
          <w:rtl/>
          <w:lang w:bidi="fa-IR"/>
        </w:rPr>
        <w:br w:type="page"/>
      </w:r>
    </w:p>
    <w:p w:rsidR="00744A1C" w:rsidRDefault="00744A1C" w:rsidP="00B03098">
      <w:pPr>
        <w:pStyle w:val="libNormal0"/>
        <w:rPr>
          <w:lang w:bidi="fa-IR"/>
        </w:rPr>
      </w:pPr>
      <w:r w:rsidRPr="00B14330">
        <w:rPr>
          <w:rStyle w:val="libAieChar"/>
          <w:rtl/>
        </w:rPr>
        <w:lastRenderedPageBreak/>
        <w:t>يَوْمَيْنِ فَل</w:t>
      </w:r>
      <w:r w:rsidR="00DE456A">
        <w:rPr>
          <w:rStyle w:val="libAieChar"/>
          <w:rFonts w:hint="cs"/>
          <w:rtl/>
        </w:rPr>
        <w:t>َ</w:t>
      </w:r>
      <w:r w:rsidRPr="00B14330">
        <w:rPr>
          <w:rStyle w:val="libAieChar"/>
          <w:rtl/>
        </w:rPr>
        <w:t>ا إِثْمَ عَلَيْهِ</w:t>
      </w:r>
      <w:r>
        <w:rPr>
          <w:rtl/>
          <w:lang w:bidi="fa-IR"/>
        </w:rPr>
        <w:t xml:space="preserve"> </w:t>
      </w:r>
      <w:r w:rsidRPr="00B14330">
        <w:rPr>
          <w:rStyle w:val="libAlaemChar"/>
          <w:rtl/>
        </w:rPr>
        <w:t>)</w:t>
      </w:r>
      <w:r>
        <w:rPr>
          <w:rtl/>
          <w:lang w:bidi="fa-IR"/>
        </w:rPr>
        <w:t xml:space="preserve"> </w:t>
      </w:r>
      <w:r w:rsidRPr="00D10E3C">
        <w:rPr>
          <w:rStyle w:val="libFootnotenumChar"/>
          <w:rtl/>
        </w:rPr>
        <w:t>(1)</w:t>
      </w:r>
      <w:r>
        <w:rPr>
          <w:rtl/>
          <w:lang w:bidi="fa-IR"/>
        </w:rPr>
        <w:t xml:space="preserve"> : أَلَا لَا إِثْمَ عَلَيْهِ </w:t>
      </w:r>
      <w:r w:rsidRPr="00B71566">
        <w:rPr>
          <w:rStyle w:val="libAlaemChar"/>
          <w:rtl/>
        </w:rPr>
        <w:t>(</w:t>
      </w:r>
      <w:r w:rsidRPr="00B71566">
        <w:rPr>
          <w:rStyle w:val="libAieChar"/>
          <w:rtl/>
        </w:rPr>
        <w:t xml:space="preserve"> وَمَنْ تَأَخَّرَ فَل</w:t>
      </w:r>
      <w:r w:rsidR="00B71566">
        <w:rPr>
          <w:rStyle w:val="libAieChar"/>
          <w:rFonts w:hint="cs"/>
          <w:rtl/>
        </w:rPr>
        <w:t>َ</w:t>
      </w:r>
      <w:r w:rsidRPr="00B71566">
        <w:rPr>
          <w:rStyle w:val="libAieChar"/>
          <w:rtl/>
        </w:rPr>
        <w:t xml:space="preserve">ا إِثْمَ عَلَيْهِ </w:t>
      </w:r>
      <w:r w:rsidRPr="00B71566">
        <w:rPr>
          <w:rStyle w:val="libAlaemChar"/>
          <w:rtl/>
        </w:rPr>
        <w:t>)</w:t>
      </w:r>
      <w:r>
        <w:rPr>
          <w:rtl/>
          <w:lang w:bidi="fa-IR"/>
        </w:rPr>
        <w:t xml:space="preserve"> : أَلَا لَا إِثْمَ عَلَيْهِ </w:t>
      </w:r>
      <w:r w:rsidRPr="00D10E3C">
        <w:rPr>
          <w:rStyle w:val="libFootnotenumChar"/>
          <w:rtl/>
        </w:rPr>
        <w:t>(2)</w:t>
      </w:r>
      <w:r>
        <w:rPr>
          <w:rtl/>
          <w:lang w:bidi="fa-IR"/>
        </w:rPr>
        <w:t xml:space="preserve"> </w:t>
      </w:r>
      <w:r w:rsidRPr="00B3254A">
        <w:rPr>
          <w:rStyle w:val="libAlaemChar"/>
          <w:rtl/>
        </w:rPr>
        <w:t>(</w:t>
      </w:r>
      <w:r w:rsidRPr="00B3254A">
        <w:rPr>
          <w:rStyle w:val="libAieChar"/>
          <w:rtl/>
        </w:rPr>
        <w:t xml:space="preserve"> لِمَنِ اتَّق</w:t>
      </w:r>
      <w:r w:rsidR="00B3254A">
        <w:rPr>
          <w:rStyle w:val="libAieChar"/>
          <w:rFonts w:hint="cs"/>
          <w:rtl/>
        </w:rPr>
        <w:t>َ</w:t>
      </w:r>
      <w:r w:rsidRPr="00B3254A">
        <w:rPr>
          <w:rStyle w:val="libAieChar"/>
          <w:rtl/>
        </w:rPr>
        <w:t xml:space="preserve">ى </w:t>
      </w:r>
      <w:r w:rsidRPr="00B3254A">
        <w:rPr>
          <w:rStyle w:val="libAlaemChar"/>
          <w:rtl/>
        </w:rPr>
        <w:t>)</w:t>
      </w:r>
      <w:r>
        <w:rPr>
          <w:rtl/>
          <w:lang w:bidi="fa-IR"/>
        </w:rPr>
        <w:t xml:space="preserve"> : إِنَّمَا هِيَ لَكُمْ </w:t>
      </w:r>
      <w:r w:rsidRPr="00D10E3C">
        <w:rPr>
          <w:rStyle w:val="libFootnotenumChar"/>
          <w:rtl/>
        </w:rPr>
        <w:t>(3)</w:t>
      </w:r>
      <w:r>
        <w:rPr>
          <w:rtl/>
          <w:lang w:bidi="fa-IR"/>
        </w:rPr>
        <w:t xml:space="preserve"> ، وَالنَّاسُ سَوَادٌ </w:t>
      </w:r>
      <w:r w:rsidRPr="00D10E3C">
        <w:rPr>
          <w:rStyle w:val="libFootnotenumChar"/>
          <w:rtl/>
        </w:rPr>
        <w:t>(4)</w:t>
      </w:r>
      <w:r>
        <w:rPr>
          <w:rtl/>
          <w:lang w:bidi="fa-IR"/>
        </w:rPr>
        <w:t xml:space="preserve"> ، وَأَنْتُمُ الْحَاجُّ ». </w:t>
      </w:r>
      <w:r w:rsidRPr="00D10E3C">
        <w:rPr>
          <w:rStyle w:val="libFootnotenumChar"/>
          <w:rtl/>
        </w:rPr>
        <w:t>(5)</w:t>
      </w:r>
    </w:p>
    <w:p w:rsidR="00744A1C" w:rsidRDefault="00744A1C" w:rsidP="00C57655">
      <w:pPr>
        <w:pStyle w:val="Heading2Center"/>
        <w:rPr>
          <w:lang w:bidi="fa-IR"/>
        </w:rPr>
      </w:pPr>
      <w:bookmarkStart w:id="44" w:name="_Toc49261342"/>
      <w:r>
        <w:rPr>
          <w:rtl/>
          <w:lang w:bidi="fa-IR"/>
        </w:rPr>
        <w:t xml:space="preserve">199 - بَابُ نُزُولِ الْحَصْبَةِ </w:t>
      </w:r>
      <w:r w:rsidRPr="00D10E3C">
        <w:rPr>
          <w:rStyle w:val="libFootnotenumChar"/>
          <w:rtl/>
        </w:rPr>
        <w:t>(6)</w:t>
      </w:r>
      <w:bookmarkEnd w:id="44"/>
    </w:p>
    <w:p w:rsidR="00744A1C" w:rsidRDefault="00744A1C" w:rsidP="00744A1C">
      <w:pPr>
        <w:pStyle w:val="libNormal"/>
        <w:rPr>
          <w:lang w:bidi="fa-IR"/>
        </w:rPr>
      </w:pPr>
      <w:r>
        <w:rPr>
          <w:rtl/>
          <w:lang w:bidi="fa-IR"/>
        </w:rPr>
        <w:t xml:space="preserve">7979 / 1. الْحُسَيْنُ بْنُ مُحَمَّدٍ ، عَنْ مُعَلَّى بْنِ مُحَمَّدٍ </w:t>
      </w:r>
      <w:r w:rsidRPr="00D10E3C">
        <w:rPr>
          <w:rStyle w:val="libFootnotenumChar"/>
          <w:rtl/>
        </w:rPr>
        <w:t>(7)</w:t>
      </w:r>
      <w:r>
        <w:rPr>
          <w:rtl/>
          <w:lang w:bidi="fa-IR"/>
        </w:rPr>
        <w:t xml:space="preserve"> ، عَنِ الْحَسَنِ بْنِ عَلِيٍّ ، عَنْ </w:t>
      </w:r>
      <w:r w:rsidR="00C57655">
        <w:rPr>
          <w:rtl/>
          <w:lang w:bidi="fa-IR"/>
        </w:rPr>
        <w:t>أَبَانٍ ، عَنْ أَبِي مَرْيَمَ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سُئِلَ عَنِ الْحَصْبَةِ ، فَقَالَ : « كَانَ أَبِي يَنْزِلُ الْأَبْطَحَ قَلِيلاً </w:t>
      </w:r>
      <w:r w:rsidRPr="00D10E3C">
        <w:rPr>
          <w:rStyle w:val="libFootnotenumChar"/>
          <w:rtl/>
        </w:rPr>
        <w:t>(8)</w:t>
      </w:r>
      <w:r>
        <w:rPr>
          <w:rtl/>
          <w:lang w:bidi="fa-IR"/>
        </w:rPr>
        <w:t xml:space="preserve"> ، ثُمَّ يَجِي‌ءُ وَيَدْخُلُ </w:t>
      </w:r>
      <w:r w:rsidRPr="00D10E3C">
        <w:rPr>
          <w:rStyle w:val="libFootnotenumChar"/>
          <w:rtl/>
        </w:rPr>
        <w:t>(9)</w:t>
      </w:r>
      <w:r>
        <w:rPr>
          <w:rtl/>
          <w:lang w:bidi="fa-IR"/>
        </w:rPr>
        <w:t xml:space="preserve"> الْبُيُوتَ مِنْ غَيْرِ أَنْ يَنَامَ بِالْأَبْطَحِ ».</w:t>
      </w:r>
    </w:p>
    <w:p w:rsidR="00744A1C" w:rsidRDefault="00744A1C" w:rsidP="00744A1C">
      <w:pPr>
        <w:pStyle w:val="libNormal"/>
        <w:rPr>
          <w:lang w:bidi="fa-IR"/>
        </w:rPr>
      </w:pPr>
      <w:r>
        <w:rPr>
          <w:rtl/>
          <w:lang w:bidi="fa-IR"/>
        </w:rPr>
        <w:t xml:space="preserve">فَقُلْتُ لَهُ : أَرَأَيْتَ إِنْ </w:t>
      </w:r>
      <w:r w:rsidRPr="00D10E3C">
        <w:rPr>
          <w:rStyle w:val="libFootnotenumChar"/>
          <w:rtl/>
        </w:rPr>
        <w:t>(10)</w:t>
      </w:r>
      <w:r>
        <w:rPr>
          <w:rtl/>
          <w:lang w:bidi="fa-IR"/>
        </w:rPr>
        <w:t xml:space="preserve"> تَعَجَّلَ فِي يَوْمَيْنِ إِنْ كَانَ مِنْ أَهْلِ الْيَمَنِ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18603A">
      <w:pPr>
        <w:pStyle w:val="libFootnote0"/>
        <w:rPr>
          <w:lang w:bidi="fa-IR"/>
        </w:rPr>
      </w:pPr>
      <w:r>
        <w:rPr>
          <w:rtl/>
          <w:lang w:bidi="fa-IR"/>
        </w:rPr>
        <w:t>(1).</w:t>
      </w:r>
      <w:r w:rsidR="00744A1C">
        <w:rPr>
          <w:rtl/>
          <w:lang w:bidi="fa-IR"/>
        </w:rPr>
        <w:t xml:space="preserve"> في « بخ » : - « وليس كما يقولون - إلى - </w:t>
      </w:r>
      <w:r w:rsidR="00744A1C" w:rsidRPr="00C001F5">
        <w:rPr>
          <w:rStyle w:val="libFootnoteAlaemChar"/>
          <w:rtl/>
        </w:rPr>
        <w:t>(</w:t>
      </w:r>
      <w:r w:rsidR="00744A1C" w:rsidRPr="00C001F5">
        <w:rPr>
          <w:rStyle w:val="libFootnoteAieChar"/>
          <w:rtl/>
        </w:rPr>
        <w:t xml:space="preserve"> </w:t>
      </w:r>
      <w:r w:rsidR="00744A1C" w:rsidRPr="0018603A">
        <w:rPr>
          <w:rStyle w:val="libFootnoteAieChar"/>
          <w:rtl/>
        </w:rPr>
        <w:t>فَل</w:t>
      </w:r>
      <w:r w:rsidR="0018603A" w:rsidRPr="0018603A">
        <w:rPr>
          <w:rStyle w:val="libFootnoteAieChar"/>
          <w:rFonts w:hint="cs"/>
          <w:rtl/>
        </w:rPr>
        <w:t>َ</w:t>
      </w:r>
      <w:r w:rsidR="0018603A" w:rsidRPr="0018603A">
        <w:rPr>
          <w:rStyle w:val="libFootnoteAieChar"/>
          <w:rtl/>
        </w:rPr>
        <w:t>آ</w:t>
      </w:r>
      <w:r w:rsidR="00744A1C" w:rsidRPr="0018603A">
        <w:rPr>
          <w:rStyle w:val="libFootnoteAieChar"/>
          <w:rtl/>
        </w:rPr>
        <w:t xml:space="preserve"> إِ</w:t>
      </w:r>
      <w:r w:rsidR="00744A1C" w:rsidRPr="00C001F5">
        <w:rPr>
          <w:rStyle w:val="libFootnoteAieChar"/>
          <w:rtl/>
        </w:rPr>
        <w:t xml:space="preserve">ثْمَ عَلَيْهِ </w:t>
      </w:r>
      <w:r w:rsidR="00744A1C" w:rsidRPr="00C001F5">
        <w:rPr>
          <w:rStyle w:val="libFootnoteAlaemChar"/>
          <w:rtl/>
        </w:rPr>
        <w:t>)</w:t>
      </w:r>
      <w:r w:rsidR="00744A1C">
        <w:rPr>
          <w:rtl/>
          <w:lang w:bidi="fa-IR"/>
        </w:rPr>
        <w:t xml:space="preserve"> ».</w:t>
      </w:r>
    </w:p>
    <w:p w:rsidR="00744A1C" w:rsidRDefault="00E378DD" w:rsidP="00E378DD">
      <w:pPr>
        <w:pStyle w:val="libFootnote0"/>
        <w:rPr>
          <w:lang w:bidi="fa-IR"/>
        </w:rPr>
      </w:pPr>
      <w:r>
        <w:rPr>
          <w:rtl/>
          <w:lang w:bidi="fa-IR"/>
        </w:rPr>
        <w:t>(2).</w:t>
      </w:r>
      <w:r w:rsidR="00744A1C">
        <w:rPr>
          <w:rtl/>
          <w:lang w:bidi="fa-IR"/>
        </w:rPr>
        <w:t xml:space="preserve"> في « جن » : - « ألا لا إثم عليه ». وفي « بخ » : - « ومن تأخّر فلا إثم عليه ، ألا لا إثم عليه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الظاهر أنّه </w:t>
      </w:r>
      <w:r w:rsidR="0061079A" w:rsidRPr="0061079A">
        <w:rPr>
          <w:rStyle w:val="libFootnoteAlaemChar"/>
          <w:rtl/>
        </w:rPr>
        <w:t>عليه‌السلام</w:t>
      </w:r>
      <w:r w:rsidR="00D10E3C">
        <w:rPr>
          <w:rtl/>
          <w:lang w:bidi="fa-IR"/>
        </w:rPr>
        <w:t xml:space="preserve"> </w:t>
      </w:r>
      <w:r w:rsidR="00744A1C">
        <w:rPr>
          <w:rtl/>
          <w:lang w:bidi="fa-IR"/>
        </w:rPr>
        <w:t xml:space="preserve">فسّر الاتّقاء بمجانبة العقائد الفاسدة واختيار دين الحقّ ، أي المغفرة ، وعلى التقديرين إنّما هو لمن اختار دين الحقّ. ويحتمل أن يكون المراد : الاتّقاء من الكبائر ، وبيّن </w:t>
      </w:r>
      <w:r w:rsidR="0061079A" w:rsidRPr="0061079A">
        <w:rPr>
          <w:rStyle w:val="libFootnoteAlaemChar"/>
          <w:rtl/>
        </w:rPr>
        <w:t>عليه‌السلام</w:t>
      </w:r>
      <w:r w:rsidR="00D10E3C">
        <w:rPr>
          <w:rtl/>
          <w:lang w:bidi="fa-IR"/>
        </w:rPr>
        <w:t xml:space="preserve"> </w:t>
      </w:r>
      <w:r w:rsidR="00744A1C">
        <w:rPr>
          <w:rtl/>
          <w:lang w:bidi="fa-IR"/>
        </w:rPr>
        <w:t>أنّ هذا الحكم مخصوص بالشيعة. والأوّل أظهر ».</w:t>
      </w:r>
    </w:p>
    <w:p w:rsidR="00744A1C" w:rsidRDefault="00E378DD" w:rsidP="00E378DD">
      <w:pPr>
        <w:pStyle w:val="libFootnote0"/>
        <w:rPr>
          <w:lang w:bidi="fa-IR"/>
        </w:rPr>
      </w:pPr>
      <w:r>
        <w:rPr>
          <w:rtl/>
          <w:lang w:bidi="fa-IR"/>
        </w:rPr>
        <w:t>(4).</w:t>
      </w:r>
      <w:r w:rsidR="00744A1C">
        <w:rPr>
          <w:rtl/>
          <w:lang w:bidi="fa-IR"/>
        </w:rPr>
        <w:t xml:space="preserve"> قال الجوهري : « سواد الناس عامّتهم وكلّ عدد كثير ». </w:t>
      </w:r>
      <w:r w:rsidR="00744A1C" w:rsidRPr="00E978C3">
        <w:rPr>
          <w:rStyle w:val="libFootnoteBoldChar"/>
          <w:rtl/>
        </w:rPr>
        <w:t>الصحاح</w:t>
      </w:r>
      <w:r w:rsidR="00744A1C">
        <w:rPr>
          <w:rtl/>
          <w:lang w:bidi="fa-IR"/>
        </w:rPr>
        <w:t xml:space="preserve"> ، ج 2 ، ص 492 ( سود ).</w:t>
      </w:r>
    </w:p>
    <w:p w:rsidR="00744A1C" w:rsidRDefault="00E378DD" w:rsidP="00F5313C">
      <w:pPr>
        <w:pStyle w:val="libFootnote0"/>
        <w:rPr>
          <w:lang w:bidi="fa-IR"/>
        </w:rPr>
      </w:pPr>
      <w:r>
        <w:rPr>
          <w:rtl/>
          <w:lang w:bidi="fa-IR"/>
        </w:rPr>
        <w:t>(5).</w:t>
      </w:r>
      <w:r w:rsidR="00744A1C">
        <w:rPr>
          <w:rtl/>
          <w:lang w:bidi="fa-IR"/>
        </w:rPr>
        <w:t xml:space="preserve"> راجع : </w:t>
      </w:r>
      <w:r w:rsidR="00744A1C" w:rsidRPr="003A7143">
        <w:rPr>
          <w:rStyle w:val="libFootnoteBoldChar"/>
          <w:rtl/>
        </w:rPr>
        <w:t>المحاسن</w:t>
      </w:r>
      <w:r w:rsidR="00744A1C">
        <w:rPr>
          <w:rtl/>
          <w:lang w:bidi="fa-IR"/>
        </w:rPr>
        <w:t xml:space="preserve"> ، ص 167 ، كتاب الصفوة ، ح 125</w:t>
      </w:r>
      <w:r w:rsidR="00F5313C">
        <w:rPr>
          <w:rFonts w:hint="cs"/>
          <w:rtl/>
          <w:lang w:bidi="fa-IR"/>
        </w:rPr>
        <w:t>.</w:t>
      </w:r>
      <w:r w:rsidR="00744A1C" w:rsidRPr="00C24F9C">
        <w:rPr>
          <w:rStyle w:val="libFootnoteBoldChar"/>
          <w:rtl/>
        </w:rPr>
        <w:t>الوافي</w:t>
      </w:r>
      <w:r w:rsidR="00744A1C">
        <w:rPr>
          <w:rtl/>
          <w:lang w:bidi="fa-IR"/>
        </w:rPr>
        <w:t xml:space="preserve"> ، ج 14 ، ص 1278 ، ح 14263 ؛ </w:t>
      </w:r>
      <w:r w:rsidR="00744A1C" w:rsidRPr="00C24F9C">
        <w:rPr>
          <w:rStyle w:val="libFootnoteBoldChar"/>
          <w:rtl/>
        </w:rPr>
        <w:t>الوسائل</w:t>
      </w:r>
      <w:r w:rsidR="00744A1C">
        <w:rPr>
          <w:rtl/>
          <w:lang w:bidi="fa-IR"/>
        </w:rPr>
        <w:t xml:space="preserve"> ، ج 1 ، ص 120 ، ح 303 ، وتمام الرواية فيه : « الناس سواد ، وأنتم الحاجّ ».</w:t>
      </w:r>
    </w:p>
    <w:p w:rsidR="00744A1C" w:rsidRDefault="00E378DD" w:rsidP="00E378DD">
      <w:pPr>
        <w:pStyle w:val="libFootnote0"/>
        <w:rPr>
          <w:lang w:bidi="fa-IR"/>
        </w:rPr>
      </w:pPr>
      <w:r>
        <w:rPr>
          <w:rtl/>
          <w:lang w:bidi="fa-IR"/>
        </w:rPr>
        <w:t>(6).</w:t>
      </w:r>
      <w:r w:rsidR="00744A1C">
        <w:rPr>
          <w:rtl/>
          <w:lang w:bidi="fa-IR"/>
        </w:rPr>
        <w:t xml:space="preserve"> قد مضى معنى الحصبة والتحصيب ذيل ح 7969.</w:t>
      </w:r>
    </w:p>
    <w:p w:rsidR="00744A1C" w:rsidRDefault="00E378DD" w:rsidP="00E378DD">
      <w:pPr>
        <w:pStyle w:val="libFootnote0"/>
        <w:rPr>
          <w:lang w:bidi="fa-IR"/>
        </w:rPr>
      </w:pPr>
      <w:r>
        <w:rPr>
          <w:rtl/>
          <w:lang w:bidi="fa-IR"/>
        </w:rPr>
        <w:t>(7).</w:t>
      </w:r>
      <w:r w:rsidR="00744A1C">
        <w:rPr>
          <w:rtl/>
          <w:lang w:bidi="fa-IR"/>
        </w:rPr>
        <w:t xml:space="preserve"> في « بث ، بف ، جد » : - « بن محمّد ».</w:t>
      </w:r>
    </w:p>
    <w:p w:rsidR="00744A1C" w:rsidRDefault="00E378DD" w:rsidP="008D37DA">
      <w:pPr>
        <w:pStyle w:val="libFootnote0"/>
        <w:rPr>
          <w:lang w:bidi="fa-IR"/>
        </w:rPr>
      </w:pPr>
      <w:r>
        <w:rPr>
          <w:rtl/>
          <w:lang w:bidi="fa-IR"/>
        </w:rPr>
        <w:t>(8).</w:t>
      </w:r>
      <w:r w:rsidR="00744A1C">
        <w:rPr>
          <w:rtl/>
          <w:lang w:bidi="fa-IR"/>
        </w:rPr>
        <w:t xml:space="preserve"> قال الشهيد </w:t>
      </w:r>
      <w:r w:rsidR="00877682" w:rsidRPr="00877682">
        <w:rPr>
          <w:rStyle w:val="libFootnoteAlaemChar"/>
          <w:rtl/>
        </w:rPr>
        <w:t>رحمه‌الله</w:t>
      </w:r>
      <w:r w:rsidR="00744A1C">
        <w:rPr>
          <w:rtl/>
          <w:lang w:bidi="fa-IR"/>
        </w:rPr>
        <w:t xml:space="preserve">: « ويستحبّ للنافر في الأخير التحصيب ، تأسّياً برسول الله </w:t>
      </w:r>
      <w:r w:rsidR="00C05491" w:rsidRPr="00DA58F8">
        <w:rPr>
          <w:rStyle w:val="libFootnoteAlaemChar"/>
          <w:rFonts w:eastAsiaTheme="minorHAnsi"/>
          <w:rtl/>
        </w:rPr>
        <w:t>صلى‌الله‌عليه‌وآله</w:t>
      </w:r>
      <w:r w:rsidR="00C05491" w:rsidRPr="00DA58F8">
        <w:rPr>
          <w:rFonts w:eastAsiaTheme="minorHAnsi"/>
          <w:rtl/>
        </w:rPr>
        <w:t xml:space="preserve"> </w:t>
      </w:r>
      <w:r w:rsidR="00744A1C">
        <w:rPr>
          <w:rtl/>
          <w:lang w:bidi="fa-IR"/>
        </w:rPr>
        <w:t xml:space="preserve">، وهو النزول بمسجد الحصبةبالأبطح الذي نزل به رسول الله </w:t>
      </w:r>
      <w:r w:rsidR="00DA58F8" w:rsidRPr="00DA58F8">
        <w:rPr>
          <w:rStyle w:val="libFootnoteAlaemChar"/>
          <w:rFonts w:eastAsiaTheme="minorHAnsi"/>
          <w:rtl/>
        </w:rPr>
        <w:t>صلى‌الله‌عليه‌وآله</w:t>
      </w:r>
      <w:r w:rsidR="00DA58F8" w:rsidRPr="00DA58F8">
        <w:rPr>
          <w:rFonts w:eastAsiaTheme="minorHAnsi"/>
          <w:rtl/>
        </w:rPr>
        <w:t xml:space="preserve"> </w:t>
      </w:r>
      <w:r w:rsidR="00744A1C">
        <w:rPr>
          <w:rtl/>
          <w:lang w:bidi="fa-IR"/>
        </w:rPr>
        <w:t xml:space="preserve">، ويستريح فيه قليلاً ويستلقي على قفاه ، وروي أنّ النبيّ </w:t>
      </w:r>
      <w:r w:rsidR="00E80001" w:rsidRPr="00DA58F8">
        <w:rPr>
          <w:rStyle w:val="libFootnoteAlaemChar"/>
          <w:rFonts w:eastAsiaTheme="minorHAnsi"/>
          <w:rtl/>
        </w:rPr>
        <w:t>صلى‌الله‌عليه‌وآله</w:t>
      </w:r>
      <w:r w:rsidR="00E80001" w:rsidRPr="00DA58F8">
        <w:rPr>
          <w:rFonts w:eastAsiaTheme="minorHAnsi"/>
          <w:rtl/>
        </w:rPr>
        <w:t xml:space="preserve"> </w:t>
      </w:r>
      <w:r w:rsidR="00744A1C">
        <w:rPr>
          <w:rtl/>
          <w:lang w:bidi="fa-IR"/>
        </w:rPr>
        <w:t xml:space="preserve">صلّى فيه الظهرين والعشاءين ، وهجع هجعة ، ثمّ دخل مكّة وطاف. وليس التحصيب من سنن الحجّ ومناسكه ، وإنّما هو فعل مستحبّ اقتداء برسول الله </w:t>
      </w:r>
      <w:r w:rsidR="008D37DA" w:rsidRPr="00DA58F8">
        <w:rPr>
          <w:rStyle w:val="libFootnoteAlaemChar"/>
          <w:rFonts w:eastAsiaTheme="minorHAnsi"/>
          <w:rtl/>
        </w:rPr>
        <w:t>صلى‌الله‌عليه‌وآله</w:t>
      </w:r>
      <w:r w:rsidR="008D37DA" w:rsidRPr="00DA58F8">
        <w:rPr>
          <w:rFonts w:eastAsiaTheme="minorHAnsi"/>
          <w:rtl/>
        </w:rPr>
        <w:t xml:space="preserve"> </w:t>
      </w:r>
      <w:r w:rsidR="00744A1C">
        <w:rPr>
          <w:rtl/>
          <w:lang w:bidi="fa-IR"/>
        </w:rPr>
        <w:t xml:space="preserve">». </w:t>
      </w:r>
      <w:r w:rsidR="00744A1C" w:rsidRPr="00877682">
        <w:rPr>
          <w:rStyle w:val="libFootnoteBoldChar"/>
          <w:rtl/>
        </w:rPr>
        <w:t>الدروس</w:t>
      </w:r>
      <w:r w:rsidR="00744A1C">
        <w:rPr>
          <w:rtl/>
          <w:lang w:bidi="fa-IR"/>
        </w:rPr>
        <w:t xml:space="preserve"> الشرعية ، ج 1 ، ص 464.</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فيدخل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عن بعض النسخ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 من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الفقيه</w:t>
      </w:r>
      <w:r w:rsidR="00B03098">
        <w:rPr>
          <w:rtl/>
          <w:lang w:bidi="fa-IR"/>
        </w:rPr>
        <w:t xml:space="preserve"> : - « إن كان من أهل اليمن</w:t>
      </w:r>
      <w:r w:rsidR="00744A1C">
        <w:rPr>
          <w:rtl/>
          <w:lang w:bidi="fa-IR"/>
        </w:rPr>
        <w:t xml:space="preserve">». وفي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B03098">
        <w:rPr>
          <w:rtl/>
          <w:lang w:bidi="fa-IR"/>
        </w:rPr>
        <w:t>: «أرى أنّه تصحيف</w:t>
      </w:r>
      <w:r w:rsidR="00744A1C">
        <w:rPr>
          <w:rtl/>
          <w:lang w:bidi="fa-IR"/>
        </w:rPr>
        <w:t xml:space="preserve">، </w:t>
      </w:r>
      <w:r w:rsidR="005A2061">
        <w:rPr>
          <w:rFonts w:hint="cs"/>
          <w:rtl/>
          <w:lang w:bidi="fa-IR"/>
        </w:rPr>
        <w:t>=</w:t>
      </w:r>
    </w:p>
    <w:p w:rsidR="00150943" w:rsidRDefault="00150943" w:rsidP="00D10E3C">
      <w:pPr>
        <w:pStyle w:val="libNormal"/>
        <w:rPr>
          <w:rtl/>
          <w:lang w:bidi="fa-IR"/>
        </w:rPr>
      </w:pPr>
      <w:r>
        <w:rPr>
          <w:rtl/>
          <w:lang w:bidi="fa-IR"/>
        </w:rPr>
        <w:br w:type="page"/>
      </w:r>
    </w:p>
    <w:p w:rsidR="00744A1C" w:rsidRDefault="00744A1C" w:rsidP="00B03098">
      <w:pPr>
        <w:pStyle w:val="libNormal0"/>
        <w:rPr>
          <w:lang w:bidi="fa-IR"/>
        </w:rPr>
      </w:pPr>
      <w:r>
        <w:rPr>
          <w:rtl/>
          <w:lang w:bidi="fa-IR"/>
        </w:rPr>
        <w:lastRenderedPageBreak/>
        <w:t xml:space="preserve">عَلَيْهِ </w:t>
      </w:r>
      <w:r w:rsidRPr="00D10E3C">
        <w:rPr>
          <w:rStyle w:val="libFootnotenumChar"/>
          <w:rtl/>
        </w:rPr>
        <w:t>(1)</w:t>
      </w:r>
      <w:r>
        <w:rPr>
          <w:rtl/>
          <w:lang w:bidi="fa-IR"/>
        </w:rPr>
        <w:t xml:space="preserve"> أَنْ يُحَصِّبَ؟</w:t>
      </w:r>
    </w:p>
    <w:p w:rsidR="00744A1C" w:rsidRDefault="00744A1C" w:rsidP="00744A1C">
      <w:pPr>
        <w:pStyle w:val="libNormal"/>
        <w:rPr>
          <w:lang w:bidi="fa-IR"/>
        </w:rPr>
      </w:pPr>
      <w:r>
        <w:rPr>
          <w:rtl/>
          <w:lang w:bidi="fa-IR"/>
        </w:rPr>
        <w:t xml:space="preserve">قَالَ : « لَا ». </w:t>
      </w:r>
      <w:r w:rsidRPr="00D10E3C">
        <w:rPr>
          <w:rStyle w:val="libFootnotenumChar"/>
          <w:rtl/>
        </w:rPr>
        <w:t>(2)</w:t>
      </w:r>
    </w:p>
    <w:p w:rsidR="00744A1C" w:rsidRDefault="00744A1C" w:rsidP="00870418">
      <w:pPr>
        <w:pStyle w:val="Heading2Center"/>
        <w:rPr>
          <w:lang w:bidi="fa-IR"/>
        </w:rPr>
      </w:pPr>
      <w:bookmarkStart w:id="45" w:name="_Toc49261343"/>
      <w:r>
        <w:rPr>
          <w:rtl/>
          <w:lang w:bidi="fa-IR"/>
        </w:rPr>
        <w:t>200 - بَابُ إِتْمَامِ الصَّلَاةِ فِي الْحَرَمَيْنِ‌</w:t>
      </w:r>
      <w:bookmarkEnd w:id="45"/>
    </w:p>
    <w:p w:rsidR="00744A1C" w:rsidRDefault="00744A1C" w:rsidP="00744A1C">
      <w:pPr>
        <w:pStyle w:val="libNormal"/>
        <w:rPr>
          <w:lang w:bidi="fa-IR"/>
        </w:rPr>
      </w:pPr>
      <w:r>
        <w:rPr>
          <w:rtl/>
          <w:lang w:bidi="fa-IR"/>
        </w:rPr>
        <w:t>7980 / 1. عِدَّةٌ مِنْ أَصْحَابِنَا ، عَنْ أَحْمَدَ بْنِ مُحَمَّدٍ وَسَهْلِ بْنِ زِيَادٍ ، عَنْ أَحْمَدَ بْنِ مُحَمَّدِ بْنِ أَبِي نَصْرٍ ، عَنْ إِبْر</w:t>
      </w:r>
      <w:r w:rsidR="006151DD">
        <w:rPr>
          <w:rtl/>
          <w:lang w:bidi="fa-IR"/>
        </w:rPr>
        <w:t>َاهِيمَ بْنِ شَيْبَةَ ، قَالَ :</w:t>
      </w:r>
    </w:p>
    <w:p w:rsidR="00744A1C" w:rsidRDefault="00744A1C" w:rsidP="00744A1C">
      <w:pPr>
        <w:pStyle w:val="libNormal"/>
        <w:rPr>
          <w:lang w:bidi="fa-IR"/>
        </w:rPr>
      </w:pPr>
      <w:r>
        <w:rPr>
          <w:rtl/>
          <w:lang w:bidi="fa-IR"/>
        </w:rPr>
        <w:t xml:space="preserve">كَتَبْتُ إِلى أَبِي جَعْفَرٍ </w:t>
      </w:r>
      <w:r w:rsidR="0061079A" w:rsidRPr="0061079A">
        <w:rPr>
          <w:rStyle w:val="libAlaemChar"/>
          <w:rtl/>
        </w:rPr>
        <w:t>عليه‌السلام</w:t>
      </w:r>
      <w:r w:rsidR="00D10E3C">
        <w:rPr>
          <w:rtl/>
          <w:lang w:bidi="fa-IR"/>
        </w:rPr>
        <w:t xml:space="preserve"> </w:t>
      </w:r>
      <w:r>
        <w:rPr>
          <w:rtl/>
          <w:lang w:bidi="fa-IR"/>
        </w:rPr>
        <w:t>أَسْأَلُهُ عَنْ إِتْمَامِ الصَّلَاةِ فِي الْحَرَمَيْنِ؟</w:t>
      </w:r>
    </w:p>
    <w:p w:rsidR="00744A1C" w:rsidRDefault="00744A1C" w:rsidP="00E84405">
      <w:pPr>
        <w:pStyle w:val="libNormal"/>
        <w:rPr>
          <w:lang w:bidi="fa-IR"/>
        </w:rPr>
      </w:pPr>
      <w:r>
        <w:rPr>
          <w:rtl/>
          <w:lang w:bidi="fa-IR"/>
        </w:rPr>
        <w:t xml:space="preserve">فَكَتَبَ إِلَيَّ : « كَانَ رَسُولُ اللهِ </w:t>
      </w:r>
      <w:r w:rsidR="00E84405" w:rsidRPr="00797535">
        <w:rPr>
          <w:rStyle w:val="libAlaemChar"/>
          <w:rFonts w:eastAsiaTheme="minorHAnsi"/>
          <w:rtl/>
        </w:rPr>
        <w:t>صلى‌الله‌عليه‌وآله</w:t>
      </w:r>
      <w:r w:rsidR="00E84405" w:rsidRPr="00DA58F8">
        <w:rPr>
          <w:rFonts w:eastAsiaTheme="minorHAnsi"/>
          <w:rtl/>
        </w:rPr>
        <w:t xml:space="preserve"> </w:t>
      </w:r>
      <w:r>
        <w:rPr>
          <w:rtl/>
          <w:lang w:bidi="fa-IR"/>
        </w:rPr>
        <w:t>يُحِبُّ إِكْثَارَ الصَّلَاةِ فِي الْحَرَمَيْنِ ، فَأَكْثِرْ فِيهِمَا ، وَ</w:t>
      </w:r>
      <w:r w:rsidR="00797535">
        <w:rPr>
          <w:rFonts w:hint="cs"/>
          <w:rtl/>
          <w:lang w:bidi="fa-IR"/>
        </w:rPr>
        <w:t xml:space="preserve"> </w:t>
      </w:r>
      <w:r>
        <w:rPr>
          <w:rtl/>
          <w:lang w:bidi="fa-IR"/>
        </w:rPr>
        <w:t xml:space="preserve">أَتِمَّ </w:t>
      </w:r>
      <w:r w:rsidRPr="00D10E3C">
        <w:rPr>
          <w:rStyle w:val="libFootnotenumChar"/>
          <w:rtl/>
        </w:rPr>
        <w:t>(3)</w:t>
      </w:r>
      <w:r>
        <w:rPr>
          <w:rtl/>
          <w:lang w:bidi="fa-IR"/>
        </w:rPr>
        <w:t xml:space="preserve">». </w:t>
      </w:r>
      <w:r w:rsidRPr="00D10E3C">
        <w:rPr>
          <w:rStyle w:val="libFootnotenumChar"/>
          <w:rtl/>
        </w:rPr>
        <w:t>(4)</w:t>
      </w:r>
    </w:p>
    <w:p w:rsidR="00144FA6" w:rsidRDefault="00744A1C" w:rsidP="00744A1C">
      <w:pPr>
        <w:pStyle w:val="libNormal"/>
        <w:rPr>
          <w:rtl/>
          <w:lang w:bidi="fa-IR"/>
        </w:rPr>
      </w:pPr>
      <w:r>
        <w:rPr>
          <w:rtl/>
          <w:lang w:bidi="fa-IR"/>
        </w:rPr>
        <w:t>7981 / 2. عِدَّةٌ مِنْ أَصْحَابِنَا ، عَنْ أَحْمَدَ بْنِ مُحَمَّدٍ ، عَنْ عُثْمَانَ بْنِ عِيسى ، قَالَ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عَنْ إِتْمَامِ الصَّلَاةِ وَالصِّيَامِ فِي الْحَرَمَيْنِ؟</w:t>
      </w:r>
    </w:p>
    <w:p w:rsidR="00744A1C" w:rsidRDefault="00744A1C" w:rsidP="00744A1C">
      <w:pPr>
        <w:pStyle w:val="libNormal"/>
        <w:rPr>
          <w:lang w:bidi="fa-IR"/>
        </w:rPr>
      </w:pPr>
      <w:r>
        <w:rPr>
          <w:rtl/>
          <w:lang w:bidi="fa-IR"/>
        </w:rPr>
        <w:t>فَقَالَ : « أَتِمَّهَا وَ</w:t>
      </w:r>
      <w:r w:rsidR="00FF3A80">
        <w:rPr>
          <w:rFonts w:hint="cs"/>
          <w:rtl/>
          <w:lang w:bidi="fa-IR"/>
        </w:rPr>
        <w:t xml:space="preserve"> </w:t>
      </w:r>
      <w:r>
        <w:rPr>
          <w:rtl/>
          <w:lang w:bidi="fa-IR"/>
        </w:rPr>
        <w:t xml:space="preserve">لَوْ صَلَاةً وَاحِدَةً ». </w:t>
      </w:r>
      <w:r w:rsidRPr="00D10E3C">
        <w:rPr>
          <w:rStyle w:val="libFootnotenumChar"/>
          <w:rtl/>
        </w:rPr>
        <w:t>(5)</w:t>
      </w:r>
    </w:p>
    <w:p w:rsidR="00744A1C" w:rsidRDefault="00744A1C" w:rsidP="00D10E3C">
      <w:pPr>
        <w:pStyle w:val="libLine"/>
        <w:rPr>
          <w:lang w:bidi="fa-IR"/>
        </w:rPr>
      </w:pPr>
      <w:r>
        <w:rPr>
          <w:rtl/>
          <w:lang w:bidi="fa-IR"/>
        </w:rPr>
        <w:t>____________________</w:t>
      </w:r>
    </w:p>
    <w:p w:rsidR="00744A1C" w:rsidRDefault="00B07FDC" w:rsidP="00D10E3C">
      <w:pPr>
        <w:pStyle w:val="libFootnote0"/>
        <w:rPr>
          <w:lang w:bidi="fa-IR"/>
        </w:rPr>
      </w:pPr>
      <w:r>
        <w:rPr>
          <w:rFonts w:hint="cs"/>
          <w:rtl/>
          <w:lang w:bidi="fa-IR"/>
        </w:rPr>
        <w:t xml:space="preserve">= </w:t>
      </w:r>
      <w:r w:rsidR="00744A1C">
        <w:rPr>
          <w:rtl/>
          <w:lang w:bidi="fa-IR"/>
        </w:rPr>
        <w:t>والأصل : من أهل اليومين ، ولا خصوصيّة ولا لسائر البلاد في ذلك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أعليه ».</w:t>
      </w:r>
    </w:p>
    <w:p w:rsidR="00744A1C" w:rsidRDefault="00E378DD" w:rsidP="00E717DF">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275 ، ح 942 ، معلّقاً عن الكليني. </w:t>
      </w:r>
      <w:r w:rsidR="00744A1C" w:rsidRPr="00C24F9C">
        <w:rPr>
          <w:rStyle w:val="libFootnoteBoldChar"/>
          <w:rtl/>
        </w:rPr>
        <w:t>الفقيه</w:t>
      </w:r>
      <w:r w:rsidR="00744A1C">
        <w:rPr>
          <w:rtl/>
          <w:lang w:bidi="fa-IR"/>
        </w:rPr>
        <w:t xml:space="preserve"> ، ج 2 ، ص 482 ، ح 3027 ، معلّقاً عن أبان</w:t>
      </w:r>
      <w:r w:rsidR="00E717DF">
        <w:rPr>
          <w:rFonts w:hint="cs"/>
          <w:rtl/>
          <w:lang w:bidi="fa-IR"/>
        </w:rPr>
        <w:t>.</w:t>
      </w:r>
      <w:r w:rsidR="00744A1C" w:rsidRPr="00C24F9C">
        <w:rPr>
          <w:rStyle w:val="libFootnoteBoldChar"/>
          <w:rtl/>
        </w:rPr>
        <w:t>الوافي</w:t>
      </w:r>
      <w:r w:rsidR="00744A1C">
        <w:rPr>
          <w:rtl/>
          <w:lang w:bidi="fa-IR"/>
        </w:rPr>
        <w:t xml:space="preserve"> ، ج 14 ، ص 1281 ، ح 14271 ؛ </w:t>
      </w:r>
      <w:r w:rsidR="00744A1C" w:rsidRPr="00C24F9C">
        <w:rPr>
          <w:rStyle w:val="libFootnoteBoldChar"/>
          <w:rtl/>
        </w:rPr>
        <w:t>الوسائل</w:t>
      </w:r>
      <w:r w:rsidR="00744A1C">
        <w:rPr>
          <w:rtl/>
          <w:lang w:bidi="fa-IR"/>
        </w:rPr>
        <w:t xml:space="preserve"> ، ج 14 ، ص 285 ، ح 19214.</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219 : « ظاهره وجوب الإتمام كما هو ظاهر المرتضى </w:t>
      </w:r>
      <w:r w:rsidR="00877682" w:rsidRPr="00877682">
        <w:rPr>
          <w:rStyle w:val="libFootnoteAlaemChar"/>
          <w:rtl/>
        </w:rPr>
        <w:t>رحمه‌الله</w:t>
      </w:r>
      <w:r w:rsidR="009350F4">
        <w:rPr>
          <w:rtl/>
          <w:lang w:bidi="fa-IR"/>
        </w:rPr>
        <w:t xml:space="preserve"> </w:t>
      </w:r>
      <w:r w:rsidR="00744A1C">
        <w:rPr>
          <w:rtl/>
          <w:lang w:bidi="fa-IR"/>
        </w:rPr>
        <w:t xml:space="preserve">في جميع المواطن الأربعة ، والمشهور التخيير بين القصر والإتمام ، وأنّ الإتمام أفضل. وقال ابن بابويه : يقصّر ما لم ينو المقام عشرة ، والأفضل أن ينو المقام بها ، ثمّ إنّ المستفاد من الأخبار الكثيرة جواز الإتمام في مكّة والمدينة ، وإن وقعت الصلاة خارج المسجدين ، وبه قطع الأكثر ؛ وابن إدريس خصّ الحكم بالمسجدين ». راجع : </w:t>
      </w:r>
      <w:r w:rsidR="00744A1C" w:rsidRPr="00C24F9C">
        <w:rPr>
          <w:rStyle w:val="libFootnoteBoldChar"/>
          <w:rtl/>
        </w:rPr>
        <w:t>الفقيه</w:t>
      </w:r>
      <w:r w:rsidR="00744A1C">
        <w:rPr>
          <w:rtl/>
          <w:lang w:bidi="fa-IR"/>
        </w:rPr>
        <w:t xml:space="preserve"> ، ج 1 ، ص 278 ؛ المعتبر ، ج 2 ، ص 476 ؛ </w:t>
      </w:r>
      <w:r w:rsidR="00744A1C" w:rsidRPr="00C24F9C">
        <w:rPr>
          <w:rStyle w:val="libFootnoteBoldChar"/>
          <w:rtl/>
        </w:rPr>
        <w:t>مدارك الأحكام</w:t>
      </w:r>
      <w:r w:rsidR="00744A1C">
        <w:rPr>
          <w:rtl/>
          <w:lang w:bidi="fa-IR"/>
        </w:rPr>
        <w:t xml:space="preserve"> ، ج 4 ، ص 466 ؛ جامع المدارك ، ج 1 ، ص 587.</w:t>
      </w:r>
    </w:p>
    <w:p w:rsidR="00744A1C" w:rsidRDefault="00E378DD" w:rsidP="00BF12DA">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425 ، ح 1476 ؛ </w:t>
      </w:r>
      <w:r w:rsidR="00744A1C" w:rsidRPr="00C24F9C">
        <w:rPr>
          <w:rStyle w:val="libFootnoteBoldChar"/>
          <w:rtl/>
        </w:rPr>
        <w:t>والاستبصار</w:t>
      </w:r>
      <w:r w:rsidR="00744A1C">
        <w:rPr>
          <w:rtl/>
          <w:lang w:bidi="fa-IR"/>
        </w:rPr>
        <w:t xml:space="preserve"> ، ج 2 ، ص 330 ، ح 1172 ، معلّقاً عن الكليني</w:t>
      </w:r>
      <w:r w:rsidR="00BF12DA">
        <w:rPr>
          <w:rFonts w:hint="cs"/>
          <w:rtl/>
          <w:lang w:bidi="fa-IR"/>
        </w:rPr>
        <w:t>.</w:t>
      </w:r>
      <w:r w:rsidR="00744A1C" w:rsidRPr="00C24F9C">
        <w:rPr>
          <w:rStyle w:val="libFootnoteBoldChar"/>
          <w:rtl/>
        </w:rPr>
        <w:t>الوافي</w:t>
      </w:r>
      <w:r w:rsidR="00744A1C">
        <w:rPr>
          <w:rtl/>
          <w:lang w:bidi="fa-IR"/>
        </w:rPr>
        <w:t xml:space="preserve"> ، ج 7 ، ص 181 ، ح 5721 ؛ </w:t>
      </w:r>
      <w:r w:rsidR="00744A1C" w:rsidRPr="00C24F9C">
        <w:rPr>
          <w:rStyle w:val="libFootnoteBoldChar"/>
          <w:rtl/>
        </w:rPr>
        <w:t>الوسائل</w:t>
      </w:r>
      <w:r w:rsidR="00744A1C">
        <w:rPr>
          <w:rtl/>
          <w:lang w:bidi="fa-IR"/>
        </w:rPr>
        <w:t xml:space="preserve"> ، ج 8 ، ص 529 ، ح 11360.</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425 ، ح 1477 ؛ </w:t>
      </w:r>
      <w:r w:rsidR="00744A1C" w:rsidRPr="00C24F9C">
        <w:rPr>
          <w:rStyle w:val="libFootnoteBoldChar"/>
          <w:rtl/>
        </w:rPr>
        <w:t>والاستبصار</w:t>
      </w:r>
      <w:r w:rsidR="00744A1C">
        <w:rPr>
          <w:rtl/>
          <w:lang w:bidi="fa-IR"/>
        </w:rPr>
        <w:t xml:space="preserve"> ، ج 2 ، ص 330 ، ح 1173 ، معلّقاً عن الكليني. </w:t>
      </w:r>
      <w:r w:rsidR="00744A1C" w:rsidRPr="00877682">
        <w:rPr>
          <w:rStyle w:val="libFootnoteBoldChar"/>
          <w:rtl/>
        </w:rPr>
        <w:t>قرب الإسناد</w:t>
      </w:r>
      <w:r w:rsidR="00744A1C">
        <w:rPr>
          <w:rtl/>
          <w:lang w:bidi="fa-IR"/>
        </w:rPr>
        <w:t xml:space="preserve"> ، </w:t>
      </w:r>
      <w:r w:rsidR="00401A02">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7982 / 3. عَلِيُّ بْنُ إِبْرَاهِيمَ </w:t>
      </w:r>
      <w:r w:rsidRPr="00D10E3C">
        <w:rPr>
          <w:rStyle w:val="libFootnotenumChar"/>
          <w:rtl/>
        </w:rPr>
        <w:t>(1)</w:t>
      </w:r>
      <w:r>
        <w:rPr>
          <w:rtl/>
          <w:lang w:bidi="fa-IR"/>
        </w:rPr>
        <w:t xml:space="preserve"> ، عَنْ أَبِيهِ ، عَنْ إِسْمَاعِيلَ بْنِ مَرَّارٍ ، عَنْ يُونُسَ ، عَنْ ع</w:t>
      </w:r>
      <w:r w:rsidR="003A236B">
        <w:rPr>
          <w:rtl/>
          <w:lang w:bidi="fa-IR"/>
        </w:rPr>
        <w:t>َلِيِّ بْنِ يَقْطِينٍ ، قَالَ :</w:t>
      </w:r>
    </w:p>
    <w:p w:rsidR="00744A1C" w:rsidRDefault="00744A1C" w:rsidP="00744A1C">
      <w:pPr>
        <w:pStyle w:val="libNormal"/>
        <w:rPr>
          <w:lang w:bidi="fa-IR"/>
        </w:rPr>
      </w:pPr>
      <w:r>
        <w:rPr>
          <w:rtl/>
          <w:lang w:bidi="fa-IR"/>
        </w:rPr>
        <w:t xml:space="preserve">سَأَلْتُ أَبَا إِبْرَاهِيمَ </w:t>
      </w:r>
      <w:r w:rsidR="0061079A" w:rsidRPr="0061079A">
        <w:rPr>
          <w:rStyle w:val="libAlaemChar"/>
          <w:rtl/>
        </w:rPr>
        <w:t>عليه‌السلام</w:t>
      </w:r>
      <w:r w:rsidR="00D10E3C">
        <w:rPr>
          <w:rtl/>
          <w:lang w:bidi="fa-IR"/>
        </w:rPr>
        <w:t xml:space="preserve"> </w:t>
      </w:r>
      <w:r>
        <w:rPr>
          <w:rtl/>
          <w:lang w:bidi="fa-IR"/>
        </w:rPr>
        <w:t>عَنِ التَّقْصِيرِ بِمَكَّةَ؟</w:t>
      </w:r>
    </w:p>
    <w:p w:rsidR="00744A1C" w:rsidRDefault="00744A1C" w:rsidP="00744A1C">
      <w:pPr>
        <w:pStyle w:val="libNormal"/>
        <w:rPr>
          <w:lang w:bidi="fa-IR"/>
        </w:rPr>
      </w:pPr>
      <w:r>
        <w:rPr>
          <w:rtl/>
          <w:lang w:bidi="fa-IR"/>
        </w:rPr>
        <w:t>فَقَالَ : « أَتِم</w:t>
      </w:r>
      <w:r w:rsidR="005506CE">
        <w:rPr>
          <w:rtl/>
          <w:lang w:bidi="fa-IR"/>
        </w:rPr>
        <w:t>َّ ، وَلَيْسَ بِوَاجِبٍ ، إِل</w:t>
      </w:r>
      <w:r w:rsidR="005506CE">
        <w:rPr>
          <w:rFonts w:hint="cs"/>
          <w:rtl/>
          <w:lang w:bidi="fa-IR"/>
        </w:rPr>
        <w:t>َّ</w:t>
      </w:r>
      <w:r w:rsidR="005506CE">
        <w:rPr>
          <w:rtl/>
          <w:lang w:bidi="fa-IR"/>
        </w:rPr>
        <w:t>ا</w:t>
      </w:r>
      <w:r>
        <w:rPr>
          <w:rtl/>
          <w:lang w:bidi="fa-IR"/>
        </w:rPr>
        <w:t xml:space="preserve"> أَنِّي أُحِبُّ لَكَ </w:t>
      </w:r>
      <w:r w:rsidRPr="00D10E3C">
        <w:rPr>
          <w:rStyle w:val="libFootnotenumChar"/>
          <w:rtl/>
        </w:rPr>
        <w:t>(2)</w:t>
      </w:r>
      <w:r>
        <w:rPr>
          <w:rtl/>
          <w:lang w:bidi="fa-IR"/>
        </w:rPr>
        <w:t xml:space="preserve"> مَا </w:t>
      </w:r>
      <w:r w:rsidRPr="00D10E3C">
        <w:rPr>
          <w:rStyle w:val="libFootnotenumChar"/>
          <w:rtl/>
        </w:rPr>
        <w:t>(3)</w:t>
      </w:r>
      <w:r>
        <w:rPr>
          <w:rtl/>
          <w:lang w:bidi="fa-IR"/>
        </w:rPr>
        <w:t xml:space="preserve"> أُحِبُّ لِنَفْسِي ». </w:t>
      </w:r>
      <w:r w:rsidRPr="00D10E3C">
        <w:rPr>
          <w:rStyle w:val="libFootnotenumChar"/>
          <w:rtl/>
        </w:rPr>
        <w:t>(4)</w:t>
      </w:r>
    </w:p>
    <w:p w:rsidR="00144FA6" w:rsidRDefault="00744A1C" w:rsidP="00744A1C">
      <w:pPr>
        <w:pStyle w:val="libNormal"/>
        <w:rPr>
          <w:rtl/>
          <w:lang w:bidi="fa-IR"/>
        </w:rPr>
      </w:pPr>
      <w:r>
        <w:rPr>
          <w:rtl/>
          <w:lang w:bidi="fa-IR"/>
        </w:rPr>
        <w:t xml:space="preserve">7983 / 4. يُونُسُ </w:t>
      </w:r>
      <w:r w:rsidRPr="00D10E3C">
        <w:rPr>
          <w:rStyle w:val="libFootnotenumChar"/>
          <w:rtl/>
        </w:rPr>
        <w:t>(5)</w:t>
      </w:r>
      <w:r>
        <w:rPr>
          <w:rtl/>
          <w:lang w:bidi="fa-IR"/>
        </w:rPr>
        <w:t xml:space="preserve"> ، عَنْ زِيَادِ بْنِ مَرْوَانَ ، قَالَ :</w:t>
      </w:r>
    </w:p>
    <w:p w:rsidR="00744A1C" w:rsidRDefault="00744A1C" w:rsidP="00744A1C">
      <w:pPr>
        <w:pStyle w:val="libNormal"/>
        <w:rPr>
          <w:lang w:bidi="fa-IR"/>
        </w:rPr>
      </w:pPr>
      <w:r>
        <w:rPr>
          <w:rtl/>
          <w:lang w:bidi="fa-IR"/>
        </w:rPr>
        <w:t xml:space="preserve">سَأَلْتُ أَبَا إِبْرَاهِيمَ </w:t>
      </w:r>
      <w:r w:rsidR="0061079A" w:rsidRPr="0061079A">
        <w:rPr>
          <w:rStyle w:val="libAlaemChar"/>
          <w:rtl/>
        </w:rPr>
        <w:t>عليه‌السلام</w:t>
      </w:r>
      <w:r w:rsidR="00D10E3C">
        <w:rPr>
          <w:rtl/>
          <w:lang w:bidi="fa-IR"/>
        </w:rPr>
        <w:t xml:space="preserve"> </w:t>
      </w:r>
      <w:r>
        <w:rPr>
          <w:rtl/>
          <w:lang w:bidi="fa-IR"/>
        </w:rPr>
        <w:t>عَنْ إِتْمَامِ الصَّلَاةِ فِي الْحَرَمَيْنِ؟</w:t>
      </w:r>
    </w:p>
    <w:p w:rsidR="00744A1C" w:rsidRDefault="00744A1C" w:rsidP="00744A1C">
      <w:pPr>
        <w:pStyle w:val="libNormal"/>
        <w:rPr>
          <w:lang w:bidi="fa-IR"/>
        </w:rPr>
      </w:pPr>
      <w:r>
        <w:rPr>
          <w:rtl/>
          <w:lang w:bidi="fa-IR"/>
        </w:rPr>
        <w:t xml:space="preserve">فَقَالَ : « أُحِبُّ لَكَ </w:t>
      </w:r>
      <w:r w:rsidRPr="00D10E3C">
        <w:rPr>
          <w:rStyle w:val="libFootnotenumChar"/>
          <w:rtl/>
        </w:rPr>
        <w:t>(6)</w:t>
      </w:r>
      <w:r>
        <w:rPr>
          <w:rtl/>
          <w:lang w:bidi="fa-IR"/>
        </w:rPr>
        <w:t xml:space="preserve"> مَا أُحِبُّ لِنَفْسِي ، أَتِمَّ الصَّلَاةَ ». </w:t>
      </w:r>
      <w:r w:rsidRPr="00D10E3C">
        <w:rPr>
          <w:rStyle w:val="libFootnotenumChar"/>
          <w:rtl/>
        </w:rPr>
        <w:t>(7)</w:t>
      </w:r>
    </w:p>
    <w:p w:rsidR="00744A1C" w:rsidRDefault="00744A1C" w:rsidP="00744A1C">
      <w:pPr>
        <w:pStyle w:val="libNormal"/>
        <w:rPr>
          <w:lang w:bidi="fa-IR"/>
        </w:rPr>
      </w:pPr>
      <w:r>
        <w:rPr>
          <w:rtl/>
          <w:lang w:bidi="fa-IR"/>
        </w:rPr>
        <w:t xml:space="preserve">7984 / 5. يُونُسُ </w:t>
      </w:r>
      <w:r w:rsidRPr="00D10E3C">
        <w:rPr>
          <w:rStyle w:val="libFootnotenumChar"/>
          <w:rtl/>
        </w:rPr>
        <w:t>(8)</w:t>
      </w:r>
      <w:r>
        <w:rPr>
          <w:rtl/>
          <w:lang w:bidi="fa-IR"/>
        </w:rPr>
        <w:t xml:space="preserve"> ، عَنْ مُعَاوِيَةَ بْنِ عَمَّارٍ </w:t>
      </w:r>
      <w:r w:rsidRPr="00D10E3C">
        <w:rPr>
          <w:rStyle w:val="libFootnotenumChar"/>
          <w:rtl/>
        </w:rPr>
        <w:t>(9)</w:t>
      </w:r>
      <w:r w:rsidR="0034178F">
        <w:rPr>
          <w:rtl/>
          <w:lang w:bidi="fa-IR"/>
        </w:rPr>
        <w:t xml:space="preserve"> :</w:t>
      </w:r>
    </w:p>
    <w:p w:rsidR="00744A1C" w:rsidRDefault="00744A1C" w:rsidP="00257F0C">
      <w:pPr>
        <w:pStyle w:val="libNormal"/>
        <w:rPr>
          <w:lang w:bidi="fa-IR"/>
        </w:rPr>
      </w:pPr>
      <w:r>
        <w:rPr>
          <w:rtl/>
          <w:lang w:bidi="fa-IR"/>
        </w:rPr>
        <w:t xml:space="preserve">عَنْ أَبِي عَبْدِ اللهِ </w:t>
      </w:r>
      <w:r w:rsidR="00257F0C" w:rsidRPr="0061079A">
        <w:rPr>
          <w:rStyle w:val="libAlaemChar"/>
          <w:rtl/>
        </w:rPr>
        <w:t>عليه‌السلام</w:t>
      </w:r>
      <w:r>
        <w:rPr>
          <w:rtl/>
          <w:lang w:bidi="fa-IR"/>
        </w:rPr>
        <w:t xml:space="preserve">: « أَنَّ مِنَ الْمَذْخُورِ </w:t>
      </w:r>
      <w:r w:rsidRPr="00D10E3C">
        <w:rPr>
          <w:rStyle w:val="libFootnotenumChar"/>
          <w:rtl/>
        </w:rPr>
        <w:t>(10)</w:t>
      </w:r>
      <w:r>
        <w:rPr>
          <w:rtl/>
          <w:lang w:bidi="fa-IR"/>
        </w:rPr>
        <w:t xml:space="preserve"> الْإِتْمَامَ فِي‌</w:t>
      </w:r>
      <w:r w:rsidR="00B03098">
        <w:rPr>
          <w:rFonts w:hint="cs"/>
          <w:rtl/>
          <w:lang w:bidi="fa-IR"/>
        </w:rPr>
        <w:t>...........</w:t>
      </w:r>
      <w:r w:rsidR="00EC4B76">
        <w:rPr>
          <w:rFonts w:hint="cs"/>
          <w:rtl/>
          <w:lang w:bidi="fa-IR"/>
        </w:rPr>
        <w:t>...........</w:t>
      </w:r>
      <w:r w:rsidR="00EC4B76">
        <w:rPr>
          <w:rFonts w:hint="cs"/>
          <w:rtl/>
          <w:lang w:bidi="fa-IR"/>
        </w:rPr>
        <w:tab/>
      </w:r>
    </w:p>
    <w:p w:rsidR="00744A1C" w:rsidRDefault="00744A1C" w:rsidP="00D10E3C">
      <w:pPr>
        <w:pStyle w:val="libLine"/>
        <w:rPr>
          <w:lang w:bidi="fa-IR"/>
        </w:rPr>
      </w:pPr>
      <w:r>
        <w:rPr>
          <w:rtl/>
          <w:lang w:bidi="fa-IR"/>
        </w:rPr>
        <w:t>____________________</w:t>
      </w:r>
    </w:p>
    <w:p w:rsidR="00744A1C" w:rsidRDefault="000A0866" w:rsidP="00D10E3C">
      <w:pPr>
        <w:pStyle w:val="libFootnote0"/>
        <w:rPr>
          <w:lang w:bidi="fa-IR"/>
        </w:rPr>
      </w:pPr>
      <w:r>
        <w:rPr>
          <w:rFonts w:hint="cs"/>
          <w:rtl/>
          <w:lang w:bidi="fa-IR"/>
        </w:rPr>
        <w:t xml:space="preserve">= </w:t>
      </w:r>
      <w:r w:rsidR="00744A1C">
        <w:rPr>
          <w:rtl/>
          <w:lang w:bidi="fa-IR"/>
        </w:rPr>
        <w:t xml:space="preserve">ص 300 ، ح 1181 ، بسنده عن عثمان بن عيسى ، مع اختلاف يسير </w:t>
      </w:r>
      <w:r w:rsidR="00744A1C" w:rsidRPr="00C24F9C">
        <w:rPr>
          <w:rStyle w:val="libFootnoteBoldChar"/>
          <w:rtl/>
        </w:rPr>
        <w:t>الوافي</w:t>
      </w:r>
      <w:r w:rsidR="00744A1C">
        <w:rPr>
          <w:rtl/>
          <w:lang w:bidi="fa-IR"/>
        </w:rPr>
        <w:t xml:space="preserve"> ، ج 7 ، ص 181 ، ح 5722 ؛ </w:t>
      </w:r>
      <w:r w:rsidR="00744A1C" w:rsidRPr="00C24F9C">
        <w:rPr>
          <w:rStyle w:val="libFootnoteBoldChar"/>
          <w:rtl/>
        </w:rPr>
        <w:t>الوسائل</w:t>
      </w:r>
      <w:r w:rsidR="00744A1C">
        <w:rPr>
          <w:rtl/>
          <w:lang w:bidi="fa-IR"/>
        </w:rPr>
        <w:t xml:space="preserve"> ، ج 8 ، ص 529 ، ح 11359.</w:t>
      </w:r>
    </w:p>
    <w:p w:rsidR="00744A1C" w:rsidRDefault="00D10E3C" w:rsidP="00D10E3C">
      <w:pPr>
        <w:pStyle w:val="libFootnote0"/>
        <w:rPr>
          <w:lang w:bidi="fa-IR"/>
        </w:rPr>
      </w:pPr>
      <w:r>
        <w:rPr>
          <w:rtl/>
          <w:lang w:bidi="fa-IR"/>
        </w:rPr>
        <w:t>(1).</w:t>
      </w:r>
      <w:r w:rsidR="00744A1C">
        <w:rPr>
          <w:rtl/>
          <w:lang w:bidi="fa-IR"/>
        </w:rPr>
        <w:t xml:space="preserve"> في « بخ » : - « بن إبراهيم ».</w:t>
      </w:r>
    </w:p>
    <w:p w:rsidR="00744A1C" w:rsidRDefault="00E378DD" w:rsidP="00E378DD">
      <w:pPr>
        <w:pStyle w:val="libFootnote0"/>
        <w:rPr>
          <w:lang w:bidi="fa-IR"/>
        </w:rPr>
      </w:pPr>
      <w:r>
        <w:rPr>
          <w:rtl/>
          <w:lang w:bidi="fa-IR"/>
        </w:rPr>
        <w:t>(2).</w:t>
      </w:r>
      <w:r w:rsidR="00744A1C">
        <w:rPr>
          <w:rtl/>
          <w:lang w:bidi="fa-IR"/>
        </w:rPr>
        <w:t xml:space="preserve"> في « بخ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1488 </w:t>
      </w:r>
      <w:r w:rsidR="00744A1C" w:rsidRPr="00C24F9C">
        <w:rPr>
          <w:rStyle w:val="libFootnoteBoldChar"/>
          <w:rtl/>
        </w:rPr>
        <w:t>والاستبصار</w:t>
      </w:r>
      <w:r w:rsidR="00744A1C">
        <w:rPr>
          <w:rtl/>
          <w:lang w:bidi="fa-IR"/>
        </w:rPr>
        <w:t xml:space="preserve"> ، ح 1184 : + « مثل ».</w:t>
      </w:r>
    </w:p>
    <w:p w:rsidR="00744A1C" w:rsidRDefault="00E378DD" w:rsidP="00E378DD">
      <w:pPr>
        <w:pStyle w:val="libFootnote0"/>
        <w:rPr>
          <w:lang w:bidi="fa-IR"/>
        </w:rPr>
      </w:pPr>
      <w:r>
        <w:rPr>
          <w:rtl/>
          <w:lang w:bidi="fa-IR"/>
        </w:rPr>
        <w:t>(3).</w:t>
      </w:r>
      <w:r w:rsidR="00744A1C">
        <w:rPr>
          <w:rtl/>
          <w:lang w:bidi="fa-IR"/>
        </w:rPr>
        <w:t xml:space="preserve"> في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1488 </w:t>
      </w:r>
      <w:r w:rsidR="00744A1C" w:rsidRPr="00C24F9C">
        <w:rPr>
          <w:rStyle w:val="libFootnoteBoldChar"/>
          <w:rtl/>
        </w:rPr>
        <w:t>والاستبصار</w:t>
      </w:r>
      <w:r w:rsidR="00744A1C">
        <w:rPr>
          <w:rtl/>
          <w:lang w:bidi="fa-IR"/>
        </w:rPr>
        <w:t xml:space="preserve"> ، ح 1184 : « الذي ».</w:t>
      </w:r>
    </w:p>
    <w:p w:rsidR="00744A1C" w:rsidRDefault="00E378DD" w:rsidP="00CF79A9">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429 ، ح 1488 ؛ </w:t>
      </w:r>
      <w:r w:rsidR="00744A1C" w:rsidRPr="00C24F9C">
        <w:rPr>
          <w:rStyle w:val="libFootnoteBoldChar"/>
          <w:rtl/>
        </w:rPr>
        <w:t>والاستبصار</w:t>
      </w:r>
      <w:r w:rsidR="00744A1C">
        <w:rPr>
          <w:rtl/>
          <w:lang w:bidi="fa-IR"/>
        </w:rPr>
        <w:t xml:space="preserve"> ، ج 2 ، ص 333 ، ح 1184 ، معلّقاً عن الكليني. الاستبصار ، ج 2 ، ص 333 ، ح 1185 ، معلّقاً عن الكليني ، عن عليّ بن إبراهيم ، عن أبيه ، عن إسماعيل بن مرّار ، عن يونس ، عن زياد بن مروان ، عن أبي إبراهيم </w:t>
      </w:r>
      <w:r w:rsidR="0061079A" w:rsidRPr="0061079A">
        <w:rPr>
          <w:rStyle w:val="libFootnoteAlaemChar"/>
          <w:rtl/>
        </w:rPr>
        <w:t>عليه‌السلام</w:t>
      </w:r>
      <w:r w:rsidR="00744A1C">
        <w:rPr>
          <w:rtl/>
          <w:lang w:bidi="fa-IR"/>
        </w:rPr>
        <w:t xml:space="preserve"> . وفي </w:t>
      </w:r>
      <w:r w:rsidR="00744A1C" w:rsidRPr="00C24F9C">
        <w:rPr>
          <w:rStyle w:val="libFootnoteBoldChar"/>
          <w:rtl/>
        </w:rPr>
        <w:t>التهذيب</w:t>
      </w:r>
      <w:r w:rsidR="00744A1C">
        <w:rPr>
          <w:rtl/>
          <w:lang w:bidi="fa-IR"/>
        </w:rPr>
        <w:t xml:space="preserve"> ، ج 5 ، ص 430 ، ح 1495 ؛ وص 431 ، ح 1499 ؛ </w:t>
      </w:r>
      <w:r w:rsidR="00744A1C" w:rsidRPr="00C24F9C">
        <w:rPr>
          <w:rStyle w:val="libFootnoteBoldChar"/>
          <w:rtl/>
        </w:rPr>
        <w:t>والاستبصار</w:t>
      </w:r>
      <w:r w:rsidR="00744A1C">
        <w:rPr>
          <w:rtl/>
          <w:lang w:bidi="fa-IR"/>
        </w:rPr>
        <w:t xml:space="preserve"> ، ج 2 ، ص 335 ، ح 1192 ؛ و</w:t>
      </w:r>
      <w:r w:rsidR="00744A1C" w:rsidRPr="007B299E">
        <w:rPr>
          <w:rStyle w:val="libFootnoteBoldChar"/>
          <w:rtl/>
        </w:rPr>
        <w:t>كامل الزيارات</w:t>
      </w:r>
      <w:r w:rsidR="00744A1C">
        <w:rPr>
          <w:rtl/>
          <w:lang w:bidi="fa-IR"/>
        </w:rPr>
        <w:t xml:space="preserve"> ، ص 250 ، الباب 82 ، ح 6 ؛ وكتاب المزار ، ص 137 ، ح 2 ، بسند آخر عن أبي الحسن </w:t>
      </w:r>
      <w:r w:rsidR="0061079A" w:rsidRPr="0061079A">
        <w:rPr>
          <w:rStyle w:val="libFootnoteAlaemChar"/>
          <w:rtl/>
        </w:rPr>
        <w:t>عليه‌السلام</w:t>
      </w:r>
      <w:r w:rsidR="00D10E3C">
        <w:rPr>
          <w:rtl/>
          <w:lang w:bidi="fa-IR"/>
        </w:rPr>
        <w:t xml:space="preserve"> </w:t>
      </w:r>
      <w:r w:rsidR="00744A1C">
        <w:rPr>
          <w:rtl/>
          <w:lang w:bidi="fa-IR"/>
        </w:rPr>
        <w:t>، مع اختلاف يسير وزيادة</w:t>
      </w:r>
      <w:r w:rsidR="00CF79A9">
        <w:rPr>
          <w:rFonts w:hint="cs"/>
          <w:rtl/>
          <w:lang w:bidi="fa-IR"/>
        </w:rPr>
        <w:t>.</w:t>
      </w:r>
      <w:r w:rsidR="00744A1C" w:rsidRPr="00C24F9C">
        <w:rPr>
          <w:rStyle w:val="libFootnoteBoldChar"/>
          <w:rtl/>
        </w:rPr>
        <w:t>الوافي</w:t>
      </w:r>
      <w:r w:rsidR="00744A1C">
        <w:rPr>
          <w:rtl/>
          <w:lang w:bidi="fa-IR"/>
        </w:rPr>
        <w:t xml:space="preserve"> ، ج 7 ، ص 181 ، ح 5723 ؛ </w:t>
      </w:r>
      <w:r w:rsidR="00744A1C" w:rsidRPr="00C24F9C">
        <w:rPr>
          <w:rStyle w:val="libFootnoteBoldChar"/>
          <w:rtl/>
        </w:rPr>
        <w:t>الوسائل</w:t>
      </w:r>
      <w:r w:rsidR="00744A1C">
        <w:rPr>
          <w:rtl/>
          <w:lang w:bidi="fa-IR"/>
        </w:rPr>
        <w:t xml:space="preserve"> ، ج 8 ، ص 529 ، ح 11361.</w:t>
      </w:r>
    </w:p>
    <w:p w:rsidR="00744A1C" w:rsidRDefault="00E378DD" w:rsidP="00E378DD">
      <w:pPr>
        <w:pStyle w:val="libFootnote0"/>
        <w:rPr>
          <w:lang w:bidi="fa-IR"/>
        </w:rPr>
      </w:pPr>
      <w:r>
        <w:rPr>
          <w:rtl/>
          <w:lang w:bidi="fa-IR"/>
        </w:rPr>
        <w:t>(5).</w:t>
      </w:r>
      <w:r w:rsidR="00744A1C">
        <w:rPr>
          <w:rtl/>
          <w:lang w:bidi="fa-IR"/>
        </w:rPr>
        <w:t xml:space="preserve"> السند معلّق على سابقه. ويروي عن يونس ، عليّ بن إبراهيم عن أبيه عن إسماعيل بن مرّار.</w:t>
      </w:r>
    </w:p>
    <w:p w:rsidR="00744A1C" w:rsidRDefault="00E378DD" w:rsidP="00E378DD">
      <w:pPr>
        <w:pStyle w:val="libFootnote0"/>
        <w:rPr>
          <w:lang w:bidi="fa-IR"/>
        </w:rPr>
      </w:pPr>
      <w:r>
        <w:rPr>
          <w:rtl/>
          <w:lang w:bidi="fa-IR"/>
        </w:rPr>
        <w:t>(6).</w:t>
      </w:r>
      <w:r w:rsidR="00744A1C">
        <w:rPr>
          <w:rtl/>
          <w:lang w:bidi="fa-IR"/>
        </w:rPr>
        <w:t xml:space="preserve"> في « بث » : « إليك ». وفي « بخ » : + « مثل ».</w:t>
      </w:r>
    </w:p>
    <w:p w:rsidR="00744A1C" w:rsidRDefault="00E378DD" w:rsidP="009B28D7">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429 ، ح 1489 ؛ </w:t>
      </w:r>
      <w:r w:rsidR="00744A1C" w:rsidRPr="00C24F9C">
        <w:rPr>
          <w:rStyle w:val="libFootnoteBoldChar"/>
          <w:rtl/>
        </w:rPr>
        <w:t>والاستبصار</w:t>
      </w:r>
      <w:r w:rsidR="00744A1C">
        <w:rPr>
          <w:rtl/>
          <w:lang w:bidi="fa-IR"/>
        </w:rPr>
        <w:t xml:space="preserve"> ، ج 2 ، ص 334 ، ح 1186 ، معلّقاً عن الكليني</w:t>
      </w:r>
      <w:r w:rsidR="009B28D7">
        <w:rPr>
          <w:rFonts w:hint="cs"/>
          <w:rtl/>
          <w:lang w:bidi="fa-IR"/>
        </w:rPr>
        <w:t>.</w:t>
      </w:r>
      <w:r w:rsidR="00744A1C" w:rsidRPr="00C24F9C">
        <w:rPr>
          <w:rStyle w:val="libFootnoteBoldChar"/>
          <w:rtl/>
        </w:rPr>
        <w:t>الوافي</w:t>
      </w:r>
      <w:r w:rsidR="00744A1C">
        <w:rPr>
          <w:rtl/>
          <w:lang w:bidi="fa-IR"/>
        </w:rPr>
        <w:t xml:space="preserve"> ، ج 7 ، ص 182 ، ح 5724 ؛ </w:t>
      </w:r>
      <w:r w:rsidR="00744A1C" w:rsidRPr="00C24F9C">
        <w:rPr>
          <w:rStyle w:val="libFootnoteBoldChar"/>
          <w:rtl/>
        </w:rPr>
        <w:t>الوسائل</w:t>
      </w:r>
      <w:r w:rsidR="00744A1C">
        <w:rPr>
          <w:rtl/>
          <w:lang w:bidi="fa-IR"/>
        </w:rPr>
        <w:t xml:space="preserve"> ، ج 8 ، ص 530 ، ح 11363.</w:t>
      </w:r>
    </w:p>
    <w:tbl>
      <w:tblPr>
        <w:tblStyle w:val="TableGrid"/>
        <w:bidiVisual/>
        <w:tblW w:w="0" w:type="auto"/>
        <w:tblLook w:val="04A0" w:firstRow="1" w:lastRow="0" w:firstColumn="1" w:lastColumn="0" w:noHBand="0" w:noVBand="1"/>
      </w:tblPr>
      <w:tblGrid>
        <w:gridCol w:w="4006"/>
        <w:gridCol w:w="4006"/>
      </w:tblGrid>
      <w:tr w:rsidR="004065B2" w:rsidTr="004065B2">
        <w:tc>
          <w:tcPr>
            <w:tcW w:w="4006" w:type="dxa"/>
          </w:tcPr>
          <w:p w:rsidR="004065B2" w:rsidRDefault="004065B2" w:rsidP="00E378DD">
            <w:pPr>
              <w:pStyle w:val="libFootnote0"/>
              <w:rPr>
                <w:rtl/>
                <w:lang w:bidi="fa-IR"/>
              </w:rPr>
            </w:pPr>
            <w:r>
              <w:rPr>
                <w:rtl/>
                <w:lang w:bidi="fa-IR"/>
              </w:rPr>
              <w:t>(8). السند معلّق ، كسابقه.</w:t>
            </w:r>
          </w:p>
        </w:tc>
        <w:tc>
          <w:tcPr>
            <w:tcW w:w="4006" w:type="dxa"/>
          </w:tcPr>
          <w:p w:rsidR="004065B2" w:rsidRDefault="004065B2" w:rsidP="00E378DD">
            <w:pPr>
              <w:pStyle w:val="libFootnote0"/>
              <w:rPr>
                <w:rtl/>
                <w:lang w:bidi="fa-IR"/>
              </w:rPr>
            </w:pPr>
            <w:r>
              <w:rPr>
                <w:rtl/>
                <w:lang w:bidi="fa-IR"/>
              </w:rPr>
              <w:t xml:space="preserve">(9). في </w:t>
            </w:r>
            <w:r w:rsidRPr="00C24F9C">
              <w:rPr>
                <w:rStyle w:val="libFootnoteBoldChar"/>
                <w:rtl/>
              </w:rPr>
              <w:t>التهذيب</w:t>
            </w:r>
            <w:r>
              <w:rPr>
                <w:rtl/>
                <w:lang w:bidi="fa-IR"/>
              </w:rPr>
              <w:t xml:space="preserve"> : - « بن عمّار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أي الحكم الذي يذخر للخواصّ تقيّة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الْحَرَمَيْنِ </w:t>
      </w:r>
      <w:r w:rsidRPr="00D10E3C">
        <w:rPr>
          <w:rStyle w:val="libFootnotenumChar"/>
          <w:rtl/>
        </w:rPr>
        <w:t>(1)</w:t>
      </w:r>
      <w:r>
        <w:rPr>
          <w:rtl/>
          <w:lang w:bidi="fa-IR"/>
        </w:rPr>
        <w:t xml:space="preserve"> ». </w:t>
      </w:r>
      <w:r w:rsidRPr="00D10E3C">
        <w:rPr>
          <w:rStyle w:val="libFootnotenumChar"/>
          <w:rtl/>
        </w:rPr>
        <w:t>(2)</w:t>
      </w:r>
    </w:p>
    <w:p w:rsidR="00744A1C" w:rsidRDefault="00744A1C" w:rsidP="00744A1C">
      <w:pPr>
        <w:pStyle w:val="libNormal"/>
        <w:rPr>
          <w:lang w:bidi="fa-IR"/>
        </w:rPr>
      </w:pPr>
      <w:r>
        <w:rPr>
          <w:rtl/>
          <w:lang w:bidi="fa-IR"/>
        </w:rPr>
        <w:t xml:space="preserve">7985 / 6. مُحَمَّدُ بْنُ يَحْيى ، عَنْ أَحْمَدَ بْنِ مُحَمَّدٍ ، عَنْ عَلِيِّ بْنِ الْحَكَمِ ، عَنِ </w:t>
      </w:r>
      <w:r w:rsidR="00CD44D7">
        <w:rPr>
          <w:rtl/>
          <w:lang w:bidi="fa-IR"/>
        </w:rPr>
        <w:t>الْحُسَيْنِ بْنِ الْمُخْتَارِ :</w:t>
      </w:r>
    </w:p>
    <w:p w:rsidR="00744A1C" w:rsidRDefault="00744A1C" w:rsidP="00744A1C">
      <w:pPr>
        <w:pStyle w:val="libNormal"/>
        <w:rPr>
          <w:lang w:bidi="fa-IR"/>
        </w:rPr>
      </w:pPr>
      <w:r>
        <w:rPr>
          <w:rtl/>
          <w:lang w:bidi="fa-IR"/>
        </w:rPr>
        <w:t xml:space="preserve">عَنْ أَبِي إِبْرَاهِيمَ </w:t>
      </w:r>
      <w:r w:rsidR="0061079A" w:rsidRPr="0061079A">
        <w:rPr>
          <w:rStyle w:val="libAlaemChar"/>
          <w:rtl/>
        </w:rPr>
        <w:t>عليه‌السلام</w:t>
      </w:r>
      <w:r w:rsidR="00D10E3C">
        <w:rPr>
          <w:rtl/>
          <w:lang w:bidi="fa-IR"/>
        </w:rPr>
        <w:t xml:space="preserve"> </w:t>
      </w:r>
      <w:r>
        <w:rPr>
          <w:rtl/>
          <w:lang w:bidi="fa-IR"/>
        </w:rPr>
        <w:t>، قَالَ : قُلْتُ لَهُ : إِنَّا إِذَا دَخَلْنَا مَكَّةَ وَالْمَدِينَةَ ، نُتِمُّ أَوْ نَقْصُرُ؟</w:t>
      </w:r>
    </w:p>
    <w:p w:rsidR="00744A1C" w:rsidRDefault="00744A1C" w:rsidP="00744A1C">
      <w:pPr>
        <w:pStyle w:val="libNormal"/>
        <w:rPr>
          <w:lang w:bidi="fa-IR"/>
        </w:rPr>
      </w:pPr>
      <w:r>
        <w:rPr>
          <w:rtl/>
          <w:lang w:bidi="fa-IR"/>
        </w:rPr>
        <w:t xml:space="preserve">قَالَ : « إِنْ قَصَرْتَ فَذَاكَ </w:t>
      </w:r>
      <w:r w:rsidRPr="00D10E3C">
        <w:rPr>
          <w:rStyle w:val="libFootnotenumChar"/>
          <w:rtl/>
        </w:rPr>
        <w:t>(3)</w:t>
      </w:r>
      <w:r>
        <w:rPr>
          <w:rtl/>
          <w:lang w:bidi="fa-IR"/>
        </w:rPr>
        <w:t xml:space="preserve"> ، وَإِنْ أَتْمَمْتَ فَهُوَ خَيْرٌ يَزْدَادُ </w:t>
      </w:r>
      <w:r w:rsidRPr="00D10E3C">
        <w:rPr>
          <w:rStyle w:val="libFootnotenumChar"/>
          <w:rtl/>
        </w:rPr>
        <w:t>(4)</w:t>
      </w:r>
      <w:r>
        <w:rPr>
          <w:rtl/>
          <w:lang w:bidi="fa-IR"/>
        </w:rPr>
        <w:t xml:space="preserve"> ». </w:t>
      </w:r>
      <w:r w:rsidRPr="00D10E3C">
        <w:rPr>
          <w:rStyle w:val="libFootnotenumChar"/>
          <w:rtl/>
        </w:rPr>
        <w:t>(5)</w:t>
      </w:r>
    </w:p>
    <w:p w:rsidR="00744A1C" w:rsidRDefault="00744A1C" w:rsidP="00744A1C">
      <w:pPr>
        <w:pStyle w:val="libNormal"/>
        <w:rPr>
          <w:lang w:bidi="fa-IR"/>
        </w:rPr>
      </w:pPr>
      <w:r>
        <w:rPr>
          <w:rtl/>
          <w:lang w:bidi="fa-IR"/>
        </w:rPr>
        <w:t>7986 / 7. حُمَيْدُ بْنُ زِيَادٍ ، عَنِ ابْنِ سَمَاعَةَ ، عَنْ غَيْرِ وَاحِدٍ ، عَنْ أَبَانِ ب</w:t>
      </w:r>
      <w:r w:rsidR="00402A3D">
        <w:rPr>
          <w:rtl/>
          <w:lang w:bidi="fa-IR"/>
        </w:rPr>
        <w:t>ْنِ عُثْمَانَ ، عَنْ مِسْمَعٍ :</w:t>
      </w:r>
    </w:p>
    <w:p w:rsidR="00744A1C" w:rsidRDefault="00744A1C" w:rsidP="00744A1C">
      <w:pPr>
        <w:pStyle w:val="libNormal"/>
        <w:rPr>
          <w:lang w:bidi="fa-IR"/>
        </w:rPr>
      </w:pPr>
      <w:r>
        <w:rPr>
          <w:rtl/>
          <w:lang w:bidi="fa-IR"/>
        </w:rPr>
        <w:t xml:space="preserve">عَنْ أَبِي إِبْرَاهِيمَ </w:t>
      </w:r>
      <w:r w:rsidR="0061079A" w:rsidRPr="0061079A">
        <w:rPr>
          <w:rStyle w:val="libAlaemChar"/>
          <w:rtl/>
        </w:rPr>
        <w:t>عليه‌السلام</w:t>
      </w:r>
      <w:r w:rsidR="00D10E3C">
        <w:rPr>
          <w:rtl/>
          <w:lang w:bidi="fa-IR"/>
        </w:rPr>
        <w:t xml:space="preserve"> </w:t>
      </w:r>
      <w:r>
        <w:rPr>
          <w:rtl/>
          <w:lang w:bidi="fa-IR"/>
        </w:rPr>
        <w:t xml:space="preserve">، قَالَ : « كَانَ أَبِي يَرى لِهذَيْنِ الْحَرَمَيْنِ مَا لَايَرَاهُ لِغَيْرِهِمَا ، وَيَقُولُ : إِنَّ الْإِتْمَامَ فِيهِمَا مِنَ الْأَمْرِ الْمَذْخُورِ ». </w:t>
      </w:r>
      <w:r w:rsidRPr="00D10E3C">
        <w:rPr>
          <w:rStyle w:val="libFootnotenumChar"/>
          <w:rtl/>
        </w:rPr>
        <w:t>(6)</w:t>
      </w:r>
    </w:p>
    <w:p w:rsidR="00744A1C" w:rsidRDefault="00744A1C" w:rsidP="00744A1C">
      <w:pPr>
        <w:pStyle w:val="libNormal"/>
        <w:rPr>
          <w:lang w:bidi="fa-IR"/>
        </w:rPr>
      </w:pPr>
      <w:r>
        <w:rPr>
          <w:rtl/>
          <w:lang w:bidi="fa-IR"/>
        </w:rPr>
        <w:t xml:space="preserve">7987 / 8. عِدَّةٌ مِنْ أَصْحَابِنَا ، عَنْ سَهْلِ بْنِ زِيَادٍ وَأَحْمَدَ بْنِ مُحَمَّدٍ جَمِيعاً </w:t>
      </w:r>
      <w:r w:rsidRPr="00D10E3C">
        <w:rPr>
          <w:rStyle w:val="libFootnotenumChar"/>
          <w:rtl/>
        </w:rPr>
        <w:t>(7)</w:t>
      </w:r>
      <w:r>
        <w:rPr>
          <w:rtl/>
          <w:lang w:bidi="fa-IR"/>
        </w:rPr>
        <w:t xml:space="preserve">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الفقيه</w:t>
      </w:r>
      <w:r w:rsidR="00744A1C">
        <w:rPr>
          <w:rtl/>
          <w:lang w:bidi="fa-IR"/>
        </w:rPr>
        <w:t xml:space="preserve"> : « من الأمر المذخور إتمام الصلاة في أربعة مواطن بمكّة والمدينة ومسجد الكوفة وحائر الحسين » بدل « الإتمام في الحرمين ».</w:t>
      </w:r>
    </w:p>
    <w:p w:rsidR="00744A1C" w:rsidRDefault="00E378DD" w:rsidP="00F953A4">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429 ، ح 1490 ؛ </w:t>
      </w:r>
      <w:r w:rsidR="00744A1C" w:rsidRPr="00C24F9C">
        <w:rPr>
          <w:rStyle w:val="libFootnoteBoldChar"/>
          <w:rtl/>
        </w:rPr>
        <w:t>والاستبصار</w:t>
      </w:r>
      <w:r w:rsidR="00744A1C">
        <w:rPr>
          <w:rtl/>
          <w:lang w:bidi="fa-IR"/>
        </w:rPr>
        <w:t xml:space="preserve"> ، ج 2 ، ص 334 ، ح 1187 ، معلّقاً عن الكليني. </w:t>
      </w:r>
      <w:r w:rsidR="00744A1C" w:rsidRPr="007B299E">
        <w:rPr>
          <w:rStyle w:val="libFootnoteBoldChar"/>
          <w:rtl/>
        </w:rPr>
        <w:t>كامل الزيارات</w:t>
      </w:r>
      <w:r w:rsidR="00744A1C">
        <w:rPr>
          <w:rtl/>
          <w:lang w:bidi="fa-IR"/>
        </w:rPr>
        <w:t xml:space="preserve"> ، ص 249 ، الباب 82 ، ح 4 ، بسند آخر. </w:t>
      </w:r>
      <w:r w:rsidR="00744A1C" w:rsidRPr="00C24F9C">
        <w:rPr>
          <w:rStyle w:val="libFootnoteBoldChar"/>
          <w:rtl/>
        </w:rPr>
        <w:t>الفقيه</w:t>
      </w:r>
      <w:r w:rsidR="00744A1C">
        <w:rPr>
          <w:rtl/>
          <w:lang w:bidi="fa-IR"/>
        </w:rPr>
        <w:t xml:space="preserve"> ، ج 1 ، ص 442 ، ح 1283 ، مرسلاً ، وفي الأخيرين مع اختلاف يسير وزيادة في آخره</w:t>
      </w:r>
      <w:r w:rsidR="00F953A4">
        <w:rPr>
          <w:rFonts w:hint="cs"/>
          <w:rtl/>
          <w:lang w:bidi="fa-IR"/>
        </w:rPr>
        <w:t>.</w:t>
      </w:r>
      <w:r w:rsidR="00744A1C" w:rsidRPr="00C24F9C">
        <w:rPr>
          <w:rStyle w:val="libFootnoteBoldChar"/>
          <w:rtl/>
        </w:rPr>
        <w:t>الوافي</w:t>
      </w:r>
      <w:r w:rsidR="00744A1C">
        <w:rPr>
          <w:rtl/>
          <w:lang w:bidi="fa-IR"/>
        </w:rPr>
        <w:t xml:space="preserve"> ، ج 7 ، ص 182 ، ح 5725 ؛ </w:t>
      </w:r>
      <w:r w:rsidR="00744A1C" w:rsidRPr="00C24F9C">
        <w:rPr>
          <w:rStyle w:val="libFootnoteBoldChar"/>
          <w:rtl/>
        </w:rPr>
        <w:t>الوسائل</w:t>
      </w:r>
      <w:r w:rsidR="00744A1C">
        <w:rPr>
          <w:rtl/>
          <w:lang w:bidi="fa-IR"/>
        </w:rPr>
        <w:t xml:space="preserve"> ، ج 8 ، ص 530 ، ح 11362.</w:t>
      </w:r>
    </w:p>
    <w:p w:rsidR="00744A1C" w:rsidRDefault="00E378DD" w:rsidP="00E378DD">
      <w:pPr>
        <w:pStyle w:val="libFootnote0"/>
        <w:rPr>
          <w:lang w:bidi="fa-IR"/>
        </w:rPr>
      </w:pPr>
      <w:r>
        <w:rPr>
          <w:rtl/>
          <w:lang w:bidi="fa-IR"/>
        </w:rPr>
        <w:t>(3).</w:t>
      </w:r>
      <w:r w:rsidR="00744A1C">
        <w:rPr>
          <w:rtl/>
          <w:lang w:bidi="fa-IR"/>
        </w:rPr>
        <w:t xml:space="preserve"> في « ى ، بخ ، جد » و</w:t>
      </w:r>
      <w:r w:rsidR="00744A1C" w:rsidRPr="00C24F9C">
        <w:rPr>
          <w:rStyle w:val="libFootnoteBoldChar"/>
          <w:rtl/>
        </w:rPr>
        <w:t>الوسائل</w:t>
      </w:r>
      <w:r w:rsidR="00744A1C">
        <w:rPr>
          <w:rtl/>
          <w:lang w:bidi="fa-IR"/>
        </w:rPr>
        <w:t xml:space="preserve"> : « فلذلك ».</w:t>
      </w:r>
    </w:p>
    <w:p w:rsidR="00744A1C" w:rsidRDefault="00E378DD" w:rsidP="00E378DD">
      <w:pPr>
        <w:pStyle w:val="libFootnote0"/>
        <w:rPr>
          <w:lang w:bidi="fa-IR"/>
        </w:rPr>
      </w:pPr>
      <w:r>
        <w:rPr>
          <w:rtl/>
          <w:lang w:bidi="fa-IR"/>
        </w:rPr>
        <w:t>(4).</w:t>
      </w:r>
      <w:r w:rsidR="00744A1C">
        <w:rPr>
          <w:rtl/>
          <w:lang w:bidi="fa-IR"/>
        </w:rPr>
        <w:t xml:space="preserve"> في « ى ، بث ، بح ، بس ، بف ، جد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ح 1491 </w:t>
      </w:r>
      <w:r w:rsidR="00744A1C" w:rsidRPr="00C24F9C">
        <w:rPr>
          <w:rStyle w:val="libFootnoteBoldChar"/>
          <w:rtl/>
        </w:rPr>
        <w:t>والاستبصار</w:t>
      </w:r>
      <w:r w:rsidR="00744A1C">
        <w:rPr>
          <w:rtl/>
          <w:lang w:bidi="fa-IR"/>
        </w:rPr>
        <w:t xml:space="preserve"> ، ح 1188 : « تزداد ».</w:t>
      </w:r>
    </w:p>
    <w:p w:rsidR="00744A1C" w:rsidRDefault="00E378DD" w:rsidP="00D66916">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430 ، ح 1491 ؛ </w:t>
      </w:r>
      <w:r w:rsidR="00744A1C" w:rsidRPr="00C24F9C">
        <w:rPr>
          <w:rStyle w:val="libFootnoteBoldChar"/>
          <w:rtl/>
        </w:rPr>
        <w:t>والاستبصار</w:t>
      </w:r>
      <w:r w:rsidR="00744A1C">
        <w:rPr>
          <w:rtl/>
          <w:lang w:bidi="fa-IR"/>
        </w:rPr>
        <w:t xml:space="preserve"> ، ج 2 ، ص 334 ، ح 1188 ، معلّقاً عن الكليني. وفي </w:t>
      </w:r>
      <w:r w:rsidR="00744A1C" w:rsidRPr="00C24F9C">
        <w:rPr>
          <w:rStyle w:val="libFootnoteBoldChar"/>
          <w:rtl/>
        </w:rPr>
        <w:t>التهذيب</w:t>
      </w:r>
      <w:r w:rsidR="00744A1C">
        <w:rPr>
          <w:rtl/>
          <w:lang w:bidi="fa-IR"/>
        </w:rPr>
        <w:t xml:space="preserve"> ، ج 5 ، ص 430 ، ح 1493 ؛ وص 474 ، ح 1669 ؛ </w:t>
      </w:r>
      <w:r w:rsidR="00744A1C" w:rsidRPr="00C24F9C">
        <w:rPr>
          <w:rStyle w:val="libFootnoteBoldChar"/>
          <w:rtl/>
        </w:rPr>
        <w:t>والاستبصار</w:t>
      </w:r>
      <w:r w:rsidR="00744A1C">
        <w:rPr>
          <w:rtl/>
          <w:lang w:bidi="fa-IR"/>
        </w:rPr>
        <w:t xml:space="preserve"> ، ج 2 ، ص 334 ، ح 1190 ؛ و</w:t>
      </w:r>
      <w:r w:rsidR="00744A1C" w:rsidRPr="007B299E">
        <w:rPr>
          <w:rStyle w:val="libFootnoteBoldChar"/>
          <w:rtl/>
        </w:rPr>
        <w:t>كامل الزيارات</w:t>
      </w:r>
      <w:r w:rsidR="00744A1C">
        <w:rPr>
          <w:rtl/>
          <w:lang w:bidi="fa-IR"/>
        </w:rPr>
        <w:t xml:space="preserve"> ، ص 250 ، الباب 82 ، ح 10 ، بسند آخر عن أبي الحسن </w:t>
      </w:r>
      <w:r w:rsidR="0061079A" w:rsidRPr="0061079A">
        <w:rPr>
          <w:rStyle w:val="libFootnoteAlaemChar"/>
          <w:rtl/>
        </w:rPr>
        <w:t>عليه‌السلام</w:t>
      </w:r>
      <w:r w:rsidR="00D10E3C">
        <w:rPr>
          <w:rtl/>
          <w:lang w:bidi="fa-IR"/>
        </w:rPr>
        <w:t xml:space="preserve"> </w:t>
      </w:r>
      <w:r w:rsidR="00744A1C">
        <w:rPr>
          <w:rtl/>
          <w:lang w:bidi="fa-IR"/>
        </w:rPr>
        <w:t>، مع اختلاف يسير</w:t>
      </w:r>
      <w:r w:rsidR="00D66916">
        <w:rPr>
          <w:rFonts w:hint="cs"/>
          <w:rtl/>
          <w:lang w:bidi="fa-IR"/>
        </w:rPr>
        <w:t>.</w:t>
      </w:r>
      <w:r w:rsidR="00744A1C" w:rsidRPr="00C24F9C">
        <w:rPr>
          <w:rStyle w:val="libFootnoteBoldChar"/>
          <w:rtl/>
        </w:rPr>
        <w:t>الوافي</w:t>
      </w:r>
      <w:r w:rsidR="00744A1C">
        <w:rPr>
          <w:rtl/>
          <w:lang w:bidi="fa-IR"/>
        </w:rPr>
        <w:t xml:space="preserve"> ، ج 7 ، ص 182 ، ح 5726 ؛ </w:t>
      </w:r>
      <w:r w:rsidR="00744A1C" w:rsidRPr="00C24F9C">
        <w:rPr>
          <w:rStyle w:val="libFootnoteBoldChar"/>
          <w:rtl/>
        </w:rPr>
        <w:t>الوسائل</w:t>
      </w:r>
      <w:r w:rsidR="00744A1C">
        <w:rPr>
          <w:rtl/>
          <w:lang w:bidi="fa-IR"/>
        </w:rPr>
        <w:t xml:space="preserve"> ، ج 8 ، ص 529 ، ح 11358.</w:t>
      </w:r>
    </w:p>
    <w:p w:rsidR="00744A1C" w:rsidRDefault="00E378DD" w:rsidP="00C62DC7">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426 ، ح 1478 ؛ </w:t>
      </w:r>
      <w:r w:rsidR="00744A1C" w:rsidRPr="00C24F9C">
        <w:rPr>
          <w:rStyle w:val="libFootnoteBoldChar"/>
          <w:rtl/>
        </w:rPr>
        <w:t>والاستبصار</w:t>
      </w:r>
      <w:r w:rsidR="00744A1C">
        <w:rPr>
          <w:rtl/>
          <w:lang w:bidi="fa-IR"/>
        </w:rPr>
        <w:t xml:space="preserve"> ، ج 2 ، ص 230 ، ح 1174 ، بسندهما عن أبان</w:t>
      </w:r>
      <w:r w:rsidR="00C62DC7">
        <w:rPr>
          <w:rFonts w:hint="cs"/>
          <w:rtl/>
          <w:lang w:bidi="fa-IR"/>
        </w:rPr>
        <w:t>.</w:t>
      </w:r>
      <w:r w:rsidR="00744A1C" w:rsidRPr="00C24F9C">
        <w:rPr>
          <w:rStyle w:val="libFootnoteBoldChar"/>
          <w:rtl/>
        </w:rPr>
        <w:t>الوافي</w:t>
      </w:r>
      <w:r w:rsidR="00744A1C">
        <w:rPr>
          <w:rtl/>
          <w:lang w:bidi="fa-IR"/>
        </w:rPr>
        <w:t xml:space="preserve"> ، ج 7 ، ص 182 ، ح 5727 ؛ </w:t>
      </w:r>
      <w:r w:rsidR="00744A1C" w:rsidRPr="00C24F9C">
        <w:rPr>
          <w:rStyle w:val="libFootnoteBoldChar"/>
          <w:rtl/>
        </w:rPr>
        <w:t>الوسائل</w:t>
      </w:r>
      <w:r w:rsidR="00744A1C">
        <w:rPr>
          <w:rtl/>
          <w:lang w:bidi="fa-IR"/>
        </w:rPr>
        <w:t xml:space="preserve"> ، ج 8 ، ص 524 ، ح 11344.</w:t>
      </w:r>
    </w:p>
    <w:p w:rsidR="00744A1C" w:rsidRDefault="00E378DD" w:rsidP="00E378DD">
      <w:pPr>
        <w:pStyle w:val="libFootnote0"/>
        <w:rPr>
          <w:lang w:bidi="fa-IR"/>
        </w:rPr>
      </w:pPr>
      <w:r>
        <w:rPr>
          <w:rtl/>
          <w:lang w:bidi="fa-IR"/>
        </w:rPr>
        <w:t>(7).</w:t>
      </w:r>
      <w:r w:rsidR="00744A1C">
        <w:rPr>
          <w:rtl/>
          <w:lang w:bidi="fa-IR"/>
        </w:rPr>
        <w:t xml:space="preserve"> في « بح » : - « جميعاً ».</w:t>
      </w:r>
    </w:p>
    <w:p w:rsidR="00150943" w:rsidRDefault="00150943" w:rsidP="00D10E3C">
      <w:pPr>
        <w:pStyle w:val="libNormal"/>
        <w:rPr>
          <w:rtl/>
          <w:lang w:bidi="fa-IR"/>
        </w:rPr>
      </w:pPr>
      <w:r>
        <w:rPr>
          <w:rtl/>
          <w:lang w:bidi="fa-IR"/>
        </w:rPr>
        <w:br w:type="page"/>
      </w:r>
    </w:p>
    <w:p w:rsidR="00144FA6" w:rsidRDefault="00744A1C" w:rsidP="00B03098">
      <w:pPr>
        <w:pStyle w:val="libNormal0"/>
        <w:rPr>
          <w:rtl/>
          <w:lang w:bidi="fa-IR"/>
        </w:rPr>
      </w:pPr>
      <w:r>
        <w:rPr>
          <w:rtl/>
          <w:lang w:bidi="fa-IR"/>
        </w:rPr>
        <w:lastRenderedPageBreak/>
        <w:t>عَلِيِّ بْنِ مَهْزِيَارَ ، قَالَ :</w:t>
      </w:r>
    </w:p>
    <w:p w:rsidR="00744A1C" w:rsidRDefault="00744A1C" w:rsidP="0017094E">
      <w:pPr>
        <w:pStyle w:val="libNormal"/>
        <w:rPr>
          <w:lang w:bidi="fa-IR"/>
        </w:rPr>
      </w:pPr>
      <w:r>
        <w:rPr>
          <w:rtl/>
          <w:lang w:bidi="fa-IR"/>
        </w:rPr>
        <w:t xml:space="preserve">كَتَبْتُ إِلى أَبِي جَعْفَرٍ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أَنَّ الرِّوَايَةَ قَدِ اخْتَلَفَتْ </w:t>
      </w:r>
      <w:r w:rsidRPr="00D10E3C">
        <w:rPr>
          <w:rStyle w:val="libFootnotenumChar"/>
          <w:rtl/>
        </w:rPr>
        <w:t>(2)</w:t>
      </w:r>
      <w:r>
        <w:rPr>
          <w:rtl/>
          <w:lang w:bidi="fa-IR"/>
        </w:rPr>
        <w:t xml:space="preserve"> عَنْ آبَائِكَ </w:t>
      </w:r>
      <w:r w:rsidR="008859AA" w:rsidRPr="008859AA">
        <w:rPr>
          <w:rStyle w:val="libAlaemChar"/>
          <w:rtl/>
        </w:rPr>
        <w:t>عليهما‌السلام</w:t>
      </w:r>
      <w:r>
        <w:rPr>
          <w:rtl/>
          <w:lang w:bidi="fa-IR"/>
        </w:rPr>
        <w:t xml:space="preserve">فِي الْإِتْمَامِ وَالتَّقْصِيرِ فِي الْحَرَمَيْنِ ، فَمِنْهَا بِأَنْ يُتِمَّ الصَّلَاةَ وَلَوْ صَلَاةً وَاحِدَةً ، وَمِنْهَا أَنْ يُقَصِّرَ مَا لَمْ يَنْوِ مُقَامَ عَشَرَةِ أَيَّامٍ ، وَلَمْ أَزَلْ عَلَى الْإِتْمَامِ فِيهَا إِلى أَنْ صَدَرْنَا فِي حَجِّنَا فِي </w:t>
      </w:r>
      <w:r w:rsidRPr="00D10E3C">
        <w:rPr>
          <w:rStyle w:val="libFootnotenumChar"/>
          <w:rtl/>
        </w:rPr>
        <w:t>(3)</w:t>
      </w:r>
      <w:r>
        <w:rPr>
          <w:rtl/>
          <w:lang w:bidi="fa-IR"/>
        </w:rPr>
        <w:t xml:space="preserve"> عَامِنَا هذَا ، فَإِنَّ فُقَهَاءَ أَصْحَابِنَا أَشَارُوا عَلَيَّ بِالتَّقْصِيرِ إِذْ </w:t>
      </w:r>
      <w:r w:rsidRPr="00D10E3C">
        <w:rPr>
          <w:rStyle w:val="libFootnotenumChar"/>
          <w:rtl/>
        </w:rPr>
        <w:t>(4)</w:t>
      </w:r>
      <w:r>
        <w:rPr>
          <w:rtl/>
          <w:lang w:bidi="fa-IR"/>
        </w:rPr>
        <w:t xml:space="preserve"> كُنْتُ لَا أَنْوِي مُقَامَ عَشَرَةِ أَيَّامٍ ، فَصِرْتُ إِلَى التَّقْصِيرِ وَقَدْ ضِقْتُ بِذلِكَ حَتّى أَعْرِفَ رَأْيَكَ.</w:t>
      </w:r>
    </w:p>
    <w:p w:rsidR="00744A1C" w:rsidRDefault="00744A1C" w:rsidP="00744A1C">
      <w:pPr>
        <w:pStyle w:val="libNormal"/>
        <w:rPr>
          <w:lang w:bidi="fa-IR"/>
        </w:rPr>
      </w:pPr>
      <w:r>
        <w:rPr>
          <w:rtl/>
          <w:lang w:bidi="fa-IR"/>
        </w:rPr>
        <w:t xml:space="preserve">فَكَتَبَ إِلَيَّ بِخَطِّهِ : « قَدْ </w:t>
      </w:r>
      <w:r w:rsidRPr="00D10E3C">
        <w:rPr>
          <w:rStyle w:val="libFootnotenumChar"/>
          <w:rtl/>
        </w:rPr>
        <w:t>(5)</w:t>
      </w:r>
      <w:r>
        <w:rPr>
          <w:rtl/>
          <w:lang w:bidi="fa-IR"/>
        </w:rPr>
        <w:t xml:space="preserve"> عَلِمْتَ - يَرْحَمُكَ اللهُ - فَضْلَ الصَّلَاةِ فِي الْحَرَمَيْنِ عَلى غَيْرِهِمَا ، فَإِنِّي </w:t>
      </w:r>
      <w:r w:rsidRPr="00D10E3C">
        <w:rPr>
          <w:rStyle w:val="libFootnotenumChar"/>
          <w:rtl/>
        </w:rPr>
        <w:t>(6)</w:t>
      </w:r>
      <w:r>
        <w:rPr>
          <w:rtl/>
          <w:lang w:bidi="fa-IR"/>
        </w:rPr>
        <w:t xml:space="preserve"> أُحِبُّ لَكَ إِذَا دَخَلْتَهُمَا أَنْ لَاتَقْصُرَ ، وَتُكْثِرَ فِيهِمَا الصَّلَاةَ </w:t>
      </w:r>
      <w:r w:rsidRPr="00D10E3C">
        <w:rPr>
          <w:rStyle w:val="libFootnotenumChar"/>
          <w:rtl/>
        </w:rPr>
        <w:t>(7)</w:t>
      </w:r>
      <w:r>
        <w:rPr>
          <w:rtl/>
          <w:lang w:bidi="fa-IR"/>
        </w:rPr>
        <w:t xml:space="preserve"> ».</w:t>
      </w:r>
    </w:p>
    <w:p w:rsidR="00744A1C" w:rsidRDefault="00744A1C" w:rsidP="00744A1C">
      <w:pPr>
        <w:pStyle w:val="libNormal"/>
        <w:rPr>
          <w:lang w:bidi="fa-IR"/>
        </w:rPr>
      </w:pPr>
      <w:r>
        <w:rPr>
          <w:rtl/>
          <w:lang w:bidi="fa-IR"/>
        </w:rPr>
        <w:t>فَقُلْتُ لَهُ بَعْدَ ذلِكَ بِسَنَتَيْنِ مُشَافَهَةً : إِنِّي كَتَبْتُ إِلَيْكَ بِكَذَا وَأَجَبْتَنِي بِكَذَا.</w:t>
      </w:r>
    </w:p>
    <w:p w:rsidR="00744A1C" w:rsidRDefault="00744A1C" w:rsidP="00744A1C">
      <w:pPr>
        <w:pStyle w:val="libNormal"/>
        <w:rPr>
          <w:lang w:bidi="fa-IR"/>
        </w:rPr>
      </w:pPr>
      <w:r>
        <w:rPr>
          <w:rtl/>
          <w:lang w:bidi="fa-IR"/>
        </w:rPr>
        <w:t>فَقَالَ : « نَعَمْ ».</w:t>
      </w:r>
    </w:p>
    <w:p w:rsidR="00744A1C" w:rsidRDefault="00744A1C" w:rsidP="00744A1C">
      <w:pPr>
        <w:pStyle w:val="libNormal"/>
        <w:rPr>
          <w:lang w:bidi="fa-IR"/>
        </w:rPr>
      </w:pPr>
      <w:r>
        <w:rPr>
          <w:rtl/>
          <w:lang w:bidi="fa-IR"/>
        </w:rPr>
        <w:t xml:space="preserve">فَقُلْتُ : أَيَّ </w:t>
      </w:r>
      <w:r w:rsidRPr="00D10E3C">
        <w:rPr>
          <w:rStyle w:val="libFootnotenumChar"/>
          <w:rtl/>
        </w:rPr>
        <w:t>(8)</w:t>
      </w:r>
      <w:r>
        <w:rPr>
          <w:rtl/>
          <w:lang w:bidi="fa-IR"/>
        </w:rPr>
        <w:t xml:space="preserve"> شَيْ‌ءٍ تَعْنِي بِالْحَرَمَيْنِ؟</w:t>
      </w:r>
    </w:p>
    <w:p w:rsidR="00144FA6" w:rsidRDefault="00744A1C" w:rsidP="00744A1C">
      <w:pPr>
        <w:pStyle w:val="libNormal"/>
        <w:rPr>
          <w:rtl/>
          <w:lang w:bidi="fa-IR"/>
        </w:rPr>
      </w:pPr>
      <w:r>
        <w:rPr>
          <w:rtl/>
          <w:lang w:bidi="fa-IR"/>
        </w:rPr>
        <w:t xml:space="preserve">فَقَالَ : « مَكَّةَ وَالْمَدِينَةَ ». </w:t>
      </w:r>
      <w:r w:rsidRPr="00D10E3C">
        <w:rPr>
          <w:rStyle w:val="libFootnotenumChar"/>
          <w:rtl/>
        </w:rPr>
        <w:t>(9)</w:t>
      </w:r>
    </w:p>
    <w:p w:rsidR="00744A1C" w:rsidRDefault="00744A1C" w:rsidP="00186B8F">
      <w:pPr>
        <w:pStyle w:val="Heading2Center"/>
        <w:rPr>
          <w:lang w:bidi="fa-IR"/>
        </w:rPr>
      </w:pPr>
      <w:bookmarkStart w:id="46" w:name="_Toc49261344"/>
      <w:r>
        <w:rPr>
          <w:rtl/>
          <w:lang w:bidi="fa-IR"/>
        </w:rPr>
        <w:t xml:space="preserve">201 - بَابُ فَضْلِ الصَّلَاةِ فِي الْمَسْجِدِ الْحَرَامِ وَأَفْضَلِ بُقْعَةٍ </w:t>
      </w:r>
      <w:r w:rsidRPr="00D10E3C">
        <w:rPr>
          <w:rStyle w:val="libFootnotenumChar"/>
          <w:rtl/>
        </w:rPr>
        <w:t>(10)</w:t>
      </w:r>
      <w:r>
        <w:rPr>
          <w:rtl/>
          <w:lang w:bidi="fa-IR"/>
        </w:rPr>
        <w:t xml:space="preserve"> فِيهِ‌</w:t>
      </w:r>
      <w:bookmarkEnd w:id="46"/>
    </w:p>
    <w:p w:rsidR="00744A1C" w:rsidRDefault="00744A1C" w:rsidP="00744A1C">
      <w:pPr>
        <w:pStyle w:val="libNormal"/>
        <w:rPr>
          <w:lang w:bidi="fa-IR"/>
        </w:rPr>
      </w:pPr>
      <w:r>
        <w:rPr>
          <w:rtl/>
          <w:lang w:bidi="fa-IR"/>
        </w:rPr>
        <w:t>7988 / 1. عِدَّةٌ مِنْ أَصْحَابِنَا ، عَنْ أَحْمَدَ بْنِ مُحَمَّدٍ ، عَنِ ابْنِ فَضَّالٍ ، عَنِ الْحَسَنِ بْنِ‌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83626C" w:rsidTr="0083626C">
        <w:tc>
          <w:tcPr>
            <w:tcW w:w="4006" w:type="dxa"/>
          </w:tcPr>
          <w:p w:rsidR="0083626C" w:rsidRDefault="0083626C" w:rsidP="00D10E3C">
            <w:pPr>
              <w:pStyle w:val="libFootnote0"/>
              <w:rPr>
                <w:rtl/>
                <w:lang w:bidi="fa-IR"/>
              </w:rPr>
            </w:pPr>
            <w:r>
              <w:rPr>
                <w:rtl/>
                <w:lang w:bidi="fa-IR"/>
              </w:rPr>
              <w:t xml:space="preserve">(1). في </w:t>
            </w:r>
            <w:r w:rsidRPr="00C24F9C">
              <w:rPr>
                <w:rStyle w:val="libFootnoteBoldChar"/>
                <w:rtl/>
              </w:rPr>
              <w:t>الوافي</w:t>
            </w:r>
            <w:r>
              <w:rPr>
                <w:rtl/>
                <w:lang w:bidi="fa-IR"/>
              </w:rPr>
              <w:t xml:space="preserve"> : + « الثاني ».</w:t>
            </w:r>
          </w:p>
        </w:tc>
        <w:tc>
          <w:tcPr>
            <w:tcW w:w="4006" w:type="dxa"/>
          </w:tcPr>
          <w:p w:rsidR="0083626C" w:rsidRDefault="0083626C" w:rsidP="00D10E3C">
            <w:pPr>
              <w:pStyle w:val="libFootnote0"/>
              <w:rPr>
                <w:rtl/>
                <w:lang w:bidi="fa-IR"/>
              </w:rPr>
            </w:pPr>
            <w:r>
              <w:rPr>
                <w:rtl/>
                <w:lang w:bidi="fa-IR"/>
              </w:rPr>
              <w:t>(2). في « ى ، جد » : « اختلف ».</w:t>
            </w:r>
          </w:p>
        </w:tc>
      </w:tr>
      <w:tr w:rsidR="0083626C" w:rsidTr="0083626C">
        <w:tc>
          <w:tcPr>
            <w:tcW w:w="4006" w:type="dxa"/>
          </w:tcPr>
          <w:p w:rsidR="0083626C" w:rsidRDefault="0083626C" w:rsidP="00D10E3C">
            <w:pPr>
              <w:pStyle w:val="libFootnote0"/>
              <w:rPr>
                <w:rtl/>
                <w:lang w:bidi="fa-IR"/>
              </w:rPr>
            </w:pPr>
            <w:r>
              <w:rPr>
                <w:rtl/>
                <w:lang w:bidi="fa-IR"/>
              </w:rPr>
              <w:t>(3). في « بس » : - « في ».</w:t>
            </w:r>
          </w:p>
        </w:tc>
        <w:tc>
          <w:tcPr>
            <w:tcW w:w="4006" w:type="dxa"/>
          </w:tcPr>
          <w:p w:rsidR="0083626C" w:rsidRDefault="0083626C" w:rsidP="0083626C">
            <w:pPr>
              <w:pStyle w:val="libFootnote0"/>
              <w:rPr>
                <w:rtl/>
                <w:lang w:bidi="fa-IR"/>
              </w:rPr>
            </w:pPr>
            <w:r>
              <w:rPr>
                <w:rtl/>
                <w:lang w:bidi="fa-IR"/>
              </w:rPr>
              <w:t>(4). في«بح،بف،</w:t>
            </w:r>
            <w:r w:rsidRPr="00E6127D">
              <w:rPr>
                <w:rtl/>
              </w:rPr>
              <w:t>جد»والتهذيب والاستبصار:«</w:t>
            </w:r>
            <w:r>
              <w:rPr>
                <w:rtl/>
                <w:lang w:bidi="fa-IR"/>
              </w:rPr>
              <w:t>إذا».</w:t>
            </w:r>
          </w:p>
        </w:tc>
      </w:tr>
      <w:tr w:rsidR="0083626C" w:rsidTr="0083626C">
        <w:tc>
          <w:tcPr>
            <w:tcW w:w="4006" w:type="dxa"/>
          </w:tcPr>
          <w:p w:rsidR="0083626C" w:rsidRDefault="0083626C" w:rsidP="00D10E3C">
            <w:pPr>
              <w:pStyle w:val="libFootnote0"/>
              <w:rPr>
                <w:rtl/>
                <w:lang w:bidi="fa-IR"/>
              </w:rPr>
            </w:pPr>
            <w:r>
              <w:rPr>
                <w:rtl/>
                <w:lang w:bidi="fa-IR"/>
              </w:rPr>
              <w:t>(5). في « ى » : « وقد ».</w:t>
            </w:r>
          </w:p>
        </w:tc>
        <w:tc>
          <w:tcPr>
            <w:tcW w:w="4006" w:type="dxa"/>
          </w:tcPr>
          <w:p w:rsidR="0083626C" w:rsidRDefault="00556F34" w:rsidP="00D10E3C">
            <w:pPr>
              <w:pStyle w:val="libFootnote0"/>
              <w:rPr>
                <w:rtl/>
                <w:lang w:bidi="fa-IR"/>
              </w:rPr>
            </w:pPr>
            <w:r>
              <w:rPr>
                <w:rtl/>
                <w:lang w:bidi="fa-IR"/>
              </w:rPr>
              <w:t>(6). في«بف،جد»</w:t>
            </w:r>
            <w:r w:rsidRPr="00E6127D">
              <w:rPr>
                <w:rtl/>
              </w:rPr>
              <w:t>والوافي والتهذيب والاستبصار</w:t>
            </w:r>
            <w:r>
              <w:rPr>
                <w:rtl/>
                <w:lang w:bidi="fa-IR"/>
              </w:rPr>
              <w:t>:«فأنا».</w:t>
            </w:r>
          </w:p>
        </w:tc>
      </w:tr>
      <w:tr w:rsidR="0083626C" w:rsidTr="0083626C">
        <w:tc>
          <w:tcPr>
            <w:tcW w:w="4006" w:type="dxa"/>
          </w:tcPr>
          <w:p w:rsidR="0083626C" w:rsidRDefault="0083626C" w:rsidP="00D10E3C">
            <w:pPr>
              <w:pStyle w:val="libFootnote0"/>
              <w:rPr>
                <w:rtl/>
                <w:lang w:bidi="fa-IR"/>
              </w:rPr>
            </w:pPr>
            <w:r>
              <w:rPr>
                <w:rtl/>
                <w:lang w:bidi="fa-IR"/>
              </w:rPr>
              <w:t>(7). في « بخ ، بف » : « بالصلاة ».</w:t>
            </w:r>
          </w:p>
        </w:tc>
        <w:tc>
          <w:tcPr>
            <w:tcW w:w="4006" w:type="dxa"/>
          </w:tcPr>
          <w:p w:rsidR="0083626C" w:rsidRDefault="007E6103" w:rsidP="00D10E3C">
            <w:pPr>
              <w:pStyle w:val="libFootnote0"/>
              <w:rPr>
                <w:rtl/>
                <w:lang w:bidi="fa-IR"/>
              </w:rPr>
            </w:pPr>
            <w:r>
              <w:rPr>
                <w:rtl/>
                <w:lang w:bidi="fa-IR"/>
              </w:rPr>
              <w:t>(8). في « بخ ، بف » و</w:t>
            </w:r>
            <w:r w:rsidRPr="00C24F9C">
              <w:rPr>
                <w:rStyle w:val="libFootnoteBoldChar"/>
                <w:rtl/>
              </w:rPr>
              <w:t>الوافي</w:t>
            </w:r>
            <w:r>
              <w:rPr>
                <w:rtl/>
                <w:lang w:bidi="fa-IR"/>
              </w:rPr>
              <w:t xml:space="preserve"> : « فأيّ ».</w:t>
            </w:r>
          </w:p>
        </w:tc>
      </w:tr>
    </w:tbl>
    <w:p w:rsidR="00744A1C" w:rsidRDefault="00E378DD" w:rsidP="006A0F6F">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428 ، ح 1487 ؛ </w:t>
      </w:r>
      <w:r w:rsidR="00744A1C" w:rsidRPr="00C24F9C">
        <w:rPr>
          <w:rStyle w:val="libFootnoteBoldChar"/>
          <w:rtl/>
        </w:rPr>
        <w:t>والاستبصار</w:t>
      </w:r>
      <w:r w:rsidR="00744A1C">
        <w:rPr>
          <w:rtl/>
          <w:lang w:bidi="fa-IR"/>
        </w:rPr>
        <w:t xml:space="preserve"> ، ج 2 ، ص 333 ، ح 1183 ، معلّقاً عن عليّ بن مهزيار ، مع اختلاف يسير وزيادة في آخره</w:t>
      </w:r>
      <w:r w:rsidR="006A0F6F">
        <w:rPr>
          <w:rFonts w:hint="cs"/>
          <w:rtl/>
        </w:rPr>
        <w:t>.</w:t>
      </w:r>
      <w:r w:rsidR="00744A1C" w:rsidRPr="00C24F9C">
        <w:rPr>
          <w:rStyle w:val="libFootnoteBoldChar"/>
          <w:rtl/>
        </w:rPr>
        <w:t>الوافي</w:t>
      </w:r>
      <w:r w:rsidR="00744A1C">
        <w:rPr>
          <w:rtl/>
          <w:lang w:bidi="fa-IR"/>
        </w:rPr>
        <w:t xml:space="preserve"> ، ج 7 ، ص 182 ، ح 5728 ؛ </w:t>
      </w:r>
      <w:r w:rsidR="00744A1C" w:rsidRPr="00C24F9C">
        <w:rPr>
          <w:rStyle w:val="libFootnoteBoldChar"/>
          <w:rtl/>
        </w:rPr>
        <w:t>الوسائل</w:t>
      </w:r>
      <w:r w:rsidR="00744A1C">
        <w:rPr>
          <w:rtl/>
          <w:lang w:bidi="fa-IR"/>
        </w:rPr>
        <w:t xml:space="preserve"> ، ج 8 ، ص 525 ، ذيل ح 11346.</w:t>
      </w:r>
    </w:p>
    <w:p w:rsidR="00744A1C" w:rsidRDefault="00E378DD" w:rsidP="00E378DD">
      <w:pPr>
        <w:pStyle w:val="libFootnote0"/>
        <w:rPr>
          <w:lang w:bidi="fa-IR"/>
        </w:rPr>
      </w:pPr>
      <w:r>
        <w:rPr>
          <w:rtl/>
          <w:lang w:bidi="fa-IR"/>
        </w:rPr>
        <w:t>(10).</w:t>
      </w:r>
      <w:r w:rsidR="00744A1C">
        <w:rPr>
          <w:rtl/>
          <w:lang w:bidi="fa-IR"/>
        </w:rPr>
        <w:t xml:space="preserve"> البُقْعَةُ : قطعة من أرض على غير هيئة التي على جنبها. وجمعه : البِقاع. راجع : </w:t>
      </w:r>
      <w:r w:rsidR="00744A1C" w:rsidRPr="00E978C3">
        <w:rPr>
          <w:rStyle w:val="libFootnoteBoldChar"/>
          <w:rtl/>
        </w:rPr>
        <w:t>ترتيب كتاب العين</w:t>
      </w:r>
      <w:r w:rsidR="00744A1C">
        <w:rPr>
          <w:rtl/>
          <w:lang w:bidi="fa-IR"/>
        </w:rPr>
        <w:t xml:space="preserve"> ، ج 1 ، ص 182 ؛ </w:t>
      </w:r>
      <w:r w:rsidR="00744A1C" w:rsidRPr="00877682">
        <w:rPr>
          <w:rStyle w:val="libFootnoteBoldChar"/>
          <w:rtl/>
        </w:rPr>
        <w:t>لسان العرب</w:t>
      </w:r>
      <w:r w:rsidR="00744A1C">
        <w:rPr>
          <w:rtl/>
          <w:lang w:bidi="fa-IR"/>
        </w:rPr>
        <w:t xml:space="preserve"> ، ج 8 ، ص 18 ( بقع ).</w:t>
      </w:r>
    </w:p>
    <w:p w:rsidR="00150943" w:rsidRDefault="00150943" w:rsidP="00D10E3C">
      <w:pPr>
        <w:pStyle w:val="libNormal"/>
        <w:rPr>
          <w:rtl/>
          <w:lang w:bidi="fa-IR"/>
        </w:rPr>
      </w:pPr>
      <w:r>
        <w:rPr>
          <w:rtl/>
          <w:lang w:bidi="fa-IR"/>
        </w:rPr>
        <w:br w:type="page"/>
      </w:r>
    </w:p>
    <w:p w:rsidR="00144FA6" w:rsidRDefault="00744A1C" w:rsidP="00B03098">
      <w:pPr>
        <w:pStyle w:val="libNormal0"/>
        <w:rPr>
          <w:rtl/>
          <w:lang w:bidi="fa-IR"/>
        </w:rPr>
      </w:pPr>
      <w:r>
        <w:rPr>
          <w:rtl/>
          <w:lang w:bidi="fa-IR"/>
        </w:rPr>
        <w:lastRenderedPageBreak/>
        <w:t xml:space="preserve">الْجَهْمِ </w:t>
      </w:r>
      <w:r w:rsidRPr="00D10E3C">
        <w:rPr>
          <w:rStyle w:val="libFootnotenumChar"/>
          <w:rtl/>
        </w:rPr>
        <w:t>(1)</w:t>
      </w:r>
      <w:r>
        <w:rPr>
          <w:rtl/>
          <w:lang w:bidi="fa-IR"/>
        </w:rPr>
        <w:t xml:space="preserve"> ، قَالَ :</w:t>
      </w:r>
    </w:p>
    <w:p w:rsidR="00744A1C" w:rsidRDefault="00744A1C" w:rsidP="00744A1C">
      <w:pPr>
        <w:pStyle w:val="libNormal"/>
        <w:rPr>
          <w:lang w:bidi="fa-IR"/>
        </w:rPr>
      </w:pPr>
      <w:r>
        <w:rPr>
          <w:rtl/>
          <w:lang w:bidi="fa-IR"/>
        </w:rPr>
        <w:t xml:space="preserve">سَأَلْتُ أَبَا الْحَسَنِ الرِّضَا </w:t>
      </w:r>
      <w:r w:rsidR="0061079A" w:rsidRPr="0061079A">
        <w:rPr>
          <w:rStyle w:val="libAlaemChar"/>
          <w:rtl/>
        </w:rPr>
        <w:t>عليه‌السلام</w:t>
      </w:r>
      <w:r w:rsidR="00D10E3C">
        <w:rPr>
          <w:rtl/>
          <w:lang w:bidi="fa-IR"/>
        </w:rPr>
        <w:t xml:space="preserve"> </w:t>
      </w:r>
      <w:r>
        <w:rPr>
          <w:rtl/>
          <w:lang w:bidi="fa-IR"/>
        </w:rPr>
        <w:t>عَنْ أَفْضَلِ مَوْضِعٍ فِي الْمَسْجِدِ يُصَلّى فِيهِ؟</w:t>
      </w:r>
    </w:p>
    <w:p w:rsidR="00744A1C" w:rsidRDefault="00744A1C" w:rsidP="00744A1C">
      <w:pPr>
        <w:pStyle w:val="libNormal"/>
        <w:rPr>
          <w:lang w:bidi="fa-IR"/>
        </w:rPr>
      </w:pPr>
      <w:r>
        <w:rPr>
          <w:rtl/>
          <w:lang w:bidi="fa-IR"/>
        </w:rPr>
        <w:t>قَالَ : « الْحَطِيمُ مَا بَيْنَ الْحَجَرِ وَبَابِ الْبَيْتِ ».</w:t>
      </w:r>
    </w:p>
    <w:p w:rsidR="00744A1C" w:rsidRDefault="00744A1C" w:rsidP="00744A1C">
      <w:pPr>
        <w:pStyle w:val="libNormal"/>
        <w:rPr>
          <w:lang w:bidi="fa-IR"/>
        </w:rPr>
      </w:pPr>
      <w:r>
        <w:rPr>
          <w:rtl/>
          <w:lang w:bidi="fa-IR"/>
        </w:rPr>
        <w:t>قُلْتُ : وَالَّذِي يَلِي ذلِكَ فِي الْفَضْلِ؟</w:t>
      </w:r>
    </w:p>
    <w:p w:rsidR="00744A1C" w:rsidRDefault="00744A1C" w:rsidP="00744A1C">
      <w:pPr>
        <w:pStyle w:val="libNormal"/>
        <w:rPr>
          <w:lang w:bidi="fa-IR"/>
        </w:rPr>
      </w:pPr>
      <w:r>
        <w:rPr>
          <w:rtl/>
          <w:lang w:bidi="fa-IR"/>
        </w:rPr>
        <w:t xml:space="preserve">فَذَكَرَ أَنَّهُ عِنْدَ مَقَامِ إِبْرَاهِيمَ </w:t>
      </w:r>
      <w:r w:rsidR="0061079A" w:rsidRPr="0061079A">
        <w:rPr>
          <w:rStyle w:val="libAlaemChar"/>
          <w:rtl/>
        </w:rPr>
        <w:t>عليه‌السلام</w:t>
      </w:r>
      <w:r>
        <w:rPr>
          <w:rtl/>
          <w:lang w:bidi="fa-IR"/>
        </w:rPr>
        <w:t xml:space="preserve"> .</w:t>
      </w:r>
    </w:p>
    <w:p w:rsidR="00744A1C" w:rsidRDefault="00744A1C" w:rsidP="00744A1C">
      <w:pPr>
        <w:pStyle w:val="libNormal"/>
        <w:rPr>
          <w:lang w:bidi="fa-IR"/>
        </w:rPr>
      </w:pPr>
      <w:r>
        <w:rPr>
          <w:rtl/>
          <w:lang w:bidi="fa-IR"/>
        </w:rPr>
        <w:t>قُلْتُ : ثُمَّ الَّذِي يَلِيهِ فِي الْفَضْلِ؟</w:t>
      </w:r>
    </w:p>
    <w:p w:rsidR="00744A1C" w:rsidRDefault="00744A1C" w:rsidP="00744A1C">
      <w:pPr>
        <w:pStyle w:val="libNormal"/>
        <w:rPr>
          <w:lang w:bidi="fa-IR"/>
        </w:rPr>
      </w:pPr>
      <w:r>
        <w:rPr>
          <w:rtl/>
          <w:lang w:bidi="fa-IR"/>
        </w:rPr>
        <w:t>قَالَ : « فِي الْحِجْرِ ».</w:t>
      </w:r>
    </w:p>
    <w:p w:rsidR="00744A1C" w:rsidRDefault="00744A1C" w:rsidP="00744A1C">
      <w:pPr>
        <w:pStyle w:val="libNormal"/>
        <w:rPr>
          <w:lang w:bidi="fa-IR"/>
        </w:rPr>
      </w:pPr>
      <w:r>
        <w:rPr>
          <w:rtl/>
          <w:lang w:bidi="fa-IR"/>
        </w:rPr>
        <w:t>قُلْتُ : ثُمَّ الَّذِي يَلِي ذلِكَ؟</w:t>
      </w:r>
    </w:p>
    <w:p w:rsidR="00744A1C" w:rsidRDefault="00744A1C" w:rsidP="00744A1C">
      <w:pPr>
        <w:pStyle w:val="libNormal"/>
        <w:rPr>
          <w:lang w:bidi="fa-IR"/>
        </w:rPr>
      </w:pPr>
      <w:r>
        <w:rPr>
          <w:rtl/>
          <w:lang w:bidi="fa-IR"/>
        </w:rPr>
        <w:t xml:space="preserve">قَالَ : « كُلُّ مَا دَنَا مِنَ الْبَيْتِ ». </w:t>
      </w:r>
      <w:r w:rsidRPr="00D10E3C">
        <w:rPr>
          <w:rStyle w:val="libFootnotenumChar"/>
          <w:rtl/>
        </w:rPr>
        <w:t>(2)</w:t>
      </w:r>
    </w:p>
    <w:p w:rsidR="00144FA6" w:rsidRDefault="00744A1C" w:rsidP="00744A1C">
      <w:pPr>
        <w:pStyle w:val="libNormal"/>
        <w:rPr>
          <w:rtl/>
          <w:lang w:bidi="fa-IR"/>
        </w:rPr>
      </w:pPr>
      <w:r>
        <w:rPr>
          <w:rtl/>
          <w:lang w:bidi="fa-IR"/>
        </w:rPr>
        <w:t xml:space="preserve">7989 / 2. أَبُو عَلِيٍّ الْأَشْعَرِيُّ ، عَنْ مُحَمَّدِ بْنِ عَبْدِ الْجَبَّارِ ، عَنْ صَفْوَانَ بْنِ يَحْيى ، عَنْ أَبِي أَيُّوبَ الْخَرَّازِ </w:t>
      </w:r>
      <w:r w:rsidRPr="00D10E3C">
        <w:rPr>
          <w:rStyle w:val="libFootnotenumChar"/>
          <w:rtl/>
        </w:rPr>
        <w:t>(3)</w:t>
      </w:r>
      <w:r>
        <w:rPr>
          <w:rtl/>
          <w:lang w:bidi="fa-IR"/>
        </w:rPr>
        <w:t xml:space="preserve"> ، عَنْ أَبِي عُبَيْدَةَ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الصَّلَاةُ فِي الْحَرَمِ كُلِّهِ سَوَاءٌ؟</w:t>
      </w:r>
    </w:p>
    <w:p w:rsidR="00744A1C" w:rsidRDefault="00744A1C" w:rsidP="00744A1C">
      <w:pPr>
        <w:pStyle w:val="libNormal"/>
        <w:rPr>
          <w:lang w:bidi="fa-IR"/>
        </w:rPr>
      </w:pPr>
      <w:r>
        <w:rPr>
          <w:rtl/>
          <w:lang w:bidi="fa-IR"/>
        </w:rPr>
        <w:t xml:space="preserve">فَقَالَ : « يَا أَبَا عُبَيْدَةَ ، مَا الصَّلَاةُ فِي الْمَسْجِدِ الْحَرَامِ كُلِّهِ سَوَاءً ، فَكَيْفَ يَكُونُ </w:t>
      </w:r>
      <w:r w:rsidRPr="00D10E3C">
        <w:rPr>
          <w:rStyle w:val="libFootnotenumChar"/>
          <w:rtl/>
        </w:rPr>
        <w:t>(4)</w:t>
      </w:r>
      <w:r>
        <w:rPr>
          <w:rtl/>
          <w:lang w:bidi="fa-IR"/>
        </w:rPr>
        <w:t xml:space="preserve"> فِي الْحَرَمِ كُلِّهِ سَوَاءً؟ ».</w:t>
      </w:r>
    </w:p>
    <w:p w:rsidR="00744A1C" w:rsidRDefault="00744A1C" w:rsidP="00744A1C">
      <w:pPr>
        <w:pStyle w:val="libNormal"/>
        <w:rPr>
          <w:lang w:bidi="fa-IR"/>
        </w:rPr>
      </w:pPr>
      <w:r>
        <w:rPr>
          <w:rtl/>
          <w:lang w:bidi="fa-IR"/>
        </w:rPr>
        <w:t xml:space="preserve">قُلْتُ : فَأَيُّ بِقَاعِهِ </w:t>
      </w:r>
      <w:r w:rsidRPr="00D10E3C">
        <w:rPr>
          <w:rStyle w:val="libFootnotenumChar"/>
          <w:rtl/>
        </w:rPr>
        <w:t>(5)</w:t>
      </w:r>
      <w:r>
        <w:rPr>
          <w:rtl/>
          <w:lang w:bidi="fa-IR"/>
        </w:rPr>
        <w:t xml:space="preserve"> أَفْضَلُ؟</w:t>
      </w:r>
    </w:p>
    <w:p w:rsidR="00744A1C" w:rsidRDefault="00744A1C" w:rsidP="00744A1C">
      <w:pPr>
        <w:pStyle w:val="libNormal"/>
        <w:rPr>
          <w:lang w:bidi="fa-IR"/>
        </w:rPr>
      </w:pPr>
      <w:r>
        <w:rPr>
          <w:rtl/>
          <w:lang w:bidi="fa-IR"/>
        </w:rPr>
        <w:t xml:space="preserve">قَالَ : « مَا بَيْنَ الْبَابِ إِلَى الْحَجَرِ الْأَسْوَدِ ». </w:t>
      </w:r>
      <w:r w:rsidRPr="00D10E3C">
        <w:rPr>
          <w:rStyle w:val="libFootnotenumChar"/>
          <w:rtl/>
        </w:rPr>
        <w:t>(6)</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بف » وحاشية « بح » : « جهم » بدل « الجهم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12 ، ص 46 ، ح 11483 ؛ </w:t>
      </w:r>
      <w:r w:rsidR="00744A1C" w:rsidRPr="00C24F9C">
        <w:rPr>
          <w:rStyle w:val="libFootnoteBoldChar"/>
          <w:rtl/>
        </w:rPr>
        <w:t>الوسائل</w:t>
      </w:r>
      <w:r w:rsidR="00744A1C">
        <w:rPr>
          <w:rtl/>
          <w:lang w:bidi="fa-IR"/>
        </w:rPr>
        <w:t xml:space="preserve"> ، ج 5 ، ص 273 ، ح 6527.</w:t>
      </w:r>
    </w:p>
    <w:p w:rsidR="00744A1C" w:rsidRDefault="00E378DD" w:rsidP="00E378DD">
      <w:pPr>
        <w:pStyle w:val="libFootnote0"/>
        <w:rPr>
          <w:lang w:bidi="fa-IR"/>
        </w:rPr>
      </w:pPr>
      <w:r>
        <w:rPr>
          <w:rtl/>
          <w:lang w:bidi="fa-IR"/>
        </w:rPr>
        <w:t>(3).</w:t>
      </w:r>
      <w:r w:rsidR="00744A1C">
        <w:rPr>
          <w:rtl/>
          <w:lang w:bidi="fa-IR"/>
        </w:rPr>
        <w:t xml:space="preserve"> هكذا في « بث ، جد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 بح ، بس ، بف » والمطبوع : « الخزّاز ». وما أثبتناه هو الصواب ، كما تقدّم ذيل ح 75 ، فلاحظ.</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تكون ».</w:t>
      </w:r>
    </w:p>
    <w:p w:rsidR="00744A1C" w:rsidRDefault="00E378DD" w:rsidP="00E378DD">
      <w:pPr>
        <w:pStyle w:val="libFootnote0"/>
        <w:rPr>
          <w:lang w:bidi="fa-IR"/>
        </w:rPr>
      </w:pPr>
      <w:r>
        <w:rPr>
          <w:rtl/>
          <w:lang w:bidi="fa-IR"/>
        </w:rPr>
        <w:t>(5).</w:t>
      </w:r>
      <w:r w:rsidR="00744A1C">
        <w:rPr>
          <w:rtl/>
          <w:lang w:bidi="fa-IR"/>
        </w:rPr>
        <w:t xml:space="preserve"> في « بخ » : « بقعة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12 ، ص 46 ، ح 11482 ؛ </w:t>
      </w:r>
      <w:r w:rsidR="00744A1C" w:rsidRPr="00C24F9C">
        <w:rPr>
          <w:rStyle w:val="libFootnoteBoldChar"/>
          <w:rtl/>
        </w:rPr>
        <w:t>الوسائل</w:t>
      </w:r>
      <w:r w:rsidR="00744A1C">
        <w:rPr>
          <w:rtl/>
          <w:lang w:bidi="fa-IR"/>
        </w:rPr>
        <w:t xml:space="preserve"> ، ج 5 ، ص 274 ، ح 6530.</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7990 / 3. مُحَمَّدُ بْنُ يَحْيى ، عَنْ أَحْمَدَ بْنِ مُحَمَّدٍ ، عَنِ ابْنِ فَ</w:t>
      </w:r>
      <w:r w:rsidR="004414A2">
        <w:rPr>
          <w:rtl/>
          <w:lang w:bidi="fa-IR"/>
        </w:rPr>
        <w:t>ضَّالٍ ، عَنْ يُونُسَ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الْمُلْتَزَمِ : لِأَيِّ شَيْ‌ءٍ يُلْتَزَمُ </w:t>
      </w:r>
      <w:r w:rsidRPr="00D10E3C">
        <w:rPr>
          <w:rStyle w:val="libFootnotenumChar"/>
          <w:rtl/>
        </w:rPr>
        <w:t>(1)</w:t>
      </w:r>
      <w:r>
        <w:rPr>
          <w:rtl/>
          <w:lang w:bidi="fa-IR"/>
        </w:rPr>
        <w:t>؟ وَأَيُّ شَيْ‌ءٍ يُذْكَرُ فِيهِ؟</w:t>
      </w:r>
    </w:p>
    <w:p w:rsidR="00744A1C" w:rsidRDefault="00744A1C" w:rsidP="00744A1C">
      <w:pPr>
        <w:pStyle w:val="libNormal"/>
        <w:rPr>
          <w:lang w:bidi="fa-IR"/>
        </w:rPr>
      </w:pPr>
      <w:r>
        <w:rPr>
          <w:rtl/>
          <w:lang w:bidi="fa-IR"/>
        </w:rPr>
        <w:t xml:space="preserve">فَقَالَ : « عِنْدَهُ نَهَرٌ مِنْ أَنْهَارِ الْجَنَّةِ ، تُلْقى </w:t>
      </w:r>
      <w:r w:rsidRPr="00D10E3C">
        <w:rPr>
          <w:rStyle w:val="libFootnotenumChar"/>
          <w:rtl/>
        </w:rPr>
        <w:t>(2)</w:t>
      </w:r>
      <w:r>
        <w:rPr>
          <w:rtl/>
          <w:lang w:bidi="fa-IR"/>
        </w:rPr>
        <w:t xml:space="preserve"> فِيهِ </w:t>
      </w:r>
      <w:r w:rsidRPr="00D10E3C">
        <w:rPr>
          <w:rStyle w:val="libFootnotenumChar"/>
          <w:rtl/>
        </w:rPr>
        <w:t>(3)</w:t>
      </w:r>
      <w:r>
        <w:rPr>
          <w:rtl/>
          <w:lang w:bidi="fa-IR"/>
        </w:rPr>
        <w:t xml:space="preserve"> أَعْمَالُ الْعِبَادِ عِنْدَ كُلِّ خَمِيسٍ ». </w:t>
      </w:r>
      <w:r w:rsidRPr="00D10E3C">
        <w:rPr>
          <w:rStyle w:val="libFootnotenumChar"/>
          <w:rtl/>
        </w:rPr>
        <w:t>(4)</w:t>
      </w:r>
      <w:r>
        <w:rPr>
          <w:rtl/>
          <w:lang w:bidi="fa-IR"/>
        </w:rPr>
        <w:t>‌</w:t>
      </w:r>
    </w:p>
    <w:p w:rsidR="00744A1C" w:rsidRDefault="00744A1C" w:rsidP="00744A1C">
      <w:pPr>
        <w:pStyle w:val="libNormal"/>
        <w:rPr>
          <w:lang w:bidi="fa-IR"/>
        </w:rPr>
      </w:pPr>
      <w:r>
        <w:rPr>
          <w:rtl/>
          <w:lang w:bidi="fa-IR"/>
        </w:rPr>
        <w:t xml:space="preserve">7991 / 4. أَحْمَدُ بْنُ مُحَمَّدٍ </w:t>
      </w:r>
      <w:r w:rsidRPr="00D10E3C">
        <w:rPr>
          <w:rStyle w:val="libFootnotenumChar"/>
          <w:rtl/>
        </w:rPr>
        <w:t>(5)</w:t>
      </w:r>
      <w:r>
        <w:rPr>
          <w:rtl/>
          <w:lang w:bidi="fa-IR"/>
        </w:rPr>
        <w:t xml:space="preserve"> ، عَنْ عَلِيِّ بْنِ الْحَكَمِ</w:t>
      </w:r>
      <w:r w:rsidR="004414A2">
        <w:rPr>
          <w:rtl/>
          <w:lang w:bidi="fa-IR"/>
        </w:rPr>
        <w:t xml:space="preserve"> ، عَنِ الْكَاهِلِيِّ ، قَالَ :</w:t>
      </w:r>
    </w:p>
    <w:p w:rsidR="00744A1C" w:rsidRDefault="00744A1C" w:rsidP="00744A1C">
      <w:pPr>
        <w:pStyle w:val="libNormal"/>
        <w:rPr>
          <w:lang w:bidi="fa-IR"/>
        </w:rPr>
      </w:pPr>
      <w:r>
        <w:rPr>
          <w:rtl/>
          <w:lang w:bidi="fa-IR"/>
        </w:rPr>
        <w:t xml:space="preserve">كُنَّا عِنْدَ أَبِي عَبْدِ اللهِ </w:t>
      </w:r>
      <w:r w:rsidR="0061079A" w:rsidRPr="0061079A">
        <w:rPr>
          <w:rStyle w:val="libAlaemChar"/>
          <w:rtl/>
        </w:rPr>
        <w:t>عليه‌السلام</w:t>
      </w:r>
      <w:r w:rsidR="00D10E3C">
        <w:rPr>
          <w:rtl/>
          <w:lang w:bidi="fa-IR"/>
        </w:rPr>
        <w:t xml:space="preserve"> </w:t>
      </w:r>
      <w:r>
        <w:rPr>
          <w:rtl/>
          <w:lang w:bidi="fa-IR"/>
        </w:rPr>
        <w:t xml:space="preserve">، فَقَالَ : « أَكْثِرُوا مِنَ الصَّلَاةِ وَالدُّعَاءِ فِي هذَا الْمَسْجِدِ ، أَمَا إِنَّ لِكُلِّ عَبْدٍ رِزْقاً يُحَازُ </w:t>
      </w:r>
      <w:r w:rsidRPr="00D10E3C">
        <w:rPr>
          <w:rStyle w:val="libFootnotenumChar"/>
          <w:rtl/>
        </w:rPr>
        <w:t>(6)</w:t>
      </w:r>
      <w:r>
        <w:rPr>
          <w:rtl/>
          <w:lang w:bidi="fa-IR"/>
        </w:rPr>
        <w:t xml:space="preserve"> إِلَيْهِ حَوْزاً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 xml:space="preserve">7992 / 5. أَحْمَدُ بْنُ مُحَمَّدٍ </w:t>
      </w:r>
      <w:r w:rsidRPr="00D10E3C">
        <w:rPr>
          <w:rStyle w:val="libFootnotenumChar"/>
          <w:rtl/>
        </w:rPr>
        <w:t>(9)</w:t>
      </w:r>
      <w:r>
        <w:rPr>
          <w:rtl/>
          <w:lang w:bidi="fa-IR"/>
        </w:rPr>
        <w:t xml:space="preserve"> ، عَنْ عَلِيِّ بْنِ أَبِي سَلَمَةَ ، عَنْ هَارُونَ بْنِ خَارِجَةَ ، عَنْ صَامِتٍ :</w:t>
      </w:r>
    </w:p>
    <w:p w:rsidR="00744A1C" w:rsidRDefault="00744A1C" w:rsidP="00744A1C">
      <w:pPr>
        <w:pStyle w:val="libNormal"/>
        <w:rPr>
          <w:lang w:bidi="fa-IR"/>
        </w:rPr>
      </w:pPr>
      <w:r>
        <w:rPr>
          <w:rtl/>
          <w:lang w:bidi="fa-IR"/>
        </w:rPr>
        <w:t xml:space="preserve">عَنْ أَبِي عَبْدِ اللهِ ، عَنْ آبَائِهِ </w:t>
      </w:r>
      <w:r w:rsidR="008859AA" w:rsidRPr="008859AA">
        <w:rPr>
          <w:rStyle w:val="libAlaemChar"/>
          <w:rtl/>
        </w:rPr>
        <w:t>عليهما‌السلام</w:t>
      </w:r>
      <w:r w:rsidRPr="00D10E3C">
        <w:rPr>
          <w:rStyle w:val="libFootnotenumChar"/>
          <w:rtl/>
        </w:rPr>
        <w:t>(10)</w:t>
      </w:r>
      <w:r>
        <w:rPr>
          <w:rtl/>
          <w:lang w:bidi="fa-IR"/>
        </w:rPr>
        <w:t xml:space="preserve"> ، قَالَ : « الصَّلَاةُ فِي الْمَسْجِدِ الْحَرَامِ تَعْدِلُ مِائَةَ أَلْفِ صَلَاةٍ ». </w:t>
      </w:r>
      <w:r w:rsidRPr="00D10E3C">
        <w:rPr>
          <w:rStyle w:val="libFootnotenumChar"/>
          <w:rtl/>
        </w:rPr>
        <w:t>(11)</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9461AC" w:rsidTr="009461AC">
        <w:tc>
          <w:tcPr>
            <w:tcW w:w="4006" w:type="dxa"/>
          </w:tcPr>
          <w:p w:rsidR="009461AC" w:rsidRDefault="009461AC" w:rsidP="00D10E3C">
            <w:pPr>
              <w:pStyle w:val="libFootnote0"/>
              <w:rPr>
                <w:rtl/>
                <w:lang w:bidi="fa-IR"/>
              </w:rPr>
            </w:pPr>
            <w:r>
              <w:rPr>
                <w:rtl/>
                <w:lang w:bidi="fa-IR"/>
              </w:rPr>
              <w:t>(1). في « بح » وحاشية « بث » : « يلتزمه ».</w:t>
            </w:r>
          </w:p>
        </w:tc>
        <w:tc>
          <w:tcPr>
            <w:tcW w:w="4006" w:type="dxa"/>
          </w:tcPr>
          <w:p w:rsidR="009461AC" w:rsidRDefault="009461AC" w:rsidP="00D10E3C">
            <w:pPr>
              <w:pStyle w:val="libFootnote0"/>
              <w:rPr>
                <w:rtl/>
                <w:lang w:bidi="fa-IR"/>
              </w:rPr>
            </w:pPr>
            <w:r>
              <w:rPr>
                <w:rtl/>
                <w:lang w:bidi="fa-IR"/>
              </w:rPr>
              <w:t>(2). في « بث ، جن » و</w:t>
            </w:r>
            <w:r w:rsidRPr="00C24F9C">
              <w:rPr>
                <w:rStyle w:val="libFootnoteBoldChar"/>
                <w:rtl/>
              </w:rPr>
              <w:t>الوافي</w:t>
            </w:r>
            <w:r>
              <w:rPr>
                <w:rtl/>
                <w:lang w:bidi="fa-IR"/>
              </w:rPr>
              <w:t xml:space="preserve"> والعلل : « يلقى ».</w:t>
            </w:r>
          </w:p>
        </w:tc>
      </w:tr>
    </w:tbl>
    <w:p w:rsidR="00744A1C" w:rsidRDefault="00E378DD" w:rsidP="00E378DD">
      <w:pPr>
        <w:pStyle w:val="libFootnote0"/>
        <w:rPr>
          <w:lang w:bidi="fa-IR"/>
        </w:rPr>
      </w:pPr>
      <w:r>
        <w:rPr>
          <w:rtl/>
          <w:lang w:bidi="fa-IR"/>
        </w:rPr>
        <w:t>(3).</w:t>
      </w:r>
      <w:r w:rsidR="00744A1C">
        <w:rPr>
          <w:rtl/>
          <w:lang w:bidi="fa-IR"/>
        </w:rPr>
        <w:t xml:space="preserve"> في حاشية « بث » : « فيها ».</w:t>
      </w:r>
    </w:p>
    <w:p w:rsidR="00744A1C" w:rsidRDefault="00E378DD" w:rsidP="00EA76F6">
      <w:pPr>
        <w:pStyle w:val="libFootnote0"/>
        <w:rPr>
          <w:lang w:bidi="fa-IR"/>
        </w:rPr>
      </w:pPr>
      <w:r>
        <w:rPr>
          <w:rtl/>
          <w:lang w:bidi="fa-IR"/>
        </w:rPr>
        <w:t>(4).</w:t>
      </w:r>
      <w:r w:rsidR="00744A1C">
        <w:rPr>
          <w:rtl/>
          <w:lang w:bidi="fa-IR"/>
        </w:rPr>
        <w:t xml:space="preserve"> </w:t>
      </w:r>
      <w:r w:rsidR="00744A1C" w:rsidRPr="003A7143">
        <w:rPr>
          <w:rStyle w:val="libFootnoteBoldChar"/>
          <w:rtl/>
        </w:rPr>
        <w:t>علل الشرائع</w:t>
      </w:r>
      <w:r w:rsidR="00744A1C">
        <w:rPr>
          <w:rtl/>
          <w:lang w:bidi="fa-IR"/>
        </w:rPr>
        <w:t xml:space="preserve"> ، ص 424 ، ح 4 ، بسنده عن ابن فضّال ، عن يونس ، عمّن ذكره ، عن أبي عبدالله </w:t>
      </w:r>
      <w:r w:rsidR="0061079A" w:rsidRPr="0061079A">
        <w:rPr>
          <w:rStyle w:val="libFootnoteAlaemChar"/>
          <w:rtl/>
        </w:rPr>
        <w:t>عليه‌السلام</w:t>
      </w:r>
      <w:r w:rsidR="00D10E3C">
        <w:rPr>
          <w:rtl/>
          <w:lang w:bidi="fa-IR"/>
        </w:rPr>
        <w:t xml:space="preserve"> </w:t>
      </w:r>
      <w:r w:rsidR="00744A1C">
        <w:rPr>
          <w:rtl/>
          <w:lang w:bidi="fa-IR"/>
        </w:rPr>
        <w:t>، مع اختلاف يسير</w:t>
      </w:r>
      <w:r w:rsidR="00EA76F6">
        <w:rPr>
          <w:rFonts w:hint="cs"/>
          <w:rtl/>
          <w:lang w:bidi="fa-IR"/>
        </w:rPr>
        <w:t>.</w:t>
      </w:r>
      <w:r w:rsidR="00744A1C" w:rsidRPr="00C24F9C">
        <w:rPr>
          <w:rStyle w:val="libFootnoteBoldChar"/>
          <w:rtl/>
        </w:rPr>
        <w:t>الوافي</w:t>
      </w:r>
      <w:r w:rsidR="00744A1C">
        <w:rPr>
          <w:rtl/>
          <w:lang w:bidi="fa-IR"/>
        </w:rPr>
        <w:t xml:space="preserve"> ، ج 13 ، ص 834 ، ح 13251 ؛ </w:t>
      </w:r>
      <w:r w:rsidR="00744A1C" w:rsidRPr="00C24F9C">
        <w:rPr>
          <w:rStyle w:val="libFootnoteBoldChar"/>
          <w:rtl/>
        </w:rPr>
        <w:t>الوسائل</w:t>
      </w:r>
      <w:r w:rsidR="00744A1C">
        <w:rPr>
          <w:rtl/>
          <w:lang w:bidi="fa-IR"/>
        </w:rPr>
        <w:t xml:space="preserve"> ، ج 13 ، ص 347 ، ح 17915.</w:t>
      </w:r>
    </w:p>
    <w:p w:rsidR="00744A1C" w:rsidRDefault="00E378DD" w:rsidP="00E378DD">
      <w:pPr>
        <w:pStyle w:val="libFootnote0"/>
        <w:rPr>
          <w:lang w:bidi="fa-IR"/>
        </w:rPr>
      </w:pPr>
      <w:r>
        <w:rPr>
          <w:rtl/>
          <w:lang w:bidi="fa-IR"/>
        </w:rPr>
        <w:t>(5).</w:t>
      </w:r>
      <w:r w:rsidR="00744A1C">
        <w:rPr>
          <w:rtl/>
          <w:lang w:bidi="fa-IR"/>
        </w:rPr>
        <w:t xml:space="preserve"> السند معلّق على سابقه. ويروي عن أحمد بن محمّد ، محمّد بن يحيى.</w:t>
      </w:r>
    </w:p>
    <w:p w:rsidR="00744A1C" w:rsidRDefault="00E378DD" w:rsidP="00E378DD">
      <w:pPr>
        <w:pStyle w:val="libFootnote0"/>
        <w:rPr>
          <w:lang w:bidi="fa-IR"/>
        </w:rPr>
      </w:pPr>
      <w:r>
        <w:rPr>
          <w:rtl/>
          <w:lang w:bidi="fa-IR"/>
        </w:rPr>
        <w:t>(6).</w:t>
      </w:r>
      <w:r w:rsidR="00744A1C">
        <w:rPr>
          <w:rtl/>
          <w:lang w:bidi="fa-IR"/>
        </w:rPr>
        <w:t xml:space="preserve"> هكذا في « ى ، بخ ، بف ، جد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 بح » : « تحاز ». وفي « بث ، بس » والمطبوع و</w:t>
      </w:r>
      <w:r w:rsidR="00744A1C" w:rsidRPr="00C24F9C">
        <w:rPr>
          <w:rStyle w:val="libFootnoteBoldChar"/>
          <w:rtl/>
        </w:rPr>
        <w:t>المرآة</w:t>
      </w:r>
      <w:r w:rsidR="00744A1C">
        <w:rPr>
          <w:rtl/>
          <w:lang w:bidi="fa-IR"/>
        </w:rPr>
        <w:t xml:space="preserve"> : « يجاز » أي يجمع ويساق إليه.</w:t>
      </w:r>
    </w:p>
    <w:p w:rsidR="00744A1C" w:rsidRDefault="00E378DD" w:rsidP="00E378DD">
      <w:pPr>
        <w:pStyle w:val="libFootnote0"/>
        <w:rPr>
          <w:lang w:bidi="fa-IR"/>
        </w:rPr>
      </w:pPr>
      <w:r>
        <w:rPr>
          <w:rtl/>
          <w:lang w:bidi="fa-IR"/>
        </w:rPr>
        <w:t>(7).</w:t>
      </w:r>
      <w:r w:rsidR="00744A1C">
        <w:rPr>
          <w:rtl/>
          <w:lang w:bidi="fa-IR"/>
        </w:rPr>
        <w:t xml:space="preserve"> هكذا في جميع النسخ التي </w:t>
      </w:r>
      <w:r w:rsidR="00744A1C" w:rsidRPr="00AB41B1">
        <w:rPr>
          <w:rtl/>
        </w:rPr>
        <w:t>قوبلت والوافي والوسائل. وفي المطبوع</w:t>
      </w:r>
      <w:r w:rsidR="00744A1C">
        <w:rPr>
          <w:rtl/>
          <w:lang w:bidi="fa-IR"/>
        </w:rPr>
        <w:t xml:space="preserve"> و</w:t>
      </w:r>
      <w:r w:rsidR="00744A1C" w:rsidRPr="00C24F9C">
        <w:rPr>
          <w:rStyle w:val="libFootnoteBoldChar"/>
          <w:rtl/>
        </w:rPr>
        <w:t>المرآة</w:t>
      </w:r>
      <w:r w:rsidR="00AB41B1">
        <w:rPr>
          <w:rtl/>
          <w:lang w:bidi="fa-IR"/>
        </w:rPr>
        <w:t xml:space="preserve"> : « جوزاً ». وقال العل</w:t>
      </w:r>
      <w:r w:rsidR="00AB41B1">
        <w:rPr>
          <w:rFonts w:hint="cs"/>
          <w:rtl/>
          <w:lang w:bidi="fa-IR"/>
        </w:rPr>
        <w:t>ّ</w:t>
      </w:r>
      <w:r w:rsidR="00AB41B1">
        <w:rPr>
          <w:rtl/>
          <w:lang w:bidi="fa-IR"/>
        </w:rPr>
        <w:t>ا</w:t>
      </w:r>
      <w:r w:rsidR="00744A1C">
        <w:rPr>
          <w:rtl/>
          <w:lang w:bidi="fa-IR"/>
        </w:rPr>
        <w:t xml:space="preserve">مة الفيض </w:t>
      </w:r>
      <w:r w:rsidR="00877682" w:rsidRPr="00877682">
        <w:rPr>
          <w:rStyle w:val="libFootnoteAlaemChar"/>
          <w:rtl/>
        </w:rPr>
        <w:t>رحمه‌الله</w:t>
      </w:r>
      <w:r w:rsidR="00D26D1F">
        <w:rPr>
          <w:rtl/>
          <w:lang w:bidi="fa-IR"/>
        </w:rPr>
        <w:t xml:space="preserve"> </w:t>
      </w:r>
      <w:r w:rsidR="00744A1C">
        <w:rPr>
          <w:rtl/>
          <w:lang w:bidi="fa-IR"/>
        </w:rPr>
        <w:t xml:space="preserve">في </w:t>
      </w:r>
      <w:r w:rsidR="00744A1C" w:rsidRPr="00C24F9C">
        <w:rPr>
          <w:rStyle w:val="libFootnoteBoldChar"/>
          <w:rtl/>
        </w:rPr>
        <w:t>الوافي</w:t>
      </w:r>
      <w:r w:rsidR="00744A1C">
        <w:rPr>
          <w:rtl/>
          <w:lang w:bidi="fa-IR"/>
        </w:rPr>
        <w:t xml:space="preserve"> : « لعلّ المراد أنّ للصلاة والدعاء مدخلاً في حصول الرزق ، ولشرف المكان مدخلاً في قبول الصلاة واستجابة الدعاء. والرزق يشمل الروحاني والجسماني. ويحاز إليه حوزاً ، أي يجمع إليه جمعاً ، وا</w:t>
      </w:r>
      <w:r w:rsidR="007559CF">
        <w:rPr>
          <w:rFonts w:hint="cs"/>
          <w:rtl/>
          <w:lang w:bidi="fa-IR"/>
        </w:rPr>
        <w:t>ُ</w:t>
      </w:r>
      <w:r w:rsidR="00744A1C">
        <w:rPr>
          <w:rtl/>
          <w:lang w:bidi="fa-IR"/>
        </w:rPr>
        <w:t xml:space="preserve">ريد بالمسجد المسجد الحرام ؛ فإنّ في </w:t>
      </w:r>
      <w:r w:rsidR="00744A1C" w:rsidRPr="0061079A">
        <w:rPr>
          <w:rStyle w:val="libFootnoteBoldChar"/>
          <w:rtl/>
        </w:rPr>
        <w:t>الكافي</w:t>
      </w:r>
      <w:r w:rsidR="00744A1C">
        <w:rPr>
          <w:rtl/>
          <w:lang w:bidi="fa-IR"/>
        </w:rPr>
        <w:t xml:space="preserve"> أورد هذه الأخبار في باب فضل الصلاة فيه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12 ، ص 47 ، ح 11485 ؛ </w:t>
      </w:r>
      <w:r w:rsidR="00744A1C" w:rsidRPr="00C24F9C">
        <w:rPr>
          <w:rStyle w:val="libFootnoteBoldChar"/>
          <w:rtl/>
        </w:rPr>
        <w:t>الوسائل</w:t>
      </w:r>
      <w:r w:rsidR="00744A1C">
        <w:rPr>
          <w:rtl/>
          <w:lang w:bidi="fa-IR"/>
        </w:rPr>
        <w:t xml:space="preserve"> ، ج 5 ، ص 272 ، ح 6524.</w:t>
      </w:r>
    </w:p>
    <w:tbl>
      <w:tblPr>
        <w:tblStyle w:val="TableGrid"/>
        <w:bidiVisual/>
        <w:tblW w:w="0" w:type="auto"/>
        <w:tblLook w:val="04A0" w:firstRow="1" w:lastRow="0" w:firstColumn="1" w:lastColumn="0" w:noHBand="0" w:noVBand="1"/>
      </w:tblPr>
      <w:tblGrid>
        <w:gridCol w:w="4006"/>
        <w:gridCol w:w="4006"/>
      </w:tblGrid>
      <w:tr w:rsidR="00527186" w:rsidTr="00527186">
        <w:tc>
          <w:tcPr>
            <w:tcW w:w="4006" w:type="dxa"/>
          </w:tcPr>
          <w:p w:rsidR="00527186" w:rsidRDefault="00527186" w:rsidP="00E378DD">
            <w:pPr>
              <w:pStyle w:val="libFootnote0"/>
              <w:rPr>
                <w:rtl/>
                <w:lang w:bidi="fa-IR"/>
              </w:rPr>
            </w:pPr>
            <w:r>
              <w:rPr>
                <w:rtl/>
                <w:lang w:bidi="fa-IR"/>
              </w:rPr>
              <w:t>(9). السند معلّق ، كسابقه.</w:t>
            </w:r>
          </w:p>
        </w:tc>
        <w:tc>
          <w:tcPr>
            <w:tcW w:w="4006" w:type="dxa"/>
          </w:tcPr>
          <w:p w:rsidR="00527186" w:rsidRDefault="0042175C" w:rsidP="00A33A08">
            <w:pPr>
              <w:pStyle w:val="libFootnote0"/>
              <w:rPr>
                <w:rtl/>
                <w:lang w:bidi="fa-IR"/>
              </w:rPr>
            </w:pPr>
            <w:r>
              <w:rPr>
                <w:rtl/>
                <w:lang w:bidi="fa-IR"/>
              </w:rPr>
              <w:t>(10).</w:t>
            </w:r>
            <w:r w:rsidR="00A33A08">
              <w:rPr>
                <w:rtl/>
                <w:lang w:bidi="fa-IR"/>
              </w:rPr>
              <w:t xml:space="preserve"> في</w:t>
            </w:r>
            <w:r>
              <w:rPr>
                <w:rtl/>
                <w:lang w:bidi="fa-IR"/>
              </w:rPr>
              <w:t>«بخ،جد»و</w:t>
            </w:r>
            <w:r w:rsidRPr="00C24F9C">
              <w:rPr>
                <w:rStyle w:val="libFootnoteBoldChar"/>
                <w:rtl/>
              </w:rPr>
              <w:t>الوسائل</w:t>
            </w:r>
            <w:r>
              <w:rPr>
                <w:rtl/>
                <w:lang w:bidi="fa-IR"/>
              </w:rPr>
              <w:t xml:space="preserve">:-«عن آبائه </w:t>
            </w:r>
            <w:r w:rsidRPr="00877682">
              <w:rPr>
                <w:rStyle w:val="libFootnoteAlaemChar"/>
                <w:rtl/>
              </w:rPr>
              <w:t>عليهم‌السلام</w:t>
            </w:r>
            <w:r>
              <w:rPr>
                <w:rtl/>
                <w:lang w:bidi="fa-IR"/>
              </w:rPr>
              <w:t>».</w:t>
            </w:r>
          </w:p>
        </w:tc>
      </w:tr>
    </w:tbl>
    <w:p w:rsidR="00744A1C" w:rsidRDefault="00E378DD" w:rsidP="00FF49AA">
      <w:pPr>
        <w:pStyle w:val="libFootnote0"/>
        <w:rPr>
          <w:lang w:bidi="fa-IR"/>
        </w:rPr>
      </w:pPr>
      <w:r>
        <w:rPr>
          <w:rtl/>
          <w:lang w:bidi="fa-IR"/>
        </w:rPr>
        <w:t>(11).</w:t>
      </w:r>
      <w:r w:rsidR="00744A1C">
        <w:rPr>
          <w:rtl/>
          <w:lang w:bidi="fa-IR"/>
        </w:rPr>
        <w:t xml:space="preserve"> </w:t>
      </w:r>
      <w:r w:rsidR="00744A1C" w:rsidRPr="0061079A">
        <w:rPr>
          <w:rStyle w:val="libFootnoteBoldChar"/>
          <w:rtl/>
        </w:rPr>
        <w:t>الكافي</w:t>
      </w:r>
      <w:r w:rsidR="00744A1C">
        <w:rPr>
          <w:rtl/>
          <w:lang w:bidi="fa-IR"/>
        </w:rPr>
        <w:t xml:space="preserve"> ، كتاب الحجّ ، باب المنبر والروضة ومقام النبيّ </w:t>
      </w:r>
      <w:r w:rsidR="00FF49AA" w:rsidRPr="00FF49AA">
        <w:rPr>
          <w:rStyle w:val="libFootnoteAlaemChar"/>
          <w:rFonts w:eastAsiaTheme="minorHAnsi"/>
          <w:rtl/>
        </w:rPr>
        <w:t>صلى‌الله‌عليه‌وآله</w:t>
      </w:r>
      <w:r w:rsidR="00FF49AA" w:rsidRPr="00FF49AA">
        <w:rPr>
          <w:rFonts w:eastAsiaTheme="minorHAnsi"/>
          <w:rtl/>
        </w:rPr>
        <w:t xml:space="preserve"> </w:t>
      </w:r>
      <w:r w:rsidR="00744A1C">
        <w:rPr>
          <w:rtl/>
          <w:lang w:bidi="fa-IR"/>
        </w:rPr>
        <w:t>، ذيل ح 8</w:t>
      </w:r>
      <w:r w:rsidR="004D5752">
        <w:rPr>
          <w:rtl/>
          <w:lang w:bidi="fa-IR"/>
        </w:rPr>
        <w:t>115 ؛ ونفس الباب ، ضمن ح 8117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7993 / 6. عَلِيُّ بْنُ إِبْرَاهِيمَ ، عَنْ أَبِيهِ ، عَنِ النَّو</w:t>
      </w:r>
      <w:r w:rsidR="007E01CF">
        <w:rPr>
          <w:rtl/>
          <w:lang w:bidi="fa-IR"/>
        </w:rPr>
        <w:t>ْفَلِيِّ ، عَنِ السَّكُونِيِّ :</w:t>
      </w:r>
    </w:p>
    <w:p w:rsidR="00744A1C" w:rsidRDefault="00744A1C" w:rsidP="00744A1C">
      <w:pPr>
        <w:pStyle w:val="libNormal"/>
        <w:rPr>
          <w:lang w:bidi="fa-IR"/>
        </w:rPr>
      </w:pPr>
      <w:r>
        <w:rPr>
          <w:rtl/>
          <w:lang w:bidi="fa-IR"/>
        </w:rPr>
        <w:t xml:space="preserve">عَنْ أَبِي عَبْدِ اللهِ ، عَنْ آبَائِهِ </w:t>
      </w:r>
      <w:r w:rsidR="008859AA" w:rsidRPr="008859AA">
        <w:rPr>
          <w:rStyle w:val="libAlaemChar"/>
          <w:rtl/>
        </w:rPr>
        <w:t>عليهما‌السلام</w:t>
      </w:r>
      <w:r>
        <w:rPr>
          <w:rtl/>
          <w:lang w:bidi="fa-IR"/>
        </w:rPr>
        <w:t xml:space="preserve">، قَالَ : « الصَّلَاةُ فِي الْمَسْجِدِ الْحَرَامِ تَعْدِلُ مِائَةَ أَلْفِ صَلَاةٍ </w:t>
      </w:r>
      <w:r w:rsidRPr="00D10E3C">
        <w:rPr>
          <w:rStyle w:val="libFootnotenumChar"/>
          <w:rtl/>
        </w:rPr>
        <w:t>(1)</w:t>
      </w:r>
      <w:r>
        <w:rPr>
          <w:rtl/>
          <w:lang w:bidi="fa-IR"/>
        </w:rPr>
        <w:t xml:space="preserve"> ». </w:t>
      </w:r>
      <w:r w:rsidRPr="00D10E3C">
        <w:rPr>
          <w:rStyle w:val="libFootnotenumChar"/>
          <w:rtl/>
        </w:rPr>
        <w:t>(2)</w:t>
      </w:r>
    </w:p>
    <w:p w:rsidR="00744A1C" w:rsidRDefault="00744A1C" w:rsidP="00744A1C">
      <w:pPr>
        <w:pStyle w:val="libNormal"/>
        <w:rPr>
          <w:lang w:bidi="fa-IR"/>
        </w:rPr>
      </w:pPr>
      <w:r>
        <w:rPr>
          <w:rtl/>
          <w:lang w:bidi="fa-IR"/>
        </w:rPr>
        <w:t xml:space="preserve">7994 / 7. عَلِيُّ بْنُ إِبْرَاهِيمَ ، عَنْ أَبِيهِ ، عَنِ ابْنِ أَبِي عُمَيْرٍ ، عَنْ مُعَاوِيَةَ بْنِ عَمَّارٍ </w:t>
      </w:r>
      <w:r w:rsidRPr="00D10E3C">
        <w:rPr>
          <w:rStyle w:val="libFootnotenumChar"/>
          <w:rtl/>
        </w:rPr>
        <w:t>(3)</w:t>
      </w:r>
      <w:r w:rsidR="00963DDE">
        <w:rPr>
          <w:rtl/>
          <w:lang w:bidi="fa-IR"/>
        </w:rPr>
        <w:t xml:space="preserve"> ، قَال</w:t>
      </w:r>
      <w:r w:rsidR="00B03098">
        <w:rPr>
          <w:rtl/>
          <w:lang w:bidi="fa-IR"/>
        </w:rPr>
        <w:t>َ</w:t>
      </w:r>
      <w:r w:rsidR="00963DDE">
        <w:rPr>
          <w:rtl/>
          <w:lang w:bidi="fa-IR"/>
        </w:rPr>
        <w:t>:</w:t>
      </w:r>
    </w:p>
    <w:p w:rsidR="00B03098" w:rsidRPr="00B03098" w:rsidRDefault="00744A1C" w:rsidP="00744A1C">
      <w:pPr>
        <w:pStyle w:val="libNormal"/>
        <w:rPr>
          <w:rtl/>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أَقُومُ أُصَلِّي بِمَكَّةَ وَالْمَرْأَةُ بَيْنَ يَدَيَّ جَالِسَةٌ ، أَوْ مَارَّةٌ. فَقَالَ : « لَا بَأْسَ ، إِنَّمَا سُمِّيَتْ بَكَّةَ </w:t>
      </w:r>
      <w:r w:rsidRPr="00D10E3C">
        <w:rPr>
          <w:rStyle w:val="libFootnotenumChar"/>
          <w:rtl/>
        </w:rPr>
        <w:t>(4)</w:t>
      </w:r>
      <w:r>
        <w:rPr>
          <w:rtl/>
          <w:lang w:bidi="fa-IR"/>
        </w:rPr>
        <w:t xml:space="preserve"> لِأَنَّهَا </w:t>
      </w:r>
      <w:r w:rsidRPr="00D10E3C">
        <w:rPr>
          <w:rStyle w:val="libFootnotenumChar"/>
          <w:rtl/>
        </w:rPr>
        <w:t>(5)</w:t>
      </w:r>
      <w:r>
        <w:rPr>
          <w:rtl/>
          <w:lang w:bidi="fa-IR"/>
        </w:rPr>
        <w:t xml:space="preserve"> تَبُكُّ </w:t>
      </w:r>
      <w:r w:rsidRPr="00D10E3C">
        <w:rPr>
          <w:rStyle w:val="libFootnotenumChar"/>
          <w:rtl/>
        </w:rPr>
        <w:t>(6)</w:t>
      </w:r>
      <w:r>
        <w:rPr>
          <w:rtl/>
          <w:lang w:bidi="fa-IR"/>
        </w:rPr>
        <w:t xml:space="preserve"> فِيهَا </w:t>
      </w:r>
      <w:r w:rsidRPr="00D10E3C">
        <w:rPr>
          <w:rStyle w:val="libFootnotenumChar"/>
          <w:rtl/>
        </w:rPr>
        <w:t>(7)</w:t>
      </w:r>
      <w:r>
        <w:rPr>
          <w:rtl/>
          <w:lang w:bidi="fa-IR"/>
        </w:rPr>
        <w:t xml:space="preserve"> الرِّجَالُ وَالنِّسَاءُ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9C128F" w:rsidP="00A95311">
      <w:pPr>
        <w:pStyle w:val="libFootnote0"/>
        <w:rPr>
          <w:lang w:bidi="fa-IR"/>
        </w:rPr>
      </w:pPr>
      <w:r>
        <w:rPr>
          <w:rFonts w:hint="cs"/>
          <w:rtl/>
          <w:lang w:bidi="fa-IR"/>
        </w:rPr>
        <w:t xml:space="preserve">= </w:t>
      </w:r>
      <w:r w:rsidR="00744A1C">
        <w:rPr>
          <w:rtl/>
          <w:lang w:bidi="fa-IR"/>
        </w:rPr>
        <w:t xml:space="preserve">بسند آخر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Pr="00FF49AA">
        <w:rPr>
          <w:rStyle w:val="libFootnoteAlaemChar"/>
          <w:rFonts w:eastAsiaTheme="minorHAnsi"/>
          <w:rtl/>
        </w:rPr>
        <w:t>صلى‌الله‌عليه‌وآله</w:t>
      </w:r>
      <w:r w:rsidRPr="00FF49AA">
        <w:rPr>
          <w:rFonts w:eastAsiaTheme="minorHAnsi"/>
          <w:rtl/>
        </w:rPr>
        <w:t xml:space="preserve"> </w:t>
      </w:r>
      <w:r w:rsidR="00744A1C">
        <w:rPr>
          <w:rtl/>
          <w:lang w:bidi="fa-IR"/>
        </w:rPr>
        <w:t xml:space="preserve">، مع اختلاف. وفي </w:t>
      </w:r>
      <w:r w:rsidR="00744A1C" w:rsidRPr="00C24F9C">
        <w:rPr>
          <w:rStyle w:val="libFootnoteBoldChar"/>
          <w:rtl/>
        </w:rPr>
        <w:t>التهذيب</w:t>
      </w:r>
      <w:r w:rsidR="00744A1C">
        <w:rPr>
          <w:rtl/>
          <w:lang w:bidi="fa-IR"/>
        </w:rPr>
        <w:t xml:space="preserve"> ، ج 3 ، ص 250 ، ح 686 ؛ وج 6 ، ص 14 ، ح 30 ؛ و</w:t>
      </w:r>
      <w:r w:rsidR="00744A1C" w:rsidRPr="007B299E">
        <w:rPr>
          <w:rStyle w:val="libFootnoteBoldChar"/>
          <w:rtl/>
        </w:rPr>
        <w:t>كامل الزيارات</w:t>
      </w:r>
      <w:r w:rsidR="00744A1C">
        <w:rPr>
          <w:rtl/>
          <w:lang w:bidi="fa-IR"/>
        </w:rPr>
        <w:t xml:space="preserve"> ، ص 21 ، الباب 4 ، ح 4 ، بسند آخر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AF42D3" w:rsidRPr="00FF49AA">
        <w:rPr>
          <w:rStyle w:val="libFootnoteAlaemChar"/>
          <w:rFonts w:eastAsiaTheme="minorHAnsi"/>
          <w:rtl/>
        </w:rPr>
        <w:t>صلى‌الله‌عليه‌وآله</w:t>
      </w:r>
      <w:r w:rsidR="00AF42D3" w:rsidRPr="00FF49AA">
        <w:rPr>
          <w:rFonts w:eastAsiaTheme="minorHAnsi"/>
          <w:rtl/>
        </w:rPr>
        <w:t xml:space="preserve"> </w:t>
      </w:r>
      <w:r w:rsidR="00744A1C">
        <w:rPr>
          <w:rtl/>
          <w:lang w:bidi="fa-IR"/>
        </w:rPr>
        <w:t xml:space="preserve">، مع اختلاف يسير. </w:t>
      </w:r>
      <w:r w:rsidR="00744A1C" w:rsidRPr="000B1C3F">
        <w:rPr>
          <w:rStyle w:val="libFootnoteBoldChar"/>
          <w:rtl/>
        </w:rPr>
        <w:t>الأمالي للطوسي</w:t>
      </w:r>
      <w:r w:rsidR="00744A1C">
        <w:rPr>
          <w:rtl/>
          <w:lang w:bidi="fa-IR"/>
        </w:rPr>
        <w:t xml:space="preserve"> ، ص 528 ، المجلس 19 ، ضمن الحديث الطويل 1 ، بسند آخر عن النبيّ </w:t>
      </w:r>
      <w:r w:rsidR="00AF42D3" w:rsidRPr="00FF49AA">
        <w:rPr>
          <w:rStyle w:val="libFootnoteAlaemChar"/>
          <w:rFonts w:eastAsiaTheme="minorHAnsi"/>
          <w:rtl/>
        </w:rPr>
        <w:t>صلى‌الله‌عليه‌وآله</w:t>
      </w:r>
      <w:r w:rsidR="00744A1C">
        <w:rPr>
          <w:rtl/>
          <w:lang w:bidi="fa-IR"/>
        </w:rPr>
        <w:t xml:space="preserve">. </w:t>
      </w:r>
      <w:r w:rsidR="00744A1C" w:rsidRPr="00C24F9C">
        <w:rPr>
          <w:rStyle w:val="libFootnoteBoldChar"/>
          <w:rtl/>
        </w:rPr>
        <w:t>الفقيه</w:t>
      </w:r>
      <w:r w:rsidR="00744A1C">
        <w:rPr>
          <w:rtl/>
          <w:lang w:bidi="fa-IR"/>
        </w:rPr>
        <w:t xml:space="preserve"> ، ج 1 ، ص 228 ، ح 682 ، مرسلاً عن رسول الله </w:t>
      </w:r>
      <w:r w:rsidR="00B3579B" w:rsidRPr="00FF49AA">
        <w:rPr>
          <w:rStyle w:val="libFootnoteAlaemChar"/>
          <w:rFonts w:eastAsiaTheme="minorHAnsi"/>
          <w:rtl/>
        </w:rPr>
        <w:t>صلى‌الله‌عليه‌وآله</w:t>
      </w:r>
      <w:r w:rsidR="00B3579B" w:rsidRPr="00FF49AA">
        <w:rPr>
          <w:rFonts w:eastAsiaTheme="minorHAnsi"/>
          <w:rtl/>
        </w:rPr>
        <w:t xml:space="preserve"> </w:t>
      </w:r>
      <w:r w:rsidR="00744A1C">
        <w:rPr>
          <w:rtl/>
          <w:lang w:bidi="fa-IR"/>
        </w:rPr>
        <w:t>، مع اختلاف</w:t>
      </w:r>
      <w:r w:rsidR="00A95311">
        <w:rPr>
          <w:rFonts w:hint="cs"/>
          <w:rtl/>
          <w:lang w:bidi="fa-IR"/>
        </w:rPr>
        <w:t>.</w:t>
      </w:r>
      <w:r w:rsidR="00744A1C" w:rsidRPr="00C24F9C">
        <w:rPr>
          <w:rStyle w:val="libFootnoteBoldChar"/>
          <w:rtl/>
        </w:rPr>
        <w:t>الوافي</w:t>
      </w:r>
      <w:r w:rsidR="00744A1C">
        <w:rPr>
          <w:rtl/>
          <w:lang w:bidi="fa-IR"/>
        </w:rPr>
        <w:t xml:space="preserve"> ، ج 12 ، ص 45 ، ح 11480 ؛ </w:t>
      </w:r>
      <w:r w:rsidR="00744A1C" w:rsidRPr="00C24F9C">
        <w:rPr>
          <w:rStyle w:val="libFootnoteBoldChar"/>
          <w:rtl/>
        </w:rPr>
        <w:t>الوسائل</w:t>
      </w:r>
      <w:r w:rsidR="00744A1C">
        <w:rPr>
          <w:rtl/>
          <w:lang w:bidi="fa-IR"/>
        </w:rPr>
        <w:t xml:space="preserve"> ، ج 5 ، ص 272 ، ح 6523.</w:t>
      </w:r>
    </w:p>
    <w:p w:rsidR="00744A1C" w:rsidRDefault="00D10E3C" w:rsidP="00D10E3C">
      <w:pPr>
        <w:pStyle w:val="libFootnote0"/>
        <w:rPr>
          <w:lang w:bidi="fa-IR"/>
        </w:rPr>
      </w:pPr>
      <w:r>
        <w:rPr>
          <w:rtl/>
          <w:lang w:bidi="fa-IR"/>
        </w:rPr>
        <w:t>(1).</w:t>
      </w:r>
      <w:r w:rsidR="00744A1C">
        <w:rPr>
          <w:rtl/>
          <w:lang w:bidi="fa-IR"/>
        </w:rPr>
        <w:t xml:space="preserve"> لم ترد هذه الرواية في « بس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12 ، ص 46 ، ح 11481 ؛ </w:t>
      </w:r>
      <w:r w:rsidR="00744A1C" w:rsidRPr="00C24F9C">
        <w:rPr>
          <w:rStyle w:val="libFootnoteBoldChar"/>
          <w:rtl/>
        </w:rPr>
        <w:t>الوسائل</w:t>
      </w:r>
      <w:r w:rsidR="00744A1C">
        <w:rPr>
          <w:rtl/>
          <w:lang w:bidi="fa-IR"/>
        </w:rPr>
        <w:t xml:space="preserve"> ، ج 5 ، ص 272 ، ح 6522.</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 « بن عمّار ».</w:t>
      </w:r>
    </w:p>
    <w:p w:rsidR="00744A1C" w:rsidRDefault="00E378DD" w:rsidP="00E378DD">
      <w:pPr>
        <w:pStyle w:val="libFootnote0"/>
        <w:rPr>
          <w:lang w:bidi="fa-IR"/>
        </w:rPr>
      </w:pPr>
      <w:r>
        <w:rPr>
          <w:rtl/>
          <w:lang w:bidi="fa-IR"/>
        </w:rPr>
        <w:t>(4).</w:t>
      </w:r>
      <w:r w:rsidR="00744A1C">
        <w:rPr>
          <w:rtl/>
          <w:lang w:bidi="fa-IR"/>
        </w:rPr>
        <w:t xml:space="preserve"> قال الفيروزآبادي : « بكّه : خرقه ، وفرّقه ، وفسخه. وفلاناً : زاحمه ، أو رحمه ، ضدّ ، وردّ نخوته ، ووضعه ، وفسخه. وعنقه : دقّها. ومنه بكّة لمكّة ، أو لما بين جبليها ، أو للمطاف ؛ لدقّها أعناق الجبابرة ، أو لازدحام الناس بها ». </w:t>
      </w:r>
      <w:r w:rsidR="00744A1C" w:rsidRPr="008A57EB">
        <w:rPr>
          <w:rStyle w:val="libFootnoteBoldChar"/>
          <w:rtl/>
        </w:rPr>
        <w:t>القاموس المحيط</w:t>
      </w:r>
      <w:r w:rsidR="00744A1C">
        <w:rPr>
          <w:rtl/>
          <w:lang w:bidi="fa-IR"/>
        </w:rPr>
        <w:t xml:space="preserve"> ، ج 2 ، ص 1237 ( بكك ).</w:t>
      </w:r>
    </w:p>
    <w:p w:rsidR="00744A1C" w:rsidRDefault="00E378DD" w:rsidP="00E378DD">
      <w:pPr>
        <w:pStyle w:val="libFootnote0"/>
        <w:rPr>
          <w:lang w:bidi="fa-IR"/>
        </w:rPr>
      </w:pPr>
      <w:r>
        <w:rPr>
          <w:rtl/>
          <w:lang w:bidi="fa-IR"/>
        </w:rPr>
        <w:t>(5).</w:t>
      </w:r>
      <w:r w:rsidR="00744A1C">
        <w:rPr>
          <w:rtl/>
          <w:lang w:bidi="fa-IR"/>
        </w:rPr>
        <w:t xml:space="preserve"> في « ى ، بخ ، بس ، بف ، جن » و</w:t>
      </w:r>
      <w:r w:rsidR="00744A1C" w:rsidRPr="003A7143">
        <w:rPr>
          <w:rStyle w:val="libFootnoteBoldChar"/>
          <w:rtl/>
        </w:rPr>
        <w:t>المحاسن</w:t>
      </w:r>
      <w:r w:rsidR="00744A1C">
        <w:rPr>
          <w:rtl/>
          <w:lang w:bidi="fa-IR"/>
        </w:rPr>
        <w:t xml:space="preserve"> ، ح 117 : « لأنّه ».</w:t>
      </w:r>
    </w:p>
    <w:p w:rsidR="00744A1C" w:rsidRDefault="00E378DD" w:rsidP="00E378DD">
      <w:pPr>
        <w:pStyle w:val="libFootnote0"/>
        <w:rPr>
          <w:lang w:bidi="fa-IR"/>
        </w:rPr>
      </w:pPr>
      <w:r>
        <w:rPr>
          <w:rtl/>
          <w:lang w:bidi="fa-IR"/>
        </w:rPr>
        <w:t>(6).</w:t>
      </w:r>
      <w:r w:rsidR="00744A1C">
        <w:rPr>
          <w:rtl/>
          <w:lang w:bidi="fa-IR"/>
        </w:rPr>
        <w:t xml:space="preserve"> في « بف » و</w:t>
      </w:r>
      <w:r w:rsidR="00744A1C" w:rsidRPr="00C24F9C">
        <w:rPr>
          <w:rStyle w:val="libFootnoteBoldChar"/>
          <w:rtl/>
        </w:rPr>
        <w:t>الوافي</w:t>
      </w:r>
      <w:r w:rsidR="00744A1C">
        <w:rPr>
          <w:rtl/>
          <w:lang w:bidi="fa-IR"/>
        </w:rPr>
        <w:t xml:space="preserve"> و</w:t>
      </w:r>
      <w:r w:rsidR="00744A1C" w:rsidRPr="003A7143">
        <w:rPr>
          <w:rStyle w:val="libFootnoteBoldChar"/>
          <w:rtl/>
        </w:rPr>
        <w:t>المحاسن</w:t>
      </w:r>
      <w:r w:rsidR="00744A1C">
        <w:rPr>
          <w:rtl/>
          <w:lang w:bidi="fa-IR"/>
        </w:rPr>
        <w:t xml:space="preserve"> ، ح 117 : « يبكّ ».</w:t>
      </w:r>
    </w:p>
    <w:tbl>
      <w:tblPr>
        <w:tblStyle w:val="TableGrid"/>
        <w:bidiVisual/>
        <w:tblW w:w="0" w:type="auto"/>
        <w:tblLook w:val="04A0" w:firstRow="1" w:lastRow="0" w:firstColumn="1" w:lastColumn="0" w:noHBand="0" w:noVBand="1"/>
      </w:tblPr>
      <w:tblGrid>
        <w:gridCol w:w="4006"/>
        <w:gridCol w:w="4006"/>
      </w:tblGrid>
      <w:tr w:rsidR="00B263DF" w:rsidTr="00B263DF">
        <w:tc>
          <w:tcPr>
            <w:tcW w:w="4006" w:type="dxa"/>
          </w:tcPr>
          <w:p w:rsidR="00B263DF" w:rsidRDefault="00B263DF" w:rsidP="00E378DD">
            <w:pPr>
              <w:pStyle w:val="libFootnote0"/>
              <w:rPr>
                <w:rtl/>
                <w:lang w:bidi="fa-IR"/>
              </w:rPr>
            </w:pPr>
            <w:r>
              <w:rPr>
                <w:rtl/>
                <w:lang w:bidi="fa-IR"/>
              </w:rPr>
              <w:t>(7). في « ى ، بث ، بح ، بس » و</w:t>
            </w:r>
            <w:r w:rsidRPr="00C24F9C">
              <w:rPr>
                <w:rStyle w:val="libFootnoteBoldChar"/>
                <w:rtl/>
              </w:rPr>
              <w:t>الوافي</w:t>
            </w:r>
            <w:r>
              <w:rPr>
                <w:rtl/>
                <w:lang w:bidi="fa-IR"/>
              </w:rPr>
              <w:t xml:space="preserve"> : « فيه ».</w:t>
            </w:r>
          </w:p>
        </w:tc>
        <w:tc>
          <w:tcPr>
            <w:tcW w:w="4006" w:type="dxa"/>
          </w:tcPr>
          <w:p w:rsidR="00B263DF" w:rsidRDefault="00B263DF" w:rsidP="00E378DD">
            <w:pPr>
              <w:pStyle w:val="libFootnote0"/>
              <w:rPr>
                <w:rtl/>
                <w:lang w:bidi="fa-IR"/>
              </w:rPr>
            </w:pPr>
            <w:r>
              <w:rPr>
                <w:rtl/>
                <w:lang w:bidi="fa-IR"/>
              </w:rPr>
              <w:t>(8). في « جن » وردت هذه الرواية بعد الرواية الآتية.</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451 ، ح 1574 ، معلّقاً عن الكليني. </w:t>
      </w:r>
      <w:r w:rsidR="00744A1C" w:rsidRPr="003A7143">
        <w:rPr>
          <w:rStyle w:val="libFootnoteBoldChar"/>
          <w:rtl/>
        </w:rPr>
        <w:t>المحاسن</w:t>
      </w:r>
      <w:r w:rsidR="00744A1C">
        <w:rPr>
          <w:rtl/>
          <w:lang w:bidi="fa-IR"/>
        </w:rPr>
        <w:t xml:space="preserve"> ، ص 337 ، كتاب العلل ، ح 117 ، بسنده عن معاوية بن عمّار. </w:t>
      </w:r>
      <w:r w:rsidR="00744A1C" w:rsidRPr="003A7143">
        <w:rPr>
          <w:rStyle w:val="libFootnoteBoldChar"/>
          <w:rtl/>
        </w:rPr>
        <w:t>علل الشرائع</w:t>
      </w:r>
      <w:r w:rsidR="00744A1C">
        <w:rPr>
          <w:rtl/>
          <w:lang w:bidi="fa-IR"/>
        </w:rPr>
        <w:t xml:space="preserve"> ، ص 397 ، ح 4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وفي </w:t>
      </w:r>
      <w:r w:rsidR="00744A1C" w:rsidRPr="003A7143">
        <w:rPr>
          <w:rStyle w:val="libFootnoteBoldChar"/>
          <w:rtl/>
        </w:rPr>
        <w:t>المحاسن</w:t>
      </w:r>
      <w:r w:rsidR="00744A1C">
        <w:rPr>
          <w:rtl/>
          <w:lang w:bidi="fa-IR"/>
        </w:rPr>
        <w:t xml:space="preserve"> ، ص 337 ، كتاب العلل ، ح 114 ؛ و</w:t>
      </w:r>
      <w:r w:rsidR="00744A1C" w:rsidRPr="003A7143">
        <w:rPr>
          <w:rStyle w:val="libFootnoteBoldChar"/>
          <w:rtl/>
        </w:rPr>
        <w:t>علل الشرائع</w:t>
      </w:r>
      <w:r w:rsidR="00744A1C">
        <w:rPr>
          <w:rtl/>
          <w:lang w:bidi="fa-IR"/>
        </w:rPr>
        <w:t xml:space="preserve"> ، ص 398 ، ح 5 ، بسند آخر. </w:t>
      </w:r>
      <w:r w:rsidR="00744A1C" w:rsidRPr="00877682">
        <w:rPr>
          <w:rStyle w:val="libFootnoteBoldChar"/>
          <w:rtl/>
        </w:rPr>
        <w:t>قرب الإسناد</w:t>
      </w:r>
      <w:r w:rsidR="00744A1C">
        <w:rPr>
          <w:rtl/>
          <w:lang w:bidi="fa-IR"/>
        </w:rPr>
        <w:t xml:space="preserve"> ، ص 237 ، ح 929 ، بسند آخر عن موسى بن جعفر </w:t>
      </w:r>
      <w:r w:rsidR="0061079A" w:rsidRPr="0061079A">
        <w:rPr>
          <w:rStyle w:val="libFootnoteAlaemChar"/>
          <w:rtl/>
        </w:rPr>
        <w:t>عليه‌السلام</w:t>
      </w:r>
      <w:r w:rsidR="00744A1C">
        <w:rPr>
          <w:rtl/>
          <w:lang w:bidi="fa-IR"/>
        </w:rPr>
        <w:t xml:space="preserve"> . </w:t>
      </w:r>
      <w:r w:rsidR="00744A1C" w:rsidRPr="00A914B5">
        <w:rPr>
          <w:rStyle w:val="libFootnoteBoldChar"/>
          <w:rtl/>
        </w:rPr>
        <w:t>تفسير العيّاشي</w:t>
      </w:r>
      <w:r w:rsidR="00744A1C">
        <w:rPr>
          <w:rtl/>
          <w:lang w:bidi="fa-IR"/>
        </w:rPr>
        <w:t xml:space="preserve"> ، ج 1 ، ص 187 ، ح 95 ، عن الحلبي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وفيه ، ص 187 ، ح 98 ، عن موسى بن جعفر </w:t>
      </w:r>
      <w:r w:rsidR="0061079A" w:rsidRPr="0061079A">
        <w:rPr>
          <w:rStyle w:val="libFootnoteAlaemChar"/>
          <w:rtl/>
        </w:rPr>
        <w:t>عليه‌السلام</w:t>
      </w:r>
      <w:r w:rsidR="00744A1C">
        <w:rPr>
          <w:rtl/>
          <w:lang w:bidi="fa-IR"/>
        </w:rPr>
        <w:t xml:space="preserve"> . وفي </w:t>
      </w:r>
      <w:r w:rsidR="00744A1C" w:rsidRPr="00C24F9C">
        <w:rPr>
          <w:rStyle w:val="libFootnoteBoldChar"/>
          <w:rtl/>
        </w:rPr>
        <w:t>الفقيه</w:t>
      </w:r>
      <w:r w:rsidR="00744A1C">
        <w:rPr>
          <w:rtl/>
          <w:lang w:bidi="fa-IR"/>
        </w:rPr>
        <w:t xml:space="preserve"> ، ج 2 ، ص 193 ، ح 2118 ؛ و</w:t>
      </w:r>
      <w:r w:rsidR="00744A1C" w:rsidRPr="00610FB4">
        <w:rPr>
          <w:rStyle w:val="libFootnoteBoldChar"/>
          <w:rtl/>
        </w:rPr>
        <w:t>تفسير القمّي</w:t>
      </w:r>
      <w:r w:rsidR="00744A1C">
        <w:rPr>
          <w:rtl/>
          <w:lang w:bidi="fa-IR"/>
        </w:rPr>
        <w:t xml:space="preserve"> ، ج 1 ، ص 106 ، من دون الإسناد إلى المعصوم </w:t>
      </w:r>
      <w:r w:rsidR="0061079A" w:rsidRPr="0061079A">
        <w:rPr>
          <w:rStyle w:val="libFootnoteAlaemChar"/>
          <w:rtl/>
        </w:rPr>
        <w:t>عليه‌السلام</w:t>
      </w:r>
      <w:r w:rsidR="00D10E3C">
        <w:rPr>
          <w:rtl/>
          <w:lang w:bidi="fa-IR"/>
        </w:rPr>
        <w:t xml:space="preserve"> </w:t>
      </w:r>
      <w:r w:rsidR="004E5D5D">
        <w:rPr>
          <w:rtl/>
          <w:lang w:bidi="fa-IR"/>
        </w:rPr>
        <w:t>، وفي كلّ المصادر - إل</w:t>
      </w:r>
      <w:r w:rsidR="004E5D5D">
        <w:rPr>
          <w:rFonts w:hint="cs"/>
          <w:rtl/>
          <w:lang w:bidi="fa-IR"/>
        </w:rPr>
        <w:t>ّ</w:t>
      </w:r>
      <w:r w:rsidR="004E5D5D">
        <w:rPr>
          <w:rtl/>
          <w:lang w:bidi="fa-IR"/>
        </w:rPr>
        <w:t>ا</w:t>
      </w:r>
      <w:r w:rsidR="00744A1C">
        <w:rPr>
          <w:rtl/>
          <w:lang w:bidi="fa-IR"/>
        </w:rPr>
        <w:t xml:space="preserve"> الثلاثة الا</w:t>
      </w:r>
      <w:r w:rsidR="002B0565">
        <w:rPr>
          <w:rFonts w:hint="cs"/>
          <w:rtl/>
          <w:lang w:bidi="fa-IR"/>
        </w:rPr>
        <w:t>ُ</w:t>
      </w:r>
      <w:r w:rsidR="00744A1C">
        <w:rPr>
          <w:rtl/>
          <w:lang w:bidi="fa-IR"/>
        </w:rPr>
        <w:t xml:space="preserve">وَل - من قوله : « إنّما </w:t>
      </w:r>
      <w:r w:rsidR="00373A1C">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7995 / 8. عَلِيُّ بْنُ إِبْرَاهِيمَ ، عَنْ أَبِيهِ ، عَنِ ابْنِ أَبِي عُمَيْرٍ ، عَنْ </w:t>
      </w:r>
      <w:r w:rsidR="00094DE6">
        <w:rPr>
          <w:rtl/>
          <w:lang w:bidi="fa-IR"/>
        </w:rPr>
        <w:t>جَمِيلِ بْنِ دَرَّاجٍ ، قَالَ :</w:t>
      </w:r>
    </w:p>
    <w:p w:rsidR="00744A1C" w:rsidRDefault="00744A1C" w:rsidP="00744A1C">
      <w:pPr>
        <w:pStyle w:val="libNormal"/>
        <w:rPr>
          <w:lang w:bidi="fa-IR"/>
        </w:rPr>
      </w:pPr>
      <w:r>
        <w:rPr>
          <w:rtl/>
          <w:lang w:bidi="fa-IR"/>
        </w:rPr>
        <w:t>قَالَ لَهُ الطَّيَّارُ وَأَنَا حَاضِرٌ : هَذَا الَّذِي زِيدَ هُوَ مِنَ الْمَسْجِدِ؟</w:t>
      </w:r>
    </w:p>
    <w:p w:rsidR="00744A1C" w:rsidRDefault="00744A1C" w:rsidP="00744A1C">
      <w:pPr>
        <w:pStyle w:val="libNormal"/>
        <w:rPr>
          <w:lang w:bidi="fa-IR"/>
        </w:rPr>
      </w:pPr>
      <w:r>
        <w:rPr>
          <w:rtl/>
          <w:lang w:bidi="fa-IR"/>
        </w:rPr>
        <w:t xml:space="preserve">فَقَالَ : « نَعَمْ ، إِنَّهُمْ لَمْ يَبْلُغُوا بَعْدُ مَسْجِدَ إِبْرَاهِيمَ وَإِسْمَاعِيلَ صَلَّى الله عَلَيْهِمَا </w:t>
      </w:r>
      <w:r w:rsidRPr="00D10E3C">
        <w:rPr>
          <w:rStyle w:val="libFootnotenumChar"/>
          <w:rtl/>
        </w:rPr>
        <w:t>(1)</w:t>
      </w:r>
      <w:r>
        <w:rPr>
          <w:rtl/>
          <w:lang w:bidi="fa-IR"/>
        </w:rPr>
        <w:t xml:space="preserve"> ». </w:t>
      </w:r>
      <w:r w:rsidRPr="00D10E3C">
        <w:rPr>
          <w:rStyle w:val="libFootnotenumChar"/>
          <w:rtl/>
        </w:rPr>
        <w:t>(2)</w:t>
      </w:r>
    </w:p>
    <w:p w:rsidR="00744A1C" w:rsidRDefault="00744A1C" w:rsidP="00744A1C">
      <w:pPr>
        <w:pStyle w:val="libNormal"/>
        <w:rPr>
          <w:lang w:bidi="fa-IR"/>
        </w:rPr>
      </w:pPr>
      <w:r>
        <w:rPr>
          <w:rtl/>
          <w:lang w:bidi="fa-IR"/>
        </w:rPr>
        <w:t>7996 / 9. عِدَّةٌ مِنْ أَصْحَابِنَا ، عَنْ أَحْمَدَ بْنِ مُحَمَّدٍ ، عَنِ الْحُسَيْنِ بْنِ سَعِيدٍ ، عَنْ فَضَالَةَ بْنِ أَيُّوبَ ، عَنْ أَب</w:t>
      </w:r>
      <w:r w:rsidR="00CB37A7">
        <w:rPr>
          <w:rtl/>
          <w:lang w:bidi="fa-IR"/>
        </w:rPr>
        <w:t>َانٍ ، عَنْ زُرَارَةَ ، قَالَ :</w:t>
      </w:r>
    </w:p>
    <w:p w:rsidR="00744A1C" w:rsidRDefault="00744A1C" w:rsidP="00744A1C">
      <w:pPr>
        <w:pStyle w:val="libNormal"/>
        <w:rPr>
          <w:lang w:bidi="fa-IR"/>
        </w:rPr>
      </w:pPr>
      <w:r>
        <w:rPr>
          <w:rtl/>
          <w:lang w:bidi="fa-IR"/>
        </w:rPr>
        <w:t xml:space="preserve">سَأَلْتُهُ عَنِ الرَّجُلِ </w:t>
      </w:r>
      <w:r w:rsidRPr="00D10E3C">
        <w:rPr>
          <w:rStyle w:val="libFootnotenumChar"/>
          <w:rtl/>
        </w:rPr>
        <w:t>(3)</w:t>
      </w:r>
      <w:r>
        <w:rPr>
          <w:rtl/>
          <w:lang w:bidi="fa-IR"/>
        </w:rPr>
        <w:t xml:space="preserve"> يُصَلِّي بِمَكَّةَ ، يَجْعَلُ الْمَقَامَ خَلْفَ ظَهْرِهِ وَهُوَ مُسْتَقْبِلُ الْكَعبَةِ </w:t>
      </w:r>
      <w:r w:rsidRPr="00D10E3C">
        <w:rPr>
          <w:rStyle w:val="libFootnotenumChar"/>
          <w:rtl/>
        </w:rPr>
        <w:t>(4)</w:t>
      </w:r>
      <w:r>
        <w:rPr>
          <w:rtl/>
          <w:lang w:bidi="fa-IR"/>
        </w:rPr>
        <w:t>؟</w:t>
      </w:r>
    </w:p>
    <w:p w:rsidR="00744A1C" w:rsidRDefault="00744A1C" w:rsidP="00744A1C">
      <w:pPr>
        <w:pStyle w:val="libNormal"/>
        <w:rPr>
          <w:lang w:bidi="fa-IR"/>
        </w:rPr>
      </w:pPr>
      <w:r>
        <w:rPr>
          <w:rtl/>
          <w:lang w:bidi="fa-IR"/>
        </w:rPr>
        <w:t xml:space="preserve">فَقَالَ : « لَا بَأْسَ ، يُصَلِّي حَيْثُ شَاءَ مِنَ الْمَسْجِدِ بَيْنَ يَدَيِ الْمَقَامِ أَوْ خَلْفَهُ ، وَأَفْضَلُهُ الْحَطِيمُ </w:t>
      </w:r>
      <w:r w:rsidRPr="00D10E3C">
        <w:rPr>
          <w:rStyle w:val="libFootnotenumChar"/>
          <w:rtl/>
        </w:rPr>
        <w:t>(5)</w:t>
      </w:r>
      <w:r>
        <w:rPr>
          <w:rtl/>
          <w:lang w:bidi="fa-IR"/>
        </w:rPr>
        <w:t xml:space="preserve"> أَوِ الْحِجْرُ </w:t>
      </w:r>
      <w:r w:rsidRPr="00D10E3C">
        <w:rPr>
          <w:rStyle w:val="libFootnotenumChar"/>
          <w:rtl/>
        </w:rPr>
        <w:t>(6)</w:t>
      </w:r>
      <w:r>
        <w:rPr>
          <w:rtl/>
          <w:lang w:bidi="fa-IR"/>
        </w:rPr>
        <w:t xml:space="preserve"> وَعِنْدَ </w:t>
      </w:r>
      <w:r w:rsidRPr="00D10E3C">
        <w:rPr>
          <w:rStyle w:val="libFootnotenumChar"/>
          <w:rtl/>
        </w:rPr>
        <w:t>(7)</w:t>
      </w:r>
      <w:r>
        <w:rPr>
          <w:rtl/>
          <w:lang w:bidi="fa-IR"/>
        </w:rPr>
        <w:t xml:space="preserve"> الْمَقَامِ ، وَالْحَطِيمُ حِذَاءَ الْبَابِ </w:t>
      </w:r>
      <w:r w:rsidRPr="00D10E3C">
        <w:rPr>
          <w:rStyle w:val="libFootnotenumChar"/>
          <w:rtl/>
        </w:rPr>
        <w:t>(8)</w:t>
      </w:r>
      <w:r>
        <w:rPr>
          <w:rtl/>
          <w:lang w:bidi="fa-IR"/>
        </w:rPr>
        <w:t xml:space="preserve"> ». </w:t>
      </w:r>
      <w:r w:rsidRPr="00D10E3C">
        <w:rPr>
          <w:rStyle w:val="libFootnotenumChar"/>
          <w:rtl/>
        </w:rPr>
        <w:t>(9)</w:t>
      </w:r>
    </w:p>
    <w:p w:rsidR="00744A1C" w:rsidRDefault="00744A1C" w:rsidP="00744A1C">
      <w:pPr>
        <w:pStyle w:val="libNormal"/>
        <w:rPr>
          <w:lang w:bidi="fa-IR"/>
        </w:rPr>
      </w:pPr>
      <w:r>
        <w:rPr>
          <w:rtl/>
          <w:lang w:bidi="fa-IR"/>
        </w:rPr>
        <w:t xml:space="preserve">7997 / 10. فَضَالَةُ بْنُ أَيُّوبَ </w:t>
      </w:r>
      <w:r w:rsidRPr="00D10E3C">
        <w:rPr>
          <w:rStyle w:val="libFootnotenumChar"/>
          <w:rtl/>
        </w:rPr>
        <w:t>(10)</w:t>
      </w:r>
      <w:r>
        <w:rPr>
          <w:rtl/>
          <w:lang w:bidi="fa-IR"/>
        </w:rPr>
        <w:t xml:space="preserve"> ، عَن</w:t>
      </w:r>
      <w:r w:rsidR="00AD1001">
        <w:rPr>
          <w:rtl/>
          <w:lang w:bidi="fa-IR"/>
        </w:rPr>
        <w:t>ْ عَبْدِ اللهِ بْنِ سِنَانٍ :</w:t>
      </w:r>
    </w:p>
    <w:p w:rsidR="00744A1C" w:rsidRDefault="00744A1C" w:rsidP="00D10E3C">
      <w:pPr>
        <w:pStyle w:val="libLine"/>
        <w:rPr>
          <w:lang w:bidi="fa-IR"/>
        </w:rPr>
      </w:pPr>
      <w:r>
        <w:rPr>
          <w:rtl/>
          <w:lang w:bidi="fa-IR"/>
        </w:rPr>
        <w:t>____________________</w:t>
      </w:r>
    </w:p>
    <w:p w:rsidR="00744A1C" w:rsidRDefault="00AD1001" w:rsidP="00273CFE">
      <w:pPr>
        <w:pStyle w:val="libFootnote0"/>
        <w:rPr>
          <w:lang w:bidi="fa-IR"/>
        </w:rPr>
      </w:pPr>
      <w:r>
        <w:rPr>
          <w:rFonts w:hint="cs"/>
          <w:rtl/>
          <w:lang w:bidi="fa-IR"/>
        </w:rPr>
        <w:t xml:space="preserve">= </w:t>
      </w:r>
      <w:r w:rsidR="00744A1C">
        <w:rPr>
          <w:rtl/>
          <w:lang w:bidi="fa-IR"/>
        </w:rPr>
        <w:t>سمّيت بكّة » مع اختلاف يسير</w:t>
      </w:r>
      <w:r w:rsidR="00273CFE">
        <w:rPr>
          <w:rFonts w:hint="cs"/>
          <w:rtl/>
          <w:lang w:bidi="fa-IR"/>
        </w:rPr>
        <w:t>.</w:t>
      </w:r>
      <w:r w:rsidR="00744A1C" w:rsidRPr="00C24F9C">
        <w:rPr>
          <w:rStyle w:val="libFootnoteBoldChar"/>
          <w:rtl/>
        </w:rPr>
        <w:t>الوافي</w:t>
      </w:r>
      <w:r w:rsidR="00744A1C">
        <w:rPr>
          <w:rtl/>
          <w:lang w:bidi="fa-IR"/>
        </w:rPr>
        <w:t xml:space="preserve"> ، ج 7 ، ص 485 ، ح 6410 ؛ وج 12 ، ص 196 ، ح 11736 ؛ </w:t>
      </w:r>
      <w:r w:rsidR="00744A1C" w:rsidRPr="00C24F9C">
        <w:rPr>
          <w:rStyle w:val="libFootnoteBoldChar"/>
          <w:rtl/>
        </w:rPr>
        <w:t>الوسائل</w:t>
      </w:r>
      <w:r w:rsidR="00744A1C">
        <w:rPr>
          <w:rtl/>
          <w:lang w:bidi="fa-IR"/>
        </w:rPr>
        <w:t xml:space="preserve"> ، ج 5 ، ص 122 ، ذيل ح 6099 ؛ وص 133 ، ح 6133.</w:t>
      </w:r>
    </w:p>
    <w:p w:rsidR="00744A1C" w:rsidRDefault="00D10E3C" w:rsidP="00273CFE">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223 : « لعلّ المراد أنّ للزائد أيضاً فضلاً ؛ لكونه في زمنهما </w:t>
      </w:r>
      <w:r w:rsidR="00F112A7" w:rsidRPr="00CE5A92">
        <w:rPr>
          <w:rStyle w:val="libFootnoteAlaemChar"/>
          <w:rtl/>
        </w:rPr>
        <w:t>عليهما‌السلام</w:t>
      </w:r>
      <w:r w:rsidR="00744A1C">
        <w:rPr>
          <w:rtl/>
          <w:lang w:bidi="fa-IR"/>
        </w:rPr>
        <w:t xml:space="preserve">مسجداً ، فلا ينافي اختصاص فضل المسجد الحرام بما كان في زمن رسول الله </w:t>
      </w:r>
      <w:r w:rsidR="00273CFE" w:rsidRPr="00273CFE">
        <w:rPr>
          <w:rStyle w:val="libFootnoteAlaemChar"/>
          <w:rFonts w:eastAsiaTheme="minorHAnsi"/>
          <w:rtl/>
        </w:rPr>
        <w:t>صلى‌الله‌عليه‌وآله</w:t>
      </w:r>
      <w:r w:rsidR="00273CFE" w:rsidRPr="00273CFE">
        <w:rPr>
          <w:rFonts w:eastAsiaTheme="minorHAnsi"/>
          <w:rtl/>
        </w:rPr>
        <w:t xml:space="preserve"> </w:t>
      </w:r>
      <w:r w:rsidR="00744A1C">
        <w:rPr>
          <w:rtl/>
          <w:lang w:bidi="fa-IR"/>
        </w:rPr>
        <w:t>كما يدلّ سائر الأخبار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12 ، ص 153 ، ح 11690 ؛ </w:t>
      </w:r>
      <w:r w:rsidR="00744A1C" w:rsidRPr="00C24F9C">
        <w:rPr>
          <w:rStyle w:val="libFootnoteBoldChar"/>
          <w:rtl/>
        </w:rPr>
        <w:t>الوسائل</w:t>
      </w:r>
      <w:r w:rsidR="00744A1C">
        <w:rPr>
          <w:rtl/>
          <w:lang w:bidi="fa-IR"/>
        </w:rPr>
        <w:t xml:space="preserve"> ، ج 5 ، ص 276 ، ح 6537.</w:t>
      </w:r>
    </w:p>
    <w:p w:rsidR="00744A1C" w:rsidRDefault="00E378DD" w:rsidP="00E378DD">
      <w:pPr>
        <w:pStyle w:val="libFootnote0"/>
        <w:rPr>
          <w:lang w:bidi="fa-IR"/>
        </w:rPr>
      </w:pPr>
      <w:r>
        <w:rPr>
          <w:rtl/>
          <w:lang w:bidi="fa-IR"/>
        </w:rPr>
        <w:t>(3).</w:t>
      </w:r>
      <w:r w:rsidR="00744A1C">
        <w:rPr>
          <w:rtl/>
          <w:lang w:bidi="fa-IR"/>
        </w:rPr>
        <w:t xml:space="preserve"> في « بح » : « رجل ».</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المطبوع : « القبلة ».</w:t>
      </w:r>
    </w:p>
    <w:p w:rsidR="00744A1C" w:rsidRDefault="00E378DD" w:rsidP="008A57EB">
      <w:pPr>
        <w:pStyle w:val="libFootnote0"/>
        <w:rPr>
          <w:lang w:bidi="fa-IR"/>
        </w:rPr>
      </w:pPr>
      <w:r>
        <w:rPr>
          <w:rtl/>
          <w:lang w:bidi="fa-IR"/>
        </w:rPr>
        <w:t>(5).</w:t>
      </w:r>
      <w:r w:rsidR="00744A1C">
        <w:rPr>
          <w:rtl/>
          <w:lang w:bidi="fa-IR"/>
        </w:rPr>
        <w:t xml:space="preserve"> قال الفيروزآبادي : « الحَطيم : حِجر الكعبة ، أو جداره ، أو ما بين الركن وزمزم والمقام ، وزاد بعضهم الحجر ، أو من المقام إلى الباب ، أو ما بين الركن الأسود إلى الباب إلى المقام حيث يتحطّم الناس للدعاء ». </w:t>
      </w:r>
      <w:r w:rsidR="00744A1C" w:rsidRPr="008A57EB">
        <w:rPr>
          <w:rStyle w:val="libFootnoteBoldChar"/>
          <w:rtl/>
        </w:rPr>
        <w:t>القاموس المحيط</w:t>
      </w:r>
      <w:r w:rsidR="00744A1C">
        <w:rPr>
          <w:rtl/>
          <w:lang w:bidi="fa-IR"/>
        </w:rPr>
        <w:t xml:space="preserve"> ، ج 2 ، ص 1445 ( حطم ).</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8A57EB">
        <w:rPr>
          <w:rtl/>
        </w:rPr>
        <w:t>والوافي والوسائل</w:t>
      </w:r>
      <w:r w:rsidR="00744A1C">
        <w:rPr>
          <w:rtl/>
          <w:lang w:bidi="fa-IR"/>
        </w:rPr>
        <w:t>. وفي المطبوع : « والحجر ».</w:t>
      </w:r>
    </w:p>
    <w:p w:rsidR="00744A1C" w:rsidRDefault="00E378DD" w:rsidP="00E378DD">
      <w:pPr>
        <w:pStyle w:val="libFootnote0"/>
        <w:rPr>
          <w:lang w:bidi="fa-IR"/>
        </w:rPr>
      </w:pPr>
      <w:r>
        <w:rPr>
          <w:rtl/>
          <w:lang w:bidi="fa-IR"/>
        </w:rPr>
        <w:t>(7).</w:t>
      </w:r>
      <w:r w:rsidR="00744A1C">
        <w:rPr>
          <w:rtl/>
          <w:lang w:bidi="fa-IR"/>
        </w:rPr>
        <w:t xml:space="preserve"> في </w:t>
      </w:r>
      <w:r w:rsidR="00744A1C" w:rsidRPr="008A57EB">
        <w:rPr>
          <w:rtl/>
        </w:rPr>
        <w:t>الوسائل</w:t>
      </w:r>
      <w:r w:rsidR="00744A1C">
        <w:rPr>
          <w:rtl/>
          <w:lang w:bidi="fa-IR"/>
        </w:rPr>
        <w:t xml:space="preserve"> : « أو عند ».</w:t>
      </w:r>
    </w:p>
    <w:p w:rsidR="00744A1C" w:rsidRDefault="00E378DD" w:rsidP="00E378DD">
      <w:pPr>
        <w:pStyle w:val="libFootnote0"/>
        <w:rPr>
          <w:lang w:bidi="fa-IR"/>
        </w:rPr>
      </w:pPr>
      <w:r>
        <w:rPr>
          <w:rtl/>
          <w:lang w:bidi="fa-IR"/>
        </w:rPr>
        <w:t>(8).</w:t>
      </w:r>
      <w:r w:rsidR="00744A1C">
        <w:rPr>
          <w:rtl/>
          <w:lang w:bidi="fa-IR"/>
        </w:rPr>
        <w:t xml:space="preserve"> في </w:t>
      </w:r>
      <w:r w:rsidR="00744A1C" w:rsidRPr="008A57EB">
        <w:rPr>
          <w:rtl/>
        </w:rPr>
        <w:t>المرآة</w:t>
      </w:r>
      <w:r w:rsidR="00744A1C">
        <w:rPr>
          <w:rtl/>
          <w:lang w:bidi="fa-IR"/>
        </w:rPr>
        <w:t xml:space="preserve"> : « حذاء البيت » أي جنبه. ثمّ قال : « ويحتمل عطفه على المواضع السا</w:t>
      </w:r>
      <w:r w:rsidR="008A57EB">
        <w:rPr>
          <w:rtl/>
          <w:lang w:bidi="fa-IR"/>
        </w:rPr>
        <w:t>بقة ، فيكون المراد به المستجار</w:t>
      </w:r>
      <w:r w:rsidR="00744A1C">
        <w:rPr>
          <w:rtl/>
          <w:lang w:bidi="fa-IR"/>
        </w:rPr>
        <w:t>».</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12 ، ص 46 ، ح 11484 ؛ </w:t>
      </w:r>
      <w:r w:rsidR="00744A1C" w:rsidRPr="00C24F9C">
        <w:rPr>
          <w:rStyle w:val="libFootnoteBoldChar"/>
          <w:rtl/>
        </w:rPr>
        <w:t>الوسائل</w:t>
      </w:r>
      <w:r w:rsidR="00744A1C">
        <w:rPr>
          <w:rtl/>
          <w:lang w:bidi="fa-IR"/>
        </w:rPr>
        <w:t xml:space="preserve"> ، ج 5 ، ص 273 ، ح 6526.</w:t>
      </w:r>
    </w:p>
    <w:p w:rsidR="00744A1C" w:rsidRDefault="00E378DD" w:rsidP="00E378DD">
      <w:pPr>
        <w:pStyle w:val="libFootnote0"/>
        <w:rPr>
          <w:lang w:bidi="fa-IR"/>
        </w:rPr>
      </w:pPr>
      <w:r>
        <w:rPr>
          <w:rtl/>
          <w:lang w:bidi="fa-IR"/>
        </w:rPr>
        <w:t>(10).</w:t>
      </w:r>
      <w:r w:rsidR="00744A1C">
        <w:rPr>
          <w:rtl/>
          <w:lang w:bidi="fa-IR"/>
        </w:rPr>
        <w:t xml:space="preserve"> السند معلّق على سابقه. ويروي عن فضالة بن أيّوب ، عدّة من أصحابنا عن أحمد بن محمّد عن الحسين بن سعيد.</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حَقُّ </w:t>
      </w:r>
      <w:r w:rsidRPr="00D10E3C">
        <w:rPr>
          <w:rStyle w:val="libFootnotenumChar"/>
          <w:rtl/>
        </w:rPr>
        <w:t>(1)</w:t>
      </w:r>
      <w:r>
        <w:rPr>
          <w:rtl/>
          <w:lang w:bidi="fa-IR"/>
        </w:rPr>
        <w:t xml:space="preserve"> إِبْرَاهِيمَ </w:t>
      </w:r>
      <w:r w:rsidR="0061079A" w:rsidRPr="0061079A">
        <w:rPr>
          <w:rStyle w:val="libAlaemChar"/>
          <w:rtl/>
        </w:rPr>
        <w:t>عليه‌السلام</w:t>
      </w:r>
      <w:r w:rsidR="00D10E3C">
        <w:rPr>
          <w:rtl/>
          <w:lang w:bidi="fa-IR"/>
        </w:rPr>
        <w:t xml:space="preserve"> </w:t>
      </w:r>
      <w:r>
        <w:rPr>
          <w:rtl/>
          <w:lang w:bidi="fa-IR"/>
        </w:rPr>
        <w:t xml:space="preserve">بِمَكَّةَ مَا بَيْنَ الْحَزْوَرَةِ </w:t>
      </w:r>
      <w:r w:rsidRPr="00D10E3C">
        <w:rPr>
          <w:rStyle w:val="libFootnotenumChar"/>
          <w:rtl/>
        </w:rPr>
        <w:t>(2)</w:t>
      </w:r>
      <w:r>
        <w:rPr>
          <w:rtl/>
          <w:lang w:bidi="fa-IR"/>
        </w:rPr>
        <w:t xml:space="preserve"> إِلَى الْمَسْعى </w:t>
      </w:r>
      <w:r w:rsidRPr="00D10E3C">
        <w:rPr>
          <w:rStyle w:val="libFootnotenumChar"/>
          <w:rtl/>
        </w:rPr>
        <w:t>(3)</w:t>
      </w:r>
      <w:r>
        <w:rPr>
          <w:rtl/>
          <w:lang w:bidi="fa-IR"/>
        </w:rPr>
        <w:t xml:space="preserve"> ، فَذلِكَ الَّذِي كَانَ خَطَّ </w:t>
      </w:r>
      <w:r w:rsidRPr="00D10E3C">
        <w:rPr>
          <w:rStyle w:val="libFootnotenumChar"/>
          <w:rtl/>
        </w:rPr>
        <w:t>(4)</w:t>
      </w:r>
      <w:r>
        <w:rPr>
          <w:rtl/>
          <w:lang w:bidi="fa-IR"/>
        </w:rPr>
        <w:t xml:space="preserve"> إِبْرَاهِيمُ </w:t>
      </w:r>
      <w:r w:rsidR="0061079A" w:rsidRPr="0061079A">
        <w:rPr>
          <w:rStyle w:val="libAlaemChar"/>
          <w:rtl/>
        </w:rPr>
        <w:t>عليه‌السلام</w:t>
      </w:r>
      <w:r w:rsidR="00D10E3C">
        <w:rPr>
          <w:rtl/>
          <w:lang w:bidi="fa-IR"/>
        </w:rPr>
        <w:t xml:space="preserve"> </w:t>
      </w:r>
      <w:r>
        <w:rPr>
          <w:rtl/>
          <w:lang w:bidi="fa-IR"/>
        </w:rPr>
        <w:t xml:space="preserve">» يَعْنِي الْمَسْجِدَ. </w:t>
      </w:r>
      <w:r w:rsidRPr="00D10E3C">
        <w:rPr>
          <w:rStyle w:val="libFootnotenumChar"/>
          <w:rtl/>
        </w:rPr>
        <w:t>(5)</w:t>
      </w:r>
    </w:p>
    <w:p w:rsidR="00144FA6" w:rsidRDefault="00744A1C" w:rsidP="00744A1C">
      <w:pPr>
        <w:pStyle w:val="libNormal"/>
        <w:rPr>
          <w:rtl/>
          <w:lang w:bidi="fa-IR"/>
        </w:rPr>
      </w:pPr>
      <w:r>
        <w:rPr>
          <w:rtl/>
          <w:lang w:bidi="fa-IR"/>
        </w:rPr>
        <w:t>7998 / 11. عِدَّةٌ مِنْ أَصْحَابِنَا ، عَنْ سَهْلِ بْنِ زِيَادٍ ، عَنْ أَحْمَدَ بْنِ مُحَمَّدِ بْنِ أَبِي نَصْرٍ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سَأَلْتُهُ عَنِ الرَّجُلِ يُصَلِّي فِي </w:t>
      </w:r>
      <w:r w:rsidRPr="00D10E3C">
        <w:rPr>
          <w:rStyle w:val="libFootnotenumChar"/>
          <w:rtl/>
        </w:rPr>
        <w:t>(6)</w:t>
      </w:r>
      <w:r>
        <w:rPr>
          <w:rtl/>
          <w:lang w:bidi="fa-IR"/>
        </w:rPr>
        <w:t xml:space="preserve"> جَمَاعَةٍ فِي مَنْزِلِهِ بِمَكَّةَ أَفْضَلُ ، أَوْ وَحْدَهُ فِي الْمَسْجِدِ الْحَرَامِ؟</w:t>
      </w:r>
    </w:p>
    <w:p w:rsidR="00144FA6" w:rsidRDefault="00744A1C" w:rsidP="00744A1C">
      <w:pPr>
        <w:pStyle w:val="libNormal"/>
        <w:rPr>
          <w:rtl/>
          <w:lang w:bidi="fa-IR"/>
        </w:rPr>
      </w:pPr>
      <w:r>
        <w:rPr>
          <w:rtl/>
          <w:lang w:bidi="fa-IR"/>
        </w:rPr>
        <w:t xml:space="preserve">فَقَالَ : « وَحْدَهُ ». </w:t>
      </w:r>
      <w:r w:rsidRPr="00D10E3C">
        <w:rPr>
          <w:rStyle w:val="libFootnotenumChar"/>
          <w:rtl/>
        </w:rPr>
        <w:t>(7)</w:t>
      </w:r>
    </w:p>
    <w:p w:rsidR="00144FA6" w:rsidRDefault="00744A1C" w:rsidP="00744A1C">
      <w:pPr>
        <w:pStyle w:val="libNormal"/>
        <w:rPr>
          <w:rtl/>
          <w:lang w:bidi="fa-IR"/>
        </w:rPr>
      </w:pPr>
      <w:r>
        <w:rPr>
          <w:rtl/>
          <w:lang w:bidi="fa-IR"/>
        </w:rPr>
        <w:t xml:space="preserve">7999 / 12. أَبُو عَلِيٍّ الْأَشْعَرِيُّ ، عَنْ مُحَمَّدِ بْنِ عَبْدِ الْجَبَّارِ ، عَنِ ابْنِ فَضَّالٍ ، عَنْ ثَعْلَبَةَ </w:t>
      </w:r>
      <w:r w:rsidRPr="00D10E3C">
        <w:rPr>
          <w:rStyle w:val="libFootnotenumChar"/>
          <w:rtl/>
        </w:rPr>
        <w:t>(8)</w:t>
      </w:r>
      <w:r>
        <w:rPr>
          <w:rtl/>
          <w:lang w:bidi="fa-IR"/>
        </w:rPr>
        <w:t xml:space="preserve"> ، عَنْ مُعَاوِيَةَ </w:t>
      </w:r>
      <w:r w:rsidRPr="00D10E3C">
        <w:rPr>
          <w:rStyle w:val="libFootnotenumChar"/>
          <w:rtl/>
        </w:rPr>
        <w:t>(9)</w:t>
      </w:r>
      <w:r>
        <w:rPr>
          <w:rtl/>
          <w:lang w:bidi="fa-IR"/>
        </w:rPr>
        <w:t xml:space="preserve">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الْحَطِيمِ؟</w:t>
      </w:r>
    </w:p>
    <w:p w:rsidR="00744A1C" w:rsidRDefault="00744A1C" w:rsidP="00744A1C">
      <w:pPr>
        <w:pStyle w:val="libNormal"/>
        <w:rPr>
          <w:lang w:bidi="fa-IR"/>
        </w:rPr>
      </w:pPr>
      <w:r>
        <w:rPr>
          <w:rtl/>
          <w:lang w:bidi="fa-IR"/>
        </w:rPr>
        <w:t xml:space="preserve">فَقَالَ : « هُوَ </w:t>
      </w:r>
      <w:r w:rsidRPr="00D10E3C">
        <w:rPr>
          <w:rStyle w:val="libFootnotenumChar"/>
          <w:rtl/>
        </w:rPr>
        <w:t>(10)</w:t>
      </w:r>
      <w:r>
        <w:rPr>
          <w:rtl/>
          <w:lang w:bidi="fa-IR"/>
        </w:rPr>
        <w:t xml:space="preserve"> مَا بَيْنَ الْحَجَرِ الْأَسْوَدِ وَبَيْنَ الْبَابِ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w:t>
      </w:r>
      <w:r w:rsidR="00744A1C" w:rsidRPr="008A57EB">
        <w:rPr>
          <w:rtl/>
        </w:rPr>
        <w:t>والكافي</w:t>
      </w:r>
      <w:r w:rsidR="00744A1C">
        <w:rPr>
          <w:rtl/>
          <w:lang w:bidi="fa-IR"/>
        </w:rPr>
        <w:t xml:space="preserve"> ، ح 6740 </w:t>
      </w:r>
      <w:r w:rsidR="00744A1C" w:rsidRPr="008A57EB">
        <w:rPr>
          <w:rtl/>
        </w:rPr>
        <w:t>والتهذيب</w:t>
      </w:r>
      <w:r w:rsidR="00744A1C">
        <w:rPr>
          <w:rtl/>
          <w:lang w:bidi="fa-IR"/>
        </w:rPr>
        <w:t xml:space="preserve"> : « خطّ ».</w:t>
      </w:r>
    </w:p>
    <w:p w:rsidR="00744A1C" w:rsidRDefault="00E378DD" w:rsidP="00E378DD">
      <w:pPr>
        <w:pStyle w:val="libFootnote0"/>
        <w:rPr>
          <w:lang w:bidi="fa-IR"/>
        </w:rPr>
      </w:pPr>
      <w:r>
        <w:rPr>
          <w:rtl/>
          <w:lang w:bidi="fa-IR"/>
        </w:rPr>
        <w:t>(2).</w:t>
      </w:r>
      <w:r w:rsidR="00744A1C">
        <w:rPr>
          <w:rtl/>
          <w:lang w:bidi="fa-IR"/>
        </w:rPr>
        <w:t xml:space="preserve"> في « بف » : « والحَزْوَرة ». والحَرْوَرة : التلّ الصغير ، وموضع بمكّة ، كان به سوقها بين الصفا والمروة قريب من موضع النخّاسين ، وإنّما سمّي حزورة لمكان تلّ صغير هناك. وهو بوزن قسورة. راجع : </w:t>
      </w:r>
      <w:r w:rsidR="00744A1C" w:rsidRPr="00877682">
        <w:rPr>
          <w:rStyle w:val="libFootnoteBoldChar"/>
          <w:rtl/>
        </w:rPr>
        <w:t>النهاية</w:t>
      </w:r>
      <w:r w:rsidR="00744A1C">
        <w:rPr>
          <w:rtl/>
          <w:lang w:bidi="fa-IR"/>
        </w:rPr>
        <w:t xml:space="preserve"> ، ج 1 ، ص 380 ( حزور ) ؛ </w:t>
      </w:r>
      <w:r w:rsidR="00744A1C" w:rsidRPr="008A57EB">
        <w:rPr>
          <w:rStyle w:val="libFootnoteBoldChar"/>
          <w:rtl/>
        </w:rPr>
        <w:t>مجمع البحرين</w:t>
      </w:r>
      <w:r w:rsidR="00744A1C">
        <w:rPr>
          <w:rtl/>
          <w:lang w:bidi="fa-IR"/>
        </w:rPr>
        <w:t xml:space="preserve"> ، ج 3 ، ص 265 ( حزر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224 : « لعلّ المراد بالمسعى مبدؤه إلى الصفا. وفيه إشكال ؛ لأنّه يلزم خروج بعض المسجد القد</w:t>
      </w:r>
      <w:r w:rsidR="008A57EB">
        <w:rPr>
          <w:rtl/>
          <w:lang w:bidi="fa-IR"/>
        </w:rPr>
        <w:t>يم ، إل</w:t>
      </w:r>
      <w:r w:rsidR="008A57EB">
        <w:rPr>
          <w:rFonts w:hint="cs"/>
          <w:rtl/>
          <w:lang w:bidi="fa-IR"/>
        </w:rPr>
        <w:t>ّ</w:t>
      </w:r>
      <w:r w:rsidR="008A57EB">
        <w:rPr>
          <w:rtl/>
          <w:lang w:bidi="fa-IR"/>
        </w:rPr>
        <w:t>ا</w:t>
      </w:r>
      <w:r w:rsidR="00744A1C">
        <w:rPr>
          <w:rtl/>
          <w:lang w:bidi="fa-IR"/>
        </w:rPr>
        <w:t xml:space="preserve"> أن يقال : كون هذا المقدار داخلاً فيه لا ينافي الزائد ، ويحتمل أن يكون المراد أنّ طوله كان بهذا المقدار ، أو أنّ هذا المقدار من المسعى كان داخلاً في المسجد كما يظهر من غيره أيضاً ».</w:t>
      </w:r>
    </w:p>
    <w:p w:rsidR="00744A1C" w:rsidRDefault="00E378DD" w:rsidP="00E378DD">
      <w:pPr>
        <w:pStyle w:val="libFootnote0"/>
        <w:rPr>
          <w:lang w:bidi="fa-IR"/>
        </w:rPr>
      </w:pPr>
      <w:r>
        <w:rPr>
          <w:rtl/>
          <w:lang w:bidi="fa-IR"/>
        </w:rPr>
        <w:t>(4).</w:t>
      </w:r>
      <w:r w:rsidR="00744A1C">
        <w:rPr>
          <w:rtl/>
          <w:lang w:bidi="fa-IR"/>
        </w:rPr>
        <w:t xml:space="preserve"> هكذا في معظم النسخ التي قوبلت. وفي المطبوع : « خطّه ». وفي « بخ » : « حطّ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453 ، ح 1585 ، معلّقاً عن الحسين بن سعيد ، عن فضالة ، عن عبدالله بن سنان. </w:t>
      </w:r>
      <w:r w:rsidR="00744A1C" w:rsidRPr="0061079A">
        <w:rPr>
          <w:rStyle w:val="libFootnoteBoldChar"/>
          <w:rtl/>
        </w:rPr>
        <w:t>الكافي</w:t>
      </w:r>
      <w:r w:rsidR="00744A1C">
        <w:rPr>
          <w:rtl/>
          <w:lang w:bidi="fa-IR"/>
        </w:rPr>
        <w:t xml:space="preserve"> ، كتاب الحجّ ، باب حجّ إبراهيم وإسماعيل ... ، ح 6740 ، مرسلاً. </w:t>
      </w:r>
      <w:r w:rsidR="00744A1C" w:rsidRPr="00C24F9C">
        <w:rPr>
          <w:rStyle w:val="libFootnoteBoldChar"/>
          <w:rtl/>
        </w:rPr>
        <w:t>الفقيه</w:t>
      </w:r>
      <w:r w:rsidR="00744A1C">
        <w:rPr>
          <w:rtl/>
          <w:lang w:bidi="fa-IR"/>
        </w:rPr>
        <w:t xml:space="preserve"> ، ج 2 ، ص 232 ، ح 2281 ، مرسلاً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فيه : « أنّ إبراهيم </w:t>
      </w:r>
      <w:r w:rsidR="0061079A" w:rsidRPr="0061079A">
        <w:rPr>
          <w:rStyle w:val="libFootnoteAlaemChar"/>
          <w:rtl/>
        </w:rPr>
        <w:t>عليه‌السلام</w:t>
      </w:r>
      <w:r w:rsidR="00D10E3C">
        <w:rPr>
          <w:rtl/>
          <w:lang w:bidi="fa-IR"/>
        </w:rPr>
        <w:t xml:space="preserve"> </w:t>
      </w:r>
      <w:r w:rsidR="00744A1C">
        <w:rPr>
          <w:rtl/>
          <w:lang w:bidi="fa-IR"/>
        </w:rPr>
        <w:t xml:space="preserve">خطّ ما بين الحزورة إلى المسعى » </w:t>
      </w:r>
      <w:r w:rsidR="008A57EB">
        <w:rPr>
          <w:rFonts w:hint="cs"/>
          <w:rtl/>
          <w:lang w:bidi="fa-IR"/>
        </w:rPr>
        <w:t>.</w:t>
      </w:r>
      <w:r w:rsidR="00744A1C" w:rsidRPr="00C24F9C">
        <w:rPr>
          <w:rStyle w:val="libFootnoteBoldChar"/>
          <w:rtl/>
        </w:rPr>
        <w:t>الوافي</w:t>
      </w:r>
      <w:r w:rsidR="00744A1C">
        <w:rPr>
          <w:rtl/>
          <w:lang w:bidi="fa-IR"/>
        </w:rPr>
        <w:t xml:space="preserve"> ، ج 12 ، ص 153 ، ح 11687 ؛ </w:t>
      </w:r>
      <w:r w:rsidR="00744A1C" w:rsidRPr="00C24F9C">
        <w:rPr>
          <w:rStyle w:val="libFootnoteBoldChar"/>
          <w:rtl/>
        </w:rPr>
        <w:t>الوسائل</w:t>
      </w:r>
      <w:r w:rsidR="00744A1C">
        <w:rPr>
          <w:rtl/>
          <w:lang w:bidi="fa-IR"/>
        </w:rPr>
        <w:t xml:space="preserve"> ، ج 5 ، ص 227 ، ح 6539.</w:t>
      </w:r>
    </w:p>
    <w:p w:rsidR="00744A1C" w:rsidRDefault="00E378DD" w:rsidP="00E378DD">
      <w:pPr>
        <w:pStyle w:val="libFootnote0"/>
        <w:rPr>
          <w:lang w:bidi="fa-IR"/>
        </w:rPr>
      </w:pPr>
      <w:r>
        <w:rPr>
          <w:rtl/>
          <w:lang w:bidi="fa-IR"/>
        </w:rPr>
        <w:t>(6).</w:t>
      </w:r>
      <w:r w:rsidR="00744A1C">
        <w:rPr>
          <w:rtl/>
          <w:lang w:bidi="fa-IR"/>
        </w:rPr>
        <w:t xml:space="preserve"> في « بث » : - « في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12 ، ص 47 ، ح 11486 ؛ </w:t>
      </w:r>
      <w:r w:rsidR="00744A1C" w:rsidRPr="00C24F9C">
        <w:rPr>
          <w:rStyle w:val="libFootnoteBoldChar"/>
          <w:rtl/>
        </w:rPr>
        <w:t>الوسائل</w:t>
      </w:r>
      <w:r w:rsidR="00744A1C">
        <w:rPr>
          <w:rtl/>
          <w:lang w:bidi="fa-IR"/>
        </w:rPr>
        <w:t xml:space="preserve"> ، ج 5 ، ص 239 ، ح 6439.</w:t>
      </w:r>
    </w:p>
    <w:tbl>
      <w:tblPr>
        <w:tblStyle w:val="TableGrid"/>
        <w:bidiVisual/>
        <w:tblW w:w="0" w:type="auto"/>
        <w:tblLook w:val="04A0" w:firstRow="1" w:lastRow="0" w:firstColumn="1" w:lastColumn="0" w:noHBand="0" w:noVBand="1"/>
      </w:tblPr>
      <w:tblGrid>
        <w:gridCol w:w="4006"/>
        <w:gridCol w:w="4006"/>
      </w:tblGrid>
      <w:tr w:rsidR="003A7143" w:rsidTr="003A7143">
        <w:tc>
          <w:tcPr>
            <w:tcW w:w="4006" w:type="dxa"/>
          </w:tcPr>
          <w:p w:rsidR="003A7143" w:rsidRDefault="003A7143" w:rsidP="00E378DD">
            <w:pPr>
              <w:pStyle w:val="libFootnote0"/>
              <w:rPr>
                <w:rtl/>
                <w:lang w:bidi="fa-IR"/>
              </w:rPr>
            </w:pPr>
            <w:r>
              <w:rPr>
                <w:rtl/>
                <w:lang w:bidi="fa-IR"/>
              </w:rPr>
              <w:t xml:space="preserve">(8). في « بس » </w:t>
            </w:r>
            <w:r w:rsidRPr="003A7143">
              <w:rPr>
                <w:rtl/>
              </w:rPr>
              <w:t>والتهذيب</w:t>
            </w:r>
            <w:r>
              <w:rPr>
                <w:rtl/>
                <w:lang w:bidi="fa-IR"/>
              </w:rPr>
              <w:t xml:space="preserve"> : + « بن ميمون ».</w:t>
            </w:r>
          </w:p>
        </w:tc>
        <w:tc>
          <w:tcPr>
            <w:tcW w:w="4006" w:type="dxa"/>
          </w:tcPr>
          <w:p w:rsidR="003A7143" w:rsidRDefault="003A7143" w:rsidP="00E378DD">
            <w:pPr>
              <w:pStyle w:val="libFootnote0"/>
              <w:rPr>
                <w:rtl/>
                <w:lang w:bidi="fa-IR"/>
              </w:rPr>
            </w:pPr>
            <w:r>
              <w:rPr>
                <w:rtl/>
                <w:lang w:bidi="fa-IR"/>
              </w:rPr>
              <w:t xml:space="preserve">(9). في </w:t>
            </w:r>
            <w:r w:rsidRPr="003A7143">
              <w:rPr>
                <w:rtl/>
              </w:rPr>
              <w:t>الوسائل</w:t>
            </w:r>
            <w:r>
              <w:rPr>
                <w:rtl/>
                <w:lang w:bidi="fa-IR"/>
              </w:rPr>
              <w:t xml:space="preserve"> : + « بن عمّار ».</w:t>
            </w:r>
          </w:p>
        </w:tc>
      </w:tr>
    </w:tbl>
    <w:p w:rsidR="00744A1C" w:rsidRDefault="00E378DD" w:rsidP="00E378DD">
      <w:pPr>
        <w:pStyle w:val="libFootnote0"/>
        <w:rPr>
          <w:lang w:bidi="fa-IR"/>
        </w:rPr>
      </w:pPr>
      <w:r>
        <w:rPr>
          <w:rtl/>
          <w:lang w:bidi="fa-IR"/>
        </w:rPr>
        <w:t>(10).</w:t>
      </w:r>
      <w:r w:rsidR="00744A1C">
        <w:rPr>
          <w:rtl/>
          <w:lang w:bidi="fa-IR"/>
        </w:rPr>
        <w:t xml:space="preserve"> في « بف » </w:t>
      </w:r>
      <w:r w:rsidR="00744A1C" w:rsidRPr="003A7143">
        <w:rPr>
          <w:rtl/>
        </w:rPr>
        <w:t>والوسائل</w:t>
      </w:r>
      <w:r w:rsidR="00744A1C">
        <w:rPr>
          <w:rtl/>
          <w:lang w:bidi="fa-IR"/>
        </w:rPr>
        <w:t xml:space="preserve"> : - « هو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وَسَأَلْتُهُ : لِمَ سُمِّيَ الْحَطِيمَ؟</w:t>
      </w:r>
    </w:p>
    <w:p w:rsidR="00144FA6" w:rsidRDefault="00744A1C" w:rsidP="00744A1C">
      <w:pPr>
        <w:pStyle w:val="libNormal"/>
        <w:rPr>
          <w:rtl/>
          <w:lang w:bidi="fa-IR"/>
        </w:rPr>
      </w:pPr>
      <w:r>
        <w:rPr>
          <w:rtl/>
          <w:lang w:bidi="fa-IR"/>
        </w:rPr>
        <w:t xml:space="preserve">فَقَالَ : « لِأَنَّ النَّاسَ يَحْطِمُ </w:t>
      </w:r>
      <w:r w:rsidRPr="00D10E3C">
        <w:rPr>
          <w:rStyle w:val="libFootnotenumChar"/>
          <w:rtl/>
        </w:rPr>
        <w:t>(1)</w:t>
      </w:r>
      <w:r>
        <w:rPr>
          <w:rtl/>
          <w:lang w:bidi="fa-IR"/>
        </w:rPr>
        <w:t xml:space="preserve"> بَعْضُهُمْ بَعْضاً هُنَاكَ </w:t>
      </w:r>
      <w:r w:rsidRPr="00D10E3C">
        <w:rPr>
          <w:rStyle w:val="libFootnotenumChar"/>
          <w:rtl/>
        </w:rPr>
        <w:t>(2)</w:t>
      </w:r>
      <w:r>
        <w:rPr>
          <w:rtl/>
          <w:lang w:bidi="fa-IR"/>
        </w:rPr>
        <w:t xml:space="preserve"> ». </w:t>
      </w:r>
      <w:r w:rsidRPr="00D10E3C">
        <w:rPr>
          <w:rStyle w:val="libFootnotenumChar"/>
          <w:rtl/>
        </w:rPr>
        <w:t>(3)</w:t>
      </w:r>
    </w:p>
    <w:p w:rsidR="00744A1C" w:rsidRDefault="00744A1C" w:rsidP="003A7143">
      <w:pPr>
        <w:pStyle w:val="Heading2Center"/>
        <w:rPr>
          <w:lang w:bidi="fa-IR"/>
        </w:rPr>
      </w:pPr>
      <w:bookmarkStart w:id="47" w:name="_Toc49261345"/>
      <w:r>
        <w:rPr>
          <w:rtl/>
          <w:lang w:bidi="fa-IR"/>
        </w:rPr>
        <w:t>202 - بَابُ دُخُولِ الْكَعْبَةِ‌</w:t>
      </w:r>
      <w:bookmarkEnd w:id="47"/>
    </w:p>
    <w:p w:rsidR="00144FA6" w:rsidRDefault="00744A1C" w:rsidP="00744A1C">
      <w:pPr>
        <w:pStyle w:val="libNormal"/>
        <w:rPr>
          <w:rtl/>
          <w:lang w:bidi="fa-IR"/>
        </w:rPr>
      </w:pPr>
      <w:r>
        <w:rPr>
          <w:rtl/>
          <w:lang w:bidi="fa-IR"/>
        </w:rPr>
        <w:t xml:space="preserve">8000 / 1. عِدَّةٌ مِنْ أَصْحَابِنَا ، عَنْ أَحْمَدَ بْنِ أَبِي عَبْدِ اللهِ ، عَنْ عَمْرِو </w:t>
      </w:r>
      <w:r w:rsidRPr="00D10E3C">
        <w:rPr>
          <w:rStyle w:val="libFootnotenumChar"/>
          <w:rtl/>
        </w:rPr>
        <w:t>(4)</w:t>
      </w:r>
      <w:r>
        <w:rPr>
          <w:rtl/>
          <w:lang w:bidi="fa-IR"/>
        </w:rPr>
        <w:t xml:space="preserve"> بْنِ عُثْمَانَ ، عَنْ عَلِيِّ بْنِ خَالِدٍ ، عَمَّنْ حَدَّثَهُ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كَانَ </w:t>
      </w:r>
      <w:r w:rsidRPr="00D10E3C">
        <w:rPr>
          <w:rStyle w:val="libFootnotenumChar"/>
          <w:rtl/>
        </w:rPr>
        <w:t>(5)</w:t>
      </w:r>
      <w:r>
        <w:rPr>
          <w:rtl/>
          <w:lang w:bidi="fa-IR"/>
        </w:rPr>
        <w:t xml:space="preserve"> يَقُولُ : « الدَّاخِلُ الْكَعْبَةَ يَدْخُلُ وَاللهُ رَاضٍ عَنْهُ </w:t>
      </w:r>
      <w:r w:rsidRPr="00D10E3C">
        <w:rPr>
          <w:rStyle w:val="libFootnotenumChar"/>
          <w:rtl/>
        </w:rPr>
        <w:t>(6)</w:t>
      </w:r>
      <w:r>
        <w:rPr>
          <w:rtl/>
          <w:lang w:bidi="fa-IR"/>
        </w:rPr>
        <w:t xml:space="preserve"> ، وَيَخْرُجُ </w:t>
      </w:r>
      <w:r w:rsidRPr="00D10E3C">
        <w:rPr>
          <w:rStyle w:val="libFootnotenumChar"/>
          <w:rtl/>
        </w:rPr>
        <w:t>(7)</w:t>
      </w:r>
      <w:r>
        <w:rPr>
          <w:rtl/>
          <w:lang w:bidi="fa-IR"/>
        </w:rPr>
        <w:t xml:space="preserve"> عُطُلاً مِنَ الذُّنُوبِ </w:t>
      </w:r>
      <w:r w:rsidRPr="00D10E3C">
        <w:rPr>
          <w:rStyle w:val="libFootnotenumChar"/>
          <w:rtl/>
        </w:rPr>
        <w:t>(8)</w:t>
      </w:r>
      <w:r>
        <w:rPr>
          <w:rtl/>
          <w:lang w:bidi="fa-IR"/>
        </w:rPr>
        <w:t xml:space="preserve"> ». </w:t>
      </w:r>
      <w:r w:rsidRPr="00D10E3C">
        <w:rPr>
          <w:rStyle w:val="libFootnotenumChar"/>
          <w:rtl/>
        </w:rPr>
        <w:t>(9)</w:t>
      </w:r>
    </w:p>
    <w:p w:rsidR="00144FA6" w:rsidRDefault="00744A1C" w:rsidP="00744A1C">
      <w:pPr>
        <w:pStyle w:val="libNormal"/>
        <w:rPr>
          <w:rtl/>
          <w:lang w:bidi="fa-IR"/>
        </w:rPr>
      </w:pPr>
      <w:r>
        <w:rPr>
          <w:rtl/>
          <w:lang w:bidi="fa-IR"/>
        </w:rPr>
        <w:t>8001 / 2. مُحَمَّدُ بْنُ يَحْيى ، عَنْ مُحَمَّدِ بْنِ أَحْمَدَ ، عَنْ يَعْقُوبَ بْنِ يَزِيدَ ، عَنِ ابْنِ‌ فَضَّالٍ ، عَنِ ابْنِ الْقَدَّاحِ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3A7143" w:rsidTr="003A7143">
        <w:tc>
          <w:tcPr>
            <w:tcW w:w="4006" w:type="dxa"/>
          </w:tcPr>
          <w:p w:rsidR="003A7143" w:rsidRDefault="003A7143" w:rsidP="00D10E3C">
            <w:pPr>
              <w:pStyle w:val="libFootnote0"/>
              <w:rPr>
                <w:rtl/>
                <w:lang w:bidi="fa-IR"/>
              </w:rPr>
            </w:pPr>
            <w:r>
              <w:rPr>
                <w:rtl/>
                <w:lang w:bidi="fa-IR"/>
              </w:rPr>
              <w:t>(1). في « بث ، بخ » : « تحطم ».</w:t>
            </w:r>
          </w:p>
        </w:tc>
        <w:tc>
          <w:tcPr>
            <w:tcW w:w="4006" w:type="dxa"/>
          </w:tcPr>
          <w:p w:rsidR="003A7143" w:rsidRDefault="003A7143" w:rsidP="00D10E3C">
            <w:pPr>
              <w:pStyle w:val="libFootnote0"/>
              <w:rPr>
                <w:rtl/>
                <w:lang w:bidi="fa-IR"/>
              </w:rPr>
            </w:pPr>
            <w:r>
              <w:rPr>
                <w:rtl/>
                <w:lang w:bidi="fa-IR"/>
              </w:rPr>
              <w:t xml:space="preserve">(2). في </w:t>
            </w:r>
            <w:r w:rsidRPr="003A7143">
              <w:rPr>
                <w:rtl/>
              </w:rPr>
              <w:t>التهذيب</w:t>
            </w:r>
            <w:r>
              <w:rPr>
                <w:rtl/>
                <w:lang w:bidi="fa-IR"/>
              </w:rPr>
              <w:t xml:space="preserve"> : - « هناك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451 ، ح 1575 ، معلّقاً عن الكليني. </w:t>
      </w:r>
      <w:r w:rsidR="00744A1C" w:rsidRPr="003A7143">
        <w:rPr>
          <w:rStyle w:val="libFootnoteBoldChar"/>
          <w:rtl/>
        </w:rPr>
        <w:t>علل الشرائع</w:t>
      </w:r>
      <w:r w:rsidR="00744A1C">
        <w:rPr>
          <w:rtl/>
          <w:lang w:bidi="fa-IR"/>
        </w:rPr>
        <w:t xml:space="preserve"> ، ص 400 ، ح 1 ، بسنده عن الحسن بن عليّ بن فضّال ، عن ثعلبة بن ميمون ، عن معاوية بن عمّار.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222 ، إلى قوله : « بين الحجر الأسود وبين الباب ». </w:t>
      </w:r>
      <w:r w:rsidR="00744A1C" w:rsidRPr="00C24F9C">
        <w:rPr>
          <w:rStyle w:val="libFootnoteBoldChar"/>
          <w:rtl/>
        </w:rPr>
        <w:t>الفقيه</w:t>
      </w:r>
      <w:r w:rsidR="00744A1C">
        <w:rPr>
          <w:rtl/>
          <w:lang w:bidi="fa-IR"/>
        </w:rPr>
        <w:t xml:space="preserve"> ، ج 2 ، ص 192 ، ح 2115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من قوله : « لم سمّي الحطيم » وفي الأخيرين مع اختلاف يسير </w:t>
      </w:r>
      <w:r w:rsidR="003A7143">
        <w:rPr>
          <w:rFonts w:hint="cs"/>
          <w:rtl/>
          <w:lang w:bidi="fa-IR"/>
        </w:rPr>
        <w:t>.</w:t>
      </w:r>
      <w:r w:rsidR="00744A1C" w:rsidRPr="00C24F9C">
        <w:rPr>
          <w:rStyle w:val="libFootnoteBoldChar"/>
          <w:rtl/>
        </w:rPr>
        <w:t>الوافي</w:t>
      </w:r>
      <w:r w:rsidR="00744A1C">
        <w:rPr>
          <w:rtl/>
          <w:lang w:bidi="fa-IR"/>
        </w:rPr>
        <w:t xml:space="preserve"> ، ج 12 ، ص 196 ، ح 11737 ؛ </w:t>
      </w:r>
      <w:r w:rsidR="00744A1C" w:rsidRPr="00C24F9C">
        <w:rPr>
          <w:rStyle w:val="libFootnoteBoldChar"/>
          <w:rtl/>
        </w:rPr>
        <w:t>الوسائل</w:t>
      </w:r>
      <w:r w:rsidR="00744A1C">
        <w:rPr>
          <w:rtl/>
          <w:lang w:bidi="fa-IR"/>
        </w:rPr>
        <w:t xml:space="preserve"> ، ج 5 ، ص 274 ، ح 6531.</w:t>
      </w:r>
    </w:p>
    <w:p w:rsidR="00744A1C" w:rsidRDefault="00E378DD" w:rsidP="00E378DD">
      <w:pPr>
        <w:pStyle w:val="libFootnote0"/>
        <w:rPr>
          <w:lang w:bidi="fa-IR"/>
        </w:rPr>
      </w:pPr>
      <w:r>
        <w:rPr>
          <w:rtl/>
          <w:lang w:bidi="fa-IR"/>
        </w:rPr>
        <w:t>(4).</w:t>
      </w:r>
      <w:r w:rsidR="00744A1C">
        <w:rPr>
          <w:rtl/>
          <w:lang w:bidi="fa-IR"/>
        </w:rPr>
        <w:t xml:space="preserve"> في </w:t>
      </w:r>
      <w:r w:rsidR="00744A1C" w:rsidRPr="003A7143">
        <w:rPr>
          <w:rtl/>
        </w:rPr>
        <w:t>الوسائل</w:t>
      </w:r>
      <w:r w:rsidR="00744A1C">
        <w:rPr>
          <w:rtl/>
          <w:lang w:bidi="fa-IR"/>
        </w:rPr>
        <w:t xml:space="preserve"> : « عمر ». وهو سهو ؛ فإنّ ابن عثمان هذ ، هو عمرو بن عثمان الخزّاز الذي روى أحمد بن أبي</w:t>
      </w:r>
      <w:r w:rsidR="003A7143">
        <w:rPr>
          <w:rFonts w:hint="cs"/>
          <w:rtl/>
          <w:lang w:bidi="fa-IR"/>
        </w:rPr>
        <w:t xml:space="preserve"> </w:t>
      </w:r>
      <w:r w:rsidR="00744A1C">
        <w:rPr>
          <w:rtl/>
          <w:lang w:bidi="fa-IR"/>
        </w:rPr>
        <w:t xml:space="preserve">‌عبدالله كتابه. راجع : </w:t>
      </w:r>
      <w:r w:rsidR="00744A1C" w:rsidRPr="003A7143">
        <w:rPr>
          <w:rStyle w:val="libFootnoteBoldChar"/>
          <w:rtl/>
        </w:rPr>
        <w:t>الفهرست للطوسي</w:t>
      </w:r>
      <w:r w:rsidR="00744A1C">
        <w:rPr>
          <w:rtl/>
          <w:lang w:bidi="fa-IR"/>
        </w:rPr>
        <w:t xml:space="preserve"> ، ص 317 ، الرقم 490 ؛ </w:t>
      </w:r>
      <w:r w:rsidR="00744A1C" w:rsidRPr="003A7143">
        <w:rPr>
          <w:rStyle w:val="libFootnoteBoldChar"/>
          <w:rtl/>
        </w:rPr>
        <w:t>رجال النجاشي</w:t>
      </w:r>
      <w:r w:rsidR="00744A1C">
        <w:rPr>
          <w:rtl/>
          <w:lang w:bidi="fa-IR"/>
        </w:rPr>
        <w:t xml:space="preserve"> ، ص 287 ، الرقم 766.</w:t>
      </w:r>
    </w:p>
    <w:p w:rsidR="00744A1C" w:rsidRDefault="00E378DD" w:rsidP="00E378DD">
      <w:pPr>
        <w:pStyle w:val="libFootnote0"/>
        <w:rPr>
          <w:lang w:bidi="fa-IR"/>
        </w:rPr>
      </w:pPr>
      <w:r>
        <w:rPr>
          <w:rtl/>
          <w:lang w:bidi="fa-IR"/>
        </w:rPr>
        <w:t>(5).</w:t>
      </w:r>
      <w:r w:rsidR="00744A1C">
        <w:rPr>
          <w:rtl/>
          <w:lang w:bidi="fa-IR"/>
        </w:rPr>
        <w:t xml:space="preserve"> هكذا في « ى ، بث ، بح ، بخ ، بس ، بف ، جد ، جن » </w:t>
      </w:r>
      <w:r w:rsidR="00744A1C" w:rsidRPr="003A7143">
        <w:rPr>
          <w:rtl/>
        </w:rPr>
        <w:t>والوسائل والتهذيب. وفي المطبوع : + « أبي</w:t>
      </w:r>
      <w:r w:rsidR="00744A1C">
        <w:rPr>
          <w:rtl/>
          <w:lang w:bidi="fa-IR"/>
        </w:rPr>
        <w:t xml:space="preserve"> ».</w:t>
      </w:r>
    </w:p>
    <w:p w:rsidR="00744A1C" w:rsidRDefault="00744A1C" w:rsidP="003A7143">
      <w:pPr>
        <w:pStyle w:val="libFootnote0"/>
        <w:rPr>
          <w:lang w:bidi="fa-IR"/>
        </w:rPr>
      </w:pPr>
      <w:r>
        <w:rPr>
          <w:rtl/>
          <w:lang w:bidi="fa-IR"/>
        </w:rPr>
        <w:t xml:space="preserve">والخبر رواه أحمد بن أبي عبد الله البرقي في </w:t>
      </w:r>
      <w:r w:rsidRPr="003A7143">
        <w:rPr>
          <w:rStyle w:val="libFootnoteBoldChar"/>
          <w:rtl/>
        </w:rPr>
        <w:t>المحاسن</w:t>
      </w:r>
      <w:r>
        <w:rPr>
          <w:rtl/>
          <w:lang w:bidi="fa-IR"/>
        </w:rPr>
        <w:t xml:space="preserve"> ، ص 70 ، ح 138 بالسند عن أبي جعفر </w:t>
      </w:r>
      <w:r w:rsidR="0061079A" w:rsidRPr="0061079A">
        <w:rPr>
          <w:rStyle w:val="libFootnoteAlaemChar"/>
          <w:rtl/>
        </w:rPr>
        <w:t>عليه‌السلام</w:t>
      </w:r>
      <w:r w:rsidR="00D10E3C">
        <w:rPr>
          <w:rtl/>
          <w:lang w:bidi="fa-IR"/>
        </w:rPr>
        <w:t xml:space="preserve"> </w:t>
      </w:r>
      <w:r>
        <w:rPr>
          <w:rtl/>
          <w:lang w:bidi="fa-IR"/>
        </w:rPr>
        <w:t>، قال : كان يقول : الداخل الكعبة ، الخبر.</w:t>
      </w:r>
      <w:r w:rsidR="00B03098">
        <w:rPr>
          <w:rFonts w:hint="cs"/>
          <w:rtl/>
          <w:lang w:bidi="fa-IR"/>
        </w:rPr>
        <w:t xml:space="preserve">                  </w:t>
      </w:r>
      <w:r w:rsidR="003A7143">
        <w:rPr>
          <w:rFonts w:hint="cs"/>
          <w:rtl/>
          <w:lang w:bidi="fa-IR"/>
        </w:rPr>
        <w:t xml:space="preserve">            </w:t>
      </w:r>
      <w:r w:rsidR="00E378DD">
        <w:rPr>
          <w:rtl/>
          <w:lang w:bidi="fa-IR"/>
        </w:rPr>
        <w:t>(6).</w:t>
      </w:r>
      <w:r>
        <w:rPr>
          <w:rtl/>
          <w:lang w:bidi="fa-IR"/>
        </w:rPr>
        <w:t xml:space="preserve"> في </w:t>
      </w:r>
      <w:r w:rsidRPr="003A7143">
        <w:rPr>
          <w:rStyle w:val="libFootnoteBoldChar"/>
          <w:rtl/>
        </w:rPr>
        <w:t>المحاسن</w:t>
      </w:r>
      <w:r>
        <w:rPr>
          <w:rtl/>
          <w:lang w:bidi="fa-IR"/>
        </w:rPr>
        <w:t xml:space="preserve"> : « عنه راض ».</w:t>
      </w:r>
    </w:p>
    <w:p w:rsidR="00744A1C" w:rsidRDefault="00E378DD" w:rsidP="00E378DD">
      <w:pPr>
        <w:pStyle w:val="libFootnote0"/>
        <w:rPr>
          <w:lang w:bidi="fa-IR"/>
        </w:rPr>
      </w:pPr>
      <w:r>
        <w:rPr>
          <w:rtl/>
          <w:lang w:bidi="fa-IR"/>
        </w:rPr>
        <w:t>(7).</w:t>
      </w:r>
      <w:r w:rsidR="00744A1C">
        <w:rPr>
          <w:rtl/>
          <w:lang w:bidi="fa-IR"/>
        </w:rPr>
        <w:t xml:space="preserve"> في </w:t>
      </w:r>
      <w:r w:rsidR="00744A1C" w:rsidRPr="003A7143">
        <w:rPr>
          <w:rStyle w:val="libFootnoteBoldChar"/>
          <w:rtl/>
        </w:rPr>
        <w:t>المحاسن</w:t>
      </w:r>
      <w:r w:rsidR="00744A1C">
        <w:rPr>
          <w:rtl/>
          <w:lang w:bidi="fa-IR"/>
        </w:rPr>
        <w:t xml:space="preserve"> : + « منها ».</w:t>
      </w:r>
    </w:p>
    <w:p w:rsidR="00744A1C" w:rsidRDefault="00E378DD" w:rsidP="00E378DD">
      <w:pPr>
        <w:pStyle w:val="libFootnote0"/>
        <w:rPr>
          <w:lang w:bidi="fa-IR"/>
        </w:rPr>
      </w:pPr>
      <w:r>
        <w:rPr>
          <w:rtl/>
          <w:lang w:bidi="fa-IR"/>
        </w:rPr>
        <w:t>(8).</w:t>
      </w:r>
      <w:r w:rsidR="00744A1C">
        <w:rPr>
          <w:rtl/>
          <w:lang w:bidi="fa-IR"/>
        </w:rPr>
        <w:t xml:space="preserve"> « عُطُلاً من الذنوب » أي خالياً وفاقداً عنها. راجع : </w:t>
      </w:r>
      <w:r w:rsidR="00744A1C" w:rsidRPr="00877682">
        <w:rPr>
          <w:rStyle w:val="libFootnoteBoldChar"/>
          <w:rtl/>
        </w:rPr>
        <w:t>لسان العرب</w:t>
      </w:r>
      <w:r w:rsidR="00744A1C">
        <w:rPr>
          <w:rtl/>
          <w:lang w:bidi="fa-IR"/>
        </w:rPr>
        <w:t xml:space="preserve"> ، ج 11 ، ص 454 ( عطل ).</w:t>
      </w:r>
    </w:p>
    <w:p w:rsidR="00744A1C" w:rsidRDefault="00E378DD" w:rsidP="00E378DD">
      <w:pPr>
        <w:pStyle w:val="libFootnote0"/>
        <w:rPr>
          <w:lang w:bidi="fa-IR"/>
        </w:rPr>
      </w:pPr>
      <w:r>
        <w:rPr>
          <w:rtl/>
          <w:lang w:bidi="fa-IR"/>
        </w:rPr>
        <w:t>(9).</w:t>
      </w:r>
      <w:r w:rsidR="00744A1C">
        <w:rPr>
          <w:rtl/>
          <w:lang w:bidi="fa-IR"/>
        </w:rPr>
        <w:t xml:space="preserve"> </w:t>
      </w:r>
      <w:r w:rsidR="00744A1C" w:rsidRPr="003A7143">
        <w:rPr>
          <w:rStyle w:val="libFootnoteBoldChar"/>
          <w:rtl/>
        </w:rPr>
        <w:t>المحاسن</w:t>
      </w:r>
      <w:r w:rsidR="00744A1C">
        <w:rPr>
          <w:rtl/>
          <w:lang w:bidi="fa-IR"/>
        </w:rPr>
        <w:t xml:space="preserve"> ، ص 70 ، كتاب ثواب الأعمال ، ح 138. وفي </w:t>
      </w:r>
      <w:r w:rsidR="00744A1C" w:rsidRPr="00C24F9C">
        <w:rPr>
          <w:rStyle w:val="libFootnoteBoldChar"/>
          <w:rtl/>
        </w:rPr>
        <w:t>التهذيب</w:t>
      </w:r>
      <w:r w:rsidR="00744A1C">
        <w:rPr>
          <w:rtl/>
          <w:lang w:bidi="fa-IR"/>
        </w:rPr>
        <w:t xml:space="preserve"> ، ج 5 ، ص 275 ، ح 943 ، معلّقاً عن الكليني </w:t>
      </w:r>
      <w:r w:rsidR="003A7143">
        <w:rPr>
          <w:rFonts w:hint="cs"/>
          <w:rtl/>
          <w:lang w:bidi="fa-IR"/>
        </w:rPr>
        <w:t>.</w:t>
      </w:r>
      <w:r w:rsidR="00744A1C" w:rsidRPr="00C24F9C">
        <w:rPr>
          <w:rStyle w:val="libFootnoteBoldChar"/>
          <w:rtl/>
        </w:rPr>
        <w:t>الوافي</w:t>
      </w:r>
      <w:r w:rsidR="00744A1C">
        <w:rPr>
          <w:rtl/>
          <w:lang w:bidi="fa-IR"/>
        </w:rPr>
        <w:t xml:space="preserve"> ، ج 14 ، ص 1283 ، ح 14274 ؛ </w:t>
      </w:r>
      <w:r w:rsidR="00744A1C" w:rsidRPr="00C24F9C">
        <w:rPr>
          <w:rStyle w:val="libFootnoteBoldChar"/>
          <w:rtl/>
        </w:rPr>
        <w:t>الوسائل</w:t>
      </w:r>
      <w:r w:rsidR="00744A1C">
        <w:rPr>
          <w:rtl/>
          <w:lang w:bidi="fa-IR"/>
        </w:rPr>
        <w:t xml:space="preserve"> ، ج 13 ، ص 272 ، ح 17729.</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جَعْفَرٍ ، عَنْ أَبِيهِ </w:t>
      </w:r>
      <w:r w:rsidR="008859AA" w:rsidRPr="008859AA">
        <w:rPr>
          <w:rStyle w:val="libAlaemChar"/>
          <w:rtl/>
        </w:rPr>
        <w:t>عليهما‌السلام</w:t>
      </w:r>
      <w:r>
        <w:rPr>
          <w:rtl/>
          <w:lang w:bidi="fa-IR"/>
        </w:rPr>
        <w:t>، قَالَ : سَأَلْتُهُ عَنْ دُخُولِ الْكَعْبَةِ؟</w:t>
      </w:r>
    </w:p>
    <w:p w:rsidR="00144FA6" w:rsidRDefault="00744A1C" w:rsidP="00744A1C">
      <w:pPr>
        <w:pStyle w:val="libNormal"/>
        <w:rPr>
          <w:rtl/>
          <w:lang w:bidi="fa-IR"/>
        </w:rPr>
      </w:pPr>
      <w:r>
        <w:rPr>
          <w:rtl/>
          <w:lang w:bidi="fa-IR"/>
        </w:rPr>
        <w:t xml:space="preserve">قَالَ : « الدُّخُولُ فِيهَا دُخُولٌ فِي رَحْمَةِ اللهِ ، وَالْخُرُوجُ مِنْهَا خُرُوجٌ مِنَ الذُّنُوبِ ، مَعْصُومٌ فِيمَا بَقِيَ مِنْ عُمُرِهِ ، مَغْفُورٌ </w:t>
      </w:r>
      <w:r w:rsidRPr="00D10E3C">
        <w:rPr>
          <w:rStyle w:val="libFootnotenumChar"/>
          <w:rtl/>
        </w:rPr>
        <w:t>(1)</w:t>
      </w:r>
      <w:r>
        <w:rPr>
          <w:rtl/>
          <w:lang w:bidi="fa-IR"/>
        </w:rPr>
        <w:t xml:space="preserve"> لَهُ مَا سَلَفَ مِنْ ذُنُوبِهِ </w:t>
      </w:r>
      <w:r w:rsidRPr="00D10E3C">
        <w:rPr>
          <w:rStyle w:val="libFootnotenumChar"/>
          <w:rtl/>
        </w:rPr>
        <w:t>(2)</w:t>
      </w:r>
      <w:r>
        <w:rPr>
          <w:rtl/>
          <w:lang w:bidi="fa-IR"/>
        </w:rPr>
        <w:t xml:space="preserve"> ». </w:t>
      </w:r>
      <w:r w:rsidRPr="00D10E3C">
        <w:rPr>
          <w:rStyle w:val="libFootnotenumChar"/>
          <w:rtl/>
        </w:rPr>
        <w:t>(3)</w:t>
      </w:r>
    </w:p>
    <w:p w:rsidR="003A7143" w:rsidRDefault="00744A1C" w:rsidP="003A7143">
      <w:pPr>
        <w:pStyle w:val="libNormal"/>
        <w:rPr>
          <w:rtl/>
          <w:lang w:bidi="fa-IR"/>
        </w:rPr>
      </w:pPr>
      <w:r>
        <w:rPr>
          <w:rtl/>
          <w:lang w:bidi="fa-IR"/>
        </w:rPr>
        <w:t>8002 / 3. عَلِيُّ بْنُ إِبْرَاهِيمَ ، عَنْ أَبِيهِ ، عَنِ ابْنِ أَبِي عُمَيْرٍ ؛</w:t>
      </w:r>
    </w:p>
    <w:p w:rsidR="00144FA6" w:rsidRDefault="003A7143" w:rsidP="003A7143">
      <w:pPr>
        <w:pStyle w:val="libNormal"/>
        <w:rPr>
          <w:rtl/>
          <w:lang w:bidi="fa-IR"/>
        </w:rPr>
      </w:pPr>
      <w:r>
        <w:rPr>
          <w:rFonts w:hint="cs"/>
          <w:rtl/>
          <w:lang w:bidi="fa-IR"/>
        </w:rPr>
        <w:t xml:space="preserve">            </w:t>
      </w:r>
      <w:r w:rsidR="00744A1C">
        <w:rPr>
          <w:rtl/>
          <w:lang w:bidi="fa-IR"/>
        </w:rPr>
        <w:t xml:space="preserve">وَمُحَمَّدُ بْنُ إِسْمَاعِيلَ ، عَنِ الْفَضْلِ بْنِ شَاذَانَ </w:t>
      </w:r>
      <w:r w:rsidR="00744A1C" w:rsidRPr="00D10E3C">
        <w:rPr>
          <w:rStyle w:val="libFootnotenumChar"/>
          <w:rtl/>
        </w:rPr>
        <w:t>(4)</w:t>
      </w:r>
      <w:r w:rsidR="00744A1C">
        <w:rPr>
          <w:rtl/>
          <w:lang w:bidi="fa-IR"/>
        </w:rPr>
        <w:t xml:space="preserve"> ، عَنْ صَفْوَانَ وَابْنِ أَبِي عُمَيْرٍ </w:t>
      </w:r>
      <w:r w:rsidR="00744A1C" w:rsidRPr="00D10E3C">
        <w:rPr>
          <w:rStyle w:val="libFootnotenumChar"/>
          <w:rtl/>
        </w:rPr>
        <w:t>(5)</w:t>
      </w:r>
      <w:r w:rsidR="00744A1C">
        <w:rPr>
          <w:rtl/>
          <w:lang w:bidi="fa-IR"/>
        </w:rPr>
        <w:t xml:space="preserve">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أَرَدْتَ دُخُولَ الْكَعْبَةِ ، فَاغْتَسِلْ </w:t>
      </w:r>
      <w:r w:rsidRPr="00D10E3C">
        <w:rPr>
          <w:rStyle w:val="libFootnotenumChar"/>
          <w:rtl/>
        </w:rPr>
        <w:t>(6)</w:t>
      </w:r>
      <w:r>
        <w:rPr>
          <w:rtl/>
          <w:lang w:bidi="fa-IR"/>
        </w:rPr>
        <w:t xml:space="preserve"> قَبْلَ أَنْ تَدْخُلَهَا ، وَلَاتَدْخُلْهَا </w:t>
      </w:r>
      <w:r w:rsidRPr="00D10E3C">
        <w:rPr>
          <w:rStyle w:val="libFootnotenumChar"/>
          <w:rtl/>
        </w:rPr>
        <w:t>(7)</w:t>
      </w:r>
      <w:r>
        <w:rPr>
          <w:rtl/>
          <w:lang w:bidi="fa-IR"/>
        </w:rPr>
        <w:t xml:space="preserve"> بِحِذَاءٍ </w:t>
      </w:r>
      <w:r w:rsidRPr="00D10E3C">
        <w:rPr>
          <w:rStyle w:val="libFootnotenumChar"/>
          <w:rtl/>
        </w:rPr>
        <w:t>(8)</w:t>
      </w:r>
      <w:r>
        <w:rPr>
          <w:rtl/>
          <w:lang w:bidi="fa-IR"/>
        </w:rPr>
        <w:t xml:space="preserve"> ، وَتَقُولُ </w:t>
      </w:r>
      <w:r w:rsidRPr="00D10E3C">
        <w:rPr>
          <w:rStyle w:val="libFootnotenumChar"/>
          <w:rtl/>
        </w:rPr>
        <w:t>(9)</w:t>
      </w:r>
      <w:r>
        <w:rPr>
          <w:rtl/>
          <w:lang w:bidi="fa-IR"/>
        </w:rPr>
        <w:t xml:space="preserve"> إِذَا دَخَلْتَ : الل</w:t>
      </w:r>
      <w:r w:rsidR="003A7143">
        <w:rPr>
          <w:rFonts w:hint="cs"/>
          <w:rtl/>
          <w:lang w:bidi="fa-IR"/>
        </w:rPr>
        <w:t>ّ</w:t>
      </w:r>
      <w:r>
        <w:rPr>
          <w:rtl/>
          <w:lang w:bidi="fa-IR"/>
        </w:rPr>
        <w:t xml:space="preserve">هُمَّ إِنَّكَ قُلْتَ </w:t>
      </w:r>
      <w:r w:rsidRPr="00D10E3C">
        <w:rPr>
          <w:rStyle w:val="libFootnotenumChar"/>
          <w:rtl/>
        </w:rPr>
        <w:t>(10)</w:t>
      </w:r>
      <w:r>
        <w:rPr>
          <w:rtl/>
          <w:lang w:bidi="fa-IR"/>
        </w:rPr>
        <w:t xml:space="preserve"> : </w:t>
      </w:r>
      <w:r w:rsidRPr="00C34229">
        <w:rPr>
          <w:rStyle w:val="libAlaemChar"/>
          <w:rtl/>
        </w:rPr>
        <w:t>(</w:t>
      </w:r>
      <w:r w:rsidRPr="00C34229">
        <w:rPr>
          <w:rStyle w:val="libAieChar"/>
          <w:rtl/>
        </w:rPr>
        <w:t xml:space="preserve"> وَمَنْ دَخَلَهُ كانَ آمِناً</w:t>
      </w:r>
      <w:r w:rsidRPr="00C34229">
        <w:rPr>
          <w:rStyle w:val="libAlaemChar"/>
          <w:rtl/>
        </w:rPr>
        <w:t>)</w:t>
      </w:r>
      <w:r w:rsidRPr="00D10E3C">
        <w:rPr>
          <w:rStyle w:val="libFootnotenumChar"/>
          <w:rtl/>
        </w:rPr>
        <w:t>(11)</w:t>
      </w:r>
      <w:r>
        <w:rPr>
          <w:rtl/>
          <w:lang w:bidi="fa-IR"/>
        </w:rPr>
        <w:t xml:space="preserve"> فَآمِنِّي مِنْ عَذَابِ النَّارِ. ثُمَّ تُصَلِّي رَكْعَتَيْنِ </w:t>
      </w:r>
      <w:r w:rsidRPr="00D10E3C">
        <w:rPr>
          <w:rStyle w:val="libFootnotenumChar"/>
          <w:rtl/>
        </w:rPr>
        <w:t>(12)</w:t>
      </w:r>
      <w:r>
        <w:rPr>
          <w:rtl/>
          <w:lang w:bidi="fa-IR"/>
        </w:rPr>
        <w:t xml:space="preserve"> بَيْنَ الْأُسْطُوَانَتَيْنِ </w:t>
      </w:r>
      <w:r w:rsidRPr="00D10E3C">
        <w:rPr>
          <w:rStyle w:val="libFootnotenumChar"/>
          <w:rtl/>
        </w:rPr>
        <w:t>(13)</w:t>
      </w:r>
      <w:r>
        <w:rPr>
          <w:rtl/>
          <w:lang w:bidi="fa-IR"/>
        </w:rPr>
        <w:t xml:space="preserve"> عَلَى الرُّخَامَةِ </w:t>
      </w:r>
      <w:r w:rsidRPr="00D10E3C">
        <w:rPr>
          <w:rStyle w:val="libFootnotenumChar"/>
          <w:rtl/>
        </w:rPr>
        <w:t>(14)</w:t>
      </w:r>
      <w:r>
        <w:rPr>
          <w:rtl/>
          <w:lang w:bidi="fa-IR"/>
        </w:rPr>
        <w:t xml:space="preserve"> الْحَمْرَاءِ ، تَقْرَأُ فِي الرَّكْعَةِ الْأُولى </w:t>
      </w:r>
      <w:r w:rsidRPr="00D10E3C">
        <w:rPr>
          <w:rStyle w:val="libFootnotenumChar"/>
          <w:rtl/>
        </w:rPr>
        <w:t>(15)</w:t>
      </w:r>
      <w:r>
        <w:rPr>
          <w:rtl/>
          <w:lang w:bidi="fa-IR"/>
        </w:rPr>
        <w:t xml:space="preserve"> حم السَّجْدَةَ ، وَفِي الثَّانِيَةِ </w:t>
      </w:r>
      <w:r w:rsidRPr="00D10E3C">
        <w:rPr>
          <w:rStyle w:val="libFootnotenumChar"/>
          <w:rtl/>
        </w:rPr>
        <w:t>(16)</w:t>
      </w:r>
      <w:r>
        <w:rPr>
          <w:rtl/>
          <w:lang w:bidi="fa-IR"/>
        </w:rPr>
        <w:t xml:space="preserve"> عَد</w:t>
      </w:r>
      <w:r w:rsidR="00C34229">
        <w:rPr>
          <w:rtl/>
          <w:lang w:bidi="fa-IR"/>
        </w:rPr>
        <w:t>َدَ آيَاتِهَا مِنَ الْقُرْآنِ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C34229" w:rsidTr="00C34229">
        <w:tc>
          <w:tcPr>
            <w:tcW w:w="4006" w:type="dxa"/>
          </w:tcPr>
          <w:p w:rsidR="00C34229" w:rsidRDefault="00C34229" w:rsidP="00D10E3C">
            <w:pPr>
              <w:pStyle w:val="libFootnote0"/>
              <w:rPr>
                <w:rtl/>
                <w:lang w:bidi="fa-IR"/>
              </w:rPr>
            </w:pPr>
            <w:r>
              <w:rPr>
                <w:rtl/>
                <w:lang w:bidi="fa-IR"/>
              </w:rPr>
              <w:t>(1). في « بث ، بح ، جن » : « مغفوراً ».</w:t>
            </w:r>
          </w:p>
        </w:tc>
        <w:tc>
          <w:tcPr>
            <w:tcW w:w="4006" w:type="dxa"/>
          </w:tcPr>
          <w:p w:rsidR="00C34229" w:rsidRDefault="00C34229" w:rsidP="00D10E3C">
            <w:pPr>
              <w:pStyle w:val="libFootnote0"/>
              <w:rPr>
                <w:rtl/>
                <w:lang w:bidi="fa-IR"/>
              </w:rPr>
            </w:pPr>
            <w:r>
              <w:rPr>
                <w:rtl/>
                <w:lang w:bidi="fa-IR"/>
              </w:rPr>
              <w:t>(2). في « بخ » : « ذنبه ».</w:t>
            </w:r>
          </w:p>
        </w:tc>
      </w:tr>
    </w:tbl>
    <w:p w:rsidR="00744A1C" w:rsidRDefault="00E378DD" w:rsidP="00C34229">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275 ، ح 944 ، معلّقاً عن الكليني. </w:t>
      </w:r>
      <w:r w:rsidR="00744A1C" w:rsidRPr="00C24F9C">
        <w:rPr>
          <w:rStyle w:val="libFootnoteBoldChar"/>
          <w:rtl/>
        </w:rPr>
        <w:t>الفقيه</w:t>
      </w:r>
      <w:r w:rsidR="00744A1C">
        <w:rPr>
          <w:rtl/>
          <w:lang w:bidi="fa-IR"/>
        </w:rPr>
        <w:t xml:space="preserve"> ، ج 2 ، ص 206 ، ح 2149 ، مرسلاً من دون التصريح باسم المعصوم </w:t>
      </w:r>
      <w:r w:rsidR="0061079A" w:rsidRPr="0061079A">
        <w:rPr>
          <w:rStyle w:val="libFootnoteAlaemChar"/>
          <w:rtl/>
        </w:rPr>
        <w:t>عليه‌السلام</w:t>
      </w:r>
      <w:r w:rsidR="00D10E3C">
        <w:rPr>
          <w:rtl/>
          <w:lang w:bidi="fa-IR"/>
        </w:rPr>
        <w:t xml:space="preserve"> </w:t>
      </w:r>
      <w:r w:rsidR="00C34229">
        <w:rPr>
          <w:rFonts w:hint="cs"/>
          <w:rtl/>
          <w:lang w:bidi="fa-IR"/>
        </w:rPr>
        <w:t>.</w:t>
      </w:r>
      <w:r w:rsidR="00744A1C" w:rsidRPr="00C24F9C">
        <w:rPr>
          <w:rStyle w:val="libFootnoteBoldChar"/>
          <w:rtl/>
        </w:rPr>
        <w:t>الوافي</w:t>
      </w:r>
      <w:r w:rsidR="00744A1C">
        <w:rPr>
          <w:rtl/>
          <w:lang w:bidi="fa-IR"/>
        </w:rPr>
        <w:t xml:space="preserve"> ، ج 14 ، ص 1283 ، ح 14275 ؛ </w:t>
      </w:r>
      <w:r w:rsidR="00744A1C" w:rsidRPr="00C24F9C">
        <w:rPr>
          <w:rStyle w:val="libFootnoteBoldChar"/>
          <w:rtl/>
        </w:rPr>
        <w:t>الوسائل</w:t>
      </w:r>
      <w:r w:rsidR="00744A1C">
        <w:rPr>
          <w:rtl/>
          <w:lang w:bidi="fa-IR"/>
        </w:rPr>
        <w:t xml:space="preserve"> ، ج 13 ، ص 271 ، ح 17728 ؛ وج 14 ، ص 285 ، ح 19216.</w:t>
      </w:r>
      <w:r w:rsidR="00C34229">
        <w:rPr>
          <w:rFonts w:hint="cs"/>
          <w:rtl/>
          <w:lang w:bidi="fa-IR"/>
        </w:rPr>
        <w:t xml:space="preserve">        </w:t>
      </w:r>
      <w:r>
        <w:rPr>
          <w:rtl/>
          <w:lang w:bidi="fa-IR"/>
        </w:rPr>
        <w:t>(4).</w:t>
      </w:r>
      <w:r w:rsidR="00744A1C">
        <w:rPr>
          <w:rtl/>
          <w:lang w:bidi="fa-IR"/>
        </w:rPr>
        <w:t xml:space="preserve"> في « بث ، بخ ، بس » : - « بن شاذان ».</w:t>
      </w:r>
    </w:p>
    <w:p w:rsidR="00744A1C" w:rsidRDefault="00E378DD" w:rsidP="00E378DD">
      <w:pPr>
        <w:pStyle w:val="libFootnote0"/>
        <w:rPr>
          <w:lang w:bidi="fa-IR"/>
        </w:rPr>
      </w:pPr>
      <w:r>
        <w:rPr>
          <w:rtl/>
          <w:lang w:bidi="fa-IR"/>
        </w:rPr>
        <w:t>(5).</w:t>
      </w:r>
      <w:r w:rsidR="00744A1C">
        <w:rPr>
          <w:rtl/>
          <w:lang w:bidi="fa-IR"/>
        </w:rPr>
        <w:t xml:space="preserve"> في </w:t>
      </w:r>
      <w:r w:rsidR="00744A1C" w:rsidRPr="00C34229">
        <w:rPr>
          <w:rtl/>
        </w:rPr>
        <w:t>البحار</w:t>
      </w:r>
      <w:r w:rsidR="00744A1C">
        <w:rPr>
          <w:rtl/>
          <w:lang w:bidi="fa-IR"/>
        </w:rPr>
        <w:t xml:space="preserve"> : - « ومحمّد بن إسماعيل عن الفضل بن شاذان عن صفوان وابن أبي عمير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الفقيه</w:t>
      </w:r>
      <w:r w:rsidR="00744A1C">
        <w:rPr>
          <w:rtl/>
          <w:lang w:bidi="fa-IR"/>
        </w:rPr>
        <w:t xml:space="preserve"> : « وإن أحببت أن تدخل الكعبة </w:t>
      </w:r>
      <w:r w:rsidR="00C34229">
        <w:rPr>
          <w:rtl/>
          <w:lang w:bidi="fa-IR"/>
        </w:rPr>
        <w:t>فادخلها ، وإن شئت لم تدخلها إل</w:t>
      </w:r>
      <w:r w:rsidR="00C34229">
        <w:rPr>
          <w:rFonts w:hint="cs"/>
          <w:rtl/>
          <w:lang w:bidi="fa-IR"/>
        </w:rPr>
        <w:t>ّ</w:t>
      </w:r>
      <w:r w:rsidR="00C34229">
        <w:rPr>
          <w:rtl/>
          <w:lang w:bidi="fa-IR"/>
        </w:rPr>
        <w:t>ا</w:t>
      </w:r>
      <w:r w:rsidR="00744A1C">
        <w:rPr>
          <w:rtl/>
          <w:lang w:bidi="fa-IR"/>
        </w:rPr>
        <w:t xml:space="preserve"> أن تكون صرورة ، فلابدّ لك من</w:t>
      </w:r>
      <w:r w:rsidR="00C34229">
        <w:rPr>
          <w:rFonts w:hint="cs"/>
          <w:rtl/>
          <w:lang w:bidi="fa-IR"/>
        </w:rPr>
        <w:t xml:space="preserve"> </w:t>
      </w:r>
      <w:r w:rsidR="00744A1C">
        <w:rPr>
          <w:rtl/>
          <w:lang w:bidi="fa-IR"/>
        </w:rPr>
        <w:t>‌دخولها واغتسل » بدل « إذا أردت دخول الكعبة فاغتسل ».</w:t>
      </w:r>
    </w:p>
    <w:tbl>
      <w:tblPr>
        <w:tblStyle w:val="TableGrid"/>
        <w:bidiVisual/>
        <w:tblW w:w="0" w:type="auto"/>
        <w:tblLook w:val="04A0" w:firstRow="1" w:lastRow="0" w:firstColumn="1" w:lastColumn="0" w:noHBand="0" w:noVBand="1"/>
      </w:tblPr>
      <w:tblGrid>
        <w:gridCol w:w="4006"/>
        <w:gridCol w:w="4006"/>
      </w:tblGrid>
      <w:tr w:rsidR="00F5648C" w:rsidTr="00F5648C">
        <w:tc>
          <w:tcPr>
            <w:tcW w:w="4006" w:type="dxa"/>
          </w:tcPr>
          <w:p w:rsidR="00F5648C" w:rsidRDefault="00F5648C" w:rsidP="00E378DD">
            <w:pPr>
              <w:pStyle w:val="libFootnote0"/>
              <w:rPr>
                <w:rtl/>
                <w:lang w:bidi="fa-IR"/>
              </w:rPr>
            </w:pPr>
            <w:r>
              <w:rPr>
                <w:rtl/>
                <w:lang w:bidi="fa-IR"/>
              </w:rPr>
              <w:t>(7). في « جن » : « لا تدخل ».</w:t>
            </w:r>
          </w:p>
        </w:tc>
        <w:tc>
          <w:tcPr>
            <w:tcW w:w="4006" w:type="dxa"/>
          </w:tcPr>
          <w:p w:rsidR="00F5648C" w:rsidRDefault="00F5648C" w:rsidP="003821EE">
            <w:pPr>
              <w:pStyle w:val="libFootnote0"/>
              <w:rPr>
                <w:rtl/>
                <w:lang w:bidi="fa-IR"/>
              </w:rPr>
            </w:pPr>
            <w:r>
              <w:rPr>
                <w:rtl/>
                <w:lang w:bidi="fa-IR"/>
              </w:rPr>
              <w:t xml:space="preserve">(8). الحِذاءُ:النَّعْلُ. </w:t>
            </w:r>
            <w:r w:rsidRPr="00E978C3">
              <w:rPr>
                <w:rStyle w:val="libFootnoteBoldChar"/>
                <w:rtl/>
              </w:rPr>
              <w:t>الصحاح</w:t>
            </w:r>
            <w:r>
              <w:rPr>
                <w:rtl/>
                <w:lang w:bidi="fa-IR"/>
              </w:rPr>
              <w:t>،ج6،ص2310(حذو).</w:t>
            </w:r>
          </w:p>
        </w:tc>
      </w:tr>
    </w:tbl>
    <w:p w:rsidR="00744A1C" w:rsidRDefault="00E378DD" w:rsidP="00E378DD">
      <w:pPr>
        <w:pStyle w:val="libFootnote0"/>
        <w:rPr>
          <w:lang w:bidi="fa-IR"/>
        </w:rPr>
      </w:pPr>
      <w:r>
        <w:rPr>
          <w:rtl/>
          <w:lang w:bidi="fa-IR"/>
        </w:rPr>
        <w:t>(9).</w:t>
      </w:r>
      <w:r w:rsidR="00744A1C">
        <w:rPr>
          <w:rtl/>
          <w:lang w:bidi="fa-IR"/>
        </w:rPr>
        <w:t xml:space="preserve"> في « بخ » : « تقول » بدون الواو. وفي « بف » : « ويقول ».</w:t>
      </w:r>
    </w:p>
    <w:tbl>
      <w:tblPr>
        <w:tblStyle w:val="TableGrid"/>
        <w:bidiVisual/>
        <w:tblW w:w="0" w:type="auto"/>
        <w:tblLook w:val="04A0" w:firstRow="1" w:lastRow="0" w:firstColumn="1" w:lastColumn="0" w:noHBand="0" w:noVBand="1"/>
      </w:tblPr>
      <w:tblGrid>
        <w:gridCol w:w="4006"/>
        <w:gridCol w:w="4006"/>
      </w:tblGrid>
      <w:tr w:rsidR="0048733E" w:rsidTr="0048733E">
        <w:tc>
          <w:tcPr>
            <w:tcW w:w="4006" w:type="dxa"/>
          </w:tcPr>
          <w:p w:rsidR="0048733E" w:rsidRDefault="0048733E" w:rsidP="0048733E">
            <w:pPr>
              <w:pStyle w:val="libFootnote0"/>
              <w:rPr>
                <w:rtl/>
                <w:lang w:bidi="fa-IR"/>
              </w:rPr>
            </w:pPr>
            <w:r>
              <w:rPr>
                <w:rtl/>
                <w:lang w:bidi="fa-IR"/>
              </w:rPr>
              <w:t xml:space="preserve">(10). في </w:t>
            </w:r>
            <w:r>
              <w:rPr>
                <w:rFonts w:hint="cs"/>
                <w:rtl/>
                <w:lang w:bidi="fa-IR"/>
              </w:rPr>
              <w:t xml:space="preserve">الوافي عن بعض النسخ : + </w:t>
            </w:r>
            <w:r>
              <w:rPr>
                <w:rtl/>
                <w:lang w:bidi="fa-IR"/>
              </w:rPr>
              <w:t>«</w:t>
            </w:r>
            <w:r>
              <w:rPr>
                <w:rFonts w:hint="cs"/>
                <w:rtl/>
                <w:lang w:bidi="fa-IR"/>
              </w:rPr>
              <w:t>في كتابك</w:t>
            </w:r>
            <w:r>
              <w:rPr>
                <w:rtl/>
                <w:lang w:bidi="fa-IR"/>
              </w:rPr>
              <w:t>»</w:t>
            </w:r>
            <w:r>
              <w:rPr>
                <w:rFonts w:hint="cs"/>
                <w:rtl/>
                <w:lang w:bidi="fa-IR"/>
              </w:rPr>
              <w:t>.</w:t>
            </w:r>
          </w:p>
        </w:tc>
        <w:tc>
          <w:tcPr>
            <w:tcW w:w="4006" w:type="dxa"/>
          </w:tcPr>
          <w:p w:rsidR="0048733E" w:rsidRDefault="0048733E" w:rsidP="0048733E">
            <w:pPr>
              <w:pStyle w:val="libFootnote0"/>
              <w:rPr>
                <w:rtl/>
                <w:lang w:bidi="fa-IR"/>
              </w:rPr>
            </w:pPr>
            <w:r>
              <w:rPr>
                <w:rtl/>
                <w:lang w:bidi="fa-IR"/>
              </w:rPr>
              <w:t>(11). آل عمران (3). : 97.</w:t>
            </w:r>
          </w:p>
        </w:tc>
      </w:tr>
    </w:tbl>
    <w:p w:rsidR="00744A1C" w:rsidRDefault="00E378DD" w:rsidP="00E378DD">
      <w:pPr>
        <w:pStyle w:val="libFootnote0"/>
        <w:rPr>
          <w:lang w:bidi="fa-IR"/>
        </w:rPr>
      </w:pPr>
      <w:r>
        <w:rPr>
          <w:rtl/>
          <w:lang w:bidi="fa-IR"/>
        </w:rPr>
        <w:t>(12).</w:t>
      </w:r>
      <w:r w:rsidR="00744A1C">
        <w:rPr>
          <w:rtl/>
          <w:lang w:bidi="fa-IR"/>
        </w:rPr>
        <w:t xml:space="preserve"> في « بح » : « الركعتين ». وفي « بث » </w:t>
      </w:r>
      <w:r w:rsidR="00744A1C" w:rsidRPr="0061079A">
        <w:rPr>
          <w:rStyle w:val="libFootnoteBoldChar"/>
          <w:rtl/>
        </w:rPr>
        <w:t>والتهذيب</w:t>
      </w:r>
      <w:r w:rsidR="00744A1C">
        <w:rPr>
          <w:rtl/>
          <w:lang w:bidi="fa-IR"/>
        </w:rPr>
        <w:t xml:space="preserve"> : - « ركعتين ».</w:t>
      </w:r>
    </w:p>
    <w:p w:rsidR="00744A1C" w:rsidRDefault="00E378DD" w:rsidP="00E378DD">
      <w:pPr>
        <w:pStyle w:val="libFootnote0"/>
        <w:rPr>
          <w:lang w:bidi="fa-IR"/>
        </w:rPr>
      </w:pPr>
      <w:r>
        <w:rPr>
          <w:rtl/>
          <w:lang w:bidi="fa-IR"/>
        </w:rPr>
        <w:t>(13).</w:t>
      </w:r>
      <w:r w:rsidR="00744A1C">
        <w:rPr>
          <w:rtl/>
          <w:lang w:bidi="fa-IR"/>
        </w:rPr>
        <w:t xml:space="preserve"> في « ى » : « ا</w:t>
      </w:r>
      <w:r w:rsidR="00FB6C90">
        <w:rPr>
          <w:rFonts w:hint="cs"/>
          <w:rtl/>
          <w:lang w:bidi="fa-IR"/>
        </w:rPr>
        <w:t>ُ</w:t>
      </w:r>
      <w:r w:rsidR="00744A1C">
        <w:rPr>
          <w:rtl/>
          <w:lang w:bidi="fa-IR"/>
        </w:rPr>
        <w:t>سطوانتين ».</w:t>
      </w:r>
    </w:p>
    <w:p w:rsidR="00744A1C" w:rsidRDefault="00E378DD" w:rsidP="00043E9A">
      <w:pPr>
        <w:pStyle w:val="libFootnote0"/>
        <w:rPr>
          <w:lang w:bidi="fa-IR"/>
        </w:rPr>
      </w:pPr>
      <w:r>
        <w:rPr>
          <w:rtl/>
          <w:lang w:bidi="fa-IR"/>
        </w:rPr>
        <w:t>(14).</w:t>
      </w:r>
      <w:r w:rsidR="00744A1C">
        <w:rPr>
          <w:rtl/>
          <w:lang w:bidi="fa-IR"/>
        </w:rPr>
        <w:t xml:space="preserve"> في </w:t>
      </w:r>
      <w:r w:rsidR="00744A1C" w:rsidRPr="00C24F9C">
        <w:rPr>
          <w:rStyle w:val="libFootnoteBoldChar"/>
          <w:rtl/>
        </w:rPr>
        <w:t>الفقيه</w:t>
      </w:r>
      <w:r w:rsidR="00744A1C">
        <w:rPr>
          <w:rtl/>
          <w:lang w:bidi="fa-IR"/>
        </w:rPr>
        <w:t xml:space="preserve"> : « البلاطة ». والرُّخامُ والرُّخامَةُ : حَجَرٌ رِخْوٌ سَهل. راجع : </w:t>
      </w:r>
      <w:r w:rsidR="00744A1C" w:rsidRPr="00877682">
        <w:rPr>
          <w:rStyle w:val="libFootnoteBoldChar"/>
          <w:rtl/>
        </w:rPr>
        <w:t>لسان العرب</w:t>
      </w:r>
      <w:r w:rsidR="00744A1C">
        <w:rPr>
          <w:rtl/>
          <w:lang w:bidi="fa-IR"/>
        </w:rPr>
        <w:t xml:space="preserve"> ، ج 12 ، ص 234 ؛ </w:t>
      </w:r>
      <w:r w:rsidR="00744A1C" w:rsidRPr="008A57EB">
        <w:rPr>
          <w:rStyle w:val="libFootnoteBoldChar"/>
          <w:rtl/>
        </w:rPr>
        <w:t>القاموس المحيط</w:t>
      </w:r>
      <w:r w:rsidR="00744A1C">
        <w:rPr>
          <w:rtl/>
          <w:lang w:bidi="fa-IR"/>
        </w:rPr>
        <w:t xml:space="preserve"> ، ج 2 ، ص 1465 ( رخم ).</w:t>
      </w:r>
      <w:r w:rsidR="00043E9A">
        <w:rPr>
          <w:rFonts w:hint="cs"/>
          <w:rtl/>
          <w:lang w:bidi="fa-IR"/>
        </w:rPr>
        <w:t xml:space="preserve">          </w:t>
      </w:r>
      <w:r>
        <w:rPr>
          <w:rtl/>
          <w:lang w:bidi="fa-IR"/>
        </w:rPr>
        <w:t>(15).</w:t>
      </w:r>
      <w:r w:rsidR="00744A1C">
        <w:rPr>
          <w:rtl/>
          <w:lang w:bidi="fa-IR"/>
        </w:rPr>
        <w:t xml:space="preserve"> في </w:t>
      </w:r>
      <w:r w:rsidR="00744A1C" w:rsidRPr="00C24F9C">
        <w:rPr>
          <w:rStyle w:val="libFootnoteBoldChar"/>
          <w:rtl/>
        </w:rPr>
        <w:t>الفقيه</w:t>
      </w:r>
      <w:r w:rsidR="00744A1C">
        <w:rPr>
          <w:rtl/>
          <w:lang w:bidi="fa-IR"/>
        </w:rPr>
        <w:t xml:space="preserve"> : + « الحمد و».</w:t>
      </w:r>
    </w:p>
    <w:p w:rsidR="00744A1C" w:rsidRDefault="00744A1C" w:rsidP="00D10E3C">
      <w:pPr>
        <w:pStyle w:val="libFootnote0"/>
        <w:rPr>
          <w:lang w:bidi="fa-IR"/>
        </w:rPr>
      </w:pPr>
      <w:r>
        <w:rPr>
          <w:rtl/>
          <w:lang w:bidi="fa-IR"/>
        </w:rPr>
        <w:t xml:space="preserve">(16) في </w:t>
      </w:r>
      <w:r w:rsidRPr="00C24F9C">
        <w:rPr>
          <w:rStyle w:val="libFootnoteBoldChar"/>
          <w:rtl/>
        </w:rPr>
        <w:t>الفقيه</w:t>
      </w:r>
      <w:r>
        <w:rPr>
          <w:rtl/>
          <w:lang w:bidi="fa-IR"/>
        </w:rPr>
        <w:t xml:space="preserve"> : + « الحمد و».</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وَتُصَلِّي فِي زَوَايَاهُ ، وَتَقُولُ : اللهُمَّ مَنْ تَهَيَّأَ ، أَوْ تَعَبَّأَ </w:t>
      </w:r>
      <w:r w:rsidRPr="00D10E3C">
        <w:rPr>
          <w:rStyle w:val="libFootnotenumChar"/>
          <w:rtl/>
        </w:rPr>
        <w:t>(1)</w:t>
      </w:r>
      <w:r>
        <w:rPr>
          <w:rtl/>
          <w:lang w:bidi="fa-IR"/>
        </w:rPr>
        <w:t xml:space="preserve"> ، أَوْ أَعَدَّ ، أَوِ اسْتَعَدَّ لِوِفَادَةٍ </w:t>
      </w:r>
      <w:r w:rsidRPr="00D10E3C">
        <w:rPr>
          <w:rStyle w:val="libFootnotenumChar"/>
          <w:rtl/>
        </w:rPr>
        <w:t>(2)</w:t>
      </w:r>
      <w:r>
        <w:rPr>
          <w:rtl/>
          <w:lang w:bidi="fa-IR"/>
        </w:rPr>
        <w:t xml:space="preserve"> إِلى مَخْلُوقٍ رَجَاءَ رِفْدِهِ </w:t>
      </w:r>
      <w:r w:rsidRPr="00D10E3C">
        <w:rPr>
          <w:rStyle w:val="libFootnotenumChar"/>
          <w:rtl/>
        </w:rPr>
        <w:t>(3)</w:t>
      </w:r>
      <w:r>
        <w:rPr>
          <w:rtl/>
          <w:lang w:bidi="fa-IR"/>
        </w:rPr>
        <w:t xml:space="preserve"> وَجَائِزَتِهِ </w:t>
      </w:r>
      <w:r w:rsidRPr="00D10E3C">
        <w:rPr>
          <w:rStyle w:val="libFootnotenumChar"/>
          <w:rtl/>
        </w:rPr>
        <w:t>(4)</w:t>
      </w:r>
      <w:r>
        <w:rPr>
          <w:rtl/>
          <w:lang w:bidi="fa-IR"/>
        </w:rPr>
        <w:t xml:space="preserve"> وَنَوَافِلِهِ وَفَوَاضِلِهِ ، فَإِلَيْكَ يَا سَيِّدِي تَهْيِئَتِي </w:t>
      </w:r>
      <w:r w:rsidRPr="00D10E3C">
        <w:rPr>
          <w:rStyle w:val="libFootnotenumChar"/>
          <w:rtl/>
        </w:rPr>
        <w:t>(5)</w:t>
      </w:r>
      <w:r>
        <w:rPr>
          <w:rtl/>
          <w:lang w:bidi="fa-IR"/>
        </w:rPr>
        <w:t xml:space="preserve"> وَتَعْبِئَتِي وَإِعْدَادِي وَاسْتِعْدَادِي رَجَاءَ رِفْدِكَ وَنَوَافِلِكَ وَجَائِزَتِكَ </w:t>
      </w:r>
      <w:r w:rsidRPr="00D10E3C">
        <w:rPr>
          <w:rStyle w:val="libFootnotenumChar"/>
          <w:rtl/>
        </w:rPr>
        <w:t>(6)</w:t>
      </w:r>
      <w:r>
        <w:rPr>
          <w:rtl/>
          <w:lang w:bidi="fa-IR"/>
        </w:rPr>
        <w:t xml:space="preserve"> ، فَلَا تُخَيِّبِ الْيَوْمَ رَجَائِي ، يَا مَنْ لَا يَخِيبُ عَلَيْهِ سَائِلٌ ، وَلَايَنْقُصُهُ نَائِلٌ </w:t>
      </w:r>
      <w:r w:rsidRPr="00D10E3C">
        <w:rPr>
          <w:rStyle w:val="libFootnotenumChar"/>
          <w:rtl/>
        </w:rPr>
        <w:t>(7)</w:t>
      </w:r>
      <w:r>
        <w:rPr>
          <w:rtl/>
          <w:lang w:bidi="fa-IR"/>
        </w:rPr>
        <w:t xml:space="preserve"> ؛ فَإِنِّي لَمْ آتِكَ الْيَوْمَ بِعَمَلٍ صَالِحٍ قَدَّمْتُهُ ، وَلَا شَفَاعَةِ مَخْلُوقٍ رَجَوْتُهُ ، وَلكِنِّي أَتَيْتُكَ مُقِرّاً بِالظُّلْمِ </w:t>
      </w:r>
      <w:r w:rsidRPr="00D10E3C">
        <w:rPr>
          <w:rStyle w:val="libFootnotenumChar"/>
          <w:rtl/>
        </w:rPr>
        <w:t>(8)</w:t>
      </w:r>
      <w:r>
        <w:rPr>
          <w:rtl/>
          <w:lang w:bidi="fa-IR"/>
        </w:rPr>
        <w:t xml:space="preserve"> وَالْإِسَاءَةِ عَلى نَفْسِي ، فَإِنَّهُ لَاحُجَّةَ لِي وَلَاعُذْرَ ، فَأَسْأَلُكَ يَا مَنْ هُوَ كَذلِكَ </w:t>
      </w:r>
      <w:r w:rsidRPr="00D10E3C">
        <w:rPr>
          <w:rStyle w:val="libFootnotenumChar"/>
          <w:rtl/>
        </w:rPr>
        <w:t>(9)</w:t>
      </w:r>
      <w:r>
        <w:rPr>
          <w:rtl/>
          <w:lang w:bidi="fa-IR"/>
        </w:rPr>
        <w:t xml:space="preserve"> أَنْ تُعْطِيَنِي مَسْأَلَتِي ، وَتُقِيلَنِي </w:t>
      </w:r>
      <w:r w:rsidRPr="00D10E3C">
        <w:rPr>
          <w:rStyle w:val="libFootnotenumChar"/>
          <w:rtl/>
        </w:rPr>
        <w:t>(10)</w:t>
      </w:r>
      <w:r>
        <w:rPr>
          <w:rtl/>
          <w:lang w:bidi="fa-IR"/>
        </w:rPr>
        <w:t xml:space="preserve"> عَثْرَتِي </w:t>
      </w:r>
      <w:r w:rsidRPr="00D10E3C">
        <w:rPr>
          <w:rStyle w:val="libFootnotenumChar"/>
          <w:rtl/>
        </w:rPr>
        <w:t>(11)</w:t>
      </w:r>
      <w:r>
        <w:rPr>
          <w:rtl/>
          <w:lang w:bidi="fa-IR"/>
        </w:rPr>
        <w:t xml:space="preserve"> ، وَتَقْلِبَنِي </w:t>
      </w:r>
      <w:r w:rsidRPr="00D10E3C">
        <w:rPr>
          <w:rStyle w:val="libFootnotenumChar"/>
          <w:rtl/>
        </w:rPr>
        <w:t>(12)</w:t>
      </w:r>
      <w:r>
        <w:rPr>
          <w:rtl/>
          <w:lang w:bidi="fa-IR"/>
        </w:rPr>
        <w:t xml:space="preserve"> بِرَغْبَتِي </w:t>
      </w:r>
      <w:r w:rsidRPr="00D10E3C">
        <w:rPr>
          <w:rStyle w:val="libFootnotenumChar"/>
          <w:rtl/>
        </w:rPr>
        <w:t>(13)</w:t>
      </w:r>
      <w:r>
        <w:rPr>
          <w:rtl/>
          <w:lang w:bidi="fa-IR"/>
        </w:rPr>
        <w:t xml:space="preserve"> ، وَلَاتَرُدَّنِي مَجْبُوهاً </w:t>
      </w:r>
      <w:r w:rsidRPr="00D10E3C">
        <w:rPr>
          <w:rStyle w:val="libFootnotenumChar"/>
          <w:rtl/>
        </w:rPr>
        <w:t>(14)</w:t>
      </w:r>
      <w:r>
        <w:rPr>
          <w:rtl/>
          <w:lang w:bidi="fa-IR"/>
        </w:rPr>
        <w:t xml:space="preserve"> مَمْنُوعاً وَلَاخَائِباً ، يَا عَظِيمُ يَا عَظِيمُ يَا عَظِيمُ ، أَرْجُوكَ لِلْعَظِيمِ ، أَسْأَلُكَ يَا عَظِيمُ أَنْ تَغْفِرَ لِيَ الذَّنْبَ الْعَظِيمَ </w:t>
      </w:r>
      <w:r w:rsidRPr="00D10E3C">
        <w:rPr>
          <w:rStyle w:val="libFootnotenumChar"/>
          <w:rtl/>
        </w:rPr>
        <w:t>(15)</w:t>
      </w:r>
      <w:r w:rsidR="002C7F70">
        <w:rPr>
          <w:rtl/>
          <w:lang w:bidi="fa-IR"/>
        </w:rPr>
        <w:t xml:space="preserve"> لَا إِلهَ إِل</w:t>
      </w:r>
      <w:r w:rsidR="002C7F70">
        <w:rPr>
          <w:rFonts w:hint="cs"/>
          <w:rtl/>
          <w:lang w:bidi="fa-IR"/>
        </w:rPr>
        <w:t>َّ</w:t>
      </w:r>
      <w:r w:rsidR="002C7F70">
        <w:rPr>
          <w:rtl/>
          <w:lang w:bidi="fa-IR"/>
        </w:rPr>
        <w:t>ا</w:t>
      </w:r>
      <w:r>
        <w:rPr>
          <w:rtl/>
          <w:lang w:bidi="fa-IR"/>
        </w:rPr>
        <w:t xml:space="preserve"> أَنْتَ </w:t>
      </w:r>
      <w:r w:rsidRPr="00D10E3C">
        <w:rPr>
          <w:rStyle w:val="libFootnotenumChar"/>
          <w:rtl/>
        </w:rPr>
        <w:t>(16)</w:t>
      </w:r>
      <w:r>
        <w:rPr>
          <w:rtl/>
          <w:lang w:bidi="fa-IR"/>
        </w:rPr>
        <w:t xml:space="preserve"> ».</w:t>
      </w:r>
    </w:p>
    <w:p w:rsidR="00744A1C" w:rsidRDefault="00744A1C" w:rsidP="00744A1C">
      <w:pPr>
        <w:pStyle w:val="libNormal"/>
        <w:rPr>
          <w:lang w:bidi="fa-IR"/>
        </w:rPr>
      </w:pPr>
      <w:r>
        <w:rPr>
          <w:rtl/>
          <w:lang w:bidi="fa-IR"/>
        </w:rPr>
        <w:t xml:space="preserve">قَالَ : « وَلَاتَدْخُلْهَا بِحِذَاءٍ ، وَلَاتَبْزُقْ فِيهَا ، وَلَاتَمْتَخِطْ </w:t>
      </w:r>
      <w:r w:rsidRPr="00D10E3C">
        <w:rPr>
          <w:rStyle w:val="libFootnotenumChar"/>
          <w:rtl/>
        </w:rPr>
        <w:t>(17)</w:t>
      </w:r>
      <w:r>
        <w:rPr>
          <w:rtl/>
          <w:lang w:bidi="fa-IR"/>
        </w:rPr>
        <w:t xml:space="preserve"> فِيهَا ، وَلَمْ يَدْخُلْهَا رَسُولُ‌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تعبّأ » أي تهيّأ وتجهّز. </w:t>
      </w:r>
      <w:r w:rsidR="00744A1C" w:rsidRPr="00877682">
        <w:rPr>
          <w:rStyle w:val="libFootnoteBoldChar"/>
          <w:rtl/>
        </w:rPr>
        <w:t>لسان العرب</w:t>
      </w:r>
      <w:r w:rsidR="00744A1C">
        <w:rPr>
          <w:rtl/>
          <w:lang w:bidi="fa-IR"/>
        </w:rPr>
        <w:t xml:space="preserve"> ، ج 1 ، ص 118 ( عبأ ).</w:t>
      </w:r>
    </w:p>
    <w:p w:rsidR="00744A1C" w:rsidRDefault="00E378DD" w:rsidP="00E378DD">
      <w:pPr>
        <w:pStyle w:val="libFootnote0"/>
        <w:rPr>
          <w:lang w:bidi="fa-IR"/>
        </w:rPr>
      </w:pPr>
      <w:r>
        <w:rPr>
          <w:rtl/>
          <w:lang w:bidi="fa-IR"/>
        </w:rPr>
        <w:t>(2).</w:t>
      </w:r>
      <w:r w:rsidR="00744A1C">
        <w:rPr>
          <w:rtl/>
          <w:lang w:bidi="fa-IR"/>
        </w:rPr>
        <w:t xml:space="preserve"> الوِفادةُ : القُدوم أو النزول على ملك أو أمير أو نحوهما. راجع : </w:t>
      </w:r>
      <w:r w:rsidR="00744A1C" w:rsidRPr="00E978C3">
        <w:rPr>
          <w:rStyle w:val="libFootnoteBoldChar"/>
          <w:rtl/>
        </w:rPr>
        <w:t>الصحاح</w:t>
      </w:r>
      <w:r w:rsidR="00744A1C">
        <w:rPr>
          <w:rtl/>
          <w:lang w:bidi="fa-IR"/>
        </w:rPr>
        <w:t xml:space="preserve"> ، ج 2 ، ص 553 ؛ </w:t>
      </w:r>
      <w:r w:rsidR="00744A1C" w:rsidRPr="00877682">
        <w:rPr>
          <w:rStyle w:val="libFootnoteBoldChar"/>
          <w:rtl/>
        </w:rPr>
        <w:t>النهاية</w:t>
      </w:r>
      <w:r w:rsidR="00744A1C">
        <w:rPr>
          <w:rtl/>
          <w:lang w:bidi="fa-IR"/>
        </w:rPr>
        <w:t xml:space="preserve"> ، ج 5 ، ص 209 ( وفد ).</w:t>
      </w:r>
    </w:p>
    <w:p w:rsidR="00744A1C" w:rsidRDefault="00E378DD" w:rsidP="00E378DD">
      <w:pPr>
        <w:pStyle w:val="libFootnote0"/>
        <w:rPr>
          <w:lang w:bidi="fa-IR"/>
        </w:rPr>
      </w:pPr>
      <w:r>
        <w:rPr>
          <w:rtl/>
          <w:lang w:bidi="fa-IR"/>
        </w:rPr>
        <w:t>(3).</w:t>
      </w:r>
      <w:r w:rsidR="00744A1C">
        <w:rPr>
          <w:rtl/>
          <w:lang w:bidi="fa-IR"/>
        </w:rPr>
        <w:t xml:space="preserve"> الرِّفْدُ - بالكسر - : العَطاء والصلة. </w:t>
      </w:r>
      <w:r w:rsidR="00744A1C" w:rsidRPr="00E978C3">
        <w:rPr>
          <w:rStyle w:val="libFootnoteBoldChar"/>
          <w:rtl/>
        </w:rPr>
        <w:t>الصحاح</w:t>
      </w:r>
      <w:r w:rsidR="00744A1C">
        <w:rPr>
          <w:rtl/>
          <w:lang w:bidi="fa-IR"/>
        </w:rPr>
        <w:t xml:space="preserve"> ، ج 2 ، ص 475 ( رفد ).</w:t>
      </w:r>
    </w:p>
    <w:tbl>
      <w:tblPr>
        <w:tblStyle w:val="TableGrid"/>
        <w:bidiVisual/>
        <w:tblW w:w="0" w:type="auto"/>
        <w:tblLook w:val="04A0" w:firstRow="1" w:lastRow="0" w:firstColumn="1" w:lastColumn="0" w:noHBand="0" w:noVBand="1"/>
      </w:tblPr>
      <w:tblGrid>
        <w:gridCol w:w="4006"/>
        <w:gridCol w:w="4006"/>
      </w:tblGrid>
      <w:tr w:rsidR="003B1646" w:rsidTr="003B1646">
        <w:tc>
          <w:tcPr>
            <w:tcW w:w="4006" w:type="dxa"/>
          </w:tcPr>
          <w:p w:rsidR="003B1646" w:rsidRDefault="003B1646" w:rsidP="00E378DD">
            <w:pPr>
              <w:pStyle w:val="libFootnote0"/>
              <w:rPr>
                <w:rtl/>
                <w:lang w:bidi="fa-IR"/>
              </w:rPr>
            </w:pPr>
            <w:r>
              <w:rPr>
                <w:rtl/>
                <w:lang w:bidi="fa-IR"/>
              </w:rPr>
              <w:t>(4). في « ى » : « وجوازه ».</w:t>
            </w:r>
          </w:p>
        </w:tc>
        <w:tc>
          <w:tcPr>
            <w:tcW w:w="4006" w:type="dxa"/>
          </w:tcPr>
          <w:p w:rsidR="003B1646" w:rsidRDefault="003B1646" w:rsidP="00E378DD">
            <w:pPr>
              <w:pStyle w:val="libFootnote0"/>
              <w:rPr>
                <w:rtl/>
                <w:lang w:bidi="fa-IR"/>
              </w:rPr>
            </w:pPr>
            <w:r>
              <w:rPr>
                <w:rtl/>
                <w:lang w:bidi="fa-IR"/>
              </w:rPr>
              <w:t>(5). في « ى » : « تهيّئي ».</w:t>
            </w:r>
          </w:p>
        </w:tc>
      </w:tr>
      <w:tr w:rsidR="003B1646" w:rsidTr="003B1646">
        <w:tc>
          <w:tcPr>
            <w:tcW w:w="4006" w:type="dxa"/>
          </w:tcPr>
          <w:p w:rsidR="003B1646" w:rsidRDefault="003B1646" w:rsidP="00E378DD">
            <w:pPr>
              <w:pStyle w:val="libFootnote0"/>
              <w:rPr>
                <w:rtl/>
                <w:lang w:bidi="fa-IR"/>
              </w:rPr>
            </w:pPr>
            <w:r>
              <w:rPr>
                <w:rtl/>
                <w:lang w:bidi="fa-IR"/>
              </w:rPr>
              <w:t>(6). في حاشية « ى » : « جوائزك ».</w:t>
            </w:r>
          </w:p>
        </w:tc>
        <w:tc>
          <w:tcPr>
            <w:tcW w:w="4006" w:type="dxa"/>
          </w:tcPr>
          <w:p w:rsidR="003B1646" w:rsidRDefault="00F36176" w:rsidP="00E378DD">
            <w:pPr>
              <w:pStyle w:val="libFootnote0"/>
              <w:rPr>
                <w:rtl/>
                <w:lang w:bidi="fa-IR"/>
              </w:rPr>
            </w:pPr>
            <w:r>
              <w:rPr>
                <w:rtl/>
                <w:lang w:bidi="fa-IR"/>
              </w:rPr>
              <w:t xml:space="preserve">(7). في </w:t>
            </w:r>
            <w:r w:rsidRPr="00C24F9C">
              <w:rPr>
                <w:rStyle w:val="libFootnoteBoldChar"/>
                <w:rtl/>
              </w:rPr>
              <w:t>الفقيه</w:t>
            </w:r>
            <w:r>
              <w:rPr>
                <w:rtl/>
                <w:lang w:bidi="fa-IR"/>
              </w:rPr>
              <w:t xml:space="preserve"> : + « ولا يبلغ مدحته قائل ».</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 بالذنوب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 أن تصلّي على محمّد وآل محمّد و».</w:t>
      </w:r>
    </w:p>
    <w:p w:rsidR="00744A1C" w:rsidRDefault="00E378DD" w:rsidP="00E378DD">
      <w:pPr>
        <w:pStyle w:val="libFootnote0"/>
        <w:rPr>
          <w:lang w:bidi="fa-IR"/>
        </w:rPr>
      </w:pPr>
      <w:r>
        <w:rPr>
          <w:rtl/>
          <w:lang w:bidi="fa-IR"/>
        </w:rPr>
        <w:t>(10).</w:t>
      </w:r>
      <w:r w:rsidR="00744A1C">
        <w:rPr>
          <w:rtl/>
          <w:lang w:bidi="fa-IR"/>
        </w:rPr>
        <w:t xml:space="preserve"> الإقالةُ : الصَّفْحُ. راجع : </w:t>
      </w:r>
      <w:r w:rsidR="00744A1C" w:rsidRPr="00877682">
        <w:rPr>
          <w:rStyle w:val="libFootnoteBoldChar"/>
          <w:rtl/>
        </w:rPr>
        <w:t>النهاية</w:t>
      </w:r>
      <w:r w:rsidR="00744A1C">
        <w:rPr>
          <w:rtl/>
          <w:lang w:bidi="fa-IR"/>
        </w:rPr>
        <w:t xml:space="preserve"> ، ج 4 ، ص 134 ( قيل ).</w:t>
      </w:r>
    </w:p>
    <w:p w:rsidR="00744A1C" w:rsidRDefault="00E378DD" w:rsidP="00E378DD">
      <w:pPr>
        <w:pStyle w:val="libFootnote0"/>
        <w:rPr>
          <w:lang w:bidi="fa-IR"/>
        </w:rPr>
      </w:pPr>
      <w:r>
        <w:rPr>
          <w:rtl/>
          <w:lang w:bidi="fa-IR"/>
        </w:rPr>
        <w:t>(11).</w:t>
      </w:r>
      <w:r w:rsidR="00744A1C">
        <w:rPr>
          <w:rtl/>
          <w:lang w:bidi="fa-IR"/>
        </w:rPr>
        <w:t xml:space="preserve"> العَثْرَةُ : الزَلّةُ والخَطيئة. </w:t>
      </w:r>
      <w:r w:rsidR="00744A1C" w:rsidRPr="00877682">
        <w:rPr>
          <w:rStyle w:val="libFootnoteBoldChar"/>
          <w:rtl/>
        </w:rPr>
        <w:t>لسان العرب</w:t>
      </w:r>
      <w:r w:rsidR="00744A1C">
        <w:rPr>
          <w:rtl/>
          <w:lang w:bidi="fa-IR"/>
        </w:rPr>
        <w:t xml:space="preserve"> ، ج 4 ، ص 539 ؛ </w:t>
      </w:r>
      <w:r w:rsidR="00744A1C" w:rsidRPr="00E978C3">
        <w:rPr>
          <w:rStyle w:val="libFootnoteBoldChar"/>
          <w:rtl/>
        </w:rPr>
        <w:t>المصباح المنير</w:t>
      </w:r>
      <w:r w:rsidR="00744A1C">
        <w:rPr>
          <w:rtl/>
          <w:lang w:bidi="fa-IR"/>
        </w:rPr>
        <w:t xml:space="preserve"> ، ص 392 ( عثر ).</w:t>
      </w:r>
    </w:p>
    <w:p w:rsidR="00744A1C" w:rsidRDefault="00E378DD" w:rsidP="001E7013">
      <w:pPr>
        <w:pStyle w:val="libFootnote0"/>
        <w:rPr>
          <w:lang w:bidi="fa-IR"/>
        </w:rPr>
      </w:pPr>
      <w:r>
        <w:rPr>
          <w:rtl/>
          <w:lang w:bidi="fa-IR"/>
        </w:rPr>
        <w:t>(12).</w:t>
      </w:r>
      <w:r w:rsidR="00744A1C">
        <w:rPr>
          <w:rtl/>
          <w:lang w:bidi="fa-IR"/>
        </w:rPr>
        <w:t xml:space="preserve"> هكذا في « ى ، بح ، جد ، جن » و</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أي أرجعني مع رغبتي. وفي سائر النسخ‌والمطبوع : « وتقبلني ».</w:t>
      </w:r>
      <w:r w:rsidR="007957CA">
        <w:rPr>
          <w:rFonts w:hint="cs"/>
          <w:rtl/>
          <w:lang w:bidi="fa-IR"/>
        </w:rPr>
        <w:t xml:space="preserve">                                 </w:t>
      </w:r>
      <w:r>
        <w:rPr>
          <w:rtl/>
          <w:lang w:bidi="fa-IR"/>
        </w:rPr>
        <w:t>(13).</w:t>
      </w:r>
      <w:r w:rsidR="00744A1C">
        <w:rPr>
          <w:rtl/>
          <w:lang w:bidi="fa-IR"/>
        </w:rPr>
        <w:t xml:space="preserve"> في </w:t>
      </w:r>
      <w:r w:rsidR="00744A1C" w:rsidRPr="00C24F9C">
        <w:rPr>
          <w:rStyle w:val="libFootnoteBoldChar"/>
          <w:rtl/>
        </w:rPr>
        <w:t>الوافي</w:t>
      </w:r>
      <w:r w:rsidR="00744A1C">
        <w:rPr>
          <w:rtl/>
          <w:lang w:bidi="fa-IR"/>
        </w:rPr>
        <w:t>:«أي تصرفني فيما أرغب إليه».</w:t>
      </w:r>
    </w:p>
    <w:p w:rsidR="00744A1C" w:rsidRDefault="00E378DD" w:rsidP="00E378DD">
      <w:pPr>
        <w:pStyle w:val="libFootnote0"/>
        <w:rPr>
          <w:lang w:bidi="fa-IR"/>
        </w:rPr>
      </w:pPr>
      <w:r>
        <w:rPr>
          <w:rtl/>
          <w:lang w:bidi="fa-IR"/>
        </w:rPr>
        <w:t>(14).</w:t>
      </w:r>
      <w:r w:rsidR="00744A1C">
        <w:rPr>
          <w:rtl/>
          <w:lang w:bidi="fa-IR"/>
        </w:rPr>
        <w:t xml:space="preserve"> في </w:t>
      </w:r>
      <w:r w:rsidR="00744A1C" w:rsidRPr="00C24F9C">
        <w:rPr>
          <w:rStyle w:val="libFootnoteBoldChar"/>
          <w:rtl/>
        </w:rPr>
        <w:t>الوافي</w:t>
      </w:r>
      <w:r w:rsidR="00F02EA6">
        <w:rPr>
          <w:rtl/>
          <w:lang w:bidi="fa-IR"/>
        </w:rPr>
        <w:t xml:space="preserve"> : « الم</w:t>
      </w:r>
      <w:r w:rsidR="00F02EA6">
        <w:rPr>
          <w:rFonts w:hint="cs"/>
          <w:rtl/>
          <w:lang w:bidi="fa-IR"/>
        </w:rPr>
        <w:t>ـَ</w:t>
      </w:r>
      <w:r w:rsidR="00744A1C">
        <w:rPr>
          <w:rtl/>
          <w:lang w:bidi="fa-IR"/>
        </w:rPr>
        <w:t xml:space="preserve">جبوهُ : المضروب على جبهته المردود عن حاجته ». وانظر : </w:t>
      </w:r>
      <w:r w:rsidR="00744A1C" w:rsidRPr="00877682">
        <w:rPr>
          <w:rStyle w:val="libFootnoteBoldChar"/>
          <w:rtl/>
        </w:rPr>
        <w:t>لسان العرب</w:t>
      </w:r>
      <w:r w:rsidR="00744A1C">
        <w:rPr>
          <w:rtl/>
          <w:lang w:bidi="fa-IR"/>
        </w:rPr>
        <w:t xml:space="preserve"> ، ج 13 ، ص 483 ( جبه ).</w:t>
      </w:r>
    </w:p>
    <w:p w:rsidR="00744A1C" w:rsidRDefault="00E378DD" w:rsidP="00E378DD">
      <w:pPr>
        <w:pStyle w:val="libFootnote0"/>
        <w:rPr>
          <w:lang w:bidi="fa-IR"/>
        </w:rPr>
      </w:pPr>
      <w:r>
        <w:rPr>
          <w:rtl/>
          <w:lang w:bidi="fa-IR"/>
        </w:rPr>
        <w:t>(15).</w:t>
      </w:r>
      <w:r w:rsidR="00744A1C">
        <w:rPr>
          <w:rtl/>
          <w:lang w:bidi="fa-IR"/>
        </w:rPr>
        <w:t xml:space="preserve"> في </w:t>
      </w:r>
      <w:r w:rsidR="00744A1C" w:rsidRPr="00C24F9C">
        <w:rPr>
          <w:rStyle w:val="libFootnoteBoldChar"/>
          <w:rtl/>
        </w:rPr>
        <w:t>الوافي</w:t>
      </w:r>
      <w:r w:rsidR="00744A1C">
        <w:rPr>
          <w:rtl/>
          <w:lang w:bidi="fa-IR"/>
        </w:rPr>
        <w:t xml:space="preserve"> عن بعض النسخ و</w:t>
      </w:r>
      <w:r w:rsidR="00744A1C" w:rsidRPr="00C24F9C">
        <w:rPr>
          <w:rStyle w:val="libFootnoteBoldChar"/>
          <w:rtl/>
        </w:rPr>
        <w:t>الفقيه</w:t>
      </w:r>
      <w:r w:rsidR="00744A1C">
        <w:rPr>
          <w:rtl/>
          <w:lang w:bidi="fa-IR"/>
        </w:rPr>
        <w:t xml:space="preserve"> : + «</w:t>
      </w:r>
      <w:r w:rsidR="008B67CE">
        <w:rPr>
          <w:rtl/>
          <w:lang w:bidi="fa-IR"/>
        </w:rPr>
        <w:t xml:space="preserve"> فإنّه لا يغفر الذنب العظيم إل</w:t>
      </w:r>
      <w:r w:rsidR="008B67CE">
        <w:rPr>
          <w:rFonts w:hint="cs"/>
          <w:rtl/>
          <w:lang w:bidi="fa-IR"/>
        </w:rPr>
        <w:t>ّ</w:t>
      </w:r>
      <w:r w:rsidR="008B67CE">
        <w:rPr>
          <w:rtl/>
          <w:lang w:bidi="fa-IR"/>
        </w:rPr>
        <w:t>ا</w:t>
      </w:r>
      <w:r w:rsidR="00744A1C">
        <w:rPr>
          <w:rtl/>
          <w:lang w:bidi="fa-IR"/>
        </w:rPr>
        <w:t xml:space="preserve"> العظيم ».</w:t>
      </w:r>
    </w:p>
    <w:p w:rsidR="00744A1C" w:rsidRDefault="00744A1C" w:rsidP="00D10E3C">
      <w:pPr>
        <w:pStyle w:val="libFootnote0"/>
        <w:rPr>
          <w:lang w:bidi="fa-IR"/>
        </w:rPr>
      </w:pPr>
      <w:r>
        <w:rPr>
          <w:rtl/>
          <w:lang w:bidi="fa-IR"/>
        </w:rPr>
        <w:t xml:space="preserve">(16) في </w:t>
      </w:r>
      <w:r w:rsidRPr="00C24F9C">
        <w:rPr>
          <w:rStyle w:val="libFootnoteBoldChar"/>
          <w:rtl/>
        </w:rPr>
        <w:t>الفقيه</w:t>
      </w:r>
      <w:r w:rsidR="002D418D">
        <w:rPr>
          <w:rtl/>
          <w:lang w:bidi="fa-IR"/>
        </w:rPr>
        <w:t xml:space="preserve"> : - « لا إله إل</w:t>
      </w:r>
      <w:r w:rsidR="002D418D">
        <w:rPr>
          <w:rFonts w:hint="cs"/>
          <w:rtl/>
          <w:lang w:bidi="fa-IR"/>
        </w:rPr>
        <w:t>ّ</w:t>
      </w:r>
      <w:r w:rsidR="002D418D">
        <w:rPr>
          <w:rtl/>
          <w:lang w:bidi="fa-IR"/>
        </w:rPr>
        <w:t>ا</w:t>
      </w:r>
      <w:r>
        <w:rPr>
          <w:rtl/>
          <w:lang w:bidi="fa-IR"/>
        </w:rPr>
        <w:t xml:space="preserve"> أنت ».</w:t>
      </w:r>
    </w:p>
    <w:p w:rsidR="00744A1C" w:rsidRDefault="00B03098" w:rsidP="00885353">
      <w:pPr>
        <w:pStyle w:val="libFootnote0"/>
        <w:rPr>
          <w:lang w:bidi="fa-IR"/>
        </w:rPr>
      </w:pPr>
      <w:r>
        <w:rPr>
          <w:rtl/>
          <w:lang w:bidi="fa-IR"/>
        </w:rPr>
        <w:t>(17) في «ى ، بخ</w:t>
      </w:r>
      <w:r w:rsidR="00744A1C">
        <w:rPr>
          <w:rtl/>
          <w:lang w:bidi="fa-IR"/>
        </w:rPr>
        <w:t>» : « ولا تمخط »</w:t>
      </w:r>
      <w:r>
        <w:rPr>
          <w:rtl/>
          <w:lang w:bidi="fa-IR"/>
        </w:rPr>
        <w:t>. والامتخاط والتمخُّط:</w:t>
      </w:r>
      <w:r w:rsidR="00885353">
        <w:rPr>
          <w:rtl/>
          <w:lang w:bidi="fa-IR"/>
        </w:rPr>
        <w:t>نزع الم</w:t>
      </w:r>
      <w:r w:rsidR="00885353">
        <w:rPr>
          <w:rFonts w:hint="cs"/>
          <w:rtl/>
          <w:lang w:bidi="fa-IR"/>
        </w:rPr>
        <w:t>ـُخ</w:t>
      </w:r>
      <w:r w:rsidR="00744A1C">
        <w:rPr>
          <w:rtl/>
          <w:lang w:bidi="fa-IR"/>
        </w:rPr>
        <w:t>اط ورَمْي</w:t>
      </w:r>
      <w:r>
        <w:rPr>
          <w:rtl/>
          <w:lang w:bidi="fa-IR"/>
        </w:rPr>
        <w:t>ُه ، وهو ما يسيل من الأنف. راجع</w:t>
      </w:r>
      <w:r w:rsidR="00744A1C">
        <w:rPr>
          <w:rtl/>
          <w:lang w:bidi="fa-IR"/>
        </w:rPr>
        <w:t xml:space="preserve">: </w:t>
      </w:r>
      <w:r w:rsidR="00885353">
        <w:rPr>
          <w:rFonts w:hint="cs"/>
          <w:rtl/>
          <w:lang w:bidi="fa-IR"/>
        </w:rPr>
        <w:t>=</w:t>
      </w:r>
    </w:p>
    <w:p w:rsidR="00150943" w:rsidRDefault="00150943" w:rsidP="00D10E3C">
      <w:pPr>
        <w:pStyle w:val="libNormal"/>
        <w:rPr>
          <w:rtl/>
          <w:lang w:bidi="fa-IR"/>
        </w:rPr>
      </w:pPr>
      <w:r>
        <w:rPr>
          <w:rtl/>
          <w:lang w:bidi="fa-IR"/>
        </w:rPr>
        <w:br w:type="page"/>
      </w:r>
    </w:p>
    <w:p w:rsidR="00744A1C" w:rsidRDefault="00744A1C" w:rsidP="00B03098">
      <w:pPr>
        <w:pStyle w:val="libNormal0"/>
        <w:rPr>
          <w:lang w:bidi="fa-IR"/>
        </w:rPr>
      </w:pPr>
      <w:r>
        <w:rPr>
          <w:rtl/>
          <w:lang w:bidi="fa-IR"/>
        </w:rPr>
        <w:lastRenderedPageBreak/>
        <w:t xml:space="preserve">اللهِ </w:t>
      </w:r>
      <w:r w:rsidR="001B2985" w:rsidRPr="001B2985">
        <w:rPr>
          <w:rStyle w:val="libFootnoteAlaemChar"/>
          <w:rFonts w:eastAsiaTheme="minorHAnsi"/>
          <w:rtl/>
        </w:rPr>
        <w:t>صلى‌الله‌عليه‌وآله</w:t>
      </w:r>
      <w:r w:rsidR="001B2985" w:rsidRPr="0041234E">
        <w:rPr>
          <w:rFonts w:eastAsiaTheme="minorHAnsi"/>
          <w:rtl/>
        </w:rPr>
        <w:t xml:space="preserve"> </w:t>
      </w:r>
      <w:r w:rsidR="009B0FA3">
        <w:rPr>
          <w:rtl/>
          <w:lang w:bidi="fa-IR"/>
        </w:rPr>
        <w:t>إِل</w:t>
      </w:r>
      <w:r w:rsidR="009B0FA3">
        <w:rPr>
          <w:rFonts w:hint="cs"/>
          <w:rtl/>
          <w:lang w:bidi="fa-IR"/>
        </w:rPr>
        <w:t>َّ</w:t>
      </w:r>
      <w:r w:rsidR="009B0FA3">
        <w:rPr>
          <w:rtl/>
          <w:lang w:bidi="fa-IR"/>
        </w:rPr>
        <w:t>ا</w:t>
      </w:r>
      <w:r>
        <w:rPr>
          <w:rtl/>
          <w:lang w:bidi="fa-IR"/>
        </w:rPr>
        <w:t xml:space="preserve"> يَوْمَ فَتْحِ مَكَّةَ </w:t>
      </w:r>
      <w:r w:rsidRPr="00D10E3C">
        <w:rPr>
          <w:rStyle w:val="libFootnotenumChar"/>
          <w:rtl/>
        </w:rPr>
        <w:t>(1)</w:t>
      </w:r>
      <w:r>
        <w:rPr>
          <w:rtl/>
          <w:lang w:bidi="fa-IR"/>
        </w:rPr>
        <w:t xml:space="preserve"> ». </w:t>
      </w:r>
      <w:r w:rsidRPr="00D10E3C">
        <w:rPr>
          <w:rStyle w:val="libFootnotenumChar"/>
          <w:rtl/>
        </w:rPr>
        <w:t>(2)</w:t>
      </w:r>
    </w:p>
    <w:p w:rsidR="00744A1C" w:rsidRDefault="00744A1C" w:rsidP="00744A1C">
      <w:pPr>
        <w:pStyle w:val="libNormal"/>
        <w:rPr>
          <w:lang w:bidi="fa-IR"/>
        </w:rPr>
      </w:pPr>
      <w:r>
        <w:rPr>
          <w:rtl/>
          <w:lang w:bidi="fa-IR"/>
        </w:rPr>
        <w:t xml:space="preserve">8003 / 4. مُحَمَّدُ بْنُ يَحْيى ، عَنْ أَحْمَدَ بْنِ مُحَمَّدٍ ، عَنْ عَلِيِّ بْنِ الْحَكَمِ ، عَنِ الْحُسَيْنِ </w:t>
      </w:r>
      <w:r w:rsidR="004D546C">
        <w:rPr>
          <w:rtl/>
          <w:lang w:bidi="fa-IR"/>
        </w:rPr>
        <w:t>بْنِ أَبِي الْعَلَاءِ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وَذَكَرْتُ الصَّلَاةَ فِي الْكَعْبَةِ؟</w:t>
      </w:r>
    </w:p>
    <w:p w:rsidR="00744A1C" w:rsidRDefault="00744A1C" w:rsidP="00A234C9">
      <w:pPr>
        <w:pStyle w:val="libNormal"/>
        <w:rPr>
          <w:lang w:bidi="fa-IR"/>
        </w:rPr>
      </w:pPr>
      <w:r>
        <w:rPr>
          <w:rtl/>
          <w:lang w:bidi="fa-IR"/>
        </w:rPr>
        <w:t xml:space="preserve">قَالَ : « بَيْنَ </w:t>
      </w:r>
      <w:r w:rsidRPr="00D10E3C">
        <w:rPr>
          <w:rStyle w:val="libFootnotenumChar"/>
          <w:rtl/>
        </w:rPr>
        <w:t>(3)</w:t>
      </w:r>
      <w:r>
        <w:rPr>
          <w:rtl/>
          <w:lang w:bidi="fa-IR"/>
        </w:rPr>
        <w:t xml:space="preserve"> الْعَمُودَيْنِ تَقُومُ </w:t>
      </w:r>
      <w:r w:rsidRPr="00D10E3C">
        <w:rPr>
          <w:rStyle w:val="libFootnotenumChar"/>
          <w:rtl/>
        </w:rPr>
        <w:t>(4)</w:t>
      </w:r>
      <w:r>
        <w:rPr>
          <w:rtl/>
          <w:lang w:bidi="fa-IR"/>
        </w:rPr>
        <w:t xml:space="preserve"> عَلَى الْبَلَاطَةِ </w:t>
      </w:r>
      <w:r w:rsidRPr="00D10E3C">
        <w:rPr>
          <w:rStyle w:val="libFootnotenumChar"/>
          <w:rtl/>
        </w:rPr>
        <w:t>(5)</w:t>
      </w:r>
      <w:r>
        <w:rPr>
          <w:rtl/>
          <w:lang w:bidi="fa-IR"/>
        </w:rPr>
        <w:t xml:space="preserve"> الْحَمْرَاءِ ؛ فَإِنَّ رَسُولَ اللهِ </w:t>
      </w:r>
      <w:r w:rsidR="00A234C9" w:rsidRPr="00A234C9">
        <w:rPr>
          <w:rStyle w:val="libAlaemChar"/>
          <w:rFonts w:eastAsiaTheme="minorHAnsi"/>
          <w:rtl/>
        </w:rPr>
        <w:t>صلى‌الله‌عليه‌وآله</w:t>
      </w:r>
      <w:r w:rsidR="00A234C9" w:rsidRPr="0041234E">
        <w:rPr>
          <w:rFonts w:eastAsiaTheme="minorHAnsi"/>
          <w:rtl/>
        </w:rPr>
        <w:t xml:space="preserve"> </w:t>
      </w:r>
      <w:r>
        <w:rPr>
          <w:rtl/>
          <w:lang w:bidi="fa-IR"/>
        </w:rPr>
        <w:t xml:space="preserve">صَلّى عَلَيْهَا ، ثُمَّ أَقْبَلَ عَلى أَرْكَانِ الْبَيْتِ ، وَكَبَّرَ </w:t>
      </w:r>
      <w:r w:rsidRPr="00D10E3C">
        <w:rPr>
          <w:rStyle w:val="libFootnotenumChar"/>
          <w:rtl/>
        </w:rPr>
        <w:t>(6)</w:t>
      </w:r>
      <w:r>
        <w:rPr>
          <w:rtl/>
          <w:lang w:bidi="fa-IR"/>
        </w:rPr>
        <w:t xml:space="preserve"> إِلى كُلِّ رُكْنٍ مِنْهُ ». </w:t>
      </w:r>
      <w:r w:rsidRPr="00D10E3C">
        <w:rPr>
          <w:rStyle w:val="libFootnotenumChar"/>
          <w:rtl/>
        </w:rPr>
        <w:t>(7)</w:t>
      </w:r>
    </w:p>
    <w:p w:rsidR="00744A1C" w:rsidRDefault="00744A1C" w:rsidP="00744A1C">
      <w:pPr>
        <w:pStyle w:val="libNormal"/>
        <w:rPr>
          <w:lang w:bidi="fa-IR"/>
        </w:rPr>
      </w:pPr>
      <w:r>
        <w:rPr>
          <w:rtl/>
          <w:lang w:bidi="fa-IR"/>
        </w:rPr>
        <w:t xml:space="preserve">8004 / 5. أَحْمَدُ بْنُ مُحَمَّدٍ </w:t>
      </w:r>
      <w:r w:rsidRPr="00D10E3C">
        <w:rPr>
          <w:rStyle w:val="libFootnotenumChar"/>
          <w:rtl/>
        </w:rPr>
        <w:t>(8)</w:t>
      </w:r>
      <w:r>
        <w:rPr>
          <w:rtl/>
          <w:lang w:bidi="fa-IR"/>
        </w:rPr>
        <w:t xml:space="preserve"> ، عَنِ الْحُسَيْنِ بْنِ سَعِيدٍ ، عَنْ فَضَالَةَ بْنِ أَيُّوبَ ، عَنْ‌ مُعَاوِيَةَ </w:t>
      </w:r>
      <w:r w:rsidRPr="00D10E3C">
        <w:rPr>
          <w:rStyle w:val="libFootnotenumChar"/>
          <w:rtl/>
        </w:rPr>
        <w:t>(9)</w:t>
      </w:r>
      <w:r w:rsidR="00523CA1">
        <w:rPr>
          <w:rtl/>
          <w:lang w:bidi="fa-IR"/>
        </w:rPr>
        <w:t xml:space="preserve"> ، قَالَ :</w:t>
      </w:r>
    </w:p>
    <w:p w:rsidR="00744A1C" w:rsidRDefault="00744A1C" w:rsidP="00D10E3C">
      <w:pPr>
        <w:pStyle w:val="libLine"/>
        <w:rPr>
          <w:lang w:bidi="fa-IR"/>
        </w:rPr>
      </w:pPr>
      <w:r>
        <w:rPr>
          <w:rtl/>
          <w:lang w:bidi="fa-IR"/>
        </w:rPr>
        <w:t>____________________</w:t>
      </w:r>
    </w:p>
    <w:p w:rsidR="00744A1C" w:rsidRDefault="0035352A" w:rsidP="00D10E3C">
      <w:pPr>
        <w:pStyle w:val="libFootnote0"/>
        <w:rPr>
          <w:lang w:bidi="fa-IR"/>
        </w:rPr>
      </w:pPr>
      <w:r w:rsidRPr="0035352A">
        <w:rPr>
          <w:rFonts w:hint="cs"/>
          <w:rtl/>
        </w:rPr>
        <w:t xml:space="preserve">= </w:t>
      </w:r>
      <w:r w:rsidR="00744A1C" w:rsidRPr="00E978C3">
        <w:rPr>
          <w:rStyle w:val="libFootnoteBoldChar"/>
          <w:rtl/>
        </w:rPr>
        <w:t>الصحاح</w:t>
      </w:r>
      <w:r w:rsidR="00744A1C">
        <w:rPr>
          <w:rtl/>
          <w:lang w:bidi="fa-IR"/>
        </w:rPr>
        <w:t xml:space="preserve"> ، ج 3 ، ص 1158 ؛ </w:t>
      </w:r>
      <w:r w:rsidR="00744A1C" w:rsidRPr="00877682">
        <w:rPr>
          <w:rStyle w:val="libFootnoteBoldChar"/>
          <w:rtl/>
        </w:rPr>
        <w:t>لسان العرب</w:t>
      </w:r>
      <w:r w:rsidR="00744A1C">
        <w:rPr>
          <w:rtl/>
          <w:lang w:bidi="fa-IR"/>
        </w:rPr>
        <w:t xml:space="preserve"> ، ج 7 ، ص 398 ( مخط ).</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225 : « يدلّ على استحباب الغسل لدخول البيت ، والدخول حافياً ، والصلاة على الرخامة الحمراء وفي الزوايا ، والنهي عن الامتخاط والبزاق ، ولا يبعد الحمل على الحرمة لتضمّنه الاستخفاف ، ويدلّ آخر الخبر على عدم المبالغة في الدخول أو في تكراره ».</w:t>
      </w:r>
    </w:p>
    <w:p w:rsidR="00744A1C" w:rsidRDefault="00E378DD" w:rsidP="00913AB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276 ، ح 945 ، بسنده عن فضالة بن أيّوب وصفوان بن يحيى ، عن معاوية بن عمّار. </w:t>
      </w:r>
      <w:r w:rsidR="00744A1C" w:rsidRPr="00C24F9C">
        <w:rPr>
          <w:rStyle w:val="libFootnoteBoldChar"/>
          <w:rtl/>
        </w:rPr>
        <w:t>الفقيه</w:t>
      </w:r>
      <w:r w:rsidR="00744A1C">
        <w:rPr>
          <w:rtl/>
          <w:lang w:bidi="fa-IR"/>
        </w:rPr>
        <w:t xml:space="preserve"> ، ج 2 ، ص 556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مع اختلاف يسير</w:t>
      </w:r>
      <w:r w:rsidR="00C17EFF">
        <w:rPr>
          <w:rFonts w:hint="cs"/>
          <w:rtl/>
          <w:lang w:bidi="fa-IR"/>
        </w:rPr>
        <w:t xml:space="preserve"> </w:t>
      </w:r>
      <w:r w:rsidR="00270542">
        <w:rPr>
          <w:rFonts w:hint="cs"/>
          <w:rtl/>
          <w:lang w:bidi="fa-IR"/>
        </w:rPr>
        <w:t>.</w:t>
      </w:r>
      <w:r w:rsidR="00744A1C" w:rsidRPr="00C24F9C">
        <w:rPr>
          <w:rStyle w:val="libFootnoteBoldChar"/>
          <w:rtl/>
        </w:rPr>
        <w:t>الوافي</w:t>
      </w:r>
      <w:r w:rsidR="00744A1C">
        <w:rPr>
          <w:rtl/>
          <w:lang w:bidi="fa-IR"/>
        </w:rPr>
        <w:t xml:space="preserve"> ، ج 14 ، ص 1284 ، ح 14278 ؛ </w:t>
      </w:r>
      <w:r w:rsidR="00744A1C" w:rsidRPr="00C24F9C">
        <w:rPr>
          <w:rStyle w:val="libFootnoteBoldChar"/>
          <w:rtl/>
        </w:rPr>
        <w:t>الوسائل</w:t>
      </w:r>
      <w:r w:rsidR="00744A1C">
        <w:rPr>
          <w:rtl/>
          <w:lang w:bidi="fa-IR"/>
        </w:rPr>
        <w:t xml:space="preserve"> ، ج 13 ، ص 275 ، ح 17737 ؛ </w:t>
      </w:r>
      <w:r w:rsidR="00744A1C" w:rsidRPr="0061079A">
        <w:rPr>
          <w:rStyle w:val="libFootnoteBoldChar"/>
          <w:rtl/>
        </w:rPr>
        <w:t>البحار</w:t>
      </w:r>
      <w:r w:rsidR="00744A1C">
        <w:rPr>
          <w:rtl/>
          <w:lang w:bidi="fa-IR"/>
        </w:rPr>
        <w:t xml:space="preserve"> ، ج 21 ، ص 380 ، ح 7 ، وتمام الرواية فيه : « لم يدخل الكعبة رسول الله </w:t>
      </w:r>
      <w:r w:rsidR="00C17EFF" w:rsidRPr="00C17EFF">
        <w:rPr>
          <w:rStyle w:val="libFootnoteAlaemChar"/>
          <w:rFonts w:eastAsiaTheme="minorHAnsi"/>
          <w:rtl/>
        </w:rPr>
        <w:t>صلى‌الله‌عليه‌وآله</w:t>
      </w:r>
      <w:r w:rsidR="00C17EFF" w:rsidRPr="00C17EFF">
        <w:rPr>
          <w:rFonts w:eastAsiaTheme="minorHAnsi"/>
          <w:rtl/>
        </w:rPr>
        <w:t xml:space="preserve"> </w:t>
      </w:r>
      <w:r w:rsidR="00C17EFF">
        <w:rPr>
          <w:rtl/>
          <w:lang w:bidi="fa-IR"/>
        </w:rPr>
        <w:t>إل</w:t>
      </w:r>
      <w:r w:rsidR="00C17EFF">
        <w:rPr>
          <w:rFonts w:hint="cs"/>
          <w:rtl/>
          <w:lang w:bidi="fa-IR"/>
        </w:rPr>
        <w:t>ّ</w:t>
      </w:r>
      <w:r w:rsidR="00C17EFF">
        <w:rPr>
          <w:rtl/>
          <w:lang w:bidi="fa-IR"/>
        </w:rPr>
        <w:t>ا</w:t>
      </w:r>
      <w:r w:rsidR="00C17EFF">
        <w:rPr>
          <w:rFonts w:hint="cs"/>
          <w:rtl/>
          <w:lang w:bidi="fa-IR"/>
        </w:rPr>
        <w:t xml:space="preserve"> </w:t>
      </w:r>
      <w:r w:rsidR="00744A1C">
        <w:rPr>
          <w:rtl/>
          <w:lang w:bidi="fa-IR"/>
        </w:rPr>
        <w:t>يوم فتح مكّة ».</w:t>
      </w:r>
      <w:r w:rsidR="00913ABD">
        <w:rPr>
          <w:rFonts w:hint="cs"/>
          <w:rtl/>
          <w:lang w:bidi="fa-IR"/>
        </w:rPr>
        <w:t xml:space="preserve">                         </w:t>
      </w:r>
      <w:r>
        <w:rPr>
          <w:rtl/>
          <w:lang w:bidi="fa-IR"/>
        </w:rPr>
        <w:t>(3).</w:t>
      </w:r>
      <w:r w:rsidR="00744A1C">
        <w:rPr>
          <w:rtl/>
          <w:lang w:bidi="fa-IR"/>
        </w:rPr>
        <w:t xml:space="preserve"> في « ى » : « ما بين ».</w:t>
      </w:r>
    </w:p>
    <w:p w:rsidR="00744A1C" w:rsidRDefault="00E378DD" w:rsidP="00E378DD">
      <w:pPr>
        <w:pStyle w:val="libFootnote0"/>
        <w:rPr>
          <w:lang w:bidi="fa-IR"/>
        </w:rPr>
      </w:pPr>
      <w:r>
        <w:rPr>
          <w:rtl/>
          <w:lang w:bidi="fa-IR"/>
        </w:rPr>
        <w:t>(4).</w:t>
      </w:r>
      <w:r w:rsidR="00744A1C">
        <w:rPr>
          <w:rtl/>
          <w:lang w:bidi="fa-IR"/>
        </w:rPr>
        <w:t xml:space="preserve"> في « بف ، جن » : « يقوم ».</w:t>
      </w:r>
    </w:p>
    <w:p w:rsidR="00744A1C" w:rsidRDefault="00E378DD" w:rsidP="00E378DD">
      <w:pPr>
        <w:pStyle w:val="libFootnote0"/>
        <w:rPr>
          <w:lang w:bidi="fa-IR"/>
        </w:rPr>
      </w:pPr>
      <w:r>
        <w:rPr>
          <w:rtl/>
          <w:lang w:bidi="fa-IR"/>
        </w:rPr>
        <w:t>(5).</w:t>
      </w:r>
      <w:r w:rsidR="00744A1C">
        <w:rPr>
          <w:rtl/>
          <w:lang w:bidi="fa-IR"/>
        </w:rPr>
        <w:t xml:space="preserve"> التبلاطُ والبَلاطَةُ : الحجارة المفروشةُ في الدار أو غيرها. </w:t>
      </w:r>
      <w:r w:rsidR="00744A1C" w:rsidRPr="00E978C3">
        <w:rPr>
          <w:rStyle w:val="libFootnoteBoldChar"/>
          <w:rtl/>
        </w:rPr>
        <w:t>الصحاح</w:t>
      </w:r>
      <w:r w:rsidR="00744A1C">
        <w:rPr>
          <w:rtl/>
          <w:lang w:bidi="fa-IR"/>
        </w:rPr>
        <w:t xml:space="preserve"> ، ج 3 ، ص 1117 ؛ </w:t>
      </w:r>
      <w:r w:rsidR="00744A1C" w:rsidRPr="00877682">
        <w:rPr>
          <w:rStyle w:val="libFootnoteBoldChar"/>
          <w:rtl/>
        </w:rPr>
        <w:t>لسان العرب</w:t>
      </w:r>
      <w:r w:rsidR="00744A1C">
        <w:rPr>
          <w:rtl/>
          <w:lang w:bidi="fa-IR"/>
        </w:rPr>
        <w:t xml:space="preserve"> ، ج 7 ، ص 264 ( بلط ).</w:t>
      </w:r>
    </w:p>
    <w:p w:rsidR="00744A1C" w:rsidRDefault="00E378DD" w:rsidP="00E378DD">
      <w:pPr>
        <w:pStyle w:val="libFootnote0"/>
        <w:rPr>
          <w:lang w:bidi="fa-IR"/>
        </w:rPr>
      </w:pPr>
      <w:r>
        <w:rPr>
          <w:rtl/>
          <w:lang w:bidi="fa-IR"/>
        </w:rPr>
        <w:t>(6).</w:t>
      </w:r>
      <w:r w:rsidR="00744A1C">
        <w:rPr>
          <w:rtl/>
          <w:lang w:bidi="fa-IR"/>
        </w:rPr>
        <w:t xml:space="preserve"> في « بف ، جد » و</w:t>
      </w:r>
      <w:r w:rsidR="00744A1C" w:rsidRPr="00C24F9C">
        <w:rPr>
          <w:rStyle w:val="libFootnoteBoldChar"/>
          <w:rtl/>
        </w:rPr>
        <w:t>الوافي</w:t>
      </w:r>
      <w:r w:rsidR="00744A1C">
        <w:rPr>
          <w:rtl/>
          <w:lang w:bidi="fa-IR"/>
        </w:rPr>
        <w:t xml:space="preserve"> : « فكبّر ». وفي </w:t>
      </w:r>
      <w:r w:rsidR="00744A1C" w:rsidRPr="00C24F9C">
        <w:rPr>
          <w:rStyle w:val="libFootnoteBoldChar"/>
          <w:rtl/>
        </w:rPr>
        <w:t>المرآة</w:t>
      </w:r>
      <w:r w:rsidR="00744A1C">
        <w:rPr>
          <w:rtl/>
          <w:lang w:bidi="fa-IR"/>
        </w:rPr>
        <w:t xml:space="preserve"> : « لا يبعد أن يكون التكبير كناية عن الصلاة ، كما يدلّ عليه الخبر الآتي ، مع أنّه يحتمل وقوع الأمرين معاً ».</w:t>
      </w:r>
    </w:p>
    <w:p w:rsidR="00744A1C" w:rsidRDefault="00E378DD" w:rsidP="002E3491">
      <w:pPr>
        <w:pStyle w:val="libFootnote0"/>
        <w:rPr>
          <w:lang w:bidi="fa-IR"/>
        </w:rPr>
      </w:pPr>
      <w:r>
        <w:rPr>
          <w:rtl/>
          <w:lang w:bidi="fa-IR"/>
        </w:rPr>
        <w:t>(7).</w:t>
      </w:r>
      <w:r w:rsidR="00744A1C">
        <w:rPr>
          <w:rtl/>
          <w:lang w:bidi="fa-IR"/>
        </w:rPr>
        <w:t xml:space="preserve"> </w:t>
      </w:r>
      <w:r w:rsidR="00744A1C" w:rsidRPr="00C24F9C">
        <w:rPr>
          <w:rStyle w:val="libFootnoteBoldChar"/>
          <w:rtl/>
        </w:rPr>
        <w:t>الفقيه</w:t>
      </w:r>
      <w:r w:rsidR="00744A1C">
        <w:rPr>
          <w:rtl/>
          <w:lang w:bidi="fa-IR"/>
        </w:rPr>
        <w:t xml:space="preserve"> ، ج 1 ، ص 274 ، ذيل ح 845 ، إلى قوله : « البلاطة الحمراء » ، مع اختلاف</w:t>
      </w:r>
      <w:r w:rsidR="002E3491">
        <w:rPr>
          <w:rFonts w:hint="cs"/>
          <w:rtl/>
          <w:lang w:bidi="fa-IR"/>
        </w:rPr>
        <w:t>.</w:t>
      </w:r>
      <w:r w:rsidR="00744A1C" w:rsidRPr="00C24F9C">
        <w:rPr>
          <w:rStyle w:val="libFootnoteBoldChar"/>
          <w:rtl/>
        </w:rPr>
        <w:t>الوافي</w:t>
      </w:r>
      <w:r w:rsidR="00744A1C">
        <w:rPr>
          <w:rtl/>
          <w:lang w:bidi="fa-IR"/>
        </w:rPr>
        <w:t xml:space="preserve"> ، ج 14 ، ص 1285 ، ح 14279 ؛ </w:t>
      </w:r>
      <w:r w:rsidR="00744A1C" w:rsidRPr="00C24F9C">
        <w:rPr>
          <w:rStyle w:val="libFootnoteBoldChar"/>
          <w:rtl/>
        </w:rPr>
        <w:t>الوسائل</w:t>
      </w:r>
      <w:r w:rsidR="00744A1C">
        <w:rPr>
          <w:rtl/>
          <w:lang w:bidi="fa-IR"/>
        </w:rPr>
        <w:t xml:space="preserve"> ، ج 13 ، ص 276 ، ح 17739.</w:t>
      </w:r>
    </w:p>
    <w:p w:rsidR="00744A1C" w:rsidRDefault="00E378DD" w:rsidP="00E378DD">
      <w:pPr>
        <w:pStyle w:val="libFootnote0"/>
        <w:rPr>
          <w:lang w:bidi="fa-IR"/>
        </w:rPr>
      </w:pPr>
      <w:r>
        <w:rPr>
          <w:rtl/>
          <w:lang w:bidi="fa-IR"/>
        </w:rPr>
        <w:t>(8).</w:t>
      </w:r>
      <w:r w:rsidR="00744A1C">
        <w:rPr>
          <w:rtl/>
          <w:lang w:bidi="fa-IR"/>
        </w:rPr>
        <w:t xml:space="preserve"> السند معلّق على سابقه. ويروي عن أحمد بن محمّد ، محمّد بن يحيى.</w:t>
      </w:r>
    </w:p>
    <w:p w:rsidR="00744A1C" w:rsidRDefault="00E378DD" w:rsidP="00E378DD">
      <w:pPr>
        <w:pStyle w:val="libFootnote0"/>
        <w:rPr>
          <w:lang w:bidi="fa-IR"/>
        </w:rPr>
      </w:pPr>
      <w:r>
        <w:rPr>
          <w:rtl/>
          <w:lang w:bidi="fa-IR"/>
        </w:rPr>
        <w:t>(9).</w:t>
      </w:r>
      <w:r w:rsidR="00744A1C">
        <w:rPr>
          <w:rtl/>
          <w:lang w:bidi="fa-IR"/>
        </w:rPr>
        <w:t xml:space="preserve"> هكذا في « بث ، بخ ، بس ، بف ، جد ، جر ، جن » وحاشية « بح » و</w:t>
      </w:r>
      <w:r w:rsidR="00744A1C" w:rsidRPr="00C24F9C">
        <w:rPr>
          <w:rStyle w:val="libFootnoteBoldChar"/>
          <w:rtl/>
        </w:rPr>
        <w:t>الوسائل</w:t>
      </w:r>
      <w:r w:rsidR="00744A1C">
        <w:rPr>
          <w:rtl/>
          <w:lang w:bidi="fa-IR"/>
        </w:rPr>
        <w:t>. وفي « ى ، بح » والمطبوع : + « بن عمّار ».</w:t>
      </w:r>
    </w:p>
    <w:p w:rsidR="00150943" w:rsidRDefault="00150943" w:rsidP="00D10E3C">
      <w:pPr>
        <w:pStyle w:val="libNormal"/>
        <w:rPr>
          <w:rtl/>
          <w:lang w:bidi="fa-IR"/>
        </w:rPr>
      </w:pPr>
      <w:r>
        <w:rPr>
          <w:rtl/>
          <w:lang w:bidi="fa-IR"/>
        </w:rPr>
        <w:br w:type="page"/>
      </w:r>
    </w:p>
    <w:p w:rsidR="00744A1C" w:rsidRDefault="00744A1C" w:rsidP="00B85EE2">
      <w:pPr>
        <w:pStyle w:val="libNormal"/>
        <w:rPr>
          <w:lang w:bidi="fa-IR"/>
        </w:rPr>
      </w:pPr>
      <w:r>
        <w:rPr>
          <w:rtl/>
          <w:lang w:bidi="fa-IR"/>
        </w:rPr>
        <w:lastRenderedPageBreak/>
        <w:t xml:space="preserve">رَأَيْتُ الْعَبْدَ الصَّالِحَ </w:t>
      </w:r>
      <w:r w:rsidR="0061079A" w:rsidRPr="0061079A">
        <w:rPr>
          <w:rStyle w:val="libAlaemChar"/>
          <w:rtl/>
        </w:rPr>
        <w:t>عليه‌السلام</w:t>
      </w:r>
      <w:r w:rsidR="00D10E3C">
        <w:rPr>
          <w:rtl/>
          <w:lang w:bidi="fa-IR"/>
        </w:rPr>
        <w:t xml:space="preserve"> </w:t>
      </w:r>
      <w:r>
        <w:rPr>
          <w:rtl/>
          <w:lang w:bidi="fa-IR"/>
        </w:rPr>
        <w:t xml:space="preserve">دَخَلَ الْكَعْبَةَ ، فَصَلّى رَكْعَتَيْنِ عَلَى الرُّخَامَةِ الْحَمْرَاءِ ، ثُمَّ قَامَ ، فَاسْتَقْبَلَ الْحَائِطَ بَيْنَ الرُّكْنِ الْيَمَانِيِّ </w:t>
      </w:r>
      <w:r w:rsidRPr="00D10E3C">
        <w:rPr>
          <w:rStyle w:val="libFootnotenumChar"/>
          <w:rtl/>
        </w:rPr>
        <w:t>(1)</w:t>
      </w:r>
      <w:r>
        <w:rPr>
          <w:rtl/>
          <w:lang w:bidi="fa-IR"/>
        </w:rPr>
        <w:t xml:space="preserve"> وَالْغَرْبِيِّ ، فَوَقَعَ </w:t>
      </w:r>
      <w:r w:rsidRPr="00D10E3C">
        <w:rPr>
          <w:rStyle w:val="libFootnotenumChar"/>
          <w:rtl/>
        </w:rPr>
        <w:t>(2)</w:t>
      </w:r>
      <w:r>
        <w:rPr>
          <w:rtl/>
          <w:lang w:bidi="fa-IR"/>
        </w:rPr>
        <w:t xml:space="preserve"> يَدُهُ </w:t>
      </w:r>
      <w:r w:rsidRPr="00D10E3C">
        <w:rPr>
          <w:rStyle w:val="libFootnotenumChar"/>
          <w:rtl/>
        </w:rPr>
        <w:t>(3)</w:t>
      </w:r>
      <w:r>
        <w:rPr>
          <w:rtl/>
          <w:lang w:bidi="fa-IR"/>
        </w:rPr>
        <w:t xml:space="preserve"> عَلَيْهِ ، وَلَزِقَ </w:t>
      </w:r>
      <w:r w:rsidRPr="00D10E3C">
        <w:rPr>
          <w:rStyle w:val="libFootnotenumChar"/>
          <w:rtl/>
        </w:rPr>
        <w:t>(4)</w:t>
      </w:r>
      <w:r>
        <w:rPr>
          <w:rtl/>
          <w:lang w:bidi="fa-IR"/>
        </w:rPr>
        <w:t xml:space="preserve"> بِهِ وَدَعَا ، ثُمَّ تَحَوَّلَ إِلَى الرُّكْنِ الْيَمَانِيِّ ، فَلَصِقَ بِهِ وَدَعَا ، ثُمَّ أَتَى الرُّكْنَ الْغَرْبِيَّ ، ثُمَّ خَرَجَ </w:t>
      </w:r>
      <w:r w:rsidRPr="00D10E3C">
        <w:rPr>
          <w:rStyle w:val="libFootnotenumChar"/>
          <w:rtl/>
        </w:rPr>
        <w:t>(5)</w:t>
      </w:r>
      <w:r w:rsidR="00B85EE2">
        <w:rPr>
          <w:rFonts w:hint="cs"/>
          <w:rtl/>
          <w:lang w:bidi="fa-IR"/>
        </w:rPr>
        <w:t>.</w:t>
      </w:r>
      <w:r w:rsidRPr="00D10E3C">
        <w:rPr>
          <w:rStyle w:val="libFootnotenumChar"/>
          <w:rtl/>
        </w:rPr>
        <w:t>(6)</w:t>
      </w:r>
    </w:p>
    <w:p w:rsidR="00744A1C" w:rsidRDefault="00744A1C" w:rsidP="00936CDB">
      <w:pPr>
        <w:pStyle w:val="libNormal"/>
        <w:rPr>
          <w:lang w:bidi="fa-IR"/>
        </w:rPr>
      </w:pPr>
      <w:r>
        <w:rPr>
          <w:rtl/>
          <w:lang w:bidi="fa-IR"/>
        </w:rPr>
        <w:t xml:space="preserve">8005 / 6. وَعَنْهُ </w:t>
      </w:r>
      <w:r w:rsidRPr="00D10E3C">
        <w:rPr>
          <w:rStyle w:val="libFootnotenumChar"/>
          <w:rtl/>
        </w:rPr>
        <w:t>(7)</w:t>
      </w:r>
      <w:r>
        <w:rPr>
          <w:rtl/>
          <w:lang w:bidi="fa-IR"/>
        </w:rPr>
        <w:t xml:space="preserve"> ، عَنْ عَلِيِّ بْنِ النُّعْمَانِ ، عَنْ سَعِيدٍ الْأَعْرَجِ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بُدَّ لِلصَّرُورَةِ أَنْ يَدْخُلَ الْبَيْتَ قَبْلَ أَنْ يَرْجِعَ </w:t>
      </w:r>
      <w:r w:rsidRPr="00D10E3C">
        <w:rPr>
          <w:rStyle w:val="libFootnotenumChar"/>
          <w:rtl/>
        </w:rPr>
        <w:t>(8)</w:t>
      </w:r>
      <w:r>
        <w:rPr>
          <w:rtl/>
          <w:lang w:bidi="fa-IR"/>
        </w:rPr>
        <w:t xml:space="preserve"> ، فَإِذَا دَخَلْتَهُ فَادْخُلْهُ بِسَكِينَةٍ </w:t>
      </w:r>
      <w:r w:rsidRPr="00D10E3C">
        <w:rPr>
          <w:rStyle w:val="libFootnotenumChar"/>
          <w:rtl/>
        </w:rPr>
        <w:t>(9)</w:t>
      </w:r>
      <w:r>
        <w:rPr>
          <w:rtl/>
          <w:lang w:bidi="fa-IR"/>
        </w:rPr>
        <w:t xml:space="preserve"> وَوَقَارٍ ، ثُمَّ ائْتِ كُلَّ زَاوِيَةٍ مِنْ زَوَايَاهُ ، ثُمَّ قُلِ : " الل</w:t>
      </w:r>
      <w:r w:rsidR="0042358A">
        <w:rPr>
          <w:rFonts w:hint="cs"/>
          <w:rtl/>
          <w:lang w:bidi="fa-IR"/>
        </w:rPr>
        <w:t>ّ</w:t>
      </w:r>
      <w:r>
        <w:rPr>
          <w:rtl/>
          <w:lang w:bidi="fa-IR"/>
        </w:rPr>
        <w:t xml:space="preserve">هُمَّ إِنَّكَ قُلْتَ </w:t>
      </w:r>
      <w:r w:rsidRPr="0042358A">
        <w:rPr>
          <w:rStyle w:val="libAlaemChar"/>
          <w:rtl/>
        </w:rPr>
        <w:t>(</w:t>
      </w:r>
      <w:r w:rsidRPr="0042358A">
        <w:rPr>
          <w:rStyle w:val="libAieChar"/>
          <w:rtl/>
        </w:rPr>
        <w:t xml:space="preserve"> وَمَنْ دَخَلَهُ ك</w:t>
      </w:r>
      <w:r w:rsidR="00D71A45">
        <w:rPr>
          <w:rStyle w:val="libAieChar"/>
          <w:rFonts w:hint="cs"/>
          <w:rtl/>
        </w:rPr>
        <w:t>َ</w:t>
      </w:r>
      <w:r w:rsidRPr="0042358A">
        <w:rPr>
          <w:rStyle w:val="libAieChar"/>
          <w:rtl/>
        </w:rPr>
        <w:t xml:space="preserve">انَ آمِناً </w:t>
      </w:r>
      <w:r w:rsidRPr="0042358A">
        <w:rPr>
          <w:rStyle w:val="libAlaemChar"/>
          <w:rtl/>
        </w:rPr>
        <w:t>)</w:t>
      </w:r>
      <w:r>
        <w:rPr>
          <w:rtl/>
          <w:lang w:bidi="fa-IR"/>
        </w:rPr>
        <w:t xml:space="preserve"> </w:t>
      </w:r>
      <w:r w:rsidRPr="00D10E3C">
        <w:rPr>
          <w:rStyle w:val="libFootnotenumChar"/>
          <w:rtl/>
        </w:rPr>
        <w:t>(10)</w:t>
      </w:r>
      <w:r>
        <w:rPr>
          <w:rtl/>
          <w:lang w:bidi="fa-IR"/>
        </w:rPr>
        <w:t xml:space="preserve"> فَآمِنِّي مِنْ عَذَابِ </w:t>
      </w:r>
      <w:r w:rsidRPr="00D10E3C">
        <w:rPr>
          <w:rStyle w:val="libFootnotenumChar"/>
          <w:rtl/>
        </w:rPr>
        <w:t>(11)</w:t>
      </w:r>
      <w:r>
        <w:rPr>
          <w:rtl/>
          <w:lang w:bidi="fa-IR"/>
        </w:rPr>
        <w:t xml:space="preserve"> يَوْمِ الْقِيَامَةِ". وَصَلِّ بَيْنَ الْعَمُودَيْنِ اللَّذَيْنِ يَلِيَانِ الْبَابَ </w:t>
      </w:r>
      <w:r w:rsidRPr="00D10E3C">
        <w:rPr>
          <w:rStyle w:val="libFootnotenumChar"/>
          <w:rtl/>
        </w:rPr>
        <w:t>(12)</w:t>
      </w:r>
      <w:r>
        <w:rPr>
          <w:rtl/>
          <w:lang w:bidi="fa-IR"/>
        </w:rPr>
        <w:t xml:space="preserve"> عَلَى الرُّخَامَةِ الْحَمْرَاءِ ، وَإِنْ كَثُرَ النَّاسُ فَاسْتَقْبِلْ كُلَّ زَاوِيَةٍ فِي مَقَامِكَ حَيْثُ صَلَّيْتَ ، وَادْعُ اللهَ وَاسْأَلْهُ </w:t>
      </w:r>
      <w:r w:rsidRPr="00D10E3C">
        <w:rPr>
          <w:rStyle w:val="libFootnotenumChar"/>
          <w:rtl/>
        </w:rPr>
        <w:t>(13)</w:t>
      </w:r>
      <w:r>
        <w:rPr>
          <w:rtl/>
          <w:lang w:bidi="fa-IR"/>
        </w:rPr>
        <w:t xml:space="preserve"> ».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لعلّه كان بحذاء المستجار ».</w:t>
      </w:r>
    </w:p>
    <w:p w:rsidR="00744A1C" w:rsidRDefault="00E378DD" w:rsidP="00E378DD">
      <w:pPr>
        <w:pStyle w:val="libFootnote0"/>
        <w:rPr>
          <w:lang w:bidi="fa-IR"/>
        </w:rPr>
      </w:pPr>
      <w:r>
        <w:rPr>
          <w:rtl/>
          <w:lang w:bidi="fa-IR"/>
        </w:rPr>
        <w:t>(2).</w:t>
      </w:r>
      <w:r w:rsidR="00744A1C">
        <w:rPr>
          <w:rtl/>
          <w:lang w:bidi="fa-IR"/>
        </w:rPr>
        <w:t xml:space="preserve"> في « بح ، بخ ، بس ، جد ، جن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فرفع ».</w:t>
      </w:r>
    </w:p>
    <w:p w:rsidR="00744A1C" w:rsidRDefault="00E378DD" w:rsidP="00E378DD">
      <w:pPr>
        <w:pStyle w:val="libFootnote0"/>
        <w:rPr>
          <w:lang w:bidi="fa-IR"/>
        </w:rPr>
      </w:pPr>
      <w:r>
        <w:rPr>
          <w:rtl/>
          <w:lang w:bidi="fa-IR"/>
        </w:rPr>
        <w:t>(3).</w:t>
      </w:r>
      <w:r w:rsidR="00744A1C">
        <w:rPr>
          <w:rtl/>
          <w:lang w:bidi="fa-IR"/>
        </w:rPr>
        <w:t xml:space="preserve"> في « بث ، بخ » و</w:t>
      </w:r>
      <w:r w:rsidR="00744A1C" w:rsidRPr="00C24F9C">
        <w:rPr>
          <w:rStyle w:val="libFootnoteBoldChar"/>
          <w:rtl/>
        </w:rPr>
        <w:t>الوافي</w:t>
      </w:r>
      <w:r w:rsidR="00744A1C">
        <w:rPr>
          <w:rtl/>
          <w:lang w:bidi="fa-IR"/>
        </w:rPr>
        <w:t xml:space="preserve"> : « يديه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الوسائل</w:t>
      </w:r>
      <w:r w:rsidR="00744A1C">
        <w:rPr>
          <w:rtl/>
          <w:lang w:bidi="fa-IR"/>
        </w:rPr>
        <w:t xml:space="preserve"> : « ولصق ». وفي </w:t>
      </w:r>
      <w:r w:rsidR="00744A1C" w:rsidRPr="00C24F9C">
        <w:rPr>
          <w:rStyle w:val="libFootnoteBoldChar"/>
          <w:rtl/>
        </w:rPr>
        <w:t>التهذيب</w:t>
      </w:r>
      <w:r w:rsidR="00744A1C">
        <w:rPr>
          <w:rtl/>
          <w:lang w:bidi="fa-IR"/>
        </w:rPr>
        <w:t xml:space="preserve"> : « فلصق ».</w:t>
      </w:r>
    </w:p>
    <w:p w:rsidR="00744A1C" w:rsidRDefault="00E378DD" w:rsidP="00E378DD">
      <w:pPr>
        <w:pStyle w:val="libFootnote0"/>
        <w:rPr>
          <w:lang w:bidi="fa-IR"/>
        </w:rPr>
      </w:pPr>
      <w:r>
        <w:rPr>
          <w:rtl/>
          <w:lang w:bidi="fa-IR"/>
        </w:rPr>
        <w:t>(5).</w:t>
      </w:r>
      <w:r w:rsidR="00744A1C">
        <w:rPr>
          <w:rtl/>
          <w:lang w:bidi="fa-IR"/>
        </w:rPr>
        <w:t xml:space="preserve"> في « جن » : + « عنه ».</w:t>
      </w:r>
    </w:p>
    <w:p w:rsidR="00744A1C" w:rsidRDefault="00E378DD" w:rsidP="00EB4FDF">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278 ، ح 951 ، معلّقاً عن الحسين بن سعيد ، عن فضالة ، عن معاوية بن عمّار</w:t>
      </w:r>
      <w:r w:rsidR="00EB4FDF">
        <w:rPr>
          <w:rFonts w:hint="cs"/>
          <w:rtl/>
          <w:lang w:bidi="fa-IR"/>
        </w:rPr>
        <w:t>.</w:t>
      </w:r>
      <w:r w:rsidR="00744A1C" w:rsidRPr="00C24F9C">
        <w:rPr>
          <w:rStyle w:val="libFootnoteBoldChar"/>
          <w:rtl/>
        </w:rPr>
        <w:t>الوافي</w:t>
      </w:r>
      <w:r w:rsidR="00744A1C">
        <w:rPr>
          <w:rtl/>
          <w:lang w:bidi="fa-IR"/>
        </w:rPr>
        <w:t xml:space="preserve"> ، ج 14 ، ص 1286 ، ح 14280 ؛ </w:t>
      </w:r>
      <w:r w:rsidR="00744A1C" w:rsidRPr="00C24F9C">
        <w:rPr>
          <w:rStyle w:val="libFootnoteBoldChar"/>
          <w:rtl/>
        </w:rPr>
        <w:t>الوسائل</w:t>
      </w:r>
      <w:r w:rsidR="00744A1C">
        <w:rPr>
          <w:rtl/>
          <w:lang w:bidi="fa-IR"/>
        </w:rPr>
        <w:t xml:space="preserve"> ، ج 13 ، ص 277 ، ح 17740.</w:t>
      </w:r>
    </w:p>
    <w:p w:rsidR="00744A1C" w:rsidRDefault="00E378DD" w:rsidP="00E378DD">
      <w:pPr>
        <w:pStyle w:val="libFootnote0"/>
        <w:rPr>
          <w:lang w:bidi="fa-IR"/>
        </w:rPr>
      </w:pPr>
      <w:r>
        <w:rPr>
          <w:rtl/>
          <w:lang w:bidi="fa-IR"/>
        </w:rPr>
        <w:t>(7).</w:t>
      </w:r>
      <w:r w:rsidR="00744A1C">
        <w:rPr>
          <w:rtl/>
          <w:lang w:bidi="fa-IR"/>
        </w:rPr>
        <w:t xml:space="preserve"> في « ى ، بث ، بح ، بخ ، بس ، بف » : « عنه » بدون الواو. والضمير راجع إلى أحمد بن محمّد المذكور في السند السابق ، فيكون هذا السند أيضاً معلّقاً.</w:t>
      </w:r>
    </w:p>
    <w:p w:rsidR="00744A1C" w:rsidRDefault="00744A1C" w:rsidP="00CC7DBC">
      <w:pPr>
        <w:pStyle w:val="libFootnote0"/>
        <w:rPr>
          <w:lang w:bidi="fa-IR"/>
        </w:rPr>
      </w:pPr>
      <w:r>
        <w:rPr>
          <w:rtl/>
          <w:lang w:bidi="fa-IR"/>
        </w:rPr>
        <w:t>ثمّ إنّ الحكمين المذكورين - رجوع الضمير إلى أحمد بن محمّد ووقوع التعليق - جاريان لجميع الأسناد الآتية إلى آخر الباب.</w:t>
      </w:r>
      <w:r w:rsidR="003A0232">
        <w:rPr>
          <w:rFonts w:hint="cs"/>
          <w:rtl/>
          <w:lang w:bidi="fa-IR"/>
        </w:rPr>
        <w:t xml:space="preserve">                                         </w:t>
      </w:r>
      <w:r w:rsidR="00B03098">
        <w:rPr>
          <w:rFonts w:hint="cs"/>
          <w:rtl/>
          <w:lang w:bidi="fa-IR"/>
        </w:rPr>
        <w:t xml:space="preserve"> </w:t>
      </w:r>
      <w:r w:rsidR="00CC7DBC">
        <w:rPr>
          <w:rFonts w:hint="cs"/>
          <w:rtl/>
          <w:lang w:bidi="fa-IR"/>
        </w:rPr>
        <w:t xml:space="preserve">    </w:t>
      </w:r>
      <w:r w:rsidR="003A0232">
        <w:rPr>
          <w:rFonts w:hint="cs"/>
          <w:rtl/>
          <w:lang w:bidi="fa-IR"/>
        </w:rPr>
        <w:t xml:space="preserve">       </w:t>
      </w:r>
      <w:r w:rsidR="00E378DD">
        <w:rPr>
          <w:rtl/>
          <w:lang w:bidi="fa-IR"/>
        </w:rPr>
        <w:t>(8).</w:t>
      </w:r>
      <w:r>
        <w:rPr>
          <w:rtl/>
          <w:lang w:bidi="fa-IR"/>
        </w:rPr>
        <w:t xml:space="preserve"> في </w:t>
      </w:r>
      <w:r w:rsidRPr="00C24F9C">
        <w:rPr>
          <w:rStyle w:val="libFootnoteBoldChar"/>
          <w:rtl/>
        </w:rPr>
        <w:t>المرآة</w:t>
      </w:r>
      <w:r>
        <w:rPr>
          <w:rtl/>
          <w:lang w:bidi="fa-IR"/>
        </w:rPr>
        <w:t>:«حمل على تأكّد الاستحباب».</w:t>
      </w:r>
    </w:p>
    <w:tbl>
      <w:tblPr>
        <w:tblStyle w:val="TableGrid"/>
        <w:bidiVisual/>
        <w:tblW w:w="0" w:type="auto"/>
        <w:tblLook w:val="04A0" w:firstRow="1" w:lastRow="0" w:firstColumn="1" w:lastColumn="0" w:noHBand="0" w:noVBand="1"/>
      </w:tblPr>
      <w:tblGrid>
        <w:gridCol w:w="4006"/>
        <w:gridCol w:w="4006"/>
      </w:tblGrid>
      <w:tr w:rsidR="00553366" w:rsidTr="00553366">
        <w:tc>
          <w:tcPr>
            <w:tcW w:w="4006" w:type="dxa"/>
          </w:tcPr>
          <w:p w:rsidR="00553366" w:rsidRDefault="00553366" w:rsidP="00E378DD">
            <w:pPr>
              <w:pStyle w:val="libFootnote0"/>
              <w:rPr>
                <w:rtl/>
                <w:lang w:bidi="fa-IR"/>
              </w:rPr>
            </w:pPr>
            <w:r>
              <w:rPr>
                <w:rtl/>
                <w:lang w:bidi="fa-IR"/>
              </w:rPr>
              <w:t>(9). في « بخ ، بف » و</w:t>
            </w:r>
            <w:r w:rsidRPr="00C24F9C">
              <w:rPr>
                <w:rStyle w:val="libFootnoteBoldChar"/>
                <w:rtl/>
              </w:rPr>
              <w:t>الوافي</w:t>
            </w:r>
            <w:r>
              <w:rPr>
                <w:rtl/>
                <w:lang w:bidi="fa-IR"/>
              </w:rPr>
              <w:t xml:space="preserve"> : « على سكينة ».</w:t>
            </w:r>
          </w:p>
        </w:tc>
        <w:tc>
          <w:tcPr>
            <w:tcW w:w="4006" w:type="dxa"/>
          </w:tcPr>
          <w:p w:rsidR="00553366" w:rsidRDefault="00B03098" w:rsidP="00E378DD">
            <w:pPr>
              <w:pStyle w:val="libFootnote0"/>
              <w:rPr>
                <w:rtl/>
                <w:lang w:bidi="fa-IR"/>
              </w:rPr>
            </w:pPr>
            <w:r>
              <w:rPr>
                <w:rtl/>
                <w:lang w:bidi="fa-IR"/>
              </w:rPr>
              <w:t>(10). آل عمران (3)</w:t>
            </w:r>
            <w:r w:rsidR="00553366">
              <w:rPr>
                <w:rtl/>
                <w:lang w:bidi="fa-IR"/>
              </w:rPr>
              <w:t xml:space="preserve"> : 97.</w:t>
            </w:r>
          </w:p>
        </w:tc>
      </w:tr>
    </w:tbl>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التهذيب</w:t>
      </w:r>
      <w:r w:rsidR="00744A1C">
        <w:rPr>
          <w:rtl/>
          <w:lang w:bidi="fa-IR"/>
        </w:rPr>
        <w:t xml:space="preserve"> : « عذابك ».</w:t>
      </w:r>
    </w:p>
    <w:p w:rsidR="00744A1C" w:rsidRDefault="00E378DD" w:rsidP="00E378DD">
      <w:pPr>
        <w:pStyle w:val="libFootnote0"/>
        <w:rPr>
          <w:lang w:bidi="fa-IR"/>
        </w:rPr>
      </w:pPr>
      <w:r>
        <w:rPr>
          <w:rtl/>
          <w:lang w:bidi="fa-IR"/>
        </w:rPr>
        <w:t>(12).</w:t>
      </w:r>
      <w:r w:rsidR="00744A1C">
        <w:rPr>
          <w:rtl/>
          <w:lang w:bidi="fa-IR"/>
        </w:rPr>
        <w:t xml:space="preserve"> هكذا في جميع النسخ التي قوبلت و</w:t>
      </w:r>
      <w:r w:rsidR="00744A1C" w:rsidRPr="00C24F9C">
        <w:rPr>
          <w:rStyle w:val="libFootnoteBoldChar"/>
          <w:rtl/>
        </w:rPr>
        <w:t>الوسائل</w:t>
      </w:r>
      <w:r w:rsidR="00744A1C">
        <w:rPr>
          <w:rtl/>
          <w:lang w:bidi="fa-IR"/>
        </w:rPr>
        <w:t xml:space="preserve"> ، ح 17742 </w:t>
      </w:r>
      <w:r w:rsidR="00744A1C" w:rsidRPr="0061079A">
        <w:rPr>
          <w:rStyle w:val="libFootnoteBoldChar"/>
          <w:rtl/>
        </w:rPr>
        <w:t>والتهذيب</w:t>
      </w:r>
      <w:r w:rsidR="00744A1C">
        <w:rPr>
          <w:rtl/>
          <w:lang w:bidi="fa-IR"/>
        </w:rPr>
        <w:t>. وفي المطبوع : - « الباب ».</w:t>
      </w:r>
    </w:p>
    <w:p w:rsidR="00744A1C" w:rsidRDefault="00E378DD" w:rsidP="00E378DD">
      <w:pPr>
        <w:pStyle w:val="libFootnote0"/>
        <w:rPr>
          <w:lang w:bidi="fa-IR"/>
        </w:rPr>
      </w:pPr>
      <w:r>
        <w:rPr>
          <w:rtl/>
          <w:lang w:bidi="fa-IR"/>
        </w:rPr>
        <w:t>(13).</w:t>
      </w:r>
      <w:r w:rsidR="00744A1C">
        <w:rPr>
          <w:rtl/>
          <w:lang w:bidi="fa-IR"/>
        </w:rPr>
        <w:t xml:space="preserve"> في « ى ، بث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17742 : « وسله ».</w:t>
      </w:r>
    </w:p>
    <w:p w:rsidR="00744A1C" w:rsidRDefault="00E378DD" w:rsidP="00E378DD">
      <w:pPr>
        <w:pStyle w:val="libFootnote0"/>
        <w:rPr>
          <w:lang w:bidi="fa-IR"/>
        </w:rPr>
      </w:pPr>
      <w:r>
        <w:rPr>
          <w:rtl/>
          <w:lang w:bidi="fa-IR"/>
        </w:rPr>
        <w:t>(14).</w:t>
      </w:r>
      <w:r w:rsidR="00744A1C">
        <w:rPr>
          <w:rtl/>
          <w:lang w:bidi="fa-IR"/>
        </w:rPr>
        <w:t xml:space="preserve"> </w:t>
      </w:r>
      <w:r w:rsidR="00744A1C" w:rsidRPr="00C24F9C">
        <w:rPr>
          <w:rStyle w:val="libFootnoteBoldChar"/>
          <w:rtl/>
        </w:rPr>
        <w:t>التهذيب</w:t>
      </w:r>
      <w:r w:rsidR="00744A1C">
        <w:rPr>
          <w:rtl/>
          <w:lang w:bidi="fa-IR"/>
        </w:rPr>
        <w:t xml:space="preserve"> ، ج 5 ، ص 2</w:t>
      </w:r>
      <w:r w:rsidR="00194E5A">
        <w:rPr>
          <w:rtl/>
          <w:lang w:bidi="fa-IR"/>
        </w:rPr>
        <w:t>77 ، ح 947 ، معلّقاً عن الكليني</w:t>
      </w:r>
      <w:r w:rsidR="00CC4BEE">
        <w:rPr>
          <w:rFonts w:hint="cs"/>
          <w:rtl/>
          <w:lang w:bidi="fa-IR"/>
        </w:rPr>
        <w:t>.</w:t>
      </w:r>
      <w:r w:rsidR="00744A1C" w:rsidRPr="00C24F9C">
        <w:rPr>
          <w:rStyle w:val="libFootnoteBoldChar"/>
          <w:rtl/>
        </w:rPr>
        <w:t>الوافي</w:t>
      </w:r>
      <w:r w:rsidR="00744A1C">
        <w:rPr>
          <w:rtl/>
          <w:lang w:bidi="fa-IR"/>
        </w:rPr>
        <w:t xml:space="preserve"> ، ج 14 ، ص 1286 ، ح 14281 ؛ </w:t>
      </w:r>
      <w:r w:rsidR="00744A1C" w:rsidRPr="00C24F9C">
        <w:rPr>
          <w:rStyle w:val="libFootnoteBoldChar"/>
          <w:rtl/>
        </w:rPr>
        <w:t>الوسائل</w:t>
      </w:r>
      <w:r w:rsidR="00744A1C">
        <w:rPr>
          <w:rtl/>
          <w:lang w:bidi="fa-IR"/>
        </w:rPr>
        <w:t xml:space="preserve"> ، ج 13 ، ص 273 ، ح 17731 ، إلى قوله : « قبل أن يرجع » ؛ وص 278 ، ح 17742.</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8006 / 7. وَعَنْهُ ، عَنِ الْحُسَيْنِ بْنِ سَعِيدٍ ، عَنِ النَّضْرِ بْنِ سُوَيْدٍ ، عَنْ عَبْدِ اللهِ بْنِ سِنَانٍ </w:t>
      </w:r>
      <w:r w:rsidRPr="00D10E3C">
        <w:rPr>
          <w:rStyle w:val="libFootnotenumChar"/>
          <w:rtl/>
        </w:rPr>
        <w:t>(1)</w:t>
      </w:r>
      <w:r w:rsidR="007E1E4D">
        <w:rPr>
          <w:rtl/>
          <w:lang w:bidi="fa-IR"/>
        </w:rPr>
        <w:t xml:space="preserve">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وَهُوَ خَارِجٌ مِنَ الْكَعْبَةِ وَهُوَ يَقُولُ : « اللهُ أَكْبَرُ ، اللهُ أَكْبَرُ » حَتّى </w:t>
      </w:r>
      <w:r w:rsidRPr="00D10E3C">
        <w:rPr>
          <w:rStyle w:val="libFootnotenumChar"/>
          <w:rtl/>
        </w:rPr>
        <w:t>(2)</w:t>
      </w:r>
      <w:r>
        <w:rPr>
          <w:rtl/>
          <w:lang w:bidi="fa-IR"/>
        </w:rPr>
        <w:t xml:space="preserve"> قَالَهَا </w:t>
      </w:r>
      <w:r w:rsidRPr="00D10E3C">
        <w:rPr>
          <w:rStyle w:val="libFootnotenumChar"/>
          <w:rtl/>
        </w:rPr>
        <w:t>(3)</w:t>
      </w:r>
      <w:r>
        <w:rPr>
          <w:rtl/>
          <w:lang w:bidi="fa-IR"/>
        </w:rPr>
        <w:t xml:space="preserve"> ثَلَاثاً ، ثُمَّ قَالَ : « اللهُمَّ لَاتُجْهِدْ بَلَاءَنَا </w:t>
      </w:r>
      <w:r w:rsidRPr="00D10E3C">
        <w:rPr>
          <w:rStyle w:val="libFootnotenumChar"/>
          <w:rtl/>
        </w:rPr>
        <w:t>(4)</w:t>
      </w:r>
      <w:r>
        <w:rPr>
          <w:rtl/>
          <w:lang w:bidi="fa-IR"/>
        </w:rPr>
        <w:t xml:space="preserve"> ، رَبَّنَا </w:t>
      </w:r>
      <w:r w:rsidRPr="00D10E3C">
        <w:rPr>
          <w:rStyle w:val="libFootnotenumChar"/>
          <w:rtl/>
        </w:rPr>
        <w:t>(5)</w:t>
      </w:r>
      <w:r>
        <w:rPr>
          <w:rtl/>
          <w:lang w:bidi="fa-IR"/>
        </w:rPr>
        <w:t xml:space="preserve"> وَلَاتُشْمِتْ بِنَا أَعْدَاءَنَا ؛ فَإِنَّكَ أَنْتَ الضَّارُّ النَّافِعُ ».</w:t>
      </w:r>
    </w:p>
    <w:p w:rsidR="00744A1C" w:rsidRDefault="00744A1C" w:rsidP="00744A1C">
      <w:pPr>
        <w:pStyle w:val="libNormal"/>
        <w:rPr>
          <w:lang w:bidi="fa-IR"/>
        </w:rPr>
      </w:pPr>
      <w:r>
        <w:rPr>
          <w:rtl/>
          <w:lang w:bidi="fa-IR"/>
        </w:rPr>
        <w:t xml:space="preserve">ثُمَّ هَبَطَ ، فَصَلّى </w:t>
      </w:r>
      <w:r w:rsidRPr="00D10E3C">
        <w:rPr>
          <w:rStyle w:val="libFootnotenumChar"/>
          <w:rtl/>
        </w:rPr>
        <w:t>(6)</w:t>
      </w:r>
      <w:r>
        <w:rPr>
          <w:rtl/>
          <w:lang w:bidi="fa-IR"/>
        </w:rPr>
        <w:t xml:space="preserve"> إِلى جَانِبِ الدَّرَجَةِ </w:t>
      </w:r>
      <w:r w:rsidRPr="00D10E3C">
        <w:rPr>
          <w:rStyle w:val="libFootnotenumChar"/>
          <w:rtl/>
        </w:rPr>
        <w:t>(7)</w:t>
      </w:r>
      <w:r>
        <w:rPr>
          <w:rtl/>
          <w:lang w:bidi="fa-IR"/>
        </w:rPr>
        <w:t xml:space="preserve"> ، جَعَلَ الدَّرَجَةَ عَنْ يَسَارِهِ مُسْتَقْبِلَ الْكَعْبَةِ ، لَيْسَ بَيْنَهَا وَبَيْنَهُ </w:t>
      </w:r>
      <w:r w:rsidRPr="00D10E3C">
        <w:rPr>
          <w:rStyle w:val="libFootnotenumChar"/>
          <w:rtl/>
        </w:rPr>
        <w:t>(8)</w:t>
      </w:r>
      <w:r>
        <w:rPr>
          <w:rtl/>
          <w:lang w:bidi="fa-IR"/>
        </w:rPr>
        <w:t xml:space="preserve"> أَحَدٌ ، ثُمَّ خَرَجَ إِلى مَنْزِلِهِ. </w:t>
      </w:r>
      <w:r w:rsidRPr="00D10E3C">
        <w:rPr>
          <w:rStyle w:val="libFootnotenumChar"/>
          <w:rtl/>
        </w:rPr>
        <w:t>(9)</w:t>
      </w:r>
    </w:p>
    <w:p w:rsidR="00744A1C" w:rsidRDefault="00744A1C" w:rsidP="00744A1C">
      <w:pPr>
        <w:pStyle w:val="libNormal"/>
        <w:rPr>
          <w:lang w:bidi="fa-IR"/>
        </w:rPr>
      </w:pPr>
      <w:r>
        <w:rPr>
          <w:rtl/>
          <w:lang w:bidi="fa-IR"/>
        </w:rPr>
        <w:t>8007 / 8. وَعَنْهُ ، عَنْ إِسْم</w:t>
      </w:r>
      <w:r w:rsidR="00924768">
        <w:rPr>
          <w:rtl/>
          <w:lang w:bidi="fa-IR"/>
        </w:rPr>
        <w:t>َاعِيلَ بْنِ هَمَّامٍ ، قَالَ :</w:t>
      </w:r>
    </w:p>
    <w:p w:rsidR="00744A1C" w:rsidRDefault="00744A1C" w:rsidP="00E82601">
      <w:pPr>
        <w:pStyle w:val="libNormal"/>
        <w:rPr>
          <w:lang w:bidi="fa-IR"/>
        </w:rPr>
      </w:pPr>
      <w:r>
        <w:rPr>
          <w:rtl/>
          <w:lang w:bidi="fa-IR"/>
        </w:rPr>
        <w:t xml:space="preserve">قَالَ أَبُو الْحَسَنِ </w:t>
      </w:r>
      <w:r w:rsidR="0061079A" w:rsidRPr="0061079A">
        <w:rPr>
          <w:rStyle w:val="libAlaemChar"/>
          <w:rtl/>
        </w:rPr>
        <w:t>عليه‌السلام</w:t>
      </w:r>
      <w:r w:rsidR="00D10E3C">
        <w:rPr>
          <w:rtl/>
          <w:lang w:bidi="fa-IR"/>
        </w:rPr>
        <w:t xml:space="preserve"> </w:t>
      </w:r>
      <w:r>
        <w:rPr>
          <w:rtl/>
          <w:lang w:bidi="fa-IR"/>
        </w:rPr>
        <w:t xml:space="preserve">: « دَخَلَ النَّبِيُّ </w:t>
      </w:r>
      <w:r w:rsidR="00E82601" w:rsidRPr="00E82601">
        <w:rPr>
          <w:rStyle w:val="libAlaemChar"/>
          <w:rFonts w:eastAsiaTheme="minorHAnsi"/>
          <w:rtl/>
        </w:rPr>
        <w:t>صلى‌الله‌عليه‌وآله</w:t>
      </w:r>
      <w:r w:rsidR="00E82601" w:rsidRPr="0041234E">
        <w:rPr>
          <w:rFonts w:eastAsiaTheme="minorHAnsi"/>
          <w:rtl/>
        </w:rPr>
        <w:t xml:space="preserve"> </w:t>
      </w:r>
      <w:r>
        <w:rPr>
          <w:rtl/>
          <w:lang w:bidi="fa-IR"/>
        </w:rPr>
        <w:t xml:space="preserve">الْكَعْبَةَ ، فَصَلّى فِي زَوَايَاهَا </w:t>
      </w:r>
      <w:r w:rsidRPr="00D10E3C">
        <w:rPr>
          <w:rStyle w:val="libFootnotenumChar"/>
          <w:rtl/>
        </w:rPr>
        <w:t>(10)</w:t>
      </w:r>
      <w:r>
        <w:rPr>
          <w:rtl/>
          <w:lang w:bidi="fa-IR"/>
        </w:rPr>
        <w:t xml:space="preserve"> الْأَرْبَعِ ، صَلّى </w:t>
      </w:r>
      <w:r w:rsidRPr="00D10E3C">
        <w:rPr>
          <w:rStyle w:val="libFootnotenumChar"/>
          <w:rtl/>
        </w:rPr>
        <w:t>(11)</w:t>
      </w:r>
      <w:r>
        <w:rPr>
          <w:rtl/>
          <w:lang w:bidi="fa-IR"/>
        </w:rPr>
        <w:t xml:space="preserve"> فِي كُلِّ زَاوِيَةٍ رَكْعَتَيْنِ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2347CA">
      <w:pPr>
        <w:pStyle w:val="libFootnote0"/>
        <w:rPr>
          <w:lang w:bidi="fa-IR"/>
        </w:rPr>
      </w:pPr>
      <w:r>
        <w:rPr>
          <w:rtl/>
          <w:lang w:bidi="fa-IR"/>
        </w:rPr>
        <w:t>(1).</w:t>
      </w:r>
      <w:r w:rsidR="00744A1C">
        <w:rPr>
          <w:rtl/>
          <w:lang w:bidi="fa-IR"/>
        </w:rPr>
        <w:t xml:space="preserve"> في « بث » : « عبد الله بن مسكان ». وفي </w:t>
      </w:r>
      <w:r w:rsidR="00744A1C" w:rsidRPr="00C24F9C">
        <w:rPr>
          <w:rStyle w:val="libFootnoteBoldChar"/>
          <w:rtl/>
        </w:rPr>
        <w:t>التهذيب</w:t>
      </w:r>
      <w:r w:rsidR="00744A1C">
        <w:rPr>
          <w:rtl/>
          <w:lang w:bidi="fa-IR"/>
        </w:rPr>
        <w:t xml:space="preserve"> : « ابن مسكان ». والظاهر أنّ « مسكان » مصحّف من « سنان » ؛ فقد روى الحسين [ بن سعيد ] عن النضر [ بن سويد ] عن [ عبد الله ] بن سنان في كثير من الأسناد. والمعهود من النضر وابن مسكان - وهو عبد الله - وقوع الواسطة بينهما ، وهو يحيى [ بن عمران ] الحلبي في الأغلب. راجع : </w:t>
      </w:r>
      <w:r w:rsidR="00744A1C" w:rsidRPr="0061079A">
        <w:rPr>
          <w:rStyle w:val="libFootnoteBoldChar"/>
          <w:rtl/>
        </w:rPr>
        <w:t>معجم رجال الحديث</w:t>
      </w:r>
      <w:r w:rsidR="00744A1C">
        <w:rPr>
          <w:rtl/>
          <w:lang w:bidi="fa-IR"/>
        </w:rPr>
        <w:t xml:space="preserve"> ، ج 19 ، ص 374 - 376 ؛ وص 379 ؛ وص 382 - 383 ؛ وج 20 ، ص 252 ؛ وص 255 ؛ وص 256.</w:t>
      </w:r>
      <w:r w:rsidR="00B03098">
        <w:rPr>
          <w:rFonts w:hint="cs"/>
          <w:rtl/>
          <w:lang w:bidi="fa-IR"/>
        </w:rPr>
        <w:t xml:space="preserve">        </w:t>
      </w:r>
      <w:r w:rsidR="00234717">
        <w:rPr>
          <w:rFonts w:hint="cs"/>
          <w:rtl/>
          <w:lang w:bidi="fa-IR"/>
        </w:rPr>
        <w:t xml:space="preserve">      </w:t>
      </w:r>
      <w:r w:rsidR="002347CA">
        <w:rPr>
          <w:rFonts w:hint="cs"/>
          <w:rtl/>
          <w:lang w:bidi="fa-IR"/>
        </w:rPr>
        <w:t xml:space="preserve"> </w:t>
      </w:r>
      <w:r w:rsidR="00E378DD">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 « حتّى ».</w:t>
      </w:r>
    </w:p>
    <w:tbl>
      <w:tblPr>
        <w:tblStyle w:val="TableGrid"/>
        <w:bidiVisual/>
        <w:tblW w:w="0" w:type="auto"/>
        <w:tblLook w:val="04A0" w:firstRow="1" w:lastRow="0" w:firstColumn="1" w:lastColumn="0" w:noHBand="0" w:noVBand="1"/>
      </w:tblPr>
      <w:tblGrid>
        <w:gridCol w:w="4006"/>
        <w:gridCol w:w="4006"/>
      </w:tblGrid>
      <w:tr w:rsidR="00C253AD" w:rsidTr="00C253AD">
        <w:tc>
          <w:tcPr>
            <w:tcW w:w="4006" w:type="dxa"/>
          </w:tcPr>
          <w:p w:rsidR="00C253AD" w:rsidRDefault="00C253AD" w:rsidP="00E378DD">
            <w:pPr>
              <w:pStyle w:val="libFootnote0"/>
              <w:rPr>
                <w:rtl/>
                <w:lang w:bidi="fa-IR"/>
              </w:rPr>
            </w:pPr>
            <w:r>
              <w:rPr>
                <w:rtl/>
                <w:lang w:bidi="fa-IR"/>
              </w:rPr>
              <w:t>(3). في « ى » : « قال ».</w:t>
            </w:r>
          </w:p>
        </w:tc>
        <w:tc>
          <w:tcPr>
            <w:tcW w:w="4006" w:type="dxa"/>
          </w:tcPr>
          <w:p w:rsidR="00C253AD" w:rsidRDefault="00C253AD" w:rsidP="00E378DD">
            <w:pPr>
              <w:pStyle w:val="libFootnote0"/>
              <w:rPr>
                <w:rtl/>
                <w:lang w:bidi="fa-IR"/>
              </w:rPr>
            </w:pPr>
            <w:r>
              <w:rPr>
                <w:rtl/>
                <w:lang w:bidi="fa-IR"/>
              </w:rPr>
              <w:t xml:space="preserve">(4). في </w:t>
            </w:r>
            <w:r w:rsidRPr="00C24F9C">
              <w:rPr>
                <w:rStyle w:val="libFootnoteBoldChar"/>
                <w:rtl/>
              </w:rPr>
              <w:t>التهذيب</w:t>
            </w:r>
            <w:r>
              <w:rPr>
                <w:rtl/>
                <w:lang w:bidi="fa-IR"/>
              </w:rPr>
              <w:t xml:space="preserve"> : « بلائي ».</w:t>
            </w:r>
          </w:p>
        </w:tc>
      </w:tr>
      <w:tr w:rsidR="00C253AD" w:rsidTr="00C253AD">
        <w:tc>
          <w:tcPr>
            <w:tcW w:w="4006" w:type="dxa"/>
          </w:tcPr>
          <w:p w:rsidR="00C253AD" w:rsidRDefault="00C253AD" w:rsidP="00E378DD">
            <w:pPr>
              <w:pStyle w:val="libFootnote0"/>
              <w:rPr>
                <w:rtl/>
                <w:lang w:bidi="fa-IR"/>
              </w:rPr>
            </w:pPr>
            <w:r>
              <w:rPr>
                <w:rtl/>
                <w:lang w:bidi="fa-IR"/>
              </w:rPr>
              <w:t xml:space="preserve">(5). في </w:t>
            </w:r>
            <w:r w:rsidRPr="00C24F9C">
              <w:rPr>
                <w:rStyle w:val="libFootnoteBoldChar"/>
                <w:rtl/>
              </w:rPr>
              <w:t>التهذيب</w:t>
            </w:r>
            <w:r>
              <w:rPr>
                <w:rtl/>
                <w:lang w:bidi="fa-IR"/>
              </w:rPr>
              <w:t xml:space="preserve"> </w:t>
            </w:r>
            <w:r w:rsidRPr="0061079A">
              <w:rPr>
                <w:rStyle w:val="libFootnoteBoldChar"/>
                <w:rtl/>
              </w:rPr>
              <w:t>و</w:t>
            </w:r>
            <w:r w:rsidRPr="00877682">
              <w:rPr>
                <w:rStyle w:val="libFootnoteBoldChar"/>
                <w:rtl/>
              </w:rPr>
              <w:t>قرب الإسناد</w:t>
            </w:r>
            <w:r>
              <w:rPr>
                <w:rtl/>
                <w:lang w:bidi="fa-IR"/>
              </w:rPr>
              <w:t xml:space="preserve"> : - « ربّنا ».</w:t>
            </w:r>
          </w:p>
        </w:tc>
        <w:tc>
          <w:tcPr>
            <w:tcW w:w="4006" w:type="dxa"/>
          </w:tcPr>
          <w:p w:rsidR="00C253AD" w:rsidRDefault="00C253AD" w:rsidP="008E7F3E">
            <w:pPr>
              <w:pStyle w:val="libFootnote0"/>
              <w:rPr>
                <w:rtl/>
                <w:lang w:bidi="fa-IR"/>
              </w:rPr>
            </w:pPr>
            <w:r>
              <w:rPr>
                <w:rtl/>
                <w:lang w:bidi="fa-IR"/>
              </w:rPr>
              <w:t>(6). في«ى،جد»:«وصلّى».وفي«بح»:«</w:t>
            </w:r>
            <w:r w:rsidR="008E7F3E">
              <w:rPr>
                <w:rtl/>
                <w:lang w:bidi="fa-IR"/>
              </w:rPr>
              <w:t>يصلّى</w:t>
            </w:r>
            <w:r>
              <w:rPr>
                <w:rtl/>
                <w:lang w:bidi="fa-IR"/>
              </w:rPr>
              <w:t>».</w:t>
            </w:r>
          </w:p>
        </w:tc>
      </w:tr>
    </w:tbl>
    <w:p w:rsidR="00744A1C" w:rsidRDefault="00E378DD" w:rsidP="00E378DD">
      <w:pPr>
        <w:pStyle w:val="libFootnote0"/>
        <w:rPr>
          <w:lang w:bidi="fa-IR"/>
        </w:rPr>
      </w:pPr>
      <w:r>
        <w:rPr>
          <w:rtl/>
          <w:lang w:bidi="fa-IR"/>
        </w:rPr>
        <w:t>(7).</w:t>
      </w:r>
      <w:r w:rsidR="00744A1C">
        <w:rPr>
          <w:rtl/>
          <w:lang w:bidi="fa-IR"/>
        </w:rPr>
        <w:t xml:space="preserve"> « الدرجة » ، وفيها لغات ا</w:t>
      </w:r>
      <w:r w:rsidR="00EE74B2">
        <w:rPr>
          <w:rFonts w:hint="cs"/>
          <w:rtl/>
          <w:lang w:bidi="fa-IR"/>
        </w:rPr>
        <w:t>ُ</w:t>
      </w:r>
      <w:r w:rsidR="00744A1C">
        <w:rPr>
          <w:rtl/>
          <w:lang w:bidi="fa-IR"/>
        </w:rPr>
        <w:t xml:space="preserve">خرى كلّها بمعنى المرقاة ، وهي آلة الصعود. راجع : </w:t>
      </w:r>
      <w:r w:rsidR="00744A1C" w:rsidRPr="008A57EB">
        <w:rPr>
          <w:rStyle w:val="libFootnoteBoldChar"/>
          <w:rtl/>
        </w:rPr>
        <w:t>القاموس المحيط</w:t>
      </w:r>
      <w:r w:rsidR="00744A1C">
        <w:rPr>
          <w:rtl/>
          <w:lang w:bidi="fa-IR"/>
        </w:rPr>
        <w:t xml:space="preserve"> ، ج 1 ، ص 294 ( درج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بينه وبينها ». وفي </w:t>
      </w:r>
      <w:r w:rsidR="00744A1C" w:rsidRPr="00877682">
        <w:rPr>
          <w:rStyle w:val="libFootnoteBoldChar"/>
          <w:rtl/>
        </w:rPr>
        <w:t>قرب الإسناد</w:t>
      </w:r>
      <w:r w:rsidR="00744A1C">
        <w:rPr>
          <w:rtl/>
          <w:lang w:bidi="fa-IR"/>
        </w:rPr>
        <w:t xml:space="preserve"> : « بينه وبين الكعبة من » كلاهما بدل « بينها وبينه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279 ، ح 956 ، معلّقاً عن الكليني. </w:t>
      </w:r>
      <w:r w:rsidR="00744A1C" w:rsidRPr="00877682">
        <w:rPr>
          <w:rStyle w:val="libFootnoteBoldChar"/>
          <w:rtl/>
        </w:rPr>
        <w:t>قرب الإسناد</w:t>
      </w:r>
      <w:r w:rsidR="00744A1C">
        <w:rPr>
          <w:rtl/>
          <w:lang w:bidi="fa-IR"/>
        </w:rPr>
        <w:t xml:space="preserve"> ، ص 4 ، ح 10 ، بسند آخر ، مع اختلاف يسير </w:t>
      </w:r>
      <w:r w:rsidR="0016725A">
        <w:rPr>
          <w:rFonts w:hint="cs"/>
          <w:rtl/>
          <w:lang w:bidi="fa-IR"/>
        </w:rPr>
        <w:t>.</w:t>
      </w:r>
      <w:r w:rsidR="00744A1C" w:rsidRPr="00C24F9C">
        <w:rPr>
          <w:rStyle w:val="libFootnoteBoldChar"/>
          <w:rtl/>
        </w:rPr>
        <w:t>الوافي</w:t>
      </w:r>
      <w:r w:rsidR="00744A1C">
        <w:rPr>
          <w:rtl/>
          <w:lang w:bidi="fa-IR"/>
        </w:rPr>
        <w:t xml:space="preserve"> ، ج 14 ، ص 1287 ، ح 14282 ؛ </w:t>
      </w:r>
      <w:r w:rsidR="00744A1C" w:rsidRPr="00C24F9C">
        <w:rPr>
          <w:rStyle w:val="libFootnoteBoldChar"/>
          <w:rtl/>
        </w:rPr>
        <w:t>الوسائل</w:t>
      </w:r>
      <w:r w:rsidR="00744A1C">
        <w:rPr>
          <w:rtl/>
          <w:lang w:bidi="fa-IR"/>
        </w:rPr>
        <w:t xml:space="preserve"> ، ج 13 ، ص 282 ، ح 17750.</w:t>
      </w:r>
    </w:p>
    <w:tbl>
      <w:tblPr>
        <w:tblStyle w:val="TableGrid"/>
        <w:bidiVisual/>
        <w:tblW w:w="0" w:type="auto"/>
        <w:tblLook w:val="04A0" w:firstRow="1" w:lastRow="0" w:firstColumn="1" w:lastColumn="0" w:noHBand="0" w:noVBand="1"/>
      </w:tblPr>
      <w:tblGrid>
        <w:gridCol w:w="4006"/>
        <w:gridCol w:w="4006"/>
      </w:tblGrid>
      <w:tr w:rsidR="0082261C" w:rsidTr="0082261C">
        <w:tc>
          <w:tcPr>
            <w:tcW w:w="4006" w:type="dxa"/>
          </w:tcPr>
          <w:p w:rsidR="0082261C" w:rsidRDefault="0082261C" w:rsidP="00E378DD">
            <w:pPr>
              <w:pStyle w:val="libFootnote0"/>
              <w:rPr>
                <w:rtl/>
                <w:lang w:bidi="fa-IR"/>
              </w:rPr>
            </w:pPr>
            <w:r>
              <w:rPr>
                <w:rtl/>
                <w:lang w:bidi="fa-IR"/>
              </w:rPr>
              <w:t xml:space="preserve">(10). في </w:t>
            </w:r>
            <w:r w:rsidRPr="00C24F9C">
              <w:rPr>
                <w:rStyle w:val="libFootnoteBoldChar"/>
                <w:rtl/>
              </w:rPr>
              <w:t>الوافي</w:t>
            </w:r>
            <w:r>
              <w:rPr>
                <w:rtl/>
                <w:lang w:bidi="fa-IR"/>
              </w:rPr>
              <w:t xml:space="preserve"> : « زواياه ».</w:t>
            </w:r>
          </w:p>
        </w:tc>
        <w:tc>
          <w:tcPr>
            <w:tcW w:w="4006" w:type="dxa"/>
          </w:tcPr>
          <w:p w:rsidR="0082261C" w:rsidRDefault="004F3E67" w:rsidP="00E378DD">
            <w:pPr>
              <w:pStyle w:val="libFootnote0"/>
              <w:rPr>
                <w:rtl/>
                <w:lang w:bidi="fa-IR"/>
              </w:rPr>
            </w:pPr>
            <w:r>
              <w:rPr>
                <w:rtl/>
                <w:lang w:bidi="fa-IR"/>
              </w:rPr>
              <w:t xml:space="preserve">(11). في </w:t>
            </w:r>
            <w:r w:rsidRPr="00C24F9C">
              <w:rPr>
                <w:rStyle w:val="libFootnoteBoldChar"/>
                <w:rtl/>
              </w:rPr>
              <w:t>الوسائل</w:t>
            </w:r>
            <w:r>
              <w:rPr>
                <w:rtl/>
                <w:lang w:bidi="fa-IR"/>
              </w:rPr>
              <w:t xml:space="preserve"> « وصلّى ».</w:t>
            </w:r>
          </w:p>
        </w:tc>
      </w:tr>
    </w:tbl>
    <w:p w:rsidR="00744A1C" w:rsidRDefault="00E378DD" w:rsidP="00541F0E">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5 ، ص 278 ، ح 949 ، معلّقاً عن أحمد بن محمّد ، عن إسماعيل بن همّام</w:t>
      </w:r>
      <w:r w:rsidR="00541F0E">
        <w:rPr>
          <w:rFonts w:hint="cs"/>
          <w:rtl/>
          <w:lang w:bidi="fa-IR"/>
        </w:rPr>
        <w:t>.</w:t>
      </w:r>
      <w:r w:rsidR="00744A1C" w:rsidRPr="00C24F9C">
        <w:rPr>
          <w:rStyle w:val="libFootnoteBoldChar"/>
          <w:rtl/>
        </w:rPr>
        <w:t>الوافي</w:t>
      </w:r>
      <w:r w:rsidR="00744A1C">
        <w:rPr>
          <w:rtl/>
          <w:lang w:bidi="fa-IR"/>
        </w:rPr>
        <w:t xml:space="preserve"> ، ج 14 ، ص 1287 ، ح 14283 ؛ </w:t>
      </w:r>
      <w:r w:rsidR="00744A1C" w:rsidRPr="00C24F9C">
        <w:rPr>
          <w:rStyle w:val="libFootnoteBoldChar"/>
          <w:rtl/>
        </w:rPr>
        <w:t>الوسائل</w:t>
      </w:r>
      <w:r w:rsidR="00744A1C">
        <w:rPr>
          <w:rtl/>
          <w:lang w:bidi="fa-IR"/>
        </w:rPr>
        <w:t xml:space="preserve"> ، ج 13 ، ص 276 ، ح 17738 ؛ </w:t>
      </w:r>
      <w:r w:rsidR="00744A1C" w:rsidRPr="0061079A">
        <w:rPr>
          <w:rStyle w:val="libFootnoteBoldChar"/>
          <w:rtl/>
        </w:rPr>
        <w:t>البحار</w:t>
      </w:r>
      <w:r w:rsidR="00744A1C">
        <w:rPr>
          <w:rtl/>
          <w:lang w:bidi="fa-IR"/>
        </w:rPr>
        <w:t xml:space="preserve"> ، ج 21 ، ص 380 ، ح 6.</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8008 / 9. وَعَنْهُ ، عَنِ ابْنِ فَضَّالٍ ، عَنْ ي</w:t>
      </w:r>
      <w:r w:rsidR="008C48D1">
        <w:rPr>
          <w:rtl/>
          <w:lang w:bidi="fa-IR"/>
        </w:rPr>
        <w:t>ُونُسَ بْنِ يَعْقُوبَ ، قَالَ :</w:t>
      </w:r>
    </w:p>
    <w:p w:rsidR="00744A1C" w:rsidRDefault="00744A1C" w:rsidP="008C48D1">
      <w:pPr>
        <w:pStyle w:val="libNormal"/>
        <w:rPr>
          <w:lang w:bidi="fa-IR"/>
        </w:rPr>
      </w:pPr>
      <w:r>
        <w:rPr>
          <w:rtl/>
          <w:lang w:bidi="fa-IR"/>
        </w:rPr>
        <w:t xml:space="preserve">رَأَيْتُ أَبَا عَبْدِ اللهِ </w:t>
      </w:r>
      <w:r w:rsidR="0061079A" w:rsidRPr="0061079A">
        <w:rPr>
          <w:rStyle w:val="libAlaemChar"/>
          <w:rtl/>
        </w:rPr>
        <w:t>عليه‌السلام</w:t>
      </w:r>
      <w:r w:rsidR="00D10E3C">
        <w:rPr>
          <w:rtl/>
          <w:lang w:bidi="fa-IR"/>
        </w:rPr>
        <w:t xml:space="preserve"> </w:t>
      </w:r>
      <w:r>
        <w:rPr>
          <w:rtl/>
          <w:lang w:bidi="fa-IR"/>
        </w:rPr>
        <w:t xml:space="preserve">قَدْ دَخَلَ الْكَعْبَةَ ، ثُمَّ أَرَادَ بَيْنَ الْعَمُودَيْنِ ، فَلَمْ يَقْدِرْ عَلَيْهِ ، فَصَلّى دُونَهُ ، ثُمَّ خَرَجَ ، فَمَضى حَتّى خَرَجَ مِنَ الْمَسْجِدِ </w:t>
      </w:r>
      <w:r w:rsidRPr="00D10E3C">
        <w:rPr>
          <w:rStyle w:val="libFootnotenumChar"/>
          <w:rtl/>
        </w:rPr>
        <w:t>(1)</w:t>
      </w:r>
      <w:r w:rsidR="008C48D1">
        <w:rPr>
          <w:rFonts w:hint="cs"/>
          <w:rtl/>
          <w:lang w:bidi="fa-IR"/>
        </w:rPr>
        <w:t>.</w:t>
      </w:r>
      <w:r w:rsidRPr="00D10E3C">
        <w:rPr>
          <w:rStyle w:val="libFootnotenumChar"/>
          <w:rtl/>
        </w:rPr>
        <w:t>(2)</w:t>
      </w:r>
    </w:p>
    <w:p w:rsidR="00744A1C" w:rsidRDefault="00744A1C" w:rsidP="00744A1C">
      <w:pPr>
        <w:pStyle w:val="libNormal"/>
        <w:rPr>
          <w:lang w:bidi="fa-IR"/>
        </w:rPr>
      </w:pPr>
      <w:r>
        <w:rPr>
          <w:rtl/>
          <w:lang w:bidi="fa-IR"/>
        </w:rPr>
        <w:t xml:space="preserve">8009 / 10. وَعَنْهُ ، عَنِ ابْنِ فَضَّالٍ ، عَنْ يُونُسَ </w:t>
      </w:r>
      <w:r w:rsidRPr="00D10E3C">
        <w:rPr>
          <w:rStyle w:val="libFootnotenumChar"/>
          <w:rtl/>
        </w:rPr>
        <w:t>(3)</w:t>
      </w:r>
      <w:r w:rsidR="00EA0E38">
        <w:rPr>
          <w:rtl/>
          <w:lang w:bidi="fa-IR"/>
        </w:rPr>
        <w:t xml:space="preserve">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إِذَا دَخَلْتُ الْكَعْبَةَ ، كَيْفَ </w:t>
      </w:r>
      <w:r w:rsidRPr="00D10E3C">
        <w:rPr>
          <w:rStyle w:val="libFootnotenumChar"/>
          <w:rtl/>
        </w:rPr>
        <w:t>(4)</w:t>
      </w:r>
      <w:r>
        <w:rPr>
          <w:rtl/>
          <w:lang w:bidi="fa-IR"/>
        </w:rPr>
        <w:t xml:space="preserve"> أَصْنَعُ؟</w:t>
      </w:r>
    </w:p>
    <w:p w:rsidR="00744A1C" w:rsidRDefault="00744A1C" w:rsidP="00744A1C">
      <w:pPr>
        <w:pStyle w:val="libNormal"/>
        <w:rPr>
          <w:lang w:bidi="fa-IR"/>
        </w:rPr>
      </w:pPr>
      <w:r>
        <w:rPr>
          <w:rtl/>
          <w:lang w:bidi="fa-IR"/>
        </w:rPr>
        <w:t xml:space="preserve">قَالَ : « خُذْ بِحَلْقَتَيِ </w:t>
      </w:r>
      <w:r w:rsidRPr="00D10E3C">
        <w:rPr>
          <w:rStyle w:val="libFootnotenumChar"/>
          <w:rtl/>
        </w:rPr>
        <w:t>(5)</w:t>
      </w:r>
      <w:r>
        <w:rPr>
          <w:rtl/>
          <w:lang w:bidi="fa-IR"/>
        </w:rPr>
        <w:t xml:space="preserve"> الْبَابِ إِذَا دَخَلْتَ ، ثُمَّ امْضِ حَتّى تَأْتِيَ الْعَمُودَيْنِ ، فَصَلِّ عَلَى الرُّخَامَةِ الْحَمْرَاءِ ، ثُمَّ إِذَا خَرَجْتَ مِنَ الْبَيْتِ فَنَزَلْتَ مِنَ الدَّرَجَةِ ، فَصَلِّ عَنْ يَمِينِكَ رَكْعَتَيْنِ ». </w:t>
      </w:r>
      <w:r w:rsidRPr="00D10E3C">
        <w:rPr>
          <w:rStyle w:val="libFootnotenumChar"/>
          <w:rtl/>
        </w:rPr>
        <w:t>(6)</w:t>
      </w:r>
    </w:p>
    <w:p w:rsidR="00744A1C" w:rsidRDefault="00744A1C" w:rsidP="00744A1C">
      <w:pPr>
        <w:pStyle w:val="libNormal"/>
        <w:rPr>
          <w:lang w:bidi="fa-IR"/>
        </w:rPr>
      </w:pPr>
      <w:r>
        <w:rPr>
          <w:rtl/>
          <w:lang w:bidi="fa-IR"/>
        </w:rPr>
        <w:t xml:space="preserve">8010 / 11. وَعَنْهُ ، عَنْ صَفْوَانَ بْنِ يَحْيى ، عَنْ مُعَاوِيَةَ بْنِ عَمَّارٍ فِي دُعَاءِ الْوَلَدِ </w:t>
      </w:r>
      <w:r w:rsidRPr="00D10E3C">
        <w:rPr>
          <w:rStyle w:val="libFootnotenumChar"/>
          <w:rtl/>
        </w:rPr>
        <w:t>(7)</w:t>
      </w:r>
      <w:r w:rsidR="00F8602A">
        <w:rPr>
          <w:rtl/>
          <w:lang w:bidi="fa-IR"/>
        </w:rPr>
        <w:t xml:space="preserve"> ، قَالَ :</w:t>
      </w:r>
    </w:p>
    <w:p w:rsidR="00744A1C" w:rsidRDefault="00744A1C" w:rsidP="00744A1C">
      <w:pPr>
        <w:pStyle w:val="libNormal"/>
        <w:rPr>
          <w:lang w:bidi="fa-IR"/>
        </w:rPr>
      </w:pPr>
      <w:r>
        <w:rPr>
          <w:rtl/>
          <w:lang w:bidi="fa-IR"/>
        </w:rPr>
        <w:t xml:space="preserve">« أَفِضْ عَلَيْكَ دَلْواً </w:t>
      </w:r>
      <w:r w:rsidRPr="00D10E3C">
        <w:rPr>
          <w:rStyle w:val="libFootnotenumChar"/>
          <w:rtl/>
        </w:rPr>
        <w:t>(8)</w:t>
      </w:r>
      <w:r>
        <w:rPr>
          <w:rtl/>
          <w:lang w:bidi="fa-IR"/>
        </w:rPr>
        <w:t xml:space="preserve"> مِنْ مَاءِ </w:t>
      </w:r>
      <w:r w:rsidRPr="00D10E3C">
        <w:rPr>
          <w:rStyle w:val="libFootnotenumChar"/>
          <w:rtl/>
        </w:rPr>
        <w:t>(9)</w:t>
      </w:r>
      <w:r>
        <w:rPr>
          <w:rtl/>
          <w:lang w:bidi="fa-IR"/>
        </w:rPr>
        <w:t xml:space="preserve"> زَمْزَمَ ، ثُمَّ ادْخُلِ الْبَيْتَ ، فَإِذَا قُمْتَ </w:t>
      </w:r>
      <w:r w:rsidRPr="00D10E3C">
        <w:rPr>
          <w:rStyle w:val="libFootnotenumChar"/>
          <w:rtl/>
        </w:rPr>
        <w:t>(10)</w:t>
      </w:r>
      <w:r>
        <w:rPr>
          <w:rtl/>
          <w:lang w:bidi="fa-IR"/>
        </w:rPr>
        <w:t xml:space="preserve"> عَلى بَابِ الْبَيْتِ ، فَخُذْ بِحَلْقَةِ الْبَابِ ، ثُمَّ قُلِ : اللهُمَّ إِنَّ </w:t>
      </w:r>
      <w:r w:rsidRPr="00D10E3C">
        <w:rPr>
          <w:rStyle w:val="libFootnotenumChar"/>
          <w:rtl/>
        </w:rPr>
        <w:t>(11)</w:t>
      </w:r>
      <w:r>
        <w:rPr>
          <w:rtl/>
          <w:lang w:bidi="fa-IR"/>
        </w:rPr>
        <w:t xml:space="preserve"> الْبَيْتَ بَيْتُكَ ، وَالْعَبْدَ عَبْدُكَ ، وَقَدْ قُلْتَ : </w:t>
      </w:r>
      <w:r w:rsidRPr="00896DB7">
        <w:rPr>
          <w:rStyle w:val="libAlaemChar"/>
          <w:rtl/>
        </w:rPr>
        <w:t>(</w:t>
      </w:r>
      <w:r w:rsidRPr="00896DB7">
        <w:rPr>
          <w:rStyle w:val="libAieChar"/>
          <w:rtl/>
        </w:rPr>
        <w:t xml:space="preserve"> وَمَنْ دَخَلَهُ ك</w:t>
      </w:r>
      <w:r w:rsidR="00896DB7">
        <w:rPr>
          <w:rStyle w:val="libAieChar"/>
          <w:rFonts w:hint="cs"/>
          <w:rtl/>
        </w:rPr>
        <w:t>َ</w:t>
      </w:r>
      <w:r w:rsidRPr="00896DB7">
        <w:rPr>
          <w:rStyle w:val="libAieChar"/>
          <w:rtl/>
        </w:rPr>
        <w:t xml:space="preserve">انَ آمِناً </w:t>
      </w:r>
      <w:r w:rsidRPr="00896DB7">
        <w:rPr>
          <w:rStyle w:val="libAlaemChar"/>
          <w:rtl/>
        </w:rPr>
        <w:t>)</w:t>
      </w:r>
      <w:r>
        <w:rPr>
          <w:rtl/>
          <w:lang w:bidi="fa-IR"/>
        </w:rPr>
        <w:t xml:space="preserve"> </w:t>
      </w:r>
      <w:r w:rsidRPr="00D10E3C">
        <w:rPr>
          <w:rStyle w:val="libFootnotenumChar"/>
          <w:rtl/>
        </w:rPr>
        <w:t>(12)</w:t>
      </w:r>
      <w:r>
        <w:rPr>
          <w:rtl/>
          <w:lang w:bidi="fa-IR"/>
        </w:rPr>
        <w:t xml:space="preserve"> فَآمِنِّي مِنْ عَذَابِكَ ، وَأَجِرْنِي مِنْ سَخَطِكَ.</w:t>
      </w:r>
    </w:p>
    <w:p w:rsidR="00744A1C" w:rsidRDefault="00744A1C" w:rsidP="00744A1C">
      <w:pPr>
        <w:pStyle w:val="libNormal"/>
        <w:rPr>
          <w:lang w:bidi="fa-IR"/>
        </w:rPr>
      </w:pPr>
      <w:r>
        <w:rPr>
          <w:rtl/>
          <w:lang w:bidi="fa-IR"/>
        </w:rPr>
        <w:t xml:space="preserve">ثُمَّ ادْخُلِ الْبَيْتَ ، فَصَلِّ عَلَى الرُّخَامَةِ الْحَمْرَاءِ رَكْعَتَيْنِ ، ثُمَّ قُمْ </w:t>
      </w:r>
      <w:r w:rsidRPr="00D10E3C">
        <w:rPr>
          <w:rStyle w:val="libFootnotenumChar"/>
          <w:rtl/>
        </w:rPr>
        <w:t>(13)</w:t>
      </w:r>
      <w:r>
        <w:rPr>
          <w:rtl/>
          <w:lang w:bidi="fa-IR"/>
        </w:rPr>
        <w:t xml:space="preserve"> إِلَى الْأُسْطُوَانَةِ‌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و</w:t>
      </w:r>
      <w:r w:rsidR="00744A1C" w:rsidRPr="00C24F9C">
        <w:rPr>
          <w:rStyle w:val="libFootnoteBoldChar"/>
          <w:rtl/>
        </w:rPr>
        <w:t>الوسائل</w:t>
      </w:r>
      <w:r w:rsidR="00744A1C">
        <w:rPr>
          <w:rtl/>
          <w:lang w:bidi="fa-IR"/>
        </w:rPr>
        <w:t xml:space="preserve"> : + « الحرام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14 ، ص 1287 ، ح 14284 ؛ </w:t>
      </w:r>
      <w:r w:rsidR="00744A1C" w:rsidRPr="00C24F9C">
        <w:rPr>
          <w:rStyle w:val="libFootnoteBoldChar"/>
          <w:rtl/>
        </w:rPr>
        <w:t>الوسائل</w:t>
      </w:r>
      <w:r w:rsidR="00744A1C">
        <w:rPr>
          <w:rtl/>
          <w:lang w:bidi="fa-IR"/>
        </w:rPr>
        <w:t xml:space="preserve"> ، ج 13 ، ص 278 ، ح 17743.</w:t>
      </w:r>
    </w:p>
    <w:tbl>
      <w:tblPr>
        <w:tblStyle w:val="TableGrid"/>
        <w:bidiVisual/>
        <w:tblW w:w="0" w:type="auto"/>
        <w:tblLook w:val="04A0" w:firstRow="1" w:lastRow="0" w:firstColumn="1" w:lastColumn="0" w:noHBand="0" w:noVBand="1"/>
      </w:tblPr>
      <w:tblGrid>
        <w:gridCol w:w="4006"/>
        <w:gridCol w:w="4006"/>
      </w:tblGrid>
      <w:tr w:rsidR="009E2720" w:rsidTr="009E2720">
        <w:tc>
          <w:tcPr>
            <w:tcW w:w="4006" w:type="dxa"/>
          </w:tcPr>
          <w:p w:rsidR="009E2720" w:rsidRDefault="009E2720" w:rsidP="00E378DD">
            <w:pPr>
              <w:pStyle w:val="libFootnote0"/>
              <w:rPr>
                <w:rtl/>
                <w:lang w:bidi="fa-IR"/>
              </w:rPr>
            </w:pPr>
            <w:r>
              <w:rPr>
                <w:rtl/>
                <w:lang w:bidi="fa-IR"/>
              </w:rPr>
              <w:t>(3). في « بخ » : + « بن يعقوب ».</w:t>
            </w:r>
          </w:p>
        </w:tc>
        <w:tc>
          <w:tcPr>
            <w:tcW w:w="4006" w:type="dxa"/>
          </w:tcPr>
          <w:p w:rsidR="009E2720" w:rsidRDefault="00C2172A" w:rsidP="00E378DD">
            <w:pPr>
              <w:pStyle w:val="libFootnote0"/>
              <w:rPr>
                <w:rtl/>
                <w:lang w:bidi="fa-IR"/>
              </w:rPr>
            </w:pPr>
            <w:r>
              <w:rPr>
                <w:rtl/>
                <w:lang w:bidi="fa-IR"/>
              </w:rPr>
              <w:t>(4). في « جن » : « فكيف ».</w:t>
            </w:r>
          </w:p>
        </w:tc>
      </w:tr>
    </w:tbl>
    <w:p w:rsidR="00744A1C" w:rsidRDefault="00E378DD" w:rsidP="00E378DD">
      <w:pPr>
        <w:pStyle w:val="libFootnote0"/>
        <w:rPr>
          <w:lang w:bidi="fa-IR"/>
        </w:rPr>
      </w:pPr>
      <w:r>
        <w:rPr>
          <w:rtl/>
          <w:lang w:bidi="fa-IR"/>
        </w:rPr>
        <w:t>(5).</w:t>
      </w:r>
      <w:r w:rsidR="00744A1C">
        <w:rPr>
          <w:rtl/>
          <w:lang w:bidi="fa-IR"/>
        </w:rPr>
        <w:t xml:space="preserve"> في « ى ، بث ، جن » : « بحلقي ».</w:t>
      </w:r>
    </w:p>
    <w:p w:rsidR="00744A1C" w:rsidRDefault="00E378DD" w:rsidP="007F4CD0">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278 ، ح 950 ، معلّقاً عن أحمد بن محمّد ، عن ابن فضّال</w:t>
      </w:r>
      <w:r w:rsidR="007F4CD0">
        <w:rPr>
          <w:rFonts w:hint="cs"/>
          <w:rtl/>
          <w:lang w:bidi="fa-IR"/>
        </w:rPr>
        <w:t>.</w:t>
      </w:r>
      <w:r w:rsidR="00744A1C" w:rsidRPr="00C24F9C">
        <w:rPr>
          <w:rStyle w:val="libFootnoteBoldChar"/>
          <w:rtl/>
        </w:rPr>
        <w:t>الوافي</w:t>
      </w:r>
      <w:r w:rsidR="00744A1C">
        <w:rPr>
          <w:rtl/>
          <w:lang w:bidi="fa-IR"/>
        </w:rPr>
        <w:t xml:space="preserve"> ، ج 14 ، ص 1287 ، ح 14285 ؛ </w:t>
      </w:r>
      <w:r w:rsidR="00744A1C" w:rsidRPr="00C24F9C">
        <w:rPr>
          <w:rStyle w:val="libFootnoteBoldChar"/>
          <w:rtl/>
        </w:rPr>
        <w:t>الوسائل</w:t>
      </w:r>
      <w:r w:rsidR="00744A1C">
        <w:rPr>
          <w:rtl/>
          <w:lang w:bidi="fa-IR"/>
        </w:rPr>
        <w:t xml:space="preserve"> ، ج 13 ، ص 282 ، ح 17751.</w:t>
      </w:r>
    </w:p>
    <w:tbl>
      <w:tblPr>
        <w:tblStyle w:val="TableGrid"/>
        <w:bidiVisual/>
        <w:tblW w:w="0" w:type="auto"/>
        <w:tblLook w:val="04A0" w:firstRow="1" w:lastRow="0" w:firstColumn="1" w:lastColumn="0" w:noHBand="0" w:noVBand="1"/>
      </w:tblPr>
      <w:tblGrid>
        <w:gridCol w:w="4006"/>
        <w:gridCol w:w="4006"/>
      </w:tblGrid>
      <w:tr w:rsidR="003E248B" w:rsidTr="003E248B">
        <w:tc>
          <w:tcPr>
            <w:tcW w:w="4006" w:type="dxa"/>
          </w:tcPr>
          <w:p w:rsidR="003E248B" w:rsidRDefault="003E248B" w:rsidP="00E378DD">
            <w:pPr>
              <w:pStyle w:val="libFootnote0"/>
              <w:rPr>
                <w:rtl/>
                <w:lang w:bidi="fa-IR"/>
              </w:rPr>
            </w:pPr>
            <w:r>
              <w:rPr>
                <w:rtl/>
                <w:lang w:bidi="fa-IR"/>
              </w:rPr>
              <w:t>(7). في « بس » : « للولد ».</w:t>
            </w:r>
          </w:p>
        </w:tc>
        <w:tc>
          <w:tcPr>
            <w:tcW w:w="4006" w:type="dxa"/>
          </w:tcPr>
          <w:p w:rsidR="003E248B" w:rsidRDefault="003E248B" w:rsidP="00E378DD">
            <w:pPr>
              <w:pStyle w:val="libFootnote0"/>
              <w:rPr>
                <w:rtl/>
                <w:lang w:bidi="fa-IR"/>
              </w:rPr>
            </w:pPr>
            <w:r>
              <w:rPr>
                <w:rtl/>
                <w:lang w:bidi="fa-IR"/>
              </w:rPr>
              <w:t>(8). في « بس » : - « دلواً ».</w:t>
            </w:r>
          </w:p>
        </w:tc>
      </w:tr>
      <w:tr w:rsidR="003E248B" w:rsidTr="003E248B">
        <w:tc>
          <w:tcPr>
            <w:tcW w:w="4006" w:type="dxa"/>
          </w:tcPr>
          <w:p w:rsidR="003E248B" w:rsidRDefault="003E248B" w:rsidP="00E378DD">
            <w:pPr>
              <w:pStyle w:val="libFootnote0"/>
              <w:rPr>
                <w:rtl/>
                <w:lang w:bidi="fa-IR"/>
              </w:rPr>
            </w:pPr>
            <w:r>
              <w:rPr>
                <w:rtl/>
                <w:lang w:bidi="fa-IR"/>
              </w:rPr>
              <w:t>(9). في « ى » : - « ماء ».</w:t>
            </w:r>
          </w:p>
        </w:tc>
        <w:tc>
          <w:tcPr>
            <w:tcW w:w="4006" w:type="dxa"/>
          </w:tcPr>
          <w:p w:rsidR="003E248B" w:rsidRDefault="003E248B" w:rsidP="00E378DD">
            <w:pPr>
              <w:pStyle w:val="libFootnote0"/>
              <w:rPr>
                <w:rtl/>
                <w:lang w:bidi="fa-IR"/>
              </w:rPr>
            </w:pPr>
            <w:r>
              <w:rPr>
                <w:rtl/>
                <w:lang w:bidi="fa-IR"/>
              </w:rPr>
              <w:t>(10). في « بخ ، بف » و</w:t>
            </w:r>
            <w:r w:rsidRPr="00C24F9C">
              <w:rPr>
                <w:rStyle w:val="libFootnoteBoldChar"/>
                <w:rtl/>
              </w:rPr>
              <w:t>الوافي</w:t>
            </w:r>
            <w:r>
              <w:rPr>
                <w:rtl/>
                <w:lang w:bidi="fa-IR"/>
              </w:rPr>
              <w:t xml:space="preserve"> : « أقمت ».</w:t>
            </w:r>
          </w:p>
        </w:tc>
      </w:tr>
      <w:tr w:rsidR="003E248B" w:rsidTr="003E248B">
        <w:tc>
          <w:tcPr>
            <w:tcW w:w="4006" w:type="dxa"/>
          </w:tcPr>
          <w:p w:rsidR="003E248B" w:rsidRDefault="003E248B" w:rsidP="00E378DD">
            <w:pPr>
              <w:pStyle w:val="libFootnote0"/>
              <w:rPr>
                <w:rtl/>
                <w:lang w:bidi="fa-IR"/>
              </w:rPr>
            </w:pPr>
            <w:r>
              <w:rPr>
                <w:rtl/>
                <w:lang w:bidi="fa-IR"/>
              </w:rPr>
              <w:t>(11). في « جن » : - « إنّ ».</w:t>
            </w:r>
          </w:p>
        </w:tc>
        <w:tc>
          <w:tcPr>
            <w:tcW w:w="4006" w:type="dxa"/>
          </w:tcPr>
          <w:p w:rsidR="003E248B" w:rsidRDefault="004D5E1C" w:rsidP="00E378DD">
            <w:pPr>
              <w:pStyle w:val="libFootnote0"/>
              <w:rPr>
                <w:rtl/>
                <w:lang w:bidi="fa-IR"/>
              </w:rPr>
            </w:pPr>
            <w:r>
              <w:rPr>
                <w:rtl/>
                <w:lang w:bidi="fa-IR"/>
              </w:rPr>
              <w:t>(12). آل عمران (3). : 97.</w:t>
            </w:r>
          </w:p>
        </w:tc>
      </w:tr>
    </w:tbl>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الوافي</w:t>
      </w:r>
      <w:r w:rsidR="00744A1C">
        <w:rPr>
          <w:rtl/>
          <w:lang w:bidi="fa-IR"/>
        </w:rPr>
        <w:t xml:space="preserve"> عن بعض النسخ : « تمرّ ».</w:t>
      </w:r>
    </w:p>
    <w:p w:rsidR="00150943" w:rsidRDefault="00150943" w:rsidP="00D10E3C">
      <w:pPr>
        <w:pStyle w:val="libNormal"/>
        <w:rPr>
          <w:rtl/>
          <w:lang w:bidi="fa-IR"/>
        </w:rPr>
      </w:pPr>
      <w:r>
        <w:rPr>
          <w:rtl/>
          <w:lang w:bidi="fa-IR"/>
        </w:rPr>
        <w:br w:type="page"/>
      </w:r>
    </w:p>
    <w:p w:rsidR="00744A1C" w:rsidRDefault="00744A1C" w:rsidP="00B03098">
      <w:pPr>
        <w:pStyle w:val="libNormal0"/>
        <w:rPr>
          <w:lang w:bidi="fa-IR"/>
        </w:rPr>
      </w:pPr>
      <w:r>
        <w:rPr>
          <w:rtl/>
          <w:lang w:bidi="fa-IR"/>
        </w:rPr>
        <w:lastRenderedPageBreak/>
        <w:t xml:space="preserve">الَّتِي بِحِذَاءِ الْحَجَرِ ، وَأَلْصِقْ بِهَا صَدْرَكَ ، ثُمَّ قُلْ : يَا وَاحِدُ ، يَا أَحَدُ </w:t>
      </w:r>
      <w:r w:rsidRPr="00D10E3C">
        <w:rPr>
          <w:rStyle w:val="libFootnotenumChar"/>
          <w:rtl/>
        </w:rPr>
        <w:t>(1)</w:t>
      </w:r>
      <w:r>
        <w:rPr>
          <w:rtl/>
          <w:lang w:bidi="fa-IR"/>
        </w:rPr>
        <w:t xml:space="preserve"> ، يَا مَاجِدُ ، يَا قَرِيبُ ، يَا بَعِيدُ ، يَا عَزِيزُ ، يَا حَكِيمُ </w:t>
      </w:r>
      <w:r w:rsidRPr="00D10E3C">
        <w:rPr>
          <w:rStyle w:val="libFootnotenumChar"/>
          <w:rtl/>
        </w:rPr>
        <w:t>(2)</w:t>
      </w:r>
      <w:r>
        <w:rPr>
          <w:rtl/>
          <w:lang w:bidi="fa-IR"/>
        </w:rPr>
        <w:t xml:space="preserve"> ، لَاتَذَرْنِي فَرْداً وَأَنْتَ خَيْرُ الْوَارِثِينَ ، </w:t>
      </w:r>
      <w:r w:rsidRPr="00D10E3C">
        <w:rPr>
          <w:rStyle w:val="libFootnotenumChar"/>
          <w:rtl/>
        </w:rPr>
        <w:t>(3)</w:t>
      </w:r>
      <w:r>
        <w:rPr>
          <w:rtl/>
          <w:lang w:bidi="fa-IR"/>
        </w:rPr>
        <w:t xml:space="preserve"> هَبْ لِي مِنْ لَدُنْكَ </w:t>
      </w:r>
      <w:r w:rsidRPr="00D10E3C">
        <w:rPr>
          <w:rStyle w:val="libFootnotenumChar"/>
          <w:rtl/>
        </w:rPr>
        <w:t>(4)</w:t>
      </w:r>
      <w:r>
        <w:rPr>
          <w:rtl/>
          <w:lang w:bidi="fa-IR"/>
        </w:rPr>
        <w:t xml:space="preserve"> ذُرِّيَّةً طَيِّبَةً إِنَّكَ سَمِيعُ الدُّعَاءِ.</w:t>
      </w:r>
    </w:p>
    <w:p w:rsidR="00744A1C" w:rsidRDefault="00744A1C" w:rsidP="00744A1C">
      <w:pPr>
        <w:pStyle w:val="libNormal"/>
        <w:rPr>
          <w:lang w:bidi="fa-IR"/>
        </w:rPr>
      </w:pPr>
      <w:r>
        <w:rPr>
          <w:rtl/>
          <w:lang w:bidi="fa-IR"/>
        </w:rPr>
        <w:t>ثُمَّ دُرْ بِالْأُسْطُوَانَةِ ، فَأَلْصِقْ بِهَا ظَهْرَكَ وَبَطْنَكَ ، وَتَدْعُو بِهذَا الدُّعَاءِ ، فَإِ</w:t>
      </w:r>
      <w:r w:rsidR="00B03098">
        <w:rPr>
          <w:rtl/>
          <w:lang w:bidi="fa-IR"/>
        </w:rPr>
        <w:t>نْ يُرِدِ اللهُ شَيْئاً ، كَانَ</w:t>
      </w:r>
      <w:r>
        <w:rPr>
          <w:rtl/>
          <w:lang w:bidi="fa-IR"/>
        </w:rPr>
        <w:t xml:space="preserve">». </w:t>
      </w:r>
      <w:r w:rsidRPr="00D10E3C">
        <w:rPr>
          <w:rStyle w:val="libFootnotenumChar"/>
          <w:rtl/>
        </w:rPr>
        <w:t>(5)</w:t>
      </w:r>
    </w:p>
    <w:p w:rsidR="00744A1C" w:rsidRDefault="00744A1C" w:rsidP="002601C5">
      <w:pPr>
        <w:pStyle w:val="Heading2Center"/>
        <w:rPr>
          <w:lang w:bidi="fa-IR"/>
        </w:rPr>
      </w:pPr>
      <w:bookmarkStart w:id="48" w:name="_Toc49261346"/>
      <w:r>
        <w:rPr>
          <w:rtl/>
          <w:lang w:bidi="fa-IR"/>
        </w:rPr>
        <w:t>203 - بَابُ وَدَاعِ الْبَيْتِ‌</w:t>
      </w:r>
      <w:bookmarkEnd w:id="48"/>
    </w:p>
    <w:p w:rsidR="002601C5" w:rsidRDefault="00744A1C" w:rsidP="002601C5">
      <w:pPr>
        <w:pStyle w:val="libNormal"/>
        <w:rPr>
          <w:lang w:bidi="fa-IR"/>
        </w:rPr>
      </w:pPr>
      <w:r>
        <w:rPr>
          <w:rtl/>
          <w:lang w:bidi="fa-IR"/>
        </w:rPr>
        <w:t>8011 / 1. عَلِيُّ بْنُ إِبْرَاهِيمَ ، عَنْ أَبِيهِ ؛</w:t>
      </w:r>
    </w:p>
    <w:p w:rsidR="00744A1C" w:rsidRDefault="002601C5" w:rsidP="002601C5">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(6)</w:t>
      </w:r>
      <w:r w:rsidR="00744A1C">
        <w:rPr>
          <w:rtl/>
          <w:lang w:bidi="fa-IR"/>
        </w:rPr>
        <w:t xml:space="preserve"> مُحَمَّدُ بْنُ إِسْمَاعِيلَ ، عَنِ الْفَضْلِ بْنِ شَاذَانَ ، عَنْ صَفْوَانَ بْنِ يَحْيى وَابْنِ أَبِي عُمَيْرٍ ، ع</w:t>
      </w:r>
      <w:r w:rsidR="008E2EAC">
        <w:rPr>
          <w:rtl/>
          <w:lang w:bidi="fa-IR"/>
        </w:rPr>
        <w:t>َنْ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أَرَدْتَ أَنْ تَخْرُجَ مِنْ مَكَّةَ ، وَتَأْتِيَ </w:t>
      </w:r>
      <w:r w:rsidRPr="00D10E3C">
        <w:rPr>
          <w:rStyle w:val="libFootnotenumChar"/>
          <w:rtl/>
        </w:rPr>
        <w:t>(7)</w:t>
      </w:r>
      <w:r>
        <w:rPr>
          <w:rtl/>
          <w:lang w:bidi="fa-IR"/>
        </w:rPr>
        <w:t xml:space="preserve"> أَهْلَكَ ، فَوَدِّعِ الْبَيْتَ ، وَطُفْ </w:t>
      </w:r>
      <w:r w:rsidRPr="00D10E3C">
        <w:rPr>
          <w:rStyle w:val="libFootnotenumChar"/>
          <w:rtl/>
        </w:rPr>
        <w:t>(8)</w:t>
      </w:r>
      <w:r>
        <w:rPr>
          <w:rtl/>
          <w:lang w:bidi="fa-IR"/>
        </w:rPr>
        <w:t xml:space="preserve"> بِالْبَيْتِ أُسْبُوعاً ، وَإِنِ اسْتَطَعْتَ أَنْ تَسْتَلِمَ الْحَجَرَ الْأَسْوَدَ وَ</w:t>
      </w:r>
      <w:r w:rsidR="0031641C">
        <w:rPr>
          <w:rFonts w:hint="cs"/>
          <w:rtl/>
          <w:lang w:bidi="fa-IR"/>
        </w:rPr>
        <w:t xml:space="preserve"> </w:t>
      </w:r>
      <w:r>
        <w:rPr>
          <w:rtl/>
          <w:lang w:bidi="fa-IR"/>
        </w:rPr>
        <w:t>الرُّكْنَ‌</w:t>
      </w:r>
    </w:p>
    <w:p w:rsidR="00744A1C" w:rsidRDefault="00744A1C" w:rsidP="00744A1C">
      <w:pPr>
        <w:pStyle w:val="libNormal"/>
        <w:rPr>
          <w:lang w:bidi="fa-IR"/>
        </w:rPr>
      </w:pPr>
      <w:r>
        <w:rPr>
          <w:rtl/>
          <w:lang w:bidi="fa-IR"/>
        </w:rPr>
        <w:t>الْيَمَانِيَّ فِي ك</w:t>
      </w:r>
      <w:r w:rsidR="0031641C">
        <w:rPr>
          <w:rtl/>
          <w:lang w:bidi="fa-IR"/>
        </w:rPr>
        <w:t>ُلِّ شَوْطٍ فَافْعَلْ ، وَإِل</w:t>
      </w:r>
      <w:r w:rsidR="0031641C">
        <w:rPr>
          <w:rFonts w:hint="cs"/>
          <w:rtl/>
          <w:lang w:bidi="fa-IR"/>
        </w:rPr>
        <w:t>َّ</w:t>
      </w:r>
      <w:r w:rsidR="0031641C">
        <w:rPr>
          <w:rtl/>
          <w:lang w:bidi="fa-IR"/>
        </w:rPr>
        <w:t>ا</w:t>
      </w:r>
      <w:r>
        <w:rPr>
          <w:rtl/>
          <w:lang w:bidi="fa-IR"/>
        </w:rPr>
        <w:t xml:space="preserve"> فَافْتَتِحْ </w:t>
      </w:r>
      <w:r w:rsidRPr="00D10E3C">
        <w:rPr>
          <w:rStyle w:val="libFootnotenumChar"/>
          <w:rtl/>
        </w:rPr>
        <w:t>(9)</w:t>
      </w:r>
      <w:r>
        <w:rPr>
          <w:rtl/>
          <w:lang w:bidi="fa-IR"/>
        </w:rPr>
        <w:t xml:space="preserve"> بِهِ ، وَاخْتِمْ بِهِ ، فَإِنْ لَمْ تَسْتَطِعْ ذلِكَ </w:t>
      </w:r>
      <w:r w:rsidRPr="00D10E3C">
        <w:rPr>
          <w:rStyle w:val="libFootnotenumChar"/>
          <w:rtl/>
        </w:rPr>
        <w:t>(10)</w:t>
      </w:r>
      <w:r>
        <w:rPr>
          <w:rtl/>
          <w:lang w:bidi="fa-IR"/>
        </w:rPr>
        <w:t xml:space="preserve"> فَمُوَسَّعٌ عَلَيْكَ.</w:t>
      </w:r>
    </w:p>
    <w:p w:rsidR="00744A1C" w:rsidRDefault="00744A1C" w:rsidP="00744A1C">
      <w:pPr>
        <w:pStyle w:val="libNormal"/>
        <w:rPr>
          <w:lang w:bidi="fa-IR"/>
        </w:rPr>
      </w:pPr>
      <w:r>
        <w:rPr>
          <w:rtl/>
          <w:lang w:bidi="fa-IR"/>
        </w:rPr>
        <w:t>ثُمَّ تَأْتِي الْمُسْتَجَارَ ، فَتَصْنَعُ عِنْدَهُ كَمَا صَنَعْتَ يَوْمَ قَدِمْتَ مَكَّةَ ، وَتَخَيَّرْ لِنَفْسِكَ‌</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بح ، بخ ، بف ، جن » </w:t>
      </w:r>
      <w:r w:rsidR="00744A1C" w:rsidRPr="0061079A">
        <w:rPr>
          <w:rStyle w:val="libFootnoteBoldChar"/>
          <w:rtl/>
        </w:rPr>
        <w:t>والتهذيب</w:t>
      </w:r>
      <w:r w:rsidR="00744A1C">
        <w:rPr>
          <w:rtl/>
          <w:lang w:bidi="fa-IR"/>
        </w:rPr>
        <w:t xml:space="preserve"> : - « يا أحد ».</w:t>
      </w:r>
    </w:p>
    <w:tbl>
      <w:tblPr>
        <w:tblStyle w:val="TableGrid"/>
        <w:bidiVisual/>
        <w:tblW w:w="0" w:type="auto"/>
        <w:tblLook w:val="04A0" w:firstRow="1" w:lastRow="0" w:firstColumn="1" w:lastColumn="0" w:noHBand="0" w:noVBand="1"/>
      </w:tblPr>
      <w:tblGrid>
        <w:gridCol w:w="4006"/>
        <w:gridCol w:w="4006"/>
      </w:tblGrid>
      <w:tr w:rsidR="0079662E" w:rsidTr="0079662E">
        <w:tc>
          <w:tcPr>
            <w:tcW w:w="4006" w:type="dxa"/>
          </w:tcPr>
          <w:p w:rsidR="0079662E" w:rsidRDefault="0079662E" w:rsidP="00E378DD">
            <w:pPr>
              <w:pStyle w:val="libFootnote0"/>
              <w:rPr>
                <w:rtl/>
                <w:lang w:bidi="fa-IR"/>
              </w:rPr>
            </w:pPr>
            <w:r>
              <w:rPr>
                <w:rtl/>
                <w:lang w:bidi="fa-IR"/>
              </w:rPr>
              <w:t xml:space="preserve">(2). في </w:t>
            </w:r>
            <w:r w:rsidRPr="00C24F9C">
              <w:rPr>
                <w:rStyle w:val="libFootnoteBoldChar"/>
                <w:rtl/>
              </w:rPr>
              <w:t>الوسائل</w:t>
            </w:r>
            <w:r>
              <w:rPr>
                <w:rtl/>
                <w:lang w:bidi="fa-IR"/>
              </w:rPr>
              <w:t xml:space="preserve"> : « يا حليم ».</w:t>
            </w:r>
          </w:p>
        </w:tc>
        <w:tc>
          <w:tcPr>
            <w:tcW w:w="4006" w:type="dxa"/>
          </w:tcPr>
          <w:p w:rsidR="0079662E" w:rsidRDefault="0079662E" w:rsidP="00E378DD">
            <w:pPr>
              <w:pStyle w:val="libFootnote0"/>
              <w:rPr>
                <w:rtl/>
                <w:lang w:bidi="fa-IR"/>
              </w:rPr>
            </w:pPr>
            <w:r>
              <w:rPr>
                <w:rtl/>
                <w:lang w:bidi="fa-IR"/>
              </w:rPr>
              <w:t>(3). في « جن » : + « ربّ ».</w:t>
            </w:r>
          </w:p>
        </w:tc>
      </w:tr>
    </w:tbl>
    <w:p w:rsidR="00744A1C" w:rsidRDefault="00E378DD" w:rsidP="00E378DD">
      <w:pPr>
        <w:pStyle w:val="libFootnote0"/>
        <w:rPr>
          <w:lang w:bidi="fa-IR"/>
        </w:rPr>
      </w:pPr>
      <w:r>
        <w:rPr>
          <w:rtl/>
          <w:lang w:bidi="fa-IR"/>
        </w:rPr>
        <w:t>(4).</w:t>
      </w:r>
      <w:r w:rsidR="00744A1C">
        <w:rPr>
          <w:rtl/>
          <w:lang w:bidi="fa-IR"/>
        </w:rPr>
        <w:t xml:space="preserve"> في « ى » : - « من لدنك ».</w:t>
      </w:r>
    </w:p>
    <w:p w:rsidR="00744A1C" w:rsidRDefault="00E378DD" w:rsidP="00D2320E">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278 ، ح 952 ، معلّقاً عن أحمد بن محمّد ، عن الحسين بن سعيد ، عن صفوان ، عن معاوية بن عمّار</w:t>
      </w:r>
      <w:r w:rsidR="00D2320E">
        <w:rPr>
          <w:rFonts w:hint="cs"/>
          <w:rtl/>
          <w:lang w:bidi="fa-IR"/>
        </w:rPr>
        <w:t>.</w:t>
      </w:r>
      <w:r w:rsidR="00744A1C" w:rsidRPr="00C24F9C">
        <w:rPr>
          <w:rStyle w:val="libFootnoteBoldChar"/>
          <w:rtl/>
        </w:rPr>
        <w:t>الوافي</w:t>
      </w:r>
      <w:r w:rsidR="00744A1C">
        <w:rPr>
          <w:rtl/>
          <w:lang w:bidi="fa-IR"/>
        </w:rPr>
        <w:t xml:space="preserve"> ، ج 14 ، ص 1288 ، ح 14286 ؛ </w:t>
      </w:r>
      <w:r w:rsidR="00744A1C" w:rsidRPr="00C24F9C">
        <w:rPr>
          <w:rStyle w:val="libFootnoteBoldChar"/>
          <w:rtl/>
        </w:rPr>
        <w:t>الوسائل</w:t>
      </w:r>
      <w:r w:rsidR="00744A1C">
        <w:rPr>
          <w:rtl/>
          <w:lang w:bidi="fa-IR"/>
        </w:rPr>
        <w:t xml:space="preserve"> ، ج 13 ، ص 277 ، ح 17741.</w:t>
      </w:r>
    </w:p>
    <w:p w:rsidR="00744A1C" w:rsidRDefault="00E378DD" w:rsidP="00E378DD">
      <w:pPr>
        <w:pStyle w:val="libFootnote0"/>
        <w:rPr>
          <w:lang w:bidi="fa-IR"/>
        </w:rPr>
      </w:pPr>
      <w:r>
        <w:rPr>
          <w:rtl/>
          <w:lang w:bidi="fa-IR"/>
        </w:rPr>
        <w:t>(6).</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381299" w:rsidTr="00381299">
        <w:tc>
          <w:tcPr>
            <w:tcW w:w="4006" w:type="dxa"/>
          </w:tcPr>
          <w:p w:rsidR="00381299" w:rsidRDefault="00381299" w:rsidP="00E378DD">
            <w:pPr>
              <w:pStyle w:val="libFootnote0"/>
              <w:rPr>
                <w:rtl/>
                <w:lang w:bidi="fa-IR"/>
              </w:rPr>
            </w:pPr>
            <w:r>
              <w:rPr>
                <w:rtl/>
                <w:lang w:bidi="fa-IR"/>
              </w:rPr>
              <w:t xml:space="preserve">(7). في </w:t>
            </w:r>
            <w:r w:rsidRPr="00C24F9C">
              <w:rPr>
                <w:rStyle w:val="libFootnoteBoldChar"/>
                <w:rtl/>
              </w:rPr>
              <w:t>الوافي</w:t>
            </w:r>
            <w:r>
              <w:rPr>
                <w:rtl/>
                <w:lang w:bidi="fa-IR"/>
              </w:rPr>
              <w:t xml:space="preserve"> : « فتأتي ».</w:t>
            </w:r>
          </w:p>
        </w:tc>
        <w:tc>
          <w:tcPr>
            <w:tcW w:w="4006" w:type="dxa"/>
          </w:tcPr>
          <w:p w:rsidR="00381299" w:rsidRDefault="00DF09E3" w:rsidP="00E378DD">
            <w:pPr>
              <w:pStyle w:val="libFootnote0"/>
              <w:rPr>
                <w:rtl/>
                <w:lang w:bidi="fa-IR"/>
              </w:rPr>
            </w:pPr>
            <w:r>
              <w:rPr>
                <w:rtl/>
                <w:lang w:bidi="fa-IR"/>
              </w:rPr>
              <w:t>(8). في«ى،بث،بخ،بس،بف،جد»:«طف»بدون الواو.</w:t>
            </w:r>
          </w:p>
        </w:tc>
      </w:tr>
      <w:tr w:rsidR="00381299" w:rsidTr="00381299">
        <w:tc>
          <w:tcPr>
            <w:tcW w:w="4006" w:type="dxa"/>
          </w:tcPr>
          <w:p w:rsidR="00381299" w:rsidRDefault="001F26ED" w:rsidP="00E378DD">
            <w:pPr>
              <w:pStyle w:val="libFootnote0"/>
              <w:rPr>
                <w:rtl/>
                <w:lang w:bidi="fa-IR"/>
              </w:rPr>
            </w:pPr>
            <w:r>
              <w:rPr>
                <w:rtl/>
                <w:lang w:bidi="fa-IR"/>
              </w:rPr>
              <w:t>(9). في «ى،بخ،بف،جد»و</w:t>
            </w:r>
            <w:r w:rsidRPr="00C24F9C">
              <w:rPr>
                <w:rStyle w:val="libFootnoteBoldChar"/>
                <w:rtl/>
              </w:rPr>
              <w:t>الوافي</w:t>
            </w:r>
            <w:r>
              <w:rPr>
                <w:rtl/>
                <w:lang w:bidi="fa-IR"/>
              </w:rPr>
              <w:t>:«فافتح».</w:t>
            </w:r>
          </w:p>
        </w:tc>
        <w:tc>
          <w:tcPr>
            <w:tcW w:w="4006" w:type="dxa"/>
          </w:tcPr>
          <w:p w:rsidR="00381299" w:rsidRDefault="001F26ED" w:rsidP="00E378DD">
            <w:pPr>
              <w:pStyle w:val="libFootnote0"/>
              <w:rPr>
                <w:rtl/>
                <w:lang w:bidi="fa-IR"/>
              </w:rPr>
            </w:pPr>
            <w:r>
              <w:rPr>
                <w:rtl/>
                <w:lang w:bidi="fa-IR"/>
              </w:rPr>
              <w:t>(10). في « بخ » : - « ذلك ».</w:t>
            </w:r>
          </w:p>
        </w:tc>
      </w:tr>
    </w:tbl>
    <w:p w:rsidR="00150943" w:rsidRDefault="00150943" w:rsidP="00D10E3C">
      <w:pPr>
        <w:pStyle w:val="libNormal"/>
        <w:rPr>
          <w:rtl/>
          <w:lang w:bidi="fa-IR"/>
        </w:rPr>
      </w:pPr>
      <w:r>
        <w:rPr>
          <w:rtl/>
          <w:lang w:bidi="fa-IR"/>
        </w:rPr>
        <w:br w:type="page"/>
      </w:r>
    </w:p>
    <w:p w:rsidR="00744A1C" w:rsidRDefault="00744A1C" w:rsidP="00B03098">
      <w:pPr>
        <w:pStyle w:val="libNormal0"/>
        <w:rPr>
          <w:lang w:bidi="fa-IR"/>
        </w:rPr>
      </w:pPr>
      <w:r>
        <w:rPr>
          <w:rtl/>
          <w:lang w:bidi="fa-IR"/>
        </w:rPr>
        <w:lastRenderedPageBreak/>
        <w:t xml:space="preserve">مِنَ الدُّعَاءِ ، ثُمَّ اسْتَلِمِ الْحَجَرَ الْأَسْوَدَ ، ثُمَّ أَلْصِقْ بَطْنَكَ بِالْبَيْتِ ، تَضَعُ </w:t>
      </w:r>
      <w:r w:rsidRPr="00D10E3C">
        <w:rPr>
          <w:rStyle w:val="libFootnotenumChar"/>
          <w:rtl/>
        </w:rPr>
        <w:t>(1)</w:t>
      </w:r>
      <w:r>
        <w:rPr>
          <w:rtl/>
          <w:lang w:bidi="fa-IR"/>
        </w:rPr>
        <w:t xml:space="preserve"> يَدَكَ عَلَى الْحَجَرِ ، وَالْأُخْرى مِمَّا يَلِي الْبَابَ </w:t>
      </w:r>
      <w:r w:rsidRPr="00D10E3C">
        <w:rPr>
          <w:rStyle w:val="libFootnotenumChar"/>
          <w:rtl/>
        </w:rPr>
        <w:t>(2)</w:t>
      </w:r>
      <w:r>
        <w:rPr>
          <w:rtl/>
          <w:lang w:bidi="fa-IR"/>
        </w:rPr>
        <w:t xml:space="preserve"> ، وَ</w:t>
      </w:r>
      <w:r w:rsidR="007867F3">
        <w:rPr>
          <w:rFonts w:hint="cs"/>
          <w:rtl/>
          <w:lang w:bidi="fa-IR"/>
        </w:rPr>
        <w:t xml:space="preserve"> </w:t>
      </w:r>
      <w:r>
        <w:rPr>
          <w:rtl/>
          <w:lang w:bidi="fa-IR"/>
        </w:rPr>
        <w:t xml:space="preserve">احْمَدِ اللهَ ، وَأَثْنِ عَلَيْهِ ، وَصَلِّ عَلَى النَّبِيِّ </w:t>
      </w:r>
      <w:r w:rsidR="0072581E" w:rsidRPr="0072581E">
        <w:rPr>
          <w:rStyle w:val="libAlaemChar"/>
          <w:rFonts w:eastAsiaTheme="minorHAnsi"/>
          <w:rtl/>
        </w:rPr>
        <w:t>صلى‌الله‌عليه‌وآله</w:t>
      </w:r>
      <w:r w:rsidR="0072581E" w:rsidRPr="0041234E">
        <w:rPr>
          <w:rFonts w:eastAsiaTheme="minorHAnsi"/>
          <w:rtl/>
        </w:rPr>
        <w:t xml:space="preserve"> </w:t>
      </w:r>
      <w:r>
        <w:rPr>
          <w:rtl/>
          <w:lang w:bidi="fa-IR"/>
        </w:rPr>
        <w:t>، ثُمَّ قُلِ</w:t>
      </w:r>
      <w:r w:rsidR="00952AE1">
        <w:rPr>
          <w:rtl/>
          <w:lang w:bidi="fa-IR"/>
        </w:rPr>
        <w:t xml:space="preserve"> :</w:t>
      </w:r>
    </w:p>
    <w:p w:rsidR="00744A1C" w:rsidRDefault="00744A1C" w:rsidP="00744A1C">
      <w:pPr>
        <w:pStyle w:val="libNormal"/>
        <w:rPr>
          <w:lang w:bidi="fa-IR"/>
        </w:rPr>
      </w:pPr>
      <w:r>
        <w:rPr>
          <w:rtl/>
          <w:lang w:bidi="fa-IR"/>
        </w:rPr>
        <w:t xml:space="preserve">اللهُمَّ صَلِّ عَلى‌مُحَمَّدٍ عَبْدِكَ وَرَسُولِكَ وَنَبِيِّكَ </w:t>
      </w:r>
      <w:r w:rsidRPr="00D10E3C">
        <w:rPr>
          <w:rStyle w:val="libFootnotenumChar"/>
          <w:rtl/>
        </w:rPr>
        <w:t>(3)</w:t>
      </w:r>
      <w:r>
        <w:rPr>
          <w:rtl/>
          <w:lang w:bidi="fa-IR"/>
        </w:rPr>
        <w:t xml:space="preserve"> وَأَمِينِكَ </w:t>
      </w:r>
      <w:r w:rsidRPr="00D10E3C">
        <w:rPr>
          <w:rStyle w:val="libFootnotenumChar"/>
          <w:rtl/>
        </w:rPr>
        <w:t>(4)</w:t>
      </w:r>
      <w:r>
        <w:rPr>
          <w:rtl/>
          <w:lang w:bidi="fa-IR"/>
        </w:rPr>
        <w:t xml:space="preserve"> وَحَبِيبِكَ وَنَجِيبِكَ </w:t>
      </w:r>
      <w:r w:rsidRPr="00D10E3C">
        <w:rPr>
          <w:rStyle w:val="libFootnotenumChar"/>
          <w:rtl/>
        </w:rPr>
        <w:t>(5)</w:t>
      </w:r>
      <w:r>
        <w:rPr>
          <w:rtl/>
          <w:lang w:bidi="fa-IR"/>
        </w:rPr>
        <w:t xml:space="preserve"> وَخِيَرَتِكَ مِنْ خَلْقِكَ ، اللهُمَّ كَمَا بَلَغَ رِسَالَاتِكَ </w:t>
      </w:r>
      <w:r w:rsidRPr="00D10E3C">
        <w:rPr>
          <w:rStyle w:val="libFootnotenumChar"/>
          <w:rtl/>
        </w:rPr>
        <w:t>(6)</w:t>
      </w:r>
      <w:r>
        <w:rPr>
          <w:rtl/>
          <w:lang w:bidi="fa-IR"/>
        </w:rPr>
        <w:t xml:space="preserve"> ، وَجَاهَدَ فِي سَبِيلِكَ ، وَصَدَعَ بِأَمْرِكَ ، وَأُوذِيَ فِي جَنْبِكَ ، وَعَبَدَكَ حَتّى أَتَاهُ الْيَقِينُ.</w:t>
      </w:r>
    </w:p>
    <w:p w:rsidR="00744A1C" w:rsidRDefault="00744A1C" w:rsidP="00744A1C">
      <w:pPr>
        <w:pStyle w:val="libNormal"/>
        <w:rPr>
          <w:lang w:bidi="fa-IR"/>
        </w:rPr>
      </w:pPr>
      <w:r>
        <w:rPr>
          <w:rtl/>
          <w:lang w:bidi="fa-IR"/>
        </w:rPr>
        <w:t>الل</w:t>
      </w:r>
      <w:r w:rsidR="00E112B7">
        <w:rPr>
          <w:rFonts w:hint="cs"/>
          <w:rtl/>
          <w:lang w:bidi="fa-IR"/>
        </w:rPr>
        <w:t>ّ</w:t>
      </w:r>
      <w:r>
        <w:rPr>
          <w:rtl/>
          <w:lang w:bidi="fa-IR"/>
        </w:rPr>
        <w:t xml:space="preserve">هُمَّ </w:t>
      </w:r>
      <w:r w:rsidRPr="00D10E3C">
        <w:rPr>
          <w:rStyle w:val="libFootnotenumChar"/>
          <w:rtl/>
        </w:rPr>
        <w:t>(7)</w:t>
      </w:r>
      <w:r>
        <w:rPr>
          <w:rtl/>
          <w:lang w:bidi="fa-IR"/>
        </w:rPr>
        <w:t xml:space="preserve"> اقْلِبْنِي مُفْلِحاً مُنْجِحاً مُسْتَجَاباً لِي </w:t>
      </w:r>
      <w:r w:rsidRPr="00D10E3C">
        <w:rPr>
          <w:rStyle w:val="libFootnotenumChar"/>
          <w:rtl/>
        </w:rPr>
        <w:t>(8)</w:t>
      </w:r>
      <w:r>
        <w:rPr>
          <w:rtl/>
          <w:lang w:bidi="fa-IR"/>
        </w:rPr>
        <w:t xml:space="preserve"> بِأَفْضَلِ مَا يَرْجِعُ </w:t>
      </w:r>
      <w:r w:rsidRPr="00D10E3C">
        <w:rPr>
          <w:rStyle w:val="libFootnotenumChar"/>
          <w:rtl/>
        </w:rPr>
        <w:t>(9)</w:t>
      </w:r>
      <w:r>
        <w:rPr>
          <w:rtl/>
          <w:lang w:bidi="fa-IR"/>
        </w:rPr>
        <w:t xml:space="preserve"> بِهِ أَحَدٌ مِنْ وَفْدِكَ </w:t>
      </w:r>
      <w:r w:rsidRPr="00D10E3C">
        <w:rPr>
          <w:rStyle w:val="libFootnotenumChar"/>
          <w:rtl/>
        </w:rPr>
        <w:t>(10)</w:t>
      </w:r>
      <w:r>
        <w:rPr>
          <w:rtl/>
          <w:lang w:bidi="fa-IR"/>
        </w:rPr>
        <w:t xml:space="preserve"> مِنَ الْمَغْفِرَةِ وَالْبَرَكَةِ وَالرَّحْمَةِ وَالرِّضْوَانِ وَالْعَافِيَةِ </w:t>
      </w:r>
      <w:r w:rsidRPr="00D10E3C">
        <w:rPr>
          <w:rStyle w:val="libFootnotenumChar"/>
          <w:rtl/>
        </w:rPr>
        <w:t>(11)</w:t>
      </w:r>
      <w:r>
        <w:rPr>
          <w:rtl/>
          <w:lang w:bidi="fa-IR"/>
        </w:rPr>
        <w:t xml:space="preserve"> ، اللهُمَّ إِنْ أَمَتَّنِي فَاغْفِرْ لِي ، وَإِنْ أَحْيَيْتَنِي فَارْزُقْنِيهِ </w:t>
      </w:r>
      <w:r w:rsidRPr="00D10E3C">
        <w:rPr>
          <w:rStyle w:val="libFootnotenumChar"/>
          <w:rtl/>
        </w:rPr>
        <w:t>(12)</w:t>
      </w:r>
      <w:r>
        <w:rPr>
          <w:rtl/>
          <w:lang w:bidi="fa-IR"/>
        </w:rPr>
        <w:t xml:space="preserve"> مِنْ قَابِلٍ ، اللهُمَّ لَاتَجْعَلْهُ آخِرَ الْعَهْدِ مِنْ بَيْتِكَ.</w:t>
      </w:r>
    </w:p>
    <w:p w:rsidR="00744A1C" w:rsidRDefault="00744A1C" w:rsidP="00744A1C">
      <w:pPr>
        <w:pStyle w:val="libNormal"/>
        <w:rPr>
          <w:lang w:bidi="fa-IR"/>
        </w:rPr>
      </w:pPr>
      <w:r>
        <w:rPr>
          <w:rtl/>
          <w:lang w:bidi="fa-IR"/>
        </w:rPr>
        <w:t xml:space="preserve">اللهُمَّ إِنِّي عَبْدُكَ ، وَابْنُ عَبْدِكَ ، وَابْنُ أَمَتِكَ ، حَمَلْتَنِي عَلى دَوَابِّكَ ، وَسَيَّرْتَنِي فِي بِلَادِكَ حَتّى أَقْدَمْتَنِي </w:t>
      </w:r>
      <w:r w:rsidRPr="00D10E3C">
        <w:rPr>
          <w:rStyle w:val="libFootnotenumChar"/>
          <w:rtl/>
        </w:rPr>
        <w:t>(13)</w:t>
      </w:r>
      <w:r>
        <w:rPr>
          <w:rtl/>
          <w:lang w:bidi="fa-IR"/>
        </w:rPr>
        <w:t xml:space="preserve"> حَرَمَكَ وَأَمْنَكَ ، وَقَدْ كَانَ فِي حُسْنِ ظَنِّي بِكَ أَنْ تَغْفِرَ لِي ذُنُوبِي ، فَإِنْ كُنْتَ قَدْ </w:t>
      </w:r>
      <w:r w:rsidRPr="00D10E3C">
        <w:rPr>
          <w:rStyle w:val="libFootnotenumChar"/>
          <w:rtl/>
        </w:rPr>
        <w:t>(14)</w:t>
      </w:r>
      <w:r>
        <w:rPr>
          <w:rtl/>
          <w:lang w:bidi="fa-IR"/>
        </w:rPr>
        <w:t xml:space="preserve"> غَفَرْتَ لِي ذُنُوبِي ، فَازْدَدْ عَنِّي رِضًا ، وَقَرِّبْنِي إِلَيْكَ زُلْفى </w:t>
      </w:r>
      <w:r w:rsidRPr="00D10E3C">
        <w:rPr>
          <w:rStyle w:val="libFootnotenumChar"/>
          <w:rtl/>
        </w:rPr>
        <w:t>(15)</w:t>
      </w:r>
      <w:r>
        <w:rPr>
          <w:rtl/>
          <w:lang w:bidi="fa-IR"/>
        </w:rPr>
        <w:t xml:space="preserve"> ، وَلَا تُبَاعِدْنِي ، وَإِنْ كُنْتَ لَمْ تَغْفِرْ لِي ، فَمِنَ الْآنَ فَاغْفِرْ لِي قَبْلَ أَنْ تَنْأى </w:t>
      </w:r>
      <w:r w:rsidRPr="00D10E3C">
        <w:rPr>
          <w:rStyle w:val="libFootnotenumChar"/>
          <w:rtl/>
        </w:rPr>
        <w:t>(16)</w:t>
      </w:r>
      <w:r>
        <w:rPr>
          <w:rtl/>
          <w:lang w:bidi="fa-IR"/>
        </w:rPr>
        <w:t xml:space="preserve"> عَنْ بَيْتِكَ‌</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فضع ».</w:t>
      </w:r>
    </w:p>
    <w:p w:rsidR="00744A1C" w:rsidRDefault="00E378DD" w:rsidP="00E378DD">
      <w:pPr>
        <w:pStyle w:val="libFootnote0"/>
        <w:rPr>
          <w:lang w:bidi="fa-IR"/>
        </w:rPr>
      </w:pPr>
      <w:r>
        <w:rPr>
          <w:rtl/>
          <w:lang w:bidi="fa-IR"/>
        </w:rPr>
        <w:t>(2).</w:t>
      </w:r>
      <w:r w:rsidR="00744A1C">
        <w:rPr>
          <w:rtl/>
          <w:lang w:bidi="fa-IR"/>
        </w:rPr>
        <w:t xml:space="preserve"> في « بح » : « البيت ». </w:t>
      </w:r>
      <w:r w:rsidR="00744A1C" w:rsidRPr="00744296">
        <w:rPr>
          <w:rtl/>
        </w:rPr>
        <w:t>وفي التهذيب : -</w:t>
      </w:r>
      <w:r w:rsidR="00744A1C">
        <w:rPr>
          <w:rtl/>
          <w:lang w:bidi="fa-IR"/>
        </w:rPr>
        <w:t xml:space="preserve"> « تضع يدك على الحجر والا</w:t>
      </w:r>
      <w:r w:rsidR="00744296">
        <w:rPr>
          <w:rFonts w:hint="cs"/>
          <w:rtl/>
          <w:lang w:bidi="fa-IR"/>
        </w:rPr>
        <w:t>ُ</w:t>
      </w:r>
      <w:r w:rsidR="00744A1C">
        <w:rPr>
          <w:rtl/>
          <w:lang w:bidi="fa-IR"/>
        </w:rPr>
        <w:t>خرى ممّا يلي الباب ».</w:t>
      </w:r>
    </w:p>
    <w:tbl>
      <w:tblPr>
        <w:tblStyle w:val="TableGrid"/>
        <w:bidiVisual/>
        <w:tblW w:w="0" w:type="auto"/>
        <w:tblLook w:val="04A0" w:firstRow="1" w:lastRow="0" w:firstColumn="1" w:lastColumn="0" w:noHBand="0" w:noVBand="1"/>
      </w:tblPr>
      <w:tblGrid>
        <w:gridCol w:w="4006"/>
        <w:gridCol w:w="4006"/>
      </w:tblGrid>
      <w:tr w:rsidR="00A33F92" w:rsidTr="00A33F92">
        <w:tc>
          <w:tcPr>
            <w:tcW w:w="4006" w:type="dxa"/>
          </w:tcPr>
          <w:p w:rsidR="00A33F92" w:rsidRDefault="00A33F92" w:rsidP="00E378DD">
            <w:pPr>
              <w:pStyle w:val="libFootnote0"/>
              <w:rPr>
                <w:rtl/>
                <w:lang w:bidi="fa-IR"/>
              </w:rPr>
            </w:pPr>
            <w:r>
              <w:rPr>
                <w:rtl/>
                <w:lang w:bidi="fa-IR"/>
              </w:rPr>
              <w:t xml:space="preserve">(3). في </w:t>
            </w:r>
            <w:r w:rsidRPr="00C24F9C">
              <w:rPr>
                <w:rStyle w:val="libFootnoteBoldChar"/>
                <w:rtl/>
              </w:rPr>
              <w:t>التهذيب</w:t>
            </w:r>
            <w:r>
              <w:rPr>
                <w:rtl/>
                <w:lang w:bidi="fa-IR"/>
              </w:rPr>
              <w:t xml:space="preserve"> : - « ونبيّك ».</w:t>
            </w:r>
          </w:p>
        </w:tc>
        <w:tc>
          <w:tcPr>
            <w:tcW w:w="4006" w:type="dxa"/>
          </w:tcPr>
          <w:p w:rsidR="00A33F92" w:rsidRDefault="00A33F92" w:rsidP="00E378DD">
            <w:pPr>
              <w:pStyle w:val="libFootnote0"/>
              <w:rPr>
                <w:rtl/>
                <w:lang w:bidi="fa-IR"/>
              </w:rPr>
            </w:pPr>
            <w:r>
              <w:rPr>
                <w:rtl/>
                <w:lang w:bidi="fa-IR"/>
              </w:rPr>
              <w:t>(4). في « بح » : - « وأمينك ».</w:t>
            </w:r>
          </w:p>
        </w:tc>
      </w:tr>
    </w:tbl>
    <w:p w:rsidR="00744A1C" w:rsidRDefault="00E378DD" w:rsidP="00E378DD">
      <w:pPr>
        <w:pStyle w:val="libFootnote0"/>
        <w:rPr>
          <w:lang w:bidi="fa-IR"/>
        </w:rPr>
      </w:pPr>
      <w:r>
        <w:rPr>
          <w:rtl/>
          <w:lang w:bidi="fa-IR"/>
        </w:rPr>
        <w:t>(5).</w:t>
      </w:r>
      <w:r w:rsidR="00744A1C">
        <w:rPr>
          <w:rtl/>
          <w:lang w:bidi="fa-IR"/>
        </w:rPr>
        <w:t xml:space="preserve"> هكذا في معظم النسخ التي قوبلت وحاشية « جد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وفي « جد » والمطبوع : « ونجيّك ».</w:t>
      </w:r>
    </w:p>
    <w:tbl>
      <w:tblPr>
        <w:tblStyle w:val="TableGrid"/>
        <w:bidiVisual/>
        <w:tblW w:w="0" w:type="auto"/>
        <w:tblLook w:val="04A0" w:firstRow="1" w:lastRow="0" w:firstColumn="1" w:lastColumn="0" w:noHBand="0" w:noVBand="1"/>
      </w:tblPr>
      <w:tblGrid>
        <w:gridCol w:w="4006"/>
        <w:gridCol w:w="4006"/>
      </w:tblGrid>
      <w:tr w:rsidR="00B73560" w:rsidTr="00B73560">
        <w:tc>
          <w:tcPr>
            <w:tcW w:w="4006" w:type="dxa"/>
          </w:tcPr>
          <w:p w:rsidR="00B73560" w:rsidRDefault="00B73560" w:rsidP="00E378DD">
            <w:pPr>
              <w:pStyle w:val="libFootnote0"/>
              <w:rPr>
                <w:rtl/>
                <w:lang w:bidi="fa-IR"/>
              </w:rPr>
            </w:pPr>
            <w:r>
              <w:rPr>
                <w:rtl/>
                <w:lang w:bidi="fa-IR"/>
              </w:rPr>
              <w:t xml:space="preserve">(6). في « بس » </w:t>
            </w:r>
            <w:r w:rsidRPr="0061079A">
              <w:rPr>
                <w:rStyle w:val="libFootnoteBoldChar"/>
                <w:rtl/>
              </w:rPr>
              <w:t>والتهذيب</w:t>
            </w:r>
            <w:r>
              <w:rPr>
                <w:rtl/>
                <w:lang w:bidi="fa-IR"/>
              </w:rPr>
              <w:t xml:space="preserve"> : « رسالتك ».</w:t>
            </w:r>
          </w:p>
        </w:tc>
        <w:tc>
          <w:tcPr>
            <w:tcW w:w="4006" w:type="dxa"/>
          </w:tcPr>
          <w:p w:rsidR="00B73560" w:rsidRDefault="00CF456E" w:rsidP="00E378DD">
            <w:pPr>
              <w:pStyle w:val="libFootnote0"/>
              <w:rPr>
                <w:rtl/>
                <w:lang w:bidi="fa-IR"/>
              </w:rPr>
            </w:pPr>
            <w:r>
              <w:rPr>
                <w:rtl/>
                <w:lang w:bidi="fa-IR"/>
              </w:rPr>
              <w:t>(7). في « بح » : - « اللهمّ ».</w:t>
            </w:r>
          </w:p>
        </w:tc>
      </w:tr>
      <w:tr w:rsidR="00B73560" w:rsidTr="00B73560">
        <w:tc>
          <w:tcPr>
            <w:tcW w:w="4006" w:type="dxa"/>
          </w:tcPr>
          <w:p w:rsidR="00B73560" w:rsidRDefault="00B73560" w:rsidP="00E378DD">
            <w:pPr>
              <w:pStyle w:val="libFootnote0"/>
              <w:rPr>
                <w:rtl/>
                <w:lang w:bidi="fa-IR"/>
              </w:rPr>
            </w:pPr>
            <w:r>
              <w:rPr>
                <w:rtl/>
                <w:lang w:bidi="fa-IR"/>
              </w:rPr>
              <w:t>(8). في « ى » : - « لي ».</w:t>
            </w:r>
          </w:p>
        </w:tc>
        <w:tc>
          <w:tcPr>
            <w:tcW w:w="4006" w:type="dxa"/>
          </w:tcPr>
          <w:p w:rsidR="00B73560" w:rsidRDefault="00910CC0" w:rsidP="00E378DD">
            <w:pPr>
              <w:pStyle w:val="libFootnote0"/>
              <w:rPr>
                <w:rtl/>
                <w:lang w:bidi="fa-IR"/>
              </w:rPr>
            </w:pPr>
            <w:r>
              <w:rPr>
                <w:rtl/>
                <w:lang w:bidi="fa-IR"/>
              </w:rPr>
              <w:t>(9). في«ى،بف،جن»وحاشية«بث،بح»:«ما ينقلب».</w:t>
            </w:r>
          </w:p>
        </w:tc>
      </w:tr>
    </w:tbl>
    <w:p w:rsidR="00744A1C" w:rsidRDefault="00E378DD" w:rsidP="00E378DD">
      <w:pPr>
        <w:pStyle w:val="libFootnote0"/>
        <w:rPr>
          <w:lang w:bidi="fa-IR"/>
        </w:rPr>
      </w:pPr>
      <w:r>
        <w:rPr>
          <w:rtl/>
          <w:lang w:bidi="fa-IR"/>
        </w:rPr>
        <w:t>(10).</w:t>
      </w:r>
      <w:r w:rsidR="00744A1C">
        <w:rPr>
          <w:rtl/>
          <w:lang w:bidi="fa-IR"/>
        </w:rPr>
        <w:t xml:space="preserve"> الوَفْدُ : الورود أو النزول على ملك أو أمير أو نحوهما. راجع : </w:t>
      </w:r>
      <w:r w:rsidR="00744A1C" w:rsidRPr="00E978C3">
        <w:rPr>
          <w:rStyle w:val="libFootnoteBoldChar"/>
          <w:rtl/>
        </w:rPr>
        <w:t>الصحاح</w:t>
      </w:r>
      <w:r w:rsidR="00744A1C">
        <w:rPr>
          <w:rtl/>
          <w:lang w:bidi="fa-IR"/>
        </w:rPr>
        <w:t xml:space="preserve"> ، ج 2 ، ص 553 ؛ </w:t>
      </w:r>
      <w:r w:rsidR="00744A1C" w:rsidRPr="00877682">
        <w:rPr>
          <w:rStyle w:val="libFootnoteBoldChar"/>
          <w:rtl/>
        </w:rPr>
        <w:t>النهاية</w:t>
      </w:r>
      <w:r w:rsidR="00744A1C">
        <w:rPr>
          <w:rtl/>
          <w:lang w:bidi="fa-IR"/>
        </w:rPr>
        <w:t xml:space="preserve"> ، ج 5 ، ص 209 ( وفد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التهذيب</w:t>
      </w:r>
      <w:r w:rsidR="00744A1C">
        <w:rPr>
          <w:rtl/>
          <w:lang w:bidi="fa-IR"/>
        </w:rPr>
        <w:t xml:space="preserve"> : + « ممّا يسعني أن أطلب أن تعطيني مثل الذي أعطيته أفضل من عندك وتزيدني عليه ».</w:t>
      </w:r>
    </w:p>
    <w:tbl>
      <w:tblPr>
        <w:tblStyle w:val="TableGrid"/>
        <w:bidiVisual/>
        <w:tblW w:w="0" w:type="auto"/>
        <w:tblLook w:val="04A0" w:firstRow="1" w:lastRow="0" w:firstColumn="1" w:lastColumn="0" w:noHBand="0" w:noVBand="1"/>
      </w:tblPr>
      <w:tblGrid>
        <w:gridCol w:w="4006"/>
        <w:gridCol w:w="4006"/>
      </w:tblGrid>
      <w:tr w:rsidR="002B42E6" w:rsidTr="002B42E6">
        <w:tc>
          <w:tcPr>
            <w:tcW w:w="4006" w:type="dxa"/>
          </w:tcPr>
          <w:p w:rsidR="002B42E6" w:rsidRDefault="002B42E6" w:rsidP="00E378DD">
            <w:pPr>
              <w:pStyle w:val="libFootnote0"/>
              <w:rPr>
                <w:rtl/>
                <w:lang w:bidi="fa-IR"/>
              </w:rPr>
            </w:pPr>
            <w:r>
              <w:rPr>
                <w:rtl/>
                <w:lang w:bidi="fa-IR"/>
              </w:rPr>
              <w:t>(12). في « ى ، بس » : « فارزقني ».</w:t>
            </w:r>
          </w:p>
        </w:tc>
        <w:tc>
          <w:tcPr>
            <w:tcW w:w="4006" w:type="dxa"/>
          </w:tcPr>
          <w:p w:rsidR="002B42E6" w:rsidRDefault="002B42E6" w:rsidP="00E378DD">
            <w:pPr>
              <w:pStyle w:val="libFootnote0"/>
              <w:rPr>
                <w:rtl/>
                <w:lang w:bidi="fa-IR"/>
              </w:rPr>
            </w:pPr>
            <w:r>
              <w:rPr>
                <w:rtl/>
                <w:lang w:bidi="fa-IR"/>
              </w:rPr>
              <w:t xml:space="preserve">(13). في </w:t>
            </w:r>
            <w:r w:rsidRPr="00C24F9C">
              <w:rPr>
                <w:rStyle w:val="libFootnoteBoldChar"/>
                <w:rtl/>
              </w:rPr>
              <w:t>التهذيب</w:t>
            </w:r>
            <w:r>
              <w:rPr>
                <w:rtl/>
                <w:lang w:bidi="fa-IR"/>
              </w:rPr>
              <w:t xml:space="preserve"> : « أدخلتني ».</w:t>
            </w:r>
          </w:p>
        </w:tc>
      </w:tr>
    </w:tbl>
    <w:p w:rsidR="00744A1C" w:rsidRDefault="00E378DD" w:rsidP="00E378DD">
      <w:pPr>
        <w:pStyle w:val="libFootnote0"/>
        <w:rPr>
          <w:lang w:bidi="fa-IR"/>
        </w:rPr>
      </w:pPr>
      <w:r>
        <w:rPr>
          <w:rtl/>
          <w:lang w:bidi="fa-IR"/>
        </w:rPr>
        <w:t>(14).</w:t>
      </w:r>
      <w:r w:rsidR="00744A1C">
        <w:rPr>
          <w:rtl/>
          <w:lang w:bidi="fa-IR"/>
        </w:rPr>
        <w:t xml:space="preserve"> في « ى ، بح ، بخ ، بف ، جد » و</w:t>
      </w:r>
      <w:r w:rsidR="00744A1C" w:rsidRPr="00C24F9C">
        <w:rPr>
          <w:rStyle w:val="libFootnoteBoldChar"/>
          <w:rtl/>
        </w:rPr>
        <w:t>الوافي</w:t>
      </w:r>
      <w:r w:rsidR="00744A1C">
        <w:rPr>
          <w:rtl/>
          <w:lang w:bidi="fa-IR"/>
        </w:rPr>
        <w:t xml:space="preserve"> : - « قد ».</w:t>
      </w:r>
    </w:p>
    <w:p w:rsidR="00744A1C" w:rsidRDefault="00E378DD" w:rsidP="00E378DD">
      <w:pPr>
        <w:pStyle w:val="libFootnote0"/>
        <w:rPr>
          <w:lang w:bidi="fa-IR"/>
        </w:rPr>
      </w:pPr>
      <w:r>
        <w:rPr>
          <w:rtl/>
          <w:lang w:bidi="fa-IR"/>
        </w:rPr>
        <w:t>(15).</w:t>
      </w:r>
      <w:r w:rsidR="00744A1C">
        <w:rPr>
          <w:rtl/>
          <w:lang w:bidi="fa-IR"/>
        </w:rPr>
        <w:t xml:space="preserve"> الزُلْفى : القُربة والدرجة والمنزلة. </w:t>
      </w:r>
      <w:r w:rsidR="00744A1C" w:rsidRPr="00877682">
        <w:rPr>
          <w:rStyle w:val="libFootnoteBoldChar"/>
          <w:rtl/>
        </w:rPr>
        <w:t>لسان العرب</w:t>
      </w:r>
      <w:r w:rsidR="00744A1C">
        <w:rPr>
          <w:rtl/>
          <w:lang w:bidi="fa-IR"/>
        </w:rPr>
        <w:t xml:space="preserve"> ، ج 9 ، ص 138 ( زلف ).</w:t>
      </w:r>
    </w:p>
    <w:p w:rsidR="00744A1C" w:rsidRDefault="00744A1C" w:rsidP="00D10E3C">
      <w:pPr>
        <w:pStyle w:val="libFootnote0"/>
        <w:rPr>
          <w:lang w:bidi="fa-IR"/>
        </w:rPr>
      </w:pPr>
      <w:r>
        <w:rPr>
          <w:rtl/>
          <w:lang w:bidi="fa-IR"/>
        </w:rPr>
        <w:t xml:space="preserve">(16) « أن تنأى » أي أن تبعد. والنَأيُ : البُعد. راجع : </w:t>
      </w:r>
      <w:r w:rsidRPr="00877682">
        <w:rPr>
          <w:rStyle w:val="libFootnoteBoldChar"/>
          <w:rtl/>
        </w:rPr>
        <w:t>لسان العرب</w:t>
      </w:r>
      <w:r>
        <w:rPr>
          <w:rtl/>
          <w:lang w:bidi="fa-IR"/>
        </w:rPr>
        <w:t xml:space="preserve"> ، ح 15 ، ص 300 ( نأي ).</w:t>
      </w:r>
    </w:p>
    <w:p w:rsidR="00150943" w:rsidRDefault="00150943" w:rsidP="00D10E3C">
      <w:pPr>
        <w:pStyle w:val="libNormal"/>
        <w:rPr>
          <w:rtl/>
          <w:lang w:bidi="fa-IR"/>
        </w:rPr>
      </w:pPr>
      <w:r>
        <w:rPr>
          <w:rtl/>
          <w:lang w:bidi="fa-IR"/>
        </w:rPr>
        <w:br w:type="page"/>
      </w:r>
    </w:p>
    <w:p w:rsidR="00744A1C" w:rsidRDefault="00744A1C" w:rsidP="00B03098">
      <w:pPr>
        <w:pStyle w:val="libNormal0"/>
        <w:rPr>
          <w:lang w:bidi="fa-IR"/>
        </w:rPr>
      </w:pPr>
      <w:r>
        <w:rPr>
          <w:rtl/>
          <w:lang w:bidi="fa-IR"/>
        </w:rPr>
        <w:lastRenderedPageBreak/>
        <w:t xml:space="preserve">دَارِي ، فَهذَا أَوَانُ انْصِرَافِي - إِنْ كُنْتَ </w:t>
      </w:r>
      <w:r w:rsidRPr="00D10E3C">
        <w:rPr>
          <w:rStyle w:val="libFootnotenumChar"/>
          <w:rtl/>
        </w:rPr>
        <w:t>(1)</w:t>
      </w:r>
      <w:r>
        <w:rPr>
          <w:rtl/>
          <w:lang w:bidi="fa-IR"/>
        </w:rPr>
        <w:t xml:space="preserve"> أَذِنْتَ لِي - غَيْرَ رَاغِبٍ عَنْكَ ، وَلَاعَنْ بَيْتِكَ ، وَلَا مُسْتَبْدِلٍ بِكَ وَلَابِهِ.</w:t>
      </w:r>
    </w:p>
    <w:p w:rsidR="00744A1C" w:rsidRDefault="00744A1C" w:rsidP="00D83CFB">
      <w:pPr>
        <w:pStyle w:val="libNormal"/>
        <w:rPr>
          <w:lang w:bidi="fa-IR"/>
        </w:rPr>
      </w:pPr>
      <w:r>
        <w:rPr>
          <w:rtl/>
          <w:lang w:bidi="fa-IR"/>
        </w:rPr>
        <w:t>الل</w:t>
      </w:r>
      <w:r w:rsidR="006C24E4">
        <w:rPr>
          <w:rFonts w:hint="cs"/>
          <w:rtl/>
          <w:lang w:bidi="fa-IR"/>
        </w:rPr>
        <w:t>ّ</w:t>
      </w:r>
      <w:r>
        <w:rPr>
          <w:rtl/>
          <w:lang w:bidi="fa-IR"/>
        </w:rPr>
        <w:t>هُمَّ ، احْفَظْنِي مِنْ بَيْنِ يَدَيَّ ، وَمِنْ خَلْفِي ، وَعَنْ يَمِينِي ، وَعَنْ شِمَالِي حَتّى تُبَلِّغَنِي أَهْلِي ، فَإِذَا بَلَّغْتَنِي</w:t>
      </w:r>
      <w:r w:rsidR="00D83CFB">
        <w:rPr>
          <w:rFonts w:hint="cs"/>
          <w:rtl/>
          <w:lang w:bidi="fa-IR"/>
        </w:rPr>
        <w:t xml:space="preserve"> </w:t>
      </w:r>
      <w:r>
        <w:rPr>
          <w:rtl/>
          <w:lang w:bidi="fa-IR"/>
        </w:rPr>
        <w:t>أَهْلِي ، فَاكْفِنِي مَؤُونَةَ عِبَادِكَ وَعِيَالِي ؛ فَإِنَّكَ وَلِيُّ ذلِكَ مِنْ خَلْقِكَ وَمِنِّي.</w:t>
      </w:r>
    </w:p>
    <w:p w:rsidR="00744A1C" w:rsidRDefault="00744A1C" w:rsidP="00744A1C">
      <w:pPr>
        <w:pStyle w:val="libNormal"/>
        <w:rPr>
          <w:lang w:bidi="fa-IR"/>
        </w:rPr>
      </w:pPr>
      <w:r>
        <w:rPr>
          <w:rtl/>
          <w:lang w:bidi="fa-IR"/>
        </w:rPr>
        <w:t xml:space="preserve">ثُمَّ ائْتِ زَمْزَمَ ، فَاشْرَبْ </w:t>
      </w:r>
      <w:r w:rsidRPr="00D10E3C">
        <w:rPr>
          <w:rStyle w:val="libFootnotenumChar"/>
          <w:rtl/>
        </w:rPr>
        <w:t>(2)</w:t>
      </w:r>
      <w:r>
        <w:rPr>
          <w:rtl/>
          <w:lang w:bidi="fa-IR"/>
        </w:rPr>
        <w:t xml:space="preserve"> مِنْ مَائِهَا ، ثُمَّ اخْرُجْ وَقُلْ : آئِبُونَ تَائِبُونَ عَابِدُونَ </w:t>
      </w:r>
      <w:r w:rsidRPr="00D10E3C">
        <w:rPr>
          <w:rStyle w:val="libFootnotenumChar"/>
          <w:rtl/>
        </w:rPr>
        <w:t>(3)</w:t>
      </w:r>
      <w:r>
        <w:rPr>
          <w:rtl/>
          <w:lang w:bidi="fa-IR"/>
        </w:rPr>
        <w:t xml:space="preserve"> ، لِرَبِّنَا حَامِدُونَ ، إِلى رَبِّنَا </w:t>
      </w:r>
      <w:r w:rsidRPr="00D10E3C">
        <w:rPr>
          <w:rStyle w:val="libFootnotenumChar"/>
          <w:rtl/>
        </w:rPr>
        <w:t>(4)</w:t>
      </w:r>
      <w:r>
        <w:rPr>
          <w:rtl/>
          <w:lang w:bidi="fa-IR"/>
        </w:rPr>
        <w:t xml:space="preserve"> رَاغِبُونَ ، إِلَى اللهِ رَاجِعُونَ إِنْ شَاءَ اللهُ ».</w:t>
      </w:r>
    </w:p>
    <w:p w:rsidR="00744A1C" w:rsidRDefault="00744A1C" w:rsidP="00744A1C">
      <w:pPr>
        <w:pStyle w:val="libNormal"/>
        <w:rPr>
          <w:lang w:bidi="fa-IR"/>
        </w:rPr>
      </w:pPr>
      <w:r>
        <w:rPr>
          <w:rtl/>
          <w:lang w:bidi="fa-IR"/>
        </w:rPr>
        <w:t xml:space="preserve">قَالَ </w:t>
      </w:r>
      <w:r w:rsidRPr="00D10E3C">
        <w:rPr>
          <w:rStyle w:val="libFootnotenumChar"/>
          <w:rtl/>
        </w:rPr>
        <w:t>(5)</w:t>
      </w:r>
      <w:r>
        <w:rPr>
          <w:rtl/>
          <w:lang w:bidi="fa-IR"/>
        </w:rPr>
        <w:t xml:space="preserve"> : وَإِنَّ أَبَا عَبْدِ اللهِ </w:t>
      </w:r>
      <w:r w:rsidR="0061079A" w:rsidRPr="0061079A">
        <w:rPr>
          <w:rStyle w:val="libAlaemChar"/>
          <w:rtl/>
        </w:rPr>
        <w:t>عليه‌السلام</w:t>
      </w:r>
      <w:r w:rsidR="00D10E3C">
        <w:rPr>
          <w:rtl/>
          <w:lang w:bidi="fa-IR"/>
        </w:rPr>
        <w:t xml:space="preserve"> </w:t>
      </w:r>
      <w:r>
        <w:rPr>
          <w:rtl/>
          <w:lang w:bidi="fa-IR"/>
        </w:rPr>
        <w:t xml:space="preserve">لَمَّا وَدَّعَهَا ، وَأَرَادَ أَنْ يَخْرُجَ مِنَ الْمَسْجِدِ الْحَرَامِ ، خَرَّ سَاجِداً عِنْدَ بَابِ الْمَسْجِدِ طَوِيلاً ، ثُمَّ قَامَ فَخَرَجَ. </w:t>
      </w:r>
      <w:r w:rsidRPr="00D10E3C">
        <w:rPr>
          <w:rStyle w:val="libFootnotenumChar"/>
          <w:rtl/>
        </w:rPr>
        <w:t>(6)</w:t>
      </w:r>
    </w:p>
    <w:p w:rsidR="00744A1C" w:rsidRDefault="00744A1C" w:rsidP="00744A1C">
      <w:pPr>
        <w:pStyle w:val="libNormal"/>
        <w:rPr>
          <w:lang w:bidi="fa-IR"/>
        </w:rPr>
      </w:pPr>
      <w:r>
        <w:rPr>
          <w:rtl/>
          <w:lang w:bidi="fa-IR"/>
        </w:rPr>
        <w:t>8012 / 2. مُحَمَّدُ بْنُ يَحْيى ، عَنْ أَحْمَدَ بْنِ مُحَمَّدٍ ، عَنْ إِبْرَاهِيمَ</w:t>
      </w:r>
      <w:r w:rsidR="00F60C5D">
        <w:rPr>
          <w:rtl/>
          <w:lang w:bidi="fa-IR"/>
        </w:rPr>
        <w:t xml:space="preserve"> بْنِ أَبِي مَحْمُودٍ ، قَالَ :</w:t>
      </w:r>
    </w:p>
    <w:p w:rsidR="00744A1C" w:rsidRDefault="00744A1C" w:rsidP="00744A1C">
      <w:pPr>
        <w:pStyle w:val="libNormal"/>
        <w:rPr>
          <w:lang w:bidi="fa-IR"/>
        </w:rPr>
      </w:pPr>
      <w:r>
        <w:rPr>
          <w:rtl/>
          <w:lang w:bidi="fa-IR"/>
        </w:rPr>
        <w:t xml:space="preserve">رَأَيْتُ أَبَا الْحَسَنِ </w:t>
      </w:r>
      <w:r w:rsidR="0061079A" w:rsidRPr="0061079A">
        <w:rPr>
          <w:rStyle w:val="libAlaemChar"/>
          <w:rtl/>
        </w:rPr>
        <w:t>عليه‌السلام</w:t>
      </w:r>
      <w:r w:rsidR="00D10E3C">
        <w:rPr>
          <w:rtl/>
          <w:lang w:bidi="fa-IR"/>
        </w:rPr>
        <w:t xml:space="preserve"> </w:t>
      </w:r>
      <w:r>
        <w:rPr>
          <w:rtl/>
          <w:lang w:bidi="fa-IR"/>
        </w:rPr>
        <w:t xml:space="preserve">وَدَّعَ الْبَيْتَ ، فَلَمَّا أَرَادَ أَنْ يَخْرُجَ مِنْ بَابِ الْمَسْجِدِ ، خَرَّ سَاجِداً ، ثُمَّ قَامَ فَاسْتَقْبَلَ الْكَعْبَةَ </w:t>
      </w:r>
      <w:r w:rsidRPr="00D10E3C">
        <w:rPr>
          <w:rStyle w:val="libFootnotenumChar"/>
          <w:rtl/>
        </w:rPr>
        <w:t>(7)</w:t>
      </w:r>
      <w:r>
        <w:rPr>
          <w:rtl/>
          <w:lang w:bidi="fa-IR"/>
        </w:rPr>
        <w:t xml:space="preserve"> ، فَقَالَ </w:t>
      </w:r>
      <w:r w:rsidRPr="00D10E3C">
        <w:rPr>
          <w:rStyle w:val="libFootnotenumChar"/>
          <w:rtl/>
        </w:rPr>
        <w:t>(8)</w:t>
      </w:r>
      <w:r>
        <w:rPr>
          <w:rtl/>
          <w:lang w:bidi="fa-IR"/>
        </w:rPr>
        <w:t xml:space="preserve"> : « الل</w:t>
      </w:r>
      <w:r w:rsidR="00D976C2">
        <w:rPr>
          <w:rFonts w:hint="cs"/>
          <w:rtl/>
          <w:lang w:bidi="fa-IR"/>
        </w:rPr>
        <w:t>ّ</w:t>
      </w:r>
      <w:r>
        <w:rPr>
          <w:rtl/>
          <w:lang w:bidi="fa-IR"/>
        </w:rPr>
        <w:t>هُم</w:t>
      </w:r>
      <w:r w:rsidR="00D976C2">
        <w:rPr>
          <w:rtl/>
          <w:lang w:bidi="fa-IR"/>
        </w:rPr>
        <w:t>َّ إِنِّي أَنْقَلِبُ عَلى أَل</w:t>
      </w:r>
      <w:r w:rsidR="00D976C2">
        <w:rPr>
          <w:rFonts w:hint="cs"/>
          <w:rtl/>
          <w:lang w:bidi="fa-IR"/>
        </w:rPr>
        <w:t>َّ</w:t>
      </w:r>
      <w:r w:rsidR="00D976C2">
        <w:rPr>
          <w:rtl/>
          <w:lang w:bidi="fa-IR"/>
        </w:rPr>
        <w:t>ا</w:t>
      </w:r>
      <w:r>
        <w:rPr>
          <w:rtl/>
          <w:lang w:bidi="fa-IR"/>
        </w:rPr>
        <w:t xml:space="preserve"> </w:t>
      </w:r>
      <w:r w:rsidRPr="00D10E3C">
        <w:rPr>
          <w:rStyle w:val="libFootnotenumChar"/>
          <w:rtl/>
        </w:rPr>
        <w:t>(9)</w:t>
      </w:r>
      <w:r w:rsidR="00D976C2">
        <w:rPr>
          <w:rtl/>
          <w:lang w:bidi="fa-IR"/>
        </w:rPr>
        <w:t xml:space="preserve"> إِلهَ إِل</w:t>
      </w:r>
      <w:r w:rsidR="00D976C2">
        <w:rPr>
          <w:rFonts w:hint="cs"/>
          <w:rtl/>
          <w:lang w:bidi="fa-IR"/>
        </w:rPr>
        <w:t>َّ</w:t>
      </w:r>
      <w:r w:rsidR="00D976C2">
        <w:rPr>
          <w:rtl/>
          <w:lang w:bidi="fa-IR"/>
        </w:rPr>
        <w:t>ا</w:t>
      </w:r>
      <w:r>
        <w:rPr>
          <w:rtl/>
          <w:lang w:bidi="fa-IR"/>
        </w:rPr>
        <w:t xml:space="preserve"> أَنْتَ </w:t>
      </w:r>
      <w:r w:rsidRPr="00D10E3C">
        <w:rPr>
          <w:rStyle w:val="libFootnotenumChar"/>
          <w:rtl/>
        </w:rPr>
        <w:t>(10)</w:t>
      </w:r>
      <w:r>
        <w:rPr>
          <w:rtl/>
          <w:lang w:bidi="fa-IR"/>
        </w:rPr>
        <w:t xml:space="preserve"> ». </w:t>
      </w:r>
      <w:r w:rsidRPr="00D10E3C">
        <w:rPr>
          <w:rStyle w:val="libFootnotenumChar"/>
          <w:rtl/>
        </w:rPr>
        <w:t>(11)</w:t>
      </w:r>
      <w:r>
        <w:rPr>
          <w:rtl/>
          <w:lang w:bidi="fa-IR"/>
        </w:rPr>
        <w:t>‌</w:t>
      </w:r>
    </w:p>
    <w:p w:rsidR="00744A1C" w:rsidRDefault="00744A1C" w:rsidP="00744A1C">
      <w:pPr>
        <w:pStyle w:val="libNormal"/>
        <w:rPr>
          <w:lang w:bidi="fa-IR"/>
        </w:rPr>
      </w:pPr>
      <w:r>
        <w:rPr>
          <w:rtl/>
          <w:lang w:bidi="fa-IR"/>
        </w:rPr>
        <w:t>8013 / 3. عِدَّةٌ مِنْ أَصْحَابِنَا ، عَنْ أَحْمَدَ بْنِ مُحَمَّدٍ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A60975" w:rsidTr="00A60975">
        <w:tc>
          <w:tcPr>
            <w:tcW w:w="4006" w:type="dxa"/>
          </w:tcPr>
          <w:p w:rsidR="00A60975" w:rsidRDefault="00A60975" w:rsidP="00D10E3C">
            <w:pPr>
              <w:pStyle w:val="libFootnote0"/>
              <w:rPr>
                <w:rtl/>
                <w:lang w:bidi="fa-IR"/>
              </w:rPr>
            </w:pPr>
            <w:r>
              <w:rPr>
                <w:rtl/>
                <w:lang w:bidi="fa-IR"/>
              </w:rPr>
              <w:t>(1). في « بخ ، بف » و</w:t>
            </w:r>
            <w:r w:rsidRPr="00C24F9C">
              <w:rPr>
                <w:rStyle w:val="libFootnoteBoldChar"/>
                <w:rtl/>
              </w:rPr>
              <w:t>الوافي</w:t>
            </w:r>
            <w:r>
              <w:rPr>
                <w:rtl/>
                <w:lang w:bidi="fa-IR"/>
              </w:rPr>
              <w:t xml:space="preserve"> : + « قد ».</w:t>
            </w:r>
          </w:p>
        </w:tc>
        <w:tc>
          <w:tcPr>
            <w:tcW w:w="4006" w:type="dxa"/>
          </w:tcPr>
          <w:p w:rsidR="00A60975" w:rsidRDefault="00F9081E" w:rsidP="00D10E3C">
            <w:pPr>
              <w:pStyle w:val="libFootnote0"/>
              <w:rPr>
                <w:rtl/>
                <w:lang w:bidi="fa-IR"/>
              </w:rPr>
            </w:pPr>
            <w:r>
              <w:rPr>
                <w:rtl/>
                <w:lang w:bidi="fa-IR"/>
              </w:rPr>
              <w:t xml:space="preserve">(2). في </w:t>
            </w:r>
            <w:r w:rsidRPr="00C24F9C">
              <w:rPr>
                <w:rStyle w:val="libFootnoteBoldChar"/>
                <w:rtl/>
              </w:rPr>
              <w:t>الوافي</w:t>
            </w:r>
            <w:r>
              <w:rPr>
                <w:rtl/>
                <w:lang w:bidi="fa-IR"/>
              </w:rPr>
              <w:t xml:space="preserve"> : « واشرب ».</w:t>
            </w:r>
          </w:p>
        </w:tc>
      </w:tr>
      <w:tr w:rsidR="00A60975" w:rsidTr="00A60975">
        <w:tc>
          <w:tcPr>
            <w:tcW w:w="4006" w:type="dxa"/>
          </w:tcPr>
          <w:p w:rsidR="00A60975" w:rsidRDefault="00A60975" w:rsidP="00D10E3C">
            <w:pPr>
              <w:pStyle w:val="libFootnote0"/>
              <w:rPr>
                <w:rtl/>
                <w:lang w:bidi="fa-IR"/>
              </w:rPr>
            </w:pPr>
            <w:r>
              <w:rPr>
                <w:rtl/>
                <w:lang w:bidi="fa-IR"/>
              </w:rPr>
              <w:t xml:space="preserve">(3). في « بس » </w:t>
            </w:r>
            <w:r w:rsidRPr="0061079A">
              <w:rPr>
                <w:rStyle w:val="libFootnoteBoldChar"/>
                <w:rtl/>
              </w:rPr>
              <w:t>والتهذيب</w:t>
            </w:r>
            <w:r>
              <w:rPr>
                <w:rtl/>
                <w:lang w:bidi="fa-IR"/>
              </w:rPr>
              <w:t xml:space="preserve"> : « عايدون ».</w:t>
            </w:r>
          </w:p>
        </w:tc>
        <w:tc>
          <w:tcPr>
            <w:tcW w:w="4006" w:type="dxa"/>
          </w:tcPr>
          <w:p w:rsidR="00A60975" w:rsidRDefault="006E3A67" w:rsidP="00D10E3C">
            <w:pPr>
              <w:pStyle w:val="libFootnote0"/>
              <w:rPr>
                <w:rtl/>
                <w:lang w:bidi="fa-IR"/>
              </w:rPr>
            </w:pPr>
            <w:r>
              <w:rPr>
                <w:rtl/>
                <w:lang w:bidi="fa-IR"/>
              </w:rPr>
              <w:t>(4). في « بخ ، بف » و</w:t>
            </w:r>
            <w:r w:rsidRPr="00C24F9C">
              <w:rPr>
                <w:rStyle w:val="libFootnoteBoldChar"/>
                <w:rtl/>
              </w:rPr>
              <w:t>الوافي</w:t>
            </w:r>
            <w:r>
              <w:rPr>
                <w:rtl/>
                <w:lang w:bidi="fa-IR"/>
              </w:rPr>
              <w:t xml:space="preserve"> : + « منقلبون ».</w:t>
            </w:r>
          </w:p>
        </w:tc>
      </w:tr>
    </w:tbl>
    <w:p w:rsidR="00744A1C" w:rsidRDefault="00E378DD" w:rsidP="00E378DD">
      <w:pPr>
        <w:pStyle w:val="libFootnote0"/>
        <w:rPr>
          <w:lang w:bidi="fa-IR"/>
        </w:rPr>
      </w:pPr>
      <w:r>
        <w:rPr>
          <w:rtl/>
          <w:lang w:bidi="fa-IR"/>
        </w:rPr>
        <w:t>(5).</w:t>
      </w:r>
      <w:r w:rsidR="00744A1C">
        <w:rPr>
          <w:rtl/>
          <w:lang w:bidi="fa-IR"/>
        </w:rPr>
        <w:t xml:space="preserve"> في « جن » : « وقال ».</w:t>
      </w:r>
    </w:p>
    <w:p w:rsidR="00744A1C" w:rsidRDefault="00E378DD" w:rsidP="007D4ACF">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280 ، ح 957 ، معلّقاً عن معاوية بن عمّار ، مع اختلاف يسير. </w:t>
      </w:r>
      <w:r w:rsidR="00744A1C" w:rsidRPr="00C24F9C">
        <w:rPr>
          <w:rStyle w:val="libFootnoteBoldChar"/>
          <w:rtl/>
        </w:rPr>
        <w:t>الفقيه</w:t>
      </w:r>
      <w:r w:rsidR="00744A1C">
        <w:rPr>
          <w:rtl/>
          <w:lang w:bidi="fa-IR"/>
        </w:rPr>
        <w:t xml:space="preserve"> ، ج 2 ، ص 557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مع اختلاف</w:t>
      </w:r>
      <w:r w:rsidR="001174C6">
        <w:rPr>
          <w:rFonts w:hint="cs"/>
          <w:rtl/>
          <w:lang w:bidi="fa-IR"/>
        </w:rPr>
        <w:t>.</w:t>
      </w:r>
      <w:r w:rsidR="00744A1C" w:rsidRPr="00C24F9C">
        <w:rPr>
          <w:rStyle w:val="libFootnoteBoldChar"/>
          <w:rtl/>
        </w:rPr>
        <w:t>الوافي</w:t>
      </w:r>
      <w:r w:rsidR="00744A1C">
        <w:rPr>
          <w:rtl/>
          <w:lang w:bidi="fa-IR"/>
        </w:rPr>
        <w:t xml:space="preserve"> ، ج 14 ، ص 1291 ، ح 14292 ؛ </w:t>
      </w:r>
      <w:r w:rsidR="00744A1C" w:rsidRPr="00C24F9C">
        <w:rPr>
          <w:rStyle w:val="libFootnoteBoldChar"/>
          <w:rtl/>
        </w:rPr>
        <w:t>الوسائل</w:t>
      </w:r>
      <w:r w:rsidR="00744A1C">
        <w:rPr>
          <w:rtl/>
          <w:lang w:bidi="fa-IR"/>
        </w:rPr>
        <w:t xml:space="preserve"> ، ج 14 ، ص 287 ، ذيل ح 19218.</w:t>
      </w:r>
      <w:r w:rsidR="007D4ACF">
        <w:rPr>
          <w:rFonts w:hint="cs"/>
          <w:rtl/>
          <w:lang w:bidi="fa-IR"/>
        </w:rPr>
        <w:t xml:space="preserve">                      </w:t>
      </w:r>
      <w:r>
        <w:rPr>
          <w:rtl/>
          <w:lang w:bidi="fa-IR"/>
        </w:rPr>
        <w:t>(7).</w:t>
      </w:r>
      <w:r w:rsidR="00744A1C">
        <w:rPr>
          <w:rtl/>
          <w:lang w:bidi="fa-IR"/>
        </w:rPr>
        <w:t xml:space="preserve"> في«بخ،بف»و</w:t>
      </w:r>
      <w:r w:rsidR="00744A1C" w:rsidRPr="00C24F9C">
        <w:rPr>
          <w:rStyle w:val="libFootnoteBoldChar"/>
          <w:rtl/>
        </w:rPr>
        <w:t>الوافي</w:t>
      </w:r>
      <w:r w:rsidR="007D4ACF">
        <w:rPr>
          <w:rtl/>
          <w:lang w:bidi="fa-IR"/>
        </w:rPr>
        <w:t xml:space="preserve"> والعيون</w:t>
      </w:r>
      <w:r w:rsidR="00744A1C">
        <w:rPr>
          <w:rtl/>
          <w:lang w:bidi="fa-IR"/>
        </w:rPr>
        <w:t>:«</w:t>
      </w:r>
      <w:r w:rsidR="007D4ACF">
        <w:rPr>
          <w:rtl/>
          <w:lang w:bidi="fa-IR"/>
        </w:rPr>
        <w:t>القبلة</w:t>
      </w:r>
      <w:r w:rsidR="00744A1C">
        <w:rPr>
          <w:rtl/>
          <w:lang w:bidi="fa-IR"/>
        </w:rPr>
        <w:t>».</w:t>
      </w:r>
    </w:p>
    <w:p w:rsidR="00744A1C" w:rsidRDefault="00E378DD" w:rsidP="00E378DD">
      <w:pPr>
        <w:pStyle w:val="libFootnote0"/>
        <w:rPr>
          <w:lang w:bidi="fa-IR"/>
        </w:rPr>
      </w:pPr>
      <w:r>
        <w:rPr>
          <w:rtl/>
          <w:lang w:bidi="fa-IR"/>
        </w:rPr>
        <w:t>(8).</w:t>
      </w:r>
      <w:r w:rsidR="00744A1C">
        <w:rPr>
          <w:rtl/>
          <w:lang w:bidi="fa-IR"/>
        </w:rPr>
        <w:t xml:space="preserve"> في « بخ » والعيون : « وقال ». وفي « بح ، جن » : « ثمّ قال ».</w:t>
      </w:r>
    </w:p>
    <w:p w:rsidR="00744A1C" w:rsidRDefault="00E378DD" w:rsidP="00E378DD">
      <w:pPr>
        <w:pStyle w:val="libFootnote0"/>
        <w:rPr>
          <w:lang w:bidi="fa-IR"/>
        </w:rPr>
      </w:pPr>
      <w:r>
        <w:rPr>
          <w:rtl/>
          <w:lang w:bidi="fa-IR"/>
        </w:rPr>
        <w:t>(9).</w:t>
      </w:r>
      <w:r w:rsidR="00744A1C">
        <w:rPr>
          <w:rtl/>
          <w:lang w:bidi="fa-IR"/>
        </w:rPr>
        <w:t xml:space="preserve"> في « ى ، بس ، بف ، جد ، جن » : « لا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أي هذه العقيدة ».</w:t>
      </w:r>
    </w:p>
    <w:p w:rsidR="00744A1C" w:rsidRDefault="00E378DD" w:rsidP="00344F1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5 ، ص 281 ، ح 958 ، معلّقاً عن الكليني. </w:t>
      </w:r>
      <w:r w:rsidR="00744A1C" w:rsidRPr="00877682">
        <w:rPr>
          <w:rStyle w:val="libFootnoteBoldChar"/>
          <w:rtl/>
        </w:rPr>
        <w:t>عيون الأخبار</w:t>
      </w:r>
      <w:r w:rsidR="00744A1C">
        <w:rPr>
          <w:rtl/>
          <w:lang w:bidi="fa-IR"/>
        </w:rPr>
        <w:t xml:space="preserve"> ، ج 2 ، ص 18 ، ح 43 ، بسنده عن إبراهيم بن أبي محمود</w:t>
      </w:r>
      <w:r w:rsidR="00344F1D">
        <w:rPr>
          <w:rFonts w:hint="cs"/>
          <w:rtl/>
          <w:lang w:bidi="fa-IR"/>
        </w:rPr>
        <w:t>.</w:t>
      </w:r>
      <w:r w:rsidR="00744A1C" w:rsidRPr="00C24F9C">
        <w:rPr>
          <w:rStyle w:val="libFootnoteBoldChar"/>
          <w:rtl/>
        </w:rPr>
        <w:t>الوافي</w:t>
      </w:r>
      <w:r w:rsidR="00744A1C">
        <w:rPr>
          <w:rtl/>
          <w:lang w:bidi="fa-IR"/>
        </w:rPr>
        <w:t xml:space="preserve"> ، ج 14 ، ص 1293 ، ح 14293 ؛ </w:t>
      </w:r>
      <w:r w:rsidR="00744A1C" w:rsidRPr="00C24F9C">
        <w:rPr>
          <w:rStyle w:val="libFootnoteBoldChar"/>
          <w:rtl/>
        </w:rPr>
        <w:t>الوسائل</w:t>
      </w:r>
      <w:r w:rsidR="00744A1C">
        <w:rPr>
          <w:rtl/>
          <w:lang w:bidi="fa-IR"/>
        </w:rPr>
        <w:t xml:space="preserve"> ، ج 14 ، ص 288 ، ذيل ح 19219.</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وَ </w:t>
      </w:r>
      <w:r w:rsidRPr="00D10E3C">
        <w:rPr>
          <w:rStyle w:val="libFootnotenumChar"/>
          <w:rtl/>
        </w:rPr>
        <w:t>(1)</w:t>
      </w:r>
      <w:r>
        <w:rPr>
          <w:rtl/>
          <w:lang w:bidi="fa-IR"/>
        </w:rPr>
        <w:t xml:space="preserve"> أَبُو عَلِيٍّ الْأَشْعَرِيُّ ، عَنِ الْحَسَنِ بْنِ عَلِيٍّ الْكُوفِيِّ ، عَنْ عَلِيِّ بْنِ مَهْزِيَارَ </w:t>
      </w:r>
      <w:r w:rsidRPr="00D10E3C">
        <w:rPr>
          <w:rStyle w:val="libFootnotenumChar"/>
          <w:rtl/>
        </w:rPr>
        <w:t>(2)</w:t>
      </w:r>
      <w:r w:rsidR="002650D4">
        <w:rPr>
          <w:rtl/>
          <w:lang w:bidi="fa-IR"/>
        </w:rPr>
        <w:t xml:space="preserve"> ، قَالَ :</w:t>
      </w:r>
    </w:p>
    <w:p w:rsidR="00744A1C" w:rsidRDefault="00744A1C" w:rsidP="00744A1C">
      <w:pPr>
        <w:pStyle w:val="libNormal"/>
        <w:rPr>
          <w:lang w:bidi="fa-IR"/>
        </w:rPr>
      </w:pPr>
      <w:r>
        <w:rPr>
          <w:rtl/>
          <w:lang w:bidi="fa-IR"/>
        </w:rPr>
        <w:t xml:space="preserve">رَأَيْتُ أَبَا جَعْفَرٍ الثَّانِيَ </w:t>
      </w:r>
      <w:r w:rsidRPr="00D10E3C">
        <w:rPr>
          <w:rStyle w:val="libFootnotenumChar"/>
          <w:rtl/>
        </w:rPr>
        <w:t>(3)</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فِي سَنَةِ خَمْسَ عَشْرَةَ </w:t>
      </w:r>
      <w:r w:rsidRPr="00D10E3C">
        <w:rPr>
          <w:rStyle w:val="libFootnotenumChar"/>
          <w:rtl/>
        </w:rPr>
        <w:t>(4)</w:t>
      </w:r>
      <w:r>
        <w:rPr>
          <w:rtl/>
          <w:lang w:bidi="fa-IR"/>
        </w:rPr>
        <w:t xml:space="preserve"> وَمِائَتَيْنِ وَدَّعَ الْبَيْتَ بَعْدَ ارْتِفَاعِ الشَّمْسِ ، وَطَافَ </w:t>
      </w:r>
      <w:r w:rsidRPr="00D10E3C">
        <w:rPr>
          <w:rStyle w:val="libFootnotenumChar"/>
          <w:rtl/>
        </w:rPr>
        <w:t>(5)</w:t>
      </w:r>
      <w:r>
        <w:rPr>
          <w:rtl/>
          <w:lang w:bidi="fa-IR"/>
        </w:rPr>
        <w:t xml:space="preserve"> بِالْبَيْتِ يَسْتَلِمُ الرُّكْنَ الْيَمَانِيَّ فِي كُلِّ شَوْطٍ ، فَلَمَّا كَانَ فِي </w:t>
      </w:r>
      <w:r w:rsidRPr="00D10E3C">
        <w:rPr>
          <w:rStyle w:val="libFootnotenumChar"/>
          <w:rtl/>
        </w:rPr>
        <w:t>(6)</w:t>
      </w:r>
      <w:r>
        <w:rPr>
          <w:rtl/>
          <w:lang w:bidi="fa-IR"/>
        </w:rPr>
        <w:t xml:space="preserve"> الشَّوْطِ السَّابِعِ اسْتَلَمَهُ ، وَاسْتَلَمَ الْحَجَرَ </w:t>
      </w:r>
      <w:r w:rsidRPr="00D10E3C">
        <w:rPr>
          <w:rStyle w:val="libFootnotenumChar"/>
          <w:rtl/>
        </w:rPr>
        <w:t>(7)</w:t>
      </w:r>
      <w:r>
        <w:rPr>
          <w:rtl/>
          <w:lang w:bidi="fa-IR"/>
        </w:rPr>
        <w:t xml:space="preserve"> ، وَمَسَحَ بِيَدِهِ ، ثُمَّ مَسَحَ وَجْهَهُ بِيَدِهِ ، ثُمَّ أَتَى الْمَقَامَ ، فَصَلّى </w:t>
      </w:r>
      <w:r w:rsidRPr="00D10E3C">
        <w:rPr>
          <w:rStyle w:val="libFootnotenumChar"/>
          <w:rtl/>
        </w:rPr>
        <w:t>(8)</w:t>
      </w:r>
      <w:r>
        <w:rPr>
          <w:rtl/>
          <w:lang w:bidi="fa-IR"/>
        </w:rPr>
        <w:t xml:space="preserve"> خَلْفَهُ رَكْعَتَيْنِ ، ثُمَّ خَرَجَ إِلى دُبُرِ الْكَعْبَةِ إِلَى الْمُلْتَزَمِ ، فَالْتَزَمَ الْبَيْتَ ، وَكَشَفَ الثَّوْبَ عَنْ بَطْنِهِ ، ثُمَّ وَقَفَ عَلَيْهِ طَوِيلاً يَدْعُو ، ثُمَّ خَرَجَ مِنْ بَابِ الْحَنَّاطِينَ </w:t>
      </w:r>
      <w:r w:rsidRPr="00D10E3C">
        <w:rPr>
          <w:rStyle w:val="libFootnotenumChar"/>
          <w:rtl/>
        </w:rPr>
        <w:t>(9)</w:t>
      </w:r>
      <w:r>
        <w:rPr>
          <w:rtl/>
          <w:lang w:bidi="fa-IR"/>
        </w:rPr>
        <w:t xml:space="preserve"> ، وَتَوَجَّهَ.</w:t>
      </w:r>
    </w:p>
    <w:p w:rsidR="00744A1C" w:rsidRDefault="00744A1C" w:rsidP="00744A1C">
      <w:pPr>
        <w:pStyle w:val="libNormal"/>
        <w:rPr>
          <w:lang w:bidi="fa-IR"/>
        </w:rPr>
      </w:pPr>
      <w:r>
        <w:rPr>
          <w:rtl/>
          <w:lang w:bidi="fa-IR"/>
        </w:rPr>
        <w:t xml:space="preserve">قَالَ : فَرَأَيْتُهُ </w:t>
      </w:r>
      <w:r w:rsidRPr="00D10E3C">
        <w:rPr>
          <w:rStyle w:val="libFootnotenumChar"/>
          <w:rtl/>
        </w:rPr>
        <w:t>(10)</w:t>
      </w:r>
      <w:r>
        <w:rPr>
          <w:rtl/>
          <w:lang w:bidi="fa-IR"/>
        </w:rPr>
        <w:t xml:space="preserve"> فِي </w:t>
      </w:r>
      <w:r w:rsidRPr="00D10E3C">
        <w:rPr>
          <w:rStyle w:val="libFootnotenumChar"/>
          <w:rtl/>
        </w:rPr>
        <w:t>(11)</w:t>
      </w:r>
      <w:r>
        <w:rPr>
          <w:rtl/>
          <w:lang w:bidi="fa-IR"/>
        </w:rPr>
        <w:t xml:space="preserve"> سَنَةِ سَبْعَ </w:t>
      </w:r>
      <w:r w:rsidRPr="00D10E3C">
        <w:rPr>
          <w:rStyle w:val="libFootnotenumChar"/>
          <w:rtl/>
        </w:rPr>
        <w:t>(12)</w:t>
      </w:r>
      <w:r>
        <w:rPr>
          <w:rtl/>
          <w:lang w:bidi="fa-IR"/>
        </w:rPr>
        <w:t xml:space="preserve"> عَشْرَةَ وَمِائَتَيْنِ وَدَّعَ الْبَيْتَ لَيْلاً يَسْتَلِمُ الرُّكْنَ الْيَمَانِيَّ وَالْحَجَرَ الْأَسْوَدَ فِي كُلِّ شَوْطٍ ، فَلَمَّا كَانَ فِي الشَّوْطِ السَّابِعِ ، الْتَزَمَ الْبَيْتَ فِي دُبُرِ الْكَعْبَةِ قَرِيباً مِنَ الرُّكْنِ الْيَمَانِيِّ ، وَفَوْقَ الْحَجَرِ الْمُسْتَطِيلِ ، وَكَشَفَ الثَّوْبَ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السند تحويل بعطف « أبو عليّ الأشعري ، عن الحسن بن عليّ الكوفي » على « عدّة من أصحابنا ، عن أحمدبن محمّد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 - « عن عليّ بن مهزيار ». وهو سهو ؛ فإنّ الحسن بن عليّ الكوفي - وهو الحسن بن عليّ بن عبد الله بن المغيرة - لم يُعدَّ من أصحاب واحدٍ من الأئمّة. وقد أكثر عليّ بن مهزيار من الرواية عن أبي جعفر [ الثاني ] </w:t>
      </w:r>
      <w:r w:rsidR="0061079A" w:rsidRPr="0061079A">
        <w:rPr>
          <w:rStyle w:val="libFootnoteAlaemChar"/>
          <w:rtl/>
        </w:rPr>
        <w:t>عليه‌السلام</w:t>
      </w:r>
      <w:r w:rsidR="00D10E3C">
        <w:rPr>
          <w:rtl/>
          <w:lang w:bidi="fa-IR"/>
        </w:rPr>
        <w:t xml:space="preserve"> </w:t>
      </w:r>
      <w:r w:rsidR="00744A1C">
        <w:rPr>
          <w:rtl/>
          <w:lang w:bidi="fa-IR"/>
        </w:rPr>
        <w:t xml:space="preserve">، وكان من خواصّه ووكلائه. راجع : </w:t>
      </w:r>
      <w:r w:rsidR="00744A1C" w:rsidRPr="003A7143">
        <w:rPr>
          <w:rStyle w:val="libFootnoteBoldChar"/>
          <w:rtl/>
        </w:rPr>
        <w:t>رجال النجاشي</w:t>
      </w:r>
      <w:r w:rsidR="00744A1C">
        <w:rPr>
          <w:rtl/>
          <w:lang w:bidi="fa-IR"/>
        </w:rPr>
        <w:t xml:space="preserve"> ، ص 62 ، الرقم 147 ؛ وص 253 ، الرقم 664 ؛ </w:t>
      </w:r>
      <w:r w:rsidR="00744A1C" w:rsidRPr="003A7143">
        <w:rPr>
          <w:rStyle w:val="libFootnoteBoldChar"/>
          <w:rtl/>
        </w:rPr>
        <w:t>الفهرست للطوسي</w:t>
      </w:r>
      <w:r w:rsidR="00744A1C">
        <w:rPr>
          <w:rtl/>
          <w:lang w:bidi="fa-IR"/>
        </w:rPr>
        <w:t xml:space="preserve"> ، ص 128 ، الرقم 177 ؛ </w:t>
      </w:r>
      <w:r w:rsidR="00744A1C" w:rsidRPr="0061079A">
        <w:rPr>
          <w:rStyle w:val="libFootnoteBoldChar"/>
          <w:rtl/>
        </w:rPr>
        <w:t>معجم رجال الحديث</w:t>
      </w:r>
      <w:r w:rsidR="00744A1C">
        <w:rPr>
          <w:rtl/>
          <w:lang w:bidi="fa-IR"/>
        </w:rPr>
        <w:t xml:space="preserve"> ، ج 12 ، ص 340 - 342.</w:t>
      </w:r>
    </w:p>
    <w:p w:rsidR="00744A1C" w:rsidRDefault="00E378DD" w:rsidP="00E378DD">
      <w:pPr>
        <w:pStyle w:val="libFootnote0"/>
        <w:rPr>
          <w:lang w:bidi="fa-IR"/>
        </w:rPr>
      </w:pPr>
      <w:r>
        <w:rPr>
          <w:rtl/>
          <w:lang w:bidi="fa-IR"/>
        </w:rPr>
        <w:t>(3).</w:t>
      </w:r>
      <w:r w:rsidR="00744A1C">
        <w:rPr>
          <w:rtl/>
          <w:lang w:bidi="fa-IR"/>
        </w:rPr>
        <w:t xml:space="preserve"> في « بث ، بس » : - « الثاني ».</w:t>
      </w:r>
    </w:p>
    <w:p w:rsidR="00744A1C" w:rsidRDefault="00E378DD" w:rsidP="00E378DD">
      <w:pPr>
        <w:pStyle w:val="libFootnote0"/>
        <w:rPr>
          <w:lang w:bidi="fa-IR"/>
        </w:rPr>
      </w:pPr>
      <w:r>
        <w:rPr>
          <w:rtl/>
          <w:lang w:bidi="fa-IR"/>
        </w:rPr>
        <w:t>(4).</w:t>
      </w:r>
      <w:r w:rsidR="00744A1C">
        <w:rPr>
          <w:rtl/>
          <w:lang w:bidi="fa-IR"/>
        </w:rPr>
        <w:t xml:space="preserve"> هكذا في </w:t>
      </w:r>
      <w:r w:rsidR="00744A1C" w:rsidRPr="00B03098">
        <w:rPr>
          <w:rtl/>
        </w:rPr>
        <w:t>الوافي والوسائل والتهذيب</w:t>
      </w:r>
      <w:r w:rsidR="00744A1C">
        <w:rPr>
          <w:rtl/>
          <w:lang w:bidi="fa-IR"/>
        </w:rPr>
        <w:t xml:space="preserve">. وفي النسخ والمطبوع : « خمس وعشرين ». وما أثبتناه هو الصواب ؛ فقد استشهد مولانا أبو جعفر الجواد </w:t>
      </w:r>
      <w:r w:rsidR="0061079A" w:rsidRPr="0061079A">
        <w:rPr>
          <w:rStyle w:val="libFootnoteAlaemChar"/>
          <w:rtl/>
        </w:rPr>
        <w:t>عليه‌السلام</w:t>
      </w:r>
      <w:r w:rsidR="00D10E3C">
        <w:rPr>
          <w:rtl/>
          <w:lang w:bidi="fa-IR"/>
        </w:rPr>
        <w:t xml:space="preserve"> </w:t>
      </w:r>
      <w:r w:rsidR="00744A1C">
        <w:rPr>
          <w:rtl/>
          <w:lang w:bidi="fa-IR"/>
        </w:rPr>
        <w:t>في ذي القعدة سنة عشرين ومائتين.</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فطاف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الوسائل</w:t>
      </w:r>
      <w:r w:rsidR="00744A1C">
        <w:rPr>
          <w:rtl/>
          <w:lang w:bidi="fa-IR"/>
        </w:rPr>
        <w:t xml:space="preserve"> : - « في ».</w:t>
      </w:r>
    </w:p>
    <w:p w:rsidR="00744A1C" w:rsidRDefault="00E378DD" w:rsidP="00E378DD">
      <w:pPr>
        <w:pStyle w:val="libFootnote0"/>
        <w:rPr>
          <w:lang w:bidi="fa-IR"/>
        </w:rPr>
      </w:pPr>
      <w:r>
        <w:rPr>
          <w:rtl/>
          <w:lang w:bidi="fa-IR"/>
        </w:rPr>
        <w:t>(7).</w:t>
      </w:r>
      <w:r w:rsidR="00744A1C">
        <w:rPr>
          <w:rtl/>
          <w:lang w:bidi="fa-IR"/>
        </w:rPr>
        <w:t xml:space="preserve"> في « جن » : + « الأسود ».</w:t>
      </w:r>
    </w:p>
    <w:p w:rsidR="00744A1C" w:rsidRDefault="00E378DD" w:rsidP="00E378DD">
      <w:pPr>
        <w:pStyle w:val="libFootnote0"/>
        <w:rPr>
          <w:lang w:bidi="fa-IR"/>
        </w:rPr>
      </w:pPr>
      <w:r>
        <w:rPr>
          <w:rtl/>
          <w:lang w:bidi="fa-IR"/>
        </w:rPr>
        <w:t>(8).</w:t>
      </w:r>
      <w:r w:rsidR="00744A1C">
        <w:rPr>
          <w:rtl/>
          <w:lang w:bidi="fa-IR"/>
        </w:rPr>
        <w:t xml:space="preserve"> في « ى » : « وصلّى ».</w:t>
      </w:r>
    </w:p>
    <w:p w:rsidR="00744A1C" w:rsidRDefault="00E378DD" w:rsidP="00E378DD">
      <w:pPr>
        <w:pStyle w:val="libFootnote0"/>
        <w:rPr>
          <w:lang w:bidi="fa-IR"/>
        </w:rPr>
      </w:pPr>
      <w:r>
        <w:rPr>
          <w:rtl/>
          <w:lang w:bidi="fa-IR"/>
        </w:rPr>
        <w:t>(9).</w:t>
      </w:r>
      <w:r w:rsidR="00744A1C">
        <w:rPr>
          <w:rtl/>
          <w:lang w:bidi="fa-IR"/>
        </w:rPr>
        <w:t xml:space="preserve"> في « بث » : « الخيّاطين ».</w:t>
      </w:r>
    </w:p>
    <w:tbl>
      <w:tblPr>
        <w:tblStyle w:val="TableGrid"/>
        <w:bidiVisual/>
        <w:tblW w:w="0" w:type="auto"/>
        <w:tblLook w:val="04A0" w:firstRow="1" w:lastRow="0" w:firstColumn="1" w:lastColumn="0" w:noHBand="0" w:noVBand="1"/>
      </w:tblPr>
      <w:tblGrid>
        <w:gridCol w:w="4006"/>
        <w:gridCol w:w="4006"/>
      </w:tblGrid>
      <w:tr w:rsidR="007E332E" w:rsidTr="007E332E">
        <w:tc>
          <w:tcPr>
            <w:tcW w:w="4006" w:type="dxa"/>
          </w:tcPr>
          <w:p w:rsidR="007E332E" w:rsidRDefault="007E332E" w:rsidP="00E378DD">
            <w:pPr>
              <w:pStyle w:val="libFootnote0"/>
              <w:rPr>
                <w:rtl/>
                <w:lang w:bidi="fa-IR"/>
              </w:rPr>
            </w:pPr>
            <w:r>
              <w:rPr>
                <w:rtl/>
                <w:lang w:bidi="fa-IR"/>
              </w:rPr>
              <w:t xml:space="preserve">(10).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ورأيته ».</w:t>
            </w:r>
          </w:p>
        </w:tc>
        <w:tc>
          <w:tcPr>
            <w:tcW w:w="4006" w:type="dxa"/>
          </w:tcPr>
          <w:p w:rsidR="007E332E" w:rsidRDefault="007E332E" w:rsidP="00E378DD">
            <w:pPr>
              <w:pStyle w:val="libFootnote0"/>
              <w:rPr>
                <w:rtl/>
                <w:lang w:bidi="fa-IR"/>
              </w:rPr>
            </w:pPr>
            <w:r>
              <w:rPr>
                <w:rtl/>
                <w:lang w:bidi="fa-IR"/>
              </w:rPr>
              <w:t xml:space="preserve">(11). في </w:t>
            </w:r>
            <w:r w:rsidRPr="00C24F9C">
              <w:rPr>
                <w:rStyle w:val="libFootnoteBoldChar"/>
                <w:rtl/>
              </w:rPr>
              <w:t>الوافي</w:t>
            </w:r>
            <w:r>
              <w:rPr>
                <w:rtl/>
                <w:lang w:bidi="fa-IR"/>
              </w:rPr>
              <w:t xml:space="preserve"> : - « في ».</w:t>
            </w:r>
          </w:p>
        </w:tc>
      </w:tr>
    </w:tbl>
    <w:p w:rsidR="00744A1C" w:rsidRDefault="00E378DD" w:rsidP="00E378DD">
      <w:pPr>
        <w:pStyle w:val="libFootnote0"/>
        <w:rPr>
          <w:lang w:bidi="fa-IR"/>
        </w:rPr>
      </w:pPr>
      <w:r>
        <w:rPr>
          <w:rtl/>
          <w:lang w:bidi="fa-IR"/>
        </w:rPr>
        <w:t>(12).</w:t>
      </w:r>
      <w:r w:rsidR="00744A1C">
        <w:rPr>
          <w:rtl/>
          <w:lang w:bidi="fa-IR"/>
        </w:rPr>
        <w:t xml:space="preserve"> في « ى » : - « سبع ». وفي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تسع ».</w:t>
      </w:r>
    </w:p>
    <w:p w:rsidR="00150943" w:rsidRDefault="00150943" w:rsidP="00D10E3C">
      <w:pPr>
        <w:pStyle w:val="libNormal"/>
        <w:rPr>
          <w:rtl/>
          <w:lang w:bidi="fa-IR"/>
        </w:rPr>
      </w:pPr>
      <w:r>
        <w:rPr>
          <w:rtl/>
          <w:lang w:bidi="fa-IR"/>
        </w:rPr>
        <w:br w:type="page"/>
      </w:r>
    </w:p>
    <w:p w:rsidR="00744A1C" w:rsidRDefault="00744A1C" w:rsidP="00B03098">
      <w:pPr>
        <w:pStyle w:val="libNormal0"/>
        <w:rPr>
          <w:lang w:bidi="fa-IR"/>
        </w:rPr>
      </w:pPr>
      <w:r>
        <w:rPr>
          <w:rtl/>
          <w:lang w:bidi="fa-IR"/>
        </w:rPr>
        <w:lastRenderedPageBreak/>
        <w:t xml:space="preserve">بَطْنِهِ ، ثُمَّ أَتَى الْحَجَرَ </w:t>
      </w:r>
      <w:r w:rsidRPr="00D10E3C">
        <w:rPr>
          <w:rStyle w:val="libFootnotenumChar"/>
          <w:rtl/>
        </w:rPr>
        <w:t>(1)</w:t>
      </w:r>
      <w:r>
        <w:rPr>
          <w:rtl/>
          <w:lang w:bidi="fa-IR"/>
        </w:rPr>
        <w:t xml:space="preserve"> ، فَقَبَّلَهُ وَمَسَحَهُ ، وَخَرَجَ إِلَى الْمَقَامِ ، فَصَلّى </w:t>
      </w:r>
      <w:r w:rsidRPr="00D10E3C">
        <w:rPr>
          <w:rStyle w:val="libFootnotenumChar"/>
          <w:rtl/>
        </w:rPr>
        <w:t>(2)</w:t>
      </w:r>
      <w:r>
        <w:rPr>
          <w:rtl/>
          <w:lang w:bidi="fa-IR"/>
        </w:rPr>
        <w:t xml:space="preserve"> خَلْفَهُ ، ثُمَّ مَضى </w:t>
      </w:r>
      <w:r w:rsidRPr="00D10E3C">
        <w:rPr>
          <w:rStyle w:val="libFootnotenumChar"/>
          <w:rtl/>
        </w:rPr>
        <w:t>(3)</w:t>
      </w:r>
      <w:r>
        <w:rPr>
          <w:rtl/>
          <w:lang w:bidi="fa-IR"/>
        </w:rPr>
        <w:t xml:space="preserve"> ، وَلَمْ يَعُدْ إِلَى الْبَيْتِ ؛ وَكَانَ وُقُوفُهُ عَلَى الْمُلْتَزَمِ بِقَدْرِ مَا طَافَ بَعْضُ أَصْحَابِنَا سَبْعَةَ أَشْوَاطٍ ، وَبَعْضُهُمْ ثَمَانِيَةً. </w:t>
      </w:r>
      <w:r w:rsidRPr="00D10E3C">
        <w:rPr>
          <w:rStyle w:val="libFootnotenumChar"/>
          <w:rtl/>
        </w:rPr>
        <w:t>(4)</w:t>
      </w:r>
    </w:p>
    <w:p w:rsidR="00744A1C" w:rsidRDefault="00744A1C" w:rsidP="00744A1C">
      <w:pPr>
        <w:pStyle w:val="libNormal"/>
        <w:rPr>
          <w:lang w:bidi="fa-IR"/>
        </w:rPr>
      </w:pPr>
      <w:r>
        <w:rPr>
          <w:rtl/>
          <w:lang w:bidi="fa-IR"/>
        </w:rPr>
        <w:t>8014 / 4. الْحُسَيْنُ بْنُ مُحَمَّدٍ ، عَنْ مُعَلَّى بْنِ مُحَمَّدٍ ، عَنِ الْحَسَنِ بْنِ عَلِيٍّ ، عَنْ أَبَانٍ ، عَ</w:t>
      </w:r>
      <w:r w:rsidR="006F436A">
        <w:rPr>
          <w:rtl/>
          <w:lang w:bidi="fa-IR"/>
        </w:rPr>
        <w:t>نْ أَبِي إِسْمَاعِيلَ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هُوَ ذَا أَخْرُجُ جُعِلْتُ فِدَاكَ ، فَمِنْ أَيْنَ أُوَدِّعُ الْبَيْتَ؟</w:t>
      </w:r>
    </w:p>
    <w:p w:rsidR="00744A1C" w:rsidRDefault="00744A1C" w:rsidP="00744A1C">
      <w:pPr>
        <w:pStyle w:val="libNormal"/>
        <w:rPr>
          <w:lang w:bidi="fa-IR"/>
        </w:rPr>
      </w:pPr>
      <w:r>
        <w:rPr>
          <w:rtl/>
          <w:lang w:bidi="fa-IR"/>
        </w:rPr>
        <w:t xml:space="preserve">قَالَ : « تَأْتِي الْمُسْتَجَارَ </w:t>
      </w:r>
      <w:r w:rsidRPr="00D10E3C">
        <w:rPr>
          <w:rStyle w:val="libFootnotenumChar"/>
          <w:rtl/>
        </w:rPr>
        <w:t>(5)</w:t>
      </w:r>
      <w:r>
        <w:rPr>
          <w:rtl/>
          <w:lang w:bidi="fa-IR"/>
        </w:rPr>
        <w:t xml:space="preserve"> بَيْنَ الْحَجَرِ وَالْبَابِ ، فَتُوَدِّعُهُ مِنْ </w:t>
      </w:r>
      <w:r w:rsidRPr="00D10E3C">
        <w:rPr>
          <w:rStyle w:val="libFootnotenumChar"/>
          <w:rtl/>
        </w:rPr>
        <w:t>(6)</w:t>
      </w:r>
      <w:r>
        <w:rPr>
          <w:rtl/>
          <w:lang w:bidi="fa-IR"/>
        </w:rPr>
        <w:t xml:space="preserve"> ثَمَّ </w:t>
      </w:r>
      <w:r w:rsidRPr="00D10E3C">
        <w:rPr>
          <w:rStyle w:val="libFootnotenumChar"/>
          <w:rtl/>
        </w:rPr>
        <w:t>(7)</w:t>
      </w:r>
      <w:r>
        <w:rPr>
          <w:rtl/>
          <w:lang w:bidi="fa-IR"/>
        </w:rPr>
        <w:t xml:space="preserve"> ، ثُمَّ تَخْرُجُ فَتَشْرَبُ مِنْ </w:t>
      </w:r>
      <w:r w:rsidRPr="00D10E3C">
        <w:rPr>
          <w:rStyle w:val="libFootnotenumChar"/>
          <w:rtl/>
        </w:rPr>
        <w:t>(8)</w:t>
      </w:r>
      <w:r>
        <w:rPr>
          <w:rtl/>
          <w:lang w:bidi="fa-IR"/>
        </w:rPr>
        <w:t xml:space="preserve"> زَمْزَمَ ، ثُمَّ تَمْضِي ».</w:t>
      </w:r>
    </w:p>
    <w:p w:rsidR="00744A1C" w:rsidRDefault="00744A1C" w:rsidP="00744A1C">
      <w:pPr>
        <w:pStyle w:val="libNormal"/>
        <w:rPr>
          <w:lang w:bidi="fa-IR"/>
        </w:rPr>
      </w:pPr>
      <w:r>
        <w:rPr>
          <w:rtl/>
          <w:lang w:bidi="fa-IR"/>
        </w:rPr>
        <w:t>فَقُلْتُ : أَصُبُّ عَلى رَأْسِي؟</w:t>
      </w:r>
    </w:p>
    <w:p w:rsidR="00744A1C" w:rsidRDefault="00744A1C" w:rsidP="00744A1C">
      <w:pPr>
        <w:pStyle w:val="libNormal"/>
        <w:rPr>
          <w:lang w:bidi="fa-IR"/>
        </w:rPr>
      </w:pPr>
      <w:r>
        <w:rPr>
          <w:rtl/>
          <w:lang w:bidi="fa-IR"/>
        </w:rPr>
        <w:t xml:space="preserve">فَقَالَ : « لَا تَقْرَبِ الصَّبَّ </w:t>
      </w:r>
      <w:r w:rsidRPr="00D10E3C">
        <w:rPr>
          <w:rStyle w:val="libFootnotenumChar"/>
          <w:rtl/>
        </w:rPr>
        <w:t>(9)</w:t>
      </w:r>
      <w:r>
        <w:rPr>
          <w:rtl/>
          <w:lang w:bidi="fa-IR"/>
        </w:rPr>
        <w:t xml:space="preserve"> ». </w:t>
      </w:r>
      <w:r w:rsidRPr="00D10E3C">
        <w:rPr>
          <w:rStyle w:val="libFootnotenumChar"/>
          <w:rtl/>
        </w:rPr>
        <w:t>(10)</w:t>
      </w:r>
    </w:p>
    <w:p w:rsidR="00744A1C" w:rsidRDefault="00744A1C" w:rsidP="00744A1C">
      <w:pPr>
        <w:pStyle w:val="libNormal"/>
        <w:rPr>
          <w:lang w:bidi="fa-IR"/>
        </w:rPr>
      </w:pPr>
      <w:r>
        <w:rPr>
          <w:rtl/>
          <w:lang w:bidi="fa-IR"/>
        </w:rPr>
        <w:t>8015 / 5. الْحُسَيْنُ بْنُ مُحَمَّدٍ ، عَنْ مُحَمَّدِ بْنِ أَحْمَدَ النَّهْدِيِّ ، عَنْ يَعْقُوبَ بْنِ يَزِيدَ ، عَنْ عَبْدِ اللهِ بْنِ جَبَلَةَ ، عَ</w:t>
      </w:r>
      <w:r w:rsidR="003812FF">
        <w:rPr>
          <w:rtl/>
          <w:lang w:bidi="fa-IR"/>
        </w:rPr>
        <w:t xml:space="preserve">نْ قُثَمَ بْنِ كَعْبٍ ، قَالَ </w:t>
      </w:r>
      <w:r w:rsidR="003812FF">
        <w:rPr>
          <w:rFonts w:hint="cs"/>
          <w:rtl/>
          <w:lang w:bidi="fa-IR"/>
        </w:rPr>
        <w:t>:</w:t>
      </w:r>
    </w:p>
    <w:p w:rsidR="00744A1C" w:rsidRDefault="00744A1C" w:rsidP="006111F7">
      <w:pPr>
        <w:pStyle w:val="libNormal"/>
        <w:rPr>
          <w:lang w:bidi="fa-IR"/>
        </w:rPr>
      </w:pPr>
      <w:r>
        <w:rPr>
          <w:rtl/>
          <w:lang w:bidi="fa-IR"/>
        </w:rPr>
        <w:t xml:space="preserve">قَالَ أَبُو عَبْدِ اللهِ </w:t>
      </w:r>
      <w:r w:rsidR="006111F7" w:rsidRPr="0061079A">
        <w:rPr>
          <w:rStyle w:val="libAlaemChar"/>
          <w:rtl/>
        </w:rPr>
        <w:t>عليه‌السلام</w:t>
      </w:r>
      <w:r>
        <w:rPr>
          <w:rtl/>
          <w:lang w:bidi="fa-IR"/>
        </w:rPr>
        <w:t xml:space="preserve">: « إِنَّكَ لَتُدْمِنُ </w:t>
      </w:r>
      <w:r w:rsidRPr="00D10E3C">
        <w:rPr>
          <w:rStyle w:val="libFootnotenumChar"/>
          <w:rtl/>
        </w:rPr>
        <w:t>(11)</w:t>
      </w:r>
      <w:r>
        <w:rPr>
          <w:rtl/>
          <w:lang w:bidi="fa-IR"/>
        </w:rPr>
        <w:t xml:space="preserve"> الْحَجَّ؟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جد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 الأسود ».</w:t>
      </w:r>
    </w:p>
    <w:p w:rsidR="00744A1C" w:rsidRDefault="00E378DD" w:rsidP="00E378DD">
      <w:pPr>
        <w:pStyle w:val="libFootnote0"/>
        <w:rPr>
          <w:lang w:bidi="fa-IR"/>
        </w:rPr>
      </w:pPr>
      <w:r>
        <w:rPr>
          <w:rtl/>
          <w:lang w:bidi="fa-IR"/>
        </w:rPr>
        <w:t>(2).</w:t>
      </w:r>
      <w:r w:rsidR="00744A1C">
        <w:rPr>
          <w:rtl/>
          <w:lang w:bidi="fa-IR"/>
        </w:rPr>
        <w:t xml:space="preserve"> في « جن » : « وصلّى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ومضى ».</w:t>
      </w:r>
    </w:p>
    <w:p w:rsidR="00744A1C" w:rsidRDefault="00E378DD" w:rsidP="000F4D62">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281 ، ح 959 ، معلّقاً عن الكليني</w:t>
      </w:r>
      <w:r w:rsidR="008E66F6">
        <w:rPr>
          <w:rFonts w:hint="cs"/>
          <w:rtl/>
          <w:lang w:bidi="fa-IR"/>
        </w:rPr>
        <w:t>.</w:t>
      </w:r>
      <w:r w:rsidR="00744A1C" w:rsidRPr="00C24F9C">
        <w:rPr>
          <w:rStyle w:val="libFootnoteBoldChar"/>
          <w:rtl/>
        </w:rPr>
        <w:t>الوافي</w:t>
      </w:r>
      <w:r w:rsidR="00744A1C">
        <w:rPr>
          <w:rtl/>
          <w:lang w:bidi="fa-IR"/>
        </w:rPr>
        <w:t xml:space="preserve"> ، ج 14 ، ص 1293 ، ح 14294 ؛ </w:t>
      </w:r>
      <w:r w:rsidR="00744A1C" w:rsidRPr="00C24F9C">
        <w:rPr>
          <w:rStyle w:val="libFootnoteBoldChar"/>
          <w:rtl/>
        </w:rPr>
        <w:t>الوسائل</w:t>
      </w:r>
      <w:r w:rsidR="00744A1C">
        <w:rPr>
          <w:rtl/>
          <w:lang w:bidi="fa-IR"/>
        </w:rPr>
        <w:t xml:space="preserve"> ، ج 14 ، ص 289 ، ح 19220.</w:t>
      </w:r>
      <w:r w:rsidR="00B03098">
        <w:rPr>
          <w:rFonts w:hint="cs"/>
          <w:rtl/>
          <w:lang w:bidi="fa-IR"/>
        </w:rPr>
        <w:t xml:space="preserve">         </w:t>
      </w:r>
      <w:r w:rsidR="000F4D62">
        <w:rPr>
          <w:rFonts w:hint="cs"/>
          <w:rtl/>
          <w:lang w:bidi="fa-IR"/>
        </w:rPr>
        <w:t xml:space="preserve">    </w:t>
      </w:r>
      <w:r>
        <w:rPr>
          <w:rtl/>
          <w:lang w:bidi="fa-IR"/>
        </w:rPr>
        <w:t>(5).</w:t>
      </w:r>
      <w:r w:rsidR="00744A1C">
        <w:rPr>
          <w:rtl/>
          <w:lang w:bidi="fa-IR"/>
        </w:rPr>
        <w:t xml:space="preserve"> في « بث » : « المسجد ».</w:t>
      </w:r>
    </w:p>
    <w:tbl>
      <w:tblPr>
        <w:tblStyle w:val="TableGrid"/>
        <w:bidiVisual/>
        <w:tblW w:w="0" w:type="auto"/>
        <w:tblLook w:val="04A0" w:firstRow="1" w:lastRow="0" w:firstColumn="1" w:lastColumn="0" w:noHBand="0" w:noVBand="1"/>
      </w:tblPr>
      <w:tblGrid>
        <w:gridCol w:w="4006"/>
        <w:gridCol w:w="4006"/>
      </w:tblGrid>
      <w:tr w:rsidR="00380B22" w:rsidTr="00380B22">
        <w:tc>
          <w:tcPr>
            <w:tcW w:w="4006" w:type="dxa"/>
          </w:tcPr>
          <w:p w:rsidR="00380B22" w:rsidRDefault="00380B22" w:rsidP="00E378DD">
            <w:pPr>
              <w:pStyle w:val="libFootnote0"/>
              <w:rPr>
                <w:rtl/>
                <w:lang w:bidi="fa-IR"/>
              </w:rPr>
            </w:pPr>
            <w:r>
              <w:rPr>
                <w:rtl/>
                <w:lang w:bidi="fa-IR"/>
              </w:rPr>
              <w:t>(6). في « بح » : - « من ».</w:t>
            </w:r>
          </w:p>
        </w:tc>
        <w:tc>
          <w:tcPr>
            <w:tcW w:w="4006" w:type="dxa"/>
          </w:tcPr>
          <w:p w:rsidR="00380B22" w:rsidRDefault="00380B22" w:rsidP="00E378DD">
            <w:pPr>
              <w:pStyle w:val="libFootnote0"/>
              <w:rPr>
                <w:rtl/>
                <w:lang w:bidi="fa-IR"/>
              </w:rPr>
            </w:pPr>
            <w:r>
              <w:rPr>
                <w:rtl/>
                <w:lang w:bidi="fa-IR"/>
              </w:rPr>
              <w:t xml:space="preserve">(7). في </w:t>
            </w:r>
            <w:r w:rsidRPr="00C24F9C">
              <w:rPr>
                <w:rStyle w:val="libFootnoteBoldChar"/>
                <w:rtl/>
              </w:rPr>
              <w:t>الوافي</w:t>
            </w:r>
            <w:r>
              <w:rPr>
                <w:rtl/>
                <w:lang w:bidi="fa-IR"/>
              </w:rPr>
              <w:t xml:space="preserve"> : « ثمّة ».</w:t>
            </w:r>
          </w:p>
        </w:tc>
      </w:tr>
    </w:tbl>
    <w:p w:rsidR="00744A1C" w:rsidRDefault="00E378DD" w:rsidP="00E378DD">
      <w:pPr>
        <w:pStyle w:val="libFootnote0"/>
        <w:rPr>
          <w:lang w:bidi="fa-IR"/>
        </w:rPr>
      </w:pPr>
      <w:r>
        <w:rPr>
          <w:rtl/>
          <w:lang w:bidi="fa-IR"/>
        </w:rPr>
        <w:t>(8).</w:t>
      </w:r>
      <w:r w:rsidR="00744A1C">
        <w:rPr>
          <w:rtl/>
          <w:lang w:bidi="fa-IR"/>
        </w:rPr>
        <w:t xml:space="preserve"> في « جن » : + « ماء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يدلّ على كراهة صبّ زمزم على البدن بعد طواف الوداع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الوافي</w:t>
      </w:r>
      <w:r w:rsidR="00744A1C">
        <w:rPr>
          <w:rtl/>
          <w:lang w:bidi="fa-IR"/>
        </w:rPr>
        <w:t xml:space="preserve"> ، ج 14 ، ص 1294 ، ح 14295 ؛ </w:t>
      </w:r>
      <w:r w:rsidR="00744A1C" w:rsidRPr="00C24F9C">
        <w:rPr>
          <w:rStyle w:val="libFootnoteBoldChar"/>
          <w:rtl/>
        </w:rPr>
        <w:t>الوسائل</w:t>
      </w:r>
      <w:r w:rsidR="00744A1C">
        <w:rPr>
          <w:rtl/>
          <w:lang w:bidi="fa-IR"/>
        </w:rPr>
        <w:t xml:space="preserve"> ، ج 14 ، ص 290 ، ح 19222.</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التهذيب</w:t>
      </w:r>
      <w:r w:rsidR="00744A1C">
        <w:rPr>
          <w:rtl/>
          <w:lang w:bidi="fa-IR"/>
        </w:rPr>
        <w:t xml:space="preserve"> : « لمدمن ». والإدمان على أمر : المواظبة عليه وملازمته. راجع : </w:t>
      </w:r>
      <w:r w:rsidR="00744A1C" w:rsidRPr="00877682">
        <w:rPr>
          <w:rStyle w:val="libFootnoteBoldChar"/>
          <w:rtl/>
        </w:rPr>
        <w:t>لسان العرب</w:t>
      </w:r>
      <w:r w:rsidR="00744A1C">
        <w:rPr>
          <w:rtl/>
          <w:lang w:bidi="fa-IR"/>
        </w:rPr>
        <w:t xml:space="preserve"> ، ج 13 ، ص 159 ( دمن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قُلْتُ : أَجَلْ.</w:t>
      </w:r>
    </w:p>
    <w:p w:rsidR="00744A1C" w:rsidRDefault="00744A1C" w:rsidP="00744A1C">
      <w:pPr>
        <w:pStyle w:val="libNormal"/>
        <w:rPr>
          <w:lang w:bidi="fa-IR"/>
        </w:rPr>
      </w:pPr>
      <w:r>
        <w:rPr>
          <w:rtl/>
          <w:lang w:bidi="fa-IR"/>
        </w:rPr>
        <w:t xml:space="preserve">قَالَ : « فَلْيَكُنْ آخِرُ عَهْدِكَ بِالْبَيْتِ أَنْ تَضَعَ يَدَكَ عَلَى الْبَابِ ، وَتَقُولَ : الْمِسْكِينُ عَلى بَابِكَ ، فَتَصَدَّقْ عَلَيْهِ بِالْجَنَّةِ ». </w:t>
      </w:r>
      <w:r w:rsidRPr="00D10E3C">
        <w:rPr>
          <w:rStyle w:val="libFootnotenumChar"/>
          <w:rtl/>
        </w:rPr>
        <w:t>(1)</w:t>
      </w:r>
    </w:p>
    <w:p w:rsidR="00744A1C" w:rsidRDefault="00744A1C" w:rsidP="00121459">
      <w:pPr>
        <w:pStyle w:val="Heading2Center"/>
        <w:rPr>
          <w:lang w:bidi="fa-IR"/>
        </w:rPr>
      </w:pPr>
      <w:bookmarkStart w:id="49" w:name="_Toc49261347"/>
      <w:r>
        <w:rPr>
          <w:rtl/>
          <w:lang w:bidi="fa-IR"/>
        </w:rPr>
        <w:t>204 - بَابُ مَا يُسْتَحَبُّ مِنَ الصَّدَقَةِ عِنْدَ الْخُرُوجِ مِنْ مَكَّةَ‌</w:t>
      </w:r>
      <w:bookmarkEnd w:id="49"/>
    </w:p>
    <w:p w:rsidR="00744A1C" w:rsidRDefault="00744A1C" w:rsidP="00744A1C">
      <w:pPr>
        <w:pStyle w:val="libNormal"/>
        <w:rPr>
          <w:lang w:bidi="fa-IR"/>
        </w:rPr>
      </w:pPr>
      <w:r>
        <w:rPr>
          <w:rtl/>
          <w:lang w:bidi="fa-IR"/>
        </w:rPr>
        <w:t xml:space="preserve">8016 / 1. عَلِيُّ بْنُ إِبْرَاهِيمَ ، عَنْ أَبِيهِ ، عَنِ ابْنِ أَبِي عُمَيْرٍ ، عَنْ حَمَّادٍ ، عَنِ الْحَلَبِيِّ ، عَنْ </w:t>
      </w:r>
      <w:r w:rsidRPr="00D10E3C">
        <w:rPr>
          <w:rStyle w:val="libFootnotenumChar"/>
          <w:rtl/>
        </w:rPr>
        <w:t>(2)</w:t>
      </w:r>
      <w:r>
        <w:rPr>
          <w:rtl/>
          <w:lang w:bidi="fa-IR"/>
        </w:rPr>
        <w:t xml:space="preserve"> مُعَاوِيَةَ بْنِ عَمَّارٍ وَ</w:t>
      </w:r>
      <w:r w:rsidR="005A105E">
        <w:rPr>
          <w:rtl/>
          <w:lang w:bidi="fa-IR"/>
        </w:rPr>
        <w:t>حَفْصِ بْنِ الْبَخْتَرِيِّ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w:t>
      </w:r>
      <w:r w:rsidRPr="00D10E3C">
        <w:rPr>
          <w:rStyle w:val="libFootnotenumChar"/>
          <w:rtl/>
        </w:rPr>
        <w:t>(3)</w:t>
      </w:r>
      <w:r>
        <w:rPr>
          <w:rtl/>
          <w:lang w:bidi="fa-IR"/>
        </w:rPr>
        <w:t xml:space="preserve"> قَالَ : « يَنْبَغِي لِلْحَاجِّ إِذَا قَضى نُسُكَهُ </w:t>
      </w:r>
      <w:r w:rsidRPr="00D10E3C">
        <w:rPr>
          <w:rStyle w:val="libFootnotenumChar"/>
          <w:rtl/>
        </w:rPr>
        <w:t>(4)</w:t>
      </w:r>
      <w:r>
        <w:rPr>
          <w:rtl/>
          <w:lang w:bidi="fa-IR"/>
        </w:rPr>
        <w:t xml:space="preserve"> ، وَأَرَادَ أَنْ يَخْرُجَ ، أَنْ يَبْتَاعَ بِدِرْهَمٍ تَمْراً يَتَصَدَّقُ </w:t>
      </w:r>
      <w:r w:rsidRPr="00D10E3C">
        <w:rPr>
          <w:rStyle w:val="libFootnotenumChar"/>
          <w:rtl/>
        </w:rPr>
        <w:t>(5)</w:t>
      </w:r>
      <w:r>
        <w:rPr>
          <w:rtl/>
          <w:lang w:bidi="fa-IR"/>
        </w:rPr>
        <w:t xml:space="preserve"> بِهِ ، فَيَكُونُ </w:t>
      </w:r>
      <w:r w:rsidRPr="00D10E3C">
        <w:rPr>
          <w:rStyle w:val="libFootnotenumChar"/>
          <w:rtl/>
        </w:rPr>
        <w:t>(6)</w:t>
      </w:r>
      <w:r>
        <w:rPr>
          <w:rtl/>
          <w:lang w:bidi="fa-IR"/>
        </w:rPr>
        <w:t xml:space="preserve"> كَفَّارَةً لِمَا لَعَلَّهُ </w:t>
      </w:r>
      <w:r w:rsidRPr="00D10E3C">
        <w:rPr>
          <w:rStyle w:val="libFootnotenumChar"/>
          <w:rtl/>
        </w:rPr>
        <w:t>(7)</w:t>
      </w:r>
      <w:r>
        <w:rPr>
          <w:rtl/>
          <w:lang w:bidi="fa-IR"/>
        </w:rPr>
        <w:t xml:space="preserve"> دَخَلَ عَلَيْهِ فِي حَجِّهِ مِنْ حَكٍّ </w:t>
      </w:r>
      <w:r w:rsidRPr="00D10E3C">
        <w:rPr>
          <w:rStyle w:val="libFootnotenumChar"/>
          <w:rtl/>
        </w:rPr>
        <w:t>(8)</w:t>
      </w:r>
      <w:r>
        <w:rPr>
          <w:rtl/>
          <w:lang w:bidi="fa-IR"/>
        </w:rPr>
        <w:t xml:space="preserve"> ، أَوْ قَمْلَةٍ </w:t>
      </w:r>
      <w:r w:rsidRPr="00D10E3C">
        <w:rPr>
          <w:rStyle w:val="libFootnotenumChar"/>
          <w:rtl/>
        </w:rPr>
        <w:t>(9)</w:t>
      </w:r>
      <w:r>
        <w:rPr>
          <w:rtl/>
          <w:lang w:bidi="fa-IR"/>
        </w:rPr>
        <w:t xml:space="preserve"> ‌</w:t>
      </w:r>
      <w:r w:rsidR="002D2E90">
        <w:rPr>
          <w:rFonts w:hint="cs"/>
          <w:rtl/>
          <w:lang w:bidi="fa-IR"/>
        </w:rPr>
        <w:t>.........</w:t>
      </w:r>
      <w:r w:rsidR="00B03098">
        <w:rPr>
          <w:rFonts w:hint="cs"/>
          <w:rtl/>
          <w:lang w:bidi="fa-IR"/>
        </w:rPr>
        <w:t>...........................</w:t>
      </w:r>
      <w:r w:rsidR="002D2E90">
        <w:rPr>
          <w:rFonts w:hint="cs"/>
          <w:rtl/>
          <w:lang w:bidi="fa-IR"/>
        </w:rPr>
        <w:t>............................</w:t>
      </w:r>
      <w:r w:rsidR="002D2E90">
        <w:rPr>
          <w:rFonts w:hint="cs"/>
          <w:rtl/>
          <w:lang w:bidi="fa-IR"/>
        </w:rPr>
        <w:tab/>
      </w:r>
    </w:p>
    <w:p w:rsidR="00744A1C" w:rsidRDefault="00744A1C" w:rsidP="00D10E3C">
      <w:pPr>
        <w:pStyle w:val="libLine"/>
        <w:rPr>
          <w:lang w:bidi="fa-IR"/>
        </w:rPr>
      </w:pPr>
      <w:r>
        <w:rPr>
          <w:rtl/>
          <w:lang w:bidi="fa-IR"/>
        </w:rPr>
        <w:t>____________________</w:t>
      </w:r>
    </w:p>
    <w:p w:rsidR="00744A1C" w:rsidRDefault="00D10E3C" w:rsidP="00F14E0F">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282 ، ح 962 ، معلّقاً عن الكليني. راجع : </w:t>
      </w:r>
      <w:r w:rsidR="00744A1C" w:rsidRPr="00C24F9C">
        <w:rPr>
          <w:rStyle w:val="libFootnoteBoldChar"/>
          <w:rtl/>
        </w:rPr>
        <w:t>الفقيه</w:t>
      </w:r>
      <w:r w:rsidR="00744A1C">
        <w:rPr>
          <w:rtl/>
          <w:lang w:bidi="fa-IR"/>
        </w:rPr>
        <w:t xml:space="preserve"> ، ج 2 ، ص 531 ؛ </w:t>
      </w:r>
      <w:r w:rsidR="00744A1C" w:rsidRPr="00F14E0F">
        <w:rPr>
          <w:rStyle w:val="libFootnoteBoldChar"/>
          <w:rtl/>
        </w:rPr>
        <w:t>والمقنعة</w:t>
      </w:r>
      <w:r w:rsidR="00744A1C">
        <w:rPr>
          <w:rtl/>
          <w:lang w:bidi="fa-IR"/>
        </w:rPr>
        <w:t xml:space="preserve"> ، ص 403 ؛ وص 430</w:t>
      </w:r>
      <w:r w:rsidR="00F14E0F">
        <w:rPr>
          <w:rFonts w:hint="cs"/>
          <w:rtl/>
          <w:lang w:bidi="fa-IR"/>
        </w:rPr>
        <w:t>.</w:t>
      </w:r>
      <w:r w:rsidR="00744A1C" w:rsidRPr="00C24F9C">
        <w:rPr>
          <w:rStyle w:val="libFootnoteBoldChar"/>
          <w:rtl/>
        </w:rPr>
        <w:t>الوافي</w:t>
      </w:r>
      <w:r w:rsidR="00744A1C">
        <w:rPr>
          <w:rtl/>
          <w:lang w:bidi="fa-IR"/>
        </w:rPr>
        <w:t xml:space="preserve"> ، ج 14 ، ص 1295 ، ح 14296 ؛ </w:t>
      </w:r>
      <w:r w:rsidR="00744A1C" w:rsidRPr="00C24F9C">
        <w:rPr>
          <w:rStyle w:val="libFootnoteBoldChar"/>
          <w:rtl/>
        </w:rPr>
        <w:t>الوسائل</w:t>
      </w:r>
      <w:r w:rsidR="00744A1C">
        <w:rPr>
          <w:rtl/>
          <w:lang w:bidi="fa-IR"/>
        </w:rPr>
        <w:t xml:space="preserve"> ، ج 14 ، ص 290 ، ح 19221.</w:t>
      </w:r>
    </w:p>
    <w:p w:rsidR="00744A1C" w:rsidRDefault="00E378DD" w:rsidP="00E378DD">
      <w:pPr>
        <w:pStyle w:val="libFootnote0"/>
        <w:rPr>
          <w:lang w:bidi="fa-IR"/>
        </w:rPr>
      </w:pPr>
      <w:r>
        <w:rPr>
          <w:rtl/>
          <w:lang w:bidi="fa-IR"/>
        </w:rPr>
        <w:t>(2).</w:t>
      </w:r>
      <w:r w:rsidR="00744A1C">
        <w:rPr>
          <w:rtl/>
          <w:lang w:bidi="fa-IR"/>
        </w:rPr>
        <w:t xml:space="preserve"> كذا في النسخ والمطبوع ، والظاهر وقوع التحريف في السند. والصواب : « ومعاوية بن عمّار » ، فيكون في‌</w:t>
      </w:r>
      <w:r w:rsidR="009E30A4">
        <w:rPr>
          <w:rFonts w:hint="cs"/>
          <w:rtl/>
          <w:lang w:bidi="fa-IR"/>
        </w:rPr>
        <w:t xml:space="preserve"> </w:t>
      </w:r>
      <w:r w:rsidR="00744A1C">
        <w:rPr>
          <w:rtl/>
          <w:lang w:bidi="fa-IR"/>
        </w:rPr>
        <w:t xml:space="preserve">أصل السند تحويل بعطف « معاوية بن عمّار وحفص بن البختري » على « حمّاد ، عن الحلبي » ويكون لابن أبي عمير إلى أبي عبد الله </w:t>
      </w:r>
      <w:r w:rsidR="0061079A" w:rsidRPr="0061079A">
        <w:rPr>
          <w:rStyle w:val="libFootnoteAlaemChar"/>
          <w:rtl/>
        </w:rPr>
        <w:t>عليه‌السلام</w:t>
      </w:r>
      <w:r w:rsidR="00D10E3C">
        <w:rPr>
          <w:rtl/>
          <w:lang w:bidi="fa-IR"/>
        </w:rPr>
        <w:t xml:space="preserve"> </w:t>
      </w:r>
      <w:r w:rsidR="00744A1C">
        <w:rPr>
          <w:rtl/>
          <w:lang w:bidi="fa-IR"/>
        </w:rPr>
        <w:t>ثلاثة طرق.</w:t>
      </w:r>
    </w:p>
    <w:p w:rsidR="00744A1C" w:rsidRDefault="00744A1C" w:rsidP="00D10E3C">
      <w:pPr>
        <w:pStyle w:val="libFootnote0"/>
        <w:rPr>
          <w:lang w:bidi="fa-IR"/>
        </w:rPr>
      </w:pPr>
      <w:r>
        <w:rPr>
          <w:rtl/>
          <w:lang w:bidi="fa-IR"/>
        </w:rPr>
        <w:t xml:space="preserve">ويدلّ على ذلك مضافاً إلى كثرة روايات ابن أبي عمير عن معاوية بن عمّار وحفص بن البختري ، وعدم ثبوت رواية الحلبي - وهو عبيد الله بن عليّ - عن معاوية بن عمّار ، ما تقدّم في ح 7722 ؛ من رواية عليّ بن إبراهيم عن أبيه عن ابن أبي عمير عن حفص بن البختري ومعاوية بن عمّار وحمّاد عن الحلبي جميعاً عن أبي عبد الله </w:t>
      </w:r>
      <w:r w:rsidR="0061079A" w:rsidRPr="0061079A">
        <w:rPr>
          <w:rStyle w:val="libFootnoteAlaemChar"/>
          <w:rtl/>
        </w:rPr>
        <w:t>عليه‌السلام</w:t>
      </w:r>
      <w:r>
        <w:rPr>
          <w:rtl/>
          <w:lang w:bidi="fa-IR"/>
        </w:rPr>
        <w:t xml:space="preserve"> . راجع : </w:t>
      </w:r>
      <w:r w:rsidRPr="0061079A">
        <w:rPr>
          <w:rStyle w:val="libFootnoteBoldChar"/>
          <w:rtl/>
        </w:rPr>
        <w:t>معجم رجال الحديث</w:t>
      </w:r>
      <w:r>
        <w:rPr>
          <w:rtl/>
          <w:lang w:bidi="fa-IR"/>
        </w:rPr>
        <w:t xml:space="preserve"> ، ج 22 ، ص 258 - 262 ؛ وص 306 - 310.</w:t>
      </w:r>
    </w:p>
    <w:tbl>
      <w:tblPr>
        <w:tblStyle w:val="TableGrid"/>
        <w:bidiVisual/>
        <w:tblW w:w="0" w:type="auto"/>
        <w:tblLook w:val="04A0" w:firstRow="1" w:lastRow="0" w:firstColumn="1" w:lastColumn="0" w:noHBand="0" w:noVBand="1"/>
      </w:tblPr>
      <w:tblGrid>
        <w:gridCol w:w="4006"/>
        <w:gridCol w:w="4006"/>
      </w:tblGrid>
      <w:tr w:rsidR="00D81911" w:rsidTr="00D81911">
        <w:tc>
          <w:tcPr>
            <w:tcW w:w="4006" w:type="dxa"/>
          </w:tcPr>
          <w:p w:rsidR="00D81911" w:rsidRDefault="00D81911" w:rsidP="00E378DD">
            <w:pPr>
              <w:pStyle w:val="libFootnote0"/>
              <w:rPr>
                <w:rtl/>
                <w:lang w:bidi="fa-IR"/>
              </w:rPr>
            </w:pPr>
            <w:r>
              <w:rPr>
                <w:rtl/>
                <w:lang w:bidi="fa-IR"/>
              </w:rPr>
              <w:t xml:space="preserve">(3).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 أنّه ».</w:t>
            </w:r>
          </w:p>
        </w:tc>
        <w:tc>
          <w:tcPr>
            <w:tcW w:w="4006" w:type="dxa"/>
          </w:tcPr>
          <w:p w:rsidR="00D81911" w:rsidRDefault="00D81911" w:rsidP="00E378DD">
            <w:pPr>
              <w:pStyle w:val="libFootnote0"/>
              <w:rPr>
                <w:rtl/>
                <w:lang w:bidi="fa-IR"/>
              </w:rPr>
            </w:pPr>
            <w:r>
              <w:rPr>
                <w:rtl/>
                <w:lang w:bidi="fa-IR"/>
              </w:rPr>
              <w:t xml:space="preserve">(4). في </w:t>
            </w:r>
            <w:r w:rsidRPr="00C24F9C">
              <w:rPr>
                <w:rStyle w:val="libFootnoteBoldChar"/>
                <w:rtl/>
              </w:rPr>
              <w:t>الوسائل</w:t>
            </w:r>
            <w:r>
              <w:rPr>
                <w:rtl/>
                <w:lang w:bidi="fa-IR"/>
              </w:rPr>
              <w:t xml:space="preserve"> : « مناسكه ».</w:t>
            </w:r>
          </w:p>
        </w:tc>
      </w:tr>
      <w:tr w:rsidR="00D81911" w:rsidTr="00D81911">
        <w:tc>
          <w:tcPr>
            <w:tcW w:w="4006" w:type="dxa"/>
          </w:tcPr>
          <w:p w:rsidR="00D81911" w:rsidRDefault="00D81911" w:rsidP="00E378DD">
            <w:pPr>
              <w:pStyle w:val="libFootnote0"/>
              <w:rPr>
                <w:rtl/>
                <w:lang w:bidi="fa-IR"/>
              </w:rPr>
            </w:pPr>
            <w:r>
              <w:rPr>
                <w:rtl/>
                <w:lang w:bidi="fa-IR"/>
              </w:rPr>
              <w:t xml:space="preserve">(5). في </w:t>
            </w:r>
            <w:r w:rsidRPr="00C24F9C">
              <w:rPr>
                <w:rStyle w:val="libFootnoteBoldChar"/>
                <w:rtl/>
              </w:rPr>
              <w:t>التهذيب</w:t>
            </w:r>
            <w:r>
              <w:rPr>
                <w:rtl/>
                <w:lang w:bidi="fa-IR"/>
              </w:rPr>
              <w:t xml:space="preserve"> : « ويتصدّق ».</w:t>
            </w:r>
          </w:p>
        </w:tc>
        <w:tc>
          <w:tcPr>
            <w:tcW w:w="4006" w:type="dxa"/>
          </w:tcPr>
          <w:p w:rsidR="00D81911" w:rsidRDefault="008E3ADA" w:rsidP="00E378DD">
            <w:pPr>
              <w:pStyle w:val="libFootnote0"/>
              <w:rPr>
                <w:rtl/>
                <w:lang w:bidi="fa-IR"/>
              </w:rPr>
            </w:pPr>
            <w:r>
              <w:rPr>
                <w:rtl/>
                <w:lang w:bidi="fa-IR"/>
              </w:rPr>
              <w:t>(6). في « بح » : « فتكون ».</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 « لعلّه ».</w:t>
      </w:r>
    </w:p>
    <w:p w:rsidR="00744A1C" w:rsidRDefault="00E378DD" w:rsidP="00E378DD">
      <w:pPr>
        <w:pStyle w:val="libFootnote0"/>
        <w:rPr>
          <w:lang w:bidi="fa-IR"/>
        </w:rPr>
      </w:pPr>
      <w:r>
        <w:rPr>
          <w:rtl/>
          <w:lang w:bidi="fa-IR"/>
        </w:rPr>
        <w:t>(8).</w:t>
      </w:r>
      <w:r w:rsidR="00744A1C">
        <w:rPr>
          <w:rtl/>
          <w:lang w:bidi="fa-IR"/>
        </w:rPr>
        <w:t xml:space="preserve"> المراد من « الحكّ » قشر الجلد وإزالة شي‌ء عنه. راجع : </w:t>
      </w:r>
      <w:r w:rsidR="00744A1C" w:rsidRPr="00877682">
        <w:rPr>
          <w:rStyle w:val="libFootnoteBoldChar"/>
          <w:rtl/>
        </w:rPr>
        <w:t>لسان العرب</w:t>
      </w:r>
      <w:r w:rsidR="00744A1C">
        <w:rPr>
          <w:rtl/>
          <w:lang w:bidi="fa-IR"/>
        </w:rPr>
        <w:t xml:space="preserve"> ، ج 10 ، ص 413 ؛ </w:t>
      </w:r>
      <w:r w:rsidR="00744A1C" w:rsidRPr="00E978C3">
        <w:rPr>
          <w:rStyle w:val="libFootnoteBoldChar"/>
          <w:rtl/>
        </w:rPr>
        <w:t>المصباح المنير</w:t>
      </w:r>
      <w:r w:rsidR="00744A1C">
        <w:rPr>
          <w:rtl/>
          <w:lang w:bidi="fa-IR"/>
        </w:rPr>
        <w:t xml:space="preserve"> ، ص 145 ( حكك ).</w:t>
      </w:r>
    </w:p>
    <w:p w:rsidR="00744A1C" w:rsidRDefault="00E378DD" w:rsidP="00E378DD">
      <w:pPr>
        <w:pStyle w:val="libFootnote0"/>
        <w:rPr>
          <w:lang w:bidi="fa-IR"/>
        </w:rPr>
      </w:pPr>
      <w:r>
        <w:rPr>
          <w:rtl/>
          <w:lang w:bidi="fa-IR"/>
        </w:rPr>
        <w:t>(9).</w:t>
      </w:r>
      <w:r w:rsidR="00744A1C">
        <w:rPr>
          <w:rtl/>
          <w:lang w:bidi="fa-IR"/>
        </w:rPr>
        <w:t xml:space="preserve"> القَمْلَةُ ، بفتح القاف وسكون الميم : واحدة القَمْل ، وهو معروف. والمراد به عند الإطلاق ما يولد على </w:t>
      </w:r>
      <w:r w:rsidR="00617992">
        <w:rPr>
          <w:rFonts w:hint="cs"/>
          <w:rtl/>
          <w:lang w:bidi="fa-IR"/>
        </w:rPr>
        <w:t>=</w:t>
      </w:r>
    </w:p>
    <w:p w:rsidR="00150943" w:rsidRDefault="00150943" w:rsidP="00E378DD">
      <w:pPr>
        <w:pStyle w:val="libFootnote0"/>
        <w:rPr>
          <w:rtl/>
          <w:lang w:bidi="fa-IR"/>
        </w:rPr>
      </w:pPr>
      <w:r w:rsidRPr="00D10E3C">
        <w:rPr>
          <w:rStyle w:val="libNormalChar"/>
          <w:rtl/>
        </w:rPr>
        <w:br w:type="page"/>
      </w:r>
    </w:p>
    <w:p w:rsidR="003D0693" w:rsidRDefault="003D0693" w:rsidP="005E44DF">
      <w:pPr>
        <w:pStyle w:val="libNormal0"/>
        <w:rPr>
          <w:lang w:bidi="fa-IR"/>
        </w:rPr>
      </w:pPr>
      <w:r>
        <w:rPr>
          <w:rtl/>
          <w:lang w:bidi="fa-IR"/>
        </w:rPr>
        <w:lastRenderedPageBreak/>
        <w:t xml:space="preserve">سَقَطَتْ </w:t>
      </w:r>
      <w:r w:rsidRPr="005E44DF">
        <w:rPr>
          <w:rStyle w:val="libFootnotenumChar"/>
          <w:rtl/>
        </w:rPr>
        <w:t>(1)</w:t>
      </w:r>
      <w:r>
        <w:rPr>
          <w:rtl/>
          <w:lang w:bidi="fa-IR"/>
        </w:rPr>
        <w:t xml:space="preserve">. ، أَوْ نَحْوِ ذلِكَ ». </w:t>
      </w:r>
      <w:r w:rsidRPr="005E44DF">
        <w:rPr>
          <w:rStyle w:val="libFootnotenumChar"/>
          <w:rtl/>
        </w:rPr>
        <w:t>(2)</w:t>
      </w:r>
      <w:r>
        <w:rPr>
          <w:rtl/>
          <w:lang w:bidi="fa-IR"/>
        </w:rPr>
        <w:t>.</w:t>
      </w:r>
    </w:p>
    <w:p w:rsidR="003D0693" w:rsidRDefault="003D0693" w:rsidP="005E44DF">
      <w:pPr>
        <w:pStyle w:val="libNormal"/>
        <w:rPr>
          <w:lang w:bidi="fa-IR"/>
        </w:rPr>
      </w:pPr>
      <w:r>
        <w:rPr>
          <w:rtl/>
          <w:lang w:bidi="fa-IR"/>
        </w:rPr>
        <w:t>8017 / 2. حُمَيْدُ بْنُ زِيَادٍ ، عَنِ ابْنِ سَمَاعَةَ ، عَمَّنْ ذَكَرَهُ ، عَنْ أَبَانٍ ، عَنْ أَبِي بَصِيرٍ ، قَالَ :</w:t>
      </w:r>
    </w:p>
    <w:p w:rsidR="008E6CFC" w:rsidRDefault="003D0693" w:rsidP="00707E37">
      <w:pPr>
        <w:pStyle w:val="libNormal"/>
        <w:rPr>
          <w:lang w:bidi="fa-IR"/>
        </w:rPr>
      </w:pPr>
      <w:r>
        <w:rPr>
          <w:rtl/>
          <w:lang w:bidi="fa-IR"/>
        </w:rPr>
        <w:t xml:space="preserve">قَالَ أَبُو عَبْدِ اللهِ </w:t>
      </w:r>
      <w:r w:rsidRPr="0061079A">
        <w:rPr>
          <w:rStyle w:val="libFootnoteAlaemChar"/>
          <w:rtl/>
        </w:rPr>
        <w:t>عليه‌السلام</w:t>
      </w:r>
      <w:r>
        <w:rPr>
          <w:rtl/>
          <w:lang w:bidi="fa-IR"/>
        </w:rPr>
        <w:t xml:space="preserve"> : « إِذَا أَرَدْتَ أَنْ تَخْرُجَ مِنْ مَكَّةَ ، فَاشْتَرِ بِدِرْهَمٍ تَمْراً ، فَتَصَدَّقْ بِهِ قَبْضَةً قَبْضَةً ، فَيَكُونَ </w:t>
      </w:r>
      <w:r w:rsidRPr="005E44DF">
        <w:rPr>
          <w:rStyle w:val="libFootnotenumChar"/>
          <w:rtl/>
        </w:rPr>
        <w:t>(3)</w:t>
      </w:r>
      <w:r>
        <w:rPr>
          <w:rtl/>
          <w:lang w:bidi="fa-IR"/>
        </w:rPr>
        <w:t xml:space="preserve">. لِكُلِّ مَا كَانَ مِنْكَ </w:t>
      </w:r>
      <w:r w:rsidRPr="005E44DF">
        <w:rPr>
          <w:rStyle w:val="libFootnotenumChar"/>
          <w:rtl/>
        </w:rPr>
        <w:t>(4)</w:t>
      </w:r>
      <w:r>
        <w:rPr>
          <w:rtl/>
          <w:lang w:bidi="fa-IR"/>
        </w:rPr>
        <w:t xml:space="preserve">. فِي إِحْرَامِكَ ، وَمَا كَانَ مِنْكَ بِمَكَّةَ </w:t>
      </w:r>
      <w:r w:rsidRPr="005E44DF">
        <w:rPr>
          <w:rStyle w:val="libFootnotenumChar"/>
          <w:rtl/>
        </w:rPr>
        <w:t>(5)</w:t>
      </w:r>
      <w:r>
        <w:rPr>
          <w:rtl/>
          <w:lang w:bidi="fa-IR"/>
        </w:rPr>
        <w:t xml:space="preserve">. ». </w:t>
      </w:r>
      <w:r w:rsidRPr="005E44DF">
        <w:rPr>
          <w:rStyle w:val="libFootnotenumChar"/>
          <w:rtl/>
        </w:rPr>
        <w:t>(6)</w:t>
      </w:r>
      <w:r>
        <w:rPr>
          <w:rtl/>
          <w:lang w:bidi="fa-IR"/>
        </w:rPr>
        <w:t>.</w:t>
      </w:r>
    </w:p>
    <w:p w:rsidR="00744A1C" w:rsidRDefault="00744A1C" w:rsidP="008E6CFC">
      <w:pPr>
        <w:pStyle w:val="Heading2Center"/>
        <w:rPr>
          <w:lang w:bidi="fa-IR"/>
        </w:rPr>
      </w:pPr>
      <w:bookmarkStart w:id="50" w:name="_Toc49261348"/>
      <w:r>
        <w:rPr>
          <w:rtl/>
          <w:lang w:bidi="fa-IR"/>
        </w:rPr>
        <w:t>205 - بَابُ مَا يُجْزِئُ مِنَ الْعُمْرَةِ الْمَفْرُوضَةِ‌</w:t>
      </w:r>
      <w:bookmarkEnd w:id="50"/>
    </w:p>
    <w:p w:rsidR="00744A1C" w:rsidRDefault="00744A1C" w:rsidP="00744A1C">
      <w:pPr>
        <w:pStyle w:val="libNormal"/>
        <w:rPr>
          <w:lang w:bidi="fa-IR"/>
        </w:rPr>
      </w:pPr>
      <w:r>
        <w:rPr>
          <w:rtl/>
          <w:lang w:bidi="fa-IR"/>
        </w:rPr>
        <w:t>8018 / 1. عَلِيُّ بْنُ إِبْرَاهِيمَ ، عَنْ أَبِيهِ ، عَنِ ابْنِ أَبِي عُمَيْرٍ ، عَنْ</w:t>
      </w:r>
      <w:r w:rsidR="00AD18DF">
        <w:rPr>
          <w:rtl/>
          <w:lang w:bidi="fa-IR"/>
        </w:rPr>
        <w:t xml:space="preserve"> حَمَّادٍ ، عَنِ الْحَلَبِيِّ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اسْتَمْتَعَ الرَّجُلُ بِالْعُمْرَةِ ، فَقَدْ قَضى مَا عَلَيْهِ مِنْ فَرِيضَةِ الْعُمْرَةِ </w:t>
      </w:r>
      <w:r w:rsidRPr="00D10E3C">
        <w:rPr>
          <w:rStyle w:val="libFootnotenumChar"/>
          <w:rtl/>
        </w:rPr>
        <w:t>(7)</w:t>
      </w:r>
      <w:r>
        <w:rPr>
          <w:rtl/>
          <w:lang w:bidi="fa-IR"/>
        </w:rPr>
        <w:t xml:space="preserve"> ». </w:t>
      </w:r>
      <w:r w:rsidRPr="00D10E3C">
        <w:rPr>
          <w:rStyle w:val="libFootnotenumChar"/>
          <w:rtl/>
        </w:rPr>
        <w:t>(8)</w:t>
      </w:r>
    </w:p>
    <w:p w:rsidR="00744A1C" w:rsidRDefault="00744A1C" w:rsidP="00744A1C">
      <w:pPr>
        <w:pStyle w:val="libNormal"/>
        <w:rPr>
          <w:lang w:bidi="fa-IR"/>
        </w:rPr>
      </w:pPr>
      <w:r>
        <w:rPr>
          <w:rtl/>
          <w:lang w:bidi="fa-IR"/>
        </w:rPr>
        <w:t>8019 / 2. عِدَّةٌ مِنْ أَصْحَابِنَا ، عَنْ سَهْلِ بْنِ زِيَادٍ ، عَنْ أَحْمَدَ بْنِ مُحَمَّدِ بْنِ‌</w:t>
      </w:r>
    </w:p>
    <w:p w:rsidR="00744A1C" w:rsidRDefault="00744A1C" w:rsidP="00D10E3C">
      <w:pPr>
        <w:pStyle w:val="libLine"/>
        <w:rPr>
          <w:lang w:bidi="fa-IR"/>
        </w:rPr>
      </w:pPr>
      <w:r>
        <w:rPr>
          <w:rtl/>
          <w:lang w:bidi="fa-IR"/>
        </w:rPr>
        <w:t>____________________</w:t>
      </w:r>
    </w:p>
    <w:p w:rsidR="00744A1C" w:rsidRDefault="003F0B0D" w:rsidP="00D10E3C">
      <w:pPr>
        <w:pStyle w:val="libFootnote0"/>
        <w:rPr>
          <w:lang w:bidi="fa-IR"/>
        </w:rPr>
      </w:pPr>
      <w:r>
        <w:rPr>
          <w:rFonts w:hint="cs"/>
          <w:rtl/>
          <w:lang w:bidi="fa-IR"/>
        </w:rPr>
        <w:t xml:space="preserve">= </w:t>
      </w:r>
      <w:r w:rsidR="00744A1C">
        <w:rPr>
          <w:rtl/>
          <w:lang w:bidi="fa-IR"/>
        </w:rPr>
        <w:t xml:space="preserve">الإنسان ، ويكون عند قوّة البدن ودفعه العفونات إلى الخارج ، وهي دويبّة صغيرة عديمة الأجنحة ، تلسع الإنسان وتغتذي بدمه ، وتكون في الرأس والجسد والعانة. راجع : </w:t>
      </w:r>
      <w:r w:rsidR="00744A1C" w:rsidRPr="00877682">
        <w:rPr>
          <w:rStyle w:val="libFootnoteBoldChar"/>
          <w:rtl/>
        </w:rPr>
        <w:t>لسان العرب</w:t>
      </w:r>
      <w:r w:rsidR="00744A1C">
        <w:rPr>
          <w:rtl/>
          <w:lang w:bidi="fa-IR"/>
        </w:rPr>
        <w:t xml:space="preserve"> ، ج 11 ، ص 568 ؛ </w:t>
      </w:r>
      <w:r w:rsidR="00744A1C" w:rsidRPr="00796046">
        <w:rPr>
          <w:rStyle w:val="libFootnoteBoldChar"/>
          <w:rtl/>
        </w:rPr>
        <w:t xml:space="preserve">تاج العروس </w:t>
      </w:r>
      <w:r w:rsidR="00744A1C">
        <w:rPr>
          <w:rtl/>
          <w:lang w:bidi="fa-IR"/>
        </w:rPr>
        <w:t>، ج 15 ، ص 632 ( قمل ).</w:t>
      </w:r>
    </w:p>
    <w:p w:rsidR="00744A1C" w:rsidRDefault="00D10E3C" w:rsidP="00D10E3C">
      <w:pPr>
        <w:pStyle w:val="libFootnote0"/>
        <w:rPr>
          <w:lang w:bidi="fa-IR"/>
        </w:rPr>
      </w:pPr>
      <w:r>
        <w:rPr>
          <w:rtl/>
          <w:lang w:bidi="fa-IR"/>
        </w:rPr>
        <w:t>(1).</w:t>
      </w:r>
      <w:r w:rsidR="00744A1C">
        <w:rPr>
          <w:rtl/>
          <w:lang w:bidi="fa-IR"/>
        </w:rPr>
        <w:t xml:space="preserve"> في « بف » : « سقط ».</w:t>
      </w:r>
    </w:p>
    <w:p w:rsidR="00744A1C" w:rsidRDefault="00E378DD" w:rsidP="00C9565A">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282 ، ح 963 ، معلّقاً عن الكليني. </w:t>
      </w:r>
      <w:r w:rsidR="00744A1C" w:rsidRPr="0061079A">
        <w:rPr>
          <w:rStyle w:val="libFootnoteBoldChar"/>
          <w:rtl/>
        </w:rPr>
        <w:t>الكافي</w:t>
      </w:r>
      <w:r w:rsidR="00744A1C">
        <w:rPr>
          <w:rtl/>
          <w:lang w:bidi="fa-IR"/>
        </w:rPr>
        <w:t xml:space="preserve"> ، كتاب الحجّ ، باب الطيب للمحرم ، ح 7282 ، بسند آخر ، مع اختلاف يسير وزيادة في أوّله</w:t>
      </w:r>
      <w:r w:rsidR="00C9565A">
        <w:rPr>
          <w:rFonts w:hint="cs"/>
          <w:rtl/>
          <w:lang w:bidi="fa-IR"/>
        </w:rPr>
        <w:t xml:space="preserve"> .</w:t>
      </w:r>
      <w:r w:rsidR="00744A1C" w:rsidRPr="00C24F9C">
        <w:rPr>
          <w:rStyle w:val="libFootnoteBoldChar"/>
          <w:rtl/>
        </w:rPr>
        <w:t>الوافي</w:t>
      </w:r>
      <w:r w:rsidR="00744A1C">
        <w:rPr>
          <w:rtl/>
          <w:lang w:bidi="fa-IR"/>
        </w:rPr>
        <w:t xml:space="preserve"> ، ج 14 ، ص 1295 ، ح 14299 ؛ </w:t>
      </w:r>
      <w:r w:rsidR="00744A1C" w:rsidRPr="00C24F9C">
        <w:rPr>
          <w:rStyle w:val="libFootnoteBoldChar"/>
          <w:rtl/>
        </w:rPr>
        <w:t>الوسائل</w:t>
      </w:r>
      <w:r w:rsidR="00744A1C">
        <w:rPr>
          <w:rtl/>
          <w:lang w:bidi="fa-IR"/>
        </w:rPr>
        <w:t xml:space="preserve"> ، ج 14 ، ص 292 ، ح 19226.</w:t>
      </w:r>
    </w:p>
    <w:p w:rsidR="00744A1C" w:rsidRDefault="00E378DD" w:rsidP="00E378DD">
      <w:pPr>
        <w:pStyle w:val="libFootnote0"/>
        <w:rPr>
          <w:lang w:bidi="fa-IR"/>
        </w:rPr>
      </w:pPr>
      <w:r>
        <w:rPr>
          <w:rtl/>
          <w:lang w:bidi="fa-IR"/>
        </w:rPr>
        <w:t>(3).</w:t>
      </w:r>
      <w:r w:rsidR="00744A1C">
        <w:rPr>
          <w:rtl/>
          <w:lang w:bidi="fa-IR"/>
        </w:rPr>
        <w:t xml:space="preserve"> في « بث ، جن » : « فتكون ». وفي « بس » : « ليكون ». وفي </w:t>
      </w:r>
      <w:r w:rsidR="00744A1C" w:rsidRPr="00C24F9C">
        <w:rPr>
          <w:rStyle w:val="libFootnoteBoldChar"/>
          <w:rtl/>
        </w:rPr>
        <w:t>الوافي</w:t>
      </w:r>
      <w:r w:rsidR="00744A1C">
        <w:rPr>
          <w:rtl/>
          <w:lang w:bidi="fa-IR"/>
        </w:rPr>
        <w:t xml:space="preserve"> : + « كفّارة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الوسائل</w:t>
      </w:r>
      <w:r w:rsidR="00744A1C">
        <w:rPr>
          <w:rtl/>
          <w:lang w:bidi="fa-IR"/>
        </w:rPr>
        <w:t xml:space="preserve"> : « حصل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الوسائل</w:t>
      </w:r>
      <w:r w:rsidR="00744A1C">
        <w:rPr>
          <w:rtl/>
          <w:lang w:bidi="fa-IR"/>
        </w:rPr>
        <w:t xml:space="preserve"> : « في مكّة ».</w:t>
      </w:r>
    </w:p>
    <w:p w:rsidR="00744A1C" w:rsidRDefault="00E378DD" w:rsidP="00CA10B6">
      <w:pPr>
        <w:pStyle w:val="libFootnote0"/>
        <w:rPr>
          <w:lang w:bidi="fa-IR"/>
        </w:rPr>
      </w:pPr>
      <w:r>
        <w:rPr>
          <w:rtl/>
          <w:lang w:bidi="fa-IR"/>
        </w:rPr>
        <w:t>(6).</w:t>
      </w:r>
      <w:r w:rsidR="00744A1C">
        <w:rPr>
          <w:rtl/>
          <w:lang w:bidi="fa-IR"/>
        </w:rPr>
        <w:t xml:space="preserve"> </w:t>
      </w:r>
      <w:r w:rsidR="00744A1C" w:rsidRPr="00610FB4">
        <w:rPr>
          <w:rStyle w:val="libFootnoteBoldChar"/>
          <w:rtl/>
        </w:rPr>
        <w:t>معاني الأخبار</w:t>
      </w:r>
      <w:r w:rsidR="00744A1C">
        <w:rPr>
          <w:rtl/>
          <w:lang w:bidi="fa-IR"/>
        </w:rPr>
        <w:t xml:space="preserve"> ، ص 339 ، ح 9 ، بسند آخر ، مع اختلاف وزيادة</w:t>
      </w:r>
      <w:r w:rsidR="00933E19">
        <w:rPr>
          <w:rFonts w:hint="cs"/>
          <w:rtl/>
          <w:lang w:bidi="fa-IR"/>
        </w:rPr>
        <w:t>.</w:t>
      </w:r>
      <w:r w:rsidR="00744A1C" w:rsidRPr="00C24F9C">
        <w:rPr>
          <w:rStyle w:val="libFootnoteBoldChar"/>
          <w:rtl/>
        </w:rPr>
        <w:t>الوافي</w:t>
      </w:r>
      <w:r w:rsidR="00744A1C">
        <w:rPr>
          <w:rtl/>
          <w:lang w:bidi="fa-IR"/>
        </w:rPr>
        <w:t xml:space="preserve"> ، ج 14 ، ص 1296 ، ح 14300 ؛ </w:t>
      </w:r>
      <w:r w:rsidR="00744A1C" w:rsidRPr="00C24F9C">
        <w:rPr>
          <w:rStyle w:val="libFootnoteBoldChar"/>
          <w:rtl/>
        </w:rPr>
        <w:t>الوسائل</w:t>
      </w:r>
      <w:r w:rsidR="00744A1C">
        <w:rPr>
          <w:rtl/>
          <w:lang w:bidi="fa-IR"/>
        </w:rPr>
        <w:t xml:space="preserve"> ، ج 14 ، ص 292 ، ح 19227.</w:t>
      </w:r>
      <w:r w:rsidR="00CA10B6">
        <w:rPr>
          <w:rFonts w:hint="cs"/>
          <w:rtl/>
          <w:lang w:bidi="fa-IR"/>
        </w:rPr>
        <w:t xml:space="preserve">           </w:t>
      </w:r>
      <w:r>
        <w:rPr>
          <w:rtl/>
          <w:lang w:bidi="fa-IR"/>
        </w:rPr>
        <w:t>(7).</w:t>
      </w:r>
      <w:r w:rsidR="00744A1C">
        <w:rPr>
          <w:rtl/>
          <w:lang w:bidi="fa-IR"/>
        </w:rPr>
        <w:t xml:space="preserve"> في العلل : « المتعة ».</w:t>
      </w:r>
    </w:p>
    <w:p w:rsidR="00744A1C" w:rsidRDefault="00E378DD" w:rsidP="000859A1">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433 ، ح 1503 ؛ </w:t>
      </w:r>
      <w:r w:rsidR="00744A1C" w:rsidRPr="00C24F9C">
        <w:rPr>
          <w:rStyle w:val="libFootnoteBoldChar"/>
          <w:rtl/>
        </w:rPr>
        <w:t>والاستبصار</w:t>
      </w:r>
      <w:r w:rsidR="00744A1C">
        <w:rPr>
          <w:rtl/>
          <w:lang w:bidi="fa-IR"/>
        </w:rPr>
        <w:t xml:space="preserve"> ، ج 2 ، ص 325 ، ح 1150 ، معلّقاً عن الكليني. </w:t>
      </w:r>
      <w:r w:rsidR="00744A1C" w:rsidRPr="003A7143">
        <w:rPr>
          <w:rStyle w:val="libFootnoteBoldChar"/>
          <w:rtl/>
        </w:rPr>
        <w:t>علل الشرائع</w:t>
      </w:r>
      <w:r w:rsidR="00744A1C">
        <w:rPr>
          <w:rtl/>
          <w:lang w:bidi="fa-IR"/>
        </w:rPr>
        <w:t xml:space="preserve"> ، ج 2 ، ص 412 ، ذيل الحديث الطويل 1 ، بسنده عن محمّد بن أبي عمير</w:t>
      </w:r>
      <w:r w:rsidR="000859A1">
        <w:rPr>
          <w:rFonts w:hint="cs"/>
          <w:rtl/>
          <w:lang w:bidi="fa-IR"/>
        </w:rPr>
        <w:t>.</w:t>
      </w:r>
      <w:r w:rsidR="00744A1C" w:rsidRPr="00C24F9C">
        <w:rPr>
          <w:rStyle w:val="libFootnoteBoldChar"/>
          <w:rtl/>
        </w:rPr>
        <w:t>الوافي</w:t>
      </w:r>
      <w:r w:rsidR="00744A1C">
        <w:rPr>
          <w:rtl/>
          <w:lang w:bidi="fa-IR"/>
        </w:rPr>
        <w:t xml:space="preserve"> ، ج 12 ، ص 467 ، ح 12334 ؛ </w:t>
      </w:r>
      <w:r w:rsidR="00744A1C" w:rsidRPr="00C24F9C">
        <w:rPr>
          <w:rStyle w:val="libFootnoteBoldChar"/>
          <w:rtl/>
        </w:rPr>
        <w:t>الوسائل</w:t>
      </w:r>
      <w:r w:rsidR="00744A1C">
        <w:rPr>
          <w:rtl/>
          <w:lang w:bidi="fa-IR"/>
        </w:rPr>
        <w:t xml:space="preserve"> ، ج 14 ، ص 305 ، ح 19265.</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أَبِي نَصْرٍ ، قَالَ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 xml:space="preserve">عَنِ الْعُمْرَةِ : أَوَاجِبَةٌ هِيَ </w:t>
      </w:r>
      <w:r w:rsidRPr="00D10E3C">
        <w:rPr>
          <w:rStyle w:val="libFootnotenumChar"/>
          <w:rtl/>
        </w:rPr>
        <w:t>(1)</w:t>
      </w:r>
      <w:r>
        <w:rPr>
          <w:rtl/>
          <w:lang w:bidi="fa-IR"/>
        </w:rPr>
        <w:t>؟ قَالَ : « نَعَمْ ».</w:t>
      </w:r>
    </w:p>
    <w:p w:rsidR="00744A1C" w:rsidRDefault="00744A1C" w:rsidP="00744A1C">
      <w:pPr>
        <w:pStyle w:val="libNormal"/>
        <w:rPr>
          <w:lang w:bidi="fa-IR"/>
        </w:rPr>
      </w:pPr>
      <w:r>
        <w:rPr>
          <w:rtl/>
          <w:lang w:bidi="fa-IR"/>
        </w:rPr>
        <w:t xml:space="preserve">قُلْتُ : فَمَنْ تَمَتَّعَ يُجْزِئُ </w:t>
      </w:r>
      <w:r w:rsidRPr="00D10E3C">
        <w:rPr>
          <w:rStyle w:val="libFootnotenumChar"/>
          <w:rtl/>
        </w:rPr>
        <w:t>(2)</w:t>
      </w:r>
      <w:r>
        <w:rPr>
          <w:rtl/>
          <w:lang w:bidi="fa-IR"/>
        </w:rPr>
        <w:t xml:space="preserve"> عَنْهُ؟ قَالَ : « نَعَمْ ». </w:t>
      </w:r>
      <w:r w:rsidRPr="00D10E3C">
        <w:rPr>
          <w:rStyle w:val="libFootnotenumChar"/>
          <w:rtl/>
        </w:rPr>
        <w:t>(3)</w:t>
      </w:r>
    </w:p>
    <w:p w:rsidR="00744A1C" w:rsidRDefault="00744A1C" w:rsidP="00FB4EC5">
      <w:pPr>
        <w:pStyle w:val="Heading2Center"/>
        <w:rPr>
          <w:lang w:bidi="fa-IR"/>
        </w:rPr>
      </w:pPr>
      <w:bookmarkStart w:id="51" w:name="_Toc49261349"/>
      <w:r>
        <w:rPr>
          <w:rtl/>
          <w:lang w:bidi="fa-IR"/>
        </w:rPr>
        <w:t xml:space="preserve">206 - بَابُ الْعُمْرَةِ الْمَبْتُولَةِ </w:t>
      </w:r>
      <w:r w:rsidRPr="00D10E3C">
        <w:rPr>
          <w:rStyle w:val="libFootnotenumChar"/>
          <w:rtl/>
        </w:rPr>
        <w:t>(4)</w:t>
      </w:r>
      <w:bookmarkEnd w:id="51"/>
    </w:p>
    <w:p w:rsidR="00144FA6" w:rsidRDefault="00744A1C" w:rsidP="00744A1C">
      <w:pPr>
        <w:pStyle w:val="libNormal"/>
        <w:rPr>
          <w:rtl/>
          <w:lang w:bidi="fa-IR"/>
        </w:rPr>
      </w:pPr>
      <w:r>
        <w:rPr>
          <w:rtl/>
          <w:lang w:bidi="fa-IR"/>
        </w:rPr>
        <w:t>8020 / 1. مُحَمَّدُ بْنُ يَحْيى ، عَنْ أَحْمَدَ بْنِ مُحَمَّدٍ ، عَنِ ابْنِ فَضَّالٍ ، عَنْ يُونُسَ بْنِ يَعْقُوبَ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إِنَّ عَلِيّاً </w:t>
      </w:r>
      <w:r w:rsidR="0061079A" w:rsidRPr="0061079A">
        <w:rPr>
          <w:rStyle w:val="libAlaemChar"/>
          <w:rtl/>
        </w:rPr>
        <w:t>عليه‌السلام</w:t>
      </w:r>
      <w:r w:rsidR="00D10E3C">
        <w:rPr>
          <w:rtl/>
          <w:lang w:bidi="fa-IR"/>
        </w:rPr>
        <w:t xml:space="preserve"> </w:t>
      </w:r>
      <w:r>
        <w:rPr>
          <w:rtl/>
          <w:lang w:bidi="fa-IR"/>
        </w:rPr>
        <w:t xml:space="preserve">كَانَ يَقُولُ : فِي كُلِّ شَهْرٍ عُمْرَةٌ </w:t>
      </w:r>
      <w:r w:rsidRPr="00D10E3C">
        <w:rPr>
          <w:rStyle w:val="libFootnotenumChar"/>
          <w:rtl/>
        </w:rPr>
        <w:t>(5)</w:t>
      </w:r>
      <w:r>
        <w:rPr>
          <w:rtl/>
          <w:lang w:bidi="fa-IR"/>
        </w:rPr>
        <w:t xml:space="preserve"> ». </w:t>
      </w:r>
      <w:r w:rsidRPr="00D10E3C">
        <w:rPr>
          <w:rStyle w:val="libFootnotenumChar"/>
          <w:rtl/>
        </w:rPr>
        <w:t>(6)</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 هي ».</w:t>
      </w:r>
    </w:p>
    <w:p w:rsidR="00744A1C" w:rsidRDefault="00E378DD" w:rsidP="00E378DD">
      <w:pPr>
        <w:pStyle w:val="libFootnote0"/>
        <w:rPr>
          <w:lang w:bidi="fa-IR"/>
        </w:rPr>
      </w:pPr>
      <w:r>
        <w:rPr>
          <w:rtl/>
          <w:lang w:bidi="fa-IR"/>
        </w:rPr>
        <w:t>(2).</w:t>
      </w:r>
      <w:r w:rsidR="00744A1C">
        <w:rPr>
          <w:rtl/>
          <w:lang w:bidi="fa-IR"/>
        </w:rPr>
        <w:t xml:space="preserve"> في « جن » و</w:t>
      </w:r>
      <w:r w:rsidR="00744A1C" w:rsidRPr="00C24F9C">
        <w:rPr>
          <w:rStyle w:val="libFootnoteBoldChar"/>
          <w:rtl/>
        </w:rPr>
        <w:t>الوسائل</w:t>
      </w:r>
      <w:r w:rsidR="00744A1C">
        <w:rPr>
          <w:rtl/>
          <w:lang w:bidi="fa-IR"/>
        </w:rPr>
        <w:t xml:space="preserve"> </w:t>
      </w:r>
      <w:r w:rsidR="00744A1C" w:rsidRPr="00C24F9C">
        <w:rPr>
          <w:rStyle w:val="libFootnoteBoldChar"/>
          <w:rtl/>
        </w:rPr>
        <w:t>والاستبصار</w:t>
      </w:r>
      <w:r w:rsidR="00744A1C">
        <w:rPr>
          <w:rtl/>
          <w:lang w:bidi="fa-IR"/>
        </w:rPr>
        <w:t xml:space="preserve"> : « تجزئ ». وفي « بس » : « يجزئه ».</w:t>
      </w:r>
    </w:p>
    <w:p w:rsidR="00744A1C" w:rsidRDefault="00E378DD" w:rsidP="006E07CE">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434 ، ح 1506 ؛ </w:t>
      </w:r>
      <w:r w:rsidR="00744A1C" w:rsidRPr="00C24F9C">
        <w:rPr>
          <w:rStyle w:val="libFootnoteBoldChar"/>
          <w:rtl/>
        </w:rPr>
        <w:t>والاستبصار</w:t>
      </w:r>
      <w:r w:rsidR="00744A1C">
        <w:rPr>
          <w:rtl/>
          <w:lang w:bidi="fa-IR"/>
        </w:rPr>
        <w:t xml:space="preserve"> ، ج 2 ، ص 325 ، ح 1153 ، معلّقاً عن الكليني. </w:t>
      </w:r>
      <w:r w:rsidR="00744A1C" w:rsidRPr="0061079A">
        <w:rPr>
          <w:rStyle w:val="libFootnoteBoldChar"/>
          <w:rtl/>
        </w:rPr>
        <w:t>الكافي</w:t>
      </w:r>
      <w:r w:rsidR="00744A1C">
        <w:rPr>
          <w:rtl/>
          <w:lang w:bidi="fa-IR"/>
        </w:rPr>
        <w:t xml:space="preserve"> ، كتاب الحجّ ، باب فرض الحجّ والعمرة ، ح 6914 ، بسند آخر ، مع اختلاف يسير وزيادة</w:t>
      </w:r>
      <w:r w:rsidR="006E07CE">
        <w:rPr>
          <w:rFonts w:hint="cs"/>
          <w:rtl/>
          <w:lang w:bidi="fa-IR"/>
        </w:rPr>
        <w:t>.</w:t>
      </w:r>
      <w:r w:rsidR="00744A1C" w:rsidRPr="00C24F9C">
        <w:rPr>
          <w:rStyle w:val="libFootnoteBoldChar"/>
          <w:rtl/>
        </w:rPr>
        <w:t>الوافي</w:t>
      </w:r>
      <w:r w:rsidR="00744A1C">
        <w:rPr>
          <w:rtl/>
          <w:lang w:bidi="fa-IR"/>
        </w:rPr>
        <w:t xml:space="preserve"> ، ج 12 ، ص 467 ، ح 12335 ؛ </w:t>
      </w:r>
      <w:r w:rsidR="00744A1C" w:rsidRPr="00C24F9C">
        <w:rPr>
          <w:rStyle w:val="libFootnoteBoldChar"/>
          <w:rtl/>
        </w:rPr>
        <w:t>الوسائل</w:t>
      </w:r>
      <w:r w:rsidR="00744A1C">
        <w:rPr>
          <w:rtl/>
          <w:lang w:bidi="fa-IR"/>
        </w:rPr>
        <w:t xml:space="preserve"> ، ج 14 ، ص 305 ، ح 19267.</w:t>
      </w:r>
    </w:p>
    <w:p w:rsidR="00744A1C" w:rsidRDefault="00E378DD" w:rsidP="00E378DD">
      <w:pPr>
        <w:pStyle w:val="libFootnote0"/>
        <w:rPr>
          <w:lang w:bidi="fa-IR"/>
        </w:rPr>
      </w:pPr>
      <w:r>
        <w:rPr>
          <w:rtl/>
          <w:lang w:bidi="fa-IR"/>
        </w:rPr>
        <w:t>(4).</w:t>
      </w:r>
      <w:r w:rsidR="00744A1C">
        <w:rPr>
          <w:rtl/>
          <w:lang w:bidi="fa-IR"/>
        </w:rPr>
        <w:t xml:space="preserve"> في « بث » : « البتولة ». « والمبتولة » : المقطوعة. وفي </w:t>
      </w:r>
      <w:r w:rsidR="00744A1C" w:rsidRPr="00C24F9C">
        <w:rPr>
          <w:rStyle w:val="libFootnoteBoldChar"/>
          <w:rtl/>
        </w:rPr>
        <w:t>المرآة</w:t>
      </w:r>
      <w:r w:rsidR="00744A1C">
        <w:rPr>
          <w:rtl/>
          <w:lang w:bidi="fa-IR"/>
        </w:rPr>
        <w:t xml:space="preserve"> : « أي المقطوعة عن الحجّ ، وهي المفردة ». وراجع : </w:t>
      </w:r>
      <w:r w:rsidR="00744A1C" w:rsidRPr="00877682">
        <w:rPr>
          <w:rStyle w:val="libFootnoteBoldChar"/>
          <w:rtl/>
        </w:rPr>
        <w:t>لسان العرب</w:t>
      </w:r>
      <w:r w:rsidR="00744A1C">
        <w:rPr>
          <w:rtl/>
          <w:lang w:bidi="fa-IR"/>
        </w:rPr>
        <w:t xml:space="preserve"> ، ج 11 ، ص 42 ( بتل ).</w:t>
      </w:r>
    </w:p>
    <w:p w:rsidR="00744A1C" w:rsidRDefault="00E378DD" w:rsidP="00E378DD">
      <w:pPr>
        <w:pStyle w:val="libFootnote0"/>
        <w:rPr>
          <w:lang w:bidi="fa-IR"/>
        </w:rPr>
      </w:pPr>
      <w:r>
        <w:rPr>
          <w:rtl/>
          <w:lang w:bidi="fa-IR"/>
        </w:rPr>
        <w:t>(5).</w:t>
      </w:r>
      <w:r w:rsidR="00744A1C">
        <w:rPr>
          <w:rtl/>
          <w:lang w:bidi="fa-IR"/>
        </w:rPr>
        <w:t xml:space="preserve"> في </w:t>
      </w:r>
      <w:r w:rsidR="00744A1C" w:rsidRPr="00877682">
        <w:rPr>
          <w:rStyle w:val="libFootnoteBoldChar"/>
          <w:rtl/>
        </w:rPr>
        <w:t>مرآة العقول</w:t>
      </w:r>
      <w:r w:rsidR="00744A1C">
        <w:rPr>
          <w:rtl/>
          <w:lang w:bidi="fa-IR"/>
        </w:rPr>
        <w:t xml:space="preserve"> ، ج 18 ، ص 232 : « يدلّ على أنّه لابدّ من أن يكون بين العمرتين شهر. واختلف الأصحاب في ذلك ، فذهب السيّد المرتضى وابن إدريس والمحقّق وجماعة إلى جواز الإتباع بين العمرتين مطلقاً ، وقال ابن أبي عقيل : لا يجوز عمرتان في عام واحد. وقال الشيخ في المبسوط : أقلّ ما بين العمرتين عشرة أيّام. وقال أبو الصلاح وابن</w:t>
      </w:r>
      <w:r w:rsidR="00140899">
        <w:rPr>
          <w:rtl/>
          <w:lang w:bidi="fa-IR"/>
        </w:rPr>
        <w:t xml:space="preserve"> حمزة والمحقّق في النافع والعل</w:t>
      </w:r>
      <w:r w:rsidR="00140899">
        <w:rPr>
          <w:rFonts w:hint="cs"/>
          <w:rtl/>
          <w:lang w:bidi="fa-IR"/>
        </w:rPr>
        <w:t>ّ</w:t>
      </w:r>
      <w:r w:rsidR="00140899">
        <w:rPr>
          <w:rtl/>
          <w:lang w:bidi="fa-IR"/>
        </w:rPr>
        <w:t>ا</w:t>
      </w:r>
      <w:r w:rsidR="00744A1C">
        <w:rPr>
          <w:rtl/>
          <w:lang w:bidi="fa-IR"/>
        </w:rPr>
        <w:t xml:space="preserve">مة في المختلف : أقلّه شهر ، ويمكن المناقشة في الروايات بعدم صراحتها في المنع من تكرّر العمرة في الشهر الواحد ؛ إذ من الجائز أن يكون الوجه في تخصيص الشهر تأكّد استحباب إيقاع العمرة في كلّ شهر ». وراجع : رسائل المرتضى ، ج 3 ، ص 63 ؛ </w:t>
      </w:r>
      <w:r w:rsidR="00744A1C" w:rsidRPr="0061079A">
        <w:rPr>
          <w:rStyle w:val="libFootnoteBoldChar"/>
          <w:rtl/>
        </w:rPr>
        <w:t>الك</w:t>
      </w:r>
      <w:r w:rsidR="00744A1C" w:rsidRPr="007676DE">
        <w:rPr>
          <w:rStyle w:val="libFootnoteBoldChar"/>
          <w:rtl/>
        </w:rPr>
        <w:t xml:space="preserve">افي في الفقه </w:t>
      </w:r>
      <w:r w:rsidR="00744A1C">
        <w:rPr>
          <w:rtl/>
          <w:lang w:bidi="fa-IR"/>
        </w:rPr>
        <w:t xml:space="preserve">، ص 221 ؛ المراسم العلويّة ، ص 114 - 118 ؛ المبسوط ، ج 1 ، ص 309 ؛ </w:t>
      </w:r>
      <w:r w:rsidR="00744A1C" w:rsidRPr="00333880">
        <w:rPr>
          <w:rStyle w:val="libFootnoteBoldChar"/>
          <w:rtl/>
        </w:rPr>
        <w:t>الوسيلة</w:t>
      </w:r>
      <w:r w:rsidR="00744A1C">
        <w:rPr>
          <w:rtl/>
          <w:lang w:bidi="fa-IR"/>
        </w:rPr>
        <w:t xml:space="preserve"> ، ص 195 ؛ </w:t>
      </w:r>
      <w:r w:rsidR="00744A1C" w:rsidRPr="00877682">
        <w:rPr>
          <w:rStyle w:val="libFootnoteBoldChar"/>
          <w:rtl/>
        </w:rPr>
        <w:t>السرائر</w:t>
      </w:r>
      <w:r w:rsidR="00744A1C">
        <w:rPr>
          <w:rtl/>
          <w:lang w:bidi="fa-IR"/>
        </w:rPr>
        <w:t xml:space="preserve"> ، ج 1 ، ص 540 ؛ المختصر النافع ، ص 99 ؛ </w:t>
      </w:r>
      <w:r w:rsidR="00744A1C" w:rsidRPr="00877682">
        <w:rPr>
          <w:rStyle w:val="libFootnoteBoldChar"/>
          <w:rtl/>
        </w:rPr>
        <w:t>مختلف الشيعة</w:t>
      </w:r>
      <w:r w:rsidR="00744A1C">
        <w:rPr>
          <w:rtl/>
          <w:lang w:bidi="fa-IR"/>
        </w:rPr>
        <w:t xml:space="preserve"> ، ج 1 ، ص 319.</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434 ، ح 1507 ، معلّقاً عن الكليني. وفيه ، ص 435 ، ح 1510 ؛ </w:t>
      </w:r>
      <w:r w:rsidR="00744A1C" w:rsidRPr="00C24F9C">
        <w:rPr>
          <w:rStyle w:val="libFootnoteBoldChar"/>
          <w:rtl/>
        </w:rPr>
        <w:t>والاستبصار</w:t>
      </w:r>
      <w:r w:rsidR="00744A1C">
        <w:rPr>
          <w:rtl/>
          <w:lang w:bidi="fa-IR"/>
        </w:rPr>
        <w:t xml:space="preserve"> ، ج 2 ، ص 326 ، ح 1155 ، بسندهما عن يونس بن يعقوب. وفي </w:t>
      </w:r>
      <w:r w:rsidR="00744A1C" w:rsidRPr="00C24F9C">
        <w:rPr>
          <w:rStyle w:val="libFootnoteBoldChar"/>
          <w:rtl/>
        </w:rPr>
        <w:t>التهذيب</w:t>
      </w:r>
      <w:r w:rsidR="00744A1C">
        <w:rPr>
          <w:rtl/>
          <w:lang w:bidi="fa-IR"/>
        </w:rPr>
        <w:t xml:space="preserve"> ، ج 5 ، ص 31 ، ضمن ح 94 ؛ وص 435 ، </w:t>
      </w:r>
      <w:r w:rsidR="008060A5">
        <w:rPr>
          <w:rFonts w:hint="cs"/>
          <w:rtl/>
          <w:lang w:bidi="fa-IR"/>
        </w:rPr>
        <w:t>=</w:t>
      </w:r>
    </w:p>
    <w:p w:rsidR="00150943" w:rsidRDefault="00150943" w:rsidP="00D10E3C">
      <w:pPr>
        <w:pStyle w:val="libNormal"/>
        <w:rPr>
          <w:rtl/>
          <w:lang w:bidi="fa-IR"/>
        </w:rPr>
      </w:pPr>
      <w:r>
        <w:rPr>
          <w:rtl/>
          <w:lang w:bidi="fa-IR"/>
        </w:rPr>
        <w:br w:type="page"/>
      </w:r>
    </w:p>
    <w:p w:rsidR="00043589" w:rsidRDefault="00744A1C" w:rsidP="00043589">
      <w:pPr>
        <w:pStyle w:val="libNormal"/>
        <w:rPr>
          <w:rtl/>
          <w:lang w:bidi="fa-IR"/>
        </w:rPr>
      </w:pPr>
      <w:r>
        <w:rPr>
          <w:rtl/>
          <w:lang w:bidi="fa-IR"/>
        </w:rPr>
        <w:lastRenderedPageBreak/>
        <w:t>8021 / 2. أَبُو عَلِيٍّ الْأَشْعَرِيُّ ، عَنْ مُحَمَّدِ بْنِ عَبْدِ الْجَبَّارِ ؛</w:t>
      </w:r>
    </w:p>
    <w:p w:rsidR="00744A1C" w:rsidRDefault="00EB52B6" w:rsidP="00043589">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(1)</w:t>
      </w:r>
      <w:r w:rsidR="00744A1C">
        <w:rPr>
          <w:rtl/>
          <w:lang w:bidi="fa-IR"/>
        </w:rPr>
        <w:t xml:space="preserve"> مُحَمَّدُ بْنُ إِسْمَاعِيلَ ، عَنِ الْفَضْلِ بْنِ شَاذَانَ ، عَنْ صَفْوَانَ بْنِ يَحْيى ، عَنْ عَبْد</w:t>
      </w:r>
      <w:r w:rsidR="008C1466">
        <w:rPr>
          <w:rtl/>
          <w:lang w:bidi="fa-IR"/>
        </w:rPr>
        <w:t>ِ الرَّحْمنِ بْنِ الْحَجَّاجِ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فِي كِتَابِ عَلِيٍّ </w:t>
      </w:r>
      <w:r w:rsidR="0061079A" w:rsidRPr="0061079A">
        <w:rPr>
          <w:rStyle w:val="libAlaemChar"/>
          <w:rtl/>
        </w:rPr>
        <w:t>عليه‌السلام</w:t>
      </w:r>
      <w:r w:rsidR="00D10E3C">
        <w:rPr>
          <w:rtl/>
          <w:lang w:bidi="fa-IR"/>
        </w:rPr>
        <w:t xml:space="preserve"> </w:t>
      </w:r>
      <w:r>
        <w:rPr>
          <w:rtl/>
          <w:lang w:bidi="fa-IR"/>
        </w:rPr>
        <w:t xml:space="preserve">: فِي كُلِّ شَهْرٍ عُمْرَةٌ ». </w:t>
      </w:r>
      <w:r w:rsidRPr="00D10E3C">
        <w:rPr>
          <w:rStyle w:val="libFootnotenumChar"/>
          <w:rtl/>
        </w:rPr>
        <w:t>(2)</w:t>
      </w:r>
    </w:p>
    <w:p w:rsidR="00744A1C" w:rsidRDefault="00744A1C" w:rsidP="00744A1C">
      <w:pPr>
        <w:pStyle w:val="libNormal"/>
        <w:rPr>
          <w:lang w:bidi="fa-IR"/>
        </w:rPr>
      </w:pPr>
      <w:r>
        <w:rPr>
          <w:rtl/>
          <w:lang w:bidi="fa-IR"/>
        </w:rPr>
        <w:t xml:space="preserve">8022 / 3. عَلِيُّ بْنُ إِبْرَاهِيمَ </w:t>
      </w:r>
      <w:r w:rsidRPr="00D10E3C">
        <w:rPr>
          <w:rStyle w:val="libFootnotenumChar"/>
          <w:rtl/>
        </w:rPr>
        <w:t>(3)</w:t>
      </w:r>
      <w:r>
        <w:rPr>
          <w:rtl/>
          <w:lang w:bidi="fa-IR"/>
        </w:rPr>
        <w:t xml:space="preserve"> ، عَنْ أَبِيهِ ، عَنْ إِسْمَاعِيلَ بْنِ مَرَّارٍ ، عَنْ يُونُسَ ، عَنْ عَلِيِّ بْنِ أَبِي حَمْزَةَ ، قَال</w:t>
      </w:r>
      <w:r w:rsidR="000C180B">
        <w:rPr>
          <w:rtl/>
          <w:lang w:bidi="fa-IR"/>
        </w:rPr>
        <w:t>َ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 xml:space="preserve">عَنْ رَجُلٍ يَدْخُلُ مَكَّةَ فِي السَّنَةِ الْمَرَّةَ ، أَوِ الْمَرَّتَيْنِ </w:t>
      </w:r>
      <w:r w:rsidRPr="00D10E3C">
        <w:rPr>
          <w:rStyle w:val="libFootnotenumChar"/>
          <w:rtl/>
        </w:rPr>
        <w:t>(4)</w:t>
      </w:r>
      <w:r>
        <w:rPr>
          <w:rtl/>
          <w:lang w:bidi="fa-IR"/>
        </w:rPr>
        <w:t xml:space="preserve"> ، أَوِ الْأَرْبَعَةَ </w:t>
      </w:r>
      <w:r w:rsidRPr="00D10E3C">
        <w:rPr>
          <w:rStyle w:val="libFootnotenumChar"/>
          <w:rtl/>
        </w:rPr>
        <w:t>(5)</w:t>
      </w:r>
      <w:r>
        <w:rPr>
          <w:rtl/>
          <w:lang w:bidi="fa-IR"/>
        </w:rPr>
        <w:t xml:space="preserve"> كَيْفَ يَصْنَعُ؟</w:t>
      </w:r>
    </w:p>
    <w:p w:rsidR="00744A1C" w:rsidRDefault="00744A1C" w:rsidP="00744A1C">
      <w:pPr>
        <w:pStyle w:val="libNormal"/>
        <w:rPr>
          <w:lang w:bidi="fa-IR"/>
        </w:rPr>
      </w:pPr>
      <w:r>
        <w:rPr>
          <w:rtl/>
          <w:lang w:bidi="fa-IR"/>
        </w:rPr>
        <w:t xml:space="preserve">قَالَ : « إِذَا دَخَلَ فَلْيَدْخُلْ مُلَبِّياً ، وَإِذَا </w:t>
      </w:r>
      <w:r w:rsidRPr="00D10E3C">
        <w:rPr>
          <w:rStyle w:val="libFootnotenumChar"/>
          <w:rtl/>
        </w:rPr>
        <w:t>(6)</w:t>
      </w:r>
      <w:r>
        <w:rPr>
          <w:rtl/>
          <w:lang w:bidi="fa-IR"/>
        </w:rPr>
        <w:t xml:space="preserve"> خَرَجَ فَلْيَخْرُجْ مُحِلًّا » قَالَ : « وَلِكُلِّ شَهْرٍ عُمْرَةٌ ».</w:t>
      </w:r>
    </w:p>
    <w:p w:rsidR="00744A1C" w:rsidRDefault="00744A1C" w:rsidP="00744A1C">
      <w:pPr>
        <w:pStyle w:val="libNormal"/>
        <w:rPr>
          <w:lang w:bidi="fa-IR"/>
        </w:rPr>
      </w:pPr>
      <w:r>
        <w:rPr>
          <w:rtl/>
          <w:lang w:bidi="fa-IR"/>
        </w:rPr>
        <w:t xml:space="preserve">فَقُلْتُ : يَكُونُ </w:t>
      </w:r>
      <w:r w:rsidRPr="00D10E3C">
        <w:rPr>
          <w:rStyle w:val="libFootnotenumChar"/>
          <w:rtl/>
        </w:rPr>
        <w:t>(7)</w:t>
      </w:r>
      <w:r>
        <w:rPr>
          <w:rtl/>
          <w:lang w:bidi="fa-IR"/>
        </w:rPr>
        <w:t xml:space="preserve"> أَقَلَّ؟</w:t>
      </w:r>
    </w:p>
    <w:p w:rsidR="00744A1C" w:rsidRDefault="00744A1C" w:rsidP="00D10E3C">
      <w:pPr>
        <w:pStyle w:val="libLine"/>
        <w:rPr>
          <w:lang w:bidi="fa-IR"/>
        </w:rPr>
      </w:pPr>
      <w:r>
        <w:rPr>
          <w:rtl/>
          <w:lang w:bidi="fa-IR"/>
        </w:rPr>
        <w:t>____________________</w:t>
      </w:r>
    </w:p>
    <w:p w:rsidR="00744A1C" w:rsidRDefault="00F272E7" w:rsidP="000B624D">
      <w:pPr>
        <w:pStyle w:val="libFootnote0"/>
        <w:rPr>
          <w:lang w:bidi="fa-IR"/>
        </w:rPr>
      </w:pPr>
      <w:r>
        <w:rPr>
          <w:rFonts w:hint="cs"/>
          <w:rtl/>
          <w:lang w:bidi="fa-IR"/>
        </w:rPr>
        <w:t xml:space="preserve">= </w:t>
      </w:r>
      <w:r w:rsidR="00744A1C">
        <w:rPr>
          <w:rtl/>
          <w:lang w:bidi="fa-IR"/>
        </w:rPr>
        <w:t xml:space="preserve">ح 156 ؛ </w:t>
      </w:r>
      <w:r w:rsidR="00744A1C" w:rsidRPr="00C24F9C">
        <w:rPr>
          <w:rStyle w:val="libFootnoteBoldChar"/>
          <w:rtl/>
        </w:rPr>
        <w:t>والاستبصار</w:t>
      </w:r>
      <w:r w:rsidR="00744A1C">
        <w:rPr>
          <w:rtl/>
          <w:lang w:bidi="fa-IR"/>
        </w:rPr>
        <w:t xml:space="preserve"> ، ج 2 ، ص 156 ، ضمن ح 512 ؛ وص 326 ، ح 1155 ، بسند آخر. </w:t>
      </w:r>
      <w:r w:rsidR="00744A1C" w:rsidRPr="00877682">
        <w:rPr>
          <w:rStyle w:val="libFootnoteBoldChar"/>
          <w:rtl/>
        </w:rPr>
        <w:t>قرب الإسناد</w:t>
      </w:r>
      <w:r w:rsidR="00744A1C">
        <w:rPr>
          <w:rtl/>
          <w:lang w:bidi="fa-IR"/>
        </w:rPr>
        <w:t xml:space="preserve"> ، ص 369 ، ح 1320 ، بسند آخر عن الرضا </w:t>
      </w:r>
      <w:r w:rsidR="0061079A" w:rsidRPr="0061079A">
        <w:rPr>
          <w:rStyle w:val="libFootnoteAlaemChar"/>
          <w:rtl/>
        </w:rPr>
        <w:t>عليه‌السلام</w:t>
      </w:r>
      <w:r w:rsidR="00744A1C">
        <w:rPr>
          <w:rtl/>
          <w:lang w:bidi="fa-IR"/>
        </w:rPr>
        <w:t xml:space="preserve"> . وفي </w:t>
      </w:r>
      <w:r w:rsidR="00744A1C" w:rsidRPr="0061079A">
        <w:rPr>
          <w:rStyle w:val="libFootnoteBoldChar"/>
          <w:rtl/>
        </w:rPr>
        <w:t>الكافي</w:t>
      </w:r>
      <w:r w:rsidR="00744A1C">
        <w:rPr>
          <w:rtl/>
          <w:lang w:bidi="fa-IR"/>
        </w:rPr>
        <w:t xml:space="preserve"> ، كتاب الحجّ ، باب المتمتّع تعرض له الحاجة خارجاً من مكّة بعد إحلاله ، ضمن ح 7669 ؛ و</w:t>
      </w:r>
      <w:r w:rsidR="00744A1C" w:rsidRPr="00C24F9C">
        <w:rPr>
          <w:rStyle w:val="libFootnoteBoldChar"/>
          <w:rtl/>
        </w:rPr>
        <w:t>الفقيه</w:t>
      </w:r>
      <w:r w:rsidR="00744A1C">
        <w:rPr>
          <w:rtl/>
          <w:lang w:bidi="fa-IR"/>
        </w:rPr>
        <w:t xml:space="preserve"> ، ج 2 ، ص 458 ، صدر ح 2965 ؛ </w:t>
      </w:r>
      <w:r w:rsidR="00744A1C" w:rsidRPr="0061079A">
        <w:rPr>
          <w:rStyle w:val="libFootnoteBoldChar"/>
          <w:rtl/>
        </w:rPr>
        <w:t>والتهذيب</w:t>
      </w:r>
      <w:r w:rsidR="00744A1C">
        <w:rPr>
          <w:rtl/>
          <w:lang w:bidi="fa-IR"/>
        </w:rPr>
        <w:t xml:space="preserve"> ، ج 5 ، ص 164 ، ح 549 ، بسند آخر عن أبي الحسن موسى </w:t>
      </w:r>
      <w:r w:rsidR="0061079A" w:rsidRPr="0061079A">
        <w:rPr>
          <w:rStyle w:val="libFootnoteAlaemChar"/>
          <w:rtl/>
        </w:rPr>
        <w:t>عليه‌السلام</w:t>
      </w:r>
      <w:r w:rsidR="00D10E3C">
        <w:rPr>
          <w:rtl/>
          <w:lang w:bidi="fa-IR"/>
        </w:rPr>
        <w:t xml:space="preserve"> </w:t>
      </w:r>
      <w:r w:rsidR="001807D1">
        <w:rPr>
          <w:rtl/>
          <w:lang w:bidi="fa-IR"/>
        </w:rPr>
        <w:t>، وفي كلّ المصادر - إل</w:t>
      </w:r>
      <w:r w:rsidR="001807D1">
        <w:rPr>
          <w:rFonts w:hint="cs"/>
          <w:rtl/>
          <w:lang w:bidi="fa-IR"/>
        </w:rPr>
        <w:t>ّ</w:t>
      </w:r>
      <w:r w:rsidR="001807D1">
        <w:rPr>
          <w:rtl/>
          <w:lang w:bidi="fa-IR"/>
        </w:rPr>
        <w:t>ا</w:t>
      </w:r>
      <w:r w:rsidR="00744A1C">
        <w:rPr>
          <w:rtl/>
          <w:lang w:bidi="fa-IR"/>
        </w:rPr>
        <w:t xml:space="preserve"> </w:t>
      </w:r>
      <w:r w:rsidR="00744A1C" w:rsidRPr="00C24F9C">
        <w:rPr>
          <w:rStyle w:val="libFootnoteBoldChar"/>
          <w:rtl/>
        </w:rPr>
        <w:t>التهذيب</w:t>
      </w:r>
      <w:r w:rsidR="00744A1C">
        <w:rPr>
          <w:rtl/>
          <w:lang w:bidi="fa-IR"/>
        </w:rPr>
        <w:t xml:space="preserve"> ، ح 1507 - مع اختلاف يسير</w:t>
      </w:r>
      <w:r w:rsidR="000B624D">
        <w:rPr>
          <w:rFonts w:hint="cs"/>
          <w:rtl/>
          <w:lang w:bidi="fa-IR"/>
        </w:rPr>
        <w:t>.</w:t>
      </w:r>
      <w:r w:rsidR="00744A1C" w:rsidRPr="00C24F9C">
        <w:rPr>
          <w:rStyle w:val="libFootnoteBoldChar"/>
          <w:rtl/>
        </w:rPr>
        <w:t>الوافي</w:t>
      </w:r>
      <w:r w:rsidR="00744A1C">
        <w:rPr>
          <w:rtl/>
          <w:lang w:bidi="fa-IR"/>
        </w:rPr>
        <w:t xml:space="preserve"> ، ج 12 ، ص 475 ، ح 12351 ؛ </w:t>
      </w:r>
      <w:r w:rsidR="00744A1C" w:rsidRPr="00C24F9C">
        <w:rPr>
          <w:rStyle w:val="libFootnoteBoldChar"/>
          <w:rtl/>
        </w:rPr>
        <w:t>الوسائل</w:t>
      </w:r>
      <w:r w:rsidR="00744A1C">
        <w:rPr>
          <w:rtl/>
          <w:lang w:bidi="fa-IR"/>
        </w:rPr>
        <w:t xml:space="preserve"> ، ج 14 ، ص 307 ، ح 19274.</w:t>
      </w:r>
    </w:p>
    <w:p w:rsidR="00744A1C" w:rsidRDefault="00D10E3C" w:rsidP="00D10E3C">
      <w:pPr>
        <w:pStyle w:val="libFootnote0"/>
        <w:rPr>
          <w:lang w:bidi="fa-IR"/>
        </w:rPr>
      </w:pPr>
      <w:r>
        <w:rPr>
          <w:rtl/>
          <w:lang w:bidi="fa-IR"/>
        </w:rPr>
        <w:t>(1).</w:t>
      </w:r>
      <w:r w:rsidR="00744A1C">
        <w:rPr>
          <w:rtl/>
          <w:lang w:bidi="fa-IR"/>
        </w:rPr>
        <w:t xml:space="preserve"> في السند تحويل بعطف « محمّد بن إسماعيل ، عن الفضل بن شاذان » على « أبو عليّ الأشعري ، عن محمّد بن‌عبد الجبّار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12 ، ص 475 ، ح 12352 ؛ </w:t>
      </w:r>
      <w:r w:rsidR="00744A1C" w:rsidRPr="00C24F9C">
        <w:rPr>
          <w:rStyle w:val="libFootnoteBoldChar"/>
          <w:rtl/>
        </w:rPr>
        <w:t>الوسائل</w:t>
      </w:r>
      <w:r w:rsidR="00744A1C">
        <w:rPr>
          <w:rtl/>
          <w:lang w:bidi="fa-IR"/>
        </w:rPr>
        <w:t xml:space="preserve"> ، ج 14 ، ص 307 ، ح 19273.</w:t>
      </w:r>
    </w:p>
    <w:p w:rsidR="00744A1C" w:rsidRDefault="00E378DD" w:rsidP="00E378DD">
      <w:pPr>
        <w:pStyle w:val="libFootnote0"/>
        <w:rPr>
          <w:lang w:bidi="fa-IR"/>
        </w:rPr>
      </w:pPr>
      <w:r>
        <w:rPr>
          <w:rtl/>
          <w:lang w:bidi="fa-IR"/>
        </w:rPr>
        <w:t>(3).</w:t>
      </w:r>
      <w:r w:rsidR="00744A1C">
        <w:rPr>
          <w:rtl/>
          <w:lang w:bidi="fa-IR"/>
        </w:rPr>
        <w:t xml:space="preserve"> ورد الخبر في الاستبصار ، ج 2 ، ص 326 ، ح 1158 عن محمّد بن يعقوب عن رجل عن عليّ عن أبيه عن‌إسماعيل بن مرّار ... ، لكن لم يرد « عن رجل » في بعض نسخ </w:t>
      </w:r>
      <w:r w:rsidR="00744A1C" w:rsidRPr="00D956B7">
        <w:rPr>
          <w:rStyle w:val="libFootnoteBoldChar"/>
          <w:rtl/>
        </w:rPr>
        <w:t>الاستبصار</w:t>
      </w:r>
      <w:r w:rsidR="00744A1C">
        <w:rPr>
          <w:rtl/>
          <w:lang w:bidi="fa-IR"/>
        </w:rPr>
        <w:t xml:space="preserve"> ، وهو الصواب.</w:t>
      </w:r>
    </w:p>
    <w:p w:rsidR="00744A1C" w:rsidRDefault="00E378DD" w:rsidP="00E378DD">
      <w:pPr>
        <w:pStyle w:val="libFootnote0"/>
        <w:rPr>
          <w:lang w:bidi="fa-IR"/>
        </w:rPr>
      </w:pPr>
      <w:r>
        <w:rPr>
          <w:rtl/>
          <w:lang w:bidi="fa-IR"/>
        </w:rPr>
        <w:t>(4).</w:t>
      </w:r>
      <w:r w:rsidR="00744A1C">
        <w:rPr>
          <w:rtl/>
          <w:lang w:bidi="fa-IR"/>
        </w:rPr>
        <w:t xml:space="preserve"> في « ى ، جن » و</w:t>
      </w:r>
      <w:r w:rsidR="00744A1C" w:rsidRPr="00C24F9C">
        <w:rPr>
          <w:rStyle w:val="libFootnoteBoldChar"/>
          <w:rtl/>
        </w:rPr>
        <w:t>الوسائل</w:t>
      </w:r>
      <w:r w:rsidR="00744A1C">
        <w:rPr>
          <w:rtl/>
          <w:lang w:bidi="fa-IR"/>
        </w:rPr>
        <w:t xml:space="preserve"> ، ح 19275 و</w:t>
      </w:r>
      <w:r w:rsidR="00744A1C" w:rsidRPr="00C24F9C">
        <w:rPr>
          <w:rStyle w:val="libFootnoteBoldChar"/>
          <w:rtl/>
        </w:rPr>
        <w:t>الفقيه</w:t>
      </w:r>
      <w:r w:rsidR="00744A1C">
        <w:rPr>
          <w:rtl/>
          <w:lang w:bidi="fa-IR"/>
        </w:rPr>
        <w:t xml:space="preserve"> </w:t>
      </w:r>
      <w:r w:rsidR="00744A1C" w:rsidRPr="00C24F9C">
        <w:rPr>
          <w:rStyle w:val="libFootnoteBoldChar"/>
          <w:rtl/>
        </w:rPr>
        <w:t>والاستبصار</w:t>
      </w:r>
      <w:r w:rsidR="00744A1C">
        <w:rPr>
          <w:rtl/>
          <w:lang w:bidi="fa-IR"/>
        </w:rPr>
        <w:t xml:space="preserve"> : « والمرّتين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الوسائل</w:t>
      </w:r>
      <w:r w:rsidR="00744A1C">
        <w:rPr>
          <w:rtl/>
          <w:lang w:bidi="fa-IR"/>
        </w:rPr>
        <w:t xml:space="preserve"> ، ح 19275 </w:t>
      </w:r>
      <w:r w:rsidR="00744A1C" w:rsidRPr="00C24F9C">
        <w:rPr>
          <w:rStyle w:val="libFootnoteBoldChar"/>
          <w:rtl/>
        </w:rPr>
        <w:t>والاستبصار</w:t>
      </w:r>
      <w:r w:rsidR="00744A1C">
        <w:rPr>
          <w:rtl/>
          <w:lang w:bidi="fa-IR"/>
        </w:rPr>
        <w:t xml:space="preserve"> : « والأربعة ». وفي </w:t>
      </w:r>
      <w:r w:rsidR="00744A1C" w:rsidRPr="00C24F9C">
        <w:rPr>
          <w:rStyle w:val="libFootnoteBoldChar"/>
          <w:rtl/>
        </w:rPr>
        <w:t>الفقيه</w:t>
      </w:r>
      <w:r w:rsidR="00744A1C">
        <w:rPr>
          <w:rtl/>
          <w:lang w:bidi="fa-IR"/>
        </w:rPr>
        <w:t xml:space="preserve"> : « والثلاث ».</w:t>
      </w:r>
    </w:p>
    <w:p w:rsidR="00744A1C" w:rsidRDefault="00E378DD" w:rsidP="00E378DD">
      <w:pPr>
        <w:pStyle w:val="libFootnote0"/>
        <w:rPr>
          <w:lang w:bidi="fa-IR"/>
        </w:rPr>
      </w:pPr>
      <w:r>
        <w:rPr>
          <w:rtl/>
          <w:lang w:bidi="fa-IR"/>
        </w:rPr>
        <w:t>(6).</w:t>
      </w:r>
      <w:r w:rsidR="00744A1C">
        <w:rPr>
          <w:rtl/>
          <w:lang w:bidi="fa-IR"/>
        </w:rPr>
        <w:t xml:space="preserve"> في « بح » : « فإذا ».</w:t>
      </w:r>
    </w:p>
    <w:p w:rsidR="00744A1C" w:rsidRDefault="00E378DD" w:rsidP="00E378DD">
      <w:pPr>
        <w:pStyle w:val="libFootnote0"/>
        <w:rPr>
          <w:lang w:bidi="fa-IR"/>
        </w:rPr>
      </w:pPr>
      <w:r>
        <w:rPr>
          <w:rtl/>
          <w:lang w:bidi="fa-IR"/>
        </w:rPr>
        <w:t>(7).</w:t>
      </w:r>
      <w:r w:rsidR="00744A1C">
        <w:rPr>
          <w:rtl/>
          <w:lang w:bidi="fa-IR"/>
        </w:rPr>
        <w:t xml:space="preserve"> في « بح » : « فيكون ». وفي « ى » </w:t>
      </w:r>
      <w:r w:rsidR="00744A1C" w:rsidRPr="00C24F9C">
        <w:rPr>
          <w:rStyle w:val="libFootnoteBoldChar"/>
          <w:rtl/>
        </w:rPr>
        <w:t>والاستبصار</w:t>
      </w:r>
      <w:r w:rsidR="00744A1C">
        <w:rPr>
          <w:rtl/>
          <w:lang w:bidi="fa-IR"/>
        </w:rPr>
        <w:t xml:space="preserve"> : « تكون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w:t>
      </w:r>
      <w:r w:rsidRPr="00D10E3C">
        <w:rPr>
          <w:rStyle w:val="libFootnotenumChar"/>
          <w:rtl/>
        </w:rPr>
        <w:t>(1)</w:t>
      </w:r>
      <w:r>
        <w:rPr>
          <w:rtl/>
          <w:lang w:bidi="fa-IR"/>
        </w:rPr>
        <w:t xml:space="preserve"> : « لِكُلِّ </w:t>
      </w:r>
      <w:r w:rsidRPr="00D10E3C">
        <w:rPr>
          <w:rStyle w:val="libFootnotenumChar"/>
          <w:rtl/>
        </w:rPr>
        <w:t>(2)</w:t>
      </w:r>
      <w:r>
        <w:rPr>
          <w:rtl/>
          <w:lang w:bidi="fa-IR"/>
        </w:rPr>
        <w:t xml:space="preserve"> عَشَرَةِ أَيَّامٍ عُمْرَةٌ » ثُمَّ قَالَ : « وَحَقِّكَ لَقَدْ كَانَ فِي عَامِي هذِهِ السَّنَةِ سِتُّ </w:t>
      </w:r>
      <w:r w:rsidRPr="00D10E3C">
        <w:rPr>
          <w:rStyle w:val="libFootnotenumChar"/>
          <w:rtl/>
        </w:rPr>
        <w:t>(3)</w:t>
      </w:r>
      <w:r>
        <w:rPr>
          <w:rtl/>
          <w:lang w:bidi="fa-IR"/>
        </w:rPr>
        <w:t xml:space="preserve"> عُمَرٍ ».</w:t>
      </w:r>
    </w:p>
    <w:p w:rsidR="00744A1C" w:rsidRDefault="00744A1C" w:rsidP="00744A1C">
      <w:pPr>
        <w:pStyle w:val="libNormal"/>
        <w:rPr>
          <w:lang w:bidi="fa-IR"/>
        </w:rPr>
      </w:pPr>
      <w:r>
        <w:rPr>
          <w:rtl/>
          <w:lang w:bidi="fa-IR"/>
        </w:rPr>
        <w:t xml:space="preserve">قُلْتُ : لِمَ </w:t>
      </w:r>
      <w:r w:rsidRPr="00D10E3C">
        <w:rPr>
          <w:rStyle w:val="libFootnotenumChar"/>
          <w:rtl/>
        </w:rPr>
        <w:t>(4)</w:t>
      </w:r>
      <w:r>
        <w:rPr>
          <w:rtl/>
          <w:lang w:bidi="fa-IR"/>
        </w:rPr>
        <w:t xml:space="preserve"> ذَاكَ؟</w:t>
      </w:r>
    </w:p>
    <w:p w:rsidR="00744A1C" w:rsidRDefault="00744A1C" w:rsidP="00744A1C">
      <w:pPr>
        <w:pStyle w:val="libNormal"/>
        <w:rPr>
          <w:lang w:bidi="fa-IR"/>
        </w:rPr>
      </w:pPr>
      <w:r>
        <w:rPr>
          <w:rtl/>
          <w:lang w:bidi="fa-IR"/>
        </w:rPr>
        <w:t xml:space="preserve">فَقَالَ : « كُنْتُ مَعَ مُحَمَّدِ بْنِ إِبْرَاهِيمَ بِالطَّائِفِ ، فَكَانَ </w:t>
      </w:r>
      <w:r w:rsidRPr="00D10E3C">
        <w:rPr>
          <w:rStyle w:val="libFootnotenumChar"/>
          <w:rtl/>
        </w:rPr>
        <w:t>(5)</w:t>
      </w:r>
      <w:r>
        <w:rPr>
          <w:rtl/>
          <w:lang w:bidi="fa-IR"/>
        </w:rPr>
        <w:t xml:space="preserve"> كُلَّمَا دَخَلَ دَخَلْتُ مَعَهُ ». </w:t>
      </w:r>
      <w:r w:rsidRPr="00D10E3C">
        <w:rPr>
          <w:rStyle w:val="libFootnotenumChar"/>
          <w:rtl/>
        </w:rPr>
        <w:t>(6)</w:t>
      </w:r>
    </w:p>
    <w:p w:rsidR="00744A1C" w:rsidRDefault="00744A1C" w:rsidP="005A6383">
      <w:pPr>
        <w:pStyle w:val="Heading2Center"/>
        <w:rPr>
          <w:lang w:bidi="fa-IR"/>
        </w:rPr>
      </w:pPr>
      <w:bookmarkStart w:id="52" w:name="_Toc49261350"/>
      <w:r>
        <w:rPr>
          <w:rtl/>
          <w:lang w:bidi="fa-IR"/>
        </w:rPr>
        <w:t>207 - بَابُ الْعُمْرَةِ الْمَبْتُولَةِ فِي أَشْهُرِ الْحَجِّ‌</w:t>
      </w:r>
      <w:bookmarkEnd w:id="52"/>
    </w:p>
    <w:p w:rsidR="00744A1C" w:rsidRDefault="00744A1C" w:rsidP="00744A1C">
      <w:pPr>
        <w:pStyle w:val="libNormal"/>
        <w:rPr>
          <w:lang w:bidi="fa-IR"/>
        </w:rPr>
      </w:pPr>
      <w:r>
        <w:rPr>
          <w:rtl/>
          <w:lang w:bidi="fa-IR"/>
        </w:rPr>
        <w:t xml:space="preserve">8023 / 1. عِدَّةٌ مِنْ أَصْحَابِنَا ، عَنْ أَحْمَدَ بْنِ مُحَمَّدٍ ، عَنِ الْحَسَنِ </w:t>
      </w:r>
      <w:r w:rsidRPr="00D10E3C">
        <w:rPr>
          <w:rStyle w:val="libFootnotenumChar"/>
          <w:rtl/>
        </w:rPr>
        <w:t>(7)</w:t>
      </w:r>
      <w:r>
        <w:rPr>
          <w:rtl/>
          <w:lang w:bidi="fa-IR"/>
        </w:rPr>
        <w:t xml:space="preserve"> بْنِ مَحْبُوبٍ ، ع</w:t>
      </w:r>
      <w:r w:rsidR="005A6383">
        <w:rPr>
          <w:rtl/>
          <w:lang w:bidi="fa-IR"/>
        </w:rPr>
        <w:t>َنْ عَبْدِ اللهِ بْنِ سِنَانٍ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لَا بَأْسَ بِالْعُمْرَةِ الْمُفْرَدَةِ فِي أَشْهُرِ الْحَجِّ ، ثُمَّ يَرْجِعُ إِلى أَهْلِهِ</w:t>
      </w:r>
      <w:r w:rsidRPr="00D10E3C">
        <w:rPr>
          <w:rStyle w:val="libFootnotenumChar"/>
          <w:rtl/>
        </w:rPr>
        <w:t>(8)</w:t>
      </w:r>
      <w:r>
        <w:rPr>
          <w:rtl/>
          <w:lang w:bidi="fa-IR"/>
        </w:rPr>
        <w:t xml:space="preserve">». </w:t>
      </w:r>
      <w:r w:rsidRPr="00D10E3C">
        <w:rPr>
          <w:rStyle w:val="libFootnotenumChar"/>
          <w:rtl/>
        </w:rPr>
        <w:t>(9)</w:t>
      </w:r>
    </w:p>
    <w:p w:rsidR="00744A1C" w:rsidRDefault="00744A1C" w:rsidP="00744A1C">
      <w:pPr>
        <w:pStyle w:val="libNormal"/>
        <w:rPr>
          <w:lang w:bidi="fa-IR"/>
        </w:rPr>
      </w:pPr>
      <w:r>
        <w:rPr>
          <w:rtl/>
          <w:lang w:bidi="fa-IR"/>
        </w:rPr>
        <w:t>8024 / 2. الْحُسَيْنُ بْنُ مُحَمَّدٍ ، عَنْ مُعَلَّى بْنِ مُحَمَّدٍ ، عَنِ الْحَسَنِ بْنِ عَلِيٍّ ، ع</w:t>
      </w:r>
      <w:r w:rsidR="00310324">
        <w:rPr>
          <w:rtl/>
          <w:lang w:bidi="fa-IR"/>
        </w:rPr>
        <w:t>َنْ عَبْدِ اللهِ بْنِ سِنَانٍ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 فقال : يكون ». وفي الاستبصار : « فقال : تكون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 ح 19275 : « فقال : في كلّ » بدل « قال : لكلّ ».</w:t>
      </w:r>
    </w:p>
    <w:p w:rsidR="00744A1C" w:rsidRDefault="00E378DD" w:rsidP="00E378DD">
      <w:pPr>
        <w:pStyle w:val="libFootnote0"/>
        <w:rPr>
          <w:lang w:bidi="fa-IR"/>
        </w:rPr>
      </w:pPr>
      <w:r>
        <w:rPr>
          <w:rtl/>
          <w:lang w:bidi="fa-IR"/>
        </w:rPr>
        <w:t>(3).</w:t>
      </w:r>
      <w:r w:rsidR="00744A1C">
        <w:rPr>
          <w:rtl/>
          <w:lang w:bidi="fa-IR"/>
        </w:rPr>
        <w:t xml:space="preserve"> في « جن » : « ستّة ».</w:t>
      </w:r>
    </w:p>
    <w:p w:rsidR="00744A1C" w:rsidRDefault="00E378DD" w:rsidP="00E378DD">
      <w:pPr>
        <w:pStyle w:val="libFootnote0"/>
        <w:rPr>
          <w:lang w:bidi="fa-IR"/>
        </w:rPr>
      </w:pPr>
      <w:r>
        <w:rPr>
          <w:rtl/>
          <w:lang w:bidi="fa-IR"/>
        </w:rPr>
        <w:t>(4).</w:t>
      </w:r>
      <w:r w:rsidR="00744A1C">
        <w:rPr>
          <w:rtl/>
          <w:lang w:bidi="fa-IR"/>
        </w:rPr>
        <w:t xml:space="preserve"> في « جد » و</w:t>
      </w:r>
      <w:r w:rsidR="00744A1C" w:rsidRPr="00C24F9C">
        <w:rPr>
          <w:rStyle w:val="libFootnoteBoldChar"/>
          <w:rtl/>
        </w:rPr>
        <w:t>الوسائل</w:t>
      </w:r>
      <w:r w:rsidR="00744A1C">
        <w:rPr>
          <w:rtl/>
          <w:lang w:bidi="fa-IR"/>
        </w:rPr>
        <w:t xml:space="preserve"> ، ح 19275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ولِمَ ».</w:t>
      </w:r>
    </w:p>
    <w:p w:rsidR="00744A1C" w:rsidRDefault="00E378DD" w:rsidP="00E378DD">
      <w:pPr>
        <w:pStyle w:val="libFootnote0"/>
        <w:rPr>
          <w:lang w:bidi="fa-IR"/>
        </w:rPr>
      </w:pPr>
      <w:r>
        <w:rPr>
          <w:rtl/>
          <w:lang w:bidi="fa-IR"/>
        </w:rPr>
        <w:t>(5).</w:t>
      </w:r>
      <w:r w:rsidR="00744A1C">
        <w:rPr>
          <w:rtl/>
          <w:lang w:bidi="fa-IR"/>
        </w:rPr>
        <w:t xml:space="preserve"> في « بخ ، بف »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وكان ».</w:t>
      </w:r>
    </w:p>
    <w:p w:rsidR="00744A1C" w:rsidRDefault="00E378DD" w:rsidP="007B783A">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434 ، ح 1508 معلّقاً عن الكليني ؛ </w:t>
      </w:r>
      <w:r w:rsidR="00744A1C" w:rsidRPr="00C24F9C">
        <w:rPr>
          <w:rStyle w:val="libFootnoteBoldChar"/>
          <w:rtl/>
        </w:rPr>
        <w:t>والاستبصار</w:t>
      </w:r>
      <w:r w:rsidR="00744A1C">
        <w:rPr>
          <w:rtl/>
          <w:lang w:bidi="fa-IR"/>
        </w:rPr>
        <w:t xml:space="preserve"> ، ج 2 ، ص 326 ، ح 1158 ، معلّقاً عن الكليني ، عن رجل ، عن عليّ ، عن أبيه. </w:t>
      </w:r>
      <w:r w:rsidR="00744A1C" w:rsidRPr="00C24F9C">
        <w:rPr>
          <w:rStyle w:val="libFootnoteBoldChar"/>
          <w:rtl/>
        </w:rPr>
        <w:t>الفقيه</w:t>
      </w:r>
      <w:r w:rsidR="00744A1C">
        <w:rPr>
          <w:rtl/>
          <w:lang w:bidi="fa-IR"/>
        </w:rPr>
        <w:t xml:space="preserve"> ، ج 2 ، ص 379 ، ح 2754 ، بسنده عن عليّ بن أبي حمزه ، إلى قوله : « فليخرج محلًّا »</w:t>
      </w:r>
      <w:r w:rsidR="005C641B">
        <w:rPr>
          <w:rFonts w:hint="cs"/>
          <w:rtl/>
          <w:lang w:bidi="fa-IR"/>
        </w:rPr>
        <w:t xml:space="preserve"> </w:t>
      </w:r>
      <w:r w:rsidR="007B783A">
        <w:rPr>
          <w:rFonts w:hint="cs"/>
          <w:rtl/>
          <w:lang w:bidi="fa-IR"/>
        </w:rPr>
        <w:t>.</w:t>
      </w:r>
      <w:r w:rsidR="00744A1C" w:rsidRPr="00C24F9C">
        <w:rPr>
          <w:rStyle w:val="libFootnoteBoldChar"/>
          <w:rtl/>
        </w:rPr>
        <w:t>الوافي</w:t>
      </w:r>
      <w:r w:rsidR="00744A1C">
        <w:rPr>
          <w:rtl/>
          <w:lang w:bidi="fa-IR"/>
        </w:rPr>
        <w:t xml:space="preserve"> ، ج 12 ، ص 507 ، ح 12431 ؛ وص 475 ، ح 12353 ؛ </w:t>
      </w:r>
      <w:r w:rsidR="00744A1C" w:rsidRPr="00C24F9C">
        <w:rPr>
          <w:rStyle w:val="libFootnoteBoldChar"/>
          <w:rtl/>
        </w:rPr>
        <w:t>الوسائل</w:t>
      </w:r>
      <w:r w:rsidR="00744A1C">
        <w:rPr>
          <w:rtl/>
          <w:lang w:bidi="fa-IR"/>
        </w:rPr>
        <w:t xml:space="preserve"> ، ج 12 ، ص 405 ، ذيل ح 16632 ؛ وج 14 ، ص 308 ، ح 19275.</w:t>
      </w:r>
    </w:p>
    <w:tbl>
      <w:tblPr>
        <w:tblStyle w:val="TableGrid"/>
        <w:bidiVisual/>
        <w:tblW w:w="0" w:type="auto"/>
        <w:tblLook w:val="04A0" w:firstRow="1" w:lastRow="0" w:firstColumn="1" w:lastColumn="0" w:noHBand="0" w:noVBand="1"/>
      </w:tblPr>
      <w:tblGrid>
        <w:gridCol w:w="4006"/>
        <w:gridCol w:w="4006"/>
      </w:tblGrid>
      <w:tr w:rsidR="00F84DD5" w:rsidTr="00F84DD5">
        <w:tc>
          <w:tcPr>
            <w:tcW w:w="4006" w:type="dxa"/>
          </w:tcPr>
          <w:p w:rsidR="00F84DD5" w:rsidRDefault="00F84DD5" w:rsidP="00E378DD">
            <w:pPr>
              <w:pStyle w:val="libFootnote0"/>
              <w:rPr>
                <w:rtl/>
                <w:lang w:bidi="fa-IR"/>
              </w:rPr>
            </w:pPr>
            <w:r>
              <w:rPr>
                <w:rtl/>
                <w:lang w:bidi="fa-IR"/>
              </w:rPr>
              <w:t xml:space="preserve">(7). في </w:t>
            </w:r>
            <w:r w:rsidRPr="00C24F9C">
              <w:rPr>
                <w:rStyle w:val="libFootnoteBoldChar"/>
                <w:rtl/>
              </w:rPr>
              <w:t>التهذيب</w:t>
            </w:r>
            <w:r>
              <w:rPr>
                <w:rtl/>
                <w:lang w:bidi="fa-IR"/>
              </w:rPr>
              <w:t xml:space="preserve"> </w:t>
            </w:r>
            <w:r w:rsidRPr="00C24F9C">
              <w:rPr>
                <w:rStyle w:val="libFootnoteBoldChar"/>
                <w:rtl/>
              </w:rPr>
              <w:t>والاستبصار</w:t>
            </w:r>
            <w:r>
              <w:rPr>
                <w:rtl/>
                <w:lang w:bidi="fa-IR"/>
              </w:rPr>
              <w:t xml:space="preserve"> : - « الحسن ».</w:t>
            </w:r>
          </w:p>
        </w:tc>
        <w:tc>
          <w:tcPr>
            <w:tcW w:w="4006" w:type="dxa"/>
          </w:tcPr>
          <w:p w:rsidR="00F84DD5" w:rsidRDefault="00F84DD5" w:rsidP="001B0794">
            <w:pPr>
              <w:pStyle w:val="libFootnote0"/>
              <w:rPr>
                <w:rtl/>
                <w:lang w:bidi="fa-IR"/>
              </w:rPr>
            </w:pPr>
            <w:r>
              <w:rPr>
                <w:rtl/>
                <w:lang w:bidi="fa-IR"/>
              </w:rPr>
              <w:t>(8). في«بس»</w:t>
            </w:r>
            <w:r w:rsidR="001B0794">
              <w:rPr>
                <w:rtl/>
                <w:lang w:bidi="fa-IR"/>
              </w:rPr>
              <w:t>وحاشية</w:t>
            </w:r>
            <w:r>
              <w:rPr>
                <w:rtl/>
                <w:lang w:bidi="fa-IR"/>
              </w:rPr>
              <w:t>«بث،بح»:+«</w:t>
            </w:r>
            <w:r w:rsidR="001B0794">
              <w:rPr>
                <w:rtl/>
                <w:lang w:bidi="fa-IR"/>
              </w:rPr>
              <w:t>إن شاء</w:t>
            </w:r>
            <w:r>
              <w:rPr>
                <w:rtl/>
                <w:lang w:bidi="fa-IR"/>
              </w:rPr>
              <w:t>».</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5 ، ص 436 ، ح 1515 ؛ </w:t>
      </w:r>
      <w:r w:rsidR="00744A1C" w:rsidRPr="00C24F9C">
        <w:rPr>
          <w:rStyle w:val="libFootnoteBoldChar"/>
          <w:rtl/>
        </w:rPr>
        <w:t>والاستبصار</w:t>
      </w:r>
      <w:r w:rsidR="00744A1C">
        <w:rPr>
          <w:rtl/>
          <w:lang w:bidi="fa-IR"/>
        </w:rPr>
        <w:t xml:space="preserve"> ، ج 2 ، ص 327 ، ح 1159 ، معلّقاً عن الكليني </w:t>
      </w:r>
      <w:r w:rsidR="00107175">
        <w:rPr>
          <w:rFonts w:hint="cs"/>
          <w:rtl/>
          <w:lang w:bidi="fa-IR"/>
        </w:rPr>
        <w:t>.</w:t>
      </w:r>
      <w:r w:rsidR="00744A1C" w:rsidRPr="00C24F9C">
        <w:rPr>
          <w:rStyle w:val="libFootnoteBoldChar"/>
          <w:rtl/>
        </w:rPr>
        <w:t>الوافي</w:t>
      </w:r>
      <w:r w:rsidR="00744A1C">
        <w:rPr>
          <w:rtl/>
          <w:lang w:bidi="fa-IR"/>
        </w:rPr>
        <w:t xml:space="preserve"> ، ج 12 ، ص 469 ، ح 12338 ؛ </w:t>
      </w:r>
      <w:r w:rsidR="00744A1C" w:rsidRPr="00C24F9C">
        <w:rPr>
          <w:rStyle w:val="libFootnoteBoldChar"/>
          <w:rtl/>
        </w:rPr>
        <w:t>الوسائل</w:t>
      </w:r>
      <w:r w:rsidR="00744A1C">
        <w:rPr>
          <w:rtl/>
          <w:lang w:bidi="fa-IR"/>
        </w:rPr>
        <w:t xml:space="preserve"> ، ج 14 ، ص 310 ، ح 19284.</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بَأْسَ بِالْعُمْرَةِ الْمُفْرَدَةِ فِي أَشْهُرِ الْحَجِّ ، ثُمَّ يَرْجِعُ إِلى أَهْلِهِ إِنْ شَاءَ ». </w:t>
      </w:r>
      <w:r w:rsidRPr="00D10E3C">
        <w:rPr>
          <w:rStyle w:val="libFootnotenumChar"/>
          <w:rtl/>
        </w:rPr>
        <w:t>(1)</w:t>
      </w:r>
    </w:p>
    <w:p w:rsidR="000558D3" w:rsidRDefault="00744A1C" w:rsidP="000558D3">
      <w:pPr>
        <w:pStyle w:val="libNormal"/>
        <w:rPr>
          <w:rtl/>
          <w:lang w:bidi="fa-IR"/>
        </w:rPr>
      </w:pPr>
      <w:r>
        <w:rPr>
          <w:rtl/>
          <w:lang w:bidi="fa-IR"/>
        </w:rPr>
        <w:t>8025 / 3. عَلِيُّ بْنُ إِبْرَاهِيمَ ، عَنْ أَبِيهِ ؛</w:t>
      </w:r>
    </w:p>
    <w:p w:rsidR="00744A1C" w:rsidRDefault="000558D3" w:rsidP="000558D3">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(2)</w:t>
      </w:r>
      <w:r w:rsidR="00744A1C">
        <w:rPr>
          <w:rtl/>
          <w:lang w:bidi="fa-IR"/>
        </w:rPr>
        <w:t xml:space="preserve"> مُحَمَّدُ بْنُ إِسْمَاعِيلَ ، عَنِ الْفَضْلِ بْنِ شَاذَانَ </w:t>
      </w:r>
      <w:r w:rsidR="00744A1C" w:rsidRPr="00D10E3C">
        <w:rPr>
          <w:rStyle w:val="libFootnotenumChar"/>
          <w:rtl/>
        </w:rPr>
        <w:t>(3)</w:t>
      </w:r>
      <w:r w:rsidR="00744A1C">
        <w:rPr>
          <w:rtl/>
          <w:lang w:bidi="fa-IR"/>
        </w:rPr>
        <w:t xml:space="preserve"> ، عَنْ حَمَّادِ بْنِ عِيسى ، عَنْ إِبْرَاهِ</w:t>
      </w:r>
      <w:r w:rsidR="00B201ED">
        <w:rPr>
          <w:rtl/>
          <w:lang w:bidi="fa-IR"/>
        </w:rPr>
        <w:t>يمَ بْنِ عُمَرَ الْيَمَانِيِّ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أَنَّهُ سُئِلَ عَنْ رَجُلٍ خَرَجَ فِي أَشْهُرِ الْحَجِّ مُعْتَمِراً ، ثُمَّ رَجَعَ </w:t>
      </w:r>
      <w:r w:rsidRPr="00D10E3C">
        <w:rPr>
          <w:rStyle w:val="libFootnotenumChar"/>
          <w:rtl/>
        </w:rPr>
        <w:t>(4)</w:t>
      </w:r>
      <w:r>
        <w:rPr>
          <w:rtl/>
          <w:lang w:bidi="fa-IR"/>
        </w:rPr>
        <w:t xml:space="preserve"> إِلى بِلَادِهِ؟</w:t>
      </w:r>
    </w:p>
    <w:p w:rsidR="00744A1C" w:rsidRDefault="00744A1C" w:rsidP="00744A1C">
      <w:pPr>
        <w:pStyle w:val="libNormal"/>
        <w:rPr>
          <w:lang w:bidi="fa-IR"/>
        </w:rPr>
      </w:pPr>
      <w:r>
        <w:rPr>
          <w:rtl/>
          <w:lang w:bidi="fa-IR"/>
        </w:rPr>
        <w:t xml:space="preserve">قَالَ </w:t>
      </w:r>
      <w:r w:rsidRPr="00D10E3C">
        <w:rPr>
          <w:rStyle w:val="libFootnotenumChar"/>
          <w:rtl/>
        </w:rPr>
        <w:t>(5)</w:t>
      </w:r>
      <w:r>
        <w:rPr>
          <w:rtl/>
          <w:lang w:bidi="fa-IR"/>
        </w:rPr>
        <w:t xml:space="preserve"> : « لَا بَأْسَ ، وَإِنْ حَجَّ </w:t>
      </w:r>
      <w:r w:rsidRPr="00D10E3C">
        <w:rPr>
          <w:rStyle w:val="libFootnotenumChar"/>
          <w:rtl/>
        </w:rPr>
        <w:t>(6)</w:t>
      </w:r>
      <w:r>
        <w:rPr>
          <w:rtl/>
          <w:lang w:bidi="fa-IR"/>
        </w:rPr>
        <w:t xml:space="preserve"> فِي </w:t>
      </w:r>
      <w:r w:rsidRPr="00D10E3C">
        <w:rPr>
          <w:rStyle w:val="libFootnotenumChar"/>
          <w:rtl/>
        </w:rPr>
        <w:t>(7)</w:t>
      </w:r>
      <w:r>
        <w:rPr>
          <w:rtl/>
          <w:lang w:bidi="fa-IR"/>
        </w:rPr>
        <w:t xml:space="preserve"> عَامِهِ ذلِكَ </w:t>
      </w:r>
      <w:r w:rsidRPr="00D10E3C">
        <w:rPr>
          <w:rStyle w:val="libFootnotenumChar"/>
          <w:rtl/>
        </w:rPr>
        <w:t>(8)</w:t>
      </w:r>
      <w:r>
        <w:rPr>
          <w:rtl/>
          <w:lang w:bidi="fa-IR"/>
        </w:rPr>
        <w:t xml:space="preserve"> وَأَفْرَدَ الْحَجَّ ، فَلَيْسَ عَلَيْهِ دَمٌ ؛ فَإِنَّ </w:t>
      </w:r>
      <w:r w:rsidRPr="00D10E3C">
        <w:rPr>
          <w:rStyle w:val="libFootnotenumChar"/>
          <w:rtl/>
        </w:rPr>
        <w:t>(9)</w:t>
      </w:r>
      <w:r>
        <w:rPr>
          <w:rtl/>
          <w:lang w:bidi="fa-IR"/>
        </w:rPr>
        <w:t xml:space="preserve"> الْحُسَيْنَ بْنَ عَلِيٍّ </w:t>
      </w:r>
      <w:r w:rsidR="008859AA" w:rsidRPr="008859AA">
        <w:rPr>
          <w:rStyle w:val="libAlaemChar"/>
          <w:rtl/>
        </w:rPr>
        <w:t>عليهما‌السلام</w:t>
      </w:r>
      <w:r>
        <w:rPr>
          <w:rtl/>
          <w:lang w:bidi="fa-IR"/>
        </w:rPr>
        <w:t xml:space="preserve">خَرَجَ قَبْلَ </w:t>
      </w:r>
      <w:r w:rsidRPr="00D10E3C">
        <w:rPr>
          <w:rStyle w:val="libFootnotenumChar"/>
          <w:rtl/>
        </w:rPr>
        <w:t>(10)</w:t>
      </w:r>
      <w:r>
        <w:rPr>
          <w:rtl/>
          <w:lang w:bidi="fa-IR"/>
        </w:rPr>
        <w:t xml:space="preserve"> التَّرْوِيَةِ بِيَوْمٍ </w:t>
      </w:r>
      <w:r w:rsidRPr="00D10E3C">
        <w:rPr>
          <w:rStyle w:val="libFootnotenumChar"/>
          <w:rtl/>
        </w:rPr>
        <w:t>(11)</w:t>
      </w:r>
      <w:r>
        <w:rPr>
          <w:rtl/>
          <w:lang w:bidi="fa-IR"/>
        </w:rPr>
        <w:t xml:space="preserve"> إِلَى الْعِرَاقِ وَقَدْ </w:t>
      </w:r>
      <w:r w:rsidRPr="00D10E3C">
        <w:rPr>
          <w:rStyle w:val="libFootnotenumChar"/>
          <w:rtl/>
        </w:rPr>
        <w:t>(12)</w:t>
      </w:r>
      <w:r>
        <w:rPr>
          <w:rtl/>
          <w:lang w:bidi="fa-IR"/>
        </w:rPr>
        <w:t xml:space="preserve"> كَانَ دَخَلَ </w:t>
      </w:r>
      <w:r w:rsidRPr="00D10E3C">
        <w:rPr>
          <w:rStyle w:val="libFootnotenumChar"/>
          <w:rtl/>
        </w:rPr>
        <w:t>(13)</w:t>
      </w:r>
      <w:r>
        <w:rPr>
          <w:rtl/>
          <w:lang w:bidi="fa-IR"/>
        </w:rPr>
        <w:t xml:space="preserve"> مُعْتَمِراً </w:t>
      </w:r>
      <w:r w:rsidRPr="00D10E3C">
        <w:rPr>
          <w:rStyle w:val="libFootnotenumChar"/>
          <w:rtl/>
        </w:rPr>
        <w:t>(14)</w:t>
      </w:r>
      <w:r>
        <w:rPr>
          <w:rtl/>
          <w:lang w:bidi="fa-IR"/>
        </w:rPr>
        <w:t xml:space="preserve"> ». </w:t>
      </w:r>
      <w:r w:rsidRPr="00D10E3C">
        <w:rPr>
          <w:rStyle w:val="libFootnotenumChar"/>
          <w:rtl/>
        </w:rPr>
        <w:t>(15)</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الوافي</w:t>
      </w:r>
      <w:r w:rsidR="00744A1C">
        <w:rPr>
          <w:rtl/>
          <w:lang w:bidi="fa-IR"/>
        </w:rPr>
        <w:t xml:space="preserve"> ، ج 12 ، ص 469 ، ح 12339 ؛ </w:t>
      </w:r>
      <w:r w:rsidR="00744A1C" w:rsidRPr="00C24F9C">
        <w:rPr>
          <w:rStyle w:val="libFootnoteBoldChar"/>
          <w:rtl/>
        </w:rPr>
        <w:t>الوسائل</w:t>
      </w:r>
      <w:r w:rsidR="00744A1C">
        <w:rPr>
          <w:rtl/>
          <w:lang w:bidi="fa-IR"/>
        </w:rPr>
        <w:t xml:space="preserve"> ، ج 14 ، ص 310 ، ذيل ح 19284.</w:t>
      </w:r>
    </w:p>
    <w:p w:rsidR="00744A1C" w:rsidRDefault="00E378DD" w:rsidP="00E378DD">
      <w:pPr>
        <w:pStyle w:val="libFootnote0"/>
        <w:rPr>
          <w:lang w:bidi="fa-IR"/>
        </w:rPr>
      </w:pPr>
      <w:r>
        <w:rPr>
          <w:rtl/>
          <w:lang w:bidi="fa-IR"/>
        </w:rPr>
        <w:t>(2).</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(3).</w:t>
      </w:r>
      <w:r w:rsidR="00744A1C">
        <w:rPr>
          <w:rtl/>
          <w:lang w:bidi="fa-IR"/>
        </w:rPr>
        <w:t xml:space="preserve"> في الاستبصار : - « ومحمّد بن إسماعيل عن الفضل بن شاذان ».</w:t>
      </w:r>
    </w:p>
    <w:tbl>
      <w:tblPr>
        <w:tblStyle w:val="TableGrid"/>
        <w:bidiVisual/>
        <w:tblW w:w="0" w:type="auto"/>
        <w:tblLook w:val="04A0" w:firstRow="1" w:lastRow="0" w:firstColumn="1" w:lastColumn="0" w:noHBand="0" w:noVBand="1"/>
      </w:tblPr>
      <w:tblGrid>
        <w:gridCol w:w="4006"/>
        <w:gridCol w:w="4006"/>
      </w:tblGrid>
      <w:tr w:rsidR="00384010" w:rsidTr="00384010">
        <w:tc>
          <w:tcPr>
            <w:tcW w:w="4006" w:type="dxa"/>
          </w:tcPr>
          <w:p w:rsidR="00384010" w:rsidRDefault="00384010" w:rsidP="00E378DD">
            <w:pPr>
              <w:pStyle w:val="libFootnote0"/>
              <w:rPr>
                <w:rtl/>
                <w:lang w:bidi="fa-IR"/>
              </w:rPr>
            </w:pPr>
            <w:r>
              <w:rPr>
                <w:rtl/>
                <w:lang w:bidi="fa-IR"/>
              </w:rPr>
              <w:t xml:space="preserve">(4). في </w:t>
            </w:r>
            <w:r w:rsidRPr="00C24F9C">
              <w:rPr>
                <w:rStyle w:val="libFootnoteBoldChar"/>
                <w:rtl/>
              </w:rPr>
              <w:t>الوسائل</w:t>
            </w:r>
            <w:r>
              <w:rPr>
                <w:rtl/>
                <w:lang w:bidi="fa-IR"/>
              </w:rPr>
              <w:t xml:space="preserve"> : « خرج ».</w:t>
            </w:r>
          </w:p>
        </w:tc>
        <w:tc>
          <w:tcPr>
            <w:tcW w:w="4006" w:type="dxa"/>
          </w:tcPr>
          <w:p w:rsidR="00384010" w:rsidRDefault="00384010" w:rsidP="00E378DD">
            <w:pPr>
              <w:pStyle w:val="libFootnote0"/>
              <w:rPr>
                <w:rtl/>
                <w:lang w:bidi="fa-IR"/>
              </w:rPr>
            </w:pPr>
            <w:r>
              <w:rPr>
                <w:rtl/>
                <w:lang w:bidi="fa-IR"/>
              </w:rPr>
              <w:t>(5). في « جد » وحاشية « بح » : « فقال ».</w:t>
            </w:r>
          </w:p>
        </w:tc>
      </w:tr>
      <w:tr w:rsidR="00384010" w:rsidTr="00384010">
        <w:tc>
          <w:tcPr>
            <w:tcW w:w="4006" w:type="dxa"/>
          </w:tcPr>
          <w:p w:rsidR="00384010" w:rsidRDefault="00384010" w:rsidP="00E378DD">
            <w:pPr>
              <w:pStyle w:val="libFootnote0"/>
              <w:rPr>
                <w:rtl/>
                <w:lang w:bidi="fa-IR"/>
              </w:rPr>
            </w:pPr>
            <w:r>
              <w:rPr>
                <w:rtl/>
                <w:lang w:bidi="fa-IR"/>
              </w:rPr>
              <w:t xml:space="preserve">(6). في </w:t>
            </w:r>
            <w:r w:rsidRPr="00C24F9C">
              <w:rPr>
                <w:rStyle w:val="libFootnoteBoldChar"/>
                <w:rtl/>
              </w:rPr>
              <w:t>التهذيب</w:t>
            </w:r>
            <w:r>
              <w:rPr>
                <w:rtl/>
                <w:lang w:bidi="fa-IR"/>
              </w:rPr>
              <w:t xml:space="preserve"> : + « مرّة ».</w:t>
            </w:r>
          </w:p>
        </w:tc>
        <w:tc>
          <w:tcPr>
            <w:tcW w:w="4006" w:type="dxa"/>
          </w:tcPr>
          <w:p w:rsidR="00384010" w:rsidRDefault="00384010" w:rsidP="00E378DD">
            <w:pPr>
              <w:pStyle w:val="libFootnote0"/>
              <w:rPr>
                <w:rtl/>
                <w:lang w:bidi="fa-IR"/>
              </w:rPr>
            </w:pPr>
            <w:r>
              <w:rPr>
                <w:rtl/>
                <w:lang w:bidi="fa-IR"/>
              </w:rPr>
              <w:t>(7). في«بح،بخ،بس،جن»</w:t>
            </w:r>
            <w:r w:rsidRPr="00942946">
              <w:rPr>
                <w:rtl/>
              </w:rPr>
              <w:t>والوسائل</w:t>
            </w:r>
            <w:r>
              <w:rPr>
                <w:rtl/>
                <w:lang w:bidi="fa-IR"/>
              </w:rPr>
              <w:t xml:space="preserve"> </w:t>
            </w:r>
            <w:r w:rsidRPr="00942946">
              <w:rPr>
                <w:rtl/>
              </w:rPr>
              <w:t>والاستبصار</w:t>
            </w:r>
            <w:r>
              <w:rPr>
                <w:rtl/>
                <w:lang w:bidi="fa-IR"/>
              </w:rPr>
              <w:t>:«من».</w:t>
            </w:r>
          </w:p>
        </w:tc>
      </w:tr>
    </w:tbl>
    <w:p w:rsidR="00744A1C" w:rsidRDefault="00E378DD" w:rsidP="00E378DD">
      <w:pPr>
        <w:pStyle w:val="libFootnote0"/>
        <w:rPr>
          <w:lang w:bidi="fa-IR"/>
        </w:rPr>
      </w:pPr>
      <w:r>
        <w:rPr>
          <w:rtl/>
          <w:lang w:bidi="fa-IR"/>
        </w:rPr>
        <w:t>(8).</w:t>
      </w:r>
      <w:r w:rsidR="00744A1C">
        <w:rPr>
          <w:rtl/>
          <w:lang w:bidi="fa-IR"/>
        </w:rPr>
        <w:t xml:space="preserve"> في الاستبصار : - « ذلك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وإنّ ». وفي </w:t>
      </w:r>
      <w:r w:rsidR="00744A1C" w:rsidRPr="0061079A">
        <w:rPr>
          <w:rStyle w:val="libFootnoteBoldChar"/>
          <w:rtl/>
        </w:rPr>
        <w:t>البحار</w:t>
      </w:r>
      <w:r w:rsidR="00744A1C">
        <w:rPr>
          <w:rtl/>
          <w:lang w:bidi="fa-IR"/>
        </w:rPr>
        <w:t xml:space="preserve"> </w:t>
      </w:r>
      <w:r w:rsidR="00744A1C" w:rsidRPr="00C24F9C">
        <w:rPr>
          <w:rStyle w:val="libFootnoteBoldChar"/>
          <w:rtl/>
        </w:rPr>
        <w:t>والاستبصار</w:t>
      </w:r>
      <w:r w:rsidR="00744A1C">
        <w:rPr>
          <w:rtl/>
          <w:lang w:bidi="fa-IR"/>
        </w:rPr>
        <w:t xml:space="preserve"> : « إنّ ».</w:t>
      </w:r>
    </w:p>
    <w:tbl>
      <w:tblPr>
        <w:tblStyle w:val="TableGrid"/>
        <w:bidiVisual/>
        <w:tblW w:w="0" w:type="auto"/>
        <w:tblLook w:val="04A0" w:firstRow="1" w:lastRow="0" w:firstColumn="1" w:lastColumn="0" w:noHBand="0" w:noVBand="1"/>
      </w:tblPr>
      <w:tblGrid>
        <w:gridCol w:w="4006"/>
        <w:gridCol w:w="4006"/>
      </w:tblGrid>
      <w:tr w:rsidR="00F44C2A" w:rsidTr="00F44C2A">
        <w:tc>
          <w:tcPr>
            <w:tcW w:w="4006" w:type="dxa"/>
          </w:tcPr>
          <w:p w:rsidR="00F44C2A" w:rsidRDefault="00F44C2A" w:rsidP="00E378DD">
            <w:pPr>
              <w:pStyle w:val="libFootnote0"/>
              <w:rPr>
                <w:rtl/>
                <w:lang w:bidi="fa-IR"/>
              </w:rPr>
            </w:pPr>
            <w:r>
              <w:rPr>
                <w:rtl/>
                <w:lang w:bidi="fa-IR"/>
              </w:rPr>
              <w:t xml:space="preserve">(10).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يوم ».</w:t>
            </w:r>
          </w:p>
        </w:tc>
        <w:tc>
          <w:tcPr>
            <w:tcW w:w="4006" w:type="dxa"/>
          </w:tcPr>
          <w:p w:rsidR="00F44C2A" w:rsidRDefault="00F44C2A" w:rsidP="002B1502">
            <w:pPr>
              <w:pStyle w:val="libFootnote0"/>
              <w:rPr>
                <w:rtl/>
                <w:lang w:bidi="fa-IR"/>
              </w:rPr>
            </w:pPr>
            <w:r>
              <w:rPr>
                <w:rtl/>
                <w:lang w:bidi="fa-IR"/>
              </w:rPr>
              <w:t xml:space="preserve">(11).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w:t>
            </w:r>
            <w:r w:rsidRPr="00C24F9C">
              <w:rPr>
                <w:rStyle w:val="libFootnoteBoldChar"/>
                <w:rtl/>
              </w:rPr>
              <w:t>والاستبصار</w:t>
            </w:r>
            <w:r>
              <w:rPr>
                <w:rtl/>
                <w:lang w:bidi="fa-IR"/>
              </w:rPr>
              <w:t>:-«بيوم».</w:t>
            </w:r>
          </w:p>
        </w:tc>
      </w:tr>
      <w:tr w:rsidR="00F44C2A" w:rsidTr="00F44C2A">
        <w:tc>
          <w:tcPr>
            <w:tcW w:w="4006" w:type="dxa"/>
          </w:tcPr>
          <w:p w:rsidR="00F44C2A" w:rsidRDefault="002B1502" w:rsidP="00E378DD">
            <w:pPr>
              <w:pStyle w:val="libFootnote0"/>
              <w:rPr>
                <w:rtl/>
                <w:lang w:bidi="fa-IR"/>
              </w:rPr>
            </w:pPr>
            <w:r>
              <w:rPr>
                <w:rtl/>
                <w:lang w:bidi="fa-IR"/>
              </w:rPr>
              <w:t xml:space="preserve">(12). في </w:t>
            </w:r>
            <w:r w:rsidRPr="00C24F9C">
              <w:rPr>
                <w:rStyle w:val="libFootnoteBoldChar"/>
                <w:rtl/>
              </w:rPr>
              <w:t>الوسائل</w:t>
            </w:r>
            <w:r>
              <w:rPr>
                <w:rtl/>
                <w:lang w:bidi="fa-IR"/>
              </w:rPr>
              <w:t xml:space="preserve"> : - « قد ».</w:t>
            </w:r>
          </w:p>
        </w:tc>
        <w:tc>
          <w:tcPr>
            <w:tcW w:w="4006" w:type="dxa"/>
          </w:tcPr>
          <w:p w:rsidR="00F44C2A" w:rsidRDefault="002B1502" w:rsidP="00CC3231">
            <w:pPr>
              <w:pStyle w:val="libFootnote0"/>
              <w:rPr>
                <w:rtl/>
                <w:lang w:bidi="fa-IR"/>
              </w:rPr>
            </w:pPr>
            <w:r>
              <w:rPr>
                <w:rtl/>
                <w:lang w:bidi="fa-IR"/>
              </w:rPr>
              <w:t xml:space="preserve">(13). في </w:t>
            </w:r>
            <w:r w:rsidRPr="00C24F9C">
              <w:rPr>
                <w:rStyle w:val="libFootnoteBoldChar"/>
                <w:rtl/>
              </w:rPr>
              <w:t>الوسائل</w:t>
            </w:r>
            <w:r>
              <w:rPr>
                <w:rtl/>
                <w:lang w:bidi="fa-IR"/>
              </w:rPr>
              <w:t>:-«</w:t>
            </w:r>
            <w:r w:rsidR="00CC3231">
              <w:rPr>
                <w:rtl/>
                <w:lang w:bidi="fa-IR"/>
              </w:rPr>
              <w:t>دخل».وفي الاستبصار</w:t>
            </w:r>
            <w:r>
              <w:rPr>
                <w:rtl/>
                <w:lang w:bidi="fa-IR"/>
              </w:rPr>
              <w:t>:+«مكّة».</w:t>
            </w:r>
          </w:p>
        </w:tc>
      </w:tr>
    </w:tbl>
    <w:p w:rsidR="00744A1C" w:rsidRDefault="00E378DD" w:rsidP="00E378DD">
      <w:pPr>
        <w:pStyle w:val="libFootnote0"/>
        <w:rPr>
          <w:lang w:bidi="fa-IR"/>
        </w:rPr>
      </w:pPr>
      <w:r>
        <w:rPr>
          <w:rtl/>
          <w:lang w:bidi="fa-IR"/>
        </w:rPr>
        <w:t>(14).</w:t>
      </w:r>
      <w:r w:rsidR="00744A1C">
        <w:rPr>
          <w:rtl/>
          <w:lang w:bidi="fa-IR"/>
        </w:rPr>
        <w:t xml:space="preserve"> قال الشهيد </w:t>
      </w:r>
      <w:r w:rsidR="00877682" w:rsidRPr="00877682">
        <w:rPr>
          <w:rStyle w:val="libFootnoteAlaemChar"/>
          <w:rtl/>
        </w:rPr>
        <w:t>رحمه‌الله</w:t>
      </w:r>
      <w:r w:rsidR="00744A1C">
        <w:rPr>
          <w:rtl/>
          <w:lang w:bidi="fa-IR"/>
        </w:rPr>
        <w:t xml:space="preserve">: « الأفضل للمعتمر في أشهر الحجّ مفرداً الإقامة بمكّة حتّى يأتي بالحجّ ويجعلها متعة ، وقال القاضي : إذا أدرك يوم التروية فعليه الإحرام بالحجّ ويصير متمتّعاً ، وفي رواية عمر بن يزيد : إذا أهلّ عليه ذو الحجّة حجّ ، وتحمل على الندب ؛ لأنّ الحسين </w:t>
      </w:r>
      <w:r w:rsidR="0061079A" w:rsidRPr="0061079A">
        <w:rPr>
          <w:rStyle w:val="libFootnoteAlaemChar"/>
          <w:rtl/>
        </w:rPr>
        <w:t>عليه‌السلام</w:t>
      </w:r>
      <w:r w:rsidR="00D10E3C">
        <w:rPr>
          <w:rtl/>
          <w:lang w:bidi="fa-IR"/>
        </w:rPr>
        <w:t xml:space="preserve"> </w:t>
      </w:r>
      <w:r w:rsidR="00744A1C">
        <w:rPr>
          <w:rtl/>
          <w:lang w:bidi="fa-IR"/>
        </w:rPr>
        <w:t xml:space="preserve">خرج بعد عمرته يوم التروية ، وقد يجاب بأنّه مضطرّ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1 ، ص 336. وراجع أيضاً : المهذّب ، ج 1 ، ص 209.</w:t>
      </w:r>
    </w:p>
    <w:p w:rsidR="00744A1C" w:rsidRDefault="00E378DD" w:rsidP="009130D0">
      <w:pPr>
        <w:pStyle w:val="libFootnote0"/>
        <w:rPr>
          <w:lang w:bidi="fa-IR"/>
        </w:rPr>
      </w:pPr>
      <w:r>
        <w:rPr>
          <w:rtl/>
          <w:lang w:bidi="fa-IR"/>
        </w:rPr>
        <w:t>(15).</w:t>
      </w:r>
      <w:r w:rsidR="00744A1C">
        <w:rPr>
          <w:rtl/>
          <w:lang w:bidi="fa-IR"/>
        </w:rPr>
        <w:t xml:space="preserve"> </w:t>
      </w:r>
      <w:r w:rsidR="00744A1C" w:rsidRPr="00C24F9C">
        <w:rPr>
          <w:rStyle w:val="libFootnoteBoldChar"/>
          <w:rtl/>
        </w:rPr>
        <w:t>التهذيب</w:t>
      </w:r>
      <w:r w:rsidR="00744A1C">
        <w:rPr>
          <w:rtl/>
          <w:lang w:bidi="fa-IR"/>
        </w:rPr>
        <w:t xml:space="preserve"> ، ج 5 ، ص 436 ، ح 1516 ؛ </w:t>
      </w:r>
      <w:r w:rsidR="00744A1C" w:rsidRPr="00C24F9C">
        <w:rPr>
          <w:rStyle w:val="libFootnoteBoldChar"/>
          <w:rtl/>
        </w:rPr>
        <w:t>والاستبصار</w:t>
      </w:r>
      <w:r w:rsidR="00744A1C">
        <w:rPr>
          <w:rtl/>
          <w:lang w:bidi="fa-IR"/>
        </w:rPr>
        <w:t xml:space="preserve"> ، ج 2 ، ص 327 ، ح 1160 ، معلّقاً عن الكليني</w:t>
      </w:r>
      <w:r w:rsidR="009130D0">
        <w:rPr>
          <w:rFonts w:hint="cs"/>
          <w:rtl/>
          <w:lang w:bidi="fa-IR"/>
        </w:rPr>
        <w:t>.</w:t>
      </w:r>
      <w:r w:rsidR="00744A1C" w:rsidRPr="00C24F9C">
        <w:rPr>
          <w:rStyle w:val="libFootnoteBoldChar"/>
          <w:rtl/>
        </w:rPr>
        <w:t>الوافي</w:t>
      </w:r>
      <w:r w:rsidR="00744A1C">
        <w:rPr>
          <w:rtl/>
          <w:lang w:bidi="fa-IR"/>
        </w:rPr>
        <w:t xml:space="preserve"> ، ج 12 ، </w:t>
      </w:r>
      <w:r w:rsidR="009130D0">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8026 / 4. عَلِيُّ بْنُ إِبْرَاهِيمَ ، عَنْ أَبِيهِ </w:t>
      </w:r>
      <w:r w:rsidRPr="00D10E3C">
        <w:rPr>
          <w:rStyle w:val="libFootnotenumChar"/>
          <w:rtl/>
        </w:rPr>
        <w:t>(1)</w:t>
      </w:r>
      <w:r>
        <w:rPr>
          <w:rtl/>
          <w:lang w:bidi="fa-IR"/>
        </w:rPr>
        <w:t xml:space="preserve"> ، عَنْ إِسْمَاعِيلَ بْنِ مَرَّارٍ ، عَنْ يُونُسَ ، عَنْ مُعَ</w:t>
      </w:r>
      <w:r w:rsidR="00166DF6">
        <w:rPr>
          <w:rtl/>
          <w:lang w:bidi="fa-IR"/>
        </w:rPr>
        <w:t>اوِيَةَ بْنِ عَمَّارٍ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مِنْ أَيْنَ افْتَرَقَ الْمُتَمَتِّعُ وَالْمُعْتَمِرُ؟</w:t>
      </w:r>
    </w:p>
    <w:p w:rsidR="00744A1C" w:rsidRDefault="00744A1C" w:rsidP="00744A1C">
      <w:pPr>
        <w:pStyle w:val="libNormal"/>
        <w:rPr>
          <w:lang w:bidi="fa-IR"/>
        </w:rPr>
      </w:pPr>
      <w:r>
        <w:rPr>
          <w:rtl/>
          <w:lang w:bidi="fa-IR"/>
        </w:rPr>
        <w:t xml:space="preserve">فَقَالَ </w:t>
      </w:r>
      <w:r w:rsidRPr="00D10E3C">
        <w:rPr>
          <w:rStyle w:val="libFootnotenumChar"/>
          <w:rtl/>
        </w:rPr>
        <w:t>(2)</w:t>
      </w:r>
      <w:r>
        <w:rPr>
          <w:rtl/>
          <w:lang w:bidi="fa-IR"/>
        </w:rPr>
        <w:t xml:space="preserve"> : « إِنَّ الْمُتَمَتِّعَ مُرْتَبِطٌ بِالْحَجِّ ، وَالْمُعْتَمِرَ إِذَا فَرَغَ مِنْهَا ذَهَبَ حَيْثُ شَاءَ ، وَقَدِ اعْتَمَرَ الْحُسَيْنُ </w:t>
      </w:r>
      <w:r w:rsidRPr="00D10E3C">
        <w:rPr>
          <w:rStyle w:val="libFootnotenumChar"/>
          <w:rtl/>
        </w:rPr>
        <w:t>(3)</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فِي ذِي الْحِجَّةِ ، ثُمَّ رَاحَ يَوْمَ التَّرْوِيَةِ إِلَى الْعِرَاقِ ، وَالنَّاسُ يَرُوحُونَ إِلى مِنًى ، وَلَابَأْسَ بِالْعُمْرَةِ فِي ذِي الْحِجَّةِ لِمَنْ لَايُرِيدُ الْحَجَّ ». </w:t>
      </w:r>
      <w:r w:rsidRPr="00D10E3C">
        <w:rPr>
          <w:rStyle w:val="libFootnotenumChar"/>
          <w:rtl/>
        </w:rPr>
        <w:t>(4)</w:t>
      </w:r>
    </w:p>
    <w:p w:rsidR="00744A1C" w:rsidRDefault="00744A1C" w:rsidP="007B641F">
      <w:pPr>
        <w:pStyle w:val="Heading2Center"/>
        <w:rPr>
          <w:lang w:bidi="fa-IR"/>
        </w:rPr>
      </w:pPr>
      <w:bookmarkStart w:id="53" w:name="_Toc49261351"/>
      <w:r>
        <w:rPr>
          <w:rtl/>
          <w:lang w:bidi="fa-IR"/>
        </w:rPr>
        <w:t xml:space="preserve">208 - بَابُ الشُّهُورِ الَّتِي تُسْتَحَبُّ </w:t>
      </w:r>
      <w:r w:rsidRPr="00D10E3C">
        <w:rPr>
          <w:rStyle w:val="libFootnotenumChar"/>
          <w:rtl/>
        </w:rPr>
        <w:t>(5)</w:t>
      </w:r>
      <w:r>
        <w:rPr>
          <w:rtl/>
          <w:lang w:bidi="fa-IR"/>
        </w:rPr>
        <w:t xml:space="preserve"> فِيهَا الْعُمْرَةُ ،</w:t>
      </w:r>
      <w:bookmarkEnd w:id="53"/>
    </w:p>
    <w:p w:rsidR="00744A1C" w:rsidRDefault="00744A1C" w:rsidP="00783F6E">
      <w:pPr>
        <w:pStyle w:val="Heading2Center"/>
        <w:rPr>
          <w:lang w:bidi="fa-IR"/>
        </w:rPr>
      </w:pPr>
      <w:bookmarkStart w:id="54" w:name="_Toc49261352"/>
      <w:r>
        <w:rPr>
          <w:rtl/>
          <w:lang w:bidi="fa-IR"/>
        </w:rPr>
        <w:t>وَمَنْ أَحْرَمَ فِي شَهْرٍ وَأَحَلَّ فِي آخَرَ‌</w:t>
      </w:r>
      <w:bookmarkEnd w:id="54"/>
    </w:p>
    <w:p w:rsidR="00744A1C" w:rsidRDefault="00744A1C" w:rsidP="00744A1C">
      <w:pPr>
        <w:pStyle w:val="libNormal"/>
        <w:rPr>
          <w:lang w:bidi="fa-IR"/>
        </w:rPr>
      </w:pPr>
      <w:r>
        <w:rPr>
          <w:rtl/>
          <w:lang w:bidi="fa-IR"/>
        </w:rPr>
        <w:t>8027 / 1. عِدَّةٌ مِنْ أَصْحَابِنَا ، عَنْ سَهْلِ بْنِ زِيَادٍ ، عَنْ أَحْمَدَ بْنِ مُحَمَّدٍ ، عَنْ حَمَّادِ بْنِ عُثْمَانَ ، عَنِ ال</w:t>
      </w:r>
      <w:r w:rsidR="00783F6E">
        <w:rPr>
          <w:rtl/>
          <w:lang w:bidi="fa-IR"/>
        </w:rPr>
        <w:t>ْوَلِيدِ بْنِ صَبِيحٍ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بَلَغَنَا أَنَّ عُمْرَةً فِي شَهْرِ رَمَضَانَ تَعْدِلُ حَجَّةً.</w:t>
      </w:r>
    </w:p>
    <w:p w:rsidR="00744A1C" w:rsidRDefault="00744A1C" w:rsidP="00D10E3C">
      <w:pPr>
        <w:pStyle w:val="libLine"/>
        <w:rPr>
          <w:lang w:bidi="fa-IR"/>
        </w:rPr>
      </w:pPr>
      <w:r>
        <w:rPr>
          <w:rtl/>
          <w:lang w:bidi="fa-IR"/>
        </w:rPr>
        <w:t>____________________</w:t>
      </w:r>
    </w:p>
    <w:p w:rsidR="00744A1C" w:rsidRDefault="000F2D97" w:rsidP="00D10E3C">
      <w:pPr>
        <w:pStyle w:val="libFootnote0"/>
        <w:rPr>
          <w:lang w:bidi="fa-IR"/>
        </w:rPr>
      </w:pPr>
      <w:r>
        <w:rPr>
          <w:rFonts w:hint="cs"/>
          <w:rtl/>
          <w:lang w:bidi="fa-IR"/>
        </w:rPr>
        <w:t xml:space="preserve">= </w:t>
      </w:r>
      <w:r w:rsidR="00744A1C">
        <w:rPr>
          <w:rtl/>
          <w:lang w:bidi="fa-IR"/>
        </w:rPr>
        <w:t xml:space="preserve">ص 469 ، ح 12340 ؛ </w:t>
      </w:r>
      <w:r w:rsidR="00744A1C" w:rsidRPr="00C24F9C">
        <w:rPr>
          <w:rStyle w:val="libFootnoteBoldChar"/>
          <w:rtl/>
        </w:rPr>
        <w:t>الوسائل</w:t>
      </w:r>
      <w:r w:rsidR="00744A1C">
        <w:rPr>
          <w:rtl/>
          <w:lang w:bidi="fa-IR"/>
        </w:rPr>
        <w:t xml:space="preserve"> ، ج 14 ، ص 310 ، ح 19285 ؛ </w:t>
      </w:r>
      <w:r w:rsidR="00744A1C" w:rsidRPr="0061079A">
        <w:rPr>
          <w:rStyle w:val="libFootnoteBoldChar"/>
          <w:rtl/>
        </w:rPr>
        <w:t>البحار</w:t>
      </w:r>
      <w:r w:rsidR="00744A1C">
        <w:rPr>
          <w:rtl/>
          <w:lang w:bidi="fa-IR"/>
        </w:rPr>
        <w:t xml:space="preserve"> ، ج 45 ، ص 85 ، من قوله : « فإنّ الحسين بن عليّ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D10E3C" w:rsidP="00D10E3C">
      <w:pPr>
        <w:pStyle w:val="libFootnote0"/>
        <w:rPr>
          <w:lang w:bidi="fa-IR"/>
        </w:rPr>
      </w:pPr>
      <w:r>
        <w:rPr>
          <w:rtl/>
          <w:lang w:bidi="fa-IR"/>
        </w:rPr>
        <w:t>(1).</w:t>
      </w:r>
      <w:r w:rsidR="00744A1C">
        <w:rPr>
          <w:rtl/>
          <w:lang w:bidi="fa-IR"/>
        </w:rPr>
        <w:t xml:space="preserve"> في </w:t>
      </w:r>
      <w:r w:rsidR="00744A1C" w:rsidRPr="0061079A">
        <w:rPr>
          <w:rStyle w:val="libFootnoteBoldChar"/>
          <w:rtl/>
        </w:rPr>
        <w:t>البحار</w:t>
      </w:r>
      <w:r w:rsidR="00744A1C">
        <w:rPr>
          <w:rtl/>
          <w:lang w:bidi="fa-IR"/>
        </w:rPr>
        <w:t xml:space="preserve"> : - « عن أبيه ». وهو سهو ؛ فقد روى عليّ بن إبراهيم عن أبيه عن إسماعيل بن مرّار في غير واحدٍمن الأسناد ، ولم يثبت رواية عليّ عن إسماعيل بن مرّار مباشرة. راجع : </w:t>
      </w:r>
      <w:r w:rsidR="00744A1C" w:rsidRPr="0061079A">
        <w:rPr>
          <w:rStyle w:val="libFootnoteBoldChar"/>
          <w:rtl/>
        </w:rPr>
        <w:t>معجم رجال الحديث</w:t>
      </w:r>
      <w:r w:rsidR="00744A1C">
        <w:rPr>
          <w:rtl/>
          <w:lang w:bidi="fa-IR"/>
        </w:rPr>
        <w:t xml:space="preserve"> ، ج 1 ، ص 502 - 505.</w:t>
      </w:r>
    </w:p>
    <w:p w:rsidR="00744A1C" w:rsidRDefault="00744A1C" w:rsidP="00D10E3C">
      <w:pPr>
        <w:pStyle w:val="libFootnote0"/>
        <w:rPr>
          <w:lang w:bidi="fa-IR"/>
        </w:rPr>
      </w:pPr>
      <w:r>
        <w:rPr>
          <w:rtl/>
          <w:lang w:bidi="fa-IR"/>
        </w:rPr>
        <w:t xml:space="preserve">أضف إلى ذلك ما ورد في </w:t>
      </w:r>
      <w:r w:rsidRPr="0061079A">
        <w:rPr>
          <w:rStyle w:val="libFootnoteBoldChar"/>
          <w:rtl/>
        </w:rPr>
        <w:t>رجال الطوسي</w:t>
      </w:r>
      <w:r>
        <w:rPr>
          <w:rtl/>
          <w:lang w:bidi="fa-IR"/>
        </w:rPr>
        <w:t xml:space="preserve"> ، ص 412 ، الرقم 5972 ، من أنّه قال : « إسماعيل بن مرّار ، روى عن يونس بن عبدالرحمن ، روى عنه إبراهيم بن هاشم ».</w:t>
      </w:r>
    </w:p>
    <w:p w:rsidR="00744A1C" w:rsidRDefault="00E378DD" w:rsidP="00E378DD">
      <w:pPr>
        <w:pStyle w:val="libFootnote0"/>
        <w:rPr>
          <w:lang w:bidi="fa-IR"/>
        </w:rPr>
      </w:pPr>
      <w:r>
        <w:rPr>
          <w:rtl/>
          <w:lang w:bidi="fa-IR"/>
        </w:rPr>
        <w:t>(2).</w:t>
      </w:r>
      <w:r w:rsidR="00744A1C">
        <w:rPr>
          <w:rtl/>
          <w:lang w:bidi="fa-IR"/>
        </w:rPr>
        <w:t xml:space="preserve"> في </w:t>
      </w:r>
      <w:r w:rsidR="00744A1C" w:rsidRPr="0061079A">
        <w:rPr>
          <w:rStyle w:val="libFootnoteBoldChar"/>
          <w:rtl/>
        </w:rPr>
        <w:t>البحار</w:t>
      </w:r>
      <w:r w:rsidR="00744A1C">
        <w:rPr>
          <w:rtl/>
          <w:lang w:bidi="fa-IR"/>
        </w:rPr>
        <w:t xml:space="preserve"> :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قال » بدل « قال : قلت لأبي عبد الله </w:t>
      </w:r>
      <w:r w:rsidR="0061079A" w:rsidRPr="0061079A">
        <w:rPr>
          <w:rStyle w:val="libFootnoteAlaemChar"/>
          <w:rtl/>
        </w:rPr>
        <w:t>عليه‌السلام</w:t>
      </w:r>
      <w:r w:rsidR="00D10E3C">
        <w:rPr>
          <w:rtl/>
          <w:lang w:bidi="fa-IR"/>
        </w:rPr>
        <w:t xml:space="preserve"> </w:t>
      </w:r>
      <w:r w:rsidR="00744A1C">
        <w:rPr>
          <w:rtl/>
          <w:lang w:bidi="fa-IR"/>
        </w:rPr>
        <w:t>: من أين افترق المتمتّع والمعتمر فقال ».</w:t>
      </w:r>
    </w:p>
    <w:p w:rsidR="00744A1C" w:rsidRDefault="00E378DD" w:rsidP="00E378DD">
      <w:pPr>
        <w:pStyle w:val="libFootnote0"/>
        <w:rPr>
          <w:lang w:bidi="fa-IR"/>
        </w:rPr>
      </w:pPr>
      <w:r>
        <w:rPr>
          <w:rtl/>
          <w:lang w:bidi="fa-IR"/>
        </w:rPr>
        <w:t>(3).</w:t>
      </w:r>
      <w:r w:rsidR="00744A1C">
        <w:rPr>
          <w:rtl/>
          <w:lang w:bidi="fa-IR"/>
        </w:rPr>
        <w:t xml:space="preserve"> هكذا في معظم النسخ التي قوبلت </w:t>
      </w:r>
      <w:r w:rsidR="00744A1C" w:rsidRPr="00B03098">
        <w:rPr>
          <w:rtl/>
        </w:rPr>
        <w:t>والوسائل والبحار والاستبصار</w:t>
      </w:r>
      <w:r w:rsidR="00744A1C">
        <w:rPr>
          <w:rtl/>
          <w:lang w:bidi="fa-IR"/>
        </w:rPr>
        <w:t>. وفي « بح » والمطبوع : + « بن عليّ ».</w:t>
      </w:r>
    </w:p>
    <w:p w:rsidR="00744A1C" w:rsidRDefault="00E378DD" w:rsidP="004C4163">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437 ، ح 1519 ؛ </w:t>
      </w:r>
      <w:r w:rsidR="00744A1C" w:rsidRPr="00C24F9C">
        <w:rPr>
          <w:rStyle w:val="libFootnoteBoldChar"/>
          <w:rtl/>
        </w:rPr>
        <w:t>والاستبصار</w:t>
      </w:r>
      <w:r w:rsidR="00744A1C">
        <w:rPr>
          <w:rtl/>
          <w:lang w:bidi="fa-IR"/>
        </w:rPr>
        <w:t xml:space="preserve"> ، ج 2 ، ص 328 ، ح 1163 ، معلّقاً عن الكليني</w:t>
      </w:r>
      <w:r w:rsidR="004C4163">
        <w:rPr>
          <w:rFonts w:hint="cs"/>
          <w:rtl/>
          <w:lang w:bidi="fa-IR"/>
        </w:rPr>
        <w:t>.</w:t>
      </w:r>
      <w:r w:rsidR="00744A1C" w:rsidRPr="00C24F9C">
        <w:rPr>
          <w:rStyle w:val="libFootnoteBoldChar"/>
          <w:rtl/>
        </w:rPr>
        <w:t>الوافي</w:t>
      </w:r>
      <w:r w:rsidR="00744A1C">
        <w:rPr>
          <w:rtl/>
          <w:lang w:bidi="fa-IR"/>
        </w:rPr>
        <w:t xml:space="preserve"> ، ج 12 ، ص 470 ، ح 12341 ؛ </w:t>
      </w:r>
      <w:r w:rsidR="00744A1C" w:rsidRPr="00C24F9C">
        <w:rPr>
          <w:rStyle w:val="libFootnoteBoldChar"/>
          <w:rtl/>
        </w:rPr>
        <w:t>الوسائل</w:t>
      </w:r>
      <w:r w:rsidR="00744A1C">
        <w:rPr>
          <w:rtl/>
          <w:lang w:bidi="fa-IR"/>
        </w:rPr>
        <w:t xml:space="preserve"> ، ج 14 ، ص 311 ، ح 19286 ؛ </w:t>
      </w:r>
      <w:r w:rsidR="00744A1C" w:rsidRPr="0061079A">
        <w:rPr>
          <w:rStyle w:val="libFootnoteBoldChar"/>
          <w:rtl/>
        </w:rPr>
        <w:t>البحار</w:t>
      </w:r>
      <w:r w:rsidR="00744A1C">
        <w:rPr>
          <w:rtl/>
          <w:lang w:bidi="fa-IR"/>
        </w:rPr>
        <w:t xml:space="preserve"> ، ج 45 ، ص 85 ، ح 15.</w:t>
      </w:r>
    </w:p>
    <w:p w:rsidR="00744A1C" w:rsidRDefault="00E378DD" w:rsidP="00E378DD">
      <w:pPr>
        <w:pStyle w:val="libFootnote0"/>
        <w:rPr>
          <w:lang w:bidi="fa-IR"/>
        </w:rPr>
      </w:pPr>
      <w:r>
        <w:rPr>
          <w:rtl/>
          <w:lang w:bidi="fa-IR"/>
        </w:rPr>
        <w:t>(5).</w:t>
      </w:r>
      <w:r w:rsidR="00744A1C">
        <w:rPr>
          <w:rtl/>
          <w:lang w:bidi="fa-IR"/>
        </w:rPr>
        <w:t xml:space="preserve"> في « ى ، بث ، بح ، بخ ، بس ، جن » : « يستحبّ ».</w:t>
      </w:r>
    </w:p>
    <w:p w:rsidR="00150943" w:rsidRDefault="00150943" w:rsidP="00D10E3C">
      <w:pPr>
        <w:pStyle w:val="libNormal"/>
        <w:rPr>
          <w:rtl/>
          <w:lang w:bidi="fa-IR"/>
        </w:rPr>
      </w:pPr>
      <w:r>
        <w:rPr>
          <w:rtl/>
          <w:lang w:bidi="fa-IR"/>
        </w:rPr>
        <w:br w:type="page"/>
      </w:r>
    </w:p>
    <w:p w:rsidR="00744A1C" w:rsidRDefault="00744A1C" w:rsidP="006D770B">
      <w:pPr>
        <w:pStyle w:val="libNormal"/>
        <w:rPr>
          <w:lang w:bidi="fa-IR"/>
        </w:rPr>
      </w:pPr>
      <w:r>
        <w:rPr>
          <w:rtl/>
          <w:lang w:bidi="fa-IR"/>
        </w:rPr>
        <w:lastRenderedPageBreak/>
        <w:t xml:space="preserve">فَقَالَ : « إِنَّمَا كَانَ ذلِكَ فِي امْرَأَةٍ وَعَدَهَا رَسُولُ اللهِ </w:t>
      </w:r>
      <w:r w:rsidR="006D770B" w:rsidRPr="006D770B">
        <w:rPr>
          <w:rStyle w:val="libAlaemChar"/>
          <w:rFonts w:eastAsiaTheme="minorHAnsi"/>
          <w:rtl/>
        </w:rPr>
        <w:t>صلى‌الله‌عليه‌وآله</w:t>
      </w:r>
      <w:r w:rsidR="006D770B" w:rsidRPr="0041234E">
        <w:rPr>
          <w:rFonts w:eastAsiaTheme="minorHAnsi"/>
          <w:rtl/>
        </w:rPr>
        <w:t xml:space="preserve"> </w:t>
      </w:r>
      <w:r>
        <w:rPr>
          <w:rtl/>
          <w:lang w:bidi="fa-IR"/>
        </w:rPr>
        <w:t xml:space="preserve">، فَقَالَ لَهَا : اعْتَمِرِي فِي شَهْرِ رَمَضَانَ ، فَهِيَ </w:t>
      </w:r>
      <w:r w:rsidRPr="00D10E3C">
        <w:rPr>
          <w:rStyle w:val="libFootnotenumChar"/>
          <w:rtl/>
        </w:rPr>
        <w:t>(1)</w:t>
      </w:r>
      <w:r>
        <w:rPr>
          <w:rtl/>
          <w:lang w:bidi="fa-IR"/>
        </w:rPr>
        <w:t xml:space="preserve"> لَكِ حَجَّةٌ </w:t>
      </w:r>
      <w:r w:rsidRPr="00D10E3C">
        <w:rPr>
          <w:rStyle w:val="libFootnotenumChar"/>
          <w:rtl/>
        </w:rPr>
        <w:t>(2)</w:t>
      </w:r>
      <w:r>
        <w:rPr>
          <w:rtl/>
          <w:lang w:bidi="fa-IR"/>
        </w:rPr>
        <w:t xml:space="preserve"> ». </w:t>
      </w:r>
      <w:r w:rsidRPr="00D10E3C">
        <w:rPr>
          <w:rStyle w:val="libFootnotenumChar"/>
          <w:rtl/>
        </w:rPr>
        <w:t>(3)</w:t>
      </w:r>
    </w:p>
    <w:p w:rsidR="00744A1C" w:rsidRDefault="00744A1C" w:rsidP="00AE16AF">
      <w:pPr>
        <w:pStyle w:val="libNormal"/>
        <w:rPr>
          <w:lang w:bidi="fa-IR"/>
        </w:rPr>
      </w:pPr>
      <w:r>
        <w:rPr>
          <w:rtl/>
          <w:lang w:bidi="fa-IR"/>
        </w:rPr>
        <w:t>8028 / 2. عِدَّةٌ مِنْ أَصْحَابِنَا ، عَنْ سَهْلِ بْنِ زِيَادٍ وَأَحْمَدَ بْنِ مُحَمَّدٍ جَمِيعاً ، عَنْ عَلِيِّ بْنِ مَهْزِيَارَ ، عَنْ عَلِيِّ بْنِ حَدِيدٍ ، قَالَ :</w:t>
      </w:r>
    </w:p>
    <w:p w:rsidR="00744A1C" w:rsidRDefault="00744A1C" w:rsidP="00744A1C">
      <w:pPr>
        <w:pStyle w:val="libNormal"/>
        <w:rPr>
          <w:lang w:bidi="fa-IR"/>
        </w:rPr>
      </w:pPr>
      <w:r>
        <w:rPr>
          <w:rtl/>
          <w:lang w:bidi="fa-IR"/>
        </w:rPr>
        <w:t xml:space="preserve">كُنْتُ مُقِيماً بِالْمَدِينَةِ فِي شَهْرِ رَمَضَانَ </w:t>
      </w:r>
      <w:r w:rsidRPr="00D10E3C">
        <w:rPr>
          <w:rStyle w:val="libFootnotenumChar"/>
          <w:rtl/>
        </w:rPr>
        <w:t>(4)</w:t>
      </w:r>
      <w:r>
        <w:rPr>
          <w:rtl/>
          <w:lang w:bidi="fa-IR"/>
        </w:rPr>
        <w:t xml:space="preserve"> سَنَةَ ثَلَاثَ عَشْرَةَ وَمِائَتَيْنِ ، فَلَمَّا قَرُبَ الْفِطْرُ ، كَتَبْتُ إِلى أَبِي جَعْفَرٍ </w:t>
      </w:r>
      <w:r w:rsidR="0061079A" w:rsidRPr="0061079A">
        <w:rPr>
          <w:rStyle w:val="libAlaemChar"/>
          <w:rtl/>
        </w:rPr>
        <w:t>عليه‌السلام</w:t>
      </w:r>
      <w:r w:rsidR="00D10E3C">
        <w:rPr>
          <w:rtl/>
          <w:lang w:bidi="fa-IR"/>
        </w:rPr>
        <w:t xml:space="preserve"> </w:t>
      </w:r>
      <w:r>
        <w:rPr>
          <w:rtl/>
          <w:lang w:bidi="fa-IR"/>
        </w:rPr>
        <w:t xml:space="preserve">أَسْأَلُهُ عَنِ الْخُرُوجُ فِي عُمْرَةِ </w:t>
      </w:r>
      <w:r w:rsidRPr="00D10E3C">
        <w:rPr>
          <w:rStyle w:val="libFootnotenumChar"/>
          <w:rtl/>
        </w:rPr>
        <w:t>(5)</w:t>
      </w:r>
      <w:r>
        <w:rPr>
          <w:rtl/>
          <w:lang w:bidi="fa-IR"/>
        </w:rPr>
        <w:t xml:space="preserve"> شَهْرِ رَمَضَانَ أَفْضَلُ ، أَوْ أُقِيمُ حَتّى يَنْقَضِيَ الشَّهْرُ ، وَأُتِمَّ صَوْمِي؟</w:t>
      </w:r>
    </w:p>
    <w:p w:rsidR="00744A1C" w:rsidRDefault="00744A1C" w:rsidP="00744A1C">
      <w:pPr>
        <w:pStyle w:val="libNormal"/>
        <w:rPr>
          <w:rtl/>
          <w:lang w:bidi="fa-IR"/>
        </w:rPr>
      </w:pPr>
      <w:r>
        <w:rPr>
          <w:rtl/>
          <w:lang w:bidi="fa-IR"/>
        </w:rPr>
        <w:t xml:space="preserve">فَكَتَبَ إِلَيَّ كِتَاباً قَرَأْتُهُ بِخَطِّهِ : « سَأَلْتَ رَحِمَكَ </w:t>
      </w:r>
      <w:r w:rsidRPr="00D10E3C">
        <w:rPr>
          <w:rStyle w:val="libFootnotenumChar"/>
          <w:rtl/>
        </w:rPr>
        <w:t>(6)</w:t>
      </w:r>
      <w:r>
        <w:rPr>
          <w:rtl/>
          <w:lang w:bidi="fa-IR"/>
        </w:rPr>
        <w:t xml:space="preserve"> اللهُ عَنْ أَيُّ الْعُمْرَةِ </w:t>
      </w:r>
      <w:r w:rsidRPr="00D10E3C">
        <w:rPr>
          <w:rStyle w:val="libFootnotenumChar"/>
          <w:rtl/>
        </w:rPr>
        <w:t>(7)</w:t>
      </w:r>
      <w:r>
        <w:rPr>
          <w:rtl/>
          <w:lang w:bidi="fa-IR"/>
        </w:rPr>
        <w:t xml:space="preserve"> أَفْضَلُ؟ عُمْرَةُ شَهْرِ رَمَضَانَ أَفْضَلُ ؛ يَرْحَمُكَ اللهُ </w:t>
      </w:r>
      <w:r w:rsidRPr="00D10E3C">
        <w:rPr>
          <w:rStyle w:val="libFootnotenumChar"/>
          <w:rtl/>
        </w:rPr>
        <w:t>(8)</w:t>
      </w:r>
      <w:r>
        <w:rPr>
          <w:rtl/>
          <w:lang w:bidi="fa-IR"/>
        </w:rPr>
        <w:t xml:space="preserve"> ». </w:t>
      </w:r>
      <w:r w:rsidRPr="00D10E3C">
        <w:rPr>
          <w:rStyle w:val="libFootnotenumChar"/>
          <w:rtl/>
        </w:rPr>
        <w:t>(9)</w:t>
      </w:r>
    </w:p>
    <w:p w:rsidR="00144FA6" w:rsidRDefault="00744A1C" w:rsidP="00744A1C">
      <w:pPr>
        <w:pStyle w:val="libNormal"/>
        <w:rPr>
          <w:rtl/>
          <w:lang w:bidi="fa-IR"/>
        </w:rPr>
      </w:pPr>
      <w:r>
        <w:rPr>
          <w:rtl/>
          <w:lang w:bidi="fa-IR"/>
        </w:rPr>
        <w:t>8029 / 3. مُحَمَّدُ بْنُ يَحْيى ، عَنْ أَحْمَدَ بْنِ مُحَمَّدٍ ، عَنِ ابْنِ فَضَّالٍ ، عَنِ ابْنِ بُكَيْرٍ ، عَنْ عِيسَى الْفَرَّاءِ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أَهَلَّ بِالْعُمْرَةِ فِي رَجَبٍ ، وَأَحَلَّ فِي غَيْرِهِ ، كَانَتْ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بح ، بخ ، بس ، جن » </w:t>
      </w:r>
      <w:r w:rsidR="00744A1C" w:rsidRPr="00024D6D">
        <w:rPr>
          <w:rtl/>
        </w:rPr>
        <w:t>والوسائل</w:t>
      </w:r>
      <w:r w:rsidR="00744A1C">
        <w:rPr>
          <w:rtl/>
          <w:lang w:bidi="fa-IR"/>
        </w:rPr>
        <w:t xml:space="preserve"> : « فهو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18 ، ص 235 : « ظاهره اختصاص فضل عمرة شهر رمضان بتلك </w:t>
      </w:r>
      <w:r w:rsidR="00744A1C" w:rsidRPr="00024D6D">
        <w:rPr>
          <w:rtl/>
        </w:rPr>
        <w:t>المرأة</w:t>
      </w:r>
      <w:r w:rsidR="00744A1C">
        <w:rPr>
          <w:rtl/>
          <w:lang w:bidi="fa-IR"/>
        </w:rPr>
        <w:t xml:space="preserve"> لوعد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وضمانه لها ، ويكون الخبر الآتي محمولاً على التقيّة ، ويمكن أن تكون قصّة </w:t>
      </w:r>
      <w:r w:rsidR="00744A1C" w:rsidRPr="00B03098">
        <w:rPr>
          <w:rStyle w:val="libFootnoteBoldChar"/>
          <w:rtl/>
        </w:rPr>
        <w:t>المرأة لبيان</w:t>
      </w:r>
      <w:r w:rsidR="00744A1C">
        <w:rPr>
          <w:rtl/>
          <w:lang w:bidi="fa-IR"/>
        </w:rPr>
        <w:t xml:space="preserve"> حصول هذا الفضل وعلّته ، واستمرّ بعد ذلك لغيرها ، ولعلّ الأوّل أظهر ».</w:t>
      </w:r>
    </w:p>
    <w:p w:rsidR="00744A1C" w:rsidRDefault="00E378DD" w:rsidP="00E378DD">
      <w:pPr>
        <w:pStyle w:val="libFootnote0"/>
        <w:rPr>
          <w:lang w:bidi="fa-IR"/>
        </w:rPr>
      </w:pPr>
      <w:r>
        <w:rPr>
          <w:rtl/>
          <w:lang w:bidi="fa-IR"/>
        </w:rPr>
        <w:t>(3).</w:t>
      </w:r>
      <w:r w:rsidR="00744A1C">
        <w:rPr>
          <w:rtl/>
          <w:lang w:bidi="fa-IR"/>
        </w:rPr>
        <w:t xml:space="preserve"> </w:t>
      </w:r>
      <w:r w:rsidR="00744A1C" w:rsidRPr="00877682">
        <w:rPr>
          <w:rStyle w:val="libFootnoteBoldChar"/>
          <w:rtl/>
        </w:rPr>
        <w:t>الجعفريّات</w:t>
      </w:r>
      <w:r w:rsidR="00744A1C">
        <w:rPr>
          <w:rtl/>
          <w:lang w:bidi="fa-IR"/>
        </w:rPr>
        <w:t xml:space="preserve"> ، ص 67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024D6D">
        <w:rPr>
          <w:rtl/>
          <w:lang w:bidi="fa-IR"/>
        </w:rPr>
        <w:t>، وتمام الرواية فيه</w:t>
      </w:r>
      <w:r w:rsidR="00744A1C">
        <w:rPr>
          <w:rtl/>
          <w:lang w:bidi="fa-IR"/>
        </w:rPr>
        <w:t xml:space="preserve">: « قال رسول الله </w:t>
      </w:r>
      <w:r w:rsidR="00024D6D" w:rsidRPr="00024D6D">
        <w:rPr>
          <w:rStyle w:val="libFootnoteAlaemChar"/>
          <w:rtl/>
        </w:rPr>
        <w:t>صلى‌الله‌عليه‌وآله</w:t>
      </w:r>
      <w:r w:rsidR="00D10E3C">
        <w:rPr>
          <w:rtl/>
          <w:lang w:bidi="fa-IR"/>
        </w:rPr>
        <w:t xml:space="preserve"> </w:t>
      </w:r>
      <w:r w:rsidR="00024D6D">
        <w:rPr>
          <w:rFonts w:hint="cs"/>
          <w:rtl/>
          <w:lang w:bidi="fa-IR"/>
        </w:rPr>
        <w:t>ل</w:t>
      </w:r>
      <w:r w:rsidR="00744A1C">
        <w:rPr>
          <w:rtl/>
          <w:lang w:bidi="fa-IR"/>
        </w:rPr>
        <w:t>ا</w:t>
      </w:r>
      <w:r w:rsidR="00024D6D">
        <w:rPr>
          <w:rFonts w:hint="cs"/>
          <w:rtl/>
          <w:lang w:bidi="fa-IR"/>
        </w:rPr>
        <w:t>ُ</w:t>
      </w:r>
      <w:r w:rsidR="00744A1C">
        <w:rPr>
          <w:rtl/>
          <w:lang w:bidi="fa-IR"/>
        </w:rPr>
        <w:t xml:space="preserve">مّ معقل - وقد كانت قد فاتها الحجّ - : اعتمري في شهر رمضان ، فإنّ عمرة فيه تعدل حجّة » </w:t>
      </w:r>
      <w:r w:rsidR="00024D6D">
        <w:rPr>
          <w:rFonts w:hint="cs"/>
          <w:rtl/>
          <w:lang w:bidi="fa-IR"/>
        </w:rPr>
        <w:t>.</w:t>
      </w:r>
      <w:r w:rsidR="00744A1C" w:rsidRPr="00C24F9C">
        <w:rPr>
          <w:rStyle w:val="libFootnoteBoldChar"/>
          <w:rtl/>
        </w:rPr>
        <w:t>الوافي</w:t>
      </w:r>
      <w:r w:rsidR="00744A1C">
        <w:rPr>
          <w:rtl/>
          <w:lang w:bidi="fa-IR"/>
        </w:rPr>
        <w:t xml:space="preserve"> ، ج 12 ، ص 445 ، ح 12286 ؛ </w:t>
      </w:r>
      <w:r w:rsidR="00744A1C" w:rsidRPr="00C24F9C">
        <w:rPr>
          <w:rStyle w:val="libFootnoteBoldChar"/>
          <w:rtl/>
        </w:rPr>
        <w:t>الوسائل</w:t>
      </w:r>
      <w:r w:rsidR="00744A1C">
        <w:rPr>
          <w:rtl/>
          <w:lang w:bidi="fa-IR"/>
        </w:rPr>
        <w:t xml:space="preserve"> ، ج 14 ، ص 304 ، ح 19262.</w:t>
      </w:r>
    </w:p>
    <w:tbl>
      <w:tblPr>
        <w:tblStyle w:val="TableGrid"/>
        <w:bidiVisual/>
        <w:tblW w:w="0" w:type="auto"/>
        <w:tblLook w:val="04A0" w:firstRow="1" w:lastRow="0" w:firstColumn="1" w:lastColumn="0" w:noHBand="0" w:noVBand="1"/>
      </w:tblPr>
      <w:tblGrid>
        <w:gridCol w:w="4006"/>
        <w:gridCol w:w="4006"/>
      </w:tblGrid>
      <w:tr w:rsidR="00024D6D" w:rsidTr="00024D6D">
        <w:tc>
          <w:tcPr>
            <w:tcW w:w="4006" w:type="dxa"/>
          </w:tcPr>
          <w:p w:rsidR="00024D6D" w:rsidRDefault="00024D6D" w:rsidP="00E378DD">
            <w:pPr>
              <w:pStyle w:val="libFootnote0"/>
              <w:rPr>
                <w:rtl/>
                <w:lang w:bidi="fa-IR"/>
              </w:rPr>
            </w:pPr>
            <w:r>
              <w:rPr>
                <w:rtl/>
                <w:lang w:bidi="fa-IR"/>
              </w:rPr>
              <w:t>(4). في « بح » : - « شهر رمضان ».</w:t>
            </w:r>
          </w:p>
        </w:tc>
        <w:tc>
          <w:tcPr>
            <w:tcW w:w="4006" w:type="dxa"/>
          </w:tcPr>
          <w:p w:rsidR="00024D6D" w:rsidRDefault="00024D6D" w:rsidP="00E378DD">
            <w:pPr>
              <w:pStyle w:val="libFootnote0"/>
              <w:rPr>
                <w:rtl/>
                <w:lang w:bidi="fa-IR"/>
              </w:rPr>
            </w:pPr>
            <w:r>
              <w:rPr>
                <w:rtl/>
                <w:lang w:bidi="fa-IR"/>
              </w:rPr>
              <w:t xml:space="preserve">(5). في </w:t>
            </w:r>
            <w:r w:rsidRPr="00024D6D">
              <w:rPr>
                <w:rtl/>
              </w:rPr>
              <w:t>الوسائل</w:t>
            </w:r>
            <w:r>
              <w:rPr>
                <w:rtl/>
                <w:lang w:bidi="fa-IR"/>
              </w:rPr>
              <w:t xml:space="preserve"> : - « عمرة ».</w:t>
            </w:r>
          </w:p>
        </w:tc>
      </w:tr>
      <w:tr w:rsidR="00024D6D" w:rsidTr="00024D6D">
        <w:tc>
          <w:tcPr>
            <w:tcW w:w="4006" w:type="dxa"/>
          </w:tcPr>
          <w:p w:rsidR="00024D6D" w:rsidRDefault="00024D6D" w:rsidP="00E378DD">
            <w:pPr>
              <w:pStyle w:val="libFootnote0"/>
              <w:rPr>
                <w:rtl/>
                <w:lang w:bidi="fa-IR"/>
              </w:rPr>
            </w:pPr>
            <w:r>
              <w:rPr>
                <w:rtl/>
                <w:lang w:bidi="fa-IR"/>
              </w:rPr>
              <w:t>(6). في «بح ، بخ ،بس ،بف » و</w:t>
            </w:r>
            <w:r w:rsidRPr="00C24F9C">
              <w:rPr>
                <w:rStyle w:val="libFootnoteBoldChar"/>
                <w:rtl/>
              </w:rPr>
              <w:t>الوافي</w:t>
            </w:r>
            <w:r>
              <w:rPr>
                <w:rtl/>
                <w:lang w:bidi="fa-IR"/>
              </w:rPr>
              <w:t>:«يرحمك».</w:t>
            </w:r>
          </w:p>
        </w:tc>
        <w:tc>
          <w:tcPr>
            <w:tcW w:w="4006" w:type="dxa"/>
          </w:tcPr>
          <w:p w:rsidR="00024D6D" w:rsidRDefault="00024D6D" w:rsidP="00E378DD">
            <w:pPr>
              <w:pStyle w:val="libFootnote0"/>
              <w:rPr>
                <w:rtl/>
                <w:lang w:bidi="fa-IR"/>
              </w:rPr>
            </w:pPr>
            <w:r>
              <w:rPr>
                <w:rtl/>
                <w:lang w:bidi="fa-IR"/>
              </w:rPr>
              <w:t>(7). في « بح » : « عمرة ».</w:t>
            </w:r>
          </w:p>
        </w:tc>
      </w:tr>
    </w:tbl>
    <w:p w:rsidR="00744A1C" w:rsidRDefault="00E378DD" w:rsidP="00E378DD">
      <w:pPr>
        <w:pStyle w:val="libFootnote0"/>
        <w:rPr>
          <w:lang w:bidi="fa-IR"/>
        </w:rPr>
      </w:pPr>
      <w:r>
        <w:rPr>
          <w:rtl/>
          <w:lang w:bidi="fa-IR"/>
        </w:rPr>
        <w:t>(8).</w:t>
      </w:r>
      <w:r w:rsidR="00744A1C">
        <w:rPr>
          <w:rtl/>
          <w:lang w:bidi="fa-IR"/>
        </w:rPr>
        <w:t xml:space="preserve"> 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 هذا الحديث وما قبله وبعده [ أي ا</w:t>
      </w:r>
      <w:r w:rsidR="00024D6D">
        <w:rPr>
          <w:rtl/>
          <w:lang w:bidi="fa-IR"/>
        </w:rPr>
        <w:t>لحديث الأوّل والحديث الرابع هنا</w:t>
      </w:r>
      <w:r w:rsidR="00744A1C">
        <w:rPr>
          <w:rtl/>
          <w:lang w:bidi="fa-IR"/>
        </w:rPr>
        <w:t>] يمكن أن يشمل ما لو أراد الحاجّ الاكتفاء بهذه العمرة عن عمرة التمتّع ، بأن يعتمر في رجب أو رمضان ، ويقيم بمكّة إلى موسم الحجّ ، فيحجّ حجّاً مفرداً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12 ، ص 445 ، ح 12285 ؛ </w:t>
      </w:r>
      <w:r w:rsidR="00744A1C" w:rsidRPr="00C24F9C">
        <w:rPr>
          <w:rStyle w:val="libFootnoteBoldChar"/>
          <w:rtl/>
        </w:rPr>
        <w:t>الوسائل</w:t>
      </w:r>
      <w:r w:rsidR="00744A1C">
        <w:rPr>
          <w:rtl/>
          <w:lang w:bidi="fa-IR"/>
        </w:rPr>
        <w:t xml:space="preserve"> ، ج 14 ، ص 304 ، ح 19263.</w:t>
      </w:r>
    </w:p>
    <w:p w:rsidR="00744A1C" w:rsidRDefault="00E378DD" w:rsidP="00E378DD">
      <w:pPr>
        <w:pStyle w:val="libFootnote0"/>
        <w:rPr>
          <w:lang w:bidi="fa-IR"/>
        </w:rPr>
      </w:pPr>
      <w:r>
        <w:rPr>
          <w:rtl/>
          <w:lang w:bidi="fa-IR"/>
        </w:rPr>
        <w:t>(10).</w:t>
      </w:r>
      <w:r w:rsidR="00744A1C">
        <w:rPr>
          <w:rtl/>
          <w:lang w:bidi="fa-IR"/>
        </w:rPr>
        <w:t xml:space="preserve"> في « بف » : « فكانت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عُمْرَتُهُ لِرَجَبٍ ، وَإِذَا أَهَلَّ فِي غَيْرِ رَجَبٍ ، وَطَافَ فِي رَجَبٍ ، فَعُمْرَتُهُ لِرَجَبٍ ». </w:t>
      </w:r>
      <w:r w:rsidRPr="00D10E3C">
        <w:rPr>
          <w:rStyle w:val="libFootnotenumChar"/>
          <w:rtl/>
        </w:rPr>
        <w:t>(1)</w:t>
      </w:r>
    </w:p>
    <w:p w:rsidR="00144FA6" w:rsidRDefault="00744A1C" w:rsidP="00744A1C">
      <w:pPr>
        <w:pStyle w:val="libNormal"/>
        <w:rPr>
          <w:rtl/>
          <w:lang w:bidi="fa-IR"/>
        </w:rPr>
      </w:pPr>
      <w:r>
        <w:rPr>
          <w:rtl/>
          <w:lang w:bidi="fa-IR"/>
        </w:rPr>
        <w:t>8030 / 4. الْحُسَيْنُ بْنُ مُحَمَّدٍ ، عَنْ مُعَلَّى بْنِ مُحَمَّدٍ ، عَنِ الْحَسَنِ بْنِ عَلِيٍّ ، عَنْ حَمَّادِ بْنِ عُثْمَانَ ، قَالَ :</w:t>
      </w:r>
    </w:p>
    <w:p w:rsidR="00144FA6" w:rsidRDefault="00744A1C" w:rsidP="00744A1C">
      <w:pPr>
        <w:pStyle w:val="libNormal"/>
        <w:rPr>
          <w:rtl/>
          <w:lang w:bidi="fa-IR"/>
        </w:rPr>
      </w:pPr>
      <w:r>
        <w:rPr>
          <w:rtl/>
          <w:lang w:bidi="fa-IR"/>
        </w:rPr>
        <w:t xml:space="preserve">كَانَ أَبُو عَبْدِ اللهِ </w:t>
      </w:r>
      <w:r w:rsidR="0061079A" w:rsidRPr="0061079A">
        <w:rPr>
          <w:rStyle w:val="libAlaemChar"/>
          <w:rtl/>
        </w:rPr>
        <w:t>عليه‌السلام</w:t>
      </w:r>
      <w:r w:rsidR="00D10E3C">
        <w:rPr>
          <w:rtl/>
          <w:lang w:bidi="fa-IR"/>
        </w:rPr>
        <w:t xml:space="preserve"> </w:t>
      </w:r>
      <w:r>
        <w:rPr>
          <w:rtl/>
          <w:lang w:bidi="fa-IR"/>
        </w:rPr>
        <w:t xml:space="preserve">إِذَا أَرَادَ الْعُمْرَةَ ، انْتَظَرَ إِلى صَبِيحَةِ ثَلَاثٍ وَعِشْرِينَ مِنْ شَهْرِ رَمَضَانَ </w:t>
      </w:r>
      <w:r w:rsidRPr="00D10E3C">
        <w:rPr>
          <w:rStyle w:val="libFootnotenumChar"/>
          <w:rtl/>
        </w:rPr>
        <w:t>(2)</w:t>
      </w:r>
      <w:r w:rsidR="00F90866">
        <w:rPr>
          <w:rtl/>
          <w:lang w:bidi="fa-IR"/>
        </w:rPr>
        <w:t xml:space="preserve"> ، ثُمَّ يَخْرُجُ مُهِل</w:t>
      </w:r>
      <w:r w:rsidR="00F90866">
        <w:rPr>
          <w:rFonts w:hint="cs"/>
          <w:rtl/>
          <w:lang w:bidi="fa-IR"/>
        </w:rPr>
        <w:t>ّ</w:t>
      </w:r>
      <w:r>
        <w:rPr>
          <w:rtl/>
          <w:lang w:bidi="fa-IR"/>
        </w:rPr>
        <w:t>ا</w:t>
      </w:r>
      <w:r w:rsidR="00F90866">
        <w:rPr>
          <w:rFonts w:hint="cs"/>
          <w:rtl/>
          <w:lang w:bidi="fa-IR"/>
        </w:rPr>
        <w:t>ً</w:t>
      </w:r>
      <w:r>
        <w:rPr>
          <w:rtl/>
          <w:lang w:bidi="fa-IR"/>
        </w:rPr>
        <w:t xml:space="preserve"> فِي ذلِكَ الْيَوْمِ. </w:t>
      </w:r>
      <w:r w:rsidRPr="00D10E3C">
        <w:rPr>
          <w:rStyle w:val="libFootnotenumChar"/>
          <w:rtl/>
        </w:rPr>
        <w:t>(3)</w:t>
      </w:r>
    </w:p>
    <w:p w:rsidR="00144FA6" w:rsidRDefault="00744A1C" w:rsidP="00744A1C">
      <w:pPr>
        <w:pStyle w:val="libNormal"/>
        <w:rPr>
          <w:rtl/>
          <w:lang w:bidi="fa-IR"/>
        </w:rPr>
      </w:pPr>
      <w:r>
        <w:rPr>
          <w:rtl/>
          <w:lang w:bidi="fa-IR"/>
        </w:rPr>
        <w:t xml:space="preserve">8031 / 5. عَلِيُّ بْنُ إِبْرَاهِيمَ ، عَنْ أَبِيهِ ، عَنِ ابْنِ أَبِي عُمَيْرٍ ، عَنْ حَفْصِ بْنِ الْبَخْتَرِيِّ ، عَنْ عَبْدِ الرَّحْمنِ بْنِ الْحَجَّاجِ </w:t>
      </w:r>
      <w:r w:rsidRPr="00D10E3C">
        <w:rPr>
          <w:rStyle w:val="libFootnotenumChar"/>
          <w:rtl/>
        </w:rPr>
        <w:t>(4)</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رَجُلٍ أَحْرَمَ فِي شَهْرٍ </w:t>
      </w:r>
      <w:r w:rsidRPr="00D10E3C">
        <w:rPr>
          <w:rStyle w:val="libFootnotenumChar"/>
          <w:rtl/>
        </w:rPr>
        <w:t>(5)</w:t>
      </w:r>
      <w:r>
        <w:rPr>
          <w:rtl/>
          <w:lang w:bidi="fa-IR"/>
        </w:rPr>
        <w:t xml:space="preserve"> ، وَأَحَلَّ فِي آخَرَ ، فَقَالَ </w:t>
      </w:r>
      <w:r w:rsidRPr="00D10E3C">
        <w:rPr>
          <w:rStyle w:val="libFootnotenumChar"/>
          <w:rtl/>
        </w:rPr>
        <w:t>(6)</w:t>
      </w:r>
      <w:r>
        <w:rPr>
          <w:rtl/>
          <w:lang w:bidi="fa-IR"/>
        </w:rPr>
        <w:t xml:space="preserve"> : « يُكْتَبُ </w:t>
      </w:r>
      <w:r w:rsidRPr="00D10E3C">
        <w:rPr>
          <w:rStyle w:val="libFootnotenumChar"/>
          <w:rtl/>
        </w:rPr>
        <w:t>(7)</w:t>
      </w:r>
      <w:r>
        <w:rPr>
          <w:rtl/>
          <w:lang w:bidi="fa-IR"/>
        </w:rPr>
        <w:t xml:space="preserve"> لَهُ </w:t>
      </w:r>
      <w:r w:rsidRPr="00D10E3C">
        <w:rPr>
          <w:rStyle w:val="libFootnotenumChar"/>
          <w:rtl/>
        </w:rPr>
        <w:t>(8)</w:t>
      </w:r>
      <w:r>
        <w:rPr>
          <w:rtl/>
          <w:lang w:bidi="fa-IR"/>
        </w:rPr>
        <w:t xml:space="preserve"> فِي الَّذِي قَدْ نَوى ، أَوْ يُكْتَبُ </w:t>
      </w:r>
      <w:r w:rsidRPr="00D10E3C">
        <w:rPr>
          <w:rStyle w:val="libFootnotenumChar"/>
          <w:rtl/>
        </w:rPr>
        <w:t>(9)</w:t>
      </w:r>
      <w:r>
        <w:rPr>
          <w:rtl/>
          <w:lang w:bidi="fa-IR"/>
        </w:rPr>
        <w:t xml:space="preserve"> لَهُ فِي أَفْضَلِهِمَا </w:t>
      </w:r>
      <w:r w:rsidRPr="00D10E3C">
        <w:rPr>
          <w:rStyle w:val="libFootnotenumChar"/>
          <w:rtl/>
        </w:rPr>
        <w:t>(10)</w:t>
      </w:r>
      <w:r>
        <w:rPr>
          <w:rtl/>
          <w:lang w:bidi="fa-IR"/>
        </w:rPr>
        <w:t xml:space="preserve">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الوافي</w:t>
      </w:r>
      <w:r w:rsidR="00744A1C">
        <w:rPr>
          <w:rtl/>
          <w:lang w:bidi="fa-IR"/>
        </w:rPr>
        <w:t xml:space="preserve"> ، ج 12 ، ص 444 ، ح 12281 ؛ </w:t>
      </w:r>
      <w:r w:rsidR="00744A1C" w:rsidRPr="00C24F9C">
        <w:rPr>
          <w:rStyle w:val="libFootnoteBoldChar"/>
          <w:rtl/>
        </w:rPr>
        <w:t>الوسائل</w:t>
      </w:r>
      <w:r w:rsidR="00744A1C">
        <w:rPr>
          <w:rtl/>
          <w:lang w:bidi="fa-IR"/>
        </w:rPr>
        <w:t xml:space="preserve"> ، ج 14 ، ص 302 ، ح 19256.</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يدلّ على كراهة السفر قبل ثلاث وعشرين ، وإن كان للعمرة كما يدلّ عليه روايات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12 ، ص 445 ، ح 12284 ؛ </w:t>
      </w:r>
      <w:r w:rsidR="00744A1C" w:rsidRPr="00C24F9C">
        <w:rPr>
          <w:rStyle w:val="libFootnoteBoldChar"/>
          <w:rtl/>
        </w:rPr>
        <w:t>الوسائل</w:t>
      </w:r>
      <w:r w:rsidR="00744A1C">
        <w:rPr>
          <w:rtl/>
          <w:lang w:bidi="fa-IR"/>
        </w:rPr>
        <w:t xml:space="preserve"> ، ج 14 ، ص 304 ، ح 19264 ؛ </w:t>
      </w:r>
      <w:r w:rsidR="00744A1C" w:rsidRPr="0061079A">
        <w:rPr>
          <w:rStyle w:val="libFootnoteBoldChar"/>
          <w:rtl/>
        </w:rPr>
        <w:t>البحار</w:t>
      </w:r>
      <w:r w:rsidR="00744A1C">
        <w:rPr>
          <w:rtl/>
          <w:lang w:bidi="fa-IR"/>
        </w:rPr>
        <w:t xml:space="preserve"> ، ج 83 ، ص 118 ، ح 44.</w:t>
      </w:r>
    </w:p>
    <w:p w:rsidR="00744A1C" w:rsidRDefault="00E378DD" w:rsidP="00E378DD">
      <w:pPr>
        <w:pStyle w:val="libFootnote0"/>
        <w:rPr>
          <w:lang w:bidi="fa-IR"/>
        </w:rPr>
      </w:pPr>
      <w:r>
        <w:rPr>
          <w:rtl/>
          <w:lang w:bidi="fa-IR"/>
        </w:rPr>
        <w:t>(4).</w:t>
      </w:r>
      <w:r w:rsidR="00744A1C">
        <w:rPr>
          <w:rtl/>
          <w:lang w:bidi="fa-IR"/>
        </w:rPr>
        <w:t xml:space="preserve"> روى ابن أبي عمير كتاب عبد الرحمن بن الحجّاج وأكثر من الرواية عنه في الأسناد. ولم يثبت رواية حفص بن البختري عن عبد الرحمن بن الحجّاج في شي‌ءٍ من الأسناد. والظاهر وقوع التحريف في السند ، وأنّ الصواب : « وعبد الرحمن بن الحجّاج ». راجع : </w:t>
      </w:r>
      <w:r w:rsidR="00744A1C" w:rsidRPr="003A7143">
        <w:rPr>
          <w:rStyle w:val="libFootnoteBoldChar"/>
          <w:rtl/>
        </w:rPr>
        <w:t>رجال النجاشي</w:t>
      </w:r>
      <w:r w:rsidR="00744A1C">
        <w:rPr>
          <w:rtl/>
          <w:lang w:bidi="fa-IR"/>
        </w:rPr>
        <w:t xml:space="preserve"> ، ص 237 ، الرقم 630 ؛ </w:t>
      </w:r>
      <w:r w:rsidR="00744A1C" w:rsidRPr="003A7143">
        <w:rPr>
          <w:rStyle w:val="libFootnoteBoldChar"/>
          <w:rtl/>
        </w:rPr>
        <w:t>الفهرست للطوسي</w:t>
      </w:r>
      <w:r w:rsidR="00744A1C">
        <w:rPr>
          <w:rtl/>
          <w:lang w:bidi="fa-IR"/>
        </w:rPr>
        <w:t xml:space="preserve"> ، ص 310 ، الرقم 474 ؛ </w:t>
      </w:r>
      <w:r w:rsidR="00744A1C" w:rsidRPr="0061079A">
        <w:rPr>
          <w:rStyle w:val="libFootnoteBoldChar"/>
          <w:rtl/>
        </w:rPr>
        <w:t>معجم رجال الحديث</w:t>
      </w:r>
      <w:r w:rsidR="00744A1C">
        <w:rPr>
          <w:rtl/>
          <w:lang w:bidi="fa-IR"/>
        </w:rPr>
        <w:t xml:space="preserve"> ، ج 14 ، ص 426 - 427 ؛ وج 22 ، ص 286 - 289.</w:t>
      </w:r>
    </w:p>
    <w:p w:rsidR="00744A1C" w:rsidRDefault="00744A1C" w:rsidP="00D10E3C">
      <w:pPr>
        <w:pStyle w:val="libFootnote0"/>
        <w:rPr>
          <w:lang w:bidi="fa-IR"/>
        </w:rPr>
      </w:pPr>
      <w:r>
        <w:rPr>
          <w:rtl/>
          <w:lang w:bidi="fa-IR"/>
        </w:rPr>
        <w:t xml:space="preserve">ويؤيّد ذلك ما ورد في </w:t>
      </w:r>
      <w:r w:rsidRPr="0061079A">
        <w:rPr>
          <w:rStyle w:val="libFootnoteBoldChar"/>
          <w:rtl/>
        </w:rPr>
        <w:t>الكافي</w:t>
      </w:r>
      <w:r>
        <w:rPr>
          <w:rtl/>
          <w:lang w:bidi="fa-IR"/>
        </w:rPr>
        <w:t xml:space="preserve"> ، ح 7186 من رواية ابن أبي عمير عن حفص بن البختري وعبد الرحمن الحجّاج وحمّاد بن عثمان عن الحلبي جميعاً عن أبي عبد الله </w:t>
      </w:r>
      <w:r w:rsidR="0061079A" w:rsidRPr="0061079A">
        <w:rPr>
          <w:rStyle w:val="libFootnoteAlaemChar"/>
          <w:rtl/>
        </w:rPr>
        <w:t>عليه‌السلام</w:t>
      </w:r>
      <w:r w:rsidR="00D10E3C">
        <w:rPr>
          <w:rtl/>
          <w:lang w:bidi="fa-IR"/>
        </w:rPr>
        <w:t xml:space="preserve"> </w:t>
      </w:r>
      <w:r>
        <w:rPr>
          <w:rtl/>
          <w:lang w:bidi="fa-IR"/>
        </w:rPr>
        <w:t xml:space="preserve">، وح 14987 من رواية ابن أبي عمير عن عبد الرحمن بن الحجّاج وحفص بن البختري وسلمة بيّاع السابري عن أبي عبد الله </w:t>
      </w:r>
      <w:r w:rsidR="0061079A" w:rsidRPr="0061079A">
        <w:rPr>
          <w:rStyle w:val="libFootnoteAlaemChar"/>
          <w:rtl/>
        </w:rPr>
        <w:t>عليه‌السلام</w:t>
      </w:r>
      <w:r>
        <w:rPr>
          <w:rtl/>
          <w:lang w:bidi="fa-IR"/>
        </w:rPr>
        <w:t xml:space="preserve"> .</w:t>
      </w:r>
    </w:p>
    <w:p w:rsidR="00744A1C" w:rsidRDefault="00E378DD" w:rsidP="00E378DD">
      <w:pPr>
        <w:pStyle w:val="libFootnote0"/>
        <w:rPr>
          <w:lang w:bidi="fa-IR"/>
        </w:rPr>
      </w:pPr>
      <w:r>
        <w:rPr>
          <w:rtl/>
          <w:lang w:bidi="fa-IR"/>
        </w:rPr>
        <w:t>(5).</w:t>
      </w:r>
      <w:r w:rsidR="00744A1C">
        <w:rPr>
          <w:rtl/>
          <w:lang w:bidi="fa-IR"/>
        </w:rPr>
        <w:t xml:space="preserve"> في « بف » : + « رمضان ».</w:t>
      </w:r>
    </w:p>
    <w:tbl>
      <w:tblPr>
        <w:tblStyle w:val="TableGrid"/>
        <w:bidiVisual/>
        <w:tblW w:w="0" w:type="auto"/>
        <w:tblLook w:val="04A0" w:firstRow="1" w:lastRow="0" w:firstColumn="1" w:lastColumn="0" w:noHBand="0" w:noVBand="1"/>
      </w:tblPr>
      <w:tblGrid>
        <w:gridCol w:w="4006"/>
        <w:gridCol w:w="4006"/>
      </w:tblGrid>
      <w:tr w:rsidR="00F90866" w:rsidTr="00F90866">
        <w:tc>
          <w:tcPr>
            <w:tcW w:w="4006" w:type="dxa"/>
          </w:tcPr>
          <w:p w:rsidR="00F90866" w:rsidRDefault="00F90866" w:rsidP="00E378DD">
            <w:pPr>
              <w:pStyle w:val="libFootnote0"/>
              <w:rPr>
                <w:rtl/>
                <w:lang w:bidi="fa-IR"/>
              </w:rPr>
            </w:pPr>
            <w:r>
              <w:rPr>
                <w:rtl/>
                <w:lang w:bidi="fa-IR"/>
              </w:rPr>
              <w:t>(6). في « بخ ، جن » : « قال ».</w:t>
            </w:r>
          </w:p>
        </w:tc>
        <w:tc>
          <w:tcPr>
            <w:tcW w:w="4006" w:type="dxa"/>
          </w:tcPr>
          <w:p w:rsidR="00F90866" w:rsidRDefault="00F90866" w:rsidP="00E378DD">
            <w:pPr>
              <w:pStyle w:val="libFootnote0"/>
              <w:rPr>
                <w:rtl/>
                <w:lang w:bidi="fa-IR"/>
              </w:rPr>
            </w:pPr>
            <w:r>
              <w:rPr>
                <w:rtl/>
                <w:lang w:bidi="fa-IR"/>
              </w:rPr>
              <w:t>(7). في « بح » : « تكتب ».</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F90866">
        <w:rPr>
          <w:rtl/>
        </w:rPr>
        <w:t>الوسائل</w:t>
      </w:r>
      <w:r w:rsidR="00744A1C">
        <w:rPr>
          <w:rtl/>
          <w:lang w:bidi="fa-IR"/>
        </w:rPr>
        <w:t xml:space="preserve"> : - « له ».</w:t>
      </w:r>
    </w:p>
    <w:p w:rsidR="00744A1C" w:rsidRDefault="00E378DD" w:rsidP="00E378DD">
      <w:pPr>
        <w:pStyle w:val="libFootnote0"/>
        <w:rPr>
          <w:lang w:bidi="fa-IR"/>
        </w:rPr>
      </w:pPr>
      <w:r>
        <w:rPr>
          <w:rtl/>
          <w:lang w:bidi="fa-IR"/>
        </w:rPr>
        <w:t>(9).</w:t>
      </w:r>
      <w:r w:rsidR="00744A1C">
        <w:rPr>
          <w:rtl/>
          <w:lang w:bidi="fa-IR"/>
        </w:rPr>
        <w:t xml:space="preserve"> في « جن » : « ويكتب ». وفي « بح » : « أو تكتب ». وفي </w:t>
      </w:r>
      <w:r w:rsidR="00744A1C" w:rsidRPr="00C24F9C">
        <w:rPr>
          <w:rStyle w:val="libFootnoteBoldChar"/>
          <w:rtl/>
        </w:rPr>
        <w:t>الفقيه</w:t>
      </w:r>
      <w:r w:rsidR="00744A1C">
        <w:rPr>
          <w:rtl/>
          <w:lang w:bidi="fa-IR"/>
        </w:rPr>
        <w:t xml:space="preserve"> : « وقال : يكتب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الترديد إمّا من الراوي ، أو المراد أنّه إن لم يكن في أحد</w:t>
      </w:r>
      <w:r w:rsidR="00F90866">
        <w:rPr>
          <w:rtl/>
          <w:lang w:bidi="fa-IR"/>
        </w:rPr>
        <w:t>هما فضل يكتب في الذي نوى ، وإل</w:t>
      </w:r>
      <w:r w:rsidR="00F90866">
        <w:rPr>
          <w:rFonts w:hint="cs"/>
          <w:rtl/>
          <w:lang w:bidi="fa-IR"/>
        </w:rPr>
        <w:t>ّ</w:t>
      </w:r>
      <w:r w:rsidR="00F90866">
        <w:rPr>
          <w:rtl/>
          <w:lang w:bidi="fa-IR"/>
        </w:rPr>
        <w:t>ا</w:t>
      </w:r>
      <w:r w:rsidR="00744A1C">
        <w:rPr>
          <w:rtl/>
          <w:lang w:bidi="fa-IR"/>
        </w:rPr>
        <w:t xml:space="preserve"> ففي الأفضل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الفقيه</w:t>
      </w:r>
      <w:r w:rsidR="00744A1C">
        <w:rPr>
          <w:rtl/>
          <w:lang w:bidi="fa-IR"/>
        </w:rPr>
        <w:t xml:space="preserve"> ، ج 2 ، ص 454 ، ح 2950 ، معلّقاً عن عبدالرحمن بن الحجّاج </w:t>
      </w:r>
      <w:r w:rsidR="00F90866">
        <w:rPr>
          <w:rFonts w:hint="cs"/>
          <w:rtl/>
          <w:lang w:bidi="fa-IR"/>
        </w:rPr>
        <w:t>.</w:t>
      </w:r>
      <w:r w:rsidR="00744A1C" w:rsidRPr="00C24F9C">
        <w:rPr>
          <w:rStyle w:val="libFootnoteBoldChar"/>
          <w:rtl/>
        </w:rPr>
        <w:t>الوافي</w:t>
      </w:r>
      <w:r w:rsidR="00744A1C">
        <w:rPr>
          <w:rtl/>
          <w:lang w:bidi="fa-IR"/>
        </w:rPr>
        <w:t xml:space="preserve"> ، ج 12 ، ص 445 ، ح 12283 ؛ </w:t>
      </w:r>
      <w:r w:rsidR="00F90866">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8032 / 6. مُحَمَّدُ بْنُ إِسْمَاعِيلَ ، عَنِ الْفَضْلِ بْنِ شَاذَانَ ، عَنْ صَفْوَانَ بْنِ يَحْيى ، عَنْ مُعَاوِيَةَ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الْمُعْتَمِرُ يَعْتَمِرُ فِي أَيِّ شُهُورِ السَّنَةِ شَاءَ ، وَأَفْضَلُ الْعُمْرَةِ عُمْرَةُ رَجَبٍ ». </w:t>
      </w:r>
      <w:r w:rsidRPr="00D10E3C">
        <w:rPr>
          <w:rStyle w:val="libFootnotenumChar"/>
          <w:rtl/>
        </w:rPr>
        <w:t>(1)</w:t>
      </w:r>
    </w:p>
    <w:p w:rsidR="00144FA6" w:rsidRDefault="00744A1C" w:rsidP="00744A1C">
      <w:pPr>
        <w:pStyle w:val="libNormal"/>
        <w:rPr>
          <w:rtl/>
          <w:lang w:bidi="fa-IR"/>
        </w:rPr>
      </w:pPr>
      <w:r>
        <w:rPr>
          <w:rtl/>
          <w:lang w:bidi="fa-IR"/>
        </w:rPr>
        <w:t>8033 / 7. الْحُسَيْنُ بْنُ مُحَمَّدٍ ، عَنْ مُعَلَّى بْنِ مُحَمَّدٍ ، عَنِ الْحَسَنِ بْنِ عَلِيٍّ الْوَشَّاءِ ، عَنْ أَبَانِ بْنِ عُثْمَانَ ، عَنْ عَبْدِ الرَّحْمنِ بْنِ أَبِي عَبْدِ اللهِ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قُلْتُ لَهُ : الْعُمْرَةُ بَعْدَ الْحَجِّ؟</w:t>
      </w:r>
    </w:p>
    <w:p w:rsidR="00144FA6" w:rsidRDefault="00744A1C" w:rsidP="00744A1C">
      <w:pPr>
        <w:pStyle w:val="libNormal"/>
        <w:rPr>
          <w:rtl/>
          <w:lang w:bidi="fa-IR"/>
        </w:rPr>
      </w:pPr>
      <w:r>
        <w:rPr>
          <w:rtl/>
          <w:lang w:bidi="fa-IR"/>
        </w:rPr>
        <w:t xml:space="preserve">قَالَ : « إِذَا أَمْكَنَ الْمُوسى </w:t>
      </w:r>
      <w:r w:rsidRPr="00D10E3C">
        <w:rPr>
          <w:rStyle w:val="libFootnotenumChar"/>
          <w:rtl/>
        </w:rPr>
        <w:t>(2)</w:t>
      </w:r>
      <w:r>
        <w:rPr>
          <w:rtl/>
          <w:lang w:bidi="fa-IR"/>
        </w:rPr>
        <w:t xml:space="preserve"> مِنَ الرَّأْسِ </w:t>
      </w:r>
      <w:r w:rsidRPr="00D10E3C">
        <w:rPr>
          <w:rStyle w:val="libFootnotenumChar"/>
          <w:rtl/>
        </w:rPr>
        <w:t>(3)</w:t>
      </w:r>
      <w:r>
        <w:rPr>
          <w:rtl/>
          <w:lang w:bidi="fa-IR"/>
        </w:rPr>
        <w:t xml:space="preserve"> ». </w:t>
      </w:r>
      <w:r w:rsidRPr="00D10E3C">
        <w:rPr>
          <w:rStyle w:val="libFootnotenumChar"/>
          <w:rtl/>
        </w:rPr>
        <w:t>(4)</w:t>
      </w:r>
    </w:p>
    <w:p w:rsidR="00744A1C" w:rsidRDefault="00744A1C" w:rsidP="00D10E3C">
      <w:pPr>
        <w:pStyle w:val="libLine"/>
        <w:rPr>
          <w:lang w:bidi="fa-IR"/>
        </w:rPr>
      </w:pPr>
      <w:r>
        <w:rPr>
          <w:rtl/>
          <w:lang w:bidi="fa-IR"/>
        </w:rPr>
        <w:t>____________________</w:t>
      </w:r>
    </w:p>
    <w:p w:rsidR="00744A1C" w:rsidRDefault="00F90866" w:rsidP="00D10E3C">
      <w:pPr>
        <w:pStyle w:val="libFootnote0"/>
        <w:rPr>
          <w:lang w:bidi="fa-IR"/>
        </w:rPr>
      </w:pPr>
      <w:r w:rsidRPr="00F90866">
        <w:rPr>
          <w:rFonts w:hint="cs"/>
          <w:rtl/>
        </w:rPr>
        <w:t xml:space="preserve">= </w:t>
      </w:r>
      <w:r w:rsidR="00744A1C" w:rsidRPr="00C24F9C">
        <w:rPr>
          <w:rStyle w:val="libFootnoteBoldChar"/>
          <w:rtl/>
        </w:rPr>
        <w:t>الوسائل</w:t>
      </w:r>
      <w:r w:rsidR="00744A1C">
        <w:rPr>
          <w:rtl/>
          <w:lang w:bidi="fa-IR"/>
        </w:rPr>
        <w:t xml:space="preserve"> ، ج 14 ، ص 303 ، ح 19257.</w:t>
      </w:r>
    </w:p>
    <w:p w:rsidR="00744A1C" w:rsidRDefault="00D10E3C" w:rsidP="00D10E3C">
      <w:pPr>
        <w:pStyle w:val="libFootnote0"/>
        <w:rPr>
          <w:lang w:bidi="fa-IR"/>
        </w:rPr>
      </w:pPr>
      <w:r>
        <w:rPr>
          <w:rtl/>
          <w:lang w:bidi="fa-IR"/>
        </w:rPr>
        <w:t>(1).</w:t>
      </w:r>
      <w:r w:rsidR="00744A1C">
        <w:rPr>
          <w:rtl/>
          <w:lang w:bidi="fa-IR"/>
        </w:rPr>
        <w:t xml:space="preserve"> </w:t>
      </w:r>
      <w:r w:rsidR="00744A1C" w:rsidRPr="003A7143">
        <w:rPr>
          <w:rStyle w:val="libFootnoteBoldChar"/>
          <w:rtl/>
        </w:rPr>
        <w:t>علل الشرائع</w:t>
      </w:r>
      <w:r w:rsidR="00744A1C">
        <w:rPr>
          <w:rtl/>
          <w:lang w:bidi="fa-IR"/>
        </w:rPr>
        <w:t xml:space="preserve"> ، ص 408 ، ذيل ح 1 ، بسنده عن ابن أبي عمير وحمّاد وصفوان بن يحيى وفضالة بن أيّوب ، عن معاوية بن عمّار. </w:t>
      </w:r>
      <w:r w:rsidR="00744A1C" w:rsidRPr="00C24F9C">
        <w:rPr>
          <w:rStyle w:val="libFootnoteBoldChar"/>
          <w:rtl/>
        </w:rPr>
        <w:t>الفقيه</w:t>
      </w:r>
      <w:r w:rsidR="00744A1C">
        <w:rPr>
          <w:rtl/>
          <w:lang w:bidi="fa-IR"/>
        </w:rPr>
        <w:t xml:space="preserve"> ، ج 2 ، ص 453 ، ح 2949 ، معلّقاً عن معاوية بن عمّار ، مع اختلاف يسير وزيادة في أوّله. </w:t>
      </w:r>
      <w:r w:rsidR="00744A1C" w:rsidRPr="00A914B5">
        <w:rPr>
          <w:rStyle w:val="libFootnoteBoldChar"/>
          <w:rtl/>
        </w:rPr>
        <w:t>تفسير العيّاشي</w:t>
      </w:r>
      <w:r w:rsidR="00744A1C">
        <w:rPr>
          <w:rtl/>
          <w:lang w:bidi="fa-IR"/>
        </w:rPr>
        <w:t xml:space="preserve"> ، ج 1 ، ص 88 ، ذيل ح 223 ، عن معاوية بن عمّار الدهني ؛ </w:t>
      </w:r>
      <w:r w:rsidR="00744A1C" w:rsidRPr="00C24F9C">
        <w:rPr>
          <w:rStyle w:val="libFootnoteBoldChar"/>
          <w:rtl/>
        </w:rPr>
        <w:t>الفقيه</w:t>
      </w:r>
      <w:r w:rsidR="00744A1C">
        <w:rPr>
          <w:rtl/>
          <w:lang w:bidi="fa-IR"/>
        </w:rPr>
        <w:t xml:space="preserve"> ، ج 2 ، ص 220 ، ذيل ح 2230 ، مرسلاً عن النبيّ </w:t>
      </w:r>
      <w:r w:rsidR="00F90866" w:rsidRPr="00F90866">
        <w:rPr>
          <w:rStyle w:val="libFootnoteAlaemChar"/>
          <w:rtl/>
        </w:rPr>
        <w:t>صلى‌الله‌عليه‌وآله</w:t>
      </w:r>
      <w:r w:rsidR="00744A1C">
        <w:rPr>
          <w:rtl/>
          <w:lang w:bidi="fa-IR"/>
        </w:rPr>
        <w:t xml:space="preserve"> ، وفي كلّ المصادر من قوله : « وأفضل العمرة » </w:t>
      </w:r>
      <w:r w:rsidR="00F90866">
        <w:rPr>
          <w:rFonts w:hint="cs"/>
          <w:rtl/>
          <w:lang w:bidi="fa-IR"/>
        </w:rPr>
        <w:t>.</w:t>
      </w:r>
      <w:r w:rsidR="00744A1C" w:rsidRPr="00C24F9C">
        <w:rPr>
          <w:rStyle w:val="libFootnoteBoldChar"/>
          <w:rtl/>
        </w:rPr>
        <w:t>الوافي</w:t>
      </w:r>
      <w:r w:rsidR="00744A1C">
        <w:rPr>
          <w:rtl/>
          <w:lang w:bidi="fa-IR"/>
        </w:rPr>
        <w:t xml:space="preserve"> ، ج 12 ، ص 444 ، ح 12280 ؛ </w:t>
      </w:r>
      <w:r w:rsidR="00744A1C" w:rsidRPr="00C24F9C">
        <w:rPr>
          <w:rStyle w:val="libFootnoteBoldChar"/>
          <w:rtl/>
        </w:rPr>
        <w:t>الوسائل</w:t>
      </w:r>
      <w:r w:rsidR="00744A1C">
        <w:rPr>
          <w:rtl/>
          <w:lang w:bidi="fa-IR"/>
        </w:rPr>
        <w:t xml:space="preserve"> ، ج 14 ، ص 303 ، ح 19258.</w:t>
      </w:r>
    </w:p>
    <w:p w:rsidR="00744A1C" w:rsidRDefault="00E378DD" w:rsidP="00E378DD">
      <w:pPr>
        <w:pStyle w:val="libFootnote0"/>
        <w:rPr>
          <w:lang w:bidi="fa-IR"/>
        </w:rPr>
      </w:pPr>
      <w:r>
        <w:rPr>
          <w:rtl/>
          <w:lang w:bidi="fa-IR"/>
        </w:rPr>
        <w:t>(2).</w:t>
      </w:r>
      <w:r w:rsidR="00744A1C">
        <w:rPr>
          <w:rtl/>
          <w:lang w:bidi="fa-IR"/>
        </w:rPr>
        <w:t xml:space="preserve"> 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 أي إذا نبت الشعر قليلاً بحيث يمكن أن يعلّق به الموسى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 رأسه فحسن » بدل « من الرأس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236 : « قال في </w:t>
      </w:r>
      <w:r w:rsidRPr="00F90866">
        <w:rPr>
          <w:rStyle w:val="libFootnoteBoldChar"/>
          <w:rtl/>
        </w:rPr>
        <w:t>المدارك</w:t>
      </w:r>
      <w:r>
        <w:rPr>
          <w:rtl/>
          <w:lang w:bidi="fa-IR"/>
        </w:rPr>
        <w:t xml:space="preserve"> : محلّ العمرة المفردة بعد الفراغ من الحجّ ، وذكر جمع من الأصحاب أنّه يجب تأخيرها إلى ان</w:t>
      </w:r>
      <w:r w:rsidR="00F90866">
        <w:rPr>
          <w:rtl/>
          <w:lang w:bidi="fa-IR"/>
        </w:rPr>
        <w:t>قضاء أيّام التشريق ، ونصّ العل</w:t>
      </w:r>
      <w:r w:rsidR="00F90866">
        <w:rPr>
          <w:rFonts w:hint="cs"/>
          <w:rtl/>
          <w:lang w:bidi="fa-IR"/>
        </w:rPr>
        <w:t>ّ</w:t>
      </w:r>
      <w:r w:rsidR="00F90866">
        <w:rPr>
          <w:rtl/>
          <w:lang w:bidi="fa-IR"/>
        </w:rPr>
        <w:t>ا</w:t>
      </w:r>
      <w:r>
        <w:rPr>
          <w:rtl/>
          <w:lang w:bidi="fa-IR"/>
        </w:rPr>
        <w:t xml:space="preserve">مة وغيره على جواز تأخيرها إلى استقبال المحرّم ، واستشكل جدّي </w:t>
      </w:r>
      <w:r w:rsidR="00877682" w:rsidRPr="00877682">
        <w:rPr>
          <w:rStyle w:val="libFootnoteAlaemChar"/>
          <w:rtl/>
        </w:rPr>
        <w:t>رحمه‌الله</w:t>
      </w:r>
      <w:r w:rsidR="00F90866" w:rsidRPr="00F90866">
        <w:rPr>
          <w:rFonts w:hint="cs"/>
          <w:rtl/>
        </w:rPr>
        <w:t xml:space="preserve"> </w:t>
      </w:r>
      <w:r>
        <w:rPr>
          <w:rtl/>
          <w:lang w:bidi="fa-IR"/>
        </w:rPr>
        <w:t xml:space="preserve">هذا الحكم بوجوب إيقاع الحجّ والعمرة </w:t>
      </w:r>
      <w:r w:rsidR="00F90866">
        <w:rPr>
          <w:rtl/>
          <w:lang w:bidi="fa-IR"/>
        </w:rPr>
        <w:t>المفردة في عام واحد ، قال : إل</w:t>
      </w:r>
      <w:r w:rsidR="00F90866">
        <w:rPr>
          <w:rFonts w:hint="cs"/>
          <w:rtl/>
          <w:lang w:bidi="fa-IR"/>
        </w:rPr>
        <w:t>ّ</w:t>
      </w:r>
      <w:r w:rsidR="00F90866">
        <w:rPr>
          <w:rtl/>
          <w:lang w:bidi="fa-IR"/>
        </w:rPr>
        <w:t>ا</w:t>
      </w:r>
      <w:r>
        <w:rPr>
          <w:rtl/>
          <w:lang w:bidi="fa-IR"/>
        </w:rPr>
        <w:t xml:space="preserve"> أن يراد بالعام اثنا عشر شهراً ، ومبدؤها زمان التلبّس بالحجّ ، وهو محتمل مع أنّه لا دليل على اعتبار هذا الشرط ، وأوضح ما وقفت عليه صحيحة عبد الرحمان بن أبي عبد الله : إذا أمكن الموسى من رأسه ». وراجع : </w:t>
      </w:r>
      <w:r w:rsidRPr="00C24F9C">
        <w:rPr>
          <w:rStyle w:val="libFootnoteBoldChar"/>
          <w:rtl/>
        </w:rPr>
        <w:t>مدارك الأحكام</w:t>
      </w:r>
      <w:r>
        <w:rPr>
          <w:rtl/>
          <w:lang w:bidi="fa-IR"/>
        </w:rPr>
        <w:t xml:space="preserve"> ، ج 7 ، ص 188 ؛ </w:t>
      </w:r>
      <w:r w:rsidRPr="00877682">
        <w:rPr>
          <w:rStyle w:val="libFootnoteBoldChar"/>
          <w:rtl/>
        </w:rPr>
        <w:t>الدروس</w:t>
      </w:r>
      <w:r w:rsidRPr="00E978C3">
        <w:rPr>
          <w:rStyle w:val="libFootnoteBoldChar"/>
          <w:rtl/>
        </w:rPr>
        <w:t xml:space="preserve"> الشرعيّة</w:t>
      </w:r>
      <w:r>
        <w:rPr>
          <w:rtl/>
          <w:lang w:bidi="fa-IR"/>
        </w:rPr>
        <w:t xml:space="preserve"> ، ص 93.</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438 ، ح 1521 ، معلّقاً عن أبان بن عثمان. </w:t>
      </w:r>
      <w:r w:rsidR="00744A1C" w:rsidRPr="00C24F9C">
        <w:rPr>
          <w:rStyle w:val="libFootnoteBoldChar"/>
          <w:rtl/>
        </w:rPr>
        <w:t>الفقيه</w:t>
      </w:r>
      <w:r w:rsidR="00744A1C">
        <w:rPr>
          <w:rtl/>
          <w:lang w:bidi="fa-IR"/>
        </w:rPr>
        <w:t xml:space="preserve"> ، ج 2 ، ص 450 ، ح 2940 ، بسند آخر ، مع اختلاف يسير </w:t>
      </w:r>
      <w:r w:rsidR="00F90866">
        <w:rPr>
          <w:rFonts w:hint="cs"/>
          <w:rtl/>
          <w:lang w:bidi="fa-IR"/>
        </w:rPr>
        <w:t>.</w:t>
      </w:r>
      <w:r w:rsidR="00744A1C" w:rsidRPr="00C24F9C">
        <w:rPr>
          <w:rStyle w:val="libFootnoteBoldChar"/>
          <w:rtl/>
        </w:rPr>
        <w:t>الوافي</w:t>
      </w:r>
      <w:r w:rsidR="00744A1C">
        <w:rPr>
          <w:rtl/>
          <w:lang w:bidi="fa-IR"/>
        </w:rPr>
        <w:t xml:space="preserve"> ، ج 12 ، ص 477 ، ح 12360 ؛ </w:t>
      </w:r>
      <w:r w:rsidR="00744A1C" w:rsidRPr="00C24F9C">
        <w:rPr>
          <w:rStyle w:val="libFootnoteBoldChar"/>
          <w:rtl/>
        </w:rPr>
        <w:t>الوسائل</w:t>
      </w:r>
      <w:r w:rsidR="00744A1C">
        <w:rPr>
          <w:rtl/>
          <w:lang w:bidi="fa-IR"/>
        </w:rPr>
        <w:t xml:space="preserve"> ، ج 14 ، ص 315 ، ح 19300.</w:t>
      </w:r>
    </w:p>
    <w:p w:rsidR="00150943" w:rsidRDefault="00150943" w:rsidP="00D10E3C">
      <w:pPr>
        <w:pStyle w:val="libNormal"/>
        <w:rPr>
          <w:rtl/>
          <w:lang w:bidi="fa-IR"/>
        </w:rPr>
      </w:pPr>
      <w:r>
        <w:rPr>
          <w:rtl/>
          <w:lang w:bidi="fa-IR"/>
        </w:rPr>
        <w:br w:type="page"/>
      </w:r>
    </w:p>
    <w:p w:rsidR="00744A1C" w:rsidRDefault="00744A1C" w:rsidP="00F90866">
      <w:pPr>
        <w:pStyle w:val="Heading2Center"/>
        <w:rPr>
          <w:lang w:bidi="fa-IR"/>
        </w:rPr>
      </w:pPr>
      <w:bookmarkStart w:id="55" w:name="_Toc49261353"/>
      <w:r>
        <w:rPr>
          <w:rtl/>
          <w:lang w:bidi="fa-IR"/>
        </w:rPr>
        <w:lastRenderedPageBreak/>
        <w:t xml:space="preserve">209 - بَابُ قَطْعِ تَلْبِيَةِ الْمُحْرِمِ </w:t>
      </w:r>
      <w:r w:rsidRPr="00D10E3C">
        <w:rPr>
          <w:rStyle w:val="libFootnotenumChar"/>
          <w:rtl/>
        </w:rPr>
        <w:t>(1)</w:t>
      </w:r>
      <w:r>
        <w:rPr>
          <w:rtl/>
          <w:lang w:bidi="fa-IR"/>
        </w:rPr>
        <w:t xml:space="preserve"> وَمَا عَلَيْهِ مِنَ الْعَمَلِ‌</w:t>
      </w:r>
      <w:bookmarkEnd w:id="55"/>
    </w:p>
    <w:p w:rsidR="00144FA6" w:rsidRDefault="00744A1C" w:rsidP="00744A1C">
      <w:pPr>
        <w:pStyle w:val="libNormal"/>
        <w:rPr>
          <w:rtl/>
          <w:lang w:bidi="fa-IR"/>
        </w:rPr>
      </w:pPr>
      <w:r>
        <w:rPr>
          <w:rtl/>
          <w:lang w:bidi="fa-IR"/>
        </w:rPr>
        <w:t>8034 / 1. عَلِيُّ بْنُ إِبْرَاهِيمَ ، عَنْ أَبِيهِ ، عَنِ ابْنِ أَبِي عُمَيْرٍ ، عَنْ مُرَازِمٍ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يَقْطَعُ صَاحِبُ الْعُمْرَةِ الْمُفْرَدَةِ التَّلْبِيَةَ إِذَا وَضَعَتِ الْإِبِلُ أَخْفَافَهَا فِي الْحَرَمِ ». </w:t>
      </w:r>
      <w:r w:rsidRPr="00D10E3C">
        <w:rPr>
          <w:rStyle w:val="libFootnotenumChar"/>
          <w:rtl/>
        </w:rPr>
        <w:t>(2)</w:t>
      </w:r>
    </w:p>
    <w:p w:rsidR="00144FA6" w:rsidRDefault="00744A1C" w:rsidP="00744A1C">
      <w:pPr>
        <w:pStyle w:val="libNormal"/>
        <w:rPr>
          <w:rtl/>
          <w:lang w:bidi="fa-IR"/>
        </w:rPr>
      </w:pPr>
      <w:r>
        <w:rPr>
          <w:rtl/>
          <w:lang w:bidi="fa-IR"/>
        </w:rPr>
        <w:t xml:space="preserve">8035 / 2. حُمَيْدُ بْنُ زِيَادٍ ، عَنِ ابْنِ سَمَاعَةَ ، عَنْ غَيْرِ وَاحِدٍ ، عَنْ أَبَانٍ </w:t>
      </w:r>
      <w:r w:rsidRPr="00D10E3C">
        <w:rPr>
          <w:rStyle w:val="libFootnotenumChar"/>
          <w:rtl/>
        </w:rPr>
        <w:t>(3)</w:t>
      </w:r>
      <w:r>
        <w:rPr>
          <w:rtl/>
          <w:lang w:bidi="fa-IR"/>
        </w:rPr>
        <w:t xml:space="preserve"> ، عَنْ زُرَارَةَ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يُقْطَعُ تَلْبِيَةُ </w:t>
      </w:r>
      <w:r w:rsidRPr="00D10E3C">
        <w:rPr>
          <w:rStyle w:val="libFootnotenumChar"/>
          <w:rtl/>
        </w:rPr>
        <w:t>(4)</w:t>
      </w:r>
      <w:r>
        <w:rPr>
          <w:rtl/>
          <w:lang w:bidi="fa-IR"/>
        </w:rPr>
        <w:t xml:space="preserve"> الْمُعْتَمِرِ إِذَا دَخَلَ </w:t>
      </w:r>
      <w:r w:rsidRPr="00D10E3C">
        <w:rPr>
          <w:rStyle w:val="libFootnotenumChar"/>
          <w:rtl/>
        </w:rPr>
        <w:t>(5)</w:t>
      </w:r>
      <w:r>
        <w:rPr>
          <w:rtl/>
          <w:lang w:bidi="fa-IR"/>
        </w:rPr>
        <w:t xml:space="preserve"> الْحَرَمَ ». </w:t>
      </w:r>
      <w:r w:rsidRPr="00D10E3C">
        <w:rPr>
          <w:rStyle w:val="libFootnotenumChar"/>
          <w:rtl/>
        </w:rPr>
        <w:t>(6)</w:t>
      </w:r>
    </w:p>
    <w:p w:rsidR="00144FA6" w:rsidRDefault="00744A1C" w:rsidP="00744A1C">
      <w:pPr>
        <w:pStyle w:val="libNormal"/>
        <w:rPr>
          <w:rtl/>
          <w:lang w:bidi="fa-IR"/>
        </w:rPr>
      </w:pPr>
      <w:r>
        <w:rPr>
          <w:rtl/>
          <w:lang w:bidi="fa-IR"/>
        </w:rPr>
        <w:t>8036 / 3. عَلِيُّ بْنُ إِبْرَاهِيمَ ، عَنْ أَبِيهِ ، عَنْ صَفْوَانَ بْنِ يَحْيى ، عَنْ مُعَاوِيَةَ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اعْتَمَرَ مِنَ التَّنْعِيمِ </w:t>
      </w:r>
      <w:r w:rsidRPr="00D10E3C">
        <w:rPr>
          <w:rStyle w:val="libFootnotenumChar"/>
          <w:rtl/>
        </w:rPr>
        <w:t>(7)</w:t>
      </w:r>
      <w:r>
        <w:rPr>
          <w:rtl/>
          <w:lang w:bidi="fa-IR"/>
        </w:rPr>
        <w:t xml:space="preserve"> ، فَلَا يَقْطَعِ التَّلْبِيَةَ حَتّى يَنْظُرَ إِلَى الْمَسْجِدِ ». </w:t>
      </w:r>
      <w:r w:rsidRPr="00D10E3C">
        <w:rPr>
          <w:rStyle w:val="libFootnotenumChar"/>
          <w:rtl/>
        </w:rPr>
        <w:t>(8)</w:t>
      </w:r>
    </w:p>
    <w:p w:rsidR="00744A1C" w:rsidRDefault="00744A1C" w:rsidP="00744A1C">
      <w:pPr>
        <w:pStyle w:val="libNormal"/>
        <w:rPr>
          <w:lang w:bidi="fa-IR"/>
        </w:rPr>
      </w:pPr>
      <w:r>
        <w:rPr>
          <w:rtl/>
          <w:lang w:bidi="fa-IR"/>
        </w:rPr>
        <w:t>8037 / 4. الْحُسَيْنُ بْنُ مُحَمَّدٍ ، عَنْ مُعَلَّى بْنِ مُحَمَّدٍ ، عَنِ الْحَسَنِ بْنِ عَلِيٍّ ، عَنْ أَبَانِ بْنِ عُثْم</w:t>
      </w:r>
      <w:r w:rsidR="00F90866">
        <w:rPr>
          <w:rtl/>
          <w:lang w:bidi="fa-IR"/>
        </w:rPr>
        <w:t>َانَ ، عَنْ زُرَارَةَ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وحاشية « جن » : « المعتمر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الفقيه</w:t>
      </w:r>
      <w:r w:rsidR="00744A1C">
        <w:rPr>
          <w:rtl/>
          <w:lang w:bidi="fa-IR"/>
        </w:rPr>
        <w:t xml:space="preserve"> ، ج 2 ، ص 455 ، ح 2975 ، معلّقاً عن مرازم. وفي </w:t>
      </w:r>
      <w:r w:rsidR="00744A1C" w:rsidRPr="00C24F9C">
        <w:rPr>
          <w:rStyle w:val="libFootnoteBoldChar"/>
          <w:rtl/>
        </w:rPr>
        <w:t>التهذيب</w:t>
      </w:r>
      <w:r w:rsidR="00744A1C">
        <w:rPr>
          <w:rtl/>
          <w:lang w:bidi="fa-IR"/>
        </w:rPr>
        <w:t xml:space="preserve"> ، ج 5 ، ص 95 ، ح 313 ؛ </w:t>
      </w:r>
      <w:r w:rsidR="00744A1C" w:rsidRPr="00C24F9C">
        <w:rPr>
          <w:rStyle w:val="libFootnoteBoldChar"/>
          <w:rtl/>
        </w:rPr>
        <w:t>والاستبصار</w:t>
      </w:r>
      <w:r w:rsidR="00744A1C">
        <w:rPr>
          <w:rtl/>
          <w:lang w:bidi="fa-IR"/>
        </w:rPr>
        <w:t xml:space="preserve"> ، ج 2 ، ص 177 ، ح 586 ، بسند آخر ، مع اختلاف يسير </w:t>
      </w:r>
      <w:r w:rsidR="00F90866">
        <w:rPr>
          <w:rFonts w:hint="cs"/>
          <w:rtl/>
          <w:lang w:bidi="fa-IR"/>
        </w:rPr>
        <w:t>.</w:t>
      </w:r>
      <w:r w:rsidR="00744A1C" w:rsidRPr="00C24F9C">
        <w:rPr>
          <w:rStyle w:val="libFootnoteBoldChar"/>
          <w:rtl/>
        </w:rPr>
        <w:t>الوافي</w:t>
      </w:r>
      <w:r w:rsidR="00744A1C">
        <w:rPr>
          <w:rtl/>
          <w:lang w:bidi="fa-IR"/>
        </w:rPr>
        <w:t xml:space="preserve"> ، ج 13 ، ص 807 ، ح 13196 ؛ </w:t>
      </w:r>
      <w:r w:rsidR="00744A1C" w:rsidRPr="00C24F9C">
        <w:rPr>
          <w:rStyle w:val="libFootnoteBoldChar"/>
          <w:rtl/>
        </w:rPr>
        <w:t>الوسائل</w:t>
      </w:r>
      <w:r w:rsidR="00744A1C">
        <w:rPr>
          <w:rtl/>
          <w:lang w:bidi="fa-IR"/>
        </w:rPr>
        <w:t xml:space="preserve"> ، ج 12 ، ص 394 ، ذيل ح 16602.</w:t>
      </w:r>
    </w:p>
    <w:p w:rsidR="00744A1C" w:rsidRDefault="00E378DD" w:rsidP="00E378DD">
      <w:pPr>
        <w:pStyle w:val="libFootnote0"/>
        <w:rPr>
          <w:lang w:bidi="fa-IR"/>
        </w:rPr>
      </w:pPr>
      <w:r>
        <w:rPr>
          <w:rtl/>
          <w:lang w:bidi="fa-IR"/>
        </w:rPr>
        <w:t>(3).</w:t>
      </w:r>
      <w:r w:rsidR="00744A1C">
        <w:rPr>
          <w:rtl/>
          <w:lang w:bidi="fa-IR"/>
        </w:rPr>
        <w:t xml:space="preserve"> في « بح » : + « بن عثمان ».</w:t>
      </w:r>
    </w:p>
    <w:tbl>
      <w:tblPr>
        <w:tblStyle w:val="TableGrid"/>
        <w:bidiVisual/>
        <w:tblW w:w="0" w:type="auto"/>
        <w:tblLook w:val="04A0" w:firstRow="1" w:lastRow="0" w:firstColumn="1" w:lastColumn="0" w:noHBand="0" w:noVBand="1"/>
      </w:tblPr>
      <w:tblGrid>
        <w:gridCol w:w="4006"/>
        <w:gridCol w:w="4006"/>
      </w:tblGrid>
      <w:tr w:rsidR="00F90866" w:rsidTr="00F90866">
        <w:tc>
          <w:tcPr>
            <w:tcW w:w="4006" w:type="dxa"/>
          </w:tcPr>
          <w:p w:rsidR="00F90866" w:rsidRDefault="00F90866" w:rsidP="00E378DD">
            <w:pPr>
              <w:pStyle w:val="libFootnote0"/>
              <w:rPr>
                <w:rtl/>
                <w:lang w:bidi="fa-IR"/>
              </w:rPr>
            </w:pPr>
            <w:r>
              <w:rPr>
                <w:rtl/>
                <w:lang w:bidi="fa-IR"/>
              </w:rPr>
              <w:t xml:space="preserve">(4). في « بخ ، جن » </w:t>
            </w:r>
            <w:r w:rsidRPr="00F90866">
              <w:rPr>
                <w:rtl/>
              </w:rPr>
              <w:t>والوسائل</w:t>
            </w:r>
            <w:r>
              <w:rPr>
                <w:rtl/>
                <w:lang w:bidi="fa-IR"/>
              </w:rPr>
              <w:t xml:space="preserve"> : « التلبية ».</w:t>
            </w:r>
          </w:p>
        </w:tc>
        <w:tc>
          <w:tcPr>
            <w:tcW w:w="4006" w:type="dxa"/>
          </w:tcPr>
          <w:p w:rsidR="00F90866" w:rsidRDefault="00F90866" w:rsidP="00E378DD">
            <w:pPr>
              <w:pStyle w:val="libFootnote0"/>
              <w:rPr>
                <w:rtl/>
                <w:lang w:bidi="fa-IR"/>
              </w:rPr>
            </w:pPr>
            <w:r>
              <w:rPr>
                <w:rtl/>
                <w:lang w:bidi="fa-IR"/>
              </w:rPr>
              <w:t>(5). في حاشية « بح » : + « في ».</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الفقيه</w:t>
      </w:r>
      <w:r w:rsidR="00744A1C">
        <w:rPr>
          <w:rtl/>
          <w:lang w:bidi="fa-IR"/>
        </w:rPr>
        <w:t xml:space="preserve"> ، ج 2 ، ص 453 ، ذيل ح 2947 ؛ </w:t>
      </w:r>
      <w:r w:rsidR="00744A1C" w:rsidRPr="00F90866">
        <w:rPr>
          <w:rStyle w:val="libFootnoteBoldChar"/>
          <w:rtl/>
        </w:rPr>
        <w:t>وفيه</w:t>
      </w:r>
      <w:r w:rsidR="00744A1C">
        <w:rPr>
          <w:rtl/>
          <w:lang w:bidi="fa-IR"/>
        </w:rPr>
        <w:t xml:space="preserve"> ، ج 2 ، ص 455 ، ح 2954 ، مرسلاً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وفيهما : « يقطع التلبية إذا دخل أوّل الحرم » </w:t>
      </w:r>
      <w:r w:rsidR="00F90866">
        <w:rPr>
          <w:rFonts w:hint="cs"/>
          <w:rtl/>
          <w:lang w:bidi="fa-IR"/>
        </w:rPr>
        <w:t>.</w:t>
      </w:r>
      <w:r w:rsidR="00744A1C" w:rsidRPr="00C24F9C">
        <w:rPr>
          <w:rStyle w:val="libFootnoteBoldChar"/>
          <w:rtl/>
        </w:rPr>
        <w:t>الوافي</w:t>
      </w:r>
      <w:r w:rsidR="00744A1C">
        <w:rPr>
          <w:rtl/>
          <w:lang w:bidi="fa-IR"/>
        </w:rPr>
        <w:t xml:space="preserve"> ، ج 13 ، ص 807 ، ح 13197 ؛ </w:t>
      </w:r>
      <w:r w:rsidR="00744A1C" w:rsidRPr="00C24F9C">
        <w:rPr>
          <w:rStyle w:val="libFootnoteBoldChar"/>
          <w:rtl/>
        </w:rPr>
        <w:t>الوسائل</w:t>
      </w:r>
      <w:r w:rsidR="00744A1C">
        <w:rPr>
          <w:rtl/>
          <w:lang w:bidi="fa-IR"/>
        </w:rPr>
        <w:t xml:space="preserve"> ، ج 12 ، ص 394 ، ح 16601.</w:t>
      </w:r>
    </w:p>
    <w:p w:rsidR="00744A1C" w:rsidRDefault="00E378DD" w:rsidP="00E378DD">
      <w:pPr>
        <w:pStyle w:val="libFootnote0"/>
        <w:rPr>
          <w:lang w:bidi="fa-IR"/>
        </w:rPr>
      </w:pPr>
      <w:r>
        <w:rPr>
          <w:rtl/>
          <w:lang w:bidi="fa-IR"/>
        </w:rPr>
        <w:t>(7).</w:t>
      </w:r>
      <w:r w:rsidR="00744A1C">
        <w:rPr>
          <w:rtl/>
          <w:lang w:bidi="fa-IR"/>
        </w:rPr>
        <w:t xml:space="preserve"> قال الفيروزآبادي : « التنعيم على ثلاثة أميال أو أربعة من مكّة أقرب أطراف الحلّ إلى البيت ، سمّي لأنّ على</w:t>
      </w:r>
      <w:r w:rsidR="00F90866">
        <w:rPr>
          <w:rFonts w:hint="cs"/>
          <w:rtl/>
          <w:lang w:bidi="fa-IR"/>
        </w:rPr>
        <w:t xml:space="preserve"> </w:t>
      </w:r>
      <w:r w:rsidR="00744A1C">
        <w:rPr>
          <w:rtl/>
          <w:lang w:bidi="fa-IR"/>
        </w:rPr>
        <w:t xml:space="preserve">‌يمينه جبل نعيم وعلى يساره جبل ناعم ، والوادي اسمه نعمان ». </w:t>
      </w:r>
      <w:r w:rsidR="00744A1C" w:rsidRPr="008A57EB">
        <w:rPr>
          <w:rStyle w:val="libFootnoteBoldChar"/>
          <w:rtl/>
        </w:rPr>
        <w:t>القاموس المحيط</w:t>
      </w:r>
      <w:r w:rsidR="00744A1C">
        <w:rPr>
          <w:rtl/>
          <w:lang w:bidi="fa-IR"/>
        </w:rPr>
        <w:t xml:space="preserve"> ، ج 2 ، ص 1529 ( نعم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13 ، ص 808 ، ح 13199 ؛ </w:t>
      </w:r>
      <w:r w:rsidR="00744A1C" w:rsidRPr="00C24F9C">
        <w:rPr>
          <w:rStyle w:val="libFootnoteBoldChar"/>
          <w:rtl/>
        </w:rPr>
        <w:t>الوسائل</w:t>
      </w:r>
      <w:r w:rsidR="00744A1C">
        <w:rPr>
          <w:rtl/>
          <w:lang w:bidi="fa-IR"/>
        </w:rPr>
        <w:t xml:space="preserve"> ، ج 12 ، ص 394 ، ح 16600.</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سَمِعْتُ أَبَا جَعْفَرٍ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يَقُولُ : « إِذَا قَدِمَ الْمُعْتَمِرُ مَكَّةَ ، وَطَافَ وَسَعى ، فَإِنْ شَاءَ فَلْيَمْضِ عَلى رَاحِلَتِهِ ، وَلْيَلْحَقْ بِأَهْلِهِ ». </w:t>
      </w:r>
      <w:r w:rsidRPr="00D10E3C">
        <w:rPr>
          <w:rStyle w:val="libFootnotenumChar"/>
          <w:rtl/>
        </w:rPr>
        <w:t>(2)</w:t>
      </w:r>
    </w:p>
    <w:p w:rsidR="00144FA6" w:rsidRDefault="00744A1C" w:rsidP="00744A1C">
      <w:pPr>
        <w:pStyle w:val="libNormal"/>
        <w:rPr>
          <w:rtl/>
          <w:lang w:bidi="fa-IR"/>
        </w:rPr>
      </w:pPr>
      <w:r>
        <w:rPr>
          <w:rtl/>
          <w:lang w:bidi="fa-IR"/>
        </w:rPr>
        <w:t>8038 / 5. مُحَمَّدُ بْنُ يَحْيى ، عَنْ أَحْمَدَ بْنِ مُحَمَّدٍ ، عَنْ مُحَمَّدِ بْنِ سِنَانٍ ، عَنِ ابْنِ مُسْكَانَ ، عَنْ أَبِي بَصِيرٍ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الْعُمْرَةُ </w:t>
      </w:r>
      <w:r w:rsidRPr="00D10E3C">
        <w:rPr>
          <w:rStyle w:val="libFootnotenumChar"/>
          <w:rtl/>
        </w:rPr>
        <w:t>(3)</w:t>
      </w:r>
      <w:r>
        <w:rPr>
          <w:rtl/>
          <w:lang w:bidi="fa-IR"/>
        </w:rPr>
        <w:t xml:space="preserve"> الْمَبْتُولَةُ </w:t>
      </w:r>
      <w:r w:rsidRPr="00D10E3C">
        <w:rPr>
          <w:rStyle w:val="libFootnotenumChar"/>
          <w:rtl/>
        </w:rPr>
        <w:t>(4)</w:t>
      </w:r>
      <w:r>
        <w:rPr>
          <w:rtl/>
          <w:lang w:bidi="fa-IR"/>
        </w:rPr>
        <w:t xml:space="preserve"> : يَطُوفُ بِالْبَيْتِ وَبِالصَّفَا وَالْمَرْوَةِ ، ثُمَّ يَحِلُّ ، فَإِنْ شَاءَ أَنْ يَرْتَحِلَ مِنْ سَاعَتِهِ ، ارْتَحَلَ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8039 / 6. أَبُو عَلِيٍّ الْأَشْعَرِيُّ ، عَنْ مُحَمَّدِ بْنِ عَبْدِ الْجَبَّارِ ، عَنْ صَفْوَانَ بْنِ يَحْيى ، عَنْ عَبْدِ اللهِ بْنِ سِنَانٍ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الرَّجُلِ يَجِي‌ءُ مُعْتَمِراً عُمْرَةً مَبْتُولَةً ، قَالَ : « يُجْزِئُهُ - إِذَا طَافَ بِالْبَيْتِ </w:t>
      </w:r>
      <w:r w:rsidRPr="00D10E3C">
        <w:rPr>
          <w:rStyle w:val="libFootnotenumChar"/>
          <w:rtl/>
        </w:rPr>
        <w:t>(7)</w:t>
      </w:r>
      <w:r>
        <w:rPr>
          <w:rtl/>
          <w:lang w:bidi="fa-IR"/>
        </w:rPr>
        <w:t xml:space="preserve"> ، وَسَعى بَيْنَ الصَّفَا وَالْمَرْوَةِ ، وَحَلَقَ - أَنْ يَطُوفَ طَوَافاً وَاحِداً بِالْبَيْتِ ، وَمَنْ شَاءَ أَنْ يُقَصِّرَ ، قَصَّرَ ». </w:t>
      </w:r>
      <w:r w:rsidRPr="00D10E3C">
        <w:rPr>
          <w:rStyle w:val="libFootnotenumChar"/>
          <w:rtl/>
        </w:rPr>
        <w:t>(8)</w:t>
      </w:r>
    </w:p>
    <w:p w:rsidR="00744A1C" w:rsidRDefault="00744A1C" w:rsidP="00744A1C">
      <w:pPr>
        <w:pStyle w:val="libNormal"/>
        <w:rPr>
          <w:lang w:bidi="fa-IR"/>
        </w:rPr>
      </w:pPr>
      <w:r>
        <w:rPr>
          <w:rtl/>
          <w:lang w:bidi="fa-IR"/>
        </w:rPr>
        <w:t xml:space="preserve">8040 / 7. مُحَمَّدُ بْنُ يَحْيى ، عَنْ أَحْمَدَ بْنِ مُحَمَّدٍ ، عَنْ مُحَمَّدِ </w:t>
      </w:r>
      <w:r w:rsidRPr="00D10E3C">
        <w:rPr>
          <w:rStyle w:val="libFootnotenumChar"/>
          <w:rtl/>
        </w:rPr>
        <w:t>(9)</w:t>
      </w:r>
      <w:r>
        <w:rPr>
          <w:rtl/>
          <w:lang w:bidi="fa-IR"/>
        </w:rPr>
        <w:t xml:space="preserve"> بْنِ إِسْمَاعِيلَ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أبا عبد الله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12 ، ص 460 ، ح 12319 ؛ </w:t>
      </w:r>
      <w:r w:rsidR="00744A1C" w:rsidRPr="00C24F9C">
        <w:rPr>
          <w:rStyle w:val="libFootnoteBoldChar"/>
          <w:rtl/>
        </w:rPr>
        <w:t>الوسائل</w:t>
      </w:r>
      <w:r w:rsidR="00744A1C">
        <w:rPr>
          <w:rtl/>
          <w:lang w:bidi="fa-IR"/>
        </w:rPr>
        <w:t xml:space="preserve"> ، ج 13 ، ص 443 ، ح 18172.</w:t>
      </w:r>
    </w:p>
    <w:p w:rsidR="00744A1C" w:rsidRDefault="00E378DD" w:rsidP="00E378DD">
      <w:pPr>
        <w:pStyle w:val="libFootnote0"/>
        <w:rPr>
          <w:lang w:bidi="fa-IR"/>
        </w:rPr>
      </w:pPr>
      <w:r>
        <w:rPr>
          <w:rtl/>
          <w:lang w:bidi="fa-IR"/>
        </w:rPr>
        <w:t>(3).</w:t>
      </w:r>
      <w:r w:rsidR="00744A1C">
        <w:rPr>
          <w:rtl/>
          <w:lang w:bidi="fa-IR"/>
        </w:rPr>
        <w:t xml:space="preserve"> في « ى » : - « العمرة ».</w:t>
      </w:r>
    </w:p>
    <w:p w:rsidR="00744A1C" w:rsidRDefault="00E378DD" w:rsidP="00E378DD">
      <w:pPr>
        <w:pStyle w:val="libFootnote0"/>
        <w:rPr>
          <w:lang w:bidi="fa-IR"/>
        </w:rPr>
      </w:pPr>
      <w:r>
        <w:rPr>
          <w:rtl/>
          <w:lang w:bidi="fa-IR"/>
        </w:rPr>
        <w:t>(4).</w:t>
      </w:r>
      <w:r w:rsidR="00744A1C">
        <w:rPr>
          <w:rtl/>
          <w:lang w:bidi="fa-IR"/>
        </w:rPr>
        <w:t xml:space="preserve"> « المبتولة » : المقطوعة. وفي </w:t>
      </w:r>
      <w:r w:rsidR="00744A1C" w:rsidRPr="00C24F9C">
        <w:rPr>
          <w:rStyle w:val="libFootnoteBoldChar"/>
          <w:rtl/>
        </w:rPr>
        <w:t>الوافي</w:t>
      </w:r>
      <w:r w:rsidR="00744A1C">
        <w:rPr>
          <w:rtl/>
          <w:lang w:bidi="fa-IR"/>
        </w:rPr>
        <w:t xml:space="preserve"> : « وصفت العمرة المفردة بها ؛ لأنّها مقطوعة عن الحجّ ». وراجع : </w:t>
      </w:r>
      <w:r w:rsidR="00744A1C" w:rsidRPr="00877682">
        <w:rPr>
          <w:rStyle w:val="libFootnoteBoldChar"/>
          <w:rtl/>
        </w:rPr>
        <w:t>لسان العرب</w:t>
      </w:r>
      <w:r w:rsidR="00744A1C">
        <w:rPr>
          <w:rtl/>
          <w:lang w:bidi="fa-IR"/>
        </w:rPr>
        <w:t xml:space="preserve"> ، ج 11 ، ص 42 ( قبل ).</w:t>
      </w:r>
    </w:p>
    <w:p w:rsidR="00744A1C" w:rsidRDefault="00E378DD" w:rsidP="00E378DD">
      <w:pPr>
        <w:pStyle w:val="libFootnote0"/>
        <w:rPr>
          <w:lang w:bidi="fa-IR"/>
        </w:rPr>
      </w:pPr>
      <w:r>
        <w:rPr>
          <w:rtl/>
          <w:lang w:bidi="fa-IR"/>
        </w:rPr>
        <w:t>(5).</w:t>
      </w:r>
      <w:r w:rsidR="00744A1C">
        <w:rPr>
          <w:rtl/>
          <w:lang w:bidi="fa-IR"/>
        </w:rPr>
        <w:t xml:space="preserve"> في </w:t>
      </w:r>
      <w:r w:rsidR="00744A1C" w:rsidRPr="00877682">
        <w:rPr>
          <w:rStyle w:val="libFootnoteBoldChar"/>
          <w:rtl/>
        </w:rPr>
        <w:t>مرآة العقول</w:t>
      </w:r>
      <w:r w:rsidR="00744A1C">
        <w:rPr>
          <w:rtl/>
          <w:lang w:bidi="fa-IR"/>
        </w:rPr>
        <w:t xml:space="preserve"> ، ج 18 ، ص 238 : « ظاهر هذا الخبر والذي قبله عدم الاحتياج إلى طواف النساء في المفردة أيضاً كما ذهب إليه الجعفي خلافاً للمشهور. ويمكن حملها على التقيّة ، وإن كان القول بالاستحباب لا يخلو من قوّة كما هو ظاهر الكليني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12 ، ص 460 ، ح 12320 ؛ </w:t>
      </w:r>
      <w:r w:rsidR="00744A1C" w:rsidRPr="00C24F9C">
        <w:rPr>
          <w:rStyle w:val="libFootnoteBoldChar"/>
          <w:rtl/>
        </w:rPr>
        <w:t>الوسائل</w:t>
      </w:r>
      <w:r w:rsidR="00744A1C">
        <w:rPr>
          <w:rtl/>
          <w:lang w:bidi="fa-IR"/>
        </w:rPr>
        <w:t xml:space="preserve"> ، ج 13 ، ص 443 ، ح 18173.</w:t>
      </w:r>
    </w:p>
    <w:p w:rsidR="00744A1C" w:rsidRDefault="00E378DD" w:rsidP="00E378DD">
      <w:pPr>
        <w:pStyle w:val="libFootnote0"/>
        <w:rPr>
          <w:lang w:bidi="fa-IR"/>
        </w:rPr>
      </w:pPr>
      <w:r>
        <w:rPr>
          <w:rtl/>
          <w:lang w:bidi="fa-IR"/>
        </w:rPr>
        <w:t>(7).</w:t>
      </w:r>
      <w:r w:rsidR="00744A1C">
        <w:rPr>
          <w:rtl/>
          <w:lang w:bidi="fa-IR"/>
        </w:rPr>
        <w:t xml:space="preserve"> في « جن » : « البيت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12 ، ص 461 ، ح 12324 ؛ </w:t>
      </w:r>
      <w:r w:rsidR="00744A1C" w:rsidRPr="00C24F9C">
        <w:rPr>
          <w:rStyle w:val="libFootnoteBoldChar"/>
          <w:rtl/>
        </w:rPr>
        <w:t>الوسائل</w:t>
      </w:r>
      <w:r w:rsidR="00744A1C">
        <w:rPr>
          <w:rtl/>
          <w:lang w:bidi="fa-IR"/>
        </w:rPr>
        <w:t xml:space="preserve"> ، ج 14 ، ص 316 ، ح 19301.</w:t>
      </w:r>
    </w:p>
    <w:p w:rsidR="00744A1C" w:rsidRDefault="00E378DD" w:rsidP="00E378DD">
      <w:pPr>
        <w:pStyle w:val="libFootnote0"/>
        <w:rPr>
          <w:lang w:bidi="fa-IR"/>
        </w:rPr>
      </w:pPr>
      <w:r>
        <w:rPr>
          <w:rtl/>
          <w:lang w:bidi="fa-IR"/>
        </w:rPr>
        <w:t>(9).</w:t>
      </w:r>
      <w:r w:rsidR="00744A1C">
        <w:rPr>
          <w:rtl/>
          <w:lang w:bidi="fa-IR"/>
        </w:rPr>
        <w:t xml:space="preserve"> في الاستبصار : - « عن محمّد ». وهو سهو ناش من جواز النظر من « محمّد » في « أحمد بن محمّد » إلى </w:t>
      </w:r>
      <w:r w:rsidR="00F90866">
        <w:rPr>
          <w:rFonts w:hint="cs"/>
          <w:rtl/>
          <w:lang w:bidi="fa-IR"/>
        </w:rPr>
        <w:t>=</w:t>
      </w:r>
    </w:p>
    <w:p w:rsidR="00150943" w:rsidRDefault="00150943" w:rsidP="00D10E3C">
      <w:pPr>
        <w:pStyle w:val="libNormal"/>
        <w:rPr>
          <w:rtl/>
          <w:lang w:bidi="fa-IR"/>
        </w:rPr>
      </w:pPr>
      <w:r>
        <w:rPr>
          <w:rtl/>
          <w:lang w:bidi="fa-IR"/>
        </w:rPr>
        <w:br w:type="page"/>
      </w:r>
    </w:p>
    <w:p w:rsidR="00144FA6" w:rsidRDefault="00744A1C" w:rsidP="00B03098">
      <w:pPr>
        <w:pStyle w:val="libNormal0"/>
        <w:rPr>
          <w:rtl/>
          <w:lang w:bidi="fa-IR"/>
        </w:rPr>
      </w:pPr>
      <w:r>
        <w:rPr>
          <w:rtl/>
          <w:lang w:bidi="fa-IR"/>
        </w:rPr>
        <w:lastRenderedPageBreak/>
        <w:t xml:space="preserve">إِبْرَاهِيمَ بْنِ عَبْدِ الْحَمِيدِ ، عَنْ عُمَرَ </w:t>
      </w:r>
      <w:r w:rsidRPr="00D10E3C">
        <w:rPr>
          <w:rStyle w:val="libFootnotenumChar"/>
          <w:rtl/>
        </w:rPr>
        <w:t>(1)</w:t>
      </w:r>
      <w:r>
        <w:rPr>
          <w:rtl/>
          <w:lang w:bidi="fa-IR"/>
        </w:rPr>
        <w:t xml:space="preserve"> أَوْ غَيْرِهِ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الْمُعْتَمِرُ يَطُوفُ وَيَسْعى وَيَحْلِقُ » قَالَ : « وَلَابُدَّ لَهُ </w:t>
      </w:r>
      <w:r w:rsidRPr="00D10E3C">
        <w:rPr>
          <w:rStyle w:val="libFootnotenumChar"/>
          <w:rtl/>
        </w:rPr>
        <w:t>(2)</w:t>
      </w:r>
      <w:r>
        <w:rPr>
          <w:rtl/>
          <w:lang w:bidi="fa-IR"/>
        </w:rPr>
        <w:t xml:space="preserve"> بَعْدَ الْحَلْقِ مِنْ طَوَافٍ آخَرَ ». </w:t>
      </w:r>
      <w:r w:rsidRPr="00D10E3C">
        <w:rPr>
          <w:rStyle w:val="libFootnotenumChar"/>
          <w:rtl/>
        </w:rPr>
        <w:t>(3)</w:t>
      </w:r>
    </w:p>
    <w:p w:rsidR="00144FA6" w:rsidRDefault="00744A1C" w:rsidP="00744A1C">
      <w:pPr>
        <w:pStyle w:val="libNormal"/>
        <w:rPr>
          <w:rtl/>
          <w:lang w:bidi="fa-IR"/>
        </w:rPr>
      </w:pPr>
      <w:r>
        <w:rPr>
          <w:rtl/>
          <w:lang w:bidi="fa-IR"/>
        </w:rPr>
        <w:t xml:space="preserve">8041 / 8. عَلِيُّ بْنُ إِبْرَاهِيمَ ، عَنْ أَبِيهِ ، عَنِ ابْنِ أَبِي عُمَيْرٍ ، عَنْ بَعْضِ أَصْحَابِنَا ، عَنْ إِسْمَاعِيلَ بْنِ رِيَاحٍ </w:t>
      </w:r>
      <w:r w:rsidRPr="00D10E3C">
        <w:rPr>
          <w:rStyle w:val="libFootnotenumChar"/>
          <w:rtl/>
        </w:rPr>
        <w:t>(4)</w:t>
      </w:r>
      <w:r>
        <w:rPr>
          <w:rtl/>
          <w:lang w:bidi="fa-IR"/>
        </w:rPr>
        <w:t xml:space="preserve"> :</w:t>
      </w:r>
    </w:p>
    <w:p w:rsidR="00144FA6" w:rsidRDefault="00744A1C" w:rsidP="00744A1C">
      <w:pPr>
        <w:pStyle w:val="libNormal"/>
        <w:rPr>
          <w:rtl/>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قَالَ : سَأَلْتُهُ عَنْ مُفْرِدِ الْعُمْرَةِ : عَلَيْهِ طَوَافُ النِّسَاءِ؟ قَالَ : « نَعَمْ ».</w:t>
      </w:r>
      <w:r w:rsidRPr="00D10E3C">
        <w:rPr>
          <w:rStyle w:val="libFootnotenumChar"/>
          <w:rtl/>
        </w:rPr>
        <w:t>(5)</w:t>
      </w:r>
    </w:p>
    <w:p w:rsidR="00144FA6" w:rsidRDefault="00744A1C" w:rsidP="00744A1C">
      <w:pPr>
        <w:pStyle w:val="libNormal"/>
        <w:rPr>
          <w:rtl/>
          <w:lang w:bidi="fa-IR"/>
        </w:rPr>
      </w:pPr>
      <w:r>
        <w:rPr>
          <w:rtl/>
          <w:lang w:bidi="fa-IR"/>
        </w:rPr>
        <w:t xml:space="preserve">8042 / 9. مُحَمَّدُ بْنُ يَحْيى ، عَنْ مُحَمَّدِ بْنِ أَحْمَدَ </w:t>
      </w:r>
      <w:r w:rsidRPr="00D10E3C">
        <w:rPr>
          <w:rStyle w:val="libFootnotenumChar"/>
          <w:rtl/>
        </w:rPr>
        <w:t>(6)</w:t>
      </w:r>
      <w:r>
        <w:rPr>
          <w:rtl/>
          <w:lang w:bidi="fa-IR"/>
        </w:rPr>
        <w:t xml:space="preserve"> ، عَنْ مُحَمَّدِ بْنِ عِيسى ، قَالَ :</w:t>
      </w:r>
    </w:p>
    <w:p w:rsidR="00744A1C" w:rsidRDefault="00744A1C" w:rsidP="00D10E3C">
      <w:pPr>
        <w:pStyle w:val="libLine"/>
        <w:rPr>
          <w:lang w:bidi="fa-IR"/>
        </w:rPr>
      </w:pPr>
      <w:r>
        <w:rPr>
          <w:rtl/>
          <w:lang w:bidi="fa-IR"/>
        </w:rPr>
        <w:t>____________________</w:t>
      </w:r>
    </w:p>
    <w:p w:rsidR="00744A1C" w:rsidRDefault="002D3EDB" w:rsidP="00D10E3C">
      <w:pPr>
        <w:pStyle w:val="libFootnote0"/>
        <w:rPr>
          <w:lang w:bidi="fa-IR"/>
        </w:rPr>
      </w:pPr>
      <w:r>
        <w:rPr>
          <w:rFonts w:hint="cs"/>
          <w:rtl/>
          <w:lang w:bidi="fa-IR"/>
        </w:rPr>
        <w:t xml:space="preserve">= </w:t>
      </w:r>
      <w:r w:rsidR="00744A1C">
        <w:rPr>
          <w:rtl/>
          <w:lang w:bidi="fa-IR"/>
        </w:rPr>
        <w:t>« محمّد » في « محمّد بن إسماعيل ». والمراد من محمّد بن إسماعيل هذا هو ابن بزيع.</w:t>
      </w:r>
    </w:p>
    <w:tbl>
      <w:tblPr>
        <w:tblStyle w:val="TableGrid"/>
        <w:bidiVisual/>
        <w:tblW w:w="0" w:type="auto"/>
        <w:tblLook w:val="04A0" w:firstRow="1" w:lastRow="0" w:firstColumn="1" w:lastColumn="0" w:noHBand="0" w:noVBand="1"/>
      </w:tblPr>
      <w:tblGrid>
        <w:gridCol w:w="4006"/>
        <w:gridCol w:w="4006"/>
      </w:tblGrid>
      <w:tr w:rsidR="002D3EDB" w:rsidTr="002D3EDB">
        <w:tc>
          <w:tcPr>
            <w:tcW w:w="4006" w:type="dxa"/>
          </w:tcPr>
          <w:p w:rsidR="002D3EDB" w:rsidRDefault="002D3EDB" w:rsidP="00D10E3C">
            <w:pPr>
              <w:pStyle w:val="libFootnote0"/>
              <w:rPr>
                <w:rtl/>
                <w:lang w:bidi="fa-IR"/>
              </w:rPr>
            </w:pPr>
            <w:r>
              <w:rPr>
                <w:rtl/>
                <w:lang w:bidi="fa-IR"/>
              </w:rPr>
              <w:t>(1). في الاستبصار : + « بن يزيد ».</w:t>
            </w:r>
          </w:p>
        </w:tc>
        <w:tc>
          <w:tcPr>
            <w:tcW w:w="4006" w:type="dxa"/>
          </w:tcPr>
          <w:p w:rsidR="002D3EDB" w:rsidRDefault="002D3EDB" w:rsidP="00D10E3C">
            <w:pPr>
              <w:pStyle w:val="libFootnote0"/>
              <w:rPr>
                <w:rtl/>
                <w:lang w:bidi="fa-IR"/>
              </w:rPr>
            </w:pPr>
            <w:r>
              <w:rPr>
                <w:rtl/>
                <w:lang w:bidi="fa-IR"/>
              </w:rPr>
              <w:t>(2). في الاستبصار : + « من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254 ، ح 859 ؛ </w:t>
      </w:r>
      <w:r w:rsidR="00744A1C" w:rsidRPr="00C24F9C">
        <w:rPr>
          <w:rStyle w:val="libFootnoteBoldChar"/>
          <w:rtl/>
        </w:rPr>
        <w:t>والاستبصار</w:t>
      </w:r>
      <w:r w:rsidR="00744A1C">
        <w:rPr>
          <w:rtl/>
          <w:lang w:bidi="fa-IR"/>
        </w:rPr>
        <w:t xml:space="preserve"> ، ج 2 ، ص 231 ، ح 802 ، معلّقاً عن الكليني </w:t>
      </w:r>
      <w:r w:rsidR="002D3EDB">
        <w:rPr>
          <w:rFonts w:hint="cs"/>
          <w:rtl/>
          <w:lang w:bidi="fa-IR"/>
        </w:rPr>
        <w:t>.</w:t>
      </w:r>
      <w:r w:rsidR="00744A1C" w:rsidRPr="00C24F9C">
        <w:rPr>
          <w:rStyle w:val="libFootnoteBoldChar"/>
          <w:rtl/>
        </w:rPr>
        <w:t>الوافي</w:t>
      </w:r>
      <w:r w:rsidR="00744A1C">
        <w:rPr>
          <w:rtl/>
          <w:lang w:bidi="fa-IR"/>
        </w:rPr>
        <w:t xml:space="preserve"> ، ج 12 ، ص 462 ، ح 12325 ؛ </w:t>
      </w:r>
      <w:r w:rsidR="00744A1C" w:rsidRPr="00C24F9C">
        <w:rPr>
          <w:rStyle w:val="libFootnoteBoldChar"/>
          <w:rtl/>
        </w:rPr>
        <w:t>الوسائل</w:t>
      </w:r>
      <w:r w:rsidR="00744A1C">
        <w:rPr>
          <w:rtl/>
          <w:lang w:bidi="fa-IR"/>
        </w:rPr>
        <w:t xml:space="preserve"> ، ج 13 ، ص 443 ، ح 18171.</w:t>
      </w:r>
    </w:p>
    <w:p w:rsidR="00744A1C" w:rsidRDefault="00E378DD" w:rsidP="00E378DD">
      <w:pPr>
        <w:pStyle w:val="libFootnote0"/>
        <w:rPr>
          <w:lang w:bidi="fa-IR"/>
        </w:rPr>
      </w:pPr>
      <w:r>
        <w:rPr>
          <w:rtl/>
          <w:lang w:bidi="fa-IR"/>
        </w:rPr>
        <w:t>(4).</w:t>
      </w:r>
      <w:r w:rsidR="00744A1C">
        <w:rPr>
          <w:rtl/>
          <w:lang w:bidi="fa-IR"/>
        </w:rPr>
        <w:t xml:space="preserve"> في « ى » </w:t>
      </w:r>
      <w:r w:rsidR="00744A1C" w:rsidRPr="002D3EDB">
        <w:rPr>
          <w:rtl/>
        </w:rPr>
        <w:t xml:space="preserve">والوافي والوسائل والتهذيب </w:t>
      </w:r>
      <w:r w:rsidR="00744A1C">
        <w:rPr>
          <w:rtl/>
          <w:lang w:bidi="fa-IR"/>
        </w:rPr>
        <w:t xml:space="preserve">: « رباح ». ثمّ إنّ الخبر ورد في </w:t>
      </w:r>
      <w:r w:rsidR="00744A1C" w:rsidRPr="00C24F9C">
        <w:rPr>
          <w:rStyle w:val="libFootnoteBoldChar"/>
          <w:rtl/>
        </w:rPr>
        <w:t>التهذيب</w:t>
      </w:r>
      <w:r w:rsidR="00744A1C">
        <w:rPr>
          <w:rtl/>
          <w:lang w:bidi="fa-IR"/>
        </w:rPr>
        <w:t xml:space="preserve"> ، ج 5 ، ص 253 ، ح 858 ، عن محمّد بن أحمد بن يحيى ، عن محمّد بن أبي عمير ، وفي </w:t>
      </w:r>
      <w:r w:rsidR="00744A1C" w:rsidRPr="002D3EDB">
        <w:rPr>
          <w:rStyle w:val="libFootnoteBoldChar"/>
          <w:rtl/>
        </w:rPr>
        <w:t>الاستبصار</w:t>
      </w:r>
      <w:r w:rsidR="00744A1C">
        <w:rPr>
          <w:rtl/>
          <w:lang w:bidi="fa-IR"/>
        </w:rPr>
        <w:t xml:space="preserve"> ، ج 2 ، ص 231 ، ح 801 ، عن محمّد بن أحمد بن يحيى ، عن أحمد بن محمّد بن أبي عمير. وفي سند </w:t>
      </w:r>
      <w:r w:rsidR="00744A1C" w:rsidRPr="002D3EDB">
        <w:rPr>
          <w:rtl/>
        </w:rPr>
        <w:t>التهذيبين</w:t>
      </w:r>
      <w:r w:rsidR="00744A1C">
        <w:rPr>
          <w:rtl/>
          <w:lang w:bidi="fa-IR"/>
        </w:rPr>
        <w:t xml:space="preserve"> تحريف لا محالة ، أمّا الأوّل ، فلعدم ثبوت رواية محمّد بن أحمد بن يحيى - وهو ابن عمران الأشعري - عن ابن أبي عمير مباشرة. وأمّا الثاني ، فلوقوع التحريف في عنوان « أحمد بن محمّد بن أبي عمير ». والظاهر أنّ الأصل فيه هكذا : « أحمد بن محمّد ، عن محمّد بن أبي عمير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253 ، ح 858 ، بسنده عن محمّد بن أبي عمير ، عن إسماعيل بن رباح ، عن أبي الحسن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2D3EDB">
        <w:rPr>
          <w:rStyle w:val="libFootnoteBoldChar"/>
          <w:rtl/>
        </w:rPr>
        <w:t>الاستبصار</w:t>
      </w:r>
      <w:r w:rsidR="00744A1C">
        <w:rPr>
          <w:rtl/>
          <w:lang w:bidi="fa-IR"/>
        </w:rPr>
        <w:t xml:space="preserve"> ، ج 2 ، ص 231 ، ح 801 ، بسنده عن أحمد بن محمّد بن أبي عمير ، عن إسماعيل بن رياح. راجع : </w:t>
      </w:r>
      <w:r w:rsidR="00744A1C" w:rsidRPr="00C24F9C">
        <w:rPr>
          <w:rStyle w:val="libFootnoteBoldChar"/>
          <w:rtl/>
        </w:rPr>
        <w:t>التهذيب</w:t>
      </w:r>
      <w:r w:rsidR="00744A1C">
        <w:rPr>
          <w:rtl/>
          <w:lang w:bidi="fa-IR"/>
        </w:rPr>
        <w:t xml:space="preserve"> ، ج 5 ، ص 254 ، ح 860 ؛ </w:t>
      </w:r>
      <w:r w:rsidR="00744A1C" w:rsidRPr="00C24F9C">
        <w:rPr>
          <w:rStyle w:val="libFootnoteBoldChar"/>
          <w:rtl/>
        </w:rPr>
        <w:t>والاستبصار</w:t>
      </w:r>
      <w:r w:rsidR="00744A1C">
        <w:rPr>
          <w:rtl/>
          <w:lang w:bidi="fa-IR"/>
        </w:rPr>
        <w:t xml:space="preserve"> ، ج 2 ، ص 231 ، ح 801 </w:t>
      </w:r>
      <w:r w:rsidR="002D3EDB">
        <w:rPr>
          <w:rFonts w:hint="cs"/>
          <w:rtl/>
          <w:lang w:bidi="fa-IR"/>
        </w:rPr>
        <w:t>.</w:t>
      </w:r>
      <w:r w:rsidR="00744A1C" w:rsidRPr="00C24F9C">
        <w:rPr>
          <w:rStyle w:val="libFootnoteBoldChar"/>
          <w:rtl/>
        </w:rPr>
        <w:t>الوافي</w:t>
      </w:r>
      <w:r w:rsidR="00744A1C">
        <w:rPr>
          <w:rtl/>
          <w:lang w:bidi="fa-IR"/>
        </w:rPr>
        <w:t xml:space="preserve"> ، ج 12 ، ص 462 ، ح 12326 ؛ </w:t>
      </w:r>
      <w:r w:rsidR="00744A1C" w:rsidRPr="00C24F9C">
        <w:rPr>
          <w:rStyle w:val="libFootnoteBoldChar"/>
          <w:rtl/>
        </w:rPr>
        <w:t>الوسائل</w:t>
      </w:r>
      <w:r w:rsidR="00744A1C">
        <w:rPr>
          <w:rtl/>
          <w:lang w:bidi="fa-IR"/>
        </w:rPr>
        <w:t xml:space="preserve"> ، ج 13 ، ص 445 ، ذيل ح 18177.</w:t>
      </w:r>
    </w:p>
    <w:p w:rsidR="00744A1C" w:rsidRDefault="00E378DD" w:rsidP="002D3EDB">
      <w:pPr>
        <w:pStyle w:val="libFootnote0"/>
        <w:rPr>
          <w:lang w:bidi="fa-IR"/>
        </w:rPr>
      </w:pPr>
      <w:r>
        <w:rPr>
          <w:rtl/>
          <w:lang w:bidi="fa-IR"/>
        </w:rPr>
        <w:t>(6).</w:t>
      </w:r>
      <w:r w:rsidR="00744A1C">
        <w:rPr>
          <w:rtl/>
          <w:lang w:bidi="fa-IR"/>
        </w:rPr>
        <w:t xml:space="preserve"> في « بس » </w:t>
      </w:r>
      <w:r w:rsidR="00744A1C" w:rsidRPr="00C24F9C">
        <w:rPr>
          <w:rStyle w:val="libFootnoteBoldChar"/>
          <w:rtl/>
        </w:rPr>
        <w:t>والاستبصار</w:t>
      </w:r>
      <w:r w:rsidR="00744A1C">
        <w:rPr>
          <w:rtl/>
          <w:lang w:bidi="fa-IR"/>
        </w:rPr>
        <w:t xml:space="preserve"> : « أحمد بن محمّد ». وقد توسّط محمّد بن أحمد [ بن يحيى ] بين محمّد بن يحيى ومحمّد بن عيسى في كثيرٍ من الأسناد. وتحريف « محمّد بن أحمد » ب</w:t>
      </w:r>
      <w:r w:rsidR="002D3EDB">
        <w:rPr>
          <w:rFonts w:hint="cs"/>
          <w:rtl/>
          <w:lang w:bidi="fa-IR"/>
        </w:rPr>
        <w:t>ـ</w:t>
      </w:r>
      <w:r w:rsidR="00744A1C">
        <w:rPr>
          <w:rtl/>
          <w:lang w:bidi="fa-IR"/>
        </w:rPr>
        <w:t xml:space="preserve"> « أحمد بن محمّد » غير بعيد بعد ما ورد في كثيرٍ من الأسناد جدّاً من رواية محمّد بن يحيى عن أحمد بن محمّد. راجع : </w:t>
      </w:r>
      <w:r w:rsidR="00744A1C" w:rsidRPr="0061079A">
        <w:rPr>
          <w:rStyle w:val="libFootnoteBoldChar"/>
          <w:rtl/>
        </w:rPr>
        <w:t>معجم رجال الحديث</w:t>
      </w:r>
      <w:r w:rsidR="00744A1C">
        <w:rPr>
          <w:rtl/>
          <w:lang w:bidi="fa-IR"/>
        </w:rPr>
        <w:t xml:space="preserve"> ، ج 14 ، ص 444 - 445 ؛ وج 15 ، ص 328 - 329.</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كَتَبَ أَبُو الْقَاسِمِ مُخَلَّدُ بْنُ مُوسَى الرَّازِيُّ إِلَى الرَّجُلِ </w:t>
      </w:r>
      <w:r w:rsidRPr="00D10E3C">
        <w:rPr>
          <w:rStyle w:val="libFootnotenumChar"/>
          <w:rtl/>
        </w:rPr>
        <w:t>(1)</w:t>
      </w:r>
      <w:r>
        <w:rPr>
          <w:rtl/>
          <w:lang w:bidi="fa-IR"/>
        </w:rPr>
        <w:t xml:space="preserve"> يَسْأَلُهُ عَنِ الْعُمْرَةِ الْمَبْتُولَةِ : هَلْ عَلى صَاحِبِهَا طَوَافُ النِّسَاءِ ، وَالْعُمْرَةِ </w:t>
      </w:r>
      <w:r w:rsidRPr="00D10E3C">
        <w:rPr>
          <w:rStyle w:val="libFootnotenumChar"/>
          <w:rtl/>
        </w:rPr>
        <w:t>(2)</w:t>
      </w:r>
      <w:r>
        <w:rPr>
          <w:rtl/>
          <w:lang w:bidi="fa-IR"/>
        </w:rPr>
        <w:t xml:space="preserve"> الَّتِي يُتَمَتَّعُ بِهَا إِلَى الْحَجِّ؟</w:t>
      </w:r>
    </w:p>
    <w:p w:rsidR="00144FA6" w:rsidRDefault="00744A1C" w:rsidP="00744A1C">
      <w:pPr>
        <w:pStyle w:val="libNormal"/>
        <w:rPr>
          <w:rtl/>
          <w:lang w:bidi="fa-IR"/>
        </w:rPr>
      </w:pPr>
      <w:r>
        <w:rPr>
          <w:rtl/>
          <w:lang w:bidi="fa-IR"/>
        </w:rPr>
        <w:t xml:space="preserve">فَكَتَبَ : « أَمَّا الْعُمْرَةُ الْمَبْتُولَةُ ، فَعَلى صَاحِبِهَا طَوَافُ النِّسَاءِ ؛ وَأَمَّا الَّتِي يُتَمَتَّعُ بِهَا إِلَى الْحَجِّ ، فَلَيْسَ عَلى صَاحِبِهَا طَوَافُ النِّسَاءِ ». </w:t>
      </w:r>
      <w:r w:rsidRPr="00D10E3C">
        <w:rPr>
          <w:rStyle w:val="libFootnotenumChar"/>
          <w:rtl/>
        </w:rPr>
        <w:t>(3)</w:t>
      </w:r>
    </w:p>
    <w:p w:rsidR="00744A1C" w:rsidRDefault="00744A1C" w:rsidP="002D3EDB">
      <w:pPr>
        <w:pStyle w:val="Heading2Center"/>
        <w:rPr>
          <w:lang w:bidi="fa-IR"/>
        </w:rPr>
      </w:pPr>
      <w:bookmarkStart w:id="56" w:name="_Toc49261354"/>
      <w:r>
        <w:rPr>
          <w:rtl/>
          <w:lang w:bidi="fa-IR"/>
        </w:rPr>
        <w:t>210 - بَابُ الْمُعْتَمِرِ يَطَأُ أَهْلَهُ وَهُوَ مُحْرِمٌ وَالْكَفَّارَةِ فِي ذلِكَ‌</w:t>
      </w:r>
      <w:bookmarkEnd w:id="56"/>
    </w:p>
    <w:p w:rsidR="00144FA6" w:rsidRDefault="00744A1C" w:rsidP="00744A1C">
      <w:pPr>
        <w:pStyle w:val="libNormal"/>
        <w:rPr>
          <w:rtl/>
          <w:lang w:bidi="fa-IR"/>
        </w:rPr>
      </w:pPr>
      <w:r>
        <w:rPr>
          <w:rtl/>
          <w:lang w:bidi="fa-IR"/>
        </w:rPr>
        <w:t>8043 / 1. عَلِيُّ بْنُ إِبْرَاهِيمَ ، عَنْ أَبِيهِ ، عَنِ ابْنِ أَبِي عُمَيْرٍ ، عَنْ أَحْمَدَ بْنِ أَبِي عَلِيٍّ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فِي رَجُلٍ </w:t>
      </w:r>
      <w:r w:rsidRPr="00D10E3C">
        <w:rPr>
          <w:rStyle w:val="libFootnotenumChar"/>
          <w:rtl/>
        </w:rPr>
        <w:t>(4)</w:t>
      </w:r>
      <w:r>
        <w:rPr>
          <w:rtl/>
          <w:lang w:bidi="fa-IR"/>
        </w:rPr>
        <w:t xml:space="preserve"> اعْتَمَرَ عُمْرَةً مُفْرَدَةً ، فَوَطِئَ أَهْلَهُ وَهُوَ مُحْرِمٌ قَبْلَ أَنْ يَفْرُغَ مِنْ طَوَافِهِ وَسَعْيِهِ ، قَالَ : « عَلَيْهِ بَدَنَةٌ ؛ لِفَسَادِ عُمْرَتِهِ ، وَعَلَيْهِ أَنْ يُقِيمَ بِمَكَّةَ حَتّى يَدْخُلَ شَهْرٌ آخَرُ </w:t>
      </w:r>
      <w:r w:rsidRPr="00D10E3C">
        <w:rPr>
          <w:rStyle w:val="libFootnotenumChar"/>
          <w:rtl/>
        </w:rPr>
        <w:t>(5)</w:t>
      </w:r>
      <w:r>
        <w:rPr>
          <w:rtl/>
          <w:lang w:bidi="fa-IR"/>
        </w:rPr>
        <w:t xml:space="preserve"> ، فَيَخْرُجَ إِلى بَعْضِ الْمَوَاقِيتِ ، فَيُحْرِمَ مِنْهُ ، ثُمَّ يَعْتَمِرَ ». </w:t>
      </w:r>
      <w:r w:rsidRPr="00D10E3C">
        <w:rPr>
          <w:rStyle w:val="libFootnotenumChar"/>
          <w:rtl/>
        </w:rPr>
        <w:t>(6)</w:t>
      </w:r>
    </w:p>
    <w:p w:rsidR="00144FA6" w:rsidRDefault="00744A1C" w:rsidP="00744A1C">
      <w:pPr>
        <w:pStyle w:val="libNormal"/>
        <w:rPr>
          <w:rtl/>
          <w:lang w:bidi="fa-IR"/>
        </w:rPr>
      </w:pPr>
      <w:r>
        <w:rPr>
          <w:rtl/>
          <w:lang w:bidi="fa-IR"/>
        </w:rPr>
        <w:t>8044 / 2. عِدَّةٌ مِنْ أَصْحَابِنَا ، عَنْ سَهْلِ بْنِ زِيَادٍ ، عَنِ الْحَسَنِ بْنِ مَحْبُوبٍ ، عَنْ عَلِيِّ بْنِ رِئَابٍ ، عَنْ مِسْمَعٍ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الاستبصار ، ص 245 : - « إلى الرجل ».</w:t>
      </w:r>
    </w:p>
    <w:p w:rsidR="00744A1C" w:rsidRDefault="00E378DD" w:rsidP="00E378DD">
      <w:pPr>
        <w:pStyle w:val="libFootnote0"/>
        <w:rPr>
          <w:lang w:bidi="fa-IR"/>
        </w:rPr>
      </w:pPr>
      <w:r>
        <w:rPr>
          <w:rtl/>
          <w:lang w:bidi="fa-IR"/>
        </w:rPr>
        <w:t>(2).</w:t>
      </w:r>
      <w:r w:rsidR="00744A1C">
        <w:rPr>
          <w:rtl/>
          <w:lang w:bidi="fa-IR"/>
        </w:rPr>
        <w:t xml:space="preserve"> في </w:t>
      </w:r>
      <w:r w:rsidR="00744A1C" w:rsidRPr="002D3EDB">
        <w:rPr>
          <w:rtl/>
        </w:rPr>
        <w:t>الوافي والتهذيب والاستبصار</w:t>
      </w:r>
      <w:r w:rsidR="00744A1C">
        <w:rPr>
          <w:rtl/>
          <w:lang w:bidi="fa-IR"/>
        </w:rPr>
        <w:t xml:space="preserve"> ، ص 245 : « وعن العمرة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254 ، ح 861 ؛ </w:t>
      </w:r>
      <w:r w:rsidR="00744A1C" w:rsidRPr="00C24F9C">
        <w:rPr>
          <w:rStyle w:val="libFootnoteBoldChar"/>
          <w:rtl/>
        </w:rPr>
        <w:t>والاستبصار</w:t>
      </w:r>
      <w:r w:rsidR="00744A1C">
        <w:rPr>
          <w:rtl/>
          <w:lang w:bidi="fa-IR"/>
        </w:rPr>
        <w:t xml:space="preserve"> ، ج 2 ، ص 232 ، ح 804 ، معلّقاً عن الكليني. وفي </w:t>
      </w:r>
      <w:r w:rsidR="00744A1C" w:rsidRPr="00C24F9C">
        <w:rPr>
          <w:rStyle w:val="libFootnoteBoldChar"/>
          <w:rtl/>
        </w:rPr>
        <w:t>التهذيب</w:t>
      </w:r>
      <w:r w:rsidR="00744A1C">
        <w:rPr>
          <w:rtl/>
          <w:lang w:bidi="fa-IR"/>
        </w:rPr>
        <w:t xml:space="preserve"> ، ج 5 ، ص 163 ، ح 545 ؛ </w:t>
      </w:r>
      <w:r w:rsidR="00744A1C" w:rsidRPr="00C24F9C">
        <w:rPr>
          <w:rStyle w:val="libFootnoteBoldChar"/>
          <w:rtl/>
        </w:rPr>
        <w:t>والاستبصار</w:t>
      </w:r>
      <w:r w:rsidR="00744A1C">
        <w:rPr>
          <w:rtl/>
          <w:lang w:bidi="fa-IR"/>
        </w:rPr>
        <w:t xml:space="preserve"> ، ج 2 ، ص 245 ، ح 854 ، معلّقاً عن محمّد بن أحمد بن يحيى ، عن محمّد بن عيسى </w:t>
      </w:r>
      <w:r w:rsidR="002D3EDB">
        <w:rPr>
          <w:rFonts w:hint="cs"/>
          <w:rtl/>
          <w:lang w:bidi="fa-IR"/>
        </w:rPr>
        <w:t>.</w:t>
      </w:r>
      <w:r w:rsidR="00744A1C" w:rsidRPr="00C24F9C">
        <w:rPr>
          <w:rStyle w:val="libFootnoteBoldChar"/>
          <w:rtl/>
        </w:rPr>
        <w:t>الوافي</w:t>
      </w:r>
      <w:r w:rsidR="00744A1C">
        <w:rPr>
          <w:rtl/>
          <w:lang w:bidi="fa-IR"/>
        </w:rPr>
        <w:t xml:space="preserve"> ، ج 12 ، ص 463 ، ح 12327 ؛ </w:t>
      </w:r>
      <w:r w:rsidR="00744A1C" w:rsidRPr="00C24F9C">
        <w:rPr>
          <w:rStyle w:val="libFootnoteBoldChar"/>
          <w:rtl/>
        </w:rPr>
        <w:t>الوسائل</w:t>
      </w:r>
      <w:r w:rsidR="00744A1C">
        <w:rPr>
          <w:rtl/>
          <w:lang w:bidi="fa-IR"/>
        </w:rPr>
        <w:t xml:space="preserve"> ، ج 13 ، ص 442 ، ح 18170.</w:t>
      </w:r>
    </w:p>
    <w:p w:rsidR="00744A1C" w:rsidRDefault="00E378DD" w:rsidP="00E378DD">
      <w:pPr>
        <w:pStyle w:val="libFootnote0"/>
        <w:rPr>
          <w:lang w:bidi="fa-IR"/>
        </w:rPr>
      </w:pPr>
      <w:r>
        <w:rPr>
          <w:rtl/>
          <w:lang w:bidi="fa-IR"/>
        </w:rPr>
        <w:t>(4).</w:t>
      </w:r>
      <w:r w:rsidR="00744A1C">
        <w:rPr>
          <w:rtl/>
          <w:lang w:bidi="fa-IR"/>
        </w:rPr>
        <w:t xml:space="preserve"> في </w:t>
      </w:r>
      <w:r w:rsidR="00744A1C" w:rsidRPr="002D3EDB">
        <w:rPr>
          <w:rtl/>
        </w:rPr>
        <w:t>الوافي</w:t>
      </w:r>
      <w:r w:rsidR="00744A1C">
        <w:rPr>
          <w:rtl/>
          <w:lang w:bidi="fa-IR"/>
        </w:rPr>
        <w:t xml:space="preserve"> : « الرجل ».</w:t>
      </w:r>
    </w:p>
    <w:p w:rsidR="00744A1C" w:rsidRDefault="00E378DD" w:rsidP="00E378DD">
      <w:pPr>
        <w:pStyle w:val="libFootnote0"/>
        <w:rPr>
          <w:lang w:bidi="fa-IR"/>
        </w:rPr>
      </w:pPr>
      <w:r>
        <w:rPr>
          <w:rtl/>
          <w:lang w:bidi="fa-IR"/>
        </w:rPr>
        <w:t>(5).</w:t>
      </w:r>
      <w:r w:rsidR="00744A1C">
        <w:rPr>
          <w:rtl/>
          <w:lang w:bidi="fa-IR"/>
        </w:rPr>
        <w:t xml:space="preserve"> في </w:t>
      </w:r>
      <w:r w:rsidR="00744A1C" w:rsidRPr="00877682">
        <w:rPr>
          <w:rStyle w:val="libFootnoteBoldChar"/>
          <w:rtl/>
        </w:rPr>
        <w:t>مرآة العقول</w:t>
      </w:r>
      <w:r w:rsidR="00744A1C">
        <w:rPr>
          <w:rtl/>
          <w:lang w:bidi="fa-IR"/>
        </w:rPr>
        <w:t xml:space="preserve"> ، ج 18 ، ص 240 : « المشهور أنّه على الفضل. وقال في </w:t>
      </w:r>
      <w:r w:rsidR="00744A1C" w:rsidRPr="002D3EDB">
        <w:rPr>
          <w:rStyle w:val="libFootnoteBoldChar"/>
          <w:rtl/>
        </w:rPr>
        <w:t>المدارك</w:t>
      </w:r>
      <w:r w:rsidR="00744A1C">
        <w:rPr>
          <w:rtl/>
          <w:lang w:bidi="fa-IR"/>
        </w:rPr>
        <w:t xml:space="preserve"> : مقتضى الروايتين تعيّن إيقاع القضاء في الشهر الداخل ، ولا يبعد المصير إلى ذلك ، وإن قلنا بجواز توالي العمرتين أو الاكتفاء بالفرق بينهما بعشرة أيّام في غير هذه الصورة ». وراجع : </w:t>
      </w:r>
      <w:r w:rsidR="00744A1C" w:rsidRPr="00C24F9C">
        <w:rPr>
          <w:rStyle w:val="libFootnoteBoldChar"/>
          <w:rtl/>
        </w:rPr>
        <w:t>مدارك الأحكام</w:t>
      </w:r>
      <w:r w:rsidR="00744A1C">
        <w:rPr>
          <w:rtl/>
          <w:lang w:bidi="fa-IR"/>
        </w:rPr>
        <w:t xml:space="preserve"> ، ج 8 ، ص 425.</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الفقيه</w:t>
      </w:r>
      <w:r w:rsidR="00744A1C">
        <w:rPr>
          <w:rtl/>
          <w:lang w:bidi="fa-IR"/>
        </w:rPr>
        <w:t xml:space="preserve"> ، ج 2 ، ص 453 ، ح 2947 ؛ </w:t>
      </w:r>
      <w:r w:rsidR="00744A1C" w:rsidRPr="0061079A">
        <w:rPr>
          <w:rStyle w:val="libFootnoteBoldChar"/>
          <w:rtl/>
        </w:rPr>
        <w:t>والتهذيب</w:t>
      </w:r>
      <w:r w:rsidR="00744A1C">
        <w:rPr>
          <w:rtl/>
          <w:lang w:bidi="fa-IR"/>
        </w:rPr>
        <w:t xml:space="preserve"> ، ج 5 ، ص 324 ، ح 1112 ، بسند آخر ، مع اختلاف يسير. </w:t>
      </w:r>
      <w:r w:rsidR="00744A1C" w:rsidRPr="00C24F9C">
        <w:rPr>
          <w:rStyle w:val="libFootnoteBoldChar"/>
          <w:rtl/>
        </w:rPr>
        <w:t>الفقيه</w:t>
      </w:r>
      <w:r w:rsidR="00744A1C">
        <w:rPr>
          <w:rtl/>
          <w:lang w:bidi="fa-IR"/>
        </w:rPr>
        <w:t xml:space="preserve"> ، ج 2 ، ص 453 ، ح 2946 ، بسند آخر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2D3EDB">
        <w:rPr>
          <w:rFonts w:hint="cs"/>
          <w:rtl/>
          <w:lang w:bidi="fa-IR"/>
        </w:rPr>
        <w:t>.</w:t>
      </w:r>
      <w:r w:rsidR="00744A1C" w:rsidRPr="00C24F9C">
        <w:rPr>
          <w:rStyle w:val="libFootnoteBoldChar"/>
          <w:rtl/>
        </w:rPr>
        <w:t>الوافي</w:t>
      </w:r>
      <w:r w:rsidR="00744A1C">
        <w:rPr>
          <w:rtl/>
          <w:lang w:bidi="fa-IR"/>
        </w:rPr>
        <w:t xml:space="preserve"> ، ج 13 ، ص 701 ، ح 12972 ؛ </w:t>
      </w:r>
      <w:r w:rsidR="00744A1C" w:rsidRPr="00C24F9C">
        <w:rPr>
          <w:rStyle w:val="libFootnoteBoldChar"/>
          <w:rtl/>
        </w:rPr>
        <w:t>الوسائل</w:t>
      </w:r>
      <w:r w:rsidR="00744A1C">
        <w:rPr>
          <w:rtl/>
          <w:lang w:bidi="fa-IR"/>
        </w:rPr>
        <w:t xml:space="preserve"> ، ج 13 ، ص 129 ، ح 17402.</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الرَّجُلِ يَعْتَمِرُ عُمْرَةً مُفْرَدَةً ، فَيَطُوفُ </w:t>
      </w:r>
      <w:r w:rsidRPr="00D10E3C">
        <w:rPr>
          <w:rStyle w:val="libFootnotenumChar"/>
          <w:rtl/>
        </w:rPr>
        <w:t>(1)</w:t>
      </w:r>
      <w:r>
        <w:rPr>
          <w:rtl/>
          <w:lang w:bidi="fa-IR"/>
        </w:rPr>
        <w:t xml:space="preserve"> بِالْبَيْتِ طَوَافَ الْفَرِيضَةِ ، ثُمَّ يَغْشى أَهْلَهُ قَبْلَ أَنْ يَسْعى بَيْنَ الصَّفَا وَالْمَرْوَةِ ، قَالَ : « قَدْ أَفْسَدَ عُمْرَتَهُ ، وَعَلَيْهِ بَدَن</w:t>
      </w:r>
      <w:r w:rsidR="002D3EDB">
        <w:rPr>
          <w:rtl/>
          <w:lang w:bidi="fa-IR"/>
        </w:rPr>
        <w:t>َةٌ ، وَيُقِيمُ بِمَكَّةَ مُحِل</w:t>
      </w:r>
      <w:r w:rsidR="002D3EDB">
        <w:rPr>
          <w:rFonts w:hint="cs"/>
          <w:rtl/>
          <w:lang w:bidi="fa-IR"/>
        </w:rPr>
        <w:t>ّ</w:t>
      </w:r>
      <w:r>
        <w:rPr>
          <w:rtl/>
          <w:lang w:bidi="fa-IR"/>
        </w:rPr>
        <w:t>ا</w:t>
      </w:r>
      <w:r w:rsidR="002D3EDB">
        <w:rPr>
          <w:rFonts w:hint="cs"/>
          <w:rtl/>
          <w:lang w:bidi="fa-IR"/>
        </w:rPr>
        <w:t>ً</w:t>
      </w:r>
      <w:r>
        <w:rPr>
          <w:rtl/>
          <w:lang w:bidi="fa-IR"/>
        </w:rPr>
        <w:t xml:space="preserve"> حَتّى يَخْرُجَ الشَّهْرُ الَّذِي اعْتَمَرَ فِيهِ ، ثُمَّ يَخْرُجُ إِلَى الْوَقْتِ الَّذِي وَقَّتَهُ رَسُولُ اللهِ </w:t>
      </w:r>
      <w:r w:rsidR="00AE01C7" w:rsidRPr="00AE01C7">
        <w:rPr>
          <w:rStyle w:val="libFootnoteAlaemChar"/>
          <w:rtl/>
        </w:rPr>
        <w:t>صلى‌الله‌عليه‌وآله</w:t>
      </w:r>
      <w:r w:rsidR="00D10E3C">
        <w:rPr>
          <w:rtl/>
          <w:lang w:bidi="fa-IR"/>
        </w:rPr>
        <w:t xml:space="preserve"> </w:t>
      </w:r>
      <w:r>
        <w:rPr>
          <w:rtl/>
          <w:lang w:bidi="fa-IR"/>
        </w:rPr>
        <w:t xml:space="preserve">لِأَهْلِ بِلَادِهِ ، فَيُحْرِمُ مِنْهُ وَيَعْتَمِرُ ». </w:t>
      </w:r>
      <w:r w:rsidRPr="00D10E3C">
        <w:rPr>
          <w:rStyle w:val="libFootnotenumChar"/>
          <w:rtl/>
        </w:rPr>
        <w:t>(2)</w:t>
      </w:r>
    </w:p>
    <w:p w:rsidR="00144FA6" w:rsidRDefault="00744A1C" w:rsidP="00744A1C">
      <w:pPr>
        <w:pStyle w:val="libNormal"/>
        <w:rPr>
          <w:rtl/>
          <w:lang w:bidi="fa-IR"/>
        </w:rPr>
      </w:pPr>
      <w:r>
        <w:rPr>
          <w:rtl/>
          <w:lang w:bidi="fa-IR"/>
        </w:rPr>
        <w:t>8045 / 3. حُمَيْدُ بْنُ زِيَادٍ ، عَنِ ابْنِ سَمَاعَةَ ، عَنْ غَيْرِ وَاحِدٍ ، عَنْ أَبَانٍ ، عَنْ زُرَارَةَ ، قَالَ :</w:t>
      </w:r>
    </w:p>
    <w:p w:rsidR="00144FA6" w:rsidRDefault="00744A1C" w:rsidP="00744A1C">
      <w:pPr>
        <w:pStyle w:val="libNormal"/>
        <w:rPr>
          <w:rtl/>
          <w:lang w:bidi="fa-IR"/>
        </w:rPr>
      </w:pPr>
      <w:r>
        <w:rPr>
          <w:rtl/>
          <w:lang w:bidi="fa-IR"/>
        </w:rPr>
        <w:t xml:space="preserve">قَالَ : مَنْ جَاءَ بِهَدْيٍ فِي عُمْرَةٍ فِي غَيْرِ حَجٍّ ، فَلْيَنْحَرْهُ قَبْلَ أَنْ يَحْلِقَ رَأْسَهُ. </w:t>
      </w:r>
      <w:r w:rsidRPr="00D10E3C">
        <w:rPr>
          <w:rStyle w:val="libFootnotenumChar"/>
          <w:rtl/>
        </w:rPr>
        <w:t>(3)</w:t>
      </w:r>
    </w:p>
    <w:p w:rsidR="00144FA6" w:rsidRDefault="00744A1C" w:rsidP="00744A1C">
      <w:pPr>
        <w:pStyle w:val="libNormal"/>
        <w:rPr>
          <w:rtl/>
          <w:lang w:bidi="fa-IR"/>
        </w:rPr>
      </w:pPr>
      <w:r>
        <w:rPr>
          <w:rtl/>
          <w:lang w:bidi="fa-IR"/>
        </w:rPr>
        <w:t>8046 / 4. مُحَمَّدُ بْنُ إِسْمَاعِيلَ ، عَنِ الْفَضْلِ بْنِ شَاذَانَ ، عَنْ صَفْوَانَ بْنِ يَحْيى ، عَنْ مُعَاوِيَةَ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الْمُعْتَمِرُ إِذَا سَاقَ الْهَدْيَ ، يَحْلِقُ قَبْلَ أَنْ يَذْبَحَ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8047 / 5. أَبُو عَلِيٍّ الْأَشْعَرِيُّ ، عَنِ الْحَسَنِ بْنِ عَلِيٍّ الْكُوفِيِّ ، عَنْ عَلِيِّ بْنِ مَهْزِيَارَ ، عَنْ فَضَالَةَ بْنِ أَيُّوبَ ، عَنْ مُعَاوِيَةَ بْنِ عَمَّارٍ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مَنْ سَاقَ هَدْياً فِي عُمْرَةٍ </w:t>
      </w:r>
      <w:r w:rsidRPr="00D10E3C">
        <w:rPr>
          <w:rStyle w:val="libFootnotenumChar"/>
          <w:rtl/>
        </w:rPr>
        <w:t>(6)</w:t>
      </w:r>
      <w:r>
        <w:rPr>
          <w:rtl/>
          <w:lang w:bidi="fa-IR"/>
        </w:rPr>
        <w:t xml:space="preserve"> ، فَلْيَنْحَرْهُ قَبْلَ أَنْ يَحْلِقَ ؛ وَمَنْ سَاقَ هَدْياً وَهُوَ مُعْتَمِرٌ ، نَحَرَ هَدْيَهُ بِالْمَنْحَرِ </w:t>
      </w:r>
      <w:r w:rsidRPr="00D10E3C">
        <w:rPr>
          <w:rStyle w:val="libFootnotenumChar"/>
          <w:rtl/>
        </w:rPr>
        <w:t>(7)</w:t>
      </w:r>
      <w:r>
        <w:rPr>
          <w:rtl/>
          <w:lang w:bidi="fa-IR"/>
        </w:rPr>
        <w:t xml:space="preserve"> ، وَهُوَ بَيْنَ الصَّفَا وَالْمَرْوَةِ ، وَهِيَ‌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w:t>
      </w:r>
      <w:r w:rsidR="00744A1C" w:rsidRPr="00E73EB7">
        <w:rPr>
          <w:rtl/>
        </w:rPr>
        <w:t>والوافي</w:t>
      </w:r>
      <w:r w:rsidR="00744A1C">
        <w:rPr>
          <w:rtl/>
          <w:lang w:bidi="fa-IR"/>
        </w:rPr>
        <w:t>. وفي المطبوع : « ويطوف ».</w:t>
      </w:r>
    </w:p>
    <w:p w:rsidR="00744A1C" w:rsidRDefault="00E378DD" w:rsidP="00E73EB7">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E73EB7">
        <w:rPr>
          <w:rtl/>
          <w:lang w:bidi="fa-IR"/>
        </w:rPr>
        <w:t>، ج 5، ص 323، ح 1111 ،</w:t>
      </w:r>
      <w:r w:rsidR="00744A1C">
        <w:rPr>
          <w:rtl/>
          <w:lang w:bidi="fa-IR"/>
        </w:rPr>
        <w:t>معلّقاً عن الكليني.</w:t>
      </w:r>
      <w:r w:rsidR="00744A1C" w:rsidRPr="00C24F9C">
        <w:rPr>
          <w:rStyle w:val="libFootnoteBoldChar"/>
          <w:rtl/>
        </w:rPr>
        <w:t>الفقيه</w:t>
      </w:r>
      <w:r w:rsidR="00744A1C">
        <w:rPr>
          <w:rtl/>
          <w:lang w:bidi="fa-IR"/>
        </w:rPr>
        <w:t xml:space="preserve"> ، ج 2 ، ص 452 ، ح</w:t>
      </w:r>
      <w:r w:rsidR="00E73EB7">
        <w:rPr>
          <w:rtl/>
          <w:lang w:bidi="fa-IR"/>
        </w:rPr>
        <w:t xml:space="preserve"> 2946 ، معلّقاً عن عليّ بن رئاب</w:t>
      </w:r>
      <w:r w:rsidR="00744A1C">
        <w:rPr>
          <w:rtl/>
          <w:lang w:bidi="fa-IR"/>
        </w:rPr>
        <w:t xml:space="preserve">، عن مسمع بن عبدالملك </w:t>
      </w:r>
      <w:r w:rsidR="00E73EB7">
        <w:rPr>
          <w:rFonts w:hint="cs"/>
          <w:rtl/>
          <w:lang w:bidi="fa-IR"/>
        </w:rPr>
        <w:t>.</w:t>
      </w:r>
      <w:r w:rsidR="00744A1C" w:rsidRPr="00C24F9C">
        <w:rPr>
          <w:rStyle w:val="libFootnoteBoldChar"/>
          <w:rtl/>
        </w:rPr>
        <w:t>الوافي</w:t>
      </w:r>
      <w:r w:rsidR="00E73EB7">
        <w:rPr>
          <w:rtl/>
          <w:lang w:bidi="fa-IR"/>
        </w:rPr>
        <w:t xml:space="preserve"> ،</w:t>
      </w:r>
      <w:r w:rsidR="00744A1C">
        <w:rPr>
          <w:rtl/>
          <w:lang w:bidi="fa-IR"/>
        </w:rPr>
        <w:t xml:space="preserve">ج 13 ، ص 701 ، ح 12973 ؛ </w:t>
      </w:r>
      <w:r w:rsidR="00744A1C" w:rsidRPr="00C24F9C">
        <w:rPr>
          <w:rStyle w:val="libFootnoteBoldChar"/>
          <w:rtl/>
        </w:rPr>
        <w:t>الوسائل</w:t>
      </w:r>
      <w:r w:rsidR="00744A1C">
        <w:rPr>
          <w:rtl/>
          <w:lang w:bidi="fa-IR"/>
        </w:rPr>
        <w:t xml:space="preserve"> ، ج 13 ، ص 128 ، ذيل ح 17400.</w:t>
      </w:r>
      <w:r w:rsidR="00E73EB7">
        <w:rPr>
          <w:rFonts w:hint="cs"/>
          <w:rtl/>
          <w:lang w:bidi="fa-IR"/>
        </w:rPr>
        <w:t xml:space="preserve">  </w:t>
      </w:r>
      <w:r>
        <w:rPr>
          <w:rtl/>
          <w:lang w:bidi="fa-IR"/>
        </w:rPr>
        <w:t>(3).</w:t>
      </w:r>
      <w:r w:rsidR="00744A1C">
        <w:rPr>
          <w:rtl/>
          <w:lang w:bidi="fa-IR"/>
        </w:rPr>
        <w:t xml:space="preserve"> </w:t>
      </w:r>
      <w:r w:rsidR="00744A1C" w:rsidRPr="00C24F9C">
        <w:rPr>
          <w:rStyle w:val="libFootnoteBoldChar"/>
          <w:rtl/>
        </w:rPr>
        <w:t>الوافي</w:t>
      </w:r>
      <w:r w:rsidR="00E73EB7">
        <w:rPr>
          <w:rtl/>
          <w:lang w:bidi="fa-IR"/>
        </w:rPr>
        <w:t>،ج 14، ص 1138، ح 13941</w:t>
      </w:r>
      <w:r w:rsidR="00744A1C">
        <w:rPr>
          <w:rtl/>
          <w:lang w:bidi="fa-IR"/>
        </w:rPr>
        <w:t xml:space="preserve">؛ </w:t>
      </w:r>
      <w:r w:rsidR="00744A1C" w:rsidRPr="00C24F9C">
        <w:rPr>
          <w:rStyle w:val="libFootnoteBoldChar"/>
          <w:rtl/>
        </w:rPr>
        <w:t>الوسائل</w:t>
      </w:r>
      <w:r w:rsidR="00E73EB7">
        <w:rPr>
          <w:rtl/>
          <w:lang w:bidi="fa-IR"/>
        </w:rPr>
        <w:t>،ج 14،ص 216،</w:t>
      </w:r>
      <w:r w:rsidR="00744A1C">
        <w:rPr>
          <w:rtl/>
          <w:lang w:bidi="fa-IR"/>
        </w:rPr>
        <w:t>ح 19021.</w:t>
      </w:r>
    </w:p>
    <w:p w:rsidR="00744A1C" w:rsidRDefault="00E378DD" w:rsidP="00E378DD">
      <w:pPr>
        <w:pStyle w:val="libFootnote0"/>
        <w:rPr>
          <w:lang w:bidi="fa-IR"/>
        </w:rPr>
      </w:pPr>
      <w:r>
        <w:rPr>
          <w:rtl/>
          <w:lang w:bidi="fa-IR"/>
        </w:rPr>
        <w:t>(4).</w:t>
      </w:r>
      <w:r w:rsidR="00744A1C">
        <w:rPr>
          <w:rtl/>
          <w:lang w:bidi="fa-IR"/>
        </w:rPr>
        <w:t xml:space="preserve"> في </w:t>
      </w:r>
      <w:r w:rsidR="00744A1C" w:rsidRPr="00E73EB7">
        <w:rPr>
          <w:rStyle w:val="libFootnoteBoldChar"/>
          <w:rtl/>
        </w:rPr>
        <w:t>منتقى الجمان</w:t>
      </w:r>
      <w:r w:rsidR="00744A1C">
        <w:rPr>
          <w:rtl/>
          <w:lang w:bidi="fa-IR"/>
        </w:rPr>
        <w:t xml:space="preserve"> ، ص 440 : « كذا وجدت هذا الحديث في نسخ </w:t>
      </w:r>
      <w:r w:rsidR="00744A1C" w:rsidRPr="0061079A">
        <w:rPr>
          <w:rStyle w:val="libFootnoteBoldChar"/>
          <w:rtl/>
        </w:rPr>
        <w:t>الكافي</w:t>
      </w:r>
      <w:r w:rsidR="00744A1C">
        <w:rPr>
          <w:rtl/>
          <w:lang w:bidi="fa-IR"/>
        </w:rPr>
        <w:t xml:space="preserve"> ، وهو خلاف ما مضى في الصحيحين برواية معاوية أيضاً ، ولعلّ ما هنا سهو من الناسخين ، أو محمول على الإذن في تقديم الحلق ، وإن كان العكس أرجح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يعني له أن يفعل ذلك رخصة ، والأوّل هو الأصل والأولى كما يأتي في باب ترتيب المناسك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14 ، ص 1139 ، ح 13942 ؛ </w:t>
      </w:r>
      <w:r w:rsidR="00744A1C" w:rsidRPr="00C24F9C">
        <w:rPr>
          <w:rStyle w:val="libFootnoteBoldChar"/>
          <w:rtl/>
        </w:rPr>
        <w:t>الوسائل</w:t>
      </w:r>
      <w:r w:rsidR="00744A1C">
        <w:rPr>
          <w:rtl/>
          <w:lang w:bidi="fa-IR"/>
        </w:rPr>
        <w:t xml:space="preserve"> ، ج 14 ، ص 216 ، ح 19020.</w:t>
      </w:r>
    </w:p>
    <w:p w:rsidR="00744A1C" w:rsidRDefault="00E378DD" w:rsidP="00E378DD">
      <w:pPr>
        <w:pStyle w:val="libFootnote0"/>
        <w:rPr>
          <w:lang w:bidi="fa-IR"/>
        </w:rPr>
      </w:pPr>
      <w:r>
        <w:rPr>
          <w:rtl/>
          <w:lang w:bidi="fa-IR"/>
        </w:rPr>
        <w:t>(6).</w:t>
      </w:r>
      <w:r w:rsidR="00744A1C">
        <w:rPr>
          <w:rtl/>
          <w:lang w:bidi="fa-IR"/>
        </w:rPr>
        <w:t xml:space="preserve"> في « بث ، بح » : « عمرته ». وفي « بف » : « العمرة ».</w:t>
      </w:r>
    </w:p>
    <w:p w:rsidR="00744A1C" w:rsidRDefault="00E378DD" w:rsidP="00E378DD">
      <w:pPr>
        <w:pStyle w:val="libFootnote0"/>
        <w:rPr>
          <w:lang w:bidi="fa-IR"/>
        </w:rPr>
      </w:pPr>
      <w:r>
        <w:rPr>
          <w:rtl/>
          <w:lang w:bidi="fa-IR"/>
        </w:rPr>
        <w:t>(7).</w:t>
      </w:r>
      <w:r w:rsidR="00744A1C">
        <w:rPr>
          <w:rtl/>
          <w:lang w:bidi="fa-IR"/>
        </w:rPr>
        <w:t xml:space="preserve"> في </w:t>
      </w:r>
      <w:r w:rsidR="00744A1C" w:rsidRPr="00E73EB7">
        <w:rPr>
          <w:rtl/>
        </w:rPr>
        <w:t>الوسائل</w:t>
      </w:r>
      <w:r w:rsidR="00744A1C">
        <w:rPr>
          <w:rtl/>
          <w:lang w:bidi="fa-IR"/>
        </w:rPr>
        <w:t xml:space="preserve"> ، ح 18669 : « في المنحر ». وفي </w:t>
      </w:r>
      <w:r w:rsidR="00744A1C" w:rsidRPr="00C24F9C">
        <w:rPr>
          <w:rStyle w:val="libFootnoteBoldChar"/>
          <w:rtl/>
        </w:rPr>
        <w:t>الفقيه</w:t>
      </w:r>
      <w:r w:rsidR="00744A1C">
        <w:rPr>
          <w:rtl/>
          <w:lang w:bidi="fa-IR"/>
        </w:rPr>
        <w:t xml:space="preserve"> : « عند المنحر ». وفي </w:t>
      </w:r>
      <w:r w:rsidR="00744A1C" w:rsidRPr="00C24F9C">
        <w:rPr>
          <w:rStyle w:val="libFootnoteBoldChar"/>
          <w:rtl/>
        </w:rPr>
        <w:t>المرآة</w:t>
      </w:r>
      <w:r w:rsidR="00744A1C">
        <w:rPr>
          <w:rtl/>
          <w:lang w:bidi="fa-IR"/>
        </w:rPr>
        <w:t xml:space="preserve"> : « وما اشتمل عليه من ذبح </w:t>
      </w:r>
      <w:r w:rsidR="00E73EB7">
        <w:rPr>
          <w:rFonts w:hint="cs"/>
          <w:rtl/>
          <w:lang w:bidi="fa-IR"/>
        </w:rPr>
        <w:t>=</w:t>
      </w:r>
    </w:p>
    <w:p w:rsidR="00150943" w:rsidRDefault="00150943" w:rsidP="00D10E3C">
      <w:pPr>
        <w:pStyle w:val="libNormal"/>
        <w:rPr>
          <w:rtl/>
          <w:lang w:bidi="fa-IR"/>
        </w:rPr>
      </w:pPr>
      <w:r>
        <w:rPr>
          <w:rtl/>
          <w:lang w:bidi="fa-IR"/>
        </w:rPr>
        <w:br w:type="page"/>
      </w:r>
    </w:p>
    <w:p w:rsidR="00744A1C" w:rsidRDefault="00744A1C" w:rsidP="00E73EB7">
      <w:pPr>
        <w:pStyle w:val="libNormal0"/>
        <w:rPr>
          <w:lang w:bidi="fa-IR"/>
        </w:rPr>
      </w:pPr>
      <w:r>
        <w:rPr>
          <w:rtl/>
          <w:lang w:bidi="fa-IR"/>
        </w:rPr>
        <w:lastRenderedPageBreak/>
        <w:t xml:space="preserve">الْحَزْوَرَةُ </w:t>
      </w:r>
      <w:r w:rsidRPr="00D10E3C">
        <w:rPr>
          <w:rStyle w:val="libFootnotenumChar"/>
          <w:rtl/>
        </w:rPr>
        <w:t>(1)</w:t>
      </w:r>
      <w:r>
        <w:rPr>
          <w:rtl/>
          <w:lang w:bidi="fa-IR"/>
        </w:rPr>
        <w:t xml:space="preserve"> ».</w:t>
      </w:r>
    </w:p>
    <w:p w:rsidR="00744A1C" w:rsidRDefault="00744A1C" w:rsidP="00744A1C">
      <w:pPr>
        <w:pStyle w:val="libNormal"/>
        <w:rPr>
          <w:lang w:bidi="fa-IR"/>
        </w:rPr>
      </w:pPr>
      <w:r>
        <w:rPr>
          <w:rtl/>
          <w:lang w:bidi="fa-IR"/>
        </w:rPr>
        <w:t xml:space="preserve">قَالَ : وَسَأَلْتُهُ عَنْ كَفَّارَةِ الْعُمْرَةِ </w:t>
      </w:r>
      <w:r w:rsidRPr="00D10E3C">
        <w:rPr>
          <w:rStyle w:val="libFootnotenumChar"/>
          <w:rtl/>
        </w:rPr>
        <w:t>(2)</w:t>
      </w:r>
      <w:r>
        <w:rPr>
          <w:rtl/>
          <w:lang w:bidi="fa-IR"/>
        </w:rPr>
        <w:t xml:space="preserve"> : أَيْنَ تَكُونُ </w:t>
      </w:r>
      <w:r w:rsidRPr="00D10E3C">
        <w:rPr>
          <w:rStyle w:val="libFootnotenumChar"/>
          <w:rtl/>
        </w:rPr>
        <w:t>(3)</w:t>
      </w:r>
      <w:r>
        <w:rPr>
          <w:rtl/>
          <w:lang w:bidi="fa-IR"/>
        </w:rPr>
        <w:t>؟</w:t>
      </w:r>
    </w:p>
    <w:p w:rsidR="00144FA6" w:rsidRDefault="00E73EB7" w:rsidP="00744A1C">
      <w:pPr>
        <w:pStyle w:val="libNormal"/>
        <w:rPr>
          <w:rtl/>
          <w:lang w:bidi="fa-IR"/>
        </w:rPr>
      </w:pPr>
      <w:r>
        <w:rPr>
          <w:rtl/>
          <w:lang w:bidi="fa-IR"/>
        </w:rPr>
        <w:t>فَقَالَ : « بِمَكَّةَ ، إِل</w:t>
      </w:r>
      <w:r>
        <w:rPr>
          <w:rFonts w:hint="cs"/>
          <w:rtl/>
          <w:lang w:bidi="fa-IR"/>
        </w:rPr>
        <w:t>َّ</w:t>
      </w:r>
      <w:r>
        <w:rPr>
          <w:rtl/>
          <w:lang w:bidi="fa-IR"/>
        </w:rPr>
        <w:t>ا</w:t>
      </w:r>
      <w:r w:rsidR="00744A1C">
        <w:rPr>
          <w:rtl/>
          <w:lang w:bidi="fa-IR"/>
        </w:rPr>
        <w:t xml:space="preserve"> </w:t>
      </w:r>
      <w:r w:rsidR="00744A1C" w:rsidRPr="00D10E3C">
        <w:rPr>
          <w:rStyle w:val="libFootnotenumChar"/>
          <w:rtl/>
        </w:rPr>
        <w:t>(4)</w:t>
      </w:r>
      <w:r w:rsidR="00744A1C">
        <w:rPr>
          <w:rtl/>
          <w:lang w:bidi="fa-IR"/>
        </w:rPr>
        <w:t xml:space="preserve"> أَنْ يُؤَخِّرَهَا إِلَى الْحَجِّ ، فَتَكُونَ </w:t>
      </w:r>
      <w:r w:rsidR="00744A1C" w:rsidRPr="00D10E3C">
        <w:rPr>
          <w:rStyle w:val="libFootnotenumChar"/>
          <w:rtl/>
        </w:rPr>
        <w:t>(5)</w:t>
      </w:r>
      <w:r w:rsidR="00744A1C">
        <w:rPr>
          <w:rtl/>
          <w:lang w:bidi="fa-IR"/>
        </w:rPr>
        <w:t xml:space="preserve"> بِمِنًى ، وَتَعْجِيل</w:t>
      </w:r>
      <w:r>
        <w:rPr>
          <w:rtl/>
          <w:lang w:bidi="fa-IR"/>
        </w:rPr>
        <w:t>ُهَا أَفْضَلُ وَأَحَبُّ إِلَيَّ</w:t>
      </w:r>
      <w:r w:rsidR="00744A1C">
        <w:rPr>
          <w:rtl/>
          <w:lang w:bidi="fa-IR"/>
        </w:rPr>
        <w:t xml:space="preserve">». </w:t>
      </w:r>
      <w:r w:rsidR="00744A1C" w:rsidRPr="00D10E3C">
        <w:rPr>
          <w:rStyle w:val="libFootnotenumChar"/>
          <w:rtl/>
        </w:rPr>
        <w:t>(6)</w:t>
      </w:r>
    </w:p>
    <w:p w:rsidR="00744A1C" w:rsidRDefault="00744A1C" w:rsidP="00E73EB7">
      <w:pPr>
        <w:pStyle w:val="Heading2Center"/>
        <w:rPr>
          <w:lang w:bidi="fa-IR"/>
        </w:rPr>
      </w:pPr>
      <w:bookmarkStart w:id="57" w:name="_Toc49261355"/>
      <w:r>
        <w:rPr>
          <w:rtl/>
          <w:lang w:bidi="fa-IR"/>
        </w:rPr>
        <w:t>211 - بَابُ الرَّجُلِ يَبْعَثُ بِالْهَدْيِ تَطَوُّعاً وَيُقِيمُ فِي أَهْلِهِ‌</w:t>
      </w:r>
      <w:bookmarkEnd w:id="57"/>
    </w:p>
    <w:p w:rsidR="00144FA6" w:rsidRDefault="00744A1C" w:rsidP="00744A1C">
      <w:pPr>
        <w:pStyle w:val="libNormal"/>
        <w:rPr>
          <w:rtl/>
          <w:lang w:bidi="fa-IR"/>
        </w:rPr>
      </w:pPr>
      <w:r>
        <w:rPr>
          <w:rtl/>
          <w:lang w:bidi="fa-IR"/>
        </w:rPr>
        <w:t>8048 / 1. مُحَمَّدُ بْنُ يَحْيى ، عَنْ أَحْمَدَ بْنِ مُحَمَّدٍ ، عَنْ مُحَمَّدِ بْنِ إِسْمَاعِيلَ ، عَنْ مُحَمَّدِ بْنِ الْفُضَيْلِ ، عَنْ أَبِي الصَّبَّاحِ الْكِنَانِيِّ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رَجُلٍ بَعَثَ بِهَدْيٍ </w:t>
      </w:r>
      <w:r w:rsidRPr="00D10E3C">
        <w:rPr>
          <w:rStyle w:val="libFootnotenumChar"/>
          <w:rtl/>
        </w:rPr>
        <w:t>(7)</w:t>
      </w:r>
      <w:r>
        <w:rPr>
          <w:rtl/>
          <w:lang w:bidi="fa-IR"/>
        </w:rPr>
        <w:t xml:space="preserve"> مَعَ قَوْمٍ ، وَوَاعَدَهُمْ </w:t>
      </w:r>
      <w:r w:rsidRPr="00D10E3C">
        <w:rPr>
          <w:rStyle w:val="libFootnotenumChar"/>
          <w:rtl/>
        </w:rPr>
        <w:t>(8)</w:t>
      </w:r>
      <w:r>
        <w:rPr>
          <w:rtl/>
          <w:lang w:bidi="fa-IR"/>
        </w:rPr>
        <w:t xml:space="preserve"> يَوْماً </w:t>
      </w:r>
      <w:r w:rsidRPr="00D10E3C">
        <w:rPr>
          <w:rStyle w:val="libFootnotenumChar"/>
          <w:rtl/>
        </w:rPr>
        <w:t>(9)</w:t>
      </w:r>
      <w:r>
        <w:rPr>
          <w:rtl/>
          <w:lang w:bidi="fa-IR"/>
        </w:rPr>
        <w:t xml:space="preserve"> يُقَلِّدُونَ فِيهِ هَدْيَهُمْ ، وَيُحْرِمُونَ </w:t>
      </w:r>
      <w:r w:rsidRPr="00D10E3C">
        <w:rPr>
          <w:rStyle w:val="libFootnotenumChar"/>
          <w:rtl/>
        </w:rPr>
        <w:t>(10)</w:t>
      </w:r>
      <w:r>
        <w:rPr>
          <w:rtl/>
          <w:lang w:bidi="fa-IR"/>
        </w:rPr>
        <w:t xml:space="preserve"> فِيهِ؟</w:t>
      </w:r>
    </w:p>
    <w:p w:rsidR="00744A1C" w:rsidRDefault="00744A1C" w:rsidP="00744A1C">
      <w:pPr>
        <w:pStyle w:val="libNormal"/>
        <w:rPr>
          <w:lang w:bidi="fa-IR"/>
        </w:rPr>
      </w:pPr>
      <w:r>
        <w:rPr>
          <w:rtl/>
          <w:lang w:bidi="fa-IR"/>
        </w:rPr>
        <w:t>فَقَالَ : « يَحْرُمُ عَلَيْهِ مَا يَحْرُمُ عَلَى الْمُحْرِمِ فِي الْيَوْمِ الَّذِي وَاعَدَهُمْ حَتّى يَبْلُغَ‌</w:t>
      </w:r>
    </w:p>
    <w:p w:rsidR="00744A1C" w:rsidRDefault="00744A1C" w:rsidP="00D10E3C">
      <w:pPr>
        <w:pStyle w:val="libLine"/>
        <w:rPr>
          <w:lang w:bidi="fa-IR"/>
        </w:rPr>
      </w:pPr>
      <w:r>
        <w:rPr>
          <w:rtl/>
          <w:lang w:bidi="fa-IR"/>
        </w:rPr>
        <w:t>____________________</w:t>
      </w:r>
    </w:p>
    <w:p w:rsidR="00744A1C" w:rsidRDefault="00E73EB7" w:rsidP="00D10E3C">
      <w:pPr>
        <w:pStyle w:val="libFootnote0"/>
        <w:rPr>
          <w:lang w:bidi="fa-IR"/>
        </w:rPr>
      </w:pPr>
      <w:r>
        <w:rPr>
          <w:rFonts w:hint="cs"/>
          <w:rtl/>
          <w:lang w:bidi="fa-IR"/>
        </w:rPr>
        <w:t xml:space="preserve">= </w:t>
      </w:r>
      <w:r w:rsidR="00744A1C">
        <w:rPr>
          <w:rtl/>
          <w:lang w:bidi="fa-IR"/>
        </w:rPr>
        <w:t>ما ساقه في العمرة بالحزورة هو المشهور بين الأصحاب ، لكنّهم حملوه على الاستحباب ».</w:t>
      </w:r>
    </w:p>
    <w:p w:rsidR="00744A1C" w:rsidRDefault="00D10E3C" w:rsidP="00D10E3C">
      <w:pPr>
        <w:pStyle w:val="libFootnote0"/>
        <w:rPr>
          <w:lang w:bidi="fa-IR"/>
        </w:rPr>
      </w:pPr>
      <w:r>
        <w:rPr>
          <w:rtl/>
          <w:lang w:bidi="fa-IR"/>
        </w:rPr>
        <w:t>(1).</w:t>
      </w:r>
      <w:r w:rsidR="00744A1C">
        <w:rPr>
          <w:rtl/>
          <w:lang w:bidi="fa-IR"/>
        </w:rPr>
        <w:t xml:space="preserve"> في « بث ، بف » : « الجزورة ». وفي « بخ » : « الحزوة ». وفي </w:t>
      </w:r>
      <w:r w:rsidR="00744A1C" w:rsidRPr="00E73EB7">
        <w:rPr>
          <w:rtl/>
        </w:rPr>
        <w:t>الوسائل</w:t>
      </w:r>
      <w:r w:rsidR="00744A1C">
        <w:rPr>
          <w:rtl/>
          <w:lang w:bidi="fa-IR"/>
        </w:rPr>
        <w:t xml:space="preserve"> ، ح 18669 : « بالحرورة ». و « الحزورة » قال ابن الأثير : « هو موضع بها [ أي بمكّة ] عند باب الحنّاطين ، وهو بوزن قَشوَرَة ». </w:t>
      </w:r>
      <w:r w:rsidR="00744A1C" w:rsidRPr="00877682">
        <w:rPr>
          <w:rStyle w:val="libFootnoteBoldChar"/>
          <w:rtl/>
        </w:rPr>
        <w:t>النهاية</w:t>
      </w:r>
      <w:r w:rsidR="00744A1C">
        <w:rPr>
          <w:rtl/>
          <w:lang w:bidi="fa-IR"/>
        </w:rPr>
        <w:t xml:space="preserve"> ، ج 1 ، ص 380 ( حزور ).</w:t>
      </w:r>
    </w:p>
    <w:p w:rsidR="00744A1C" w:rsidRDefault="00E378DD" w:rsidP="00E378DD">
      <w:pPr>
        <w:pStyle w:val="libFootnote0"/>
        <w:rPr>
          <w:lang w:bidi="fa-IR"/>
        </w:rPr>
      </w:pPr>
      <w:r>
        <w:rPr>
          <w:rtl/>
          <w:lang w:bidi="fa-IR"/>
        </w:rPr>
        <w:t>(2).</w:t>
      </w:r>
      <w:r w:rsidR="00744A1C">
        <w:rPr>
          <w:rtl/>
          <w:lang w:bidi="fa-IR"/>
        </w:rPr>
        <w:t xml:space="preserve"> في حاشية « بح ، جد » </w:t>
      </w:r>
      <w:r w:rsidR="00744A1C" w:rsidRPr="00E73EB7">
        <w:rPr>
          <w:rtl/>
        </w:rPr>
        <w:t>والوسائل</w:t>
      </w:r>
      <w:r w:rsidR="00744A1C">
        <w:rPr>
          <w:rtl/>
          <w:lang w:bidi="fa-IR"/>
        </w:rPr>
        <w:t xml:space="preserve"> ، ح 18669 : « المعتمر ». وفي </w:t>
      </w:r>
      <w:r w:rsidR="00744A1C" w:rsidRPr="00E73EB7">
        <w:rPr>
          <w:rtl/>
        </w:rPr>
        <w:t>التهذيب والاستبصار</w:t>
      </w:r>
      <w:r w:rsidR="00744A1C">
        <w:rPr>
          <w:rtl/>
          <w:lang w:bidi="fa-IR"/>
        </w:rPr>
        <w:t xml:space="preserve"> : + « المفردة ».</w:t>
      </w:r>
    </w:p>
    <w:p w:rsidR="00744A1C" w:rsidRDefault="00E378DD" w:rsidP="00E378DD">
      <w:pPr>
        <w:pStyle w:val="libFootnote0"/>
        <w:rPr>
          <w:lang w:bidi="fa-IR"/>
        </w:rPr>
      </w:pPr>
      <w:r>
        <w:rPr>
          <w:rtl/>
          <w:lang w:bidi="fa-IR"/>
        </w:rPr>
        <w:t>(3).</w:t>
      </w:r>
      <w:r w:rsidR="00744A1C">
        <w:rPr>
          <w:rtl/>
          <w:lang w:bidi="fa-IR"/>
        </w:rPr>
        <w:t xml:space="preserve"> في « جد » : « يكون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w:t>
      </w:r>
      <w:r w:rsidR="00744A1C" w:rsidRPr="00C24F9C">
        <w:rPr>
          <w:rStyle w:val="libFootnoteBoldChar"/>
          <w:rtl/>
        </w:rPr>
        <w:t>والاستبصار</w:t>
      </w:r>
      <w:r w:rsidR="00744A1C">
        <w:rPr>
          <w:rtl/>
          <w:lang w:bidi="fa-IR"/>
        </w:rPr>
        <w:t xml:space="preserve"> : + « أن يشاء صاحبها ».</w:t>
      </w:r>
    </w:p>
    <w:p w:rsidR="00744A1C" w:rsidRDefault="00E378DD" w:rsidP="00E378DD">
      <w:pPr>
        <w:pStyle w:val="libFootnote0"/>
        <w:rPr>
          <w:lang w:bidi="fa-IR"/>
        </w:rPr>
      </w:pPr>
      <w:r>
        <w:rPr>
          <w:rtl/>
          <w:lang w:bidi="fa-IR"/>
        </w:rPr>
        <w:t>(5).</w:t>
      </w:r>
      <w:r w:rsidR="00744A1C">
        <w:rPr>
          <w:rtl/>
          <w:lang w:bidi="fa-IR"/>
        </w:rPr>
        <w:t xml:space="preserve"> هكذا في « ى ، بث » </w:t>
      </w:r>
      <w:r w:rsidR="00744A1C" w:rsidRPr="00E73EB7">
        <w:rPr>
          <w:rtl/>
        </w:rPr>
        <w:t>والوافي والوسائل ،</w:t>
      </w:r>
      <w:r w:rsidR="00744A1C">
        <w:rPr>
          <w:rtl/>
          <w:lang w:bidi="fa-IR"/>
        </w:rPr>
        <w:t xml:space="preserve"> ح 18669. وفي سائر النسخ والمطبوع : « فيكون ».</w:t>
      </w:r>
    </w:p>
    <w:p w:rsidR="00744A1C" w:rsidRDefault="00E378DD" w:rsidP="00E73EB7">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374 ، ح 1303 ؛ </w:t>
      </w:r>
      <w:r w:rsidR="00744A1C" w:rsidRPr="00C24F9C">
        <w:rPr>
          <w:rStyle w:val="libFootnoteBoldChar"/>
          <w:rtl/>
        </w:rPr>
        <w:t>والاستبصار</w:t>
      </w:r>
      <w:r w:rsidR="00744A1C">
        <w:rPr>
          <w:rtl/>
          <w:lang w:bidi="fa-IR"/>
        </w:rPr>
        <w:t xml:space="preserve"> ، ج 2 ، ص 212 ، ح 725 ، بسند آخر ، من قوله : « وسألته عن كفّارة العمرة ». </w:t>
      </w:r>
      <w:r w:rsidR="00744A1C" w:rsidRPr="00C24F9C">
        <w:rPr>
          <w:rStyle w:val="libFootnoteBoldChar"/>
          <w:rtl/>
        </w:rPr>
        <w:t>الفقيه</w:t>
      </w:r>
      <w:r w:rsidR="00744A1C">
        <w:rPr>
          <w:rtl/>
          <w:lang w:bidi="fa-IR"/>
        </w:rPr>
        <w:t xml:space="preserve"> ، ج 2 ، ص 452 ، ح 2945 ، مرسلاً ، إلى قوله : « وهي الحزورة » </w:t>
      </w:r>
      <w:r w:rsidR="00E73EB7">
        <w:rPr>
          <w:rFonts w:hint="cs"/>
          <w:rtl/>
          <w:lang w:bidi="fa-IR"/>
        </w:rPr>
        <w:t>.</w:t>
      </w:r>
      <w:r w:rsidR="00744A1C" w:rsidRPr="00C24F9C">
        <w:rPr>
          <w:rStyle w:val="libFootnoteBoldChar"/>
          <w:rtl/>
        </w:rPr>
        <w:t>الوافي</w:t>
      </w:r>
      <w:r w:rsidR="00744A1C">
        <w:rPr>
          <w:rtl/>
          <w:lang w:bidi="fa-IR"/>
        </w:rPr>
        <w:t xml:space="preserve"> ، ج 14 ، ص 1138 ، ح 13940 ؛ وج 13 ، ص 773 ، ح 13133 ؛ </w:t>
      </w:r>
      <w:r w:rsidR="00744A1C" w:rsidRPr="00C24F9C">
        <w:rPr>
          <w:rStyle w:val="libFootnoteBoldChar"/>
          <w:rtl/>
        </w:rPr>
        <w:t>الوسائل</w:t>
      </w:r>
      <w:r w:rsidR="00744A1C">
        <w:rPr>
          <w:rtl/>
          <w:lang w:bidi="fa-IR"/>
        </w:rPr>
        <w:t xml:space="preserve"> ، ج 14 ، ص 89 ، ح 18669 ؛ </w:t>
      </w:r>
      <w:r w:rsidR="00744A1C" w:rsidRPr="00E73EB7">
        <w:rPr>
          <w:rStyle w:val="libFootnoteBoldChar"/>
          <w:rtl/>
        </w:rPr>
        <w:t>وفيه</w:t>
      </w:r>
      <w:r w:rsidR="00744A1C">
        <w:rPr>
          <w:rtl/>
          <w:lang w:bidi="fa-IR"/>
        </w:rPr>
        <w:t xml:space="preserve"> ، ص 216 ، ح 19019 ، إلى قوله : « قبل أن يحلق ».</w:t>
      </w:r>
      <w:r w:rsidR="00E73EB7">
        <w:rPr>
          <w:rFonts w:hint="cs"/>
          <w:rtl/>
          <w:lang w:bidi="fa-IR"/>
        </w:rPr>
        <w:t xml:space="preserve">  </w:t>
      </w: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 بهديه ».</w:t>
      </w:r>
    </w:p>
    <w:p w:rsidR="00744A1C" w:rsidRDefault="00E378DD" w:rsidP="00E378DD">
      <w:pPr>
        <w:pStyle w:val="libFootnote0"/>
        <w:rPr>
          <w:lang w:bidi="fa-IR"/>
        </w:rPr>
      </w:pPr>
      <w:r>
        <w:rPr>
          <w:rtl/>
          <w:lang w:bidi="fa-IR"/>
        </w:rPr>
        <w:t>(8).</w:t>
      </w:r>
      <w:r w:rsidR="00744A1C">
        <w:rPr>
          <w:rtl/>
          <w:lang w:bidi="fa-IR"/>
        </w:rPr>
        <w:t xml:space="preserve"> في « جد ، جن » : « وأوعدهم ».</w:t>
      </w:r>
    </w:p>
    <w:p w:rsidR="00744A1C" w:rsidRDefault="00E378DD" w:rsidP="00E378DD">
      <w:pPr>
        <w:pStyle w:val="libFootnote0"/>
        <w:rPr>
          <w:lang w:bidi="fa-IR"/>
        </w:rPr>
      </w:pPr>
      <w:r>
        <w:rPr>
          <w:rtl/>
          <w:lang w:bidi="fa-IR"/>
        </w:rPr>
        <w:t>(9).</w:t>
      </w:r>
      <w:r w:rsidR="00744A1C">
        <w:rPr>
          <w:rtl/>
          <w:lang w:bidi="fa-IR"/>
        </w:rPr>
        <w:t xml:space="preserve"> هكذا في جميع النسخ التي قوبلت </w:t>
      </w:r>
      <w:r w:rsidR="00744A1C" w:rsidRPr="00E73EB7">
        <w:rPr>
          <w:rtl/>
        </w:rPr>
        <w:t>والوافي والوسائل والتهذيب. وفي</w:t>
      </w:r>
      <w:r w:rsidR="00744A1C">
        <w:rPr>
          <w:rtl/>
          <w:lang w:bidi="fa-IR"/>
        </w:rPr>
        <w:t xml:space="preserve"> المطبوع : « يوم ».</w:t>
      </w:r>
    </w:p>
    <w:p w:rsidR="00744A1C" w:rsidRDefault="00E378DD" w:rsidP="00E378DD">
      <w:pPr>
        <w:pStyle w:val="libFootnote0"/>
        <w:rPr>
          <w:lang w:bidi="fa-IR"/>
        </w:rPr>
      </w:pPr>
      <w:r>
        <w:rPr>
          <w:rtl/>
          <w:lang w:bidi="fa-IR"/>
        </w:rPr>
        <w:t>(10).</w:t>
      </w:r>
      <w:r w:rsidR="00744A1C">
        <w:rPr>
          <w:rtl/>
          <w:lang w:bidi="fa-IR"/>
        </w:rPr>
        <w:t xml:space="preserve"> في </w:t>
      </w:r>
      <w:r w:rsidR="00744A1C" w:rsidRPr="00E73EB7">
        <w:rPr>
          <w:rtl/>
        </w:rPr>
        <w:t>الوسائل</w:t>
      </w:r>
      <w:r w:rsidR="00744A1C">
        <w:rPr>
          <w:rtl/>
          <w:lang w:bidi="fa-IR"/>
        </w:rPr>
        <w:t xml:space="preserve"> : « وينحرون ».</w:t>
      </w:r>
    </w:p>
    <w:p w:rsidR="00150943" w:rsidRDefault="00150943" w:rsidP="00D10E3C">
      <w:pPr>
        <w:pStyle w:val="libNormal"/>
        <w:rPr>
          <w:rtl/>
          <w:lang w:bidi="fa-IR"/>
        </w:rPr>
      </w:pPr>
      <w:r>
        <w:rPr>
          <w:rtl/>
          <w:lang w:bidi="fa-IR"/>
        </w:rPr>
        <w:br w:type="page"/>
      </w:r>
    </w:p>
    <w:p w:rsidR="00744A1C" w:rsidRDefault="00744A1C" w:rsidP="00E73EB7">
      <w:pPr>
        <w:pStyle w:val="libNormal0"/>
        <w:rPr>
          <w:lang w:bidi="fa-IR"/>
        </w:rPr>
      </w:pPr>
      <w:r>
        <w:rPr>
          <w:rtl/>
          <w:lang w:bidi="fa-IR"/>
        </w:rPr>
        <w:lastRenderedPageBreak/>
        <w:t>الْهَدْيُ مَحِلَّهُ ».</w:t>
      </w:r>
    </w:p>
    <w:p w:rsidR="00744A1C" w:rsidRDefault="00744A1C" w:rsidP="00744A1C">
      <w:pPr>
        <w:pStyle w:val="libNormal"/>
        <w:rPr>
          <w:lang w:bidi="fa-IR"/>
        </w:rPr>
      </w:pPr>
      <w:r>
        <w:rPr>
          <w:rtl/>
          <w:lang w:bidi="fa-IR"/>
        </w:rPr>
        <w:t>فَقُلْتُ : أَ</w:t>
      </w:r>
      <w:r w:rsidR="00A914B5">
        <w:rPr>
          <w:rFonts w:hint="cs"/>
          <w:rtl/>
          <w:lang w:bidi="fa-IR"/>
        </w:rPr>
        <w:t xml:space="preserve"> </w:t>
      </w:r>
      <w:r>
        <w:rPr>
          <w:rtl/>
          <w:lang w:bidi="fa-IR"/>
        </w:rPr>
        <w:t xml:space="preserve">رَأَيْتَ إِنْ أَخْلَفُوا </w:t>
      </w:r>
      <w:r w:rsidRPr="00D10E3C">
        <w:rPr>
          <w:rStyle w:val="libFootnotenumChar"/>
          <w:rtl/>
        </w:rPr>
        <w:t>(1)</w:t>
      </w:r>
      <w:r>
        <w:rPr>
          <w:rtl/>
          <w:lang w:bidi="fa-IR"/>
        </w:rPr>
        <w:t xml:space="preserve"> فِي مِيعَادِهِمْ ، وَأَبْطَؤُوا فِي السَّيْرِ ، عَلَيْهِ جُنَاحٌ </w:t>
      </w:r>
      <w:r w:rsidRPr="00D10E3C">
        <w:rPr>
          <w:rStyle w:val="libFootnotenumChar"/>
          <w:rtl/>
        </w:rPr>
        <w:t>(2)</w:t>
      </w:r>
      <w:r>
        <w:rPr>
          <w:rtl/>
          <w:lang w:bidi="fa-IR"/>
        </w:rPr>
        <w:t xml:space="preserve"> فِي الْيَوْمِ الَّذِي وَاعَدَهُمْ؟</w:t>
      </w:r>
    </w:p>
    <w:p w:rsidR="00144FA6" w:rsidRDefault="00744A1C" w:rsidP="00744A1C">
      <w:pPr>
        <w:pStyle w:val="libNormal"/>
        <w:rPr>
          <w:rtl/>
          <w:lang w:bidi="fa-IR"/>
        </w:rPr>
      </w:pPr>
      <w:r>
        <w:rPr>
          <w:rtl/>
          <w:lang w:bidi="fa-IR"/>
        </w:rPr>
        <w:t xml:space="preserve">قَالَ : « لَا ، وَيَحِلُّ فِي الْيَوْمِ الَّذِي وَاعَدَهُمْ ». </w:t>
      </w:r>
      <w:r w:rsidRPr="00D10E3C">
        <w:rPr>
          <w:rStyle w:val="libFootnotenumChar"/>
          <w:rtl/>
        </w:rPr>
        <w:t>(3)</w:t>
      </w:r>
    </w:p>
    <w:p w:rsidR="00144FA6" w:rsidRDefault="00744A1C" w:rsidP="00744A1C">
      <w:pPr>
        <w:pStyle w:val="libNormal"/>
        <w:rPr>
          <w:rtl/>
          <w:lang w:bidi="fa-IR"/>
        </w:rPr>
      </w:pPr>
      <w:r>
        <w:rPr>
          <w:rtl/>
          <w:lang w:bidi="fa-IR"/>
        </w:rPr>
        <w:t>8049 / 2. حُمَيْدُ بْنُ زِيَادٍ ، عَنِ الْحَسَنِ بْنِ مُحَمَّدِ بْنِ سَمَاعَةَ ، عَنْ غَيْرِ وَاحِدٍ ، عَنْ أَبَانٍ ، عَنْ سَلَمَةَ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 أَنَّ عَلِيّاً </w:t>
      </w:r>
      <w:r w:rsidR="0061079A" w:rsidRPr="0061079A">
        <w:rPr>
          <w:rStyle w:val="libAlaemChar"/>
          <w:rtl/>
        </w:rPr>
        <w:t>عليه‌السلام</w:t>
      </w:r>
      <w:r w:rsidR="00D10E3C">
        <w:rPr>
          <w:rtl/>
          <w:lang w:bidi="fa-IR"/>
        </w:rPr>
        <w:t xml:space="preserve"> </w:t>
      </w:r>
      <w:r>
        <w:rPr>
          <w:rtl/>
          <w:lang w:bidi="fa-IR"/>
        </w:rPr>
        <w:t xml:space="preserve">كَانَ يَبْعَثُ بِهَدْيِهِ ، ثُمَّ يُمْسِكُ عَمَّا يُمْسِكُ عَنْهُ الْمُحْرِمُ غَيْرَ أَنَّهُ لَايُلَبِّي ، وَيُوَاعِدُهُمْ يَوْمَ يُنْحَرُ فِيهِ </w:t>
      </w:r>
      <w:r w:rsidRPr="00D10E3C">
        <w:rPr>
          <w:rStyle w:val="libFootnotenumChar"/>
          <w:rtl/>
        </w:rPr>
        <w:t>(4)</w:t>
      </w:r>
      <w:r>
        <w:rPr>
          <w:rtl/>
          <w:lang w:bidi="fa-IR"/>
        </w:rPr>
        <w:t xml:space="preserve"> بَدَنَةٌ ، فَيَحِلُّ ». </w:t>
      </w:r>
      <w:r w:rsidRPr="00D10E3C">
        <w:rPr>
          <w:rStyle w:val="libFootnotenumChar"/>
          <w:rtl/>
        </w:rPr>
        <w:t>(5)</w:t>
      </w:r>
    </w:p>
    <w:p w:rsidR="00A914B5" w:rsidRDefault="00744A1C" w:rsidP="00A914B5">
      <w:pPr>
        <w:pStyle w:val="libNormal"/>
        <w:rPr>
          <w:rtl/>
          <w:lang w:bidi="fa-IR"/>
        </w:rPr>
      </w:pPr>
      <w:r>
        <w:rPr>
          <w:rtl/>
          <w:lang w:bidi="fa-IR"/>
        </w:rPr>
        <w:t>8050 / 3. عَلِيُّ بْنُ إِبْرَاهِيمَ ، عَنْ أَبِيهِ ؛</w:t>
      </w:r>
    </w:p>
    <w:p w:rsidR="00144FA6" w:rsidRDefault="00A914B5" w:rsidP="00A914B5">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(6)</w:t>
      </w:r>
      <w:r w:rsidR="00744A1C">
        <w:rPr>
          <w:rtl/>
          <w:lang w:bidi="fa-IR"/>
        </w:rPr>
        <w:t xml:space="preserve"> مُحَمَّدُ بْنُ إِسْمَاعِيلَ ، عَنِ الْفَضْلِ بْنِ شَاذَانَ ، عَنِ ابْنِ أَبِي عُمَيْرٍ ، عَنْ مُعَاوِيَةَ بْنِ عَمَّارٍ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الرَّجُلِ يَبْعَثُ </w:t>
      </w:r>
      <w:r w:rsidRPr="00D10E3C">
        <w:rPr>
          <w:rStyle w:val="libFootnotenumChar"/>
          <w:rtl/>
        </w:rPr>
        <w:t>(7)</w:t>
      </w:r>
      <w:r>
        <w:rPr>
          <w:rtl/>
          <w:lang w:bidi="fa-IR"/>
        </w:rPr>
        <w:t xml:space="preserve"> بِالْهَدْيِ تَطَوُّعاً لَيْسَ بِوَاجِبٍ؟</w:t>
      </w:r>
    </w:p>
    <w:p w:rsidR="00744A1C" w:rsidRDefault="00744A1C" w:rsidP="00744A1C">
      <w:pPr>
        <w:pStyle w:val="libNormal"/>
        <w:rPr>
          <w:lang w:bidi="fa-IR"/>
        </w:rPr>
      </w:pPr>
      <w:r>
        <w:rPr>
          <w:rtl/>
          <w:lang w:bidi="fa-IR"/>
        </w:rPr>
        <w:t xml:space="preserve">قَالَ : « يُوَاعِدُ أَصْحَابَهُ يَوْماً ، فَيُقَلِّدُونَهُ </w:t>
      </w:r>
      <w:r w:rsidRPr="00D10E3C">
        <w:rPr>
          <w:rStyle w:val="libFootnotenumChar"/>
          <w:rtl/>
        </w:rPr>
        <w:t>(8)</w:t>
      </w:r>
      <w:r>
        <w:rPr>
          <w:rtl/>
          <w:lang w:bidi="fa-IR"/>
        </w:rPr>
        <w:t xml:space="preserve"> ، فَإِذَا كَانَتْ </w:t>
      </w:r>
      <w:r w:rsidRPr="00D10E3C">
        <w:rPr>
          <w:rStyle w:val="libFootnotenumChar"/>
          <w:rtl/>
        </w:rPr>
        <w:t>(9)</w:t>
      </w:r>
      <w:r>
        <w:rPr>
          <w:rtl/>
          <w:lang w:bidi="fa-IR"/>
        </w:rPr>
        <w:t xml:space="preserve"> تِلْكَ السَّاعَةُ </w:t>
      </w:r>
      <w:r w:rsidRPr="00D10E3C">
        <w:rPr>
          <w:rStyle w:val="libFootnotenumChar"/>
          <w:rtl/>
        </w:rPr>
        <w:t>(10)</w:t>
      </w:r>
      <w:r>
        <w:rPr>
          <w:rtl/>
          <w:lang w:bidi="fa-IR"/>
        </w:rPr>
        <w:t xml:space="preserve"> ، اجْتَنَبَ عَمَّا</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بس ، جن » </w:t>
      </w:r>
      <w:r w:rsidR="00744A1C" w:rsidRPr="00A914B5">
        <w:rPr>
          <w:rtl/>
        </w:rPr>
        <w:t>والتهذيب</w:t>
      </w:r>
      <w:r w:rsidR="00744A1C">
        <w:rPr>
          <w:rtl/>
          <w:lang w:bidi="fa-IR"/>
        </w:rPr>
        <w:t xml:space="preserve"> : « اختلفوا ».</w:t>
      </w:r>
    </w:p>
    <w:p w:rsidR="00744A1C" w:rsidRDefault="00E378DD" w:rsidP="00E378DD">
      <w:pPr>
        <w:pStyle w:val="libFootnote0"/>
        <w:rPr>
          <w:lang w:bidi="fa-IR"/>
        </w:rPr>
      </w:pPr>
      <w:r>
        <w:rPr>
          <w:rtl/>
          <w:lang w:bidi="fa-IR"/>
        </w:rPr>
        <w:t>(2).</w:t>
      </w:r>
      <w:r w:rsidR="00744A1C">
        <w:rPr>
          <w:rtl/>
          <w:lang w:bidi="fa-IR"/>
        </w:rPr>
        <w:t xml:space="preserve"> في </w:t>
      </w:r>
      <w:r w:rsidR="00744A1C" w:rsidRPr="00A914B5">
        <w:rPr>
          <w:rtl/>
        </w:rPr>
        <w:t>تفسير العيّاشي</w:t>
      </w:r>
      <w:r w:rsidR="00744A1C">
        <w:rPr>
          <w:rtl/>
          <w:lang w:bidi="fa-IR"/>
        </w:rPr>
        <w:t xml:space="preserve"> : + « أن يحلّ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424 ، ح 1471 ، بسند آخر. </w:t>
      </w:r>
      <w:r w:rsidR="00744A1C" w:rsidRPr="00A914B5">
        <w:rPr>
          <w:rStyle w:val="libFootnoteBoldChar"/>
          <w:rtl/>
        </w:rPr>
        <w:t>تفسير العيّاشي</w:t>
      </w:r>
      <w:r w:rsidR="00744A1C">
        <w:rPr>
          <w:rtl/>
          <w:lang w:bidi="fa-IR"/>
        </w:rPr>
        <w:t xml:space="preserve"> ، ج 1 ، ص 89 ، ح 228 ، عن زيد أبي ا</w:t>
      </w:r>
      <w:r w:rsidR="00A914B5">
        <w:rPr>
          <w:rFonts w:hint="cs"/>
          <w:rtl/>
          <w:lang w:bidi="fa-IR"/>
        </w:rPr>
        <w:t>ُ</w:t>
      </w:r>
      <w:r w:rsidR="00744A1C">
        <w:rPr>
          <w:rtl/>
          <w:lang w:bidi="fa-IR"/>
        </w:rPr>
        <w:t xml:space="preserve">سامة ، عن أبي عبدالله </w:t>
      </w:r>
      <w:r w:rsidR="00A914B5" w:rsidRPr="00A914B5">
        <w:rPr>
          <w:rStyle w:val="libFootnoteAlaemChar"/>
          <w:rtl/>
        </w:rPr>
        <w:t>عليه‌السلام</w:t>
      </w:r>
      <w:r w:rsidR="00D10E3C">
        <w:rPr>
          <w:rtl/>
          <w:lang w:bidi="fa-IR"/>
        </w:rPr>
        <w:t xml:space="preserve"> </w:t>
      </w:r>
      <w:r w:rsidR="00744A1C">
        <w:rPr>
          <w:rtl/>
          <w:lang w:bidi="fa-IR"/>
        </w:rPr>
        <w:t xml:space="preserve">، وفيهما مع اختلاف يسير </w:t>
      </w:r>
      <w:r w:rsidR="00A914B5">
        <w:rPr>
          <w:rFonts w:hint="cs"/>
          <w:rtl/>
          <w:lang w:bidi="fa-IR"/>
        </w:rPr>
        <w:t>.</w:t>
      </w:r>
      <w:r w:rsidR="00744A1C" w:rsidRPr="00C24F9C">
        <w:rPr>
          <w:rStyle w:val="libFootnoteBoldChar"/>
          <w:rtl/>
        </w:rPr>
        <w:t>الوافي</w:t>
      </w:r>
      <w:r w:rsidR="00744A1C">
        <w:rPr>
          <w:rtl/>
          <w:lang w:bidi="fa-IR"/>
        </w:rPr>
        <w:t xml:space="preserve"> ، ج 14 ، ص 1303 ، ح 14308 ؛ </w:t>
      </w:r>
      <w:r w:rsidR="00744A1C" w:rsidRPr="00C24F9C">
        <w:rPr>
          <w:rStyle w:val="libFootnoteBoldChar"/>
          <w:rtl/>
        </w:rPr>
        <w:t>الوسائل</w:t>
      </w:r>
      <w:r w:rsidR="00744A1C">
        <w:rPr>
          <w:rtl/>
          <w:lang w:bidi="fa-IR"/>
        </w:rPr>
        <w:t xml:space="preserve"> ، ج 13 ، ص 190 ، ح 17545.</w:t>
      </w:r>
    </w:p>
    <w:p w:rsidR="00744A1C" w:rsidRDefault="00E378DD" w:rsidP="00E378DD">
      <w:pPr>
        <w:pStyle w:val="libFootnote0"/>
        <w:rPr>
          <w:lang w:bidi="fa-IR"/>
        </w:rPr>
      </w:pPr>
      <w:r>
        <w:rPr>
          <w:rtl/>
          <w:lang w:bidi="fa-IR"/>
        </w:rPr>
        <w:t>(4).</w:t>
      </w:r>
      <w:r w:rsidR="00744A1C">
        <w:rPr>
          <w:rtl/>
          <w:lang w:bidi="fa-IR"/>
        </w:rPr>
        <w:t xml:space="preserve"> في </w:t>
      </w:r>
      <w:r w:rsidR="00744A1C" w:rsidRPr="00A914B5">
        <w:rPr>
          <w:rtl/>
        </w:rPr>
        <w:t>الوسائل</w:t>
      </w:r>
      <w:r w:rsidR="00744A1C">
        <w:rPr>
          <w:rtl/>
          <w:lang w:bidi="fa-IR"/>
        </w:rPr>
        <w:t xml:space="preserve"> : - « فيه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14 ، ص 1304 ، ح 14311 ؛ </w:t>
      </w:r>
      <w:r w:rsidR="00744A1C" w:rsidRPr="00C24F9C">
        <w:rPr>
          <w:rStyle w:val="libFootnoteBoldChar"/>
          <w:rtl/>
        </w:rPr>
        <w:t>الوسائل</w:t>
      </w:r>
      <w:r w:rsidR="00744A1C">
        <w:rPr>
          <w:rtl/>
          <w:lang w:bidi="fa-IR"/>
        </w:rPr>
        <w:t xml:space="preserve"> ، ج 13 ، ص 191 ، ح 17546.</w:t>
      </w:r>
    </w:p>
    <w:p w:rsidR="00744A1C" w:rsidRDefault="00E378DD" w:rsidP="00E378DD">
      <w:pPr>
        <w:pStyle w:val="libFootnote0"/>
        <w:rPr>
          <w:lang w:bidi="fa-IR"/>
        </w:rPr>
      </w:pPr>
      <w:r>
        <w:rPr>
          <w:rtl/>
          <w:lang w:bidi="fa-IR"/>
        </w:rPr>
        <w:t>(6).</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A914B5" w:rsidTr="00A914B5">
        <w:tc>
          <w:tcPr>
            <w:tcW w:w="4006" w:type="dxa"/>
          </w:tcPr>
          <w:p w:rsidR="00A914B5" w:rsidRDefault="00A914B5" w:rsidP="00E378DD">
            <w:pPr>
              <w:pStyle w:val="libFootnote0"/>
              <w:rPr>
                <w:rtl/>
                <w:lang w:bidi="fa-IR"/>
              </w:rPr>
            </w:pPr>
            <w:r>
              <w:rPr>
                <w:rtl/>
                <w:lang w:bidi="fa-IR"/>
              </w:rPr>
              <w:t xml:space="preserve">(7). في </w:t>
            </w:r>
            <w:r w:rsidRPr="00A914B5">
              <w:rPr>
                <w:rtl/>
              </w:rPr>
              <w:t>الوافي</w:t>
            </w:r>
            <w:r>
              <w:rPr>
                <w:rtl/>
                <w:lang w:bidi="fa-IR"/>
              </w:rPr>
              <w:t xml:space="preserve"> : « يرسل ».</w:t>
            </w:r>
          </w:p>
        </w:tc>
        <w:tc>
          <w:tcPr>
            <w:tcW w:w="4006" w:type="dxa"/>
          </w:tcPr>
          <w:p w:rsidR="00A914B5" w:rsidRDefault="00A914B5" w:rsidP="00E378DD">
            <w:pPr>
              <w:pStyle w:val="libFootnote0"/>
              <w:rPr>
                <w:rtl/>
                <w:lang w:bidi="fa-IR"/>
              </w:rPr>
            </w:pPr>
            <w:r>
              <w:rPr>
                <w:rtl/>
                <w:lang w:bidi="fa-IR"/>
              </w:rPr>
              <w:t xml:space="preserve">(8). في </w:t>
            </w:r>
            <w:r w:rsidRPr="00A914B5">
              <w:rPr>
                <w:rtl/>
              </w:rPr>
              <w:t>الوافي</w:t>
            </w:r>
            <w:r>
              <w:rPr>
                <w:rtl/>
                <w:lang w:bidi="fa-IR"/>
              </w:rPr>
              <w:t xml:space="preserve"> : + « فيه ».</w:t>
            </w:r>
          </w:p>
        </w:tc>
      </w:tr>
      <w:tr w:rsidR="00A914B5" w:rsidTr="00A914B5">
        <w:tc>
          <w:tcPr>
            <w:tcW w:w="4006" w:type="dxa"/>
          </w:tcPr>
          <w:p w:rsidR="00A914B5" w:rsidRDefault="00A914B5" w:rsidP="00E378DD">
            <w:pPr>
              <w:pStyle w:val="libFootnote0"/>
              <w:rPr>
                <w:rtl/>
                <w:lang w:bidi="fa-IR"/>
              </w:rPr>
            </w:pPr>
            <w:r>
              <w:rPr>
                <w:rtl/>
                <w:lang w:bidi="fa-IR"/>
              </w:rPr>
              <w:t>(9). في « بف » : « كان ».</w:t>
            </w:r>
          </w:p>
        </w:tc>
        <w:tc>
          <w:tcPr>
            <w:tcW w:w="4006" w:type="dxa"/>
          </w:tcPr>
          <w:p w:rsidR="00A914B5" w:rsidRDefault="00A914B5" w:rsidP="00E378DD">
            <w:pPr>
              <w:pStyle w:val="libFootnote0"/>
              <w:rPr>
                <w:rtl/>
                <w:lang w:bidi="fa-IR"/>
              </w:rPr>
            </w:pPr>
            <w:r>
              <w:rPr>
                <w:rtl/>
                <w:lang w:bidi="fa-IR"/>
              </w:rPr>
              <w:t xml:space="preserve">(10). في </w:t>
            </w:r>
            <w:r w:rsidRPr="00A914B5">
              <w:rPr>
                <w:rtl/>
              </w:rPr>
              <w:t>الوافي</w:t>
            </w:r>
            <w:r>
              <w:rPr>
                <w:rtl/>
                <w:lang w:bidi="fa-IR"/>
              </w:rPr>
              <w:t xml:space="preserve"> : + « من ذلك اليوم ».</w:t>
            </w:r>
          </w:p>
        </w:tc>
      </w:tr>
    </w:tbl>
    <w:p w:rsidR="00744A1C" w:rsidRDefault="00E378DD" w:rsidP="00E378DD">
      <w:pPr>
        <w:pStyle w:val="libFootnote0"/>
        <w:rPr>
          <w:lang w:bidi="fa-IR"/>
        </w:rPr>
      </w:pPr>
      <w:r>
        <w:rPr>
          <w:rtl/>
          <w:lang w:bidi="fa-IR"/>
        </w:rPr>
        <w:t>(11).</w:t>
      </w:r>
      <w:r w:rsidR="00744A1C">
        <w:rPr>
          <w:rtl/>
          <w:lang w:bidi="fa-IR"/>
        </w:rPr>
        <w:t xml:space="preserve"> هكذا في النسخ والشروح وامصادر. وفي المطبوع : « ما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يَجْتَنِبُ </w:t>
      </w:r>
      <w:r w:rsidRPr="00D10E3C">
        <w:rPr>
          <w:rStyle w:val="libFootnotenumChar"/>
          <w:rtl/>
        </w:rPr>
        <w:t>(1)</w:t>
      </w:r>
      <w:r>
        <w:rPr>
          <w:rtl/>
          <w:lang w:bidi="fa-IR"/>
        </w:rPr>
        <w:t xml:space="preserve"> الْمُحْرِمُ إِلى يَوْمِ النَّحْرِ ، فَإِذَا كَانَ يَوْمُ النَّحْرِ ، أَجْزَأَ عَنْهُ ». </w:t>
      </w:r>
      <w:r w:rsidRPr="00D10E3C">
        <w:rPr>
          <w:rStyle w:val="libFootnotenumChar"/>
          <w:rtl/>
        </w:rPr>
        <w:t>(2)</w:t>
      </w:r>
    </w:p>
    <w:p w:rsidR="00144FA6" w:rsidRDefault="00744A1C" w:rsidP="00744A1C">
      <w:pPr>
        <w:pStyle w:val="libNormal"/>
        <w:rPr>
          <w:rtl/>
          <w:lang w:bidi="fa-IR"/>
        </w:rPr>
      </w:pPr>
      <w:r>
        <w:rPr>
          <w:rtl/>
          <w:lang w:bidi="fa-IR"/>
        </w:rPr>
        <w:t>8051 / 4. أَبُو عَلِيٍّ الْأَشْعَرِيُّ ، عَنْ مُحَمَّدِ بْنِ عَبْدِ الْجَبَّارِ ، عَنْ صَفْوَانَ بْنِ يَحْيى ، عَنْ هَارُونَ بْنِ خَارِجَةَ ، قَالَ :</w:t>
      </w:r>
    </w:p>
    <w:p w:rsidR="00744A1C" w:rsidRDefault="00744A1C" w:rsidP="00744A1C">
      <w:pPr>
        <w:pStyle w:val="libNormal"/>
        <w:rPr>
          <w:lang w:bidi="fa-IR"/>
        </w:rPr>
      </w:pPr>
      <w:r>
        <w:rPr>
          <w:rtl/>
          <w:lang w:bidi="fa-IR"/>
        </w:rPr>
        <w:t xml:space="preserve">إِنَّ مُرَاداً </w:t>
      </w:r>
      <w:r w:rsidRPr="00D10E3C">
        <w:rPr>
          <w:rStyle w:val="libFootnotenumChar"/>
          <w:rtl/>
        </w:rPr>
        <w:t>(3)</w:t>
      </w:r>
      <w:r>
        <w:rPr>
          <w:rtl/>
          <w:lang w:bidi="fa-IR"/>
        </w:rPr>
        <w:t xml:space="preserve"> بَعَثَ بِبَدَنَةٍ ، وَأَمَرَ أَنْ تُقَلَّدَ </w:t>
      </w:r>
      <w:r w:rsidRPr="00D10E3C">
        <w:rPr>
          <w:rStyle w:val="libFootnotenumChar"/>
          <w:rtl/>
        </w:rPr>
        <w:t>(4)</w:t>
      </w:r>
      <w:r>
        <w:rPr>
          <w:rtl/>
          <w:lang w:bidi="fa-IR"/>
        </w:rPr>
        <w:t xml:space="preserve"> وَتُشْعَرَ </w:t>
      </w:r>
      <w:r w:rsidRPr="00D10E3C">
        <w:rPr>
          <w:rStyle w:val="libFootnotenumChar"/>
          <w:rtl/>
        </w:rPr>
        <w:t>(5)</w:t>
      </w:r>
      <w:r>
        <w:rPr>
          <w:rtl/>
          <w:lang w:bidi="fa-IR"/>
        </w:rPr>
        <w:t xml:space="preserve"> فِي يَوْمِ كَذَا وَكَذَا ، فَقُلْتُ لَهُ : إِنَّمَا يَنْبَغِي أَنْ لَايَلْبَسَ </w:t>
      </w:r>
      <w:r w:rsidRPr="00D10E3C">
        <w:rPr>
          <w:rStyle w:val="libFootnotenumChar"/>
          <w:rtl/>
        </w:rPr>
        <w:t>(6)</w:t>
      </w:r>
      <w:r>
        <w:rPr>
          <w:rtl/>
          <w:lang w:bidi="fa-IR"/>
        </w:rPr>
        <w:t xml:space="preserve"> الثِّيَابَ ، فَبَعَثَنِي إِلى أَبِي عَبْدِ اللهِ </w:t>
      </w:r>
      <w:r w:rsidR="0061079A" w:rsidRPr="0061079A">
        <w:rPr>
          <w:rStyle w:val="libAlaemChar"/>
          <w:rtl/>
        </w:rPr>
        <w:t>عليه‌السلام</w:t>
      </w:r>
      <w:r w:rsidR="00D10E3C">
        <w:rPr>
          <w:rtl/>
          <w:lang w:bidi="fa-IR"/>
        </w:rPr>
        <w:t xml:space="preserve"> </w:t>
      </w:r>
      <w:r>
        <w:rPr>
          <w:rtl/>
          <w:lang w:bidi="fa-IR"/>
        </w:rPr>
        <w:t xml:space="preserve">بِالْحِيرَةِ ، فَقُلْتُ لَهُ </w:t>
      </w:r>
      <w:r w:rsidRPr="00D10E3C">
        <w:rPr>
          <w:rStyle w:val="libFootnotenumChar"/>
          <w:rtl/>
        </w:rPr>
        <w:t>(7)</w:t>
      </w:r>
      <w:r>
        <w:rPr>
          <w:rtl/>
          <w:lang w:bidi="fa-IR"/>
        </w:rPr>
        <w:t xml:space="preserve"> : إِنَّ مُرَاداً </w:t>
      </w:r>
      <w:r w:rsidRPr="00D10E3C">
        <w:rPr>
          <w:rStyle w:val="libFootnotenumChar"/>
          <w:rtl/>
        </w:rPr>
        <w:t>(8)</w:t>
      </w:r>
      <w:r>
        <w:rPr>
          <w:rtl/>
          <w:lang w:bidi="fa-IR"/>
        </w:rPr>
        <w:t xml:space="preserve"> صَنَعَ كَذَا وَكَذَا ، وَإِنَّهُ لَايَسْتَطِيعُ أَنْ يَتْرُكَ الثِّيَابَ لِمَكَانِ زِيَادٍ </w:t>
      </w:r>
      <w:r w:rsidRPr="00D10E3C">
        <w:rPr>
          <w:rStyle w:val="libFootnotenumChar"/>
          <w:rtl/>
        </w:rPr>
        <w:t>(9)</w:t>
      </w:r>
      <w:r w:rsidR="00A914B5" w:rsidRPr="00A914B5">
        <w:rPr>
          <w:rFonts w:hint="cs"/>
          <w:rtl/>
        </w:rPr>
        <w:t>.</w:t>
      </w:r>
    </w:p>
    <w:p w:rsidR="00144FA6" w:rsidRDefault="00744A1C" w:rsidP="00744A1C">
      <w:pPr>
        <w:pStyle w:val="libNormal"/>
        <w:rPr>
          <w:rtl/>
          <w:lang w:bidi="fa-IR"/>
        </w:rPr>
      </w:pPr>
      <w:r>
        <w:rPr>
          <w:rtl/>
          <w:lang w:bidi="fa-IR"/>
        </w:rPr>
        <w:t xml:space="preserve">فَقَالَ : « مُرْهُ فَلْيَلْبَسِ </w:t>
      </w:r>
      <w:r w:rsidRPr="00D10E3C">
        <w:rPr>
          <w:rStyle w:val="libFootnotenumChar"/>
          <w:rtl/>
        </w:rPr>
        <w:t>(10)</w:t>
      </w:r>
      <w:r>
        <w:rPr>
          <w:rtl/>
          <w:lang w:bidi="fa-IR"/>
        </w:rPr>
        <w:t xml:space="preserve"> الثِّيَابَ ، وَلْيَذْبَحْ </w:t>
      </w:r>
      <w:r w:rsidRPr="00D10E3C">
        <w:rPr>
          <w:rStyle w:val="libFootnotenumChar"/>
          <w:rtl/>
        </w:rPr>
        <w:t>(11)</w:t>
      </w:r>
      <w:r>
        <w:rPr>
          <w:rtl/>
          <w:lang w:bidi="fa-IR"/>
        </w:rPr>
        <w:t xml:space="preserve"> بَقَرَةً يَوْمَ الْأَضْحى عَنْ نَفْسِهِ </w:t>
      </w:r>
      <w:r w:rsidRPr="00D10E3C">
        <w:rPr>
          <w:rStyle w:val="libFootnotenumChar"/>
          <w:rtl/>
        </w:rPr>
        <w:t>(12)</w:t>
      </w:r>
      <w:r>
        <w:rPr>
          <w:rtl/>
          <w:lang w:bidi="fa-IR"/>
        </w:rPr>
        <w:t xml:space="preserve"> ». </w:t>
      </w:r>
      <w:r w:rsidRPr="00D10E3C">
        <w:rPr>
          <w:rStyle w:val="libFootnotenumChar"/>
          <w:rtl/>
        </w:rPr>
        <w:t>(13)</w:t>
      </w:r>
    </w:p>
    <w:p w:rsidR="00744A1C" w:rsidRDefault="00744A1C" w:rsidP="00A914B5">
      <w:pPr>
        <w:pStyle w:val="Heading2Center"/>
        <w:rPr>
          <w:lang w:bidi="fa-IR"/>
        </w:rPr>
      </w:pPr>
      <w:bookmarkStart w:id="58" w:name="_Toc49261356"/>
      <w:r>
        <w:rPr>
          <w:rtl/>
          <w:lang w:bidi="fa-IR"/>
        </w:rPr>
        <w:t>212 - بَابُ النَّوَادِرِ‌</w:t>
      </w:r>
      <w:bookmarkEnd w:id="58"/>
    </w:p>
    <w:p w:rsidR="00744A1C" w:rsidRDefault="00744A1C" w:rsidP="00744A1C">
      <w:pPr>
        <w:pStyle w:val="libNormal"/>
        <w:rPr>
          <w:lang w:bidi="fa-IR"/>
        </w:rPr>
      </w:pPr>
      <w:r>
        <w:rPr>
          <w:rtl/>
          <w:lang w:bidi="fa-IR"/>
        </w:rPr>
        <w:t xml:space="preserve">8052 / 1. عِدَّةٌ مِنْ أَصْحَابِنَا ، عَنْ أَحْمَدَ بْنِ مُحَمَّدٍ ، عَنْ أَصْرَمَ بْنِ حَوْشَبٍ </w:t>
      </w:r>
      <w:r w:rsidRPr="00D10E3C">
        <w:rPr>
          <w:rStyle w:val="libFootnotenumChar"/>
          <w:rtl/>
        </w:rPr>
        <w:t>(14)</w:t>
      </w:r>
      <w:r>
        <w:rPr>
          <w:rtl/>
          <w:lang w:bidi="fa-IR"/>
        </w:rPr>
        <w:t xml:space="preserve">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بح ، جد » : « يجتنبه ».</w:t>
      </w:r>
    </w:p>
    <w:p w:rsidR="00744A1C" w:rsidRDefault="00E378DD" w:rsidP="00E2003B">
      <w:pPr>
        <w:pStyle w:val="libFootnote0"/>
        <w:rPr>
          <w:lang w:bidi="fa-IR"/>
        </w:rPr>
      </w:pPr>
      <w:r>
        <w:rPr>
          <w:rtl/>
          <w:lang w:bidi="fa-IR"/>
        </w:rPr>
        <w:t>(2).</w:t>
      </w:r>
      <w:r w:rsidR="00744A1C">
        <w:rPr>
          <w:rtl/>
          <w:lang w:bidi="fa-IR"/>
        </w:rPr>
        <w:t xml:space="preserve"> </w:t>
      </w:r>
      <w:r w:rsidR="00744A1C" w:rsidRPr="00C24F9C">
        <w:rPr>
          <w:rStyle w:val="libFootnoteBoldChar"/>
          <w:rtl/>
        </w:rPr>
        <w:t>الفقيه</w:t>
      </w:r>
      <w:r w:rsidR="00744A1C">
        <w:rPr>
          <w:rtl/>
          <w:lang w:bidi="fa-IR"/>
        </w:rPr>
        <w:t xml:space="preserve"> ، ج 2 ، ص 517 ، ح 3109 ، معلّقاً عن معاوية بن عمّار. </w:t>
      </w:r>
      <w:r w:rsidR="00744A1C" w:rsidRPr="00C24F9C">
        <w:rPr>
          <w:rStyle w:val="libFootnoteBoldChar"/>
          <w:rtl/>
        </w:rPr>
        <w:t>التهذيب</w:t>
      </w:r>
      <w:r w:rsidR="00744A1C">
        <w:rPr>
          <w:rtl/>
          <w:lang w:bidi="fa-IR"/>
        </w:rPr>
        <w:t xml:space="preserve"> ، ج 5 ، ص 424 ، ح 1472 ، بسنده عن معاوية بن عمّار ، وفيهما مع اختلاف يسير وزيادة في آخره </w:t>
      </w:r>
      <w:r w:rsidR="00A6401B">
        <w:rPr>
          <w:rFonts w:hint="cs"/>
          <w:rtl/>
          <w:lang w:bidi="fa-IR"/>
        </w:rPr>
        <w:t>.</w:t>
      </w:r>
      <w:r w:rsidR="00744A1C" w:rsidRPr="00C24F9C">
        <w:rPr>
          <w:rStyle w:val="libFootnoteBoldChar"/>
          <w:rtl/>
        </w:rPr>
        <w:t>الوافي</w:t>
      </w:r>
      <w:r w:rsidR="00744A1C">
        <w:rPr>
          <w:rtl/>
          <w:lang w:bidi="fa-IR"/>
        </w:rPr>
        <w:t xml:space="preserve"> ، ج 14 ، ص 1303 ، ح 14310 ؛ </w:t>
      </w:r>
      <w:r w:rsidR="00744A1C" w:rsidRPr="00C24F9C">
        <w:rPr>
          <w:rStyle w:val="libFootnoteBoldChar"/>
          <w:rtl/>
        </w:rPr>
        <w:t>الوسائل</w:t>
      </w:r>
      <w:r w:rsidR="00744A1C">
        <w:rPr>
          <w:rtl/>
          <w:lang w:bidi="fa-IR"/>
        </w:rPr>
        <w:t xml:space="preserve"> ، ج 13 ، ص 191 ، ذيل ح 17549.</w:t>
      </w:r>
      <w:r w:rsidR="00E2003B">
        <w:rPr>
          <w:rFonts w:hint="cs"/>
          <w:rtl/>
          <w:lang w:bidi="fa-IR"/>
        </w:rPr>
        <w:t xml:space="preserve">       </w:t>
      </w:r>
      <w:r>
        <w:rPr>
          <w:rtl/>
          <w:lang w:bidi="fa-IR"/>
        </w:rPr>
        <w:t>(3).</w:t>
      </w:r>
      <w:r w:rsidR="00744A1C">
        <w:rPr>
          <w:rtl/>
          <w:lang w:bidi="fa-IR"/>
        </w:rPr>
        <w:t xml:space="preserve"> في </w:t>
      </w:r>
      <w:r w:rsidR="00744A1C" w:rsidRPr="00E2003B">
        <w:rPr>
          <w:rtl/>
        </w:rPr>
        <w:t>التهذيب</w:t>
      </w:r>
      <w:r w:rsidR="00744A1C">
        <w:rPr>
          <w:rtl/>
          <w:lang w:bidi="fa-IR"/>
        </w:rPr>
        <w:t xml:space="preserve"> : « أبا مراد ».</w:t>
      </w:r>
    </w:p>
    <w:tbl>
      <w:tblPr>
        <w:tblStyle w:val="TableGrid"/>
        <w:bidiVisual/>
        <w:tblW w:w="0" w:type="auto"/>
        <w:tblLook w:val="04A0" w:firstRow="1" w:lastRow="0" w:firstColumn="1" w:lastColumn="0" w:noHBand="0" w:noVBand="1"/>
      </w:tblPr>
      <w:tblGrid>
        <w:gridCol w:w="4006"/>
        <w:gridCol w:w="4006"/>
      </w:tblGrid>
      <w:tr w:rsidR="00E2003B" w:rsidTr="00E2003B">
        <w:tc>
          <w:tcPr>
            <w:tcW w:w="4006" w:type="dxa"/>
          </w:tcPr>
          <w:p w:rsidR="00E2003B" w:rsidRDefault="00E2003B" w:rsidP="00E378DD">
            <w:pPr>
              <w:pStyle w:val="libFootnote0"/>
              <w:rPr>
                <w:rtl/>
                <w:lang w:bidi="fa-IR"/>
              </w:rPr>
            </w:pPr>
            <w:r>
              <w:rPr>
                <w:rtl/>
                <w:lang w:bidi="fa-IR"/>
              </w:rPr>
              <w:t>(4). في « بث ، بخ ، بس » : « أن يقلّد ».</w:t>
            </w:r>
          </w:p>
        </w:tc>
        <w:tc>
          <w:tcPr>
            <w:tcW w:w="4006" w:type="dxa"/>
          </w:tcPr>
          <w:p w:rsidR="00E2003B" w:rsidRDefault="00E2003B" w:rsidP="00E378DD">
            <w:pPr>
              <w:pStyle w:val="libFootnote0"/>
              <w:rPr>
                <w:rtl/>
                <w:lang w:bidi="fa-IR"/>
              </w:rPr>
            </w:pPr>
            <w:r>
              <w:rPr>
                <w:rtl/>
                <w:lang w:bidi="fa-IR"/>
              </w:rPr>
              <w:t>(5). في « بث ، بخ ، بس ، بف » : « ويشعر ».</w:t>
            </w:r>
          </w:p>
        </w:tc>
      </w:tr>
      <w:tr w:rsidR="00E2003B" w:rsidTr="00E2003B">
        <w:tc>
          <w:tcPr>
            <w:tcW w:w="4006" w:type="dxa"/>
          </w:tcPr>
          <w:p w:rsidR="00E2003B" w:rsidRDefault="00E2003B" w:rsidP="00E378DD">
            <w:pPr>
              <w:pStyle w:val="libFootnote0"/>
              <w:rPr>
                <w:rtl/>
                <w:lang w:bidi="fa-IR"/>
              </w:rPr>
            </w:pPr>
            <w:r>
              <w:rPr>
                <w:rtl/>
                <w:lang w:bidi="fa-IR"/>
              </w:rPr>
              <w:t xml:space="preserve">(6). في « بح » </w:t>
            </w:r>
            <w:r w:rsidRPr="00E2003B">
              <w:rPr>
                <w:rtl/>
              </w:rPr>
              <w:t>والوافي</w:t>
            </w:r>
            <w:r>
              <w:rPr>
                <w:rtl/>
                <w:lang w:bidi="fa-IR"/>
              </w:rPr>
              <w:t xml:space="preserve"> : « لا تلبس ».</w:t>
            </w:r>
          </w:p>
        </w:tc>
        <w:tc>
          <w:tcPr>
            <w:tcW w:w="4006" w:type="dxa"/>
          </w:tcPr>
          <w:p w:rsidR="00E2003B" w:rsidRDefault="00E2003B" w:rsidP="00E378DD">
            <w:pPr>
              <w:pStyle w:val="libFootnote0"/>
              <w:rPr>
                <w:rtl/>
                <w:lang w:bidi="fa-IR"/>
              </w:rPr>
            </w:pPr>
            <w:r>
              <w:rPr>
                <w:rtl/>
                <w:lang w:bidi="fa-IR"/>
              </w:rPr>
              <w:t>(7). في « بح ، بخ » : - « له ».</w:t>
            </w:r>
          </w:p>
        </w:tc>
      </w:tr>
      <w:tr w:rsidR="00E2003B" w:rsidTr="00E2003B">
        <w:tc>
          <w:tcPr>
            <w:tcW w:w="4006" w:type="dxa"/>
          </w:tcPr>
          <w:p w:rsidR="00E2003B" w:rsidRDefault="00E2003B" w:rsidP="00E378DD">
            <w:pPr>
              <w:pStyle w:val="libFootnote0"/>
              <w:rPr>
                <w:rtl/>
                <w:lang w:bidi="fa-IR"/>
              </w:rPr>
            </w:pPr>
            <w:r>
              <w:rPr>
                <w:rtl/>
                <w:lang w:bidi="fa-IR"/>
              </w:rPr>
              <w:t xml:space="preserve">(8). في </w:t>
            </w:r>
            <w:r w:rsidRPr="00C24F9C">
              <w:rPr>
                <w:rStyle w:val="libFootnoteBoldChar"/>
                <w:rtl/>
              </w:rPr>
              <w:t>التهذيب</w:t>
            </w:r>
            <w:r>
              <w:rPr>
                <w:rtl/>
                <w:lang w:bidi="fa-IR"/>
              </w:rPr>
              <w:t xml:space="preserve"> : « أبا مراد ».</w:t>
            </w:r>
          </w:p>
        </w:tc>
        <w:tc>
          <w:tcPr>
            <w:tcW w:w="4006" w:type="dxa"/>
          </w:tcPr>
          <w:p w:rsidR="00E2003B" w:rsidRDefault="00E2003B" w:rsidP="00E378DD">
            <w:pPr>
              <w:pStyle w:val="libFootnote0"/>
              <w:rPr>
                <w:rtl/>
                <w:lang w:bidi="fa-IR"/>
              </w:rPr>
            </w:pPr>
            <w:r>
              <w:rPr>
                <w:rtl/>
                <w:lang w:bidi="fa-IR"/>
              </w:rPr>
              <w:t xml:space="preserve">(9). في </w:t>
            </w:r>
            <w:r w:rsidRPr="00C24F9C">
              <w:rPr>
                <w:rStyle w:val="libFootnoteBoldChar"/>
                <w:rtl/>
              </w:rPr>
              <w:t>التهذيب</w:t>
            </w:r>
            <w:r>
              <w:rPr>
                <w:rtl/>
                <w:lang w:bidi="fa-IR"/>
              </w:rPr>
              <w:t xml:space="preserve"> : « أبي جعفر » بدل « زياد ».</w:t>
            </w:r>
          </w:p>
        </w:tc>
      </w:tr>
    </w:tbl>
    <w:p w:rsidR="00744A1C" w:rsidRDefault="00E378DD" w:rsidP="00E2003B">
      <w:pPr>
        <w:pStyle w:val="libFootnote0"/>
        <w:rPr>
          <w:lang w:bidi="fa-IR"/>
        </w:rPr>
      </w:pPr>
      <w:r>
        <w:rPr>
          <w:rtl/>
          <w:lang w:bidi="fa-IR"/>
        </w:rPr>
        <w:t>(10).</w:t>
      </w:r>
      <w:r w:rsidR="00744A1C">
        <w:rPr>
          <w:rtl/>
          <w:lang w:bidi="fa-IR"/>
        </w:rPr>
        <w:t xml:space="preserve"> هكذا في معظم النسخ التي قوبلت </w:t>
      </w:r>
      <w:r w:rsidR="00744A1C" w:rsidRPr="00E2003B">
        <w:rPr>
          <w:rtl/>
        </w:rPr>
        <w:t>والوافي والتهذيب</w:t>
      </w:r>
      <w:r w:rsidR="00744A1C">
        <w:rPr>
          <w:rtl/>
          <w:lang w:bidi="fa-IR"/>
        </w:rPr>
        <w:t xml:space="preserve"> ، وحاشية « جن ». وفي « جن » : « يلبس ». وفي المطبوع : « أن يلبس ».</w:t>
      </w:r>
      <w:r w:rsidR="00B03098">
        <w:rPr>
          <w:rFonts w:hint="cs"/>
          <w:rtl/>
          <w:lang w:bidi="fa-IR"/>
        </w:rPr>
        <w:t xml:space="preserve">                         </w:t>
      </w:r>
      <w:r w:rsidR="00E2003B">
        <w:rPr>
          <w:rFonts w:hint="cs"/>
          <w:rtl/>
          <w:lang w:bidi="fa-IR"/>
        </w:rPr>
        <w:t xml:space="preserve">           </w:t>
      </w:r>
      <w:r>
        <w:rPr>
          <w:rtl/>
          <w:lang w:bidi="fa-IR"/>
        </w:rPr>
        <w:t>(11).</w:t>
      </w:r>
      <w:r w:rsidR="00744A1C">
        <w:rPr>
          <w:rtl/>
          <w:lang w:bidi="fa-IR"/>
        </w:rPr>
        <w:t xml:space="preserve"> في </w:t>
      </w:r>
      <w:r w:rsidR="00744A1C" w:rsidRPr="00E2003B">
        <w:rPr>
          <w:rtl/>
        </w:rPr>
        <w:t>التهذيب</w:t>
      </w:r>
      <w:r w:rsidR="00744A1C">
        <w:rPr>
          <w:rtl/>
          <w:lang w:bidi="fa-IR"/>
        </w:rPr>
        <w:t xml:space="preserve"> : « ولينحر ».</w:t>
      </w:r>
    </w:p>
    <w:p w:rsidR="00744A1C" w:rsidRDefault="00E378DD" w:rsidP="00E378DD">
      <w:pPr>
        <w:pStyle w:val="libFootnote0"/>
        <w:rPr>
          <w:lang w:bidi="fa-IR"/>
        </w:rPr>
      </w:pPr>
      <w:r>
        <w:rPr>
          <w:rtl/>
          <w:lang w:bidi="fa-IR"/>
        </w:rPr>
        <w:t>(12).</w:t>
      </w:r>
      <w:r w:rsidR="00744A1C">
        <w:rPr>
          <w:rtl/>
          <w:lang w:bidi="fa-IR"/>
        </w:rPr>
        <w:t xml:space="preserve"> في </w:t>
      </w:r>
      <w:r w:rsidR="00744A1C" w:rsidRPr="00E2003B">
        <w:rPr>
          <w:rtl/>
        </w:rPr>
        <w:t>التهذيب</w:t>
      </w:r>
      <w:r w:rsidR="00744A1C">
        <w:rPr>
          <w:rtl/>
          <w:lang w:bidi="fa-IR"/>
        </w:rPr>
        <w:t xml:space="preserve"> : « ولينحر بقرة يوم النحر عن لبسه الثياب » بدل « وليذبح » إلى هنا.</w:t>
      </w:r>
    </w:p>
    <w:p w:rsidR="00744A1C" w:rsidRDefault="00E378DD" w:rsidP="00E378DD">
      <w:pPr>
        <w:pStyle w:val="libFootnote0"/>
        <w:rPr>
          <w:lang w:bidi="fa-IR"/>
        </w:rPr>
      </w:pPr>
      <w:r>
        <w:rPr>
          <w:rtl/>
          <w:lang w:bidi="fa-IR"/>
        </w:rPr>
        <w:t>(13).</w:t>
      </w:r>
      <w:r w:rsidR="00744A1C">
        <w:rPr>
          <w:rtl/>
          <w:lang w:bidi="fa-IR"/>
        </w:rPr>
        <w:t xml:space="preserve"> </w:t>
      </w:r>
      <w:r w:rsidR="00744A1C" w:rsidRPr="00E2003B">
        <w:rPr>
          <w:rtl/>
        </w:rPr>
        <w:t>التهذيب</w:t>
      </w:r>
      <w:r w:rsidR="00744A1C">
        <w:rPr>
          <w:rtl/>
          <w:lang w:bidi="fa-IR"/>
        </w:rPr>
        <w:t xml:space="preserve"> ، ج 5 ، ص 425 ، ح 1474 ، بسنده عن صفوان وابن أبي عمير ، عن هارون بن خارجة </w:t>
      </w:r>
      <w:r w:rsidR="00E2003B">
        <w:rPr>
          <w:rFonts w:hint="cs"/>
          <w:rtl/>
          <w:lang w:bidi="fa-IR"/>
        </w:rPr>
        <w:t>.</w:t>
      </w:r>
      <w:r w:rsidR="00744A1C" w:rsidRPr="00C24F9C">
        <w:rPr>
          <w:rStyle w:val="libFootnoteBoldChar"/>
          <w:rtl/>
        </w:rPr>
        <w:t>الوافي</w:t>
      </w:r>
      <w:r w:rsidR="00744A1C">
        <w:rPr>
          <w:rtl/>
          <w:lang w:bidi="fa-IR"/>
        </w:rPr>
        <w:t xml:space="preserve"> ، ج 14 ، ص 1305 ، ح 14314 ؛ </w:t>
      </w:r>
      <w:r w:rsidR="00744A1C" w:rsidRPr="00C24F9C">
        <w:rPr>
          <w:rStyle w:val="libFootnoteBoldChar"/>
          <w:rtl/>
        </w:rPr>
        <w:t>الوسائل</w:t>
      </w:r>
      <w:r w:rsidR="00744A1C">
        <w:rPr>
          <w:rtl/>
          <w:lang w:bidi="fa-IR"/>
        </w:rPr>
        <w:t xml:space="preserve"> ، ج 13 ، ص 192 ، ذيل ح 17551.</w:t>
      </w:r>
    </w:p>
    <w:p w:rsidR="00744A1C" w:rsidRDefault="00E378DD" w:rsidP="00E378DD">
      <w:pPr>
        <w:pStyle w:val="libFootnote0"/>
        <w:rPr>
          <w:lang w:bidi="fa-IR"/>
        </w:rPr>
      </w:pPr>
      <w:r>
        <w:rPr>
          <w:rtl/>
          <w:lang w:bidi="fa-IR"/>
        </w:rPr>
        <w:t>(14).</w:t>
      </w:r>
      <w:r w:rsidR="00744A1C">
        <w:rPr>
          <w:rtl/>
          <w:lang w:bidi="fa-IR"/>
        </w:rPr>
        <w:t xml:space="preserve"> ورد الخبر في </w:t>
      </w:r>
      <w:r w:rsidR="00744A1C" w:rsidRPr="00C24F9C">
        <w:rPr>
          <w:rStyle w:val="libFootnoteBoldChar"/>
          <w:rtl/>
        </w:rPr>
        <w:t>التهذيب</w:t>
      </w:r>
      <w:r w:rsidR="00E2003B">
        <w:rPr>
          <w:rtl/>
          <w:lang w:bidi="fa-IR"/>
        </w:rPr>
        <w:t xml:space="preserve"> ، ج 5، ص 443، ح 1544</w:t>
      </w:r>
      <w:r w:rsidR="00744A1C">
        <w:rPr>
          <w:rtl/>
          <w:lang w:bidi="fa-IR"/>
        </w:rPr>
        <w:t>؛ وص 455 ، ح 1587</w:t>
      </w:r>
      <w:r w:rsidR="00E2003B">
        <w:rPr>
          <w:rtl/>
          <w:lang w:bidi="fa-IR"/>
        </w:rPr>
        <w:t>، عن أحمد بن محمّد[بن عيسى]عن‌البرقي عن أصرم بن حوشب</w:t>
      </w:r>
      <w:r w:rsidR="00744A1C">
        <w:rPr>
          <w:rtl/>
          <w:lang w:bidi="fa-IR"/>
        </w:rPr>
        <w:t xml:space="preserve">- وفي الموضع الثاني من </w:t>
      </w:r>
      <w:r w:rsidR="00744A1C" w:rsidRPr="00C24F9C">
        <w:rPr>
          <w:rStyle w:val="libFootnoteBoldChar"/>
          <w:rtl/>
        </w:rPr>
        <w:t>التهذيب</w:t>
      </w:r>
      <w:r w:rsidR="00744A1C">
        <w:rPr>
          <w:rtl/>
          <w:lang w:bidi="fa-IR"/>
        </w:rPr>
        <w:t xml:space="preserve"> : خوشب ، وهو سهو - وقال النجاشي في </w:t>
      </w:r>
      <w:r w:rsidR="00E2003B">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عِيسَى بْنِ عَبْدِ اللهِ :</w:t>
      </w:r>
    </w:p>
    <w:p w:rsidR="00144FA6" w:rsidRDefault="00744A1C" w:rsidP="00744A1C">
      <w:pPr>
        <w:pStyle w:val="libNormal"/>
        <w:rPr>
          <w:rtl/>
          <w:lang w:bidi="fa-IR"/>
        </w:rPr>
      </w:pPr>
      <w:r>
        <w:rPr>
          <w:rtl/>
          <w:lang w:bidi="fa-IR"/>
        </w:rPr>
        <w:t xml:space="preserve">عَنْ جَعْفَرِ بْنِ مُحَمَّدٍ </w:t>
      </w:r>
      <w:r w:rsidR="008859AA" w:rsidRPr="008859AA">
        <w:rPr>
          <w:rStyle w:val="libAlaemChar"/>
          <w:rtl/>
        </w:rPr>
        <w:t>عليهما‌السلام</w:t>
      </w:r>
      <w:r>
        <w:rPr>
          <w:rtl/>
          <w:lang w:bidi="fa-IR"/>
        </w:rPr>
        <w:t xml:space="preserve">، قَالَ : « أَوْدِيَةُ الْحَرَمِ </w:t>
      </w:r>
      <w:r w:rsidRPr="00D10E3C">
        <w:rPr>
          <w:rStyle w:val="libFootnotenumChar"/>
          <w:rtl/>
        </w:rPr>
        <w:t>(1)</w:t>
      </w:r>
      <w:r>
        <w:rPr>
          <w:rtl/>
          <w:lang w:bidi="fa-IR"/>
        </w:rPr>
        <w:t xml:space="preserve"> تَسِيلُ فِي الْحِلِّ ، وَأَوْدِيَةُ الْحِلِّ لَا تَسِيلُ فِي الْحَرَمِ ». </w:t>
      </w:r>
      <w:r w:rsidRPr="00D10E3C">
        <w:rPr>
          <w:rStyle w:val="libFootnotenumChar"/>
          <w:rtl/>
        </w:rPr>
        <w:t>(2)</w:t>
      </w:r>
    </w:p>
    <w:p w:rsidR="00144FA6" w:rsidRDefault="00744A1C" w:rsidP="00744A1C">
      <w:pPr>
        <w:pStyle w:val="libNormal"/>
        <w:rPr>
          <w:rtl/>
          <w:lang w:bidi="fa-IR"/>
        </w:rPr>
      </w:pPr>
      <w:r>
        <w:rPr>
          <w:rtl/>
          <w:lang w:bidi="fa-IR"/>
        </w:rPr>
        <w:t>8053 / 2. عَلِيُّ بْنُ إِبْرَاهِيمَ ، عَنْ أَبِيهِ ، عَنِ ابْنِ أَبِي عُمَيْرٍ ، عَنْ جَمِيلٍ ، عَنْ أَبَانِ بْنِ تَغْلِبَ ، قَالَ :</w:t>
      </w:r>
    </w:p>
    <w:p w:rsidR="00144FA6" w:rsidRDefault="00744A1C" w:rsidP="00744A1C">
      <w:pPr>
        <w:pStyle w:val="libNormal"/>
        <w:rPr>
          <w:rtl/>
          <w:lang w:bidi="fa-IR"/>
        </w:rPr>
      </w:pPr>
      <w:r>
        <w:rPr>
          <w:rtl/>
          <w:lang w:bidi="fa-IR"/>
        </w:rPr>
        <w:t xml:space="preserve">كُنْتُ مَعَ أَبِي جَعْفَرٍ </w:t>
      </w:r>
      <w:r w:rsidR="0061079A" w:rsidRPr="0061079A">
        <w:rPr>
          <w:rStyle w:val="libAlaemChar"/>
          <w:rtl/>
        </w:rPr>
        <w:t>عليه‌السلام</w:t>
      </w:r>
      <w:r w:rsidR="00D10E3C">
        <w:rPr>
          <w:rtl/>
          <w:lang w:bidi="fa-IR"/>
        </w:rPr>
        <w:t xml:space="preserve"> </w:t>
      </w:r>
      <w:r>
        <w:rPr>
          <w:rtl/>
          <w:lang w:bidi="fa-IR"/>
        </w:rPr>
        <w:t xml:space="preserve">فِي نَاحِيَةٍ مِنَ الْمَسْجِدِ الْحَرَامِ </w:t>
      </w:r>
      <w:r w:rsidRPr="00D10E3C">
        <w:rPr>
          <w:rStyle w:val="libFootnotenumChar"/>
          <w:rtl/>
        </w:rPr>
        <w:t>(3)</w:t>
      </w:r>
      <w:r>
        <w:rPr>
          <w:rtl/>
          <w:lang w:bidi="fa-IR"/>
        </w:rPr>
        <w:t xml:space="preserve"> ، وَقَوْمٌ يُلَبُّو</w:t>
      </w:r>
      <w:r w:rsidR="00E2003B">
        <w:rPr>
          <w:rtl/>
          <w:lang w:bidi="fa-IR"/>
        </w:rPr>
        <w:t>نَ حَوْلَ الْكَعْبَةِ ، فَقَالَ</w:t>
      </w:r>
      <w:r>
        <w:rPr>
          <w:rtl/>
          <w:lang w:bidi="fa-IR"/>
        </w:rPr>
        <w:t xml:space="preserve">: « أَتَرى هؤُلَاءِ الَّذِينَ يُلَبُّونَ؟ وَاللهِ لَأَصْوَاتُهُمْ </w:t>
      </w:r>
      <w:r w:rsidRPr="00D10E3C">
        <w:rPr>
          <w:rStyle w:val="libFootnotenumChar"/>
          <w:rtl/>
        </w:rPr>
        <w:t>(4)</w:t>
      </w:r>
      <w:r>
        <w:rPr>
          <w:rtl/>
          <w:lang w:bidi="fa-IR"/>
        </w:rPr>
        <w:t xml:space="preserve"> أَبْغَضُ إِلَى اللهِ مِنْ أَصْوَاتِ الْحَمِيرِ </w:t>
      </w:r>
      <w:r w:rsidRPr="00D10E3C">
        <w:rPr>
          <w:rStyle w:val="libFootnotenumChar"/>
          <w:rtl/>
        </w:rPr>
        <w:t>(5)</w:t>
      </w:r>
      <w:r>
        <w:rPr>
          <w:rtl/>
          <w:lang w:bidi="fa-IR"/>
        </w:rPr>
        <w:t xml:space="preserve"> ». </w:t>
      </w:r>
      <w:r w:rsidRPr="00D10E3C">
        <w:rPr>
          <w:rStyle w:val="libFootnotenumChar"/>
          <w:rtl/>
        </w:rPr>
        <w:t>(6)</w:t>
      </w:r>
    </w:p>
    <w:p w:rsidR="00744A1C" w:rsidRDefault="00744A1C" w:rsidP="00744A1C">
      <w:pPr>
        <w:pStyle w:val="libNormal"/>
        <w:rPr>
          <w:lang w:bidi="fa-IR"/>
        </w:rPr>
      </w:pPr>
      <w:r>
        <w:rPr>
          <w:rtl/>
          <w:lang w:bidi="fa-IR"/>
        </w:rPr>
        <w:t>8054 / 3. عَلِيُّ بْنُ إِبْرَاهِيمَ ، عَنْ أَبِيهِ ، عَنِ ابْنِ أَبِي عُمَيْرٍ ، عَنْ حَمَّاد</w:t>
      </w:r>
      <w:r w:rsidR="00E2003B">
        <w:rPr>
          <w:rtl/>
          <w:lang w:bidi="fa-IR"/>
        </w:rPr>
        <w:t>ٍ ، عَنِ الْحَلَبِيِّ ، قَالَ :</w:t>
      </w:r>
    </w:p>
    <w:p w:rsidR="00744A1C" w:rsidRDefault="00744A1C" w:rsidP="00D10E3C">
      <w:pPr>
        <w:pStyle w:val="libLine"/>
        <w:rPr>
          <w:lang w:bidi="fa-IR"/>
        </w:rPr>
      </w:pPr>
      <w:r>
        <w:rPr>
          <w:rtl/>
          <w:lang w:bidi="fa-IR"/>
        </w:rPr>
        <w:t>____________________</w:t>
      </w:r>
    </w:p>
    <w:p w:rsidR="00744A1C" w:rsidRDefault="00E2003B" w:rsidP="00D10E3C">
      <w:pPr>
        <w:pStyle w:val="libFootnote0"/>
        <w:rPr>
          <w:lang w:bidi="fa-IR"/>
        </w:rPr>
      </w:pPr>
      <w:r>
        <w:rPr>
          <w:rFonts w:hint="cs"/>
          <w:rtl/>
          <w:lang w:bidi="fa-IR"/>
        </w:rPr>
        <w:t xml:space="preserve">= </w:t>
      </w:r>
      <w:r w:rsidR="00744A1C">
        <w:rPr>
          <w:rtl/>
          <w:lang w:bidi="fa-IR"/>
        </w:rPr>
        <w:t xml:space="preserve">ترجمة أصرم بن حوشب : « روى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نسخة رواها عنه محمّد بن خالد البرقي ». والمراد بالبرقي في سندي </w:t>
      </w:r>
      <w:r w:rsidR="00744A1C" w:rsidRPr="00C24F9C">
        <w:rPr>
          <w:rStyle w:val="libFootnoteBoldChar"/>
          <w:rtl/>
        </w:rPr>
        <w:t>التهذيب</w:t>
      </w:r>
      <w:r w:rsidR="00744A1C">
        <w:rPr>
          <w:rtl/>
          <w:lang w:bidi="fa-IR"/>
        </w:rPr>
        <w:t xml:space="preserve"> هو محمّد بن خالد. فلا يبعد سقوط الواسطة في ما نحن فيه بين أحمد بن محمّد وبين أصرم بن حوشب. راجع : </w:t>
      </w:r>
      <w:r w:rsidR="00744A1C" w:rsidRPr="003A7143">
        <w:rPr>
          <w:rStyle w:val="libFootnoteBoldChar"/>
          <w:rtl/>
        </w:rPr>
        <w:t>رجال النجاشي</w:t>
      </w:r>
      <w:r w:rsidR="00744A1C">
        <w:rPr>
          <w:rtl/>
          <w:lang w:bidi="fa-IR"/>
        </w:rPr>
        <w:t xml:space="preserve"> ، ص 107 ، الرقم 271.</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w:t>
      </w:r>
      <w:r w:rsidR="00E2003B">
        <w:rPr>
          <w:rtl/>
          <w:lang w:bidi="fa-IR"/>
        </w:rPr>
        <w:t>18 ، ص 243 : « قال الوالد العل</w:t>
      </w:r>
      <w:r w:rsidR="00E2003B">
        <w:rPr>
          <w:rFonts w:hint="cs"/>
          <w:rtl/>
          <w:lang w:bidi="fa-IR"/>
        </w:rPr>
        <w:t>ّ</w:t>
      </w:r>
      <w:r w:rsidR="00E2003B">
        <w:rPr>
          <w:rtl/>
          <w:lang w:bidi="fa-IR"/>
        </w:rPr>
        <w:t>ا</w:t>
      </w:r>
      <w:r w:rsidR="00744A1C">
        <w:rPr>
          <w:rtl/>
          <w:lang w:bidi="fa-IR"/>
        </w:rPr>
        <w:t>مة - نوّر الله مرقده - : كأنّه لارتفاع الحرم على الحلّ ، أو</w:t>
      </w:r>
      <w:r w:rsidR="00C75994">
        <w:rPr>
          <w:rFonts w:hint="cs"/>
          <w:rtl/>
          <w:lang w:bidi="fa-IR"/>
        </w:rPr>
        <w:t xml:space="preserve"> </w:t>
      </w:r>
      <w:r w:rsidR="00744A1C">
        <w:rPr>
          <w:rtl/>
          <w:lang w:bidi="fa-IR"/>
        </w:rPr>
        <w:t xml:space="preserve">الغرض بيان أنّ الله تعالى جعله مرتفعاً صورة كما رفعه معنى ، أو المعنى أنّ المنافع الصوريّة والمعنويّة يصل منه إلى العالم ، كما قال تعالى : </w:t>
      </w:r>
      <w:r w:rsidR="00744A1C" w:rsidRPr="00C75994">
        <w:rPr>
          <w:rStyle w:val="libFootnoteAlaemChar"/>
          <w:rtl/>
        </w:rPr>
        <w:t>(</w:t>
      </w:r>
      <w:r w:rsidR="00744A1C" w:rsidRPr="00C75994">
        <w:rPr>
          <w:rStyle w:val="libFootnoteAieChar"/>
          <w:rtl/>
        </w:rPr>
        <w:t xml:space="preserve"> لِيَشْهَدُوا مَنافِعَ لَهُمْ </w:t>
      </w:r>
      <w:r w:rsidR="00744A1C" w:rsidRPr="00C75994">
        <w:rPr>
          <w:rStyle w:val="libFootnoteAlaemChar"/>
          <w:rtl/>
        </w:rPr>
        <w:t>)</w:t>
      </w:r>
      <w:r w:rsidR="00744A1C">
        <w:rPr>
          <w:rtl/>
          <w:lang w:bidi="fa-IR"/>
        </w:rPr>
        <w:t xml:space="preserve"> ، والمراد بالحرم من عظمة الله تعالى من أهله ، وهم النبيّ والأئمّة </w:t>
      </w:r>
      <w:r w:rsidR="00877682" w:rsidRPr="00877682">
        <w:rPr>
          <w:rStyle w:val="libFootnoteAlaemChar"/>
          <w:rtl/>
        </w:rPr>
        <w:t>عليهم‌السلام</w:t>
      </w:r>
      <w:r>
        <w:rPr>
          <w:rtl/>
          <w:lang w:bidi="fa-IR"/>
        </w:rPr>
        <w:t xml:space="preserve"> </w:t>
      </w:r>
      <w:r w:rsidR="00744A1C">
        <w:rPr>
          <w:rtl/>
          <w:lang w:bidi="fa-IR"/>
        </w:rPr>
        <w:t xml:space="preserve">؛ فإنّ منافع العلوم والكمالات تصل منهم إلى العالمين دون العكس ، كما قال النبيّ </w:t>
      </w:r>
      <w:r w:rsidR="00C75994" w:rsidRPr="00C75994">
        <w:rPr>
          <w:rStyle w:val="libFootnoteAlaemChar"/>
          <w:rtl/>
        </w:rPr>
        <w:t>صلى‌الله‌عليه‌وآله</w:t>
      </w:r>
      <w:r>
        <w:rPr>
          <w:rtl/>
          <w:lang w:bidi="fa-IR"/>
        </w:rPr>
        <w:t xml:space="preserve"> </w:t>
      </w:r>
      <w:r w:rsidR="00744A1C">
        <w:rPr>
          <w:rtl/>
          <w:lang w:bidi="fa-IR"/>
        </w:rPr>
        <w:t>: لا تعلّموهم ؛ فإنّهم أعلم منكم. انتهى كلامه رفع الله مقامه.</w:t>
      </w:r>
    </w:p>
    <w:p w:rsidR="00744A1C" w:rsidRDefault="00744A1C" w:rsidP="00D10E3C">
      <w:pPr>
        <w:pStyle w:val="libFootnote0"/>
        <w:rPr>
          <w:lang w:bidi="fa-IR"/>
        </w:rPr>
      </w:pPr>
      <w:r>
        <w:rPr>
          <w:rtl/>
          <w:lang w:bidi="fa-IR"/>
        </w:rPr>
        <w:t>وأقول : لعلّ الوجه الأوّل مخصوص بما إذا جرى السيل من غير عمل ، فلا ينافي جريان الماء من عرفات إلى مكّة ».</w:t>
      </w:r>
    </w:p>
    <w:p w:rsidR="00744A1C" w:rsidRDefault="00E378DD" w:rsidP="00C75994">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443 ، ح 1544 ؛ وص 454 ، ح 1587 ، معلّقاً عن أحمد بن محمّد بن عيسى ، عن البرقي ، عن أصرم بن حوشب. </w:t>
      </w:r>
      <w:r w:rsidR="00744A1C" w:rsidRPr="00C24F9C">
        <w:rPr>
          <w:rStyle w:val="libFootnoteBoldChar"/>
          <w:rtl/>
        </w:rPr>
        <w:t>الفقيه</w:t>
      </w:r>
      <w:r w:rsidR="00744A1C">
        <w:rPr>
          <w:rtl/>
          <w:lang w:bidi="fa-IR"/>
        </w:rPr>
        <w:t xml:space="preserve"> ، ج 2 ، ص 519 ، ح 3112 ، مرسلاً </w:t>
      </w:r>
      <w:r w:rsidR="00C75994">
        <w:rPr>
          <w:rFonts w:hint="cs"/>
          <w:rtl/>
          <w:lang w:bidi="fa-IR"/>
        </w:rPr>
        <w:t>.</w:t>
      </w:r>
      <w:r w:rsidR="00744A1C" w:rsidRPr="00C24F9C">
        <w:rPr>
          <w:rStyle w:val="libFootnoteBoldChar"/>
          <w:rtl/>
        </w:rPr>
        <w:t>الوافي</w:t>
      </w:r>
      <w:r w:rsidR="00744A1C">
        <w:rPr>
          <w:rtl/>
          <w:lang w:bidi="fa-IR"/>
        </w:rPr>
        <w:t xml:space="preserve"> ، ج 12 ، ص 90 ، ح 11554 ؛ </w:t>
      </w:r>
      <w:r w:rsidR="00744A1C" w:rsidRPr="00C24F9C">
        <w:rPr>
          <w:rStyle w:val="libFootnoteBoldChar"/>
          <w:rtl/>
        </w:rPr>
        <w:t>الوسائل</w:t>
      </w:r>
      <w:r w:rsidR="00744A1C">
        <w:rPr>
          <w:rtl/>
          <w:lang w:bidi="fa-IR"/>
        </w:rPr>
        <w:t xml:space="preserve"> ، ج 13 ، ص 223 ، ح 17603.</w:t>
      </w:r>
      <w:r w:rsidR="00C75994">
        <w:rPr>
          <w:rFonts w:hint="cs"/>
          <w:rtl/>
          <w:lang w:bidi="fa-IR"/>
        </w:rPr>
        <w:t xml:space="preserve">   </w:t>
      </w:r>
      <w:r>
        <w:rPr>
          <w:rtl/>
          <w:lang w:bidi="fa-IR"/>
        </w:rPr>
        <w:t>(3).</w:t>
      </w:r>
      <w:r w:rsidR="00744A1C">
        <w:rPr>
          <w:rtl/>
          <w:lang w:bidi="fa-IR"/>
        </w:rPr>
        <w:t xml:space="preserve"> في </w:t>
      </w:r>
      <w:r w:rsidR="00744A1C" w:rsidRPr="00C75994">
        <w:rPr>
          <w:rtl/>
        </w:rPr>
        <w:t>الوسائل</w:t>
      </w:r>
      <w:r w:rsidR="00744A1C">
        <w:rPr>
          <w:rtl/>
          <w:lang w:bidi="fa-IR"/>
        </w:rPr>
        <w:t xml:space="preserve"> : - « الحرام ».</w:t>
      </w:r>
    </w:p>
    <w:p w:rsidR="00744A1C" w:rsidRDefault="00E378DD" w:rsidP="00E378DD">
      <w:pPr>
        <w:pStyle w:val="libFootnote0"/>
        <w:rPr>
          <w:lang w:bidi="fa-IR"/>
        </w:rPr>
      </w:pPr>
      <w:r>
        <w:rPr>
          <w:rtl/>
          <w:lang w:bidi="fa-IR"/>
        </w:rPr>
        <w:t>(4).</w:t>
      </w:r>
      <w:r w:rsidR="00744A1C">
        <w:rPr>
          <w:rtl/>
          <w:lang w:bidi="fa-IR"/>
        </w:rPr>
        <w:t xml:space="preserve"> في « بس » : « أصواتهم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أي من المخالفين ، وإنّما شبّه </w:t>
      </w:r>
      <w:r w:rsidR="0061079A" w:rsidRPr="0061079A">
        <w:rPr>
          <w:rStyle w:val="libFootnoteAlaemChar"/>
          <w:rtl/>
        </w:rPr>
        <w:t>عليه‌السلام</w:t>
      </w:r>
      <w:r w:rsidR="00D10E3C">
        <w:rPr>
          <w:rtl/>
          <w:lang w:bidi="fa-IR"/>
        </w:rPr>
        <w:t xml:space="preserve"> </w:t>
      </w:r>
      <w:r w:rsidR="00744A1C">
        <w:rPr>
          <w:rtl/>
          <w:lang w:bidi="fa-IR"/>
        </w:rPr>
        <w:t>أصواتهم بأصوات الحمير لفساد عقائدهم وعدم معرفتهم بأسرار ما يأتون به من المناسك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14 ، ص 1310 ، ح 14324 ؛ </w:t>
      </w:r>
      <w:r w:rsidR="00744A1C" w:rsidRPr="00C24F9C">
        <w:rPr>
          <w:rStyle w:val="libFootnoteBoldChar"/>
          <w:rtl/>
        </w:rPr>
        <w:t>الوسائل</w:t>
      </w:r>
      <w:r w:rsidR="00744A1C">
        <w:rPr>
          <w:rtl/>
          <w:lang w:bidi="fa-IR"/>
        </w:rPr>
        <w:t xml:space="preserve"> ، ج 12 ، ص 389 ، ح 16583.</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رَجُلٍ لَبّى بِحَجَّةٍ أَوْ عُمْرَةٍ </w:t>
      </w:r>
      <w:r w:rsidRPr="00D10E3C">
        <w:rPr>
          <w:rStyle w:val="libFootnotenumChar"/>
          <w:rtl/>
        </w:rPr>
        <w:t>(1)</w:t>
      </w:r>
      <w:r>
        <w:rPr>
          <w:rtl/>
          <w:lang w:bidi="fa-IR"/>
        </w:rPr>
        <w:t xml:space="preserve"> ، وَلَيْسَ يُرِيدُ الْحَجَّ؟</w:t>
      </w:r>
    </w:p>
    <w:p w:rsidR="00144FA6" w:rsidRDefault="00744A1C" w:rsidP="00744A1C">
      <w:pPr>
        <w:pStyle w:val="libNormal"/>
        <w:rPr>
          <w:rtl/>
          <w:lang w:bidi="fa-IR"/>
        </w:rPr>
      </w:pPr>
      <w:r>
        <w:rPr>
          <w:rtl/>
          <w:lang w:bidi="fa-IR"/>
        </w:rPr>
        <w:t xml:space="preserve">قَالَ : « لَيْسَ بِشَيْ‌ءٍ ، وَلَايَنْبَغِي لَهُ أَنْ يَفْعَلَ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8055 / 4. عَلِيُّ بْنُ إِبْرَاهِيمَ ، عَنْ أَبِيهِ ، عَنِ ابْنِ أَبِي عُمَيْرٍ ، عَنْ عُمَرَ بْنِ أُذَيْنَةَ :</w:t>
      </w:r>
    </w:p>
    <w:p w:rsidR="00744A1C" w:rsidRDefault="00744A1C" w:rsidP="00C75994">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قَالَ فِي هؤُلَاءِ الَّذِينَ يُفْرِدُونَ الْحَجَّ : « إِذَا قَدِمُوا مَكَّةَ وَطَافُوا </w:t>
      </w:r>
      <w:r w:rsidRPr="00D10E3C">
        <w:rPr>
          <w:rStyle w:val="libFootnotenumChar"/>
          <w:rtl/>
        </w:rPr>
        <w:t>(4)</w:t>
      </w:r>
      <w:r>
        <w:rPr>
          <w:rtl/>
          <w:lang w:bidi="fa-IR"/>
        </w:rPr>
        <w:t xml:space="preserve"> بِالْبَيْتِ أَحَلُّوا ، وَإِذَا لَبَّوْا أَحْرَمُوا » فَلَا يَزَالُ يُحِلُّ وَيَعْقِدُ حَتّى يَخْرُجَ إِلى مِنًى بِلَا حَجٍّ </w:t>
      </w:r>
      <w:r w:rsidRPr="00D10E3C">
        <w:rPr>
          <w:rStyle w:val="libFootnotenumChar"/>
          <w:rtl/>
        </w:rPr>
        <w:t>(5)</w:t>
      </w:r>
      <w:r>
        <w:rPr>
          <w:rtl/>
          <w:lang w:bidi="fa-IR"/>
        </w:rPr>
        <w:t xml:space="preserve"> وَلَاعُمْرَةٍ</w:t>
      </w:r>
      <w:r w:rsidRPr="00D10E3C">
        <w:rPr>
          <w:rStyle w:val="libFootnotenumChar"/>
          <w:rtl/>
        </w:rPr>
        <w:t>(6)</w:t>
      </w:r>
      <w:r w:rsidR="00C75994">
        <w:rPr>
          <w:rFonts w:hint="cs"/>
          <w:rtl/>
          <w:lang w:bidi="fa-IR"/>
        </w:rPr>
        <w:t>.</w:t>
      </w:r>
      <w:r w:rsidRPr="00D10E3C">
        <w:rPr>
          <w:rStyle w:val="libFootnotenumChar"/>
          <w:rtl/>
        </w:rPr>
        <w:t>(7)</w:t>
      </w:r>
    </w:p>
    <w:p w:rsidR="00144FA6" w:rsidRDefault="00744A1C" w:rsidP="00744A1C">
      <w:pPr>
        <w:pStyle w:val="libNormal"/>
        <w:rPr>
          <w:rtl/>
          <w:lang w:bidi="fa-IR"/>
        </w:rPr>
      </w:pPr>
      <w:r>
        <w:rPr>
          <w:rtl/>
          <w:lang w:bidi="fa-IR"/>
        </w:rPr>
        <w:t>8056 / 5. عِدَّةٌ مِنْ أَصْحَابِنَا ، عَنْ سَهْلِ بْنِ زِيَادٍ ، عَنْ مَنْصُورِ بْنِ الْعَبَّاسِ ، عَنِ الْحَسَنِ بْنِ عَلِيِّ بْنِ يَقْطِينٍ ، عَنْ حَفْصٍ الْمُؤَذِّنِ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75994">
        <w:rPr>
          <w:rtl/>
        </w:rPr>
        <w:t>الوسائل</w:t>
      </w:r>
      <w:r w:rsidR="00744A1C">
        <w:rPr>
          <w:rtl/>
          <w:lang w:bidi="fa-IR"/>
        </w:rPr>
        <w:t xml:space="preserve"> : « وعمرة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لعلّ المراد به أنّه يلبّي من غير نيّة للإحرام ، فنهاه من ذلك ، وقال : لا ينعقد بذلك إحرامه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13 ، ص 791 ، ح 13174 ؛ </w:t>
      </w:r>
      <w:r w:rsidR="00744A1C" w:rsidRPr="00C24F9C">
        <w:rPr>
          <w:rStyle w:val="libFootnoteBoldChar"/>
          <w:rtl/>
        </w:rPr>
        <w:t>الوسائل</w:t>
      </w:r>
      <w:r w:rsidR="00744A1C">
        <w:rPr>
          <w:rtl/>
          <w:lang w:bidi="fa-IR"/>
        </w:rPr>
        <w:t xml:space="preserve"> ، ج 12 ، ص 343 ، ح 16467.</w:t>
      </w:r>
    </w:p>
    <w:p w:rsidR="00744A1C" w:rsidRDefault="00E378DD" w:rsidP="00E378DD">
      <w:pPr>
        <w:pStyle w:val="libFootnote0"/>
        <w:rPr>
          <w:lang w:bidi="fa-IR"/>
        </w:rPr>
      </w:pPr>
      <w:r>
        <w:rPr>
          <w:rtl/>
          <w:lang w:bidi="fa-IR"/>
        </w:rPr>
        <w:t>(4).</w:t>
      </w:r>
      <w:r w:rsidR="00744A1C">
        <w:rPr>
          <w:rtl/>
          <w:lang w:bidi="fa-IR"/>
        </w:rPr>
        <w:t xml:space="preserve"> في </w:t>
      </w:r>
      <w:r w:rsidR="00744A1C" w:rsidRPr="00C75994">
        <w:rPr>
          <w:rtl/>
        </w:rPr>
        <w:t>الوسائل</w:t>
      </w:r>
      <w:r w:rsidR="00744A1C">
        <w:rPr>
          <w:rtl/>
          <w:lang w:bidi="fa-IR"/>
        </w:rPr>
        <w:t xml:space="preserve"> : « فطافوا ».</w:t>
      </w:r>
    </w:p>
    <w:p w:rsidR="00744A1C" w:rsidRDefault="00E378DD" w:rsidP="00E378DD">
      <w:pPr>
        <w:pStyle w:val="libFootnote0"/>
        <w:rPr>
          <w:lang w:bidi="fa-IR"/>
        </w:rPr>
      </w:pPr>
      <w:r>
        <w:rPr>
          <w:rtl/>
          <w:lang w:bidi="fa-IR"/>
        </w:rPr>
        <w:t>(5).</w:t>
      </w:r>
      <w:r w:rsidR="00744A1C">
        <w:rPr>
          <w:rtl/>
          <w:lang w:bidi="fa-IR"/>
        </w:rPr>
        <w:t xml:space="preserve"> في « بخ » : « فلا حجّ ». وفي « جن » : « فلا حجّة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كانوا يقدّمون الطواف والسعي على مناسك منى ، وربّما يكرّرون ، فحكم ببطلان حجّهم بذلك ، وذلك لأنّ طواف البيت للحاجّ ، وسعيه موجب للإحلال ؛ لأنّهما آخر الأفعال ، فإذا طاف قبل الإتيان بمناسك منى ، فقد أحلّ من حجّة قبل تمامه ، فإذا جدّد التلبية فقد عقد إحراماً آخر ، فإن لم يطف بعد ذلك ، فقد بقي حجّه بلا طواف ، فلا حجّ له ولا عمرة له أيضاً لعدم نيّته لها وعدم إتمامه إيّاها ؛ لأنّه لم يأت بالتقصير بعد ، فقد خرج منها قبل إكمالها فبطلت ، ثمّ إذا كرّر الطواف والتلبية ، فقد كرّر الحلّ والعقد ».</w:t>
      </w:r>
    </w:p>
    <w:p w:rsidR="00744A1C" w:rsidRDefault="00744A1C" w:rsidP="00D10E3C">
      <w:pPr>
        <w:pStyle w:val="libFootnote0"/>
        <w:rPr>
          <w:lang w:bidi="fa-IR"/>
        </w:rPr>
      </w:pPr>
      <w:r>
        <w:rPr>
          <w:rtl/>
          <w:lang w:bidi="fa-IR"/>
        </w:rPr>
        <w:t xml:space="preserve">وفي هامش </w:t>
      </w:r>
      <w:r w:rsidRPr="00C24F9C">
        <w:rPr>
          <w:rStyle w:val="libFootnoteBoldChar"/>
          <w:rtl/>
        </w:rPr>
        <w:t>الوافي</w:t>
      </w:r>
      <w:r>
        <w:rPr>
          <w:rtl/>
          <w:lang w:bidi="fa-IR"/>
        </w:rPr>
        <w:t xml:space="preserve"> عن المحقّق الشعراني </w:t>
      </w:r>
      <w:r w:rsidR="00877682" w:rsidRPr="00877682">
        <w:rPr>
          <w:rStyle w:val="libFootnoteAlaemChar"/>
          <w:rtl/>
        </w:rPr>
        <w:t>رحمه‌الله</w:t>
      </w:r>
      <w:r>
        <w:rPr>
          <w:rtl/>
          <w:lang w:bidi="fa-IR"/>
        </w:rPr>
        <w:t xml:space="preserve">: « هذا الحديث غير معمول به عند الأصحاب ، إذ يجوز عندهم تقديم الطواف والسعي للمفرد والقارن ، وأخبار حجّة الوداع صريحة فيه ، وظاهر كلام المصنّف قبول مفاد الحديث ، وهو أعلم بما قال ، وأفتى بعض علمائنا بكراهة تقديم الطواف والسعي على الوقوفين لمكان هذا الحديث ، وهو مخالف لفعل رسول الله </w:t>
      </w:r>
      <w:r w:rsidR="00F90866" w:rsidRPr="00F90866">
        <w:rPr>
          <w:rStyle w:val="libFootnoteAlaemChar"/>
          <w:rtl/>
        </w:rPr>
        <w:t>صلى‌الله‌عليه‌وآله</w:t>
      </w:r>
      <w:r>
        <w:rPr>
          <w:rtl/>
          <w:lang w:bidi="fa-IR"/>
        </w:rPr>
        <w:t xml:space="preserve"> في حجّة الوداع ، إلاّ أن يخصّ الكراهية للمفرد دون القارن ، وكان رسول الله </w:t>
      </w:r>
      <w:r w:rsidR="00F90866" w:rsidRPr="00F90866">
        <w:rPr>
          <w:rStyle w:val="libFootnoteAlaemChar"/>
          <w:rtl/>
        </w:rPr>
        <w:t>صلى‌الله‌عليه‌وآله</w:t>
      </w:r>
      <w:r>
        <w:rPr>
          <w:rtl/>
          <w:lang w:bidi="fa-IR"/>
        </w:rPr>
        <w:t xml:space="preserve"> قارناً ، ويأتي ما يتعلّق بهذا الموضوع إن شاء الله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5 ، ص 31 ، ذيل ح 93 ؛ </w:t>
      </w:r>
      <w:r w:rsidR="00744A1C" w:rsidRPr="00C24F9C">
        <w:rPr>
          <w:rStyle w:val="libFootnoteBoldChar"/>
          <w:rtl/>
        </w:rPr>
        <w:t>والاستبصار</w:t>
      </w:r>
      <w:r w:rsidR="00744A1C">
        <w:rPr>
          <w:rtl/>
          <w:lang w:bidi="fa-IR"/>
        </w:rPr>
        <w:t xml:space="preserve"> ، ج 2 ، ص 156 ، ذيل ح 511 ، معلّقاً عن محمّد بن أبي عمير ، عن عمر بن ا</w:t>
      </w:r>
      <w:r w:rsidR="00543213">
        <w:rPr>
          <w:rFonts w:hint="cs"/>
          <w:rtl/>
          <w:lang w:bidi="fa-IR"/>
        </w:rPr>
        <w:t>ُ</w:t>
      </w:r>
      <w:r w:rsidR="00744A1C">
        <w:rPr>
          <w:rtl/>
          <w:lang w:bidi="fa-IR"/>
        </w:rPr>
        <w:t xml:space="preserve">ذينة ، عن زرارة ، عن أبي جعفر </w:t>
      </w:r>
      <w:r w:rsidR="0061079A" w:rsidRPr="0061079A">
        <w:rPr>
          <w:rStyle w:val="libFootnoteAlaemChar"/>
          <w:rtl/>
        </w:rPr>
        <w:t>عليه‌السلام</w:t>
      </w:r>
      <w:r w:rsidR="00D10E3C">
        <w:rPr>
          <w:rtl/>
          <w:lang w:bidi="fa-IR"/>
        </w:rPr>
        <w:t xml:space="preserve"> </w:t>
      </w:r>
      <w:r w:rsidR="00543213">
        <w:rPr>
          <w:rFonts w:hint="cs"/>
          <w:rtl/>
          <w:lang w:bidi="fa-IR"/>
        </w:rPr>
        <w:t>.</w:t>
      </w:r>
      <w:r w:rsidR="00744A1C" w:rsidRPr="00C24F9C">
        <w:rPr>
          <w:rStyle w:val="libFootnoteBoldChar"/>
          <w:rtl/>
        </w:rPr>
        <w:t>الوافي</w:t>
      </w:r>
      <w:r w:rsidR="00744A1C">
        <w:rPr>
          <w:rtl/>
          <w:lang w:bidi="fa-IR"/>
        </w:rPr>
        <w:t xml:space="preserve"> ، ج 12 ، ص 438 ، ح 12269 ؛ </w:t>
      </w:r>
      <w:r w:rsidR="00744A1C" w:rsidRPr="00C24F9C">
        <w:rPr>
          <w:rStyle w:val="libFootnoteBoldChar"/>
          <w:rtl/>
        </w:rPr>
        <w:t>الوسائل</w:t>
      </w:r>
      <w:r w:rsidR="00744A1C">
        <w:rPr>
          <w:rtl/>
          <w:lang w:bidi="fa-IR"/>
        </w:rPr>
        <w:t xml:space="preserve"> ، ج 11 ، ص 244 ، ح 14699 ؛ وج 12 ، ص 392 ، ح 16592.</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حَجَّ إِسْمَاعِيلُ بْنُ عَلِيٍّ </w:t>
      </w:r>
      <w:r w:rsidRPr="00D10E3C">
        <w:rPr>
          <w:rStyle w:val="libFootnotenumChar"/>
          <w:rtl/>
        </w:rPr>
        <w:t>(1)</w:t>
      </w:r>
      <w:r>
        <w:rPr>
          <w:rtl/>
          <w:lang w:bidi="fa-IR"/>
        </w:rPr>
        <w:t xml:space="preserve"> بِالنَّاسِ سَنَةَ أَرْبَعِينَ وَمِائَةٍ ، فَسَقَطَ أَبُو عَبْدِ اللهِ </w:t>
      </w:r>
      <w:r w:rsidR="0061079A" w:rsidRPr="0061079A">
        <w:rPr>
          <w:rStyle w:val="libAlaemChar"/>
          <w:rtl/>
        </w:rPr>
        <w:t>عليه‌السلام</w:t>
      </w:r>
      <w:r w:rsidR="00D10E3C">
        <w:rPr>
          <w:rtl/>
          <w:lang w:bidi="fa-IR"/>
        </w:rPr>
        <w:t xml:space="preserve"> </w:t>
      </w:r>
      <w:r>
        <w:rPr>
          <w:rtl/>
          <w:lang w:bidi="fa-IR"/>
        </w:rPr>
        <w:t xml:space="preserve">عَنْ بَغْلَتِهِ ، فَوَقَفَ عَلَيْهِ إِسْمَاعِيلُ ، فَقَالَ لَهُ أَبُو عَبْدِ اللهِ </w:t>
      </w:r>
      <w:r w:rsidR="0061079A" w:rsidRPr="0061079A">
        <w:rPr>
          <w:rStyle w:val="libAlaemChar"/>
          <w:rtl/>
        </w:rPr>
        <w:t>عليه‌السلام</w:t>
      </w:r>
      <w:r w:rsidR="00D10E3C">
        <w:rPr>
          <w:rtl/>
          <w:lang w:bidi="fa-IR"/>
        </w:rPr>
        <w:t xml:space="preserve"> </w:t>
      </w:r>
      <w:r>
        <w:rPr>
          <w:rtl/>
          <w:lang w:bidi="fa-IR"/>
        </w:rPr>
        <w:t xml:space="preserve">: « سِرْ ؛ فَإِنَّ الْإِمَامَ لَايَقِفُ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8057 / 6. أَبُو عَلِيٍّ الْأَشْعَرِيُّ ، عَنْ مُحَمَّدِ بْنِ عَبْدِ الْجَبَّارِ ، عَنْ صَفْوَانَ بْنِ يَحْيى ، عَنْ عَبْدِ اللهِ بْنِ مُسْكَانَ ، عَنِ الْحَسَنِ بْنِ السَّرِيِّ </w:t>
      </w:r>
      <w:r w:rsidRPr="00D10E3C">
        <w:rPr>
          <w:rStyle w:val="libFootnotenumChar"/>
          <w:rtl/>
        </w:rPr>
        <w:t>(4)</w:t>
      </w:r>
      <w:r>
        <w:rPr>
          <w:rtl/>
          <w:lang w:bidi="fa-IR"/>
        </w:rPr>
        <w:t xml:space="preserve"> ، قَالَ :</w:t>
      </w:r>
    </w:p>
    <w:p w:rsidR="00744A1C" w:rsidRDefault="00744A1C" w:rsidP="00744A1C">
      <w:pPr>
        <w:pStyle w:val="libNormal"/>
        <w:rPr>
          <w:lang w:bidi="fa-IR"/>
        </w:rPr>
      </w:pPr>
      <w:r>
        <w:rPr>
          <w:rtl/>
          <w:lang w:bidi="fa-IR"/>
        </w:rPr>
        <w:t xml:space="preserve">قُلْتُ لَهُ </w:t>
      </w:r>
      <w:r w:rsidRPr="00D10E3C">
        <w:rPr>
          <w:rStyle w:val="libFootnotenumChar"/>
          <w:rtl/>
        </w:rPr>
        <w:t>(5)</w:t>
      </w:r>
      <w:r>
        <w:rPr>
          <w:rtl/>
          <w:lang w:bidi="fa-IR"/>
        </w:rPr>
        <w:t xml:space="preserve"> : مَا تَقُولُ </w:t>
      </w:r>
      <w:r w:rsidRPr="00D10E3C">
        <w:rPr>
          <w:rStyle w:val="libFootnotenumChar"/>
          <w:rtl/>
        </w:rPr>
        <w:t>(6)</w:t>
      </w:r>
      <w:r>
        <w:rPr>
          <w:rtl/>
          <w:lang w:bidi="fa-IR"/>
        </w:rPr>
        <w:t xml:space="preserve"> فِي الْمُقَامِ بِمِنًى بَعْدَ مَا يَنْفِرُ النَّاسُ؟</w:t>
      </w:r>
    </w:p>
    <w:p w:rsidR="00144FA6" w:rsidRDefault="00744A1C" w:rsidP="00744A1C">
      <w:pPr>
        <w:pStyle w:val="libNormal"/>
        <w:rPr>
          <w:rtl/>
          <w:lang w:bidi="fa-IR"/>
        </w:rPr>
      </w:pPr>
      <w:r>
        <w:rPr>
          <w:rtl/>
          <w:lang w:bidi="fa-IR"/>
        </w:rPr>
        <w:t xml:space="preserve">قَالَ : « إِذَا قَضى </w:t>
      </w:r>
      <w:r w:rsidRPr="00D10E3C">
        <w:rPr>
          <w:rStyle w:val="libFootnotenumChar"/>
          <w:rtl/>
        </w:rPr>
        <w:t>(7)</w:t>
      </w:r>
      <w:r>
        <w:rPr>
          <w:rtl/>
          <w:lang w:bidi="fa-IR"/>
        </w:rPr>
        <w:t xml:space="preserve"> نُسُكَهُ فَلْيُقِمْ مَا شَاءَ ، وَلْيَذْهَبْ حَيْثُ شَاءَ ». </w:t>
      </w:r>
      <w:r w:rsidRPr="00D10E3C">
        <w:rPr>
          <w:rStyle w:val="libFootnotenumChar"/>
          <w:rtl/>
        </w:rPr>
        <w:t>(8)</w:t>
      </w:r>
    </w:p>
    <w:p w:rsidR="00144FA6" w:rsidRDefault="00744A1C" w:rsidP="00744A1C">
      <w:pPr>
        <w:pStyle w:val="libNormal"/>
        <w:rPr>
          <w:rtl/>
          <w:lang w:bidi="fa-IR"/>
        </w:rPr>
      </w:pPr>
      <w:r>
        <w:rPr>
          <w:rtl/>
          <w:lang w:bidi="fa-IR"/>
        </w:rPr>
        <w:t>8058 / 7. عَلِيُّ بْنُ إِبْرَاهِيمَ ، عَنْ أَبِيهِ ، عَنْ أَحْمَدَ بْنِ مُحَمَّدِ بْنِ أَبِي نَصْرٍ ، عَنْ بَعْضِ أَصْحَابِنَا :</w:t>
      </w:r>
    </w:p>
    <w:p w:rsidR="00744A1C" w:rsidRDefault="00744A1C" w:rsidP="00D10E3C">
      <w:pPr>
        <w:pStyle w:val="libLine"/>
        <w:rPr>
          <w:lang w:bidi="fa-IR"/>
        </w:rPr>
      </w:pPr>
      <w:r>
        <w:rPr>
          <w:rtl/>
          <w:lang w:bidi="fa-IR"/>
        </w:rPr>
        <w:t>____________________</w:t>
      </w:r>
    </w:p>
    <w:p w:rsidR="00744A1C" w:rsidRDefault="00D10E3C" w:rsidP="00543213">
      <w:pPr>
        <w:pStyle w:val="libFootnote0"/>
        <w:rPr>
          <w:lang w:bidi="fa-IR"/>
        </w:rPr>
      </w:pPr>
      <w:r>
        <w:rPr>
          <w:rtl/>
          <w:lang w:bidi="fa-IR"/>
        </w:rPr>
        <w:t>(1).</w:t>
      </w:r>
      <w:r w:rsidR="00744A1C">
        <w:rPr>
          <w:rtl/>
          <w:lang w:bidi="fa-IR"/>
        </w:rPr>
        <w:t xml:space="preserve"> هو إسماعيل بن عليّ بن عبدالله بن عبّاس ، وذكر الطبري وابن الأثير أنّه حجّ بالناس سنة 138 وهو على</w:t>
      </w:r>
      <w:r w:rsidR="00543213">
        <w:rPr>
          <w:rFonts w:hint="cs"/>
          <w:rtl/>
          <w:lang w:bidi="fa-IR"/>
        </w:rPr>
        <w:t xml:space="preserve"> </w:t>
      </w:r>
      <w:r w:rsidR="00543213">
        <w:rPr>
          <w:rtl/>
          <w:lang w:bidi="fa-IR"/>
        </w:rPr>
        <w:t>‌الموصل</w:t>
      </w:r>
      <w:r w:rsidR="00744A1C">
        <w:rPr>
          <w:rtl/>
          <w:lang w:bidi="fa-IR"/>
        </w:rPr>
        <w:t xml:space="preserve">، وذكر ابن عساكر والذهبي أنّه بالناس سنة 142 ولم نعثر على أحد يذكر حجّه سنة 140. راجع : </w:t>
      </w:r>
      <w:r w:rsidR="00744A1C" w:rsidRPr="00543213">
        <w:rPr>
          <w:rStyle w:val="libFootnoteBoldChar"/>
          <w:rtl/>
        </w:rPr>
        <w:t>تاريخ الطبري</w:t>
      </w:r>
      <w:r w:rsidR="00744A1C">
        <w:rPr>
          <w:rtl/>
          <w:lang w:bidi="fa-IR"/>
        </w:rPr>
        <w:t xml:space="preserve"> ، ج 6 ، ص 141 ؛ </w:t>
      </w:r>
      <w:r w:rsidR="00744A1C" w:rsidRPr="00543213">
        <w:rPr>
          <w:rStyle w:val="libFootnoteBoldChar"/>
          <w:rtl/>
        </w:rPr>
        <w:t>تاريخ مدينة دمشق</w:t>
      </w:r>
      <w:r w:rsidR="00744A1C">
        <w:rPr>
          <w:rtl/>
          <w:lang w:bidi="fa-IR"/>
        </w:rPr>
        <w:t xml:space="preserve"> ، ج 9 ، ص 25 ؛ </w:t>
      </w:r>
      <w:r w:rsidR="00744A1C" w:rsidRPr="00543213">
        <w:rPr>
          <w:rStyle w:val="libFootnoteBoldChar"/>
          <w:rtl/>
        </w:rPr>
        <w:t>الكامل في التاريخ</w:t>
      </w:r>
      <w:r w:rsidR="00744A1C">
        <w:rPr>
          <w:rtl/>
          <w:lang w:bidi="fa-IR"/>
        </w:rPr>
        <w:t xml:space="preserve"> ، ج 5 ، ص 483 ؛ </w:t>
      </w:r>
      <w:r w:rsidR="00744A1C" w:rsidRPr="00543213">
        <w:rPr>
          <w:rStyle w:val="libFootnoteBoldChar"/>
          <w:rtl/>
        </w:rPr>
        <w:t>تاريخ الإسلام</w:t>
      </w:r>
      <w:r w:rsidR="00744A1C">
        <w:rPr>
          <w:rtl/>
          <w:lang w:bidi="fa-IR"/>
        </w:rPr>
        <w:t xml:space="preserve"> ، ج 9 ، ص 9.</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يدلّ على أنّه لا ينبغي أن يقف إمام الحاجّ لحاجة تتعلّق بآحادهم ».</w:t>
      </w:r>
    </w:p>
    <w:p w:rsidR="00744A1C" w:rsidRDefault="00E378DD" w:rsidP="00E378DD">
      <w:pPr>
        <w:pStyle w:val="libFootnote0"/>
        <w:rPr>
          <w:lang w:bidi="fa-IR"/>
        </w:rPr>
      </w:pPr>
      <w:r>
        <w:rPr>
          <w:rtl/>
          <w:lang w:bidi="fa-IR"/>
        </w:rPr>
        <w:t>(3).</w:t>
      </w:r>
      <w:r w:rsidR="00744A1C">
        <w:rPr>
          <w:rtl/>
          <w:lang w:bidi="fa-IR"/>
        </w:rPr>
        <w:t xml:space="preserve"> </w:t>
      </w:r>
      <w:r w:rsidR="00744A1C" w:rsidRPr="00877682">
        <w:rPr>
          <w:rStyle w:val="libFootnoteBoldChar"/>
          <w:rtl/>
        </w:rPr>
        <w:t>قرب الإسناد</w:t>
      </w:r>
      <w:r w:rsidR="00744A1C">
        <w:rPr>
          <w:rtl/>
          <w:lang w:bidi="fa-IR"/>
        </w:rPr>
        <w:t xml:space="preserve"> ، ص 13 ، ح 42 ؛ وص 161 ، ح 587 ، بسندهما عن حفص بن محمّد [ ص 161 : « حفص بن عمر » ] مؤذّن عليّ بن يقطين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وزيادة </w:t>
      </w:r>
      <w:r w:rsidR="00543213">
        <w:rPr>
          <w:rFonts w:hint="cs"/>
          <w:rtl/>
          <w:lang w:bidi="fa-IR"/>
        </w:rPr>
        <w:t>.</w:t>
      </w:r>
      <w:r w:rsidR="00744A1C" w:rsidRPr="00C24F9C">
        <w:rPr>
          <w:rStyle w:val="libFootnoteBoldChar"/>
          <w:rtl/>
        </w:rPr>
        <w:t>الوافي</w:t>
      </w:r>
      <w:r w:rsidR="00744A1C">
        <w:rPr>
          <w:rtl/>
          <w:lang w:bidi="fa-IR"/>
        </w:rPr>
        <w:t xml:space="preserve"> ، ج 14 ، ص 1312 ، ح 14328 ؛ </w:t>
      </w:r>
      <w:r w:rsidR="00744A1C" w:rsidRPr="00C24F9C">
        <w:rPr>
          <w:rStyle w:val="libFootnoteBoldChar"/>
          <w:rtl/>
        </w:rPr>
        <w:t>الوسائل</w:t>
      </w:r>
      <w:r w:rsidR="00744A1C">
        <w:rPr>
          <w:rtl/>
          <w:lang w:bidi="fa-IR"/>
        </w:rPr>
        <w:t xml:space="preserve"> ، ج 11 ، ص 398 ، ح 15104 ؛ وج 13 ، ص 525 ، ح 18362.</w:t>
      </w:r>
    </w:p>
    <w:p w:rsidR="00744A1C" w:rsidRDefault="00E378DD" w:rsidP="00E378DD">
      <w:pPr>
        <w:pStyle w:val="libFootnote0"/>
        <w:rPr>
          <w:lang w:bidi="fa-IR"/>
        </w:rPr>
      </w:pPr>
      <w:r>
        <w:rPr>
          <w:rtl/>
          <w:lang w:bidi="fa-IR"/>
        </w:rPr>
        <w:t>(4).</w:t>
      </w:r>
      <w:r w:rsidR="00744A1C">
        <w:rPr>
          <w:rtl/>
          <w:lang w:bidi="fa-IR"/>
        </w:rPr>
        <w:t xml:space="preserve"> هكذا في « ى ، بح ، بخ ، بس ، بف ، جد » وحاشية « جن » </w:t>
      </w:r>
      <w:r w:rsidR="00744A1C" w:rsidRPr="00543213">
        <w:rPr>
          <w:rtl/>
        </w:rPr>
        <w:t>والوسائل</w:t>
      </w:r>
      <w:r w:rsidR="00543213">
        <w:rPr>
          <w:rtl/>
          <w:lang w:bidi="fa-IR"/>
        </w:rPr>
        <w:t>. وفي « جن » والمطبوع : «سريّ</w:t>
      </w:r>
      <w:r w:rsidR="00744A1C">
        <w:rPr>
          <w:rtl/>
          <w:lang w:bidi="fa-IR"/>
        </w:rPr>
        <w:t>».</w:t>
      </w:r>
    </w:p>
    <w:p w:rsidR="00744A1C" w:rsidRDefault="00744A1C" w:rsidP="00D10E3C">
      <w:pPr>
        <w:pStyle w:val="libFootnote0"/>
        <w:rPr>
          <w:lang w:bidi="fa-IR"/>
        </w:rPr>
      </w:pPr>
      <w:r>
        <w:rPr>
          <w:rtl/>
          <w:lang w:bidi="fa-IR"/>
        </w:rPr>
        <w:t xml:space="preserve">ثمّ إنّ الخبر رواه الشيخ الطوسي في </w:t>
      </w:r>
      <w:r w:rsidRPr="00C24F9C">
        <w:rPr>
          <w:rStyle w:val="libFootnoteBoldChar"/>
          <w:rtl/>
        </w:rPr>
        <w:t>التهذيب</w:t>
      </w:r>
      <w:r>
        <w:rPr>
          <w:rtl/>
          <w:lang w:bidi="fa-IR"/>
        </w:rPr>
        <w:t xml:space="preserve"> ، ج 5 ، ص 273 ، ح 936 ، بسند آخر عن صفوان عن عبد الله بن مسكان عن الحسين بن عليّ السريّ قال : قلت لأبي عبد الله </w:t>
      </w:r>
      <w:r w:rsidR="0061079A" w:rsidRPr="0061079A">
        <w:rPr>
          <w:rStyle w:val="libFootnoteAlaemChar"/>
          <w:rtl/>
        </w:rPr>
        <w:t>عليه‌السلام</w:t>
      </w:r>
      <w:r>
        <w:rPr>
          <w:rtl/>
          <w:lang w:bidi="fa-IR"/>
        </w:rPr>
        <w:t xml:space="preserve"> .</w:t>
      </w:r>
    </w:p>
    <w:p w:rsidR="00744A1C" w:rsidRDefault="00744A1C" w:rsidP="00D10E3C">
      <w:pPr>
        <w:pStyle w:val="libFootnote0"/>
        <w:rPr>
          <w:lang w:bidi="fa-IR"/>
        </w:rPr>
      </w:pPr>
      <w:r>
        <w:rPr>
          <w:rtl/>
          <w:lang w:bidi="fa-IR"/>
        </w:rPr>
        <w:t xml:space="preserve">والظاهر أنّ الحسين بن عليّ السريّ سهو ؛ فإنّا لم نجد هذا العنوان في غير سند هذا الخبر. والحسن بن السريّ هو الحسن بن السريّ الكاتب ، روى هو وأخوه عن أبي عبد الله </w:t>
      </w:r>
      <w:r w:rsidR="0061079A" w:rsidRPr="0061079A">
        <w:rPr>
          <w:rStyle w:val="libFootnoteAlaemChar"/>
          <w:rtl/>
        </w:rPr>
        <w:t>عليه‌السلام</w:t>
      </w:r>
      <w:r w:rsidR="00D10E3C">
        <w:rPr>
          <w:rtl/>
          <w:lang w:bidi="fa-IR"/>
        </w:rPr>
        <w:t xml:space="preserve"> </w:t>
      </w:r>
      <w:r>
        <w:rPr>
          <w:rtl/>
          <w:lang w:bidi="fa-IR"/>
        </w:rPr>
        <w:t xml:space="preserve">، وتكرّر عنوانه في عددٍ من الأسناد. راجع : </w:t>
      </w:r>
      <w:r w:rsidRPr="003A7143">
        <w:rPr>
          <w:rStyle w:val="libFootnoteBoldChar"/>
          <w:rtl/>
        </w:rPr>
        <w:t>رجال النجاشي</w:t>
      </w:r>
      <w:r>
        <w:rPr>
          <w:rtl/>
          <w:lang w:bidi="fa-IR"/>
        </w:rPr>
        <w:t xml:space="preserve"> ، ص 47 ، الرقم 97 ؛ </w:t>
      </w:r>
      <w:r w:rsidRPr="0061079A">
        <w:rPr>
          <w:rStyle w:val="libFootnoteBoldChar"/>
          <w:rtl/>
        </w:rPr>
        <w:t>معجم رجال الحديث</w:t>
      </w:r>
      <w:r>
        <w:rPr>
          <w:rtl/>
          <w:lang w:bidi="fa-IR"/>
        </w:rPr>
        <w:t xml:space="preserve"> ، ج 4 ، ص 516 - 517.</w:t>
      </w:r>
    </w:p>
    <w:tbl>
      <w:tblPr>
        <w:tblStyle w:val="TableGrid"/>
        <w:bidiVisual/>
        <w:tblW w:w="0" w:type="auto"/>
        <w:tblLook w:val="04A0" w:firstRow="1" w:lastRow="0" w:firstColumn="1" w:lastColumn="0" w:noHBand="0" w:noVBand="1"/>
      </w:tblPr>
      <w:tblGrid>
        <w:gridCol w:w="4006"/>
        <w:gridCol w:w="4006"/>
      </w:tblGrid>
      <w:tr w:rsidR="00543213" w:rsidTr="00543213">
        <w:tc>
          <w:tcPr>
            <w:tcW w:w="4006" w:type="dxa"/>
          </w:tcPr>
          <w:p w:rsidR="00543213" w:rsidRDefault="00543213" w:rsidP="00E378DD">
            <w:pPr>
              <w:pStyle w:val="libFootnote0"/>
              <w:rPr>
                <w:rtl/>
                <w:lang w:bidi="fa-IR"/>
              </w:rPr>
            </w:pPr>
            <w:r>
              <w:rPr>
                <w:rtl/>
                <w:lang w:bidi="fa-IR"/>
              </w:rPr>
              <w:t xml:space="preserve">(5). في </w:t>
            </w:r>
            <w:r w:rsidRPr="00610FB4">
              <w:rPr>
                <w:rtl/>
              </w:rPr>
              <w:t>الوافي</w:t>
            </w:r>
            <w:r>
              <w:rPr>
                <w:rtl/>
                <w:lang w:bidi="fa-IR"/>
              </w:rPr>
              <w:t xml:space="preserve"> : « لأبي عبد الله </w:t>
            </w:r>
            <w:r w:rsidRPr="0061079A">
              <w:rPr>
                <w:rStyle w:val="libFootnoteAlaemChar"/>
                <w:rtl/>
              </w:rPr>
              <w:t>عليه‌السلام</w:t>
            </w:r>
            <w:r>
              <w:rPr>
                <w:rtl/>
                <w:lang w:bidi="fa-IR"/>
              </w:rPr>
              <w:t xml:space="preserve"> » بدل « له ».</w:t>
            </w:r>
          </w:p>
        </w:tc>
        <w:tc>
          <w:tcPr>
            <w:tcW w:w="4006" w:type="dxa"/>
          </w:tcPr>
          <w:p w:rsidR="00543213" w:rsidRDefault="00543213" w:rsidP="00E378DD">
            <w:pPr>
              <w:pStyle w:val="libFootnote0"/>
              <w:rPr>
                <w:rtl/>
                <w:lang w:bidi="fa-IR"/>
              </w:rPr>
            </w:pPr>
            <w:r>
              <w:rPr>
                <w:rtl/>
                <w:lang w:bidi="fa-IR"/>
              </w:rPr>
              <w:t xml:space="preserve">(6). في </w:t>
            </w:r>
            <w:r w:rsidRPr="00610FB4">
              <w:rPr>
                <w:rtl/>
              </w:rPr>
              <w:t>الوافي</w:t>
            </w:r>
            <w:r>
              <w:rPr>
                <w:rtl/>
                <w:lang w:bidi="fa-IR"/>
              </w:rPr>
              <w:t xml:space="preserve"> : « ما ترى ».</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610FB4">
        <w:rPr>
          <w:rtl/>
        </w:rPr>
        <w:t>الوافي</w:t>
      </w:r>
      <w:r w:rsidR="00744A1C">
        <w:rPr>
          <w:rtl/>
          <w:lang w:bidi="fa-IR"/>
        </w:rPr>
        <w:t xml:space="preserve"> : « فقال : إذا كان قد قضى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5 ، ص 273 ، ح 936 ، بسنده عن صفوان ، عن عبدالله بن مسكان ، عن الحسين بن عليّ السريّ ، عن أبي عبدالله </w:t>
      </w:r>
      <w:r w:rsidR="0061079A" w:rsidRPr="0061079A">
        <w:rPr>
          <w:rStyle w:val="libFootnoteAlaemChar"/>
          <w:rtl/>
        </w:rPr>
        <w:t>عليه‌السلام</w:t>
      </w:r>
      <w:r w:rsidR="00D10E3C">
        <w:rPr>
          <w:rtl/>
          <w:lang w:bidi="fa-IR"/>
        </w:rPr>
        <w:t xml:space="preserve"> </w:t>
      </w:r>
      <w:r w:rsidR="00610FB4">
        <w:rPr>
          <w:rFonts w:hint="cs"/>
          <w:rtl/>
          <w:lang w:bidi="fa-IR"/>
        </w:rPr>
        <w:t>.</w:t>
      </w:r>
      <w:r w:rsidR="00744A1C" w:rsidRPr="00C24F9C">
        <w:rPr>
          <w:rStyle w:val="libFootnoteBoldChar"/>
          <w:rtl/>
        </w:rPr>
        <w:t>الوافي</w:t>
      </w:r>
      <w:r w:rsidR="00744A1C">
        <w:rPr>
          <w:rtl/>
          <w:lang w:bidi="fa-IR"/>
        </w:rPr>
        <w:t xml:space="preserve"> ، ج 14 ، ص 1274 ، ح 14251 ؛ </w:t>
      </w:r>
      <w:r w:rsidR="00744A1C" w:rsidRPr="00C24F9C">
        <w:rPr>
          <w:rStyle w:val="libFootnoteBoldChar"/>
          <w:rtl/>
        </w:rPr>
        <w:t>الوسائل</w:t>
      </w:r>
      <w:r w:rsidR="00744A1C">
        <w:rPr>
          <w:rtl/>
          <w:lang w:bidi="fa-IR"/>
        </w:rPr>
        <w:t xml:space="preserve"> ، ج 14 ، ص 282 ، ذيل ح 19209.</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قَالَ : سَأَلَهُ رَجُلٌ فِي الْمَسْجِدِ الْحَرَامِ : مَنْ أَعْظَمُ النَّاسِ وِزْراً؟</w:t>
      </w:r>
    </w:p>
    <w:p w:rsidR="00144FA6" w:rsidRDefault="00744A1C" w:rsidP="00744A1C">
      <w:pPr>
        <w:pStyle w:val="libNormal"/>
        <w:rPr>
          <w:rtl/>
          <w:lang w:bidi="fa-IR"/>
        </w:rPr>
      </w:pPr>
      <w:r>
        <w:rPr>
          <w:rtl/>
          <w:lang w:bidi="fa-IR"/>
        </w:rPr>
        <w:t xml:space="preserve">فَقَالَ : « مَنْ يَقِفُ </w:t>
      </w:r>
      <w:r w:rsidRPr="00D10E3C">
        <w:rPr>
          <w:rStyle w:val="libFootnotenumChar"/>
          <w:rtl/>
        </w:rPr>
        <w:t>(1)</w:t>
      </w:r>
      <w:r>
        <w:rPr>
          <w:rtl/>
          <w:lang w:bidi="fa-IR"/>
        </w:rPr>
        <w:t xml:space="preserve"> بِهذَيْنِ الْمَوْقِفَيْنِ : عَرَفَةَ وَالْمُزْدَلِفَةِ </w:t>
      </w:r>
      <w:r w:rsidRPr="00D10E3C">
        <w:rPr>
          <w:rStyle w:val="libFootnotenumChar"/>
          <w:rtl/>
        </w:rPr>
        <w:t>(2)</w:t>
      </w:r>
      <w:r>
        <w:rPr>
          <w:rtl/>
          <w:lang w:bidi="fa-IR"/>
        </w:rPr>
        <w:t xml:space="preserve"> ، وَسَعى بَيْنَ هذَيْنِ الْجَبَلَيْنِ ، ثُمَّ طَافَ بِهذَا الْبَيْتِ ، وَصَلّى خَلْفَ مَقَامِ إِبْرَاهِيمَ </w:t>
      </w:r>
      <w:r w:rsidR="0061079A" w:rsidRPr="0061079A">
        <w:rPr>
          <w:rStyle w:val="libAlaemChar"/>
          <w:rtl/>
        </w:rPr>
        <w:t>عليه‌السلام</w:t>
      </w:r>
      <w:r w:rsidR="00D10E3C">
        <w:rPr>
          <w:rtl/>
          <w:lang w:bidi="fa-IR"/>
        </w:rPr>
        <w:t xml:space="preserve"> </w:t>
      </w:r>
      <w:r>
        <w:rPr>
          <w:rtl/>
          <w:lang w:bidi="fa-IR"/>
        </w:rPr>
        <w:t xml:space="preserve">، ثُمَّ قَالَ فِي نَفْسِهِ أَوْ ظَنَّ أَنَّ اللهَ لَمْ يَغْفِرْ لَهُ ، فَهُوَ مِنْ </w:t>
      </w:r>
      <w:r w:rsidRPr="00D10E3C">
        <w:rPr>
          <w:rStyle w:val="libFootnotenumChar"/>
          <w:rtl/>
        </w:rPr>
        <w:t>(3)</w:t>
      </w:r>
      <w:r>
        <w:rPr>
          <w:rtl/>
          <w:lang w:bidi="fa-IR"/>
        </w:rPr>
        <w:t xml:space="preserve"> أَعْظَمِ النَّاسِ وِزْراً ». </w:t>
      </w:r>
      <w:r w:rsidRPr="00D10E3C">
        <w:rPr>
          <w:rStyle w:val="libFootnotenumChar"/>
          <w:rtl/>
        </w:rPr>
        <w:t>(4)</w:t>
      </w:r>
    </w:p>
    <w:p w:rsidR="00144FA6" w:rsidRDefault="00744A1C" w:rsidP="00744A1C">
      <w:pPr>
        <w:pStyle w:val="libNormal"/>
        <w:rPr>
          <w:rtl/>
          <w:lang w:bidi="fa-IR"/>
        </w:rPr>
      </w:pPr>
      <w:r>
        <w:rPr>
          <w:rtl/>
          <w:lang w:bidi="fa-IR"/>
        </w:rPr>
        <w:t>8059 / 8. عَلِيُّ بْنُ إِبْرَاهِيمَ ، عَنْ صَالِحِ بْنِ السِّنْدِيِّ ، عَنْ بَعْضِ رِجَالِهِ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كُنَّا عِنْدَهُ ، فَذَكَرُوا الْمَاءَ فِي طَرِيقِ مَكَّةَ وَثِقْلَهُ ، فَقَالَ</w:t>
      </w:r>
      <w:r w:rsidR="00610FB4">
        <w:rPr>
          <w:rtl/>
          <w:lang w:bidi="fa-IR"/>
        </w:rPr>
        <w:t xml:space="preserve"> : « الْمَاءُ لَايَثْقُلُ إِل</w:t>
      </w:r>
      <w:r w:rsidR="00610FB4">
        <w:rPr>
          <w:rFonts w:hint="cs"/>
          <w:rtl/>
          <w:lang w:bidi="fa-IR"/>
        </w:rPr>
        <w:t>َّ</w:t>
      </w:r>
      <w:r w:rsidR="00610FB4">
        <w:rPr>
          <w:rtl/>
          <w:lang w:bidi="fa-IR"/>
        </w:rPr>
        <w:t>ا</w:t>
      </w:r>
      <w:r>
        <w:rPr>
          <w:rtl/>
          <w:lang w:bidi="fa-IR"/>
        </w:rPr>
        <w:t xml:space="preserve"> أَنْ يَنْفَرِدَ بِهِ الْجَمَلُ</w:t>
      </w:r>
      <w:r w:rsidR="00610FB4">
        <w:rPr>
          <w:rtl/>
          <w:lang w:bidi="fa-IR"/>
        </w:rPr>
        <w:t xml:space="preserve"> ، فَلَا يَكُونَ عَلَيْهِ إِل</w:t>
      </w:r>
      <w:r w:rsidR="00610FB4">
        <w:rPr>
          <w:rFonts w:hint="cs"/>
          <w:rtl/>
          <w:lang w:bidi="fa-IR"/>
        </w:rPr>
        <w:t>َّ</w:t>
      </w:r>
      <w:r w:rsidR="00610FB4">
        <w:rPr>
          <w:rtl/>
          <w:lang w:bidi="fa-IR"/>
        </w:rPr>
        <w:t>ا</w:t>
      </w:r>
      <w:r>
        <w:rPr>
          <w:rtl/>
          <w:lang w:bidi="fa-IR"/>
        </w:rPr>
        <w:t xml:space="preserve"> الْمَاءُ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8060 / 9. مُحَمَّدُ بْنُ يَحْيى ، عَنْ مُحَمَّدِ بْنِ أَحْمَدَ ، عَنِ السِّنْدِيِّ بْنِ الرَّبِيعِ ، عَنْ مُحَمَّدِ بْنِ الْقَاسِمِ بْنِ الْفُضَيْلِ </w:t>
      </w:r>
      <w:r w:rsidRPr="00D10E3C">
        <w:rPr>
          <w:rStyle w:val="libFootnotenumChar"/>
          <w:rtl/>
        </w:rPr>
        <w:t>(7)</w:t>
      </w:r>
      <w:r>
        <w:rPr>
          <w:rtl/>
          <w:lang w:bidi="fa-IR"/>
        </w:rPr>
        <w:t xml:space="preserve"> ، عَنْ فُضَيْلِ بْنِ يَسَارٍ :</w:t>
      </w:r>
    </w:p>
    <w:p w:rsidR="00144FA6" w:rsidRDefault="00744A1C" w:rsidP="00744A1C">
      <w:pPr>
        <w:pStyle w:val="libNormal"/>
        <w:rPr>
          <w:rtl/>
          <w:lang w:bidi="fa-IR"/>
        </w:rPr>
      </w:pPr>
      <w:r>
        <w:rPr>
          <w:rtl/>
          <w:lang w:bidi="fa-IR"/>
        </w:rPr>
        <w:t xml:space="preserve">عَنْ أَحَدِهِمَا </w:t>
      </w:r>
      <w:r w:rsidR="008859AA" w:rsidRPr="008859AA">
        <w:rPr>
          <w:rStyle w:val="libAlaemChar"/>
          <w:rtl/>
        </w:rPr>
        <w:t>عليهما‌السلام</w:t>
      </w:r>
      <w:r>
        <w:rPr>
          <w:rtl/>
          <w:lang w:bidi="fa-IR"/>
        </w:rPr>
        <w:t xml:space="preserve">، قَالَ : « مَنْ حَجَّ ثَلَاثَ سِنِينَ </w:t>
      </w:r>
      <w:r w:rsidRPr="00D10E3C">
        <w:rPr>
          <w:rStyle w:val="libFootnotenumChar"/>
          <w:rtl/>
        </w:rPr>
        <w:t>(8)</w:t>
      </w:r>
      <w:r>
        <w:rPr>
          <w:rtl/>
          <w:lang w:bidi="fa-IR"/>
        </w:rPr>
        <w:t xml:space="preserve"> مُتَوَالِيَةً </w:t>
      </w:r>
      <w:r w:rsidRPr="00D10E3C">
        <w:rPr>
          <w:rStyle w:val="libFootnotenumChar"/>
          <w:rtl/>
        </w:rPr>
        <w:t>(9)</w:t>
      </w:r>
      <w:r>
        <w:rPr>
          <w:rtl/>
          <w:lang w:bidi="fa-IR"/>
        </w:rPr>
        <w:t xml:space="preserve"> ، ثُمَّ حَجَّ أَوْ لَمْ يَحُجَّ ، فَهُوَ بِمَنْزِلَةِ مُدْمِنِ الْحَجِّ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 « وقف ».</w:t>
      </w:r>
    </w:p>
    <w:p w:rsidR="00744A1C" w:rsidRDefault="00E378DD" w:rsidP="00E378DD">
      <w:pPr>
        <w:pStyle w:val="libFootnote0"/>
        <w:rPr>
          <w:lang w:bidi="fa-IR"/>
        </w:rPr>
      </w:pPr>
      <w:r>
        <w:rPr>
          <w:rtl/>
          <w:lang w:bidi="fa-IR"/>
        </w:rPr>
        <w:t>(2).</w:t>
      </w:r>
      <w:r w:rsidR="00744A1C">
        <w:rPr>
          <w:rtl/>
          <w:lang w:bidi="fa-IR"/>
        </w:rPr>
        <w:t xml:space="preserve"> في </w:t>
      </w:r>
      <w:r w:rsidR="00744A1C" w:rsidRPr="00610FB4">
        <w:rPr>
          <w:rtl/>
        </w:rPr>
        <w:t>الوافي</w:t>
      </w:r>
      <w:r w:rsidR="00744A1C">
        <w:rPr>
          <w:rtl/>
          <w:lang w:bidi="fa-IR"/>
        </w:rPr>
        <w:t xml:space="preserve"> : « ومزدلفة ».</w:t>
      </w:r>
    </w:p>
    <w:p w:rsidR="00744A1C" w:rsidRDefault="00E378DD" w:rsidP="00E378DD">
      <w:pPr>
        <w:pStyle w:val="libFootnote0"/>
        <w:rPr>
          <w:lang w:bidi="fa-IR"/>
        </w:rPr>
      </w:pPr>
      <w:r>
        <w:rPr>
          <w:rtl/>
          <w:lang w:bidi="fa-IR"/>
        </w:rPr>
        <w:t>(3).</w:t>
      </w:r>
      <w:r w:rsidR="00744A1C">
        <w:rPr>
          <w:rtl/>
          <w:lang w:bidi="fa-IR"/>
        </w:rPr>
        <w:t xml:space="preserve"> في « بث » : - « من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12 ، ص 224 ، ح 11783 ؛ </w:t>
      </w:r>
      <w:r w:rsidR="00744A1C" w:rsidRPr="00C24F9C">
        <w:rPr>
          <w:rStyle w:val="libFootnoteBoldChar"/>
          <w:rtl/>
        </w:rPr>
        <w:t>الوسائل</w:t>
      </w:r>
      <w:r w:rsidR="00744A1C">
        <w:rPr>
          <w:rtl/>
          <w:lang w:bidi="fa-IR"/>
        </w:rPr>
        <w:t xml:space="preserve"> ، ج 11 ، ص 96 ، ح 14333.</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لعلّه محمول على المياه القليلة التي تشرب في الطريق وما يعلّق على الأحمال منها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الفقيه</w:t>
      </w:r>
      <w:r w:rsidR="00744A1C">
        <w:rPr>
          <w:rtl/>
          <w:lang w:bidi="fa-IR"/>
        </w:rPr>
        <w:t xml:space="preserve"> ، ج 2 ، ص 519 ، ح 3113 ، مرسلاً </w:t>
      </w:r>
      <w:r w:rsidR="00610FB4">
        <w:rPr>
          <w:rFonts w:hint="cs"/>
          <w:rtl/>
          <w:lang w:bidi="fa-IR"/>
        </w:rPr>
        <w:t>.</w:t>
      </w:r>
      <w:r w:rsidR="00744A1C" w:rsidRPr="00C24F9C">
        <w:rPr>
          <w:rStyle w:val="libFootnoteBoldChar"/>
          <w:rtl/>
        </w:rPr>
        <w:t>الوافي</w:t>
      </w:r>
      <w:r w:rsidR="00744A1C">
        <w:rPr>
          <w:rtl/>
          <w:lang w:bidi="fa-IR"/>
        </w:rPr>
        <w:t xml:space="preserve"> ، ج 12 ، ص 395 ، ح 12169 ؛ </w:t>
      </w:r>
      <w:r w:rsidR="00744A1C" w:rsidRPr="00C24F9C">
        <w:rPr>
          <w:rStyle w:val="libFootnoteBoldChar"/>
          <w:rtl/>
        </w:rPr>
        <w:t>الوسائل</w:t>
      </w:r>
      <w:r w:rsidR="00744A1C">
        <w:rPr>
          <w:rtl/>
          <w:lang w:bidi="fa-IR"/>
        </w:rPr>
        <w:t xml:space="preserve"> ، ج 11 ، ص 424 ، ح 15124.</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الفضل ». ومحمّد بن القاسم هذا ، هو محمّد بن القاسم بن الفضيل بن يسار.</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الفقيه</w:t>
      </w:r>
      <w:r w:rsidR="00744A1C">
        <w:rPr>
          <w:rtl/>
          <w:lang w:bidi="fa-IR"/>
        </w:rPr>
        <w:t xml:space="preserve"> : « حجج ».</w:t>
      </w:r>
    </w:p>
    <w:p w:rsidR="00744A1C" w:rsidRDefault="00E378DD" w:rsidP="00E378DD">
      <w:pPr>
        <w:pStyle w:val="libFootnote0"/>
        <w:rPr>
          <w:lang w:bidi="fa-IR"/>
        </w:rPr>
      </w:pPr>
      <w:r>
        <w:rPr>
          <w:rtl/>
          <w:lang w:bidi="fa-IR"/>
        </w:rPr>
        <w:t>(9).</w:t>
      </w:r>
      <w:r w:rsidR="00744A1C">
        <w:rPr>
          <w:rtl/>
          <w:lang w:bidi="fa-IR"/>
        </w:rPr>
        <w:t xml:space="preserve"> في حاشية « جن » : « متواليات ».</w:t>
      </w:r>
    </w:p>
    <w:p w:rsidR="00744A1C" w:rsidRDefault="00E378DD" w:rsidP="00E378DD">
      <w:pPr>
        <w:pStyle w:val="libFootnote0"/>
        <w:rPr>
          <w:lang w:bidi="fa-IR"/>
        </w:rPr>
      </w:pPr>
      <w:r>
        <w:rPr>
          <w:rtl/>
          <w:lang w:bidi="fa-IR"/>
        </w:rPr>
        <w:t>(10).</w:t>
      </w:r>
      <w:r w:rsidR="00744A1C">
        <w:rPr>
          <w:rtl/>
          <w:lang w:bidi="fa-IR"/>
        </w:rPr>
        <w:t xml:space="preserve"> </w:t>
      </w:r>
      <w:r w:rsidR="00744A1C" w:rsidRPr="00610FB4">
        <w:rPr>
          <w:rStyle w:val="libFootnoteBoldChar"/>
          <w:rtl/>
        </w:rPr>
        <w:t>الخصال</w:t>
      </w:r>
      <w:r w:rsidR="00744A1C">
        <w:rPr>
          <w:rtl/>
          <w:lang w:bidi="fa-IR"/>
        </w:rPr>
        <w:t xml:space="preserve"> ، ص 117 ، باب الثلاثة ، ح 100 ، عن أبيه ، عن محمّد بن يحيى العطّار ، عن محمّد بن أحمد بن يحيى بن عمران الأشعري ، عن السندي بن الربيع ، عن محمّد بن القاسم بن فضيل بن يسار ، عن أيمن بن محرز ، عن القاسم وابن فضّال ، عن حريز ، من دون الإسناد إلى المعصوم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216 ، ح 2205 ، مرسلاً عن الصادق </w:t>
      </w:r>
      <w:r w:rsidR="0061079A" w:rsidRPr="0061079A">
        <w:rPr>
          <w:rStyle w:val="libFootnoteAlaemChar"/>
          <w:rtl/>
        </w:rPr>
        <w:t>عليه‌السلام</w:t>
      </w:r>
      <w:r w:rsidR="00D10E3C">
        <w:rPr>
          <w:rtl/>
          <w:lang w:bidi="fa-IR"/>
        </w:rPr>
        <w:t xml:space="preserve"> </w:t>
      </w:r>
      <w:r w:rsidR="00744A1C">
        <w:rPr>
          <w:rtl/>
          <w:lang w:bidi="fa-IR"/>
        </w:rPr>
        <w:t xml:space="preserve">، مع زيادة في أوّله </w:t>
      </w:r>
      <w:r w:rsidR="00610FB4">
        <w:rPr>
          <w:rFonts w:hint="cs"/>
          <w:rtl/>
          <w:lang w:bidi="fa-IR"/>
        </w:rPr>
        <w:t>.</w:t>
      </w:r>
      <w:r w:rsidR="00744A1C" w:rsidRPr="00C24F9C">
        <w:rPr>
          <w:rStyle w:val="libFootnoteBoldChar"/>
          <w:rtl/>
        </w:rPr>
        <w:t>الوافي</w:t>
      </w:r>
      <w:r w:rsidR="00744A1C">
        <w:rPr>
          <w:rtl/>
          <w:lang w:bidi="fa-IR"/>
        </w:rPr>
        <w:t xml:space="preserve"> ، ج 12 ، ص 242 ، ح 11823 ؛ </w:t>
      </w:r>
      <w:r w:rsidR="00744A1C" w:rsidRPr="00C24F9C">
        <w:rPr>
          <w:rStyle w:val="libFootnoteBoldChar"/>
          <w:rtl/>
        </w:rPr>
        <w:t>الوسائل</w:t>
      </w:r>
      <w:r w:rsidR="00744A1C">
        <w:rPr>
          <w:rtl/>
          <w:lang w:bidi="fa-IR"/>
        </w:rPr>
        <w:t xml:space="preserve"> ، ج 11 ، ص 125 ، ح 14421.</w:t>
      </w:r>
    </w:p>
    <w:p w:rsidR="00150943" w:rsidRDefault="00150943" w:rsidP="00D10E3C">
      <w:pPr>
        <w:pStyle w:val="libNormal"/>
        <w:rPr>
          <w:rtl/>
          <w:lang w:bidi="fa-IR"/>
        </w:rPr>
      </w:pPr>
      <w:r>
        <w:rPr>
          <w:rtl/>
          <w:lang w:bidi="fa-IR"/>
        </w:rPr>
        <w:br w:type="page"/>
      </w:r>
    </w:p>
    <w:p w:rsidR="00144FA6" w:rsidRDefault="00610FB4" w:rsidP="00744A1C">
      <w:pPr>
        <w:pStyle w:val="libNormal"/>
        <w:rPr>
          <w:rtl/>
          <w:lang w:bidi="fa-IR"/>
        </w:rPr>
      </w:pPr>
      <w:r>
        <w:rPr>
          <w:rFonts w:hint="cs"/>
          <w:rtl/>
          <w:lang w:bidi="fa-IR"/>
        </w:rPr>
        <w:lastRenderedPageBreak/>
        <w:t xml:space="preserve">* </w:t>
      </w:r>
      <w:r w:rsidR="00744A1C">
        <w:rPr>
          <w:rtl/>
          <w:lang w:bidi="fa-IR"/>
        </w:rPr>
        <w:t xml:space="preserve">وَرُوِيَ : « أَنَّ مُدْمِنَ </w:t>
      </w:r>
      <w:r w:rsidR="00744A1C" w:rsidRPr="00D10E3C">
        <w:rPr>
          <w:rStyle w:val="libFootnotenumChar"/>
          <w:rtl/>
        </w:rPr>
        <w:t>(1)</w:t>
      </w:r>
      <w:r w:rsidR="00744A1C">
        <w:rPr>
          <w:rtl/>
          <w:lang w:bidi="fa-IR"/>
        </w:rPr>
        <w:t xml:space="preserve"> الْحَجِّ الَّذِي إِذَا وَجَدَ الْحَجَّ </w:t>
      </w:r>
      <w:r w:rsidR="00744A1C" w:rsidRPr="00D10E3C">
        <w:rPr>
          <w:rStyle w:val="libFootnotenumChar"/>
          <w:rtl/>
        </w:rPr>
        <w:t>(2)</w:t>
      </w:r>
      <w:r w:rsidR="00744A1C">
        <w:rPr>
          <w:rtl/>
          <w:lang w:bidi="fa-IR"/>
        </w:rPr>
        <w:t xml:space="preserve"> حَجَّ ، كَمَا أَنَّ مُدْمِنَ الْخَمْرِ الَّذِي إِذَا وَجَدَهُ شَرِبَهُ ». </w:t>
      </w:r>
      <w:r w:rsidR="00744A1C" w:rsidRPr="00D10E3C">
        <w:rPr>
          <w:rStyle w:val="libFootnotenumChar"/>
          <w:rtl/>
        </w:rPr>
        <w:t>(3)</w:t>
      </w:r>
    </w:p>
    <w:p w:rsidR="00144FA6" w:rsidRDefault="00744A1C" w:rsidP="00744A1C">
      <w:pPr>
        <w:pStyle w:val="libNormal"/>
        <w:rPr>
          <w:rtl/>
          <w:lang w:bidi="fa-IR"/>
        </w:rPr>
      </w:pPr>
      <w:r>
        <w:rPr>
          <w:rtl/>
          <w:lang w:bidi="fa-IR"/>
        </w:rPr>
        <w:t>8061 / 10. مُحَمَّدُ بْنُ يَحْيى ، عَنْ مُحَمَّدِ بْنِ أَحْمَدَ ، عَنْ يَعْقُوبَ بْنِ يَزِيدَ ، عَنِ ابْنِ أَبِي عُمَيْرٍ ، عَنْ بَعْضِ رِجَالِهِ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رَكِبَ رَاحِلَةً </w:t>
      </w:r>
      <w:r w:rsidRPr="00D10E3C">
        <w:rPr>
          <w:rStyle w:val="libFootnotenumChar"/>
          <w:rtl/>
        </w:rPr>
        <w:t>(4)</w:t>
      </w:r>
      <w:r>
        <w:rPr>
          <w:rtl/>
          <w:lang w:bidi="fa-IR"/>
        </w:rPr>
        <w:t xml:space="preserve"> فَلْيُوصِ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8062 / 11. مُحَمَّدُ بْنُ يَحْيى ، عَنْ بَعْضِ أَصْحَابِهِ ، عَنِ الْعَبَّاسِ بْنِ عَامِرٍ ، عَنْ أَحْمَدَ بْنِ رِزْقٍ الْغُمْشَانِيِّ </w:t>
      </w:r>
      <w:r w:rsidRPr="00D10E3C">
        <w:rPr>
          <w:rStyle w:val="libFootnotenumChar"/>
          <w:rtl/>
        </w:rPr>
        <w:t>(7)</w:t>
      </w:r>
      <w:r>
        <w:rPr>
          <w:rtl/>
          <w:lang w:bidi="fa-IR"/>
        </w:rPr>
        <w:t xml:space="preserve"> ، عَنْ عَبْدِ الرَّحْمنِ بْنِ الْأَشَلِّ بَيَّاعِ الْأَنْمَاطِ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الإدمان على أمر : المواظبة عليه وملازمته. راجع : </w:t>
      </w:r>
      <w:r w:rsidR="00744A1C" w:rsidRPr="00E978C3">
        <w:rPr>
          <w:rStyle w:val="libFootnoteBoldChar"/>
          <w:rtl/>
        </w:rPr>
        <w:t>ترتيب كتاب العين</w:t>
      </w:r>
      <w:r w:rsidR="00744A1C">
        <w:rPr>
          <w:rtl/>
          <w:lang w:bidi="fa-IR"/>
        </w:rPr>
        <w:t xml:space="preserve"> ، ج 1 ، ص 597 ؛ </w:t>
      </w:r>
      <w:r w:rsidR="00744A1C" w:rsidRPr="00877682">
        <w:rPr>
          <w:rStyle w:val="libFootnoteBoldChar"/>
          <w:rtl/>
        </w:rPr>
        <w:t>لسان العرب</w:t>
      </w:r>
      <w:r w:rsidR="00744A1C">
        <w:rPr>
          <w:rtl/>
          <w:lang w:bidi="fa-IR"/>
        </w:rPr>
        <w:t xml:space="preserve"> ، ج 13 ، ص 159 ( دمن ).</w:t>
      </w:r>
    </w:p>
    <w:p w:rsidR="00744A1C" w:rsidRDefault="00E378DD" w:rsidP="00E378DD">
      <w:pPr>
        <w:pStyle w:val="libFootnote0"/>
        <w:rPr>
          <w:lang w:bidi="fa-IR"/>
        </w:rPr>
      </w:pPr>
      <w:r>
        <w:rPr>
          <w:rtl/>
          <w:lang w:bidi="fa-IR"/>
        </w:rPr>
        <w:t>(2).</w:t>
      </w:r>
      <w:r w:rsidR="00744A1C">
        <w:rPr>
          <w:rtl/>
          <w:lang w:bidi="fa-IR"/>
        </w:rPr>
        <w:t xml:space="preserve"> في « بخ ، بس ، بف ، جد » </w:t>
      </w:r>
      <w:r w:rsidR="00744A1C" w:rsidRPr="00610FB4">
        <w:rPr>
          <w:rtl/>
        </w:rPr>
        <w:t xml:space="preserve">والوافي والوسائل </w:t>
      </w:r>
      <w:r w:rsidR="00744A1C">
        <w:rPr>
          <w:rtl/>
          <w:lang w:bidi="fa-IR"/>
        </w:rPr>
        <w:t>، ح 14422 : - « الحجّ ».</w:t>
      </w:r>
    </w:p>
    <w:p w:rsidR="00744A1C" w:rsidRDefault="00E378DD" w:rsidP="00E378DD">
      <w:pPr>
        <w:pStyle w:val="libFootnote0"/>
        <w:rPr>
          <w:lang w:bidi="fa-IR"/>
        </w:rPr>
      </w:pPr>
      <w:r>
        <w:rPr>
          <w:rtl/>
          <w:lang w:bidi="fa-IR"/>
        </w:rPr>
        <w:t>(3).</w:t>
      </w:r>
      <w:r w:rsidR="00744A1C">
        <w:rPr>
          <w:rtl/>
          <w:lang w:bidi="fa-IR"/>
        </w:rPr>
        <w:t xml:space="preserve"> راجع : </w:t>
      </w:r>
      <w:r w:rsidR="00744A1C" w:rsidRPr="0061079A">
        <w:rPr>
          <w:rStyle w:val="libFootnoteBoldChar"/>
          <w:rtl/>
        </w:rPr>
        <w:t>الكافي</w:t>
      </w:r>
      <w:r w:rsidR="00744A1C">
        <w:rPr>
          <w:rtl/>
          <w:lang w:bidi="fa-IR"/>
        </w:rPr>
        <w:t xml:space="preserve"> ، كتاب الأشربة ، باب آخر منه ، ح 12281 و 12282 و 12283 ؛ </w:t>
      </w:r>
      <w:r w:rsidR="00744A1C" w:rsidRPr="0061079A">
        <w:rPr>
          <w:rStyle w:val="libFootnoteBoldChar"/>
          <w:rtl/>
        </w:rPr>
        <w:t>والتهذيب</w:t>
      </w:r>
      <w:r w:rsidR="00744A1C">
        <w:rPr>
          <w:rtl/>
          <w:lang w:bidi="fa-IR"/>
        </w:rPr>
        <w:t xml:space="preserve"> ، ج 9 ، ص 109 ، ح 476 و 477 و 478 ؛ </w:t>
      </w:r>
      <w:r w:rsidR="00744A1C" w:rsidRPr="00610FB4">
        <w:rPr>
          <w:rStyle w:val="libFootnoteBoldChar"/>
          <w:rtl/>
        </w:rPr>
        <w:t>والخصال</w:t>
      </w:r>
      <w:r w:rsidR="00744A1C">
        <w:rPr>
          <w:rtl/>
          <w:lang w:bidi="fa-IR"/>
        </w:rPr>
        <w:t xml:space="preserve"> ، ص 6302 ، أبواب الثمانين ومافوقه ، ح 10 ؛ </w:t>
      </w:r>
      <w:r w:rsidR="00744A1C" w:rsidRPr="00610FB4">
        <w:rPr>
          <w:rStyle w:val="libFootnoteBoldChar"/>
          <w:rtl/>
        </w:rPr>
        <w:t>و</w:t>
      </w:r>
      <w:r w:rsidR="00744A1C" w:rsidRPr="007D61A8">
        <w:rPr>
          <w:rStyle w:val="libFootnoteBoldChar"/>
          <w:rtl/>
        </w:rPr>
        <w:t>تحف العقول</w:t>
      </w:r>
      <w:r w:rsidR="00744A1C">
        <w:rPr>
          <w:rtl/>
          <w:lang w:bidi="fa-IR"/>
        </w:rPr>
        <w:t xml:space="preserve"> ، ص 122 </w:t>
      </w:r>
      <w:r w:rsidR="00610FB4">
        <w:rPr>
          <w:rFonts w:hint="cs"/>
          <w:rtl/>
          <w:lang w:bidi="fa-IR"/>
        </w:rPr>
        <w:t>.</w:t>
      </w:r>
      <w:r w:rsidR="00744A1C" w:rsidRPr="00C24F9C">
        <w:rPr>
          <w:rStyle w:val="libFootnoteBoldChar"/>
          <w:rtl/>
        </w:rPr>
        <w:t>الوافي</w:t>
      </w:r>
      <w:r w:rsidR="00744A1C">
        <w:rPr>
          <w:rtl/>
          <w:lang w:bidi="fa-IR"/>
        </w:rPr>
        <w:t xml:space="preserve"> ، ج 12 ، ص 242 ، ح 11824 ؛ </w:t>
      </w:r>
      <w:r w:rsidR="00744A1C" w:rsidRPr="00C24F9C">
        <w:rPr>
          <w:rStyle w:val="libFootnoteBoldChar"/>
          <w:rtl/>
        </w:rPr>
        <w:t>الوسائل</w:t>
      </w:r>
      <w:r w:rsidR="00744A1C">
        <w:rPr>
          <w:rtl/>
          <w:lang w:bidi="fa-IR"/>
        </w:rPr>
        <w:t xml:space="preserve"> ، ج 11 ، ص 125 ، ح 14422.</w:t>
      </w:r>
    </w:p>
    <w:p w:rsidR="00744A1C" w:rsidRDefault="00E378DD" w:rsidP="00E378DD">
      <w:pPr>
        <w:pStyle w:val="libFootnote0"/>
        <w:rPr>
          <w:lang w:bidi="fa-IR"/>
        </w:rPr>
      </w:pPr>
      <w:r>
        <w:rPr>
          <w:rtl/>
          <w:lang w:bidi="fa-IR"/>
        </w:rPr>
        <w:t>(4).</w:t>
      </w:r>
      <w:r w:rsidR="00744A1C">
        <w:rPr>
          <w:rtl/>
          <w:lang w:bidi="fa-IR"/>
        </w:rPr>
        <w:t xml:space="preserve"> في « بث ، بح » : « راحلته ». وفي </w:t>
      </w:r>
      <w:r w:rsidR="00744A1C" w:rsidRPr="00610FB4">
        <w:rPr>
          <w:rtl/>
        </w:rPr>
        <w:t>الوافي والفقيه والتهذيب</w:t>
      </w:r>
      <w:r w:rsidR="00744A1C">
        <w:rPr>
          <w:rtl/>
          <w:lang w:bidi="fa-IR"/>
        </w:rPr>
        <w:t xml:space="preserve"> : « زاملة ». وقال في </w:t>
      </w:r>
      <w:r w:rsidR="00744A1C" w:rsidRPr="00C24F9C">
        <w:rPr>
          <w:rStyle w:val="libFootnoteBoldChar"/>
          <w:rtl/>
        </w:rPr>
        <w:t>الوافي</w:t>
      </w:r>
      <w:r w:rsidR="00744A1C">
        <w:rPr>
          <w:rtl/>
          <w:lang w:bidi="fa-IR"/>
        </w:rPr>
        <w:t xml:space="preserve"> : « ما يركب من البعير يسمّى بالراحلة ومنه الرحيل ، وما يحمل عليه المتاع والزاد يسمّى بالزاملة ، من زمل الشي‌ء : حمله. يقال : ركب الراحلة ، وحمل على الزاملة ، والغالب على الزاملة الشراد ، وأكثر ما يكون الراحلة ذلولاً ». وراجع أيضاً : </w:t>
      </w:r>
      <w:r w:rsidR="00744A1C" w:rsidRPr="00877682">
        <w:rPr>
          <w:rStyle w:val="libFootnoteBoldChar"/>
          <w:rtl/>
        </w:rPr>
        <w:t>لسان العرب</w:t>
      </w:r>
      <w:r w:rsidR="00744A1C">
        <w:rPr>
          <w:rtl/>
          <w:lang w:bidi="fa-IR"/>
        </w:rPr>
        <w:t xml:space="preserve"> ، ج 11 ، ص 277 ( رحل ) ؛ وج 11 ، ص 310 ( زمل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الفقيه</w:t>
      </w:r>
      <w:r w:rsidR="00744A1C">
        <w:rPr>
          <w:rtl/>
          <w:lang w:bidi="fa-IR"/>
        </w:rPr>
        <w:t xml:space="preserve"> بعد نقل الحديث : « فليس [ هذا الحديث ] بنهي عن ركوب الزاملة ، وإنّما هو بالاحتراز من السقوط ، وهذا مثل قول القائل : من خرج إلى الحجّ أو إلى الجهاد في سبيل ال</w:t>
      </w:r>
      <w:r w:rsidR="00610FB4">
        <w:rPr>
          <w:rtl/>
          <w:lang w:bidi="fa-IR"/>
        </w:rPr>
        <w:t>له فليوص ، ولم يكن فيما مضى إل</w:t>
      </w:r>
      <w:r w:rsidR="00610FB4">
        <w:rPr>
          <w:rFonts w:hint="cs"/>
          <w:rtl/>
          <w:lang w:bidi="fa-IR"/>
        </w:rPr>
        <w:t>ّ</w:t>
      </w:r>
      <w:r w:rsidR="00610FB4">
        <w:rPr>
          <w:rtl/>
          <w:lang w:bidi="fa-IR"/>
        </w:rPr>
        <w:t>ا</w:t>
      </w:r>
      <w:r w:rsidR="00744A1C">
        <w:rPr>
          <w:rtl/>
          <w:lang w:bidi="fa-IR"/>
        </w:rPr>
        <w:t xml:space="preserve"> الزوامل ، وإنّما المحامل مُحدَثة ، ولم تُعرف فيما مضى ». وفي </w:t>
      </w:r>
      <w:r w:rsidR="00744A1C" w:rsidRPr="00C24F9C">
        <w:rPr>
          <w:rStyle w:val="libFootnoteBoldChar"/>
          <w:rtl/>
        </w:rPr>
        <w:t>التهذيب</w:t>
      </w:r>
      <w:r w:rsidR="00744A1C">
        <w:rPr>
          <w:rtl/>
          <w:lang w:bidi="fa-IR"/>
        </w:rPr>
        <w:t xml:space="preserve"> : « هذا الخبر أكثر ما فيه الحثّ على الوصيّة ، وإنّما خُصّ هذا الموضع لأنّ فيه بعض الخطر لما يلحق الإنسان من النوم والسهر ، فلا يأمن من أن يقع منه ، فيؤدّي ذلك إلى هلاكه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441 ، ح 1531 ، معلّقاً عن محمّد بن أحمد بن يحيى ، عن يعقوب بن يزيد. </w:t>
      </w:r>
      <w:r w:rsidR="00744A1C" w:rsidRPr="00C24F9C">
        <w:rPr>
          <w:rStyle w:val="libFootnoteBoldChar"/>
          <w:rtl/>
        </w:rPr>
        <w:t>الفقيه</w:t>
      </w:r>
      <w:r w:rsidR="00744A1C">
        <w:rPr>
          <w:rtl/>
          <w:lang w:bidi="fa-IR"/>
        </w:rPr>
        <w:t xml:space="preserve"> ، ج 2 ، ص 523 ، ح 3127 ، مرسلاً ؛ </w:t>
      </w:r>
      <w:r w:rsidR="00744A1C" w:rsidRPr="00610FB4">
        <w:rPr>
          <w:rStyle w:val="libFootnoteBoldChar"/>
          <w:rtl/>
        </w:rPr>
        <w:t>معاني الأخبار</w:t>
      </w:r>
      <w:r w:rsidR="00744A1C">
        <w:rPr>
          <w:rtl/>
          <w:lang w:bidi="fa-IR"/>
        </w:rPr>
        <w:t xml:space="preserve"> ، ص 223 ، ذيل ح 1 ، مرسلاً من دون الإسناد إلى المعصوم </w:t>
      </w:r>
      <w:r w:rsidR="0061079A" w:rsidRPr="0061079A">
        <w:rPr>
          <w:rStyle w:val="libFootnoteAlaemChar"/>
          <w:rtl/>
        </w:rPr>
        <w:t>عليه‌السلام</w:t>
      </w:r>
      <w:r w:rsidR="00D10E3C">
        <w:rPr>
          <w:rtl/>
          <w:lang w:bidi="fa-IR"/>
        </w:rPr>
        <w:t xml:space="preserve"> </w:t>
      </w:r>
      <w:r w:rsidR="00744A1C" w:rsidRPr="00C24F9C">
        <w:rPr>
          <w:rStyle w:val="libFootnoteBoldChar"/>
          <w:rtl/>
        </w:rPr>
        <w:t>الوافي</w:t>
      </w:r>
      <w:r w:rsidR="00744A1C">
        <w:rPr>
          <w:rtl/>
          <w:lang w:bidi="fa-IR"/>
        </w:rPr>
        <w:t xml:space="preserve"> ، ج 12 ، ص 392 ، ح 12162 ؛ </w:t>
      </w:r>
      <w:r w:rsidR="00744A1C" w:rsidRPr="00C24F9C">
        <w:rPr>
          <w:rStyle w:val="libFootnoteBoldChar"/>
          <w:rtl/>
        </w:rPr>
        <w:t>الوسائل</w:t>
      </w:r>
      <w:r w:rsidR="00744A1C">
        <w:rPr>
          <w:rtl/>
          <w:lang w:bidi="fa-IR"/>
        </w:rPr>
        <w:t xml:space="preserve"> ، ج 11 ، ص 369 ، ح 15037.</w:t>
      </w:r>
    </w:p>
    <w:p w:rsidR="00744A1C" w:rsidRDefault="00E378DD" w:rsidP="00E378DD">
      <w:pPr>
        <w:pStyle w:val="libFootnote0"/>
        <w:rPr>
          <w:lang w:bidi="fa-IR"/>
        </w:rPr>
      </w:pPr>
      <w:r>
        <w:rPr>
          <w:rtl/>
          <w:lang w:bidi="fa-IR"/>
        </w:rPr>
        <w:t>(7).</w:t>
      </w:r>
      <w:r w:rsidR="00744A1C">
        <w:rPr>
          <w:rtl/>
          <w:lang w:bidi="fa-IR"/>
        </w:rPr>
        <w:t xml:space="preserve"> هكذا في « بح ، بف ، جد » </w:t>
      </w:r>
      <w:r w:rsidR="00744A1C" w:rsidRPr="00610FB4">
        <w:rPr>
          <w:rtl/>
        </w:rPr>
        <w:t>والوافي والبحار.</w:t>
      </w:r>
      <w:r w:rsidR="00744A1C">
        <w:rPr>
          <w:rtl/>
          <w:lang w:bidi="fa-IR"/>
        </w:rPr>
        <w:t xml:space="preserve"> وفي « ى ، بث ، بس ، جن » والمطبوع : « الغشاني ». وفي « بخ » : </w:t>
      </w:r>
      <w:r w:rsidR="00610FB4">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كَانَتْ قُرَيْشٌ تُلَطِّخُ </w:t>
      </w:r>
      <w:r w:rsidRPr="00D10E3C">
        <w:rPr>
          <w:rStyle w:val="libFootnotenumChar"/>
          <w:rtl/>
        </w:rPr>
        <w:t>(1)</w:t>
      </w:r>
      <w:r>
        <w:rPr>
          <w:rtl/>
          <w:lang w:bidi="fa-IR"/>
        </w:rPr>
        <w:t xml:space="preserve"> الْأَصْنَامَ الَّتِي كَانَتْ حَوْلَ الْكَعْبَةِ بِالْمِسْكِ وَالْعَنْبَرِ ، وَكَانَ يَغُوثُ </w:t>
      </w:r>
      <w:r w:rsidRPr="00D10E3C">
        <w:rPr>
          <w:rStyle w:val="libFootnotenumChar"/>
          <w:rtl/>
        </w:rPr>
        <w:t>(2)</w:t>
      </w:r>
      <w:r>
        <w:rPr>
          <w:rtl/>
          <w:lang w:bidi="fa-IR"/>
        </w:rPr>
        <w:t xml:space="preserve"> قِبَالَ </w:t>
      </w:r>
      <w:r w:rsidRPr="00D10E3C">
        <w:rPr>
          <w:rStyle w:val="libFootnotenumChar"/>
          <w:rtl/>
        </w:rPr>
        <w:t>(3)</w:t>
      </w:r>
      <w:r>
        <w:rPr>
          <w:rtl/>
          <w:lang w:bidi="fa-IR"/>
        </w:rPr>
        <w:t xml:space="preserve"> الْبَابِ ، وَكَانَ </w:t>
      </w:r>
      <w:r w:rsidRPr="00D10E3C">
        <w:rPr>
          <w:rStyle w:val="libFootnotenumChar"/>
          <w:rtl/>
        </w:rPr>
        <w:t>(4)</w:t>
      </w:r>
      <w:r>
        <w:rPr>
          <w:rtl/>
          <w:lang w:bidi="fa-IR"/>
        </w:rPr>
        <w:t xml:space="preserve"> يَعُوقُ عَنْ يَمِينِ الْكَعْبَةِ ، وَكَانَ </w:t>
      </w:r>
      <w:r w:rsidRPr="00D10E3C">
        <w:rPr>
          <w:rStyle w:val="libFootnotenumChar"/>
          <w:rtl/>
        </w:rPr>
        <w:t>(5)</w:t>
      </w:r>
      <w:r>
        <w:rPr>
          <w:rtl/>
          <w:lang w:bidi="fa-IR"/>
        </w:rPr>
        <w:t xml:space="preserve"> نَسْرٌ عَنْ يَسَارِهَا ، وَكَانُوا إِذَا دَخَلُوا خَرُّوا سُجَّداً لِيَغُوثَ ، وَلَايَنْحَنُونَ </w:t>
      </w:r>
      <w:r w:rsidRPr="00D10E3C">
        <w:rPr>
          <w:rStyle w:val="libFootnotenumChar"/>
          <w:rtl/>
        </w:rPr>
        <w:t>(6)</w:t>
      </w:r>
      <w:r>
        <w:rPr>
          <w:rtl/>
          <w:lang w:bidi="fa-IR"/>
        </w:rPr>
        <w:t xml:space="preserve"> ، ثُمَّ يَسْتَدِيرُونَ </w:t>
      </w:r>
      <w:r w:rsidRPr="00D10E3C">
        <w:rPr>
          <w:rStyle w:val="libFootnotenumChar"/>
          <w:rtl/>
        </w:rPr>
        <w:t>(7)</w:t>
      </w:r>
      <w:r>
        <w:rPr>
          <w:rtl/>
          <w:lang w:bidi="fa-IR"/>
        </w:rPr>
        <w:t xml:space="preserve"> بِحِيَالِهِمْ إِلى يَعُوقَ </w:t>
      </w:r>
      <w:r w:rsidRPr="00D10E3C">
        <w:rPr>
          <w:rStyle w:val="libFootnotenumChar"/>
          <w:rtl/>
        </w:rPr>
        <w:t>(8)</w:t>
      </w:r>
      <w:r>
        <w:rPr>
          <w:rtl/>
          <w:lang w:bidi="fa-IR"/>
        </w:rPr>
        <w:t xml:space="preserve"> ، ثُمَّ يَسْتَدِيرُونَ </w:t>
      </w:r>
      <w:r w:rsidRPr="00D10E3C">
        <w:rPr>
          <w:rStyle w:val="libFootnotenumChar"/>
          <w:rtl/>
        </w:rPr>
        <w:t>(9)</w:t>
      </w:r>
      <w:r>
        <w:rPr>
          <w:rtl/>
          <w:lang w:bidi="fa-IR"/>
        </w:rPr>
        <w:t xml:space="preserve"> بِحِيَالِهِمْ إِلى نَسْرٍ ، ثُمَّ يُلَبُّونَ فَيَقُولُونَ : لَبَّيْكَ ، الل</w:t>
      </w:r>
      <w:r w:rsidR="00610FB4">
        <w:rPr>
          <w:rFonts w:hint="cs"/>
          <w:rtl/>
          <w:lang w:bidi="fa-IR"/>
        </w:rPr>
        <w:t>ّ</w:t>
      </w:r>
      <w:r>
        <w:rPr>
          <w:rtl/>
          <w:lang w:bidi="fa-IR"/>
        </w:rPr>
        <w:t xml:space="preserve">هُمَّ لَبَّيْكَ ، لَبَّيْكَ </w:t>
      </w:r>
      <w:r w:rsidRPr="00D10E3C">
        <w:rPr>
          <w:rStyle w:val="libFootnotenumChar"/>
          <w:rtl/>
        </w:rPr>
        <w:t>(10)</w:t>
      </w:r>
      <w:r w:rsidR="00610FB4">
        <w:rPr>
          <w:rtl/>
          <w:lang w:bidi="fa-IR"/>
        </w:rPr>
        <w:t xml:space="preserve"> لَاشَرِيكَ لَكَ إِل</w:t>
      </w:r>
      <w:r w:rsidR="00610FB4">
        <w:rPr>
          <w:rFonts w:hint="cs"/>
          <w:rtl/>
          <w:lang w:bidi="fa-IR"/>
        </w:rPr>
        <w:t>َّ</w:t>
      </w:r>
      <w:r w:rsidR="00610FB4">
        <w:rPr>
          <w:rtl/>
          <w:lang w:bidi="fa-IR"/>
        </w:rPr>
        <w:t>ا</w:t>
      </w:r>
      <w:r>
        <w:rPr>
          <w:rtl/>
          <w:lang w:bidi="fa-IR"/>
        </w:rPr>
        <w:t xml:space="preserve"> شَرِيكٌ هُوَ لَكَ ، تَمْلِكُهُ وَمَا مَلَكَ ».</w:t>
      </w:r>
    </w:p>
    <w:p w:rsidR="00144FA6" w:rsidRDefault="00744A1C" w:rsidP="00744A1C">
      <w:pPr>
        <w:pStyle w:val="libNormal"/>
        <w:rPr>
          <w:rtl/>
          <w:lang w:bidi="fa-IR"/>
        </w:rPr>
      </w:pPr>
      <w:r>
        <w:rPr>
          <w:rtl/>
          <w:lang w:bidi="fa-IR"/>
        </w:rPr>
        <w:t xml:space="preserve">قَالَ </w:t>
      </w:r>
      <w:r w:rsidRPr="00D10E3C">
        <w:rPr>
          <w:rStyle w:val="libFootnotenumChar"/>
          <w:rtl/>
        </w:rPr>
        <w:t>(11)</w:t>
      </w:r>
      <w:r>
        <w:rPr>
          <w:rtl/>
          <w:lang w:bidi="fa-IR"/>
        </w:rPr>
        <w:t xml:space="preserve"> : « فَبَعَثَ اللهُ ذُبَاباً أَخْضَرَ لَهُ أَرْبَعَةُ أَجْنِحَةٍ ، فَلَمْ يُبْقِ مِنْ ذلِكَ الْمِس</w:t>
      </w:r>
      <w:r w:rsidR="00610FB4">
        <w:rPr>
          <w:rtl/>
          <w:lang w:bidi="fa-IR"/>
        </w:rPr>
        <w:t>ْكِ وَالْعَنْبَرِ شَيْئاً إِل</w:t>
      </w:r>
      <w:r w:rsidR="00610FB4">
        <w:rPr>
          <w:rFonts w:hint="cs"/>
          <w:rtl/>
          <w:lang w:bidi="fa-IR"/>
        </w:rPr>
        <w:t>َّ</w:t>
      </w:r>
      <w:r w:rsidR="00610FB4">
        <w:rPr>
          <w:rtl/>
          <w:lang w:bidi="fa-IR"/>
        </w:rPr>
        <w:t>ا</w:t>
      </w:r>
      <w:r>
        <w:rPr>
          <w:rtl/>
          <w:lang w:bidi="fa-IR"/>
        </w:rPr>
        <w:t xml:space="preserve"> أَكَلَهُ ، وَأَنْزَلَ </w:t>
      </w:r>
      <w:r w:rsidRPr="00D10E3C">
        <w:rPr>
          <w:rStyle w:val="libFootnotenumChar"/>
          <w:rtl/>
        </w:rPr>
        <w:t>(12)</w:t>
      </w:r>
      <w:r>
        <w:rPr>
          <w:rtl/>
          <w:lang w:bidi="fa-IR"/>
        </w:rPr>
        <w:t xml:space="preserve"> اللهُ عَزَّوَجَلَّ : </w:t>
      </w:r>
      <w:r w:rsidRPr="00B03098">
        <w:rPr>
          <w:rStyle w:val="libAlaemChar"/>
          <w:rtl/>
        </w:rPr>
        <w:t>(</w:t>
      </w:r>
      <w:r w:rsidRPr="00B03098">
        <w:rPr>
          <w:rStyle w:val="libAieChar"/>
          <w:rtl/>
        </w:rPr>
        <w:t xml:space="preserve"> يا أَيُّهَا النّاسُ ضُرِبَ مَثَلٌ فَاسْتَمِعُوا لَهُ إِنَّ الَّذِينَ تَدْعُونَ </w:t>
      </w:r>
      <w:r w:rsidRPr="00D10E3C">
        <w:rPr>
          <w:rStyle w:val="libFootnotenumChar"/>
          <w:rtl/>
        </w:rPr>
        <w:t>(13)</w:t>
      </w:r>
      <w:r w:rsidRPr="00B03098">
        <w:rPr>
          <w:rStyle w:val="libAieChar"/>
          <w:rtl/>
        </w:rPr>
        <w:t xml:space="preserve"> مِنْ دُونِ اللهِ لَنْ يَخْلُقُوا ذُباباً وَلَوِ اجْتَمَعُوا لَهُ وَإِنْ يَسْلُبْهُمُ الذُّبابُ شَيْئاً لا يَسْتَنْقِذُوهُ</w:t>
      </w:r>
    </w:p>
    <w:p w:rsidR="00744A1C" w:rsidRDefault="00744A1C" w:rsidP="00D10E3C">
      <w:pPr>
        <w:pStyle w:val="libLine"/>
        <w:rPr>
          <w:lang w:bidi="fa-IR"/>
        </w:rPr>
      </w:pPr>
      <w:r>
        <w:rPr>
          <w:rtl/>
          <w:lang w:bidi="fa-IR"/>
        </w:rPr>
        <w:t>____________________</w:t>
      </w:r>
    </w:p>
    <w:p w:rsidR="00744A1C" w:rsidRDefault="00610FB4" w:rsidP="00D10E3C">
      <w:pPr>
        <w:pStyle w:val="libFootnote0"/>
        <w:rPr>
          <w:lang w:bidi="fa-IR"/>
        </w:rPr>
      </w:pPr>
      <w:r>
        <w:rPr>
          <w:rFonts w:hint="cs"/>
          <w:rtl/>
          <w:lang w:bidi="fa-IR"/>
        </w:rPr>
        <w:t xml:space="preserve">= </w:t>
      </w:r>
      <w:r w:rsidR="00744A1C">
        <w:rPr>
          <w:rtl/>
          <w:lang w:bidi="fa-IR"/>
        </w:rPr>
        <w:t>« العمشاني ».</w:t>
      </w:r>
    </w:p>
    <w:p w:rsidR="00744A1C" w:rsidRDefault="00744A1C" w:rsidP="00D10E3C">
      <w:pPr>
        <w:pStyle w:val="libFootnote0"/>
        <w:rPr>
          <w:lang w:bidi="fa-IR"/>
        </w:rPr>
      </w:pPr>
      <w:r>
        <w:rPr>
          <w:rtl/>
          <w:lang w:bidi="fa-IR"/>
        </w:rPr>
        <w:t xml:space="preserve">وترجم النجاشي لأحمد بن رزق الغُمشاني في رجاله ، ص 98 ، الرقم 243 ، وأمّا </w:t>
      </w:r>
      <w:r w:rsidRPr="003A7143">
        <w:rPr>
          <w:rStyle w:val="libFootnoteBoldChar"/>
          <w:rtl/>
        </w:rPr>
        <w:t>الفهرست للطوسي</w:t>
      </w:r>
      <w:r>
        <w:rPr>
          <w:rtl/>
          <w:lang w:bidi="fa-IR"/>
        </w:rPr>
        <w:t xml:space="preserve"> ، وإن ورد في طبعة المحقّق الطباطبائي ، ص 83 ، الرقم 106 : العُمشاني ، لكنّ المذكور في طبعة النجف الأشرف ، ص 35 ، الرقم 96 هو الغمشاني ، وكذا نقله ابن داود في رجاله ، ص 28 ، الرقم 72 ، من </w:t>
      </w:r>
      <w:r w:rsidRPr="00610FB4">
        <w:rPr>
          <w:rStyle w:val="libFootnoteBoldChar"/>
          <w:rtl/>
        </w:rPr>
        <w:t>الفهرست</w:t>
      </w:r>
      <w:r>
        <w:rPr>
          <w:rtl/>
          <w:lang w:bidi="fa-IR"/>
        </w:rPr>
        <w:t>.</w:t>
      </w:r>
    </w:p>
    <w:p w:rsidR="00744A1C" w:rsidRDefault="00D10E3C" w:rsidP="00D10E3C">
      <w:pPr>
        <w:pStyle w:val="libFootnote0"/>
        <w:rPr>
          <w:lang w:bidi="fa-IR"/>
        </w:rPr>
      </w:pPr>
      <w:r>
        <w:rPr>
          <w:rtl/>
          <w:lang w:bidi="fa-IR"/>
        </w:rPr>
        <w:t>(1).</w:t>
      </w:r>
      <w:r w:rsidR="00744A1C">
        <w:rPr>
          <w:rtl/>
          <w:lang w:bidi="fa-IR"/>
        </w:rPr>
        <w:t xml:space="preserve"> يجوز فيه هيئة التجرّد والتفعيل.</w:t>
      </w:r>
    </w:p>
    <w:p w:rsidR="00744A1C" w:rsidRDefault="00E378DD" w:rsidP="00E378DD">
      <w:pPr>
        <w:pStyle w:val="libFootnote0"/>
        <w:rPr>
          <w:lang w:bidi="fa-IR"/>
        </w:rPr>
      </w:pPr>
      <w:r>
        <w:rPr>
          <w:rtl/>
          <w:lang w:bidi="fa-IR"/>
        </w:rPr>
        <w:t>(2).</w:t>
      </w:r>
      <w:r w:rsidR="00744A1C">
        <w:rPr>
          <w:rtl/>
          <w:lang w:bidi="fa-IR"/>
        </w:rPr>
        <w:t xml:space="preserve"> يَغوثُ ويَعوقُ ونسر ، الثلاثة أسماء أصنام للقريش تعبدون ، وفي المصحف الشريف : </w:t>
      </w:r>
      <w:r w:rsidR="00744A1C" w:rsidRPr="00610FB4">
        <w:rPr>
          <w:rStyle w:val="libFootnoteAlaemChar"/>
          <w:rtl/>
        </w:rPr>
        <w:t>(</w:t>
      </w:r>
      <w:r w:rsidR="00744A1C" w:rsidRPr="00610FB4">
        <w:rPr>
          <w:rStyle w:val="libFootnoteAieChar"/>
          <w:rtl/>
        </w:rPr>
        <w:t xml:space="preserve"> وَلا يَغُوثَ وَيَعُوقَ وَنَسْراً</w:t>
      </w:r>
      <w:r w:rsidR="00744A1C" w:rsidRPr="00610FB4">
        <w:rPr>
          <w:rStyle w:val="libFootnoteAlaemChar"/>
          <w:rtl/>
        </w:rPr>
        <w:t>)</w:t>
      </w:r>
      <w:r w:rsidR="00744A1C">
        <w:rPr>
          <w:rtl/>
          <w:lang w:bidi="fa-IR"/>
        </w:rPr>
        <w:t xml:space="preserve"> [ نوح (71) : 23 ]. وقال الجوهري : « نَسر : صنم كان لذي الكلاع بأرض حمير ، كان يَغوثُ لمِذْحَج ، ويَعوقَ لهمدان ، من أصنام قوم نوح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E978C3">
        <w:rPr>
          <w:rStyle w:val="libFootnoteBoldChar"/>
          <w:rtl/>
        </w:rPr>
        <w:t>الصحاح</w:t>
      </w:r>
      <w:r w:rsidR="00744A1C">
        <w:rPr>
          <w:rtl/>
          <w:lang w:bidi="fa-IR"/>
        </w:rPr>
        <w:t xml:space="preserve"> ، ج 2 ، ص 826 ( نسر ). وراجع أيضاً : </w:t>
      </w:r>
      <w:r w:rsidR="00744A1C" w:rsidRPr="00877682">
        <w:rPr>
          <w:rStyle w:val="libFootnoteBoldChar"/>
          <w:rtl/>
        </w:rPr>
        <w:t>لسان العرب</w:t>
      </w:r>
      <w:r w:rsidR="00744A1C">
        <w:rPr>
          <w:rtl/>
          <w:lang w:bidi="fa-IR"/>
        </w:rPr>
        <w:t xml:space="preserve"> ، ج 2 ، ص 175 ( غوث ) ؛ وج 10 ، ص 281 ( عوق ).</w:t>
      </w:r>
    </w:p>
    <w:p w:rsidR="00744A1C" w:rsidRDefault="00E378DD" w:rsidP="00E378DD">
      <w:pPr>
        <w:pStyle w:val="libFootnote0"/>
        <w:rPr>
          <w:lang w:bidi="fa-IR"/>
        </w:rPr>
      </w:pPr>
      <w:r>
        <w:rPr>
          <w:rtl/>
          <w:lang w:bidi="fa-IR"/>
        </w:rPr>
        <w:t>(3).</w:t>
      </w:r>
      <w:r w:rsidR="00744A1C">
        <w:rPr>
          <w:rtl/>
          <w:lang w:bidi="fa-IR"/>
        </w:rPr>
        <w:t xml:space="preserve"> في « بح ، بخ ، بف ، جد » </w:t>
      </w:r>
      <w:r w:rsidR="00744A1C" w:rsidRPr="00610FB4">
        <w:rPr>
          <w:rtl/>
        </w:rPr>
        <w:t>والوافي والبحار</w:t>
      </w:r>
      <w:r w:rsidR="00744A1C">
        <w:rPr>
          <w:rtl/>
          <w:lang w:bidi="fa-IR"/>
        </w:rPr>
        <w:t xml:space="preserve"> ، ج 3 : « قبالة ».</w:t>
      </w:r>
    </w:p>
    <w:p w:rsidR="00744A1C" w:rsidRDefault="00E378DD" w:rsidP="00E378DD">
      <w:pPr>
        <w:pStyle w:val="libFootnote0"/>
        <w:rPr>
          <w:lang w:bidi="fa-IR"/>
        </w:rPr>
      </w:pPr>
      <w:r>
        <w:rPr>
          <w:rtl/>
          <w:lang w:bidi="fa-IR"/>
        </w:rPr>
        <w:t>(4).</w:t>
      </w:r>
      <w:r w:rsidR="00744A1C">
        <w:rPr>
          <w:rtl/>
          <w:lang w:bidi="fa-IR"/>
        </w:rPr>
        <w:t xml:space="preserve"> في </w:t>
      </w:r>
      <w:r w:rsidR="00744A1C" w:rsidRPr="00610FB4">
        <w:rPr>
          <w:rtl/>
        </w:rPr>
        <w:t>البحار</w:t>
      </w:r>
      <w:r w:rsidR="00744A1C">
        <w:rPr>
          <w:rtl/>
          <w:lang w:bidi="fa-IR"/>
        </w:rPr>
        <w:t xml:space="preserve"> ، ج 64 : - « كان ».</w:t>
      </w:r>
    </w:p>
    <w:p w:rsidR="00744A1C" w:rsidRDefault="00E378DD" w:rsidP="00E378DD">
      <w:pPr>
        <w:pStyle w:val="libFootnote0"/>
        <w:rPr>
          <w:lang w:bidi="fa-IR"/>
        </w:rPr>
      </w:pPr>
      <w:r>
        <w:rPr>
          <w:rtl/>
          <w:lang w:bidi="fa-IR"/>
        </w:rPr>
        <w:t>(5).</w:t>
      </w:r>
      <w:r w:rsidR="00744A1C">
        <w:rPr>
          <w:rtl/>
          <w:lang w:bidi="fa-IR"/>
        </w:rPr>
        <w:t xml:space="preserve"> في </w:t>
      </w:r>
      <w:r w:rsidR="00744A1C" w:rsidRPr="00610FB4">
        <w:rPr>
          <w:rtl/>
        </w:rPr>
        <w:t>البحار</w:t>
      </w:r>
      <w:r w:rsidR="00744A1C">
        <w:rPr>
          <w:rtl/>
          <w:lang w:bidi="fa-IR"/>
        </w:rPr>
        <w:t xml:space="preserve"> ، ج 64 : - « كان ».</w:t>
      </w:r>
    </w:p>
    <w:p w:rsidR="00744A1C" w:rsidRDefault="00E378DD" w:rsidP="00E378DD">
      <w:pPr>
        <w:pStyle w:val="libFootnote0"/>
        <w:rPr>
          <w:lang w:bidi="fa-IR"/>
        </w:rPr>
      </w:pPr>
      <w:r>
        <w:rPr>
          <w:rtl/>
          <w:lang w:bidi="fa-IR"/>
        </w:rPr>
        <w:t>(6).</w:t>
      </w:r>
      <w:r w:rsidR="00744A1C">
        <w:rPr>
          <w:rtl/>
          <w:lang w:bidi="fa-IR"/>
        </w:rPr>
        <w:t xml:space="preserve"> في « بف » وحاشية « بث » : « ولا يحنون » ، من حنا ظهره ، إذا عطفه وثناه.</w:t>
      </w:r>
    </w:p>
    <w:p w:rsidR="00744A1C" w:rsidRDefault="00E378DD" w:rsidP="00E378DD">
      <w:pPr>
        <w:pStyle w:val="libFootnote0"/>
        <w:rPr>
          <w:lang w:bidi="fa-IR"/>
        </w:rPr>
      </w:pPr>
      <w:r>
        <w:rPr>
          <w:rtl/>
          <w:lang w:bidi="fa-IR"/>
        </w:rPr>
        <w:t>(7).</w:t>
      </w:r>
      <w:r w:rsidR="00744A1C">
        <w:rPr>
          <w:rtl/>
          <w:lang w:bidi="fa-IR"/>
        </w:rPr>
        <w:t xml:space="preserve"> في « بح » : « يستدبرون ». وفي </w:t>
      </w:r>
      <w:r w:rsidR="00744A1C" w:rsidRPr="00610FB4">
        <w:rPr>
          <w:rtl/>
        </w:rPr>
        <w:t>البحار</w:t>
      </w:r>
      <w:r w:rsidR="00744A1C">
        <w:rPr>
          <w:rtl/>
          <w:lang w:bidi="fa-IR"/>
        </w:rPr>
        <w:t xml:space="preserve"> ، ج 64 : + « عن يسارها ».</w:t>
      </w:r>
    </w:p>
    <w:p w:rsidR="00744A1C" w:rsidRDefault="00E378DD" w:rsidP="00E378DD">
      <w:pPr>
        <w:pStyle w:val="libFootnote0"/>
        <w:rPr>
          <w:lang w:bidi="fa-IR"/>
        </w:rPr>
      </w:pPr>
      <w:r>
        <w:rPr>
          <w:rtl/>
          <w:lang w:bidi="fa-IR"/>
        </w:rPr>
        <w:t>(8).</w:t>
      </w:r>
      <w:r w:rsidR="00744A1C">
        <w:rPr>
          <w:rtl/>
          <w:lang w:bidi="fa-IR"/>
        </w:rPr>
        <w:t xml:space="preserve"> في « ى » : - « ثمّ يستديرون بحيالهم إلى يعوق ».</w:t>
      </w:r>
    </w:p>
    <w:tbl>
      <w:tblPr>
        <w:tblStyle w:val="TableGrid"/>
        <w:bidiVisual/>
        <w:tblW w:w="0" w:type="auto"/>
        <w:tblLook w:val="04A0" w:firstRow="1" w:lastRow="0" w:firstColumn="1" w:lastColumn="0" w:noHBand="0" w:noVBand="1"/>
      </w:tblPr>
      <w:tblGrid>
        <w:gridCol w:w="4006"/>
        <w:gridCol w:w="4006"/>
      </w:tblGrid>
      <w:tr w:rsidR="00610FB4" w:rsidTr="00610FB4">
        <w:tc>
          <w:tcPr>
            <w:tcW w:w="4006" w:type="dxa"/>
          </w:tcPr>
          <w:p w:rsidR="00610FB4" w:rsidRDefault="00610FB4" w:rsidP="00E378DD">
            <w:pPr>
              <w:pStyle w:val="libFootnote0"/>
              <w:rPr>
                <w:rtl/>
                <w:lang w:bidi="fa-IR"/>
              </w:rPr>
            </w:pPr>
            <w:r>
              <w:rPr>
                <w:rtl/>
                <w:lang w:bidi="fa-IR"/>
              </w:rPr>
              <w:t>(9). في « بث ، بح » : « يستدبرون ».</w:t>
            </w:r>
          </w:p>
        </w:tc>
        <w:tc>
          <w:tcPr>
            <w:tcW w:w="4006" w:type="dxa"/>
          </w:tcPr>
          <w:p w:rsidR="00610FB4" w:rsidRDefault="00610FB4" w:rsidP="00E378DD">
            <w:pPr>
              <w:pStyle w:val="libFootnote0"/>
              <w:rPr>
                <w:rtl/>
                <w:lang w:bidi="fa-IR"/>
              </w:rPr>
            </w:pPr>
            <w:r>
              <w:rPr>
                <w:rtl/>
                <w:lang w:bidi="fa-IR"/>
              </w:rPr>
              <w:t>(10). في « ى ، بث ، بس » : - « لبّيك ».</w:t>
            </w:r>
          </w:p>
        </w:tc>
      </w:tr>
      <w:tr w:rsidR="00610FB4" w:rsidTr="00610FB4">
        <w:tc>
          <w:tcPr>
            <w:tcW w:w="4006" w:type="dxa"/>
          </w:tcPr>
          <w:p w:rsidR="00610FB4" w:rsidRDefault="00610FB4" w:rsidP="00E378DD">
            <w:pPr>
              <w:pStyle w:val="libFootnote0"/>
              <w:rPr>
                <w:rtl/>
                <w:lang w:bidi="fa-IR"/>
              </w:rPr>
            </w:pPr>
            <w:r>
              <w:rPr>
                <w:rtl/>
                <w:lang w:bidi="fa-IR"/>
              </w:rPr>
              <w:t>(11). في « جن » : - « قال ».</w:t>
            </w:r>
          </w:p>
        </w:tc>
        <w:tc>
          <w:tcPr>
            <w:tcW w:w="4006" w:type="dxa"/>
          </w:tcPr>
          <w:p w:rsidR="00610FB4" w:rsidRDefault="00610FB4" w:rsidP="00E378DD">
            <w:pPr>
              <w:pStyle w:val="libFootnote0"/>
              <w:rPr>
                <w:rtl/>
                <w:lang w:bidi="fa-IR"/>
              </w:rPr>
            </w:pPr>
            <w:r>
              <w:rPr>
                <w:rtl/>
                <w:lang w:bidi="fa-IR"/>
              </w:rPr>
              <w:t xml:space="preserve">(12). في </w:t>
            </w:r>
            <w:r w:rsidRPr="00610FB4">
              <w:rPr>
                <w:rtl/>
              </w:rPr>
              <w:t>البحار</w:t>
            </w:r>
            <w:r>
              <w:rPr>
                <w:rtl/>
                <w:lang w:bidi="fa-IR"/>
              </w:rPr>
              <w:t xml:space="preserve"> ، ج 64 : « فأنزل ».</w:t>
            </w:r>
          </w:p>
        </w:tc>
      </w:tr>
    </w:tbl>
    <w:p w:rsidR="00744A1C" w:rsidRDefault="00E378DD" w:rsidP="00E378DD">
      <w:pPr>
        <w:pStyle w:val="libFootnote0"/>
        <w:rPr>
          <w:lang w:bidi="fa-IR"/>
        </w:rPr>
      </w:pPr>
      <w:r>
        <w:rPr>
          <w:rtl/>
          <w:lang w:bidi="fa-IR"/>
        </w:rPr>
        <w:t>(13).</w:t>
      </w:r>
      <w:r w:rsidR="00744A1C">
        <w:rPr>
          <w:rtl/>
          <w:lang w:bidi="fa-IR"/>
        </w:rPr>
        <w:t xml:space="preserve"> هكذا في المصحف الشريف و « ى ، بث ، بح ، بس ، بف ، جد ، جن » و</w:t>
      </w:r>
      <w:r w:rsidR="00744A1C" w:rsidRPr="00C24F9C">
        <w:rPr>
          <w:rStyle w:val="libFootnoteBoldChar"/>
          <w:rtl/>
        </w:rPr>
        <w:t>الوافي</w:t>
      </w:r>
      <w:r w:rsidR="00610FB4">
        <w:rPr>
          <w:rtl/>
          <w:lang w:bidi="fa-IR"/>
        </w:rPr>
        <w:t>. وفي المطبوع : «يدعون</w:t>
      </w:r>
      <w:r w:rsidR="00744A1C">
        <w:rPr>
          <w:rtl/>
          <w:lang w:bidi="fa-IR"/>
        </w:rPr>
        <w:t>».</w:t>
      </w:r>
    </w:p>
    <w:p w:rsidR="00150943" w:rsidRDefault="00150943" w:rsidP="00D10E3C">
      <w:pPr>
        <w:pStyle w:val="libNormal"/>
        <w:rPr>
          <w:rtl/>
          <w:lang w:bidi="fa-IR"/>
        </w:rPr>
      </w:pPr>
      <w:r>
        <w:rPr>
          <w:rtl/>
          <w:lang w:bidi="fa-IR"/>
        </w:rPr>
        <w:br w:type="page"/>
      </w:r>
    </w:p>
    <w:p w:rsidR="00144FA6" w:rsidRDefault="00744A1C" w:rsidP="00610FB4">
      <w:pPr>
        <w:pStyle w:val="libNormal0"/>
        <w:rPr>
          <w:rtl/>
          <w:lang w:bidi="fa-IR"/>
        </w:rPr>
      </w:pPr>
      <w:r w:rsidRPr="00610FB4">
        <w:rPr>
          <w:rStyle w:val="libAieChar"/>
          <w:rtl/>
        </w:rPr>
        <w:lastRenderedPageBreak/>
        <w:t>مِنْهُ ضَعُفَ الطّالِبُ وَالْمَطْلُوبُ</w:t>
      </w:r>
      <w:r>
        <w:rPr>
          <w:rtl/>
          <w:lang w:bidi="fa-IR"/>
        </w:rPr>
        <w:t xml:space="preserve"> </w:t>
      </w:r>
      <w:r w:rsidRPr="00610FB4">
        <w:rPr>
          <w:rStyle w:val="libAlaemChar"/>
          <w:rtl/>
        </w:rPr>
        <w:t>)</w:t>
      </w:r>
      <w:r>
        <w:rPr>
          <w:rtl/>
          <w:lang w:bidi="fa-IR"/>
        </w:rPr>
        <w:t xml:space="preserve">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8063 / 12. الْحُسَيْنُ بْنُ مُحَمَّدٍ ، عَنْ مُعَلَّى بْنِ مُحَمَّدٍ ، عَنِ الْحَسَنِ بْنِ عَلِيٍّ الْوَشَّاءِ ، عَنْ حَمَّادِ بْنِ عُثْمَانَ ، عَنْ عُمَرَ بْنِ يَزِيدَ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يَلِي الْمَوْسِمَ مَكِّيٌّ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8064 / 13. مُحَمَّدُ بْنُ يَحْيى ، عَنْ مُحَمَّدِ بْنِ أَحْمَدَ ، عَنِ الْحَسَنِ بْنِ مُوسى ، عَنْ غِيَاثِ بْنِ كَلُّوبٍ ، عَنْ إِسْحَاقَ بْنِ عَمَّارٍ :</w:t>
      </w:r>
    </w:p>
    <w:p w:rsidR="00144FA6" w:rsidRDefault="00744A1C" w:rsidP="00744A1C">
      <w:pPr>
        <w:pStyle w:val="libNormal"/>
        <w:rPr>
          <w:rtl/>
          <w:lang w:bidi="fa-IR"/>
        </w:rPr>
      </w:pPr>
      <w:r>
        <w:rPr>
          <w:rtl/>
          <w:lang w:bidi="fa-IR"/>
        </w:rPr>
        <w:t xml:space="preserve">عَنْ جَعْفَرٍ ، عَنْ آبَائِهِ </w:t>
      </w:r>
      <w:r w:rsidR="008859AA" w:rsidRPr="008859AA">
        <w:rPr>
          <w:rStyle w:val="libAlaemChar"/>
          <w:rtl/>
        </w:rPr>
        <w:t>عليهما‌السلام</w:t>
      </w:r>
      <w:r>
        <w:rPr>
          <w:rtl/>
          <w:lang w:bidi="fa-IR"/>
        </w:rPr>
        <w:t xml:space="preserve">: « أَنَّ عَلِيّاً </w:t>
      </w:r>
      <w:r w:rsidR="0061079A" w:rsidRPr="0061079A">
        <w:rPr>
          <w:rStyle w:val="libAlaemChar"/>
          <w:rtl/>
        </w:rPr>
        <w:t>عليه‌السلام</w:t>
      </w:r>
      <w:r w:rsidR="00D10E3C">
        <w:rPr>
          <w:rtl/>
          <w:lang w:bidi="fa-IR"/>
        </w:rPr>
        <w:t xml:space="preserve"> </w:t>
      </w:r>
      <w:r>
        <w:rPr>
          <w:rtl/>
          <w:lang w:bidi="fa-IR"/>
        </w:rPr>
        <w:t xml:space="preserve">كَانَ يَكْرَهُ الْحَجَّ وَالْعُمْرَةَ عَلَى الْإِبِلِ الْجَلاَّلَاتِ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8065 / 14. عَلِيُّ بْنُ إِبْرَاهِيمَ </w:t>
      </w:r>
      <w:r w:rsidRPr="00D10E3C">
        <w:rPr>
          <w:rStyle w:val="libFootnotenumChar"/>
          <w:rtl/>
        </w:rPr>
        <w:t>(7)</w:t>
      </w:r>
      <w:r>
        <w:rPr>
          <w:rtl/>
          <w:lang w:bidi="fa-IR"/>
        </w:rPr>
        <w:t xml:space="preserve"> ، عَنْ عَلِيِّ بْنِ مُحَمَّدِ بْنِ شِيرَةَ ، عَنْ عَلِيِّ بْنِ سُلَيْمَانَ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الحجّ (22) : 73.</w:t>
      </w:r>
    </w:p>
    <w:p w:rsidR="00744A1C" w:rsidRDefault="00E378DD" w:rsidP="00E378DD">
      <w:pPr>
        <w:pStyle w:val="libFootnote0"/>
        <w:rPr>
          <w:lang w:bidi="fa-IR"/>
        </w:rPr>
      </w:pPr>
      <w:r>
        <w:rPr>
          <w:rtl/>
          <w:lang w:bidi="fa-IR"/>
        </w:rPr>
        <w:t>(2).</w:t>
      </w:r>
      <w:r w:rsidR="00744A1C">
        <w:rPr>
          <w:rtl/>
          <w:lang w:bidi="fa-IR"/>
        </w:rPr>
        <w:t xml:space="preserve"> راجع : </w:t>
      </w:r>
      <w:r w:rsidR="00744A1C" w:rsidRPr="00610FB4">
        <w:rPr>
          <w:rStyle w:val="libFootnoteBoldChar"/>
          <w:rtl/>
        </w:rPr>
        <w:t>تفسير القمّي</w:t>
      </w:r>
      <w:r w:rsidR="00744A1C">
        <w:rPr>
          <w:rtl/>
          <w:lang w:bidi="fa-IR"/>
        </w:rPr>
        <w:t xml:space="preserve"> ، ج 2 ، ص 87 </w:t>
      </w:r>
      <w:r w:rsidR="00610FB4">
        <w:rPr>
          <w:rFonts w:hint="cs"/>
          <w:rtl/>
          <w:lang w:bidi="fa-IR"/>
        </w:rPr>
        <w:t>.</w:t>
      </w:r>
      <w:r w:rsidR="00744A1C" w:rsidRPr="00C24F9C">
        <w:rPr>
          <w:rStyle w:val="libFootnoteBoldChar"/>
          <w:rtl/>
        </w:rPr>
        <w:t>الوافي</w:t>
      </w:r>
      <w:r w:rsidR="00744A1C">
        <w:rPr>
          <w:rtl/>
          <w:lang w:bidi="fa-IR"/>
        </w:rPr>
        <w:t xml:space="preserve"> ، ج 14 ، ص 1310 ، ح 14325 ؛ </w:t>
      </w:r>
      <w:r w:rsidR="00744A1C" w:rsidRPr="0061079A">
        <w:rPr>
          <w:rStyle w:val="libFootnoteBoldChar"/>
          <w:rtl/>
        </w:rPr>
        <w:t>البحار</w:t>
      </w:r>
      <w:r w:rsidR="00744A1C">
        <w:rPr>
          <w:rtl/>
          <w:lang w:bidi="fa-IR"/>
        </w:rPr>
        <w:t xml:space="preserve"> ، ج 3 ، ص 253 ، ح 11 ؛ وج 64 ، ص 310.</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يعني لا ينبغي أن يكون رجل من أهل مكّة والياً على الحاجّ أيّام الموسم ». وفي </w:t>
      </w:r>
      <w:r w:rsidR="00744A1C" w:rsidRPr="00C24F9C">
        <w:rPr>
          <w:rStyle w:val="libFootnoteBoldChar"/>
          <w:rtl/>
        </w:rPr>
        <w:t>المرآة</w:t>
      </w:r>
      <w:r w:rsidR="00744A1C">
        <w:rPr>
          <w:rtl/>
          <w:lang w:bidi="fa-IR"/>
        </w:rPr>
        <w:t xml:space="preserve"> : « لعلّ المراد أنّ إمارة الحاجّ أيّام الموسم متعلّق بأميرهم ، لا بأمير مكّة. ويحتمل إمارة الحاجّ أيضاً ، لكنّه بعيد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14 ، ص 1311 ، ح 14326 ؛ </w:t>
      </w:r>
      <w:r w:rsidR="00744A1C" w:rsidRPr="00C24F9C">
        <w:rPr>
          <w:rStyle w:val="libFootnoteBoldChar"/>
          <w:rtl/>
        </w:rPr>
        <w:t>الوسائل</w:t>
      </w:r>
      <w:r w:rsidR="00744A1C">
        <w:rPr>
          <w:rtl/>
          <w:lang w:bidi="fa-IR"/>
        </w:rPr>
        <w:t xml:space="preserve"> ، ج 11 ، ص 398 ، ح 15105 ؛ وج 13 ، ص 526 ، ح 18363.</w:t>
      </w:r>
    </w:p>
    <w:p w:rsidR="00744A1C" w:rsidRDefault="00E378DD" w:rsidP="00E378DD">
      <w:pPr>
        <w:pStyle w:val="libFootnote0"/>
        <w:rPr>
          <w:lang w:bidi="fa-IR"/>
        </w:rPr>
      </w:pPr>
      <w:r>
        <w:rPr>
          <w:rtl/>
          <w:lang w:bidi="fa-IR"/>
        </w:rPr>
        <w:t>(5).</w:t>
      </w:r>
      <w:r w:rsidR="00610FB4">
        <w:rPr>
          <w:rtl/>
          <w:lang w:bidi="fa-IR"/>
        </w:rPr>
        <w:t xml:space="preserve"> الجَل</w:t>
      </w:r>
      <w:r w:rsidR="00610FB4">
        <w:rPr>
          <w:rFonts w:hint="cs"/>
          <w:rtl/>
          <w:lang w:bidi="fa-IR"/>
        </w:rPr>
        <w:t>ّ</w:t>
      </w:r>
      <w:r w:rsidR="00610FB4">
        <w:rPr>
          <w:rtl/>
          <w:lang w:bidi="fa-IR"/>
        </w:rPr>
        <w:t>ا</w:t>
      </w:r>
      <w:r w:rsidR="00744A1C">
        <w:rPr>
          <w:rtl/>
          <w:lang w:bidi="fa-IR"/>
        </w:rPr>
        <w:t xml:space="preserve">لةُ من الحيوان : التي تتبع النجاسات وتأكلها. راجع : </w:t>
      </w:r>
      <w:r w:rsidR="00744A1C" w:rsidRPr="00877682">
        <w:rPr>
          <w:rStyle w:val="libFootnoteBoldChar"/>
          <w:rtl/>
        </w:rPr>
        <w:t>لسان العرب</w:t>
      </w:r>
      <w:r w:rsidR="00744A1C">
        <w:rPr>
          <w:rtl/>
          <w:lang w:bidi="fa-IR"/>
        </w:rPr>
        <w:t xml:space="preserve"> ، ج 11 ، ص 119 ( جلل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439 ، ح 1525 ، معلّقاً عن محمّد بن أحمد بن يحيى ، عن الحسن بن موسى ، عن غياث بن كلّوب ، عن إسحاق بن عمّار ، عن جعفر ، عن أبيه </w:t>
      </w:r>
      <w:r w:rsidR="00F112A7" w:rsidRPr="00CE5A92">
        <w:rPr>
          <w:rStyle w:val="libFootnoteAlaemChar"/>
          <w:rtl/>
        </w:rPr>
        <w:t>عليهما‌السلام</w:t>
      </w:r>
      <w:r w:rsidR="00744A1C">
        <w:rPr>
          <w:rtl/>
          <w:lang w:bidi="fa-IR"/>
        </w:rPr>
        <w:t xml:space="preserve">. </w:t>
      </w:r>
      <w:r w:rsidR="00744A1C" w:rsidRPr="00877682">
        <w:rPr>
          <w:rStyle w:val="libFootnoteBoldChar"/>
          <w:rtl/>
        </w:rPr>
        <w:t>الجعفريّات</w:t>
      </w:r>
      <w:r w:rsidR="00744A1C">
        <w:rPr>
          <w:rtl/>
          <w:lang w:bidi="fa-IR"/>
        </w:rPr>
        <w:t xml:space="preserve"> ، ص 27 ، صدر الحديث ، بسند آخر عن جعفر بن محمّد ، عن أبيه ، عن عليّ </w:t>
      </w:r>
      <w:r w:rsidR="00877682" w:rsidRPr="00877682">
        <w:rPr>
          <w:rStyle w:val="libFootnoteAlaemChar"/>
          <w:rtl/>
        </w:rPr>
        <w:t>عليهم‌السلام</w:t>
      </w:r>
      <w:r w:rsidR="00D10E3C">
        <w:rPr>
          <w:rtl/>
          <w:lang w:bidi="fa-IR"/>
        </w:rPr>
        <w:t xml:space="preserve"> </w:t>
      </w:r>
      <w:r w:rsidR="00744A1C">
        <w:rPr>
          <w:rtl/>
          <w:lang w:bidi="fa-IR"/>
        </w:rPr>
        <w:t>،</w:t>
      </w:r>
      <w:r w:rsidR="00610FB4">
        <w:rPr>
          <w:rtl/>
          <w:lang w:bidi="fa-IR"/>
        </w:rPr>
        <w:t xml:space="preserve"> وتمام الرواية : « الناقة الجل</w:t>
      </w:r>
      <w:r w:rsidR="00610FB4">
        <w:rPr>
          <w:rFonts w:hint="cs"/>
          <w:rtl/>
          <w:lang w:bidi="fa-IR"/>
        </w:rPr>
        <w:t>ّ</w:t>
      </w:r>
      <w:r w:rsidR="00610FB4">
        <w:rPr>
          <w:rtl/>
          <w:lang w:bidi="fa-IR"/>
        </w:rPr>
        <w:t>ا</w:t>
      </w:r>
      <w:r w:rsidR="00744A1C">
        <w:rPr>
          <w:rtl/>
          <w:lang w:bidi="fa-IR"/>
        </w:rPr>
        <w:t xml:space="preserve">لة لايحجّ على ظهرها ». </w:t>
      </w:r>
      <w:r w:rsidR="00744A1C" w:rsidRPr="00C24F9C">
        <w:rPr>
          <w:rStyle w:val="libFootnoteBoldChar"/>
          <w:rtl/>
        </w:rPr>
        <w:t>الفقيه</w:t>
      </w:r>
      <w:r w:rsidR="00744A1C">
        <w:rPr>
          <w:rtl/>
          <w:lang w:bidi="fa-IR"/>
        </w:rPr>
        <w:t xml:space="preserve"> ، ج 2 ، ص 520 ، ح 3114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هكذا : « وكان عليّ </w:t>
      </w:r>
      <w:r w:rsidR="0061079A" w:rsidRPr="0061079A">
        <w:rPr>
          <w:rStyle w:val="libFootnoteAlaemChar"/>
          <w:rtl/>
        </w:rPr>
        <w:t>عليه‌السلام</w:t>
      </w:r>
      <w:r w:rsidR="00D10E3C">
        <w:rPr>
          <w:rtl/>
          <w:lang w:bidi="fa-IR"/>
        </w:rPr>
        <w:t xml:space="preserve"> </w:t>
      </w:r>
      <w:r w:rsidR="00610FB4">
        <w:rPr>
          <w:rtl/>
          <w:lang w:bidi="fa-IR"/>
        </w:rPr>
        <w:t>يكره ...</w:t>
      </w:r>
      <w:r w:rsidR="00744A1C">
        <w:rPr>
          <w:rtl/>
          <w:lang w:bidi="fa-IR"/>
        </w:rPr>
        <w:t xml:space="preserve">» </w:t>
      </w:r>
      <w:r w:rsidR="00610FB4">
        <w:rPr>
          <w:rFonts w:hint="cs"/>
          <w:rtl/>
          <w:lang w:bidi="fa-IR"/>
        </w:rPr>
        <w:t>.</w:t>
      </w:r>
      <w:r w:rsidR="00744A1C" w:rsidRPr="00C24F9C">
        <w:rPr>
          <w:rStyle w:val="libFootnoteBoldChar"/>
          <w:rtl/>
        </w:rPr>
        <w:t>الوافي</w:t>
      </w:r>
      <w:r w:rsidR="00744A1C">
        <w:rPr>
          <w:rtl/>
          <w:lang w:bidi="fa-IR"/>
        </w:rPr>
        <w:t xml:space="preserve"> ، ج 14 ، ص 1309 ، ح 14320 ؛ </w:t>
      </w:r>
      <w:r w:rsidR="00744A1C" w:rsidRPr="00C24F9C">
        <w:rPr>
          <w:rStyle w:val="libFootnoteBoldChar"/>
          <w:rtl/>
        </w:rPr>
        <w:t>الوسائل</w:t>
      </w:r>
      <w:r w:rsidR="00744A1C">
        <w:rPr>
          <w:rtl/>
          <w:lang w:bidi="fa-IR"/>
        </w:rPr>
        <w:t xml:space="preserve"> ، ج 11 ، ص 449 ، ذيل ح 15230.</w:t>
      </w:r>
    </w:p>
    <w:p w:rsidR="00744A1C" w:rsidRDefault="00E378DD" w:rsidP="00E378DD">
      <w:pPr>
        <w:pStyle w:val="libFootnote0"/>
        <w:rPr>
          <w:lang w:bidi="fa-IR"/>
        </w:rPr>
      </w:pPr>
      <w:r>
        <w:rPr>
          <w:rtl/>
          <w:lang w:bidi="fa-IR"/>
        </w:rPr>
        <w:t>(7).</w:t>
      </w:r>
      <w:r w:rsidR="00744A1C">
        <w:rPr>
          <w:rtl/>
          <w:lang w:bidi="fa-IR"/>
        </w:rPr>
        <w:t xml:space="preserve"> هكذا في « ى ، بث ، بح ، بخ ، بس ، بف ، جد ، جر ، جن » </w:t>
      </w:r>
      <w:r w:rsidR="00744A1C" w:rsidRPr="00610FB4">
        <w:rPr>
          <w:rtl/>
        </w:rPr>
        <w:t>والوسائل والبحار.</w:t>
      </w:r>
      <w:r w:rsidR="00744A1C">
        <w:rPr>
          <w:rtl/>
          <w:lang w:bidi="fa-IR"/>
        </w:rPr>
        <w:t xml:space="preserve"> وفي المطبوع : + « عن أبيه ».</w:t>
      </w:r>
    </w:p>
    <w:p w:rsidR="00744A1C" w:rsidRDefault="00744A1C" w:rsidP="00D10E3C">
      <w:pPr>
        <w:pStyle w:val="libFootnote0"/>
        <w:rPr>
          <w:lang w:bidi="fa-IR"/>
        </w:rPr>
      </w:pPr>
      <w:r>
        <w:rPr>
          <w:rtl/>
          <w:lang w:bidi="fa-IR"/>
        </w:rPr>
        <w:t xml:space="preserve">والصواب ما أثبتناه ؛ فإنّ عليّ بن محمّد بن شيرة ، هو عليّ بن محمّد القاساني ، وقد تكرّرت رواية عليّ بن إبراهيم عنه مباشرةً ، ولم يثبت توسّط أبيه بينه وبين عليّ بن محمّد القاساني. راجع : </w:t>
      </w:r>
      <w:r w:rsidRPr="003A7143">
        <w:rPr>
          <w:rStyle w:val="libFootnoteBoldChar"/>
          <w:rtl/>
        </w:rPr>
        <w:t>رجال النجاشي</w:t>
      </w:r>
      <w:r>
        <w:rPr>
          <w:rtl/>
          <w:lang w:bidi="fa-IR"/>
        </w:rPr>
        <w:t xml:space="preserve"> ، ص 255 ، الرقم 669 ؛ </w:t>
      </w:r>
      <w:r w:rsidRPr="0061079A">
        <w:rPr>
          <w:rStyle w:val="libFootnoteBoldChar"/>
          <w:rtl/>
        </w:rPr>
        <w:t>معجم رجال الحديث</w:t>
      </w:r>
      <w:r>
        <w:rPr>
          <w:rtl/>
          <w:lang w:bidi="fa-IR"/>
        </w:rPr>
        <w:t xml:space="preserve"> ، ج 11 ، ص 476 - 477.</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كَتَبْتُ إِلَيْهِ أَسْأَلُهُ عَنِ الْمَيِّتِ يَمُوتُ بِعَرَفَاتٍ </w:t>
      </w:r>
      <w:r w:rsidRPr="00D10E3C">
        <w:rPr>
          <w:rStyle w:val="libFootnotenumChar"/>
          <w:rtl/>
        </w:rPr>
        <w:t>(1)</w:t>
      </w:r>
      <w:r>
        <w:rPr>
          <w:rtl/>
          <w:lang w:bidi="fa-IR"/>
        </w:rPr>
        <w:t xml:space="preserve"> : يُدْفَنُ </w:t>
      </w:r>
      <w:r w:rsidRPr="00D10E3C">
        <w:rPr>
          <w:rStyle w:val="libFootnotenumChar"/>
          <w:rtl/>
        </w:rPr>
        <w:t>(2)</w:t>
      </w:r>
      <w:r>
        <w:rPr>
          <w:rtl/>
          <w:lang w:bidi="fa-IR"/>
        </w:rPr>
        <w:t xml:space="preserve"> بِعَرَفَاتٍ </w:t>
      </w:r>
      <w:r w:rsidRPr="00D10E3C">
        <w:rPr>
          <w:rStyle w:val="libFootnotenumChar"/>
          <w:rtl/>
        </w:rPr>
        <w:t>(3)</w:t>
      </w:r>
      <w:r>
        <w:rPr>
          <w:rtl/>
          <w:lang w:bidi="fa-IR"/>
        </w:rPr>
        <w:t xml:space="preserve"> ، أَوْ يُنْقَلُ إِلَى الْحَرَمِ؟ فَأَيُّهُمَا أَفْضَلُ؟</w:t>
      </w:r>
    </w:p>
    <w:p w:rsidR="00144FA6" w:rsidRDefault="00744A1C" w:rsidP="00744A1C">
      <w:pPr>
        <w:pStyle w:val="libNormal"/>
        <w:rPr>
          <w:rtl/>
          <w:lang w:bidi="fa-IR"/>
        </w:rPr>
      </w:pPr>
      <w:r>
        <w:rPr>
          <w:rtl/>
          <w:lang w:bidi="fa-IR"/>
        </w:rPr>
        <w:t xml:space="preserve">فَكَتَبَ </w:t>
      </w:r>
      <w:r w:rsidRPr="00D10E3C">
        <w:rPr>
          <w:rStyle w:val="libFootnotenumChar"/>
          <w:rtl/>
        </w:rPr>
        <w:t>(4)</w:t>
      </w:r>
      <w:r>
        <w:rPr>
          <w:rtl/>
          <w:lang w:bidi="fa-IR"/>
        </w:rPr>
        <w:t xml:space="preserve"> : « يُحْمَلُ إِلَى الْحَرَمِ وَيُدْفَنُ ، فَهُوَ أَفْضَلُ ». </w:t>
      </w:r>
      <w:r w:rsidRPr="00D10E3C">
        <w:rPr>
          <w:rStyle w:val="libFootnotenumChar"/>
          <w:rtl/>
        </w:rPr>
        <w:t>(5)</w:t>
      </w:r>
    </w:p>
    <w:p w:rsidR="00144FA6" w:rsidRDefault="00744A1C" w:rsidP="00744A1C">
      <w:pPr>
        <w:pStyle w:val="libNormal"/>
        <w:rPr>
          <w:rtl/>
          <w:lang w:bidi="fa-IR"/>
        </w:rPr>
      </w:pPr>
      <w:r>
        <w:rPr>
          <w:rtl/>
          <w:lang w:bidi="fa-IR"/>
        </w:rPr>
        <w:t>8066 / 15. حُمَيْدُ بْنُ زِيَادٍ ، عَنِ ابْنِ سَمَاعَةَ ، عَنْ غَيْرِ وَاحِدٍ ، عَنْ أَبَانٍ ، عَنْ أَبِي بَصِيرٍ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جَلَّ ثَنَاؤُهُ : </w:t>
      </w:r>
      <w:r w:rsidRPr="00610FB4">
        <w:rPr>
          <w:rStyle w:val="libAlaemChar"/>
          <w:rtl/>
        </w:rPr>
        <w:t>(</w:t>
      </w:r>
      <w:r w:rsidRPr="00610FB4">
        <w:rPr>
          <w:rStyle w:val="libAieChar"/>
          <w:rtl/>
        </w:rPr>
        <w:t xml:space="preserve"> ثُمَّ لْيَقْضُوا تَفَثَهُمْ </w:t>
      </w:r>
      <w:r w:rsidRPr="00610FB4">
        <w:rPr>
          <w:rStyle w:val="libAlaemChar"/>
          <w:rtl/>
        </w:rPr>
        <w:t>)</w:t>
      </w:r>
      <w:r>
        <w:rPr>
          <w:rtl/>
          <w:lang w:bidi="fa-IR"/>
        </w:rPr>
        <w:t xml:space="preserve"> </w:t>
      </w:r>
      <w:r w:rsidRPr="00D10E3C">
        <w:rPr>
          <w:rStyle w:val="libFootnotenumChar"/>
          <w:rtl/>
        </w:rPr>
        <w:t>(6)</w:t>
      </w:r>
      <w:r>
        <w:rPr>
          <w:rtl/>
          <w:lang w:bidi="fa-IR"/>
        </w:rPr>
        <w:t xml:space="preserve"> قَالَ : « هُوَ </w:t>
      </w:r>
      <w:r w:rsidRPr="00D10E3C">
        <w:rPr>
          <w:rStyle w:val="libFootnotenumChar"/>
          <w:rtl/>
        </w:rPr>
        <w:t>(7)</w:t>
      </w:r>
      <w:r>
        <w:rPr>
          <w:rtl/>
          <w:lang w:bidi="fa-IR"/>
        </w:rPr>
        <w:t xml:space="preserve"> مَا يَكُونُ مِنَ الرَّجُلِ فِي </w:t>
      </w:r>
      <w:r w:rsidRPr="00D10E3C">
        <w:rPr>
          <w:rStyle w:val="libFootnotenumChar"/>
          <w:rtl/>
        </w:rPr>
        <w:t>(8)</w:t>
      </w:r>
      <w:r>
        <w:rPr>
          <w:rtl/>
          <w:lang w:bidi="fa-IR"/>
        </w:rPr>
        <w:t xml:space="preserve"> إِحْرَامِهِ ، فَإِذَا دَخَلَ مَكَّةَ </w:t>
      </w:r>
      <w:r w:rsidRPr="00D10E3C">
        <w:rPr>
          <w:rStyle w:val="libFootnotenumChar"/>
          <w:rtl/>
        </w:rPr>
        <w:t>(9)</w:t>
      </w:r>
      <w:r>
        <w:rPr>
          <w:rtl/>
          <w:lang w:bidi="fa-IR"/>
        </w:rPr>
        <w:t xml:space="preserve"> ، فَتَكَلَّمَ </w:t>
      </w:r>
      <w:r w:rsidRPr="00D10E3C">
        <w:rPr>
          <w:rStyle w:val="libFootnotenumChar"/>
          <w:rtl/>
        </w:rPr>
        <w:t>(10)</w:t>
      </w:r>
      <w:r>
        <w:rPr>
          <w:rtl/>
          <w:lang w:bidi="fa-IR"/>
        </w:rPr>
        <w:t xml:space="preserve"> بِكَلَامٍ طَيِّبٍ </w:t>
      </w:r>
      <w:r w:rsidRPr="00D10E3C">
        <w:rPr>
          <w:rStyle w:val="libFootnotenumChar"/>
          <w:rtl/>
        </w:rPr>
        <w:t>(11)</w:t>
      </w:r>
      <w:r>
        <w:rPr>
          <w:rtl/>
          <w:lang w:bidi="fa-IR"/>
        </w:rPr>
        <w:t xml:space="preserve"> ، كَانَ ذلِكَ كَفَّارَةً لِذلِكَ الَّذِي كَانَ مِنْهُ ». </w:t>
      </w:r>
      <w:r w:rsidRPr="00D10E3C">
        <w:rPr>
          <w:rStyle w:val="libFootnotenumChar"/>
          <w:rtl/>
        </w:rPr>
        <w:t>(12)</w:t>
      </w:r>
    </w:p>
    <w:p w:rsidR="00144FA6" w:rsidRDefault="00744A1C" w:rsidP="00744A1C">
      <w:pPr>
        <w:pStyle w:val="libNormal"/>
        <w:rPr>
          <w:rtl/>
          <w:lang w:bidi="fa-IR"/>
        </w:rPr>
      </w:pPr>
      <w:r>
        <w:rPr>
          <w:rtl/>
          <w:lang w:bidi="fa-IR"/>
        </w:rPr>
        <w:t>8067 / 16. أَحْمَدُ بْنُ مُحَمَّدٍ ، عَمَّنْ حَدَّثَهُ ، عَنْ مُحَمَّدِ بْنِ الْحُسَيْنِ ، عَنْ وُهَيْبِ بْنِ حَفْصٍ ، عَنْ أَبِي بَصِيرٍ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 بمنى أو بعرفات ؛ الوهم منّي » بدل « بعرفات ».</w:t>
      </w:r>
    </w:p>
    <w:p w:rsidR="00744A1C" w:rsidRDefault="00E378DD" w:rsidP="00E378DD">
      <w:pPr>
        <w:pStyle w:val="libFootnote0"/>
        <w:rPr>
          <w:lang w:bidi="fa-IR"/>
        </w:rPr>
      </w:pPr>
      <w:r>
        <w:rPr>
          <w:rtl/>
          <w:lang w:bidi="fa-IR"/>
        </w:rPr>
        <w:t>(2).</w:t>
      </w:r>
      <w:r w:rsidR="00744A1C">
        <w:rPr>
          <w:rtl/>
          <w:lang w:bidi="fa-IR"/>
        </w:rPr>
        <w:t xml:space="preserve"> في « جن » : « أيدفن ».</w:t>
      </w:r>
    </w:p>
    <w:p w:rsidR="00744A1C" w:rsidRDefault="00E378DD" w:rsidP="00E378DD">
      <w:pPr>
        <w:pStyle w:val="libFootnote0"/>
        <w:rPr>
          <w:lang w:bidi="fa-IR"/>
        </w:rPr>
      </w:pPr>
      <w:r>
        <w:rPr>
          <w:rtl/>
          <w:lang w:bidi="fa-IR"/>
        </w:rPr>
        <w:t>(3).</w:t>
      </w:r>
      <w:r w:rsidR="00744A1C">
        <w:rPr>
          <w:rtl/>
          <w:lang w:bidi="fa-IR"/>
        </w:rPr>
        <w:t xml:space="preserve"> في « بث ، بس » : - « بعرفات ».</w:t>
      </w:r>
    </w:p>
    <w:p w:rsidR="00744A1C" w:rsidRDefault="00E378DD" w:rsidP="00E378DD">
      <w:pPr>
        <w:pStyle w:val="libFootnote0"/>
        <w:rPr>
          <w:lang w:bidi="fa-IR"/>
        </w:rPr>
      </w:pPr>
      <w:r>
        <w:rPr>
          <w:rtl/>
          <w:lang w:bidi="fa-IR"/>
        </w:rPr>
        <w:t>(4).</w:t>
      </w:r>
      <w:r w:rsidR="00744A1C">
        <w:rPr>
          <w:rtl/>
          <w:lang w:bidi="fa-IR"/>
        </w:rPr>
        <w:t xml:space="preserve"> في « بح » : + « إليّ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465 ، ح 1624 ، بسنده عن عليّ بن سليمان </w:t>
      </w:r>
      <w:r w:rsidR="00610FB4">
        <w:rPr>
          <w:rFonts w:hint="cs"/>
          <w:rtl/>
          <w:lang w:bidi="fa-IR"/>
        </w:rPr>
        <w:t>.</w:t>
      </w:r>
      <w:r w:rsidR="00744A1C" w:rsidRPr="00C24F9C">
        <w:rPr>
          <w:rStyle w:val="libFootnoteBoldChar"/>
          <w:rtl/>
        </w:rPr>
        <w:t>الوافي</w:t>
      </w:r>
      <w:r w:rsidR="00744A1C">
        <w:rPr>
          <w:rtl/>
          <w:lang w:bidi="fa-IR"/>
        </w:rPr>
        <w:t xml:space="preserve"> ، ج 12 ، ص 42 ، ح 11471 ؛ وج 25 ، ص 591 ، ح 24739 ؛ </w:t>
      </w:r>
      <w:r w:rsidR="00744A1C" w:rsidRPr="00C24F9C">
        <w:rPr>
          <w:rStyle w:val="libFootnoteBoldChar"/>
          <w:rtl/>
        </w:rPr>
        <w:t>الوسائل</w:t>
      </w:r>
      <w:r w:rsidR="00744A1C">
        <w:rPr>
          <w:rtl/>
          <w:lang w:bidi="fa-IR"/>
        </w:rPr>
        <w:t xml:space="preserve"> ، ج 13 ، ص 287 ، ح 17763 ؛ </w:t>
      </w:r>
      <w:r w:rsidR="00744A1C" w:rsidRPr="0061079A">
        <w:rPr>
          <w:rStyle w:val="libFootnoteBoldChar"/>
          <w:rtl/>
        </w:rPr>
        <w:t>البحار</w:t>
      </w:r>
      <w:r w:rsidR="00744A1C">
        <w:rPr>
          <w:rtl/>
          <w:lang w:bidi="fa-IR"/>
        </w:rPr>
        <w:t xml:space="preserve"> ، ج 82 ، ص 66 ، ح 2.</w:t>
      </w:r>
    </w:p>
    <w:p w:rsidR="00744A1C" w:rsidRDefault="00E378DD" w:rsidP="00E378DD">
      <w:pPr>
        <w:pStyle w:val="libFootnote0"/>
        <w:rPr>
          <w:lang w:bidi="fa-IR"/>
        </w:rPr>
      </w:pPr>
      <w:r>
        <w:rPr>
          <w:rtl/>
          <w:lang w:bidi="fa-IR"/>
        </w:rPr>
        <w:t>(6).</w:t>
      </w:r>
      <w:r w:rsidR="00744A1C">
        <w:rPr>
          <w:rtl/>
          <w:lang w:bidi="fa-IR"/>
        </w:rPr>
        <w:t xml:space="preserve"> الحجّ (22) : 29. وقال الراغب : « أصل التَفَث : وسخ الظفر وغير ذلك ممّا شابه أن يزال عن البدن ». ثمّ قال : </w:t>
      </w:r>
      <w:r w:rsidR="00744A1C" w:rsidRPr="002D57AD">
        <w:rPr>
          <w:rStyle w:val="libFootnoteAlaemChar"/>
          <w:rtl/>
        </w:rPr>
        <w:t>(</w:t>
      </w:r>
      <w:r w:rsidR="00744A1C" w:rsidRPr="002D57AD">
        <w:rPr>
          <w:rStyle w:val="libFootnoteAieChar"/>
          <w:rtl/>
        </w:rPr>
        <w:t xml:space="preserve"> لْيَقْضُوا تَفَثَهُمْ </w:t>
      </w:r>
      <w:r w:rsidR="00744A1C" w:rsidRPr="002D57AD">
        <w:rPr>
          <w:rStyle w:val="libFootnoteAlaemChar"/>
          <w:rtl/>
        </w:rPr>
        <w:t>)</w:t>
      </w:r>
      <w:r w:rsidR="00744A1C">
        <w:rPr>
          <w:rtl/>
          <w:lang w:bidi="fa-IR"/>
        </w:rPr>
        <w:t xml:space="preserve"> ، أي يزيلوا وسخهم ». وقال ابن الأثير</w:t>
      </w:r>
      <w:r w:rsidR="002D57AD">
        <w:rPr>
          <w:rtl/>
          <w:lang w:bidi="fa-IR"/>
        </w:rPr>
        <w:t xml:space="preserve"> : « التَفَثُ : هو ما يفعله الم</w:t>
      </w:r>
      <w:r w:rsidR="002D57AD">
        <w:rPr>
          <w:rFonts w:hint="cs"/>
          <w:rtl/>
          <w:lang w:bidi="fa-IR"/>
        </w:rPr>
        <w:t>ـُ</w:t>
      </w:r>
      <w:r w:rsidR="00744A1C">
        <w:rPr>
          <w:rtl/>
          <w:lang w:bidi="fa-IR"/>
        </w:rPr>
        <w:t xml:space="preserve">حْرم بالحجّ إذا حلّ كقصّ الشارب والأظفار ». </w:t>
      </w:r>
      <w:r w:rsidR="00744A1C" w:rsidRPr="002D57AD">
        <w:rPr>
          <w:rStyle w:val="libFootnoteBoldChar"/>
          <w:rtl/>
        </w:rPr>
        <w:t>المفردات للراغب</w:t>
      </w:r>
      <w:r w:rsidR="00744A1C">
        <w:rPr>
          <w:rtl/>
          <w:lang w:bidi="fa-IR"/>
        </w:rPr>
        <w:t xml:space="preserve"> ، ص 165 ؛ </w:t>
      </w:r>
      <w:r w:rsidR="00744A1C" w:rsidRPr="00877682">
        <w:rPr>
          <w:rStyle w:val="libFootnoteBoldChar"/>
          <w:rtl/>
        </w:rPr>
        <w:t>النهاية</w:t>
      </w:r>
      <w:r w:rsidR="00744A1C">
        <w:rPr>
          <w:rtl/>
          <w:lang w:bidi="fa-IR"/>
        </w:rPr>
        <w:t xml:space="preserve"> ، ج 1 ، ص 191 ( تفث ).</w:t>
      </w:r>
    </w:p>
    <w:tbl>
      <w:tblPr>
        <w:tblStyle w:val="TableGrid"/>
        <w:bidiVisual/>
        <w:tblW w:w="0" w:type="auto"/>
        <w:tblLook w:val="04A0" w:firstRow="1" w:lastRow="0" w:firstColumn="1" w:lastColumn="0" w:noHBand="0" w:noVBand="1"/>
      </w:tblPr>
      <w:tblGrid>
        <w:gridCol w:w="4006"/>
        <w:gridCol w:w="4006"/>
      </w:tblGrid>
      <w:tr w:rsidR="002D57AD" w:rsidTr="002D57AD">
        <w:tc>
          <w:tcPr>
            <w:tcW w:w="4006" w:type="dxa"/>
          </w:tcPr>
          <w:p w:rsidR="002D57AD" w:rsidRDefault="002D57AD" w:rsidP="00E378DD">
            <w:pPr>
              <w:pStyle w:val="libFootnote0"/>
              <w:rPr>
                <w:rtl/>
                <w:lang w:bidi="fa-IR"/>
              </w:rPr>
            </w:pPr>
            <w:r>
              <w:rPr>
                <w:rtl/>
                <w:lang w:bidi="fa-IR"/>
              </w:rPr>
              <w:t xml:space="preserve">(7). في </w:t>
            </w:r>
            <w:r w:rsidRPr="002D57AD">
              <w:rPr>
                <w:rtl/>
              </w:rPr>
              <w:t>الوافي</w:t>
            </w:r>
            <w:r>
              <w:rPr>
                <w:rtl/>
                <w:lang w:bidi="fa-IR"/>
              </w:rPr>
              <w:t xml:space="preserve"> : - « هو ».</w:t>
            </w:r>
          </w:p>
        </w:tc>
        <w:tc>
          <w:tcPr>
            <w:tcW w:w="4006" w:type="dxa"/>
          </w:tcPr>
          <w:p w:rsidR="002D57AD" w:rsidRDefault="002D57AD" w:rsidP="00E378DD">
            <w:pPr>
              <w:pStyle w:val="libFootnote0"/>
              <w:rPr>
                <w:rtl/>
                <w:lang w:bidi="fa-IR"/>
              </w:rPr>
            </w:pPr>
            <w:r>
              <w:rPr>
                <w:rtl/>
                <w:lang w:bidi="fa-IR"/>
              </w:rPr>
              <w:t xml:space="preserve">(8). في </w:t>
            </w:r>
            <w:r w:rsidRPr="00C24F9C">
              <w:rPr>
                <w:rStyle w:val="libFootnoteBoldChar"/>
                <w:rtl/>
              </w:rPr>
              <w:t>الفقيه</w:t>
            </w:r>
            <w:r>
              <w:rPr>
                <w:rtl/>
                <w:lang w:bidi="fa-IR"/>
              </w:rPr>
              <w:t xml:space="preserve"> ، ح 3030والمعاني ، ح 5:+«حال».</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2D57AD">
        <w:rPr>
          <w:rtl/>
        </w:rPr>
        <w:t>الوافي والفقيه</w:t>
      </w:r>
      <w:r w:rsidR="00744A1C">
        <w:rPr>
          <w:rtl/>
          <w:lang w:bidi="fa-IR"/>
        </w:rPr>
        <w:t xml:space="preserve"> ، ح 3030 والمعاني ، ح 5 : + « وطاف ».</w:t>
      </w:r>
    </w:p>
    <w:p w:rsidR="00744A1C" w:rsidRDefault="00E378DD" w:rsidP="00E378DD">
      <w:pPr>
        <w:pStyle w:val="libFootnote0"/>
        <w:rPr>
          <w:lang w:bidi="fa-IR"/>
        </w:rPr>
      </w:pPr>
      <w:r>
        <w:rPr>
          <w:rtl/>
          <w:lang w:bidi="fa-IR"/>
        </w:rPr>
        <w:t>(10).</w:t>
      </w:r>
      <w:r w:rsidR="00744A1C">
        <w:rPr>
          <w:rtl/>
          <w:lang w:bidi="fa-IR"/>
        </w:rPr>
        <w:t xml:space="preserve"> في </w:t>
      </w:r>
      <w:r w:rsidR="00744A1C" w:rsidRPr="002D57AD">
        <w:rPr>
          <w:rtl/>
        </w:rPr>
        <w:t>الوافي</w:t>
      </w:r>
      <w:r w:rsidR="00744A1C">
        <w:rPr>
          <w:rtl/>
          <w:lang w:bidi="fa-IR"/>
        </w:rPr>
        <w:t xml:space="preserve"> : « وتكلّم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 « كأنّ المراد بالكلام الطيّب ما ذكر الله به في طوافه ».</w:t>
      </w:r>
    </w:p>
    <w:p w:rsidR="00744A1C" w:rsidRDefault="00E378DD" w:rsidP="00E378DD">
      <w:pPr>
        <w:pStyle w:val="libFootnote0"/>
        <w:rPr>
          <w:lang w:bidi="fa-IR"/>
        </w:rPr>
      </w:pPr>
      <w:r>
        <w:rPr>
          <w:rtl/>
          <w:lang w:bidi="fa-IR"/>
        </w:rPr>
        <w:t>(12).</w:t>
      </w:r>
      <w:r w:rsidR="00744A1C">
        <w:rPr>
          <w:rtl/>
          <w:lang w:bidi="fa-IR"/>
        </w:rPr>
        <w:t xml:space="preserve"> </w:t>
      </w:r>
      <w:r w:rsidR="00744A1C" w:rsidRPr="00610FB4">
        <w:rPr>
          <w:rStyle w:val="libFootnoteBoldChar"/>
          <w:rtl/>
        </w:rPr>
        <w:t>معاني الأخبار</w:t>
      </w:r>
      <w:r w:rsidR="00744A1C">
        <w:rPr>
          <w:rtl/>
          <w:lang w:bidi="fa-IR"/>
        </w:rPr>
        <w:t xml:space="preserve"> ، ص 339 ، ح 5 ، بسنده عن القاسم بن محمّد ، عن أبان بن عثمان ، عن أبي بصير. </w:t>
      </w:r>
      <w:r w:rsidR="00744A1C" w:rsidRPr="00C24F9C">
        <w:rPr>
          <w:rStyle w:val="libFootnoteBoldChar"/>
          <w:rtl/>
        </w:rPr>
        <w:t>الفقيه</w:t>
      </w:r>
      <w:r w:rsidR="00744A1C">
        <w:rPr>
          <w:rtl/>
          <w:lang w:bidi="fa-IR"/>
        </w:rPr>
        <w:t xml:space="preserve"> ، ج 2 ، ص 484 ، ح 3030 ، معلّقاً عن أبي بصير. وفي </w:t>
      </w:r>
      <w:r w:rsidR="00744A1C" w:rsidRPr="0061079A">
        <w:rPr>
          <w:rStyle w:val="libFootnoteBoldChar"/>
          <w:rtl/>
        </w:rPr>
        <w:t>الكافي</w:t>
      </w:r>
      <w:r w:rsidR="00744A1C">
        <w:rPr>
          <w:rtl/>
          <w:lang w:bidi="fa-IR"/>
        </w:rPr>
        <w:t xml:space="preserve"> ، كتاب الحجّ ، باب ما ينبغي تركه للمحرم من الجدال وغيره ، ضمن ح 7202 ؛ </w:t>
      </w:r>
      <w:r w:rsidR="00744A1C" w:rsidRPr="002D57AD">
        <w:rPr>
          <w:rStyle w:val="libFootnoteBoldChar"/>
          <w:rtl/>
        </w:rPr>
        <w:t>والفقيه</w:t>
      </w:r>
      <w:r w:rsidR="00744A1C">
        <w:rPr>
          <w:rtl/>
          <w:lang w:bidi="fa-IR"/>
        </w:rPr>
        <w:t xml:space="preserve"> ، ج 2 ، ص 333 ، ذيل ح 2593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339 ، ذيل ح 8 ، بسند آخر ، مع اختلاف </w:t>
      </w:r>
      <w:r w:rsidR="002D57AD">
        <w:rPr>
          <w:rFonts w:hint="cs"/>
          <w:rtl/>
          <w:lang w:bidi="fa-IR"/>
        </w:rPr>
        <w:t>.</w:t>
      </w:r>
      <w:r w:rsidR="00744A1C" w:rsidRPr="00C24F9C">
        <w:rPr>
          <w:rStyle w:val="libFootnoteBoldChar"/>
          <w:rtl/>
        </w:rPr>
        <w:t>الوافي</w:t>
      </w:r>
      <w:r w:rsidR="00744A1C">
        <w:rPr>
          <w:rtl/>
          <w:lang w:bidi="fa-IR"/>
        </w:rPr>
        <w:t xml:space="preserve"> ، ج 13 ، ص 666 ، ح 12883.</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الْقَائِمَ </w:t>
      </w:r>
      <w:r w:rsidR="0061079A" w:rsidRPr="0061079A">
        <w:rPr>
          <w:rStyle w:val="libAlaemChar"/>
          <w:rtl/>
        </w:rPr>
        <w:t>عليه‌السلام</w:t>
      </w:r>
      <w:r w:rsidR="00D10E3C">
        <w:rPr>
          <w:rtl/>
          <w:lang w:bidi="fa-IR"/>
        </w:rPr>
        <w:t xml:space="preserve"> </w:t>
      </w:r>
      <w:r>
        <w:rPr>
          <w:rtl/>
          <w:lang w:bidi="fa-IR"/>
        </w:rPr>
        <w:t xml:space="preserve">إِذَا قَامَ ، رَدَّ الْبَيْتَ الْحَرَامَ إِلى أَسَاسِهِ ، وَمَسْجِدَ الرَّسُولِ إِلى أَسَاسِهِ ، وَمَسْجِدَ الْكُوفَةِ إِلى أَسَاسِهِ </w:t>
      </w:r>
      <w:r w:rsidRPr="00D10E3C">
        <w:rPr>
          <w:rStyle w:val="libFootnotenumChar"/>
          <w:rtl/>
        </w:rPr>
        <w:t>(1)</w:t>
      </w:r>
      <w:r>
        <w:rPr>
          <w:rtl/>
          <w:lang w:bidi="fa-IR"/>
        </w:rPr>
        <w:t xml:space="preserve"> ».</w:t>
      </w:r>
    </w:p>
    <w:p w:rsidR="00144FA6" w:rsidRDefault="00744A1C" w:rsidP="00744A1C">
      <w:pPr>
        <w:pStyle w:val="libNormal"/>
        <w:rPr>
          <w:rtl/>
          <w:lang w:bidi="fa-IR"/>
        </w:rPr>
      </w:pPr>
      <w:r>
        <w:rPr>
          <w:rtl/>
          <w:lang w:bidi="fa-IR"/>
        </w:rPr>
        <w:t xml:space="preserve">وَقَالَ أَبُو بَصِيرٍ : إِلى </w:t>
      </w:r>
      <w:r w:rsidRPr="00D10E3C">
        <w:rPr>
          <w:rStyle w:val="libFootnotenumChar"/>
          <w:rtl/>
        </w:rPr>
        <w:t>(2)</w:t>
      </w:r>
      <w:r>
        <w:rPr>
          <w:rtl/>
          <w:lang w:bidi="fa-IR"/>
        </w:rPr>
        <w:t xml:space="preserve"> مَوْضِعِ التَّمَّارِينَ مِنَ الْمَسْجِدِ. </w:t>
      </w:r>
      <w:r w:rsidRPr="00D10E3C">
        <w:rPr>
          <w:rStyle w:val="libFootnotenumChar"/>
          <w:rtl/>
        </w:rPr>
        <w:t>(3)</w:t>
      </w:r>
    </w:p>
    <w:p w:rsidR="00144FA6" w:rsidRDefault="00744A1C" w:rsidP="00744A1C">
      <w:pPr>
        <w:pStyle w:val="libNormal"/>
        <w:rPr>
          <w:rtl/>
          <w:lang w:bidi="fa-IR"/>
        </w:rPr>
      </w:pPr>
      <w:r>
        <w:rPr>
          <w:rtl/>
          <w:lang w:bidi="fa-IR"/>
        </w:rPr>
        <w:t>8068 / 17. عَلِيُّ بْنُ إِبْرَاهِيمَ ، عَنْ أَبِيهِ ، عَنْ عَبْدِ الرَّحْمنِ بْنِ حَمَّادٍ ، عَنْ إِبْرَاهِيمَ بْنِ عَبْدِ الْحَمِيدِ ، قَالَ :</w:t>
      </w:r>
    </w:p>
    <w:p w:rsidR="00144FA6" w:rsidRDefault="00744A1C" w:rsidP="00744A1C">
      <w:pPr>
        <w:pStyle w:val="libNormal"/>
        <w:rPr>
          <w:rtl/>
          <w:lang w:bidi="fa-IR"/>
        </w:rPr>
      </w:pPr>
      <w:r>
        <w:rPr>
          <w:rtl/>
          <w:lang w:bidi="fa-IR"/>
        </w:rPr>
        <w:t xml:space="preserve">سَمِعْتُهُ يَقُولُ : « مَنْ خَرَجَ مِنَ الْحَرَمَيْنِ بَعْدَ ارْتِفَاعِ النَّهَارِ قَبْلَ أَنْ يُصَلِّيَ الظُّهْرَ وَالْعَصْرَ ، نُودِيَ مِنْ خَلْفِهِ : لَاصَحِبَكَ </w:t>
      </w:r>
      <w:r w:rsidRPr="00D10E3C">
        <w:rPr>
          <w:rStyle w:val="libFootnotenumChar"/>
          <w:rtl/>
        </w:rPr>
        <w:t>(4)</w:t>
      </w:r>
      <w:r>
        <w:rPr>
          <w:rtl/>
          <w:lang w:bidi="fa-IR"/>
        </w:rPr>
        <w:t xml:space="preserve"> اللهُ ». </w:t>
      </w:r>
      <w:r w:rsidRPr="00D10E3C">
        <w:rPr>
          <w:rStyle w:val="libFootnotenumChar"/>
          <w:rtl/>
        </w:rPr>
        <w:t>(5)</w:t>
      </w:r>
    </w:p>
    <w:p w:rsidR="00144FA6" w:rsidRDefault="00744A1C" w:rsidP="00744A1C">
      <w:pPr>
        <w:pStyle w:val="libNormal"/>
        <w:rPr>
          <w:rtl/>
          <w:lang w:bidi="fa-IR"/>
        </w:rPr>
      </w:pPr>
      <w:r>
        <w:rPr>
          <w:rtl/>
          <w:lang w:bidi="fa-IR"/>
        </w:rPr>
        <w:t>8069 / 18. مُحَمَّدُ بْنُ يَحْيى ، عَنْ بُنَانِ بْنِ مُحَمَّدٍ ، عَنْ مُوسَى بْنِ الْقَاسِمِ ، عَنْ عَلِيِّ بْنِ جَعْفَرٍ :</w:t>
      </w:r>
    </w:p>
    <w:p w:rsidR="00744A1C" w:rsidRDefault="00744A1C" w:rsidP="00744A1C">
      <w:pPr>
        <w:pStyle w:val="libNormal"/>
        <w:rPr>
          <w:lang w:bidi="fa-IR"/>
        </w:rPr>
      </w:pPr>
      <w:r>
        <w:rPr>
          <w:rtl/>
          <w:lang w:bidi="fa-IR"/>
        </w:rPr>
        <w:t xml:space="preserve">عَنْ أَخِيهِ أَبِي الْحَسَنِ </w:t>
      </w:r>
      <w:r w:rsidR="0061079A" w:rsidRPr="0061079A">
        <w:rPr>
          <w:rStyle w:val="libAlaemChar"/>
          <w:rtl/>
        </w:rPr>
        <w:t>عليه‌السلام</w:t>
      </w:r>
      <w:r w:rsidR="00D10E3C">
        <w:rPr>
          <w:rtl/>
          <w:lang w:bidi="fa-IR"/>
        </w:rPr>
        <w:t xml:space="preserve"> </w:t>
      </w:r>
      <w:r>
        <w:rPr>
          <w:rtl/>
          <w:lang w:bidi="fa-IR"/>
        </w:rPr>
        <w:t xml:space="preserve">، قَالَ : سَأَلْتُهُ عَنْ رَجُلٍ جَعَلَ </w:t>
      </w:r>
      <w:r w:rsidRPr="00D10E3C">
        <w:rPr>
          <w:rStyle w:val="libFootnotenumChar"/>
          <w:rtl/>
        </w:rPr>
        <w:t>(6)</w:t>
      </w:r>
      <w:r>
        <w:rPr>
          <w:rtl/>
          <w:lang w:bidi="fa-IR"/>
        </w:rPr>
        <w:t xml:space="preserve"> جَارِيَتَهُ هَدْياً لِلْكَعْبَةِ : كَيْفَ يَصْنَعُ؟</w:t>
      </w:r>
    </w:p>
    <w:p w:rsidR="00744A1C" w:rsidRDefault="00744A1C" w:rsidP="00744A1C">
      <w:pPr>
        <w:pStyle w:val="libNormal"/>
        <w:rPr>
          <w:lang w:bidi="fa-IR"/>
        </w:rPr>
      </w:pPr>
      <w:r>
        <w:rPr>
          <w:rtl/>
          <w:lang w:bidi="fa-IR"/>
        </w:rPr>
        <w:t xml:space="preserve">فَقَالَ : « إِنَّ أَبِي أَتَاهُ رَجُلٌ قَدْ جَعَلَ جَارِيَتَهُ هَدْياً لِلْكَعْبَةِ ، فَقَالَ لَهُ : قَوِّمِ الْجَارِيَةَ أَوْ بِعْهَا ، ثُمَّ مُرْ مُنَادِياً يَقُومُ عَلَى الْحِجْرِ ، فَيُنَادِي : أَلَا مَنْ قَصُرَتْ بِهِ نَفَقَتُهُ ، أَوْ قُطِعَ بِهِ </w:t>
      </w:r>
      <w:r w:rsidRPr="00D10E3C">
        <w:rPr>
          <w:rStyle w:val="libFootnotenumChar"/>
          <w:rtl/>
        </w:rPr>
        <w:t>(7)</w:t>
      </w:r>
      <w:r>
        <w:rPr>
          <w:rtl/>
          <w:lang w:bidi="fa-IR"/>
        </w:rPr>
        <w:t xml:space="preserve"> ، أَوْ‌</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2D57AD">
        <w:rPr>
          <w:rtl/>
        </w:rPr>
        <w:t>التهذيب</w:t>
      </w:r>
      <w:r w:rsidR="00744A1C">
        <w:rPr>
          <w:rtl/>
          <w:lang w:bidi="fa-IR"/>
        </w:rPr>
        <w:t xml:space="preserve"> : « وردّ المسجد رسول الله </w:t>
      </w:r>
      <w:r w:rsidR="00F90866" w:rsidRPr="00F90866">
        <w:rPr>
          <w:rStyle w:val="libFootnoteAlaemChar"/>
          <w:rtl/>
        </w:rPr>
        <w:t>صلى‌الله‌عليه‌وآله</w:t>
      </w:r>
      <w:r w:rsidR="00744A1C">
        <w:rPr>
          <w:rtl/>
          <w:lang w:bidi="fa-IR"/>
        </w:rPr>
        <w:t>إلى أساسه ، وردّ المسجد الكوفة إلى أساسه ».</w:t>
      </w:r>
    </w:p>
    <w:p w:rsidR="00744A1C" w:rsidRDefault="00E378DD" w:rsidP="00E378DD">
      <w:pPr>
        <w:pStyle w:val="libFootnote0"/>
        <w:rPr>
          <w:lang w:bidi="fa-IR"/>
        </w:rPr>
      </w:pPr>
      <w:r>
        <w:rPr>
          <w:rtl/>
          <w:lang w:bidi="fa-IR"/>
        </w:rPr>
        <w:t>(2).</w:t>
      </w:r>
      <w:r w:rsidR="00744A1C">
        <w:rPr>
          <w:rtl/>
          <w:lang w:bidi="fa-IR"/>
        </w:rPr>
        <w:t xml:space="preserve"> في </w:t>
      </w:r>
      <w:r w:rsidR="00744A1C" w:rsidRPr="002D57AD">
        <w:rPr>
          <w:rtl/>
        </w:rPr>
        <w:t>التهذيب</w:t>
      </w:r>
      <w:r w:rsidR="00744A1C">
        <w:rPr>
          <w:rtl/>
          <w:lang w:bidi="fa-IR"/>
        </w:rPr>
        <w:t xml:space="preserve"> : - « إلى ».</w:t>
      </w:r>
    </w:p>
    <w:p w:rsidR="00744A1C" w:rsidRDefault="00E378DD" w:rsidP="002D57A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5 ، ص 452 ، ح 1756 ، معلّقاً عن الكليني. </w:t>
      </w:r>
      <w:r w:rsidR="00744A1C" w:rsidRPr="002D57AD">
        <w:rPr>
          <w:rStyle w:val="libFootnoteBoldChar"/>
          <w:rtl/>
        </w:rPr>
        <w:t>الغيبة للطوسي</w:t>
      </w:r>
      <w:r w:rsidR="00744A1C">
        <w:rPr>
          <w:rtl/>
          <w:lang w:bidi="fa-IR"/>
        </w:rPr>
        <w:t xml:space="preserve"> ، ص 472 ، بسنده عن أبي بصير ، إلى قوله : « ومسجد الرسول إلى أساسه » مع اختلاف يسير وزيادة في آخره. </w:t>
      </w:r>
      <w:r w:rsidR="00744A1C" w:rsidRPr="002D57AD">
        <w:rPr>
          <w:rStyle w:val="libFootnoteBoldChar"/>
          <w:rtl/>
        </w:rPr>
        <w:t>الإرشاد</w:t>
      </w:r>
      <w:r w:rsidR="00744A1C">
        <w:rPr>
          <w:rtl/>
          <w:lang w:bidi="fa-IR"/>
        </w:rPr>
        <w:t xml:space="preserve"> ، ج 2 ، ص 383 ، مرسلاً عن أبي بصير ، وتمام الرواية فيه : « إذا قام القائم </w:t>
      </w:r>
      <w:r w:rsidR="0061079A" w:rsidRPr="0061079A">
        <w:rPr>
          <w:rStyle w:val="libFootnoteAlaemChar"/>
          <w:rtl/>
        </w:rPr>
        <w:t>عليه‌السلام</w:t>
      </w:r>
      <w:r w:rsidR="00D10E3C">
        <w:rPr>
          <w:rtl/>
          <w:lang w:bidi="fa-IR"/>
        </w:rPr>
        <w:t xml:space="preserve"> </w:t>
      </w:r>
      <w:r w:rsidR="00744A1C">
        <w:rPr>
          <w:rtl/>
          <w:lang w:bidi="fa-IR"/>
        </w:rPr>
        <w:t xml:space="preserve">هدم المسجد الحرام حتّى يردّه إلى أساسه » مع زيادة في آخره. وراجع : </w:t>
      </w:r>
      <w:r w:rsidR="00744A1C" w:rsidRPr="0061079A">
        <w:rPr>
          <w:rStyle w:val="libFootnoteBoldChar"/>
          <w:rtl/>
        </w:rPr>
        <w:t>الكافي</w:t>
      </w:r>
      <w:r w:rsidR="00744A1C">
        <w:rPr>
          <w:rtl/>
          <w:lang w:bidi="fa-IR"/>
        </w:rPr>
        <w:t xml:space="preserve"> ، كتاب الصلاة ، باب فضل المسجد الأعظم بالكوفة ، ح 5709 </w:t>
      </w:r>
      <w:r w:rsidR="002D57AD">
        <w:rPr>
          <w:rFonts w:hint="cs"/>
          <w:rtl/>
          <w:lang w:bidi="fa-IR"/>
        </w:rPr>
        <w:t>.</w:t>
      </w:r>
      <w:r w:rsidR="00744A1C" w:rsidRPr="00C24F9C">
        <w:rPr>
          <w:rStyle w:val="libFootnoteBoldChar"/>
          <w:rtl/>
        </w:rPr>
        <w:t>الوافي</w:t>
      </w:r>
      <w:r w:rsidR="00744A1C">
        <w:rPr>
          <w:rtl/>
          <w:lang w:bidi="fa-IR"/>
        </w:rPr>
        <w:t xml:space="preserve"> ، ج 12 ، ص 64 ، ح 11512.</w:t>
      </w:r>
      <w:r w:rsidR="002D57AD">
        <w:rPr>
          <w:rFonts w:hint="cs"/>
          <w:rtl/>
          <w:lang w:bidi="fa-IR"/>
        </w:rPr>
        <w:t xml:space="preserve">                             </w:t>
      </w:r>
      <w:r>
        <w:rPr>
          <w:rtl/>
          <w:lang w:bidi="fa-IR"/>
        </w:rPr>
        <w:t>(4).</w:t>
      </w:r>
      <w:r w:rsidR="00744A1C">
        <w:rPr>
          <w:rtl/>
          <w:lang w:bidi="fa-IR"/>
        </w:rPr>
        <w:t xml:space="preserve"> في حاشية « بح » : « لاصبحك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452 ، ح 1477 ، معلّقاً عن الكليني. </w:t>
      </w:r>
      <w:r w:rsidR="00744A1C" w:rsidRPr="002D57AD">
        <w:rPr>
          <w:rStyle w:val="libFootnoteBoldChar"/>
          <w:rtl/>
        </w:rPr>
        <w:t>وفيه</w:t>
      </w:r>
      <w:r w:rsidR="00744A1C">
        <w:rPr>
          <w:rtl/>
          <w:lang w:bidi="fa-IR"/>
        </w:rPr>
        <w:t xml:space="preserve"> ، ص 491 ، ح 1762 ، بسنده عن عبد الرحمن بن حمّاد </w:t>
      </w:r>
      <w:r w:rsidR="002D57AD">
        <w:rPr>
          <w:rFonts w:hint="cs"/>
          <w:rtl/>
          <w:lang w:bidi="fa-IR"/>
        </w:rPr>
        <w:t>.</w:t>
      </w:r>
      <w:r w:rsidR="00744A1C" w:rsidRPr="00C24F9C">
        <w:rPr>
          <w:rStyle w:val="libFootnoteBoldChar"/>
          <w:rtl/>
        </w:rPr>
        <w:t>الوافي</w:t>
      </w:r>
      <w:r w:rsidR="00744A1C">
        <w:rPr>
          <w:rtl/>
          <w:lang w:bidi="fa-IR"/>
        </w:rPr>
        <w:t xml:space="preserve"> ، ج 12 ، ص 44 ، ح 11476 ؛ </w:t>
      </w:r>
      <w:r w:rsidR="00744A1C" w:rsidRPr="00C24F9C">
        <w:rPr>
          <w:rStyle w:val="libFootnoteBoldChar"/>
          <w:rtl/>
        </w:rPr>
        <w:t>الوسائل</w:t>
      </w:r>
      <w:r w:rsidR="00744A1C">
        <w:rPr>
          <w:rtl/>
          <w:lang w:bidi="fa-IR"/>
        </w:rPr>
        <w:t xml:space="preserve"> ، ج 13 ، ص 286 ، ح 17761.</w:t>
      </w:r>
    </w:p>
    <w:p w:rsidR="00744A1C" w:rsidRDefault="00E378DD" w:rsidP="00E378DD">
      <w:pPr>
        <w:pStyle w:val="libFootnote0"/>
        <w:rPr>
          <w:lang w:bidi="fa-IR"/>
        </w:rPr>
      </w:pPr>
      <w:r>
        <w:rPr>
          <w:rtl/>
          <w:lang w:bidi="fa-IR"/>
        </w:rPr>
        <w:t>(6).</w:t>
      </w:r>
      <w:r w:rsidR="00744A1C">
        <w:rPr>
          <w:rtl/>
          <w:lang w:bidi="fa-IR"/>
        </w:rPr>
        <w:t xml:space="preserve"> في </w:t>
      </w:r>
      <w:r w:rsidR="00744A1C" w:rsidRPr="002D57AD">
        <w:rPr>
          <w:rtl/>
        </w:rPr>
        <w:t>التهذيب</w:t>
      </w:r>
      <w:r w:rsidR="00744A1C">
        <w:rPr>
          <w:rtl/>
          <w:lang w:bidi="fa-IR"/>
        </w:rPr>
        <w:t xml:space="preserve"> ، ج 9 </w:t>
      </w:r>
      <w:r w:rsidR="00744A1C" w:rsidRPr="002D57AD">
        <w:rPr>
          <w:rtl/>
        </w:rPr>
        <w:t>وقرب الإسناد</w:t>
      </w:r>
      <w:r w:rsidR="00744A1C">
        <w:rPr>
          <w:rtl/>
          <w:lang w:bidi="fa-IR"/>
        </w:rPr>
        <w:t xml:space="preserve"> : + « ثمن ».</w:t>
      </w:r>
    </w:p>
    <w:p w:rsidR="00744A1C" w:rsidRDefault="00E378DD" w:rsidP="00E378DD">
      <w:pPr>
        <w:pStyle w:val="libFootnote0"/>
        <w:rPr>
          <w:lang w:bidi="fa-IR"/>
        </w:rPr>
      </w:pPr>
      <w:r>
        <w:rPr>
          <w:rtl/>
          <w:lang w:bidi="fa-IR"/>
        </w:rPr>
        <w:t>(7).</w:t>
      </w:r>
      <w:r w:rsidR="00744A1C">
        <w:rPr>
          <w:rtl/>
          <w:lang w:bidi="fa-IR"/>
        </w:rPr>
        <w:t xml:space="preserve"> في </w:t>
      </w:r>
      <w:r w:rsidR="00744A1C" w:rsidRPr="002D57AD">
        <w:rPr>
          <w:rtl/>
        </w:rPr>
        <w:t>الوسائل والكافي</w:t>
      </w:r>
      <w:r w:rsidR="00744A1C">
        <w:rPr>
          <w:rtl/>
          <w:lang w:bidi="fa-IR"/>
        </w:rPr>
        <w:t xml:space="preserve"> ، ح 6843 والعلل : + « طريقه ». وفي </w:t>
      </w:r>
      <w:r w:rsidR="00744A1C" w:rsidRPr="002D57AD">
        <w:rPr>
          <w:rtl/>
        </w:rPr>
        <w:t>التهذيب</w:t>
      </w:r>
      <w:r w:rsidR="00744A1C">
        <w:rPr>
          <w:rtl/>
          <w:lang w:bidi="fa-IR"/>
        </w:rPr>
        <w:t xml:space="preserve"> ، ج 9 : - « أو قطع به ».</w:t>
      </w:r>
    </w:p>
    <w:p w:rsidR="00150943" w:rsidRDefault="00150943" w:rsidP="00D10E3C">
      <w:pPr>
        <w:pStyle w:val="libNormal"/>
        <w:rPr>
          <w:rtl/>
          <w:lang w:bidi="fa-IR"/>
        </w:rPr>
      </w:pPr>
      <w:r>
        <w:rPr>
          <w:rtl/>
          <w:lang w:bidi="fa-IR"/>
        </w:rPr>
        <w:br w:type="page"/>
      </w:r>
    </w:p>
    <w:p w:rsidR="00144FA6" w:rsidRDefault="00744A1C" w:rsidP="002D57AD">
      <w:pPr>
        <w:pStyle w:val="libNormal0"/>
        <w:rPr>
          <w:rtl/>
          <w:lang w:bidi="fa-IR"/>
        </w:rPr>
      </w:pPr>
      <w:r>
        <w:rPr>
          <w:rtl/>
          <w:lang w:bidi="fa-IR"/>
        </w:rPr>
        <w:lastRenderedPageBreak/>
        <w:t xml:space="preserve">نَفِدَ </w:t>
      </w:r>
      <w:r w:rsidRPr="00D10E3C">
        <w:rPr>
          <w:rStyle w:val="libFootnotenumChar"/>
          <w:rtl/>
        </w:rPr>
        <w:t>(1)</w:t>
      </w:r>
      <w:r>
        <w:rPr>
          <w:rtl/>
          <w:lang w:bidi="fa-IR"/>
        </w:rPr>
        <w:t xml:space="preserve"> طَعَامُهُ ، فَلْيَأْتِ فُلَانَ بْنَ فُلَانٍ ، وَمُرْهُ أَنْ يُعْطِيَ أَوَّلاً فَأَوَّلاً حَتّى يَنْفَدَ </w:t>
      </w:r>
      <w:r w:rsidRPr="00D10E3C">
        <w:rPr>
          <w:rStyle w:val="libFootnotenumChar"/>
          <w:rtl/>
        </w:rPr>
        <w:t>(2)</w:t>
      </w:r>
      <w:r>
        <w:rPr>
          <w:rtl/>
          <w:lang w:bidi="fa-IR"/>
        </w:rPr>
        <w:t xml:space="preserve"> ثَمَنُ الْجَارِيَةِ ». </w:t>
      </w:r>
      <w:r w:rsidRPr="00D10E3C">
        <w:rPr>
          <w:rStyle w:val="libFootnotenumChar"/>
          <w:rtl/>
        </w:rPr>
        <w:t>(3)</w:t>
      </w:r>
    </w:p>
    <w:p w:rsidR="00144FA6" w:rsidRDefault="00744A1C" w:rsidP="00744A1C">
      <w:pPr>
        <w:pStyle w:val="libNormal"/>
        <w:rPr>
          <w:rtl/>
          <w:lang w:bidi="fa-IR"/>
        </w:rPr>
      </w:pPr>
      <w:r>
        <w:rPr>
          <w:rtl/>
          <w:lang w:bidi="fa-IR"/>
        </w:rPr>
        <w:t>8070 / 19. مُحَمَّدُ بْنُ يَحْيى ، عَنْ مُحَمَّدِ بْنِ الْحُسَيْنِ ، عَنْ مُحَمَّدِ بْنِ عَبْدِ اللهِ بْنِ هِلَالٍ ، عَنْ عُقْبَةَ بْنِ خَالِدٍ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الْمَرْأَةِ </w:t>
      </w:r>
      <w:r w:rsidRPr="00D10E3C">
        <w:rPr>
          <w:rStyle w:val="libFootnotenumChar"/>
          <w:rtl/>
        </w:rPr>
        <w:t>(4)</w:t>
      </w:r>
      <w:r>
        <w:rPr>
          <w:rtl/>
          <w:lang w:bidi="fa-IR"/>
        </w:rPr>
        <w:t xml:space="preserve"> تَلِدُ يَوْمَ عَرَفَةَ كَيْفَ تَصْنَعُ </w:t>
      </w:r>
      <w:r w:rsidRPr="00D10E3C">
        <w:rPr>
          <w:rStyle w:val="libFootnotenumChar"/>
          <w:rtl/>
        </w:rPr>
        <w:t>(5)</w:t>
      </w:r>
      <w:r>
        <w:rPr>
          <w:rtl/>
          <w:lang w:bidi="fa-IR"/>
        </w:rPr>
        <w:t xml:space="preserve"> بِوَلَدِهَا؟ أَ</w:t>
      </w:r>
      <w:r w:rsidR="002D57AD">
        <w:rPr>
          <w:rFonts w:hint="cs"/>
          <w:rtl/>
          <w:lang w:bidi="fa-IR"/>
        </w:rPr>
        <w:t xml:space="preserve"> </w:t>
      </w:r>
      <w:r>
        <w:rPr>
          <w:rtl/>
          <w:lang w:bidi="fa-IR"/>
        </w:rPr>
        <w:t xml:space="preserve">يُطَافُ عَنْهُ ، أَمْ كَيْفَ يُصْنَعُ </w:t>
      </w:r>
      <w:r w:rsidRPr="00D10E3C">
        <w:rPr>
          <w:rStyle w:val="libFootnotenumChar"/>
          <w:rtl/>
        </w:rPr>
        <w:t>(6)</w:t>
      </w:r>
      <w:r>
        <w:rPr>
          <w:rtl/>
          <w:lang w:bidi="fa-IR"/>
        </w:rPr>
        <w:t xml:space="preserve"> بِهِ؟</w:t>
      </w:r>
    </w:p>
    <w:p w:rsidR="00144FA6" w:rsidRDefault="00744A1C" w:rsidP="00744A1C">
      <w:pPr>
        <w:pStyle w:val="libNormal"/>
        <w:rPr>
          <w:rtl/>
          <w:lang w:bidi="fa-IR"/>
        </w:rPr>
      </w:pPr>
      <w:r>
        <w:rPr>
          <w:rtl/>
          <w:lang w:bidi="fa-IR"/>
        </w:rPr>
        <w:t xml:space="preserve">قَالَ : « لَيْسَ عَلَيْهِ شَيْ‌ءٌ ». </w:t>
      </w:r>
      <w:r w:rsidRPr="00D10E3C">
        <w:rPr>
          <w:rStyle w:val="libFootnotenumChar"/>
          <w:rtl/>
        </w:rPr>
        <w:t>(7)</w:t>
      </w:r>
    </w:p>
    <w:p w:rsidR="00144FA6" w:rsidRDefault="00744A1C" w:rsidP="00744A1C">
      <w:pPr>
        <w:pStyle w:val="libNormal"/>
        <w:rPr>
          <w:rtl/>
          <w:lang w:bidi="fa-IR"/>
        </w:rPr>
      </w:pPr>
      <w:r>
        <w:rPr>
          <w:rtl/>
          <w:lang w:bidi="fa-IR"/>
        </w:rPr>
        <w:t>8071 / 20. مُحَمَّدُ بْنُ يَحْيى وَغَيْرُهُ ، عَنْ مُحَمَّدِ بْنِ أَحْمَدَ ، عَنْ يَعْقُوبَ بْنِ يَزِيدَ ، عَنْ يَحْيَى بْنِ الْمُبَارَكِ ، عَنْ عَبْدِ اللهِ بْنِ جَبَلَةَ ، عَنْ مُحَمَّدِ بْنِ الْفُضَيْلِ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قُلْتُ </w:t>
      </w:r>
      <w:r w:rsidRPr="00D10E3C">
        <w:rPr>
          <w:rStyle w:val="libFootnotenumChar"/>
          <w:rtl/>
        </w:rPr>
        <w:t>(8)</w:t>
      </w:r>
      <w:r>
        <w:rPr>
          <w:rtl/>
          <w:lang w:bidi="fa-IR"/>
        </w:rPr>
        <w:t xml:space="preserve"> : جُعِلْتُ فِدَاكَ ، كَانَ عِنْدِي كَبْشٌ سَمِينٌ </w:t>
      </w:r>
      <w:r w:rsidRPr="00D10E3C">
        <w:rPr>
          <w:rStyle w:val="libFootnotenumChar"/>
          <w:rtl/>
        </w:rPr>
        <w:t>(9)</w:t>
      </w:r>
      <w:r>
        <w:rPr>
          <w:rtl/>
          <w:lang w:bidi="fa-IR"/>
        </w:rPr>
        <w:t xml:space="preserve"> لِأُضَحِّيَ بِهِ ، فَلَمَّا أَخَذْتُهُ وَأَضْجَعْتُهُ نَظَرَ </w:t>
      </w:r>
      <w:r w:rsidRPr="00D10E3C">
        <w:rPr>
          <w:rStyle w:val="libFootnotenumChar"/>
          <w:rtl/>
        </w:rPr>
        <w:t>(10)</w:t>
      </w:r>
      <w:r>
        <w:rPr>
          <w:rtl/>
          <w:lang w:bidi="fa-IR"/>
        </w:rPr>
        <w:t xml:space="preserve"> إِلَيَّ ، فَرَحِمْتُهُ ، وَرَقَقْتُ عَلَيْهِ ، ثُمَّ إِنِّي ذَبَحْتُهُ.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2D57AD">
        <w:rPr>
          <w:rtl/>
        </w:rPr>
        <w:t>قرب الإسناد</w:t>
      </w:r>
      <w:r w:rsidR="00744A1C">
        <w:rPr>
          <w:rtl/>
          <w:lang w:bidi="fa-IR"/>
        </w:rPr>
        <w:t xml:space="preserve"> والعلل : « نفذ ». وفي </w:t>
      </w:r>
      <w:r w:rsidR="00744A1C" w:rsidRPr="002D57AD">
        <w:rPr>
          <w:rtl/>
        </w:rPr>
        <w:t>الكافي</w:t>
      </w:r>
      <w:r w:rsidR="00744A1C">
        <w:rPr>
          <w:rtl/>
          <w:lang w:bidi="fa-IR"/>
        </w:rPr>
        <w:t xml:space="preserve"> ، ح 6843 : + « به ».</w:t>
      </w:r>
    </w:p>
    <w:p w:rsidR="00744A1C" w:rsidRDefault="00E378DD" w:rsidP="00E378DD">
      <w:pPr>
        <w:pStyle w:val="libFootnote0"/>
        <w:rPr>
          <w:lang w:bidi="fa-IR"/>
        </w:rPr>
      </w:pPr>
      <w:r>
        <w:rPr>
          <w:rtl/>
          <w:lang w:bidi="fa-IR"/>
        </w:rPr>
        <w:t>(2).</w:t>
      </w:r>
      <w:r w:rsidR="00744A1C">
        <w:rPr>
          <w:rtl/>
          <w:lang w:bidi="fa-IR"/>
        </w:rPr>
        <w:t xml:space="preserve"> في « بث ، بس ، جن » </w:t>
      </w:r>
      <w:r w:rsidR="00744A1C" w:rsidRPr="002D57AD">
        <w:rPr>
          <w:rtl/>
        </w:rPr>
        <w:t>وقرب الإسناد</w:t>
      </w:r>
      <w:r w:rsidR="00744A1C">
        <w:rPr>
          <w:rtl/>
          <w:lang w:bidi="fa-IR"/>
        </w:rPr>
        <w:t xml:space="preserve"> والعلل : « حتّى ينفذ ».</w:t>
      </w:r>
    </w:p>
    <w:p w:rsidR="00744A1C" w:rsidRDefault="00E378DD" w:rsidP="00E378DD">
      <w:pPr>
        <w:pStyle w:val="libFootnote0"/>
        <w:rPr>
          <w:lang w:bidi="fa-IR"/>
        </w:rPr>
      </w:pPr>
      <w:r>
        <w:rPr>
          <w:rtl/>
          <w:lang w:bidi="fa-IR"/>
        </w:rPr>
        <w:t>(3).</w:t>
      </w:r>
      <w:r w:rsidR="00744A1C">
        <w:rPr>
          <w:rtl/>
          <w:lang w:bidi="fa-IR"/>
        </w:rPr>
        <w:t xml:space="preserve"> </w:t>
      </w:r>
      <w:r w:rsidR="00744A1C" w:rsidRPr="0061079A">
        <w:rPr>
          <w:rStyle w:val="libFootnoteBoldChar"/>
          <w:rtl/>
        </w:rPr>
        <w:t>الكافي</w:t>
      </w:r>
      <w:r w:rsidR="00744A1C">
        <w:rPr>
          <w:rtl/>
          <w:lang w:bidi="fa-IR"/>
        </w:rPr>
        <w:t xml:space="preserve"> ، كتاب الحجّ ، باب ما يهدى إلى الكعبة ، ح 6843. وفي </w:t>
      </w:r>
      <w:r w:rsidR="00744A1C" w:rsidRPr="003A7143">
        <w:rPr>
          <w:rStyle w:val="libFootnoteBoldChar"/>
          <w:rtl/>
        </w:rPr>
        <w:t>علل الشرائع</w:t>
      </w:r>
      <w:r w:rsidR="00744A1C">
        <w:rPr>
          <w:rtl/>
          <w:lang w:bidi="fa-IR"/>
        </w:rPr>
        <w:t xml:space="preserve"> ، ص 409 ، ح 2 ، عن أبيه ، عن محمّد بن يحيى العطّار ، عن بنان بن محمّد. </w:t>
      </w:r>
      <w:r w:rsidR="00744A1C" w:rsidRPr="00C24F9C">
        <w:rPr>
          <w:rStyle w:val="libFootnoteBoldChar"/>
          <w:rtl/>
        </w:rPr>
        <w:t>التهذيب</w:t>
      </w:r>
      <w:r w:rsidR="00744A1C">
        <w:rPr>
          <w:rtl/>
          <w:lang w:bidi="fa-IR"/>
        </w:rPr>
        <w:t xml:space="preserve"> ، ج 5 ، ص 440 ، ح 1529 ، بسنده عن موسى بن القاسم ؛ </w:t>
      </w:r>
      <w:r w:rsidR="00744A1C" w:rsidRPr="00C24F9C">
        <w:rPr>
          <w:rStyle w:val="libFootnoteBoldChar"/>
          <w:rtl/>
        </w:rPr>
        <w:t>التهذيب</w:t>
      </w:r>
      <w:r w:rsidR="00744A1C">
        <w:rPr>
          <w:rtl/>
          <w:lang w:bidi="fa-IR"/>
        </w:rPr>
        <w:t xml:space="preserve"> ، ج 9 ، ص 214 ، ح 743 ، معلّقاً عن موسى بن القاسم. </w:t>
      </w:r>
      <w:r w:rsidR="00744A1C" w:rsidRPr="00C24F9C">
        <w:rPr>
          <w:rStyle w:val="libFootnoteBoldChar"/>
          <w:rtl/>
        </w:rPr>
        <w:t>التهذيب</w:t>
      </w:r>
      <w:r w:rsidR="00744A1C">
        <w:rPr>
          <w:rtl/>
          <w:lang w:bidi="fa-IR"/>
        </w:rPr>
        <w:t xml:space="preserve"> ، ج 5 ، ص 483 ، ح 1718 ، معلّقاً عن عليّ بن جعفر. </w:t>
      </w:r>
      <w:r w:rsidR="00744A1C" w:rsidRPr="00877682">
        <w:rPr>
          <w:rStyle w:val="libFootnoteBoldChar"/>
          <w:rtl/>
        </w:rPr>
        <w:t>قرب الإسناد</w:t>
      </w:r>
      <w:r w:rsidR="00744A1C">
        <w:rPr>
          <w:rtl/>
          <w:lang w:bidi="fa-IR"/>
        </w:rPr>
        <w:t xml:space="preserve"> ، ص 246 ، ح 971 ، بسنده عن عليّ بن جعفر ، مع اختلاف يسير </w:t>
      </w:r>
      <w:r w:rsidR="002D57AD">
        <w:rPr>
          <w:rFonts w:hint="cs"/>
          <w:rtl/>
          <w:lang w:bidi="fa-IR"/>
        </w:rPr>
        <w:t>.</w:t>
      </w:r>
      <w:r w:rsidR="00744A1C" w:rsidRPr="00C24F9C">
        <w:rPr>
          <w:rStyle w:val="libFootnoteBoldChar"/>
          <w:rtl/>
        </w:rPr>
        <w:t>الوافي</w:t>
      </w:r>
      <w:r w:rsidR="00744A1C">
        <w:rPr>
          <w:rtl/>
          <w:lang w:bidi="fa-IR"/>
        </w:rPr>
        <w:t xml:space="preserve"> ، ج 11 ، ص 535 ، ح 11268 ؛ </w:t>
      </w:r>
      <w:r w:rsidR="00744A1C" w:rsidRPr="00C24F9C">
        <w:rPr>
          <w:rStyle w:val="libFootnoteBoldChar"/>
          <w:rtl/>
        </w:rPr>
        <w:t>الوسائل</w:t>
      </w:r>
      <w:r w:rsidR="00744A1C">
        <w:rPr>
          <w:rtl/>
          <w:lang w:bidi="fa-IR"/>
        </w:rPr>
        <w:t xml:space="preserve"> ، ج 13 ، ص 250 ، ح 17672.</w:t>
      </w:r>
    </w:p>
    <w:p w:rsidR="00744A1C" w:rsidRDefault="00E378DD" w:rsidP="00E378DD">
      <w:pPr>
        <w:pStyle w:val="libFootnote0"/>
        <w:rPr>
          <w:lang w:bidi="fa-IR"/>
        </w:rPr>
      </w:pPr>
      <w:r>
        <w:rPr>
          <w:rtl/>
          <w:lang w:bidi="fa-IR"/>
        </w:rPr>
        <w:t>(4).</w:t>
      </w:r>
      <w:r w:rsidR="00744A1C">
        <w:rPr>
          <w:rtl/>
          <w:lang w:bidi="fa-IR"/>
        </w:rPr>
        <w:t xml:space="preserve"> في </w:t>
      </w:r>
      <w:r w:rsidR="00744A1C" w:rsidRPr="002D57AD">
        <w:rPr>
          <w:rtl/>
        </w:rPr>
        <w:t>الوسائل</w:t>
      </w:r>
      <w:r w:rsidR="00744A1C">
        <w:rPr>
          <w:rtl/>
          <w:lang w:bidi="fa-IR"/>
        </w:rPr>
        <w:t xml:space="preserve"> : « امرأة ».</w:t>
      </w:r>
    </w:p>
    <w:p w:rsidR="00744A1C" w:rsidRDefault="00E378DD" w:rsidP="00E378DD">
      <w:pPr>
        <w:pStyle w:val="libFootnote0"/>
        <w:rPr>
          <w:lang w:bidi="fa-IR"/>
        </w:rPr>
      </w:pPr>
      <w:r>
        <w:rPr>
          <w:rtl/>
          <w:lang w:bidi="fa-IR"/>
        </w:rPr>
        <w:t>(5).</w:t>
      </w:r>
      <w:r w:rsidR="00744A1C">
        <w:rPr>
          <w:rtl/>
          <w:lang w:bidi="fa-IR"/>
        </w:rPr>
        <w:t xml:space="preserve"> في « بف » : « يصنع ». وفي « بث » بالنون والياء معاً.</w:t>
      </w:r>
    </w:p>
    <w:p w:rsidR="00744A1C" w:rsidRDefault="00E378DD" w:rsidP="00E378DD">
      <w:pPr>
        <w:pStyle w:val="libFootnote0"/>
        <w:rPr>
          <w:lang w:bidi="fa-IR"/>
        </w:rPr>
      </w:pPr>
      <w:r>
        <w:rPr>
          <w:rtl/>
          <w:lang w:bidi="fa-IR"/>
        </w:rPr>
        <w:t>(6).</w:t>
      </w:r>
      <w:r w:rsidR="00744A1C">
        <w:rPr>
          <w:rtl/>
          <w:lang w:bidi="fa-IR"/>
        </w:rPr>
        <w:t xml:space="preserve"> في « بح ، بخ » : « تصنع ». وفي « ى » بالتاء والياء معاً.</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12 ، ص 287 ، ح 11940 ؛ </w:t>
      </w:r>
      <w:r w:rsidR="00744A1C" w:rsidRPr="00C24F9C">
        <w:rPr>
          <w:rStyle w:val="libFootnoteBoldChar"/>
          <w:rtl/>
        </w:rPr>
        <w:t>الوسائل</w:t>
      </w:r>
      <w:r w:rsidR="00744A1C">
        <w:rPr>
          <w:rtl/>
          <w:lang w:bidi="fa-IR"/>
        </w:rPr>
        <w:t xml:space="preserve"> ، ج 13 ، ص 392 ، ح 18041.</w:t>
      </w:r>
    </w:p>
    <w:p w:rsidR="00744A1C" w:rsidRDefault="00E378DD" w:rsidP="00E378DD">
      <w:pPr>
        <w:pStyle w:val="libFootnote0"/>
        <w:rPr>
          <w:lang w:bidi="fa-IR"/>
        </w:rPr>
      </w:pPr>
      <w:r>
        <w:rPr>
          <w:rtl/>
          <w:lang w:bidi="fa-IR"/>
        </w:rPr>
        <w:t>(8).</w:t>
      </w:r>
      <w:r w:rsidR="00744A1C">
        <w:rPr>
          <w:rtl/>
          <w:lang w:bidi="fa-IR"/>
        </w:rPr>
        <w:t xml:space="preserve"> في « ى ، بح ، بس ، جن » </w:t>
      </w:r>
      <w:r w:rsidR="00744A1C" w:rsidRPr="0061079A">
        <w:rPr>
          <w:rStyle w:val="libFootnoteBoldChar"/>
          <w:rtl/>
        </w:rPr>
        <w:t>والتهذيب</w:t>
      </w:r>
      <w:r w:rsidR="00744A1C">
        <w:rPr>
          <w:rtl/>
          <w:lang w:bidi="fa-IR"/>
        </w:rPr>
        <w:t xml:space="preserve"> ج 9 : + « له ».</w:t>
      </w:r>
    </w:p>
    <w:p w:rsidR="00744A1C" w:rsidRDefault="00E378DD" w:rsidP="00E378DD">
      <w:pPr>
        <w:pStyle w:val="libFootnote0"/>
        <w:rPr>
          <w:lang w:bidi="fa-IR"/>
        </w:rPr>
      </w:pPr>
      <w:r>
        <w:rPr>
          <w:rtl/>
          <w:lang w:bidi="fa-IR"/>
        </w:rPr>
        <w:t>(9).</w:t>
      </w:r>
      <w:r w:rsidR="00744A1C">
        <w:rPr>
          <w:rtl/>
          <w:lang w:bidi="fa-IR"/>
        </w:rPr>
        <w:t xml:space="preserve"> في </w:t>
      </w:r>
      <w:r w:rsidR="00744A1C" w:rsidRPr="002D57AD">
        <w:rPr>
          <w:rtl/>
        </w:rPr>
        <w:t>التهذيب</w:t>
      </w:r>
      <w:r w:rsidR="00744A1C">
        <w:rPr>
          <w:rtl/>
          <w:lang w:bidi="fa-IR"/>
        </w:rPr>
        <w:t xml:space="preserve"> ، ج 9 : « سمنته ».</w:t>
      </w:r>
    </w:p>
    <w:p w:rsidR="00744A1C" w:rsidRDefault="00E378DD" w:rsidP="00E378DD">
      <w:pPr>
        <w:pStyle w:val="libFootnote0"/>
        <w:rPr>
          <w:lang w:bidi="fa-IR"/>
        </w:rPr>
      </w:pPr>
      <w:r>
        <w:rPr>
          <w:rtl/>
          <w:lang w:bidi="fa-IR"/>
        </w:rPr>
        <w:t>(10).</w:t>
      </w:r>
      <w:r w:rsidR="00744A1C">
        <w:rPr>
          <w:rtl/>
          <w:lang w:bidi="fa-IR"/>
        </w:rPr>
        <w:t xml:space="preserve"> في « بح » : « فنظر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فَقَالَ لِي : « مَا كُنْتُ أُحِبُّ لَكَ أَنْ تَفْعَلَ ، لَاتُرَبِّيَنَّ شَيْئاً مِنْ هذَا ، ثُمَّ تَذْبَحُهُ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8072 / 21. مُحَمَّدُ بْنُ يَحْيى ، عَنْ حَمْدَانَ بْنِ سُلَيْمَانَ ، عَنِ الْح</w:t>
      </w:r>
      <w:r w:rsidR="002D57AD">
        <w:rPr>
          <w:rtl/>
          <w:lang w:bidi="fa-IR"/>
        </w:rPr>
        <w:t>َسَنِ بْنِ مُحَمَّدِ بْنِ سَل</w:t>
      </w:r>
      <w:r w:rsidR="002D57AD">
        <w:rPr>
          <w:rFonts w:hint="cs"/>
          <w:rtl/>
          <w:lang w:bidi="fa-IR"/>
        </w:rPr>
        <w:t>َّ</w:t>
      </w:r>
      <w:r w:rsidR="002D57AD">
        <w:rPr>
          <w:rtl/>
          <w:lang w:bidi="fa-IR"/>
        </w:rPr>
        <w:t>ا</w:t>
      </w:r>
      <w:r>
        <w:rPr>
          <w:rtl/>
          <w:lang w:bidi="fa-IR"/>
        </w:rPr>
        <w:t>مٍ ، عَنْ أَحْمَدَ بْنِ بَكْرِ بْنِ عِصَامٍ ، عَنْ دَاوُدَ الرَّقِّيِّ ، قَالَ :</w:t>
      </w:r>
    </w:p>
    <w:p w:rsidR="00744A1C" w:rsidRDefault="00744A1C" w:rsidP="00744A1C">
      <w:pPr>
        <w:pStyle w:val="libNormal"/>
        <w:rPr>
          <w:lang w:bidi="fa-IR"/>
        </w:rPr>
      </w:pPr>
      <w:r>
        <w:rPr>
          <w:rtl/>
          <w:lang w:bidi="fa-IR"/>
        </w:rPr>
        <w:t xml:space="preserve">دَخَلْتُ عَلى أَبِي عَبْدِ اللهِ </w:t>
      </w:r>
      <w:r w:rsidR="0061079A" w:rsidRPr="0061079A">
        <w:rPr>
          <w:rStyle w:val="libAlaemChar"/>
          <w:rtl/>
        </w:rPr>
        <w:t>عليه‌السلام</w:t>
      </w:r>
      <w:r w:rsidR="00D10E3C">
        <w:rPr>
          <w:rtl/>
          <w:lang w:bidi="fa-IR"/>
        </w:rPr>
        <w:t xml:space="preserve"> </w:t>
      </w:r>
      <w:r>
        <w:rPr>
          <w:rtl/>
          <w:lang w:bidi="fa-IR"/>
        </w:rPr>
        <w:t xml:space="preserve">وَلِي عَلى رَجُلٍ مَالٌ قَدْ خِفْتُ تَوَاهُ </w:t>
      </w:r>
      <w:r w:rsidRPr="00D10E3C">
        <w:rPr>
          <w:rStyle w:val="libFootnotenumChar"/>
          <w:rtl/>
        </w:rPr>
        <w:t>(3)</w:t>
      </w:r>
      <w:r>
        <w:rPr>
          <w:rtl/>
          <w:lang w:bidi="fa-IR"/>
        </w:rPr>
        <w:t xml:space="preserve"> ، فَشَكَوْتُ إِلَيْهِ ذلِكَ ، فَقَالَ لِي : « إِذَا صِرْتَ بِمَكَّةَ ، فَطُفْ عَنْ عَبْدِ الْمُطَّلِبِ طَوَافاً ، وَصَلِّ رَكْعَتَيْنِ عَنْهُ </w:t>
      </w:r>
      <w:r w:rsidRPr="00D10E3C">
        <w:rPr>
          <w:rStyle w:val="libFootnotenumChar"/>
          <w:rtl/>
        </w:rPr>
        <w:t>(4)</w:t>
      </w:r>
      <w:r>
        <w:rPr>
          <w:rtl/>
          <w:lang w:bidi="fa-IR"/>
        </w:rPr>
        <w:t xml:space="preserve"> ، وَطُفْ عَنْ أَبِي طَالِبٍ طَوَافاً ، وَصَلِّ عَنْهُ رَكْعَتَيْنِ </w:t>
      </w:r>
      <w:r w:rsidRPr="00D10E3C">
        <w:rPr>
          <w:rStyle w:val="libFootnotenumChar"/>
          <w:rtl/>
        </w:rPr>
        <w:t>(5)</w:t>
      </w:r>
      <w:r>
        <w:rPr>
          <w:rtl/>
          <w:lang w:bidi="fa-IR"/>
        </w:rPr>
        <w:t xml:space="preserve"> ، وَطُفْ عَنْ عَبْدِ اللهِ طَوَافاً ، وَصَلِّ عَنْهُ رَكْعَتَيْنِ ، وَطُفْ عَنْ آمِنَةَ طَوَافاً ، وَصَلِّ عَنْهَا رَكْعَتَيْنِ ، وَطُفْ عَنْ فَاطِمَةَ بِنْتِ أَسَدٍ طَوَافاً ، وَصَلِّ عَنْهَا رَكْعَتَيْنِ ، ثُمَّ ادْعُ </w:t>
      </w:r>
      <w:r w:rsidRPr="00D10E3C">
        <w:rPr>
          <w:rStyle w:val="libFootnotenumChar"/>
          <w:rtl/>
        </w:rPr>
        <w:t>(6)</w:t>
      </w:r>
      <w:r>
        <w:rPr>
          <w:rtl/>
          <w:lang w:bidi="fa-IR"/>
        </w:rPr>
        <w:t xml:space="preserve"> أَنْ يُرَدَّ عَلَيْكَ مَالُكَ ».</w:t>
      </w:r>
    </w:p>
    <w:p w:rsidR="00144FA6" w:rsidRDefault="00744A1C" w:rsidP="00744A1C">
      <w:pPr>
        <w:pStyle w:val="libNormal"/>
        <w:rPr>
          <w:rtl/>
          <w:lang w:bidi="fa-IR"/>
        </w:rPr>
      </w:pPr>
      <w:r>
        <w:rPr>
          <w:rtl/>
          <w:lang w:bidi="fa-IR"/>
        </w:rPr>
        <w:t xml:space="preserve">قَالَ : فَفَعَلْتُ ذلِكَ ، ثُمَّ خَرَجْتُ مِنْ بَابِ الصَّفَا ، وَإِذَا </w:t>
      </w:r>
      <w:r w:rsidRPr="00D10E3C">
        <w:rPr>
          <w:rStyle w:val="libFootnotenumChar"/>
          <w:rtl/>
        </w:rPr>
        <w:t>(7)</w:t>
      </w:r>
      <w:r>
        <w:rPr>
          <w:rtl/>
          <w:lang w:bidi="fa-IR"/>
        </w:rPr>
        <w:t xml:space="preserve"> غَرِيمِي </w:t>
      </w:r>
      <w:r w:rsidRPr="00D10E3C">
        <w:rPr>
          <w:rStyle w:val="libFootnotenumChar"/>
          <w:rtl/>
        </w:rPr>
        <w:t>(8)</w:t>
      </w:r>
      <w:r>
        <w:rPr>
          <w:rtl/>
          <w:lang w:bidi="fa-IR"/>
        </w:rPr>
        <w:t xml:space="preserve"> وَاقِفٌ يَقُولُ : يَا دَاوُدُ ، حَبَسْتَنِي ، تَعَالَ فَاقْبِضْ </w:t>
      </w:r>
      <w:r w:rsidRPr="00D10E3C">
        <w:rPr>
          <w:rStyle w:val="libFootnotenumChar"/>
          <w:rtl/>
        </w:rPr>
        <w:t>(9)</w:t>
      </w:r>
      <w:r>
        <w:rPr>
          <w:rtl/>
          <w:lang w:bidi="fa-IR"/>
        </w:rPr>
        <w:t xml:space="preserve"> مَالَكَ. </w:t>
      </w:r>
      <w:r w:rsidRPr="00D10E3C">
        <w:rPr>
          <w:rStyle w:val="libFootnotenumChar"/>
          <w:rtl/>
        </w:rPr>
        <w:t>(10)</w:t>
      </w:r>
    </w:p>
    <w:p w:rsidR="00144FA6" w:rsidRDefault="00744A1C" w:rsidP="00744A1C">
      <w:pPr>
        <w:pStyle w:val="libNormal"/>
        <w:rPr>
          <w:rtl/>
          <w:lang w:bidi="fa-IR"/>
        </w:rPr>
      </w:pPr>
      <w:r>
        <w:rPr>
          <w:rtl/>
          <w:lang w:bidi="fa-IR"/>
        </w:rPr>
        <w:t>8073 / 22. عَلِيُّ بْنُ إِبْرَاهِيمَ ، عَنْ أَبِيهِ ، عَنْ عَبْدِ اللهِ بْنِ عُمَرَ ، قَالَ :</w:t>
      </w:r>
    </w:p>
    <w:p w:rsidR="00744A1C" w:rsidRDefault="00744A1C" w:rsidP="00744A1C">
      <w:pPr>
        <w:pStyle w:val="libNormal"/>
        <w:rPr>
          <w:lang w:bidi="fa-IR"/>
        </w:rPr>
      </w:pPr>
      <w:r>
        <w:rPr>
          <w:rtl/>
          <w:lang w:bidi="fa-IR"/>
        </w:rPr>
        <w:t xml:space="preserve">كُنَّا بِمَكَّةَ ، فَأَصَابَنَا غَلَاءٌ مِنَ </w:t>
      </w:r>
      <w:r w:rsidRPr="00D10E3C">
        <w:rPr>
          <w:rStyle w:val="libFootnotenumChar"/>
          <w:rtl/>
        </w:rPr>
        <w:t>(11)</w:t>
      </w:r>
      <w:r>
        <w:rPr>
          <w:rtl/>
          <w:lang w:bidi="fa-IR"/>
        </w:rPr>
        <w:t xml:space="preserve"> الْأَضَاحِيِّ ، فَاشْتَرَيْنَا بِدِينَارٍ ، ثُمَّ بِدِينَارَيْنِ </w:t>
      </w:r>
      <w:r w:rsidRPr="00D10E3C">
        <w:rPr>
          <w:rStyle w:val="libFootnotenumChar"/>
          <w:rtl/>
        </w:rPr>
        <w:t>(12)</w:t>
      </w:r>
      <w:r>
        <w:rPr>
          <w:rtl/>
          <w:lang w:bidi="fa-IR"/>
        </w:rPr>
        <w:t xml:space="preserve"> ، ثُمَّ لَمْ‌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250 : « يدلّ على كراهة التضحية بما ربّاه الإنسان كما ذكره الأصحاب ، ولأنّ المرجع في التربية إلى العرف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5 ، ص 452 ، ح 1578 ، معلّقاً عن الكليني. وفيه ، ج 9 ، ص 83 ، ح 352 ، بسنده عن يعقوب بن يزيد </w:t>
      </w:r>
      <w:r w:rsidR="002D57AD">
        <w:rPr>
          <w:rFonts w:hint="cs"/>
          <w:rtl/>
          <w:lang w:bidi="fa-IR"/>
        </w:rPr>
        <w:t>.</w:t>
      </w:r>
      <w:r w:rsidR="00744A1C" w:rsidRPr="00C24F9C">
        <w:rPr>
          <w:rStyle w:val="libFootnoteBoldChar"/>
          <w:rtl/>
        </w:rPr>
        <w:t>الوافي</w:t>
      </w:r>
      <w:r w:rsidR="00744A1C">
        <w:rPr>
          <w:rtl/>
          <w:lang w:bidi="fa-IR"/>
        </w:rPr>
        <w:t xml:space="preserve"> ، ج 13 ، ص 1127 ، ح 13911 ؛ </w:t>
      </w:r>
      <w:r w:rsidR="00744A1C" w:rsidRPr="00C24F9C">
        <w:rPr>
          <w:rStyle w:val="libFootnoteBoldChar"/>
          <w:rtl/>
        </w:rPr>
        <w:t>الوسائل</w:t>
      </w:r>
      <w:r w:rsidR="00744A1C">
        <w:rPr>
          <w:rtl/>
          <w:lang w:bidi="fa-IR"/>
        </w:rPr>
        <w:t xml:space="preserve"> ، ج 14 ، ص 208 ، ح 18998.</w:t>
      </w:r>
    </w:p>
    <w:p w:rsidR="00744A1C" w:rsidRDefault="00E378DD" w:rsidP="00E378DD">
      <w:pPr>
        <w:pStyle w:val="libFootnote0"/>
        <w:rPr>
          <w:lang w:bidi="fa-IR"/>
        </w:rPr>
      </w:pPr>
      <w:r>
        <w:rPr>
          <w:rtl/>
          <w:lang w:bidi="fa-IR"/>
        </w:rPr>
        <w:t>(3).</w:t>
      </w:r>
      <w:r w:rsidR="00744A1C">
        <w:rPr>
          <w:rtl/>
          <w:lang w:bidi="fa-IR"/>
        </w:rPr>
        <w:t xml:space="preserve"> التَّوى ، مقصور : هلاك المال. </w:t>
      </w:r>
      <w:r w:rsidR="00744A1C" w:rsidRPr="00E978C3">
        <w:rPr>
          <w:rStyle w:val="libFootnoteBoldChar"/>
          <w:rtl/>
        </w:rPr>
        <w:t>الصحاح</w:t>
      </w:r>
      <w:r w:rsidR="00744A1C">
        <w:rPr>
          <w:rtl/>
          <w:lang w:bidi="fa-IR"/>
        </w:rPr>
        <w:t xml:space="preserve"> ، ج 6 ، ص 2290 ( توي ).</w:t>
      </w:r>
    </w:p>
    <w:p w:rsidR="00744A1C" w:rsidRDefault="00E378DD" w:rsidP="00E378DD">
      <w:pPr>
        <w:pStyle w:val="libFootnote0"/>
        <w:rPr>
          <w:lang w:bidi="fa-IR"/>
        </w:rPr>
      </w:pPr>
      <w:r>
        <w:rPr>
          <w:rtl/>
          <w:lang w:bidi="fa-IR"/>
        </w:rPr>
        <w:t>(4).</w:t>
      </w:r>
      <w:r w:rsidR="00744A1C">
        <w:rPr>
          <w:rtl/>
          <w:lang w:bidi="fa-IR"/>
        </w:rPr>
        <w:t xml:space="preserve"> في « بس » : « عنه ركعتين ».</w:t>
      </w:r>
    </w:p>
    <w:p w:rsidR="00744A1C" w:rsidRDefault="00E378DD" w:rsidP="00E378DD">
      <w:pPr>
        <w:pStyle w:val="libFootnote0"/>
        <w:rPr>
          <w:lang w:bidi="fa-IR"/>
        </w:rPr>
      </w:pPr>
      <w:r>
        <w:rPr>
          <w:rtl/>
          <w:lang w:bidi="fa-IR"/>
        </w:rPr>
        <w:t>(5).</w:t>
      </w:r>
      <w:r w:rsidR="00744A1C">
        <w:rPr>
          <w:rtl/>
          <w:lang w:bidi="fa-IR"/>
        </w:rPr>
        <w:t xml:space="preserve"> في </w:t>
      </w:r>
      <w:r w:rsidR="00744A1C" w:rsidRPr="002D57AD">
        <w:rPr>
          <w:rtl/>
        </w:rPr>
        <w:t>الوسائل</w:t>
      </w:r>
      <w:r w:rsidR="00744A1C">
        <w:rPr>
          <w:rtl/>
          <w:lang w:bidi="fa-IR"/>
        </w:rPr>
        <w:t xml:space="preserve"> : - « وطف عن أبي طالب طوافاً وصلّ عنه ركعتين ».</w:t>
      </w:r>
    </w:p>
    <w:tbl>
      <w:tblPr>
        <w:tblStyle w:val="TableGrid"/>
        <w:bidiVisual/>
        <w:tblW w:w="0" w:type="auto"/>
        <w:tblLook w:val="04A0" w:firstRow="1" w:lastRow="0" w:firstColumn="1" w:lastColumn="0" w:noHBand="0" w:noVBand="1"/>
      </w:tblPr>
      <w:tblGrid>
        <w:gridCol w:w="4006"/>
        <w:gridCol w:w="4006"/>
      </w:tblGrid>
      <w:tr w:rsidR="002D57AD" w:rsidTr="002D57AD">
        <w:tc>
          <w:tcPr>
            <w:tcW w:w="4006" w:type="dxa"/>
          </w:tcPr>
          <w:p w:rsidR="002D57AD" w:rsidRDefault="002D57AD" w:rsidP="00E378DD">
            <w:pPr>
              <w:pStyle w:val="libFootnote0"/>
              <w:rPr>
                <w:rtl/>
                <w:lang w:bidi="fa-IR"/>
              </w:rPr>
            </w:pPr>
            <w:r>
              <w:rPr>
                <w:rtl/>
                <w:lang w:bidi="fa-IR"/>
              </w:rPr>
              <w:t xml:space="preserve">(6). في </w:t>
            </w:r>
            <w:r w:rsidRPr="002D57AD">
              <w:rPr>
                <w:rtl/>
              </w:rPr>
              <w:t>الوسائل والفقيه</w:t>
            </w:r>
            <w:r>
              <w:rPr>
                <w:rtl/>
                <w:lang w:bidi="fa-IR"/>
              </w:rPr>
              <w:t xml:space="preserve"> : + « الله ».</w:t>
            </w:r>
          </w:p>
        </w:tc>
        <w:tc>
          <w:tcPr>
            <w:tcW w:w="4006" w:type="dxa"/>
          </w:tcPr>
          <w:p w:rsidR="002D57AD" w:rsidRDefault="002D57AD" w:rsidP="00E378DD">
            <w:pPr>
              <w:pStyle w:val="libFootnote0"/>
              <w:rPr>
                <w:rtl/>
                <w:lang w:bidi="fa-IR"/>
              </w:rPr>
            </w:pPr>
            <w:r>
              <w:rPr>
                <w:rtl/>
                <w:lang w:bidi="fa-IR"/>
              </w:rPr>
              <w:t xml:space="preserve">(7). في </w:t>
            </w:r>
            <w:r w:rsidRPr="002D57AD">
              <w:rPr>
                <w:rtl/>
              </w:rPr>
              <w:t>الوسائل والفقيه</w:t>
            </w:r>
            <w:r>
              <w:rPr>
                <w:rtl/>
                <w:lang w:bidi="fa-IR"/>
              </w:rPr>
              <w:t xml:space="preserve"> : « فإذا ».</w:t>
            </w:r>
          </w:p>
        </w:tc>
      </w:tr>
    </w:tbl>
    <w:p w:rsidR="00744A1C" w:rsidRDefault="00E378DD" w:rsidP="00E378DD">
      <w:pPr>
        <w:pStyle w:val="libFootnote0"/>
        <w:rPr>
          <w:lang w:bidi="fa-IR"/>
        </w:rPr>
      </w:pPr>
      <w:r>
        <w:rPr>
          <w:rtl/>
          <w:lang w:bidi="fa-IR"/>
        </w:rPr>
        <w:t>(8).</w:t>
      </w:r>
      <w:r w:rsidR="00744A1C">
        <w:rPr>
          <w:rtl/>
          <w:lang w:bidi="fa-IR"/>
        </w:rPr>
        <w:t xml:space="preserve"> في « بخ » : « بغريمي ».</w:t>
      </w:r>
    </w:p>
    <w:p w:rsidR="00744A1C" w:rsidRDefault="00E378DD" w:rsidP="00E378DD">
      <w:pPr>
        <w:pStyle w:val="libFootnote0"/>
        <w:rPr>
          <w:lang w:bidi="fa-IR"/>
        </w:rPr>
      </w:pPr>
      <w:r>
        <w:rPr>
          <w:rtl/>
          <w:lang w:bidi="fa-IR"/>
        </w:rPr>
        <w:t>(9).</w:t>
      </w:r>
      <w:r w:rsidR="00744A1C">
        <w:rPr>
          <w:rtl/>
          <w:lang w:bidi="fa-IR"/>
        </w:rPr>
        <w:t xml:space="preserve"> هكذا في معظم النسخ التي قوبلت </w:t>
      </w:r>
      <w:r w:rsidR="00744A1C" w:rsidRPr="002D57AD">
        <w:rPr>
          <w:rtl/>
        </w:rPr>
        <w:t>والوافي والوسائل والفقيه</w:t>
      </w:r>
      <w:r w:rsidR="00744A1C">
        <w:rPr>
          <w:rtl/>
          <w:lang w:bidi="fa-IR"/>
        </w:rPr>
        <w:t>. وفي « جن » والمطبوع : « اقبض ».</w:t>
      </w:r>
    </w:p>
    <w:p w:rsidR="00744A1C" w:rsidRDefault="00E378DD" w:rsidP="002D57AD">
      <w:pPr>
        <w:pStyle w:val="libFootnote0"/>
        <w:rPr>
          <w:lang w:bidi="fa-IR"/>
        </w:rPr>
      </w:pPr>
      <w:r>
        <w:rPr>
          <w:rtl/>
          <w:lang w:bidi="fa-IR"/>
        </w:rPr>
        <w:t>(10).</w:t>
      </w:r>
      <w:r w:rsidR="00744A1C">
        <w:rPr>
          <w:rtl/>
          <w:lang w:bidi="fa-IR"/>
        </w:rPr>
        <w:t xml:space="preserve"> </w:t>
      </w:r>
      <w:r w:rsidR="00744A1C" w:rsidRPr="00C24F9C">
        <w:rPr>
          <w:rStyle w:val="libFootnoteBoldChar"/>
          <w:rtl/>
        </w:rPr>
        <w:t>الفقيه</w:t>
      </w:r>
      <w:r w:rsidR="00744A1C">
        <w:rPr>
          <w:rtl/>
          <w:lang w:bidi="fa-IR"/>
        </w:rPr>
        <w:t xml:space="preserve"> ، ج 2 ، ص 520 ، ح 3116 ، معلّقاً عن داود الرقّي </w:t>
      </w:r>
      <w:r w:rsidR="002D57AD">
        <w:rPr>
          <w:rFonts w:hint="cs"/>
          <w:rtl/>
          <w:lang w:bidi="fa-IR"/>
        </w:rPr>
        <w:t>.</w:t>
      </w:r>
      <w:r w:rsidR="00744A1C" w:rsidRPr="00C24F9C">
        <w:rPr>
          <w:rStyle w:val="libFootnoteBoldChar"/>
          <w:rtl/>
        </w:rPr>
        <w:t>الوافي</w:t>
      </w:r>
      <w:r w:rsidR="00744A1C">
        <w:rPr>
          <w:rtl/>
          <w:lang w:bidi="fa-IR"/>
        </w:rPr>
        <w:t xml:space="preserve"> ، ج 12 ، ص 334 ، ح 12057 ؛ </w:t>
      </w:r>
      <w:r w:rsidR="00744A1C" w:rsidRPr="00C24F9C">
        <w:rPr>
          <w:rStyle w:val="libFootnoteBoldChar"/>
          <w:rtl/>
        </w:rPr>
        <w:t>الوسائل</w:t>
      </w:r>
      <w:r w:rsidR="00744A1C">
        <w:rPr>
          <w:rtl/>
          <w:lang w:bidi="fa-IR"/>
        </w:rPr>
        <w:t xml:space="preserve"> ، ج 13 ، ص 397 ، ح 18056.</w:t>
      </w:r>
      <w:r w:rsidR="002D57AD">
        <w:rPr>
          <w:rFonts w:hint="cs"/>
          <w:rtl/>
          <w:lang w:bidi="fa-IR"/>
        </w:rPr>
        <w:t xml:space="preserve">      </w:t>
      </w:r>
      <w:r>
        <w:rPr>
          <w:rtl/>
          <w:lang w:bidi="fa-IR"/>
        </w:rPr>
        <w:t>(11).</w:t>
      </w:r>
      <w:r w:rsidR="00744A1C">
        <w:rPr>
          <w:rtl/>
          <w:lang w:bidi="fa-IR"/>
        </w:rPr>
        <w:t xml:space="preserve"> في </w:t>
      </w:r>
      <w:r w:rsidR="00744A1C" w:rsidRPr="002D57AD">
        <w:rPr>
          <w:rtl/>
        </w:rPr>
        <w:t>الوافي</w:t>
      </w:r>
      <w:r w:rsidR="00744A1C">
        <w:rPr>
          <w:rtl/>
          <w:lang w:bidi="fa-IR"/>
        </w:rPr>
        <w:t xml:space="preserve"> عن بعض النسخ </w:t>
      </w:r>
      <w:r w:rsidR="00744A1C" w:rsidRPr="002D57AD">
        <w:rPr>
          <w:rtl/>
        </w:rPr>
        <w:t>والوسائل</w:t>
      </w:r>
      <w:r w:rsidR="00744A1C">
        <w:rPr>
          <w:rtl/>
          <w:lang w:bidi="fa-IR"/>
        </w:rPr>
        <w:t xml:space="preserve"> : « في ».</w:t>
      </w:r>
    </w:p>
    <w:p w:rsidR="00744A1C" w:rsidRDefault="00E378DD" w:rsidP="00E378DD">
      <w:pPr>
        <w:pStyle w:val="libFootnote0"/>
        <w:rPr>
          <w:lang w:bidi="fa-IR"/>
        </w:rPr>
      </w:pPr>
      <w:r>
        <w:rPr>
          <w:rtl/>
          <w:lang w:bidi="fa-IR"/>
        </w:rPr>
        <w:t>(12).</w:t>
      </w:r>
      <w:r w:rsidR="00744A1C">
        <w:rPr>
          <w:rtl/>
          <w:lang w:bidi="fa-IR"/>
        </w:rPr>
        <w:t xml:space="preserve"> في </w:t>
      </w:r>
      <w:r w:rsidR="00744A1C" w:rsidRPr="002D57AD">
        <w:rPr>
          <w:rtl/>
        </w:rPr>
        <w:t>الوافي والوسائل والتهذيب</w:t>
      </w:r>
      <w:r w:rsidR="00744A1C">
        <w:rPr>
          <w:rtl/>
          <w:lang w:bidi="fa-IR"/>
        </w:rPr>
        <w:t xml:space="preserve"> : + « ثمّ بلغت سبعة ».</w:t>
      </w:r>
    </w:p>
    <w:p w:rsidR="00150943" w:rsidRDefault="00150943" w:rsidP="00D10E3C">
      <w:pPr>
        <w:pStyle w:val="libNormal"/>
        <w:rPr>
          <w:rtl/>
          <w:lang w:bidi="fa-IR"/>
        </w:rPr>
      </w:pPr>
      <w:r>
        <w:rPr>
          <w:rtl/>
          <w:lang w:bidi="fa-IR"/>
        </w:rPr>
        <w:br w:type="page"/>
      </w:r>
    </w:p>
    <w:p w:rsidR="00744A1C" w:rsidRDefault="00744A1C" w:rsidP="002D57AD">
      <w:pPr>
        <w:pStyle w:val="libNormal0"/>
        <w:rPr>
          <w:lang w:bidi="fa-IR"/>
        </w:rPr>
      </w:pPr>
      <w:r>
        <w:rPr>
          <w:rtl/>
          <w:lang w:bidi="fa-IR"/>
        </w:rPr>
        <w:lastRenderedPageBreak/>
        <w:t xml:space="preserve">نَجِدْ </w:t>
      </w:r>
      <w:r w:rsidRPr="00D10E3C">
        <w:rPr>
          <w:rStyle w:val="libFootnotenumChar"/>
          <w:rtl/>
        </w:rPr>
        <w:t>(1)</w:t>
      </w:r>
      <w:r>
        <w:rPr>
          <w:rtl/>
          <w:lang w:bidi="fa-IR"/>
        </w:rPr>
        <w:t xml:space="preserve"> بِقَلِيلٍ </w:t>
      </w:r>
      <w:r w:rsidRPr="00D10E3C">
        <w:rPr>
          <w:rStyle w:val="libFootnotenumChar"/>
          <w:rtl/>
        </w:rPr>
        <w:t>(2)</w:t>
      </w:r>
      <w:r>
        <w:rPr>
          <w:rtl/>
          <w:lang w:bidi="fa-IR"/>
        </w:rPr>
        <w:t xml:space="preserve"> وَلَاكَثِيرٍ </w:t>
      </w:r>
      <w:r w:rsidRPr="00D10E3C">
        <w:rPr>
          <w:rStyle w:val="libFootnotenumChar"/>
          <w:rtl/>
        </w:rPr>
        <w:t>(3)</w:t>
      </w:r>
      <w:r>
        <w:rPr>
          <w:rtl/>
          <w:lang w:bidi="fa-IR"/>
        </w:rPr>
        <w:t xml:space="preserve"> ، فَرَقَّعَ </w:t>
      </w:r>
      <w:r w:rsidRPr="00D10E3C">
        <w:rPr>
          <w:rStyle w:val="libFootnotenumChar"/>
          <w:rtl/>
        </w:rPr>
        <w:t>(4)</w:t>
      </w:r>
      <w:r>
        <w:rPr>
          <w:rtl/>
          <w:lang w:bidi="fa-IR"/>
        </w:rPr>
        <w:t xml:space="preserve"> هِشَامٌ الْمُكَارِي رُقْعَةً </w:t>
      </w:r>
      <w:r w:rsidRPr="00D10E3C">
        <w:rPr>
          <w:rStyle w:val="libFootnotenumChar"/>
          <w:rtl/>
        </w:rPr>
        <w:t>(5)</w:t>
      </w:r>
      <w:r>
        <w:rPr>
          <w:rtl/>
          <w:lang w:bidi="fa-IR"/>
        </w:rPr>
        <w:t xml:space="preserve"> إِلى أَبِي الْحَسَنِ </w:t>
      </w:r>
      <w:r w:rsidR="0061079A" w:rsidRPr="0061079A">
        <w:rPr>
          <w:rStyle w:val="libAlaemChar"/>
          <w:rtl/>
        </w:rPr>
        <w:t>عليه‌السلام</w:t>
      </w:r>
      <w:r w:rsidR="00D10E3C">
        <w:rPr>
          <w:rtl/>
          <w:lang w:bidi="fa-IR"/>
        </w:rPr>
        <w:t xml:space="preserve"> </w:t>
      </w:r>
      <w:r>
        <w:rPr>
          <w:rtl/>
          <w:lang w:bidi="fa-IR"/>
        </w:rPr>
        <w:t xml:space="preserve">، وَأَخْبَرَهُ </w:t>
      </w:r>
      <w:r w:rsidRPr="00D10E3C">
        <w:rPr>
          <w:rStyle w:val="libFootnotenumChar"/>
          <w:rtl/>
        </w:rPr>
        <w:t>(6)</w:t>
      </w:r>
      <w:r>
        <w:rPr>
          <w:rtl/>
          <w:lang w:bidi="fa-IR"/>
        </w:rPr>
        <w:t xml:space="preserve"> بِمَا اشْتَرَيْنَا ، ثُمَّ لَمْ نَجِدْ </w:t>
      </w:r>
      <w:r w:rsidRPr="00D10E3C">
        <w:rPr>
          <w:rStyle w:val="libFootnotenumChar"/>
          <w:rtl/>
        </w:rPr>
        <w:t>(7)</w:t>
      </w:r>
      <w:r>
        <w:rPr>
          <w:rtl/>
          <w:lang w:bidi="fa-IR"/>
        </w:rPr>
        <w:t xml:space="preserve"> بِقَلِيلٍ وَلَاكَثِيرٍ.</w:t>
      </w:r>
    </w:p>
    <w:p w:rsidR="00144FA6" w:rsidRDefault="00744A1C" w:rsidP="00744A1C">
      <w:pPr>
        <w:pStyle w:val="libNormal"/>
        <w:rPr>
          <w:rtl/>
          <w:lang w:bidi="fa-IR"/>
        </w:rPr>
      </w:pPr>
      <w:r>
        <w:rPr>
          <w:rtl/>
          <w:lang w:bidi="fa-IR"/>
        </w:rPr>
        <w:t xml:space="preserve">فَوَقَّعَ </w:t>
      </w:r>
      <w:r w:rsidRPr="00D10E3C">
        <w:rPr>
          <w:rStyle w:val="libFootnotenumChar"/>
          <w:rtl/>
        </w:rPr>
        <w:t>(8)</w:t>
      </w:r>
      <w:r>
        <w:rPr>
          <w:rtl/>
          <w:lang w:bidi="fa-IR"/>
        </w:rPr>
        <w:t xml:space="preserve"> : « انْظُرُوا </w:t>
      </w:r>
      <w:r w:rsidRPr="00D10E3C">
        <w:rPr>
          <w:rStyle w:val="libFootnotenumChar"/>
          <w:rtl/>
        </w:rPr>
        <w:t>(9)</w:t>
      </w:r>
      <w:r>
        <w:rPr>
          <w:rtl/>
          <w:lang w:bidi="fa-IR"/>
        </w:rPr>
        <w:t xml:space="preserve"> الثَّمَنَ الْأَوَّلَ وَالثَّانِيَ وَالثَّالِثَ </w:t>
      </w:r>
      <w:r w:rsidRPr="00D10E3C">
        <w:rPr>
          <w:rStyle w:val="libFootnotenumChar"/>
          <w:rtl/>
        </w:rPr>
        <w:t>(10)</w:t>
      </w:r>
      <w:r>
        <w:rPr>
          <w:rtl/>
          <w:lang w:bidi="fa-IR"/>
        </w:rPr>
        <w:t xml:space="preserve"> ، ثُمَّ تَصَدَّقُوا بِمِثْلِ ثُلُثِهِ ». </w:t>
      </w:r>
      <w:r w:rsidRPr="00D10E3C">
        <w:rPr>
          <w:rStyle w:val="libFootnotenumChar"/>
          <w:rtl/>
        </w:rPr>
        <w:t>(11)</w:t>
      </w:r>
    </w:p>
    <w:p w:rsidR="00144FA6" w:rsidRDefault="00744A1C" w:rsidP="00744A1C">
      <w:pPr>
        <w:pStyle w:val="libNormal"/>
        <w:rPr>
          <w:rtl/>
          <w:lang w:bidi="fa-IR"/>
        </w:rPr>
      </w:pPr>
      <w:r>
        <w:rPr>
          <w:rtl/>
          <w:lang w:bidi="fa-IR"/>
        </w:rPr>
        <w:t xml:space="preserve">8074 / 23. عَلِيُّ بْنُ إِبْرَاهِيمَ ، عَنْ أَبِيهِ ، عَنِ ابْنِ أَبِي عُمَيْرٍ ، عَنِ الْحُسَيْنِ بْنِ عُثْمَانَ وَمُحَمَّدِ </w:t>
      </w:r>
      <w:r w:rsidRPr="00D10E3C">
        <w:rPr>
          <w:rStyle w:val="libFootnotenumChar"/>
          <w:rtl/>
        </w:rPr>
        <w:t>(12)</w:t>
      </w:r>
      <w:r>
        <w:rPr>
          <w:rtl/>
          <w:lang w:bidi="fa-IR"/>
        </w:rPr>
        <w:t xml:space="preserve"> بْنِ أَبِي حَمْزَةَ ، عَنْ إِسْحَاقَ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الرَّجُلِ يَحُجُّ عَنْ آخَرَ </w:t>
      </w:r>
      <w:r w:rsidRPr="00D10E3C">
        <w:rPr>
          <w:rStyle w:val="libFootnotenumChar"/>
          <w:rtl/>
        </w:rPr>
        <w:t>(13)</w:t>
      </w:r>
      <w:r>
        <w:rPr>
          <w:rtl/>
          <w:lang w:bidi="fa-IR"/>
        </w:rPr>
        <w:t xml:space="preserve"> ، فَاجْتَرَحَ فِي حَجِّهِ شَيْئاً يَلْزَمُهُ </w:t>
      </w:r>
      <w:r w:rsidRPr="00D10E3C">
        <w:rPr>
          <w:rStyle w:val="libFootnotenumChar"/>
          <w:rtl/>
        </w:rPr>
        <w:t>(14)</w:t>
      </w:r>
      <w:r>
        <w:rPr>
          <w:rtl/>
          <w:lang w:bidi="fa-IR"/>
        </w:rPr>
        <w:t xml:space="preserve"> فِيهِ الْحَجُّ مِنْ قَابِلٍ ، أَوْ كَفَّارَةٌ ، قَالَ : « هِيَ لِلْأَوَّلِ تَامَّةٌ ، وَعَلى هذَا مَا اجْتَرَحَ ». </w:t>
      </w:r>
      <w:r w:rsidRPr="00D10E3C">
        <w:rPr>
          <w:rStyle w:val="libFootnotenumChar"/>
          <w:rtl/>
        </w:rPr>
        <w:t>(15)</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w:t>
      </w:r>
      <w:r w:rsidR="00744A1C" w:rsidRPr="002D57AD">
        <w:rPr>
          <w:rtl/>
        </w:rPr>
        <w:t>والوسائل والتهذيب</w:t>
      </w:r>
      <w:r w:rsidR="00744A1C">
        <w:rPr>
          <w:rtl/>
          <w:lang w:bidi="fa-IR"/>
        </w:rPr>
        <w:t xml:space="preserve"> : « لم تجد ». وفي </w:t>
      </w:r>
      <w:r w:rsidR="00744A1C" w:rsidRPr="002D57AD">
        <w:rPr>
          <w:rtl/>
        </w:rPr>
        <w:t>الوافي</w:t>
      </w:r>
      <w:r w:rsidR="00744A1C">
        <w:rPr>
          <w:rtl/>
          <w:lang w:bidi="fa-IR"/>
        </w:rPr>
        <w:t xml:space="preserve"> : « لم توجد ».</w:t>
      </w:r>
    </w:p>
    <w:tbl>
      <w:tblPr>
        <w:tblStyle w:val="TableGrid"/>
        <w:bidiVisual/>
        <w:tblW w:w="0" w:type="auto"/>
        <w:tblLook w:val="04A0" w:firstRow="1" w:lastRow="0" w:firstColumn="1" w:lastColumn="0" w:noHBand="0" w:noVBand="1"/>
      </w:tblPr>
      <w:tblGrid>
        <w:gridCol w:w="4006"/>
        <w:gridCol w:w="4006"/>
      </w:tblGrid>
      <w:tr w:rsidR="002D57AD" w:rsidTr="002D57AD">
        <w:tc>
          <w:tcPr>
            <w:tcW w:w="4006" w:type="dxa"/>
          </w:tcPr>
          <w:p w:rsidR="002D57AD" w:rsidRDefault="002D57AD" w:rsidP="00E378DD">
            <w:pPr>
              <w:pStyle w:val="libFootnote0"/>
              <w:rPr>
                <w:rtl/>
                <w:lang w:bidi="fa-IR"/>
              </w:rPr>
            </w:pPr>
            <w:r>
              <w:rPr>
                <w:rtl/>
                <w:lang w:bidi="fa-IR"/>
              </w:rPr>
              <w:t>(2). في « بس » : « لا بقليل ».</w:t>
            </w:r>
          </w:p>
        </w:tc>
        <w:tc>
          <w:tcPr>
            <w:tcW w:w="4006" w:type="dxa"/>
          </w:tcPr>
          <w:p w:rsidR="002D57AD" w:rsidRDefault="002D57AD" w:rsidP="00E378DD">
            <w:pPr>
              <w:pStyle w:val="libFootnote0"/>
              <w:rPr>
                <w:rtl/>
                <w:lang w:bidi="fa-IR"/>
              </w:rPr>
            </w:pPr>
            <w:r>
              <w:rPr>
                <w:rtl/>
                <w:lang w:bidi="fa-IR"/>
              </w:rPr>
              <w:t>(3). في « بخ » : « ولا بكثير ».</w:t>
            </w:r>
          </w:p>
        </w:tc>
      </w:tr>
    </w:tbl>
    <w:p w:rsidR="00744A1C" w:rsidRDefault="00E378DD" w:rsidP="00E378DD">
      <w:pPr>
        <w:pStyle w:val="libFootnote0"/>
        <w:rPr>
          <w:lang w:bidi="fa-IR"/>
        </w:rPr>
      </w:pPr>
      <w:r>
        <w:rPr>
          <w:rtl/>
          <w:lang w:bidi="fa-IR"/>
        </w:rPr>
        <w:t>(4).</w:t>
      </w:r>
      <w:r w:rsidR="00744A1C">
        <w:rPr>
          <w:rtl/>
          <w:lang w:bidi="fa-IR"/>
        </w:rPr>
        <w:t xml:space="preserve"> في « ى ، بس ، جن » : « فرفع ». وفي « بث ، بح » </w:t>
      </w:r>
      <w:r w:rsidR="00744A1C" w:rsidRPr="002D57AD">
        <w:rPr>
          <w:rtl/>
        </w:rPr>
        <w:t>والوسائل والفقيه والتهذيب</w:t>
      </w:r>
      <w:r w:rsidR="00744A1C">
        <w:rPr>
          <w:rtl/>
          <w:lang w:bidi="fa-IR"/>
        </w:rPr>
        <w:t xml:space="preserve"> : « فوقع ».</w:t>
      </w:r>
    </w:p>
    <w:tbl>
      <w:tblPr>
        <w:tblStyle w:val="TableGrid"/>
        <w:bidiVisual/>
        <w:tblW w:w="0" w:type="auto"/>
        <w:tblLook w:val="04A0" w:firstRow="1" w:lastRow="0" w:firstColumn="1" w:lastColumn="0" w:noHBand="0" w:noVBand="1"/>
      </w:tblPr>
      <w:tblGrid>
        <w:gridCol w:w="4006"/>
        <w:gridCol w:w="4006"/>
      </w:tblGrid>
      <w:tr w:rsidR="002D57AD" w:rsidTr="002D57AD">
        <w:tc>
          <w:tcPr>
            <w:tcW w:w="4006" w:type="dxa"/>
          </w:tcPr>
          <w:p w:rsidR="002D57AD" w:rsidRDefault="002D57AD" w:rsidP="002D57AD">
            <w:pPr>
              <w:pStyle w:val="libFootnote0"/>
              <w:rPr>
                <w:rtl/>
                <w:lang w:bidi="fa-IR"/>
              </w:rPr>
            </w:pPr>
            <w:r>
              <w:rPr>
                <w:rtl/>
                <w:lang w:bidi="fa-IR"/>
              </w:rPr>
              <w:t xml:space="preserve">(5). في «بث»: «رفعه ».وفي </w:t>
            </w:r>
            <w:r w:rsidRPr="00C24F9C">
              <w:rPr>
                <w:rStyle w:val="libFootnoteBoldChar"/>
                <w:rtl/>
              </w:rPr>
              <w:t>الوافي</w:t>
            </w:r>
            <w:r>
              <w:rPr>
                <w:rtl/>
                <w:lang w:bidi="fa-IR"/>
              </w:rPr>
              <w:t>:- « رقعة ».</w:t>
            </w:r>
          </w:p>
        </w:tc>
        <w:tc>
          <w:tcPr>
            <w:tcW w:w="4006" w:type="dxa"/>
          </w:tcPr>
          <w:p w:rsidR="002D57AD" w:rsidRDefault="002D57AD" w:rsidP="00E378DD">
            <w:pPr>
              <w:pStyle w:val="libFootnote0"/>
              <w:rPr>
                <w:rtl/>
                <w:lang w:bidi="fa-IR"/>
              </w:rPr>
            </w:pPr>
            <w:r>
              <w:rPr>
                <w:rtl/>
                <w:lang w:bidi="fa-IR"/>
              </w:rPr>
              <w:t>(6). في «بس</w:t>
            </w:r>
            <w:r w:rsidRPr="002D57AD">
              <w:rPr>
                <w:rtl/>
              </w:rPr>
              <w:t>» والوافي والوسائل والتهذيب</w:t>
            </w:r>
            <w:r>
              <w:rPr>
                <w:rtl/>
                <w:lang w:bidi="fa-IR"/>
              </w:rPr>
              <w:t xml:space="preserve"> : «فأخبره».</w:t>
            </w:r>
          </w:p>
        </w:tc>
      </w:tr>
    </w:tbl>
    <w:p w:rsidR="00744A1C" w:rsidRDefault="00E378DD" w:rsidP="00E378DD">
      <w:pPr>
        <w:pStyle w:val="libFootnote0"/>
        <w:rPr>
          <w:lang w:bidi="fa-IR"/>
        </w:rPr>
      </w:pPr>
      <w:r>
        <w:rPr>
          <w:rtl/>
          <w:lang w:bidi="fa-IR"/>
        </w:rPr>
        <w:t>(7).</w:t>
      </w:r>
      <w:r w:rsidR="00744A1C">
        <w:rPr>
          <w:rtl/>
          <w:lang w:bidi="fa-IR"/>
        </w:rPr>
        <w:t xml:space="preserve"> في حاشية « بث » : « لا نجد ». وفي « بس » : « لم يجد ». وفي </w:t>
      </w:r>
      <w:r w:rsidR="00744A1C" w:rsidRPr="00C24F9C">
        <w:rPr>
          <w:rStyle w:val="libFootnoteBoldChar"/>
          <w:rtl/>
        </w:rPr>
        <w:t>الوافي</w:t>
      </w:r>
      <w:r w:rsidR="00744A1C">
        <w:rPr>
          <w:rtl/>
          <w:lang w:bidi="fa-IR"/>
        </w:rPr>
        <w:t xml:space="preserve"> : « وإنّا لم نجد بعد » بدل « ثمّ لم نجد ».</w:t>
      </w:r>
    </w:p>
    <w:tbl>
      <w:tblPr>
        <w:tblStyle w:val="TableGrid"/>
        <w:bidiVisual/>
        <w:tblW w:w="0" w:type="auto"/>
        <w:tblLook w:val="04A0" w:firstRow="1" w:lastRow="0" w:firstColumn="1" w:lastColumn="0" w:noHBand="0" w:noVBand="1"/>
      </w:tblPr>
      <w:tblGrid>
        <w:gridCol w:w="4006"/>
        <w:gridCol w:w="4006"/>
      </w:tblGrid>
      <w:tr w:rsidR="002D57AD" w:rsidTr="002D57AD">
        <w:tc>
          <w:tcPr>
            <w:tcW w:w="4006" w:type="dxa"/>
          </w:tcPr>
          <w:p w:rsidR="002D57AD" w:rsidRDefault="002D57AD" w:rsidP="00E378DD">
            <w:pPr>
              <w:pStyle w:val="libFootnote0"/>
              <w:rPr>
                <w:rtl/>
                <w:lang w:bidi="fa-IR"/>
              </w:rPr>
            </w:pPr>
            <w:r>
              <w:rPr>
                <w:rtl/>
                <w:lang w:bidi="fa-IR"/>
              </w:rPr>
              <w:t xml:space="preserve">(8). في </w:t>
            </w:r>
            <w:r w:rsidRPr="002D57AD">
              <w:rPr>
                <w:rtl/>
              </w:rPr>
              <w:t>الوافي</w:t>
            </w:r>
            <w:r>
              <w:rPr>
                <w:rtl/>
                <w:lang w:bidi="fa-IR"/>
              </w:rPr>
              <w:t xml:space="preserve"> عن بعض النسخ : + « إليه ».</w:t>
            </w:r>
          </w:p>
        </w:tc>
        <w:tc>
          <w:tcPr>
            <w:tcW w:w="4006" w:type="dxa"/>
          </w:tcPr>
          <w:p w:rsidR="002D57AD" w:rsidRDefault="002D57AD" w:rsidP="00E378DD">
            <w:pPr>
              <w:pStyle w:val="libFootnote0"/>
              <w:rPr>
                <w:rtl/>
                <w:lang w:bidi="fa-IR"/>
              </w:rPr>
            </w:pPr>
            <w:r>
              <w:rPr>
                <w:rtl/>
                <w:lang w:bidi="fa-IR"/>
              </w:rPr>
              <w:t xml:space="preserve">(9). في « بس ، جن » </w:t>
            </w:r>
            <w:r w:rsidRPr="002D57AD">
              <w:rPr>
                <w:rtl/>
              </w:rPr>
              <w:t>والوسائل</w:t>
            </w:r>
            <w:r>
              <w:rPr>
                <w:rtl/>
                <w:lang w:bidi="fa-IR"/>
              </w:rPr>
              <w:t xml:space="preserve"> : + « إلى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2D57AD">
        <w:rPr>
          <w:rtl/>
        </w:rPr>
        <w:t>الوافي</w:t>
      </w:r>
      <w:r w:rsidR="00744A1C">
        <w:rPr>
          <w:rtl/>
          <w:lang w:bidi="fa-IR"/>
        </w:rPr>
        <w:t xml:space="preserve"> : + « فاجمعوا ». وفي </w:t>
      </w:r>
      <w:r w:rsidR="00744A1C" w:rsidRPr="002D57AD">
        <w:rPr>
          <w:rtl/>
        </w:rPr>
        <w:t>الفقيه والتهذيب</w:t>
      </w:r>
      <w:r w:rsidR="00744A1C">
        <w:rPr>
          <w:rtl/>
          <w:lang w:bidi="fa-IR"/>
        </w:rPr>
        <w:t xml:space="preserve"> : + « فاجمعوه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الفقيه</w:t>
      </w:r>
      <w:r w:rsidR="00744A1C">
        <w:rPr>
          <w:rtl/>
          <w:lang w:bidi="fa-IR"/>
        </w:rPr>
        <w:t xml:space="preserve"> ، ج 2 ، ص 497 ، ح 3063 ، معلّقاً عن عبدالله بن عمر ؛ </w:t>
      </w:r>
      <w:r w:rsidR="00744A1C" w:rsidRPr="00C24F9C">
        <w:rPr>
          <w:rStyle w:val="libFootnoteBoldChar"/>
          <w:rtl/>
        </w:rPr>
        <w:t>التهذيب</w:t>
      </w:r>
      <w:r w:rsidR="00744A1C">
        <w:rPr>
          <w:rtl/>
          <w:lang w:bidi="fa-IR"/>
        </w:rPr>
        <w:t xml:space="preserve"> ، ج 5 ، ص 238 ، ح 805 ، بسنده عن عبدالله بن عمر </w:t>
      </w:r>
      <w:r w:rsidR="002D57AD">
        <w:rPr>
          <w:rFonts w:hint="cs"/>
          <w:rtl/>
          <w:lang w:bidi="fa-IR"/>
        </w:rPr>
        <w:t>.</w:t>
      </w:r>
      <w:r w:rsidR="00744A1C" w:rsidRPr="00C24F9C">
        <w:rPr>
          <w:rStyle w:val="libFootnoteBoldChar"/>
          <w:rtl/>
        </w:rPr>
        <w:t>الوافي</w:t>
      </w:r>
      <w:r w:rsidR="00744A1C">
        <w:rPr>
          <w:rtl/>
          <w:lang w:bidi="fa-IR"/>
        </w:rPr>
        <w:t xml:space="preserve"> ، ج 14 ، ص 1176 ، ح 14029 ؛ </w:t>
      </w:r>
      <w:r w:rsidR="00744A1C" w:rsidRPr="00C24F9C">
        <w:rPr>
          <w:rStyle w:val="libFootnoteBoldChar"/>
          <w:rtl/>
        </w:rPr>
        <w:t>الوسائل</w:t>
      </w:r>
      <w:r w:rsidR="00744A1C">
        <w:rPr>
          <w:rtl/>
          <w:lang w:bidi="fa-IR"/>
        </w:rPr>
        <w:t xml:space="preserve"> ، ج 14 ، ص 203 ، ح 18983.</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الوسائل</w:t>
      </w:r>
      <w:r w:rsidR="00744A1C">
        <w:rPr>
          <w:rtl/>
          <w:lang w:bidi="fa-IR"/>
        </w:rPr>
        <w:t xml:space="preserve"> : « عن محمّد » بدل « ومحمّد ». وهو سهو ؛ فقد روى ابن أبي عمير كتاب محمّد بن أبي حمزة ، وتكرّرت روايته عنه في الأسناد ، كما تكرّرت رواية الحسين بن عثمان عن إسحاق بن عمّار في الأسناد. راجع : </w:t>
      </w:r>
      <w:r w:rsidR="00744A1C" w:rsidRPr="003A7143">
        <w:rPr>
          <w:rStyle w:val="libFootnoteBoldChar"/>
          <w:rtl/>
        </w:rPr>
        <w:t>رجال النجاشي</w:t>
      </w:r>
      <w:r w:rsidR="00744A1C">
        <w:rPr>
          <w:rtl/>
          <w:lang w:bidi="fa-IR"/>
        </w:rPr>
        <w:t xml:space="preserve"> ، ص 358 ، الرقم 961 ؛ </w:t>
      </w:r>
      <w:r w:rsidR="00744A1C" w:rsidRPr="003A7143">
        <w:rPr>
          <w:rStyle w:val="libFootnoteBoldChar"/>
          <w:rtl/>
        </w:rPr>
        <w:t>الفهرست للطوسي</w:t>
      </w:r>
      <w:r w:rsidR="00744A1C">
        <w:rPr>
          <w:rtl/>
          <w:lang w:bidi="fa-IR"/>
        </w:rPr>
        <w:t xml:space="preserve"> ، ص 419 ، الرقم 642 ؛ </w:t>
      </w:r>
      <w:r w:rsidR="00744A1C" w:rsidRPr="0061079A">
        <w:rPr>
          <w:rStyle w:val="libFootnoteBoldChar"/>
          <w:rtl/>
        </w:rPr>
        <w:t>معجم رجال الحديث</w:t>
      </w:r>
      <w:r w:rsidR="00744A1C">
        <w:rPr>
          <w:rtl/>
          <w:lang w:bidi="fa-IR"/>
        </w:rPr>
        <w:t xml:space="preserve"> ، ج 6 ، ص 331 ؛ وج 22 ، ص 300 - 301.</w:t>
      </w:r>
    </w:p>
    <w:p w:rsidR="00744A1C" w:rsidRDefault="00744A1C" w:rsidP="00D10E3C">
      <w:pPr>
        <w:pStyle w:val="libFootnote0"/>
        <w:rPr>
          <w:lang w:bidi="fa-IR"/>
        </w:rPr>
      </w:pPr>
      <w:r>
        <w:rPr>
          <w:rtl/>
          <w:lang w:bidi="fa-IR"/>
        </w:rPr>
        <w:t xml:space="preserve">ويؤيّد ذلك أنّ الخبر رواه الحسين بن عثمان في كتابه عن إسحاق بن عمّار عن أبي عبد الله </w:t>
      </w:r>
      <w:r w:rsidR="0061079A" w:rsidRPr="0061079A">
        <w:rPr>
          <w:rStyle w:val="libFootnoteAlaemChar"/>
          <w:rtl/>
        </w:rPr>
        <w:t>عليه‌السلام</w:t>
      </w:r>
      <w:r>
        <w:rPr>
          <w:rtl/>
          <w:lang w:bidi="fa-IR"/>
        </w:rPr>
        <w:t xml:space="preserve"> . راجع : أصول </w:t>
      </w:r>
      <w:r w:rsidRPr="002D57AD">
        <w:rPr>
          <w:rStyle w:val="libFootnoteBoldChar"/>
          <w:rtl/>
        </w:rPr>
        <w:t>الستّة عشر</w:t>
      </w:r>
      <w:r>
        <w:rPr>
          <w:rtl/>
          <w:lang w:bidi="fa-IR"/>
        </w:rPr>
        <w:t xml:space="preserve"> ، ص 323 ، ح 521.</w:t>
      </w:r>
    </w:p>
    <w:p w:rsidR="00744A1C" w:rsidRDefault="00744A1C" w:rsidP="00D10E3C">
      <w:pPr>
        <w:pStyle w:val="libFootnote0"/>
        <w:rPr>
          <w:lang w:bidi="fa-IR"/>
        </w:rPr>
      </w:pPr>
      <w:r>
        <w:rPr>
          <w:rtl/>
          <w:lang w:bidi="fa-IR"/>
        </w:rPr>
        <w:t>هذا ، وقد روى ابن أبي عمير عن الحسين بن عثمان ومحمّد بن أبي حمزة متعاطفين عن إسحاق بن عمّار في بعض الأسناد. ا</w:t>
      </w:r>
      <w:r w:rsidR="002D57AD">
        <w:rPr>
          <w:rFonts w:hint="cs"/>
          <w:rtl/>
          <w:lang w:bidi="fa-IR"/>
        </w:rPr>
        <w:t>ُ</w:t>
      </w:r>
      <w:r>
        <w:rPr>
          <w:rtl/>
          <w:lang w:bidi="fa-IR"/>
        </w:rPr>
        <w:t xml:space="preserve">نظر على سبيل المثال : </w:t>
      </w:r>
      <w:r w:rsidRPr="0061079A">
        <w:rPr>
          <w:rStyle w:val="libFootnoteBoldChar"/>
          <w:rtl/>
        </w:rPr>
        <w:t>الكافي</w:t>
      </w:r>
      <w:r>
        <w:rPr>
          <w:rtl/>
          <w:lang w:bidi="fa-IR"/>
        </w:rPr>
        <w:t xml:space="preserve"> ، ح 6980 و 10734 و 11150 و 13254 و 13625.</w:t>
      </w:r>
    </w:p>
    <w:p w:rsidR="00744A1C" w:rsidRDefault="00E378DD" w:rsidP="00E378DD">
      <w:pPr>
        <w:pStyle w:val="libFootnote0"/>
        <w:rPr>
          <w:lang w:bidi="fa-IR"/>
        </w:rPr>
      </w:pPr>
      <w:r>
        <w:rPr>
          <w:rtl/>
          <w:lang w:bidi="fa-IR"/>
        </w:rPr>
        <w:t>(13).</w:t>
      </w:r>
      <w:r w:rsidR="00744A1C">
        <w:rPr>
          <w:rtl/>
          <w:lang w:bidi="fa-IR"/>
        </w:rPr>
        <w:t xml:space="preserve"> في </w:t>
      </w:r>
      <w:r w:rsidR="00744A1C" w:rsidRPr="002D57AD">
        <w:rPr>
          <w:rtl/>
        </w:rPr>
        <w:t>التهذيب</w:t>
      </w:r>
      <w:r w:rsidR="00744A1C">
        <w:rPr>
          <w:rtl/>
          <w:lang w:bidi="fa-IR"/>
        </w:rPr>
        <w:t xml:space="preserve"> : « رجل حجّ » بدل « الرجل يحجّ عن آخر ».</w:t>
      </w:r>
    </w:p>
    <w:p w:rsidR="00744A1C" w:rsidRDefault="00E378DD" w:rsidP="00E378DD">
      <w:pPr>
        <w:pStyle w:val="libFootnote0"/>
        <w:rPr>
          <w:lang w:bidi="fa-IR"/>
        </w:rPr>
      </w:pPr>
      <w:r>
        <w:rPr>
          <w:rtl/>
          <w:lang w:bidi="fa-IR"/>
        </w:rPr>
        <w:t>(14).</w:t>
      </w:r>
      <w:r w:rsidR="00744A1C">
        <w:rPr>
          <w:rtl/>
          <w:lang w:bidi="fa-IR"/>
        </w:rPr>
        <w:t xml:space="preserve"> في « جد » : « أيلزمه ». وفي « جن » : « تلزم » بالتاء والياء معاً.</w:t>
      </w:r>
    </w:p>
    <w:p w:rsidR="00744A1C" w:rsidRDefault="00E378DD" w:rsidP="00E378DD">
      <w:pPr>
        <w:pStyle w:val="libFootnote0"/>
        <w:rPr>
          <w:lang w:bidi="fa-IR"/>
        </w:rPr>
      </w:pPr>
      <w:r>
        <w:rPr>
          <w:rtl/>
          <w:lang w:bidi="fa-IR"/>
        </w:rPr>
        <w:t>(15).</w:t>
      </w:r>
      <w:r w:rsidR="00744A1C">
        <w:rPr>
          <w:rtl/>
          <w:lang w:bidi="fa-IR"/>
        </w:rPr>
        <w:t xml:space="preserve"> </w:t>
      </w:r>
      <w:r w:rsidR="00744A1C" w:rsidRPr="00C24F9C">
        <w:rPr>
          <w:rStyle w:val="libFootnoteBoldChar"/>
          <w:rtl/>
        </w:rPr>
        <w:t>التهذيب</w:t>
      </w:r>
      <w:r w:rsidR="00744A1C">
        <w:rPr>
          <w:rtl/>
          <w:lang w:bidi="fa-IR"/>
        </w:rPr>
        <w:t xml:space="preserve"> ، ج 5 ، ص 461 ، ح 1606 ، بسنده عن إسحاق بن عمّار </w:t>
      </w:r>
      <w:r w:rsidR="002D57AD">
        <w:rPr>
          <w:rFonts w:hint="cs"/>
          <w:rtl/>
          <w:lang w:bidi="fa-IR"/>
        </w:rPr>
        <w:t>.</w:t>
      </w:r>
      <w:r w:rsidR="00744A1C" w:rsidRPr="00C24F9C">
        <w:rPr>
          <w:rStyle w:val="libFootnoteBoldChar"/>
          <w:rtl/>
        </w:rPr>
        <w:t>الوافي</w:t>
      </w:r>
      <w:r w:rsidR="00744A1C">
        <w:rPr>
          <w:rtl/>
          <w:lang w:bidi="fa-IR"/>
        </w:rPr>
        <w:t xml:space="preserve"> ، ج 12 ، ص 320 ، ح 12021 ؛ </w:t>
      </w:r>
      <w:r w:rsidR="002D57AD">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8075 / 24. عَلِيُّ بْنُ إِبْرَاهِيمَ ، عَنْ صَالِحِ بْنِ السِّنْدِيِّ ، عَنْ جَعْفَرِ بْنِ بَشِيرٍ ، عَنْ أَبَانٍ ، عَنْ أَبِي الْحَسَنِ </w:t>
      </w:r>
      <w:r w:rsidRPr="00D10E3C">
        <w:rPr>
          <w:rStyle w:val="libFootnotenumChar"/>
          <w:rtl/>
        </w:rPr>
        <w:t>(1)</w:t>
      </w:r>
      <w:r>
        <w:rPr>
          <w:rtl/>
          <w:lang w:bidi="fa-IR"/>
        </w:rPr>
        <w:t xml:space="preserve"> :</w:t>
      </w:r>
    </w:p>
    <w:p w:rsidR="00744A1C" w:rsidRDefault="00744A1C" w:rsidP="00744A1C">
      <w:pPr>
        <w:pStyle w:val="libNormal"/>
        <w:rPr>
          <w:lang w:bidi="fa-IR"/>
        </w:rPr>
      </w:pPr>
      <w:r>
        <w:rPr>
          <w:rtl/>
          <w:lang w:bidi="fa-IR"/>
        </w:rPr>
        <w:t xml:space="preserve">عَنْ أَبِي عَبْدِ اللهِ </w:t>
      </w:r>
      <w:r w:rsidR="008859AA" w:rsidRPr="008859AA">
        <w:rPr>
          <w:rStyle w:val="libAlaemChar"/>
          <w:rtl/>
        </w:rPr>
        <w:t>عليهما‌السلام</w:t>
      </w:r>
      <w:r>
        <w:rPr>
          <w:rtl/>
          <w:lang w:bidi="fa-IR"/>
        </w:rPr>
        <w:t xml:space="preserve">، قَالَ : « جَاءَ رَجُلٌ إِلى أَبِي جَعْفَرٍ </w:t>
      </w:r>
      <w:r w:rsidR="0061079A" w:rsidRPr="0061079A">
        <w:rPr>
          <w:rStyle w:val="libAlaemChar"/>
          <w:rtl/>
        </w:rPr>
        <w:t>عليه‌السلام</w:t>
      </w:r>
      <w:r w:rsidR="00D10E3C">
        <w:rPr>
          <w:rtl/>
          <w:lang w:bidi="fa-IR"/>
        </w:rPr>
        <w:t xml:space="preserve"> </w:t>
      </w:r>
      <w:r>
        <w:rPr>
          <w:rtl/>
          <w:lang w:bidi="fa-IR"/>
        </w:rPr>
        <w:t xml:space="preserve">، فَقَالَ </w:t>
      </w:r>
      <w:r w:rsidRPr="00D10E3C">
        <w:rPr>
          <w:rStyle w:val="libFootnotenumChar"/>
          <w:rtl/>
        </w:rPr>
        <w:t>(2)</w:t>
      </w:r>
      <w:r>
        <w:rPr>
          <w:rtl/>
          <w:lang w:bidi="fa-IR"/>
        </w:rPr>
        <w:t xml:space="preserve"> : إِنِّي أَهْدَيْتُ جَارِيَةً إِلَى الْكَعْبَةِ ، فَأُعْطِيتُ </w:t>
      </w:r>
      <w:r w:rsidRPr="00D10E3C">
        <w:rPr>
          <w:rStyle w:val="libFootnotenumChar"/>
          <w:rtl/>
        </w:rPr>
        <w:t>(3)</w:t>
      </w:r>
      <w:r>
        <w:rPr>
          <w:rtl/>
          <w:lang w:bidi="fa-IR"/>
        </w:rPr>
        <w:t xml:space="preserve"> خَمْسَمِائَةِ دِينَارٍ ، فَمَا تَرى؟</w:t>
      </w:r>
    </w:p>
    <w:p w:rsidR="00144FA6" w:rsidRDefault="00744A1C" w:rsidP="00744A1C">
      <w:pPr>
        <w:pStyle w:val="libNormal"/>
        <w:rPr>
          <w:rtl/>
          <w:lang w:bidi="fa-IR"/>
        </w:rPr>
      </w:pPr>
      <w:r>
        <w:rPr>
          <w:rtl/>
          <w:lang w:bidi="fa-IR"/>
        </w:rPr>
        <w:t xml:space="preserve">قَالَ : بِعْهَا ، ثُمَّ خُذْ ثَمَنَهَا ، ثُمَّ قُمْ عَلى هذَا الْحَائِطِ </w:t>
      </w:r>
      <w:r w:rsidRPr="00D10E3C">
        <w:rPr>
          <w:rStyle w:val="libFootnotenumChar"/>
          <w:rtl/>
        </w:rPr>
        <w:t>(4)</w:t>
      </w:r>
      <w:r>
        <w:rPr>
          <w:rtl/>
          <w:lang w:bidi="fa-IR"/>
        </w:rPr>
        <w:t xml:space="preserve"> حَائِطِ الْحِجْرِ ، ثُمَّ نَادِ ، وَأَعْطِ </w:t>
      </w:r>
      <w:r w:rsidRPr="00D10E3C">
        <w:rPr>
          <w:rStyle w:val="libFootnotenumChar"/>
          <w:rtl/>
        </w:rPr>
        <w:t>(5)</w:t>
      </w:r>
      <w:r>
        <w:rPr>
          <w:rtl/>
          <w:lang w:bidi="fa-IR"/>
        </w:rPr>
        <w:t xml:space="preserve"> كُلَّ مُنْقَطَعٍ بِهِ ، وَكُلَّ مُحْتَاجٍ مِنَ الْحَاجِّ ». </w:t>
      </w:r>
      <w:r w:rsidRPr="00D10E3C">
        <w:rPr>
          <w:rStyle w:val="libFootnotenumChar"/>
          <w:rtl/>
        </w:rPr>
        <w:t>(6)</w:t>
      </w:r>
    </w:p>
    <w:p w:rsidR="00144FA6" w:rsidRDefault="00744A1C" w:rsidP="00744A1C">
      <w:pPr>
        <w:pStyle w:val="libNormal"/>
        <w:rPr>
          <w:rtl/>
          <w:lang w:bidi="fa-IR"/>
        </w:rPr>
      </w:pPr>
      <w:r>
        <w:rPr>
          <w:rtl/>
          <w:lang w:bidi="fa-IR"/>
        </w:rPr>
        <w:t xml:space="preserve">8076 / 25. مُحَمَّدُ بْنُ يَحْيى ، عَنْ أَحْمَدَ بْنِ مُحَمَّدٍ ، عَنِ ابْنِ فَضَّالٍ وَالْحَجَّالِ </w:t>
      </w:r>
      <w:r w:rsidRPr="00D10E3C">
        <w:rPr>
          <w:rStyle w:val="libFootnotenumChar"/>
          <w:rtl/>
        </w:rPr>
        <w:t>(7)</w:t>
      </w:r>
      <w:r>
        <w:rPr>
          <w:rtl/>
          <w:lang w:bidi="fa-IR"/>
        </w:rPr>
        <w:t xml:space="preserve"> ، عَنْ ثَعْلَبَةَ ، عَنْ أَبِي خَالِدٍ الْقَمَّاطِ ، عَنْ عَبْدِ الْخَالِقِ الصَّيْقَلِ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قَوْلِ اللهِ عَزَّ وَجَلَّ : </w:t>
      </w:r>
      <w:r w:rsidRPr="002D57AD">
        <w:rPr>
          <w:rStyle w:val="libAlaemChar"/>
          <w:rtl/>
        </w:rPr>
        <w:t>(</w:t>
      </w:r>
      <w:r w:rsidRPr="002D57AD">
        <w:rPr>
          <w:rStyle w:val="libAieChar"/>
          <w:rtl/>
        </w:rPr>
        <w:t xml:space="preserve"> وَمَنْ دَخَلَهُ كانَ آمِناً </w:t>
      </w:r>
      <w:r w:rsidRPr="002D57AD">
        <w:rPr>
          <w:rStyle w:val="libAlaemChar"/>
          <w:rtl/>
        </w:rPr>
        <w:t>)</w:t>
      </w:r>
      <w:r>
        <w:rPr>
          <w:rtl/>
          <w:lang w:bidi="fa-IR"/>
        </w:rPr>
        <w:t xml:space="preserve"> </w:t>
      </w:r>
      <w:r w:rsidRPr="00D10E3C">
        <w:rPr>
          <w:rStyle w:val="libFootnotenumChar"/>
          <w:rtl/>
        </w:rPr>
        <w:t>(8)</w:t>
      </w:r>
      <w:r>
        <w:rPr>
          <w:rtl/>
          <w:lang w:bidi="fa-IR"/>
        </w:rPr>
        <w:t>؟</w:t>
      </w:r>
    </w:p>
    <w:p w:rsidR="00744A1C" w:rsidRDefault="00744A1C" w:rsidP="00744A1C">
      <w:pPr>
        <w:pStyle w:val="libNormal"/>
        <w:rPr>
          <w:lang w:bidi="fa-IR"/>
        </w:rPr>
      </w:pPr>
      <w:r>
        <w:rPr>
          <w:rtl/>
          <w:lang w:bidi="fa-IR"/>
        </w:rPr>
        <w:t xml:space="preserve">فَقَالَ : « لَقَدْ سَأَلْتَنِي عَنْ شَيْ‌ءٍ مَا سَأَلَنِي </w:t>
      </w:r>
      <w:r w:rsidRPr="00D10E3C">
        <w:rPr>
          <w:rStyle w:val="libFootnotenumChar"/>
          <w:rtl/>
        </w:rPr>
        <w:t>(9)</w:t>
      </w:r>
      <w:r w:rsidR="002D57AD">
        <w:rPr>
          <w:rtl/>
          <w:lang w:bidi="fa-IR"/>
        </w:rPr>
        <w:t xml:space="preserve"> أَحَدٌ إِل</w:t>
      </w:r>
      <w:r w:rsidR="002D57AD">
        <w:rPr>
          <w:rFonts w:hint="cs"/>
          <w:rtl/>
          <w:lang w:bidi="fa-IR"/>
        </w:rPr>
        <w:t>َّ</w:t>
      </w:r>
      <w:r w:rsidR="002D57AD">
        <w:rPr>
          <w:rtl/>
          <w:lang w:bidi="fa-IR"/>
        </w:rPr>
        <w:t>ا</w:t>
      </w:r>
      <w:r>
        <w:rPr>
          <w:rtl/>
          <w:lang w:bidi="fa-IR"/>
        </w:rPr>
        <w:t xml:space="preserve"> مَنْ </w:t>
      </w:r>
      <w:r w:rsidRPr="00D10E3C">
        <w:rPr>
          <w:rStyle w:val="libFootnotenumChar"/>
          <w:rtl/>
        </w:rPr>
        <w:t>(10)</w:t>
      </w:r>
      <w:r>
        <w:rPr>
          <w:rtl/>
          <w:lang w:bidi="fa-IR"/>
        </w:rPr>
        <w:t xml:space="preserve"> شَاءَ اللهُ » قَالَ </w:t>
      </w:r>
      <w:r w:rsidRPr="00D10E3C">
        <w:rPr>
          <w:rStyle w:val="libFootnotenumChar"/>
          <w:rtl/>
        </w:rPr>
        <w:t>(11)</w:t>
      </w:r>
      <w:r>
        <w:rPr>
          <w:rtl/>
          <w:lang w:bidi="fa-IR"/>
        </w:rPr>
        <w:t xml:space="preserve"> : « مَنْ أَمَّ‌</w:t>
      </w:r>
    </w:p>
    <w:p w:rsidR="00744A1C" w:rsidRDefault="00744A1C" w:rsidP="00D10E3C">
      <w:pPr>
        <w:pStyle w:val="libLine"/>
        <w:rPr>
          <w:lang w:bidi="fa-IR"/>
        </w:rPr>
      </w:pPr>
      <w:r>
        <w:rPr>
          <w:rtl/>
          <w:lang w:bidi="fa-IR"/>
        </w:rPr>
        <w:t>____________________</w:t>
      </w:r>
    </w:p>
    <w:p w:rsidR="00744A1C" w:rsidRDefault="002D57AD" w:rsidP="00D10E3C">
      <w:pPr>
        <w:pStyle w:val="libFootnote0"/>
        <w:rPr>
          <w:lang w:bidi="fa-IR"/>
        </w:rPr>
      </w:pPr>
      <w:r w:rsidRPr="002D57AD">
        <w:rPr>
          <w:rFonts w:hint="cs"/>
          <w:rtl/>
        </w:rPr>
        <w:t xml:space="preserve">= </w:t>
      </w:r>
      <w:r w:rsidR="00744A1C" w:rsidRPr="00C24F9C">
        <w:rPr>
          <w:rStyle w:val="libFootnoteBoldChar"/>
          <w:rtl/>
        </w:rPr>
        <w:t>الوسائل</w:t>
      </w:r>
      <w:r w:rsidR="00744A1C">
        <w:rPr>
          <w:rtl/>
          <w:lang w:bidi="fa-IR"/>
        </w:rPr>
        <w:t xml:space="preserve"> ، ج 11 ، ص 185 ، ح 14582.</w:t>
      </w:r>
    </w:p>
    <w:p w:rsidR="00744A1C" w:rsidRDefault="00D10E3C" w:rsidP="00D10E3C">
      <w:pPr>
        <w:pStyle w:val="libFootnote0"/>
        <w:rPr>
          <w:lang w:bidi="fa-IR"/>
        </w:rPr>
      </w:pPr>
      <w:r>
        <w:rPr>
          <w:rtl/>
          <w:lang w:bidi="fa-IR"/>
        </w:rPr>
        <w:t>(1).</w:t>
      </w:r>
      <w:r w:rsidR="00744A1C">
        <w:rPr>
          <w:rtl/>
          <w:lang w:bidi="fa-IR"/>
        </w:rPr>
        <w:t xml:space="preserve"> في </w:t>
      </w:r>
      <w:r w:rsidR="00744A1C" w:rsidRPr="002D57AD">
        <w:rPr>
          <w:rtl/>
        </w:rPr>
        <w:t>الوسائل والكافي</w:t>
      </w:r>
      <w:r w:rsidR="00744A1C">
        <w:rPr>
          <w:rtl/>
          <w:lang w:bidi="fa-IR"/>
        </w:rPr>
        <w:t xml:space="preserve"> ، ح 6844 والعلل : « أبي الحرّ ».</w:t>
      </w:r>
    </w:p>
    <w:p w:rsidR="00744A1C" w:rsidRDefault="00E378DD" w:rsidP="00E378DD">
      <w:pPr>
        <w:pStyle w:val="libFootnote0"/>
        <w:rPr>
          <w:lang w:bidi="fa-IR"/>
        </w:rPr>
      </w:pPr>
      <w:r>
        <w:rPr>
          <w:rtl/>
          <w:lang w:bidi="fa-IR"/>
        </w:rPr>
        <w:t>(2).</w:t>
      </w:r>
      <w:r w:rsidR="00744A1C">
        <w:rPr>
          <w:rtl/>
          <w:lang w:bidi="fa-IR"/>
        </w:rPr>
        <w:t xml:space="preserve"> في </w:t>
      </w:r>
      <w:r w:rsidR="00744A1C" w:rsidRPr="002D57AD">
        <w:rPr>
          <w:rtl/>
        </w:rPr>
        <w:t>الوافي والوسائل</w:t>
      </w:r>
      <w:r w:rsidR="00744A1C">
        <w:rPr>
          <w:rtl/>
          <w:lang w:bidi="fa-IR"/>
        </w:rPr>
        <w:t xml:space="preserve"> : + « له ».</w:t>
      </w:r>
    </w:p>
    <w:p w:rsidR="00744A1C" w:rsidRDefault="00E378DD" w:rsidP="00E378DD">
      <w:pPr>
        <w:pStyle w:val="libFootnote0"/>
        <w:rPr>
          <w:lang w:bidi="fa-IR"/>
        </w:rPr>
      </w:pPr>
      <w:r>
        <w:rPr>
          <w:rtl/>
          <w:lang w:bidi="fa-IR"/>
        </w:rPr>
        <w:t>(3).</w:t>
      </w:r>
      <w:r w:rsidR="00744A1C">
        <w:rPr>
          <w:rtl/>
          <w:lang w:bidi="fa-IR"/>
        </w:rPr>
        <w:t xml:space="preserve"> في </w:t>
      </w:r>
      <w:r w:rsidR="00744A1C" w:rsidRPr="002D57AD">
        <w:rPr>
          <w:rtl/>
        </w:rPr>
        <w:t>الوسائل والكافي</w:t>
      </w:r>
      <w:r w:rsidR="00744A1C">
        <w:rPr>
          <w:rtl/>
          <w:lang w:bidi="fa-IR"/>
        </w:rPr>
        <w:t xml:space="preserve"> ، ح 6844 : + « بها ». وفي </w:t>
      </w:r>
      <w:r w:rsidR="00744A1C" w:rsidRPr="002D57AD">
        <w:rPr>
          <w:rtl/>
        </w:rPr>
        <w:t>التهذيب</w:t>
      </w:r>
      <w:r w:rsidR="00744A1C">
        <w:rPr>
          <w:rtl/>
          <w:lang w:bidi="fa-IR"/>
        </w:rPr>
        <w:t xml:space="preserve"> : « وا</w:t>
      </w:r>
      <w:r w:rsidR="002D57AD">
        <w:rPr>
          <w:rFonts w:hint="cs"/>
          <w:rtl/>
          <w:lang w:bidi="fa-IR"/>
        </w:rPr>
        <w:t>ُ</w:t>
      </w:r>
      <w:r w:rsidR="00744A1C">
        <w:rPr>
          <w:rtl/>
          <w:lang w:bidi="fa-IR"/>
        </w:rPr>
        <w:t>عطيت بها ».</w:t>
      </w:r>
    </w:p>
    <w:p w:rsidR="00744A1C" w:rsidRDefault="00E378DD" w:rsidP="00E378DD">
      <w:pPr>
        <w:pStyle w:val="libFootnote0"/>
        <w:rPr>
          <w:lang w:bidi="fa-IR"/>
        </w:rPr>
      </w:pPr>
      <w:r>
        <w:rPr>
          <w:rtl/>
          <w:lang w:bidi="fa-IR"/>
        </w:rPr>
        <w:t>(4).</w:t>
      </w:r>
      <w:r w:rsidR="00744A1C">
        <w:rPr>
          <w:rtl/>
          <w:lang w:bidi="fa-IR"/>
        </w:rPr>
        <w:t xml:space="preserve"> في </w:t>
      </w:r>
      <w:r w:rsidR="00744A1C" w:rsidRPr="002D57AD">
        <w:rPr>
          <w:rtl/>
        </w:rPr>
        <w:t>الوافي والوسائل والكافي</w:t>
      </w:r>
      <w:r w:rsidR="00744A1C">
        <w:rPr>
          <w:rtl/>
          <w:lang w:bidi="fa-IR"/>
        </w:rPr>
        <w:t xml:space="preserve"> ، ح 6844 : - « هذا الحائط ».</w:t>
      </w:r>
    </w:p>
    <w:p w:rsidR="00744A1C" w:rsidRDefault="00E378DD" w:rsidP="00E378DD">
      <w:pPr>
        <w:pStyle w:val="libFootnote0"/>
        <w:rPr>
          <w:lang w:bidi="fa-IR"/>
        </w:rPr>
      </w:pPr>
      <w:r>
        <w:rPr>
          <w:rtl/>
          <w:lang w:bidi="fa-IR"/>
        </w:rPr>
        <w:t>(5).</w:t>
      </w:r>
      <w:r w:rsidR="00744A1C">
        <w:rPr>
          <w:rtl/>
          <w:lang w:bidi="fa-IR"/>
        </w:rPr>
        <w:t xml:space="preserve"> في </w:t>
      </w:r>
      <w:r w:rsidR="00744A1C" w:rsidRPr="002D57AD">
        <w:rPr>
          <w:rtl/>
        </w:rPr>
        <w:t>الوافي</w:t>
      </w:r>
      <w:r w:rsidR="00744A1C">
        <w:rPr>
          <w:rtl/>
          <w:lang w:bidi="fa-IR"/>
        </w:rPr>
        <w:t xml:space="preserve"> : « فأعط ».</w:t>
      </w:r>
    </w:p>
    <w:p w:rsidR="00744A1C" w:rsidRDefault="00E378DD" w:rsidP="00E378DD">
      <w:pPr>
        <w:pStyle w:val="libFootnote0"/>
        <w:rPr>
          <w:lang w:bidi="fa-IR"/>
        </w:rPr>
      </w:pPr>
      <w:r>
        <w:rPr>
          <w:rtl/>
          <w:lang w:bidi="fa-IR"/>
        </w:rPr>
        <w:t>(6).</w:t>
      </w:r>
      <w:r w:rsidR="00744A1C">
        <w:rPr>
          <w:rtl/>
          <w:lang w:bidi="fa-IR"/>
        </w:rPr>
        <w:t xml:space="preserve"> </w:t>
      </w:r>
      <w:r w:rsidR="00744A1C" w:rsidRPr="0061079A">
        <w:rPr>
          <w:rStyle w:val="libFootnoteBoldChar"/>
          <w:rtl/>
        </w:rPr>
        <w:t>الكافي</w:t>
      </w:r>
      <w:r w:rsidR="00744A1C">
        <w:rPr>
          <w:rtl/>
          <w:lang w:bidi="fa-IR"/>
        </w:rPr>
        <w:t xml:space="preserve"> ، كتاب الحجّ ، باب ما يهدي إلى الكعبة ، ح 6844. وفي </w:t>
      </w:r>
      <w:r w:rsidR="00744A1C" w:rsidRPr="003A7143">
        <w:rPr>
          <w:rStyle w:val="libFootnoteBoldChar"/>
          <w:rtl/>
        </w:rPr>
        <w:t>علل الشرائع</w:t>
      </w:r>
      <w:r w:rsidR="00744A1C">
        <w:rPr>
          <w:rtl/>
          <w:lang w:bidi="fa-IR"/>
        </w:rPr>
        <w:t xml:space="preserve"> ، ص 409 ، ح 4 ، بسنده عن جعفر بن بشير ، عن أبان ، عن ابن الحرّ ، عن أبي عبدالله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التهذيب</w:t>
      </w:r>
      <w:r w:rsidR="00744A1C">
        <w:rPr>
          <w:rtl/>
          <w:lang w:bidi="fa-IR"/>
        </w:rPr>
        <w:t xml:space="preserve"> ، ج 5 ، ص 486 ، ح 1734 ، بسنده عن أبان </w:t>
      </w:r>
      <w:r w:rsidR="002D57AD">
        <w:rPr>
          <w:rFonts w:hint="cs"/>
          <w:rtl/>
          <w:lang w:bidi="fa-IR"/>
        </w:rPr>
        <w:t>.</w:t>
      </w:r>
      <w:r w:rsidR="00744A1C" w:rsidRPr="00C24F9C">
        <w:rPr>
          <w:rStyle w:val="libFootnoteBoldChar"/>
          <w:rtl/>
        </w:rPr>
        <w:t>الوافي</w:t>
      </w:r>
      <w:r w:rsidR="00744A1C">
        <w:rPr>
          <w:rtl/>
          <w:lang w:bidi="fa-IR"/>
        </w:rPr>
        <w:t xml:space="preserve"> ، ج 11 ، ص 535 ، ح 11269 ؛ </w:t>
      </w:r>
      <w:r w:rsidR="00744A1C" w:rsidRPr="00C24F9C">
        <w:rPr>
          <w:rStyle w:val="libFootnoteBoldChar"/>
          <w:rtl/>
        </w:rPr>
        <w:t>الوسائل</w:t>
      </w:r>
      <w:r w:rsidR="00744A1C">
        <w:rPr>
          <w:rtl/>
          <w:lang w:bidi="fa-IR"/>
        </w:rPr>
        <w:t xml:space="preserve"> ، ج 13 ، ص 250 ، ذيل ح 17673.</w:t>
      </w:r>
    </w:p>
    <w:tbl>
      <w:tblPr>
        <w:tblStyle w:val="TableGrid"/>
        <w:bidiVisual/>
        <w:tblW w:w="0" w:type="auto"/>
        <w:tblLook w:val="04A0" w:firstRow="1" w:lastRow="0" w:firstColumn="1" w:lastColumn="0" w:noHBand="0" w:noVBand="1"/>
      </w:tblPr>
      <w:tblGrid>
        <w:gridCol w:w="4006"/>
        <w:gridCol w:w="4006"/>
      </w:tblGrid>
      <w:tr w:rsidR="001959EB" w:rsidTr="001959EB">
        <w:tc>
          <w:tcPr>
            <w:tcW w:w="4006" w:type="dxa"/>
          </w:tcPr>
          <w:p w:rsidR="001959EB" w:rsidRDefault="001959EB" w:rsidP="00E378DD">
            <w:pPr>
              <w:pStyle w:val="libFootnote0"/>
              <w:rPr>
                <w:rtl/>
                <w:lang w:bidi="fa-IR"/>
              </w:rPr>
            </w:pPr>
            <w:r>
              <w:rPr>
                <w:rtl/>
                <w:lang w:bidi="fa-IR"/>
              </w:rPr>
              <w:t>(7). في « بح » : « أو الحجّال ».</w:t>
            </w:r>
          </w:p>
        </w:tc>
        <w:tc>
          <w:tcPr>
            <w:tcW w:w="4006" w:type="dxa"/>
          </w:tcPr>
          <w:p w:rsidR="001959EB" w:rsidRDefault="001959EB" w:rsidP="00E378DD">
            <w:pPr>
              <w:pStyle w:val="libFootnote0"/>
              <w:rPr>
                <w:rtl/>
                <w:lang w:bidi="fa-IR"/>
              </w:rPr>
            </w:pPr>
            <w:r>
              <w:rPr>
                <w:rtl/>
                <w:lang w:bidi="fa-IR"/>
              </w:rPr>
              <w:t>(8). آل عمران (3) : 97.</w:t>
            </w:r>
          </w:p>
        </w:tc>
      </w:tr>
    </w:tbl>
    <w:p w:rsidR="00744A1C" w:rsidRDefault="00E378DD" w:rsidP="00E378DD">
      <w:pPr>
        <w:pStyle w:val="libFootnote0"/>
        <w:rPr>
          <w:lang w:bidi="fa-IR"/>
        </w:rPr>
      </w:pPr>
      <w:r>
        <w:rPr>
          <w:rtl/>
          <w:lang w:bidi="fa-IR"/>
        </w:rPr>
        <w:t>(9).</w:t>
      </w:r>
      <w:r w:rsidR="00744A1C">
        <w:rPr>
          <w:rtl/>
          <w:lang w:bidi="fa-IR"/>
        </w:rPr>
        <w:t xml:space="preserve"> في « بس » </w:t>
      </w:r>
      <w:r w:rsidR="00744A1C" w:rsidRPr="001959EB">
        <w:rPr>
          <w:rtl/>
        </w:rPr>
        <w:t>والوسائل والتهذيب وتفسير العيّاشي</w:t>
      </w:r>
      <w:r w:rsidR="00744A1C">
        <w:rPr>
          <w:rtl/>
          <w:lang w:bidi="fa-IR"/>
        </w:rPr>
        <w:t xml:space="preserve"> : + « عنه ».</w:t>
      </w:r>
    </w:p>
    <w:p w:rsidR="00744A1C" w:rsidRDefault="00E378DD" w:rsidP="00E378DD">
      <w:pPr>
        <w:pStyle w:val="libFootnote0"/>
        <w:rPr>
          <w:lang w:bidi="fa-IR"/>
        </w:rPr>
      </w:pPr>
      <w:r>
        <w:rPr>
          <w:rtl/>
          <w:lang w:bidi="fa-IR"/>
        </w:rPr>
        <w:t>(10).</w:t>
      </w:r>
      <w:r w:rsidR="00744A1C">
        <w:rPr>
          <w:rtl/>
          <w:lang w:bidi="fa-IR"/>
        </w:rPr>
        <w:t xml:space="preserve"> في </w:t>
      </w:r>
      <w:r w:rsidR="00744A1C" w:rsidRPr="001959EB">
        <w:rPr>
          <w:rtl/>
        </w:rPr>
        <w:t>تفسير العيّاشي</w:t>
      </w:r>
      <w:r w:rsidR="00744A1C">
        <w:rPr>
          <w:rtl/>
          <w:lang w:bidi="fa-IR"/>
        </w:rPr>
        <w:t xml:space="preserve"> : « ما ».</w:t>
      </w:r>
    </w:p>
    <w:p w:rsidR="00744A1C" w:rsidRDefault="00E378DD" w:rsidP="00E378DD">
      <w:pPr>
        <w:pStyle w:val="libFootnote0"/>
        <w:rPr>
          <w:lang w:bidi="fa-IR"/>
        </w:rPr>
      </w:pPr>
      <w:r>
        <w:rPr>
          <w:rtl/>
          <w:lang w:bidi="fa-IR"/>
        </w:rPr>
        <w:t>(11).</w:t>
      </w:r>
      <w:r w:rsidR="00744A1C">
        <w:rPr>
          <w:rtl/>
          <w:lang w:bidi="fa-IR"/>
        </w:rPr>
        <w:t xml:space="preserve"> في « بخ ، بس ، جد » </w:t>
      </w:r>
      <w:r w:rsidR="00744A1C" w:rsidRPr="001959EB">
        <w:rPr>
          <w:rtl/>
        </w:rPr>
        <w:t>والوافي والوسائل والتهذيب وتفسير العيّاشي</w:t>
      </w:r>
      <w:r w:rsidR="00744A1C">
        <w:rPr>
          <w:rtl/>
          <w:lang w:bidi="fa-IR"/>
        </w:rPr>
        <w:t xml:space="preserve"> : « ثمّ قال ».</w:t>
      </w:r>
    </w:p>
    <w:p w:rsidR="00744A1C" w:rsidRDefault="00744A1C" w:rsidP="00D10E3C">
      <w:pPr>
        <w:pStyle w:val="libFootnote0"/>
        <w:rPr>
          <w:lang w:bidi="fa-IR"/>
        </w:rPr>
      </w:pPr>
      <w:r>
        <w:rPr>
          <w:rtl/>
          <w:lang w:bidi="fa-IR"/>
        </w:rPr>
        <w:t xml:space="preserve">وفي هامش </w:t>
      </w:r>
      <w:r w:rsidRPr="00C24F9C">
        <w:rPr>
          <w:rStyle w:val="libFootnoteBoldChar"/>
          <w:rtl/>
        </w:rPr>
        <w:t>الوافي</w:t>
      </w:r>
      <w:r>
        <w:rPr>
          <w:rtl/>
          <w:lang w:bidi="fa-IR"/>
        </w:rPr>
        <w:t xml:space="preserve"> عن المحقّق الشعراني </w:t>
      </w:r>
      <w:r w:rsidR="00877682" w:rsidRPr="00877682">
        <w:rPr>
          <w:rStyle w:val="libFootnoteAlaemChar"/>
          <w:rtl/>
        </w:rPr>
        <w:t>رحمه‌الله</w:t>
      </w:r>
      <w:r>
        <w:rPr>
          <w:rtl/>
          <w:lang w:bidi="fa-IR"/>
        </w:rPr>
        <w:t>: « لعلّ معناه أنّ أمن الحرم أمن تشريعي ، أي يجب على الناس أن لا يهيّجوا من التجأ بالحرم ؛ لا تكويني حتّى يناقض ما فعله الحجّاج وغيره. أو المراد الأمن في الآخرة ، أو الجمع بين الأمن التشريعي ، والأمن في الآخرة ».</w:t>
      </w:r>
    </w:p>
    <w:p w:rsidR="00150943" w:rsidRDefault="00150943" w:rsidP="00D10E3C">
      <w:pPr>
        <w:pStyle w:val="libNormal"/>
        <w:rPr>
          <w:rtl/>
          <w:lang w:bidi="fa-IR"/>
        </w:rPr>
      </w:pPr>
      <w:r>
        <w:rPr>
          <w:rtl/>
          <w:lang w:bidi="fa-IR"/>
        </w:rPr>
        <w:br w:type="page"/>
      </w:r>
    </w:p>
    <w:p w:rsidR="00144FA6" w:rsidRDefault="00744A1C" w:rsidP="00CD7BA2">
      <w:pPr>
        <w:pStyle w:val="libNormal0"/>
        <w:rPr>
          <w:rtl/>
          <w:lang w:bidi="fa-IR"/>
        </w:rPr>
      </w:pPr>
      <w:r>
        <w:rPr>
          <w:rtl/>
          <w:lang w:bidi="fa-IR"/>
        </w:rPr>
        <w:lastRenderedPageBreak/>
        <w:t xml:space="preserve">هذَا الْبَيْتَ وَهُوَ يَعْلَمُ أَنَّهُ الْبَيْتُ الَّذِي أَمَرَهُ اللهُ - عَزَّ وَجَلَّ - بِهِ ، وَعَرَفَنَا أَهْلَ الْبَيْتِ حَقَّ مَعْرِفَتِنَا ، كَانَ آمِناً فِي الدُّنْيَا وَالْآخِرَةِ ». </w:t>
      </w:r>
      <w:r w:rsidRPr="00D10E3C">
        <w:rPr>
          <w:rStyle w:val="libFootnotenumChar"/>
          <w:rtl/>
        </w:rPr>
        <w:t>(1)</w:t>
      </w:r>
    </w:p>
    <w:p w:rsidR="00144FA6" w:rsidRDefault="00744A1C" w:rsidP="00744A1C">
      <w:pPr>
        <w:pStyle w:val="libNormal"/>
        <w:rPr>
          <w:rtl/>
          <w:lang w:bidi="fa-IR"/>
        </w:rPr>
      </w:pPr>
      <w:r>
        <w:rPr>
          <w:rtl/>
          <w:lang w:bidi="fa-IR"/>
        </w:rPr>
        <w:t xml:space="preserve">8077 / 26. عَلِيُّ بْنُ إِبْرَاهِيمَ ، عَنْ أَبِيهِ ، عَنِ ابْنِ أَبِي عُمَيْرٍ ، عَنْ إِسْمَاعِيلَ </w:t>
      </w:r>
      <w:r w:rsidRPr="00D10E3C">
        <w:rPr>
          <w:rStyle w:val="libFootnotenumChar"/>
          <w:rtl/>
        </w:rPr>
        <w:t>(2)</w:t>
      </w:r>
      <w:r>
        <w:rPr>
          <w:rtl/>
          <w:lang w:bidi="fa-IR"/>
        </w:rPr>
        <w:t xml:space="preserve"> الْخَثْعَمِيِّ ، قَالَ :</w:t>
      </w:r>
    </w:p>
    <w:p w:rsidR="00744A1C" w:rsidRDefault="00744A1C" w:rsidP="00744A1C">
      <w:pPr>
        <w:pStyle w:val="libNormal"/>
        <w:rPr>
          <w:lang w:bidi="fa-IR"/>
        </w:rPr>
      </w:pPr>
      <w:r>
        <w:rPr>
          <w:rtl/>
          <w:lang w:bidi="fa-IR"/>
        </w:rPr>
        <w:t xml:space="preserve">قُلْتُ </w:t>
      </w:r>
      <w:r w:rsidRPr="00D10E3C">
        <w:rPr>
          <w:rStyle w:val="libFootnotenumChar"/>
          <w:rtl/>
        </w:rPr>
        <w:t>(3)</w:t>
      </w:r>
      <w:r>
        <w:rPr>
          <w:rtl/>
          <w:lang w:bidi="fa-IR"/>
        </w:rPr>
        <w:t xml:space="preserve"> لِأَبِي عَبْدِ اللهِ </w:t>
      </w:r>
      <w:r w:rsidR="0061079A" w:rsidRPr="0061079A">
        <w:rPr>
          <w:rStyle w:val="libAlaemChar"/>
          <w:rtl/>
        </w:rPr>
        <w:t>عليه‌السلام</w:t>
      </w:r>
      <w:r w:rsidR="00D10E3C">
        <w:rPr>
          <w:rtl/>
          <w:lang w:bidi="fa-IR"/>
        </w:rPr>
        <w:t xml:space="preserve"> </w:t>
      </w:r>
      <w:r>
        <w:rPr>
          <w:rtl/>
          <w:lang w:bidi="fa-IR"/>
        </w:rPr>
        <w:t xml:space="preserve">: إِنَّا إِذَا قَدِمْنَا مَكَّةَ ، ذَهَبَ أَصْحَابُنَا يَطُوفُونَ ، وَيَتْرُكُونِّي </w:t>
      </w:r>
      <w:r w:rsidRPr="00D10E3C">
        <w:rPr>
          <w:rStyle w:val="libFootnotenumChar"/>
          <w:rtl/>
        </w:rPr>
        <w:t>(4)</w:t>
      </w:r>
      <w:r>
        <w:rPr>
          <w:rtl/>
          <w:lang w:bidi="fa-IR"/>
        </w:rPr>
        <w:t xml:space="preserve"> أَحْفَظُ مَتَاعَهُمْ.</w:t>
      </w:r>
    </w:p>
    <w:p w:rsidR="00144FA6" w:rsidRDefault="00744A1C" w:rsidP="00744A1C">
      <w:pPr>
        <w:pStyle w:val="libNormal"/>
        <w:rPr>
          <w:rtl/>
          <w:lang w:bidi="fa-IR"/>
        </w:rPr>
      </w:pPr>
      <w:r>
        <w:rPr>
          <w:rtl/>
          <w:lang w:bidi="fa-IR"/>
        </w:rPr>
        <w:t xml:space="preserve">قَالَ : « أَنْتَ أَعْظَمُهُمْ </w:t>
      </w:r>
      <w:r w:rsidRPr="00D10E3C">
        <w:rPr>
          <w:rStyle w:val="libFootnotenumChar"/>
          <w:rtl/>
        </w:rPr>
        <w:t>(5)</w:t>
      </w:r>
      <w:r>
        <w:rPr>
          <w:rtl/>
          <w:lang w:bidi="fa-IR"/>
        </w:rPr>
        <w:t xml:space="preserve"> أَجْراً ». </w:t>
      </w:r>
      <w:r w:rsidRPr="00D10E3C">
        <w:rPr>
          <w:rStyle w:val="libFootnotenumChar"/>
          <w:rtl/>
        </w:rPr>
        <w:t>(6)</w:t>
      </w:r>
    </w:p>
    <w:p w:rsidR="00144FA6" w:rsidRDefault="00744A1C" w:rsidP="00744A1C">
      <w:pPr>
        <w:pStyle w:val="libNormal"/>
        <w:rPr>
          <w:rtl/>
          <w:lang w:bidi="fa-IR"/>
        </w:rPr>
      </w:pPr>
      <w:r>
        <w:rPr>
          <w:rtl/>
          <w:lang w:bidi="fa-IR"/>
        </w:rPr>
        <w:t xml:space="preserve">8078 / 27. بِإِسْنَادِهِ </w:t>
      </w:r>
      <w:r w:rsidRPr="00D10E3C">
        <w:rPr>
          <w:rStyle w:val="libFootnotenumChar"/>
          <w:rtl/>
        </w:rPr>
        <w:t>(7)</w:t>
      </w:r>
      <w:r>
        <w:rPr>
          <w:rtl/>
          <w:lang w:bidi="fa-IR"/>
        </w:rPr>
        <w:t xml:space="preserve"> ، عَنِ ابْنِ أَبِي عُمَيْرٍ ، عَنْ مُرَازِمِ بْنِ حَكِيمٍ ، قَالَ :</w:t>
      </w:r>
    </w:p>
    <w:p w:rsidR="00144FA6" w:rsidRDefault="00744A1C" w:rsidP="00744A1C">
      <w:pPr>
        <w:pStyle w:val="libNormal"/>
        <w:rPr>
          <w:rtl/>
          <w:lang w:bidi="fa-IR"/>
        </w:rPr>
      </w:pPr>
      <w:r>
        <w:rPr>
          <w:rtl/>
          <w:lang w:bidi="fa-IR"/>
        </w:rPr>
        <w:t xml:space="preserve">زَامَلْتُ </w:t>
      </w:r>
      <w:r w:rsidRPr="00D10E3C">
        <w:rPr>
          <w:rStyle w:val="libFootnotenumChar"/>
          <w:rtl/>
        </w:rPr>
        <w:t>(8)</w:t>
      </w:r>
      <w:r>
        <w:rPr>
          <w:rtl/>
          <w:lang w:bidi="fa-IR"/>
        </w:rPr>
        <w:t xml:space="preserve"> مُحَمَّدَ بْنَ مُصَادِفٍ ، فَلَمَّا دَخَلْنَا الْمَدِينَةَ اعْتَلَلْتُ ، فَكَانَ </w:t>
      </w:r>
      <w:r w:rsidRPr="00D10E3C">
        <w:rPr>
          <w:rStyle w:val="libFootnotenumChar"/>
          <w:rtl/>
        </w:rPr>
        <w:t>(9)</w:t>
      </w:r>
      <w:r>
        <w:rPr>
          <w:rtl/>
          <w:lang w:bidi="fa-IR"/>
        </w:rPr>
        <w:t xml:space="preserve"> يَمْضِي إِلَى الْمَسْجِدِ ، وَيَدَعُنِي وَحْدِي ، فَشَكَوْتُ ذلِكَ إِلى </w:t>
      </w:r>
      <w:r w:rsidRPr="00D10E3C">
        <w:rPr>
          <w:rStyle w:val="libFootnotenumChar"/>
          <w:rtl/>
        </w:rPr>
        <w:t>(10)</w:t>
      </w:r>
      <w:r>
        <w:rPr>
          <w:rtl/>
          <w:lang w:bidi="fa-IR"/>
        </w:rPr>
        <w:t xml:space="preserve"> مُصَادِفٍ ، فَأَخْبَرَ بِهِ </w:t>
      </w:r>
      <w:r w:rsidRPr="00D10E3C">
        <w:rPr>
          <w:rStyle w:val="libFootnotenumChar"/>
          <w:rtl/>
        </w:rPr>
        <w:t>(11)</w:t>
      </w:r>
      <w:r>
        <w:rPr>
          <w:rtl/>
          <w:lang w:bidi="fa-IR"/>
        </w:rPr>
        <w:t xml:space="preserve"> أَبَا عَبْدِ اللهِ </w:t>
      </w:r>
      <w:r w:rsidR="0061079A" w:rsidRPr="0061079A">
        <w:rPr>
          <w:rStyle w:val="libAlaemChar"/>
          <w:rtl/>
        </w:rPr>
        <w:t>عليه‌السلام</w:t>
      </w:r>
      <w:r w:rsidR="00D10E3C">
        <w:rPr>
          <w:rtl/>
          <w:lang w:bidi="fa-IR"/>
        </w:rPr>
        <w:t xml:space="preserve"> </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452 ، ح 1579 ، معلّقاً عن الكليني. </w:t>
      </w:r>
      <w:r w:rsidR="00744A1C" w:rsidRPr="00A914B5">
        <w:rPr>
          <w:rStyle w:val="libFootnoteBoldChar"/>
          <w:rtl/>
        </w:rPr>
        <w:t>تفسير العيّاشي</w:t>
      </w:r>
      <w:r w:rsidR="00744A1C">
        <w:rPr>
          <w:rtl/>
          <w:lang w:bidi="fa-IR"/>
        </w:rPr>
        <w:t xml:space="preserve"> ، ج 1 ، ص 189 ، ح 106 ، عن عبدالخالق الصيقل ، عن أبي عبدالله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205 ، ح 2148 ، مرسلاً ، مع اختلاف يسير. راجع : </w:t>
      </w:r>
      <w:r w:rsidR="00744A1C" w:rsidRPr="00A914B5">
        <w:rPr>
          <w:rStyle w:val="libFootnoteBoldChar"/>
          <w:rtl/>
        </w:rPr>
        <w:t>تفسير العيّاشي</w:t>
      </w:r>
      <w:r w:rsidR="00744A1C">
        <w:rPr>
          <w:rtl/>
          <w:lang w:bidi="fa-IR"/>
        </w:rPr>
        <w:t xml:space="preserve"> ، ج 1 ، ص 189 ، ح 102 </w:t>
      </w:r>
      <w:r w:rsidR="001959EB">
        <w:rPr>
          <w:rFonts w:hint="cs"/>
          <w:rtl/>
          <w:lang w:bidi="fa-IR"/>
        </w:rPr>
        <w:t>.</w:t>
      </w:r>
      <w:r w:rsidR="00744A1C" w:rsidRPr="00C24F9C">
        <w:rPr>
          <w:rStyle w:val="libFootnoteBoldChar"/>
          <w:rtl/>
        </w:rPr>
        <w:t>الوافي</w:t>
      </w:r>
      <w:r w:rsidR="00744A1C">
        <w:rPr>
          <w:rtl/>
          <w:lang w:bidi="fa-IR"/>
        </w:rPr>
        <w:t xml:space="preserve"> ، ج 12 ، ص 82 ، ح 11527 ؛ </w:t>
      </w:r>
      <w:r w:rsidR="00744A1C" w:rsidRPr="00C24F9C">
        <w:rPr>
          <w:rStyle w:val="libFootnoteBoldChar"/>
          <w:rtl/>
        </w:rPr>
        <w:t>الوسائل</w:t>
      </w:r>
      <w:r w:rsidR="00744A1C">
        <w:rPr>
          <w:rtl/>
          <w:lang w:bidi="fa-IR"/>
        </w:rPr>
        <w:t xml:space="preserve"> ، ج 11 ، ص 98 ، ح 14337.</w:t>
      </w:r>
    </w:p>
    <w:p w:rsidR="00744A1C" w:rsidRDefault="00E378DD" w:rsidP="00E378DD">
      <w:pPr>
        <w:pStyle w:val="libFootnote0"/>
        <w:rPr>
          <w:lang w:bidi="fa-IR"/>
        </w:rPr>
      </w:pPr>
      <w:r>
        <w:rPr>
          <w:rtl/>
          <w:lang w:bidi="fa-IR"/>
        </w:rPr>
        <w:t>(2).</w:t>
      </w:r>
      <w:r w:rsidR="00744A1C">
        <w:rPr>
          <w:rtl/>
          <w:lang w:bidi="fa-IR"/>
        </w:rPr>
        <w:t xml:space="preserve"> في « بث ، بح ، بخ ، بف ، جد ، جن » </w:t>
      </w:r>
      <w:r w:rsidR="00744A1C" w:rsidRPr="001959EB">
        <w:rPr>
          <w:rtl/>
        </w:rPr>
        <w:t>والوافي</w:t>
      </w:r>
      <w:r w:rsidR="00744A1C">
        <w:rPr>
          <w:rtl/>
          <w:lang w:bidi="fa-IR"/>
        </w:rPr>
        <w:t xml:space="preserve"> : + « بن ».</w:t>
      </w:r>
    </w:p>
    <w:p w:rsidR="00744A1C" w:rsidRDefault="00E378DD" w:rsidP="00E378DD">
      <w:pPr>
        <w:pStyle w:val="libFootnote0"/>
        <w:rPr>
          <w:lang w:bidi="fa-IR"/>
        </w:rPr>
      </w:pPr>
      <w:r>
        <w:rPr>
          <w:rtl/>
          <w:lang w:bidi="fa-IR"/>
        </w:rPr>
        <w:t>(3).</w:t>
      </w:r>
      <w:r w:rsidR="00744A1C">
        <w:rPr>
          <w:rtl/>
          <w:lang w:bidi="fa-IR"/>
        </w:rPr>
        <w:t xml:space="preserve"> في « بح » : « قال ».</w:t>
      </w:r>
    </w:p>
    <w:p w:rsidR="00744A1C" w:rsidRDefault="00E378DD" w:rsidP="00E378DD">
      <w:pPr>
        <w:pStyle w:val="libFootnote0"/>
        <w:rPr>
          <w:lang w:bidi="fa-IR"/>
        </w:rPr>
      </w:pPr>
      <w:r>
        <w:rPr>
          <w:rtl/>
          <w:lang w:bidi="fa-IR"/>
        </w:rPr>
        <w:t>(4).</w:t>
      </w:r>
      <w:r w:rsidR="00744A1C">
        <w:rPr>
          <w:rtl/>
          <w:lang w:bidi="fa-IR"/>
        </w:rPr>
        <w:t xml:space="preserve"> في « بث » : « وينزلوني ».</w:t>
      </w:r>
    </w:p>
    <w:p w:rsidR="00744A1C" w:rsidRDefault="00E378DD" w:rsidP="00E378DD">
      <w:pPr>
        <w:pStyle w:val="libFootnote0"/>
        <w:rPr>
          <w:lang w:bidi="fa-IR"/>
        </w:rPr>
      </w:pPr>
      <w:r>
        <w:rPr>
          <w:rtl/>
          <w:lang w:bidi="fa-IR"/>
        </w:rPr>
        <w:t>(5).</w:t>
      </w:r>
      <w:r w:rsidR="00744A1C">
        <w:rPr>
          <w:rtl/>
          <w:lang w:bidi="fa-IR"/>
        </w:rPr>
        <w:t xml:space="preserve"> في « ى ، بس » : « أعظم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الفقيه</w:t>
      </w:r>
      <w:r w:rsidR="00744A1C">
        <w:rPr>
          <w:rtl/>
          <w:lang w:bidi="fa-IR"/>
        </w:rPr>
        <w:t xml:space="preserve"> ، ج 2 ، ص 208 ، ذيل ح 2158 ، مع اختلاف </w:t>
      </w:r>
      <w:r w:rsidR="001959EB">
        <w:rPr>
          <w:rFonts w:hint="cs"/>
          <w:rtl/>
          <w:lang w:bidi="fa-IR"/>
        </w:rPr>
        <w:t>.</w:t>
      </w:r>
      <w:r w:rsidR="00744A1C" w:rsidRPr="00C24F9C">
        <w:rPr>
          <w:rStyle w:val="libFootnoteBoldChar"/>
          <w:rtl/>
        </w:rPr>
        <w:t>الوافي</w:t>
      </w:r>
      <w:r w:rsidR="00744A1C">
        <w:rPr>
          <w:rtl/>
          <w:lang w:bidi="fa-IR"/>
        </w:rPr>
        <w:t xml:space="preserve"> ، ج 14 ، ص 1309 ، ح 14321 ؛ </w:t>
      </w:r>
      <w:r w:rsidR="00744A1C" w:rsidRPr="00C24F9C">
        <w:rPr>
          <w:rStyle w:val="libFootnoteBoldChar"/>
          <w:rtl/>
        </w:rPr>
        <w:t>الوسائل</w:t>
      </w:r>
      <w:r w:rsidR="00744A1C">
        <w:rPr>
          <w:rtl/>
          <w:lang w:bidi="fa-IR"/>
        </w:rPr>
        <w:t xml:space="preserve"> ، ج 13 ، ص 313 ، ح 17824.</w:t>
      </w:r>
    </w:p>
    <w:p w:rsidR="00744A1C" w:rsidRDefault="00E378DD" w:rsidP="00E378DD">
      <w:pPr>
        <w:pStyle w:val="libFootnote0"/>
        <w:rPr>
          <w:lang w:bidi="fa-IR"/>
        </w:rPr>
      </w:pPr>
      <w:r>
        <w:rPr>
          <w:rtl/>
          <w:lang w:bidi="fa-IR"/>
        </w:rPr>
        <w:t>(7).</w:t>
      </w:r>
      <w:r w:rsidR="00744A1C">
        <w:rPr>
          <w:rtl/>
          <w:lang w:bidi="fa-IR"/>
        </w:rPr>
        <w:t xml:space="preserve"> المراد من « بإسناده » ، هو السند المتقدّم إلى ابن أبي عمير في الرقم السابق.</w:t>
      </w:r>
    </w:p>
    <w:p w:rsidR="00744A1C" w:rsidRDefault="00E378DD" w:rsidP="00E378DD">
      <w:pPr>
        <w:pStyle w:val="libFootnote0"/>
        <w:rPr>
          <w:lang w:bidi="fa-IR"/>
        </w:rPr>
      </w:pPr>
      <w:r>
        <w:rPr>
          <w:rtl/>
          <w:lang w:bidi="fa-IR"/>
        </w:rPr>
        <w:t>(8).</w:t>
      </w:r>
      <w:r w:rsidR="001959EB">
        <w:rPr>
          <w:rtl/>
          <w:lang w:bidi="fa-IR"/>
        </w:rPr>
        <w:t xml:space="preserve"> الم</w:t>
      </w:r>
      <w:r w:rsidR="001959EB">
        <w:rPr>
          <w:rFonts w:hint="cs"/>
          <w:rtl/>
          <w:lang w:bidi="fa-IR"/>
        </w:rPr>
        <w:t>ـُ</w:t>
      </w:r>
      <w:r w:rsidR="001959EB">
        <w:rPr>
          <w:rtl/>
          <w:lang w:bidi="fa-IR"/>
        </w:rPr>
        <w:t>زاملةُ : الم</w:t>
      </w:r>
      <w:r w:rsidR="001959EB">
        <w:rPr>
          <w:rFonts w:hint="cs"/>
          <w:rtl/>
          <w:lang w:bidi="fa-IR"/>
        </w:rPr>
        <w:t>ـُ</w:t>
      </w:r>
      <w:r w:rsidR="00744A1C">
        <w:rPr>
          <w:rtl/>
          <w:lang w:bidi="fa-IR"/>
        </w:rPr>
        <w:t xml:space="preserve">عادلة على البعير. وزامَلْتُه : عادلتُه. راجع : </w:t>
      </w:r>
      <w:r w:rsidR="00744A1C" w:rsidRPr="00E978C3">
        <w:rPr>
          <w:rStyle w:val="libFootnoteBoldChar"/>
          <w:rtl/>
        </w:rPr>
        <w:t>الصحاح</w:t>
      </w:r>
      <w:r w:rsidR="00744A1C">
        <w:rPr>
          <w:rtl/>
          <w:lang w:bidi="fa-IR"/>
        </w:rPr>
        <w:t xml:space="preserve"> ، ج 4 ، ص 1718 ؛ </w:t>
      </w:r>
      <w:r w:rsidR="00744A1C" w:rsidRPr="00877682">
        <w:rPr>
          <w:rStyle w:val="libFootnoteBoldChar"/>
          <w:rtl/>
        </w:rPr>
        <w:t>لسان العرب</w:t>
      </w:r>
      <w:r w:rsidR="00744A1C">
        <w:rPr>
          <w:rtl/>
          <w:lang w:bidi="fa-IR"/>
        </w:rPr>
        <w:t xml:space="preserve"> ، ج 11 ، ص 310 ( زمل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 « وكان ».</w:t>
      </w:r>
    </w:p>
    <w:tbl>
      <w:tblPr>
        <w:tblStyle w:val="TableGrid"/>
        <w:bidiVisual/>
        <w:tblW w:w="0" w:type="auto"/>
        <w:tblLook w:val="04A0" w:firstRow="1" w:lastRow="0" w:firstColumn="1" w:lastColumn="0" w:noHBand="0" w:noVBand="1"/>
      </w:tblPr>
      <w:tblGrid>
        <w:gridCol w:w="4006"/>
        <w:gridCol w:w="4006"/>
      </w:tblGrid>
      <w:tr w:rsidR="001959EB" w:rsidTr="001959EB">
        <w:tc>
          <w:tcPr>
            <w:tcW w:w="4006" w:type="dxa"/>
          </w:tcPr>
          <w:p w:rsidR="001959EB" w:rsidRDefault="001959EB" w:rsidP="00E378DD">
            <w:pPr>
              <w:pStyle w:val="libFootnote0"/>
              <w:rPr>
                <w:rtl/>
                <w:lang w:bidi="fa-IR"/>
              </w:rPr>
            </w:pPr>
            <w:r>
              <w:rPr>
                <w:rtl/>
                <w:lang w:bidi="fa-IR"/>
              </w:rPr>
              <w:t>(10). في « ى » : - « إلى ».</w:t>
            </w:r>
          </w:p>
        </w:tc>
        <w:tc>
          <w:tcPr>
            <w:tcW w:w="4006" w:type="dxa"/>
          </w:tcPr>
          <w:p w:rsidR="001959EB" w:rsidRDefault="001959EB" w:rsidP="00E378DD">
            <w:pPr>
              <w:pStyle w:val="libFootnote0"/>
              <w:rPr>
                <w:rtl/>
                <w:lang w:bidi="fa-IR"/>
              </w:rPr>
            </w:pPr>
            <w:r>
              <w:rPr>
                <w:rtl/>
                <w:lang w:bidi="fa-IR"/>
              </w:rPr>
              <w:t>(11). في « بث » : « فأخبرته » بدل « فأخبر به ».</w:t>
            </w:r>
          </w:p>
        </w:tc>
      </w:tr>
    </w:tbl>
    <w:p w:rsidR="00150943" w:rsidRDefault="00150943" w:rsidP="00D10E3C">
      <w:pPr>
        <w:pStyle w:val="libNormal"/>
        <w:rPr>
          <w:rtl/>
          <w:lang w:bidi="fa-IR"/>
        </w:rPr>
      </w:pPr>
      <w:r>
        <w:rPr>
          <w:rtl/>
          <w:lang w:bidi="fa-IR"/>
        </w:rPr>
        <w:br w:type="page"/>
      </w:r>
    </w:p>
    <w:p w:rsidR="00144FA6" w:rsidRDefault="00744A1C" w:rsidP="00CD7BA2">
      <w:pPr>
        <w:pStyle w:val="libNormal0"/>
        <w:rPr>
          <w:rtl/>
          <w:lang w:bidi="fa-IR"/>
        </w:rPr>
      </w:pPr>
      <w:r>
        <w:rPr>
          <w:rtl/>
          <w:lang w:bidi="fa-IR"/>
        </w:rPr>
        <w:lastRenderedPageBreak/>
        <w:t xml:space="preserve">فَأَرْسَلَ إِلَيْهِ : « قُعُودُكَ عِنْدَهُ </w:t>
      </w:r>
      <w:r w:rsidRPr="00D10E3C">
        <w:rPr>
          <w:rStyle w:val="libFootnotenumChar"/>
          <w:rtl/>
        </w:rPr>
        <w:t>(1)</w:t>
      </w:r>
      <w:r>
        <w:rPr>
          <w:rtl/>
          <w:lang w:bidi="fa-IR"/>
        </w:rPr>
        <w:t xml:space="preserve"> أَفْضَلُ مِنْ صَلَاتِكَ فِي الْمَسْجِدِ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8079 / 28. عِدَّةٌ مِنْ أَصْحَابِنَا ، عَنْ سَهْلِ بْنِ زِيَادٍ ، عَنِ ابْنِ فَضَّالٍ ، عَنْ سُفْيَانَ بْنِ إِبْرَاهِيمَ الْحَرِيرِيِّ </w:t>
      </w:r>
      <w:r w:rsidRPr="00D10E3C">
        <w:rPr>
          <w:rStyle w:val="libFootnotenumChar"/>
          <w:rtl/>
        </w:rPr>
        <w:t>(4)</w:t>
      </w:r>
      <w:r>
        <w:rPr>
          <w:rtl/>
          <w:lang w:bidi="fa-IR"/>
        </w:rPr>
        <w:t xml:space="preserve"> ، عَنِ الْحَارِثِ بْنِ حَصِيرَةِ </w:t>
      </w:r>
      <w:r w:rsidRPr="00D10E3C">
        <w:rPr>
          <w:rStyle w:val="libFootnotenumChar"/>
          <w:rtl/>
        </w:rPr>
        <w:t>(5)</w:t>
      </w:r>
      <w:r>
        <w:rPr>
          <w:rtl/>
          <w:lang w:bidi="fa-IR"/>
        </w:rPr>
        <w:t xml:space="preserve"> الْأَزْدِيِّ </w:t>
      </w:r>
      <w:r w:rsidRPr="00D10E3C">
        <w:rPr>
          <w:rStyle w:val="libFootnotenumChar"/>
          <w:rtl/>
        </w:rPr>
        <w:t>(6)</w:t>
      </w:r>
      <w:r>
        <w:rPr>
          <w:rtl/>
          <w:lang w:bidi="fa-IR"/>
        </w:rPr>
        <w:t xml:space="preserve"> :</w:t>
      </w:r>
    </w:p>
    <w:p w:rsidR="00536C63" w:rsidRDefault="00744A1C" w:rsidP="00536C63">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كُنْتُ دَخَلْتُ </w:t>
      </w:r>
      <w:r w:rsidRPr="00D10E3C">
        <w:rPr>
          <w:rStyle w:val="libFootnotenumChar"/>
          <w:rtl/>
        </w:rPr>
        <w:t>(7)</w:t>
      </w:r>
      <w:r>
        <w:rPr>
          <w:rtl/>
          <w:lang w:bidi="fa-IR"/>
        </w:rPr>
        <w:t xml:space="preserve"> مَعَ أَبِي </w:t>
      </w:r>
      <w:r w:rsidRPr="00D10E3C">
        <w:rPr>
          <w:rStyle w:val="libFootnotenumChar"/>
          <w:rtl/>
        </w:rPr>
        <w:t>(8)</w:t>
      </w:r>
      <w:r>
        <w:rPr>
          <w:rtl/>
          <w:lang w:bidi="fa-IR"/>
        </w:rPr>
        <w:t xml:space="preserve"> الْكَعْبَةَ ، فَصَلّى عَلَى الرُّخَامَةِ الْحَمْرَاءِ بَيْنَ الْعَمُودَيْنِ ، فَقَالَ : فِي هذَا الْمَوْضِعِ تَعَاقَدَ الْقَوْمُ : إِنْ مَاتَ رَسُولُ اللهِ </w:t>
      </w:r>
      <w:r w:rsidR="001959EB" w:rsidRPr="001959EB">
        <w:rPr>
          <w:rStyle w:val="libAlaemChar"/>
          <w:rtl/>
        </w:rPr>
        <w:t>صلى‌الله‌عليه‌وآله</w:t>
      </w:r>
      <w:r w:rsidR="00D10E3C">
        <w:rPr>
          <w:rtl/>
          <w:lang w:bidi="fa-IR"/>
        </w:rPr>
        <w:t xml:space="preserve"> </w:t>
      </w:r>
      <w:r>
        <w:rPr>
          <w:rtl/>
          <w:lang w:bidi="fa-IR"/>
        </w:rPr>
        <w:t xml:space="preserve">، أَوْ قُتِلَ </w:t>
      </w:r>
      <w:r w:rsidRPr="00D10E3C">
        <w:rPr>
          <w:rStyle w:val="libFootnotenumChar"/>
          <w:rtl/>
        </w:rPr>
        <w:t>(9)</w:t>
      </w:r>
      <w:r w:rsidR="001959EB">
        <w:rPr>
          <w:rtl/>
          <w:lang w:bidi="fa-IR"/>
        </w:rPr>
        <w:t xml:space="preserve"> أَل</w:t>
      </w:r>
      <w:r w:rsidR="001959EB">
        <w:rPr>
          <w:rFonts w:hint="cs"/>
          <w:rtl/>
          <w:lang w:bidi="fa-IR"/>
        </w:rPr>
        <w:t>َّ</w:t>
      </w:r>
      <w:r w:rsidR="001959EB">
        <w:rPr>
          <w:rtl/>
          <w:lang w:bidi="fa-IR"/>
        </w:rPr>
        <w:t>ا</w:t>
      </w:r>
      <w:r>
        <w:rPr>
          <w:rtl/>
          <w:lang w:bidi="fa-IR"/>
        </w:rPr>
        <w:t xml:space="preserve"> يَرُدُّوا هذَا الْأَمْرَ فِي أَحَدٍ مِنْ أَهْلِ بَيْتِهِ أَبَداً ».</w:t>
      </w:r>
      <w:r w:rsidR="00536C63">
        <w:rPr>
          <w:rFonts w:hint="cs"/>
          <w:rtl/>
          <w:lang w:bidi="fa-IR"/>
        </w:rPr>
        <w:t xml:space="preserve"> </w:t>
      </w:r>
      <w:r>
        <w:rPr>
          <w:rtl/>
          <w:lang w:bidi="fa-IR"/>
        </w:rPr>
        <w:t xml:space="preserve">قَالَ : قُلْتُ </w:t>
      </w:r>
      <w:r w:rsidRPr="00D10E3C">
        <w:rPr>
          <w:rStyle w:val="libFootnotenumChar"/>
          <w:rtl/>
        </w:rPr>
        <w:t>(10)</w:t>
      </w:r>
      <w:r>
        <w:rPr>
          <w:rtl/>
          <w:lang w:bidi="fa-IR"/>
        </w:rPr>
        <w:t xml:space="preserve"> : وَمَنْ كَانَ؟</w:t>
      </w:r>
    </w:p>
    <w:p w:rsidR="00144FA6" w:rsidRDefault="00744A1C" w:rsidP="00536C63">
      <w:pPr>
        <w:pStyle w:val="libNormal"/>
        <w:rPr>
          <w:rtl/>
          <w:lang w:bidi="fa-IR"/>
        </w:rPr>
      </w:pPr>
      <w:r>
        <w:rPr>
          <w:rtl/>
          <w:lang w:bidi="fa-IR"/>
        </w:rPr>
        <w:t xml:space="preserve">قَالَ : « كَانَ </w:t>
      </w:r>
      <w:r w:rsidRPr="00D10E3C">
        <w:rPr>
          <w:rStyle w:val="libFootnotenumChar"/>
          <w:rtl/>
        </w:rPr>
        <w:t>(11)</w:t>
      </w:r>
      <w:r>
        <w:rPr>
          <w:rtl/>
          <w:lang w:bidi="fa-IR"/>
        </w:rPr>
        <w:t xml:space="preserve"> الْأَوَّلُ ، وَالثَّانِي ، وَأَبُو عُبَيْدَةَ بْنُ الْجَرَّاحِ ، وَسَالِمُ بْنُ الْحَبِيبَةِ </w:t>
      </w:r>
      <w:r w:rsidRPr="00D10E3C">
        <w:rPr>
          <w:rStyle w:val="libFootnotenumChar"/>
          <w:rtl/>
        </w:rPr>
        <w:t>(12)</w:t>
      </w:r>
      <w:r>
        <w:rPr>
          <w:rtl/>
          <w:lang w:bidi="fa-IR"/>
        </w:rPr>
        <w:t xml:space="preserve"> ».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بح » : « عند صاحبك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يدلّ على أنّ تمريض الإخوان من المؤمنين والا</w:t>
      </w:r>
      <w:r w:rsidR="001959EB">
        <w:rPr>
          <w:rFonts w:hint="cs"/>
          <w:rtl/>
          <w:lang w:bidi="fa-IR"/>
        </w:rPr>
        <w:t>ُ</w:t>
      </w:r>
      <w:r w:rsidR="00744A1C">
        <w:rPr>
          <w:rtl/>
          <w:lang w:bidi="fa-IR"/>
        </w:rPr>
        <w:t xml:space="preserve">نس بهم أفضل من الصلاة في مسجد النبيّ </w:t>
      </w:r>
      <w:r w:rsidR="00024D6D" w:rsidRPr="00024D6D">
        <w:rPr>
          <w:rStyle w:val="libFootnoteAlaemChar"/>
          <w:rtl/>
        </w:rPr>
        <w:t>صلى‌الله‌عليه‌وآله</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14 ، ص 1310 ، ح 14323 ؛ </w:t>
      </w:r>
      <w:r w:rsidR="00744A1C" w:rsidRPr="00C24F9C">
        <w:rPr>
          <w:rStyle w:val="libFootnoteBoldChar"/>
          <w:rtl/>
        </w:rPr>
        <w:t>الوسائل</w:t>
      </w:r>
      <w:r w:rsidR="00744A1C">
        <w:rPr>
          <w:rtl/>
          <w:lang w:bidi="fa-IR"/>
        </w:rPr>
        <w:t xml:space="preserve"> ، ج 13 ، ص 313 ، ح 17825.</w:t>
      </w:r>
    </w:p>
    <w:p w:rsidR="00744A1C" w:rsidRDefault="00E378DD" w:rsidP="00536C63">
      <w:pPr>
        <w:pStyle w:val="libFootnote0"/>
        <w:rPr>
          <w:lang w:bidi="fa-IR"/>
        </w:rPr>
      </w:pPr>
      <w:r>
        <w:rPr>
          <w:rtl/>
          <w:lang w:bidi="fa-IR"/>
        </w:rPr>
        <w:t>(4).</w:t>
      </w:r>
      <w:r w:rsidR="00744A1C">
        <w:rPr>
          <w:rtl/>
          <w:lang w:bidi="fa-IR"/>
        </w:rPr>
        <w:t xml:space="preserve"> هكذا في « بث ، جر » وظاهر « بف ». وفي « ى ، بح ، بس ، جد ، جن » والمطبوع </w:t>
      </w:r>
      <w:r w:rsidR="00744A1C" w:rsidRPr="00C14640">
        <w:rPr>
          <w:rtl/>
        </w:rPr>
        <w:t>والوسائل والبحار</w:t>
      </w:r>
      <w:r w:rsidR="00744A1C">
        <w:rPr>
          <w:rtl/>
          <w:lang w:bidi="fa-IR"/>
        </w:rPr>
        <w:t xml:space="preserve"> : « الجريري ».</w:t>
      </w:r>
      <w:r w:rsidR="00536C63">
        <w:rPr>
          <w:rFonts w:hint="cs"/>
          <w:rtl/>
          <w:lang w:bidi="fa-IR"/>
        </w:rPr>
        <w:t xml:space="preserve"> </w:t>
      </w:r>
      <w:r w:rsidR="00744A1C">
        <w:rPr>
          <w:rtl/>
          <w:lang w:bidi="fa-IR"/>
        </w:rPr>
        <w:t xml:space="preserve">وذكر ابن ماكولا العنوان في كتابه الإكمال ، ج 2 ، ص 209 ، وضبط لقبه بالحاء المفتوحة في أوّله : الحريريّ. وذُكِر في </w:t>
      </w:r>
      <w:r w:rsidR="00744A1C" w:rsidRPr="0061079A">
        <w:rPr>
          <w:rStyle w:val="libFootnoteBoldChar"/>
          <w:rtl/>
        </w:rPr>
        <w:t>رجال الطوسي</w:t>
      </w:r>
      <w:r w:rsidR="00744A1C">
        <w:rPr>
          <w:rtl/>
          <w:lang w:bidi="fa-IR"/>
        </w:rPr>
        <w:t xml:space="preserve"> ، ص 220 ، الرقم 2932 ، سفيان بن إبراهيم بن مرثد (</w:t>
      </w:r>
      <w:r w:rsidR="00C14640">
        <w:rPr>
          <w:rtl/>
          <w:lang w:bidi="fa-IR"/>
        </w:rPr>
        <w:t xml:space="preserve"> مزيد - خ. ل ) الأزدي الجريري (</w:t>
      </w:r>
      <w:r w:rsidR="00744A1C">
        <w:rPr>
          <w:rtl/>
          <w:lang w:bidi="fa-IR"/>
        </w:rPr>
        <w:t>الحريري - خ. ل ).</w:t>
      </w:r>
    </w:p>
    <w:p w:rsidR="00744A1C" w:rsidRDefault="00E378DD" w:rsidP="00536C63">
      <w:pPr>
        <w:pStyle w:val="libFootnote0"/>
        <w:rPr>
          <w:lang w:bidi="fa-IR"/>
        </w:rPr>
      </w:pPr>
      <w:r>
        <w:rPr>
          <w:rtl/>
          <w:lang w:bidi="fa-IR"/>
        </w:rPr>
        <w:t>(5).</w:t>
      </w:r>
      <w:r w:rsidR="00744A1C">
        <w:rPr>
          <w:rtl/>
          <w:lang w:bidi="fa-IR"/>
        </w:rPr>
        <w:t xml:space="preserve"> هكذا في « بث ، بخ ، جد ، جر ، جن » </w:t>
      </w:r>
      <w:r w:rsidR="00744A1C" w:rsidRPr="00C14640">
        <w:rPr>
          <w:rtl/>
        </w:rPr>
        <w:t>والوافي والوسائل والبحار</w:t>
      </w:r>
      <w:r w:rsidR="00744A1C">
        <w:rPr>
          <w:rtl/>
          <w:lang w:bidi="fa-IR"/>
        </w:rPr>
        <w:t xml:space="preserve">. وفي </w:t>
      </w:r>
      <w:r w:rsidR="00C14640">
        <w:rPr>
          <w:rtl/>
          <w:lang w:bidi="fa-IR"/>
        </w:rPr>
        <w:t>« ى ، بف » والمطبوع : « الحصيرة</w:t>
      </w:r>
      <w:r w:rsidR="00744A1C">
        <w:rPr>
          <w:rtl/>
          <w:lang w:bidi="fa-IR"/>
        </w:rPr>
        <w:t>».</w:t>
      </w:r>
      <w:r w:rsidR="00536C63">
        <w:rPr>
          <w:rFonts w:hint="cs"/>
          <w:rtl/>
          <w:lang w:bidi="fa-IR"/>
        </w:rPr>
        <w:t xml:space="preserve"> </w:t>
      </w:r>
      <w:r w:rsidR="00744A1C">
        <w:rPr>
          <w:rtl/>
          <w:lang w:bidi="fa-IR"/>
        </w:rPr>
        <w:t xml:space="preserve">والحارث هذا ، هو الحارث بن حصيرة الأزدي أبو النعمان الكوفي. راجع : </w:t>
      </w:r>
      <w:r w:rsidR="00744A1C" w:rsidRPr="00B7470D">
        <w:rPr>
          <w:rStyle w:val="libFootnoteBoldChar"/>
          <w:rtl/>
        </w:rPr>
        <w:t>تهذيب الكمال</w:t>
      </w:r>
      <w:r w:rsidR="00744A1C">
        <w:rPr>
          <w:rtl/>
          <w:lang w:bidi="fa-IR"/>
        </w:rPr>
        <w:t xml:space="preserve"> ، ج 5 ، ص 224 ، الرقم 1015 وما بهامشه من المصادر ؛ </w:t>
      </w:r>
      <w:r w:rsidR="00744A1C" w:rsidRPr="00C14640">
        <w:rPr>
          <w:rStyle w:val="libFootnoteBoldChar"/>
          <w:rtl/>
        </w:rPr>
        <w:t>ال</w:t>
      </w:r>
      <w:r w:rsidR="00744A1C" w:rsidRPr="0061079A">
        <w:rPr>
          <w:rStyle w:val="libFootnoteBoldChar"/>
          <w:rtl/>
        </w:rPr>
        <w:t>رجال الطوسي</w:t>
      </w:r>
      <w:r w:rsidR="00744A1C">
        <w:rPr>
          <w:rtl/>
          <w:lang w:bidi="fa-IR"/>
        </w:rPr>
        <w:t xml:space="preserve"> ، ص 133 ، الرقم 1374 ؛ وص 191 ، الرقم 2367.</w:t>
      </w:r>
    </w:p>
    <w:p w:rsidR="00744A1C" w:rsidRDefault="00E378DD" w:rsidP="00E378DD">
      <w:pPr>
        <w:pStyle w:val="libFootnote0"/>
        <w:rPr>
          <w:lang w:bidi="fa-IR"/>
        </w:rPr>
      </w:pPr>
      <w:r>
        <w:rPr>
          <w:rtl/>
          <w:lang w:bidi="fa-IR"/>
        </w:rPr>
        <w:t>(6).</w:t>
      </w:r>
      <w:r w:rsidR="00744A1C">
        <w:rPr>
          <w:rtl/>
          <w:lang w:bidi="fa-IR"/>
        </w:rPr>
        <w:t xml:space="preserve"> هكذا في « بخ ، بس ، بف ، جر » وحاشية « بث ، بخ ». وفي « ى ، بث ، بح ، جد ، جن » والمطبوع </w:t>
      </w:r>
      <w:r w:rsidR="00744A1C" w:rsidRPr="00C14640">
        <w:rPr>
          <w:rtl/>
        </w:rPr>
        <w:t>والوسائل والبحار</w:t>
      </w:r>
      <w:r w:rsidR="00744A1C">
        <w:rPr>
          <w:rtl/>
          <w:lang w:bidi="fa-IR"/>
        </w:rPr>
        <w:t xml:space="preserve"> : « الأسدي ». والأسْدُ - بسكون السين - لغةٌ من الأزْد. راجع : </w:t>
      </w:r>
      <w:r w:rsidR="00744A1C" w:rsidRPr="00C14640">
        <w:rPr>
          <w:rStyle w:val="libFootnoteBoldChar"/>
          <w:rtl/>
        </w:rPr>
        <w:t>الأنساب للسمعاني</w:t>
      </w:r>
      <w:r w:rsidR="00744A1C">
        <w:rPr>
          <w:rtl/>
          <w:lang w:bidi="fa-IR"/>
        </w:rPr>
        <w:t xml:space="preserve"> ، ج 1 ، ص 137.</w:t>
      </w:r>
    </w:p>
    <w:tbl>
      <w:tblPr>
        <w:tblStyle w:val="TableGrid"/>
        <w:bidiVisual/>
        <w:tblW w:w="0" w:type="auto"/>
        <w:tblLook w:val="04A0" w:firstRow="1" w:lastRow="0" w:firstColumn="1" w:lastColumn="0" w:noHBand="0" w:noVBand="1"/>
      </w:tblPr>
      <w:tblGrid>
        <w:gridCol w:w="4006"/>
        <w:gridCol w:w="4006"/>
      </w:tblGrid>
      <w:tr w:rsidR="00C14640" w:rsidTr="00C14640">
        <w:tc>
          <w:tcPr>
            <w:tcW w:w="4006" w:type="dxa"/>
          </w:tcPr>
          <w:p w:rsidR="00C14640" w:rsidRDefault="00C14640"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 « دخلت ».</w:t>
            </w:r>
          </w:p>
        </w:tc>
        <w:tc>
          <w:tcPr>
            <w:tcW w:w="4006" w:type="dxa"/>
          </w:tcPr>
          <w:p w:rsidR="00C14640" w:rsidRDefault="00C14640" w:rsidP="00E378DD">
            <w:pPr>
              <w:pStyle w:val="libFootnote0"/>
              <w:rPr>
                <w:rtl/>
                <w:lang w:bidi="fa-IR"/>
              </w:rPr>
            </w:pPr>
            <w:r>
              <w:rPr>
                <w:rtl/>
                <w:lang w:bidi="fa-IR"/>
              </w:rPr>
              <w:t xml:space="preserve">(8). في </w:t>
            </w:r>
            <w:r w:rsidRPr="00C14640">
              <w:rPr>
                <w:rtl/>
              </w:rPr>
              <w:t>الوسائل</w:t>
            </w:r>
            <w:r>
              <w:rPr>
                <w:rtl/>
                <w:lang w:bidi="fa-IR"/>
              </w:rPr>
              <w:t xml:space="preserve"> : + « في ».</w:t>
            </w:r>
          </w:p>
        </w:tc>
      </w:tr>
      <w:tr w:rsidR="00C14640" w:rsidTr="00C14640">
        <w:tc>
          <w:tcPr>
            <w:tcW w:w="4006" w:type="dxa"/>
          </w:tcPr>
          <w:p w:rsidR="00C14640" w:rsidRDefault="00C14640" w:rsidP="00E378DD">
            <w:pPr>
              <w:pStyle w:val="libFootnote0"/>
              <w:rPr>
                <w:rtl/>
                <w:lang w:bidi="fa-IR"/>
              </w:rPr>
            </w:pPr>
            <w:r>
              <w:rPr>
                <w:rtl/>
                <w:lang w:bidi="fa-IR"/>
              </w:rPr>
              <w:t xml:space="preserve">(9). في «بث» : «وقتل».وفي </w:t>
            </w:r>
            <w:r w:rsidRPr="00C14640">
              <w:rPr>
                <w:rtl/>
              </w:rPr>
              <w:t>البحار</w:t>
            </w:r>
            <w:r>
              <w:rPr>
                <w:rtl/>
                <w:lang w:bidi="fa-IR"/>
              </w:rPr>
              <w:t xml:space="preserve"> :-«أو قتل».</w:t>
            </w:r>
          </w:p>
        </w:tc>
        <w:tc>
          <w:tcPr>
            <w:tcW w:w="4006" w:type="dxa"/>
          </w:tcPr>
          <w:p w:rsidR="00C14640" w:rsidRDefault="00C14640" w:rsidP="00E378DD">
            <w:pPr>
              <w:pStyle w:val="libFootnote0"/>
              <w:rPr>
                <w:rtl/>
                <w:lang w:bidi="fa-IR"/>
              </w:rPr>
            </w:pPr>
            <w:r>
              <w:rPr>
                <w:rtl/>
                <w:lang w:bidi="fa-IR"/>
              </w:rPr>
              <w:t>(10). في « جن » : « فقلت ».</w:t>
            </w:r>
          </w:p>
        </w:tc>
      </w:tr>
    </w:tbl>
    <w:p w:rsidR="00744A1C" w:rsidRDefault="00E378DD" w:rsidP="00E378DD">
      <w:pPr>
        <w:pStyle w:val="libFootnote0"/>
        <w:rPr>
          <w:lang w:bidi="fa-IR"/>
        </w:rPr>
      </w:pPr>
      <w:r>
        <w:rPr>
          <w:rtl/>
          <w:lang w:bidi="fa-IR"/>
        </w:rPr>
        <w:t>(11).</w:t>
      </w:r>
      <w:r w:rsidR="00744A1C">
        <w:rPr>
          <w:rtl/>
          <w:lang w:bidi="fa-IR"/>
        </w:rPr>
        <w:t xml:space="preserve"> في « بف » </w:t>
      </w:r>
      <w:r w:rsidR="00744A1C" w:rsidRPr="00C14640">
        <w:rPr>
          <w:rtl/>
        </w:rPr>
        <w:t>والوافي</w:t>
      </w:r>
      <w:r w:rsidR="00744A1C">
        <w:rPr>
          <w:rtl/>
          <w:lang w:bidi="fa-IR"/>
        </w:rPr>
        <w:t xml:space="preserve"> : - « كان ».</w:t>
      </w:r>
    </w:p>
    <w:p w:rsidR="00744A1C" w:rsidRDefault="00E378DD" w:rsidP="00E378DD">
      <w:pPr>
        <w:pStyle w:val="libFootnote0"/>
        <w:rPr>
          <w:lang w:bidi="fa-IR"/>
        </w:rPr>
      </w:pPr>
      <w:r>
        <w:rPr>
          <w:rtl/>
          <w:lang w:bidi="fa-IR"/>
        </w:rPr>
        <w:t>(12).</w:t>
      </w:r>
      <w:r w:rsidR="00744A1C">
        <w:rPr>
          <w:rtl/>
          <w:lang w:bidi="fa-IR"/>
        </w:rPr>
        <w:t xml:space="preserve"> في « بخ » : « الخبيتة ». وفي « جن » : « الخبيثة ». وفي حاشية « جن » : « الحبشية ». هذا ، والظاهر عدم صحّة التقريرات كلّها ، وأنّ سالماً هذا ، هو سالم مولى أبي حذيفة ، وهو سالم بن مَعْقِل. راجع : </w:t>
      </w:r>
      <w:r w:rsidR="00744A1C" w:rsidRPr="0061079A">
        <w:rPr>
          <w:rStyle w:val="libFootnoteBoldChar"/>
          <w:rtl/>
        </w:rPr>
        <w:t>الكافي</w:t>
      </w:r>
      <w:r w:rsidR="00744A1C">
        <w:rPr>
          <w:rtl/>
          <w:lang w:bidi="fa-IR"/>
        </w:rPr>
        <w:t xml:space="preserve"> ، ح 8148 و 15017 ؛ </w:t>
      </w:r>
      <w:r w:rsidR="00744A1C" w:rsidRPr="00C14640">
        <w:rPr>
          <w:rStyle w:val="libFootnoteBoldChar"/>
          <w:rtl/>
        </w:rPr>
        <w:t>الاستيعاب</w:t>
      </w:r>
      <w:r w:rsidR="00744A1C">
        <w:rPr>
          <w:rtl/>
          <w:lang w:bidi="fa-IR"/>
        </w:rPr>
        <w:t xml:space="preserve"> ، ج 2 ، ص 135 ، الرقم 886 ؛ </w:t>
      </w:r>
      <w:r w:rsidR="00744A1C" w:rsidRPr="00C14640">
        <w:rPr>
          <w:rStyle w:val="libFootnoteBoldChar"/>
          <w:rtl/>
        </w:rPr>
        <w:t>ا</w:t>
      </w:r>
      <w:r w:rsidR="00C14640" w:rsidRPr="00C14640">
        <w:rPr>
          <w:rStyle w:val="libFootnoteBoldChar"/>
          <w:rFonts w:hint="cs"/>
          <w:rtl/>
        </w:rPr>
        <w:t>ُ</w:t>
      </w:r>
      <w:r w:rsidR="00744A1C" w:rsidRPr="00C14640">
        <w:rPr>
          <w:rStyle w:val="libFootnoteBoldChar"/>
          <w:rtl/>
        </w:rPr>
        <w:t>سد الغابة</w:t>
      </w:r>
      <w:r w:rsidR="00744A1C">
        <w:rPr>
          <w:rtl/>
          <w:lang w:bidi="fa-IR"/>
        </w:rPr>
        <w:t xml:space="preserve"> ، ج 2 ، ص 382 ، الرقم 1892.</w:t>
      </w:r>
    </w:p>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الوافي</w:t>
      </w:r>
      <w:r w:rsidR="00744A1C">
        <w:rPr>
          <w:rtl/>
          <w:lang w:bidi="fa-IR"/>
        </w:rPr>
        <w:t xml:space="preserve"> ، ج 2 ، ص 191 ، ح 654 ؛ </w:t>
      </w:r>
      <w:r w:rsidR="00744A1C" w:rsidRPr="00C24F9C">
        <w:rPr>
          <w:rStyle w:val="libFootnoteBoldChar"/>
          <w:rtl/>
        </w:rPr>
        <w:t>الوسائل</w:t>
      </w:r>
      <w:r w:rsidR="00744A1C">
        <w:rPr>
          <w:rtl/>
          <w:lang w:bidi="fa-IR"/>
        </w:rPr>
        <w:t xml:space="preserve"> ، ج 13 ، ص 278 ، ح 17744 ، إلى قوله : « بين العمودين » ؛ </w:t>
      </w:r>
      <w:r w:rsidR="00744A1C" w:rsidRPr="0061079A">
        <w:rPr>
          <w:rStyle w:val="libFootnoteBoldChar"/>
          <w:rtl/>
        </w:rPr>
        <w:t>البحار</w:t>
      </w:r>
      <w:r w:rsidR="00744A1C">
        <w:rPr>
          <w:rtl/>
          <w:lang w:bidi="fa-IR"/>
        </w:rPr>
        <w:t xml:space="preserve"> ، </w:t>
      </w:r>
      <w:r w:rsidR="00C14640">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8080 / 29. عَلِيُّ بْنُ إِبْرَاهِيمَ ، عَنْ هَارُونَ بْنِ مُسْلِمٍ ، عَنْ مَسْعَدَةَ بْنِ صَدَقَةَ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سُئِلَ أَمِيرُ الْمُؤْمِنِينَ - صَلَوَاتُ اللهِ عَلَيْهِ - عَنْ إِسَافٍ وَنَائِلَةَ ، وَعِبَادَةِ قُرَيْشٍ لَهُمَا؟</w:t>
      </w:r>
    </w:p>
    <w:p w:rsidR="00144FA6" w:rsidRDefault="00744A1C" w:rsidP="00744A1C">
      <w:pPr>
        <w:pStyle w:val="libNormal"/>
        <w:rPr>
          <w:rtl/>
          <w:lang w:bidi="fa-IR"/>
        </w:rPr>
      </w:pPr>
      <w:r>
        <w:rPr>
          <w:rtl/>
          <w:lang w:bidi="fa-IR"/>
        </w:rPr>
        <w:t xml:space="preserve">فَقَالَ : نَعَمْ </w:t>
      </w:r>
      <w:r w:rsidRPr="00D10E3C">
        <w:rPr>
          <w:rStyle w:val="libFootnotenumChar"/>
          <w:rtl/>
        </w:rPr>
        <w:t>(1)</w:t>
      </w:r>
      <w:r>
        <w:rPr>
          <w:rtl/>
          <w:lang w:bidi="fa-IR"/>
        </w:rPr>
        <w:t xml:space="preserve"> ، كَانَا شَابَّيْنِ صَبِيحَيْنِ </w:t>
      </w:r>
      <w:r w:rsidRPr="00D10E3C">
        <w:rPr>
          <w:rStyle w:val="libFootnotenumChar"/>
          <w:rtl/>
        </w:rPr>
        <w:t>(2)</w:t>
      </w:r>
      <w:r>
        <w:rPr>
          <w:rtl/>
          <w:lang w:bidi="fa-IR"/>
        </w:rPr>
        <w:t xml:space="preserve"> ، وَكَانَ بِأَحَدِهِمَا تَأْنِيثٌ </w:t>
      </w:r>
      <w:r w:rsidRPr="00D10E3C">
        <w:rPr>
          <w:rStyle w:val="libFootnotenumChar"/>
          <w:rtl/>
        </w:rPr>
        <w:t>(3)</w:t>
      </w:r>
      <w:r>
        <w:rPr>
          <w:rtl/>
          <w:lang w:bidi="fa-IR"/>
        </w:rPr>
        <w:t xml:space="preserve"> ، وَكَانَا يَطُوفَانِ بِالْبَيْتِ ، فَصَادَفَا مِنَ الْبَيْتِ خَلْوَةً ، فَأَرَادَ أَحَدُهُمَا صَاحِبَهُ ، فَفَعَلَ ، فَمَسَخَهُمَا اللهُ </w:t>
      </w:r>
      <w:r w:rsidRPr="00D10E3C">
        <w:rPr>
          <w:rStyle w:val="libFootnotenumChar"/>
          <w:rtl/>
        </w:rPr>
        <w:t>(4)</w:t>
      </w:r>
      <w:r>
        <w:rPr>
          <w:rtl/>
          <w:lang w:bidi="fa-IR"/>
        </w:rPr>
        <w:t xml:space="preserve"> ، فَقَالَتْ قُرَيْشٌ : لَوْ لَا أَنَّ اللهَ رَضِيَ أَنْ يُعْبَدَ </w:t>
      </w:r>
      <w:r w:rsidRPr="00D10E3C">
        <w:rPr>
          <w:rStyle w:val="libFootnotenumChar"/>
          <w:rtl/>
        </w:rPr>
        <w:t>(5)</w:t>
      </w:r>
      <w:r>
        <w:rPr>
          <w:rtl/>
          <w:lang w:bidi="fa-IR"/>
        </w:rPr>
        <w:t xml:space="preserve"> هذَانِ </w:t>
      </w:r>
      <w:r w:rsidRPr="00D10E3C">
        <w:rPr>
          <w:rStyle w:val="libFootnotenumChar"/>
          <w:rtl/>
        </w:rPr>
        <w:t>(6)</w:t>
      </w:r>
      <w:r>
        <w:rPr>
          <w:rtl/>
          <w:lang w:bidi="fa-IR"/>
        </w:rPr>
        <w:t xml:space="preserve"> مَعَهُ ، مَا حَوَّلَهُمَا عَنْ حَالِهِمَا ». </w:t>
      </w:r>
      <w:r w:rsidRPr="00D10E3C">
        <w:rPr>
          <w:rStyle w:val="libFootnotenumChar"/>
          <w:rtl/>
        </w:rPr>
        <w:t>(7)</w:t>
      </w:r>
    </w:p>
    <w:p w:rsidR="00144FA6" w:rsidRDefault="00744A1C" w:rsidP="00744A1C">
      <w:pPr>
        <w:pStyle w:val="libNormal"/>
        <w:rPr>
          <w:rtl/>
          <w:lang w:bidi="fa-IR"/>
        </w:rPr>
      </w:pPr>
      <w:r>
        <w:rPr>
          <w:rtl/>
          <w:lang w:bidi="fa-IR"/>
        </w:rPr>
        <w:t xml:space="preserve">8081 / 30. عِدَّةٌ مِنْ أَصْحَابِنَا ، عَنْ سَهْلِ بْنِ زِيَادٍ ، عَنْ عَلِيِّ بْنِ أَسْبَاطٍ </w:t>
      </w:r>
      <w:r w:rsidRPr="00D10E3C">
        <w:rPr>
          <w:rStyle w:val="libFootnotenumChar"/>
          <w:rtl/>
        </w:rPr>
        <w:t>(8)</w:t>
      </w:r>
      <w:r>
        <w:rPr>
          <w:rtl/>
          <w:lang w:bidi="fa-IR"/>
        </w:rPr>
        <w:t xml:space="preserve"> ، عَنْ عَلِيِّ بْنِ أَبِي </w:t>
      </w:r>
      <w:r w:rsidRPr="00D10E3C">
        <w:rPr>
          <w:rStyle w:val="libFootnotenumChar"/>
          <w:rtl/>
        </w:rPr>
        <w:t>(9)</w:t>
      </w:r>
      <w:r>
        <w:rPr>
          <w:rtl/>
          <w:lang w:bidi="fa-IR"/>
        </w:rPr>
        <w:t xml:space="preserve"> عَبْدِ اللهِ ، عَنِ الْحُسَيْنِ بْنِ يَزِيدَ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w:t>
      </w:r>
      <w:r w:rsidRPr="00D10E3C">
        <w:rPr>
          <w:rStyle w:val="libFootnotenumChar"/>
          <w:rtl/>
        </w:rPr>
        <w:t>(10)</w:t>
      </w:r>
      <w:r>
        <w:rPr>
          <w:rtl/>
          <w:lang w:bidi="fa-IR"/>
        </w:rPr>
        <w:t xml:space="preserve"> - وَقَدْ قَالَ لَهُ أَبُو حَنِيفَةَ : عَجِبَ النَّاسُ مِنْكَ‌</w:t>
      </w:r>
    </w:p>
    <w:p w:rsidR="00744A1C" w:rsidRDefault="00744A1C" w:rsidP="00D10E3C">
      <w:pPr>
        <w:pStyle w:val="libLine"/>
        <w:rPr>
          <w:lang w:bidi="fa-IR"/>
        </w:rPr>
      </w:pPr>
      <w:r>
        <w:rPr>
          <w:rtl/>
          <w:lang w:bidi="fa-IR"/>
        </w:rPr>
        <w:t>____________________</w:t>
      </w:r>
    </w:p>
    <w:p w:rsidR="00744A1C" w:rsidRDefault="00237B8B" w:rsidP="00D10E3C">
      <w:pPr>
        <w:pStyle w:val="libFootnote0"/>
        <w:rPr>
          <w:lang w:bidi="fa-IR"/>
        </w:rPr>
      </w:pPr>
      <w:r>
        <w:rPr>
          <w:rFonts w:hint="cs"/>
          <w:rtl/>
          <w:lang w:bidi="fa-IR"/>
        </w:rPr>
        <w:t xml:space="preserve">= </w:t>
      </w:r>
      <w:r w:rsidR="00744A1C">
        <w:rPr>
          <w:rtl/>
          <w:lang w:bidi="fa-IR"/>
        </w:rPr>
        <w:t>ج 28 ، ص 85 ، ح 1.</w:t>
      </w:r>
    </w:p>
    <w:p w:rsidR="00744A1C" w:rsidRDefault="00D10E3C" w:rsidP="00D10E3C">
      <w:pPr>
        <w:pStyle w:val="libFootnote0"/>
        <w:rPr>
          <w:lang w:bidi="fa-IR"/>
        </w:rPr>
      </w:pPr>
      <w:r>
        <w:rPr>
          <w:rtl/>
          <w:lang w:bidi="fa-IR"/>
        </w:rPr>
        <w:t>(1).</w:t>
      </w:r>
      <w:r w:rsidR="00744A1C">
        <w:rPr>
          <w:rtl/>
          <w:lang w:bidi="fa-IR"/>
        </w:rPr>
        <w:t xml:space="preserve"> في </w:t>
      </w:r>
      <w:r w:rsidR="00744A1C" w:rsidRPr="00237B8B">
        <w:rPr>
          <w:rtl/>
        </w:rPr>
        <w:t>الوسائل</w:t>
      </w:r>
      <w:r w:rsidR="00744A1C">
        <w:rPr>
          <w:rtl/>
          <w:lang w:bidi="fa-IR"/>
        </w:rPr>
        <w:t xml:space="preserve"> ، ح 17645 : - « نعم ».</w:t>
      </w:r>
    </w:p>
    <w:p w:rsidR="00744A1C" w:rsidRDefault="00E378DD" w:rsidP="00E378DD">
      <w:pPr>
        <w:pStyle w:val="libFootnote0"/>
        <w:rPr>
          <w:lang w:bidi="fa-IR"/>
        </w:rPr>
      </w:pPr>
      <w:r>
        <w:rPr>
          <w:rtl/>
          <w:lang w:bidi="fa-IR"/>
        </w:rPr>
        <w:t>(2).</w:t>
      </w:r>
      <w:r w:rsidR="00744A1C">
        <w:rPr>
          <w:rtl/>
          <w:lang w:bidi="fa-IR"/>
        </w:rPr>
        <w:t xml:space="preserve"> في « بث ، بخ ، بف ، جن » </w:t>
      </w:r>
      <w:r w:rsidR="00744A1C" w:rsidRPr="00237B8B">
        <w:rPr>
          <w:rtl/>
        </w:rPr>
        <w:t>والوافي</w:t>
      </w:r>
      <w:r w:rsidR="00744A1C">
        <w:rPr>
          <w:rtl/>
          <w:lang w:bidi="fa-IR"/>
        </w:rPr>
        <w:t xml:space="preserve"> : « صحيحين ». وفي « ى » : « ضجيجين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253 : « أي لين ورخاوة ، يعني كان مخنّثاً لا يمتنع من أن يفعل به ، وظاهر الحديث أنّهما كانا رجلين ، والمشهور أنّ نائلة كانت امرأة ».</w:t>
      </w:r>
    </w:p>
    <w:p w:rsidR="00744A1C" w:rsidRDefault="00E378DD" w:rsidP="00E378DD">
      <w:pPr>
        <w:pStyle w:val="libFootnote0"/>
        <w:rPr>
          <w:lang w:bidi="fa-IR"/>
        </w:rPr>
      </w:pPr>
      <w:r>
        <w:rPr>
          <w:rtl/>
          <w:lang w:bidi="fa-IR"/>
        </w:rPr>
        <w:t>(4).</w:t>
      </w:r>
      <w:r w:rsidR="00744A1C">
        <w:rPr>
          <w:rtl/>
          <w:lang w:bidi="fa-IR"/>
        </w:rPr>
        <w:t xml:space="preserve"> في </w:t>
      </w:r>
      <w:r w:rsidR="00744A1C" w:rsidRPr="00237B8B">
        <w:rPr>
          <w:rtl/>
        </w:rPr>
        <w:t>قرب الإسناد</w:t>
      </w:r>
      <w:r w:rsidR="00744A1C">
        <w:rPr>
          <w:rtl/>
          <w:lang w:bidi="fa-IR"/>
        </w:rPr>
        <w:t xml:space="preserve"> : + « حجرين ».</w:t>
      </w:r>
    </w:p>
    <w:p w:rsidR="00744A1C" w:rsidRDefault="00E378DD" w:rsidP="00E378DD">
      <w:pPr>
        <w:pStyle w:val="libFootnote0"/>
        <w:rPr>
          <w:lang w:bidi="fa-IR"/>
        </w:rPr>
      </w:pPr>
      <w:r>
        <w:rPr>
          <w:rtl/>
          <w:lang w:bidi="fa-IR"/>
        </w:rPr>
        <w:t>(5).</w:t>
      </w:r>
      <w:r w:rsidR="00744A1C">
        <w:rPr>
          <w:rtl/>
          <w:lang w:bidi="fa-IR"/>
        </w:rPr>
        <w:t xml:space="preserve"> في « بف » : « أن تعبد ». وفي « بث » : « أن يعيد ». وفي « بخ » </w:t>
      </w:r>
      <w:r w:rsidR="00744A1C" w:rsidRPr="00237B8B">
        <w:rPr>
          <w:rtl/>
        </w:rPr>
        <w:t>والوافي</w:t>
      </w:r>
      <w:r w:rsidR="00744A1C">
        <w:rPr>
          <w:rtl/>
          <w:lang w:bidi="fa-IR"/>
        </w:rPr>
        <w:t xml:space="preserve"> : « أن نعيد ». وفي « جد » بالنون والياء معاً.</w:t>
      </w:r>
    </w:p>
    <w:p w:rsidR="00744A1C" w:rsidRDefault="00E378DD" w:rsidP="00E378DD">
      <w:pPr>
        <w:pStyle w:val="libFootnote0"/>
        <w:rPr>
          <w:lang w:bidi="fa-IR"/>
        </w:rPr>
      </w:pPr>
      <w:r>
        <w:rPr>
          <w:rtl/>
          <w:lang w:bidi="fa-IR"/>
        </w:rPr>
        <w:t>(6).</w:t>
      </w:r>
      <w:r w:rsidR="00744A1C">
        <w:rPr>
          <w:rtl/>
          <w:lang w:bidi="fa-IR"/>
        </w:rPr>
        <w:t xml:space="preserve"> في « ى ، بخ ، جد » </w:t>
      </w:r>
      <w:r w:rsidR="00744A1C" w:rsidRPr="00237B8B">
        <w:rPr>
          <w:rtl/>
        </w:rPr>
        <w:t>والوافي</w:t>
      </w:r>
      <w:r w:rsidR="00744A1C">
        <w:rPr>
          <w:rtl/>
          <w:lang w:bidi="fa-IR"/>
        </w:rPr>
        <w:t xml:space="preserve"> : « هذين ».</w:t>
      </w:r>
    </w:p>
    <w:p w:rsidR="00744A1C" w:rsidRDefault="00E378DD" w:rsidP="00E378DD">
      <w:pPr>
        <w:pStyle w:val="libFootnote0"/>
        <w:rPr>
          <w:lang w:bidi="fa-IR"/>
        </w:rPr>
      </w:pPr>
      <w:r>
        <w:rPr>
          <w:rtl/>
          <w:lang w:bidi="fa-IR"/>
        </w:rPr>
        <w:t>(7).</w:t>
      </w:r>
      <w:r w:rsidR="00744A1C">
        <w:rPr>
          <w:rtl/>
          <w:lang w:bidi="fa-IR"/>
        </w:rPr>
        <w:t xml:space="preserve"> </w:t>
      </w:r>
      <w:r w:rsidR="00744A1C" w:rsidRPr="00877682">
        <w:rPr>
          <w:rStyle w:val="libFootnoteBoldChar"/>
          <w:rtl/>
        </w:rPr>
        <w:t>قرب الإسناد</w:t>
      </w:r>
      <w:r w:rsidR="00744A1C">
        <w:rPr>
          <w:rtl/>
          <w:lang w:bidi="fa-IR"/>
        </w:rPr>
        <w:t xml:space="preserve"> ، ص 50 ، ح 163 ، عن هارون بن مسلم ، عن مسعدة بن صدقة ، عن جعفر ، عن أبيه ، عن عليّ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يسير </w:t>
      </w:r>
      <w:r w:rsidR="00237B8B">
        <w:rPr>
          <w:rFonts w:hint="cs"/>
          <w:rtl/>
          <w:lang w:bidi="fa-IR"/>
        </w:rPr>
        <w:t>.</w:t>
      </w:r>
      <w:r w:rsidR="00744A1C" w:rsidRPr="00C24F9C">
        <w:rPr>
          <w:rStyle w:val="libFootnoteBoldChar"/>
          <w:rtl/>
        </w:rPr>
        <w:t>الوافي</w:t>
      </w:r>
      <w:r w:rsidR="00744A1C">
        <w:rPr>
          <w:rtl/>
          <w:lang w:bidi="fa-IR"/>
        </w:rPr>
        <w:t xml:space="preserve"> ، ج 12 ، ص 343 ، ح 12072 ؛ </w:t>
      </w:r>
      <w:r w:rsidR="00744A1C" w:rsidRPr="00C24F9C">
        <w:rPr>
          <w:rStyle w:val="libFootnoteBoldChar"/>
          <w:rtl/>
        </w:rPr>
        <w:t>الوسائل</w:t>
      </w:r>
      <w:r w:rsidR="00744A1C">
        <w:rPr>
          <w:rtl/>
          <w:lang w:bidi="fa-IR"/>
        </w:rPr>
        <w:t xml:space="preserve"> ، ج 13 ، ص 240 ، ح 17645 ؛ وج 20 ، ص 332 ، ذيل ح 25754.</w:t>
      </w:r>
    </w:p>
    <w:p w:rsidR="00744A1C" w:rsidRDefault="00E378DD" w:rsidP="00E378DD">
      <w:pPr>
        <w:pStyle w:val="libFootnote0"/>
        <w:rPr>
          <w:lang w:bidi="fa-IR"/>
        </w:rPr>
      </w:pPr>
      <w:r>
        <w:rPr>
          <w:rtl/>
          <w:lang w:bidi="fa-IR"/>
        </w:rPr>
        <w:t>(8).</w:t>
      </w:r>
      <w:r w:rsidR="00744A1C">
        <w:rPr>
          <w:rtl/>
          <w:lang w:bidi="fa-IR"/>
        </w:rPr>
        <w:t xml:space="preserve"> في </w:t>
      </w:r>
      <w:r w:rsidR="00744A1C" w:rsidRPr="00237B8B">
        <w:rPr>
          <w:rtl/>
        </w:rPr>
        <w:t>الوسائل</w:t>
      </w:r>
      <w:r w:rsidR="00744A1C">
        <w:rPr>
          <w:rtl/>
          <w:lang w:bidi="fa-IR"/>
        </w:rPr>
        <w:t xml:space="preserve"> : - « عن عليّ بن أسباط ». والظاهر أنّ جواز النظر من « عليّ » إلى « عليّ » ، أوجب السقط في هذا الكتاب.</w:t>
      </w:r>
    </w:p>
    <w:p w:rsidR="00744A1C" w:rsidRDefault="00E378DD" w:rsidP="00E378DD">
      <w:pPr>
        <w:pStyle w:val="libFootnote0"/>
        <w:rPr>
          <w:lang w:bidi="fa-IR"/>
        </w:rPr>
      </w:pPr>
      <w:r>
        <w:rPr>
          <w:rtl/>
          <w:lang w:bidi="fa-IR"/>
        </w:rPr>
        <w:t>(9).</w:t>
      </w:r>
      <w:r w:rsidR="00744A1C">
        <w:rPr>
          <w:rtl/>
          <w:lang w:bidi="fa-IR"/>
        </w:rPr>
        <w:t xml:space="preserve"> في « جن » </w:t>
      </w:r>
      <w:r w:rsidR="00744A1C" w:rsidRPr="00237B8B">
        <w:rPr>
          <w:rtl/>
        </w:rPr>
        <w:t>والبحار</w:t>
      </w:r>
      <w:r w:rsidR="00744A1C">
        <w:rPr>
          <w:rtl/>
          <w:lang w:bidi="fa-IR"/>
        </w:rPr>
        <w:t xml:space="preserve"> : - « أبي ».</w:t>
      </w:r>
    </w:p>
    <w:p w:rsidR="00744A1C" w:rsidRDefault="00E378DD" w:rsidP="00E378DD">
      <w:pPr>
        <w:pStyle w:val="libFootnote0"/>
        <w:rPr>
          <w:lang w:bidi="fa-IR"/>
        </w:rPr>
      </w:pPr>
      <w:r>
        <w:rPr>
          <w:rtl/>
          <w:lang w:bidi="fa-IR"/>
        </w:rPr>
        <w:t>(10).</w:t>
      </w:r>
      <w:r w:rsidR="00744A1C">
        <w:rPr>
          <w:rtl/>
          <w:lang w:bidi="fa-IR"/>
        </w:rPr>
        <w:t xml:space="preserve"> في </w:t>
      </w:r>
      <w:r w:rsidR="00744A1C" w:rsidRPr="00237B8B">
        <w:rPr>
          <w:rtl/>
        </w:rPr>
        <w:t>الوسائل</w:t>
      </w:r>
      <w:r w:rsidR="00744A1C">
        <w:rPr>
          <w:rtl/>
          <w:lang w:bidi="fa-IR"/>
        </w:rPr>
        <w:t xml:space="preserve"> ، ح 22980 : - « يقول ».</w:t>
      </w:r>
    </w:p>
    <w:p w:rsidR="00150943" w:rsidRDefault="00150943" w:rsidP="00D10E3C">
      <w:pPr>
        <w:pStyle w:val="libNormal"/>
        <w:rPr>
          <w:rtl/>
          <w:lang w:bidi="fa-IR"/>
        </w:rPr>
      </w:pPr>
      <w:r>
        <w:rPr>
          <w:rtl/>
          <w:lang w:bidi="fa-IR"/>
        </w:rPr>
        <w:br w:type="page"/>
      </w:r>
    </w:p>
    <w:p w:rsidR="00744A1C" w:rsidRDefault="00744A1C" w:rsidP="00CD7BA2">
      <w:pPr>
        <w:pStyle w:val="libNormal0"/>
        <w:rPr>
          <w:lang w:bidi="fa-IR"/>
        </w:rPr>
      </w:pPr>
      <w:r>
        <w:rPr>
          <w:rtl/>
          <w:lang w:bidi="fa-IR"/>
        </w:rPr>
        <w:lastRenderedPageBreak/>
        <w:t xml:space="preserve">أَمْسِ وَأَنْتَ بِعَرَفَةَ تُمَاكِسُ </w:t>
      </w:r>
      <w:r w:rsidRPr="00D10E3C">
        <w:rPr>
          <w:rStyle w:val="libFootnotenumChar"/>
          <w:rtl/>
        </w:rPr>
        <w:t>(1)</w:t>
      </w:r>
      <w:r>
        <w:rPr>
          <w:rtl/>
          <w:lang w:bidi="fa-IR"/>
        </w:rPr>
        <w:t xml:space="preserve"> بِبُدْنِكَ </w:t>
      </w:r>
      <w:r w:rsidRPr="00D10E3C">
        <w:rPr>
          <w:rStyle w:val="libFootnotenumChar"/>
          <w:rtl/>
        </w:rPr>
        <w:t>(2)</w:t>
      </w:r>
      <w:r>
        <w:rPr>
          <w:rtl/>
          <w:lang w:bidi="fa-IR"/>
        </w:rPr>
        <w:t xml:space="preserve"> أَشَدَّ مِكَاساً </w:t>
      </w:r>
      <w:r w:rsidRPr="00D10E3C">
        <w:rPr>
          <w:rStyle w:val="libFootnotenumChar"/>
          <w:rtl/>
        </w:rPr>
        <w:t>(3)</w:t>
      </w:r>
      <w:r>
        <w:rPr>
          <w:rtl/>
          <w:lang w:bidi="fa-IR"/>
        </w:rPr>
        <w:t xml:space="preserve"> يَكُونُ </w:t>
      </w:r>
      <w:r w:rsidRPr="00D10E3C">
        <w:rPr>
          <w:rStyle w:val="libFootnotenumChar"/>
          <w:rtl/>
        </w:rPr>
        <w:t>(4)</w:t>
      </w:r>
      <w:r>
        <w:rPr>
          <w:rtl/>
          <w:lang w:bidi="fa-IR"/>
        </w:rPr>
        <w:t xml:space="preserve"> - قَالَ </w:t>
      </w:r>
      <w:r w:rsidRPr="00D10E3C">
        <w:rPr>
          <w:rStyle w:val="libFootnotenumChar"/>
          <w:rtl/>
        </w:rPr>
        <w:t>(5)</w:t>
      </w:r>
      <w:r>
        <w:rPr>
          <w:rtl/>
          <w:lang w:bidi="fa-IR"/>
        </w:rPr>
        <w:t xml:space="preserve"> : فَقَالَ لَهُ </w:t>
      </w:r>
      <w:r w:rsidRPr="00D10E3C">
        <w:rPr>
          <w:rStyle w:val="libFootnotenumChar"/>
          <w:rtl/>
        </w:rPr>
        <w:t>(6)</w:t>
      </w:r>
      <w:r>
        <w:rPr>
          <w:rtl/>
          <w:lang w:bidi="fa-IR"/>
        </w:rPr>
        <w:t xml:space="preserve"> أَبُو عَبْدِ اللهِ </w:t>
      </w:r>
      <w:r w:rsidR="00CD7BA2" w:rsidRPr="0061079A">
        <w:rPr>
          <w:rStyle w:val="libAlaemChar"/>
          <w:rtl/>
        </w:rPr>
        <w:t>عليه‌السلام</w:t>
      </w:r>
      <w:r>
        <w:rPr>
          <w:rtl/>
          <w:lang w:bidi="fa-IR"/>
        </w:rPr>
        <w:t xml:space="preserve">: « وَمَا </w:t>
      </w:r>
      <w:r w:rsidRPr="00D10E3C">
        <w:rPr>
          <w:rStyle w:val="libFootnotenumChar"/>
          <w:rtl/>
        </w:rPr>
        <w:t>(7)</w:t>
      </w:r>
      <w:r>
        <w:rPr>
          <w:rtl/>
          <w:lang w:bidi="fa-IR"/>
        </w:rPr>
        <w:t xml:space="preserve"> لِلّهِ مِنَ الرِّضَا أَنْ أُغْبَنَ فِي مَالِي ».</w:t>
      </w:r>
    </w:p>
    <w:p w:rsidR="00144FA6" w:rsidRDefault="00744A1C" w:rsidP="00744A1C">
      <w:pPr>
        <w:pStyle w:val="libNormal"/>
        <w:rPr>
          <w:rtl/>
          <w:lang w:bidi="fa-IR"/>
        </w:rPr>
      </w:pPr>
      <w:r>
        <w:rPr>
          <w:rtl/>
          <w:lang w:bidi="fa-IR"/>
        </w:rPr>
        <w:t xml:space="preserve">قَالَ : فَقَالَ </w:t>
      </w:r>
      <w:r w:rsidRPr="00D10E3C">
        <w:rPr>
          <w:rStyle w:val="libFootnotenumChar"/>
          <w:rtl/>
        </w:rPr>
        <w:t>(8)</w:t>
      </w:r>
      <w:r>
        <w:rPr>
          <w:rtl/>
          <w:lang w:bidi="fa-IR"/>
        </w:rPr>
        <w:t xml:space="preserve"> أَبُو حَنِيفَةَ : لَا</w:t>
      </w:r>
      <w:r w:rsidR="00237B8B">
        <w:rPr>
          <w:rFonts w:hint="cs"/>
          <w:rtl/>
          <w:lang w:bidi="fa-IR"/>
        </w:rPr>
        <w:t xml:space="preserve"> </w:t>
      </w:r>
      <w:r>
        <w:rPr>
          <w:rtl/>
          <w:lang w:bidi="fa-IR"/>
        </w:rPr>
        <w:t xml:space="preserve">وَ اللهِ ، مَا </w:t>
      </w:r>
      <w:r w:rsidRPr="00D10E3C">
        <w:rPr>
          <w:rStyle w:val="libFootnotenumChar"/>
          <w:rtl/>
        </w:rPr>
        <w:t>(9)</w:t>
      </w:r>
      <w:r>
        <w:rPr>
          <w:rtl/>
          <w:lang w:bidi="fa-IR"/>
        </w:rPr>
        <w:t xml:space="preserve"> لِلّهِ فِي هذَا مِنَ الرِّضَا قَلِيلٌ وَلَا </w:t>
      </w:r>
      <w:r w:rsidRPr="00D10E3C">
        <w:rPr>
          <w:rStyle w:val="libFootnotenumChar"/>
          <w:rtl/>
        </w:rPr>
        <w:t>(10)</w:t>
      </w:r>
      <w:r>
        <w:rPr>
          <w:rtl/>
          <w:lang w:bidi="fa-IR"/>
        </w:rPr>
        <w:t xml:space="preserve"> كَثِيرٌ ، </w:t>
      </w:r>
      <w:r w:rsidR="00237B8B">
        <w:rPr>
          <w:rtl/>
          <w:lang w:bidi="fa-IR"/>
        </w:rPr>
        <w:t>وَمَا نَجِيئُكَ بِشَيْ‌ءٍ إِل</w:t>
      </w:r>
      <w:r w:rsidR="00237B8B">
        <w:rPr>
          <w:rFonts w:hint="cs"/>
          <w:rtl/>
          <w:lang w:bidi="fa-IR"/>
        </w:rPr>
        <w:t>َّ</w:t>
      </w:r>
      <w:r w:rsidR="00237B8B">
        <w:rPr>
          <w:rtl/>
          <w:lang w:bidi="fa-IR"/>
        </w:rPr>
        <w:t>ا</w:t>
      </w:r>
      <w:r>
        <w:rPr>
          <w:rtl/>
          <w:lang w:bidi="fa-IR"/>
        </w:rPr>
        <w:t xml:space="preserve"> جِئْتَنَا بِمَا لَامَخْرَجَ لَنَا مِنْهُ. </w:t>
      </w:r>
      <w:r w:rsidRPr="00D10E3C">
        <w:rPr>
          <w:rStyle w:val="libFootnotenumChar"/>
          <w:rtl/>
        </w:rPr>
        <w:t>(11)</w:t>
      </w:r>
    </w:p>
    <w:p w:rsidR="00144FA6" w:rsidRDefault="00744A1C" w:rsidP="00744A1C">
      <w:pPr>
        <w:pStyle w:val="libNormal"/>
        <w:rPr>
          <w:rtl/>
          <w:lang w:bidi="fa-IR"/>
        </w:rPr>
      </w:pPr>
      <w:r>
        <w:rPr>
          <w:rtl/>
          <w:lang w:bidi="fa-IR"/>
        </w:rPr>
        <w:t xml:space="preserve">8082 / 31. سَهْلٌ </w:t>
      </w:r>
      <w:r w:rsidRPr="00D10E3C">
        <w:rPr>
          <w:rStyle w:val="libFootnotenumChar"/>
          <w:rtl/>
        </w:rPr>
        <w:t>(12)</w:t>
      </w:r>
      <w:r>
        <w:rPr>
          <w:rtl/>
          <w:lang w:bidi="fa-IR"/>
        </w:rPr>
        <w:t xml:space="preserve"> ، عَنْ عَلِيِّ بْنِ أَسْبَاطٍ ، عَنْ عَبْدِ اللهِ بْنِ سِنَانٍ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يَنْبَغِي </w:t>
      </w:r>
      <w:r w:rsidRPr="00D10E3C">
        <w:rPr>
          <w:rStyle w:val="libFootnotenumChar"/>
          <w:rtl/>
        </w:rPr>
        <w:t>(13)</w:t>
      </w:r>
      <w:r>
        <w:rPr>
          <w:rtl/>
          <w:lang w:bidi="fa-IR"/>
        </w:rPr>
        <w:t xml:space="preserve"> لِأَحَدٍ أَنْ يَحْتَبِيَ </w:t>
      </w:r>
      <w:r w:rsidRPr="00D10E3C">
        <w:rPr>
          <w:rStyle w:val="libFootnotenumChar"/>
          <w:rtl/>
        </w:rPr>
        <w:t>(14)</w:t>
      </w:r>
      <w:r>
        <w:rPr>
          <w:rtl/>
          <w:lang w:bidi="fa-IR"/>
        </w:rPr>
        <w:t xml:space="preserve"> قُبَالَةَ الْكَعْبَةِ </w:t>
      </w:r>
      <w:r w:rsidRPr="00D10E3C">
        <w:rPr>
          <w:rStyle w:val="libFootnotenumChar"/>
          <w:rtl/>
        </w:rPr>
        <w:t>(15)</w:t>
      </w:r>
      <w:r>
        <w:rPr>
          <w:rtl/>
          <w:lang w:bidi="fa-IR"/>
        </w:rPr>
        <w:t xml:space="preserve"> ». </w:t>
      </w:r>
      <w:r w:rsidRPr="00D10E3C">
        <w:rPr>
          <w:rStyle w:val="libFootnotenumChar"/>
          <w:rtl/>
        </w:rPr>
        <w:t>(16)</w:t>
      </w:r>
    </w:p>
    <w:p w:rsidR="00144FA6" w:rsidRDefault="00744A1C" w:rsidP="00744A1C">
      <w:pPr>
        <w:pStyle w:val="libNormal"/>
        <w:rPr>
          <w:rtl/>
          <w:lang w:bidi="fa-IR"/>
        </w:rPr>
      </w:pPr>
      <w:r>
        <w:rPr>
          <w:rtl/>
          <w:lang w:bidi="fa-IR"/>
        </w:rPr>
        <w:t xml:space="preserve">8083 / 32. سَهْلٌ </w:t>
      </w:r>
      <w:r w:rsidRPr="00D10E3C">
        <w:rPr>
          <w:rStyle w:val="libFootnotenumChar"/>
          <w:rtl/>
        </w:rPr>
        <w:t>(17)</w:t>
      </w:r>
      <w:r>
        <w:rPr>
          <w:rtl/>
          <w:lang w:bidi="fa-IR"/>
        </w:rPr>
        <w:t xml:space="preserve"> ، عَنْ مَنْصُورِ بْنِ الْعَبَّاسِ ، عَنِ ابْنِ أَبِي نَجْرَانَ أَوْ غَيْرِهِ ، عَنْ حَنَانٍ ، عَنْ أَبِيهِ :</w:t>
      </w:r>
    </w:p>
    <w:p w:rsidR="00744A1C" w:rsidRDefault="00744A1C" w:rsidP="00D10E3C">
      <w:pPr>
        <w:pStyle w:val="libLine"/>
        <w:rPr>
          <w:lang w:bidi="fa-IR"/>
        </w:rPr>
      </w:pPr>
      <w:r>
        <w:rPr>
          <w:rtl/>
          <w:lang w:bidi="fa-IR"/>
        </w:rPr>
        <w:t>____________________</w:t>
      </w:r>
    </w:p>
    <w:p w:rsidR="00744A1C" w:rsidRDefault="00D10E3C" w:rsidP="00237B8B">
      <w:pPr>
        <w:pStyle w:val="libFootnote0"/>
        <w:rPr>
          <w:lang w:bidi="fa-IR"/>
        </w:rPr>
      </w:pPr>
      <w:r>
        <w:rPr>
          <w:rtl/>
          <w:lang w:bidi="fa-IR"/>
        </w:rPr>
        <w:t>(1).</w:t>
      </w:r>
      <w:r w:rsidR="00744A1C">
        <w:rPr>
          <w:rtl/>
          <w:lang w:bidi="fa-IR"/>
        </w:rPr>
        <w:t xml:space="preserve"> في </w:t>
      </w:r>
      <w:r w:rsidR="00744A1C" w:rsidRPr="00C24F9C">
        <w:rPr>
          <w:rStyle w:val="libFootnoteBoldChar"/>
          <w:rtl/>
        </w:rPr>
        <w:t>الوسائل</w:t>
      </w:r>
      <w:r w:rsidR="00237B8B">
        <w:rPr>
          <w:rtl/>
          <w:lang w:bidi="fa-IR"/>
        </w:rPr>
        <w:t xml:space="preserve"> ، ح 18777 : + « الناس ». والم</w:t>
      </w:r>
      <w:r w:rsidR="00237B8B">
        <w:rPr>
          <w:rFonts w:hint="cs"/>
          <w:rtl/>
          <w:lang w:bidi="fa-IR"/>
        </w:rPr>
        <w:t>ـُ</w:t>
      </w:r>
      <w:r w:rsidR="00744A1C">
        <w:rPr>
          <w:rtl/>
          <w:lang w:bidi="fa-IR"/>
        </w:rPr>
        <w:t>ماكسة في البيع</w:t>
      </w:r>
      <w:r w:rsidR="00237B8B">
        <w:rPr>
          <w:rtl/>
          <w:lang w:bidi="fa-IR"/>
        </w:rPr>
        <w:t xml:space="preserve"> : انتقاص الثمن واستحطاطُه والم</w:t>
      </w:r>
      <w:r w:rsidR="00237B8B">
        <w:rPr>
          <w:rFonts w:hint="cs"/>
          <w:rtl/>
          <w:lang w:bidi="fa-IR"/>
        </w:rPr>
        <w:t>ـُ</w:t>
      </w:r>
      <w:r w:rsidR="00744A1C">
        <w:rPr>
          <w:rtl/>
          <w:lang w:bidi="fa-IR"/>
        </w:rPr>
        <w:t>نابذة بين‌</w:t>
      </w:r>
      <w:r w:rsidR="00237B8B">
        <w:rPr>
          <w:rFonts w:hint="cs"/>
          <w:rtl/>
          <w:lang w:bidi="fa-IR"/>
        </w:rPr>
        <w:t xml:space="preserve"> </w:t>
      </w:r>
      <w:r w:rsidR="00744A1C">
        <w:rPr>
          <w:rtl/>
          <w:lang w:bidi="fa-IR"/>
        </w:rPr>
        <w:t xml:space="preserve">المتبايعين. </w:t>
      </w:r>
      <w:r w:rsidR="00744A1C" w:rsidRPr="00877682">
        <w:rPr>
          <w:rStyle w:val="libFootnoteBoldChar"/>
          <w:rtl/>
        </w:rPr>
        <w:t>النهاية</w:t>
      </w:r>
      <w:r w:rsidR="00744A1C">
        <w:rPr>
          <w:rtl/>
          <w:lang w:bidi="fa-IR"/>
        </w:rPr>
        <w:t xml:space="preserve"> ، ج 4 ، ص 349 ( مكس ).</w:t>
      </w:r>
      <w:r w:rsidR="00EE7E5B">
        <w:rPr>
          <w:rFonts w:hint="cs"/>
          <w:rtl/>
          <w:lang w:bidi="fa-IR"/>
        </w:rPr>
        <w:t xml:space="preserve">       </w:t>
      </w:r>
      <w:r w:rsidR="00237B8B">
        <w:rPr>
          <w:rFonts w:hint="cs"/>
          <w:rtl/>
          <w:lang w:bidi="fa-IR"/>
        </w:rPr>
        <w:t xml:space="preserve">   </w:t>
      </w:r>
      <w:r w:rsidR="00E378DD">
        <w:rPr>
          <w:rtl/>
          <w:lang w:bidi="fa-IR"/>
        </w:rPr>
        <w:t>(2).</w:t>
      </w:r>
      <w:r w:rsidR="00744A1C">
        <w:rPr>
          <w:rtl/>
          <w:lang w:bidi="fa-IR"/>
        </w:rPr>
        <w:t xml:space="preserve"> في « بث ، بح » وحاشية « ى » : « بدنك ».</w:t>
      </w:r>
    </w:p>
    <w:tbl>
      <w:tblPr>
        <w:tblStyle w:val="TableGrid"/>
        <w:bidiVisual/>
        <w:tblW w:w="0" w:type="auto"/>
        <w:tblLook w:val="04A0" w:firstRow="1" w:lastRow="0" w:firstColumn="1" w:lastColumn="0" w:noHBand="0" w:noVBand="1"/>
      </w:tblPr>
      <w:tblGrid>
        <w:gridCol w:w="4006"/>
        <w:gridCol w:w="4006"/>
      </w:tblGrid>
      <w:tr w:rsidR="00237B8B" w:rsidTr="00237B8B">
        <w:tc>
          <w:tcPr>
            <w:tcW w:w="4006" w:type="dxa"/>
          </w:tcPr>
          <w:p w:rsidR="00237B8B" w:rsidRDefault="00237B8B" w:rsidP="00E378DD">
            <w:pPr>
              <w:pStyle w:val="libFootnote0"/>
              <w:rPr>
                <w:rtl/>
                <w:lang w:bidi="fa-IR"/>
              </w:rPr>
            </w:pPr>
            <w:r>
              <w:rPr>
                <w:rtl/>
                <w:lang w:bidi="fa-IR"/>
              </w:rPr>
              <w:t xml:space="preserve">(3). في « ى » </w:t>
            </w:r>
            <w:r w:rsidRPr="00237B8B">
              <w:rPr>
                <w:rtl/>
              </w:rPr>
              <w:t>والوافي والوسائل</w:t>
            </w:r>
            <w:r>
              <w:rPr>
                <w:rtl/>
                <w:lang w:bidi="fa-IR"/>
              </w:rPr>
              <w:t xml:space="preserve"> : « مكاس ».</w:t>
            </w:r>
          </w:p>
        </w:tc>
        <w:tc>
          <w:tcPr>
            <w:tcW w:w="4006" w:type="dxa"/>
          </w:tcPr>
          <w:p w:rsidR="00237B8B" w:rsidRDefault="00237B8B" w:rsidP="00E378DD">
            <w:pPr>
              <w:pStyle w:val="libFootnote0"/>
              <w:rPr>
                <w:rtl/>
                <w:lang w:bidi="fa-IR"/>
              </w:rPr>
            </w:pPr>
            <w:r>
              <w:rPr>
                <w:rtl/>
                <w:lang w:bidi="fa-IR"/>
              </w:rPr>
              <w:t xml:space="preserve">(4). في </w:t>
            </w:r>
            <w:r w:rsidRPr="00237B8B">
              <w:rPr>
                <w:rtl/>
              </w:rPr>
              <w:t>الوسائل</w:t>
            </w:r>
            <w:r>
              <w:rPr>
                <w:rtl/>
                <w:lang w:bidi="fa-IR"/>
              </w:rPr>
              <w:t xml:space="preserve"> : - « يكون ».</w:t>
            </w:r>
          </w:p>
        </w:tc>
      </w:tr>
      <w:tr w:rsidR="00237B8B" w:rsidTr="00237B8B">
        <w:tc>
          <w:tcPr>
            <w:tcW w:w="4006" w:type="dxa"/>
          </w:tcPr>
          <w:p w:rsidR="00237B8B" w:rsidRDefault="00237B8B" w:rsidP="00E378DD">
            <w:pPr>
              <w:pStyle w:val="libFootnote0"/>
              <w:rPr>
                <w:rtl/>
                <w:lang w:bidi="fa-IR"/>
              </w:rPr>
            </w:pPr>
            <w:r>
              <w:rPr>
                <w:rtl/>
                <w:lang w:bidi="fa-IR"/>
              </w:rPr>
              <w:t xml:space="preserve">(5). في « بخ » </w:t>
            </w:r>
            <w:r w:rsidRPr="00237B8B">
              <w:rPr>
                <w:rtl/>
              </w:rPr>
              <w:t>والوافي</w:t>
            </w:r>
            <w:r>
              <w:rPr>
                <w:rtl/>
                <w:lang w:bidi="fa-IR"/>
              </w:rPr>
              <w:t xml:space="preserve"> : - « قال ».</w:t>
            </w:r>
          </w:p>
        </w:tc>
        <w:tc>
          <w:tcPr>
            <w:tcW w:w="4006" w:type="dxa"/>
          </w:tcPr>
          <w:p w:rsidR="00237B8B" w:rsidRDefault="00237B8B" w:rsidP="00E378DD">
            <w:pPr>
              <w:pStyle w:val="libFootnote0"/>
              <w:rPr>
                <w:rtl/>
                <w:lang w:bidi="fa-IR"/>
              </w:rPr>
            </w:pPr>
            <w:r>
              <w:rPr>
                <w:rtl/>
                <w:lang w:bidi="fa-IR"/>
              </w:rPr>
              <w:t xml:space="preserve">(6). في « بث » </w:t>
            </w:r>
            <w:r w:rsidRPr="00237B8B">
              <w:rPr>
                <w:rtl/>
              </w:rPr>
              <w:t>والوسائل</w:t>
            </w:r>
            <w:r>
              <w:rPr>
                <w:rtl/>
                <w:lang w:bidi="fa-IR"/>
              </w:rPr>
              <w:t xml:space="preserve"> ، ح 18777 : - « له ».</w:t>
            </w:r>
          </w:p>
        </w:tc>
      </w:tr>
      <w:tr w:rsidR="00237B8B" w:rsidTr="00237B8B">
        <w:tc>
          <w:tcPr>
            <w:tcW w:w="4006" w:type="dxa"/>
          </w:tcPr>
          <w:p w:rsidR="00237B8B" w:rsidRDefault="00237B8B" w:rsidP="00E378DD">
            <w:pPr>
              <w:pStyle w:val="libFootnote0"/>
              <w:rPr>
                <w:rtl/>
                <w:lang w:bidi="fa-IR"/>
              </w:rPr>
            </w:pPr>
            <w:r>
              <w:rPr>
                <w:rtl/>
                <w:lang w:bidi="fa-IR"/>
              </w:rPr>
              <w:t xml:space="preserve">(7). في « بخ » </w:t>
            </w:r>
            <w:r w:rsidRPr="00237B8B">
              <w:rPr>
                <w:rtl/>
              </w:rPr>
              <w:t>والوافي</w:t>
            </w:r>
            <w:r>
              <w:rPr>
                <w:rtl/>
                <w:lang w:bidi="fa-IR"/>
              </w:rPr>
              <w:t xml:space="preserve"> : « فما ».</w:t>
            </w:r>
          </w:p>
        </w:tc>
        <w:tc>
          <w:tcPr>
            <w:tcW w:w="4006" w:type="dxa"/>
          </w:tcPr>
          <w:p w:rsidR="00237B8B" w:rsidRDefault="00237B8B" w:rsidP="00E378DD">
            <w:pPr>
              <w:pStyle w:val="libFootnote0"/>
              <w:rPr>
                <w:rtl/>
                <w:lang w:bidi="fa-IR"/>
              </w:rPr>
            </w:pPr>
            <w:r>
              <w:rPr>
                <w:rtl/>
                <w:lang w:bidi="fa-IR"/>
              </w:rPr>
              <w:t>(8). في « بخ » : « وقال». وفي «بس» : + «له ».</w:t>
            </w:r>
          </w:p>
        </w:tc>
      </w:tr>
      <w:tr w:rsidR="00237B8B" w:rsidTr="00237B8B">
        <w:tc>
          <w:tcPr>
            <w:tcW w:w="4006" w:type="dxa"/>
          </w:tcPr>
          <w:p w:rsidR="00237B8B" w:rsidRDefault="00237B8B" w:rsidP="00E378DD">
            <w:pPr>
              <w:pStyle w:val="libFootnote0"/>
              <w:rPr>
                <w:rtl/>
                <w:lang w:bidi="fa-IR"/>
              </w:rPr>
            </w:pPr>
            <w:r>
              <w:rPr>
                <w:rtl/>
                <w:lang w:bidi="fa-IR"/>
              </w:rPr>
              <w:t xml:space="preserve">(9). في </w:t>
            </w:r>
            <w:r w:rsidRPr="00237B8B">
              <w:rPr>
                <w:rtl/>
              </w:rPr>
              <w:t>الوسائل</w:t>
            </w:r>
            <w:r>
              <w:rPr>
                <w:rtl/>
                <w:lang w:bidi="fa-IR"/>
              </w:rPr>
              <w:t xml:space="preserve"> ، ح 18777 : « وما ».</w:t>
            </w:r>
          </w:p>
        </w:tc>
        <w:tc>
          <w:tcPr>
            <w:tcW w:w="4006" w:type="dxa"/>
          </w:tcPr>
          <w:p w:rsidR="00237B8B" w:rsidRDefault="00237B8B" w:rsidP="00E378DD">
            <w:pPr>
              <w:pStyle w:val="libFootnote0"/>
              <w:rPr>
                <w:rtl/>
                <w:lang w:bidi="fa-IR"/>
              </w:rPr>
            </w:pPr>
            <w:r>
              <w:rPr>
                <w:rtl/>
                <w:lang w:bidi="fa-IR"/>
              </w:rPr>
              <w:t>(10). في « ى » : - « لا ».</w:t>
            </w:r>
          </w:p>
        </w:tc>
      </w:tr>
    </w:tbl>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الوافي</w:t>
      </w:r>
      <w:r w:rsidR="00744A1C">
        <w:rPr>
          <w:rtl/>
          <w:lang w:bidi="fa-IR"/>
        </w:rPr>
        <w:t xml:space="preserve"> ، ج 14 ، ص 1130 ، ح 13916 ؛ </w:t>
      </w:r>
      <w:r w:rsidR="00744A1C" w:rsidRPr="00C24F9C">
        <w:rPr>
          <w:rStyle w:val="libFootnoteBoldChar"/>
          <w:rtl/>
        </w:rPr>
        <w:t>الوسائل</w:t>
      </w:r>
      <w:r w:rsidR="00744A1C">
        <w:rPr>
          <w:rtl/>
          <w:lang w:bidi="fa-IR"/>
        </w:rPr>
        <w:t xml:space="preserve"> ، ج 14 ، ص 124 ، ح 18777 ؛ </w:t>
      </w:r>
      <w:r w:rsidR="00744A1C" w:rsidRPr="00237B8B">
        <w:rPr>
          <w:rStyle w:val="libFootnoteBoldChar"/>
          <w:rtl/>
        </w:rPr>
        <w:t>وفيه</w:t>
      </w:r>
      <w:r w:rsidR="00744A1C">
        <w:rPr>
          <w:rtl/>
          <w:lang w:bidi="fa-IR"/>
        </w:rPr>
        <w:t xml:space="preserve"> ، ج 17 ، ص 454 ، ح 22980 ، إلى قوله : « أن ا</w:t>
      </w:r>
      <w:r w:rsidR="00237B8B">
        <w:rPr>
          <w:rFonts w:hint="cs"/>
          <w:rtl/>
          <w:lang w:bidi="fa-IR"/>
        </w:rPr>
        <w:t>ُ</w:t>
      </w:r>
      <w:r w:rsidR="00744A1C">
        <w:rPr>
          <w:rtl/>
          <w:lang w:bidi="fa-IR"/>
        </w:rPr>
        <w:t xml:space="preserve">غبن في مالي » ؛ </w:t>
      </w:r>
      <w:r w:rsidR="00744A1C" w:rsidRPr="0061079A">
        <w:rPr>
          <w:rStyle w:val="libFootnoteBoldChar"/>
          <w:rtl/>
        </w:rPr>
        <w:t>البحار</w:t>
      </w:r>
      <w:r w:rsidR="00744A1C">
        <w:rPr>
          <w:rtl/>
          <w:lang w:bidi="fa-IR"/>
        </w:rPr>
        <w:t xml:space="preserve"> ، ج 47 ، ص 222 ، ح 9.</w:t>
      </w:r>
    </w:p>
    <w:p w:rsidR="00744A1C" w:rsidRDefault="00E378DD" w:rsidP="00E378DD">
      <w:pPr>
        <w:pStyle w:val="libFootnote0"/>
        <w:rPr>
          <w:lang w:bidi="fa-IR"/>
        </w:rPr>
      </w:pPr>
      <w:r>
        <w:rPr>
          <w:rtl/>
          <w:lang w:bidi="fa-IR"/>
        </w:rPr>
        <w:t>(12).</w:t>
      </w:r>
      <w:r w:rsidR="00744A1C">
        <w:rPr>
          <w:rtl/>
          <w:lang w:bidi="fa-IR"/>
        </w:rPr>
        <w:t xml:space="preserve"> السند معلّق على سابقه. ويروي عن سهل ، عدّة من أصحابنا.</w:t>
      </w:r>
    </w:p>
    <w:p w:rsidR="00744A1C" w:rsidRDefault="00E378DD" w:rsidP="00E378DD">
      <w:pPr>
        <w:pStyle w:val="libFootnote0"/>
        <w:rPr>
          <w:lang w:bidi="fa-IR"/>
        </w:rPr>
      </w:pPr>
      <w:r>
        <w:rPr>
          <w:rtl/>
          <w:lang w:bidi="fa-IR"/>
        </w:rPr>
        <w:t>(13).</w:t>
      </w:r>
      <w:r w:rsidR="00744A1C">
        <w:rPr>
          <w:rtl/>
          <w:lang w:bidi="fa-IR"/>
        </w:rPr>
        <w:t xml:space="preserve"> في « بخ » </w:t>
      </w:r>
      <w:r w:rsidR="00744A1C" w:rsidRPr="00237B8B">
        <w:rPr>
          <w:rtl/>
        </w:rPr>
        <w:t>والوافي</w:t>
      </w:r>
      <w:r w:rsidR="00744A1C">
        <w:rPr>
          <w:rtl/>
          <w:lang w:bidi="fa-IR"/>
        </w:rPr>
        <w:t xml:space="preserve"> : « ما ينبغي ».</w:t>
      </w:r>
    </w:p>
    <w:p w:rsidR="00744A1C" w:rsidRDefault="00E378DD" w:rsidP="00E378DD">
      <w:pPr>
        <w:pStyle w:val="libFootnote0"/>
        <w:rPr>
          <w:lang w:bidi="fa-IR"/>
        </w:rPr>
      </w:pPr>
      <w:r>
        <w:rPr>
          <w:rtl/>
          <w:lang w:bidi="fa-IR"/>
        </w:rPr>
        <w:t>(14).</w:t>
      </w:r>
      <w:r w:rsidR="00744A1C">
        <w:rPr>
          <w:rtl/>
          <w:lang w:bidi="fa-IR"/>
        </w:rPr>
        <w:t xml:space="preserve"> قال الجوهري : « احتبى الرجل : إذا جمع ظهره وساقيه بعمامته ، وقد يحتبي بيديه. والاسم : الحبوة ». وقال ابن الأثير : « الاحتباء ، هو أن يضمّ الإنسان رجليه إلى بطنه بثوب يجمعهما به مع ظهره ويشدّه عليها ». وقال ابن منظور : « الاحتباء بالثوب : الاشتمال ». راجع : </w:t>
      </w:r>
      <w:r w:rsidR="00744A1C" w:rsidRPr="00E978C3">
        <w:rPr>
          <w:rStyle w:val="libFootnoteBoldChar"/>
          <w:rtl/>
        </w:rPr>
        <w:t>الصحاح</w:t>
      </w:r>
      <w:r w:rsidR="00744A1C">
        <w:rPr>
          <w:rtl/>
          <w:lang w:bidi="fa-IR"/>
        </w:rPr>
        <w:t xml:space="preserve"> ، ج 6 ، ص 2307 ؛ </w:t>
      </w:r>
      <w:r w:rsidR="00744A1C" w:rsidRPr="00877682">
        <w:rPr>
          <w:rStyle w:val="libFootnoteBoldChar"/>
          <w:rtl/>
        </w:rPr>
        <w:t>النهاية</w:t>
      </w:r>
      <w:r w:rsidR="007B299E">
        <w:rPr>
          <w:rtl/>
          <w:lang w:bidi="fa-IR"/>
        </w:rPr>
        <w:t xml:space="preserve"> ، ج 1 ، ص 335 (</w:t>
      </w:r>
      <w:r w:rsidR="00744A1C">
        <w:rPr>
          <w:rtl/>
          <w:lang w:bidi="fa-IR"/>
        </w:rPr>
        <w:t xml:space="preserve">حبا ) ؛ </w:t>
      </w:r>
      <w:r w:rsidR="00744A1C" w:rsidRPr="00877682">
        <w:rPr>
          <w:rStyle w:val="libFootnoteBoldChar"/>
          <w:rtl/>
        </w:rPr>
        <w:t>لسان العرب</w:t>
      </w:r>
      <w:r w:rsidR="00744A1C">
        <w:rPr>
          <w:rtl/>
          <w:lang w:bidi="fa-IR"/>
        </w:rPr>
        <w:t xml:space="preserve"> ، ج 14 ، ص 160 ( حبو ).</w:t>
      </w:r>
    </w:p>
    <w:p w:rsidR="00744A1C" w:rsidRDefault="00E378DD" w:rsidP="00E378DD">
      <w:pPr>
        <w:pStyle w:val="libFootnote0"/>
        <w:rPr>
          <w:lang w:bidi="fa-IR"/>
        </w:rPr>
      </w:pPr>
      <w:r>
        <w:rPr>
          <w:rtl/>
          <w:lang w:bidi="fa-IR"/>
        </w:rPr>
        <w:t>(15).</w:t>
      </w:r>
      <w:r w:rsidR="00744A1C">
        <w:rPr>
          <w:rtl/>
          <w:lang w:bidi="fa-IR"/>
        </w:rPr>
        <w:t xml:space="preserve"> في « بخ ، بف » وحاشية « بث ، بح » </w:t>
      </w:r>
      <w:r w:rsidR="00744A1C" w:rsidRPr="007B299E">
        <w:rPr>
          <w:rtl/>
        </w:rPr>
        <w:t>والوسائل والتهذيب</w:t>
      </w:r>
      <w:r w:rsidR="00744A1C">
        <w:rPr>
          <w:rtl/>
          <w:lang w:bidi="fa-IR"/>
        </w:rPr>
        <w:t xml:space="preserve"> : « البيت ».</w:t>
      </w:r>
    </w:p>
    <w:p w:rsidR="00744A1C" w:rsidRDefault="00744A1C" w:rsidP="00D10E3C">
      <w:pPr>
        <w:pStyle w:val="libFootnote0"/>
        <w:rPr>
          <w:lang w:bidi="fa-IR"/>
        </w:rPr>
      </w:pPr>
      <w:r>
        <w:rPr>
          <w:rtl/>
          <w:lang w:bidi="fa-IR"/>
        </w:rPr>
        <w:t xml:space="preserve">(16) </w:t>
      </w:r>
      <w:r w:rsidRPr="00C24F9C">
        <w:rPr>
          <w:rStyle w:val="libFootnoteBoldChar"/>
          <w:rtl/>
        </w:rPr>
        <w:t>التهذيب</w:t>
      </w:r>
      <w:r>
        <w:rPr>
          <w:rtl/>
          <w:lang w:bidi="fa-IR"/>
        </w:rPr>
        <w:t xml:space="preserve"> ، ج 5 ، ص 453 ، ح 1580 ، معلّقاً عن سهل بن زياد. </w:t>
      </w:r>
      <w:r w:rsidRPr="0061079A">
        <w:rPr>
          <w:rStyle w:val="libFootnoteBoldChar"/>
          <w:rtl/>
        </w:rPr>
        <w:t>الكافي</w:t>
      </w:r>
      <w:r>
        <w:rPr>
          <w:rtl/>
          <w:lang w:bidi="fa-IR"/>
        </w:rPr>
        <w:t xml:space="preserve"> ، كتاب العشرة ، باب الاتّكاء والاحتباء ، ح 3735 ، بسنده عن عليّ بن أسباط </w:t>
      </w:r>
      <w:r w:rsidR="007B299E">
        <w:rPr>
          <w:rFonts w:hint="cs"/>
          <w:rtl/>
          <w:lang w:bidi="fa-IR"/>
        </w:rPr>
        <w:t>.</w:t>
      </w:r>
      <w:r w:rsidRPr="00C24F9C">
        <w:rPr>
          <w:rStyle w:val="libFootnoteBoldChar"/>
          <w:rtl/>
        </w:rPr>
        <w:t>الوافي</w:t>
      </w:r>
      <w:r>
        <w:rPr>
          <w:rtl/>
          <w:lang w:bidi="fa-IR"/>
        </w:rPr>
        <w:t xml:space="preserve"> ، ج 12 ، ص 90 ، ح 11552 ؛ </w:t>
      </w:r>
      <w:r w:rsidRPr="00C24F9C">
        <w:rPr>
          <w:rStyle w:val="libFootnoteBoldChar"/>
          <w:rtl/>
        </w:rPr>
        <w:t>الوسائل</w:t>
      </w:r>
      <w:r>
        <w:rPr>
          <w:rtl/>
          <w:lang w:bidi="fa-IR"/>
        </w:rPr>
        <w:t xml:space="preserve"> ، ج 13 ، ص 266 ، ح 17712.</w:t>
      </w:r>
    </w:p>
    <w:p w:rsidR="00744A1C" w:rsidRDefault="00744A1C" w:rsidP="00D10E3C">
      <w:pPr>
        <w:pStyle w:val="libFootnote0"/>
        <w:rPr>
          <w:lang w:bidi="fa-IR"/>
        </w:rPr>
      </w:pPr>
      <w:r>
        <w:rPr>
          <w:rtl/>
          <w:lang w:bidi="fa-IR"/>
        </w:rPr>
        <w:t>(17) السند معلّق ، كسابقه.</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شَكَتِ الْكَعْبَةُ إِلَى اللهِ - عَزَّ وَجَلَّ - مَا تَلْقى مِنْ أَنْفَاسِ </w:t>
      </w:r>
      <w:r w:rsidRPr="00D10E3C">
        <w:rPr>
          <w:rStyle w:val="libFootnotenumChar"/>
          <w:rtl/>
        </w:rPr>
        <w:t>(1)</w:t>
      </w:r>
      <w:r>
        <w:rPr>
          <w:rtl/>
          <w:lang w:bidi="fa-IR"/>
        </w:rPr>
        <w:t xml:space="preserve"> الْمُشْرِكِينَ ، فَأَوْحَى اللهُ إِلَيْهَا : قِرِّي كَعْبَةُ ؛ فَإِنِّي مُبْدِلُكِ بِهِمْ قَوْماً يَتَنَظَّفُونَ </w:t>
      </w:r>
      <w:r w:rsidRPr="00D10E3C">
        <w:rPr>
          <w:rStyle w:val="libFootnotenumChar"/>
          <w:rtl/>
        </w:rPr>
        <w:t>(2)</w:t>
      </w:r>
      <w:r>
        <w:rPr>
          <w:rtl/>
          <w:lang w:bidi="fa-IR"/>
        </w:rPr>
        <w:t xml:space="preserve"> بِقُضْبَانِ الشَّجَرِ ، فَلَمَّا بَعَثَ اللهُ مُحَمَّداً </w:t>
      </w:r>
      <w:r w:rsidR="007B299E" w:rsidRPr="007B299E">
        <w:rPr>
          <w:rStyle w:val="libAlaemChar"/>
          <w:rtl/>
        </w:rPr>
        <w:t>صلى‌الله‌عليه‌وآله</w:t>
      </w:r>
      <w:r w:rsidR="00D10E3C">
        <w:rPr>
          <w:rtl/>
          <w:lang w:bidi="fa-IR"/>
        </w:rPr>
        <w:t xml:space="preserve"> </w:t>
      </w:r>
      <w:r>
        <w:rPr>
          <w:rtl/>
          <w:lang w:bidi="fa-IR"/>
        </w:rPr>
        <w:t xml:space="preserve">، أَوْحى إِلَيْهِ مَعَ جَبْرَئِيلَ </w:t>
      </w:r>
      <w:r w:rsidR="0061079A" w:rsidRPr="0061079A">
        <w:rPr>
          <w:rStyle w:val="libAlaemChar"/>
          <w:rtl/>
        </w:rPr>
        <w:t>عليه‌السلام</w:t>
      </w:r>
      <w:r w:rsidR="00D10E3C">
        <w:rPr>
          <w:rtl/>
          <w:lang w:bidi="fa-IR"/>
        </w:rPr>
        <w:t xml:space="preserve"> </w:t>
      </w:r>
      <w:r>
        <w:rPr>
          <w:rtl/>
          <w:lang w:bidi="fa-IR"/>
        </w:rPr>
        <w:t xml:space="preserve">بِالسِّوَاكِ وَالْخِلَالِ ». </w:t>
      </w:r>
      <w:r w:rsidRPr="00D10E3C">
        <w:rPr>
          <w:rStyle w:val="libFootnotenumChar"/>
          <w:rtl/>
        </w:rPr>
        <w:t>(3)</w:t>
      </w:r>
    </w:p>
    <w:p w:rsidR="00144FA6" w:rsidRDefault="00744A1C" w:rsidP="00744A1C">
      <w:pPr>
        <w:pStyle w:val="libNormal"/>
        <w:rPr>
          <w:rtl/>
          <w:lang w:bidi="fa-IR"/>
        </w:rPr>
      </w:pPr>
      <w:r>
        <w:rPr>
          <w:rtl/>
          <w:lang w:bidi="fa-IR"/>
        </w:rPr>
        <w:t>8084 / 33. عِدَّةٌ مِنْ أَصْحَابِنَا ، عَنْ أَحْمَدَ بْنِ مُحَمَّدٍ ، عَنْ مُحَمَّدِ بْنِ إِسْمَاعِيلَ ، عَنْ بَعْضِ أَصْحَابِهِ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w:t>
      </w:r>
      <w:r w:rsidRPr="00D10E3C">
        <w:rPr>
          <w:rStyle w:val="libFootnotenumChar"/>
          <w:rtl/>
        </w:rPr>
        <w:t>(4)</w:t>
      </w:r>
      <w:r>
        <w:rPr>
          <w:rtl/>
          <w:lang w:bidi="fa-IR"/>
        </w:rPr>
        <w:t xml:space="preserve"> : نَكُونُ بِمَكَّةَ </w:t>
      </w:r>
      <w:r w:rsidRPr="00D10E3C">
        <w:rPr>
          <w:rStyle w:val="libFootnotenumChar"/>
          <w:rtl/>
        </w:rPr>
        <w:t>(5)</w:t>
      </w:r>
      <w:r>
        <w:rPr>
          <w:rtl/>
          <w:lang w:bidi="fa-IR"/>
        </w:rPr>
        <w:t xml:space="preserve"> ، أَوْ بِالْمَدِينَةِ ، أَوِ الْحِيرَةِ </w:t>
      </w:r>
      <w:r w:rsidRPr="00D10E3C">
        <w:rPr>
          <w:rStyle w:val="libFootnotenumChar"/>
          <w:rtl/>
        </w:rPr>
        <w:t>(6)</w:t>
      </w:r>
      <w:r>
        <w:rPr>
          <w:rtl/>
          <w:lang w:bidi="fa-IR"/>
        </w:rPr>
        <w:t xml:space="preserve"> ، أَوِ‌ الْمَوَاضِعِ الَّتِي يُرْجى فِيهَا الْفَضْلُ ، فَرُبَّمَا </w:t>
      </w:r>
      <w:r w:rsidRPr="00D10E3C">
        <w:rPr>
          <w:rStyle w:val="libFootnotenumChar"/>
          <w:rtl/>
        </w:rPr>
        <w:t>(7)</w:t>
      </w:r>
      <w:r>
        <w:rPr>
          <w:rtl/>
          <w:lang w:bidi="fa-IR"/>
        </w:rPr>
        <w:t xml:space="preserve"> خَرَجَ الرَّجُلُ يَتَوَضَّأُ ، فَيَجِي‌ءُ آخَرُ ، فَيَصِيرُ مَكَانَهُ؟</w:t>
      </w:r>
    </w:p>
    <w:p w:rsidR="00144FA6" w:rsidRDefault="00744A1C" w:rsidP="00744A1C">
      <w:pPr>
        <w:pStyle w:val="libNormal"/>
        <w:rPr>
          <w:rtl/>
          <w:lang w:bidi="fa-IR"/>
        </w:rPr>
      </w:pPr>
      <w:r>
        <w:rPr>
          <w:rtl/>
          <w:lang w:bidi="fa-IR"/>
        </w:rPr>
        <w:t xml:space="preserve">قَالَ : « مَنْ سَبَقَ إِلى مَوْضِعٍ </w:t>
      </w:r>
      <w:r w:rsidRPr="00D10E3C">
        <w:rPr>
          <w:rStyle w:val="libFootnotenumChar"/>
          <w:rtl/>
        </w:rPr>
        <w:t>(8)</w:t>
      </w:r>
      <w:r>
        <w:rPr>
          <w:rtl/>
          <w:lang w:bidi="fa-IR"/>
        </w:rPr>
        <w:t xml:space="preserve"> ، فَهُوَ أَحَقُّ بِهِ يَوْمَهُ وَلَيْلَتَهُ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w:t>
      </w:r>
      <w:r w:rsidR="00744A1C" w:rsidRPr="007B299E">
        <w:rPr>
          <w:rtl/>
        </w:rPr>
        <w:t>والوافي والوسائل</w:t>
      </w:r>
      <w:r w:rsidR="00744A1C">
        <w:rPr>
          <w:rtl/>
          <w:lang w:bidi="fa-IR"/>
        </w:rPr>
        <w:t>. وفي المطبوع : + « من ».</w:t>
      </w:r>
    </w:p>
    <w:p w:rsidR="00744A1C" w:rsidRDefault="00E378DD" w:rsidP="00E378DD">
      <w:pPr>
        <w:pStyle w:val="libFootnote0"/>
        <w:rPr>
          <w:lang w:bidi="fa-IR"/>
        </w:rPr>
      </w:pPr>
      <w:r>
        <w:rPr>
          <w:rtl/>
          <w:lang w:bidi="fa-IR"/>
        </w:rPr>
        <w:t>(2).</w:t>
      </w:r>
      <w:r w:rsidR="00744A1C">
        <w:rPr>
          <w:rtl/>
          <w:lang w:bidi="fa-IR"/>
        </w:rPr>
        <w:t xml:space="preserve"> هكذا في « بث ، بس ، جد » </w:t>
      </w:r>
      <w:r w:rsidR="00744A1C" w:rsidRPr="007B299E">
        <w:rPr>
          <w:rtl/>
        </w:rPr>
        <w:t>والوافي</w:t>
      </w:r>
      <w:r w:rsidR="00744A1C">
        <w:rPr>
          <w:rtl/>
          <w:lang w:bidi="fa-IR"/>
        </w:rPr>
        <w:t>. وفي المطبوع : « ينتظفون ».</w:t>
      </w:r>
    </w:p>
    <w:p w:rsidR="00744A1C" w:rsidRDefault="00E378DD" w:rsidP="007B299E">
      <w:pPr>
        <w:pStyle w:val="libFootnote0"/>
        <w:rPr>
          <w:lang w:bidi="fa-IR"/>
        </w:rPr>
      </w:pPr>
      <w:r>
        <w:rPr>
          <w:rtl/>
          <w:lang w:bidi="fa-IR"/>
        </w:rPr>
        <w:t>(3).</w:t>
      </w:r>
      <w:r w:rsidR="00744A1C">
        <w:rPr>
          <w:rtl/>
          <w:lang w:bidi="fa-IR"/>
        </w:rPr>
        <w:t xml:space="preserve"> </w:t>
      </w:r>
      <w:r w:rsidR="00744A1C" w:rsidRPr="003A7143">
        <w:rPr>
          <w:rStyle w:val="libFootnoteBoldChar"/>
          <w:rtl/>
        </w:rPr>
        <w:t>المحاسن</w:t>
      </w:r>
      <w:r w:rsidR="00744A1C">
        <w:rPr>
          <w:rtl/>
          <w:lang w:bidi="fa-IR"/>
        </w:rPr>
        <w:t xml:space="preserve"> ، ص 558 ، كتاب المآكل ، ح 924 ، عن منصور بن العبّاس ، عن حنان بن سدير. </w:t>
      </w:r>
      <w:r w:rsidR="00744A1C" w:rsidRPr="00610FB4">
        <w:rPr>
          <w:rStyle w:val="libFootnoteBoldChar"/>
          <w:rtl/>
        </w:rPr>
        <w:t>تفسير القمّي</w:t>
      </w:r>
      <w:r w:rsidR="00744A1C">
        <w:rPr>
          <w:rtl/>
          <w:lang w:bidi="fa-IR"/>
        </w:rPr>
        <w:t xml:space="preserve"> ، ج 1 ، ص 59 ، مرسلاً عن الصادق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ينتظفون بقضبان الشجر ». </w:t>
      </w:r>
      <w:r w:rsidR="00744A1C" w:rsidRPr="00C24F9C">
        <w:rPr>
          <w:rStyle w:val="libFootnoteBoldChar"/>
          <w:rtl/>
        </w:rPr>
        <w:t>الفقيه</w:t>
      </w:r>
      <w:r w:rsidR="00744A1C">
        <w:rPr>
          <w:rtl/>
          <w:lang w:bidi="fa-IR"/>
        </w:rPr>
        <w:t xml:space="preserve"> ، ج 1 ، ص 55 ، ح 125 ، مرسلاً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7B299E">
        <w:rPr>
          <w:rFonts w:hint="cs"/>
          <w:rtl/>
          <w:lang w:bidi="fa-IR"/>
        </w:rPr>
        <w:t>.</w:t>
      </w:r>
      <w:r w:rsidR="00744A1C" w:rsidRPr="00C24F9C">
        <w:rPr>
          <w:rStyle w:val="libFootnoteBoldChar"/>
          <w:rtl/>
        </w:rPr>
        <w:t>الوافي</w:t>
      </w:r>
      <w:r w:rsidR="00744A1C">
        <w:rPr>
          <w:rtl/>
          <w:lang w:bidi="fa-IR"/>
        </w:rPr>
        <w:t xml:space="preserve"> ، ج 12 ، ص 87 ، ح 11544 ؛ </w:t>
      </w:r>
      <w:r w:rsidR="00744A1C" w:rsidRPr="00C24F9C">
        <w:rPr>
          <w:rStyle w:val="libFootnoteBoldChar"/>
          <w:rtl/>
        </w:rPr>
        <w:t>الوسائل</w:t>
      </w:r>
      <w:r w:rsidR="00744A1C">
        <w:rPr>
          <w:rtl/>
          <w:lang w:bidi="fa-IR"/>
        </w:rPr>
        <w:t xml:space="preserve"> ، ج 2 ، ص 8 ، ح 13112.</w:t>
      </w:r>
      <w:r w:rsidR="00EE7E5B">
        <w:rPr>
          <w:rFonts w:hint="cs"/>
          <w:rtl/>
          <w:lang w:bidi="fa-IR"/>
        </w:rPr>
        <w:t xml:space="preserve">        </w:t>
      </w:r>
      <w:r w:rsidR="007B299E">
        <w:rPr>
          <w:rFonts w:hint="cs"/>
          <w:rtl/>
          <w:lang w:bidi="fa-IR"/>
        </w:rPr>
        <w:t xml:space="preserve">        </w:t>
      </w:r>
      <w:r>
        <w:rPr>
          <w:rtl/>
          <w:lang w:bidi="fa-IR"/>
        </w:rPr>
        <w:t>(4).</w:t>
      </w:r>
      <w:r w:rsidR="00744A1C">
        <w:rPr>
          <w:rtl/>
          <w:lang w:bidi="fa-IR"/>
        </w:rPr>
        <w:t xml:space="preserve"> في « بح » </w:t>
      </w:r>
      <w:r w:rsidR="00744A1C" w:rsidRPr="0061079A">
        <w:rPr>
          <w:rStyle w:val="libFootnoteBoldChar"/>
          <w:rtl/>
        </w:rPr>
        <w:t>والتهذيب</w:t>
      </w:r>
      <w:r w:rsidR="00744A1C">
        <w:rPr>
          <w:rtl/>
          <w:lang w:bidi="fa-IR"/>
        </w:rPr>
        <w:t xml:space="preserve"> : + « له ».</w:t>
      </w:r>
    </w:p>
    <w:tbl>
      <w:tblPr>
        <w:tblStyle w:val="TableGrid"/>
        <w:bidiVisual/>
        <w:tblW w:w="0" w:type="auto"/>
        <w:tblLook w:val="04A0" w:firstRow="1" w:lastRow="0" w:firstColumn="1" w:lastColumn="0" w:noHBand="0" w:noVBand="1"/>
      </w:tblPr>
      <w:tblGrid>
        <w:gridCol w:w="4006"/>
        <w:gridCol w:w="4006"/>
      </w:tblGrid>
      <w:tr w:rsidR="007B299E" w:rsidTr="007B299E">
        <w:tc>
          <w:tcPr>
            <w:tcW w:w="4006" w:type="dxa"/>
          </w:tcPr>
          <w:p w:rsidR="007B299E" w:rsidRDefault="007B299E" w:rsidP="00E378DD">
            <w:pPr>
              <w:pStyle w:val="libFootnote0"/>
              <w:rPr>
                <w:rtl/>
                <w:lang w:bidi="fa-IR"/>
              </w:rPr>
            </w:pPr>
            <w:r>
              <w:rPr>
                <w:rtl/>
                <w:lang w:bidi="fa-IR"/>
              </w:rPr>
              <w:t>(5). في « بخ » : « في الكعبة ».</w:t>
            </w:r>
          </w:p>
        </w:tc>
        <w:tc>
          <w:tcPr>
            <w:tcW w:w="4006" w:type="dxa"/>
          </w:tcPr>
          <w:p w:rsidR="007B299E" w:rsidRDefault="007B299E" w:rsidP="00E378DD">
            <w:pPr>
              <w:pStyle w:val="libFootnote0"/>
              <w:rPr>
                <w:rtl/>
                <w:lang w:bidi="fa-IR"/>
              </w:rPr>
            </w:pPr>
            <w:r>
              <w:rPr>
                <w:rtl/>
                <w:lang w:bidi="fa-IR"/>
              </w:rPr>
              <w:t xml:space="preserve">(6). في </w:t>
            </w:r>
            <w:r w:rsidRPr="007B299E">
              <w:rPr>
                <w:rtl/>
              </w:rPr>
              <w:t>التهذيب</w:t>
            </w:r>
            <w:r>
              <w:rPr>
                <w:rtl/>
                <w:lang w:bidi="fa-IR"/>
              </w:rPr>
              <w:t xml:space="preserve"> و</w:t>
            </w:r>
            <w:r w:rsidRPr="007B299E">
              <w:rPr>
                <w:rStyle w:val="libFootnoteBoldChar"/>
                <w:rtl/>
              </w:rPr>
              <w:t>كامل الزيارات</w:t>
            </w:r>
            <w:r>
              <w:rPr>
                <w:rtl/>
                <w:lang w:bidi="fa-IR"/>
              </w:rPr>
              <w:t xml:space="preserve"> والمزار : « بالحائر ».</w:t>
            </w:r>
          </w:p>
        </w:tc>
      </w:tr>
      <w:tr w:rsidR="007B299E" w:rsidTr="007B299E">
        <w:tc>
          <w:tcPr>
            <w:tcW w:w="4006" w:type="dxa"/>
          </w:tcPr>
          <w:p w:rsidR="007B299E" w:rsidRDefault="007B299E" w:rsidP="00E378DD">
            <w:pPr>
              <w:pStyle w:val="libFootnote0"/>
              <w:rPr>
                <w:rtl/>
                <w:lang w:bidi="fa-IR"/>
              </w:rPr>
            </w:pPr>
            <w:r>
              <w:rPr>
                <w:rtl/>
                <w:lang w:bidi="fa-IR"/>
              </w:rPr>
              <w:t xml:space="preserve">(7). في </w:t>
            </w:r>
            <w:r w:rsidRPr="00C24F9C">
              <w:rPr>
                <w:rStyle w:val="libFootnoteBoldChar"/>
                <w:rtl/>
              </w:rPr>
              <w:t>الوافي</w:t>
            </w:r>
            <w:r>
              <w:rPr>
                <w:rtl/>
                <w:lang w:bidi="fa-IR"/>
              </w:rPr>
              <w:t xml:space="preserve"> : « وربّما ».</w:t>
            </w:r>
          </w:p>
        </w:tc>
        <w:tc>
          <w:tcPr>
            <w:tcW w:w="4006" w:type="dxa"/>
          </w:tcPr>
          <w:p w:rsidR="007B299E" w:rsidRDefault="007B299E" w:rsidP="00E378DD">
            <w:pPr>
              <w:pStyle w:val="libFootnote0"/>
              <w:rPr>
                <w:rtl/>
                <w:lang w:bidi="fa-IR"/>
              </w:rPr>
            </w:pPr>
            <w:r>
              <w:rPr>
                <w:rtl/>
                <w:lang w:bidi="fa-IR"/>
              </w:rPr>
              <w:t>(8). في «بح»:«مكان». وفي حاشية «بح»:«الموضع».</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877682">
        <w:rPr>
          <w:rStyle w:val="libFootnoteBoldChar"/>
          <w:rtl/>
        </w:rPr>
        <w:t>مرآة العقول</w:t>
      </w:r>
      <w:r w:rsidR="00744A1C">
        <w:rPr>
          <w:rtl/>
          <w:lang w:bidi="fa-IR"/>
        </w:rPr>
        <w:t xml:space="preserve"> ، ج 18 ، ص 255 : « لعلّه محمول على ما إذا كان رحله باقياً. والتقييد باليوم والليلة إمّا بناء على الغالب ، من عدم بقاء الرحل في مكان أزيد من ذلك ، أو محمول على ما إذا بقي رحله وغاب أكثر من ذلك ؛ فإنّه يزول حقّه كما قال في الذكرى ». وراجع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265.</w:t>
      </w:r>
    </w:p>
    <w:p w:rsidR="00744A1C" w:rsidRDefault="00E378DD" w:rsidP="00E378DD">
      <w:pPr>
        <w:pStyle w:val="libFootnote0"/>
        <w:rPr>
          <w:lang w:bidi="fa-IR"/>
        </w:rPr>
      </w:pPr>
      <w:r>
        <w:rPr>
          <w:rtl/>
          <w:lang w:bidi="fa-IR"/>
        </w:rPr>
        <w:t>(10).</w:t>
      </w:r>
      <w:r w:rsidR="00744A1C">
        <w:rPr>
          <w:rtl/>
          <w:lang w:bidi="fa-IR"/>
        </w:rPr>
        <w:t xml:space="preserve"> </w:t>
      </w:r>
      <w:r w:rsidR="00744A1C" w:rsidRPr="007B299E">
        <w:rPr>
          <w:rStyle w:val="libFootnoteBoldChar"/>
          <w:rtl/>
        </w:rPr>
        <w:t>كامل الزيارات</w:t>
      </w:r>
      <w:r w:rsidR="00744A1C">
        <w:rPr>
          <w:rtl/>
          <w:lang w:bidi="fa-IR"/>
        </w:rPr>
        <w:t xml:space="preserve"> ، ص 330 ، الباب 108 ، ح 4 ، بسنده عن محمّد بن يحيى ، عن أحمد بن محمّد ، عن محمّد بن إسماعيل بن بزيع ، عن بعض أصحابه ، يرفعه إلى أبي عبدالله </w:t>
      </w:r>
      <w:r w:rsidR="0061079A" w:rsidRPr="0061079A">
        <w:rPr>
          <w:rStyle w:val="libFootnoteAlaemChar"/>
          <w:rtl/>
        </w:rPr>
        <w:t>عليه‌السلام</w:t>
      </w:r>
      <w:r w:rsidR="00744A1C">
        <w:rPr>
          <w:rtl/>
          <w:lang w:bidi="fa-IR"/>
        </w:rPr>
        <w:t xml:space="preserve"> . وفيه ، ص 331 ، نفس الباب ، ح 10 ؛ وكتاب المزار ، ص 227 ، ح 10 ، بسندهما عن أحمد بن محمّد بن عيسى ، عن محمّد بن إسماعيل بن بزيع ، عن بعض أصحابه ، يرفعه إلى أبي عبدالله </w:t>
      </w:r>
      <w:r w:rsidR="0061079A" w:rsidRPr="0061079A">
        <w:rPr>
          <w:rStyle w:val="libFootnoteAlaemChar"/>
          <w:rtl/>
        </w:rPr>
        <w:t>عليه‌السلام</w:t>
      </w:r>
      <w:r w:rsidR="00744A1C">
        <w:rPr>
          <w:rtl/>
          <w:lang w:bidi="fa-IR"/>
        </w:rPr>
        <w:t xml:space="preserve"> . راجع : </w:t>
      </w:r>
      <w:r w:rsidR="00744A1C" w:rsidRPr="0061079A">
        <w:rPr>
          <w:rStyle w:val="libFootnoteBoldChar"/>
          <w:rtl/>
        </w:rPr>
        <w:t>الكافي</w:t>
      </w:r>
      <w:r w:rsidR="00744A1C">
        <w:rPr>
          <w:rtl/>
          <w:lang w:bidi="fa-IR"/>
        </w:rPr>
        <w:t xml:space="preserve"> ، كتاب العشرة ، باب الجلوس ، ح 3728 ؛ وكتاب المعيشة ، باب السبق إلى السوق ، ح 8714 ؛ </w:t>
      </w:r>
      <w:r w:rsidR="00744A1C" w:rsidRPr="007B299E">
        <w:rPr>
          <w:rStyle w:val="libFootnoteBoldChar"/>
          <w:rtl/>
        </w:rPr>
        <w:t>وا</w:t>
      </w:r>
      <w:r w:rsidR="00744A1C" w:rsidRPr="00C24F9C">
        <w:rPr>
          <w:rStyle w:val="libFootnoteBoldChar"/>
          <w:rtl/>
        </w:rPr>
        <w:t>لفقيه</w:t>
      </w:r>
      <w:r w:rsidR="00744A1C">
        <w:rPr>
          <w:rtl/>
          <w:lang w:bidi="fa-IR"/>
        </w:rPr>
        <w:t xml:space="preserve"> ، ج 3 ، ص 199 ، ح 3752 ؛ </w:t>
      </w:r>
      <w:r w:rsidR="00744A1C" w:rsidRPr="0061079A">
        <w:rPr>
          <w:rStyle w:val="libFootnoteBoldChar"/>
          <w:rtl/>
        </w:rPr>
        <w:t>والتهذيب</w:t>
      </w:r>
      <w:r w:rsidR="00744A1C">
        <w:rPr>
          <w:rtl/>
          <w:lang w:bidi="fa-IR"/>
        </w:rPr>
        <w:t xml:space="preserve"> ، ج 7 ، ص 9 ، ح 31 </w:t>
      </w:r>
      <w:r w:rsidR="007B299E">
        <w:rPr>
          <w:rFonts w:hint="cs"/>
          <w:rtl/>
          <w:lang w:bidi="fa-IR"/>
        </w:rPr>
        <w:t>.</w:t>
      </w:r>
      <w:r w:rsidR="00744A1C" w:rsidRPr="00C24F9C">
        <w:rPr>
          <w:rStyle w:val="libFootnoteBoldChar"/>
          <w:rtl/>
        </w:rPr>
        <w:t>الوافي</w:t>
      </w:r>
      <w:r w:rsidR="00744A1C">
        <w:rPr>
          <w:rtl/>
          <w:lang w:bidi="fa-IR"/>
        </w:rPr>
        <w:t xml:space="preserve"> ، ج 18 ، ص 1062 ، ح 18829 ؛ </w:t>
      </w:r>
      <w:r w:rsidR="00744A1C" w:rsidRPr="00C24F9C">
        <w:rPr>
          <w:rStyle w:val="libFootnoteBoldChar"/>
          <w:rtl/>
        </w:rPr>
        <w:t>الوسائل</w:t>
      </w:r>
      <w:r w:rsidR="00744A1C">
        <w:rPr>
          <w:rtl/>
          <w:lang w:bidi="fa-IR"/>
        </w:rPr>
        <w:t xml:space="preserve"> ، ج 5 ، ص 278 ، ح 6541 ؛ </w:t>
      </w:r>
      <w:r w:rsidR="00744A1C" w:rsidRPr="0061079A">
        <w:rPr>
          <w:rStyle w:val="libFootnoteBoldChar"/>
          <w:rtl/>
        </w:rPr>
        <w:t>البحار</w:t>
      </w:r>
      <w:r w:rsidR="00744A1C">
        <w:rPr>
          <w:rtl/>
          <w:lang w:bidi="fa-IR"/>
        </w:rPr>
        <w:t xml:space="preserve"> ، ج 100 ، ص 129 ، ح 10.</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8085 / 34. عِدَّةٌ مِنْ أَصْحَابِنَا ، عَنْ سَهْلِ بْنِ زِيَادٍ ، عَنْ يَحْيَى بْنِ الْمُبَارَكِ ، عَنْ عَبْدِ اللهِ بْنِ جَبَلَةَ ، عَنْ إِسْحَاقَ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أَمَاطَ أَذًى </w:t>
      </w:r>
      <w:r w:rsidRPr="00D10E3C">
        <w:rPr>
          <w:rStyle w:val="libFootnotenumChar"/>
          <w:rtl/>
        </w:rPr>
        <w:t>(1)</w:t>
      </w:r>
      <w:r>
        <w:rPr>
          <w:rtl/>
          <w:lang w:bidi="fa-IR"/>
        </w:rPr>
        <w:t xml:space="preserve"> عَنْ طَرِيقِ مَكَّةَ ، كَتَبَ اللهُ لَهُ حَسَنَةً ؛ وَمَنْ كَتَبَ لَهُ حَسَنَةً ، لَمْ يُعَذِّبْهُ ». </w:t>
      </w:r>
      <w:r w:rsidRPr="00D10E3C">
        <w:rPr>
          <w:rStyle w:val="libFootnotenumChar"/>
          <w:rtl/>
        </w:rPr>
        <w:t>(2)</w:t>
      </w:r>
    </w:p>
    <w:p w:rsidR="00144FA6" w:rsidRDefault="00744A1C" w:rsidP="00744A1C">
      <w:pPr>
        <w:pStyle w:val="libNormal"/>
        <w:rPr>
          <w:rtl/>
          <w:lang w:bidi="fa-IR"/>
        </w:rPr>
      </w:pPr>
      <w:r>
        <w:rPr>
          <w:rtl/>
          <w:lang w:bidi="fa-IR"/>
        </w:rPr>
        <w:t xml:space="preserve">8086 / 35. عَلِيُّ بْنُ إِبْرَاهِيمَ ، عَنْ أَبِيهِ ، عَنِ ابْنِ أَبِي عُمَيْرٍ ، عَنْ بَعْضِ أَصْحَابِهِ </w:t>
      </w:r>
      <w:r w:rsidRPr="00D10E3C">
        <w:rPr>
          <w:rStyle w:val="libFootnotenumChar"/>
          <w:rtl/>
        </w:rPr>
        <w:t>(3)</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يَزَالُ الْعَبْدُ فِي حَدِّ الطَّوَافِ بِالْكَعْبَةِ </w:t>
      </w:r>
      <w:r w:rsidRPr="00D10E3C">
        <w:rPr>
          <w:rStyle w:val="libFootnotenumChar"/>
          <w:rtl/>
        </w:rPr>
        <w:t>(4)</w:t>
      </w:r>
      <w:r>
        <w:rPr>
          <w:rtl/>
          <w:lang w:bidi="fa-IR"/>
        </w:rPr>
        <w:t xml:space="preserve"> مَا دَامَ حَلْقُ الرَّأْسِ </w:t>
      </w:r>
      <w:r w:rsidRPr="00D10E3C">
        <w:rPr>
          <w:rStyle w:val="libFootnotenumChar"/>
          <w:rtl/>
        </w:rPr>
        <w:t>(5)</w:t>
      </w:r>
      <w:r>
        <w:rPr>
          <w:rtl/>
          <w:lang w:bidi="fa-IR"/>
        </w:rPr>
        <w:t xml:space="preserve"> عَلَيْهِ </w:t>
      </w:r>
      <w:r w:rsidRPr="00D10E3C">
        <w:rPr>
          <w:rStyle w:val="libFootnotenumChar"/>
          <w:rtl/>
        </w:rPr>
        <w:t>(6)</w:t>
      </w:r>
      <w:r>
        <w:rPr>
          <w:rtl/>
          <w:lang w:bidi="fa-IR"/>
        </w:rPr>
        <w:t xml:space="preserve"> ». </w:t>
      </w:r>
      <w:r w:rsidRPr="00D10E3C">
        <w:rPr>
          <w:rStyle w:val="libFootnotenumChar"/>
          <w:rtl/>
        </w:rPr>
        <w:t>(7)</w:t>
      </w:r>
    </w:p>
    <w:p w:rsidR="00144FA6" w:rsidRDefault="00744A1C" w:rsidP="00744A1C">
      <w:pPr>
        <w:pStyle w:val="libNormal"/>
        <w:rPr>
          <w:rtl/>
          <w:lang w:bidi="fa-IR"/>
        </w:rPr>
      </w:pPr>
      <w:r>
        <w:rPr>
          <w:rtl/>
          <w:lang w:bidi="fa-IR"/>
        </w:rPr>
        <w:t xml:space="preserve">8087 / 36. أَحْمَدُ بْنُ مُحَمَّدٍ ، عَنْ عَلِيِّ بْنِ الْحَسَنِ التَّيْمُلِيِّ </w:t>
      </w:r>
      <w:r w:rsidRPr="00D10E3C">
        <w:rPr>
          <w:rStyle w:val="libFootnotenumChar"/>
          <w:rtl/>
        </w:rPr>
        <w:t>(8)</w:t>
      </w:r>
      <w:r>
        <w:rPr>
          <w:rtl/>
          <w:lang w:bidi="fa-IR"/>
        </w:rPr>
        <w:t xml:space="preserve"> ، عَنْ عَلِيِّ بْنِ أَسْبَاطٍ ، عَنْ رَجُلٍ مِنْ أَصْحَابِنَا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أي كلّ ما يؤذي الناس من حجر أو شجر أو ضيق طريق أو عدوّ يخاف منه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الفقيه</w:t>
      </w:r>
      <w:r w:rsidR="00744A1C">
        <w:rPr>
          <w:rtl/>
          <w:lang w:bidi="fa-IR"/>
        </w:rPr>
        <w:t xml:space="preserve"> ، ج 2 ، ص 228 ، ح 2267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17097C">
        <w:rPr>
          <w:rFonts w:hint="cs"/>
          <w:rtl/>
          <w:lang w:bidi="fa-IR"/>
        </w:rPr>
        <w:t>.</w:t>
      </w:r>
      <w:r w:rsidR="00744A1C" w:rsidRPr="00C24F9C">
        <w:rPr>
          <w:rStyle w:val="libFootnoteBoldChar"/>
          <w:rtl/>
        </w:rPr>
        <w:t>الوافي</w:t>
      </w:r>
      <w:r w:rsidR="00744A1C">
        <w:rPr>
          <w:rtl/>
          <w:lang w:bidi="fa-IR"/>
        </w:rPr>
        <w:t xml:space="preserve"> ، ج 12 ، ص 344 ، ح 12075 ؛ </w:t>
      </w:r>
      <w:r w:rsidR="00744A1C" w:rsidRPr="00C24F9C">
        <w:rPr>
          <w:rStyle w:val="libFootnoteBoldChar"/>
          <w:rtl/>
        </w:rPr>
        <w:t>الوسائل</w:t>
      </w:r>
      <w:r w:rsidR="00744A1C">
        <w:rPr>
          <w:rtl/>
          <w:lang w:bidi="fa-IR"/>
        </w:rPr>
        <w:t xml:space="preserve"> ، ج 13 ، ص 292 ، ح 17776.</w:t>
      </w:r>
    </w:p>
    <w:p w:rsidR="00744A1C" w:rsidRDefault="00E378DD" w:rsidP="00E378DD">
      <w:pPr>
        <w:pStyle w:val="libFootnote0"/>
        <w:rPr>
          <w:lang w:bidi="fa-IR"/>
        </w:rPr>
      </w:pPr>
      <w:r>
        <w:rPr>
          <w:rtl/>
          <w:lang w:bidi="fa-IR"/>
        </w:rPr>
        <w:t>(3).</w:t>
      </w:r>
      <w:r w:rsidR="00744A1C">
        <w:rPr>
          <w:rtl/>
          <w:lang w:bidi="fa-IR"/>
        </w:rPr>
        <w:t xml:space="preserve"> في « بخ ، بف ، جر » </w:t>
      </w:r>
      <w:r w:rsidR="00744A1C" w:rsidRPr="0017097C">
        <w:rPr>
          <w:rtl/>
        </w:rPr>
        <w:t>والوافي</w:t>
      </w:r>
      <w:r w:rsidR="00744A1C">
        <w:rPr>
          <w:rtl/>
          <w:lang w:bidi="fa-IR"/>
        </w:rPr>
        <w:t xml:space="preserve"> : « أصحابنا ».</w:t>
      </w:r>
    </w:p>
    <w:p w:rsidR="00744A1C" w:rsidRDefault="00E378DD" w:rsidP="00E378DD">
      <w:pPr>
        <w:pStyle w:val="libFootnote0"/>
        <w:rPr>
          <w:lang w:bidi="fa-IR"/>
        </w:rPr>
      </w:pPr>
      <w:r>
        <w:rPr>
          <w:rtl/>
          <w:lang w:bidi="fa-IR"/>
        </w:rPr>
        <w:t>(4).</w:t>
      </w:r>
      <w:r w:rsidR="00744A1C">
        <w:rPr>
          <w:rtl/>
          <w:lang w:bidi="fa-IR"/>
        </w:rPr>
        <w:t xml:space="preserve"> في « بث » : « في الكعبة ».</w:t>
      </w:r>
    </w:p>
    <w:p w:rsidR="00744A1C" w:rsidRDefault="00E378DD" w:rsidP="00E378DD">
      <w:pPr>
        <w:pStyle w:val="libFootnote0"/>
        <w:rPr>
          <w:lang w:bidi="fa-IR"/>
        </w:rPr>
      </w:pPr>
      <w:r>
        <w:rPr>
          <w:rtl/>
          <w:lang w:bidi="fa-IR"/>
        </w:rPr>
        <w:t>(5).</w:t>
      </w:r>
      <w:r w:rsidR="00744A1C">
        <w:rPr>
          <w:rtl/>
          <w:lang w:bidi="fa-IR"/>
        </w:rPr>
        <w:t xml:space="preserve"> في </w:t>
      </w:r>
      <w:r w:rsidR="00744A1C" w:rsidRPr="0017097C">
        <w:rPr>
          <w:rtl/>
        </w:rPr>
        <w:t>الوافي والفقيه</w:t>
      </w:r>
      <w:r w:rsidR="00744A1C">
        <w:rPr>
          <w:rtl/>
          <w:lang w:bidi="fa-IR"/>
        </w:rPr>
        <w:t xml:space="preserve"> : « شعر الحلق » بدل « حلق الرأس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كأنّ المراد بشعر الحلق الشعر الموفّر للإحرام ، وإضافته إلى الحلق لوجوب حلقه بعد التوفير ». وفي </w:t>
      </w:r>
      <w:r w:rsidR="00744A1C" w:rsidRPr="00C24F9C">
        <w:rPr>
          <w:rStyle w:val="libFootnoteBoldChar"/>
          <w:rtl/>
        </w:rPr>
        <w:t>المرآة</w:t>
      </w:r>
      <w:r w:rsidR="00744A1C">
        <w:rPr>
          <w:rtl/>
          <w:lang w:bidi="fa-IR"/>
        </w:rPr>
        <w:t xml:space="preserve"> : « أي عليه الشعر الذي ينبت بعد الحلق بمنى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الفقيه</w:t>
      </w:r>
      <w:r w:rsidR="00744A1C">
        <w:rPr>
          <w:rtl/>
          <w:lang w:bidi="fa-IR"/>
        </w:rPr>
        <w:t xml:space="preserve"> ، ج 2 ، ص 215 ، ح 2203 ، مرسلاً من دون التصريح باسم المعصوم </w:t>
      </w:r>
      <w:r w:rsidR="0061079A" w:rsidRPr="0061079A">
        <w:rPr>
          <w:rStyle w:val="libFootnoteAlaemChar"/>
          <w:rtl/>
        </w:rPr>
        <w:t>عليه‌السلام</w:t>
      </w:r>
      <w:r w:rsidR="00D10E3C">
        <w:rPr>
          <w:rtl/>
          <w:lang w:bidi="fa-IR"/>
        </w:rPr>
        <w:t xml:space="preserve"> </w:t>
      </w:r>
      <w:r w:rsidR="0017097C">
        <w:rPr>
          <w:rFonts w:hint="cs"/>
          <w:rtl/>
          <w:lang w:bidi="fa-IR"/>
        </w:rPr>
        <w:t>.</w:t>
      </w:r>
      <w:r w:rsidR="00744A1C" w:rsidRPr="00C24F9C">
        <w:rPr>
          <w:rStyle w:val="libFootnoteBoldChar"/>
          <w:rtl/>
        </w:rPr>
        <w:t>الوافي</w:t>
      </w:r>
      <w:r w:rsidR="00744A1C">
        <w:rPr>
          <w:rtl/>
          <w:lang w:bidi="fa-IR"/>
        </w:rPr>
        <w:t xml:space="preserve"> ، ج 12 ، ص 422 ، ح 12238 ؛ </w:t>
      </w:r>
      <w:r w:rsidR="00744A1C" w:rsidRPr="00C24F9C">
        <w:rPr>
          <w:rStyle w:val="libFootnoteBoldChar"/>
          <w:rtl/>
        </w:rPr>
        <w:t>الوسائل</w:t>
      </w:r>
      <w:r w:rsidR="00744A1C">
        <w:rPr>
          <w:rtl/>
          <w:lang w:bidi="fa-IR"/>
        </w:rPr>
        <w:t xml:space="preserve"> ، ج 14 ، ص 230 ، ح 19062.</w:t>
      </w:r>
    </w:p>
    <w:p w:rsidR="00744A1C" w:rsidRDefault="00E378DD" w:rsidP="00E378DD">
      <w:pPr>
        <w:pStyle w:val="libFootnote0"/>
        <w:rPr>
          <w:lang w:bidi="fa-IR"/>
        </w:rPr>
      </w:pPr>
      <w:r>
        <w:rPr>
          <w:rtl/>
          <w:lang w:bidi="fa-IR"/>
        </w:rPr>
        <w:t>(8).</w:t>
      </w:r>
      <w:r w:rsidR="00744A1C">
        <w:rPr>
          <w:rtl/>
          <w:lang w:bidi="fa-IR"/>
        </w:rPr>
        <w:t xml:space="preserve"> هكذا في « بح ، بخ ، جد » وحاشية « جن »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وفي « ى ، بث ، بس ، بف ، جن » والمطبوع : « عليّ‌بن إبراهيم التيملي ». وفي « جر » : « عليّ بن الحسن السلمي ».</w:t>
      </w:r>
    </w:p>
    <w:p w:rsidR="00744A1C" w:rsidRDefault="00744A1C" w:rsidP="00D10E3C">
      <w:pPr>
        <w:pStyle w:val="libFootnote0"/>
        <w:rPr>
          <w:lang w:bidi="fa-IR"/>
        </w:rPr>
      </w:pPr>
      <w:r>
        <w:rPr>
          <w:rtl/>
          <w:lang w:bidi="fa-IR"/>
        </w:rPr>
        <w:t>وتقدّم غير مرّة أنّ عليّ بن الحسن التيملي ، هو عليّ بن الحسن بن عليّ بن فضّال ، روى عنه أحمد بن محمّد الكوفي العاصمي شيخ المصنّف. لاحظ ما قدّمناه ذيل ح 2333.</w:t>
      </w:r>
    </w:p>
    <w:p w:rsidR="00744A1C" w:rsidRDefault="00744A1C" w:rsidP="00D10E3C">
      <w:pPr>
        <w:pStyle w:val="libFootnote0"/>
        <w:rPr>
          <w:lang w:bidi="fa-IR"/>
        </w:rPr>
      </w:pPr>
      <w:r>
        <w:rPr>
          <w:rtl/>
          <w:lang w:bidi="fa-IR"/>
        </w:rPr>
        <w:t xml:space="preserve">هذا ، وقد روى عليّ بن الحسن بن فضّال بعض كتب عليّ بن أسباط - وهو كتاب المزار - وتكرّرت روايته عن عليّ بن أسباط في الأسناد. ولم نجد ذكراً لعليّ بن إبراهيم التيملي - في هذه الطبقة - في موضع. راجع : </w:t>
      </w:r>
      <w:r w:rsidRPr="003A7143">
        <w:rPr>
          <w:rStyle w:val="libFootnoteBoldChar"/>
          <w:rtl/>
        </w:rPr>
        <w:t>رجال النجاشي</w:t>
      </w:r>
      <w:r>
        <w:rPr>
          <w:rtl/>
          <w:lang w:bidi="fa-IR"/>
        </w:rPr>
        <w:t xml:space="preserve"> ، ص 252 ، الرقم 663 ؛ </w:t>
      </w:r>
      <w:r w:rsidRPr="0061079A">
        <w:rPr>
          <w:rStyle w:val="libFootnoteBoldChar"/>
          <w:rtl/>
        </w:rPr>
        <w:t>معجم رجال الحديث</w:t>
      </w:r>
      <w:r>
        <w:rPr>
          <w:rtl/>
          <w:lang w:bidi="fa-IR"/>
        </w:rPr>
        <w:t xml:space="preserve"> ، ج 11 ، ص 562 - 563.</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كَانَ أَيَّامُ الْمَوْسِمِ ، بَعَثَ اللهُ - عَزَّ وَجَلَّ - مَلَائِكَةً فِي صُوَرِ </w:t>
      </w:r>
      <w:r w:rsidRPr="00D10E3C">
        <w:rPr>
          <w:rStyle w:val="libFootnotenumChar"/>
          <w:rtl/>
        </w:rPr>
        <w:t>(1)</w:t>
      </w:r>
      <w:r>
        <w:rPr>
          <w:rtl/>
          <w:lang w:bidi="fa-IR"/>
        </w:rPr>
        <w:t xml:space="preserve"> الْآدَمِيِّينَ يَشْتَرُونَ مَتَاعَ الْحَاجِّ وَالتُّجَّارِ ».</w:t>
      </w:r>
    </w:p>
    <w:p w:rsidR="00744A1C" w:rsidRDefault="00744A1C" w:rsidP="00744A1C">
      <w:pPr>
        <w:pStyle w:val="libNormal"/>
        <w:rPr>
          <w:lang w:bidi="fa-IR"/>
        </w:rPr>
      </w:pPr>
      <w:r>
        <w:rPr>
          <w:rtl/>
          <w:lang w:bidi="fa-IR"/>
        </w:rPr>
        <w:t xml:space="preserve">قُلْتُ : فَمَا يَصْنَعُونَ بِهِ </w:t>
      </w:r>
      <w:r w:rsidRPr="00D10E3C">
        <w:rPr>
          <w:rStyle w:val="libFootnotenumChar"/>
          <w:rtl/>
        </w:rPr>
        <w:t>(2)</w:t>
      </w:r>
      <w:r>
        <w:rPr>
          <w:rtl/>
          <w:lang w:bidi="fa-IR"/>
        </w:rPr>
        <w:t>؟</w:t>
      </w:r>
    </w:p>
    <w:p w:rsidR="00144FA6" w:rsidRDefault="00744A1C" w:rsidP="00744A1C">
      <w:pPr>
        <w:pStyle w:val="libNormal"/>
        <w:rPr>
          <w:rtl/>
          <w:lang w:bidi="fa-IR"/>
        </w:rPr>
      </w:pPr>
      <w:r>
        <w:rPr>
          <w:rtl/>
          <w:lang w:bidi="fa-IR"/>
        </w:rPr>
        <w:t xml:space="preserve">قَالَ : « يُلْقُونَهُ </w:t>
      </w:r>
      <w:r w:rsidRPr="00D10E3C">
        <w:rPr>
          <w:rStyle w:val="libFootnotenumChar"/>
          <w:rtl/>
        </w:rPr>
        <w:t>(3)</w:t>
      </w:r>
      <w:r>
        <w:rPr>
          <w:rtl/>
          <w:lang w:bidi="fa-IR"/>
        </w:rPr>
        <w:t xml:space="preserve"> فِي الْبَحْرِ ». </w:t>
      </w:r>
      <w:r w:rsidRPr="00D10E3C">
        <w:rPr>
          <w:rStyle w:val="libFootnotenumChar"/>
          <w:rtl/>
        </w:rPr>
        <w:t>(4)</w:t>
      </w:r>
    </w:p>
    <w:p w:rsidR="00144FA6" w:rsidRDefault="00744A1C" w:rsidP="00744A1C">
      <w:pPr>
        <w:pStyle w:val="libNormal"/>
        <w:rPr>
          <w:rtl/>
          <w:lang w:bidi="fa-IR"/>
        </w:rPr>
      </w:pPr>
      <w:r>
        <w:rPr>
          <w:rtl/>
          <w:lang w:bidi="fa-IR"/>
        </w:rPr>
        <w:t>8088 / 37. مُحَمَّدُ بْنُ يَحْيى ، عَنْ مُحَمَّدِ بْنِ الْحُسَيْنِ ، عَنْ مُحَمَّدِ بْنِ إِسْمَاعِيلَ ، عَنِ الْحُسَيْنِ بْنِ مُسْلِمٍ :</w:t>
      </w:r>
    </w:p>
    <w:p w:rsidR="00144FA6" w:rsidRDefault="00744A1C" w:rsidP="00744A1C">
      <w:pPr>
        <w:pStyle w:val="libNormal"/>
        <w:rPr>
          <w:rtl/>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sidRPr="00D10E3C">
        <w:rPr>
          <w:rStyle w:val="libFootnotenumChar"/>
          <w:rtl/>
        </w:rPr>
        <w:t>(5)</w:t>
      </w:r>
      <w:r>
        <w:rPr>
          <w:rtl/>
          <w:lang w:bidi="fa-IR"/>
        </w:rPr>
        <w:t xml:space="preserve"> ، قَالَ : « يَوْمُ الْأَضْحى فِي الْيَوْمِ الَّذِي يُصَامُ فِيهِ ، وَيَوْمُ الْعَاشُورَاءِ </w:t>
      </w:r>
      <w:r w:rsidRPr="00D10E3C">
        <w:rPr>
          <w:rStyle w:val="libFootnotenumChar"/>
          <w:rtl/>
        </w:rPr>
        <w:t>(6)</w:t>
      </w:r>
      <w:r>
        <w:rPr>
          <w:rtl/>
          <w:lang w:bidi="fa-IR"/>
        </w:rPr>
        <w:t xml:space="preserve"> فِي الْيَوْمِ الَّذِي </w:t>
      </w:r>
      <w:r w:rsidRPr="00D10E3C">
        <w:rPr>
          <w:rStyle w:val="libFootnotenumChar"/>
          <w:rtl/>
        </w:rPr>
        <w:t>(7)</w:t>
      </w:r>
      <w:r>
        <w:rPr>
          <w:rtl/>
          <w:lang w:bidi="fa-IR"/>
        </w:rPr>
        <w:t xml:space="preserve"> يُفْطَرُ فِيهِ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w:t>
      </w:r>
      <w:r w:rsidR="00744A1C" w:rsidRPr="0017097C">
        <w:rPr>
          <w:rtl/>
        </w:rPr>
        <w:t>والبحار</w:t>
      </w:r>
      <w:r w:rsidR="00744A1C">
        <w:rPr>
          <w:rtl/>
          <w:lang w:bidi="fa-IR"/>
        </w:rPr>
        <w:t xml:space="preserve"> : « صورة ».</w:t>
      </w:r>
    </w:p>
    <w:p w:rsidR="00744A1C" w:rsidRDefault="00E378DD" w:rsidP="00E378DD">
      <w:pPr>
        <w:pStyle w:val="libFootnote0"/>
        <w:rPr>
          <w:lang w:bidi="fa-IR"/>
        </w:rPr>
      </w:pPr>
      <w:r>
        <w:rPr>
          <w:rtl/>
          <w:lang w:bidi="fa-IR"/>
        </w:rPr>
        <w:t>(2).</w:t>
      </w:r>
      <w:r w:rsidR="00744A1C">
        <w:rPr>
          <w:rtl/>
          <w:lang w:bidi="fa-IR"/>
        </w:rPr>
        <w:t xml:space="preserve"> في « بث ، بح » </w:t>
      </w:r>
      <w:r w:rsidR="00744A1C" w:rsidRPr="0017097C">
        <w:rPr>
          <w:rtl/>
        </w:rPr>
        <w:t>والبحار</w:t>
      </w:r>
      <w:r w:rsidR="00744A1C">
        <w:rPr>
          <w:rtl/>
          <w:lang w:bidi="fa-IR"/>
        </w:rPr>
        <w:t xml:space="preserve"> : - « به ».</w:t>
      </w:r>
    </w:p>
    <w:p w:rsidR="00744A1C" w:rsidRDefault="00E378DD" w:rsidP="00E378DD">
      <w:pPr>
        <w:pStyle w:val="libFootnote0"/>
        <w:rPr>
          <w:lang w:bidi="fa-IR"/>
        </w:rPr>
      </w:pPr>
      <w:r>
        <w:rPr>
          <w:rtl/>
          <w:lang w:bidi="fa-IR"/>
        </w:rPr>
        <w:t>(3).</w:t>
      </w:r>
      <w:r w:rsidR="00744A1C">
        <w:rPr>
          <w:rtl/>
          <w:lang w:bidi="fa-IR"/>
        </w:rPr>
        <w:t xml:space="preserve"> في </w:t>
      </w:r>
      <w:r w:rsidR="00744A1C" w:rsidRPr="0017097C">
        <w:rPr>
          <w:rtl/>
        </w:rPr>
        <w:t>الوافي</w:t>
      </w:r>
      <w:r w:rsidR="00744A1C">
        <w:rPr>
          <w:rtl/>
          <w:lang w:bidi="fa-IR"/>
        </w:rPr>
        <w:t xml:space="preserve"> : « يلقون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الفقيه</w:t>
      </w:r>
      <w:r w:rsidR="00744A1C">
        <w:rPr>
          <w:rtl/>
          <w:lang w:bidi="fa-IR"/>
        </w:rPr>
        <w:t xml:space="preserve"> ، ج 2 ، ص 520 ، ح 3115 ، مرسلاً </w:t>
      </w:r>
      <w:r w:rsidR="0017097C">
        <w:rPr>
          <w:rFonts w:hint="cs"/>
          <w:rtl/>
          <w:lang w:bidi="fa-IR"/>
        </w:rPr>
        <w:t>.</w:t>
      </w:r>
      <w:r w:rsidR="00744A1C" w:rsidRPr="00C24F9C">
        <w:rPr>
          <w:rStyle w:val="libFootnoteBoldChar"/>
          <w:rtl/>
        </w:rPr>
        <w:t>الوافي</w:t>
      </w:r>
      <w:r w:rsidR="00744A1C">
        <w:rPr>
          <w:rtl/>
          <w:lang w:bidi="fa-IR"/>
        </w:rPr>
        <w:t xml:space="preserve"> ، ج 12 ، ص 345 ، ح 12076 ؛ </w:t>
      </w:r>
      <w:r w:rsidR="00744A1C" w:rsidRPr="00C24F9C">
        <w:rPr>
          <w:rStyle w:val="libFootnoteBoldChar"/>
          <w:rtl/>
        </w:rPr>
        <w:t>الوسائل</w:t>
      </w:r>
      <w:r w:rsidR="00744A1C">
        <w:rPr>
          <w:rtl/>
          <w:lang w:bidi="fa-IR"/>
        </w:rPr>
        <w:t xml:space="preserve"> ، ج 11 ، ص 59 ، ح 14237 ؛ </w:t>
      </w:r>
      <w:r w:rsidR="00744A1C" w:rsidRPr="0061079A">
        <w:rPr>
          <w:rStyle w:val="libFootnoteBoldChar"/>
          <w:rtl/>
        </w:rPr>
        <w:t>البحار</w:t>
      </w:r>
      <w:r w:rsidR="00744A1C">
        <w:rPr>
          <w:rtl/>
          <w:lang w:bidi="fa-IR"/>
        </w:rPr>
        <w:t xml:space="preserve"> ، ج 59 ، ص 190 ، ح 46.</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الوسائل</w:t>
      </w:r>
      <w:r w:rsidR="00744A1C">
        <w:rPr>
          <w:rtl/>
          <w:lang w:bidi="fa-IR"/>
        </w:rPr>
        <w:t xml:space="preserve"> ، ح 13682 : «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بدل « أبي الحسن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في « بف ، جن » : « عاشوراء ».</w:t>
      </w:r>
    </w:p>
    <w:p w:rsidR="00744A1C" w:rsidRDefault="00E378DD" w:rsidP="00E378DD">
      <w:pPr>
        <w:pStyle w:val="libFootnote0"/>
        <w:rPr>
          <w:lang w:bidi="fa-IR"/>
        </w:rPr>
      </w:pPr>
      <w:r>
        <w:rPr>
          <w:rtl/>
          <w:lang w:bidi="fa-IR"/>
        </w:rPr>
        <w:t>(7).</w:t>
      </w:r>
      <w:r w:rsidR="00744A1C">
        <w:rPr>
          <w:rtl/>
          <w:lang w:bidi="fa-IR"/>
        </w:rPr>
        <w:t xml:space="preserve"> في « جن » : - « الذي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لعلّ المعنى أنّ يوم الأضحى يوافق من أيّام الا</w:t>
      </w:r>
      <w:r w:rsidR="0017097C">
        <w:rPr>
          <w:rFonts w:hint="cs"/>
          <w:rtl/>
          <w:lang w:bidi="fa-IR"/>
        </w:rPr>
        <w:t>ُ</w:t>
      </w:r>
      <w:r w:rsidR="00744A1C">
        <w:rPr>
          <w:rtl/>
          <w:lang w:bidi="fa-IR"/>
        </w:rPr>
        <w:t xml:space="preserve">سبوع اليوم الأوّل من شهر رمضان ، ويوم العاشوراء منها يوافق اليوم الأوّل من شوّال ». ونحوه في </w:t>
      </w:r>
      <w:r w:rsidR="00744A1C" w:rsidRPr="00C24F9C">
        <w:rPr>
          <w:rStyle w:val="libFootnoteBoldChar"/>
          <w:rtl/>
        </w:rPr>
        <w:t>المرآة</w:t>
      </w:r>
      <w:r w:rsidR="00744A1C">
        <w:rPr>
          <w:rtl/>
          <w:lang w:bidi="fa-IR"/>
        </w:rPr>
        <w:t xml:space="preserve"> وزاده بقوله : « وهذا يستقيم بعد شهر تامّاً وآخر ناقصاً ، لكن في السنة الكبيسة ، ولعلّ العمل به في صورة الاحتياط ، أو هو لبيان الغالب ، والله يعلم ».</w:t>
      </w:r>
    </w:p>
    <w:p w:rsidR="00744A1C" w:rsidRDefault="00E378DD" w:rsidP="00E378DD">
      <w:pPr>
        <w:pStyle w:val="libFootnote0"/>
        <w:rPr>
          <w:lang w:bidi="fa-IR"/>
        </w:rPr>
      </w:pPr>
      <w:r>
        <w:rPr>
          <w:rtl/>
          <w:lang w:bidi="fa-IR"/>
        </w:rPr>
        <w:t>(9).</w:t>
      </w:r>
      <w:r w:rsidR="00744A1C">
        <w:rPr>
          <w:rtl/>
          <w:lang w:bidi="fa-IR"/>
        </w:rPr>
        <w:t xml:space="preserve"> راجع : </w:t>
      </w:r>
      <w:r w:rsidR="00744A1C" w:rsidRPr="0061079A">
        <w:rPr>
          <w:rStyle w:val="libFootnoteBoldChar"/>
          <w:rtl/>
        </w:rPr>
        <w:t>الكافي</w:t>
      </w:r>
      <w:r w:rsidR="00744A1C">
        <w:rPr>
          <w:rtl/>
          <w:lang w:bidi="fa-IR"/>
        </w:rPr>
        <w:t xml:space="preserve"> ، كتاب الصيام ، باب صوم عرفة وعاشورا ، ح 6580 </w:t>
      </w:r>
      <w:r w:rsidR="0017097C">
        <w:rPr>
          <w:rFonts w:hint="cs"/>
          <w:rtl/>
          <w:lang w:bidi="fa-IR"/>
        </w:rPr>
        <w:t>.</w:t>
      </w:r>
      <w:r w:rsidR="00744A1C" w:rsidRPr="00C24F9C">
        <w:rPr>
          <w:rStyle w:val="libFootnoteBoldChar"/>
          <w:rtl/>
        </w:rPr>
        <w:t>الوافي</w:t>
      </w:r>
      <w:r w:rsidR="00744A1C">
        <w:rPr>
          <w:rtl/>
          <w:lang w:bidi="fa-IR"/>
        </w:rPr>
        <w:t xml:space="preserve"> ، ج 11 ، ص 154 ، ح 10593 ؛ </w:t>
      </w:r>
      <w:r w:rsidR="00744A1C" w:rsidRPr="00C24F9C">
        <w:rPr>
          <w:rStyle w:val="libFootnoteBoldChar"/>
          <w:rtl/>
        </w:rPr>
        <w:t>الوسائل</w:t>
      </w:r>
      <w:r w:rsidR="00744A1C">
        <w:rPr>
          <w:rtl/>
          <w:lang w:bidi="fa-IR"/>
        </w:rPr>
        <w:t xml:space="preserve"> ، ج 10 ، ص 285 ، ذيل ح 13427 ؛ وص 398 ، ح 13682.</w:t>
      </w:r>
    </w:p>
    <w:p w:rsidR="00150943" w:rsidRDefault="00150943" w:rsidP="00D10E3C">
      <w:pPr>
        <w:pStyle w:val="libNormal"/>
        <w:rPr>
          <w:rtl/>
          <w:lang w:bidi="fa-IR"/>
        </w:rPr>
      </w:pPr>
      <w:r>
        <w:rPr>
          <w:rtl/>
          <w:lang w:bidi="fa-IR"/>
        </w:rPr>
        <w:br w:type="page"/>
      </w:r>
    </w:p>
    <w:p w:rsidR="00744A1C" w:rsidRDefault="00744A1C" w:rsidP="0017097C">
      <w:pPr>
        <w:pStyle w:val="Heading1Center"/>
        <w:rPr>
          <w:lang w:bidi="fa-IR"/>
        </w:rPr>
      </w:pPr>
      <w:bookmarkStart w:id="59" w:name="_Toc49261357"/>
      <w:r>
        <w:rPr>
          <w:rtl/>
          <w:lang w:bidi="fa-IR"/>
        </w:rPr>
        <w:lastRenderedPageBreak/>
        <w:t xml:space="preserve">أَبْوَابُ الزِّيَارَاتِ </w:t>
      </w:r>
      <w:r w:rsidRPr="00D10E3C">
        <w:rPr>
          <w:rStyle w:val="libFootnotenumChar"/>
          <w:rtl/>
        </w:rPr>
        <w:t>(1)</w:t>
      </w:r>
      <w:bookmarkEnd w:id="59"/>
    </w:p>
    <w:p w:rsidR="00144FA6" w:rsidRDefault="00744A1C" w:rsidP="0017097C">
      <w:pPr>
        <w:pStyle w:val="Heading2Center"/>
        <w:rPr>
          <w:rtl/>
          <w:lang w:bidi="fa-IR"/>
        </w:rPr>
      </w:pPr>
      <w:bookmarkStart w:id="60" w:name="_Toc49261358"/>
      <w:r>
        <w:rPr>
          <w:rtl/>
          <w:lang w:bidi="fa-IR"/>
        </w:rPr>
        <w:t xml:space="preserve">213 - بَابُ زِيَارَةِ النَّبِيِّ </w:t>
      </w:r>
      <w:r w:rsidR="0017097C" w:rsidRPr="0017097C">
        <w:rPr>
          <w:rStyle w:val="libAlaemChar"/>
          <w:rtl/>
        </w:rPr>
        <w:t>صلى‌الله‌عليه‌وآله</w:t>
      </w:r>
      <w:bookmarkEnd w:id="60"/>
    </w:p>
    <w:p w:rsidR="00144FA6" w:rsidRDefault="00744A1C" w:rsidP="00744A1C">
      <w:pPr>
        <w:pStyle w:val="libNormal"/>
        <w:rPr>
          <w:rtl/>
          <w:lang w:bidi="fa-IR"/>
        </w:rPr>
      </w:pPr>
      <w:r>
        <w:rPr>
          <w:rtl/>
          <w:lang w:bidi="fa-IR"/>
        </w:rPr>
        <w:t>8089 / 1. عِدَّةٌ مِنْ أَصْحَابِنَا ، عَنْ أَحْمَدَ بْنِ مُحَمَّدِ بْنِ عِيسى ، عَنِ ابْنِ أَبِي نَجْرَانَ ، قَالَ :</w:t>
      </w:r>
    </w:p>
    <w:p w:rsidR="00744A1C" w:rsidRDefault="00744A1C" w:rsidP="00744A1C">
      <w:pPr>
        <w:pStyle w:val="libNormal"/>
        <w:rPr>
          <w:lang w:bidi="fa-IR"/>
        </w:rPr>
      </w:pPr>
      <w:r>
        <w:rPr>
          <w:rtl/>
          <w:lang w:bidi="fa-IR"/>
        </w:rPr>
        <w:t xml:space="preserve">قُلْتُ لِأَبِي جَعْفَرٍ </w:t>
      </w:r>
      <w:r w:rsidRPr="00D10E3C">
        <w:rPr>
          <w:rStyle w:val="libFootnotenumChar"/>
          <w:rtl/>
        </w:rPr>
        <w:t>(2)</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جُعِلْتُ فِدَاكَ </w:t>
      </w:r>
      <w:r w:rsidRPr="00D10E3C">
        <w:rPr>
          <w:rStyle w:val="libFootnotenumChar"/>
          <w:rtl/>
        </w:rPr>
        <w:t>(3)</w:t>
      </w:r>
      <w:r>
        <w:rPr>
          <w:rtl/>
          <w:lang w:bidi="fa-IR"/>
        </w:rPr>
        <w:t xml:space="preserve"> ، مَا لِمَنْ زَارَ رَسُولَ اللهِ </w:t>
      </w:r>
      <w:r w:rsidR="0017097C" w:rsidRPr="0017097C">
        <w:rPr>
          <w:rStyle w:val="libAlaemChar"/>
          <w:rtl/>
        </w:rPr>
        <w:t>صلى‌الله‌عليه‌وآله</w:t>
      </w:r>
      <w:r w:rsidR="00D10E3C">
        <w:rPr>
          <w:rtl/>
          <w:lang w:bidi="fa-IR"/>
        </w:rPr>
        <w:t xml:space="preserve"> </w:t>
      </w:r>
      <w:r>
        <w:rPr>
          <w:rtl/>
          <w:lang w:bidi="fa-IR"/>
        </w:rPr>
        <w:t xml:space="preserve"> مُتَعَمِّداً؟</w:t>
      </w:r>
    </w:p>
    <w:p w:rsidR="00144FA6" w:rsidRDefault="00744A1C" w:rsidP="00744A1C">
      <w:pPr>
        <w:pStyle w:val="libNormal"/>
        <w:rPr>
          <w:rtl/>
          <w:lang w:bidi="fa-IR"/>
        </w:rPr>
      </w:pPr>
      <w:r>
        <w:rPr>
          <w:rtl/>
          <w:lang w:bidi="fa-IR"/>
        </w:rPr>
        <w:t xml:space="preserve">فَقَالَ : « لَهُ </w:t>
      </w:r>
      <w:r w:rsidRPr="00D10E3C">
        <w:rPr>
          <w:rStyle w:val="libFootnotenumChar"/>
          <w:rtl/>
        </w:rPr>
        <w:t>(4)</w:t>
      </w:r>
      <w:r>
        <w:rPr>
          <w:rtl/>
          <w:lang w:bidi="fa-IR"/>
        </w:rPr>
        <w:t xml:space="preserve"> الْجَنَّةُ ». </w:t>
      </w:r>
      <w:r w:rsidRPr="00D10E3C">
        <w:rPr>
          <w:rStyle w:val="libFootnotenumChar"/>
          <w:rtl/>
        </w:rPr>
        <w:t>(5)</w:t>
      </w:r>
    </w:p>
    <w:p w:rsidR="00144FA6" w:rsidRDefault="00744A1C" w:rsidP="00744A1C">
      <w:pPr>
        <w:pStyle w:val="libNormal"/>
        <w:rPr>
          <w:rtl/>
          <w:lang w:bidi="fa-IR"/>
        </w:rPr>
      </w:pPr>
      <w:r>
        <w:rPr>
          <w:rtl/>
          <w:lang w:bidi="fa-IR"/>
        </w:rPr>
        <w:t xml:space="preserve">8090 / 2. أَحْمَدُ بْنُ مُحَمَّدٍ </w:t>
      </w:r>
      <w:r w:rsidRPr="00D10E3C">
        <w:rPr>
          <w:rStyle w:val="libFootnotenumChar"/>
          <w:rtl/>
        </w:rPr>
        <w:t>(6)</w:t>
      </w:r>
      <w:r>
        <w:rPr>
          <w:rtl/>
          <w:lang w:bidi="fa-IR"/>
        </w:rPr>
        <w:t xml:space="preserve"> ، عَنِ الْحَسَنِ بْنِ عَلِيٍّ ، عَنْ حَرِيزٍ ، عَنْ فُضَيْلِ بْنِ يَسَارٍ ، قَالَ :</w:t>
      </w:r>
    </w:p>
    <w:p w:rsidR="00744A1C" w:rsidRDefault="00744A1C" w:rsidP="00744A1C">
      <w:pPr>
        <w:pStyle w:val="libNormal"/>
        <w:rPr>
          <w:lang w:bidi="fa-IR"/>
        </w:rPr>
      </w:pPr>
      <w:r>
        <w:rPr>
          <w:rtl/>
          <w:lang w:bidi="fa-IR"/>
        </w:rPr>
        <w:t xml:space="preserve">إِنَّ زِيَارَةَ قَبْرِ رَسُولِ اللهِ </w:t>
      </w:r>
      <w:r w:rsidR="0017097C" w:rsidRPr="0017097C">
        <w:rPr>
          <w:rStyle w:val="libAlaemChar"/>
          <w:rtl/>
        </w:rPr>
        <w:t>صلى‌الله‌عليه‌وآله</w:t>
      </w:r>
      <w:r w:rsidR="00D10E3C">
        <w:rPr>
          <w:rtl/>
          <w:lang w:bidi="fa-IR"/>
        </w:rPr>
        <w:t xml:space="preserve"> </w:t>
      </w:r>
      <w:r>
        <w:rPr>
          <w:rtl/>
          <w:lang w:bidi="fa-IR"/>
        </w:rPr>
        <w:t xml:space="preserve">، وَزِيَارَةَ </w:t>
      </w:r>
      <w:r w:rsidRPr="00D10E3C">
        <w:rPr>
          <w:rStyle w:val="libFootnotenumChar"/>
          <w:rtl/>
        </w:rPr>
        <w:t>(7)</w:t>
      </w:r>
      <w:r>
        <w:rPr>
          <w:rtl/>
          <w:lang w:bidi="fa-IR"/>
        </w:rPr>
        <w:t xml:space="preserve"> قُبُورِ الشُّهَدَاءِ ، وَزِيَارَةَ قَبْرِ الْحُسَيْنِ </w:t>
      </w:r>
      <w:r w:rsidR="0061079A" w:rsidRPr="0061079A">
        <w:rPr>
          <w:rStyle w:val="libAlaemChar"/>
          <w:rtl/>
        </w:rPr>
        <w:t>عليه‌السلام</w:t>
      </w:r>
      <w:r w:rsidR="00D10E3C">
        <w:rPr>
          <w:rtl/>
          <w:lang w:bidi="fa-IR"/>
        </w:rPr>
        <w:t xml:space="preserve"> </w:t>
      </w:r>
      <w:r w:rsidRPr="00D10E3C">
        <w:rPr>
          <w:rStyle w:val="libFootnotenumChar"/>
          <w:rtl/>
        </w:rPr>
        <w:t>(8)</w:t>
      </w:r>
      <w:r w:rsidR="0017097C">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بح ، بخ ، بف ، جد » : - « أبواب الزيارات ».</w:t>
      </w:r>
    </w:p>
    <w:p w:rsidR="00744A1C" w:rsidRDefault="00E378DD" w:rsidP="00E378DD">
      <w:pPr>
        <w:pStyle w:val="libFootnote0"/>
        <w:rPr>
          <w:lang w:bidi="fa-IR"/>
        </w:rPr>
      </w:pPr>
      <w:r>
        <w:rPr>
          <w:rtl/>
          <w:lang w:bidi="fa-IR"/>
        </w:rPr>
        <w:t>(2).</w:t>
      </w:r>
      <w:r w:rsidR="00744A1C">
        <w:rPr>
          <w:rtl/>
          <w:lang w:bidi="fa-IR"/>
        </w:rPr>
        <w:t xml:space="preserve"> في </w:t>
      </w:r>
      <w:r w:rsidR="00744A1C" w:rsidRPr="0017097C">
        <w:rPr>
          <w:rtl/>
        </w:rPr>
        <w:t>كامل الزيارات</w:t>
      </w:r>
      <w:r w:rsidR="00744A1C">
        <w:rPr>
          <w:rtl/>
          <w:lang w:bidi="fa-IR"/>
        </w:rPr>
        <w:t xml:space="preserve"> : + « الثاني ».</w:t>
      </w:r>
    </w:p>
    <w:p w:rsidR="00744A1C" w:rsidRDefault="00E378DD" w:rsidP="00E378DD">
      <w:pPr>
        <w:pStyle w:val="libFootnote0"/>
        <w:rPr>
          <w:lang w:bidi="fa-IR"/>
        </w:rPr>
      </w:pPr>
      <w:r>
        <w:rPr>
          <w:rtl/>
          <w:lang w:bidi="fa-IR"/>
        </w:rPr>
        <w:t>(3).</w:t>
      </w:r>
      <w:r w:rsidR="00744A1C">
        <w:rPr>
          <w:rtl/>
          <w:lang w:bidi="fa-IR"/>
        </w:rPr>
        <w:t xml:space="preserve"> في </w:t>
      </w:r>
      <w:r w:rsidR="00744A1C" w:rsidRPr="0017097C">
        <w:rPr>
          <w:rtl/>
        </w:rPr>
        <w:t>الوسائل</w:t>
      </w:r>
      <w:r w:rsidR="00744A1C">
        <w:rPr>
          <w:rtl/>
          <w:lang w:bidi="fa-IR"/>
        </w:rPr>
        <w:t xml:space="preserve"> : - « جعلت فداك ».</w:t>
      </w:r>
    </w:p>
    <w:p w:rsidR="00744A1C" w:rsidRDefault="00E378DD" w:rsidP="00E378DD">
      <w:pPr>
        <w:pStyle w:val="libFootnote0"/>
        <w:rPr>
          <w:lang w:bidi="fa-IR"/>
        </w:rPr>
      </w:pPr>
      <w:r>
        <w:rPr>
          <w:rtl/>
          <w:lang w:bidi="fa-IR"/>
        </w:rPr>
        <w:t>(4).</w:t>
      </w:r>
      <w:r w:rsidR="00744A1C">
        <w:rPr>
          <w:rtl/>
          <w:lang w:bidi="fa-IR"/>
        </w:rPr>
        <w:t xml:space="preserve"> في </w:t>
      </w:r>
      <w:r w:rsidR="00744A1C" w:rsidRPr="0017097C">
        <w:rPr>
          <w:rtl/>
        </w:rPr>
        <w:t>الوسائل</w:t>
      </w:r>
      <w:r w:rsidR="00744A1C">
        <w:rPr>
          <w:rtl/>
          <w:lang w:bidi="fa-IR"/>
        </w:rPr>
        <w:t xml:space="preserve"> : « قال » بدل « فقال له ».</w:t>
      </w:r>
    </w:p>
    <w:p w:rsidR="00744A1C" w:rsidRDefault="00E378DD" w:rsidP="00E378DD">
      <w:pPr>
        <w:pStyle w:val="libFootnote0"/>
        <w:rPr>
          <w:lang w:bidi="fa-IR"/>
        </w:rPr>
      </w:pPr>
      <w:r>
        <w:rPr>
          <w:rtl/>
          <w:lang w:bidi="fa-IR"/>
        </w:rPr>
        <w:t>(5).</w:t>
      </w:r>
      <w:r w:rsidR="00744A1C">
        <w:rPr>
          <w:rtl/>
          <w:lang w:bidi="fa-IR"/>
        </w:rPr>
        <w:t xml:space="preserve"> </w:t>
      </w:r>
      <w:r w:rsidR="00744A1C" w:rsidRPr="007B299E">
        <w:rPr>
          <w:rStyle w:val="libFootnoteBoldChar"/>
          <w:rtl/>
        </w:rPr>
        <w:t>كامل الزيارات</w:t>
      </w:r>
      <w:r w:rsidR="00744A1C">
        <w:rPr>
          <w:rtl/>
          <w:lang w:bidi="fa-IR"/>
        </w:rPr>
        <w:t xml:space="preserve"> ، ص 13 ، الباب 2 ، ح 8 ، عن محمّد بن يعقوب ، عن عدّة من رجاله ، عن أحمد بن محمّد بن عيسى. وفيه ، ص 12 ، الباب 2 ، ح 2 و 7 ، بسند آخر عن محمّد بن الحسن الصفّار ، عن أحمد بن محمّد بن عيسى. وفيه ، ص 299 و 301 ، الباب 99 ، ح 7 و 12 ، بسند آخر عن أحمد بن محمّد بن عيسى ، عن عبدالرحمن بن أبي نجران ، مع اختلاف يسير وزيادة في آخره. وفي </w:t>
      </w:r>
      <w:r w:rsidR="00744A1C" w:rsidRPr="00C24F9C">
        <w:rPr>
          <w:rStyle w:val="libFootnoteBoldChar"/>
          <w:rtl/>
        </w:rPr>
        <w:t>التهذيب</w:t>
      </w:r>
      <w:r w:rsidR="00744A1C">
        <w:rPr>
          <w:rtl/>
          <w:lang w:bidi="fa-IR"/>
        </w:rPr>
        <w:t xml:space="preserve"> ، ج 6 ، ص 3 ، ح 3 ؛ </w:t>
      </w:r>
      <w:r w:rsidR="00744A1C" w:rsidRPr="0017097C">
        <w:rPr>
          <w:rStyle w:val="libFootnoteBoldChar"/>
          <w:rtl/>
        </w:rPr>
        <w:t>وك</w:t>
      </w:r>
      <w:r w:rsidR="00744A1C" w:rsidRPr="007B299E">
        <w:rPr>
          <w:rStyle w:val="libFootnoteBoldChar"/>
          <w:rtl/>
        </w:rPr>
        <w:t>امل الزيارات</w:t>
      </w:r>
      <w:r w:rsidR="00744A1C">
        <w:rPr>
          <w:rtl/>
          <w:lang w:bidi="fa-IR"/>
        </w:rPr>
        <w:t xml:space="preserve"> ، ص 12 و 14 ، الباب 2 ، ح 3 و 4 و 15 ، بسند آخر عن ابن أبي نجران ، وفي الأخيرين مع اختلاف يسير </w:t>
      </w:r>
      <w:r w:rsidR="0017097C">
        <w:rPr>
          <w:rFonts w:hint="cs"/>
          <w:rtl/>
          <w:lang w:bidi="fa-IR"/>
        </w:rPr>
        <w:t>.</w:t>
      </w:r>
      <w:r w:rsidR="00744A1C" w:rsidRPr="00C24F9C">
        <w:rPr>
          <w:rStyle w:val="libFootnoteBoldChar"/>
          <w:rtl/>
        </w:rPr>
        <w:t>الوافي</w:t>
      </w:r>
      <w:r w:rsidR="00744A1C">
        <w:rPr>
          <w:rtl/>
          <w:lang w:bidi="fa-IR"/>
        </w:rPr>
        <w:t xml:space="preserve"> ، ج 14 ، ص 1326 ، ح 14347 ؛ </w:t>
      </w:r>
      <w:r w:rsidR="00744A1C" w:rsidRPr="00C24F9C">
        <w:rPr>
          <w:rStyle w:val="libFootnoteBoldChar"/>
          <w:rtl/>
        </w:rPr>
        <w:t>الوسائل</w:t>
      </w:r>
      <w:r w:rsidR="00744A1C">
        <w:rPr>
          <w:rtl/>
          <w:lang w:bidi="fa-IR"/>
        </w:rPr>
        <w:t xml:space="preserve"> ، ج 14 ، ص 332 ، ح 19335.</w:t>
      </w:r>
    </w:p>
    <w:p w:rsidR="00744A1C" w:rsidRDefault="00E378DD" w:rsidP="00E378DD">
      <w:pPr>
        <w:pStyle w:val="libFootnote0"/>
        <w:rPr>
          <w:lang w:bidi="fa-IR"/>
        </w:rPr>
      </w:pPr>
      <w:r>
        <w:rPr>
          <w:rtl/>
          <w:lang w:bidi="fa-IR"/>
        </w:rPr>
        <w:t>(6).</w:t>
      </w:r>
      <w:r w:rsidR="00744A1C">
        <w:rPr>
          <w:rtl/>
          <w:lang w:bidi="fa-IR"/>
        </w:rPr>
        <w:t xml:space="preserve"> السند معلّق على سابقه. ويروي عن أحمد بن محمّد ، عدّة من أصحابنا.</w:t>
      </w:r>
    </w:p>
    <w:p w:rsidR="00744A1C" w:rsidRDefault="00E378DD" w:rsidP="00E378DD">
      <w:pPr>
        <w:pStyle w:val="libFootnote0"/>
        <w:rPr>
          <w:lang w:bidi="fa-IR"/>
        </w:rPr>
      </w:pPr>
      <w:r>
        <w:rPr>
          <w:rtl/>
          <w:lang w:bidi="fa-IR"/>
        </w:rPr>
        <w:t>(7).</w:t>
      </w:r>
      <w:r w:rsidR="00744A1C">
        <w:rPr>
          <w:rtl/>
          <w:lang w:bidi="fa-IR"/>
        </w:rPr>
        <w:t xml:space="preserve"> في </w:t>
      </w:r>
      <w:r w:rsidR="00744A1C" w:rsidRPr="0017097C">
        <w:rPr>
          <w:rtl/>
        </w:rPr>
        <w:t>الوافي</w:t>
      </w:r>
      <w:r w:rsidR="00744A1C">
        <w:rPr>
          <w:rtl/>
          <w:lang w:bidi="fa-IR"/>
        </w:rPr>
        <w:t xml:space="preserve"> : - « زيارة ».</w:t>
      </w:r>
    </w:p>
    <w:p w:rsidR="00744A1C" w:rsidRDefault="00E378DD" w:rsidP="00E378DD">
      <w:pPr>
        <w:pStyle w:val="libFootnote0"/>
        <w:rPr>
          <w:lang w:bidi="fa-IR"/>
        </w:rPr>
      </w:pPr>
      <w:r>
        <w:rPr>
          <w:rtl/>
          <w:lang w:bidi="fa-IR"/>
        </w:rPr>
        <w:t>(8).</w:t>
      </w:r>
      <w:r w:rsidR="00744A1C">
        <w:rPr>
          <w:rtl/>
          <w:lang w:bidi="fa-IR"/>
        </w:rPr>
        <w:t xml:space="preserve"> في </w:t>
      </w:r>
      <w:r w:rsidR="00744A1C" w:rsidRPr="007B299E">
        <w:rPr>
          <w:rStyle w:val="libFootnoteBoldChar"/>
          <w:rtl/>
        </w:rPr>
        <w:t>كامل الزيارات</w:t>
      </w:r>
      <w:r w:rsidR="00744A1C">
        <w:rPr>
          <w:rtl/>
          <w:lang w:bidi="fa-IR"/>
        </w:rPr>
        <w:t xml:space="preserve"> ، ص 14 : - « وزيارة قبور الشهداء وزيارة قبر الحسين </w:t>
      </w:r>
      <w:r w:rsidR="0061079A" w:rsidRPr="0061079A">
        <w:rPr>
          <w:rStyle w:val="libFootnoteAlaemChar"/>
          <w:rtl/>
        </w:rPr>
        <w:t>عليه‌السلام</w:t>
      </w:r>
      <w:r w:rsidR="00D10E3C">
        <w:rPr>
          <w:rtl/>
          <w:lang w:bidi="fa-IR"/>
        </w:rPr>
        <w:t xml:space="preserve"> </w:t>
      </w:r>
      <w:r w:rsidR="00744A1C">
        <w:rPr>
          <w:rtl/>
          <w:lang w:bidi="fa-IR"/>
        </w:rPr>
        <w:t>».</w:t>
      </w:r>
    </w:p>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 xml:space="preserve">تَعْدِلُ حَجَّةً مَعَ رَسُولِ اللهِ </w:t>
      </w:r>
      <w:r w:rsidR="0017097C" w:rsidRPr="0017097C">
        <w:rPr>
          <w:rStyle w:val="libAlaemChar"/>
          <w:rtl/>
        </w:rPr>
        <w:t>صلى‌الله‌عليه‌وآله</w:t>
      </w:r>
      <w:r>
        <w:rPr>
          <w:rtl/>
          <w:lang w:bidi="fa-IR"/>
        </w:rPr>
        <w:t xml:space="preserve"> . </w:t>
      </w:r>
      <w:r w:rsidRPr="00D10E3C">
        <w:rPr>
          <w:rStyle w:val="libFootnotenumChar"/>
          <w:rtl/>
        </w:rPr>
        <w:t>(1)</w:t>
      </w:r>
    </w:p>
    <w:p w:rsidR="00144FA6" w:rsidRDefault="00744A1C" w:rsidP="00744A1C">
      <w:pPr>
        <w:pStyle w:val="libNormal"/>
        <w:rPr>
          <w:rtl/>
          <w:lang w:bidi="fa-IR"/>
        </w:rPr>
      </w:pPr>
      <w:r>
        <w:rPr>
          <w:rtl/>
          <w:lang w:bidi="fa-IR"/>
        </w:rPr>
        <w:t xml:space="preserve">8091 / 3. أَحْمَدُ بْنُ مُحَمَّدٍ </w:t>
      </w:r>
      <w:r w:rsidRPr="00D10E3C">
        <w:rPr>
          <w:rStyle w:val="libFootnotenumChar"/>
          <w:rtl/>
        </w:rPr>
        <w:t>(2)</w:t>
      </w:r>
      <w:r>
        <w:rPr>
          <w:rtl/>
          <w:lang w:bidi="fa-IR"/>
        </w:rPr>
        <w:t xml:space="preserve"> ، عَنِ ابْنِ مَحْبُوبٍ ، عَنْ أَبَانٍ ، عَنِ السَّدُوسِيِّ </w:t>
      </w:r>
      <w:r w:rsidRPr="00D10E3C">
        <w:rPr>
          <w:rStyle w:val="libFootnotenumChar"/>
          <w:rtl/>
        </w:rPr>
        <w:t>(3)</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AE01C7" w:rsidRPr="00AE01C7">
        <w:rPr>
          <w:rStyle w:val="libFootnoteAlaemChar"/>
          <w:rtl/>
        </w:rPr>
        <w:t>صلى‌الله‌عليه‌وآله</w:t>
      </w:r>
      <w:r w:rsidR="00D10E3C">
        <w:rPr>
          <w:rtl/>
          <w:lang w:bidi="fa-IR"/>
        </w:rPr>
        <w:t xml:space="preserve"> </w:t>
      </w:r>
      <w:r>
        <w:rPr>
          <w:rtl/>
          <w:lang w:bidi="fa-IR"/>
        </w:rPr>
        <w:t xml:space="preserve">: مَنْ أَتَانِي زَائِراً ، كُنْتُ شَفِيعَهُ يَوْمَ الْقِيَامَةِ ». </w:t>
      </w:r>
      <w:r w:rsidRPr="00D10E3C">
        <w:rPr>
          <w:rStyle w:val="libFootnotenumChar"/>
          <w:rtl/>
        </w:rPr>
        <w:t>(4)</w:t>
      </w:r>
    </w:p>
    <w:p w:rsidR="00144FA6" w:rsidRDefault="00744A1C" w:rsidP="00744A1C">
      <w:pPr>
        <w:pStyle w:val="libNormal"/>
        <w:rPr>
          <w:rtl/>
          <w:lang w:bidi="fa-IR"/>
        </w:rPr>
      </w:pPr>
      <w:r>
        <w:rPr>
          <w:rtl/>
          <w:lang w:bidi="fa-IR"/>
        </w:rPr>
        <w:t xml:space="preserve">8092 / 4. عِدَّةٌ مِنْ أَصْحَابِنَا ، عَنْ أَحْمَدَ بْنِ أَبِي عَبْدِ اللهِ ، عَنْ عُثْمَانَ بْنِ عِيسى ، عَنِ الْمُعَلّى أَبِي </w:t>
      </w:r>
      <w:r w:rsidRPr="00D10E3C">
        <w:rPr>
          <w:rStyle w:val="libFootnotenumChar"/>
          <w:rtl/>
        </w:rPr>
        <w:t>(5)</w:t>
      </w:r>
      <w:r>
        <w:rPr>
          <w:rtl/>
          <w:lang w:bidi="fa-IR"/>
        </w:rPr>
        <w:t xml:space="preserve"> شِهَابٍ ، قَالَ :</w:t>
      </w:r>
    </w:p>
    <w:p w:rsidR="00744A1C" w:rsidRDefault="00744A1C" w:rsidP="00744A1C">
      <w:pPr>
        <w:pStyle w:val="libNormal"/>
        <w:rPr>
          <w:lang w:bidi="fa-IR"/>
        </w:rPr>
      </w:pPr>
      <w:r>
        <w:rPr>
          <w:rtl/>
          <w:lang w:bidi="fa-IR"/>
        </w:rPr>
        <w:t xml:space="preserve">قَالَ الْحُسَيْنُ </w:t>
      </w:r>
      <w:r w:rsidRPr="00D10E3C">
        <w:rPr>
          <w:rStyle w:val="libFootnotenumChar"/>
          <w:rtl/>
        </w:rPr>
        <w:t>(6)</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لِرَسُولِ اللهِ </w:t>
      </w:r>
      <w:r w:rsidR="0017097C" w:rsidRPr="0017097C">
        <w:rPr>
          <w:rStyle w:val="libAlaemChar"/>
          <w:rtl/>
        </w:rPr>
        <w:t>صلى‌الله‌عليه‌وآله</w:t>
      </w:r>
      <w:r w:rsidR="00D10E3C">
        <w:rPr>
          <w:rtl/>
          <w:lang w:bidi="fa-IR"/>
        </w:rPr>
        <w:t xml:space="preserve"> </w:t>
      </w:r>
      <w:r>
        <w:rPr>
          <w:rtl/>
          <w:lang w:bidi="fa-IR"/>
        </w:rPr>
        <w:t xml:space="preserve">: « يَا أَبَتَاهْ </w:t>
      </w:r>
      <w:r w:rsidRPr="00D10E3C">
        <w:rPr>
          <w:rStyle w:val="libFootnotenumChar"/>
          <w:rtl/>
        </w:rPr>
        <w:t>(7)</w:t>
      </w:r>
      <w:r>
        <w:rPr>
          <w:rtl/>
          <w:lang w:bidi="fa-IR"/>
        </w:rPr>
        <w:t xml:space="preserve"> ، مَا لِمَنْ </w:t>
      </w:r>
      <w:r w:rsidRPr="00D10E3C">
        <w:rPr>
          <w:rStyle w:val="libFootnotenumChar"/>
          <w:rtl/>
        </w:rPr>
        <w:t>(8)</w:t>
      </w:r>
      <w:r>
        <w:rPr>
          <w:rtl/>
          <w:lang w:bidi="fa-IR"/>
        </w:rPr>
        <w:t xml:space="preserve"> زَارَكَ </w:t>
      </w:r>
      <w:r w:rsidRPr="00D10E3C">
        <w:rPr>
          <w:rStyle w:val="libFootnotenumChar"/>
          <w:rtl/>
        </w:rPr>
        <w:t>(9)</w:t>
      </w:r>
      <w:r>
        <w:rPr>
          <w:rtl/>
          <w:lang w:bidi="fa-IR"/>
        </w:rPr>
        <w:t>؟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7B299E">
        <w:rPr>
          <w:rStyle w:val="libFootnoteBoldChar"/>
          <w:rtl/>
        </w:rPr>
        <w:t>كامل الزيارات</w:t>
      </w:r>
      <w:r w:rsidR="00744A1C">
        <w:rPr>
          <w:rtl/>
          <w:lang w:bidi="fa-IR"/>
        </w:rPr>
        <w:t xml:space="preserve"> ، ص 157 ، الباب 64 ، ح 5 ، بسنده عن محمّد بن الحسن الصفّار ، عن أحمد بن محمّد بن عيسى ، عن الحسن بن عليّ بن فضّال ، عن حريز ، وبسند آخر أيضاً عن حريز ، عن فضيل بن يسار ، عن أبي عبدالله </w:t>
      </w:r>
      <w:r w:rsidR="0061079A" w:rsidRPr="0061079A">
        <w:rPr>
          <w:rStyle w:val="libFootnoteAlaemChar"/>
          <w:rtl/>
        </w:rPr>
        <w:t>عليه‌السلام</w:t>
      </w:r>
      <w:r w:rsidR="00744A1C">
        <w:rPr>
          <w:rtl/>
          <w:lang w:bidi="fa-IR"/>
        </w:rPr>
        <w:t xml:space="preserve"> . </w:t>
      </w:r>
      <w:r w:rsidR="00744A1C" w:rsidRPr="0017097C">
        <w:rPr>
          <w:rStyle w:val="libFootnoteBoldChar"/>
          <w:rtl/>
        </w:rPr>
        <w:t>وفيه</w:t>
      </w:r>
      <w:r w:rsidR="00744A1C">
        <w:rPr>
          <w:rtl/>
          <w:lang w:bidi="fa-IR"/>
        </w:rPr>
        <w:t xml:space="preserve"> ، ح 7 ، بسنده عن حريز والحسن بن محبوب ، عن جميل بن صالح ، عن فضيل بن يسار ، عنهما من دون التصريح باسم المعصوم </w:t>
      </w:r>
      <w:r w:rsidR="0061079A" w:rsidRPr="0061079A">
        <w:rPr>
          <w:rStyle w:val="libFootnoteAlaemChar"/>
          <w:rtl/>
        </w:rPr>
        <w:t>عليه‌السلام</w:t>
      </w:r>
      <w:r w:rsidR="00744A1C">
        <w:rPr>
          <w:rtl/>
          <w:lang w:bidi="fa-IR"/>
        </w:rPr>
        <w:t xml:space="preserve"> . وفيه أيضاً ، ص 14 ، الباب 2 ، ح 19 ؛ وص 157 ، الباب 64 ، ح 1 ، بسندهما عن الفضيل بن يسار ، عن أبي جعفر </w:t>
      </w:r>
      <w:r w:rsidR="0061079A" w:rsidRPr="0061079A">
        <w:rPr>
          <w:rStyle w:val="libFootnoteAlaemChar"/>
          <w:rtl/>
        </w:rPr>
        <w:t>عليه‌السلام</w:t>
      </w:r>
      <w:r w:rsidR="00744A1C">
        <w:rPr>
          <w:rtl/>
          <w:lang w:bidi="fa-IR"/>
        </w:rPr>
        <w:t xml:space="preserve"> . وراجع : </w:t>
      </w:r>
      <w:r w:rsidR="00744A1C" w:rsidRPr="007B299E">
        <w:rPr>
          <w:rStyle w:val="libFootnoteBoldChar"/>
          <w:rtl/>
        </w:rPr>
        <w:t>كامل الزيارات</w:t>
      </w:r>
      <w:r w:rsidR="00744A1C">
        <w:rPr>
          <w:rtl/>
          <w:lang w:bidi="fa-IR"/>
        </w:rPr>
        <w:t xml:space="preserve"> ، ص 174 ، الباب 71 ، ح 8 </w:t>
      </w:r>
      <w:r w:rsidR="0017097C">
        <w:rPr>
          <w:rFonts w:hint="cs"/>
          <w:rtl/>
          <w:lang w:bidi="fa-IR"/>
        </w:rPr>
        <w:t>.</w:t>
      </w:r>
      <w:r w:rsidR="00744A1C" w:rsidRPr="00C24F9C">
        <w:rPr>
          <w:rStyle w:val="libFootnoteBoldChar"/>
          <w:rtl/>
        </w:rPr>
        <w:t>الوافي</w:t>
      </w:r>
      <w:r w:rsidR="00744A1C">
        <w:rPr>
          <w:rtl/>
          <w:lang w:bidi="fa-IR"/>
        </w:rPr>
        <w:t xml:space="preserve"> ، ج 14 ، ص 1331 ، ح 14357 ؛ </w:t>
      </w:r>
      <w:r w:rsidR="00744A1C" w:rsidRPr="00C24F9C">
        <w:rPr>
          <w:rStyle w:val="libFootnoteBoldChar"/>
          <w:rtl/>
        </w:rPr>
        <w:t>الوسائل</w:t>
      </w:r>
      <w:r w:rsidR="00744A1C">
        <w:rPr>
          <w:rtl/>
          <w:lang w:bidi="fa-IR"/>
        </w:rPr>
        <w:t xml:space="preserve"> ، ج 14 ، ص 326 ، ح 19332.</w:t>
      </w:r>
    </w:p>
    <w:p w:rsidR="00744A1C" w:rsidRDefault="00E378DD" w:rsidP="00E378DD">
      <w:pPr>
        <w:pStyle w:val="libFootnote0"/>
        <w:rPr>
          <w:lang w:bidi="fa-IR"/>
        </w:rPr>
      </w:pPr>
      <w:r>
        <w:rPr>
          <w:rtl/>
          <w:lang w:bidi="fa-IR"/>
        </w:rPr>
        <w:t>(2).</w:t>
      </w:r>
      <w:r w:rsidR="00744A1C">
        <w:rPr>
          <w:rtl/>
          <w:lang w:bidi="fa-IR"/>
        </w:rPr>
        <w:t xml:space="preserve"> السند معلّق ، كسابقه.</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عن بعض النسخ </w:t>
      </w:r>
      <w:r w:rsidR="00744A1C" w:rsidRPr="0017097C">
        <w:rPr>
          <w:rtl/>
        </w:rPr>
        <w:t>والوسائل والتهذيب</w:t>
      </w:r>
      <w:r w:rsidR="00744A1C">
        <w:rPr>
          <w:rtl/>
          <w:lang w:bidi="fa-IR"/>
        </w:rPr>
        <w:t xml:space="preserve"> : « السندي ».</w:t>
      </w:r>
    </w:p>
    <w:p w:rsidR="00744A1C" w:rsidRDefault="00E378DD" w:rsidP="00741D6E">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4 ، ح 4 ، بسنده عن أحمد بن محمّد. وفي </w:t>
      </w:r>
      <w:r w:rsidR="00744A1C" w:rsidRPr="007B299E">
        <w:rPr>
          <w:rStyle w:val="libFootnoteBoldChar"/>
          <w:rtl/>
        </w:rPr>
        <w:t>كامل الزيارات</w:t>
      </w:r>
      <w:r w:rsidR="00744A1C">
        <w:rPr>
          <w:rtl/>
          <w:lang w:bidi="fa-IR"/>
        </w:rPr>
        <w:t xml:space="preserve"> ، ص 12 ، الباب 2 ، ح 1 ؛وكتاب المزار ، ص 169 ، ح 3 ، بسندهما عن أحمد بن محمّد بن عيسى ، عن الحسن بن محبوب ؛ </w:t>
      </w:r>
      <w:r w:rsidR="00744A1C" w:rsidRPr="007B299E">
        <w:rPr>
          <w:rStyle w:val="libFootnoteBoldChar"/>
          <w:rtl/>
        </w:rPr>
        <w:t>كامل الزيارات</w:t>
      </w:r>
      <w:r w:rsidR="00744A1C">
        <w:rPr>
          <w:rtl/>
          <w:lang w:bidi="fa-IR"/>
        </w:rPr>
        <w:t xml:space="preserve"> ، ص 14 ، الباب 2 ، ح 16 ، بسنده عن أحمد بن محمّد بن عيسى ، عن أبيه ، عن الحسن بن محبوب. وفيه ، ص 13 ، الباب 2 ، ح 10 ، بسنده عن الحسن بن محبوب. وفيه أيضاً ، ح 13 ، بسنده عن أبان بن عثمان ، عن السدوسي. وح 14 ، بسند آخر عن رسول الله </w:t>
      </w:r>
      <w:r w:rsidR="00F90866" w:rsidRPr="00F90866">
        <w:rPr>
          <w:rStyle w:val="libFootnoteAlaemChar"/>
          <w:rtl/>
        </w:rPr>
        <w:t>صلى‌الله‌عليه‌وآله</w:t>
      </w:r>
      <w:r w:rsidR="00744A1C">
        <w:rPr>
          <w:rtl/>
          <w:lang w:bidi="fa-IR"/>
        </w:rPr>
        <w:t xml:space="preserve">. المقنعة ، ص 457 ، مرسلاً عن رسول الله </w:t>
      </w:r>
      <w:r w:rsidR="005E465D" w:rsidRPr="005E465D">
        <w:rPr>
          <w:rStyle w:val="libAlaemChar"/>
          <w:rFonts w:eastAsiaTheme="minorHAnsi"/>
          <w:rtl/>
        </w:rPr>
        <w:t>صلى‌الله‌عليه‌وآله</w:t>
      </w:r>
      <w:r w:rsidR="00741D6E" w:rsidRPr="00741D6E">
        <w:rPr>
          <w:rFonts w:eastAsiaTheme="minorHAnsi"/>
          <w:rtl/>
        </w:rPr>
        <w:t xml:space="preserve"> </w:t>
      </w:r>
      <w:r w:rsidR="00744A1C">
        <w:rPr>
          <w:rtl/>
          <w:lang w:bidi="fa-IR"/>
        </w:rPr>
        <w:t xml:space="preserve">، مع زيادة في آخره </w:t>
      </w:r>
      <w:r w:rsidR="00741D6E">
        <w:rPr>
          <w:rFonts w:hint="cs"/>
          <w:rtl/>
          <w:lang w:bidi="fa-IR"/>
        </w:rPr>
        <w:t>.</w:t>
      </w:r>
      <w:r w:rsidR="00744A1C" w:rsidRPr="00C24F9C">
        <w:rPr>
          <w:rStyle w:val="libFootnoteBoldChar"/>
          <w:rtl/>
        </w:rPr>
        <w:t>الوافي</w:t>
      </w:r>
      <w:r w:rsidR="00744A1C">
        <w:rPr>
          <w:rtl/>
          <w:lang w:bidi="fa-IR"/>
        </w:rPr>
        <w:t xml:space="preserve"> ، ج 14 ، ص 1326 ، ح 14348 ؛ </w:t>
      </w:r>
      <w:r w:rsidR="00744A1C" w:rsidRPr="00C24F9C">
        <w:rPr>
          <w:rStyle w:val="libFootnoteBoldChar"/>
          <w:rtl/>
        </w:rPr>
        <w:t>الوسائل</w:t>
      </w:r>
      <w:r w:rsidR="00744A1C">
        <w:rPr>
          <w:rtl/>
          <w:lang w:bidi="fa-IR"/>
        </w:rPr>
        <w:t xml:space="preserve"> ، ج 14 ، ص 333 ، ح 19336.</w:t>
      </w:r>
    </w:p>
    <w:p w:rsidR="00744A1C" w:rsidRDefault="00E378DD" w:rsidP="00E378DD">
      <w:pPr>
        <w:pStyle w:val="libFootnote0"/>
        <w:rPr>
          <w:lang w:bidi="fa-IR"/>
        </w:rPr>
      </w:pPr>
      <w:r>
        <w:rPr>
          <w:rtl/>
          <w:lang w:bidi="fa-IR"/>
        </w:rPr>
        <w:t>(5).</w:t>
      </w:r>
      <w:r w:rsidR="00744A1C">
        <w:rPr>
          <w:rtl/>
          <w:lang w:bidi="fa-IR"/>
        </w:rPr>
        <w:t xml:space="preserve"> في « بث ، بخ » </w:t>
      </w:r>
      <w:r w:rsidR="00744A1C" w:rsidRPr="0061079A">
        <w:rPr>
          <w:rStyle w:val="libFootnoteBoldChar"/>
          <w:rtl/>
        </w:rPr>
        <w:t>والتهذيب</w:t>
      </w:r>
      <w:r w:rsidR="00744A1C">
        <w:rPr>
          <w:rtl/>
          <w:lang w:bidi="fa-IR"/>
        </w:rPr>
        <w:t xml:space="preserve"> ، ح 7 : « بن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التهذيب</w:t>
      </w:r>
      <w:r w:rsidR="00744A1C">
        <w:rPr>
          <w:rtl/>
          <w:lang w:bidi="fa-IR"/>
        </w:rPr>
        <w:t xml:space="preserve"> ، ح 83 والأمالي للصدوق </w:t>
      </w:r>
      <w:r w:rsidR="00744A1C" w:rsidRPr="004D054E">
        <w:rPr>
          <w:rStyle w:val="libFootnoteBoldChar"/>
          <w:rtl/>
        </w:rPr>
        <w:t>وثواب الأعمال</w:t>
      </w:r>
      <w:r w:rsidR="00744A1C">
        <w:rPr>
          <w:rtl/>
          <w:lang w:bidi="fa-IR"/>
        </w:rPr>
        <w:t xml:space="preserve"> ، ح 1 والعلل : « الحسن بن عليّ ».</w:t>
      </w:r>
    </w:p>
    <w:p w:rsidR="00744A1C" w:rsidRDefault="00E378DD" w:rsidP="00E378DD">
      <w:pPr>
        <w:pStyle w:val="libFootnote0"/>
        <w:rPr>
          <w:lang w:bidi="fa-IR"/>
        </w:rPr>
      </w:pPr>
      <w:r>
        <w:rPr>
          <w:rtl/>
          <w:lang w:bidi="fa-IR"/>
        </w:rPr>
        <w:t>(7).</w:t>
      </w:r>
      <w:r w:rsidR="00744A1C">
        <w:rPr>
          <w:rtl/>
          <w:lang w:bidi="fa-IR"/>
        </w:rPr>
        <w:t xml:space="preserve"> في « بث » : « يا أباه ».</w:t>
      </w:r>
    </w:p>
    <w:p w:rsidR="00744A1C" w:rsidRDefault="00E378DD" w:rsidP="00E378DD">
      <w:pPr>
        <w:pStyle w:val="libFootnote0"/>
        <w:rPr>
          <w:lang w:bidi="fa-IR"/>
        </w:rPr>
      </w:pPr>
      <w:r>
        <w:rPr>
          <w:rtl/>
          <w:lang w:bidi="fa-IR"/>
        </w:rPr>
        <w:t>(8).</w:t>
      </w:r>
      <w:r w:rsidR="00744A1C">
        <w:rPr>
          <w:rtl/>
          <w:lang w:bidi="fa-IR"/>
        </w:rPr>
        <w:t xml:space="preserve"> في « جد »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ح 7 </w:t>
      </w:r>
      <w:r w:rsidR="00744A1C" w:rsidRPr="00B369B9">
        <w:rPr>
          <w:rtl/>
        </w:rPr>
        <w:t>وكامل الزيارات والأمالي</w:t>
      </w:r>
      <w:r w:rsidR="00744A1C">
        <w:rPr>
          <w:rtl/>
          <w:lang w:bidi="fa-IR"/>
        </w:rPr>
        <w:t xml:space="preserve"> للصدوق </w:t>
      </w:r>
      <w:r w:rsidR="00744A1C" w:rsidRPr="004D054E">
        <w:rPr>
          <w:rStyle w:val="libFootnoteBoldChar"/>
          <w:rtl/>
        </w:rPr>
        <w:t>وثواب الأعمال</w:t>
      </w:r>
      <w:r w:rsidR="00744A1C">
        <w:rPr>
          <w:rtl/>
          <w:lang w:bidi="fa-IR"/>
        </w:rPr>
        <w:t xml:space="preserve"> ، ح 1 والعلل : « ما جزاء من » بدل « ما لمن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التهذيب</w:t>
      </w:r>
      <w:r w:rsidR="00744A1C">
        <w:rPr>
          <w:rtl/>
          <w:lang w:bidi="fa-IR"/>
        </w:rPr>
        <w:t xml:space="preserve"> ، ح 83 </w:t>
      </w:r>
      <w:r w:rsidR="00744A1C" w:rsidRPr="004D054E">
        <w:rPr>
          <w:rStyle w:val="libFootnoteBoldChar"/>
          <w:rtl/>
        </w:rPr>
        <w:t>وثواب الأعمال</w:t>
      </w:r>
      <w:r w:rsidR="00744A1C">
        <w:rPr>
          <w:rtl/>
          <w:lang w:bidi="fa-IR"/>
        </w:rPr>
        <w:t xml:space="preserve"> ، ح 2 : « زارنا ».</w:t>
      </w:r>
    </w:p>
    <w:p w:rsidR="00150943" w:rsidRDefault="00150943" w:rsidP="00D10E3C">
      <w:pPr>
        <w:pStyle w:val="libNormal"/>
        <w:rPr>
          <w:rtl/>
          <w:lang w:bidi="fa-IR"/>
        </w:rPr>
      </w:pPr>
      <w:r>
        <w:rPr>
          <w:rtl/>
          <w:lang w:bidi="fa-IR"/>
        </w:rPr>
        <w:br w:type="page"/>
      </w:r>
    </w:p>
    <w:p w:rsidR="00144FA6" w:rsidRDefault="00744A1C" w:rsidP="00B369B9">
      <w:pPr>
        <w:pStyle w:val="libNormal"/>
        <w:rPr>
          <w:rtl/>
          <w:lang w:bidi="fa-IR"/>
        </w:rPr>
      </w:pPr>
      <w:r>
        <w:rPr>
          <w:rtl/>
          <w:lang w:bidi="fa-IR"/>
        </w:rPr>
        <w:lastRenderedPageBreak/>
        <w:t xml:space="preserve">فَقَالَ رَسُولُ اللهِ </w:t>
      </w:r>
      <w:r w:rsidR="005E465D" w:rsidRPr="005E465D">
        <w:rPr>
          <w:rStyle w:val="libAlaemChar"/>
          <w:rFonts w:eastAsiaTheme="minorHAnsi"/>
          <w:rtl/>
        </w:rPr>
        <w:t>صلى‌الله‌عليه‌وآله</w:t>
      </w:r>
      <w:r>
        <w:rPr>
          <w:rtl/>
          <w:lang w:bidi="fa-IR"/>
        </w:rPr>
        <w:t xml:space="preserve">: « يَا بُنَيَّ </w:t>
      </w:r>
      <w:r w:rsidRPr="00D10E3C">
        <w:rPr>
          <w:rStyle w:val="libFootnotenumChar"/>
          <w:rtl/>
        </w:rPr>
        <w:t>(1)</w:t>
      </w:r>
      <w:r>
        <w:rPr>
          <w:rtl/>
          <w:lang w:bidi="fa-IR"/>
        </w:rPr>
        <w:t xml:space="preserve"> ، مَنْ زَارَنِي حَيّاً أَوْ مَيِّتاً ، أَوْ زَارَ أَبَاكَ ، أَوْ زَارَ أَخَاكَ ، أَوْ زَارَكَ </w:t>
      </w:r>
      <w:r w:rsidRPr="00D10E3C">
        <w:rPr>
          <w:rStyle w:val="libFootnotenumChar"/>
          <w:rtl/>
        </w:rPr>
        <w:t>(2)</w:t>
      </w:r>
      <w:r>
        <w:rPr>
          <w:rtl/>
          <w:lang w:bidi="fa-IR"/>
        </w:rPr>
        <w:t xml:space="preserve"> ، كَانَ حَقّاً عَلَيَّ أَنْ أَزُورَهُ </w:t>
      </w:r>
      <w:r w:rsidRPr="00D10E3C">
        <w:rPr>
          <w:rStyle w:val="libFootnotenumChar"/>
          <w:rtl/>
        </w:rPr>
        <w:t>(3)</w:t>
      </w:r>
      <w:r>
        <w:rPr>
          <w:rtl/>
          <w:lang w:bidi="fa-IR"/>
        </w:rPr>
        <w:t xml:space="preserve"> يَوْمَ الْقِيَامَةِ ، وَأُخَلِّصَهُ مِنْ ذُنُوبِهِ ». </w:t>
      </w:r>
      <w:r w:rsidRPr="00D10E3C">
        <w:rPr>
          <w:rStyle w:val="libFootnotenumChar"/>
          <w:rtl/>
        </w:rPr>
        <w:t>(4)</w:t>
      </w:r>
    </w:p>
    <w:p w:rsidR="00144FA6" w:rsidRDefault="00744A1C" w:rsidP="00744A1C">
      <w:pPr>
        <w:pStyle w:val="libNormal"/>
        <w:rPr>
          <w:rtl/>
          <w:lang w:bidi="fa-IR"/>
        </w:rPr>
      </w:pPr>
      <w:r>
        <w:rPr>
          <w:rtl/>
          <w:lang w:bidi="fa-IR"/>
        </w:rPr>
        <w:t xml:space="preserve">8093 / 5. عَلِيُّ بْنُ مُحَمَّدِ بْنِ بُنْدَارَ ، عَنْ إِبْرَاهِيمَ بْنِ إِسْحَاقَ ، عَنْ مُحَمَّدِ بْنِ سُلَيْمَانَ الدَّيْلَمِيِّ ، عَنْ أَبِي حَجَرٍ </w:t>
      </w:r>
      <w:r w:rsidRPr="00D10E3C">
        <w:rPr>
          <w:rStyle w:val="libFootnotenumChar"/>
          <w:rtl/>
        </w:rPr>
        <w:t>(5)</w:t>
      </w:r>
      <w:r>
        <w:rPr>
          <w:rtl/>
          <w:lang w:bidi="fa-IR"/>
        </w:rPr>
        <w:t xml:space="preserve"> الْأَسْلَمِيِّ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sidRPr="00D10E3C">
        <w:rPr>
          <w:rStyle w:val="libFootnotenumChar"/>
          <w:rtl/>
        </w:rPr>
        <w:t>(6)</w:t>
      </w:r>
      <w:r>
        <w:rPr>
          <w:rtl/>
          <w:lang w:bidi="fa-IR"/>
        </w:rPr>
        <w:t xml:space="preserve"> ، قَالَ : « قَالَ رَسُولُ اللهِ </w:t>
      </w:r>
      <w:r w:rsidR="0017097C" w:rsidRPr="0017097C">
        <w:rPr>
          <w:rStyle w:val="libAlaemChar"/>
          <w:rtl/>
        </w:rPr>
        <w:t>صلى‌الله‌عليه‌وآله</w:t>
      </w:r>
      <w:r>
        <w:rPr>
          <w:rtl/>
          <w:lang w:bidi="fa-IR"/>
        </w:rPr>
        <w:t xml:space="preserve"> : مَنْ أَتى مَكَّةَ حَاجّاً ، وَلَمْ يَزُرْنِي إِلَى الْمَدِينَةِ </w:t>
      </w:r>
      <w:r w:rsidRPr="00D10E3C">
        <w:rPr>
          <w:rStyle w:val="libFootnotenumChar"/>
          <w:rtl/>
        </w:rPr>
        <w:t>(7)</w:t>
      </w:r>
      <w:r>
        <w:rPr>
          <w:rtl/>
          <w:lang w:bidi="fa-IR"/>
        </w:rPr>
        <w:t xml:space="preserve"> ، جَفَوْتُهُ يَوْمَ الْقِيَامَةِ ؛ وَمَنْ أَتَانِي </w:t>
      </w:r>
      <w:r w:rsidRPr="00D10E3C">
        <w:rPr>
          <w:rStyle w:val="libFootnotenumChar"/>
          <w:rtl/>
        </w:rPr>
        <w:t>(8)</w:t>
      </w:r>
      <w:r>
        <w:rPr>
          <w:rtl/>
          <w:lang w:bidi="fa-IR"/>
        </w:rPr>
        <w:t xml:space="preserve"> زَائِراً </w:t>
      </w:r>
      <w:r w:rsidRPr="00D10E3C">
        <w:rPr>
          <w:rStyle w:val="libFootnotenumChar"/>
          <w:rtl/>
        </w:rPr>
        <w:t>(9)</w:t>
      </w:r>
      <w:r>
        <w:rPr>
          <w:rtl/>
          <w:lang w:bidi="fa-IR"/>
        </w:rPr>
        <w:t xml:space="preserve"> ، وَجَبَتْ لَهُ شَفَاعَتِي ، وَمَنْ‌</w:t>
      </w:r>
      <w:r w:rsidR="00BA43F5">
        <w:rPr>
          <w:rFonts w:hint="cs"/>
          <w:rtl/>
          <w:lang w:bidi="fa-IR"/>
        </w:rPr>
        <w:t xml:space="preserve"> </w:t>
      </w:r>
      <w:r w:rsidR="00BA43F5">
        <w:rPr>
          <w:rtl/>
          <w:lang w:bidi="fa-IR"/>
        </w:rPr>
        <w:t>وَجَبَتْ لَهُ شَفَاعَتِي ، وَجَبَتْ لَهُ الْجَنَّةُ ؛ وَمَنْ مَاتَ فِي أَحَدِ الْحَرَمَيْنِ : مَكَّةَ وَالْمَدِينَةِ ، لَمْ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w:t>
      </w:r>
      <w:r w:rsidR="00744A1C" w:rsidRPr="00EE7E5B">
        <w:rPr>
          <w:rtl/>
        </w:rPr>
        <w:t>والوسائل وثواب الأعمال</w:t>
      </w:r>
      <w:r w:rsidR="00744A1C">
        <w:rPr>
          <w:rtl/>
          <w:lang w:bidi="fa-IR"/>
        </w:rPr>
        <w:t xml:space="preserve"> ، ح 1 : - « يا بنيّ ».</w:t>
      </w:r>
    </w:p>
    <w:p w:rsidR="00744A1C" w:rsidRDefault="00E378DD" w:rsidP="00BA43F5">
      <w:pPr>
        <w:pStyle w:val="libFootnote0"/>
        <w:rPr>
          <w:lang w:bidi="fa-IR"/>
        </w:rPr>
      </w:pPr>
      <w:r>
        <w:rPr>
          <w:rtl/>
          <w:lang w:bidi="fa-IR"/>
        </w:rPr>
        <w:t>(2).</w:t>
      </w:r>
      <w:r w:rsidR="00744A1C">
        <w:rPr>
          <w:rtl/>
          <w:lang w:bidi="fa-IR"/>
        </w:rPr>
        <w:t xml:space="preserve"> في </w:t>
      </w:r>
      <w:r w:rsidR="00744A1C" w:rsidRPr="007B299E">
        <w:rPr>
          <w:rStyle w:val="libFootnoteBoldChar"/>
          <w:rtl/>
        </w:rPr>
        <w:t>كامل الزيارات</w:t>
      </w:r>
      <w:r w:rsidR="00744A1C">
        <w:rPr>
          <w:rtl/>
          <w:lang w:bidi="fa-IR"/>
        </w:rPr>
        <w:t xml:space="preserve"> ، ص 14 : - « أو زار أباك أو زار أخاك أو زارك ». وفي </w:t>
      </w:r>
      <w:r w:rsidR="00744A1C" w:rsidRPr="00BA43F5">
        <w:rPr>
          <w:rtl/>
        </w:rPr>
        <w:t>كامل الزيارات</w:t>
      </w:r>
      <w:r w:rsidR="00744A1C">
        <w:rPr>
          <w:rtl/>
          <w:lang w:bidi="fa-IR"/>
        </w:rPr>
        <w:t xml:space="preserve"> ، ص 39 : - « أو زار أخاك أو زارك ».</w:t>
      </w:r>
      <w:r w:rsidR="00BA43F5">
        <w:rPr>
          <w:rFonts w:hint="cs"/>
          <w:rtl/>
          <w:lang w:bidi="fa-IR"/>
        </w:rPr>
        <w:t xml:space="preserve">                                  </w:t>
      </w:r>
      <w:r>
        <w:rPr>
          <w:rtl/>
          <w:lang w:bidi="fa-IR"/>
        </w:rPr>
        <w:t>(3).</w:t>
      </w:r>
      <w:r w:rsidR="00744A1C">
        <w:rPr>
          <w:rtl/>
          <w:lang w:bidi="fa-IR"/>
        </w:rPr>
        <w:t xml:space="preserve"> في « بف » : « أن أزورها ».</w:t>
      </w:r>
    </w:p>
    <w:p w:rsidR="00744A1C" w:rsidRDefault="00E378DD" w:rsidP="007F0208">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4 ، ح 7 ، معلّقاً عن الكليني. </w:t>
      </w:r>
      <w:r w:rsidR="00744A1C" w:rsidRPr="003A7143">
        <w:rPr>
          <w:rStyle w:val="libFootnoteBoldChar"/>
          <w:rtl/>
        </w:rPr>
        <w:t>علل الشرائع</w:t>
      </w:r>
      <w:r w:rsidR="00744A1C">
        <w:rPr>
          <w:rtl/>
          <w:lang w:bidi="fa-IR"/>
        </w:rPr>
        <w:t xml:space="preserve"> ، ص 460 ، ح 5 ، بسنده عن أحمد بن أبي عبدالله البرقي ، عن عثمان بن عيسى ، عن المعلّى بن شهاب ، عن أبي عبدالله عن الحسن بن عليّ </w:t>
      </w:r>
      <w:r w:rsidR="00F112A7" w:rsidRPr="00CE5A92">
        <w:rPr>
          <w:rStyle w:val="libFootnoteAlaemChar"/>
          <w:rtl/>
        </w:rPr>
        <w:t>عليهما‌السلام</w:t>
      </w:r>
      <w:r w:rsidR="00744A1C">
        <w:rPr>
          <w:rtl/>
          <w:lang w:bidi="fa-IR"/>
        </w:rPr>
        <w:t xml:space="preserve">. وفي </w:t>
      </w:r>
      <w:r w:rsidR="00744A1C" w:rsidRPr="007B299E">
        <w:rPr>
          <w:rStyle w:val="libFootnoteBoldChar"/>
          <w:rtl/>
        </w:rPr>
        <w:t>كامل الزيارات</w:t>
      </w:r>
      <w:r w:rsidR="00744A1C">
        <w:rPr>
          <w:rtl/>
          <w:lang w:bidi="fa-IR"/>
        </w:rPr>
        <w:t xml:space="preserve"> ، ص 11 ، الباب 1 ، ح 2 و 5 ؛ وص 14 ، الباب 2 ، ح 18 ؛ وص 39 ، الباب 10 ، ح 3 ، بسند آخر عن عثمان بن عيسى ، عن المعلّى بن أبي شهاب ، عن أبي عبدالله ، عن الحسين </w:t>
      </w:r>
      <w:r w:rsidR="00F112A7" w:rsidRPr="00CE5A92">
        <w:rPr>
          <w:rStyle w:val="libFootnoteAlaemChar"/>
          <w:rtl/>
        </w:rPr>
        <w:t>عليهما‌السلام</w:t>
      </w:r>
      <w:r w:rsidR="00744A1C">
        <w:rPr>
          <w:rtl/>
          <w:lang w:bidi="fa-IR"/>
        </w:rPr>
        <w:t xml:space="preserve">. </w:t>
      </w:r>
      <w:r w:rsidR="00744A1C" w:rsidRPr="007B299E">
        <w:rPr>
          <w:rStyle w:val="libFootnoteBoldChar"/>
          <w:rtl/>
        </w:rPr>
        <w:t>كامل الزيارات</w:t>
      </w:r>
      <w:r w:rsidR="00744A1C">
        <w:rPr>
          <w:rtl/>
          <w:lang w:bidi="fa-IR"/>
        </w:rPr>
        <w:t xml:space="preserve"> ، ص 39 ، الباب 10 ، ح 3 ، بسند آخرعن عثمان بن عيسى ، عن المعلّى بن أبي شهاب ، عن أبي عبدالله عن الحسن بن عليّ </w:t>
      </w:r>
      <w:r w:rsidR="00F112A7" w:rsidRPr="00CE5A92">
        <w:rPr>
          <w:rStyle w:val="libFootnoteAlaemChar"/>
          <w:rtl/>
        </w:rPr>
        <w:t>عليهما‌السلام</w:t>
      </w:r>
      <w:r w:rsidR="00744A1C">
        <w:rPr>
          <w:rtl/>
          <w:lang w:bidi="fa-IR"/>
        </w:rPr>
        <w:t xml:space="preserve">. ثواب الأعمال ، ص 107 ، ح 2 ، بسند آخر عن جعفر بن محمّد ، عن آبائه ، عن الحسين </w:t>
      </w:r>
      <w:r w:rsidR="00877682" w:rsidRPr="00877682">
        <w:rPr>
          <w:rStyle w:val="libFootnoteAlaemChar"/>
          <w:rtl/>
        </w:rPr>
        <w:t>عليهم‌السلام</w:t>
      </w:r>
      <w:r w:rsidR="00744A1C">
        <w:rPr>
          <w:rtl/>
          <w:lang w:bidi="fa-IR"/>
        </w:rPr>
        <w:t xml:space="preserve"> . وفيه ، ح 1 ؛ والأمالي للصدوق ، ص 59 ، المجلس 14 ، ح 4 ، بسند آخر عن جعفر بن محمّد ، عن آبائه ، عن الحسن بن عليّ </w:t>
      </w:r>
      <w:r w:rsidR="00877682" w:rsidRPr="00877682">
        <w:rPr>
          <w:rStyle w:val="libFootnoteAlaemChar"/>
          <w:rtl/>
        </w:rPr>
        <w:t>عليهم‌السلام</w:t>
      </w:r>
      <w:r w:rsidR="00744A1C">
        <w:rPr>
          <w:rtl/>
          <w:lang w:bidi="fa-IR"/>
        </w:rPr>
        <w:t xml:space="preserve"> . </w:t>
      </w:r>
      <w:r w:rsidR="00744A1C" w:rsidRPr="0061079A">
        <w:rPr>
          <w:rStyle w:val="libFootnoteBoldChar"/>
          <w:rtl/>
        </w:rPr>
        <w:t>الكافي</w:t>
      </w:r>
      <w:r w:rsidR="00744A1C">
        <w:rPr>
          <w:rtl/>
          <w:lang w:bidi="fa-IR"/>
        </w:rPr>
        <w:t xml:space="preserve"> ، كتاب الحجّ ، باب فضل الزيارات وثوابها ، ح 8164 ، بسند آخر عن رسول الله </w:t>
      </w:r>
      <w:r w:rsidR="005E465D" w:rsidRPr="005E465D">
        <w:rPr>
          <w:rStyle w:val="libAlaemChar"/>
          <w:rFonts w:eastAsiaTheme="minorHAnsi"/>
          <w:rtl/>
        </w:rPr>
        <w:t>صلى‌الله‌عليه‌وآله</w:t>
      </w:r>
      <w:r w:rsidR="007F0208" w:rsidRPr="007F0208">
        <w:rPr>
          <w:rFonts w:eastAsiaTheme="minorHAnsi"/>
          <w:rtl/>
        </w:rPr>
        <w:t xml:space="preserve"> </w:t>
      </w:r>
      <w:r w:rsidR="00744A1C">
        <w:rPr>
          <w:rtl/>
          <w:lang w:bidi="fa-IR"/>
        </w:rPr>
        <w:t xml:space="preserve">خطاباً لعليّ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التهذيب</w:t>
      </w:r>
      <w:r w:rsidR="00744A1C">
        <w:rPr>
          <w:rtl/>
          <w:lang w:bidi="fa-IR"/>
        </w:rPr>
        <w:t xml:space="preserve"> ، ج 6 ، ص 40 ، ح 83 ، بسند آخر عن الحسن بن عليّ </w:t>
      </w:r>
      <w:r w:rsidR="0061079A" w:rsidRPr="0061079A">
        <w:rPr>
          <w:rStyle w:val="libFootnoteAlaemChar"/>
          <w:rtl/>
        </w:rPr>
        <w:t>عليه‌السلام</w:t>
      </w:r>
      <w:r w:rsidR="00D10E3C">
        <w:rPr>
          <w:rtl/>
          <w:lang w:bidi="fa-IR"/>
        </w:rPr>
        <w:t xml:space="preserve"> </w:t>
      </w:r>
      <w:r w:rsidR="00744A1C">
        <w:rPr>
          <w:rtl/>
          <w:lang w:bidi="fa-IR"/>
        </w:rPr>
        <w:t>، إلى قوله : « وا</w:t>
      </w:r>
      <w:r w:rsidR="007F0208">
        <w:rPr>
          <w:rFonts w:hint="cs"/>
          <w:rtl/>
          <w:lang w:bidi="fa-IR"/>
        </w:rPr>
        <w:t>ُ</w:t>
      </w:r>
      <w:r w:rsidR="00744A1C">
        <w:rPr>
          <w:rtl/>
          <w:lang w:bidi="fa-IR"/>
        </w:rPr>
        <w:t xml:space="preserve">خلّصه ». </w:t>
      </w:r>
      <w:r w:rsidR="00744A1C" w:rsidRPr="00C24F9C">
        <w:rPr>
          <w:rStyle w:val="libFootnoteBoldChar"/>
          <w:rtl/>
        </w:rPr>
        <w:t>الفقيه</w:t>
      </w:r>
      <w:r w:rsidR="00744A1C">
        <w:rPr>
          <w:rtl/>
          <w:lang w:bidi="fa-IR"/>
        </w:rPr>
        <w:t xml:space="preserve"> ، ج 2 ، ص 557 ، ح 3159 ، مرسلاً عن الحسين بن عليّ </w:t>
      </w:r>
      <w:r w:rsidR="0061079A" w:rsidRPr="0061079A">
        <w:rPr>
          <w:rStyle w:val="libFootnoteAlaemChar"/>
          <w:rtl/>
        </w:rPr>
        <w:t>عليه‌السلام</w:t>
      </w:r>
      <w:r w:rsidR="00D10E3C">
        <w:rPr>
          <w:rtl/>
          <w:lang w:bidi="fa-IR"/>
        </w:rPr>
        <w:t xml:space="preserve"> </w:t>
      </w:r>
      <w:r w:rsidR="007F0208">
        <w:rPr>
          <w:rtl/>
          <w:lang w:bidi="fa-IR"/>
        </w:rPr>
        <w:t>، وفي كلّ المصادر - إل</w:t>
      </w:r>
      <w:r w:rsidR="007F0208">
        <w:rPr>
          <w:rFonts w:hint="cs"/>
          <w:rtl/>
          <w:lang w:bidi="fa-IR"/>
        </w:rPr>
        <w:t>ّ</w:t>
      </w:r>
      <w:r w:rsidR="007F0208">
        <w:rPr>
          <w:rtl/>
          <w:lang w:bidi="fa-IR"/>
        </w:rPr>
        <w:t>ا</w:t>
      </w:r>
      <w:r w:rsidR="00744A1C">
        <w:rPr>
          <w:rtl/>
          <w:lang w:bidi="fa-IR"/>
        </w:rPr>
        <w:t xml:space="preserve"> </w:t>
      </w:r>
      <w:r w:rsidR="00744A1C" w:rsidRPr="00C24F9C">
        <w:rPr>
          <w:rStyle w:val="libFootnoteBoldChar"/>
          <w:rtl/>
        </w:rPr>
        <w:t>التهذيب</w:t>
      </w:r>
      <w:r w:rsidR="00744A1C">
        <w:rPr>
          <w:rtl/>
          <w:lang w:bidi="fa-IR"/>
        </w:rPr>
        <w:t xml:space="preserve"> ، ص 4 - مع اختلاف يسير. وراجع : </w:t>
      </w:r>
      <w:r w:rsidR="00744A1C" w:rsidRPr="00877682">
        <w:rPr>
          <w:rStyle w:val="libFootnoteBoldChar"/>
          <w:rtl/>
        </w:rPr>
        <w:t>قرب الإسناد</w:t>
      </w:r>
      <w:r w:rsidR="00744A1C">
        <w:rPr>
          <w:rtl/>
          <w:lang w:bidi="fa-IR"/>
        </w:rPr>
        <w:t xml:space="preserve"> ، ص 65 ، ح 205 </w:t>
      </w:r>
      <w:r w:rsidR="007F0208">
        <w:rPr>
          <w:rFonts w:hint="cs"/>
          <w:rtl/>
          <w:lang w:bidi="fa-IR"/>
        </w:rPr>
        <w:t>.</w:t>
      </w:r>
      <w:r w:rsidR="00744A1C" w:rsidRPr="00C24F9C">
        <w:rPr>
          <w:rStyle w:val="libFootnoteBoldChar"/>
          <w:rtl/>
        </w:rPr>
        <w:t>الوافي</w:t>
      </w:r>
      <w:r w:rsidR="00744A1C">
        <w:rPr>
          <w:rtl/>
          <w:lang w:bidi="fa-IR"/>
        </w:rPr>
        <w:t xml:space="preserve"> ، ج 14 ، ص 1327 ، ح 14349 ؛ </w:t>
      </w:r>
      <w:r w:rsidR="00744A1C" w:rsidRPr="00C24F9C">
        <w:rPr>
          <w:rStyle w:val="libFootnoteBoldChar"/>
          <w:rtl/>
        </w:rPr>
        <w:t>الوسائل</w:t>
      </w:r>
      <w:r w:rsidR="00744A1C">
        <w:rPr>
          <w:rtl/>
          <w:lang w:bidi="fa-IR"/>
        </w:rPr>
        <w:t xml:space="preserve"> ، ج 14 ، ص 326 ، ح 19323.</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والمزار : « أبي يحيى » هذا ، وقد ورد الخبر في </w:t>
      </w:r>
      <w:r w:rsidR="00744A1C" w:rsidRPr="00C24F9C">
        <w:rPr>
          <w:rStyle w:val="libFootnoteBoldChar"/>
          <w:rtl/>
        </w:rPr>
        <w:t>الفقيه</w:t>
      </w:r>
      <w:r w:rsidR="00744A1C">
        <w:rPr>
          <w:rtl/>
          <w:lang w:bidi="fa-IR"/>
        </w:rPr>
        <w:t xml:space="preserve"> ، ج 2 ، ص 565 ، ح 3157 ، و</w:t>
      </w:r>
      <w:r w:rsidR="00744A1C" w:rsidRPr="003A7143">
        <w:rPr>
          <w:rStyle w:val="libFootnoteBoldChar"/>
          <w:rtl/>
        </w:rPr>
        <w:t>علل الشرائع</w:t>
      </w:r>
      <w:r w:rsidR="00744A1C">
        <w:rPr>
          <w:rtl/>
          <w:lang w:bidi="fa-IR"/>
        </w:rPr>
        <w:t xml:space="preserve"> ، ص 460 ، ح 7 ، عن محمّد بن سليمان الديلمي عن إبراهيم بن أبي حجر الأسلمي.</w:t>
      </w:r>
    </w:p>
    <w:p w:rsidR="00744A1C" w:rsidRDefault="00E378DD" w:rsidP="00E378DD">
      <w:pPr>
        <w:pStyle w:val="libFootnote0"/>
        <w:rPr>
          <w:lang w:bidi="fa-IR"/>
        </w:rPr>
      </w:pPr>
      <w:r>
        <w:rPr>
          <w:rtl/>
          <w:lang w:bidi="fa-IR"/>
        </w:rPr>
        <w:t>(6).</w:t>
      </w:r>
      <w:r w:rsidR="00744A1C">
        <w:rPr>
          <w:rtl/>
          <w:lang w:bidi="fa-IR"/>
        </w:rPr>
        <w:t xml:space="preserve"> في </w:t>
      </w:r>
      <w:r w:rsidR="00744A1C" w:rsidRPr="007B299E">
        <w:rPr>
          <w:rStyle w:val="libFootnoteBoldChar"/>
          <w:rtl/>
        </w:rPr>
        <w:t>كامل الزيارات</w:t>
      </w:r>
      <w:r w:rsidR="00744A1C">
        <w:rPr>
          <w:rtl/>
          <w:lang w:bidi="fa-IR"/>
        </w:rPr>
        <w:t xml:space="preserve"> : - « عن أبي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(7).</w:t>
      </w:r>
      <w:r w:rsidR="00744A1C">
        <w:rPr>
          <w:rtl/>
          <w:lang w:bidi="fa-IR"/>
        </w:rPr>
        <w:t xml:space="preserve"> في المزار : « بالمدينة » بدل « إلى المدينة ». وفي العلل : + « جفاني ومن جفاني ».</w:t>
      </w:r>
    </w:p>
    <w:tbl>
      <w:tblPr>
        <w:tblStyle w:val="TableGrid"/>
        <w:bidiVisual/>
        <w:tblW w:w="0" w:type="auto"/>
        <w:tblLook w:val="04A0" w:firstRow="1" w:lastRow="0" w:firstColumn="1" w:lastColumn="0" w:noHBand="0" w:noVBand="1"/>
      </w:tblPr>
      <w:tblGrid>
        <w:gridCol w:w="4006"/>
        <w:gridCol w:w="4006"/>
      </w:tblGrid>
      <w:tr w:rsidR="007F0208" w:rsidTr="007F0208">
        <w:tc>
          <w:tcPr>
            <w:tcW w:w="4006" w:type="dxa"/>
          </w:tcPr>
          <w:p w:rsidR="007F0208" w:rsidRDefault="007F0208" w:rsidP="00E378DD">
            <w:pPr>
              <w:pStyle w:val="libFootnote0"/>
              <w:rPr>
                <w:rtl/>
                <w:lang w:bidi="fa-IR"/>
              </w:rPr>
            </w:pPr>
            <w:r>
              <w:rPr>
                <w:rtl/>
                <w:lang w:bidi="fa-IR"/>
              </w:rPr>
              <w:t xml:space="preserve">(8). في </w:t>
            </w:r>
            <w:r w:rsidRPr="007B299E">
              <w:rPr>
                <w:rStyle w:val="libFootnoteBoldChar"/>
                <w:rtl/>
              </w:rPr>
              <w:t>كامل الزيارات</w:t>
            </w:r>
            <w:r>
              <w:rPr>
                <w:rtl/>
                <w:lang w:bidi="fa-IR"/>
              </w:rPr>
              <w:t xml:space="preserve"> : « زارني ».</w:t>
            </w:r>
          </w:p>
        </w:tc>
        <w:tc>
          <w:tcPr>
            <w:tcW w:w="4006" w:type="dxa"/>
          </w:tcPr>
          <w:p w:rsidR="007F0208" w:rsidRDefault="007F0208" w:rsidP="00E378DD">
            <w:pPr>
              <w:pStyle w:val="libFootnote0"/>
              <w:rPr>
                <w:rtl/>
                <w:lang w:bidi="fa-IR"/>
              </w:rPr>
            </w:pPr>
            <w:r>
              <w:rPr>
                <w:rtl/>
                <w:lang w:bidi="fa-IR"/>
              </w:rPr>
              <w:t>(9). في المزار : « زارني » بدل « أتاني زائراً ».</w:t>
            </w:r>
          </w:p>
        </w:tc>
      </w:tr>
    </w:tbl>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 xml:space="preserve">يُعْرَضْ ، وَلَمْ يُحَاسَبْ </w:t>
      </w:r>
      <w:r w:rsidRPr="00D10E3C">
        <w:rPr>
          <w:rStyle w:val="libFootnotenumChar"/>
          <w:rtl/>
        </w:rPr>
        <w:t>(1)</w:t>
      </w:r>
      <w:r>
        <w:rPr>
          <w:rtl/>
          <w:lang w:bidi="fa-IR"/>
        </w:rPr>
        <w:t xml:space="preserve"> ؛ وَمَنْ </w:t>
      </w:r>
      <w:r w:rsidRPr="00D10E3C">
        <w:rPr>
          <w:rStyle w:val="libFootnotenumChar"/>
          <w:rtl/>
        </w:rPr>
        <w:t>(2)</w:t>
      </w:r>
      <w:r>
        <w:rPr>
          <w:rtl/>
          <w:lang w:bidi="fa-IR"/>
        </w:rPr>
        <w:t xml:space="preserve"> مَاتَ مُهَاجِراً إِلَى اللهِ - عَزَّ وَجَلَّ - حُشِرَ </w:t>
      </w:r>
      <w:r w:rsidRPr="00D10E3C">
        <w:rPr>
          <w:rStyle w:val="libFootnotenumChar"/>
          <w:rtl/>
        </w:rPr>
        <w:t>(3)</w:t>
      </w:r>
      <w:r>
        <w:rPr>
          <w:rtl/>
          <w:lang w:bidi="fa-IR"/>
        </w:rPr>
        <w:t xml:space="preserve"> يَوْمَ الْقِيَامَةِ مَعَ أَصْحَابِ بَدْرٍ ». </w:t>
      </w:r>
      <w:r w:rsidRPr="00D10E3C">
        <w:rPr>
          <w:rStyle w:val="libFootnotenumChar"/>
          <w:rtl/>
        </w:rPr>
        <w:t>(4)</w:t>
      </w:r>
    </w:p>
    <w:p w:rsidR="00144FA6" w:rsidRDefault="00744A1C" w:rsidP="00675E83">
      <w:pPr>
        <w:pStyle w:val="Heading2Center"/>
        <w:rPr>
          <w:rtl/>
          <w:lang w:bidi="fa-IR"/>
        </w:rPr>
      </w:pPr>
      <w:bookmarkStart w:id="61" w:name="_Toc49261359"/>
      <w:r>
        <w:rPr>
          <w:rtl/>
          <w:lang w:bidi="fa-IR"/>
        </w:rPr>
        <w:t xml:space="preserve">214 - بَابُ إِتْبَاعِ الْحَجِّ بِالزِّيَارَةِ </w:t>
      </w:r>
      <w:r w:rsidRPr="00D10E3C">
        <w:rPr>
          <w:rStyle w:val="libFootnotenumChar"/>
          <w:rtl/>
        </w:rPr>
        <w:t>(5)</w:t>
      </w:r>
      <w:bookmarkEnd w:id="61"/>
    </w:p>
    <w:p w:rsidR="00744A1C" w:rsidRDefault="00744A1C" w:rsidP="00744A1C">
      <w:pPr>
        <w:pStyle w:val="libNormal"/>
        <w:rPr>
          <w:lang w:bidi="fa-IR"/>
        </w:rPr>
      </w:pPr>
      <w:r>
        <w:rPr>
          <w:rtl/>
          <w:lang w:bidi="fa-IR"/>
        </w:rPr>
        <w:t>8094 / 1. عَلِيُّ بْنُ إِبْرَاهِيمَ ، عَنْ أَبِيهِ ، عَنِ ابْنِ أَبِي عُمَيْرٍ ، عَنْ عُمَرَ ب</w:t>
      </w:r>
      <w:r w:rsidR="00675E83">
        <w:rPr>
          <w:rtl/>
          <w:lang w:bidi="fa-IR"/>
        </w:rPr>
        <w:t>ْنِ أُذَيْنَةَ ، عَنْ زُرَارَةَ:</w:t>
      </w:r>
    </w:p>
    <w:p w:rsidR="00144FA6" w:rsidRDefault="00744A1C" w:rsidP="00744A1C">
      <w:pPr>
        <w:pStyle w:val="libNormal"/>
        <w:rPr>
          <w:rtl/>
          <w:lang w:bidi="fa-IR"/>
        </w:rPr>
      </w:pPr>
      <w:r>
        <w:rPr>
          <w:rtl/>
          <w:lang w:bidi="fa-IR"/>
        </w:rPr>
        <w:t xml:space="preserve">عَنْ أَبِي جَعْفَرٍ </w:t>
      </w:r>
      <w:r w:rsidRPr="00D10E3C">
        <w:rPr>
          <w:rStyle w:val="libFootnotenumChar"/>
          <w:rtl/>
        </w:rPr>
        <w:t>(6)</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قَالَ : « إِنَّمَا أُمِرَ النَّاسُ أَنْ يَأْتُوا هذِهِ الْأَحْجَارَ ، فَيَطُوفُوا بِهَا ، ثُمَّ يَأْتُونَا ، فَيُخْبِرُونَا بِوَلَايَتِهِمْ ، وَيَعْرِضُوا عَلَيْنَا نَصْرَهُمْ </w:t>
      </w:r>
      <w:r w:rsidRPr="00D10E3C">
        <w:rPr>
          <w:rStyle w:val="libFootnotenumChar"/>
          <w:rtl/>
        </w:rPr>
        <w:t>(7)</w:t>
      </w:r>
      <w:r>
        <w:rPr>
          <w:rtl/>
          <w:lang w:bidi="fa-IR"/>
        </w:rPr>
        <w:t xml:space="preserve"> ». </w:t>
      </w:r>
      <w:r w:rsidRPr="00D10E3C">
        <w:rPr>
          <w:rStyle w:val="libFootnotenumChar"/>
          <w:rtl/>
        </w:rPr>
        <w:t>(8)</w:t>
      </w:r>
    </w:p>
    <w:p w:rsidR="00744A1C" w:rsidRDefault="00744A1C" w:rsidP="00744A1C">
      <w:pPr>
        <w:pStyle w:val="libNormal"/>
        <w:rPr>
          <w:lang w:bidi="fa-IR"/>
        </w:rPr>
      </w:pPr>
      <w:r>
        <w:rPr>
          <w:rtl/>
          <w:lang w:bidi="fa-IR"/>
        </w:rPr>
        <w:t xml:space="preserve">8095 / 2. مُحَمَّدُ بْنُ يَحْيى ، عَنْ مُحَمَّدِ بْنِ الْحُسَيْنِ ، عَنْ مُحَمَّدِ بْنِ سِنَانٍ </w:t>
      </w:r>
      <w:r w:rsidRPr="00D10E3C">
        <w:rPr>
          <w:rStyle w:val="libFootnotenumChar"/>
          <w:rtl/>
        </w:rPr>
        <w:t>(9)</w:t>
      </w:r>
      <w:r>
        <w:rPr>
          <w:rtl/>
          <w:lang w:bidi="fa-IR"/>
        </w:rPr>
        <w:t xml:space="preserve">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7B299E">
        <w:rPr>
          <w:rStyle w:val="libFootnoteBoldChar"/>
          <w:rtl/>
        </w:rPr>
        <w:t>كامل الزيارات</w:t>
      </w:r>
      <w:r w:rsidR="00744A1C">
        <w:rPr>
          <w:rtl/>
          <w:lang w:bidi="fa-IR"/>
        </w:rPr>
        <w:t xml:space="preserve"> : « إلى الحساب » بدل « ولم يحاسب ».</w:t>
      </w:r>
    </w:p>
    <w:tbl>
      <w:tblPr>
        <w:tblStyle w:val="TableGrid"/>
        <w:bidiVisual/>
        <w:tblW w:w="0" w:type="auto"/>
        <w:tblLook w:val="04A0" w:firstRow="1" w:lastRow="0" w:firstColumn="1" w:lastColumn="0" w:noHBand="0" w:noVBand="1"/>
      </w:tblPr>
      <w:tblGrid>
        <w:gridCol w:w="4006"/>
        <w:gridCol w:w="4006"/>
      </w:tblGrid>
      <w:tr w:rsidR="00CD685D" w:rsidTr="00CD685D">
        <w:tc>
          <w:tcPr>
            <w:tcW w:w="4006" w:type="dxa"/>
          </w:tcPr>
          <w:p w:rsidR="00CD685D" w:rsidRDefault="00CD685D" w:rsidP="00E378DD">
            <w:pPr>
              <w:pStyle w:val="libFootnote0"/>
              <w:rPr>
                <w:rtl/>
                <w:lang w:bidi="fa-IR"/>
              </w:rPr>
            </w:pPr>
            <w:r>
              <w:rPr>
                <w:rtl/>
                <w:lang w:bidi="fa-IR"/>
              </w:rPr>
              <w:t xml:space="preserve">(2). في </w:t>
            </w:r>
            <w:r w:rsidRPr="00CD685D">
              <w:rPr>
                <w:rtl/>
              </w:rPr>
              <w:t xml:space="preserve">الفقيه وكامل الزيارات : </w:t>
            </w:r>
            <w:r>
              <w:rPr>
                <w:rtl/>
                <w:lang w:bidi="fa-IR"/>
              </w:rPr>
              <w:t>- « من ».</w:t>
            </w:r>
          </w:p>
        </w:tc>
        <w:tc>
          <w:tcPr>
            <w:tcW w:w="4006" w:type="dxa"/>
          </w:tcPr>
          <w:p w:rsidR="00CD685D" w:rsidRDefault="00CD685D" w:rsidP="00E378DD">
            <w:pPr>
              <w:pStyle w:val="libFootnote0"/>
              <w:rPr>
                <w:rtl/>
                <w:lang w:bidi="fa-IR"/>
              </w:rPr>
            </w:pPr>
            <w:r>
              <w:rPr>
                <w:rtl/>
                <w:lang w:bidi="fa-IR"/>
              </w:rPr>
              <w:t xml:space="preserve">(3). في </w:t>
            </w:r>
            <w:r w:rsidRPr="00CD685D">
              <w:rPr>
                <w:rtl/>
              </w:rPr>
              <w:t>الفقيه وكامل الزيارات</w:t>
            </w:r>
            <w:r>
              <w:rPr>
                <w:rtl/>
                <w:lang w:bidi="fa-IR"/>
              </w:rPr>
              <w:t xml:space="preserve"> : « وحشر ».</w:t>
            </w:r>
          </w:p>
        </w:tc>
      </w:tr>
    </w:tbl>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4 ، ح 5 ، معلّقاً عن الكليني ، إلى قوله : « وجبت له الجنّة » ؛ </w:t>
      </w:r>
      <w:r w:rsidR="00744A1C" w:rsidRPr="007B299E">
        <w:rPr>
          <w:rStyle w:val="libFootnoteBoldChar"/>
          <w:rtl/>
        </w:rPr>
        <w:t>كامل الزيارات</w:t>
      </w:r>
      <w:r w:rsidR="00744A1C">
        <w:rPr>
          <w:rtl/>
          <w:lang w:bidi="fa-IR"/>
        </w:rPr>
        <w:t xml:space="preserve"> ، ص 13 ، الباب 2 ، ح 9 ، عن محمّد بن الحسن بن أحمد بن الوليد ومحمّد بن يعقوب ، عن عليّ بن محمّد بن بندار ؛ كتاب المزار ، ص 170 ، ح 4 ، بسنده عن محمّد بن يعقوب. </w:t>
      </w:r>
      <w:r w:rsidR="00744A1C" w:rsidRPr="003A7143">
        <w:rPr>
          <w:rStyle w:val="libFootnoteBoldChar"/>
          <w:rtl/>
        </w:rPr>
        <w:t>علل الشرائع</w:t>
      </w:r>
      <w:r w:rsidR="00744A1C">
        <w:rPr>
          <w:rtl/>
          <w:lang w:bidi="fa-IR"/>
        </w:rPr>
        <w:t xml:space="preserve"> ، ص 460 ، ح 7 ، بسنده عن محمّد بن سليمان الديلمي ، وفي الأخيرين إلى قوله : « وجبت له الجنّة ». </w:t>
      </w:r>
      <w:r w:rsidR="00744A1C" w:rsidRPr="00C24F9C">
        <w:rPr>
          <w:rStyle w:val="libFootnoteBoldChar"/>
          <w:rtl/>
        </w:rPr>
        <w:t>الفقيه</w:t>
      </w:r>
      <w:r w:rsidR="00744A1C">
        <w:rPr>
          <w:rtl/>
          <w:lang w:bidi="fa-IR"/>
        </w:rPr>
        <w:t xml:space="preserve"> ، ج 2 ، ص 565 ، ح 3157 ، معلّقاً عن محمّد بن سليمان الديلمي. المقنعة ، ص 457 ، مرسلاً عن النبيّ </w:t>
      </w:r>
      <w:r w:rsidR="00F90866" w:rsidRPr="00F90866">
        <w:rPr>
          <w:rStyle w:val="libFootnoteAlaemChar"/>
          <w:rtl/>
        </w:rPr>
        <w:t>صلى‌الله‌عليه‌وآله</w:t>
      </w:r>
      <w:r w:rsidR="00744A1C">
        <w:rPr>
          <w:rtl/>
          <w:lang w:bidi="fa-IR"/>
        </w:rPr>
        <w:t xml:space="preserve"> ، إلى قوله : « وجبت له شفاعتي » مع اختلاف يسير. راجع : </w:t>
      </w:r>
      <w:r w:rsidR="00744A1C" w:rsidRPr="00C24F9C">
        <w:rPr>
          <w:rStyle w:val="libFootnoteBoldChar"/>
          <w:rtl/>
        </w:rPr>
        <w:t>الفقيه</w:t>
      </w:r>
      <w:r w:rsidR="00744A1C">
        <w:rPr>
          <w:rtl/>
          <w:lang w:bidi="fa-IR"/>
        </w:rPr>
        <w:t xml:space="preserve"> ، ج 1 ، ص 139 ، ح 377 ؛ وج 2 ، ص 229 ، ح 2270 ؛ و</w:t>
      </w:r>
      <w:r w:rsidR="00744A1C" w:rsidRPr="003A7143">
        <w:rPr>
          <w:rStyle w:val="libFootnoteBoldChar"/>
          <w:rtl/>
        </w:rPr>
        <w:t>المحاسن</w:t>
      </w:r>
      <w:r w:rsidR="00744A1C">
        <w:rPr>
          <w:rtl/>
          <w:lang w:bidi="fa-IR"/>
        </w:rPr>
        <w:t xml:space="preserve"> ، ص 70 ، كتاب ثواب الأعمال ، ح 140 ؛ ورجال الشيخ الطوسي ، ص 50 </w:t>
      </w:r>
      <w:r w:rsidR="00571262">
        <w:rPr>
          <w:rFonts w:hint="cs"/>
          <w:rtl/>
          <w:lang w:bidi="fa-IR"/>
        </w:rPr>
        <w:t>.</w:t>
      </w:r>
      <w:r w:rsidR="00744A1C" w:rsidRPr="00C24F9C">
        <w:rPr>
          <w:rStyle w:val="libFootnoteBoldChar"/>
          <w:rtl/>
        </w:rPr>
        <w:t>الوافي</w:t>
      </w:r>
      <w:r w:rsidR="00744A1C">
        <w:rPr>
          <w:rtl/>
          <w:lang w:bidi="fa-IR"/>
        </w:rPr>
        <w:t xml:space="preserve"> ، ج 14 ، ص 1319 ، ح 14331 ؛ </w:t>
      </w:r>
      <w:r w:rsidR="00744A1C" w:rsidRPr="00C24F9C">
        <w:rPr>
          <w:rStyle w:val="libFootnoteBoldChar"/>
          <w:rtl/>
        </w:rPr>
        <w:t>الوسائل</w:t>
      </w:r>
      <w:r w:rsidR="00744A1C">
        <w:rPr>
          <w:rtl/>
          <w:lang w:bidi="fa-IR"/>
        </w:rPr>
        <w:t xml:space="preserve"> ، ج 14 ، ص 333 ، ح 19337.</w:t>
      </w:r>
    </w:p>
    <w:p w:rsidR="00744A1C" w:rsidRDefault="00E378DD" w:rsidP="00571262">
      <w:pPr>
        <w:pStyle w:val="libFootnote0"/>
        <w:rPr>
          <w:lang w:bidi="fa-IR"/>
        </w:rPr>
      </w:pPr>
      <w:r>
        <w:rPr>
          <w:rtl/>
          <w:lang w:bidi="fa-IR"/>
        </w:rPr>
        <w:t>(5).</w:t>
      </w:r>
      <w:r w:rsidR="00744A1C">
        <w:rPr>
          <w:rtl/>
          <w:lang w:bidi="fa-IR"/>
        </w:rPr>
        <w:t xml:space="preserve"> في « بث ، بح ، جد ، جن » : - « إتباع الحجّ بالزيارة ». وفي « بس » وحاشية « بث » : « باب لقاء الإمام ». وفي « بف » : « باب أنّ تمام الحجّ لقاء الإمام ».</w:t>
      </w:r>
      <w:r w:rsidR="00571262">
        <w:rPr>
          <w:rFonts w:hint="cs"/>
          <w:rtl/>
          <w:lang w:bidi="fa-IR"/>
        </w:rPr>
        <w:t xml:space="preserve">   </w:t>
      </w:r>
      <w:r>
        <w:rPr>
          <w:rtl/>
          <w:lang w:bidi="fa-IR"/>
        </w:rPr>
        <w:t>(6).</w:t>
      </w:r>
      <w:r w:rsidR="00744A1C">
        <w:rPr>
          <w:rtl/>
          <w:lang w:bidi="fa-IR"/>
        </w:rPr>
        <w:t xml:space="preserve"> في حاشية « بث » : « أبي عبد الله ».</w:t>
      </w:r>
    </w:p>
    <w:p w:rsidR="00744A1C" w:rsidRDefault="00E378DD" w:rsidP="00E378DD">
      <w:pPr>
        <w:pStyle w:val="libFootnote0"/>
        <w:rPr>
          <w:lang w:bidi="fa-IR"/>
        </w:rPr>
      </w:pPr>
      <w:r>
        <w:rPr>
          <w:rtl/>
          <w:lang w:bidi="fa-IR"/>
        </w:rPr>
        <w:t>(7).</w:t>
      </w:r>
      <w:r w:rsidR="00744A1C">
        <w:rPr>
          <w:rtl/>
          <w:lang w:bidi="fa-IR"/>
        </w:rPr>
        <w:t xml:space="preserve"> في « بخ ، بف » : « نصرتهم ».</w:t>
      </w:r>
    </w:p>
    <w:p w:rsidR="00744A1C" w:rsidRDefault="00E378DD" w:rsidP="00E378DD">
      <w:pPr>
        <w:pStyle w:val="libFootnote0"/>
        <w:rPr>
          <w:lang w:bidi="fa-IR"/>
        </w:rPr>
      </w:pPr>
      <w:r>
        <w:rPr>
          <w:rtl/>
          <w:lang w:bidi="fa-IR"/>
        </w:rPr>
        <w:t>(8).</w:t>
      </w:r>
      <w:r w:rsidR="00744A1C">
        <w:rPr>
          <w:rtl/>
          <w:lang w:bidi="fa-IR"/>
        </w:rPr>
        <w:t xml:space="preserve"> </w:t>
      </w:r>
      <w:r w:rsidR="00744A1C" w:rsidRPr="003A7143">
        <w:rPr>
          <w:rStyle w:val="libFootnoteBoldChar"/>
          <w:rtl/>
        </w:rPr>
        <w:t>علل الشرائع</w:t>
      </w:r>
      <w:r w:rsidR="00744A1C">
        <w:rPr>
          <w:rtl/>
          <w:lang w:bidi="fa-IR"/>
        </w:rPr>
        <w:t xml:space="preserve"> ، ص 459 ، ح 4 ؛ و</w:t>
      </w:r>
      <w:r w:rsidR="00744A1C" w:rsidRPr="00877682">
        <w:rPr>
          <w:rStyle w:val="libFootnoteBoldChar"/>
          <w:rtl/>
        </w:rPr>
        <w:t>عيون الأخبار</w:t>
      </w:r>
      <w:r w:rsidR="00744A1C">
        <w:rPr>
          <w:rtl/>
          <w:lang w:bidi="fa-IR"/>
        </w:rPr>
        <w:t xml:space="preserve"> ، ج 2 ، ص 262 ، ح 30 ، بسندهما عن عليّ بن إبراهيم ، مع اختلاف يسير. </w:t>
      </w:r>
      <w:r w:rsidR="00744A1C" w:rsidRPr="00C24F9C">
        <w:rPr>
          <w:rStyle w:val="libFootnoteBoldChar"/>
          <w:rtl/>
        </w:rPr>
        <w:t>الفقيه</w:t>
      </w:r>
      <w:r w:rsidR="00744A1C">
        <w:rPr>
          <w:rtl/>
          <w:lang w:bidi="fa-IR"/>
        </w:rPr>
        <w:t xml:space="preserve"> ، ج 2 ، ص 558 ، ح 3139 ، معلّقاً عن عمر بن ا</w:t>
      </w:r>
      <w:r w:rsidR="00725D86">
        <w:rPr>
          <w:rFonts w:hint="cs"/>
          <w:rtl/>
          <w:lang w:bidi="fa-IR"/>
        </w:rPr>
        <w:t>ُ</w:t>
      </w:r>
      <w:r w:rsidR="00744A1C">
        <w:rPr>
          <w:rtl/>
          <w:lang w:bidi="fa-IR"/>
        </w:rPr>
        <w:t xml:space="preserve">ذينة </w:t>
      </w:r>
      <w:r w:rsidR="00725D86">
        <w:rPr>
          <w:rFonts w:hint="cs"/>
          <w:rtl/>
          <w:lang w:bidi="fa-IR"/>
        </w:rPr>
        <w:t>.</w:t>
      </w:r>
      <w:r w:rsidR="00744A1C" w:rsidRPr="00C24F9C">
        <w:rPr>
          <w:rStyle w:val="libFootnoteBoldChar"/>
          <w:rtl/>
        </w:rPr>
        <w:t>الوافي</w:t>
      </w:r>
      <w:r w:rsidR="00744A1C">
        <w:rPr>
          <w:rtl/>
          <w:lang w:bidi="fa-IR"/>
        </w:rPr>
        <w:t xml:space="preserve"> ، ج 14 ، ص 1320 ، ح 14333 ؛ </w:t>
      </w:r>
      <w:r w:rsidR="00744A1C" w:rsidRPr="00C24F9C">
        <w:rPr>
          <w:rStyle w:val="libFootnoteBoldChar"/>
          <w:rtl/>
        </w:rPr>
        <w:t>الوسائل</w:t>
      </w:r>
      <w:r w:rsidR="00744A1C">
        <w:rPr>
          <w:rtl/>
          <w:lang w:bidi="fa-IR"/>
        </w:rPr>
        <w:t xml:space="preserve"> ، ج 14 ، ص 320 ، ذيل ح 19310.</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 - « عن محمّد بن سنان ». والظاهر ثبوته ؛ فقد روى محمّد بن الحسين عن محمّد بن سنان كتاب‌عمّار بن مروان. راجع : </w:t>
      </w:r>
      <w:r w:rsidR="00744A1C" w:rsidRPr="003A7143">
        <w:rPr>
          <w:rStyle w:val="libFootnoteBoldChar"/>
          <w:rtl/>
        </w:rPr>
        <w:t>الفهرست للطوسي</w:t>
      </w:r>
      <w:r w:rsidR="00744A1C">
        <w:rPr>
          <w:rtl/>
          <w:lang w:bidi="fa-IR"/>
        </w:rPr>
        <w:t xml:space="preserve"> ، ص 335 ، الرقم 526 ؛ </w:t>
      </w:r>
      <w:r w:rsidR="00744A1C" w:rsidRPr="003A7143">
        <w:rPr>
          <w:rStyle w:val="libFootnoteBoldChar"/>
          <w:rtl/>
        </w:rPr>
        <w:t>رجال النجاشي</w:t>
      </w:r>
      <w:r w:rsidR="00744A1C">
        <w:rPr>
          <w:rtl/>
          <w:lang w:bidi="fa-IR"/>
        </w:rPr>
        <w:t xml:space="preserve"> ، ص 291 ، الرقم 780.</w:t>
      </w:r>
    </w:p>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عَمَّارِ بْنِ مَرْوَانَ ، عَنْ جَابِرٍ :</w:t>
      </w:r>
    </w:p>
    <w:p w:rsidR="00144FA6" w:rsidRDefault="00744A1C" w:rsidP="00744A1C">
      <w:pPr>
        <w:pStyle w:val="libNormal"/>
        <w:rPr>
          <w:rtl/>
          <w:lang w:bidi="fa-IR"/>
        </w:rPr>
      </w:pPr>
      <w:r>
        <w:rPr>
          <w:rtl/>
          <w:lang w:bidi="fa-IR"/>
        </w:rPr>
        <w:t xml:space="preserve">عَنْ أَبِي جَعْفَرٍ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قَالَ : « تَمَامُ الْحَجِّ لِقَاءُ الْإِمَامِ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8096 / 3. الْحُسَيْنُ بْنُ مُحَمَّدٍ ، عَنْ مُعَلَّى بْنِ مُحَمَّدٍ ، عَنْ عَلِيِّ بْنِ أَسْبَاطٍ ، عَنْ يَحْيَى بْنِ يَسَارٍ </w:t>
      </w:r>
      <w:r w:rsidRPr="00D10E3C">
        <w:rPr>
          <w:rStyle w:val="libFootnotenumChar"/>
          <w:rtl/>
        </w:rPr>
        <w:t>(4)</w:t>
      </w:r>
      <w:r>
        <w:rPr>
          <w:rtl/>
          <w:lang w:bidi="fa-IR"/>
        </w:rPr>
        <w:t xml:space="preserve"> ، قَالَ :</w:t>
      </w:r>
    </w:p>
    <w:p w:rsidR="00144FA6" w:rsidRDefault="00744A1C" w:rsidP="00744A1C">
      <w:pPr>
        <w:pStyle w:val="libNormal"/>
        <w:rPr>
          <w:rtl/>
          <w:lang w:bidi="fa-IR"/>
        </w:rPr>
      </w:pPr>
      <w:r>
        <w:rPr>
          <w:rtl/>
          <w:lang w:bidi="fa-IR"/>
        </w:rPr>
        <w:t xml:space="preserve">حَجَجْنَا ، فَمَرَرْنَا بِأَبِي عَبْدِ اللهِ </w:t>
      </w:r>
      <w:r w:rsidR="0061079A" w:rsidRPr="0061079A">
        <w:rPr>
          <w:rStyle w:val="libAlaemChar"/>
          <w:rtl/>
        </w:rPr>
        <w:t>عليه‌السلام</w:t>
      </w:r>
      <w:r w:rsidR="00D10E3C">
        <w:rPr>
          <w:rtl/>
          <w:lang w:bidi="fa-IR"/>
        </w:rPr>
        <w:t xml:space="preserve"> </w:t>
      </w:r>
      <w:r>
        <w:rPr>
          <w:rtl/>
          <w:lang w:bidi="fa-IR"/>
        </w:rPr>
        <w:t xml:space="preserve">، فَقَالَ : « حَاجُّ بَيْتِ اللهِ ، وَزُوَّارُ قَبْرِ نَبِيِّهِ </w:t>
      </w:r>
      <w:r w:rsidR="0017097C" w:rsidRPr="0017097C">
        <w:rPr>
          <w:rStyle w:val="libAlaemChar"/>
          <w:rtl/>
        </w:rPr>
        <w:t>صلى‌الله‌عليه‌وآله</w:t>
      </w:r>
      <w:r w:rsidR="00D10E3C">
        <w:rPr>
          <w:rtl/>
          <w:lang w:bidi="fa-IR"/>
        </w:rPr>
        <w:t xml:space="preserve"> </w:t>
      </w:r>
      <w:r>
        <w:rPr>
          <w:rtl/>
          <w:lang w:bidi="fa-IR"/>
        </w:rPr>
        <w:t xml:space="preserve"> ، وَشِيعَةُ آلِ مُحَمَّدٍ ؛ هَنِيئاً لَكُمْ ». </w:t>
      </w:r>
      <w:r w:rsidRPr="00D10E3C">
        <w:rPr>
          <w:rStyle w:val="libFootnotenumChar"/>
          <w:rtl/>
        </w:rPr>
        <w:t>(5)</w:t>
      </w:r>
    </w:p>
    <w:p w:rsidR="00144FA6" w:rsidRDefault="00744A1C" w:rsidP="00744A1C">
      <w:pPr>
        <w:pStyle w:val="libNormal"/>
        <w:rPr>
          <w:rtl/>
          <w:lang w:bidi="fa-IR"/>
        </w:rPr>
      </w:pPr>
      <w:r>
        <w:rPr>
          <w:rtl/>
          <w:lang w:bidi="fa-IR"/>
        </w:rPr>
        <w:t>8097 / 4. عِدَّةٌ مِنْ أَصْحَابِنَا ، عَنْ سَهْلِ بْنِ زِيَادٍ ، عَنْ عَلِيِّ بْنِ سُلَيْمَانَ ، عَنْ زِيَادٍ الْقَنْدِيِّ ، عَنْ عَبْدِ اللهِ بْنِ سِنَانٍ ، عَنْ ذَرِيحٍ الْمُحَارِبِيِّ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 اللهَ أَمَرَنِي فِي كِتَابِهِ بِأَمْرٍ ، فَأُحِبُّ </w:t>
      </w:r>
      <w:r w:rsidRPr="00D10E3C">
        <w:rPr>
          <w:rStyle w:val="libFootnotenumChar"/>
          <w:rtl/>
        </w:rPr>
        <w:t>(6)</w:t>
      </w:r>
      <w:r>
        <w:rPr>
          <w:rtl/>
          <w:lang w:bidi="fa-IR"/>
        </w:rPr>
        <w:t xml:space="preserve"> أَنْ </w:t>
      </w:r>
      <w:r w:rsidRPr="00D10E3C">
        <w:rPr>
          <w:rStyle w:val="libFootnotenumChar"/>
          <w:rtl/>
        </w:rPr>
        <w:t>(7)</w:t>
      </w:r>
      <w:r>
        <w:rPr>
          <w:rtl/>
          <w:lang w:bidi="fa-IR"/>
        </w:rPr>
        <w:t xml:space="preserve"> أَعْمَلَهُ </w:t>
      </w:r>
      <w:r w:rsidRPr="00D10E3C">
        <w:rPr>
          <w:rStyle w:val="libFootnotenumChar"/>
          <w:rtl/>
        </w:rPr>
        <w:t>(8)</w:t>
      </w:r>
    </w:p>
    <w:p w:rsidR="00744A1C" w:rsidRDefault="00744A1C" w:rsidP="00744A1C">
      <w:pPr>
        <w:pStyle w:val="libNormal"/>
        <w:rPr>
          <w:lang w:bidi="fa-IR"/>
        </w:rPr>
      </w:pPr>
      <w:r>
        <w:rPr>
          <w:rtl/>
          <w:lang w:bidi="fa-IR"/>
        </w:rPr>
        <w:t>قَالَ : « وَمَا ذَاكَ؟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 « أبي عبد الله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18 ، ص 258 : « ظاهره لقاؤه </w:t>
      </w:r>
      <w:r w:rsidR="0061079A" w:rsidRPr="0061079A">
        <w:rPr>
          <w:rStyle w:val="libFootnoteAlaemChar"/>
          <w:rtl/>
        </w:rPr>
        <w:t>عليه‌السلام</w:t>
      </w:r>
      <w:r w:rsidR="00D10E3C">
        <w:rPr>
          <w:rtl/>
          <w:lang w:bidi="fa-IR"/>
        </w:rPr>
        <w:t xml:space="preserve"> </w:t>
      </w:r>
      <w:r w:rsidR="00744A1C">
        <w:rPr>
          <w:rtl/>
          <w:lang w:bidi="fa-IR"/>
        </w:rPr>
        <w:t xml:space="preserve">حيّاً ، ويحتمل شموله للزيارة بعد الموت أيضاً ». وفي هامش المطبوع : « وذلك لأنّ إبراهيم </w:t>
      </w:r>
      <w:r w:rsidR="0061079A" w:rsidRPr="0061079A">
        <w:rPr>
          <w:rStyle w:val="libFootnoteAlaemChar"/>
          <w:rtl/>
        </w:rPr>
        <w:t>عليه‌السلام</w:t>
      </w:r>
      <w:r w:rsidR="00D10E3C">
        <w:rPr>
          <w:rtl/>
          <w:lang w:bidi="fa-IR"/>
        </w:rPr>
        <w:t xml:space="preserve"> </w:t>
      </w:r>
      <w:r w:rsidR="00744A1C">
        <w:rPr>
          <w:rtl/>
          <w:lang w:bidi="fa-IR"/>
        </w:rPr>
        <w:t xml:space="preserve">حين بني الكعبة وجعل لذرّيّته عندها مسكناً ، قال : </w:t>
      </w:r>
      <w:r w:rsidR="00744A1C" w:rsidRPr="006334E0">
        <w:rPr>
          <w:rStyle w:val="libFootnoteAlaemChar"/>
          <w:rtl/>
        </w:rPr>
        <w:t>(</w:t>
      </w:r>
      <w:r w:rsidR="00744A1C" w:rsidRPr="006334E0">
        <w:rPr>
          <w:rStyle w:val="libFootnoteAieChar"/>
          <w:rtl/>
        </w:rPr>
        <w:t xml:space="preserve"> رَبَّنا إِنِّي أَسْكَنْتُ مِنْ ذُرِّيَّتِي بِوادٍ غَيْرِ ذِي زَرْعٍ عِنْدَ بَيْتِكَ الْمُحَرَّمِ رَبَّنا لِيُقِيمُوا الصَّلاةَ فَاجْعَلْ أَفْئِدَةً مِنَ النّاسِ تَهْوِي إِلَيْهِمْ </w:t>
      </w:r>
      <w:r w:rsidR="00744A1C" w:rsidRPr="006334E0">
        <w:rPr>
          <w:rStyle w:val="libFootnoteAlaemChar"/>
          <w:rtl/>
        </w:rPr>
        <w:t>)</w:t>
      </w:r>
      <w:r w:rsidR="00744A1C">
        <w:rPr>
          <w:rtl/>
          <w:lang w:bidi="fa-IR"/>
        </w:rPr>
        <w:t xml:space="preserve"> [ إبراهيم </w:t>
      </w:r>
      <w:r w:rsidR="007C32A9">
        <w:rPr>
          <w:rtl/>
          <w:lang w:bidi="fa-IR"/>
        </w:rPr>
        <w:t>(14)</w:t>
      </w:r>
      <w:r w:rsidR="00744A1C">
        <w:rPr>
          <w:rtl/>
          <w:lang w:bidi="fa-IR"/>
        </w:rPr>
        <w:t xml:space="preserve"> : 37 ] فاستجاب دعاؤه ، وأمر الناس بالإتيان إلى الحجّ من كلّ فجّ عميق لتحبّبوا إلى ذرّيّته ».</w:t>
      </w:r>
    </w:p>
    <w:p w:rsidR="00744A1C" w:rsidRDefault="00E378DD" w:rsidP="00E378DD">
      <w:pPr>
        <w:pStyle w:val="libFootnote0"/>
        <w:rPr>
          <w:lang w:bidi="fa-IR"/>
        </w:rPr>
      </w:pPr>
      <w:r>
        <w:rPr>
          <w:rtl/>
          <w:lang w:bidi="fa-IR"/>
        </w:rPr>
        <w:t>(3).</w:t>
      </w:r>
      <w:r w:rsidR="00744A1C">
        <w:rPr>
          <w:rtl/>
          <w:lang w:bidi="fa-IR"/>
        </w:rPr>
        <w:t xml:space="preserve"> </w:t>
      </w:r>
      <w:r w:rsidR="00744A1C" w:rsidRPr="003A7143">
        <w:rPr>
          <w:rStyle w:val="libFootnoteBoldChar"/>
          <w:rtl/>
        </w:rPr>
        <w:t>علل الشرائع</w:t>
      </w:r>
      <w:r w:rsidR="00744A1C">
        <w:rPr>
          <w:rtl/>
          <w:lang w:bidi="fa-IR"/>
        </w:rPr>
        <w:t xml:space="preserve"> ، ص 459 ، ح 2 ؛ و</w:t>
      </w:r>
      <w:r w:rsidR="00744A1C" w:rsidRPr="00877682">
        <w:rPr>
          <w:rStyle w:val="libFootnoteBoldChar"/>
          <w:rtl/>
        </w:rPr>
        <w:t>عيون الأخبار</w:t>
      </w:r>
      <w:r w:rsidR="00744A1C">
        <w:rPr>
          <w:rtl/>
          <w:lang w:bidi="fa-IR"/>
        </w:rPr>
        <w:t xml:space="preserve"> ، ج 2 ، ص 262 ، ح 29 ، بسندهما عن محمّد بن يحيى العطّار ، عن محمّد بن الحسين بن أبي الخطّاب ، عن محمّد بن سنان. </w:t>
      </w:r>
      <w:r w:rsidR="00744A1C" w:rsidRPr="00C24F9C">
        <w:rPr>
          <w:rStyle w:val="libFootnoteBoldChar"/>
          <w:rtl/>
        </w:rPr>
        <w:t>الفقيه</w:t>
      </w:r>
      <w:r w:rsidR="00744A1C">
        <w:rPr>
          <w:rtl/>
          <w:lang w:bidi="fa-IR"/>
        </w:rPr>
        <w:t xml:space="preserve"> ، ج 2 ، ص 578 ، ح 3162 ، معلّقاً عن جابر. وفي </w:t>
      </w:r>
      <w:r w:rsidR="00744A1C" w:rsidRPr="00877682">
        <w:rPr>
          <w:rStyle w:val="libFootnoteBoldChar"/>
          <w:rtl/>
        </w:rPr>
        <w:t>عيون الأخبار</w:t>
      </w:r>
      <w:r w:rsidR="00744A1C">
        <w:rPr>
          <w:rtl/>
          <w:lang w:bidi="fa-IR"/>
        </w:rPr>
        <w:t xml:space="preserve"> ، ج 2 ، ص 262 ، ح 28 ؛ و</w:t>
      </w:r>
      <w:r w:rsidR="00744A1C" w:rsidRPr="003A7143">
        <w:rPr>
          <w:rStyle w:val="libFootnoteBoldChar"/>
          <w:rtl/>
        </w:rPr>
        <w:t>علل الشرائع</w:t>
      </w:r>
      <w:r w:rsidR="00744A1C">
        <w:rPr>
          <w:rtl/>
          <w:lang w:bidi="fa-IR"/>
        </w:rPr>
        <w:t xml:space="preserve"> ، ص 459 ، ح 1 ، بسند آخر عن جعفر بن محمّد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7C32A9">
        <w:rPr>
          <w:rFonts w:hint="cs"/>
          <w:rtl/>
          <w:lang w:bidi="fa-IR"/>
        </w:rPr>
        <w:t>.</w:t>
      </w:r>
      <w:r w:rsidR="00744A1C" w:rsidRPr="00C24F9C">
        <w:rPr>
          <w:rStyle w:val="libFootnoteBoldChar"/>
          <w:rtl/>
        </w:rPr>
        <w:t>الوافي</w:t>
      </w:r>
      <w:r w:rsidR="00744A1C">
        <w:rPr>
          <w:rtl/>
          <w:lang w:bidi="fa-IR"/>
        </w:rPr>
        <w:t xml:space="preserve"> ، ج 2 ، ص 116 ، ح 577 ؛ وج 14 ، ص 1321 ، ح 14334 ؛ </w:t>
      </w:r>
      <w:r w:rsidR="00744A1C" w:rsidRPr="00C24F9C">
        <w:rPr>
          <w:rStyle w:val="libFootnoteBoldChar"/>
          <w:rtl/>
        </w:rPr>
        <w:t>الوسائل</w:t>
      </w:r>
      <w:r w:rsidR="00744A1C">
        <w:rPr>
          <w:rtl/>
          <w:lang w:bidi="fa-IR"/>
        </w:rPr>
        <w:t xml:space="preserve"> ، ج 14 ، ص 325 ، ح 19321.</w:t>
      </w:r>
    </w:p>
    <w:p w:rsidR="00744A1C" w:rsidRDefault="00E378DD" w:rsidP="00E378DD">
      <w:pPr>
        <w:pStyle w:val="libFootnote0"/>
        <w:rPr>
          <w:lang w:bidi="fa-IR"/>
        </w:rPr>
      </w:pPr>
      <w:r>
        <w:rPr>
          <w:rtl/>
          <w:lang w:bidi="fa-IR"/>
        </w:rPr>
        <w:t>(4).</w:t>
      </w:r>
      <w:r w:rsidR="00744A1C">
        <w:rPr>
          <w:rtl/>
          <w:lang w:bidi="fa-IR"/>
        </w:rPr>
        <w:t xml:space="preserve"> في « بث ، جد » : « بشار ». والظاهر أنّ الصواب هو « بشير » ؛ فقد روى عليّ بن أسباط عن يحيى بن بشير [ النبّال ] في </w:t>
      </w:r>
      <w:r w:rsidR="00744A1C" w:rsidRPr="0061079A">
        <w:rPr>
          <w:rStyle w:val="libFootnoteBoldChar"/>
          <w:rtl/>
        </w:rPr>
        <w:t>الكافي</w:t>
      </w:r>
      <w:r w:rsidR="00744A1C">
        <w:rPr>
          <w:rtl/>
          <w:lang w:bidi="fa-IR"/>
        </w:rPr>
        <w:t xml:space="preserve"> ، ح 2499 و 11916. ويحيى هذا هو المذكور في </w:t>
      </w:r>
      <w:r w:rsidR="00744A1C" w:rsidRPr="0061079A">
        <w:rPr>
          <w:rStyle w:val="libFootnoteBoldChar"/>
          <w:rtl/>
        </w:rPr>
        <w:t>رجال الطوسي</w:t>
      </w:r>
      <w:r w:rsidR="00744A1C">
        <w:rPr>
          <w:rtl/>
          <w:lang w:bidi="fa-IR"/>
        </w:rPr>
        <w:t xml:space="preserve"> ، ص 322 ، الرقم 4814.</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14 ، ص 1323 ، ح 14339 ؛ </w:t>
      </w:r>
      <w:r w:rsidR="00744A1C" w:rsidRPr="00C24F9C">
        <w:rPr>
          <w:rStyle w:val="libFootnoteBoldChar"/>
          <w:rtl/>
        </w:rPr>
        <w:t>الوسائل</w:t>
      </w:r>
      <w:r w:rsidR="00744A1C">
        <w:rPr>
          <w:rtl/>
          <w:lang w:bidi="fa-IR"/>
        </w:rPr>
        <w:t xml:space="preserve"> ، ج 14 ، ص 334 ، ح 19338.</w:t>
      </w:r>
    </w:p>
    <w:tbl>
      <w:tblPr>
        <w:tblStyle w:val="TableGrid"/>
        <w:bidiVisual/>
        <w:tblW w:w="0" w:type="auto"/>
        <w:tblLook w:val="04A0" w:firstRow="1" w:lastRow="0" w:firstColumn="1" w:lastColumn="0" w:noHBand="0" w:noVBand="1"/>
      </w:tblPr>
      <w:tblGrid>
        <w:gridCol w:w="4006"/>
        <w:gridCol w:w="4006"/>
      </w:tblGrid>
      <w:tr w:rsidR="00FF1931" w:rsidTr="00FF1931">
        <w:tc>
          <w:tcPr>
            <w:tcW w:w="4006" w:type="dxa"/>
          </w:tcPr>
          <w:p w:rsidR="00FF1931" w:rsidRDefault="00FF1931" w:rsidP="00E378DD">
            <w:pPr>
              <w:pStyle w:val="libFootnote0"/>
              <w:rPr>
                <w:rtl/>
                <w:lang w:bidi="fa-IR"/>
              </w:rPr>
            </w:pPr>
            <w:r>
              <w:rPr>
                <w:rtl/>
                <w:lang w:bidi="fa-IR"/>
              </w:rPr>
              <w:t>(6). في « بس » : « فأحببت ».</w:t>
            </w:r>
          </w:p>
        </w:tc>
        <w:tc>
          <w:tcPr>
            <w:tcW w:w="4006" w:type="dxa"/>
          </w:tcPr>
          <w:p w:rsidR="00FF1931" w:rsidRDefault="00FF1931" w:rsidP="00E378DD">
            <w:pPr>
              <w:pStyle w:val="libFootnote0"/>
              <w:rPr>
                <w:rtl/>
                <w:lang w:bidi="fa-IR"/>
              </w:rPr>
            </w:pPr>
            <w:r>
              <w:rPr>
                <w:rtl/>
                <w:lang w:bidi="fa-IR"/>
              </w:rPr>
              <w:t>(7). في « جن » : + « له ».</w:t>
            </w:r>
          </w:p>
        </w:tc>
      </w:tr>
    </w:tbl>
    <w:p w:rsidR="00744A1C" w:rsidRDefault="00E378DD" w:rsidP="00E378DD">
      <w:pPr>
        <w:pStyle w:val="libFootnote0"/>
        <w:rPr>
          <w:lang w:bidi="fa-IR"/>
        </w:rPr>
      </w:pPr>
      <w:r>
        <w:rPr>
          <w:rtl/>
          <w:lang w:bidi="fa-IR"/>
        </w:rPr>
        <w:t>(8).</w:t>
      </w:r>
      <w:r w:rsidR="00744A1C">
        <w:rPr>
          <w:rtl/>
          <w:lang w:bidi="fa-IR"/>
        </w:rPr>
        <w:t xml:space="preserve"> في « ى ، بح ، بخ ، بف ، جد » وحاشية « جن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 أن أعلمه ». وفي « بس » : « أن أحمله ».</w:t>
      </w:r>
    </w:p>
    <w:p w:rsidR="00F61482" w:rsidRDefault="00F61482" w:rsidP="00F61482">
      <w:pPr>
        <w:pStyle w:val="libNormal"/>
        <w:rPr>
          <w:rtl/>
          <w:lang w:bidi="fa-IR"/>
        </w:rPr>
      </w:pPr>
      <w:r>
        <w:rPr>
          <w:rtl/>
          <w:lang w:bidi="fa-IR"/>
        </w:rPr>
        <w:br w:type="page"/>
      </w:r>
    </w:p>
    <w:p w:rsidR="00744A1C" w:rsidRDefault="00744A1C" w:rsidP="00F61482">
      <w:pPr>
        <w:pStyle w:val="libNormal"/>
        <w:rPr>
          <w:lang w:bidi="fa-IR"/>
        </w:rPr>
      </w:pPr>
      <w:r>
        <w:rPr>
          <w:rtl/>
          <w:lang w:bidi="fa-IR"/>
        </w:rPr>
        <w:lastRenderedPageBreak/>
        <w:t xml:space="preserve">قُلْتُ </w:t>
      </w:r>
      <w:r w:rsidR="00D10E3C" w:rsidRPr="00F61482">
        <w:rPr>
          <w:rStyle w:val="libFootnotenumChar"/>
          <w:rtl/>
        </w:rPr>
        <w:t>(1)</w:t>
      </w:r>
      <w:r>
        <w:rPr>
          <w:rtl/>
          <w:lang w:bidi="fa-IR"/>
        </w:rPr>
        <w:t xml:space="preserve"> : قَوْلُ اللهِ عَزَّ وَجَلَّ : </w:t>
      </w:r>
      <w:r w:rsidRPr="00F61482">
        <w:rPr>
          <w:rStyle w:val="libAlaemChar"/>
          <w:rtl/>
        </w:rPr>
        <w:t>(</w:t>
      </w:r>
      <w:r w:rsidRPr="00F61482">
        <w:rPr>
          <w:rStyle w:val="libAieChar"/>
          <w:rtl/>
        </w:rPr>
        <w:t xml:space="preserve"> ثُمَّ لْيَقْضُوا تَفَثَهُمْ </w:t>
      </w:r>
      <w:r w:rsidR="00F61482" w:rsidRPr="00F61482">
        <w:rPr>
          <w:rStyle w:val="libFootnotenumChar"/>
          <w:rtl/>
        </w:rPr>
        <w:t>(2)</w:t>
      </w:r>
      <w:r w:rsidRPr="00F61482">
        <w:rPr>
          <w:rStyle w:val="libAieChar"/>
          <w:rtl/>
        </w:rPr>
        <w:t xml:space="preserve"> وَلْيُوفُوا نُذُورَهُمْ </w:t>
      </w:r>
      <w:r w:rsidRPr="00F61482">
        <w:rPr>
          <w:rStyle w:val="libAlaemChar"/>
          <w:rtl/>
        </w:rPr>
        <w:t>)</w:t>
      </w:r>
      <w:r>
        <w:rPr>
          <w:rtl/>
          <w:lang w:bidi="fa-IR"/>
        </w:rPr>
        <w:t xml:space="preserve"> </w:t>
      </w:r>
      <w:r w:rsidR="00E378DD" w:rsidRPr="00F61482">
        <w:rPr>
          <w:rStyle w:val="libFootnotenumChar"/>
          <w:rtl/>
        </w:rPr>
        <w:t>(3)</w:t>
      </w:r>
      <w:r w:rsidR="00E378DD">
        <w:rPr>
          <w:rtl/>
          <w:lang w:bidi="fa-IR"/>
        </w:rPr>
        <w:t>.</w:t>
      </w:r>
    </w:p>
    <w:p w:rsidR="00744A1C" w:rsidRDefault="00744A1C" w:rsidP="00F61482">
      <w:pPr>
        <w:pStyle w:val="libNormal"/>
        <w:rPr>
          <w:lang w:bidi="fa-IR"/>
        </w:rPr>
      </w:pPr>
      <w:r>
        <w:rPr>
          <w:rtl/>
          <w:lang w:bidi="fa-IR"/>
        </w:rPr>
        <w:t xml:space="preserve">قَالَ : « </w:t>
      </w:r>
      <w:r w:rsidRPr="009A7AF8">
        <w:rPr>
          <w:rStyle w:val="libAlaemChar"/>
          <w:rtl/>
        </w:rPr>
        <w:t>(</w:t>
      </w:r>
      <w:r w:rsidRPr="009A7AF8">
        <w:rPr>
          <w:rStyle w:val="libAieChar"/>
          <w:rtl/>
        </w:rPr>
        <w:t xml:space="preserve"> لْيَقْضُوا تَفَثَهُمْ </w:t>
      </w:r>
      <w:r w:rsidRPr="009A7AF8">
        <w:rPr>
          <w:rStyle w:val="libAlaemChar"/>
          <w:rtl/>
        </w:rPr>
        <w:t>)</w:t>
      </w:r>
      <w:r>
        <w:rPr>
          <w:rtl/>
          <w:lang w:bidi="fa-IR"/>
        </w:rPr>
        <w:t xml:space="preserve"> : لِقَاءُ الْإِمَامِ وَ </w:t>
      </w:r>
      <w:r w:rsidRPr="009A7AF8">
        <w:rPr>
          <w:rStyle w:val="libAlaemChar"/>
          <w:rtl/>
        </w:rPr>
        <w:t>(</w:t>
      </w:r>
      <w:r w:rsidRPr="009A7AF8">
        <w:rPr>
          <w:rStyle w:val="libAieChar"/>
          <w:rtl/>
        </w:rPr>
        <w:t xml:space="preserve"> لْيُوفُوا نُذُورَهُمْ </w:t>
      </w:r>
      <w:r w:rsidRPr="009A7AF8">
        <w:rPr>
          <w:rStyle w:val="libAlaemChar"/>
          <w:rtl/>
        </w:rPr>
        <w:t>)</w:t>
      </w:r>
      <w:r>
        <w:rPr>
          <w:rtl/>
          <w:lang w:bidi="fa-IR"/>
        </w:rPr>
        <w:t xml:space="preserve"> : تِلْكَ الْمَنَاسِكُ ».</w:t>
      </w:r>
    </w:p>
    <w:p w:rsidR="00744A1C" w:rsidRDefault="00744A1C" w:rsidP="00F61482">
      <w:pPr>
        <w:pStyle w:val="libNormal"/>
        <w:rPr>
          <w:lang w:bidi="fa-IR"/>
        </w:rPr>
      </w:pPr>
      <w:r>
        <w:rPr>
          <w:rtl/>
          <w:lang w:bidi="fa-IR"/>
        </w:rPr>
        <w:t xml:space="preserve">قَالَ عَبْدُ اللهِ بْنُ سِنَانٍ ، فَأَتَيْتُ أَبَا عَبْدِ اللهِ </w:t>
      </w:r>
      <w:r w:rsidR="0061079A" w:rsidRPr="0061079A">
        <w:rPr>
          <w:rStyle w:val="libFootnoteAlaemChar"/>
          <w:rtl/>
        </w:rPr>
        <w:t>عليه‌السلام</w:t>
      </w:r>
      <w:r w:rsidR="00D10E3C">
        <w:rPr>
          <w:rtl/>
          <w:lang w:bidi="fa-IR"/>
        </w:rPr>
        <w:t xml:space="preserve"> </w:t>
      </w:r>
      <w:r>
        <w:rPr>
          <w:rtl/>
          <w:lang w:bidi="fa-IR"/>
        </w:rPr>
        <w:t>، فَقُلْتُ : جُعِلْتُ فِدَا</w:t>
      </w:r>
      <w:r w:rsidR="009A7AF8">
        <w:rPr>
          <w:rtl/>
          <w:lang w:bidi="fa-IR"/>
        </w:rPr>
        <w:t>كَ ، قَوْلُ اللهِ عَزَّ وَجَلَّ:</w:t>
      </w:r>
      <w:r w:rsidRPr="009A7AF8">
        <w:rPr>
          <w:rStyle w:val="libAlaemChar"/>
          <w:rtl/>
        </w:rPr>
        <w:t>(</w:t>
      </w:r>
      <w:r w:rsidRPr="009A7AF8">
        <w:rPr>
          <w:rStyle w:val="libAieChar"/>
          <w:rtl/>
        </w:rPr>
        <w:t xml:space="preserve"> ثُمَّ لْيَقْضُوا تَفَثَهُمْ وَلْيُوفُوا نُذُورَهُمْ </w:t>
      </w:r>
      <w:r w:rsidRPr="009A7AF8">
        <w:rPr>
          <w:rStyle w:val="libAlaemChar"/>
          <w:rtl/>
        </w:rPr>
        <w:t>)</w:t>
      </w:r>
      <w:r>
        <w:rPr>
          <w:rtl/>
          <w:lang w:bidi="fa-IR"/>
        </w:rPr>
        <w:t>؟</w:t>
      </w:r>
    </w:p>
    <w:p w:rsidR="00744A1C" w:rsidRDefault="00744A1C" w:rsidP="00F61482">
      <w:pPr>
        <w:pStyle w:val="libNormal"/>
        <w:rPr>
          <w:lang w:bidi="fa-IR"/>
        </w:rPr>
      </w:pPr>
      <w:r>
        <w:rPr>
          <w:rtl/>
          <w:lang w:bidi="fa-IR"/>
        </w:rPr>
        <w:t>قَالَ : « أَخْذُ الشَّارِبِ ، وَقَصُّ الْأَظْفَارِ ، وَمَا أَشْبَهَ ذلِكَ ».</w:t>
      </w:r>
    </w:p>
    <w:p w:rsidR="00744A1C" w:rsidRDefault="00744A1C" w:rsidP="00F61482">
      <w:pPr>
        <w:pStyle w:val="libNormal"/>
        <w:rPr>
          <w:lang w:bidi="fa-IR"/>
        </w:rPr>
      </w:pPr>
      <w:r>
        <w:rPr>
          <w:rtl/>
          <w:lang w:bidi="fa-IR"/>
        </w:rPr>
        <w:t xml:space="preserve">قَالَ : قُلْتُ : جُعِلْتُ فِدَاكَ ، إِنَّ </w:t>
      </w:r>
      <w:r w:rsidR="00E378DD" w:rsidRPr="00E8448D">
        <w:rPr>
          <w:rStyle w:val="libFootnotenumChar"/>
          <w:rtl/>
        </w:rPr>
        <w:t>(4)</w:t>
      </w:r>
      <w:r>
        <w:rPr>
          <w:rtl/>
          <w:lang w:bidi="fa-IR"/>
        </w:rPr>
        <w:t xml:space="preserve"> ذَرِيحَ </w:t>
      </w:r>
      <w:r w:rsidR="00E378DD" w:rsidRPr="00E8448D">
        <w:rPr>
          <w:rStyle w:val="libFootnotenumChar"/>
          <w:rtl/>
        </w:rPr>
        <w:t>(5)</w:t>
      </w:r>
      <w:r>
        <w:rPr>
          <w:rtl/>
          <w:lang w:bidi="fa-IR"/>
        </w:rPr>
        <w:t xml:space="preserve"> الْمُحَارِبِيِّ حَدَّثَنِي عَنْكَ بِأَنَّكَ قُلْتَ لَهُ : </w:t>
      </w:r>
      <w:r w:rsidRPr="00E8448D">
        <w:rPr>
          <w:rStyle w:val="libAlaemChar"/>
          <w:rtl/>
        </w:rPr>
        <w:t>(</w:t>
      </w:r>
      <w:r>
        <w:rPr>
          <w:rtl/>
          <w:lang w:bidi="fa-IR"/>
        </w:rPr>
        <w:t xml:space="preserve"> </w:t>
      </w:r>
      <w:r w:rsidRPr="00E8448D">
        <w:rPr>
          <w:rStyle w:val="libAieChar"/>
          <w:rtl/>
        </w:rPr>
        <w:t>لْيَقْضُوا تَفَثَهُمْ</w:t>
      </w:r>
      <w:r>
        <w:rPr>
          <w:rtl/>
          <w:lang w:bidi="fa-IR"/>
        </w:rPr>
        <w:t xml:space="preserve"> </w:t>
      </w:r>
      <w:r w:rsidRPr="00E8448D">
        <w:rPr>
          <w:rStyle w:val="libAlaemChar"/>
          <w:rtl/>
        </w:rPr>
        <w:t>)</w:t>
      </w:r>
      <w:r>
        <w:rPr>
          <w:rtl/>
          <w:lang w:bidi="fa-IR"/>
        </w:rPr>
        <w:t xml:space="preserve"> : لِقَاءُ الْإِمَامِ وَ </w:t>
      </w:r>
      <w:r w:rsidRPr="00E8448D">
        <w:rPr>
          <w:rStyle w:val="libAlaemChar"/>
          <w:rtl/>
        </w:rPr>
        <w:t>(</w:t>
      </w:r>
      <w:r w:rsidRPr="00E8448D">
        <w:rPr>
          <w:rStyle w:val="libAieChar"/>
          <w:rtl/>
        </w:rPr>
        <w:t xml:space="preserve"> لْيُوفُوا نُذُورَهُمْ </w:t>
      </w:r>
      <w:r w:rsidRPr="00E8448D">
        <w:rPr>
          <w:rStyle w:val="libAlaemChar"/>
          <w:rtl/>
        </w:rPr>
        <w:t>)</w:t>
      </w:r>
      <w:r>
        <w:rPr>
          <w:rtl/>
          <w:lang w:bidi="fa-IR"/>
        </w:rPr>
        <w:t xml:space="preserve"> : تِلْكَ الْمَنَاسِكُ؟</w:t>
      </w:r>
    </w:p>
    <w:p w:rsidR="00744A1C" w:rsidRDefault="00744A1C" w:rsidP="00F61482">
      <w:pPr>
        <w:pStyle w:val="libNormal"/>
        <w:rPr>
          <w:lang w:bidi="fa-IR"/>
        </w:rPr>
      </w:pPr>
      <w:r>
        <w:rPr>
          <w:rtl/>
          <w:lang w:bidi="fa-IR"/>
        </w:rPr>
        <w:t xml:space="preserve">فَقَالَ : « صَدَقَ ذَرِيحٌ ، وَصَدَقْتَ ؛ إِنَّ لِلْقُرْآنِ ظَاهِراً وَبَاطِناً ، وَمَنْ يَحْتَمِلُ </w:t>
      </w:r>
      <w:r w:rsidR="00095BF2" w:rsidRPr="00095BF2">
        <w:rPr>
          <w:rStyle w:val="libFootnotenumChar"/>
          <w:rtl/>
        </w:rPr>
        <w:t>(6)</w:t>
      </w:r>
      <w:r>
        <w:rPr>
          <w:rtl/>
          <w:lang w:bidi="fa-IR"/>
        </w:rPr>
        <w:t xml:space="preserve"> مَا يَحْتَمِلُ ذَرِيحٌ؟ </w:t>
      </w:r>
      <w:r w:rsidR="00095BF2" w:rsidRPr="00095BF2">
        <w:rPr>
          <w:rStyle w:val="libFootnotenumChar"/>
          <w:rtl/>
        </w:rPr>
        <w:t>(7)</w:t>
      </w:r>
      <w:r>
        <w:rPr>
          <w:rtl/>
          <w:lang w:bidi="fa-IR"/>
        </w:rPr>
        <w:t xml:space="preserve">». </w:t>
      </w:r>
      <w:r w:rsidR="00095BF2" w:rsidRPr="00095BF2">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فقلت : جعلت فداك » بدل « قلت ».</w:t>
      </w:r>
    </w:p>
    <w:p w:rsidR="00744A1C" w:rsidRDefault="00E378DD" w:rsidP="00E378DD">
      <w:pPr>
        <w:pStyle w:val="libFootnote0"/>
        <w:rPr>
          <w:lang w:bidi="fa-IR"/>
        </w:rPr>
      </w:pPr>
      <w:r>
        <w:rPr>
          <w:rtl/>
          <w:lang w:bidi="fa-IR"/>
        </w:rPr>
        <w:t>(2).</w:t>
      </w:r>
      <w:r w:rsidR="00744A1C">
        <w:rPr>
          <w:rtl/>
          <w:lang w:bidi="fa-IR"/>
        </w:rPr>
        <w:t xml:space="preserve"> قال الراغب : « أصل التفث : وسخ الظفر وغير ذلك ممّا شابه أن يزال عن البدن ». ثمّ قال : « </w:t>
      </w:r>
      <w:r w:rsidR="00744A1C" w:rsidRPr="00337B29">
        <w:rPr>
          <w:rStyle w:val="libFootnoteAlaemChar"/>
          <w:rtl/>
        </w:rPr>
        <w:t>(</w:t>
      </w:r>
      <w:r w:rsidR="00744A1C" w:rsidRPr="00337B29">
        <w:rPr>
          <w:rStyle w:val="libFootnoteAieChar"/>
          <w:rtl/>
        </w:rPr>
        <w:t xml:space="preserve"> لْيَقْضُوا تَفَثَهُمْ </w:t>
      </w:r>
      <w:r w:rsidR="00744A1C" w:rsidRPr="00337B29">
        <w:rPr>
          <w:rStyle w:val="libFootnoteAlaemChar"/>
          <w:rtl/>
        </w:rPr>
        <w:t>)</w:t>
      </w:r>
      <w:r w:rsidR="00744A1C">
        <w:rPr>
          <w:rtl/>
          <w:lang w:bidi="fa-IR"/>
        </w:rPr>
        <w:t xml:space="preserve"> ، أي يزيلوا وسخهم ». وقال ابن الأثير : « التَفَثُ : هو ما يفعله ال</w:t>
      </w:r>
      <w:r w:rsidR="00337B29">
        <w:rPr>
          <w:rFonts w:hint="cs"/>
          <w:rtl/>
          <w:lang w:bidi="fa-IR"/>
        </w:rPr>
        <w:t>ـ</w:t>
      </w:r>
      <w:r w:rsidR="00744A1C">
        <w:rPr>
          <w:rtl/>
          <w:lang w:bidi="fa-IR"/>
        </w:rPr>
        <w:t xml:space="preserve">مُحرم بالحجّ إذا حلّ كقصّ الشارب والأظفار ». </w:t>
      </w:r>
      <w:r w:rsidR="00744A1C" w:rsidRPr="002D57AD">
        <w:rPr>
          <w:rStyle w:val="libFootnoteBoldChar"/>
          <w:rtl/>
        </w:rPr>
        <w:t>المفردات للراغب</w:t>
      </w:r>
      <w:r w:rsidR="00744A1C">
        <w:rPr>
          <w:rtl/>
          <w:lang w:bidi="fa-IR"/>
        </w:rPr>
        <w:t xml:space="preserve"> ، ص 165 ؛ </w:t>
      </w:r>
      <w:r w:rsidR="00744A1C" w:rsidRPr="00877682">
        <w:rPr>
          <w:rStyle w:val="libFootnoteBoldChar"/>
          <w:rtl/>
        </w:rPr>
        <w:t>النهاية</w:t>
      </w:r>
      <w:r w:rsidR="00744A1C">
        <w:rPr>
          <w:rtl/>
          <w:lang w:bidi="fa-IR"/>
        </w:rPr>
        <w:t xml:space="preserve"> ، ج 1 ، ص 191 ( تفث ).</w:t>
      </w:r>
    </w:p>
    <w:p w:rsidR="00744A1C" w:rsidRDefault="00E378DD" w:rsidP="00E378DD">
      <w:pPr>
        <w:pStyle w:val="libFootnote0"/>
        <w:rPr>
          <w:lang w:bidi="fa-IR"/>
        </w:rPr>
      </w:pPr>
      <w:r>
        <w:rPr>
          <w:rtl/>
          <w:lang w:bidi="fa-IR"/>
        </w:rPr>
        <w:t>(3).</w:t>
      </w:r>
      <w:r w:rsidR="00744A1C">
        <w:rPr>
          <w:rtl/>
          <w:lang w:bidi="fa-IR"/>
        </w:rPr>
        <w:t xml:space="preserve"> الحجّ (22) : 29. وفي </w:t>
      </w:r>
      <w:r w:rsidR="00744A1C" w:rsidRPr="00C24F9C">
        <w:rPr>
          <w:rStyle w:val="libFootnoteBoldChar"/>
          <w:rtl/>
        </w:rPr>
        <w:t>الوافي</w:t>
      </w:r>
      <w:r w:rsidR="00744A1C">
        <w:rPr>
          <w:rtl/>
          <w:lang w:bidi="fa-IR"/>
        </w:rPr>
        <w:t xml:space="preserve"> : +</w:t>
      </w:r>
      <w:r w:rsidR="00744A1C" w:rsidRPr="00D70D34">
        <w:rPr>
          <w:rStyle w:val="libFootnoteAlaemChar"/>
          <w:rtl/>
        </w:rPr>
        <w:t>(</w:t>
      </w:r>
      <w:r w:rsidR="00744A1C" w:rsidRPr="00D70D34">
        <w:rPr>
          <w:rStyle w:val="libFootnoteAieChar"/>
          <w:rtl/>
        </w:rPr>
        <w:t xml:space="preserve"> وَلْيَطَّوَّفُوا بِالْبَيْتِ الْعَتِيقِ </w:t>
      </w:r>
      <w:r w:rsidR="00744A1C" w:rsidRPr="00D70D34">
        <w:rPr>
          <w:rStyle w:val="libFootnoteAlaemChar"/>
          <w:rtl/>
        </w:rPr>
        <w:t>)</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في « بخ ، بف » و</w:t>
      </w:r>
      <w:r w:rsidR="00744A1C" w:rsidRPr="00C24F9C">
        <w:rPr>
          <w:rStyle w:val="libFootnoteBoldChar"/>
          <w:rtl/>
        </w:rPr>
        <w:t>الوافي</w:t>
      </w:r>
      <w:r w:rsidR="00744A1C">
        <w:rPr>
          <w:rtl/>
          <w:lang w:bidi="fa-IR"/>
        </w:rPr>
        <w:t xml:space="preserve"> و</w:t>
      </w:r>
      <w:r w:rsidR="00744A1C" w:rsidRPr="00C24F9C">
        <w:rPr>
          <w:rStyle w:val="libFootnoteBoldChar"/>
          <w:rtl/>
        </w:rPr>
        <w:t>الفقيه</w:t>
      </w:r>
      <w:r w:rsidR="00744A1C">
        <w:rPr>
          <w:rtl/>
          <w:lang w:bidi="fa-IR"/>
        </w:rPr>
        <w:t xml:space="preserve"> ، ح 3036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 فإنّ ».</w:t>
      </w:r>
    </w:p>
    <w:p w:rsidR="00744A1C" w:rsidRDefault="00E378DD" w:rsidP="00E378DD">
      <w:pPr>
        <w:pStyle w:val="libFootnote0"/>
        <w:rPr>
          <w:lang w:bidi="fa-IR"/>
        </w:rPr>
      </w:pPr>
      <w:r>
        <w:rPr>
          <w:rtl/>
          <w:lang w:bidi="fa-IR"/>
        </w:rPr>
        <w:t>(5).</w:t>
      </w:r>
      <w:r w:rsidR="00744A1C">
        <w:rPr>
          <w:rtl/>
          <w:lang w:bidi="fa-IR"/>
        </w:rPr>
        <w:t xml:space="preserve"> في حاشية « بث » </w:t>
      </w:r>
      <w:r w:rsidR="00744A1C" w:rsidRPr="00EE7E5B">
        <w:rPr>
          <w:rtl/>
        </w:rPr>
        <w:t>والوافي والبحار والفقيه</w:t>
      </w:r>
      <w:r w:rsidR="00744A1C">
        <w:rPr>
          <w:rtl/>
          <w:lang w:bidi="fa-IR"/>
        </w:rPr>
        <w:t xml:space="preserve"> ، ح 3036 : « ذريحاً ».</w:t>
      </w:r>
    </w:p>
    <w:p w:rsidR="00744A1C" w:rsidRDefault="00E378DD" w:rsidP="00E378DD">
      <w:pPr>
        <w:pStyle w:val="libFootnote0"/>
        <w:rPr>
          <w:lang w:bidi="fa-IR"/>
        </w:rPr>
      </w:pPr>
      <w:r>
        <w:rPr>
          <w:rtl/>
          <w:lang w:bidi="fa-IR"/>
        </w:rPr>
        <w:t>(6).</w:t>
      </w:r>
      <w:r w:rsidR="00744A1C">
        <w:rPr>
          <w:rtl/>
          <w:lang w:bidi="fa-IR"/>
        </w:rPr>
        <w:t xml:space="preserve"> في « بح » و</w:t>
      </w:r>
      <w:r w:rsidR="00744A1C" w:rsidRPr="0061079A">
        <w:rPr>
          <w:rStyle w:val="libFootnoteBoldChar"/>
          <w:rtl/>
        </w:rPr>
        <w:t>البحار</w:t>
      </w:r>
      <w:r w:rsidR="00744A1C">
        <w:rPr>
          <w:rtl/>
          <w:lang w:bidi="fa-IR"/>
        </w:rPr>
        <w:t xml:space="preserve"> : + « مثل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هذا الحديث ممّا يختصّ بحال الحياة ، وجهة الاشتراك بين التفسير والتأويل هي التطهير ؛ فإنّ أحدهما تطهير من الاوساخ الظاهرة والآخر من الجهل والعمى ».</w:t>
      </w:r>
    </w:p>
    <w:p w:rsidR="00744A1C" w:rsidRDefault="00E378DD" w:rsidP="00E378DD">
      <w:pPr>
        <w:pStyle w:val="libFootnote0"/>
        <w:rPr>
          <w:lang w:bidi="fa-IR"/>
        </w:rPr>
      </w:pPr>
      <w:r>
        <w:rPr>
          <w:rtl/>
          <w:lang w:bidi="fa-IR"/>
        </w:rPr>
        <w:t>(8).</w:t>
      </w:r>
      <w:r w:rsidR="00744A1C">
        <w:rPr>
          <w:rtl/>
          <w:lang w:bidi="fa-IR"/>
        </w:rPr>
        <w:t xml:space="preserve"> </w:t>
      </w:r>
      <w:r w:rsidR="00744A1C" w:rsidRPr="00610FB4">
        <w:rPr>
          <w:rStyle w:val="libFootnoteBoldChar"/>
          <w:rtl/>
        </w:rPr>
        <w:t>معاني الأخبار</w:t>
      </w:r>
      <w:r w:rsidR="00744A1C">
        <w:rPr>
          <w:rtl/>
          <w:lang w:bidi="fa-IR"/>
        </w:rPr>
        <w:t xml:space="preserve"> ، ص 340 ، ح 10 ، بسنده عن محمّد بن يحيى العطّار ، عن سهل بن زياد. </w:t>
      </w:r>
      <w:r w:rsidR="00744A1C" w:rsidRPr="00C24F9C">
        <w:rPr>
          <w:rStyle w:val="libFootnoteBoldChar"/>
          <w:rtl/>
        </w:rPr>
        <w:t>الفقيه</w:t>
      </w:r>
      <w:r w:rsidR="00744A1C">
        <w:rPr>
          <w:rtl/>
          <w:lang w:bidi="fa-IR"/>
        </w:rPr>
        <w:t xml:space="preserve"> ، ج 2 ، ص 485 ، ح 3036 ، معلّقاً عن عبدالله بن سنان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من قوله : « قال عبدالله بن سنان : فأتيت أبا عبدالله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C24F9C">
        <w:rPr>
          <w:rStyle w:val="libFootnoteBoldChar"/>
          <w:rtl/>
        </w:rPr>
        <w:t>الفقيه</w:t>
      </w:r>
      <w:r w:rsidR="00744A1C">
        <w:rPr>
          <w:rtl/>
          <w:lang w:bidi="fa-IR"/>
        </w:rPr>
        <w:t xml:space="preserve"> ، ج 2 ، ص 484 ، ح 3031 ، وتمام الرواية فيه : « وروي ذريح المحاربيّ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في قوله الله عزّ وجلّ ثمّ ليقضوا تفثهم قال : التفث لقاء الإمام » </w:t>
      </w:r>
      <w:r w:rsidR="000E63CB">
        <w:rPr>
          <w:rFonts w:hint="cs"/>
          <w:rtl/>
          <w:lang w:bidi="fa-IR"/>
        </w:rPr>
        <w:t>.</w:t>
      </w:r>
      <w:r w:rsidR="00744A1C" w:rsidRPr="00C24F9C">
        <w:rPr>
          <w:rStyle w:val="libFootnoteBoldChar"/>
          <w:rtl/>
        </w:rPr>
        <w:t>الوافي</w:t>
      </w:r>
      <w:r w:rsidR="00744A1C">
        <w:rPr>
          <w:rtl/>
          <w:lang w:bidi="fa-IR"/>
        </w:rPr>
        <w:t xml:space="preserve"> ، ج 14 ، ص 1321 ، ح 14336 ؛ </w:t>
      </w:r>
      <w:r w:rsidR="00744A1C" w:rsidRPr="00C24F9C">
        <w:rPr>
          <w:rStyle w:val="libFootnoteBoldChar"/>
          <w:rtl/>
        </w:rPr>
        <w:t>الوسائل</w:t>
      </w:r>
      <w:r w:rsidR="00744A1C">
        <w:rPr>
          <w:rtl/>
          <w:lang w:bidi="fa-IR"/>
        </w:rPr>
        <w:t xml:space="preserve"> ، ج 14 ، ص 321 ، ذيل ح 19313 ؛ </w:t>
      </w:r>
      <w:r w:rsidR="00744A1C" w:rsidRPr="0061079A">
        <w:rPr>
          <w:rStyle w:val="libFootnoteBoldChar"/>
          <w:rtl/>
        </w:rPr>
        <w:t>البحار</w:t>
      </w:r>
      <w:r w:rsidR="00744A1C">
        <w:rPr>
          <w:rtl/>
          <w:lang w:bidi="fa-IR"/>
        </w:rPr>
        <w:t xml:space="preserve"> ، ج 24 ، ص 360 ، ذيل ح 84.</w:t>
      </w:r>
    </w:p>
    <w:p w:rsidR="00150943" w:rsidRDefault="00150943" w:rsidP="00D10E3C">
      <w:pPr>
        <w:pStyle w:val="libNormal"/>
        <w:rPr>
          <w:rtl/>
          <w:lang w:bidi="fa-IR"/>
        </w:rPr>
      </w:pPr>
      <w:r>
        <w:rPr>
          <w:rtl/>
          <w:lang w:bidi="fa-IR"/>
        </w:rPr>
        <w:br w:type="page"/>
      </w:r>
    </w:p>
    <w:p w:rsidR="00744A1C" w:rsidRDefault="00744A1C" w:rsidP="000E63CB">
      <w:pPr>
        <w:pStyle w:val="Heading2Center"/>
        <w:rPr>
          <w:lang w:bidi="fa-IR"/>
        </w:rPr>
      </w:pPr>
      <w:bookmarkStart w:id="62" w:name="_Toc49261360"/>
      <w:r>
        <w:rPr>
          <w:rtl/>
          <w:lang w:bidi="fa-IR"/>
        </w:rPr>
        <w:lastRenderedPageBreak/>
        <w:t>215 - بَابُ فَضْلِ الرُّجُوعِ إِلَى الْمَدِينَةِ‌</w:t>
      </w:r>
      <w:bookmarkEnd w:id="62"/>
    </w:p>
    <w:p w:rsidR="00144FA6" w:rsidRDefault="00744A1C" w:rsidP="00744A1C">
      <w:pPr>
        <w:pStyle w:val="libNormal"/>
        <w:rPr>
          <w:rtl/>
          <w:lang w:bidi="fa-IR"/>
        </w:rPr>
      </w:pPr>
      <w:r>
        <w:rPr>
          <w:rtl/>
          <w:lang w:bidi="fa-IR"/>
        </w:rPr>
        <w:t>8098 / 1. عَلِيُّ بْنُ إِبْرَاهِيمَ ، عَنْ أَبِيهِ ، عَنِ ابْنِ أَبِي عُمَيْرٍ ، عَنْ هِشَامِ بْنِ الْمُثَنّى ، عَنْ سَدِيرٍ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ابْدَؤُوا بِمَكَّةَ ، وَاخْتِمُوا بِنَا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8099 / 2. عَلِيُّ بْنُ مُحَمَّدِ بْنِ عَبْدِ اللهِ ، عَنْ أَحْمَدَ بْنِ أَبِي عَبْدِ اللهِ ، عَنْ أَبِيهِ </w:t>
      </w:r>
      <w:r w:rsidRPr="00D10E3C">
        <w:rPr>
          <w:rStyle w:val="libFootnotenumChar"/>
          <w:rtl/>
        </w:rPr>
        <w:t>(3)</w:t>
      </w:r>
      <w:r>
        <w:rPr>
          <w:rtl/>
          <w:lang w:bidi="fa-IR"/>
        </w:rPr>
        <w:t xml:space="preserve"> ، قَالَ :</w:t>
      </w:r>
    </w:p>
    <w:p w:rsidR="00744A1C" w:rsidRDefault="00744A1C" w:rsidP="00744A1C">
      <w:pPr>
        <w:pStyle w:val="libNormal"/>
        <w:rPr>
          <w:lang w:bidi="fa-IR"/>
        </w:rPr>
      </w:pPr>
      <w:r>
        <w:rPr>
          <w:rtl/>
          <w:lang w:bidi="fa-IR"/>
        </w:rPr>
        <w:t xml:space="preserve">سَأَلْتُ أَبَا جَعْفَرٍ </w:t>
      </w:r>
      <w:r w:rsidRPr="00D10E3C">
        <w:rPr>
          <w:rStyle w:val="libFootnotenumChar"/>
          <w:rtl/>
        </w:rPr>
        <w:t>(4)</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أَبْدَأُ بِالْمَدِينَةِ ، أَوْ بِمَكَّةَ؟</w:t>
      </w:r>
    </w:p>
    <w:p w:rsidR="00144FA6" w:rsidRDefault="00744A1C" w:rsidP="00744A1C">
      <w:pPr>
        <w:pStyle w:val="libNormal"/>
        <w:rPr>
          <w:rtl/>
          <w:lang w:bidi="fa-IR"/>
        </w:rPr>
      </w:pPr>
      <w:r>
        <w:rPr>
          <w:rtl/>
          <w:lang w:bidi="fa-IR"/>
        </w:rPr>
        <w:t xml:space="preserve">قَالَ : « ابْدَأْ بِمَكَّةَ ، وَاخْتِمْ بِالْمَدِينَةِ ؛ فَإِنَّهُ أَفْضَلُ ». </w:t>
      </w:r>
      <w:r w:rsidRPr="00D10E3C">
        <w:rPr>
          <w:rStyle w:val="libFootnotenumChar"/>
          <w:rtl/>
        </w:rPr>
        <w:t>(5)</w:t>
      </w:r>
    </w:p>
    <w:p w:rsidR="00744A1C" w:rsidRDefault="00744A1C" w:rsidP="000E63CB">
      <w:pPr>
        <w:pStyle w:val="Heading2Center"/>
        <w:rPr>
          <w:lang w:bidi="fa-IR"/>
        </w:rPr>
      </w:pPr>
      <w:bookmarkStart w:id="63" w:name="_Toc49261361"/>
      <w:r>
        <w:rPr>
          <w:rtl/>
          <w:lang w:bidi="fa-IR"/>
        </w:rPr>
        <w:t>216 - بَابُ دُخُولِ الْمَدِينَةِ وَ</w:t>
      </w:r>
      <w:r w:rsidR="000E63CB">
        <w:rPr>
          <w:rFonts w:hint="cs"/>
          <w:rtl/>
          <w:lang w:bidi="fa-IR"/>
        </w:rPr>
        <w:t xml:space="preserve"> </w:t>
      </w:r>
      <w:r>
        <w:rPr>
          <w:rtl/>
          <w:lang w:bidi="fa-IR"/>
        </w:rPr>
        <w:t xml:space="preserve">زِيَارَةِ </w:t>
      </w:r>
      <w:r w:rsidRPr="00D10E3C">
        <w:rPr>
          <w:rStyle w:val="libFootnotenumChar"/>
          <w:rtl/>
        </w:rPr>
        <w:t>(6)</w:t>
      </w:r>
      <w:r>
        <w:rPr>
          <w:rtl/>
          <w:lang w:bidi="fa-IR"/>
        </w:rPr>
        <w:t xml:space="preserve"> النَّبِيِّ </w:t>
      </w:r>
      <w:r w:rsidR="0017097C" w:rsidRPr="0017097C">
        <w:rPr>
          <w:rStyle w:val="libAlaemChar"/>
          <w:rtl/>
        </w:rPr>
        <w:t>صلى‌الله‌عليه‌وآله</w:t>
      </w:r>
      <w:r w:rsidR="00D10E3C">
        <w:rPr>
          <w:rtl/>
          <w:lang w:bidi="fa-IR"/>
        </w:rPr>
        <w:t xml:space="preserve"> </w:t>
      </w:r>
      <w:r>
        <w:rPr>
          <w:rtl/>
          <w:lang w:bidi="fa-IR"/>
        </w:rPr>
        <w:t>وَ</w:t>
      </w:r>
      <w:r w:rsidR="000E63CB">
        <w:rPr>
          <w:rFonts w:hint="cs"/>
          <w:rtl/>
          <w:lang w:bidi="fa-IR"/>
        </w:rPr>
        <w:t xml:space="preserve"> </w:t>
      </w:r>
      <w:r>
        <w:rPr>
          <w:rtl/>
          <w:lang w:bidi="fa-IR"/>
        </w:rPr>
        <w:t>الدُّعَاءِ عِنْدَ قَبْرِهِ‌</w:t>
      </w:r>
      <w:bookmarkEnd w:id="63"/>
    </w:p>
    <w:p w:rsidR="00744A1C" w:rsidRDefault="00744A1C" w:rsidP="00744A1C">
      <w:pPr>
        <w:pStyle w:val="libNormal"/>
        <w:rPr>
          <w:lang w:bidi="fa-IR"/>
        </w:rPr>
      </w:pPr>
      <w:r>
        <w:rPr>
          <w:rtl/>
          <w:lang w:bidi="fa-IR"/>
        </w:rPr>
        <w:t>8100 / 1. عَلِيُّ بْنُ إِبْرَاهِيمَ ، عَنْ أَبِيهِ ، عَنِ ابْنِ أَبِي عُمَيْرٍ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259 : « يدلّ على استحباب تأخير الزيارة على الحجّ ، ولعلّه مخصوص بأهل العراق وأشباههم ممّن لا ينتهي طريقهم إلى المدينة ».</w:t>
      </w:r>
    </w:p>
    <w:p w:rsidR="00744A1C" w:rsidRDefault="00E378DD" w:rsidP="000E63CB">
      <w:pPr>
        <w:pStyle w:val="libFootnote0"/>
        <w:rPr>
          <w:lang w:bidi="fa-IR"/>
        </w:rPr>
      </w:pPr>
      <w:r>
        <w:rPr>
          <w:rtl/>
          <w:lang w:bidi="fa-IR"/>
        </w:rPr>
        <w:t>(2).</w:t>
      </w:r>
      <w:r w:rsidR="00744A1C">
        <w:rPr>
          <w:rtl/>
          <w:lang w:bidi="fa-IR"/>
        </w:rPr>
        <w:t xml:space="preserve"> </w:t>
      </w:r>
      <w:r w:rsidR="00744A1C" w:rsidRPr="00C24F9C">
        <w:rPr>
          <w:rStyle w:val="libFootnoteBoldChar"/>
          <w:rtl/>
        </w:rPr>
        <w:t>الفقيه</w:t>
      </w:r>
      <w:r w:rsidR="00744A1C">
        <w:rPr>
          <w:rtl/>
          <w:lang w:bidi="fa-IR"/>
        </w:rPr>
        <w:t xml:space="preserve"> ، ج 2 ، ص 558 ، ح 3138 ، معلّقاً عن هشام بن مثنّى </w:t>
      </w:r>
      <w:r w:rsidR="000E63CB">
        <w:rPr>
          <w:rFonts w:hint="cs"/>
          <w:rtl/>
        </w:rPr>
        <w:t>.</w:t>
      </w:r>
      <w:r w:rsidR="00744A1C" w:rsidRPr="00C24F9C">
        <w:rPr>
          <w:rStyle w:val="libFootnoteBoldChar"/>
          <w:rtl/>
        </w:rPr>
        <w:t>الوافي</w:t>
      </w:r>
      <w:r w:rsidR="00744A1C">
        <w:rPr>
          <w:rtl/>
          <w:lang w:bidi="fa-IR"/>
        </w:rPr>
        <w:t xml:space="preserve"> ، ج 14 ، ص 1324 ، ح 14345 ؛ </w:t>
      </w:r>
      <w:r w:rsidR="00744A1C" w:rsidRPr="00C24F9C">
        <w:rPr>
          <w:rStyle w:val="libFootnoteBoldChar"/>
          <w:rtl/>
        </w:rPr>
        <w:t>الوسائل</w:t>
      </w:r>
      <w:r w:rsidR="00744A1C">
        <w:rPr>
          <w:rtl/>
          <w:lang w:bidi="fa-IR"/>
        </w:rPr>
        <w:t xml:space="preserve"> ، ج 14 ، ص 321 ، ذيل ح 19311.</w:t>
      </w:r>
    </w:p>
    <w:p w:rsidR="00744A1C" w:rsidRDefault="00E378DD" w:rsidP="009B64CF">
      <w:pPr>
        <w:pStyle w:val="libFootnote0"/>
        <w:rPr>
          <w:lang w:bidi="fa-IR"/>
        </w:rPr>
      </w:pPr>
      <w:r>
        <w:rPr>
          <w:rtl/>
          <w:lang w:bidi="fa-IR"/>
        </w:rPr>
        <w:t>(3).</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5 ، ص 439 ، ح 1527 ؛ </w:t>
      </w:r>
      <w:r w:rsidR="00744A1C" w:rsidRPr="00C24F9C">
        <w:rPr>
          <w:rStyle w:val="libFootnoteBoldChar"/>
          <w:rtl/>
        </w:rPr>
        <w:t>والاستبصار</w:t>
      </w:r>
      <w:r w:rsidR="00744A1C">
        <w:rPr>
          <w:rtl/>
          <w:lang w:bidi="fa-IR"/>
        </w:rPr>
        <w:t xml:space="preserve"> ، ج 2 ، ص 329 ، ح 1166 ، عن محمّد بن أحمد بن يحيى ، عن أبي جعفر ، عن أبيه ، عن غياث بن إبراهيم ، عن جعفر ، عن أبيه ، قال : سألت أبا جعفر </w:t>
      </w:r>
      <w:r w:rsidR="009B64CF" w:rsidRPr="0061079A">
        <w:rPr>
          <w:rStyle w:val="libFootnoteAlaemChar"/>
          <w:rtl/>
        </w:rPr>
        <w:t>عليه‌السلام</w:t>
      </w:r>
      <w:r w:rsidR="00744A1C">
        <w:rPr>
          <w:rtl/>
          <w:lang w:bidi="fa-IR"/>
        </w:rPr>
        <w:t>. والمراد من أبي جعفر في مشايخ محمّد بن أحمد هو أحمد بن أبي عبد الله البرقي. وهذا واضح لمن تتبّع أسناد محمّد بن أحمد [ بن يحيى ] عن أبي جعفر ، عن أبيه.</w:t>
      </w:r>
    </w:p>
    <w:p w:rsidR="00744A1C" w:rsidRDefault="00744A1C" w:rsidP="00D10E3C">
      <w:pPr>
        <w:pStyle w:val="libFootnote0"/>
        <w:rPr>
          <w:lang w:bidi="fa-IR"/>
        </w:rPr>
      </w:pPr>
      <w:r>
        <w:rPr>
          <w:rtl/>
          <w:lang w:bidi="fa-IR"/>
        </w:rPr>
        <w:t xml:space="preserve">هذا ، والظاهر أنّ الأصل في سندنا كان هكذا : « أحمد بن أبي عبد الله ، عن أبيه ، عن غياث بن إبراهيم ، عن جعفر - أو عن أبي عبد الله </w:t>
      </w:r>
      <w:r w:rsidR="0061079A" w:rsidRPr="0061079A">
        <w:rPr>
          <w:rStyle w:val="libFootnoteAlaemChar"/>
          <w:rtl/>
        </w:rPr>
        <w:t>عليه‌السلام</w:t>
      </w:r>
      <w:r w:rsidR="00D10E3C">
        <w:rPr>
          <w:rtl/>
          <w:lang w:bidi="fa-IR"/>
        </w:rPr>
        <w:t xml:space="preserve"> </w:t>
      </w:r>
      <w:r>
        <w:rPr>
          <w:rtl/>
          <w:lang w:bidi="fa-IR"/>
        </w:rPr>
        <w:t xml:space="preserve">- عن أبيه ، قال : سألت أبا جعفر </w:t>
      </w:r>
      <w:r w:rsidR="0061079A" w:rsidRPr="0061079A">
        <w:rPr>
          <w:rStyle w:val="libFootnoteAlaemChar"/>
          <w:rtl/>
        </w:rPr>
        <w:t>عليه‌السلام</w:t>
      </w:r>
      <w:r w:rsidR="00D10E3C">
        <w:rPr>
          <w:rtl/>
          <w:lang w:bidi="fa-IR"/>
        </w:rPr>
        <w:t xml:space="preserve"> </w:t>
      </w:r>
      <w:r>
        <w:rPr>
          <w:rtl/>
          <w:lang w:bidi="fa-IR"/>
        </w:rPr>
        <w:t>» وجاز نظر الناسخ من « أبيه » بعد « أحمد بن أبي عبد الله » إلى « أبيه » قبل « قال : سألت » ، فوقع السقط.</w:t>
      </w:r>
    </w:p>
    <w:p w:rsidR="00744A1C" w:rsidRDefault="00E378DD" w:rsidP="00E378DD">
      <w:pPr>
        <w:pStyle w:val="libFootnote0"/>
        <w:rPr>
          <w:lang w:bidi="fa-IR"/>
        </w:rPr>
      </w:pPr>
      <w:r>
        <w:rPr>
          <w:rtl/>
          <w:lang w:bidi="fa-IR"/>
        </w:rPr>
        <w:t>(4).</w:t>
      </w:r>
      <w:r w:rsidR="00744A1C">
        <w:rPr>
          <w:rtl/>
          <w:lang w:bidi="fa-IR"/>
        </w:rPr>
        <w:t xml:space="preserve"> في « بخ » : « أبا عبد الله ».</w:t>
      </w:r>
    </w:p>
    <w:p w:rsidR="00744A1C" w:rsidRDefault="00E378DD" w:rsidP="009B64CF">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5 ، ص 439 ، ح 1527 ؛ </w:t>
      </w:r>
      <w:r w:rsidR="00744A1C" w:rsidRPr="00C24F9C">
        <w:rPr>
          <w:rStyle w:val="libFootnoteBoldChar"/>
          <w:rtl/>
        </w:rPr>
        <w:t>والاستبصار</w:t>
      </w:r>
      <w:r w:rsidR="00744A1C">
        <w:rPr>
          <w:rtl/>
          <w:lang w:bidi="fa-IR"/>
        </w:rPr>
        <w:t xml:space="preserve"> ، ج 2 ، ص 329 ، ح 1166 ، بسند آخر عن جعفر ، عن أبيه </w:t>
      </w:r>
      <w:r w:rsidR="00F112A7" w:rsidRPr="00CE5A92">
        <w:rPr>
          <w:rStyle w:val="libFootnoteAlaemChar"/>
          <w:rtl/>
        </w:rPr>
        <w:t>عليهما‌السلام</w:t>
      </w:r>
      <w:r w:rsidR="00744A1C">
        <w:rPr>
          <w:rtl/>
          <w:lang w:bidi="fa-IR"/>
        </w:rPr>
        <w:t xml:space="preserve">. </w:t>
      </w:r>
      <w:r w:rsidR="00744A1C" w:rsidRPr="00C24F9C">
        <w:rPr>
          <w:rStyle w:val="libFootnoteBoldChar"/>
          <w:rtl/>
        </w:rPr>
        <w:t>الفقيه</w:t>
      </w:r>
      <w:r w:rsidR="00744A1C">
        <w:rPr>
          <w:rtl/>
          <w:lang w:bidi="fa-IR"/>
        </w:rPr>
        <w:t xml:space="preserve"> ، ج 2 ، ص 558 ، ح 3140 ، مرسلاً </w:t>
      </w:r>
      <w:r w:rsidR="009B64CF">
        <w:rPr>
          <w:rFonts w:hint="cs"/>
          <w:rtl/>
          <w:lang w:bidi="fa-IR"/>
        </w:rPr>
        <w:t>.</w:t>
      </w:r>
      <w:r w:rsidR="00744A1C" w:rsidRPr="00C24F9C">
        <w:rPr>
          <w:rStyle w:val="libFootnoteBoldChar"/>
          <w:rtl/>
        </w:rPr>
        <w:t>الوافي</w:t>
      </w:r>
      <w:r w:rsidR="00744A1C">
        <w:rPr>
          <w:rtl/>
          <w:lang w:bidi="fa-IR"/>
        </w:rPr>
        <w:t xml:space="preserve"> ، ج 14 ، ص 1323 ، ح 14340 ؛ </w:t>
      </w:r>
      <w:r w:rsidR="00744A1C" w:rsidRPr="00C24F9C">
        <w:rPr>
          <w:rStyle w:val="libFootnoteBoldChar"/>
          <w:rtl/>
        </w:rPr>
        <w:t>الوسائل</w:t>
      </w:r>
      <w:r w:rsidR="00744A1C">
        <w:rPr>
          <w:rtl/>
          <w:lang w:bidi="fa-IR"/>
        </w:rPr>
        <w:t xml:space="preserve"> ، ج 14 ، ص 320 ، ح 19309.</w:t>
      </w:r>
      <w:r w:rsidR="009B64CF">
        <w:rPr>
          <w:rFonts w:hint="cs"/>
          <w:rtl/>
          <w:lang w:bidi="fa-IR"/>
        </w:rPr>
        <w:t xml:space="preserve">    </w:t>
      </w:r>
      <w:r w:rsidR="0004357A">
        <w:rPr>
          <w:rFonts w:hint="cs"/>
          <w:rtl/>
          <w:lang w:bidi="fa-IR"/>
        </w:rPr>
        <w:t xml:space="preserve">      </w:t>
      </w:r>
      <w:r>
        <w:rPr>
          <w:rtl/>
          <w:lang w:bidi="fa-IR"/>
        </w:rPr>
        <w:t>(6).</w:t>
      </w:r>
      <w:r w:rsidR="00744A1C">
        <w:rPr>
          <w:rtl/>
          <w:lang w:bidi="fa-IR"/>
        </w:rPr>
        <w:t xml:space="preserve"> في « جد » : + « قبر ».</w:t>
      </w:r>
    </w:p>
    <w:p w:rsidR="00150943" w:rsidRDefault="00150943" w:rsidP="00D10E3C">
      <w:pPr>
        <w:pStyle w:val="libNormal"/>
        <w:rPr>
          <w:rtl/>
          <w:lang w:bidi="fa-IR"/>
        </w:rPr>
      </w:pPr>
      <w:r>
        <w:rPr>
          <w:rtl/>
          <w:lang w:bidi="fa-IR"/>
        </w:rPr>
        <w:br w:type="page"/>
      </w:r>
    </w:p>
    <w:p w:rsidR="00144FA6" w:rsidRDefault="0004357A" w:rsidP="00744A1C">
      <w:pPr>
        <w:pStyle w:val="libNormal"/>
        <w:rPr>
          <w:rtl/>
          <w:lang w:bidi="fa-IR"/>
        </w:rPr>
      </w:pPr>
      <w:r>
        <w:rPr>
          <w:rFonts w:hint="cs"/>
          <w:rtl/>
          <w:lang w:bidi="fa-IR"/>
        </w:rPr>
        <w:lastRenderedPageBreak/>
        <w:t xml:space="preserve">                </w:t>
      </w:r>
      <w:r w:rsidR="00744A1C">
        <w:rPr>
          <w:rtl/>
          <w:lang w:bidi="fa-IR"/>
        </w:rPr>
        <w:t>وَ</w:t>
      </w:r>
      <w:r>
        <w:rPr>
          <w:rFonts w:hint="cs"/>
          <w:rtl/>
          <w:lang w:bidi="fa-IR"/>
        </w:rPr>
        <w:t xml:space="preserve"> </w:t>
      </w:r>
      <w:r w:rsidR="00744A1C">
        <w:rPr>
          <w:rtl/>
          <w:lang w:bidi="fa-IR"/>
        </w:rPr>
        <w:t xml:space="preserve">مُحَمَّدُ بْنُ إِسْمَاعِيلَ ، عَنِ الْفَضْلِ بْنِ شَاذَانَ ، عَنْ صَفْوَانَ </w:t>
      </w:r>
      <w:r w:rsidR="00744A1C" w:rsidRPr="00D10E3C">
        <w:rPr>
          <w:rStyle w:val="libFootnotenumChar"/>
          <w:rtl/>
        </w:rPr>
        <w:t>(1)</w:t>
      </w:r>
      <w:r w:rsidR="00744A1C">
        <w:rPr>
          <w:rtl/>
          <w:lang w:bidi="fa-IR"/>
        </w:rPr>
        <w:t xml:space="preserve"> وَابْنِ أَبِي عُمَيْرٍ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دَخَلْتَ الْمَدِينَةَ ، فَاغْتَسِلْ قَبْلَ أَنْ تَدْخُلَهَا ، أَوْ حِينَ تَدْخُلُهَا ، ثُمَّ تَأْتِي قَبْرَ النَّبِيِّ </w:t>
      </w:r>
      <w:r w:rsidR="0017097C" w:rsidRPr="0017097C">
        <w:rPr>
          <w:rStyle w:val="libAlaemChar"/>
          <w:rtl/>
        </w:rPr>
        <w:t>صلى‌الله‌عليه‌وآله</w:t>
      </w:r>
      <w:r w:rsidR="00D10E3C">
        <w:rPr>
          <w:rtl/>
          <w:lang w:bidi="fa-IR"/>
        </w:rPr>
        <w:t xml:space="preserve"> </w:t>
      </w:r>
      <w:r w:rsidRPr="00D10E3C">
        <w:rPr>
          <w:rStyle w:val="libFootnotenumChar"/>
          <w:rtl/>
        </w:rPr>
        <w:t>(2)</w:t>
      </w:r>
      <w:r>
        <w:rPr>
          <w:rtl/>
          <w:lang w:bidi="fa-IR"/>
        </w:rPr>
        <w:t xml:space="preserve"> ، فَتُسَلِّمُ </w:t>
      </w:r>
      <w:r w:rsidRPr="00D10E3C">
        <w:rPr>
          <w:rStyle w:val="libFootnotenumChar"/>
          <w:rtl/>
        </w:rPr>
        <w:t>(3)</w:t>
      </w:r>
      <w:r>
        <w:rPr>
          <w:rtl/>
          <w:lang w:bidi="fa-IR"/>
        </w:rPr>
        <w:t xml:space="preserve"> عَلى رَسُولِ اللهِ </w:t>
      </w:r>
      <w:r w:rsidR="0017097C" w:rsidRPr="0017097C">
        <w:rPr>
          <w:rStyle w:val="libAlaemChar"/>
          <w:rtl/>
        </w:rPr>
        <w:t>صلى‌الله‌عليه‌وآله</w:t>
      </w:r>
      <w:r w:rsidR="00D10E3C">
        <w:rPr>
          <w:rtl/>
          <w:lang w:bidi="fa-IR"/>
        </w:rPr>
        <w:t xml:space="preserve"> </w:t>
      </w:r>
      <w:r>
        <w:rPr>
          <w:rtl/>
          <w:lang w:bidi="fa-IR"/>
        </w:rPr>
        <w:t xml:space="preserve">، ثُمَّ تَقُومُ عِنْدَ الْأُسْطُوَانَةِ الْمُقَدَّمَةِ مِنْ جَانِبِ الْقَبْرِ الْأَيْمَنِ عِنْدَ رَأْسِ الْقَبْرِ </w:t>
      </w:r>
      <w:r w:rsidRPr="00D10E3C">
        <w:rPr>
          <w:rStyle w:val="libFootnotenumChar"/>
          <w:rtl/>
        </w:rPr>
        <w:t>(4)</w:t>
      </w:r>
      <w:r>
        <w:rPr>
          <w:rtl/>
          <w:lang w:bidi="fa-IR"/>
        </w:rPr>
        <w:t xml:space="preserve"> عِنْدَ زَاوِيَةِ الْقَبْرِ </w:t>
      </w:r>
      <w:r w:rsidRPr="00D10E3C">
        <w:rPr>
          <w:rStyle w:val="libFootnotenumChar"/>
          <w:rtl/>
        </w:rPr>
        <w:t>(5)</w:t>
      </w:r>
      <w:r>
        <w:rPr>
          <w:rtl/>
          <w:lang w:bidi="fa-IR"/>
        </w:rPr>
        <w:t xml:space="preserve"> ، وَأَنْتَ مُسْتَقْبِلُ الْقِبْلَةِ ، وَمَنْكِبُكَ الْأَيْسَرُ إِلى جَانِبِ الْقَبْرِ ، وَمَنْكِبُكَ الْأَيْمَنُ مِمَّا يَلِي </w:t>
      </w:r>
      <w:r w:rsidRPr="00D10E3C">
        <w:rPr>
          <w:rStyle w:val="libFootnotenumChar"/>
          <w:rtl/>
        </w:rPr>
        <w:t>(6)</w:t>
      </w:r>
      <w:r>
        <w:rPr>
          <w:rtl/>
          <w:lang w:bidi="fa-IR"/>
        </w:rPr>
        <w:t xml:space="preserve"> الْمِنْبَرَ ؛ فَإِنَّهُ مَوْضِعُ رَأْسِ رَسُولِ اللهِ </w:t>
      </w:r>
      <w:r w:rsidR="0061079A" w:rsidRPr="0061079A">
        <w:rPr>
          <w:rStyle w:val="libAlaemChar"/>
          <w:rtl/>
        </w:rPr>
        <w:t>صلى‌الله‌عليه‌وآله</w:t>
      </w:r>
      <w:r w:rsidR="00D10E3C">
        <w:rPr>
          <w:rtl/>
          <w:lang w:bidi="fa-IR"/>
        </w:rPr>
        <w:t xml:space="preserve"> </w:t>
      </w:r>
      <w:r>
        <w:rPr>
          <w:rtl/>
          <w:lang w:bidi="fa-IR"/>
        </w:rPr>
        <w:t xml:space="preserve">، وَتَقُولُ </w:t>
      </w:r>
      <w:r w:rsidRPr="00D10E3C">
        <w:rPr>
          <w:rStyle w:val="libFootnotenumChar"/>
          <w:rtl/>
        </w:rPr>
        <w:t>(7)</w:t>
      </w:r>
      <w:r>
        <w:rPr>
          <w:rtl/>
          <w:lang w:bidi="fa-IR"/>
        </w:rPr>
        <w:t xml:space="preserve"> </w:t>
      </w:r>
      <w:r w:rsidR="003A7680">
        <w:rPr>
          <w:rtl/>
          <w:lang w:bidi="fa-IR"/>
        </w:rPr>
        <w:t>: أَشْهَدُ أَنْ لَا إِلهَ إِل</w:t>
      </w:r>
      <w:r w:rsidR="003A7680">
        <w:rPr>
          <w:rFonts w:hint="cs"/>
          <w:rtl/>
          <w:lang w:bidi="fa-IR"/>
        </w:rPr>
        <w:t>َّ</w:t>
      </w:r>
      <w:r w:rsidR="003A7680">
        <w:rPr>
          <w:rtl/>
          <w:lang w:bidi="fa-IR"/>
        </w:rPr>
        <w:t>ا</w:t>
      </w:r>
      <w:r>
        <w:rPr>
          <w:rtl/>
          <w:lang w:bidi="fa-IR"/>
        </w:rPr>
        <w:t xml:space="preserve"> اللهُ وَحْدَهُ لَا شَرِيكَ لَهُ ، وَأَشْهَدُ </w:t>
      </w:r>
      <w:r w:rsidRPr="00D10E3C">
        <w:rPr>
          <w:rStyle w:val="libFootnotenumChar"/>
          <w:rtl/>
        </w:rPr>
        <w:t>(8)</w:t>
      </w:r>
      <w:r>
        <w:rPr>
          <w:rtl/>
          <w:lang w:bidi="fa-IR"/>
        </w:rPr>
        <w:t xml:space="preserve"> أَنَّ مُحَمَّداً عَبْدُهُ وَرَسُولُهُ ، وَأَشْهَدُ أَنَّكَ رَسُولُ اللهِ ، وَأَشْهَدُ </w:t>
      </w:r>
      <w:r w:rsidRPr="00D10E3C">
        <w:rPr>
          <w:rStyle w:val="libFootnotenumChar"/>
          <w:rtl/>
        </w:rPr>
        <w:t>(9)</w:t>
      </w:r>
      <w:r>
        <w:rPr>
          <w:rtl/>
          <w:lang w:bidi="fa-IR"/>
        </w:rPr>
        <w:t xml:space="preserve"> أَنَّكَ مُحَمَّدُ بْنُ عَبْدِ اللهِ </w:t>
      </w:r>
      <w:r w:rsidRPr="00D10E3C">
        <w:rPr>
          <w:rStyle w:val="libFootnotenumChar"/>
          <w:rtl/>
        </w:rPr>
        <w:t>(10)</w:t>
      </w:r>
      <w:r>
        <w:rPr>
          <w:rtl/>
          <w:lang w:bidi="fa-IR"/>
        </w:rPr>
        <w:t xml:space="preserve"> ، وَأَشْهَدُ أَنَّكَ قَدْ بَلَّغْتَ رِسَالَاتِ رَبِّكَ ، وَنَصَحْتَ لِامَّتِكَ ، وَجَاهَدْتَ فِي سَبِيلِ اللهِ ، وَعَبَدْتَ اللهَ </w:t>
      </w:r>
      <w:r w:rsidRPr="00D10E3C">
        <w:rPr>
          <w:rStyle w:val="libFootnotenumChar"/>
          <w:rtl/>
        </w:rPr>
        <w:t>(11)</w:t>
      </w:r>
      <w:r>
        <w:rPr>
          <w:rtl/>
          <w:lang w:bidi="fa-IR"/>
        </w:rPr>
        <w:t xml:space="preserve"> حَتّى أَتَاكَ الْيَقِينُ </w:t>
      </w:r>
      <w:r w:rsidRPr="00D10E3C">
        <w:rPr>
          <w:rStyle w:val="libFootnotenumChar"/>
          <w:rtl/>
        </w:rPr>
        <w:t>(12)</w:t>
      </w:r>
      <w:r>
        <w:rPr>
          <w:rtl/>
          <w:lang w:bidi="fa-IR"/>
        </w:rPr>
        <w:t xml:space="preserve"> بِالْحِكْمَةِ وَالْمَوْعِظَةِ‌ الْحَسَنَةِ </w:t>
      </w:r>
      <w:r w:rsidRPr="00D10E3C">
        <w:rPr>
          <w:rStyle w:val="libFootnotenumChar"/>
          <w:rtl/>
        </w:rPr>
        <w:t>(13)</w:t>
      </w:r>
      <w:r>
        <w:rPr>
          <w:rtl/>
          <w:lang w:bidi="fa-IR"/>
        </w:rPr>
        <w:t xml:space="preserve"> ، وَأَدَّيْتَ الَّذِي عَلَيْكَ مِنَ الْحَقِّ ، وَأَنَّكَ قَدْ رَؤُفْتَ بِالْمُؤْمِنِينَ ، وَغَلُظْتَ عَلَى‌</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بف » : + « بن يحيى ».</w:t>
      </w:r>
    </w:p>
    <w:p w:rsidR="00744A1C" w:rsidRDefault="00E378DD" w:rsidP="00E378DD">
      <w:pPr>
        <w:pStyle w:val="libFootnote0"/>
        <w:rPr>
          <w:lang w:bidi="fa-IR"/>
        </w:rPr>
      </w:pPr>
      <w:r>
        <w:rPr>
          <w:rtl/>
          <w:lang w:bidi="fa-IR"/>
        </w:rPr>
        <w:t>(2).</w:t>
      </w:r>
      <w:r w:rsidR="00744A1C">
        <w:rPr>
          <w:rtl/>
          <w:lang w:bidi="fa-IR"/>
        </w:rPr>
        <w:t xml:space="preserve"> هكذا في معظم النسخ التي قوبلت. وفي « بف » والمطبوع و</w:t>
      </w:r>
      <w:r w:rsidR="00744A1C" w:rsidRPr="00C24F9C">
        <w:rPr>
          <w:rStyle w:val="libFootnoteBoldChar"/>
          <w:rtl/>
        </w:rPr>
        <w:t>الوافي</w:t>
      </w:r>
      <w:r w:rsidR="00744A1C">
        <w:rPr>
          <w:rtl/>
          <w:lang w:bidi="fa-IR"/>
        </w:rPr>
        <w:t xml:space="preserve"> : + « ثمّ تقوم ». وفي </w:t>
      </w:r>
      <w:r w:rsidR="00744A1C" w:rsidRPr="00C24F9C">
        <w:rPr>
          <w:rStyle w:val="libFootnoteBoldChar"/>
          <w:rtl/>
        </w:rPr>
        <w:t>الفقيه</w:t>
      </w:r>
      <w:r w:rsidR="00744A1C">
        <w:rPr>
          <w:rtl/>
          <w:lang w:bidi="fa-IR"/>
        </w:rPr>
        <w:t xml:space="preserve"> : + « وادخل‌المسجد من باب جبرئيل </w:t>
      </w:r>
      <w:r w:rsidR="0061079A" w:rsidRPr="0061079A">
        <w:rPr>
          <w:rStyle w:val="libFootnoteAlaemChar"/>
          <w:rtl/>
        </w:rPr>
        <w:t>عليه‌السلام</w:t>
      </w:r>
      <w:r w:rsidR="00D10E3C">
        <w:rPr>
          <w:rtl/>
          <w:lang w:bidi="fa-IR"/>
        </w:rPr>
        <w:t xml:space="preserve"> </w:t>
      </w:r>
      <w:r w:rsidR="00744A1C">
        <w:rPr>
          <w:rtl/>
          <w:lang w:bidi="fa-IR"/>
        </w:rPr>
        <w:t>، فإذا دخلت ».</w:t>
      </w:r>
    </w:p>
    <w:p w:rsidR="00744A1C" w:rsidRDefault="00E378DD" w:rsidP="00E378DD">
      <w:pPr>
        <w:pStyle w:val="libFootnote0"/>
        <w:rPr>
          <w:lang w:bidi="fa-IR"/>
        </w:rPr>
      </w:pPr>
      <w:r>
        <w:rPr>
          <w:rtl/>
          <w:lang w:bidi="fa-IR"/>
        </w:rPr>
        <w:t>(3).</w:t>
      </w:r>
      <w:r w:rsidR="00744A1C">
        <w:rPr>
          <w:rtl/>
          <w:lang w:bidi="fa-IR"/>
        </w:rPr>
        <w:t xml:space="preserve"> في « بث » و</w:t>
      </w:r>
      <w:r w:rsidR="00744A1C" w:rsidRPr="00C24F9C">
        <w:rPr>
          <w:rStyle w:val="libFootnoteBoldChar"/>
          <w:rtl/>
        </w:rPr>
        <w:t>الفقيه</w:t>
      </w:r>
      <w:r w:rsidR="00744A1C">
        <w:rPr>
          <w:rtl/>
          <w:lang w:bidi="fa-IR"/>
        </w:rPr>
        <w:t xml:space="preserve"> : « فسلّم ».</w:t>
      </w:r>
    </w:p>
    <w:p w:rsidR="00744A1C" w:rsidRDefault="00E378DD" w:rsidP="00E378DD">
      <w:pPr>
        <w:pStyle w:val="libFootnote0"/>
        <w:rPr>
          <w:lang w:bidi="fa-IR"/>
        </w:rPr>
      </w:pPr>
      <w:r>
        <w:rPr>
          <w:rtl/>
          <w:lang w:bidi="fa-IR"/>
        </w:rPr>
        <w:t>(4).</w:t>
      </w:r>
      <w:r w:rsidR="00744A1C">
        <w:rPr>
          <w:rtl/>
          <w:lang w:bidi="fa-IR"/>
        </w:rPr>
        <w:t xml:space="preserve"> في « بخ » : + « من ». وفي </w:t>
      </w:r>
      <w:r w:rsidR="00744A1C" w:rsidRPr="00C24F9C">
        <w:rPr>
          <w:rStyle w:val="libFootnoteBoldChar"/>
          <w:rtl/>
        </w:rPr>
        <w:t>الفقيه</w:t>
      </w:r>
      <w:r w:rsidR="00744A1C">
        <w:rPr>
          <w:rtl/>
          <w:lang w:bidi="fa-IR"/>
        </w:rPr>
        <w:t xml:space="preserve"> : « من » بدل « الأيمن عند رأس القبر ».</w:t>
      </w:r>
    </w:p>
    <w:p w:rsidR="00744A1C" w:rsidRDefault="00E378DD" w:rsidP="00E378DD">
      <w:pPr>
        <w:pStyle w:val="libFootnote0"/>
        <w:rPr>
          <w:lang w:bidi="fa-IR"/>
        </w:rPr>
      </w:pPr>
      <w:r>
        <w:rPr>
          <w:rtl/>
          <w:lang w:bidi="fa-IR"/>
        </w:rPr>
        <w:t>(5).</w:t>
      </w:r>
      <w:r w:rsidR="00744A1C">
        <w:rPr>
          <w:rtl/>
          <w:lang w:bidi="fa-IR"/>
        </w:rPr>
        <w:t xml:space="preserve"> في </w:t>
      </w:r>
      <w:r w:rsidR="00744A1C" w:rsidRPr="00A66125">
        <w:rPr>
          <w:rtl/>
        </w:rPr>
        <w:t>التهذيب وكامل الزيارات</w:t>
      </w:r>
      <w:r w:rsidR="00744A1C">
        <w:rPr>
          <w:rtl/>
          <w:lang w:bidi="fa-IR"/>
        </w:rPr>
        <w:t xml:space="preserve"> : - « عند زاوية القبر ».</w:t>
      </w:r>
    </w:p>
    <w:tbl>
      <w:tblPr>
        <w:tblStyle w:val="TableGrid"/>
        <w:bidiVisual/>
        <w:tblW w:w="0" w:type="auto"/>
        <w:tblLook w:val="04A0" w:firstRow="1" w:lastRow="0" w:firstColumn="1" w:lastColumn="0" w:noHBand="0" w:noVBand="1"/>
      </w:tblPr>
      <w:tblGrid>
        <w:gridCol w:w="4006"/>
        <w:gridCol w:w="4006"/>
      </w:tblGrid>
      <w:tr w:rsidR="00A66125" w:rsidTr="00A66125">
        <w:tc>
          <w:tcPr>
            <w:tcW w:w="4006" w:type="dxa"/>
          </w:tcPr>
          <w:p w:rsidR="00A66125" w:rsidRDefault="00A66125" w:rsidP="00E378DD">
            <w:pPr>
              <w:pStyle w:val="libFootnote0"/>
              <w:rPr>
                <w:rtl/>
                <w:lang w:bidi="fa-IR"/>
              </w:rPr>
            </w:pPr>
            <w:r>
              <w:rPr>
                <w:rtl/>
                <w:lang w:bidi="fa-IR"/>
              </w:rPr>
              <w:t>(6). في « بخ » : « على جانب » بدل « ممّا يلي ».</w:t>
            </w:r>
          </w:p>
        </w:tc>
        <w:tc>
          <w:tcPr>
            <w:tcW w:w="4006" w:type="dxa"/>
          </w:tcPr>
          <w:p w:rsidR="00A66125" w:rsidRDefault="00A66125" w:rsidP="00E378DD">
            <w:pPr>
              <w:pStyle w:val="libFootnote0"/>
              <w:rPr>
                <w:rtl/>
                <w:lang w:bidi="fa-IR"/>
              </w:rPr>
            </w:pPr>
            <w:r>
              <w:rPr>
                <w:rtl/>
                <w:lang w:bidi="fa-IR"/>
              </w:rPr>
              <w:t xml:space="preserve">(7). في </w:t>
            </w:r>
            <w:r w:rsidRPr="00A66125">
              <w:rPr>
                <w:rtl/>
              </w:rPr>
              <w:t>الوافي</w:t>
            </w:r>
            <w:r>
              <w:rPr>
                <w:rtl/>
                <w:lang w:bidi="fa-IR"/>
              </w:rPr>
              <w:t xml:space="preserve"> : « تقول » بدون الواو.</w:t>
            </w:r>
          </w:p>
        </w:tc>
      </w:tr>
      <w:tr w:rsidR="00A66125" w:rsidTr="00A66125">
        <w:tc>
          <w:tcPr>
            <w:tcW w:w="4006" w:type="dxa"/>
          </w:tcPr>
          <w:p w:rsidR="00A66125" w:rsidRDefault="00A66125" w:rsidP="00E378DD">
            <w:pPr>
              <w:pStyle w:val="libFootnote0"/>
              <w:rPr>
                <w:rtl/>
                <w:lang w:bidi="fa-IR"/>
              </w:rPr>
            </w:pPr>
            <w:r>
              <w:rPr>
                <w:rtl/>
                <w:lang w:bidi="fa-IR"/>
              </w:rPr>
              <w:t xml:space="preserve">(8). في </w:t>
            </w:r>
            <w:r w:rsidRPr="00A66125">
              <w:rPr>
                <w:rtl/>
              </w:rPr>
              <w:t xml:space="preserve">التهذيب </w:t>
            </w:r>
            <w:r>
              <w:rPr>
                <w:rtl/>
                <w:lang w:bidi="fa-IR"/>
              </w:rPr>
              <w:t>: - « أشهد ».</w:t>
            </w:r>
          </w:p>
        </w:tc>
        <w:tc>
          <w:tcPr>
            <w:tcW w:w="4006" w:type="dxa"/>
          </w:tcPr>
          <w:p w:rsidR="00A66125" w:rsidRDefault="00A66125" w:rsidP="00E378DD">
            <w:pPr>
              <w:pStyle w:val="libFootnote0"/>
              <w:rPr>
                <w:rtl/>
                <w:lang w:bidi="fa-IR"/>
              </w:rPr>
            </w:pPr>
            <w:r>
              <w:rPr>
                <w:rtl/>
                <w:lang w:bidi="fa-IR"/>
              </w:rPr>
              <w:t xml:space="preserve">(9). في </w:t>
            </w:r>
            <w:r w:rsidRPr="00A66125">
              <w:rPr>
                <w:rtl/>
              </w:rPr>
              <w:t>التهذيب وكامل الزيارات :</w:t>
            </w:r>
            <w:r>
              <w:rPr>
                <w:rtl/>
                <w:lang w:bidi="fa-IR"/>
              </w:rPr>
              <w:t xml:space="preserve"> - « أشهد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A66125">
        <w:rPr>
          <w:rtl/>
        </w:rPr>
        <w:t>المرآة</w:t>
      </w:r>
      <w:r w:rsidR="00744A1C">
        <w:rPr>
          <w:rtl/>
          <w:lang w:bidi="fa-IR"/>
        </w:rPr>
        <w:t xml:space="preserve"> : « لعلّ المراد به أنّك محمّد بن عبد الله المبشّر به في كتب الله ، وعلى لسان أنبيائه </w:t>
      </w:r>
      <w:r w:rsidR="00877682" w:rsidRPr="00877682">
        <w:rPr>
          <w:rStyle w:val="libFootnoteAlaemChar"/>
          <w:rtl/>
        </w:rPr>
        <w:t>عليهم‌السلام</w:t>
      </w:r>
      <w:r w:rsidR="00D10E3C">
        <w:rPr>
          <w:rtl/>
          <w:lang w:bidi="fa-IR"/>
        </w:rPr>
        <w:t xml:space="preserve"> </w:t>
      </w:r>
      <w:r w:rsidR="00744A1C">
        <w:rPr>
          <w:rtl/>
          <w:lang w:bidi="fa-IR"/>
        </w:rPr>
        <w:t xml:space="preserve">ردّاً على اليهودوغيرهم ممّن قالوا : إنّه </w:t>
      </w:r>
      <w:r w:rsidR="00F90866" w:rsidRPr="00F90866">
        <w:rPr>
          <w:rStyle w:val="libFootnoteAlaemChar"/>
          <w:rtl/>
        </w:rPr>
        <w:t>صلى‌الله‌عليه‌وآله</w:t>
      </w:r>
      <w:r w:rsidR="00744A1C">
        <w:rPr>
          <w:rtl/>
          <w:lang w:bidi="fa-IR"/>
        </w:rPr>
        <w:t>ليس هو المبشّر به ».</w:t>
      </w:r>
    </w:p>
    <w:p w:rsidR="00744A1C" w:rsidRDefault="00E378DD" w:rsidP="00DF02DB">
      <w:pPr>
        <w:pStyle w:val="libFootnote0"/>
        <w:rPr>
          <w:lang w:bidi="fa-IR"/>
        </w:rPr>
      </w:pPr>
      <w:r>
        <w:rPr>
          <w:rtl/>
          <w:lang w:bidi="fa-IR"/>
        </w:rPr>
        <w:t>(11).</w:t>
      </w:r>
      <w:r w:rsidR="00744A1C">
        <w:rPr>
          <w:rtl/>
          <w:lang w:bidi="fa-IR"/>
        </w:rPr>
        <w:t xml:space="preserve"> هكذا في « ى ، بث ، بخ ، بس ، بف ، جد ، جن » وحاشية « بح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و</w:t>
      </w:r>
      <w:r w:rsidR="00744A1C" w:rsidRPr="007B299E">
        <w:rPr>
          <w:rStyle w:val="libFootnoteBoldChar"/>
          <w:rtl/>
        </w:rPr>
        <w:t>كامل الزيارات</w:t>
      </w:r>
      <w:r w:rsidR="00744A1C">
        <w:rPr>
          <w:rtl/>
          <w:lang w:bidi="fa-IR"/>
        </w:rPr>
        <w:t>. وفي « بح » والمطبوع و</w:t>
      </w:r>
      <w:r w:rsidR="00744A1C" w:rsidRPr="00C24F9C">
        <w:rPr>
          <w:rStyle w:val="libFootnoteBoldChar"/>
          <w:rtl/>
        </w:rPr>
        <w:t>الوافي</w:t>
      </w:r>
      <w:r w:rsidR="00744A1C">
        <w:rPr>
          <w:rtl/>
          <w:lang w:bidi="fa-IR"/>
        </w:rPr>
        <w:t xml:space="preserve"> : + « مخلصاً ».</w:t>
      </w:r>
      <w:r w:rsidR="00DF02DB">
        <w:rPr>
          <w:rFonts w:hint="cs"/>
          <w:rtl/>
          <w:lang w:bidi="fa-IR"/>
        </w:rPr>
        <w:t xml:space="preserve">   </w:t>
      </w:r>
      <w:r>
        <w:rPr>
          <w:rtl/>
          <w:lang w:bidi="fa-IR"/>
        </w:rPr>
        <w:t>(12).</w:t>
      </w:r>
      <w:r w:rsidR="00744A1C">
        <w:rPr>
          <w:rtl/>
          <w:lang w:bidi="fa-IR"/>
        </w:rPr>
        <w:t xml:space="preserve"> في </w:t>
      </w:r>
      <w:r w:rsidR="00744A1C" w:rsidRPr="00C24F9C">
        <w:rPr>
          <w:rStyle w:val="libFootnoteBoldChar"/>
          <w:rtl/>
        </w:rPr>
        <w:t>الفقيه</w:t>
      </w:r>
      <w:r w:rsidR="00744A1C">
        <w:rPr>
          <w:rtl/>
          <w:lang w:bidi="fa-IR"/>
        </w:rPr>
        <w:t xml:space="preserve"> : + « ودعوت إلى سبيل ربّك ».</w:t>
      </w:r>
    </w:p>
    <w:p w:rsidR="00744A1C" w:rsidRDefault="00E378DD" w:rsidP="00E378DD">
      <w:pPr>
        <w:pStyle w:val="libFootnote0"/>
        <w:rPr>
          <w:lang w:bidi="fa-IR"/>
        </w:rPr>
      </w:pPr>
      <w:r>
        <w:rPr>
          <w:rtl/>
          <w:lang w:bidi="fa-IR"/>
        </w:rPr>
        <w:t>(13).</w:t>
      </w:r>
      <w:r w:rsidR="00744A1C">
        <w:rPr>
          <w:rtl/>
          <w:lang w:bidi="fa-IR"/>
        </w:rPr>
        <w:t xml:space="preserve"> في </w:t>
      </w:r>
      <w:r w:rsidR="00744A1C" w:rsidRPr="00877682">
        <w:rPr>
          <w:rStyle w:val="libFootnoteBoldChar"/>
          <w:rtl/>
        </w:rPr>
        <w:t>مرآة العقول</w:t>
      </w:r>
      <w:r w:rsidR="00744A1C">
        <w:rPr>
          <w:rtl/>
          <w:lang w:bidi="fa-IR"/>
        </w:rPr>
        <w:t xml:space="preserve"> ، ج 18 ، ص 260 : « متعلّق بكلّ من بلغت ونصحت وجاهدت ، وهو ناظر إلى قوله تعالي : </w:t>
      </w:r>
      <w:r w:rsidR="00744A1C" w:rsidRPr="00DF02DB">
        <w:rPr>
          <w:rStyle w:val="libFootnoteAlaemChar"/>
          <w:rtl/>
        </w:rPr>
        <w:t>(</w:t>
      </w:r>
      <w:r w:rsidR="00744A1C" w:rsidRPr="00DF02DB">
        <w:rPr>
          <w:rStyle w:val="libFootnoteAieChar"/>
          <w:rtl/>
        </w:rPr>
        <w:t xml:space="preserve"> ادْعُ إِلى سَبِيلِ رَبِّكَ بِالْحِكْمَةِ وَالْمَوْعِظَةِ الْحَسَنَةِ </w:t>
      </w:r>
      <w:r w:rsidR="00744A1C" w:rsidRPr="00DF02DB">
        <w:rPr>
          <w:rStyle w:val="libFootnoteAlaemChar"/>
          <w:rtl/>
        </w:rPr>
        <w:t>)</w:t>
      </w:r>
      <w:r w:rsidR="00744A1C">
        <w:rPr>
          <w:rtl/>
          <w:lang w:bidi="fa-IR"/>
        </w:rPr>
        <w:t xml:space="preserve"> [ النحل (16) : 125 ] ».</w:t>
      </w:r>
    </w:p>
    <w:p w:rsidR="00150943" w:rsidRDefault="00150943" w:rsidP="00D10E3C">
      <w:pPr>
        <w:pStyle w:val="libNormal"/>
        <w:rPr>
          <w:rtl/>
          <w:lang w:bidi="fa-IR"/>
        </w:rPr>
      </w:pPr>
      <w:r>
        <w:rPr>
          <w:rtl/>
          <w:lang w:bidi="fa-IR"/>
        </w:rPr>
        <w:br w:type="page"/>
      </w:r>
    </w:p>
    <w:p w:rsidR="00744A1C" w:rsidRDefault="00744A1C" w:rsidP="00EE7E5B">
      <w:pPr>
        <w:pStyle w:val="libNormal0"/>
        <w:rPr>
          <w:lang w:bidi="fa-IR"/>
        </w:rPr>
      </w:pPr>
      <w:r>
        <w:rPr>
          <w:rtl/>
          <w:lang w:bidi="fa-IR"/>
        </w:rPr>
        <w:lastRenderedPageBreak/>
        <w:t xml:space="preserve">الْكَافِرِينَ ، فَبَلَغَ اللهُ بِكَ أَفْضَلَ شَرَفِ مَحَلِّ الْمُكْرَمِينَ </w:t>
      </w:r>
      <w:r w:rsidRPr="00D10E3C">
        <w:rPr>
          <w:rStyle w:val="libFootnotenumChar"/>
          <w:rtl/>
        </w:rPr>
        <w:t>(1)</w:t>
      </w:r>
      <w:r>
        <w:rPr>
          <w:rtl/>
          <w:lang w:bidi="fa-IR"/>
        </w:rPr>
        <w:t xml:space="preserve"> ، الْحَمْدُ لِلّهِ الَّذِي اسْتَنْقَذَنَا بِكَ مِنَ الشِّرْكِ وَالضَّلَالَةِ.</w:t>
      </w:r>
    </w:p>
    <w:p w:rsidR="00744A1C" w:rsidRDefault="00744A1C" w:rsidP="00744A1C">
      <w:pPr>
        <w:pStyle w:val="libNormal"/>
        <w:rPr>
          <w:lang w:bidi="fa-IR"/>
        </w:rPr>
      </w:pPr>
      <w:r>
        <w:rPr>
          <w:rtl/>
          <w:lang w:bidi="fa-IR"/>
        </w:rPr>
        <w:t>الل</w:t>
      </w:r>
      <w:r w:rsidR="00435169">
        <w:rPr>
          <w:rFonts w:hint="cs"/>
          <w:rtl/>
          <w:lang w:bidi="fa-IR"/>
        </w:rPr>
        <w:t>ّ</w:t>
      </w:r>
      <w:r>
        <w:rPr>
          <w:rtl/>
          <w:lang w:bidi="fa-IR"/>
        </w:rPr>
        <w:t xml:space="preserve">هُمَّ فَاجْعَلْ صَلَوَاتِكَ </w:t>
      </w:r>
      <w:r w:rsidRPr="00D10E3C">
        <w:rPr>
          <w:rStyle w:val="libFootnotenumChar"/>
          <w:rtl/>
        </w:rPr>
        <w:t>(2)</w:t>
      </w:r>
      <w:r>
        <w:rPr>
          <w:rtl/>
          <w:lang w:bidi="fa-IR"/>
        </w:rPr>
        <w:t xml:space="preserve"> وَصَلَوَاتِ </w:t>
      </w:r>
      <w:r w:rsidRPr="00D10E3C">
        <w:rPr>
          <w:rStyle w:val="libFootnotenumChar"/>
          <w:rtl/>
        </w:rPr>
        <w:t>(3)</w:t>
      </w:r>
      <w:r>
        <w:rPr>
          <w:rtl/>
          <w:lang w:bidi="fa-IR"/>
        </w:rPr>
        <w:t xml:space="preserve"> مَلَائِكَتِكَ الْمُقَرَّبِينَ ، وَعِبَادِكَ الصَّالِحِينَ ، وَأَنْبِيَائِكَ الْمُرْسَلِينَ ، وَأَهْلِ السَّمَاوَاتِ وَالْأَرَضِينَ ، وَمَنْ سَبَّحَ لَكَ يَا رَبَّ الْعَالَمِينَ مِنَ الْأَوَّلِينَ وَالْآخِرِينَ ، عَلى مُحَمَّدٍ عَبْدِكَ وَ</w:t>
      </w:r>
      <w:r w:rsidR="007317A2">
        <w:rPr>
          <w:rFonts w:hint="cs"/>
          <w:rtl/>
          <w:lang w:bidi="fa-IR"/>
        </w:rPr>
        <w:t xml:space="preserve"> </w:t>
      </w:r>
      <w:r>
        <w:rPr>
          <w:rtl/>
          <w:lang w:bidi="fa-IR"/>
        </w:rPr>
        <w:t xml:space="preserve">رَسُولِكَ وَنَبِيِّكَ وَأَمِينِكَ وَنَجِيِّكَ </w:t>
      </w:r>
      <w:r w:rsidRPr="00D10E3C">
        <w:rPr>
          <w:rStyle w:val="libFootnotenumChar"/>
          <w:rtl/>
        </w:rPr>
        <w:t>(4)</w:t>
      </w:r>
      <w:r>
        <w:rPr>
          <w:rtl/>
          <w:lang w:bidi="fa-IR"/>
        </w:rPr>
        <w:t xml:space="preserve"> وَحَبِيبِكَ </w:t>
      </w:r>
      <w:r w:rsidRPr="00D10E3C">
        <w:rPr>
          <w:rStyle w:val="libFootnotenumChar"/>
          <w:rtl/>
        </w:rPr>
        <w:t>(5)</w:t>
      </w:r>
      <w:r>
        <w:rPr>
          <w:rtl/>
          <w:lang w:bidi="fa-IR"/>
        </w:rPr>
        <w:t xml:space="preserve"> وَصَفِيِّكَ وَخَاصَّتِكَ </w:t>
      </w:r>
      <w:r w:rsidRPr="00D10E3C">
        <w:rPr>
          <w:rStyle w:val="libFootnotenumChar"/>
          <w:rtl/>
        </w:rPr>
        <w:t>(6)</w:t>
      </w:r>
      <w:r>
        <w:rPr>
          <w:rtl/>
          <w:lang w:bidi="fa-IR"/>
        </w:rPr>
        <w:t xml:space="preserve"> وَصَفْوَتِكَ </w:t>
      </w:r>
      <w:r w:rsidRPr="00D10E3C">
        <w:rPr>
          <w:rStyle w:val="libFootnotenumChar"/>
          <w:rtl/>
        </w:rPr>
        <w:t>(7)</w:t>
      </w:r>
      <w:r>
        <w:rPr>
          <w:rtl/>
          <w:lang w:bidi="fa-IR"/>
        </w:rPr>
        <w:t xml:space="preserve"> وَخِيَرَتِكَ مِنْ خَلْقِكَ.</w:t>
      </w:r>
    </w:p>
    <w:p w:rsidR="00744A1C" w:rsidRDefault="00744A1C" w:rsidP="00744A1C">
      <w:pPr>
        <w:pStyle w:val="libNormal"/>
        <w:rPr>
          <w:lang w:bidi="fa-IR"/>
        </w:rPr>
      </w:pPr>
      <w:r>
        <w:rPr>
          <w:rtl/>
          <w:lang w:bidi="fa-IR"/>
        </w:rPr>
        <w:t>الل</w:t>
      </w:r>
      <w:r w:rsidR="00435169">
        <w:rPr>
          <w:rFonts w:hint="cs"/>
          <w:rtl/>
          <w:lang w:bidi="fa-IR"/>
        </w:rPr>
        <w:t>ّ</w:t>
      </w:r>
      <w:r>
        <w:rPr>
          <w:rtl/>
          <w:lang w:bidi="fa-IR"/>
        </w:rPr>
        <w:t xml:space="preserve">هُمَّ أَعْطِهِ الدَّرَجَةَ وَالْوَسِيلَةَ </w:t>
      </w:r>
      <w:r w:rsidRPr="00D10E3C">
        <w:rPr>
          <w:rStyle w:val="libFootnotenumChar"/>
          <w:rtl/>
        </w:rPr>
        <w:t>(8)</w:t>
      </w:r>
      <w:r>
        <w:rPr>
          <w:rtl/>
          <w:lang w:bidi="fa-IR"/>
        </w:rPr>
        <w:t xml:space="preserve"> مِنَ </w:t>
      </w:r>
      <w:r w:rsidRPr="00D10E3C">
        <w:rPr>
          <w:rStyle w:val="libFootnotenumChar"/>
          <w:rtl/>
        </w:rPr>
        <w:t>(9)</w:t>
      </w:r>
      <w:r>
        <w:rPr>
          <w:rtl/>
          <w:lang w:bidi="fa-IR"/>
        </w:rPr>
        <w:t xml:space="preserve"> الْجَنَّةِ ، وَابْعَثْهُ مَقَاماً مَحْمُوداً يَغْبِطُهُ </w:t>
      </w:r>
      <w:r w:rsidRPr="00D10E3C">
        <w:rPr>
          <w:rStyle w:val="libFootnotenumChar"/>
          <w:rtl/>
        </w:rPr>
        <w:t>(10)</w:t>
      </w:r>
      <w:r>
        <w:rPr>
          <w:rtl/>
          <w:lang w:bidi="fa-IR"/>
        </w:rPr>
        <w:t xml:space="preserve"> بِهِ الْأَوَّلُونَ وَالْآخِرُونَ.</w:t>
      </w:r>
    </w:p>
    <w:p w:rsidR="00744A1C" w:rsidRDefault="00744A1C" w:rsidP="00744A1C">
      <w:pPr>
        <w:pStyle w:val="libNormal"/>
        <w:rPr>
          <w:lang w:bidi="fa-IR"/>
        </w:rPr>
      </w:pPr>
      <w:r>
        <w:rPr>
          <w:rtl/>
          <w:lang w:bidi="fa-IR"/>
        </w:rPr>
        <w:t>الل</w:t>
      </w:r>
      <w:r w:rsidR="007317A2">
        <w:rPr>
          <w:rFonts w:hint="cs"/>
          <w:rtl/>
          <w:lang w:bidi="fa-IR"/>
        </w:rPr>
        <w:t>ّ</w:t>
      </w:r>
      <w:r>
        <w:rPr>
          <w:rtl/>
          <w:lang w:bidi="fa-IR"/>
        </w:rPr>
        <w:t xml:space="preserve">هُمَّ إِنَّكَ قُلْتَ </w:t>
      </w:r>
      <w:r w:rsidRPr="00D10E3C">
        <w:rPr>
          <w:rStyle w:val="libFootnotenumChar"/>
          <w:rtl/>
        </w:rPr>
        <w:t>(11)</w:t>
      </w:r>
      <w:r>
        <w:rPr>
          <w:rtl/>
          <w:lang w:bidi="fa-IR"/>
        </w:rPr>
        <w:t xml:space="preserve"> : </w:t>
      </w:r>
      <w:r w:rsidRPr="007317A2">
        <w:rPr>
          <w:rStyle w:val="libAlaemChar"/>
          <w:rtl/>
        </w:rPr>
        <w:t>(</w:t>
      </w:r>
      <w:r w:rsidRPr="007317A2">
        <w:rPr>
          <w:rStyle w:val="libAieChar"/>
          <w:rtl/>
        </w:rPr>
        <w:t xml:space="preserve"> وَلَوْ أَنَّهُمْ إِذْ ظَلَمُوا أَنْفُسَهُمْ جاؤُكَ فَاسْتَغْفَرُوا اللهَ وَاسْتَغْفَرَ لَهُمُ الرَّسُولُ لَوَجَدُوا اللهَ تَوّاباً رَحِيماً </w:t>
      </w:r>
      <w:r w:rsidRPr="007317A2">
        <w:rPr>
          <w:rStyle w:val="libAlaemChar"/>
          <w:rtl/>
        </w:rPr>
        <w:t>)</w:t>
      </w:r>
      <w:r>
        <w:rPr>
          <w:rtl/>
          <w:lang w:bidi="fa-IR"/>
        </w:rPr>
        <w:t xml:space="preserve"> </w:t>
      </w:r>
      <w:r w:rsidRPr="00D10E3C">
        <w:rPr>
          <w:rStyle w:val="libFootnotenumChar"/>
          <w:rtl/>
        </w:rPr>
        <w:t>(12)</w:t>
      </w:r>
      <w:r>
        <w:rPr>
          <w:rtl/>
          <w:lang w:bidi="fa-IR"/>
        </w:rPr>
        <w:t xml:space="preserve"> وَإِنِّي أَتَيْتُ نَبِيَّكَ </w:t>
      </w:r>
      <w:r w:rsidRPr="00D10E3C">
        <w:rPr>
          <w:rStyle w:val="libFootnotenumChar"/>
          <w:rtl/>
        </w:rPr>
        <w:t>(13)</w:t>
      </w:r>
      <w:r>
        <w:rPr>
          <w:rtl/>
          <w:lang w:bidi="fa-IR"/>
        </w:rPr>
        <w:t xml:space="preserve"> مُسْتَغْفِراً تَائِباً </w:t>
      </w:r>
      <w:r w:rsidRPr="00D10E3C">
        <w:rPr>
          <w:rStyle w:val="libFootnotenumChar"/>
          <w:rtl/>
        </w:rPr>
        <w:t>(14)</w:t>
      </w:r>
      <w:r>
        <w:rPr>
          <w:rtl/>
          <w:lang w:bidi="fa-IR"/>
        </w:rPr>
        <w:t xml:space="preserve"> مِنْ ذُنُوبِي ، وَإِنِّي أَتَوَجَّهُ </w:t>
      </w:r>
      <w:r w:rsidRPr="00D10E3C">
        <w:rPr>
          <w:rStyle w:val="libFootnotenumChar"/>
          <w:rtl/>
        </w:rPr>
        <w:t>(15)</w:t>
      </w:r>
      <w:r>
        <w:rPr>
          <w:rtl/>
          <w:lang w:bidi="fa-IR"/>
        </w:rPr>
        <w:t xml:space="preserve"> بِكَ إِلَى اللهِ رَبِّي وَرَبِّكَ لِيَغْفِرَ لِي </w:t>
      </w:r>
      <w:r w:rsidRPr="00D10E3C">
        <w:rPr>
          <w:rStyle w:val="libFootnotenumChar"/>
          <w:rtl/>
        </w:rPr>
        <w:t>(16)</w:t>
      </w:r>
      <w:r>
        <w:rPr>
          <w:rtl/>
          <w:lang w:bidi="fa-IR"/>
        </w:rPr>
        <w:t xml:space="preserve"> ذُنُوبِي.</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7317A2" w:rsidTr="007317A2">
        <w:tc>
          <w:tcPr>
            <w:tcW w:w="4006" w:type="dxa"/>
          </w:tcPr>
          <w:p w:rsidR="007317A2" w:rsidRDefault="007317A2" w:rsidP="00D10E3C">
            <w:pPr>
              <w:pStyle w:val="libFootnote0"/>
              <w:rPr>
                <w:rtl/>
                <w:lang w:bidi="fa-IR"/>
              </w:rPr>
            </w:pPr>
            <w:r>
              <w:rPr>
                <w:rtl/>
                <w:lang w:bidi="fa-IR"/>
              </w:rPr>
              <w:t>(1). يجوز فيه هيئة الإفعال والتفعيل.</w:t>
            </w:r>
          </w:p>
        </w:tc>
        <w:tc>
          <w:tcPr>
            <w:tcW w:w="4006" w:type="dxa"/>
          </w:tcPr>
          <w:p w:rsidR="007317A2" w:rsidRDefault="007317A2" w:rsidP="00D10E3C">
            <w:pPr>
              <w:pStyle w:val="libFootnote0"/>
              <w:rPr>
                <w:rtl/>
                <w:lang w:bidi="fa-IR"/>
              </w:rPr>
            </w:pPr>
            <w:r>
              <w:rPr>
                <w:rtl/>
                <w:lang w:bidi="fa-IR"/>
              </w:rPr>
              <w:t xml:space="preserve">(2). في « بخ » </w:t>
            </w:r>
            <w:r w:rsidRPr="0061079A">
              <w:rPr>
                <w:rStyle w:val="libFootnoteBoldChar"/>
                <w:rtl/>
              </w:rPr>
              <w:t>والتهذيب</w:t>
            </w:r>
            <w:r>
              <w:rPr>
                <w:rtl/>
                <w:lang w:bidi="fa-IR"/>
              </w:rPr>
              <w:t xml:space="preserve"> : « صلاتك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 وصلاة ».</w:t>
      </w:r>
    </w:p>
    <w:p w:rsidR="00744A1C" w:rsidRDefault="00E378DD" w:rsidP="00E378DD">
      <w:pPr>
        <w:pStyle w:val="libFootnote0"/>
        <w:rPr>
          <w:lang w:bidi="fa-IR"/>
        </w:rPr>
      </w:pPr>
      <w:r>
        <w:rPr>
          <w:rtl/>
          <w:lang w:bidi="fa-IR"/>
        </w:rPr>
        <w:t>(4).</w:t>
      </w:r>
      <w:r w:rsidR="00744A1C">
        <w:rPr>
          <w:rtl/>
          <w:lang w:bidi="fa-IR"/>
        </w:rPr>
        <w:t xml:space="preserve"> في « بس » وحاشية « جد » و</w:t>
      </w:r>
      <w:r w:rsidR="00744A1C" w:rsidRPr="00C24F9C">
        <w:rPr>
          <w:rStyle w:val="libFootnoteBoldChar"/>
          <w:rtl/>
        </w:rPr>
        <w:t>المرآة</w:t>
      </w:r>
      <w:r w:rsidR="00744A1C">
        <w:rPr>
          <w:rtl/>
          <w:lang w:bidi="fa-IR"/>
        </w:rPr>
        <w:t xml:space="preserve"> </w:t>
      </w:r>
      <w:r w:rsidR="00744A1C" w:rsidRPr="0061079A">
        <w:rPr>
          <w:rStyle w:val="libFootnoteBoldChar"/>
          <w:rtl/>
        </w:rPr>
        <w:t>والتهذيب</w:t>
      </w:r>
      <w:r w:rsidR="00744A1C">
        <w:rPr>
          <w:rtl/>
          <w:lang w:bidi="fa-IR"/>
        </w:rPr>
        <w:t xml:space="preserve"> : « ونجيبك ».</w:t>
      </w:r>
    </w:p>
    <w:p w:rsidR="00744A1C" w:rsidRDefault="00E378DD" w:rsidP="00E378DD">
      <w:pPr>
        <w:pStyle w:val="libFootnote0"/>
        <w:rPr>
          <w:lang w:bidi="fa-IR"/>
        </w:rPr>
      </w:pPr>
      <w:r>
        <w:rPr>
          <w:rtl/>
          <w:lang w:bidi="fa-IR"/>
        </w:rPr>
        <w:t>(5).</w:t>
      </w:r>
      <w:r w:rsidR="00744A1C">
        <w:rPr>
          <w:rtl/>
          <w:lang w:bidi="fa-IR"/>
        </w:rPr>
        <w:t xml:space="preserve"> في « بث » : - « وحبيبك ». وفي حاشية « بث » : « ونجيبك ».</w:t>
      </w:r>
    </w:p>
    <w:p w:rsidR="00744A1C" w:rsidRDefault="00E378DD" w:rsidP="00E378DD">
      <w:pPr>
        <w:pStyle w:val="libFootnote0"/>
        <w:rPr>
          <w:lang w:bidi="fa-IR"/>
        </w:rPr>
      </w:pPr>
      <w:r>
        <w:rPr>
          <w:rtl/>
          <w:lang w:bidi="fa-IR"/>
        </w:rPr>
        <w:t>(6).</w:t>
      </w:r>
      <w:r w:rsidR="00744A1C">
        <w:rPr>
          <w:rtl/>
          <w:lang w:bidi="fa-IR"/>
        </w:rPr>
        <w:t xml:space="preserve"> في</w:t>
      </w:r>
      <w:r w:rsidR="00744A1C" w:rsidRPr="000A4E67">
        <w:rPr>
          <w:rtl/>
        </w:rPr>
        <w:t xml:space="preserve"> التهذيب</w:t>
      </w:r>
      <w:r w:rsidR="00744A1C">
        <w:rPr>
          <w:rtl/>
          <w:lang w:bidi="fa-IR"/>
        </w:rPr>
        <w:t xml:space="preserve"> : « وخاصّتك وصفيّك ».</w:t>
      </w:r>
    </w:p>
    <w:p w:rsidR="00744A1C" w:rsidRDefault="00E378DD" w:rsidP="00E378DD">
      <w:pPr>
        <w:pStyle w:val="libFootnote0"/>
        <w:rPr>
          <w:lang w:bidi="fa-IR"/>
        </w:rPr>
      </w:pPr>
      <w:r>
        <w:rPr>
          <w:rtl/>
          <w:lang w:bidi="fa-IR"/>
        </w:rPr>
        <w:t>(7).</w:t>
      </w:r>
      <w:r w:rsidR="00744A1C">
        <w:rPr>
          <w:rtl/>
          <w:lang w:bidi="fa-IR"/>
        </w:rPr>
        <w:t xml:space="preserve"> في</w:t>
      </w:r>
      <w:r w:rsidR="00744A1C" w:rsidRPr="000A4E67">
        <w:rPr>
          <w:rtl/>
        </w:rPr>
        <w:t xml:space="preserve"> الوافي</w:t>
      </w:r>
      <w:r w:rsidR="00744A1C">
        <w:rPr>
          <w:rtl/>
          <w:lang w:bidi="fa-IR"/>
        </w:rPr>
        <w:t xml:space="preserve"> عن بعض النسخ : + « من بريّتك ».</w:t>
      </w:r>
    </w:p>
    <w:tbl>
      <w:tblPr>
        <w:tblStyle w:val="TableGrid"/>
        <w:bidiVisual/>
        <w:tblW w:w="0" w:type="auto"/>
        <w:tblLook w:val="04A0" w:firstRow="1" w:lastRow="0" w:firstColumn="1" w:lastColumn="0" w:noHBand="0" w:noVBand="1"/>
      </w:tblPr>
      <w:tblGrid>
        <w:gridCol w:w="4006"/>
        <w:gridCol w:w="4006"/>
      </w:tblGrid>
      <w:tr w:rsidR="007317A2" w:rsidTr="007317A2">
        <w:tc>
          <w:tcPr>
            <w:tcW w:w="4006" w:type="dxa"/>
          </w:tcPr>
          <w:p w:rsidR="007317A2" w:rsidRDefault="007317A2" w:rsidP="00E378DD">
            <w:pPr>
              <w:pStyle w:val="libFootnote0"/>
              <w:rPr>
                <w:rtl/>
                <w:lang w:bidi="fa-IR"/>
              </w:rPr>
            </w:pPr>
            <w:r>
              <w:rPr>
                <w:rtl/>
                <w:lang w:bidi="fa-IR"/>
              </w:rPr>
              <w:t xml:space="preserve">(8). في </w:t>
            </w:r>
            <w:r w:rsidRPr="000A4E67">
              <w:rPr>
                <w:rtl/>
              </w:rPr>
              <w:t>التهذيب</w:t>
            </w:r>
            <w:r>
              <w:rPr>
                <w:rtl/>
                <w:lang w:bidi="fa-IR"/>
              </w:rPr>
              <w:t xml:space="preserve"> : « وآته الوسيلة ».</w:t>
            </w:r>
          </w:p>
        </w:tc>
        <w:tc>
          <w:tcPr>
            <w:tcW w:w="4006" w:type="dxa"/>
          </w:tcPr>
          <w:p w:rsidR="007317A2" w:rsidRDefault="007317A2" w:rsidP="00E378DD">
            <w:pPr>
              <w:pStyle w:val="libFootnote0"/>
              <w:rPr>
                <w:rtl/>
                <w:lang w:bidi="fa-IR"/>
              </w:rPr>
            </w:pPr>
            <w:r>
              <w:rPr>
                <w:rtl/>
                <w:lang w:bidi="fa-IR"/>
              </w:rPr>
              <w:t xml:space="preserve">(9). في « بخ ، بس » </w:t>
            </w:r>
            <w:r w:rsidRPr="000A4E67">
              <w:rPr>
                <w:rtl/>
              </w:rPr>
              <w:t>والوافي</w:t>
            </w:r>
            <w:r>
              <w:rPr>
                <w:rtl/>
                <w:lang w:bidi="fa-IR"/>
              </w:rPr>
              <w:t xml:space="preserve"> : « في ».</w:t>
            </w:r>
          </w:p>
        </w:tc>
      </w:tr>
    </w:tbl>
    <w:p w:rsidR="00744A1C" w:rsidRDefault="00E378DD" w:rsidP="00E378DD">
      <w:pPr>
        <w:pStyle w:val="libFootnote0"/>
        <w:rPr>
          <w:lang w:bidi="fa-IR"/>
        </w:rPr>
      </w:pPr>
      <w:r>
        <w:rPr>
          <w:rtl/>
          <w:lang w:bidi="fa-IR"/>
        </w:rPr>
        <w:t>(10).</w:t>
      </w:r>
      <w:r w:rsidR="00744A1C">
        <w:rPr>
          <w:rtl/>
          <w:lang w:bidi="fa-IR"/>
        </w:rPr>
        <w:t xml:space="preserve"> الغِبْطَةُ : أن يتمنّى الرجل مثل حال المغبوط ونعمته ، أو حسن حاله من غير أن يريد زوالها ولا أن تتحوّل عنه. راجع : </w:t>
      </w:r>
      <w:r w:rsidR="00744A1C" w:rsidRPr="00877682">
        <w:rPr>
          <w:rStyle w:val="libFootnoteBoldChar"/>
          <w:rtl/>
        </w:rPr>
        <w:t>لسان العرب</w:t>
      </w:r>
      <w:r w:rsidR="00744A1C">
        <w:rPr>
          <w:rtl/>
          <w:lang w:bidi="fa-IR"/>
        </w:rPr>
        <w:t xml:space="preserve"> ، ج 7 ، ص 359 ؛ </w:t>
      </w:r>
      <w:r w:rsidR="00744A1C" w:rsidRPr="008A57EB">
        <w:rPr>
          <w:rStyle w:val="libFootnoteBoldChar"/>
          <w:rtl/>
        </w:rPr>
        <w:t>القاموس المحيط</w:t>
      </w:r>
      <w:r w:rsidR="00744A1C">
        <w:rPr>
          <w:rtl/>
          <w:lang w:bidi="fa-IR"/>
        </w:rPr>
        <w:t xml:space="preserve"> ، ج 1 ، ص 916 ( غبط ).</w:t>
      </w:r>
    </w:p>
    <w:p w:rsidR="00744A1C" w:rsidRDefault="00E378DD" w:rsidP="00E378DD">
      <w:pPr>
        <w:pStyle w:val="libFootnote0"/>
        <w:rPr>
          <w:lang w:bidi="fa-IR"/>
        </w:rPr>
      </w:pPr>
      <w:r>
        <w:rPr>
          <w:rtl/>
          <w:lang w:bidi="fa-IR"/>
        </w:rPr>
        <w:t>(11).</w:t>
      </w:r>
      <w:r w:rsidR="00744A1C">
        <w:rPr>
          <w:rtl/>
          <w:lang w:bidi="fa-IR"/>
        </w:rPr>
        <w:t xml:space="preserve"> في </w:t>
      </w:r>
      <w:r w:rsidR="00744A1C" w:rsidRPr="00F6023C">
        <w:rPr>
          <w:rtl/>
        </w:rPr>
        <w:t>الوافي والفقيه</w:t>
      </w:r>
      <w:r w:rsidR="00744A1C">
        <w:rPr>
          <w:rtl/>
          <w:lang w:bidi="fa-IR"/>
        </w:rPr>
        <w:t xml:space="preserve"> : + « وقولك الحقّ ».</w:t>
      </w:r>
    </w:p>
    <w:tbl>
      <w:tblPr>
        <w:tblStyle w:val="TableGrid"/>
        <w:bidiVisual/>
        <w:tblW w:w="0" w:type="auto"/>
        <w:tblLook w:val="04A0" w:firstRow="1" w:lastRow="0" w:firstColumn="1" w:lastColumn="0" w:noHBand="0" w:noVBand="1"/>
      </w:tblPr>
      <w:tblGrid>
        <w:gridCol w:w="4006"/>
        <w:gridCol w:w="4006"/>
      </w:tblGrid>
      <w:tr w:rsidR="00F6023C" w:rsidTr="00F6023C">
        <w:tc>
          <w:tcPr>
            <w:tcW w:w="4006" w:type="dxa"/>
          </w:tcPr>
          <w:p w:rsidR="00F6023C" w:rsidRDefault="00F6023C" w:rsidP="00E378DD">
            <w:pPr>
              <w:pStyle w:val="libFootnote0"/>
              <w:rPr>
                <w:rtl/>
                <w:lang w:bidi="fa-IR"/>
              </w:rPr>
            </w:pPr>
            <w:r>
              <w:rPr>
                <w:rtl/>
                <w:lang w:bidi="fa-IR"/>
              </w:rPr>
              <w:t>(12). النساء (4) : 64.</w:t>
            </w:r>
          </w:p>
        </w:tc>
        <w:tc>
          <w:tcPr>
            <w:tcW w:w="4006" w:type="dxa"/>
          </w:tcPr>
          <w:p w:rsidR="00F6023C" w:rsidRDefault="00F6023C" w:rsidP="00E378DD">
            <w:pPr>
              <w:pStyle w:val="libFootnote0"/>
              <w:rPr>
                <w:rtl/>
                <w:lang w:bidi="fa-IR"/>
              </w:rPr>
            </w:pPr>
            <w:r>
              <w:rPr>
                <w:rtl/>
                <w:lang w:bidi="fa-IR"/>
              </w:rPr>
              <w:t>(13). في</w:t>
            </w:r>
            <w:r w:rsidRPr="00F6023C">
              <w:rPr>
                <w:rtl/>
              </w:rPr>
              <w:t xml:space="preserve"> التهذيب</w:t>
            </w:r>
            <w:r>
              <w:rPr>
                <w:rtl/>
                <w:lang w:bidi="fa-IR"/>
              </w:rPr>
              <w:t xml:space="preserve"> : « أتيتك » بدل « أتيت نبيّك ».</w:t>
            </w:r>
          </w:p>
        </w:tc>
      </w:tr>
    </w:tbl>
    <w:p w:rsidR="00744A1C" w:rsidRDefault="00E378DD" w:rsidP="00E378DD">
      <w:pPr>
        <w:pStyle w:val="libFootnote0"/>
        <w:rPr>
          <w:lang w:bidi="fa-IR"/>
        </w:rPr>
      </w:pPr>
      <w:r>
        <w:rPr>
          <w:rtl/>
          <w:lang w:bidi="fa-IR"/>
        </w:rPr>
        <w:t>(14).</w:t>
      </w:r>
      <w:r w:rsidR="00744A1C">
        <w:rPr>
          <w:rtl/>
          <w:lang w:bidi="fa-IR"/>
        </w:rPr>
        <w:t xml:space="preserve"> في « بخ ، بس ، بف ، جن » : « تائباً مستغفراً ».</w:t>
      </w:r>
    </w:p>
    <w:p w:rsidR="00744A1C" w:rsidRDefault="00E378DD" w:rsidP="00556866">
      <w:pPr>
        <w:pStyle w:val="libFootnote0"/>
        <w:rPr>
          <w:lang w:bidi="fa-IR"/>
        </w:rPr>
      </w:pPr>
      <w:r>
        <w:rPr>
          <w:rtl/>
          <w:lang w:bidi="fa-IR"/>
        </w:rPr>
        <w:t>(15).</w:t>
      </w:r>
      <w:r w:rsidR="00744A1C">
        <w:rPr>
          <w:rtl/>
          <w:lang w:bidi="fa-IR"/>
        </w:rPr>
        <w:t xml:space="preserve"> في </w:t>
      </w:r>
      <w:r w:rsidR="00744A1C" w:rsidRPr="007B299E">
        <w:rPr>
          <w:rStyle w:val="libFootnoteBoldChar"/>
          <w:rtl/>
        </w:rPr>
        <w:t>كامل الزيارات</w:t>
      </w:r>
      <w:r w:rsidR="00744A1C">
        <w:rPr>
          <w:rtl/>
          <w:lang w:bidi="fa-IR"/>
        </w:rPr>
        <w:t xml:space="preserve"> : + « إليك بنبيّك نبيّ الرحمة محمّد </w:t>
      </w:r>
      <w:r w:rsidR="005E465D" w:rsidRPr="00EE7E5B">
        <w:rPr>
          <w:rStyle w:val="libFootnoteAlaemChar"/>
          <w:rFonts w:eastAsiaTheme="minorHAnsi"/>
          <w:rtl/>
        </w:rPr>
        <w:t>صلى‌الله‌عليه‌وآله</w:t>
      </w:r>
      <w:r w:rsidR="00556866" w:rsidRPr="00556866">
        <w:rPr>
          <w:rFonts w:eastAsiaTheme="minorHAnsi"/>
          <w:rtl/>
        </w:rPr>
        <w:t xml:space="preserve"> </w:t>
      </w:r>
      <w:r w:rsidR="00744A1C">
        <w:rPr>
          <w:rtl/>
          <w:lang w:bidi="fa-IR"/>
        </w:rPr>
        <w:t>، يا محمّد إنّي أتوجّه ».</w:t>
      </w:r>
    </w:p>
    <w:p w:rsidR="00744A1C" w:rsidRDefault="00744A1C" w:rsidP="00D10E3C">
      <w:pPr>
        <w:pStyle w:val="libFootnote0"/>
        <w:rPr>
          <w:lang w:bidi="fa-IR"/>
        </w:rPr>
      </w:pPr>
      <w:r>
        <w:rPr>
          <w:rtl/>
          <w:lang w:bidi="fa-IR"/>
        </w:rPr>
        <w:t>(16) في « ى ، بخ ، بس ، جد ، جن » و</w:t>
      </w:r>
      <w:r w:rsidRPr="00C24F9C">
        <w:rPr>
          <w:rStyle w:val="libFootnoteBoldChar"/>
          <w:rtl/>
        </w:rPr>
        <w:t>الوسائل</w:t>
      </w:r>
      <w:r>
        <w:rPr>
          <w:rtl/>
          <w:lang w:bidi="fa-IR"/>
        </w:rPr>
        <w:t xml:space="preserve"> : - « لي ».</w:t>
      </w:r>
    </w:p>
    <w:p w:rsidR="00150943" w:rsidRDefault="00150943" w:rsidP="00D10E3C">
      <w:pPr>
        <w:pStyle w:val="libNormal"/>
        <w:rPr>
          <w:rtl/>
          <w:lang w:bidi="fa-IR"/>
        </w:rPr>
      </w:pPr>
      <w:r>
        <w:rPr>
          <w:rtl/>
          <w:lang w:bidi="fa-IR"/>
        </w:rPr>
        <w:br w:type="page"/>
      </w:r>
    </w:p>
    <w:p w:rsidR="00144FA6" w:rsidRDefault="00744A1C" w:rsidP="00207C51">
      <w:pPr>
        <w:pStyle w:val="libNormal"/>
        <w:rPr>
          <w:rtl/>
          <w:lang w:bidi="fa-IR"/>
        </w:rPr>
      </w:pPr>
      <w:r>
        <w:rPr>
          <w:rtl/>
          <w:lang w:bidi="fa-IR"/>
        </w:rPr>
        <w:lastRenderedPageBreak/>
        <w:t>وَ</w:t>
      </w:r>
      <w:r w:rsidR="00207C51">
        <w:rPr>
          <w:rFonts w:hint="cs"/>
          <w:rtl/>
          <w:lang w:bidi="fa-IR"/>
        </w:rPr>
        <w:t xml:space="preserve"> </w:t>
      </w:r>
      <w:r>
        <w:rPr>
          <w:rtl/>
          <w:lang w:bidi="fa-IR"/>
        </w:rPr>
        <w:t xml:space="preserve">إِنْ كَانَتْ لَكَ حَاجَةٌ ، فَاجْعَلْ قَبْرَ النَّبِيِّ </w:t>
      </w:r>
      <w:r w:rsidR="005E465D" w:rsidRPr="005E465D">
        <w:rPr>
          <w:rStyle w:val="libAlaemChar"/>
          <w:rFonts w:eastAsiaTheme="minorHAnsi"/>
          <w:rtl/>
        </w:rPr>
        <w:t>صلى‌الله‌عليه‌وآله</w:t>
      </w:r>
      <w:r w:rsidR="00207C51" w:rsidRPr="00207C51">
        <w:rPr>
          <w:rFonts w:eastAsiaTheme="minorHAnsi"/>
          <w:rtl/>
        </w:rPr>
        <w:t xml:space="preserve"> </w:t>
      </w:r>
      <w:r>
        <w:rPr>
          <w:rtl/>
          <w:lang w:bidi="fa-IR"/>
        </w:rPr>
        <w:t xml:space="preserve">خَلْفَ كَتِفَيْكَ </w:t>
      </w:r>
      <w:r w:rsidRPr="00D10E3C">
        <w:rPr>
          <w:rStyle w:val="libFootnotenumChar"/>
          <w:rtl/>
        </w:rPr>
        <w:t>(1)</w:t>
      </w:r>
      <w:r>
        <w:rPr>
          <w:rtl/>
          <w:lang w:bidi="fa-IR"/>
        </w:rPr>
        <w:t xml:space="preserve"> ، وَاسْتَقْبِلِ </w:t>
      </w:r>
      <w:r w:rsidRPr="00D10E3C">
        <w:rPr>
          <w:rStyle w:val="libFootnotenumChar"/>
          <w:rtl/>
        </w:rPr>
        <w:t>(2)</w:t>
      </w:r>
      <w:r>
        <w:rPr>
          <w:rtl/>
          <w:lang w:bidi="fa-IR"/>
        </w:rPr>
        <w:t xml:space="preserve"> الْقِبْلَةَ ، وَارْفَعْ يَدَيْكَ ، وَسَلْ </w:t>
      </w:r>
      <w:r w:rsidRPr="00D10E3C">
        <w:rPr>
          <w:rStyle w:val="libFootnotenumChar"/>
          <w:rtl/>
        </w:rPr>
        <w:t>(3)</w:t>
      </w:r>
      <w:r>
        <w:rPr>
          <w:rtl/>
          <w:lang w:bidi="fa-IR"/>
        </w:rPr>
        <w:t xml:space="preserve"> حَاجَتَكَ ؛ فَإِنَّكَ </w:t>
      </w:r>
      <w:r w:rsidRPr="00D10E3C">
        <w:rPr>
          <w:rStyle w:val="libFootnotenumChar"/>
          <w:rtl/>
        </w:rPr>
        <w:t>(4)</w:t>
      </w:r>
      <w:r>
        <w:rPr>
          <w:rtl/>
          <w:lang w:bidi="fa-IR"/>
        </w:rPr>
        <w:t xml:space="preserve"> أَحْرى أَنْ تُقْضى </w:t>
      </w:r>
      <w:r w:rsidRPr="00D10E3C">
        <w:rPr>
          <w:rStyle w:val="libFootnotenumChar"/>
          <w:rtl/>
        </w:rPr>
        <w:t>(5)</w:t>
      </w:r>
      <w:r>
        <w:rPr>
          <w:rtl/>
          <w:lang w:bidi="fa-IR"/>
        </w:rPr>
        <w:t xml:space="preserve"> إِنْ شَاءَ اللهُ ». </w:t>
      </w:r>
      <w:r w:rsidRPr="00D10E3C">
        <w:rPr>
          <w:rStyle w:val="libFootnotenumChar"/>
          <w:rtl/>
        </w:rPr>
        <w:t>(6)</w:t>
      </w:r>
    </w:p>
    <w:p w:rsidR="00144FA6" w:rsidRDefault="00744A1C" w:rsidP="00744A1C">
      <w:pPr>
        <w:pStyle w:val="libNormal"/>
        <w:rPr>
          <w:rtl/>
          <w:lang w:bidi="fa-IR"/>
        </w:rPr>
      </w:pPr>
      <w:r>
        <w:rPr>
          <w:rtl/>
          <w:lang w:bidi="fa-IR"/>
        </w:rPr>
        <w:t xml:space="preserve">8101 / 2. أَبُو عَلِيٍّ الْأَشْعَرِيُّ ، عَنِ الْحَسَنِ </w:t>
      </w:r>
      <w:r w:rsidRPr="00D10E3C">
        <w:rPr>
          <w:rStyle w:val="libFootnotenumChar"/>
          <w:rtl/>
        </w:rPr>
        <w:t>(7)</w:t>
      </w:r>
      <w:r>
        <w:rPr>
          <w:rtl/>
          <w:lang w:bidi="fa-IR"/>
        </w:rPr>
        <w:t xml:space="preserve"> بْنِ عَلِيٍّ الْكُوفِيِّ ، عَنْ عَلِيِّ بْنِ مَهْزِيَارَ ، عَنِ الْحَسَنِ بْنِ عَلِيِّ بْنِ عُمَرَ </w:t>
      </w:r>
      <w:r w:rsidRPr="00D10E3C">
        <w:rPr>
          <w:rStyle w:val="libFootnotenumChar"/>
          <w:rtl/>
        </w:rPr>
        <w:t>(8)</w:t>
      </w:r>
      <w:r>
        <w:rPr>
          <w:rtl/>
          <w:lang w:bidi="fa-IR"/>
        </w:rPr>
        <w:t xml:space="preserve"> بْنِ عَلِيِّ بْنِ الْحُسَيْنِ بْنِ عَلِيِّ بْنِ أَبِي طَالِبٍ ، عَنْ عَلِيِّ بْنِ جَعْفَرٍ :</w:t>
      </w:r>
    </w:p>
    <w:p w:rsidR="00744A1C" w:rsidRDefault="00744A1C" w:rsidP="00D10E3C">
      <w:pPr>
        <w:pStyle w:val="libLine"/>
        <w:rPr>
          <w:lang w:bidi="fa-IR"/>
        </w:rPr>
      </w:pPr>
      <w:r>
        <w:rPr>
          <w:rtl/>
          <w:lang w:bidi="fa-IR"/>
        </w:rPr>
        <w:t>____________________</w:t>
      </w:r>
    </w:p>
    <w:p w:rsidR="00744A1C" w:rsidRDefault="00D10E3C" w:rsidP="00207C51">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261 : « استدبار النبيّ </w:t>
      </w:r>
      <w:r w:rsidR="005E465D" w:rsidRPr="00EE7E5B">
        <w:rPr>
          <w:rStyle w:val="libFootnoteAlaemChar"/>
          <w:rFonts w:eastAsiaTheme="minorHAnsi"/>
          <w:rtl/>
        </w:rPr>
        <w:t>صلى‌الله‌عليه‌وآله</w:t>
      </w:r>
      <w:r w:rsidR="00207C51" w:rsidRPr="00207C51">
        <w:rPr>
          <w:rFonts w:eastAsiaTheme="minorHAnsi"/>
          <w:rtl/>
        </w:rPr>
        <w:t xml:space="preserve"> </w:t>
      </w:r>
      <w:r w:rsidR="00744A1C">
        <w:rPr>
          <w:rtl/>
          <w:lang w:bidi="fa-IR"/>
        </w:rPr>
        <w:t xml:space="preserve">وإن كان خلاف الأدب ، لكن لا بأس به إذا كان التوجّه إلى‌الله تعالى ، كذا أفاد والدي </w:t>
      </w:r>
      <w:r w:rsidR="00207C51" w:rsidRPr="00207C51">
        <w:rPr>
          <w:rStyle w:val="libFootnoteAlaemChar"/>
          <w:rtl/>
        </w:rPr>
        <w:t>قدس‌سره</w:t>
      </w:r>
      <w:r w:rsidR="00744A1C">
        <w:rPr>
          <w:rtl/>
          <w:lang w:bidi="fa-IR"/>
        </w:rPr>
        <w:t>. ويحتمل أن يكون المراد الاستدبار فيما بين القبر والمنبر بأن لا يكون استدباراً حقيقيّاً كما تدلّ عليه بعض القرائن ، فالمراد بالقبر في الخبر الثاني الجدار الذي ا</w:t>
      </w:r>
      <w:r w:rsidR="00207C51">
        <w:rPr>
          <w:rFonts w:hint="cs"/>
          <w:rtl/>
          <w:lang w:bidi="fa-IR"/>
        </w:rPr>
        <w:t>ُ</w:t>
      </w:r>
      <w:r w:rsidR="00744A1C">
        <w:rPr>
          <w:rtl/>
          <w:lang w:bidi="fa-IR"/>
        </w:rPr>
        <w:t>دير على القبر ؛ فإنّه المكشوف ، والقبر مستور ، والله يعلم ».</w:t>
      </w:r>
    </w:p>
    <w:p w:rsidR="00744A1C" w:rsidRDefault="00744A1C" w:rsidP="00207C51">
      <w:pPr>
        <w:pStyle w:val="libFootnote0"/>
        <w:rPr>
          <w:lang w:bidi="fa-IR"/>
        </w:rPr>
      </w:pPr>
      <w:r>
        <w:rPr>
          <w:rtl/>
          <w:lang w:bidi="fa-IR"/>
        </w:rPr>
        <w:t xml:space="preserve">وقال المحقّق الشعراني </w:t>
      </w:r>
      <w:r w:rsidR="00877682" w:rsidRPr="00877682">
        <w:rPr>
          <w:rStyle w:val="libFootnoteAlaemChar"/>
          <w:rtl/>
        </w:rPr>
        <w:t>رحمه‌الله</w:t>
      </w:r>
      <w:r w:rsidR="00207C51">
        <w:rPr>
          <w:rStyle w:val="libFootnoteAlaemChar"/>
          <w:rFonts w:hint="cs"/>
          <w:rtl/>
        </w:rPr>
        <w:t xml:space="preserve"> </w:t>
      </w:r>
      <w:r>
        <w:rPr>
          <w:rtl/>
          <w:lang w:bidi="fa-IR"/>
        </w:rPr>
        <w:t xml:space="preserve">في هامش </w:t>
      </w:r>
      <w:r w:rsidRPr="00C24F9C">
        <w:rPr>
          <w:rStyle w:val="libFootnoteBoldChar"/>
          <w:rtl/>
        </w:rPr>
        <w:t>الوافي</w:t>
      </w:r>
      <w:r>
        <w:rPr>
          <w:rtl/>
          <w:lang w:bidi="fa-IR"/>
        </w:rPr>
        <w:t xml:space="preserve"> : « ليس استدبار القبر الشريف هيئة مطلوبة راجحة بحيث يحصل بسببه رجحان في الدعاء ، بل الغرض بيان مطلوبيّة استقبال القبلة عند سؤال الحاجة ، فإن استقبل بحيث لا يكون القبر الشريف خلف كتفه أدّى السنّة أيضاً ، وحصل الهيئة الراجحة المطلوبة بالاستقبال ، فإن ثقل على بعض النفوس استدبار القبر ، ورآه مخالفاً للأدب ، استقبل القبلة بحيث يحفظ الأدب مع القبر الشريف بأن ينتقل إلى موضع آخر. والحديث محمول على من لا يرى في الاستدبار توهيناً ، ولا يؤثّر في نفسه ، فيكون كما لو أراد الخروج من الروضة الشريفة ، وليس لرعاية الأدب حدود ، وكيفيّات مأثورة ، بل لكلّ ا</w:t>
      </w:r>
      <w:r w:rsidR="00207C51">
        <w:rPr>
          <w:rFonts w:hint="cs"/>
          <w:rtl/>
          <w:lang w:bidi="fa-IR"/>
        </w:rPr>
        <w:t>ُ</w:t>
      </w:r>
      <w:r>
        <w:rPr>
          <w:rtl/>
          <w:lang w:bidi="fa-IR"/>
        </w:rPr>
        <w:t>مّة وجيل ، بل لكلّ فرد من أفراد الناس عادة تؤثّر في نفسه خضوعاً وتكريماً ، ويجب علينا مراعاة الأدب كلّ على حسب عادة ».</w:t>
      </w:r>
      <w:r w:rsidR="00207C51">
        <w:rPr>
          <w:rFonts w:hint="cs"/>
          <w:rtl/>
          <w:lang w:bidi="fa-IR"/>
        </w:rPr>
        <w:t xml:space="preserve">     </w:t>
      </w:r>
      <w:r w:rsidR="00E378DD">
        <w:rPr>
          <w:rtl/>
          <w:lang w:bidi="fa-IR"/>
        </w:rPr>
        <w:t>(2).</w:t>
      </w:r>
      <w:r>
        <w:rPr>
          <w:rtl/>
          <w:lang w:bidi="fa-IR"/>
        </w:rPr>
        <w:t xml:space="preserve"> في </w:t>
      </w:r>
      <w:r w:rsidRPr="00C24F9C">
        <w:rPr>
          <w:rStyle w:val="libFootnoteBoldChar"/>
          <w:rtl/>
        </w:rPr>
        <w:t>التهذيب</w:t>
      </w:r>
      <w:r>
        <w:rPr>
          <w:rtl/>
          <w:lang w:bidi="fa-IR"/>
        </w:rPr>
        <w:t xml:space="preserve"> : « فاستقبل ».</w:t>
      </w:r>
    </w:p>
    <w:p w:rsidR="00744A1C" w:rsidRDefault="00E378DD" w:rsidP="00E378DD">
      <w:pPr>
        <w:pStyle w:val="libFootnote0"/>
        <w:rPr>
          <w:lang w:bidi="fa-IR"/>
        </w:rPr>
      </w:pPr>
      <w:r>
        <w:rPr>
          <w:rtl/>
          <w:lang w:bidi="fa-IR"/>
        </w:rPr>
        <w:t>(3).</w:t>
      </w:r>
      <w:r w:rsidR="00744A1C">
        <w:rPr>
          <w:rtl/>
          <w:lang w:bidi="fa-IR"/>
        </w:rPr>
        <w:t xml:space="preserve"> هكذا في جميع النسخ التي قوبلت </w:t>
      </w:r>
      <w:r w:rsidR="00744A1C" w:rsidRPr="00EA471E">
        <w:rPr>
          <w:rtl/>
        </w:rPr>
        <w:t>والوافي والوسائل والفقيه والتهذيب</w:t>
      </w:r>
      <w:r w:rsidR="00744A1C">
        <w:rPr>
          <w:rtl/>
          <w:lang w:bidi="fa-IR"/>
        </w:rPr>
        <w:t>. وفي المطبوع : « واسأل ».</w:t>
      </w:r>
    </w:p>
    <w:tbl>
      <w:tblPr>
        <w:tblStyle w:val="TableGrid"/>
        <w:bidiVisual/>
        <w:tblW w:w="0" w:type="auto"/>
        <w:tblLook w:val="04A0" w:firstRow="1" w:lastRow="0" w:firstColumn="1" w:lastColumn="0" w:noHBand="0" w:noVBand="1"/>
      </w:tblPr>
      <w:tblGrid>
        <w:gridCol w:w="4006"/>
        <w:gridCol w:w="4006"/>
      </w:tblGrid>
      <w:tr w:rsidR="004369CC" w:rsidTr="004369CC">
        <w:tc>
          <w:tcPr>
            <w:tcW w:w="4006" w:type="dxa"/>
          </w:tcPr>
          <w:p w:rsidR="004369CC" w:rsidRDefault="004369CC" w:rsidP="00E378DD">
            <w:pPr>
              <w:pStyle w:val="libFootnote0"/>
              <w:rPr>
                <w:rtl/>
                <w:lang w:bidi="fa-IR"/>
              </w:rPr>
            </w:pPr>
            <w:r>
              <w:rPr>
                <w:rtl/>
                <w:lang w:bidi="fa-IR"/>
              </w:rPr>
              <w:t>(4). في</w:t>
            </w:r>
            <w:r w:rsidRPr="00EA471E">
              <w:rPr>
                <w:rtl/>
              </w:rPr>
              <w:t xml:space="preserve"> التهذيب</w:t>
            </w:r>
            <w:r>
              <w:rPr>
                <w:rtl/>
                <w:lang w:bidi="fa-IR"/>
              </w:rPr>
              <w:t xml:space="preserve"> : « فإنّها ».</w:t>
            </w:r>
          </w:p>
        </w:tc>
        <w:tc>
          <w:tcPr>
            <w:tcW w:w="4006" w:type="dxa"/>
          </w:tcPr>
          <w:p w:rsidR="004369CC" w:rsidRDefault="004369CC" w:rsidP="00E378DD">
            <w:pPr>
              <w:pStyle w:val="libFootnote0"/>
              <w:rPr>
                <w:rtl/>
                <w:lang w:bidi="fa-IR"/>
              </w:rPr>
            </w:pPr>
            <w:r>
              <w:rPr>
                <w:rtl/>
                <w:lang w:bidi="fa-IR"/>
              </w:rPr>
              <w:t>(5). في « بخ » : - « أن تقضى ».</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5 ، ح 8 ، معلّقاً عن الكليني. </w:t>
      </w:r>
      <w:r w:rsidR="00744A1C" w:rsidRPr="007B299E">
        <w:rPr>
          <w:rStyle w:val="libFootnoteBoldChar"/>
          <w:rtl/>
        </w:rPr>
        <w:t>كامل الزيارات</w:t>
      </w:r>
      <w:r w:rsidR="00744A1C">
        <w:rPr>
          <w:rtl/>
          <w:lang w:bidi="fa-IR"/>
        </w:rPr>
        <w:t xml:space="preserve"> ، ص 15 ، الباب 3 ، ح 1 ، بسنده عن فضالة بن أيّوب والحسين ، عن صفوان ، عن ابن أبي عمير جميعاً ، عن معاوية بن عمّار. </w:t>
      </w:r>
      <w:r w:rsidR="00744A1C" w:rsidRPr="00C24F9C">
        <w:rPr>
          <w:rStyle w:val="libFootnoteBoldChar"/>
          <w:rtl/>
        </w:rPr>
        <w:t>الفقيه</w:t>
      </w:r>
      <w:r w:rsidR="00744A1C">
        <w:rPr>
          <w:rtl/>
          <w:lang w:bidi="fa-IR"/>
        </w:rPr>
        <w:t xml:space="preserve"> ، ج 2 ، ص 565 ، من دون الإسناد إلى المعصوم </w:t>
      </w:r>
      <w:r w:rsidR="0061079A" w:rsidRPr="0061079A">
        <w:rPr>
          <w:rStyle w:val="libFootnoteAlaemChar"/>
          <w:rtl/>
        </w:rPr>
        <w:t>عليه‌السلام</w:t>
      </w:r>
      <w:r w:rsidR="00744A1C">
        <w:rPr>
          <w:rtl/>
          <w:lang w:bidi="fa-IR"/>
        </w:rPr>
        <w:t xml:space="preserve"> . راجع : </w:t>
      </w:r>
      <w:r w:rsidR="00744A1C" w:rsidRPr="007B299E">
        <w:rPr>
          <w:rStyle w:val="libFootnoteBoldChar"/>
          <w:rtl/>
        </w:rPr>
        <w:t>كامل الزيارات</w:t>
      </w:r>
      <w:r w:rsidR="00744A1C">
        <w:rPr>
          <w:rtl/>
          <w:lang w:bidi="fa-IR"/>
        </w:rPr>
        <w:t xml:space="preserve"> ، ص 17 ، الباب 3 ، ح 5 ؛ وكتاب المزار ، ص 175 ، ح 3 </w:t>
      </w:r>
      <w:r w:rsidR="00EA471E">
        <w:rPr>
          <w:rFonts w:hint="cs"/>
          <w:rtl/>
          <w:lang w:bidi="fa-IR"/>
        </w:rPr>
        <w:t>.</w:t>
      </w:r>
      <w:r w:rsidR="00744A1C" w:rsidRPr="00C24F9C">
        <w:rPr>
          <w:rStyle w:val="libFootnoteBoldChar"/>
          <w:rtl/>
        </w:rPr>
        <w:t>الوافي</w:t>
      </w:r>
      <w:r w:rsidR="00744A1C">
        <w:rPr>
          <w:rtl/>
          <w:lang w:bidi="fa-IR"/>
        </w:rPr>
        <w:t xml:space="preserve"> ، ج 14 ، ص 1347 ، ح 14378 ؛ </w:t>
      </w:r>
      <w:r w:rsidR="00744A1C" w:rsidRPr="00C24F9C">
        <w:rPr>
          <w:rStyle w:val="libFootnoteBoldChar"/>
          <w:rtl/>
        </w:rPr>
        <w:t>الوسائل</w:t>
      </w:r>
      <w:r w:rsidR="00744A1C">
        <w:rPr>
          <w:rtl/>
          <w:lang w:bidi="fa-IR"/>
        </w:rPr>
        <w:t xml:space="preserve"> ، ج 14 ، ص 341 ، ح 19353.</w:t>
      </w:r>
    </w:p>
    <w:p w:rsidR="00744A1C" w:rsidRDefault="00E378DD" w:rsidP="00E378DD">
      <w:pPr>
        <w:pStyle w:val="libFootnote0"/>
        <w:rPr>
          <w:lang w:bidi="fa-IR"/>
        </w:rPr>
      </w:pPr>
      <w:r>
        <w:rPr>
          <w:rtl/>
          <w:lang w:bidi="fa-IR"/>
        </w:rPr>
        <w:t>(7).</w:t>
      </w:r>
      <w:r w:rsidR="00744A1C">
        <w:rPr>
          <w:rtl/>
          <w:lang w:bidi="fa-IR"/>
        </w:rPr>
        <w:t xml:space="preserve"> هكذا في « ى ، بخ ، بس ، جد » وحاشية « جن ». وفي « بث ، بح ، بف ، جر ، جن » والمطبوع : « الحسين ».</w:t>
      </w:r>
    </w:p>
    <w:p w:rsidR="00744A1C" w:rsidRDefault="00744A1C" w:rsidP="00D10E3C">
      <w:pPr>
        <w:pStyle w:val="libFootnote0"/>
        <w:rPr>
          <w:lang w:bidi="fa-IR"/>
        </w:rPr>
      </w:pPr>
      <w:r>
        <w:rPr>
          <w:rtl/>
          <w:lang w:bidi="fa-IR"/>
        </w:rPr>
        <w:t xml:space="preserve">والحسن بن عليّ الكوفي ، هو الحسن بن عليّ بن عبد الله بن المغيرة ، روى عنه أبو عليّ الأشعري بعنوان الحسن بن عليّ بن عبد الله والحسن بن عليّ الكوفي في أسناد عديدة. راجع : </w:t>
      </w:r>
      <w:r w:rsidRPr="0061079A">
        <w:rPr>
          <w:rStyle w:val="libFootnoteBoldChar"/>
          <w:rtl/>
        </w:rPr>
        <w:t>معجم رجال الحديث</w:t>
      </w:r>
      <w:r>
        <w:rPr>
          <w:rtl/>
          <w:lang w:bidi="fa-IR"/>
        </w:rPr>
        <w:t xml:space="preserve"> ، ج 21 ، ص 424 - 425.</w:t>
      </w:r>
    </w:p>
    <w:p w:rsidR="00744A1C" w:rsidRDefault="00E378DD" w:rsidP="00E378DD">
      <w:pPr>
        <w:pStyle w:val="libFootnote0"/>
        <w:rPr>
          <w:lang w:bidi="fa-IR"/>
        </w:rPr>
      </w:pPr>
      <w:r>
        <w:rPr>
          <w:rtl/>
          <w:lang w:bidi="fa-IR"/>
        </w:rPr>
        <w:t>(8).</w:t>
      </w:r>
      <w:r w:rsidR="00744A1C">
        <w:rPr>
          <w:rtl/>
          <w:lang w:bidi="fa-IR"/>
        </w:rPr>
        <w:t xml:space="preserve"> هكذا في « بف ، جر » و</w:t>
      </w:r>
      <w:r w:rsidR="00744A1C" w:rsidRPr="00C24F9C">
        <w:rPr>
          <w:rStyle w:val="libFootnoteBoldChar"/>
          <w:rtl/>
        </w:rPr>
        <w:t>الوافي</w:t>
      </w:r>
      <w:r w:rsidR="00744A1C">
        <w:rPr>
          <w:rtl/>
          <w:lang w:bidi="fa-IR"/>
        </w:rPr>
        <w:t>. وفي « ى ، بث ، بح ، بخ ، بس ، جد ، جن » والمطبوع و</w:t>
      </w:r>
      <w:r w:rsidR="00744A1C" w:rsidRPr="00C24F9C">
        <w:rPr>
          <w:rStyle w:val="libFootnoteBoldChar"/>
          <w:rtl/>
        </w:rPr>
        <w:t>الوسائل</w:t>
      </w:r>
      <w:r w:rsidR="00744A1C">
        <w:rPr>
          <w:rtl/>
          <w:lang w:bidi="fa-IR"/>
        </w:rPr>
        <w:t xml:space="preserve"> : « عثمان ». وهو </w:t>
      </w:r>
      <w:r w:rsidR="0036497E">
        <w:rPr>
          <w:rFonts w:hint="cs"/>
          <w:rtl/>
          <w:lang w:bidi="fa-IR"/>
        </w:rPr>
        <w:t>=</w:t>
      </w:r>
    </w:p>
    <w:p w:rsidR="00150943" w:rsidRDefault="00150943" w:rsidP="00D10E3C">
      <w:pPr>
        <w:pStyle w:val="libNormal"/>
        <w:rPr>
          <w:rtl/>
          <w:lang w:bidi="fa-IR"/>
        </w:rPr>
      </w:pPr>
      <w:r>
        <w:rPr>
          <w:rtl/>
          <w:lang w:bidi="fa-IR"/>
        </w:rPr>
        <w:br w:type="page"/>
      </w:r>
    </w:p>
    <w:p w:rsidR="00144FA6" w:rsidRDefault="00744A1C" w:rsidP="00283D3D">
      <w:pPr>
        <w:pStyle w:val="libNormal"/>
        <w:rPr>
          <w:rtl/>
          <w:lang w:bidi="fa-IR"/>
        </w:rPr>
      </w:pPr>
      <w:r>
        <w:rPr>
          <w:rtl/>
          <w:lang w:bidi="fa-IR"/>
        </w:rPr>
        <w:lastRenderedPageBreak/>
        <w:t xml:space="preserve">عَنْ أَخِيهِ أَبِي الْحَسَنِ مُوسى </w:t>
      </w:r>
      <w:r w:rsidRPr="00D10E3C">
        <w:rPr>
          <w:rStyle w:val="libFootnotenumChar"/>
          <w:rtl/>
        </w:rPr>
        <w:t>(1)</w:t>
      </w:r>
      <w:r>
        <w:rPr>
          <w:rtl/>
          <w:lang w:bidi="fa-IR"/>
        </w:rPr>
        <w:t xml:space="preserve"> ، عَنْ أَبِيهِ ، عَنْ جَدِّهِ </w:t>
      </w:r>
      <w:r w:rsidR="008859AA" w:rsidRPr="008859AA">
        <w:rPr>
          <w:rStyle w:val="libAlaemChar"/>
          <w:rtl/>
        </w:rPr>
        <w:t>عليهما‌السلام</w:t>
      </w:r>
      <w:r>
        <w:rPr>
          <w:rtl/>
          <w:lang w:bidi="fa-IR"/>
        </w:rPr>
        <w:t xml:space="preserve">، قَالَ : « كَانَ أَبِي </w:t>
      </w:r>
      <w:r w:rsidRPr="00D10E3C">
        <w:rPr>
          <w:rStyle w:val="libFootnotenumChar"/>
          <w:rtl/>
        </w:rPr>
        <w:t>(2)</w:t>
      </w:r>
      <w:r>
        <w:rPr>
          <w:rtl/>
          <w:lang w:bidi="fa-IR"/>
        </w:rPr>
        <w:t xml:space="preserve"> عَلِيُّ بْنُ الْحُسَيْنِ </w:t>
      </w:r>
      <w:r w:rsidR="008859AA" w:rsidRPr="008859AA">
        <w:rPr>
          <w:rStyle w:val="libAlaemChar"/>
          <w:rtl/>
        </w:rPr>
        <w:t>عليهما‌السلام</w:t>
      </w:r>
      <w:r>
        <w:rPr>
          <w:rtl/>
          <w:lang w:bidi="fa-IR"/>
        </w:rPr>
        <w:t xml:space="preserve">يَقِفُ عَلى قَبْرِ النَّبِيِّ </w:t>
      </w:r>
      <w:r w:rsidR="005E465D" w:rsidRPr="005E465D">
        <w:rPr>
          <w:rStyle w:val="libAlaemChar"/>
          <w:rFonts w:eastAsiaTheme="minorHAnsi"/>
          <w:rtl/>
        </w:rPr>
        <w:t>صلى‌الله‌عليه‌وآله</w:t>
      </w:r>
      <w:r w:rsidR="00283D3D" w:rsidRPr="00283D3D">
        <w:rPr>
          <w:rFonts w:eastAsiaTheme="minorHAnsi"/>
          <w:rtl/>
        </w:rPr>
        <w:t xml:space="preserve"> </w:t>
      </w:r>
      <w:r>
        <w:rPr>
          <w:rtl/>
          <w:lang w:bidi="fa-IR"/>
        </w:rPr>
        <w:t xml:space="preserve">، فَيُسَلِّمُ عَلَيْهِ ، وَيَشْهَدُ لَهُ بِالْبَلَاغِ ، وَيَدْعُو بِمَا حَضَرَهُ ، ثُمَّ يُسْنِدُ ظَهْرَهُ </w:t>
      </w:r>
      <w:r w:rsidRPr="00D10E3C">
        <w:rPr>
          <w:rStyle w:val="libFootnotenumChar"/>
          <w:rtl/>
        </w:rPr>
        <w:t>(3)</w:t>
      </w:r>
      <w:r>
        <w:rPr>
          <w:rtl/>
          <w:lang w:bidi="fa-IR"/>
        </w:rPr>
        <w:t xml:space="preserve"> إِلَى الْمَرْوَةِ </w:t>
      </w:r>
      <w:r w:rsidRPr="00D10E3C">
        <w:rPr>
          <w:rStyle w:val="libFootnotenumChar"/>
          <w:rtl/>
        </w:rPr>
        <w:t>(4)</w:t>
      </w:r>
      <w:r>
        <w:rPr>
          <w:rtl/>
          <w:lang w:bidi="fa-IR"/>
        </w:rPr>
        <w:t xml:space="preserve"> الْخَضْرَاءِ الدَّقِيقَةِ الْعَرْضِ مِمَّا يَلِي الْقَبْرَ ، وَيَلْتَزِقُ بِالْقَبْرِ ، وَيُسْنِدُ ظَهْرَهُ إِلَى الْقَبْرِ ، وَيَسْتَقْبِلُ الْقِبْلَةَ ، فَيَقُولُ </w:t>
      </w:r>
      <w:r w:rsidRPr="00D10E3C">
        <w:rPr>
          <w:rStyle w:val="libFootnotenumChar"/>
          <w:rtl/>
        </w:rPr>
        <w:t>(5)</w:t>
      </w:r>
      <w:r>
        <w:rPr>
          <w:rtl/>
          <w:lang w:bidi="fa-IR"/>
        </w:rPr>
        <w:t xml:space="preserve"> :</w:t>
      </w:r>
    </w:p>
    <w:p w:rsidR="00744A1C" w:rsidRDefault="00744A1C" w:rsidP="00283D3D">
      <w:pPr>
        <w:pStyle w:val="libNormal"/>
        <w:rPr>
          <w:lang w:bidi="fa-IR"/>
        </w:rPr>
      </w:pPr>
      <w:r>
        <w:rPr>
          <w:rtl/>
          <w:lang w:bidi="fa-IR"/>
        </w:rPr>
        <w:t>الل</w:t>
      </w:r>
      <w:r w:rsidR="00585A1D">
        <w:rPr>
          <w:rFonts w:hint="cs"/>
          <w:rtl/>
          <w:lang w:bidi="fa-IR"/>
        </w:rPr>
        <w:t>ّ</w:t>
      </w:r>
      <w:r>
        <w:rPr>
          <w:rtl/>
          <w:lang w:bidi="fa-IR"/>
        </w:rPr>
        <w:t xml:space="preserve">هُمَّ إِلَيْكَ أَلْجَأْتُ ظَهْرِي </w:t>
      </w:r>
      <w:r w:rsidRPr="00D10E3C">
        <w:rPr>
          <w:rStyle w:val="libFootnotenumChar"/>
          <w:rtl/>
        </w:rPr>
        <w:t>(6)</w:t>
      </w:r>
      <w:r>
        <w:rPr>
          <w:rtl/>
          <w:lang w:bidi="fa-IR"/>
        </w:rPr>
        <w:t xml:space="preserve"> ، وَإِلى قَبْرِ </w:t>
      </w:r>
      <w:r w:rsidRPr="00D10E3C">
        <w:rPr>
          <w:rStyle w:val="libFootnotenumChar"/>
          <w:rtl/>
        </w:rPr>
        <w:t>(7)</w:t>
      </w:r>
      <w:r>
        <w:rPr>
          <w:rtl/>
          <w:lang w:bidi="fa-IR"/>
        </w:rPr>
        <w:t xml:space="preserve"> مُحَمَّدٍ عَبْدِكَ وَرَسُولِكَ أَسْنَدْتُ ظَهْرِي ، وَ‌الْقِبْلَةَ الَّتِي رَضِيتَ لِمُحَمَّدٍ </w:t>
      </w:r>
      <w:r w:rsidR="005E465D" w:rsidRPr="005E465D">
        <w:rPr>
          <w:rStyle w:val="libAlaemChar"/>
          <w:rFonts w:eastAsiaTheme="minorHAnsi"/>
          <w:rtl/>
        </w:rPr>
        <w:t>صلى‌الله‌عليه‌وآله</w:t>
      </w:r>
      <w:r w:rsidR="00283D3D" w:rsidRPr="00283D3D">
        <w:rPr>
          <w:rFonts w:eastAsiaTheme="minorHAnsi"/>
          <w:rtl/>
        </w:rPr>
        <w:t xml:space="preserve"> </w:t>
      </w:r>
      <w:r>
        <w:rPr>
          <w:rtl/>
          <w:lang w:bidi="fa-IR"/>
        </w:rPr>
        <w:t>اسْتَقْبَلْتُ ؛ الل</w:t>
      </w:r>
      <w:r w:rsidR="00585A1D">
        <w:rPr>
          <w:rFonts w:hint="cs"/>
          <w:rtl/>
          <w:lang w:bidi="fa-IR"/>
        </w:rPr>
        <w:t>ّ</w:t>
      </w:r>
      <w:r>
        <w:rPr>
          <w:rtl/>
          <w:lang w:bidi="fa-IR"/>
        </w:rPr>
        <w:t xml:space="preserve">هُمَّ إِنِّي أَصْبَحْتُ لَا أَمْلِكُ لِنَفْسِي خَيْرَ مَا أَرْجُو </w:t>
      </w:r>
      <w:r w:rsidRPr="00D10E3C">
        <w:rPr>
          <w:rStyle w:val="libFootnotenumChar"/>
          <w:rtl/>
        </w:rPr>
        <w:t>(8)</w:t>
      </w:r>
      <w:r>
        <w:rPr>
          <w:rtl/>
          <w:lang w:bidi="fa-IR"/>
        </w:rPr>
        <w:t xml:space="preserve"> ، وَلَا أَدْفَعُ عَنْهَا شَرَّ مَا أَحْذَرُ عَلَيْهَا ، وَأَصْبَحَتِ الْأُمُورُ بِيَدِكَ ، فَلَا فَقِيرَ أَفْقَرُ مِنِّي </w:t>
      </w:r>
      <w:r w:rsidRPr="00D10E3C">
        <w:rPr>
          <w:rStyle w:val="libFootnotenumChar"/>
          <w:rtl/>
        </w:rPr>
        <w:t>(9)</w:t>
      </w:r>
      <w:r>
        <w:rPr>
          <w:rtl/>
          <w:lang w:bidi="fa-IR"/>
        </w:rPr>
        <w:t xml:space="preserve"> ، إِنِّي لِمَا أَنْزَلْتَ إِلَيَّ مِنْ خَيْرٍ فَقِيرٌ ؛ الل</w:t>
      </w:r>
      <w:r w:rsidR="00585A1D">
        <w:rPr>
          <w:rFonts w:hint="cs"/>
          <w:rtl/>
          <w:lang w:bidi="fa-IR"/>
        </w:rPr>
        <w:t>ّ</w:t>
      </w:r>
      <w:r>
        <w:rPr>
          <w:rtl/>
          <w:lang w:bidi="fa-IR"/>
        </w:rPr>
        <w:t>هُمَّ ارْدُدْنِي مِنْكَ بِخَيْرٍ ، فَإِنَّهُ لَارَادَّ لِفَضْلِكَ ؛ الل</w:t>
      </w:r>
      <w:r w:rsidR="00585A1D">
        <w:rPr>
          <w:rFonts w:hint="cs"/>
          <w:rtl/>
          <w:lang w:bidi="fa-IR"/>
        </w:rPr>
        <w:t>ّ</w:t>
      </w:r>
      <w:r>
        <w:rPr>
          <w:rtl/>
          <w:lang w:bidi="fa-IR"/>
        </w:rPr>
        <w:t xml:space="preserve">هُمَّ إِنِّي أَعُوذُ بِكَ مِنْ </w:t>
      </w:r>
      <w:r w:rsidRPr="00D10E3C">
        <w:rPr>
          <w:rStyle w:val="libFootnotenumChar"/>
          <w:rtl/>
        </w:rPr>
        <w:t>(10)</w:t>
      </w:r>
      <w:r>
        <w:rPr>
          <w:rtl/>
          <w:lang w:bidi="fa-IR"/>
        </w:rPr>
        <w:t xml:space="preserve"> أَنْ تُبَدِّلَ اسْمِي ، وَتُغَيِّرَ </w:t>
      </w:r>
      <w:r w:rsidRPr="00D10E3C">
        <w:rPr>
          <w:rStyle w:val="libFootnotenumChar"/>
          <w:rtl/>
        </w:rPr>
        <w:t>(11)</w:t>
      </w:r>
      <w:r>
        <w:rPr>
          <w:rtl/>
          <w:lang w:bidi="fa-IR"/>
        </w:rPr>
        <w:t xml:space="preserve"> جِسْمِي ، أَوْ تُزِيلَ نِعْمَتَكَ عَنِّي ؛ الل</w:t>
      </w:r>
      <w:r w:rsidR="00257308">
        <w:rPr>
          <w:rFonts w:hint="cs"/>
          <w:rtl/>
          <w:lang w:bidi="fa-IR"/>
        </w:rPr>
        <w:t>ّ</w:t>
      </w:r>
      <w:r>
        <w:rPr>
          <w:rtl/>
          <w:lang w:bidi="fa-IR"/>
        </w:rPr>
        <w:t>هُمَّ‌</w:t>
      </w:r>
    </w:p>
    <w:p w:rsidR="00744A1C" w:rsidRDefault="00744A1C" w:rsidP="00D10E3C">
      <w:pPr>
        <w:pStyle w:val="libLine"/>
        <w:rPr>
          <w:lang w:bidi="fa-IR"/>
        </w:rPr>
      </w:pPr>
      <w:r>
        <w:rPr>
          <w:rtl/>
          <w:lang w:bidi="fa-IR"/>
        </w:rPr>
        <w:t>____________________</w:t>
      </w:r>
    </w:p>
    <w:p w:rsidR="00744A1C" w:rsidRDefault="00257308" w:rsidP="00D10E3C">
      <w:pPr>
        <w:pStyle w:val="libFootnote0"/>
        <w:rPr>
          <w:lang w:bidi="fa-IR"/>
        </w:rPr>
      </w:pPr>
      <w:r>
        <w:rPr>
          <w:rFonts w:hint="cs"/>
          <w:rtl/>
          <w:lang w:bidi="fa-IR"/>
        </w:rPr>
        <w:t xml:space="preserve">= </w:t>
      </w:r>
      <w:r w:rsidR="00744A1C">
        <w:rPr>
          <w:rtl/>
          <w:lang w:bidi="fa-IR"/>
        </w:rPr>
        <w:t xml:space="preserve">سهو ؛ فإنّه لم يذكر في أولاد عليّ بن الحسين </w:t>
      </w:r>
      <w:r w:rsidR="0061079A" w:rsidRPr="0061079A">
        <w:rPr>
          <w:rStyle w:val="libFootnoteAlaemChar"/>
          <w:rtl/>
        </w:rPr>
        <w:t>عليه‌السلام</w:t>
      </w:r>
      <w:r w:rsidR="00D10E3C">
        <w:rPr>
          <w:rtl/>
          <w:lang w:bidi="fa-IR"/>
        </w:rPr>
        <w:t xml:space="preserve"> </w:t>
      </w:r>
      <w:r w:rsidR="00744A1C">
        <w:rPr>
          <w:rtl/>
          <w:lang w:bidi="fa-IR"/>
        </w:rPr>
        <w:t>- سواء أكان من المعقّبين أو غيرهم - من يسمّى بعثمان.</w:t>
      </w:r>
    </w:p>
    <w:p w:rsidR="00744A1C" w:rsidRDefault="00744A1C" w:rsidP="00D10E3C">
      <w:pPr>
        <w:pStyle w:val="libFootnote0"/>
        <w:rPr>
          <w:lang w:bidi="fa-IR"/>
        </w:rPr>
      </w:pPr>
      <w:r>
        <w:rPr>
          <w:rtl/>
          <w:lang w:bidi="fa-IR"/>
        </w:rPr>
        <w:t xml:space="preserve">وأمّا ما ورد في </w:t>
      </w:r>
      <w:r w:rsidRPr="007B299E">
        <w:rPr>
          <w:rStyle w:val="libFootnoteBoldChar"/>
          <w:rtl/>
        </w:rPr>
        <w:t>كامل الزيارات</w:t>
      </w:r>
      <w:r>
        <w:rPr>
          <w:rtl/>
          <w:lang w:bidi="fa-IR"/>
        </w:rPr>
        <w:t xml:space="preserve"> ، ص 16 ، ح 3 ؛ وص 19 ، ح 8 من نقل الخبر عن عليّ بن الحسين [ العلوي ] بن عليّ بن عمر بن عليّ بن الحسين بن عليّ بن أبي طالب </w:t>
      </w:r>
      <w:r w:rsidR="0061079A" w:rsidRPr="0061079A">
        <w:rPr>
          <w:rStyle w:val="libFootnoteAlaemChar"/>
          <w:rtl/>
        </w:rPr>
        <w:t>عليه‌السلام</w:t>
      </w:r>
      <w:r w:rsidR="00D10E3C">
        <w:rPr>
          <w:rtl/>
          <w:lang w:bidi="fa-IR"/>
        </w:rPr>
        <w:t xml:space="preserve"> </w:t>
      </w:r>
      <w:r>
        <w:rPr>
          <w:rtl/>
          <w:lang w:bidi="fa-IR"/>
        </w:rPr>
        <w:t>، فهو سهو أيضاً ؛ فإنّه لم يذكر في أولاد عليّ بن عمر المعقّبين من يسمّى بالحسين. راجع : تهذيب الأنساب ، ص 185.</w:t>
      </w:r>
    </w:p>
    <w:p w:rsidR="00744A1C" w:rsidRDefault="00744A1C" w:rsidP="00D10E3C">
      <w:pPr>
        <w:pStyle w:val="libFootnote0"/>
        <w:rPr>
          <w:lang w:bidi="fa-IR"/>
        </w:rPr>
      </w:pPr>
      <w:r>
        <w:rPr>
          <w:rtl/>
          <w:lang w:bidi="fa-IR"/>
        </w:rPr>
        <w:t xml:space="preserve">ويؤيّد ذلك أنّ الخبر ورد في </w:t>
      </w:r>
      <w:r w:rsidRPr="0061079A">
        <w:rPr>
          <w:rStyle w:val="libFootnoteBoldChar"/>
          <w:rtl/>
        </w:rPr>
        <w:t>البحار</w:t>
      </w:r>
      <w:r>
        <w:rPr>
          <w:rtl/>
          <w:lang w:bidi="fa-IR"/>
        </w:rPr>
        <w:t xml:space="preserve"> ، ج 97 ، ص 153 ، ح 20 ، وفيه : « عليّ بن الحسن بن عمر بن عليّ بن الحسين ».</w:t>
      </w:r>
    </w:p>
    <w:p w:rsidR="00744A1C" w:rsidRDefault="00744A1C" w:rsidP="00D10E3C">
      <w:pPr>
        <w:pStyle w:val="libFootnote0"/>
        <w:rPr>
          <w:lang w:bidi="fa-IR"/>
        </w:rPr>
      </w:pPr>
      <w:r>
        <w:rPr>
          <w:rtl/>
          <w:lang w:bidi="fa-IR"/>
        </w:rPr>
        <w:t>وأمّا الحسن بن عليّ بن عمر - كما في ما نحن فيه - أو عليّ بن الحسن بن عمر ، فلم نجد لترجيح أحدهما على الآخر دليلاً.</w:t>
      </w:r>
    </w:p>
    <w:p w:rsidR="00744A1C" w:rsidRDefault="00D10E3C" w:rsidP="00D10E3C">
      <w:pPr>
        <w:pStyle w:val="libFootnote0"/>
        <w:rPr>
          <w:lang w:bidi="fa-IR"/>
        </w:rPr>
      </w:pPr>
      <w:r>
        <w:rPr>
          <w:rtl/>
          <w:lang w:bidi="fa-IR"/>
        </w:rPr>
        <w:t>(1).</w:t>
      </w:r>
      <w:r w:rsidR="00744A1C">
        <w:rPr>
          <w:rtl/>
          <w:lang w:bidi="fa-IR"/>
        </w:rPr>
        <w:t xml:space="preserve"> في « بس » : + « بن جعفر ».</w:t>
      </w:r>
    </w:p>
    <w:p w:rsidR="00744A1C" w:rsidRDefault="00E378DD" w:rsidP="00E378DD">
      <w:pPr>
        <w:pStyle w:val="libFootnote0"/>
        <w:rPr>
          <w:lang w:bidi="fa-IR"/>
        </w:rPr>
      </w:pPr>
      <w:r>
        <w:rPr>
          <w:rtl/>
          <w:lang w:bidi="fa-IR"/>
        </w:rPr>
        <w:t>(2).</w:t>
      </w:r>
      <w:r w:rsidR="00744A1C">
        <w:rPr>
          <w:rtl/>
          <w:lang w:bidi="fa-IR"/>
        </w:rPr>
        <w:t xml:space="preserve"> في </w:t>
      </w:r>
      <w:r w:rsidR="00744A1C" w:rsidRPr="00257308">
        <w:rPr>
          <w:rtl/>
        </w:rPr>
        <w:t>الوسائل وكامل الزيارات</w:t>
      </w:r>
      <w:r w:rsidR="00744A1C">
        <w:rPr>
          <w:rtl/>
          <w:lang w:bidi="fa-IR"/>
        </w:rPr>
        <w:t xml:space="preserve"> ، ص 16 : - « أبي ».</w:t>
      </w:r>
    </w:p>
    <w:p w:rsidR="00744A1C" w:rsidRDefault="00E378DD" w:rsidP="00257308">
      <w:pPr>
        <w:pStyle w:val="libFootnote0"/>
        <w:rPr>
          <w:lang w:bidi="fa-IR"/>
        </w:rPr>
      </w:pPr>
      <w:r>
        <w:rPr>
          <w:rtl/>
          <w:lang w:bidi="fa-IR"/>
        </w:rPr>
        <w:t>(3).</w:t>
      </w:r>
      <w:r w:rsidR="00744A1C">
        <w:rPr>
          <w:rtl/>
          <w:lang w:bidi="fa-IR"/>
        </w:rPr>
        <w:t xml:space="preserve"> في </w:t>
      </w:r>
      <w:r w:rsidR="00744A1C" w:rsidRPr="007B299E">
        <w:rPr>
          <w:rStyle w:val="libFootnoteBoldChar"/>
          <w:rtl/>
        </w:rPr>
        <w:t>كامل الزيارات</w:t>
      </w:r>
      <w:r w:rsidR="00744A1C">
        <w:rPr>
          <w:rtl/>
          <w:lang w:bidi="fa-IR"/>
        </w:rPr>
        <w:t xml:space="preserve"> ، ص 19 : + « إلى قبر النبيّ </w:t>
      </w:r>
      <w:r w:rsidR="005E465D" w:rsidRPr="00EE7E5B">
        <w:rPr>
          <w:rStyle w:val="libFootnoteAlaemChar"/>
          <w:rFonts w:eastAsiaTheme="minorHAnsi"/>
          <w:rtl/>
        </w:rPr>
        <w:t>صلى‌الله‌عليه‌وآله</w:t>
      </w:r>
      <w:r w:rsidR="00257308" w:rsidRPr="00257308">
        <w:rPr>
          <w:rFonts w:eastAsiaTheme="minorHAnsi"/>
          <w:rtl/>
        </w:rPr>
        <w:t xml:space="preserve"> </w:t>
      </w:r>
      <w:r w:rsidR="00744A1C">
        <w:rPr>
          <w:rtl/>
          <w:lang w:bidi="fa-IR"/>
        </w:rPr>
        <w:t>».</w:t>
      </w:r>
    </w:p>
    <w:p w:rsidR="00744A1C" w:rsidRDefault="00E378DD" w:rsidP="00257308">
      <w:pPr>
        <w:pStyle w:val="libFootnote0"/>
        <w:rPr>
          <w:lang w:bidi="fa-IR"/>
        </w:rPr>
      </w:pPr>
      <w:r>
        <w:rPr>
          <w:rtl/>
          <w:lang w:bidi="fa-IR"/>
        </w:rPr>
        <w:t>(4).</w:t>
      </w:r>
      <w:r w:rsidR="00744A1C">
        <w:rPr>
          <w:rtl/>
          <w:lang w:bidi="fa-IR"/>
        </w:rPr>
        <w:t xml:space="preserve"> قال الجوهري : « المَرو : حجارة بيض برّاقة تقدح منها النار. الواحدة : مروة. وبها سمّيت المروة بمكّة ». </w:t>
      </w:r>
      <w:r w:rsidR="00744A1C" w:rsidRPr="00E978C3">
        <w:rPr>
          <w:rStyle w:val="libFootnoteBoldChar"/>
          <w:rtl/>
        </w:rPr>
        <w:t>الصحاح</w:t>
      </w:r>
      <w:r w:rsidR="00744A1C">
        <w:rPr>
          <w:rtl/>
          <w:lang w:bidi="fa-IR"/>
        </w:rPr>
        <w:t xml:space="preserve"> ، ج 6 ، ص 2491 ( مرا ).</w:t>
      </w:r>
      <w:r w:rsidR="00257308">
        <w:rPr>
          <w:rFonts w:hint="cs"/>
          <w:rtl/>
          <w:lang w:bidi="fa-IR"/>
        </w:rPr>
        <w:t xml:space="preserve">         </w:t>
      </w:r>
      <w:r w:rsidR="00EE7E5B">
        <w:rPr>
          <w:rFonts w:hint="cs"/>
          <w:rtl/>
          <w:lang w:bidi="fa-IR"/>
        </w:rPr>
        <w:t xml:space="preserve">          </w:t>
      </w:r>
      <w:r w:rsidR="00257308">
        <w:rPr>
          <w:rFonts w:hint="cs"/>
          <w:rtl/>
          <w:lang w:bidi="fa-IR"/>
        </w:rPr>
        <w:t xml:space="preserve">          </w:t>
      </w:r>
      <w:r>
        <w:rPr>
          <w:rtl/>
          <w:lang w:bidi="fa-IR"/>
        </w:rPr>
        <w:t>(5).</w:t>
      </w:r>
      <w:r w:rsidR="00744A1C">
        <w:rPr>
          <w:rtl/>
          <w:lang w:bidi="fa-IR"/>
        </w:rPr>
        <w:t xml:space="preserve"> في « بخ ، بف » </w:t>
      </w:r>
      <w:r w:rsidR="00744A1C" w:rsidRPr="00257308">
        <w:rPr>
          <w:rtl/>
        </w:rPr>
        <w:t xml:space="preserve">والوافي </w:t>
      </w:r>
      <w:r w:rsidR="00744A1C">
        <w:rPr>
          <w:rtl/>
          <w:lang w:bidi="fa-IR"/>
        </w:rPr>
        <w:t>: « ويقول ».</w:t>
      </w:r>
    </w:p>
    <w:tbl>
      <w:tblPr>
        <w:tblStyle w:val="TableGrid"/>
        <w:bidiVisual/>
        <w:tblW w:w="0" w:type="auto"/>
        <w:tblLook w:val="04A0" w:firstRow="1" w:lastRow="0" w:firstColumn="1" w:lastColumn="0" w:noHBand="0" w:noVBand="1"/>
      </w:tblPr>
      <w:tblGrid>
        <w:gridCol w:w="4006"/>
        <w:gridCol w:w="4006"/>
      </w:tblGrid>
      <w:tr w:rsidR="00257308" w:rsidTr="00257308">
        <w:tc>
          <w:tcPr>
            <w:tcW w:w="4006" w:type="dxa"/>
          </w:tcPr>
          <w:p w:rsidR="00257308" w:rsidRDefault="00257308" w:rsidP="00E378DD">
            <w:pPr>
              <w:pStyle w:val="libFootnote0"/>
              <w:rPr>
                <w:rtl/>
                <w:lang w:bidi="fa-IR"/>
              </w:rPr>
            </w:pPr>
            <w:r>
              <w:rPr>
                <w:rtl/>
                <w:lang w:bidi="fa-IR"/>
              </w:rPr>
              <w:t xml:space="preserve">(6). في </w:t>
            </w:r>
            <w:r w:rsidRPr="00257308">
              <w:rPr>
                <w:rtl/>
              </w:rPr>
              <w:t>كامل الزيارات</w:t>
            </w:r>
            <w:r>
              <w:rPr>
                <w:rtl/>
                <w:lang w:bidi="fa-IR"/>
              </w:rPr>
              <w:t xml:space="preserve"> : « أمري ».</w:t>
            </w:r>
          </w:p>
        </w:tc>
        <w:tc>
          <w:tcPr>
            <w:tcW w:w="4006" w:type="dxa"/>
          </w:tcPr>
          <w:p w:rsidR="00257308" w:rsidRDefault="00257308" w:rsidP="00E378DD">
            <w:pPr>
              <w:pStyle w:val="libFootnote0"/>
              <w:rPr>
                <w:rtl/>
                <w:lang w:bidi="fa-IR"/>
              </w:rPr>
            </w:pPr>
            <w:r>
              <w:rPr>
                <w:rtl/>
                <w:lang w:bidi="fa-IR"/>
              </w:rPr>
              <w:t xml:space="preserve">(7). في </w:t>
            </w:r>
            <w:r w:rsidRPr="00257308">
              <w:rPr>
                <w:rtl/>
              </w:rPr>
              <w:t>الوسائل وكامل الزيارات</w:t>
            </w:r>
            <w:r>
              <w:rPr>
                <w:rtl/>
                <w:lang w:bidi="fa-IR"/>
              </w:rPr>
              <w:t xml:space="preserve"> ، ص 19 : +«نبيّك».</w:t>
            </w:r>
          </w:p>
        </w:tc>
      </w:tr>
      <w:tr w:rsidR="00257308" w:rsidTr="00257308">
        <w:tc>
          <w:tcPr>
            <w:tcW w:w="4006" w:type="dxa"/>
          </w:tcPr>
          <w:p w:rsidR="00257308" w:rsidRDefault="00257308" w:rsidP="00E378DD">
            <w:pPr>
              <w:pStyle w:val="libFootnote0"/>
              <w:rPr>
                <w:rtl/>
                <w:lang w:bidi="fa-IR"/>
              </w:rPr>
            </w:pPr>
            <w:r>
              <w:rPr>
                <w:rtl/>
                <w:lang w:bidi="fa-IR"/>
              </w:rPr>
              <w:t xml:space="preserve">(8). في </w:t>
            </w:r>
            <w:r w:rsidRPr="00257308">
              <w:rPr>
                <w:rtl/>
              </w:rPr>
              <w:t>كامل الزيارات ،</w:t>
            </w:r>
            <w:r>
              <w:rPr>
                <w:rtl/>
                <w:lang w:bidi="fa-IR"/>
              </w:rPr>
              <w:t xml:space="preserve"> ص 19+ « لها ».</w:t>
            </w:r>
          </w:p>
        </w:tc>
        <w:tc>
          <w:tcPr>
            <w:tcW w:w="4006" w:type="dxa"/>
          </w:tcPr>
          <w:p w:rsidR="00257308" w:rsidRDefault="00257308" w:rsidP="00E378DD">
            <w:pPr>
              <w:pStyle w:val="libFootnote0"/>
              <w:rPr>
                <w:rtl/>
                <w:lang w:bidi="fa-IR"/>
              </w:rPr>
            </w:pPr>
            <w:r>
              <w:rPr>
                <w:rtl/>
                <w:lang w:bidi="fa-IR"/>
              </w:rPr>
              <w:t xml:space="preserve">(9). في </w:t>
            </w:r>
            <w:r w:rsidRPr="00C24F9C">
              <w:rPr>
                <w:rStyle w:val="libFootnoteBoldChar"/>
                <w:rtl/>
              </w:rPr>
              <w:t>الوسائل</w:t>
            </w:r>
            <w:r>
              <w:rPr>
                <w:rtl/>
                <w:lang w:bidi="fa-IR"/>
              </w:rPr>
              <w:t xml:space="preserve"> : + « ربّ ».</w:t>
            </w:r>
          </w:p>
        </w:tc>
      </w:tr>
    </w:tbl>
    <w:p w:rsidR="00744A1C" w:rsidRDefault="00E378DD" w:rsidP="00E378DD">
      <w:pPr>
        <w:pStyle w:val="libFootnote0"/>
        <w:rPr>
          <w:lang w:bidi="fa-IR"/>
        </w:rPr>
      </w:pPr>
      <w:r>
        <w:rPr>
          <w:rtl/>
          <w:lang w:bidi="fa-IR"/>
        </w:rPr>
        <w:t>(10).</w:t>
      </w:r>
      <w:r w:rsidR="00744A1C">
        <w:rPr>
          <w:rtl/>
          <w:lang w:bidi="fa-IR"/>
        </w:rPr>
        <w:t xml:space="preserve"> في « ى » : - « من ».</w:t>
      </w:r>
    </w:p>
    <w:p w:rsidR="00744A1C" w:rsidRDefault="00E378DD" w:rsidP="00E378DD">
      <w:pPr>
        <w:pStyle w:val="libFootnote0"/>
        <w:rPr>
          <w:lang w:bidi="fa-IR"/>
        </w:rPr>
      </w:pPr>
      <w:r>
        <w:rPr>
          <w:rtl/>
          <w:lang w:bidi="fa-IR"/>
        </w:rPr>
        <w:t>(11).</w:t>
      </w:r>
      <w:r w:rsidR="00744A1C">
        <w:rPr>
          <w:rtl/>
          <w:lang w:bidi="fa-IR"/>
        </w:rPr>
        <w:t xml:space="preserve"> هكذا في معظم النسخ التي قوبلت و</w:t>
      </w:r>
      <w:r w:rsidR="00744A1C" w:rsidRPr="00C24F9C">
        <w:rPr>
          <w:rStyle w:val="libFootnoteBoldChar"/>
          <w:rtl/>
        </w:rPr>
        <w:t>الوافي</w:t>
      </w:r>
      <w:r w:rsidR="00744A1C">
        <w:rPr>
          <w:rtl/>
          <w:lang w:bidi="fa-IR"/>
        </w:rPr>
        <w:t>. وفي « بح » والمطبوع : « أو تغيّر ».</w:t>
      </w:r>
    </w:p>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 xml:space="preserve">كَرِّمْنِي </w:t>
      </w:r>
      <w:r w:rsidRPr="00D10E3C">
        <w:rPr>
          <w:rStyle w:val="libFootnotenumChar"/>
          <w:rtl/>
        </w:rPr>
        <w:t>(1)</w:t>
      </w:r>
      <w:r>
        <w:rPr>
          <w:rtl/>
          <w:lang w:bidi="fa-IR"/>
        </w:rPr>
        <w:t xml:space="preserve"> بِالتَّقْوى ، وَجَمِّلْنِي بِالنِّعَمِ ، وَاغْمُرْنِي </w:t>
      </w:r>
      <w:r w:rsidRPr="00D10E3C">
        <w:rPr>
          <w:rStyle w:val="libFootnotenumChar"/>
          <w:rtl/>
        </w:rPr>
        <w:t>(2)</w:t>
      </w:r>
      <w:r>
        <w:rPr>
          <w:rtl/>
          <w:lang w:bidi="fa-IR"/>
        </w:rPr>
        <w:t xml:space="preserve"> بِالْعَافِيَةِ ، وَارْزُقْنِي شُكْرَ الْعَافِيَةِ ». </w:t>
      </w:r>
      <w:r w:rsidRPr="00D10E3C">
        <w:rPr>
          <w:rStyle w:val="libFootnotenumChar"/>
          <w:rtl/>
        </w:rPr>
        <w:t>(3)</w:t>
      </w:r>
    </w:p>
    <w:p w:rsidR="00144FA6" w:rsidRDefault="00744A1C" w:rsidP="00744A1C">
      <w:pPr>
        <w:pStyle w:val="libNormal"/>
        <w:rPr>
          <w:rtl/>
          <w:lang w:bidi="fa-IR"/>
        </w:rPr>
      </w:pPr>
      <w:r>
        <w:rPr>
          <w:rtl/>
          <w:lang w:bidi="fa-IR"/>
        </w:rPr>
        <w:t>8102 / 3. عِدَّةٌ مِنْ أَصْحَابِنَا ، عَنْ سَهْلِ بْنِ زِيَادٍ ، عَنْ أَحْمَدَ بْنِ مُحَ</w:t>
      </w:r>
      <w:r w:rsidR="004001D0">
        <w:rPr>
          <w:rtl/>
          <w:lang w:bidi="fa-IR"/>
        </w:rPr>
        <w:t>مَّدِ بْنِ أَبِي نَصْرٍ ، قَالَ</w:t>
      </w:r>
      <w:r>
        <w:rPr>
          <w:rtl/>
          <w:lang w:bidi="fa-IR"/>
        </w:rPr>
        <w:t>:</w:t>
      </w:r>
    </w:p>
    <w:p w:rsidR="00744A1C" w:rsidRDefault="00744A1C" w:rsidP="00744A1C">
      <w:pPr>
        <w:pStyle w:val="libNormal"/>
        <w:rPr>
          <w:lang w:bidi="fa-IR"/>
        </w:rPr>
      </w:pPr>
      <w:r>
        <w:rPr>
          <w:rtl/>
          <w:lang w:bidi="fa-IR"/>
        </w:rPr>
        <w:t xml:space="preserve">قُلْتُ لِأَبِي الْحَسَنِ </w:t>
      </w:r>
      <w:r w:rsidR="0061079A" w:rsidRPr="0061079A">
        <w:rPr>
          <w:rStyle w:val="libAlaemChar"/>
          <w:rtl/>
        </w:rPr>
        <w:t>عليه‌السلام</w:t>
      </w:r>
      <w:r w:rsidR="00D10E3C">
        <w:rPr>
          <w:rtl/>
          <w:lang w:bidi="fa-IR"/>
        </w:rPr>
        <w:t xml:space="preserve"> </w:t>
      </w:r>
      <w:r>
        <w:rPr>
          <w:rtl/>
          <w:lang w:bidi="fa-IR"/>
        </w:rPr>
        <w:t xml:space="preserve">: كَيْفَ السَّلَامُ عَلى رَسُولِ اللهِ </w:t>
      </w:r>
      <w:r w:rsidR="005E465D" w:rsidRPr="005E465D">
        <w:rPr>
          <w:rStyle w:val="libAlaemChar"/>
          <w:rtl/>
        </w:rPr>
        <w:t>صلى‌الله‌عليه‌وآله</w:t>
      </w:r>
      <w:r w:rsidR="00D10E3C">
        <w:rPr>
          <w:rtl/>
          <w:lang w:bidi="fa-IR"/>
        </w:rPr>
        <w:t xml:space="preserve"> </w:t>
      </w:r>
      <w:r>
        <w:rPr>
          <w:rtl/>
          <w:lang w:bidi="fa-IR"/>
        </w:rPr>
        <w:t>عِنْدَ قَبْرِهِ؟</w:t>
      </w:r>
    </w:p>
    <w:p w:rsidR="00144FA6" w:rsidRDefault="00744A1C" w:rsidP="00744A1C">
      <w:pPr>
        <w:pStyle w:val="libNormal"/>
        <w:rPr>
          <w:rtl/>
          <w:lang w:bidi="fa-IR"/>
        </w:rPr>
      </w:pPr>
      <w:r>
        <w:rPr>
          <w:rtl/>
          <w:lang w:bidi="fa-IR"/>
        </w:rPr>
        <w:t xml:space="preserve">فَقَالَ : « قُلِ </w:t>
      </w:r>
      <w:r w:rsidRPr="00D10E3C">
        <w:rPr>
          <w:rStyle w:val="libFootnotenumChar"/>
          <w:rtl/>
        </w:rPr>
        <w:t>(4)</w:t>
      </w:r>
      <w:r>
        <w:rPr>
          <w:rtl/>
          <w:lang w:bidi="fa-IR"/>
        </w:rPr>
        <w:t xml:space="preserve"> : السَّلَامُ عَلى رَسُولِ اللهِ </w:t>
      </w:r>
      <w:r w:rsidRPr="00D10E3C">
        <w:rPr>
          <w:rStyle w:val="libFootnotenumChar"/>
          <w:rtl/>
        </w:rPr>
        <w:t>(5)</w:t>
      </w:r>
      <w:r>
        <w:rPr>
          <w:rtl/>
          <w:lang w:bidi="fa-IR"/>
        </w:rPr>
        <w:t xml:space="preserve"> ، السَّلَامُ عَلَيْكَ يَا حَبِيبَ اللهِ ، السَّلَامُ عَلَيْكَ يَا صَفْوَةَ اللهِ ، السَّلَامُ عَلَيْكَ يَا أَمِينَ اللهِ </w:t>
      </w:r>
      <w:r w:rsidRPr="00D10E3C">
        <w:rPr>
          <w:rStyle w:val="libFootnotenumChar"/>
          <w:rtl/>
        </w:rPr>
        <w:t>(6)</w:t>
      </w:r>
      <w:r>
        <w:rPr>
          <w:rtl/>
          <w:lang w:bidi="fa-IR"/>
        </w:rPr>
        <w:t xml:space="preserve"> ، أَشْهَدُ أَنَّكَ قَدْ نَصَحْتَ لِامَّتِكَ ، وَجَاهَدْتَ فِي سَبِيلِ اللهِ ، وَعَبَدْتَهُ </w:t>
      </w:r>
      <w:r w:rsidRPr="00D10E3C">
        <w:rPr>
          <w:rStyle w:val="libFootnotenumChar"/>
          <w:rtl/>
        </w:rPr>
        <w:t>(7)</w:t>
      </w:r>
      <w:r>
        <w:rPr>
          <w:rtl/>
          <w:lang w:bidi="fa-IR"/>
        </w:rPr>
        <w:t xml:space="preserve"> حَتّى أَتَاكَ الْيَقِينُ ، فَجَزَاكَ اللهُ أَفْضَلَ مَا جَزى نَبِيّاً عَنْ أُمَّتِهِ ، الل</w:t>
      </w:r>
      <w:r w:rsidR="004001D0">
        <w:rPr>
          <w:rFonts w:hint="cs"/>
          <w:rtl/>
          <w:lang w:bidi="fa-IR"/>
        </w:rPr>
        <w:t>ّ</w:t>
      </w:r>
      <w:r>
        <w:rPr>
          <w:rtl/>
          <w:lang w:bidi="fa-IR"/>
        </w:rPr>
        <w:t xml:space="preserve">هُمَّ صَلِّ عَلى مُحَمَّدٍ وَآلِ </w:t>
      </w:r>
      <w:r w:rsidRPr="00D10E3C">
        <w:rPr>
          <w:rStyle w:val="libFootnotenumChar"/>
          <w:rtl/>
        </w:rPr>
        <w:t>(8)</w:t>
      </w:r>
      <w:r>
        <w:rPr>
          <w:rtl/>
          <w:lang w:bidi="fa-IR"/>
        </w:rPr>
        <w:t xml:space="preserve"> مُحَمَّدٍ أَفْضَلَ مَا صَلَّيْتَ عَلى إِبْرَاهِيمَ وَآلِ </w:t>
      </w:r>
      <w:r w:rsidRPr="00D10E3C">
        <w:rPr>
          <w:rStyle w:val="libFootnotenumChar"/>
          <w:rtl/>
        </w:rPr>
        <w:t>(9)</w:t>
      </w:r>
      <w:r>
        <w:rPr>
          <w:rtl/>
          <w:lang w:bidi="fa-IR"/>
        </w:rPr>
        <w:t xml:space="preserve"> إِبْرَاهِيمَ ، إِنَّكَ حَمِيدٌ مَجِيدٌ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وحاشية « بس » و</w:t>
      </w:r>
      <w:r w:rsidR="00744A1C" w:rsidRPr="007B299E">
        <w:rPr>
          <w:rStyle w:val="libFootnoteBoldChar"/>
          <w:rtl/>
        </w:rPr>
        <w:t>كامل الزيارات</w:t>
      </w:r>
      <w:r w:rsidR="00744A1C">
        <w:rPr>
          <w:rtl/>
          <w:lang w:bidi="fa-IR"/>
        </w:rPr>
        <w:t xml:space="preserve"> : « زيّني ». وفي حاشية « جد » : « أكرمني ».</w:t>
      </w:r>
    </w:p>
    <w:p w:rsidR="00744A1C" w:rsidRDefault="00E378DD" w:rsidP="00E378DD">
      <w:pPr>
        <w:pStyle w:val="libFootnote0"/>
        <w:rPr>
          <w:lang w:bidi="fa-IR"/>
        </w:rPr>
      </w:pPr>
      <w:r>
        <w:rPr>
          <w:rtl/>
          <w:lang w:bidi="fa-IR"/>
        </w:rPr>
        <w:t>(2).</w:t>
      </w:r>
      <w:r w:rsidR="00744A1C">
        <w:rPr>
          <w:rtl/>
          <w:lang w:bidi="fa-IR"/>
        </w:rPr>
        <w:t xml:space="preserve"> في « ى ، بث ، بخ ، بف » </w:t>
      </w:r>
      <w:r w:rsidR="00744A1C" w:rsidRPr="004001D0">
        <w:rPr>
          <w:rtl/>
        </w:rPr>
        <w:t>والوافي والوسائل</w:t>
      </w:r>
      <w:r w:rsidR="00744A1C">
        <w:rPr>
          <w:rtl/>
          <w:lang w:bidi="fa-IR"/>
        </w:rPr>
        <w:t xml:space="preserve"> : « واعمرني ».</w:t>
      </w:r>
    </w:p>
    <w:p w:rsidR="00744A1C" w:rsidRDefault="00E378DD" w:rsidP="00E378DD">
      <w:pPr>
        <w:pStyle w:val="libFootnote0"/>
        <w:rPr>
          <w:lang w:bidi="fa-IR"/>
        </w:rPr>
      </w:pPr>
      <w:r>
        <w:rPr>
          <w:rtl/>
          <w:lang w:bidi="fa-IR"/>
        </w:rPr>
        <w:t>(3).</w:t>
      </w:r>
      <w:r w:rsidR="00744A1C">
        <w:rPr>
          <w:rtl/>
          <w:lang w:bidi="fa-IR"/>
        </w:rPr>
        <w:t xml:space="preserve"> </w:t>
      </w:r>
      <w:r w:rsidR="00744A1C" w:rsidRPr="007B299E">
        <w:rPr>
          <w:rStyle w:val="libFootnoteBoldChar"/>
          <w:rtl/>
        </w:rPr>
        <w:t>كامل الزيارات</w:t>
      </w:r>
      <w:r w:rsidR="00744A1C">
        <w:rPr>
          <w:rtl/>
          <w:lang w:bidi="fa-IR"/>
        </w:rPr>
        <w:t xml:space="preserve"> ، ص 16 و 19 ، الباب 3 ، ح 3 و 8 ، بسندهما عن عليّ بن مهزيار ، عن عليّ بن الحسين [ في ص 19 : + « العلوي » ] بن عليّ بن عمر بن عليّ بن الحسين بن عليّ بن أبي طالب ، عن عليّ بن جعفر. كتاب المزار ، ص 175 ، ح 1 ، مرسلاً عن الصادق </w:t>
      </w:r>
      <w:r w:rsidR="0061079A" w:rsidRPr="0061079A">
        <w:rPr>
          <w:rStyle w:val="libFootnoteAlaemChar"/>
          <w:rtl/>
        </w:rPr>
        <w:t>عليه‌السلام</w:t>
      </w:r>
      <w:r w:rsidR="00D10E3C">
        <w:rPr>
          <w:rtl/>
          <w:lang w:bidi="fa-IR"/>
        </w:rPr>
        <w:t xml:space="preserve"> </w:t>
      </w:r>
      <w:r w:rsidR="00744A1C">
        <w:rPr>
          <w:rtl/>
          <w:lang w:bidi="fa-IR"/>
        </w:rPr>
        <w:t xml:space="preserve">، من قوله : « ويسند ظهره إلى القبر ويستقبل القبلة » مع اختلاف. </w:t>
      </w:r>
      <w:r w:rsidR="00744A1C" w:rsidRPr="00C24F9C">
        <w:rPr>
          <w:rStyle w:val="libFootnoteBoldChar"/>
          <w:rtl/>
        </w:rPr>
        <w:t>الفقيه</w:t>
      </w:r>
      <w:r w:rsidR="00744A1C">
        <w:rPr>
          <w:rtl/>
          <w:lang w:bidi="fa-IR"/>
        </w:rPr>
        <w:t xml:space="preserve"> ، ج 2 ، ص 567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4001D0">
        <w:rPr>
          <w:rFonts w:hint="cs"/>
          <w:rtl/>
          <w:lang w:bidi="fa-IR"/>
        </w:rPr>
        <w:t>.</w:t>
      </w:r>
      <w:r w:rsidR="00744A1C" w:rsidRPr="00C24F9C">
        <w:rPr>
          <w:rStyle w:val="libFootnoteBoldChar"/>
          <w:rtl/>
        </w:rPr>
        <w:t>الوافي</w:t>
      </w:r>
      <w:r w:rsidR="00744A1C">
        <w:rPr>
          <w:rtl/>
          <w:lang w:bidi="fa-IR"/>
        </w:rPr>
        <w:t xml:space="preserve"> ، ج 14 ، ص 1350 ، ح 14383 ؛ </w:t>
      </w:r>
      <w:r w:rsidR="00744A1C" w:rsidRPr="00C24F9C">
        <w:rPr>
          <w:rStyle w:val="libFootnoteBoldChar"/>
          <w:rtl/>
        </w:rPr>
        <w:t>الوسائل</w:t>
      </w:r>
      <w:r w:rsidR="00744A1C">
        <w:rPr>
          <w:rtl/>
          <w:lang w:bidi="fa-IR"/>
        </w:rPr>
        <w:t xml:space="preserve"> ، ج 14 ، ص 342 ، ح 19354.</w:t>
      </w:r>
    </w:p>
    <w:p w:rsidR="00744A1C" w:rsidRDefault="00E378DD" w:rsidP="00E378DD">
      <w:pPr>
        <w:pStyle w:val="libFootnote0"/>
        <w:rPr>
          <w:lang w:bidi="fa-IR"/>
        </w:rPr>
      </w:pPr>
      <w:r>
        <w:rPr>
          <w:rtl/>
          <w:lang w:bidi="fa-IR"/>
        </w:rPr>
        <w:t>(4).</w:t>
      </w:r>
      <w:r w:rsidR="00744A1C">
        <w:rPr>
          <w:rtl/>
          <w:lang w:bidi="fa-IR"/>
        </w:rPr>
        <w:t xml:space="preserve"> في </w:t>
      </w:r>
      <w:r w:rsidR="00744A1C" w:rsidRPr="004001D0">
        <w:rPr>
          <w:rtl/>
        </w:rPr>
        <w:t>التهذيب وكامل الزيارات</w:t>
      </w:r>
      <w:r w:rsidR="00744A1C">
        <w:rPr>
          <w:rtl/>
          <w:lang w:bidi="fa-IR"/>
        </w:rPr>
        <w:t xml:space="preserve"> ، ص 18 : - « قل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والمزار : « السلام عليك يا رسول الله ».</w:t>
      </w:r>
    </w:p>
    <w:p w:rsidR="00744A1C" w:rsidRDefault="00E378DD" w:rsidP="004001D0">
      <w:pPr>
        <w:pStyle w:val="libFootnote0"/>
        <w:rPr>
          <w:lang w:bidi="fa-IR"/>
        </w:rPr>
      </w:pPr>
      <w:r>
        <w:rPr>
          <w:rtl/>
          <w:lang w:bidi="fa-IR"/>
        </w:rPr>
        <w:t>(6).</w:t>
      </w:r>
      <w:r w:rsidR="00744A1C">
        <w:rPr>
          <w:rtl/>
          <w:lang w:bidi="fa-IR"/>
        </w:rPr>
        <w:t xml:space="preserve"> في </w:t>
      </w:r>
      <w:r w:rsidR="00744A1C" w:rsidRPr="007B299E">
        <w:rPr>
          <w:rStyle w:val="libFootnoteBoldChar"/>
          <w:rtl/>
        </w:rPr>
        <w:t>كامل الزيارات</w:t>
      </w:r>
      <w:r w:rsidR="00744A1C">
        <w:rPr>
          <w:rtl/>
          <w:lang w:bidi="fa-IR"/>
        </w:rPr>
        <w:t xml:space="preserve"> ، ص 20 : + « أشهد أنّك رسول الله ، وأشهد أنّك محمّد بن عبد الله و». وفي المزار : + « السلام عليك يا حجّة الله ».</w:t>
      </w:r>
      <w:r w:rsidR="004001D0">
        <w:rPr>
          <w:rFonts w:hint="cs"/>
          <w:rtl/>
          <w:lang w:bidi="fa-IR"/>
        </w:rPr>
        <w:t xml:space="preserve">                           </w:t>
      </w:r>
      <w:r>
        <w:rPr>
          <w:rtl/>
          <w:lang w:bidi="fa-IR"/>
        </w:rPr>
        <w:t>(7).</w:t>
      </w:r>
      <w:r w:rsidR="00744A1C">
        <w:rPr>
          <w:rtl/>
          <w:lang w:bidi="fa-IR"/>
        </w:rPr>
        <w:t xml:space="preserve"> في </w:t>
      </w:r>
      <w:r w:rsidR="00744A1C" w:rsidRPr="007B299E">
        <w:rPr>
          <w:rStyle w:val="libFootnoteBoldChar"/>
          <w:rtl/>
        </w:rPr>
        <w:t>كامل الزيارات</w:t>
      </w:r>
      <w:r w:rsidR="00744A1C">
        <w:rPr>
          <w:rtl/>
          <w:lang w:bidi="fa-IR"/>
        </w:rPr>
        <w:t xml:space="preserve"> ، ص 18 والمزار : + « مخلصاً ».</w:t>
      </w:r>
    </w:p>
    <w:p w:rsidR="00744A1C" w:rsidRDefault="00E378DD" w:rsidP="00E378DD">
      <w:pPr>
        <w:pStyle w:val="libFootnote0"/>
        <w:rPr>
          <w:lang w:bidi="fa-IR"/>
        </w:rPr>
      </w:pPr>
      <w:r>
        <w:rPr>
          <w:rtl/>
          <w:lang w:bidi="fa-IR"/>
        </w:rPr>
        <w:t>(8).</w:t>
      </w:r>
      <w:r w:rsidR="00744A1C">
        <w:rPr>
          <w:rtl/>
          <w:lang w:bidi="fa-IR"/>
        </w:rPr>
        <w:t xml:space="preserve"> في « بث ، بح ، بف » وحاشية « جن » : « وعلى آل ».</w:t>
      </w:r>
    </w:p>
    <w:p w:rsidR="00744A1C" w:rsidRDefault="00E378DD" w:rsidP="00E378DD">
      <w:pPr>
        <w:pStyle w:val="libFootnote0"/>
        <w:rPr>
          <w:lang w:bidi="fa-IR"/>
        </w:rPr>
      </w:pPr>
      <w:r>
        <w:rPr>
          <w:rtl/>
          <w:lang w:bidi="fa-IR"/>
        </w:rPr>
        <w:t>(9).</w:t>
      </w:r>
      <w:r w:rsidR="00744A1C">
        <w:rPr>
          <w:rtl/>
          <w:lang w:bidi="fa-IR"/>
        </w:rPr>
        <w:t xml:space="preserve"> في « بس ، جد » : « وعلى آل ».</w:t>
      </w:r>
    </w:p>
    <w:p w:rsidR="00744A1C" w:rsidRDefault="00E378DD" w:rsidP="00E378DD">
      <w:pPr>
        <w:pStyle w:val="libFootnote0"/>
        <w:rPr>
          <w:lang w:bidi="fa-IR"/>
        </w:rPr>
      </w:pPr>
      <w:r>
        <w:rPr>
          <w:rtl/>
          <w:lang w:bidi="fa-IR"/>
        </w:rPr>
        <w:t>(10).</w:t>
      </w:r>
      <w:r w:rsidR="00744A1C">
        <w:rPr>
          <w:rtl/>
          <w:lang w:bidi="fa-IR"/>
        </w:rPr>
        <w:t xml:space="preserve"> </w:t>
      </w:r>
      <w:r w:rsidR="00744A1C" w:rsidRPr="007B299E">
        <w:rPr>
          <w:rStyle w:val="libFootnoteBoldChar"/>
          <w:rtl/>
        </w:rPr>
        <w:t>كامل الزيارات</w:t>
      </w:r>
      <w:r w:rsidR="00744A1C">
        <w:rPr>
          <w:rtl/>
          <w:lang w:bidi="fa-IR"/>
        </w:rPr>
        <w:t xml:space="preserve"> ، ص 18 ، الباب 3 ، ح 6 ، عن محمّد بن يعقوب الكليني. كتاب المزار ، ص 172 ، ح 1 ، بسنده عن محمّد بن يعقوب الكليني. </w:t>
      </w:r>
      <w:r w:rsidR="00744A1C" w:rsidRPr="00C24F9C">
        <w:rPr>
          <w:rStyle w:val="libFootnoteBoldChar"/>
          <w:rtl/>
        </w:rPr>
        <w:t>التهذيب</w:t>
      </w:r>
      <w:r w:rsidR="00744A1C">
        <w:rPr>
          <w:rtl/>
          <w:lang w:bidi="fa-IR"/>
        </w:rPr>
        <w:t xml:space="preserve"> ، ج 6 ، ص 6 ، ح 9 ، معلّقاً عن الكليني. وفي </w:t>
      </w:r>
      <w:r w:rsidR="00744A1C" w:rsidRPr="00877682">
        <w:rPr>
          <w:rStyle w:val="libFootnoteBoldChar"/>
          <w:rtl/>
        </w:rPr>
        <w:t>قرب الإسناد</w:t>
      </w:r>
      <w:r w:rsidR="00744A1C">
        <w:rPr>
          <w:rtl/>
          <w:lang w:bidi="fa-IR"/>
        </w:rPr>
        <w:t xml:space="preserve"> ، ص 382 ، ذيل ح 1344 ؛ و</w:t>
      </w:r>
      <w:r w:rsidR="00744A1C" w:rsidRPr="007B299E">
        <w:rPr>
          <w:rStyle w:val="libFootnoteBoldChar"/>
          <w:rtl/>
        </w:rPr>
        <w:t>كامل الزيارات</w:t>
      </w:r>
      <w:r w:rsidR="00744A1C">
        <w:rPr>
          <w:rtl/>
          <w:lang w:bidi="fa-IR"/>
        </w:rPr>
        <w:t xml:space="preserve"> ، ص 20 ، الباب 3 ، ح 10 ، بسندهما عن أحمد بن محمّد بن أبي نصر ، عن أبي </w:t>
      </w:r>
      <w:r w:rsidR="004001D0">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8103 / 4. أَبُو عَلِيٍّ الْأَشْعَرِيُّ ، عَنِ الْحَسَنِ بْنِ عَلِيٍّ الْكُوفِيِّ ، عَنْ عَلِيِّ بْنِ مَهْزِيَارَ ، عَنْ حَمَّادِ بْنِ عِيسى ، عَنْ مُحَمَّدِ بْنِ مَسْعُودٍ ، قَالَ :</w:t>
      </w:r>
    </w:p>
    <w:p w:rsidR="00144FA6" w:rsidRDefault="00744A1C" w:rsidP="00341C58">
      <w:pPr>
        <w:pStyle w:val="libNormal"/>
        <w:rPr>
          <w:rtl/>
          <w:lang w:bidi="fa-IR"/>
        </w:rPr>
      </w:pPr>
      <w:r>
        <w:rPr>
          <w:rtl/>
          <w:lang w:bidi="fa-IR"/>
        </w:rPr>
        <w:t xml:space="preserve">رَأَيْتُ أَبَا عَبْدِ اللهِ </w:t>
      </w:r>
      <w:r w:rsidR="0061079A" w:rsidRPr="0061079A">
        <w:rPr>
          <w:rStyle w:val="libAlaemChar"/>
          <w:rtl/>
        </w:rPr>
        <w:t>عليه‌السلام</w:t>
      </w:r>
      <w:r w:rsidR="00D10E3C">
        <w:rPr>
          <w:rtl/>
          <w:lang w:bidi="fa-IR"/>
        </w:rPr>
        <w:t xml:space="preserve"> </w:t>
      </w:r>
      <w:r>
        <w:rPr>
          <w:rtl/>
          <w:lang w:bidi="fa-IR"/>
        </w:rPr>
        <w:t xml:space="preserve">انْتَهى إِلى قَبْرِ النَّبِيِّ </w:t>
      </w:r>
      <w:r w:rsidRPr="00D10E3C">
        <w:rPr>
          <w:rStyle w:val="libFootnotenumChar"/>
          <w:rtl/>
        </w:rPr>
        <w:t>(1)</w:t>
      </w:r>
      <w:r>
        <w:rPr>
          <w:rtl/>
          <w:lang w:bidi="fa-IR"/>
        </w:rPr>
        <w:t xml:space="preserve"> </w:t>
      </w:r>
      <w:r w:rsidR="005E465D" w:rsidRPr="005E465D">
        <w:rPr>
          <w:rStyle w:val="libAlaemChar"/>
          <w:rFonts w:eastAsiaTheme="minorHAnsi"/>
          <w:rtl/>
        </w:rPr>
        <w:t>صلى‌الله‌عليه‌وآله</w:t>
      </w:r>
      <w:r w:rsidR="00341C58" w:rsidRPr="00E46529">
        <w:rPr>
          <w:rFonts w:eastAsiaTheme="minorHAnsi"/>
          <w:rtl/>
        </w:rPr>
        <w:t xml:space="preserve"> </w:t>
      </w:r>
      <w:r>
        <w:rPr>
          <w:rtl/>
          <w:lang w:bidi="fa-IR"/>
        </w:rPr>
        <w:t xml:space="preserve">، فَوَضَعَ يَدَهُ عَلَيْهِ ، وَقَالَ : « أَسْأَلُ اللهَ الَّذِي اجْتَبَاكَ وَاخْتَارَكَ وَهَدَاكَ </w:t>
      </w:r>
      <w:r w:rsidRPr="00D10E3C">
        <w:rPr>
          <w:rStyle w:val="libFootnotenumChar"/>
          <w:rtl/>
        </w:rPr>
        <w:t>(2)</w:t>
      </w:r>
      <w:r>
        <w:rPr>
          <w:rtl/>
          <w:lang w:bidi="fa-IR"/>
        </w:rPr>
        <w:t xml:space="preserve"> وَهَدى بِكَ أَنْ يُصَلِّيَ عَلَيْكَ </w:t>
      </w:r>
      <w:r w:rsidRPr="00D10E3C">
        <w:rPr>
          <w:rStyle w:val="libFootnotenumChar"/>
          <w:rtl/>
        </w:rPr>
        <w:t>(3)</w:t>
      </w:r>
      <w:r>
        <w:rPr>
          <w:rtl/>
          <w:lang w:bidi="fa-IR"/>
        </w:rPr>
        <w:t xml:space="preserve"> » ثُمَّ قَالَ : « </w:t>
      </w:r>
      <w:r w:rsidRPr="00341C58">
        <w:rPr>
          <w:rStyle w:val="libAlaemChar"/>
          <w:rtl/>
        </w:rPr>
        <w:t>(</w:t>
      </w:r>
      <w:r>
        <w:rPr>
          <w:rtl/>
          <w:lang w:bidi="fa-IR"/>
        </w:rPr>
        <w:t xml:space="preserve"> </w:t>
      </w:r>
      <w:r w:rsidRPr="00341C58">
        <w:rPr>
          <w:rStyle w:val="libAieChar"/>
          <w:rtl/>
        </w:rPr>
        <w:t>إِنَّ اللهَ</w:t>
      </w:r>
      <w:r>
        <w:rPr>
          <w:rtl/>
          <w:lang w:bidi="fa-IR"/>
        </w:rPr>
        <w:t xml:space="preserve"> </w:t>
      </w:r>
      <w:r w:rsidRPr="00341C58">
        <w:rPr>
          <w:rStyle w:val="libAieChar"/>
          <w:rtl/>
        </w:rPr>
        <w:t xml:space="preserve">وَمَلائِكَتَهُ يُصَلُّونَ عَلَى النَّبِيِّ يا أَيُّهَا الَّذِينَ آمَنُوا صَلُّوا عَلَيْهِ وَسَلِّمُوا تَسْلِيماً </w:t>
      </w:r>
      <w:r w:rsidRPr="00341C58">
        <w:rPr>
          <w:rStyle w:val="libAlaemChar"/>
          <w:rtl/>
        </w:rPr>
        <w:t>)</w:t>
      </w:r>
      <w:r>
        <w:rPr>
          <w:rtl/>
          <w:lang w:bidi="fa-IR"/>
        </w:rPr>
        <w:t xml:space="preserve">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8104 / 5. عِدَّةٌ مِنْ أَصْحَابِنَا ، عَنْ سَهْلِ بْنِ زِيَادٍ ، عَنْ أَحْمَدَ بْنِ مُحَمَّدٍ ، عَنْ حَمَّادِ بْنِ عُثْمَانَ ، عَنْ إِسْحَاقَ بْنِ عَمَّارٍ :</w:t>
      </w:r>
    </w:p>
    <w:p w:rsidR="00144FA6" w:rsidRDefault="00744A1C" w:rsidP="00744A1C">
      <w:pPr>
        <w:pStyle w:val="libNormal"/>
        <w:rPr>
          <w:rtl/>
          <w:lang w:bidi="fa-IR"/>
        </w:rPr>
      </w:pPr>
      <w:r>
        <w:rPr>
          <w:rtl/>
          <w:lang w:bidi="fa-IR"/>
        </w:rPr>
        <w:t xml:space="preserve">أَنَّ أَبَا عَبْدِ اللهِ </w:t>
      </w:r>
      <w:r w:rsidR="0061079A" w:rsidRPr="0061079A">
        <w:rPr>
          <w:rStyle w:val="libAlaemChar"/>
          <w:rtl/>
        </w:rPr>
        <w:t>عليه‌السلام</w:t>
      </w:r>
      <w:r w:rsidR="00D10E3C">
        <w:rPr>
          <w:rtl/>
          <w:lang w:bidi="fa-IR"/>
        </w:rPr>
        <w:t xml:space="preserve"> </w:t>
      </w:r>
      <w:r>
        <w:rPr>
          <w:rtl/>
          <w:lang w:bidi="fa-IR"/>
        </w:rPr>
        <w:t xml:space="preserve">، قَالَ لَهُمْ : « مُرُّوا بِالْمَدِينَةِ ، فَسَلِّمُوا عَلى رَسُولِ اللهِ </w:t>
      </w:r>
      <w:r w:rsidR="004D054E" w:rsidRPr="004D054E">
        <w:rPr>
          <w:rStyle w:val="libAlaemChar"/>
          <w:rtl/>
        </w:rPr>
        <w:t>صلى‌الله‌عليه‌وآله</w:t>
      </w:r>
      <w:r w:rsidR="00D10E3C">
        <w:rPr>
          <w:rtl/>
          <w:lang w:bidi="fa-IR"/>
        </w:rPr>
        <w:t xml:space="preserve"> </w:t>
      </w:r>
      <w:r>
        <w:rPr>
          <w:rtl/>
          <w:lang w:bidi="fa-IR"/>
        </w:rPr>
        <w:t xml:space="preserve">مِنْ قَرِيبٍ </w:t>
      </w:r>
      <w:r w:rsidRPr="00D10E3C">
        <w:rPr>
          <w:rStyle w:val="libFootnotenumChar"/>
          <w:rtl/>
        </w:rPr>
        <w:t>(6)</w:t>
      </w:r>
      <w:r>
        <w:rPr>
          <w:rtl/>
          <w:lang w:bidi="fa-IR"/>
        </w:rPr>
        <w:t xml:space="preserve"> ، وَإِنْ كَانَتِ الصَّلَاةُ </w:t>
      </w:r>
      <w:r w:rsidRPr="00D10E3C">
        <w:rPr>
          <w:rStyle w:val="libFootnotenumChar"/>
          <w:rtl/>
        </w:rPr>
        <w:t>(7)</w:t>
      </w:r>
      <w:r>
        <w:rPr>
          <w:rtl/>
          <w:lang w:bidi="fa-IR"/>
        </w:rPr>
        <w:t xml:space="preserve"> تَبْلُغُهُ </w:t>
      </w:r>
      <w:r w:rsidRPr="00D10E3C">
        <w:rPr>
          <w:rStyle w:val="libFootnotenumChar"/>
          <w:rtl/>
        </w:rPr>
        <w:t>(8)</w:t>
      </w:r>
      <w:r>
        <w:rPr>
          <w:rtl/>
          <w:lang w:bidi="fa-IR"/>
        </w:rPr>
        <w:t xml:space="preserve"> مِنْ بَعِيدٍ ». </w:t>
      </w:r>
      <w:r w:rsidRPr="00D10E3C">
        <w:rPr>
          <w:rStyle w:val="libFootnotenumChar"/>
          <w:rtl/>
        </w:rPr>
        <w:t>(9)</w:t>
      </w:r>
    </w:p>
    <w:p w:rsidR="00144FA6" w:rsidRDefault="00744A1C" w:rsidP="00744A1C">
      <w:pPr>
        <w:pStyle w:val="libNormal"/>
        <w:rPr>
          <w:rtl/>
          <w:lang w:bidi="fa-IR"/>
        </w:rPr>
      </w:pPr>
      <w:r>
        <w:rPr>
          <w:rtl/>
          <w:lang w:bidi="fa-IR"/>
        </w:rPr>
        <w:t>8105 / 6. مُحَمَّدُ بْنُ يَحْيى ، عَنْ أَحْمَدَ بْنِ مُحَمَّدٍ ، عَنْ صَفْوَانَ بْنِ يَحْيى ، قَالَ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 xml:space="preserve">عَنِ الْمَمَرِّ فِي مُؤَخَّرِ مَسْجِدِ رَسُولِ اللهِ </w:t>
      </w:r>
      <w:r w:rsidR="007B299E" w:rsidRPr="007B299E">
        <w:rPr>
          <w:rStyle w:val="libAlaemChar"/>
          <w:rtl/>
        </w:rPr>
        <w:t>صلى‌الله‌عليه‌وآله</w:t>
      </w:r>
      <w:r w:rsidR="00D10E3C">
        <w:rPr>
          <w:rtl/>
          <w:lang w:bidi="fa-IR"/>
        </w:rPr>
        <w:t xml:space="preserve"> </w:t>
      </w:r>
      <w:r>
        <w:rPr>
          <w:rtl/>
          <w:lang w:bidi="fa-IR"/>
        </w:rPr>
        <w:t>، وَلَا أُسَلِّمُ‌</w:t>
      </w:r>
    </w:p>
    <w:p w:rsidR="00744A1C" w:rsidRDefault="00744A1C" w:rsidP="00D10E3C">
      <w:pPr>
        <w:pStyle w:val="libLine"/>
        <w:rPr>
          <w:lang w:bidi="fa-IR"/>
        </w:rPr>
      </w:pPr>
      <w:r>
        <w:rPr>
          <w:rtl/>
          <w:lang w:bidi="fa-IR"/>
        </w:rPr>
        <w:t>____________________</w:t>
      </w:r>
    </w:p>
    <w:p w:rsidR="00744A1C" w:rsidRDefault="00326502" w:rsidP="00D10E3C">
      <w:pPr>
        <w:pStyle w:val="libFootnote0"/>
        <w:rPr>
          <w:lang w:bidi="fa-IR"/>
        </w:rPr>
      </w:pPr>
      <w:r>
        <w:rPr>
          <w:rFonts w:hint="cs"/>
          <w:rtl/>
          <w:lang w:bidi="fa-IR"/>
        </w:rPr>
        <w:t xml:space="preserve">= </w:t>
      </w:r>
      <w:r w:rsidR="00744A1C">
        <w:rPr>
          <w:rtl/>
          <w:lang w:bidi="fa-IR"/>
        </w:rPr>
        <w:t xml:space="preserve">الحسن الرضا </w:t>
      </w:r>
      <w:r w:rsidR="0061079A" w:rsidRPr="0061079A">
        <w:rPr>
          <w:rStyle w:val="libFootnoteAlaemChar"/>
          <w:rtl/>
        </w:rPr>
        <w:t>عليه‌السلام</w:t>
      </w:r>
      <w:r w:rsidR="00D10E3C">
        <w:rPr>
          <w:rtl/>
          <w:lang w:bidi="fa-IR"/>
        </w:rPr>
        <w:t xml:space="preserve"> </w:t>
      </w:r>
      <w:r w:rsidR="00744A1C">
        <w:rPr>
          <w:rtl/>
          <w:lang w:bidi="fa-IR"/>
        </w:rPr>
        <w:t>، وفي الأخيرين مع اختلاف يسير. راجع : الأمالي للصدوق ، ص 386 ، المجلس 61 ، ح 5 ؛ و</w:t>
      </w:r>
      <w:r w:rsidR="00744A1C" w:rsidRPr="000B1C3F">
        <w:rPr>
          <w:rStyle w:val="libFootnoteBoldChar"/>
          <w:rtl/>
        </w:rPr>
        <w:t>الأمالي للطوسي</w:t>
      </w:r>
      <w:r w:rsidR="00744A1C">
        <w:rPr>
          <w:rtl/>
          <w:lang w:bidi="fa-IR"/>
        </w:rPr>
        <w:t xml:space="preserve"> ، ص 429 ، المجلس 15 ، ح 15 </w:t>
      </w:r>
      <w:r>
        <w:rPr>
          <w:rFonts w:hint="cs"/>
          <w:rtl/>
          <w:lang w:bidi="fa-IR"/>
        </w:rPr>
        <w:t>.</w:t>
      </w:r>
      <w:r w:rsidR="00744A1C" w:rsidRPr="00C24F9C">
        <w:rPr>
          <w:rStyle w:val="libFootnoteBoldChar"/>
          <w:rtl/>
        </w:rPr>
        <w:t>الوافي</w:t>
      </w:r>
      <w:r w:rsidR="00744A1C">
        <w:rPr>
          <w:rtl/>
          <w:lang w:bidi="fa-IR"/>
        </w:rPr>
        <w:t xml:space="preserve"> ، ج 14 ، ص 1349 ، ح 14380 ؛ </w:t>
      </w:r>
      <w:r w:rsidR="00744A1C" w:rsidRPr="00C24F9C">
        <w:rPr>
          <w:rStyle w:val="libFootnoteBoldChar"/>
          <w:rtl/>
        </w:rPr>
        <w:t>الوسائل</w:t>
      </w:r>
      <w:r w:rsidR="00744A1C">
        <w:rPr>
          <w:rtl/>
          <w:lang w:bidi="fa-IR"/>
        </w:rPr>
        <w:t xml:space="preserve"> ، ج 14 ، ص 343 ، ح 19355.</w:t>
      </w:r>
    </w:p>
    <w:p w:rsidR="00744A1C" w:rsidRDefault="00D10E3C" w:rsidP="00D10E3C">
      <w:pPr>
        <w:pStyle w:val="libFootnote0"/>
        <w:rPr>
          <w:lang w:bidi="fa-IR"/>
        </w:rPr>
      </w:pPr>
      <w:r>
        <w:rPr>
          <w:rtl/>
          <w:lang w:bidi="fa-IR"/>
        </w:rPr>
        <w:t>(1).</w:t>
      </w:r>
      <w:r w:rsidR="00744A1C">
        <w:rPr>
          <w:rtl/>
          <w:lang w:bidi="fa-IR"/>
        </w:rPr>
        <w:t xml:space="preserve"> في « بح » : « رسول الله ».</w:t>
      </w:r>
    </w:p>
    <w:p w:rsidR="00744A1C" w:rsidRDefault="00E378DD" w:rsidP="00E378DD">
      <w:pPr>
        <w:pStyle w:val="libFootnote0"/>
        <w:rPr>
          <w:lang w:bidi="fa-IR"/>
        </w:rPr>
      </w:pPr>
      <w:r>
        <w:rPr>
          <w:rtl/>
          <w:lang w:bidi="fa-IR"/>
        </w:rPr>
        <w:t>(2).</w:t>
      </w:r>
      <w:r w:rsidR="00744A1C">
        <w:rPr>
          <w:rtl/>
          <w:lang w:bidi="fa-IR"/>
        </w:rPr>
        <w:t xml:space="preserve"> في « بخ » : - « وهداك ».</w:t>
      </w:r>
    </w:p>
    <w:p w:rsidR="00744A1C" w:rsidRDefault="00E378DD" w:rsidP="00E378DD">
      <w:pPr>
        <w:pStyle w:val="libFootnote0"/>
        <w:rPr>
          <w:lang w:bidi="fa-IR"/>
        </w:rPr>
      </w:pPr>
      <w:r>
        <w:rPr>
          <w:rtl/>
          <w:lang w:bidi="fa-IR"/>
        </w:rPr>
        <w:t>(3).</w:t>
      </w:r>
      <w:r w:rsidR="00744A1C">
        <w:rPr>
          <w:rtl/>
          <w:lang w:bidi="fa-IR"/>
        </w:rPr>
        <w:t xml:space="preserve"> في </w:t>
      </w:r>
      <w:r w:rsidR="00744A1C" w:rsidRPr="007B299E">
        <w:rPr>
          <w:rStyle w:val="libFootnoteBoldChar"/>
          <w:rtl/>
        </w:rPr>
        <w:t>كامل الزيارات</w:t>
      </w:r>
      <w:r w:rsidR="00744A1C">
        <w:rPr>
          <w:rtl/>
          <w:lang w:bidi="fa-IR"/>
        </w:rPr>
        <w:t xml:space="preserve"> ، ص 19 : + « صلاة كثيرة طيّبة ».</w:t>
      </w:r>
    </w:p>
    <w:p w:rsidR="00744A1C" w:rsidRDefault="00E378DD" w:rsidP="00E378DD">
      <w:pPr>
        <w:pStyle w:val="libFootnote0"/>
        <w:rPr>
          <w:lang w:bidi="fa-IR"/>
        </w:rPr>
      </w:pPr>
      <w:r>
        <w:rPr>
          <w:rtl/>
          <w:lang w:bidi="fa-IR"/>
        </w:rPr>
        <w:t>(4).</w:t>
      </w:r>
      <w:r w:rsidR="00744A1C">
        <w:rPr>
          <w:rtl/>
          <w:lang w:bidi="fa-IR"/>
        </w:rPr>
        <w:t xml:space="preserve"> الأحزاب (33) : 56.</w:t>
      </w:r>
    </w:p>
    <w:p w:rsidR="00744A1C" w:rsidRDefault="00E378DD" w:rsidP="00E378DD">
      <w:pPr>
        <w:pStyle w:val="libFootnote0"/>
        <w:rPr>
          <w:lang w:bidi="fa-IR"/>
        </w:rPr>
      </w:pPr>
      <w:r>
        <w:rPr>
          <w:rtl/>
          <w:lang w:bidi="fa-IR"/>
        </w:rPr>
        <w:t>(5).</w:t>
      </w:r>
      <w:r w:rsidR="00744A1C">
        <w:rPr>
          <w:rtl/>
          <w:lang w:bidi="fa-IR"/>
        </w:rPr>
        <w:t xml:space="preserve"> </w:t>
      </w:r>
      <w:r w:rsidR="00744A1C" w:rsidRPr="007B299E">
        <w:rPr>
          <w:rStyle w:val="libFootnoteBoldChar"/>
          <w:rtl/>
        </w:rPr>
        <w:t>كامل الزيارات</w:t>
      </w:r>
      <w:r w:rsidR="00744A1C">
        <w:rPr>
          <w:rtl/>
          <w:lang w:bidi="fa-IR"/>
        </w:rPr>
        <w:t xml:space="preserve"> ، ص 17 ، الباب 3 ، ح 4 ، بسنده عن حمّاد بن عيسى. </w:t>
      </w:r>
      <w:r w:rsidR="00744A1C" w:rsidRPr="006368D2">
        <w:rPr>
          <w:rStyle w:val="libFootnoteBoldChar"/>
          <w:rtl/>
        </w:rPr>
        <w:t>الأمالي للمفيد</w:t>
      </w:r>
      <w:r w:rsidR="00744A1C">
        <w:rPr>
          <w:rtl/>
          <w:lang w:bidi="fa-IR"/>
        </w:rPr>
        <w:t xml:space="preserve"> ، ص 140 ، المجلس 17 ، ح 5 ، بسند آخر ، وفيهما مع اختلاف يسير. وراجع : </w:t>
      </w:r>
      <w:r w:rsidR="00744A1C" w:rsidRPr="007B299E">
        <w:rPr>
          <w:rStyle w:val="libFootnoteBoldChar"/>
          <w:rtl/>
        </w:rPr>
        <w:t>كامل الزيارات</w:t>
      </w:r>
      <w:r w:rsidR="00744A1C">
        <w:rPr>
          <w:rtl/>
          <w:lang w:bidi="fa-IR"/>
        </w:rPr>
        <w:t xml:space="preserve"> ، ص 19 ، الباب 3 ، ح 9 </w:t>
      </w:r>
      <w:r w:rsidR="00326502">
        <w:rPr>
          <w:rFonts w:hint="cs"/>
          <w:rtl/>
          <w:lang w:bidi="fa-IR"/>
        </w:rPr>
        <w:t>.</w:t>
      </w:r>
      <w:r w:rsidR="00744A1C" w:rsidRPr="00C24F9C">
        <w:rPr>
          <w:rStyle w:val="libFootnoteBoldChar"/>
          <w:rtl/>
        </w:rPr>
        <w:t>الوافي</w:t>
      </w:r>
      <w:r w:rsidR="00744A1C">
        <w:rPr>
          <w:rtl/>
          <w:lang w:bidi="fa-IR"/>
        </w:rPr>
        <w:t xml:space="preserve"> ، ج 14 ، ص 1349 ، ح 14381 ؛ </w:t>
      </w:r>
      <w:r w:rsidR="00744A1C" w:rsidRPr="00C24F9C">
        <w:rPr>
          <w:rStyle w:val="libFootnoteBoldChar"/>
          <w:rtl/>
        </w:rPr>
        <w:t>الوسائل</w:t>
      </w:r>
      <w:r w:rsidR="00744A1C">
        <w:rPr>
          <w:rtl/>
          <w:lang w:bidi="fa-IR"/>
        </w:rPr>
        <w:t xml:space="preserve"> ، ج 14 ، ص 344 ، ح 19357.</w:t>
      </w:r>
    </w:p>
    <w:p w:rsidR="00744A1C" w:rsidRDefault="00E378DD" w:rsidP="00E378DD">
      <w:pPr>
        <w:pStyle w:val="libFootnote0"/>
        <w:rPr>
          <w:lang w:bidi="fa-IR"/>
        </w:rPr>
      </w:pPr>
      <w:r>
        <w:rPr>
          <w:rtl/>
          <w:lang w:bidi="fa-IR"/>
        </w:rPr>
        <w:t>(6).</w:t>
      </w:r>
      <w:r w:rsidR="00744A1C">
        <w:rPr>
          <w:rtl/>
          <w:lang w:bidi="fa-IR"/>
        </w:rPr>
        <w:t xml:space="preserve"> في « بث » : « قرب ». وفي « بس » و</w:t>
      </w:r>
      <w:r w:rsidR="00744A1C" w:rsidRPr="00C24F9C">
        <w:rPr>
          <w:rStyle w:val="libFootnoteBoldChar"/>
          <w:rtl/>
        </w:rPr>
        <w:t>الوسائل</w:t>
      </w:r>
      <w:r w:rsidR="00744A1C">
        <w:rPr>
          <w:rtl/>
          <w:lang w:bidi="fa-IR"/>
        </w:rPr>
        <w:t xml:space="preserve"> : - « من قريب ».</w:t>
      </w:r>
    </w:p>
    <w:p w:rsidR="00744A1C" w:rsidRDefault="00E378DD" w:rsidP="00E378DD">
      <w:pPr>
        <w:pStyle w:val="libFootnote0"/>
        <w:rPr>
          <w:lang w:bidi="fa-IR"/>
        </w:rPr>
      </w:pPr>
      <w:r>
        <w:rPr>
          <w:rtl/>
          <w:lang w:bidi="fa-IR"/>
        </w:rPr>
        <w:t>(7).</w:t>
      </w:r>
      <w:r w:rsidR="00744A1C">
        <w:rPr>
          <w:rtl/>
          <w:lang w:bidi="fa-IR"/>
        </w:rPr>
        <w:t xml:space="preserve"> في « بث ، بخ » وحاشية « بح ، جن » : « وإن كان السلام ». وفي « بف » : « وإن كان السلام عليه ».</w:t>
      </w:r>
    </w:p>
    <w:p w:rsidR="00744A1C" w:rsidRDefault="00E378DD" w:rsidP="00E378DD">
      <w:pPr>
        <w:pStyle w:val="libFootnote0"/>
        <w:rPr>
          <w:lang w:bidi="fa-IR"/>
        </w:rPr>
      </w:pPr>
      <w:r>
        <w:rPr>
          <w:rtl/>
          <w:lang w:bidi="fa-IR"/>
        </w:rPr>
        <w:t>(8).</w:t>
      </w:r>
      <w:r w:rsidR="00744A1C">
        <w:rPr>
          <w:rtl/>
          <w:lang w:bidi="fa-IR"/>
        </w:rPr>
        <w:t xml:space="preserve"> في « بخ ، بف » : « يبلغه ». وفي </w:t>
      </w:r>
      <w:r w:rsidR="00744A1C" w:rsidRPr="00C24F9C">
        <w:rPr>
          <w:rStyle w:val="libFootnoteBoldChar"/>
          <w:rtl/>
        </w:rPr>
        <w:t>الوافي</w:t>
      </w:r>
      <w:r w:rsidR="00744A1C">
        <w:rPr>
          <w:rtl/>
          <w:lang w:bidi="fa-IR"/>
        </w:rPr>
        <w:t xml:space="preserve"> : « وإن كان السلام عليه يبلغه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14 ، ص 1351 ، ح 14384 ؛ </w:t>
      </w:r>
      <w:r w:rsidR="00744A1C" w:rsidRPr="00C24F9C">
        <w:rPr>
          <w:rStyle w:val="libFootnoteBoldChar"/>
          <w:rtl/>
        </w:rPr>
        <w:t>الوسائل</w:t>
      </w:r>
      <w:r w:rsidR="00744A1C">
        <w:rPr>
          <w:rtl/>
          <w:lang w:bidi="fa-IR"/>
        </w:rPr>
        <w:t xml:space="preserve"> ، ج 14 ، ص 338 ، ح 19346 ؛ </w:t>
      </w:r>
      <w:r w:rsidR="00744A1C" w:rsidRPr="0061079A">
        <w:rPr>
          <w:rStyle w:val="libFootnoteBoldChar"/>
          <w:rtl/>
        </w:rPr>
        <w:t>البحار</w:t>
      </w:r>
      <w:r w:rsidR="00744A1C">
        <w:rPr>
          <w:rtl/>
          <w:lang w:bidi="fa-IR"/>
        </w:rPr>
        <w:t xml:space="preserve"> ، ج 100 ، ص 182 ، ح 7.</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عَلَى النَّبِيِّ </w:t>
      </w:r>
      <w:r w:rsidR="0017097C" w:rsidRPr="0017097C">
        <w:rPr>
          <w:rStyle w:val="libAlaemChar"/>
          <w:rtl/>
        </w:rPr>
        <w:t>صلى‌الله‌عليه‌وآله</w:t>
      </w:r>
      <w:r>
        <w:rPr>
          <w:rtl/>
          <w:lang w:bidi="fa-IR"/>
        </w:rPr>
        <w:t xml:space="preserve"> ؟</w:t>
      </w:r>
    </w:p>
    <w:p w:rsidR="00744A1C" w:rsidRDefault="00744A1C" w:rsidP="00744A1C">
      <w:pPr>
        <w:pStyle w:val="libNormal"/>
        <w:rPr>
          <w:lang w:bidi="fa-IR"/>
        </w:rPr>
      </w:pPr>
      <w:r>
        <w:rPr>
          <w:rtl/>
          <w:lang w:bidi="fa-IR"/>
        </w:rPr>
        <w:t xml:space="preserve">فَقَالَ : « لَمْ يَكُنْ أَبُو الْحَسَنِ </w:t>
      </w:r>
      <w:r w:rsidR="0061079A" w:rsidRPr="0061079A">
        <w:rPr>
          <w:rStyle w:val="libAlaemChar"/>
          <w:rtl/>
        </w:rPr>
        <w:t>عليه‌السلام</w:t>
      </w:r>
      <w:r w:rsidR="00D10E3C">
        <w:rPr>
          <w:rtl/>
          <w:lang w:bidi="fa-IR"/>
        </w:rPr>
        <w:t xml:space="preserve"> </w:t>
      </w:r>
      <w:r>
        <w:rPr>
          <w:rtl/>
          <w:lang w:bidi="fa-IR"/>
        </w:rPr>
        <w:t>يَصْنَعُ ذلِكَ ».</w:t>
      </w:r>
    </w:p>
    <w:p w:rsidR="00744A1C" w:rsidRDefault="00744A1C" w:rsidP="00744A1C">
      <w:pPr>
        <w:pStyle w:val="libNormal"/>
        <w:rPr>
          <w:lang w:bidi="fa-IR"/>
        </w:rPr>
      </w:pPr>
      <w:r>
        <w:rPr>
          <w:rtl/>
          <w:lang w:bidi="fa-IR"/>
        </w:rPr>
        <w:t xml:space="preserve">قُلْتُ : فَيَدْخُلُ </w:t>
      </w:r>
      <w:r w:rsidRPr="00D10E3C">
        <w:rPr>
          <w:rStyle w:val="libFootnotenumChar"/>
          <w:rtl/>
        </w:rPr>
        <w:t>(1)</w:t>
      </w:r>
      <w:r>
        <w:rPr>
          <w:rtl/>
          <w:lang w:bidi="fa-IR"/>
        </w:rPr>
        <w:t xml:space="preserve"> الْمَسْجِدَ ، فَيُسَلِّمُ </w:t>
      </w:r>
      <w:r w:rsidRPr="00D10E3C">
        <w:rPr>
          <w:rStyle w:val="libFootnotenumChar"/>
          <w:rtl/>
        </w:rPr>
        <w:t>(2)</w:t>
      </w:r>
      <w:r>
        <w:rPr>
          <w:rtl/>
          <w:lang w:bidi="fa-IR"/>
        </w:rPr>
        <w:t xml:space="preserve"> مِنْ بَعِيدٍ لَايَدْنُو </w:t>
      </w:r>
      <w:r w:rsidRPr="00D10E3C">
        <w:rPr>
          <w:rStyle w:val="libFootnotenumChar"/>
          <w:rtl/>
        </w:rPr>
        <w:t>(3)</w:t>
      </w:r>
      <w:r>
        <w:rPr>
          <w:rtl/>
          <w:lang w:bidi="fa-IR"/>
        </w:rPr>
        <w:t xml:space="preserve"> مِنَ الْقَبْرِ؟</w:t>
      </w:r>
    </w:p>
    <w:p w:rsidR="00144FA6" w:rsidRDefault="00744A1C" w:rsidP="00744A1C">
      <w:pPr>
        <w:pStyle w:val="libNormal"/>
        <w:rPr>
          <w:rtl/>
          <w:lang w:bidi="fa-IR"/>
        </w:rPr>
      </w:pPr>
      <w:r>
        <w:rPr>
          <w:rtl/>
          <w:lang w:bidi="fa-IR"/>
        </w:rPr>
        <w:t xml:space="preserve">فَقَالَ : « لَا » وَقَالَ </w:t>
      </w:r>
      <w:r w:rsidRPr="00D10E3C">
        <w:rPr>
          <w:rStyle w:val="libFootnotenumChar"/>
          <w:rtl/>
        </w:rPr>
        <w:t>(4)</w:t>
      </w:r>
      <w:r>
        <w:rPr>
          <w:rtl/>
          <w:lang w:bidi="fa-IR"/>
        </w:rPr>
        <w:t xml:space="preserve"> : « سَلِّمْ عَلَيْهِ حِينَ تَدْخُلُ ، وَحِينَ تَخْرُجُ ، وَمِنْ بَعِيدٍ ». </w:t>
      </w:r>
      <w:r w:rsidRPr="00D10E3C">
        <w:rPr>
          <w:rStyle w:val="libFootnotenumChar"/>
          <w:rtl/>
        </w:rPr>
        <w:t>(5)</w:t>
      </w:r>
    </w:p>
    <w:p w:rsidR="00144FA6" w:rsidRDefault="00744A1C" w:rsidP="00744A1C">
      <w:pPr>
        <w:pStyle w:val="libNormal"/>
        <w:rPr>
          <w:rtl/>
          <w:lang w:bidi="fa-IR"/>
        </w:rPr>
      </w:pPr>
      <w:r>
        <w:rPr>
          <w:rtl/>
          <w:lang w:bidi="fa-IR"/>
        </w:rPr>
        <w:t>8106 / 7. عِدَّةٌ مِنْ أَصْحَابِنَا ، عَنْ أَحْمَدَ بْنِ مُحَمَّدٍ ، عَنِ الْحُسَيْنِ بْنِ سَعِيدٍ ، عَنْ فَضَالَةَ بْنِ أَيُّوبَ ، عَنْ مُعَاوِيَةَ بْنِ وَهْبٍ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صَلُّوا إِلى </w:t>
      </w:r>
      <w:r w:rsidRPr="00D10E3C">
        <w:rPr>
          <w:rStyle w:val="libFootnotenumChar"/>
          <w:rtl/>
        </w:rPr>
        <w:t>(6)</w:t>
      </w:r>
      <w:r>
        <w:rPr>
          <w:rtl/>
          <w:lang w:bidi="fa-IR"/>
        </w:rPr>
        <w:t xml:space="preserve"> جَانِبِ </w:t>
      </w:r>
      <w:r w:rsidRPr="00D10E3C">
        <w:rPr>
          <w:rStyle w:val="libFootnotenumChar"/>
          <w:rtl/>
        </w:rPr>
        <w:t>(7)</w:t>
      </w:r>
      <w:r>
        <w:rPr>
          <w:rtl/>
          <w:lang w:bidi="fa-IR"/>
        </w:rPr>
        <w:t xml:space="preserve"> قَبْرِ النَّبِيِّ </w:t>
      </w:r>
      <w:r w:rsidR="000F3F68" w:rsidRPr="000F3F68">
        <w:rPr>
          <w:rStyle w:val="libAlaemChar"/>
          <w:rtl/>
        </w:rPr>
        <w:t>صلى‌الله‌عليه‌وآله</w:t>
      </w:r>
      <w:r w:rsidR="00D10E3C">
        <w:rPr>
          <w:rtl/>
          <w:lang w:bidi="fa-IR"/>
        </w:rPr>
        <w:t xml:space="preserve"> </w:t>
      </w:r>
      <w:r>
        <w:rPr>
          <w:rtl/>
          <w:lang w:bidi="fa-IR"/>
        </w:rPr>
        <w:t xml:space="preserve">، وَإِنْ كَانَتْ </w:t>
      </w:r>
      <w:r w:rsidRPr="00D10E3C">
        <w:rPr>
          <w:rStyle w:val="libFootnotenumChar"/>
          <w:rtl/>
        </w:rPr>
        <w:t>(8)</w:t>
      </w:r>
      <w:r>
        <w:rPr>
          <w:rtl/>
          <w:lang w:bidi="fa-IR"/>
        </w:rPr>
        <w:t xml:space="preserve"> صَلَاةُ </w:t>
      </w:r>
      <w:r w:rsidRPr="00D10E3C">
        <w:rPr>
          <w:rStyle w:val="libFootnotenumChar"/>
          <w:rtl/>
        </w:rPr>
        <w:t>(9)</w:t>
      </w:r>
      <w:r>
        <w:rPr>
          <w:rtl/>
          <w:lang w:bidi="fa-IR"/>
        </w:rPr>
        <w:t xml:space="preserve"> الْمُؤْمِنِينَ تَبْلُغُهُ أَيْنَمَا كَانُوا ». </w:t>
      </w:r>
      <w:r w:rsidRPr="00D10E3C">
        <w:rPr>
          <w:rStyle w:val="libFootnotenumChar"/>
          <w:rtl/>
        </w:rPr>
        <w:t>(10)</w:t>
      </w:r>
    </w:p>
    <w:p w:rsidR="00144FA6" w:rsidRDefault="00744A1C" w:rsidP="00744A1C">
      <w:pPr>
        <w:pStyle w:val="libNormal"/>
        <w:rPr>
          <w:rtl/>
          <w:lang w:bidi="fa-IR"/>
        </w:rPr>
      </w:pPr>
      <w:r>
        <w:rPr>
          <w:rtl/>
          <w:lang w:bidi="fa-IR"/>
        </w:rPr>
        <w:t>8107 / 8. عِدَّةٌ مِنْ أَصْحَابِنَا ، عَنْ سَهْلِ بْنِ زِيَادٍ ، عَنْ عَلِيِّ بْنِ حَسَّانَ ، عَنْ بَعْضِ أَصْحَابِنَا ، قَالَ :</w:t>
      </w:r>
    </w:p>
    <w:p w:rsidR="00744A1C" w:rsidRDefault="00744A1C" w:rsidP="00326502">
      <w:pPr>
        <w:pStyle w:val="libNormal"/>
        <w:rPr>
          <w:lang w:bidi="fa-IR"/>
        </w:rPr>
      </w:pPr>
      <w:r>
        <w:rPr>
          <w:rtl/>
          <w:lang w:bidi="fa-IR"/>
        </w:rPr>
        <w:t xml:space="preserve">حَضَرْتُ أَبَا الْحَسَنِ الْأَوَّلَ </w:t>
      </w:r>
      <w:r w:rsidR="0061079A" w:rsidRPr="0061079A">
        <w:rPr>
          <w:rStyle w:val="libAlaemChar"/>
          <w:rtl/>
        </w:rPr>
        <w:t>عليه‌السلام</w:t>
      </w:r>
      <w:r w:rsidR="00D10E3C">
        <w:rPr>
          <w:rtl/>
          <w:lang w:bidi="fa-IR"/>
        </w:rPr>
        <w:t xml:space="preserve"> </w:t>
      </w:r>
      <w:r>
        <w:rPr>
          <w:rtl/>
          <w:lang w:bidi="fa-IR"/>
        </w:rPr>
        <w:t xml:space="preserve">وَهَارُونَ الْخَلِيفَةَ وَعِيسَى بْنَ جَعْفَرٍ وَجَعْفَرَ بْنَ يَحْيى بِالْمَدِينَةِ قَدْ جَاؤُوا إِلى قَبْرِ النَّبِيِّ </w:t>
      </w:r>
      <w:r w:rsidR="005E465D" w:rsidRPr="005E465D">
        <w:rPr>
          <w:rStyle w:val="libAlaemChar"/>
          <w:rFonts w:eastAsiaTheme="minorHAnsi"/>
          <w:rtl/>
        </w:rPr>
        <w:t>صلى‌الله‌عليه‌وآله</w:t>
      </w:r>
      <w:r>
        <w:rPr>
          <w:rtl/>
          <w:lang w:bidi="fa-IR"/>
        </w:rPr>
        <w:t>.</w:t>
      </w:r>
    </w:p>
    <w:p w:rsidR="00744A1C" w:rsidRDefault="00744A1C" w:rsidP="00744A1C">
      <w:pPr>
        <w:pStyle w:val="libNormal"/>
        <w:rPr>
          <w:lang w:bidi="fa-IR"/>
        </w:rPr>
      </w:pPr>
      <w:r>
        <w:rPr>
          <w:rtl/>
          <w:lang w:bidi="fa-IR"/>
        </w:rPr>
        <w:t xml:space="preserve">فَقَالَ هَارُونُ لِأَبِي الْحَسَنِ </w:t>
      </w:r>
      <w:r w:rsidR="0061079A" w:rsidRPr="0061079A">
        <w:rPr>
          <w:rStyle w:val="libAlaemChar"/>
          <w:rtl/>
        </w:rPr>
        <w:t>عليه‌السلام</w:t>
      </w:r>
      <w:r w:rsidR="00D10E3C">
        <w:rPr>
          <w:rtl/>
          <w:lang w:bidi="fa-IR"/>
        </w:rPr>
        <w:t xml:space="preserve"> </w:t>
      </w:r>
      <w:r>
        <w:rPr>
          <w:rtl/>
          <w:lang w:bidi="fa-IR"/>
        </w:rPr>
        <w:t>: تَقَدَّمْ ، فَأَبى ، فَتَقَدَّمَ هَارُونُ ، فَسَلَّمَ ، وَقَامَ نَاحِيَةً.</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326502" w:rsidTr="00326502">
        <w:tc>
          <w:tcPr>
            <w:tcW w:w="4006" w:type="dxa"/>
          </w:tcPr>
          <w:p w:rsidR="00326502" w:rsidRDefault="00326502" w:rsidP="00D10E3C">
            <w:pPr>
              <w:pStyle w:val="libFootnote0"/>
              <w:rPr>
                <w:rtl/>
                <w:lang w:bidi="fa-IR"/>
              </w:rPr>
            </w:pPr>
            <w:r>
              <w:rPr>
                <w:rtl/>
                <w:lang w:bidi="fa-IR"/>
              </w:rPr>
              <w:t>(1). في « بس » : « فندخل ».</w:t>
            </w:r>
          </w:p>
        </w:tc>
        <w:tc>
          <w:tcPr>
            <w:tcW w:w="4006" w:type="dxa"/>
          </w:tcPr>
          <w:p w:rsidR="00326502" w:rsidRDefault="00326502" w:rsidP="00D10E3C">
            <w:pPr>
              <w:pStyle w:val="libFootnote0"/>
              <w:rPr>
                <w:rtl/>
                <w:lang w:bidi="fa-IR"/>
              </w:rPr>
            </w:pPr>
            <w:r>
              <w:rPr>
                <w:rtl/>
                <w:lang w:bidi="fa-IR"/>
              </w:rPr>
              <w:t>(2). في « بس » : « فنسلّم ».</w:t>
            </w:r>
          </w:p>
        </w:tc>
      </w:tr>
    </w:tbl>
    <w:p w:rsidR="00744A1C" w:rsidRDefault="00E378DD" w:rsidP="00E378DD">
      <w:pPr>
        <w:pStyle w:val="libFootnote0"/>
        <w:rPr>
          <w:lang w:bidi="fa-IR"/>
        </w:rPr>
      </w:pPr>
      <w:r>
        <w:rPr>
          <w:rtl/>
          <w:lang w:bidi="fa-IR"/>
        </w:rPr>
        <w:t>(3).</w:t>
      </w:r>
      <w:r w:rsidR="00744A1C">
        <w:rPr>
          <w:rtl/>
          <w:lang w:bidi="fa-IR"/>
        </w:rPr>
        <w:t xml:space="preserve"> في « بس » : « لا ندنوا ». وفي </w:t>
      </w:r>
      <w:r w:rsidR="00744A1C" w:rsidRPr="00C24F9C">
        <w:rPr>
          <w:rStyle w:val="libFootnoteBoldChar"/>
          <w:rtl/>
        </w:rPr>
        <w:t>الوسائل</w:t>
      </w:r>
      <w:r w:rsidR="00744A1C">
        <w:rPr>
          <w:rtl/>
          <w:lang w:bidi="fa-IR"/>
        </w:rPr>
        <w:t xml:space="preserve"> : « ولا يدنو ».</w:t>
      </w:r>
    </w:p>
    <w:p w:rsidR="00744A1C" w:rsidRDefault="00E378DD" w:rsidP="00E378DD">
      <w:pPr>
        <w:pStyle w:val="libFootnote0"/>
        <w:rPr>
          <w:lang w:bidi="fa-IR"/>
        </w:rPr>
      </w:pPr>
      <w:r>
        <w:rPr>
          <w:rtl/>
          <w:lang w:bidi="fa-IR"/>
        </w:rPr>
        <w:t>(4).</w:t>
      </w:r>
      <w:r w:rsidR="00744A1C">
        <w:rPr>
          <w:rtl/>
          <w:lang w:bidi="fa-IR"/>
        </w:rPr>
        <w:t xml:space="preserve"> هكذا في « بخ ، بف » و</w:t>
      </w:r>
      <w:r w:rsidR="00744A1C" w:rsidRPr="00C24F9C">
        <w:rPr>
          <w:rStyle w:val="libFootnoteBoldChar"/>
          <w:rtl/>
        </w:rPr>
        <w:t>الوافي</w:t>
      </w:r>
      <w:r w:rsidR="00744A1C">
        <w:rPr>
          <w:rtl/>
          <w:lang w:bidi="fa-IR"/>
        </w:rPr>
        <w:t xml:space="preserve">. وفي </w:t>
      </w:r>
      <w:r w:rsidR="00744A1C" w:rsidRPr="00C24F9C">
        <w:rPr>
          <w:rStyle w:val="libFootnoteBoldChar"/>
          <w:rtl/>
        </w:rPr>
        <w:t>الوسائل</w:t>
      </w:r>
      <w:r w:rsidR="00744A1C">
        <w:rPr>
          <w:rtl/>
          <w:lang w:bidi="fa-IR"/>
        </w:rPr>
        <w:t xml:space="preserve"> : « ثمّ قال ». وفي سائر النسخ والمطبوع : « قال » بدون الواو.</w:t>
      </w:r>
    </w:p>
    <w:p w:rsidR="00744A1C" w:rsidRDefault="00E378DD" w:rsidP="00326502">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14 ، ص 1352 ، ح 14386 ؛ </w:t>
      </w:r>
      <w:r w:rsidR="00744A1C" w:rsidRPr="00C24F9C">
        <w:rPr>
          <w:rStyle w:val="libFootnoteBoldChar"/>
          <w:rtl/>
        </w:rPr>
        <w:t>الوسائل</w:t>
      </w:r>
      <w:r w:rsidR="00744A1C">
        <w:rPr>
          <w:rtl/>
          <w:lang w:bidi="fa-IR"/>
        </w:rPr>
        <w:t xml:space="preserve"> ، ج 14 ، ص 340 ، ح 19351 ؛ </w:t>
      </w:r>
      <w:r w:rsidR="00744A1C" w:rsidRPr="0061079A">
        <w:rPr>
          <w:rStyle w:val="libFootnoteBoldChar"/>
          <w:rtl/>
        </w:rPr>
        <w:t>البحار</w:t>
      </w:r>
      <w:r w:rsidR="00744A1C">
        <w:rPr>
          <w:rtl/>
          <w:lang w:bidi="fa-IR"/>
        </w:rPr>
        <w:t xml:space="preserve"> ، ج 100 ، ص 156 ، ح 29.</w:t>
      </w:r>
      <w:r w:rsidR="00326502">
        <w:rPr>
          <w:rFonts w:hint="cs"/>
          <w:rtl/>
          <w:lang w:bidi="fa-IR"/>
        </w:rPr>
        <w:t xml:space="preserve">                                 </w:t>
      </w:r>
      <w:r>
        <w:rPr>
          <w:rtl/>
          <w:lang w:bidi="fa-IR"/>
        </w:rPr>
        <w:t>(6).</w:t>
      </w:r>
      <w:r w:rsidR="00744A1C">
        <w:rPr>
          <w:rtl/>
          <w:lang w:bidi="fa-IR"/>
        </w:rPr>
        <w:t xml:space="preserve"> في « بف » : « على ».</w:t>
      </w:r>
    </w:p>
    <w:tbl>
      <w:tblPr>
        <w:tblStyle w:val="TableGrid"/>
        <w:bidiVisual/>
        <w:tblW w:w="0" w:type="auto"/>
        <w:tblLook w:val="04A0" w:firstRow="1" w:lastRow="0" w:firstColumn="1" w:lastColumn="0" w:noHBand="0" w:noVBand="1"/>
      </w:tblPr>
      <w:tblGrid>
        <w:gridCol w:w="4006"/>
        <w:gridCol w:w="4006"/>
      </w:tblGrid>
      <w:tr w:rsidR="00326502" w:rsidTr="00326502">
        <w:tc>
          <w:tcPr>
            <w:tcW w:w="4006" w:type="dxa"/>
          </w:tcPr>
          <w:p w:rsidR="00326502" w:rsidRDefault="00326502"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 جنب ».</w:t>
            </w:r>
          </w:p>
        </w:tc>
        <w:tc>
          <w:tcPr>
            <w:tcW w:w="4006" w:type="dxa"/>
          </w:tcPr>
          <w:p w:rsidR="00326502" w:rsidRDefault="00326502" w:rsidP="00E378DD">
            <w:pPr>
              <w:pStyle w:val="libFootnote0"/>
              <w:rPr>
                <w:rtl/>
                <w:lang w:bidi="fa-IR"/>
              </w:rPr>
            </w:pPr>
            <w:r>
              <w:rPr>
                <w:rtl/>
                <w:lang w:bidi="fa-IR"/>
              </w:rPr>
              <w:t>(8). في « بح ، بخ » : « كان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877682">
        <w:rPr>
          <w:rStyle w:val="libFootnoteBoldChar"/>
          <w:rtl/>
        </w:rPr>
        <w:t>مرآة العقول</w:t>
      </w:r>
      <w:r w:rsidR="00744A1C">
        <w:rPr>
          <w:rtl/>
          <w:lang w:bidi="fa-IR"/>
        </w:rPr>
        <w:t xml:space="preserve"> ، ج 18 ، ص 264 : « المراد بالصلاة في الموضعين إمّا الأركان والأفعال المخصوصة كما هو الظاهر ، فيدلّ على استحباب الصلاة له </w:t>
      </w:r>
      <w:r w:rsidR="00024D6D" w:rsidRPr="00024D6D">
        <w:rPr>
          <w:rStyle w:val="libFootnoteAlaemChar"/>
          <w:rtl/>
        </w:rPr>
        <w:t>صلى‌الله‌عليه‌وآله</w:t>
      </w:r>
      <w:r w:rsidR="00D10E3C">
        <w:rPr>
          <w:rtl/>
          <w:lang w:bidi="fa-IR"/>
        </w:rPr>
        <w:t xml:space="preserve"> </w:t>
      </w:r>
      <w:r w:rsidR="00744A1C">
        <w:rPr>
          <w:rtl/>
          <w:lang w:bidi="fa-IR"/>
        </w:rPr>
        <w:t xml:space="preserve">في جميع الأماكن ، أو بمعنى الدعاء إليه </w:t>
      </w:r>
      <w:r w:rsidR="00F90866" w:rsidRPr="00F90866">
        <w:rPr>
          <w:rStyle w:val="libFootnoteAlaemChar"/>
          <w:rtl/>
        </w:rPr>
        <w:t>صلى‌الله‌عليه‌وآله</w:t>
      </w:r>
      <w:r w:rsidR="00744A1C">
        <w:rPr>
          <w:rtl/>
          <w:lang w:bidi="fa-IR"/>
        </w:rPr>
        <w:t>. واحتمال كونها في الأوّل الأركان ، وفي الثاني الدعاء بعيد جدّاً ، والله يعلم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7 ، ح 11 ، معلّقاً عن الكليني </w:t>
      </w:r>
      <w:r w:rsidR="00E46529">
        <w:rPr>
          <w:rFonts w:hint="cs"/>
          <w:rtl/>
          <w:lang w:bidi="fa-IR"/>
        </w:rPr>
        <w:t>.</w:t>
      </w:r>
      <w:r w:rsidR="00744A1C" w:rsidRPr="00C24F9C">
        <w:rPr>
          <w:rStyle w:val="libFootnoteBoldChar"/>
          <w:rtl/>
        </w:rPr>
        <w:t>الوافي</w:t>
      </w:r>
      <w:r w:rsidR="00744A1C">
        <w:rPr>
          <w:rtl/>
          <w:lang w:bidi="fa-IR"/>
        </w:rPr>
        <w:t xml:space="preserve"> ، ج 14 ، ص 1352 ، ح 14385 ؛ </w:t>
      </w:r>
      <w:r w:rsidR="00744A1C" w:rsidRPr="00C24F9C">
        <w:rPr>
          <w:rStyle w:val="libFootnoteBoldChar"/>
          <w:rtl/>
        </w:rPr>
        <w:t>الوسائل</w:t>
      </w:r>
      <w:r w:rsidR="00744A1C">
        <w:rPr>
          <w:rtl/>
          <w:lang w:bidi="fa-IR"/>
        </w:rPr>
        <w:t xml:space="preserve"> ، ج 14 ، ص 337 ، ح 19345 ؛ </w:t>
      </w:r>
      <w:r w:rsidR="00744A1C" w:rsidRPr="0061079A">
        <w:rPr>
          <w:rStyle w:val="libFootnoteBoldChar"/>
          <w:rtl/>
        </w:rPr>
        <w:t>البحار</w:t>
      </w:r>
      <w:r w:rsidR="00744A1C">
        <w:rPr>
          <w:rtl/>
          <w:lang w:bidi="fa-IR"/>
        </w:rPr>
        <w:t xml:space="preserve"> ، ج 100 ، ص 156 ، ح 30 ؛ وص 182 ، ح 8.</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وَقَالَ عِيسَى بْنُ جَعْفَرٍ </w:t>
      </w:r>
      <w:r w:rsidRPr="00D10E3C">
        <w:rPr>
          <w:rStyle w:val="libFootnotenumChar"/>
          <w:rtl/>
        </w:rPr>
        <w:t>(1)</w:t>
      </w:r>
      <w:r>
        <w:rPr>
          <w:rtl/>
          <w:lang w:bidi="fa-IR"/>
        </w:rPr>
        <w:t xml:space="preserve"> لِأَبِي الْحَسَنِ </w:t>
      </w:r>
      <w:r w:rsidR="0061079A" w:rsidRPr="0061079A">
        <w:rPr>
          <w:rStyle w:val="libAlaemChar"/>
          <w:rtl/>
        </w:rPr>
        <w:t>عليه‌السلام</w:t>
      </w:r>
      <w:r w:rsidR="00D10E3C">
        <w:rPr>
          <w:rtl/>
          <w:lang w:bidi="fa-IR"/>
        </w:rPr>
        <w:t xml:space="preserve"> </w:t>
      </w:r>
      <w:r>
        <w:rPr>
          <w:rtl/>
          <w:lang w:bidi="fa-IR"/>
        </w:rPr>
        <w:t>: تَقَدَّمْ ، فَأَبى ، فَتَقَدَّمَ عِيسى ، فَسَلَّمَ ، وَوَقَفَ مَعَ هَارُونَ.</w:t>
      </w:r>
    </w:p>
    <w:p w:rsidR="00744A1C" w:rsidRDefault="00744A1C" w:rsidP="00744A1C">
      <w:pPr>
        <w:pStyle w:val="libNormal"/>
        <w:rPr>
          <w:lang w:bidi="fa-IR"/>
        </w:rPr>
      </w:pPr>
      <w:r>
        <w:rPr>
          <w:rtl/>
          <w:lang w:bidi="fa-IR"/>
        </w:rPr>
        <w:t xml:space="preserve">فَقَالَ جَعْفَرٌ لِأَبِي الْحَسَنِ </w:t>
      </w:r>
      <w:r w:rsidR="0061079A" w:rsidRPr="0061079A">
        <w:rPr>
          <w:rStyle w:val="libAlaemChar"/>
          <w:rtl/>
        </w:rPr>
        <w:t>عليه‌السلام</w:t>
      </w:r>
      <w:r w:rsidR="00D10E3C">
        <w:rPr>
          <w:rtl/>
          <w:lang w:bidi="fa-IR"/>
        </w:rPr>
        <w:t xml:space="preserve"> </w:t>
      </w:r>
      <w:r>
        <w:rPr>
          <w:rtl/>
          <w:lang w:bidi="fa-IR"/>
        </w:rPr>
        <w:t>: تَقَدَّمْ ، فَأَبى ، فَتَقَدَّمَ جَعْفَرٌ ، فَسَلَّمَ ، وَوَقَفَ مَعَ هَارُونَ.</w:t>
      </w:r>
    </w:p>
    <w:p w:rsidR="00744A1C" w:rsidRDefault="00744A1C" w:rsidP="00744A1C">
      <w:pPr>
        <w:pStyle w:val="libNormal"/>
        <w:rPr>
          <w:lang w:bidi="fa-IR"/>
        </w:rPr>
      </w:pPr>
      <w:r>
        <w:rPr>
          <w:rtl/>
          <w:lang w:bidi="fa-IR"/>
        </w:rPr>
        <w:t xml:space="preserve">وَتَقَدَّمَ </w:t>
      </w:r>
      <w:r w:rsidRPr="00D10E3C">
        <w:rPr>
          <w:rStyle w:val="libFootnotenumChar"/>
          <w:rtl/>
        </w:rPr>
        <w:t>(2)</w:t>
      </w:r>
      <w:r>
        <w:rPr>
          <w:rtl/>
          <w:lang w:bidi="fa-IR"/>
        </w:rPr>
        <w:t xml:space="preserve"> أَبُو الْحَسَنِ </w:t>
      </w:r>
      <w:r w:rsidR="0061079A" w:rsidRPr="0061079A">
        <w:rPr>
          <w:rStyle w:val="libAlaemChar"/>
          <w:rtl/>
        </w:rPr>
        <w:t>عليه‌السلام</w:t>
      </w:r>
      <w:r w:rsidR="00D10E3C">
        <w:rPr>
          <w:rtl/>
          <w:lang w:bidi="fa-IR"/>
        </w:rPr>
        <w:t xml:space="preserve"> </w:t>
      </w:r>
      <w:r>
        <w:rPr>
          <w:rtl/>
          <w:lang w:bidi="fa-IR"/>
        </w:rPr>
        <w:t xml:space="preserve">، فَقَالَ : « السَّلَامُ عَلَيْكَ يَا أَبَهْ ، أَسْأَلُ اللهَ الَّذِي اصْطَفَاكَ وَاجْتَبَاكَ وَهَدَاكَ </w:t>
      </w:r>
      <w:r w:rsidRPr="00D10E3C">
        <w:rPr>
          <w:rStyle w:val="libFootnotenumChar"/>
          <w:rtl/>
        </w:rPr>
        <w:t>(3)</w:t>
      </w:r>
      <w:r>
        <w:rPr>
          <w:rtl/>
          <w:lang w:bidi="fa-IR"/>
        </w:rPr>
        <w:t xml:space="preserve"> وَهَدى بِكَ ، أَنْ يُصَلِّيَ عَلَيْكَ ».</w:t>
      </w:r>
    </w:p>
    <w:p w:rsidR="00144FA6" w:rsidRDefault="00744A1C" w:rsidP="00744A1C">
      <w:pPr>
        <w:pStyle w:val="libNormal"/>
        <w:rPr>
          <w:rtl/>
          <w:lang w:bidi="fa-IR"/>
        </w:rPr>
      </w:pPr>
      <w:r>
        <w:rPr>
          <w:rtl/>
          <w:lang w:bidi="fa-IR"/>
        </w:rPr>
        <w:t xml:space="preserve">فَقَالَ هَارُونُ لِعِيسى : سَمِعْتَ مَا قَالَ؟ قَالَ : نَعَمْ ، فَقَالَ هَارُونُ : أَشْهَدُ أَنَّهُ أَبُوهُ حَقّاً. </w:t>
      </w:r>
      <w:r w:rsidRPr="00D10E3C">
        <w:rPr>
          <w:rStyle w:val="libFootnotenumChar"/>
          <w:rtl/>
        </w:rPr>
        <w:t>(4)</w:t>
      </w:r>
    </w:p>
    <w:p w:rsidR="00144FA6" w:rsidRDefault="00744A1C" w:rsidP="00E46529">
      <w:pPr>
        <w:pStyle w:val="Heading2Center"/>
        <w:rPr>
          <w:rtl/>
          <w:lang w:bidi="fa-IR"/>
        </w:rPr>
      </w:pPr>
      <w:bookmarkStart w:id="64" w:name="_Toc49261362"/>
      <w:r>
        <w:rPr>
          <w:rtl/>
          <w:lang w:bidi="fa-IR"/>
        </w:rPr>
        <w:t xml:space="preserve">217 - بَابُ الْمِنْبَرِ وَالرَّوْضَةِ وَمَقَامِ النَّبِيِّ </w:t>
      </w:r>
      <w:r w:rsidR="0017097C" w:rsidRPr="0017097C">
        <w:rPr>
          <w:rStyle w:val="libAlaemChar"/>
          <w:rtl/>
        </w:rPr>
        <w:t>صلى‌الله‌عليه‌وآله</w:t>
      </w:r>
      <w:bookmarkEnd w:id="64"/>
    </w:p>
    <w:p w:rsidR="00E46529" w:rsidRDefault="00744A1C" w:rsidP="00E46529">
      <w:pPr>
        <w:pStyle w:val="libNormal"/>
        <w:rPr>
          <w:rtl/>
          <w:lang w:bidi="fa-IR"/>
        </w:rPr>
      </w:pPr>
      <w:r>
        <w:rPr>
          <w:rtl/>
          <w:lang w:bidi="fa-IR"/>
        </w:rPr>
        <w:t>8108 / 1. عَلِيُّ بْنُ إِبْرَاهِيمَ ، عَنْ أَبِيهِ ؛</w:t>
      </w:r>
    </w:p>
    <w:p w:rsidR="00144FA6" w:rsidRDefault="00295F4C" w:rsidP="00E46529">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(5)</w:t>
      </w:r>
      <w:r w:rsidR="00744A1C">
        <w:rPr>
          <w:rtl/>
          <w:lang w:bidi="fa-IR"/>
        </w:rPr>
        <w:t xml:space="preserve"> مُحَمَّدُ بْنُ إِسْمَاعِيلَ ، عَنِ الْفَضْلِ بْنِ شَاذَانَ ، عَنِ ابْنِ أَبِي عُمَيْرٍ وَصَفْوَانَ بْنِ يَحْيى </w:t>
      </w:r>
      <w:r w:rsidR="00744A1C" w:rsidRPr="00D10E3C">
        <w:rPr>
          <w:rStyle w:val="libFootnotenumChar"/>
          <w:rtl/>
        </w:rPr>
        <w:t>(6)</w:t>
      </w:r>
      <w:r w:rsidR="00744A1C">
        <w:rPr>
          <w:rtl/>
          <w:lang w:bidi="fa-IR"/>
        </w:rPr>
        <w:t xml:space="preserve"> ، عَنْ مُعَاوِيَةَ بْنِ عَمَّارٍ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إِذَا فَرَغْتَ مِنَ الدُّعَاءِ عِنْدَ قَبْرِ النَّبِيِّ </w:t>
      </w:r>
      <w:r w:rsidR="0017097C" w:rsidRPr="0017097C">
        <w:rPr>
          <w:rStyle w:val="libAlaemChar"/>
          <w:rtl/>
        </w:rPr>
        <w:t>صلى‌الله‌عليه‌وآله</w:t>
      </w:r>
      <w:r w:rsidR="00D10E3C">
        <w:rPr>
          <w:rtl/>
          <w:lang w:bidi="fa-IR"/>
        </w:rPr>
        <w:t xml:space="preserve"> </w:t>
      </w:r>
      <w:r>
        <w:rPr>
          <w:rtl/>
          <w:lang w:bidi="fa-IR"/>
        </w:rPr>
        <w:t xml:space="preserve">، فَائْتِ الْمِنْبَرَ ، فَامْسَحْهُ </w:t>
      </w:r>
      <w:r w:rsidRPr="00D10E3C">
        <w:rPr>
          <w:rStyle w:val="libFootnotenumChar"/>
          <w:rtl/>
        </w:rPr>
        <w:t>(7)</w:t>
      </w:r>
      <w:r>
        <w:rPr>
          <w:rtl/>
          <w:lang w:bidi="fa-IR"/>
        </w:rPr>
        <w:t xml:space="preserve"> بِيَدِكَ ، وَخُذْ بِرُمَّانَتَيْهِ - وَهُمَا السُّفْلَاوَانِ - وَامْسَحْ عَيْنَيْكَ </w:t>
      </w:r>
      <w:r w:rsidRPr="00D10E3C">
        <w:rPr>
          <w:rStyle w:val="libFootnotenumChar"/>
          <w:rtl/>
        </w:rPr>
        <w:t>(8)</w:t>
      </w:r>
      <w:r>
        <w:rPr>
          <w:rtl/>
          <w:lang w:bidi="fa-IR"/>
        </w:rPr>
        <w:t xml:space="preserve"> وَوَجْهَكَ بِهِ </w:t>
      </w:r>
      <w:r w:rsidRPr="00D10E3C">
        <w:rPr>
          <w:rStyle w:val="libFootnotenumChar"/>
          <w:rtl/>
        </w:rPr>
        <w:t>(9)</w:t>
      </w:r>
      <w:r>
        <w:rPr>
          <w:rtl/>
          <w:lang w:bidi="fa-IR"/>
        </w:rPr>
        <w:t xml:space="preserve">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295F4C" w:rsidTr="00295F4C">
        <w:tc>
          <w:tcPr>
            <w:tcW w:w="4006" w:type="dxa"/>
          </w:tcPr>
          <w:p w:rsidR="00295F4C" w:rsidRDefault="00295F4C" w:rsidP="00D10E3C">
            <w:pPr>
              <w:pStyle w:val="libFootnote0"/>
              <w:rPr>
                <w:rtl/>
                <w:lang w:bidi="fa-IR"/>
              </w:rPr>
            </w:pPr>
            <w:r>
              <w:rPr>
                <w:rtl/>
                <w:lang w:bidi="fa-IR"/>
              </w:rPr>
              <w:t>(1). في « جن » : - « بن جعفر ».</w:t>
            </w:r>
          </w:p>
        </w:tc>
        <w:tc>
          <w:tcPr>
            <w:tcW w:w="4006" w:type="dxa"/>
          </w:tcPr>
          <w:p w:rsidR="00295F4C" w:rsidRDefault="00295F4C" w:rsidP="00D10E3C">
            <w:pPr>
              <w:pStyle w:val="libFootnote0"/>
              <w:rPr>
                <w:rtl/>
                <w:lang w:bidi="fa-IR"/>
              </w:rPr>
            </w:pPr>
            <w:r>
              <w:rPr>
                <w:rtl/>
                <w:lang w:bidi="fa-IR"/>
              </w:rPr>
              <w:t xml:space="preserve">(2). في </w:t>
            </w:r>
            <w:r w:rsidRPr="00C24F9C">
              <w:rPr>
                <w:rStyle w:val="libFootnoteBoldChar"/>
                <w:rtl/>
              </w:rPr>
              <w:t>الوافي</w:t>
            </w:r>
            <w:r>
              <w:rPr>
                <w:rtl/>
                <w:lang w:bidi="fa-IR"/>
              </w:rPr>
              <w:t xml:space="preserve"> : « فتقدّم ».</w:t>
            </w:r>
          </w:p>
        </w:tc>
      </w:tr>
    </w:tbl>
    <w:p w:rsidR="00744A1C" w:rsidRDefault="00E378DD" w:rsidP="00E378DD">
      <w:pPr>
        <w:pStyle w:val="libFootnote0"/>
        <w:rPr>
          <w:lang w:bidi="fa-IR"/>
        </w:rPr>
      </w:pPr>
      <w:r>
        <w:rPr>
          <w:rtl/>
          <w:lang w:bidi="fa-IR"/>
        </w:rPr>
        <w:t>(3).</w:t>
      </w:r>
      <w:r w:rsidR="00744A1C">
        <w:rPr>
          <w:rtl/>
          <w:lang w:bidi="fa-IR"/>
        </w:rPr>
        <w:t xml:space="preserve"> في « بث » : - « وهداك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6 ، ح 10 ، معلّقاً عن الكليني ؛ </w:t>
      </w:r>
      <w:r w:rsidR="00744A1C" w:rsidRPr="007B299E">
        <w:rPr>
          <w:rStyle w:val="libFootnoteBoldChar"/>
          <w:rtl/>
        </w:rPr>
        <w:t>كامل الزيارات</w:t>
      </w:r>
      <w:r w:rsidR="00744A1C">
        <w:rPr>
          <w:rtl/>
          <w:lang w:bidi="fa-IR"/>
        </w:rPr>
        <w:t xml:space="preserve"> ، ص 18 ، الباب 3 ، ح 7 ، عن محمّد بن يعقوب الكليني </w:t>
      </w:r>
      <w:r w:rsidR="00295F4C">
        <w:rPr>
          <w:rFonts w:hint="cs"/>
          <w:rtl/>
          <w:lang w:bidi="fa-IR"/>
        </w:rPr>
        <w:t>.</w:t>
      </w:r>
      <w:r w:rsidR="00744A1C" w:rsidRPr="00C24F9C">
        <w:rPr>
          <w:rStyle w:val="libFootnoteBoldChar"/>
          <w:rtl/>
        </w:rPr>
        <w:t>الوافي</w:t>
      </w:r>
      <w:r w:rsidR="00744A1C">
        <w:rPr>
          <w:rtl/>
          <w:lang w:bidi="fa-IR"/>
        </w:rPr>
        <w:t xml:space="preserve"> ، ج 14 ، ص 1350 ، ح 14382 ؛ </w:t>
      </w:r>
      <w:r w:rsidR="00744A1C" w:rsidRPr="00C24F9C">
        <w:rPr>
          <w:rStyle w:val="libFootnoteBoldChar"/>
          <w:rtl/>
        </w:rPr>
        <w:t>الوسائل</w:t>
      </w:r>
      <w:r w:rsidR="00744A1C">
        <w:rPr>
          <w:rtl/>
          <w:lang w:bidi="fa-IR"/>
        </w:rPr>
        <w:t xml:space="preserve"> ، ج 14 ، ص 344 ، ح 19356 ، من قوله : « فقال : السلام عليك يا أبه » إلى قوله : « وهدى بك أن يصلّي عليك » ؛ </w:t>
      </w:r>
      <w:r w:rsidR="00744A1C" w:rsidRPr="0061079A">
        <w:rPr>
          <w:rStyle w:val="libFootnoteBoldChar"/>
          <w:rtl/>
        </w:rPr>
        <w:t>البحار</w:t>
      </w:r>
      <w:r w:rsidR="00744A1C">
        <w:rPr>
          <w:rtl/>
          <w:lang w:bidi="fa-IR"/>
        </w:rPr>
        <w:t xml:space="preserve"> ، ج 100 ، ص 155 ، ح 26.</w:t>
      </w:r>
    </w:p>
    <w:p w:rsidR="00744A1C" w:rsidRDefault="00E378DD" w:rsidP="00E378DD">
      <w:pPr>
        <w:pStyle w:val="libFootnote0"/>
        <w:rPr>
          <w:lang w:bidi="fa-IR"/>
        </w:rPr>
      </w:pPr>
      <w:r>
        <w:rPr>
          <w:rtl/>
          <w:lang w:bidi="fa-IR"/>
        </w:rPr>
        <w:t>(5).</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295F4C" w:rsidTr="00295F4C">
        <w:tc>
          <w:tcPr>
            <w:tcW w:w="4006" w:type="dxa"/>
          </w:tcPr>
          <w:p w:rsidR="00295F4C" w:rsidRDefault="00295F4C" w:rsidP="00E378DD">
            <w:pPr>
              <w:pStyle w:val="libFootnote0"/>
              <w:rPr>
                <w:rtl/>
                <w:lang w:bidi="fa-IR"/>
              </w:rPr>
            </w:pPr>
            <w:r>
              <w:rPr>
                <w:rtl/>
                <w:lang w:bidi="fa-IR"/>
              </w:rPr>
              <w:t xml:space="preserve">(6). في </w:t>
            </w:r>
            <w:r w:rsidRPr="00C24F9C">
              <w:rPr>
                <w:rStyle w:val="libFootnoteBoldChar"/>
                <w:rtl/>
              </w:rPr>
              <w:t>التهذيب</w:t>
            </w:r>
            <w:r>
              <w:rPr>
                <w:rtl/>
                <w:lang w:bidi="fa-IR"/>
              </w:rPr>
              <w:t xml:space="preserve"> : - « بن يحيى ».</w:t>
            </w:r>
          </w:p>
        </w:tc>
        <w:tc>
          <w:tcPr>
            <w:tcW w:w="4006" w:type="dxa"/>
          </w:tcPr>
          <w:p w:rsidR="00295F4C" w:rsidRDefault="00295F4C" w:rsidP="00E378DD">
            <w:pPr>
              <w:pStyle w:val="libFootnote0"/>
              <w:rPr>
                <w:rtl/>
                <w:lang w:bidi="fa-IR"/>
              </w:rPr>
            </w:pPr>
            <w:r>
              <w:rPr>
                <w:rtl/>
                <w:lang w:bidi="fa-IR"/>
              </w:rPr>
              <w:t>(7). في « بخ » و</w:t>
            </w:r>
            <w:r w:rsidRPr="00C24F9C">
              <w:rPr>
                <w:rStyle w:val="libFootnoteBoldChar"/>
                <w:rtl/>
              </w:rPr>
              <w:t>الوافي</w:t>
            </w:r>
            <w:r>
              <w:rPr>
                <w:rtl/>
                <w:lang w:bidi="fa-IR"/>
              </w:rPr>
              <w:t xml:space="preserve"> : « وامسحه ».</w:t>
            </w:r>
          </w:p>
        </w:tc>
      </w:tr>
      <w:tr w:rsidR="00295F4C" w:rsidTr="00295F4C">
        <w:tc>
          <w:tcPr>
            <w:tcW w:w="4006" w:type="dxa"/>
          </w:tcPr>
          <w:p w:rsidR="00295F4C" w:rsidRDefault="00295F4C" w:rsidP="00E378DD">
            <w:pPr>
              <w:pStyle w:val="libFootnote0"/>
              <w:rPr>
                <w:rtl/>
                <w:lang w:bidi="fa-IR"/>
              </w:rPr>
            </w:pPr>
            <w:r>
              <w:rPr>
                <w:rtl/>
                <w:lang w:bidi="fa-IR"/>
              </w:rPr>
              <w:t>(8). في « جد » : « عينك ».</w:t>
            </w:r>
          </w:p>
        </w:tc>
        <w:tc>
          <w:tcPr>
            <w:tcW w:w="4006" w:type="dxa"/>
          </w:tcPr>
          <w:p w:rsidR="00295F4C" w:rsidRDefault="00295F4C" w:rsidP="00E378DD">
            <w:pPr>
              <w:pStyle w:val="libFootnote0"/>
              <w:rPr>
                <w:rtl/>
                <w:lang w:bidi="fa-IR"/>
              </w:rPr>
            </w:pPr>
            <w:r>
              <w:rPr>
                <w:rtl/>
                <w:lang w:bidi="fa-IR"/>
              </w:rPr>
              <w:t xml:space="preserve">(9). في </w:t>
            </w:r>
            <w:r w:rsidRPr="00C24F9C">
              <w:rPr>
                <w:rStyle w:val="libFootnoteBoldChar"/>
                <w:rtl/>
              </w:rPr>
              <w:t>التهذيب</w:t>
            </w:r>
            <w:r>
              <w:rPr>
                <w:rtl/>
                <w:lang w:bidi="fa-IR"/>
              </w:rPr>
              <w:t xml:space="preserve"> : - « به ».</w:t>
            </w:r>
          </w:p>
        </w:tc>
      </w:tr>
    </w:tbl>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 xml:space="preserve">فَإِنَّهُ يُقَالُ </w:t>
      </w:r>
      <w:r w:rsidRPr="00D10E3C">
        <w:rPr>
          <w:rStyle w:val="libFootnotenumChar"/>
          <w:rtl/>
        </w:rPr>
        <w:t>(1)</w:t>
      </w:r>
      <w:r>
        <w:rPr>
          <w:rtl/>
          <w:lang w:bidi="fa-IR"/>
        </w:rPr>
        <w:t xml:space="preserve"> : إِنَّهُ شِفَاءُ الْعَيْنِ </w:t>
      </w:r>
      <w:r w:rsidRPr="00D10E3C">
        <w:rPr>
          <w:rStyle w:val="libFootnotenumChar"/>
          <w:rtl/>
        </w:rPr>
        <w:t>(2)</w:t>
      </w:r>
      <w:r>
        <w:rPr>
          <w:rtl/>
          <w:lang w:bidi="fa-IR"/>
        </w:rPr>
        <w:t xml:space="preserve"> ، وَقُمْ عِنْدَهُ ، فَاحْمَدِ اللهَ ، وَأَثْنِ عَلَيْهِ ، وَسَلْ حَاجَتَكَ ، فَإِنَّ رَسُولَ اللهِ </w:t>
      </w:r>
      <w:r w:rsidR="005E465D" w:rsidRPr="005E465D">
        <w:rPr>
          <w:rStyle w:val="libAlaemChar"/>
          <w:rFonts w:eastAsiaTheme="minorHAnsi"/>
          <w:rtl/>
        </w:rPr>
        <w:t>صلى‌الله‌عليه‌وآله</w:t>
      </w:r>
      <w:r w:rsidR="00FC2D09" w:rsidRPr="000D0FE3">
        <w:rPr>
          <w:rFonts w:eastAsiaTheme="minorHAnsi"/>
          <w:rtl/>
        </w:rPr>
        <w:t xml:space="preserve"> </w:t>
      </w:r>
      <w:r>
        <w:rPr>
          <w:rtl/>
          <w:lang w:bidi="fa-IR"/>
        </w:rPr>
        <w:t xml:space="preserve">قَالَ : مَا بَيْنَ مِنْبَرِي وَبَيْتِي </w:t>
      </w:r>
      <w:r w:rsidRPr="00D10E3C">
        <w:rPr>
          <w:rStyle w:val="libFootnotenumChar"/>
          <w:rtl/>
        </w:rPr>
        <w:t>(3)</w:t>
      </w:r>
      <w:r>
        <w:rPr>
          <w:rtl/>
          <w:lang w:bidi="fa-IR"/>
        </w:rPr>
        <w:t xml:space="preserve"> رَوْضَةٌ مِنْ رِيَاضِ الْجَنَّةِ ، وَمِنْبَرِي عَلى تُرْعَةٍ </w:t>
      </w:r>
      <w:r w:rsidRPr="00D10E3C">
        <w:rPr>
          <w:rStyle w:val="libFootnotenumChar"/>
          <w:rtl/>
        </w:rPr>
        <w:t>(4)</w:t>
      </w:r>
      <w:r>
        <w:rPr>
          <w:rtl/>
          <w:lang w:bidi="fa-IR"/>
        </w:rPr>
        <w:t xml:space="preserve"> مِنْ تُرَعِ </w:t>
      </w:r>
      <w:r w:rsidRPr="00D10E3C">
        <w:rPr>
          <w:rStyle w:val="libFootnotenumChar"/>
          <w:rtl/>
        </w:rPr>
        <w:t>(5)</w:t>
      </w:r>
      <w:r>
        <w:rPr>
          <w:rtl/>
          <w:lang w:bidi="fa-IR"/>
        </w:rPr>
        <w:t xml:space="preserve"> الْجَنَّةِ </w:t>
      </w:r>
      <w:r w:rsidRPr="00D10E3C">
        <w:rPr>
          <w:rStyle w:val="libFootnotenumChar"/>
          <w:rtl/>
        </w:rPr>
        <w:t>(6)</w:t>
      </w:r>
      <w:r>
        <w:rPr>
          <w:rtl/>
          <w:lang w:bidi="fa-IR"/>
        </w:rPr>
        <w:t xml:space="preserve"> - وَالتُّرْعَةُ هِيَ الْبَابُ الصَّغِيرُ - ثُمَّ تَأْتِي مَقَامَ النَّبِيِّ </w:t>
      </w:r>
      <w:r w:rsidR="0017097C" w:rsidRPr="0017097C">
        <w:rPr>
          <w:rStyle w:val="libAlaemChar"/>
          <w:rtl/>
        </w:rPr>
        <w:t>صلى‌الله‌عليه‌وآله</w:t>
      </w:r>
      <w:r w:rsidR="00D10E3C">
        <w:rPr>
          <w:rtl/>
          <w:lang w:bidi="fa-IR"/>
        </w:rPr>
        <w:t xml:space="preserve"> </w:t>
      </w:r>
      <w:r>
        <w:rPr>
          <w:rtl/>
          <w:lang w:bidi="fa-IR"/>
        </w:rPr>
        <w:t xml:space="preserve">، فَتُصَلِّي فِيهِ مَا بَدَا لَكَ ، فَإِذَا دَخَلْتَ الْمَسْجِدَ فَصَلِّ عَلَى النَّبِيِّ </w:t>
      </w:r>
      <w:r w:rsidR="005E465D" w:rsidRPr="005E465D">
        <w:rPr>
          <w:rStyle w:val="libAlaemChar"/>
          <w:rFonts w:eastAsiaTheme="minorHAnsi"/>
          <w:rtl/>
        </w:rPr>
        <w:t>صلى‌الله‌عليه‌وآله</w:t>
      </w:r>
      <w:r w:rsidR="00FC2D09" w:rsidRPr="000D0FE3">
        <w:rPr>
          <w:rFonts w:eastAsiaTheme="minorHAnsi"/>
          <w:rtl/>
        </w:rPr>
        <w:t xml:space="preserve"> </w:t>
      </w:r>
      <w:r>
        <w:rPr>
          <w:rtl/>
          <w:lang w:bidi="fa-IR"/>
        </w:rPr>
        <w:t xml:space="preserve">، وَإِذَا </w:t>
      </w:r>
      <w:r w:rsidRPr="00D10E3C">
        <w:rPr>
          <w:rStyle w:val="libFootnotenumChar"/>
          <w:rtl/>
        </w:rPr>
        <w:t>(7)</w:t>
      </w:r>
      <w:r>
        <w:rPr>
          <w:rtl/>
          <w:lang w:bidi="fa-IR"/>
        </w:rPr>
        <w:t xml:space="preserve"> خَرَجْتَ فَاصْنَعْ مِثْلَ ذلِكَ ، وَأَكْثِرْ مِنَ الصَّلَاةِ فِي مَسْجِدِ الرَّسُولِ </w:t>
      </w:r>
      <w:r w:rsidR="0017097C" w:rsidRPr="0017097C">
        <w:rPr>
          <w:rStyle w:val="libAlaemChar"/>
          <w:rtl/>
        </w:rPr>
        <w:t>صلى‌الله‌عليه‌وآله</w:t>
      </w:r>
      <w:r w:rsidR="00D10E3C">
        <w:rPr>
          <w:rtl/>
          <w:lang w:bidi="fa-IR"/>
        </w:rPr>
        <w:t xml:space="preserve"> </w:t>
      </w:r>
      <w:r>
        <w:rPr>
          <w:rtl/>
          <w:lang w:bidi="fa-IR"/>
        </w:rPr>
        <w:t xml:space="preserve">». </w:t>
      </w:r>
      <w:r w:rsidRPr="00D10E3C">
        <w:rPr>
          <w:rStyle w:val="libFootnotenumChar"/>
          <w:rtl/>
        </w:rPr>
        <w:t>(8)</w:t>
      </w:r>
    </w:p>
    <w:p w:rsidR="00144FA6" w:rsidRDefault="00744A1C" w:rsidP="00744A1C">
      <w:pPr>
        <w:pStyle w:val="libNormal"/>
        <w:rPr>
          <w:rtl/>
          <w:lang w:bidi="fa-IR"/>
        </w:rPr>
      </w:pPr>
      <w:r>
        <w:rPr>
          <w:rtl/>
          <w:lang w:bidi="fa-IR"/>
        </w:rPr>
        <w:t>8109 / 2. مُحَمَّدُ بْنُ يَحْيى ، عَنْ أَحْمَدَ بْنِ مُحَمَّدٍ ، عَنْ عَلِيِّ بْنِ الْحَكَمِ ، عَنْ مُعَاوِيَةَ بْنِ‌ وَهْبٍ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لَمَّا كَانَ </w:t>
      </w:r>
      <w:r w:rsidRPr="00D10E3C">
        <w:rPr>
          <w:rStyle w:val="libFootnotenumChar"/>
          <w:rtl/>
        </w:rPr>
        <w:t>(9)</w:t>
      </w:r>
      <w:r>
        <w:rPr>
          <w:rtl/>
          <w:lang w:bidi="fa-IR"/>
        </w:rPr>
        <w:t xml:space="preserve"> سَنَةُ إِحْدى وَأَرْبَعِينَ ، أَرَادَ مُعَاوِيَةُ الْحَجَّ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 له ».</w:t>
      </w:r>
    </w:p>
    <w:p w:rsidR="00744A1C" w:rsidRDefault="00E378DD" w:rsidP="00E378DD">
      <w:pPr>
        <w:pStyle w:val="libFootnote0"/>
        <w:rPr>
          <w:lang w:bidi="fa-IR"/>
        </w:rPr>
      </w:pPr>
      <w:r>
        <w:rPr>
          <w:rtl/>
          <w:lang w:bidi="fa-IR"/>
        </w:rPr>
        <w:t>(2).</w:t>
      </w:r>
      <w:r w:rsidR="00744A1C">
        <w:rPr>
          <w:rtl/>
          <w:lang w:bidi="fa-IR"/>
        </w:rPr>
        <w:t xml:space="preserve"> في « ى ، بخ ، بس ، بف ، جد » وحاشية « بح » </w:t>
      </w:r>
      <w:r w:rsidR="00744A1C" w:rsidRPr="00FC2D09">
        <w:rPr>
          <w:rtl/>
        </w:rPr>
        <w:t>والوافي والوسائل والتهذيب وكامل الزيارات</w:t>
      </w:r>
      <w:r w:rsidR="00744A1C">
        <w:rPr>
          <w:rtl/>
          <w:lang w:bidi="fa-IR"/>
        </w:rPr>
        <w:t xml:space="preserve"> ، ص 16 : « للعين ».</w:t>
      </w:r>
    </w:p>
    <w:p w:rsidR="00744A1C" w:rsidRDefault="00E378DD" w:rsidP="00E378DD">
      <w:pPr>
        <w:pStyle w:val="libFootnote0"/>
        <w:rPr>
          <w:lang w:bidi="fa-IR"/>
        </w:rPr>
      </w:pPr>
      <w:r>
        <w:rPr>
          <w:rtl/>
          <w:lang w:bidi="fa-IR"/>
        </w:rPr>
        <w:t>(3).</w:t>
      </w:r>
      <w:r w:rsidR="00744A1C">
        <w:rPr>
          <w:rtl/>
          <w:lang w:bidi="fa-IR"/>
        </w:rPr>
        <w:t xml:space="preserve"> في </w:t>
      </w:r>
      <w:r w:rsidR="00744A1C" w:rsidRPr="00FC2D09">
        <w:rPr>
          <w:rtl/>
        </w:rPr>
        <w:t>الوسائل والفقيه</w:t>
      </w:r>
      <w:r w:rsidR="00744A1C">
        <w:rPr>
          <w:rtl/>
          <w:lang w:bidi="fa-IR"/>
        </w:rPr>
        <w:t xml:space="preserve"> : « قبري ومنبري » بدل « منبري وبيتي ». وفي </w:t>
      </w:r>
      <w:r w:rsidR="00744A1C" w:rsidRPr="007B299E">
        <w:rPr>
          <w:rStyle w:val="libFootnoteBoldChar"/>
          <w:rtl/>
        </w:rPr>
        <w:t>كامل الزيارات</w:t>
      </w:r>
      <w:r w:rsidR="00744A1C">
        <w:rPr>
          <w:rtl/>
          <w:lang w:bidi="fa-IR"/>
        </w:rPr>
        <w:t xml:space="preserve"> ، ص 16 : « وقبري » بدل « وبيتي ».</w:t>
      </w:r>
    </w:p>
    <w:p w:rsidR="00744A1C" w:rsidRDefault="00E378DD" w:rsidP="00FC2D09">
      <w:pPr>
        <w:pStyle w:val="libFootnote0"/>
        <w:rPr>
          <w:lang w:bidi="fa-IR"/>
        </w:rPr>
      </w:pPr>
      <w:r>
        <w:rPr>
          <w:rtl/>
          <w:lang w:bidi="fa-IR"/>
        </w:rPr>
        <w:t>(4).</w:t>
      </w:r>
      <w:r w:rsidR="00744A1C">
        <w:rPr>
          <w:rtl/>
          <w:lang w:bidi="fa-IR"/>
        </w:rPr>
        <w:t xml:space="preserve"> التُرْعَةُ : الروضة على المكان المرتفع خاصّة ، فإذا كانت في المكان المطمئنّ فهو روضة. والترعَةُ أيضاً : الباب‌والدرجة ومسيل الماء إلى الروضة والجمع : تُرَع. راجع : </w:t>
      </w:r>
      <w:r w:rsidR="00744A1C" w:rsidRPr="00E978C3">
        <w:rPr>
          <w:rStyle w:val="libFootnoteBoldChar"/>
          <w:rtl/>
        </w:rPr>
        <w:t>الصحاح</w:t>
      </w:r>
      <w:r w:rsidR="00744A1C">
        <w:rPr>
          <w:rtl/>
          <w:lang w:bidi="fa-IR"/>
        </w:rPr>
        <w:t xml:space="preserve"> ، ج 3 ، ص 1191 ؛ </w:t>
      </w:r>
      <w:r w:rsidR="00744A1C" w:rsidRPr="00877682">
        <w:rPr>
          <w:rStyle w:val="libFootnoteBoldChar"/>
          <w:rtl/>
        </w:rPr>
        <w:t>النهاية</w:t>
      </w:r>
      <w:r w:rsidR="00744A1C">
        <w:rPr>
          <w:rtl/>
          <w:lang w:bidi="fa-IR"/>
        </w:rPr>
        <w:t xml:space="preserve"> ، ج 1 ، ص 187 ؛ </w:t>
      </w:r>
      <w:r w:rsidR="00744A1C" w:rsidRPr="00877682">
        <w:rPr>
          <w:rStyle w:val="libFootnoteBoldChar"/>
          <w:rtl/>
        </w:rPr>
        <w:t>لسان العرب</w:t>
      </w:r>
      <w:r w:rsidR="00744A1C">
        <w:rPr>
          <w:rtl/>
          <w:lang w:bidi="fa-IR"/>
        </w:rPr>
        <w:t xml:space="preserve"> ، ج 8 ، ص 32 ( ترع ).</w:t>
      </w:r>
      <w:r w:rsidR="00FC2D09">
        <w:rPr>
          <w:rFonts w:hint="cs"/>
          <w:rtl/>
          <w:lang w:bidi="fa-IR"/>
        </w:rPr>
        <w:t xml:space="preserve">                  </w:t>
      </w:r>
      <w:r>
        <w:rPr>
          <w:rtl/>
          <w:lang w:bidi="fa-IR"/>
        </w:rPr>
        <w:t>(5).</w:t>
      </w:r>
      <w:r w:rsidR="00744A1C">
        <w:rPr>
          <w:rtl/>
          <w:lang w:bidi="fa-IR"/>
        </w:rPr>
        <w:t xml:space="preserve"> في « بخ ، بف ، جن » : - « ترع ».</w:t>
      </w:r>
    </w:p>
    <w:p w:rsidR="00744A1C" w:rsidRDefault="00E378DD" w:rsidP="00E378DD">
      <w:pPr>
        <w:pStyle w:val="libFootnote0"/>
        <w:rPr>
          <w:lang w:bidi="fa-IR"/>
        </w:rPr>
      </w:pPr>
      <w:r>
        <w:rPr>
          <w:rtl/>
          <w:lang w:bidi="fa-IR"/>
        </w:rPr>
        <w:t>(6).</w:t>
      </w:r>
      <w:r w:rsidR="00744A1C">
        <w:rPr>
          <w:rtl/>
          <w:lang w:bidi="fa-IR"/>
        </w:rPr>
        <w:t xml:space="preserve"> في </w:t>
      </w:r>
      <w:r w:rsidR="00744A1C" w:rsidRPr="007B299E">
        <w:rPr>
          <w:rStyle w:val="libFootnoteBoldChar"/>
          <w:rtl/>
        </w:rPr>
        <w:t>كامل الزيارات</w:t>
      </w:r>
      <w:r w:rsidR="00744A1C">
        <w:rPr>
          <w:rtl/>
          <w:lang w:bidi="fa-IR"/>
        </w:rPr>
        <w:t xml:space="preserve"> ، ص 16 : + « وقوائم المنبر رتب في الجنّة ».</w:t>
      </w:r>
    </w:p>
    <w:p w:rsidR="00744A1C" w:rsidRDefault="00E378DD" w:rsidP="00E378DD">
      <w:pPr>
        <w:pStyle w:val="libFootnote0"/>
        <w:rPr>
          <w:lang w:bidi="fa-IR"/>
        </w:rPr>
      </w:pPr>
      <w:r>
        <w:rPr>
          <w:rtl/>
          <w:lang w:bidi="fa-IR"/>
        </w:rPr>
        <w:t>(7).</w:t>
      </w:r>
      <w:r w:rsidR="00744A1C">
        <w:rPr>
          <w:rtl/>
          <w:lang w:bidi="fa-IR"/>
        </w:rPr>
        <w:t xml:space="preserve"> في « بح ، بخ » : « فإذا ».</w:t>
      </w:r>
    </w:p>
    <w:p w:rsidR="00744A1C" w:rsidRDefault="00E378DD" w:rsidP="00FC2D09">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7 ، ح 12 ، معلّقاً عن الكليني. </w:t>
      </w:r>
      <w:r w:rsidR="00744A1C" w:rsidRPr="007B299E">
        <w:rPr>
          <w:rStyle w:val="libFootnoteBoldChar"/>
          <w:rtl/>
        </w:rPr>
        <w:t>كامل الزيارات</w:t>
      </w:r>
      <w:r w:rsidR="00744A1C">
        <w:rPr>
          <w:rtl/>
          <w:lang w:bidi="fa-IR"/>
        </w:rPr>
        <w:t xml:space="preserve"> ، ص 16 ، الباب 3 ، ح 2 ، بسنده عن ابن أبي عمير ، عن معاوية بن عمّار ؛ وفيه ، ص 21 ، الباب 4 ، صدر ح 4 ، بسنده عن صفوان بن يحيى وابن أبي عمير وفضالة بن أيّوب جميعاً ، عن معاوية بن عمّار. وفيه أيضاً ، ص 12 ، الباب 2 ، صدر ح 5 ، بسند آخر ، وفيهما هذه الفقرة : « أكثر من الصلاة في مسجد الرسول </w:t>
      </w:r>
      <w:r w:rsidR="00024D6D" w:rsidRPr="00024D6D">
        <w:rPr>
          <w:rStyle w:val="libFootnoteAlaemChar"/>
          <w:rtl/>
        </w:rPr>
        <w:t>صلى‌الله‌عليه‌وآله</w:t>
      </w:r>
      <w:r w:rsidR="00D10E3C">
        <w:rPr>
          <w:rtl/>
          <w:lang w:bidi="fa-IR"/>
        </w:rPr>
        <w:t xml:space="preserve"> </w:t>
      </w:r>
      <w:r w:rsidR="00744A1C">
        <w:rPr>
          <w:rtl/>
          <w:lang w:bidi="fa-IR"/>
        </w:rPr>
        <w:t xml:space="preserve">» مع اختلاف يسير. </w:t>
      </w:r>
      <w:r w:rsidR="00744A1C" w:rsidRPr="0061079A">
        <w:rPr>
          <w:rStyle w:val="libFootnoteBoldChar"/>
          <w:rtl/>
        </w:rPr>
        <w:t>الكافي</w:t>
      </w:r>
      <w:r w:rsidR="00744A1C">
        <w:rPr>
          <w:rtl/>
          <w:lang w:bidi="fa-IR"/>
        </w:rPr>
        <w:t xml:space="preserve"> ، كتاب الصلاة ، باب القول عند دخول المسجد والخروج منه ، ح 4968 ، بسند آخر ، وتمام الرواية فيه : « إذا دخلت المسجد فصلّ على النبيّ </w:t>
      </w:r>
      <w:r w:rsidR="005E465D" w:rsidRPr="00EE7E5B">
        <w:rPr>
          <w:rStyle w:val="libFootnoteAlaemChar"/>
          <w:rFonts w:eastAsiaTheme="minorHAnsi"/>
          <w:rtl/>
        </w:rPr>
        <w:t>صلى‌الله‌عليه‌وآله</w:t>
      </w:r>
      <w:r w:rsidR="00FC2D09" w:rsidRPr="00FC2D09">
        <w:rPr>
          <w:rFonts w:eastAsiaTheme="minorHAnsi"/>
          <w:rtl/>
        </w:rPr>
        <w:t xml:space="preserve"> </w:t>
      </w:r>
      <w:r w:rsidR="00744A1C">
        <w:rPr>
          <w:rtl/>
          <w:lang w:bidi="fa-IR"/>
        </w:rPr>
        <w:t xml:space="preserve">وإذا خرجت فافعل ذلك ». </w:t>
      </w:r>
      <w:r w:rsidR="00744A1C" w:rsidRPr="00C24F9C">
        <w:rPr>
          <w:rStyle w:val="libFootnoteBoldChar"/>
          <w:rtl/>
        </w:rPr>
        <w:t>الفقيه</w:t>
      </w:r>
      <w:r w:rsidR="00744A1C">
        <w:rPr>
          <w:rtl/>
          <w:lang w:bidi="fa-IR"/>
        </w:rPr>
        <w:t xml:space="preserve"> ، ج 2 ، ص 568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فاصنع مثل ذلك » مع اختلاف يسير </w:t>
      </w:r>
      <w:r w:rsidR="00FC2D09">
        <w:rPr>
          <w:rFonts w:hint="cs"/>
          <w:rtl/>
          <w:lang w:bidi="fa-IR"/>
        </w:rPr>
        <w:t>.</w:t>
      </w:r>
      <w:r w:rsidR="00744A1C" w:rsidRPr="00C24F9C">
        <w:rPr>
          <w:rStyle w:val="libFootnoteBoldChar"/>
          <w:rtl/>
        </w:rPr>
        <w:t>الوافي</w:t>
      </w:r>
      <w:r w:rsidR="00744A1C">
        <w:rPr>
          <w:rtl/>
          <w:lang w:bidi="fa-IR"/>
        </w:rPr>
        <w:t xml:space="preserve"> ، ج 14 ، ص 1357 ، ح 14389 ؛ </w:t>
      </w:r>
      <w:r w:rsidR="00744A1C" w:rsidRPr="00C24F9C">
        <w:rPr>
          <w:rStyle w:val="libFootnoteBoldChar"/>
          <w:rtl/>
        </w:rPr>
        <w:t>الوسائل</w:t>
      </w:r>
      <w:r w:rsidR="00744A1C">
        <w:rPr>
          <w:rtl/>
          <w:lang w:bidi="fa-IR"/>
        </w:rPr>
        <w:t xml:space="preserve"> ، ج 14 ، ص 344 ، ح 19358 ، إلى قوله : « فتصلّى فيه ما بدا لك » ؛ وفيه ، ص 340 ، ح 19352 ، من قوله : « فإذا دخلت المسجد ».</w:t>
      </w:r>
    </w:p>
    <w:p w:rsidR="00744A1C" w:rsidRDefault="00E378DD" w:rsidP="00E378DD">
      <w:pPr>
        <w:pStyle w:val="libFootnote0"/>
        <w:rPr>
          <w:lang w:bidi="fa-IR"/>
        </w:rPr>
      </w:pPr>
      <w:r>
        <w:rPr>
          <w:rtl/>
          <w:lang w:bidi="fa-IR"/>
        </w:rPr>
        <w:t>(9).</w:t>
      </w:r>
      <w:r w:rsidR="00744A1C">
        <w:rPr>
          <w:rtl/>
          <w:lang w:bidi="fa-IR"/>
        </w:rPr>
        <w:t xml:space="preserve"> في « بس ، جد » و</w:t>
      </w:r>
      <w:r w:rsidR="00744A1C" w:rsidRPr="00C24F9C">
        <w:rPr>
          <w:rStyle w:val="libFootnoteBoldChar"/>
          <w:rtl/>
        </w:rPr>
        <w:t>الوافي</w:t>
      </w:r>
      <w:r w:rsidR="00744A1C">
        <w:rPr>
          <w:rtl/>
          <w:lang w:bidi="fa-IR"/>
        </w:rPr>
        <w:t xml:space="preserve"> : « كانت ».</w:t>
      </w:r>
    </w:p>
    <w:p w:rsidR="00150943" w:rsidRDefault="00150943" w:rsidP="00D10E3C">
      <w:pPr>
        <w:pStyle w:val="libNormal"/>
        <w:rPr>
          <w:rtl/>
          <w:lang w:bidi="fa-IR"/>
        </w:rPr>
      </w:pPr>
      <w:r>
        <w:rPr>
          <w:rtl/>
          <w:lang w:bidi="fa-IR"/>
        </w:rPr>
        <w:br w:type="page"/>
      </w:r>
    </w:p>
    <w:p w:rsidR="00144FA6" w:rsidRDefault="00744A1C" w:rsidP="00EE7E5B">
      <w:pPr>
        <w:pStyle w:val="libNormal"/>
        <w:rPr>
          <w:rtl/>
          <w:lang w:bidi="fa-IR"/>
        </w:rPr>
      </w:pPr>
      <w:r>
        <w:rPr>
          <w:rtl/>
          <w:lang w:bidi="fa-IR"/>
        </w:rPr>
        <w:lastRenderedPageBreak/>
        <w:t xml:space="preserve">فَأَرْسَلَ نَجَّاراً ، وَأَرْسَلَ </w:t>
      </w:r>
      <w:r w:rsidRPr="00D10E3C">
        <w:rPr>
          <w:rStyle w:val="libFootnotenumChar"/>
          <w:rtl/>
        </w:rPr>
        <w:t>(1)</w:t>
      </w:r>
      <w:r>
        <w:rPr>
          <w:rtl/>
          <w:lang w:bidi="fa-IR"/>
        </w:rPr>
        <w:t xml:space="preserve"> بِالْآلَةِ </w:t>
      </w:r>
      <w:r w:rsidRPr="00D10E3C">
        <w:rPr>
          <w:rStyle w:val="libFootnotenumChar"/>
          <w:rtl/>
        </w:rPr>
        <w:t>(2)</w:t>
      </w:r>
      <w:r>
        <w:rPr>
          <w:rtl/>
          <w:lang w:bidi="fa-IR"/>
        </w:rPr>
        <w:t xml:space="preserve"> ، وَكَتَبَ إِلى صَاحِبِ الْمَدِينَةِ أَنْ يَقْلَعَ مِنْبَرَ رَسُولِ اللهِ </w:t>
      </w:r>
      <w:r w:rsidR="0017097C" w:rsidRPr="0017097C">
        <w:rPr>
          <w:rStyle w:val="libAlaemChar"/>
          <w:rtl/>
        </w:rPr>
        <w:t>صلى‌الله‌عليه‌وآله</w:t>
      </w:r>
      <w:r w:rsidR="00D10E3C">
        <w:rPr>
          <w:rtl/>
          <w:lang w:bidi="fa-IR"/>
        </w:rPr>
        <w:t xml:space="preserve"> </w:t>
      </w:r>
      <w:r>
        <w:rPr>
          <w:rtl/>
          <w:lang w:bidi="fa-IR"/>
        </w:rPr>
        <w:t xml:space="preserve">، وَيَجْعَلُوهُ عَلى قَدْرِ مِنْبَرِهِ بِالشَّامِ ، فَلَمَّا نَهَضُوا لِيَقْلَعُوهُ ، انْكَسَفَتِ الشَّمْسُ ، وَزُلْزِلَتِ الْأَرْضُ ، فَكَفُّوا ، وَكَتَبُوا بِذلِكَ إِلى مُعَاوِيَةَ ، فَكَتَبَ عَلَيْهِمْ </w:t>
      </w:r>
      <w:r w:rsidRPr="00D10E3C">
        <w:rPr>
          <w:rStyle w:val="libFootnotenumChar"/>
          <w:rtl/>
        </w:rPr>
        <w:t>(3)</w:t>
      </w:r>
      <w:r>
        <w:rPr>
          <w:rtl/>
          <w:lang w:bidi="fa-IR"/>
        </w:rPr>
        <w:t xml:space="preserve"> : يَعْزِمُ </w:t>
      </w:r>
      <w:r w:rsidRPr="00D10E3C">
        <w:rPr>
          <w:rStyle w:val="libFootnotenumChar"/>
          <w:rtl/>
        </w:rPr>
        <w:t>(4)</w:t>
      </w:r>
      <w:r>
        <w:rPr>
          <w:rtl/>
          <w:lang w:bidi="fa-IR"/>
        </w:rPr>
        <w:t xml:space="preserve"> عَلَيْهِمْ لَمَّا فَعَلُوهُ </w:t>
      </w:r>
      <w:r w:rsidRPr="00D10E3C">
        <w:rPr>
          <w:rStyle w:val="libFootnotenumChar"/>
          <w:rtl/>
        </w:rPr>
        <w:t>(5)</w:t>
      </w:r>
      <w:r>
        <w:rPr>
          <w:rtl/>
          <w:lang w:bidi="fa-IR"/>
        </w:rPr>
        <w:t xml:space="preserve"> ، فَفَعَلُوا ذلِكَ ؛ فَمِنْبَرُ رَسُولِ اللهِ </w:t>
      </w:r>
      <w:r w:rsidR="00EE7E5B" w:rsidRPr="0017097C">
        <w:rPr>
          <w:rStyle w:val="libAlaemChar"/>
          <w:rtl/>
        </w:rPr>
        <w:t>صلى‌الله‌عليه‌وآله</w:t>
      </w:r>
      <w:r w:rsidR="00EE7E5B">
        <w:rPr>
          <w:rtl/>
          <w:lang w:bidi="fa-IR"/>
        </w:rPr>
        <w:t xml:space="preserve"> </w:t>
      </w:r>
      <w:r>
        <w:rPr>
          <w:rtl/>
          <w:lang w:bidi="fa-IR"/>
        </w:rPr>
        <w:t xml:space="preserve">الْمَدْخَلُ </w:t>
      </w:r>
      <w:r w:rsidRPr="00D10E3C">
        <w:rPr>
          <w:rStyle w:val="libFootnotenumChar"/>
          <w:rtl/>
        </w:rPr>
        <w:t>(6)</w:t>
      </w:r>
      <w:r>
        <w:rPr>
          <w:rtl/>
          <w:lang w:bidi="fa-IR"/>
        </w:rPr>
        <w:t xml:space="preserve"> الَّذِي رَأَيْتَ ». </w:t>
      </w:r>
      <w:r w:rsidRPr="00D10E3C">
        <w:rPr>
          <w:rStyle w:val="libFootnotenumChar"/>
          <w:rtl/>
        </w:rPr>
        <w:t>(7)</w:t>
      </w:r>
    </w:p>
    <w:p w:rsidR="00144FA6" w:rsidRDefault="00744A1C" w:rsidP="00744A1C">
      <w:pPr>
        <w:pStyle w:val="libNormal"/>
        <w:rPr>
          <w:rtl/>
          <w:lang w:bidi="fa-IR"/>
        </w:rPr>
      </w:pPr>
      <w:r>
        <w:rPr>
          <w:rtl/>
          <w:lang w:bidi="fa-IR"/>
        </w:rPr>
        <w:t xml:space="preserve">8110 / 3. مُحَمَّدُ بْنُ يَحْيى ، عَنْ أَحْمَدَ بْنِ مُحَمَّدٍ ، عَنِ ابْنِ فَضَّالٍ ، عَنْ جَمِيلٍ </w:t>
      </w:r>
      <w:r w:rsidRPr="00D10E3C">
        <w:rPr>
          <w:rStyle w:val="libFootnotenumChar"/>
          <w:rtl/>
        </w:rPr>
        <w:t>(8)</w:t>
      </w:r>
      <w:r>
        <w:rPr>
          <w:rtl/>
          <w:lang w:bidi="fa-IR"/>
        </w:rPr>
        <w:t xml:space="preserve"> ، عَنْ أَبِي بَكْرٍ الْحَضْرَمِيِّ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1959EB" w:rsidRPr="001959EB">
        <w:rPr>
          <w:rStyle w:val="libAlaemChar"/>
          <w:rtl/>
        </w:rPr>
        <w:t>صلى‌الله‌عليه‌وآله</w:t>
      </w:r>
      <w:r w:rsidR="00D10E3C">
        <w:rPr>
          <w:rtl/>
          <w:lang w:bidi="fa-IR"/>
        </w:rPr>
        <w:t xml:space="preserve"> </w:t>
      </w:r>
      <w:r>
        <w:rPr>
          <w:rtl/>
          <w:lang w:bidi="fa-IR"/>
        </w:rPr>
        <w:t xml:space="preserve">: مَا بَيْنَ بَيْتِي وَمِنْبَرِي رَوْضَةٌ مِنْ رِيَاضِ الْجَنَّةِ ، وَمِنْبَرِي عَلى تُرْعَةٍ مِنْ تُرَعِ الْجَنَّةِ ، وَقَوَائِمُ </w:t>
      </w:r>
      <w:r w:rsidRPr="00D10E3C">
        <w:rPr>
          <w:rStyle w:val="libFootnotenumChar"/>
          <w:rtl/>
        </w:rPr>
        <w:t>(9)</w:t>
      </w:r>
      <w:r>
        <w:rPr>
          <w:rtl/>
          <w:lang w:bidi="fa-IR"/>
        </w:rPr>
        <w:t xml:space="preserve"> مِنْبَرِي رُبَّتْ </w:t>
      </w:r>
      <w:r w:rsidRPr="00D10E3C">
        <w:rPr>
          <w:rStyle w:val="libFootnotenumChar"/>
          <w:rtl/>
        </w:rPr>
        <w:t>(10)</w:t>
      </w:r>
      <w:r>
        <w:rPr>
          <w:rtl/>
          <w:lang w:bidi="fa-IR"/>
        </w:rPr>
        <w:t xml:space="preserve"> فِي الْجَنَّةِ ».</w:t>
      </w:r>
    </w:p>
    <w:p w:rsidR="00744A1C" w:rsidRDefault="00744A1C" w:rsidP="00744A1C">
      <w:pPr>
        <w:pStyle w:val="libNormal"/>
        <w:rPr>
          <w:lang w:bidi="fa-IR"/>
        </w:rPr>
      </w:pPr>
      <w:r>
        <w:rPr>
          <w:rtl/>
          <w:lang w:bidi="fa-IR"/>
        </w:rPr>
        <w:t>قَالَ : قُلْتُ : هِيَ رَوْضَةٌ الْيَوْمَ؟</w:t>
      </w:r>
    </w:p>
    <w:p w:rsidR="00144FA6" w:rsidRDefault="00744A1C" w:rsidP="00744A1C">
      <w:pPr>
        <w:pStyle w:val="libNormal"/>
        <w:rPr>
          <w:rtl/>
          <w:lang w:bidi="fa-IR"/>
        </w:rPr>
      </w:pPr>
      <w:r>
        <w:rPr>
          <w:rtl/>
          <w:lang w:bidi="fa-IR"/>
        </w:rPr>
        <w:t xml:space="preserve">قَالَ : « نَعَمْ ، إِنَّهُ </w:t>
      </w:r>
      <w:r w:rsidRPr="00D10E3C">
        <w:rPr>
          <w:rStyle w:val="libFootnotenumChar"/>
          <w:rtl/>
        </w:rPr>
        <w:t>(11)</w:t>
      </w:r>
      <w:r>
        <w:rPr>
          <w:rtl/>
          <w:lang w:bidi="fa-IR"/>
        </w:rPr>
        <w:t xml:space="preserve"> لَوْ كُشِفَ الْغِطَاءُ </w:t>
      </w:r>
      <w:r w:rsidRPr="00D10E3C">
        <w:rPr>
          <w:rStyle w:val="libFootnotenumChar"/>
          <w:rtl/>
        </w:rPr>
        <w:t>(12)</w:t>
      </w:r>
      <w:r>
        <w:rPr>
          <w:rtl/>
          <w:lang w:bidi="fa-IR"/>
        </w:rPr>
        <w:t xml:space="preserve"> لَرَأَيْتُمْ ». </w:t>
      </w:r>
      <w:r w:rsidRPr="00D10E3C">
        <w:rPr>
          <w:rStyle w:val="libFootnotenumChar"/>
          <w:rtl/>
        </w:rPr>
        <w:t>(13)</w:t>
      </w:r>
    </w:p>
    <w:p w:rsidR="00744A1C" w:rsidRDefault="00744A1C" w:rsidP="00744A1C">
      <w:pPr>
        <w:pStyle w:val="libNormal"/>
        <w:rPr>
          <w:lang w:bidi="fa-IR"/>
        </w:rPr>
      </w:pPr>
      <w:r>
        <w:rPr>
          <w:rtl/>
          <w:lang w:bidi="fa-IR"/>
        </w:rPr>
        <w:t>8111 / 4. مُحَمَّدُ بْنُ يَحْيى ، عَنْ مُحَمَّدِ بْنِ الْحُسَيْنِ ، عَنْ صَفْوَانَ بْنِ يَحْيى ، عَنِ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FC2D09" w:rsidTr="00FC2D09">
        <w:tc>
          <w:tcPr>
            <w:tcW w:w="4006" w:type="dxa"/>
          </w:tcPr>
          <w:p w:rsidR="00FC2D09" w:rsidRDefault="00FC2D09" w:rsidP="00E378DD">
            <w:pPr>
              <w:pStyle w:val="libFootnote0"/>
              <w:rPr>
                <w:rtl/>
                <w:lang w:bidi="fa-IR"/>
              </w:rPr>
            </w:pPr>
            <w:r>
              <w:rPr>
                <w:rtl/>
                <w:lang w:bidi="fa-IR"/>
              </w:rPr>
              <w:t>(1). في « بث » : - « وأرسل ».</w:t>
            </w:r>
          </w:p>
        </w:tc>
        <w:tc>
          <w:tcPr>
            <w:tcW w:w="4006" w:type="dxa"/>
          </w:tcPr>
          <w:p w:rsidR="00FC2D09" w:rsidRDefault="00FC2D09" w:rsidP="00E378DD">
            <w:pPr>
              <w:pStyle w:val="libFootnote0"/>
              <w:rPr>
                <w:rtl/>
                <w:lang w:bidi="fa-IR"/>
              </w:rPr>
            </w:pPr>
            <w:r>
              <w:rPr>
                <w:rtl/>
                <w:lang w:bidi="fa-IR"/>
              </w:rPr>
              <w:t>(2). في « جن » : « بآلات ».</w:t>
            </w:r>
          </w:p>
        </w:tc>
      </w:tr>
    </w:tbl>
    <w:p w:rsidR="00744A1C" w:rsidRDefault="00E378DD" w:rsidP="00E378DD">
      <w:pPr>
        <w:pStyle w:val="libFootnote0"/>
        <w:rPr>
          <w:lang w:bidi="fa-IR"/>
        </w:rPr>
      </w:pPr>
      <w:r>
        <w:rPr>
          <w:rtl/>
          <w:lang w:bidi="fa-IR"/>
        </w:rPr>
        <w:t>(3).</w:t>
      </w:r>
      <w:r w:rsidR="00744A1C">
        <w:rPr>
          <w:rtl/>
          <w:lang w:bidi="fa-IR"/>
        </w:rPr>
        <w:t xml:space="preserve"> في « ى ، بخ ، بس ، بف ، جد ، جن » و</w:t>
      </w:r>
      <w:r w:rsidR="00744A1C" w:rsidRPr="0061079A">
        <w:rPr>
          <w:rStyle w:val="libFootnoteBoldChar"/>
          <w:rtl/>
        </w:rPr>
        <w:t>البحار</w:t>
      </w:r>
      <w:r w:rsidR="00744A1C">
        <w:rPr>
          <w:rtl/>
          <w:lang w:bidi="fa-IR"/>
        </w:rPr>
        <w:t xml:space="preserve"> : « إليهم ».</w:t>
      </w:r>
    </w:p>
    <w:tbl>
      <w:tblPr>
        <w:tblStyle w:val="TableGrid"/>
        <w:bidiVisual/>
        <w:tblW w:w="0" w:type="auto"/>
        <w:tblLook w:val="04A0" w:firstRow="1" w:lastRow="0" w:firstColumn="1" w:lastColumn="0" w:noHBand="0" w:noVBand="1"/>
      </w:tblPr>
      <w:tblGrid>
        <w:gridCol w:w="4006"/>
        <w:gridCol w:w="4006"/>
      </w:tblGrid>
      <w:tr w:rsidR="004C1C76" w:rsidTr="004C1C76">
        <w:tc>
          <w:tcPr>
            <w:tcW w:w="4006" w:type="dxa"/>
          </w:tcPr>
          <w:p w:rsidR="004C1C76" w:rsidRPr="004C1C76" w:rsidRDefault="004C1C76" w:rsidP="00E378DD">
            <w:pPr>
              <w:pStyle w:val="libFootnote0"/>
              <w:rPr>
                <w:rtl/>
                <w:lang w:bidi="fa-IR"/>
              </w:rPr>
            </w:pPr>
            <w:r>
              <w:rPr>
                <w:rtl/>
                <w:lang w:bidi="fa-IR"/>
              </w:rPr>
              <w:t xml:space="preserve">(4). في </w:t>
            </w:r>
            <w:r w:rsidRPr="00C24F9C">
              <w:rPr>
                <w:rStyle w:val="libFootnoteBoldChar"/>
                <w:rtl/>
              </w:rPr>
              <w:t>الوافي</w:t>
            </w:r>
            <w:r>
              <w:rPr>
                <w:rtl/>
                <w:lang w:bidi="fa-IR"/>
              </w:rPr>
              <w:t xml:space="preserve"> : « العزم : الإقسام ».</w:t>
            </w:r>
          </w:p>
        </w:tc>
        <w:tc>
          <w:tcPr>
            <w:tcW w:w="4006" w:type="dxa"/>
          </w:tcPr>
          <w:p w:rsidR="004C1C76" w:rsidRDefault="004C1C76" w:rsidP="00E378DD">
            <w:pPr>
              <w:pStyle w:val="libFootnote0"/>
              <w:rPr>
                <w:rtl/>
                <w:lang w:bidi="fa-IR"/>
              </w:rPr>
            </w:pPr>
            <w:r>
              <w:rPr>
                <w:rtl/>
                <w:lang w:bidi="fa-IR"/>
              </w:rPr>
              <w:t>(5). في « ى ، بث » : « فعلوا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لعلّ المراد به المدخل تحت المنبر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14 ، ص 1361 ، ح 14395 ؛ </w:t>
      </w:r>
      <w:r w:rsidR="00744A1C" w:rsidRPr="0061079A">
        <w:rPr>
          <w:rStyle w:val="libFootnoteBoldChar"/>
          <w:rtl/>
        </w:rPr>
        <w:t>البحار</w:t>
      </w:r>
      <w:r w:rsidR="00744A1C">
        <w:rPr>
          <w:rtl/>
          <w:lang w:bidi="fa-IR"/>
        </w:rPr>
        <w:t xml:space="preserve"> ، ج 22 ، ص 553 ، ح 13 ؛ وج 33 ، ص 172 ، ح 454 ؛ وج 100 ، ص 191 ، ح 2.</w:t>
      </w:r>
    </w:p>
    <w:p w:rsidR="00744A1C" w:rsidRDefault="00E378DD" w:rsidP="004C1C76">
      <w:pPr>
        <w:pStyle w:val="libFootnote0"/>
        <w:rPr>
          <w:lang w:bidi="fa-IR"/>
        </w:rPr>
      </w:pPr>
      <w:r>
        <w:rPr>
          <w:rtl/>
          <w:lang w:bidi="fa-IR"/>
        </w:rPr>
        <w:t>(8).</w:t>
      </w:r>
      <w:r w:rsidR="00744A1C">
        <w:rPr>
          <w:rtl/>
          <w:lang w:bidi="fa-IR"/>
        </w:rPr>
        <w:t xml:space="preserve"> في </w:t>
      </w:r>
      <w:r w:rsidR="00744A1C" w:rsidRPr="00C24F9C">
        <w:rPr>
          <w:rStyle w:val="libFootnoteBoldChar"/>
          <w:rtl/>
        </w:rPr>
        <w:t>الوسائل</w:t>
      </w:r>
      <w:r w:rsidR="00744A1C">
        <w:rPr>
          <w:rtl/>
          <w:lang w:bidi="fa-IR"/>
        </w:rPr>
        <w:t xml:space="preserve"> : - « عن جميل ». ولم يثبت رواية ابن فضّال - وهو الحسن بن عليّ في ما نحن فيه - عن أبي بكرالحضرميّ مباشرة.</w:t>
      </w:r>
      <w:r w:rsidR="004C1C76">
        <w:rPr>
          <w:rFonts w:hint="cs"/>
          <w:rtl/>
          <w:lang w:bidi="fa-IR"/>
        </w:rPr>
        <w:t xml:space="preserve">                       </w:t>
      </w:r>
      <w:r w:rsidR="00EE7E5B">
        <w:rPr>
          <w:rFonts w:hint="cs"/>
          <w:rtl/>
          <w:lang w:bidi="fa-IR"/>
        </w:rPr>
        <w:t xml:space="preserve">      </w:t>
      </w:r>
      <w:r w:rsidR="004C1C76">
        <w:rPr>
          <w:rFonts w:hint="cs"/>
          <w:rtl/>
          <w:lang w:bidi="fa-IR"/>
        </w:rPr>
        <w:t xml:space="preserve">    </w:t>
      </w:r>
      <w:r w:rsidR="00EE7E5B">
        <w:rPr>
          <w:rFonts w:hint="cs"/>
          <w:rtl/>
          <w:lang w:bidi="fa-IR"/>
        </w:rPr>
        <w:t xml:space="preserve"> </w:t>
      </w:r>
      <w:r w:rsidR="004C1C76">
        <w:rPr>
          <w:rFonts w:hint="cs"/>
          <w:rtl/>
          <w:lang w:bidi="fa-IR"/>
        </w:rPr>
        <w:t xml:space="preserve">    </w:t>
      </w:r>
      <w:r>
        <w:rPr>
          <w:rtl/>
          <w:lang w:bidi="fa-IR"/>
        </w:rPr>
        <w:t>(9).</w:t>
      </w:r>
      <w:r w:rsidR="00744A1C">
        <w:rPr>
          <w:rtl/>
          <w:lang w:bidi="fa-IR"/>
        </w:rPr>
        <w:t xml:space="preserve"> في « ى ، بث ، جن » : « وقوام ».</w:t>
      </w:r>
    </w:p>
    <w:p w:rsidR="00744A1C" w:rsidRDefault="00E378DD" w:rsidP="004C1C76">
      <w:pPr>
        <w:pStyle w:val="libFootnote0"/>
        <w:rPr>
          <w:lang w:bidi="fa-IR"/>
        </w:rPr>
      </w:pPr>
      <w:r>
        <w:rPr>
          <w:rtl/>
          <w:lang w:bidi="fa-IR"/>
        </w:rPr>
        <w:t>(10).</w:t>
      </w:r>
      <w:r w:rsidR="00744A1C">
        <w:rPr>
          <w:rtl/>
          <w:lang w:bidi="fa-IR"/>
        </w:rPr>
        <w:t xml:space="preserve"> في « ى ، بث ، بس ، بف » وحاشية « بح ، بخ »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xml:space="preserve"> : « رتّب ». وفي « بخ ، جن » : - « ربّت ». وفي </w:t>
      </w:r>
      <w:r w:rsidR="00744A1C" w:rsidRPr="00C24F9C">
        <w:rPr>
          <w:rStyle w:val="libFootnoteBoldChar"/>
          <w:rtl/>
        </w:rPr>
        <w:t>المرآة</w:t>
      </w:r>
      <w:r w:rsidR="00744A1C">
        <w:rPr>
          <w:rtl/>
          <w:lang w:bidi="fa-IR"/>
        </w:rPr>
        <w:t xml:space="preserve"> : « ربّت ، بالتشديد من التربية على بناء المفعول ، أو بالتخفيف من الربو ، بمعنى النموّ والارتفاع. والأوّل أظهر ».</w:t>
      </w:r>
      <w:r w:rsidR="004C1C76">
        <w:rPr>
          <w:rFonts w:hint="cs"/>
          <w:rtl/>
          <w:lang w:bidi="fa-IR"/>
        </w:rPr>
        <w:t xml:space="preserve">                    </w:t>
      </w:r>
      <w:r w:rsidR="00EE7E5B">
        <w:rPr>
          <w:rFonts w:hint="cs"/>
          <w:rtl/>
          <w:lang w:bidi="fa-IR"/>
        </w:rPr>
        <w:t xml:space="preserve">     </w:t>
      </w:r>
      <w:r w:rsidR="004C1C76">
        <w:rPr>
          <w:rFonts w:hint="cs"/>
          <w:rtl/>
          <w:lang w:bidi="fa-IR"/>
        </w:rPr>
        <w:t xml:space="preserve">      </w:t>
      </w:r>
      <w:r>
        <w:rPr>
          <w:rtl/>
          <w:lang w:bidi="fa-IR"/>
        </w:rPr>
        <w:t>(11).</w:t>
      </w:r>
      <w:r w:rsidR="00744A1C">
        <w:rPr>
          <w:rtl/>
          <w:lang w:bidi="fa-IR"/>
        </w:rPr>
        <w:t xml:space="preserve"> في « بخ ، بس ، بف » : - « إنّه ».</w:t>
      </w:r>
    </w:p>
    <w:p w:rsidR="00744A1C" w:rsidRDefault="00E378DD" w:rsidP="00E378DD">
      <w:pPr>
        <w:pStyle w:val="libFootnote0"/>
        <w:rPr>
          <w:lang w:bidi="fa-IR"/>
        </w:rPr>
      </w:pPr>
      <w:r>
        <w:rPr>
          <w:rtl/>
          <w:lang w:bidi="fa-IR"/>
        </w:rPr>
        <w:t>(12).</w:t>
      </w:r>
      <w:r w:rsidR="00744A1C">
        <w:rPr>
          <w:rtl/>
          <w:lang w:bidi="fa-IR"/>
        </w:rPr>
        <w:t xml:space="preserve"> « الغِطاءُ » : ما يُجْعَل فوقَ الشي‌ء من طَبَق ونحوه ، كما أنّ الغِشاء ما يُجْعَل فوقَ الشي‌ء من لباس ونحوه ، وقد استُعير للجهالة. </w:t>
      </w:r>
      <w:r w:rsidR="00744A1C" w:rsidRPr="002D57AD">
        <w:rPr>
          <w:rStyle w:val="libFootnoteBoldChar"/>
          <w:rtl/>
        </w:rPr>
        <w:t>المفردات للراغب</w:t>
      </w:r>
      <w:r w:rsidR="00744A1C">
        <w:rPr>
          <w:rtl/>
          <w:lang w:bidi="fa-IR"/>
        </w:rPr>
        <w:t xml:space="preserve"> ، ص 609 ( غطا ).</w:t>
      </w:r>
    </w:p>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الوافي</w:t>
      </w:r>
      <w:r w:rsidR="00744A1C">
        <w:rPr>
          <w:rtl/>
          <w:lang w:bidi="fa-IR"/>
        </w:rPr>
        <w:t xml:space="preserve"> ، ج 14 ، ص 1358 ، ح 14391 ؛ </w:t>
      </w:r>
      <w:r w:rsidR="00744A1C" w:rsidRPr="00C24F9C">
        <w:rPr>
          <w:rStyle w:val="libFootnoteBoldChar"/>
          <w:rtl/>
        </w:rPr>
        <w:t>الوسائل</w:t>
      </w:r>
      <w:r w:rsidR="00744A1C">
        <w:rPr>
          <w:rtl/>
          <w:lang w:bidi="fa-IR"/>
        </w:rPr>
        <w:t xml:space="preserve"> ، ج 14 ، ص 345 ، ح 19359 ؛ </w:t>
      </w:r>
      <w:r w:rsidR="00744A1C" w:rsidRPr="0061079A">
        <w:rPr>
          <w:rStyle w:val="libFootnoteBoldChar"/>
          <w:rtl/>
        </w:rPr>
        <w:t>البحار</w:t>
      </w:r>
      <w:r w:rsidR="00744A1C">
        <w:rPr>
          <w:rtl/>
          <w:lang w:bidi="fa-IR"/>
        </w:rPr>
        <w:t xml:space="preserve"> ، ج 100 ، ص 146 ، ح 1.</w:t>
      </w:r>
    </w:p>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الْعَلَاءِ بْنِ رَزِينٍ ، عَنْ مُحَمَّدِ بْنِ مُسْلِمٍ ، قَالَ :</w:t>
      </w:r>
    </w:p>
    <w:p w:rsidR="00744A1C" w:rsidRDefault="00744A1C" w:rsidP="00744A1C">
      <w:pPr>
        <w:pStyle w:val="libNormal"/>
        <w:rPr>
          <w:lang w:bidi="fa-IR"/>
        </w:rPr>
      </w:pPr>
      <w:r>
        <w:rPr>
          <w:rtl/>
          <w:lang w:bidi="fa-IR"/>
        </w:rPr>
        <w:t xml:space="preserve">سَأَلْتُهُ عَنْ حَدِّ مَسْجِدِ الرَّسُولِ </w:t>
      </w:r>
      <w:r w:rsidR="000F3F68" w:rsidRPr="000F3F68">
        <w:rPr>
          <w:rStyle w:val="libAlaemChar"/>
          <w:rtl/>
        </w:rPr>
        <w:t>صلى‌الله‌عليه‌وآله</w:t>
      </w:r>
      <w:r>
        <w:rPr>
          <w:rtl/>
          <w:lang w:bidi="fa-IR"/>
        </w:rPr>
        <w:t xml:space="preserve"> ؟</w:t>
      </w:r>
    </w:p>
    <w:p w:rsidR="00144FA6" w:rsidRDefault="00744A1C" w:rsidP="00744A1C">
      <w:pPr>
        <w:pStyle w:val="libNormal"/>
        <w:rPr>
          <w:rtl/>
          <w:lang w:bidi="fa-IR"/>
        </w:rPr>
      </w:pPr>
      <w:r>
        <w:rPr>
          <w:rtl/>
          <w:lang w:bidi="fa-IR"/>
        </w:rPr>
        <w:t xml:space="preserve">فَقَالَ : « الْأُسْطُوَانَةُ الَّتِي عِنْدَ رَأْسِ الْقَبْرِ إِلَى الْأُسْطُوَانَتَيْنِ مِنْ وَرَاءِ الْمِنْبَرِ عَنْ يَمِينِ الْقِبْلَةِ ، وَكَانَ مِنْ وَرَاءِ الْمِنْبَرِ طَرِيقٌ تَمُرُّ فِيهِ الشَّاةُ ، وَيَمُرُّ الرَّجُلُ مُنْحَرِفاً ، وَكَانَ </w:t>
      </w:r>
      <w:r w:rsidRPr="00D10E3C">
        <w:rPr>
          <w:rStyle w:val="libFootnotenumChar"/>
          <w:rtl/>
        </w:rPr>
        <w:t>(1)</w:t>
      </w:r>
      <w:r>
        <w:rPr>
          <w:rtl/>
          <w:lang w:bidi="fa-IR"/>
        </w:rPr>
        <w:t xml:space="preserve"> سَاحَةُ الْمَسْجِدِ مِنَ الْبَلَاطِ </w:t>
      </w:r>
      <w:r w:rsidRPr="00D10E3C">
        <w:rPr>
          <w:rStyle w:val="libFootnotenumChar"/>
          <w:rtl/>
        </w:rPr>
        <w:t>(2)</w:t>
      </w:r>
      <w:r>
        <w:rPr>
          <w:rtl/>
          <w:lang w:bidi="fa-IR"/>
        </w:rPr>
        <w:t xml:space="preserve"> إِلَى الصَّحْنِ ». </w:t>
      </w:r>
      <w:r w:rsidRPr="00D10E3C">
        <w:rPr>
          <w:rStyle w:val="libFootnotenumChar"/>
          <w:rtl/>
        </w:rPr>
        <w:t>(3)</w:t>
      </w:r>
    </w:p>
    <w:p w:rsidR="00144FA6" w:rsidRDefault="00744A1C" w:rsidP="00744A1C">
      <w:pPr>
        <w:pStyle w:val="libNormal"/>
        <w:rPr>
          <w:rtl/>
          <w:lang w:bidi="fa-IR"/>
        </w:rPr>
      </w:pPr>
      <w:r>
        <w:rPr>
          <w:rtl/>
          <w:lang w:bidi="fa-IR"/>
        </w:rPr>
        <w:t xml:space="preserve">8112 / 5. أَحْمَدُ بْنُ مُحَمَّدٍ </w:t>
      </w:r>
      <w:r w:rsidRPr="00D10E3C">
        <w:rPr>
          <w:rStyle w:val="libFootnotenumChar"/>
          <w:rtl/>
        </w:rPr>
        <w:t>(4)</w:t>
      </w:r>
      <w:r>
        <w:rPr>
          <w:rtl/>
          <w:lang w:bidi="fa-IR"/>
        </w:rPr>
        <w:t xml:space="preserve"> ، عَنْ عَلِيِّ بْنِ حَدِيدٍ ، عَنْ مُرَازِمٍ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عَمَّا يَقُولُ النَّاسُ فِي الرَّوْضَةِ؟</w:t>
      </w:r>
    </w:p>
    <w:p w:rsidR="00744A1C" w:rsidRDefault="00744A1C" w:rsidP="00744A1C">
      <w:pPr>
        <w:pStyle w:val="libNormal"/>
        <w:rPr>
          <w:lang w:bidi="fa-IR"/>
        </w:rPr>
      </w:pPr>
      <w:r>
        <w:rPr>
          <w:rtl/>
          <w:lang w:bidi="fa-IR"/>
        </w:rPr>
        <w:t xml:space="preserve">فَقَالَ : « قَالَ رَسُولُ اللهِ </w:t>
      </w:r>
      <w:r w:rsidR="0017097C" w:rsidRPr="0017097C">
        <w:rPr>
          <w:rStyle w:val="libAlaemChar"/>
          <w:rtl/>
        </w:rPr>
        <w:t>صلى‌الله‌عليه‌وآله</w:t>
      </w:r>
      <w:r w:rsidR="00D10E3C">
        <w:rPr>
          <w:rtl/>
          <w:lang w:bidi="fa-IR"/>
        </w:rPr>
        <w:t xml:space="preserve"> </w:t>
      </w:r>
      <w:r>
        <w:rPr>
          <w:rtl/>
          <w:lang w:bidi="fa-IR"/>
        </w:rPr>
        <w:t xml:space="preserve">: فِيمَا </w:t>
      </w:r>
      <w:r w:rsidRPr="00D10E3C">
        <w:rPr>
          <w:rStyle w:val="libFootnotenumChar"/>
          <w:rtl/>
        </w:rPr>
        <w:t>(5)</w:t>
      </w:r>
      <w:r>
        <w:rPr>
          <w:rtl/>
          <w:lang w:bidi="fa-IR"/>
        </w:rPr>
        <w:t xml:space="preserve"> بَيْنَ بَيْتِي وَمِنْبَرِي رَوْضَةٌ مِنْ رِيَاضِ الْجَنَّةِ ، وَمِنْبَرِي عَلى تُرْعَةٍ مِنْ تُرَعِ الْجَنَّةِ ».</w:t>
      </w:r>
    </w:p>
    <w:p w:rsidR="00744A1C" w:rsidRDefault="00744A1C" w:rsidP="00744A1C">
      <w:pPr>
        <w:pStyle w:val="libNormal"/>
        <w:rPr>
          <w:lang w:bidi="fa-IR"/>
        </w:rPr>
      </w:pPr>
      <w:r>
        <w:rPr>
          <w:rtl/>
          <w:lang w:bidi="fa-IR"/>
        </w:rPr>
        <w:t xml:space="preserve">فَقُلْتُ لَهُ </w:t>
      </w:r>
      <w:r w:rsidRPr="00D10E3C">
        <w:rPr>
          <w:rStyle w:val="libFootnotenumChar"/>
          <w:rtl/>
        </w:rPr>
        <w:t>(6)</w:t>
      </w:r>
      <w:r>
        <w:rPr>
          <w:rtl/>
          <w:lang w:bidi="fa-IR"/>
        </w:rPr>
        <w:t xml:space="preserve"> : جُعِلْتُ فِدَاكَ ، فَمَا حَدُّ الرَّوْضَةِ؟</w:t>
      </w:r>
    </w:p>
    <w:p w:rsidR="00744A1C" w:rsidRDefault="00744A1C" w:rsidP="00744A1C">
      <w:pPr>
        <w:pStyle w:val="libNormal"/>
        <w:rPr>
          <w:lang w:bidi="fa-IR"/>
        </w:rPr>
      </w:pPr>
      <w:r>
        <w:rPr>
          <w:rtl/>
          <w:lang w:bidi="fa-IR"/>
        </w:rPr>
        <w:t xml:space="preserve">فَقَالَ : « بُعْدُ </w:t>
      </w:r>
      <w:r w:rsidRPr="00D10E3C">
        <w:rPr>
          <w:rStyle w:val="libFootnotenumChar"/>
          <w:rtl/>
        </w:rPr>
        <w:t>(7)</w:t>
      </w:r>
      <w:r>
        <w:rPr>
          <w:rtl/>
          <w:lang w:bidi="fa-IR"/>
        </w:rPr>
        <w:t xml:space="preserve"> أَرْبَعِ أَسَاطِينَ مِنَ الْمِنْبَرِ إِلَى الظِّلَالِ </w:t>
      </w:r>
      <w:r w:rsidRPr="00D10E3C">
        <w:rPr>
          <w:rStyle w:val="libFootnotenumChar"/>
          <w:rtl/>
        </w:rPr>
        <w:t>(8)</w:t>
      </w:r>
      <w:r>
        <w:rPr>
          <w:rtl/>
          <w:lang w:bidi="fa-IR"/>
        </w:rPr>
        <w:t xml:space="preserve"> ».</w:t>
      </w:r>
    </w:p>
    <w:p w:rsidR="00144FA6" w:rsidRDefault="00744A1C" w:rsidP="00744A1C">
      <w:pPr>
        <w:pStyle w:val="libNormal"/>
        <w:rPr>
          <w:rtl/>
          <w:lang w:bidi="fa-IR"/>
        </w:rPr>
      </w:pPr>
      <w:r>
        <w:rPr>
          <w:rtl/>
          <w:lang w:bidi="fa-IR"/>
        </w:rPr>
        <w:t xml:space="preserve">فَقُلْتُ : جُعِلْتُ فِدَاكَ ، مِنَ </w:t>
      </w:r>
      <w:r w:rsidRPr="00D10E3C">
        <w:rPr>
          <w:rStyle w:val="libFootnotenumChar"/>
          <w:rtl/>
        </w:rPr>
        <w:t>(9)</w:t>
      </w:r>
      <w:r>
        <w:rPr>
          <w:rtl/>
          <w:lang w:bidi="fa-IR"/>
        </w:rPr>
        <w:t xml:space="preserve"> الصَّحْنِ فِيهَا </w:t>
      </w:r>
      <w:r w:rsidRPr="00D10E3C">
        <w:rPr>
          <w:rStyle w:val="libFootnotenumChar"/>
          <w:rtl/>
        </w:rPr>
        <w:t>(10)</w:t>
      </w:r>
      <w:r>
        <w:rPr>
          <w:rtl/>
          <w:lang w:bidi="fa-IR"/>
        </w:rPr>
        <w:t xml:space="preserve"> شَيْ‌ءٌ؟ قَالَ : « لَا ». </w:t>
      </w:r>
      <w:r w:rsidRPr="00D10E3C">
        <w:rPr>
          <w:rStyle w:val="libFootnotenumChar"/>
          <w:rtl/>
        </w:rPr>
        <w:t>(11)</w:t>
      </w:r>
    </w:p>
    <w:p w:rsidR="00744A1C" w:rsidRDefault="00744A1C" w:rsidP="00744A1C">
      <w:pPr>
        <w:pStyle w:val="libNormal"/>
        <w:rPr>
          <w:lang w:bidi="fa-IR"/>
        </w:rPr>
      </w:pPr>
      <w:r>
        <w:rPr>
          <w:rtl/>
          <w:lang w:bidi="fa-IR"/>
        </w:rPr>
        <w:t>8113 / 6. عِدَّةٌ مِنْ أَصْحَابِنَا ، عَنْ أَحْمَدَ بْنِ مُحَمَّدٍ ، عَنْ مُحَمَّدِ بْنِ إِسْمَاعِيلَ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وكانت ».</w:t>
      </w:r>
    </w:p>
    <w:p w:rsidR="00744A1C" w:rsidRDefault="00E378DD" w:rsidP="00E378DD">
      <w:pPr>
        <w:pStyle w:val="libFootnote0"/>
        <w:rPr>
          <w:lang w:bidi="fa-IR"/>
        </w:rPr>
      </w:pPr>
      <w:r>
        <w:rPr>
          <w:rtl/>
          <w:lang w:bidi="fa-IR"/>
        </w:rPr>
        <w:t>(2).</w:t>
      </w:r>
      <w:r w:rsidR="00744A1C">
        <w:rPr>
          <w:rtl/>
          <w:lang w:bidi="fa-IR"/>
        </w:rPr>
        <w:t xml:space="preserve"> البَلاطُ والبَلاطَةُ - في اللغة - : الحجارة المفروشة في الدار أو غيرها ، والمراد منه هنا موضع بالمدينة بين المسجد والسوق ، وبينه الآن محجّر من خشب ، يزار فيه النبيّ </w:t>
      </w:r>
      <w:r w:rsidR="0061079A" w:rsidRPr="0061079A">
        <w:rPr>
          <w:rStyle w:val="libFootnoteAlaemChar"/>
          <w:rtl/>
        </w:rPr>
        <w:t>صلى‌الله‌عليه‌وآله</w:t>
      </w:r>
      <w:r w:rsidR="00744A1C">
        <w:rPr>
          <w:rtl/>
          <w:lang w:bidi="fa-IR"/>
        </w:rPr>
        <w:t xml:space="preserve"> . راجع : </w:t>
      </w:r>
      <w:r w:rsidR="00744A1C" w:rsidRPr="00E978C3">
        <w:rPr>
          <w:rStyle w:val="libFootnoteBoldChar"/>
          <w:rtl/>
        </w:rPr>
        <w:t>الصحاح</w:t>
      </w:r>
      <w:r w:rsidR="00744A1C">
        <w:rPr>
          <w:rtl/>
          <w:lang w:bidi="fa-IR"/>
        </w:rPr>
        <w:t xml:space="preserve"> ، ج 3 ، ص 1117 ؛ </w:t>
      </w:r>
      <w:r w:rsidR="00744A1C" w:rsidRPr="00877682">
        <w:rPr>
          <w:rStyle w:val="libFootnoteBoldChar"/>
          <w:rtl/>
        </w:rPr>
        <w:t>لسان العرب</w:t>
      </w:r>
      <w:r w:rsidR="00744A1C">
        <w:rPr>
          <w:rtl/>
          <w:lang w:bidi="fa-IR"/>
        </w:rPr>
        <w:t xml:space="preserve"> ، ج 7 ، ص 264 ( بلط ) ؛ </w:t>
      </w:r>
      <w:r w:rsidR="00744A1C" w:rsidRPr="00C24F9C">
        <w:rPr>
          <w:rStyle w:val="libFootnoteBoldChar"/>
          <w:rtl/>
        </w:rPr>
        <w:t>الوافي</w:t>
      </w:r>
      <w:r w:rsidR="00744A1C">
        <w:rPr>
          <w:rtl/>
          <w:lang w:bidi="fa-IR"/>
        </w:rPr>
        <w:t xml:space="preserve"> ، ج 14 ، ص 1362 ؛ </w:t>
      </w:r>
      <w:r w:rsidR="00744A1C" w:rsidRPr="00877682">
        <w:rPr>
          <w:rStyle w:val="libFootnoteBoldChar"/>
          <w:rtl/>
        </w:rPr>
        <w:t>مرآة العقول</w:t>
      </w:r>
      <w:r w:rsidR="00744A1C">
        <w:rPr>
          <w:rtl/>
          <w:lang w:bidi="fa-IR"/>
        </w:rPr>
        <w:t xml:space="preserve"> ، ج 18 ، ص 266.</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14 ، ص 1361 ، ح 14396 ؛ </w:t>
      </w:r>
      <w:r w:rsidR="00744A1C" w:rsidRPr="00C24F9C">
        <w:rPr>
          <w:rStyle w:val="libFootnoteBoldChar"/>
          <w:rtl/>
        </w:rPr>
        <w:t>الوسائل</w:t>
      </w:r>
      <w:r w:rsidR="00744A1C">
        <w:rPr>
          <w:rtl/>
          <w:lang w:bidi="fa-IR"/>
        </w:rPr>
        <w:t xml:space="preserve"> ، ج 5 ، ص 283 ، ح 6557.</w:t>
      </w:r>
    </w:p>
    <w:p w:rsidR="00744A1C" w:rsidRDefault="00E378DD" w:rsidP="00E378DD">
      <w:pPr>
        <w:pStyle w:val="libFootnote0"/>
        <w:rPr>
          <w:lang w:bidi="fa-IR"/>
        </w:rPr>
      </w:pPr>
      <w:r>
        <w:rPr>
          <w:rtl/>
          <w:lang w:bidi="fa-IR"/>
        </w:rPr>
        <w:t>(4).</w:t>
      </w:r>
      <w:r w:rsidR="00744A1C">
        <w:rPr>
          <w:rtl/>
          <w:lang w:bidi="fa-IR"/>
        </w:rPr>
        <w:t xml:space="preserve"> السند معلّق على سند الحديث الرابع. ويروي عن أحمد بن محمّد ، محمّد بن يحيى.</w:t>
      </w:r>
    </w:p>
    <w:tbl>
      <w:tblPr>
        <w:tblStyle w:val="TableGrid"/>
        <w:bidiVisual/>
        <w:tblW w:w="0" w:type="auto"/>
        <w:tblLook w:val="04A0" w:firstRow="1" w:lastRow="0" w:firstColumn="1" w:lastColumn="0" w:noHBand="0" w:noVBand="1"/>
      </w:tblPr>
      <w:tblGrid>
        <w:gridCol w:w="4006"/>
        <w:gridCol w:w="4006"/>
      </w:tblGrid>
      <w:tr w:rsidR="004C1C76" w:rsidTr="004C1C76">
        <w:tc>
          <w:tcPr>
            <w:tcW w:w="4006" w:type="dxa"/>
          </w:tcPr>
          <w:p w:rsidR="004C1C76" w:rsidRDefault="004C1C76" w:rsidP="00E378DD">
            <w:pPr>
              <w:pStyle w:val="libFootnote0"/>
              <w:rPr>
                <w:rtl/>
                <w:lang w:bidi="fa-IR"/>
              </w:rPr>
            </w:pPr>
            <w:r>
              <w:rPr>
                <w:rtl/>
                <w:lang w:bidi="fa-IR"/>
              </w:rPr>
              <w:t>(5). في حاشية « ى » و</w:t>
            </w:r>
            <w:r w:rsidRPr="0061079A">
              <w:rPr>
                <w:rStyle w:val="libFootnoteBoldChar"/>
                <w:rtl/>
              </w:rPr>
              <w:t>البحار</w:t>
            </w:r>
            <w:r>
              <w:rPr>
                <w:rtl/>
                <w:lang w:bidi="fa-IR"/>
              </w:rPr>
              <w:t xml:space="preserve"> : « ما ».</w:t>
            </w:r>
          </w:p>
        </w:tc>
        <w:tc>
          <w:tcPr>
            <w:tcW w:w="4006" w:type="dxa"/>
          </w:tcPr>
          <w:p w:rsidR="004C1C76" w:rsidRDefault="004C1C76" w:rsidP="00E378DD">
            <w:pPr>
              <w:pStyle w:val="libFootnote0"/>
              <w:rPr>
                <w:rtl/>
                <w:lang w:bidi="fa-IR"/>
              </w:rPr>
            </w:pPr>
            <w:r>
              <w:rPr>
                <w:rtl/>
                <w:lang w:bidi="fa-IR"/>
              </w:rPr>
              <w:t>(6). في « بث » : - « له ».</w:t>
            </w:r>
          </w:p>
        </w:tc>
      </w:tr>
      <w:tr w:rsidR="004C1C76" w:rsidTr="004C1C76">
        <w:tc>
          <w:tcPr>
            <w:tcW w:w="4006" w:type="dxa"/>
          </w:tcPr>
          <w:p w:rsidR="004C1C76" w:rsidRDefault="004C1C76" w:rsidP="00E378DD">
            <w:pPr>
              <w:pStyle w:val="libFootnote0"/>
              <w:rPr>
                <w:rtl/>
                <w:lang w:bidi="fa-IR"/>
              </w:rPr>
            </w:pPr>
            <w:r>
              <w:rPr>
                <w:rtl/>
                <w:lang w:bidi="fa-IR"/>
              </w:rPr>
              <w:t>(7). في « بح » و</w:t>
            </w:r>
            <w:r w:rsidRPr="00C24F9C">
              <w:rPr>
                <w:rStyle w:val="libFootnoteBoldChar"/>
                <w:rtl/>
              </w:rPr>
              <w:t>الوافي</w:t>
            </w:r>
            <w:r>
              <w:rPr>
                <w:rtl/>
                <w:lang w:bidi="fa-IR"/>
              </w:rPr>
              <w:t xml:space="preserve"> : « تعدّ ».</w:t>
            </w:r>
          </w:p>
        </w:tc>
        <w:tc>
          <w:tcPr>
            <w:tcW w:w="4006" w:type="dxa"/>
          </w:tcPr>
          <w:p w:rsidR="004C1C76" w:rsidRDefault="004C1C76" w:rsidP="00E378DD">
            <w:pPr>
              <w:pStyle w:val="libFootnote0"/>
              <w:rPr>
                <w:rtl/>
                <w:lang w:bidi="fa-IR"/>
              </w:rPr>
            </w:pPr>
            <w:r>
              <w:rPr>
                <w:rtl/>
                <w:lang w:bidi="fa-IR"/>
              </w:rPr>
              <w:t>(8). في « ى ، بث ، بخ » : « الطلال ».</w:t>
            </w:r>
          </w:p>
        </w:tc>
      </w:tr>
      <w:tr w:rsidR="004C1C76" w:rsidTr="004C1C76">
        <w:tc>
          <w:tcPr>
            <w:tcW w:w="4006" w:type="dxa"/>
          </w:tcPr>
          <w:p w:rsidR="004C1C76" w:rsidRDefault="004C1C76" w:rsidP="00E378DD">
            <w:pPr>
              <w:pStyle w:val="libFootnote0"/>
              <w:rPr>
                <w:rtl/>
                <w:lang w:bidi="fa-IR"/>
              </w:rPr>
            </w:pPr>
            <w:r>
              <w:rPr>
                <w:rtl/>
                <w:lang w:bidi="fa-IR"/>
              </w:rPr>
              <w:t>(9). في « جد » : « في ».</w:t>
            </w:r>
          </w:p>
        </w:tc>
        <w:tc>
          <w:tcPr>
            <w:tcW w:w="4006" w:type="dxa"/>
          </w:tcPr>
          <w:p w:rsidR="004C1C76" w:rsidRDefault="004C1C76" w:rsidP="00E378DD">
            <w:pPr>
              <w:pStyle w:val="libFootnote0"/>
              <w:rPr>
                <w:rtl/>
                <w:lang w:bidi="fa-IR"/>
              </w:rPr>
            </w:pPr>
            <w:r>
              <w:rPr>
                <w:rtl/>
                <w:lang w:bidi="fa-IR"/>
              </w:rPr>
              <w:t>(10). في « جد » : « منها ».</w:t>
            </w:r>
          </w:p>
        </w:tc>
      </w:tr>
    </w:tbl>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الوافي</w:t>
      </w:r>
      <w:r w:rsidR="00744A1C">
        <w:rPr>
          <w:rtl/>
          <w:lang w:bidi="fa-IR"/>
        </w:rPr>
        <w:t xml:space="preserve"> ، ج 14 ، ص 1359 ، ح 14392 ؛ </w:t>
      </w:r>
      <w:r w:rsidR="00744A1C" w:rsidRPr="00C24F9C">
        <w:rPr>
          <w:rStyle w:val="libFootnoteBoldChar"/>
          <w:rtl/>
        </w:rPr>
        <w:t>الوسائل</w:t>
      </w:r>
      <w:r w:rsidR="00744A1C">
        <w:rPr>
          <w:rtl/>
          <w:lang w:bidi="fa-IR"/>
        </w:rPr>
        <w:t xml:space="preserve"> ، ج 14 ، ص 345 ، ح 19360 ؛ </w:t>
      </w:r>
      <w:r w:rsidR="00744A1C" w:rsidRPr="0061079A">
        <w:rPr>
          <w:rStyle w:val="libFootnoteBoldChar"/>
          <w:rtl/>
        </w:rPr>
        <w:t>البحار</w:t>
      </w:r>
      <w:r w:rsidR="00744A1C">
        <w:rPr>
          <w:rtl/>
          <w:lang w:bidi="fa-IR"/>
        </w:rPr>
        <w:t xml:space="preserve"> ، ج 100 ، ص 146 ، ح 2.</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عَلِيِّ بْنِ النُّعْمَانِ ، عَنْ عَبْدِ اللهِ بْنِ مُسْكَانَ ، عَنْ أَبِي بَصِيرٍ :</w:t>
      </w:r>
    </w:p>
    <w:p w:rsidR="00144FA6" w:rsidRDefault="00744A1C" w:rsidP="00C02B34">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حَدُّ الرَّوْضَةِ فِي مَسْجِدِ الرَّسُولِ </w:t>
      </w:r>
      <w:r w:rsidR="005E465D" w:rsidRPr="005E465D">
        <w:rPr>
          <w:rStyle w:val="libAlaemChar"/>
          <w:rFonts w:eastAsiaTheme="minorHAnsi"/>
          <w:rtl/>
        </w:rPr>
        <w:t>صلى‌الله‌عليه‌وآله</w:t>
      </w:r>
      <w:r w:rsidR="00C02B34" w:rsidRPr="000D0FE3">
        <w:rPr>
          <w:rFonts w:eastAsiaTheme="minorHAnsi"/>
          <w:rtl/>
        </w:rPr>
        <w:t xml:space="preserve"> </w:t>
      </w:r>
      <w:r>
        <w:rPr>
          <w:rtl/>
          <w:lang w:bidi="fa-IR"/>
        </w:rPr>
        <w:t xml:space="preserve">إِلى طَرَفِ الظِّلَالِ </w:t>
      </w:r>
      <w:r w:rsidRPr="00D10E3C">
        <w:rPr>
          <w:rStyle w:val="libFootnotenumChar"/>
          <w:rtl/>
        </w:rPr>
        <w:t>(1)</w:t>
      </w:r>
      <w:r>
        <w:rPr>
          <w:rtl/>
          <w:lang w:bidi="fa-IR"/>
        </w:rPr>
        <w:t xml:space="preserve"> ، وَحَدُّ الْمَسْجِدِ إِلَى </w:t>
      </w:r>
      <w:r w:rsidRPr="00D10E3C">
        <w:rPr>
          <w:rStyle w:val="libFootnotenumChar"/>
          <w:rtl/>
        </w:rPr>
        <w:t>(2)</w:t>
      </w:r>
      <w:r>
        <w:rPr>
          <w:rtl/>
          <w:lang w:bidi="fa-IR"/>
        </w:rPr>
        <w:t xml:space="preserve"> الْأُسْطُوَانَتَيْنِ عَنْ يَمِينِ الْمِنْبَرِ إِلَى الطَّرِيقِ </w:t>
      </w:r>
      <w:r w:rsidRPr="00D10E3C">
        <w:rPr>
          <w:rStyle w:val="libFootnotenumChar"/>
          <w:rtl/>
        </w:rPr>
        <w:t>(3)</w:t>
      </w:r>
      <w:r>
        <w:rPr>
          <w:rtl/>
          <w:lang w:bidi="fa-IR"/>
        </w:rPr>
        <w:t xml:space="preserve"> مِمَّا يَلِي سُوقَ اللَّيْلِ ». </w:t>
      </w:r>
      <w:r w:rsidRPr="00D10E3C">
        <w:rPr>
          <w:rStyle w:val="libFootnotenumChar"/>
          <w:rtl/>
        </w:rPr>
        <w:t>(4)</w:t>
      </w:r>
    </w:p>
    <w:p w:rsidR="00144FA6" w:rsidRDefault="00744A1C" w:rsidP="00744A1C">
      <w:pPr>
        <w:pStyle w:val="libNormal"/>
        <w:rPr>
          <w:rtl/>
          <w:lang w:bidi="fa-IR"/>
        </w:rPr>
      </w:pPr>
      <w:r>
        <w:rPr>
          <w:rtl/>
          <w:lang w:bidi="fa-IR"/>
        </w:rPr>
        <w:t xml:space="preserve">8114 / 7. مُحَمَّدُ بْنُ يَحْيى ، عَنْ أَحْمَدَ بْنِ مُحَمَّدٍ </w:t>
      </w:r>
      <w:r w:rsidRPr="00D10E3C">
        <w:rPr>
          <w:rStyle w:val="libFootnotenumChar"/>
          <w:rtl/>
        </w:rPr>
        <w:t>(5)</w:t>
      </w:r>
      <w:r>
        <w:rPr>
          <w:rtl/>
          <w:lang w:bidi="fa-IR"/>
        </w:rPr>
        <w:t xml:space="preserve"> ، عَنْ عَلِيِّ بْنِ إِسْمَاعِيلَ ، عَنْ مُحَمَّدِ بْنِ عَمْرِو بْنِ سَعِيدٍ ، عَنْ مُوسَى بْنِ بَكْرٍ </w:t>
      </w:r>
      <w:r w:rsidRPr="00D10E3C">
        <w:rPr>
          <w:rStyle w:val="libFootnotenumChar"/>
          <w:rtl/>
        </w:rPr>
        <w:t>(6)</w:t>
      </w:r>
      <w:r>
        <w:rPr>
          <w:rtl/>
          <w:lang w:bidi="fa-IR"/>
        </w:rPr>
        <w:t xml:space="preserve"> ، عَنْ عَبْدِ الْأَعْلى مَوْلى آلِ سَامٍ ، قَالَ :</w:t>
      </w:r>
    </w:p>
    <w:p w:rsidR="00744A1C" w:rsidRDefault="00744A1C" w:rsidP="00C02B34">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كَمْ كَانَ مَسْجِدُ رَسُولِ اللهِ </w:t>
      </w:r>
      <w:r w:rsidR="005E465D" w:rsidRPr="005E465D">
        <w:rPr>
          <w:rStyle w:val="libAlaemChar"/>
          <w:rFonts w:eastAsiaTheme="minorHAnsi"/>
          <w:rtl/>
        </w:rPr>
        <w:t>صلى‌الله‌عليه‌وآله</w:t>
      </w:r>
      <w:r w:rsidR="00C02B34" w:rsidRPr="000D0FE3">
        <w:rPr>
          <w:rFonts w:eastAsiaTheme="minorHAnsi"/>
          <w:rtl/>
        </w:rPr>
        <w:t xml:space="preserve"> </w:t>
      </w:r>
      <w:r>
        <w:rPr>
          <w:rtl/>
          <w:lang w:bidi="fa-IR"/>
        </w:rPr>
        <w:t>؟</w:t>
      </w:r>
    </w:p>
    <w:p w:rsidR="00144FA6" w:rsidRDefault="00744A1C" w:rsidP="00744A1C">
      <w:pPr>
        <w:pStyle w:val="libNormal"/>
        <w:rPr>
          <w:rtl/>
          <w:lang w:bidi="fa-IR"/>
        </w:rPr>
      </w:pPr>
      <w:r>
        <w:rPr>
          <w:rtl/>
          <w:lang w:bidi="fa-IR"/>
        </w:rPr>
        <w:t xml:space="preserve">قَالَ : « كَانَ ثَلَاثَةَ آلَافٍ وَسِتَّمِائَةِ ذِرَاعٍ مُكَسَّراً </w:t>
      </w:r>
      <w:r w:rsidRPr="00D10E3C">
        <w:rPr>
          <w:rStyle w:val="libFootnotenumChar"/>
          <w:rtl/>
        </w:rPr>
        <w:t>(7)</w:t>
      </w:r>
      <w:r>
        <w:rPr>
          <w:rtl/>
          <w:lang w:bidi="fa-IR"/>
        </w:rPr>
        <w:t xml:space="preserve"> ». </w:t>
      </w:r>
      <w:r w:rsidRPr="00D10E3C">
        <w:rPr>
          <w:rStyle w:val="libFootnotenumChar"/>
          <w:rtl/>
        </w:rPr>
        <w:t>(8)</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1B12B8" w:rsidTr="001B12B8">
        <w:tc>
          <w:tcPr>
            <w:tcW w:w="4006" w:type="dxa"/>
          </w:tcPr>
          <w:p w:rsidR="001B12B8" w:rsidRDefault="001B12B8" w:rsidP="00D10E3C">
            <w:pPr>
              <w:pStyle w:val="libFootnote0"/>
              <w:rPr>
                <w:rtl/>
                <w:lang w:bidi="fa-IR"/>
              </w:rPr>
            </w:pPr>
            <w:r>
              <w:rPr>
                <w:rtl/>
                <w:lang w:bidi="fa-IR"/>
              </w:rPr>
              <w:t>(1). في « ى » : « الطلال ».</w:t>
            </w:r>
          </w:p>
        </w:tc>
        <w:tc>
          <w:tcPr>
            <w:tcW w:w="4006" w:type="dxa"/>
          </w:tcPr>
          <w:p w:rsidR="001B12B8" w:rsidRDefault="001B12B8" w:rsidP="00D10E3C">
            <w:pPr>
              <w:pStyle w:val="libFootnote0"/>
              <w:rPr>
                <w:rtl/>
                <w:lang w:bidi="fa-IR"/>
              </w:rPr>
            </w:pPr>
            <w:r>
              <w:rPr>
                <w:rtl/>
                <w:lang w:bidi="fa-IR"/>
              </w:rPr>
              <w:t>(2). في « بف » : - « إلى ».</w:t>
            </w:r>
          </w:p>
        </w:tc>
      </w:tr>
    </w:tbl>
    <w:p w:rsidR="00744A1C" w:rsidRDefault="00E378DD" w:rsidP="00E378DD">
      <w:pPr>
        <w:pStyle w:val="libFootnote0"/>
        <w:rPr>
          <w:lang w:bidi="fa-IR"/>
        </w:rPr>
      </w:pPr>
      <w:r>
        <w:rPr>
          <w:rtl/>
          <w:lang w:bidi="fa-IR"/>
        </w:rPr>
        <w:t>(3).</w:t>
      </w:r>
      <w:r w:rsidR="00744A1C">
        <w:rPr>
          <w:rtl/>
          <w:lang w:bidi="fa-IR"/>
        </w:rPr>
        <w:t xml:space="preserve"> عن المحقّق الشعراني </w:t>
      </w:r>
      <w:r w:rsidR="00877682" w:rsidRPr="00877682">
        <w:rPr>
          <w:rStyle w:val="libFootnoteAlaemChar"/>
          <w:rtl/>
        </w:rPr>
        <w:t>رحمه‌الله</w:t>
      </w:r>
      <w:r w:rsidR="00A07A65">
        <w:rPr>
          <w:rStyle w:val="libFootnoteAlaemChar"/>
          <w:rFonts w:hint="cs"/>
          <w:rtl/>
        </w:rPr>
        <w:t xml:space="preserve"> </w:t>
      </w:r>
      <w:r w:rsidR="00744A1C">
        <w:rPr>
          <w:rtl/>
          <w:lang w:bidi="fa-IR"/>
        </w:rPr>
        <w:t xml:space="preserve">في هامش </w:t>
      </w:r>
      <w:r w:rsidR="00744A1C" w:rsidRPr="00C24F9C">
        <w:rPr>
          <w:rStyle w:val="libFootnoteBoldChar"/>
          <w:rtl/>
        </w:rPr>
        <w:t>الوافي</w:t>
      </w:r>
      <w:r w:rsidR="00744A1C">
        <w:rPr>
          <w:rtl/>
          <w:lang w:bidi="fa-IR"/>
        </w:rPr>
        <w:t xml:space="preserve"> : « هذا حدّ المسجد على ما كان على عهد رسول الله </w:t>
      </w:r>
      <w:r w:rsidR="00F90866" w:rsidRPr="00F90866">
        <w:rPr>
          <w:rStyle w:val="libFootnoteAlaemChar"/>
          <w:rtl/>
        </w:rPr>
        <w:t>صلى‌الله‌عليه‌وآله</w:t>
      </w:r>
      <w:r w:rsidR="00744A1C">
        <w:rPr>
          <w:rtl/>
          <w:lang w:bidi="fa-IR"/>
        </w:rPr>
        <w:t xml:space="preserve"> قبل أن يزاد فيه ، ومعنى الكلام أنّ المستقبل القبلة بعد ا</w:t>
      </w:r>
      <w:r w:rsidR="00A07A65">
        <w:rPr>
          <w:rFonts w:hint="cs"/>
          <w:rtl/>
          <w:lang w:bidi="fa-IR"/>
        </w:rPr>
        <w:t>ُ</w:t>
      </w:r>
      <w:r w:rsidR="00744A1C">
        <w:rPr>
          <w:rtl/>
          <w:lang w:bidi="fa-IR"/>
        </w:rPr>
        <w:t>سطوانتين عن يمين المنبر إلى المغرب ، وهو حدّ المسجد الأوّل ، وما سوى ذلك أعني بعد الا</w:t>
      </w:r>
      <w:r w:rsidR="00A07A65">
        <w:rPr>
          <w:rFonts w:hint="cs"/>
          <w:rtl/>
          <w:lang w:bidi="fa-IR"/>
        </w:rPr>
        <w:t>ُ</w:t>
      </w:r>
      <w:r w:rsidR="00744A1C">
        <w:rPr>
          <w:rtl/>
          <w:lang w:bidi="fa-IR"/>
        </w:rPr>
        <w:t>سطوانتين إلى آخر الحدّ الغربي من المسجد الموجود الآن ، فهو ممّا زيد فيه ؛ فقوله : إلى الطريق ، أي على جهة الطريق ، وهي جهة الغرب ، وليس المقصود أنّ الطريق الآن حدّ المسجد القديم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8 ، ح 14 ، معلّقاً عن الكليني. وفيه ، ص 14 ، ح 27 ، بسنده عن ابن مسكان ، عن أبي بصير </w:t>
      </w:r>
      <w:r w:rsidR="00A07A65">
        <w:rPr>
          <w:rFonts w:hint="cs"/>
          <w:rtl/>
          <w:lang w:bidi="fa-IR"/>
        </w:rPr>
        <w:t>.</w:t>
      </w:r>
      <w:r w:rsidR="00744A1C" w:rsidRPr="00C24F9C">
        <w:rPr>
          <w:rStyle w:val="libFootnoteBoldChar"/>
          <w:rtl/>
        </w:rPr>
        <w:t>الوافي</w:t>
      </w:r>
      <w:r w:rsidR="00744A1C">
        <w:rPr>
          <w:rtl/>
          <w:lang w:bidi="fa-IR"/>
        </w:rPr>
        <w:t xml:space="preserve"> ، ج 14 ، ص 1359 ، ح 14393 ؛ </w:t>
      </w:r>
      <w:r w:rsidR="00744A1C" w:rsidRPr="00C24F9C">
        <w:rPr>
          <w:rStyle w:val="libFootnoteBoldChar"/>
          <w:rtl/>
        </w:rPr>
        <w:t>الوسائل</w:t>
      </w:r>
      <w:r w:rsidR="00744A1C">
        <w:rPr>
          <w:rtl/>
          <w:lang w:bidi="fa-IR"/>
        </w:rPr>
        <w:t xml:space="preserve"> ، ج 5 ، ص 284 ، ح 6559 ؛ </w:t>
      </w:r>
      <w:r w:rsidR="00744A1C" w:rsidRPr="0061079A">
        <w:rPr>
          <w:rStyle w:val="libFootnoteBoldChar"/>
          <w:rtl/>
        </w:rPr>
        <w:t>البحار</w:t>
      </w:r>
      <w:r w:rsidR="00744A1C">
        <w:rPr>
          <w:rtl/>
          <w:lang w:bidi="fa-IR"/>
        </w:rPr>
        <w:t xml:space="preserve"> ، ج 100 ، ص 146 ، ح 3.</w:t>
      </w:r>
    </w:p>
    <w:p w:rsidR="00744A1C" w:rsidRDefault="00E378DD" w:rsidP="00E378DD">
      <w:pPr>
        <w:pStyle w:val="libFootnote0"/>
        <w:rPr>
          <w:lang w:bidi="fa-IR"/>
        </w:rPr>
      </w:pPr>
      <w:r>
        <w:rPr>
          <w:rtl/>
          <w:lang w:bidi="fa-IR"/>
        </w:rPr>
        <w:t>(5).</w:t>
      </w:r>
      <w:r w:rsidR="00744A1C">
        <w:rPr>
          <w:rtl/>
          <w:lang w:bidi="fa-IR"/>
        </w:rPr>
        <w:t xml:space="preserve"> الظاهر وقوع التحريف في العنوان. والصواب محمّد بن أحمد ، وتقدّم تفصيل الكلام في </w:t>
      </w:r>
      <w:r w:rsidR="00744A1C" w:rsidRPr="0061079A">
        <w:rPr>
          <w:rStyle w:val="libFootnoteBoldChar"/>
          <w:rtl/>
        </w:rPr>
        <w:t>الكافي</w:t>
      </w:r>
      <w:r w:rsidR="00744A1C">
        <w:rPr>
          <w:rtl/>
          <w:lang w:bidi="fa-IR"/>
        </w:rPr>
        <w:t xml:space="preserve"> ، ذيل‌ح 4905 ، فلاحظ.</w:t>
      </w:r>
    </w:p>
    <w:p w:rsidR="00744A1C" w:rsidRDefault="00E378DD" w:rsidP="00E378DD">
      <w:pPr>
        <w:pStyle w:val="libFootnote0"/>
        <w:rPr>
          <w:lang w:bidi="fa-IR"/>
        </w:rPr>
      </w:pPr>
      <w:r>
        <w:rPr>
          <w:rtl/>
          <w:lang w:bidi="fa-IR"/>
        </w:rPr>
        <w:t>(6).</w:t>
      </w:r>
      <w:r w:rsidR="00744A1C">
        <w:rPr>
          <w:rtl/>
          <w:lang w:bidi="fa-IR"/>
        </w:rPr>
        <w:t xml:space="preserve"> في </w:t>
      </w:r>
      <w:r w:rsidR="00744A1C" w:rsidRPr="0061079A">
        <w:rPr>
          <w:rStyle w:val="libFootnoteBoldChar"/>
          <w:rtl/>
        </w:rPr>
        <w:t>الكافي</w:t>
      </w:r>
      <w:r w:rsidR="00744A1C">
        <w:rPr>
          <w:rtl/>
          <w:lang w:bidi="fa-IR"/>
        </w:rPr>
        <w:t xml:space="preserve"> ، ح 4905 </w:t>
      </w:r>
      <w:r w:rsidR="00744A1C" w:rsidRPr="0061079A">
        <w:rPr>
          <w:rStyle w:val="libFootnoteBoldChar"/>
          <w:rtl/>
        </w:rPr>
        <w:t>والتهذيب</w:t>
      </w:r>
      <w:r w:rsidR="00744A1C">
        <w:rPr>
          <w:rtl/>
          <w:lang w:bidi="fa-IR"/>
        </w:rPr>
        <w:t xml:space="preserve"> : « قال : حدّثني موسى بن أكيل » بدل « عن موسى بن بكر ».</w:t>
      </w:r>
    </w:p>
    <w:p w:rsidR="00744A1C" w:rsidRDefault="00E378DD" w:rsidP="00E378DD">
      <w:pPr>
        <w:pStyle w:val="libFootnote0"/>
        <w:rPr>
          <w:lang w:bidi="fa-IR"/>
        </w:rPr>
      </w:pPr>
      <w:r>
        <w:rPr>
          <w:rtl/>
          <w:lang w:bidi="fa-IR"/>
        </w:rPr>
        <w:t>(7).</w:t>
      </w:r>
      <w:r w:rsidR="00744A1C">
        <w:rPr>
          <w:rtl/>
          <w:lang w:bidi="fa-IR"/>
        </w:rPr>
        <w:t xml:space="preserve"> في « بس ، جد » و</w:t>
      </w:r>
      <w:r w:rsidR="00744A1C" w:rsidRPr="00C24F9C">
        <w:rPr>
          <w:rStyle w:val="libFootnoteBoldChar"/>
          <w:rtl/>
        </w:rPr>
        <w:t>الفقيه</w:t>
      </w:r>
      <w:r w:rsidR="00744A1C">
        <w:rPr>
          <w:rtl/>
          <w:lang w:bidi="fa-IR"/>
        </w:rPr>
        <w:t xml:space="preserve"> : « مكسّرة ». وفي « بخ ، بف » : « مكسّر ». ولم ترد هذه الرواية في « ى ». وفي </w:t>
      </w:r>
      <w:r w:rsidR="00744A1C" w:rsidRPr="0061079A">
        <w:rPr>
          <w:rStyle w:val="libFootnoteBoldChar"/>
          <w:rtl/>
        </w:rPr>
        <w:t>الكافي</w:t>
      </w:r>
      <w:r w:rsidR="00744A1C">
        <w:rPr>
          <w:rtl/>
          <w:lang w:bidi="fa-IR"/>
        </w:rPr>
        <w:t xml:space="preserve"> ، ح 4905 : « تكسيراً ».</w:t>
      </w:r>
    </w:p>
    <w:p w:rsidR="00744A1C" w:rsidRDefault="00744A1C" w:rsidP="00D10E3C">
      <w:pPr>
        <w:pStyle w:val="libFootnote0"/>
        <w:rPr>
          <w:lang w:bidi="fa-IR"/>
        </w:rPr>
      </w:pPr>
      <w:r>
        <w:rPr>
          <w:rtl/>
          <w:lang w:bidi="fa-IR"/>
        </w:rPr>
        <w:t>وفي المغرب ، ص 174 ( ذرع ) : « الذراع المكسّرة : ستّ قبضات ، وهو ذراع العامّة. وإنّما وصفت بذلك لأنّها نقصت عن ذراع الملك بقبضة ، وهو بعض الأكاسرة الأخير ، وكانت ذراعه سبع قبضات ».</w:t>
      </w:r>
    </w:p>
    <w:p w:rsidR="00744A1C" w:rsidRDefault="00A07A65" w:rsidP="00D10E3C">
      <w:pPr>
        <w:pStyle w:val="libFootnote0"/>
        <w:rPr>
          <w:lang w:bidi="fa-IR"/>
        </w:rPr>
      </w:pPr>
      <w:r>
        <w:rPr>
          <w:rtl/>
          <w:lang w:bidi="fa-IR"/>
        </w:rPr>
        <w:t>وقال العل</w:t>
      </w:r>
      <w:r>
        <w:rPr>
          <w:rFonts w:hint="cs"/>
          <w:rtl/>
          <w:lang w:bidi="fa-IR"/>
        </w:rPr>
        <w:t>ّ</w:t>
      </w:r>
      <w:r>
        <w:rPr>
          <w:rtl/>
          <w:lang w:bidi="fa-IR"/>
        </w:rPr>
        <w:t>ا</w:t>
      </w:r>
      <w:r w:rsidR="00744A1C">
        <w:rPr>
          <w:rtl/>
          <w:lang w:bidi="fa-IR"/>
        </w:rPr>
        <w:t xml:space="preserve">مة المجلسي </w:t>
      </w:r>
      <w:r w:rsidR="00877682" w:rsidRPr="00877682">
        <w:rPr>
          <w:rStyle w:val="libFootnoteAlaemChar"/>
          <w:rtl/>
        </w:rPr>
        <w:t>رحمه‌الله</w:t>
      </w:r>
      <w:r>
        <w:rPr>
          <w:rStyle w:val="libFootnoteAlaemChar"/>
          <w:rFonts w:hint="cs"/>
          <w:rtl/>
        </w:rPr>
        <w:t xml:space="preserve"> </w:t>
      </w:r>
      <w:r w:rsidR="00744A1C">
        <w:rPr>
          <w:rtl/>
          <w:lang w:bidi="fa-IR"/>
        </w:rPr>
        <w:t xml:space="preserve">في </w:t>
      </w:r>
      <w:r w:rsidR="00744A1C" w:rsidRPr="00C24F9C">
        <w:rPr>
          <w:rStyle w:val="libFootnoteBoldChar"/>
          <w:rtl/>
        </w:rPr>
        <w:t>المرآة</w:t>
      </w:r>
      <w:r w:rsidR="00744A1C">
        <w:rPr>
          <w:rtl/>
          <w:lang w:bidi="fa-IR"/>
        </w:rPr>
        <w:t xml:space="preserve"> : « لعلّ المراد بالمكسّر المضروب بعضها في بعض ، أي هذا كان حاصل </w:t>
      </w:r>
      <w:r>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8115 / 8. مُحَمَّدُ بْنُ يَحْيى ، عَنْ أَحْمَدَ بْنِ مُحَمَّدٍ ، عَنْ عَلِيِّ بْنِ الْحَكَمِ ، عَنْ مُعَاوِيَةَ بْنِ وَهْبٍ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هَلْ قَالَ رَسُولُ اللهِ </w:t>
      </w:r>
      <w:r w:rsidR="005E465D" w:rsidRPr="005E465D">
        <w:rPr>
          <w:rStyle w:val="libAlaemChar"/>
          <w:rtl/>
        </w:rPr>
        <w:t>صلى‌الله‌عليه‌وآله</w:t>
      </w:r>
      <w:r w:rsidR="00D10E3C">
        <w:rPr>
          <w:rtl/>
          <w:lang w:bidi="fa-IR"/>
        </w:rPr>
        <w:t xml:space="preserve"> </w:t>
      </w:r>
      <w:r>
        <w:rPr>
          <w:rtl/>
          <w:lang w:bidi="fa-IR"/>
        </w:rPr>
        <w:t xml:space="preserve">: مَا بَيْنَ بَيْتِي وَمِنْبَرِي </w:t>
      </w:r>
      <w:r w:rsidRPr="00D10E3C">
        <w:rPr>
          <w:rStyle w:val="libFootnotenumChar"/>
          <w:rtl/>
        </w:rPr>
        <w:t>(1)</w:t>
      </w:r>
      <w:r>
        <w:rPr>
          <w:rtl/>
          <w:lang w:bidi="fa-IR"/>
        </w:rPr>
        <w:t xml:space="preserve"> رَوْضَةٌ مِنْ رِيَاضِ الْجَنَّةِ؟</w:t>
      </w:r>
    </w:p>
    <w:p w:rsidR="00744A1C" w:rsidRDefault="00744A1C" w:rsidP="00744A1C">
      <w:pPr>
        <w:pStyle w:val="libNormal"/>
        <w:rPr>
          <w:lang w:bidi="fa-IR"/>
        </w:rPr>
      </w:pPr>
      <w:r>
        <w:rPr>
          <w:rtl/>
          <w:lang w:bidi="fa-IR"/>
        </w:rPr>
        <w:t xml:space="preserve">فَقَالَ </w:t>
      </w:r>
      <w:r w:rsidRPr="00D10E3C">
        <w:rPr>
          <w:rStyle w:val="libFootnotenumChar"/>
          <w:rtl/>
        </w:rPr>
        <w:t>(2)</w:t>
      </w:r>
      <w:r>
        <w:rPr>
          <w:rtl/>
          <w:lang w:bidi="fa-IR"/>
        </w:rPr>
        <w:t xml:space="preserve"> : « نَعَمْ » وَقَالَ </w:t>
      </w:r>
      <w:r w:rsidRPr="00D10E3C">
        <w:rPr>
          <w:rStyle w:val="libFootnotenumChar"/>
          <w:rtl/>
        </w:rPr>
        <w:t>(3)</w:t>
      </w:r>
      <w:r>
        <w:rPr>
          <w:rtl/>
          <w:lang w:bidi="fa-IR"/>
        </w:rPr>
        <w:t xml:space="preserve"> : « بَيْتُ </w:t>
      </w:r>
      <w:r w:rsidRPr="00D10E3C">
        <w:rPr>
          <w:rStyle w:val="libFootnotenumChar"/>
          <w:rtl/>
        </w:rPr>
        <w:t>(4)</w:t>
      </w:r>
      <w:r>
        <w:rPr>
          <w:rtl/>
          <w:lang w:bidi="fa-IR"/>
        </w:rPr>
        <w:t xml:space="preserve"> عَلِيٍّ وَفَاطِمَةَ </w:t>
      </w:r>
      <w:r w:rsidRPr="00D10E3C">
        <w:rPr>
          <w:rStyle w:val="libFootnotenumChar"/>
          <w:rtl/>
        </w:rPr>
        <w:t>(5)</w:t>
      </w:r>
      <w:r>
        <w:rPr>
          <w:rtl/>
          <w:lang w:bidi="fa-IR"/>
        </w:rPr>
        <w:t xml:space="preserve"> </w:t>
      </w:r>
      <w:r w:rsidR="008859AA" w:rsidRPr="008859AA">
        <w:rPr>
          <w:rStyle w:val="libAlaemChar"/>
          <w:rtl/>
        </w:rPr>
        <w:t>عليهما‌السلام</w:t>
      </w:r>
      <w:r>
        <w:rPr>
          <w:rtl/>
          <w:lang w:bidi="fa-IR"/>
        </w:rPr>
        <w:t xml:space="preserve">مَا بَيْنَ الْبَيْتِ الَّذِي فِيهِ النَّبِيُّ </w:t>
      </w:r>
      <w:r w:rsidR="0017097C" w:rsidRPr="0017097C">
        <w:rPr>
          <w:rStyle w:val="libAlaemChar"/>
          <w:rtl/>
        </w:rPr>
        <w:t>صلى‌الله‌عليه‌وآله</w:t>
      </w:r>
      <w:r w:rsidR="00D10E3C">
        <w:rPr>
          <w:rtl/>
          <w:lang w:bidi="fa-IR"/>
        </w:rPr>
        <w:t xml:space="preserve"> </w:t>
      </w:r>
      <w:r>
        <w:rPr>
          <w:rtl/>
          <w:lang w:bidi="fa-IR"/>
        </w:rPr>
        <w:t xml:space="preserve">إِلَى الْبَابِ الَّذِي يُحَاذِي الزُّقَاقَ </w:t>
      </w:r>
      <w:r w:rsidRPr="00D10E3C">
        <w:rPr>
          <w:rStyle w:val="libFootnotenumChar"/>
          <w:rtl/>
        </w:rPr>
        <w:t>(6)</w:t>
      </w:r>
      <w:r>
        <w:rPr>
          <w:rtl/>
          <w:lang w:bidi="fa-IR"/>
        </w:rPr>
        <w:t xml:space="preserve"> إِلَى الْبَقِيعِ ».</w:t>
      </w:r>
    </w:p>
    <w:p w:rsidR="00144FA6" w:rsidRDefault="00744A1C" w:rsidP="00744A1C">
      <w:pPr>
        <w:pStyle w:val="libNormal"/>
        <w:rPr>
          <w:rtl/>
          <w:lang w:bidi="fa-IR"/>
        </w:rPr>
      </w:pPr>
      <w:r>
        <w:rPr>
          <w:rtl/>
          <w:lang w:bidi="fa-IR"/>
        </w:rPr>
        <w:t xml:space="preserve">قَالَ : « فَلَوْ دَخَلْتَ مِنْ ذلِكَ الْبَابِ وَالْحَائِطُ مَكَانَهُ ، أَصَابَ مَنْكِبَكَ الْأَيْسَرَ » ثُمَّ سَمّى سَائِرَ الْبُيُوتِ ، وَقَالَ : « قَالَ رَسُولُ اللهِ </w:t>
      </w:r>
      <w:r w:rsidR="0017097C" w:rsidRPr="0017097C">
        <w:rPr>
          <w:rStyle w:val="libAlaemChar"/>
          <w:rtl/>
        </w:rPr>
        <w:t>صلى‌الله‌عليه‌وآله</w:t>
      </w:r>
      <w:r w:rsidR="00D10E3C">
        <w:rPr>
          <w:rtl/>
          <w:lang w:bidi="fa-IR"/>
        </w:rPr>
        <w:t xml:space="preserve"> </w:t>
      </w:r>
      <w:r>
        <w:rPr>
          <w:rtl/>
          <w:lang w:bidi="fa-IR"/>
        </w:rPr>
        <w:t xml:space="preserve"> : الصَّلَاةُ فِي مَسْجِدِي تَعْدِلُ أَ</w:t>
      </w:r>
      <w:r w:rsidR="001376DB">
        <w:rPr>
          <w:rtl/>
          <w:lang w:bidi="fa-IR"/>
        </w:rPr>
        <w:t>لْفَ صَلَاةٍ فِي غَيْرِهِ إِل</w:t>
      </w:r>
      <w:r w:rsidR="001376DB">
        <w:rPr>
          <w:rFonts w:hint="cs"/>
          <w:rtl/>
          <w:lang w:bidi="fa-IR"/>
        </w:rPr>
        <w:t>َّ</w:t>
      </w:r>
      <w:r w:rsidR="001376DB">
        <w:rPr>
          <w:rtl/>
          <w:lang w:bidi="fa-IR"/>
        </w:rPr>
        <w:t>ا</w:t>
      </w:r>
      <w:r>
        <w:rPr>
          <w:rtl/>
          <w:lang w:bidi="fa-IR"/>
        </w:rPr>
        <w:t xml:space="preserve"> الْمَسْجِدَ الْحَرَامَ ، فَهُوَ أَفْضَلُ </w:t>
      </w:r>
      <w:r w:rsidRPr="00D10E3C">
        <w:rPr>
          <w:rStyle w:val="libFootnotenumChar"/>
          <w:rtl/>
        </w:rPr>
        <w:t>(7)</w:t>
      </w:r>
      <w:r>
        <w:rPr>
          <w:rtl/>
          <w:lang w:bidi="fa-IR"/>
        </w:rPr>
        <w:t xml:space="preserve">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7C2295" w:rsidP="00D10E3C">
      <w:pPr>
        <w:pStyle w:val="libFootnote0"/>
        <w:rPr>
          <w:lang w:bidi="fa-IR"/>
        </w:rPr>
      </w:pPr>
      <w:r>
        <w:rPr>
          <w:rFonts w:hint="cs"/>
          <w:rtl/>
          <w:lang w:bidi="fa-IR"/>
        </w:rPr>
        <w:t xml:space="preserve">= </w:t>
      </w:r>
      <w:r w:rsidR="00744A1C">
        <w:rPr>
          <w:rtl/>
          <w:lang w:bidi="fa-IR"/>
        </w:rPr>
        <w:t>ضرب الطول في العرض ، ويحتمل أن يكون المراد تعيين الذراع ».</w:t>
      </w:r>
    </w:p>
    <w:p w:rsidR="00744A1C" w:rsidRDefault="00744A1C" w:rsidP="000D0FE3">
      <w:pPr>
        <w:pStyle w:val="libFootnote0"/>
        <w:rPr>
          <w:lang w:bidi="fa-IR"/>
        </w:rPr>
      </w:pPr>
      <w:r>
        <w:rPr>
          <w:rtl/>
          <w:lang w:bidi="fa-IR"/>
        </w:rPr>
        <w:t xml:space="preserve">وفي هامش </w:t>
      </w:r>
      <w:r w:rsidRPr="00C24F9C">
        <w:rPr>
          <w:rStyle w:val="libFootnoteBoldChar"/>
          <w:rtl/>
        </w:rPr>
        <w:t>الوافي</w:t>
      </w:r>
      <w:r>
        <w:rPr>
          <w:rtl/>
          <w:lang w:bidi="fa-IR"/>
        </w:rPr>
        <w:t xml:space="preserve"> عن المحقّق الشعراني </w:t>
      </w:r>
      <w:r w:rsidR="00877682" w:rsidRPr="00877682">
        <w:rPr>
          <w:rStyle w:val="libFootnoteAlaemChar"/>
          <w:rtl/>
        </w:rPr>
        <w:t>رحمه‌الله</w:t>
      </w:r>
      <w:r>
        <w:rPr>
          <w:rtl/>
          <w:lang w:bidi="fa-IR"/>
        </w:rPr>
        <w:t xml:space="preserve">: « هذا العدد يجتمع من ضرب ستّين ذراعاً في ستّين. قال السلطان : يحتمل أنّ المراد بالمسجد هنا مسجد الخَيف ؛ فإنّ هذه الساحة والمقدار يوافق ما سيجي‌ء من تحديده ، انتهى كلام السلطان. وهذا غير بعيد دعاه إلى ذلك كون المسجد الآن أعظم من هذا المقدار بكثير ، والحقّ أنّ هذا حدّ المسجد الذي بناه رسول الله </w:t>
      </w:r>
      <w:r w:rsidR="005E465D" w:rsidRPr="00EE7E5B">
        <w:rPr>
          <w:rStyle w:val="libFootnoteAlaemChar"/>
          <w:rFonts w:eastAsiaTheme="minorHAnsi"/>
          <w:rtl/>
        </w:rPr>
        <w:t>صلى‌الله‌عليه‌وآله</w:t>
      </w:r>
      <w:r w:rsidR="000D0FE3" w:rsidRPr="000D0FE3">
        <w:rPr>
          <w:rFonts w:eastAsiaTheme="minorHAnsi"/>
          <w:rtl/>
        </w:rPr>
        <w:t xml:space="preserve"> </w:t>
      </w:r>
      <w:r>
        <w:rPr>
          <w:rtl/>
          <w:lang w:bidi="fa-IR"/>
        </w:rPr>
        <w:t>أوّل مقدمه إلى المدينة ، ثمّ زاد فيه منصرفه من خيبر حتّى صار مائة في مائة ».</w:t>
      </w:r>
    </w:p>
    <w:p w:rsidR="00744A1C" w:rsidRDefault="00E378DD" w:rsidP="00E378DD">
      <w:pPr>
        <w:pStyle w:val="libFootnote0"/>
        <w:rPr>
          <w:lang w:bidi="fa-IR"/>
        </w:rPr>
      </w:pPr>
      <w:r>
        <w:rPr>
          <w:rtl/>
          <w:lang w:bidi="fa-IR"/>
        </w:rPr>
        <w:t>(8).</w:t>
      </w:r>
      <w:r w:rsidR="00744A1C">
        <w:rPr>
          <w:rtl/>
          <w:lang w:bidi="fa-IR"/>
        </w:rPr>
        <w:t xml:space="preserve"> </w:t>
      </w:r>
      <w:r w:rsidR="00744A1C" w:rsidRPr="0061079A">
        <w:rPr>
          <w:rStyle w:val="libFootnoteBoldChar"/>
          <w:rtl/>
        </w:rPr>
        <w:t>الكافي</w:t>
      </w:r>
      <w:r w:rsidR="00744A1C">
        <w:rPr>
          <w:rtl/>
          <w:lang w:bidi="fa-IR"/>
        </w:rPr>
        <w:t xml:space="preserve"> ، كتاب الصلاة ، باب بناء مسجد النبيّ </w:t>
      </w:r>
      <w:r w:rsidR="00F90866" w:rsidRPr="00F90866">
        <w:rPr>
          <w:rStyle w:val="libFootnoteAlaemChar"/>
          <w:rtl/>
        </w:rPr>
        <w:t>صلى‌الله‌عليه‌وآله</w:t>
      </w:r>
      <w:r w:rsidR="00744A1C">
        <w:rPr>
          <w:rtl/>
          <w:lang w:bidi="fa-IR"/>
        </w:rPr>
        <w:t xml:space="preserve">، ح 4905. وفي </w:t>
      </w:r>
      <w:r w:rsidR="00744A1C" w:rsidRPr="00C24F9C">
        <w:rPr>
          <w:rStyle w:val="libFootnoteBoldChar"/>
          <w:rtl/>
        </w:rPr>
        <w:t>التهذيب</w:t>
      </w:r>
      <w:r w:rsidR="00744A1C">
        <w:rPr>
          <w:rtl/>
          <w:lang w:bidi="fa-IR"/>
        </w:rPr>
        <w:t xml:space="preserve"> ، ج 3 ، ص 261 ، ح 737 ، بسنده عن عليّ بن إسماعيل. </w:t>
      </w:r>
      <w:r w:rsidR="00744A1C" w:rsidRPr="00C24F9C">
        <w:rPr>
          <w:rStyle w:val="libFootnoteBoldChar"/>
          <w:rtl/>
        </w:rPr>
        <w:t>الفقيه</w:t>
      </w:r>
      <w:r w:rsidR="00744A1C">
        <w:rPr>
          <w:rtl/>
          <w:lang w:bidi="fa-IR"/>
        </w:rPr>
        <w:t xml:space="preserve"> ، ج 1 ، ص 229 ، ح 68 ، معلّقاً عن عبدالأعلى مولى آل سام </w:t>
      </w:r>
      <w:r w:rsidR="000D0FE3">
        <w:rPr>
          <w:rFonts w:hint="cs"/>
          <w:rtl/>
          <w:lang w:bidi="fa-IR"/>
        </w:rPr>
        <w:t>.</w:t>
      </w:r>
      <w:r w:rsidR="00744A1C" w:rsidRPr="00C24F9C">
        <w:rPr>
          <w:rStyle w:val="libFootnoteBoldChar"/>
          <w:rtl/>
        </w:rPr>
        <w:t>الوافي</w:t>
      </w:r>
      <w:r w:rsidR="00744A1C">
        <w:rPr>
          <w:rtl/>
          <w:lang w:bidi="fa-IR"/>
        </w:rPr>
        <w:t xml:space="preserve"> ، ج 14 ، ص 1360 ، ح 14394 ؛ </w:t>
      </w:r>
      <w:r w:rsidR="00744A1C" w:rsidRPr="00C24F9C">
        <w:rPr>
          <w:rStyle w:val="libFootnoteBoldChar"/>
          <w:rtl/>
        </w:rPr>
        <w:t>الوسائل</w:t>
      </w:r>
      <w:r w:rsidR="00744A1C">
        <w:rPr>
          <w:rtl/>
          <w:lang w:bidi="fa-IR"/>
        </w:rPr>
        <w:t xml:space="preserve"> ، ج 5 ، ص 283 ، ذيل ح 6558.</w:t>
      </w:r>
    </w:p>
    <w:tbl>
      <w:tblPr>
        <w:tblStyle w:val="TableGrid"/>
        <w:bidiVisual/>
        <w:tblW w:w="0" w:type="auto"/>
        <w:tblLook w:val="04A0" w:firstRow="1" w:lastRow="0" w:firstColumn="1" w:lastColumn="0" w:noHBand="0" w:noVBand="1"/>
      </w:tblPr>
      <w:tblGrid>
        <w:gridCol w:w="4006"/>
        <w:gridCol w:w="4006"/>
      </w:tblGrid>
      <w:tr w:rsidR="000D0FE3" w:rsidTr="000D0FE3">
        <w:tc>
          <w:tcPr>
            <w:tcW w:w="4006" w:type="dxa"/>
          </w:tcPr>
          <w:p w:rsidR="000D0FE3" w:rsidRDefault="000D0FE3" w:rsidP="00D10E3C">
            <w:pPr>
              <w:pStyle w:val="libFootnote0"/>
              <w:rPr>
                <w:rtl/>
                <w:lang w:bidi="fa-IR"/>
              </w:rPr>
            </w:pPr>
            <w:r>
              <w:rPr>
                <w:rtl/>
                <w:lang w:bidi="fa-IR"/>
              </w:rPr>
              <w:t xml:space="preserve">(1). في </w:t>
            </w:r>
            <w:r w:rsidRPr="00C24F9C">
              <w:rPr>
                <w:rStyle w:val="libFootnoteBoldChar"/>
                <w:rtl/>
              </w:rPr>
              <w:t>التهذيب</w:t>
            </w:r>
            <w:r>
              <w:rPr>
                <w:rtl/>
                <w:lang w:bidi="fa-IR"/>
              </w:rPr>
              <w:t xml:space="preserve"> ، ح 15 : « منبري وبيتي ».</w:t>
            </w:r>
          </w:p>
        </w:tc>
        <w:tc>
          <w:tcPr>
            <w:tcW w:w="4006" w:type="dxa"/>
          </w:tcPr>
          <w:p w:rsidR="000D0FE3" w:rsidRDefault="000D0FE3" w:rsidP="00D10E3C">
            <w:pPr>
              <w:pStyle w:val="libFootnote0"/>
              <w:rPr>
                <w:rtl/>
                <w:lang w:bidi="fa-IR"/>
              </w:rPr>
            </w:pPr>
            <w:r>
              <w:rPr>
                <w:rtl/>
                <w:lang w:bidi="fa-IR"/>
              </w:rPr>
              <w:t>(2). في « ى ، بث ، جن » : « قال ».</w:t>
            </w:r>
          </w:p>
        </w:tc>
      </w:tr>
    </w:tbl>
    <w:p w:rsidR="00744A1C" w:rsidRDefault="00E378DD" w:rsidP="00E378DD">
      <w:pPr>
        <w:pStyle w:val="libFootnote0"/>
        <w:rPr>
          <w:lang w:bidi="fa-IR"/>
        </w:rPr>
      </w:pPr>
      <w:r>
        <w:rPr>
          <w:rtl/>
          <w:lang w:bidi="fa-IR"/>
        </w:rPr>
        <w:t>(3).</w:t>
      </w:r>
      <w:r w:rsidR="00744A1C">
        <w:rPr>
          <w:rtl/>
          <w:lang w:bidi="fa-IR"/>
        </w:rPr>
        <w:t xml:space="preserve"> في « بخ ، بف » و</w:t>
      </w:r>
      <w:r w:rsidR="00744A1C" w:rsidRPr="00C24F9C">
        <w:rPr>
          <w:rStyle w:val="libFootnoteBoldChar"/>
          <w:rtl/>
        </w:rPr>
        <w:t>الوافي</w:t>
      </w:r>
      <w:r w:rsidR="00744A1C">
        <w:rPr>
          <w:rtl/>
          <w:lang w:bidi="fa-IR"/>
        </w:rPr>
        <w:t xml:space="preserve"> : « قال » بدون الواو.</w:t>
      </w:r>
    </w:p>
    <w:p w:rsidR="00744A1C" w:rsidRDefault="00E378DD" w:rsidP="00E378DD">
      <w:pPr>
        <w:pStyle w:val="libFootnote0"/>
        <w:rPr>
          <w:lang w:bidi="fa-IR"/>
        </w:rPr>
      </w:pPr>
      <w:r>
        <w:rPr>
          <w:rtl/>
          <w:lang w:bidi="fa-IR"/>
        </w:rPr>
        <w:t>(4).</w:t>
      </w:r>
      <w:r w:rsidR="00744A1C">
        <w:rPr>
          <w:rtl/>
          <w:lang w:bidi="fa-IR"/>
        </w:rPr>
        <w:t xml:space="preserve"> في « ى ، بث ، بح ، بخ ، بف ، جد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ح 15 : « وبيت ».</w:t>
      </w:r>
    </w:p>
    <w:tbl>
      <w:tblPr>
        <w:tblStyle w:val="TableGrid"/>
        <w:bidiVisual/>
        <w:tblW w:w="0" w:type="auto"/>
        <w:tblLook w:val="04A0" w:firstRow="1" w:lastRow="0" w:firstColumn="1" w:lastColumn="0" w:noHBand="0" w:noVBand="1"/>
      </w:tblPr>
      <w:tblGrid>
        <w:gridCol w:w="4006"/>
        <w:gridCol w:w="4006"/>
      </w:tblGrid>
      <w:tr w:rsidR="000578A3" w:rsidTr="000578A3">
        <w:tc>
          <w:tcPr>
            <w:tcW w:w="4006" w:type="dxa"/>
          </w:tcPr>
          <w:p w:rsidR="000578A3" w:rsidRDefault="000578A3" w:rsidP="00E378DD">
            <w:pPr>
              <w:pStyle w:val="libFootnote0"/>
              <w:rPr>
                <w:rtl/>
                <w:lang w:bidi="fa-IR"/>
              </w:rPr>
            </w:pPr>
            <w:r>
              <w:rPr>
                <w:rtl/>
                <w:lang w:bidi="fa-IR"/>
              </w:rPr>
              <w:t>(5). في « بح » : « وبيت فاطمة ».</w:t>
            </w:r>
          </w:p>
        </w:tc>
        <w:tc>
          <w:tcPr>
            <w:tcW w:w="4006" w:type="dxa"/>
          </w:tcPr>
          <w:p w:rsidR="000578A3" w:rsidRDefault="000578A3" w:rsidP="00E378DD">
            <w:pPr>
              <w:pStyle w:val="libFootnote0"/>
              <w:rPr>
                <w:rtl/>
                <w:lang w:bidi="fa-IR"/>
              </w:rPr>
            </w:pPr>
            <w:r>
              <w:rPr>
                <w:rtl/>
                <w:lang w:bidi="fa-IR"/>
              </w:rPr>
              <w:t>(6). في « بس » : « الزقّ ».</w:t>
            </w:r>
          </w:p>
        </w:tc>
      </w:tr>
    </w:tbl>
    <w:p w:rsidR="00744A1C" w:rsidRDefault="00E378DD" w:rsidP="00E378DD">
      <w:pPr>
        <w:pStyle w:val="libFootnote0"/>
        <w:rPr>
          <w:lang w:bidi="fa-IR"/>
        </w:rPr>
      </w:pPr>
      <w:r>
        <w:rPr>
          <w:rtl/>
          <w:lang w:bidi="fa-IR"/>
        </w:rPr>
        <w:t>(7).</w:t>
      </w:r>
      <w:r w:rsidR="00744A1C">
        <w:rPr>
          <w:rtl/>
          <w:lang w:bidi="fa-IR"/>
        </w:rPr>
        <w:t xml:space="preserve"> في « بس » : « الأفضل ». وفي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ح 30 : « فإنّ الصلاة في المسجد الحرام تعدل ألف صلاة في مسجدي » بدل « فهو أفضل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8 ، ح 15 ، معلّقاً عن الكليني. وفيه ، ص 15 ، ح 31 ، بسنده عن معاوية بن وهب. وفي </w:t>
      </w:r>
      <w:r w:rsidR="00082843">
        <w:rPr>
          <w:rFonts w:hint="cs"/>
          <w:rtl/>
          <w:lang w:bidi="fa-IR"/>
        </w:rPr>
        <w:t>=</w:t>
      </w:r>
    </w:p>
    <w:p w:rsidR="00150943" w:rsidRDefault="00150943" w:rsidP="00D10E3C">
      <w:pPr>
        <w:pStyle w:val="libNormal"/>
        <w:rPr>
          <w:rtl/>
          <w:lang w:bidi="fa-IR"/>
        </w:rPr>
      </w:pPr>
      <w:r>
        <w:rPr>
          <w:rtl/>
          <w:lang w:bidi="fa-IR"/>
        </w:rPr>
        <w:br w:type="page"/>
      </w:r>
    </w:p>
    <w:p w:rsidR="00635F8C" w:rsidRDefault="00744A1C" w:rsidP="00635F8C">
      <w:pPr>
        <w:pStyle w:val="libNormal"/>
        <w:rPr>
          <w:rtl/>
          <w:lang w:bidi="fa-IR"/>
        </w:rPr>
      </w:pPr>
      <w:r>
        <w:rPr>
          <w:rtl/>
          <w:lang w:bidi="fa-IR"/>
        </w:rPr>
        <w:lastRenderedPageBreak/>
        <w:t>8116 / 9. الْحُسَيْنُ بْنُ مُحَمَّدٍ ، عَنْ مُعَلَّى بْنِ مُحَمَّدٍ ، عَنِ الْحَسَنِ بْنِ عَلِيٍّ الْوَشَّاءِ ؛</w:t>
      </w:r>
    </w:p>
    <w:p w:rsidR="00144FA6" w:rsidRDefault="00635F8C" w:rsidP="00635F8C">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عِدَّةٌ مِنْ أَصْحَابِنَا ، عَنْ سَهْلِ بْنِ زِيَادٍ ، عَنْ أَحْمَدَ بْنِ مُحَمَّدٍ جَمِيعاً ، عَنْ حَمَّادِ بْنِ عُثْمَانَ ، عَنِ الْقَاسِمِ بْنِ سَالِمٍ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إِذَا دَخَلْتَ مِنْ بَابِ الْبَقِيعِ ، فَبَيْتُ عَلِيٍّ - صَلَوَاتُ‌ اللهِ عَلَيْهِ - عَلى يَسَارِكَ قَدْرَ مَمَرِّ عَنْزٍ </w:t>
      </w:r>
      <w:r w:rsidRPr="00D10E3C">
        <w:rPr>
          <w:rStyle w:val="libFootnotenumChar"/>
          <w:rtl/>
        </w:rPr>
        <w:t>(1)</w:t>
      </w:r>
      <w:r>
        <w:rPr>
          <w:rtl/>
          <w:lang w:bidi="fa-IR"/>
        </w:rPr>
        <w:t xml:space="preserve"> مِنَ الْبَابِ ، وَهُوَ إِلى جَانِبِ </w:t>
      </w:r>
      <w:r w:rsidRPr="00D10E3C">
        <w:rPr>
          <w:rStyle w:val="libFootnotenumChar"/>
          <w:rtl/>
        </w:rPr>
        <w:t>(2)</w:t>
      </w:r>
      <w:r>
        <w:rPr>
          <w:rtl/>
          <w:lang w:bidi="fa-IR"/>
        </w:rPr>
        <w:t xml:space="preserve"> بَيْتِ رَسُولِ اللهِ </w:t>
      </w:r>
      <w:r w:rsidR="0017097C" w:rsidRPr="0017097C">
        <w:rPr>
          <w:rStyle w:val="libAlaemChar"/>
          <w:rtl/>
        </w:rPr>
        <w:t>صلى‌الله‌عليه‌وآله</w:t>
      </w:r>
      <w:r w:rsidR="00D10E3C">
        <w:rPr>
          <w:rtl/>
          <w:lang w:bidi="fa-IR"/>
        </w:rPr>
        <w:t xml:space="preserve"> </w:t>
      </w:r>
      <w:r>
        <w:rPr>
          <w:rtl/>
          <w:lang w:bidi="fa-IR"/>
        </w:rPr>
        <w:t xml:space="preserve">، وَبَابَاهُمَا </w:t>
      </w:r>
      <w:r w:rsidRPr="00D10E3C">
        <w:rPr>
          <w:rStyle w:val="libFootnotenumChar"/>
          <w:rtl/>
        </w:rPr>
        <w:t>(3)</w:t>
      </w:r>
      <w:r>
        <w:rPr>
          <w:rtl/>
          <w:lang w:bidi="fa-IR"/>
        </w:rPr>
        <w:t xml:space="preserve"> جَمِيعاً </w:t>
      </w:r>
      <w:r w:rsidRPr="00D10E3C">
        <w:rPr>
          <w:rStyle w:val="libFootnotenumChar"/>
          <w:rtl/>
        </w:rPr>
        <w:t>(4)</w:t>
      </w:r>
      <w:r>
        <w:rPr>
          <w:rtl/>
          <w:lang w:bidi="fa-IR"/>
        </w:rPr>
        <w:t xml:space="preserve"> مَقْرُونَانِ ». </w:t>
      </w:r>
      <w:r w:rsidRPr="00D10E3C">
        <w:rPr>
          <w:rStyle w:val="libFootnotenumChar"/>
          <w:rtl/>
        </w:rPr>
        <w:t>(5)</w:t>
      </w:r>
    </w:p>
    <w:p w:rsidR="00144FA6" w:rsidRDefault="00744A1C" w:rsidP="00744A1C">
      <w:pPr>
        <w:pStyle w:val="libNormal"/>
        <w:rPr>
          <w:rtl/>
          <w:lang w:bidi="fa-IR"/>
        </w:rPr>
      </w:pPr>
      <w:r>
        <w:rPr>
          <w:rtl/>
          <w:lang w:bidi="fa-IR"/>
        </w:rPr>
        <w:t xml:space="preserve">8117 / 10. سَهْلُ بْنُ زِيَادٍ </w:t>
      </w:r>
      <w:r w:rsidRPr="00D10E3C">
        <w:rPr>
          <w:rStyle w:val="libFootnotenumChar"/>
          <w:rtl/>
        </w:rPr>
        <w:t>(6)</w:t>
      </w:r>
      <w:r>
        <w:rPr>
          <w:rtl/>
          <w:lang w:bidi="fa-IR"/>
        </w:rPr>
        <w:t xml:space="preserve"> ، عَنْ أَحْمَدَ بْنِ مُحَمَّدٍ ، عَنْ حَمَّادِ بْنِ عُثْمَانَ </w:t>
      </w:r>
      <w:r w:rsidRPr="00D10E3C">
        <w:rPr>
          <w:rStyle w:val="libFootnotenumChar"/>
          <w:rtl/>
        </w:rPr>
        <w:t>(7)</w:t>
      </w:r>
      <w:r>
        <w:rPr>
          <w:rtl/>
          <w:lang w:bidi="fa-IR"/>
        </w:rPr>
        <w:t xml:space="preserve"> ، عَنْ جَمِيلِ بْنِ دَرَّاجٍ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قَالَ رَسُولُ اللهِ </w:t>
      </w:r>
      <w:r w:rsidR="00AE01C7" w:rsidRPr="00AE01C7">
        <w:rPr>
          <w:rStyle w:val="libFootnoteAlaemChar"/>
          <w:rtl/>
        </w:rPr>
        <w:t>صلى‌الله‌عليه‌وآله</w:t>
      </w:r>
      <w:r w:rsidR="00D10E3C">
        <w:rPr>
          <w:rtl/>
          <w:lang w:bidi="fa-IR"/>
        </w:rPr>
        <w:t xml:space="preserve"> </w:t>
      </w:r>
      <w:r>
        <w:rPr>
          <w:rtl/>
          <w:lang w:bidi="fa-IR"/>
        </w:rPr>
        <w:t xml:space="preserve">: مَا بَيْنَ مِنْبَرِي وَبُيُوتِي </w:t>
      </w:r>
      <w:r w:rsidRPr="00D10E3C">
        <w:rPr>
          <w:rStyle w:val="libFootnotenumChar"/>
          <w:rtl/>
        </w:rPr>
        <w:t>(8)</w:t>
      </w:r>
      <w:r>
        <w:rPr>
          <w:rtl/>
          <w:lang w:bidi="fa-IR"/>
        </w:rPr>
        <w:t xml:space="preserve"> رَوْضَةٌ مِنْ رِيَاضِ الْجَنَّةِ ، وَمِنْبَرِي عَلى تُرْعَةٍ مِنْ تُرَعِ الْجَنَّةِ ، وَصَلَاةٌ فِي مَسْجِدِي تَعْدِلُ أَلْفَ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5A6D35" w:rsidP="005A6D35">
      <w:pPr>
        <w:pStyle w:val="libFootnote0"/>
        <w:rPr>
          <w:lang w:bidi="fa-IR"/>
        </w:rPr>
      </w:pPr>
      <w:r w:rsidRPr="005A6D35">
        <w:rPr>
          <w:rFonts w:hint="cs"/>
          <w:rtl/>
        </w:rPr>
        <w:t xml:space="preserve">= </w:t>
      </w:r>
      <w:r w:rsidR="00744A1C" w:rsidRPr="007B299E">
        <w:rPr>
          <w:rStyle w:val="libFootnoteBoldChar"/>
          <w:rtl/>
        </w:rPr>
        <w:t>كامل الزيارات</w:t>
      </w:r>
      <w:r w:rsidR="00744A1C">
        <w:rPr>
          <w:rtl/>
          <w:lang w:bidi="fa-IR"/>
        </w:rPr>
        <w:t xml:space="preserve"> ، ص 21 و 22 ، الباب 4 ، ح 5 و 7 ، بسند آخر ، وتمام الرواية : « صلاة في مسجدي تعدل ألف صلاة في غيره ». </w:t>
      </w:r>
      <w:r w:rsidR="00744A1C" w:rsidRPr="007B299E">
        <w:rPr>
          <w:rStyle w:val="libFootnoteBoldChar"/>
          <w:rtl/>
        </w:rPr>
        <w:t>كامل الزيارات</w:t>
      </w:r>
      <w:r w:rsidR="00744A1C">
        <w:rPr>
          <w:rtl/>
          <w:lang w:bidi="fa-IR"/>
        </w:rPr>
        <w:t xml:space="preserve"> ، ص 20 ، الباب 3 ، ضمن ح 2 ، بسند آخر. وفي </w:t>
      </w:r>
      <w:r w:rsidR="00744A1C" w:rsidRPr="00C24F9C">
        <w:rPr>
          <w:rStyle w:val="libFootnoteBoldChar"/>
          <w:rtl/>
        </w:rPr>
        <w:t>التهذيب</w:t>
      </w:r>
      <w:r w:rsidR="00744A1C">
        <w:rPr>
          <w:rtl/>
          <w:lang w:bidi="fa-IR"/>
        </w:rPr>
        <w:t xml:space="preserve"> ، ج 6 ، ص 14 ، ح 30 ؛ و</w:t>
      </w:r>
      <w:r w:rsidR="00744A1C" w:rsidRPr="007B299E">
        <w:rPr>
          <w:rStyle w:val="libFootnoteBoldChar"/>
          <w:rtl/>
        </w:rPr>
        <w:t>كامل الزيارات</w:t>
      </w:r>
      <w:r w:rsidR="00744A1C">
        <w:rPr>
          <w:rtl/>
          <w:lang w:bidi="fa-IR"/>
        </w:rPr>
        <w:t xml:space="preserve"> ، ص 21 ، الباب 4 ، ح 4 ، بسند آخر ، مع زيادة في أوّله. ثواب الأعمال ، ص 50 ، ح 1 ، بسند آخر عن الصادق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w:t>
      </w:r>
      <w:r w:rsidR="00744A1C" w:rsidRPr="00C24F9C">
        <w:rPr>
          <w:rStyle w:val="libFootnoteBoldChar"/>
          <w:rtl/>
        </w:rPr>
        <w:t>الفقيه</w:t>
      </w:r>
      <w:r w:rsidR="00744A1C">
        <w:rPr>
          <w:rtl/>
          <w:lang w:bidi="fa-IR"/>
        </w:rPr>
        <w:t xml:space="preserve"> ، ج 1 ، ص 228 ، ح 682 ، مرسلاً عن رسول الله </w:t>
      </w:r>
      <w:r w:rsidR="005E465D" w:rsidRPr="00EE7E5B">
        <w:rPr>
          <w:rStyle w:val="libFootnoteAlaemChar"/>
          <w:rFonts w:eastAsiaTheme="minorHAnsi"/>
          <w:rtl/>
        </w:rPr>
        <w:t>صلى‌الله‌عليه‌وآله</w:t>
      </w:r>
      <w:r w:rsidRPr="005A6D35">
        <w:rPr>
          <w:rFonts w:eastAsiaTheme="minorHAnsi"/>
          <w:rtl/>
        </w:rPr>
        <w:t xml:space="preserve"> </w:t>
      </w:r>
      <w:r w:rsidR="00744A1C">
        <w:rPr>
          <w:rtl/>
          <w:lang w:bidi="fa-IR"/>
        </w:rPr>
        <w:t xml:space="preserve">، وفي الخمسة الأخيرة من قوله : « الصلاة في مسجدي تعدل ألف صلاة » مع اختلاف. وراجع : </w:t>
      </w:r>
      <w:r w:rsidR="00744A1C" w:rsidRPr="0061079A">
        <w:rPr>
          <w:rStyle w:val="libFootnoteBoldChar"/>
          <w:rtl/>
        </w:rPr>
        <w:t>الكافي</w:t>
      </w:r>
      <w:r w:rsidR="00744A1C">
        <w:rPr>
          <w:rtl/>
          <w:lang w:bidi="fa-IR"/>
        </w:rPr>
        <w:t xml:space="preserve"> ، كتاب الحجّ ، باب فضل الصلاة في المسجد الحرام ... ، ح 7992 و 7993 </w:t>
      </w:r>
      <w:r>
        <w:rPr>
          <w:rFonts w:hint="cs"/>
          <w:rtl/>
          <w:lang w:bidi="fa-IR"/>
        </w:rPr>
        <w:t>.</w:t>
      </w:r>
      <w:r w:rsidR="00744A1C" w:rsidRPr="00C24F9C">
        <w:rPr>
          <w:rStyle w:val="libFootnoteBoldChar"/>
          <w:rtl/>
        </w:rPr>
        <w:t>الوافي</w:t>
      </w:r>
      <w:r w:rsidR="00744A1C">
        <w:rPr>
          <w:rtl/>
          <w:lang w:bidi="fa-IR"/>
        </w:rPr>
        <w:t xml:space="preserve"> ، ج 14 ، ص 1362 ، ح 14397 ؛ </w:t>
      </w:r>
      <w:r w:rsidR="00744A1C" w:rsidRPr="00C24F9C">
        <w:rPr>
          <w:rStyle w:val="libFootnoteBoldChar"/>
          <w:rtl/>
        </w:rPr>
        <w:t>الوسائل</w:t>
      </w:r>
      <w:r w:rsidR="00744A1C">
        <w:rPr>
          <w:rtl/>
          <w:lang w:bidi="fa-IR"/>
        </w:rPr>
        <w:t xml:space="preserve"> ، ج 5 ، ص 279 ، ح 6543 ؛ </w:t>
      </w:r>
      <w:r w:rsidR="00744A1C" w:rsidRPr="0061079A">
        <w:rPr>
          <w:rStyle w:val="libFootnoteBoldChar"/>
          <w:rtl/>
        </w:rPr>
        <w:t>البحار</w:t>
      </w:r>
      <w:r w:rsidR="00744A1C">
        <w:rPr>
          <w:rtl/>
          <w:lang w:bidi="fa-IR"/>
        </w:rPr>
        <w:t xml:space="preserve"> ، ج 100 ، ص 193 ، ح 7 ، من قوله : « وقال بيت عليّ وفاطمه </w:t>
      </w:r>
      <w:r w:rsidR="00F112A7" w:rsidRPr="00CE5A92">
        <w:rPr>
          <w:rStyle w:val="libFootnoteAlaemChar"/>
          <w:rtl/>
        </w:rPr>
        <w:t>عليهما‌السلام</w:t>
      </w:r>
      <w:r w:rsidR="00744A1C">
        <w:rPr>
          <w:rtl/>
          <w:lang w:bidi="fa-IR"/>
        </w:rPr>
        <w:t>» إلى قوله : « منكبك الأيسر ».</w:t>
      </w:r>
    </w:p>
    <w:p w:rsidR="00744A1C" w:rsidRDefault="00D10E3C" w:rsidP="00D10E3C">
      <w:pPr>
        <w:pStyle w:val="libFootnote0"/>
        <w:rPr>
          <w:lang w:bidi="fa-IR"/>
        </w:rPr>
      </w:pPr>
      <w:r>
        <w:rPr>
          <w:rtl/>
          <w:lang w:bidi="fa-IR"/>
        </w:rPr>
        <w:t>(1).</w:t>
      </w:r>
      <w:r w:rsidR="00744A1C">
        <w:rPr>
          <w:rtl/>
          <w:lang w:bidi="fa-IR"/>
        </w:rPr>
        <w:t xml:space="preserve"> العَنْزُ : الا</w:t>
      </w:r>
      <w:r w:rsidR="005A6D35">
        <w:rPr>
          <w:rFonts w:hint="cs"/>
          <w:rtl/>
          <w:lang w:bidi="fa-IR"/>
        </w:rPr>
        <w:t>ُ</w:t>
      </w:r>
      <w:r w:rsidR="00744A1C">
        <w:rPr>
          <w:rtl/>
          <w:lang w:bidi="fa-IR"/>
        </w:rPr>
        <w:t>نثى من ال</w:t>
      </w:r>
      <w:r w:rsidR="005A6D35">
        <w:rPr>
          <w:rFonts w:hint="cs"/>
          <w:rtl/>
          <w:lang w:bidi="fa-IR"/>
        </w:rPr>
        <w:t>ـ</w:t>
      </w:r>
      <w:r w:rsidR="00744A1C">
        <w:rPr>
          <w:rtl/>
          <w:lang w:bidi="fa-IR"/>
        </w:rPr>
        <w:t xml:space="preserve">مَعز. </w:t>
      </w:r>
      <w:r w:rsidR="00744A1C" w:rsidRPr="00E978C3">
        <w:rPr>
          <w:rStyle w:val="libFootnoteBoldChar"/>
          <w:rtl/>
        </w:rPr>
        <w:t>ترتيب كتاب العين</w:t>
      </w:r>
      <w:r w:rsidR="00744A1C">
        <w:rPr>
          <w:rtl/>
          <w:lang w:bidi="fa-IR"/>
        </w:rPr>
        <w:t xml:space="preserve"> ، ج 2 ، ص 1291 ( عنز ).</w:t>
      </w:r>
    </w:p>
    <w:tbl>
      <w:tblPr>
        <w:tblStyle w:val="TableGrid"/>
        <w:bidiVisual/>
        <w:tblW w:w="0" w:type="auto"/>
        <w:tblLook w:val="04A0" w:firstRow="1" w:lastRow="0" w:firstColumn="1" w:lastColumn="0" w:noHBand="0" w:noVBand="1"/>
      </w:tblPr>
      <w:tblGrid>
        <w:gridCol w:w="4006"/>
        <w:gridCol w:w="4006"/>
      </w:tblGrid>
      <w:tr w:rsidR="005A6D35" w:rsidTr="005A6D35">
        <w:tc>
          <w:tcPr>
            <w:tcW w:w="4006" w:type="dxa"/>
          </w:tcPr>
          <w:p w:rsidR="005A6D35" w:rsidRDefault="005A6D35" w:rsidP="00E378DD">
            <w:pPr>
              <w:pStyle w:val="libFootnote0"/>
              <w:rPr>
                <w:rtl/>
                <w:lang w:bidi="fa-IR"/>
              </w:rPr>
            </w:pPr>
            <w:r>
              <w:rPr>
                <w:rtl/>
                <w:lang w:bidi="fa-IR"/>
              </w:rPr>
              <w:t>(2). في « جد » : « جنب ».</w:t>
            </w:r>
          </w:p>
        </w:tc>
        <w:tc>
          <w:tcPr>
            <w:tcW w:w="4006" w:type="dxa"/>
          </w:tcPr>
          <w:p w:rsidR="005A6D35" w:rsidRDefault="005A6D35" w:rsidP="00E378DD">
            <w:pPr>
              <w:pStyle w:val="libFootnote0"/>
              <w:rPr>
                <w:rtl/>
                <w:lang w:bidi="fa-IR"/>
              </w:rPr>
            </w:pPr>
            <w:r>
              <w:rPr>
                <w:rtl/>
                <w:lang w:bidi="fa-IR"/>
              </w:rPr>
              <w:t>(3). في « بس » : « وبابهما ».</w:t>
            </w:r>
          </w:p>
        </w:tc>
      </w:tr>
    </w:tbl>
    <w:p w:rsidR="00744A1C" w:rsidRDefault="00E378DD" w:rsidP="00E378DD">
      <w:pPr>
        <w:pStyle w:val="libFootnote0"/>
        <w:rPr>
          <w:lang w:bidi="fa-IR"/>
        </w:rPr>
      </w:pPr>
      <w:r>
        <w:rPr>
          <w:rtl/>
          <w:lang w:bidi="fa-IR"/>
        </w:rPr>
        <w:t>(4).</w:t>
      </w:r>
      <w:r w:rsidR="00744A1C">
        <w:rPr>
          <w:rtl/>
          <w:lang w:bidi="fa-IR"/>
        </w:rPr>
        <w:t xml:space="preserve"> في « بخ » : - « جميعاً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14 ، ص 1362 ، ح 14398 ؛ </w:t>
      </w:r>
      <w:r w:rsidR="00744A1C" w:rsidRPr="0061079A">
        <w:rPr>
          <w:rStyle w:val="libFootnoteBoldChar"/>
          <w:rtl/>
        </w:rPr>
        <w:t>البحار</w:t>
      </w:r>
      <w:r w:rsidR="00744A1C">
        <w:rPr>
          <w:rtl/>
          <w:lang w:bidi="fa-IR"/>
        </w:rPr>
        <w:t xml:space="preserve"> ، ج 100 ، ص 194 ، ح 8.</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التهذيب</w:t>
      </w:r>
      <w:r w:rsidR="00744A1C">
        <w:rPr>
          <w:rtl/>
          <w:lang w:bidi="fa-IR"/>
        </w:rPr>
        <w:t xml:space="preserve"> : - « بن زياد ».</w:t>
      </w:r>
    </w:p>
    <w:p w:rsidR="00744A1C" w:rsidRDefault="00744A1C" w:rsidP="00D10E3C">
      <w:pPr>
        <w:pStyle w:val="libFootnote0"/>
        <w:rPr>
          <w:lang w:bidi="fa-IR"/>
        </w:rPr>
      </w:pPr>
      <w:r>
        <w:rPr>
          <w:rtl/>
          <w:lang w:bidi="fa-IR"/>
        </w:rPr>
        <w:t>ثمّ إنّ السند معلّق على السند الثاني للخبر السابق. ويروي عن سهل بن زياد ، عدّة من أصحابنا.</w:t>
      </w:r>
    </w:p>
    <w:tbl>
      <w:tblPr>
        <w:tblStyle w:val="TableGrid"/>
        <w:bidiVisual/>
        <w:tblW w:w="0" w:type="auto"/>
        <w:tblLook w:val="04A0" w:firstRow="1" w:lastRow="0" w:firstColumn="1" w:lastColumn="0" w:noHBand="0" w:noVBand="1"/>
      </w:tblPr>
      <w:tblGrid>
        <w:gridCol w:w="4006"/>
        <w:gridCol w:w="4006"/>
      </w:tblGrid>
      <w:tr w:rsidR="005A6D35" w:rsidTr="005A6D35">
        <w:tc>
          <w:tcPr>
            <w:tcW w:w="4006" w:type="dxa"/>
          </w:tcPr>
          <w:p w:rsidR="005A6D35" w:rsidRDefault="005A6D35" w:rsidP="00E378DD">
            <w:pPr>
              <w:pStyle w:val="libFootnote0"/>
              <w:rPr>
                <w:rtl/>
                <w:lang w:bidi="fa-IR"/>
              </w:rPr>
            </w:pPr>
            <w:r>
              <w:rPr>
                <w:rtl/>
                <w:lang w:bidi="fa-IR"/>
              </w:rPr>
              <w:t xml:space="preserve">(7). في </w:t>
            </w:r>
            <w:r w:rsidRPr="00C24F9C">
              <w:rPr>
                <w:rStyle w:val="libFootnoteBoldChar"/>
                <w:rtl/>
              </w:rPr>
              <w:t>التهذيب</w:t>
            </w:r>
            <w:r>
              <w:rPr>
                <w:rtl/>
                <w:lang w:bidi="fa-IR"/>
              </w:rPr>
              <w:t xml:space="preserve"> : - « بن عثمان ».</w:t>
            </w:r>
          </w:p>
        </w:tc>
        <w:tc>
          <w:tcPr>
            <w:tcW w:w="4006" w:type="dxa"/>
          </w:tcPr>
          <w:p w:rsidR="005A6D35" w:rsidRDefault="005A6D35" w:rsidP="00E378DD">
            <w:pPr>
              <w:pStyle w:val="libFootnote0"/>
              <w:rPr>
                <w:rtl/>
                <w:lang w:bidi="fa-IR"/>
              </w:rPr>
            </w:pPr>
            <w:r>
              <w:rPr>
                <w:rtl/>
                <w:lang w:bidi="fa-IR"/>
              </w:rPr>
              <w:t xml:space="preserve">(8). في </w:t>
            </w:r>
            <w:r w:rsidRPr="00C24F9C">
              <w:rPr>
                <w:rStyle w:val="libFootnoteBoldChar"/>
                <w:rtl/>
              </w:rPr>
              <w:t>التهذيب</w:t>
            </w:r>
            <w:r>
              <w:rPr>
                <w:rtl/>
                <w:lang w:bidi="fa-IR"/>
              </w:rPr>
              <w:t xml:space="preserve"> : « وبيتي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 « عشرة آلاف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صَلَاةٍ فِيمَا </w:t>
      </w:r>
      <w:r w:rsidR="00C61392">
        <w:rPr>
          <w:rtl/>
          <w:lang w:bidi="fa-IR"/>
        </w:rPr>
        <w:t>سِوَاهُ مِنَ الْمَسَاجِدِ إِل</w:t>
      </w:r>
      <w:r w:rsidR="00C61392">
        <w:rPr>
          <w:rFonts w:hint="cs"/>
          <w:rtl/>
          <w:lang w:bidi="fa-IR"/>
        </w:rPr>
        <w:t>َّ</w:t>
      </w:r>
      <w:r w:rsidR="00C61392">
        <w:rPr>
          <w:rtl/>
          <w:lang w:bidi="fa-IR"/>
        </w:rPr>
        <w:t>ا</w:t>
      </w:r>
      <w:r>
        <w:rPr>
          <w:rtl/>
          <w:lang w:bidi="fa-IR"/>
        </w:rPr>
        <w:t xml:space="preserve"> الْمَسْجِدَ الْحَرَامَ ».</w:t>
      </w:r>
    </w:p>
    <w:p w:rsidR="00744A1C" w:rsidRDefault="00744A1C" w:rsidP="0024456E">
      <w:pPr>
        <w:pStyle w:val="libNormal"/>
        <w:rPr>
          <w:lang w:bidi="fa-IR"/>
        </w:rPr>
      </w:pPr>
      <w:r>
        <w:rPr>
          <w:rtl/>
          <w:lang w:bidi="fa-IR"/>
        </w:rPr>
        <w:t xml:space="preserve">قَالَ جَمِيلٌ : قُلْتُ لَهُ : بُيُوتُ النَّبِيِّ </w:t>
      </w:r>
      <w:r w:rsidR="005E465D" w:rsidRPr="005E465D">
        <w:rPr>
          <w:rStyle w:val="libAlaemChar"/>
          <w:rFonts w:eastAsiaTheme="minorHAnsi"/>
          <w:rtl/>
        </w:rPr>
        <w:t>صلى‌الله‌عليه‌وآله</w:t>
      </w:r>
      <w:r w:rsidR="0024456E" w:rsidRPr="0024456E">
        <w:rPr>
          <w:rFonts w:eastAsiaTheme="minorHAnsi"/>
          <w:rtl/>
        </w:rPr>
        <w:t xml:space="preserve"> </w:t>
      </w:r>
      <w:r>
        <w:rPr>
          <w:rtl/>
          <w:lang w:bidi="fa-IR"/>
        </w:rPr>
        <w:t xml:space="preserve">وَبَيْتُ عَلِيٍّ </w:t>
      </w:r>
      <w:r w:rsidRPr="00D10E3C">
        <w:rPr>
          <w:rStyle w:val="libFootnotenumChar"/>
          <w:rtl/>
        </w:rPr>
        <w:t>(1)</w:t>
      </w:r>
      <w:r>
        <w:rPr>
          <w:rtl/>
          <w:lang w:bidi="fa-IR"/>
        </w:rPr>
        <w:t xml:space="preserve"> مِنْهَا؟</w:t>
      </w:r>
    </w:p>
    <w:p w:rsidR="00144FA6" w:rsidRDefault="00744A1C" w:rsidP="00744A1C">
      <w:pPr>
        <w:pStyle w:val="libNormal"/>
        <w:rPr>
          <w:rtl/>
          <w:lang w:bidi="fa-IR"/>
        </w:rPr>
      </w:pPr>
      <w:r>
        <w:rPr>
          <w:rtl/>
          <w:lang w:bidi="fa-IR"/>
        </w:rPr>
        <w:t xml:space="preserve">قَالَ : « نَعَمْ </w:t>
      </w:r>
      <w:r w:rsidRPr="00D10E3C">
        <w:rPr>
          <w:rStyle w:val="libFootnotenumChar"/>
          <w:rtl/>
        </w:rPr>
        <w:t>(2)</w:t>
      </w:r>
      <w:r>
        <w:rPr>
          <w:rtl/>
          <w:lang w:bidi="fa-IR"/>
        </w:rPr>
        <w:t xml:space="preserve"> ، وَأَفْضَلُ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8118 / 11. عِدَّةٌ مِنْ أَصْحَابِنَا ، عَنْ أَحْمَدَ بْنِ مُحَمَّدٍ ، عَنْ عَلِيِّ بْنِ الْحَكَمِ ، عَنْ أَبِي سَلَمَةَ ، عَنْ هَارُونَ بْنِ خَارِجَةَ ، قَالَ :</w:t>
      </w:r>
    </w:p>
    <w:p w:rsidR="00144FA6" w:rsidRDefault="00744A1C" w:rsidP="00744A1C">
      <w:pPr>
        <w:pStyle w:val="libNormal"/>
        <w:rPr>
          <w:rtl/>
          <w:lang w:bidi="fa-IR"/>
        </w:rPr>
      </w:pPr>
      <w:r>
        <w:rPr>
          <w:rtl/>
          <w:lang w:bidi="fa-IR"/>
        </w:rPr>
        <w:t xml:space="preserve">الصَّلَاةُ فِي مَسْجِدِ الرَّسُولِ </w:t>
      </w:r>
      <w:r w:rsidR="007B299E" w:rsidRPr="007B299E">
        <w:rPr>
          <w:rStyle w:val="libAlaemChar"/>
          <w:rtl/>
        </w:rPr>
        <w:t>صلى‌الله‌عليه‌وآله</w:t>
      </w:r>
      <w:r w:rsidR="00D10E3C">
        <w:rPr>
          <w:rtl/>
          <w:lang w:bidi="fa-IR"/>
        </w:rPr>
        <w:t xml:space="preserve"> </w:t>
      </w:r>
      <w:r>
        <w:rPr>
          <w:rtl/>
          <w:lang w:bidi="fa-IR"/>
        </w:rPr>
        <w:t xml:space="preserve">تَعْدِلُ عَشَرَةَ آلَافِ صَلَاةٍ. </w:t>
      </w:r>
      <w:r w:rsidRPr="00D10E3C">
        <w:rPr>
          <w:rStyle w:val="libFootnotenumChar"/>
          <w:rtl/>
        </w:rPr>
        <w:t>(5)</w:t>
      </w:r>
    </w:p>
    <w:p w:rsidR="00144FA6" w:rsidRDefault="00744A1C" w:rsidP="00744A1C">
      <w:pPr>
        <w:pStyle w:val="libNormal"/>
        <w:rPr>
          <w:rtl/>
          <w:lang w:bidi="fa-IR"/>
        </w:rPr>
      </w:pPr>
      <w:r>
        <w:rPr>
          <w:rtl/>
          <w:lang w:bidi="fa-IR"/>
        </w:rPr>
        <w:t xml:space="preserve">8119 / 12. أَحْمَدُ بْنُ مُحَمَّدٍ </w:t>
      </w:r>
      <w:r w:rsidRPr="00D10E3C">
        <w:rPr>
          <w:rStyle w:val="libFootnotenumChar"/>
          <w:rtl/>
        </w:rPr>
        <w:t>(6)</w:t>
      </w:r>
      <w:r>
        <w:rPr>
          <w:rtl/>
          <w:lang w:bidi="fa-IR"/>
        </w:rPr>
        <w:t xml:space="preserve"> ، عَنْ مُحَمَّدِ بْنِ إِسْمَاعِيلَ ، عَنْ أَبِي إِسْمَاعِيلَ السَّرَّاجِ ، عَنِ ابْنِ مُسْكَانَ ، عَنْ أَبِي الصَّامِتِ ، قَالَ :</w:t>
      </w:r>
    </w:p>
    <w:p w:rsidR="00744A1C" w:rsidRDefault="00744A1C" w:rsidP="00EE7E5B">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صَلَاةٌ فِي مَسْجِدِ النَّبِيِّ </w:t>
      </w:r>
      <w:r w:rsidR="00EE7E5B" w:rsidRPr="007B299E">
        <w:rPr>
          <w:rStyle w:val="libAlaemChar"/>
          <w:rtl/>
        </w:rPr>
        <w:t>صلى‌الله‌عليه‌وآله</w:t>
      </w:r>
      <w:r w:rsidR="00EE7E5B">
        <w:rPr>
          <w:rtl/>
          <w:lang w:bidi="fa-IR"/>
        </w:rPr>
        <w:t xml:space="preserve"> </w:t>
      </w:r>
      <w:r>
        <w:rPr>
          <w:rtl/>
          <w:lang w:bidi="fa-IR"/>
        </w:rPr>
        <w:t xml:space="preserve">تَعْدِلُ بِعَشَرَةِ </w:t>
      </w:r>
      <w:r w:rsidRPr="00D10E3C">
        <w:rPr>
          <w:rStyle w:val="libFootnotenumChar"/>
          <w:rtl/>
        </w:rPr>
        <w:t>(7)</w:t>
      </w:r>
      <w:r>
        <w:rPr>
          <w:rtl/>
          <w:lang w:bidi="fa-IR"/>
        </w:rPr>
        <w:t xml:space="preserve"> آلَافِ صَلَاةٍ ». </w:t>
      </w:r>
      <w:r w:rsidRPr="00D10E3C">
        <w:rPr>
          <w:rStyle w:val="libFootnotenumChar"/>
          <w:rtl/>
        </w:rPr>
        <w:t>(8)</w:t>
      </w:r>
      <w:r>
        <w:rPr>
          <w:rtl/>
          <w:lang w:bidi="fa-IR"/>
        </w:rPr>
        <w:t>‌</w:t>
      </w:r>
    </w:p>
    <w:p w:rsidR="00144FA6" w:rsidRDefault="00744A1C" w:rsidP="00744A1C">
      <w:pPr>
        <w:pStyle w:val="libNormal"/>
        <w:rPr>
          <w:rtl/>
          <w:lang w:bidi="fa-IR"/>
        </w:rPr>
      </w:pPr>
      <w:r>
        <w:rPr>
          <w:rtl/>
          <w:lang w:bidi="fa-IR"/>
        </w:rPr>
        <w:t>8120 / 13. مُحَمَّدُ بْنُ يَحْيى ، عَنْ أَحْمَدَ بْنِ مُحَمَّدٍ ، عَنِ ابْنِ فَضَّالٍ ، عَنْ يُونُسَ بْنِ يَعْقُوبَ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الصَّلَاةُ فِي بَيْتِ فَاطِمَةَ </w:t>
      </w:r>
      <w:r w:rsidR="0024456E" w:rsidRPr="0024456E">
        <w:rPr>
          <w:rStyle w:val="libAlaemChar"/>
          <w:rtl/>
        </w:rPr>
        <w:t>عليها‌السلام</w:t>
      </w:r>
      <w:r w:rsidR="00D10E3C">
        <w:rPr>
          <w:rtl/>
          <w:lang w:bidi="fa-IR"/>
        </w:rPr>
        <w:t xml:space="preserve"> </w:t>
      </w:r>
      <w:r>
        <w:rPr>
          <w:rtl/>
          <w:lang w:bidi="fa-IR"/>
        </w:rPr>
        <w:t>أَفْضَلُ ، أَوْ فِي الرَّوْضَةِ؟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يعني هي أيضاً من رياض الجنّة كما بين المنبر والبيوت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 « يا جميل ».</w:t>
      </w:r>
    </w:p>
    <w:p w:rsidR="00744A1C" w:rsidRDefault="00E378DD" w:rsidP="0024456E">
      <w:pPr>
        <w:pStyle w:val="libFootnote0"/>
        <w:rPr>
          <w:lang w:bidi="fa-IR"/>
        </w:rPr>
      </w:pPr>
      <w:r>
        <w:rPr>
          <w:rtl/>
          <w:lang w:bidi="fa-IR"/>
        </w:rPr>
        <w:t>(3).</w:t>
      </w:r>
      <w:r w:rsidR="00744A1C">
        <w:rPr>
          <w:rtl/>
          <w:lang w:bidi="fa-IR"/>
        </w:rPr>
        <w:t xml:space="preserve"> 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xml:space="preserve">: « ليس المقصود أنّه أفضل من بيوت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مطلقاً ، بل الأظهر أنّه أفضل من رياض الجنّة. ولا ينافي ذلك كون بيت النبيّ </w:t>
      </w:r>
      <w:r w:rsidR="005E465D" w:rsidRPr="00EE7E5B">
        <w:rPr>
          <w:rStyle w:val="libFootnoteAlaemChar"/>
          <w:rFonts w:eastAsiaTheme="minorHAnsi"/>
          <w:rtl/>
        </w:rPr>
        <w:t>صلى‌الله‌عليه‌وآله</w:t>
      </w:r>
      <w:r w:rsidR="0024456E" w:rsidRPr="0024456E">
        <w:rPr>
          <w:rFonts w:eastAsiaTheme="minorHAnsi"/>
          <w:rtl/>
        </w:rPr>
        <w:t xml:space="preserve"> </w:t>
      </w:r>
      <w:r w:rsidR="00744A1C">
        <w:rPr>
          <w:rtl/>
          <w:lang w:bidi="fa-IR"/>
        </w:rPr>
        <w:t>كذلك أيضاً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5 ، ص 7 ، ح 13 ، معلّقاً عن الكليني </w:t>
      </w:r>
      <w:r w:rsidR="0024456E">
        <w:rPr>
          <w:rFonts w:hint="cs"/>
          <w:rtl/>
          <w:lang w:bidi="fa-IR"/>
        </w:rPr>
        <w:t>.</w:t>
      </w:r>
      <w:r w:rsidR="00744A1C" w:rsidRPr="00C24F9C">
        <w:rPr>
          <w:rStyle w:val="libFootnoteBoldChar"/>
          <w:rtl/>
        </w:rPr>
        <w:t>الوافي</w:t>
      </w:r>
      <w:r w:rsidR="00744A1C">
        <w:rPr>
          <w:rtl/>
          <w:lang w:bidi="fa-IR"/>
        </w:rPr>
        <w:t xml:space="preserve"> ، ج 14 ، ص 1363 ، ح 14399 ؛ </w:t>
      </w:r>
      <w:r w:rsidR="00744A1C" w:rsidRPr="00C24F9C">
        <w:rPr>
          <w:rStyle w:val="libFootnoteBoldChar"/>
          <w:rtl/>
        </w:rPr>
        <w:t>الوسائل</w:t>
      </w:r>
      <w:r w:rsidR="00744A1C">
        <w:rPr>
          <w:rtl/>
          <w:lang w:bidi="fa-IR"/>
        </w:rPr>
        <w:t xml:space="preserve"> ، ج 5 ، ص 280 ، ح 6546 ؛ </w:t>
      </w:r>
      <w:r w:rsidR="00744A1C" w:rsidRPr="0061079A">
        <w:rPr>
          <w:rStyle w:val="libFootnoteBoldChar"/>
          <w:rtl/>
        </w:rPr>
        <w:t>البحار</w:t>
      </w:r>
      <w:r w:rsidR="00744A1C">
        <w:rPr>
          <w:rtl/>
          <w:lang w:bidi="fa-IR"/>
        </w:rPr>
        <w:t xml:space="preserve"> ، ج 100 ، ص 146 ، ح 4.</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14 ، ص 1363 ، ح 14400 ؛ </w:t>
      </w:r>
      <w:r w:rsidR="00744A1C" w:rsidRPr="00C24F9C">
        <w:rPr>
          <w:rStyle w:val="libFootnoteBoldChar"/>
          <w:rtl/>
        </w:rPr>
        <w:t>الوسائل</w:t>
      </w:r>
      <w:r w:rsidR="00744A1C">
        <w:rPr>
          <w:rtl/>
          <w:lang w:bidi="fa-IR"/>
        </w:rPr>
        <w:t xml:space="preserve"> ، ج 5 ، ص 279 ، ح 6544 ؛ </w:t>
      </w:r>
      <w:r w:rsidR="00744A1C" w:rsidRPr="0061079A">
        <w:rPr>
          <w:rStyle w:val="libFootnoteBoldChar"/>
          <w:rtl/>
        </w:rPr>
        <w:t>البحار</w:t>
      </w:r>
      <w:r w:rsidR="00744A1C">
        <w:rPr>
          <w:rtl/>
          <w:lang w:bidi="fa-IR"/>
        </w:rPr>
        <w:t xml:space="preserve"> ، ج 100 ، ص 147 ، ح 5.</w:t>
      </w:r>
    </w:p>
    <w:p w:rsidR="00744A1C" w:rsidRDefault="00E378DD" w:rsidP="00E378DD">
      <w:pPr>
        <w:pStyle w:val="libFootnote0"/>
        <w:rPr>
          <w:lang w:bidi="fa-IR"/>
        </w:rPr>
      </w:pPr>
      <w:r>
        <w:rPr>
          <w:rtl/>
          <w:lang w:bidi="fa-IR"/>
        </w:rPr>
        <w:t>(6).</w:t>
      </w:r>
      <w:r w:rsidR="00744A1C">
        <w:rPr>
          <w:rtl/>
          <w:lang w:bidi="fa-IR"/>
        </w:rPr>
        <w:t xml:space="preserve"> السند معلّق على سابقه. ويروي عن أحمد بن محمّد ، عدّة من أصحابنا.</w:t>
      </w:r>
    </w:p>
    <w:p w:rsidR="00744A1C" w:rsidRDefault="00E378DD" w:rsidP="00E378DD">
      <w:pPr>
        <w:pStyle w:val="libFootnote0"/>
        <w:rPr>
          <w:lang w:bidi="fa-IR"/>
        </w:rPr>
      </w:pPr>
      <w:r>
        <w:rPr>
          <w:rtl/>
          <w:lang w:bidi="fa-IR"/>
        </w:rPr>
        <w:t>(7).</w:t>
      </w:r>
      <w:r w:rsidR="00744A1C">
        <w:rPr>
          <w:rtl/>
          <w:lang w:bidi="fa-IR"/>
        </w:rPr>
        <w:t xml:space="preserve"> في « بخ ، جن » : « عشرة ».</w:t>
      </w:r>
    </w:p>
    <w:p w:rsidR="00744A1C" w:rsidRDefault="00E378DD" w:rsidP="00E378DD">
      <w:pPr>
        <w:pStyle w:val="libFootnote0"/>
        <w:rPr>
          <w:lang w:bidi="fa-IR"/>
        </w:rPr>
      </w:pPr>
      <w:r>
        <w:rPr>
          <w:rtl/>
          <w:lang w:bidi="fa-IR"/>
        </w:rPr>
        <w:t>(8).</w:t>
      </w:r>
      <w:r w:rsidR="00744A1C">
        <w:rPr>
          <w:rtl/>
          <w:lang w:bidi="fa-IR"/>
        </w:rPr>
        <w:t xml:space="preserve"> </w:t>
      </w:r>
      <w:r w:rsidR="00744A1C" w:rsidRPr="007B299E">
        <w:rPr>
          <w:rStyle w:val="libFootnoteBoldChar"/>
          <w:rtl/>
        </w:rPr>
        <w:t>كامل الزيارات</w:t>
      </w:r>
      <w:r w:rsidR="00744A1C">
        <w:rPr>
          <w:rtl/>
          <w:lang w:bidi="fa-IR"/>
        </w:rPr>
        <w:t xml:space="preserve"> ، ص 21 ، الباب 4 ، ح 3 ، بسنده عن أحمد بن محمّد بن عيسى ، عن محمّد بن إسماعيل بن بزيع ، عن أبيه إسماعيل ، عن ابن مسكان </w:t>
      </w:r>
      <w:r w:rsidR="0024456E">
        <w:rPr>
          <w:rFonts w:hint="cs"/>
          <w:rtl/>
          <w:lang w:bidi="fa-IR"/>
        </w:rPr>
        <w:t>.</w:t>
      </w:r>
      <w:r w:rsidR="00744A1C" w:rsidRPr="00C24F9C">
        <w:rPr>
          <w:rStyle w:val="libFootnoteBoldChar"/>
          <w:rtl/>
        </w:rPr>
        <w:t>الوافي</w:t>
      </w:r>
      <w:r w:rsidR="00744A1C">
        <w:rPr>
          <w:rtl/>
          <w:lang w:bidi="fa-IR"/>
        </w:rPr>
        <w:t xml:space="preserve"> ، ج 14 ، ص 1364 ، ح 14401 ؛ </w:t>
      </w:r>
      <w:r w:rsidR="00744A1C" w:rsidRPr="00C24F9C">
        <w:rPr>
          <w:rStyle w:val="libFootnoteBoldChar"/>
          <w:rtl/>
        </w:rPr>
        <w:t>الوسائل</w:t>
      </w:r>
      <w:r w:rsidR="00744A1C">
        <w:rPr>
          <w:rtl/>
          <w:lang w:bidi="fa-IR"/>
        </w:rPr>
        <w:t xml:space="preserve"> ، ج 5 ، ص 279 ، ح 6545.</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 فِي بَيْتِ فَاطِمَةَ </w:t>
      </w:r>
      <w:r w:rsidR="0024456E" w:rsidRPr="0024456E">
        <w:rPr>
          <w:rStyle w:val="libAlaemChar"/>
          <w:rtl/>
        </w:rPr>
        <w:t>عليها‌السلام</w:t>
      </w:r>
      <w:r w:rsidR="00D10E3C">
        <w:rPr>
          <w:rtl/>
          <w:lang w:bidi="fa-IR"/>
        </w:rPr>
        <w:t xml:space="preserve"> </w:t>
      </w:r>
      <w:r>
        <w:rPr>
          <w:rtl/>
          <w:lang w:bidi="fa-IR"/>
        </w:rPr>
        <w:t xml:space="preserve">». </w:t>
      </w:r>
      <w:r w:rsidRPr="00D10E3C">
        <w:rPr>
          <w:rStyle w:val="libFootnotenumChar"/>
          <w:rtl/>
        </w:rPr>
        <w:t>(1)</w:t>
      </w:r>
    </w:p>
    <w:p w:rsidR="00144FA6" w:rsidRDefault="00744A1C" w:rsidP="00744A1C">
      <w:pPr>
        <w:pStyle w:val="libNormal"/>
        <w:rPr>
          <w:rtl/>
          <w:lang w:bidi="fa-IR"/>
        </w:rPr>
      </w:pPr>
      <w:r>
        <w:rPr>
          <w:rtl/>
          <w:lang w:bidi="fa-IR"/>
        </w:rPr>
        <w:t xml:space="preserve">8121 / 14. عِدَّةٌ مِنْ أَصْحَابِنَا ، عَنْ سَهْلِ بْنِ زِيَادٍ ، عَنْ أَيُّوبَ بْنِ نُوحٍ ، عَنْ صَفْوَانَ </w:t>
      </w:r>
      <w:r w:rsidRPr="00D10E3C">
        <w:rPr>
          <w:rStyle w:val="libFootnotenumChar"/>
          <w:rtl/>
        </w:rPr>
        <w:t>(2)</w:t>
      </w:r>
      <w:r>
        <w:rPr>
          <w:rtl/>
          <w:lang w:bidi="fa-IR"/>
        </w:rPr>
        <w:t xml:space="preserve"> وَابْنِ أَبِي عُمَيْرٍ وَغَيْرِ وَاحِدٍ ، عَنْ جَمِيلِ بْنِ دَرَّاجٍ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الصَّلَاةُ فِي بَيْتِ فَاطِمَةَ </w:t>
      </w:r>
      <w:r w:rsidR="0024456E" w:rsidRPr="0024456E">
        <w:rPr>
          <w:rStyle w:val="libAlaemChar"/>
          <w:rtl/>
        </w:rPr>
        <w:t>عليها‌السلام</w:t>
      </w:r>
      <w:r w:rsidR="00D10E3C">
        <w:rPr>
          <w:rtl/>
          <w:lang w:bidi="fa-IR"/>
        </w:rPr>
        <w:t xml:space="preserve"> </w:t>
      </w:r>
      <w:r>
        <w:rPr>
          <w:rtl/>
          <w:lang w:bidi="fa-IR"/>
        </w:rPr>
        <w:t>مِثْلُ الصَّلَاةِ فِي الرَّوْضَةِ؟</w:t>
      </w:r>
    </w:p>
    <w:p w:rsidR="00144FA6" w:rsidRDefault="00744A1C" w:rsidP="00744A1C">
      <w:pPr>
        <w:pStyle w:val="libNormal"/>
        <w:rPr>
          <w:rtl/>
          <w:lang w:bidi="fa-IR"/>
        </w:rPr>
      </w:pPr>
      <w:r>
        <w:rPr>
          <w:rtl/>
          <w:lang w:bidi="fa-IR"/>
        </w:rPr>
        <w:t xml:space="preserve">قَالَ : « وَأَفْضَلُ ». </w:t>
      </w:r>
      <w:r w:rsidRPr="00D10E3C">
        <w:rPr>
          <w:rStyle w:val="libFootnotenumChar"/>
          <w:rtl/>
        </w:rPr>
        <w:t>(3)</w:t>
      </w:r>
    </w:p>
    <w:p w:rsidR="00144FA6" w:rsidRDefault="00744A1C" w:rsidP="0024456E">
      <w:pPr>
        <w:pStyle w:val="Heading2Center"/>
        <w:rPr>
          <w:rtl/>
          <w:lang w:bidi="fa-IR"/>
        </w:rPr>
      </w:pPr>
      <w:bookmarkStart w:id="65" w:name="_Toc49261363"/>
      <w:r>
        <w:rPr>
          <w:rtl/>
          <w:lang w:bidi="fa-IR"/>
        </w:rPr>
        <w:t xml:space="preserve">218 - بَابُ مَقَامِ جَبْرَئِيلَ </w:t>
      </w:r>
      <w:r w:rsidR="0061079A" w:rsidRPr="0061079A">
        <w:rPr>
          <w:rStyle w:val="libAlaemChar"/>
          <w:rtl/>
        </w:rPr>
        <w:t>عليه‌السلام</w:t>
      </w:r>
      <w:bookmarkEnd w:id="65"/>
    </w:p>
    <w:p w:rsidR="0024456E" w:rsidRDefault="00744A1C" w:rsidP="0024456E">
      <w:pPr>
        <w:pStyle w:val="libNormal"/>
        <w:rPr>
          <w:rtl/>
          <w:lang w:bidi="fa-IR"/>
        </w:rPr>
      </w:pPr>
      <w:r>
        <w:rPr>
          <w:rtl/>
          <w:lang w:bidi="fa-IR"/>
        </w:rPr>
        <w:t>8122 / 1. عَلِيُّ بْنُ إِبْرَاهِيمَ ، عَنْ أَبِيهِ ؛</w:t>
      </w:r>
    </w:p>
    <w:p w:rsidR="00144FA6" w:rsidRDefault="0024456E" w:rsidP="0024456E">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(4)</w:t>
      </w:r>
      <w:r w:rsidR="00744A1C">
        <w:rPr>
          <w:rtl/>
          <w:lang w:bidi="fa-IR"/>
        </w:rPr>
        <w:t xml:space="preserve"> مُحَمَّدُ بْنُ إِسْمَاعِيلَ ، عَنِ الْفَضْلِ بْنِ شَاذَانَ </w:t>
      </w:r>
      <w:r w:rsidR="00744A1C" w:rsidRPr="00D10E3C">
        <w:rPr>
          <w:rStyle w:val="libFootnotenumChar"/>
          <w:rtl/>
        </w:rPr>
        <w:t>(5)</w:t>
      </w:r>
      <w:r w:rsidR="00744A1C">
        <w:rPr>
          <w:rtl/>
          <w:lang w:bidi="fa-IR"/>
        </w:rPr>
        <w:t xml:space="preserve"> ، عَنْ صَفْوَانَ بْنِ يَحْيى </w:t>
      </w:r>
      <w:r w:rsidR="00744A1C" w:rsidRPr="00D10E3C">
        <w:rPr>
          <w:rStyle w:val="libFootnotenumChar"/>
          <w:rtl/>
        </w:rPr>
        <w:t>(6)</w:t>
      </w:r>
      <w:r w:rsidR="00744A1C">
        <w:rPr>
          <w:rtl/>
          <w:lang w:bidi="fa-IR"/>
        </w:rPr>
        <w:t xml:space="preserve"> ، عَنْ مُعَاوِيَةَ بْنِ عَمَّارٍ </w:t>
      </w:r>
      <w:r w:rsidR="00744A1C" w:rsidRPr="00D10E3C">
        <w:rPr>
          <w:rStyle w:val="libFootnotenumChar"/>
          <w:rtl/>
        </w:rPr>
        <w:t>(7)</w:t>
      </w:r>
      <w:r w:rsidR="00744A1C">
        <w:rPr>
          <w:rtl/>
          <w:lang w:bidi="fa-IR"/>
        </w:rPr>
        <w:t xml:space="preserve">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ائْتِ </w:t>
      </w:r>
      <w:r w:rsidRPr="00D10E3C">
        <w:rPr>
          <w:rStyle w:val="libFootnotenumChar"/>
          <w:rtl/>
        </w:rPr>
        <w:t>(8)</w:t>
      </w:r>
      <w:r>
        <w:rPr>
          <w:rtl/>
          <w:lang w:bidi="fa-IR"/>
        </w:rPr>
        <w:t xml:space="preserve"> مَقَامَ جَبْرَئِيلَ </w:t>
      </w:r>
      <w:r w:rsidR="0061079A" w:rsidRPr="0061079A">
        <w:rPr>
          <w:rStyle w:val="libAlaemChar"/>
          <w:rtl/>
        </w:rPr>
        <w:t>عليه‌السلام</w:t>
      </w:r>
      <w:r w:rsidR="00D10E3C">
        <w:rPr>
          <w:rtl/>
          <w:lang w:bidi="fa-IR"/>
        </w:rPr>
        <w:t xml:space="preserve"> </w:t>
      </w:r>
      <w:r>
        <w:rPr>
          <w:rtl/>
          <w:lang w:bidi="fa-IR"/>
        </w:rPr>
        <w:t xml:space="preserve">وَهُوَ تَحْتَ الْمِيزَابِ ؛ فَإِنَّهُ كَانَ مَقَامَهُ </w:t>
      </w:r>
      <w:r w:rsidRPr="00D10E3C">
        <w:rPr>
          <w:rStyle w:val="libFootnotenumChar"/>
          <w:rtl/>
        </w:rPr>
        <w:t>(9)</w:t>
      </w:r>
      <w:r>
        <w:rPr>
          <w:rtl/>
          <w:lang w:bidi="fa-IR"/>
        </w:rPr>
        <w:t xml:space="preserve"> إِذَا اسْتَأْذَنَ عَلى رَسُولِ اللهِ </w:t>
      </w:r>
      <w:r w:rsidRPr="00D10E3C">
        <w:rPr>
          <w:rStyle w:val="libFootnotenumChar"/>
          <w:rtl/>
        </w:rPr>
        <w:t>(10)</w:t>
      </w:r>
      <w:r>
        <w:rPr>
          <w:rtl/>
          <w:lang w:bidi="fa-IR"/>
        </w:rPr>
        <w:t xml:space="preserve"> </w:t>
      </w:r>
      <w:r w:rsidR="005E465D" w:rsidRPr="005E465D">
        <w:rPr>
          <w:rStyle w:val="libAlaemChar"/>
          <w:rtl/>
        </w:rPr>
        <w:t>صلى‌الله‌عليه‌وآله</w:t>
      </w:r>
      <w:r>
        <w:rPr>
          <w:rtl/>
          <w:lang w:bidi="fa-IR"/>
        </w:rPr>
        <w:t xml:space="preserve"> ، وَقُلْ </w:t>
      </w:r>
      <w:r w:rsidRPr="00D10E3C">
        <w:rPr>
          <w:rStyle w:val="libFootnotenumChar"/>
          <w:rtl/>
        </w:rPr>
        <w:t>(11)</w:t>
      </w:r>
      <w:r>
        <w:rPr>
          <w:rtl/>
          <w:lang w:bidi="fa-IR"/>
        </w:rPr>
        <w:t xml:space="preserve"> : أَيْ جَوَادُ ، أَيْ كَرِيمُ ، أَيْ قَرِيبُ ، أَيْ بَعِيدُ ، أَسْأَلُكَ أَنْ تُصَلِّيَ عَلى مُحَمَّدٍ وَأَهْلِ بَيْتِهِ ، وَأَسْأَلُكَ </w:t>
      </w:r>
      <w:r w:rsidRPr="00D10E3C">
        <w:rPr>
          <w:rStyle w:val="libFootnotenumChar"/>
          <w:rtl/>
        </w:rPr>
        <w:t>(12)</w:t>
      </w:r>
      <w:r>
        <w:rPr>
          <w:rtl/>
          <w:lang w:bidi="fa-IR"/>
        </w:rPr>
        <w:t xml:space="preserve"> أَنْ تَرُدَّ عَلَيَّ نِعْمَتَكَ </w:t>
      </w:r>
      <w:r w:rsidRPr="00D10E3C">
        <w:rPr>
          <w:rStyle w:val="libFootnotenumChar"/>
          <w:rtl/>
        </w:rPr>
        <w:t>(13)</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6 ، ص 8 ، ح 16 ، معلّقاً عن الكليني </w:t>
      </w:r>
      <w:r w:rsidR="0024456E">
        <w:rPr>
          <w:rFonts w:hint="cs"/>
          <w:rtl/>
          <w:lang w:bidi="fa-IR"/>
        </w:rPr>
        <w:t>.</w:t>
      </w:r>
      <w:r w:rsidR="00744A1C" w:rsidRPr="00C24F9C">
        <w:rPr>
          <w:rStyle w:val="libFootnoteBoldChar"/>
          <w:rtl/>
        </w:rPr>
        <w:t>الوافي</w:t>
      </w:r>
      <w:r w:rsidR="00744A1C">
        <w:rPr>
          <w:rtl/>
          <w:lang w:bidi="fa-IR"/>
        </w:rPr>
        <w:t xml:space="preserve"> ، ج 14 ، ص 1365 ، ح 14406 ؛ </w:t>
      </w:r>
      <w:r w:rsidR="00744A1C" w:rsidRPr="00C24F9C">
        <w:rPr>
          <w:rStyle w:val="libFootnoteBoldChar"/>
          <w:rtl/>
        </w:rPr>
        <w:t>الوسائل</w:t>
      </w:r>
      <w:r w:rsidR="00744A1C">
        <w:rPr>
          <w:rtl/>
          <w:lang w:bidi="fa-IR"/>
        </w:rPr>
        <w:t xml:space="preserve"> ، ج 5 ، ص 284 ، ح 6560 ؛ </w:t>
      </w:r>
      <w:r w:rsidR="00744A1C" w:rsidRPr="0061079A">
        <w:rPr>
          <w:rStyle w:val="libFootnoteBoldChar"/>
          <w:rtl/>
        </w:rPr>
        <w:t>البحار</w:t>
      </w:r>
      <w:r w:rsidR="00744A1C">
        <w:rPr>
          <w:rtl/>
          <w:lang w:bidi="fa-IR"/>
        </w:rPr>
        <w:t xml:space="preserve"> ، ج 100 ، ص 193 ، ح 5.</w:t>
      </w:r>
    </w:p>
    <w:p w:rsidR="00744A1C" w:rsidRDefault="00E378DD" w:rsidP="00E378DD">
      <w:pPr>
        <w:pStyle w:val="libFootnote0"/>
        <w:rPr>
          <w:lang w:bidi="fa-IR"/>
        </w:rPr>
      </w:pPr>
      <w:r>
        <w:rPr>
          <w:rtl/>
          <w:lang w:bidi="fa-IR"/>
        </w:rPr>
        <w:t>(2).</w:t>
      </w:r>
      <w:r w:rsidR="00744A1C">
        <w:rPr>
          <w:rtl/>
          <w:lang w:bidi="fa-IR"/>
        </w:rPr>
        <w:t xml:space="preserve"> في « ى » : + « بن يحيى ». وفي </w:t>
      </w:r>
      <w:r w:rsidR="00744A1C" w:rsidRPr="0061079A">
        <w:rPr>
          <w:rStyle w:val="libFootnoteBoldChar"/>
          <w:rtl/>
        </w:rPr>
        <w:t>البحار</w:t>
      </w:r>
      <w:r w:rsidR="00744A1C">
        <w:rPr>
          <w:rtl/>
          <w:lang w:bidi="fa-IR"/>
        </w:rPr>
        <w:t xml:space="preserve"> : « وصفوان » بدل « عن صفوان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14 ، ص 1365 ، ح 14407 ؛ </w:t>
      </w:r>
      <w:r w:rsidR="00744A1C" w:rsidRPr="00C24F9C">
        <w:rPr>
          <w:rStyle w:val="libFootnoteBoldChar"/>
          <w:rtl/>
        </w:rPr>
        <w:t>الوسائل</w:t>
      </w:r>
      <w:r w:rsidR="00744A1C">
        <w:rPr>
          <w:rtl/>
          <w:lang w:bidi="fa-IR"/>
        </w:rPr>
        <w:t xml:space="preserve"> ، ج 5 ، ص 285 ، ح 6561 ؛ </w:t>
      </w:r>
      <w:r w:rsidR="00744A1C" w:rsidRPr="0061079A">
        <w:rPr>
          <w:rStyle w:val="libFootnoteBoldChar"/>
          <w:rtl/>
        </w:rPr>
        <w:t>البحار</w:t>
      </w:r>
      <w:r w:rsidR="00744A1C">
        <w:rPr>
          <w:rtl/>
          <w:lang w:bidi="fa-IR"/>
        </w:rPr>
        <w:t xml:space="preserve"> ، ج 100 ، ص 193 ، ح 6.</w:t>
      </w:r>
    </w:p>
    <w:p w:rsidR="00744A1C" w:rsidRDefault="00E378DD" w:rsidP="00E378DD">
      <w:pPr>
        <w:pStyle w:val="libFootnote0"/>
        <w:rPr>
          <w:lang w:bidi="fa-IR"/>
        </w:rPr>
      </w:pPr>
      <w:r>
        <w:rPr>
          <w:rtl/>
          <w:lang w:bidi="fa-IR"/>
        </w:rPr>
        <w:t>(4).</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24456E" w:rsidTr="0024456E">
        <w:tc>
          <w:tcPr>
            <w:tcW w:w="4006" w:type="dxa"/>
          </w:tcPr>
          <w:p w:rsidR="0024456E" w:rsidRDefault="0024456E" w:rsidP="00E378DD">
            <w:pPr>
              <w:pStyle w:val="libFootnote0"/>
              <w:rPr>
                <w:rtl/>
                <w:lang w:bidi="fa-IR"/>
              </w:rPr>
            </w:pPr>
            <w:r>
              <w:rPr>
                <w:rtl/>
                <w:lang w:bidi="fa-IR"/>
              </w:rPr>
              <w:t xml:space="preserve">(5). في </w:t>
            </w:r>
            <w:r w:rsidRPr="00C24F9C">
              <w:rPr>
                <w:rStyle w:val="libFootnoteBoldChar"/>
                <w:rtl/>
              </w:rPr>
              <w:t>الوسائل</w:t>
            </w:r>
            <w:r>
              <w:rPr>
                <w:rtl/>
                <w:lang w:bidi="fa-IR"/>
              </w:rPr>
              <w:t xml:space="preserve"> : + « جميعاً ».</w:t>
            </w:r>
          </w:p>
        </w:tc>
        <w:tc>
          <w:tcPr>
            <w:tcW w:w="4006" w:type="dxa"/>
          </w:tcPr>
          <w:p w:rsidR="0024456E" w:rsidRDefault="0024456E" w:rsidP="00E378DD">
            <w:pPr>
              <w:pStyle w:val="libFootnote0"/>
              <w:rPr>
                <w:rtl/>
                <w:lang w:bidi="fa-IR"/>
              </w:rPr>
            </w:pPr>
            <w:r>
              <w:rPr>
                <w:rtl/>
                <w:lang w:bidi="fa-IR"/>
              </w:rPr>
              <w:t xml:space="preserve">(6). في </w:t>
            </w:r>
            <w:r w:rsidRPr="0061079A">
              <w:rPr>
                <w:rStyle w:val="libFootnoteBoldChar"/>
                <w:rtl/>
              </w:rPr>
              <w:t>الكافي</w:t>
            </w:r>
            <w:r>
              <w:rPr>
                <w:rtl/>
                <w:lang w:bidi="fa-IR"/>
              </w:rPr>
              <w:t xml:space="preserve"> ، ح 7704 : + « وابن أبي عمير ».</w:t>
            </w:r>
          </w:p>
        </w:tc>
      </w:tr>
    </w:tbl>
    <w:p w:rsidR="00744A1C" w:rsidRDefault="00E378DD" w:rsidP="00E378DD">
      <w:pPr>
        <w:pStyle w:val="libFootnote0"/>
        <w:rPr>
          <w:lang w:bidi="fa-IR"/>
        </w:rPr>
      </w:pPr>
      <w:r>
        <w:rPr>
          <w:rtl/>
          <w:lang w:bidi="fa-IR"/>
        </w:rPr>
        <w:t>(7).</w:t>
      </w:r>
      <w:r w:rsidR="00744A1C">
        <w:rPr>
          <w:rtl/>
          <w:lang w:bidi="fa-IR"/>
        </w:rPr>
        <w:t xml:space="preserve"> هكذا في </w:t>
      </w:r>
      <w:r w:rsidR="00744A1C" w:rsidRPr="0024456E">
        <w:rPr>
          <w:rtl/>
        </w:rPr>
        <w:t>الوسائل والبحار</w:t>
      </w:r>
      <w:r w:rsidR="0024456E">
        <w:rPr>
          <w:rtl/>
          <w:lang w:bidi="fa-IR"/>
        </w:rPr>
        <w:t>. ونقله العل</w:t>
      </w:r>
      <w:r w:rsidR="0024456E">
        <w:rPr>
          <w:rFonts w:hint="cs"/>
          <w:rtl/>
          <w:lang w:bidi="fa-IR"/>
        </w:rPr>
        <w:t>ّ</w:t>
      </w:r>
      <w:r w:rsidR="0024456E">
        <w:rPr>
          <w:rtl/>
          <w:lang w:bidi="fa-IR"/>
        </w:rPr>
        <w:t>ا</w:t>
      </w:r>
      <w:r w:rsidR="00744A1C">
        <w:rPr>
          <w:rtl/>
          <w:lang w:bidi="fa-IR"/>
        </w:rPr>
        <w:t xml:space="preserve">مة الخبير السيّد موسى الشبيري </w:t>
      </w:r>
      <w:r w:rsidR="0024456E">
        <w:rPr>
          <w:rtl/>
          <w:lang w:bidi="fa-IR"/>
        </w:rPr>
        <w:t>- دام ظلّه - من نسخة رمز عنها ب</w:t>
      </w:r>
      <w:r w:rsidR="0024456E">
        <w:rPr>
          <w:rFonts w:hint="cs"/>
          <w:rtl/>
          <w:lang w:bidi="fa-IR"/>
        </w:rPr>
        <w:t>ـ</w:t>
      </w:r>
      <w:r w:rsidR="00744A1C">
        <w:rPr>
          <w:rtl/>
          <w:lang w:bidi="fa-IR"/>
        </w:rPr>
        <w:t xml:space="preserve"> « ش » كما أثبتناه. وفي « ى ، بث ، بح ، بخ ، بس ، بف ، جد ، جر ، جن » والمطبوع : + « جميعاً » ، وهو سهو واضح.</w:t>
      </w:r>
    </w:p>
    <w:tbl>
      <w:tblPr>
        <w:tblStyle w:val="TableGrid"/>
        <w:bidiVisual/>
        <w:tblW w:w="0" w:type="auto"/>
        <w:tblLook w:val="04A0" w:firstRow="1" w:lastRow="0" w:firstColumn="1" w:lastColumn="0" w:noHBand="0" w:noVBand="1"/>
      </w:tblPr>
      <w:tblGrid>
        <w:gridCol w:w="4006"/>
        <w:gridCol w:w="4006"/>
      </w:tblGrid>
      <w:tr w:rsidR="0024456E" w:rsidTr="0024456E">
        <w:tc>
          <w:tcPr>
            <w:tcW w:w="4006" w:type="dxa"/>
          </w:tcPr>
          <w:p w:rsidR="0024456E" w:rsidRDefault="0024456E" w:rsidP="00E378DD">
            <w:pPr>
              <w:pStyle w:val="libFootnote0"/>
              <w:rPr>
                <w:rtl/>
                <w:lang w:bidi="fa-IR"/>
              </w:rPr>
            </w:pPr>
            <w:r>
              <w:rPr>
                <w:rtl/>
                <w:lang w:bidi="fa-IR"/>
              </w:rPr>
              <w:t xml:space="preserve">(8). في </w:t>
            </w:r>
            <w:r w:rsidRPr="0024456E">
              <w:rPr>
                <w:rtl/>
              </w:rPr>
              <w:t>الكافي</w:t>
            </w:r>
            <w:r>
              <w:rPr>
                <w:rtl/>
                <w:lang w:bidi="fa-IR"/>
              </w:rPr>
              <w:t xml:space="preserve"> ، ح 7704 : « تأتي ».</w:t>
            </w:r>
          </w:p>
        </w:tc>
        <w:tc>
          <w:tcPr>
            <w:tcW w:w="4006" w:type="dxa"/>
          </w:tcPr>
          <w:p w:rsidR="0024456E" w:rsidRDefault="0024456E" w:rsidP="00E378DD">
            <w:pPr>
              <w:pStyle w:val="libFootnote0"/>
              <w:rPr>
                <w:rtl/>
                <w:lang w:bidi="fa-IR"/>
              </w:rPr>
            </w:pPr>
            <w:r>
              <w:rPr>
                <w:rtl/>
                <w:lang w:bidi="fa-IR"/>
              </w:rPr>
              <w:t xml:space="preserve">(9). في </w:t>
            </w:r>
            <w:r w:rsidRPr="0024456E">
              <w:rPr>
                <w:rtl/>
              </w:rPr>
              <w:t>الكافي</w:t>
            </w:r>
            <w:r>
              <w:rPr>
                <w:rtl/>
                <w:lang w:bidi="fa-IR"/>
              </w:rPr>
              <w:t xml:space="preserve"> ، ح 7704 : « مكانه ».</w:t>
            </w:r>
          </w:p>
        </w:tc>
      </w:tr>
      <w:tr w:rsidR="0024456E" w:rsidTr="0024456E">
        <w:tc>
          <w:tcPr>
            <w:tcW w:w="4006" w:type="dxa"/>
          </w:tcPr>
          <w:p w:rsidR="0024456E" w:rsidRDefault="0024456E" w:rsidP="00E378DD">
            <w:pPr>
              <w:pStyle w:val="libFootnote0"/>
              <w:rPr>
                <w:rtl/>
                <w:lang w:bidi="fa-IR"/>
              </w:rPr>
            </w:pPr>
            <w:r>
              <w:rPr>
                <w:rtl/>
                <w:lang w:bidi="fa-IR"/>
              </w:rPr>
              <w:t xml:space="preserve">(10). في </w:t>
            </w:r>
            <w:r w:rsidRPr="0024456E">
              <w:rPr>
                <w:rtl/>
              </w:rPr>
              <w:t>الكافي</w:t>
            </w:r>
            <w:r>
              <w:rPr>
                <w:rtl/>
                <w:lang w:bidi="fa-IR"/>
              </w:rPr>
              <w:t xml:space="preserve"> ، ح 7704 ، </w:t>
            </w:r>
            <w:r w:rsidRPr="0024456E">
              <w:rPr>
                <w:rtl/>
              </w:rPr>
              <w:t>والفقيه</w:t>
            </w:r>
            <w:r>
              <w:rPr>
                <w:rtl/>
                <w:lang w:bidi="fa-IR"/>
              </w:rPr>
              <w:t xml:space="preserve"> : « نبيّ الله ».</w:t>
            </w:r>
          </w:p>
        </w:tc>
        <w:tc>
          <w:tcPr>
            <w:tcW w:w="4006" w:type="dxa"/>
          </w:tcPr>
          <w:p w:rsidR="0024456E" w:rsidRDefault="0024456E" w:rsidP="0024456E">
            <w:pPr>
              <w:pStyle w:val="libFootnote0"/>
              <w:rPr>
                <w:rtl/>
                <w:lang w:bidi="fa-IR"/>
              </w:rPr>
            </w:pPr>
            <w:r>
              <w:rPr>
                <w:rtl/>
                <w:lang w:bidi="fa-IR"/>
              </w:rPr>
              <w:t xml:space="preserve">(11). في </w:t>
            </w:r>
            <w:r w:rsidRPr="00C24F9C">
              <w:rPr>
                <w:rStyle w:val="libFootnoteBoldChar"/>
                <w:rtl/>
              </w:rPr>
              <w:t>الوسائل</w:t>
            </w:r>
            <w:r>
              <w:rPr>
                <w:rtl/>
                <w:lang w:bidi="fa-IR"/>
              </w:rPr>
              <w:t xml:space="preserve"> </w:t>
            </w:r>
            <w:r w:rsidRPr="0061079A">
              <w:rPr>
                <w:rStyle w:val="libFootnoteBoldChar"/>
                <w:rtl/>
              </w:rPr>
              <w:t>والتهذيب</w:t>
            </w:r>
            <w:r>
              <w:rPr>
                <w:rtl/>
                <w:lang w:bidi="fa-IR"/>
              </w:rPr>
              <w:t xml:space="preserve"> : « فقل ».</w:t>
            </w:r>
          </w:p>
        </w:tc>
      </w:tr>
    </w:tbl>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الوسائل</w:t>
      </w:r>
      <w:r w:rsidR="00744A1C">
        <w:rPr>
          <w:rtl/>
          <w:lang w:bidi="fa-IR"/>
        </w:rPr>
        <w:t xml:space="preserve"> : - « أسألك ».</w:t>
      </w:r>
    </w:p>
    <w:p w:rsidR="00744A1C" w:rsidRDefault="00E378DD" w:rsidP="00E378DD">
      <w:pPr>
        <w:pStyle w:val="libFootnote0"/>
        <w:rPr>
          <w:lang w:bidi="fa-IR"/>
        </w:rPr>
      </w:pPr>
      <w:r>
        <w:rPr>
          <w:rtl/>
          <w:lang w:bidi="fa-IR"/>
        </w:rPr>
        <w:t>(13).</w:t>
      </w:r>
      <w:r w:rsidR="00744A1C">
        <w:rPr>
          <w:rtl/>
          <w:lang w:bidi="fa-IR"/>
        </w:rPr>
        <w:t xml:space="preserve"> في </w:t>
      </w:r>
      <w:r w:rsidR="00744A1C" w:rsidRPr="0061079A">
        <w:rPr>
          <w:rStyle w:val="libFootnoteBoldChar"/>
          <w:rtl/>
        </w:rPr>
        <w:t>الكافي</w:t>
      </w:r>
      <w:r w:rsidR="00744A1C">
        <w:rPr>
          <w:rtl/>
          <w:lang w:bidi="fa-IR"/>
        </w:rPr>
        <w:t xml:space="preserve"> ، ح 7704 : - « وقل : أي جواد ، أي كريم » إلى هنا.</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قَالَ : « وَ</w:t>
      </w:r>
      <w:r w:rsidR="001E1F8B">
        <w:rPr>
          <w:rFonts w:hint="cs"/>
          <w:rtl/>
          <w:lang w:bidi="fa-IR"/>
        </w:rPr>
        <w:t xml:space="preserve"> </w:t>
      </w:r>
      <w:r>
        <w:rPr>
          <w:rtl/>
          <w:lang w:bidi="fa-IR"/>
        </w:rPr>
        <w:t xml:space="preserve">ذلِكَ </w:t>
      </w:r>
      <w:r w:rsidRPr="00D10E3C">
        <w:rPr>
          <w:rStyle w:val="libFootnotenumChar"/>
          <w:rtl/>
        </w:rPr>
        <w:t>(1)</w:t>
      </w:r>
      <w:r>
        <w:rPr>
          <w:rtl/>
          <w:lang w:bidi="fa-IR"/>
        </w:rPr>
        <w:t xml:space="preserve"> مَقَامٌ لَاتَدْعُو </w:t>
      </w:r>
      <w:r w:rsidRPr="00D10E3C">
        <w:rPr>
          <w:rStyle w:val="libFootnotenumChar"/>
          <w:rtl/>
        </w:rPr>
        <w:t>(2)</w:t>
      </w:r>
      <w:r>
        <w:rPr>
          <w:rtl/>
          <w:lang w:bidi="fa-IR"/>
        </w:rPr>
        <w:t xml:space="preserve"> فِيهِ حَائِضٌ تَسْتَقْبِلُ الْقِبْلَةَ ، ثُمَّ تَدْعُو </w:t>
      </w:r>
      <w:r w:rsidRPr="00D10E3C">
        <w:rPr>
          <w:rStyle w:val="libFootnotenumChar"/>
          <w:rtl/>
        </w:rPr>
        <w:t>(3)</w:t>
      </w:r>
      <w:r w:rsidR="001E1F8B">
        <w:rPr>
          <w:rtl/>
          <w:lang w:bidi="fa-IR"/>
        </w:rPr>
        <w:t xml:space="preserve"> بِدُعَاءِ الدَّمِ إِل</w:t>
      </w:r>
      <w:r w:rsidR="001E1F8B">
        <w:rPr>
          <w:rFonts w:hint="cs"/>
          <w:rtl/>
          <w:lang w:bidi="fa-IR"/>
        </w:rPr>
        <w:t>َّ</w:t>
      </w:r>
      <w:r w:rsidR="001E1F8B">
        <w:rPr>
          <w:rtl/>
          <w:lang w:bidi="fa-IR"/>
        </w:rPr>
        <w:t>ا</w:t>
      </w:r>
      <w:r>
        <w:rPr>
          <w:rtl/>
          <w:lang w:bidi="fa-IR"/>
        </w:rPr>
        <w:t xml:space="preserve"> رَأَتِ الطُّهْرَ إِنْ شَاءَ اللهُ ». </w:t>
      </w:r>
      <w:r w:rsidRPr="00D10E3C">
        <w:rPr>
          <w:rStyle w:val="libFootnotenumChar"/>
          <w:rtl/>
        </w:rPr>
        <w:t>(4)</w:t>
      </w:r>
    </w:p>
    <w:p w:rsidR="00744A1C" w:rsidRDefault="00744A1C" w:rsidP="001E1F8B">
      <w:pPr>
        <w:pStyle w:val="Heading2Center"/>
        <w:rPr>
          <w:lang w:bidi="fa-IR"/>
        </w:rPr>
      </w:pPr>
      <w:bookmarkStart w:id="66" w:name="_Toc49261364"/>
      <w:r>
        <w:rPr>
          <w:rtl/>
          <w:lang w:bidi="fa-IR"/>
        </w:rPr>
        <w:t>219 - بَابُ فَضْلِ الْمُقَامِ بِالْمَدِينَةِ وَالصَّوْمِ وَالاعْتِكَافِ عِنْدَ الْأَسَاطِينِ‌</w:t>
      </w:r>
      <w:bookmarkEnd w:id="66"/>
    </w:p>
    <w:p w:rsidR="00144FA6" w:rsidRDefault="00744A1C" w:rsidP="00744A1C">
      <w:pPr>
        <w:pStyle w:val="libNormal"/>
        <w:rPr>
          <w:rtl/>
          <w:lang w:bidi="fa-IR"/>
        </w:rPr>
      </w:pPr>
      <w:r>
        <w:rPr>
          <w:rtl/>
          <w:lang w:bidi="fa-IR"/>
        </w:rPr>
        <w:t xml:space="preserve">8123 / 1. مُحَمَّدُ بْنُ يَحْيى ، عَنْ أَحْمَدَ بْنِ مُحَمَّدٍ ، عَنِ ابْنِ فَضَّالٍ ، عَنِ الْحَسَنِ بْنِ الْجَهْمِ </w:t>
      </w:r>
      <w:r w:rsidRPr="00D10E3C">
        <w:rPr>
          <w:rStyle w:val="libFootnotenumChar"/>
          <w:rtl/>
        </w:rPr>
        <w:t>(5)</w:t>
      </w:r>
      <w:r>
        <w:rPr>
          <w:rtl/>
          <w:lang w:bidi="fa-IR"/>
        </w:rPr>
        <w:t xml:space="preserve"> ، قَالَ :</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 xml:space="preserve">: أَيُّمَا </w:t>
      </w:r>
      <w:r w:rsidRPr="00D10E3C">
        <w:rPr>
          <w:rStyle w:val="libFootnotenumChar"/>
          <w:rtl/>
        </w:rPr>
        <w:t>(6)</w:t>
      </w:r>
      <w:r>
        <w:rPr>
          <w:rtl/>
          <w:lang w:bidi="fa-IR"/>
        </w:rPr>
        <w:t xml:space="preserve"> أَفْضَلُ : الْمُقَامُ بِمَكَّةَ ، أَوْ بِالْمَدِينَةِ؟</w:t>
      </w:r>
    </w:p>
    <w:p w:rsidR="00744A1C" w:rsidRDefault="00744A1C" w:rsidP="00744A1C">
      <w:pPr>
        <w:pStyle w:val="libNormal"/>
        <w:rPr>
          <w:lang w:bidi="fa-IR"/>
        </w:rPr>
      </w:pPr>
      <w:r>
        <w:rPr>
          <w:rtl/>
          <w:lang w:bidi="fa-IR"/>
        </w:rPr>
        <w:t>فَقَالَ : « أَيَّ شَيْ‌ءٍ تَقُولُ أَنْتَ؟ ».</w:t>
      </w:r>
    </w:p>
    <w:p w:rsidR="00744A1C" w:rsidRDefault="00744A1C" w:rsidP="00744A1C">
      <w:pPr>
        <w:pStyle w:val="libNormal"/>
        <w:rPr>
          <w:lang w:bidi="fa-IR"/>
        </w:rPr>
      </w:pPr>
      <w:r>
        <w:rPr>
          <w:rtl/>
          <w:lang w:bidi="fa-IR"/>
        </w:rPr>
        <w:t xml:space="preserve">قَالَ : فَقُلْتُ </w:t>
      </w:r>
      <w:r w:rsidRPr="00D10E3C">
        <w:rPr>
          <w:rStyle w:val="libFootnotenumChar"/>
          <w:rtl/>
        </w:rPr>
        <w:t>(7)</w:t>
      </w:r>
      <w:r>
        <w:rPr>
          <w:rtl/>
          <w:lang w:bidi="fa-IR"/>
        </w:rPr>
        <w:t xml:space="preserve"> : وَمَا قَوْلِي مَعَ قَوْلِكَ؟</w:t>
      </w:r>
    </w:p>
    <w:p w:rsidR="00744A1C" w:rsidRDefault="00744A1C" w:rsidP="00744A1C">
      <w:pPr>
        <w:pStyle w:val="libNormal"/>
        <w:rPr>
          <w:lang w:bidi="fa-IR"/>
        </w:rPr>
      </w:pPr>
      <w:r>
        <w:rPr>
          <w:rtl/>
          <w:lang w:bidi="fa-IR"/>
        </w:rPr>
        <w:t xml:space="preserve">قَالَ </w:t>
      </w:r>
      <w:r w:rsidRPr="00D10E3C">
        <w:rPr>
          <w:rStyle w:val="libFootnotenumChar"/>
          <w:rtl/>
        </w:rPr>
        <w:t>(8)</w:t>
      </w:r>
      <w:r>
        <w:rPr>
          <w:rtl/>
          <w:lang w:bidi="fa-IR"/>
        </w:rPr>
        <w:t xml:space="preserve"> : « إِنَّ قَوْلَكَ يَرُدُّكَ </w:t>
      </w:r>
      <w:r w:rsidRPr="00D10E3C">
        <w:rPr>
          <w:rStyle w:val="libFootnotenumChar"/>
          <w:rtl/>
        </w:rPr>
        <w:t>(9)</w:t>
      </w:r>
      <w:r>
        <w:rPr>
          <w:rtl/>
          <w:lang w:bidi="fa-IR"/>
        </w:rPr>
        <w:t xml:space="preserve"> إِلى قَوْلِي ».</w:t>
      </w:r>
    </w:p>
    <w:p w:rsidR="00744A1C" w:rsidRDefault="00744A1C" w:rsidP="00744A1C">
      <w:pPr>
        <w:pStyle w:val="libNormal"/>
        <w:rPr>
          <w:lang w:bidi="fa-IR"/>
        </w:rPr>
      </w:pPr>
      <w:r>
        <w:rPr>
          <w:rtl/>
          <w:lang w:bidi="fa-IR"/>
        </w:rPr>
        <w:t xml:space="preserve">قَالَ : فَقُلْتُ لَهُ </w:t>
      </w:r>
      <w:r w:rsidRPr="00D10E3C">
        <w:rPr>
          <w:rStyle w:val="libFootnotenumChar"/>
          <w:rtl/>
        </w:rPr>
        <w:t>(10)</w:t>
      </w:r>
      <w:r>
        <w:rPr>
          <w:rtl/>
          <w:lang w:bidi="fa-IR"/>
        </w:rPr>
        <w:t xml:space="preserve"> : أَمَّا أَنَا فَأَزْعُمُ أَنَّ الْمُقَامَ بِالْمَدِينَةِ أَفْضَلُ مِنَ الْمُقَامِ </w:t>
      </w:r>
      <w:r w:rsidRPr="00D10E3C">
        <w:rPr>
          <w:rStyle w:val="libFootnotenumChar"/>
          <w:rtl/>
        </w:rPr>
        <w:t>(11)</w:t>
      </w:r>
      <w:r>
        <w:rPr>
          <w:rtl/>
          <w:lang w:bidi="fa-IR"/>
        </w:rPr>
        <w:t xml:space="preserve"> بِمَكَّةَ.</w:t>
      </w:r>
    </w:p>
    <w:p w:rsidR="00744A1C" w:rsidRDefault="00744A1C" w:rsidP="00744A1C">
      <w:pPr>
        <w:pStyle w:val="libNormal"/>
        <w:rPr>
          <w:lang w:bidi="fa-IR"/>
        </w:rPr>
      </w:pPr>
      <w:r>
        <w:rPr>
          <w:rtl/>
          <w:lang w:bidi="fa-IR"/>
        </w:rPr>
        <w:t xml:space="preserve">قَالَ </w:t>
      </w:r>
      <w:r w:rsidRPr="00D10E3C">
        <w:rPr>
          <w:rStyle w:val="libFootnotenumChar"/>
          <w:rtl/>
        </w:rPr>
        <w:t>(12)</w:t>
      </w:r>
      <w:r>
        <w:rPr>
          <w:rtl/>
          <w:lang w:bidi="fa-IR"/>
        </w:rPr>
        <w:t xml:space="preserve"> : فَقَالَ : « أَمَا لَئِنْ قُلْتَ ذلِكَ ، لَقَدْ قَالَ أَبُو عَبْدِ اللهِ </w:t>
      </w:r>
      <w:r w:rsidR="0061079A" w:rsidRPr="0061079A">
        <w:rPr>
          <w:rStyle w:val="libAlaemChar"/>
          <w:rtl/>
        </w:rPr>
        <w:t>عليه‌السلام</w:t>
      </w:r>
      <w:r w:rsidR="00D10E3C">
        <w:rPr>
          <w:rtl/>
          <w:lang w:bidi="fa-IR"/>
        </w:rPr>
        <w:t xml:space="preserve"> </w:t>
      </w:r>
      <w:r>
        <w:rPr>
          <w:rtl/>
          <w:lang w:bidi="fa-IR"/>
        </w:rPr>
        <w:t xml:space="preserve">ذَاكَ </w:t>
      </w:r>
      <w:r w:rsidRPr="00D10E3C">
        <w:rPr>
          <w:rStyle w:val="libFootnotenumChar"/>
          <w:rtl/>
        </w:rPr>
        <w:t>(13)</w:t>
      </w:r>
      <w:r>
        <w:rPr>
          <w:rtl/>
          <w:lang w:bidi="fa-IR"/>
        </w:rPr>
        <w:t xml:space="preserve"> يَوْمَ فِطْرٍ ، وَجَاءَ إِلى رَسُولِ اللهِ </w:t>
      </w:r>
      <w:r w:rsidRPr="00D10E3C">
        <w:rPr>
          <w:rStyle w:val="libFootnotenumChar"/>
          <w:rtl/>
        </w:rPr>
        <w:t>(14)</w:t>
      </w:r>
      <w:r>
        <w:rPr>
          <w:rtl/>
          <w:lang w:bidi="fa-IR"/>
        </w:rPr>
        <w:t xml:space="preserve"> </w:t>
      </w:r>
      <w:r w:rsidR="0017097C" w:rsidRPr="0017097C">
        <w:rPr>
          <w:rStyle w:val="libAlaemChar"/>
          <w:rtl/>
        </w:rPr>
        <w:t>صلى‌الله‌عليه‌وآله</w:t>
      </w:r>
      <w:r w:rsidR="00D10E3C">
        <w:rPr>
          <w:rtl/>
          <w:lang w:bidi="fa-IR"/>
        </w:rPr>
        <w:t xml:space="preserve"> </w:t>
      </w:r>
      <w:r>
        <w:rPr>
          <w:rtl/>
          <w:lang w:bidi="fa-IR"/>
        </w:rPr>
        <w:t xml:space="preserve">، فَسَلَّمَ عَلَيْهِ فِي الْمَسْجِدِ </w:t>
      </w:r>
      <w:r w:rsidRPr="00D10E3C">
        <w:rPr>
          <w:rStyle w:val="libFootnotenumChar"/>
          <w:rtl/>
        </w:rPr>
        <w:t>(15)</w:t>
      </w:r>
      <w:r>
        <w:rPr>
          <w:rtl/>
          <w:lang w:bidi="fa-IR"/>
        </w:rPr>
        <w:t xml:space="preserve"> ، ثُمَّ‌</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1E1F8B" w:rsidTr="001E1F8B">
        <w:tc>
          <w:tcPr>
            <w:tcW w:w="4006" w:type="dxa"/>
          </w:tcPr>
          <w:p w:rsidR="001E1F8B" w:rsidRDefault="001E1F8B" w:rsidP="00D10E3C">
            <w:pPr>
              <w:pStyle w:val="libFootnote0"/>
              <w:rPr>
                <w:rtl/>
                <w:lang w:bidi="fa-IR"/>
              </w:rPr>
            </w:pPr>
            <w:r>
              <w:rPr>
                <w:rtl/>
                <w:lang w:bidi="fa-IR"/>
              </w:rPr>
              <w:t xml:space="preserve">(1). في </w:t>
            </w:r>
            <w:r w:rsidRPr="001E1F8B">
              <w:rPr>
                <w:rtl/>
              </w:rPr>
              <w:t>الكافي</w:t>
            </w:r>
            <w:r>
              <w:rPr>
                <w:rtl/>
                <w:lang w:bidi="fa-IR"/>
              </w:rPr>
              <w:t xml:space="preserve"> ، ح 7704 : « فذلك ».</w:t>
            </w:r>
          </w:p>
        </w:tc>
        <w:tc>
          <w:tcPr>
            <w:tcW w:w="4006" w:type="dxa"/>
          </w:tcPr>
          <w:p w:rsidR="001E1F8B" w:rsidRDefault="001E1F8B" w:rsidP="00D10E3C">
            <w:pPr>
              <w:pStyle w:val="libFootnote0"/>
              <w:rPr>
                <w:rtl/>
                <w:lang w:bidi="fa-IR"/>
              </w:rPr>
            </w:pPr>
            <w:r>
              <w:rPr>
                <w:rtl/>
                <w:lang w:bidi="fa-IR"/>
              </w:rPr>
              <w:t xml:space="preserve">(2). في </w:t>
            </w:r>
            <w:r w:rsidRPr="001E1F8B">
              <w:rPr>
                <w:rtl/>
              </w:rPr>
              <w:t xml:space="preserve">الكافي </w:t>
            </w:r>
            <w:r>
              <w:rPr>
                <w:rtl/>
                <w:lang w:bidi="fa-IR"/>
              </w:rPr>
              <w:t>، ح 7704 : + « الله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1E1F8B">
        <w:rPr>
          <w:rtl/>
        </w:rPr>
        <w:t xml:space="preserve">الكافي </w:t>
      </w:r>
      <w:r w:rsidR="00744A1C">
        <w:rPr>
          <w:rtl/>
          <w:lang w:bidi="fa-IR"/>
        </w:rPr>
        <w:t>، ح 7704 : « وتدعو ».</w:t>
      </w:r>
    </w:p>
    <w:p w:rsidR="00744A1C" w:rsidRDefault="00E378DD" w:rsidP="00E378DD">
      <w:pPr>
        <w:pStyle w:val="libFootnote0"/>
        <w:rPr>
          <w:lang w:bidi="fa-IR"/>
        </w:rPr>
      </w:pPr>
      <w:r>
        <w:rPr>
          <w:rtl/>
          <w:lang w:bidi="fa-IR"/>
        </w:rPr>
        <w:t>(4).</w:t>
      </w:r>
      <w:r w:rsidR="00744A1C" w:rsidRPr="001E1F8B">
        <w:rPr>
          <w:rtl/>
        </w:rPr>
        <w:t xml:space="preserve"> الكافي</w:t>
      </w:r>
      <w:r w:rsidR="00744A1C">
        <w:rPr>
          <w:rtl/>
          <w:lang w:bidi="fa-IR"/>
        </w:rPr>
        <w:t xml:space="preserve"> ، كتاب الحجّ ، باب دعاء الدم ، ذيل ح 7704. وفي </w:t>
      </w:r>
      <w:r w:rsidR="00744A1C" w:rsidRPr="001E1F8B">
        <w:rPr>
          <w:rtl/>
        </w:rPr>
        <w:t>التهذيب ،</w:t>
      </w:r>
      <w:r w:rsidR="00744A1C">
        <w:rPr>
          <w:rtl/>
          <w:lang w:bidi="fa-IR"/>
        </w:rPr>
        <w:t xml:space="preserve"> ج 6 ، ص 8 ، ح 17 ، معلّقاً عن الكليني. </w:t>
      </w:r>
      <w:r w:rsidR="00744A1C" w:rsidRPr="00C24F9C">
        <w:rPr>
          <w:rStyle w:val="libFootnoteBoldChar"/>
          <w:rtl/>
        </w:rPr>
        <w:t>الفقيه</w:t>
      </w:r>
      <w:r w:rsidR="00744A1C">
        <w:rPr>
          <w:rtl/>
          <w:lang w:bidi="fa-IR"/>
        </w:rPr>
        <w:t xml:space="preserve"> ، ج 2 ، ص 568 ، ذيل ح 3158 </w:t>
      </w:r>
      <w:r w:rsidR="001E1F8B">
        <w:rPr>
          <w:rFonts w:hint="cs"/>
          <w:rtl/>
          <w:lang w:bidi="fa-IR"/>
        </w:rPr>
        <w:t>.</w:t>
      </w:r>
      <w:r w:rsidR="00744A1C" w:rsidRPr="001E1F8B">
        <w:rPr>
          <w:rtl/>
        </w:rPr>
        <w:t xml:space="preserve">الوافي </w:t>
      </w:r>
      <w:r w:rsidR="00744A1C">
        <w:rPr>
          <w:rtl/>
          <w:lang w:bidi="fa-IR"/>
        </w:rPr>
        <w:t xml:space="preserve">، ج 14 ، ص 1366 ، ح 14410 ؛ </w:t>
      </w:r>
      <w:r w:rsidR="00744A1C" w:rsidRPr="00C24F9C">
        <w:rPr>
          <w:rStyle w:val="libFootnoteBoldChar"/>
          <w:rtl/>
        </w:rPr>
        <w:t>الوسائل</w:t>
      </w:r>
      <w:r w:rsidR="00744A1C">
        <w:rPr>
          <w:rtl/>
          <w:lang w:bidi="fa-IR"/>
        </w:rPr>
        <w:t xml:space="preserve"> ، ج 14 ، ص 346 ، ح 19361 ؛ </w:t>
      </w:r>
      <w:r w:rsidR="00744A1C" w:rsidRPr="0061079A">
        <w:rPr>
          <w:rStyle w:val="libFootnoteBoldChar"/>
          <w:rtl/>
        </w:rPr>
        <w:t>البحار</w:t>
      </w:r>
      <w:r w:rsidR="00744A1C">
        <w:rPr>
          <w:rtl/>
          <w:lang w:bidi="fa-IR"/>
        </w:rPr>
        <w:t xml:space="preserve"> ، ج 100 ، ص 147 ، ح 8.</w:t>
      </w:r>
    </w:p>
    <w:p w:rsidR="00744A1C" w:rsidRDefault="00E378DD" w:rsidP="00E378DD">
      <w:pPr>
        <w:pStyle w:val="libFootnote0"/>
        <w:rPr>
          <w:lang w:bidi="fa-IR"/>
        </w:rPr>
      </w:pPr>
      <w:r>
        <w:rPr>
          <w:rtl/>
          <w:lang w:bidi="fa-IR"/>
        </w:rPr>
        <w:t>(5).</w:t>
      </w:r>
      <w:r w:rsidR="00744A1C">
        <w:rPr>
          <w:rtl/>
          <w:lang w:bidi="fa-IR"/>
        </w:rPr>
        <w:t xml:space="preserve"> هكذا في « بح ، بخ ، بس ، جد ، جر ، جن » </w:t>
      </w:r>
      <w:r w:rsidR="00744A1C" w:rsidRPr="001E1F8B">
        <w:rPr>
          <w:rtl/>
        </w:rPr>
        <w:t>والوسائل والتهذيب. وفي</w:t>
      </w:r>
      <w:r w:rsidR="00744A1C">
        <w:rPr>
          <w:rtl/>
          <w:lang w:bidi="fa-IR"/>
        </w:rPr>
        <w:t xml:space="preserve"> « ى ، بث ، بف » والمطبوع : « جهم ».</w:t>
      </w:r>
    </w:p>
    <w:tbl>
      <w:tblPr>
        <w:tblStyle w:val="TableGrid"/>
        <w:bidiVisual/>
        <w:tblW w:w="0" w:type="auto"/>
        <w:tblLook w:val="04A0" w:firstRow="1" w:lastRow="0" w:firstColumn="1" w:lastColumn="0" w:noHBand="0" w:noVBand="1"/>
      </w:tblPr>
      <w:tblGrid>
        <w:gridCol w:w="4006"/>
        <w:gridCol w:w="4006"/>
      </w:tblGrid>
      <w:tr w:rsidR="001E1F8B" w:rsidTr="001E1F8B">
        <w:tc>
          <w:tcPr>
            <w:tcW w:w="4006" w:type="dxa"/>
          </w:tcPr>
          <w:p w:rsidR="001E1F8B" w:rsidRDefault="001E1F8B" w:rsidP="00E378DD">
            <w:pPr>
              <w:pStyle w:val="libFootnote0"/>
              <w:rPr>
                <w:rtl/>
                <w:lang w:bidi="fa-IR"/>
              </w:rPr>
            </w:pPr>
            <w:r>
              <w:rPr>
                <w:rtl/>
                <w:lang w:bidi="fa-IR"/>
              </w:rPr>
              <w:t>(6). في</w:t>
            </w:r>
            <w:r w:rsidRPr="001E1F8B">
              <w:rPr>
                <w:rtl/>
              </w:rPr>
              <w:t xml:space="preserve"> الوسائل والتهذيب :</w:t>
            </w:r>
            <w:r>
              <w:rPr>
                <w:rtl/>
                <w:lang w:bidi="fa-IR"/>
              </w:rPr>
              <w:t xml:space="preserve"> « أيّهما ».</w:t>
            </w:r>
          </w:p>
        </w:tc>
        <w:tc>
          <w:tcPr>
            <w:tcW w:w="4006" w:type="dxa"/>
          </w:tcPr>
          <w:p w:rsidR="001E1F8B" w:rsidRDefault="001E1F8B" w:rsidP="00E378DD">
            <w:pPr>
              <w:pStyle w:val="libFootnote0"/>
              <w:rPr>
                <w:rtl/>
                <w:lang w:bidi="fa-IR"/>
              </w:rPr>
            </w:pPr>
            <w:r>
              <w:rPr>
                <w:rtl/>
                <w:lang w:bidi="fa-IR"/>
              </w:rPr>
              <w:t>(7). في « بث ، بح ، جن » : « قلت ».</w:t>
            </w:r>
          </w:p>
        </w:tc>
      </w:tr>
      <w:tr w:rsidR="001E1F8B" w:rsidTr="001E1F8B">
        <w:tc>
          <w:tcPr>
            <w:tcW w:w="4006" w:type="dxa"/>
          </w:tcPr>
          <w:p w:rsidR="001E1F8B" w:rsidRDefault="001E1F8B" w:rsidP="00E378DD">
            <w:pPr>
              <w:pStyle w:val="libFootnote0"/>
              <w:rPr>
                <w:rtl/>
                <w:lang w:bidi="fa-IR"/>
              </w:rPr>
            </w:pPr>
            <w:r>
              <w:rPr>
                <w:rtl/>
                <w:lang w:bidi="fa-IR"/>
              </w:rPr>
              <w:t xml:space="preserve">(8). في </w:t>
            </w:r>
            <w:r w:rsidRPr="00C24F9C">
              <w:rPr>
                <w:rStyle w:val="libFootnoteBoldChar"/>
                <w:rtl/>
              </w:rPr>
              <w:t>التهذيب</w:t>
            </w:r>
            <w:r>
              <w:rPr>
                <w:rtl/>
                <w:lang w:bidi="fa-IR"/>
              </w:rPr>
              <w:t xml:space="preserve"> : + « فقال ».</w:t>
            </w:r>
          </w:p>
        </w:tc>
        <w:tc>
          <w:tcPr>
            <w:tcW w:w="4006" w:type="dxa"/>
          </w:tcPr>
          <w:p w:rsidR="001E1F8B" w:rsidRDefault="001E1F8B" w:rsidP="00E378DD">
            <w:pPr>
              <w:pStyle w:val="libFootnote0"/>
              <w:rPr>
                <w:rtl/>
                <w:lang w:bidi="fa-IR"/>
              </w:rPr>
            </w:pPr>
            <w:r>
              <w:rPr>
                <w:rtl/>
                <w:lang w:bidi="fa-IR"/>
              </w:rPr>
              <w:t xml:space="preserve">(9). في « جد ، جن » </w:t>
            </w:r>
            <w:r w:rsidRPr="001E1F8B">
              <w:rPr>
                <w:rtl/>
              </w:rPr>
              <w:t>والوسائل والتهذيب</w:t>
            </w:r>
            <w:r>
              <w:rPr>
                <w:rtl/>
                <w:lang w:bidi="fa-IR"/>
              </w:rPr>
              <w:t xml:space="preserve"> : « يردّ ».</w:t>
            </w:r>
          </w:p>
        </w:tc>
      </w:tr>
      <w:tr w:rsidR="001E1F8B" w:rsidTr="001E1F8B">
        <w:tc>
          <w:tcPr>
            <w:tcW w:w="4006" w:type="dxa"/>
          </w:tcPr>
          <w:p w:rsidR="001E1F8B" w:rsidRDefault="001E1F8B" w:rsidP="00E378DD">
            <w:pPr>
              <w:pStyle w:val="libFootnote0"/>
              <w:rPr>
                <w:rtl/>
                <w:lang w:bidi="fa-IR"/>
              </w:rPr>
            </w:pPr>
            <w:r>
              <w:rPr>
                <w:rtl/>
                <w:lang w:bidi="fa-IR"/>
              </w:rPr>
              <w:t>(10). في « بث ، بخ »</w:t>
            </w:r>
            <w:r w:rsidRPr="001E1F8B">
              <w:rPr>
                <w:rtl/>
              </w:rPr>
              <w:t xml:space="preserve"> والوافي : </w:t>
            </w:r>
            <w:r>
              <w:rPr>
                <w:rtl/>
                <w:lang w:bidi="fa-IR"/>
              </w:rPr>
              <w:t>- « له ».</w:t>
            </w:r>
          </w:p>
        </w:tc>
        <w:tc>
          <w:tcPr>
            <w:tcW w:w="4006" w:type="dxa"/>
          </w:tcPr>
          <w:p w:rsidR="001E1F8B" w:rsidRDefault="001E1F8B" w:rsidP="00E378DD">
            <w:pPr>
              <w:pStyle w:val="libFootnote0"/>
              <w:rPr>
                <w:rtl/>
                <w:lang w:bidi="fa-IR"/>
              </w:rPr>
            </w:pPr>
            <w:r>
              <w:rPr>
                <w:rtl/>
                <w:lang w:bidi="fa-IR"/>
              </w:rPr>
              <w:t xml:space="preserve">(11). </w:t>
            </w:r>
            <w:r w:rsidRPr="001E1F8B">
              <w:rPr>
                <w:rtl/>
              </w:rPr>
              <w:t>في الوسائل</w:t>
            </w:r>
            <w:r>
              <w:rPr>
                <w:rtl/>
                <w:lang w:bidi="fa-IR"/>
              </w:rPr>
              <w:t xml:space="preserve"> : « الإقامة ».</w:t>
            </w:r>
          </w:p>
        </w:tc>
      </w:tr>
      <w:tr w:rsidR="001E1F8B" w:rsidTr="001E1F8B">
        <w:tc>
          <w:tcPr>
            <w:tcW w:w="4006" w:type="dxa"/>
          </w:tcPr>
          <w:p w:rsidR="001E1F8B" w:rsidRDefault="001E1F8B" w:rsidP="00E378DD">
            <w:pPr>
              <w:pStyle w:val="libFootnote0"/>
              <w:rPr>
                <w:rtl/>
                <w:lang w:bidi="fa-IR"/>
              </w:rPr>
            </w:pPr>
            <w:r>
              <w:rPr>
                <w:rtl/>
                <w:lang w:bidi="fa-IR"/>
              </w:rPr>
              <w:t>(12). في « جد » و</w:t>
            </w:r>
            <w:r w:rsidRPr="00C24F9C">
              <w:rPr>
                <w:rStyle w:val="libFootnoteBoldChar"/>
                <w:rtl/>
              </w:rPr>
              <w:t>الوسائل</w:t>
            </w:r>
            <w:r>
              <w:rPr>
                <w:rtl/>
                <w:lang w:bidi="fa-IR"/>
              </w:rPr>
              <w:t xml:space="preserve"> : - « قال ».</w:t>
            </w:r>
          </w:p>
        </w:tc>
        <w:tc>
          <w:tcPr>
            <w:tcW w:w="4006" w:type="dxa"/>
          </w:tcPr>
          <w:p w:rsidR="001E1F8B" w:rsidRDefault="001E1F8B" w:rsidP="00E378DD">
            <w:pPr>
              <w:pStyle w:val="libFootnote0"/>
              <w:rPr>
                <w:rtl/>
                <w:lang w:bidi="fa-IR"/>
              </w:rPr>
            </w:pPr>
            <w:r>
              <w:rPr>
                <w:rtl/>
                <w:lang w:bidi="fa-IR"/>
              </w:rPr>
              <w:t xml:space="preserve">(13). في «ى،جد» </w:t>
            </w:r>
            <w:r w:rsidRPr="001E1F8B">
              <w:rPr>
                <w:rtl/>
              </w:rPr>
              <w:t>والوسائل والتهذيب :</w:t>
            </w:r>
            <w:r>
              <w:rPr>
                <w:rtl/>
                <w:lang w:bidi="fa-IR"/>
              </w:rPr>
              <w:t xml:space="preserve"> « ذلك ».</w:t>
            </w:r>
          </w:p>
        </w:tc>
      </w:tr>
      <w:tr w:rsidR="001E1F8B" w:rsidTr="001E1F8B">
        <w:tc>
          <w:tcPr>
            <w:tcW w:w="4006" w:type="dxa"/>
          </w:tcPr>
          <w:p w:rsidR="001E1F8B" w:rsidRDefault="001E1F8B" w:rsidP="00E378DD">
            <w:pPr>
              <w:pStyle w:val="libFootnote0"/>
              <w:rPr>
                <w:rtl/>
                <w:lang w:bidi="fa-IR"/>
              </w:rPr>
            </w:pPr>
            <w:r>
              <w:rPr>
                <w:rtl/>
                <w:lang w:bidi="fa-IR"/>
              </w:rPr>
              <w:t xml:space="preserve">(14). في « جد » </w:t>
            </w:r>
            <w:r w:rsidRPr="0061079A">
              <w:rPr>
                <w:rStyle w:val="libFootnoteBoldChar"/>
                <w:rtl/>
              </w:rPr>
              <w:t>والتهذيب</w:t>
            </w:r>
            <w:r>
              <w:rPr>
                <w:rtl/>
                <w:lang w:bidi="fa-IR"/>
              </w:rPr>
              <w:t xml:space="preserve"> : « إلى النبيّ ».</w:t>
            </w:r>
          </w:p>
        </w:tc>
        <w:tc>
          <w:tcPr>
            <w:tcW w:w="4006" w:type="dxa"/>
          </w:tcPr>
          <w:p w:rsidR="001E1F8B" w:rsidRDefault="001E1F8B" w:rsidP="00E378DD">
            <w:pPr>
              <w:pStyle w:val="libFootnote0"/>
              <w:rPr>
                <w:rtl/>
                <w:lang w:bidi="fa-IR"/>
              </w:rPr>
            </w:pPr>
            <w:r>
              <w:rPr>
                <w:rtl/>
                <w:lang w:bidi="fa-IR"/>
              </w:rPr>
              <w:t xml:space="preserve">(15). في </w:t>
            </w:r>
            <w:r w:rsidRPr="00C24F9C">
              <w:rPr>
                <w:rStyle w:val="libFootnoteBoldChar"/>
                <w:rtl/>
              </w:rPr>
              <w:t>الوسائل</w:t>
            </w:r>
            <w:r>
              <w:rPr>
                <w:rtl/>
                <w:lang w:bidi="fa-IR"/>
              </w:rPr>
              <w:t xml:space="preserve"> : - « في المسجد ».</w:t>
            </w:r>
          </w:p>
        </w:tc>
      </w:tr>
    </w:tbl>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w:t>
      </w:r>
      <w:r w:rsidRPr="00D10E3C">
        <w:rPr>
          <w:rStyle w:val="libFootnotenumChar"/>
          <w:rtl/>
        </w:rPr>
        <w:t>(1)</w:t>
      </w:r>
      <w:r>
        <w:rPr>
          <w:rtl/>
          <w:lang w:bidi="fa-IR"/>
        </w:rPr>
        <w:t xml:space="preserve"> : قَدْ </w:t>
      </w:r>
      <w:r w:rsidRPr="00D10E3C">
        <w:rPr>
          <w:rStyle w:val="libFootnotenumChar"/>
          <w:rtl/>
        </w:rPr>
        <w:t>(2)</w:t>
      </w:r>
      <w:r>
        <w:rPr>
          <w:rtl/>
          <w:lang w:bidi="fa-IR"/>
        </w:rPr>
        <w:t xml:space="preserve"> فَضَلْنَا </w:t>
      </w:r>
      <w:r w:rsidRPr="00D10E3C">
        <w:rPr>
          <w:rStyle w:val="libFootnotenumChar"/>
          <w:rtl/>
        </w:rPr>
        <w:t>(3)</w:t>
      </w:r>
      <w:r>
        <w:rPr>
          <w:rtl/>
          <w:lang w:bidi="fa-IR"/>
        </w:rPr>
        <w:t xml:space="preserve"> النَّاسَ الْيَوْمَ </w:t>
      </w:r>
      <w:r w:rsidRPr="00D10E3C">
        <w:rPr>
          <w:rStyle w:val="libFootnotenumChar"/>
          <w:rtl/>
        </w:rPr>
        <w:t>(4)</w:t>
      </w:r>
      <w:r>
        <w:rPr>
          <w:rtl/>
          <w:lang w:bidi="fa-IR"/>
        </w:rPr>
        <w:t xml:space="preserve"> بِسَلَامِنَا عَلى رَسُولِ اللهِ </w:t>
      </w:r>
      <w:r w:rsidR="0017097C" w:rsidRPr="0017097C">
        <w:rPr>
          <w:rStyle w:val="libAlaemChar"/>
          <w:rtl/>
        </w:rPr>
        <w:t>صلى‌الله‌عليه‌وآله</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 xml:space="preserve">8124 / 2. أَحْمَدُ بْنُ مُحَمَّدٍ </w:t>
      </w:r>
      <w:r w:rsidRPr="00D10E3C">
        <w:rPr>
          <w:rStyle w:val="libFootnotenumChar"/>
          <w:rtl/>
        </w:rPr>
        <w:t>(6)</w:t>
      </w:r>
      <w:r>
        <w:rPr>
          <w:rtl/>
          <w:lang w:bidi="fa-IR"/>
        </w:rPr>
        <w:t xml:space="preserve"> ، عَنْ عَلِيِّ بْنِ حَدِيدٍ ، عَنْ مُرَازِمٍ ، قَالَ :</w:t>
      </w:r>
    </w:p>
    <w:p w:rsidR="00744A1C" w:rsidRDefault="00744A1C" w:rsidP="00744A1C">
      <w:pPr>
        <w:pStyle w:val="libNormal"/>
        <w:rPr>
          <w:lang w:bidi="fa-IR"/>
        </w:rPr>
      </w:pPr>
      <w:r>
        <w:rPr>
          <w:rtl/>
          <w:lang w:bidi="fa-IR"/>
        </w:rPr>
        <w:t xml:space="preserve">دَخَلْتُ أَنَا وَعَمَّارٌ وَجَمَاعَةٌ عَلى أَبِي عَبْدِ اللهِ </w:t>
      </w:r>
      <w:r w:rsidR="007B299E" w:rsidRPr="007B299E">
        <w:rPr>
          <w:rStyle w:val="libAlaemChar"/>
          <w:rtl/>
        </w:rPr>
        <w:t>صلى‌الله‌عليه‌وآله</w:t>
      </w:r>
      <w:r w:rsidR="00D10E3C">
        <w:rPr>
          <w:rtl/>
          <w:lang w:bidi="fa-IR"/>
        </w:rPr>
        <w:t xml:space="preserve"> </w:t>
      </w:r>
      <w:r>
        <w:rPr>
          <w:rtl/>
          <w:lang w:bidi="fa-IR"/>
        </w:rPr>
        <w:t xml:space="preserve">بِالْمَدِينَةِ ، فَقَالَ : « مَا مُقَامُكُمْ </w:t>
      </w:r>
      <w:r w:rsidRPr="00D10E3C">
        <w:rPr>
          <w:rStyle w:val="libFootnotenumChar"/>
          <w:rtl/>
        </w:rPr>
        <w:t>(7)</w:t>
      </w:r>
      <w:r>
        <w:rPr>
          <w:rtl/>
          <w:lang w:bidi="fa-IR"/>
        </w:rPr>
        <w:t>؟ ».</w:t>
      </w:r>
    </w:p>
    <w:p w:rsidR="00744A1C" w:rsidRDefault="00744A1C" w:rsidP="00744A1C">
      <w:pPr>
        <w:pStyle w:val="libNormal"/>
        <w:rPr>
          <w:lang w:bidi="fa-IR"/>
        </w:rPr>
      </w:pPr>
      <w:r>
        <w:rPr>
          <w:rtl/>
          <w:lang w:bidi="fa-IR"/>
        </w:rPr>
        <w:t xml:space="preserve">فَقَالَ عَمَّارٌ : قَدْ سَرَّحْنَا ظَهْرَنَا </w:t>
      </w:r>
      <w:r w:rsidRPr="00D10E3C">
        <w:rPr>
          <w:rStyle w:val="libFootnotenumChar"/>
          <w:rtl/>
        </w:rPr>
        <w:t>(8)</w:t>
      </w:r>
      <w:r>
        <w:rPr>
          <w:rtl/>
          <w:lang w:bidi="fa-IR"/>
        </w:rPr>
        <w:t xml:space="preserve"> ، وَأَمَرْنَا أَنْ نُؤْتى </w:t>
      </w:r>
      <w:r w:rsidRPr="00D10E3C">
        <w:rPr>
          <w:rStyle w:val="libFootnotenumChar"/>
          <w:rtl/>
        </w:rPr>
        <w:t>(9)</w:t>
      </w:r>
      <w:r>
        <w:rPr>
          <w:rtl/>
          <w:lang w:bidi="fa-IR"/>
        </w:rPr>
        <w:t xml:space="preserve"> بِهِ إِلى خَمْسَةَ عَشَرَ يَوْماً.</w:t>
      </w:r>
    </w:p>
    <w:p w:rsidR="00144FA6" w:rsidRDefault="00744A1C" w:rsidP="00744A1C">
      <w:pPr>
        <w:pStyle w:val="libNormal"/>
        <w:rPr>
          <w:rtl/>
          <w:lang w:bidi="fa-IR"/>
        </w:rPr>
      </w:pPr>
      <w:r>
        <w:rPr>
          <w:rtl/>
          <w:lang w:bidi="fa-IR"/>
        </w:rPr>
        <w:t xml:space="preserve">فَقَالَ : « أَصَبْتُمُ الْمُقَامَ فِي بَلَدِ رَسُولِ اللهِ </w:t>
      </w:r>
      <w:r w:rsidR="0017097C" w:rsidRPr="0017097C">
        <w:rPr>
          <w:rStyle w:val="libAlaemChar"/>
          <w:rtl/>
        </w:rPr>
        <w:t>صلى‌الله‌عليه‌وآله</w:t>
      </w:r>
      <w:r w:rsidR="00D10E3C">
        <w:rPr>
          <w:rtl/>
          <w:lang w:bidi="fa-IR"/>
        </w:rPr>
        <w:t xml:space="preserve"> </w:t>
      </w:r>
      <w:r>
        <w:rPr>
          <w:rtl/>
          <w:lang w:bidi="fa-IR"/>
        </w:rPr>
        <w:t xml:space="preserve">، وَالصَّلَاةَ فِي مَسْجِدِهِ ، وَاعْمَلُوا لآِخِرَتِكُمْ ، وَأَكْثِرُوا </w:t>
      </w:r>
      <w:r w:rsidRPr="00D10E3C">
        <w:rPr>
          <w:rStyle w:val="libFootnotenumChar"/>
          <w:rtl/>
        </w:rPr>
        <w:t>(10)</w:t>
      </w:r>
      <w:r>
        <w:rPr>
          <w:rtl/>
          <w:lang w:bidi="fa-IR"/>
        </w:rPr>
        <w:t xml:space="preserve"> لِأَنْفُسِكُمْ ؛ إِنَّ الرَّجُلَ قَدْ يَكُونُ كَيِّساً فِي الدُّنْيَا ، فَيُقَالُ </w:t>
      </w:r>
      <w:r w:rsidRPr="00D10E3C">
        <w:rPr>
          <w:rStyle w:val="libFootnotenumChar"/>
          <w:rtl/>
        </w:rPr>
        <w:t>(11)</w:t>
      </w:r>
      <w:r>
        <w:rPr>
          <w:rtl/>
          <w:lang w:bidi="fa-IR"/>
        </w:rPr>
        <w:t xml:space="preserve"> : مَا أَكْيَسَ فُلَاناً ، وَإِنَّمَا الْكَيِّسُ كَيِّسُ الْآخِرَةِ ». </w:t>
      </w:r>
      <w:r w:rsidRPr="00D10E3C">
        <w:rPr>
          <w:rStyle w:val="libFootnotenumChar"/>
          <w:rtl/>
        </w:rPr>
        <w:t>(12)</w:t>
      </w:r>
    </w:p>
    <w:p w:rsidR="00744A1C" w:rsidRDefault="00744A1C" w:rsidP="00744A1C">
      <w:pPr>
        <w:pStyle w:val="libNormal"/>
        <w:rPr>
          <w:lang w:bidi="fa-IR"/>
        </w:rPr>
      </w:pPr>
      <w:r>
        <w:rPr>
          <w:rtl/>
          <w:lang w:bidi="fa-IR"/>
        </w:rPr>
        <w:t xml:space="preserve">8125 / 3. عِدَّةٌ مِنْ أَصْحَابِنَا ، عَنْ سَهْلِ بْنِ زِيَادٍ ، عَنْ أَحْمَدَ بْنِ مُحَمَّدِ بْنِ عِيسى </w:t>
      </w:r>
      <w:r w:rsidRPr="00D10E3C">
        <w:rPr>
          <w:rStyle w:val="libFootnotenumChar"/>
          <w:rtl/>
        </w:rPr>
        <w:t>(13)</w:t>
      </w:r>
      <w:r>
        <w:rPr>
          <w:rtl/>
          <w:lang w:bidi="fa-IR"/>
        </w:rPr>
        <w:t xml:space="preserve"> ، عَنْ‌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5F4CD9" w:rsidTr="005F4CD9">
        <w:tc>
          <w:tcPr>
            <w:tcW w:w="4006" w:type="dxa"/>
          </w:tcPr>
          <w:p w:rsidR="005F4CD9" w:rsidRDefault="005F4CD9" w:rsidP="00D10E3C">
            <w:pPr>
              <w:pStyle w:val="libFootnote0"/>
              <w:rPr>
                <w:rtl/>
                <w:lang w:bidi="fa-IR"/>
              </w:rPr>
            </w:pPr>
            <w:r>
              <w:rPr>
                <w:rtl/>
                <w:lang w:bidi="fa-IR"/>
              </w:rPr>
              <w:t>(1). في « بث ، بح ، جن » : « وقال ».</w:t>
            </w:r>
          </w:p>
        </w:tc>
        <w:tc>
          <w:tcPr>
            <w:tcW w:w="4006" w:type="dxa"/>
          </w:tcPr>
          <w:p w:rsidR="005F4CD9" w:rsidRDefault="005F4CD9" w:rsidP="00D10E3C">
            <w:pPr>
              <w:pStyle w:val="libFootnote0"/>
              <w:rPr>
                <w:rtl/>
                <w:lang w:bidi="fa-IR"/>
              </w:rPr>
            </w:pPr>
            <w:r>
              <w:rPr>
                <w:rtl/>
                <w:lang w:bidi="fa-IR"/>
              </w:rPr>
              <w:t xml:space="preserve">(2). في </w:t>
            </w:r>
            <w:r w:rsidRPr="00C24F9C">
              <w:rPr>
                <w:rStyle w:val="libFootnoteBoldChar"/>
                <w:rtl/>
              </w:rPr>
              <w:t>الوسائل</w:t>
            </w:r>
            <w:r>
              <w:rPr>
                <w:rtl/>
                <w:lang w:bidi="fa-IR"/>
              </w:rPr>
              <w:t xml:space="preserve"> : « لقد ».</w:t>
            </w:r>
          </w:p>
        </w:tc>
      </w:tr>
      <w:tr w:rsidR="005F4CD9" w:rsidTr="005F4CD9">
        <w:tc>
          <w:tcPr>
            <w:tcW w:w="4006" w:type="dxa"/>
          </w:tcPr>
          <w:p w:rsidR="005F4CD9" w:rsidRDefault="005F4CD9" w:rsidP="00D10E3C">
            <w:pPr>
              <w:pStyle w:val="libFootnote0"/>
              <w:rPr>
                <w:rtl/>
                <w:lang w:bidi="fa-IR"/>
              </w:rPr>
            </w:pPr>
            <w:r>
              <w:rPr>
                <w:rtl/>
                <w:lang w:bidi="fa-IR"/>
              </w:rPr>
              <w:t>(3). في « جن » : + « على ».</w:t>
            </w:r>
          </w:p>
        </w:tc>
        <w:tc>
          <w:tcPr>
            <w:tcW w:w="4006" w:type="dxa"/>
          </w:tcPr>
          <w:p w:rsidR="005F4CD9" w:rsidRDefault="005F4CD9" w:rsidP="00D10E3C">
            <w:pPr>
              <w:pStyle w:val="libFootnote0"/>
              <w:rPr>
                <w:rtl/>
                <w:lang w:bidi="fa-IR"/>
              </w:rPr>
            </w:pPr>
            <w:r>
              <w:rPr>
                <w:rtl/>
                <w:lang w:bidi="fa-IR"/>
              </w:rPr>
              <w:t>(4). في « بث » : « اليوم الناس ».</w:t>
            </w:r>
          </w:p>
        </w:tc>
      </w:tr>
    </w:tbl>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14 ، ح 29 ، معلّقاً عن الكليني </w:t>
      </w:r>
      <w:r w:rsidR="005F4CD9">
        <w:rPr>
          <w:rFonts w:hint="cs"/>
          <w:rtl/>
          <w:lang w:bidi="fa-IR"/>
        </w:rPr>
        <w:t>.</w:t>
      </w:r>
      <w:r w:rsidR="00744A1C" w:rsidRPr="00C24F9C">
        <w:rPr>
          <w:rStyle w:val="libFootnoteBoldChar"/>
          <w:rtl/>
        </w:rPr>
        <w:t>الوافي</w:t>
      </w:r>
      <w:r w:rsidR="00744A1C">
        <w:rPr>
          <w:rtl/>
          <w:lang w:bidi="fa-IR"/>
        </w:rPr>
        <w:t xml:space="preserve"> ، ج 14 ، ص 1379 ، ح 14416 ؛ </w:t>
      </w:r>
      <w:r w:rsidR="00744A1C" w:rsidRPr="00C24F9C">
        <w:rPr>
          <w:rStyle w:val="libFootnoteBoldChar"/>
          <w:rtl/>
        </w:rPr>
        <w:t>الوسائل</w:t>
      </w:r>
      <w:r w:rsidR="00744A1C">
        <w:rPr>
          <w:rtl/>
          <w:lang w:bidi="fa-IR"/>
        </w:rPr>
        <w:t xml:space="preserve"> ، ج 14 ، ص 347 ، ح 19362.</w:t>
      </w:r>
    </w:p>
    <w:p w:rsidR="00744A1C" w:rsidRDefault="00E378DD" w:rsidP="00E378DD">
      <w:pPr>
        <w:pStyle w:val="libFootnote0"/>
        <w:rPr>
          <w:lang w:bidi="fa-IR"/>
        </w:rPr>
      </w:pPr>
      <w:r>
        <w:rPr>
          <w:rtl/>
          <w:lang w:bidi="fa-IR"/>
        </w:rPr>
        <w:t>(6).</w:t>
      </w:r>
      <w:r w:rsidR="00744A1C">
        <w:rPr>
          <w:rtl/>
          <w:lang w:bidi="fa-IR"/>
        </w:rPr>
        <w:t xml:space="preserve"> السند معلّق على سابقه. ويروي عن أحمد بن محمّد ، محمّد بن يحيى.</w:t>
      </w:r>
    </w:p>
    <w:tbl>
      <w:tblPr>
        <w:tblStyle w:val="TableGrid"/>
        <w:bidiVisual/>
        <w:tblW w:w="0" w:type="auto"/>
        <w:tblLook w:val="04A0" w:firstRow="1" w:lastRow="0" w:firstColumn="1" w:lastColumn="0" w:noHBand="0" w:noVBand="1"/>
      </w:tblPr>
      <w:tblGrid>
        <w:gridCol w:w="4006"/>
        <w:gridCol w:w="4006"/>
      </w:tblGrid>
      <w:tr w:rsidR="005F4CD9" w:rsidTr="005F4CD9">
        <w:tc>
          <w:tcPr>
            <w:tcW w:w="4006" w:type="dxa"/>
          </w:tcPr>
          <w:p w:rsidR="005F4CD9" w:rsidRDefault="005F4CD9" w:rsidP="00E378DD">
            <w:pPr>
              <w:pStyle w:val="libFootnote0"/>
              <w:rPr>
                <w:rtl/>
                <w:lang w:bidi="fa-IR"/>
              </w:rPr>
            </w:pPr>
            <w:r>
              <w:rPr>
                <w:rtl/>
                <w:lang w:bidi="fa-IR"/>
              </w:rPr>
              <w:t>(7). في « بح » : « مقامك ».</w:t>
            </w:r>
          </w:p>
        </w:tc>
        <w:tc>
          <w:tcPr>
            <w:tcW w:w="4006" w:type="dxa"/>
          </w:tcPr>
          <w:p w:rsidR="005F4CD9" w:rsidRDefault="005F4CD9" w:rsidP="00E378DD">
            <w:pPr>
              <w:pStyle w:val="libFootnote0"/>
              <w:rPr>
                <w:rtl/>
                <w:lang w:bidi="fa-IR"/>
              </w:rPr>
            </w:pPr>
            <w:r>
              <w:rPr>
                <w:rtl/>
                <w:lang w:bidi="fa-IR"/>
              </w:rPr>
              <w:t xml:space="preserve">(8). في </w:t>
            </w:r>
            <w:r w:rsidRPr="00C24F9C">
              <w:rPr>
                <w:rStyle w:val="libFootnoteBoldChar"/>
                <w:rtl/>
              </w:rPr>
              <w:t>الوافي</w:t>
            </w:r>
            <w:r>
              <w:rPr>
                <w:rtl/>
                <w:lang w:bidi="fa-IR"/>
              </w:rPr>
              <w:t xml:space="preserve"> : « أي أرسلنا إبلنا إلى المرعى ».</w:t>
            </w:r>
          </w:p>
        </w:tc>
      </w:tr>
      <w:tr w:rsidR="005F4CD9" w:rsidTr="005F4CD9">
        <w:tc>
          <w:tcPr>
            <w:tcW w:w="4006" w:type="dxa"/>
          </w:tcPr>
          <w:p w:rsidR="005F4CD9" w:rsidRDefault="005F4CD9" w:rsidP="00E378DD">
            <w:pPr>
              <w:pStyle w:val="libFootnote0"/>
              <w:rPr>
                <w:rtl/>
                <w:lang w:bidi="fa-IR"/>
              </w:rPr>
            </w:pPr>
            <w:r>
              <w:rPr>
                <w:rtl/>
                <w:lang w:bidi="fa-IR"/>
              </w:rPr>
              <w:t>(9). في « بس ، بف ، جد » : « أن تؤتى ».</w:t>
            </w:r>
          </w:p>
        </w:tc>
        <w:tc>
          <w:tcPr>
            <w:tcW w:w="4006" w:type="dxa"/>
          </w:tcPr>
          <w:p w:rsidR="005F4CD9" w:rsidRDefault="005F4CD9" w:rsidP="00E378DD">
            <w:pPr>
              <w:pStyle w:val="libFootnote0"/>
              <w:rPr>
                <w:rtl/>
                <w:lang w:bidi="fa-IR"/>
              </w:rPr>
            </w:pPr>
            <w:r>
              <w:rPr>
                <w:rtl/>
                <w:lang w:bidi="fa-IR"/>
              </w:rPr>
              <w:t xml:space="preserve">(10). في </w:t>
            </w:r>
            <w:r w:rsidRPr="006368D2">
              <w:rPr>
                <w:rStyle w:val="libFootnoteBoldChar"/>
                <w:rtl/>
              </w:rPr>
              <w:t>الأمالي للمفيد</w:t>
            </w:r>
            <w:r>
              <w:rPr>
                <w:rtl/>
                <w:lang w:bidi="fa-IR"/>
              </w:rPr>
              <w:t xml:space="preserve"> : « واختاروا ».</w:t>
            </w:r>
          </w:p>
        </w:tc>
      </w:tr>
    </w:tbl>
    <w:p w:rsidR="00744A1C" w:rsidRDefault="00E378DD" w:rsidP="00E378DD">
      <w:pPr>
        <w:pStyle w:val="libFootnote0"/>
        <w:rPr>
          <w:lang w:bidi="fa-IR"/>
        </w:rPr>
      </w:pPr>
      <w:r>
        <w:rPr>
          <w:rtl/>
          <w:lang w:bidi="fa-IR"/>
        </w:rPr>
        <w:t>(11).</w:t>
      </w:r>
      <w:r w:rsidR="00744A1C">
        <w:rPr>
          <w:rtl/>
          <w:lang w:bidi="fa-IR"/>
        </w:rPr>
        <w:t xml:space="preserve"> في « جن » : + « له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19 ، ذيل ح 43 ؛ و</w:t>
      </w:r>
      <w:r w:rsidR="00744A1C" w:rsidRPr="006368D2">
        <w:rPr>
          <w:rStyle w:val="libFootnoteBoldChar"/>
          <w:rtl/>
        </w:rPr>
        <w:t>الأمالي للمفيد</w:t>
      </w:r>
      <w:r w:rsidR="00744A1C">
        <w:rPr>
          <w:rtl/>
          <w:lang w:bidi="fa-IR"/>
        </w:rPr>
        <w:t xml:space="preserve"> ، ص 185 ، المجلس 23 ، ذيل ح 12 ، بسندهما عن عليّ بن حديد ، من قوله : « واعملوا لآخرتكم » </w:t>
      </w:r>
      <w:r w:rsidR="006B52E7">
        <w:rPr>
          <w:rFonts w:hint="cs"/>
          <w:rtl/>
          <w:lang w:bidi="fa-IR"/>
        </w:rPr>
        <w:t>.</w:t>
      </w:r>
      <w:r w:rsidR="00744A1C" w:rsidRPr="00C24F9C">
        <w:rPr>
          <w:rStyle w:val="libFootnoteBoldChar"/>
          <w:rtl/>
        </w:rPr>
        <w:t>الوافي</w:t>
      </w:r>
      <w:r w:rsidR="00744A1C">
        <w:rPr>
          <w:rtl/>
          <w:lang w:bidi="fa-IR"/>
        </w:rPr>
        <w:t xml:space="preserve"> ، ج 14 ، ص 1379 ، ح 14417 ؛ </w:t>
      </w:r>
      <w:r w:rsidR="00744A1C" w:rsidRPr="00C24F9C">
        <w:rPr>
          <w:rStyle w:val="libFootnoteBoldChar"/>
          <w:rtl/>
        </w:rPr>
        <w:t>الوسائل</w:t>
      </w:r>
      <w:r w:rsidR="00744A1C">
        <w:rPr>
          <w:rtl/>
          <w:lang w:bidi="fa-IR"/>
        </w:rPr>
        <w:t xml:space="preserve"> ، ج 14 ، ص 347 ، ح 19363.</w:t>
      </w:r>
    </w:p>
    <w:p w:rsidR="00744A1C" w:rsidRDefault="00E378DD" w:rsidP="00E378DD">
      <w:pPr>
        <w:pStyle w:val="libFootnote0"/>
        <w:rPr>
          <w:lang w:bidi="fa-IR"/>
        </w:rPr>
      </w:pPr>
      <w:r>
        <w:rPr>
          <w:rtl/>
          <w:lang w:bidi="fa-IR"/>
        </w:rPr>
        <w:t>(13).</w:t>
      </w:r>
      <w:r w:rsidR="00744A1C">
        <w:rPr>
          <w:rtl/>
          <w:lang w:bidi="fa-IR"/>
        </w:rPr>
        <w:t xml:space="preserve"> في « بث ، بخ ، جر » : « أحمد بن عيسى ». وفي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محمّد بن عيسى ».</w:t>
      </w:r>
    </w:p>
    <w:p w:rsidR="00744A1C" w:rsidRDefault="00744A1C" w:rsidP="00D10E3C">
      <w:pPr>
        <w:pStyle w:val="libFootnote0"/>
        <w:rPr>
          <w:lang w:bidi="fa-IR"/>
        </w:rPr>
      </w:pPr>
      <w:r>
        <w:rPr>
          <w:rtl/>
          <w:lang w:bidi="fa-IR"/>
        </w:rPr>
        <w:t>واستظه</w:t>
      </w:r>
      <w:r w:rsidR="006B52E7">
        <w:rPr>
          <w:rtl/>
          <w:lang w:bidi="fa-IR"/>
        </w:rPr>
        <w:t>ر العل</w:t>
      </w:r>
      <w:r w:rsidR="006B52E7">
        <w:rPr>
          <w:rFonts w:hint="cs"/>
          <w:rtl/>
          <w:lang w:bidi="fa-IR"/>
        </w:rPr>
        <w:t>ّ</w:t>
      </w:r>
      <w:r w:rsidR="006B52E7">
        <w:rPr>
          <w:rtl/>
          <w:lang w:bidi="fa-IR"/>
        </w:rPr>
        <w:t>ا</w:t>
      </w:r>
      <w:r>
        <w:rPr>
          <w:rtl/>
          <w:lang w:bidi="fa-IR"/>
        </w:rPr>
        <w:t xml:space="preserve">مة الخبير السيّد موسى الشبيرى - دام ظلّه - في تعليقته على السند أنّ أحمد كان بدل النسخة من محمّد ، فجمع بينهما سهواً. وهذا وإن يؤيّده كثرة رواية سهل بن زياد عن محمّد بن عيسى ، لكن لم نجد توسّط محمّد بن عيسى بين سهل ومحمّد بن عمرو الزيّات في موضعٍ. واحتمال كون محمّد بن عيسى مصحّفاً من محمّد بن عليّ غير منفيّ ؛ فقد روى سهل بن زياد عن محمّد بن عليّ عن محمّد بن عمرو عن </w:t>
      </w:r>
      <w:r w:rsidR="006B52E7">
        <w:rPr>
          <w:rFonts w:hint="cs"/>
          <w:rtl/>
          <w:lang w:bidi="fa-IR"/>
        </w:rPr>
        <w:t>=</w:t>
      </w:r>
    </w:p>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 xml:space="preserve">مُحَمَّدِ بْنِ عَمْرٍو </w:t>
      </w:r>
      <w:r w:rsidRPr="00D10E3C">
        <w:rPr>
          <w:rStyle w:val="libFootnotenumChar"/>
          <w:rtl/>
        </w:rPr>
        <w:t>(1)</w:t>
      </w:r>
      <w:r>
        <w:rPr>
          <w:rtl/>
          <w:lang w:bidi="fa-IR"/>
        </w:rPr>
        <w:t xml:space="preserve"> الزَّيَّاتِ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مَاتَ فِي الْمَدِينَةِ ، بَعَثَهُ اللهُ فِي </w:t>
      </w:r>
      <w:r w:rsidRPr="00D10E3C">
        <w:rPr>
          <w:rStyle w:val="libFootnotenumChar"/>
          <w:rtl/>
        </w:rPr>
        <w:t>(2)</w:t>
      </w:r>
      <w:r>
        <w:rPr>
          <w:rtl/>
          <w:lang w:bidi="fa-IR"/>
        </w:rPr>
        <w:t xml:space="preserve"> الْآمِنِينَ يَوْمَ الْقِيَامَةِ » مِنْهُمْ يَحْيَى بْنُ حَبِيبٍ </w:t>
      </w:r>
      <w:r w:rsidRPr="00D10E3C">
        <w:rPr>
          <w:rStyle w:val="libFootnotenumChar"/>
          <w:rtl/>
        </w:rPr>
        <w:t>(3)</w:t>
      </w:r>
      <w:r>
        <w:rPr>
          <w:rtl/>
          <w:lang w:bidi="fa-IR"/>
        </w:rPr>
        <w:t xml:space="preserve"> ، وَأَبُو عُبَيْدَةَ الْحَذَّاءُ ، وَعَبْدُ الرَّحْمنِ بْنُ الْحَجَّاجِ. </w:t>
      </w:r>
      <w:r w:rsidRPr="00D10E3C">
        <w:rPr>
          <w:rStyle w:val="libFootnotenumChar"/>
          <w:rtl/>
        </w:rPr>
        <w:t>(4)</w:t>
      </w:r>
    </w:p>
    <w:p w:rsidR="00144FA6" w:rsidRDefault="00744A1C" w:rsidP="00744A1C">
      <w:pPr>
        <w:pStyle w:val="libNormal"/>
        <w:rPr>
          <w:rtl/>
          <w:lang w:bidi="fa-IR"/>
        </w:rPr>
      </w:pPr>
      <w:r>
        <w:rPr>
          <w:rtl/>
          <w:lang w:bidi="fa-IR"/>
        </w:rPr>
        <w:t xml:space="preserve">8126 / 4. عَلِيُّ بْنُ إِبْرَاهِيمَ ، عَنْ أَبِيهِ </w:t>
      </w:r>
      <w:r w:rsidRPr="00D10E3C">
        <w:rPr>
          <w:rStyle w:val="libFootnotenumChar"/>
          <w:rtl/>
        </w:rPr>
        <w:t>(5)</w:t>
      </w:r>
      <w:r>
        <w:rPr>
          <w:rtl/>
          <w:lang w:bidi="fa-IR"/>
        </w:rPr>
        <w:t xml:space="preserve"> ، عَنْ حَمَّادٍ ، عَنِ الْحَلَبِيِّ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دَخَلْتَ الْمَسْجِدَ ، فَإِنِ اسْتَطَعْتَ أَنْ تُقِيمَ ثَلَاثَةَ أَيَّامٍ : الْأَرْبِعَاءَ وَالْخَمِيسَ وَالْجُمُعَةَ ، فَصَلِّ </w:t>
      </w:r>
      <w:r w:rsidRPr="00D10E3C">
        <w:rPr>
          <w:rStyle w:val="libFootnotenumChar"/>
          <w:rtl/>
        </w:rPr>
        <w:t>(6)</w:t>
      </w:r>
      <w:r>
        <w:rPr>
          <w:rtl/>
          <w:lang w:bidi="fa-IR"/>
        </w:rPr>
        <w:t xml:space="preserve"> مَا </w:t>
      </w:r>
      <w:r w:rsidRPr="00D10E3C">
        <w:rPr>
          <w:rStyle w:val="libFootnotenumChar"/>
          <w:rtl/>
        </w:rPr>
        <w:t>(7)</w:t>
      </w:r>
      <w:r>
        <w:rPr>
          <w:rtl/>
          <w:lang w:bidi="fa-IR"/>
        </w:rPr>
        <w:t xml:space="preserve"> بَيْنَ الْقَبْرِ وَالْمِنْبَرِ يَوْمَ الْأَرْبِعَاءِ عِنْدَ الْأُسْطُوَانَةِ الَّتِي تَلِي </w:t>
      </w:r>
      <w:r w:rsidRPr="00D10E3C">
        <w:rPr>
          <w:rStyle w:val="libFootnotenumChar"/>
          <w:rtl/>
        </w:rPr>
        <w:t>(8)</w:t>
      </w:r>
      <w:r>
        <w:rPr>
          <w:rtl/>
          <w:lang w:bidi="fa-IR"/>
        </w:rPr>
        <w:t xml:space="preserve"> الْقَبْرَ ، فَتَدْعُو اللهَ عِنْدَهَا ، وَتَسْأَلُهُ كُلَّ حَاجَةٍ تُرِيدُهَا فِي آخِرَةٍ أَوْ‌</w:t>
      </w:r>
    </w:p>
    <w:p w:rsidR="00744A1C" w:rsidRDefault="00744A1C" w:rsidP="00D10E3C">
      <w:pPr>
        <w:pStyle w:val="libLine"/>
        <w:rPr>
          <w:lang w:bidi="fa-IR"/>
        </w:rPr>
      </w:pPr>
      <w:r>
        <w:rPr>
          <w:rtl/>
          <w:lang w:bidi="fa-IR"/>
        </w:rPr>
        <w:t>____________________</w:t>
      </w:r>
    </w:p>
    <w:p w:rsidR="00744A1C" w:rsidRDefault="006D2087" w:rsidP="00D10E3C">
      <w:pPr>
        <w:pStyle w:val="libFootnote0"/>
        <w:rPr>
          <w:lang w:bidi="fa-IR"/>
        </w:rPr>
      </w:pPr>
      <w:r>
        <w:rPr>
          <w:rFonts w:hint="cs"/>
          <w:rtl/>
          <w:lang w:bidi="fa-IR"/>
        </w:rPr>
        <w:t xml:space="preserve">= </w:t>
      </w:r>
      <w:r w:rsidR="00744A1C">
        <w:rPr>
          <w:rtl/>
          <w:lang w:bidi="fa-IR"/>
        </w:rPr>
        <w:t xml:space="preserve">جميل بن درّاج عن أبان بن تغلب في </w:t>
      </w:r>
      <w:r w:rsidR="00744A1C" w:rsidRPr="0061079A">
        <w:rPr>
          <w:rStyle w:val="libFootnoteBoldChar"/>
          <w:rtl/>
        </w:rPr>
        <w:t>الكافي</w:t>
      </w:r>
      <w:r w:rsidR="00744A1C">
        <w:rPr>
          <w:rtl/>
          <w:lang w:bidi="fa-IR"/>
        </w:rPr>
        <w:t xml:space="preserve"> ، ح 11415 ، ومحمّد بن عمرو هو محمّد بن عمرو بن سعيد الزيّات بقرينة رواية عليّ بن السندي عن محمّد بن عمرو بن سعيد عن جميل عن أبان بن تغلب في </w:t>
      </w:r>
      <w:r w:rsidR="00744A1C" w:rsidRPr="00610FB4">
        <w:rPr>
          <w:rStyle w:val="libFootnoteBoldChar"/>
          <w:rtl/>
        </w:rPr>
        <w:t>معاني الأخبار</w:t>
      </w:r>
      <w:r w:rsidR="00744A1C">
        <w:rPr>
          <w:rtl/>
          <w:lang w:bidi="fa-IR"/>
        </w:rPr>
        <w:t xml:space="preserve"> ، ص 217.</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الوسائل</w:t>
      </w:r>
      <w:r w:rsidR="00744A1C">
        <w:rPr>
          <w:rtl/>
          <w:lang w:bidi="fa-IR"/>
        </w:rPr>
        <w:t xml:space="preserve"> : « عمر » ، وهو سهو.</w:t>
      </w:r>
    </w:p>
    <w:p w:rsidR="00744A1C" w:rsidRDefault="00744A1C" w:rsidP="00D10E3C">
      <w:pPr>
        <w:pStyle w:val="libFootnote0"/>
        <w:rPr>
          <w:lang w:bidi="fa-IR"/>
        </w:rPr>
      </w:pPr>
      <w:r>
        <w:rPr>
          <w:rtl/>
          <w:lang w:bidi="fa-IR"/>
        </w:rPr>
        <w:t xml:space="preserve">ثمّ إنّ النجاشي عدّ محمّد بن عمروبن سعيد الزيّات من رواة الرضا </w:t>
      </w:r>
      <w:r w:rsidR="0061079A" w:rsidRPr="0061079A">
        <w:rPr>
          <w:rStyle w:val="libFootnoteAlaemChar"/>
          <w:rtl/>
        </w:rPr>
        <w:t>عليه‌السلام</w:t>
      </w:r>
      <w:r w:rsidR="00D10E3C">
        <w:rPr>
          <w:rtl/>
          <w:lang w:bidi="fa-IR"/>
        </w:rPr>
        <w:t xml:space="preserve"> </w:t>
      </w:r>
      <w:r>
        <w:rPr>
          <w:rtl/>
          <w:lang w:bidi="fa-IR"/>
        </w:rPr>
        <w:t xml:space="preserve">، ولم يثبت روايته عن أبي عبد الله </w:t>
      </w:r>
      <w:r w:rsidR="0061079A" w:rsidRPr="0061079A">
        <w:rPr>
          <w:rStyle w:val="libFootnoteAlaemChar"/>
          <w:rtl/>
        </w:rPr>
        <w:t>عليه‌السلام</w:t>
      </w:r>
      <w:r w:rsidR="00D10E3C">
        <w:rPr>
          <w:rtl/>
          <w:lang w:bidi="fa-IR"/>
        </w:rPr>
        <w:t xml:space="preserve"> </w:t>
      </w:r>
      <w:r>
        <w:rPr>
          <w:rtl/>
          <w:lang w:bidi="fa-IR"/>
        </w:rPr>
        <w:t xml:space="preserve">، بل مات يونس بن يعقوب - وهو من عمدة مشايخه - في أيّام الرضا </w:t>
      </w:r>
      <w:r w:rsidR="0061079A" w:rsidRPr="0061079A">
        <w:rPr>
          <w:rStyle w:val="libFootnoteAlaemChar"/>
          <w:rtl/>
        </w:rPr>
        <w:t>عليه‌السلام</w:t>
      </w:r>
      <w:r>
        <w:rPr>
          <w:rtl/>
          <w:lang w:bidi="fa-IR"/>
        </w:rPr>
        <w:t xml:space="preserve"> . راجع : </w:t>
      </w:r>
      <w:r w:rsidRPr="003A7143">
        <w:rPr>
          <w:rStyle w:val="libFootnoteBoldChar"/>
          <w:rtl/>
        </w:rPr>
        <w:t>رجال النجاشي</w:t>
      </w:r>
      <w:r>
        <w:rPr>
          <w:rtl/>
          <w:lang w:bidi="fa-IR"/>
        </w:rPr>
        <w:t xml:space="preserve"> ، ص 369 ، الرقم 1001 ؛ وص 446 ، الرقم 1207. فعليه ، الظاهر وقوع خللٍ في السند ، والله هو العالم.</w:t>
      </w:r>
    </w:p>
    <w:p w:rsidR="00744A1C" w:rsidRDefault="00E378DD" w:rsidP="00E378DD">
      <w:pPr>
        <w:pStyle w:val="libFootnote0"/>
        <w:rPr>
          <w:lang w:bidi="fa-IR"/>
        </w:rPr>
      </w:pPr>
      <w:r>
        <w:rPr>
          <w:rtl/>
          <w:lang w:bidi="fa-IR"/>
        </w:rPr>
        <w:t>(2).</w:t>
      </w:r>
      <w:r w:rsidR="00744A1C">
        <w:rPr>
          <w:rtl/>
          <w:lang w:bidi="fa-IR"/>
        </w:rPr>
        <w:t xml:space="preserve"> في « بخ » وحاشية « بح » و</w:t>
      </w:r>
      <w:r w:rsidR="00744A1C" w:rsidRPr="00C24F9C">
        <w:rPr>
          <w:rStyle w:val="libFootnoteBoldChar"/>
          <w:rtl/>
        </w:rPr>
        <w:t>الوافي</w:t>
      </w:r>
      <w:r w:rsidR="00744A1C">
        <w:rPr>
          <w:rtl/>
          <w:lang w:bidi="fa-IR"/>
        </w:rPr>
        <w:t xml:space="preserve"> : « من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270 : « الظاهر أنّه من كلام محمّد بن عمرو بن سعيد ، ويؤيّده أنّ الشيخ في </w:t>
      </w:r>
      <w:r w:rsidR="00744A1C" w:rsidRPr="00C24F9C">
        <w:rPr>
          <w:rStyle w:val="libFootnoteBoldChar"/>
          <w:rtl/>
        </w:rPr>
        <w:t>التهذيب</w:t>
      </w:r>
      <w:r w:rsidR="00744A1C">
        <w:rPr>
          <w:rtl/>
          <w:lang w:bidi="fa-IR"/>
        </w:rPr>
        <w:t xml:space="preserve"> قال بعد إتمام الخبر : هذا من كلام محمّد بن عمرو بن سعيد الزيّات ». وفي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xml:space="preserve">: « منهم يحيى بن حبيب ، من كلام الراوي ، لا من كلام الصادق </w:t>
      </w:r>
      <w:r w:rsidR="0061079A" w:rsidRPr="0061079A">
        <w:rPr>
          <w:rStyle w:val="libFootnoteAlaemChar"/>
          <w:rtl/>
        </w:rPr>
        <w:t>عليه‌السلام</w:t>
      </w:r>
      <w:r w:rsidR="00D10E3C">
        <w:rPr>
          <w:rtl/>
          <w:lang w:bidi="fa-IR"/>
        </w:rPr>
        <w:t xml:space="preserve"> </w:t>
      </w:r>
      <w:r w:rsidR="00744A1C">
        <w:rPr>
          <w:rtl/>
          <w:lang w:bidi="fa-IR"/>
        </w:rPr>
        <w:t xml:space="preserve">؛ لأنّ يحيى بن حبيب وعبد الرحمن عاشا إلى زمن الرضا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14 ، ح 28 ، معلّقاً عن الكليني </w:t>
      </w:r>
      <w:r w:rsidR="006D2087">
        <w:rPr>
          <w:rFonts w:hint="cs"/>
          <w:rtl/>
          <w:lang w:bidi="fa-IR"/>
        </w:rPr>
        <w:t>.</w:t>
      </w:r>
      <w:r w:rsidR="00744A1C" w:rsidRPr="00C24F9C">
        <w:rPr>
          <w:rStyle w:val="libFootnoteBoldChar"/>
          <w:rtl/>
        </w:rPr>
        <w:t>الوافي</w:t>
      </w:r>
      <w:r w:rsidR="00744A1C">
        <w:rPr>
          <w:rtl/>
          <w:lang w:bidi="fa-IR"/>
        </w:rPr>
        <w:t xml:space="preserve"> ، ج 14 ، ص 1380 ، ح 14418 ؛ </w:t>
      </w:r>
      <w:r w:rsidR="00744A1C" w:rsidRPr="00C24F9C">
        <w:rPr>
          <w:rStyle w:val="libFootnoteBoldChar"/>
          <w:rtl/>
        </w:rPr>
        <w:t>الوسائل</w:t>
      </w:r>
      <w:r w:rsidR="00744A1C">
        <w:rPr>
          <w:rtl/>
          <w:lang w:bidi="fa-IR"/>
        </w:rPr>
        <w:t xml:space="preserve"> ، ج 14 ، ص 348 ، ح 19364.</w:t>
      </w:r>
    </w:p>
    <w:p w:rsidR="00744A1C" w:rsidRDefault="00E378DD" w:rsidP="00E378DD">
      <w:pPr>
        <w:pStyle w:val="libFootnote0"/>
        <w:rPr>
          <w:lang w:bidi="fa-IR"/>
        </w:rPr>
      </w:pPr>
      <w:r>
        <w:rPr>
          <w:rtl/>
          <w:lang w:bidi="fa-IR"/>
        </w:rPr>
        <w:t>(5).</w:t>
      </w:r>
      <w:r w:rsidR="00744A1C">
        <w:rPr>
          <w:rtl/>
          <w:lang w:bidi="fa-IR"/>
        </w:rPr>
        <w:t xml:space="preserve"> تكرّرت رواية عليّ بن إبراهيم عن أبيه عن ابن أبي عمير عن حمّاد عن الحلبي عن أبي عبد الله </w:t>
      </w:r>
      <w:r w:rsidR="0061079A" w:rsidRPr="0061079A">
        <w:rPr>
          <w:rStyle w:val="libFootnoteAlaemChar"/>
          <w:rtl/>
        </w:rPr>
        <w:t>عليه‌السلام</w:t>
      </w:r>
      <w:r w:rsidR="00D10E3C">
        <w:rPr>
          <w:rtl/>
          <w:lang w:bidi="fa-IR"/>
        </w:rPr>
        <w:t xml:space="preserve"> </w:t>
      </w:r>
      <w:r w:rsidR="00744A1C">
        <w:rPr>
          <w:rtl/>
          <w:lang w:bidi="fa-IR"/>
        </w:rPr>
        <w:t>في كثيرٍ من الأسناد جدّاً. والظاهر سقوط « عن ابن أبي عمير » من سندنا هذا.</w:t>
      </w:r>
    </w:p>
    <w:p w:rsidR="00744A1C" w:rsidRDefault="00744A1C" w:rsidP="00D10E3C">
      <w:pPr>
        <w:pStyle w:val="libFootnote0"/>
        <w:rPr>
          <w:lang w:bidi="fa-IR"/>
        </w:rPr>
      </w:pPr>
      <w:r>
        <w:rPr>
          <w:rtl/>
          <w:lang w:bidi="fa-IR"/>
        </w:rPr>
        <w:t>ويؤيّد ذلك أنّ السند الآتي مصدّر بابن أبي عمير ، وهذا يعني بناء ذاك السند على سندنا هذا ، اعتماداً على ذكر ابن أبي عمير فيه ، فيكون السند معلّقاً عليه.</w:t>
      </w:r>
    </w:p>
    <w:p w:rsidR="00744A1C" w:rsidRDefault="00E378DD" w:rsidP="00E378DD">
      <w:pPr>
        <w:pStyle w:val="libFootnote0"/>
        <w:rPr>
          <w:lang w:bidi="fa-IR"/>
        </w:rPr>
      </w:pPr>
      <w:r>
        <w:rPr>
          <w:rtl/>
          <w:lang w:bidi="fa-IR"/>
        </w:rPr>
        <w:t>(6).</w:t>
      </w:r>
      <w:r w:rsidR="00744A1C">
        <w:rPr>
          <w:rtl/>
          <w:lang w:bidi="fa-IR"/>
        </w:rPr>
        <w:t xml:space="preserve"> في « بح ، بخ ، بف » و</w:t>
      </w:r>
      <w:r w:rsidR="00744A1C" w:rsidRPr="00C24F9C">
        <w:rPr>
          <w:rStyle w:val="libFootnoteBoldChar"/>
          <w:rtl/>
        </w:rPr>
        <w:t>الوسائل</w:t>
      </w:r>
      <w:r w:rsidR="00744A1C">
        <w:rPr>
          <w:rtl/>
          <w:lang w:bidi="fa-IR"/>
        </w:rPr>
        <w:t xml:space="preserve"> : « فتصلّي ». وفي حاشية « جن » : « تصلّي ».</w:t>
      </w:r>
    </w:p>
    <w:tbl>
      <w:tblPr>
        <w:tblStyle w:val="TableGrid"/>
        <w:bidiVisual/>
        <w:tblW w:w="0" w:type="auto"/>
        <w:tblLook w:val="04A0" w:firstRow="1" w:lastRow="0" w:firstColumn="1" w:lastColumn="0" w:noHBand="0" w:noVBand="1"/>
      </w:tblPr>
      <w:tblGrid>
        <w:gridCol w:w="4006"/>
        <w:gridCol w:w="4006"/>
      </w:tblGrid>
      <w:tr w:rsidR="006D2087" w:rsidTr="006D2087">
        <w:tc>
          <w:tcPr>
            <w:tcW w:w="4006" w:type="dxa"/>
          </w:tcPr>
          <w:p w:rsidR="006D2087" w:rsidRDefault="006D2087"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 « ما ».</w:t>
            </w:r>
          </w:p>
        </w:tc>
        <w:tc>
          <w:tcPr>
            <w:tcW w:w="4006" w:type="dxa"/>
          </w:tcPr>
          <w:p w:rsidR="006D2087" w:rsidRDefault="006D2087" w:rsidP="00E378DD">
            <w:pPr>
              <w:pStyle w:val="libFootnote0"/>
              <w:rPr>
                <w:rtl/>
                <w:lang w:bidi="fa-IR"/>
              </w:rPr>
            </w:pPr>
            <w:r>
              <w:rPr>
                <w:rtl/>
                <w:lang w:bidi="fa-IR"/>
              </w:rPr>
              <w:t xml:space="preserve">(8). في </w:t>
            </w:r>
            <w:r w:rsidRPr="00C24F9C">
              <w:rPr>
                <w:rStyle w:val="libFootnoteBoldChar"/>
                <w:rtl/>
              </w:rPr>
              <w:t>الوسائل</w:t>
            </w:r>
            <w:r>
              <w:rPr>
                <w:rtl/>
                <w:lang w:bidi="fa-IR"/>
              </w:rPr>
              <w:t xml:space="preserve"> : « عند ».</w:t>
            </w:r>
          </w:p>
        </w:tc>
      </w:tr>
    </w:tbl>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 xml:space="preserve">دُنْيَا ، وَالْيَوْمَ الثَّانِيَ عِنْدَ أُسْطُوَانَةِ التَّوْبَةِ ، وَيَوْمَ الْجُمُعَةِ عِنْدَ مَقَامِ النَّبِيِّ </w:t>
      </w:r>
      <w:r w:rsidR="00EE7E5B" w:rsidRPr="007B299E">
        <w:rPr>
          <w:rStyle w:val="libAlaemChar"/>
          <w:rtl/>
        </w:rPr>
        <w:t>صلى‌الله‌عليه‌وآله</w:t>
      </w:r>
      <w:r w:rsidR="00EE7E5B">
        <w:rPr>
          <w:rtl/>
          <w:lang w:bidi="fa-IR"/>
        </w:rPr>
        <w:t xml:space="preserve"> </w:t>
      </w:r>
      <w:r>
        <w:rPr>
          <w:rtl/>
          <w:lang w:bidi="fa-IR"/>
        </w:rPr>
        <w:t xml:space="preserve">مُقَابِلَ الْأُسْطُوَانَةِ الْكَثِيرَةِ </w:t>
      </w:r>
      <w:r w:rsidRPr="00D10E3C">
        <w:rPr>
          <w:rStyle w:val="libFootnotenumChar"/>
          <w:rtl/>
        </w:rPr>
        <w:t>(1)</w:t>
      </w:r>
      <w:r>
        <w:rPr>
          <w:rtl/>
          <w:lang w:bidi="fa-IR"/>
        </w:rPr>
        <w:t xml:space="preserve"> الْخَلُوقِ </w:t>
      </w:r>
      <w:r w:rsidRPr="00D10E3C">
        <w:rPr>
          <w:rStyle w:val="libFootnotenumChar"/>
          <w:rtl/>
        </w:rPr>
        <w:t>(2)</w:t>
      </w:r>
      <w:r>
        <w:rPr>
          <w:rtl/>
          <w:lang w:bidi="fa-IR"/>
        </w:rPr>
        <w:t xml:space="preserve"> ، فَتَدْعُو اللهَ </w:t>
      </w:r>
      <w:r w:rsidRPr="00D10E3C">
        <w:rPr>
          <w:rStyle w:val="libFootnotenumChar"/>
          <w:rtl/>
        </w:rPr>
        <w:t>(3)</w:t>
      </w:r>
      <w:r>
        <w:rPr>
          <w:rtl/>
          <w:lang w:bidi="fa-IR"/>
        </w:rPr>
        <w:t xml:space="preserve"> عِنْدَهُنَّ لِكُلِّ حَاجَةٍ ، وَتَصُومُ تِلْكَ الثَّلَاثَةَ الْأَيَّامِ ». </w:t>
      </w:r>
      <w:r w:rsidRPr="00D10E3C">
        <w:rPr>
          <w:rStyle w:val="libFootnotenumChar"/>
          <w:rtl/>
        </w:rPr>
        <w:t>(4)</w:t>
      </w:r>
    </w:p>
    <w:p w:rsidR="00144FA6" w:rsidRDefault="00744A1C" w:rsidP="00744A1C">
      <w:pPr>
        <w:pStyle w:val="libNormal"/>
        <w:rPr>
          <w:rtl/>
          <w:lang w:bidi="fa-IR"/>
        </w:rPr>
      </w:pPr>
      <w:r>
        <w:rPr>
          <w:rtl/>
          <w:lang w:bidi="fa-IR"/>
        </w:rPr>
        <w:t>8127 / 5. ابْنُ أَبِي عُمَيْرٍ ، عَنْ مُعَاوِيَةَ بْنِ عَمَّارٍ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صُمِ </w:t>
      </w:r>
      <w:r w:rsidRPr="00D10E3C">
        <w:rPr>
          <w:rStyle w:val="libFootnotenumChar"/>
          <w:rtl/>
        </w:rPr>
        <w:t>(5)</w:t>
      </w:r>
      <w:r>
        <w:rPr>
          <w:rtl/>
          <w:lang w:bidi="fa-IR"/>
        </w:rPr>
        <w:t xml:space="preserve"> الْأَرْبِعَاءَ وَالْخَمِيسَ وَالْجُمُعَةَ ، وَصَلِّ لَيْلَةَ الْأَرْبِعَاءِ وَيَوْمَ الْأَرْبِعَاءِ </w:t>
      </w:r>
      <w:r w:rsidRPr="00D10E3C">
        <w:rPr>
          <w:rStyle w:val="libFootnotenumChar"/>
          <w:rtl/>
        </w:rPr>
        <w:t>(6)</w:t>
      </w:r>
      <w:r>
        <w:rPr>
          <w:rtl/>
          <w:lang w:bidi="fa-IR"/>
        </w:rPr>
        <w:t xml:space="preserve"> عِنْدَ الْأُسْطُوَانَةِ الَّتِي تَلِي رَأْسَ النَّبِيِّ </w:t>
      </w:r>
      <w:r w:rsidR="0017097C" w:rsidRPr="0017097C">
        <w:rPr>
          <w:rStyle w:val="libAlaemChar"/>
          <w:rtl/>
        </w:rPr>
        <w:t>صلى‌الله‌عليه‌وآله</w:t>
      </w:r>
      <w:r w:rsidR="00D10E3C">
        <w:rPr>
          <w:rtl/>
          <w:lang w:bidi="fa-IR"/>
        </w:rPr>
        <w:t xml:space="preserve"> </w:t>
      </w:r>
      <w:r>
        <w:rPr>
          <w:rtl/>
          <w:lang w:bidi="fa-IR"/>
        </w:rPr>
        <w:t xml:space="preserve">، وَلَيْلَةَ الْخَمِيسِ وَيَوْمَ الْخَمِيسِ عِنْدَ أُسْطُوَانَةِ أَبِي لُبَابَةَ </w:t>
      </w:r>
      <w:r w:rsidRPr="00D10E3C">
        <w:rPr>
          <w:rStyle w:val="libFootnotenumChar"/>
          <w:rtl/>
        </w:rPr>
        <w:t>(7)</w:t>
      </w:r>
      <w:r>
        <w:rPr>
          <w:rtl/>
          <w:lang w:bidi="fa-IR"/>
        </w:rPr>
        <w:t xml:space="preserve"> ، وَلَيْلَةَ الْجُمُعَةِ وَيَوْمَ الْجُمُعَةِ عِنْدَ الْأُسْطُوَانَةِ الَّتِي تَلِي مَقَامَ النَّبِيِّ </w:t>
      </w:r>
      <w:r w:rsidR="0017097C" w:rsidRPr="0017097C">
        <w:rPr>
          <w:rStyle w:val="libAlaemChar"/>
          <w:rtl/>
        </w:rPr>
        <w:t>صلى‌الله‌عليه‌وآله</w:t>
      </w:r>
      <w:r w:rsidR="00D10E3C">
        <w:rPr>
          <w:rtl/>
          <w:lang w:bidi="fa-IR"/>
        </w:rPr>
        <w:t xml:space="preserve"> </w:t>
      </w:r>
      <w:r>
        <w:rPr>
          <w:rtl/>
          <w:lang w:bidi="fa-IR"/>
        </w:rPr>
        <w:t xml:space="preserve">، وَادْعُ بِهذَا الدُّعَاءِ لِحَاجَتِكَ وَهُوَ </w:t>
      </w:r>
      <w:r w:rsidRPr="00D10E3C">
        <w:rPr>
          <w:rStyle w:val="libFootnotenumChar"/>
          <w:rtl/>
        </w:rPr>
        <w:t>(8)</w:t>
      </w:r>
      <w:r>
        <w:rPr>
          <w:rtl/>
          <w:lang w:bidi="fa-IR"/>
        </w:rPr>
        <w:t xml:space="preserve"> : الل</w:t>
      </w:r>
      <w:r w:rsidR="00381879">
        <w:rPr>
          <w:rFonts w:hint="cs"/>
          <w:rtl/>
          <w:lang w:bidi="fa-IR"/>
        </w:rPr>
        <w:t>ّ</w:t>
      </w:r>
      <w:r>
        <w:rPr>
          <w:rtl/>
          <w:lang w:bidi="fa-IR"/>
        </w:rPr>
        <w:t xml:space="preserve">هُمَّ إِنِّي أَسْأَلُكَ بِعِزَّتِكَ وَقُوَّتِكَ وَقُدْرَتِكَ ، وَجَمِيعِ مَا أَحَاطَ بِهِ عِلْمُكَ أَنْ تُصَلِّيَ عَلى مُحَمَّدٍ وَآلِ </w:t>
      </w:r>
      <w:r w:rsidRPr="00D10E3C">
        <w:rPr>
          <w:rStyle w:val="libFootnotenumChar"/>
          <w:rtl/>
        </w:rPr>
        <w:t>(9)</w:t>
      </w:r>
      <w:r>
        <w:rPr>
          <w:rtl/>
          <w:lang w:bidi="fa-IR"/>
        </w:rPr>
        <w:t xml:space="preserve"> مُحَمَّدٍ </w:t>
      </w:r>
      <w:r w:rsidRPr="00D10E3C">
        <w:rPr>
          <w:rStyle w:val="libFootnotenumChar"/>
          <w:rtl/>
        </w:rPr>
        <w:t>(10)</w:t>
      </w:r>
      <w:r>
        <w:rPr>
          <w:rtl/>
          <w:lang w:bidi="fa-IR"/>
        </w:rPr>
        <w:t xml:space="preserve"> ، وَأَنْ تَفْعَلَ بِي كَذَا وَكَذَا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بخ ، بف » : « الكبيرة ».</w:t>
      </w:r>
    </w:p>
    <w:p w:rsidR="00744A1C" w:rsidRDefault="00E378DD" w:rsidP="005908F5">
      <w:pPr>
        <w:pStyle w:val="libFootnote0"/>
        <w:rPr>
          <w:lang w:bidi="fa-IR"/>
        </w:rPr>
      </w:pPr>
      <w:r>
        <w:rPr>
          <w:rtl/>
          <w:lang w:bidi="fa-IR"/>
        </w:rPr>
        <w:t>(2).</w:t>
      </w:r>
      <w:r w:rsidR="00744A1C">
        <w:rPr>
          <w:rtl/>
          <w:lang w:bidi="fa-IR"/>
        </w:rPr>
        <w:t xml:space="preserve"> 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 وتارة يقال : الا</w:t>
      </w:r>
      <w:r w:rsidR="00381879">
        <w:rPr>
          <w:rFonts w:hint="cs"/>
          <w:rtl/>
          <w:lang w:bidi="fa-IR"/>
        </w:rPr>
        <w:t>ُ</w:t>
      </w:r>
      <w:r w:rsidR="00744A1C">
        <w:rPr>
          <w:rtl/>
          <w:lang w:bidi="fa-IR"/>
        </w:rPr>
        <w:t>سطوانة المخلّقة ، وهذه الا</w:t>
      </w:r>
      <w:r w:rsidR="005908F5">
        <w:rPr>
          <w:rFonts w:hint="cs"/>
          <w:rtl/>
          <w:lang w:bidi="fa-IR"/>
        </w:rPr>
        <w:t>ُ</w:t>
      </w:r>
      <w:r w:rsidR="00744A1C">
        <w:rPr>
          <w:rtl/>
          <w:lang w:bidi="fa-IR"/>
        </w:rPr>
        <w:t>سطوانات الثلاث في صفّ واحد ، وهي أقدم الا</w:t>
      </w:r>
      <w:r w:rsidR="005908F5">
        <w:rPr>
          <w:rFonts w:hint="cs"/>
          <w:rtl/>
          <w:lang w:bidi="fa-IR"/>
        </w:rPr>
        <w:t>ُ</w:t>
      </w:r>
      <w:r w:rsidR="00744A1C">
        <w:rPr>
          <w:rtl/>
          <w:lang w:bidi="fa-IR"/>
        </w:rPr>
        <w:t>سطوانات إلى القبلة في المسجد الأصلي ، والا</w:t>
      </w:r>
      <w:r w:rsidR="005908F5">
        <w:rPr>
          <w:rFonts w:hint="cs"/>
          <w:rtl/>
          <w:lang w:bidi="fa-IR"/>
        </w:rPr>
        <w:t>ُ</w:t>
      </w:r>
      <w:r w:rsidR="00744A1C">
        <w:rPr>
          <w:rtl/>
          <w:lang w:bidi="fa-IR"/>
        </w:rPr>
        <w:t xml:space="preserve">سطوانة المخلّقة بإزاء المحراب ، أعني مقام النبيّ </w:t>
      </w:r>
      <w:r w:rsidR="0061079A" w:rsidRPr="0061079A">
        <w:rPr>
          <w:rStyle w:val="libFootnoteAlaemChar"/>
          <w:rtl/>
        </w:rPr>
        <w:t>صلى‌الله‌عليه‌وآله</w:t>
      </w:r>
      <w:r w:rsidR="00D10E3C">
        <w:rPr>
          <w:rtl/>
          <w:lang w:bidi="fa-IR"/>
        </w:rPr>
        <w:t xml:space="preserve"> </w:t>
      </w:r>
      <w:r w:rsidR="00744A1C">
        <w:rPr>
          <w:rtl/>
          <w:lang w:bidi="fa-IR"/>
        </w:rPr>
        <w:t xml:space="preserve">، فمن المقام إلى القبر خمس </w:t>
      </w:r>
      <w:r w:rsidR="005908F5">
        <w:rPr>
          <w:rtl/>
          <w:lang w:bidi="fa-IR"/>
        </w:rPr>
        <w:t>الا</w:t>
      </w:r>
      <w:r w:rsidR="005908F5">
        <w:rPr>
          <w:rFonts w:hint="cs"/>
          <w:rtl/>
          <w:lang w:bidi="fa-IR"/>
        </w:rPr>
        <w:t>ُ</w:t>
      </w:r>
      <w:r w:rsidR="005908F5">
        <w:rPr>
          <w:rtl/>
          <w:lang w:bidi="fa-IR"/>
        </w:rPr>
        <w:t xml:space="preserve">سطوانات </w:t>
      </w:r>
      <w:r w:rsidR="00744A1C">
        <w:rPr>
          <w:rtl/>
          <w:lang w:bidi="fa-IR"/>
        </w:rPr>
        <w:t>، يصلّى بمقتضى هذا الخبر عند ثلاث منها. وفي الرواية التالية عن ابن عمّار الشروع من ا</w:t>
      </w:r>
      <w:r w:rsidR="005908F5">
        <w:rPr>
          <w:rFonts w:hint="cs"/>
          <w:rtl/>
          <w:lang w:bidi="fa-IR"/>
        </w:rPr>
        <w:t>ُ</w:t>
      </w:r>
      <w:r w:rsidR="00744A1C">
        <w:rPr>
          <w:rtl/>
          <w:lang w:bidi="fa-IR"/>
        </w:rPr>
        <w:t>سطوانة أبي لبابة ، واليوم الثاني عند الا</w:t>
      </w:r>
      <w:r w:rsidR="005908F5">
        <w:rPr>
          <w:rFonts w:hint="cs"/>
          <w:rtl/>
          <w:lang w:bidi="fa-IR"/>
        </w:rPr>
        <w:t>ُ</w:t>
      </w:r>
      <w:r w:rsidR="00744A1C">
        <w:rPr>
          <w:rtl/>
          <w:lang w:bidi="fa-IR"/>
        </w:rPr>
        <w:t>سطوانة التي لا اسم لها ، والثال</w:t>
      </w:r>
      <w:r w:rsidR="005908F5">
        <w:rPr>
          <w:rtl/>
          <w:lang w:bidi="fa-IR"/>
        </w:rPr>
        <w:t>ثة عند المقام ، وكلاهما حسن إل</w:t>
      </w:r>
      <w:r w:rsidR="005908F5">
        <w:rPr>
          <w:rFonts w:hint="cs"/>
          <w:rtl/>
          <w:lang w:bidi="fa-IR"/>
        </w:rPr>
        <w:t>ّ</w:t>
      </w:r>
      <w:r w:rsidR="005908F5">
        <w:rPr>
          <w:rtl/>
          <w:lang w:bidi="fa-IR"/>
        </w:rPr>
        <w:t>ا</w:t>
      </w:r>
      <w:r w:rsidR="00744A1C">
        <w:rPr>
          <w:rtl/>
          <w:lang w:bidi="fa-IR"/>
        </w:rPr>
        <w:t xml:space="preserve"> أنّ الصلاة عند نفس الا</w:t>
      </w:r>
      <w:r w:rsidR="005908F5">
        <w:rPr>
          <w:rFonts w:hint="cs"/>
          <w:rtl/>
          <w:lang w:bidi="fa-IR"/>
        </w:rPr>
        <w:t>ُ</w:t>
      </w:r>
      <w:r w:rsidR="00744A1C">
        <w:rPr>
          <w:rtl/>
          <w:lang w:bidi="fa-IR"/>
        </w:rPr>
        <w:t>سطوانة الا</w:t>
      </w:r>
      <w:r w:rsidR="005908F5">
        <w:rPr>
          <w:rFonts w:hint="cs"/>
          <w:rtl/>
          <w:lang w:bidi="fa-IR"/>
        </w:rPr>
        <w:t>ُ</w:t>
      </w:r>
      <w:r w:rsidR="00744A1C">
        <w:rPr>
          <w:rtl/>
          <w:lang w:bidi="fa-IR"/>
        </w:rPr>
        <w:t>ولى غير ممكنة في زماننا ؛ لأنّ محلّها داخل في الشبّاك الشريف ، فيتحرّي أقرب موضع منه ».</w:t>
      </w:r>
    </w:p>
    <w:p w:rsidR="00744A1C" w:rsidRDefault="00E378DD" w:rsidP="00E378DD">
      <w:pPr>
        <w:pStyle w:val="libFootnote0"/>
        <w:rPr>
          <w:lang w:bidi="fa-IR"/>
        </w:rPr>
      </w:pPr>
      <w:r>
        <w:rPr>
          <w:rtl/>
          <w:lang w:bidi="fa-IR"/>
        </w:rPr>
        <w:t>(3).</w:t>
      </w:r>
      <w:r w:rsidR="00744A1C">
        <w:rPr>
          <w:rtl/>
          <w:lang w:bidi="fa-IR"/>
        </w:rPr>
        <w:t xml:space="preserve"> في « جد » : - « الله ».</w:t>
      </w:r>
    </w:p>
    <w:p w:rsidR="00744A1C" w:rsidRDefault="00E378DD" w:rsidP="00910232">
      <w:pPr>
        <w:pStyle w:val="libFootnote0"/>
        <w:rPr>
          <w:lang w:bidi="fa-IR"/>
        </w:rPr>
      </w:pPr>
      <w:r>
        <w:rPr>
          <w:rtl/>
          <w:lang w:bidi="fa-IR"/>
        </w:rPr>
        <w:t>(4).</w:t>
      </w:r>
      <w:r w:rsidR="00744A1C">
        <w:rPr>
          <w:rtl/>
          <w:lang w:bidi="fa-IR"/>
        </w:rPr>
        <w:t xml:space="preserve"> راجع : </w:t>
      </w:r>
      <w:r w:rsidR="00744A1C" w:rsidRPr="00C24F9C">
        <w:rPr>
          <w:rStyle w:val="libFootnoteBoldChar"/>
          <w:rtl/>
        </w:rPr>
        <w:t>الفقيه</w:t>
      </w:r>
      <w:r w:rsidR="00744A1C">
        <w:rPr>
          <w:rtl/>
          <w:lang w:bidi="fa-IR"/>
        </w:rPr>
        <w:t xml:space="preserve"> ، ج 2 ، ص 570 </w:t>
      </w:r>
      <w:r w:rsidR="005908F5">
        <w:rPr>
          <w:rFonts w:hint="cs"/>
          <w:rtl/>
          <w:lang w:bidi="fa-IR"/>
        </w:rPr>
        <w:t>.</w:t>
      </w:r>
      <w:r w:rsidR="00744A1C" w:rsidRPr="00C24F9C">
        <w:rPr>
          <w:rStyle w:val="libFootnoteBoldChar"/>
          <w:rtl/>
        </w:rPr>
        <w:t>الوافي</w:t>
      </w:r>
      <w:r w:rsidR="00744A1C">
        <w:rPr>
          <w:rtl/>
          <w:lang w:bidi="fa-IR"/>
        </w:rPr>
        <w:t xml:space="preserve"> ، ج 14 ، ص 1381 ، ح 14419 ؛ </w:t>
      </w:r>
      <w:r w:rsidR="00744A1C" w:rsidRPr="00C24F9C">
        <w:rPr>
          <w:rStyle w:val="libFootnoteBoldChar"/>
          <w:rtl/>
        </w:rPr>
        <w:t>الوسائل</w:t>
      </w:r>
      <w:r w:rsidR="00910232">
        <w:rPr>
          <w:rtl/>
          <w:lang w:bidi="fa-IR"/>
        </w:rPr>
        <w:t xml:space="preserve"> ، ج 14 ، ص 351 ، ح 19370</w:t>
      </w:r>
      <w:r w:rsidR="00744A1C">
        <w:rPr>
          <w:rtl/>
          <w:lang w:bidi="fa-IR"/>
        </w:rPr>
        <w:t>؛</w:t>
      </w:r>
      <w:r w:rsidR="00744A1C" w:rsidRPr="0061079A">
        <w:rPr>
          <w:rStyle w:val="libFootnoteBoldChar"/>
          <w:rtl/>
        </w:rPr>
        <w:t>البحار</w:t>
      </w:r>
      <w:r w:rsidR="00910232">
        <w:rPr>
          <w:rtl/>
          <w:lang w:bidi="fa-IR"/>
        </w:rPr>
        <w:t>،ج100،ص 147،</w:t>
      </w:r>
      <w:r w:rsidR="00744A1C">
        <w:rPr>
          <w:rtl/>
          <w:lang w:bidi="fa-IR"/>
        </w:rPr>
        <w:t>ح 6.</w:t>
      </w:r>
      <w:r w:rsidR="00910232">
        <w:rPr>
          <w:rFonts w:hint="cs"/>
          <w:rtl/>
          <w:lang w:bidi="fa-IR"/>
        </w:rPr>
        <w:t xml:space="preserve">      </w:t>
      </w:r>
      <w:r>
        <w:rPr>
          <w:rtl/>
          <w:lang w:bidi="fa-IR"/>
        </w:rPr>
        <w:t>(5).</w:t>
      </w:r>
      <w:r w:rsidR="00744A1C">
        <w:rPr>
          <w:rtl/>
          <w:lang w:bidi="fa-IR"/>
        </w:rPr>
        <w:t xml:space="preserve"> في « جن » : + « يوم ».</w:t>
      </w:r>
    </w:p>
    <w:tbl>
      <w:tblPr>
        <w:tblStyle w:val="TableGrid"/>
        <w:bidiVisual/>
        <w:tblW w:w="0" w:type="auto"/>
        <w:tblLook w:val="04A0" w:firstRow="1" w:lastRow="0" w:firstColumn="1" w:lastColumn="0" w:noHBand="0" w:noVBand="1"/>
      </w:tblPr>
      <w:tblGrid>
        <w:gridCol w:w="4006"/>
        <w:gridCol w:w="4006"/>
      </w:tblGrid>
      <w:tr w:rsidR="00910232" w:rsidTr="00910232">
        <w:tc>
          <w:tcPr>
            <w:tcW w:w="4006" w:type="dxa"/>
          </w:tcPr>
          <w:p w:rsidR="00910232" w:rsidRDefault="00910232" w:rsidP="00E378DD">
            <w:pPr>
              <w:pStyle w:val="libFootnote0"/>
              <w:rPr>
                <w:rtl/>
                <w:lang w:bidi="fa-IR"/>
              </w:rPr>
            </w:pPr>
            <w:r>
              <w:rPr>
                <w:rtl/>
                <w:lang w:bidi="fa-IR"/>
              </w:rPr>
              <w:t>(6). في « ى » : - « ويوم الأربعاء ».</w:t>
            </w:r>
          </w:p>
        </w:tc>
        <w:tc>
          <w:tcPr>
            <w:tcW w:w="4006" w:type="dxa"/>
          </w:tcPr>
          <w:p w:rsidR="00910232" w:rsidRPr="00910232" w:rsidRDefault="00910232" w:rsidP="00910232">
            <w:pPr>
              <w:pStyle w:val="libFootnote0"/>
              <w:rPr>
                <w:rtl/>
                <w:lang w:bidi="fa-IR"/>
              </w:rPr>
            </w:pPr>
            <w:r>
              <w:rPr>
                <w:rtl/>
                <w:lang w:bidi="fa-IR"/>
              </w:rPr>
              <w:t>(7). في « بث » : - « عند ا</w:t>
            </w:r>
            <w:r>
              <w:rPr>
                <w:rFonts w:hint="cs"/>
                <w:rtl/>
                <w:lang w:bidi="fa-IR"/>
              </w:rPr>
              <w:t>ُ</w:t>
            </w:r>
            <w:r>
              <w:rPr>
                <w:rtl/>
                <w:lang w:bidi="fa-IR"/>
              </w:rPr>
              <w:t>سطوانة أبي لبابة ».</w:t>
            </w:r>
          </w:p>
        </w:tc>
      </w:tr>
      <w:tr w:rsidR="00910232" w:rsidTr="00910232">
        <w:tc>
          <w:tcPr>
            <w:tcW w:w="4006" w:type="dxa"/>
          </w:tcPr>
          <w:p w:rsidR="00910232" w:rsidRDefault="008A6F00" w:rsidP="00E378DD">
            <w:pPr>
              <w:pStyle w:val="libFootnote0"/>
              <w:rPr>
                <w:rtl/>
                <w:lang w:bidi="fa-IR"/>
              </w:rPr>
            </w:pPr>
            <w:r>
              <w:rPr>
                <w:rtl/>
                <w:lang w:bidi="fa-IR"/>
              </w:rPr>
              <w:t>(8). في « بخ ، بف » و</w:t>
            </w:r>
            <w:r w:rsidRPr="00C24F9C">
              <w:rPr>
                <w:rStyle w:val="libFootnoteBoldChar"/>
                <w:rtl/>
              </w:rPr>
              <w:t>الوافي</w:t>
            </w:r>
            <w:r>
              <w:rPr>
                <w:rtl/>
                <w:lang w:bidi="fa-IR"/>
              </w:rPr>
              <w:t xml:space="preserve"> : - « وهو ».</w:t>
            </w:r>
          </w:p>
        </w:tc>
        <w:tc>
          <w:tcPr>
            <w:tcW w:w="4006" w:type="dxa"/>
          </w:tcPr>
          <w:p w:rsidR="00910232" w:rsidRDefault="008A6F00" w:rsidP="00E378DD">
            <w:pPr>
              <w:pStyle w:val="libFootnote0"/>
              <w:rPr>
                <w:rtl/>
                <w:lang w:bidi="fa-IR"/>
              </w:rPr>
            </w:pPr>
            <w:r>
              <w:rPr>
                <w:rtl/>
                <w:lang w:bidi="fa-IR"/>
              </w:rPr>
              <w:t>(9). في«بث، بح، بخ، جد »و</w:t>
            </w:r>
            <w:r w:rsidRPr="0061079A">
              <w:rPr>
                <w:rStyle w:val="libFootnoteBoldChar"/>
                <w:rtl/>
              </w:rPr>
              <w:t>البحار</w:t>
            </w:r>
            <w:r>
              <w:rPr>
                <w:rtl/>
                <w:lang w:bidi="fa-IR"/>
              </w:rPr>
              <w:t xml:space="preserve"> : « وعلى آل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الوسائل</w:t>
      </w:r>
      <w:r w:rsidR="00744A1C">
        <w:rPr>
          <w:rtl/>
          <w:lang w:bidi="fa-IR"/>
        </w:rPr>
        <w:t xml:space="preserve"> : « على أهل بيته » بدل « آل محمّد ».</w:t>
      </w:r>
    </w:p>
    <w:p w:rsidR="00744A1C" w:rsidRDefault="00E378DD" w:rsidP="00E378DD">
      <w:pPr>
        <w:pStyle w:val="libFootnote0"/>
        <w:rPr>
          <w:lang w:bidi="fa-IR"/>
        </w:rPr>
      </w:pPr>
      <w:r>
        <w:rPr>
          <w:rtl/>
          <w:lang w:bidi="fa-IR"/>
        </w:rPr>
        <w:t>(11).</w:t>
      </w:r>
      <w:r w:rsidR="00744A1C">
        <w:rPr>
          <w:rtl/>
          <w:lang w:bidi="fa-IR"/>
        </w:rPr>
        <w:t xml:space="preserve"> في « جن » : « كذا » بدون الواو.</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4 ، ص 232 ، صدر ح 682 ؛ وج 6 ، ص 16 ، صدر ح 35 ؛ و</w:t>
      </w:r>
      <w:r w:rsidR="00744A1C" w:rsidRPr="007B299E">
        <w:rPr>
          <w:rStyle w:val="libFootnoteBoldChar"/>
          <w:rtl/>
        </w:rPr>
        <w:t>كامل الزيارات</w:t>
      </w:r>
      <w:r w:rsidR="00744A1C">
        <w:rPr>
          <w:rtl/>
          <w:lang w:bidi="fa-IR"/>
        </w:rPr>
        <w:t xml:space="preserve"> ، ص 25 ، الباب 6 ، </w:t>
      </w:r>
      <w:r w:rsidR="008A6F00">
        <w:rPr>
          <w:rFonts w:hint="cs"/>
          <w:rtl/>
          <w:lang w:bidi="fa-IR"/>
        </w:rPr>
        <w:t>=</w:t>
      </w:r>
    </w:p>
    <w:p w:rsidR="00150943" w:rsidRDefault="00150943" w:rsidP="00D10E3C">
      <w:pPr>
        <w:pStyle w:val="libNormal"/>
        <w:rPr>
          <w:rtl/>
          <w:lang w:bidi="fa-IR"/>
        </w:rPr>
      </w:pPr>
      <w:r>
        <w:rPr>
          <w:rtl/>
          <w:lang w:bidi="fa-IR"/>
        </w:rPr>
        <w:br w:type="page"/>
      </w:r>
    </w:p>
    <w:p w:rsidR="00144FA6" w:rsidRDefault="00744A1C" w:rsidP="004E6F06">
      <w:pPr>
        <w:pStyle w:val="Heading2Center"/>
        <w:rPr>
          <w:rtl/>
          <w:lang w:bidi="fa-IR"/>
        </w:rPr>
      </w:pPr>
      <w:bookmarkStart w:id="67" w:name="_Toc49261365"/>
      <w:r>
        <w:rPr>
          <w:rtl/>
          <w:lang w:bidi="fa-IR"/>
        </w:rPr>
        <w:lastRenderedPageBreak/>
        <w:t xml:space="preserve">220 - بَابُ زِيَارَةِ مَنْ بِالْبَقِيعِ </w:t>
      </w:r>
      <w:r w:rsidRPr="00D10E3C">
        <w:rPr>
          <w:rStyle w:val="libFootnotenumChar"/>
          <w:rtl/>
        </w:rPr>
        <w:t>(1)</w:t>
      </w:r>
      <w:bookmarkEnd w:id="67"/>
    </w:p>
    <w:p w:rsidR="00144FA6" w:rsidRDefault="00744A1C" w:rsidP="00744A1C">
      <w:pPr>
        <w:pStyle w:val="libNormal"/>
        <w:rPr>
          <w:rtl/>
          <w:lang w:bidi="fa-IR"/>
        </w:rPr>
      </w:pPr>
      <w:r>
        <w:rPr>
          <w:rtl/>
          <w:lang w:bidi="fa-IR"/>
        </w:rPr>
        <w:t xml:space="preserve">8128 / 1. إِذَا أَتَيْتَ الْقَبْرَ الَّذِي </w:t>
      </w:r>
      <w:r w:rsidRPr="00D10E3C">
        <w:rPr>
          <w:rStyle w:val="libFootnotenumChar"/>
          <w:rtl/>
        </w:rPr>
        <w:t>(2)</w:t>
      </w:r>
      <w:r>
        <w:rPr>
          <w:rtl/>
          <w:lang w:bidi="fa-IR"/>
        </w:rPr>
        <w:t xml:space="preserve"> بِالْبَقِيعِ ، فَاجْعَلْهُ بَيْنَ يَدَيْكَ ، ثُمَّ تَقُولُ </w:t>
      </w:r>
      <w:r w:rsidRPr="00D10E3C">
        <w:rPr>
          <w:rStyle w:val="libFootnotenumChar"/>
          <w:rtl/>
        </w:rPr>
        <w:t>(3)</w:t>
      </w:r>
      <w:r>
        <w:rPr>
          <w:rtl/>
          <w:lang w:bidi="fa-IR"/>
        </w:rPr>
        <w:t xml:space="preserve"> :</w:t>
      </w:r>
    </w:p>
    <w:p w:rsidR="00144FA6" w:rsidRDefault="00744A1C" w:rsidP="00744A1C">
      <w:pPr>
        <w:pStyle w:val="libNormal"/>
        <w:rPr>
          <w:rtl/>
          <w:lang w:bidi="fa-IR"/>
        </w:rPr>
      </w:pPr>
      <w:r>
        <w:rPr>
          <w:rtl/>
          <w:lang w:bidi="fa-IR"/>
        </w:rPr>
        <w:t xml:space="preserve">السَّلَامُ عَلَيْكُمْ </w:t>
      </w:r>
      <w:r w:rsidRPr="00D10E3C">
        <w:rPr>
          <w:rStyle w:val="libFootnotenumChar"/>
          <w:rtl/>
        </w:rPr>
        <w:t>(4)</w:t>
      </w:r>
      <w:r>
        <w:rPr>
          <w:rtl/>
          <w:lang w:bidi="fa-IR"/>
        </w:rPr>
        <w:t xml:space="preserve"> أَئِمَّةَ الْهُدى ، السَّلَامُ عَلَيْكُمْ </w:t>
      </w:r>
      <w:r w:rsidRPr="00D10E3C">
        <w:rPr>
          <w:rStyle w:val="libFootnotenumChar"/>
          <w:rtl/>
        </w:rPr>
        <w:t>(5)</w:t>
      </w:r>
      <w:r>
        <w:rPr>
          <w:rtl/>
          <w:lang w:bidi="fa-IR"/>
        </w:rPr>
        <w:t xml:space="preserve"> أَهْلَ التَّقْوى </w:t>
      </w:r>
      <w:r w:rsidRPr="00D10E3C">
        <w:rPr>
          <w:rStyle w:val="libFootnotenumChar"/>
          <w:rtl/>
        </w:rPr>
        <w:t>(6)</w:t>
      </w:r>
      <w:r>
        <w:rPr>
          <w:rtl/>
          <w:lang w:bidi="fa-IR"/>
        </w:rPr>
        <w:t xml:space="preserve"> ، السَّلَامُ عَلَيْكُمُ الْحُجَّةَ </w:t>
      </w:r>
      <w:r w:rsidRPr="00D10E3C">
        <w:rPr>
          <w:rStyle w:val="libFootnotenumChar"/>
          <w:rtl/>
        </w:rPr>
        <w:t>(7)</w:t>
      </w:r>
      <w:r>
        <w:rPr>
          <w:rtl/>
          <w:lang w:bidi="fa-IR"/>
        </w:rPr>
        <w:t xml:space="preserve"> عَلى أَهْلِ الدُّنْيَا ، السَّلَامُ عَلَيْكُمُ الْقُوَّامَ </w:t>
      </w:r>
      <w:r w:rsidRPr="00D10E3C">
        <w:rPr>
          <w:rStyle w:val="libFootnotenumChar"/>
          <w:rtl/>
        </w:rPr>
        <w:t>(8)</w:t>
      </w:r>
      <w:r>
        <w:rPr>
          <w:rtl/>
          <w:lang w:bidi="fa-IR"/>
        </w:rPr>
        <w:t xml:space="preserve"> فِي الْبَرِيَّةِ بِالْقِسْطِ ، السَّلَامُ عَلَيْكُمْ </w:t>
      </w:r>
      <w:r w:rsidRPr="00D10E3C">
        <w:rPr>
          <w:rStyle w:val="libFootnotenumChar"/>
          <w:rtl/>
        </w:rPr>
        <w:t>(9)</w:t>
      </w:r>
      <w:r>
        <w:rPr>
          <w:rtl/>
          <w:lang w:bidi="fa-IR"/>
        </w:rPr>
        <w:t xml:space="preserve"> أَهْلَ الصَّفْوَةِ </w:t>
      </w:r>
      <w:r w:rsidRPr="00D10E3C">
        <w:rPr>
          <w:rStyle w:val="libFootnotenumChar"/>
          <w:rtl/>
        </w:rPr>
        <w:t>(10)</w:t>
      </w:r>
      <w:r>
        <w:rPr>
          <w:rtl/>
          <w:lang w:bidi="fa-IR"/>
        </w:rPr>
        <w:t xml:space="preserve"> ، السَّلَامُ عَلَيْكُمْ </w:t>
      </w:r>
      <w:r w:rsidRPr="00D10E3C">
        <w:rPr>
          <w:rStyle w:val="libFootnotenumChar"/>
          <w:rtl/>
        </w:rPr>
        <w:t>(11)</w:t>
      </w:r>
      <w:r>
        <w:rPr>
          <w:rtl/>
          <w:lang w:bidi="fa-IR"/>
        </w:rPr>
        <w:t xml:space="preserve"> أَهْلَ النَّجْوى </w:t>
      </w:r>
      <w:r w:rsidRPr="00D10E3C">
        <w:rPr>
          <w:rStyle w:val="libFootnotenumChar"/>
          <w:rtl/>
        </w:rPr>
        <w:t>(12)</w:t>
      </w:r>
      <w:r>
        <w:rPr>
          <w:rtl/>
          <w:lang w:bidi="fa-IR"/>
        </w:rPr>
        <w:t xml:space="preserve"> ، أَشْهَدُ أَنَّكُمْ قَدْ بَلَّغْتُمْ وَنَصَحْتُمْ وَصَبَرْتُمْ فِي ذَاتِ اللهِ ، وَكُذِّبْتُمْ ، وَأُسِي‌ءَ إِلَيْكُمْ فَعَفَوْتُمْ </w:t>
      </w:r>
      <w:r w:rsidRPr="00D10E3C">
        <w:rPr>
          <w:rStyle w:val="libFootnotenumChar"/>
          <w:rtl/>
        </w:rPr>
        <w:t>(13)</w:t>
      </w:r>
      <w:r>
        <w:rPr>
          <w:rtl/>
          <w:lang w:bidi="fa-IR"/>
        </w:rPr>
        <w:t xml:space="preserve"> ، وَأَشْهَدُ أَنَّكُمُ الْأَئِمَّةُ الرَّاشِدُونَ الْمَهْدِيُّونَ </w:t>
      </w:r>
      <w:r w:rsidRPr="00D10E3C">
        <w:rPr>
          <w:rStyle w:val="libFootnotenumChar"/>
          <w:rtl/>
        </w:rPr>
        <w:t>(14)</w:t>
      </w:r>
      <w:r>
        <w:rPr>
          <w:rtl/>
          <w:lang w:bidi="fa-IR"/>
        </w:rPr>
        <w:t xml:space="preserve"> ، وَأَنَّ طَاعَتَكُمْ مَفْرُوضَةٌ </w:t>
      </w:r>
      <w:r w:rsidRPr="00D10E3C">
        <w:rPr>
          <w:rStyle w:val="libFootnotenumChar"/>
          <w:rtl/>
        </w:rPr>
        <w:t>(15)</w:t>
      </w:r>
      <w:r>
        <w:rPr>
          <w:rtl/>
          <w:lang w:bidi="fa-IR"/>
        </w:rPr>
        <w:t xml:space="preserve"> ، وَأَنَّ قَوْلَكُمُ الصِّدْقُ ، وَأَنَّكُمْ دَعَوْتُمْ فَلَمْ تُجَابُوا ، وَأَمَرْتُمْ فَلَمْ تُطَاعُوا </w:t>
      </w:r>
      <w:r w:rsidRPr="00D10E3C">
        <w:rPr>
          <w:rStyle w:val="libFootnotenumChar"/>
          <w:rtl/>
        </w:rPr>
        <w:t>(16)</w:t>
      </w:r>
      <w:r>
        <w:rPr>
          <w:rtl/>
          <w:lang w:bidi="fa-IR"/>
        </w:rPr>
        <w:t xml:space="preserve"> ، وَأَنَّكُمْ دَعَائِمُ الدِّينِ وَأَرْكَانُ الْأَرْضِ ، وَلَمْ تَزَالُوا </w:t>
      </w:r>
      <w:r w:rsidRPr="00D10E3C">
        <w:rPr>
          <w:rStyle w:val="libFootnotenumChar"/>
          <w:rtl/>
        </w:rPr>
        <w:t>(17)</w:t>
      </w:r>
      <w:r>
        <w:rPr>
          <w:rtl/>
          <w:lang w:bidi="fa-IR"/>
        </w:rPr>
        <w:t xml:space="preserve"> بِعَيْنِ اللهِ </w:t>
      </w:r>
      <w:r w:rsidRPr="00D10E3C">
        <w:rPr>
          <w:rStyle w:val="libFootnotenumChar"/>
          <w:rtl/>
        </w:rPr>
        <w:t>(18)</w:t>
      </w:r>
      <w:r>
        <w:rPr>
          <w:rtl/>
          <w:lang w:bidi="fa-IR"/>
        </w:rPr>
        <w:t xml:space="preserve"> ،</w:t>
      </w:r>
    </w:p>
    <w:p w:rsidR="00744A1C" w:rsidRDefault="00744A1C" w:rsidP="00D10E3C">
      <w:pPr>
        <w:pStyle w:val="libLine"/>
        <w:rPr>
          <w:lang w:bidi="fa-IR"/>
        </w:rPr>
      </w:pPr>
      <w:r>
        <w:rPr>
          <w:rtl/>
          <w:lang w:bidi="fa-IR"/>
        </w:rPr>
        <w:t>____________________</w:t>
      </w:r>
    </w:p>
    <w:p w:rsidR="00744A1C" w:rsidRDefault="004E6F06" w:rsidP="004E6F06">
      <w:pPr>
        <w:pStyle w:val="libFootnote0"/>
        <w:rPr>
          <w:lang w:bidi="fa-IR"/>
        </w:rPr>
      </w:pPr>
      <w:r>
        <w:rPr>
          <w:rFonts w:hint="cs"/>
          <w:rtl/>
          <w:lang w:bidi="fa-IR"/>
        </w:rPr>
        <w:t xml:space="preserve">= </w:t>
      </w:r>
      <w:r w:rsidR="00744A1C">
        <w:rPr>
          <w:rtl/>
          <w:lang w:bidi="fa-IR"/>
        </w:rPr>
        <w:t xml:space="preserve">صدر ح 4 ، بسند آخر عن معاوية بن عمّار ، إلى قوله : « التي تلي مقام النبيّ </w:t>
      </w:r>
      <w:r w:rsidR="005E465D" w:rsidRPr="00EE7E5B">
        <w:rPr>
          <w:rStyle w:val="libFootnoteAlaemChar"/>
          <w:rFonts w:eastAsiaTheme="minorHAnsi"/>
          <w:rtl/>
        </w:rPr>
        <w:t>صلى‌الله‌عليه‌وآله</w:t>
      </w:r>
      <w:r w:rsidRPr="00925A94">
        <w:rPr>
          <w:rFonts w:eastAsiaTheme="minorHAnsi"/>
          <w:rtl/>
        </w:rPr>
        <w:t xml:space="preserve"> </w:t>
      </w:r>
      <w:r w:rsidR="00744A1C">
        <w:rPr>
          <w:rtl/>
          <w:lang w:bidi="fa-IR"/>
        </w:rPr>
        <w:t xml:space="preserve">» مع اختلاف </w:t>
      </w:r>
      <w:r>
        <w:rPr>
          <w:rFonts w:hint="cs"/>
          <w:rtl/>
          <w:lang w:bidi="fa-IR"/>
        </w:rPr>
        <w:t>.</w:t>
      </w:r>
      <w:r w:rsidR="00744A1C" w:rsidRPr="00C24F9C">
        <w:rPr>
          <w:rStyle w:val="libFootnoteBoldChar"/>
          <w:rtl/>
        </w:rPr>
        <w:t>الوافي</w:t>
      </w:r>
      <w:r w:rsidR="00744A1C">
        <w:rPr>
          <w:rtl/>
          <w:lang w:bidi="fa-IR"/>
        </w:rPr>
        <w:t xml:space="preserve"> ، ج 14 ، ص 1381 ، ح 14420 ؛ </w:t>
      </w:r>
      <w:r w:rsidR="00744A1C" w:rsidRPr="00C24F9C">
        <w:rPr>
          <w:rStyle w:val="libFootnoteBoldChar"/>
          <w:rtl/>
        </w:rPr>
        <w:t>الوسائل</w:t>
      </w:r>
      <w:r w:rsidR="00744A1C">
        <w:rPr>
          <w:rtl/>
          <w:lang w:bidi="fa-IR"/>
        </w:rPr>
        <w:t xml:space="preserve"> ، ج 14 ، ص 351 ، ح 19371 ؛ </w:t>
      </w:r>
      <w:r w:rsidR="00744A1C" w:rsidRPr="0061079A">
        <w:rPr>
          <w:rStyle w:val="libFootnoteBoldChar"/>
          <w:rtl/>
        </w:rPr>
        <w:t>البحار</w:t>
      </w:r>
      <w:r w:rsidR="00744A1C">
        <w:rPr>
          <w:rtl/>
          <w:lang w:bidi="fa-IR"/>
        </w:rPr>
        <w:t xml:space="preserve"> ، ج 100 ، ص 147 ، ح 7.</w:t>
      </w:r>
    </w:p>
    <w:p w:rsidR="00744A1C" w:rsidRDefault="00D10E3C" w:rsidP="00D10E3C">
      <w:pPr>
        <w:pStyle w:val="libFootnote0"/>
        <w:rPr>
          <w:lang w:bidi="fa-IR"/>
        </w:rPr>
      </w:pPr>
      <w:r>
        <w:rPr>
          <w:rtl/>
          <w:lang w:bidi="fa-IR"/>
        </w:rPr>
        <w:t>(1).</w:t>
      </w:r>
      <w:r w:rsidR="00744A1C">
        <w:rPr>
          <w:rtl/>
          <w:lang w:bidi="fa-IR"/>
        </w:rPr>
        <w:t xml:space="preserve"> في « بخ » : « باب زيارة البقيع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قبر الأئمّة ». وفي </w:t>
      </w:r>
      <w:r w:rsidR="00744A1C" w:rsidRPr="00C24F9C">
        <w:rPr>
          <w:rStyle w:val="libFootnoteBoldChar"/>
          <w:rtl/>
        </w:rPr>
        <w:t>المرآة</w:t>
      </w:r>
      <w:r w:rsidR="00744A1C">
        <w:rPr>
          <w:rtl/>
          <w:lang w:bidi="fa-IR"/>
        </w:rPr>
        <w:t xml:space="preserve"> : « ولا يبعد كونه [ أي الحديث ] من تتمّة خبر معاوية بن عمّار ، بل هو الظاهر من سياق الكتاب ».</w:t>
      </w:r>
    </w:p>
    <w:tbl>
      <w:tblPr>
        <w:tblStyle w:val="TableGrid"/>
        <w:bidiVisual/>
        <w:tblW w:w="0" w:type="auto"/>
        <w:tblLook w:val="04A0" w:firstRow="1" w:lastRow="0" w:firstColumn="1" w:lastColumn="0" w:noHBand="0" w:noVBand="1"/>
      </w:tblPr>
      <w:tblGrid>
        <w:gridCol w:w="4006"/>
        <w:gridCol w:w="4006"/>
      </w:tblGrid>
      <w:tr w:rsidR="00925A94" w:rsidTr="00925A94">
        <w:tc>
          <w:tcPr>
            <w:tcW w:w="4006" w:type="dxa"/>
          </w:tcPr>
          <w:p w:rsidR="00925A94" w:rsidRDefault="00925A94" w:rsidP="00E378DD">
            <w:pPr>
              <w:pStyle w:val="libFootnote0"/>
              <w:rPr>
                <w:rtl/>
                <w:lang w:bidi="fa-IR"/>
              </w:rPr>
            </w:pPr>
            <w:r>
              <w:rPr>
                <w:rtl/>
                <w:lang w:bidi="fa-IR"/>
              </w:rPr>
              <w:t xml:space="preserve">(3). في </w:t>
            </w:r>
            <w:r w:rsidRPr="00925A94">
              <w:rPr>
                <w:rtl/>
              </w:rPr>
              <w:t>الوافي والتهذيب</w:t>
            </w:r>
            <w:r>
              <w:rPr>
                <w:rtl/>
                <w:lang w:bidi="fa-IR"/>
              </w:rPr>
              <w:t xml:space="preserve"> : + « وأنت على غسل ».</w:t>
            </w:r>
          </w:p>
        </w:tc>
        <w:tc>
          <w:tcPr>
            <w:tcW w:w="4006" w:type="dxa"/>
          </w:tcPr>
          <w:p w:rsidR="00925A94" w:rsidRDefault="00925A94" w:rsidP="00E378DD">
            <w:pPr>
              <w:pStyle w:val="libFootnote0"/>
              <w:rPr>
                <w:rtl/>
                <w:lang w:bidi="fa-IR"/>
              </w:rPr>
            </w:pPr>
            <w:r>
              <w:rPr>
                <w:rtl/>
                <w:lang w:bidi="fa-IR"/>
              </w:rPr>
              <w:t xml:space="preserve">(4). في </w:t>
            </w:r>
            <w:r w:rsidRPr="00C24F9C">
              <w:rPr>
                <w:rStyle w:val="libFootnoteBoldChar"/>
                <w:rtl/>
              </w:rPr>
              <w:t>الوافي</w:t>
            </w:r>
            <w:r>
              <w:rPr>
                <w:rtl/>
                <w:lang w:bidi="fa-IR"/>
              </w:rPr>
              <w:t xml:space="preserve"> : + « يا ».</w:t>
            </w:r>
          </w:p>
        </w:tc>
      </w:tr>
      <w:tr w:rsidR="00925A94" w:rsidTr="00925A94">
        <w:tc>
          <w:tcPr>
            <w:tcW w:w="4006" w:type="dxa"/>
          </w:tcPr>
          <w:p w:rsidR="00925A94" w:rsidRDefault="00925A94" w:rsidP="00E378DD">
            <w:pPr>
              <w:pStyle w:val="libFootnote0"/>
              <w:rPr>
                <w:rtl/>
                <w:lang w:bidi="fa-IR"/>
              </w:rPr>
            </w:pPr>
            <w:r>
              <w:rPr>
                <w:rtl/>
                <w:lang w:bidi="fa-IR"/>
              </w:rPr>
              <w:t xml:space="preserve">(5). في </w:t>
            </w:r>
            <w:r w:rsidRPr="00C24F9C">
              <w:rPr>
                <w:rStyle w:val="libFootnoteBoldChar"/>
                <w:rtl/>
              </w:rPr>
              <w:t>الوافي</w:t>
            </w:r>
            <w:r>
              <w:rPr>
                <w:rtl/>
                <w:lang w:bidi="fa-IR"/>
              </w:rPr>
              <w:t xml:space="preserve"> : + « يا ».</w:t>
            </w:r>
          </w:p>
        </w:tc>
        <w:tc>
          <w:tcPr>
            <w:tcW w:w="4006" w:type="dxa"/>
          </w:tcPr>
          <w:p w:rsidR="00925A94" w:rsidRDefault="00925A94" w:rsidP="00E378DD">
            <w:pPr>
              <w:pStyle w:val="libFootnote0"/>
              <w:rPr>
                <w:rtl/>
                <w:lang w:bidi="fa-IR"/>
              </w:rPr>
            </w:pPr>
            <w:r>
              <w:rPr>
                <w:rtl/>
                <w:lang w:bidi="fa-IR"/>
              </w:rPr>
              <w:t>(6). في « ى » : « التقى ».</w:t>
            </w:r>
          </w:p>
        </w:tc>
      </w:tr>
      <w:tr w:rsidR="00925A94" w:rsidTr="00925A94">
        <w:tc>
          <w:tcPr>
            <w:tcW w:w="4006" w:type="dxa"/>
          </w:tcPr>
          <w:p w:rsidR="00925A94" w:rsidRDefault="00925A94" w:rsidP="00E378DD">
            <w:pPr>
              <w:pStyle w:val="libFootnote0"/>
              <w:rPr>
                <w:rtl/>
                <w:lang w:bidi="fa-IR"/>
              </w:rPr>
            </w:pPr>
            <w:r>
              <w:rPr>
                <w:rtl/>
                <w:lang w:bidi="fa-IR"/>
              </w:rPr>
              <w:t xml:space="preserve">(7). في </w:t>
            </w:r>
            <w:r w:rsidRPr="00C24F9C">
              <w:rPr>
                <w:rStyle w:val="libFootnoteBoldChar"/>
                <w:rtl/>
              </w:rPr>
              <w:t>الوافي</w:t>
            </w:r>
            <w:r>
              <w:rPr>
                <w:rtl/>
                <w:lang w:bidi="fa-IR"/>
              </w:rPr>
              <w:t xml:space="preserve"> : « يا حجج الله » بدل « الحجّة ».</w:t>
            </w:r>
          </w:p>
        </w:tc>
        <w:tc>
          <w:tcPr>
            <w:tcW w:w="4006" w:type="dxa"/>
          </w:tcPr>
          <w:p w:rsidR="00925A94" w:rsidRDefault="00925A94" w:rsidP="00E378DD">
            <w:pPr>
              <w:pStyle w:val="libFootnote0"/>
              <w:rPr>
                <w:rtl/>
                <w:lang w:bidi="fa-IR"/>
              </w:rPr>
            </w:pPr>
            <w:r>
              <w:rPr>
                <w:rtl/>
                <w:lang w:bidi="fa-IR"/>
              </w:rPr>
              <w:t xml:space="preserve">(8). في </w:t>
            </w:r>
            <w:r w:rsidRPr="00C24F9C">
              <w:rPr>
                <w:rStyle w:val="libFootnoteBoldChar"/>
                <w:rtl/>
              </w:rPr>
              <w:t>الوافي</w:t>
            </w:r>
            <w:r>
              <w:rPr>
                <w:rtl/>
                <w:lang w:bidi="fa-IR"/>
              </w:rPr>
              <w:t xml:space="preserve"> : « يا أيّها القوّامون » بدل « القوّام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 + « يا ».</w:t>
      </w:r>
    </w:p>
    <w:p w:rsidR="00744A1C" w:rsidRDefault="00E378DD" w:rsidP="00925A94">
      <w:pPr>
        <w:pStyle w:val="libFootnote0"/>
        <w:rPr>
          <w:lang w:bidi="fa-IR"/>
        </w:rPr>
      </w:pPr>
      <w:r>
        <w:rPr>
          <w:rtl/>
          <w:lang w:bidi="fa-IR"/>
        </w:rPr>
        <w:t>(10).</w:t>
      </w:r>
      <w:r w:rsidR="00744A1C">
        <w:rPr>
          <w:rtl/>
          <w:lang w:bidi="fa-IR"/>
        </w:rPr>
        <w:t xml:space="preserve"> في </w:t>
      </w:r>
      <w:r w:rsidR="00744A1C" w:rsidRPr="007B299E">
        <w:rPr>
          <w:rStyle w:val="libFootnoteBoldChar"/>
          <w:rtl/>
        </w:rPr>
        <w:t>كامل الزيارات</w:t>
      </w:r>
      <w:r w:rsidR="00744A1C">
        <w:rPr>
          <w:rtl/>
          <w:lang w:bidi="fa-IR"/>
        </w:rPr>
        <w:t xml:space="preserve"> والمزار : + « السلام عليكم يا آل رسول الله </w:t>
      </w:r>
      <w:r w:rsidR="005E465D" w:rsidRPr="00EE7E5B">
        <w:rPr>
          <w:rStyle w:val="libFootnoteAlaemChar"/>
          <w:rFonts w:eastAsiaTheme="minorHAnsi"/>
          <w:rtl/>
        </w:rPr>
        <w:t>صلى‌الله‌عليه‌وآله</w:t>
      </w:r>
      <w:r w:rsidR="00925A94" w:rsidRPr="00925A94">
        <w:rPr>
          <w:rFonts w:eastAsiaTheme="minorHAnsi"/>
          <w:rtl/>
        </w:rPr>
        <w:t xml:space="preserve"> </w:t>
      </w:r>
      <w:r w:rsidR="00744A1C">
        <w:rPr>
          <w:rtl/>
          <w:lang w:bidi="fa-IR"/>
        </w:rPr>
        <w:t>».</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 + « يا ».</w:t>
      </w:r>
    </w:p>
    <w:p w:rsidR="00744A1C" w:rsidRDefault="00E378DD" w:rsidP="00925A94">
      <w:pPr>
        <w:pStyle w:val="libFootnote0"/>
        <w:rPr>
          <w:lang w:bidi="fa-IR"/>
        </w:rPr>
      </w:pPr>
      <w:r>
        <w:rPr>
          <w:rtl/>
          <w:lang w:bidi="fa-IR"/>
        </w:rPr>
        <w:t>(12).</w:t>
      </w:r>
      <w:r w:rsidR="00744A1C">
        <w:rPr>
          <w:rtl/>
          <w:lang w:bidi="fa-IR"/>
        </w:rPr>
        <w:t xml:space="preserve"> في المزار : + « السلام عليكم العروة الوثقى ». وفي </w:t>
      </w:r>
      <w:r w:rsidR="00744A1C" w:rsidRPr="00C24F9C">
        <w:rPr>
          <w:rStyle w:val="libFootnoteBoldChar"/>
          <w:rtl/>
        </w:rPr>
        <w:t>المرآة</w:t>
      </w:r>
      <w:r w:rsidR="00744A1C">
        <w:rPr>
          <w:rtl/>
          <w:lang w:bidi="fa-IR"/>
        </w:rPr>
        <w:t xml:space="preserve"> : « أي تناجون الله ويناجيكم ، أي عندكم الأسرار التي ناجى الله بها رسوله ».</w:t>
      </w:r>
      <w:r w:rsidR="00925A94">
        <w:rPr>
          <w:rFonts w:hint="cs"/>
          <w:rtl/>
          <w:lang w:bidi="fa-IR"/>
        </w:rPr>
        <w:t xml:space="preserve">                                   </w:t>
      </w:r>
      <w:r>
        <w:rPr>
          <w:rtl/>
          <w:lang w:bidi="fa-IR"/>
        </w:rPr>
        <w:t>(13).</w:t>
      </w:r>
      <w:r w:rsidR="00744A1C">
        <w:rPr>
          <w:rtl/>
          <w:lang w:bidi="fa-IR"/>
        </w:rPr>
        <w:t xml:space="preserve"> في « بث » </w:t>
      </w:r>
      <w:r w:rsidR="00744A1C" w:rsidRPr="00925A94">
        <w:rPr>
          <w:rtl/>
        </w:rPr>
        <w:t>والوافي وكامل الزيارات</w:t>
      </w:r>
      <w:r w:rsidR="00744A1C">
        <w:rPr>
          <w:rtl/>
          <w:lang w:bidi="fa-IR"/>
        </w:rPr>
        <w:t xml:space="preserve"> : « فغفرتم ».</w:t>
      </w:r>
    </w:p>
    <w:p w:rsidR="00744A1C" w:rsidRDefault="00E378DD" w:rsidP="00925A94">
      <w:pPr>
        <w:pStyle w:val="libFootnote0"/>
        <w:rPr>
          <w:lang w:bidi="fa-IR"/>
        </w:rPr>
      </w:pPr>
      <w:r>
        <w:rPr>
          <w:rtl/>
          <w:lang w:bidi="fa-IR"/>
        </w:rPr>
        <w:t>(14).</w:t>
      </w:r>
      <w:r w:rsidR="00744A1C">
        <w:rPr>
          <w:rtl/>
          <w:lang w:bidi="fa-IR"/>
        </w:rPr>
        <w:t xml:space="preserve"> في « ى ، بخ ، بس ، بف » وحاشية « جن » : « المهتدون ». وفي حاشية « بح » : « والمهتدون ». وفي « جد » وكامل‌الزيارات : « المهديّون المهتدون ».</w:t>
      </w:r>
      <w:r w:rsidR="00925A94">
        <w:rPr>
          <w:rFonts w:hint="cs"/>
          <w:rtl/>
          <w:lang w:bidi="fa-IR"/>
        </w:rPr>
        <w:t xml:space="preserve">               </w:t>
      </w:r>
      <w:r>
        <w:rPr>
          <w:rtl/>
          <w:lang w:bidi="fa-IR"/>
        </w:rPr>
        <w:t>(15).</w:t>
      </w:r>
      <w:r w:rsidR="00744A1C">
        <w:rPr>
          <w:rtl/>
          <w:lang w:bidi="fa-IR"/>
        </w:rPr>
        <w:t xml:space="preserve"> في </w:t>
      </w:r>
      <w:r w:rsidR="00744A1C" w:rsidRPr="00C24F9C">
        <w:rPr>
          <w:rStyle w:val="libFootnoteBoldChar"/>
          <w:rtl/>
        </w:rPr>
        <w:t>الوافي</w:t>
      </w:r>
      <w:r w:rsidR="00744A1C">
        <w:rPr>
          <w:rtl/>
          <w:lang w:bidi="fa-IR"/>
        </w:rPr>
        <w:t xml:space="preserve"> : « مفترضة ».</w:t>
      </w:r>
    </w:p>
    <w:p w:rsidR="00744A1C" w:rsidRDefault="00744A1C" w:rsidP="00D10E3C">
      <w:pPr>
        <w:pStyle w:val="libFootnote0"/>
        <w:rPr>
          <w:lang w:bidi="fa-IR"/>
        </w:rPr>
      </w:pPr>
      <w:r>
        <w:rPr>
          <w:rtl/>
          <w:lang w:bidi="fa-IR"/>
        </w:rPr>
        <w:t>(16) في « بس » : « وأنتم تطاعوا » بدل « وأمرتم فلم تطاعوا ».</w:t>
      </w:r>
    </w:p>
    <w:tbl>
      <w:tblPr>
        <w:tblStyle w:val="TableGrid"/>
        <w:bidiVisual/>
        <w:tblW w:w="0" w:type="auto"/>
        <w:tblLook w:val="04A0" w:firstRow="1" w:lastRow="0" w:firstColumn="1" w:lastColumn="0" w:noHBand="0" w:noVBand="1"/>
      </w:tblPr>
      <w:tblGrid>
        <w:gridCol w:w="4006"/>
        <w:gridCol w:w="4006"/>
      </w:tblGrid>
      <w:tr w:rsidR="00925A94" w:rsidTr="00925A94">
        <w:tc>
          <w:tcPr>
            <w:tcW w:w="4006" w:type="dxa"/>
          </w:tcPr>
          <w:p w:rsidR="00925A94" w:rsidRDefault="00925A94" w:rsidP="00D10E3C">
            <w:pPr>
              <w:pStyle w:val="libFootnote0"/>
              <w:rPr>
                <w:rtl/>
                <w:lang w:bidi="fa-IR"/>
              </w:rPr>
            </w:pPr>
            <w:r>
              <w:rPr>
                <w:rtl/>
                <w:lang w:bidi="fa-IR"/>
              </w:rPr>
              <w:t xml:space="preserve">(17) في </w:t>
            </w:r>
            <w:r w:rsidRPr="00C24F9C">
              <w:rPr>
                <w:rStyle w:val="libFootnoteBoldChar"/>
                <w:rtl/>
              </w:rPr>
              <w:t>الوافي</w:t>
            </w:r>
            <w:r>
              <w:rPr>
                <w:rtl/>
                <w:lang w:bidi="fa-IR"/>
              </w:rPr>
              <w:t xml:space="preserve"> : « لم تزالوا » بدون الواو.</w:t>
            </w:r>
          </w:p>
        </w:tc>
        <w:tc>
          <w:tcPr>
            <w:tcW w:w="4006" w:type="dxa"/>
          </w:tcPr>
          <w:p w:rsidR="00925A94" w:rsidRDefault="007B3879" w:rsidP="00D10E3C">
            <w:pPr>
              <w:pStyle w:val="libFootnote0"/>
              <w:rPr>
                <w:rtl/>
                <w:lang w:bidi="fa-IR"/>
              </w:rPr>
            </w:pPr>
            <w:r>
              <w:rPr>
                <w:rtl/>
                <w:lang w:bidi="fa-IR"/>
              </w:rPr>
              <w:t>(18)</w:t>
            </w:r>
            <w:r w:rsidR="00925A94">
              <w:rPr>
                <w:rtl/>
                <w:lang w:bidi="fa-IR"/>
              </w:rPr>
              <w:t xml:space="preserve">في </w:t>
            </w:r>
            <w:r w:rsidR="00925A94" w:rsidRPr="00C24F9C">
              <w:rPr>
                <w:rStyle w:val="libFootnoteBoldChar"/>
                <w:rtl/>
              </w:rPr>
              <w:t>المرآة</w:t>
            </w:r>
            <w:r w:rsidR="00925A94">
              <w:rPr>
                <w:rtl/>
                <w:lang w:bidi="fa-IR"/>
              </w:rPr>
              <w:t>:</w:t>
            </w:r>
            <w:r>
              <w:rPr>
                <w:rtl/>
                <w:lang w:bidi="fa-IR"/>
              </w:rPr>
              <w:t>«</w:t>
            </w:r>
            <w:r w:rsidR="00925A94">
              <w:rPr>
                <w:rtl/>
                <w:lang w:bidi="fa-IR"/>
              </w:rPr>
              <w:t xml:space="preserve">أي </w:t>
            </w:r>
            <w:r>
              <w:rPr>
                <w:rtl/>
                <w:lang w:bidi="fa-IR"/>
              </w:rPr>
              <w:t>منظورين بعين عنايته ولطفه تعالى</w:t>
            </w:r>
            <w:r w:rsidR="00925A94">
              <w:rPr>
                <w:rtl/>
                <w:lang w:bidi="fa-IR"/>
              </w:rPr>
              <w:t>».</w:t>
            </w:r>
          </w:p>
        </w:tc>
      </w:tr>
    </w:tbl>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يَنْسَخُكُمْ </w:t>
      </w:r>
      <w:r w:rsidRPr="00D10E3C">
        <w:rPr>
          <w:rStyle w:val="libFootnotenumChar"/>
          <w:rtl/>
        </w:rPr>
        <w:t>(1)</w:t>
      </w:r>
      <w:r>
        <w:rPr>
          <w:rtl/>
          <w:lang w:bidi="fa-IR"/>
        </w:rPr>
        <w:t xml:space="preserve"> فِي أَصْلَابِ كُلِّ مُطَهَّرٍ ، وَيَنْقُلُكُمْ فِي </w:t>
      </w:r>
      <w:r w:rsidRPr="00D10E3C">
        <w:rPr>
          <w:rStyle w:val="libFootnotenumChar"/>
          <w:rtl/>
        </w:rPr>
        <w:t>(2)</w:t>
      </w:r>
      <w:r>
        <w:rPr>
          <w:rtl/>
          <w:lang w:bidi="fa-IR"/>
        </w:rPr>
        <w:t xml:space="preserve"> أَرْحَامِ الْمُطَهَّرَاتِ ، لَمْ تُدَنِّسْكُمُ الْجَاهِلِيَّةُ </w:t>
      </w:r>
      <w:r w:rsidRPr="00D10E3C">
        <w:rPr>
          <w:rStyle w:val="libFootnotenumChar"/>
          <w:rtl/>
        </w:rPr>
        <w:t>(3)</w:t>
      </w:r>
      <w:r>
        <w:rPr>
          <w:rtl/>
          <w:lang w:bidi="fa-IR"/>
        </w:rPr>
        <w:t xml:space="preserve"> الْجَهْلَاءُ </w:t>
      </w:r>
      <w:r w:rsidRPr="00D10E3C">
        <w:rPr>
          <w:rStyle w:val="libFootnotenumChar"/>
          <w:rtl/>
        </w:rPr>
        <w:t>(4)</w:t>
      </w:r>
      <w:r>
        <w:rPr>
          <w:rtl/>
          <w:lang w:bidi="fa-IR"/>
        </w:rPr>
        <w:t xml:space="preserve"> ، وَلَمْ تَشْرَكْ </w:t>
      </w:r>
      <w:r w:rsidRPr="00D10E3C">
        <w:rPr>
          <w:rStyle w:val="libFootnotenumChar"/>
          <w:rtl/>
        </w:rPr>
        <w:t>(5)</w:t>
      </w:r>
      <w:r>
        <w:rPr>
          <w:rtl/>
          <w:lang w:bidi="fa-IR"/>
        </w:rPr>
        <w:t xml:space="preserve"> فِيكُمْ فِتَنُ الْأَهْوَاءِ ، طِبْتُمْ وَطَابَ </w:t>
      </w:r>
      <w:r w:rsidRPr="00D10E3C">
        <w:rPr>
          <w:rStyle w:val="libFootnotenumChar"/>
          <w:rtl/>
        </w:rPr>
        <w:t>(6)</w:t>
      </w:r>
      <w:r>
        <w:rPr>
          <w:rtl/>
          <w:lang w:bidi="fa-IR"/>
        </w:rPr>
        <w:t xml:space="preserve"> مَنْبِتُكُمْ </w:t>
      </w:r>
      <w:r w:rsidRPr="00D10E3C">
        <w:rPr>
          <w:rStyle w:val="libFootnotenumChar"/>
          <w:rtl/>
        </w:rPr>
        <w:t>(7)</w:t>
      </w:r>
      <w:r>
        <w:rPr>
          <w:rtl/>
          <w:lang w:bidi="fa-IR"/>
        </w:rPr>
        <w:t xml:space="preserve"> ، مَنَّ بِكُمْ عَلَيْنَا </w:t>
      </w:r>
      <w:r w:rsidRPr="00D10E3C">
        <w:rPr>
          <w:rStyle w:val="libFootnotenumChar"/>
          <w:rtl/>
        </w:rPr>
        <w:t>(8)</w:t>
      </w:r>
      <w:r>
        <w:rPr>
          <w:rtl/>
          <w:lang w:bidi="fa-IR"/>
        </w:rPr>
        <w:t xml:space="preserve"> دَيَّانُ </w:t>
      </w:r>
      <w:r w:rsidRPr="00D10E3C">
        <w:rPr>
          <w:rStyle w:val="libFootnotenumChar"/>
          <w:rtl/>
        </w:rPr>
        <w:t>(9)</w:t>
      </w:r>
      <w:r>
        <w:rPr>
          <w:rtl/>
          <w:lang w:bidi="fa-IR"/>
        </w:rPr>
        <w:t xml:space="preserve"> الدِّينِ ، فَجَعَلَكُمْ</w:t>
      </w:r>
      <w:r w:rsidR="001F2116">
        <w:rPr>
          <w:rFonts w:hint="cs"/>
          <w:rtl/>
          <w:lang w:bidi="fa-IR"/>
        </w:rPr>
        <w:t xml:space="preserve"> </w:t>
      </w:r>
      <w:r w:rsidRPr="001F2116">
        <w:rPr>
          <w:rStyle w:val="libAlaemChar"/>
          <w:rtl/>
        </w:rPr>
        <w:t>(</w:t>
      </w:r>
      <w:r w:rsidRPr="001F2116">
        <w:rPr>
          <w:rStyle w:val="libAieChar"/>
          <w:rtl/>
        </w:rPr>
        <w:t xml:space="preserve"> فِي بُيُوتٍ أَذِنَ اللهُ أَنْ تُرْفَعَ وَيُذْكَرَ فِيهَا اسْمُهُ </w:t>
      </w:r>
      <w:r w:rsidRPr="001F2116">
        <w:rPr>
          <w:rStyle w:val="libAlaemChar"/>
          <w:rtl/>
        </w:rPr>
        <w:t>)</w:t>
      </w:r>
      <w:r>
        <w:rPr>
          <w:rtl/>
          <w:lang w:bidi="fa-IR"/>
        </w:rPr>
        <w:t xml:space="preserve"> </w:t>
      </w:r>
      <w:r w:rsidRPr="00D10E3C">
        <w:rPr>
          <w:rStyle w:val="libFootnotenumChar"/>
          <w:rtl/>
        </w:rPr>
        <w:t>(10)</w:t>
      </w:r>
      <w:r>
        <w:rPr>
          <w:rtl/>
          <w:lang w:bidi="fa-IR"/>
        </w:rPr>
        <w:t xml:space="preserve"> وَجَعَلَ صَلَوَاتِنَا </w:t>
      </w:r>
      <w:r w:rsidRPr="00D10E3C">
        <w:rPr>
          <w:rStyle w:val="libFootnotenumChar"/>
          <w:rtl/>
        </w:rPr>
        <w:t>(11)</w:t>
      </w:r>
      <w:r>
        <w:rPr>
          <w:rtl/>
          <w:lang w:bidi="fa-IR"/>
        </w:rPr>
        <w:t xml:space="preserve"> عَلَيْكُمْ رَحْمَةً لَنَا ، وَكَفَّارَةً لِذُنُوبِنَا ، إِذَا </w:t>
      </w:r>
      <w:r w:rsidRPr="00D10E3C">
        <w:rPr>
          <w:rStyle w:val="libFootnotenumChar"/>
          <w:rtl/>
        </w:rPr>
        <w:t>(12)</w:t>
      </w:r>
      <w:r>
        <w:rPr>
          <w:rtl/>
          <w:lang w:bidi="fa-IR"/>
        </w:rPr>
        <w:t xml:space="preserve"> اخْتَارَكُمْ لَنَا ، وَطَيَّبَ خَلْقَنَا </w:t>
      </w:r>
      <w:r w:rsidRPr="00D10E3C">
        <w:rPr>
          <w:rStyle w:val="libFootnotenumChar"/>
          <w:rtl/>
        </w:rPr>
        <w:t>(13)</w:t>
      </w:r>
      <w:r>
        <w:rPr>
          <w:rtl/>
          <w:lang w:bidi="fa-IR"/>
        </w:rPr>
        <w:t xml:space="preserve"> بِمَا </w:t>
      </w:r>
      <w:r w:rsidRPr="00D10E3C">
        <w:rPr>
          <w:rStyle w:val="libFootnotenumChar"/>
          <w:rtl/>
        </w:rPr>
        <w:t>(14)</w:t>
      </w:r>
      <w:r>
        <w:rPr>
          <w:rtl/>
          <w:lang w:bidi="fa-IR"/>
        </w:rPr>
        <w:t xml:space="preserve"> مَنَّ بِهِ عَلَيْنَا مِنْ وَلَايَتِكُمْ ، وَكُنَّا عِنْدَهُ مُسَمَّيْنَ </w:t>
      </w:r>
      <w:r w:rsidRPr="00D10E3C">
        <w:rPr>
          <w:rStyle w:val="libFootnotenumChar"/>
          <w:rtl/>
        </w:rPr>
        <w:t>(15)</w:t>
      </w:r>
      <w:r>
        <w:rPr>
          <w:rtl/>
          <w:lang w:bidi="fa-IR"/>
        </w:rPr>
        <w:t xml:space="preserve"> بِفَضْلِكُمْ </w:t>
      </w:r>
      <w:r w:rsidRPr="00D10E3C">
        <w:rPr>
          <w:rStyle w:val="libFootnotenumChar"/>
          <w:rtl/>
        </w:rPr>
        <w:t>(16)</w:t>
      </w:r>
      <w:r>
        <w:rPr>
          <w:rtl/>
          <w:lang w:bidi="fa-IR"/>
        </w:rPr>
        <w:t xml:space="preserve"> ، مُعْتَرِفِينَ </w:t>
      </w:r>
      <w:r w:rsidRPr="00D10E3C">
        <w:rPr>
          <w:rStyle w:val="libFootnotenumChar"/>
          <w:rtl/>
        </w:rPr>
        <w:t>(17)</w:t>
      </w:r>
      <w:r>
        <w:rPr>
          <w:rtl/>
          <w:lang w:bidi="fa-IR"/>
        </w:rPr>
        <w:t xml:space="preserve"> بِتَصْدِيقِنَا إِيَّاكُمْ </w:t>
      </w:r>
      <w:r w:rsidRPr="00D10E3C">
        <w:rPr>
          <w:rStyle w:val="libFootnotenumChar"/>
          <w:rtl/>
        </w:rPr>
        <w:t>(18)</w:t>
      </w:r>
      <w:r>
        <w:rPr>
          <w:rtl/>
          <w:lang w:bidi="fa-IR"/>
        </w:rPr>
        <w:t xml:space="preserve"> ، وَهذَا مَقَامُ مَنْ أَسْرَفَ ، وَأَخْطَأَ ، وَاسْتَكَانَ ، وَأَقَرَّ بِمَا جَنى ، وَرَجَا بِمَقَامِهِ الْخَلَاصَ ، وَأَنْ يَسْتَنْقِذَهُ بِكُمْ مُسْتَنْقِذُ الْهَلْكى مِنَ الرَّدى </w:t>
      </w:r>
      <w:r w:rsidRPr="00D10E3C">
        <w:rPr>
          <w:rStyle w:val="libFootnotenumChar"/>
          <w:rtl/>
        </w:rPr>
        <w:t>(19)</w:t>
      </w:r>
      <w:r>
        <w:rPr>
          <w:rtl/>
          <w:lang w:bidi="fa-IR"/>
        </w:rPr>
        <w:t xml:space="preserve"> ، فَكُونُوا لِي شُفَعَاءَ ، فَقَدْ وَفَدْتُ إِلَيْكُمْ إِذْ </w:t>
      </w:r>
      <w:r w:rsidRPr="00D10E3C">
        <w:rPr>
          <w:rStyle w:val="libFootnotenumChar"/>
          <w:rtl/>
        </w:rPr>
        <w:t>(20)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xml:space="preserve">: « لعلّ المراد بالنسخ هنا التغيير. وفي </w:t>
      </w:r>
      <w:r w:rsidR="00744A1C" w:rsidRPr="00E978C3">
        <w:rPr>
          <w:rStyle w:val="libFootnoteBoldChar"/>
          <w:rtl/>
        </w:rPr>
        <w:t>الصحاح</w:t>
      </w:r>
      <w:r w:rsidR="00744A1C">
        <w:rPr>
          <w:rtl/>
          <w:lang w:bidi="fa-IR"/>
        </w:rPr>
        <w:t xml:space="preserve"> : نسخت الريح آثارالدار وغيّرتها ، ومعناه تغيير الغذاء في مراتبه حتّى يصير نطفة ، ومعنى النقل في الأرحام النقل في حالاته ، فيصير النطفة علقة ، ثمّ مضغة إلى أن يكمل ». وراجع : </w:t>
      </w:r>
      <w:r w:rsidR="00744A1C" w:rsidRPr="00E978C3">
        <w:rPr>
          <w:rStyle w:val="libFootnoteBoldChar"/>
          <w:rtl/>
        </w:rPr>
        <w:t>الصحاح</w:t>
      </w:r>
      <w:r w:rsidR="00744A1C">
        <w:rPr>
          <w:rtl/>
          <w:lang w:bidi="fa-IR"/>
        </w:rPr>
        <w:t xml:space="preserve"> ، ج 1 ، ص 433 ؛ </w:t>
      </w:r>
      <w:r w:rsidR="00744A1C" w:rsidRPr="008A57EB">
        <w:rPr>
          <w:rStyle w:val="libFootnoteBoldChar"/>
          <w:rtl/>
        </w:rPr>
        <w:t>القاموس المحيط</w:t>
      </w:r>
      <w:r w:rsidR="00744A1C">
        <w:rPr>
          <w:rtl/>
          <w:lang w:bidi="fa-IR"/>
        </w:rPr>
        <w:t xml:space="preserve"> ، ج 1 ، ص 387 ( نسخ ).</w:t>
      </w:r>
    </w:p>
    <w:p w:rsidR="00744A1C" w:rsidRDefault="00E378DD" w:rsidP="00E378DD">
      <w:pPr>
        <w:pStyle w:val="libFootnote0"/>
        <w:rPr>
          <w:lang w:bidi="fa-IR"/>
        </w:rPr>
      </w:pPr>
      <w:r>
        <w:rPr>
          <w:rtl/>
          <w:lang w:bidi="fa-IR"/>
        </w:rPr>
        <w:t>(2).</w:t>
      </w:r>
      <w:r w:rsidR="00744A1C">
        <w:rPr>
          <w:rtl/>
          <w:lang w:bidi="fa-IR"/>
        </w:rPr>
        <w:t xml:space="preserve"> في « بس » وحاشية « جن » : « إلى ». وفي </w:t>
      </w:r>
      <w:r w:rsidR="00744A1C" w:rsidRPr="00C24F9C">
        <w:rPr>
          <w:rStyle w:val="libFootnoteBoldChar"/>
          <w:rtl/>
        </w:rPr>
        <w:t>الوافي</w:t>
      </w:r>
      <w:r w:rsidR="00744A1C">
        <w:rPr>
          <w:rtl/>
          <w:lang w:bidi="fa-IR"/>
        </w:rPr>
        <w:t xml:space="preserve"> : « من ».</w:t>
      </w:r>
    </w:p>
    <w:p w:rsidR="00744A1C" w:rsidRDefault="00E378DD" w:rsidP="00E378DD">
      <w:pPr>
        <w:pStyle w:val="libFootnote0"/>
        <w:rPr>
          <w:lang w:bidi="fa-IR"/>
        </w:rPr>
      </w:pPr>
      <w:r>
        <w:rPr>
          <w:rtl/>
          <w:lang w:bidi="fa-IR"/>
        </w:rPr>
        <w:t>(3).</w:t>
      </w:r>
      <w:r w:rsidR="00744A1C">
        <w:rPr>
          <w:rtl/>
          <w:lang w:bidi="fa-IR"/>
        </w:rPr>
        <w:t xml:space="preserve"> في « جن » : « الجاهلة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الجاهليّة الجهلاء ، توكيداً ، كليل أليل ، أي لم تسكنوا في صلب مشرك ولا رحم مشركة ».</w:t>
      </w:r>
    </w:p>
    <w:p w:rsidR="00744A1C" w:rsidRDefault="00E378DD" w:rsidP="00E378DD">
      <w:pPr>
        <w:pStyle w:val="libFootnote0"/>
        <w:rPr>
          <w:lang w:bidi="fa-IR"/>
        </w:rPr>
      </w:pPr>
      <w:r>
        <w:rPr>
          <w:rtl/>
          <w:lang w:bidi="fa-IR"/>
        </w:rPr>
        <w:t>(5).</w:t>
      </w:r>
      <w:r w:rsidR="00744A1C">
        <w:rPr>
          <w:rtl/>
          <w:lang w:bidi="fa-IR"/>
        </w:rPr>
        <w:t xml:space="preserve"> في « بخ ، بس ، بف » : « ولم يشرك ».</w:t>
      </w:r>
    </w:p>
    <w:p w:rsidR="00744A1C" w:rsidRDefault="00E378DD" w:rsidP="00E378DD">
      <w:pPr>
        <w:pStyle w:val="libFootnote0"/>
        <w:rPr>
          <w:lang w:bidi="fa-IR"/>
        </w:rPr>
      </w:pPr>
      <w:r>
        <w:rPr>
          <w:rtl/>
          <w:lang w:bidi="fa-IR"/>
        </w:rPr>
        <w:t>(6).</w:t>
      </w:r>
      <w:r w:rsidR="00744A1C">
        <w:rPr>
          <w:rtl/>
          <w:lang w:bidi="fa-IR"/>
        </w:rPr>
        <w:t xml:space="preserve"> في « ى » : « فطاب ».</w:t>
      </w:r>
    </w:p>
    <w:p w:rsidR="00744A1C" w:rsidRDefault="00E378DD" w:rsidP="00E378DD">
      <w:pPr>
        <w:pStyle w:val="libFootnote0"/>
        <w:rPr>
          <w:lang w:bidi="fa-IR"/>
        </w:rPr>
      </w:pPr>
      <w:r>
        <w:rPr>
          <w:rtl/>
          <w:lang w:bidi="fa-IR"/>
        </w:rPr>
        <w:t>(7).</w:t>
      </w:r>
      <w:r w:rsidR="00744A1C">
        <w:rPr>
          <w:rtl/>
          <w:lang w:bidi="fa-IR"/>
        </w:rPr>
        <w:t xml:space="preserve"> في « جن » : « منقلبكم ». وفي </w:t>
      </w:r>
      <w:r w:rsidR="00744A1C" w:rsidRPr="00C24F9C">
        <w:rPr>
          <w:rStyle w:val="libFootnoteBoldChar"/>
          <w:rtl/>
        </w:rPr>
        <w:t>الوافي</w:t>
      </w:r>
      <w:r w:rsidR="00744A1C">
        <w:rPr>
          <w:rtl/>
          <w:lang w:bidi="fa-IR"/>
        </w:rPr>
        <w:t xml:space="preserve"> : + « أنتم الذين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علينا بكم ».</w:t>
      </w:r>
    </w:p>
    <w:p w:rsidR="00744A1C" w:rsidRDefault="00E378DD" w:rsidP="00E378DD">
      <w:pPr>
        <w:pStyle w:val="libFootnote0"/>
        <w:rPr>
          <w:lang w:bidi="fa-IR"/>
        </w:rPr>
      </w:pPr>
      <w:r>
        <w:rPr>
          <w:rtl/>
          <w:lang w:bidi="fa-IR"/>
        </w:rPr>
        <w:t>(9).</w:t>
      </w:r>
      <w:r w:rsidR="00744A1C">
        <w:rPr>
          <w:rtl/>
          <w:lang w:bidi="fa-IR"/>
        </w:rPr>
        <w:t xml:space="preserve"> الدَيّانُ : القهّار ، والقاضي ، والحاكم ، والسائس ، والحاسب. راجع : </w:t>
      </w:r>
      <w:r w:rsidR="00744A1C" w:rsidRPr="008A57EB">
        <w:rPr>
          <w:rStyle w:val="libFootnoteBoldChar"/>
          <w:rtl/>
        </w:rPr>
        <w:t>القاموس المحيط</w:t>
      </w:r>
      <w:r w:rsidR="00744A1C">
        <w:rPr>
          <w:rtl/>
          <w:lang w:bidi="fa-IR"/>
        </w:rPr>
        <w:t xml:space="preserve"> ، ج 2 ، ص 1575 ( دين ).</w:t>
      </w:r>
    </w:p>
    <w:tbl>
      <w:tblPr>
        <w:tblStyle w:val="TableGrid"/>
        <w:bidiVisual/>
        <w:tblW w:w="0" w:type="auto"/>
        <w:tblLook w:val="04A0" w:firstRow="1" w:lastRow="0" w:firstColumn="1" w:lastColumn="0" w:noHBand="0" w:noVBand="1"/>
      </w:tblPr>
      <w:tblGrid>
        <w:gridCol w:w="4006"/>
        <w:gridCol w:w="4006"/>
      </w:tblGrid>
      <w:tr w:rsidR="001F2116" w:rsidTr="001F2116">
        <w:tc>
          <w:tcPr>
            <w:tcW w:w="4006" w:type="dxa"/>
          </w:tcPr>
          <w:p w:rsidR="001F2116" w:rsidRDefault="001F2116" w:rsidP="00E378DD">
            <w:pPr>
              <w:pStyle w:val="libFootnote0"/>
              <w:rPr>
                <w:rtl/>
                <w:lang w:bidi="fa-IR"/>
              </w:rPr>
            </w:pPr>
            <w:r>
              <w:rPr>
                <w:rtl/>
                <w:lang w:bidi="fa-IR"/>
              </w:rPr>
              <w:t>(10). النور (24) : 36.</w:t>
            </w:r>
          </w:p>
        </w:tc>
        <w:tc>
          <w:tcPr>
            <w:tcW w:w="4006" w:type="dxa"/>
          </w:tcPr>
          <w:p w:rsidR="001F2116" w:rsidRDefault="001F2116" w:rsidP="00E378DD">
            <w:pPr>
              <w:pStyle w:val="libFootnote0"/>
              <w:rPr>
                <w:rtl/>
                <w:lang w:bidi="fa-IR"/>
              </w:rPr>
            </w:pPr>
            <w:r>
              <w:rPr>
                <w:rtl/>
                <w:lang w:bidi="fa-IR"/>
              </w:rPr>
              <w:t>(11). في « بث ، بخ ، بس ، جد » : « صلاتنا ».</w:t>
            </w:r>
          </w:p>
        </w:tc>
      </w:tr>
      <w:tr w:rsidR="001F2116" w:rsidTr="001F2116">
        <w:tc>
          <w:tcPr>
            <w:tcW w:w="4006" w:type="dxa"/>
          </w:tcPr>
          <w:p w:rsidR="001F2116" w:rsidRDefault="004644C7" w:rsidP="00E378DD">
            <w:pPr>
              <w:pStyle w:val="libFootnote0"/>
              <w:rPr>
                <w:rtl/>
                <w:lang w:bidi="fa-IR"/>
              </w:rPr>
            </w:pPr>
            <w:r>
              <w:rPr>
                <w:rtl/>
                <w:lang w:bidi="fa-IR"/>
              </w:rPr>
              <w:t>(12). في « بث ، جد » و</w:t>
            </w:r>
            <w:r w:rsidRPr="00C24F9C">
              <w:rPr>
                <w:rStyle w:val="libFootnoteBoldChar"/>
                <w:rtl/>
              </w:rPr>
              <w:t>الوافي</w:t>
            </w:r>
            <w:r>
              <w:rPr>
                <w:rtl/>
                <w:lang w:bidi="fa-IR"/>
              </w:rPr>
              <w:t xml:space="preserve"> والمزار : « إذ ».</w:t>
            </w:r>
          </w:p>
        </w:tc>
        <w:tc>
          <w:tcPr>
            <w:tcW w:w="4006" w:type="dxa"/>
          </w:tcPr>
          <w:p w:rsidR="001F2116" w:rsidRDefault="004644C7" w:rsidP="00E378DD">
            <w:pPr>
              <w:pStyle w:val="libFootnote0"/>
              <w:rPr>
                <w:rtl/>
                <w:lang w:bidi="fa-IR"/>
              </w:rPr>
            </w:pPr>
            <w:r>
              <w:rPr>
                <w:rtl/>
                <w:lang w:bidi="fa-IR"/>
              </w:rPr>
              <w:t>(13). في «ى، بح، بخ، بس، بف، جن »: + «بكم».</w:t>
            </w:r>
          </w:p>
        </w:tc>
      </w:tr>
    </w:tbl>
    <w:p w:rsidR="00744A1C" w:rsidRDefault="00E378DD" w:rsidP="00E378DD">
      <w:pPr>
        <w:pStyle w:val="libFootnote0"/>
        <w:rPr>
          <w:lang w:bidi="fa-IR"/>
        </w:rPr>
      </w:pPr>
      <w:r>
        <w:rPr>
          <w:rtl/>
          <w:lang w:bidi="fa-IR"/>
        </w:rPr>
        <w:t>(14).</w:t>
      </w:r>
      <w:r w:rsidR="00744A1C">
        <w:rPr>
          <w:rtl/>
          <w:lang w:bidi="fa-IR"/>
        </w:rPr>
        <w:t xml:space="preserve"> في « ى ، بخ ، بس ، بف ، جن » : « وبما ». وفي حاشية « بث » : « بكم ».</w:t>
      </w:r>
    </w:p>
    <w:p w:rsidR="00744A1C" w:rsidRDefault="00E378DD" w:rsidP="00E378DD">
      <w:pPr>
        <w:pStyle w:val="libFootnote0"/>
        <w:rPr>
          <w:lang w:bidi="fa-IR"/>
        </w:rPr>
      </w:pPr>
      <w:r>
        <w:rPr>
          <w:rtl/>
          <w:lang w:bidi="fa-IR"/>
        </w:rPr>
        <w:t>(15).</w:t>
      </w:r>
      <w:r w:rsidR="00744A1C">
        <w:rPr>
          <w:rtl/>
          <w:lang w:bidi="fa-IR"/>
        </w:rPr>
        <w:t xml:space="preserve"> في </w:t>
      </w:r>
      <w:r w:rsidR="00744A1C" w:rsidRPr="00C24F9C">
        <w:rPr>
          <w:rStyle w:val="libFootnoteBoldChar"/>
          <w:rtl/>
        </w:rPr>
        <w:t>المرآة</w:t>
      </w:r>
      <w:r w:rsidR="00744A1C">
        <w:rPr>
          <w:rtl/>
          <w:lang w:bidi="fa-IR"/>
        </w:rPr>
        <w:t xml:space="preserve"> : « أي سمّانا الله عنده ، وذكرنا بأنّا من شيعتكم ، وذلك لفضلكم وكرامتكم لا لفضلنا ».</w:t>
      </w:r>
    </w:p>
    <w:p w:rsidR="00744A1C" w:rsidRDefault="00744A1C" w:rsidP="00D10E3C">
      <w:pPr>
        <w:pStyle w:val="libFootnote0"/>
        <w:rPr>
          <w:lang w:bidi="fa-IR"/>
        </w:rPr>
      </w:pPr>
      <w:r>
        <w:rPr>
          <w:rtl/>
          <w:lang w:bidi="fa-IR"/>
        </w:rPr>
        <w:t xml:space="preserve">(16) في </w:t>
      </w:r>
      <w:r w:rsidRPr="00C24F9C">
        <w:rPr>
          <w:rStyle w:val="libFootnoteBoldChar"/>
          <w:rtl/>
        </w:rPr>
        <w:t>التهذيب</w:t>
      </w:r>
      <w:r>
        <w:rPr>
          <w:rtl/>
          <w:lang w:bidi="fa-IR"/>
        </w:rPr>
        <w:t xml:space="preserve"> والمزار : « بعلمكم ». وفي </w:t>
      </w:r>
      <w:r w:rsidRPr="007B299E">
        <w:rPr>
          <w:rStyle w:val="libFootnoteBoldChar"/>
          <w:rtl/>
        </w:rPr>
        <w:t>كامل الزيارات</w:t>
      </w:r>
      <w:r>
        <w:rPr>
          <w:rtl/>
          <w:lang w:bidi="fa-IR"/>
        </w:rPr>
        <w:t xml:space="preserve"> : « لعلمكم ».</w:t>
      </w:r>
    </w:p>
    <w:p w:rsidR="00744A1C" w:rsidRDefault="00744A1C" w:rsidP="00D10E3C">
      <w:pPr>
        <w:pStyle w:val="libFootnote0"/>
        <w:rPr>
          <w:lang w:bidi="fa-IR"/>
        </w:rPr>
      </w:pPr>
      <w:r>
        <w:rPr>
          <w:rtl/>
          <w:lang w:bidi="fa-IR"/>
        </w:rPr>
        <w:t xml:space="preserve">(17) في </w:t>
      </w:r>
      <w:r w:rsidRPr="00C24F9C">
        <w:rPr>
          <w:rStyle w:val="libFootnoteBoldChar"/>
          <w:rtl/>
        </w:rPr>
        <w:t>المرآة</w:t>
      </w:r>
      <w:r>
        <w:rPr>
          <w:rtl/>
          <w:lang w:bidi="fa-IR"/>
        </w:rPr>
        <w:t xml:space="preserve"> : « الأصوب : معروفين ، كما في الزيارة الجامعة ، وما هنا يحتاج إلى تكلّف ».</w:t>
      </w:r>
    </w:p>
    <w:tbl>
      <w:tblPr>
        <w:tblStyle w:val="TableGrid"/>
        <w:bidiVisual/>
        <w:tblW w:w="0" w:type="auto"/>
        <w:tblLook w:val="04A0" w:firstRow="1" w:lastRow="0" w:firstColumn="1" w:lastColumn="0" w:noHBand="0" w:noVBand="1"/>
      </w:tblPr>
      <w:tblGrid>
        <w:gridCol w:w="4006"/>
        <w:gridCol w:w="4006"/>
      </w:tblGrid>
      <w:tr w:rsidR="00242FF3" w:rsidTr="00242FF3">
        <w:tc>
          <w:tcPr>
            <w:tcW w:w="4006" w:type="dxa"/>
          </w:tcPr>
          <w:p w:rsidR="00242FF3" w:rsidRDefault="00242FF3" w:rsidP="00D10E3C">
            <w:pPr>
              <w:pStyle w:val="libFootnote0"/>
              <w:rPr>
                <w:rtl/>
                <w:lang w:bidi="fa-IR"/>
              </w:rPr>
            </w:pPr>
            <w:r>
              <w:rPr>
                <w:rtl/>
                <w:lang w:bidi="fa-IR"/>
              </w:rPr>
              <w:t xml:space="preserve">(18) في </w:t>
            </w:r>
            <w:r w:rsidRPr="00C24F9C">
              <w:rPr>
                <w:rStyle w:val="libFootnoteBoldChar"/>
                <w:rtl/>
              </w:rPr>
              <w:t>الوافي</w:t>
            </w:r>
            <w:r>
              <w:rPr>
                <w:rtl/>
                <w:lang w:bidi="fa-IR"/>
              </w:rPr>
              <w:t xml:space="preserve"> : « وبتصديقنا إيّاكم مقرنين ».</w:t>
            </w:r>
          </w:p>
        </w:tc>
        <w:tc>
          <w:tcPr>
            <w:tcW w:w="4006" w:type="dxa"/>
          </w:tcPr>
          <w:p w:rsidR="00242FF3" w:rsidRDefault="00242FF3" w:rsidP="00D10E3C">
            <w:pPr>
              <w:pStyle w:val="libFootnote0"/>
              <w:rPr>
                <w:rtl/>
                <w:lang w:bidi="fa-IR"/>
              </w:rPr>
            </w:pPr>
            <w:r>
              <w:rPr>
                <w:rtl/>
                <w:lang w:bidi="fa-IR"/>
              </w:rPr>
              <w:t xml:space="preserve">(19) في </w:t>
            </w:r>
            <w:r w:rsidRPr="00242FF3">
              <w:rPr>
                <w:rtl/>
              </w:rPr>
              <w:t>الوافي والفقيه</w:t>
            </w:r>
            <w:r>
              <w:rPr>
                <w:rtl/>
                <w:lang w:bidi="fa-IR"/>
              </w:rPr>
              <w:t xml:space="preserve"> : « النار ».</w:t>
            </w:r>
          </w:p>
        </w:tc>
      </w:tr>
    </w:tbl>
    <w:p w:rsidR="00744A1C" w:rsidRDefault="00744A1C" w:rsidP="00D10E3C">
      <w:pPr>
        <w:pStyle w:val="libFootnote0"/>
        <w:rPr>
          <w:lang w:bidi="fa-IR"/>
        </w:rPr>
      </w:pPr>
      <w:r>
        <w:rPr>
          <w:rtl/>
          <w:lang w:bidi="fa-IR"/>
        </w:rPr>
        <w:t>(20) هكذا في جميع النسخ التي قوبلت و</w:t>
      </w:r>
      <w:r w:rsidRPr="00C24F9C">
        <w:rPr>
          <w:rStyle w:val="libFootnoteBoldChar"/>
          <w:rtl/>
        </w:rPr>
        <w:t>الوافي</w:t>
      </w:r>
      <w:r>
        <w:rPr>
          <w:rtl/>
          <w:lang w:bidi="fa-IR"/>
        </w:rPr>
        <w:t xml:space="preserve"> والمزار. وفي المطبوع : « إذا ».</w:t>
      </w:r>
    </w:p>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 xml:space="preserve">رَغِبَ عَنْكُمْ أَهْلُ الدُّنْيَا ، وَاتَّخَذُوا آيَاتِ اللهِ هُزُواً ، وَاسْتَكْبَرُوا عَنْهَا ، يَا مَنْ هُوَ قَائِمٌ </w:t>
      </w:r>
      <w:r w:rsidRPr="00D10E3C">
        <w:rPr>
          <w:rStyle w:val="libFootnotenumChar"/>
          <w:rtl/>
        </w:rPr>
        <w:t>(1)</w:t>
      </w:r>
      <w:r>
        <w:rPr>
          <w:rtl/>
          <w:lang w:bidi="fa-IR"/>
        </w:rPr>
        <w:t xml:space="preserve"> لَا يَسْهُو ، وَدَائِمٌ لَايَلْهُو ، وَمُحِيطٌ </w:t>
      </w:r>
      <w:r w:rsidRPr="00D10E3C">
        <w:rPr>
          <w:rStyle w:val="libFootnotenumChar"/>
          <w:rtl/>
        </w:rPr>
        <w:t>(2)</w:t>
      </w:r>
      <w:r>
        <w:rPr>
          <w:rtl/>
          <w:lang w:bidi="fa-IR"/>
        </w:rPr>
        <w:t xml:space="preserve"> بِكُلِّ شَيْ‌ءٍ ، لَكَ الْمَنُّ بِمَا وَفَّقْتَنِي ، وَعَرَّفْتَنِي مِمَّا </w:t>
      </w:r>
      <w:r w:rsidRPr="00D10E3C">
        <w:rPr>
          <w:rStyle w:val="libFootnotenumChar"/>
          <w:rtl/>
        </w:rPr>
        <w:t>(3)</w:t>
      </w:r>
      <w:r>
        <w:rPr>
          <w:rtl/>
          <w:lang w:bidi="fa-IR"/>
        </w:rPr>
        <w:t xml:space="preserve"> ائْتَمَنْتَنِي </w:t>
      </w:r>
      <w:r w:rsidRPr="00D10E3C">
        <w:rPr>
          <w:rStyle w:val="libFootnotenumChar"/>
          <w:rtl/>
        </w:rPr>
        <w:t>(4)</w:t>
      </w:r>
      <w:r>
        <w:rPr>
          <w:rtl/>
          <w:lang w:bidi="fa-IR"/>
        </w:rPr>
        <w:t xml:space="preserve"> عَلَيْهِ </w:t>
      </w:r>
      <w:r w:rsidRPr="00D10E3C">
        <w:rPr>
          <w:rStyle w:val="libFootnotenumChar"/>
          <w:rtl/>
        </w:rPr>
        <w:t>(5)</w:t>
      </w:r>
      <w:r>
        <w:rPr>
          <w:rtl/>
          <w:lang w:bidi="fa-IR"/>
        </w:rPr>
        <w:t xml:space="preserve"> ، إِذْ صَدَّ عَنْهُمْ </w:t>
      </w:r>
      <w:r w:rsidRPr="00D10E3C">
        <w:rPr>
          <w:rStyle w:val="libFootnotenumChar"/>
          <w:rtl/>
        </w:rPr>
        <w:t>(6)</w:t>
      </w:r>
      <w:r>
        <w:rPr>
          <w:rtl/>
          <w:lang w:bidi="fa-IR"/>
        </w:rPr>
        <w:t xml:space="preserve"> عِبَادُكَ ، وَجَهِلُوا </w:t>
      </w:r>
      <w:r w:rsidRPr="00D10E3C">
        <w:rPr>
          <w:rStyle w:val="libFootnotenumChar"/>
          <w:rtl/>
        </w:rPr>
        <w:t>(7)</w:t>
      </w:r>
      <w:r>
        <w:rPr>
          <w:rtl/>
          <w:lang w:bidi="fa-IR"/>
        </w:rPr>
        <w:t xml:space="preserve"> مَعْرِفَتَهُمْ ، وَاسْتَخَفُّوا </w:t>
      </w:r>
      <w:r w:rsidRPr="00D10E3C">
        <w:rPr>
          <w:rStyle w:val="libFootnotenumChar"/>
          <w:rtl/>
        </w:rPr>
        <w:t>(8)</w:t>
      </w:r>
      <w:r>
        <w:rPr>
          <w:rtl/>
          <w:lang w:bidi="fa-IR"/>
        </w:rPr>
        <w:t xml:space="preserve"> بِحَقِّهِمْ ، وَمَالُوا إِلى سِوَاهُمْ ، فَكَانَتِ </w:t>
      </w:r>
      <w:r w:rsidRPr="00D10E3C">
        <w:rPr>
          <w:rStyle w:val="libFootnotenumChar"/>
          <w:rtl/>
        </w:rPr>
        <w:t>(9)</w:t>
      </w:r>
      <w:r>
        <w:rPr>
          <w:rtl/>
          <w:lang w:bidi="fa-IR"/>
        </w:rPr>
        <w:t xml:space="preserve"> الْمِنَّةُ مِنْكَ عَلَيَّ مَعَ أَقْوَامٍ خَصَصْتَهُمْ </w:t>
      </w:r>
      <w:r w:rsidRPr="00D10E3C">
        <w:rPr>
          <w:rStyle w:val="libFootnotenumChar"/>
          <w:rtl/>
        </w:rPr>
        <w:t>(10)</w:t>
      </w:r>
      <w:r>
        <w:rPr>
          <w:rtl/>
          <w:lang w:bidi="fa-IR"/>
        </w:rPr>
        <w:t xml:space="preserve"> بِمَا خَصَصْتَنِي بِهِ ، فَلَكَ الْحَمْدُ إِذْ كُنْتُ عِنْدَكَ فِي مَقَامِي هذَا </w:t>
      </w:r>
      <w:r w:rsidRPr="00D10E3C">
        <w:rPr>
          <w:rStyle w:val="libFootnotenumChar"/>
          <w:rtl/>
        </w:rPr>
        <w:t>(11)</w:t>
      </w:r>
      <w:r>
        <w:rPr>
          <w:rtl/>
          <w:lang w:bidi="fa-IR"/>
        </w:rPr>
        <w:t xml:space="preserve"> مَذْكُوراً </w:t>
      </w:r>
      <w:r w:rsidRPr="00D10E3C">
        <w:rPr>
          <w:rStyle w:val="libFootnotenumChar"/>
          <w:rtl/>
        </w:rPr>
        <w:t>(12)</w:t>
      </w:r>
      <w:r>
        <w:rPr>
          <w:rtl/>
          <w:lang w:bidi="fa-IR"/>
        </w:rPr>
        <w:t xml:space="preserve"> مَكْتُوباً ، وَلَاتَحْرِمْنِي </w:t>
      </w:r>
      <w:r w:rsidRPr="00D10E3C">
        <w:rPr>
          <w:rStyle w:val="libFootnotenumChar"/>
          <w:rtl/>
        </w:rPr>
        <w:t>(13)</w:t>
      </w:r>
      <w:r>
        <w:rPr>
          <w:rtl/>
          <w:lang w:bidi="fa-IR"/>
        </w:rPr>
        <w:t xml:space="preserve"> مَا رَجَوْتُ ، وَلَا تُخَيِّبْنِي فِيمَا دَعَوْتُ. وَادْعُ لِنَفْسِكَ </w:t>
      </w:r>
      <w:r w:rsidRPr="00D10E3C">
        <w:rPr>
          <w:rStyle w:val="libFootnotenumChar"/>
          <w:rtl/>
        </w:rPr>
        <w:t>(14)</w:t>
      </w:r>
      <w:r>
        <w:rPr>
          <w:rtl/>
          <w:lang w:bidi="fa-IR"/>
        </w:rPr>
        <w:t xml:space="preserve"> بِمَا أَحْبَبْتَ. </w:t>
      </w:r>
      <w:r w:rsidRPr="00D10E3C">
        <w:rPr>
          <w:rStyle w:val="libFootnotenumChar"/>
          <w:rtl/>
        </w:rPr>
        <w:t>(15)</w:t>
      </w:r>
    </w:p>
    <w:p w:rsidR="00744A1C" w:rsidRDefault="00744A1C" w:rsidP="00242FF3">
      <w:pPr>
        <w:pStyle w:val="Heading2Center"/>
        <w:rPr>
          <w:lang w:bidi="fa-IR"/>
        </w:rPr>
      </w:pPr>
      <w:bookmarkStart w:id="68" w:name="_Toc49261366"/>
      <w:r>
        <w:rPr>
          <w:rtl/>
          <w:lang w:bidi="fa-IR"/>
        </w:rPr>
        <w:t>221 - بَابُ إِتْيَانِ الْمَشَاهِدِ وَقُبُورِ الشُّهَدَاءِ‌</w:t>
      </w:r>
      <w:bookmarkEnd w:id="68"/>
    </w:p>
    <w:p w:rsidR="00744A1C" w:rsidRDefault="00744A1C" w:rsidP="00744A1C">
      <w:pPr>
        <w:pStyle w:val="libNormal"/>
        <w:rPr>
          <w:lang w:bidi="fa-IR"/>
        </w:rPr>
      </w:pPr>
      <w:r>
        <w:rPr>
          <w:rtl/>
          <w:lang w:bidi="fa-IR"/>
        </w:rPr>
        <w:t>8129 / 1. عَلِيُّ بْنُ إِبْرَاهِيمَ ، عَنْ أَبِيهِ ، عَنِ ابْنِ أَبِي عُمَيْرٍ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ذاكر ».</w:t>
      </w:r>
    </w:p>
    <w:p w:rsidR="00744A1C" w:rsidRDefault="00E378DD" w:rsidP="00E378DD">
      <w:pPr>
        <w:pStyle w:val="libFootnote0"/>
        <w:rPr>
          <w:lang w:bidi="fa-IR"/>
        </w:rPr>
      </w:pPr>
      <w:r>
        <w:rPr>
          <w:rtl/>
          <w:lang w:bidi="fa-IR"/>
        </w:rPr>
        <w:t>(2).</w:t>
      </w:r>
      <w:r w:rsidR="00744A1C">
        <w:rPr>
          <w:rtl/>
          <w:lang w:bidi="fa-IR"/>
        </w:rPr>
        <w:t xml:space="preserve"> في « بس » : « ويحيط ».</w:t>
      </w:r>
    </w:p>
    <w:p w:rsidR="00744A1C" w:rsidRDefault="00E378DD" w:rsidP="00E378DD">
      <w:pPr>
        <w:pStyle w:val="libFootnote0"/>
        <w:rPr>
          <w:lang w:bidi="fa-IR"/>
        </w:rPr>
      </w:pPr>
      <w:r>
        <w:rPr>
          <w:rtl/>
          <w:lang w:bidi="fa-IR"/>
        </w:rPr>
        <w:t>(3).</w:t>
      </w:r>
      <w:r w:rsidR="00744A1C">
        <w:rPr>
          <w:rtl/>
          <w:lang w:bidi="fa-IR"/>
        </w:rPr>
        <w:t xml:space="preserve"> في حاشية « بث ، بح » </w:t>
      </w:r>
      <w:r w:rsidR="00744A1C" w:rsidRPr="00242FF3">
        <w:rPr>
          <w:rtl/>
        </w:rPr>
        <w:t>والوافي والفقيه والتهذيب</w:t>
      </w:r>
      <w:r w:rsidR="00744A1C">
        <w:rPr>
          <w:rtl/>
          <w:lang w:bidi="fa-IR"/>
        </w:rPr>
        <w:t xml:space="preserve"> : « بما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ثبّتني ». وفي </w:t>
      </w:r>
      <w:r w:rsidR="00744A1C" w:rsidRPr="00242FF3">
        <w:rPr>
          <w:rtl/>
        </w:rPr>
        <w:t>كامل الزيارات :</w:t>
      </w:r>
      <w:r w:rsidR="00744A1C">
        <w:rPr>
          <w:rtl/>
          <w:lang w:bidi="fa-IR"/>
        </w:rPr>
        <w:t xml:space="preserve"> « أئمّتي وبما أقمتني » بدل « ممّا ائتمنتني ».</w:t>
      </w:r>
    </w:p>
    <w:p w:rsidR="00744A1C" w:rsidRDefault="00E378DD" w:rsidP="00E378DD">
      <w:pPr>
        <w:pStyle w:val="libFootnote0"/>
        <w:rPr>
          <w:lang w:bidi="fa-IR"/>
        </w:rPr>
      </w:pPr>
      <w:r>
        <w:rPr>
          <w:rtl/>
          <w:lang w:bidi="fa-IR"/>
        </w:rPr>
        <w:t>(5).</w:t>
      </w:r>
      <w:r w:rsidR="00744A1C">
        <w:rPr>
          <w:rtl/>
          <w:lang w:bidi="fa-IR"/>
        </w:rPr>
        <w:t xml:space="preserve"> في « بث ، بح » : « عليهم ».</w:t>
      </w:r>
    </w:p>
    <w:p w:rsidR="00744A1C" w:rsidRDefault="00E378DD" w:rsidP="00E378DD">
      <w:pPr>
        <w:pStyle w:val="libFootnote0"/>
        <w:rPr>
          <w:lang w:bidi="fa-IR"/>
        </w:rPr>
      </w:pPr>
      <w:r>
        <w:rPr>
          <w:rtl/>
          <w:lang w:bidi="fa-IR"/>
        </w:rPr>
        <w:t>(6).</w:t>
      </w:r>
      <w:r w:rsidR="00744A1C">
        <w:rPr>
          <w:rtl/>
          <w:lang w:bidi="fa-IR"/>
        </w:rPr>
        <w:t xml:space="preserve"> في « بخ » و</w:t>
      </w:r>
      <w:r w:rsidR="00744A1C" w:rsidRPr="00C24F9C">
        <w:rPr>
          <w:rStyle w:val="libFootnoteBoldChar"/>
          <w:rtl/>
        </w:rPr>
        <w:t>الفقيه</w:t>
      </w:r>
      <w:r w:rsidR="00744A1C">
        <w:rPr>
          <w:rtl/>
          <w:lang w:bidi="fa-IR"/>
        </w:rPr>
        <w:t xml:space="preserve"> </w:t>
      </w:r>
      <w:r w:rsidR="00744A1C" w:rsidRPr="00242FF3">
        <w:rPr>
          <w:rtl/>
        </w:rPr>
        <w:t>والتهذيب وكامل الزيارات :</w:t>
      </w:r>
      <w:r w:rsidR="00744A1C">
        <w:rPr>
          <w:rtl/>
          <w:lang w:bidi="fa-IR"/>
        </w:rPr>
        <w:t xml:space="preserve"> « عنه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 وجحدوا ».</w:t>
      </w:r>
    </w:p>
    <w:p w:rsidR="00744A1C" w:rsidRDefault="00E378DD" w:rsidP="00E378DD">
      <w:pPr>
        <w:pStyle w:val="libFootnote0"/>
        <w:rPr>
          <w:lang w:bidi="fa-IR"/>
        </w:rPr>
      </w:pPr>
      <w:r>
        <w:rPr>
          <w:rtl/>
          <w:lang w:bidi="fa-IR"/>
        </w:rPr>
        <w:t>(8).</w:t>
      </w:r>
      <w:r w:rsidR="00744A1C">
        <w:rPr>
          <w:rtl/>
          <w:lang w:bidi="fa-IR"/>
        </w:rPr>
        <w:t xml:space="preserve"> في « بث » : « واستحلّوا ». وفي </w:t>
      </w:r>
      <w:r w:rsidR="00744A1C" w:rsidRPr="007B299E">
        <w:rPr>
          <w:rStyle w:val="libFootnoteBoldChar"/>
          <w:rtl/>
        </w:rPr>
        <w:t>كامل الزيارات</w:t>
      </w:r>
      <w:r w:rsidR="00744A1C">
        <w:rPr>
          <w:rtl/>
          <w:lang w:bidi="fa-IR"/>
        </w:rPr>
        <w:t xml:space="preserve"> : « واستحقّوا ».</w:t>
      </w:r>
    </w:p>
    <w:tbl>
      <w:tblPr>
        <w:tblStyle w:val="TableGrid"/>
        <w:bidiVisual/>
        <w:tblW w:w="0" w:type="auto"/>
        <w:tblLook w:val="04A0" w:firstRow="1" w:lastRow="0" w:firstColumn="1" w:lastColumn="0" w:noHBand="0" w:noVBand="1"/>
      </w:tblPr>
      <w:tblGrid>
        <w:gridCol w:w="4006"/>
        <w:gridCol w:w="4006"/>
      </w:tblGrid>
      <w:tr w:rsidR="00242FF3" w:rsidTr="00242FF3">
        <w:tc>
          <w:tcPr>
            <w:tcW w:w="4006" w:type="dxa"/>
          </w:tcPr>
          <w:p w:rsidR="00242FF3" w:rsidRDefault="00242FF3" w:rsidP="00E378DD">
            <w:pPr>
              <w:pStyle w:val="libFootnote0"/>
              <w:rPr>
                <w:rtl/>
                <w:lang w:bidi="fa-IR"/>
              </w:rPr>
            </w:pPr>
            <w:r>
              <w:rPr>
                <w:rtl/>
                <w:lang w:bidi="fa-IR"/>
              </w:rPr>
              <w:t xml:space="preserve">(9). في </w:t>
            </w:r>
            <w:r w:rsidRPr="00C24F9C">
              <w:rPr>
                <w:rStyle w:val="libFootnoteBoldChar"/>
                <w:rtl/>
              </w:rPr>
              <w:t>الوافي</w:t>
            </w:r>
            <w:r>
              <w:rPr>
                <w:rtl/>
                <w:lang w:bidi="fa-IR"/>
              </w:rPr>
              <w:t xml:space="preserve"> : « وكانت ».</w:t>
            </w:r>
          </w:p>
        </w:tc>
        <w:tc>
          <w:tcPr>
            <w:tcW w:w="4006" w:type="dxa"/>
          </w:tcPr>
          <w:p w:rsidR="00242FF3" w:rsidRDefault="00242FF3" w:rsidP="00E378DD">
            <w:pPr>
              <w:pStyle w:val="libFootnote0"/>
              <w:rPr>
                <w:rtl/>
                <w:lang w:bidi="fa-IR"/>
              </w:rPr>
            </w:pPr>
            <w:r>
              <w:rPr>
                <w:rtl/>
                <w:lang w:bidi="fa-IR"/>
              </w:rPr>
              <w:t>(10). هيئة التفعيل والمجرّد بمعنى.</w:t>
            </w:r>
          </w:p>
        </w:tc>
      </w:tr>
    </w:tbl>
    <w:p w:rsidR="00744A1C" w:rsidRDefault="00E378DD" w:rsidP="00E378DD">
      <w:pPr>
        <w:pStyle w:val="libFootnote0"/>
        <w:rPr>
          <w:lang w:bidi="fa-IR"/>
        </w:rPr>
      </w:pPr>
      <w:r>
        <w:rPr>
          <w:rtl/>
          <w:lang w:bidi="fa-IR"/>
        </w:rPr>
        <w:t>(11).</w:t>
      </w:r>
      <w:r w:rsidR="00744A1C">
        <w:rPr>
          <w:rtl/>
          <w:lang w:bidi="fa-IR"/>
        </w:rPr>
        <w:t xml:space="preserve"> في « بث ، بح ، بخ ، بف » </w:t>
      </w:r>
      <w:r w:rsidR="00744A1C" w:rsidRPr="00242FF3">
        <w:rPr>
          <w:rtl/>
        </w:rPr>
        <w:t>والوافي والتهذيب</w:t>
      </w:r>
      <w:r w:rsidR="00744A1C">
        <w:rPr>
          <w:rtl/>
          <w:lang w:bidi="fa-IR"/>
        </w:rPr>
        <w:t xml:space="preserve"> : - « هذا ».</w:t>
      </w:r>
    </w:p>
    <w:tbl>
      <w:tblPr>
        <w:tblStyle w:val="TableGrid"/>
        <w:bidiVisual/>
        <w:tblW w:w="0" w:type="auto"/>
        <w:tblLook w:val="04A0" w:firstRow="1" w:lastRow="0" w:firstColumn="1" w:lastColumn="0" w:noHBand="0" w:noVBand="1"/>
      </w:tblPr>
      <w:tblGrid>
        <w:gridCol w:w="4006"/>
        <w:gridCol w:w="4006"/>
      </w:tblGrid>
      <w:tr w:rsidR="00460626" w:rsidTr="00460626">
        <w:tc>
          <w:tcPr>
            <w:tcW w:w="4006" w:type="dxa"/>
          </w:tcPr>
          <w:p w:rsidR="00460626" w:rsidRDefault="00460626" w:rsidP="00E378DD">
            <w:pPr>
              <w:pStyle w:val="libFootnote0"/>
              <w:rPr>
                <w:rtl/>
                <w:lang w:bidi="fa-IR"/>
              </w:rPr>
            </w:pPr>
            <w:r>
              <w:rPr>
                <w:rtl/>
                <w:lang w:bidi="fa-IR"/>
              </w:rPr>
              <w:t xml:space="preserve">(12). </w:t>
            </w:r>
            <w:r w:rsidRPr="00460626">
              <w:rPr>
                <w:rtl/>
              </w:rPr>
              <w:t>في الوافي</w:t>
            </w:r>
            <w:r>
              <w:rPr>
                <w:rtl/>
                <w:lang w:bidi="fa-IR"/>
              </w:rPr>
              <w:t xml:space="preserve"> : - « مذكوراً ».</w:t>
            </w:r>
          </w:p>
        </w:tc>
        <w:tc>
          <w:tcPr>
            <w:tcW w:w="4006" w:type="dxa"/>
          </w:tcPr>
          <w:p w:rsidR="00460626" w:rsidRDefault="00460626" w:rsidP="00E378DD">
            <w:pPr>
              <w:pStyle w:val="libFootnote0"/>
              <w:rPr>
                <w:rtl/>
                <w:lang w:bidi="fa-IR"/>
              </w:rPr>
            </w:pPr>
            <w:r>
              <w:rPr>
                <w:rtl/>
                <w:lang w:bidi="fa-IR"/>
              </w:rPr>
              <w:t>(13). في</w:t>
            </w:r>
            <w:r w:rsidRPr="00460626">
              <w:rPr>
                <w:rtl/>
              </w:rPr>
              <w:t xml:space="preserve"> الوافي</w:t>
            </w:r>
            <w:r>
              <w:rPr>
                <w:rtl/>
                <w:lang w:bidi="fa-IR"/>
              </w:rPr>
              <w:t xml:space="preserve"> : « فلا تحرمني ».</w:t>
            </w:r>
          </w:p>
        </w:tc>
      </w:tr>
    </w:tbl>
    <w:p w:rsidR="00744A1C" w:rsidRDefault="00E378DD" w:rsidP="00E378DD">
      <w:pPr>
        <w:pStyle w:val="libFootnote0"/>
        <w:rPr>
          <w:lang w:bidi="fa-IR"/>
        </w:rPr>
      </w:pPr>
      <w:r>
        <w:rPr>
          <w:rtl/>
          <w:lang w:bidi="fa-IR"/>
        </w:rPr>
        <w:t>(14).</w:t>
      </w:r>
      <w:r w:rsidR="00744A1C">
        <w:rPr>
          <w:rtl/>
          <w:lang w:bidi="fa-IR"/>
        </w:rPr>
        <w:t xml:space="preserve"> في « بس » : - « لنفسك ».</w:t>
      </w:r>
    </w:p>
    <w:p w:rsidR="00744A1C" w:rsidRDefault="00E378DD" w:rsidP="00E378DD">
      <w:pPr>
        <w:pStyle w:val="libFootnote0"/>
        <w:rPr>
          <w:lang w:bidi="fa-IR"/>
        </w:rPr>
      </w:pPr>
      <w:r>
        <w:rPr>
          <w:rtl/>
          <w:lang w:bidi="fa-IR"/>
        </w:rPr>
        <w:t>(15).</w:t>
      </w:r>
      <w:r w:rsidR="00744A1C">
        <w:rPr>
          <w:rtl/>
          <w:lang w:bidi="fa-IR"/>
        </w:rPr>
        <w:t xml:space="preserve"> </w:t>
      </w:r>
      <w:r w:rsidR="00744A1C" w:rsidRPr="007B299E">
        <w:rPr>
          <w:rStyle w:val="libFootnoteBoldChar"/>
          <w:rtl/>
        </w:rPr>
        <w:t>كامل الزيارات</w:t>
      </w:r>
      <w:r w:rsidR="00744A1C">
        <w:rPr>
          <w:rtl/>
          <w:lang w:bidi="fa-IR"/>
        </w:rPr>
        <w:t xml:space="preserve"> ، ص 53 ، الباب 15 ، ح 2 ، عن حكيم بن داود بن حكيم ، عن سلمة ، عن عبدالله بن أحمد ، عن بكر بن صالح ، عن عمرو بن هشام ، عن بعض أصحابنا ، عن أحدهم </w:t>
      </w:r>
      <w:r w:rsidR="00877682" w:rsidRPr="00877682">
        <w:rPr>
          <w:rStyle w:val="libFootnoteAlaemChar"/>
          <w:rtl/>
        </w:rPr>
        <w:t>عليهم‌السلام</w:t>
      </w:r>
      <w:r w:rsidR="00744A1C">
        <w:rPr>
          <w:rtl/>
          <w:lang w:bidi="fa-IR"/>
        </w:rPr>
        <w:t xml:space="preserve"> . وفي </w:t>
      </w:r>
      <w:r w:rsidR="00744A1C" w:rsidRPr="00C24F9C">
        <w:rPr>
          <w:rStyle w:val="libFootnoteBoldChar"/>
          <w:rtl/>
        </w:rPr>
        <w:t>الفقيه</w:t>
      </w:r>
      <w:r w:rsidR="00744A1C">
        <w:rPr>
          <w:rtl/>
          <w:lang w:bidi="fa-IR"/>
        </w:rPr>
        <w:t xml:space="preserve"> ، ج 2 ، ص 575 ؛ </w:t>
      </w:r>
      <w:r w:rsidR="00744A1C" w:rsidRPr="0061079A">
        <w:rPr>
          <w:rStyle w:val="libFootnoteBoldChar"/>
          <w:rtl/>
        </w:rPr>
        <w:t>والتهذيب</w:t>
      </w:r>
      <w:r w:rsidR="00744A1C">
        <w:rPr>
          <w:rtl/>
          <w:lang w:bidi="fa-IR"/>
        </w:rPr>
        <w:t xml:space="preserve"> ، ج 6 ، ص 79 ؛ وكتاب المزار ، ص 187 ، من دون الإسناد إلى المعصوم </w:t>
      </w:r>
      <w:r w:rsidR="0061079A" w:rsidRPr="0061079A">
        <w:rPr>
          <w:rStyle w:val="libFootnoteAlaemChar"/>
          <w:rtl/>
        </w:rPr>
        <w:t>عليه‌السلام</w:t>
      </w:r>
      <w:r w:rsidR="00744A1C">
        <w:rPr>
          <w:rtl/>
          <w:lang w:bidi="fa-IR"/>
        </w:rPr>
        <w:t xml:space="preserve"> . وفي كلّ المصادر مع اختلاف يسير </w:t>
      </w:r>
      <w:r w:rsidR="00460626">
        <w:rPr>
          <w:rFonts w:hint="cs"/>
          <w:rtl/>
          <w:lang w:bidi="fa-IR"/>
        </w:rPr>
        <w:t>.</w:t>
      </w:r>
      <w:r w:rsidR="00744A1C" w:rsidRPr="00C24F9C">
        <w:rPr>
          <w:rStyle w:val="libFootnoteBoldChar"/>
          <w:rtl/>
        </w:rPr>
        <w:t>الوافي</w:t>
      </w:r>
      <w:r w:rsidR="00744A1C">
        <w:rPr>
          <w:rtl/>
          <w:lang w:bidi="fa-IR"/>
        </w:rPr>
        <w:t xml:space="preserve"> ، ج 14 ، ص 1376 ، ح 14415 ؛ </w:t>
      </w:r>
      <w:r w:rsidR="00744A1C" w:rsidRPr="0061079A">
        <w:rPr>
          <w:rStyle w:val="libFootnoteBoldChar"/>
          <w:rtl/>
        </w:rPr>
        <w:t>البحار</w:t>
      </w:r>
      <w:r w:rsidR="00744A1C">
        <w:rPr>
          <w:rtl/>
          <w:lang w:bidi="fa-IR"/>
        </w:rPr>
        <w:t xml:space="preserve"> ، ج 100 ، ص 203 ، ح 1.</w:t>
      </w:r>
    </w:p>
    <w:p w:rsidR="00150943" w:rsidRDefault="00150943" w:rsidP="00D10E3C">
      <w:pPr>
        <w:pStyle w:val="libNormal"/>
        <w:rPr>
          <w:rtl/>
          <w:lang w:bidi="fa-IR"/>
        </w:rPr>
      </w:pPr>
      <w:r>
        <w:rPr>
          <w:rtl/>
          <w:lang w:bidi="fa-IR"/>
        </w:rPr>
        <w:br w:type="page"/>
      </w:r>
    </w:p>
    <w:p w:rsidR="00144FA6" w:rsidRDefault="00460626" w:rsidP="00744A1C">
      <w:pPr>
        <w:pStyle w:val="libNormal"/>
        <w:rPr>
          <w:rtl/>
          <w:lang w:bidi="fa-IR"/>
        </w:rPr>
      </w:pPr>
      <w:r>
        <w:rPr>
          <w:rFonts w:hint="cs"/>
          <w:rtl/>
          <w:lang w:bidi="fa-IR"/>
        </w:rPr>
        <w:lastRenderedPageBreak/>
        <w:t xml:space="preserve">                </w:t>
      </w:r>
      <w:r w:rsidR="00744A1C">
        <w:rPr>
          <w:rtl/>
          <w:lang w:bidi="fa-IR"/>
        </w:rPr>
        <w:t>وَ</w:t>
      </w:r>
      <w:r>
        <w:rPr>
          <w:rFonts w:hint="cs"/>
          <w:rtl/>
          <w:lang w:bidi="fa-IR"/>
        </w:rPr>
        <w:t xml:space="preserve"> </w:t>
      </w:r>
      <w:r w:rsidR="00744A1C">
        <w:rPr>
          <w:rtl/>
          <w:lang w:bidi="fa-IR"/>
        </w:rPr>
        <w:t xml:space="preserve">مُحَمَّدُ بْنُ إِسْمَاعِيلَ ، عَنِ الْفَضْلِ بْنِ شَاذَانَ ، عَنْ صَفْوَانَ بْنِ يَحْيى وَابْنِ أَبِي عُمَيْرٍ جَمِيعاً </w:t>
      </w:r>
      <w:r w:rsidR="00744A1C" w:rsidRPr="00D10E3C">
        <w:rPr>
          <w:rStyle w:val="libFootnotenumChar"/>
          <w:rtl/>
        </w:rPr>
        <w:t>(1)</w:t>
      </w:r>
      <w:r w:rsidR="00744A1C">
        <w:rPr>
          <w:rtl/>
          <w:lang w:bidi="fa-IR"/>
        </w:rPr>
        <w:t xml:space="preserve"> ، عَنْ مُعَاوِيَةَ بْنِ عَمَّارٍ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sidRPr="00D10E3C">
        <w:rPr>
          <w:rStyle w:val="libFootnotenumChar"/>
          <w:rtl/>
        </w:rPr>
        <w:t>(2)</w:t>
      </w:r>
      <w:r>
        <w:rPr>
          <w:rtl/>
          <w:lang w:bidi="fa-IR"/>
        </w:rPr>
        <w:t xml:space="preserve"> : « لَا تَدَعْ </w:t>
      </w:r>
      <w:r w:rsidRPr="00D10E3C">
        <w:rPr>
          <w:rStyle w:val="libFootnotenumChar"/>
          <w:rtl/>
        </w:rPr>
        <w:t>(3)</w:t>
      </w:r>
      <w:r>
        <w:rPr>
          <w:rtl/>
          <w:lang w:bidi="fa-IR"/>
        </w:rPr>
        <w:t xml:space="preserve"> إِتْيَانَ الْمَشَاهِدِ كُلِّهَا </w:t>
      </w:r>
      <w:r w:rsidRPr="00D10E3C">
        <w:rPr>
          <w:rStyle w:val="libFootnotenumChar"/>
          <w:rtl/>
        </w:rPr>
        <w:t>(4)</w:t>
      </w:r>
      <w:r>
        <w:rPr>
          <w:rtl/>
          <w:lang w:bidi="fa-IR"/>
        </w:rPr>
        <w:t xml:space="preserve"> : مَسْجِدِ </w:t>
      </w:r>
      <w:r w:rsidRPr="00D10E3C">
        <w:rPr>
          <w:rStyle w:val="libFootnotenumChar"/>
          <w:rtl/>
        </w:rPr>
        <w:t>(5)</w:t>
      </w:r>
      <w:r>
        <w:rPr>
          <w:rtl/>
          <w:lang w:bidi="fa-IR"/>
        </w:rPr>
        <w:t xml:space="preserve"> قُبَاءَ ؛ فَإِنَّهُ الْمَسْجِدُ الَّذِي أُسِّسَ عَلَى التَّقْوى مِنْ أَوَّلِ يَوْمٍ </w:t>
      </w:r>
      <w:r w:rsidRPr="00D10E3C">
        <w:rPr>
          <w:rStyle w:val="libFootnotenumChar"/>
          <w:rtl/>
        </w:rPr>
        <w:t>(6)</w:t>
      </w:r>
      <w:r>
        <w:rPr>
          <w:rtl/>
          <w:lang w:bidi="fa-IR"/>
        </w:rPr>
        <w:t xml:space="preserve"> ، وَمَشْرَبَةِ أُمِّ إِبْرَاهِيمَ </w:t>
      </w:r>
      <w:r w:rsidRPr="00D10E3C">
        <w:rPr>
          <w:rStyle w:val="libFootnotenumChar"/>
          <w:rtl/>
        </w:rPr>
        <w:t>(7)</w:t>
      </w:r>
      <w:r>
        <w:rPr>
          <w:rtl/>
          <w:lang w:bidi="fa-IR"/>
        </w:rPr>
        <w:t xml:space="preserve"> ، وَمَسْجِدِ الْفَضِيخِ </w:t>
      </w:r>
      <w:r w:rsidRPr="00D10E3C">
        <w:rPr>
          <w:rStyle w:val="libFootnotenumChar"/>
          <w:rtl/>
        </w:rPr>
        <w:t>(8)</w:t>
      </w:r>
      <w:r>
        <w:rPr>
          <w:rtl/>
          <w:lang w:bidi="fa-IR"/>
        </w:rPr>
        <w:t xml:space="preserve"> ، وَقُبُورِ الشُّهَدَاءِ ، وَمَسْجِدِ الْأَحْزَابِ </w:t>
      </w:r>
      <w:r w:rsidRPr="00D10E3C">
        <w:rPr>
          <w:rStyle w:val="libFootnotenumChar"/>
          <w:rtl/>
        </w:rPr>
        <w:t>(9)</w:t>
      </w:r>
      <w:r>
        <w:rPr>
          <w:rtl/>
          <w:lang w:bidi="fa-IR"/>
        </w:rPr>
        <w:t xml:space="preserve"> وَهُوَ مَسْجِدُ الْفَتْحِ </w:t>
      </w:r>
      <w:r w:rsidRPr="00D10E3C">
        <w:rPr>
          <w:rStyle w:val="libFootnotenumChar"/>
          <w:rtl/>
        </w:rPr>
        <w:t>(10)</w:t>
      </w:r>
      <w:r>
        <w:rPr>
          <w:rtl/>
          <w:lang w:bidi="fa-IR"/>
        </w:rPr>
        <w:t xml:space="preserve">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460626" w:rsidTr="00460626">
        <w:tc>
          <w:tcPr>
            <w:tcW w:w="4006" w:type="dxa"/>
          </w:tcPr>
          <w:p w:rsidR="00460626" w:rsidRDefault="00460626" w:rsidP="00D10E3C">
            <w:pPr>
              <w:pStyle w:val="libFootnote0"/>
              <w:rPr>
                <w:rtl/>
                <w:lang w:bidi="fa-IR"/>
              </w:rPr>
            </w:pPr>
            <w:r>
              <w:rPr>
                <w:rtl/>
                <w:lang w:bidi="fa-IR"/>
              </w:rPr>
              <w:t xml:space="preserve">(1). في </w:t>
            </w:r>
            <w:r w:rsidRPr="00C24F9C">
              <w:rPr>
                <w:rStyle w:val="libFootnoteBoldChar"/>
                <w:rtl/>
              </w:rPr>
              <w:t>التهذيب</w:t>
            </w:r>
            <w:r>
              <w:rPr>
                <w:rtl/>
                <w:lang w:bidi="fa-IR"/>
              </w:rPr>
              <w:t xml:space="preserve"> : - « جميعاً ».</w:t>
            </w:r>
          </w:p>
        </w:tc>
        <w:tc>
          <w:tcPr>
            <w:tcW w:w="4006" w:type="dxa"/>
          </w:tcPr>
          <w:p w:rsidR="00460626" w:rsidRDefault="00460626" w:rsidP="00D10E3C">
            <w:pPr>
              <w:pStyle w:val="libFootnote0"/>
              <w:rPr>
                <w:rtl/>
                <w:lang w:bidi="fa-IR"/>
              </w:rPr>
            </w:pPr>
            <w:r>
              <w:rPr>
                <w:rtl/>
                <w:lang w:bidi="fa-IR"/>
              </w:rPr>
              <w:t xml:space="preserve">(2). في </w:t>
            </w:r>
            <w:r w:rsidRPr="007B299E">
              <w:rPr>
                <w:rStyle w:val="libFootnoteBoldChar"/>
                <w:rtl/>
              </w:rPr>
              <w:t>كامل الزيارات</w:t>
            </w:r>
            <w:r>
              <w:rPr>
                <w:rtl/>
                <w:lang w:bidi="fa-IR"/>
              </w:rPr>
              <w:t>،ص25:+ «لابن أبي يعفور ».</w:t>
            </w:r>
          </w:p>
        </w:tc>
      </w:tr>
    </w:tbl>
    <w:p w:rsidR="00744A1C" w:rsidRDefault="00E378DD" w:rsidP="00E378DD">
      <w:pPr>
        <w:pStyle w:val="libFootnote0"/>
        <w:rPr>
          <w:lang w:bidi="fa-IR"/>
        </w:rPr>
      </w:pPr>
      <w:r>
        <w:rPr>
          <w:rtl/>
          <w:lang w:bidi="fa-IR"/>
        </w:rPr>
        <w:t>(3).</w:t>
      </w:r>
      <w:r w:rsidR="00744A1C">
        <w:rPr>
          <w:rtl/>
          <w:lang w:bidi="fa-IR"/>
        </w:rPr>
        <w:t xml:space="preserve"> في</w:t>
      </w:r>
      <w:r w:rsidR="00744A1C" w:rsidRPr="00460626">
        <w:rPr>
          <w:rtl/>
        </w:rPr>
        <w:t xml:space="preserve"> الفقيه</w:t>
      </w:r>
      <w:r w:rsidR="00744A1C">
        <w:rPr>
          <w:rtl/>
          <w:lang w:bidi="fa-IR"/>
        </w:rPr>
        <w:t xml:space="preserve"> ، ح 686 : « يستحبّ » بدل « لا تدع ».</w:t>
      </w:r>
    </w:p>
    <w:p w:rsidR="00744A1C" w:rsidRDefault="00E378DD" w:rsidP="00E378DD">
      <w:pPr>
        <w:pStyle w:val="libFootnote0"/>
        <w:rPr>
          <w:lang w:bidi="fa-IR"/>
        </w:rPr>
      </w:pPr>
      <w:r>
        <w:rPr>
          <w:rtl/>
          <w:lang w:bidi="fa-IR"/>
        </w:rPr>
        <w:t>(4).</w:t>
      </w:r>
      <w:r w:rsidR="00744A1C">
        <w:rPr>
          <w:rtl/>
          <w:lang w:bidi="fa-IR"/>
        </w:rPr>
        <w:t xml:space="preserve"> </w:t>
      </w:r>
      <w:r w:rsidR="00744A1C" w:rsidRPr="00460626">
        <w:rPr>
          <w:rtl/>
        </w:rPr>
        <w:t>في الفقيه ،</w:t>
      </w:r>
      <w:r w:rsidR="00744A1C">
        <w:rPr>
          <w:rtl/>
          <w:lang w:bidi="fa-IR"/>
        </w:rPr>
        <w:t xml:space="preserve"> ح 686 : « المساجد بالمدينة » بدل « المشاهد كلّها ».</w:t>
      </w:r>
    </w:p>
    <w:p w:rsidR="00744A1C" w:rsidRDefault="00E378DD" w:rsidP="00E378DD">
      <w:pPr>
        <w:pStyle w:val="libFootnote0"/>
        <w:rPr>
          <w:lang w:bidi="fa-IR"/>
        </w:rPr>
      </w:pPr>
      <w:r>
        <w:rPr>
          <w:rtl/>
          <w:lang w:bidi="fa-IR"/>
        </w:rPr>
        <w:t>(5).</w:t>
      </w:r>
      <w:r w:rsidR="00744A1C">
        <w:rPr>
          <w:rtl/>
          <w:lang w:bidi="fa-IR"/>
        </w:rPr>
        <w:t xml:space="preserve"> في </w:t>
      </w:r>
      <w:r w:rsidR="00744A1C" w:rsidRPr="00460626">
        <w:rPr>
          <w:rtl/>
        </w:rPr>
        <w:t>كامل الزيارات :</w:t>
      </w:r>
      <w:r w:rsidR="00744A1C">
        <w:rPr>
          <w:rtl/>
          <w:lang w:bidi="fa-IR"/>
        </w:rPr>
        <w:t xml:space="preserve"> « ومسجد ».</w:t>
      </w:r>
    </w:p>
    <w:p w:rsidR="00744A1C" w:rsidRDefault="00E378DD" w:rsidP="00E378DD">
      <w:pPr>
        <w:pStyle w:val="libFootnote0"/>
        <w:rPr>
          <w:lang w:bidi="fa-IR"/>
        </w:rPr>
      </w:pPr>
      <w:r>
        <w:rPr>
          <w:rtl/>
          <w:lang w:bidi="fa-IR"/>
        </w:rPr>
        <w:t>(6).</w:t>
      </w:r>
      <w:r w:rsidR="00744A1C">
        <w:rPr>
          <w:rtl/>
          <w:lang w:bidi="fa-IR"/>
        </w:rPr>
        <w:t xml:space="preserve"> إشارة إلى الآية 108 من سورة التوبة </w:t>
      </w:r>
      <w:r w:rsidR="00460626">
        <w:rPr>
          <w:rtl/>
          <w:lang w:bidi="fa-IR"/>
        </w:rPr>
        <w:t>(9)</w:t>
      </w:r>
      <w:r w:rsidR="00744A1C">
        <w:rPr>
          <w:rtl/>
          <w:lang w:bidi="fa-IR"/>
        </w:rPr>
        <w:t xml:space="preserve"> : </w:t>
      </w:r>
      <w:r w:rsidR="00744A1C" w:rsidRPr="00460626">
        <w:rPr>
          <w:rStyle w:val="libFootnoteAlaemChar"/>
          <w:rtl/>
        </w:rPr>
        <w:t>(</w:t>
      </w:r>
      <w:r w:rsidR="00744A1C" w:rsidRPr="00460626">
        <w:rPr>
          <w:rStyle w:val="libFootnoteAieChar"/>
          <w:rtl/>
        </w:rPr>
        <w:t xml:space="preserve"> ل</w:t>
      </w:r>
      <w:r w:rsidR="00460626" w:rsidRPr="00460626">
        <w:rPr>
          <w:rStyle w:val="libFootnoteAieChar"/>
          <w:rFonts w:hint="cs"/>
          <w:rtl/>
        </w:rPr>
        <w:t>َ</w:t>
      </w:r>
      <w:r w:rsidR="00744A1C" w:rsidRPr="00460626">
        <w:rPr>
          <w:rStyle w:val="libFootnoteAieChar"/>
          <w:rtl/>
        </w:rPr>
        <w:t>ا تَقُمْ فِيهِ أَبَداً لَمَسْجِدٌ أُسِّسَ عَلَى التَّقْوى مِنْ أَوَّلِ يَوْمٍ أَحَقُّ أَنْ تَقُومَ فِيهِ</w:t>
      </w:r>
      <w:r w:rsidR="00744A1C">
        <w:rPr>
          <w:rtl/>
          <w:lang w:bidi="fa-IR"/>
        </w:rPr>
        <w:t xml:space="preserve"> </w:t>
      </w:r>
      <w:r w:rsidR="00744A1C" w:rsidRPr="00460626">
        <w:rPr>
          <w:rStyle w:val="libFootnoteAlaemChar"/>
          <w:rtl/>
        </w:rPr>
        <w:t>)</w:t>
      </w:r>
      <w:r w:rsidR="00744A1C">
        <w:rPr>
          <w:rtl/>
          <w:lang w:bidi="fa-IR"/>
        </w:rPr>
        <w:t xml:space="preserve"> الآية.</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المشربة - بفتح الراء وضمّها - : الغرفة والصفّة ، يقال : هو في مشربته ، أي في غرفته ، وعدّها في كتاب مغانم المطابة في معالم طابة للفيروزآبادي صاحب القاموس من المساجد ، قال : ومنها مسجد ا</w:t>
      </w:r>
      <w:r w:rsidR="00460626">
        <w:rPr>
          <w:rFonts w:hint="cs"/>
          <w:rtl/>
          <w:lang w:bidi="fa-IR"/>
        </w:rPr>
        <w:t>ُ</w:t>
      </w:r>
      <w:r w:rsidR="00744A1C">
        <w:rPr>
          <w:rtl/>
          <w:lang w:bidi="fa-IR"/>
        </w:rPr>
        <w:t>مّ ابراهيم الذي يقال له : مشربة ا</w:t>
      </w:r>
      <w:r w:rsidR="005B311C">
        <w:rPr>
          <w:rFonts w:hint="cs"/>
          <w:rtl/>
          <w:lang w:bidi="fa-IR"/>
        </w:rPr>
        <w:t>ُ</w:t>
      </w:r>
      <w:r w:rsidR="00744A1C">
        <w:rPr>
          <w:rtl/>
          <w:lang w:bidi="fa-IR"/>
        </w:rPr>
        <w:t>مّ إبراهيم ، وهو مسجد بقبا شمالي مسجد بني قريظة قريب من الحرّة الشرقيّة في موضع يُعرف بالدشت ، قال : وليس عليه بناء ولا جدار ، وإنّما هو عريصة صغيرة بين نخيل طولها نحو عشرة أذرع ، وعرضها أقلّ منه بنحو ذراع ، وقد حوّط عليها برضم لطيف من الحجارة السود ».</w:t>
      </w:r>
    </w:p>
    <w:p w:rsidR="00744A1C" w:rsidRDefault="005B311C" w:rsidP="00FD655B">
      <w:pPr>
        <w:pStyle w:val="libFootnote0"/>
        <w:rPr>
          <w:lang w:bidi="fa-IR"/>
        </w:rPr>
      </w:pPr>
      <w:r>
        <w:rPr>
          <w:rtl/>
          <w:lang w:bidi="fa-IR"/>
        </w:rPr>
        <w:t>وعن العل</w:t>
      </w:r>
      <w:r>
        <w:rPr>
          <w:rFonts w:hint="cs"/>
          <w:rtl/>
          <w:lang w:bidi="fa-IR"/>
        </w:rPr>
        <w:t>ّ</w:t>
      </w:r>
      <w:r>
        <w:rPr>
          <w:rtl/>
          <w:lang w:bidi="fa-IR"/>
        </w:rPr>
        <w:t>ا</w:t>
      </w:r>
      <w:r w:rsidR="00744A1C">
        <w:rPr>
          <w:rtl/>
          <w:lang w:bidi="fa-IR"/>
        </w:rPr>
        <w:t xml:space="preserve">مة الشعراني </w:t>
      </w:r>
      <w:r w:rsidR="00877682" w:rsidRPr="00877682">
        <w:rPr>
          <w:rStyle w:val="libFootnoteAlaemChar"/>
          <w:rtl/>
        </w:rPr>
        <w:t>رحمه‌الله</w:t>
      </w:r>
      <w:r w:rsidR="00FD655B">
        <w:rPr>
          <w:rStyle w:val="libFootnoteAlaemChar"/>
          <w:rFonts w:hint="cs"/>
          <w:rtl/>
        </w:rPr>
        <w:t xml:space="preserve"> </w:t>
      </w:r>
      <w:r w:rsidR="00744A1C">
        <w:rPr>
          <w:rtl/>
          <w:lang w:bidi="fa-IR"/>
        </w:rPr>
        <w:t xml:space="preserve">في هامش </w:t>
      </w:r>
      <w:r w:rsidR="00744A1C" w:rsidRPr="00C24F9C">
        <w:rPr>
          <w:rStyle w:val="libFootnoteBoldChar"/>
          <w:rtl/>
        </w:rPr>
        <w:t>الوافي</w:t>
      </w:r>
      <w:r w:rsidR="00744A1C">
        <w:rPr>
          <w:rtl/>
          <w:lang w:bidi="fa-IR"/>
        </w:rPr>
        <w:t xml:space="preserve"> : « إنّما سمّيت مشربة امّ إبراهيم ؛ لأنّ ا</w:t>
      </w:r>
      <w:r w:rsidR="00FD655B">
        <w:rPr>
          <w:rFonts w:hint="cs"/>
          <w:rtl/>
          <w:lang w:bidi="fa-IR"/>
        </w:rPr>
        <w:t>ُ</w:t>
      </w:r>
      <w:r w:rsidR="00744A1C">
        <w:rPr>
          <w:rtl/>
          <w:lang w:bidi="fa-IR"/>
        </w:rPr>
        <w:t xml:space="preserve">مّ إبراهيم بن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ولدته فيها ، وكان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أسكن مارية هناك ، ومشربة لغة : الغرفة ، وذرع هذا المسجد من القبلة إلى الشام أحد عشر ذراعاً ، ومن المشرق إلى المغرب نحو أربعة عشر ذراعاً يتّصل به في المشرق سقيفة لطيفة ، قاله السمهودي ، وروي أنّ النبيّ </w:t>
      </w:r>
      <w:r w:rsidR="005E465D" w:rsidRPr="00EE7E5B">
        <w:rPr>
          <w:rStyle w:val="libFootnoteAlaemChar"/>
          <w:rFonts w:eastAsiaTheme="minorHAnsi"/>
          <w:rtl/>
        </w:rPr>
        <w:t>صلى‌الله‌عليه‌وآله</w:t>
      </w:r>
      <w:r w:rsidR="00FD655B" w:rsidRPr="00FD655B">
        <w:rPr>
          <w:rFonts w:eastAsiaTheme="minorHAnsi"/>
          <w:rtl/>
        </w:rPr>
        <w:t xml:space="preserve"> </w:t>
      </w:r>
      <w:r w:rsidR="00744A1C">
        <w:rPr>
          <w:rtl/>
          <w:lang w:bidi="fa-IR"/>
        </w:rPr>
        <w:t>في مشربة امّ إبراهيم وهي من صدقاته ... ».</w:t>
      </w:r>
    </w:p>
    <w:p w:rsidR="00744A1C" w:rsidRDefault="00E378DD" w:rsidP="00E378DD">
      <w:pPr>
        <w:pStyle w:val="libFootnote0"/>
        <w:rPr>
          <w:lang w:bidi="fa-IR"/>
        </w:rPr>
      </w:pPr>
      <w:r>
        <w:rPr>
          <w:rtl/>
          <w:lang w:bidi="fa-IR"/>
        </w:rPr>
        <w:t>(8).</w:t>
      </w:r>
      <w:r w:rsidR="00744A1C">
        <w:rPr>
          <w:rtl/>
          <w:lang w:bidi="fa-IR"/>
        </w:rPr>
        <w:t xml:space="preserve"> في </w:t>
      </w:r>
      <w:r w:rsidR="00744A1C" w:rsidRPr="00877682">
        <w:rPr>
          <w:rStyle w:val="libFootnoteBoldChar"/>
          <w:rtl/>
        </w:rPr>
        <w:t>مرآة العقول</w:t>
      </w:r>
      <w:r w:rsidR="00744A1C">
        <w:rPr>
          <w:rtl/>
          <w:lang w:bidi="fa-IR"/>
        </w:rPr>
        <w:t xml:space="preserve"> ، ج 18 ، ص 274 : « سمّي بذلك : لأنّهم كانوا يفضخون فيه التمر قبل الإسلام ويشدخونه. وذكر الشهيد في </w:t>
      </w:r>
      <w:r w:rsidR="00744A1C" w:rsidRPr="00877682">
        <w:rPr>
          <w:rStyle w:val="libFootnoteBoldChar"/>
          <w:rtl/>
        </w:rPr>
        <w:t>الدروس</w:t>
      </w:r>
      <w:r w:rsidR="00744A1C">
        <w:rPr>
          <w:rtl/>
          <w:lang w:bidi="fa-IR"/>
        </w:rPr>
        <w:t xml:space="preserve"> أنّ هذا المسجد هو الذي ردّت فيه الشمس لعليّ </w:t>
      </w:r>
      <w:r w:rsidR="0061079A" w:rsidRPr="0061079A">
        <w:rPr>
          <w:rStyle w:val="libFootnoteAlaemChar"/>
          <w:rtl/>
        </w:rPr>
        <w:t>عليه‌السلام</w:t>
      </w:r>
      <w:r w:rsidR="00D10E3C">
        <w:rPr>
          <w:rtl/>
          <w:lang w:bidi="fa-IR"/>
        </w:rPr>
        <w:t xml:space="preserve"> </w:t>
      </w:r>
      <w:r w:rsidR="00744A1C">
        <w:rPr>
          <w:rtl/>
          <w:lang w:bidi="fa-IR"/>
        </w:rPr>
        <w:t xml:space="preserve">بالمدينة ». وفي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 مسجد الفضيخ ، مسجد صغير شرقي مسجد قبا على شفير الوادي على نشز من الأرض ، مرضوم بحجارة سود ، وهو مربّع ذرعه بين المشرق والمغرب أحد عشر ذراعاً ، ومن القبلة إلى الشام نحوها ».</w:t>
      </w:r>
    </w:p>
    <w:p w:rsidR="00744A1C" w:rsidRDefault="00E378DD" w:rsidP="00780824">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إنّما سمّي مسجد الأحزاب لأنّ النبيّ </w:t>
      </w:r>
      <w:r w:rsidR="005E465D" w:rsidRPr="00EE7E5B">
        <w:rPr>
          <w:rStyle w:val="libFootnoteAlaemChar"/>
          <w:rFonts w:eastAsiaTheme="minorHAnsi"/>
          <w:rtl/>
        </w:rPr>
        <w:t>صلى‌الله‌عليه‌وآله</w:t>
      </w:r>
      <w:r w:rsidR="00780824" w:rsidRPr="00780824">
        <w:rPr>
          <w:rFonts w:eastAsiaTheme="minorHAnsi"/>
          <w:rtl/>
        </w:rPr>
        <w:t xml:space="preserve"> </w:t>
      </w:r>
      <w:r w:rsidR="00744A1C">
        <w:rPr>
          <w:rtl/>
          <w:lang w:bidi="fa-IR"/>
        </w:rPr>
        <w:t xml:space="preserve">دعا في يوم الأحزاب ، فاستجاب الله له ، وحصل الفتح على يد أمير المؤمنين </w:t>
      </w:r>
      <w:r w:rsidR="0061079A" w:rsidRPr="0061079A">
        <w:rPr>
          <w:rStyle w:val="libFootnoteAlaemChar"/>
          <w:rtl/>
        </w:rPr>
        <w:t>عليه‌السلام</w:t>
      </w:r>
      <w:r w:rsidR="00D10E3C">
        <w:rPr>
          <w:rtl/>
          <w:lang w:bidi="fa-IR"/>
        </w:rPr>
        <w:t xml:space="preserve"> </w:t>
      </w:r>
      <w:r w:rsidR="00744A1C">
        <w:rPr>
          <w:rtl/>
          <w:lang w:bidi="fa-IR"/>
        </w:rPr>
        <w:t>بقتل عمرو بن عبدودّ ، وانهزم الأحزاب ».</w:t>
      </w:r>
    </w:p>
    <w:p w:rsidR="00744A1C" w:rsidRDefault="00E378DD" w:rsidP="00E378DD">
      <w:pPr>
        <w:pStyle w:val="libFootnote0"/>
        <w:rPr>
          <w:lang w:bidi="fa-IR"/>
        </w:rPr>
      </w:pPr>
      <w:r>
        <w:rPr>
          <w:rtl/>
          <w:lang w:bidi="fa-IR"/>
        </w:rPr>
        <w:t>(10).</w:t>
      </w:r>
      <w:r w:rsidR="00744A1C">
        <w:rPr>
          <w:rtl/>
          <w:lang w:bidi="fa-IR"/>
        </w:rPr>
        <w:t xml:space="preserve"> 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xml:space="preserve">: « قال السمهودي : مسجد الفتح والمساجد التي في قبلته </w:t>
      </w:r>
      <w:r w:rsidR="008B14DD">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 وَبَلَغَنَا أَنَّ النَّبِيَّ </w:t>
      </w:r>
      <w:r w:rsidR="0017097C" w:rsidRPr="0017097C">
        <w:rPr>
          <w:rStyle w:val="libAlaemChar"/>
          <w:rtl/>
        </w:rPr>
        <w:t>صلى‌الله‌عليه‌وآله</w:t>
      </w:r>
      <w:r>
        <w:rPr>
          <w:rtl/>
          <w:lang w:bidi="fa-IR"/>
        </w:rPr>
        <w:t xml:space="preserve"> كَانَ إِذَا أَتى قُبُورَ الشُّهَدَاءِ ، قَالَ : السَّلَامُ عَلَيْكُمْ بِمَا صَبَرْتُمْ ، فَنِعْمَ عُقْبَى الدَّارِ ، وَلْيَكُنْ فِيمَا تَقُولُ </w:t>
      </w:r>
      <w:r w:rsidRPr="00D10E3C">
        <w:rPr>
          <w:rStyle w:val="libFootnotenumChar"/>
          <w:rtl/>
        </w:rPr>
        <w:t>(1)</w:t>
      </w:r>
      <w:r>
        <w:rPr>
          <w:rtl/>
          <w:lang w:bidi="fa-IR"/>
        </w:rPr>
        <w:t xml:space="preserve"> عِنْدَ مَسْجِدِ الْفَتْحِ : يَا صَرِيخَ </w:t>
      </w:r>
      <w:r w:rsidRPr="00D10E3C">
        <w:rPr>
          <w:rStyle w:val="libFootnotenumChar"/>
          <w:rtl/>
        </w:rPr>
        <w:t>(2)</w:t>
      </w:r>
      <w:r>
        <w:rPr>
          <w:rtl/>
          <w:lang w:bidi="fa-IR"/>
        </w:rPr>
        <w:t xml:space="preserve"> الْمَكْرُوبِينَ ، وَيَا مُجِيبَ دَعْوَةِ </w:t>
      </w:r>
      <w:r w:rsidRPr="00D10E3C">
        <w:rPr>
          <w:rStyle w:val="libFootnotenumChar"/>
          <w:rtl/>
        </w:rPr>
        <w:t>(3)</w:t>
      </w:r>
      <w:r>
        <w:rPr>
          <w:rtl/>
          <w:lang w:bidi="fa-IR"/>
        </w:rPr>
        <w:t xml:space="preserve"> الْمُضْطَرِّينَ ، اكْشِفْ هَمِّي وَغَمِّي </w:t>
      </w:r>
      <w:r w:rsidRPr="00D10E3C">
        <w:rPr>
          <w:rStyle w:val="libFootnotenumChar"/>
          <w:rtl/>
        </w:rPr>
        <w:t>(4)</w:t>
      </w:r>
      <w:r>
        <w:rPr>
          <w:rtl/>
          <w:lang w:bidi="fa-IR"/>
        </w:rPr>
        <w:t xml:space="preserve"> وَكَرْبِي ، كَمَا كَشَفْتَ عَنْ نَبِيِّكَ هَمَّهُ وَغَمَّهُ </w:t>
      </w:r>
      <w:r w:rsidRPr="00D10E3C">
        <w:rPr>
          <w:rStyle w:val="libFootnotenumChar"/>
          <w:rtl/>
        </w:rPr>
        <w:t>(5)</w:t>
      </w:r>
      <w:r>
        <w:rPr>
          <w:rtl/>
          <w:lang w:bidi="fa-IR"/>
        </w:rPr>
        <w:t xml:space="preserve"> وَكَرْبَهُ ، وَكَفَيْتَهُ هَوْلَ عَدُوِّهِ فِي هذَا الْمَكَانِ ». </w:t>
      </w:r>
      <w:r w:rsidRPr="00D10E3C">
        <w:rPr>
          <w:rStyle w:val="libFootnotenumChar"/>
          <w:rtl/>
        </w:rPr>
        <w:t>(6)</w:t>
      </w:r>
    </w:p>
    <w:p w:rsidR="00144FA6" w:rsidRDefault="00744A1C" w:rsidP="00744A1C">
      <w:pPr>
        <w:pStyle w:val="libNormal"/>
        <w:rPr>
          <w:rtl/>
          <w:lang w:bidi="fa-IR"/>
        </w:rPr>
      </w:pPr>
      <w:r>
        <w:rPr>
          <w:rtl/>
          <w:lang w:bidi="fa-IR"/>
        </w:rPr>
        <w:t>8130 / 2. مُحَمَّدُ بْنُ يَحْيى ، عَنْ مُحَمَّدِ بْنِ الْحُسَيْنِ ، عَنْ مُحَمَّدِ بْنِ عَبْدِ اللهِ بْنِ هِلَالٍ ، عَنْ عُقْبَةَ بْنِ خَالِدٍ ، قَالَ :</w:t>
      </w:r>
    </w:p>
    <w:p w:rsidR="00744A1C" w:rsidRDefault="00744A1C" w:rsidP="00D10E3C">
      <w:pPr>
        <w:pStyle w:val="libLine"/>
        <w:rPr>
          <w:lang w:bidi="fa-IR"/>
        </w:rPr>
      </w:pPr>
      <w:r>
        <w:rPr>
          <w:rtl/>
          <w:lang w:bidi="fa-IR"/>
        </w:rPr>
        <w:t>____________________</w:t>
      </w:r>
    </w:p>
    <w:p w:rsidR="00744A1C" w:rsidRDefault="00780824" w:rsidP="00651167">
      <w:pPr>
        <w:pStyle w:val="libFootnote0"/>
        <w:rPr>
          <w:lang w:bidi="fa-IR"/>
        </w:rPr>
      </w:pPr>
      <w:r>
        <w:rPr>
          <w:rFonts w:hint="cs"/>
          <w:rtl/>
          <w:lang w:bidi="fa-IR"/>
        </w:rPr>
        <w:t xml:space="preserve">= </w:t>
      </w:r>
      <w:r w:rsidR="00744A1C">
        <w:rPr>
          <w:rtl/>
          <w:lang w:bidi="fa-IR"/>
        </w:rPr>
        <w:t xml:space="preserve">وتعرف اليوم كلّها بمساجد الفتح ، والأوّل المرتفع على قطعة من جبل مبلغ في المغرب ، يُصعد عليه بدرجتين شماليّة وشرقيّة ، وهو المراد بمسجد الفتح عند الإطلاق ، ويقال له أيضاً : مسجد الأحزاب ، والمسجد الأعلى. وروي عن جعفر بن محمّد </w:t>
      </w:r>
      <w:r w:rsidR="00F112A7" w:rsidRPr="00CE5A92">
        <w:rPr>
          <w:rStyle w:val="libFootnoteAlaemChar"/>
          <w:rtl/>
        </w:rPr>
        <w:t>عليهما‌السلام</w:t>
      </w:r>
      <w:r w:rsidR="00066F8C" w:rsidRPr="00066F8C">
        <w:rPr>
          <w:rFonts w:hint="cs"/>
          <w:rtl/>
        </w:rPr>
        <w:t xml:space="preserve"> </w:t>
      </w:r>
      <w:r w:rsidR="00744A1C">
        <w:rPr>
          <w:rtl/>
          <w:lang w:bidi="fa-IR"/>
        </w:rPr>
        <w:t xml:space="preserve">عن أبيه : أنّ النبيّ </w:t>
      </w:r>
      <w:r w:rsidR="005E465D" w:rsidRPr="00EE7E5B">
        <w:rPr>
          <w:rStyle w:val="libFootnoteAlaemChar"/>
          <w:rFonts w:eastAsiaTheme="minorHAnsi"/>
          <w:rtl/>
        </w:rPr>
        <w:t>صلى‌الله‌عليه‌وآله</w:t>
      </w:r>
      <w:r w:rsidR="00651167" w:rsidRPr="00066F8C">
        <w:rPr>
          <w:rFonts w:eastAsiaTheme="minorHAnsi"/>
          <w:rtl/>
        </w:rPr>
        <w:t xml:space="preserve"> </w:t>
      </w:r>
      <w:r w:rsidR="00744A1C">
        <w:rPr>
          <w:rtl/>
          <w:lang w:bidi="fa-IR"/>
        </w:rPr>
        <w:t xml:space="preserve">دخل مسجد الفتح ، فخطا خطوة ثمّ الخطوة الثانية ، ثمّ قام ورفع يديه إلى الله تعالى حتّى رُئي بياض إبطيه ، فدعا إلى الله حتّى سقط رداؤه عن ظهره ، فلم يرفعه حتّى دعا كثيراً. وتسمية هذا المسجد بمسجد الفتح لأنّ الاستجابة وقعت به ، وجاء حذيفة بخبر رجوع الأحزاب ليلاً به ، فأصبح رسول الله </w:t>
      </w:r>
      <w:r w:rsidR="005E465D" w:rsidRPr="00EE7E5B">
        <w:rPr>
          <w:rStyle w:val="libFootnoteAlaemChar"/>
          <w:rFonts w:eastAsiaTheme="minorHAnsi"/>
          <w:rtl/>
        </w:rPr>
        <w:t>صلى‌الله‌عليه‌وآله</w:t>
      </w:r>
      <w:r w:rsidR="00066F8C" w:rsidRPr="00066F8C">
        <w:rPr>
          <w:rFonts w:eastAsiaTheme="minorHAnsi"/>
          <w:rtl/>
        </w:rPr>
        <w:t xml:space="preserve"> </w:t>
      </w:r>
      <w:r w:rsidR="00744A1C">
        <w:rPr>
          <w:rtl/>
          <w:lang w:bidi="fa-IR"/>
        </w:rPr>
        <w:t>والمسلمون قد فتح الله عزّ وجلّ لهم ، ونصرهم وأقرّ أعينهم. وقول ابن جبير : إنّ سورة الفتح ا</w:t>
      </w:r>
      <w:r w:rsidR="007E3924">
        <w:rPr>
          <w:rFonts w:hint="cs"/>
          <w:rtl/>
          <w:lang w:bidi="fa-IR"/>
        </w:rPr>
        <w:t>ُ</w:t>
      </w:r>
      <w:r w:rsidR="00744A1C">
        <w:rPr>
          <w:rtl/>
          <w:lang w:bidi="fa-IR"/>
        </w:rPr>
        <w:t>نزلت به ، لا أصل له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يقول ».</w:t>
      </w:r>
    </w:p>
    <w:p w:rsidR="00744A1C" w:rsidRDefault="00E378DD" w:rsidP="007E3924">
      <w:pPr>
        <w:pStyle w:val="libFootnote0"/>
        <w:rPr>
          <w:lang w:bidi="fa-IR"/>
        </w:rPr>
      </w:pPr>
      <w:r>
        <w:rPr>
          <w:rtl/>
          <w:lang w:bidi="fa-IR"/>
        </w:rPr>
        <w:t>(2).</w:t>
      </w:r>
      <w:r w:rsidR="00744A1C">
        <w:rPr>
          <w:rtl/>
          <w:lang w:bidi="fa-IR"/>
        </w:rPr>
        <w:t xml:space="preserve"> الصَريخ والصارخ : المستغيث وال</w:t>
      </w:r>
      <w:r w:rsidR="00126783">
        <w:rPr>
          <w:rFonts w:hint="cs"/>
          <w:rtl/>
          <w:lang w:bidi="fa-IR"/>
        </w:rPr>
        <w:t>ـ</w:t>
      </w:r>
      <w:r w:rsidR="00744A1C">
        <w:rPr>
          <w:rtl/>
          <w:lang w:bidi="fa-IR"/>
        </w:rPr>
        <w:t xml:space="preserve">مُغيث ، من الأضداد. راجع : </w:t>
      </w:r>
      <w:r w:rsidR="00744A1C" w:rsidRPr="00877682">
        <w:rPr>
          <w:rStyle w:val="libFootnoteBoldChar"/>
          <w:rtl/>
        </w:rPr>
        <w:t>لسان العرب</w:t>
      </w:r>
      <w:r w:rsidR="00744A1C">
        <w:rPr>
          <w:rtl/>
          <w:lang w:bidi="fa-IR"/>
        </w:rPr>
        <w:t xml:space="preserve"> ، ج 3 ، ص 33 ؛ </w:t>
      </w:r>
      <w:r w:rsidR="00744A1C" w:rsidRPr="008A57EB">
        <w:rPr>
          <w:rStyle w:val="libFootnoteBoldChar"/>
          <w:rtl/>
        </w:rPr>
        <w:t>القاموس المحيط</w:t>
      </w:r>
      <w:r w:rsidR="00744A1C">
        <w:rPr>
          <w:rtl/>
          <w:lang w:bidi="fa-IR"/>
        </w:rPr>
        <w:t xml:space="preserve"> ، ج 1 ، ص 378 ( صرخ ).</w:t>
      </w:r>
      <w:r w:rsidR="007E3924">
        <w:rPr>
          <w:rFonts w:hint="cs"/>
          <w:rtl/>
          <w:lang w:bidi="fa-IR"/>
        </w:rPr>
        <w:t xml:space="preserve">              </w:t>
      </w:r>
      <w:r>
        <w:rPr>
          <w:rtl/>
          <w:lang w:bidi="fa-IR"/>
        </w:rPr>
        <w:t>(3).</w:t>
      </w:r>
      <w:r w:rsidR="00744A1C">
        <w:rPr>
          <w:rtl/>
          <w:lang w:bidi="fa-IR"/>
        </w:rPr>
        <w:t xml:space="preserve"> في « بث ، بح » : - « دعوة ».</w:t>
      </w:r>
    </w:p>
    <w:p w:rsidR="00744A1C" w:rsidRDefault="00E378DD" w:rsidP="00E378DD">
      <w:pPr>
        <w:pStyle w:val="libFootnote0"/>
        <w:rPr>
          <w:lang w:bidi="fa-IR"/>
        </w:rPr>
      </w:pPr>
      <w:r>
        <w:rPr>
          <w:rtl/>
          <w:lang w:bidi="fa-IR"/>
        </w:rPr>
        <w:t>(4).</w:t>
      </w:r>
      <w:r w:rsidR="00744A1C">
        <w:rPr>
          <w:rtl/>
          <w:lang w:bidi="fa-IR"/>
        </w:rPr>
        <w:t xml:space="preserve"> في « ى ، بث ، بخ ، بس ، بف ، جن » و</w:t>
      </w:r>
      <w:r w:rsidR="00744A1C" w:rsidRPr="00C24F9C">
        <w:rPr>
          <w:rStyle w:val="libFootnoteBoldChar"/>
          <w:rtl/>
        </w:rPr>
        <w:t>الوافي</w:t>
      </w:r>
      <w:r w:rsidR="00744A1C">
        <w:rPr>
          <w:rtl/>
          <w:lang w:bidi="fa-IR"/>
        </w:rPr>
        <w:t xml:space="preserve"> : « غمّي وهمّي ».</w:t>
      </w:r>
    </w:p>
    <w:p w:rsidR="00744A1C" w:rsidRDefault="00E378DD" w:rsidP="00E378DD">
      <w:pPr>
        <w:pStyle w:val="libFootnote0"/>
        <w:rPr>
          <w:lang w:bidi="fa-IR"/>
        </w:rPr>
      </w:pPr>
      <w:r>
        <w:rPr>
          <w:rtl/>
          <w:lang w:bidi="fa-IR"/>
        </w:rPr>
        <w:t>(5).</w:t>
      </w:r>
      <w:r w:rsidR="00744A1C">
        <w:rPr>
          <w:rtl/>
          <w:lang w:bidi="fa-IR"/>
        </w:rPr>
        <w:t xml:space="preserve"> في « بف » و</w:t>
      </w:r>
      <w:r w:rsidR="00744A1C" w:rsidRPr="00C24F9C">
        <w:rPr>
          <w:rStyle w:val="libFootnoteBoldChar"/>
          <w:rtl/>
        </w:rPr>
        <w:t>الوافي</w:t>
      </w:r>
      <w:r w:rsidR="00744A1C">
        <w:rPr>
          <w:rtl/>
          <w:lang w:bidi="fa-IR"/>
        </w:rPr>
        <w:t xml:space="preserve"> : « غمّه وهمّه ».</w:t>
      </w:r>
    </w:p>
    <w:p w:rsidR="00744A1C" w:rsidRDefault="00E378DD" w:rsidP="00126783">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17 ، ح 38 ، معلّقاً عن الكليني ؛ </w:t>
      </w:r>
      <w:r w:rsidR="00744A1C" w:rsidRPr="007B299E">
        <w:rPr>
          <w:rStyle w:val="libFootnoteBoldChar"/>
          <w:rtl/>
        </w:rPr>
        <w:t>كامل الزيارات</w:t>
      </w:r>
      <w:r w:rsidR="00744A1C">
        <w:rPr>
          <w:rtl/>
          <w:lang w:bidi="fa-IR"/>
        </w:rPr>
        <w:t xml:space="preserve"> ، ص 24 ، الباب 6 ، ح 1 ، عن محمّد بن يعقوب [ الكليني ] ، وبسند آخر عن صفوان بن يحيى وابن أبي عمير وفضالة بن أيّوب جميعاً ، عن معاوية بن عمّار. وفيه ، ح 3 ، بسنده عن صفوان بن يحيى وفضالة بن أيّوب جميعاً ، عن معاوية بن عمّار. </w:t>
      </w:r>
      <w:r w:rsidR="00744A1C" w:rsidRPr="00C24F9C">
        <w:rPr>
          <w:rStyle w:val="libFootnoteBoldChar"/>
          <w:rtl/>
        </w:rPr>
        <w:t>الفقيه</w:t>
      </w:r>
      <w:r w:rsidR="00744A1C">
        <w:rPr>
          <w:rtl/>
          <w:lang w:bidi="fa-IR"/>
        </w:rPr>
        <w:t xml:space="preserve"> ، ج 1 ، ص 229 ، ذيل ح 686 ، وفي الأخيرين إلى قوله : « مسجد الأحزاب وهو مسجد الفتح ». </w:t>
      </w:r>
      <w:r w:rsidR="00744A1C" w:rsidRPr="00C24F9C">
        <w:rPr>
          <w:rStyle w:val="libFootnoteBoldChar"/>
          <w:rtl/>
        </w:rPr>
        <w:t>الفقيه</w:t>
      </w:r>
      <w:r w:rsidR="00744A1C">
        <w:rPr>
          <w:rtl/>
          <w:lang w:bidi="fa-IR"/>
        </w:rPr>
        <w:t xml:space="preserve"> ، ج 2 ، ص 574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 الثلاثة الأخيرة مع اختلاف يسير. راجع : </w:t>
      </w:r>
      <w:r w:rsidR="00744A1C" w:rsidRPr="0061079A">
        <w:rPr>
          <w:rStyle w:val="libFootnoteBoldChar"/>
          <w:rtl/>
        </w:rPr>
        <w:t>الكافي</w:t>
      </w:r>
      <w:r w:rsidR="00744A1C">
        <w:rPr>
          <w:rtl/>
          <w:lang w:bidi="fa-IR"/>
        </w:rPr>
        <w:t xml:space="preserve"> ، كتاب الصلاة ، باب بناء مسجد النبيّ </w:t>
      </w:r>
      <w:r w:rsidR="005E465D" w:rsidRPr="00EE7E5B">
        <w:rPr>
          <w:rStyle w:val="libFootnoteAlaemChar"/>
          <w:rFonts w:eastAsiaTheme="minorHAnsi"/>
          <w:rtl/>
        </w:rPr>
        <w:t>صلى‌الله‌عليه‌وآله</w:t>
      </w:r>
      <w:r w:rsidR="00126783" w:rsidRPr="00066F8C">
        <w:rPr>
          <w:rFonts w:eastAsiaTheme="minorHAnsi"/>
          <w:rtl/>
        </w:rPr>
        <w:t xml:space="preserve"> </w:t>
      </w:r>
      <w:r w:rsidR="00744A1C">
        <w:rPr>
          <w:rtl/>
          <w:lang w:bidi="fa-IR"/>
        </w:rPr>
        <w:t xml:space="preserve">، ح 4904 ؛ </w:t>
      </w:r>
      <w:r w:rsidR="00744A1C" w:rsidRPr="0061079A">
        <w:rPr>
          <w:rStyle w:val="libFootnoteBoldChar"/>
          <w:rtl/>
        </w:rPr>
        <w:t>والتهذيب</w:t>
      </w:r>
      <w:r w:rsidR="00744A1C">
        <w:rPr>
          <w:rtl/>
          <w:lang w:bidi="fa-IR"/>
        </w:rPr>
        <w:t xml:space="preserve"> ، ج 3 ، ص 261 ، ح 736 ؛ و</w:t>
      </w:r>
      <w:r w:rsidR="00744A1C" w:rsidRPr="00A914B5">
        <w:rPr>
          <w:rStyle w:val="libFootnoteBoldChar"/>
          <w:rtl/>
        </w:rPr>
        <w:t>تفسير العيّاشي</w:t>
      </w:r>
      <w:r w:rsidR="00744A1C">
        <w:rPr>
          <w:rtl/>
          <w:lang w:bidi="fa-IR"/>
        </w:rPr>
        <w:t xml:space="preserve"> ، ج 2 ، ص 111 ، ح 135 و 136 </w:t>
      </w:r>
      <w:r w:rsidR="00126783">
        <w:rPr>
          <w:rFonts w:hint="cs"/>
          <w:rtl/>
          <w:lang w:bidi="fa-IR"/>
        </w:rPr>
        <w:t>.</w:t>
      </w:r>
      <w:r w:rsidR="00744A1C" w:rsidRPr="00C24F9C">
        <w:rPr>
          <w:rStyle w:val="libFootnoteBoldChar"/>
          <w:rtl/>
        </w:rPr>
        <w:t>الوافي</w:t>
      </w:r>
      <w:r w:rsidR="00744A1C">
        <w:rPr>
          <w:rtl/>
          <w:lang w:bidi="fa-IR"/>
        </w:rPr>
        <w:t xml:space="preserve"> ، ج 14 ، ص 1385 ، ح 14425 ؛ </w:t>
      </w:r>
      <w:r w:rsidR="00744A1C" w:rsidRPr="00C24F9C">
        <w:rPr>
          <w:rStyle w:val="libFootnoteBoldChar"/>
          <w:rtl/>
        </w:rPr>
        <w:t>الوسائل</w:t>
      </w:r>
      <w:r w:rsidR="00744A1C">
        <w:rPr>
          <w:rtl/>
          <w:lang w:bidi="fa-IR"/>
        </w:rPr>
        <w:t xml:space="preserve"> ، ج 14 ، ص 352 ، ح 19373 ؛ وفيه ، ج 5 ، ص 285 ، ح 6562 ، إلى قوله : « مسجد الأحزاب وهو مسجد الفتح » ؛ </w:t>
      </w:r>
      <w:r w:rsidR="00744A1C" w:rsidRPr="0061079A">
        <w:rPr>
          <w:rStyle w:val="libFootnoteBoldChar"/>
          <w:rtl/>
        </w:rPr>
        <w:t>البحار</w:t>
      </w:r>
      <w:r w:rsidR="00744A1C">
        <w:rPr>
          <w:rtl/>
          <w:lang w:bidi="fa-IR"/>
        </w:rPr>
        <w:t xml:space="preserve"> ، ج 21 ، ص 256 ، ح 2 ، إلى قوله : « ا</w:t>
      </w:r>
      <w:r w:rsidR="00126783">
        <w:rPr>
          <w:rFonts w:hint="cs"/>
          <w:rtl/>
          <w:lang w:bidi="fa-IR"/>
        </w:rPr>
        <w:t>ُ</w:t>
      </w:r>
      <w:r w:rsidR="00744A1C">
        <w:rPr>
          <w:rtl/>
          <w:lang w:bidi="fa-IR"/>
        </w:rPr>
        <w:t>سّس على التقوى من أوّل يوم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 أَنَّا نَأْتِي الْمَسَاجِدَ </w:t>
      </w:r>
      <w:r w:rsidRPr="00D10E3C">
        <w:rPr>
          <w:rStyle w:val="libFootnotenumChar"/>
          <w:rtl/>
        </w:rPr>
        <w:t>(1)</w:t>
      </w:r>
      <w:r>
        <w:rPr>
          <w:rtl/>
          <w:lang w:bidi="fa-IR"/>
        </w:rPr>
        <w:t xml:space="preserve"> الَّتِي حَوْلَ الْمَدِينَةِ ، فَبِأَيِّهَا أَبْدَأُ؟</w:t>
      </w:r>
    </w:p>
    <w:p w:rsidR="00744A1C" w:rsidRDefault="00744A1C" w:rsidP="00126783">
      <w:pPr>
        <w:pStyle w:val="libNormal"/>
        <w:rPr>
          <w:lang w:bidi="fa-IR"/>
        </w:rPr>
      </w:pPr>
      <w:r>
        <w:rPr>
          <w:rtl/>
          <w:lang w:bidi="fa-IR"/>
        </w:rPr>
        <w:t xml:space="preserve">فَقَالَ : « ابْدَأْ بِقُباءَ ، فَصَلِّ فِيهِ ، وَأَكْثِرْ ؛ فَإِنَّهُ أَوَّلُ مَسْجِدٍ صَلّى فِيهِ رَسُولُ اللهِ </w:t>
      </w:r>
      <w:r w:rsidR="005E465D" w:rsidRPr="005E465D">
        <w:rPr>
          <w:rStyle w:val="libAlaemChar"/>
          <w:rFonts w:eastAsiaTheme="minorHAnsi"/>
          <w:rtl/>
        </w:rPr>
        <w:t>صلى‌الله‌عليه‌وآله</w:t>
      </w:r>
      <w:r w:rsidR="00126783" w:rsidRPr="00126783">
        <w:rPr>
          <w:rFonts w:eastAsiaTheme="minorHAnsi"/>
          <w:rtl/>
        </w:rPr>
        <w:t xml:space="preserve"> </w:t>
      </w:r>
      <w:r>
        <w:rPr>
          <w:rtl/>
          <w:lang w:bidi="fa-IR"/>
        </w:rPr>
        <w:t xml:space="preserve">فِي هذِهِ الْعَرْصَةِ ، ثُمَّ ائْتِ مَشْرَبَةَ أُمِّ إِبْرَاهِيمَ ، فَصَلِّ فِيهَا </w:t>
      </w:r>
      <w:r w:rsidRPr="00D10E3C">
        <w:rPr>
          <w:rStyle w:val="libFootnotenumChar"/>
          <w:rtl/>
        </w:rPr>
        <w:t>(2)</w:t>
      </w:r>
      <w:r>
        <w:rPr>
          <w:rtl/>
          <w:lang w:bidi="fa-IR"/>
        </w:rPr>
        <w:t xml:space="preserve"> ، وَهِيَ </w:t>
      </w:r>
      <w:r w:rsidRPr="00D10E3C">
        <w:rPr>
          <w:rStyle w:val="libFootnotenumChar"/>
          <w:rtl/>
        </w:rPr>
        <w:t>(3)</w:t>
      </w:r>
      <w:r>
        <w:rPr>
          <w:rtl/>
          <w:lang w:bidi="fa-IR"/>
        </w:rPr>
        <w:t xml:space="preserve"> مَسْكَنُ رَسُولِ اللهِ </w:t>
      </w:r>
      <w:r w:rsidR="005E465D" w:rsidRPr="005E465D">
        <w:rPr>
          <w:rStyle w:val="libAlaemChar"/>
          <w:rFonts w:eastAsiaTheme="minorHAnsi"/>
          <w:rtl/>
        </w:rPr>
        <w:t>صلى‌الله‌عليه‌وآله</w:t>
      </w:r>
      <w:r w:rsidR="00126783" w:rsidRPr="00126783">
        <w:rPr>
          <w:rFonts w:eastAsiaTheme="minorHAnsi"/>
          <w:rtl/>
        </w:rPr>
        <w:t xml:space="preserve"> </w:t>
      </w:r>
      <w:r w:rsidR="00126783">
        <w:rPr>
          <w:rtl/>
          <w:lang w:bidi="fa-IR"/>
        </w:rPr>
        <w:t>وَمُصَل</w:t>
      </w:r>
      <w:r w:rsidR="00126783">
        <w:rPr>
          <w:rFonts w:hint="cs"/>
          <w:rtl/>
          <w:lang w:bidi="fa-IR"/>
        </w:rPr>
        <w:t>َّ</w:t>
      </w:r>
      <w:r w:rsidR="00126783">
        <w:rPr>
          <w:rtl/>
          <w:lang w:bidi="fa-IR"/>
        </w:rPr>
        <w:t>ا</w:t>
      </w:r>
      <w:r>
        <w:rPr>
          <w:rtl/>
          <w:lang w:bidi="fa-IR"/>
        </w:rPr>
        <w:t xml:space="preserve">هُ ، ثُمَّ تَأْتِي مَسْجِدَ الْفَضِيخِ ، فَتُصَلِّي فِيهِ </w:t>
      </w:r>
      <w:r w:rsidRPr="00D10E3C">
        <w:rPr>
          <w:rStyle w:val="libFootnotenumChar"/>
          <w:rtl/>
        </w:rPr>
        <w:t>(4)</w:t>
      </w:r>
      <w:r>
        <w:rPr>
          <w:rtl/>
          <w:lang w:bidi="fa-IR"/>
        </w:rPr>
        <w:t xml:space="preserve"> ، فَقَدْ صَلّى فِيهِ نَبِيُّكَ.</w:t>
      </w:r>
    </w:p>
    <w:p w:rsidR="00744A1C" w:rsidRDefault="00744A1C" w:rsidP="00744A1C">
      <w:pPr>
        <w:pStyle w:val="libNormal"/>
        <w:rPr>
          <w:lang w:bidi="fa-IR"/>
        </w:rPr>
      </w:pPr>
      <w:r>
        <w:rPr>
          <w:rtl/>
          <w:lang w:bidi="fa-IR"/>
        </w:rPr>
        <w:t xml:space="preserve">فَإِذَا قَضَيْتَ </w:t>
      </w:r>
      <w:r w:rsidRPr="00D10E3C">
        <w:rPr>
          <w:rStyle w:val="libFootnotenumChar"/>
          <w:rtl/>
        </w:rPr>
        <w:t>(5)</w:t>
      </w:r>
      <w:r>
        <w:rPr>
          <w:rtl/>
          <w:lang w:bidi="fa-IR"/>
        </w:rPr>
        <w:t xml:space="preserve"> هذَا الْجَانِبَ ، أَتَيْتَ </w:t>
      </w:r>
      <w:r w:rsidRPr="00D10E3C">
        <w:rPr>
          <w:rStyle w:val="libFootnotenumChar"/>
          <w:rtl/>
        </w:rPr>
        <w:t>(6)</w:t>
      </w:r>
      <w:r>
        <w:rPr>
          <w:rtl/>
          <w:lang w:bidi="fa-IR"/>
        </w:rPr>
        <w:t xml:space="preserve"> جَانِبَ أُحُدٍ ، فَبَدَأْتَ بِالْمَسْجِدِ الَّذِي دُونَ‌ الْحَرَّةِ </w:t>
      </w:r>
      <w:r w:rsidRPr="00D10E3C">
        <w:rPr>
          <w:rStyle w:val="libFootnotenumChar"/>
          <w:rtl/>
        </w:rPr>
        <w:t>(7)</w:t>
      </w:r>
      <w:r>
        <w:rPr>
          <w:rtl/>
          <w:lang w:bidi="fa-IR"/>
        </w:rPr>
        <w:t xml:space="preserve"> ، فَصَلَّيْتَ فِيهِ ، ثُمَّ مَرَرْتَ بِقَبْرِ حَمْزَةَ بْنِ عَبْدِ الْمُطَّلِبِ ، فَسَلَّمْتَ عَلَيْهِ ، ثُمَّ مَرَرْتَ بِقُبُورِ الشُّهَدَاءِ ، فَقُمْتَ </w:t>
      </w:r>
      <w:r w:rsidRPr="00D10E3C">
        <w:rPr>
          <w:rStyle w:val="libFootnotenumChar"/>
          <w:rtl/>
        </w:rPr>
        <w:t>(8)</w:t>
      </w:r>
      <w:r>
        <w:rPr>
          <w:rtl/>
          <w:lang w:bidi="fa-IR"/>
        </w:rPr>
        <w:t xml:space="preserve"> عِنْدَهُمْ ، فَقُلْتَ : السَّلَامُ عَلَيْكُمْ يَا أَهْلَ الدِّيَارِ ، أَنْتُمْ لَنَا فَرَطٌ ، وَإِنَّا بِكُمْ لَاحِقُونَ.</w:t>
      </w:r>
    </w:p>
    <w:p w:rsidR="00744A1C" w:rsidRDefault="00744A1C" w:rsidP="00744A1C">
      <w:pPr>
        <w:pStyle w:val="libNormal"/>
        <w:rPr>
          <w:lang w:bidi="fa-IR"/>
        </w:rPr>
      </w:pPr>
      <w:r>
        <w:rPr>
          <w:rtl/>
          <w:lang w:bidi="fa-IR"/>
        </w:rPr>
        <w:t xml:space="preserve">ثُمَّ تَأْتِي الْمَسْجِدَ الَّذِي كَانَ </w:t>
      </w:r>
      <w:r w:rsidRPr="00D10E3C">
        <w:rPr>
          <w:rStyle w:val="libFootnotenumChar"/>
          <w:rtl/>
        </w:rPr>
        <w:t>(9)</w:t>
      </w:r>
      <w:r>
        <w:rPr>
          <w:rtl/>
          <w:lang w:bidi="fa-IR"/>
        </w:rPr>
        <w:t xml:space="preserve"> فِي الْمَكَانِ الْوَاسِعِ إِلى جَنْبِ الْجَبَلِ عَنْ يَمِينِكَ حِينَ تَدْخُلُ </w:t>
      </w:r>
      <w:r w:rsidRPr="00D10E3C">
        <w:rPr>
          <w:rStyle w:val="libFootnotenumChar"/>
          <w:rtl/>
        </w:rPr>
        <w:t>(10)</w:t>
      </w:r>
      <w:r>
        <w:rPr>
          <w:rtl/>
          <w:lang w:bidi="fa-IR"/>
        </w:rPr>
        <w:t xml:space="preserve"> أُحُداً ، فَتُصَلِّي </w:t>
      </w:r>
      <w:r w:rsidRPr="00D10E3C">
        <w:rPr>
          <w:rStyle w:val="libFootnotenumChar"/>
          <w:rtl/>
        </w:rPr>
        <w:t>(11)</w:t>
      </w:r>
      <w:r>
        <w:rPr>
          <w:rtl/>
          <w:lang w:bidi="fa-IR"/>
        </w:rPr>
        <w:t xml:space="preserve"> فِيهِ ، فَعِنْدَهُ خَرَجَ النَّبِيُّ </w:t>
      </w:r>
      <w:r w:rsidR="0061079A" w:rsidRPr="0061079A">
        <w:rPr>
          <w:rStyle w:val="libAlaemChar"/>
          <w:rtl/>
        </w:rPr>
        <w:t>صلى‌الله‌عليه‌وآله</w:t>
      </w:r>
      <w:r w:rsidR="00D10E3C">
        <w:rPr>
          <w:rtl/>
          <w:lang w:bidi="fa-IR"/>
        </w:rPr>
        <w:t xml:space="preserve"> </w:t>
      </w:r>
      <w:r>
        <w:rPr>
          <w:rtl/>
          <w:lang w:bidi="fa-IR"/>
        </w:rPr>
        <w:t xml:space="preserve">إِلى أُحُدٍ حِينَ لَقِيَ الْمُشْرِكِينَ ، فَلَمْ يَبْرَحُوا حَتّى حَضَرَتِ الصَّلَاةُ ، فَصَلّى </w:t>
      </w:r>
      <w:r w:rsidRPr="00D10E3C">
        <w:rPr>
          <w:rStyle w:val="libFootnotenumChar"/>
          <w:rtl/>
        </w:rPr>
        <w:t>(12)</w:t>
      </w:r>
      <w:r>
        <w:rPr>
          <w:rtl/>
          <w:lang w:bidi="fa-IR"/>
        </w:rPr>
        <w:t xml:space="preserve"> فِيهِ ، ثُمَّ مُرَّ أَيْضاً حَتّى تَرْجِعَ ، فَتُصَلِّيَ </w:t>
      </w:r>
      <w:r w:rsidRPr="00D10E3C">
        <w:rPr>
          <w:rStyle w:val="libFootnotenumChar"/>
          <w:rtl/>
        </w:rPr>
        <w:t>(13)</w:t>
      </w:r>
      <w:r>
        <w:rPr>
          <w:rtl/>
          <w:lang w:bidi="fa-IR"/>
        </w:rPr>
        <w:t xml:space="preserve"> عِنْدَ قُبُورِ الشُّهَدَاءِ مَا كَتَبَ اللهُ لَكَ.</w:t>
      </w:r>
    </w:p>
    <w:p w:rsidR="00744A1C" w:rsidRDefault="00744A1C" w:rsidP="00D10E3C">
      <w:pPr>
        <w:pStyle w:val="libLine"/>
        <w:rPr>
          <w:lang w:bidi="fa-IR"/>
        </w:rPr>
      </w:pPr>
      <w:r>
        <w:rPr>
          <w:rtl/>
          <w:lang w:bidi="fa-IR"/>
        </w:rPr>
        <w:t>____________________</w:t>
      </w:r>
    </w:p>
    <w:p w:rsidR="00744A1C" w:rsidRDefault="00D10E3C" w:rsidP="00250274">
      <w:pPr>
        <w:pStyle w:val="libFootnote0"/>
        <w:rPr>
          <w:lang w:bidi="fa-IR"/>
        </w:rPr>
      </w:pPr>
      <w:r>
        <w:rPr>
          <w:rtl/>
          <w:lang w:bidi="fa-IR"/>
        </w:rPr>
        <w:t>(1).</w:t>
      </w:r>
      <w:r w:rsidR="00744A1C">
        <w:rPr>
          <w:rtl/>
          <w:lang w:bidi="fa-IR"/>
        </w:rPr>
        <w:t xml:space="preserve"> عن المحقّق الشعراني </w:t>
      </w:r>
      <w:r w:rsidR="00877682" w:rsidRPr="00877682">
        <w:rPr>
          <w:rStyle w:val="libFootnoteAlaemChar"/>
          <w:rtl/>
        </w:rPr>
        <w:t>رحمه‌الله</w:t>
      </w:r>
      <w:r w:rsidR="00250274">
        <w:rPr>
          <w:rStyle w:val="libFootnoteAlaemChar"/>
          <w:rFonts w:hint="cs"/>
          <w:rtl/>
        </w:rPr>
        <w:t xml:space="preserve"> </w:t>
      </w:r>
      <w:r w:rsidR="00744A1C">
        <w:rPr>
          <w:rtl/>
          <w:lang w:bidi="fa-IR"/>
        </w:rPr>
        <w:t xml:space="preserve">في هامش </w:t>
      </w:r>
      <w:r w:rsidR="00744A1C" w:rsidRPr="00C24F9C">
        <w:rPr>
          <w:rStyle w:val="libFootnoteBoldChar"/>
          <w:rtl/>
        </w:rPr>
        <w:t>الوافي</w:t>
      </w:r>
      <w:r w:rsidR="00250274">
        <w:rPr>
          <w:rtl/>
          <w:lang w:bidi="fa-IR"/>
        </w:rPr>
        <w:t xml:space="preserve"> : « كانت المساجد كثيرة إل</w:t>
      </w:r>
      <w:r w:rsidR="00250274">
        <w:rPr>
          <w:rFonts w:hint="cs"/>
          <w:rtl/>
          <w:lang w:bidi="fa-IR"/>
        </w:rPr>
        <w:t>ّ</w:t>
      </w:r>
      <w:r w:rsidR="00250274">
        <w:rPr>
          <w:rtl/>
          <w:lang w:bidi="fa-IR"/>
        </w:rPr>
        <w:t>ا</w:t>
      </w:r>
      <w:r w:rsidR="00744A1C">
        <w:rPr>
          <w:rtl/>
          <w:lang w:bidi="fa-IR"/>
        </w:rPr>
        <w:t xml:space="preserve"> أنّ آثارها غير باقية إلى الآن ، ولا يعرف موضعها ، وذكر السمهودي ما عرف منها في زمانه ، وهو في مائة العاشر ، وذكر أيضاً ما كان يعرف جهته ولم يعرف عينه. ولا ريب في استحباب زيارة الآثار النبويّة ، سواء كان مسجداً أو بئراً أو مشهداً وغير ذلك. وما روي أنّهم غيّروا آثار رسول الله </w:t>
      </w:r>
      <w:r w:rsidR="005E465D" w:rsidRPr="00EE7E5B">
        <w:rPr>
          <w:rStyle w:val="libFootnoteAlaemChar"/>
          <w:rFonts w:eastAsiaTheme="minorHAnsi"/>
          <w:rtl/>
        </w:rPr>
        <w:t>صلى‌الله‌عليه‌وآله</w:t>
      </w:r>
      <w:r w:rsidR="00250274" w:rsidRPr="00126783">
        <w:rPr>
          <w:rFonts w:eastAsiaTheme="minorHAnsi"/>
          <w:rtl/>
        </w:rPr>
        <w:t xml:space="preserve"> </w:t>
      </w:r>
      <w:r w:rsidR="00744A1C">
        <w:rPr>
          <w:rtl/>
          <w:lang w:bidi="fa-IR"/>
        </w:rPr>
        <w:t>فليس معناه أنّهم غيّروا كلّ شي‌ء منه حتّى مكانه ، بل أنّهم غيّروا كيفيّاته وبعض خصوصيّاته ؛ إذ لا يمكن نسيان الأثر بالمرّة في مائة وخمسين سنة ، وأمّا في مثل زماننا فيمكن خفاء كثير منها بعد طول المدّة ».</w:t>
      </w:r>
    </w:p>
    <w:p w:rsidR="00744A1C" w:rsidRDefault="00E378DD" w:rsidP="00E378DD">
      <w:pPr>
        <w:pStyle w:val="libFootnote0"/>
        <w:rPr>
          <w:lang w:bidi="fa-IR"/>
        </w:rPr>
      </w:pPr>
      <w:r>
        <w:rPr>
          <w:rtl/>
          <w:lang w:bidi="fa-IR"/>
        </w:rPr>
        <w:t>(2).</w:t>
      </w:r>
      <w:r w:rsidR="00744A1C">
        <w:rPr>
          <w:rtl/>
          <w:lang w:bidi="fa-IR"/>
        </w:rPr>
        <w:t xml:space="preserve"> في </w:t>
      </w:r>
      <w:r w:rsidR="00744A1C" w:rsidRPr="0061079A">
        <w:rPr>
          <w:rStyle w:val="libFootnoteBoldChar"/>
          <w:rtl/>
        </w:rPr>
        <w:t>البحار</w:t>
      </w:r>
      <w:r w:rsidR="00744A1C">
        <w:rPr>
          <w:rtl/>
          <w:lang w:bidi="fa-IR"/>
        </w:rPr>
        <w:t xml:space="preserve"> ، ج 22 : - « فصلّ فيها ».</w:t>
      </w:r>
    </w:p>
    <w:p w:rsidR="00744A1C" w:rsidRDefault="00E378DD" w:rsidP="00E378DD">
      <w:pPr>
        <w:pStyle w:val="libFootnote0"/>
        <w:rPr>
          <w:lang w:bidi="fa-IR"/>
        </w:rPr>
      </w:pPr>
      <w:r>
        <w:rPr>
          <w:rtl/>
          <w:lang w:bidi="fa-IR"/>
        </w:rPr>
        <w:t>(3).</w:t>
      </w:r>
      <w:r w:rsidR="00744A1C">
        <w:rPr>
          <w:rtl/>
          <w:lang w:bidi="fa-IR"/>
        </w:rPr>
        <w:t xml:space="preserve"> في « ى ، بس ، جد » و</w:t>
      </w:r>
      <w:r w:rsidR="00744A1C" w:rsidRPr="0061079A">
        <w:rPr>
          <w:rStyle w:val="libFootnoteBoldChar"/>
          <w:rtl/>
        </w:rPr>
        <w:t>البحار</w:t>
      </w:r>
      <w:r w:rsidR="00744A1C">
        <w:rPr>
          <w:rtl/>
          <w:lang w:bidi="fa-IR"/>
        </w:rPr>
        <w:t xml:space="preserve"> ، ج 22 : « فهي ». وفي « بث ، جن </w:t>
      </w:r>
      <w:r w:rsidR="00EE7E5B">
        <w:rPr>
          <w:rtl/>
          <w:lang w:bidi="fa-IR"/>
        </w:rPr>
        <w:t>» : « هي » بدون الواو. وفي « بف</w:t>
      </w:r>
      <w:r w:rsidR="00744A1C">
        <w:rPr>
          <w:rtl/>
          <w:lang w:bidi="fa-IR"/>
        </w:rPr>
        <w:t xml:space="preserve">» : « وهو ». وفي </w:t>
      </w:r>
      <w:r w:rsidR="00744A1C" w:rsidRPr="00C24F9C">
        <w:rPr>
          <w:rStyle w:val="libFootnoteBoldChar"/>
          <w:rtl/>
        </w:rPr>
        <w:t>الوسائل</w:t>
      </w:r>
      <w:r w:rsidR="00744A1C">
        <w:rPr>
          <w:rtl/>
          <w:lang w:bidi="fa-IR"/>
        </w:rPr>
        <w:t xml:space="preserve"> : « فإنّها ». وفي </w:t>
      </w:r>
      <w:r w:rsidR="00744A1C" w:rsidRPr="00C24F9C">
        <w:rPr>
          <w:rStyle w:val="libFootnoteBoldChar"/>
          <w:rtl/>
        </w:rPr>
        <w:t>التهذيب</w:t>
      </w:r>
      <w:r w:rsidR="00744A1C">
        <w:rPr>
          <w:rtl/>
          <w:lang w:bidi="fa-IR"/>
        </w:rPr>
        <w:t xml:space="preserve"> : « فهو ».</w:t>
      </w:r>
    </w:p>
    <w:p w:rsidR="00744A1C" w:rsidRDefault="00E378DD" w:rsidP="00E378DD">
      <w:pPr>
        <w:pStyle w:val="libFootnote0"/>
        <w:rPr>
          <w:lang w:bidi="fa-IR"/>
        </w:rPr>
      </w:pPr>
      <w:r>
        <w:rPr>
          <w:rtl/>
          <w:lang w:bidi="fa-IR"/>
        </w:rPr>
        <w:t>(4).</w:t>
      </w:r>
      <w:r w:rsidR="00744A1C">
        <w:rPr>
          <w:rtl/>
          <w:lang w:bidi="fa-IR"/>
        </w:rPr>
        <w:t xml:space="preserve"> في </w:t>
      </w:r>
      <w:r w:rsidR="00744A1C" w:rsidRPr="007B299E">
        <w:rPr>
          <w:rStyle w:val="libFootnoteBoldChar"/>
          <w:rtl/>
        </w:rPr>
        <w:t>كامل الزيارات</w:t>
      </w:r>
      <w:r w:rsidR="00744A1C">
        <w:rPr>
          <w:rtl/>
          <w:lang w:bidi="fa-IR"/>
        </w:rPr>
        <w:t xml:space="preserve"> : + « ركعتين ».</w:t>
      </w:r>
    </w:p>
    <w:tbl>
      <w:tblPr>
        <w:tblStyle w:val="TableGrid"/>
        <w:bidiVisual/>
        <w:tblW w:w="0" w:type="auto"/>
        <w:tblLook w:val="04A0" w:firstRow="1" w:lastRow="0" w:firstColumn="1" w:lastColumn="0" w:noHBand="0" w:noVBand="1"/>
      </w:tblPr>
      <w:tblGrid>
        <w:gridCol w:w="4006"/>
        <w:gridCol w:w="4006"/>
      </w:tblGrid>
      <w:tr w:rsidR="00250274" w:rsidTr="00250274">
        <w:tc>
          <w:tcPr>
            <w:tcW w:w="4006" w:type="dxa"/>
          </w:tcPr>
          <w:p w:rsidR="00250274" w:rsidRDefault="00250274" w:rsidP="00E378DD">
            <w:pPr>
              <w:pStyle w:val="libFootnote0"/>
              <w:rPr>
                <w:rtl/>
                <w:lang w:bidi="fa-IR"/>
              </w:rPr>
            </w:pPr>
            <w:r>
              <w:rPr>
                <w:rtl/>
                <w:lang w:bidi="fa-IR"/>
              </w:rPr>
              <w:t>(5). في « بف » : « أتيت ».</w:t>
            </w:r>
          </w:p>
        </w:tc>
        <w:tc>
          <w:tcPr>
            <w:tcW w:w="4006" w:type="dxa"/>
          </w:tcPr>
          <w:p w:rsidR="00250274" w:rsidRDefault="00250274" w:rsidP="00E378DD">
            <w:pPr>
              <w:pStyle w:val="libFootnote0"/>
              <w:rPr>
                <w:rtl/>
                <w:lang w:bidi="fa-IR"/>
              </w:rPr>
            </w:pPr>
            <w:r>
              <w:rPr>
                <w:rtl/>
                <w:lang w:bidi="fa-IR"/>
              </w:rPr>
              <w:t>(6). في « ى ، بث ، بخ » : « ائت ».</w:t>
            </w:r>
          </w:p>
        </w:tc>
      </w:tr>
      <w:tr w:rsidR="00250274" w:rsidTr="00250274">
        <w:tc>
          <w:tcPr>
            <w:tcW w:w="4006" w:type="dxa"/>
          </w:tcPr>
          <w:p w:rsidR="00250274" w:rsidRDefault="00250274"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 الحيرة ».</w:t>
            </w:r>
          </w:p>
        </w:tc>
        <w:tc>
          <w:tcPr>
            <w:tcW w:w="4006" w:type="dxa"/>
          </w:tcPr>
          <w:p w:rsidR="00250274" w:rsidRDefault="00250274" w:rsidP="00E378DD">
            <w:pPr>
              <w:pStyle w:val="libFootnote0"/>
              <w:rPr>
                <w:rtl/>
                <w:lang w:bidi="fa-IR"/>
              </w:rPr>
            </w:pPr>
            <w:r>
              <w:rPr>
                <w:rtl/>
                <w:lang w:bidi="fa-IR"/>
              </w:rPr>
              <w:t xml:space="preserve">(8). في </w:t>
            </w:r>
            <w:r w:rsidRPr="00C24F9C">
              <w:rPr>
                <w:rStyle w:val="libFootnoteBoldChar"/>
                <w:rtl/>
              </w:rPr>
              <w:t>التهذيب</w:t>
            </w:r>
            <w:r>
              <w:rPr>
                <w:rtl/>
                <w:lang w:bidi="fa-IR"/>
              </w:rPr>
              <w:t xml:space="preserve"> : « فأقمت ».</w:t>
            </w:r>
          </w:p>
        </w:tc>
      </w:tr>
      <w:tr w:rsidR="00250274" w:rsidTr="00250274">
        <w:tc>
          <w:tcPr>
            <w:tcW w:w="4006" w:type="dxa"/>
          </w:tcPr>
          <w:p w:rsidR="00250274" w:rsidRDefault="00250274" w:rsidP="00E378DD">
            <w:pPr>
              <w:pStyle w:val="libFootnote0"/>
              <w:rPr>
                <w:rtl/>
                <w:lang w:bidi="fa-IR"/>
              </w:rPr>
            </w:pPr>
            <w:r>
              <w:rPr>
                <w:rtl/>
                <w:lang w:bidi="fa-IR"/>
              </w:rPr>
              <w:t xml:space="preserve">(9). في « بخ ، بف » </w:t>
            </w:r>
            <w:r w:rsidRPr="00250274">
              <w:rPr>
                <w:rtl/>
              </w:rPr>
              <w:t xml:space="preserve">والوافي والتهذيب : - « كان </w:t>
            </w:r>
            <w:r>
              <w:rPr>
                <w:rtl/>
                <w:lang w:bidi="fa-IR"/>
              </w:rPr>
              <w:t>».</w:t>
            </w:r>
          </w:p>
        </w:tc>
        <w:tc>
          <w:tcPr>
            <w:tcW w:w="4006" w:type="dxa"/>
          </w:tcPr>
          <w:p w:rsidR="00250274" w:rsidRDefault="00250274" w:rsidP="00E378DD">
            <w:pPr>
              <w:pStyle w:val="libFootnote0"/>
              <w:rPr>
                <w:rtl/>
                <w:lang w:bidi="fa-IR"/>
              </w:rPr>
            </w:pPr>
            <w:r>
              <w:rPr>
                <w:rtl/>
                <w:lang w:bidi="fa-IR"/>
              </w:rPr>
              <w:t>(10). في « ى ، جد » و</w:t>
            </w:r>
            <w:r w:rsidRPr="00C24F9C">
              <w:rPr>
                <w:rStyle w:val="libFootnoteBoldChar"/>
                <w:rtl/>
              </w:rPr>
              <w:t>الوسائل</w:t>
            </w:r>
            <w:r>
              <w:rPr>
                <w:rtl/>
                <w:lang w:bidi="fa-IR"/>
              </w:rPr>
              <w:t xml:space="preserve"> : « تأتي ».</w:t>
            </w:r>
          </w:p>
        </w:tc>
      </w:tr>
      <w:tr w:rsidR="00250274" w:rsidTr="00250274">
        <w:tc>
          <w:tcPr>
            <w:tcW w:w="4006" w:type="dxa"/>
          </w:tcPr>
          <w:p w:rsidR="00250274" w:rsidRDefault="00250274" w:rsidP="00E378DD">
            <w:pPr>
              <w:pStyle w:val="libFootnote0"/>
              <w:rPr>
                <w:rtl/>
                <w:lang w:bidi="fa-IR"/>
              </w:rPr>
            </w:pPr>
            <w:r>
              <w:rPr>
                <w:rtl/>
                <w:lang w:bidi="fa-IR"/>
              </w:rPr>
              <w:t xml:space="preserve">(11). في </w:t>
            </w:r>
            <w:r w:rsidRPr="00C24F9C">
              <w:rPr>
                <w:rStyle w:val="libFootnoteBoldChar"/>
                <w:rtl/>
              </w:rPr>
              <w:t>التهذيب</w:t>
            </w:r>
            <w:r>
              <w:rPr>
                <w:rtl/>
                <w:lang w:bidi="fa-IR"/>
              </w:rPr>
              <w:t xml:space="preserve"> : « فصلّ ».</w:t>
            </w:r>
          </w:p>
        </w:tc>
        <w:tc>
          <w:tcPr>
            <w:tcW w:w="4006" w:type="dxa"/>
          </w:tcPr>
          <w:p w:rsidR="00250274" w:rsidRDefault="00250274" w:rsidP="00E378DD">
            <w:pPr>
              <w:pStyle w:val="libFootnote0"/>
              <w:rPr>
                <w:rtl/>
                <w:lang w:bidi="fa-IR"/>
              </w:rPr>
            </w:pPr>
            <w:r>
              <w:rPr>
                <w:rtl/>
                <w:lang w:bidi="fa-IR"/>
              </w:rPr>
              <w:t>(12). في « ى » : « فصلّ ».</w:t>
            </w:r>
          </w:p>
        </w:tc>
      </w:tr>
    </w:tbl>
    <w:p w:rsidR="00744A1C" w:rsidRDefault="00E378DD" w:rsidP="00E378DD">
      <w:pPr>
        <w:pStyle w:val="libFootnote0"/>
        <w:rPr>
          <w:lang w:bidi="fa-IR"/>
        </w:rPr>
      </w:pPr>
      <w:r>
        <w:rPr>
          <w:rtl/>
          <w:lang w:bidi="fa-IR"/>
        </w:rPr>
        <w:t>(13).</w:t>
      </w:r>
      <w:r w:rsidR="00744A1C">
        <w:rPr>
          <w:rtl/>
          <w:lang w:bidi="fa-IR"/>
        </w:rPr>
        <w:t xml:space="preserve"> في « بح » : + « فيه ».</w:t>
      </w:r>
    </w:p>
    <w:p w:rsidR="00150943" w:rsidRDefault="00150943" w:rsidP="00D10E3C">
      <w:pPr>
        <w:pStyle w:val="libNormal"/>
        <w:rPr>
          <w:rtl/>
          <w:lang w:bidi="fa-IR"/>
        </w:rPr>
      </w:pPr>
      <w:r>
        <w:rPr>
          <w:rtl/>
          <w:lang w:bidi="fa-IR"/>
        </w:rPr>
        <w:br w:type="page"/>
      </w:r>
    </w:p>
    <w:p w:rsidR="00144FA6" w:rsidRDefault="00744A1C" w:rsidP="00181544">
      <w:pPr>
        <w:pStyle w:val="libNormal"/>
        <w:rPr>
          <w:rtl/>
          <w:lang w:bidi="fa-IR"/>
        </w:rPr>
      </w:pPr>
      <w:r>
        <w:rPr>
          <w:rtl/>
          <w:lang w:bidi="fa-IR"/>
        </w:rPr>
        <w:lastRenderedPageBreak/>
        <w:t xml:space="preserve">ثُمَّ امْضِ عَلى وَجْهِكَ حَتّى تَأْتِيَ مَسْجِدَ الْأَحْزَابِ ، فَتُصَلِّيَ فِيهِ ، وَتَدْعُوَ اللهَ فِيهِ </w:t>
      </w:r>
      <w:r w:rsidRPr="00D10E3C">
        <w:rPr>
          <w:rStyle w:val="libFootnotenumChar"/>
          <w:rtl/>
        </w:rPr>
        <w:t>(1)</w:t>
      </w:r>
      <w:r>
        <w:rPr>
          <w:rtl/>
          <w:lang w:bidi="fa-IR"/>
        </w:rPr>
        <w:t xml:space="preserve"> ؛ فَإِنَّ رَسُولَ اللهِ </w:t>
      </w:r>
      <w:r w:rsidR="005E465D" w:rsidRPr="005E465D">
        <w:rPr>
          <w:rStyle w:val="libAlaemChar"/>
          <w:rFonts w:eastAsiaTheme="minorHAnsi"/>
          <w:rtl/>
        </w:rPr>
        <w:t>صلى‌الله‌عليه‌وآله</w:t>
      </w:r>
      <w:r w:rsidR="00181544" w:rsidRPr="005E465D">
        <w:rPr>
          <w:rFonts w:eastAsiaTheme="minorHAnsi"/>
          <w:rtl/>
        </w:rPr>
        <w:t xml:space="preserve"> </w:t>
      </w:r>
      <w:r>
        <w:rPr>
          <w:rtl/>
          <w:lang w:bidi="fa-IR"/>
        </w:rPr>
        <w:t xml:space="preserve">دَعَا فِيهِ يَوْمَ الْأَحْزَابِ وَقَالَ : يَا صَرِيخَ الْمَكْرُوبِينَ </w:t>
      </w:r>
      <w:r w:rsidRPr="00D10E3C">
        <w:rPr>
          <w:rStyle w:val="libFootnotenumChar"/>
          <w:rtl/>
        </w:rPr>
        <w:t>(2)</w:t>
      </w:r>
      <w:r>
        <w:rPr>
          <w:rtl/>
          <w:lang w:bidi="fa-IR"/>
        </w:rPr>
        <w:t xml:space="preserve"> ، وَيَا مُجِيبَ دَعْوَةِ </w:t>
      </w:r>
      <w:r w:rsidRPr="00D10E3C">
        <w:rPr>
          <w:rStyle w:val="libFootnotenumChar"/>
          <w:rtl/>
        </w:rPr>
        <w:t>(3)</w:t>
      </w:r>
      <w:r>
        <w:rPr>
          <w:rtl/>
          <w:lang w:bidi="fa-IR"/>
        </w:rPr>
        <w:t xml:space="preserve"> الْمُضْطَرِّينَ ، وَيَا مُغِيثَ الْمَهْمُومِينَ </w:t>
      </w:r>
      <w:r w:rsidRPr="00D10E3C">
        <w:rPr>
          <w:rStyle w:val="libFootnotenumChar"/>
          <w:rtl/>
        </w:rPr>
        <w:t>(4)</w:t>
      </w:r>
      <w:r>
        <w:rPr>
          <w:rtl/>
          <w:lang w:bidi="fa-IR"/>
        </w:rPr>
        <w:t xml:space="preserve"> اكْشِفْ هَمِّي وَكَرْبِي وَغَمِّي </w:t>
      </w:r>
      <w:r w:rsidRPr="00D10E3C">
        <w:rPr>
          <w:rStyle w:val="libFootnotenumChar"/>
          <w:rtl/>
        </w:rPr>
        <w:t>(5)</w:t>
      </w:r>
      <w:r>
        <w:rPr>
          <w:rtl/>
          <w:lang w:bidi="fa-IR"/>
        </w:rPr>
        <w:t xml:space="preserve"> ، فَقَدْ تَرى حَالِي وَحَالَ أَصْحَابِي ». </w:t>
      </w:r>
      <w:r w:rsidRPr="00D10E3C">
        <w:rPr>
          <w:rStyle w:val="libFootnotenumChar"/>
          <w:rtl/>
        </w:rPr>
        <w:t>(6)</w:t>
      </w:r>
    </w:p>
    <w:p w:rsidR="00144FA6" w:rsidRDefault="00744A1C" w:rsidP="00744A1C">
      <w:pPr>
        <w:pStyle w:val="libNormal"/>
        <w:rPr>
          <w:rtl/>
          <w:lang w:bidi="fa-IR"/>
        </w:rPr>
      </w:pPr>
      <w:r>
        <w:rPr>
          <w:rtl/>
          <w:lang w:bidi="fa-IR"/>
        </w:rPr>
        <w:t>8131 / 3. عِدَّةٌ مِنْ أَصْحَابِنَا ، عَنْ أَحْمَدَ بْنِ مُحَمَّدٍ ، عَنِ الْحُسَيْنِ بْنِ سَعِيدٍ ، عَنِ النَّضْرِ بْنِ سُوَيْدٍ ، عَنْ هِشَامِ بْنِ سَالِمٍ :</w:t>
      </w:r>
    </w:p>
    <w:p w:rsidR="00744A1C" w:rsidRDefault="00744A1C" w:rsidP="00F15C95">
      <w:pPr>
        <w:pStyle w:val="libNormal"/>
        <w:rPr>
          <w:lang w:bidi="fa-IR"/>
        </w:rPr>
      </w:pPr>
      <w:r>
        <w:rPr>
          <w:rtl/>
          <w:lang w:bidi="fa-IR"/>
        </w:rPr>
        <w:t xml:space="preserve">عَنْ أَبِي عَبْدِ اللهِ </w:t>
      </w:r>
      <w:r w:rsidR="009576A8" w:rsidRPr="009576A8">
        <w:rPr>
          <w:rStyle w:val="libAlaemChar"/>
          <w:rFonts w:eastAsiaTheme="minorHAnsi"/>
          <w:rtl/>
        </w:rPr>
        <w:t>عليه‌السلام</w:t>
      </w:r>
      <w:r w:rsidR="009576A8" w:rsidRPr="005E465D">
        <w:rPr>
          <w:rFonts w:eastAsiaTheme="minorHAnsi"/>
          <w:rtl/>
        </w:rPr>
        <w:t xml:space="preserve"> </w:t>
      </w:r>
      <w:r>
        <w:rPr>
          <w:rtl/>
          <w:lang w:bidi="fa-IR"/>
        </w:rPr>
        <w:t xml:space="preserve">، قَالَ : سَمِعْتُهُ يَقُولُ : « عَاشَتْ فَاطِمَةُ </w:t>
      </w:r>
      <w:r w:rsidR="0024456E" w:rsidRPr="0024456E">
        <w:rPr>
          <w:rStyle w:val="libAlaemChar"/>
          <w:rtl/>
        </w:rPr>
        <w:t>عليها‌السلام</w:t>
      </w:r>
      <w:r w:rsidR="00D10E3C">
        <w:rPr>
          <w:rtl/>
          <w:lang w:bidi="fa-IR"/>
        </w:rPr>
        <w:t xml:space="preserve"> </w:t>
      </w:r>
      <w:r>
        <w:rPr>
          <w:rtl/>
          <w:lang w:bidi="fa-IR"/>
        </w:rPr>
        <w:t xml:space="preserve">بَعْدَ رَسُولِ اللهِ </w:t>
      </w:r>
      <w:r w:rsidR="005E465D" w:rsidRPr="005E465D">
        <w:rPr>
          <w:rStyle w:val="libAlaemChar"/>
          <w:rFonts w:eastAsiaTheme="minorHAnsi"/>
          <w:rtl/>
        </w:rPr>
        <w:t>صلى‌الله‌عليه‌وآله</w:t>
      </w:r>
      <w:r w:rsidR="009576A8" w:rsidRPr="005E465D">
        <w:rPr>
          <w:rFonts w:eastAsiaTheme="minorHAnsi"/>
          <w:rtl/>
        </w:rPr>
        <w:t xml:space="preserve"> </w:t>
      </w:r>
      <w:r>
        <w:rPr>
          <w:rtl/>
          <w:lang w:bidi="fa-IR"/>
        </w:rPr>
        <w:t xml:space="preserve">خَمْسَةً وَسَبْعِينَ يَوْماً لَمْ تُرَ كَاشِرَةً </w:t>
      </w:r>
      <w:r w:rsidRPr="00D10E3C">
        <w:rPr>
          <w:rStyle w:val="libFootnotenumChar"/>
          <w:rtl/>
        </w:rPr>
        <w:t>(7)</w:t>
      </w:r>
      <w:r>
        <w:rPr>
          <w:rtl/>
          <w:lang w:bidi="fa-IR"/>
        </w:rPr>
        <w:t xml:space="preserve"> ، وَلَاضَاحِكَةً ؛ تَأْتِي قُبُورَ الشُّهَدَاءِ فِي كُلِّ جُمْعَةٍ مَرَّتَيْنِ : الْإِثْنَيْنِ وَالْخَمِيسَ ، فَتَقُولُ : هاهُنَا </w:t>
      </w:r>
      <w:r w:rsidRPr="00D10E3C">
        <w:rPr>
          <w:rStyle w:val="libFootnotenumChar"/>
          <w:rtl/>
        </w:rPr>
        <w:t>(8)</w:t>
      </w:r>
      <w:r>
        <w:rPr>
          <w:rtl/>
          <w:lang w:bidi="fa-IR"/>
        </w:rPr>
        <w:t xml:space="preserve"> كَانَ رَسُولُ اللهِ </w:t>
      </w:r>
      <w:r w:rsidR="005E465D" w:rsidRPr="005E465D">
        <w:rPr>
          <w:rStyle w:val="libAlaemChar"/>
          <w:rFonts w:eastAsiaTheme="minorHAnsi"/>
          <w:rtl/>
        </w:rPr>
        <w:t>صلى‌الله‌عليه‌وآله</w:t>
      </w:r>
      <w:r w:rsidR="00F15C95" w:rsidRPr="005E465D">
        <w:rPr>
          <w:rFonts w:eastAsiaTheme="minorHAnsi"/>
          <w:rtl/>
        </w:rPr>
        <w:t xml:space="preserve"> </w:t>
      </w:r>
      <w:r>
        <w:rPr>
          <w:rtl/>
          <w:lang w:bidi="fa-IR"/>
        </w:rPr>
        <w:t xml:space="preserve">، وَهاهُنَا </w:t>
      </w:r>
      <w:r w:rsidRPr="00D10E3C">
        <w:rPr>
          <w:rStyle w:val="libFootnotenumChar"/>
          <w:rtl/>
        </w:rPr>
        <w:t>(9)</w:t>
      </w:r>
      <w:r>
        <w:rPr>
          <w:rtl/>
          <w:lang w:bidi="fa-IR"/>
        </w:rPr>
        <w:t xml:space="preserve"> كَانَ‌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F15C95">
        <w:rPr>
          <w:rtl/>
        </w:rPr>
        <w:t>الوسائل</w:t>
      </w:r>
      <w:r w:rsidR="00744A1C">
        <w:rPr>
          <w:rtl/>
          <w:lang w:bidi="fa-IR"/>
        </w:rPr>
        <w:t xml:space="preserve"> : - « فيه ».</w:t>
      </w:r>
    </w:p>
    <w:p w:rsidR="00744A1C" w:rsidRDefault="00E378DD" w:rsidP="00E378DD">
      <w:pPr>
        <w:pStyle w:val="libFootnote0"/>
        <w:rPr>
          <w:lang w:bidi="fa-IR"/>
        </w:rPr>
      </w:pPr>
      <w:r>
        <w:rPr>
          <w:rtl/>
          <w:lang w:bidi="fa-IR"/>
        </w:rPr>
        <w:t>(2).</w:t>
      </w:r>
      <w:r w:rsidR="00744A1C">
        <w:rPr>
          <w:rtl/>
          <w:lang w:bidi="fa-IR"/>
        </w:rPr>
        <w:t xml:space="preserve"> في</w:t>
      </w:r>
      <w:r w:rsidR="00744A1C" w:rsidRPr="00F15C95">
        <w:rPr>
          <w:rtl/>
        </w:rPr>
        <w:t xml:space="preserve"> الوافي</w:t>
      </w:r>
      <w:r w:rsidR="00744A1C">
        <w:rPr>
          <w:rtl/>
          <w:lang w:bidi="fa-IR"/>
        </w:rPr>
        <w:t xml:space="preserve"> عن بعض </w:t>
      </w:r>
      <w:r w:rsidR="00744A1C" w:rsidRPr="00F15C95">
        <w:rPr>
          <w:rtl/>
        </w:rPr>
        <w:t xml:space="preserve">النسخ والتهذيب : « المستصرخين </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في « بث ، بخ ، بف ، جن » و</w:t>
      </w:r>
      <w:r w:rsidR="00744A1C" w:rsidRPr="0061079A">
        <w:rPr>
          <w:rStyle w:val="libFootnoteBoldChar"/>
          <w:rtl/>
        </w:rPr>
        <w:t>الكافي</w:t>
      </w:r>
      <w:r w:rsidR="00744A1C">
        <w:rPr>
          <w:rtl/>
          <w:lang w:bidi="fa-IR"/>
        </w:rPr>
        <w:t xml:space="preserve"> ، ح 15235 </w:t>
      </w:r>
      <w:r w:rsidR="00744A1C" w:rsidRPr="0061079A">
        <w:rPr>
          <w:rStyle w:val="libFootnoteBoldChar"/>
          <w:rtl/>
        </w:rPr>
        <w:t>والتهذيب</w:t>
      </w:r>
      <w:r w:rsidR="00744A1C">
        <w:rPr>
          <w:rtl/>
          <w:lang w:bidi="fa-IR"/>
        </w:rPr>
        <w:t xml:space="preserve"> : - « دعوة ».</w:t>
      </w:r>
    </w:p>
    <w:p w:rsidR="00744A1C" w:rsidRDefault="00E378DD" w:rsidP="00E378DD">
      <w:pPr>
        <w:pStyle w:val="libFootnote0"/>
        <w:rPr>
          <w:lang w:bidi="fa-IR"/>
        </w:rPr>
      </w:pPr>
      <w:r>
        <w:rPr>
          <w:rtl/>
          <w:lang w:bidi="fa-IR"/>
        </w:rPr>
        <w:t>(4).</w:t>
      </w:r>
      <w:r w:rsidR="00744A1C">
        <w:rPr>
          <w:rtl/>
          <w:lang w:bidi="fa-IR"/>
        </w:rPr>
        <w:t xml:space="preserve"> في حاشية « ى » : « الملهوفين - المغمومين ». وفي </w:t>
      </w:r>
      <w:r w:rsidR="00744A1C" w:rsidRPr="0061079A">
        <w:rPr>
          <w:rStyle w:val="libFootnoteBoldChar"/>
          <w:rtl/>
        </w:rPr>
        <w:t>الكافي</w:t>
      </w:r>
      <w:r w:rsidR="00744A1C">
        <w:rPr>
          <w:rtl/>
          <w:lang w:bidi="fa-IR"/>
        </w:rPr>
        <w:t xml:space="preserve"> ، ح 15235 : - « ويا مغيث المهمومين ».</w:t>
      </w:r>
    </w:p>
    <w:p w:rsidR="00744A1C" w:rsidRDefault="00E378DD" w:rsidP="00E378DD">
      <w:pPr>
        <w:pStyle w:val="libFootnote0"/>
        <w:rPr>
          <w:lang w:bidi="fa-IR"/>
        </w:rPr>
      </w:pPr>
      <w:r>
        <w:rPr>
          <w:rtl/>
          <w:lang w:bidi="fa-IR"/>
        </w:rPr>
        <w:t>(5).</w:t>
      </w:r>
      <w:r w:rsidR="00744A1C">
        <w:rPr>
          <w:rtl/>
          <w:lang w:bidi="fa-IR"/>
        </w:rPr>
        <w:t xml:space="preserve"> في « ى ، بح ، جد » و</w:t>
      </w:r>
      <w:r w:rsidR="00744A1C" w:rsidRPr="0061079A">
        <w:rPr>
          <w:rStyle w:val="libFootnoteBoldChar"/>
          <w:rtl/>
        </w:rPr>
        <w:t>الكافي</w:t>
      </w:r>
      <w:r w:rsidR="00744A1C">
        <w:rPr>
          <w:rtl/>
          <w:lang w:bidi="fa-IR"/>
        </w:rPr>
        <w:t xml:space="preserve"> ، ح 15235 : « وغمّي وكربي ». وفي « بف » : - « وغمّي ». وفي </w:t>
      </w:r>
      <w:r w:rsidR="00744A1C" w:rsidRPr="00C24F9C">
        <w:rPr>
          <w:rStyle w:val="libFootnoteBoldChar"/>
          <w:rtl/>
        </w:rPr>
        <w:t>التهذيب</w:t>
      </w:r>
      <w:r w:rsidR="00744A1C">
        <w:rPr>
          <w:rtl/>
          <w:lang w:bidi="fa-IR"/>
        </w:rPr>
        <w:t xml:space="preserve"> : « غمّي وهمّي وكربي » بدل « همّي وكربي وغمّي ».</w:t>
      </w:r>
    </w:p>
    <w:p w:rsidR="00744A1C" w:rsidRDefault="00E378DD" w:rsidP="00F15C95">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17 ، ح 39 ، معلّقاً عن الكليني. </w:t>
      </w:r>
      <w:r w:rsidR="00744A1C" w:rsidRPr="007B299E">
        <w:rPr>
          <w:rStyle w:val="libFootnoteBoldChar"/>
          <w:rtl/>
        </w:rPr>
        <w:t>كامل الزيارات</w:t>
      </w:r>
      <w:r w:rsidR="00744A1C">
        <w:rPr>
          <w:rtl/>
          <w:lang w:bidi="fa-IR"/>
        </w:rPr>
        <w:t xml:space="preserve"> ، ص 26 ، الباب 6 ، ح 5 ، بسنده عن محمّد بن يحيى ، عن محمّد بن الحسن الصفّار ، عن محمّد بن عبدالله بن هلال ، إلى قوله : « ثمّ مررت بقبر حمزة » مع اختلاف يسير. </w:t>
      </w:r>
      <w:r w:rsidR="00744A1C" w:rsidRPr="0061079A">
        <w:rPr>
          <w:rStyle w:val="libFootnoteBoldChar"/>
          <w:rtl/>
        </w:rPr>
        <w:t>الكافي</w:t>
      </w:r>
      <w:r w:rsidR="00744A1C">
        <w:rPr>
          <w:rtl/>
          <w:lang w:bidi="fa-IR"/>
        </w:rPr>
        <w:t xml:space="preserve"> ، كتاب الروضة ، ضمن الحديث الطويل 15235 ، بسند آخر. وفيه ، كتاب الدعاء ، باب الدعاء للكرب والهمّ والحزن والخوف ، ح 3395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 وفي الأخيرين من قوله : « فإنّ رسول الله </w:t>
      </w:r>
      <w:r w:rsidR="005E465D" w:rsidRPr="00EE7E5B">
        <w:rPr>
          <w:rStyle w:val="libFootnoteAlaemChar"/>
          <w:rFonts w:eastAsiaTheme="minorHAnsi"/>
          <w:rtl/>
        </w:rPr>
        <w:t>صلى‌الله‌عليه‌وآله</w:t>
      </w:r>
      <w:r w:rsidR="00F15C95" w:rsidRPr="00F15C95">
        <w:rPr>
          <w:rFonts w:eastAsiaTheme="minorHAnsi"/>
          <w:rtl/>
        </w:rPr>
        <w:t xml:space="preserve"> </w:t>
      </w:r>
      <w:r w:rsidR="00744A1C">
        <w:rPr>
          <w:rtl/>
          <w:lang w:bidi="fa-IR"/>
        </w:rPr>
        <w:t xml:space="preserve">دعا فيه » </w:t>
      </w:r>
      <w:r w:rsidR="00744A1C" w:rsidRPr="00C24F9C">
        <w:rPr>
          <w:rStyle w:val="libFootnoteBoldChar"/>
          <w:rtl/>
        </w:rPr>
        <w:t>الوافي</w:t>
      </w:r>
      <w:r w:rsidR="00744A1C">
        <w:rPr>
          <w:rtl/>
          <w:lang w:bidi="fa-IR"/>
        </w:rPr>
        <w:t xml:space="preserve"> ، ج 14 ، ص 1388 ، ح 14427 ؛ </w:t>
      </w:r>
      <w:r w:rsidR="00744A1C" w:rsidRPr="00C24F9C">
        <w:rPr>
          <w:rStyle w:val="libFootnoteBoldChar"/>
          <w:rtl/>
        </w:rPr>
        <w:t>الوسائل</w:t>
      </w:r>
      <w:r w:rsidR="00744A1C">
        <w:rPr>
          <w:rtl/>
          <w:lang w:bidi="fa-IR"/>
        </w:rPr>
        <w:t xml:space="preserve"> ، ج 14 ، ص 353 ، ح 19374 ؛ </w:t>
      </w:r>
      <w:r w:rsidR="00744A1C" w:rsidRPr="0061079A">
        <w:rPr>
          <w:rStyle w:val="libFootnoteBoldChar"/>
          <w:rtl/>
        </w:rPr>
        <w:t>البحار</w:t>
      </w:r>
      <w:r w:rsidR="00744A1C">
        <w:rPr>
          <w:rtl/>
          <w:lang w:bidi="fa-IR"/>
        </w:rPr>
        <w:t xml:space="preserve"> ، ج 19 ، ص 120 ، ح 5 ، إلى قوله : « فقد صلّى فيه نبيّك </w:t>
      </w:r>
      <w:r w:rsidR="005E465D" w:rsidRPr="00EE7E5B">
        <w:rPr>
          <w:rStyle w:val="libFootnoteAlaemChar"/>
          <w:rFonts w:eastAsiaTheme="minorHAnsi"/>
          <w:rtl/>
        </w:rPr>
        <w:t>صلى‌الله‌عليه‌وآله</w:t>
      </w:r>
      <w:r w:rsidR="00F15C95" w:rsidRPr="00F15C95">
        <w:rPr>
          <w:rFonts w:eastAsiaTheme="minorHAnsi"/>
          <w:rtl/>
        </w:rPr>
        <w:t xml:space="preserve"> </w:t>
      </w:r>
      <w:r w:rsidR="00744A1C">
        <w:rPr>
          <w:rtl/>
          <w:lang w:bidi="fa-IR"/>
        </w:rPr>
        <w:t xml:space="preserve">» ؛ وفيه ، ج 22 ، ص 157 ، ح 17 ، إلى قوله : « مسكن رسول الله </w:t>
      </w:r>
      <w:r w:rsidR="0061079A" w:rsidRPr="0061079A">
        <w:rPr>
          <w:rStyle w:val="libFootnoteAlaemChar"/>
          <w:rtl/>
        </w:rPr>
        <w:t>صلى‌الله‌عليه‌وآله</w:t>
      </w:r>
      <w:r w:rsidR="00D10E3C">
        <w:rPr>
          <w:rtl/>
          <w:lang w:bidi="fa-IR"/>
        </w:rPr>
        <w:t xml:space="preserve"> </w:t>
      </w:r>
      <w:r w:rsidR="00744A1C">
        <w:rPr>
          <w:rtl/>
          <w:lang w:bidi="fa-IR"/>
        </w:rPr>
        <w:t>ومصلاّه ».</w:t>
      </w:r>
    </w:p>
    <w:p w:rsidR="00744A1C" w:rsidRDefault="00E378DD" w:rsidP="00E378DD">
      <w:pPr>
        <w:pStyle w:val="libFootnote0"/>
        <w:rPr>
          <w:lang w:bidi="fa-IR"/>
        </w:rPr>
      </w:pPr>
      <w:r>
        <w:rPr>
          <w:rtl/>
          <w:lang w:bidi="fa-IR"/>
        </w:rPr>
        <w:t>(7).</w:t>
      </w:r>
      <w:r w:rsidR="00744A1C">
        <w:rPr>
          <w:rtl/>
          <w:lang w:bidi="fa-IR"/>
        </w:rPr>
        <w:t xml:space="preserve"> الكاشرُ : المتبسّم من غير صوت. والكَشْرُ : بُدُوُّ الأسنان عند التبسّم. راجع : </w:t>
      </w:r>
      <w:r w:rsidR="00744A1C" w:rsidRPr="00E978C3">
        <w:rPr>
          <w:rStyle w:val="libFootnoteBoldChar"/>
          <w:rtl/>
        </w:rPr>
        <w:t>ترتيب كتاب العين</w:t>
      </w:r>
      <w:r w:rsidR="00744A1C">
        <w:rPr>
          <w:rtl/>
          <w:lang w:bidi="fa-IR"/>
        </w:rPr>
        <w:t xml:space="preserve"> ، ج 3 ، ص 1577 ؛ </w:t>
      </w:r>
      <w:r w:rsidR="00744A1C" w:rsidRPr="00877682">
        <w:rPr>
          <w:rStyle w:val="libFootnoteBoldChar"/>
          <w:rtl/>
        </w:rPr>
        <w:t>لسان العرب</w:t>
      </w:r>
      <w:r w:rsidR="00744A1C">
        <w:rPr>
          <w:rtl/>
          <w:lang w:bidi="fa-IR"/>
        </w:rPr>
        <w:t xml:space="preserve"> ، ج 5 ، ص 142 ( كشر ).</w:t>
      </w:r>
    </w:p>
    <w:p w:rsidR="00744A1C" w:rsidRDefault="00E378DD" w:rsidP="00E378DD">
      <w:pPr>
        <w:pStyle w:val="libFootnote0"/>
        <w:rPr>
          <w:lang w:bidi="fa-IR"/>
        </w:rPr>
      </w:pPr>
      <w:r>
        <w:rPr>
          <w:rtl/>
          <w:lang w:bidi="fa-IR"/>
        </w:rPr>
        <w:t>(8).</w:t>
      </w:r>
      <w:r w:rsidR="00744A1C">
        <w:rPr>
          <w:rtl/>
          <w:lang w:bidi="fa-IR"/>
        </w:rPr>
        <w:t xml:space="preserve"> في « بف » : « هنا ».</w:t>
      </w:r>
    </w:p>
    <w:p w:rsidR="00744A1C" w:rsidRDefault="00E378DD" w:rsidP="00E378DD">
      <w:pPr>
        <w:pStyle w:val="libFootnote0"/>
        <w:rPr>
          <w:lang w:bidi="fa-IR"/>
        </w:rPr>
      </w:pPr>
      <w:r>
        <w:rPr>
          <w:rtl/>
          <w:lang w:bidi="fa-IR"/>
        </w:rPr>
        <w:t>(9).</w:t>
      </w:r>
      <w:r w:rsidR="00744A1C">
        <w:rPr>
          <w:rtl/>
          <w:lang w:bidi="fa-IR"/>
        </w:rPr>
        <w:t xml:space="preserve"> في « بف » : « وهنا ».</w:t>
      </w:r>
    </w:p>
    <w:p w:rsidR="00150943" w:rsidRDefault="00150943" w:rsidP="00D10E3C">
      <w:pPr>
        <w:pStyle w:val="libNormal"/>
        <w:rPr>
          <w:rtl/>
          <w:lang w:bidi="fa-IR"/>
        </w:rPr>
      </w:pPr>
      <w:r>
        <w:rPr>
          <w:rtl/>
          <w:lang w:bidi="fa-IR"/>
        </w:rPr>
        <w:br w:type="page"/>
      </w:r>
    </w:p>
    <w:p w:rsidR="00144FA6" w:rsidRDefault="00744A1C" w:rsidP="00EE7E5B">
      <w:pPr>
        <w:pStyle w:val="libNormal0"/>
        <w:rPr>
          <w:rtl/>
          <w:lang w:bidi="fa-IR"/>
        </w:rPr>
      </w:pPr>
      <w:r>
        <w:rPr>
          <w:rtl/>
          <w:lang w:bidi="fa-IR"/>
        </w:rPr>
        <w:lastRenderedPageBreak/>
        <w:t xml:space="preserve">الْمُشْرِكُونَ ». </w:t>
      </w:r>
      <w:r w:rsidRPr="00D10E3C">
        <w:rPr>
          <w:rStyle w:val="libFootnotenumChar"/>
          <w:rtl/>
        </w:rPr>
        <w:t>(1)</w:t>
      </w:r>
    </w:p>
    <w:p w:rsidR="00144FA6" w:rsidRDefault="007F05C0" w:rsidP="00744A1C">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فِي رِوَايَةٍ أُخْرى </w:t>
      </w:r>
      <w:r w:rsidR="00744A1C" w:rsidRPr="00D10E3C">
        <w:rPr>
          <w:rStyle w:val="libFootnotenumChar"/>
          <w:rtl/>
        </w:rPr>
        <w:t>(2)</w:t>
      </w:r>
      <w:r w:rsidR="00744A1C">
        <w:rPr>
          <w:rtl/>
          <w:lang w:bidi="fa-IR"/>
        </w:rPr>
        <w:t xml:space="preserve"> : أَبَانٌ ، عَمَّنْ أَخْبَرَهُ </w:t>
      </w:r>
      <w:r w:rsidR="00744A1C" w:rsidRPr="00D10E3C">
        <w:rPr>
          <w:rStyle w:val="libFootnotenumChar"/>
          <w:rtl/>
        </w:rPr>
        <w:t>(3)</w:t>
      </w:r>
      <w:r w:rsidR="00744A1C">
        <w:rPr>
          <w:rtl/>
          <w:lang w:bidi="fa-IR"/>
        </w:rPr>
        <w:t xml:space="preserve"> ، عَنْ أَبِي عَبْدِ اللهِ </w:t>
      </w:r>
      <w:r w:rsidR="0061079A" w:rsidRPr="0061079A">
        <w:rPr>
          <w:rStyle w:val="libAlaemChar"/>
          <w:rtl/>
        </w:rPr>
        <w:t>عليه‌السلام</w:t>
      </w:r>
      <w:r w:rsidR="00D10E3C">
        <w:rPr>
          <w:rtl/>
          <w:lang w:bidi="fa-IR"/>
        </w:rPr>
        <w:t xml:space="preserve"> </w:t>
      </w:r>
      <w:r w:rsidR="00744A1C">
        <w:rPr>
          <w:rtl/>
          <w:lang w:bidi="fa-IR"/>
        </w:rPr>
        <w:t xml:space="preserve">: « أَنَّهَا كَانَتْ تُصَلِّي هُنَاكَ </w:t>
      </w:r>
      <w:r w:rsidR="00744A1C" w:rsidRPr="00D10E3C">
        <w:rPr>
          <w:rStyle w:val="libFootnotenumChar"/>
          <w:rtl/>
        </w:rPr>
        <w:t>(4)</w:t>
      </w:r>
      <w:r w:rsidR="00744A1C">
        <w:rPr>
          <w:rtl/>
          <w:lang w:bidi="fa-IR"/>
        </w:rPr>
        <w:t xml:space="preserve"> ، وَتَدْعُو حَتّى مَاتَتْ </w:t>
      </w:r>
      <w:r w:rsidR="0024456E" w:rsidRPr="0024456E">
        <w:rPr>
          <w:rStyle w:val="libAlaemChar"/>
          <w:rtl/>
        </w:rPr>
        <w:t>عليها‌السلام</w:t>
      </w:r>
      <w:r w:rsidR="00D10E3C">
        <w:rPr>
          <w:rtl/>
          <w:lang w:bidi="fa-IR"/>
        </w:rPr>
        <w:t xml:space="preserve"> </w:t>
      </w:r>
      <w:r w:rsidR="00744A1C">
        <w:rPr>
          <w:rtl/>
          <w:lang w:bidi="fa-IR"/>
        </w:rPr>
        <w:t xml:space="preserve">». </w:t>
      </w:r>
      <w:r w:rsidR="00744A1C" w:rsidRPr="00D10E3C">
        <w:rPr>
          <w:rStyle w:val="libFootnotenumChar"/>
          <w:rtl/>
        </w:rPr>
        <w:t>(5)</w:t>
      </w:r>
    </w:p>
    <w:p w:rsidR="00144FA6" w:rsidRDefault="00744A1C" w:rsidP="00744A1C">
      <w:pPr>
        <w:pStyle w:val="libNormal"/>
        <w:rPr>
          <w:rtl/>
          <w:lang w:bidi="fa-IR"/>
        </w:rPr>
      </w:pPr>
      <w:r>
        <w:rPr>
          <w:rtl/>
          <w:lang w:bidi="fa-IR"/>
        </w:rPr>
        <w:t>8132 / 4. مُحَمَّدُ بْنُ يَحْيى ، عَنْ أَحْمَدَ بْنِ مُحَمَّدٍ ، عَنِ ابْنِ فَضَّالٍ ، عَنِ الْمُفَضَّلِ بْنِ صَالِحٍ ، عَنْ لَيْثٍ الْمُرَادِيِّ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مَسْجِدِ الْفَضِيخِ : لِمَ سُمِّيَ مَسْجِدَ الْفَضِيخِ؟</w:t>
      </w:r>
    </w:p>
    <w:p w:rsidR="00144FA6" w:rsidRDefault="00744A1C" w:rsidP="00744A1C">
      <w:pPr>
        <w:pStyle w:val="libNormal"/>
        <w:rPr>
          <w:rtl/>
          <w:lang w:bidi="fa-IR"/>
        </w:rPr>
      </w:pPr>
      <w:r>
        <w:rPr>
          <w:rtl/>
          <w:lang w:bidi="fa-IR"/>
        </w:rPr>
        <w:t xml:space="preserve">فَقَالَ </w:t>
      </w:r>
      <w:r w:rsidRPr="00D10E3C">
        <w:rPr>
          <w:rStyle w:val="libFootnotenumChar"/>
          <w:rtl/>
        </w:rPr>
        <w:t>(6)</w:t>
      </w:r>
      <w:r>
        <w:rPr>
          <w:rtl/>
          <w:lang w:bidi="fa-IR"/>
        </w:rPr>
        <w:t xml:space="preserve"> : « لِنَخْلٍ </w:t>
      </w:r>
      <w:r w:rsidRPr="00D10E3C">
        <w:rPr>
          <w:rStyle w:val="libFootnotenumChar"/>
          <w:rtl/>
        </w:rPr>
        <w:t>(7)</w:t>
      </w:r>
      <w:r>
        <w:rPr>
          <w:rtl/>
          <w:lang w:bidi="fa-IR"/>
        </w:rPr>
        <w:t xml:space="preserve"> يُسَمَّى </w:t>
      </w:r>
      <w:r w:rsidRPr="00D10E3C">
        <w:rPr>
          <w:rStyle w:val="libFootnotenumChar"/>
          <w:rtl/>
        </w:rPr>
        <w:t>(8)</w:t>
      </w:r>
      <w:r>
        <w:rPr>
          <w:rtl/>
          <w:lang w:bidi="fa-IR"/>
        </w:rPr>
        <w:t xml:space="preserve"> الْفَضِيخَ ، فَلِذلِكَ </w:t>
      </w:r>
      <w:r w:rsidRPr="00D10E3C">
        <w:rPr>
          <w:rStyle w:val="libFootnotenumChar"/>
          <w:rtl/>
        </w:rPr>
        <w:t>(9)</w:t>
      </w:r>
      <w:r>
        <w:rPr>
          <w:rtl/>
          <w:lang w:bidi="fa-IR"/>
        </w:rPr>
        <w:t xml:space="preserve"> سُمِّيَ </w:t>
      </w:r>
      <w:r w:rsidRPr="00D10E3C">
        <w:rPr>
          <w:rStyle w:val="libFootnotenumChar"/>
          <w:rtl/>
        </w:rPr>
        <w:t>(10)</w:t>
      </w:r>
      <w:r>
        <w:rPr>
          <w:rtl/>
          <w:lang w:bidi="fa-IR"/>
        </w:rPr>
        <w:t xml:space="preserve"> مَسْجِدَ الْفَضِيخِ ». </w:t>
      </w:r>
      <w:r w:rsidRPr="00D10E3C">
        <w:rPr>
          <w:rStyle w:val="libFootnotenumChar"/>
          <w:rtl/>
        </w:rPr>
        <w:t>(11)</w:t>
      </w:r>
    </w:p>
    <w:p w:rsidR="00144FA6" w:rsidRDefault="00744A1C" w:rsidP="00744A1C">
      <w:pPr>
        <w:pStyle w:val="libNormal"/>
        <w:rPr>
          <w:rtl/>
          <w:lang w:bidi="fa-IR"/>
        </w:rPr>
      </w:pPr>
      <w:r>
        <w:rPr>
          <w:rtl/>
          <w:lang w:bidi="fa-IR"/>
        </w:rPr>
        <w:t>8133 / 5. أَبُو عَلِيٍّ الْأَشْعَرِيُّ ، عَنْ مُحَمَّدِ بْنِ عَبْدِ الْجَبَّارِ ، عَنْ صَفْوَانَ بْنِ يَحْيى ، عَنِ ابْنِ مُسْكَانَ ، عَنِ الْحَلَبِيِّ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 هَلْ أَتَيْتُمْ مَسْجِدَ قُبَاءَ ، أَوْ مَسْجِدَ الْفَضِيخِ ، أَوْ مَشْرَبَةَ أُمِّ إِبْرَاهِيمَ؟ ».</w:t>
      </w:r>
    </w:p>
    <w:p w:rsidR="00744A1C" w:rsidRDefault="00744A1C" w:rsidP="00744A1C">
      <w:pPr>
        <w:pStyle w:val="libNormal"/>
        <w:rPr>
          <w:lang w:bidi="fa-IR"/>
        </w:rPr>
      </w:pPr>
      <w:r>
        <w:rPr>
          <w:rtl/>
          <w:lang w:bidi="fa-IR"/>
        </w:rPr>
        <w:t>قُلْتُ : نَعَمْ.</w:t>
      </w:r>
    </w:p>
    <w:p w:rsidR="00744A1C" w:rsidRDefault="00744A1C" w:rsidP="00D10E3C">
      <w:pPr>
        <w:pStyle w:val="libLine"/>
        <w:rPr>
          <w:lang w:bidi="fa-IR"/>
        </w:rPr>
      </w:pPr>
      <w:r>
        <w:rPr>
          <w:rtl/>
          <w:lang w:bidi="fa-IR"/>
        </w:rPr>
        <w:t>____________________</w:t>
      </w:r>
    </w:p>
    <w:p w:rsidR="00744A1C" w:rsidRDefault="00D10E3C" w:rsidP="00DF132F">
      <w:pPr>
        <w:pStyle w:val="libFootnote0"/>
        <w:rPr>
          <w:lang w:bidi="fa-IR"/>
        </w:rPr>
      </w:pPr>
      <w:r>
        <w:rPr>
          <w:rtl/>
          <w:lang w:bidi="fa-IR"/>
        </w:rPr>
        <w:t>(1).</w:t>
      </w:r>
      <w:r w:rsidR="00744A1C">
        <w:rPr>
          <w:rtl/>
          <w:lang w:bidi="fa-IR"/>
        </w:rPr>
        <w:t xml:space="preserve"> </w:t>
      </w:r>
      <w:r w:rsidR="00744A1C" w:rsidRPr="0061079A">
        <w:rPr>
          <w:rStyle w:val="libFootnoteBoldChar"/>
          <w:rtl/>
        </w:rPr>
        <w:t>الكافي</w:t>
      </w:r>
      <w:r w:rsidR="00744A1C">
        <w:rPr>
          <w:rtl/>
          <w:lang w:bidi="fa-IR"/>
        </w:rPr>
        <w:t xml:space="preserve"> ، كتاب الجنائز ، باب زيارة القبور ، ح 4678 ، بسنده عن هشام بن سالم </w:t>
      </w:r>
      <w:r w:rsidR="001819F9">
        <w:rPr>
          <w:rFonts w:hint="cs"/>
          <w:rtl/>
          <w:lang w:bidi="fa-IR"/>
        </w:rPr>
        <w:t>.</w:t>
      </w:r>
      <w:r w:rsidR="00744A1C" w:rsidRPr="0031563D">
        <w:rPr>
          <w:rtl/>
        </w:rPr>
        <w:t>الوافي</w:t>
      </w:r>
      <w:r w:rsidR="00744A1C">
        <w:rPr>
          <w:rtl/>
          <w:lang w:bidi="fa-IR"/>
        </w:rPr>
        <w:t xml:space="preserve"> ، ج 14 ، ص 1389 ، ح 14429 ؛ </w:t>
      </w:r>
      <w:r w:rsidR="00744A1C" w:rsidRPr="00C24F9C">
        <w:rPr>
          <w:rStyle w:val="libFootnoteBoldChar"/>
          <w:rtl/>
        </w:rPr>
        <w:t>الوسائل</w:t>
      </w:r>
      <w:r w:rsidR="00744A1C">
        <w:rPr>
          <w:rtl/>
          <w:lang w:bidi="fa-IR"/>
        </w:rPr>
        <w:t xml:space="preserve"> ، ج 13 ، ص 223 ، ذيل ح 3467 ؛ وج 14 ، ص 356 ، ح 19380 ؛ </w:t>
      </w:r>
      <w:r w:rsidR="00744A1C" w:rsidRPr="0061079A">
        <w:rPr>
          <w:rStyle w:val="libFootnoteBoldChar"/>
          <w:rtl/>
        </w:rPr>
        <w:t>البحار</w:t>
      </w:r>
      <w:r w:rsidR="00DF132F">
        <w:rPr>
          <w:rtl/>
          <w:lang w:bidi="fa-IR"/>
        </w:rPr>
        <w:t>،ج 43،ص 195،ح 24؛</w:t>
      </w:r>
      <w:r w:rsidR="00744A1C">
        <w:rPr>
          <w:rtl/>
          <w:lang w:bidi="fa-IR"/>
        </w:rPr>
        <w:t>و</w:t>
      </w:r>
      <w:r w:rsidR="00DF132F">
        <w:rPr>
          <w:rFonts w:hint="cs"/>
          <w:rtl/>
          <w:lang w:bidi="fa-IR"/>
        </w:rPr>
        <w:t xml:space="preserve"> </w:t>
      </w:r>
      <w:r w:rsidR="00DF132F">
        <w:rPr>
          <w:rtl/>
          <w:lang w:bidi="fa-IR"/>
        </w:rPr>
        <w:t>ج 100،ص 216،</w:t>
      </w:r>
      <w:r w:rsidR="00744A1C">
        <w:rPr>
          <w:rtl/>
          <w:lang w:bidi="fa-IR"/>
        </w:rPr>
        <w:t>ح 12.</w:t>
      </w:r>
      <w:r w:rsidR="00DF132F">
        <w:rPr>
          <w:rFonts w:hint="cs"/>
          <w:rtl/>
          <w:lang w:bidi="fa-IR"/>
        </w:rPr>
        <w:t xml:space="preserve"> </w:t>
      </w:r>
      <w:r w:rsidR="00E378DD">
        <w:rPr>
          <w:rtl/>
          <w:lang w:bidi="fa-IR"/>
        </w:rPr>
        <w:t>(2).</w:t>
      </w:r>
      <w:r w:rsidR="00DF132F">
        <w:rPr>
          <w:rtl/>
          <w:lang w:bidi="fa-IR"/>
        </w:rPr>
        <w:t>في</w:t>
      </w:r>
      <w:r w:rsidR="00744A1C">
        <w:rPr>
          <w:rtl/>
          <w:lang w:bidi="fa-IR"/>
        </w:rPr>
        <w:t>«</w:t>
      </w:r>
      <w:r w:rsidR="00DF132F">
        <w:rPr>
          <w:rtl/>
          <w:lang w:bidi="fa-IR"/>
        </w:rPr>
        <w:t>بس»:+ «عن».</w:t>
      </w:r>
      <w:r w:rsidR="00744A1C">
        <w:rPr>
          <w:rtl/>
          <w:lang w:bidi="fa-IR"/>
        </w:rPr>
        <w:t xml:space="preserve">وفي </w:t>
      </w:r>
      <w:r w:rsidR="00744A1C" w:rsidRPr="00C24F9C">
        <w:rPr>
          <w:rStyle w:val="libFootnoteBoldChar"/>
          <w:rtl/>
        </w:rPr>
        <w:t>الوسائل</w:t>
      </w:r>
      <w:r w:rsidR="00DF132F">
        <w:rPr>
          <w:rtl/>
          <w:lang w:bidi="fa-IR"/>
        </w:rPr>
        <w:t>:-</w:t>
      </w:r>
      <w:r w:rsidR="00944F23">
        <w:rPr>
          <w:rFonts w:hint="cs"/>
          <w:rtl/>
          <w:lang w:bidi="fa-IR"/>
        </w:rPr>
        <w:t xml:space="preserve"> </w:t>
      </w:r>
      <w:r w:rsidR="00DF132F">
        <w:rPr>
          <w:rtl/>
          <w:lang w:bidi="fa-IR"/>
        </w:rPr>
        <w:t>«</w:t>
      </w:r>
      <w:r w:rsidR="00744A1C">
        <w:rPr>
          <w:rtl/>
          <w:lang w:bidi="fa-IR"/>
        </w:rPr>
        <w:t>ا</w:t>
      </w:r>
      <w:r w:rsidR="00DF132F">
        <w:rPr>
          <w:rFonts w:hint="cs"/>
          <w:rtl/>
          <w:lang w:bidi="fa-IR"/>
        </w:rPr>
        <w:t>ُ</w:t>
      </w:r>
      <w:r w:rsidR="00DF132F">
        <w:rPr>
          <w:rtl/>
          <w:lang w:bidi="fa-IR"/>
        </w:rPr>
        <w:t>خرى</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944F23" w:rsidTr="00944F23">
        <w:tc>
          <w:tcPr>
            <w:tcW w:w="4006" w:type="dxa"/>
          </w:tcPr>
          <w:p w:rsidR="00944F23" w:rsidRDefault="00944F23" w:rsidP="00E378DD">
            <w:pPr>
              <w:pStyle w:val="libFootnote0"/>
              <w:rPr>
                <w:rtl/>
                <w:lang w:bidi="fa-IR"/>
              </w:rPr>
            </w:pPr>
            <w:r>
              <w:rPr>
                <w:rtl/>
                <w:lang w:bidi="fa-IR"/>
              </w:rPr>
              <w:t>(3). في « بخ » : « حدّثه ».</w:t>
            </w:r>
          </w:p>
        </w:tc>
        <w:tc>
          <w:tcPr>
            <w:tcW w:w="4006" w:type="dxa"/>
          </w:tcPr>
          <w:p w:rsidR="00944F23" w:rsidRDefault="00944F23" w:rsidP="00E378DD">
            <w:pPr>
              <w:pStyle w:val="libFootnote0"/>
              <w:rPr>
                <w:rtl/>
                <w:lang w:bidi="fa-IR"/>
              </w:rPr>
            </w:pPr>
            <w:r>
              <w:rPr>
                <w:rtl/>
                <w:lang w:bidi="fa-IR"/>
              </w:rPr>
              <w:t>(4). في « جد » : « هنا لك ».</w:t>
            </w:r>
          </w:p>
        </w:tc>
      </w:tr>
    </w:tbl>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14 ، ص 1390 ، ح 14430 ؛ </w:t>
      </w:r>
      <w:r w:rsidR="00744A1C" w:rsidRPr="00C24F9C">
        <w:rPr>
          <w:rStyle w:val="libFootnoteBoldChar"/>
          <w:rtl/>
        </w:rPr>
        <w:t>الوسائل</w:t>
      </w:r>
      <w:r w:rsidR="00744A1C">
        <w:rPr>
          <w:rtl/>
          <w:lang w:bidi="fa-IR"/>
        </w:rPr>
        <w:t xml:space="preserve"> ، ج 14 ، ص 357 ، ح 19381.</w:t>
      </w:r>
    </w:p>
    <w:tbl>
      <w:tblPr>
        <w:tblStyle w:val="TableGrid"/>
        <w:bidiVisual/>
        <w:tblW w:w="0" w:type="auto"/>
        <w:tblLook w:val="04A0" w:firstRow="1" w:lastRow="0" w:firstColumn="1" w:lastColumn="0" w:noHBand="0" w:noVBand="1"/>
      </w:tblPr>
      <w:tblGrid>
        <w:gridCol w:w="4006"/>
        <w:gridCol w:w="4006"/>
      </w:tblGrid>
      <w:tr w:rsidR="00C83756" w:rsidTr="00C83756">
        <w:tc>
          <w:tcPr>
            <w:tcW w:w="4006" w:type="dxa"/>
          </w:tcPr>
          <w:p w:rsidR="00C83756" w:rsidRDefault="00C83756" w:rsidP="00E378DD">
            <w:pPr>
              <w:pStyle w:val="libFootnote0"/>
              <w:rPr>
                <w:rtl/>
                <w:lang w:bidi="fa-IR"/>
              </w:rPr>
            </w:pPr>
            <w:r>
              <w:rPr>
                <w:rtl/>
                <w:lang w:bidi="fa-IR"/>
              </w:rPr>
              <w:t>(6). في « بخ ، بف » : « قال ».</w:t>
            </w:r>
          </w:p>
        </w:tc>
        <w:tc>
          <w:tcPr>
            <w:tcW w:w="4006" w:type="dxa"/>
          </w:tcPr>
          <w:p w:rsidR="00C83756" w:rsidRDefault="00C83756" w:rsidP="00E378DD">
            <w:pPr>
              <w:pStyle w:val="libFootnote0"/>
              <w:rPr>
                <w:rtl/>
                <w:lang w:bidi="fa-IR"/>
              </w:rPr>
            </w:pPr>
            <w:r>
              <w:rPr>
                <w:rtl/>
                <w:lang w:bidi="fa-IR"/>
              </w:rPr>
              <w:t xml:space="preserve">(7). في </w:t>
            </w:r>
            <w:r w:rsidRPr="00C24F9C">
              <w:rPr>
                <w:rStyle w:val="libFootnoteBoldChar"/>
                <w:rtl/>
              </w:rPr>
              <w:t>التهذيب</w:t>
            </w:r>
            <w:r>
              <w:rPr>
                <w:rtl/>
                <w:lang w:bidi="fa-IR"/>
              </w:rPr>
              <w:t xml:space="preserve"> : « النخل ».</w:t>
            </w:r>
          </w:p>
        </w:tc>
      </w:tr>
      <w:tr w:rsidR="00C83756" w:rsidTr="00C83756">
        <w:tc>
          <w:tcPr>
            <w:tcW w:w="4006" w:type="dxa"/>
          </w:tcPr>
          <w:p w:rsidR="00C83756" w:rsidRDefault="00C83756" w:rsidP="00E378DD">
            <w:pPr>
              <w:pStyle w:val="libFootnote0"/>
              <w:rPr>
                <w:rtl/>
                <w:lang w:bidi="fa-IR"/>
              </w:rPr>
            </w:pPr>
            <w:r>
              <w:rPr>
                <w:rtl/>
                <w:lang w:bidi="fa-IR"/>
              </w:rPr>
              <w:t xml:space="preserve">(8). في </w:t>
            </w:r>
            <w:r w:rsidRPr="00C24F9C">
              <w:rPr>
                <w:rStyle w:val="libFootnoteBoldChar"/>
                <w:rtl/>
              </w:rPr>
              <w:t>الوافي</w:t>
            </w:r>
            <w:r>
              <w:rPr>
                <w:rtl/>
                <w:lang w:bidi="fa-IR"/>
              </w:rPr>
              <w:t xml:space="preserve"> : « سمّي ».</w:t>
            </w:r>
          </w:p>
        </w:tc>
        <w:tc>
          <w:tcPr>
            <w:tcW w:w="4006" w:type="dxa"/>
          </w:tcPr>
          <w:p w:rsidR="00C83756" w:rsidRDefault="00C83756" w:rsidP="00E378DD">
            <w:pPr>
              <w:pStyle w:val="libFootnote0"/>
              <w:rPr>
                <w:rtl/>
                <w:lang w:bidi="fa-IR"/>
              </w:rPr>
            </w:pPr>
            <w:r>
              <w:rPr>
                <w:rtl/>
                <w:lang w:bidi="fa-IR"/>
              </w:rPr>
              <w:t>(9). في « بث » و</w:t>
            </w:r>
            <w:r w:rsidRPr="00C24F9C">
              <w:rPr>
                <w:rStyle w:val="libFootnoteBoldChar"/>
                <w:rtl/>
              </w:rPr>
              <w:t>الوافي</w:t>
            </w:r>
            <w:r>
              <w:rPr>
                <w:rtl/>
                <w:lang w:bidi="fa-IR"/>
              </w:rPr>
              <w:t xml:space="preserve"> : « فذلك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 يسمّى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18 ، ح 40 ، معلّقاً عن الكليني. </w:t>
      </w:r>
      <w:r w:rsidR="00744A1C" w:rsidRPr="003A7143">
        <w:rPr>
          <w:rStyle w:val="libFootnoteBoldChar"/>
          <w:rtl/>
        </w:rPr>
        <w:t>المحاسن</w:t>
      </w:r>
      <w:r w:rsidR="00744A1C">
        <w:rPr>
          <w:rtl/>
          <w:lang w:bidi="fa-IR"/>
        </w:rPr>
        <w:t xml:space="preserve"> ، ص 337 ، كتاب العلل ، ح 116 ، عن ابن فضّال. </w:t>
      </w:r>
      <w:r w:rsidR="00744A1C" w:rsidRPr="003A7143">
        <w:rPr>
          <w:rStyle w:val="libFootnoteBoldChar"/>
          <w:rtl/>
        </w:rPr>
        <w:t>علل الشرائع</w:t>
      </w:r>
      <w:r w:rsidR="00744A1C">
        <w:rPr>
          <w:rtl/>
          <w:lang w:bidi="fa-IR"/>
        </w:rPr>
        <w:t xml:space="preserve"> ، ص 459 ، ح 1 ، بسنده عن أحمد بن محمّد بن عيسى ، عن الحسن بن عليّ بن فضّال ، عن المفضّل بن صالح ، عن أبي بصير ليث المرادي ، عن أبي عبدالله </w:t>
      </w:r>
      <w:r w:rsidR="0061079A" w:rsidRPr="0061079A">
        <w:rPr>
          <w:rStyle w:val="libFootnoteAlaemChar"/>
          <w:rtl/>
        </w:rPr>
        <w:t>عليه‌السلام</w:t>
      </w:r>
      <w:r w:rsidR="00744A1C">
        <w:rPr>
          <w:rtl/>
          <w:lang w:bidi="fa-IR"/>
        </w:rPr>
        <w:t xml:space="preserve"> . وراجع : </w:t>
      </w:r>
      <w:r w:rsidR="00744A1C" w:rsidRPr="00610FB4">
        <w:rPr>
          <w:rStyle w:val="libFootnoteBoldChar"/>
          <w:rtl/>
        </w:rPr>
        <w:t>تفسير القمّي</w:t>
      </w:r>
      <w:r w:rsidR="00744A1C">
        <w:rPr>
          <w:rtl/>
          <w:lang w:bidi="fa-IR"/>
        </w:rPr>
        <w:t xml:space="preserve"> ، ج 1 ، ص 180 </w:t>
      </w:r>
      <w:r w:rsidR="004124CE">
        <w:rPr>
          <w:rFonts w:hint="cs"/>
          <w:rtl/>
          <w:lang w:bidi="fa-IR"/>
        </w:rPr>
        <w:t>.</w:t>
      </w:r>
      <w:r w:rsidR="00744A1C" w:rsidRPr="00C24F9C">
        <w:rPr>
          <w:rStyle w:val="libFootnoteBoldChar"/>
          <w:rtl/>
        </w:rPr>
        <w:t>الوافي</w:t>
      </w:r>
      <w:r w:rsidR="00744A1C">
        <w:rPr>
          <w:rtl/>
          <w:lang w:bidi="fa-IR"/>
        </w:rPr>
        <w:t xml:space="preserve"> ، ج 14 ، ص 1390 ، ح 14432 ؛ </w:t>
      </w:r>
      <w:r w:rsidR="00744A1C" w:rsidRPr="0061079A">
        <w:rPr>
          <w:rStyle w:val="libFootnoteBoldChar"/>
          <w:rtl/>
        </w:rPr>
        <w:t>البحار</w:t>
      </w:r>
      <w:r w:rsidR="00744A1C">
        <w:rPr>
          <w:rtl/>
          <w:lang w:bidi="fa-IR"/>
        </w:rPr>
        <w:t xml:space="preserve"> ، ج 100 ، ص 97 ، ذيل ح 5.</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 أَمَا إِنَّهُ لَمْ يَبْقَ مِنْ آثَارِ رَسُولِ اللهِ </w:t>
      </w:r>
      <w:r w:rsidR="0017097C" w:rsidRPr="0017097C">
        <w:rPr>
          <w:rStyle w:val="libAlaemChar"/>
          <w:rtl/>
        </w:rPr>
        <w:t>صلى‌الله‌عليه‌وآله</w:t>
      </w:r>
      <w:r>
        <w:rPr>
          <w:rtl/>
          <w:lang w:bidi="fa-IR"/>
        </w:rPr>
        <w:t xml:space="preserve"> شَيْ‌ءٌ </w:t>
      </w:r>
      <w:r w:rsidRPr="00D10E3C">
        <w:rPr>
          <w:rStyle w:val="libFootnotenumChar"/>
          <w:rtl/>
        </w:rPr>
        <w:t>(1)</w:t>
      </w:r>
      <w:r w:rsidR="00FD6A35">
        <w:rPr>
          <w:rtl/>
          <w:lang w:bidi="fa-IR"/>
        </w:rPr>
        <w:t xml:space="preserve"> إِل</w:t>
      </w:r>
      <w:r w:rsidR="00FD6A35">
        <w:rPr>
          <w:rFonts w:hint="cs"/>
          <w:rtl/>
          <w:lang w:bidi="fa-IR"/>
        </w:rPr>
        <w:t>َّ</w:t>
      </w:r>
      <w:r w:rsidR="00FD6A35">
        <w:rPr>
          <w:rtl/>
          <w:lang w:bidi="fa-IR"/>
        </w:rPr>
        <w:t>ا</w:t>
      </w:r>
      <w:r>
        <w:rPr>
          <w:rtl/>
          <w:lang w:bidi="fa-IR"/>
        </w:rPr>
        <w:t xml:space="preserve"> وَقَدْ غُيِّرَ غَيْرَ هذَا ». </w:t>
      </w:r>
      <w:r w:rsidRPr="00D10E3C">
        <w:rPr>
          <w:rStyle w:val="libFootnotenumChar"/>
          <w:rtl/>
        </w:rPr>
        <w:t>(2)</w:t>
      </w:r>
    </w:p>
    <w:p w:rsidR="00144FA6" w:rsidRDefault="00744A1C" w:rsidP="00744A1C">
      <w:pPr>
        <w:pStyle w:val="libNormal"/>
        <w:rPr>
          <w:rtl/>
          <w:lang w:bidi="fa-IR"/>
        </w:rPr>
      </w:pPr>
      <w:r>
        <w:rPr>
          <w:rtl/>
          <w:lang w:bidi="fa-IR"/>
        </w:rPr>
        <w:t xml:space="preserve">8134 / 6. عِدَّةٌ مِنْ أَصْحَابِنَا ، عَنْ سَهْلِ بْنِ زِيَادٍ ، عَنْ مُوسَى بْنِ جَعْفَرٍ ، عَنْ عُمْرِو </w:t>
      </w:r>
      <w:r w:rsidRPr="00D10E3C">
        <w:rPr>
          <w:rStyle w:val="libFootnotenumChar"/>
          <w:rtl/>
        </w:rPr>
        <w:t>(3)</w:t>
      </w:r>
      <w:r>
        <w:rPr>
          <w:rtl/>
          <w:lang w:bidi="fa-IR"/>
        </w:rPr>
        <w:t xml:space="preserve"> بْنِ‌ سَعِيدٍ ، عَنِ الْحَسَنِ بْنِ صَدَقَةَ </w:t>
      </w:r>
      <w:r w:rsidRPr="00D10E3C">
        <w:rPr>
          <w:rStyle w:val="libFootnotenumChar"/>
          <w:rtl/>
        </w:rPr>
        <w:t>(4)</w:t>
      </w:r>
      <w:r>
        <w:rPr>
          <w:rtl/>
          <w:lang w:bidi="fa-IR"/>
        </w:rPr>
        <w:t xml:space="preserve"> ، عَنْ عَمَّارِ بْنِ مُوسى ، قَالَ :</w:t>
      </w:r>
    </w:p>
    <w:p w:rsidR="00744A1C" w:rsidRDefault="00744A1C" w:rsidP="00744A1C">
      <w:pPr>
        <w:pStyle w:val="libNormal"/>
        <w:rPr>
          <w:lang w:bidi="fa-IR"/>
        </w:rPr>
      </w:pPr>
      <w:r>
        <w:rPr>
          <w:rtl/>
          <w:lang w:bidi="fa-IR"/>
        </w:rPr>
        <w:t xml:space="preserve">دَخَلْتُ أَنَا وَأَبُو عَبْدِ اللهِ </w:t>
      </w:r>
      <w:r w:rsidR="0061079A" w:rsidRPr="0061079A">
        <w:rPr>
          <w:rStyle w:val="libAlaemChar"/>
          <w:rtl/>
        </w:rPr>
        <w:t>عليه‌السلام</w:t>
      </w:r>
      <w:r w:rsidR="00D10E3C">
        <w:rPr>
          <w:rtl/>
          <w:lang w:bidi="fa-IR"/>
        </w:rPr>
        <w:t xml:space="preserve"> </w:t>
      </w:r>
      <w:r>
        <w:rPr>
          <w:rtl/>
          <w:lang w:bidi="fa-IR"/>
        </w:rPr>
        <w:t>مَسْجِدَ الْفَضِي</w:t>
      </w:r>
      <w:r w:rsidR="00673576">
        <w:rPr>
          <w:rtl/>
          <w:lang w:bidi="fa-IR"/>
        </w:rPr>
        <w:t>خِ ، فَقَالَ : « يَا عَمَّارُ،</w:t>
      </w:r>
      <w:r>
        <w:rPr>
          <w:rtl/>
          <w:lang w:bidi="fa-IR"/>
        </w:rPr>
        <w:t xml:space="preserve">تَرى هذِهِ الْوَهْدَةَ </w:t>
      </w:r>
      <w:r w:rsidRPr="00D10E3C">
        <w:rPr>
          <w:rStyle w:val="libFootnotenumChar"/>
          <w:rtl/>
        </w:rPr>
        <w:t>(5)</w:t>
      </w:r>
      <w:r>
        <w:rPr>
          <w:rtl/>
          <w:lang w:bidi="fa-IR"/>
        </w:rPr>
        <w:t>؟ ».</w:t>
      </w:r>
    </w:p>
    <w:p w:rsidR="00744A1C" w:rsidRDefault="00744A1C" w:rsidP="00744A1C">
      <w:pPr>
        <w:pStyle w:val="libNormal"/>
        <w:rPr>
          <w:lang w:bidi="fa-IR"/>
        </w:rPr>
      </w:pPr>
      <w:r>
        <w:rPr>
          <w:rtl/>
          <w:lang w:bidi="fa-IR"/>
        </w:rPr>
        <w:t>قُلْتُ : نَعَمْ.</w:t>
      </w:r>
    </w:p>
    <w:p w:rsidR="00744A1C" w:rsidRDefault="00744A1C" w:rsidP="00744A1C">
      <w:pPr>
        <w:pStyle w:val="libNormal"/>
        <w:rPr>
          <w:lang w:bidi="fa-IR"/>
        </w:rPr>
      </w:pPr>
      <w:r>
        <w:rPr>
          <w:rtl/>
          <w:lang w:bidi="fa-IR"/>
        </w:rPr>
        <w:t xml:space="preserve">قَالَ : « كَانَتِ امْرَأَةُ جَعْفَرٍ </w:t>
      </w:r>
      <w:r w:rsidRPr="00D10E3C">
        <w:rPr>
          <w:rStyle w:val="libFootnotenumChar"/>
          <w:rtl/>
        </w:rPr>
        <w:t>(6)</w:t>
      </w:r>
      <w:r>
        <w:rPr>
          <w:rtl/>
          <w:lang w:bidi="fa-IR"/>
        </w:rPr>
        <w:t xml:space="preserve"> - الَّتِي خَلَفَ عَلَيْهَا </w:t>
      </w:r>
      <w:r w:rsidRPr="00D10E3C">
        <w:rPr>
          <w:rStyle w:val="libFootnotenumChar"/>
          <w:rtl/>
        </w:rPr>
        <w:t>(7)</w:t>
      </w:r>
      <w:r>
        <w:rPr>
          <w:rtl/>
          <w:lang w:bidi="fa-IR"/>
        </w:rPr>
        <w:t xml:space="preserve"> أَمِيرُ الْمُؤْمِنِينَ </w:t>
      </w:r>
      <w:r w:rsidR="0061079A" w:rsidRPr="0061079A">
        <w:rPr>
          <w:rStyle w:val="libAlaemChar"/>
          <w:rtl/>
        </w:rPr>
        <w:t>عليه‌السلام</w:t>
      </w:r>
      <w:r w:rsidR="00D10E3C">
        <w:rPr>
          <w:rtl/>
          <w:lang w:bidi="fa-IR"/>
        </w:rPr>
        <w:t xml:space="preserve"> </w:t>
      </w:r>
      <w:r>
        <w:rPr>
          <w:rtl/>
          <w:lang w:bidi="fa-IR"/>
        </w:rPr>
        <w:t xml:space="preserve">- قَاعِدَةً فِي هذَا الْمَوْضِعِ ، وَمَعَهَا ابْنَاهَا مِنْ جَعْفَرٍ ، فَبَكَتْ ، فَقَالَ </w:t>
      </w:r>
      <w:r w:rsidRPr="00D10E3C">
        <w:rPr>
          <w:rStyle w:val="libFootnotenumChar"/>
          <w:rtl/>
        </w:rPr>
        <w:t>(8)</w:t>
      </w:r>
      <w:r>
        <w:rPr>
          <w:rtl/>
          <w:lang w:bidi="fa-IR"/>
        </w:rPr>
        <w:t xml:space="preserve"> لَهَا ابْنَاهَا : مَا يُبْكِيكِ يَا أُمَّهْ؟ قَالَتْ : بَكَيْتُ لِأَمِيرِ الْمُؤْمِنِينَ </w:t>
      </w:r>
      <w:r w:rsidR="0061079A" w:rsidRPr="0061079A">
        <w:rPr>
          <w:rStyle w:val="libAlaemChar"/>
          <w:rtl/>
        </w:rPr>
        <w:t>عليه‌السلام</w:t>
      </w:r>
      <w:r w:rsidR="00D10E3C">
        <w:rPr>
          <w:rtl/>
          <w:lang w:bidi="fa-IR"/>
        </w:rPr>
        <w:t xml:space="preserve"> </w:t>
      </w:r>
      <w:r>
        <w:rPr>
          <w:rtl/>
          <w:lang w:bidi="fa-IR"/>
        </w:rPr>
        <w:t xml:space="preserve">، فَقَالَا </w:t>
      </w:r>
      <w:r w:rsidRPr="00D10E3C">
        <w:rPr>
          <w:rStyle w:val="libFootnotenumChar"/>
          <w:rtl/>
        </w:rPr>
        <w:t>(9)</w:t>
      </w:r>
      <w:r>
        <w:rPr>
          <w:rtl/>
          <w:lang w:bidi="fa-IR"/>
        </w:rPr>
        <w:t xml:space="preserve"> لَهَا : تَبْكِينَ لِأَمِيرِ الْمُؤْمِنِينَ ، وَلَاتَبْكِينَ لِأَبِينَا؟</w:t>
      </w:r>
    </w:p>
    <w:p w:rsidR="00744A1C" w:rsidRDefault="00744A1C" w:rsidP="00744A1C">
      <w:pPr>
        <w:pStyle w:val="libNormal"/>
        <w:rPr>
          <w:lang w:bidi="fa-IR"/>
        </w:rPr>
      </w:pPr>
      <w:r>
        <w:rPr>
          <w:rtl/>
          <w:lang w:bidi="fa-IR"/>
        </w:rPr>
        <w:t xml:space="preserve">قَالَتْ : لَيْسَ هذَا لِهذَا </w:t>
      </w:r>
      <w:r w:rsidRPr="00D10E3C">
        <w:rPr>
          <w:rStyle w:val="libFootnotenumChar"/>
          <w:rtl/>
        </w:rPr>
        <w:t>(10)</w:t>
      </w:r>
      <w:r>
        <w:rPr>
          <w:rtl/>
          <w:lang w:bidi="fa-IR"/>
        </w:rPr>
        <w:t xml:space="preserve"> وَلكِنْ ذَكَرْتُ حَدِيثاً حَدَّثَنِي بِهِ أَمِيرُ الْمُؤْمِنِينَ </w:t>
      </w:r>
      <w:r w:rsidR="0061079A" w:rsidRPr="0061079A">
        <w:rPr>
          <w:rStyle w:val="libAlaemChar"/>
          <w:rtl/>
        </w:rPr>
        <w:t>عليه‌السلام</w:t>
      </w:r>
      <w:r w:rsidR="00D10E3C">
        <w:rPr>
          <w:rtl/>
          <w:lang w:bidi="fa-IR"/>
        </w:rPr>
        <w:t xml:space="preserve"> </w:t>
      </w:r>
      <w:r>
        <w:rPr>
          <w:rtl/>
          <w:lang w:bidi="fa-IR"/>
        </w:rPr>
        <w:t>فِي هذَا الْمَوْضِعِ ، فَأَبْكَانِي.</w:t>
      </w:r>
    </w:p>
    <w:p w:rsidR="00744A1C" w:rsidRDefault="00744A1C" w:rsidP="00744A1C">
      <w:pPr>
        <w:pStyle w:val="libNormal"/>
        <w:rPr>
          <w:lang w:bidi="fa-IR"/>
        </w:rPr>
      </w:pPr>
      <w:r>
        <w:rPr>
          <w:rtl/>
          <w:lang w:bidi="fa-IR"/>
        </w:rPr>
        <w:t>قَالَا : وَمَا هُوَ؟</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 - « شي‌ء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14 ، ص 1390 ، ح 14431 ؛ </w:t>
      </w:r>
      <w:r w:rsidR="00744A1C" w:rsidRPr="00C24F9C">
        <w:rPr>
          <w:rStyle w:val="libFootnoteBoldChar"/>
          <w:rtl/>
        </w:rPr>
        <w:t>الوسائل</w:t>
      </w:r>
      <w:r w:rsidR="00744A1C">
        <w:rPr>
          <w:rtl/>
          <w:lang w:bidi="fa-IR"/>
        </w:rPr>
        <w:t xml:space="preserve"> ، ج 14 ، ص 355 ، ح 19375 ؛ </w:t>
      </w:r>
      <w:r w:rsidR="00744A1C" w:rsidRPr="0061079A">
        <w:rPr>
          <w:rStyle w:val="libFootnoteBoldChar"/>
          <w:rtl/>
        </w:rPr>
        <w:t>البحار</w:t>
      </w:r>
      <w:r w:rsidR="00744A1C">
        <w:rPr>
          <w:rtl/>
          <w:lang w:bidi="fa-IR"/>
        </w:rPr>
        <w:t xml:space="preserve"> ، ج 100 ، ص 216 ، ح 14.</w:t>
      </w:r>
    </w:p>
    <w:p w:rsidR="00744A1C" w:rsidRDefault="00E378DD" w:rsidP="00E378DD">
      <w:pPr>
        <w:pStyle w:val="libFootnote0"/>
        <w:rPr>
          <w:lang w:bidi="fa-IR"/>
        </w:rPr>
      </w:pPr>
      <w:r>
        <w:rPr>
          <w:rtl/>
          <w:lang w:bidi="fa-IR"/>
        </w:rPr>
        <w:t>(3).</w:t>
      </w:r>
      <w:r w:rsidR="00744A1C">
        <w:rPr>
          <w:rtl/>
          <w:lang w:bidi="fa-IR"/>
        </w:rPr>
        <w:t xml:space="preserve"> هكذا في « ى ، بح ، بخ ، جر ، جن » و</w:t>
      </w:r>
      <w:r w:rsidR="00744A1C" w:rsidRPr="0061079A">
        <w:rPr>
          <w:rStyle w:val="libFootnoteBoldChar"/>
          <w:rtl/>
        </w:rPr>
        <w:t>البحار</w:t>
      </w:r>
      <w:r w:rsidR="00744A1C">
        <w:rPr>
          <w:rtl/>
          <w:lang w:bidi="fa-IR"/>
        </w:rPr>
        <w:t>. وفي « بث ، بس ، بف ، جد » والمطبوع : « عمر ».</w:t>
      </w:r>
    </w:p>
    <w:p w:rsidR="00744A1C" w:rsidRDefault="00744A1C" w:rsidP="00D10E3C">
      <w:pPr>
        <w:pStyle w:val="libFootnote0"/>
        <w:rPr>
          <w:lang w:bidi="fa-IR"/>
        </w:rPr>
      </w:pPr>
      <w:r>
        <w:rPr>
          <w:rtl/>
          <w:lang w:bidi="fa-IR"/>
        </w:rPr>
        <w:t xml:space="preserve">وعمرو بن سعيد هذا هو عمرو بن سعيد المدائني روى كتابَه موسى بن جعفر [ البغدادي ] وتكرّرت روايته عنه في الأسناد. راجع : </w:t>
      </w:r>
      <w:r w:rsidRPr="003A7143">
        <w:rPr>
          <w:rStyle w:val="libFootnoteBoldChar"/>
          <w:rtl/>
        </w:rPr>
        <w:t>رجال النجاشي</w:t>
      </w:r>
      <w:r>
        <w:rPr>
          <w:rtl/>
          <w:lang w:bidi="fa-IR"/>
        </w:rPr>
        <w:t xml:space="preserve"> ، ص 287 ، الرقم 767 ؛ </w:t>
      </w:r>
      <w:r w:rsidRPr="003A7143">
        <w:rPr>
          <w:rStyle w:val="libFootnoteBoldChar"/>
          <w:rtl/>
        </w:rPr>
        <w:t>الفهرست للطوسي</w:t>
      </w:r>
      <w:r>
        <w:rPr>
          <w:rtl/>
          <w:lang w:bidi="fa-IR"/>
        </w:rPr>
        <w:t xml:space="preserve"> ، ص 317 ، الرقم 488 ؛ </w:t>
      </w:r>
      <w:r w:rsidRPr="0061079A">
        <w:rPr>
          <w:rStyle w:val="libFootnoteBoldChar"/>
          <w:rtl/>
        </w:rPr>
        <w:t>معجم رجال الحديث</w:t>
      </w:r>
      <w:r>
        <w:rPr>
          <w:rtl/>
          <w:lang w:bidi="fa-IR"/>
        </w:rPr>
        <w:t xml:space="preserve"> ، ج 19 ، ص 347 - 349.</w:t>
      </w:r>
    </w:p>
    <w:p w:rsidR="00744A1C" w:rsidRDefault="00E378DD" w:rsidP="00E378DD">
      <w:pPr>
        <w:pStyle w:val="libFootnote0"/>
        <w:rPr>
          <w:lang w:bidi="fa-IR"/>
        </w:rPr>
      </w:pPr>
      <w:r>
        <w:rPr>
          <w:rtl/>
          <w:lang w:bidi="fa-IR"/>
        </w:rPr>
        <w:t>(4).</w:t>
      </w:r>
      <w:r w:rsidR="00744A1C">
        <w:rPr>
          <w:rtl/>
          <w:lang w:bidi="fa-IR"/>
        </w:rPr>
        <w:t xml:space="preserve"> في </w:t>
      </w:r>
      <w:r w:rsidR="00744A1C" w:rsidRPr="00673576">
        <w:rPr>
          <w:rtl/>
        </w:rPr>
        <w:t>البحار ،</w:t>
      </w:r>
      <w:r w:rsidR="00744A1C">
        <w:rPr>
          <w:rtl/>
          <w:lang w:bidi="fa-IR"/>
        </w:rPr>
        <w:t xml:space="preserve"> ج 41 : + « عن عمرو بن صدقة ». وعمرو بن صدقة مجهول لم نجد له ذكراً في موضع.</w:t>
      </w:r>
    </w:p>
    <w:p w:rsidR="00744A1C" w:rsidRDefault="00E378DD" w:rsidP="00E378DD">
      <w:pPr>
        <w:pStyle w:val="libFootnote0"/>
        <w:rPr>
          <w:lang w:bidi="fa-IR"/>
        </w:rPr>
      </w:pPr>
      <w:r>
        <w:rPr>
          <w:rtl/>
          <w:lang w:bidi="fa-IR"/>
        </w:rPr>
        <w:t>(5).</w:t>
      </w:r>
      <w:r w:rsidR="00744A1C">
        <w:rPr>
          <w:rtl/>
          <w:lang w:bidi="fa-IR"/>
        </w:rPr>
        <w:t xml:space="preserve"> الوَهْدُ والوَهْدَةُ : المكان المنخفض كأنّه حفرة. راجع : </w:t>
      </w:r>
      <w:r w:rsidR="00744A1C" w:rsidRPr="00E978C3">
        <w:rPr>
          <w:rStyle w:val="libFootnoteBoldChar"/>
          <w:rtl/>
        </w:rPr>
        <w:t>ترتيب كتاب العين</w:t>
      </w:r>
      <w:r w:rsidR="00744A1C">
        <w:rPr>
          <w:rtl/>
          <w:lang w:bidi="fa-IR"/>
        </w:rPr>
        <w:t xml:space="preserve"> ، ج 3 ، ص 1986 ؛ </w:t>
      </w:r>
      <w:r w:rsidR="00744A1C" w:rsidRPr="00877682">
        <w:rPr>
          <w:rStyle w:val="libFootnoteBoldChar"/>
          <w:rtl/>
        </w:rPr>
        <w:t>لسان العرب</w:t>
      </w:r>
      <w:r w:rsidR="00744A1C">
        <w:rPr>
          <w:rtl/>
          <w:lang w:bidi="fa-IR"/>
        </w:rPr>
        <w:t xml:space="preserve"> ، ج 3 ، ص 471 ( وهد ).</w:t>
      </w:r>
    </w:p>
    <w:p w:rsidR="00744A1C" w:rsidRDefault="00E378DD" w:rsidP="00E378DD">
      <w:pPr>
        <w:pStyle w:val="libFootnote0"/>
        <w:rPr>
          <w:lang w:bidi="fa-IR"/>
        </w:rPr>
      </w:pPr>
      <w:r>
        <w:rPr>
          <w:rtl/>
          <w:lang w:bidi="fa-IR"/>
        </w:rPr>
        <w:t>(6).</w:t>
      </w:r>
      <w:r w:rsidR="00744A1C">
        <w:rPr>
          <w:rtl/>
          <w:lang w:bidi="fa-IR"/>
        </w:rPr>
        <w:t xml:space="preserve"> في </w:t>
      </w:r>
      <w:r w:rsidR="00744A1C" w:rsidRPr="00673576">
        <w:rPr>
          <w:rtl/>
        </w:rPr>
        <w:t>الوافي</w:t>
      </w:r>
      <w:r w:rsidR="00744A1C">
        <w:rPr>
          <w:rtl/>
          <w:lang w:bidi="fa-IR"/>
        </w:rPr>
        <w:t xml:space="preserve"> : « يعني بها أسماء بنت عميس رضي الله عنها ».</w:t>
      </w:r>
    </w:p>
    <w:tbl>
      <w:tblPr>
        <w:tblStyle w:val="TableGrid"/>
        <w:bidiVisual/>
        <w:tblW w:w="0" w:type="auto"/>
        <w:tblLook w:val="04A0" w:firstRow="1" w:lastRow="0" w:firstColumn="1" w:lastColumn="0" w:noHBand="0" w:noVBand="1"/>
      </w:tblPr>
      <w:tblGrid>
        <w:gridCol w:w="4006"/>
        <w:gridCol w:w="4006"/>
      </w:tblGrid>
      <w:tr w:rsidR="00673576" w:rsidTr="00673576">
        <w:tc>
          <w:tcPr>
            <w:tcW w:w="4006" w:type="dxa"/>
          </w:tcPr>
          <w:p w:rsidR="00673576" w:rsidRDefault="00673576" w:rsidP="00E378DD">
            <w:pPr>
              <w:pStyle w:val="libFootnote0"/>
              <w:rPr>
                <w:rtl/>
                <w:lang w:bidi="fa-IR"/>
              </w:rPr>
            </w:pPr>
            <w:r>
              <w:rPr>
                <w:rtl/>
                <w:lang w:bidi="fa-IR"/>
              </w:rPr>
              <w:t xml:space="preserve">(7). في </w:t>
            </w:r>
            <w:r w:rsidRPr="00673576">
              <w:rPr>
                <w:rtl/>
              </w:rPr>
              <w:t>الوافي :</w:t>
            </w:r>
            <w:r>
              <w:rPr>
                <w:rtl/>
                <w:lang w:bidi="fa-IR"/>
              </w:rPr>
              <w:t xml:space="preserve"> « أي كان قائماً في الزوجيّة مقامه ».</w:t>
            </w:r>
          </w:p>
        </w:tc>
        <w:tc>
          <w:tcPr>
            <w:tcW w:w="4006" w:type="dxa"/>
          </w:tcPr>
          <w:p w:rsidR="00673576" w:rsidRDefault="00673576" w:rsidP="00E378DD">
            <w:pPr>
              <w:pStyle w:val="libFootnote0"/>
              <w:rPr>
                <w:rtl/>
                <w:lang w:bidi="fa-IR"/>
              </w:rPr>
            </w:pPr>
            <w:r>
              <w:rPr>
                <w:rtl/>
                <w:lang w:bidi="fa-IR"/>
              </w:rPr>
              <w:t>(8). في « جن » و</w:t>
            </w:r>
            <w:r w:rsidRPr="0061079A">
              <w:rPr>
                <w:rStyle w:val="libFootnoteBoldChar"/>
                <w:rtl/>
              </w:rPr>
              <w:t>البحار</w:t>
            </w:r>
            <w:r>
              <w:rPr>
                <w:rtl/>
                <w:lang w:bidi="fa-IR"/>
              </w:rPr>
              <w:t xml:space="preserve"> ، ج 41 : « فقالا ».</w:t>
            </w:r>
          </w:p>
        </w:tc>
      </w:tr>
    </w:tbl>
    <w:p w:rsidR="00744A1C" w:rsidRDefault="00E378DD" w:rsidP="00E378DD">
      <w:pPr>
        <w:pStyle w:val="libFootnote0"/>
        <w:rPr>
          <w:lang w:bidi="fa-IR"/>
        </w:rPr>
      </w:pPr>
      <w:r>
        <w:rPr>
          <w:rtl/>
          <w:lang w:bidi="fa-IR"/>
        </w:rPr>
        <w:t>(9).</w:t>
      </w:r>
      <w:r w:rsidR="00744A1C">
        <w:rPr>
          <w:rtl/>
          <w:lang w:bidi="fa-IR"/>
        </w:rPr>
        <w:t xml:space="preserve"> في « ى ، بخ » وحاشية « بث » : « فقال ».</w:t>
      </w:r>
    </w:p>
    <w:p w:rsidR="00744A1C" w:rsidRDefault="00E378DD" w:rsidP="00E378DD">
      <w:pPr>
        <w:pStyle w:val="libFootnote0"/>
        <w:rPr>
          <w:lang w:bidi="fa-IR"/>
        </w:rPr>
      </w:pPr>
      <w:r>
        <w:rPr>
          <w:rtl/>
          <w:lang w:bidi="fa-IR"/>
        </w:rPr>
        <w:t>(10).</w:t>
      </w:r>
      <w:r w:rsidR="00744A1C">
        <w:rPr>
          <w:rtl/>
          <w:lang w:bidi="fa-IR"/>
        </w:rPr>
        <w:t xml:space="preserve"> هكذا في معظم النسخ التي قوبلت و</w:t>
      </w:r>
      <w:r w:rsidR="00744A1C" w:rsidRPr="0061079A">
        <w:rPr>
          <w:rStyle w:val="libFootnoteBoldChar"/>
          <w:rtl/>
        </w:rPr>
        <w:t>البحار</w:t>
      </w:r>
      <w:r w:rsidR="00744A1C">
        <w:rPr>
          <w:rtl/>
          <w:lang w:bidi="fa-IR"/>
        </w:rPr>
        <w:t>. وفي المطبوع : « هكذا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قَالَتْ : كُنْتُ أَنَا وَأَمِيرُ الْمُؤْمِنِينَ فِي هذَا الْمَسْجِدِ ، فَقَالَ لِي : تَرَيْنَ </w:t>
      </w:r>
      <w:r w:rsidRPr="00D10E3C">
        <w:rPr>
          <w:rStyle w:val="libFootnotenumChar"/>
          <w:rtl/>
        </w:rPr>
        <w:t>(1)</w:t>
      </w:r>
      <w:r>
        <w:rPr>
          <w:rtl/>
          <w:lang w:bidi="fa-IR"/>
        </w:rPr>
        <w:t xml:space="preserve"> هذِهِ الْوَهْدَةَ؟</w:t>
      </w:r>
    </w:p>
    <w:p w:rsidR="00144FA6" w:rsidRDefault="00744A1C" w:rsidP="00744A1C">
      <w:pPr>
        <w:pStyle w:val="libNormal"/>
        <w:rPr>
          <w:rtl/>
          <w:lang w:bidi="fa-IR"/>
        </w:rPr>
      </w:pPr>
      <w:r>
        <w:rPr>
          <w:rtl/>
          <w:lang w:bidi="fa-IR"/>
        </w:rPr>
        <w:t xml:space="preserve">قُلْتُ : نَعَمْ ، قَالَ : كُنْتُ أَنَا وَرَسُولُ اللهِ </w:t>
      </w:r>
      <w:r w:rsidR="0017097C" w:rsidRPr="0017097C">
        <w:rPr>
          <w:rStyle w:val="libAlaemChar"/>
          <w:rtl/>
        </w:rPr>
        <w:t>صلى‌الله‌عليه‌وآله</w:t>
      </w:r>
      <w:r w:rsidR="00D10E3C">
        <w:rPr>
          <w:rtl/>
          <w:lang w:bidi="fa-IR"/>
        </w:rPr>
        <w:t xml:space="preserve"> </w:t>
      </w:r>
      <w:r>
        <w:rPr>
          <w:rtl/>
          <w:lang w:bidi="fa-IR"/>
        </w:rPr>
        <w:t xml:space="preserve"> قَاعِدَيْنِ فِيهَا إِذْ وَضَعَ رَأْسَهُ فِي حَجْرِي ، ثُمَّ خَفَقَ </w:t>
      </w:r>
      <w:r w:rsidRPr="00D10E3C">
        <w:rPr>
          <w:rStyle w:val="libFootnotenumChar"/>
          <w:rtl/>
        </w:rPr>
        <w:t>(2)</w:t>
      </w:r>
      <w:r>
        <w:rPr>
          <w:rtl/>
          <w:lang w:bidi="fa-IR"/>
        </w:rPr>
        <w:t xml:space="preserve"> حَتّى غَطَّ </w:t>
      </w:r>
      <w:r w:rsidRPr="00D10E3C">
        <w:rPr>
          <w:rStyle w:val="libFootnotenumChar"/>
          <w:rtl/>
        </w:rPr>
        <w:t>(3)</w:t>
      </w:r>
      <w:r>
        <w:rPr>
          <w:rtl/>
          <w:lang w:bidi="fa-IR"/>
        </w:rPr>
        <w:t xml:space="preserve"> ، وَحَضَرَتْ صَلَاةُ الْعَصْرِ ، فَكَرِهْتُ أَنْ أُحَرِّكَ رَأْسَهُ عَنْ فَخِذِي ، فَأَكُونَ قَدْ آذَيْتُ رَسُولَ اللهِ </w:t>
      </w:r>
      <w:r w:rsidR="0017097C" w:rsidRPr="0017097C">
        <w:rPr>
          <w:rStyle w:val="libAlaemChar"/>
          <w:rtl/>
        </w:rPr>
        <w:t>صلى‌الله‌عليه‌وآله</w:t>
      </w:r>
      <w:r w:rsidR="00D10E3C">
        <w:rPr>
          <w:rtl/>
          <w:lang w:bidi="fa-IR"/>
        </w:rPr>
        <w:t xml:space="preserve"> </w:t>
      </w:r>
      <w:r>
        <w:rPr>
          <w:rtl/>
          <w:lang w:bidi="fa-IR"/>
        </w:rPr>
        <w:t xml:space="preserve">حَتّى ذَهَبَ الْوَقْتُ وَفَاتَتْ </w:t>
      </w:r>
      <w:r w:rsidRPr="00D10E3C">
        <w:rPr>
          <w:rStyle w:val="libFootnotenumChar"/>
          <w:rtl/>
        </w:rPr>
        <w:t>(4)</w:t>
      </w:r>
      <w:r>
        <w:rPr>
          <w:rtl/>
          <w:lang w:bidi="fa-IR"/>
        </w:rPr>
        <w:t xml:space="preserve"> ، فَانْتَبَهَ رَسُولُ اللهِ </w:t>
      </w:r>
      <w:r w:rsidR="0017097C" w:rsidRPr="0017097C">
        <w:rPr>
          <w:rStyle w:val="libAlaemChar"/>
          <w:rtl/>
        </w:rPr>
        <w:t>صلى‌الله‌عليه‌وآله</w:t>
      </w:r>
      <w:r>
        <w:rPr>
          <w:rtl/>
          <w:lang w:bidi="fa-IR"/>
        </w:rPr>
        <w:t xml:space="preserve"> ، فَقَالَ : يَا عَلِيُّ ، صَلَّيْتَ؟ قُلْتُ : لَا ، قَالَ : وَلِمَ ذلِكَ </w:t>
      </w:r>
      <w:r w:rsidRPr="00D10E3C">
        <w:rPr>
          <w:rStyle w:val="libFootnotenumChar"/>
          <w:rtl/>
        </w:rPr>
        <w:t>(5)</w:t>
      </w:r>
      <w:r>
        <w:rPr>
          <w:rtl/>
          <w:lang w:bidi="fa-IR"/>
        </w:rPr>
        <w:t xml:space="preserve">؟ قُلْتُ : كَرِهْتُ أَنْ </w:t>
      </w:r>
      <w:r w:rsidRPr="00D10E3C">
        <w:rPr>
          <w:rStyle w:val="libFootnotenumChar"/>
          <w:rtl/>
        </w:rPr>
        <w:t>(6)</w:t>
      </w:r>
      <w:r>
        <w:rPr>
          <w:rtl/>
          <w:lang w:bidi="fa-IR"/>
        </w:rPr>
        <w:t xml:space="preserve"> أُوذِيَكَ ، قَالَ : فَقَامَ ، وَاسْتَقْبَلَ الْقِبْلَةَ ، وَمَدَّ يَدَيْهِ كِلْتَيْهِمَا ، وَقَالَ : الل</w:t>
      </w:r>
      <w:r w:rsidR="00DC610B">
        <w:rPr>
          <w:rFonts w:hint="cs"/>
          <w:rtl/>
          <w:lang w:bidi="fa-IR"/>
        </w:rPr>
        <w:t>ّ</w:t>
      </w:r>
      <w:r>
        <w:rPr>
          <w:rtl/>
          <w:lang w:bidi="fa-IR"/>
        </w:rPr>
        <w:t xml:space="preserve">هُمَّ رُدَّ الشَّمْسَ إِلى وَقْتِهَا حَتّى يُصَلِّيَ عَلِيٌّ ، فَرَجَعَتِ الشَّمْسُ إِلى وَقْتِ الصَّلَاةِ حَتّى صَلَّيْتُ الْعَصْرَ ، ثُمَّ انْقَضَّتْ </w:t>
      </w:r>
      <w:r w:rsidRPr="00D10E3C">
        <w:rPr>
          <w:rStyle w:val="libFootnotenumChar"/>
          <w:rtl/>
        </w:rPr>
        <w:t>(7)</w:t>
      </w:r>
      <w:r>
        <w:rPr>
          <w:rtl/>
          <w:lang w:bidi="fa-IR"/>
        </w:rPr>
        <w:t xml:space="preserve"> انْقِضَاضَ الْكَوْكَبِ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DC610B" w:rsidTr="00DC610B">
        <w:tc>
          <w:tcPr>
            <w:tcW w:w="4006" w:type="dxa"/>
          </w:tcPr>
          <w:p w:rsidR="00DC610B" w:rsidRDefault="00DC610B" w:rsidP="00D10E3C">
            <w:pPr>
              <w:pStyle w:val="libFootnote0"/>
              <w:rPr>
                <w:rtl/>
                <w:lang w:bidi="fa-IR"/>
              </w:rPr>
            </w:pPr>
            <w:r>
              <w:rPr>
                <w:rtl/>
                <w:lang w:bidi="fa-IR"/>
              </w:rPr>
              <w:t xml:space="preserve">(1). في </w:t>
            </w:r>
            <w:r w:rsidRPr="00DC610B">
              <w:rPr>
                <w:rtl/>
              </w:rPr>
              <w:t>الوافي والبحار</w:t>
            </w:r>
            <w:r>
              <w:rPr>
                <w:rtl/>
                <w:lang w:bidi="fa-IR"/>
              </w:rPr>
              <w:t xml:space="preserve"> ، ج 41 : « ترى ».</w:t>
            </w:r>
          </w:p>
        </w:tc>
        <w:tc>
          <w:tcPr>
            <w:tcW w:w="4006" w:type="dxa"/>
          </w:tcPr>
          <w:p w:rsidR="00DC610B" w:rsidRDefault="00DC610B" w:rsidP="00D10E3C">
            <w:pPr>
              <w:pStyle w:val="libFootnote0"/>
              <w:rPr>
                <w:rtl/>
                <w:lang w:bidi="fa-IR"/>
              </w:rPr>
            </w:pPr>
            <w:r>
              <w:rPr>
                <w:rtl/>
                <w:lang w:bidi="fa-IR"/>
              </w:rPr>
              <w:t>(2). «خَفَقَ»:نام.</w:t>
            </w:r>
            <w:r w:rsidRPr="00877682">
              <w:rPr>
                <w:rStyle w:val="libFootnoteBoldChar"/>
                <w:rtl/>
              </w:rPr>
              <w:t>لسان العرب</w:t>
            </w:r>
            <w:r>
              <w:rPr>
                <w:rtl/>
                <w:lang w:bidi="fa-IR"/>
              </w:rPr>
              <w:t xml:space="preserve"> ، ج 1،ص 80(خفق).</w:t>
            </w:r>
          </w:p>
        </w:tc>
      </w:tr>
    </w:tbl>
    <w:p w:rsidR="00744A1C" w:rsidRDefault="00E378DD" w:rsidP="00E378DD">
      <w:pPr>
        <w:pStyle w:val="libFootnote0"/>
        <w:rPr>
          <w:lang w:bidi="fa-IR"/>
        </w:rPr>
      </w:pPr>
      <w:r>
        <w:rPr>
          <w:rtl/>
          <w:lang w:bidi="fa-IR"/>
        </w:rPr>
        <w:t>(3).</w:t>
      </w:r>
      <w:r w:rsidR="00744A1C">
        <w:rPr>
          <w:rtl/>
          <w:lang w:bidi="fa-IR"/>
        </w:rPr>
        <w:t xml:space="preserve"> الغَطيط : صوت النائم ونَخيره ، وغطّ في نومه ، أي نَخَرَ. راجع : </w:t>
      </w:r>
      <w:r w:rsidR="00744A1C" w:rsidRPr="00877682">
        <w:rPr>
          <w:rStyle w:val="libFootnoteBoldChar"/>
          <w:rtl/>
        </w:rPr>
        <w:t>لسان العرب</w:t>
      </w:r>
      <w:r w:rsidR="00744A1C">
        <w:rPr>
          <w:rtl/>
          <w:lang w:bidi="fa-IR"/>
        </w:rPr>
        <w:t xml:space="preserve"> ، ج 7 ، ص 362 ( غطط ).</w:t>
      </w:r>
    </w:p>
    <w:p w:rsidR="00744A1C" w:rsidRDefault="00E378DD" w:rsidP="00E378DD">
      <w:pPr>
        <w:pStyle w:val="libFootnote0"/>
        <w:rPr>
          <w:lang w:bidi="fa-IR"/>
        </w:rPr>
      </w:pPr>
      <w:r>
        <w:rPr>
          <w:rtl/>
          <w:lang w:bidi="fa-IR"/>
        </w:rPr>
        <w:t>(4).</w:t>
      </w:r>
      <w:r w:rsidR="00744A1C">
        <w:rPr>
          <w:rtl/>
          <w:lang w:bidi="fa-IR"/>
        </w:rPr>
        <w:t xml:space="preserve"> في </w:t>
      </w:r>
      <w:r w:rsidR="00744A1C" w:rsidRPr="0061079A">
        <w:rPr>
          <w:rStyle w:val="libFootnoteBoldChar"/>
          <w:rtl/>
        </w:rPr>
        <w:t>البحار</w:t>
      </w:r>
      <w:r w:rsidR="00744A1C">
        <w:rPr>
          <w:rtl/>
          <w:lang w:bidi="fa-IR"/>
        </w:rPr>
        <w:t xml:space="preserve"> ، ج 41 : + « الصلاة ».</w:t>
      </w:r>
    </w:p>
    <w:p w:rsidR="00744A1C" w:rsidRDefault="00744A1C" w:rsidP="007B6038">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276 : « أمّا تركه </w:t>
      </w:r>
      <w:r w:rsidR="0061079A" w:rsidRPr="0061079A">
        <w:rPr>
          <w:rStyle w:val="libFootnoteAlaemChar"/>
          <w:rtl/>
        </w:rPr>
        <w:t>عليه‌السلام</w:t>
      </w:r>
      <w:r w:rsidR="00D10E3C">
        <w:rPr>
          <w:rtl/>
          <w:lang w:bidi="fa-IR"/>
        </w:rPr>
        <w:t xml:space="preserve"> </w:t>
      </w:r>
      <w:r>
        <w:rPr>
          <w:rtl/>
          <w:lang w:bidi="fa-IR"/>
        </w:rPr>
        <w:t xml:space="preserve">الصلاة فيمكن أن يكون لعلمه </w:t>
      </w:r>
      <w:r w:rsidR="0061079A" w:rsidRPr="0061079A">
        <w:rPr>
          <w:rStyle w:val="libFootnoteAlaemChar"/>
          <w:rtl/>
        </w:rPr>
        <w:t>عليه‌السلام</w:t>
      </w:r>
      <w:r w:rsidR="00D10E3C">
        <w:rPr>
          <w:rtl/>
          <w:lang w:bidi="fa-IR"/>
        </w:rPr>
        <w:t xml:space="preserve"> </w:t>
      </w:r>
      <w:r>
        <w:rPr>
          <w:rtl/>
          <w:lang w:bidi="fa-IR"/>
        </w:rPr>
        <w:t xml:space="preserve">برجوع الشمس له. أو يقال : إنّه </w:t>
      </w:r>
      <w:r w:rsidR="0061079A" w:rsidRPr="0061079A">
        <w:rPr>
          <w:rStyle w:val="libFootnoteAlaemChar"/>
          <w:rtl/>
        </w:rPr>
        <w:t>عليه‌السلام</w:t>
      </w:r>
      <w:r w:rsidR="00D10E3C">
        <w:rPr>
          <w:rtl/>
          <w:lang w:bidi="fa-IR"/>
        </w:rPr>
        <w:t xml:space="preserve"> </w:t>
      </w:r>
      <w:r>
        <w:rPr>
          <w:rtl/>
          <w:lang w:bidi="fa-IR"/>
        </w:rPr>
        <w:t xml:space="preserve">صلّى بالإيماء حذراً من إيذاء الرسول </w:t>
      </w:r>
      <w:r w:rsidR="005E465D" w:rsidRPr="00EE7E5B">
        <w:rPr>
          <w:rStyle w:val="libFootnoteAlaemChar"/>
          <w:rFonts w:eastAsiaTheme="minorHAnsi"/>
          <w:rtl/>
        </w:rPr>
        <w:t>صلى‌الله‌عليه‌وآله</w:t>
      </w:r>
      <w:r w:rsidR="007B6038" w:rsidRPr="007B6038">
        <w:rPr>
          <w:rFonts w:eastAsiaTheme="minorHAnsi"/>
          <w:rtl/>
        </w:rPr>
        <w:t xml:space="preserve"> </w:t>
      </w:r>
      <w:r>
        <w:rPr>
          <w:rtl/>
          <w:lang w:bidi="fa-IR"/>
        </w:rPr>
        <w:t>كما قيل. أو يقال : إنّه أراد بذهاب الوقت ذهاب وقت الفضيلة ، وكذا المراد بفوت الصلاة فوت فضلها ».</w:t>
      </w:r>
      <w:r w:rsidR="007B6038">
        <w:rPr>
          <w:rFonts w:hint="cs"/>
          <w:rtl/>
          <w:lang w:bidi="fa-IR"/>
        </w:rPr>
        <w:t xml:space="preserve">           </w:t>
      </w:r>
      <w:r w:rsidR="00E378DD">
        <w:rPr>
          <w:rtl/>
          <w:lang w:bidi="fa-IR"/>
        </w:rPr>
        <w:t>(5).</w:t>
      </w:r>
      <w:r>
        <w:rPr>
          <w:rtl/>
          <w:lang w:bidi="fa-IR"/>
        </w:rPr>
        <w:t xml:space="preserve"> في </w:t>
      </w:r>
      <w:r w:rsidRPr="0061079A">
        <w:rPr>
          <w:rStyle w:val="libFootnoteBoldChar"/>
          <w:rtl/>
        </w:rPr>
        <w:t>البحار</w:t>
      </w:r>
      <w:r>
        <w:rPr>
          <w:rtl/>
          <w:lang w:bidi="fa-IR"/>
        </w:rPr>
        <w:t xml:space="preserve"> : « ذاك ».</w:t>
      </w:r>
    </w:p>
    <w:p w:rsidR="00744A1C" w:rsidRDefault="00E378DD" w:rsidP="00E378DD">
      <w:pPr>
        <w:pStyle w:val="libFootnote0"/>
        <w:rPr>
          <w:lang w:bidi="fa-IR"/>
        </w:rPr>
      </w:pPr>
      <w:r>
        <w:rPr>
          <w:rtl/>
          <w:lang w:bidi="fa-IR"/>
        </w:rPr>
        <w:t>(6).</w:t>
      </w:r>
      <w:r w:rsidR="00744A1C">
        <w:rPr>
          <w:rtl/>
          <w:lang w:bidi="fa-IR"/>
        </w:rPr>
        <w:t xml:space="preserve"> في « بف » : - « أن ».</w:t>
      </w:r>
    </w:p>
    <w:p w:rsidR="00744A1C" w:rsidRDefault="00E378DD" w:rsidP="00E378DD">
      <w:pPr>
        <w:pStyle w:val="libFootnote0"/>
        <w:rPr>
          <w:lang w:bidi="fa-IR"/>
        </w:rPr>
      </w:pPr>
      <w:r>
        <w:rPr>
          <w:rtl/>
          <w:lang w:bidi="fa-IR"/>
        </w:rPr>
        <w:t>(7).</w:t>
      </w:r>
      <w:r w:rsidR="00744A1C">
        <w:rPr>
          <w:rtl/>
          <w:lang w:bidi="fa-IR"/>
        </w:rPr>
        <w:t xml:space="preserve"> الانقضاض : الهدي والسقوط. راجع : </w:t>
      </w:r>
      <w:r w:rsidR="00744A1C" w:rsidRPr="00877682">
        <w:rPr>
          <w:rStyle w:val="libFootnoteBoldChar"/>
          <w:rtl/>
        </w:rPr>
        <w:t>لسان العرب</w:t>
      </w:r>
      <w:r w:rsidR="00744A1C">
        <w:rPr>
          <w:rtl/>
          <w:lang w:bidi="fa-IR"/>
        </w:rPr>
        <w:t xml:space="preserve"> ، ج 7 ، ص 219 ( قضض ).</w:t>
      </w:r>
    </w:p>
    <w:p w:rsidR="00744A1C" w:rsidRDefault="00E378DD" w:rsidP="00E378DD">
      <w:pPr>
        <w:pStyle w:val="libFootnote0"/>
        <w:rPr>
          <w:lang w:bidi="fa-IR"/>
        </w:rPr>
      </w:pPr>
      <w:r>
        <w:rPr>
          <w:rtl/>
          <w:lang w:bidi="fa-IR"/>
        </w:rPr>
        <w:t>(8).</w:t>
      </w:r>
      <w:r w:rsidR="00744A1C">
        <w:rPr>
          <w:rtl/>
          <w:lang w:bidi="fa-IR"/>
        </w:rPr>
        <w:t xml:space="preserve"> في « بث ، بس » : « الكواكب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هذه القصّة مشهورة عند العامّة اشتهار الشمس ، وإن كذّبها بعضهم عناداً ، ونقل في مغانم المطابة عن أحمد بن صالح من العامّة إنّه كان يقول : لا ينبغي لمن سبيله العلم التخلّف عن حفظ حديث أسماء ؛ لأنّه من علامات النبوّة ».</w:t>
      </w:r>
    </w:p>
    <w:p w:rsidR="00744A1C" w:rsidRDefault="00744A1C" w:rsidP="00D10E3C">
      <w:pPr>
        <w:pStyle w:val="libFootnote0"/>
        <w:rPr>
          <w:lang w:bidi="fa-IR"/>
        </w:rPr>
      </w:pPr>
      <w:r>
        <w:rPr>
          <w:rtl/>
          <w:lang w:bidi="fa-IR"/>
        </w:rPr>
        <w:t xml:space="preserve">وعن المحقّق الشعراني </w:t>
      </w:r>
      <w:r w:rsidR="00877682" w:rsidRPr="00877682">
        <w:rPr>
          <w:rStyle w:val="libFootnoteAlaemChar"/>
          <w:rtl/>
        </w:rPr>
        <w:t>رحمه‌الله</w:t>
      </w:r>
      <w:r w:rsidR="007B6038">
        <w:rPr>
          <w:rStyle w:val="libFootnoteAlaemChar"/>
          <w:rFonts w:hint="cs"/>
          <w:rtl/>
        </w:rPr>
        <w:t xml:space="preserve"> </w:t>
      </w:r>
      <w:r>
        <w:rPr>
          <w:rtl/>
          <w:lang w:bidi="fa-IR"/>
        </w:rPr>
        <w:t xml:space="preserve">في هامش </w:t>
      </w:r>
      <w:r w:rsidRPr="00C24F9C">
        <w:rPr>
          <w:rStyle w:val="libFootnoteBoldChar"/>
          <w:rtl/>
        </w:rPr>
        <w:t>الوافي</w:t>
      </w:r>
      <w:r>
        <w:rPr>
          <w:rtl/>
          <w:lang w:bidi="fa-IR"/>
        </w:rPr>
        <w:t xml:space="preserve"> : « قصّة ردّ الشمس مشهورة عند العامّة ، لكن لا عند مسجد الفضيخ ، بل عند مسجد الصهبا على مرحلة من خيبر. قال السمهودي : أخرج حديث ردّ الشمس ابن مندة وابن شاهين عن أسماء بنت عميس وابن مردويه عن أبي هريرة. وقال الحافظ ابن حجر : أخطأ ابن الجوزي بإيراده في الموضوعات ». راجع : فتح الباري ، ج 6 ، ص 155 ؛ الغدير ، ج 3 ، ص 132.</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الفقيه</w:t>
      </w:r>
      <w:r w:rsidR="00744A1C">
        <w:rPr>
          <w:rtl/>
          <w:lang w:bidi="fa-IR"/>
        </w:rPr>
        <w:t xml:space="preserve"> ، ج 1 ، ص 203 ، ح 610 ، بسند آخر عن أسماء بنت عميس. </w:t>
      </w:r>
      <w:r w:rsidR="00744A1C" w:rsidRPr="002D57AD">
        <w:rPr>
          <w:rStyle w:val="libFootnoteBoldChar"/>
          <w:rtl/>
        </w:rPr>
        <w:t>الإرشاد</w:t>
      </w:r>
      <w:r w:rsidR="00744A1C">
        <w:rPr>
          <w:rtl/>
          <w:lang w:bidi="fa-IR"/>
        </w:rPr>
        <w:t xml:space="preserve"> ، ج 1 ، ص 345 ، بسند آخر عن </w:t>
      </w:r>
      <w:r w:rsidR="007B6038">
        <w:rPr>
          <w:rFonts w:hint="cs"/>
          <w:rtl/>
          <w:lang w:bidi="fa-IR"/>
        </w:rPr>
        <w:t>=</w:t>
      </w:r>
    </w:p>
    <w:p w:rsidR="00150943" w:rsidRDefault="00150943" w:rsidP="00D10E3C">
      <w:pPr>
        <w:pStyle w:val="libNormal"/>
        <w:rPr>
          <w:rtl/>
          <w:lang w:bidi="fa-IR"/>
        </w:rPr>
      </w:pPr>
      <w:r>
        <w:rPr>
          <w:rtl/>
          <w:lang w:bidi="fa-IR"/>
        </w:rPr>
        <w:br w:type="page"/>
      </w:r>
    </w:p>
    <w:p w:rsidR="00144FA6" w:rsidRDefault="00744A1C" w:rsidP="009059CB">
      <w:pPr>
        <w:pStyle w:val="Heading2Center"/>
        <w:rPr>
          <w:rFonts w:eastAsiaTheme="minorHAnsi"/>
          <w:rtl/>
        </w:rPr>
      </w:pPr>
      <w:bookmarkStart w:id="69" w:name="_Toc49261367"/>
      <w:r>
        <w:rPr>
          <w:rtl/>
          <w:lang w:bidi="fa-IR"/>
        </w:rPr>
        <w:lastRenderedPageBreak/>
        <w:t xml:space="preserve">222 - بَابُ وَدَاعِ قَبْرِ النَّبِيِّ </w:t>
      </w:r>
      <w:r w:rsidR="005E465D" w:rsidRPr="005E465D">
        <w:rPr>
          <w:rStyle w:val="libAlaemChar"/>
          <w:rFonts w:eastAsiaTheme="minorHAnsi"/>
          <w:rtl/>
        </w:rPr>
        <w:t>صلى‌الله‌عليه‌وآله</w:t>
      </w:r>
      <w:bookmarkEnd w:id="69"/>
    </w:p>
    <w:p w:rsidR="00144FA6" w:rsidRDefault="00744A1C" w:rsidP="00744A1C">
      <w:pPr>
        <w:pStyle w:val="libNormal"/>
        <w:rPr>
          <w:rtl/>
          <w:lang w:bidi="fa-IR"/>
        </w:rPr>
      </w:pPr>
      <w:r>
        <w:rPr>
          <w:rtl/>
          <w:lang w:bidi="fa-IR"/>
        </w:rPr>
        <w:t>8135 / 1. عَلِيُّ بْنُ إِبْرَاهِيمَ ، عَنْ أَبِيهِ ، عَنِ ابْنِ أَبِي عُمَيْرٍ ، عَنْ مُعَاوِيَةَ بْنِ عَمَّارٍ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إِذَا أَرَدْتَ أَنْ تَخْرُجَ مِنَ الْمَدِينَةِ ، فَاغْتَسِلْ ، ثُمَّ ائْتِ قَبْرَ النَّبِيِّ </w:t>
      </w:r>
      <w:r w:rsidR="0017097C" w:rsidRPr="0017097C">
        <w:rPr>
          <w:rStyle w:val="libAlaemChar"/>
          <w:rtl/>
        </w:rPr>
        <w:t>صلى‌الله‌عليه‌وآله</w:t>
      </w:r>
      <w:r w:rsidR="00D10E3C">
        <w:rPr>
          <w:rtl/>
          <w:lang w:bidi="fa-IR"/>
        </w:rPr>
        <w:t xml:space="preserve"> </w:t>
      </w:r>
      <w:r>
        <w:rPr>
          <w:rtl/>
          <w:lang w:bidi="fa-IR"/>
        </w:rPr>
        <w:t xml:space="preserve">بَعْدَ مَا تَفْرُغُ مِنْ حَوَائِجِكَ </w:t>
      </w:r>
      <w:r w:rsidRPr="00D10E3C">
        <w:rPr>
          <w:rStyle w:val="libFootnotenumChar"/>
          <w:rtl/>
        </w:rPr>
        <w:t>(1)</w:t>
      </w:r>
      <w:r>
        <w:rPr>
          <w:rtl/>
          <w:lang w:bidi="fa-IR"/>
        </w:rPr>
        <w:t xml:space="preserve"> ، وَاصْنَعْ مِثْلَ مَا </w:t>
      </w:r>
      <w:r w:rsidRPr="00D10E3C">
        <w:rPr>
          <w:rStyle w:val="libFootnotenumChar"/>
          <w:rtl/>
        </w:rPr>
        <w:t>(2)</w:t>
      </w:r>
      <w:r>
        <w:rPr>
          <w:rtl/>
          <w:lang w:bidi="fa-IR"/>
        </w:rPr>
        <w:t xml:space="preserve"> صَنَعْتَ عِنْدَ دُخُولِكَ ، وَقُلِ :</w:t>
      </w:r>
    </w:p>
    <w:p w:rsidR="00144FA6" w:rsidRDefault="00744A1C" w:rsidP="00744A1C">
      <w:pPr>
        <w:pStyle w:val="libNormal"/>
        <w:rPr>
          <w:rtl/>
          <w:lang w:bidi="fa-IR"/>
        </w:rPr>
      </w:pPr>
      <w:r>
        <w:rPr>
          <w:rtl/>
          <w:lang w:bidi="fa-IR"/>
        </w:rPr>
        <w:t>الل</w:t>
      </w:r>
      <w:r w:rsidR="000150ED">
        <w:rPr>
          <w:rFonts w:hint="cs"/>
          <w:rtl/>
          <w:lang w:bidi="fa-IR"/>
        </w:rPr>
        <w:t>ّ</w:t>
      </w:r>
      <w:r>
        <w:rPr>
          <w:rtl/>
          <w:lang w:bidi="fa-IR"/>
        </w:rPr>
        <w:t xml:space="preserve">هُمَّ لَاتَجْعَلْهُ آخِرَ الْعَهْدِ مِنْ زِيَارَةِ قَبْرِ نَبِيِّكَ ، فَإِنْ تَوَفَّيْتَنِي قَبْلَ ذلِكَ ، فَإِنِّي أَشْهَدُ فِي مَمَاتِي عَلى مَا شَهِدْتُ </w:t>
      </w:r>
      <w:r w:rsidRPr="00D10E3C">
        <w:rPr>
          <w:rStyle w:val="libFootnotenumChar"/>
          <w:rtl/>
        </w:rPr>
        <w:t>(3)</w:t>
      </w:r>
      <w:r>
        <w:rPr>
          <w:rtl/>
          <w:lang w:bidi="fa-IR"/>
        </w:rPr>
        <w:t xml:space="preserve"> عَلَيْهِ فِي حَيَاتِي أَنْ </w:t>
      </w:r>
      <w:r w:rsidRPr="00D10E3C">
        <w:rPr>
          <w:rStyle w:val="libFootnotenumChar"/>
          <w:rtl/>
        </w:rPr>
        <w:t>(4)</w:t>
      </w:r>
      <w:r w:rsidR="000150ED">
        <w:rPr>
          <w:rtl/>
          <w:lang w:bidi="fa-IR"/>
        </w:rPr>
        <w:t xml:space="preserve"> لَا إِلهَ إِل</w:t>
      </w:r>
      <w:r w:rsidR="000150ED">
        <w:rPr>
          <w:rFonts w:hint="cs"/>
          <w:rtl/>
          <w:lang w:bidi="fa-IR"/>
        </w:rPr>
        <w:t>َّ</w:t>
      </w:r>
      <w:r w:rsidR="000150ED">
        <w:rPr>
          <w:rtl/>
          <w:lang w:bidi="fa-IR"/>
        </w:rPr>
        <w:t>ا</w:t>
      </w:r>
      <w:r>
        <w:rPr>
          <w:rtl/>
          <w:lang w:bidi="fa-IR"/>
        </w:rPr>
        <w:t xml:space="preserve"> أَنْتَ </w:t>
      </w:r>
      <w:r w:rsidRPr="00D10E3C">
        <w:rPr>
          <w:rStyle w:val="libFootnotenumChar"/>
          <w:rtl/>
        </w:rPr>
        <w:t>(5)</w:t>
      </w:r>
      <w:r>
        <w:rPr>
          <w:rtl/>
          <w:lang w:bidi="fa-IR"/>
        </w:rPr>
        <w:t xml:space="preserve"> ، وَأَنَّ مُحَمَّداً عَبْدُكَ وَرَسُولُكَ ». </w:t>
      </w:r>
      <w:r w:rsidRPr="00D10E3C">
        <w:rPr>
          <w:rStyle w:val="libFootnotenumChar"/>
          <w:rtl/>
        </w:rPr>
        <w:t>(6)</w:t>
      </w:r>
    </w:p>
    <w:p w:rsidR="00144FA6" w:rsidRDefault="00744A1C" w:rsidP="00744A1C">
      <w:pPr>
        <w:pStyle w:val="libNormal"/>
        <w:rPr>
          <w:rtl/>
          <w:lang w:bidi="fa-IR"/>
        </w:rPr>
      </w:pPr>
      <w:r>
        <w:rPr>
          <w:rtl/>
          <w:lang w:bidi="fa-IR"/>
        </w:rPr>
        <w:t>8136 / 2. مُحَمَّدُ بْنُ يَحْيى ، عَنْ أَحْمَدَ بْنِ مُحَمَّدٍ ، عَنِ ابْنِ فَضَّالٍ ، عَنْ يُونُسَ بْنِ يَعْقُوبَ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وَدَاعِ قَبْرِ النَّبِيِّ </w:t>
      </w:r>
      <w:r w:rsidR="0017097C" w:rsidRPr="0017097C">
        <w:rPr>
          <w:rStyle w:val="libAlaemChar"/>
          <w:rtl/>
        </w:rPr>
        <w:t>صلى‌الله‌عليه‌وآله</w:t>
      </w:r>
      <w:r>
        <w:rPr>
          <w:rtl/>
          <w:lang w:bidi="fa-IR"/>
        </w:rPr>
        <w:t xml:space="preserve"> ؟</w:t>
      </w:r>
    </w:p>
    <w:p w:rsidR="00744A1C" w:rsidRDefault="00744A1C" w:rsidP="00744A1C">
      <w:pPr>
        <w:pStyle w:val="libNormal"/>
        <w:rPr>
          <w:lang w:bidi="fa-IR"/>
        </w:rPr>
      </w:pPr>
      <w:r>
        <w:rPr>
          <w:rtl/>
          <w:lang w:bidi="fa-IR"/>
        </w:rPr>
        <w:t xml:space="preserve">فَقَالَ </w:t>
      </w:r>
      <w:r w:rsidRPr="00D10E3C">
        <w:rPr>
          <w:rStyle w:val="libFootnotenumChar"/>
          <w:rtl/>
        </w:rPr>
        <w:t>(7)</w:t>
      </w:r>
      <w:r>
        <w:rPr>
          <w:rtl/>
          <w:lang w:bidi="fa-IR"/>
        </w:rPr>
        <w:t xml:space="preserve"> : « تَقُولُ : صَلَّى اللهُ عَلَيْكَ ، السَّلَامُ عَلَيْكَ ، لَاجَعَلَهُ اللهُ آخِرَ تَسْلِيمِي‌</w:t>
      </w:r>
    </w:p>
    <w:p w:rsidR="00744A1C" w:rsidRDefault="00744A1C" w:rsidP="00D10E3C">
      <w:pPr>
        <w:pStyle w:val="libLine"/>
        <w:rPr>
          <w:lang w:bidi="fa-IR"/>
        </w:rPr>
      </w:pPr>
      <w:r>
        <w:rPr>
          <w:rtl/>
          <w:lang w:bidi="fa-IR"/>
        </w:rPr>
        <w:t>____________________</w:t>
      </w:r>
    </w:p>
    <w:p w:rsidR="007C5065" w:rsidRDefault="007C5065" w:rsidP="00D10E3C">
      <w:pPr>
        <w:pStyle w:val="libFootnote0"/>
        <w:rPr>
          <w:rtl/>
          <w:lang w:bidi="fa-IR"/>
        </w:rPr>
      </w:pPr>
      <w:r>
        <w:rPr>
          <w:rFonts w:hint="cs"/>
          <w:rtl/>
          <w:lang w:bidi="fa-IR"/>
        </w:rPr>
        <w:t xml:space="preserve">= أسماء بنت عميس و اُمّ سلمة و جابر بن عبدالله الأنصاري و أبي سعيد الخدري ، و فيهما مع الختلاف .و راجع : الخصال ، ص 508 ، أبواب السبعين و ما فوقه، ح1. </w:t>
      </w:r>
      <w:r w:rsidRPr="007C5065">
        <w:rPr>
          <w:rStyle w:val="libFootnoteBoldChar"/>
          <w:rFonts w:hint="cs"/>
          <w:rtl/>
        </w:rPr>
        <w:t>الوافي</w:t>
      </w:r>
      <w:r>
        <w:rPr>
          <w:rFonts w:hint="cs"/>
          <w:rtl/>
          <w:lang w:bidi="fa-IR"/>
        </w:rPr>
        <w:t xml:space="preserve">، ج 14، ص 1390 ، ح 14433 </w:t>
      </w:r>
      <w:r>
        <w:rPr>
          <w:rtl/>
          <w:lang w:bidi="fa-IR"/>
        </w:rPr>
        <w:t>؛</w:t>
      </w:r>
      <w:r w:rsidR="00E82539">
        <w:rPr>
          <w:rFonts w:hint="cs"/>
          <w:rtl/>
          <w:lang w:bidi="fa-IR"/>
        </w:rPr>
        <w:t xml:space="preserve"> الوسائل ، ج 13، </w:t>
      </w:r>
      <w:r w:rsidR="00F321B8">
        <w:rPr>
          <w:rFonts w:hint="cs"/>
          <w:rtl/>
          <w:lang w:bidi="fa-IR"/>
        </w:rPr>
        <w:t>ص 355 ، ح 19376 ، ملخّصاُ</w:t>
      </w:r>
      <w:r w:rsidR="00F321B8">
        <w:rPr>
          <w:rtl/>
          <w:lang w:bidi="fa-IR"/>
        </w:rPr>
        <w:t>؛</w:t>
      </w:r>
      <w:r w:rsidR="00F321B8">
        <w:rPr>
          <w:rFonts w:hint="cs"/>
          <w:rtl/>
          <w:lang w:bidi="fa-IR"/>
        </w:rPr>
        <w:t xml:space="preserve"> البحار ، ج 41 ، ص 182 ، ح 19</w:t>
      </w:r>
      <w:r w:rsidR="00F321B8">
        <w:rPr>
          <w:rtl/>
          <w:lang w:bidi="fa-IR"/>
        </w:rPr>
        <w:t>؛</w:t>
      </w:r>
      <w:r w:rsidR="00F321B8">
        <w:rPr>
          <w:rFonts w:hint="cs"/>
          <w:rtl/>
          <w:lang w:bidi="fa-IR"/>
        </w:rPr>
        <w:t xml:space="preserve"> </w:t>
      </w:r>
      <w:r w:rsidR="005E465D">
        <w:rPr>
          <w:rFonts w:hint="cs"/>
          <w:rtl/>
          <w:lang w:bidi="fa-IR"/>
        </w:rPr>
        <w:t>وفيه ، ج100 ، ص 216 ، ح 15 .</w:t>
      </w:r>
    </w:p>
    <w:p w:rsidR="00744A1C" w:rsidRDefault="00D10E3C" w:rsidP="00D10E3C">
      <w:pPr>
        <w:pStyle w:val="libFootnote0"/>
        <w:rPr>
          <w:lang w:bidi="fa-IR"/>
        </w:rPr>
      </w:pPr>
      <w:r>
        <w:rPr>
          <w:rtl/>
          <w:lang w:bidi="fa-IR"/>
        </w:rPr>
        <w:t>(1).</w:t>
      </w:r>
      <w:r w:rsidR="00744A1C">
        <w:rPr>
          <w:rtl/>
          <w:lang w:bidi="fa-IR"/>
        </w:rPr>
        <w:t xml:space="preserve"> في « ى ، بس ، جد » : + « وودّعه ». وفي « بخ ، بف » </w:t>
      </w:r>
      <w:r w:rsidR="00744A1C" w:rsidRPr="005E465D">
        <w:rPr>
          <w:rtl/>
        </w:rPr>
        <w:t>والوافي والوسائل والتهذيب وكامل الزيارات :</w:t>
      </w:r>
      <w:r w:rsidR="00744A1C">
        <w:rPr>
          <w:rtl/>
          <w:lang w:bidi="fa-IR"/>
        </w:rPr>
        <w:t xml:space="preserve"> + « فودّعه ».</w:t>
      </w:r>
    </w:p>
    <w:p w:rsidR="00744A1C" w:rsidRDefault="00E378DD" w:rsidP="00E378DD">
      <w:pPr>
        <w:pStyle w:val="libFootnote0"/>
        <w:rPr>
          <w:lang w:bidi="fa-IR"/>
        </w:rPr>
      </w:pPr>
      <w:r>
        <w:rPr>
          <w:rtl/>
          <w:lang w:bidi="fa-IR"/>
        </w:rPr>
        <w:t>(2).</w:t>
      </w:r>
      <w:r w:rsidR="00744A1C">
        <w:rPr>
          <w:rtl/>
          <w:lang w:bidi="fa-IR"/>
        </w:rPr>
        <w:t xml:space="preserve"> في « جن » : « كما » بدل « مثل ما ».</w:t>
      </w:r>
    </w:p>
    <w:p w:rsidR="00744A1C" w:rsidRDefault="00E378DD" w:rsidP="00E378DD">
      <w:pPr>
        <w:pStyle w:val="libFootnote0"/>
        <w:rPr>
          <w:lang w:bidi="fa-IR"/>
        </w:rPr>
      </w:pPr>
      <w:r>
        <w:rPr>
          <w:rtl/>
          <w:lang w:bidi="fa-IR"/>
        </w:rPr>
        <w:t>(3).</w:t>
      </w:r>
      <w:r w:rsidR="00744A1C">
        <w:rPr>
          <w:rtl/>
          <w:lang w:bidi="fa-IR"/>
        </w:rPr>
        <w:t xml:space="preserve"> في « بف » </w:t>
      </w:r>
      <w:r w:rsidR="00744A1C" w:rsidRPr="005E465D">
        <w:rPr>
          <w:rtl/>
        </w:rPr>
        <w:t>وكامل الزيارات</w:t>
      </w:r>
      <w:r w:rsidR="00744A1C">
        <w:rPr>
          <w:rtl/>
          <w:lang w:bidi="fa-IR"/>
        </w:rPr>
        <w:t xml:space="preserve"> والمزار : « ما أشهد ».</w:t>
      </w:r>
    </w:p>
    <w:tbl>
      <w:tblPr>
        <w:tblStyle w:val="TableGrid"/>
        <w:bidiVisual/>
        <w:tblW w:w="0" w:type="auto"/>
        <w:tblLook w:val="04A0" w:firstRow="1" w:lastRow="0" w:firstColumn="1" w:lastColumn="0" w:noHBand="0" w:noVBand="1"/>
      </w:tblPr>
      <w:tblGrid>
        <w:gridCol w:w="4006"/>
        <w:gridCol w:w="4006"/>
      </w:tblGrid>
      <w:tr w:rsidR="005E465D" w:rsidTr="005E465D">
        <w:tc>
          <w:tcPr>
            <w:tcW w:w="4006" w:type="dxa"/>
          </w:tcPr>
          <w:p w:rsidR="005E465D" w:rsidRDefault="005E465D" w:rsidP="00E378DD">
            <w:pPr>
              <w:pStyle w:val="libFootnote0"/>
              <w:rPr>
                <w:rtl/>
                <w:lang w:bidi="fa-IR"/>
              </w:rPr>
            </w:pPr>
            <w:r>
              <w:rPr>
                <w:rtl/>
                <w:lang w:bidi="fa-IR"/>
              </w:rPr>
              <w:t>(4). في « بث » والمزار : - « أن ».</w:t>
            </w:r>
          </w:p>
        </w:tc>
        <w:tc>
          <w:tcPr>
            <w:tcW w:w="4006" w:type="dxa"/>
          </w:tcPr>
          <w:p w:rsidR="005E465D" w:rsidRDefault="005E465D" w:rsidP="00E378DD">
            <w:pPr>
              <w:pStyle w:val="libFootnote0"/>
              <w:rPr>
                <w:rtl/>
                <w:lang w:bidi="fa-IR"/>
              </w:rPr>
            </w:pPr>
            <w:r>
              <w:rPr>
                <w:rtl/>
                <w:lang w:bidi="fa-IR"/>
              </w:rPr>
              <w:t>(5). في المزار : + « وحدك لا شريك لك ».</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11 ، ح 20 ، معلّقاً عن الكليني. </w:t>
      </w:r>
      <w:r w:rsidR="00744A1C" w:rsidRPr="007B299E">
        <w:rPr>
          <w:rStyle w:val="libFootnoteBoldChar"/>
          <w:rtl/>
        </w:rPr>
        <w:t>كامل الزيارات</w:t>
      </w:r>
      <w:r w:rsidR="00744A1C">
        <w:rPr>
          <w:rtl/>
          <w:lang w:bidi="fa-IR"/>
        </w:rPr>
        <w:t xml:space="preserve"> ، ص 26 ، الباب 7 ، ح 1 ، بسنده عن صفوان بن يحيى وابن أبي عمير وفضالة عن معاوية بن عمّار. وفي </w:t>
      </w:r>
      <w:r w:rsidR="00744A1C" w:rsidRPr="00C24F9C">
        <w:rPr>
          <w:rStyle w:val="libFootnoteBoldChar"/>
          <w:rtl/>
        </w:rPr>
        <w:t>الفقيه</w:t>
      </w:r>
      <w:r w:rsidR="00744A1C">
        <w:rPr>
          <w:rtl/>
          <w:lang w:bidi="fa-IR"/>
        </w:rPr>
        <w:t xml:space="preserve"> ، ج 2 ، ص 575 ؛ </w:t>
      </w:r>
      <w:r w:rsidR="00744A1C" w:rsidRPr="005E465D">
        <w:rPr>
          <w:rStyle w:val="libFootnoteBoldChar"/>
          <w:rtl/>
        </w:rPr>
        <w:t>وكتاب المزار</w:t>
      </w:r>
      <w:r w:rsidR="00744A1C">
        <w:rPr>
          <w:rtl/>
          <w:lang w:bidi="fa-IR"/>
        </w:rPr>
        <w:t xml:space="preserve"> ، ص 176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5E465D">
        <w:rPr>
          <w:rFonts w:hint="cs"/>
          <w:rtl/>
          <w:lang w:bidi="fa-IR"/>
        </w:rPr>
        <w:t>.</w:t>
      </w:r>
      <w:r w:rsidR="00744A1C" w:rsidRPr="00C24F9C">
        <w:rPr>
          <w:rStyle w:val="libFootnoteBoldChar"/>
          <w:rtl/>
        </w:rPr>
        <w:t>الوافي</w:t>
      </w:r>
      <w:r w:rsidR="00744A1C">
        <w:rPr>
          <w:rtl/>
          <w:lang w:bidi="fa-IR"/>
        </w:rPr>
        <w:t xml:space="preserve"> ، ج 14 ، ص 1401 ، ح 14449 ؛ </w:t>
      </w:r>
      <w:r w:rsidR="00744A1C" w:rsidRPr="00C24F9C">
        <w:rPr>
          <w:rStyle w:val="libFootnoteBoldChar"/>
          <w:rtl/>
        </w:rPr>
        <w:t>الوسائل</w:t>
      </w:r>
      <w:r w:rsidR="00744A1C">
        <w:rPr>
          <w:rtl/>
          <w:lang w:bidi="fa-IR"/>
        </w:rPr>
        <w:t xml:space="preserve"> ، ج 14 ، ص 358 ، ح 19383.</w:t>
      </w:r>
    </w:p>
    <w:p w:rsidR="00744A1C" w:rsidRDefault="00E378DD" w:rsidP="00E378DD">
      <w:pPr>
        <w:pStyle w:val="libFootnote0"/>
        <w:rPr>
          <w:lang w:bidi="fa-IR"/>
        </w:rPr>
      </w:pPr>
      <w:r>
        <w:rPr>
          <w:rtl/>
          <w:lang w:bidi="fa-IR"/>
        </w:rPr>
        <w:t>(7).</w:t>
      </w:r>
      <w:r w:rsidR="00744A1C">
        <w:rPr>
          <w:rtl/>
          <w:lang w:bidi="fa-IR"/>
        </w:rPr>
        <w:t xml:space="preserve"> هكذا في « ى ، بح ، بخ ، بس ، بف ، جد » </w:t>
      </w:r>
      <w:r w:rsidR="00744A1C" w:rsidRPr="005E465D">
        <w:rPr>
          <w:rtl/>
        </w:rPr>
        <w:t>والوافي والوسائل وكامل الزيارات</w:t>
      </w:r>
      <w:r w:rsidR="005E465D">
        <w:rPr>
          <w:rtl/>
          <w:lang w:bidi="fa-IR"/>
        </w:rPr>
        <w:t>. وفي سائر النسخ والمطبوع : «</w:t>
      </w:r>
      <w:r w:rsidR="00744A1C">
        <w:rPr>
          <w:rtl/>
          <w:lang w:bidi="fa-IR"/>
        </w:rPr>
        <w:t>قال ».</w:t>
      </w:r>
    </w:p>
    <w:p w:rsidR="00150943" w:rsidRDefault="00150943" w:rsidP="00D10E3C">
      <w:pPr>
        <w:pStyle w:val="libNormal"/>
        <w:rPr>
          <w:rtl/>
          <w:lang w:bidi="fa-IR"/>
        </w:rPr>
      </w:pPr>
      <w:r>
        <w:rPr>
          <w:rtl/>
          <w:lang w:bidi="fa-IR"/>
        </w:rPr>
        <w:br w:type="page"/>
      </w:r>
    </w:p>
    <w:p w:rsidR="00144FA6" w:rsidRDefault="00744A1C" w:rsidP="005E465D">
      <w:pPr>
        <w:pStyle w:val="libNormal0"/>
        <w:rPr>
          <w:rtl/>
          <w:lang w:bidi="fa-IR"/>
        </w:rPr>
      </w:pPr>
      <w:r>
        <w:rPr>
          <w:rtl/>
          <w:lang w:bidi="fa-IR"/>
        </w:rPr>
        <w:lastRenderedPageBreak/>
        <w:t xml:space="preserve">عَلَيْكَ ». </w:t>
      </w:r>
      <w:r w:rsidRPr="00D10E3C">
        <w:rPr>
          <w:rStyle w:val="libFootnotenumChar"/>
          <w:rtl/>
        </w:rPr>
        <w:t>(1)</w:t>
      </w:r>
    </w:p>
    <w:p w:rsidR="00744A1C" w:rsidRDefault="00744A1C" w:rsidP="005E465D">
      <w:pPr>
        <w:pStyle w:val="Heading2Center"/>
        <w:rPr>
          <w:lang w:bidi="fa-IR"/>
        </w:rPr>
      </w:pPr>
      <w:bookmarkStart w:id="70" w:name="_Toc49261368"/>
      <w:r>
        <w:rPr>
          <w:rtl/>
          <w:lang w:bidi="fa-IR"/>
        </w:rPr>
        <w:t>223 - بَابُ تَحْرِيمِ الْمَدِينَةِ‌</w:t>
      </w:r>
      <w:bookmarkEnd w:id="70"/>
    </w:p>
    <w:p w:rsidR="00144FA6" w:rsidRDefault="00744A1C" w:rsidP="00744A1C">
      <w:pPr>
        <w:pStyle w:val="libNormal"/>
        <w:rPr>
          <w:rtl/>
          <w:lang w:bidi="fa-IR"/>
        </w:rPr>
      </w:pPr>
      <w:r>
        <w:rPr>
          <w:rtl/>
          <w:lang w:bidi="fa-IR"/>
        </w:rPr>
        <w:t>8137 / 1. عِدَّةٌ مِنْ أَصْحَابِنَا ، عَنْ أَحْمَدَ بْنِ مُحَمَّدٍ ، عَنْ عَلِيِّ بْنِ الْحَكَمِ ، عَنْ سَيْفِ بْنِ عَمِيرَةَ ، عَنْ حَسَّانَ بْنِ مِهْرَانَ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قَالَ أَمِيرُ الْمُؤْمِنِينَ صَلَوَاتُ اللهِ عَلَيهِ : مَكَّةُ حَرَمُ اللهِ ، وَالْمَدِينَةُ حَرَمُ رَسُولِ اللهِ </w:t>
      </w:r>
      <w:r w:rsidR="007B299E" w:rsidRPr="007B299E">
        <w:rPr>
          <w:rStyle w:val="libAlaemChar"/>
          <w:rtl/>
        </w:rPr>
        <w:t>صلى‌الله‌عليه‌وآله</w:t>
      </w:r>
      <w:r w:rsidR="00D10E3C">
        <w:rPr>
          <w:rtl/>
          <w:lang w:bidi="fa-IR"/>
        </w:rPr>
        <w:t xml:space="preserve"> </w:t>
      </w:r>
      <w:r>
        <w:rPr>
          <w:rtl/>
          <w:lang w:bidi="fa-IR"/>
        </w:rPr>
        <w:t xml:space="preserve">، وَالْكُوفَةُ حَرَمِي ؛ لَايُرِيدُهَا </w:t>
      </w:r>
      <w:r w:rsidRPr="00D10E3C">
        <w:rPr>
          <w:rStyle w:val="libFootnotenumChar"/>
          <w:rtl/>
        </w:rPr>
        <w:t>(2)</w:t>
      </w:r>
      <w:r>
        <w:rPr>
          <w:rtl/>
          <w:lang w:bidi="fa-IR"/>
        </w:rPr>
        <w:t xml:space="preserve"> جَبَّارٌ </w:t>
      </w:r>
      <w:r w:rsidRPr="00D10E3C">
        <w:rPr>
          <w:rStyle w:val="libFootnotenumChar"/>
          <w:rtl/>
        </w:rPr>
        <w:t>(3)</w:t>
      </w:r>
      <w:r>
        <w:rPr>
          <w:rtl/>
          <w:lang w:bidi="fa-IR"/>
        </w:rPr>
        <w:t xml:space="preserve"> بِحَادِثَةٍ </w:t>
      </w:r>
      <w:r w:rsidRPr="00D10E3C">
        <w:rPr>
          <w:rStyle w:val="libFootnotenumChar"/>
          <w:rtl/>
        </w:rPr>
        <w:t>(4)</w:t>
      </w:r>
      <w:r w:rsidR="005E465D">
        <w:rPr>
          <w:rtl/>
          <w:lang w:bidi="fa-IR"/>
        </w:rPr>
        <w:t xml:space="preserve"> إِل</w:t>
      </w:r>
      <w:r w:rsidR="005E465D">
        <w:rPr>
          <w:rFonts w:hint="cs"/>
          <w:rtl/>
          <w:lang w:bidi="fa-IR"/>
        </w:rPr>
        <w:t>َّ</w:t>
      </w:r>
      <w:r w:rsidR="005E465D">
        <w:rPr>
          <w:rtl/>
          <w:lang w:bidi="fa-IR"/>
        </w:rPr>
        <w:t>ا</w:t>
      </w:r>
      <w:r>
        <w:rPr>
          <w:rtl/>
          <w:lang w:bidi="fa-IR"/>
        </w:rPr>
        <w:t xml:space="preserve"> قَصَمَهُ </w:t>
      </w:r>
      <w:r w:rsidRPr="00D10E3C">
        <w:rPr>
          <w:rStyle w:val="libFootnotenumChar"/>
          <w:rtl/>
        </w:rPr>
        <w:t>(5)</w:t>
      </w:r>
      <w:r w:rsidR="005E465D">
        <w:rPr>
          <w:rtl/>
          <w:lang w:bidi="fa-IR"/>
        </w:rPr>
        <w:t xml:space="preserve"> اللهُ</w:t>
      </w:r>
      <w:r>
        <w:rPr>
          <w:rtl/>
          <w:lang w:bidi="fa-IR"/>
        </w:rPr>
        <w:t xml:space="preserve">». </w:t>
      </w:r>
      <w:r w:rsidRPr="00D10E3C">
        <w:rPr>
          <w:rStyle w:val="libFootnotenumChar"/>
          <w:rtl/>
        </w:rPr>
        <w:t>(6)</w:t>
      </w:r>
    </w:p>
    <w:p w:rsidR="00144FA6" w:rsidRDefault="00744A1C" w:rsidP="00744A1C">
      <w:pPr>
        <w:pStyle w:val="libNormal"/>
        <w:rPr>
          <w:rtl/>
          <w:lang w:bidi="fa-IR"/>
        </w:rPr>
      </w:pPr>
      <w:r>
        <w:rPr>
          <w:rtl/>
          <w:lang w:bidi="fa-IR"/>
        </w:rPr>
        <w:t xml:space="preserve">8138 / 2. حُمَيْدُ بْنُ زِيَادٍ ، عَنِ الْحَسَنِ بْنِ مُحَمَّدِ بْنِ </w:t>
      </w:r>
      <w:r w:rsidRPr="00D10E3C">
        <w:rPr>
          <w:rStyle w:val="libFootnotenumChar"/>
          <w:rtl/>
        </w:rPr>
        <w:t>(7)</w:t>
      </w:r>
      <w:r>
        <w:rPr>
          <w:rtl/>
          <w:lang w:bidi="fa-IR"/>
        </w:rPr>
        <w:t xml:space="preserve"> سَمَاعَةَ ، عَنْ غَيْرِ وَاحِدٍ ، عَنْ أَبَانٍ ، عَنْ أَبِي الْعَبَّاسِ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حَرَّمَ رَسُولُ اللهِ </w:t>
      </w:r>
      <w:r w:rsidR="005E465D" w:rsidRPr="005E465D">
        <w:rPr>
          <w:rStyle w:val="libAlaemChar"/>
          <w:rtl/>
        </w:rPr>
        <w:t>صلى‌الله‌عليه‌وآله</w:t>
      </w:r>
      <w:r w:rsidR="00D10E3C">
        <w:rPr>
          <w:rtl/>
          <w:lang w:bidi="fa-IR"/>
        </w:rPr>
        <w:t xml:space="preserve"> </w:t>
      </w:r>
      <w:r>
        <w:rPr>
          <w:rtl/>
          <w:lang w:bidi="fa-IR"/>
        </w:rPr>
        <w:t>الْمَدِينَةَ؟</w:t>
      </w:r>
    </w:p>
    <w:p w:rsidR="00744A1C" w:rsidRDefault="00744A1C" w:rsidP="00744A1C">
      <w:pPr>
        <w:pStyle w:val="libNormal"/>
        <w:rPr>
          <w:lang w:bidi="fa-IR"/>
        </w:rPr>
      </w:pPr>
      <w:r>
        <w:rPr>
          <w:rtl/>
          <w:lang w:bidi="fa-IR"/>
        </w:rPr>
        <w:t xml:space="preserve">قَالَ : « نَعَمْ ، حَرَّمَ بَرِيداً </w:t>
      </w:r>
      <w:r w:rsidRPr="00D10E3C">
        <w:rPr>
          <w:rStyle w:val="libFootnotenumChar"/>
          <w:rtl/>
        </w:rPr>
        <w:t>(8)</w:t>
      </w:r>
      <w:r>
        <w:rPr>
          <w:rtl/>
          <w:lang w:bidi="fa-IR"/>
        </w:rPr>
        <w:t xml:space="preserve"> فِي </w:t>
      </w:r>
      <w:r w:rsidRPr="00D10E3C">
        <w:rPr>
          <w:rStyle w:val="libFootnotenumChar"/>
          <w:rtl/>
        </w:rPr>
        <w:t>(9)</w:t>
      </w:r>
      <w:r>
        <w:rPr>
          <w:rtl/>
          <w:lang w:bidi="fa-IR"/>
        </w:rPr>
        <w:t xml:space="preserve"> بَرِيدٍ غَضَاهَا </w:t>
      </w:r>
      <w:r w:rsidRPr="00D10E3C">
        <w:rPr>
          <w:rStyle w:val="libFootnotenumChar"/>
          <w:rtl/>
        </w:rPr>
        <w:t>(10)</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5E465D">
        <w:rPr>
          <w:rStyle w:val="libFootnoteBoldChar"/>
          <w:rtl/>
        </w:rPr>
        <w:t>كامل الزايارات</w:t>
      </w:r>
      <w:r w:rsidR="00744A1C">
        <w:rPr>
          <w:rtl/>
          <w:lang w:bidi="fa-IR"/>
        </w:rPr>
        <w:t xml:space="preserve"> ، ص 26 ، الباب 7 ، ح 2 ، بسنده عن أحمد بن محمّد بن عيسى ، عن الحسن بن فضّال ، عن يونس بن يعقوب. </w:t>
      </w:r>
      <w:r w:rsidR="00744A1C" w:rsidRPr="00C24F9C">
        <w:rPr>
          <w:rStyle w:val="libFootnoteBoldChar"/>
          <w:rtl/>
        </w:rPr>
        <w:t>الفقيه</w:t>
      </w:r>
      <w:r w:rsidR="00744A1C">
        <w:rPr>
          <w:rtl/>
          <w:lang w:bidi="fa-IR"/>
        </w:rPr>
        <w:t xml:space="preserve"> ، ج 2 ، ص 575 ، من دون الإسناد إلى المعصوم </w:t>
      </w:r>
      <w:r w:rsidR="0061079A" w:rsidRPr="0061079A">
        <w:rPr>
          <w:rStyle w:val="libFootnoteAlaemChar"/>
          <w:rtl/>
        </w:rPr>
        <w:t>عليه‌السلام</w:t>
      </w:r>
      <w:r>
        <w:rPr>
          <w:rtl/>
          <w:lang w:bidi="fa-IR"/>
        </w:rPr>
        <w:t xml:space="preserve"> </w:t>
      </w:r>
      <w:r w:rsidR="005E465D">
        <w:rPr>
          <w:rFonts w:hint="cs"/>
          <w:rtl/>
          <w:lang w:bidi="fa-IR"/>
        </w:rPr>
        <w:t>.</w:t>
      </w:r>
      <w:r w:rsidR="00744A1C" w:rsidRPr="00C24F9C">
        <w:rPr>
          <w:rStyle w:val="libFootnoteBoldChar"/>
          <w:rtl/>
        </w:rPr>
        <w:t>الوافي</w:t>
      </w:r>
      <w:r w:rsidR="00744A1C">
        <w:rPr>
          <w:rtl/>
          <w:lang w:bidi="fa-IR"/>
        </w:rPr>
        <w:t xml:space="preserve"> ، ج 14 ، ص 1401 ، ح 14450 ؛ </w:t>
      </w:r>
      <w:r w:rsidR="00744A1C" w:rsidRPr="00C24F9C">
        <w:rPr>
          <w:rStyle w:val="libFootnoteBoldChar"/>
          <w:rtl/>
        </w:rPr>
        <w:t>الوسائل</w:t>
      </w:r>
      <w:r w:rsidR="00744A1C">
        <w:rPr>
          <w:rtl/>
          <w:lang w:bidi="fa-IR"/>
        </w:rPr>
        <w:t xml:space="preserve"> ، ج 14 ، ص 359 ، ح 19384 ؛ </w:t>
      </w:r>
      <w:r w:rsidR="00744A1C" w:rsidRPr="0061079A">
        <w:rPr>
          <w:rStyle w:val="libFootnoteBoldChar"/>
          <w:rtl/>
        </w:rPr>
        <w:t>البحار</w:t>
      </w:r>
      <w:r w:rsidR="00744A1C">
        <w:rPr>
          <w:rtl/>
          <w:lang w:bidi="fa-IR"/>
        </w:rPr>
        <w:t xml:space="preserve"> ، ج 100 ، ص 157 ، ح 34.</w:t>
      </w:r>
    </w:p>
    <w:p w:rsidR="00744A1C" w:rsidRDefault="00E378DD" w:rsidP="00E378DD">
      <w:pPr>
        <w:pStyle w:val="libFootnote0"/>
        <w:rPr>
          <w:lang w:bidi="fa-IR"/>
        </w:rPr>
      </w:pPr>
      <w:r>
        <w:rPr>
          <w:rtl/>
          <w:lang w:bidi="fa-IR"/>
        </w:rPr>
        <w:t>(2).</w:t>
      </w:r>
      <w:r w:rsidR="00744A1C">
        <w:rPr>
          <w:rtl/>
          <w:lang w:bidi="fa-IR"/>
        </w:rPr>
        <w:t xml:space="preserve"> في </w:t>
      </w:r>
      <w:r w:rsidR="00744A1C" w:rsidRPr="005E465D">
        <w:rPr>
          <w:rtl/>
        </w:rPr>
        <w:t>الوافي</w:t>
      </w:r>
      <w:r w:rsidR="00744A1C">
        <w:rPr>
          <w:rtl/>
          <w:lang w:bidi="fa-IR"/>
        </w:rPr>
        <w:t xml:space="preserve"> : « لا يريد ». وفي </w:t>
      </w:r>
      <w:r w:rsidR="00744A1C" w:rsidRPr="005E465D">
        <w:rPr>
          <w:rtl/>
        </w:rPr>
        <w:t>التهذيب</w:t>
      </w:r>
      <w:r w:rsidR="00744A1C">
        <w:rPr>
          <w:rtl/>
          <w:lang w:bidi="fa-IR"/>
        </w:rPr>
        <w:t xml:space="preserve"> : « لا يردها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ظاهره رجوع الضمير إلى الأخير ، ويحتمل رجوعه إلى كلّ منهما ».</w:t>
      </w:r>
    </w:p>
    <w:tbl>
      <w:tblPr>
        <w:tblStyle w:val="TableGrid"/>
        <w:bidiVisual/>
        <w:tblW w:w="0" w:type="auto"/>
        <w:tblLook w:val="04A0" w:firstRow="1" w:lastRow="0" w:firstColumn="1" w:lastColumn="0" w:noHBand="0" w:noVBand="1"/>
      </w:tblPr>
      <w:tblGrid>
        <w:gridCol w:w="4006"/>
        <w:gridCol w:w="4006"/>
      </w:tblGrid>
      <w:tr w:rsidR="005E465D" w:rsidTr="005E465D">
        <w:tc>
          <w:tcPr>
            <w:tcW w:w="4006" w:type="dxa"/>
          </w:tcPr>
          <w:p w:rsidR="005E465D" w:rsidRDefault="005E465D" w:rsidP="00E378DD">
            <w:pPr>
              <w:pStyle w:val="libFootnote0"/>
              <w:rPr>
                <w:rtl/>
                <w:lang w:bidi="fa-IR"/>
              </w:rPr>
            </w:pPr>
            <w:r>
              <w:rPr>
                <w:rtl/>
                <w:lang w:bidi="fa-IR"/>
              </w:rPr>
              <w:t xml:space="preserve">(3). في « بخ ، بف » </w:t>
            </w:r>
            <w:r w:rsidRPr="005E465D">
              <w:rPr>
                <w:rtl/>
              </w:rPr>
              <w:t>والوافي</w:t>
            </w:r>
            <w:r>
              <w:rPr>
                <w:rtl/>
                <w:lang w:bidi="fa-IR"/>
              </w:rPr>
              <w:t xml:space="preserve"> : + « لهذه المواضع ».</w:t>
            </w:r>
          </w:p>
        </w:tc>
        <w:tc>
          <w:tcPr>
            <w:tcW w:w="4006" w:type="dxa"/>
          </w:tcPr>
          <w:p w:rsidR="005E465D" w:rsidRDefault="005E465D" w:rsidP="00E378DD">
            <w:pPr>
              <w:pStyle w:val="libFootnote0"/>
              <w:rPr>
                <w:rtl/>
                <w:lang w:bidi="fa-IR"/>
              </w:rPr>
            </w:pPr>
            <w:r>
              <w:rPr>
                <w:rtl/>
                <w:lang w:bidi="fa-IR"/>
              </w:rPr>
              <w:t xml:space="preserve">(4). في </w:t>
            </w:r>
            <w:r w:rsidRPr="005E465D">
              <w:rPr>
                <w:rtl/>
              </w:rPr>
              <w:t>التهذيب</w:t>
            </w:r>
            <w:r>
              <w:rPr>
                <w:rtl/>
                <w:lang w:bidi="fa-IR"/>
              </w:rPr>
              <w:t xml:space="preserve"> : « يجوز فيه » بدل « بحادثة ».</w:t>
            </w:r>
          </w:p>
        </w:tc>
      </w:tr>
    </w:tbl>
    <w:p w:rsidR="00744A1C" w:rsidRDefault="00E378DD" w:rsidP="00E378DD">
      <w:pPr>
        <w:pStyle w:val="libFootnote0"/>
        <w:rPr>
          <w:lang w:bidi="fa-IR"/>
        </w:rPr>
      </w:pPr>
      <w:r>
        <w:rPr>
          <w:rtl/>
          <w:lang w:bidi="fa-IR"/>
        </w:rPr>
        <w:t>(5).</w:t>
      </w:r>
      <w:r w:rsidR="00744A1C">
        <w:rPr>
          <w:rtl/>
          <w:lang w:bidi="fa-IR"/>
        </w:rPr>
        <w:t xml:space="preserve"> قَصْمُ الشي‌ء : كَسْرُه. راجع : </w:t>
      </w:r>
      <w:r w:rsidR="00744A1C" w:rsidRPr="00877682">
        <w:rPr>
          <w:rStyle w:val="libFootnoteBoldChar"/>
          <w:rtl/>
        </w:rPr>
        <w:t>لسان العرب</w:t>
      </w:r>
      <w:r w:rsidR="00744A1C">
        <w:rPr>
          <w:rtl/>
          <w:lang w:bidi="fa-IR"/>
        </w:rPr>
        <w:t xml:space="preserve"> ، ج 12 ، ص 485 ( قصم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12 ، ح 21 ، معلّقاً عن الكليني </w:t>
      </w:r>
      <w:r w:rsidR="005E465D">
        <w:rPr>
          <w:rFonts w:hint="cs"/>
          <w:rtl/>
          <w:lang w:bidi="fa-IR"/>
        </w:rPr>
        <w:t>.</w:t>
      </w:r>
      <w:r w:rsidR="00744A1C" w:rsidRPr="00C24F9C">
        <w:rPr>
          <w:rStyle w:val="libFootnoteBoldChar"/>
          <w:rtl/>
        </w:rPr>
        <w:t>الوافي</w:t>
      </w:r>
      <w:r w:rsidR="00744A1C">
        <w:rPr>
          <w:rtl/>
          <w:lang w:bidi="fa-IR"/>
        </w:rPr>
        <w:t xml:space="preserve"> ، ج 14 ، ص 1393 ، ح 14434 ؛ </w:t>
      </w:r>
      <w:r w:rsidR="00744A1C" w:rsidRPr="00C24F9C">
        <w:rPr>
          <w:rStyle w:val="libFootnoteBoldChar"/>
          <w:rtl/>
        </w:rPr>
        <w:t>الوسائل</w:t>
      </w:r>
      <w:r w:rsidR="00744A1C">
        <w:rPr>
          <w:rtl/>
          <w:lang w:bidi="fa-IR"/>
        </w:rPr>
        <w:t xml:space="preserve"> ، ج 14 ، ص 360 ، ح 19386.</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 « محمّد بن ».</w:t>
      </w:r>
    </w:p>
    <w:p w:rsidR="00744A1C" w:rsidRDefault="00E378DD" w:rsidP="005E465D">
      <w:pPr>
        <w:pStyle w:val="libFootnote0"/>
        <w:rPr>
          <w:lang w:bidi="fa-IR"/>
        </w:rPr>
      </w:pPr>
      <w:r>
        <w:rPr>
          <w:rtl/>
          <w:lang w:bidi="fa-IR"/>
        </w:rPr>
        <w:t>(8).</w:t>
      </w:r>
      <w:r w:rsidR="00744A1C">
        <w:rPr>
          <w:rtl/>
          <w:lang w:bidi="fa-IR"/>
        </w:rPr>
        <w:t xml:space="preserve"> في </w:t>
      </w:r>
      <w:r w:rsidR="00744A1C" w:rsidRPr="005E465D">
        <w:rPr>
          <w:rtl/>
        </w:rPr>
        <w:t>التهذيب</w:t>
      </w:r>
      <w:r w:rsidR="00744A1C">
        <w:rPr>
          <w:rtl/>
          <w:lang w:bidi="fa-IR"/>
        </w:rPr>
        <w:t xml:space="preserve"> : « بريد » بدل « حرّم بريداً ». وقال الخليل : « البَريد : ستّة أميال يتمّ بها فرسخان ». وقال ابن منظور : « البَريد : فرسخان. وقيل : ما بين كلّ منزلين بَريد ». </w:t>
      </w:r>
      <w:r w:rsidR="00744A1C" w:rsidRPr="00E978C3">
        <w:rPr>
          <w:rStyle w:val="libFootnoteBoldChar"/>
          <w:rtl/>
        </w:rPr>
        <w:t>ترتيب كتاب العين</w:t>
      </w:r>
      <w:r w:rsidR="00744A1C">
        <w:rPr>
          <w:rtl/>
          <w:lang w:bidi="fa-IR"/>
        </w:rPr>
        <w:t xml:space="preserve"> ، ج 1 ، ص 148 ؛ </w:t>
      </w:r>
      <w:r w:rsidR="00744A1C" w:rsidRPr="00877682">
        <w:rPr>
          <w:rStyle w:val="libFootnoteBoldChar"/>
          <w:rtl/>
        </w:rPr>
        <w:t>لسان العرب</w:t>
      </w:r>
      <w:r w:rsidR="00744A1C">
        <w:rPr>
          <w:rtl/>
          <w:lang w:bidi="fa-IR"/>
        </w:rPr>
        <w:t xml:space="preserve"> ، ج 3 ، ص 86 ( برد ).</w:t>
      </w:r>
      <w:r w:rsidR="005E465D">
        <w:rPr>
          <w:rFonts w:hint="cs"/>
          <w:rtl/>
          <w:lang w:bidi="fa-IR"/>
        </w:rPr>
        <w:t xml:space="preserve">                </w:t>
      </w:r>
      <w:r>
        <w:rPr>
          <w:rtl/>
          <w:lang w:bidi="fa-IR"/>
        </w:rPr>
        <w:t>(9).</w:t>
      </w:r>
      <w:r w:rsidR="00744A1C">
        <w:rPr>
          <w:rtl/>
          <w:lang w:bidi="fa-IR"/>
        </w:rPr>
        <w:t xml:space="preserve"> في « بف » : « من ».</w:t>
      </w:r>
    </w:p>
    <w:p w:rsidR="00744A1C" w:rsidRDefault="00E378DD" w:rsidP="00E378DD">
      <w:pPr>
        <w:pStyle w:val="libFootnote0"/>
        <w:rPr>
          <w:lang w:bidi="fa-IR"/>
        </w:rPr>
      </w:pPr>
      <w:r>
        <w:rPr>
          <w:rtl/>
          <w:lang w:bidi="fa-IR"/>
        </w:rPr>
        <w:t>(10).</w:t>
      </w:r>
      <w:r w:rsidR="00744A1C">
        <w:rPr>
          <w:rtl/>
          <w:lang w:bidi="fa-IR"/>
        </w:rPr>
        <w:t xml:space="preserve"> في « بث ، بخ ، بس » </w:t>
      </w:r>
      <w:r w:rsidR="00744A1C" w:rsidRPr="005E465D">
        <w:rPr>
          <w:rtl/>
        </w:rPr>
        <w:t>والفقيه والتهذيب</w:t>
      </w:r>
      <w:r w:rsidR="00744A1C">
        <w:rPr>
          <w:rtl/>
          <w:lang w:bidi="fa-IR"/>
        </w:rPr>
        <w:t xml:space="preserve"> : « عضاها ». وفي حاشية « ى » : « شجرها ».</w:t>
      </w:r>
      <w:r w:rsidR="005E465D">
        <w:rPr>
          <w:rFonts w:hint="cs"/>
          <w:rtl/>
          <w:lang w:bidi="fa-IR"/>
        </w:rPr>
        <w:t xml:space="preserve">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قَالَ : قُلْتُ : صَيْدَهَا؟</w:t>
      </w:r>
    </w:p>
    <w:p w:rsidR="00144FA6" w:rsidRDefault="00744A1C" w:rsidP="00744A1C">
      <w:pPr>
        <w:pStyle w:val="libNormal"/>
        <w:rPr>
          <w:rtl/>
          <w:lang w:bidi="fa-IR"/>
        </w:rPr>
      </w:pPr>
      <w:r>
        <w:rPr>
          <w:rtl/>
          <w:lang w:bidi="fa-IR"/>
        </w:rPr>
        <w:t xml:space="preserve">قَالَ : « لَا ، يَكْذِبُ </w:t>
      </w:r>
      <w:r w:rsidRPr="00D10E3C">
        <w:rPr>
          <w:rStyle w:val="libFootnotenumChar"/>
          <w:rtl/>
        </w:rPr>
        <w:t>(1)</w:t>
      </w:r>
      <w:r>
        <w:rPr>
          <w:rtl/>
          <w:lang w:bidi="fa-IR"/>
        </w:rPr>
        <w:t xml:space="preserve"> النَّاسُ ». </w:t>
      </w:r>
      <w:r w:rsidRPr="00D10E3C">
        <w:rPr>
          <w:rStyle w:val="libFootnotenumChar"/>
          <w:rtl/>
        </w:rPr>
        <w:t>(2)</w:t>
      </w:r>
    </w:p>
    <w:p w:rsidR="00144FA6" w:rsidRDefault="00744A1C" w:rsidP="00744A1C">
      <w:pPr>
        <w:pStyle w:val="libNormal"/>
        <w:rPr>
          <w:rtl/>
          <w:lang w:bidi="fa-IR"/>
        </w:rPr>
      </w:pPr>
      <w:r>
        <w:rPr>
          <w:rtl/>
          <w:lang w:bidi="fa-IR"/>
        </w:rPr>
        <w:t>8139 / 3. أَبُو عَلِيٍّ الْأَشْعَرِيُّ ، عَنْ مُحَمَّدِ بْنِ عَبْدِ الْجَبَّارِ ، عَنْ صَفْوَانَ بْنِ يَحْيى ، عَنِ ابْنِ مُسْكَانَ ، عَنِ الْحَسَنِ الصَّيْقَلِ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كُنْتُ عِنْدَ زِيَادِ بْنِ عُبَيْدِ اللهِ </w:t>
      </w:r>
      <w:r w:rsidRPr="00D10E3C">
        <w:rPr>
          <w:rStyle w:val="libFootnotenumChar"/>
          <w:rtl/>
        </w:rPr>
        <w:t>(3)</w:t>
      </w:r>
      <w:r>
        <w:rPr>
          <w:rtl/>
          <w:lang w:bidi="fa-IR"/>
        </w:rPr>
        <w:t xml:space="preserve"> وَعِنْدَهُ رَبِيعَةُ الرَّأْيِ ، فَقَالَ </w:t>
      </w:r>
      <w:r w:rsidRPr="00D10E3C">
        <w:rPr>
          <w:rStyle w:val="libFootnotenumChar"/>
          <w:rtl/>
        </w:rPr>
        <w:t>(4)</w:t>
      </w:r>
      <w:r>
        <w:rPr>
          <w:rtl/>
          <w:lang w:bidi="fa-IR"/>
        </w:rPr>
        <w:t xml:space="preserve"> زِيَادٌ </w:t>
      </w:r>
      <w:r w:rsidRPr="00D10E3C">
        <w:rPr>
          <w:rStyle w:val="libFootnotenumChar"/>
          <w:rtl/>
        </w:rPr>
        <w:t>(5)</w:t>
      </w:r>
      <w:r>
        <w:rPr>
          <w:rtl/>
          <w:lang w:bidi="fa-IR"/>
        </w:rPr>
        <w:t xml:space="preserve"> : مَا الَّذِي حَرَّمَ رَسُولُ اللهِ </w:t>
      </w:r>
      <w:r w:rsidR="005E465D" w:rsidRPr="005E465D">
        <w:rPr>
          <w:rStyle w:val="libAlaemChar"/>
          <w:rtl/>
        </w:rPr>
        <w:t>صلى‌الله‌عليه‌وآله</w:t>
      </w:r>
      <w:r w:rsidR="00D10E3C">
        <w:rPr>
          <w:rtl/>
          <w:lang w:bidi="fa-IR"/>
        </w:rPr>
        <w:t xml:space="preserve"> </w:t>
      </w:r>
      <w:r>
        <w:rPr>
          <w:rtl/>
          <w:lang w:bidi="fa-IR"/>
        </w:rPr>
        <w:t xml:space="preserve">مِنَ الْمَدِينَةِ؟ فَقَالَ لَهُ : بَرِيدٌ فِي بَرِيدٍ. فَقَالَ </w:t>
      </w:r>
      <w:r w:rsidRPr="00D10E3C">
        <w:rPr>
          <w:rStyle w:val="libFootnotenumChar"/>
          <w:rtl/>
        </w:rPr>
        <w:t>(6)</w:t>
      </w:r>
      <w:r>
        <w:rPr>
          <w:rtl/>
          <w:lang w:bidi="fa-IR"/>
        </w:rPr>
        <w:t xml:space="preserve"> لِرَبِيعَةَ </w:t>
      </w:r>
      <w:r w:rsidRPr="00D10E3C">
        <w:rPr>
          <w:rStyle w:val="libFootnotenumChar"/>
          <w:rtl/>
        </w:rPr>
        <w:t>(7)</w:t>
      </w:r>
      <w:r>
        <w:rPr>
          <w:rtl/>
          <w:lang w:bidi="fa-IR"/>
        </w:rPr>
        <w:t xml:space="preserve"> : وَكَانَ عَلى عَهْدِ رَسُولِ اللهِ </w:t>
      </w:r>
      <w:r w:rsidR="005E465D" w:rsidRPr="005E465D">
        <w:rPr>
          <w:rStyle w:val="libAlaemChar"/>
          <w:rtl/>
        </w:rPr>
        <w:t>صلى‌الله‌عليه‌وآله</w:t>
      </w:r>
      <w:r w:rsidR="00D10E3C">
        <w:rPr>
          <w:rtl/>
          <w:lang w:bidi="fa-IR"/>
        </w:rPr>
        <w:t xml:space="preserve"> </w:t>
      </w:r>
      <w:r>
        <w:rPr>
          <w:rtl/>
          <w:lang w:bidi="fa-IR"/>
        </w:rPr>
        <w:t xml:space="preserve">أَمْيَالٌ </w:t>
      </w:r>
      <w:r w:rsidRPr="00D10E3C">
        <w:rPr>
          <w:rStyle w:val="libFootnotenumChar"/>
          <w:rtl/>
        </w:rPr>
        <w:t>(8)</w:t>
      </w:r>
      <w:r>
        <w:rPr>
          <w:rtl/>
          <w:lang w:bidi="fa-IR"/>
        </w:rPr>
        <w:t xml:space="preserve">؟ فَسَكَتَ </w:t>
      </w:r>
      <w:r w:rsidRPr="00D10E3C">
        <w:rPr>
          <w:rStyle w:val="libFootnotenumChar"/>
          <w:rtl/>
        </w:rPr>
        <w:t>(9)</w:t>
      </w:r>
      <w:r>
        <w:rPr>
          <w:rtl/>
          <w:lang w:bidi="fa-IR"/>
        </w:rPr>
        <w:t xml:space="preserve"> ، وَلَمْ يُجِبْهُ ، فَأَقْبَلَ عَلَيَّ‌</w:t>
      </w:r>
    </w:p>
    <w:p w:rsidR="00744A1C" w:rsidRDefault="00744A1C" w:rsidP="00D10E3C">
      <w:pPr>
        <w:pStyle w:val="libLine"/>
        <w:rPr>
          <w:lang w:bidi="fa-IR"/>
        </w:rPr>
      </w:pPr>
      <w:r>
        <w:rPr>
          <w:rtl/>
          <w:lang w:bidi="fa-IR"/>
        </w:rPr>
        <w:t>____________________</w:t>
      </w:r>
    </w:p>
    <w:p w:rsidR="00744A1C" w:rsidRDefault="005E465D" w:rsidP="00D10E3C">
      <w:pPr>
        <w:pStyle w:val="libFootnote0"/>
        <w:rPr>
          <w:lang w:bidi="fa-IR"/>
        </w:rPr>
      </w:pPr>
      <w:r>
        <w:rPr>
          <w:rFonts w:hint="cs"/>
          <w:rtl/>
          <w:lang w:bidi="fa-IR"/>
        </w:rPr>
        <w:t xml:space="preserve">= </w:t>
      </w:r>
      <w:r w:rsidR="00744A1C">
        <w:rPr>
          <w:rtl/>
          <w:lang w:bidi="fa-IR"/>
        </w:rPr>
        <w:t xml:space="preserve">وفي </w:t>
      </w:r>
      <w:r w:rsidR="00744A1C" w:rsidRPr="00C24F9C">
        <w:rPr>
          <w:rStyle w:val="libFootnoteBoldChar"/>
          <w:rtl/>
        </w:rPr>
        <w:t>الوافي</w:t>
      </w:r>
      <w:r w:rsidR="00744A1C">
        <w:rPr>
          <w:rtl/>
          <w:lang w:bidi="fa-IR"/>
        </w:rPr>
        <w:t xml:space="preserve"> : « الغَضا ، بالمعجمتين : جمع غضاة ، وهي شجر معروف ، وفي بعض النسخ بإهمال العين ، والعضهة والعضاهة والعظة بحذف الهاء الأصليّة : كلّ شجر يعظم وله شوك ، ويجمع بالعضاه بالهاء ، وإنّما تصحّ هذه النسخة لوجاز حذف الهاء من جمعه ، كما جاز من مفرده. قال في </w:t>
      </w:r>
      <w:r w:rsidR="00744A1C" w:rsidRPr="00C24F9C">
        <w:rPr>
          <w:rStyle w:val="libFootnoteBoldChar"/>
          <w:rtl/>
        </w:rPr>
        <w:t>التهذيب</w:t>
      </w:r>
      <w:r w:rsidR="00744A1C">
        <w:rPr>
          <w:rtl/>
          <w:lang w:bidi="fa-IR"/>
        </w:rPr>
        <w:t xml:space="preserve"> : ما تضمّن الخبران من عدم تحريم صيد حرم المدينة المراد به ما بين البريد إلى البريد ، وهو ظلّ عاير إلى ظلّ وعير ، ويحرم ما بين الحرّتين ، وبهما يميّز صيد هذا الحرم من حرم مكّة ؛ لأنّ صيد مكّة يحرم في جميع الحرم ، وليس كذلك في حرم المدينة ؛ لأنّ الذي يحرم منها هو القدر المخصوص ، ثمّ استدلّ عليه بالخبرين الآتيين ». وراجع أيضاً : </w:t>
      </w:r>
      <w:r w:rsidR="00744A1C" w:rsidRPr="00E978C3">
        <w:rPr>
          <w:rStyle w:val="libFootnoteBoldChar"/>
          <w:rtl/>
        </w:rPr>
        <w:t>الصحاح</w:t>
      </w:r>
      <w:r w:rsidR="00744A1C">
        <w:rPr>
          <w:rtl/>
          <w:lang w:bidi="fa-IR"/>
        </w:rPr>
        <w:t xml:space="preserve"> ، ج 6 ، ص 2240 ( عضه ) ؛ </w:t>
      </w:r>
      <w:r w:rsidR="00744A1C" w:rsidRPr="00877682">
        <w:rPr>
          <w:rStyle w:val="libFootnoteBoldChar"/>
          <w:rtl/>
        </w:rPr>
        <w:t>مرآة العقول</w:t>
      </w:r>
      <w:r w:rsidR="00744A1C">
        <w:rPr>
          <w:rtl/>
          <w:lang w:bidi="fa-IR"/>
        </w:rPr>
        <w:t xml:space="preserve"> ، ج 18 ، ص 278.</w:t>
      </w:r>
    </w:p>
    <w:p w:rsidR="00744A1C" w:rsidRDefault="00D10E3C" w:rsidP="00D10E3C">
      <w:pPr>
        <w:pStyle w:val="libFootnote0"/>
        <w:rPr>
          <w:lang w:bidi="fa-IR"/>
        </w:rPr>
      </w:pPr>
      <w:r>
        <w:rPr>
          <w:rtl/>
          <w:lang w:bidi="fa-IR"/>
        </w:rPr>
        <w:t>(1).</w:t>
      </w:r>
      <w:r w:rsidR="00744A1C">
        <w:rPr>
          <w:rtl/>
          <w:lang w:bidi="fa-IR"/>
        </w:rPr>
        <w:t xml:space="preserve"> في هامش الطبعة الحجريّة : « كلمة لا ، مقطوعة عمّا بعدها ». وفي </w:t>
      </w:r>
      <w:r w:rsidR="00744A1C" w:rsidRPr="00C24F9C">
        <w:rPr>
          <w:rStyle w:val="libFootnoteBoldChar"/>
          <w:rtl/>
        </w:rPr>
        <w:t>المرآة</w:t>
      </w:r>
      <w:r w:rsidR="00744A1C">
        <w:rPr>
          <w:rtl/>
          <w:lang w:bidi="fa-IR"/>
        </w:rPr>
        <w:t xml:space="preserve"> : « ظاهره تكذيب الناس ، وإن احتمل التصديق أيضاً ، وحمله الشيخ على أنّ التكذيب إن</w:t>
      </w:r>
      <w:r w:rsidR="005E465D">
        <w:rPr>
          <w:rtl/>
          <w:lang w:bidi="fa-IR"/>
        </w:rPr>
        <w:t>ّما هو للتعميم ، بل لا يحرم إل</w:t>
      </w:r>
      <w:r w:rsidR="005E465D">
        <w:rPr>
          <w:rFonts w:hint="cs"/>
          <w:rtl/>
          <w:lang w:bidi="fa-IR"/>
        </w:rPr>
        <w:t>ّ</w:t>
      </w:r>
      <w:r w:rsidR="005E465D">
        <w:rPr>
          <w:rtl/>
          <w:lang w:bidi="fa-IR"/>
        </w:rPr>
        <w:t>ا</w:t>
      </w:r>
      <w:r w:rsidR="005E465D">
        <w:rPr>
          <w:rFonts w:hint="cs"/>
          <w:rtl/>
          <w:lang w:bidi="fa-IR"/>
        </w:rPr>
        <w:t xml:space="preserve"> </w:t>
      </w:r>
      <w:r w:rsidR="00744A1C">
        <w:rPr>
          <w:rtl/>
          <w:lang w:bidi="fa-IR"/>
        </w:rPr>
        <w:t>صيد ما بين الحرمين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24 ، ح 52 ، معلّقاً عن الكليني. </w:t>
      </w:r>
      <w:r w:rsidR="00744A1C" w:rsidRPr="00C24F9C">
        <w:rPr>
          <w:rStyle w:val="libFootnoteBoldChar"/>
          <w:rtl/>
        </w:rPr>
        <w:t>الفقيه</w:t>
      </w:r>
      <w:r w:rsidR="00744A1C">
        <w:rPr>
          <w:rtl/>
          <w:lang w:bidi="fa-IR"/>
        </w:rPr>
        <w:t xml:space="preserve"> ، ج 2 ، ص 563 ، ح 3154 ، معلّقاً عن أبان ، عن أبي العبّاس يعني الفضل بن عبدالملك ، مع اختلاف يسير </w:t>
      </w:r>
      <w:r w:rsidR="005E465D">
        <w:rPr>
          <w:rFonts w:hint="cs"/>
          <w:rtl/>
          <w:lang w:bidi="fa-IR"/>
        </w:rPr>
        <w:t>.</w:t>
      </w:r>
      <w:r w:rsidR="00744A1C" w:rsidRPr="00C24F9C">
        <w:rPr>
          <w:rStyle w:val="libFootnoteBoldChar"/>
          <w:rtl/>
        </w:rPr>
        <w:t>الوافي</w:t>
      </w:r>
      <w:r w:rsidR="00744A1C">
        <w:rPr>
          <w:rtl/>
          <w:lang w:bidi="fa-IR"/>
        </w:rPr>
        <w:t xml:space="preserve"> ، ج 14 ، ص 1394 ، ح 14436 ؛ </w:t>
      </w:r>
      <w:r w:rsidR="00744A1C" w:rsidRPr="00C24F9C">
        <w:rPr>
          <w:rStyle w:val="libFootnoteBoldChar"/>
          <w:rtl/>
        </w:rPr>
        <w:t>الوسائل</w:t>
      </w:r>
      <w:r w:rsidR="00744A1C">
        <w:rPr>
          <w:rtl/>
          <w:lang w:bidi="fa-IR"/>
        </w:rPr>
        <w:t xml:space="preserve"> ، ج 14 ، ص 364 ، ذيل ح 19394.</w:t>
      </w:r>
    </w:p>
    <w:p w:rsidR="00744A1C" w:rsidRDefault="00E378DD" w:rsidP="00E378DD">
      <w:pPr>
        <w:pStyle w:val="libFootnote0"/>
        <w:rPr>
          <w:lang w:bidi="fa-IR"/>
        </w:rPr>
      </w:pPr>
      <w:r>
        <w:rPr>
          <w:rtl/>
          <w:lang w:bidi="fa-IR"/>
        </w:rPr>
        <w:t>(3).</w:t>
      </w:r>
      <w:r w:rsidR="00744A1C">
        <w:rPr>
          <w:rtl/>
          <w:lang w:bidi="fa-IR"/>
        </w:rPr>
        <w:t xml:space="preserve"> هكذا في « بخ ، بف ، جد ، جر » وحاشية « ى ، بث » والمعاني. وفي « ى ، بث ، بح ، بس ، بف ، جن » والمطبوع : « عبد الله ».</w:t>
      </w:r>
    </w:p>
    <w:p w:rsidR="00744A1C" w:rsidRDefault="00744A1C" w:rsidP="00D10E3C">
      <w:pPr>
        <w:pStyle w:val="libFootnote0"/>
        <w:rPr>
          <w:lang w:bidi="fa-IR"/>
        </w:rPr>
      </w:pPr>
      <w:r>
        <w:rPr>
          <w:rtl/>
          <w:lang w:bidi="fa-IR"/>
        </w:rPr>
        <w:t xml:space="preserve">وزياد هذا ، هو زياد بن عبيد الله بن عبد الله الحارثي ، والي الحرمين للسفّاح والمنصور ، الذي أقام الحجّ سنة 133. راجع : </w:t>
      </w:r>
      <w:r w:rsidRPr="00543213">
        <w:rPr>
          <w:rStyle w:val="libFootnoteBoldChar"/>
          <w:rtl/>
        </w:rPr>
        <w:t>تاريخ مدينة دمشق</w:t>
      </w:r>
      <w:r>
        <w:rPr>
          <w:rtl/>
          <w:lang w:bidi="fa-IR"/>
        </w:rPr>
        <w:t xml:space="preserve"> ، ج 19 ، ص 156 ، الرقم 2307 ؛ </w:t>
      </w:r>
      <w:r w:rsidRPr="00543213">
        <w:rPr>
          <w:rStyle w:val="libFootnoteBoldChar"/>
          <w:rtl/>
        </w:rPr>
        <w:t>تاريخ الاسلام</w:t>
      </w:r>
      <w:r>
        <w:rPr>
          <w:rtl/>
          <w:lang w:bidi="fa-IR"/>
        </w:rPr>
        <w:t xml:space="preserve"> ، ج 9 ، ص 140.</w:t>
      </w:r>
    </w:p>
    <w:tbl>
      <w:tblPr>
        <w:tblStyle w:val="TableGrid"/>
        <w:bidiVisual/>
        <w:tblW w:w="0" w:type="auto"/>
        <w:tblLook w:val="04A0" w:firstRow="1" w:lastRow="0" w:firstColumn="1" w:lastColumn="0" w:noHBand="0" w:noVBand="1"/>
      </w:tblPr>
      <w:tblGrid>
        <w:gridCol w:w="4006"/>
        <w:gridCol w:w="4006"/>
      </w:tblGrid>
      <w:tr w:rsidR="005E465D" w:rsidTr="005E465D">
        <w:tc>
          <w:tcPr>
            <w:tcW w:w="4006" w:type="dxa"/>
          </w:tcPr>
          <w:p w:rsidR="005E465D" w:rsidRDefault="005E465D" w:rsidP="00E378DD">
            <w:pPr>
              <w:pStyle w:val="libFootnote0"/>
              <w:rPr>
                <w:rtl/>
                <w:lang w:bidi="fa-IR"/>
              </w:rPr>
            </w:pPr>
            <w:r>
              <w:rPr>
                <w:rtl/>
                <w:lang w:bidi="fa-IR"/>
              </w:rPr>
              <w:t xml:space="preserve">(4). في </w:t>
            </w:r>
            <w:r w:rsidRPr="005E465D">
              <w:rPr>
                <w:rtl/>
              </w:rPr>
              <w:t>الوافي</w:t>
            </w:r>
            <w:r>
              <w:rPr>
                <w:rtl/>
                <w:lang w:bidi="fa-IR"/>
              </w:rPr>
              <w:t xml:space="preserve"> : + « له ».</w:t>
            </w:r>
          </w:p>
        </w:tc>
        <w:tc>
          <w:tcPr>
            <w:tcW w:w="4006" w:type="dxa"/>
          </w:tcPr>
          <w:p w:rsidR="005E465D" w:rsidRDefault="005E465D" w:rsidP="00E378DD">
            <w:pPr>
              <w:pStyle w:val="libFootnote0"/>
              <w:rPr>
                <w:rtl/>
                <w:lang w:bidi="fa-IR"/>
              </w:rPr>
            </w:pPr>
            <w:r>
              <w:rPr>
                <w:rtl/>
                <w:lang w:bidi="fa-IR"/>
              </w:rPr>
              <w:t xml:space="preserve">(5). في </w:t>
            </w:r>
            <w:r w:rsidRPr="005E465D">
              <w:rPr>
                <w:rtl/>
              </w:rPr>
              <w:t>التهذيب</w:t>
            </w:r>
            <w:r>
              <w:rPr>
                <w:rtl/>
                <w:lang w:bidi="fa-IR"/>
              </w:rPr>
              <w:t xml:space="preserve"> والمعاني : + « يا ربيعة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5E465D">
        <w:rPr>
          <w:rtl/>
        </w:rPr>
        <w:t>الوافي</w:t>
      </w:r>
      <w:r w:rsidR="00744A1C">
        <w:rPr>
          <w:rtl/>
          <w:lang w:bidi="fa-IR"/>
        </w:rPr>
        <w:t xml:space="preserve"> والمعاني : « فقلت ». وفي </w:t>
      </w:r>
      <w:r w:rsidR="00744A1C" w:rsidRPr="005E465D">
        <w:rPr>
          <w:rtl/>
        </w:rPr>
        <w:t>التهذيب</w:t>
      </w:r>
      <w:r w:rsidR="00744A1C">
        <w:rPr>
          <w:rtl/>
          <w:lang w:bidi="fa-IR"/>
        </w:rPr>
        <w:t xml:space="preserve"> : + « أبو عبد الله </w:t>
      </w:r>
      <w:r w:rsidR="0061079A" w:rsidRPr="0061079A">
        <w:rPr>
          <w:rStyle w:val="libFootnoteAlaemChar"/>
          <w:rtl/>
        </w:rPr>
        <w:t>عليه‌السلام</w:t>
      </w:r>
      <w:r w:rsidR="00D10E3C">
        <w:rPr>
          <w:rtl/>
          <w:lang w:bidi="fa-IR"/>
        </w:rPr>
        <w:t xml:space="preserve"> </w:t>
      </w:r>
      <w:r w:rsidR="00744A1C">
        <w:rPr>
          <w:rtl/>
          <w:lang w:bidi="fa-IR"/>
        </w:rPr>
        <w:t>فقلت ».</w:t>
      </w:r>
    </w:p>
    <w:tbl>
      <w:tblPr>
        <w:tblStyle w:val="TableGrid"/>
        <w:bidiVisual/>
        <w:tblW w:w="0" w:type="auto"/>
        <w:tblLook w:val="04A0" w:firstRow="1" w:lastRow="0" w:firstColumn="1" w:lastColumn="0" w:noHBand="0" w:noVBand="1"/>
      </w:tblPr>
      <w:tblGrid>
        <w:gridCol w:w="4006"/>
        <w:gridCol w:w="4006"/>
      </w:tblGrid>
      <w:tr w:rsidR="005E465D" w:rsidTr="005E465D">
        <w:tc>
          <w:tcPr>
            <w:tcW w:w="4006" w:type="dxa"/>
          </w:tcPr>
          <w:p w:rsidR="005E465D" w:rsidRDefault="005E465D" w:rsidP="00E378DD">
            <w:pPr>
              <w:pStyle w:val="libFootnote0"/>
              <w:rPr>
                <w:rtl/>
                <w:lang w:bidi="fa-IR"/>
              </w:rPr>
            </w:pPr>
            <w:r>
              <w:rPr>
                <w:rtl/>
                <w:lang w:bidi="fa-IR"/>
              </w:rPr>
              <w:t>(7). في « بس » : « ربيعة ».</w:t>
            </w:r>
          </w:p>
        </w:tc>
        <w:tc>
          <w:tcPr>
            <w:tcW w:w="4006" w:type="dxa"/>
          </w:tcPr>
          <w:p w:rsidR="005E465D" w:rsidRDefault="005E465D" w:rsidP="00E378DD">
            <w:pPr>
              <w:pStyle w:val="libFootnote0"/>
              <w:rPr>
                <w:rtl/>
                <w:lang w:bidi="fa-IR"/>
              </w:rPr>
            </w:pPr>
            <w:r>
              <w:rPr>
                <w:rtl/>
                <w:lang w:bidi="fa-IR"/>
              </w:rPr>
              <w:t>(8). في المعاني : « بريد ».</w:t>
            </w:r>
          </w:p>
        </w:tc>
      </w:tr>
    </w:tbl>
    <w:p w:rsidR="00744A1C" w:rsidRDefault="00E378DD" w:rsidP="00E378DD">
      <w:pPr>
        <w:pStyle w:val="libFootnote0"/>
        <w:rPr>
          <w:lang w:bidi="fa-IR"/>
        </w:rPr>
      </w:pPr>
      <w:r>
        <w:rPr>
          <w:rtl/>
          <w:lang w:bidi="fa-IR"/>
        </w:rPr>
        <w:t>(9).</w:t>
      </w:r>
      <w:r w:rsidR="00744A1C">
        <w:rPr>
          <w:rtl/>
          <w:lang w:bidi="fa-IR"/>
        </w:rPr>
        <w:t xml:space="preserve"> 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xml:space="preserve">: « مقصوده </w:t>
      </w:r>
      <w:r w:rsidR="0061079A" w:rsidRPr="0061079A">
        <w:rPr>
          <w:rStyle w:val="libFootnoteAlaemChar"/>
          <w:rtl/>
        </w:rPr>
        <w:t>عليه‌السلام</w:t>
      </w:r>
      <w:r w:rsidR="00D10E3C">
        <w:rPr>
          <w:rtl/>
          <w:lang w:bidi="fa-IR"/>
        </w:rPr>
        <w:t xml:space="preserve"> </w:t>
      </w:r>
      <w:r w:rsidR="00744A1C">
        <w:rPr>
          <w:rtl/>
          <w:lang w:bidi="fa-IR"/>
        </w:rPr>
        <w:t xml:space="preserve">أنّ رسول الله </w:t>
      </w:r>
      <w:r w:rsidR="00024D6D" w:rsidRPr="00024D6D">
        <w:rPr>
          <w:rStyle w:val="libFootnoteAlaemChar"/>
          <w:rtl/>
        </w:rPr>
        <w:t>صلى‌الله‌عليه‌وآله</w:t>
      </w:r>
      <w:r w:rsidR="00D10E3C">
        <w:rPr>
          <w:rtl/>
          <w:lang w:bidi="fa-IR"/>
        </w:rPr>
        <w:t xml:space="preserve"> </w:t>
      </w:r>
      <w:r w:rsidR="00744A1C">
        <w:rPr>
          <w:rtl/>
          <w:lang w:bidi="fa-IR"/>
        </w:rPr>
        <w:t xml:space="preserve">لا يمكن أن يعلّق الحكم على أمر </w:t>
      </w:r>
      <w:r w:rsidR="005E465D">
        <w:rPr>
          <w:rFonts w:hint="cs"/>
          <w:rtl/>
          <w:lang w:bidi="fa-IR"/>
        </w:rPr>
        <w:t>=</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زِيَادٌ ، فَقَالَ </w:t>
      </w:r>
      <w:r w:rsidRPr="00D10E3C">
        <w:rPr>
          <w:rStyle w:val="libFootnotenumChar"/>
          <w:rtl/>
        </w:rPr>
        <w:t>(1)</w:t>
      </w:r>
      <w:r>
        <w:rPr>
          <w:rtl/>
          <w:lang w:bidi="fa-IR"/>
        </w:rPr>
        <w:t xml:space="preserve"> : يَا أَبَا </w:t>
      </w:r>
      <w:r w:rsidRPr="00D10E3C">
        <w:rPr>
          <w:rStyle w:val="libFootnotenumChar"/>
          <w:rtl/>
        </w:rPr>
        <w:t>(2)</w:t>
      </w:r>
      <w:r>
        <w:rPr>
          <w:rtl/>
          <w:lang w:bidi="fa-IR"/>
        </w:rPr>
        <w:t xml:space="preserve"> عَبْدِ اللهِ ، مَا تَقُولُ أَنْتَ؟ فَقُلْتُ : حَرَّمَ رَسُولُ اللهِ </w:t>
      </w:r>
      <w:r w:rsidR="007B299E" w:rsidRPr="007B299E">
        <w:rPr>
          <w:rStyle w:val="libAlaemChar"/>
          <w:rtl/>
        </w:rPr>
        <w:t>صلى‌الله‌عليه‌وآله</w:t>
      </w:r>
      <w:r w:rsidR="00D10E3C">
        <w:rPr>
          <w:rtl/>
          <w:lang w:bidi="fa-IR"/>
        </w:rPr>
        <w:t xml:space="preserve"> </w:t>
      </w:r>
      <w:r>
        <w:rPr>
          <w:rtl/>
          <w:lang w:bidi="fa-IR"/>
        </w:rPr>
        <w:t xml:space="preserve">مِنَ الْمَدِينَةِ </w:t>
      </w:r>
      <w:r w:rsidRPr="00D10E3C">
        <w:rPr>
          <w:rStyle w:val="libFootnotenumChar"/>
          <w:rtl/>
        </w:rPr>
        <w:t>(3)</w:t>
      </w:r>
      <w:r>
        <w:rPr>
          <w:rtl/>
          <w:lang w:bidi="fa-IR"/>
        </w:rPr>
        <w:t xml:space="preserve"> مَا </w:t>
      </w:r>
      <w:r w:rsidRPr="00D10E3C">
        <w:rPr>
          <w:rStyle w:val="libFootnotenumChar"/>
          <w:rtl/>
        </w:rPr>
        <w:t>(4)</w:t>
      </w:r>
      <w:r>
        <w:rPr>
          <w:rtl/>
          <w:lang w:bidi="fa-IR"/>
        </w:rPr>
        <w:t xml:space="preserve"> بَيْنَ لَابَتَيْهَا </w:t>
      </w:r>
      <w:r w:rsidRPr="00D10E3C">
        <w:rPr>
          <w:rStyle w:val="libFootnotenumChar"/>
          <w:rtl/>
        </w:rPr>
        <w:t>(5)</w:t>
      </w:r>
      <w:r>
        <w:rPr>
          <w:rtl/>
          <w:lang w:bidi="fa-IR"/>
        </w:rPr>
        <w:t xml:space="preserve"> قَالَ : وَمَا بَيْنَ لَابَتَيْهَا؟ قُلْتُ : مَا أَحَاطَتْ بِهِ الْحِرَارُ </w:t>
      </w:r>
      <w:r w:rsidRPr="00D10E3C">
        <w:rPr>
          <w:rStyle w:val="libFootnotenumChar"/>
          <w:rtl/>
        </w:rPr>
        <w:t>(6)</w:t>
      </w:r>
      <w:r>
        <w:rPr>
          <w:rtl/>
          <w:lang w:bidi="fa-IR"/>
        </w:rPr>
        <w:t xml:space="preserve"> ، قَالَ : وَمَا حَرَّمَ </w:t>
      </w:r>
      <w:r w:rsidRPr="00D10E3C">
        <w:rPr>
          <w:rStyle w:val="libFootnotenumChar"/>
          <w:rtl/>
        </w:rPr>
        <w:t>(7)</w:t>
      </w:r>
      <w:r>
        <w:rPr>
          <w:rtl/>
          <w:lang w:bidi="fa-IR"/>
        </w:rPr>
        <w:t xml:space="preserve"> مِنَ الشَّجَرِ؟ قُلْتُ : مِنْ عَيْرٍ </w:t>
      </w:r>
      <w:r w:rsidRPr="00D10E3C">
        <w:rPr>
          <w:rStyle w:val="libFootnotenumChar"/>
          <w:rtl/>
        </w:rPr>
        <w:t>(8)</w:t>
      </w:r>
      <w:r>
        <w:rPr>
          <w:rtl/>
          <w:lang w:bidi="fa-IR"/>
        </w:rPr>
        <w:t xml:space="preserve"> إِلى وُعَيْرٍ ».</w:t>
      </w:r>
    </w:p>
    <w:p w:rsidR="00744A1C" w:rsidRDefault="00744A1C" w:rsidP="00744A1C">
      <w:pPr>
        <w:pStyle w:val="libNormal"/>
        <w:rPr>
          <w:lang w:bidi="fa-IR"/>
        </w:rPr>
      </w:pPr>
      <w:r>
        <w:rPr>
          <w:rtl/>
          <w:lang w:bidi="fa-IR"/>
        </w:rPr>
        <w:t xml:space="preserve">قَالَ صَفْوَانُ : قَالَ ابْنُ مُسْكَانَ : قَالَ الْحَسَنُ : فَسَأَلَهُ إِنْسَانٌ </w:t>
      </w:r>
      <w:r w:rsidRPr="00D10E3C">
        <w:rPr>
          <w:rStyle w:val="libFootnotenumChar"/>
          <w:rtl/>
        </w:rPr>
        <w:t>(9)</w:t>
      </w:r>
      <w:r>
        <w:rPr>
          <w:rtl/>
          <w:lang w:bidi="fa-IR"/>
        </w:rPr>
        <w:t xml:space="preserve"> وَأَنَا جَالِسٌ ، فَقَالَ لَهُ : وَمَا بَيْنَ لَابَتَيْهَا؟</w:t>
      </w:r>
    </w:p>
    <w:p w:rsidR="00744A1C" w:rsidRDefault="00744A1C" w:rsidP="00D10E3C">
      <w:pPr>
        <w:pStyle w:val="libLine"/>
        <w:rPr>
          <w:lang w:bidi="fa-IR"/>
        </w:rPr>
      </w:pPr>
      <w:r>
        <w:rPr>
          <w:rtl/>
          <w:lang w:bidi="fa-IR"/>
        </w:rPr>
        <w:t>____________________</w:t>
      </w:r>
    </w:p>
    <w:p w:rsidR="00744A1C" w:rsidRDefault="005E465D" w:rsidP="00D10E3C">
      <w:pPr>
        <w:pStyle w:val="libFootnote0"/>
        <w:rPr>
          <w:lang w:bidi="fa-IR"/>
        </w:rPr>
      </w:pPr>
      <w:r>
        <w:rPr>
          <w:rFonts w:hint="cs"/>
          <w:rtl/>
          <w:lang w:bidi="fa-IR"/>
        </w:rPr>
        <w:t xml:space="preserve">= </w:t>
      </w:r>
      <w:r w:rsidR="00744A1C">
        <w:rPr>
          <w:rtl/>
          <w:lang w:bidi="fa-IR"/>
        </w:rPr>
        <w:t xml:space="preserve">مجهول ، ولم يكن على عهده </w:t>
      </w:r>
      <w:r w:rsidR="0061079A" w:rsidRPr="0061079A">
        <w:rPr>
          <w:rStyle w:val="libFootnoteAlaemChar"/>
          <w:rtl/>
        </w:rPr>
        <w:t>صلى‌الله‌عليه‌وآله</w:t>
      </w:r>
      <w:r w:rsidR="00D10E3C">
        <w:rPr>
          <w:rtl/>
          <w:lang w:bidi="fa-IR"/>
        </w:rPr>
        <w:t xml:space="preserve"> </w:t>
      </w:r>
      <w:r w:rsidR="00744A1C">
        <w:rPr>
          <w:rtl/>
          <w:lang w:bidi="fa-IR"/>
        </w:rPr>
        <w:t>ميل وعلامة على الطرق يعرف بها المسافات ، وإنّما حدث الأميال والأنصاب بعد ذلك على عهد بني ا</w:t>
      </w:r>
      <w:r>
        <w:rPr>
          <w:rFonts w:hint="cs"/>
          <w:rtl/>
          <w:lang w:bidi="fa-IR"/>
        </w:rPr>
        <w:t>ُ</w:t>
      </w:r>
      <w:r w:rsidR="00744A1C">
        <w:rPr>
          <w:rtl/>
          <w:lang w:bidi="fa-IR"/>
        </w:rPr>
        <w:t>ميّة وبني العبّاس ، والبريد لا يمكن أن ي</w:t>
      </w:r>
      <w:r>
        <w:rPr>
          <w:rtl/>
          <w:lang w:bidi="fa-IR"/>
        </w:rPr>
        <w:t>عرف إل</w:t>
      </w:r>
      <w:r>
        <w:rPr>
          <w:rFonts w:hint="cs"/>
          <w:rtl/>
          <w:lang w:bidi="fa-IR"/>
        </w:rPr>
        <w:t>ّ</w:t>
      </w:r>
      <w:r>
        <w:rPr>
          <w:rtl/>
          <w:lang w:bidi="fa-IR"/>
        </w:rPr>
        <w:t>ا</w:t>
      </w:r>
      <w:r w:rsidR="00744A1C">
        <w:rPr>
          <w:rtl/>
          <w:lang w:bidi="fa-IR"/>
        </w:rPr>
        <w:t xml:space="preserve">بالمساحة ونصب الأعلام ، فلا يمكن أن يعلّق رسول الله </w:t>
      </w:r>
      <w:r w:rsidRPr="005E465D">
        <w:rPr>
          <w:rStyle w:val="libFootnoteAlaemChar"/>
          <w:rtl/>
        </w:rPr>
        <w:t>صلى‌الله‌عليه‌وآله</w:t>
      </w:r>
      <w:r w:rsidR="00D10E3C">
        <w:rPr>
          <w:rtl/>
          <w:lang w:bidi="fa-IR"/>
        </w:rPr>
        <w:t xml:space="preserve"> </w:t>
      </w:r>
      <w:r w:rsidR="00744A1C">
        <w:rPr>
          <w:rtl/>
          <w:lang w:bidi="fa-IR"/>
        </w:rPr>
        <w:t>الحكم عليه ، وإنّما علّق الحكم على ا</w:t>
      </w:r>
      <w:r>
        <w:rPr>
          <w:rFonts w:hint="cs"/>
          <w:rtl/>
          <w:lang w:bidi="fa-IR"/>
        </w:rPr>
        <w:t>ُ</w:t>
      </w:r>
      <w:r w:rsidR="00744A1C">
        <w:rPr>
          <w:rtl/>
          <w:lang w:bidi="fa-IR"/>
        </w:rPr>
        <w:t>مور ثابتة لا تتغيّر كالجبال والحرار ، وقد مرّ أنّ بني ا</w:t>
      </w:r>
      <w:r>
        <w:rPr>
          <w:rFonts w:hint="cs"/>
          <w:rtl/>
          <w:lang w:bidi="fa-IR"/>
        </w:rPr>
        <w:t>ُ</w:t>
      </w:r>
      <w:r w:rsidR="00744A1C">
        <w:rPr>
          <w:rtl/>
          <w:lang w:bidi="fa-IR"/>
        </w:rPr>
        <w:t xml:space="preserve">ميّة تبعوا في ذلك حكمه </w:t>
      </w:r>
      <w:r w:rsidRPr="005E465D">
        <w:rPr>
          <w:rStyle w:val="libFootnoteAlaemChar"/>
          <w:rtl/>
        </w:rPr>
        <w:t>صلى‌الله‌عليه‌وآله</w:t>
      </w:r>
      <w:r w:rsidR="00D10E3C">
        <w:rPr>
          <w:rtl/>
          <w:lang w:bidi="fa-IR"/>
        </w:rPr>
        <w:t xml:space="preserve"> </w:t>
      </w:r>
      <w:r w:rsidR="00744A1C">
        <w:rPr>
          <w:rtl/>
          <w:lang w:bidi="fa-IR"/>
        </w:rPr>
        <w:t>، فمسحوا ما بين عير وعيرة ، وقسّموا المسافة بينهما على اثني عشر قسماً كلّ واحد ميل ، ووجدوا كلّ ميل ثلاثة آلاف وخمسمائة ذراع ، فلمّا صار الأمر إلى بني العبّاس وهم من بني هاشم غيّروا كلّ شي‌ء من آثار بني ا</w:t>
      </w:r>
      <w:r>
        <w:rPr>
          <w:rFonts w:hint="cs"/>
          <w:rtl/>
          <w:lang w:bidi="fa-IR"/>
        </w:rPr>
        <w:t>ُ</w:t>
      </w:r>
      <w:r>
        <w:rPr>
          <w:rtl/>
          <w:lang w:bidi="fa-IR"/>
        </w:rPr>
        <w:t>ميّة إل</w:t>
      </w:r>
      <w:r>
        <w:rPr>
          <w:rFonts w:hint="cs"/>
          <w:rtl/>
          <w:lang w:bidi="fa-IR"/>
        </w:rPr>
        <w:t>ّ</w:t>
      </w:r>
      <w:r>
        <w:rPr>
          <w:rtl/>
          <w:lang w:bidi="fa-IR"/>
        </w:rPr>
        <w:t>ا</w:t>
      </w:r>
      <w:r w:rsidR="00744A1C">
        <w:rPr>
          <w:rtl/>
          <w:lang w:bidi="fa-IR"/>
        </w:rPr>
        <w:t xml:space="preserve">هذه الأميال ؛ لأنّ أصل هذا العمل كان بهداية أهل البيت </w:t>
      </w:r>
      <w:r w:rsidR="00877682" w:rsidRPr="00877682">
        <w:rPr>
          <w:rStyle w:val="libFootnoteAlaemChar"/>
          <w:rtl/>
        </w:rPr>
        <w:t>عليهم‌السلام</w:t>
      </w:r>
      <w:r w:rsidR="00D10E3C">
        <w:rPr>
          <w:rtl/>
          <w:lang w:bidi="fa-IR"/>
        </w:rPr>
        <w:t xml:space="preserve"> </w:t>
      </w:r>
      <w:r w:rsidR="00744A1C">
        <w:rPr>
          <w:rtl/>
          <w:lang w:bidi="fa-IR"/>
        </w:rPr>
        <w:t>وتعليمهم ، فكان أثراً هاشميّاً لا ا</w:t>
      </w:r>
      <w:r w:rsidR="00E750C3">
        <w:rPr>
          <w:rFonts w:hint="cs"/>
          <w:rtl/>
          <w:lang w:bidi="fa-IR"/>
        </w:rPr>
        <w:t>ُ</w:t>
      </w:r>
      <w:r w:rsidR="00744A1C">
        <w:rPr>
          <w:rtl/>
          <w:lang w:bidi="fa-IR"/>
        </w:rPr>
        <w:t>مويّاً ».</w:t>
      </w:r>
    </w:p>
    <w:p w:rsidR="00744A1C" w:rsidRDefault="00D10E3C" w:rsidP="00D10E3C">
      <w:pPr>
        <w:pStyle w:val="libFootnote0"/>
        <w:rPr>
          <w:lang w:bidi="fa-IR"/>
        </w:rPr>
      </w:pPr>
      <w:r>
        <w:rPr>
          <w:rtl/>
          <w:lang w:bidi="fa-IR"/>
        </w:rPr>
        <w:t>(1).</w:t>
      </w:r>
      <w:r w:rsidR="00744A1C">
        <w:rPr>
          <w:rtl/>
          <w:lang w:bidi="fa-IR"/>
        </w:rPr>
        <w:t xml:space="preserve"> في « بف » وحاشية « بث » : « وقال ».</w:t>
      </w:r>
    </w:p>
    <w:p w:rsidR="00744A1C" w:rsidRDefault="00E378DD" w:rsidP="00E378DD">
      <w:pPr>
        <w:pStyle w:val="libFootnote0"/>
        <w:rPr>
          <w:lang w:bidi="fa-IR"/>
        </w:rPr>
      </w:pPr>
      <w:r>
        <w:rPr>
          <w:rtl/>
          <w:lang w:bidi="fa-IR"/>
        </w:rPr>
        <w:t>(2).</w:t>
      </w:r>
      <w:r w:rsidR="00744A1C">
        <w:rPr>
          <w:rtl/>
          <w:lang w:bidi="fa-IR"/>
        </w:rPr>
        <w:t xml:space="preserve"> في « بث » : - « أبا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والمعاني : + « من الصيد ».</w:t>
      </w:r>
    </w:p>
    <w:p w:rsidR="00744A1C" w:rsidRDefault="00E378DD" w:rsidP="00E378DD">
      <w:pPr>
        <w:pStyle w:val="libFootnote0"/>
        <w:rPr>
          <w:lang w:bidi="fa-IR"/>
        </w:rPr>
      </w:pPr>
      <w:r>
        <w:rPr>
          <w:rtl/>
          <w:lang w:bidi="fa-IR"/>
        </w:rPr>
        <w:t>(4).</w:t>
      </w:r>
      <w:r w:rsidR="00744A1C">
        <w:rPr>
          <w:rtl/>
          <w:lang w:bidi="fa-IR"/>
        </w:rPr>
        <w:t xml:space="preserve"> في « ى » : « بما » بدل « من المدينة ما ». وفي « جد » : « بما » بدل « ما ».</w:t>
      </w:r>
    </w:p>
    <w:p w:rsidR="00744A1C" w:rsidRDefault="00E378DD" w:rsidP="00E378DD">
      <w:pPr>
        <w:pStyle w:val="libFootnote0"/>
        <w:rPr>
          <w:lang w:bidi="fa-IR"/>
        </w:rPr>
      </w:pPr>
      <w:r>
        <w:rPr>
          <w:rtl/>
          <w:lang w:bidi="fa-IR"/>
        </w:rPr>
        <w:t>(5).</w:t>
      </w:r>
      <w:r w:rsidR="00744A1C">
        <w:rPr>
          <w:rtl/>
          <w:lang w:bidi="fa-IR"/>
        </w:rPr>
        <w:t xml:space="preserve"> اللابَةُ : الحَرَّة. والجمع : لابات. ولابتا المدينة : حرّتان عظيمتان يكشفانها. راجع : </w:t>
      </w:r>
      <w:r w:rsidR="00744A1C" w:rsidRPr="00877682">
        <w:rPr>
          <w:rStyle w:val="libFootnoteBoldChar"/>
          <w:rtl/>
        </w:rPr>
        <w:t>لسان العرب</w:t>
      </w:r>
      <w:r w:rsidR="00744A1C">
        <w:rPr>
          <w:rtl/>
          <w:lang w:bidi="fa-IR"/>
        </w:rPr>
        <w:t xml:space="preserve"> ، ج 1 ، ص 745 ؛ </w:t>
      </w:r>
      <w:r w:rsidR="00744A1C" w:rsidRPr="008A57EB">
        <w:rPr>
          <w:rStyle w:val="libFootnoteBoldChar"/>
          <w:rtl/>
        </w:rPr>
        <w:t>مجمع البحرين</w:t>
      </w:r>
      <w:r w:rsidR="00744A1C">
        <w:rPr>
          <w:rtl/>
          <w:lang w:bidi="fa-IR"/>
        </w:rPr>
        <w:t xml:space="preserve"> ، ج 2 ، ص 168 ( لوب ).</w:t>
      </w:r>
    </w:p>
    <w:p w:rsidR="00744A1C" w:rsidRDefault="00E378DD" w:rsidP="00E378DD">
      <w:pPr>
        <w:pStyle w:val="libFootnote0"/>
        <w:rPr>
          <w:lang w:bidi="fa-IR"/>
        </w:rPr>
      </w:pPr>
      <w:r>
        <w:rPr>
          <w:rtl/>
          <w:lang w:bidi="fa-IR"/>
        </w:rPr>
        <w:t>(6).</w:t>
      </w:r>
      <w:r w:rsidR="00744A1C">
        <w:rPr>
          <w:rtl/>
          <w:lang w:bidi="fa-IR"/>
        </w:rPr>
        <w:t xml:space="preserve"> « الحِرارُ » ، جمع الحَرَّةُ : أرض ذات حجارة سود نَخِرات كأنّها ا</w:t>
      </w:r>
      <w:r w:rsidR="00E750C3">
        <w:rPr>
          <w:rFonts w:hint="cs"/>
          <w:rtl/>
          <w:lang w:bidi="fa-IR"/>
        </w:rPr>
        <w:t>ُ</w:t>
      </w:r>
      <w:r w:rsidR="00744A1C">
        <w:rPr>
          <w:rtl/>
          <w:lang w:bidi="fa-IR"/>
        </w:rPr>
        <w:t xml:space="preserve">حرقت بالنار. </w:t>
      </w:r>
      <w:r w:rsidR="00744A1C" w:rsidRPr="00877682">
        <w:rPr>
          <w:rStyle w:val="libFootnoteBoldChar"/>
          <w:rtl/>
        </w:rPr>
        <w:t>لسان العرب</w:t>
      </w:r>
      <w:r w:rsidR="00E750C3">
        <w:rPr>
          <w:rtl/>
          <w:lang w:bidi="fa-IR"/>
        </w:rPr>
        <w:t xml:space="preserve"> ، ج 4 ، ص 179</w:t>
      </w:r>
      <w:r w:rsidR="00744A1C">
        <w:rPr>
          <w:rtl/>
          <w:lang w:bidi="fa-IR"/>
        </w:rPr>
        <w:t>( حرر ).</w:t>
      </w:r>
    </w:p>
    <w:p w:rsidR="00744A1C" w:rsidRDefault="00E378DD" w:rsidP="00E378DD">
      <w:pPr>
        <w:pStyle w:val="libFootnote0"/>
        <w:rPr>
          <w:lang w:bidi="fa-IR"/>
        </w:rPr>
      </w:pPr>
      <w:r>
        <w:rPr>
          <w:rtl/>
          <w:lang w:bidi="fa-IR"/>
        </w:rPr>
        <w:t>(7).</w:t>
      </w:r>
      <w:r w:rsidR="00744A1C">
        <w:rPr>
          <w:rtl/>
          <w:lang w:bidi="fa-IR"/>
        </w:rPr>
        <w:t xml:space="preserve"> في المعاني : + « رسول الله </w:t>
      </w:r>
      <w:r w:rsidR="00F90866" w:rsidRPr="00F90866">
        <w:rPr>
          <w:rStyle w:val="libFootnoteAlaemChar"/>
          <w:rtl/>
        </w:rPr>
        <w:t>صلى‌الله‌عليه‌وآله</w:t>
      </w:r>
      <w:r w:rsidR="00744A1C">
        <w:rPr>
          <w:rtl/>
          <w:lang w:bidi="fa-IR"/>
        </w:rPr>
        <w:t xml:space="preserve"> ».</w:t>
      </w:r>
    </w:p>
    <w:p w:rsidR="00744A1C" w:rsidRDefault="00E378DD" w:rsidP="00E378DD">
      <w:pPr>
        <w:pStyle w:val="libFootnote0"/>
        <w:rPr>
          <w:lang w:bidi="fa-IR"/>
        </w:rPr>
      </w:pPr>
      <w:r>
        <w:rPr>
          <w:rtl/>
          <w:lang w:bidi="fa-IR"/>
        </w:rPr>
        <w:t>(8).</w:t>
      </w:r>
      <w:r w:rsidR="00744A1C">
        <w:rPr>
          <w:rtl/>
          <w:lang w:bidi="fa-IR"/>
        </w:rPr>
        <w:t xml:space="preserve"> في « جد » : « وعير ». وفي </w:t>
      </w:r>
      <w:r w:rsidR="00744A1C" w:rsidRPr="00E750C3">
        <w:rPr>
          <w:rtl/>
        </w:rPr>
        <w:t xml:space="preserve">الوافي والوسائل والتهذيب </w:t>
      </w:r>
      <w:r w:rsidR="00744A1C">
        <w:rPr>
          <w:rtl/>
          <w:lang w:bidi="fa-IR"/>
        </w:rPr>
        <w:t xml:space="preserve">: « عاير ». وقال السيّد العاملي </w:t>
      </w:r>
      <w:r w:rsidR="00877682" w:rsidRPr="00877682">
        <w:rPr>
          <w:rStyle w:val="libFootnoteAlaemChar"/>
          <w:rtl/>
        </w:rPr>
        <w:t>رحمه‌الله</w:t>
      </w:r>
      <w:r w:rsidR="00E750C3" w:rsidRPr="00E750C3">
        <w:rPr>
          <w:rFonts w:hint="cs"/>
          <w:rtl/>
        </w:rPr>
        <w:t xml:space="preserve"> </w:t>
      </w:r>
      <w:r w:rsidR="00744A1C">
        <w:rPr>
          <w:rtl/>
          <w:lang w:bidi="fa-IR"/>
        </w:rPr>
        <w:t xml:space="preserve">في </w:t>
      </w:r>
      <w:r w:rsidR="00744A1C" w:rsidRPr="00C24F9C">
        <w:rPr>
          <w:rStyle w:val="libFootnoteBoldChar"/>
          <w:rtl/>
        </w:rPr>
        <w:t>مدارك الأحكام</w:t>
      </w:r>
      <w:r w:rsidR="00744A1C">
        <w:rPr>
          <w:rtl/>
          <w:lang w:bidi="fa-IR"/>
        </w:rPr>
        <w:t xml:space="preserve"> ، ج 8 ، ص 274 : « ذكر جمع من الأصحاب أنّ عاير ووُعَير جبلان يكتنفان المدينة من المشرق والمغرب. ووُعير ، ضبطها الشهيد في </w:t>
      </w:r>
      <w:r w:rsidR="00744A1C" w:rsidRPr="00877682">
        <w:rPr>
          <w:rStyle w:val="libFootnoteBoldChar"/>
          <w:rtl/>
        </w:rPr>
        <w:t>الدروس</w:t>
      </w:r>
      <w:r w:rsidR="00744A1C">
        <w:rPr>
          <w:rtl/>
          <w:lang w:bidi="fa-IR"/>
        </w:rPr>
        <w:t xml:space="preserve"> بفتح الواو ، وذكر المحقّق الشيخ عليّ </w:t>
      </w:r>
      <w:r w:rsidR="00877682" w:rsidRPr="00877682">
        <w:rPr>
          <w:rStyle w:val="libFootnoteAlaemChar"/>
          <w:rtl/>
        </w:rPr>
        <w:t>رحمه‌الله</w:t>
      </w:r>
      <w:r w:rsidR="00E750C3" w:rsidRPr="00E750C3">
        <w:rPr>
          <w:rFonts w:hint="cs"/>
          <w:rtl/>
        </w:rPr>
        <w:t xml:space="preserve"> </w:t>
      </w:r>
      <w:r w:rsidR="00744A1C">
        <w:rPr>
          <w:rtl/>
          <w:lang w:bidi="fa-IR"/>
        </w:rPr>
        <w:t>أنّه وجدها في مواضع معتمدة بضمّ الواو وفتح العين المهملة. والحرّتان : موضعان ا</w:t>
      </w:r>
      <w:r w:rsidR="00E750C3">
        <w:rPr>
          <w:rFonts w:hint="cs"/>
          <w:rtl/>
          <w:lang w:bidi="fa-IR"/>
        </w:rPr>
        <w:t>ُ</w:t>
      </w:r>
      <w:r w:rsidR="00744A1C">
        <w:rPr>
          <w:rtl/>
          <w:lang w:bidi="fa-IR"/>
        </w:rPr>
        <w:t xml:space="preserve">دخل منهما نحو المدينة ، وهما حرّة ليلى وحرّة واقم ، بكسر القاف ». وراجع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ص 157.</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 « رجل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w:t>
      </w:r>
      <w:r w:rsidRPr="00D10E3C">
        <w:rPr>
          <w:rStyle w:val="libFootnotenumChar"/>
          <w:rtl/>
        </w:rPr>
        <w:t>(1)</w:t>
      </w:r>
      <w:r>
        <w:rPr>
          <w:rtl/>
          <w:lang w:bidi="fa-IR"/>
        </w:rPr>
        <w:t xml:space="preserve"> : « مَا بَيْنَ الصَّوْرَيْنِ </w:t>
      </w:r>
      <w:r w:rsidRPr="00D10E3C">
        <w:rPr>
          <w:rStyle w:val="libFootnotenumChar"/>
          <w:rtl/>
        </w:rPr>
        <w:t>(2)</w:t>
      </w:r>
      <w:r>
        <w:rPr>
          <w:rtl/>
          <w:lang w:bidi="fa-IR"/>
        </w:rPr>
        <w:t xml:space="preserve"> إِلَى الثَّنِيَّةِ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 xml:space="preserve">8140 / 4. وَفِي </w:t>
      </w:r>
      <w:r w:rsidRPr="00D10E3C">
        <w:rPr>
          <w:rStyle w:val="libFootnotenumChar"/>
          <w:rtl/>
        </w:rPr>
        <w:t>(5)</w:t>
      </w:r>
      <w:r>
        <w:rPr>
          <w:rtl/>
          <w:lang w:bidi="fa-IR"/>
        </w:rPr>
        <w:t xml:space="preserve"> رِوَايَةِ ابْنِ مُسْكَانَ ، عَنْ أَبِي بَصِيرٍ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حَدُّ مَا حَرَّمَ رَسُولُ اللهِ </w:t>
      </w:r>
      <w:r w:rsidR="005E465D" w:rsidRPr="005E465D">
        <w:rPr>
          <w:rStyle w:val="libAlaemChar"/>
          <w:rtl/>
        </w:rPr>
        <w:t>صلى‌الله‌عليه‌وآله</w:t>
      </w:r>
      <w:r w:rsidR="00D10E3C">
        <w:rPr>
          <w:rtl/>
          <w:lang w:bidi="fa-IR"/>
        </w:rPr>
        <w:t xml:space="preserve"> </w:t>
      </w:r>
      <w:r>
        <w:rPr>
          <w:rtl/>
          <w:lang w:bidi="fa-IR"/>
        </w:rPr>
        <w:t xml:space="preserve">مِنَ الْمَدِينَةِ مِنْ </w:t>
      </w:r>
      <w:r w:rsidRPr="00D10E3C">
        <w:rPr>
          <w:rStyle w:val="libFootnotenumChar"/>
          <w:rtl/>
        </w:rPr>
        <w:t>(6)</w:t>
      </w:r>
      <w:r>
        <w:rPr>
          <w:rtl/>
          <w:lang w:bidi="fa-IR"/>
        </w:rPr>
        <w:t xml:space="preserve"> ذُبَابٍ </w:t>
      </w:r>
      <w:r w:rsidRPr="00D10E3C">
        <w:rPr>
          <w:rStyle w:val="libFootnotenumChar"/>
          <w:rtl/>
        </w:rPr>
        <w:t>(7)</w:t>
      </w:r>
      <w:r>
        <w:rPr>
          <w:rtl/>
          <w:lang w:bidi="fa-IR"/>
        </w:rPr>
        <w:t xml:space="preserve"> إِلى وَاقِمٍ </w:t>
      </w:r>
      <w:r w:rsidRPr="00D10E3C">
        <w:rPr>
          <w:rStyle w:val="libFootnotenumChar"/>
          <w:rtl/>
        </w:rPr>
        <w:t>(8)</w:t>
      </w:r>
      <w:r>
        <w:rPr>
          <w:rtl/>
          <w:lang w:bidi="fa-IR"/>
        </w:rPr>
        <w:t xml:space="preserve"> ، وَالْعُرَيْضِ </w:t>
      </w:r>
      <w:r w:rsidRPr="00D10E3C">
        <w:rPr>
          <w:rStyle w:val="libFootnotenumChar"/>
          <w:rtl/>
        </w:rPr>
        <w:t>(9)</w:t>
      </w:r>
      <w:r>
        <w:rPr>
          <w:rtl/>
          <w:lang w:bidi="fa-IR"/>
        </w:rPr>
        <w:t xml:space="preserve"> ، وَالنَّقْبِ </w:t>
      </w:r>
      <w:r w:rsidRPr="00D10E3C">
        <w:rPr>
          <w:rStyle w:val="libFootnotenumChar"/>
          <w:rtl/>
        </w:rPr>
        <w:t>(10)</w:t>
      </w:r>
      <w:r>
        <w:rPr>
          <w:rtl/>
          <w:lang w:bidi="fa-IR"/>
        </w:rPr>
        <w:t xml:space="preserve"> مِنْ قِبَلِ مَكَّةَ ». </w:t>
      </w:r>
      <w:r w:rsidRPr="00D10E3C">
        <w:rPr>
          <w:rStyle w:val="libFootnotenumChar"/>
          <w:rtl/>
        </w:rPr>
        <w:t>(11)</w:t>
      </w:r>
    </w:p>
    <w:p w:rsidR="00144FA6" w:rsidRDefault="00744A1C" w:rsidP="00744A1C">
      <w:pPr>
        <w:pStyle w:val="libNormal"/>
        <w:rPr>
          <w:rtl/>
          <w:lang w:bidi="fa-IR"/>
        </w:rPr>
      </w:pPr>
      <w:r>
        <w:rPr>
          <w:rtl/>
          <w:lang w:bidi="fa-IR"/>
        </w:rPr>
        <w:t>8141 / 5. أَبُو عَلِيٍّ الْأَشْعَرِيُّ ، عَنِ الْحَسَنِ بْنِ عَلِيٍّ الْكُوفِيِّ ، عَنْ عَلِيِّ بْنِ مَهْزِيَارَ ، عَنْ فَضَالَةَ بْنِ أَيُّوبَ ، عَنْ مُعَاوِيَةَ بْنِ عَمَّارٍ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w:t>
      </w:r>
      <w:r w:rsidR="00744A1C" w:rsidRPr="00E750C3">
        <w:rPr>
          <w:rtl/>
        </w:rPr>
        <w:t>والوافي والوسائل.</w:t>
      </w:r>
      <w:r w:rsidR="00744A1C">
        <w:rPr>
          <w:rtl/>
          <w:lang w:bidi="fa-IR"/>
        </w:rPr>
        <w:t xml:space="preserve"> وفي المطبوع : « [ ف</w:t>
      </w:r>
      <w:r w:rsidR="00E750C3">
        <w:rPr>
          <w:rFonts w:hint="cs"/>
          <w:rtl/>
          <w:lang w:bidi="fa-IR"/>
        </w:rPr>
        <w:t>ـ</w:t>
      </w:r>
      <w:r w:rsidR="00744A1C">
        <w:rPr>
          <w:rtl/>
          <w:lang w:bidi="fa-IR"/>
        </w:rPr>
        <w:t xml:space="preserve"> ] قال ».</w:t>
      </w:r>
    </w:p>
    <w:p w:rsidR="00744A1C" w:rsidRDefault="00E378DD" w:rsidP="00E378DD">
      <w:pPr>
        <w:pStyle w:val="libFootnote0"/>
        <w:rPr>
          <w:lang w:bidi="fa-IR"/>
        </w:rPr>
      </w:pPr>
      <w:r>
        <w:rPr>
          <w:rtl/>
          <w:lang w:bidi="fa-IR"/>
        </w:rPr>
        <w:t>(2).</w:t>
      </w:r>
      <w:r w:rsidR="00744A1C">
        <w:rPr>
          <w:rtl/>
          <w:lang w:bidi="fa-IR"/>
        </w:rPr>
        <w:t xml:space="preserve"> قال الفيروزآبادي : « الصوران : موضع بقرب المدينة ». وفي </w:t>
      </w:r>
      <w:r w:rsidR="00744A1C" w:rsidRPr="00C24F9C">
        <w:rPr>
          <w:rStyle w:val="libFootnoteBoldChar"/>
          <w:rtl/>
        </w:rPr>
        <w:t>الوافي</w:t>
      </w:r>
      <w:r w:rsidR="00744A1C">
        <w:rPr>
          <w:rtl/>
          <w:lang w:bidi="fa-IR"/>
        </w:rPr>
        <w:t xml:space="preserve"> : « كأنّه تثنية الصور ، وهو جماعة من النخل ، ولا واحد له من لفظه ، ويجمع على صيران ، وفي الخبر : أنّه خرج إلى صور بالمدينة ». </w:t>
      </w:r>
      <w:r w:rsidR="00744A1C" w:rsidRPr="008A57EB">
        <w:rPr>
          <w:rStyle w:val="libFootnoteBoldChar"/>
          <w:rtl/>
        </w:rPr>
        <w:t>القاموس المحيط</w:t>
      </w:r>
      <w:r w:rsidR="00744A1C">
        <w:rPr>
          <w:rtl/>
          <w:lang w:bidi="fa-IR"/>
        </w:rPr>
        <w:t xml:space="preserve"> ، ج 1 ، ص 599 ( صور ).</w:t>
      </w:r>
    </w:p>
    <w:p w:rsidR="00744A1C" w:rsidRDefault="00E378DD" w:rsidP="00E378DD">
      <w:pPr>
        <w:pStyle w:val="libFootnote0"/>
        <w:rPr>
          <w:lang w:bidi="fa-IR"/>
        </w:rPr>
      </w:pPr>
      <w:r>
        <w:rPr>
          <w:rtl/>
          <w:lang w:bidi="fa-IR"/>
        </w:rPr>
        <w:t>(3).</w:t>
      </w:r>
      <w:r w:rsidR="00744A1C">
        <w:rPr>
          <w:rtl/>
          <w:lang w:bidi="fa-IR"/>
        </w:rPr>
        <w:t xml:space="preserve"> « الثنيّة » : طريق</w:t>
      </w:r>
      <w:r w:rsidR="00E750C3">
        <w:rPr>
          <w:rtl/>
          <w:lang w:bidi="fa-IR"/>
        </w:rPr>
        <w:t xml:space="preserve"> العقبة ، ومنه قولهم : فلان طل</w:t>
      </w:r>
      <w:r w:rsidR="00E750C3">
        <w:rPr>
          <w:rFonts w:hint="cs"/>
          <w:rtl/>
          <w:lang w:bidi="fa-IR"/>
        </w:rPr>
        <w:t>ّ</w:t>
      </w:r>
      <w:r w:rsidR="00E750C3">
        <w:rPr>
          <w:rtl/>
          <w:lang w:bidi="fa-IR"/>
        </w:rPr>
        <w:t>ا</w:t>
      </w:r>
      <w:r w:rsidR="00744A1C">
        <w:rPr>
          <w:rtl/>
          <w:lang w:bidi="fa-IR"/>
        </w:rPr>
        <w:t>ع الثنايا ، إذا كان سامياً لمعالمي الا</w:t>
      </w:r>
      <w:r w:rsidR="00E750C3">
        <w:rPr>
          <w:rFonts w:hint="cs"/>
          <w:rtl/>
          <w:lang w:bidi="fa-IR"/>
        </w:rPr>
        <w:t>ُ</w:t>
      </w:r>
      <w:r w:rsidR="00744A1C">
        <w:rPr>
          <w:rtl/>
          <w:lang w:bidi="fa-IR"/>
        </w:rPr>
        <w:t xml:space="preserve">مور ، كما يقال : طلا أنجد. والثنيّة : الطريقة في الجبل كالنقب. وقيل : هي العقبة. وقيل : الجيل نفسه. </w:t>
      </w:r>
      <w:r w:rsidR="00744A1C" w:rsidRPr="00877682">
        <w:rPr>
          <w:rStyle w:val="libFootnoteBoldChar"/>
          <w:rtl/>
        </w:rPr>
        <w:t>لسان العرب</w:t>
      </w:r>
      <w:r w:rsidR="00744A1C">
        <w:rPr>
          <w:rtl/>
          <w:lang w:bidi="fa-IR"/>
        </w:rPr>
        <w:t xml:space="preserve"> ، ج 14 ، ص 123 ( ثني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13 ، ح 26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337 ، ح 2 ، بسندهما عن صفوان بن يحيى ، وفي </w:t>
      </w:r>
      <w:r w:rsidR="00744A1C" w:rsidRPr="00C24F9C">
        <w:rPr>
          <w:rStyle w:val="libFootnoteBoldChar"/>
          <w:rtl/>
        </w:rPr>
        <w:t>التهذيب</w:t>
      </w:r>
      <w:r w:rsidR="00744A1C">
        <w:rPr>
          <w:rtl/>
          <w:lang w:bidi="fa-IR"/>
        </w:rPr>
        <w:t xml:space="preserve"> إلى قوله : « من عير إلى وعير ». </w:t>
      </w:r>
      <w:r w:rsidR="00744A1C" w:rsidRPr="00C24F9C">
        <w:rPr>
          <w:rStyle w:val="libFootnoteBoldChar"/>
          <w:rtl/>
        </w:rPr>
        <w:t>الفقيه</w:t>
      </w:r>
      <w:r w:rsidR="00744A1C">
        <w:rPr>
          <w:rtl/>
          <w:lang w:bidi="fa-IR"/>
        </w:rPr>
        <w:t xml:space="preserve"> ، ج 2 ، ص 561 ، ح 3149 ، وتمام الرواية فيه : « وروي أنّ لابتيها ما أحاطت به الحرار ». </w:t>
      </w:r>
      <w:r w:rsidR="00744A1C" w:rsidRPr="004D054E">
        <w:rPr>
          <w:rStyle w:val="libFootnoteBoldChar"/>
          <w:rtl/>
        </w:rPr>
        <w:t>وفيه</w:t>
      </w:r>
      <w:r w:rsidR="00744A1C">
        <w:rPr>
          <w:rtl/>
          <w:lang w:bidi="fa-IR"/>
        </w:rPr>
        <w:t xml:space="preserve"> ، ح 3150 ، تمام الرواية هكذا : « وروي في خبر آخر أنّ ما بين لابتيها ما بين الصورين إلى الثنيّة ». راجع : </w:t>
      </w:r>
      <w:r w:rsidR="00744A1C" w:rsidRPr="00C24F9C">
        <w:rPr>
          <w:rStyle w:val="libFootnoteBoldChar"/>
          <w:rtl/>
        </w:rPr>
        <w:t>الفقيه</w:t>
      </w:r>
      <w:r w:rsidR="00744A1C">
        <w:rPr>
          <w:rtl/>
          <w:lang w:bidi="fa-IR"/>
        </w:rPr>
        <w:t xml:space="preserve"> ، ج 2 ، ص 561 ، ح 3148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337 ، ح 3 </w:t>
      </w:r>
      <w:r w:rsidR="004D054E">
        <w:rPr>
          <w:rFonts w:hint="cs"/>
          <w:rtl/>
          <w:lang w:bidi="fa-IR"/>
        </w:rPr>
        <w:t>.</w:t>
      </w:r>
      <w:r w:rsidR="00744A1C" w:rsidRPr="00C24F9C">
        <w:rPr>
          <w:rStyle w:val="libFootnoteBoldChar"/>
          <w:rtl/>
        </w:rPr>
        <w:t>الوافي</w:t>
      </w:r>
      <w:r w:rsidR="00744A1C">
        <w:rPr>
          <w:rtl/>
          <w:lang w:bidi="fa-IR"/>
        </w:rPr>
        <w:t xml:space="preserve"> ، ج 14 ، ص 1396 ، ح 14439 ؛ </w:t>
      </w:r>
      <w:r w:rsidR="00744A1C" w:rsidRPr="00C24F9C">
        <w:rPr>
          <w:rStyle w:val="libFootnoteBoldChar"/>
          <w:rtl/>
        </w:rPr>
        <w:t>الوسائل</w:t>
      </w:r>
      <w:r w:rsidR="00744A1C">
        <w:rPr>
          <w:rtl/>
          <w:lang w:bidi="fa-IR"/>
        </w:rPr>
        <w:t xml:space="preserve"> ، ج 14 ، ص 363 ، ح 19392.</w:t>
      </w:r>
    </w:p>
    <w:p w:rsidR="00744A1C" w:rsidRDefault="00E378DD" w:rsidP="00E378DD">
      <w:pPr>
        <w:pStyle w:val="libFootnote0"/>
        <w:rPr>
          <w:lang w:bidi="fa-IR"/>
        </w:rPr>
      </w:pPr>
      <w:r>
        <w:rPr>
          <w:rtl/>
          <w:lang w:bidi="fa-IR"/>
        </w:rPr>
        <w:t>(5).</w:t>
      </w:r>
      <w:r w:rsidR="00744A1C">
        <w:rPr>
          <w:rtl/>
          <w:lang w:bidi="fa-IR"/>
        </w:rPr>
        <w:t xml:space="preserve"> يحتمل كون هذه العبارة من كلام صفوان بن يحيى ، فيكون السند معلّقاً على سابقه.</w:t>
      </w:r>
    </w:p>
    <w:p w:rsidR="00744A1C" w:rsidRDefault="00E378DD" w:rsidP="00E378DD">
      <w:pPr>
        <w:pStyle w:val="libFootnote0"/>
        <w:rPr>
          <w:lang w:bidi="fa-IR"/>
        </w:rPr>
      </w:pPr>
      <w:r>
        <w:rPr>
          <w:rtl/>
          <w:lang w:bidi="fa-IR"/>
        </w:rPr>
        <w:t>(6).</w:t>
      </w:r>
      <w:r w:rsidR="00744A1C">
        <w:rPr>
          <w:rtl/>
          <w:lang w:bidi="fa-IR"/>
        </w:rPr>
        <w:t xml:space="preserve"> في حاشية « بث ، بح » : + « باب ».</w:t>
      </w:r>
    </w:p>
    <w:p w:rsidR="00744A1C" w:rsidRDefault="00E378DD" w:rsidP="00E378DD">
      <w:pPr>
        <w:pStyle w:val="libFootnote0"/>
        <w:rPr>
          <w:lang w:bidi="fa-IR"/>
        </w:rPr>
      </w:pPr>
      <w:r>
        <w:rPr>
          <w:rtl/>
          <w:lang w:bidi="fa-IR"/>
        </w:rPr>
        <w:t>(7).</w:t>
      </w:r>
      <w:r w:rsidR="00744A1C">
        <w:rPr>
          <w:rtl/>
          <w:lang w:bidi="fa-IR"/>
        </w:rPr>
        <w:t xml:space="preserve"> في </w:t>
      </w:r>
      <w:r w:rsidR="00744A1C" w:rsidRPr="004D054E">
        <w:rPr>
          <w:rtl/>
        </w:rPr>
        <w:t>الفقيه</w:t>
      </w:r>
      <w:r w:rsidR="00744A1C">
        <w:rPr>
          <w:rtl/>
          <w:lang w:bidi="fa-IR"/>
        </w:rPr>
        <w:t xml:space="preserve"> : « رباب ». والذُبابُ : جبل بالمدينة. </w:t>
      </w:r>
      <w:r w:rsidR="00744A1C" w:rsidRPr="008A57EB">
        <w:rPr>
          <w:rStyle w:val="libFootnoteBoldChar"/>
          <w:rtl/>
        </w:rPr>
        <w:t>القاموس المحيط</w:t>
      </w:r>
      <w:r w:rsidR="00744A1C">
        <w:rPr>
          <w:rtl/>
          <w:lang w:bidi="fa-IR"/>
        </w:rPr>
        <w:t xml:space="preserve"> ، ج 1 ، ص 162 ( ذبب ).</w:t>
      </w:r>
    </w:p>
    <w:p w:rsidR="00744A1C" w:rsidRDefault="00E378DD" w:rsidP="00E378DD">
      <w:pPr>
        <w:pStyle w:val="libFootnote0"/>
        <w:rPr>
          <w:lang w:bidi="fa-IR"/>
        </w:rPr>
      </w:pPr>
      <w:r>
        <w:rPr>
          <w:rtl/>
          <w:lang w:bidi="fa-IR"/>
        </w:rPr>
        <w:t>(8).</w:t>
      </w:r>
      <w:r w:rsidR="00744A1C">
        <w:rPr>
          <w:rtl/>
          <w:lang w:bidi="fa-IR"/>
        </w:rPr>
        <w:t xml:space="preserve"> في « ى ، بث ، بح ، بس ، جد » و</w:t>
      </w:r>
      <w:r w:rsidR="00744A1C" w:rsidRPr="00C24F9C">
        <w:rPr>
          <w:rStyle w:val="libFootnoteBoldChar"/>
          <w:rtl/>
        </w:rPr>
        <w:t>الوافي</w:t>
      </w:r>
      <w:r w:rsidR="00744A1C">
        <w:rPr>
          <w:rtl/>
          <w:lang w:bidi="fa-IR"/>
        </w:rPr>
        <w:t xml:space="preserve"> : « قاقم ». وفي « بخ » : « قماقم ». وفي </w:t>
      </w:r>
      <w:r w:rsidR="00744A1C" w:rsidRPr="008A57EB">
        <w:rPr>
          <w:rStyle w:val="libFootnoteBoldChar"/>
          <w:rtl/>
        </w:rPr>
        <w:t>القاموس المحيط</w:t>
      </w:r>
      <w:r w:rsidR="00744A1C">
        <w:rPr>
          <w:rtl/>
          <w:lang w:bidi="fa-IR"/>
        </w:rPr>
        <w:t xml:space="preserve"> ، ج 2 ، ص 1536 ( وقم ) : « واقم : اطمٌّ بالمدينة ، ومنه حرّة واقم ».</w:t>
      </w:r>
    </w:p>
    <w:p w:rsidR="00744A1C" w:rsidRDefault="00E378DD" w:rsidP="00E378DD">
      <w:pPr>
        <w:pStyle w:val="libFootnote0"/>
        <w:rPr>
          <w:lang w:bidi="fa-IR"/>
        </w:rPr>
      </w:pPr>
      <w:r>
        <w:rPr>
          <w:rtl/>
          <w:lang w:bidi="fa-IR"/>
        </w:rPr>
        <w:t>(9).</w:t>
      </w:r>
      <w:r w:rsidR="00744A1C">
        <w:rPr>
          <w:rtl/>
          <w:lang w:bidi="fa-IR"/>
        </w:rPr>
        <w:t xml:space="preserve"> « العُرَيْضُ » ، بضمّ العين ، مصغّر : واد بالمدينة به أموال لأهلها. </w:t>
      </w:r>
      <w:r w:rsidR="00744A1C" w:rsidRPr="00877682">
        <w:rPr>
          <w:rStyle w:val="libFootnoteBoldChar"/>
          <w:rtl/>
        </w:rPr>
        <w:t>لسان العرب</w:t>
      </w:r>
      <w:r w:rsidR="00744A1C">
        <w:rPr>
          <w:rtl/>
          <w:lang w:bidi="fa-IR"/>
        </w:rPr>
        <w:t xml:space="preserve"> ، ج 7 ، ص 185 ( عرض ).</w:t>
      </w:r>
    </w:p>
    <w:p w:rsidR="00744A1C" w:rsidRDefault="00E378DD" w:rsidP="00E378DD">
      <w:pPr>
        <w:pStyle w:val="libFootnote0"/>
        <w:rPr>
          <w:lang w:bidi="fa-IR"/>
        </w:rPr>
      </w:pPr>
      <w:r>
        <w:rPr>
          <w:rtl/>
          <w:lang w:bidi="fa-IR"/>
        </w:rPr>
        <w:t>(10).</w:t>
      </w:r>
      <w:r w:rsidR="00744A1C">
        <w:rPr>
          <w:rtl/>
          <w:lang w:bidi="fa-IR"/>
        </w:rPr>
        <w:t xml:space="preserve"> في « بث » : « النقيب ». و « النَقْبُ » : الطريق. وقيل : الطريق الضيّق في الجبل. والجمع : أنقاب. </w:t>
      </w:r>
      <w:r w:rsidR="00744A1C" w:rsidRPr="00877682">
        <w:rPr>
          <w:rStyle w:val="libFootnoteBoldChar"/>
          <w:rtl/>
        </w:rPr>
        <w:t>لسان العرب</w:t>
      </w:r>
      <w:r w:rsidR="00744A1C">
        <w:rPr>
          <w:rtl/>
          <w:lang w:bidi="fa-IR"/>
        </w:rPr>
        <w:t xml:space="preserve"> ، ج 1 ، ص 767 ( نقب ).</w:t>
      </w:r>
    </w:p>
    <w:p w:rsidR="00744A1C" w:rsidRDefault="00E378DD" w:rsidP="00E378DD">
      <w:pPr>
        <w:pStyle w:val="libFootnote0"/>
        <w:rPr>
          <w:lang w:bidi="fa-IR"/>
        </w:rPr>
      </w:pPr>
      <w:r>
        <w:rPr>
          <w:rtl/>
          <w:lang w:bidi="fa-IR"/>
        </w:rPr>
        <w:t>(11).</w:t>
      </w:r>
      <w:r w:rsidR="00744A1C">
        <w:rPr>
          <w:rtl/>
          <w:lang w:bidi="fa-IR"/>
        </w:rPr>
        <w:t xml:space="preserve"> </w:t>
      </w:r>
      <w:r w:rsidR="00744A1C" w:rsidRPr="00610FB4">
        <w:rPr>
          <w:rStyle w:val="libFootnoteBoldChar"/>
          <w:rtl/>
        </w:rPr>
        <w:t>معاني الأخبار</w:t>
      </w:r>
      <w:r w:rsidR="00744A1C">
        <w:rPr>
          <w:rtl/>
          <w:lang w:bidi="fa-IR"/>
        </w:rPr>
        <w:t xml:space="preserve"> ، ص 337 ، ح 3 ، بسنده عن ابن مسكان. </w:t>
      </w:r>
      <w:r w:rsidR="00744A1C" w:rsidRPr="00C24F9C">
        <w:rPr>
          <w:rStyle w:val="libFootnoteBoldChar"/>
          <w:rtl/>
        </w:rPr>
        <w:t>الفقيه</w:t>
      </w:r>
      <w:r w:rsidR="00744A1C">
        <w:rPr>
          <w:rtl/>
          <w:lang w:bidi="fa-IR"/>
        </w:rPr>
        <w:t xml:space="preserve"> ، ج 2 ، ص 562 ، ح 3151 ، معلّقاً عن أبي بصير ، مع زيادة في آخره </w:t>
      </w:r>
      <w:r w:rsidR="004D054E">
        <w:rPr>
          <w:rFonts w:hint="cs"/>
          <w:rtl/>
          <w:lang w:bidi="fa-IR"/>
        </w:rPr>
        <w:t>.</w:t>
      </w:r>
      <w:r w:rsidR="00744A1C" w:rsidRPr="00C24F9C">
        <w:rPr>
          <w:rStyle w:val="libFootnoteBoldChar"/>
          <w:rtl/>
        </w:rPr>
        <w:t>الوافي</w:t>
      </w:r>
      <w:r w:rsidR="00744A1C">
        <w:rPr>
          <w:rtl/>
          <w:lang w:bidi="fa-IR"/>
        </w:rPr>
        <w:t xml:space="preserve"> ، ج 14 ، ص 1397 ، ح 14440 ؛ </w:t>
      </w:r>
      <w:r w:rsidR="00744A1C" w:rsidRPr="00C24F9C">
        <w:rPr>
          <w:rStyle w:val="libFootnoteBoldChar"/>
          <w:rtl/>
        </w:rPr>
        <w:t>الوسائل</w:t>
      </w:r>
      <w:r w:rsidR="00744A1C">
        <w:rPr>
          <w:rtl/>
          <w:lang w:bidi="fa-IR"/>
        </w:rPr>
        <w:t xml:space="preserve"> ، ج 14 ، ص 363 ، ح 19393.</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4D054E" w:rsidRPr="004D054E">
        <w:rPr>
          <w:rStyle w:val="libAlaemChar"/>
          <w:rtl/>
        </w:rPr>
        <w:t>صلى‌الله‌عليه‌وآله</w:t>
      </w:r>
      <w:r>
        <w:rPr>
          <w:rtl/>
          <w:lang w:bidi="fa-IR"/>
        </w:rPr>
        <w:t xml:space="preserve"> : إِنَّ مَكَّةَ حَرَمُ اللهِ حَرَّمَهَا إِبْرَاهِيمُ </w:t>
      </w:r>
      <w:r w:rsidR="0061079A" w:rsidRPr="0061079A">
        <w:rPr>
          <w:rStyle w:val="libAlaemChar"/>
          <w:rtl/>
        </w:rPr>
        <w:t>عليه‌السلام</w:t>
      </w:r>
      <w:r w:rsidR="00D10E3C">
        <w:rPr>
          <w:rtl/>
          <w:lang w:bidi="fa-IR"/>
        </w:rPr>
        <w:t xml:space="preserve"> </w:t>
      </w:r>
      <w:r>
        <w:rPr>
          <w:rtl/>
          <w:lang w:bidi="fa-IR"/>
        </w:rPr>
        <w:t xml:space="preserve">، وَإِنَّ الْمَدِينَةَ حَرَمِي ، مَا </w:t>
      </w:r>
      <w:r w:rsidRPr="00D10E3C">
        <w:rPr>
          <w:rStyle w:val="libFootnotenumChar"/>
          <w:rtl/>
        </w:rPr>
        <w:t>(1)</w:t>
      </w:r>
      <w:r>
        <w:rPr>
          <w:rtl/>
          <w:lang w:bidi="fa-IR"/>
        </w:rPr>
        <w:t xml:space="preserve"> بَيْنَ لَابَتَيْهَا حَرَمٌ لَايُعْضَدُ </w:t>
      </w:r>
      <w:r w:rsidRPr="00D10E3C">
        <w:rPr>
          <w:rStyle w:val="libFootnotenumChar"/>
          <w:rtl/>
        </w:rPr>
        <w:t>(2)</w:t>
      </w:r>
      <w:r>
        <w:rPr>
          <w:rtl/>
          <w:lang w:bidi="fa-IR"/>
        </w:rPr>
        <w:t xml:space="preserve"> شَجَرُهَا ، وَهُوَ مَا بَيْنَ ظِلِّ </w:t>
      </w:r>
      <w:r w:rsidRPr="00D10E3C">
        <w:rPr>
          <w:rStyle w:val="libFootnotenumChar"/>
          <w:rtl/>
        </w:rPr>
        <w:t>(3)</w:t>
      </w:r>
      <w:r>
        <w:rPr>
          <w:rtl/>
          <w:lang w:bidi="fa-IR"/>
        </w:rPr>
        <w:t xml:space="preserve"> عَائِرٍ إِلى ظِلِّ وُعَيْرٍ ، لَيْسَ </w:t>
      </w:r>
      <w:r w:rsidRPr="00D10E3C">
        <w:rPr>
          <w:rStyle w:val="libFootnotenumChar"/>
          <w:rtl/>
        </w:rPr>
        <w:t>(4)</w:t>
      </w:r>
      <w:r>
        <w:rPr>
          <w:rtl/>
          <w:lang w:bidi="fa-IR"/>
        </w:rPr>
        <w:t xml:space="preserve"> صَيْدُهَا كَصَيْدِ مَكَّةَ ، يُؤْكَلُ </w:t>
      </w:r>
      <w:r w:rsidRPr="00D10E3C">
        <w:rPr>
          <w:rStyle w:val="libFootnotenumChar"/>
          <w:rtl/>
        </w:rPr>
        <w:t>(5)</w:t>
      </w:r>
      <w:r>
        <w:rPr>
          <w:rtl/>
          <w:lang w:bidi="fa-IR"/>
        </w:rPr>
        <w:t xml:space="preserve"> هذَا وَلَايُؤْكَلُ ذلِكَ </w:t>
      </w:r>
      <w:r w:rsidRPr="00D10E3C">
        <w:rPr>
          <w:rStyle w:val="libFootnotenumChar"/>
          <w:rtl/>
        </w:rPr>
        <w:t>(6)</w:t>
      </w:r>
      <w:r>
        <w:rPr>
          <w:rtl/>
          <w:lang w:bidi="fa-IR"/>
        </w:rPr>
        <w:t xml:space="preserve"> ، وَهُوَ بَر</w:t>
      </w:r>
      <w:r w:rsidR="004D054E">
        <w:rPr>
          <w:rtl/>
          <w:lang w:bidi="fa-IR"/>
        </w:rPr>
        <w:t>ِيدٌ</w:t>
      </w:r>
      <w:r>
        <w:rPr>
          <w:rtl/>
          <w:lang w:bidi="fa-IR"/>
        </w:rPr>
        <w:t>».</w:t>
      </w:r>
      <w:r w:rsidRPr="00D10E3C">
        <w:rPr>
          <w:rStyle w:val="libFootnotenumChar"/>
          <w:rtl/>
        </w:rPr>
        <w:t>(7)</w:t>
      </w:r>
    </w:p>
    <w:p w:rsidR="004D054E" w:rsidRDefault="00744A1C" w:rsidP="004D054E">
      <w:pPr>
        <w:pStyle w:val="libNormal"/>
        <w:rPr>
          <w:rtl/>
          <w:lang w:bidi="fa-IR"/>
        </w:rPr>
      </w:pPr>
      <w:r>
        <w:rPr>
          <w:rtl/>
          <w:lang w:bidi="fa-IR"/>
        </w:rPr>
        <w:t>8142 / 6. عَلِيُّ بْنُ إِبْرَاهِيمَ ، عَنْ أَبِيهِ ؛</w:t>
      </w:r>
    </w:p>
    <w:p w:rsidR="00144FA6" w:rsidRDefault="004D054E" w:rsidP="004D054E">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(8)</w:t>
      </w:r>
      <w:r w:rsidR="00744A1C">
        <w:rPr>
          <w:rtl/>
          <w:lang w:bidi="fa-IR"/>
        </w:rPr>
        <w:t xml:space="preserve"> مُحَمَّدُ بْنُ إِسْمَاعِيلَ ، عَنِ الْفَضْلِ بْنِ شَاذَانَ ، عَنِ ابْنِ أَبِي عُمَيْرٍ ، عَنْ جَمِيلِ بْنِ دَرَّاجٍ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قَالَ رَسُولُ اللهِ </w:t>
      </w:r>
      <w:r w:rsidR="00AE01C7" w:rsidRPr="00EE7E5B">
        <w:rPr>
          <w:rStyle w:val="libAlaemChar"/>
          <w:rtl/>
        </w:rPr>
        <w:t>صلى‌الله‌عليه‌وآله</w:t>
      </w:r>
      <w:r w:rsidR="00D10E3C">
        <w:rPr>
          <w:rtl/>
          <w:lang w:bidi="fa-IR"/>
        </w:rPr>
        <w:t xml:space="preserve"> </w:t>
      </w:r>
      <w:r>
        <w:rPr>
          <w:rtl/>
          <w:lang w:bidi="fa-IR"/>
        </w:rPr>
        <w:t>: مَنْ أَحْدَثَ بِالْمَدِينَةِ حَدَثاً ، أَوْ آوى مُحْدِثاً ، فَعَلَيْهِ لَعْنَةُ اللهِ ».</w:t>
      </w:r>
    </w:p>
    <w:p w:rsidR="00144FA6" w:rsidRDefault="00744A1C" w:rsidP="00744A1C">
      <w:pPr>
        <w:pStyle w:val="libNormal"/>
        <w:rPr>
          <w:rtl/>
          <w:lang w:bidi="fa-IR"/>
        </w:rPr>
      </w:pPr>
      <w:r>
        <w:rPr>
          <w:rtl/>
          <w:lang w:bidi="fa-IR"/>
        </w:rPr>
        <w:t xml:space="preserve">قُلْتُ : وَمَا الْحَدَثُ؟ قَالَ : « الْقَتْلُ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4D054E">
        <w:rPr>
          <w:rtl/>
        </w:rPr>
        <w:t>الوافي</w:t>
      </w:r>
      <w:r w:rsidR="00744A1C">
        <w:rPr>
          <w:rtl/>
          <w:lang w:bidi="fa-IR"/>
        </w:rPr>
        <w:t xml:space="preserve"> : « وما ».</w:t>
      </w:r>
    </w:p>
    <w:p w:rsidR="00744A1C" w:rsidRDefault="00E378DD" w:rsidP="00E378DD">
      <w:pPr>
        <w:pStyle w:val="libFootnote0"/>
        <w:rPr>
          <w:lang w:bidi="fa-IR"/>
        </w:rPr>
      </w:pPr>
      <w:r>
        <w:rPr>
          <w:rtl/>
          <w:lang w:bidi="fa-IR"/>
        </w:rPr>
        <w:t>(2).</w:t>
      </w:r>
      <w:r w:rsidR="00744A1C">
        <w:rPr>
          <w:rtl/>
          <w:lang w:bidi="fa-IR"/>
        </w:rPr>
        <w:t xml:space="preserve"> العَضْدُ هنا : القَطْعُ. والعَضَد : ما عُضِدَ من الشجر ، أي قُطع ، بمنزلة المعضود. راجع : </w:t>
      </w:r>
      <w:r w:rsidR="00744A1C" w:rsidRPr="00E978C3">
        <w:rPr>
          <w:rStyle w:val="libFootnoteBoldChar"/>
          <w:rtl/>
        </w:rPr>
        <w:t>ترتيب كتاب العين</w:t>
      </w:r>
      <w:r w:rsidR="00744A1C">
        <w:rPr>
          <w:rtl/>
          <w:lang w:bidi="fa-IR"/>
        </w:rPr>
        <w:t xml:space="preserve"> ، ج 2 ، ص 1223 ؛ </w:t>
      </w:r>
      <w:r w:rsidR="00744A1C" w:rsidRPr="00877682">
        <w:rPr>
          <w:rStyle w:val="libFootnoteBoldChar"/>
          <w:rtl/>
        </w:rPr>
        <w:t>لسان العرب</w:t>
      </w:r>
      <w:r w:rsidR="00744A1C">
        <w:rPr>
          <w:rtl/>
          <w:lang w:bidi="fa-IR"/>
        </w:rPr>
        <w:t xml:space="preserve"> ، ج 3 ، ص 294 ( عضد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280 : « لعلّ المراد بالظلّ في هذا الخبر والفي‌ء في الخبر السابق أصل الجبل الذي‌</w:t>
      </w:r>
      <w:r w:rsidR="004D054E">
        <w:rPr>
          <w:rFonts w:hint="cs"/>
          <w:rtl/>
          <w:lang w:bidi="fa-IR"/>
        </w:rPr>
        <w:t xml:space="preserve"> </w:t>
      </w:r>
      <w:r w:rsidR="00744A1C">
        <w:rPr>
          <w:rtl/>
          <w:lang w:bidi="fa-IR"/>
        </w:rPr>
        <w:t>يحصل منه الظلّ والفي‌ء ، وقد مرّ الكلام فيه في كتاب الصلاة ».</w:t>
      </w:r>
    </w:p>
    <w:p w:rsidR="00744A1C" w:rsidRDefault="00E378DD" w:rsidP="00E378DD">
      <w:pPr>
        <w:pStyle w:val="libFootnote0"/>
        <w:rPr>
          <w:lang w:bidi="fa-IR"/>
        </w:rPr>
      </w:pPr>
      <w:r>
        <w:rPr>
          <w:rtl/>
          <w:lang w:bidi="fa-IR"/>
        </w:rPr>
        <w:t>(4).</w:t>
      </w:r>
      <w:r w:rsidR="00744A1C">
        <w:rPr>
          <w:rtl/>
          <w:lang w:bidi="fa-IR"/>
        </w:rPr>
        <w:t xml:space="preserve"> هكذا في معظم النسخ التي قوبلت </w:t>
      </w:r>
      <w:r w:rsidR="00744A1C" w:rsidRPr="004D054E">
        <w:rPr>
          <w:rtl/>
        </w:rPr>
        <w:t>والوافي والوسائل</w:t>
      </w:r>
      <w:r w:rsidR="00744A1C">
        <w:rPr>
          <w:rtl/>
          <w:lang w:bidi="fa-IR"/>
        </w:rPr>
        <w:t>. وفي المطبوع : « وليس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هذا يؤمي إلى الكراهة كما لا يخفى ».</w:t>
      </w:r>
    </w:p>
    <w:p w:rsidR="00744A1C" w:rsidRDefault="00E378DD" w:rsidP="00E378DD">
      <w:pPr>
        <w:pStyle w:val="libFootnote0"/>
        <w:rPr>
          <w:lang w:bidi="fa-IR"/>
        </w:rPr>
      </w:pPr>
      <w:r>
        <w:rPr>
          <w:rtl/>
          <w:lang w:bidi="fa-IR"/>
        </w:rPr>
        <w:t>(6).</w:t>
      </w:r>
      <w:r w:rsidR="00744A1C">
        <w:rPr>
          <w:rtl/>
          <w:lang w:bidi="fa-IR"/>
        </w:rPr>
        <w:t xml:space="preserve"> في « بخ ، بس ، بف » وحاشية « بح » </w:t>
      </w:r>
      <w:r w:rsidR="00744A1C" w:rsidRPr="004D054E">
        <w:rPr>
          <w:rtl/>
        </w:rPr>
        <w:t>والوسائل والتهذيب</w:t>
      </w:r>
      <w:r w:rsidR="00744A1C">
        <w:rPr>
          <w:rtl/>
          <w:lang w:bidi="fa-IR"/>
        </w:rPr>
        <w:t xml:space="preserve"> : « ذاك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12 ، ح 23 ، معلّقاً عن الكليني. </w:t>
      </w:r>
      <w:r w:rsidR="00744A1C" w:rsidRPr="00610FB4">
        <w:rPr>
          <w:rStyle w:val="libFootnoteBoldChar"/>
          <w:rtl/>
        </w:rPr>
        <w:t>معاني الأخبار</w:t>
      </w:r>
      <w:r w:rsidR="00744A1C">
        <w:rPr>
          <w:rtl/>
          <w:lang w:bidi="fa-IR"/>
        </w:rPr>
        <w:t xml:space="preserve"> ، ص 338 ، ح 4 ، بسنده عن حمّاد بن عيسى وفضالة ، عن معاوية بن عمّار ، مع اختلاف وزيادة في آخره. </w:t>
      </w:r>
      <w:r w:rsidR="00744A1C" w:rsidRPr="00C24F9C">
        <w:rPr>
          <w:rStyle w:val="libFootnoteBoldChar"/>
          <w:rtl/>
        </w:rPr>
        <w:t>الفقيه</w:t>
      </w:r>
      <w:r w:rsidR="00744A1C">
        <w:rPr>
          <w:rtl/>
          <w:lang w:bidi="fa-IR"/>
        </w:rPr>
        <w:t xml:space="preserve"> ، ج 2 ، ص 561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من قوله : « لايعضد شجرها » مع اختلاف يسير </w:t>
      </w:r>
      <w:r w:rsidR="004D054E">
        <w:rPr>
          <w:rFonts w:hint="cs"/>
          <w:rtl/>
          <w:lang w:bidi="fa-IR"/>
        </w:rPr>
        <w:t>.</w:t>
      </w:r>
      <w:r w:rsidR="00744A1C" w:rsidRPr="00C24F9C">
        <w:rPr>
          <w:rStyle w:val="libFootnoteBoldChar"/>
          <w:rtl/>
        </w:rPr>
        <w:t>الوافي</w:t>
      </w:r>
      <w:r w:rsidR="00744A1C">
        <w:rPr>
          <w:rtl/>
          <w:lang w:bidi="fa-IR"/>
        </w:rPr>
        <w:t xml:space="preserve"> ، ج 14 ، ص 1393 ، ح 14435 ؛ </w:t>
      </w:r>
      <w:r w:rsidR="00744A1C" w:rsidRPr="00C24F9C">
        <w:rPr>
          <w:rStyle w:val="libFootnoteBoldChar"/>
          <w:rtl/>
        </w:rPr>
        <w:t>الوسائل</w:t>
      </w:r>
      <w:r w:rsidR="00744A1C">
        <w:rPr>
          <w:rtl/>
          <w:lang w:bidi="fa-IR"/>
        </w:rPr>
        <w:t xml:space="preserve"> ، ج 14 ، ص 362 ، ح 19391.</w:t>
      </w:r>
    </w:p>
    <w:p w:rsidR="00744A1C" w:rsidRDefault="00E378DD" w:rsidP="00E378DD">
      <w:pPr>
        <w:pStyle w:val="libFootnote0"/>
        <w:rPr>
          <w:lang w:bidi="fa-IR"/>
        </w:rPr>
      </w:pPr>
      <w:r>
        <w:rPr>
          <w:rtl/>
          <w:lang w:bidi="fa-IR"/>
        </w:rPr>
        <w:t>(8).</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10 ، ص 216 ، ح 852 ، بسنده عن ابن أبي عمير وفضالة بن أيّوب ، عن جميل. وفي </w:t>
      </w:r>
      <w:r w:rsidR="00744A1C" w:rsidRPr="0061079A">
        <w:rPr>
          <w:rStyle w:val="libFootnoteBoldChar"/>
          <w:rtl/>
        </w:rPr>
        <w:t>الكافي</w:t>
      </w:r>
      <w:r w:rsidR="00744A1C">
        <w:rPr>
          <w:rtl/>
          <w:lang w:bidi="fa-IR"/>
        </w:rPr>
        <w:t xml:space="preserve"> ، </w:t>
      </w:r>
      <w:r w:rsidR="004D054E">
        <w:rPr>
          <w:rFonts w:hint="cs"/>
          <w:rtl/>
          <w:lang w:bidi="fa-IR"/>
        </w:rPr>
        <w:t>=</w:t>
      </w:r>
    </w:p>
    <w:p w:rsidR="00150943" w:rsidRDefault="00150943" w:rsidP="00D10E3C">
      <w:pPr>
        <w:pStyle w:val="libNormal"/>
        <w:rPr>
          <w:rtl/>
          <w:lang w:bidi="fa-IR"/>
        </w:rPr>
      </w:pPr>
      <w:r>
        <w:rPr>
          <w:rtl/>
          <w:lang w:bidi="fa-IR"/>
        </w:rPr>
        <w:br w:type="page"/>
      </w:r>
    </w:p>
    <w:p w:rsidR="00144FA6" w:rsidRDefault="00744A1C" w:rsidP="004D054E">
      <w:pPr>
        <w:pStyle w:val="Heading2Center"/>
        <w:rPr>
          <w:rtl/>
          <w:lang w:bidi="fa-IR"/>
        </w:rPr>
      </w:pPr>
      <w:bookmarkStart w:id="71" w:name="_Toc49261369"/>
      <w:r>
        <w:rPr>
          <w:rtl/>
          <w:lang w:bidi="fa-IR"/>
        </w:rPr>
        <w:lastRenderedPageBreak/>
        <w:t xml:space="preserve">224 - بَابُ مُعَرَّسِ </w:t>
      </w:r>
      <w:r w:rsidRPr="00D10E3C">
        <w:rPr>
          <w:rStyle w:val="libFootnotenumChar"/>
          <w:rtl/>
        </w:rPr>
        <w:t>(1)</w:t>
      </w:r>
      <w:r>
        <w:rPr>
          <w:rtl/>
          <w:lang w:bidi="fa-IR"/>
        </w:rPr>
        <w:t xml:space="preserve"> النَّبِيِّ </w:t>
      </w:r>
      <w:r w:rsidR="004D054E" w:rsidRPr="004D054E">
        <w:rPr>
          <w:rStyle w:val="libAlaemChar"/>
          <w:rtl/>
        </w:rPr>
        <w:t>صلى‌الله‌عليه‌وآله</w:t>
      </w:r>
      <w:bookmarkEnd w:id="71"/>
    </w:p>
    <w:p w:rsidR="004D054E" w:rsidRDefault="00744A1C" w:rsidP="004D054E">
      <w:pPr>
        <w:pStyle w:val="libNormal"/>
        <w:rPr>
          <w:rtl/>
          <w:lang w:bidi="fa-IR"/>
        </w:rPr>
      </w:pPr>
      <w:r>
        <w:rPr>
          <w:rtl/>
          <w:lang w:bidi="fa-IR"/>
        </w:rPr>
        <w:t>8143 / 1. عَلِيُّ بْنُ إِبْرَاهِيمَ ، عَنْ أَبِيهِ ؛</w:t>
      </w:r>
    </w:p>
    <w:p w:rsidR="00144FA6" w:rsidRDefault="004D054E" w:rsidP="004D054E">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(2)</w:t>
      </w:r>
      <w:r w:rsidR="00744A1C">
        <w:rPr>
          <w:rtl/>
          <w:lang w:bidi="fa-IR"/>
        </w:rPr>
        <w:t xml:space="preserve"> مُحَمَّدُ بْنُ إِسْمَاعِيلَ ، عَنِ الْفَضْلِ بْنِ شَاذَانَ ، عَنْ صَفْوَانَ بْنِ يَحْيى وَابْنِ أَبِي عُمَيْرٍ ، عَنْ مُعَاوِيَةَ بْنِ عَمَّارٍ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إِذَا انْصَرَفْتَ مِنْ مَكَّةَ إِلَى الْمَدِينَةِ ، وَانْتَهَيْتَ إِلى ذِي الْحُلَيْفَةِ وَأَنْتَ رَاجِعٌ إِلَى الْمَدِينَةِ مِنْ مَكَّةَ ، فَائْتِ مُعَرَّسَ النَّبِيِّ </w:t>
      </w:r>
      <w:r w:rsidR="004D054E" w:rsidRPr="004D054E">
        <w:rPr>
          <w:rStyle w:val="libAlaemChar"/>
          <w:rtl/>
        </w:rPr>
        <w:t>صلى‌الله‌عليه‌وآله</w:t>
      </w:r>
      <w:r w:rsidR="00D10E3C">
        <w:rPr>
          <w:rtl/>
          <w:lang w:bidi="fa-IR"/>
        </w:rPr>
        <w:t xml:space="preserve"> </w:t>
      </w:r>
      <w:r>
        <w:rPr>
          <w:rtl/>
          <w:lang w:bidi="fa-IR"/>
        </w:rPr>
        <w:t xml:space="preserve">، فَإِنْ كُنْتَ فِي وَقْتِ صَلَاةٍ مَكْتُوبَةٍ أَوْ نَافِلَةٍ ، فَصَلِّ فِيهِ ، وَإِنْ كَانَ </w:t>
      </w:r>
      <w:r w:rsidRPr="00D10E3C">
        <w:rPr>
          <w:rStyle w:val="libFootnotenumChar"/>
          <w:rtl/>
        </w:rPr>
        <w:t>(3)</w:t>
      </w:r>
      <w:r>
        <w:rPr>
          <w:rtl/>
          <w:lang w:bidi="fa-IR"/>
        </w:rPr>
        <w:t xml:space="preserve"> فِي غَيْرِ وَقْتِ صَلَاةٍ مَكْتُوبَةٍ ، فَانْزِلْ فِيهِ قَلِيلاً ، فَإِنَّ رَسُولَ اللهِ </w:t>
      </w:r>
      <w:r w:rsidR="004D054E" w:rsidRPr="004D054E">
        <w:rPr>
          <w:rStyle w:val="libAlaemChar"/>
          <w:rtl/>
        </w:rPr>
        <w:t>صلى‌الله‌عليه‌وآله</w:t>
      </w:r>
      <w:r w:rsidR="00D10E3C">
        <w:rPr>
          <w:rtl/>
          <w:lang w:bidi="fa-IR"/>
        </w:rPr>
        <w:t xml:space="preserve"> </w:t>
      </w:r>
      <w:r>
        <w:rPr>
          <w:rtl/>
          <w:lang w:bidi="fa-IR"/>
        </w:rPr>
        <w:t xml:space="preserve">قَدْ كَانَ يُعَرِّسُ فِيهِ ، وَيُصَلِّي </w:t>
      </w:r>
      <w:r w:rsidRPr="00D10E3C">
        <w:rPr>
          <w:rStyle w:val="libFootnotenumChar"/>
          <w:rtl/>
        </w:rPr>
        <w:t>(4)</w:t>
      </w:r>
      <w:r>
        <w:rPr>
          <w:rtl/>
          <w:lang w:bidi="fa-IR"/>
        </w:rPr>
        <w:t xml:space="preserve"> ». </w:t>
      </w:r>
      <w:r w:rsidRPr="00D10E3C">
        <w:rPr>
          <w:rStyle w:val="libFootnotenumChar"/>
          <w:rtl/>
        </w:rPr>
        <w:t>(5)</w:t>
      </w:r>
    </w:p>
    <w:p w:rsidR="00744A1C" w:rsidRDefault="00744A1C" w:rsidP="00D10E3C">
      <w:pPr>
        <w:pStyle w:val="libLine"/>
        <w:rPr>
          <w:lang w:bidi="fa-IR"/>
        </w:rPr>
      </w:pPr>
      <w:r>
        <w:rPr>
          <w:rtl/>
          <w:lang w:bidi="fa-IR"/>
        </w:rPr>
        <w:t>____________________</w:t>
      </w:r>
    </w:p>
    <w:p w:rsidR="00744A1C" w:rsidRDefault="004D054E" w:rsidP="00D10E3C">
      <w:pPr>
        <w:pStyle w:val="libFootnote0"/>
        <w:rPr>
          <w:lang w:bidi="fa-IR"/>
        </w:rPr>
      </w:pPr>
      <w:r>
        <w:rPr>
          <w:rFonts w:hint="cs"/>
          <w:rtl/>
          <w:lang w:bidi="fa-IR"/>
        </w:rPr>
        <w:t xml:space="preserve">= </w:t>
      </w:r>
      <w:r w:rsidR="00744A1C">
        <w:rPr>
          <w:rtl/>
          <w:lang w:bidi="fa-IR"/>
        </w:rPr>
        <w:t xml:space="preserve">كتاب الديات ، باب آخر منه ، ح 14116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264 ، ح 1 ، بسندهما عن جميل بن درّاج. </w:t>
      </w:r>
      <w:r w:rsidR="00744A1C" w:rsidRPr="00C24F9C">
        <w:rPr>
          <w:rStyle w:val="libFootnoteBoldChar"/>
          <w:rtl/>
        </w:rPr>
        <w:t>الفقيه</w:t>
      </w:r>
      <w:r w:rsidR="00744A1C">
        <w:rPr>
          <w:rtl/>
          <w:lang w:bidi="fa-IR"/>
        </w:rPr>
        <w:t xml:space="preserve"> ، ج 4 ، ص 93 ، ح 5156 ، معلّقاً عن جميل ، عن أبي عبدالله </w:t>
      </w:r>
      <w:r w:rsidR="0061079A" w:rsidRPr="0061079A">
        <w:rPr>
          <w:rStyle w:val="libFootnoteAlaemChar"/>
          <w:rtl/>
        </w:rPr>
        <w:t>عليه‌السلام</w:t>
      </w:r>
      <w:r w:rsidR="00744A1C">
        <w:rPr>
          <w:rtl/>
          <w:lang w:bidi="fa-IR"/>
        </w:rPr>
        <w:t xml:space="preserve"> . وفي </w:t>
      </w:r>
      <w:r w:rsidR="00744A1C" w:rsidRPr="0061079A">
        <w:rPr>
          <w:rStyle w:val="libFootnoteBoldChar"/>
          <w:rtl/>
        </w:rPr>
        <w:t>الكافي</w:t>
      </w:r>
      <w:r w:rsidR="00744A1C">
        <w:rPr>
          <w:rtl/>
          <w:lang w:bidi="fa-IR"/>
        </w:rPr>
        <w:t xml:space="preserve"> ، نفس الباب ، ذيل ح 14113 ؛ </w:t>
      </w:r>
      <w:r w:rsidR="00744A1C" w:rsidRPr="004D054E">
        <w:rPr>
          <w:rStyle w:val="libFootnoteBoldChar"/>
          <w:rtl/>
        </w:rPr>
        <w:t>وثواب الأعمال</w:t>
      </w:r>
      <w:r w:rsidR="00744A1C">
        <w:rPr>
          <w:rtl/>
          <w:lang w:bidi="fa-IR"/>
        </w:rPr>
        <w:t xml:space="preserve"> ، ص 328 ، ح 1 ؛ </w:t>
      </w:r>
      <w:r w:rsidR="00744A1C" w:rsidRPr="004D054E">
        <w:rPr>
          <w:rStyle w:val="libFootnoteBoldChar"/>
          <w:rtl/>
        </w:rPr>
        <w:t>وعي</w:t>
      </w:r>
      <w:r w:rsidR="00744A1C" w:rsidRPr="00877682">
        <w:rPr>
          <w:rStyle w:val="libFootnoteBoldChar"/>
          <w:rtl/>
        </w:rPr>
        <w:t>ون الأخبار</w:t>
      </w:r>
      <w:r w:rsidR="00744A1C">
        <w:rPr>
          <w:rtl/>
          <w:lang w:bidi="fa-IR"/>
        </w:rPr>
        <w:t xml:space="preserve"> ، ج 1 ، ص 313 ، ح 85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380 ، ح 6 ، بسند آخر عن الرضا </w:t>
      </w:r>
      <w:r w:rsidR="0061079A" w:rsidRPr="0061079A">
        <w:rPr>
          <w:rStyle w:val="libFootnoteAlaemChar"/>
          <w:rtl/>
        </w:rPr>
        <w:t>عليه‌السلام</w:t>
      </w:r>
      <w:r w:rsidR="00D10E3C">
        <w:rPr>
          <w:rtl/>
          <w:lang w:bidi="fa-IR"/>
        </w:rPr>
        <w:t xml:space="preserve"> </w:t>
      </w:r>
      <w:r w:rsidR="00744A1C">
        <w:rPr>
          <w:rtl/>
          <w:lang w:bidi="fa-IR"/>
        </w:rPr>
        <w:t xml:space="preserve">، مع عدم ذكر قيد « بالمدينة ». راجع : </w:t>
      </w:r>
      <w:r w:rsidR="00744A1C" w:rsidRPr="0061079A">
        <w:rPr>
          <w:rStyle w:val="libFootnoteBoldChar"/>
          <w:rtl/>
        </w:rPr>
        <w:t>الكافي</w:t>
      </w:r>
      <w:r w:rsidR="00744A1C">
        <w:rPr>
          <w:rtl/>
          <w:lang w:bidi="fa-IR"/>
        </w:rPr>
        <w:t xml:space="preserve"> ، كتاب الديات ، باب آخر منه ، ح 14111 و 14114 و 14117 ؛ وكتاب الروضة ، ح 14842 ومصادره </w:t>
      </w:r>
      <w:r>
        <w:rPr>
          <w:rFonts w:hint="cs"/>
          <w:rtl/>
          <w:lang w:bidi="fa-IR"/>
        </w:rPr>
        <w:t>.</w:t>
      </w:r>
      <w:r w:rsidR="00744A1C" w:rsidRPr="00C24F9C">
        <w:rPr>
          <w:rStyle w:val="libFootnoteBoldChar"/>
          <w:rtl/>
        </w:rPr>
        <w:t>الوافي</w:t>
      </w:r>
      <w:r w:rsidR="00744A1C">
        <w:rPr>
          <w:rtl/>
          <w:lang w:bidi="fa-IR"/>
        </w:rPr>
        <w:t xml:space="preserve"> ، ج 14 ، ص 1399 ، ح 14446 ؛ </w:t>
      </w:r>
      <w:r w:rsidR="00744A1C" w:rsidRPr="00C24F9C">
        <w:rPr>
          <w:rStyle w:val="libFootnoteBoldChar"/>
          <w:rtl/>
        </w:rPr>
        <w:t>الوسائل</w:t>
      </w:r>
      <w:r w:rsidR="00744A1C">
        <w:rPr>
          <w:rtl/>
          <w:lang w:bidi="fa-IR"/>
        </w:rPr>
        <w:t xml:space="preserve"> ، ج 14 ، ص 360 ، ح 19387.</w:t>
      </w:r>
    </w:p>
    <w:p w:rsidR="00744A1C" w:rsidRDefault="00D10E3C" w:rsidP="00D10E3C">
      <w:pPr>
        <w:pStyle w:val="libFootnote0"/>
        <w:rPr>
          <w:lang w:bidi="fa-IR"/>
        </w:rPr>
      </w:pPr>
      <w:r>
        <w:rPr>
          <w:rtl/>
          <w:lang w:bidi="fa-IR"/>
        </w:rPr>
        <w:t>(1).</w:t>
      </w:r>
      <w:r w:rsidR="00744A1C">
        <w:rPr>
          <w:rtl/>
          <w:lang w:bidi="fa-IR"/>
        </w:rPr>
        <w:t xml:space="preserve"> « التعريس » : نزول القوم من آخر الليل يقعون فيه وقعة للاستراحة ثمّ يرتحلون ، وأعرسوا لغة فيه قليلة ، والموضع مُعرَس ومُعرّس كذا في </w:t>
      </w:r>
      <w:r w:rsidR="00744A1C" w:rsidRPr="00E978C3">
        <w:rPr>
          <w:rStyle w:val="libFootnoteBoldChar"/>
          <w:rtl/>
        </w:rPr>
        <w:t>الصحاح</w:t>
      </w:r>
      <w:r w:rsidR="00744A1C">
        <w:rPr>
          <w:rtl/>
          <w:lang w:bidi="fa-IR"/>
        </w:rPr>
        <w:t xml:space="preserve"> ، ج 3 ، ص 948 ( عرس ). وفي هامش الطبعة الحجريّة : « المراد به هنا النزول في مسجد النبيّ </w:t>
      </w:r>
      <w:r w:rsidR="005E465D" w:rsidRPr="005E465D">
        <w:rPr>
          <w:rStyle w:val="libFootnoteAlaemChar"/>
          <w:rtl/>
        </w:rPr>
        <w:t>صلى‌الله‌عليه‌وآله</w:t>
      </w:r>
      <w:r>
        <w:rPr>
          <w:rtl/>
          <w:lang w:bidi="fa-IR"/>
        </w:rPr>
        <w:t xml:space="preserve"> </w:t>
      </w:r>
      <w:r w:rsidR="00744A1C">
        <w:rPr>
          <w:rtl/>
          <w:lang w:bidi="fa-IR"/>
        </w:rPr>
        <w:t xml:space="preserve">الذي عرس به ، وهو على فرسخ من المدينة بقرب مسجد الشجرة ». وفي </w:t>
      </w:r>
      <w:r w:rsidR="00744A1C" w:rsidRPr="00C24F9C">
        <w:rPr>
          <w:rStyle w:val="libFootnoteBoldChar"/>
          <w:rtl/>
        </w:rPr>
        <w:t>الفقيه</w:t>
      </w:r>
      <w:r w:rsidR="00744A1C">
        <w:rPr>
          <w:rtl/>
          <w:lang w:bidi="fa-IR"/>
        </w:rPr>
        <w:t xml:space="preserve"> : « التعريس هو أن يصلّى فيه ويضطجع فيه ليلاً مرّ به أو نهاراً ». وفي </w:t>
      </w:r>
      <w:r w:rsidR="00744A1C" w:rsidRPr="00877682">
        <w:rPr>
          <w:rStyle w:val="libFootnoteBoldChar"/>
          <w:rtl/>
        </w:rPr>
        <w:t>مرآة العقول</w:t>
      </w:r>
      <w:r w:rsidR="00744A1C">
        <w:rPr>
          <w:rtl/>
          <w:lang w:bidi="fa-IR"/>
        </w:rPr>
        <w:t xml:space="preserve"> ، ج 18 ، ص 281 : « إنّما سمّي معرّساً لنزول النبيّ </w:t>
      </w:r>
      <w:r w:rsidR="004D054E" w:rsidRPr="004D054E">
        <w:rPr>
          <w:rStyle w:val="libFootnoteAlaemChar"/>
          <w:rtl/>
        </w:rPr>
        <w:t>صلى‌الله‌عليه‌وآله</w:t>
      </w:r>
      <w:r>
        <w:rPr>
          <w:rtl/>
          <w:lang w:bidi="fa-IR"/>
        </w:rPr>
        <w:t xml:space="preserve"> </w:t>
      </w:r>
      <w:r w:rsidR="00744A1C">
        <w:rPr>
          <w:rtl/>
          <w:lang w:bidi="fa-IR"/>
        </w:rPr>
        <w:t xml:space="preserve">فيه في آخر الليل ، وفيه وقع ما اشتهر أنّه </w:t>
      </w:r>
      <w:r w:rsidR="00F90866" w:rsidRPr="00F90866">
        <w:rPr>
          <w:rStyle w:val="libFootnoteAlaemChar"/>
          <w:rtl/>
        </w:rPr>
        <w:t>صلى‌الله‌عليه‌وآله</w:t>
      </w:r>
      <w:r w:rsidR="00744A1C">
        <w:rPr>
          <w:rtl/>
          <w:lang w:bidi="fa-IR"/>
        </w:rPr>
        <w:t xml:space="preserve"> نام عن صلاة الغداة ، وأجمع الأصحاب على استحباب النزول والصلاة فيه تأسّياً بالنبيّ </w:t>
      </w:r>
      <w:r w:rsidR="00F90866" w:rsidRPr="00F90866">
        <w:rPr>
          <w:rStyle w:val="libFootnoteAlaemChar"/>
          <w:rtl/>
        </w:rPr>
        <w:t>صلى‌الله‌عليه‌وآله</w:t>
      </w:r>
      <w:r w:rsidR="00744A1C">
        <w:rPr>
          <w:rtl/>
          <w:lang w:bidi="fa-IR"/>
        </w:rPr>
        <w:t>، ويستفاد من الأخبار أنّ التعريس إنّما يستحبّ في العود من مكّة إلى المدينة ».</w:t>
      </w:r>
    </w:p>
    <w:p w:rsidR="00744A1C" w:rsidRDefault="00E378DD" w:rsidP="00E378DD">
      <w:pPr>
        <w:pStyle w:val="libFootnote0"/>
        <w:rPr>
          <w:lang w:bidi="fa-IR"/>
        </w:rPr>
      </w:pPr>
      <w:r>
        <w:rPr>
          <w:rtl/>
          <w:lang w:bidi="fa-IR"/>
        </w:rPr>
        <w:t>(2).</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4D054E" w:rsidTr="004D054E">
        <w:tc>
          <w:tcPr>
            <w:tcW w:w="4006" w:type="dxa"/>
          </w:tcPr>
          <w:p w:rsidR="004D054E" w:rsidRDefault="004D054E" w:rsidP="00E378DD">
            <w:pPr>
              <w:pStyle w:val="libFootnote0"/>
              <w:rPr>
                <w:rtl/>
                <w:lang w:bidi="fa-IR"/>
              </w:rPr>
            </w:pPr>
            <w:r>
              <w:rPr>
                <w:rtl/>
                <w:lang w:bidi="fa-IR"/>
              </w:rPr>
              <w:t>(3). في حاشية « بث ، بح » : « كنت ».</w:t>
            </w:r>
          </w:p>
        </w:tc>
        <w:tc>
          <w:tcPr>
            <w:tcW w:w="4006" w:type="dxa"/>
          </w:tcPr>
          <w:p w:rsidR="004D054E" w:rsidRDefault="004D054E" w:rsidP="00E378DD">
            <w:pPr>
              <w:pStyle w:val="libFootnote0"/>
              <w:rPr>
                <w:rtl/>
                <w:lang w:bidi="fa-IR"/>
              </w:rPr>
            </w:pPr>
            <w:r>
              <w:rPr>
                <w:rtl/>
                <w:lang w:bidi="fa-IR"/>
              </w:rPr>
              <w:t xml:space="preserve">(4). في </w:t>
            </w:r>
            <w:r w:rsidRPr="004D054E">
              <w:rPr>
                <w:rtl/>
              </w:rPr>
              <w:t>الوسائل والفقيه</w:t>
            </w:r>
            <w:r>
              <w:rPr>
                <w:rtl/>
                <w:lang w:bidi="fa-IR"/>
              </w:rPr>
              <w:t xml:space="preserve"> : + « فيه ».</w:t>
            </w:r>
          </w:p>
        </w:tc>
      </w:tr>
    </w:tbl>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الفقيه</w:t>
      </w:r>
      <w:r w:rsidR="00744A1C">
        <w:rPr>
          <w:rtl/>
          <w:lang w:bidi="fa-IR"/>
        </w:rPr>
        <w:t xml:space="preserve"> ، ج 2 ، ص 560 ، ح 3145 ، معلّقاً عن معاوية بن عمّار </w:t>
      </w:r>
      <w:r w:rsidR="004D054E">
        <w:rPr>
          <w:rFonts w:hint="cs"/>
          <w:rtl/>
          <w:lang w:bidi="fa-IR"/>
        </w:rPr>
        <w:t>.</w:t>
      </w:r>
      <w:r w:rsidR="00744A1C" w:rsidRPr="00C24F9C">
        <w:rPr>
          <w:rStyle w:val="libFootnoteBoldChar"/>
          <w:rtl/>
        </w:rPr>
        <w:t>الوافي</w:t>
      </w:r>
      <w:r w:rsidR="00744A1C">
        <w:rPr>
          <w:rtl/>
          <w:lang w:bidi="fa-IR"/>
        </w:rPr>
        <w:t xml:space="preserve"> ، ج 14 ، ص 1341 ، ح 14369 ؛ </w:t>
      </w:r>
      <w:r w:rsidR="00744A1C" w:rsidRPr="00C24F9C">
        <w:rPr>
          <w:rStyle w:val="libFootnoteBoldChar"/>
          <w:rtl/>
        </w:rPr>
        <w:t>الوسائل</w:t>
      </w:r>
      <w:r w:rsidR="00744A1C">
        <w:rPr>
          <w:rtl/>
          <w:lang w:bidi="fa-IR"/>
        </w:rPr>
        <w:t xml:space="preserve"> ، ج 14 ، ص 370 ، ح 19409.</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8144 / 2. عِدَّةٌ مِنْ أَصْحَابِنَا ، عَنْ أَحْمَدَ بْنِ مُحَمَّدٍ ، عَنِ الْحَجَّالِ وَالْحَسَنِ </w:t>
      </w:r>
      <w:r w:rsidRPr="00D10E3C">
        <w:rPr>
          <w:rStyle w:val="libFootnotenumChar"/>
          <w:rtl/>
        </w:rPr>
        <w:t>(1)</w:t>
      </w:r>
      <w:r>
        <w:rPr>
          <w:rtl/>
          <w:lang w:bidi="fa-IR"/>
        </w:rPr>
        <w:t xml:space="preserve"> بْنِ عَلِيٍّ ، عَنْ عَلِيِّ بْنِ أَسْبَاطٍ ، عَنْ بَعْضِ أَصْحَابِنَا :</w:t>
      </w:r>
    </w:p>
    <w:p w:rsidR="00144FA6" w:rsidRDefault="00744A1C" w:rsidP="00744A1C">
      <w:pPr>
        <w:pStyle w:val="libNormal"/>
        <w:rPr>
          <w:rtl/>
          <w:lang w:bidi="fa-IR"/>
        </w:rPr>
      </w:pPr>
      <w:r>
        <w:rPr>
          <w:rtl/>
          <w:lang w:bidi="fa-IR"/>
        </w:rPr>
        <w:t xml:space="preserve">أَنَّهُ لَمْ يُعَرِّسْ ، فَأَمَرَهُ الرِّضَا </w:t>
      </w:r>
      <w:r w:rsidR="0061079A" w:rsidRPr="0061079A">
        <w:rPr>
          <w:rStyle w:val="libAlaemChar"/>
          <w:rtl/>
        </w:rPr>
        <w:t>عليه‌السلام</w:t>
      </w:r>
      <w:r w:rsidR="00D10E3C">
        <w:rPr>
          <w:rtl/>
          <w:lang w:bidi="fa-IR"/>
        </w:rPr>
        <w:t xml:space="preserve"> </w:t>
      </w:r>
      <w:r>
        <w:rPr>
          <w:rtl/>
          <w:lang w:bidi="fa-IR"/>
        </w:rPr>
        <w:t xml:space="preserve">أَنْ يَنْصَرِفَ فَيُعَرِّسَ. </w:t>
      </w:r>
      <w:r w:rsidRPr="00D10E3C">
        <w:rPr>
          <w:rStyle w:val="libFootnotenumChar"/>
          <w:rtl/>
        </w:rPr>
        <w:t>(2)</w:t>
      </w:r>
    </w:p>
    <w:p w:rsidR="00144FA6" w:rsidRDefault="00744A1C" w:rsidP="00744A1C">
      <w:pPr>
        <w:pStyle w:val="libNormal"/>
        <w:rPr>
          <w:rtl/>
          <w:lang w:bidi="fa-IR"/>
        </w:rPr>
      </w:pPr>
      <w:r>
        <w:rPr>
          <w:rtl/>
          <w:lang w:bidi="fa-IR"/>
        </w:rPr>
        <w:t>8145 / 3. أَبُو عَلِيٍّ الْأَشْعَرِيُّ ، عَنِ الْحَسَنِ بْنِ عَلِيٍّ الْكُوفِيِّ ، عَنْ عَلِيِّ بْنِ أَسْبَاطٍ ، عَنْ مُحَمَّدِ بْنِ الْقَاسِمِ بْنِ الْفُضَيْلِ ، قَالَ :</w:t>
      </w:r>
    </w:p>
    <w:p w:rsidR="00744A1C" w:rsidRDefault="00744A1C" w:rsidP="00744A1C">
      <w:pPr>
        <w:pStyle w:val="libNormal"/>
        <w:rPr>
          <w:lang w:bidi="fa-IR"/>
        </w:rPr>
      </w:pPr>
      <w:r>
        <w:rPr>
          <w:rtl/>
          <w:lang w:bidi="fa-IR"/>
        </w:rPr>
        <w:t xml:space="preserve">قُلْتُ لِأَبِي الْحَسَنِ </w:t>
      </w:r>
      <w:r w:rsidR="0061079A" w:rsidRPr="0061079A">
        <w:rPr>
          <w:rStyle w:val="libAlaemChar"/>
          <w:rtl/>
        </w:rPr>
        <w:t>عليه‌السلام</w:t>
      </w:r>
      <w:r w:rsidR="00D10E3C">
        <w:rPr>
          <w:rtl/>
          <w:lang w:bidi="fa-IR"/>
        </w:rPr>
        <w:t xml:space="preserve"> </w:t>
      </w:r>
      <w:r>
        <w:rPr>
          <w:rtl/>
          <w:lang w:bidi="fa-IR"/>
        </w:rPr>
        <w:t xml:space="preserve">: جُعِلْتُ فِدَاكَ ، إِنَّ جَمَّالَنَا </w:t>
      </w:r>
      <w:r w:rsidRPr="00D10E3C">
        <w:rPr>
          <w:rStyle w:val="libFootnotenumChar"/>
          <w:rtl/>
        </w:rPr>
        <w:t>(3)</w:t>
      </w:r>
      <w:r>
        <w:rPr>
          <w:rtl/>
          <w:lang w:bidi="fa-IR"/>
        </w:rPr>
        <w:t xml:space="preserve"> مَرَّ بِنَا ، وَلَمْ يَنْزِلِ الْمُعَرَّسَ؟</w:t>
      </w:r>
    </w:p>
    <w:p w:rsidR="00144FA6" w:rsidRDefault="00744A1C" w:rsidP="00744A1C">
      <w:pPr>
        <w:pStyle w:val="libNormal"/>
        <w:rPr>
          <w:rtl/>
          <w:lang w:bidi="fa-IR"/>
        </w:rPr>
      </w:pPr>
      <w:r>
        <w:rPr>
          <w:rtl/>
          <w:lang w:bidi="fa-IR"/>
        </w:rPr>
        <w:t xml:space="preserve">فَقَالَ : « لَا بُدَّ أَنْ تَرْجِعُوا إِلَيْهِ » فَرَجَعْتُ إِلَيْهِ. </w:t>
      </w:r>
      <w:r w:rsidRPr="00D10E3C">
        <w:rPr>
          <w:rStyle w:val="libFootnotenumChar"/>
          <w:rtl/>
        </w:rPr>
        <w:t>(4)</w:t>
      </w:r>
    </w:p>
    <w:p w:rsidR="00144FA6" w:rsidRDefault="00744A1C" w:rsidP="00744A1C">
      <w:pPr>
        <w:pStyle w:val="libNormal"/>
        <w:rPr>
          <w:rtl/>
          <w:lang w:bidi="fa-IR"/>
        </w:rPr>
      </w:pPr>
      <w:r>
        <w:rPr>
          <w:rtl/>
          <w:lang w:bidi="fa-IR"/>
        </w:rPr>
        <w:t xml:space="preserve">8146 / 4. وَعَنْهُ </w:t>
      </w:r>
      <w:r w:rsidRPr="00D10E3C">
        <w:rPr>
          <w:rStyle w:val="libFootnotenumChar"/>
          <w:rtl/>
        </w:rPr>
        <w:t>(5)</w:t>
      </w:r>
      <w:r>
        <w:rPr>
          <w:rtl/>
          <w:lang w:bidi="fa-IR"/>
        </w:rPr>
        <w:t xml:space="preserve"> ، عَنِ ابْنِ فَضَّالٍ ، قَالَ :</w:t>
      </w:r>
    </w:p>
    <w:p w:rsidR="00744A1C" w:rsidRDefault="00744A1C" w:rsidP="00744A1C">
      <w:pPr>
        <w:pStyle w:val="libNormal"/>
        <w:rPr>
          <w:lang w:bidi="fa-IR"/>
        </w:rPr>
      </w:pPr>
      <w:r>
        <w:rPr>
          <w:rtl/>
          <w:lang w:bidi="fa-IR"/>
        </w:rPr>
        <w:t xml:space="preserve">قَالَ عَلِيُّ بْنُ أَسْبَاطٍ لِأَبِي الْحَسَنِ </w:t>
      </w:r>
      <w:r w:rsidRPr="00D10E3C">
        <w:rPr>
          <w:rStyle w:val="libFootnotenumChar"/>
          <w:rtl/>
        </w:rPr>
        <w:t>(6)</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وَنَحْنُ نَسْمَعُ </w:t>
      </w:r>
      <w:r w:rsidRPr="00D10E3C">
        <w:rPr>
          <w:rStyle w:val="libFootnotenumChar"/>
          <w:rtl/>
        </w:rPr>
        <w:t>(7)</w:t>
      </w:r>
      <w:r>
        <w:rPr>
          <w:rtl/>
          <w:lang w:bidi="fa-IR"/>
        </w:rPr>
        <w:t xml:space="preserve"> : إِنَّا لَمْ نَكُنْ عَرَّسْنَا ، فَأَخْبَرَنَا ابْنُ الْقَاسِمِ بْنِ الْفُضَيْلِ أَنَّهُ لَمْ يَكُنْ عَرَّسَ ، وَأَنَّهُ سَأَلَكَ ، فَأَمَرْتَهُ بِالْعَوْدِ إِلَى الْمُعَرَّسِ ، فَيُعَرِّسُ فِيهِ؟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وحاشية « جن » </w:t>
      </w:r>
      <w:r w:rsidR="00744A1C" w:rsidRPr="004D054E">
        <w:rPr>
          <w:rtl/>
        </w:rPr>
        <w:t>والوافي والوسائل</w:t>
      </w:r>
      <w:r w:rsidR="00744A1C">
        <w:rPr>
          <w:rtl/>
          <w:lang w:bidi="fa-IR"/>
        </w:rPr>
        <w:t xml:space="preserve"> : « عن الحجّال عن الحسن ». ولم يظهر لنا ما هو الصواب.</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14 ، ص 1342 ، ح 14370 ؛ </w:t>
      </w:r>
      <w:r w:rsidR="00744A1C" w:rsidRPr="00C24F9C">
        <w:rPr>
          <w:rStyle w:val="libFootnoteBoldChar"/>
          <w:rtl/>
        </w:rPr>
        <w:t>الوسائل</w:t>
      </w:r>
      <w:r w:rsidR="00744A1C">
        <w:rPr>
          <w:rtl/>
          <w:lang w:bidi="fa-IR"/>
        </w:rPr>
        <w:t xml:space="preserve"> ، ج 14 ، ص 372 ، ح 19414.</w:t>
      </w:r>
    </w:p>
    <w:p w:rsidR="00744A1C" w:rsidRDefault="00E378DD" w:rsidP="00E378DD">
      <w:pPr>
        <w:pStyle w:val="libFootnote0"/>
        <w:rPr>
          <w:lang w:bidi="fa-IR"/>
        </w:rPr>
      </w:pPr>
      <w:r>
        <w:rPr>
          <w:rtl/>
          <w:lang w:bidi="fa-IR"/>
        </w:rPr>
        <w:t>(3).</w:t>
      </w:r>
      <w:r w:rsidR="00744A1C">
        <w:rPr>
          <w:rtl/>
          <w:lang w:bidi="fa-IR"/>
        </w:rPr>
        <w:t xml:space="preserve"> في « بف » : « حمّالنا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الفقيه</w:t>
      </w:r>
      <w:r w:rsidR="00744A1C">
        <w:rPr>
          <w:rtl/>
          <w:lang w:bidi="fa-IR"/>
        </w:rPr>
        <w:t xml:space="preserve"> ، ج 2 ، ص 560 ، ح 3146 ، بسنده عن محمّد بن القاسم بن فضيل </w:t>
      </w:r>
      <w:r w:rsidR="004D054E">
        <w:rPr>
          <w:rFonts w:hint="cs"/>
          <w:rtl/>
          <w:lang w:bidi="fa-IR"/>
        </w:rPr>
        <w:t>.</w:t>
      </w:r>
      <w:r w:rsidR="00744A1C" w:rsidRPr="00C24F9C">
        <w:rPr>
          <w:rStyle w:val="libFootnoteBoldChar"/>
          <w:rtl/>
        </w:rPr>
        <w:t>الوافي</w:t>
      </w:r>
      <w:r w:rsidR="00744A1C">
        <w:rPr>
          <w:rtl/>
          <w:lang w:bidi="fa-IR"/>
        </w:rPr>
        <w:t xml:space="preserve"> ، ج 14 ، ص 1342 ، ح 14371 ؛ </w:t>
      </w:r>
      <w:r w:rsidR="00744A1C" w:rsidRPr="00C24F9C">
        <w:rPr>
          <w:rStyle w:val="libFootnoteBoldChar"/>
          <w:rtl/>
        </w:rPr>
        <w:t>الوسائل</w:t>
      </w:r>
      <w:r w:rsidR="00744A1C">
        <w:rPr>
          <w:rtl/>
          <w:lang w:bidi="fa-IR"/>
        </w:rPr>
        <w:t xml:space="preserve"> ، ج 14 ، ص 372 ، ح 19415.</w:t>
      </w:r>
    </w:p>
    <w:p w:rsidR="00744A1C" w:rsidRDefault="00E378DD" w:rsidP="00E378DD">
      <w:pPr>
        <w:pStyle w:val="libFootnote0"/>
        <w:rPr>
          <w:lang w:bidi="fa-IR"/>
        </w:rPr>
      </w:pPr>
      <w:r>
        <w:rPr>
          <w:rtl/>
          <w:lang w:bidi="fa-IR"/>
        </w:rPr>
        <w:t>(5).</w:t>
      </w:r>
      <w:r w:rsidR="00744A1C">
        <w:rPr>
          <w:rtl/>
          <w:lang w:bidi="fa-IR"/>
        </w:rPr>
        <w:t xml:space="preserve"> أرجع الضمير في </w:t>
      </w:r>
      <w:r w:rsidR="00744A1C" w:rsidRPr="0061079A">
        <w:rPr>
          <w:rStyle w:val="libFootnoteBoldChar"/>
          <w:rtl/>
        </w:rPr>
        <w:t>معجم رجال الحديث</w:t>
      </w:r>
      <w:r w:rsidR="00744A1C">
        <w:rPr>
          <w:rtl/>
          <w:lang w:bidi="fa-IR"/>
        </w:rPr>
        <w:t xml:space="preserve"> ، ج 5 ، ص 321 ، إلى الحسن بن عليّ الكوفي ، وذاك وإن لم يواجه إشكالاً من حيث الطبقة ؛ لما ورد في بعض الأسناد من رواية الحسن بن عليّ الكوفي أو الحسن بن عليّ بن عبد الله - وهما متّحدان - عن ابن فضّال أو الحسن بن عليّ بن فضّال ، لكن لم نجد - مع الفحص الأكيد - في شي‌ء من </w:t>
      </w:r>
      <w:r w:rsidR="00744A1C" w:rsidRPr="004D054E">
        <w:rPr>
          <w:rStyle w:val="libFootnoteBoldChar"/>
          <w:rtl/>
        </w:rPr>
        <w:t xml:space="preserve">أسناد </w:t>
      </w:r>
      <w:r w:rsidR="00744A1C" w:rsidRPr="0061079A">
        <w:rPr>
          <w:rStyle w:val="libFootnoteBoldChar"/>
          <w:rtl/>
        </w:rPr>
        <w:t>الكافي</w:t>
      </w:r>
      <w:r w:rsidR="00744A1C">
        <w:rPr>
          <w:rtl/>
          <w:lang w:bidi="fa-IR"/>
        </w:rPr>
        <w:t xml:space="preserve"> رجوع الضمير إلى الحسن بن عليّ الكوفي ، أو الحسن بن عليّ بن عبد الله.</w:t>
      </w:r>
    </w:p>
    <w:p w:rsidR="00744A1C" w:rsidRDefault="00744A1C" w:rsidP="00D10E3C">
      <w:pPr>
        <w:pStyle w:val="libFootnote0"/>
        <w:rPr>
          <w:lang w:bidi="fa-IR"/>
        </w:rPr>
      </w:pPr>
      <w:r>
        <w:rPr>
          <w:rtl/>
          <w:lang w:bidi="fa-IR"/>
        </w:rPr>
        <w:t xml:space="preserve">والظاهر رجوع الضمير إلى أحمد بن محمّد المذكور في سند الحديث الثاني ؛ فقد أكثر أحمد بن محمّد هذا من الرواية عن [ الحسن بن عليّ ] بن فضّال ، وكثر رجوع الضمير إليه في أسناد </w:t>
      </w:r>
      <w:r w:rsidRPr="0061079A">
        <w:rPr>
          <w:rStyle w:val="libFootnoteBoldChar"/>
          <w:rtl/>
        </w:rPr>
        <w:t>الكافي</w:t>
      </w:r>
      <w:r>
        <w:rPr>
          <w:rtl/>
          <w:lang w:bidi="fa-IR"/>
        </w:rPr>
        <w:t xml:space="preserve">. راجع : </w:t>
      </w:r>
      <w:r w:rsidRPr="0061079A">
        <w:rPr>
          <w:rStyle w:val="libFootnoteBoldChar"/>
          <w:rtl/>
        </w:rPr>
        <w:t>معجم رجال الحديث</w:t>
      </w:r>
      <w:r>
        <w:rPr>
          <w:rtl/>
          <w:lang w:bidi="fa-IR"/>
        </w:rPr>
        <w:t xml:space="preserve"> ، ج 2 ، ص 470 - 476 ، وص 496 - 497.</w:t>
      </w:r>
    </w:p>
    <w:p w:rsidR="00744A1C" w:rsidRDefault="00E378DD" w:rsidP="00E378DD">
      <w:pPr>
        <w:pStyle w:val="libFootnote0"/>
        <w:rPr>
          <w:lang w:bidi="fa-IR"/>
        </w:rPr>
      </w:pPr>
      <w:r>
        <w:rPr>
          <w:rtl/>
          <w:lang w:bidi="fa-IR"/>
        </w:rPr>
        <w:t>(6).</w:t>
      </w:r>
      <w:r w:rsidR="00744A1C">
        <w:rPr>
          <w:rtl/>
          <w:lang w:bidi="fa-IR"/>
        </w:rPr>
        <w:t xml:space="preserve"> في « ى » : + « الرضا ».</w:t>
      </w:r>
    </w:p>
    <w:p w:rsidR="00744A1C" w:rsidRDefault="00E378DD" w:rsidP="00E378DD">
      <w:pPr>
        <w:pStyle w:val="libFootnote0"/>
        <w:rPr>
          <w:lang w:bidi="fa-IR"/>
        </w:rPr>
      </w:pPr>
      <w:r>
        <w:rPr>
          <w:rtl/>
          <w:lang w:bidi="fa-IR"/>
        </w:rPr>
        <w:t>(7).</w:t>
      </w:r>
      <w:r w:rsidR="00744A1C">
        <w:rPr>
          <w:rtl/>
          <w:lang w:bidi="fa-IR"/>
        </w:rPr>
        <w:t xml:space="preserve"> في </w:t>
      </w:r>
      <w:r w:rsidR="00744A1C" w:rsidRPr="004D054E">
        <w:rPr>
          <w:rtl/>
        </w:rPr>
        <w:t>الوسائل</w:t>
      </w:r>
      <w:r w:rsidR="00744A1C">
        <w:rPr>
          <w:rtl/>
          <w:lang w:bidi="fa-IR"/>
        </w:rPr>
        <w:t xml:space="preserve"> : - « ونحن نسمع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فَقَالَ : « نَعَمْ ».</w:t>
      </w:r>
    </w:p>
    <w:p w:rsidR="00744A1C" w:rsidRDefault="00744A1C" w:rsidP="00744A1C">
      <w:pPr>
        <w:pStyle w:val="libNormal"/>
        <w:rPr>
          <w:lang w:bidi="fa-IR"/>
        </w:rPr>
      </w:pPr>
      <w:r>
        <w:rPr>
          <w:rtl/>
          <w:lang w:bidi="fa-IR"/>
        </w:rPr>
        <w:t xml:space="preserve">فَقَالَ لَهُ : فَإِنَّا </w:t>
      </w:r>
      <w:r w:rsidRPr="00D10E3C">
        <w:rPr>
          <w:rStyle w:val="libFootnotenumChar"/>
          <w:rtl/>
        </w:rPr>
        <w:t>(1)</w:t>
      </w:r>
      <w:r>
        <w:rPr>
          <w:rtl/>
          <w:lang w:bidi="fa-IR"/>
        </w:rPr>
        <w:t xml:space="preserve"> انْصَرَفْنَا ، فَعَرَّسْنَا ، فَأَيَّ شَيْ‌ءٍ نَصْنَعُ؟</w:t>
      </w:r>
    </w:p>
    <w:p w:rsidR="00744A1C" w:rsidRDefault="00744A1C" w:rsidP="00744A1C">
      <w:pPr>
        <w:pStyle w:val="libNormal"/>
        <w:rPr>
          <w:lang w:bidi="fa-IR"/>
        </w:rPr>
      </w:pPr>
      <w:r>
        <w:rPr>
          <w:rtl/>
          <w:lang w:bidi="fa-IR"/>
        </w:rPr>
        <w:t xml:space="preserve">قَالَ : « تُصَلِّي فِيهِ ، وَتَضْطَجِعُ » وَكَانَ أَبُو الْحَسَنِ </w:t>
      </w:r>
      <w:r w:rsidR="0061079A" w:rsidRPr="0061079A">
        <w:rPr>
          <w:rStyle w:val="libAlaemChar"/>
          <w:rtl/>
        </w:rPr>
        <w:t>عليه‌السلام</w:t>
      </w:r>
      <w:r w:rsidR="00D10E3C">
        <w:rPr>
          <w:rtl/>
          <w:lang w:bidi="fa-IR"/>
        </w:rPr>
        <w:t xml:space="preserve"> </w:t>
      </w:r>
      <w:r>
        <w:rPr>
          <w:rtl/>
          <w:lang w:bidi="fa-IR"/>
        </w:rPr>
        <w:t xml:space="preserve">يُصَلِّي بَعْدَ الْعَتَمَةِ فِيهِ ، فَقَالَ لَهُ مُحَمَّدٌ : فَإِنْ مَرَّ بِهِ فِي غَيْرِ وَقْتِ صَلَاةٍ مَكْتُوبَةٍ ، قَالَ </w:t>
      </w:r>
      <w:r w:rsidRPr="00D10E3C">
        <w:rPr>
          <w:rStyle w:val="libFootnotenumChar"/>
          <w:rtl/>
        </w:rPr>
        <w:t>(2)</w:t>
      </w:r>
      <w:r>
        <w:rPr>
          <w:rtl/>
          <w:lang w:bidi="fa-IR"/>
        </w:rPr>
        <w:t xml:space="preserve"> : بَعْدَ الْعَصْرِ؟</w:t>
      </w:r>
    </w:p>
    <w:p w:rsidR="00744A1C" w:rsidRDefault="00744A1C" w:rsidP="00744A1C">
      <w:pPr>
        <w:pStyle w:val="libNormal"/>
        <w:rPr>
          <w:lang w:bidi="fa-IR"/>
        </w:rPr>
      </w:pPr>
      <w:r>
        <w:rPr>
          <w:rtl/>
          <w:lang w:bidi="fa-IR"/>
        </w:rPr>
        <w:t xml:space="preserve">قَالَ : « سُئِلَ أَبُو الْحَسَنِ </w:t>
      </w:r>
      <w:r w:rsidR="0061079A" w:rsidRPr="0061079A">
        <w:rPr>
          <w:rStyle w:val="libAlaemChar"/>
          <w:rtl/>
        </w:rPr>
        <w:t>عليه‌السلام</w:t>
      </w:r>
      <w:r w:rsidR="00D10E3C">
        <w:rPr>
          <w:rtl/>
          <w:lang w:bidi="fa-IR"/>
        </w:rPr>
        <w:t xml:space="preserve"> </w:t>
      </w:r>
      <w:r>
        <w:rPr>
          <w:rtl/>
          <w:lang w:bidi="fa-IR"/>
        </w:rPr>
        <w:t xml:space="preserve">عَنْ ذَا ، فَقَالَ : مَا رُخِّصَ فِي هذَا </w:t>
      </w:r>
      <w:r w:rsidRPr="00D10E3C">
        <w:rPr>
          <w:rStyle w:val="libFootnotenumChar"/>
          <w:rtl/>
        </w:rPr>
        <w:t>(3)</w:t>
      </w:r>
      <w:r w:rsidR="004D054E">
        <w:rPr>
          <w:rtl/>
          <w:lang w:bidi="fa-IR"/>
        </w:rPr>
        <w:t xml:space="preserve"> إِل</w:t>
      </w:r>
      <w:r w:rsidR="004D054E">
        <w:rPr>
          <w:rFonts w:hint="cs"/>
          <w:rtl/>
          <w:lang w:bidi="fa-IR"/>
        </w:rPr>
        <w:t>َّ</w:t>
      </w:r>
      <w:r w:rsidR="004D054E">
        <w:rPr>
          <w:rtl/>
          <w:lang w:bidi="fa-IR"/>
        </w:rPr>
        <w:t>ا</w:t>
      </w:r>
      <w:r>
        <w:rPr>
          <w:rtl/>
          <w:lang w:bidi="fa-IR"/>
        </w:rPr>
        <w:t xml:space="preserve"> فِي رَكْعَتَيِ الطَّوَافِ ، فَإِنَّ الْحَسَنَ </w:t>
      </w:r>
      <w:r w:rsidRPr="00D10E3C">
        <w:rPr>
          <w:rStyle w:val="libFootnotenumChar"/>
          <w:rtl/>
        </w:rPr>
        <w:t>(4)</w:t>
      </w:r>
      <w:r>
        <w:rPr>
          <w:rtl/>
          <w:lang w:bidi="fa-IR"/>
        </w:rPr>
        <w:t xml:space="preserve"> بْنَ عَلِيٍّ </w:t>
      </w:r>
      <w:r w:rsidR="0061079A" w:rsidRPr="0061079A">
        <w:rPr>
          <w:rStyle w:val="libAlaemChar"/>
          <w:rtl/>
        </w:rPr>
        <w:t>عليه‌السلام</w:t>
      </w:r>
      <w:r w:rsidR="00D10E3C">
        <w:rPr>
          <w:rtl/>
          <w:lang w:bidi="fa-IR"/>
        </w:rPr>
        <w:t xml:space="preserve"> </w:t>
      </w:r>
      <w:r>
        <w:rPr>
          <w:rtl/>
          <w:lang w:bidi="fa-IR"/>
        </w:rPr>
        <w:t xml:space="preserve">فَعَلَهُ ، وَقَالَ : يُقِيمُ حَتّى يَدْخُلَ وَقْتُ الصَّلَاةِ </w:t>
      </w:r>
      <w:r w:rsidRPr="00D10E3C">
        <w:rPr>
          <w:rStyle w:val="libFootnotenumChar"/>
          <w:rtl/>
        </w:rPr>
        <w:t>(5)</w:t>
      </w:r>
      <w:r>
        <w:rPr>
          <w:rtl/>
          <w:lang w:bidi="fa-IR"/>
        </w:rPr>
        <w:t xml:space="preserve"> ».</w:t>
      </w:r>
    </w:p>
    <w:p w:rsidR="00744A1C" w:rsidRDefault="00744A1C" w:rsidP="00744A1C">
      <w:pPr>
        <w:pStyle w:val="libNormal"/>
        <w:rPr>
          <w:lang w:bidi="fa-IR"/>
        </w:rPr>
      </w:pPr>
      <w:r>
        <w:rPr>
          <w:rtl/>
          <w:lang w:bidi="fa-IR"/>
        </w:rPr>
        <w:t xml:space="preserve">قَالَ : فَقُلْتُ </w:t>
      </w:r>
      <w:r w:rsidRPr="00D10E3C">
        <w:rPr>
          <w:rStyle w:val="libFootnotenumChar"/>
          <w:rtl/>
        </w:rPr>
        <w:t>(6)</w:t>
      </w:r>
      <w:r>
        <w:rPr>
          <w:rtl/>
          <w:lang w:bidi="fa-IR"/>
        </w:rPr>
        <w:t xml:space="preserve"> لَهُ : جُعِلْتُ فِدَاكَ ، فَمَنْ مَرَّ بِهِ بِلَيْلٍ أَوْ نَهَارٍ </w:t>
      </w:r>
      <w:r w:rsidRPr="00D10E3C">
        <w:rPr>
          <w:rStyle w:val="libFootnotenumChar"/>
          <w:rtl/>
        </w:rPr>
        <w:t>(7)</w:t>
      </w:r>
      <w:r>
        <w:rPr>
          <w:rtl/>
          <w:lang w:bidi="fa-IR"/>
        </w:rPr>
        <w:t xml:space="preserve"> يُعَرِّسُ </w:t>
      </w:r>
      <w:r w:rsidRPr="00D10E3C">
        <w:rPr>
          <w:rStyle w:val="libFootnotenumChar"/>
          <w:rtl/>
        </w:rPr>
        <w:t>(8)</w:t>
      </w:r>
      <w:r>
        <w:rPr>
          <w:rtl/>
          <w:lang w:bidi="fa-IR"/>
        </w:rPr>
        <w:t xml:space="preserve"> فِيهِ ، أَوْ إِنَّمَا التَّعْرِيسُ بِاللَّيْلِ؟</w:t>
      </w:r>
    </w:p>
    <w:p w:rsidR="00144FA6" w:rsidRDefault="00744A1C" w:rsidP="00744A1C">
      <w:pPr>
        <w:pStyle w:val="libNormal"/>
        <w:rPr>
          <w:rtl/>
          <w:lang w:bidi="fa-IR"/>
        </w:rPr>
      </w:pPr>
      <w:r>
        <w:rPr>
          <w:rtl/>
          <w:lang w:bidi="fa-IR"/>
        </w:rPr>
        <w:t xml:space="preserve">فَقَالَ : « إِنْ </w:t>
      </w:r>
      <w:r w:rsidRPr="00D10E3C">
        <w:rPr>
          <w:rStyle w:val="libFootnotenumChar"/>
          <w:rtl/>
        </w:rPr>
        <w:t>(9)</w:t>
      </w:r>
      <w:r>
        <w:rPr>
          <w:rtl/>
          <w:lang w:bidi="fa-IR"/>
        </w:rPr>
        <w:t xml:space="preserve"> مَرَّ بِهِ </w:t>
      </w:r>
      <w:r w:rsidRPr="00D10E3C">
        <w:rPr>
          <w:rStyle w:val="libFootnotenumChar"/>
          <w:rtl/>
        </w:rPr>
        <w:t>(10)</w:t>
      </w:r>
      <w:r>
        <w:rPr>
          <w:rtl/>
          <w:lang w:bidi="fa-IR"/>
        </w:rPr>
        <w:t xml:space="preserve"> بِلَيْلٍ أَوْ نَهَارٍ ، فَلْيُعَرِّسْ فِيهِ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جن » : « فإنّنا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المستتر في قال - في قوله : قال بعد العصر - يرجع إلى محمّد ، يعني كما إذا مرّ به بعد العصر ». وفي </w:t>
      </w:r>
      <w:r w:rsidR="00744A1C" w:rsidRPr="00C24F9C">
        <w:rPr>
          <w:rStyle w:val="libFootnoteBoldChar"/>
          <w:rtl/>
        </w:rPr>
        <w:t>المرآة</w:t>
      </w:r>
      <w:r w:rsidR="00744A1C">
        <w:rPr>
          <w:rtl/>
          <w:lang w:bidi="fa-IR"/>
        </w:rPr>
        <w:t xml:space="preserve"> : « قوله : قال : بعد العصر ، فاعل « قال » أوّلاً محمّد بن القاسم ، وثانياً الإمام </w:t>
      </w:r>
      <w:r w:rsidR="0061079A" w:rsidRPr="0061079A">
        <w:rPr>
          <w:rStyle w:val="libFootnoteAlaemChar"/>
          <w:rtl/>
        </w:rPr>
        <w:t>عليه‌السلام</w:t>
      </w:r>
      <w:r w:rsidR="00D10E3C">
        <w:rPr>
          <w:rtl/>
          <w:lang w:bidi="fa-IR"/>
        </w:rPr>
        <w:t xml:space="preserve"> </w:t>
      </w:r>
      <w:r w:rsidR="00744A1C">
        <w:rPr>
          <w:rtl/>
          <w:lang w:bidi="fa-IR"/>
        </w:rPr>
        <w:t xml:space="preserve">، والظاهر أنّ النهي عن الصلاة بعد العصر للتقية ». ويؤيّده أنّه روي نحوه في </w:t>
      </w:r>
      <w:r w:rsidR="00744A1C" w:rsidRPr="00C24F9C">
        <w:rPr>
          <w:rStyle w:val="libFootnoteBoldChar"/>
          <w:rtl/>
        </w:rPr>
        <w:t>الوسائل</w:t>
      </w:r>
      <w:r w:rsidR="00744A1C">
        <w:rPr>
          <w:rtl/>
          <w:lang w:bidi="fa-IR"/>
        </w:rPr>
        <w:t xml:space="preserve"> ، ج 14 ، ص 371 و 372 ، ح 19412 و 19413 عن عليّ بن فضّال ، وجاء فيه قوله : « بعد العصر » متّصلاً بكلام السائل بدون توسيط « قال » هكذا : « فقال محمّد بن عليّ بن فضّال : وإن مررتُ به في غير وقتٍ بعدَ العصر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يعني م</w:t>
      </w:r>
      <w:r w:rsidR="004D054E">
        <w:rPr>
          <w:rtl/>
          <w:lang w:bidi="fa-IR"/>
        </w:rPr>
        <w:t>ا رخّص في النافلة بعد العصر إل</w:t>
      </w:r>
      <w:r w:rsidR="004D054E">
        <w:rPr>
          <w:rFonts w:hint="cs"/>
          <w:rtl/>
          <w:lang w:bidi="fa-IR"/>
        </w:rPr>
        <w:t>ّ</w:t>
      </w:r>
      <w:r w:rsidR="004D054E">
        <w:rPr>
          <w:rtl/>
          <w:lang w:bidi="fa-IR"/>
        </w:rPr>
        <w:t>ا</w:t>
      </w:r>
      <w:r w:rsidR="004D054E">
        <w:rPr>
          <w:rFonts w:hint="cs"/>
          <w:rtl/>
          <w:lang w:bidi="fa-IR"/>
        </w:rPr>
        <w:t xml:space="preserve"> </w:t>
      </w:r>
      <w:r w:rsidR="00744A1C">
        <w:rPr>
          <w:rtl/>
          <w:lang w:bidi="fa-IR"/>
        </w:rPr>
        <w:t>في ركعتي طواف النافلة ، وقد مرّ الكلام فيه في كتاب</w:t>
      </w:r>
      <w:r w:rsidR="004D054E">
        <w:rPr>
          <w:rFonts w:hint="cs"/>
          <w:rtl/>
          <w:lang w:bidi="fa-IR"/>
        </w:rPr>
        <w:t xml:space="preserve"> </w:t>
      </w:r>
      <w:r w:rsidR="00744A1C">
        <w:rPr>
          <w:rtl/>
          <w:lang w:bidi="fa-IR"/>
        </w:rPr>
        <w:t xml:space="preserve">‌الصلاة ، وأنّها موضع تقيّة ». ونحوه في </w:t>
      </w:r>
      <w:r w:rsidR="00744A1C" w:rsidRPr="00877682">
        <w:rPr>
          <w:rStyle w:val="libFootnoteBoldChar"/>
          <w:rtl/>
        </w:rPr>
        <w:t>مرآة العقول</w:t>
      </w:r>
      <w:r w:rsidR="00744A1C">
        <w:rPr>
          <w:rtl/>
          <w:lang w:bidi="fa-IR"/>
        </w:rPr>
        <w:t xml:space="preserve"> ، ج 18 ، ص 282.</w:t>
      </w:r>
    </w:p>
    <w:p w:rsidR="00744A1C" w:rsidRDefault="00E378DD" w:rsidP="00E378DD">
      <w:pPr>
        <w:pStyle w:val="libFootnote0"/>
        <w:rPr>
          <w:lang w:bidi="fa-IR"/>
        </w:rPr>
      </w:pPr>
      <w:r>
        <w:rPr>
          <w:rtl/>
          <w:lang w:bidi="fa-IR"/>
        </w:rPr>
        <w:t>(4).</w:t>
      </w:r>
      <w:r w:rsidR="00744A1C">
        <w:rPr>
          <w:rtl/>
          <w:lang w:bidi="fa-IR"/>
        </w:rPr>
        <w:t xml:space="preserve"> في حاشية « جن » : « الحسين ».</w:t>
      </w:r>
    </w:p>
    <w:p w:rsidR="00744A1C" w:rsidRDefault="00E378DD" w:rsidP="004D054E">
      <w:pPr>
        <w:pStyle w:val="libFootnote0"/>
        <w:rPr>
          <w:lang w:bidi="fa-IR"/>
        </w:rPr>
      </w:pPr>
      <w:r>
        <w:rPr>
          <w:rtl/>
          <w:lang w:bidi="fa-IR"/>
        </w:rPr>
        <w:t>(5).</w:t>
      </w:r>
      <w:r w:rsidR="00744A1C">
        <w:rPr>
          <w:rtl/>
          <w:lang w:bidi="fa-IR"/>
        </w:rPr>
        <w:t xml:space="preserve"> في حاشية « بح » : « العصر ». وفي </w:t>
      </w:r>
      <w:r w:rsidR="00744A1C" w:rsidRPr="00C24F9C">
        <w:rPr>
          <w:rStyle w:val="libFootnoteBoldChar"/>
          <w:rtl/>
        </w:rPr>
        <w:t>الوافي</w:t>
      </w:r>
      <w:r w:rsidR="00744A1C">
        <w:rPr>
          <w:rtl/>
          <w:lang w:bidi="fa-IR"/>
        </w:rPr>
        <w:t xml:space="preserve"> : « يعني الوقت الذي تجوز فيه الصلاة من غير كراهة كوقت الصلاة المكتوبة ».</w:t>
      </w:r>
      <w:r w:rsidR="004D054E">
        <w:rPr>
          <w:rFonts w:hint="cs"/>
          <w:rtl/>
          <w:lang w:bidi="fa-IR"/>
        </w:rPr>
        <w:t xml:space="preserve">          </w:t>
      </w:r>
      <w:r w:rsidR="00EE7E5B">
        <w:rPr>
          <w:rFonts w:hint="cs"/>
          <w:rtl/>
          <w:lang w:bidi="fa-IR"/>
        </w:rPr>
        <w:t xml:space="preserve">             </w:t>
      </w:r>
      <w:r w:rsidR="004D054E">
        <w:rPr>
          <w:rFonts w:hint="cs"/>
          <w:rtl/>
          <w:lang w:bidi="fa-IR"/>
        </w:rPr>
        <w:t xml:space="preserve">                  </w:t>
      </w:r>
      <w:r>
        <w:rPr>
          <w:rtl/>
          <w:lang w:bidi="fa-IR"/>
        </w:rPr>
        <w:t>(6).</w:t>
      </w:r>
      <w:r w:rsidR="00744A1C">
        <w:rPr>
          <w:rtl/>
          <w:lang w:bidi="fa-IR"/>
        </w:rPr>
        <w:t xml:space="preserve"> في « بث ، جن » : « فقال ».</w:t>
      </w:r>
    </w:p>
    <w:tbl>
      <w:tblPr>
        <w:tblStyle w:val="TableGrid"/>
        <w:bidiVisual/>
        <w:tblW w:w="0" w:type="auto"/>
        <w:tblLook w:val="04A0" w:firstRow="1" w:lastRow="0" w:firstColumn="1" w:lastColumn="0" w:noHBand="0" w:noVBand="1"/>
      </w:tblPr>
      <w:tblGrid>
        <w:gridCol w:w="4006"/>
        <w:gridCol w:w="4006"/>
      </w:tblGrid>
      <w:tr w:rsidR="004D054E" w:rsidTr="004D054E">
        <w:tc>
          <w:tcPr>
            <w:tcW w:w="4006" w:type="dxa"/>
          </w:tcPr>
          <w:p w:rsidR="004D054E" w:rsidRDefault="004D054E" w:rsidP="00E378DD">
            <w:pPr>
              <w:pStyle w:val="libFootnote0"/>
              <w:rPr>
                <w:rtl/>
                <w:lang w:bidi="fa-IR"/>
              </w:rPr>
            </w:pPr>
            <w:r>
              <w:rPr>
                <w:rtl/>
                <w:lang w:bidi="fa-IR"/>
              </w:rPr>
              <w:t>(7). في « جد » : « أو بنهار ».</w:t>
            </w:r>
          </w:p>
        </w:tc>
        <w:tc>
          <w:tcPr>
            <w:tcW w:w="4006" w:type="dxa"/>
          </w:tcPr>
          <w:p w:rsidR="004D054E" w:rsidRDefault="004D054E" w:rsidP="00E378DD">
            <w:pPr>
              <w:pStyle w:val="libFootnote0"/>
              <w:rPr>
                <w:rtl/>
                <w:lang w:bidi="fa-IR"/>
              </w:rPr>
            </w:pPr>
            <w:r>
              <w:rPr>
                <w:rtl/>
                <w:lang w:bidi="fa-IR"/>
              </w:rPr>
              <w:t>(8). في « جن » : « فليعرّس ».</w:t>
            </w:r>
          </w:p>
        </w:tc>
      </w:tr>
    </w:tbl>
    <w:p w:rsidR="00744A1C" w:rsidRDefault="00E378DD" w:rsidP="00E378DD">
      <w:pPr>
        <w:pStyle w:val="libFootnote0"/>
        <w:rPr>
          <w:lang w:bidi="fa-IR"/>
        </w:rPr>
      </w:pPr>
      <w:r>
        <w:rPr>
          <w:rtl/>
          <w:lang w:bidi="fa-IR"/>
        </w:rPr>
        <w:t>(9).</w:t>
      </w:r>
      <w:r w:rsidR="00744A1C">
        <w:rPr>
          <w:rtl/>
          <w:lang w:bidi="fa-IR"/>
        </w:rPr>
        <w:t xml:space="preserve"> في « جن » : « إنّما ».</w:t>
      </w:r>
    </w:p>
    <w:p w:rsidR="00744A1C" w:rsidRDefault="00E378DD" w:rsidP="00E378DD">
      <w:pPr>
        <w:pStyle w:val="libFootnote0"/>
        <w:rPr>
          <w:lang w:bidi="fa-IR"/>
        </w:rPr>
      </w:pPr>
      <w:r>
        <w:rPr>
          <w:rtl/>
          <w:lang w:bidi="fa-IR"/>
        </w:rPr>
        <w:t>(10).</w:t>
      </w:r>
      <w:r w:rsidR="00744A1C">
        <w:rPr>
          <w:rtl/>
          <w:lang w:bidi="fa-IR"/>
        </w:rPr>
        <w:t xml:space="preserve"> في « ى ، جن » : - « به ».</w:t>
      </w:r>
    </w:p>
    <w:p w:rsidR="00744A1C" w:rsidRDefault="00E378DD" w:rsidP="00E378DD">
      <w:pPr>
        <w:pStyle w:val="libFootnote0"/>
        <w:rPr>
          <w:lang w:bidi="fa-IR"/>
        </w:rPr>
      </w:pPr>
      <w:r>
        <w:rPr>
          <w:rtl/>
          <w:lang w:bidi="fa-IR"/>
        </w:rPr>
        <w:t>(11).</w:t>
      </w:r>
      <w:r w:rsidR="00744A1C">
        <w:rPr>
          <w:rtl/>
          <w:lang w:bidi="fa-IR"/>
        </w:rPr>
        <w:t xml:space="preserve"> </w:t>
      </w:r>
      <w:r w:rsidR="00744A1C" w:rsidRPr="00877682">
        <w:rPr>
          <w:rStyle w:val="libFootnoteBoldChar"/>
          <w:rtl/>
        </w:rPr>
        <w:t>قرب الإسناد</w:t>
      </w:r>
      <w:r w:rsidR="00744A1C">
        <w:rPr>
          <w:rtl/>
          <w:lang w:bidi="fa-IR"/>
        </w:rPr>
        <w:t xml:space="preserve"> ، ص 391 ، ح 1369 ، بسنده عن الحسن بن عليّ بن فضّال ، عن الرضا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التهذيب</w:t>
      </w:r>
      <w:r w:rsidR="00744A1C">
        <w:rPr>
          <w:rtl/>
          <w:lang w:bidi="fa-IR"/>
        </w:rPr>
        <w:t xml:space="preserve"> ، ج 6 ، ص 16 ، ح 37 ، بسنده عن عليّ بن أسباط ، مع زيادة في آخره ، وفيهما مع اختلاف يسير </w:t>
      </w:r>
      <w:r w:rsidR="004D054E">
        <w:rPr>
          <w:rFonts w:hint="cs"/>
          <w:rtl/>
          <w:lang w:bidi="fa-IR"/>
        </w:rPr>
        <w:t>.</w:t>
      </w:r>
      <w:r w:rsidR="00744A1C" w:rsidRPr="00C24F9C">
        <w:rPr>
          <w:rStyle w:val="libFootnoteBoldChar"/>
          <w:rtl/>
        </w:rPr>
        <w:t>الوافي</w:t>
      </w:r>
      <w:r w:rsidR="00744A1C">
        <w:rPr>
          <w:rtl/>
          <w:lang w:bidi="fa-IR"/>
        </w:rPr>
        <w:t xml:space="preserve"> ، ج 14 ، ص 1342 ، ح 14372 ؛ </w:t>
      </w:r>
      <w:r w:rsidR="00744A1C" w:rsidRPr="00C24F9C">
        <w:rPr>
          <w:rStyle w:val="libFootnoteBoldChar"/>
          <w:rtl/>
        </w:rPr>
        <w:t>الوسائل</w:t>
      </w:r>
      <w:r w:rsidR="00744A1C">
        <w:rPr>
          <w:rtl/>
          <w:lang w:bidi="fa-IR"/>
        </w:rPr>
        <w:t xml:space="preserve"> ، ج 14 ، ص 373 ، ح 19416 ، إلى قوله : « فأمرته بالعود إلى المعرّس فيه ».</w:t>
      </w:r>
    </w:p>
    <w:p w:rsidR="00150943" w:rsidRDefault="00150943" w:rsidP="00D10E3C">
      <w:pPr>
        <w:pStyle w:val="libNormal"/>
        <w:rPr>
          <w:rtl/>
          <w:lang w:bidi="fa-IR"/>
        </w:rPr>
      </w:pPr>
      <w:r>
        <w:rPr>
          <w:rtl/>
          <w:lang w:bidi="fa-IR"/>
        </w:rPr>
        <w:br w:type="page"/>
      </w:r>
    </w:p>
    <w:p w:rsidR="00744A1C" w:rsidRDefault="00744A1C" w:rsidP="004D054E">
      <w:pPr>
        <w:pStyle w:val="Heading2Center"/>
        <w:rPr>
          <w:lang w:bidi="fa-IR"/>
        </w:rPr>
      </w:pPr>
      <w:bookmarkStart w:id="72" w:name="_Toc49261370"/>
      <w:r>
        <w:rPr>
          <w:rtl/>
          <w:lang w:bidi="fa-IR"/>
        </w:rPr>
        <w:lastRenderedPageBreak/>
        <w:t>225 - بَابُ مَسْجِدِ غَدِيرِ خُمٍّ‌</w:t>
      </w:r>
      <w:bookmarkEnd w:id="72"/>
    </w:p>
    <w:p w:rsidR="00144FA6" w:rsidRDefault="00744A1C" w:rsidP="00744A1C">
      <w:pPr>
        <w:pStyle w:val="libNormal"/>
        <w:rPr>
          <w:rtl/>
          <w:lang w:bidi="fa-IR"/>
        </w:rPr>
      </w:pPr>
      <w:r>
        <w:rPr>
          <w:rtl/>
          <w:lang w:bidi="fa-IR"/>
        </w:rPr>
        <w:t>8147 / 1. أَبُو عَلِيٍّ الْأَشْعَرِيُّ ، عَنْ مُحَمَّدِ بْنِ عَبْدِ الْجَبَّارِ ، عَنْ صَفْوَانَ بْنِ يَحْيى ، عَنْ عَبْدِ الرَّحْمنِ بْنِ الْحَجَّاجِ ، قَالَ :</w:t>
      </w:r>
    </w:p>
    <w:p w:rsidR="00744A1C" w:rsidRDefault="00744A1C" w:rsidP="00744A1C">
      <w:pPr>
        <w:pStyle w:val="libNormal"/>
        <w:rPr>
          <w:lang w:bidi="fa-IR"/>
        </w:rPr>
      </w:pPr>
      <w:r>
        <w:rPr>
          <w:rtl/>
          <w:lang w:bidi="fa-IR"/>
        </w:rPr>
        <w:t xml:space="preserve">سَأَلْتُ أَبَا إِبْرَاهِيمَ </w:t>
      </w:r>
      <w:r w:rsidR="0061079A" w:rsidRPr="0061079A">
        <w:rPr>
          <w:rStyle w:val="libAlaemChar"/>
          <w:rtl/>
        </w:rPr>
        <w:t>عليه‌السلام</w:t>
      </w:r>
      <w:r w:rsidR="00D10E3C">
        <w:rPr>
          <w:rtl/>
          <w:lang w:bidi="fa-IR"/>
        </w:rPr>
        <w:t xml:space="preserve"> </w:t>
      </w:r>
      <w:r>
        <w:rPr>
          <w:rtl/>
          <w:lang w:bidi="fa-IR"/>
        </w:rPr>
        <w:t xml:space="preserve">عَنِ الصَّلَاةِ فِي مَسْجِدِ غَدِيرِ خُمٍّ بِالنَّهَارِ </w:t>
      </w:r>
      <w:r w:rsidRPr="00D10E3C">
        <w:rPr>
          <w:rStyle w:val="libFootnotenumChar"/>
          <w:rtl/>
        </w:rPr>
        <w:t>(1)</w:t>
      </w:r>
      <w:r>
        <w:rPr>
          <w:rtl/>
          <w:lang w:bidi="fa-IR"/>
        </w:rPr>
        <w:t xml:space="preserve"> وَأَنَا مُسَافِرٌ؟</w:t>
      </w:r>
    </w:p>
    <w:p w:rsidR="00144FA6" w:rsidRDefault="00744A1C" w:rsidP="00744A1C">
      <w:pPr>
        <w:pStyle w:val="libNormal"/>
        <w:rPr>
          <w:rtl/>
          <w:lang w:bidi="fa-IR"/>
        </w:rPr>
      </w:pPr>
      <w:r>
        <w:rPr>
          <w:rtl/>
          <w:lang w:bidi="fa-IR"/>
        </w:rPr>
        <w:t xml:space="preserve">فَقَالَ : « صَلِّ فِيهِ ؛ فَإِنَّ فِيهِ فَضْلاً </w:t>
      </w:r>
      <w:r w:rsidRPr="00D10E3C">
        <w:rPr>
          <w:rStyle w:val="libFootnotenumChar"/>
          <w:rtl/>
        </w:rPr>
        <w:t>(2)</w:t>
      </w:r>
      <w:r>
        <w:rPr>
          <w:rtl/>
          <w:lang w:bidi="fa-IR"/>
        </w:rPr>
        <w:t xml:space="preserve"> ، وَقَدْ كَانَ أَبِي يَأْمُرُ بِذلِكَ ». </w:t>
      </w:r>
      <w:r w:rsidRPr="00D10E3C">
        <w:rPr>
          <w:rStyle w:val="libFootnotenumChar"/>
          <w:rtl/>
        </w:rPr>
        <w:t>(3)</w:t>
      </w:r>
    </w:p>
    <w:p w:rsidR="00144FA6" w:rsidRDefault="00744A1C" w:rsidP="00744A1C">
      <w:pPr>
        <w:pStyle w:val="libNormal"/>
        <w:rPr>
          <w:rtl/>
          <w:lang w:bidi="fa-IR"/>
        </w:rPr>
      </w:pPr>
      <w:r>
        <w:rPr>
          <w:rtl/>
          <w:lang w:bidi="fa-IR"/>
        </w:rPr>
        <w:t xml:space="preserve">8148 / 2. مُحَمَّدُ بْنُ يَحْيى ، عَنْ مُحَمَّدِ بْنِ الْحُسَيْنِ </w:t>
      </w:r>
      <w:r w:rsidRPr="00D10E3C">
        <w:rPr>
          <w:rStyle w:val="libFootnotenumChar"/>
          <w:rtl/>
        </w:rPr>
        <w:t>(4)</w:t>
      </w:r>
      <w:r>
        <w:rPr>
          <w:rtl/>
          <w:lang w:bidi="fa-IR"/>
        </w:rPr>
        <w:t xml:space="preserve"> ، عَنِ الْحَجَّالِ ، عَنْ عَبْدِ الصَّمَدِ بْنِ بَشِيرٍ ، عَنْ حَسَّانَ الْجَمَّالِ ، قَالَ :</w:t>
      </w:r>
    </w:p>
    <w:p w:rsidR="00744A1C" w:rsidRDefault="00744A1C" w:rsidP="00744A1C">
      <w:pPr>
        <w:pStyle w:val="libNormal"/>
        <w:rPr>
          <w:lang w:bidi="fa-IR"/>
        </w:rPr>
      </w:pPr>
      <w:r>
        <w:rPr>
          <w:rtl/>
          <w:lang w:bidi="fa-IR"/>
        </w:rPr>
        <w:t xml:space="preserve">حَمَلْتُ أَبَا عَبْدِ اللهِ </w:t>
      </w:r>
      <w:r w:rsidR="0061079A" w:rsidRPr="0061079A">
        <w:rPr>
          <w:rStyle w:val="libAlaemChar"/>
          <w:rtl/>
        </w:rPr>
        <w:t>عليه‌السلام</w:t>
      </w:r>
      <w:r w:rsidR="00D10E3C">
        <w:rPr>
          <w:rtl/>
          <w:lang w:bidi="fa-IR"/>
        </w:rPr>
        <w:t xml:space="preserve"> </w:t>
      </w:r>
      <w:r>
        <w:rPr>
          <w:rtl/>
          <w:lang w:bidi="fa-IR"/>
        </w:rPr>
        <w:t xml:space="preserve">مِنَ الْمَدِينَةِ إِلى مَكَّةَ ، فَلَمَّا انْتَهَيْنَا إِلى مَسْجِدِ الْغَدِيرِ ، نَظَرَ إِلى مَيْسَرَةِ الْمَسْجِدِ ، فَقَالَ : « ذلِكَ </w:t>
      </w:r>
      <w:r w:rsidRPr="00D10E3C">
        <w:rPr>
          <w:rStyle w:val="libFootnotenumChar"/>
          <w:rtl/>
        </w:rPr>
        <w:t>(5)</w:t>
      </w:r>
      <w:r>
        <w:rPr>
          <w:rtl/>
          <w:lang w:bidi="fa-IR"/>
        </w:rPr>
        <w:t xml:space="preserve"> مَوْضِعُ قَدَمِ رَسُولِ اللهِ </w:t>
      </w:r>
      <w:r w:rsidR="0061079A" w:rsidRPr="0061079A">
        <w:rPr>
          <w:rStyle w:val="libAlaemChar"/>
          <w:rtl/>
        </w:rPr>
        <w:t>صلى‌الله‌عليه‌وآله</w:t>
      </w:r>
      <w:r w:rsidR="00D10E3C">
        <w:rPr>
          <w:rtl/>
          <w:lang w:bidi="fa-IR"/>
        </w:rPr>
        <w:t xml:space="preserve"> </w:t>
      </w:r>
      <w:r>
        <w:rPr>
          <w:rtl/>
          <w:lang w:bidi="fa-IR"/>
        </w:rPr>
        <w:t>حَيْثُ قَالَ : مَنْ كُنْتُ‌</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4D054E" w:rsidTr="004D054E">
        <w:tc>
          <w:tcPr>
            <w:tcW w:w="4006" w:type="dxa"/>
          </w:tcPr>
          <w:p w:rsidR="004D054E" w:rsidRDefault="004D054E" w:rsidP="00D10E3C">
            <w:pPr>
              <w:pStyle w:val="libFootnote0"/>
              <w:rPr>
                <w:rtl/>
                <w:lang w:bidi="fa-IR"/>
              </w:rPr>
            </w:pPr>
            <w:r>
              <w:rPr>
                <w:rtl/>
                <w:lang w:bidi="fa-IR"/>
              </w:rPr>
              <w:t>(1). في « بخ » : - « بالنهار ».</w:t>
            </w:r>
          </w:p>
        </w:tc>
        <w:tc>
          <w:tcPr>
            <w:tcW w:w="4006" w:type="dxa"/>
          </w:tcPr>
          <w:p w:rsidR="004D054E" w:rsidRDefault="004D054E" w:rsidP="00D10E3C">
            <w:pPr>
              <w:pStyle w:val="libFootnote0"/>
              <w:rPr>
                <w:rtl/>
                <w:lang w:bidi="fa-IR"/>
              </w:rPr>
            </w:pPr>
            <w:r>
              <w:rPr>
                <w:rtl/>
                <w:lang w:bidi="fa-IR"/>
              </w:rPr>
              <w:t xml:space="preserve">(2). في </w:t>
            </w:r>
            <w:r w:rsidRPr="004D054E">
              <w:rPr>
                <w:rtl/>
              </w:rPr>
              <w:t>الوافي</w:t>
            </w:r>
            <w:r>
              <w:rPr>
                <w:rtl/>
                <w:lang w:bidi="fa-IR"/>
              </w:rPr>
              <w:t xml:space="preserve"> : + « كثيراً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18 ، ح 41 ، معلّقاً عن أبي عليّ الأشعري. </w:t>
      </w:r>
      <w:r w:rsidR="00744A1C" w:rsidRPr="00C24F9C">
        <w:rPr>
          <w:rStyle w:val="libFootnoteBoldChar"/>
          <w:rtl/>
        </w:rPr>
        <w:t>الفقيه</w:t>
      </w:r>
      <w:r w:rsidR="00744A1C">
        <w:rPr>
          <w:rtl/>
          <w:lang w:bidi="fa-IR"/>
        </w:rPr>
        <w:t xml:space="preserve"> ، ج 2 ، ص 559 ، ح 3143 ، معلّقاً عن صفوان ، عن عبدالرحمن بن الحجّاج </w:t>
      </w:r>
      <w:r w:rsidR="004D054E">
        <w:rPr>
          <w:rFonts w:hint="cs"/>
          <w:rtl/>
          <w:lang w:bidi="fa-IR"/>
        </w:rPr>
        <w:t>.</w:t>
      </w:r>
      <w:r w:rsidR="00744A1C" w:rsidRPr="00C24F9C">
        <w:rPr>
          <w:rStyle w:val="libFootnoteBoldChar"/>
          <w:rtl/>
        </w:rPr>
        <w:t>الوافي</w:t>
      </w:r>
      <w:r w:rsidR="00744A1C">
        <w:rPr>
          <w:rtl/>
          <w:lang w:bidi="fa-IR"/>
        </w:rPr>
        <w:t xml:space="preserve"> ، ج 14 ، ص 1345 ، ح 14377 ؛ </w:t>
      </w:r>
      <w:r w:rsidR="00744A1C" w:rsidRPr="00C24F9C">
        <w:rPr>
          <w:rStyle w:val="libFootnoteBoldChar"/>
          <w:rtl/>
        </w:rPr>
        <w:t>الوسائل</w:t>
      </w:r>
      <w:r w:rsidR="00744A1C">
        <w:rPr>
          <w:rtl/>
          <w:lang w:bidi="fa-IR"/>
        </w:rPr>
        <w:t xml:space="preserve"> ، ج 14 ، ص 287 ، ح 6567 ؛ وص 374 ، ح 19418.</w:t>
      </w:r>
    </w:p>
    <w:p w:rsidR="00744A1C" w:rsidRDefault="00E378DD" w:rsidP="00E378DD">
      <w:pPr>
        <w:pStyle w:val="libFootnote0"/>
        <w:rPr>
          <w:lang w:bidi="fa-IR"/>
        </w:rPr>
      </w:pPr>
      <w:r>
        <w:rPr>
          <w:rtl/>
          <w:lang w:bidi="fa-IR"/>
        </w:rPr>
        <w:t>(4).</w:t>
      </w:r>
      <w:r w:rsidR="00744A1C">
        <w:rPr>
          <w:rtl/>
          <w:lang w:bidi="fa-IR"/>
        </w:rPr>
        <w:t xml:space="preserve"> في « ى ، بث ، بح ، بخ ، بف ، جن » وحاشية « جد » </w:t>
      </w:r>
      <w:r w:rsidR="00744A1C" w:rsidRPr="004D054E">
        <w:rPr>
          <w:rStyle w:val="libFootnoteBoldChar"/>
          <w:rtl/>
        </w:rPr>
        <w:t>وا</w:t>
      </w:r>
      <w:r w:rsidR="00744A1C" w:rsidRPr="0061079A">
        <w:rPr>
          <w:rStyle w:val="libFootnoteBoldChar"/>
          <w:rtl/>
        </w:rPr>
        <w:t>لبحار</w:t>
      </w:r>
      <w:r w:rsidR="00744A1C">
        <w:rPr>
          <w:rtl/>
          <w:lang w:bidi="fa-IR"/>
        </w:rPr>
        <w:t xml:space="preserve"> : « الحسن ». وهو سهو ؛ فإنّ الحجّال هذا هو عبد الله</w:t>
      </w:r>
      <w:r w:rsidR="004D054E">
        <w:rPr>
          <w:rFonts w:hint="cs"/>
          <w:rtl/>
          <w:lang w:bidi="fa-IR"/>
        </w:rPr>
        <w:t xml:space="preserve"> </w:t>
      </w:r>
      <w:r w:rsidR="00744A1C">
        <w:rPr>
          <w:rtl/>
          <w:lang w:bidi="fa-IR"/>
        </w:rPr>
        <w:t xml:space="preserve">‌بن محمّد الحجّال بقرينة روايته عن عبد الصمد بن بشير ؛ فقد عدّ الشيخ والبرقي عبد الصمد بن بشير من أصحاب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وعبد الله الحجّال مذكور في أصحاب أبي الحسن الرضا </w:t>
      </w:r>
      <w:r w:rsidR="0061079A" w:rsidRPr="0061079A">
        <w:rPr>
          <w:rStyle w:val="libFootnoteAlaemChar"/>
          <w:rtl/>
        </w:rPr>
        <w:t>عليه‌السلام</w:t>
      </w:r>
      <w:r w:rsidR="00D10E3C">
        <w:rPr>
          <w:rtl/>
          <w:lang w:bidi="fa-IR"/>
        </w:rPr>
        <w:t xml:space="preserve"> </w:t>
      </w:r>
      <w:r w:rsidR="00744A1C">
        <w:rPr>
          <w:rtl/>
          <w:lang w:bidi="fa-IR"/>
        </w:rPr>
        <w:t xml:space="preserve">، فلا بُعْد في روايته عن عبد الصمد. وقد روى محمّد بن الحسين [ بن أبي الخطّاب ] عن عبد الله بن محمّد الحجّال بعناوينه المختلفة في عددٍ من الأسناد ، راجع : </w:t>
      </w:r>
      <w:r w:rsidR="00744A1C" w:rsidRPr="003A7143">
        <w:rPr>
          <w:rStyle w:val="libFootnoteBoldChar"/>
          <w:rtl/>
        </w:rPr>
        <w:t>رجال النجاشي</w:t>
      </w:r>
      <w:r w:rsidR="00744A1C">
        <w:rPr>
          <w:rtl/>
          <w:lang w:bidi="fa-IR"/>
        </w:rPr>
        <w:t xml:space="preserve"> ، ص 248 ، الرقم 654 ؛ </w:t>
      </w:r>
      <w:r w:rsidR="00744A1C" w:rsidRPr="004D054E">
        <w:rPr>
          <w:rStyle w:val="libFootnoteBoldChar"/>
          <w:rtl/>
        </w:rPr>
        <w:t>رجال البرقي</w:t>
      </w:r>
      <w:r w:rsidR="00744A1C">
        <w:rPr>
          <w:rtl/>
          <w:lang w:bidi="fa-IR"/>
        </w:rPr>
        <w:t xml:space="preserve"> ، ص 24 ، وص 55 ؛ </w:t>
      </w:r>
      <w:r w:rsidR="00744A1C" w:rsidRPr="0061079A">
        <w:rPr>
          <w:rStyle w:val="libFootnoteBoldChar"/>
          <w:rtl/>
        </w:rPr>
        <w:t>رجال الطوسي</w:t>
      </w:r>
      <w:r w:rsidR="00744A1C">
        <w:rPr>
          <w:rtl/>
          <w:lang w:bidi="fa-IR"/>
        </w:rPr>
        <w:t xml:space="preserve"> ، ص 241 ، الرقم 3319 ؛ وص 360 ، الرقم 5332 ؛ </w:t>
      </w:r>
      <w:r w:rsidR="00744A1C" w:rsidRPr="0061079A">
        <w:rPr>
          <w:rStyle w:val="libFootnoteBoldChar"/>
          <w:rtl/>
        </w:rPr>
        <w:t>معجم رجال الحديث</w:t>
      </w:r>
      <w:r w:rsidR="00744A1C">
        <w:rPr>
          <w:rtl/>
          <w:lang w:bidi="fa-IR"/>
        </w:rPr>
        <w:t xml:space="preserve"> ، ج 15 ، ص 413 ، ص 429 ، وص 434.</w:t>
      </w:r>
    </w:p>
    <w:p w:rsidR="00744A1C" w:rsidRDefault="00744A1C" w:rsidP="00D10E3C">
      <w:pPr>
        <w:pStyle w:val="libFootnote0"/>
        <w:rPr>
          <w:lang w:bidi="fa-IR"/>
        </w:rPr>
      </w:pPr>
      <w:r>
        <w:rPr>
          <w:rtl/>
          <w:lang w:bidi="fa-IR"/>
        </w:rPr>
        <w:t xml:space="preserve">وأمّا ما أورده محمّد بن الحسن الصفّار - وهو المراد من محمّد بن الحسن في مشايخ محمّد بن يحيى - في </w:t>
      </w:r>
      <w:r w:rsidRPr="00211914">
        <w:rPr>
          <w:rStyle w:val="libFootnoteBoldChar"/>
          <w:rtl/>
        </w:rPr>
        <w:t>بصائر الدرجات</w:t>
      </w:r>
      <w:r>
        <w:rPr>
          <w:rtl/>
          <w:lang w:bidi="fa-IR"/>
        </w:rPr>
        <w:t xml:space="preserve"> ، ص 277 ، ح 10 من روايته عن الحجّال عن الحسن بن الحسين اللؤلؤي عن ابن سنان ، فالمراد من الحجّال هناك هو عليّ بن محمّد الحجّال ؛ فقد روى عليّ بن محمّد الحجّال عن الحسن بن الحسين اللؤلؤي في </w:t>
      </w:r>
      <w:r w:rsidRPr="00211914">
        <w:rPr>
          <w:rStyle w:val="libFootnoteBoldChar"/>
          <w:rtl/>
        </w:rPr>
        <w:t>الاختصاص</w:t>
      </w:r>
      <w:r>
        <w:rPr>
          <w:rtl/>
          <w:lang w:bidi="fa-IR"/>
        </w:rPr>
        <w:t xml:space="preserve"> ، ص 276 وص 285 وص 295 وص 301 وص 316 وص 317.</w:t>
      </w:r>
    </w:p>
    <w:p w:rsidR="00744A1C" w:rsidRDefault="00E378DD" w:rsidP="00E378DD">
      <w:pPr>
        <w:pStyle w:val="libFootnote0"/>
        <w:rPr>
          <w:lang w:bidi="fa-IR"/>
        </w:rPr>
      </w:pPr>
      <w:r>
        <w:rPr>
          <w:rtl/>
          <w:lang w:bidi="fa-IR"/>
        </w:rPr>
        <w:t>(5).</w:t>
      </w:r>
      <w:r w:rsidR="00744A1C">
        <w:rPr>
          <w:rtl/>
          <w:lang w:bidi="fa-IR"/>
        </w:rPr>
        <w:t xml:space="preserve"> في « ى ، بح ، بخ ، بس ، بف ، جد » </w:t>
      </w:r>
      <w:r w:rsidR="00744A1C" w:rsidRPr="00211914">
        <w:rPr>
          <w:rStyle w:val="libFootnoteBoldChar"/>
          <w:rtl/>
        </w:rPr>
        <w:t>وا</w:t>
      </w:r>
      <w:r w:rsidR="00744A1C" w:rsidRPr="00C24F9C">
        <w:rPr>
          <w:rStyle w:val="libFootnoteBoldChar"/>
          <w:rtl/>
        </w:rPr>
        <w:t>لفقيه</w:t>
      </w:r>
      <w:r w:rsidR="00744A1C">
        <w:rPr>
          <w:rtl/>
          <w:lang w:bidi="fa-IR"/>
        </w:rPr>
        <w:t xml:space="preserve"> ، ح 3144 </w:t>
      </w:r>
      <w:r w:rsidR="00744A1C" w:rsidRPr="0061079A">
        <w:rPr>
          <w:rStyle w:val="libFootnoteBoldChar"/>
          <w:rtl/>
        </w:rPr>
        <w:t>والتهذيب</w:t>
      </w:r>
      <w:r w:rsidR="00744A1C">
        <w:rPr>
          <w:rtl/>
          <w:lang w:bidi="fa-IR"/>
        </w:rPr>
        <w:t xml:space="preserve"> : « ذاك ».</w:t>
      </w:r>
    </w:p>
    <w:p w:rsidR="00150943" w:rsidRDefault="00150943" w:rsidP="00D10E3C">
      <w:pPr>
        <w:pStyle w:val="libNormal"/>
        <w:rPr>
          <w:rtl/>
          <w:lang w:bidi="fa-IR"/>
        </w:rPr>
      </w:pPr>
      <w:r>
        <w:rPr>
          <w:rtl/>
          <w:lang w:bidi="fa-IR"/>
        </w:rPr>
        <w:br w:type="page"/>
      </w:r>
    </w:p>
    <w:p w:rsidR="00144FA6" w:rsidRDefault="00744A1C" w:rsidP="00211914">
      <w:pPr>
        <w:pStyle w:val="libNormal0"/>
        <w:rPr>
          <w:rtl/>
          <w:lang w:bidi="fa-IR"/>
        </w:rPr>
      </w:pPr>
      <w:r>
        <w:rPr>
          <w:rtl/>
          <w:lang w:bidi="fa-IR"/>
        </w:rPr>
        <w:lastRenderedPageBreak/>
        <w:t xml:space="preserve">مَوْلَاهُ ، فَعَلِيٌّ مَوْلَاهُ </w:t>
      </w:r>
      <w:r w:rsidRPr="00D10E3C">
        <w:rPr>
          <w:rStyle w:val="libFootnotenumChar"/>
          <w:rtl/>
        </w:rPr>
        <w:t>(1)</w:t>
      </w:r>
      <w:r>
        <w:rPr>
          <w:rtl/>
          <w:lang w:bidi="fa-IR"/>
        </w:rPr>
        <w:t xml:space="preserve"> » ثُمَّ نَظَرَ إِلَى الْجَانِبِ الْآخَرِ ، فَقَالَ : « ذلِكَ </w:t>
      </w:r>
      <w:r w:rsidRPr="00D10E3C">
        <w:rPr>
          <w:rStyle w:val="libFootnotenumChar"/>
          <w:rtl/>
        </w:rPr>
        <w:t>(2)</w:t>
      </w:r>
      <w:r>
        <w:rPr>
          <w:rtl/>
          <w:lang w:bidi="fa-IR"/>
        </w:rPr>
        <w:t xml:space="preserve"> مَوْضِعُ فُسْطَاطِ أَبِي فُلَانٍ‌ وَفُلَانٍ </w:t>
      </w:r>
      <w:r w:rsidRPr="00D10E3C">
        <w:rPr>
          <w:rStyle w:val="libFootnotenumChar"/>
          <w:rtl/>
        </w:rPr>
        <w:t>(3)</w:t>
      </w:r>
      <w:r>
        <w:rPr>
          <w:rtl/>
          <w:lang w:bidi="fa-IR"/>
        </w:rPr>
        <w:t xml:space="preserve"> ، وَسَالِمٍ مَوْلى أَبِي حُذَيْفَةَ وَأَبِي عُبَيْدَةَ بْنِ </w:t>
      </w:r>
      <w:r w:rsidRPr="00D10E3C">
        <w:rPr>
          <w:rStyle w:val="libFootnotenumChar"/>
          <w:rtl/>
        </w:rPr>
        <w:t>(4)</w:t>
      </w:r>
      <w:r>
        <w:rPr>
          <w:rtl/>
          <w:lang w:bidi="fa-IR"/>
        </w:rPr>
        <w:t xml:space="preserve"> الْجَرَّاحِ ، فَلَمَّا أَنْ رَأَوْهُ رَافِعاً يَدَيْهِ </w:t>
      </w:r>
      <w:r w:rsidRPr="00D10E3C">
        <w:rPr>
          <w:rStyle w:val="libFootnotenumChar"/>
          <w:rtl/>
        </w:rPr>
        <w:t>(5)</w:t>
      </w:r>
      <w:r>
        <w:rPr>
          <w:rtl/>
          <w:lang w:bidi="fa-IR"/>
        </w:rPr>
        <w:t xml:space="preserve"> ، قَالَ بَعْضُهُمْ لِبَعْضٍ : انْظُرُوا </w:t>
      </w:r>
      <w:r w:rsidRPr="00D10E3C">
        <w:rPr>
          <w:rStyle w:val="libFootnotenumChar"/>
          <w:rtl/>
        </w:rPr>
        <w:t>(6)</w:t>
      </w:r>
      <w:r>
        <w:rPr>
          <w:rtl/>
          <w:lang w:bidi="fa-IR"/>
        </w:rPr>
        <w:t xml:space="preserve"> إِلى عَيْنَيْهِ تَدُورُ </w:t>
      </w:r>
      <w:r w:rsidRPr="00D10E3C">
        <w:rPr>
          <w:rStyle w:val="libFootnotenumChar"/>
          <w:rtl/>
        </w:rPr>
        <w:t>(7)</w:t>
      </w:r>
      <w:r>
        <w:rPr>
          <w:rtl/>
          <w:lang w:bidi="fa-IR"/>
        </w:rPr>
        <w:t xml:space="preserve"> كَأَنَّهُمَا عَيْنَا مَجْنُونٍ ، فَنَزَلَ جَبْرَئِيلُ </w:t>
      </w:r>
      <w:r w:rsidR="0061079A" w:rsidRPr="0061079A">
        <w:rPr>
          <w:rStyle w:val="libAlaemChar"/>
          <w:rtl/>
        </w:rPr>
        <w:t>عليه‌السلام</w:t>
      </w:r>
      <w:r w:rsidR="00D10E3C">
        <w:rPr>
          <w:rtl/>
          <w:lang w:bidi="fa-IR"/>
        </w:rPr>
        <w:t xml:space="preserve"> </w:t>
      </w:r>
      <w:r>
        <w:rPr>
          <w:rtl/>
          <w:lang w:bidi="fa-IR"/>
        </w:rPr>
        <w:t xml:space="preserve">بِهذِهِ الْآيَةِ : </w:t>
      </w:r>
      <w:r w:rsidRPr="00B7470D">
        <w:rPr>
          <w:rStyle w:val="libAlaemChar"/>
          <w:rtl/>
        </w:rPr>
        <w:t>(</w:t>
      </w:r>
      <w:r w:rsidRPr="00B7470D">
        <w:rPr>
          <w:rStyle w:val="libAieChar"/>
          <w:rtl/>
        </w:rPr>
        <w:t xml:space="preserve"> وَإِنْ يَكادُ الَّذِينَ كَفَرُوا لَيُزْلِقُونَكَ بِأَبْصارِهِمْ لَمّا سَمِعُوا الذِّكْرَ وَيَقُولُونَ إِن</w:t>
      </w:r>
      <w:r w:rsidR="00B7470D">
        <w:rPr>
          <w:rStyle w:val="libAieChar"/>
          <w:rtl/>
        </w:rPr>
        <w:t>َّهُ لَمَجْنُونٌ وَما هُوَ إِل</w:t>
      </w:r>
      <w:r w:rsidR="00B7470D">
        <w:rPr>
          <w:rStyle w:val="libAieChar"/>
          <w:rFonts w:hint="cs"/>
          <w:rtl/>
        </w:rPr>
        <w:t>َ</w:t>
      </w:r>
      <w:r w:rsidR="00B7470D">
        <w:rPr>
          <w:rStyle w:val="libAieChar"/>
          <w:rtl/>
        </w:rPr>
        <w:t>ا</w:t>
      </w:r>
      <w:r w:rsidRPr="00B7470D">
        <w:rPr>
          <w:rStyle w:val="libAieChar"/>
          <w:rtl/>
        </w:rPr>
        <w:t xml:space="preserve"> ذِكْرٌ لِلْعالَمِينَ </w:t>
      </w:r>
      <w:r w:rsidRPr="00B7470D">
        <w:rPr>
          <w:rStyle w:val="libAlaemChar"/>
          <w:rtl/>
        </w:rPr>
        <w:t>)</w:t>
      </w:r>
      <w:r>
        <w:rPr>
          <w:rtl/>
          <w:lang w:bidi="fa-IR"/>
        </w:rPr>
        <w:t xml:space="preserve"> </w:t>
      </w:r>
      <w:r w:rsidRPr="00D10E3C">
        <w:rPr>
          <w:rStyle w:val="libFootnotenumChar"/>
          <w:rtl/>
        </w:rPr>
        <w:t>(8)</w:t>
      </w:r>
      <w:r>
        <w:rPr>
          <w:rtl/>
          <w:lang w:bidi="fa-IR"/>
        </w:rPr>
        <w:t xml:space="preserve"> ». </w:t>
      </w:r>
      <w:r w:rsidRPr="00D10E3C">
        <w:rPr>
          <w:rStyle w:val="libFootnotenumChar"/>
          <w:rtl/>
        </w:rPr>
        <w:t>(9)</w:t>
      </w:r>
    </w:p>
    <w:p w:rsidR="00144FA6" w:rsidRDefault="00744A1C" w:rsidP="00744A1C">
      <w:pPr>
        <w:pStyle w:val="libNormal"/>
        <w:rPr>
          <w:rtl/>
          <w:lang w:bidi="fa-IR"/>
        </w:rPr>
      </w:pPr>
      <w:r>
        <w:rPr>
          <w:rtl/>
          <w:lang w:bidi="fa-IR"/>
        </w:rPr>
        <w:t>8149 / 3. عِدَّةٌ مِنْ أَصْحَابِنَا ، عَنْ سَهْلِ بْنِ زِيَادٍ ، عَنْ أَحْمَدَ بْنِ مُحَمَّدِ بْنِ أَبِي نَصْرٍ ، عَنْ أَبَانٍ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يُسْتَحَبُّ </w:t>
      </w:r>
      <w:r w:rsidRPr="00D10E3C">
        <w:rPr>
          <w:rStyle w:val="libFootnotenumChar"/>
          <w:rtl/>
        </w:rPr>
        <w:t>(10)</w:t>
      </w:r>
      <w:r>
        <w:rPr>
          <w:rtl/>
          <w:lang w:bidi="fa-IR"/>
        </w:rPr>
        <w:t xml:space="preserve"> الصَّلَاةُ فِي مَسْجِدِ الْغَدِيرِ ؛ لِأَنَّ النَّبِيَّ </w:t>
      </w:r>
      <w:r w:rsidR="00B7470D" w:rsidRPr="00B7470D">
        <w:rPr>
          <w:rStyle w:val="libAlaemChar"/>
          <w:rtl/>
        </w:rPr>
        <w:t>صلى‌الله‌عليه‌وآله</w:t>
      </w:r>
      <w:r w:rsidR="00D10E3C">
        <w:rPr>
          <w:rtl/>
          <w:lang w:bidi="fa-IR"/>
        </w:rPr>
        <w:t xml:space="preserve"> </w:t>
      </w:r>
      <w:r>
        <w:rPr>
          <w:rtl/>
          <w:lang w:bidi="fa-IR"/>
        </w:rPr>
        <w:t xml:space="preserve">أَقَامَ فِيهِ أَمِيرَ الْمُؤْمِنِينَ </w:t>
      </w:r>
      <w:r w:rsidR="0061079A" w:rsidRPr="0061079A">
        <w:rPr>
          <w:rStyle w:val="libAlaemChar"/>
          <w:rtl/>
        </w:rPr>
        <w:t>عليه‌السلام</w:t>
      </w:r>
      <w:r w:rsidR="00D10E3C">
        <w:rPr>
          <w:rtl/>
          <w:lang w:bidi="fa-IR"/>
        </w:rPr>
        <w:t xml:space="preserve"> </w:t>
      </w:r>
      <w:r>
        <w:rPr>
          <w:rtl/>
          <w:lang w:bidi="fa-IR"/>
        </w:rPr>
        <w:t xml:space="preserve">، وَهُوَ مَوْضِعٌ أَظْهَرَ اللهُ - عَزَّ وَجَلَّ - فِيهِ الْحَقَّ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B7470D">
        <w:rPr>
          <w:rtl/>
        </w:rPr>
        <w:t>التهذيب</w:t>
      </w:r>
      <w:r w:rsidR="00744A1C">
        <w:rPr>
          <w:rtl/>
          <w:lang w:bidi="fa-IR"/>
        </w:rPr>
        <w:t xml:space="preserve"> : + « الل</w:t>
      </w:r>
      <w:r w:rsidR="00B7470D">
        <w:rPr>
          <w:rFonts w:hint="cs"/>
          <w:rtl/>
          <w:lang w:bidi="fa-IR"/>
        </w:rPr>
        <w:t>ّ</w:t>
      </w:r>
      <w:r w:rsidR="00744A1C">
        <w:rPr>
          <w:rtl/>
          <w:lang w:bidi="fa-IR"/>
        </w:rPr>
        <w:t>همّ وال من والاه وعاد من عاداه ».</w:t>
      </w:r>
    </w:p>
    <w:p w:rsidR="00744A1C" w:rsidRDefault="00E378DD" w:rsidP="00E378DD">
      <w:pPr>
        <w:pStyle w:val="libFootnote0"/>
        <w:rPr>
          <w:lang w:bidi="fa-IR"/>
        </w:rPr>
      </w:pPr>
      <w:r>
        <w:rPr>
          <w:rtl/>
          <w:lang w:bidi="fa-IR"/>
        </w:rPr>
        <w:t>(2).</w:t>
      </w:r>
      <w:r w:rsidR="00744A1C">
        <w:rPr>
          <w:rtl/>
          <w:lang w:bidi="fa-IR"/>
        </w:rPr>
        <w:t xml:space="preserve"> في « ى ، بح ، بس ، جد » </w:t>
      </w:r>
      <w:r w:rsidR="00744A1C" w:rsidRPr="00B7470D">
        <w:rPr>
          <w:rtl/>
        </w:rPr>
        <w:t>والفقيه</w:t>
      </w:r>
      <w:r w:rsidR="00744A1C">
        <w:rPr>
          <w:rtl/>
          <w:lang w:bidi="fa-IR"/>
        </w:rPr>
        <w:t xml:space="preserve"> : « ذاك ».</w:t>
      </w:r>
    </w:p>
    <w:p w:rsidR="00744A1C" w:rsidRDefault="00E378DD" w:rsidP="00E378DD">
      <w:pPr>
        <w:pStyle w:val="libFootnote0"/>
        <w:rPr>
          <w:lang w:bidi="fa-IR"/>
        </w:rPr>
      </w:pPr>
      <w:r>
        <w:rPr>
          <w:rtl/>
          <w:lang w:bidi="fa-IR"/>
        </w:rPr>
        <w:t>(3).</w:t>
      </w:r>
      <w:r w:rsidR="00744A1C">
        <w:rPr>
          <w:rtl/>
          <w:lang w:bidi="fa-IR"/>
        </w:rPr>
        <w:t xml:space="preserve"> في </w:t>
      </w:r>
      <w:r w:rsidR="00744A1C" w:rsidRPr="00B7470D">
        <w:rPr>
          <w:rtl/>
        </w:rPr>
        <w:t>الفقيه</w:t>
      </w:r>
      <w:r w:rsidR="00744A1C">
        <w:rPr>
          <w:rtl/>
          <w:lang w:bidi="fa-IR"/>
        </w:rPr>
        <w:t xml:space="preserve"> : « المنافقين » بدل « أبي فلان وفلان ».</w:t>
      </w:r>
    </w:p>
    <w:p w:rsidR="00744A1C" w:rsidRDefault="00E378DD" w:rsidP="00E378DD">
      <w:pPr>
        <w:pStyle w:val="libFootnote0"/>
        <w:rPr>
          <w:lang w:bidi="fa-IR"/>
        </w:rPr>
      </w:pPr>
      <w:r>
        <w:rPr>
          <w:rtl/>
          <w:lang w:bidi="fa-IR"/>
        </w:rPr>
        <w:t>(4).</w:t>
      </w:r>
      <w:r w:rsidR="00744A1C">
        <w:rPr>
          <w:rtl/>
          <w:lang w:bidi="fa-IR"/>
        </w:rPr>
        <w:t xml:space="preserve"> هكذا في « بث ، بح ، بخ ، بس ، جد ، جن » </w:t>
      </w:r>
      <w:r w:rsidR="00744A1C" w:rsidRPr="00B7470D">
        <w:rPr>
          <w:rtl/>
        </w:rPr>
        <w:t>والوافي والبحار</w:t>
      </w:r>
      <w:r w:rsidR="00744A1C">
        <w:rPr>
          <w:rtl/>
          <w:lang w:bidi="fa-IR"/>
        </w:rPr>
        <w:t>. وفي « ى ، بف » والمطبوع : - « بن ».</w:t>
      </w:r>
    </w:p>
    <w:p w:rsidR="00744A1C" w:rsidRDefault="00744A1C" w:rsidP="00D10E3C">
      <w:pPr>
        <w:pStyle w:val="libFootnote0"/>
        <w:rPr>
          <w:lang w:bidi="fa-IR"/>
        </w:rPr>
      </w:pPr>
      <w:r>
        <w:rPr>
          <w:rtl/>
          <w:lang w:bidi="fa-IR"/>
        </w:rPr>
        <w:t xml:space="preserve">وأبو عبيدة هذا ، هو عامر بن عبد الله ، أبو عبيدة ابن الجرّاح الفهري. راجع : </w:t>
      </w:r>
      <w:r w:rsidRPr="00B7470D">
        <w:rPr>
          <w:rStyle w:val="libFootnoteBoldChar"/>
          <w:rtl/>
        </w:rPr>
        <w:t>تهذيب الكمال</w:t>
      </w:r>
      <w:r>
        <w:rPr>
          <w:rtl/>
          <w:lang w:bidi="fa-IR"/>
        </w:rPr>
        <w:t xml:space="preserve"> ، ج 14 ، ص 52 ، الرقم 3048.</w:t>
      </w:r>
    </w:p>
    <w:p w:rsidR="00744A1C" w:rsidRDefault="00E378DD" w:rsidP="00E378DD">
      <w:pPr>
        <w:pStyle w:val="libFootnote0"/>
        <w:rPr>
          <w:lang w:bidi="fa-IR"/>
        </w:rPr>
      </w:pPr>
      <w:r>
        <w:rPr>
          <w:rtl/>
          <w:lang w:bidi="fa-IR"/>
        </w:rPr>
        <w:t>(5).</w:t>
      </w:r>
      <w:r w:rsidR="00744A1C">
        <w:rPr>
          <w:rtl/>
          <w:lang w:bidi="fa-IR"/>
        </w:rPr>
        <w:t xml:space="preserve"> في « بث » </w:t>
      </w:r>
      <w:r w:rsidR="00744A1C" w:rsidRPr="00B7470D">
        <w:rPr>
          <w:rtl/>
        </w:rPr>
        <w:t>والبحار والفقيه والتهذيب</w:t>
      </w:r>
      <w:r w:rsidR="00744A1C">
        <w:rPr>
          <w:rtl/>
          <w:lang w:bidi="fa-IR"/>
        </w:rPr>
        <w:t xml:space="preserve"> : « يده ».</w:t>
      </w:r>
    </w:p>
    <w:p w:rsidR="00744A1C" w:rsidRDefault="00E378DD" w:rsidP="00E378DD">
      <w:pPr>
        <w:pStyle w:val="libFootnote0"/>
        <w:rPr>
          <w:lang w:bidi="fa-IR"/>
        </w:rPr>
      </w:pPr>
      <w:r>
        <w:rPr>
          <w:rtl/>
          <w:lang w:bidi="fa-IR"/>
        </w:rPr>
        <w:t>(6).</w:t>
      </w:r>
      <w:r w:rsidR="00744A1C">
        <w:rPr>
          <w:rtl/>
          <w:lang w:bidi="fa-IR"/>
        </w:rPr>
        <w:t xml:space="preserve"> في « بف » : « انظر ».</w:t>
      </w:r>
    </w:p>
    <w:p w:rsidR="00744A1C" w:rsidRDefault="00E378DD" w:rsidP="00E378DD">
      <w:pPr>
        <w:pStyle w:val="libFootnote0"/>
        <w:rPr>
          <w:lang w:bidi="fa-IR"/>
        </w:rPr>
      </w:pPr>
      <w:r>
        <w:rPr>
          <w:rtl/>
          <w:lang w:bidi="fa-IR"/>
        </w:rPr>
        <w:t>(7).</w:t>
      </w:r>
      <w:r w:rsidR="00744A1C">
        <w:rPr>
          <w:rtl/>
          <w:lang w:bidi="fa-IR"/>
        </w:rPr>
        <w:t xml:space="preserve"> في </w:t>
      </w:r>
      <w:r w:rsidR="00744A1C" w:rsidRPr="00B7470D">
        <w:rPr>
          <w:rtl/>
        </w:rPr>
        <w:t>الوافي والبحار والفقيه والتهذيب</w:t>
      </w:r>
      <w:r w:rsidR="00744A1C">
        <w:rPr>
          <w:rtl/>
          <w:lang w:bidi="fa-IR"/>
        </w:rPr>
        <w:t xml:space="preserve"> : « تدوران ».</w:t>
      </w:r>
    </w:p>
    <w:p w:rsidR="00744A1C" w:rsidRDefault="00E378DD" w:rsidP="00E378DD">
      <w:pPr>
        <w:pStyle w:val="libFootnote0"/>
        <w:rPr>
          <w:lang w:bidi="fa-IR"/>
        </w:rPr>
      </w:pPr>
      <w:r>
        <w:rPr>
          <w:rtl/>
          <w:lang w:bidi="fa-IR"/>
        </w:rPr>
        <w:t>(8).</w:t>
      </w:r>
      <w:r w:rsidR="00744A1C">
        <w:rPr>
          <w:rtl/>
          <w:lang w:bidi="fa-IR"/>
        </w:rPr>
        <w:t xml:space="preserve"> القلم (68) : 51 - 52.</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3 ، ص 263 ، ح 746 ، بسنده عن محمّد بن الحسين. </w:t>
      </w:r>
      <w:r w:rsidR="00744A1C" w:rsidRPr="00C24F9C">
        <w:rPr>
          <w:rStyle w:val="libFootnoteBoldChar"/>
          <w:rtl/>
        </w:rPr>
        <w:t>الفقيه</w:t>
      </w:r>
      <w:r w:rsidR="00744A1C">
        <w:rPr>
          <w:rtl/>
          <w:lang w:bidi="fa-IR"/>
        </w:rPr>
        <w:t xml:space="preserve"> ، ج 1 ، ص 230 ، ح 687 ؛ وج 2 ، ص 559 ، ح 3144 ، معلّقاً عن حسّان الجمّال ، وفي كلّها مع زيادة في آخره </w:t>
      </w:r>
      <w:r w:rsidR="00B7470D">
        <w:rPr>
          <w:rFonts w:hint="cs"/>
          <w:rtl/>
          <w:lang w:bidi="fa-IR"/>
        </w:rPr>
        <w:t>.</w:t>
      </w:r>
      <w:r w:rsidR="00744A1C" w:rsidRPr="00C24F9C">
        <w:rPr>
          <w:rStyle w:val="libFootnoteBoldChar"/>
          <w:rtl/>
        </w:rPr>
        <w:t>الوافي</w:t>
      </w:r>
      <w:r w:rsidR="00744A1C">
        <w:rPr>
          <w:rtl/>
          <w:lang w:bidi="fa-IR"/>
        </w:rPr>
        <w:t xml:space="preserve"> ، ج 2 ، ص 191 ، ح 655 ؛ </w:t>
      </w:r>
      <w:r w:rsidR="00744A1C" w:rsidRPr="0061079A">
        <w:rPr>
          <w:rStyle w:val="libFootnoteBoldChar"/>
          <w:rtl/>
        </w:rPr>
        <w:t>البحار</w:t>
      </w:r>
      <w:r w:rsidR="00744A1C">
        <w:rPr>
          <w:rtl/>
          <w:lang w:bidi="fa-IR"/>
        </w:rPr>
        <w:t xml:space="preserve"> ، ج 37 ، ص 172 ، ح 55.</w:t>
      </w:r>
    </w:p>
    <w:p w:rsidR="00744A1C" w:rsidRDefault="00E378DD" w:rsidP="00E378DD">
      <w:pPr>
        <w:pStyle w:val="libFootnote0"/>
        <w:rPr>
          <w:lang w:bidi="fa-IR"/>
        </w:rPr>
      </w:pPr>
      <w:r>
        <w:rPr>
          <w:rtl/>
          <w:lang w:bidi="fa-IR"/>
        </w:rPr>
        <w:t>(10).</w:t>
      </w:r>
      <w:r w:rsidR="00744A1C">
        <w:rPr>
          <w:rtl/>
          <w:lang w:bidi="fa-IR"/>
        </w:rPr>
        <w:t xml:space="preserve"> في « ى ، بح ، بف » </w:t>
      </w:r>
      <w:r w:rsidR="00744A1C" w:rsidRPr="00B7470D">
        <w:rPr>
          <w:rtl/>
        </w:rPr>
        <w:t>والوافي</w:t>
      </w:r>
      <w:r w:rsidR="00744A1C">
        <w:rPr>
          <w:rtl/>
          <w:lang w:bidi="fa-IR"/>
        </w:rPr>
        <w:t xml:space="preserve"> : « تستحبّ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18 ، ح 42 ، معلّقاً عن الكليني. </w:t>
      </w:r>
      <w:r w:rsidR="00744A1C" w:rsidRPr="00C24F9C">
        <w:rPr>
          <w:rStyle w:val="libFootnoteBoldChar"/>
          <w:rtl/>
        </w:rPr>
        <w:t>الفقيه</w:t>
      </w:r>
      <w:r w:rsidR="00744A1C">
        <w:rPr>
          <w:rtl/>
          <w:lang w:bidi="fa-IR"/>
        </w:rPr>
        <w:t xml:space="preserve"> ، ج 2 ، ص 559 ، ح 3142 ، معلّقاً عن أحمد بن محمّد بن أبي نصر. راجع : </w:t>
      </w:r>
      <w:r w:rsidR="00744A1C" w:rsidRPr="00C24F9C">
        <w:rPr>
          <w:rStyle w:val="libFootnoteBoldChar"/>
          <w:rtl/>
        </w:rPr>
        <w:t>الفقيه</w:t>
      </w:r>
      <w:r w:rsidR="00744A1C">
        <w:rPr>
          <w:rtl/>
          <w:lang w:bidi="fa-IR"/>
        </w:rPr>
        <w:t xml:space="preserve"> ، ج 1 ، ص 229 ، ح 686 </w:t>
      </w:r>
      <w:r w:rsidR="00B7470D">
        <w:rPr>
          <w:rFonts w:hint="cs"/>
          <w:rtl/>
          <w:lang w:bidi="fa-IR"/>
        </w:rPr>
        <w:t>.</w:t>
      </w:r>
      <w:r w:rsidR="00744A1C" w:rsidRPr="00C24F9C">
        <w:rPr>
          <w:rStyle w:val="libFootnoteBoldChar"/>
          <w:rtl/>
        </w:rPr>
        <w:t>الوافي</w:t>
      </w:r>
      <w:r w:rsidR="00744A1C">
        <w:rPr>
          <w:rtl/>
          <w:lang w:bidi="fa-IR"/>
        </w:rPr>
        <w:t xml:space="preserve"> ، ج 14 ، ص 1344 ، ح 14376 ؛ </w:t>
      </w:r>
      <w:r w:rsidR="00744A1C" w:rsidRPr="00C24F9C">
        <w:rPr>
          <w:rStyle w:val="libFootnoteBoldChar"/>
          <w:rtl/>
        </w:rPr>
        <w:t>الوسائل</w:t>
      </w:r>
      <w:r w:rsidR="00744A1C">
        <w:rPr>
          <w:rtl/>
          <w:lang w:bidi="fa-IR"/>
        </w:rPr>
        <w:t xml:space="preserve"> ، ج 5 ، ص 278 ، ذيل ح 6568 ؛ </w:t>
      </w:r>
      <w:r w:rsidR="00744A1C" w:rsidRPr="0061079A">
        <w:rPr>
          <w:rStyle w:val="libFootnoteBoldChar"/>
          <w:rtl/>
        </w:rPr>
        <w:t>البحار</w:t>
      </w:r>
      <w:r w:rsidR="00744A1C">
        <w:rPr>
          <w:rtl/>
          <w:lang w:bidi="fa-IR"/>
        </w:rPr>
        <w:t xml:space="preserve"> ، ج 37 ، ص 172 ، ح 56.</w:t>
      </w:r>
    </w:p>
    <w:p w:rsidR="00150943" w:rsidRDefault="00150943" w:rsidP="00D10E3C">
      <w:pPr>
        <w:pStyle w:val="libNormal"/>
        <w:rPr>
          <w:rtl/>
          <w:lang w:bidi="fa-IR"/>
        </w:rPr>
      </w:pPr>
      <w:r>
        <w:rPr>
          <w:rtl/>
          <w:lang w:bidi="fa-IR"/>
        </w:rPr>
        <w:br w:type="page"/>
      </w:r>
    </w:p>
    <w:p w:rsidR="00144FA6" w:rsidRDefault="00744A1C" w:rsidP="00B7470D">
      <w:pPr>
        <w:pStyle w:val="Heading2Center"/>
        <w:rPr>
          <w:rtl/>
          <w:lang w:bidi="fa-IR"/>
        </w:rPr>
      </w:pPr>
      <w:bookmarkStart w:id="73" w:name="_Toc49261371"/>
      <w:r>
        <w:rPr>
          <w:rtl/>
          <w:lang w:bidi="fa-IR"/>
        </w:rPr>
        <w:lastRenderedPageBreak/>
        <w:t xml:space="preserve">226 - بَابٌ </w:t>
      </w:r>
      <w:r w:rsidRPr="00D10E3C">
        <w:rPr>
          <w:rStyle w:val="libFootnotenumChar"/>
          <w:rtl/>
        </w:rPr>
        <w:t>(1)</w:t>
      </w:r>
      <w:bookmarkEnd w:id="73"/>
    </w:p>
    <w:p w:rsidR="00144FA6" w:rsidRDefault="00744A1C" w:rsidP="00744A1C">
      <w:pPr>
        <w:pStyle w:val="libNormal"/>
        <w:rPr>
          <w:rtl/>
          <w:lang w:bidi="fa-IR"/>
        </w:rPr>
      </w:pPr>
      <w:r>
        <w:rPr>
          <w:rtl/>
          <w:lang w:bidi="fa-IR"/>
        </w:rPr>
        <w:t>8150 / 1. عِدَّةٌ مِنْ أَصْحَابِنَا ، عَنْ أَحْمَدَ بْنِ مُحَمَّدٍ ، عَنْ عَلِيِّ بْنِ الْحَكَمِ ، عَنْ زِيَادِ بْنِ أَبِي الْح</w:t>
      </w:r>
      <w:r w:rsidR="00B7470D">
        <w:rPr>
          <w:rtl/>
          <w:lang w:bidi="fa-IR"/>
        </w:rPr>
        <w:t>َل</w:t>
      </w:r>
      <w:r w:rsidR="00B7470D">
        <w:rPr>
          <w:rFonts w:hint="cs"/>
          <w:rtl/>
          <w:lang w:bidi="fa-IR"/>
        </w:rPr>
        <w:t>َّ</w:t>
      </w:r>
      <w:r w:rsidR="00B7470D">
        <w:rPr>
          <w:rtl/>
          <w:lang w:bidi="fa-IR"/>
        </w:rPr>
        <w:t>ا</w:t>
      </w:r>
      <w:r>
        <w:rPr>
          <w:rtl/>
          <w:lang w:bidi="fa-IR"/>
        </w:rPr>
        <w:t xml:space="preserve">لِ </w:t>
      </w:r>
      <w:r w:rsidRPr="00D10E3C">
        <w:rPr>
          <w:rStyle w:val="libFootnotenumChar"/>
          <w:rtl/>
        </w:rPr>
        <w:t>(2)</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مَا مِنْ نَبِيٍّ وَ</w:t>
      </w:r>
      <w:r w:rsidR="00B7470D">
        <w:rPr>
          <w:rFonts w:hint="cs"/>
          <w:rtl/>
          <w:lang w:bidi="fa-IR"/>
        </w:rPr>
        <w:t xml:space="preserve"> </w:t>
      </w:r>
      <w:r>
        <w:rPr>
          <w:rtl/>
          <w:lang w:bidi="fa-IR"/>
        </w:rPr>
        <w:t>لَا</w:t>
      </w:r>
      <w:r w:rsidR="00B7470D">
        <w:rPr>
          <w:rFonts w:hint="cs"/>
          <w:rtl/>
          <w:lang w:bidi="fa-IR"/>
        </w:rPr>
        <w:t xml:space="preserve"> </w:t>
      </w:r>
      <w:r>
        <w:rPr>
          <w:rtl/>
          <w:lang w:bidi="fa-IR"/>
        </w:rPr>
        <w:t xml:space="preserve">وَصِيِّ نَبِيٍّ يَبْقى فِي الْأَرْضِ أَكْثَرَ مِنْ ثَلَاثَةِ أَيَّامٍ حَتّى تُرْفَعَ </w:t>
      </w:r>
      <w:r w:rsidRPr="00D10E3C">
        <w:rPr>
          <w:rStyle w:val="libFootnotenumChar"/>
          <w:rtl/>
        </w:rPr>
        <w:t>(3)</w:t>
      </w:r>
      <w:r>
        <w:rPr>
          <w:rtl/>
          <w:lang w:bidi="fa-IR"/>
        </w:rPr>
        <w:t xml:space="preserve"> رُوحُهُ وَعَظْمُهُ وَلَحْمُهُ </w:t>
      </w:r>
      <w:r w:rsidRPr="00D10E3C">
        <w:rPr>
          <w:rStyle w:val="libFootnotenumChar"/>
          <w:rtl/>
        </w:rPr>
        <w:t>(4)</w:t>
      </w:r>
      <w:r>
        <w:rPr>
          <w:rtl/>
          <w:lang w:bidi="fa-IR"/>
        </w:rPr>
        <w:t xml:space="preserve"> إِلَى السَّمَاءِ ، وَإِنَّمَا تُؤْتى </w:t>
      </w:r>
      <w:r w:rsidRPr="00D10E3C">
        <w:rPr>
          <w:rStyle w:val="libFootnotenumChar"/>
          <w:rtl/>
        </w:rPr>
        <w:t>(5)</w:t>
      </w:r>
      <w:r>
        <w:rPr>
          <w:rtl/>
          <w:lang w:bidi="fa-IR"/>
        </w:rPr>
        <w:t xml:space="preserve"> مَوَاضِعُ </w:t>
      </w:r>
      <w:r w:rsidRPr="00D10E3C">
        <w:rPr>
          <w:rStyle w:val="libFootnotenumChar"/>
          <w:rtl/>
        </w:rPr>
        <w:t>(6)</w:t>
      </w:r>
      <w:r>
        <w:rPr>
          <w:rtl/>
          <w:lang w:bidi="fa-IR"/>
        </w:rPr>
        <w:t xml:space="preserve"> آثَارِهِمْ ، وَيُبَلِّغُونَهُمْ مِنْ بَعِيدٍ السَّلَامَ ، وَيَسْمَعُونَهُمْ فِي مَوَاضِعِ </w:t>
      </w:r>
      <w:r w:rsidRPr="00D10E3C">
        <w:rPr>
          <w:rStyle w:val="libFootnotenumChar"/>
          <w:rtl/>
        </w:rPr>
        <w:t>(7)</w:t>
      </w:r>
      <w:r>
        <w:rPr>
          <w:rtl/>
          <w:lang w:bidi="fa-IR"/>
        </w:rPr>
        <w:t xml:space="preserve"> آثَارِهِمْ مِنْ قَرِيبٍ ». </w:t>
      </w:r>
      <w:r w:rsidRPr="00D10E3C">
        <w:rPr>
          <w:rStyle w:val="libFootnotenumChar"/>
          <w:rtl/>
        </w:rPr>
        <w:t>(8)</w:t>
      </w:r>
    </w:p>
    <w:p w:rsidR="00144FA6" w:rsidRDefault="00744A1C" w:rsidP="00744A1C">
      <w:pPr>
        <w:pStyle w:val="libNormal"/>
        <w:rPr>
          <w:rtl/>
          <w:lang w:bidi="fa-IR"/>
        </w:rPr>
      </w:pPr>
      <w:r>
        <w:rPr>
          <w:rtl/>
          <w:lang w:bidi="fa-IR"/>
        </w:rPr>
        <w:t xml:space="preserve">8151 / 2. أَبُو عَلِيٍّ الْأَشْعَرِيُّ ، عَنْ عَبْدِ اللهِ </w:t>
      </w:r>
      <w:r w:rsidRPr="00D10E3C">
        <w:rPr>
          <w:rStyle w:val="libFootnotenumChar"/>
          <w:rtl/>
        </w:rPr>
        <w:t>(9)</w:t>
      </w:r>
      <w:r>
        <w:rPr>
          <w:rtl/>
          <w:lang w:bidi="fa-IR"/>
        </w:rPr>
        <w:t xml:space="preserve"> بْنِ مُوسى ، عَنِ الْحَسَنِ بْنِ عَلِيٍّ الْوَشَّاءِ ، قَالَ :</w:t>
      </w:r>
    </w:p>
    <w:p w:rsidR="00744A1C" w:rsidRDefault="00744A1C" w:rsidP="00744A1C">
      <w:pPr>
        <w:pStyle w:val="libNormal"/>
        <w:rPr>
          <w:lang w:bidi="fa-IR"/>
        </w:rPr>
      </w:pPr>
      <w:r>
        <w:rPr>
          <w:rtl/>
          <w:lang w:bidi="fa-IR"/>
        </w:rPr>
        <w:t xml:space="preserve">سَمِعْتُ الرِّضَا </w:t>
      </w:r>
      <w:r w:rsidR="0061079A" w:rsidRPr="0061079A">
        <w:rPr>
          <w:rStyle w:val="libAlaemChar"/>
          <w:rtl/>
        </w:rPr>
        <w:t>عليه‌السلام</w:t>
      </w:r>
      <w:r w:rsidR="00D10E3C">
        <w:rPr>
          <w:rtl/>
          <w:lang w:bidi="fa-IR"/>
        </w:rPr>
        <w:t xml:space="preserve"> </w:t>
      </w:r>
      <w:r>
        <w:rPr>
          <w:rtl/>
          <w:lang w:bidi="fa-IR"/>
        </w:rPr>
        <w:t xml:space="preserve">يَقُولُ : « إِنَّ لِكُلِّ إِمَامٍ عَهْداً فِي عُنُقِ أَوْلِيَائِهِ وَ </w:t>
      </w:r>
      <w:r w:rsidRPr="00D10E3C">
        <w:rPr>
          <w:rStyle w:val="libFootnotenumChar"/>
          <w:rtl/>
        </w:rPr>
        <w:t>(10)</w:t>
      </w:r>
      <w:r>
        <w:rPr>
          <w:rtl/>
          <w:lang w:bidi="fa-IR"/>
        </w:rPr>
        <w:t xml:space="preserve"> شِيعَتِهِ ، وَإِنَّ مِنْ تَمَامِ الْوَفَاءِ بِالْعَهْدِ وَحُسْنِ الْأَدَاءِ زِيَارَةَ قُبُورِهِمْ ، فَمَنْ زَارَهُمْ رَغْبَةً فِي زِيَارَتِهِمْ‌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باب نادر ».</w:t>
      </w:r>
    </w:p>
    <w:p w:rsidR="00744A1C" w:rsidRDefault="00E378DD" w:rsidP="00E378DD">
      <w:pPr>
        <w:pStyle w:val="libFootnote0"/>
        <w:rPr>
          <w:lang w:bidi="fa-IR"/>
        </w:rPr>
      </w:pPr>
      <w:r>
        <w:rPr>
          <w:rtl/>
          <w:lang w:bidi="fa-IR"/>
        </w:rPr>
        <w:t>(2).</w:t>
      </w:r>
      <w:r w:rsidR="00744A1C">
        <w:rPr>
          <w:rtl/>
          <w:lang w:bidi="fa-IR"/>
        </w:rPr>
        <w:t xml:space="preserve"> في </w:t>
      </w:r>
      <w:r w:rsidR="00744A1C" w:rsidRPr="0015125F">
        <w:rPr>
          <w:rtl/>
        </w:rPr>
        <w:t>كامل الزيارات</w:t>
      </w:r>
      <w:r w:rsidR="00744A1C">
        <w:rPr>
          <w:rtl/>
          <w:lang w:bidi="fa-IR"/>
        </w:rPr>
        <w:t xml:space="preserve"> : « زياد بن الجلال » ، وهو سهو. راجع : </w:t>
      </w:r>
      <w:r w:rsidR="00744A1C" w:rsidRPr="003A7143">
        <w:rPr>
          <w:rStyle w:val="libFootnoteBoldChar"/>
          <w:rtl/>
        </w:rPr>
        <w:t>رجال النجاشي</w:t>
      </w:r>
      <w:r w:rsidR="00744A1C">
        <w:rPr>
          <w:rtl/>
          <w:lang w:bidi="fa-IR"/>
        </w:rPr>
        <w:t xml:space="preserve"> ، ص 171 ، الرقم 451 ؛ </w:t>
      </w:r>
      <w:r w:rsidR="00744A1C" w:rsidRPr="0061079A">
        <w:rPr>
          <w:rStyle w:val="libFootnoteBoldChar"/>
          <w:rtl/>
        </w:rPr>
        <w:t>معجم رجال الحديث</w:t>
      </w:r>
      <w:r w:rsidR="00744A1C">
        <w:rPr>
          <w:rtl/>
          <w:lang w:bidi="fa-IR"/>
        </w:rPr>
        <w:t xml:space="preserve"> ، ج 7 ، ص 483 - 484.</w:t>
      </w:r>
    </w:p>
    <w:p w:rsidR="00744A1C" w:rsidRDefault="00E378DD" w:rsidP="00E378DD">
      <w:pPr>
        <w:pStyle w:val="libFootnote0"/>
        <w:rPr>
          <w:lang w:bidi="fa-IR"/>
        </w:rPr>
      </w:pPr>
      <w:r>
        <w:rPr>
          <w:rtl/>
          <w:lang w:bidi="fa-IR"/>
        </w:rPr>
        <w:t>(3).</w:t>
      </w:r>
      <w:r w:rsidR="00744A1C">
        <w:rPr>
          <w:rtl/>
          <w:lang w:bidi="fa-IR"/>
        </w:rPr>
        <w:t xml:space="preserve"> في « ى ، بح ، بخ » </w:t>
      </w:r>
      <w:r w:rsidR="00744A1C" w:rsidRPr="0015125F">
        <w:rPr>
          <w:rtl/>
        </w:rPr>
        <w:t>والوافي والفقيه</w:t>
      </w:r>
      <w:r w:rsidR="00744A1C">
        <w:rPr>
          <w:rtl/>
          <w:lang w:bidi="fa-IR"/>
        </w:rPr>
        <w:t xml:space="preserve"> والبصائر : « حتّى يرفع ».</w:t>
      </w:r>
    </w:p>
    <w:p w:rsidR="00744A1C" w:rsidRDefault="00E378DD" w:rsidP="00E378DD">
      <w:pPr>
        <w:pStyle w:val="libFootnote0"/>
        <w:rPr>
          <w:lang w:bidi="fa-IR"/>
        </w:rPr>
      </w:pPr>
      <w:r>
        <w:rPr>
          <w:rtl/>
          <w:lang w:bidi="fa-IR"/>
        </w:rPr>
        <w:t>(4).</w:t>
      </w:r>
      <w:r w:rsidR="00744A1C">
        <w:rPr>
          <w:rtl/>
          <w:lang w:bidi="fa-IR"/>
        </w:rPr>
        <w:t xml:space="preserve"> في « ى ، بخ ، بس ، بف ، جد » </w:t>
      </w:r>
      <w:r w:rsidR="00744A1C" w:rsidRPr="0015125F">
        <w:rPr>
          <w:rtl/>
        </w:rPr>
        <w:t>والوافي</w:t>
      </w:r>
      <w:r w:rsidR="00744A1C">
        <w:rPr>
          <w:rtl/>
          <w:lang w:bidi="fa-IR"/>
        </w:rPr>
        <w:t xml:space="preserve"> : « ولحمه وعظمه ».</w:t>
      </w:r>
    </w:p>
    <w:p w:rsidR="00744A1C" w:rsidRDefault="00E378DD" w:rsidP="00E378DD">
      <w:pPr>
        <w:pStyle w:val="libFootnote0"/>
        <w:rPr>
          <w:lang w:bidi="fa-IR"/>
        </w:rPr>
      </w:pPr>
      <w:r>
        <w:rPr>
          <w:rtl/>
          <w:lang w:bidi="fa-IR"/>
        </w:rPr>
        <w:t>(5).</w:t>
      </w:r>
      <w:r w:rsidR="00744A1C">
        <w:rPr>
          <w:rtl/>
          <w:lang w:bidi="fa-IR"/>
        </w:rPr>
        <w:t xml:space="preserve"> في « بث ، بخ ، بس ، بف ، جد » </w:t>
      </w:r>
      <w:r w:rsidR="00744A1C" w:rsidRPr="0015125F">
        <w:rPr>
          <w:rtl/>
        </w:rPr>
        <w:t>والوافي وكامل الزيارات والفقيه</w:t>
      </w:r>
      <w:r w:rsidR="00744A1C">
        <w:rPr>
          <w:rtl/>
          <w:lang w:bidi="fa-IR"/>
        </w:rPr>
        <w:t xml:space="preserve"> والبصائر : « يؤتى ».</w:t>
      </w:r>
    </w:p>
    <w:tbl>
      <w:tblPr>
        <w:tblStyle w:val="TableGrid"/>
        <w:bidiVisual/>
        <w:tblW w:w="0" w:type="auto"/>
        <w:tblLook w:val="04A0" w:firstRow="1" w:lastRow="0" w:firstColumn="1" w:lastColumn="0" w:noHBand="0" w:noVBand="1"/>
      </w:tblPr>
      <w:tblGrid>
        <w:gridCol w:w="4006"/>
        <w:gridCol w:w="4006"/>
      </w:tblGrid>
      <w:tr w:rsidR="0015125F" w:rsidTr="0015125F">
        <w:tc>
          <w:tcPr>
            <w:tcW w:w="4006" w:type="dxa"/>
          </w:tcPr>
          <w:p w:rsidR="0015125F" w:rsidRDefault="0015125F" w:rsidP="00E378DD">
            <w:pPr>
              <w:pStyle w:val="libFootnote0"/>
              <w:rPr>
                <w:rtl/>
                <w:lang w:bidi="fa-IR"/>
              </w:rPr>
            </w:pPr>
            <w:r>
              <w:rPr>
                <w:rtl/>
                <w:lang w:bidi="fa-IR"/>
              </w:rPr>
              <w:t>(6). في « بث » والبصائر : « موضع ».</w:t>
            </w:r>
          </w:p>
        </w:tc>
        <w:tc>
          <w:tcPr>
            <w:tcW w:w="4006" w:type="dxa"/>
          </w:tcPr>
          <w:p w:rsidR="0015125F" w:rsidRDefault="0015125F" w:rsidP="00E378DD">
            <w:pPr>
              <w:pStyle w:val="libFootnote0"/>
              <w:rPr>
                <w:rtl/>
                <w:lang w:bidi="fa-IR"/>
              </w:rPr>
            </w:pPr>
            <w:r>
              <w:rPr>
                <w:rtl/>
                <w:lang w:bidi="fa-IR"/>
              </w:rPr>
              <w:t>(7). في « بف » : « موضع ».</w:t>
            </w:r>
          </w:p>
        </w:tc>
      </w:tr>
    </w:tbl>
    <w:p w:rsidR="00744A1C" w:rsidRDefault="00E378DD" w:rsidP="00E378DD">
      <w:pPr>
        <w:pStyle w:val="libFootnote0"/>
        <w:rPr>
          <w:lang w:bidi="fa-IR"/>
        </w:rPr>
      </w:pPr>
      <w:r>
        <w:rPr>
          <w:rtl/>
          <w:lang w:bidi="fa-IR"/>
        </w:rPr>
        <w:t>(8).</w:t>
      </w:r>
      <w:r w:rsidR="00744A1C">
        <w:rPr>
          <w:rtl/>
          <w:lang w:bidi="fa-IR"/>
        </w:rPr>
        <w:t xml:space="preserve"> </w:t>
      </w:r>
      <w:r w:rsidR="00744A1C" w:rsidRPr="007B299E">
        <w:rPr>
          <w:rStyle w:val="libFootnoteBoldChar"/>
          <w:rtl/>
        </w:rPr>
        <w:t>كامل الزيارات</w:t>
      </w:r>
      <w:r w:rsidR="00744A1C">
        <w:rPr>
          <w:rtl/>
          <w:lang w:bidi="fa-IR"/>
        </w:rPr>
        <w:t xml:space="preserve"> ، ص 329 ، الباب 108 ، ح 3 ، عن محمّد بن يعقوب بهذا السند ، وبسند آخر أيضاً عن أبيه ومحمّد بن يعقوب ، عن محمّد بن يحيى وغيره ، عن أحمد بن محمّد ، عن عليّ بن الحكم ، عن زياد ، عن أبي عبدالله </w:t>
      </w:r>
      <w:r w:rsidR="0061079A" w:rsidRPr="0061079A">
        <w:rPr>
          <w:rStyle w:val="libFootnoteAlaemChar"/>
          <w:rtl/>
        </w:rPr>
        <w:t>عليه‌السلام</w:t>
      </w:r>
      <w:r w:rsidR="00744A1C">
        <w:rPr>
          <w:rtl/>
          <w:lang w:bidi="fa-IR"/>
        </w:rPr>
        <w:t xml:space="preserve"> . وفي </w:t>
      </w:r>
      <w:r w:rsidR="00744A1C" w:rsidRPr="00C24F9C">
        <w:rPr>
          <w:rStyle w:val="libFootnoteBoldChar"/>
          <w:rtl/>
        </w:rPr>
        <w:t>التهذيب</w:t>
      </w:r>
      <w:r w:rsidR="00744A1C">
        <w:rPr>
          <w:rtl/>
          <w:lang w:bidi="fa-IR"/>
        </w:rPr>
        <w:t xml:space="preserve"> ، ج 6 ، ص 106 ، ح 186 ؛ </w:t>
      </w:r>
      <w:r w:rsidR="00744A1C" w:rsidRPr="0015125F">
        <w:rPr>
          <w:rStyle w:val="libFootnoteBoldChar"/>
          <w:rtl/>
        </w:rPr>
        <w:t>وكتاب المزار</w:t>
      </w:r>
      <w:r w:rsidR="00744A1C">
        <w:rPr>
          <w:rtl/>
          <w:lang w:bidi="fa-IR"/>
        </w:rPr>
        <w:t xml:space="preserve"> ، ص 220 ، ح 2 ، بسندهما عن أحمد بن محمّد ؛ </w:t>
      </w:r>
      <w:r w:rsidR="00744A1C" w:rsidRPr="00211914">
        <w:rPr>
          <w:rStyle w:val="libFootnoteBoldChar"/>
          <w:rtl/>
        </w:rPr>
        <w:t>بصائر الدرجات</w:t>
      </w:r>
      <w:r w:rsidR="00744A1C">
        <w:rPr>
          <w:rtl/>
          <w:lang w:bidi="fa-IR"/>
        </w:rPr>
        <w:t xml:space="preserve"> ، ص 445 ، ح 9 ، عن أحمد بن محمّد. </w:t>
      </w:r>
      <w:r w:rsidR="00744A1C" w:rsidRPr="00C24F9C">
        <w:rPr>
          <w:rStyle w:val="libFootnoteBoldChar"/>
          <w:rtl/>
        </w:rPr>
        <w:t>الفقيه</w:t>
      </w:r>
      <w:r w:rsidR="00744A1C">
        <w:rPr>
          <w:rtl/>
          <w:lang w:bidi="fa-IR"/>
        </w:rPr>
        <w:t xml:space="preserve"> ، ج 2 ، ص 577 ، ح 3161 ، معلّقاً عن عليّ بن الحكم </w:t>
      </w:r>
      <w:r w:rsidR="0015125F">
        <w:rPr>
          <w:rFonts w:hint="cs"/>
          <w:rtl/>
          <w:lang w:bidi="fa-IR"/>
        </w:rPr>
        <w:t>.</w:t>
      </w:r>
      <w:r w:rsidR="00744A1C" w:rsidRPr="00C24F9C">
        <w:rPr>
          <w:rStyle w:val="libFootnoteBoldChar"/>
          <w:rtl/>
        </w:rPr>
        <w:t>الوافي</w:t>
      </w:r>
      <w:r w:rsidR="00744A1C">
        <w:rPr>
          <w:rtl/>
          <w:lang w:bidi="fa-IR"/>
        </w:rPr>
        <w:t xml:space="preserve"> ، ج 14 ، ص 1337 ، ح 14365 ؛ </w:t>
      </w:r>
      <w:r w:rsidR="00744A1C" w:rsidRPr="00C24F9C">
        <w:rPr>
          <w:rStyle w:val="libFootnoteBoldChar"/>
          <w:rtl/>
        </w:rPr>
        <w:t>الوسائل</w:t>
      </w:r>
      <w:r w:rsidR="00744A1C">
        <w:rPr>
          <w:rtl/>
          <w:lang w:bidi="fa-IR"/>
        </w:rPr>
        <w:t xml:space="preserve"> ، ج 14 ، ص 323 ، ذيل ح 19315.</w:t>
      </w:r>
    </w:p>
    <w:p w:rsidR="00744A1C" w:rsidRDefault="00E378DD" w:rsidP="00E378DD">
      <w:pPr>
        <w:pStyle w:val="libFootnote0"/>
        <w:rPr>
          <w:lang w:bidi="fa-IR"/>
        </w:rPr>
      </w:pPr>
      <w:r>
        <w:rPr>
          <w:rtl/>
          <w:lang w:bidi="fa-IR"/>
        </w:rPr>
        <w:t>(9).</w:t>
      </w:r>
      <w:r w:rsidR="00744A1C">
        <w:rPr>
          <w:rtl/>
          <w:lang w:bidi="fa-IR"/>
        </w:rPr>
        <w:t xml:space="preserve"> في « بح ، بخ ، بس ، بف » : « عبيد الله ».</w:t>
      </w:r>
    </w:p>
    <w:p w:rsidR="00744A1C" w:rsidRDefault="00E378DD" w:rsidP="00E378DD">
      <w:pPr>
        <w:pStyle w:val="libFootnote0"/>
        <w:rPr>
          <w:lang w:bidi="fa-IR"/>
        </w:rPr>
      </w:pPr>
      <w:r>
        <w:rPr>
          <w:rtl/>
          <w:lang w:bidi="fa-IR"/>
        </w:rPr>
        <w:t>(10).</w:t>
      </w:r>
      <w:r w:rsidR="00744A1C">
        <w:rPr>
          <w:rtl/>
          <w:lang w:bidi="fa-IR"/>
        </w:rPr>
        <w:t xml:space="preserve"> في المزار ، ص 201 والمقنعة ، ص 486 : - « أوليائه و».</w:t>
      </w:r>
    </w:p>
    <w:p w:rsidR="00150943" w:rsidRDefault="00150943" w:rsidP="00D10E3C">
      <w:pPr>
        <w:pStyle w:val="libNormal"/>
        <w:rPr>
          <w:rtl/>
          <w:lang w:bidi="fa-IR"/>
        </w:rPr>
      </w:pPr>
      <w:r>
        <w:rPr>
          <w:rtl/>
          <w:lang w:bidi="fa-IR"/>
        </w:rPr>
        <w:br w:type="page"/>
      </w:r>
    </w:p>
    <w:p w:rsidR="00144FA6" w:rsidRDefault="00744A1C" w:rsidP="0015125F">
      <w:pPr>
        <w:pStyle w:val="libNormal0"/>
        <w:rPr>
          <w:rtl/>
          <w:lang w:bidi="fa-IR"/>
        </w:rPr>
      </w:pPr>
      <w:r>
        <w:rPr>
          <w:rtl/>
          <w:lang w:bidi="fa-IR"/>
        </w:rPr>
        <w:lastRenderedPageBreak/>
        <w:t xml:space="preserve">وَتَصْدِيقاً بِمَا </w:t>
      </w:r>
      <w:r w:rsidRPr="00D10E3C">
        <w:rPr>
          <w:rStyle w:val="libFootnotenumChar"/>
          <w:rtl/>
        </w:rPr>
        <w:t>(1)</w:t>
      </w:r>
      <w:r>
        <w:rPr>
          <w:rtl/>
          <w:lang w:bidi="fa-IR"/>
        </w:rPr>
        <w:t xml:space="preserve"> رَغِبُوا فِيهِ ، كَانَ أَئِمَّتُهُمْ شُفَعَاءَهُمْ يَوْمَ الْقِيَامَةِ ». </w:t>
      </w:r>
      <w:r w:rsidRPr="00D10E3C">
        <w:rPr>
          <w:rStyle w:val="libFootnotenumChar"/>
          <w:rtl/>
        </w:rPr>
        <w:t>(2)</w:t>
      </w:r>
    </w:p>
    <w:p w:rsidR="00144FA6" w:rsidRDefault="00744A1C" w:rsidP="00744A1C">
      <w:pPr>
        <w:pStyle w:val="libNormal"/>
        <w:rPr>
          <w:rtl/>
          <w:lang w:bidi="fa-IR"/>
        </w:rPr>
      </w:pPr>
      <w:r>
        <w:rPr>
          <w:rtl/>
          <w:lang w:bidi="fa-IR"/>
        </w:rPr>
        <w:t>8152 / 3. عِدَّةٌ مِنْ أَصْحَابِنَا ، عَنْ سَهْلِ بْنِ زِيَادٍ ، عَنْ أَبِي هَاشِمٍ الْجَعْفَرِيِّ ، قَالَ :</w:t>
      </w:r>
    </w:p>
    <w:p w:rsidR="00744A1C" w:rsidRDefault="00744A1C" w:rsidP="00744A1C">
      <w:pPr>
        <w:pStyle w:val="libNormal"/>
        <w:rPr>
          <w:lang w:bidi="fa-IR"/>
        </w:rPr>
      </w:pPr>
      <w:r>
        <w:rPr>
          <w:rtl/>
          <w:lang w:bidi="fa-IR"/>
        </w:rPr>
        <w:t xml:space="preserve">بَعَثَ إِلَيَّ أَبُو الْحَسَنِ </w:t>
      </w:r>
      <w:r w:rsidR="0061079A" w:rsidRPr="0061079A">
        <w:rPr>
          <w:rStyle w:val="libAlaemChar"/>
          <w:rtl/>
        </w:rPr>
        <w:t>عليه‌السلام</w:t>
      </w:r>
      <w:r w:rsidR="00D10E3C">
        <w:rPr>
          <w:rtl/>
          <w:lang w:bidi="fa-IR"/>
        </w:rPr>
        <w:t xml:space="preserve"> </w:t>
      </w:r>
      <w:r>
        <w:rPr>
          <w:rtl/>
          <w:lang w:bidi="fa-IR"/>
        </w:rPr>
        <w:t xml:space="preserve">فِي مَرَضِهِ ، وَإِلى مُحَمَّدِ بْنِ حَمْزَةَ ، فَسَبَقَنِي إِلَيْهِ مُحَمَّدُ بْنُ حَمْزَةَ ، فَأَخْبَرَنِي </w:t>
      </w:r>
      <w:r w:rsidRPr="00D10E3C">
        <w:rPr>
          <w:rStyle w:val="libFootnotenumChar"/>
          <w:rtl/>
        </w:rPr>
        <w:t>(3)</w:t>
      </w:r>
      <w:r>
        <w:rPr>
          <w:rtl/>
          <w:lang w:bidi="fa-IR"/>
        </w:rPr>
        <w:t xml:space="preserve"> مُحَمَّدٌ : مَا زَالَ يَقُولُ : « ابْعَثُوا </w:t>
      </w:r>
      <w:r w:rsidRPr="00D10E3C">
        <w:rPr>
          <w:rStyle w:val="libFootnotenumChar"/>
          <w:rtl/>
        </w:rPr>
        <w:t>(4)</w:t>
      </w:r>
      <w:r>
        <w:rPr>
          <w:rtl/>
          <w:lang w:bidi="fa-IR"/>
        </w:rPr>
        <w:t xml:space="preserve"> إِلَى الْحَيْرِ </w:t>
      </w:r>
      <w:r w:rsidRPr="00D10E3C">
        <w:rPr>
          <w:rStyle w:val="libFootnotenumChar"/>
          <w:rtl/>
        </w:rPr>
        <w:t>(5)</w:t>
      </w:r>
      <w:r>
        <w:rPr>
          <w:rtl/>
          <w:lang w:bidi="fa-IR"/>
        </w:rPr>
        <w:t xml:space="preserve"> ، ابْعَثُوا إِلَى الْحَيْرِ </w:t>
      </w:r>
      <w:r w:rsidRPr="00D10E3C">
        <w:rPr>
          <w:rStyle w:val="libFootnotenumChar"/>
          <w:rtl/>
        </w:rPr>
        <w:t>(6)</w:t>
      </w:r>
      <w:r>
        <w:rPr>
          <w:rtl/>
          <w:lang w:bidi="fa-IR"/>
        </w:rPr>
        <w:t xml:space="preserve"> » فَقُلْتُ لِمُحَمَّدٍ : أَ</w:t>
      </w:r>
      <w:r w:rsidR="0015125F">
        <w:rPr>
          <w:rFonts w:hint="cs"/>
          <w:rtl/>
          <w:lang w:bidi="fa-IR"/>
        </w:rPr>
        <w:t xml:space="preserve"> </w:t>
      </w:r>
      <w:r>
        <w:rPr>
          <w:rtl/>
          <w:lang w:bidi="fa-IR"/>
        </w:rPr>
        <w:t>لَا</w:t>
      </w:r>
      <w:r w:rsidR="0015125F">
        <w:rPr>
          <w:rFonts w:hint="cs"/>
          <w:rtl/>
          <w:lang w:bidi="fa-IR"/>
        </w:rPr>
        <w:t xml:space="preserve"> </w:t>
      </w:r>
      <w:r>
        <w:rPr>
          <w:rtl/>
          <w:lang w:bidi="fa-IR"/>
        </w:rPr>
        <w:t xml:space="preserve">قُلْتَ لَهُ </w:t>
      </w:r>
      <w:r w:rsidRPr="00D10E3C">
        <w:rPr>
          <w:rStyle w:val="libFootnotenumChar"/>
          <w:rtl/>
        </w:rPr>
        <w:t>(7)</w:t>
      </w:r>
      <w:r>
        <w:rPr>
          <w:rtl/>
          <w:lang w:bidi="fa-IR"/>
        </w:rPr>
        <w:t xml:space="preserve"> : أَنَا أَذْهَبُ </w:t>
      </w:r>
      <w:r w:rsidRPr="00D10E3C">
        <w:rPr>
          <w:rStyle w:val="libFootnotenumChar"/>
          <w:rtl/>
        </w:rPr>
        <w:t>(8)</w:t>
      </w:r>
      <w:r>
        <w:rPr>
          <w:rtl/>
          <w:lang w:bidi="fa-IR"/>
        </w:rPr>
        <w:t xml:space="preserve"> إِلَى الْحَيْرِ </w:t>
      </w:r>
      <w:r w:rsidRPr="00D10E3C">
        <w:rPr>
          <w:rStyle w:val="libFootnotenumChar"/>
          <w:rtl/>
        </w:rPr>
        <w:t>(9)</w:t>
      </w:r>
      <w:r>
        <w:rPr>
          <w:rtl/>
          <w:lang w:bidi="fa-IR"/>
        </w:rPr>
        <w:t>؟</w:t>
      </w:r>
    </w:p>
    <w:p w:rsidR="00744A1C" w:rsidRDefault="00744A1C" w:rsidP="00744A1C">
      <w:pPr>
        <w:pStyle w:val="libNormal"/>
        <w:rPr>
          <w:lang w:bidi="fa-IR"/>
        </w:rPr>
      </w:pPr>
      <w:r>
        <w:rPr>
          <w:rtl/>
          <w:lang w:bidi="fa-IR"/>
        </w:rPr>
        <w:t xml:space="preserve">ثُمَّ دَخَلْتُ عَلَيْهِ ، وَقُلْتُ </w:t>
      </w:r>
      <w:r w:rsidRPr="00D10E3C">
        <w:rPr>
          <w:rStyle w:val="libFootnotenumChar"/>
          <w:rtl/>
        </w:rPr>
        <w:t>(10)</w:t>
      </w:r>
      <w:r>
        <w:rPr>
          <w:rtl/>
          <w:lang w:bidi="fa-IR"/>
        </w:rPr>
        <w:t xml:space="preserve"> لَهُ : جُعِلْتُ فِدَاكَ ، أَنَا أَذْهَبُ إِلَى الْحَيْرِ </w:t>
      </w:r>
      <w:r w:rsidRPr="00D10E3C">
        <w:rPr>
          <w:rStyle w:val="libFootnotenumChar"/>
          <w:rtl/>
        </w:rPr>
        <w:t>(11)</w:t>
      </w:r>
      <w:r w:rsidR="0015125F" w:rsidRPr="0015125F">
        <w:rPr>
          <w:rFonts w:hint="cs"/>
          <w:rtl/>
        </w:rPr>
        <w:t>.</w:t>
      </w:r>
    </w:p>
    <w:p w:rsidR="00744A1C" w:rsidRDefault="00744A1C" w:rsidP="00744A1C">
      <w:pPr>
        <w:pStyle w:val="libNormal"/>
        <w:rPr>
          <w:lang w:bidi="fa-IR"/>
        </w:rPr>
      </w:pPr>
      <w:r>
        <w:rPr>
          <w:rtl/>
          <w:lang w:bidi="fa-IR"/>
        </w:rPr>
        <w:t xml:space="preserve">فَقَالَ : « انْظُرُوا فِي ذَاكَ </w:t>
      </w:r>
      <w:r w:rsidRPr="00D10E3C">
        <w:rPr>
          <w:rStyle w:val="libFootnotenumChar"/>
          <w:rtl/>
        </w:rPr>
        <w:t>(12)</w:t>
      </w:r>
      <w:r>
        <w:rPr>
          <w:rtl/>
          <w:lang w:bidi="fa-IR"/>
        </w:rPr>
        <w:t xml:space="preserve"> » ثُمَّ قَالَ لِي </w:t>
      </w:r>
      <w:r w:rsidRPr="00D10E3C">
        <w:rPr>
          <w:rStyle w:val="libFootnotenumChar"/>
          <w:rtl/>
        </w:rPr>
        <w:t>(13)</w:t>
      </w:r>
      <w:r>
        <w:rPr>
          <w:rtl/>
          <w:lang w:bidi="fa-IR"/>
        </w:rPr>
        <w:t xml:space="preserve"> : « إِنَّ مُحَمَّداً لَيْسَ لَهُ سِرٌّ </w:t>
      </w:r>
      <w:r w:rsidRPr="00D10E3C">
        <w:rPr>
          <w:rStyle w:val="libFootnotenumChar"/>
          <w:rtl/>
        </w:rPr>
        <w:t>(14)</w:t>
      </w:r>
      <w:r w:rsidR="0015125F">
        <w:rPr>
          <w:rtl/>
          <w:lang w:bidi="fa-IR"/>
        </w:rPr>
        <w:t xml:space="preserve"> مِنْ زَيْدِ بْنِ عَلِيٍّ،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15125F">
        <w:rPr>
          <w:rtl/>
        </w:rPr>
        <w:t>التهذيب وكامل الزيارات</w:t>
      </w:r>
      <w:r w:rsidR="00744A1C">
        <w:rPr>
          <w:rtl/>
          <w:lang w:bidi="fa-IR"/>
        </w:rPr>
        <w:t xml:space="preserve"> : « لما ».</w:t>
      </w:r>
    </w:p>
    <w:p w:rsidR="00744A1C" w:rsidRDefault="00E378DD" w:rsidP="00E378DD">
      <w:pPr>
        <w:pStyle w:val="libFootnote0"/>
        <w:rPr>
          <w:lang w:bidi="fa-IR"/>
        </w:rPr>
      </w:pPr>
      <w:r>
        <w:rPr>
          <w:rtl/>
          <w:lang w:bidi="fa-IR"/>
        </w:rPr>
        <w:t>(2).</w:t>
      </w:r>
      <w:r w:rsidR="00744A1C">
        <w:rPr>
          <w:rtl/>
          <w:lang w:bidi="fa-IR"/>
        </w:rPr>
        <w:t xml:space="preserve"> </w:t>
      </w:r>
      <w:r w:rsidR="00744A1C" w:rsidRPr="007B299E">
        <w:rPr>
          <w:rStyle w:val="libFootnoteBoldChar"/>
          <w:rtl/>
        </w:rPr>
        <w:t>كامل الزيارات</w:t>
      </w:r>
      <w:r w:rsidR="00744A1C">
        <w:rPr>
          <w:rtl/>
          <w:lang w:bidi="fa-IR"/>
        </w:rPr>
        <w:t xml:space="preserve"> ، ص 121 ، الباب 43 ، ح 2 ، عن محمّد بن يعقوب الكليني ، عن أحمد بن إدريس ، عن عبيدالله بن موسى ، عن الوشّاء ، وبسند آخر أيضاً عن عبيدالله بن موسى ، عن الوشّاء. وفي </w:t>
      </w:r>
      <w:r w:rsidR="00744A1C" w:rsidRPr="00C24F9C">
        <w:rPr>
          <w:rStyle w:val="libFootnoteBoldChar"/>
          <w:rtl/>
        </w:rPr>
        <w:t>التهذيب</w:t>
      </w:r>
      <w:r w:rsidR="00744A1C">
        <w:rPr>
          <w:rtl/>
          <w:lang w:bidi="fa-IR"/>
        </w:rPr>
        <w:t xml:space="preserve"> ، ج 6 ، ص 78 ، ح 155 ؛ وص 93 ، ح 175 ، بسندهما عن عبدالله بن موسى. </w:t>
      </w:r>
      <w:r w:rsidR="00744A1C" w:rsidRPr="00C24F9C">
        <w:rPr>
          <w:rStyle w:val="libFootnoteBoldChar"/>
          <w:rtl/>
        </w:rPr>
        <w:t>الفقيه</w:t>
      </w:r>
      <w:r w:rsidR="00744A1C">
        <w:rPr>
          <w:rtl/>
          <w:lang w:bidi="fa-IR"/>
        </w:rPr>
        <w:t xml:space="preserve"> ، ج 2 ، ص 577 ، ح 3160 ، معلّقاً عن الحسن بن عليّ الوشّاء. وفي </w:t>
      </w:r>
      <w:r w:rsidR="00744A1C" w:rsidRPr="003A7143">
        <w:rPr>
          <w:rStyle w:val="libFootnoteBoldChar"/>
          <w:rtl/>
        </w:rPr>
        <w:t>علل الشرائع</w:t>
      </w:r>
      <w:r w:rsidR="00744A1C">
        <w:rPr>
          <w:rtl/>
          <w:lang w:bidi="fa-IR"/>
        </w:rPr>
        <w:t xml:space="preserve"> ، ص 459 ، ح 3 ؛ </w:t>
      </w:r>
      <w:r w:rsidR="00744A1C" w:rsidRPr="0015125F">
        <w:rPr>
          <w:rStyle w:val="libFootnoteBoldChar"/>
          <w:rtl/>
        </w:rPr>
        <w:t>وع</w:t>
      </w:r>
      <w:r w:rsidR="00744A1C" w:rsidRPr="00877682">
        <w:rPr>
          <w:rStyle w:val="libFootnoteBoldChar"/>
          <w:rtl/>
        </w:rPr>
        <w:t>يون الأخبار</w:t>
      </w:r>
      <w:r w:rsidR="00744A1C">
        <w:rPr>
          <w:rtl/>
          <w:lang w:bidi="fa-IR"/>
        </w:rPr>
        <w:t xml:space="preserve"> ، ج 2 ، ص 260 ، ح 24 ، بسندهما عن الحسن بن عليّ بن الوشّاء. </w:t>
      </w:r>
      <w:r w:rsidR="00744A1C" w:rsidRPr="0015125F">
        <w:rPr>
          <w:rStyle w:val="libFootnoteBoldChar"/>
          <w:rtl/>
        </w:rPr>
        <w:t>كتاب المزار</w:t>
      </w:r>
      <w:r w:rsidR="00744A1C">
        <w:rPr>
          <w:rtl/>
          <w:lang w:bidi="fa-IR"/>
        </w:rPr>
        <w:t xml:space="preserve"> ، ص 184 ، ح 2 ؛ وص 201 ، ح 1 ، مرسلاً عن الوشّاء ، عن الرضا </w:t>
      </w:r>
      <w:r w:rsidR="0061079A" w:rsidRPr="0061079A">
        <w:rPr>
          <w:rStyle w:val="libFootnoteAlaemChar"/>
          <w:rtl/>
        </w:rPr>
        <w:t>عليه‌السلام</w:t>
      </w:r>
      <w:r w:rsidR="00744A1C">
        <w:rPr>
          <w:rtl/>
          <w:lang w:bidi="fa-IR"/>
        </w:rPr>
        <w:t xml:space="preserve"> . وفي </w:t>
      </w:r>
      <w:r w:rsidR="00744A1C" w:rsidRPr="0015125F">
        <w:rPr>
          <w:rStyle w:val="libFootnoteBoldChar"/>
          <w:rtl/>
        </w:rPr>
        <w:t>المقنعة</w:t>
      </w:r>
      <w:r w:rsidR="00744A1C">
        <w:rPr>
          <w:rtl/>
          <w:lang w:bidi="fa-IR"/>
        </w:rPr>
        <w:t xml:space="preserve"> ، ص 474 ؛ وص 486 ، مرسلاً </w:t>
      </w:r>
      <w:r w:rsidR="0015125F">
        <w:rPr>
          <w:rFonts w:hint="cs"/>
          <w:rtl/>
          <w:lang w:bidi="fa-IR"/>
        </w:rPr>
        <w:t>.</w:t>
      </w:r>
      <w:r w:rsidR="00744A1C" w:rsidRPr="00C24F9C">
        <w:rPr>
          <w:rStyle w:val="libFootnoteBoldChar"/>
          <w:rtl/>
        </w:rPr>
        <w:t>الوافي</w:t>
      </w:r>
      <w:r w:rsidR="00744A1C">
        <w:rPr>
          <w:rtl/>
          <w:lang w:bidi="fa-IR"/>
        </w:rPr>
        <w:t xml:space="preserve"> ، ج 14 ، ص 1332 ، ح 14360 ؛ </w:t>
      </w:r>
      <w:r w:rsidR="00744A1C" w:rsidRPr="00C24F9C">
        <w:rPr>
          <w:rStyle w:val="libFootnoteBoldChar"/>
          <w:rtl/>
        </w:rPr>
        <w:t>الوسائل</w:t>
      </w:r>
      <w:r w:rsidR="00744A1C">
        <w:rPr>
          <w:rtl/>
          <w:lang w:bidi="fa-IR"/>
        </w:rPr>
        <w:t xml:space="preserve"> ، ج 14 ، ص 322 ، ذيل ح 19314 ؛ </w:t>
      </w:r>
      <w:r w:rsidR="00744A1C" w:rsidRPr="0061079A">
        <w:rPr>
          <w:rStyle w:val="libFootnoteBoldChar"/>
          <w:rtl/>
        </w:rPr>
        <w:t>البحار</w:t>
      </w:r>
      <w:r w:rsidR="00744A1C">
        <w:rPr>
          <w:rtl/>
          <w:lang w:bidi="fa-IR"/>
        </w:rPr>
        <w:t xml:space="preserve"> ، ج 100 ، ص 116 ، ح 4.</w:t>
      </w:r>
    </w:p>
    <w:p w:rsidR="00744A1C" w:rsidRDefault="00E378DD" w:rsidP="00E378DD">
      <w:pPr>
        <w:pStyle w:val="libFootnote0"/>
        <w:rPr>
          <w:lang w:bidi="fa-IR"/>
        </w:rPr>
      </w:pPr>
      <w:r>
        <w:rPr>
          <w:rtl/>
          <w:lang w:bidi="fa-IR"/>
        </w:rPr>
        <w:t>(3).</w:t>
      </w:r>
      <w:r w:rsidR="00744A1C">
        <w:rPr>
          <w:rtl/>
          <w:lang w:bidi="fa-IR"/>
        </w:rPr>
        <w:t xml:space="preserve"> هكذا في معظم النسخ التي قوبلت </w:t>
      </w:r>
      <w:r w:rsidR="00744A1C" w:rsidRPr="0015125F">
        <w:rPr>
          <w:rtl/>
        </w:rPr>
        <w:t>والوسائل والبحار وكامل الزيارات</w:t>
      </w:r>
      <w:r w:rsidR="00744A1C">
        <w:rPr>
          <w:rtl/>
          <w:lang w:bidi="fa-IR"/>
        </w:rPr>
        <w:t>. وفي المطبوع : « وأخبرني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أراد </w:t>
      </w:r>
      <w:r w:rsidR="0061079A" w:rsidRPr="0061079A">
        <w:rPr>
          <w:rStyle w:val="libFootnoteAlaemChar"/>
          <w:rtl/>
        </w:rPr>
        <w:t>عليه‌السلام</w:t>
      </w:r>
      <w:r w:rsidR="00D10E3C">
        <w:rPr>
          <w:rtl/>
          <w:lang w:bidi="fa-IR"/>
        </w:rPr>
        <w:t xml:space="preserve"> </w:t>
      </w:r>
      <w:r w:rsidR="00744A1C">
        <w:rPr>
          <w:rtl/>
          <w:lang w:bidi="fa-IR"/>
        </w:rPr>
        <w:t xml:space="preserve">بالبعث إليه أن يدعى لشفائه هناك عند قبر جدّه الشهيد </w:t>
      </w:r>
      <w:r w:rsidR="0061079A" w:rsidRPr="0061079A">
        <w:rPr>
          <w:rStyle w:val="libFootnoteAlaemChar"/>
          <w:rtl/>
        </w:rPr>
        <w:t>عليه‌السلام</w:t>
      </w:r>
      <w:r w:rsidR="00D10E3C">
        <w:rPr>
          <w:rtl/>
          <w:lang w:bidi="fa-IR"/>
        </w:rPr>
        <w:t xml:space="preserve"> </w:t>
      </w:r>
      <w:r w:rsidR="00744A1C">
        <w:rPr>
          <w:rtl/>
          <w:lang w:bidi="fa-IR"/>
        </w:rPr>
        <w:t xml:space="preserve">». ونحوه في </w:t>
      </w:r>
      <w:r w:rsidR="00744A1C" w:rsidRPr="00C24F9C">
        <w:rPr>
          <w:rStyle w:val="libFootnoteBoldChar"/>
          <w:rtl/>
        </w:rPr>
        <w:t>المرآة</w:t>
      </w:r>
      <w:r w:rsidR="00744A1C">
        <w:rPr>
          <w:rtl/>
          <w:lang w:bidi="fa-IR"/>
        </w:rPr>
        <w:t>.</w:t>
      </w:r>
    </w:p>
    <w:p w:rsidR="00744A1C" w:rsidRDefault="00E378DD" w:rsidP="00E378DD">
      <w:pPr>
        <w:pStyle w:val="libFootnote0"/>
        <w:rPr>
          <w:lang w:bidi="fa-IR"/>
        </w:rPr>
      </w:pPr>
      <w:r>
        <w:rPr>
          <w:rtl/>
          <w:lang w:bidi="fa-IR"/>
        </w:rPr>
        <w:t>(5).</w:t>
      </w:r>
      <w:r w:rsidR="00744A1C">
        <w:rPr>
          <w:rtl/>
          <w:lang w:bidi="fa-IR"/>
        </w:rPr>
        <w:t xml:space="preserve"> في « ى » </w:t>
      </w:r>
      <w:r w:rsidR="00744A1C" w:rsidRPr="0015125F">
        <w:rPr>
          <w:rtl/>
        </w:rPr>
        <w:t>والبحار وكامل الزيارات</w:t>
      </w:r>
      <w:r w:rsidR="00744A1C">
        <w:rPr>
          <w:rtl/>
          <w:lang w:bidi="fa-IR"/>
        </w:rPr>
        <w:t xml:space="preserve"> : - « ابعثوا إلى الحير ». وفي « بث ، بخ ، جن » : « الخير ».</w:t>
      </w:r>
    </w:p>
    <w:p w:rsidR="00744A1C" w:rsidRDefault="00E378DD" w:rsidP="00E378DD">
      <w:pPr>
        <w:pStyle w:val="libFootnote0"/>
        <w:rPr>
          <w:lang w:bidi="fa-IR"/>
        </w:rPr>
      </w:pPr>
      <w:r>
        <w:rPr>
          <w:rtl/>
          <w:lang w:bidi="fa-IR"/>
        </w:rPr>
        <w:t>(6).</w:t>
      </w:r>
      <w:r w:rsidR="00744A1C">
        <w:rPr>
          <w:rtl/>
          <w:lang w:bidi="fa-IR"/>
        </w:rPr>
        <w:t xml:space="preserve"> في « بث ، جن » : « الخير ». وفي </w:t>
      </w:r>
      <w:r w:rsidR="00744A1C" w:rsidRPr="0015125F">
        <w:rPr>
          <w:rtl/>
        </w:rPr>
        <w:t>كامل الزيارات</w:t>
      </w:r>
      <w:r w:rsidR="00744A1C">
        <w:rPr>
          <w:rtl/>
          <w:lang w:bidi="fa-IR"/>
        </w:rPr>
        <w:t xml:space="preserve"> : « الحائر ».</w:t>
      </w:r>
    </w:p>
    <w:tbl>
      <w:tblPr>
        <w:tblStyle w:val="TableGrid"/>
        <w:bidiVisual/>
        <w:tblW w:w="0" w:type="auto"/>
        <w:tblLook w:val="04A0" w:firstRow="1" w:lastRow="0" w:firstColumn="1" w:lastColumn="0" w:noHBand="0" w:noVBand="1"/>
      </w:tblPr>
      <w:tblGrid>
        <w:gridCol w:w="4006"/>
        <w:gridCol w:w="4006"/>
      </w:tblGrid>
      <w:tr w:rsidR="0015125F" w:rsidTr="0015125F">
        <w:tc>
          <w:tcPr>
            <w:tcW w:w="4006" w:type="dxa"/>
          </w:tcPr>
          <w:p w:rsidR="0015125F" w:rsidRDefault="0015125F" w:rsidP="00E378DD">
            <w:pPr>
              <w:pStyle w:val="libFootnote0"/>
              <w:rPr>
                <w:rtl/>
                <w:lang w:bidi="fa-IR"/>
              </w:rPr>
            </w:pPr>
            <w:r>
              <w:rPr>
                <w:rtl/>
                <w:lang w:bidi="fa-IR"/>
              </w:rPr>
              <w:t>(7). في « بف » : + « جعلت فداك ».</w:t>
            </w:r>
          </w:p>
        </w:tc>
        <w:tc>
          <w:tcPr>
            <w:tcW w:w="4006" w:type="dxa"/>
          </w:tcPr>
          <w:p w:rsidR="0015125F" w:rsidRDefault="0015125F" w:rsidP="00E378DD">
            <w:pPr>
              <w:pStyle w:val="libFootnote0"/>
              <w:rPr>
                <w:rtl/>
                <w:lang w:bidi="fa-IR"/>
              </w:rPr>
            </w:pPr>
            <w:r>
              <w:rPr>
                <w:rtl/>
                <w:lang w:bidi="fa-IR"/>
              </w:rPr>
              <w:t>(8). في « بح » : « إنّا نذهب ».</w:t>
            </w:r>
          </w:p>
        </w:tc>
      </w:tr>
    </w:tbl>
    <w:p w:rsidR="00744A1C" w:rsidRDefault="00E378DD" w:rsidP="00E378DD">
      <w:pPr>
        <w:pStyle w:val="libFootnote0"/>
        <w:rPr>
          <w:lang w:bidi="fa-IR"/>
        </w:rPr>
      </w:pPr>
      <w:r>
        <w:rPr>
          <w:rtl/>
          <w:lang w:bidi="fa-IR"/>
        </w:rPr>
        <w:t>(9).</w:t>
      </w:r>
      <w:r w:rsidR="00744A1C">
        <w:rPr>
          <w:rtl/>
          <w:lang w:bidi="fa-IR"/>
        </w:rPr>
        <w:t xml:space="preserve"> في « بث ، بخ ، جن » : « الخير ». وفي </w:t>
      </w:r>
      <w:r w:rsidR="00744A1C" w:rsidRPr="0015125F">
        <w:rPr>
          <w:rtl/>
        </w:rPr>
        <w:t>كامل الزيارات</w:t>
      </w:r>
      <w:r w:rsidR="00744A1C">
        <w:rPr>
          <w:rtl/>
          <w:lang w:bidi="fa-IR"/>
        </w:rPr>
        <w:t xml:space="preserve"> « الحائر ».</w:t>
      </w:r>
    </w:p>
    <w:p w:rsidR="00744A1C" w:rsidRDefault="00E378DD" w:rsidP="00E378DD">
      <w:pPr>
        <w:pStyle w:val="libFootnote0"/>
        <w:rPr>
          <w:lang w:bidi="fa-IR"/>
        </w:rPr>
      </w:pPr>
      <w:r>
        <w:rPr>
          <w:rtl/>
          <w:lang w:bidi="fa-IR"/>
        </w:rPr>
        <w:t>(10).</w:t>
      </w:r>
      <w:r w:rsidR="00744A1C">
        <w:rPr>
          <w:rtl/>
          <w:lang w:bidi="fa-IR"/>
        </w:rPr>
        <w:t xml:space="preserve"> في « ى ، بح ، بخ ، بس ، جد » </w:t>
      </w:r>
      <w:r w:rsidR="00744A1C" w:rsidRPr="0015125F">
        <w:rPr>
          <w:rtl/>
        </w:rPr>
        <w:t>وكامل الزيارات</w:t>
      </w:r>
      <w:r w:rsidR="00744A1C">
        <w:rPr>
          <w:rtl/>
          <w:lang w:bidi="fa-IR"/>
        </w:rPr>
        <w:t xml:space="preserve"> : « فقلت ».</w:t>
      </w:r>
    </w:p>
    <w:p w:rsidR="00744A1C" w:rsidRDefault="00E378DD" w:rsidP="00E378DD">
      <w:pPr>
        <w:pStyle w:val="libFootnote0"/>
        <w:rPr>
          <w:lang w:bidi="fa-IR"/>
        </w:rPr>
      </w:pPr>
      <w:r>
        <w:rPr>
          <w:rtl/>
          <w:lang w:bidi="fa-IR"/>
        </w:rPr>
        <w:t>(11).</w:t>
      </w:r>
      <w:r w:rsidR="00744A1C">
        <w:rPr>
          <w:rtl/>
          <w:lang w:bidi="fa-IR"/>
        </w:rPr>
        <w:t xml:space="preserve"> في « بخ ، جن » « الخير ». وفي « بث ، بف » : - « وقلت له : جعلت فداك ، أنا أذهب إلى الحير ». وفي </w:t>
      </w:r>
      <w:r w:rsidR="00744A1C" w:rsidRPr="0015125F">
        <w:rPr>
          <w:rtl/>
        </w:rPr>
        <w:t>كامل الزيارات</w:t>
      </w:r>
      <w:r w:rsidR="00744A1C">
        <w:rPr>
          <w:rtl/>
          <w:lang w:bidi="fa-IR"/>
        </w:rPr>
        <w:t xml:space="preserve"> : « الحائر ».</w:t>
      </w:r>
    </w:p>
    <w:p w:rsidR="00744A1C" w:rsidRDefault="00E378DD" w:rsidP="00A40653">
      <w:pPr>
        <w:pStyle w:val="libFootnote0"/>
        <w:rPr>
          <w:lang w:bidi="fa-IR"/>
        </w:rPr>
      </w:pPr>
      <w:r>
        <w:rPr>
          <w:rtl/>
          <w:lang w:bidi="fa-IR"/>
        </w:rPr>
        <w:t>(12).</w:t>
      </w:r>
      <w:r w:rsidR="00744A1C">
        <w:rPr>
          <w:rtl/>
          <w:lang w:bidi="fa-IR"/>
        </w:rPr>
        <w:t xml:space="preserve"> في </w:t>
      </w:r>
      <w:r w:rsidR="00744A1C" w:rsidRPr="00A40653">
        <w:rPr>
          <w:rtl/>
        </w:rPr>
        <w:t>الوسائل وكامل الزيارات</w:t>
      </w:r>
      <w:r w:rsidR="00744A1C">
        <w:rPr>
          <w:rtl/>
          <w:lang w:bidi="fa-IR"/>
        </w:rPr>
        <w:t xml:space="preserve"> : « ذلك ». وفي </w:t>
      </w:r>
      <w:r w:rsidR="00744A1C" w:rsidRPr="00C24F9C">
        <w:rPr>
          <w:rStyle w:val="libFootnoteBoldChar"/>
          <w:rtl/>
        </w:rPr>
        <w:t>الوافي</w:t>
      </w:r>
      <w:r w:rsidR="00744A1C">
        <w:rPr>
          <w:rtl/>
          <w:lang w:bidi="fa-IR"/>
        </w:rPr>
        <w:t xml:space="preserve"> : « أي تثبّتوا ولا تعجلوا في هذا الأمر ، ولا تفشوا خبر</w:t>
      </w:r>
      <w:r w:rsidR="00A40653">
        <w:rPr>
          <w:rFonts w:hint="cs"/>
          <w:rtl/>
          <w:lang w:bidi="fa-IR"/>
        </w:rPr>
        <w:t xml:space="preserve"> </w:t>
      </w:r>
      <w:r w:rsidR="00744A1C">
        <w:rPr>
          <w:rtl/>
          <w:lang w:bidi="fa-IR"/>
        </w:rPr>
        <w:t xml:space="preserve">مرضي هناك ». ونحوه في </w:t>
      </w:r>
      <w:r w:rsidR="00744A1C" w:rsidRPr="00C24F9C">
        <w:rPr>
          <w:rStyle w:val="libFootnoteBoldChar"/>
          <w:rtl/>
        </w:rPr>
        <w:t>المرآة</w:t>
      </w:r>
      <w:r w:rsidR="00744A1C">
        <w:rPr>
          <w:rtl/>
          <w:lang w:bidi="fa-IR"/>
        </w:rPr>
        <w:t>.</w:t>
      </w:r>
      <w:r w:rsidR="00A40653">
        <w:rPr>
          <w:rFonts w:hint="cs"/>
          <w:rtl/>
          <w:lang w:bidi="fa-IR"/>
        </w:rPr>
        <w:t xml:space="preserve">                         </w:t>
      </w:r>
      <w:r>
        <w:rPr>
          <w:rtl/>
          <w:lang w:bidi="fa-IR"/>
        </w:rPr>
        <w:t>(13).</w:t>
      </w:r>
      <w:r w:rsidR="00744A1C">
        <w:rPr>
          <w:rtl/>
          <w:lang w:bidi="fa-IR"/>
        </w:rPr>
        <w:t xml:space="preserve"> في « ى » </w:t>
      </w:r>
      <w:r w:rsidR="00744A1C" w:rsidRPr="00A40653">
        <w:rPr>
          <w:rtl/>
        </w:rPr>
        <w:t>والبحار وكامل الزيارات</w:t>
      </w:r>
      <w:r w:rsidR="00744A1C">
        <w:rPr>
          <w:rtl/>
          <w:lang w:bidi="fa-IR"/>
        </w:rPr>
        <w:t xml:space="preserve"> : - « لي ».</w:t>
      </w:r>
    </w:p>
    <w:p w:rsidR="00744A1C" w:rsidRDefault="00E378DD" w:rsidP="00E378DD">
      <w:pPr>
        <w:pStyle w:val="libFootnote0"/>
        <w:rPr>
          <w:lang w:bidi="fa-IR"/>
        </w:rPr>
      </w:pPr>
      <w:r>
        <w:rPr>
          <w:rtl/>
          <w:lang w:bidi="fa-IR"/>
        </w:rPr>
        <w:t>(14).</w:t>
      </w:r>
      <w:r w:rsidR="00744A1C">
        <w:rPr>
          <w:rtl/>
          <w:lang w:bidi="fa-IR"/>
        </w:rPr>
        <w:t xml:space="preserve"> في « ى ، جد » : « شرّ ».</w:t>
      </w:r>
    </w:p>
    <w:p w:rsidR="00150943" w:rsidRDefault="00150943" w:rsidP="00D10E3C">
      <w:pPr>
        <w:pStyle w:val="libNormal"/>
        <w:rPr>
          <w:rtl/>
          <w:lang w:bidi="fa-IR"/>
        </w:rPr>
      </w:pPr>
      <w:r>
        <w:rPr>
          <w:rtl/>
          <w:lang w:bidi="fa-IR"/>
        </w:rPr>
        <w:br w:type="page"/>
      </w:r>
    </w:p>
    <w:p w:rsidR="00744A1C" w:rsidRDefault="00744A1C" w:rsidP="00A40653">
      <w:pPr>
        <w:pStyle w:val="libNormal0"/>
        <w:rPr>
          <w:lang w:bidi="fa-IR"/>
        </w:rPr>
      </w:pPr>
      <w:r>
        <w:rPr>
          <w:rtl/>
          <w:lang w:bidi="fa-IR"/>
        </w:rPr>
        <w:lastRenderedPageBreak/>
        <w:t xml:space="preserve">وَأَنَا أَكْرَهُ أَنْ يَسْمَعَ ذلِكَ </w:t>
      </w:r>
      <w:r w:rsidRPr="00D10E3C">
        <w:rPr>
          <w:rStyle w:val="libFootnotenumChar"/>
          <w:rtl/>
        </w:rPr>
        <w:t>(1)</w:t>
      </w:r>
      <w:r>
        <w:rPr>
          <w:rtl/>
          <w:lang w:bidi="fa-IR"/>
        </w:rPr>
        <w:t xml:space="preserve"> ».</w:t>
      </w:r>
    </w:p>
    <w:p w:rsidR="00744A1C" w:rsidRDefault="00744A1C" w:rsidP="00744A1C">
      <w:pPr>
        <w:pStyle w:val="libNormal"/>
        <w:rPr>
          <w:lang w:bidi="fa-IR"/>
        </w:rPr>
      </w:pPr>
      <w:r>
        <w:rPr>
          <w:rtl/>
          <w:lang w:bidi="fa-IR"/>
        </w:rPr>
        <w:t xml:space="preserve">قَالَ : فَذَكَرْتُ ذلِكَ لِعَلِيِّ بْنِ بِلَالٍ ، فَقَالَ : مَا كَانَ </w:t>
      </w:r>
      <w:r w:rsidRPr="00D10E3C">
        <w:rPr>
          <w:rStyle w:val="libFootnotenumChar"/>
          <w:rtl/>
        </w:rPr>
        <w:t>(2)</w:t>
      </w:r>
      <w:r>
        <w:rPr>
          <w:rtl/>
          <w:lang w:bidi="fa-IR"/>
        </w:rPr>
        <w:t xml:space="preserve"> يَصْنَعُ بِالْحَيْرِ </w:t>
      </w:r>
      <w:r w:rsidRPr="00D10E3C">
        <w:rPr>
          <w:rStyle w:val="libFootnotenumChar"/>
          <w:rtl/>
        </w:rPr>
        <w:t>(3)</w:t>
      </w:r>
      <w:r>
        <w:rPr>
          <w:rtl/>
          <w:lang w:bidi="fa-IR"/>
        </w:rPr>
        <w:t xml:space="preserve">؟ وَهُوَ </w:t>
      </w:r>
      <w:r w:rsidRPr="00D10E3C">
        <w:rPr>
          <w:rStyle w:val="libFootnotenumChar"/>
          <w:rtl/>
        </w:rPr>
        <w:t>(4)</w:t>
      </w:r>
      <w:r>
        <w:rPr>
          <w:rtl/>
          <w:lang w:bidi="fa-IR"/>
        </w:rPr>
        <w:t xml:space="preserve"> الْحَيْرُ </w:t>
      </w:r>
      <w:r w:rsidRPr="00D10E3C">
        <w:rPr>
          <w:rStyle w:val="libFootnotenumChar"/>
          <w:rtl/>
        </w:rPr>
        <w:t>(5)</w:t>
      </w:r>
      <w:r>
        <w:rPr>
          <w:rtl/>
          <w:lang w:bidi="fa-IR"/>
        </w:rPr>
        <w:t xml:space="preserve"> ، فَقَدِمْتُ الْعَسْكَرَ ، فَدَخَلْتُ عَلَيْهِ ، فَقَالَ لِي : « اجْلِسْ » حِينَ أَرَدْتُ الْقِيَامَ ، فَلَمَّا رَأَيْتُهُ أَنِسَ بِي ، ذَكَرْتُ لَهُ قَوْلَ عَلِيِّ بْنِ بِلَالٍ ، فَقَالَ لِي : « أَلَاقُلْتَ لَهُ : إِنَّ رَسُولَ اللهِ </w:t>
      </w:r>
      <w:r w:rsidR="004D054E" w:rsidRPr="004D054E">
        <w:rPr>
          <w:rStyle w:val="libAlaemChar"/>
          <w:rtl/>
        </w:rPr>
        <w:t>صلى‌الله‌عليه‌وآله</w:t>
      </w:r>
      <w:r w:rsidR="00D10E3C">
        <w:rPr>
          <w:rtl/>
          <w:lang w:bidi="fa-IR"/>
        </w:rPr>
        <w:t xml:space="preserve"> </w:t>
      </w:r>
      <w:r>
        <w:rPr>
          <w:rtl/>
          <w:lang w:bidi="fa-IR"/>
        </w:rPr>
        <w:t xml:space="preserve">كَانَ يَطُوفُ بِالْبَيْتِ ، وَيُقَبِّلُ الْحَجَرَ ، وَحُرْمَةُ النَّبِيِّ وَالْمُؤْمِنِ أَعْظَمُ مِنْ حُرْمَةِ الْبَيْتِ ، وَأَمَرَهُ اللهُ - عَزَّ وَجَلَّ - أَنْ يَقِفَ بِعَرَفَةَ ، وَإِنَّمَا هِيَ مَوَاطِنُ </w:t>
      </w:r>
      <w:r w:rsidRPr="00D10E3C">
        <w:rPr>
          <w:rStyle w:val="libFootnotenumChar"/>
          <w:rtl/>
        </w:rPr>
        <w:t>(6)</w:t>
      </w:r>
      <w:r>
        <w:rPr>
          <w:rtl/>
          <w:lang w:bidi="fa-IR"/>
        </w:rPr>
        <w:t xml:space="preserve"> يُحِبُّ اللهُ أَنْ يُذْكَرَ فِيهَا ، فَأَنَا أُحِبُّ أَنْ يُدْعى </w:t>
      </w:r>
      <w:r w:rsidRPr="00D10E3C">
        <w:rPr>
          <w:rStyle w:val="libFootnotenumChar"/>
          <w:rtl/>
        </w:rPr>
        <w:t>(7)</w:t>
      </w:r>
      <w:r>
        <w:rPr>
          <w:rtl/>
          <w:lang w:bidi="fa-IR"/>
        </w:rPr>
        <w:t xml:space="preserve"> لِي حَيْثُ يُحِبُّ اللهُ أَنْ يُدْعى فِيهَا </w:t>
      </w:r>
      <w:r w:rsidRPr="00D10E3C">
        <w:rPr>
          <w:rStyle w:val="libFootnotenumChar"/>
          <w:rtl/>
        </w:rPr>
        <w:t>(8)</w:t>
      </w:r>
      <w:r>
        <w:rPr>
          <w:rtl/>
          <w:lang w:bidi="fa-IR"/>
        </w:rPr>
        <w:t xml:space="preserve"> » وَذَكَرَ عَنْهُ أَنَّهُ قَالَ </w:t>
      </w:r>
      <w:r w:rsidRPr="00D10E3C">
        <w:rPr>
          <w:rStyle w:val="libFootnotenumChar"/>
          <w:rtl/>
        </w:rPr>
        <w:t>(9)</w:t>
      </w:r>
      <w:r>
        <w:rPr>
          <w:rtl/>
          <w:lang w:bidi="fa-IR"/>
        </w:rPr>
        <w:t xml:space="preserve"> : وَلَمْ أَحْفَظْ عَنْهُ ، قَالَ </w:t>
      </w:r>
      <w:r w:rsidRPr="00D10E3C">
        <w:rPr>
          <w:rStyle w:val="libFootnotenumChar"/>
          <w:rtl/>
        </w:rPr>
        <w:t>(10)</w:t>
      </w:r>
      <w:r>
        <w:rPr>
          <w:rtl/>
          <w:lang w:bidi="fa-IR"/>
        </w:rPr>
        <w:t xml:space="preserve"> : « إِنَّمَا هذِهِ مَوَاضِعُ يُحِبُّ اللهُ أَنْ يُتَعَبَّدَ لَهُ </w:t>
      </w:r>
      <w:r w:rsidRPr="00D10E3C">
        <w:rPr>
          <w:rStyle w:val="libFootnotenumChar"/>
          <w:rtl/>
        </w:rPr>
        <w:t>(11)</w:t>
      </w:r>
      <w:r>
        <w:rPr>
          <w:rtl/>
          <w:lang w:bidi="fa-IR"/>
        </w:rPr>
        <w:t xml:space="preserve"> فِيهَا </w:t>
      </w:r>
      <w:r w:rsidRPr="00D10E3C">
        <w:rPr>
          <w:rStyle w:val="libFootnotenumChar"/>
          <w:rtl/>
        </w:rPr>
        <w:t>(12)</w:t>
      </w:r>
      <w:r>
        <w:rPr>
          <w:rtl/>
          <w:lang w:bidi="fa-IR"/>
        </w:rPr>
        <w:t xml:space="preserve"> ، فَأَنَا أُحِبُّ أَنْ يُدْعى لِي </w:t>
      </w:r>
      <w:r w:rsidRPr="00D10E3C">
        <w:rPr>
          <w:rStyle w:val="libFootnotenumChar"/>
          <w:rtl/>
        </w:rPr>
        <w:t>(13)</w:t>
      </w:r>
      <w:r>
        <w:rPr>
          <w:rtl/>
          <w:lang w:bidi="fa-IR"/>
        </w:rPr>
        <w:t xml:space="preserve"> حَيْثُ يُحِبُّ اللهُ </w:t>
      </w:r>
      <w:r w:rsidRPr="00D10E3C">
        <w:rPr>
          <w:rStyle w:val="libFootnotenumChar"/>
          <w:rtl/>
        </w:rPr>
        <w:t>(14)</w:t>
      </w:r>
      <w:r>
        <w:rPr>
          <w:rtl/>
          <w:lang w:bidi="fa-IR"/>
        </w:rPr>
        <w:t xml:space="preserve"> أَنْ يُعْبَدَ </w:t>
      </w:r>
      <w:r w:rsidRPr="00D10E3C">
        <w:rPr>
          <w:rStyle w:val="libFootnotenumChar"/>
          <w:rtl/>
        </w:rPr>
        <w:t>(15)</w:t>
      </w:r>
      <w:r w:rsidR="00A40653">
        <w:rPr>
          <w:rtl/>
          <w:lang w:bidi="fa-IR"/>
        </w:rPr>
        <w:t xml:space="preserve"> ، هَل</w:t>
      </w:r>
      <w:r w:rsidR="00A40653">
        <w:rPr>
          <w:rFonts w:hint="cs"/>
          <w:rtl/>
          <w:lang w:bidi="fa-IR"/>
        </w:rPr>
        <w:t>َّ</w:t>
      </w:r>
      <w:r w:rsidR="00A40653">
        <w:rPr>
          <w:rtl/>
          <w:lang w:bidi="fa-IR"/>
        </w:rPr>
        <w:t>ا</w:t>
      </w:r>
      <w:r>
        <w:rPr>
          <w:rtl/>
          <w:lang w:bidi="fa-IR"/>
        </w:rPr>
        <w:t xml:space="preserve"> </w:t>
      </w:r>
      <w:r w:rsidRPr="00D10E3C">
        <w:rPr>
          <w:rStyle w:val="libFootnotenumChar"/>
          <w:rtl/>
        </w:rPr>
        <w:t>(16)</w:t>
      </w:r>
      <w:r>
        <w:rPr>
          <w:rtl/>
          <w:lang w:bidi="fa-IR"/>
        </w:rPr>
        <w:t xml:space="preserve"> قُلْتَ لَهُ كَذَا </w:t>
      </w:r>
      <w:r w:rsidRPr="00D10E3C">
        <w:rPr>
          <w:rStyle w:val="libFootnotenumChar"/>
          <w:rtl/>
        </w:rPr>
        <w:t>(17)</w:t>
      </w:r>
      <w:r>
        <w:rPr>
          <w:rtl/>
          <w:lang w:bidi="fa-IR"/>
        </w:rPr>
        <w:t xml:space="preserve"> ».</w:t>
      </w:r>
    </w:p>
    <w:p w:rsidR="00744A1C" w:rsidRDefault="00744A1C" w:rsidP="00744A1C">
      <w:pPr>
        <w:pStyle w:val="libNormal"/>
        <w:rPr>
          <w:lang w:bidi="fa-IR"/>
        </w:rPr>
      </w:pPr>
      <w:r>
        <w:rPr>
          <w:rtl/>
          <w:lang w:bidi="fa-IR"/>
        </w:rPr>
        <w:t xml:space="preserve">قَالَ : قُلْتُ </w:t>
      </w:r>
      <w:r w:rsidRPr="00D10E3C">
        <w:rPr>
          <w:rStyle w:val="libFootnotenumChar"/>
          <w:rtl/>
        </w:rPr>
        <w:t>(18)</w:t>
      </w:r>
      <w:r>
        <w:rPr>
          <w:rtl/>
          <w:lang w:bidi="fa-IR"/>
        </w:rPr>
        <w:t xml:space="preserve"> : جُعِلْتُ فِدَاكَ ، لَوْ كُنْتُ أُحْسِنُ مِثْلَ هذَا ، لَمْ أَرُدَّ الْأَمْرَ عَلَيْكَ </w:t>
      </w:r>
      <w:r w:rsidRPr="00D10E3C">
        <w:rPr>
          <w:rStyle w:val="libFootnotenumChar"/>
          <w:rtl/>
        </w:rPr>
        <w:t>(19)</w:t>
      </w:r>
      <w:r>
        <w:rPr>
          <w:rtl/>
          <w:lang w:bidi="fa-IR"/>
        </w:rPr>
        <w:t xml:space="preserve"> ، هذِهِ</w:t>
      </w:r>
      <w:r w:rsidRPr="00D10E3C">
        <w:rPr>
          <w:rStyle w:val="libFootnotenumChar"/>
          <w:rtl/>
        </w:rPr>
        <w:t>(20)</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A40653" w:rsidTr="00A40653">
        <w:tc>
          <w:tcPr>
            <w:tcW w:w="4006" w:type="dxa"/>
          </w:tcPr>
          <w:p w:rsidR="00A40653" w:rsidRDefault="00A40653" w:rsidP="00E378DD">
            <w:pPr>
              <w:pStyle w:val="libFootnote0"/>
              <w:rPr>
                <w:rtl/>
                <w:lang w:bidi="fa-IR"/>
              </w:rPr>
            </w:pPr>
            <w:r>
              <w:rPr>
                <w:rtl/>
                <w:lang w:bidi="fa-IR"/>
              </w:rPr>
              <w:t xml:space="preserve">(1). في </w:t>
            </w:r>
            <w:r w:rsidRPr="00C24F9C">
              <w:rPr>
                <w:rStyle w:val="libFootnoteBoldChar"/>
                <w:rtl/>
              </w:rPr>
              <w:t>الوافي</w:t>
            </w:r>
            <w:r>
              <w:rPr>
                <w:rtl/>
                <w:lang w:bidi="fa-IR"/>
              </w:rPr>
              <w:t xml:space="preserve"> : « يعني خبر مرضي وشكواي ».</w:t>
            </w:r>
          </w:p>
        </w:tc>
        <w:tc>
          <w:tcPr>
            <w:tcW w:w="4006" w:type="dxa"/>
          </w:tcPr>
          <w:p w:rsidR="00A40653" w:rsidRDefault="00A40653" w:rsidP="00E378DD">
            <w:pPr>
              <w:pStyle w:val="libFootnote0"/>
              <w:rPr>
                <w:rtl/>
                <w:lang w:bidi="fa-IR"/>
              </w:rPr>
            </w:pPr>
            <w:r>
              <w:rPr>
                <w:rtl/>
                <w:lang w:bidi="fa-IR"/>
              </w:rPr>
              <w:t>(2). في « جن » : + « الحير ».</w:t>
            </w:r>
          </w:p>
        </w:tc>
      </w:tr>
    </w:tbl>
    <w:p w:rsidR="00744A1C" w:rsidRDefault="00E378DD" w:rsidP="00E378DD">
      <w:pPr>
        <w:pStyle w:val="libFootnote0"/>
        <w:rPr>
          <w:lang w:bidi="fa-IR"/>
        </w:rPr>
      </w:pPr>
      <w:r>
        <w:rPr>
          <w:rtl/>
          <w:lang w:bidi="fa-IR"/>
        </w:rPr>
        <w:t>(3).</w:t>
      </w:r>
      <w:r w:rsidR="00744A1C">
        <w:rPr>
          <w:rtl/>
          <w:lang w:bidi="fa-IR"/>
        </w:rPr>
        <w:t xml:space="preserve"> في « ى ، بس ، بف ، جد » </w:t>
      </w:r>
      <w:r w:rsidR="00744A1C" w:rsidRPr="00A40653">
        <w:rPr>
          <w:rtl/>
        </w:rPr>
        <w:t>والوافي والوسائل والبحار</w:t>
      </w:r>
      <w:r w:rsidR="00744A1C">
        <w:rPr>
          <w:rtl/>
          <w:lang w:bidi="fa-IR"/>
        </w:rPr>
        <w:t xml:space="preserve"> : « الحير ». وفي « بث » : « الخير ». وفي « جن » : - « بالحير ». وفي </w:t>
      </w:r>
      <w:r w:rsidR="00744A1C" w:rsidRPr="00A40653">
        <w:rPr>
          <w:rtl/>
        </w:rPr>
        <w:t>كامل الزيارات</w:t>
      </w:r>
      <w:r w:rsidR="00744A1C">
        <w:rPr>
          <w:rtl/>
          <w:lang w:bidi="fa-IR"/>
        </w:rPr>
        <w:t xml:space="preserve"> : « بالحائر ». </w:t>
      </w:r>
      <w:r w:rsidR="00A40653">
        <w:rPr>
          <w:rFonts w:hint="cs"/>
          <w:rtl/>
          <w:lang w:bidi="fa-IR"/>
        </w:rPr>
        <w:t xml:space="preserve">           </w:t>
      </w:r>
      <w:r>
        <w:rPr>
          <w:rtl/>
          <w:lang w:bidi="fa-IR"/>
        </w:rPr>
        <w:t>(4).</w:t>
      </w:r>
      <w:r w:rsidR="00744A1C">
        <w:rPr>
          <w:rtl/>
          <w:lang w:bidi="fa-IR"/>
        </w:rPr>
        <w:t xml:space="preserve"> في </w:t>
      </w:r>
      <w:r w:rsidR="00744A1C" w:rsidRPr="00A40653">
        <w:rPr>
          <w:rtl/>
        </w:rPr>
        <w:t>الوافي والوسائل والبحار</w:t>
      </w:r>
      <w:r w:rsidR="00744A1C">
        <w:rPr>
          <w:rtl/>
          <w:lang w:bidi="fa-IR"/>
        </w:rPr>
        <w:t xml:space="preserve"> : « هو » بدون الواو.</w:t>
      </w:r>
    </w:p>
    <w:p w:rsidR="00744A1C" w:rsidRDefault="00E378DD" w:rsidP="00E378DD">
      <w:pPr>
        <w:pStyle w:val="libFootnote0"/>
        <w:rPr>
          <w:lang w:bidi="fa-IR"/>
        </w:rPr>
      </w:pPr>
      <w:r>
        <w:rPr>
          <w:rtl/>
          <w:lang w:bidi="fa-IR"/>
        </w:rPr>
        <w:t>(5).</w:t>
      </w:r>
      <w:r w:rsidR="00744A1C">
        <w:rPr>
          <w:rtl/>
          <w:lang w:bidi="fa-IR"/>
        </w:rPr>
        <w:t xml:space="preserve"> في « بخ ، جن » : « الخير ». وفي </w:t>
      </w:r>
      <w:r w:rsidR="00744A1C" w:rsidRPr="00A40653">
        <w:rPr>
          <w:rtl/>
        </w:rPr>
        <w:t>كامل الزيارات</w:t>
      </w:r>
      <w:r w:rsidR="00744A1C">
        <w:rPr>
          <w:rtl/>
          <w:lang w:bidi="fa-IR"/>
        </w:rPr>
        <w:t xml:space="preserve"> : « الحائر ».</w:t>
      </w:r>
    </w:p>
    <w:p w:rsidR="00744A1C" w:rsidRDefault="00E378DD" w:rsidP="00E378DD">
      <w:pPr>
        <w:pStyle w:val="libFootnote0"/>
        <w:rPr>
          <w:lang w:bidi="fa-IR"/>
        </w:rPr>
      </w:pPr>
      <w:r>
        <w:rPr>
          <w:rtl/>
          <w:lang w:bidi="fa-IR"/>
        </w:rPr>
        <w:t>(6).</w:t>
      </w:r>
      <w:r w:rsidR="00744A1C">
        <w:rPr>
          <w:rtl/>
          <w:lang w:bidi="fa-IR"/>
        </w:rPr>
        <w:t xml:space="preserve"> في « بث ، جن » : « موطن ».</w:t>
      </w:r>
    </w:p>
    <w:p w:rsidR="00744A1C" w:rsidRDefault="00E378DD" w:rsidP="00E378DD">
      <w:pPr>
        <w:pStyle w:val="libFootnote0"/>
        <w:rPr>
          <w:lang w:bidi="fa-IR"/>
        </w:rPr>
      </w:pPr>
      <w:r>
        <w:rPr>
          <w:rtl/>
          <w:lang w:bidi="fa-IR"/>
        </w:rPr>
        <w:t>(7).</w:t>
      </w:r>
      <w:r w:rsidR="00744A1C">
        <w:rPr>
          <w:rtl/>
          <w:lang w:bidi="fa-IR"/>
        </w:rPr>
        <w:t xml:space="preserve"> هكذا في النسخ التي قوبلت </w:t>
      </w:r>
      <w:r w:rsidR="00744A1C" w:rsidRPr="00A40653">
        <w:rPr>
          <w:rtl/>
        </w:rPr>
        <w:t>والوسائل والبحار وكامل الزيارات</w:t>
      </w:r>
      <w:r w:rsidR="00744A1C">
        <w:rPr>
          <w:rtl/>
          <w:lang w:bidi="fa-IR"/>
        </w:rPr>
        <w:t>. وفي المطبوع : + « [ الله ] ».</w:t>
      </w:r>
    </w:p>
    <w:p w:rsidR="00744A1C" w:rsidRDefault="00E378DD" w:rsidP="00E378DD">
      <w:pPr>
        <w:pStyle w:val="libFootnote0"/>
        <w:rPr>
          <w:lang w:bidi="fa-IR"/>
        </w:rPr>
      </w:pPr>
      <w:r>
        <w:rPr>
          <w:rtl/>
          <w:lang w:bidi="fa-IR"/>
        </w:rPr>
        <w:t>(8).</w:t>
      </w:r>
      <w:r w:rsidR="00744A1C">
        <w:rPr>
          <w:rtl/>
          <w:lang w:bidi="fa-IR"/>
        </w:rPr>
        <w:t xml:space="preserve"> في </w:t>
      </w:r>
      <w:r w:rsidR="00744A1C" w:rsidRPr="00A40653">
        <w:rPr>
          <w:rtl/>
        </w:rPr>
        <w:t>كامل الزيارات</w:t>
      </w:r>
      <w:r w:rsidR="00744A1C">
        <w:rPr>
          <w:rtl/>
          <w:lang w:bidi="fa-IR"/>
        </w:rPr>
        <w:t xml:space="preserve"> : + « والحائر ( الحير ) من تلك المواضع ».</w:t>
      </w:r>
    </w:p>
    <w:tbl>
      <w:tblPr>
        <w:tblStyle w:val="TableGrid"/>
        <w:bidiVisual/>
        <w:tblW w:w="0" w:type="auto"/>
        <w:tblLook w:val="04A0" w:firstRow="1" w:lastRow="0" w:firstColumn="1" w:lastColumn="0" w:noHBand="0" w:noVBand="1"/>
      </w:tblPr>
      <w:tblGrid>
        <w:gridCol w:w="4006"/>
        <w:gridCol w:w="4006"/>
      </w:tblGrid>
      <w:tr w:rsidR="00A40653" w:rsidTr="00A40653">
        <w:tc>
          <w:tcPr>
            <w:tcW w:w="4006" w:type="dxa"/>
          </w:tcPr>
          <w:p w:rsidR="00A40653" w:rsidRDefault="00A40653" w:rsidP="00E378DD">
            <w:pPr>
              <w:pStyle w:val="libFootnote0"/>
              <w:rPr>
                <w:rtl/>
                <w:lang w:bidi="fa-IR"/>
              </w:rPr>
            </w:pPr>
            <w:r>
              <w:rPr>
                <w:rtl/>
                <w:lang w:bidi="fa-IR"/>
              </w:rPr>
              <w:t xml:space="preserve">(9). في </w:t>
            </w:r>
            <w:r w:rsidRPr="00A40653">
              <w:rPr>
                <w:rtl/>
              </w:rPr>
              <w:t>الوافي</w:t>
            </w:r>
            <w:r>
              <w:rPr>
                <w:rtl/>
                <w:lang w:bidi="fa-IR"/>
              </w:rPr>
              <w:t xml:space="preserve"> : « وقال ».</w:t>
            </w:r>
          </w:p>
        </w:tc>
        <w:tc>
          <w:tcPr>
            <w:tcW w:w="4006" w:type="dxa"/>
          </w:tcPr>
          <w:p w:rsidR="00A40653" w:rsidRDefault="00A40653" w:rsidP="00E378DD">
            <w:pPr>
              <w:pStyle w:val="libFootnote0"/>
              <w:rPr>
                <w:rtl/>
                <w:lang w:bidi="fa-IR"/>
              </w:rPr>
            </w:pPr>
            <w:r>
              <w:rPr>
                <w:rtl/>
                <w:lang w:bidi="fa-IR"/>
              </w:rPr>
              <w:t xml:space="preserve">(10). في « بف » </w:t>
            </w:r>
            <w:r w:rsidRPr="00A40653">
              <w:rPr>
                <w:rtl/>
              </w:rPr>
              <w:t>والوافي</w:t>
            </w:r>
            <w:r>
              <w:rPr>
                <w:rtl/>
                <w:lang w:bidi="fa-IR"/>
              </w:rPr>
              <w:t xml:space="preserve"> : - « قال ».</w:t>
            </w:r>
          </w:p>
        </w:tc>
      </w:tr>
    </w:tbl>
    <w:p w:rsidR="00744A1C" w:rsidRDefault="00E378DD" w:rsidP="00E378DD">
      <w:pPr>
        <w:pStyle w:val="libFootnote0"/>
        <w:rPr>
          <w:lang w:bidi="fa-IR"/>
        </w:rPr>
      </w:pPr>
      <w:r>
        <w:rPr>
          <w:rtl/>
          <w:lang w:bidi="fa-IR"/>
        </w:rPr>
        <w:t>(11).</w:t>
      </w:r>
      <w:r w:rsidR="00744A1C">
        <w:rPr>
          <w:rtl/>
          <w:lang w:bidi="fa-IR"/>
        </w:rPr>
        <w:t xml:space="preserve"> في « ى ، بث ، بس » </w:t>
      </w:r>
      <w:r w:rsidR="00744A1C" w:rsidRPr="00A40653">
        <w:rPr>
          <w:rtl/>
        </w:rPr>
        <w:t>والوسائل والبحار</w:t>
      </w:r>
      <w:r w:rsidR="00744A1C">
        <w:rPr>
          <w:rtl/>
          <w:lang w:bidi="fa-IR"/>
        </w:rPr>
        <w:t xml:space="preserve"> : - « له ».</w:t>
      </w:r>
    </w:p>
    <w:tbl>
      <w:tblPr>
        <w:tblStyle w:val="TableGrid"/>
        <w:bidiVisual/>
        <w:tblW w:w="0" w:type="auto"/>
        <w:tblLook w:val="04A0" w:firstRow="1" w:lastRow="0" w:firstColumn="1" w:lastColumn="0" w:noHBand="0" w:noVBand="1"/>
      </w:tblPr>
      <w:tblGrid>
        <w:gridCol w:w="4006"/>
        <w:gridCol w:w="4006"/>
      </w:tblGrid>
      <w:tr w:rsidR="00A40653" w:rsidTr="00A40653">
        <w:tc>
          <w:tcPr>
            <w:tcW w:w="4006" w:type="dxa"/>
          </w:tcPr>
          <w:p w:rsidR="00A40653" w:rsidRDefault="00A40653" w:rsidP="00E378DD">
            <w:pPr>
              <w:pStyle w:val="libFootnote0"/>
              <w:rPr>
                <w:rtl/>
                <w:lang w:bidi="fa-IR"/>
              </w:rPr>
            </w:pPr>
            <w:r>
              <w:rPr>
                <w:rtl/>
                <w:lang w:bidi="fa-IR"/>
              </w:rPr>
              <w:t>(12). في « بخ » : - « فأنا ا</w:t>
            </w:r>
            <w:r>
              <w:rPr>
                <w:rFonts w:hint="cs"/>
                <w:rtl/>
                <w:lang w:bidi="fa-IR"/>
              </w:rPr>
              <w:t>ُ</w:t>
            </w:r>
            <w:r>
              <w:rPr>
                <w:rtl/>
                <w:lang w:bidi="fa-IR"/>
              </w:rPr>
              <w:t>حبّ » إلى هنا.</w:t>
            </w:r>
          </w:p>
        </w:tc>
        <w:tc>
          <w:tcPr>
            <w:tcW w:w="4006" w:type="dxa"/>
          </w:tcPr>
          <w:p w:rsidR="00A40653" w:rsidRDefault="00A40653" w:rsidP="00E378DD">
            <w:pPr>
              <w:pStyle w:val="libFootnote0"/>
              <w:rPr>
                <w:rtl/>
                <w:lang w:bidi="fa-IR"/>
              </w:rPr>
            </w:pPr>
            <w:r>
              <w:rPr>
                <w:rtl/>
                <w:lang w:bidi="fa-IR"/>
              </w:rPr>
              <w:t>(13). في « بف » : « إليّ ».</w:t>
            </w:r>
          </w:p>
        </w:tc>
      </w:tr>
    </w:tbl>
    <w:p w:rsidR="00744A1C" w:rsidRDefault="00E378DD" w:rsidP="00E378DD">
      <w:pPr>
        <w:pStyle w:val="libFootnote0"/>
        <w:rPr>
          <w:lang w:bidi="fa-IR"/>
        </w:rPr>
      </w:pPr>
      <w:r>
        <w:rPr>
          <w:rtl/>
          <w:lang w:bidi="fa-IR"/>
        </w:rPr>
        <w:t>(14).</w:t>
      </w:r>
      <w:r w:rsidR="00744A1C">
        <w:rPr>
          <w:rtl/>
          <w:lang w:bidi="fa-IR"/>
        </w:rPr>
        <w:t xml:space="preserve"> في « ى » : - « الله ».</w:t>
      </w:r>
    </w:p>
    <w:p w:rsidR="00744A1C" w:rsidRDefault="00E378DD" w:rsidP="00E378DD">
      <w:pPr>
        <w:pStyle w:val="libFootnote0"/>
        <w:rPr>
          <w:lang w:bidi="fa-IR"/>
        </w:rPr>
      </w:pPr>
      <w:r>
        <w:rPr>
          <w:rtl/>
          <w:lang w:bidi="fa-IR"/>
        </w:rPr>
        <w:t>(15).</w:t>
      </w:r>
      <w:r w:rsidR="00744A1C">
        <w:rPr>
          <w:rtl/>
          <w:lang w:bidi="fa-IR"/>
        </w:rPr>
        <w:t xml:space="preserve"> في « بخ ، بف » </w:t>
      </w:r>
      <w:r w:rsidR="00744A1C" w:rsidRPr="00A40653">
        <w:rPr>
          <w:rtl/>
        </w:rPr>
        <w:t>والوافي</w:t>
      </w:r>
      <w:r w:rsidR="00744A1C">
        <w:rPr>
          <w:rtl/>
          <w:lang w:bidi="fa-IR"/>
        </w:rPr>
        <w:t xml:space="preserve"> : « أن يتعبّد ». وفي </w:t>
      </w:r>
      <w:r w:rsidR="00744A1C" w:rsidRPr="00A40653">
        <w:rPr>
          <w:rtl/>
        </w:rPr>
        <w:t>الوافي</w:t>
      </w:r>
      <w:r w:rsidR="00744A1C">
        <w:rPr>
          <w:rtl/>
          <w:lang w:bidi="fa-IR"/>
        </w:rPr>
        <w:t xml:space="preserve"> عن بعض النسخ : « أن تعبد ».</w:t>
      </w:r>
    </w:p>
    <w:p w:rsidR="00744A1C" w:rsidRDefault="00744A1C" w:rsidP="00D10E3C">
      <w:pPr>
        <w:pStyle w:val="libFootnote0"/>
        <w:rPr>
          <w:lang w:bidi="fa-IR"/>
        </w:rPr>
      </w:pPr>
      <w:r>
        <w:rPr>
          <w:rtl/>
          <w:lang w:bidi="fa-IR"/>
        </w:rPr>
        <w:t xml:space="preserve">(16) في « بث » : « </w:t>
      </w:r>
      <w:r w:rsidR="00A40653">
        <w:rPr>
          <w:rtl/>
          <w:lang w:bidi="fa-IR"/>
        </w:rPr>
        <w:t>أن يعيد هذا » بدل « أن يعبد هل</w:t>
      </w:r>
      <w:r w:rsidR="00A40653">
        <w:rPr>
          <w:rFonts w:hint="cs"/>
          <w:rtl/>
          <w:lang w:bidi="fa-IR"/>
        </w:rPr>
        <w:t>ّ</w:t>
      </w:r>
      <w:r w:rsidR="00A40653">
        <w:rPr>
          <w:rtl/>
          <w:lang w:bidi="fa-IR"/>
        </w:rPr>
        <w:t>ا</w:t>
      </w:r>
      <w:r>
        <w:rPr>
          <w:rtl/>
          <w:lang w:bidi="fa-IR"/>
        </w:rPr>
        <w:t xml:space="preserve"> ».</w:t>
      </w:r>
    </w:p>
    <w:p w:rsidR="00744A1C" w:rsidRDefault="00744A1C" w:rsidP="00D10E3C">
      <w:pPr>
        <w:pStyle w:val="libFootnote0"/>
        <w:rPr>
          <w:lang w:bidi="fa-IR"/>
        </w:rPr>
      </w:pPr>
      <w:r>
        <w:rPr>
          <w:rtl/>
          <w:lang w:bidi="fa-IR"/>
        </w:rPr>
        <w:t xml:space="preserve">(17) هكذا في معظم النسخ التي </w:t>
      </w:r>
      <w:r w:rsidRPr="00A40653">
        <w:rPr>
          <w:rtl/>
        </w:rPr>
        <w:t>قوبلت والوافي والوسائل والبحار</w:t>
      </w:r>
      <w:r>
        <w:rPr>
          <w:rtl/>
          <w:lang w:bidi="fa-IR"/>
        </w:rPr>
        <w:t>. وفي « بح » والمطبوع : + « وكذا ».</w:t>
      </w:r>
    </w:p>
    <w:tbl>
      <w:tblPr>
        <w:tblStyle w:val="TableGrid"/>
        <w:bidiVisual/>
        <w:tblW w:w="0" w:type="auto"/>
        <w:tblLook w:val="04A0" w:firstRow="1" w:lastRow="0" w:firstColumn="1" w:lastColumn="0" w:noHBand="0" w:noVBand="1"/>
      </w:tblPr>
      <w:tblGrid>
        <w:gridCol w:w="4006"/>
        <w:gridCol w:w="4006"/>
      </w:tblGrid>
      <w:tr w:rsidR="00A40653" w:rsidTr="00A40653">
        <w:tc>
          <w:tcPr>
            <w:tcW w:w="4006" w:type="dxa"/>
          </w:tcPr>
          <w:p w:rsidR="00A40653" w:rsidRDefault="00A40653" w:rsidP="00D10E3C">
            <w:pPr>
              <w:pStyle w:val="libFootnote0"/>
              <w:rPr>
                <w:rtl/>
                <w:lang w:bidi="fa-IR"/>
              </w:rPr>
            </w:pPr>
            <w:r>
              <w:rPr>
                <w:rtl/>
                <w:lang w:bidi="fa-IR"/>
              </w:rPr>
              <w:t>(18) في « بح ، بخ » : + « له ».</w:t>
            </w:r>
          </w:p>
        </w:tc>
        <w:tc>
          <w:tcPr>
            <w:tcW w:w="4006" w:type="dxa"/>
          </w:tcPr>
          <w:p w:rsidR="00A40653" w:rsidRDefault="00A40653" w:rsidP="00D10E3C">
            <w:pPr>
              <w:pStyle w:val="libFootnote0"/>
              <w:rPr>
                <w:rtl/>
                <w:lang w:bidi="fa-IR"/>
              </w:rPr>
            </w:pPr>
            <w:r>
              <w:rPr>
                <w:rtl/>
                <w:lang w:bidi="fa-IR"/>
              </w:rPr>
              <w:t xml:space="preserve">(19) في </w:t>
            </w:r>
            <w:r w:rsidRPr="00A40653">
              <w:rPr>
                <w:rtl/>
              </w:rPr>
              <w:t>الوسائل</w:t>
            </w:r>
            <w:r>
              <w:rPr>
                <w:rtl/>
                <w:lang w:bidi="fa-IR"/>
              </w:rPr>
              <w:t xml:space="preserve"> : « إليك ».</w:t>
            </w:r>
          </w:p>
        </w:tc>
      </w:tr>
    </w:tbl>
    <w:p w:rsidR="00744A1C" w:rsidRDefault="00744A1C" w:rsidP="00D10E3C">
      <w:pPr>
        <w:pStyle w:val="libFootnote0"/>
        <w:rPr>
          <w:lang w:bidi="fa-IR"/>
        </w:rPr>
      </w:pPr>
      <w:r>
        <w:rPr>
          <w:rtl/>
          <w:lang w:bidi="fa-IR"/>
        </w:rPr>
        <w:t>(20) في « ى » : « وهذه ».</w:t>
      </w:r>
    </w:p>
    <w:p w:rsidR="00150943" w:rsidRDefault="00150943" w:rsidP="00D10E3C">
      <w:pPr>
        <w:pStyle w:val="libNormal"/>
        <w:rPr>
          <w:rtl/>
          <w:lang w:bidi="fa-IR"/>
        </w:rPr>
      </w:pPr>
      <w:r>
        <w:rPr>
          <w:rtl/>
          <w:lang w:bidi="fa-IR"/>
        </w:rPr>
        <w:br w:type="page"/>
      </w:r>
    </w:p>
    <w:p w:rsidR="00144FA6" w:rsidRDefault="00744A1C" w:rsidP="0053492A">
      <w:pPr>
        <w:pStyle w:val="libNormal0"/>
        <w:rPr>
          <w:rtl/>
          <w:lang w:bidi="fa-IR"/>
        </w:rPr>
      </w:pPr>
      <w:r>
        <w:rPr>
          <w:rtl/>
          <w:lang w:bidi="fa-IR"/>
        </w:rPr>
        <w:lastRenderedPageBreak/>
        <w:t xml:space="preserve">أَلْفَاظُ أَبِي هَاشِمٍ لَيْسَتْ أَلْفَاظَهُ </w:t>
      </w:r>
      <w:r w:rsidRPr="00D10E3C">
        <w:rPr>
          <w:rStyle w:val="libFootnotenumChar"/>
          <w:rtl/>
        </w:rPr>
        <w:t>(1)</w:t>
      </w:r>
      <w:r w:rsidR="0053492A">
        <w:rPr>
          <w:rFonts w:hint="cs"/>
          <w:rtl/>
          <w:lang w:bidi="fa-IR"/>
        </w:rPr>
        <w:t>.</w:t>
      </w:r>
      <w:r w:rsidRPr="00D10E3C">
        <w:rPr>
          <w:rStyle w:val="libFootnotenumChar"/>
          <w:rtl/>
        </w:rPr>
        <w:t>(2)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هامش الطبعة الحجريّة : « إنّ الغرض منه الاستشفاء بحائر مولانا الشهيد أبي عبد الله الحسين </w:t>
      </w:r>
      <w:r w:rsidR="0061079A" w:rsidRPr="0061079A">
        <w:rPr>
          <w:rStyle w:val="libFootnoteAlaemChar"/>
          <w:rtl/>
        </w:rPr>
        <w:t>عليه‌السلام</w:t>
      </w:r>
      <w:r>
        <w:rPr>
          <w:rtl/>
          <w:lang w:bidi="fa-IR"/>
        </w:rPr>
        <w:t xml:space="preserve"> </w:t>
      </w:r>
      <w:r w:rsidR="00744A1C">
        <w:rPr>
          <w:rtl/>
          <w:lang w:bidi="fa-IR"/>
        </w:rPr>
        <w:t xml:space="preserve">؛ فإنّ أبا الحسن الهادي </w:t>
      </w:r>
      <w:r w:rsidR="0061079A" w:rsidRPr="0061079A">
        <w:rPr>
          <w:rStyle w:val="libFootnoteAlaemChar"/>
          <w:rtl/>
        </w:rPr>
        <w:t>عليه‌السلام</w:t>
      </w:r>
      <w:r>
        <w:rPr>
          <w:rtl/>
          <w:lang w:bidi="fa-IR"/>
        </w:rPr>
        <w:t xml:space="preserve"> </w:t>
      </w:r>
      <w:r w:rsidR="00744A1C">
        <w:rPr>
          <w:rtl/>
          <w:lang w:bidi="fa-IR"/>
        </w:rPr>
        <w:t xml:space="preserve">- مع أنّه إمام مفترض الطاعة ، وواجب العصمة ، كأبي عبد الله الحسين </w:t>
      </w:r>
      <w:r w:rsidR="0061079A" w:rsidRPr="0061079A">
        <w:rPr>
          <w:rStyle w:val="libFootnoteAlaemChar"/>
          <w:rtl/>
        </w:rPr>
        <w:t>عليه‌السلام</w:t>
      </w:r>
      <w:r>
        <w:rPr>
          <w:rtl/>
          <w:lang w:bidi="fa-IR"/>
        </w:rPr>
        <w:t xml:space="preserve"> </w:t>
      </w:r>
      <w:r w:rsidR="00144FA6">
        <w:rPr>
          <w:rtl/>
          <w:lang w:bidi="fa-IR"/>
        </w:rPr>
        <w:t>- لم</w:t>
      </w:r>
      <w:r w:rsidR="00144FA6">
        <w:rPr>
          <w:rFonts w:hint="cs"/>
          <w:rtl/>
          <w:lang w:bidi="fa-IR"/>
        </w:rPr>
        <w:t>ـّ</w:t>
      </w:r>
      <w:r w:rsidR="00744A1C">
        <w:rPr>
          <w:rtl/>
          <w:lang w:bidi="fa-IR"/>
        </w:rPr>
        <w:t>ا مرض استشفى بالحائر ، فغيره من شيعته وموالي</w:t>
      </w:r>
      <w:r w:rsidR="00144FA6">
        <w:rPr>
          <w:rtl/>
          <w:lang w:bidi="fa-IR"/>
        </w:rPr>
        <w:t>ه أولى به ، فحاصل مغزاه أنّه لم</w:t>
      </w:r>
      <w:r w:rsidR="00144FA6">
        <w:rPr>
          <w:rFonts w:hint="cs"/>
          <w:rtl/>
          <w:lang w:bidi="fa-IR"/>
        </w:rPr>
        <w:t>ـّ</w:t>
      </w:r>
      <w:r w:rsidR="00744A1C">
        <w:rPr>
          <w:rtl/>
          <w:lang w:bidi="fa-IR"/>
        </w:rPr>
        <w:t xml:space="preserve">ا مرض بعث إلى أبي هاشم الجعفري ، وهو من أولاد جعفر الطيّار ، وثقة عظيم الشأن ، وإلى محمّد بن القاسم بن حمزة ، وهو من أولاد زيد بن عليّ بن الحسين </w:t>
      </w:r>
      <w:r w:rsidR="00F112A7" w:rsidRPr="00CE5A92">
        <w:rPr>
          <w:rStyle w:val="libFootnoteAlaemChar"/>
          <w:rtl/>
        </w:rPr>
        <w:t>عليهما‌السلام</w:t>
      </w:r>
      <w:r w:rsidR="0053492A" w:rsidRPr="0053492A">
        <w:rPr>
          <w:rFonts w:hint="cs"/>
          <w:rtl/>
        </w:rPr>
        <w:t xml:space="preserve"> </w:t>
      </w:r>
      <w:r w:rsidR="00744A1C">
        <w:rPr>
          <w:rtl/>
          <w:lang w:bidi="fa-IR"/>
        </w:rPr>
        <w:t>منسوب إلى جدّه حمزة ، وهما من خواصّه ليبعثهما إلى الحائر لاستشفائه ، وطلب الدعاء له فيه ، فسبق محمّد أبا هاشم وبادر إليه ، فلمّا دخل عليه أمره بالذهاب إلى الحائر ، وبالغ فيه ، وترك التصريح به ، فقال تلويحاً : ابعثوا إلى الحير ؛ لأنّه كان ذلك في عهد المتوكّل ، وأمر التقيّة في زيارة الحائر هناك شديد ، فسكت محمّد عن الجواب وعن الذهاب إليه ؛ إمّا لعدم فهم المراد ، أو للخوف عن المتوكّل ، أو لزيادة اعتقاده في أنّ</w:t>
      </w:r>
      <w:r w:rsidR="00144FA6">
        <w:rPr>
          <w:rtl/>
          <w:lang w:bidi="fa-IR"/>
        </w:rPr>
        <w:t>ه غير محتاج إلى الاستشفاء ، ولم</w:t>
      </w:r>
      <w:r w:rsidR="00144FA6">
        <w:rPr>
          <w:rFonts w:hint="cs"/>
          <w:rtl/>
          <w:lang w:bidi="fa-IR"/>
        </w:rPr>
        <w:t>ـّ</w:t>
      </w:r>
      <w:r w:rsidR="00744A1C">
        <w:rPr>
          <w:rtl/>
          <w:lang w:bidi="fa-IR"/>
        </w:rPr>
        <w:t xml:space="preserve">ا خرج من عنده ، ولقيه أبو هاشم ، أخبره بالواقعة ، وبما قال </w:t>
      </w:r>
      <w:r w:rsidR="0061079A" w:rsidRPr="0061079A">
        <w:rPr>
          <w:rStyle w:val="libFootnoteAlaemChar"/>
          <w:rtl/>
        </w:rPr>
        <w:t>عليه‌السلام</w:t>
      </w:r>
      <w:r>
        <w:rPr>
          <w:rtl/>
          <w:lang w:bidi="fa-IR"/>
        </w:rPr>
        <w:t xml:space="preserve"> </w:t>
      </w:r>
      <w:r w:rsidR="00144FA6">
        <w:rPr>
          <w:rtl/>
          <w:lang w:bidi="fa-IR"/>
        </w:rPr>
        <w:t>له ، فقال له أبو هاشم : هل</w:t>
      </w:r>
      <w:r w:rsidR="00144FA6">
        <w:rPr>
          <w:rFonts w:hint="cs"/>
          <w:rtl/>
          <w:lang w:bidi="fa-IR"/>
        </w:rPr>
        <w:t>ّ</w:t>
      </w:r>
      <w:r w:rsidR="00144FA6">
        <w:rPr>
          <w:rtl/>
          <w:lang w:bidi="fa-IR"/>
        </w:rPr>
        <w:t>ا</w:t>
      </w:r>
      <w:r w:rsidR="00744A1C">
        <w:rPr>
          <w:rtl/>
          <w:lang w:bidi="fa-IR"/>
        </w:rPr>
        <w:t xml:space="preserve"> قلت : إنّى أذهب إلى الحائر ، ثمّ دخل عليه أبو هاشم ، فقال له : أنا أذهب إلى الحائر ، قال له : ا</w:t>
      </w:r>
      <w:r w:rsidR="00144FA6">
        <w:rPr>
          <w:rFonts w:hint="cs"/>
          <w:rtl/>
          <w:lang w:bidi="fa-IR"/>
        </w:rPr>
        <w:t>ُ</w:t>
      </w:r>
      <w:r w:rsidR="00744A1C">
        <w:rPr>
          <w:rtl/>
          <w:lang w:bidi="fa-IR"/>
        </w:rPr>
        <w:t xml:space="preserve">نظروا في ذلك. ولعلّ السرّفي الأمر بالنظر في الذهاب لما مرّ من شدّة أمر التقيّة ، وإنّه لابدّ أن يكون الذاهب إليه غير أبي هاشم لكونه من المشاهير. ثمّ قال </w:t>
      </w:r>
      <w:r w:rsidR="0061079A" w:rsidRPr="0061079A">
        <w:rPr>
          <w:rStyle w:val="libFootnoteAlaemChar"/>
          <w:rtl/>
        </w:rPr>
        <w:t>عليه‌السلام</w:t>
      </w:r>
      <w:r>
        <w:rPr>
          <w:rtl/>
          <w:lang w:bidi="fa-IR"/>
        </w:rPr>
        <w:t xml:space="preserve"> </w:t>
      </w:r>
      <w:r w:rsidR="00744A1C">
        <w:rPr>
          <w:rtl/>
          <w:lang w:bidi="fa-IR"/>
        </w:rPr>
        <w:t>لأبي هاشم : إنّ محمّد بن حمزة ليس له شرّ من زيد بن عليّ - بالشين المعجمة - على ما في الأصل ، أى ليس له شرّ من جهته ، وانّما هو من قبل نفسه حيث لم يجب أمامه في الذهاب إلى الحائر ، وليس له سرّ بالسين المهملة ، على ما في نسخة ؛ فإنّه لو كان له سرّ منه ، لقال مبادراً : أنا أذهب إلى الحائر ، وقبله بلا تأمّل وتفكّر ، فإنّ الولد سرّ أبيه ، وهذا السرّ إمّا متابعة الإمام ، أو الاعتقاد بزيارة</w:t>
      </w:r>
      <w:r w:rsidR="00144FA6">
        <w:rPr>
          <w:rtl/>
          <w:lang w:bidi="fa-IR"/>
        </w:rPr>
        <w:t xml:space="preserve"> الحائر ، أو الاستشفاء به ، ولم</w:t>
      </w:r>
      <w:r w:rsidR="00144FA6">
        <w:rPr>
          <w:rFonts w:hint="cs"/>
          <w:rtl/>
          <w:lang w:bidi="fa-IR"/>
        </w:rPr>
        <w:t>ـّ</w:t>
      </w:r>
      <w:r w:rsidR="00744A1C">
        <w:rPr>
          <w:rtl/>
          <w:lang w:bidi="fa-IR"/>
        </w:rPr>
        <w:t xml:space="preserve">ا كان في هذا الكلام منه </w:t>
      </w:r>
      <w:r w:rsidR="0061079A" w:rsidRPr="0061079A">
        <w:rPr>
          <w:rStyle w:val="libFootnoteAlaemChar"/>
          <w:rtl/>
        </w:rPr>
        <w:t>عليه‌السلام</w:t>
      </w:r>
      <w:r>
        <w:rPr>
          <w:rtl/>
          <w:lang w:bidi="fa-IR"/>
        </w:rPr>
        <w:t xml:space="preserve"> </w:t>
      </w:r>
      <w:r w:rsidR="00744A1C">
        <w:rPr>
          <w:rtl/>
          <w:lang w:bidi="fa-IR"/>
        </w:rPr>
        <w:t xml:space="preserve">نوع إيماء إلى مذمّة محمّد بن حمزة ، وسوء صنيعه بإمامه ، أشار </w:t>
      </w:r>
      <w:r w:rsidR="0061079A" w:rsidRPr="0061079A">
        <w:rPr>
          <w:rStyle w:val="libFootnoteAlaemChar"/>
          <w:rtl/>
        </w:rPr>
        <w:t>عليه‌السلام</w:t>
      </w:r>
      <w:r>
        <w:rPr>
          <w:rtl/>
          <w:lang w:bidi="fa-IR"/>
        </w:rPr>
        <w:t xml:space="preserve"> </w:t>
      </w:r>
      <w:r w:rsidR="00744A1C">
        <w:rPr>
          <w:rtl/>
          <w:lang w:bidi="fa-IR"/>
        </w:rPr>
        <w:t>إلى خفائه وعدم إسماعه إيّا</w:t>
      </w:r>
      <w:r w:rsidR="00144FA6">
        <w:rPr>
          <w:rtl/>
          <w:lang w:bidi="fa-IR"/>
        </w:rPr>
        <w:t>ه ، فقال : وأنا أكره إلخ ، لئل</w:t>
      </w:r>
      <w:r w:rsidR="00144FA6">
        <w:rPr>
          <w:rFonts w:hint="cs"/>
          <w:rtl/>
          <w:lang w:bidi="fa-IR"/>
        </w:rPr>
        <w:t>ّ</w:t>
      </w:r>
      <w:r w:rsidR="00144FA6">
        <w:rPr>
          <w:rtl/>
          <w:lang w:bidi="fa-IR"/>
        </w:rPr>
        <w:t>ا</w:t>
      </w:r>
      <w:r w:rsidR="00744A1C">
        <w:rPr>
          <w:rtl/>
          <w:lang w:bidi="fa-IR"/>
        </w:rPr>
        <w:t xml:space="preserve"> يخبره به أبو هاشم ، فيدخل عليه ما شاء الله. ثمّ ذكر الواقعة لعليّ بن بلال ، وهو من وكلائه ومعتمده ، وشاوره في أمر الذهاب إلى الحائر ، فنهى عنه معلّلاً بأنّه غير محتاج إليه لكو</w:t>
      </w:r>
      <w:r w:rsidR="00144FA6">
        <w:rPr>
          <w:rtl/>
          <w:lang w:bidi="fa-IR"/>
        </w:rPr>
        <w:t>نه حائراً بنفسه صانعاً له ، ولم</w:t>
      </w:r>
      <w:r w:rsidR="00144FA6">
        <w:rPr>
          <w:rFonts w:hint="cs"/>
          <w:rtl/>
          <w:lang w:bidi="fa-IR"/>
        </w:rPr>
        <w:t>ـّ</w:t>
      </w:r>
      <w:r w:rsidR="00744A1C">
        <w:rPr>
          <w:rtl/>
          <w:lang w:bidi="fa-IR"/>
        </w:rPr>
        <w:t>ا سمع ذلك منه قدم العسكر ، ودخل عليه مرّة ا</w:t>
      </w:r>
      <w:r w:rsidR="00144FA6">
        <w:rPr>
          <w:rFonts w:hint="cs"/>
          <w:rtl/>
          <w:lang w:bidi="fa-IR"/>
        </w:rPr>
        <w:t>ُ</w:t>
      </w:r>
      <w:r w:rsidR="00744A1C">
        <w:rPr>
          <w:rtl/>
          <w:lang w:bidi="fa-IR"/>
        </w:rPr>
        <w:t xml:space="preserve">خرى ، وذكر له قول عليّ بن بلال ، قال له : ألا قلت : إنّ رسول الله إلخ. وملخّص قوله </w:t>
      </w:r>
      <w:r w:rsidR="0061079A" w:rsidRPr="0061079A">
        <w:rPr>
          <w:rStyle w:val="libFootnoteAlaemChar"/>
          <w:rtl/>
        </w:rPr>
        <w:t>عليه‌السلام</w:t>
      </w:r>
      <w:r>
        <w:rPr>
          <w:rtl/>
          <w:lang w:bidi="fa-IR"/>
        </w:rPr>
        <w:t xml:space="preserve"> </w:t>
      </w:r>
      <w:r w:rsidR="00744A1C">
        <w:rPr>
          <w:rtl/>
          <w:lang w:bidi="fa-IR"/>
        </w:rPr>
        <w:t xml:space="preserve">: إنّ ما قال لك عليّ بن بلال وإن كان حقّاً من جهة أنّ النبيّ </w:t>
      </w:r>
      <w:r w:rsidR="00F90866" w:rsidRPr="00F90866">
        <w:rPr>
          <w:rStyle w:val="libFootnoteAlaemChar"/>
          <w:rtl/>
        </w:rPr>
        <w:t>صلى‌الله‌عليه‌وآله</w:t>
      </w:r>
      <w:r w:rsidR="00744A1C">
        <w:rPr>
          <w:rtl/>
          <w:lang w:bidi="fa-IR"/>
        </w:rPr>
        <w:t xml:space="preserve"> والأئمّة </w:t>
      </w:r>
      <w:r w:rsidR="00877682" w:rsidRPr="00877682">
        <w:rPr>
          <w:rStyle w:val="libFootnoteAlaemChar"/>
          <w:rtl/>
        </w:rPr>
        <w:t>عليهم‌السلام</w:t>
      </w:r>
      <w:r>
        <w:rPr>
          <w:rtl/>
          <w:lang w:bidi="fa-IR"/>
        </w:rPr>
        <w:t xml:space="preserve"> </w:t>
      </w:r>
      <w:r w:rsidR="00744A1C">
        <w:rPr>
          <w:rtl/>
          <w:lang w:bidi="fa-IR"/>
        </w:rPr>
        <w:t>بل المؤمن أيضا أعظم حرمة عن</w:t>
      </w:r>
      <w:r w:rsidR="00144FA6">
        <w:rPr>
          <w:rtl/>
          <w:lang w:bidi="fa-IR"/>
        </w:rPr>
        <w:t>د الله عزّوجلّ من المواطن ، إل</w:t>
      </w:r>
      <w:r w:rsidR="00144FA6">
        <w:rPr>
          <w:rFonts w:hint="cs"/>
          <w:rtl/>
          <w:lang w:bidi="fa-IR"/>
        </w:rPr>
        <w:t>ّ</w:t>
      </w:r>
      <w:r w:rsidR="00144FA6">
        <w:rPr>
          <w:rtl/>
          <w:lang w:bidi="fa-IR"/>
        </w:rPr>
        <w:t>ا</w:t>
      </w:r>
      <w:r w:rsidR="00744A1C">
        <w:rPr>
          <w:rtl/>
          <w:lang w:bidi="fa-IR"/>
        </w:rPr>
        <w:t xml:space="preserve"> أنّ له سبحانه في الأرض بقاعاً ومواطن يحبّ أن يذكر فيها ، ومن جملتها الحائر ، فأنا ا</w:t>
      </w:r>
      <w:r w:rsidR="00144FA6">
        <w:rPr>
          <w:rFonts w:hint="cs"/>
          <w:rtl/>
          <w:lang w:bidi="fa-IR"/>
        </w:rPr>
        <w:t>ُ</w:t>
      </w:r>
      <w:r w:rsidR="00744A1C">
        <w:rPr>
          <w:rtl/>
          <w:lang w:bidi="fa-IR"/>
        </w:rPr>
        <w:t>حبّ أن يدعى لي فيها ، فلذلك أمرت بالذهاب إلى الحائر للاستشفاء. وقوله : وذكر عنه أنّه قال إلخ ، كلام سهل بن زياد ، وغرضه أنّه يقول : ما ذكرته هو الذي سمعت أبا هاشم ، وأمّا غيري ذكر عنه أنّه قال : إنّما هي مواضع إلخ ، مكان قوله : إنّم</w:t>
      </w:r>
      <w:r w:rsidR="00144FA6">
        <w:rPr>
          <w:rtl/>
          <w:lang w:bidi="fa-IR"/>
        </w:rPr>
        <w:t>ا هي مواطن إلخ ، مع ضميمة : هل</w:t>
      </w:r>
      <w:r w:rsidR="00144FA6">
        <w:rPr>
          <w:rFonts w:hint="cs"/>
          <w:rtl/>
          <w:lang w:bidi="fa-IR"/>
        </w:rPr>
        <w:t>ّ</w:t>
      </w:r>
      <w:r w:rsidR="00144FA6">
        <w:rPr>
          <w:rtl/>
          <w:lang w:bidi="fa-IR"/>
        </w:rPr>
        <w:t>ا</w:t>
      </w:r>
      <w:r w:rsidR="00744A1C">
        <w:rPr>
          <w:rtl/>
          <w:lang w:bidi="fa-IR"/>
        </w:rPr>
        <w:t xml:space="preserve"> قلت له كذا ، قال : جعلت فداك - إلى قوله - لم أرّد الأمر عليك ولكنّي لم أحفظه عن أبي هاشم بهذا الوجه. وقوله : هذه ألفاظ أبي هاشم ، أي قوله : جعلت فداك إلخ ، ألفاظ أبي هاشم ، لا ألفاظ ذلك الغير ، أو إنّ هذا الخبر من ألفاظ أبي هاشم لا ألفاظ أبي الحسن </w:t>
      </w:r>
      <w:r w:rsidR="0061079A" w:rsidRPr="0061079A">
        <w:rPr>
          <w:rStyle w:val="libFootnoteAlaemChar"/>
          <w:rtl/>
        </w:rPr>
        <w:t>عليه‌السلام</w:t>
      </w:r>
      <w:r>
        <w:rPr>
          <w:rtl/>
          <w:lang w:bidi="fa-IR"/>
        </w:rPr>
        <w:t xml:space="preserve"> </w:t>
      </w:r>
      <w:r w:rsidR="00744A1C">
        <w:rPr>
          <w:rtl/>
          <w:lang w:bidi="fa-IR"/>
        </w:rPr>
        <w:t xml:space="preserve">، فكأنّه نقله بالمعنى والله أعلم. المجلسى - عليه الرحمة - انتهى. </w:t>
      </w:r>
      <w:r w:rsidR="00744A1C" w:rsidRPr="00144FA6">
        <w:rPr>
          <w:rStyle w:val="libFootnoteBoldChar"/>
          <w:rtl/>
        </w:rPr>
        <w:t>أقول</w:t>
      </w:r>
      <w:r w:rsidR="00744A1C">
        <w:rPr>
          <w:rtl/>
          <w:lang w:bidi="fa-IR"/>
        </w:rPr>
        <w:t xml:space="preserve"> : لم نجد في أحد من النسخ « شرّ » بالمعجمة ، ولم يتعرّض له الشرّاح ».</w:t>
      </w:r>
    </w:p>
    <w:p w:rsidR="00144FA6" w:rsidRDefault="00E378DD" w:rsidP="00E378DD">
      <w:pPr>
        <w:pStyle w:val="libFootnote0"/>
        <w:rPr>
          <w:rtl/>
          <w:lang w:bidi="fa-IR"/>
        </w:rPr>
      </w:pPr>
      <w:r>
        <w:rPr>
          <w:rtl/>
          <w:lang w:bidi="fa-IR"/>
        </w:rPr>
        <w:t>(2).</w:t>
      </w:r>
      <w:r w:rsidR="00744A1C">
        <w:rPr>
          <w:rtl/>
          <w:lang w:bidi="fa-IR"/>
        </w:rPr>
        <w:t xml:space="preserve"> </w:t>
      </w:r>
      <w:r w:rsidR="00744A1C" w:rsidRPr="007B299E">
        <w:rPr>
          <w:rStyle w:val="libFootnoteBoldChar"/>
          <w:rtl/>
        </w:rPr>
        <w:t>كامل الزيارات</w:t>
      </w:r>
      <w:r w:rsidR="00744A1C">
        <w:rPr>
          <w:rtl/>
          <w:lang w:bidi="fa-IR"/>
        </w:rPr>
        <w:t xml:space="preserve"> ، ص 273 ، الباب 90 ، ح 1 ، بسنده عن سهل بن زياد ، إلى قوله : « حيث يحبّ الله أن يدعى</w:t>
      </w:r>
      <w:r w:rsidR="00144FA6">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144FA6">
      <w:pPr>
        <w:pStyle w:val="Heading2Center"/>
        <w:rPr>
          <w:rtl/>
          <w:lang w:bidi="fa-IR"/>
        </w:rPr>
      </w:pPr>
      <w:bookmarkStart w:id="74" w:name="_Toc49261372"/>
      <w:r>
        <w:rPr>
          <w:rtl/>
          <w:lang w:bidi="fa-IR"/>
        </w:rPr>
        <w:lastRenderedPageBreak/>
        <w:t xml:space="preserve">227 - بَابُ مَا يُقَالُ عِنْدَ قَبْرِ أَمِيرِ الْمُؤْمِنِينَ </w:t>
      </w:r>
      <w:r w:rsidR="0061079A" w:rsidRPr="0061079A">
        <w:rPr>
          <w:rStyle w:val="libAlaemChar"/>
          <w:rtl/>
        </w:rPr>
        <w:t>عليه‌السلام</w:t>
      </w:r>
      <w:bookmarkEnd w:id="74"/>
    </w:p>
    <w:p w:rsidR="00144FA6" w:rsidRDefault="00744A1C" w:rsidP="00744A1C">
      <w:pPr>
        <w:pStyle w:val="libNormal"/>
        <w:rPr>
          <w:rtl/>
          <w:lang w:bidi="fa-IR"/>
        </w:rPr>
      </w:pPr>
      <w:r>
        <w:rPr>
          <w:rtl/>
          <w:lang w:bidi="fa-IR"/>
        </w:rPr>
        <w:t xml:space="preserve">8153 / 1. عِدَّةٌ مِنْ أَصْحَابِنَا </w:t>
      </w:r>
      <w:r w:rsidRPr="00D10E3C">
        <w:rPr>
          <w:rStyle w:val="libFootnotenumChar"/>
          <w:rtl/>
        </w:rPr>
        <w:t>(1)</w:t>
      </w:r>
      <w:r>
        <w:rPr>
          <w:rtl/>
          <w:lang w:bidi="fa-IR"/>
        </w:rPr>
        <w:t xml:space="preserve"> ، عَنْ سَهْلِ بْنِ زِيَادٍ ، عَنْ مُحَمَّدِ بْنِ أُورَمَةَ ، عَمَّنْ حَدَّثَهُ :</w:t>
      </w:r>
    </w:p>
    <w:p w:rsidR="00144FA6" w:rsidRDefault="00744A1C" w:rsidP="00744A1C">
      <w:pPr>
        <w:pStyle w:val="libNormal"/>
        <w:rPr>
          <w:rtl/>
          <w:lang w:bidi="fa-IR"/>
        </w:rPr>
      </w:pPr>
      <w:r>
        <w:rPr>
          <w:rtl/>
          <w:lang w:bidi="fa-IR"/>
        </w:rPr>
        <w:t xml:space="preserve">عَنِ الصَّادِقِ </w:t>
      </w:r>
      <w:r w:rsidRPr="00D10E3C">
        <w:rPr>
          <w:rStyle w:val="libFootnotenumChar"/>
          <w:rtl/>
        </w:rPr>
        <w:t>(2)</w:t>
      </w:r>
      <w:r>
        <w:rPr>
          <w:rtl/>
          <w:lang w:bidi="fa-IR"/>
        </w:rPr>
        <w:t xml:space="preserve"> أَبِي الْحَسَنِ الثَّالِثِ </w:t>
      </w:r>
      <w:r w:rsidR="0061079A" w:rsidRPr="0061079A">
        <w:rPr>
          <w:rStyle w:val="libAlaemChar"/>
          <w:rtl/>
        </w:rPr>
        <w:t>عليه‌السلام</w:t>
      </w:r>
      <w:r w:rsidR="00D10E3C">
        <w:rPr>
          <w:rtl/>
          <w:lang w:bidi="fa-IR"/>
        </w:rPr>
        <w:t xml:space="preserve"> </w:t>
      </w:r>
      <w:r>
        <w:rPr>
          <w:rtl/>
          <w:lang w:bidi="fa-IR"/>
        </w:rPr>
        <w:t xml:space="preserve">، قَالَ : « يَقُولُ </w:t>
      </w:r>
      <w:r w:rsidRPr="00D10E3C">
        <w:rPr>
          <w:rStyle w:val="libFootnotenumChar"/>
          <w:rtl/>
        </w:rPr>
        <w:t>(3)</w:t>
      </w:r>
      <w:r>
        <w:rPr>
          <w:rtl/>
          <w:lang w:bidi="fa-IR"/>
        </w:rPr>
        <w:t xml:space="preserve"> : السَّلَامُ عَلَيْكَ يَا وَلِيَّ اللهِ ، أَنْتَ أَوَّلُ مَظْلُومٍ ، وَأَوَّلُ مَنْ غُصِبَ حَقُّهُ ، صَبَرْتَ وَاحْتَسَبْتَ حَتّى أَتَاكَ الْيَقِينُ ، فَأَشْهَدُ </w:t>
      </w:r>
      <w:r w:rsidRPr="00D10E3C">
        <w:rPr>
          <w:rStyle w:val="libFootnotenumChar"/>
          <w:rtl/>
        </w:rPr>
        <w:t>(4)</w:t>
      </w:r>
      <w:r>
        <w:rPr>
          <w:rtl/>
          <w:lang w:bidi="fa-IR"/>
        </w:rPr>
        <w:t xml:space="preserve"> أَنَّكَ لَقِيتَ اللهَ ، وَأَنْتَ شَهِيدٌ ، عَذَّبَ اللهُ قَاتِلَكَ بِأَنْوَاعِ </w:t>
      </w:r>
      <w:r w:rsidRPr="00D10E3C">
        <w:rPr>
          <w:rStyle w:val="libFootnotenumChar"/>
          <w:rtl/>
        </w:rPr>
        <w:t>(5)</w:t>
      </w:r>
      <w:r>
        <w:rPr>
          <w:rtl/>
          <w:lang w:bidi="fa-IR"/>
        </w:rPr>
        <w:t xml:space="preserve"> الْعَذَابِ ، وَجَدَّدَ عَلَيْهِ الْعَذَابَ ، جِئْتُكَ عَارِفاً بِحَقِّكَ ، مُسْتَبْصِراً بِشَأْنِكَ </w:t>
      </w:r>
      <w:r w:rsidRPr="00D10E3C">
        <w:rPr>
          <w:rStyle w:val="libFootnotenumChar"/>
          <w:rtl/>
        </w:rPr>
        <w:t>(6)</w:t>
      </w:r>
      <w:r>
        <w:rPr>
          <w:rtl/>
          <w:lang w:bidi="fa-IR"/>
        </w:rPr>
        <w:t xml:space="preserve"> ، مُعَادِياً لِأَعْدَائِكَ وَمَنْ ظَلَمَكَ ، أَلْقى عَلى ذلِكَ </w:t>
      </w:r>
      <w:r w:rsidRPr="00D10E3C">
        <w:rPr>
          <w:rStyle w:val="libFootnotenumChar"/>
          <w:rtl/>
        </w:rPr>
        <w:t>(7)</w:t>
      </w:r>
      <w:r>
        <w:rPr>
          <w:rtl/>
          <w:lang w:bidi="fa-IR"/>
        </w:rPr>
        <w:t xml:space="preserve"> رَبِّي إِنْ شَاءَ اللهُ ، يَا وَلِيَّ اللهِ </w:t>
      </w:r>
      <w:r w:rsidRPr="00D10E3C">
        <w:rPr>
          <w:rStyle w:val="libFootnotenumChar"/>
          <w:rtl/>
        </w:rPr>
        <w:t>(8)</w:t>
      </w:r>
      <w:r>
        <w:rPr>
          <w:rtl/>
          <w:lang w:bidi="fa-IR"/>
        </w:rPr>
        <w:t xml:space="preserve"> ، إِنَّ لِي ذُنُوباً كَثِيرَةً ، فَاشْفَعْ لِي إِلى رَبِّكَ ؛ فَإِنَّ لَكَ عِنْدَ اللهِ مَقَاماً مَحْمُوداً </w:t>
      </w:r>
      <w:r w:rsidRPr="00D10E3C">
        <w:rPr>
          <w:rStyle w:val="libFootnotenumChar"/>
          <w:rtl/>
        </w:rPr>
        <w:t>(9)</w:t>
      </w:r>
      <w:r>
        <w:rPr>
          <w:rtl/>
          <w:lang w:bidi="fa-IR"/>
        </w:rPr>
        <w:t xml:space="preserve"> مَعْلُوماً </w:t>
      </w:r>
      <w:r w:rsidRPr="00D10E3C">
        <w:rPr>
          <w:rStyle w:val="libFootnotenumChar"/>
          <w:rtl/>
        </w:rPr>
        <w:t>(10)</w:t>
      </w:r>
      <w:r>
        <w:rPr>
          <w:rtl/>
          <w:lang w:bidi="fa-IR"/>
        </w:rPr>
        <w:t xml:space="preserve"> ، وَإِنَّ لَكَ عِنْدَ اللهِ جَاهاً وَشَفَاعَةً ، وَقَدْ </w:t>
      </w:r>
      <w:r w:rsidRPr="00D10E3C">
        <w:rPr>
          <w:rStyle w:val="libFootnotenumChar"/>
          <w:rtl/>
        </w:rPr>
        <w:t>(11)</w:t>
      </w:r>
      <w:r>
        <w:rPr>
          <w:rtl/>
          <w:lang w:bidi="fa-IR"/>
        </w:rPr>
        <w:t xml:space="preserve"> قَالَ اللهُ </w:t>
      </w:r>
      <w:r w:rsidRPr="00D10E3C">
        <w:rPr>
          <w:rStyle w:val="libFootnotenumChar"/>
          <w:rtl/>
        </w:rPr>
        <w:t>(12)</w:t>
      </w:r>
      <w:r>
        <w:rPr>
          <w:rtl/>
          <w:lang w:bidi="fa-IR"/>
        </w:rPr>
        <w:t xml:space="preserve"> تَعَالى : </w:t>
      </w:r>
      <w:r w:rsidRPr="00144FA6">
        <w:rPr>
          <w:rStyle w:val="libAlaemChar"/>
          <w:rtl/>
        </w:rPr>
        <w:t>(</w:t>
      </w:r>
      <w:r w:rsidR="00144FA6">
        <w:rPr>
          <w:rStyle w:val="libAieChar"/>
          <w:rtl/>
        </w:rPr>
        <w:t xml:space="preserve"> وَلَا يَشْفَعُونَ إِل</w:t>
      </w:r>
      <w:r w:rsidR="00144FA6">
        <w:rPr>
          <w:rStyle w:val="libAieChar"/>
          <w:rFonts w:hint="cs"/>
          <w:rtl/>
        </w:rPr>
        <w:t>َّ</w:t>
      </w:r>
      <w:r w:rsidR="00144FA6">
        <w:rPr>
          <w:rStyle w:val="libAieChar"/>
          <w:rtl/>
        </w:rPr>
        <w:t>ا</w:t>
      </w:r>
      <w:r w:rsidRPr="00144FA6">
        <w:rPr>
          <w:rStyle w:val="libAieChar"/>
          <w:rtl/>
        </w:rPr>
        <w:t xml:space="preserve"> لِمَنِ ارْتَضى </w:t>
      </w:r>
      <w:r w:rsidRPr="00144FA6">
        <w:rPr>
          <w:rStyle w:val="libAlaemChar"/>
          <w:rtl/>
        </w:rPr>
        <w:t>)</w:t>
      </w:r>
      <w:r>
        <w:rPr>
          <w:rtl/>
          <w:lang w:bidi="fa-IR"/>
        </w:rPr>
        <w:t xml:space="preserve"> </w:t>
      </w:r>
      <w:r w:rsidRPr="00D10E3C">
        <w:rPr>
          <w:rStyle w:val="libFootnotenumChar"/>
          <w:rtl/>
        </w:rPr>
        <w:t>(13)</w:t>
      </w:r>
      <w:r>
        <w:rPr>
          <w:rtl/>
          <w:lang w:bidi="fa-IR"/>
        </w:rPr>
        <w:t xml:space="preserve"> ».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144FA6" w:rsidP="00D10E3C">
      <w:pPr>
        <w:pStyle w:val="libFootnote0"/>
        <w:rPr>
          <w:lang w:bidi="fa-IR"/>
        </w:rPr>
      </w:pPr>
      <w:r>
        <w:rPr>
          <w:rFonts w:hint="cs"/>
          <w:rtl/>
          <w:lang w:bidi="fa-IR"/>
        </w:rPr>
        <w:t xml:space="preserve">= </w:t>
      </w:r>
      <w:r w:rsidR="00744A1C">
        <w:rPr>
          <w:rtl/>
          <w:lang w:bidi="fa-IR"/>
        </w:rPr>
        <w:t xml:space="preserve">فيها » </w:t>
      </w:r>
      <w:r>
        <w:rPr>
          <w:rFonts w:hint="cs"/>
          <w:rtl/>
          <w:lang w:bidi="fa-IR"/>
        </w:rPr>
        <w:t>.</w:t>
      </w:r>
      <w:r w:rsidR="00744A1C" w:rsidRPr="00C24F9C">
        <w:rPr>
          <w:rStyle w:val="libFootnoteBoldChar"/>
          <w:rtl/>
        </w:rPr>
        <w:t>الوافي</w:t>
      </w:r>
      <w:r w:rsidR="00744A1C">
        <w:rPr>
          <w:rtl/>
          <w:lang w:bidi="fa-IR"/>
        </w:rPr>
        <w:t xml:space="preserve"> ، ج 14 ، ص 1334 ، ح 14364 ؛ </w:t>
      </w:r>
      <w:r w:rsidR="00744A1C" w:rsidRPr="00C24F9C">
        <w:rPr>
          <w:rStyle w:val="libFootnoteBoldChar"/>
          <w:rtl/>
        </w:rPr>
        <w:t>الوسائل</w:t>
      </w:r>
      <w:r w:rsidR="00744A1C">
        <w:rPr>
          <w:rtl/>
          <w:lang w:bidi="fa-IR"/>
        </w:rPr>
        <w:t xml:space="preserve"> ، ج 14 ، ص 537 ، ح 19775 ؛ </w:t>
      </w:r>
      <w:r w:rsidR="00744A1C" w:rsidRPr="0061079A">
        <w:rPr>
          <w:rStyle w:val="libFootnoteBoldChar"/>
          <w:rtl/>
        </w:rPr>
        <w:t>البحار</w:t>
      </w:r>
      <w:r w:rsidR="00744A1C">
        <w:rPr>
          <w:rtl/>
          <w:lang w:bidi="fa-IR"/>
        </w:rPr>
        <w:t xml:space="preserve"> ، ج 50 ، ص 224 ، ح 13.</w:t>
      </w:r>
    </w:p>
    <w:p w:rsidR="00744A1C" w:rsidRDefault="00D10E3C" w:rsidP="00D10E3C">
      <w:pPr>
        <w:pStyle w:val="libFootnote0"/>
        <w:rPr>
          <w:lang w:bidi="fa-IR"/>
        </w:rPr>
      </w:pPr>
      <w:r>
        <w:rPr>
          <w:rtl/>
          <w:lang w:bidi="fa-IR"/>
        </w:rPr>
        <w:t>(1).</w:t>
      </w:r>
      <w:r w:rsidR="00744A1C">
        <w:rPr>
          <w:rtl/>
          <w:lang w:bidi="fa-IR"/>
        </w:rPr>
        <w:t xml:space="preserve"> في </w:t>
      </w:r>
      <w:r w:rsidR="00744A1C" w:rsidRPr="00144FA6">
        <w:rPr>
          <w:rtl/>
        </w:rPr>
        <w:t>كامل الزيارات</w:t>
      </w:r>
      <w:r w:rsidR="00744A1C">
        <w:rPr>
          <w:rtl/>
          <w:lang w:bidi="fa-IR"/>
        </w:rPr>
        <w:t xml:space="preserve"> : « عمّن حدّثه » بدل « عدّة من أصحابنا ».</w:t>
      </w:r>
    </w:p>
    <w:p w:rsidR="00744A1C" w:rsidRDefault="00E378DD" w:rsidP="00E378DD">
      <w:pPr>
        <w:pStyle w:val="libFootnote0"/>
        <w:rPr>
          <w:lang w:bidi="fa-IR"/>
        </w:rPr>
      </w:pPr>
      <w:r>
        <w:rPr>
          <w:rtl/>
          <w:lang w:bidi="fa-IR"/>
        </w:rPr>
        <w:t>(2).</w:t>
      </w:r>
      <w:r w:rsidR="00744A1C">
        <w:rPr>
          <w:rtl/>
          <w:lang w:bidi="fa-IR"/>
        </w:rPr>
        <w:t xml:space="preserve"> في </w:t>
      </w:r>
      <w:r w:rsidR="00744A1C" w:rsidRPr="00144FA6">
        <w:rPr>
          <w:rtl/>
        </w:rPr>
        <w:t>التهذيب</w:t>
      </w:r>
      <w:r w:rsidR="00144FA6" w:rsidRPr="00144FA6">
        <w:rPr>
          <w:rFonts w:hint="cs"/>
          <w:rtl/>
        </w:rPr>
        <w:t xml:space="preserve"> </w:t>
      </w:r>
      <w:r w:rsidR="00744A1C">
        <w:rPr>
          <w:rtl/>
          <w:lang w:bidi="fa-IR"/>
        </w:rPr>
        <w:t xml:space="preserve">+ « و» ، وهو غير مذكور في بعض نسخه. وفي </w:t>
      </w:r>
      <w:r w:rsidR="00744A1C" w:rsidRPr="00144FA6">
        <w:rPr>
          <w:rtl/>
        </w:rPr>
        <w:t>كامل الزيارات</w:t>
      </w:r>
      <w:r w:rsidR="00744A1C">
        <w:rPr>
          <w:rtl/>
          <w:lang w:bidi="fa-IR"/>
        </w:rPr>
        <w:t xml:space="preserve"> : + « أو ».</w:t>
      </w:r>
    </w:p>
    <w:p w:rsidR="00744A1C" w:rsidRDefault="00E378DD" w:rsidP="00E378DD">
      <w:pPr>
        <w:pStyle w:val="libFootnote0"/>
        <w:rPr>
          <w:lang w:bidi="fa-IR"/>
        </w:rPr>
      </w:pPr>
      <w:r>
        <w:rPr>
          <w:rtl/>
          <w:lang w:bidi="fa-IR"/>
        </w:rPr>
        <w:t>(3).</w:t>
      </w:r>
      <w:r w:rsidR="00744A1C">
        <w:rPr>
          <w:rtl/>
          <w:lang w:bidi="fa-IR"/>
        </w:rPr>
        <w:t xml:space="preserve"> في « بح ، بس ، جد » </w:t>
      </w:r>
      <w:r w:rsidR="00744A1C" w:rsidRPr="00144FA6">
        <w:rPr>
          <w:rtl/>
        </w:rPr>
        <w:t>والوافي والوسائل والتهذيب وكامل الزيارات</w:t>
      </w:r>
      <w:r w:rsidR="00744A1C">
        <w:rPr>
          <w:rtl/>
          <w:lang w:bidi="fa-IR"/>
        </w:rPr>
        <w:t xml:space="preserve"> : « تقول ». وفي </w:t>
      </w:r>
      <w:r w:rsidR="00744A1C" w:rsidRPr="00144FA6">
        <w:rPr>
          <w:rtl/>
        </w:rPr>
        <w:t>الوافي والتهذيب وكامل الزيارات</w:t>
      </w:r>
      <w:r w:rsidR="00744A1C">
        <w:rPr>
          <w:rtl/>
          <w:lang w:bidi="fa-IR"/>
        </w:rPr>
        <w:t xml:space="preserve"> : + « عند قبر أمير المؤمنين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في « بح » </w:t>
      </w:r>
      <w:r w:rsidR="00744A1C" w:rsidRPr="00144FA6">
        <w:rPr>
          <w:rtl/>
        </w:rPr>
        <w:t>والوافي والوسائل والفقيه والتهذيب</w:t>
      </w:r>
      <w:r w:rsidR="00744A1C">
        <w:rPr>
          <w:rtl/>
          <w:lang w:bidi="fa-IR"/>
        </w:rPr>
        <w:t xml:space="preserve"> </w:t>
      </w:r>
      <w:r w:rsidR="00744A1C" w:rsidRPr="00144FA6">
        <w:rPr>
          <w:rtl/>
        </w:rPr>
        <w:t>وكامل الزيارات :</w:t>
      </w:r>
      <w:r w:rsidR="00744A1C">
        <w:rPr>
          <w:rtl/>
          <w:lang w:bidi="fa-IR"/>
        </w:rPr>
        <w:t xml:space="preserve"> « واشهد ».</w:t>
      </w:r>
    </w:p>
    <w:p w:rsidR="00744A1C" w:rsidRDefault="00E378DD" w:rsidP="00E378DD">
      <w:pPr>
        <w:pStyle w:val="libFootnote0"/>
        <w:rPr>
          <w:lang w:bidi="fa-IR"/>
        </w:rPr>
      </w:pPr>
      <w:r>
        <w:rPr>
          <w:rtl/>
          <w:lang w:bidi="fa-IR"/>
        </w:rPr>
        <w:t>(5).</w:t>
      </w:r>
      <w:r w:rsidR="00744A1C">
        <w:rPr>
          <w:rtl/>
          <w:lang w:bidi="fa-IR"/>
        </w:rPr>
        <w:t xml:space="preserve"> في « بث » : « أنواع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 مستنصراً لأوليائك ». وفي </w:t>
      </w:r>
      <w:r w:rsidR="00744A1C" w:rsidRPr="00144FA6">
        <w:rPr>
          <w:rtl/>
        </w:rPr>
        <w:t>كامل الزيارات</w:t>
      </w:r>
      <w:r w:rsidR="00744A1C">
        <w:rPr>
          <w:rtl/>
          <w:lang w:bidi="fa-IR"/>
        </w:rPr>
        <w:t xml:space="preserve"> : + « موالياً لأوليائك ».</w:t>
      </w:r>
    </w:p>
    <w:tbl>
      <w:tblPr>
        <w:tblStyle w:val="TableGrid"/>
        <w:bidiVisual/>
        <w:tblW w:w="0" w:type="auto"/>
        <w:tblLook w:val="04A0" w:firstRow="1" w:lastRow="0" w:firstColumn="1" w:lastColumn="0" w:noHBand="0" w:noVBand="1"/>
      </w:tblPr>
      <w:tblGrid>
        <w:gridCol w:w="4006"/>
        <w:gridCol w:w="4006"/>
      </w:tblGrid>
      <w:tr w:rsidR="00144FA6" w:rsidTr="00144FA6">
        <w:tc>
          <w:tcPr>
            <w:tcW w:w="4006" w:type="dxa"/>
          </w:tcPr>
          <w:p w:rsidR="00144FA6" w:rsidRDefault="00144FA6" w:rsidP="00E378DD">
            <w:pPr>
              <w:pStyle w:val="libFootnote0"/>
              <w:rPr>
                <w:rtl/>
                <w:lang w:bidi="fa-IR"/>
              </w:rPr>
            </w:pPr>
            <w:r>
              <w:rPr>
                <w:rtl/>
                <w:lang w:bidi="fa-IR"/>
              </w:rPr>
              <w:t xml:space="preserve">(7). في </w:t>
            </w:r>
            <w:r w:rsidRPr="00144FA6">
              <w:rPr>
                <w:rtl/>
              </w:rPr>
              <w:t>الوسائل</w:t>
            </w:r>
            <w:r>
              <w:rPr>
                <w:rtl/>
                <w:lang w:bidi="fa-IR"/>
              </w:rPr>
              <w:t xml:space="preserve"> : « بذلك » بدل « على ذلك ».</w:t>
            </w:r>
          </w:p>
        </w:tc>
        <w:tc>
          <w:tcPr>
            <w:tcW w:w="4006" w:type="dxa"/>
          </w:tcPr>
          <w:p w:rsidR="00144FA6" w:rsidRDefault="00144FA6" w:rsidP="00E378DD">
            <w:pPr>
              <w:pStyle w:val="libFootnote0"/>
              <w:rPr>
                <w:rtl/>
                <w:lang w:bidi="fa-IR"/>
              </w:rPr>
            </w:pPr>
            <w:r>
              <w:rPr>
                <w:rtl/>
                <w:lang w:bidi="fa-IR"/>
              </w:rPr>
              <w:t xml:space="preserve">(8). في </w:t>
            </w:r>
            <w:r w:rsidRPr="00144FA6">
              <w:rPr>
                <w:rtl/>
              </w:rPr>
              <w:t>الفقيه وكامل الزيارات</w:t>
            </w:r>
            <w:r>
              <w:rPr>
                <w:rtl/>
                <w:lang w:bidi="fa-IR"/>
              </w:rPr>
              <w:t xml:space="preserve"> : - « يا وليّ الله ».</w:t>
            </w:r>
          </w:p>
        </w:tc>
      </w:tr>
    </w:tbl>
    <w:p w:rsidR="00744A1C" w:rsidRDefault="00E378DD" w:rsidP="00E378DD">
      <w:pPr>
        <w:pStyle w:val="libFootnote0"/>
        <w:rPr>
          <w:lang w:bidi="fa-IR"/>
        </w:rPr>
      </w:pPr>
      <w:r>
        <w:rPr>
          <w:rtl/>
          <w:lang w:bidi="fa-IR"/>
        </w:rPr>
        <w:t>(9).</w:t>
      </w:r>
      <w:r w:rsidR="00744A1C">
        <w:rPr>
          <w:rtl/>
          <w:lang w:bidi="fa-IR"/>
        </w:rPr>
        <w:t xml:space="preserve"> في « بث ، بح ، بخ ، بس ، بف ، جد ، جن » </w:t>
      </w:r>
      <w:r w:rsidR="00744A1C" w:rsidRPr="00144FA6">
        <w:rPr>
          <w:rtl/>
        </w:rPr>
        <w:t>والوافي والفقيه وكامل الزيارات</w:t>
      </w:r>
      <w:r w:rsidR="00744A1C">
        <w:rPr>
          <w:rtl/>
          <w:lang w:bidi="fa-IR"/>
        </w:rPr>
        <w:t xml:space="preserve"> : - « محموداً ».</w:t>
      </w:r>
    </w:p>
    <w:tbl>
      <w:tblPr>
        <w:tblStyle w:val="TableGrid"/>
        <w:bidiVisual/>
        <w:tblW w:w="0" w:type="auto"/>
        <w:tblLook w:val="04A0" w:firstRow="1" w:lastRow="0" w:firstColumn="1" w:lastColumn="0" w:noHBand="0" w:noVBand="1"/>
      </w:tblPr>
      <w:tblGrid>
        <w:gridCol w:w="4006"/>
        <w:gridCol w:w="4006"/>
      </w:tblGrid>
      <w:tr w:rsidR="00144FA6" w:rsidTr="00144FA6">
        <w:tc>
          <w:tcPr>
            <w:tcW w:w="4006" w:type="dxa"/>
          </w:tcPr>
          <w:p w:rsidR="00144FA6" w:rsidRDefault="00144FA6" w:rsidP="00E378DD">
            <w:pPr>
              <w:pStyle w:val="libFootnote0"/>
              <w:rPr>
                <w:rtl/>
                <w:lang w:bidi="fa-IR"/>
              </w:rPr>
            </w:pPr>
            <w:r>
              <w:rPr>
                <w:rtl/>
                <w:lang w:bidi="fa-IR"/>
              </w:rPr>
              <w:t xml:space="preserve">(10). في </w:t>
            </w:r>
            <w:r w:rsidRPr="00144FA6">
              <w:rPr>
                <w:rtl/>
              </w:rPr>
              <w:t>الوسائل والتهذيب</w:t>
            </w:r>
            <w:r>
              <w:rPr>
                <w:rtl/>
                <w:lang w:bidi="fa-IR"/>
              </w:rPr>
              <w:t xml:space="preserve"> : - « معلوماً ».</w:t>
            </w:r>
          </w:p>
        </w:tc>
        <w:tc>
          <w:tcPr>
            <w:tcW w:w="4006" w:type="dxa"/>
          </w:tcPr>
          <w:p w:rsidR="00144FA6" w:rsidRDefault="00144FA6" w:rsidP="00E378DD">
            <w:pPr>
              <w:pStyle w:val="libFootnote0"/>
              <w:rPr>
                <w:rtl/>
                <w:lang w:bidi="fa-IR"/>
              </w:rPr>
            </w:pPr>
            <w:r>
              <w:rPr>
                <w:rtl/>
                <w:lang w:bidi="fa-IR"/>
              </w:rPr>
              <w:t xml:space="preserve">(11). في </w:t>
            </w:r>
            <w:r w:rsidRPr="00144FA6">
              <w:rPr>
                <w:rtl/>
              </w:rPr>
              <w:t>الوافي وكامل الزيارات :</w:t>
            </w:r>
            <w:r>
              <w:rPr>
                <w:rtl/>
                <w:lang w:bidi="fa-IR"/>
              </w:rPr>
              <w:t xml:space="preserve"> - « قد ».</w:t>
            </w:r>
          </w:p>
        </w:tc>
      </w:tr>
    </w:tbl>
    <w:p w:rsidR="00744A1C" w:rsidRDefault="00E378DD" w:rsidP="00E378DD">
      <w:pPr>
        <w:pStyle w:val="libFootnote0"/>
        <w:rPr>
          <w:lang w:bidi="fa-IR"/>
        </w:rPr>
      </w:pPr>
      <w:r>
        <w:rPr>
          <w:rtl/>
          <w:lang w:bidi="fa-IR"/>
        </w:rPr>
        <w:t>(12).</w:t>
      </w:r>
      <w:r w:rsidR="00744A1C">
        <w:rPr>
          <w:rtl/>
          <w:lang w:bidi="fa-IR"/>
        </w:rPr>
        <w:t xml:space="preserve"> هكذا في « ى ، بخ ، بس ، بف ، جد ، جن » </w:t>
      </w:r>
      <w:r w:rsidR="00744A1C" w:rsidRPr="00144FA6">
        <w:rPr>
          <w:rtl/>
        </w:rPr>
        <w:t>والوافي</w:t>
      </w:r>
      <w:r w:rsidR="00744A1C">
        <w:rPr>
          <w:rtl/>
          <w:lang w:bidi="fa-IR"/>
        </w:rPr>
        <w:t>. وفي سائر النسخ والمطبوع : - « الله ».</w:t>
      </w:r>
    </w:p>
    <w:p w:rsidR="00744A1C" w:rsidRDefault="00E378DD" w:rsidP="00E378DD">
      <w:pPr>
        <w:pStyle w:val="libFootnote0"/>
        <w:rPr>
          <w:lang w:bidi="fa-IR"/>
        </w:rPr>
      </w:pPr>
      <w:r>
        <w:rPr>
          <w:rtl/>
          <w:lang w:bidi="fa-IR"/>
        </w:rPr>
        <w:t>(13).</w:t>
      </w:r>
      <w:r w:rsidR="00744A1C">
        <w:rPr>
          <w:rtl/>
          <w:lang w:bidi="fa-IR"/>
        </w:rPr>
        <w:t xml:space="preserve"> الأنبياء (21) : 28. وفي </w:t>
      </w:r>
      <w:r w:rsidR="00744A1C" w:rsidRPr="00144FA6">
        <w:rPr>
          <w:rtl/>
        </w:rPr>
        <w:t>كامل الزيارات</w:t>
      </w:r>
      <w:r w:rsidR="00744A1C">
        <w:rPr>
          <w:rtl/>
          <w:lang w:bidi="fa-IR"/>
        </w:rPr>
        <w:t xml:space="preserve"> : + « وهم من خشية مشفقون ».</w:t>
      </w:r>
    </w:p>
    <w:p w:rsidR="00144FA6" w:rsidRDefault="00E378DD" w:rsidP="00E378DD">
      <w:pPr>
        <w:pStyle w:val="libFootnote0"/>
        <w:rPr>
          <w:rtl/>
          <w:lang w:bidi="fa-IR"/>
        </w:rPr>
      </w:pPr>
      <w:r>
        <w:rPr>
          <w:rtl/>
          <w:lang w:bidi="fa-IR"/>
        </w:rPr>
        <w:t>(14).</w:t>
      </w:r>
      <w:r w:rsidR="00744A1C">
        <w:rPr>
          <w:rtl/>
          <w:lang w:bidi="fa-IR"/>
        </w:rPr>
        <w:t xml:space="preserve"> </w:t>
      </w:r>
      <w:r w:rsidR="00744A1C" w:rsidRPr="007B299E">
        <w:rPr>
          <w:rStyle w:val="libFootnoteBoldChar"/>
          <w:rtl/>
        </w:rPr>
        <w:t>كامل الزيارات</w:t>
      </w:r>
      <w:r w:rsidR="00744A1C">
        <w:rPr>
          <w:rtl/>
          <w:lang w:bidi="fa-IR"/>
        </w:rPr>
        <w:t xml:space="preserve"> ، ص 45 ، الباب 11 ، ح 3 ، عن محمّد بن يعقوب بهذا السند ، وبسند آخر أيضاً عن محمّد بن</w:t>
      </w:r>
      <w:r w:rsidR="00144FA6">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144FA6" w:rsidP="00744A1C">
      <w:pPr>
        <w:pStyle w:val="libNormal"/>
        <w:rPr>
          <w:rtl/>
          <w:lang w:bidi="fa-IR"/>
        </w:rPr>
      </w:pPr>
      <w:r>
        <w:rPr>
          <w:rFonts w:hint="cs"/>
          <w:rtl/>
          <w:lang w:bidi="fa-IR"/>
        </w:rPr>
        <w:lastRenderedPageBreak/>
        <w:t xml:space="preserve">* </w:t>
      </w:r>
      <w:r w:rsidR="00744A1C">
        <w:rPr>
          <w:rtl/>
          <w:lang w:bidi="fa-IR"/>
        </w:rPr>
        <w:t xml:space="preserve">مُحَمَّدُ بْنُ جَعْفَرٍ الرَّزَّازِ </w:t>
      </w:r>
      <w:r w:rsidR="00744A1C" w:rsidRPr="00D10E3C">
        <w:rPr>
          <w:rStyle w:val="libFootnotenumChar"/>
          <w:rtl/>
        </w:rPr>
        <w:t>(1)</w:t>
      </w:r>
      <w:r w:rsidR="00744A1C">
        <w:rPr>
          <w:rtl/>
          <w:lang w:bidi="fa-IR"/>
        </w:rPr>
        <w:t xml:space="preserve"> ، عَنْ مُحَمَّدِ بْنِ عِيسَى بْنِ عُبَيْدٍ ، عَنْ بَعْضِ أَصْحَابِنَا ، عَنْ أَبِي الْحَسَنِ الثَّالِثِ </w:t>
      </w:r>
      <w:r w:rsidR="0061079A" w:rsidRPr="0061079A">
        <w:rPr>
          <w:rStyle w:val="libAlaemChar"/>
          <w:rtl/>
        </w:rPr>
        <w:t>عليه‌السلام</w:t>
      </w:r>
      <w:r w:rsidR="00D10E3C">
        <w:rPr>
          <w:rtl/>
          <w:lang w:bidi="fa-IR"/>
        </w:rPr>
        <w:t xml:space="preserve"> </w:t>
      </w:r>
      <w:r w:rsidR="00744A1C">
        <w:rPr>
          <w:rtl/>
          <w:lang w:bidi="fa-IR"/>
        </w:rPr>
        <w:t xml:space="preserve">مِثْلَهُ. </w:t>
      </w:r>
      <w:r w:rsidR="00744A1C" w:rsidRPr="00D10E3C">
        <w:rPr>
          <w:rStyle w:val="libFootnotenumChar"/>
          <w:rtl/>
        </w:rPr>
        <w:t>(2)</w:t>
      </w:r>
    </w:p>
    <w:p w:rsidR="00144FA6" w:rsidRDefault="00744A1C" w:rsidP="00744A1C">
      <w:pPr>
        <w:pStyle w:val="libNormal"/>
        <w:rPr>
          <w:rtl/>
          <w:lang w:bidi="fa-IR"/>
        </w:rPr>
      </w:pPr>
      <w:r>
        <w:rPr>
          <w:rtl/>
          <w:lang w:bidi="fa-IR"/>
        </w:rPr>
        <w:t xml:space="preserve">8154 / 2. دُعَاءٌ آخَرُ عِنْدَ قَبْرِ أَمِيرِ الْمُؤْمِنِينَ </w:t>
      </w:r>
      <w:r w:rsidR="0061079A" w:rsidRPr="0061079A">
        <w:rPr>
          <w:rStyle w:val="libAlaemChar"/>
          <w:rtl/>
        </w:rPr>
        <w:t>عليه‌السلام</w:t>
      </w:r>
      <w:r w:rsidR="00D10E3C">
        <w:rPr>
          <w:rtl/>
          <w:lang w:bidi="fa-IR"/>
        </w:rPr>
        <w:t xml:space="preserve"> </w:t>
      </w:r>
      <w:r>
        <w:rPr>
          <w:rtl/>
          <w:lang w:bidi="fa-IR"/>
        </w:rPr>
        <w:t xml:space="preserve">: « تَقُولُ </w:t>
      </w:r>
      <w:r w:rsidRPr="00D10E3C">
        <w:rPr>
          <w:rStyle w:val="libFootnotenumChar"/>
          <w:rtl/>
        </w:rPr>
        <w:t>(3)</w:t>
      </w:r>
      <w:r>
        <w:rPr>
          <w:rtl/>
          <w:lang w:bidi="fa-IR"/>
        </w:rPr>
        <w:t xml:space="preserve"> : السَّلَامُ عَلَيْكَ يَا وَلِيَّ اللهِ ، السَّلَامُ عَلَيْكَ يَا حُجَّةَ اللهِ ، السَّلَامُ عَلَيْكَ يَا خَلِيفَةَ اللهِ ، السَّلَامُ عَلَيْكَ يَا عَمُودَ الدِّينِ ، السَّلَامُ عَلَيْكَ يَا وَارِثَ النَّبِيِّينَ </w:t>
      </w:r>
      <w:r w:rsidRPr="00D10E3C">
        <w:rPr>
          <w:rStyle w:val="libFootnotenumChar"/>
          <w:rtl/>
        </w:rPr>
        <w:t>(4)</w:t>
      </w:r>
      <w:r>
        <w:rPr>
          <w:rtl/>
          <w:lang w:bidi="fa-IR"/>
        </w:rPr>
        <w:t xml:space="preserve"> ، السَّلَامُ عَلَيْكَ يَا قَسِيمَ النَّارِ </w:t>
      </w:r>
      <w:r w:rsidRPr="00D10E3C">
        <w:rPr>
          <w:rStyle w:val="libFootnotenumChar"/>
          <w:rtl/>
        </w:rPr>
        <w:t>(5)</w:t>
      </w:r>
      <w:r>
        <w:rPr>
          <w:rtl/>
          <w:lang w:bidi="fa-IR"/>
        </w:rPr>
        <w:t xml:space="preserve"> ، وَصَاحِبَ الْعَصَا وَالْمِيسَمِ </w:t>
      </w:r>
      <w:r w:rsidRPr="00D10E3C">
        <w:rPr>
          <w:rStyle w:val="libFootnotenumChar"/>
          <w:rtl/>
        </w:rPr>
        <w:t>(6)</w:t>
      </w:r>
      <w:r>
        <w:rPr>
          <w:rtl/>
          <w:lang w:bidi="fa-IR"/>
        </w:rPr>
        <w:t xml:space="preserve"> ، السَّلَامُ عَلَيْكَ يَا أَمِيرَ الْمُؤْمِنِينَ ، أَشْهَدُ أَنَّكَ كَلِمَةُ التَّقْوى ، وَبَابُ الْهُدى ، وَالْعُرْوَةُ الْوُثْقى ، وَالْحَبْلُ الْمَتِينُ ، وَالصِّرَاطُ الْمُسْتَقِيمُ ، وَأَشْهَدُ </w:t>
      </w:r>
      <w:r w:rsidRPr="00D10E3C">
        <w:rPr>
          <w:rStyle w:val="libFootnotenumChar"/>
          <w:rtl/>
        </w:rPr>
        <w:t>(7)</w:t>
      </w:r>
      <w:r>
        <w:rPr>
          <w:rtl/>
          <w:lang w:bidi="fa-IR"/>
        </w:rPr>
        <w:t xml:space="preserve"> أَنَّكَ حُجَّةُ اللهِ عَلى خَلْقِهِ ، وَشَاهِدُهُ عَلى عِبَادِهِ ، وَأَمِينُهُ عَلى عِلْمِهِ ، وَخَازِنُ سِرِّهِ ، وَمَوْضِعُ حِكْمَتِهِ ، وَأَخُو رَسُولِهِ </w:t>
      </w:r>
      <w:r w:rsidR="0061079A" w:rsidRPr="0061079A">
        <w:rPr>
          <w:rStyle w:val="libAlaemChar"/>
          <w:rtl/>
        </w:rPr>
        <w:t>عليه‌السلام</w:t>
      </w:r>
      <w:r w:rsidR="00D10E3C">
        <w:rPr>
          <w:rtl/>
          <w:lang w:bidi="fa-IR"/>
        </w:rPr>
        <w:t xml:space="preserve"> </w:t>
      </w:r>
      <w:r>
        <w:rPr>
          <w:rtl/>
          <w:lang w:bidi="fa-IR"/>
        </w:rPr>
        <w:t xml:space="preserve">، وَأَشْهَدُ أَنَّ دَعْوَتَكَ حَقٌّ ، وَكُلَّ دَاعٍ مَنْصُوبٍ </w:t>
      </w:r>
      <w:r w:rsidRPr="00D10E3C">
        <w:rPr>
          <w:rStyle w:val="libFootnotenumChar"/>
          <w:rtl/>
        </w:rPr>
        <w:t>(8)</w:t>
      </w:r>
      <w:r>
        <w:rPr>
          <w:rtl/>
          <w:lang w:bidi="fa-IR"/>
        </w:rPr>
        <w:t xml:space="preserve"> دُونَكَ بَاطِلٌ مَدْحُوضٌ </w:t>
      </w:r>
      <w:r w:rsidRPr="00D10E3C">
        <w:rPr>
          <w:rStyle w:val="libFootnotenumChar"/>
          <w:rtl/>
        </w:rPr>
        <w:t>(9)</w:t>
      </w:r>
      <w:r>
        <w:rPr>
          <w:rtl/>
          <w:lang w:bidi="fa-IR"/>
        </w:rPr>
        <w:t xml:space="preserve"> ،</w:t>
      </w:r>
    </w:p>
    <w:p w:rsidR="00744A1C" w:rsidRDefault="00744A1C" w:rsidP="00D10E3C">
      <w:pPr>
        <w:pStyle w:val="libLine"/>
        <w:rPr>
          <w:lang w:bidi="fa-IR"/>
        </w:rPr>
      </w:pPr>
      <w:r>
        <w:rPr>
          <w:rtl/>
          <w:lang w:bidi="fa-IR"/>
        </w:rPr>
        <w:t>____________________</w:t>
      </w:r>
    </w:p>
    <w:p w:rsidR="00744A1C" w:rsidRDefault="00144FA6" w:rsidP="00D10E3C">
      <w:pPr>
        <w:pStyle w:val="libFootnote0"/>
        <w:rPr>
          <w:lang w:bidi="fa-IR"/>
        </w:rPr>
      </w:pPr>
      <w:r>
        <w:rPr>
          <w:rFonts w:hint="cs"/>
          <w:rtl/>
          <w:lang w:bidi="fa-IR"/>
        </w:rPr>
        <w:t xml:space="preserve">= </w:t>
      </w:r>
      <w:r w:rsidR="00744A1C">
        <w:rPr>
          <w:rtl/>
          <w:lang w:bidi="fa-IR"/>
        </w:rPr>
        <w:t>ا</w:t>
      </w:r>
      <w:r>
        <w:rPr>
          <w:rFonts w:hint="cs"/>
          <w:rtl/>
          <w:lang w:bidi="fa-IR"/>
        </w:rPr>
        <w:t>ُ</w:t>
      </w:r>
      <w:r w:rsidR="00744A1C">
        <w:rPr>
          <w:rtl/>
          <w:lang w:bidi="fa-IR"/>
        </w:rPr>
        <w:t xml:space="preserve">ورمة. </w:t>
      </w:r>
      <w:r w:rsidR="00744A1C" w:rsidRPr="00C24F9C">
        <w:rPr>
          <w:rStyle w:val="libFootnoteBoldChar"/>
          <w:rtl/>
        </w:rPr>
        <w:t>التهذيب</w:t>
      </w:r>
      <w:r w:rsidR="00744A1C">
        <w:rPr>
          <w:rtl/>
          <w:lang w:bidi="fa-IR"/>
        </w:rPr>
        <w:t xml:space="preserve"> ، ج 6 ، ص 28 ، ح 54 ، معلّقاً عن الكليني. </w:t>
      </w:r>
      <w:r w:rsidR="00744A1C" w:rsidRPr="00C24F9C">
        <w:rPr>
          <w:rStyle w:val="libFootnoteBoldChar"/>
          <w:rtl/>
        </w:rPr>
        <w:t>الفقيه</w:t>
      </w:r>
      <w:r w:rsidR="00744A1C">
        <w:rPr>
          <w:rtl/>
          <w:lang w:bidi="fa-IR"/>
        </w:rPr>
        <w:t xml:space="preserve"> ، ج 2 ، ص 586 ، ح 3196 ، من دون الإسناد إلى المعصوم </w:t>
      </w:r>
      <w:r w:rsidR="0061079A" w:rsidRPr="0061079A">
        <w:rPr>
          <w:rStyle w:val="libFootnoteAlaemChar"/>
          <w:rtl/>
        </w:rPr>
        <w:t>عليه‌السلام</w:t>
      </w:r>
      <w:r w:rsidR="00744A1C">
        <w:rPr>
          <w:rtl/>
          <w:lang w:bidi="fa-IR"/>
        </w:rPr>
        <w:t xml:space="preserve"> . مع اختلاف يسير وزيادة في أوّله </w:t>
      </w:r>
      <w:r>
        <w:rPr>
          <w:rFonts w:hint="cs"/>
          <w:rtl/>
          <w:lang w:bidi="fa-IR"/>
        </w:rPr>
        <w:t>.</w:t>
      </w:r>
      <w:r w:rsidR="00744A1C" w:rsidRPr="00C24F9C">
        <w:rPr>
          <w:rStyle w:val="libFootnoteBoldChar"/>
          <w:rtl/>
        </w:rPr>
        <w:t>الوافي</w:t>
      </w:r>
      <w:r w:rsidR="00744A1C">
        <w:rPr>
          <w:rtl/>
          <w:lang w:bidi="fa-IR"/>
        </w:rPr>
        <w:t xml:space="preserve"> ، ج 14 ، ص 1428 ، ح 14474 ؛ </w:t>
      </w:r>
      <w:r w:rsidR="00744A1C" w:rsidRPr="00C24F9C">
        <w:rPr>
          <w:rStyle w:val="libFootnoteBoldChar"/>
          <w:rtl/>
        </w:rPr>
        <w:t>الوسائل</w:t>
      </w:r>
      <w:r w:rsidR="00744A1C">
        <w:rPr>
          <w:rtl/>
          <w:lang w:bidi="fa-IR"/>
        </w:rPr>
        <w:t xml:space="preserve"> ، ج 14 ، ص 394 ، ح 19450.</w:t>
      </w:r>
    </w:p>
    <w:p w:rsidR="00744A1C" w:rsidRDefault="00D10E3C" w:rsidP="00D10E3C">
      <w:pPr>
        <w:pStyle w:val="libFootnote0"/>
        <w:rPr>
          <w:lang w:bidi="fa-IR"/>
        </w:rPr>
      </w:pPr>
      <w:r>
        <w:rPr>
          <w:rtl/>
          <w:lang w:bidi="fa-IR"/>
        </w:rPr>
        <w:t>(1).</w:t>
      </w:r>
      <w:r w:rsidR="00744A1C">
        <w:rPr>
          <w:rtl/>
          <w:lang w:bidi="fa-IR"/>
        </w:rPr>
        <w:t xml:space="preserve"> هكذا في « جر » وحاشية « بث ، بح » </w:t>
      </w:r>
      <w:r w:rsidR="00744A1C" w:rsidRPr="00144FA6">
        <w:rPr>
          <w:rtl/>
        </w:rPr>
        <w:t>والوسائل والتهذيب</w:t>
      </w:r>
      <w:r w:rsidR="00744A1C">
        <w:rPr>
          <w:rtl/>
          <w:lang w:bidi="fa-IR"/>
        </w:rPr>
        <w:t xml:space="preserve">. وفي « ى ، بث ، بح ، بخ ، بس ، جد ، جن » والمطبوع : « الرازي ». وفي </w:t>
      </w:r>
      <w:r w:rsidR="00744A1C" w:rsidRPr="00144FA6">
        <w:rPr>
          <w:rtl/>
        </w:rPr>
        <w:t>كامل الزيارات</w:t>
      </w:r>
      <w:r w:rsidR="00744A1C">
        <w:rPr>
          <w:rtl/>
          <w:lang w:bidi="fa-IR"/>
        </w:rPr>
        <w:t xml:space="preserve"> : « الرزّاز القرشي ».</w:t>
      </w:r>
    </w:p>
    <w:p w:rsidR="00744A1C" w:rsidRDefault="00744A1C" w:rsidP="00D10E3C">
      <w:pPr>
        <w:pStyle w:val="libFootnote0"/>
        <w:rPr>
          <w:lang w:bidi="fa-IR"/>
        </w:rPr>
      </w:pPr>
      <w:r>
        <w:rPr>
          <w:rtl/>
          <w:lang w:bidi="fa-IR"/>
        </w:rPr>
        <w:t xml:space="preserve">وروى محمّد بن جعفر الرزّاز عن محمّد بن عيسى [ بن عبيد ] في بعض الأسناد. راجع : </w:t>
      </w:r>
      <w:r w:rsidRPr="0061079A">
        <w:rPr>
          <w:rStyle w:val="libFootnoteBoldChar"/>
          <w:rtl/>
        </w:rPr>
        <w:t>معجم رجال الحديث</w:t>
      </w:r>
      <w:r>
        <w:rPr>
          <w:rtl/>
          <w:lang w:bidi="fa-IR"/>
        </w:rPr>
        <w:t xml:space="preserve"> ، ج 15 ، ص 364.</w:t>
      </w:r>
    </w:p>
    <w:p w:rsidR="00744A1C" w:rsidRDefault="00E378DD" w:rsidP="00144FA6">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28 ، ح 55 ، معلّقاً عن الكليني. </w:t>
      </w:r>
      <w:r w:rsidR="00744A1C" w:rsidRPr="007B299E">
        <w:rPr>
          <w:rStyle w:val="libFootnoteBoldChar"/>
          <w:rtl/>
        </w:rPr>
        <w:t>كامل الزيارات</w:t>
      </w:r>
      <w:r w:rsidR="00744A1C">
        <w:rPr>
          <w:rtl/>
          <w:lang w:bidi="fa-IR"/>
        </w:rPr>
        <w:t xml:space="preserve"> ، ص 46 ، الباب 11 ، ذيل ح 3 ، عن محمّد بن جعفر الرزّاز القرشي ، عن محمّد بن عيسى بن عبيد </w:t>
      </w:r>
      <w:r w:rsidR="00144FA6">
        <w:rPr>
          <w:rFonts w:hint="cs"/>
          <w:rtl/>
          <w:lang w:bidi="fa-IR"/>
        </w:rPr>
        <w:t>.</w:t>
      </w:r>
      <w:r w:rsidR="00744A1C" w:rsidRPr="00C24F9C">
        <w:rPr>
          <w:rStyle w:val="libFootnoteBoldChar"/>
          <w:rtl/>
        </w:rPr>
        <w:t>الوافي</w:t>
      </w:r>
      <w:r w:rsidR="00744A1C">
        <w:rPr>
          <w:rtl/>
          <w:lang w:bidi="fa-IR"/>
        </w:rPr>
        <w:t xml:space="preserve"> ، ج 14 ، ص 1428 ، ح 14475 ؛ </w:t>
      </w:r>
      <w:r w:rsidR="00744A1C" w:rsidRPr="00C24F9C">
        <w:rPr>
          <w:rStyle w:val="libFootnoteBoldChar"/>
          <w:rtl/>
        </w:rPr>
        <w:t>الوسائل</w:t>
      </w:r>
      <w:r w:rsidR="00744A1C">
        <w:rPr>
          <w:rtl/>
          <w:lang w:bidi="fa-IR"/>
        </w:rPr>
        <w:t xml:space="preserve"> ، ج 14 ، ص 394 ، ذيل ح 19450.</w:t>
      </w:r>
      <w:r w:rsidR="00144FA6">
        <w:rPr>
          <w:rFonts w:hint="cs"/>
          <w:rtl/>
          <w:lang w:bidi="fa-IR"/>
        </w:rPr>
        <w:t xml:space="preserve">                    </w:t>
      </w:r>
      <w:r>
        <w:rPr>
          <w:rtl/>
          <w:lang w:bidi="fa-IR"/>
        </w:rPr>
        <w:t>(3).</w:t>
      </w:r>
      <w:r w:rsidR="00744A1C">
        <w:rPr>
          <w:rtl/>
          <w:lang w:bidi="fa-IR"/>
        </w:rPr>
        <w:t xml:space="preserve"> في « بس ، بف ، جن » : « يقول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 السلام عليك يا وارث النبيّين ».</w:t>
      </w:r>
    </w:p>
    <w:p w:rsidR="00744A1C" w:rsidRDefault="00E378DD" w:rsidP="00E378DD">
      <w:pPr>
        <w:pStyle w:val="libFootnote0"/>
        <w:rPr>
          <w:lang w:bidi="fa-IR"/>
        </w:rPr>
      </w:pPr>
      <w:r>
        <w:rPr>
          <w:rtl/>
          <w:lang w:bidi="fa-IR"/>
        </w:rPr>
        <w:t>(5).</w:t>
      </w:r>
      <w:r w:rsidR="00744A1C">
        <w:rPr>
          <w:rtl/>
          <w:lang w:bidi="fa-IR"/>
        </w:rPr>
        <w:t xml:space="preserve"> هكذا في معظم النسخ التى قوبلت </w:t>
      </w:r>
      <w:r w:rsidR="00744A1C" w:rsidRPr="00144FA6">
        <w:rPr>
          <w:rtl/>
        </w:rPr>
        <w:t>والتهذيب</w:t>
      </w:r>
      <w:r w:rsidR="00744A1C">
        <w:rPr>
          <w:rtl/>
          <w:lang w:bidi="fa-IR"/>
        </w:rPr>
        <w:t xml:space="preserve">. وفي « ى » : - « النار ». وفي المطبوع : « الجنّة والنار ». وفي </w:t>
      </w:r>
      <w:r w:rsidR="00744A1C" w:rsidRPr="00144FA6">
        <w:rPr>
          <w:rtl/>
        </w:rPr>
        <w:t>الوافي</w:t>
      </w:r>
      <w:r w:rsidR="00744A1C">
        <w:rPr>
          <w:rtl/>
          <w:lang w:bidi="fa-IR"/>
        </w:rPr>
        <w:t xml:space="preserve"> : « النار والجنّة ».</w:t>
      </w:r>
    </w:p>
    <w:p w:rsidR="00744A1C" w:rsidRDefault="00E378DD" w:rsidP="00E378DD">
      <w:pPr>
        <w:pStyle w:val="libFootnote0"/>
        <w:rPr>
          <w:lang w:bidi="fa-IR"/>
        </w:rPr>
      </w:pPr>
      <w:r>
        <w:rPr>
          <w:rtl/>
          <w:lang w:bidi="fa-IR"/>
        </w:rPr>
        <w:t>(6).</w:t>
      </w:r>
      <w:r w:rsidR="00744A1C">
        <w:rPr>
          <w:rtl/>
          <w:lang w:bidi="fa-IR"/>
        </w:rPr>
        <w:t xml:space="preserve"> « الميسَم » : المِكْواة ، أو الشي‌ء الذي يوسم به سمات الدوابّ. </w:t>
      </w:r>
      <w:r w:rsidR="00744A1C" w:rsidRPr="00E978C3">
        <w:rPr>
          <w:rStyle w:val="libFootnoteBoldChar"/>
          <w:rtl/>
        </w:rPr>
        <w:t>ترتيب كتاب العين</w:t>
      </w:r>
      <w:r w:rsidR="00744A1C">
        <w:rPr>
          <w:rtl/>
          <w:lang w:bidi="fa-IR"/>
        </w:rPr>
        <w:t xml:space="preserve"> ، ج 3 ، ص 1952 ( وسم ).</w:t>
      </w:r>
    </w:p>
    <w:p w:rsidR="00744A1C" w:rsidRDefault="00E378DD" w:rsidP="00E378DD">
      <w:pPr>
        <w:pStyle w:val="libFootnote0"/>
        <w:rPr>
          <w:lang w:bidi="fa-IR"/>
        </w:rPr>
      </w:pPr>
      <w:r>
        <w:rPr>
          <w:rtl/>
          <w:lang w:bidi="fa-IR"/>
        </w:rPr>
        <w:t>(7).</w:t>
      </w:r>
      <w:r w:rsidR="00744A1C">
        <w:rPr>
          <w:rtl/>
          <w:lang w:bidi="fa-IR"/>
        </w:rPr>
        <w:t xml:space="preserve"> في « بف » : « أشهد » بدون الواو.</w:t>
      </w:r>
    </w:p>
    <w:p w:rsidR="00744A1C" w:rsidRDefault="00E378DD" w:rsidP="00E378DD">
      <w:pPr>
        <w:pStyle w:val="libFootnote0"/>
        <w:rPr>
          <w:lang w:bidi="fa-IR"/>
        </w:rPr>
      </w:pPr>
      <w:r>
        <w:rPr>
          <w:rtl/>
          <w:lang w:bidi="fa-IR"/>
        </w:rPr>
        <w:t>(8).</w:t>
      </w:r>
      <w:r w:rsidR="00744A1C">
        <w:rPr>
          <w:rtl/>
          <w:lang w:bidi="fa-IR"/>
        </w:rPr>
        <w:t xml:space="preserve"> في « ى ، بث ، بخ ، جد ، جن » وحاشية « بح » : « منعوت ». وفي « بف » : « مبعوث ».</w:t>
      </w:r>
    </w:p>
    <w:p w:rsidR="00144FA6" w:rsidRDefault="00E378DD" w:rsidP="00E378DD">
      <w:pPr>
        <w:pStyle w:val="libFootnote0"/>
        <w:rPr>
          <w:rtl/>
          <w:lang w:bidi="fa-IR"/>
        </w:rPr>
      </w:pPr>
      <w:r>
        <w:rPr>
          <w:rtl/>
          <w:lang w:bidi="fa-IR"/>
        </w:rPr>
        <w:t>(9).</w:t>
      </w:r>
      <w:r w:rsidR="00744A1C">
        <w:rPr>
          <w:rtl/>
          <w:lang w:bidi="fa-IR"/>
        </w:rPr>
        <w:t xml:space="preserve"> في </w:t>
      </w:r>
      <w:r w:rsidR="00744A1C" w:rsidRPr="00877682">
        <w:rPr>
          <w:rStyle w:val="libFootnoteBoldChar"/>
          <w:rtl/>
        </w:rPr>
        <w:t>مرآة العقول</w:t>
      </w:r>
      <w:r w:rsidR="00F45526">
        <w:rPr>
          <w:rtl/>
          <w:lang w:bidi="fa-IR"/>
        </w:rPr>
        <w:t>، ج 18 ، ص 288: «</w:t>
      </w:r>
      <w:r w:rsidR="00744A1C">
        <w:rPr>
          <w:rtl/>
          <w:lang w:bidi="fa-IR"/>
        </w:rPr>
        <w:t>لعلّ المدحوض بمعنى الداحض [ أي الباطل ] وظاهر الأخبار أنّه أتى</w:t>
      </w:r>
      <w:r w:rsidR="00F45526">
        <w:rPr>
          <w:rFonts w:hint="cs"/>
          <w:rtl/>
          <w:lang w:bidi="fa-IR"/>
        </w:rPr>
        <w:t xml:space="preserve"> =</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 xml:space="preserve">أَنْتَ أَوَّلُ مَظْلُومٍ ، وَأَوَّلُ مَغْصُوبٍ حَقُّهُ ، فَصَبَرْتَ وَاحْتَسَبْتَ ، لَعَنَ اللهُ مَنْ ظَلَمَكَ ، وَتَقَدَّمَ </w:t>
      </w:r>
      <w:r w:rsidRPr="00D10E3C">
        <w:rPr>
          <w:rStyle w:val="libFootnotenumChar"/>
          <w:rtl/>
        </w:rPr>
        <w:t>(1)</w:t>
      </w:r>
      <w:r>
        <w:rPr>
          <w:rtl/>
          <w:lang w:bidi="fa-IR"/>
        </w:rPr>
        <w:t xml:space="preserve"> عَلَيْكَ ، وَصَدَّ عَنْكَ ، لَعْناً كَثِيراً يَلْعَنُهُمْ بِهِ كُلُّ مَلَكٍ مُقَرَّبٍ ، وَكُلُّ نَبِيٍّ مُرْسَلٍ ، وَكُلُّ عَبْدٍ مُؤْمِنٍ مُمْتَحَنٍ ، صَلَّى اللهُ عَلَيْكَ يَا أَمِيرَ الْمُؤْمِنِينَ ، وَصَلَّى اللهُ عَلى رُوحِكَ وَبَدَنِكَ.</w:t>
      </w:r>
    </w:p>
    <w:p w:rsidR="00744A1C" w:rsidRDefault="00744A1C" w:rsidP="00744A1C">
      <w:pPr>
        <w:pStyle w:val="libNormal"/>
        <w:rPr>
          <w:lang w:bidi="fa-IR"/>
        </w:rPr>
      </w:pPr>
      <w:r>
        <w:rPr>
          <w:rtl/>
          <w:lang w:bidi="fa-IR"/>
        </w:rPr>
        <w:t xml:space="preserve">أَشْهَدُ أَنَّكَ عَبْدُ اللهِ وَأَمِينُهُ ، بَلَّغْتَ نَاصِحاً ، وَأَدَّيْتَ أَمِيناً ، وَقُتِلْتَ صِدِّيقاً ، وَمَضَيْتَ عَلى يَقِينٍ ، لَمْ تُؤْثِرْ عَمًى عَلى هُدًى ، وَلَمْ تَمِلْ مِنْ حَقٍّ إِلى بَاطِلٍ ، أَشْهَدُ </w:t>
      </w:r>
      <w:r w:rsidRPr="00D10E3C">
        <w:rPr>
          <w:rStyle w:val="libFootnotenumChar"/>
          <w:rtl/>
        </w:rPr>
        <w:t>(2)</w:t>
      </w:r>
      <w:r>
        <w:rPr>
          <w:rtl/>
          <w:lang w:bidi="fa-IR"/>
        </w:rPr>
        <w:t xml:space="preserve"> أَنَّكَ قَدْ أَقَمْتَ الصَّلَاةَ ، وَآتَيْتَ الزَّكَاةَ ، وَأَمَرْتَ بِالْمَعْرُوفِ ، وَنَهَيْتَ عَنِ الْمُنْكَرِ ، وَاتَّبَعْتَ الرَّسُولَ ، وَنَصَحْتَ لِلْأُمَّةِ ، وَتَلَوْتَ الْكِتَابَ حَقَّ تِلَاوَتِهِ ، وَجَاهَدْتَ فِي اللهِ حَقَّ جِهَادِهِ ، وَدَعَوْتَ إِلى سَبِيلِهِ بِالْحِكْمَةِ وَالْمَوْعِظَةِ الْحَسَنَةِ حَتّى أَتَاكَ الْيَقِينُ ، أَشْهَدُ أَنَّكَ كُنْتَ عَلى بَيِّنَةٍ مِنْ رَبِّكَ ، وَدَعَوْتَ إِلَيْهِ عَلى بَصِيرَةٍ ، وَبَلَّغْتَ مَا أُمِرْتَ بِهِ </w:t>
      </w:r>
      <w:r w:rsidRPr="00D10E3C">
        <w:rPr>
          <w:rStyle w:val="libFootnotenumChar"/>
          <w:rtl/>
        </w:rPr>
        <w:t>(3)</w:t>
      </w:r>
      <w:r>
        <w:rPr>
          <w:rtl/>
          <w:lang w:bidi="fa-IR"/>
        </w:rPr>
        <w:t xml:space="preserve"> ، وَقُمْتَ بِحَقِّ اللهِ غَيْرَ وَاهِنٍ وَلَامُوهِنٍ ، فَصَلَّى اللهُ عَلَيْكَ صَلَاةً مُتَّبَعَةً مُتَوَاصِلَةً مُتَرَادِفَةً ، يَتْبَعُ بَعْضُهَا بَعْضاً ، لَا انْقِطَاعَ لَهَا وَلَا أَمَدَ وَلَا أَجَلَ ، وَالسَّلَامُ عَلَيْكَ وَرَحْمَةُ اللهِ وَبَرَكَاتُهُ ، وَجَزَاكَ اللهُ مِنْ صِدِّيقٍ خَيْراً عَنْ رَعِيَّتِهِ ، أَشْهَدُ أَنَّ الْجِهَادَ مَعَكَ جِهَادٌ ، وَأَنَّ الْحَقَّ مَعَكَ وَإِلَيْكَ ، وَأَنْتَ أَهْلُهُ وَمَعْدِنُهُ ، وَمِيرَاثَ النُّبُوَّةِ عِنْدَكَ ، فَصَلَّى اللهُ عَلَيْكَ وَسَلَّمَ‌ تَسْلِيماً ، وَعَذَّبَ </w:t>
      </w:r>
      <w:r w:rsidRPr="00D10E3C">
        <w:rPr>
          <w:rStyle w:val="libFootnotenumChar"/>
          <w:rtl/>
        </w:rPr>
        <w:t>(4)</w:t>
      </w:r>
      <w:r>
        <w:rPr>
          <w:rtl/>
          <w:lang w:bidi="fa-IR"/>
        </w:rPr>
        <w:t xml:space="preserve"> اللهُ قَاتِلَكَ بِأَنْوَاعِ الْعَذَابِ.</w:t>
      </w:r>
    </w:p>
    <w:p w:rsidR="00744A1C" w:rsidRDefault="00744A1C" w:rsidP="00744A1C">
      <w:pPr>
        <w:pStyle w:val="libNormal"/>
        <w:rPr>
          <w:lang w:bidi="fa-IR"/>
        </w:rPr>
      </w:pPr>
      <w:r>
        <w:rPr>
          <w:rtl/>
          <w:lang w:bidi="fa-IR"/>
        </w:rPr>
        <w:t xml:space="preserve">أَتَيْتُكَ يَا أَمِيرَ الْمُؤْمِنِينَ ، عَارِفاً بِحَقِّكَ ، مُسْتَبْصِراً بِشَأْنِكَ ، مُعَادِياً لِأَعْدَائِكَ ، مُوَالِياً لِأَوْلِيَائِكَ ، بِأَبِي أَنْتَ وَأُمِّي ، أَتَيْتُكَ </w:t>
      </w:r>
      <w:r w:rsidRPr="00D10E3C">
        <w:rPr>
          <w:rStyle w:val="libFootnotenumChar"/>
          <w:rtl/>
        </w:rPr>
        <w:t>(5)</w:t>
      </w:r>
      <w:r>
        <w:rPr>
          <w:rtl/>
          <w:lang w:bidi="fa-IR"/>
        </w:rPr>
        <w:t xml:space="preserve"> عَائِذاً بِكَ مِنْ نَارٍ اسْتَحَقَّهَا مِثْلِي بِمَا جَنَيْتُ عَلى‌</w:t>
      </w:r>
    </w:p>
    <w:p w:rsidR="00744A1C" w:rsidRDefault="00744A1C" w:rsidP="00D10E3C">
      <w:pPr>
        <w:pStyle w:val="libLine"/>
        <w:rPr>
          <w:lang w:bidi="fa-IR"/>
        </w:rPr>
      </w:pPr>
      <w:r>
        <w:rPr>
          <w:rtl/>
          <w:lang w:bidi="fa-IR"/>
        </w:rPr>
        <w:t>____________________</w:t>
      </w:r>
    </w:p>
    <w:p w:rsidR="00744A1C" w:rsidRDefault="00F45526" w:rsidP="00D10E3C">
      <w:pPr>
        <w:pStyle w:val="libFootnote0"/>
        <w:rPr>
          <w:lang w:bidi="fa-IR"/>
        </w:rPr>
      </w:pPr>
      <w:r>
        <w:rPr>
          <w:rFonts w:hint="cs"/>
          <w:rtl/>
          <w:lang w:bidi="fa-IR"/>
        </w:rPr>
        <w:t xml:space="preserve">= </w:t>
      </w:r>
      <w:r w:rsidR="00744A1C">
        <w:rPr>
          <w:rtl/>
          <w:lang w:bidi="fa-IR"/>
        </w:rPr>
        <w:t xml:space="preserve">متعدّياً وإن لم يذكره اللغويّون ». وراجع : </w:t>
      </w:r>
      <w:r w:rsidR="00744A1C" w:rsidRPr="008A57EB">
        <w:rPr>
          <w:rStyle w:val="libFootnoteBoldChar"/>
          <w:rtl/>
        </w:rPr>
        <w:t>القاموس المحيط</w:t>
      </w:r>
      <w:r w:rsidR="00744A1C">
        <w:rPr>
          <w:rtl/>
          <w:lang w:bidi="fa-IR"/>
        </w:rPr>
        <w:t xml:space="preserve"> ، ج 2 ، ص 330 ( دحض ).</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w:t>
      </w:r>
      <w:r w:rsidR="00744A1C" w:rsidRPr="00F45526">
        <w:rPr>
          <w:rtl/>
        </w:rPr>
        <w:t>والوافي والتهذيب</w:t>
      </w:r>
      <w:r w:rsidR="00744A1C">
        <w:rPr>
          <w:rtl/>
          <w:lang w:bidi="fa-IR"/>
        </w:rPr>
        <w:t>. وفي المطبوع : « واعتدى ».</w:t>
      </w:r>
    </w:p>
    <w:p w:rsidR="00744A1C" w:rsidRDefault="00E378DD" w:rsidP="00E378DD">
      <w:pPr>
        <w:pStyle w:val="libFootnote0"/>
        <w:rPr>
          <w:lang w:bidi="fa-IR"/>
        </w:rPr>
      </w:pPr>
      <w:r>
        <w:rPr>
          <w:rtl/>
          <w:lang w:bidi="fa-IR"/>
        </w:rPr>
        <w:t>(2).</w:t>
      </w:r>
      <w:r w:rsidR="00744A1C">
        <w:rPr>
          <w:rtl/>
          <w:lang w:bidi="fa-IR"/>
        </w:rPr>
        <w:t xml:space="preserve"> في « بخ ، بف » : « وأشهد ».</w:t>
      </w:r>
    </w:p>
    <w:p w:rsidR="00744A1C" w:rsidRDefault="00E378DD" w:rsidP="00E378DD">
      <w:pPr>
        <w:pStyle w:val="libFootnote0"/>
        <w:rPr>
          <w:lang w:bidi="fa-IR"/>
        </w:rPr>
      </w:pPr>
      <w:r>
        <w:rPr>
          <w:rtl/>
          <w:lang w:bidi="fa-IR"/>
        </w:rPr>
        <w:t>(3).</w:t>
      </w:r>
      <w:r w:rsidR="00744A1C">
        <w:rPr>
          <w:rtl/>
          <w:lang w:bidi="fa-IR"/>
        </w:rPr>
        <w:t xml:space="preserve"> في « ى » : - « به ».</w:t>
      </w:r>
    </w:p>
    <w:tbl>
      <w:tblPr>
        <w:tblStyle w:val="TableGrid"/>
        <w:bidiVisual/>
        <w:tblW w:w="0" w:type="auto"/>
        <w:tblLook w:val="04A0" w:firstRow="1" w:lastRow="0" w:firstColumn="1" w:lastColumn="0" w:noHBand="0" w:noVBand="1"/>
      </w:tblPr>
      <w:tblGrid>
        <w:gridCol w:w="4006"/>
        <w:gridCol w:w="4006"/>
      </w:tblGrid>
      <w:tr w:rsidR="00F45526" w:rsidTr="00F45526">
        <w:tc>
          <w:tcPr>
            <w:tcW w:w="4006" w:type="dxa"/>
          </w:tcPr>
          <w:p w:rsidR="00F45526" w:rsidRDefault="00F45526" w:rsidP="00E378DD">
            <w:pPr>
              <w:pStyle w:val="libFootnote0"/>
              <w:rPr>
                <w:rtl/>
                <w:lang w:bidi="fa-IR"/>
              </w:rPr>
            </w:pPr>
            <w:r>
              <w:rPr>
                <w:rtl/>
                <w:lang w:bidi="fa-IR"/>
              </w:rPr>
              <w:t>(4). في « بخ ، بف » : « عذّب ». بدون الواو.</w:t>
            </w:r>
          </w:p>
        </w:tc>
        <w:tc>
          <w:tcPr>
            <w:tcW w:w="4006" w:type="dxa"/>
          </w:tcPr>
          <w:p w:rsidR="00F45526" w:rsidRDefault="00F45526" w:rsidP="00E378DD">
            <w:pPr>
              <w:pStyle w:val="libFootnote0"/>
              <w:rPr>
                <w:rtl/>
                <w:lang w:bidi="fa-IR"/>
              </w:rPr>
            </w:pPr>
            <w:r>
              <w:rPr>
                <w:rtl/>
                <w:lang w:bidi="fa-IR"/>
              </w:rPr>
              <w:t>(5). في « جن » : « وأتيتك ».</w:t>
            </w:r>
          </w:p>
        </w:tc>
      </w:tr>
    </w:tbl>
    <w:p w:rsidR="00150943" w:rsidRDefault="00150943" w:rsidP="00D10E3C">
      <w:pPr>
        <w:pStyle w:val="libNormal"/>
        <w:rPr>
          <w:rtl/>
          <w:lang w:bidi="fa-IR"/>
        </w:rPr>
      </w:pPr>
      <w:r>
        <w:rPr>
          <w:rtl/>
          <w:lang w:bidi="fa-IR"/>
        </w:rPr>
        <w:br w:type="page"/>
      </w:r>
    </w:p>
    <w:p w:rsidR="00144FA6" w:rsidRDefault="00744A1C" w:rsidP="00A6581D">
      <w:pPr>
        <w:pStyle w:val="libNormal0"/>
        <w:rPr>
          <w:rtl/>
          <w:lang w:bidi="fa-IR"/>
        </w:rPr>
      </w:pPr>
      <w:r>
        <w:rPr>
          <w:rtl/>
          <w:lang w:bidi="fa-IR"/>
        </w:rPr>
        <w:lastRenderedPageBreak/>
        <w:t xml:space="preserve">نَفْسِي ، أَتَيْتُكَ زَائِراً أَبْتَغِي بِزِيَارَتِكَ فَكَاكَ رَقَبَتِي مِنَ النَّارِ </w:t>
      </w:r>
      <w:r w:rsidRPr="00D10E3C">
        <w:rPr>
          <w:rStyle w:val="libFootnotenumChar"/>
          <w:rtl/>
        </w:rPr>
        <w:t>(1)</w:t>
      </w:r>
      <w:r>
        <w:rPr>
          <w:rtl/>
          <w:lang w:bidi="fa-IR"/>
        </w:rPr>
        <w:t xml:space="preserve"> ، أَتَيْتُكَ هَارِباً مِنْ ذُنُوبِيَ الَّتِي احْتَطَبْتُهَا عَلى ظَهْرِي </w:t>
      </w:r>
      <w:r w:rsidRPr="00D10E3C">
        <w:rPr>
          <w:rStyle w:val="libFootnotenumChar"/>
          <w:rtl/>
        </w:rPr>
        <w:t>(2)</w:t>
      </w:r>
      <w:r>
        <w:rPr>
          <w:rtl/>
          <w:lang w:bidi="fa-IR"/>
        </w:rPr>
        <w:t xml:space="preserve"> ، أَتَيْتُكَ وَافِداً لِعَظِيمِ حَالِكَ </w:t>
      </w:r>
      <w:r w:rsidRPr="00D10E3C">
        <w:rPr>
          <w:rStyle w:val="libFootnotenumChar"/>
          <w:rtl/>
        </w:rPr>
        <w:t>(3)</w:t>
      </w:r>
      <w:r>
        <w:rPr>
          <w:rtl/>
          <w:lang w:bidi="fa-IR"/>
        </w:rPr>
        <w:t xml:space="preserve"> وَمَنْزِلَتِكَ عِنْدَ رَبِّي </w:t>
      </w:r>
      <w:r w:rsidRPr="00D10E3C">
        <w:rPr>
          <w:rStyle w:val="libFootnotenumChar"/>
          <w:rtl/>
        </w:rPr>
        <w:t>(4)</w:t>
      </w:r>
      <w:r>
        <w:rPr>
          <w:rtl/>
          <w:lang w:bidi="fa-IR"/>
        </w:rPr>
        <w:t xml:space="preserve"> ، فَاشْفَعْ لِي عِنْدَ رَبِّكَ ؛ فَإِنَّ لِي ذُنُوباً كَثِيرَةً ، وَإِنَّ </w:t>
      </w:r>
      <w:r w:rsidRPr="00D10E3C">
        <w:rPr>
          <w:rStyle w:val="libFootnotenumChar"/>
          <w:rtl/>
        </w:rPr>
        <w:t>(5)</w:t>
      </w:r>
      <w:r>
        <w:rPr>
          <w:rtl/>
          <w:lang w:bidi="fa-IR"/>
        </w:rPr>
        <w:t xml:space="preserve"> لَكَ عِنْدَ اللهِ مَقَاماً مَعْلُوماً </w:t>
      </w:r>
      <w:r w:rsidRPr="00D10E3C">
        <w:rPr>
          <w:rStyle w:val="libFootnotenumChar"/>
          <w:rtl/>
        </w:rPr>
        <w:t>(6)</w:t>
      </w:r>
      <w:r>
        <w:rPr>
          <w:rtl/>
          <w:lang w:bidi="fa-IR"/>
        </w:rPr>
        <w:t xml:space="preserve"> ، وَجَاهاً عَظِيماً ، وَشَأْناً كَبِيراً </w:t>
      </w:r>
      <w:r w:rsidRPr="00D10E3C">
        <w:rPr>
          <w:rStyle w:val="libFootnotenumChar"/>
          <w:rtl/>
        </w:rPr>
        <w:t>(7)</w:t>
      </w:r>
      <w:r>
        <w:rPr>
          <w:rtl/>
          <w:lang w:bidi="fa-IR"/>
        </w:rPr>
        <w:t xml:space="preserve"> ، وَشَفَاعَةً مَقْبُولَةً ، وَقَدْ قَالَ اللهُ عَزَّ وَجَلَّ : </w:t>
      </w:r>
      <w:r w:rsidRPr="00F45526">
        <w:rPr>
          <w:rStyle w:val="libAlaemChar"/>
          <w:rtl/>
        </w:rPr>
        <w:t>(</w:t>
      </w:r>
      <w:r w:rsidR="00F45526">
        <w:rPr>
          <w:rStyle w:val="libAieChar"/>
          <w:rtl/>
        </w:rPr>
        <w:t xml:space="preserve"> وَلا يَشْفَعُونَ إِل</w:t>
      </w:r>
      <w:r w:rsidR="00F45526">
        <w:rPr>
          <w:rStyle w:val="libAieChar"/>
          <w:rFonts w:hint="cs"/>
          <w:rtl/>
        </w:rPr>
        <w:t>ّ</w:t>
      </w:r>
      <w:r w:rsidR="00F45526">
        <w:rPr>
          <w:rStyle w:val="libAieChar"/>
          <w:rtl/>
        </w:rPr>
        <w:t>ا</w:t>
      </w:r>
      <w:r w:rsidRPr="00F45526">
        <w:rPr>
          <w:rStyle w:val="libAieChar"/>
          <w:rtl/>
        </w:rPr>
        <w:t xml:space="preserve"> لِمَنِ ارْتَضى </w:t>
      </w:r>
      <w:r w:rsidRPr="00F45526">
        <w:rPr>
          <w:rStyle w:val="libAlaemChar"/>
          <w:rtl/>
        </w:rPr>
        <w:t>)</w:t>
      </w:r>
      <w:r>
        <w:rPr>
          <w:rtl/>
          <w:lang w:bidi="fa-IR"/>
        </w:rPr>
        <w:t xml:space="preserve"> </w:t>
      </w:r>
      <w:r w:rsidRPr="00D10E3C">
        <w:rPr>
          <w:rStyle w:val="libFootnotenumChar"/>
          <w:rtl/>
        </w:rPr>
        <w:t>(8)</w:t>
      </w:r>
      <w:r>
        <w:rPr>
          <w:rtl/>
          <w:lang w:bidi="fa-IR"/>
        </w:rPr>
        <w:t xml:space="preserve"> الل</w:t>
      </w:r>
      <w:r w:rsidR="00F45526">
        <w:rPr>
          <w:rFonts w:hint="cs"/>
          <w:rtl/>
          <w:lang w:bidi="fa-IR"/>
        </w:rPr>
        <w:t>ّ</w:t>
      </w:r>
      <w:r>
        <w:rPr>
          <w:rtl/>
          <w:lang w:bidi="fa-IR"/>
        </w:rPr>
        <w:t xml:space="preserve">هُمَّ رَبَّ الْأَرْبَابِ ، صَرِيخَ </w:t>
      </w:r>
      <w:r w:rsidRPr="00D10E3C">
        <w:rPr>
          <w:rStyle w:val="libFootnotenumChar"/>
          <w:rtl/>
        </w:rPr>
        <w:t>(9)</w:t>
      </w:r>
      <w:r>
        <w:rPr>
          <w:rtl/>
          <w:lang w:bidi="fa-IR"/>
        </w:rPr>
        <w:t xml:space="preserve"> الْأَحْبَابِ </w:t>
      </w:r>
      <w:r w:rsidRPr="00D10E3C">
        <w:rPr>
          <w:rStyle w:val="libFootnotenumChar"/>
          <w:rtl/>
        </w:rPr>
        <w:t>(10)</w:t>
      </w:r>
      <w:r>
        <w:rPr>
          <w:rtl/>
          <w:lang w:bidi="fa-IR"/>
        </w:rPr>
        <w:t xml:space="preserve"> ، إِنِّي عُذْتُ بِأَخِي رَسُولِكَ مَعَاذاً ، فَفُكَّ رَقَبَتِي مِنَ النَّارِ ، آمَنْتُ بِاللهِ وَمَا </w:t>
      </w:r>
      <w:r w:rsidRPr="00D10E3C">
        <w:rPr>
          <w:rStyle w:val="libFootnotenumChar"/>
          <w:rtl/>
        </w:rPr>
        <w:t>(11)</w:t>
      </w:r>
      <w:r>
        <w:rPr>
          <w:rtl/>
          <w:lang w:bidi="fa-IR"/>
        </w:rPr>
        <w:t xml:space="preserve"> أُنْزِلَ إِلَيْكُمْ ، وَأَتَوَلّى آخِرَكُمْ بِمَا تَوَلَّيْتُ بِهِ </w:t>
      </w:r>
      <w:r w:rsidRPr="00D10E3C">
        <w:rPr>
          <w:rStyle w:val="libFootnotenumChar"/>
          <w:rtl/>
        </w:rPr>
        <w:t>(12)</w:t>
      </w:r>
      <w:r>
        <w:rPr>
          <w:rtl/>
          <w:lang w:bidi="fa-IR"/>
        </w:rPr>
        <w:t xml:space="preserve"> أَوَّلَكُمْ ، وَكَفَرْتُ بِال</w:t>
      </w:r>
      <w:r w:rsidR="00F45526">
        <w:rPr>
          <w:rtl/>
          <w:lang w:bidi="fa-IR"/>
        </w:rPr>
        <w:t>ْجِبْتِ وَالطَّاغُوتِ ، وَالل</w:t>
      </w:r>
      <w:r w:rsidR="00F45526">
        <w:rPr>
          <w:rFonts w:hint="cs"/>
          <w:rtl/>
          <w:lang w:bidi="fa-IR"/>
        </w:rPr>
        <w:t>َّ</w:t>
      </w:r>
      <w:r w:rsidR="00F45526">
        <w:rPr>
          <w:rtl/>
          <w:lang w:bidi="fa-IR"/>
        </w:rPr>
        <w:t>ا</w:t>
      </w:r>
      <w:r>
        <w:rPr>
          <w:rtl/>
          <w:lang w:bidi="fa-IR"/>
        </w:rPr>
        <w:t xml:space="preserve">تِ وَالْعُزّى. </w:t>
      </w:r>
      <w:r w:rsidRPr="00D10E3C">
        <w:rPr>
          <w:rStyle w:val="libFootnotenumChar"/>
          <w:rtl/>
        </w:rPr>
        <w:t>(13)</w:t>
      </w:r>
    </w:p>
    <w:p w:rsidR="00144FA6" w:rsidRDefault="00744A1C" w:rsidP="00F45526">
      <w:pPr>
        <w:pStyle w:val="Heading2Center"/>
        <w:rPr>
          <w:rtl/>
          <w:lang w:bidi="fa-IR"/>
        </w:rPr>
      </w:pPr>
      <w:bookmarkStart w:id="75" w:name="_Toc49261373"/>
      <w:r>
        <w:rPr>
          <w:rtl/>
          <w:lang w:bidi="fa-IR"/>
        </w:rPr>
        <w:t xml:space="preserve">228 - بَابُ مَوْضِعِ رَأْسِ الْحُسَيْنِ </w:t>
      </w:r>
      <w:r w:rsidR="0061079A" w:rsidRPr="0061079A">
        <w:rPr>
          <w:rStyle w:val="libAlaemChar"/>
          <w:rtl/>
        </w:rPr>
        <w:t>عليه‌السلام</w:t>
      </w:r>
      <w:bookmarkEnd w:id="75"/>
    </w:p>
    <w:p w:rsidR="00144FA6" w:rsidRDefault="00744A1C" w:rsidP="00744A1C">
      <w:pPr>
        <w:pStyle w:val="libNormal"/>
        <w:rPr>
          <w:rtl/>
          <w:lang w:bidi="fa-IR"/>
        </w:rPr>
      </w:pPr>
      <w:r>
        <w:rPr>
          <w:rtl/>
          <w:lang w:bidi="fa-IR"/>
        </w:rPr>
        <w:t xml:space="preserve">8155 / 1. عَلِيُّ بْنُ إِبْرَاهِيمَ ، عَنْ أَبِيهِ ، عَنْ يَحْيَى بْنِ زَكَرِيَّا ، عَنْ يَزِيدَ </w:t>
      </w:r>
      <w:r w:rsidRPr="00D10E3C">
        <w:rPr>
          <w:rStyle w:val="libFootnotenumChar"/>
          <w:rtl/>
        </w:rPr>
        <w:t>(14)</w:t>
      </w:r>
      <w:r>
        <w:rPr>
          <w:rtl/>
          <w:lang w:bidi="fa-IR"/>
        </w:rPr>
        <w:t xml:space="preserve"> بْنِ عُمَرَ </w:t>
      </w:r>
      <w:r w:rsidRPr="00D10E3C">
        <w:rPr>
          <w:rStyle w:val="libFootnotenumChar"/>
          <w:rtl/>
        </w:rPr>
        <w:t>(15)</w:t>
      </w:r>
      <w:r>
        <w:rPr>
          <w:rtl/>
          <w:lang w:bidi="fa-IR"/>
        </w:rPr>
        <w:t xml:space="preserve"> بْنِ طَلْحَةَ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 - « من النار ».</w:t>
      </w:r>
    </w:p>
    <w:p w:rsidR="00744A1C" w:rsidRDefault="00E378DD" w:rsidP="00E378DD">
      <w:pPr>
        <w:pStyle w:val="libFootnote0"/>
        <w:rPr>
          <w:lang w:bidi="fa-IR"/>
        </w:rPr>
      </w:pPr>
      <w:r>
        <w:rPr>
          <w:rtl/>
          <w:lang w:bidi="fa-IR"/>
        </w:rPr>
        <w:t>(2).</w:t>
      </w:r>
      <w:r w:rsidR="00744A1C">
        <w:rPr>
          <w:rtl/>
          <w:lang w:bidi="fa-IR"/>
        </w:rPr>
        <w:t xml:space="preserve"> في </w:t>
      </w:r>
      <w:r w:rsidR="00744A1C" w:rsidRPr="009F3653">
        <w:rPr>
          <w:rtl/>
        </w:rPr>
        <w:t>التهذيب</w:t>
      </w:r>
      <w:r w:rsidR="00744A1C">
        <w:rPr>
          <w:rtl/>
          <w:lang w:bidi="fa-IR"/>
        </w:rPr>
        <w:t xml:space="preserve"> : - « أتيتك زائراً أبتغي » إلى هنا.</w:t>
      </w:r>
    </w:p>
    <w:p w:rsidR="00744A1C" w:rsidRDefault="00E378DD" w:rsidP="00E378DD">
      <w:pPr>
        <w:pStyle w:val="libFootnote0"/>
        <w:rPr>
          <w:lang w:bidi="fa-IR"/>
        </w:rPr>
      </w:pPr>
      <w:r>
        <w:rPr>
          <w:rtl/>
          <w:lang w:bidi="fa-IR"/>
        </w:rPr>
        <w:t>(3).</w:t>
      </w:r>
      <w:r w:rsidR="00744A1C">
        <w:rPr>
          <w:rtl/>
          <w:lang w:bidi="fa-IR"/>
        </w:rPr>
        <w:t xml:space="preserve"> في </w:t>
      </w:r>
      <w:r w:rsidR="00744A1C" w:rsidRPr="009F3653">
        <w:rPr>
          <w:rtl/>
        </w:rPr>
        <w:t>الوافي</w:t>
      </w:r>
      <w:r w:rsidR="00744A1C">
        <w:rPr>
          <w:rtl/>
          <w:lang w:bidi="fa-IR"/>
        </w:rPr>
        <w:t xml:space="preserve"> عن بعض النسخ : « جاهك ».</w:t>
      </w:r>
    </w:p>
    <w:p w:rsidR="00744A1C" w:rsidRDefault="00E378DD" w:rsidP="00E378DD">
      <w:pPr>
        <w:pStyle w:val="libFootnote0"/>
        <w:rPr>
          <w:lang w:bidi="fa-IR"/>
        </w:rPr>
      </w:pPr>
      <w:r>
        <w:rPr>
          <w:rtl/>
          <w:lang w:bidi="fa-IR"/>
        </w:rPr>
        <w:t>(4).</w:t>
      </w:r>
      <w:r w:rsidR="00744A1C">
        <w:rPr>
          <w:rtl/>
          <w:lang w:bidi="fa-IR"/>
        </w:rPr>
        <w:t xml:space="preserve"> في </w:t>
      </w:r>
      <w:r w:rsidR="00744A1C" w:rsidRPr="009F3653">
        <w:rPr>
          <w:rtl/>
        </w:rPr>
        <w:t>الوافي والتهذيب</w:t>
      </w:r>
      <w:r w:rsidR="00744A1C">
        <w:rPr>
          <w:rtl/>
          <w:lang w:bidi="fa-IR"/>
        </w:rPr>
        <w:t xml:space="preserve"> : « عندي » بدل « عند ربّي ».</w:t>
      </w:r>
    </w:p>
    <w:p w:rsidR="00744A1C" w:rsidRDefault="00E378DD" w:rsidP="00E378DD">
      <w:pPr>
        <w:pStyle w:val="libFootnote0"/>
        <w:rPr>
          <w:lang w:bidi="fa-IR"/>
        </w:rPr>
      </w:pPr>
      <w:r>
        <w:rPr>
          <w:rtl/>
          <w:lang w:bidi="fa-IR"/>
        </w:rPr>
        <w:t>(5).</w:t>
      </w:r>
      <w:r w:rsidR="00744A1C">
        <w:rPr>
          <w:rtl/>
          <w:lang w:bidi="fa-IR"/>
        </w:rPr>
        <w:t xml:space="preserve"> في </w:t>
      </w:r>
      <w:r w:rsidR="00744A1C" w:rsidRPr="009F3653">
        <w:rPr>
          <w:rtl/>
        </w:rPr>
        <w:t>الوافي والتهذيب</w:t>
      </w:r>
      <w:r w:rsidR="00744A1C">
        <w:rPr>
          <w:rtl/>
          <w:lang w:bidi="fa-IR"/>
        </w:rPr>
        <w:t xml:space="preserve"> : - « إنّ ».</w:t>
      </w:r>
    </w:p>
    <w:p w:rsidR="00744A1C" w:rsidRDefault="00E378DD" w:rsidP="00E378DD">
      <w:pPr>
        <w:pStyle w:val="libFootnote0"/>
        <w:rPr>
          <w:lang w:bidi="fa-IR"/>
        </w:rPr>
      </w:pPr>
      <w:r>
        <w:rPr>
          <w:rtl/>
          <w:lang w:bidi="fa-IR"/>
        </w:rPr>
        <w:t>(6).</w:t>
      </w:r>
      <w:r w:rsidR="00744A1C">
        <w:rPr>
          <w:rtl/>
          <w:lang w:bidi="fa-IR"/>
        </w:rPr>
        <w:t xml:space="preserve"> في </w:t>
      </w:r>
      <w:r w:rsidR="00744A1C" w:rsidRPr="009F3653">
        <w:rPr>
          <w:rtl/>
        </w:rPr>
        <w:t>الوافي</w:t>
      </w:r>
      <w:r w:rsidR="00744A1C">
        <w:rPr>
          <w:rtl/>
          <w:lang w:bidi="fa-IR"/>
        </w:rPr>
        <w:t xml:space="preserve"> عن بعض النسخ </w:t>
      </w:r>
      <w:r w:rsidR="00744A1C" w:rsidRPr="009F3653">
        <w:rPr>
          <w:rtl/>
        </w:rPr>
        <w:t>والتهذيب</w:t>
      </w:r>
      <w:r w:rsidR="00744A1C">
        <w:rPr>
          <w:rtl/>
          <w:lang w:bidi="fa-IR"/>
        </w:rPr>
        <w:t xml:space="preserve"> : « مقام محمود » بدل « مقاماً معلوماً ».</w:t>
      </w:r>
    </w:p>
    <w:p w:rsidR="00744A1C" w:rsidRDefault="00E378DD" w:rsidP="00E378DD">
      <w:pPr>
        <w:pStyle w:val="libFootnote0"/>
        <w:rPr>
          <w:lang w:bidi="fa-IR"/>
        </w:rPr>
      </w:pPr>
      <w:r>
        <w:rPr>
          <w:rtl/>
          <w:lang w:bidi="fa-IR"/>
        </w:rPr>
        <w:t>(7).</w:t>
      </w:r>
      <w:r w:rsidR="00744A1C">
        <w:rPr>
          <w:rtl/>
          <w:lang w:bidi="fa-IR"/>
        </w:rPr>
        <w:t xml:space="preserve"> في </w:t>
      </w:r>
      <w:r w:rsidR="00744A1C" w:rsidRPr="009F3653">
        <w:rPr>
          <w:rtl/>
        </w:rPr>
        <w:t>الوافي والتهذيب</w:t>
      </w:r>
      <w:r w:rsidR="00744A1C">
        <w:rPr>
          <w:rtl/>
          <w:lang w:bidi="fa-IR"/>
        </w:rPr>
        <w:t xml:space="preserve"> : « وجاه عظيم وشأن كبير ».</w:t>
      </w:r>
    </w:p>
    <w:tbl>
      <w:tblPr>
        <w:tblStyle w:val="TableGrid"/>
        <w:bidiVisual/>
        <w:tblW w:w="0" w:type="auto"/>
        <w:tblLook w:val="04A0" w:firstRow="1" w:lastRow="0" w:firstColumn="1" w:lastColumn="0" w:noHBand="0" w:noVBand="1"/>
      </w:tblPr>
      <w:tblGrid>
        <w:gridCol w:w="4006"/>
        <w:gridCol w:w="4006"/>
      </w:tblGrid>
      <w:tr w:rsidR="009F3653" w:rsidTr="009F3653">
        <w:tc>
          <w:tcPr>
            <w:tcW w:w="4006" w:type="dxa"/>
          </w:tcPr>
          <w:p w:rsidR="009F3653" w:rsidRDefault="009F3653" w:rsidP="00E378DD">
            <w:pPr>
              <w:pStyle w:val="libFootnote0"/>
              <w:rPr>
                <w:rtl/>
                <w:lang w:bidi="fa-IR"/>
              </w:rPr>
            </w:pPr>
            <w:r>
              <w:rPr>
                <w:rtl/>
                <w:lang w:bidi="fa-IR"/>
              </w:rPr>
              <w:t>(8). الأنبياء (21) : 28.</w:t>
            </w:r>
          </w:p>
        </w:tc>
        <w:tc>
          <w:tcPr>
            <w:tcW w:w="4006" w:type="dxa"/>
          </w:tcPr>
          <w:p w:rsidR="009F3653" w:rsidRDefault="009F3653" w:rsidP="00E378DD">
            <w:pPr>
              <w:pStyle w:val="libFootnote0"/>
              <w:rPr>
                <w:rtl/>
                <w:lang w:bidi="fa-IR"/>
              </w:rPr>
            </w:pPr>
            <w:r>
              <w:rPr>
                <w:rtl/>
                <w:lang w:bidi="fa-IR"/>
              </w:rPr>
              <w:t>(9). في « ى » : + « المستصرخين ».</w:t>
            </w:r>
          </w:p>
        </w:tc>
      </w:tr>
    </w:tbl>
    <w:p w:rsidR="00744A1C" w:rsidRDefault="00E378DD" w:rsidP="00E378DD">
      <w:pPr>
        <w:pStyle w:val="libFootnote0"/>
        <w:rPr>
          <w:lang w:bidi="fa-IR"/>
        </w:rPr>
      </w:pPr>
      <w:r>
        <w:rPr>
          <w:rtl/>
          <w:lang w:bidi="fa-IR"/>
        </w:rPr>
        <w:t>(10).</w:t>
      </w:r>
      <w:r w:rsidR="00744A1C">
        <w:rPr>
          <w:rtl/>
          <w:lang w:bidi="fa-IR"/>
        </w:rPr>
        <w:t xml:space="preserve"> في حاشية « بث » </w:t>
      </w:r>
      <w:r w:rsidR="00744A1C" w:rsidRPr="009F3653">
        <w:rPr>
          <w:rtl/>
        </w:rPr>
        <w:t>والوافي</w:t>
      </w:r>
      <w:r w:rsidR="00744A1C">
        <w:rPr>
          <w:rtl/>
          <w:lang w:bidi="fa-IR"/>
        </w:rPr>
        <w:t xml:space="preserve"> عن بعض النسخ </w:t>
      </w:r>
      <w:r w:rsidR="00744A1C" w:rsidRPr="009F3653">
        <w:rPr>
          <w:rtl/>
        </w:rPr>
        <w:t>والتهذيب</w:t>
      </w:r>
      <w:r w:rsidR="00744A1C">
        <w:rPr>
          <w:rtl/>
          <w:lang w:bidi="fa-IR"/>
        </w:rPr>
        <w:t xml:space="preserve"> : « الأخيار ».</w:t>
      </w:r>
    </w:p>
    <w:p w:rsidR="00744A1C" w:rsidRDefault="00E378DD" w:rsidP="00E378DD">
      <w:pPr>
        <w:pStyle w:val="libFootnote0"/>
        <w:rPr>
          <w:lang w:bidi="fa-IR"/>
        </w:rPr>
      </w:pPr>
      <w:r>
        <w:rPr>
          <w:rtl/>
          <w:lang w:bidi="fa-IR"/>
        </w:rPr>
        <w:t>(11).</w:t>
      </w:r>
      <w:r w:rsidR="00744A1C">
        <w:rPr>
          <w:rtl/>
          <w:lang w:bidi="fa-IR"/>
        </w:rPr>
        <w:t xml:space="preserve"> في « ى ، بخ ، بس ، بف » وحاشية « بح » </w:t>
      </w:r>
      <w:r w:rsidR="00744A1C" w:rsidRPr="009F3653">
        <w:rPr>
          <w:rtl/>
        </w:rPr>
        <w:t>والوافي</w:t>
      </w:r>
      <w:r w:rsidR="00744A1C">
        <w:rPr>
          <w:rtl/>
          <w:lang w:bidi="fa-IR"/>
        </w:rPr>
        <w:t xml:space="preserve"> : « وبما ».</w:t>
      </w:r>
    </w:p>
    <w:p w:rsidR="00744A1C" w:rsidRDefault="00E378DD" w:rsidP="00E378DD">
      <w:pPr>
        <w:pStyle w:val="libFootnote0"/>
        <w:rPr>
          <w:lang w:bidi="fa-IR"/>
        </w:rPr>
      </w:pPr>
      <w:r>
        <w:rPr>
          <w:rtl/>
          <w:lang w:bidi="fa-IR"/>
        </w:rPr>
        <w:t>(12).</w:t>
      </w:r>
      <w:r w:rsidR="00744A1C">
        <w:rPr>
          <w:rtl/>
          <w:lang w:bidi="fa-IR"/>
        </w:rPr>
        <w:t xml:space="preserve"> في « ى ، بح ، بخ ، بف ، جن » : - « به ».</w:t>
      </w:r>
    </w:p>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6 ، ص 29 ، ح 56 ، من دون الإسناد إلى المعصوم </w:t>
      </w:r>
      <w:r w:rsidR="0061079A" w:rsidRPr="0061079A">
        <w:rPr>
          <w:rStyle w:val="libFootnoteAlaemChar"/>
          <w:rtl/>
        </w:rPr>
        <w:t>عليه‌السلام</w:t>
      </w:r>
      <w:r w:rsidR="00744A1C">
        <w:rPr>
          <w:rtl/>
          <w:lang w:bidi="fa-IR"/>
        </w:rPr>
        <w:t xml:space="preserve"> . وراجع : </w:t>
      </w:r>
      <w:r w:rsidR="00744A1C" w:rsidRPr="007B299E">
        <w:rPr>
          <w:rStyle w:val="libFootnoteBoldChar"/>
          <w:rtl/>
        </w:rPr>
        <w:t>كامل الزيارات</w:t>
      </w:r>
      <w:r w:rsidR="00744A1C">
        <w:rPr>
          <w:rtl/>
          <w:lang w:bidi="fa-IR"/>
        </w:rPr>
        <w:t xml:space="preserve"> ، ص 316 ، الباب 104 ، ح 2 </w:t>
      </w:r>
      <w:r w:rsidR="009F3653">
        <w:rPr>
          <w:rFonts w:hint="cs"/>
          <w:rtl/>
          <w:lang w:bidi="fa-IR"/>
        </w:rPr>
        <w:t>.</w:t>
      </w:r>
      <w:r w:rsidR="00744A1C" w:rsidRPr="00C24F9C">
        <w:rPr>
          <w:rStyle w:val="libFootnoteBoldChar"/>
          <w:rtl/>
        </w:rPr>
        <w:t>الوافي</w:t>
      </w:r>
      <w:r w:rsidR="00744A1C">
        <w:rPr>
          <w:rtl/>
          <w:lang w:bidi="fa-IR"/>
        </w:rPr>
        <w:t xml:space="preserve"> ، ج 14 ، ص 1430 ، ح 14476.</w:t>
      </w:r>
    </w:p>
    <w:tbl>
      <w:tblPr>
        <w:tblStyle w:val="TableGrid"/>
        <w:bidiVisual/>
        <w:tblW w:w="0" w:type="auto"/>
        <w:tblLook w:val="04A0" w:firstRow="1" w:lastRow="0" w:firstColumn="1" w:lastColumn="0" w:noHBand="0" w:noVBand="1"/>
      </w:tblPr>
      <w:tblGrid>
        <w:gridCol w:w="4006"/>
        <w:gridCol w:w="4006"/>
      </w:tblGrid>
      <w:tr w:rsidR="009F3653" w:rsidTr="009F3653">
        <w:tc>
          <w:tcPr>
            <w:tcW w:w="4006" w:type="dxa"/>
          </w:tcPr>
          <w:p w:rsidR="009F3653" w:rsidRDefault="009F3653" w:rsidP="00E378DD">
            <w:pPr>
              <w:pStyle w:val="libFootnote0"/>
              <w:rPr>
                <w:rtl/>
                <w:lang w:bidi="fa-IR"/>
              </w:rPr>
            </w:pPr>
            <w:r>
              <w:rPr>
                <w:rtl/>
                <w:lang w:bidi="fa-IR"/>
              </w:rPr>
              <w:t>(14). في « بث » : « بريد ».</w:t>
            </w:r>
          </w:p>
        </w:tc>
        <w:tc>
          <w:tcPr>
            <w:tcW w:w="4006" w:type="dxa"/>
          </w:tcPr>
          <w:p w:rsidR="009F3653" w:rsidRDefault="009F3653" w:rsidP="00E378DD">
            <w:pPr>
              <w:pStyle w:val="libFootnote0"/>
              <w:rPr>
                <w:rtl/>
                <w:lang w:bidi="fa-IR"/>
              </w:rPr>
            </w:pPr>
            <w:r>
              <w:rPr>
                <w:rtl/>
                <w:lang w:bidi="fa-IR"/>
              </w:rPr>
              <w:t>(15). في « جد » وحاشية « بخ » : « عمرو ».</w:t>
            </w:r>
          </w:p>
        </w:tc>
      </w:tr>
    </w:tbl>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لِي </w:t>
      </w:r>
      <w:r w:rsidRPr="00D10E3C">
        <w:rPr>
          <w:rStyle w:val="libFootnotenumChar"/>
          <w:rtl/>
        </w:rPr>
        <w:t>(1)</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وَهُوَ بِالْحِيرَةِ : « أَ</w:t>
      </w:r>
      <w:r w:rsidR="009F3653">
        <w:rPr>
          <w:rFonts w:hint="cs"/>
          <w:rtl/>
          <w:lang w:bidi="fa-IR"/>
        </w:rPr>
        <w:t xml:space="preserve"> </w:t>
      </w:r>
      <w:r>
        <w:rPr>
          <w:rtl/>
          <w:lang w:bidi="fa-IR"/>
        </w:rPr>
        <w:t>مَا تُرِيدُ مَا وَعَدْتُكَ؟ ».</w:t>
      </w:r>
    </w:p>
    <w:p w:rsidR="00744A1C" w:rsidRDefault="00744A1C" w:rsidP="00744A1C">
      <w:pPr>
        <w:pStyle w:val="libNormal"/>
        <w:rPr>
          <w:lang w:bidi="fa-IR"/>
        </w:rPr>
      </w:pPr>
      <w:r>
        <w:rPr>
          <w:rtl/>
          <w:lang w:bidi="fa-IR"/>
        </w:rPr>
        <w:t xml:space="preserve">قُلْتُ : بَلى ، يَعْنِي الذَّهَابَ إِلى قَبْرِ أَمِيرِ الْمُؤْمِنِينَ </w:t>
      </w:r>
      <w:r w:rsidR="0061079A" w:rsidRPr="0061079A">
        <w:rPr>
          <w:rStyle w:val="libAlaemChar"/>
          <w:rtl/>
        </w:rPr>
        <w:t>عليه‌السلام</w:t>
      </w:r>
      <w:r>
        <w:rPr>
          <w:rtl/>
          <w:lang w:bidi="fa-IR"/>
        </w:rPr>
        <w:t xml:space="preserve"> .</w:t>
      </w:r>
    </w:p>
    <w:p w:rsidR="00744A1C" w:rsidRDefault="00744A1C" w:rsidP="00744A1C">
      <w:pPr>
        <w:pStyle w:val="libNormal"/>
        <w:rPr>
          <w:lang w:bidi="fa-IR"/>
        </w:rPr>
      </w:pPr>
      <w:r>
        <w:rPr>
          <w:rtl/>
          <w:lang w:bidi="fa-IR"/>
        </w:rPr>
        <w:t xml:space="preserve">قَالَ : فَرَكِبَ ، وَرَكِبَ إِسْمَاعِيلُ </w:t>
      </w:r>
      <w:r w:rsidRPr="00D10E3C">
        <w:rPr>
          <w:rStyle w:val="libFootnotenumChar"/>
          <w:rtl/>
        </w:rPr>
        <w:t>(2)</w:t>
      </w:r>
      <w:r>
        <w:rPr>
          <w:rtl/>
          <w:lang w:bidi="fa-IR"/>
        </w:rPr>
        <w:t xml:space="preserve"> ، وَرَكِبْتُ مَعَهُمَا </w:t>
      </w:r>
      <w:r w:rsidRPr="00D10E3C">
        <w:rPr>
          <w:rStyle w:val="libFootnotenumChar"/>
          <w:rtl/>
        </w:rPr>
        <w:t>(3)</w:t>
      </w:r>
      <w:r>
        <w:rPr>
          <w:rtl/>
          <w:lang w:bidi="fa-IR"/>
        </w:rPr>
        <w:t xml:space="preserve"> حَتّى إِذَا جَازَ الثُّوَيَّةَ </w:t>
      </w:r>
      <w:r w:rsidRPr="00D10E3C">
        <w:rPr>
          <w:rStyle w:val="libFootnotenumChar"/>
          <w:rtl/>
        </w:rPr>
        <w:t>(4)</w:t>
      </w:r>
      <w:r>
        <w:rPr>
          <w:rtl/>
          <w:lang w:bidi="fa-IR"/>
        </w:rPr>
        <w:t xml:space="preserve"> - وَكَانَ بَيْنَ الْحِيرَةِ وَالنَّجَفِ </w:t>
      </w:r>
      <w:r w:rsidRPr="00D10E3C">
        <w:rPr>
          <w:rStyle w:val="libFootnotenumChar"/>
          <w:rtl/>
        </w:rPr>
        <w:t>(5)</w:t>
      </w:r>
      <w:r>
        <w:rPr>
          <w:rtl/>
          <w:lang w:bidi="fa-IR"/>
        </w:rPr>
        <w:t xml:space="preserve"> عِنْدَ ذَكَوَاتٍ </w:t>
      </w:r>
      <w:r w:rsidRPr="00D10E3C">
        <w:rPr>
          <w:rStyle w:val="libFootnotenumChar"/>
          <w:rtl/>
        </w:rPr>
        <w:t>(6)</w:t>
      </w:r>
      <w:r>
        <w:rPr>
          <w:rtl/>
          <w:lang w:bidi="fa-IR"/>
        </w:rPr>
        <w:t xml:space="preserve"> بِيضٍ - نَزَلَ ، وَنَزَلَ إِسْمَاعِيلُ ، وَنَزَلْتُ مَعَهُمَا </w:t>
      </w:r>
      <w:r w:rsidRPr="00D10E3C">
        <w:rPr>
          <w:rStyle w:val="libFootnotenumChar"/>
          <w:rtl/>
        </w:rPr>
        <w:t>(7)</w:t>
      </w:r>
      <w:r>
        <w:rPr>
          <w:rtl/>
          <w:lang w:bidi="fa-IR"/>
        </w:rPr>
        <w:t xml:space="preserve"> ، فَصَلّى وَصَلّى </w:t>
      </w:r>
      <w:r w:rsidRPr="00D10E3C">
        <w:rPr>
          <w:rStyle w:val="libFootnotenumChar"/>
          <w:rtl/>
        </w:rPr>
        <w:t>(8)</w:t>
      </w:r>
      <w:r>
        <w:rPr>
          <w:rtl/>
          <w:lang w:bidi="fa-IR"/>
        </w:rPr>
        <w:t xml:space="preserve"> إِسْمَاعِيلُ ، وَصَلَّيْتُ ، فَقَالَ لِإِسْمَاعِيلَ : « قُمْ ، فَسَلِّمْ عَلى جَدِّكَ الْحُسَيْنِ </w:t>
      </w:r>
      <w:r w:rsidR="008859AA" w:rsidRPr="008859AA">
        <w:rPr>
          <w:rStyle w:val="libAlaemChar"/>
          <w:rtl/>
        </w:rPr>
        <w:t>عليهما‌السلام</w:t>
      </w:r>
      <w:r>
        <w:rPr>
          <w:rtl/>
          <w:lang w:bidi="fa-IR"/>
        </w:rPr>
        <w:t>».</w:t>
      </w:r>
    </w:p>
    <w:p w:rsidR="00744A1C" w:rsidRDefault="00744A1C" w:rsidP="00744A1C">
      <w:pPr>
        <w:pStyle w:val="libNormal"/>
        <w:rPr>
          <w:lang w:bidi="fa-IR"/>
        </w:rPr>
      </w:pPr>
      <w:r>
        <w:rPr>
          <w:rtl/>
          <w:lang w:bidi="fa-IR"/>
        </w:rPr>
        <w:t>فَقُلْتُ : جُعِلْتُ فِدَاكَ ، أَلَيْسَ الْحُسَيْنُ بِكَرْبَلَاءَ؟</w:t>
      </w:r>
    </w:p>
    <w:p w:rsidR="00144FA6" w:rsidRDefault="00744A1C" w:rsidP="00744A1C">
      <w:pPr>
        <w:pStyle w:val="libNormal"/>
        <w:rPr>
          <w:rtl/>
          <w:lang w:bidi="fa-IR"/>
        </w:rPr>
      </w:pPr>
      <w:r>
        <w:rPr>
          <w:rtl/>
          <w:lang w:bidi="fa-IR"/>
        </w:rPr>
        <w:t>فَقَالَ : « نَعَمْ ، وَلكِنْ لَمَّا حُمِلَ رَأْسُهُ إِلَى الشَّامِ ، سَرَقَهُ مَوْلًى لَنَا ، فَدَفَنَهُ بِجَنْبِ أَمِيرِ الْمُؤْمِنِينَ</w:t>
      </w:r>
      <w:r w:rsidR="0061079A" w:rsidRPr="0061079A">
        <w:rPr>
          <w:rStyle w:val="libAlaemChar"/>
          <w:rtl/>
        </w:rPr>
        <w:t>عليه‌السلام</w:t>
      </w:r>
      <w:r w:rsidR="00D10E3C">
        <w:rPr>
          <w:rtl/>
          <w:lang w:bidi="fa-IR"/>
        </w:rPr>
        <w:t xml:space="preserve"> </w:t>
      </w:r>
      <w:r>
        <w:rPr>
          <w:rtl/>
          <w:lang w:bidi="fa-IR"/>
        </w:rPr>
        <w:t xml:space="preserve">». </w:t>
      </w:r>
      <w:r w:rsidRPr="00D10E3C">
        <w:rPr>
          <w:rStyle w:val="libFootnotenumChar"/>
          <w:rtl/>
        </w:rPr>
        <w:t>(9)</w:t>
      </w:r>
    </w:p>
    <w:p w:rsidR="00144FA6" w:rsidRDefault="00744A1C" w:rsidP="00744A1C">
      <w:pPr>
        <w:pStyle w:val="libNormal"/>
        <w:rPr>
          <w:rtl/>
          <w:lang w:bidi="fa-IR"/>
        </w:rPr>
      </w:pPr>
      <w:r>
        <w:rPr>
          <w:rtl/>
          <w:lang w:bidi="fa-IR"/>
        </w:rPr>
        <w:t xml:space="preserve">8156 / 2. عِدَّةٌ مِنْ أَصْحَابِنَا ، عَنْ سَهْلِ بْنِ زِيَادٍ ، عَنْ إِبْرَاهِيمَ بْنِ عُقْبَةَ ، عَنِ الْحَسَنِ‌ الْخَزَّازِ ، عَنِ الْوَشَّاءِ </w:t>
      </w:r>
      <w:r w:rsidRPr="00D10E3C">
        <w:rPr>
          <w:rStyle w:val="libFootnotenumChar"/>
          <w:rtl/>
        </w:rPr>
        <w:t>(10)</w:t>
      </w:r>
      <w:r>
        <w:rPr>
          <w:rtl/>
          <w:lang w:bidi="fa-IR"/>
        </w:rPr>
        <w:t xml:space="preserve"> أَبِي الْفَرَجِ ، عَنْ أَبَانِ بْنِ تَغْلِبَ ، قَالَ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9F3653" w:rsidTr="009F3653">
        <w:tc>
          <w:tcPr>
            <w:tcW w:w="4006" w:type="dxa"/>
          </w:tcPr>
          <w:p w:rsidR="009F3653" w:rsidRDefault="009F3653" w:rsidP="00D10E3C">
            <w:pPr>
              <w:pStyle w:val="libFootnote0"/>
              <w:rPr>
                <w:rtl/>
                <w:lang w:bidi="fa-IR"/>
              </w:rPr>
            </w:pPr>
            <w:r>
              <w:rPr>
                <w:rtl/>
                <w:lang w:bidi="fa-IR"/>
              </w:rPr>
              <w:t xml:space="preserve">(1). في « بث » </w:t>
            </w:r>
            <w:r w:rsidRPr="009F3653">
              <w:rPr>
                <w:rtl/>
              </w:rPr>
              <w:t>وكامل الزيارات</w:t>
            </w:r>
            <w:r>
              <w:rPr>
                <w:rtl/>
                <w:lang w:bidi="fa-IR"/>
              </w:rPr>
              <w:t xml:space="preserve"> : - « لي ».</w:t>
            </w:r>
          </w:p>
        </w:tc>
        <w:tc>
          <w:tcPr>
            <w:tcW w:w="4006" w:type="dxa"/>
          </w:tcPr>
          <w:p w:rsidR="009F3653" w:rsidRDefault="009F3653" w:rsidP="00D10E3C">
            <w:pPr>
              <w:pStyle w:val="libFootnote0"/>
              <w:rPr>
                <w:rtl/>
                <w:lang w:bidi="fa-IR"/>
              </w:rPr>
            </w:pPr>
            <w:r>
              <w:rPr>
                <w:rtl/>
                <w:lang w:bidi="fa-IR"/>
              </w:rPr>
              <w:t xml:space="preserve">(2). في </w:t>
            </w:r>
            <w:r w:rsidRPr="009F3653">
              <w:rPr>
                <w:rtl/>
              </w:rPr>
              <w:t>كامل الزيارات</w:t>
            </w:r>
            <w:r>
              <w:rPr>
                <w:rtl/>
                <w:lang w:bidi="fa-IR"/>
              </w:rPr>
              <w:t xml:space="preserve"> : + « ابنه معه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9F3653">
        <w:rPr>
          <w:rtl/>
        </w:rPr>
        <w:t>كامل الزيارات</w:t>
      </w:r>
      <w:r w:rsidR="00744A1C">
        <w:rPr>
          <w:rtl/>
          <w:lang w:bidi="fa-IR"/>
        </w:rPr>
        <w:t xml:space="preserve"> : « معهم ».</w:t>
      </w:r>
    </w:p>
    <w:p w:rsidR="00744A1C" w:rsidRDefault="00E378DD" w:rsidP="00E378DD">
      <w:pPr>
        <w:pStyle w:val="libFootnote0"/>
        <w:rPr>
          <w:lang w:bidi="fa-IR"/>
        </w:rPr>
      </w:pPr>
      <w:r>
        <w:rPr>
          <w:rtl/>
          <w:lang w:bidi="fa-IR"/>
        </w:rPr>
        <w:t>(4).</w:t>
      </w:r>
      <w:r w:rsidR="00744A1C">
        <w:rPr>
          <w:rtl/>
          <w:lang w:bidi="fa-IR"/>
        </w:rPr>
        <w:t xml:space="preserve"> « الثويّة » : موضع قريب من الكوفة. </w:t>
      </w:r>
      <w:r w:rsidR="00744A1C" w:rsidRPr="00877682">
        <w:rPr>
          <w:rStyle w:val="libFootnoteBoldChar"/>
          <w:rtl/>
        </w:rPr>
        <w:t>لسان العرب</w:t>
      </w:r>
      <w:r w:rsidR="00744A1C">
        <w:rPr>
          <w:rtl/>
          <w:lang w:bidi="fa-IR"/>
        </w:rPr>
        <w:t xml:space="preserve"> ، ج 14 ، ص 127 ( ثوى ).</w:t>
      </w:r>
    </w:p>
    <w:p w:rsidR="00744A1C" w:rsidRDefault="00E378DD" w:rsidP="00E378DD">
      <w:pPr>
        <w:pStyle w:val="libFootnote0"/>
        <w:rPr>
          <w:lang w:bidi="fa-IR"/>
        </w:rPr>
      </w:pPr>
      <w:r>
        <w:rPr>
          <w:rtl/>
          <w:lang w:bidi="fa-IR"/>
        </w:rPr>
        <w:t>(5).</w:t>
      </w:r>
      <w:r w:rsidR="00744A1C">
        <w:rPr>
          <w:rtl/>
          <w:lang w:bidi="fa-IR"/>
        </w:rPr>
        <w:t xml:space="preserve"> في </w:t>
      </w:r>
      <w:r w:rsidR="00744A1C" w:rsidRPr="009F3653">
        <w:rPr>
          <w:rtl/>
        </w:rPr>
        <w:t>الوافي</w:t>
      </w:r>
      <w:r w:rsidR="00744A1C">
        <w:rPr>
          <w:rtl/>
          <w:lang w:bidi="fa-IR"/>
        </w:rPr>
        <w:t xml:space="preserve"> : « وبين النجف ».</w:t>
      </w:r>
    </w:p>
    <w:p w:rsidR="00744A1C" w:rsidRDefault="00E378DD" w:rsidP="00E378DD">
      <w:pPr>
        <w:pStyle w:val="libFootnote0"/>
        <w:rPr>
          <w:lang w:bidi="fa-IR"/>
        </w:rPr>
      </w:pPr>
      <w:r>
        <w:rPr>
          <w:rtl/>
          <w:lang w:bidi="fa-IR"/>
        </w:rPr>
        <w:t>(6).</w:t>
      </w:r>
      <w:r w:rsidR="00744A1C">
        <w:rPr>
          <w:rtl/>
          <w:lang w:bidi="fa-IR"/>
        </w:rPr>
        <w:t xml:space="preserve"> في « بح » : « زكوات ». وفي « بخ » : « ذكرات ». وفي </w:t>
      </w:r>
      <w:r w:rsidR="00744A1C" w:rsidRPr="009F3653">
        <w:rPr>
          <w:rtl/>
        </w:rPr>
        <w:t>المرآة</w:t>
      </w:r>
      <w:r w:rsidR="00744A1C">
        <w:rPr>
          <w:rtl/>
          <w:lang w:bidi="fa-IR"/>
        </w:rPr>
        <w:t xml:space="preserve"> عن بعض النسخ : « الركوات » ، وهو جمع الركوة بمعنى الحوض الكبير. والذَكَوات جمع الذكاة ، وهي الجمرة الملتهبة من الحصى. والمراد بها الحصبات البيض التي توجد هناك ، ويتختّم بها ، أو التلال المشتملة عليها مجازاً لتوقّدها عند إشراق الشمس عليها. راجع : </w:t>
      </w:r>
      <w:r w:rsidR="00744A1C" w:rsidRPr="00877682">
        <w:rPr>
          <w:rStyle w:val="libFootnoteBoldChar"/>
          <w:rtl/>
        </w:rPr>
        <w:t>لسان العرب</w:t>
      </w:r>
      <w:r w:rsidR="00744A1C">
        <w:rPr>
          <w:rtl/>
          <w:lang w:bidi="fa-IR"/>
        </w:rPr>
        <w:t xml:space="preserve"> ، ج 14 ص 287 ؛ </w:t>
      </w:r>
      <w:r w:rsidR="00744A1C" w:rsidRPr="008A57EB">
        <w:rPr>
          <w:rStyle w:val="libFootnoteBoldChar"/>
          <w:rtl/>
        </w:rPr>
        <w:t>مجمع البحرين</w:t>
      </w:r>
      <w:r w:rsidR="00744A1C">
        <w:rPr>
          <w:rtl/>
          <w:lang w:bidi="fa-IR"/>
        </w:rPr>
        <w:t xml:space="preserve"> ، ج 1 ، ص 159 ( ذكو ) ؛ </w:t>
      </w:r>
      <w:r w:rsidR="00744A1C" w:rsidRPr="00877682">
        <w:rPr>
          <w:rStyle w:val="libFootnoteBoldChar"/>
          <w:rtl/>
        </w:rPr>
        <w:t>مرآة العقول</w:t>
      </w:r>
      <w:r w:rsidR="00744A1C">
        <w:rPr>
          <w:rtl/>
          <w:lang w:bidi="fa-IR"/>
        </w:rPr>
        <w:t xml:space="preserve"> ، ج 18 ، ص 290.</w:t>
      </w:r>
    </w:p>
    <w:tbl>
      <w:tblPr>
        <w:tblStyle w:val="TableGrid"/>
        <w:bidiVisual/>
        <w:tblW w:w="0" w:type="auto"/>
        <w:tblLook w:val="04A0" w:firstRow="1" w:lastRow="0" w:firstColumn="1" w:lastColumn="0" w:noHBand="0" w:noVBand="1"/>
      </w:tblPr>
      <w:tblGrid>
        <w:gridCol w:w="4006"/>
        <w:gridCol w:w="4006"/>
      </w:tblGrid>
      <w:tr w:rsidR="009F3653" w:rsidTr="009F3653">
        <w:tc>
          <w:tcPr>
            <w:tcW w:w="4006" w:type="dxa"/>
          </w:tcPr>
          <w:p w:rsidR="009F3653" w:rsidRDefault="009F3653" w:rsidP="00E378DD">
            <w:pPr>
              <w:pStyle w:val="libFootnote0"/>
              <w:rPr>
                <w:rtl/>
                <w:lang w:bidi="fa-IR"/>
              </w:rPr>
            </w:pPr>
            <w:r>
              <w:rPr>
                <w:rtl/>
                <w:lang w:bidi="fa-IR"/>
              </w:rPr>
              <w:t xml:space="preserve">(7). في </w:t>
            </w:r>
            <w:r w:rsidRPr="009F3653">
              <w:rPr>
                <w:rtl/>
              </w:rPr>
              <w:t>كامل الزيارات</w:t>
            </w:r>
            <w:r>
              <w:rPr>
                <w:rtl/>
                <w:lang w:bidi="fa-IR"/>
              </w:rPr>
              <w:t xml:space="preserve"> : « معهم ».</w:t>
            </w:r>
          </w:p>
        </w:tc>
        <w:tc>
          <w:tcPr>
            <w:tcW w:w="4006" w:type="dxa"/>
          </w:tcPr>
          <w:p w:rsidR="009F3653" w:rsidRDefault="009F3653" w:rsidP="00E378DD">
            <w:pPr>
              <w:pStyle w:val="libFootnote0"/>
              <w:rPr>
                <w:rtl/>
                <w:lang w:bidi="fa-IR"/>
              </w:rPr>
            </w:pPr>
            <w:r>
              <w:rPr>
                <w:rtl/>
                <w:lang w:bidi="fa-IR"/>
              </w:rPr>
              <w:t xml:space="preserve">(8). في </w:t>
            </w:r>
            <w:r w:rsidRPr="009F3653">
              <w:rPr>
                <w:rtl/>
              </w:rPr>
              <w:t>كامل الزيارات</w:t>
            </w:r>
            <w:r>
              <w:rPr>
                <w:rtl/>
                <w:lang w:bidi="fa-IR"/>
              </w:rPr>
              <w:t xml:space="preserve"> : - « وصلّى ».</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7B299E">
        <w:rPr>
          <w:rStyle w:val="libFootnoteBoldChar"/>
          <w:rtl/>
        </w:rPr>
        <w:t>كامل الزيارات</w:t>
      </w:r>
      <w:r w:rsidR="00744A1C">
        <w:rPr>
          <w:rtl/>
          <w:lang w:bidi="fa-IR"/>
        </w:rPr>
        <w:t xml:space="preserve"> ، ص 34 ، الباب 9 ، ح 4 ، عن أبيه ومحمّد بن يعقوب عن عليّ بن إبراهيم. </w:t>
      </w:r>
      <w:r w:rsidR="00744A1C" w:rsidRPr="00C24F9C">
        <w:rPr>
          <w:rStyle w:val="libFootnoteBoldChar"/>
          <w:rtl/>
        </w:rPr>
        <w:t>التهذيب</w:t>
      </w:r>
      <w:r w:rsidR="00744A1C">
        <w:rPr>
          <w:rtl/>
          <w:lang w:bidi="fa-IR"/>
        </w:rPr>
        <w:t xml:space="preserve"> ، ج 6 ، ص 35 ، ح 72 ، بسند آخر ، مع اختلاف يسير </w:t>
      </w:r>
      <w:r w:rsidR="009F3653">
        <w:rPr>
          <w:rFonts w:hint="cs"/>
          <w:rtl/>
          <w:lang w:bidi="fa-IR"/>
        </w:rPr>
        <w:t>.</w:t>
      </w:r>
      <w:r w:rsidR="00744A1C" w:rsidRPr="00C24F9C">
        <w:rPr>
          <w:rStyle w:val="libFootnoteBoldChar"/>
          <w:rtl/>
        </w:rPr>
        <w:t>الوافي</w:t>
      </w:r>
      <w:r w:rsidR="00744A1C">
        <w:rPr>
          <w:rtl/>
          <w:lang w:bidi="fa-IR"/>
        </w:rPr>
        <w:t xml:space="preserve"> ، ج 14 ، ص 1413 ، ح 14461 ؛ </w:t>
      </w:r>
      <w:r w:rsidR="00744A1C" w:rsidRPr="00C24F9C">
        <w:rPr>
          <w:rStyle w:val="libFootnoteBoldChar"/>
          <w:rtl/>
        </w:rPr>
        <w:t>الوسائل</w:t>
      </w:r>
      <w:r w:rsidR="00744A1C">
        <w:rPr>
          <w:rtl/>
          <w:lang w:bidi="fa-IR"/>
        </w:rPr>
        <w:t xml:space="preserve"> ، ج 14 ، ص 400 ، ح 19456.</w:t>
      </w:r>
    </w:p>
    <w:p w:rsidR="00144FA6" w:rsidRDefault="00E378DD" w:rsidP="00E378DD">
      <w:pPr>
        <w:pStyle w:val="libFootnote0"/>
        <w:rPr>
          <w:rtl/>
          <w:lang w:bidi="fa-IR"/>
        </w:rPr>
      </w:pPr>
      <w:r>
        <w:rPr>
          <w:rtl/>
          <w:lang w:bidi="fa-IR"/>
        </w:rPr>
        <w:t>(10).</w:t>
      </w:r>
      <w:r w:rsidR="00744A1C">
        <w:rPr>
          <w:rtl/>
          <w:lang w:bidi="fa-IR"/>
        </w:rPr>
        <w:t xml:space="preserve"> الخبر رواه ابن قولويه في </w:t>
      </w:r>
      <w:r w:rsidR="00744A1C" w:rsidRPr="007B299E">
        <w:rPr>
          <w:rStyle w:val="libFootnoteBoldChar"/>
          <w:rtl/>
        </w:rPr>
        <w:t>كامل الزيارات</w:t>
      </w:r>
      <w:r w:rsidR="00744A1C">
        <w:rPr>
          <w:rtl/>
          <w:lang w:bidi="fa-IR"/>
        </w:rPr>
        <w:t xml:space="preserve"> ، ص 34 ، ح 5 بسنده عن سهل بن زياد عن إبراهيم بن عقبة عن الحسن الخزّاز الوشّاء عن أبي الفرج عن أبان بن تغلب. وهو الظاهر ، فإنّ الحسن الوشّاء ، هو الحسن بن عليّ</w:t>
      </w:r>
      <w:r w:rsidR="009F3653">
        <w:rPr>
          <w:rFonts w:hint="cs"/>
          <w:rtl/>
          <w:lang w:bidi="fa-IR"/>
        </w:rPr>
        <w:t xml:space="preserve"> =</w:t>
      </w:r>
    </w:p>
    <w:p w:rsidR="00150943" w:rsidRDefault="00150943" w:rsidP="00D10E3C">
      <w:pPr>
        <w:pStyle w:val="libNormal"/>
        <w:rPr>
          <w:rtl/>
          <w:lang w:bidi="fa-IR"/>
        </w:rPr>
      </w:pPr>
      <w:r>
        <w:rPr>
          <w:rtl/>
          <w:lang w:bidi="fa-IR"/>
        </w:rPr>
        <w:br w:type="page"/>
      </w:r>
    </w:p>
    <w:p w:rsidR="00744A1C" w:rsidRDefault="00744A1C" w:rsidP="00A6581D">
      <w:pPr>
        <w:pStyle w:val="libNormal"/>
        <w:rPr>
          <w:lang w:bidi="fa-IR"/>
        </w:rPr>
      </w:pPr>
      <w:r>
        <w:rPr>
          <w:rtl/>
          <w:lang w:bidi="fa-IR"/>
        </w:rPr>
        <w:lastRenderedPageBreak/>
        <w:t xml:space="preserve">كُنْتُ مَعَ أَبِي عَبْدِ اللهِ </w:t>
      </w:r>
      <w:r w:rsidR="00A6581D" w:rsidRPr="0061079A">
        <w:rPr>
          <w:rStyle w:val="libAlaemChar"/>
          <w:rtl/>
        </w:rPr>
        <w:t>عليه‌السلام</w:t>
      </w:r>
      <w:r w:rsidR="00A6581D">
        <w:rPr>
          <w:rtl/>
          <w:lang w:bidi="fa-IR"/>
        </w:rPr>
        <w:t xml:space="preserve"> </w:t>
      </w:r>
      <w:r>
        <w:rPr>
          <w:rtl/>
          <w:lang w:bidi="fa-IR"/>
        </w:rPr>
        <w:t>، فَمَرَّ بِظَهْرِ الْكُوفَةِ ، فَنَزَلَ ، فَصَلّى رَكْعَتَيْنِ ، ثُمَّ تَقَدَّمَ قَلِيلاً ، فَصَلّى رَكْعَتَيْنِ ، ثُمَّ سَارَ قَلِيلاً ، فَنَزَلَ ، فَصَلّى رَكْعَتَيْنِ ، ثُمَّ قَالَ : « هذَا مَوْضِعُ قَبْ</w:t>
      </w:r>
      <w:r w:rsidR="009F3653">
        <w:rPr>
          <w:rtl/>
          <w:lang w:bidi="fa-IR"/>
        </w:rPr>
        <w:t>رِ أَمِيرِ الْمُؤْمِنِينَ</w:t>
      </w:r>
      <w:r>
        <w:rPr>
          <w:rtl/>
          <w:lang w:bidi="fa-IR"/>
        </w:rPr>
        <w:t>».</w:t>
      </w:r>
    </w:p>
    <w:p w:rsidR="00744A1C" w:rsidRDefault="00744A1C" w:rsidP="00744A1C">
      <w:pPr>
        <w:pStyle w:val="libNormal"/>
        <w:rPr>
          <w:lang w:bidi="fa-IR"/>
        </w:rPr>
      </w:pPr>
      <w:r>
        <w:rPr>
          <w:rtl/>
          <w:lang w:bidi="fa-IR"/>
        </w:rPr>
        <w:t>قُلْتُ : جُعِلْتُ فِدَاكَ ، وَالْمَوْضِعَيْنِ اللَّذَيْنِ صَلَّيْتَ فِيهِمَا؟</w:t>
      </w:r>
    </w:p>
    <w:p w:rsidR="00144FA6" w:rsidRDefault="00744A1C" w:rsidP="00744A1C">
      <w:pPr>
        <w:pStyle w:val="libNormal"/>
        <w:rPr>
          <w:rtl/>
          <w:lang w:bidi="fa-IR"/>
        </w:rPr>
      </w:pPr>
      <w:r>
        <w:rPr>
          <w:rtl/>
          <w:lang w:bidi="fa-IR"/>
        </w:rPr>
        <w:t xml:space="preserve">قَالَ : « مَوْضِعُ رَأْسِ الْحُسَيْنِ </w:t>
      </w:r>
      <w:r w:rsidR="0061079A" w:rsidRPr="0061079A">
        <w:rPr>
          <w:rStyle w:val="libAlaemChar"/>
          <w:rtl/>
        </w:rPr>
        <w:t>عليه‌السلام</w:t>
      </w:r>
      <w:r w:rsidR="00D10E3C">
        <w:rPr>
          <w:rtl/>
          <w:lang w:bidi="fa-IR"/>
        </w:rPr>
        <w:t xml:space="preserve"> </w:t>
      </w:r>
      <w:r>
        <w:rPr>
          <w:rtl/>
          <w:lang w:bidi="fa-IR"/>
        </w:rPr>
        <w:t xml:space="preserve">، وَمَوْضِعُ مَنْزِلِ </w:t>
      </w:r>
      <w:r w:rsidRPr="00D10E3C">
        <w:rPr>
          <w:rStyle w:val="libFootnotenumChar"/>
          <w:rtl/>
        </w:rPr>
        <w:t>(1)</w:t>
      </w:r>
      <w:r>
        <w:rPr>
          <w:rtl/>
          <w:lang w:bidi="fa-IR"/>
        </w:rPr>
        <w:t xml:space="preserve"> الْقَائِمِ </w:t>
      </w:r>
      <w:r w:rsidR="0061079A" w:rsidRPr="0061079A">
        <w:rPr>
          <w:rStyle w:val="libAlaemChar"/>
          <w:rtl/>
        </w:rPr>
        <w:t>عليه‌السلام</w:t>
      </w:r>
      <w:r w:rsidR="00D10E3C">
        <w:rPr>
          <w:rtl/>
          <w:lang w:bidi="fa-IR"/>
        </w:rPr>
        <w:t xml:space="preserve"> </w:t>
      </w:r>
      <w:r>
        <w:rPr>
          <w:rtl/>
          <w:lang w:bidi="fa-IR"/>
        </w:rPr>
        <w:t xml:space="preserve">». </w:t>
      </w:r>
      <w:r w:rsidRPr="00D10E3C">
        <w:rPr>
          <w:rStyle w:val="libFootnotenumChar"/>
          <w:rtl/>
        </w:rPr>
        <w:t>(2)</w:t>
      </w:r>
    </w:p>
    <w:p w:rsidR="00744A1C" w:rsidRDefault="00744A1C" w:rsidP="001C0652">
      <w:pPr>
        <w:pStyle w:val="Heading2Center"/>
        <w:rPr>
          <w:lang w:bidi="fa-IR"/>
        </w:rPr>
      </w:pPr>
      <w:bookmarkStart w:id="76" w:name="_Toc49261374"/>
      <w:r>
        <w:rPr>
          <w:rtl/>
          <w:lang w:bidi="fa-IR"/>
        </w:rPr>
        <w:t xml:space="preserve">229 - بَابُ زِيَارَةِ قَبْرِ أَبِي عَبْدِ اللهِ الْحُسَيْنِ بْنِ عَلِيٍّ </w:t>
      </w:r>
      <w:r w:rsidR="008859AA" w:rsidRPr="008859AA">
        <w:rPr>
          <w:rStyle w:val="libAlaemChar"/>
          <w:rtl/>
        </w:rPr>
        <w:t>عليهما‌السلام</w:t>
      </w:r>
      <w:r>
        <w:rPr>
          <w:rtl/>
          <w:lang w:bidi="fa-IR"/>
        </w:rPr>
        <w:t>‌</w:t>
      </w:r>
      <w:bookmarkEnd w:id="76"/>
    </w:p>
    <w:p w:rsidR="00144FA6" w:rsidRDefault="00744A1C" w:rsidP="00744A1C">
      <w:pPr>
        <w:pStyle w:val="libNormal"/>
        <w:rPr>
          <w:rtl/>
          <w:lang w:bidi="fa-IR"/>
        </w:rPr>
      </w:pPr>
      <w:r>
        <w:rPr>
          <w:rtl/>
          <w:lang w:bidi="fa-IR"/>
        </w:rPr>
        <w:t xml:space="preserve">8157 / 1. عِدَّةٌ مِنْ أَصْحَابِنَا ، عَنْ أَحْمَدَ بْنِ مُحَمَّدٍ ، عَنِ الْحُسَيْنِ بْنِ سَعِيدٍ ، عَنْ فَضَالَةَ بْنِ أَيُّوبَ ، عَنْ نُعَيْمِ بْنِ الْوَلِيدِ ، عَنْ يُوسُفَ </w:t>
      </w:r>
      <w:r w:rsidRPr="00D10E3C">
        <w:rPr>
          <w:rStyle w:val="libFootnotenumChar"/>
          <w:rtl/>
        </w:rPr>
        <w:t>(3)</w:t>
      </w:r>
      <w:r>
        <w:rPr>
          <w:rtl/>
          <w:lang w:bidi="fa-IR"/>
        </w:rPr>
        <w:t xml:space="preserve"> الْكُنَاسِيِّ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أَتَيْتَ قَبْرَ الْحُسَيْنِ </w:t>
      </w:r>
      <w:r w:rsidR="0061079A" w:rsidRPr="0061079A">
        <w:rPr>
          <w:rStyle w:val="libAlaemChar"/>
          <w:rtl/>
        </w:rPr>
        <w:t>عليه‌السلام</w:t>
      </w:r>
      <w:r w:rsidR="00D10E3C">
        <w:rPr>
          <w:rtl/>
          <w:lang w:bidi="fa-IR"/>
        </w:rPr>
        <w:t xml:space="preserve"> </w:t>
      </w:r>
      <w:r>
        <w:rPr>
          <w:rtl/>
          <w:lang w:bidi="fa-IR"/>
        </w:rPr>
        <w:t xml:space="preserve">، فَائْتِ الْفُرَاتَ ، وَاغْتَسِلْ بِحِيَالِ قَبْرِهِ ، وَتَوَجَّهْ إِلَيْهِ ، وَعَلَيْكَ السَّكِينَةَ وَالْوَقَارَ حَتّى تَدْخُلَ إِلَى الْقَبْرِ </w:t>
      </w:r>
      <w:r w:rsidRPr="00D10E3C">
        <w:rPr>
          <w:rStyle w:val="libFootnotenumChar"/>
          <w:rtl/>
        </w:rPr>
        <w:t>(4)</w:t>
      </w:r>
      <w:r>
        <w:rPr>
          <w:rtl/>
          <w:lang w:bidi="fa-IR"/>
        </w:rPr>
        <w:t xml:space="preserve"> مِنَ‌</w:t>
      </w:r>
    </w:p>
    <w:p w:rsidR="00744A1C" w:rsidRDefault="00744A1C" w:rsidP="00D10E3C">
      <w:pPr>
        <w:pStyle w:val="libLine"/>
        <w:rPr>
          <w:lang w:bidi="fa-IR"/>
        </w:rPr>
      </w:pPr>
      <w:r>
        <w:rPr>
          <w:rtl/>
          <w:lang w:bidi="fa-IR"/>
        </w:rPr>
        <w:t>____________________</w:t>
      </w:r>
    </w:p>
    <w:p w:rsidR="00744A1C" w:rsidRDefault="001C0652" w:rsidP="00D10E3C">
      <w:pPr>
        <w:pStyle w:val="libFootnote0"/>
        <w:rPr>
          <w:lang w:bidi="fa-IR"/>
        </w:rPr>
      </w:pPr>
      <w:r>
        <w:rPr>
          <w:rFonts w:hint="cs"/>
          <w:rtl/>
          <w:lang w:bidi="fa-IR"/>
        </w:rPr>
        <w:t xml:space="preserve">= </w:t>
      </w:r>
      <w:r w:rsidR="00744A1C">
        <w:rPr>
          <w:rtl/>
          <w:lang w:bidi="fa-IR"/>
        </w:rPr>
        <w:t xml:space="preserve">الوشّاء ، يقال له : الخزّاز. راجع : </w:t>
      </w:r>
      <w:r w:rsidR="00744A1C" w:rsidRPr="003A7143">
        <w:rPr>
          <w:rStyle w:val="libFootnoteBoldChar"/>
          <w:rtl/>
        </w:rPr>
        <w:t>رجال النجاشي</w:t>
      </w:r>
      <w:r w:rsidR="00744A1C">
        <w:rPr>
          <w:rtl/>
          <w:lang w:bidi="fa-IR"/>
        </w:rPr>
        <w:t xml:space="preserve"> ، ص 39 ، الرقم 80 ؛ </w:t>
      </w:r>
      <w:r w:rsidR="00744A1C" w:rsidRPr="003A7143">
        <w:rPr>
          <w:rStyle w:val="libFootnoteBoldChar"/>
          <w:rtl/>
        </w:rPr>
        <w:t>الفهرست للطوسي</w:t>
      </w:r>
      <w:r w:rsidR="00744A1C">
        <w:rPr>
          <w:rtl/>
          <w:lang w:bidi="fa-IR"/>
        </w:rPr>
        <w:t xml:space="preserve"> ، ص 138 ، الرقم 202.</w:t>
      </w:r>
    </w:p>
    <w:p w:rsidR="00744A1C" w:rsidRDefault="00744A1C" w:rsidP="00D10E3C">
      <w:pPr>
        <w:pStyle w:val="libFootnote0"/>
        <w:rPr>
          <w:lang w:bidi="fa-IR"/>
        </w:rPr>
      </w:pPr>
      <w:r>
        <w:rPr>
          <w:rtl/>
          <w:lang w:bidi="fa-IR"/>
        </w:rPr>
        <w:t xml:space="preserve">ويؤيّد ذلك ما أورده الشيخ الطوسي في </w:t>
      </w:r>
      <w:r w:rsidRPr="00C24F9C">
        <w:rPr>
          <w:rStyle w:val="libFootnoteBoldChar"/>
          <w:rtl/>
        </w:rPr>
        <w:t>التهذيب</w:t>
      </w:r>
      <w:r>
        <w:rPr>
          <w:rtl/>
          <w:lang w:bidi="fa-IR"/>
        </w:rPr>
        <w:t xml:space="preserve"> ، ج 6 ، ص 34 ، ح 70 من نقل مضمون الخبر بسنده عن الحسن بن عليّ الخزّاز عن خاله يعقوب بن إلياس عن مبارك الخبّاز عن أبي عبد الله </w:t>
      </w:r>
      <w:r w:rsidR="0061079A" w:rsidRPr="0061079A">
        <w:rPr>
          <w:rStyle w:val="libFootnoteAlaemChar"/>
          <w:rtl/>
        </w:rPr>
        <w:t>عليه‌السلام</w:t>
      </w:r>
      <w:r>
        <w:rPr>
          <w:rtl/>
          <w:lang w:bidi="fa-IR"/>
        </w:rPr>
        <w:t xml:space="preserve"> .</w:t>
      </w:r>
    </w:p>
    <w:p w:rsidR="00744A1C" w:rsidRDefault="00D10E3C" w:rsidP="00D10E3C">
      <w:pPr>
        <w:pStyle w:val="libFootnote0"/>
        <w:rPr>
          <w:lang w:bidi="fa-IR"/>
        </w:rPr>
      </w:pPr>
      <w:r>
        <w:rPr>
          <w:rtl/>
          <w:lang w:bidi="fa-IR"/>
        </w:rPr>
        <w:t>(1).</w:t>
      </w:r>
      <w:r w:rsidR="00744A1C">
        <w:rPr>
          <w:rtl/>
          <w:lang w:bidi="fa-IR"/>
        </w:rPr>
        <w:t xml:space="preserve"> في </w:t>
      </w:r>
      <w:r w:rsidR="00744A1C" w:rsidRPr="001C0652">
        <w:rPr>
          <w:rtl/>
        </w:rPr>
        <w:t>كامل الزيارات</w:t>
      </w:r>
      <w:r w:rsidR="00744A1C">
        <w:rPr>
          <w:rtl/>
          <w:lang w:bidi="fa-IR"/>
        </w:rPr>
        <w:t xml:space="preserve"> : « منبر ».</w:t>
      </w:r>
    </w:p>
    <w:p w:rsidR="00744A1C" w:rsidRDefault="00E378DD" w:rsidP="00E378DD">
      <w:pPr>
        <w:pStyle w:val="libFootnote0"/>
        <w:rPr>
          <w:lang w:bidi="fa-IR"/>
        </w:rPr>
      </w:pPr>
      <w:r>
        <w:rPr>
          <w:rtl/>
          <w:lang w:bidi="fa-IR"/>
        </w:rPr>
        <w:t>(2).</w:t>
      </w:r>
      <w:r w:rsidR="00744A1C">
        <w:rPr>
          <w:rtl/>
          <w:lang w:bidi="fa-IR"/>
        </w:rPr>
        <w:t xml:space="preserve"> </w:t>
      </w:r>
      <w:r w:rsidR="00744A1C" w:rsidRPr="007B299E">
        <w:rPr>
          <w:rStyle w:val="libFootnoteBoldChar"/>
          <w:rtl/>
        </w:rPr>
        <w:t>كامل الزيارات</w:t>
      </w:r>
      <w:r w:rsidR="00744A1C">
        <w:rPr>
          <w:rtl/>
          <w:lang w:bidi="fa-IR"/>
        </w:rPr>
        <w:t xml:space="preserve"> ، ص 34 ، الباب 9 ، ح 5 ، بسنده عن سهل بن زياد. </w:t>
      </w:r>
      <w:r w:rsidR="00744A1C" w:rsidRPr="00C24F9C">
        <w:rPr>
          <w:rStyle w:val="libFootnoteBoldChar"/>
          <w:rtl/>
        </w:rPr>
        <w:t>التهذيب</w:t>
      </w:r>
      <w:r w:rsidR="00744A1C">
        <w:rPr>
          <w:rtl/>
          <w:lang w:bidi="fa-IR"/>
        </w:rPr>
        <w:t xml:space="preserve"> ، ج 6 ، ص 34 ، ح 71 ، بسند آخر ، مع اختلاف يسير </w:t>
      </w:r>
      <w:r w:rsidR="001C0652">
        <w:rPr>
          <w:rFonts w:hint="cs"/>
          <w:rtl/>
          <w:lang w:bidi="fa-IR"/>
        </w:rPr>
        <w:t>.</w:t>
      </w:r>
      <w:r w:rsidR="00744A1C" w:rsidRPr="00C24F9C">
        <w:rPr>
          <w:rStyle w:val="libFootnoteBoldChar"/>
          <w:rtl/>
        </w:rPr>
        <w:t>الوافي</w:t>
      </w:r>
      <w:r w:rsidR="00744A1C">
        <w:rPr>
          <w:rtl/>
          <w:lang w:bidi="fa-IR"/>
        </w:rPr>
        <w:t xml:space="preserve"> ، ج 14 ، ص 1413 ، ح 14462 ؛ </w:t>
      </w:r>
      <w:r w:rsidR="00744A1C" w:rsidRPr="00C24F9C">
        <w:rPr>
          <w:rStyle w:val="libFootnoteBoldChar"/>
          <w:rtl/>
        </w:rPr>
        <w:t>الوسائل</w:t>
      </w:r>
      <w:r w:rsidR="00744A1C">
        <w:rPr>
          <w:rtl/>
          <w:lang w:bidi="fa-IR"/>
        </w:rPr>
        <w:t xml:space="preserve"> ، ج 14 ، ص 400 ، ح 19457.</w:t>
      </w:r>
    </w:p>
    <w:p w:rsidR="00744A1C" w:rsidRDefault="00E378DD" w:rsidP="00E378DD">
      <w:pPr>
        <w:pStyle w:val="libFootnote0"/>
        <w:rPr>
          <w:lang w:bidi="fa-IR"/>
        </w:rPr>
      </w:pPr>
      <w:r>
        <w:rPr>
          <w:rtl/>
          <w:lang w:bidi="fa-IR"/>
        </w:rPr>
        <w:t>(3).</w:t>
      </w:r>
      <w:r w:rsidR="00744A1C">
        <w:rPr>
          <w:rtl/>
          <w:lang w:bidi="fa-IR"/>
        </w:rPr>
        <w:t xml:space="preserve"> هكذا في « ى ، بث ، بح ، بخ ، بس ، بف ، جد ، جر ، جن » </w:t>
      </w:r>
      <w:r w:rsidR="00744A1C" w:rsidRPr="001C0652">
        <w:rPr>
          <w:rtl/>
        </w:rPr>
        <w:t>والوسائل والوافي</w:t>
      </w:r>
      <w:r w:rsidR="00744A1C">
        <w:rPr>
          <w:rtl/>
          <w:lang w:bidi="fa-IR"/>
        </w:rPr>
        <w:t>. وفي المطبوع : « يونس ».</w:t>
      </w:r>
    </w:p>
    <w:p w:rsidR="00744A1C" w:rsidRDefault="00744A1C" w:rsidP="00D10E3C">
      <w:pPr>
        <w:pStyle w:val="libFootnote0"/>
        <w:rPr>
          <w:lang w:bidi="fa-IR"/>
        </w:rPr>
      </w:pPr>
      <w:r>
        <w:rPr>
          <w:rtl/>
          <w:lang w:bidi="fa-IR"/>
        </w:rPr>
        <w:t xml:space="preserve">ولم نجد ليونس الكناسي ذكراً في غير هذا الموضع. وأمّا يوسف الكناسي ، فالظاهر أنّه يوسف بن عبد الرحمن الكناسي الذي عدّه الشيخ الطوسي في أصحاب أبي عبد الله </w:t>
      </w:r>
      <w:r w:rsidR="0061079A" w:rsidRPr="0061079A">
        <w:rPr>
          <w:rStyle w:val="libFootnoteAlaemChar"/>
          <w:rtl/>
        </w:rPr>
        <w:t>عليه‌السلام</w:t>
      </w:r>
      <w:r>
        <w:rPr>
          <w:rtl/>
          <w:lang w:bidi="fa-IR"/>
        </w:rPr>
        <w:t xml:space="preserve"> . راجع : </w:t>
      </w:r>
      <w:r w:rsidRPr="0061079A">
        <w:rPr>
          <w:rStyle w:val="libFootnoteBoldChar"/>
          <w:rtl/>
        </w:rPr>
        <w:t>رجال الطوسي</w:t>
      </w:r>
      <w:r>
        <w:rPr>
          <w:rtl/>
          <w:lang w:bidi="fa-IR"/>
        </w:rPr>
        <w:t xml:space="preserve"> ، ص 323 ، الرقم 4831.</w:t>
      </w:r>
    </w:p>
    <w:p w:rsidR="00744A1C" w:rsidRDefault="00744A1C" w:rsidP="00D10E3C">
      <w:pPr>
        <w:pStyle w:val="libFootnote0"/>
        <w:rPr>
          <w:lang w:bidi="fa-IR"/>
        </w:rPr>
      </w:pPr>
      <w:r>
        <w:rPr>
          <w:rtl/>
          <w:lang w:bidi="fa-IR"/>
        </w:rPr>
        <w:t xml:space="preserve">هذا ، وقد أوردابن قولويه عَجُزَ الخبر - مع زيادة - في </w:t>
      </w:r>
      <w:r w:rsidRPr="007B299E">
        <w:rPr>
          <w:rStyle w:val="libFootnoteBoldChar"/>
          <w:rtl/>
        </w:rPr>
        <w:t>كامل الزيارات</w:t>
      </w:r>
      <w:r>
        <w:rPr>
          <w:rtl/>
          <w:lang w:bidi="fa-IR"/>
        </w:rPr>
        <w:t xml:space="preserve"> ، ص 252 ، ح 1 ، بسنديه عن أحمد بن محمّد بن عيسى ، عن الحسين بن سعيد ، عن فضالة بن أيّوب ، عن نعيم بن الوليد ، عن يوسف الكناسي.</w:t>
      </w:r>
    </w:p>
    <w:p w:rsidR="00744A1C" w:rsidRDefault="00E378DD" w:rsidP="00E378DD">
      <w:pPr>
        <w:pStyle w:val="libFootnote0"/>
        <w:rPr>
          <w:lang w:bidi="fa-IR"/>
        </w:rPr>
      </w:pPr>
      <w:r>
        <w:rPr>
          <w:rtl/>
          <w:lang w:bidi="fa-IR"/>
        </w:rPr>
        <w:t>(4).</w:t>
      </w:r>
      <w:r w:rsidR="00744A1C">
        <w:rPr>
          <w:rtl/>
          <w:lang w:bidi="fa-IR"/>
        </w:rPr>
        <w:t xml:space="preserve"> في </w:t>
      </w:r>
      <w:r w:rsidR="00744A1C" w:rsidRPr="001C0652">
        <w:rPr>
          <w:rtl/>
        </w:rPr>
        <w:t>كامل الزيارات</w:t>
      </w:r>
      <w:r w:rsidR="00744A1C">
        <w:rPr>
          <w:rtl/>
          <w:lang w:bidi="fa-IR"/>
        </w:rPr>
        <w:t xml:space="preserve"> ، ص 201 : « الحائر ( الحير ) ».</w:t>
      </w:r>
    </w:p>
    <w:p w:rsidR="00150943" w:rsidRDefault="00150943" w:rsidP="00D10E3C">
      <w:pPr>
        <w:pStyle w:val="libNormal"/>
        <w:rPr>
          <w:rtl/>
          <w:lang w:bidi="fa-IR"/>
        </w:rPr>
      </w:pPr>
      <w:r>
        <w:rPr>
          <w:rtl/>
          <w:lang w:bidi="fa-IR"/>
        </w:rPr>
        <w:br w:type="page"/>
      </w:r>
    </w:p>
    <w:p w:rsidR="00744A1C" w:rsidRDefault="00744A1C" w:rsidP="001C0652">
      <w:pPr>
        <w:pStyle w:val="libNormal0"/>
        <w:rPr>
          <w:lang w:bidi="fa-IR"/>
        </w:rPr>
      </w:pPr>
      <w:r>
        <w:rPr>
          <w:rtl/>
          <w:lang w:bidi="fa-IR"/>
        </w:rPr>
        <w:lastRenderedPageBreak/>
        <w:t xml:space="preserve">الْجَانِبِ </w:t>
      </w:r>
      <w:r w:rsidRPr="00D10E3C">
        <w:rPr>
          <w:rStyle w:val="libFootnotenumChar"/>
          <w:rtl/>
        </w:rPr>
        <w:t>(1)</w:t>
      </w:r>
      <w:r>
        <w:rPr>
          <w:rtl/>
          <w:lang w:bidi="fa-IR"/>
        </w:rPr>
        <w:t xml:space="preserve"> الشَّرْقِيِّ ، وَقُلْ حِينَ تَدْخُلُهُ </w:t>
      </w:r>
      <w:r w:rsidRPr="00D10E3C">
        <w:rPr>
          <w:rStyle w:val="libFootnotenumChar"/>
          <w:rtl/>
        </w:rPr>
        <w:t>(2)</w:t>
      </w:r>
      <w:r>
        <w:rPr>
          <w:rtl/>
          <w:lang w:bidi="fa-IR"/>
        </w:rPr>
        <w:t xml:space="preserve"> : السَّلَامُ عَلى مَلَائِكَةِ اللهِ الْمُنْزَلِينَ </w:t>
      </w:r>
      <w:r w:rsidRPr="00D10E3C">
        <w:rPr>
          <w:rStyle w:val="libFootnotenumChar"/>
          <w:rtl/>
        </w:rPr>
        <w:t>(3)</w:t>
      </w:r>
      <w:r>
        <w:rPr>
          <w:rtl/>
          <w:lang w:bidi="fa-IR"/>
        </w:rPr>
        <w:t xml:space="preserve"> ، السَّلَامُ عَلى مَلَائِكَةِ اللهِ الْمُرْدِفِينَ </w:t>
      </w:r>
      <w:r w:rsidRPr="00D10E3C">
        <w:rPr>
          <w:rStyle w:val="libFootnotenumChar"/>
          <w:rtl/>
        </w:rPr>
        <w:t>(4)</w:t>
      </w:r>
      <w:r>
        <w:rPr>
          <w:rtl/>
          <w:lang w:bidi="fa-IR"/>
        </w:rPr>
        <w:t xml:space="preserve"> ، السَّلَامُ عَلى مَلَائِكَةِ اللهِ الْمُسَوِّمِينَ </w:t>
      </w:r>
      <w:r w:rsidRPr="00D10E3C">
        <w:rPr>
          <w:rStyle w:val="libFootnotenumChar"/>
          <w:rtl/>
        </w:rPr>
        <w:t>(5)</w:t>
      </w:r>
      <w:r>
        <w:rPr>
          <w:rtl/>
          <w:lang w:bidi="fa-IR"/>
        </w:rPr>
        <w:t xml:space="preserve"> ، السَّلَامُ عَلى مَلَائِكَةِ اللهِ الَّذِينَ هُمْ فِي هذَا الْحَرَمِ مُقِيمُونَ.</w:t>
      </w:r>
    </w:p>
    <w:p w:rsidR="00744A1C" w:rsidRDefault="00744A1C" w:rsidP="00744A1C">
      <w:pPr>
        <w:pStyle w:val="libNormal"/>
        <w:rPr>
          <w:lang w:bidi="fa-IR"/>
        </w:rPr>
      </w:pPr>
      <w:r>
        <w:rPr>
          <w:rtl/>
          <w:lang w:bidi="fa-IR"/>
        </w:rPr>
        <w:t xml:space="preserve">فَإِذَا اسْتَقْبَلْتَ قَبْرَ الْحُسَيْنِ </w:t>
      </w:r>
      <w:r w:rsidR="0061079A" w:rsidRPr="0061079A">
        <w:rPr>
          <w:rStyle w:val="libAlaemChar"/>
          <w:rtl/>
        </w:rPr>
        <w:t>عليه‌السلام</w:t>
      </w:r>
      <w:r w:rsidR="00D10E3C">
        <w:rPr>
          <w:rtl/>
          <w:lang w:bidi="fa-IR"/>
        </w:rPr>
        <w:t xml:space="preserve"> </w:t>
      </w:r>
      <w:r>
        <w:rPr>
          <w:rtl/>
          <w:lang w:bidi="fa-IR"/>
        </w:rPr>
        <w:t xml:space="preserve">، فَقُلِ : السَّلَامُ عَلى رَسُولِ اللهِ ، السَّلَامُ عَلى أَمِينِ اللهِ عَلى رُسُلِهِ ، وَعَزَائِمِ أَمْرِهِ ، وَالْخَاتَمِ </w:t>
      </w:r>
      <w:r w:rsidRPr="00D10E3C">
        <w:rPr>
          <w:rStyle w:val="libFootnotenumChar"/>
          <w:rtl/>
        </w:rPr>
        <w:t>(6)</w:t>
      </w:r>
      <w:r>
        <w:rPr>
          <w:rtl/>
          <w:lang w:bidi="fa-IR"/>
        </w:rPr>
        <w:t xml:space="preserve"> لِمَا سَبَقَ </w:t>
      </w:r>
      <w:r w:rsidRPr="00D10E3C">
        <w:rPr>
          <w:rStyle w:val="libFootnotenumChar"/>
          <w:rtl/>
        </w:rPr>
        <w:t>(7)</w:t>
      </w:r>
      <w:r>
        <w:rPr>
          <w:rtl/>
          <w:lang w:bidi="fa-IR"/>
        </w:rPr>
        <w:t xml:space="preserve"> ، وَالْفَاتِحِ لِمَا اسْتَقْبَلَ </w:t>
      </w:r>
      <w:r w:rsidRPr="00D10E3C">
        <w:rPr>
          <w:rStyle w:val="libFootnotenumChar"/>
          <w:rtl/>
        </w:rPr>
        <w:t>(8)</w:t>
      </w:r>
      <w:r>
        <w:rPr>
          <w:rtl/>
          <w:lang w:bidi="fa-IR"/>
        </w:rPr>
        <w:t xml:space="preserve"> ، وَالْمُهَيْمِنِ </w:t>
      </w:r>
      <w:r w:rsidRPr="00D10E3C">
        <w:rPr>
          <w:rStyle w:val="libFootnotenumChar"/>
          <w:rtl/>
        </w:rPr>
        <w:t>(9)</w:t>
      </w:r>
      <w:r>
        <w:rPr>
          <w:rtl/>
          <w:lang w:bidi="fa-IR"/>
        </w:rPr>
        <w:t xml:space="preserve"> عَلى ذلِكَ كُلِّهِ ، وَالسَّلَامُ عَلَيْهِ </w:t>
      </w:r>
      <w:r w:rsidRPr="00D10E3C">
        <w:rPr>
          <w:rStyle w:val="libFootnotenumChar"/>
          <w:rtl/>
        </w:rPr>
        <w:t>(10)</w:t>
      </w:r>
      <w:r>
        <w:rPr>
          <w:rtl/>
          <w:lang w:bidi="fa-IR"/>
        </w:rPr>
        <w:t xml:space="preserve"> وَرَحْمَةُ اللهِ وَبَرَكَاتُهُ.</w:t>
      </w:r>
    </w:p>
    <w:p w:rsidR="00744A1C" w:rsidRDefault="00744A1C" w:rsidP="00744A1C">
      <w:pPr>
        <w:pStyle w:val="libNormal"/>
        <w:rPr>
          <w:lang w:bidi="fa-IR"/>
        </w:rPr>
      </w:pPr>
      <w:r>
        <w:rPr>
          <w:rtl/>
          <w:lang w:bidi="fa-IR"/>
        </w:rPr>
        <w:t>ثُمَّ تَقُولُ : الل</w:t>
      </w:r>
      <w:r w:rsidR="001C0652">
        <w:rPr>
          <w:rFonts w:hint="cs"/>
          <w:rtl/>
          <w:lang w:bidi="fa-IR"/>
        </w:rPr>
        <w:t>ّ</w:t>
      </w:r>
      <w:r>
        <w:rPr>
          <w:rtl/>
          <w:lang w:bidi="fa-IR"/>
        </w:rPr>
        <w:t xml:space="preserve">هُمَّ صَلِّ عَلى أَمِيرِ الْمُؤْمِنِينَ عَبْدِكَ وَأَخِي رَسُولِكَ ، الَّذِي انْتَجَبْتَهُ بِعِلْمِكَ </w:t>
      </w:r>
      <w:r w:rsidRPr="00D10E3C">
        <w:rPr>
          <w:rStyle w:val="libFootnotenumChar"/>
          <w:rtl/>
        </w:rPr>
        <w:t>(11)</w:t>
      </w:r>
      <w:r>
        <w:rPr>
          <w:rtl/>
          <w:lang w:bidi="fa-IR"/>
        </w:rPr>
        <w:t xml:space="preserve"> ، وَجَعَلْتَهُ هَادِياً لِمَنْ شِئْتَ مِنْ خَلْقِكَ ، وَالدَّلِيلِ عَلى مَنْ بَعَثْتَهُ بِرِسَالَاتِكَ </w:t>
      </w:r>
      <w:r w:rsidRPr="00D10E3C">
        <w:rPr>
          <w:rStyle w:val="libFootnotenumChar"/>
          <w:rtl/>
        </w:rPr>
        <w:t>(12)</w:t>
      </w:r>
      <w:r>
        <w:rPr>
          <w:rtl/>
          <w:lang w:bidi="fa-IR"/>
        </w:rPr>
        <w:t xml:space="preserve"> ، وَدَيَّانِ الدِّينِ بِعَدْلِكَ ، وَفَصْلِ قَضَائِكَ بَيْنَ خَلْقِكَ ، وَالْمُهَيْمِنِ عَلى ذلِكَ كُلِّهِ ، وَالسَّلَامُ عَلَيْهِ </w:t>
      </w:r>
      <w:r w:rsidRPr="00D10E3C">
        <w:rPr>
          <w:rStyle w:val="libFootnotenumChar"/>
          <w:rtl/>
        </w:rPr>
        <w:t>(13)</w:t>
      </w:r>
      <w:r>
        <w:rPr>
          <w:rtl/>
          <w:lang w:bidi="fa-IR"/>
        </w:rPr>
        <w:t xml:space="preserve"> وَرَحْمَةُ اللهِ وَبَرَكَاتُهُ.</w:t>
      </w:r>
    </w:p>
    <w:p w:rsidR="00744A1C" w:rsidRDefault="00744A1C" w:rsidP="00744A1C">
      <w:pPr>
        <w:pStyle w:val="libNormal"/>
        <w:rPr>
          <w:lang w:bidi="fa-IR"/>
        </w:rPr>
      </w:pPr>
      <w:r>
        <w:rPr>
          <w:rtl/>
          <w:lang w:bidi="fa-IR"/>
        </w:rPr>
        <w:t>الل</w:t>
      </w:r>
      <w:r w:rsidR="001C0652">
        <w:rPr>
          <w:rFonts w:hint="cs"/>
          <w:rtl/>
          <w:lang w:bidi="fa-IR"/>
        </w:rPr>
        <w:t>ّ</w:t>
      </w:r>
      <w:r>
        <w:rPr>
          <w:rtl/>
          <w:lang w:bidi="fa-IR"/>
        </w:rPr>
        <w:t>هُمَّ صَلِّ عَلَى الْحَسَنِ بْنِ عَلِيٍّ عَبْدِكَ ، وَابْنِ الَّذِي انْتَجَبْتَهُ بِعِلْمِكَ ، وَجَعَلْتَهُ‌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جانب ».</w:t>
      </w:r>
    </w:p>
    <w:p w:rsidR="00744A1C" w:rsidRDefault="00E378DD" w:rsidP="00E378DD">
      <w:pPr>
        <w:pStyle w:val="libFootnote0"/>
        <w:rPr>
          <w:lang w:bidi="fa-IR"/>
        </w:rPr>
      </w:pPr>
      <w:r>
        <w:rPr>
          <w:rtl/>
          <w:lang w:bidi="fa-IR"/>
        </w:rPr>
        <w:t>(2).</w:t>
      </w:r>
      <w:r w:rsidR="00744A1C">
        <w:rPr>
          <w:rtl/>
          <w:lang w:bidi="fa-IR"/>
        </w:rPr>
        <w:t xml:space="preserve"> في « ى ، بث ، بس » : « تدخل ». وفي « جن » : « تدخل إليه ».</w:t>
      </w:r>
    </w:p>
    <w:p w:rsidR="00744A1C" w:rsidRDefault="00E378DD" w:rsidP="00E378DD">
      <w:pPr>
        <w:pStyle w:val="libFootnote0"/>
        <w:rPr>
          <w:lang w:bidi="fa-IR"/>
        </w:rPr>
      </w:pPr>
      <w:r>
        <w:rPr>
          <w:rtl/>
          <w:lang w:bidi="fa-IR"/>
        </w:rPr>
        <w:t>(3).</w:t>
      </w:r>
      <w:r w:rsidR="00744A1C">
        <w:rPr>
          <w:rtl/>
          <w:lang w:bidi="fa-IR"/>
        </w:rPr>
        <w:t xml:space="preserve"> في « ى » : « المسوّمين ».</w:t>
      </w:r>
    </w:p>
    <w:p w:rsidR="00744A1C" w:rsidRDefault="00E378DD" w:rsidP="00E378DD">
      <w:pPr>
        <w:pStyle w:val="libFootnote0"/>
        <w:rPr>
          <w:lang w:bidi="fa-IR"/>
        </w:rPr>
      </w:pPr>
      <w:r>
        <w:rPr>
          <w:rtl/>
          <w:lang w:bidi="fa-IR"/>
        </w:rPr>
        <w:t>(4).</w:t>
      </w:r>
      <w:r w:rsidR="001C0652">
        <w:rPr>
          <w:rtl/>
          <w:lang w:bidi="fa-IR"/>
        </w:rPr>
        <w:t xml:space="preserve"> الم</w:t>
      </w:r>
      <w:r w:rsidR="001C0652">
        <w:rPr>
          <w:rFonts w:hint="cs"/>
          <w:rtl/>
          <w:lang w:bidi="fa-IR"/>
        </w:rPr>
        <w:t>ـُ</w:t>
      </w:r>
      <w:r w:rsidR="00744A1C">
        <w:rPr>
          <w:rtl/>
          <w:lang w:bidi="fa-IR"/>
        </w:rPr>
        <w:t>رْدِفُ : المتقدّم الذي أردَفَ غَيْرَه. المفردات ، ص 349 ( ردف ).</w:t>
      </w:r>
    </w:p>
    <w:p w:rsidR="00744A1C" w:rsidRDefault="00E378DD" w:rsidP="001C0652">
      <w:pPr>
        <w:pStyle w:val="libFootnote0"/>
        <w:rPr>
          <w:lang w:bidi="fa-IR"/>
        </w:rPr>
      </w:pPr>
      <w:r>
        <w:rPr>
          <w:rtl/>
          <w:lang w:bidi="fa-IR"/>
        </w:rPr>
        <w:t>(5).</w:t>
      </w:r>
      <w:r w:rsidR="00744A1C">
        <w:rPr>
          <w:rtl/>
          <w:lang w:bidi="fa-IR"/>
        </w:rPr>
        <w:t xml:space="preserve"> « المسوّمين » من التسويم ، بمعنى التعليم. راجع : </w:t>
      </w:r>
      <w:r w:rsidR="00744A1C" w:rsidRPr="00877682">
        <w:rPr>
          <w:rStyle w:val="libFootnoteBoldChar"/>
          <w:rtl/>
        </w:rPr>
        <w:t>النهاية</w:t>
      </w:r>
      <w:r w:rsidR="00744A1C">
        <w:rPr>
          <w:rtl/>
          <w:lang w:bidi="fa-IR"/>
        </w:rPr>
        <w:t xml:space="preserve"> ، ج 2 ، ص 425 ؛ </w:t>
      </w:r>
      <w:r w:rsidR="00744A1C" w:rsidRPr="00877682">
        <w:rPr>
          <w:rStyle w:val="libFootnoteBoldChar"/>
          <w:rtl/>
        </w:rPr>
        <w:t>لسان العرب</w:t>
      </w:r>
      <w:r w:rsidR="00744A1C">
        <w:rPr>
          <w:rtl/>
          <w:lang w:bidi="fa-IR"/>
        </w:rPr>
        <w:t xml:space="preserve"> ، ج 12 ، ص 312 ( سوم ).</w:t>
      </w:r>
      <w:r w:rsidR="001C0652">
        <w:rPr>
          <w:rFonts w:hint="cs"/>
          <w:rtl/>
          <w:lang w:bidi="fa-IR"/>
        </w:rPr>
        <w:t xml:space="preserve">                          </w:t>
      </w:r>
      <w:r>
        <w:rPr>
          <w:rtl/>
          <w:lang w:bidi="fa-IR"/>
        </w:rPr>
        <w:t>(6).</w:t>
      </w:r>
      <w:r w:rsidR="00744A1C">
        <w:rPr>
          <w:rtl/>
          <w:lang w:bidi="fa-IR"/>
        </w:rPr>
        <w:t xml:space="preserve"> في « بح ، بف » </w:t>
      </w:r>
      <w:r w:rsidR="00744A1C" w:rsidRPr="001C0652">
        <w:rPr>
          <w:rtl/>
        </w:rPr>
        <w:t>والوافي</w:t>
      </w:r>
      <w:r w:rsidR="00744A1C">
        <w:rPr>
          <w:rtl/>
          <w:lang w:bidi="fa-IR"/>
        </w:rPr>
        <w:t xml:space="preserve"> : « الخاتم » بدون الواو.</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أي لمن سبق من الأنبياء ، أو لمن سبق من مللهم ، أو المعارف والأسرار ».</w:t>
      </w:r>
    </w:p>
    <w:p w:rsidR="00744A1C" w:rsidRDefault="00E378DD" w:rsidP="00E378DD">
      <w:pPr>
        <w:pStyle w:val="libFootnote0"/>
        <w:rPr>
          <w:lang w:bidi="fa-IR"/>
        </w:rPr>
      </w:pPr>
      <w:r>
        <w:rPr>
          <w:rtl/>
          <w:lang w:bidi="fa-IR"/>
        </w:rPr>
        <w:t>(8).</w:t>
      </w:r>
      <w:r w:rsidR="00744A1C">
        <w:rPr>
          <w:rtl/>
          <w:lang w:bidi="fa-IR"/>
        </w:rPr>
        <w:t xml:space="preserve"> في « بف » وحاشية « بح » : « يستقبل ». وفي </w:t>
      </w:r>
      <w:r w:rsidR="00744A1C" w:rsidRPr="00C24F9C">
        <w:rPr>
          <w:rStyle w:val="libFootnoteBoldChar"/>
          <w:rtl/>
        </w:rPr>
        <w:t>المرآة</w:t>
      </w:r>
      <w:r w:rsidR="00744A1C">
        <w:rPr>
          <w:rtl/>
          <w:lang w:bidi="fa-IR"/>
        </w:rPr>
        <w:t xml:space="preserve"> : « أي لمن بعده من الحجج ، أو لما استقبل من المعارف والحكم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أي الشاهد على الأنبياء والأئمّة ، أو المؤتمن على تلك المعارف والحكم ».</w:t>
      </w:r>
    </w:p>
    <w:p w:rsidR="00744A1C" w:rsidRDefault="00E378DD" w:rsidP="00E378DD">
      <w:pPr>
        <w:pStyle w:val="libFootnote0"/>
        <w:rPr>
          <w:lang w:bidi="fa-IR"/>
        </w:rPr>
      </w:pPr>
      <w:r>
        <w:rPr>
          <w:rtl/>
          <w:lang w:bidi="fa-IR"/>
        </w:rPr>
        <w:t>(10).</w:t>
      </w:r>
      <w:r w:rsidR="00744A1C">
        <w:rPr>
          <w:rtl/>
          <w:lang w:bidi="fa-IR"/>
        </w:rPr>
        <w:t xml:space="preserve"> في « بح ، بخ » : « عليك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المرآة</w:t>
      </w:r>
      <w:r w:rsidR="00744A1C">
        <w:rPr>
          <w:rtl/>
          <w:lang w:bidi="fa-IR"/>
        </w:rPr>
        <w:t xml:space="preserve"> : « الذي انتجبته ، صفة لأمير المؤمنين ، وكونه صفة للرسول بعيد. والباء في قوله : بعلمك ، للملابسة</w:t>
      </w:r>
      <w:r w:rsidR="003C7456">
        <w:rPr>
          <w:rFonts w:hint="cs"/>
          <w:rtl/>
          <w:lang w:bidi="fa-IR"/>
        </w:rPr>
        <w:t xml:space="preserve"> </w:t>
      </w:r>
      <w:r w:rsidR="00744A1C">
        <w:rPr>
          <w:rtl/>
          <w:lang w:bidi="fa-IR"/>
        </w:rPr>
        <w:t>أو للسببيّة ، أي عالماً بأنّه أهل لذلك أو بسبب علمك بذلك ، أو بأن أعطيته علمك ».</w:t>
      </w:r>
    </w:p>
    <w:tbl>
      <w:tblPr>
        <w:tblStyle w:val="TableGrid"/>
        <w:bidiVisual/>
        <w:tblW w:w="0" w:type="auto"/>
        <w:tblLook w:val="04A0" w:firstRow="1" w:lastRow="0" w:firstColumn="1" w:lastColumn="0" w:noHBand="0" w:noVBand="1"/>
      </w:tblPr>
      <w:tblGrid>
        <w:gridCol w:w="4006"/>
        <w:gridCol w:w="4006"/>
      </w:tblGrid>
      <w:tr w:rsidR="003C7456" w:rsidTr="003C7456">
        <w:tc>
          <w:tcPr>
            <w:tcW w:w="4006" w:type="dxa"/>
          </w:tcPr>
          <w:p w:rsidR="003C7456" w:rsidRDefault="003C7456" w:rsidP="00E378DD">
            <w:pPr>
              <w:pStyle w:val="libFootnote0"/>
              <w:rPr>
                <w:rtl/>
                <w:lang w:bidi="fa-IR"/>
              </w:rPr>
            </w:pPr>
            <w:r>
              <w:rPr>
                <w:rtl/>
                <w:lang w:bidi="fa-IR"/>
              </w:rPr>
              <w:t>(12). في « ى » : « برسالتك ».</w:t>
            </w:r>
          </w:p>
        </w:tc>
        <w:tc>
          <w:tcPr>
            <w:tcW w:w="4006" w:type="dxa"/>
          </w:tcPr>
          <w:p w:rsidR="003C7456" w:rsidRDefault="003C7456" w:rsidP="00E378DD">
            <w:pPr>
              <w:pStyle w:val="libFootnote0"/>
              <w:rPr>
                <w:rtl/>
                <w:lang w:bidi="fa-IR"/>
              </w:rPr>
            </w:pPr>
            <w:r>
              <w:rPr>
                <w:rtl/>
                <w:lang w:bidi="fa-IR"/>
              </w:rPr>
              <w:t>(13). في « بخ » : - « والسلام عليه ».</w:t>
            </w:r>
          </w:p>
        </w:tc>
      </w:tr>
    </w:tbl>
    <w:p w:rsidR="00150943" w:rsidRDefault="00150943" w:rsidP="00D10E3C">
      <w:pPr>
        <w:pStyle w:val="libNormal"/>
        <w:rPr>
          <w:rtl/>
          <w:lang w:bidi="fa-IR"/>
        </w:rPr>
      </w:pPr>
      <w:r>
        <w:rPr>
          <w:rtl/>
          <w:lang w:bidi="fa-IR"/>
        </w:rPr>
        <w:br w:type="page"/>
      </w:r>
    </w:p>
    <w:p w:rsidR="00744A1C" w:rsidRDefault="00744A1C" w:rsidP="003C7456">
      <w:pPr>
        <w:pStyle w:val="libNormal0"/>
        <w:rPr>
          <w:lang w:bidi="fa-IR"/>
        </w:rPr>
      </w:pPr>
      <w:r>
        <w:rPr>
          <w:rtl/>
          <w:lang w:bidi="fa-IR"/>
        </w:rPr>
        <w:lastRenderedPageBreak/>
        <w:t xml:space="preserve">هَادِياً لِمَنْ شِئْتَ مِنْ خَلْقِكَ ، وَالدَّلِيلِ عَلى مَنْ بَعَثْتَهُ بِرِسَالَاتِكَ ، وَدَيَّانِ الدِّينِ بِعَدْلِكَ ، وَفَصْلِ قَضَائِكَ بَيْنَ خَلْقِكَ ، وَالْمُهَيْمِنِ عَلى ذلِكَ كُلِّهِ ، وَالسَّلَامُ عَلَيْهِ وَرَحْمَةُ اللهِ وَبَرَكَاتُهُ </w:t>
      </w:r>
      <w:r w:rsidRPr="00D10E3C">
        <w:rPr>
          <w:rStyle w:val="libFootnotenumChar"/>
          <w:rtl/>
        </w:rPr>
        <w:t>(1)</w:t>
      </w:r>
      <w:r w:rsidR="003C7456" w:rsidRPr="003C7456">
        <w:rPr>
          <w:rStyle w:val="libNormalChar"/>
          <w:rFonts w:hint="cs"/>
          <w:rtl/>
        </w:rPr>
        <w:t>.</w:t>
      </w:r>
    </w:p>
    <w:p w:rsidR="00144FA6" w:rsidRDefault="00744A1C" w:rsidP="00744A1C">
      <w:pPr>
        <w:pStyle w:val="libNormal"/>
        <w:rPr>
          <w:rtl/>
          <w:lang w:bidi="fa-IR"/>
        </w:rPr>
      </w:pPr>
      <w:r>
        <w:rPr>
          <w:rtl/>
          <w:lang w:bidi="fa-IR"/>
        </w:rPr>
        <w:t xml:space="preserve">ثُمَّ تُصَلِّي عَلَى الْحُسَيْنِ </w:t>
      </w:r>
      <w:r w:rsidRPr="00D10E3C">
        <w:rPr>
          <w:rStyle w:val="libFootnotenumChar"/>
          <w:rtl/>
        </w:rPr>
        <w:t>(2)</w:t>
      </w:r>
      <w:r>
        <w:rPr>
          <w:rtl/>
          <w:lang w:bidi="fa-IR"/>
        </w:rPr>
        <w:t xml:space="preserve"> وَسَائِرِ الْأَئِمَّةِ </w:t>
      </w:r>
      <w:r w:rsidR="008859AA" w:rsidRPr="008859AA">
        <w:rPr>
          <w:rStyle w:val="libAlaemChar"/>
          <w:rtl/>
        </w:rPr>
        <w:t>عليهما‌السلام</w:t>
      </w:r>
      <w:r>
        <w:rPr>
          <w:rtl/>
          <w:lang w:bidi="fa-IR"/>
        </w:rPr>
        <w:t xml:space="preserve">، كَمَا صَلَّيْتَ وَسَلَّمْتَ عَلَى الْحَسَنِ </w:t>
      </w:r>
      <w:r w:rsidRPr="00D10E3C">
        <w:rPr>
          <w:rStyle w:val="libFootnotenumChar"/>
          <w:rtl/>
        </w:rPr>
        <w:t>(3)</w:t>
      </w:r>
      <w:r>
        <w:rPr>
          <w:rtl/>
          <w:lang w:bidi="fa-IR"/>
        </w:rPr>
        <w:t xml:space="preserve"> ، ثُمَّ تَأْتِي قَبْرَ الْحُسَيْنِ </w:t>
      </w:r>
      <w:r w:rsidR="0061079A" w:rsidRPr="0061079A">
        <w:rPr>
          <w:rStyle w:val="libAlaemChar"/>
          <w:rtl/>
        </w:rPr>
        <w:t>عليه‌السلام</w:t>
      </w:r>
      <w:r w:rsidR="00D10E3C">
        <w:rPr>
          <w:rtl/>
          <w:lang w:bidi="fa-IR"/>
        </w:rPr>
        <w:t xml:space="preserve"> </w:t>
      </w:r>
      <w:r>
        <w:rPr>
          <w:rtl/>
          <w:lang w:bidi="fa-IR"/>
        </w:rPr>
        <w:t xml:space="preserve">، فَتَقُولُ : السَّلَامُ عَلَيْكَ يَا ابْنَ رَسُولِ اللهِ ، السَّلَامُ عَلَيْكَ يَا ابْنَ أَمِيرِ الْمُؤْمِنِينَ ، صَلَّى اللهُ عَلَيْكَ يَا أَبَا عَبْدِ اللهِ ، أَشْهَدُ أَنَّكَ قَدْ بَلَّغْتَ عَنِ اللهِ عَزَّ وَجَلَّ مَا أُمِرْتَ بِهِ ، وَلَمْ تَخْشَ أَحَداً غَيْرَهُ ، وَجَاهَدْتَ فِي سَبِيلِهِ ، وَعَبَدْتَهُ صَادِقاً حَتّى أَتَاكَ الْيَقِينُ ، أَشْهَدُ أَنَّكَ كَلِمَةُ التَّقْوى ، وَبَابُ الْهُدى ، وَالْعُرْوَةُ الْوُثْقى ، وَالْحُجَّةُ عَلى مَنْ يَبْقى ، وَمَنْ تَحْتَ الثَّرى ، أَشْهَدُ أَنَّ ذلِكَ سَابِقٌ فِيمَا مَضى </w:t>
      </w:r>
      <w:r w:rsidRPr="00D10E3C">
        <w:rPr>
          <w:rStyle w:val="libFootnotenumChar"/>
          <w:rtl/>
        </w:rPr>
        <w:t>(4)</w:t>
      </w:r>
      <w:r>
        <w:rPr>
          <w:rtl/>
          <w:lang w:bidi="fa-IR"/>
        </w:rPr>
        <w:t xml:space="preserve"> ، وَذلِكَ لَكُمْ فَاتِحٌ </w:t>
      </w:r>
      <w:r w:rsidRPr="00D10E3C">
        <w:rPr>
          <w:rStyle w:val="libFootnotenumChar"/>
          <w:rtl/>
        </w:rPr>
        <w:t>(5)</w:t>
      </w:r>
      <w:r>
        <w:rPr>
          <w:rtl/>
          <w:lang w:bidi="fa-IR"/>
        </w:rPr>
        <w:t xml:space="preserve"> فِيمَا بَقِيَ ، أَشْهَدُ أَنَّ أَرْوَاحَكُمْ وَطِينَتَكُمْ طَيِّبَةٌ </w:t>
      </w:r>
      <w:r w:rsidRPr="00D10E3C">
        <w:rPr>
          <w:rStyle w:val="libFootnotenumChar"/>
          <w:rtl/>
        </w:rPr>
        <w:t>(6)</w:t>
      </w:r>
      <w:r>
        <w:rPr>
          <w:rtl/>
          <w:lang w:bidi="fa-IR"/>
        </w:rPr>
        <w:t xml:space="preserve"> ، طَابَتْ وَطَهُرَتْ هِيَ ، بَعْضُهَا مِنْ بَعْضٍ ، مَنّاً مِنَ اللهِ وَرَحْمَةً ، وَأُشْهِدُ اللهَ وَأُشْهِدُكُمْ ، أَنِّي بِكُمْ مُؤْمِنٌ </w:t>
      </w:r>
      <w:r w:rsidRPr="00D10E3C">
        <w:rPr>
          <w:rStyle w:val="libFootnotenumChar"/>
          <w:rtl/>
        </w:rPr>
        <w:t>(7)</w:t>
      </w:r>
      <w:r>
        <w:rPr>
          <w:rtl/>
          <w:lang w:bidi="fa-IR"/>
        </w:rPr>
        <w:t xml:space="preserve"> ، وَلَكُمْ تَابِعٌ فِي ذَاتِ نَفْسِي ، وَشَرَائِعِ دِينِي ، وَخَاتِمَةِ </w:t>
      </w:r>
      <w:r w:rsidRPr="00D10E3C">
        <w:rPr>
          <w:rStyle w:val="libFootnotenumChar"/>
          <w:rtl/>
        </w:rPr>
        <w:t>(8)</w:t>
      </w:r>
      <w:r>
        <w:rPr>
          <w:rtl/>
          <w:lang w:bidi="fa-IR"/>
        </w:rPr>
        <w:t xml:space="preserve"> عَمَلِي ، وَمُنْقَلَبِي وَمَثْوَايَ. وَأَسْأَلُ اللهَ الْبَرَّ الرَّحِيمَ أَنْ يُتِمَّ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كذا في المطبوع ، وقد أخذه من الطبعة الحجرية ، كما ا</w:t>
      </w:r>
      <w:r w:rsidR="003C7456">
        <w:rPr>
          <w:rFonts w:hint="cs"/>
          <w:rtl/>
          <w:lang w:bidi="fa-IR"/>
        </w:rPr>
        <w:t>ُ</w:t>
      </w:r>
      <w:r w:rsidR="00744A1C">
        <w:rPr>
          <w:rtl/>
          <w:lang w:bidi="fa-IR"/>
        </w:rPr>
        <w:t xml:space="preserve">فيد في هامشه. وفي جميع النسخ التي قوبلت </w:t>
      </w:r>
      <w:r w:rsidR="00744A1C" w:rsidRPr="003C7456">
        <w:rPr>
          <w:rStyle w:val="libFootnoteBoldChar"/>
          <w:rtl/>
        </w:rPr>
        <w:t>وال</w:t>
      </w:r>
      <w:r w:rsidR="00744A1C" w:rsidRPr="00C24F9C">
        <w:rPr>
          <w:rStyle w:val="libFootnoteBoldChar"/>
          <w:rtl/>
        </w:rPr>
        <w:t>وافي</w:t>
      </w:r>
      <w:r w:rsidR="00744A1C">
        <w:rPr>
          <w:rtl/>
          <w:lang w:bidi="fa-IR"/>
        </w:rPr>
        <w:t xml:space="preserve"> ، بل وغيرها : - « الل</w:t>
      </w:r>
      <w:r w:rsidR="003C7456">
        <w:rPr>
          <w:rFonts w:hint="cs"/>
          <w:rtl/>
          <w:lang w:bidi="fa-IR"/>
        </w:rPr>
        <w:t>ّ</w:t>
      </w:r>
      <w:r w:rsidR="00744A1C">
        <w:rPr>
          <w:rtl/>
          <w:lang w:bidi="fa-IR"/>
        </w:rPr>
        <w:t xml:space="preserve">همّ صلّ على الحسن بن على عبدك ... » إلى هنا. والظاهر من الفقره الآتية : « ثمّ تصلّي على الحسين وسائر الأئمّة </w:t>
      </w:r>
      <w:r w:rsidR="00877682" w:rsidRPr="00877682">
        <w:rPr>
          <w:rStyle w:val="libFootnoteAlaemChar"/>
          <w:rtl/>
        </w:rPr>
        <w:t>عليهم‌السلام</w:t>
      </w:r>
      <w:r>
        <w:rPr>
          <w:rtl/>
          <w:lang w:bidi="fa-IR"/>
        </w:rPr>
        <w:t xml:space="preserve"> </w:t>
      </w:r>
      <w:r w:rsidR="00744A1C">
        <w:rPr>
          <w:rtl/>
          <w:lang w:bidi="fa-IR"/>
        </w:rPr>
        <w:t>، كما صلّيت وسلمّت على الحسن » وقوع السقط في النسخ.</w:t>
      </w:r>
    </w:p>
    <w:p w:rsidR="00744A1C" w:rsidRDefault="00E378DD" w:rsidP="00E378DD">
      <w:pPr>
        <w:pStyle w:val="libFootnote0"/>
        <w:rPr>
          <w:lang w:bidi="fa-IR"/>
        </w:rPr>
      </w:pPr>
      <w:r>
        <w:rPr>
          <w:rtl/>
          <w:lang w:bidi="fa-IR"/>
        </w:rPr>
        <w:t>(2).</w:t>
      </w:r>
      <w:r w:rsidR="00744A1C">
        <w:rPr>
          <w:rtl/>
          <w:lang w:bidi="fa-IR"/>
        </w:rPr>
        <w:t xml:space="preserve"> في « بح ، بس ، جن » وحاشية « بث » : « الحسن ».</w:t>
      </w:r>
    </w:p>
    <w:p w:rsidR="00744A1C" w:rsidRDefault="00E378DD" w:rsidP="00E378DD">
      <w:pPr>
        <w:pStyle w:val="libFootnote0"/>
        <w:rPr>
          <w:lang w:bidi="fa-IR"/>
        </w:rPr>
      </w:pPr>
      <w:r>
        <w:rPr>
          <w:rtl/>
          <w:lang w:bidi="fa-IR"/>
        </w:rPr>
        <w:t>(3).</w:t>
      </w:r>
      <w:r w:rsidR="00744A1C">
        <w:rPr>
          <w:rtl/>
          <w:lang w:bidi="fa-IR"/>
        </w:rPr>
        <w:t xml:space="preserve"> كذا في المطبوع والطعبة الحجريّة. وفي جميع النسخ التي قوبلت </w:t>
      </w:r>
      <w:r w:rsidR="00744A1C" w:rsidRPr="003C7456">
        <w:rPr>
          <w:rtl/>
        </w:rPr>
        <w:t>والوافي</w:t>
      </w:r>
      <w:r w:rsidR="00744A1C">
        <w:rPr>
          <w:rtl/>
          <w:lang w:bidi="fa-IR"/>
        </w:rPr>
        <w:t xml:space="preserve"> : « الحسين ».</w:t>
      </w:r>
    </w:p>
    <w:p w:rsidR="00744A1C" w:rsidRDefault="00E378DD" w:rsidP="00E378DD">
      <w:pPr>
        <w:pStyle w:val="libFootnote0"/>
        <w:rPr>
          <w:lang w:bidi="fa-IR"/>
        </w:rPr>
      </w:pPr>
      <w:r>
        <w:rPr>
          <w:rtl/>
          <w:lang w:bidi="fa-IR"/>
        </w:rPr>
        <w:t>(4).</w:t>
      </w:r>
      <w:r w:rsidR="00744A1C">
        <w:rPr>
          <w:rtl/>
          <w:lang w:bidi="fa-IR"/>
        </w:rPr>
        <w:t xml:space="preserve"> في </w:t>
      </w:r>
      <w:r w:rsidR="00744A1C" w:rsidRPr="00877682">
        <w:rPr>
          <w:rStyle w:val="libFootnoteBoldChar"/>
          <w:rtl/>
        </w:rPr>
        <w:t>مرآة العقول</w:t>
      </w:r>
      <w:r w:rsidR="00744A1C">
        <w:rPr>
          <w:rtl/>
          <w:lang w:bidi="fa-IR"/>
        </w:rPr>
        <w:t xml:space="preserve"> ، ج 18 ، ص 293 : « أي تلك الأحوال والفضائل حاصلة فيمن مضى من الأئمّة ، وهي سبب‌</w:t>
      </w:r>
      <w:r w:rsidR="003C7456">
        <w:rPr>
          <w:rFonts w:hint="cs"/>
          <w:rtl/>
          <w:lang w:bidi="fa-IR"/>
        </w:rPr>
        <w:t xml:space="preserve"> </w:t>
      </w:r>
      <w:r w:rsidR="00744A1C">
        <w:rPr>
          <w:rtl/>
          <w:lang w:bidi="fa-IR"/>
        </w:rPr>
        <w:t>لفتح أبواب الإمامة والخلافة والعلوم والمعارف فيمن بقي من الأئمّة ، فكلمة « ما » بمعنى « من ». أو المعنى أنّ تلك الأحوال مثبتة في الكتب السالفة ، ويفتح لكم أبواب الفضائل في القرآن الباقي مدى الأعصار ».</w:t>
      </w:r>
    </w:p>
    <w:p w:rsidR="00744A1C" w:rsidRDefault="00E378DD" w:rsidP="003C7456">
      <w:pPr>
        <w:pStyle w:val="libFootnote0"/>
        <w:rPr>
          <w:lang w:bidi="fa-IR"/>
        </w:rPr>
      </w:pPr>
      <w:r>
        <w:rPr>
          <w:rtl/>
          <w:lang w:bidi="fa-IR"/>
        </w:rPr>
        <w:t>(5).</w:t>
      </w:r>
      <w:r w:rsidR="00744A1C">
        <w:rPr>
          <w:rtl/>
          <w:lang w:bidi="fa-IR"/>
        </w:rPr>
        <w:t xml:space="preserve"> في </w:t>
      </w:r>
      <w:r w:rsidR="00744A1C" w:rsidRPr="003C7456">
        <w:rPr>
          <w:rtl/>
        </w:rPr>
        <w:t>الوافي</w:t>
      </w:r>
      <w:r w:rsidR="00744A1C">
        <w:rPr>
          <w:rtl/>
          <w:lang w:bidi="fa-IR"/>
        </w:rPr>
        <w:t xml:space="preserve"> : « فاتح لكم ». وفي </w:t>
      </w:r>
      <w:r w:rsidR="00744A1C" w:rsidRPr="00C24F9C">
        <w:rPr>
          <w:rStyle w:val="libFootnoteBoldChar"/>
          <w:rtl/>
        </w:rPr>
        <w:t>المرآة</w:t>
      </w:r>
      <w:r w:rsidR="00744A1C">
        <w:rPr>
          <w:rtl/>
          <w:lang w:bidi="fa-IR"/>
        </w:rPr>
        <w:t xml:space="preserve"> : « قرأ بعض الأصحاب : فائح ، بالهمزة بعد الألف ، أي يفوح من القرآن الباقي شميم فضائلهم ».</w:t>
      </w:r>
      <w:r w:rsidR="003C7456">
        <w:rPr>
          <w:rFonts w:hint="cs"/>
          <w:rtl/>
          <w:lang w:bidi="fa-IR"/>
        </w:rPr>
        <w:t xml:space="preserve">    </w:t>
      </w:r>
      <w:r>
        <w:rPr>
          <w:rtl/>
          <w:lang w:bidi="fa-IR"/>
        </w:rPr>
        <w:t>(6).</w:t>
      </w:r>
      <w:r w:rsidR="00744A1C">
        <w:rPr>
          <w:rtl/>
          <w:lang w:bidi="fa-IR"/>
        </w:rPr>
        <w:t xml:space="preserve"> في « بث » : « طينة ». وفي « ى » : « طينة واحدة ».</w:t>
      </w:r>
    </w:p>
    <w:p w:rsidR="00744A1C" w:rsidRDefault="00E378DD" w:rsidP="00E378DD">
      <w:pPr>
        <w:pStyle w:val="libFootnote0"/>
        <w:rPr>
          <w:lang w:bidi="fa-IR"/>
        </w:rPr>
      </w:pPr>
      <w:r>
        <w:rPr>
          <w:rtl/>
          <w:lang w:bidi="fa-IR"/>
        </w:rPr>
        <w:t>(7).</w:t>
      </w:r>
      <w:r w:rsidR="00744A1C">
        <w:rPr>
          <w:rtl/>
          <w:lang w:bidi="fa-IR"/>
        </w:rPr>
        <w:t xml:space="preserve"> في </w:t>
      </w:r>
      <w:r w:rsidR="00744A1C" w:rsidRPr="007B299E">
        <w:rPr>
          <w:rStyle w:val="libFootnoteBoldChar"/>
          <w:rtl/>
        </w:rPr>
        <w:t>كامل الزيارات</w:t>
      </w:r>
      <w:r w:rsidR="00744A1C">
        <w:rPr>
          <w:rtl/>
          <w:lang w:bidi="fa-IR"/>
        </w:rPr>
        <w:t xml:space="preserve"> ، ص 201 : + « وبإياكم موقن ».</w:t>
      </w:r>
    </w:p>
    <w:p w:rsidR="00744A1C" w:rsidRDefault="00E378DD" w:rsidP="00E378DD">
      <w:pPr>
        <w:pStyle w:val="libFootnote0"/>
        <w:rPr>
          <w:lang w:bidi="fa-IR"/>
        </w:rPr>
      </w:pPr>
      <w:r>
        <w:rPr>
          <w:rtl/>
          <w:lang w:bidi="fa-IR"/>
        </w:rPr>
        <w:t>(8).</w:t>
      </w:r>
      <w:r w:rsidR="00744A1C">
        <w:rPr>
          <w:rtl/>
          <w:lang w:bidi="fa-IR"/>
        </w:rPr>
        <w:t xml:space="preserve"> في « بخ » : « وخواتيم ».</w:t>
      </w:r>
    </w:p>
    <w:p w:rsidR="00744A1C" w:rsidRDefault="00E378DD" w:rsidP="00E378DD">
      <w:pPr>
        <w:pStyle w:val="libFootnote0"/>
        <w:rPr>
          <w:lang w:bidi="fa-IR"/>
        </w:rPr>
      </w:pPr>
      <w:r>
        <w:rPr>
          <w:rtl/>
          <w:lang w:bidi="fa-IR"/>
        </w:rPr>
        <w:t>(9).</w:t>
      </w:r>
      <w:r w:rsidR="00744A1C">
        <w:rPr>
          <w:rtl/>
          <w:lang w:bidi="fa-IR"/>
        </w:rPr>
        <w:t xml:space="preserve"> في « ى ، بث ، بح ، بس » </w:t>
      </w:r>
      <w:r w:rsidR="00744A1C" w:rsidRPr="003C7456">
        <w:rPr>
          <w:rtl/>
        </w:rPr>
        <w:t>وكامل الزيارات</w:t>
      </w:r>
      <w:r w:rsidR="00744A1C">
        <w:rPr>
          <w:rtl/>
          <w:lang w:bidi="fa-IR"/>
        </w:rPr>
        <w:t xml:space="preserve"> ، ص 201 : « أن يتمّم ».</w:t>
      </w:r>
    </w:p>
    <w:p w:rsidR="00150943" w:rsidRDefault="00150943" w:rsidP="00D10E3C">
      <w:pPr>
        <w:pStyle w:val="libNormal"/>
        <w:rPr>
          <w:rtl/>
          <w:lang w:bidi="fa-IR"/>
        </w:rPr>
      </w:pPr>
      <w:r>
        <w:rPr>
          <w:rtl/>
          <w:lang w:bidi="fa-IR"/>
        </w:rPr>
        <w:br w:type="page"/>
      </w:r>
    </w:p>
    <w:p w:rsidR="00744A1C" w:rsidRDefault="00744A1C" w:rsidP="00951570">
      <w:pPr>
        <w:pStyle w:val="libNormal0"/>
        <w:rPr>
          <w:lang w:bidi="fa-IR"/>
        </w:rPr>
      </w:pPr>
      <w:r>
        <w:rPr>
          <w:rtl/>
          <w:lang w:bidi="fa-IR"/>
        </w:rPr>
        <w:lastRenderedPageBreak/>
        <w:t xml:space="preserve">ذلِكَ لِي </w:t>
      </w:r>
      <w:r w:rsidRPr="00D10E3C">
        <w:rPr>
          <w:rStyle w:val="libFootnotenumChar"/>
          <w:rtl/>
        </w:rPr>
        <w:t>(1)</w:t>
      </w:r>
      <w:r>
        <w:rPr>
          <w:rtl/>
          <w:lang w:bidi="fa-IR"/>
        </w:rPr>
        <w:t xml:space="preserve"> ، أَشْهَدُ أَنَّكُمْ قَدْ بَلَّغْتُمْ عَنِ اللهِ مَا </w:t>
      </w:r>
      <w:r w:rsidRPr="00D10E3C">
        <w:rPr>
          <w:rStyle w:val="libFootnotenumChar"/>
          <w:rtl/>
        </w:rPr>
        <w:t>(2)</w:t>
      </w:r>
      <w:r>
        <w:rPr>
          <w:rtl/>
          <w:lang w:bidi="fa-IR"/>
        </w:rPr>
        <w:t xml:space="preserve"> أَمَرَكُمْ بِهِ ، وَلَمْ تَخْشَوْا </w:t>
      </w:r>
      <w:r w:rsidRPr="00D10E3C">
        <w:rPr>
          <w:rStyle w:val="libFootnotenumChar"/>
          <w:rtl/>
        </w:rPr>
        <w:t>(3)</w:t>
      </w:r>
      <w:r>
        <w:rPr>
          <w:rtl/>
          <w:lang w:bidi="fa-IR"/>
        </w:rPr>
        <w:t xml:space="preserve"> أَحَداً غَيْرَهُ ، وَجَاهَدْتُمْ فِي سَبِيلِهِ </w:t>
      </w:r>
      <w:r w:rsidRPr="00D10E3C">
        <w:rPr>
          <w:rStyle w:val="libFootnotenumChar"/>
          <w:rtl/>
        </w:rPr>
        <w:t>(4)</w:t>
      </w:r>
      <w:r>
        <w:rPr>
          <w:rtl/>
          <w:lang w:bidi="fa-IR"/>
        </w:rPr>
        <w:t xml:space="preserve"> ، وَعَبَدْتُمُوهُ حَتّى أَتَاكُمُ الْيَقِينُ ، لَعَنَ اللهُ مَنْ قَتَلَكُمْ ، وَلَعَنَ اللهُ مَنْ أَمَرَ بِهِ ، وَلَعَنَ اللهُ مَنْ بَلَغَهُ ذلِكَ مِنْهُمْ فَرَضِيَ بِهِ ، أَشْهَدُ أَنَّ الَّذِينَ انْتَهَكُوا حُرْمَتَكَ </w:t>
      </w:r>
      <w:r w:rsidRPr="00D10E3C">
        <w:rPr>
          <w:rStyle w:val="libFootnotenumChar"/>
          <w:rtl/>
        </w:rPr>
        <w:t>(5)</w:t>
      </w:r>
      <w:r>
        <w:rPr>
          <w:rtl/>
          <w:lang w:bidi="fa-IR"/>
        </w:rPr>
        <w:t xml:space="preserve"> وَسَفَكُوا دَمَكَ </w:t>
      </w:r>
      <w:r w:rsidRPr="00D10E3C">
        <w:rPr>
          <w:rStyle w:val="libFootnotenumChar"/>
          <w:rtl/>
        </w:rPr>
        <w:t>(6)</w:t>
      </w:r>
      <w:r>
        <w:rPr>
          <w:rtl/>
          <w:lang w:bidi="fa-IR"/>
        </w:rPr>
        <w:t xml:space="preserve"> مَلْعُونُونَ عَلى لِسَانِ النَّبِيِّ الْأُمِّيِّ </w:t>
      </w:r>
      <w:r w:rsidR="00951570" w:rsidRPr="00951570">
        <w:rPr>
          <w:rStyle w:val="libAlaemChar"/>
          <w:rFonts w:eastAsiaTheme="minorHAnsi"/>
          <w:rtl/>
        </w:rPr>
        <w:t>صلى‌الله‌عليه‌وآله</w:t>
      </w:r>
      <w:r>
        <w:rPr>
          <w:rtl/>
          <w:lang w:bidi="fa-IR"/>
        </w:rPr>
        <w:t>.</w:t>
      </w:r>
    </w:p>
    <w:p w:rsidR="00744A1C" w:rsidRDefault="00744A1C" w:rsidP="00B85AA9">
      <w:pPr>
        <w:pStyle w:val="libNormal"/>
        <w:rPr>
          <w:lang w:bidi="fa-IR"/>
        </w:rPr>
      </w:pPr>
      <w:r>
        <w:rPr>
          <w:rtl/>
          <w:lang w:bidi="fa-IR"/>
        </w:rPr>
        <w:t>ثُمَّ تَقُولُ : الل</w:t>
      </w:r>
      <w:r w:rsidR="00951570">
        <w:rPr>
          <w:rFonts w:hint="cs"/>
          <w:rtl/>
          <w:lang w:bidi="fa-IR"/>
        </w:rPr>
        <w:t>ّ</w:t>
      </w:r>
      <w:r>
        <w:rPr>
          <w:rtl/>
          <w:lang w:bidi="fa-IR"/>
        </w:rPr>
        <w:t>هُمَّ الْعَنِ الَّذِينَ بَدَّلُوا نِعْمَتَكَ ، وَخَالَفُوا مِلَّتَكَ ، وَرَغِبُوا عَنْ أَمْرِكَ ، وَاتَّهَمُوا رَسُولَكَ ، وَصَدُّوا عَنْ سَبِيلِكَ ، الل</w:t>
      </w:r>
      <w:r w:rsidR="00951570">
        <w:rPr>
          <w:rFonts w:hint="cs"/>
          <w:rtl/>
          <w:lang w:bidi="fa-IR"/>
        </w:rPr>
        <w:t>ّ</w:t>
      </w:r>
      <w:r>
        <w:rPr>
          <w:rtl/>
          <w:lang w:bidi="fa-IR"/>
        </w:rPr>
        <w:t xml:space="preserve">هُمَّ احْشُ قُبُورَهُمْ نَاراً ، وَأَجْوَافَهُمْ نَاراً </w:t>
      </w:r>
      <w:r w:rsidRPr="00D10E3C">
        <w:rPr>
          <w:rStyle w:val="libFootnotenumChar"/>
          <w:rtl/>
        </w:rPr>
        <w:t>(7)</w:t>
      </w:r>
      <w:r>
        <w:rPr>
          <w:rtl/>
          <w:lang w:bidi="fa-IR"/>
        </w:rPr>
        <w:t xml:space="preserve"> ، وَاحْشُرْهُمْ وَأَشْيَاعَهُمْ إِلَى جَهَنَّمَ زُرْقاً </w:t>
      </w:r>
      <w:r w:rsidRPr="00D10E3C">
        <w:rPr>
          <w:rStyle w:val="libFootnotenumChar"/>
          <w:rtl/>
        </w:rPr>
        <w:t>(8)</w:t>
      </w:r>
      <w:r>
        <w:rPr>
          <w:rtl/>
          <w:lang w:bidi="fa-IR"/>
        </w:rPr>
        <w:t xml:space="preserve"> ، الل</w:t>
      </w:r>
      <w:r w:rsidR="00951570">
        <w:rPr>
          <w:rFonts w:hint="cs"/>
          <w:rtl/>
          <w:lang w:bidi="fa-IR"/>
        </w:rPr>
        <w:t>ّ</w:t>
      </w:r>
      <w:r>
        <w:rPr>
          <w:rtl/>
          <w:lang w:bidi="fa-IR"/>
        </w:rPr>
        <w:t>هُمَّ الْعَنْهُمْ لَعْناً يَلْعَنُهُمْ بِهِ كُلُّ مَلَكٍ مُقَرَّبٍ ، وَكُلُّ نَبِيٍّ مُرْسَلٍ ، وَكُلُّ عَبْدٍ مُؤْمِنٍ امْتَحَنْتَ قَلْبَهُ لِلْإِيمَانِ ، الل</w:t>
      </w:r>
      <w:r w:rsidR="00B85AA9">
        <w:rPr>
          <w:rFonts w:hint="cs"/>
          <w:rtl/>
          <w:lang w:bidi="fa-IR"/>
        </w:rPr>
        <w:t>ّ</w:t>
      </w:r>
      <w:r>
        <w:rPr>
          <w:rtl/>
          <w:lang w:bidi="fa-IR"/>
        </w:rPr>
        <w:t xml:space="preserve">هُمَّ الْعَنْهُمْ فِي مُسْتَسِرِّ </w:t>
      </w:r>
      <w:r w:rsidRPr="00D10E3C">
        <w:rPr>
          <w:rStyle w:val="libFootnotenumChar"/>
          <w:rtl/>
        </w:rPr>
        <w:t>(9)</w:t>
      </w:r>
      <w:r>
        <w:rPr>
          <w:rtl/>
          <w:lang w:bidi="fa-IR"/>
        </w:rPr>
        <w:t xml:space="preserve"> السِّرِّ ، وَفِي ظَاهِرِ الْعَلَانِيَةِ. الل</w:t>
      </w:r>
      <w:r w:rsidR="00B85AA9">
        <w:rPr>
          <w:rFonts w:hint="cs"/>
          <w:rtl/>
          <w:lang w:bidi="fa-IR"/>
        </w:rPr>
        <w:t>ّ</w:t>
      </w:r>
      <w:r>
        <w:rPr>
          <w:rtl/>
          <w:lang w:bidi="fa-IR"/>
        </w:rPr>
        <w:t xml:space="preserve">هُمَّ الْعَنْ جَوَابِيتَ هذِهِ الْأُمَّةِ ، وَالْعَنْ طَوَاغِيتَهَا ، وَالْعَنْ فَرَاعِنَتَهَا </w:t>
      </w:r>
      <w:r w:rsidRPr="00D10E3C">
        <w:rPr>
          <w:rStyle w:val="libFootnotenumChar"/>
          <w:rtl/>
        </w:rPr>
        <w:t>(10)</w:t>
      </w:r>
      <w:r>
        <w:rPr>
          <w:rtl/>
          <w:lang w:bidi="fa-IR"/>
        </w:rPr>
        <w:t xml:space="preserve"> ، وَالْعَنْ قَتَلَةَ أَمِيرِ الْمُؤْمِنِينَ ، وَالْعَنْ قَتَلَةَ </w:t>
      </w:r>
      <w:r w:rsidRPr="00D10E3C">
        <w:rPr>
          <w:rStyle w:val="libFootnotenumChar"/>
          <w:rtl/>
        </w:rPr>
        <w:t>(11)</w:t>
      </w:r>
      <w:r>
        <w:rPr>
          <w:rtl/>
          <w:lang w:bidi="fa-IR"/>
        </w:rPr>
        <w:t xml:space="preserve"> الْحُسَيْنِ ، وَعَذِّبْهُمْ عَذَاباً </w:t>
      </w:r>
      <w:r w:rsidRPr="00D10E3C">
        <w:rPr>
          <w:rStyle w:val="libFootnotenumChar"/>
          <w:rtl/>
        </w:rPr>
        <w:t>(12)</w:t>
      </w:r>
      <w:r>
        <w:rPr>
          <w:rtl/>
          <w:lang w:bidi="fa-IR"/>
        </w:rPr>
        <w:t xml:space="preserve"> لَا تُعَذِّبُ بِهِ أَحَداً مِنَ الْعَالَمِينَ ، الل</w:t>
      </w:r>
      <w:r w:rsidR="00B85AA9">
        <w:rPr>
          <w:rFonts w:hint="cs"/>
          <w:rtl/>
          <w:lang w:bidi="fa-IR"/>
        </w:rPr>
        <w:t>ّ</w:t>
      </w:r>
      <w:r>
        <w:rPr>
          <w:rtl/>
          <w:lang w:bidi="fa-IR"/>
        </w:rPr>
        <w:t xml:space="preserve">هُمَّ اجْعَلْنَا مِمَّنْ </w:t>
      </w:r>
      <w:r w:rsidRPr="00D10E3C">
        <w:rPr>
          <w:rStyle w:val="libFootnotenumChar"/>
          <w:rtl/>
        </w:rPr>
        <w:t>(13)</w:t>
      </w:r>
      <w:r>
        <w:rPr>
          <w:rtl/>
          <w:lang w:bidi="fa-IR"/>
        </w:rPr>
        <w:t xml:space="preserve"> تَنْصُرُهُ </w:t>
      </w:r>
      <w:r w:rsidRPr="00D10E3C">
        <w:rPr>
          <w:rStyle w:val="libFootnotenumChar"/>
          <w:rtl/>
        </w:rPr>
        <w:t>(14)</w:t>
      </w:r>
      <w:r>
        <w:rPr>
          <w:rtl/>
          <w:lang w:bidi="fa-IR"/>
        </w:rPr>
        <w:t xml:space="preserve"> وَتَنْتَصِرُ </w:t>
      </w:r>
      <w:r w:rsidRPr="00D10E3C">
        <w:rPr>
          <w:rStyle w:val="libFootnotenumChar"/>
          <w:rtl/>
        </w:rPr>
        <w:t>(15)</w:t>
      </w:r>
      <w:r>
        <w:rPr>
          <w:rtl/>
          <w:lang w:bidi="fa-IR"/>
        </w:rPr>
        <w:t xml:space="preserve"> بِهِ ، وَتَمُنُّ‌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بخ ، بس ، جد » </w:t>
      </w:r>
      <w:r w:rsidR="00744A1C" w:rsidRPr="00B85AA9">
        <w:rPr>
          <w:rtl/>
        </w:rPr>
        <w:t>والوافي وكامل الزيارات</w:t>
      </w:r>
      <w:r w:rsidR="00744A1C">
        <w:rPr>
          <w:rtl/>
          <w:lang w:bidi="fa-IR"/>
        </w:rPr>
        <w:t xml:space="preserve"> : « لي ذلك ».</w:t>
      </w:r>
    </w:p>
    <w:p w:rsidR="00744A1C" w:rsidRDefault="00E378DD" w:rsidP="00E378DD">
      <w:pPr>
        <w:pStyle w:val="libFootnote0"/>
        <w:rPr>
          <w:lang w:bidi="fa-IR"/>
        </w:rPr>
      </w:pPr>
      <w:r>
        <w:rPr>
          <w:rtl/>
          <w:lang w:bidi="fa-IR"/>
        </w:rPr>
        <w:t>(2).</w:t>
      </w:r>
      <w:r w:rsidR="00744A1C">
        <w:rPr>
          <w:rtl/>
          <w:lang w:bidi="fa-IR"/>
        </w:rPr>
        <w:t xml:space="preserve"> في « ى ، جد » : « بما ».</w:t>
      </w:r>
    </w:p>
    <w:p w:rsidR="00744A1C" w:rsidRDefault="00E378DD" w:rsidP="00E378DD">
      <w:pPr>
        <w:pStyle w:val="libFootnote0"/>
        <w:rPr>
          <w:lang w:bidi="fa-IR"/>
        </w:rPr>
      </w:pPr>
      <w:r>
        <w:rPr>
          <w:rtl/>
          <w:lang w:bidi="fa-IR"/>
        </w:rPr>
        <w:t>(3).</w:t>
      </w:r>
      <w:r w:rsidR="00744A1C">
        <w:rPr>
          <w:rtl/>
          <w:lang w:bidi="fa-IR"/>
        </w:rPr>
        <w:t xml:space="preserve"> هكذا في جميع النسخ</w:t>
      </w:r>
      <w:r w:rsidR="00744A1C" w:rsidRPr="00B85AA9">
        <w:rPr>
          <w:rtl/>
        </w:rPr>
        <w:t xml:space="preserve"> والوافي وكامل الزيارات ،</w:t>
      </w:r>
      <w:r w:rsidR="00744A1C">
        <w:rPr>
          <w:rtl/>
          <w:lang w:bidi="fa-IR"/>
        </w:rPr>
        <w:t xml:space="preserve"> ص 201. وفي المطبوع : « لن تخشوا ».</w:t>
      </w:r>
    </w:p>
    <w:p w:rsidR="00744A1C" w:rsidRDefault="00E378DD" w:rsidP="00E378DD">
      <w:pPr>
        <w:pStyle w:val="libFootnote0"/>
        <w:rPr>
          <w:lang w:bidi="fa-IR"/>
        </w:rPr>
      </w:pPr>
      <w:r>
        <w:rPr>
          <w:rtl/>
          <w:lang w:bidi="fa-IR"/>
        </w:rPr>
        <w:t>(4).</w:t>
      </w:r>
      <w:r w:rsidR="00744A1C">
        <w:rPr>
          <w:rtl/>
          <w:lang w:bidi="fa-IR"/>
        </w:rPr>
        <w:t xml:space="preserve"> في « جد » وحاشية « جن » : « سبيل الله ».</w:t>
      </w:r>
    </w:p>
    <w:p w:rsidR="00744A1C" w:rsidRDefault="00E378DD" w:rsidP="00E378DD">
      <w:pPr>
        <w:pStyle w:val="libFootnote0"/>
        <w:rPr>
          <w:lang w:bidi="fa-IR"/>
        </w:rPr>
      </w:pPr>
      <w:r>
        <w:rPr>
          <w:rtl/>
          <w:lang w:bidi="fa-IR"/>
        </w:rPr>
        <w:t>(5).</w:t>
      </w:r>
      <w:r w:rsidR="00744A1C">
        <w:rPr>
          <w:rtl/>
          <w:lang w:bidi="fa-IR"/>
        </w:rPr>
        <w:t xml:space="preserve"> هكذا في معظم النسخ التي قوبلت</w:t>
      </w:r>
      <w:r w:rsidR="00744A1C" w:rsidRPr="00B85AA9">
        <w:rPr>
          <w:rtl/>
        </w:rPr>
        <w:t xml:space="preserve"> والوافي وكامل الزيارات ،</w:t>
      </w:r>
      <w:r w:rsidR="00744A1C">
        <w:rPr>
          <w:rtl/>
          <w:lang w:bidi="fa-IR"/>
        </w:rPr>
        <w:t xml:space="preserve"> ص 201. وفي « بث » والمطبوع : « حرمتكم ».</w:t>
      </w:r>
    </w:p>
    <w:p w:rsidR="00744A1C" w:rsidRDefault="00E378DD" w:rsidP="00E378DD">
      <w:pPr>
        <w:pStyle w:val="libFootnote0"/>
        <w:rPr>
          <w:lang w:bidi="fa-IR"/>
        </w:rPr>
      </w:pPr>
      <w:r>
        <w:rPr>
          <w:rtl/>
          <w:lang w:bidi="fa-IR"/>
        </w:rPr>
        <w:t>(6).</w:t>
      </w:r>
      <w:r w:rsidR="00744A1C">
        <w:rPr>
          <w:rtl/>
          <w:lang w:bidi="fa-IR"/>
        </w:rPr>
        <w:t xml:space="preserve"> هكذا في معظم النسخ التي قوبلت </w:t>
      </w:r>
      <w:r w:rsidR="00744A1C" w:rsidRPr="00B85AA9">
        <w:rPr>
          <w:rtl/>
        </w:rPr>
        <w:t>والوافي وكامل الزيارات ، ص</w:t>
      </w:r>
      <w:r w:rsidR="00744A1C">
        <w:rPr>
          <w:rtl/>
          <w:lang w:bidi="fa-IR"/>
        </w:rPr>
        <w:t xml:space="preserve"> 201. وفي « بث » والمطبوع : « دمكم ».</w:t>
      </w:r>
    </w:p>
    <w:p w:rsidR="00744A1C" w:rsidRDefault="00E378DD" w:rsidP="00E378DD">
      <w:pPr>
        <w:pStyle w:val="libFootnote0"/>
        <w:rPr>
          <w:lang w:bidi="fa-IR"/>
        </w:rPr>
      </w:pPr>
      <w:r>
        <w:rPr>
          <w:rtl/>
          <w:lang w:bidi="fa-IR"/>
        </w:rPr>
        <w:t>(7).</w:t>
      </w:r>
      <w:r w:rsidR="00744A1C">
        <w:rPr>
          <w:rtl/>
          <w:lang w:bidi="fa-IR"/>
        </w:rPr>
        <w:t xml:space="preserve"> في « بث ، جن » : - « وأجوافهم ناراً ».</w:t>
      </w:r>
    </w:p>
    <w:p w:rsidR="00744A1C" w:rsidRDefault="00E378DD" w:rsidP="00E378DD">
      <w:pPr>
        <w:pStyle w:val="libFootnote0"/>
        <w:rPr>
          <w:lang w:bidi="fa-IR"/>
        </w:rPr>
      </w:pPr>
      <w:r>
        <w:rPr>
          <w:rtl/>
          <w:lang w:bidi="fa-IR"/>
        </w:rPr>
        <w:t>(8).</w:t>
      </w:r>
      <w:r w:rsidR="00744A1C">
        <w:rPr>
          <w:rtl/>
          <w:lang w:bidi="fa-IR"/>
        </w:rPr>
        <w:t xml:space="preserve"> « زرقاً » أي عُمْياً عيونهم لا نورَ لها ». المفردات ، ص 379 ( زرق ).</w:t>
      </w:r>
    </w:p>
    <w:tbl>
      <w:tblPr>
        <w:tblStyle w:val="TableGrid"/>
        <w:bidiVisual/>
        <w:tblW w:w="0" w:type="auto"/>
        <w:tblLook w:val="04A0" w:firstRow="1" w:lastRow="0" w:firstColumn="1" w:lastColumn="0" w:noHBand="0" w:noVBand="1"/>
      </w:tblPr>
      <w:tblGrid>
        <w:gridCol w:w="4006"/>
        <w:gridCol w:w="4006"/>
      </w:tblGrid>
      <w:tr w:rsidR="00B85AA9" w:rsidTr="00B85AA9">
        <w:tc>
          <w:tcPr>
            <w:tcW w:w="4006" w:type="dxa"/>
          </w:tcPr>
          <w:p w:rsidR="00B85AA9" w:rsidRDefault="00B85AA9" w:rsidP="00E378DD">
            <w:pPr>
              <w:pStyle w:val="libFootnote0"/>
              <w:rPr>
                <w:rtl/>
                <w:lang w:bidi="fa-IR"/>
              </w:rPr>
            </w:pPr>
            <w:r>
              <w:rPr>
                <w:rtl/>
                <w:lang w:bidi="fa-IR"/>
              </w:rPr>
              <w:t>(9). في « بح » : « مستتر ».</w:t>
            </w:r>
          </w:p>
        </w:tc>
        <w:tc>
          <w:tcPr>
            <w:tcW w:w="4006" w:type="dxa"/>
          </w:tcPr>
          <w:p w:rsidR="00B85AA9" w:rsidRDefault="00B85AA9" w:rsidP="00E378DD">
            <w:pPr>
              <w:pStyle w:val="libFootnote0"/>
              <w:rPr>
                <w:rtl/>
                <w:lang w:bidi="fa-IR"/>
              </w:rPr>
            </w:pPr>
            <w:r>
              <w:rPr>
                <w:rtl/>
                <w:lang w:bidi="fa-IR"/>
              </w:rPr>
              <w:t>(10). في « بث » : - « والعن فراعنتها ».</w:t>
            </w:r>
          </w:p>
        </w:tc>
      </w:tr>
    </w:tbl>
    <w:p w:rsidR="00744A1C" w:rsidRDefault="00E378DD" w:rsidP="00E378DD">
      <w:pPr>
        <w:pStyle w:val="libFootnote0"/>
        <w:rPr>
          <w:lang w:bidi="fa-IR"/>
        </w:rPr>
      </w:pPr>
      <w:r>
        <w:rPr>
          <w:rtl/>
          <w:lang w:bidi="fa-IR"/>
        </w:rPr>
        <w:t>(11).</w:t>
      </w:r>
      <w:r w:rsidR="00744A1C">
        <w:rPr>
          <w:rtl/>
          <w:lang w:bidi="fa-IR"/>
        </w:rPr>
        <w:t xml:space="preserve"> في </w:t>
      </w:r>
      <w:r w:rsidR="00744A1C" w:rsidRPr="007B299E">
        <w:rPr>
          <w:rStyle w:val="libFootnoteBoldChar"/>
          <w:rtl/>
        </w:rPr>
        <w:t>كامل الزيارات</w:t>
      </w:r>
      <w:r w:rsidR="00744A1C">
        <w:rPr>
          <w:rtl/>
          <w:lang w:bidi="fa-IR"/>
        </w:rPr>
        <w:t xml:space="preserve"> ، ص 201 : + « الحسن و».</w:t>
      </w:r>
    </w:p>
    <w:p w:rsidR="00744A1C" w:rsidRDefault="00E378DD" w:rsidP="00E378DD">
      <w:pPr>
        <w:pStyle w:val="libFootnote0"/>
        <w:rPr>
          <w:lang w:bidi="fa-IR"/>
        </w:rPr>
      </w:pPr>
      <w:r>
        <w:rPr>
          <w:rtl/>
          <w:lang w:bidi="fa-IR"/>
        </w:rPr>
        <w:t>(12).</w:t>
      </w:r>
      <w:r w:rsidR="00744A1C">
        <w:rPr>
          <w:rtl/>
          <w:lang w:bidi="fa-IR"/>
        </w:rPr>
        <w:t xml:space="preserve"> في « بث ، جن » </w:t>
      </w:r>
      <w:r w:rsidR="00744A1C" w:rsidRPr="00B85AA9">
        <w:rPr>
          <w:rtl/>
        </w:rPr>
        <w:t>وكامل الزيارات ، ص</w:t>
      </w:r>
      <w:r w:rsidR="00744A1C">
        <w:rPr>
          <w:rtl/>
          <w:lang w:bidi="fa-IR"/>
        </w:rPr>
        <w:t xml:space="preserve"> 201 : + « أليماً ».</w:t>
      </w:r>
    </w:p>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الوافي</w:t>
      </w:r>
      <w:r w:rsidR="00744A1C">
        <w:rPr>
          <w:rtl/>
          <w:lang w:bidi="fa-IR"/>
        </w:rPr>
        <w:t xml:space="preserve"> : « فيمن ».</w:t>
      </w:r>
    </w:p>
    <w:p w:rsidR="00744A1C" w:rsidRDefault="00E378DD" w:rsidP="00E378DD">
      <w:pPr>
        <w:pStyle w:val="libFootnote0"/>
        <w:rPr>
          <w:lang w:bidi="fa-IR"/>
        </w:rPr>
      </w:pPr>
      <w:r>
        <w:rPr>
          <w:rtl/>
          <w:lang w:bidi="fa-IR"/>
        </w:rPr>
        <w:t>(14).</w:t>
      </w:r>
      <w:r w:rsidR="00744A1C">
        <w:rPr>
          <w:rtl/>
          <w:lang w:bidi="fa-IR"/>
        </w:rPr>
        <w:t xml:space="preserve"> هكذا في « ي ، بخ ، بس ، جش » و</w:t>
      </w:r>
      <w:r w:rsidR="00744A1C" w:rsidRPr="007B299E">
        <w:rPr>
          <w:rStyle w:val="libFootnoteBoldChar"/>
          <w:rtl/>
        </w:rPr>
        <w:t>كامل الزيارات</w:t>
      </w:r>
      <w:r w:rsidR="00744A1C">
        <w:rPr>
          <w:rtl/>
          <w:lang w:bidi="fa-IR"/>
        </w:rPr>
        <w:t xml:space="preserve"> ، ص 201. وفي « جد ، جن » بالتاء والياء معاً. وفي سائر النسخ والمطبوع و</w:t>
      </w:r>
      <w:r w:rsidR="00744A1C" w:rsidRPr="00C24F9C">
        <w:rPr>
          <w:rStyle w:val="libFootnoteBoldChar"/>
          <w:rtl/>
        </w:rPr>
        <w:t>الوافي</w:t>
      </w:r>
      <w:r w:rsidR="00744A1C">
        <w:rPr>
          <w:rtl/>
          <w:lang w:bidi="fa-IR"/>
        </w:rPr>
        <w:t xml:space="preserve"> : « ينصره ».</w:t>
      </w:r>
    </w:p>
    <w:p w:rsidR="00744A1C" w:rsidRDefault="00E378DD" w:rsidP="00E378DD">
      <w:pPr>
        <w:pStyle w:val="libFootnote0"/>
        <w:rPr>
          <w:lang w:bidi="fa-IR"/>
        </w:rPr>
      </w:pPr>
      <w:r>
        <w:rPr>
          <w:rtl/>
          <w:lang w:bidi="fa-IR"/>
        </w:rPr>
        <w:t>(15).</w:t>
      </w:r>
      <w:r w:rsidR="00744A1C">
        <w:rPr>
          <w:rtl/>
          <w:lang w:bidi="fa-IR"/>
        </w:rPr>
        <w:t xml:space="preserve"> في « بث ، بح ، بف » و</w:t>
      </w:r>
      <w:r w:rsidR="00744A1C" w:rsidRPr="00C24F9C">
        <w:rPr>
          <w:rStyle w:val="libFootnoteBoldChar"/>
          <w:rtl/>
        </w:rPr>
        <w:t>الوافي</w:t>
      </w:r>
      <w:r w:rsidR="00744A1C">
        <w:rPr>
          <w:rtl/>
          <w:lang w:bidi="fa-IR"/>
        </w:rPr>
        <w:t xml:space="preserve"> : « وينتصر ». وفي « جد ، جن » بالتاء والياء معاً.</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عَلَيْهِ بِنَصْرِكَ لِدِينِكَ فِي الدُّنْيَا وَالْآخِرَةِ.</w:t>
      </w:r>
    </w:p>
    <w:p w:rsidR="00744A1C" w:rsidRDefault="00744A1C" w:rsidP="00744A1C">
      <w:pPr>
        <w:pStyle w:val="libNormal"/>
        <w:rPr>
          <w:lang w:bidi="fa-IR"/>
        </w:rPr>
      </w:pPr>
      <w:r>
        <w:rPr>
          <w:rtl/>
          <w:lang w:bidi="fa-IR"/>
        </w:rPr>
        <w:t xml:space="preserve">ثُمَّ اجْلِسْ عِنْدَ رَأْسِهِ ، فَقُلْ : صَلَّى اللهُ عَلَيْكَ ، أَشْهَدُ أَنَّكَ عَبْدُ اللهِ وَأَمِينُهُ ، بَلَّغْتَ نَاصِحاً ، وَأَدَّيْتَ أَمِيناً ، وَقُتِلْتَ صِدِّيقاً ، وَمَضَيْتَ عَلى يَقِينٍ ، لَمْ تُؤْثِرْ عَمًى عَلى هُدًى ، وَلَمْ تَمِلْ مِنْ حَقٍّ إِلى بَاطِلٍ ، أَشْهَدُ أَنَّكَ قَدْ أَقَمْتَ الصَّلَاةَ ، وَآتَيْتَ الزَّكَاةَ ، وَأَمَرْتَ بِالْمَعْرُوفِ ، وَنَهَيْتَ عَنِ الْمُنْكَرِ ، وَاتَّبَعْتَ الرَّسُولَ ، وَتَلَوْتَ الْكِتَابَ حَقَّ تِلَاوَتِهِ ، وَدَعَوْتَ إِلى سَبِيلِ رَبِّكَ بِالْحِكْمَةِ وَالْمَوْعِظَةِ الْحَسَنَةِ ، صَلَّى اللهُ عَلَيْكَ وَسَلَّمَ تَسْلِيماً </w:t>
      </w:r>
      <w:r w:rsidRPr="00D10E3C">
        <w:rPr>
          <w:rStyle w:val="libFootnotenumChar"/>
          <w:rtl/>
        </w:rPr>
        <w:t>(1)</w:t>
      </w:r>
      <w:r w:rsidR="00B85AA9">
        <w:rPr>
          <w:rtl/>
          <w:lang w:bidi="fa-IR"/>
        </w:rPr>
        <w:t xml:space="preserve"> ،</w:t>
      </w:r>
      <w:r>
        <w:rPr>
          <w:rtl/>
          <w:lang w:bidi="fa-IR"/>
        </w:rPr>
        <w:t xml:space="preserve">وَجَزَاكَ اللهُ مِنْ صِدِّيقٍ خَيْراً عَنْ رَعِيَّتِكَ </w:t>
      </w:r>
      <w:r w:rsidRPr="00D10E3C">
        <w:rPr>
          <w:rStyle w:val="libFootnotenumChar"/>
          <w:rtl/>
        </w:rPr>
        <w:t>(2)</w:t>
      </w:r>
      <w:r w:rsidR="00B85AA9" w:rsidRPr="00B85AA9">
        <w:rPr>
          <w:rFonts w:hint="cs"/>
          <w:rtl/>
        </w:rPr>
        <w:t>.</w:t>
      </w:r>
    </w:p>
    <w:p w:rsidR="00744A1C" w:rsidRDefault="00744A1C" w:rsidP="00744A1C">
      <w:pPr>
        <w:pStyle w:val="libNormal"/>
        <w:rPr>
          <w:lang w:bidi="fa-IR"/>
        </w:rPr>
      </w:pPr>
      <w:r>
        <w:rPr>
          <w:rtl/>
          <w:lang w:bidi="fa-IR"/>
        </w:rPr>
        <w:t xml:space="preserve">أَشْهَدُ </w:t>
      </w:r>
      <w:r w:rsidRPr="00D10E3C">
        <w:rPr>
          <w:rStyle w:val="libFootnotenumChar"/>
          <w:rtl/>
        </w:rPr>
        <w:t>(3)</w:t>
      </w:r>
      <w:r>
        <w:rPr>
          <w:rtl/>
          <w:lang w:bidi="fa-IR"/>
        </w:rPr>
        <w:t xml:space="preserve"> أَنَّ الْجِهَادَ مَعَكَ جِهَادٌ </w:t>
      </w:r>
      <w:r w:rsidRPr="00D10E3C">
        <w:rPr>
          <w:rStyle w:val="libFootnotenumChar"/>
          <w:rtl/>
        </w:rPr>
        <w:t>(4)</w:t>
      </w:r>
      <w:r>
        <w:rPr>
          <w:rtl/>
          <w:lang w:bidi="fa-IR"/>
        </w:rPr>
        <w:t xml:space="preserve"> ، وَأَنَّ الْحَقَّ مَعَكَ وَإِلَيْكَ ، وَأَنْتَ أَهْلُهُ وَمَعْدِنُهُ ، وَمِيرَاثَ النُّبُوَّةِ عِنْدَكَ وَعِنْدَ أَهْلِ بَيْتِكَ ، صَلَّى اللهُ عَلَيْكَ وَسَلَّمَ تَسْلِيماً ، أَشْهَدُ أَنَّكَ صِدِّيقُ اللهِ ، وَحُجَّتُهُ عَلى خَلْقِهِ ، وَأَشْهَدُ أَنَّ دَعْوَتَكَ حَقٌّ ، وَكُلَّ دَاعٍ مَنْصُوبٍ غَيْرَكَ فَهُوَ بَاطِلٌ مَدْحُوضٌ ، وَأَشْهَدُ أَنَّ اللهَ هُوَ الْحَقُّ الْمُبِينُ.</w:t>
      </w:r>
    </w:p>
    <w:p w:rsidR="00744A1C" w:rsidRDefault="00744A1C" w:rsidP="00744A1C">
      <w:pPr>
        <w:pStyle w:val="libNormal"/>
        <w:rPr>
          <w:lang w:bidi="fa-IR"/>
        </w:rPr>
      </w:pPr>
      <w:r>
        <w:rPr>
          <w:rtl/>
          <w:lang w:bidi="fa-IR"/>
        </w:rPr>
        <w:t xml:space="preserve">ثُمَّ تَحَوَّلُ عِنْدَ رِجْلَيْهِ ، وَتَخَيَّرُ مِنَ الدُّعَاءِ ، وَتَدْعُو لِنَفْسِكَ ، ثُمَّ تَحَوَّلُ عِنْدَ رَأْسِ عَلِيِّ بْنِ الْحُسَيْنِ </w:t>
      </w:r>
      <w:r w:rsidR="008859AA" w:rsidRPr="008859AA">
        <w:rPr>
          <w:rStyle w:val="libAlaemChar"/>
          <w:rtl/>
        </w:rPr>
        <w:t>عليهما‌السلام</w:t>
      </w:r>
      <w:r>
        <w:rPr>
          <w:rtl/>
          <w:lang w:bidi="fa-IR"/>
        </w:rPr>
        <w:t>، وَتَقُولُ : سَلَامُ اللهِ وَسَلَامُ مَلَائِكَتِهِ الْمُقَرَّبِينَ وَأَنْبِيَائِهِ الْمُرْسَلِينَ يَا مَوْلَايَ وَابْنَ مَوْلَايَ وَرَحْمَةُ اللهِ وَبَرَكَاتُهُ عَلَيْكَ ، صَلَّى اللهُ عَلَيْكَ ، وَعَلى أَهْلِ بَيْتِكَ ، وَعِتْرَةِ آبَائِكَ الْأَخْيَارِ الْأَبْرَارِ الَّذِينَ أَذْهَبَ اللهُ عَنْهُمُ الرِّجْسَ وَطَهَّرَهُمْ تَطْهِيراً.</w:t>
      </w:r>
    </w:p>
    <w:p w:rsidR="00144FA6" w:rsidRDefault="00744A1C" w:rsidP="00744A1C">
      <w:pPr>
        <w:pStyle w:val="libNormal"/>
        <w:rPr>
          <w:rtl/>
          <w:lang w:bidi="fa-IR"/>
        </w:rPr>
      </w:pPr>
      <w:r>
        <w:rPr>
          <w:rtl/>
          <w:lang w:bidi="fa-IR"/>
        </w:rPr>
        <w:t xml:space="preserve">ثُمَّ تَأْتِي قُبُورَ الشُّهَدَاءِ ، وَتُسَلِّمُ </w:t>
      </w:r>
      <w:r w:rsidRPr="00D10E3C">
        <w:rPr>
          <w:rStyle w:val="libFootnotenumChar"/>
          <w:rtl/>
        </w:rPr>
        <w:t>(5)</w:t>
      </w:r>
      <w:r>
        <w:rPr>
          <w:rtl/>
          <w:lang w:bidi="fa-IR"/>
        </w:rPr>
        <w:t xml:space="preserve"> عَلَيْهِمْ ، وَتَقُولُ : السَّلَامُ عَلَيْكُمْ أَيُّهَا الرَّبَّانِيُّونَ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B85AA9">
        <w:rPr>
          <w:rtl/>
        </w:rPr>
        <w:t>كامل الزيارات</w:t>
      </w:r>
      <w:r w:rsidR="00744A1C">
        <w:rPr>
          <w:rtl/>
          <w:lang w:bidi="fa-IR"/>
        </w:rPr>
        <w:t xml:space="preserve"> ، ص 201 : + « كثيراً ، أشهد أنّك كنت على بيّنة من ربّك قد بلّغت ما أمرت به ، وقمت‌بحقّه ، وصدّقت من قبلك غير واهن ولا موهن ، صلّى الله عليك وسلّم تسليماً ».</w:t>
      </w:r>
    </w:p>
    <w:p w:rsidR="00744A1C" w:rsidRDefault="00E378DD" w:rsidP="00E378DD">
      <w:pPr>
        <w:pStyle w:val="libFootnote0"/>
        <w:rPr>
          <w:lang w:bidi="fa-IR"/>
        </w:rPr>
      </w:pPr>
      <w:r>
        <w:rPr>
          <w:rtl/>
          <w:lang w:bidi="fa-IR"/>
        </w:rPr>
        <w:t>(2).</w:t>
      </w:r>
      <w:r w:rsidR="00744A1C">
        <w:rPr>
          <w:rtl/>
          <w:lang w:bidi="fa-IR"/>
        </w:rPr>
        <w:t xml:space="preserve"> في « بث » : « رعيّته ».</w:t>
      </w:r>
    </w:p>
    <w:p w:rsidR="00744A1C" w:rsidRDefault="00E378DD" w:rsidP="00E378DD">
      <w:pPr>
        <w:pStyle w:val="libFootnote0"/>
        <w:rPr>
          <w:lang w:bidi="fa-IR"/>
        </w:rPr>
      </w:pPr>
      <w:r>
        <w:rPr>
          <w:rtl/>
          <w:lang w:bidi="fa-IR"/>
        </w:rPr>
        <w:t>(3).</w:t>
      </w:r>
      <w:r w:rsidR="00744A1C">
        <w:rPr>
          <w:rtl/>
          <w:lang w:bidi="fa-IR"/>
        </w:rPr>
        <w:t xml:space="preserve"> هكذا في جميع النسخ التي قوبلت </w:t>
      </w:r>
      <w:r w:rsidR="00744A1C" w:rsidRPr="00B85AA9">
        <w:rPr>
          <w:rtl/>
        </w:rPr>
        <w:t>والوافي وكامل الزيارات</w:t>
      </w:r>
      <w:r w:rsidR="00744A1C">
        <w:rPr>
          <w:rtl/>
          <w:lang w:bidi="fa-IR"/>
        </w:rPr>
        <w:t xml:space="preserve"> ، ص 201. وفي المطبوع : « وأشهد ».</w:t>
      </w:r>
    </w:p>
    <w:p w:rsidR="00744A1C" w:rsidRDefault="00E378DD" w:rsidP="00E378DD">
      <w:pPr>
        <w:pStyle w:val="libFootnote0"/>
        <w:rPr>
          <w:lang w:bidi="fa-IR"/>
        </w:rPr>
      </w:pPr>
      <w:r>
        <w:rPr>
          <w:rtl/>
          <w:lang w:bidi="fa-IR"/>
        </w:rPr>
        <w:t>(4).</w:t>
      </w:r>
      <w:r w:rsidR="00744A1C">
        <w:rPr>
          <w:rtl/>
          <w:lang w:bidi="fa-IR"/>
        </w:rPr>
        <w:t xml:space="preserve"> في « ى » : « مع جهادك » بدل « معك جهاد ».</w:t>
      </w:r>
    </w:p>
    <w:p w:rsidR="00744A1C" w:rsidRDefault="00E378DD" w:rsidP="00E378DD">
      <w:pPr>
        <w:pStyle w:val="libFootnote0"/>
        <w:rPr>
          <w:lang w:bidi="fa-IR"/>
        </w:rPr>
      </w:pPr>
      <w:r>
        <w:rPr>
          <w:rtl/>
          <w:lang w:bidi="fa-IR"/>
        </w:rPr>
        <w:t>(5).</w:t>
      </w:r>
      <w:r w:rsidR="00744A1C">
        <w:rPr>
          <w:rtl/>
          <w:lang w:bidi="fa-IR"/>
        </w:rPr>
        <w:t xml:space="preserve"> في « بخ ، بف ، جد » </w:t>
      </w:r>
      <w:r w:rsidR="00744A1C" w:rsidRPr="00B85AA9">
        <w:rPr>
          <w:rtl/>
        </w:rPr>
        <w:t>والوافي :</w:t>
      </w:r>
      <w:r w:rsidR="00744A1C">
        <w:rPr>
          <w:rtl/>
          <w:lang w:bidi="fa-IR"/>
        </w:rPr>
        <w:t xml:space="preserve"> « فتسلّم ».</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 xml:space="preserve">أَنْتُمْ لَنَا فَرَطٌ </w:t>
      </w:r>
      <w:r w:rsidRPr="00D10E3C">
        <w:rPr>
          <w:rStyle w:val="libFootnotenumChar"/>
          <w:rtl/>
        </w:rPr>
        <w:t>(1)</w:t>
      </w:r>
      <w:r>
        <w:rPr>
          <w:rtl/>
          <w:lang w:bidi="fa-IR"/>
        </w:rPr>
        <w:t xml:space="preserve"> ، وَنَحْنُ لَكُمْ تَبَعٌ ، وَنَحْنُ لَكُمْ خَلَفٌ وَأَنْصَارٌ ، أَشْهَدُ أَنَّكُمْ أَنْصَارُ اللهِ وَسَادَةُ الشُّهَدَاءِ فِي الدُّنْيَا وَالْآخِرَةِ ، فَإِنَّكُمْ أَنْصَارُ اللهِ ، كَمَا قَالَ اللهُ عَزَّ وَجَلَّ : </w:t>
      </w:r>
      <w:r w:rsidRPr="00B85AA9">
        <w:rPr>
          <w:rStyle w:val="libAlaemChar"/>
          <w:rtl/>
        </w:rPr>
        <w:t>(</w:t>
      </w:r>
      <w:r w:rsidRPr="00B85AA9">
        <w:rPr>
          <w:rStyle w:val="libAieChar"/>
          <w:rtl/>
        </w:rPr>
        <w:t xml:space="preserve"> وَ</w:t>
      </w:r>
      <w:r w:rsidR="00B85AA9" w:rsidRPr="00B85AA9">
        <w:rPr>
          <w:rStyle w:val="libAieChar"/>
          <w:rFonts w:hint="cs"/>
          <w:rtl/>
        </w:rPr>
        <w:t xml:space="preserve"> </w:t>
      </w:r>
      <w:r w:rsidRPr="00B85AA9">
        <w:rPr>
          <w:rStyle w:val="libAieChar"/>
          <w:rtl/>
        </w:rPr>
        <w:t xml:space="preserve">كَأَيِّنْ مِنْ نَبِيٍّ قاتَلَ مَعَهُ رِبِّيُّونَ كَثِيرٌ فَما وَهَنُوا لِما أَصابَهُمْ فِي سَبِيلِ اللهِ وَما ضَعُفُوا وَمَا اسْتَكانُوا </w:t>
      </w:r>
      <w:r w:rsidRPr="00B85AA9">
        <w:rPr>
          <w:rStyle w:val="libAlaemChar"/>
          <w:rtl/>
        </w:rPr>
        <w:t>)</w:t>
      </w:r>
      <w:r>
        <w:rPr>
          <w:rtl/>
          <w:lang w:bidi="fa-IR"/>
        </w:rPr>
        <w:t xml:space="preserve"> </w:t>
      </w:r>
      <w:r w:rsidRPr="00D10E3C">
        <w:rPr>
          <w:rStyle w:val="libFootnotenumChar"/>
          <w:rtl/>
        </w:rPr>
        <w:t>(2)</w:t>
      </w:r>
      <w:r>
        <w:rPr>
          <w:rtl/>
          <w:lang w:bidi="fa-IR"/>
        </w:rPr>
        <w:t xml:space="preserve"> وَمَا ضَعُفْتُمْ وَمَا اسْتَكَنْتُمْ حَتّى لَقِيتُمُ اللهَ عَلى سَبِيلِ الْحَقِّ وَنُصْرَةِ كَلِمَةِ اللهِ التَّامَّةِ ، صَلَّى اللهُ عَلى أَرْوَاحِكُمْ وَأَبْدَانِكُمْ وَسَلَّمَ تَسْلِيماً. أَبْشِرُوا بِمَوْعِدِ </w:t>
      </w:r>
      <w:r w:rsidRPr="00D10E3C">
        <w:rPr>
          <w:rStyle w:val="libFootnotenumChar"/>
          <w:rtl/>
        </w:rPr>
        <w:t>(3)</w:t>
      </w:r>
      <w:r>
        <w:rPr>
          <w:rtl/>
          <w:lang w:bidi="fa-IR"/>
        </w:rPr>
        <w:t xml:space="preserve"> اللهِ </w:t>
      </w:r>
      <w:r w:rsidRPr="00D10E3C">
        <w:rPr>
          <w:rStyle w:val="libFootnotenumChar"/>
          <w:rtl/>
        </w:rPr>
        <w:t>(4)</w:t>
      </w:r>
      <w:r>
        <w:rPr>
          <w:rtl/>
          <w:lang w:bidi="fa-IR"/>
        </w:rPr>
        <w:t xml:space="preserve"> الَّذِي لَاخُلْفَ لَهُ إِنَّهُ لَا يُخْلِفُ الْمِيعَادَ ، وَاللهُ </w:t>
      </w:r>
      <w:r w:rsidRPr="00D10E3C">
        <w:rPr>
          <w:rStyle w:val="libFootnotenumChar"/>
          <w:rtl/>
        </w:rPr>
        <w:t>(5)</w:t>
      </w:r>
      <w:r>
        <w:rPr>
          <w:rtl/>
          <w:lang w:bidi="fa-IR"/>
        </w:rPr>
        <w:t xml:space="preserve"> مُدْرِكٌ لَكُمْ </w:t>
      </w:r>
      <w:r w:rsidRPr="00D10E3C">
        <w:rPr>
          <w:rStyle w:val="libFootnotenumChar"/>
          <w:rtl/>
        </w:rPr>
        <w:t>(6)</w:t>
      </w:r>
      <w:r>
        <w:rPr>
          <w:rtl/>
          <w:lang w:bidi="fa-IR"/>
        </w:rPr>
        <w:t xml:space="preserve"> بِثَارِ مَا وَعَدَكُمْ ، أَنْتُمْ سَادَةُ الشُّهَدَاءِ فِي الدُّنْيَا وَالْآخِرَةِ ، أَنْتُمُ </w:t>
      </w:r>
      <w:r w:rsidRPr="00D10E3C">
        <w:rPr>
          <w:rStyle w:val="libFootnotenumChar"/>
          <w:rtl/>
        </w:rPr>
        <w:t>(7)</w:t>
      </w:r>
      <w:r>
        <w:rPr>
          <w:rtl/>
          <w:lang w:bidi="fa-IR"/>
        </w:rPr>
        <w:t xml:space="preserve"> السَّابِقُونَ وَالْمُهَاجِرُونَ وَالْأَنْصَارُ ، أَشْهَدُ أَنَّكُمْ قَدْ جَاهَدْتُمْ فِي سَبِيلِ اللهِ ، وَقُتِلْتُمْ عَلى مِنْهَاجِ رَسُولِ اللهِ </w:t>
      </w:r>
      <w:r w:rsidR="005E465D" w:rsidRPr="005E465D">
        <w:rPr>
          <w:rStyle w:val="libAlaemChar"/>
          <w:rtl/>
        </w:rPr>
        <w:t>صلى‌الله‌عليه‌وآله</w:t>
      </w:r>
      <w:r w:rsidR="00D10E3C">
        <w:rPr>
          <w:rtl/>
          <w:lang w:bidi="fa-IR"/>
        </w:rPr>
        <w:t xml:space="preserve"> </w:t>
      </w:r>
      <w:r>
        <w:rPr>
          <w:rtl/>
          <w:lang w:bidi="fa-IR"/>
        </w:rPr>
        <w:t xml:space="preserve">وَابْنِ </w:t>
      </w:r>
      <w:r w:rsidRPr="00D10E3C">
        <w:rPr>
          <w:rStyle w:val="libFootnotenumChar"/>
          <w:rtl/>
        </w:rPr>
        <w:t>(8)</w:t>
      </w:r>
      <w:r>
        <w:rPr>
          <w:rtl/>
          <w:lang w:bidi="fa-IR"/>
        </w:rPr>
        <w:t xml:space="preserve"> رَسُولِ اللهِ ، </w:t>
      </w:r>
      <w:r w:rsidR="002F3447" w:rsidRPr="00A6581D">
        <w:rPr>
          <w:rStyle w:val="libNormalChar"/>
          <w:rtl/>
        </w:rPr>
        <w:t>صل</w:t>
      </w:r>
      <w:r w:rsidR="00A6581D">
        <w:rPr>
          <w:rStyle w:val="libNormalChar"/>
          <w:rFonts w:hint="cs"/>
          <w:rtl/>
        </w:rPr>
        <w:t>ّ</w:t>
      </w:r>
      <w:r w:rsidR="002F3447" w:rsidRPr="00A6581D">
        <w:rPr>
          <w:rStyle w:val="libNormalChar"/>
          <w:rtl/>
        </w:rPr>
        <w:t>ى‌</w:t>
      </w:r>
      <w:r w:rsidR="00A6581D">
        <w:rPr>
          <w:rStyle w:val="libNormalChar"/>
          <w:rFonts w:hint="cs"/>
          <w:rtl/>
        </w:rPr>
        <w:t xml:space="preserve"> </w:t>
      </w:r>
      <w:r w:rsidR="002F3447" w:rsidRPr="00A6581D">
        <w:rPr>
          <w:rStyle w:val="libNormalChar"/>
          <w:rtl/>
        </w:rPr>
        <w:t>الله‌</w:t>
      </w:r>
      <w:r w:rsidR="00A6581D">
        <w:rPr>
          <w:rStyle w:val="libNormalChar"/>
          <w:rFonts w:hint="cs"/>
          <w:rtl/>
        </w:rPr>
        <w:t xml:space="preserve"> </w:t>
      </w:r>
      <w:r w:rsidR="002F3447" w:rsidRPr="00A6581D">
        <w:rPr>
          <w:rStyle w:val="libNormalChar"/>
          <w:rtl/>
        </w:rPr>
        <w:t>ع</w:t>
      </w:r>
      <w:r w:rsidR="00A6581D">
        <w:rPr>
          <w:rStyle w:val="libNormalChar"/>
          <w:rFonts w:hint="cs"/>
          <w:rtl/>
        </w:rPr>
        <w:t>َ</w:t>
      </w:r>
      <w:r w:rsidR="002F3447" w:rsidRPr="00A6581D">
        <w:rPr>
          <w:rStyle w:val="libNormalChar"/>
          <w:rtl/>
        </w:rPr>
        <w:t>ليه</w:t>
      </w:r>
      <w:r w:rsidR="00A6581D">
        <w:rPr>
          <w:rStyle w:val="libNormalChar"/>
          <w:rFonts w:hint="cs"/>
          <w:rtl/>
        </w:rPr>
        <w:t xml:space="preserve"> </w:t>
      </w:r>
      <w:r w:rsidR="002F3447" w:rsidRPr="00A6581D">
        <w:rPr>
          <w:rStyle w:val="libNormalChar"/>
          <w:rtl/>
        </w:rPr>
        <w:t>‌و</w:t>
      </w:r>
      <w:r w:rsidR="00A6581D">
        <w:rPr>
          <w:rStyle w:val="libNormalChar"/>
          <w:rFonts w:hint="cs"/>
          <w:rtl/>
        </w:rPr>
        <w:t>َ</w:t>
      </w:r>
      <w:r w:rsidR="002F3447" w:rsidRPr="00A6581D">
        <w:rPr>
          <w:rStyle w:val="libNormalChar"/>
          <w:rtl/>
        </w:rPr>
        <w:t>آله</w:t>
      </w:r>
      <w:r>
        <w:rPr>
          <w:rtl/>
          <w:lang w:bidi="fa-IR"/>
        </w:rPr>
        <w:t xml:space="preserve"> وَسَلَّمَ تَسْلِيماً ، الْحَمْدُ لِلَّهِ الَّذِي صَدَقَكُمْ وَعْدَهُ ، وَأَرَاكُمْ مَا تُحِبُّونَ.</w:t>
      </w:r>
    </w:p>
    <w:p w:rsidR="00744A1C" w:rsidRDefault="00744A1C" w:rsidP="00744A1C">
      <w:pPr>
        <w:pStyle w:val="libNormal"/>
        <w:rPr>
          <w:lang w:bidi="fa-IR"/>
        </w:rPr>
      </w:pPr>
      <w:r>
        <w:rPr>
          <w:rtl/>
          <w:lang w:bidi="fa-IR"/>
        </w:rPr>
        <w:t xml:space="preserve">ثُمَّ تَرْجِعُ إِلَى الْقَبْرِ ، وَتَقُولُ </w:t>
      </w:r>
      <w:r w:rsidRPr="00D10E3C">
        <w:rPr>
          <w:rStyle w:val="libFootnotenumChar"/>
          <w:rtl/>
        </w:rPr>
        <w:t>(9)</w:t>
      </w:r>
      <w:r>
        <w:rPr>
          <w:rtl/>
          <w:lang w:bidi="fa-IR"/>
        </w:rPr>
        <w:t xml:space="preserve"> : أَتَيْتُكَ يَا حَبِيبَ رَسُولِ اللهِ وَابْنَ رَسُولِهِ ، وَإِنِّي بِكَ عَارِفٌ ، وَبِحَقِّكَ </w:t>
      </w:r>
      <w:r w:rsidRPr="00D10E3C">
        <w:rPr>
          <w:rStyle w:val="libFootnotenumChar"/>
          <w:rtl/>
        </w:rPr>
        <w:t>(10)</w:t>
      </w:r>
      <w:r>
        <w:rPr>
          <w:rtl/>
          <w:lang w:bidi="fa-IR"/>
        </w:rPr>
        <w:t xml:space="preserve"> مُقِرٌّ </w:t>
      </w:r>
      <w:r w:rsidRPr="00D10E3C">
        <w:rPr>
          <w:rStyle w:val="libFootnotenumChar"/>
          <w:rtl/>
        </w:rPr>
        <w:t>(11)</w:t>
      </w:r>
      <w:r>
        <w:rPr>
          <w:rtl/>
          <w:lang w:bidi="fa-IR"/>
        </w:rPr>
        <w:t xml:space="preserve"> ، وَبِفَضْلِكَ </w:t>
      </w:r>
      <w:r w:rsidRPr="00D10E3C">
        <w:rPr>
          <w:rStyle w:val="libFootnotenumChar"/>
          <w:rtl/>
        </w:rPr>
        <w:t>(12)</w:t>
      </w:r>
      <w:r>
        <w:rPr>
          <w:rtl/>
          <w:lang w:bidi="fa-IR"/>
        </w:rPr>
        <w:t xml:space="preserve"> مُسْتَبْصِرٌ بِضَلَالَةِ مَنْ خَالَفَكَ </w:t>
      </w:r>
      <w:r w:rsidRPr="00D10E3C">
        <w:rPr>
          <w:rStyle w:val="libFootnotenumChar"/>
          <w:rtl/>
        </w:rPr>
        <w:t>(13)</w:t>
      </w:r>
      <w:r>
        <w:rPr>
          <w:rtl/>
          <w:lang w:bidi="fa-IR"/>
        </w:rPr>
        <w:t xml:space="preserve"> ، عَارِفٌ بِالْهُدَى الَّذِي أَنْتُمْ </w:t>
      </w:r>
      <w:r w:rsidRPr="00D10E3C">
        <w:rPr>
          <w:rStyle w:val="libFootnotenumChar"/>
          <w:rtl/>
        </w:rPr>
        <w:t>(14)</w:t>
      </w:r>
      <w:r>
        <w:rPr>
          <w:rtl/>
          <w:lang w:bidi="fa-IR"/>
        </w:rPr>
        <w:t xml:space="preserve"> عَلَيْهِ ، بِأَبِي أَنْتَ وَأُمِّي وَنَفْسِي. الل</w:t>
      </w:r>
      <w:r w:rsidR="00037C2B">
        <w:rPr>
          <w:rFonts w:hint="cs"/>
          <w:rtl/>
          <w:lang w:bidi="fa-IR"/>
        </w:rPr>
        <w:t>ّ</w:t>
      </w:r>
      <w:r>
        <w:rPr>
          <w:rtl/>
          <w:lang w:bidi="fa-IR"/>
        </w:rPr>
        <w:t>هُمَّ إِنِّي أُصَلِّي عَلَيْهِ كَمَا صَلَّيْتَ عَلَيْهِ أَنْتَ‌</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الفَرَطُ - محرّكة - : الذي يتقدّم القوم ويسبقهم. راجع : </w:t>
      </w:r>
      <w:r w:rsidR="00744A1C" w:rsidRPr="00877682">
        <w:rPr>
          <w:rStyle w:val="libFootnoteBoldChar"/>
          <w:rtl/>
        </w:rPr>
        <w:t>النهاية</w:t>
      </w:r>
      <w:r w:rsidR="00744A1C">
        <w:rPr>
          <w:rtl/>
          <w:lang w:bidi="fa-IR"/>
        </w:rPr>
        <w:t xml:space="preserve"> ، ج 3 ، ص 434 ( فرط ).</w:t>
      </w:r>
    </w:p>
    <w:p w:rsidR="00744A1C" w:rsidRDefault="00E378DD" w:rsidP="00E378DD">
      <w:pPr>
        <w:pStyle w:val="libFootnote0"/>
        <w:rPr>
          <w:lang w:bidi="fa-IR"/>
        </w:rPr>
      </w:pPr>
      <w:r>
        <w:rPr>
          <w:rtl/>
          <w:lang w:bidi="fa-IR"/>
        </w:rPr>
        <w:t>(2).</w:t>
      </w:r>
      <w:r w:rsidR="00744A1C">
        <w:rPr>
          <w:rtl/>
          <w:lang w:bidi="fa-IR"/>
        </w:rPr>
        <w:t xml:space="preserve"> آل عمران </w:t>
      </w:r>
      <w:r w:rsidR="002A40A8">
        <w:rPr>
          <w:rtl/>
          <w:lang w:bidi="fa-IR"/>
        </w:rPr>
        <w:t>(3)</w:t>
      </w:r>
      <w:r w:rsidR="00744A1C">
        <w:rPr>
          <w:rtl/>
          <w:lang w:bidi="fa-IR"/>
        </w:rPr>
        <w:t xml:space="preserve"> : 146. وفي « بث » : +</w:t>
      </w:r>
      <w:r w:rsidR="002A40A8">
        <w:rPr>
          <w:rFonts w:hint="cs"/>
          <w:rtl/>
          <w:lang w:bidi="fa-IR"/>
        </w:rPr>
        <w:t xml:space="preserve"> </w:t>
      </w:r>
      <w:r w:rsidR="00744A1C" w:rsidRPr="002A40A8">
        <w:rPr>
          <w:rStyle w:val="libFootnoteAlaemChar"/>
          <w:rtl/>
        </w:rPr>
        <w:t>(</w:t>
      </w:r>
      <w:r w:rsidR="00744A1C" w:rsidRPr="002A40A8">
        <w:rPr>
          <w:rStyle w:val="libFootnoteAieChar"/>
          <w:rtl/>
        </w:rPr>
        <w:t xml:space="preserve"> وَ</w:t>
      </w:r>
      <w:r w:rsidR="002A40A8" w:rsidRPr="002A40A8">
        <w:rPr>
          <w:rStyle w:val="libFootnoteAieChar"/>
          <w:rFonts w:hint="cs"/>
          <w:rtl/>
        </w:rPr>
        <w:t xml:space="preserve"> </w:t>
      </w:r>
      <w:r w:rsidR="00744A1C" w:rsidRPr="002A40A8">
        <w:rPr>
          <w:rStyle w:val="libFootnoteAieChar"/>
          <w:rtl/>
        </w:rPr>
        <w:t xml:space="preserve">اللهُ يُحِبُّ الصّابِرِينَ </w:t>
      </w:r>
      <w:r w:rsidR="00744A1C" w:rsidRPr="002A40A8">
        <w:rPr>
          <w:rStyle w:val="libFootnoteAlaemChar"/>
          <w:rtl/>
        </w:rPr>
        <w:t>)</w:t>
      </w:r>
      <w:r w:rsidR="00744A1C">
        <w:rPr>
          <w:rtl/>
          <w:lang w:bidi="fa-IR"/>
        </w:rPr>
        <w:t>. وفي « بخ » : +</w:t>
      </w:r>
      <w:r w:rsidR="00744A1C" w:rsidRPr="002A40A8">
        <w:rPr>
          <w:rStyle w:val="libFootnoteAlaemChar"/>
          <w:rtl/>
        </w:rPr>
        <w:t>(</w:t>
      </w:r>
      <w:r w:rsidR="00744A1C" w:rsidRPr="002A40A8">
        <w:rPr>
          <w:rStyle w:val="libFootnoteAieChar"/>
          <w:rtl/>
        </w:rPr>
        <w:t xml:space="preserve"> وَ</w:t>
      </w:r>
      <w:r w:rsidR="002A40A8" w:rsidRPr="002A40A8">
        <w:rPr>
          <w:rStyle w:val="libFootnoteAieChar"/>
          <w:rFonts w:hint="cs"/>
          <w:rtl/>
        </w:rPr>
        <w:t xml:space="preserve"> </w:t>
      </w:r>
      <w:r w:rsidR="00744A1C" w:rsidRPr="002A40A8">
        <w:rPr>
          <w:rStyle w:val="libFootnoteAieChar"/>
          <w:rtl/>
        </w:rPr>
        <w:t xml:space="preserve">اللهُ يُحِبُّ الْمُحْسِنِينَ </w:t>
      </w:r>
      <w:r w:rsidR="00744A1C" w:rsidRPr="002A40A8">
        <w:rPr>
          <w:rStyle w:val="libFootnoteAlaemChar"/>
          <w:rtl/>
        </w:rPr>
        <w:t>)</w:t>
      </w:r>
      <w:r w:rsidR="00744A1C">
        <w:rPr>
          <w:rtl/>
          <w:lang w:bidi="fa-IR"/>
        </w:rPr>
        <w:t xml:space="preserve">. و « استكانوا » ، أي تضرّعوا. راجع : </w:t>
      </w:r>
      <w:r w:rsidR="00744A1C" w:rsidRPr="002D57AD">
        <w:rPr>
          <w:rStyle w:val="libFootnoteBoldChar"/>
          <w:rtl/>
        </w:rPr>
        <w:t>المفردات للراغب</w:t>
      </w:r>
      <w:r w:rsidR="00744A1C">
        <w:rPr>
          <w:rtl/>
          <w:lang w:bidi="fa-IR"/>
        </w:rPr>
        <w:t xml:space="preserve"> ، ص 731 ( كان ).</w:t>
      </w:r>
    </w:p>
    <w:p w:rsidR="00744A1C" w:rsidRDefault="00E378DD" w:rsidP="00E378DD">
      <w:pPr>
        <w:pStyle w:val="libFootnote0"/>
        <w:rPr>
          <w:lang w:bidi="fa-IR"/>
        </w:rPr>
      </w:pPr>
      <w:r>
        <w:rPr>
          <w:rtl/>
          <w:lang w:bidi="fa-IR"/>
        </w:rPr>
        <w:t>(3).</w:t>
      </w:r>
      <w:r w:rsidR="00744A1C">
        <w:rPr>
          <w:rtl/>
          <w:lang w:bidi="fa-IR"/>
        </w:rPr>
        <w:t xml:space="preserve"> في « بخ » : « لموعد ».</w:t>
      </w:r>
    </w:p>
    <w:p w:rsidR="00744A1C" w:rsidRDefault="00E378DD" w:rsidP="00E378DD">
      <w:pPr>
        <w:pStyle w:val="libFootnote0"/>
        <w:rPr>
          <w:lang w:bidi="fa-IR"/>
        </w:rPr>
      </w:pPr>
      <w:r>
        <w:rPr>
          <w:rtl/>
          <w:lang w:bidi="fa-IR"/>
        </w:rPr>
        <w:t>(4).</w:t>
      </w:r>
      <w:r w:rsidR="00744A1C">
        <w:rPr>
          <w:rtl/>
          <w:lang w:bidi="fa-IR"/>
        </w:rPr>
        <w:t xml:space="preserve"> في « بث » : - « الله ».</w:t>
      </w:r>
    </w:p>
    <w:tbl>
      <w:tblPr>
        <w:tblStyle w:val="TableGrid"/>
        <w:bidiVisual/>
        <w:tblW w:w="0" w:type="auto"/>
        <w:tblLook w:val="04A0" w:firstRow="1" w:lastRow="0" w:firstColumn="1" w:lastColumn="0" w:noHBand="0" w:noVBand="1"/>
      </w:tblPr>
      <w:tblGrid>
        <w:gridCol w:w="4006"/>
        <w:gridCol w:w="4006"/>
      </w:tblGrid>
      <w:tr w:rsidR="002A40A8" w:rsidTr="002A40A8">
        <w:tc>
          <w:tcPr>
            <w:tcW w:w="4006" w:type="dxa"/>
          </w:tcPr>
          <w:p w:rsidR="002A40A8" w:rsidRDefault="002A40A8" w:rsidP="00E378DD">
            <w:pPr>
              <w:pStyle w:val="libFootnote0"/>
              <w:rPr>
                <w:rtl/>
                <w:lang w:bidi="fa-IR"/>
              </w:rPr>
            </w:pPr>
            <w:r>
              <w:rPr>
                <w:rtl/>
                <w:lang w:bidi="fa-IR"/>
              </w:rPr>
              <w:t xml:space="preserve">(5). في « بح » </w:t>
            </w:r>
            <w:r w:rsidRPr="002A40A8">
              <w:rPr>
                <w:rtl/>
              </w:rPr>
              <w:t xml:space="preserve">والوافي </w:t>
            </w:r>
            <w:r>
              <w:rPr>
                <w:rtl/>
                <w:lang w:bidi="fa-IR"/>
              </w:rPr>
              <w:t>: « وإنّ الله ».</w:t>
            </w:r>
          </w:p>
        </w:tc>
        <w:tc>
          <w:tcPr>
            <w:tcW w:w="4006" w:type="dxa"/>
          </w:tcPr>
          <w:p w:rsidR="002A40A8" w:rsidRDefault="002A40A8" w:rsidP="00E378DD">
            <w:pPr>
              <w:pStyle w:val="libFootnote0"/>
              <w:rPr>
                <w:rtl/>
                <w:lang w:bidi="fa-IR"/>
              </w:rPr>
            </w:pPr>
            <w:r>
              <w:rPr>
                <w:rtl/>
                <w:lang w:bidi="fa-IR"/>
              </w:rPr>
              <w:t>(6). في « بث » : - « لكم ».</w:t>
            </w:r>
          </w:p>
        </w:tc>
      </w:tr>
      <w:tr w:rsidR="002A40A8" w:rsidTr="002A40A8">
        <w:tc>
          <w:tcPr>
            <w:tcW w:w="4006" w:type="dxa"/>
          </w:tcPr>
          <w:p w:rsidR="002A40A8" w:rsidRDefault="002A40A8" w:rsidP="00E378DD">
            <w:pPr>
              <w:pStyle w:val="libFootnote0"/>
              <w:rPr>
                <w:rtl/>
                <w:lang w:bidi="fa-IR"/>
              </w:rPr>
            </w:pPr>
            <w:r>
              <w:rPr>
                <w:rtl/>
                <w:lang w:bidi="fa-IR"/>
              </w:rPr>
              <w:t>(7). في « بح » : « وأنتم ».</w:t>
            </w:r>
          </w:p>
        </w:tc>
        <w:tc>
          <w:tcPr>
            <w:tcW w:w="4006" w:type="dxa"/>
          </w:tcPr>
          <w:p w:rsidR="002A40A8" w:rsidRDefault="002A40A8" w:rsidP="00E378DD">
            <w:pPr>
              <w:pStyle w:val="libFootnote0"/>
              <w:rPr>
                <w:rtl/>
                <w:lang w:bidi="fa-IR"/>
              </w:rPr>
            </w:pPr>
            <w:r>
              <w:rPr>
                <w:rtl/>
                <w:lang w:bidi="fa-IR"/>
              </w:rPr>
              <w:t>(8). في «بح،بخ،بس،بف،جد»و</w:t>
            </w:r>
            <w:r w:rsidRPr="00C24F9C">
              <w:rPr>
                <w:rStyle w:val="libFootnoteBoldChar"/>
                <w:rtl/>
              </w:rPr>
              <w:t>الوافي</w:t>
            </w:r>
            <w:r>
              <w:rPr>
                <w:rtl/>
                <w:lang w:bidi="fa-IR"/>
              </w:rPr>
              <w:t>:«ومنهاج ابن».</w:t>
            </w:r>
          </w:p>
        </w:tc>
      </w:tr>
      <w:tr w:rsidR="002A40A8" w:rsidTr="002A40A8">
        <w:tc>
          <w:tcPr>
            <w:tcW w:w="4006" w:type="dxa"/>
          </w:tcPr>
          <w:p w:rsidR="002A40A8" w:rsidRDefault="00370B7F" w:rsidP="00E378DD">
            <w:pPr>
              <w:pStyle w:val="libFootnote0"/>
              <w:rPr>
                <w:rtl/>
                <w:lang w:bidi="fa-IR"/>
              </w:rPr>
            </w:pPr>
            <w:r>
              <w:rPr>
                <w:rtl/>
                <w:lang w:bidi="fa-IR"/>
              </w:rPr>
              <w:t>(9). في «ى،بح،بخ،بس ، بف ، جد » : « فتقول ».</w:t>
            </w:r>
          </w:p>
        </w:tc>
        <w:tc>
          <w:tcPr>
            <w:tcW w:w="4006" w:type="dxa"/>
          </w:tcPr>
          <w:p w:rsidR="002A40A8" w:rsidRDefault="00370B7F" w:rsidP="00E378DD">
            <w:pPr>
              <w:pStyle w:val="libFootnote0"/>
              <w:rPr>
                <w:rtl/>
                <w:lang w:bidi="fa-IR"/>
              </w:rPr>
            </w:pPr>
            <w:r>
              <w:rPr>
                <w:rtl/>
                <w:lang w:bidi="fa-IR"/>
              </w:rPr>
              <w:t xml:space="preserve">(10). في </w:t>
            </w:r>
            <w:r w:rsidRPr="00C24F9C">
              <w:rPr>
                <w:rStyle w:val="libFootnoteBoldChar"/>
                <w:rtl/>
              </w:rPr>
              <w:t>الوافي</w:t>
            </w:r>
            <w:r>
              <w:rPr>
                <w:rtl/>
                <w:lang w:bidi="fa-IR"/>
              </w:rPr>
              <w:t xml:space="preserve"> : « وإنّي مؤمن بك ، عارف بحقّك ».</w:t>
            </w:r>
          </w:p>
        </w:tc>
      </w:tr>
    </w:tbl>
    <w:p w:rsidR="00744A1C" w:rsidRDefault="00E378DD" w:rsidP="00E378DD">
      <w:pPr>
        <w:pStyle w:val="libFootnote0"/>
        <w:rPr>
          <w:lang w:bidi="fa-IR"/>
        </w:rPr>
      </w:pPr>
      <w:r>
        <w:rPr>
          <w:rtl/>
          <w:lang w:bidi="fa-IR"/>
        </w:rPr>
        <w:t>(11).</w:t>
      </w:r>
      <w:r w:rsidR="00744A1C">
        <w:rPr>
          <w:rtl/>
          <w:lang w:bidi="fa-IR"/>
        </w:rPr>
        <w:t xml:space="preserve"> في « بف » و</w:t>
      </w:r>
      <w:r w:rsidR="00744A1C" w:rsidRPr="00C24F9C">
        <w:rPr>
          <w:rStyle w:val="libFootnoteBoldChar"/>
          <w:rtl/>
        </w:rPr>
        <w:t>الوافي</w:t>
      </w:r>
      <w:r w:rsidR="00744A1C">
        <w:rPr>
          <w:rtl/>
          <w:lang w:bidi="fa-IR"/>
        </w:rPr>
        <w:t xml:space="preserve"> : « معترف ».</w:t>
      </w:r>
    </w:p>
    <w:p w:rsidR="00744A1C" w:rsidRDefault="00E378DD" w:rsidP="00E378DD">
      <w:pPr>
        <w:pStyle w:val="libFootnote0"/>
        <w:rPr>
          <w:lang w:bidi="fa-IR"/>
        </w:rPr>
      </w:pPr>
      <w:r>
        <w:rPr>
          <w:rtl/>
          <w:lang w:bidi="fa-IR"/>
        </w:rPr>
        <w:t>(12).</w:t>
      </w:r>
      <w:r w:rsidR="00744A1C">
        <w:rPr>
          <w:rtl/>
          <w:lang w:bidi="fa-IR"/>
        </w:rPr>
        <w:t xml:space="preserve"> هكذا في جميع النسخ التي قوبلت </w:t>
      </w:r>
      <w:r w:rsidR="00744A1C" w:rsidRPr="00370B7F">
        <w:rPr>
          <w:rtl/>
        </w:rPr>
        <w:t>وكامل الزيارات. وفي</w:t>
      </w:r>
      <w:r w:rsidR="00744A1C">
        <w:rPr>
          <w:rtl/>
          <w:lang w:bidi="fa-IR"/>
        </w:rPr>
        <w:t xml:space="preserve"> المطبوع و</w:t>
      </w:r>
      <w:r w:rsidR="00744A1C" w:rsidRPr="00C24F9C">
        <w:rPr>
          <w:rStyle w:val="libFootnoteBoldChar"/>
          <w:rtl/>
        </w:rPr>
        <w:t>الوافي</w:t>
      </w:r>
      <w:r w:rsidR="00744A1C">
        <w:rPr>
          <w:rtl/>
          <w:lang w:bidi="fa-IR"/>
        </w:rPr>
        <w:t xml:space="preserve"> : « بفضلك » بدون الواو.</w:t>
      </w:r>
    </w:p>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الوافي</w:t>
      </w:r>
      <w:r w:rsidR="00744A1C">
        <w:rPr>
          <w:rtl/>
          <w:lang w:bidi="fa-IR"/>
        </w:rPr>
        <w:t xml:space="preserve"> : « وإنّي مؤمن بك ، عارف بحقّك ، معرف بفضلك مستبصر بضلالة من خالفك ». وفي </w:t>
      </w:r>
      <w:r w:rsidR="00744A1C" w:rsidRPr="007B299E">
        <w:rPr>
          <w:rStyle w:val="libFootnoteBoldChar"/>
          <w:rtl/>
        </w:rPr>
        <w:t>كامل الزيارات</w:t>
      </w:r>
      <w:r w:rsidR="00744A1C">
        <w:rPr>
          <w:rtl/>
          <w:lang w:bidi="fa-IR"/>
        </w:rPr>
        <w:t xml:space="preserve"> : « وإنّي لك عارف ، وبحقّك مقرّ ، وبفضلك مستبصر ، وبضلالة من خالفك موقن ».</w:t>
      </w:r>
    </w:p>
    <w:p w:rsidR="00744A1C" w:rsidRDefault="00E378DD" w:rsidP="00E378DD">
      <w:pPr>
        <w:pStyle w:val="libFootnote0"/>
        <w:rPr>
          <w:lang w:bidi="fa-IR"/>
        </w:rPr>
      </w:pPr>
      <w:r>
        <w:rPr>
          <w:rtl/>
          <w:lang w:bidi="fa-IR"/>
        </w:rPr>
        <w:t>(14).</w:t>
      </w:r>
      <w:r w:rsidR="00744A1C">
        <w:rPr>
          <w:rtl/>
          <w:lang w:bidi="fa-IR"/>
        </w:rPr>
        <w:t xml:space="preserve"> في </w:t>
      </w:r>
      <w:r w:rsidR="00744A1C" w:rsidRPr="00370B7F">
        <w:rPr>
          <w:rtl/>
        </w:rPr>
        <w:t>كامل الزيارات :</w:t>
      </w:r>
      <w:r w:rsidR="00744A1C">
        <w:rPr>
          <w:rtl/>
          <w:lang w:bidi="fa-IR"/>
        </w:rPr>
        <w:t xml:space="preserve"> « أنت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وَ</w:t>
      </w:r>
      <w:r w:rsidR="00370B7F">
        <w:rPr>
          <w:rFonts w:hint="cs"/>
          <w:rtl/>
          <w:lang w:bidi="fa-IR"/>
        </w:rPr>
        <w:t xml:space="preserve"> </w:t>
      </w:r>
      <w:r>
        <w:rPr>
          <w:rtl/>
          <w:lang w:bidi="fa-IR"/>
        </w:rPr>
        <w:t xml:space="preserve">رَسُولُكَ وَأَمِيرُ الْمُؤْمِنِينَ صَلَاةً مُتَتَابِعَةً مُتَوَاصِلَةً مُتَرَادِفَةً ، يَتْبَعُ </w:t>
      </w:r>
      <w:r w:rsidRPr="00D10E3C">
        <w:rPr>
          <w:rStyle w:val="libFootnotenumChar"/>
          <w:rtl/>
        </w:rPr>
        <w:t>(1)</w:t>
      </w:r>
      <w:r>
        <w:rPr>
          <w:rtl/>
          <w:lang w:bidi="fa-IR"/>
        </w:rPr>
        <w:t xml:space="preserve"> بَعْضُهَا بَعْضاً لَا انْقِطَاعَ لَهَا وَلَا أَمَدَ وَلَا أَجَلَ ، فِي مَحْضَرِنَا هذَا وَإِذَا غِبْنَا وَشَهِدْنَا </w:t>
      </w:r>
      <w:r w:rsidRPr="00D10E3C">
        <w:rPr>
          <w:rStyle w:val="libFootnotenumChar"/>
          <w:rtl/>
        </w:rPr>
        <w:t>(2)</w:t>
      </w:r>
      <w:r>
        <w:rPr>
          <w:rtl/>
          <w:lang w:bidi="fa-IR"/>
        </w:rPr>
        <w:t xml:space="preserve"> ، وَالسَّلَامُ عَلَيْكَ </w:t>
      </w:r>
      <w:r w:rsidRPr="00D10E3C">
        <w:rPr>
          <w:rStyle w:val="libFootnotenumChar"/>
          <w:rtl/>
        </w:rPr>
        <w:t>(3)</w:t>
      </w:r>
      <w:r>
        <w:rPr>
          <w:rtl/>
          <w:lang w:bidi="fa-IR"/>
        </w:rPr>
        <w:t xml:space="preserve"> وَرَحْمَةُ اللهِ وَبَرَكَاتُهُ.</w:t>
      </w:r>
    </w:p>
    <w:p w:rsidR="00144FA6" w:rsidRDefault="00744A1C" w:rsidP="00744A1C">
      <w:pPr>
        <w:pStyle w:val="libNormal"/>
        <w:rPr>
          <w:rtl/>
          <w:lang w:bidi="fa-IR"/>
        </w:rPr>
      </w:pPr>
      <w:r>
        <w:rPr>
          <w:rtl/>
          <w:lang w:bidi="fa-IR"/>
        </w:rPr>
        <w:t xml:space="preserve">وَإِذَا </w:t>
      </w:r>
      <w:r w:rsidRPr="00D10E3C">
        <w:rPr>
          <w:rStyle w:val="libFootnotenumChar"/>
          <w:rtl/>
        </w:rPr>
        <w:t>(4)</w:t>
      </w:r>
      <w:r>
        <w:rPr>
          <w:rtl/>
          <w:lang w:bidi="fa-IR"/>
        </w:rPr>
        <w:t xml:space="preserve"> أَرَدْتَ أَنْ تُوَدِّعَهُ ، فَقُلِ : السَّلَامُ عَلَيْكَ وَرَحْمَةُ اللهِ وَبَرَكَاتُهُ ، أَسْتَوْدِعُكَ اللهَ ، وَأَقْرَأُ عَلَيْكَ السَّلَامَ ، آمَنَّا بِاللهِ وَبِالرَّسُولِ وَبِمَا جِئْتَ بِهِ وَدَلَلْتَ عَلَيْهِ ، وَاتَّبَعْنَا الرَّسُولَ </w:t>
      </w:r>
      <w:r w:rsidRPr="00D10E3C">
        <w:rPr>
          <w:rStyle w:val="libFootnotenumChar"/>
          <w:rtl/>
        </w:rPr>
        <w:t>(5)</w:t>
      </w:r>
      <w:r>
        <w:rPr>
          <w:rtl/>
          <w:lang w:bidi="fa-IR"/>
        </w:rPr>
        <w:t xml:space="preserve"> ، فَاكْتُبْنَا مَعَ الشَّاهِدِينَ ، الل</w:t>
      </w:r>
      <w:r w:rsidR="00370B7F">
        <w:rPr>
          <w:rFonts w:hint="cs"/>
          <w:rtl/>
          <w:lang w:bidi="fa-IR"/>
        </w:rPr>
        <w:t>ّ</w:t>
      </w:r>
      <w:r>
        <w:rPr>
          <w:rtl/>
          <w:lang w:bidi="fa-IR"/>
        </w:rPr>
        <w:t>هُمَّ لَاتَجْعَلْهُ آخِرَ الْعَهْدِ مِنَّا وَمِنْهُ ، الل</w:t>
      </w:r>
      <w:r w:rsidR="00370B7F">
        <w:rPr>
          <w:rFonts w:hint="cs"/>
          <w:rtl/>
          <w:lang w:bidi="fa-IR"/>
        </w:rPr>
        <w:t>ّ</w:t>
      </w:r>
      <w:r>
        <w:rPr>
          <w:rtl/>
          <w:lang w:bidi="fa-IR"/>
        </w:rPr>
        <w:t xml:space="preserve">هُمَّ إِنِّي أَسْأَلُكَ أَنْ تَنْفَعَنَا بِحُبِّهِ </w:t>
      </w:r>
      <w:r w:rsidRPr="00D10E3C">
        <w:rPr>
          <w:rStyle w:val="libFootnotenumChar"/>
          <w:rtl/>
        </w:rPr>
        <w:t>(6)</w:t>
      </w:r>
      <w:r>
        <w:rPr>
          <w:rtl/>
          <w:lang w:bidi="fa-IR"/>
        </w:rPr>
        <w:t xml:space="preserve"> ، الل</w:t>
      </w:r>
      <w:r w:rsidR="00BC3EB7">
        <w:rPr>
          <w:rFonts w:hint="cs"/>
          <w:rtl/>
          <w:lang w:bidi="fa-IR"/>
        </w:rPr>
        <w:t>ّ</w:t>
      </w:r>
      <w:r>
        <w:rPr>
          <w:rtl/>
          <w:lang w:bidi="fa-IR"/>
        </w:rPr>
        <w:t xml:space="preserve">هُمَّ ابْعَثْهُ مَقَاماً مَحْمُوداً تَنْصُرُ بِهِ دِينَكَ ، وَتَقْتُلُ بِهِ عَدُوَّكَ ، وَتُبِيرُ </w:t>
      </w:r>
      <w:r w:rsidRPr="00D10E3C">
        <w:rPr>
          <w:rStyle w:val="libFootnotenumChar"/>
          <w:rtl/>
        </w:rPr>
        <w:t>(7)</w:t>
      </w:r>
      <w:r>
        <w:rPr>
          <w:rtl/>
          <w:lang w:bidi="fa-IR"/>
        </w:rPr>
        <w:t xml:space="preserve"> بِهِ مَنْ نَصَبَ حَرْباً لآِلِ مُحَمَّدٍ ؛ فَإِنَّكَ وَعَدْتَ ذلِكَ ، وَأَنْتَ </w:t>
      </w:r>
      <w:r w:rsidRPr="00D10E3C">
        <w:rPr>
          <w:rStyle w:val="libFootnotenumChar"/>
          <w:rtl/>
        </w:rPr>
        <w:t>(8)</w:t>
      </w:r>
      <w:r>
        <w:rPr>
          <w:rtl/>
          <w:lang w:bidi="fa-IR"/>
        </w:rPr>
        <w:t xml:space="preserve"> لَاتُخْلِفُ الْمِيعَادَ ، السَّلَامُ </w:t>
      </w:r>
      <w:r w:rsidRPr="00D10E3C">
        <w:rPr>
          <w:rStyle w:val="libFootnotenumChar"/>
          <w:rtl/>
        </w:rPr>
        <w:t>(9)</w:t>
      </w:r>
      <w:r>
        <w:rPr>
          <w:rtl/>
          <w:lang w:bidi="fa-IR"/>
        </w:rPr>
        <w:t xml:space="preserve"> عَلَيْكَ وَرَحْمَةُ اللهِ وَبَرَكَاتُهُ ، أَشْهَدُ أَنَّكُمْ شُهَدَاءُ نُجَبَاءُ ، جَاهَدْتُمْ فِي سَبِيلِ اللهِ ، وَقُتِلْتُمْ عَلى مِنْهَاجِ رَسُولِ اللهِ </w:t>
      </w:r>
      <w:r w:rsidR="002F3447" w:rsidRPr="00A6581D">
        <w:rPr>
          <w:rtl/>
        </w:rPr>
        <w:t>صل</w:t>
      </w:r>
      <w:r w:rsidR="00A6581D">
        <w:rPr>
          <w:rFonts w:hint="cs"/>
          <w:rtl/>
        </w:rPr>
        <w:t>ّ</w:t>
      </w:r>
      <w:r w:rsidR="002F3447" w:rsidRPr="00A6581D">
        <w:rPr>
          <w:rtl/>
        </w:rPr>
        <w:t>ى</w:t>
      </w:r>
      <w:r w:rsidR="00A6581D">
        <w:rPr>
          <w:rFonts w:hint="cs"/>
          <w:rtl/>
        </w:rPr>
        <w:t xml:space="preserve"> </w:t>
      </w:r>
      <w:r w:rsidR="002F3447" w:rsidRPr="00A6581D">
        <w:rPr>
          <w:rtl/>
        </w:rPr>
        <w:t>‌الله‌</w:t>
      </w:r>
      <w:r w:rsidR="00A6581D">
        <w:rPr>
          <w:rFonts w:hint="cs"/>
          <w:rtl/>
        </w:rPr>
        <w:t xml:space="preserve"> </w:t>
      </w:r>
      <w:r w:rsidR="002F3447" w:rsidRPr="00A6581D">
        <w:rPr>
          <w:rtl/>
        </w:rPr>
        <w:t>ع</w:t>
      </w:r>
      <w:r w:rsidR="00A6581D">
        <w:rPr>
          <w:rFonts w:hint="cs"/>
          <w:rtl/>
        </w:rPr>
        <w:t>َ</w:t>
      </w:r>
      <w:r w:rsidR="002F3447" w:rsidRPr="00A6581D">
        <w:rPr>
          <w:rtl/>
        </w:rPr>
        <w:t>ليه</w:t>
      </w:r>
      <w:r w:rsidR="00A6581D">
        <w:rPr>
          <w:rFonts w:hint="cs"/>
          <w:rtl/>
        </w:rPr>
        <w:t xml:space="preserve"> </w:t>
      </w:r>
      <w:r w:rsidR="002F3447" w:rsidRPr="00A6581D">
        <w:rPr>
          <w:rtl/>
        </w:rPr>
        <w:t>‌و</w:t>
      </w:r>
      <w:r w:rsidR="00A6581D">
        <w:rPr>
          <w:rFonts w:hint="cs"/>
          <w:rtl/>
        </w:rPr>
        <w:t>َ</w:t>
      </w:r>
      <w:r w:rsidR="002F3447" w:rsidRPr="00A6581D">
        <w:rPr>
          <w:rtl/>
        </w:rPr>
        <w:t>آله</w:t>
      </w:r>
      <w:r>
        <w:rPr>
          <w:rtl/>
          <w:lang w:bidi="fa-IR"/>
        </w:rPr>
        <w:t xml:space="preserve"> ، وَسَلَّمَ تَسْلِيماً كَثِيراً </w:t>
      </w:r>
      <w:r w:rsidRPr="00D10E3C">
        <w:rPr>
          <w:rStyle w:val="libFootnotenumChar"/>
          <w:rtl/>
        </w:rPr>
        <w:t>(10)</w:t>
      </w:r>
      <w:r>
        <w:rPr>
          <w:rtl/>
          <w:lang w:bidi="fa-IR"/>
        </w:rPr>
        <w:t xml:space="preserve"> ». </w:t>
      </w:r>
      <w:r w:rsidRPr="00D10E3C">
        <w:rPr>
          <w:rStyle w:val="libFootnotenumChar"/>
          <w:rtl/>
        </w:rPr>
        <w:t>(11)</w:t>
      </w:r>
    </w:p>
    <w:p w:rsidR="00744A1C" w:rsidRDefault="00744A1C" w:rsidP="00744A1C">
      <w:pPr>
        <w:pStyle w:val="libNormal"/>
        <w:rPr>
          <w:lang w:bidi="fa-IR"/>
        </w:rPr>
      </w:pPr>
      <w:r>
        <w:rPr>
          <w:rtl/>
          <w:lang w:bidi="fa-IR"/>
        </w:rPr>
        <w:t>8158 / 2. عِدَّةٌ مِنْ أَصْحَابِنَا ، عَنْ أَحْمَدَ بْنِ مُحَمَّدٍ ، عَنِ الْقَاسِمِ بْنِ يَحْيى ، عَنْ جَدِّهِ‌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7B299E">
        <w:rPr>
          <w:rStyle w:val="libFootnoteBoldChar"/>
          <w:rtl/>
        </w:rPr>
        <w:t>كامل الزيارات</w:t>
      </w:r>
      <w:r w:rsidR="00744A1C">
        <w:rPr>
          <w:rtl/>
          <w:lang w:bidi="fa-IR"/>
        </w:rPr>
        <w:t xml:space="preserve"> ، ص 201. وفي المطبوع : « تتبع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وإذا شهدنا ».</w:t>
      </w:r>
    </w:p>
    <w:p w:rsidR="00744A1C" w:rsidRDefault="00E378DD" w:rsidP="00E378DD">
      <w:pPr>
        <w:pStyle w:val="libFootnote0"/>
        <w:rPr>
          <w:lang w:bidi="fa-IR"/>
        </w:rPr>
      </w:pPr>
      <w:r>
        <w:rPr>
          <w:rtl/>
          <w:lang w:bidi="fa-IR"/>
        </w:rPr>
        <w:t>(3).</w:t>
      </w:r>
      <w:r w:rsidR="00744A1C">
        <w:rPr>
          <w:rtl/>
          <w:lang w:bidi="fa-IR"/>
        </w:rPr>
        <w:t xml:space="preserve"> في « ى ، جن » : « عليكم ».</w:t>
      </w:r>
    </w:p>
    <w:tbl>
      <w:tblPr>
        <w:tblStyle w:val="TableGrid"/>
        <w:bidiVisual/>
        <w:tblW w:w="0" w:type="auto"/>
        <w:tblLook w:val="04A0" w:firstRow="1" w:lastRow="0" w:firstColumn="1" w:lastColumn="0" w:noHBand="0" w:noVBand="1"/>
      </w:tblPr>
      <w:tblGrid>
        <w:gridCol w:w="4006"/>
        <w:gridCol w:w="4006"/>
      </w:tblGrid>
      <w:tr w:rsidR="00BC3EB7" w:rsidTr="00BC3EB7">
        <w:tc>
          <w:tcPr>
            <w:tcW w:w="4006" w:type="dxa"/>
          </w:tcPr>
          <w:p w:rsidR="00BC3EB7" w:rsidRDefault="00BC3EB7" w:rsidP="00E378DD">
            <w:pPr>
              <w:pStyle w:val="libFootnote0"/>
              <w:rPr>
                <w:rtl/>
                <w:lang w:bidi="fa-IR"/>
              </w:rPr>
            </w:pPr>
            <w:r>
              <w:rPr>
                <w:rtl/>
                <w:lang w:bidi="fa-IR"/>
              </w:rPr>
              <w:t>(4). في « بخ ، بف » : « فإذا ».</w:t>
            </w:r>
          </w:p>
        </w:tc>
        <w:tc>
          <w:tcPr>
            <w:tcW w:w="4006" w:type="dxa"/>
          </w:tcPr>
          <w:p w:rsidR="00BC3EB7" w:rsidRDefault="00BC3EB7" w:rsidP="00E378DD">
            <w:pPr>
              <w:pStyle w:val="libFootnote0"/>
              <w:rPr>
                <w:rtl/>
                <w:lang w:bidi="fa-IR"/>
              </w:rPr>
            </w:pPr>
            <w:r>
              <w:rPr>
                <w:rtl/>
                <w:lang w:bidi="fa-IR"/>
              </w:rPr>
              <w:t xml:space="preserve">(5). في </w:t>
            </w:r>
            <w:r w:rsidRPr="007B299E">
              <w:rPr>
                <w:rStyle w:val="libFootnoteBoldChar"/>
                <w:rtl/>
              </w:rPr>
              <w:t>كامل الزيارات</w:t>
            </w:r>
            <w:r>
              <w:rPr>
                <w:rtl/>
                <w:lang w:bidi="fa-IR"/>
              </w:rPr>
              <w:t xml:space="preserve"> : + « يا ربّ ».</w:t>
            </w:r>
          </w:p>
        </w:tc>
      </w:tr>
    </w:tbl>
    <w:p w:rsidR="00744A1C" w:rsidRDefault="00E378DD" w:rsidP="00E378DD">
      <w:pPr>
        <w:pStyle w:val="libFootnote0"/>
        <w:rPr>
          <w:lang w:bidi="fa-IR"/>
        </w:rPr>
      </w:pPr>
      <w:r>
        <w:rPr>
          <w:rtl/>
          <w:lang w:bidi="fa-IR"/>
        </w:rPr>
        <w:t>(6).</w:t>
      </w:r>
      <w:r w:rsidR="00744A1C">
        <w:rPr>
          <w:rtl/>
          <w:lang w:bidi="fa-IR"/>
        </w:rPr>
        <w:t xml:space="preserve"> في « بخ ، بف » وحاشية « جن » : « بحبّهم ».</w:t>
      </w:r>
    </w:p>
    <w:p w:rsidR="00744A1C" w:rsidRDefault="00E378DD" w:rsidP="00E378DD">
      <w:pPr>
        <w:pStyle w:val="libFootnote0"/>
        <w:rPr>
          <w:lang w:bidi="fa-IR"/>
        </w:rPr>
      </w:pPr>
      <w:r>
        <w:rPr>
          <w:rtl/>
          <w:lang w:bidi="fa-IR"/>
        </w:rPr>
        <w:t>(7).</w:t>
      </w:r>
      <w:r w:rsidR="00744A1C">
        <w:rPr>
          <w:rtl/>
          <w:lang w:bidi="fa-IR"/>
        </w:rPr>
        <w:t xml:space="preserve"> البَوارُ : الهلاكُ. وأباره ، أي أهلكه. ا</w:t>
      </w:r>
      <w:r w:rsidR="004C7F81">
        <w:rPr>
          <w:rFonts w:hint="cs"/>
          <w:rtl/>
          <w:lang w:bidi="fa-IR"/>
        </w:rPr>
        <w:t>ُ</w:t>
      </w:r>
      <w:r w:rsidR="00744A1C">
        <w:rPr>
          <w:rtl/>
          <w:lang w:bidi="fa-IR"/>
        </w:rPr>
        <w:t xml:space="preserve">نظر : </w:t>
      </w:r>
      <w:r w:rsidR="00744A1C" w:rsidRPr="00E978C3">
        <w:rPr>
          <w:rStyle w:val="libFootnoteBoldChar"/>
          <w:rtl/>
        </w:rPr>
        <w:t>الصحاح</w:t>
      </w:r>
      <w:r w:rsidR="00744A1C">
        <w:rPr>
          <w:rtl/>
          <w:lang w:bidi="fa-IR"/>
        </w:rPr>
        <w:t xml:space="preserve"> ، ج 2 ، ص 597 ؛ </w:t>
      </w:r>
      <w:r w:rsidR="00744A1C" w:rsidRPr="00877682">
        <w:rPr>
          <w:rStyle w:val="libFootnoteBoldChar"/>
          <w:rtl/>
        </w:rPr>
        <w:t>لسان العرب</w:t>
      </w:r>
      <w:r w:rsidR="00744A1C">
        <w:rPr>
          <w:rtl/>
          <w:lang w:bidi="fa-IR"/>
        </w:rPr>
        <w:t xml:space="preserve"> ، ج 4 ، ص 86 ( بور ).</w:t>
      </w:r>
    </w:p>
    <w:tbl>
      <w:tblPr>
        <w:tblStyle w:val="TableGrid"/>
        <w:bidiVisual/>
        <w:tblW w:w="0" w:type="auto"/>
        <w:tblLook w:val="04A0" w:firstRow="1" w:lastRow="0" w:firstColumn="1" w:lastColumn="0" w:noHBand="0" w:noVBand="1"/>
      </w:tblPr>
      <w:tblGrid>
        <w:gridCol w:w="4006"/>
        <w:gridCol w:w="4006"/>
      </w:tblGrid>
      <w:tr w:rsidR="004C7F81" w:rsidTr="004C7F81">
        <w:tc>
          <w:tcPr>
            <w:tcW w:w="4006" w:type="dxa"/>
          </w:tcPr>
          <w:p w:rsidR="004C7F81" w:rsidRDefault="004C7F81" w:rsidP="00E378DD">
            <w:pPr>
              <w:pStyle w:val="libFootnote0"/>
              <w:rPr>
                <w:rtl/>
                <w:lang w:bidi="fa-IR"/>
              </w:rPr>
            </w:pPr>
            <w:r>
              <w:rPr>
                <w:rtl/>
                <w:lang w:bidi="fa-IR"/>
              </w:rPr>
              <w:t>(8). في « بف » : « وأنّك ».</w:t>
            </w:r>
          </w:p>
        </w:tc>
        <w:tc>
          <w:tcPr>
            <w:tcW w:w="4006" w:type="dxa"/>
          </w:tcPr>
          <w:p w:rsidR="004C7F81" w:rsidRDefault="004C7F81" w:rsidP="00E378DD">
            <w:pPr>
              <w:pStyle w:val="libFootnote0"/>
              <w:rPr>
                <w:rtl/>
                <w:lang w:bidi="fa-IR"/>
              </w:rPr>
            </w:pPr>
            <w:r>
              <w:rPr>
                <w:rtl/>
                <w:lang w:bidi="fa-IR"/>
              </w:rPr>
              <w:t>(9). في « بس » : « والسلام ».</w:t>
            </w:r>
          </w:p>
        </w:tc>
      </w:tr>
    </w:tbl>
    <w:p w:rsidR="00744A1C" w:rsidRDefault="00E378DD" w:rsidP="00E378DD">
      <w:pPr>
        <w:pStyle w:val="libFootnote0"/>
        <w:rPr>
          <w:lang w:bidi="fa-IR"/>
        </w:rPr>
      </w:pPr>
      <w:r>
        <w:rPr>
          <w:rtl/>
          <w:lang w:bidi="fa-IR"/>
        </w:rPr>
        <w:t>(10).</w:t>
      </w:r>
      <w:r w:rsidR="00744A1C">
        <w:rPr>
          <w:rtl/>
          <w:lang w:bidi="fa-IR"/>
        </w:rPr>
        <w:t xml:space="preserve"> في « ى ، بث ، جد ، جن » و</w:t>
      </w:r>
      <w:r w:rsidR="00744A1C" w:rsidRPr="00C24F9C">
        <w:rPr>
          <w:rStyle w:val="libFootnoteBoldChar"/>
          <w:rtl/>
        </w:rPr>
        <w:t>الوافي</w:t>
      </w:r>
      <w:r w:rsidR="00744A1C">
        <w:rPr>
          <w:rtl/>
          <w:lang w:bidi="fa-IR"/>
        </w:rPr>
        <w:t xml:space="preserve"> : - « كثيراً ».</w:t>
      </w:r>
    </w:p>
    <w:p w:rsidR="00744A1C" w:rsidRDefault="00E378DD" w:rsidP="00E378DD">
      <w:pPr>
        <w:pStyle w:val="libFootnote0"/>
        <w:rPr>
          <w:lang w:bidi="fa-IR"/>
        </w:rPr>
      </w:pPr>
      <w:r>
        <w:rPr>
          <w:rtl/>
          <w:lang w:bidi="fa-IR"/>
        </w:rPr>
        <w:t>(11).</w:t>
      </w:r>
      <w:r w:rsidR="00744A1C">
        <w:rPr>
          <w:rtl/>
          <w:lang w:bidi="fa-IR"/>
        </w:rPr>
        <w:t xml:space="preserve"> </w:t>
      </w:r>
      <w:r w:rsidR="00744A1C" w:rsidRPr="007B299E">
        <w:rPr>
          <w:rStyle w:val="libFootnoteBoldChar"/>
          <w:rtl/>
        </w:rPr>
        <w:t>كامل الزيارات</w:t>
      </w:r>
      <w:r w:rsidR="00744A1C">
        <w:rPr>
          <w:rtl/>
          <w:lang w:bidi="fa-IR"/>
        </w:rPr>
        <w:t xml:space="preserve"> ، ص 201 ، الباب 99 ، ح 3 ، بسنده عن الحسين بن سعيد ، إلى قوله : « وإذا غبنا وشهدنا والسلام عليك ورحمة الله وبركاته » مع اختلاف يسير. وفيه ، ص 186 ، الباب 75 ، ح 8 ، بسنده عن يونس الكناسي ، وتمام الرواية فيه : « إذا أتيت قبر الحسين </w:t>
      </w:r>
      <w:r w:rsidR="0061079A" w:rsidRPr="0061079A">
        <w:rPr>
          <w:rStyle w:val="libFootnoteAlaemChar"/>
          <w:rtl/>
        </w:rPr>
        <w:t>عليه‌السلام</w:t>
      </w:r>
      <w:r w:rsidR="00D10E3C">
        <w:rPr>
          <w:rtl/>
          <w:lang w:bidi="fa-IR"/>
        </w:rPr>
        <w:t xml:space="preserve"> </w:t>
      </w:r>
      <w:r w:rsidR="00744A1C">
        <w:rPr>
          <w:rtl/>
          <w:lang w:bidi="fa-IR"/>
        </w:rPr>
        <w:t xml:space="preserve">فائت الفرات واغتسل بحيال قبره ». </w:t>
      </w:r>
      <w:r w:rsidR="00744A1C" w:rsidRPr="00C24F9C">
        <w:rPr>
          <w:rStyle w:val="libFootnoteBoldChar"/>
          <w:rtl/>
        </w:rPr>
        <w:t>الفقيه</w:t>
      </w:r>
      <w:r w:rsidR="00744A1C">
        <w:rPr>
          <w:rtl/>
          <w:lang w:bidi="fa-IR"/>
        </w:rPr>
        <w:t xml:space="preserve"> ، ج 2 ، ص 597 ، ح 3200 ، معلّقاً عن يوسف الكناسي ، من قوله : « وإذا أردت أن تودّعه فقل : السلام عليك » مع اختلاف يسير </w:t>
      </w:r>
      <w:r w:rsidR="004C7F81">
        <w:rPr>
          <w:rFonts w:hint="cs"/>
          <w:rtl/>
          <w:lang w:bidi="fa-IR"/>
        </w:rPr>
        <w:t>.</w:t>
      </w:r>
      <w:r w:rsidR="00744A1C" w:rsidRPr="00C24F9C">
        <w:rPr>
          <w:rStyle w:val="libFootnoteBoldChar"/>
          <w:rtl/>
        </w:rPr>
        <w:t>الوافي</w:t>
      </w:r>
      <w:r w:rsidR="00744A1C">
        <w:rPr>
          <w:rtl/>
          <w:lang w:bidi="fa-IR"/>
        </w:rPr>
        <w:t xml:space="preserve"> ، ج 14 ، ص 1490 ، ح 14577 ؛ </w:t>
      </w:r>
      <w:r w:rsidR="00744A1C" w:rsidRPr="00C24F9C">
        <w:rPr>
          <w:rStyle w:val="libFootnoteBoldChar"/>
          <w:rtl/>
        </w:rPr>
        <w:t>الوسائل</w:t>
      </w:r>
      <w:r w:rsidR="00744A1C">
        <w:rPr>
          <w:rtl/>
          <w:lang w:bidi="fa-IR"/>
        </w:rPr>
        <w:t xml:space="preserve"> ، ج 14 ، ص 483 ، ح 19653 ، إلى قوله : « حتّى تدخل القبر من الجانب الشرقي » ؛ </w:t>
      </w:r>
      <w:r w:rsidR="00744A1C" w:rsidRPr="0061079A">
        <w:rPr>
          <w:rStyle w:val="libFootnoteBoldChar"/>
          <w:rtl/>
        </w:rPr>
        <w:t>البحار</w:t>
      </w:r>
      <w:r w:rsidR="00744A1C">
        <w:rPr>
          <w:rtl/>
          <w:lang w:bidi="fa-IR"/>
        </w:rPr>
        <w:t xml:space="preserve"> ، ج 101 ، ص 160 ، ح 6.</w:t>
      </w:r>
    </w:p>
    <w:p w:rsidR="00150943" w:rsidRDefault="00150943" w:rsidP="00D10E3C">
      <w:pPr>
        <w:pStyle w:val="libNormal"/>
        <w:rPr>
          <w:rtl/>
          <w:lang w:bidi="fa-IR"/>
        </w:rPr>
      </w:pPr>
      <w:r>
        <w:rPr>
          <w:rtl/>
          <w:lang w:bidi="fa-IR"/>
        </w:rPr>
        <w:br w:type="page"/>
      </w:r>
    </w:p>
    <w:p w:rsidR="00144FA6" w:rsidRDefault="00744A1C" w:rsidP="00A6581D">
      <w:pPr>
        <w:pStyle w:val="libNormal0"/>
        <w:rPr>
          <w:rtl/>
          <w:lang w:bidi="fa-IR"/>
        </w:rPr>
      </w:pPr>
      <w:r>
        <w:rPr>
          <w:rtl/>
          <w:lang w:bidi="fa-IR"/>
        </w:rPr>
        <w:lastRenderedPageBreak/>
        <w:t xml:space="preserve">الْحَسَنِ بْنِ رَاشِدٍ ، عَنِ الْحُسَيْنِ بْنِ ثُوَيْرٍ </w:t>
      </w:r>
      <w:r w:rsidRPr="00D10E3C">
        <w:rPr>
          <w:rStyle w:val="libFootnotenumChar"/>
          <w:rtl/>
        </w:rPr>
        <w:t>(1)</w:t>
      </w:r>
      <w:r>
        <w:rPr>
          <w:rtl/>
          <w:lang w:bidi="fa-IR"/>
        </w:rPr>
        <w:t xml:space="preserve"> ، قَالَ :</w:t>
      </w:r>
    </w:p>
    <w:p w:rsidR="00744A1C" w:rsidRDefault="00744A1C" w:rsidP="00744A1C">
      <w:pPr>
        <w:pStyle w:val="libNormal"/>
        <w:rPr>
          <w:lang w:bidi="fa-IR"/>
        </w:rPr>
      </w:pPr>
      <w:r>
        <w:rPr>
          <w:rtl/>
          <w:lang w:bidi="fa-IR"/>
        </w:rPr>
        <w:t xml:space="preserve">كُنْتُ أَنَا وَيُونُسُ بْنُ ظَبْيَانَ وَالْمُفَضَّلُ بْنُ عُمَرَ وَأَبُو سَلَمَةَ السَّرَّاجُ جُلُوساً </w:t>
      </w:r>
      <w:r w:rsidRPr="00D10E3C">
        <w:rPr>
          <w:rStyle w:val="libFootnotenumChar"/>
          <w:rtl/>
        </w:rPr>
        <w:t>(2)</w:t>
      </w:r>
      <w:r>
        <w:rPr>
          <w:rtl/>
          <w:lang w:bidi="fa-IR"/>
        </w:rPr>
        <w:t xml:space="preserve"> عِنْدَ أَبِي عَبْدِ اللهِ </w:t>
      </w:r>
      <w:r w:rsidR="0061079A" w:rsidRPr="0061079A">
        <w:rPr>
          <w:rStyle w:val="libAlaemChar"/>
          <w:rtl/>
        </w:rPr>
        <w:t>عليه‌السلام</w:t>
      </w:r>
      <w:r w:rsidR="00D10E3C">
        <w:rPr>
          <w:rtl/>
          <w:lang w:bidi="fa-IR"/>
        </w:rPr>
        <w:t xml:space="preserve"> </w:t>
      </w:r>
      <w:r>
        <w:rPr>
          <w:rtl/>
          <w:lang w:bidi="fa-IR"/>
        </w:rPr>
        <w:t xml:space="preserve">، فَكَانَ </w:t>
      </w:r>
      <w:r w:rsidRPr="00D10E3C">
        <w:rPr>
          <w:rStyle w:val="libFootnotenumChar"/>
          <w:rtl/>
        </w:rPr>
        <w:t>(3)</w:t>
      </w:r>
      <w:r>
        <w:rPr>
          <w:rtl/>
          <w:lang w:bidi="fa-IR"/>
        </w:rPr>
        <w:t xml:space="preserve"> الْمُتَكَلِّمُ مِنَّا </w:t>
      </w:r>
      <w:r w:rsidRPr="00D10E3C">
        <w:rPr>
          <w:rStyle w:val="libFootnotenumChar"/>
          <w:rtl/>
        </w:rPr>
        <w:t>(4)</w:t>
      </w:r>
      <w:r>
        <w:rPr>
          <w:rtl/>
          <w:lang w:bidi="fa-IR"/>
        </w:rPr>
        <w:t xml:space="preserve"> يُونُسَ </w:t>
      </w:r>
      <w:r w:rsidRPr="00D10E3C">
        <w:rPr>
          <w:rStyle w:val="libFootnotenumChar"/>
          <w:rtl/>
        </w:rPr>
        <w:t>(5)</w:t>
      </w:r>
      <w:r>
        <w:rPr>
          <w:rtl/>
          <w:lang w:bidi="fa-IR"/>
        </w:rPr>
        <w:t xml:space="preserve"> ، وَكَانَ أَكْبَرَنَا سِنّاً ، فَقَالَ لَهُ : جُعِلْتُ فِدَاكَ ، إِنِّي أَحْضُرُ مَجْلِسَ هؤُلَاءِ الْقَوْمِ - يَعْنِي وُلْدَ الْعَبَّاسِ </w:t>
      </w:r>
      <w:r w:rsidRPr="00D10E3C">
        <w:rPr>
          <w:rStyle w:val="libFootnotenumChar"/>
          <w:rtl/>
        </w:rPr>
        <w:t>(6)</w:t>
      </w:r>
      <w:r>
        <w:rPr>
          <w:rtl/>
          <w:lang w:bidi="fa-IR"/>
        </w:rPr>
        <w:t xml:space="preserve"> - فَمَا أَقُولُ </w:t>
      </w:r>
      <w:r w:rsidRPr="00D10E3C">
        <w:rPr>
          <w:rStyle w:val="libFootnotenumChar"/>
          <w:rtl/>
        </w:rPr>
        <w:t>(7)</w:t>
      </w:r>
      <w:r>
        <w:rPr>
          <w:rtl/>
          <w:lang w:bidi="fa-IR"/>
        </w:rPr>
        <w:t>؟</w:t>
      </w:r>
    </w:p>
    <w:p w:rsidR="00744A1C" w:rsidRDefault="00744A1C" w:rsidP="00744A1C">
      <w:pPr>
        <w:pStyle w:val="libNormal"/>
        <w:rPr>
          <w:lang w:bidi="fa-IR"/>
        </w:rPr>
      </w:pPr>
      <w:r>
        <w:rPr>
          <w:rtl/>
          <w:lang w:bidi="fa-IR"/>
        </w:rPr>
        <w:t xml:space="preserve">فَقَالَ : « إِذَا حَضَرْتَ </w:t>
      </w:r>
      <w:r w:rsidRPr="00D10E3C">
        <w:rPr>
          <w:rStyle w:val="libFootnotenumChar"/>
          <w:rtl/>
        </w:rPr>
        <w:t>(8)</w:t>
      </w:r>
      <w:r>
        <w:rPr>
          <w:rtl/>
          <w:lang w:bidi="fa-IR"/>
        </w:rPr>
        <w:t xml:space="preserve"> ، فَذَكَرْتَنَا ، فَقُلِ : الل</w:t>
      </w:r>
      <w:r w:rsidR="004C7F81">
        <w:rPr>
          <w:rFonts w:hint="cs"/>
          <w:rtl/>
          <w:lang w:bidi="fa-IR"/>
        </w:rPr>
        <w:t>ّ</w:t>
      </w:r>
      <w:r>
        <w:rPr>
          <w:rtl/>
          <w:lang w:bidi="fa-IR"/>
        </w:rPr>
        <w:t xml:space="preserve">هُمَّ أَرِنَا الرَّخَاءَ </w:t>
      </w:r>
      <w:r w:rsidRPr="00D10E3C">
        <w:rPr>
          <w:rStyle w:val="libFootnotenumChar"/>
          <w:rtl/>
        </w:rPr>
        <w:t>(9)</w:t>
      </w:r>
      <w:r>
        <w:rPr>
          <w:rtl/>
          <w:lang w:bidi="fa-IR"/>
        </w:rPr>
        <w:t xml:space="preserve"> وَالسُّرُورَ ؛ فَإِنَّكَ تَأْتِي عَلى مَا تُرِيدُ </w:t>
      </w:r>
      <w:r w:rsidRPr="00D10E3C">
        <w:rPr>
          <w:rStyle w:val="libFootnotenumChar"/>
          <w:rtl/>
        </w:rPr>
        <w:t>(10)</w:t>
      </w:r>
      <w:r>
        <w:rPr>
          <w:rtl/>
          <w:lang w:bidi="fa-IR"/>
        </w:rPr>
        <w:t xml:space="preserve"> ».</w:t>
      </w:r>
    </w:p>
    <w:p w:rsidR="00744A1C" w:rsidRDefault="00744A1C" w:rsidP="00744A1C">
      <w:pPr>
        <w:pStyle w:val="libNormal"/>
        <w:rPr>
          <w:lang w:bidi="fa-IR"/>
        </w:rPr>
      </w:pPr>
      <w:r>
        <w:rPr>
          <w:rtl/>
          <w:lang w:bidi="fa-IR"/>
        </w:rPr>
        <w:t xml:space="preserve">فَقُلْتُ </w:t>
      </w:r>
      <w:r w:rsidRPr="00D10E3C">
        <w:rPr>
          <w:rStyle w:val="libFootnotenumChar"/>
          <w:rtl/>
        </w:rPr>
        <w:t>(11)</w:t>
      </w:r>
      <w:r>
        <w:rPr>
          <w:rtl/>
          <w:lang w:bidi="fa-IR"/>
        </w:rPr>
        <w:t xml:space="preserve"> : جُعِلْتُ فِدَاكَ </w:t>
      </w:r>
      <w:r w:rsidRPr="00D10E3C">
        <w:rPr>
          <w:rStyle w:val="libFootnotenumChar"/>
          <w:rtl/>
        </w:rPr>
        <w:t>(12)</w:t>
      </w:r>
      <w:r>
        <w:rPr>
          <w:rtl/>
          <w:lang w:bidi="fa-IR"/>
        </w:rPr>
        <w:t xml:space="preserve"> ، إِنِّي كَثِيراً مَا أَذْكُرُ الْحُسَيْنَ </w:t>
      </w:r>
      <w:r w:rsidR="0061079A" w:rsidRPr="0061079A">
        <w:rPr>
          <w:rStyle w:val="libAlaemChar"/>
          <w:rtl/>
        </w:rPr>
        <w:t>عليه‌السلام</w:t>
      </w:r>
      <w:r w:rsidR="00D10E3C">
        <w:rPr>
          <w:rtl/>
          <w:lang w:bidi="fa-IR"/>
        </w:rPr>
        <w:t xml:space="preserve"> </w:t>
      </w:r>
      <w:r>
        <w:rPr>
          <w:rtl/>
          <w:lang w:bidi="fa-IR"/>
        </w:rPr>
        <w:t>، فَأَيَّ شَيْ‌ءٍ أَقُولُ؟</w:t>
      </w:r>
    </w:p>
    <w:p w:rsidR="00744A1C" w:rsidRDefault="00744A1C" w:rsidP="00744A1C">
      <w:pPr>
        <w:pStyle w:val="libNormal"/>
        <w:rPr>
          <w:lang w:bidi="fa-IR"/>
        </w:rPr>
      </w:pPr>
      <w:r>
        <w:rPr>
          <w:rtl/>
          <w:lang w:bidi="fa-IR"/>
        </w:rPr>
        <w:t xml:space="preserve">فَقَالَ </w:t>
      </w:r>
      <w:r w:rsidRPr="00D10E3C">
        <w:rPr>
          <w:rStyle w:val="libFootnotenumChar"/>
          <w:rtl/>
        </w:rPr>
        <w:t>(13)</w:t>
      </w:r>
      <w:r>
        <w:rPr>
          <w:rtl/>
          <w:lang w:bidi="fa-IR"/>
        </w:rPr>
        <w:t xml:space="preserve"> : « قُلْ </w:t>
      </w:r>
      <w:r w:rsidRPr="00D10E3C">
        <w:rPr>
          <w:rStyle w:val="libFootnotenumChar"/>
          <w:rtl/>
        </w:rPr>
        <w:t>(14)</w:t>
      </w:r>
      <w:r>
        <w:rPr>
          <w:rtl/>
          <w:lang w:bidi="fa-IR"/>
        </w:rPr>
        <w:t xml:space="preserve"> : صَلَّى اللهُ عَلَيْكَ يَا أَبَا عَبْدِ اللهِ ؛ تُعِيدُ ذلِكَ ثَلَاثاً ، فَإِنَّ السَّلَامَ </w:t>
      </w:r>
      <w:r w:rsidRPr="00D10E3C">
        <w:rPr>
          <w:rStyle w:val="libFootnotenumChar"/>
          <w:rtl/>
        </w:rPr>
        <w:t>(15)</w:t>
      </w:r>
      <w:r>
        <w:rPr>
          <w:rtl/>
          <w:lang w:bidi="fa-IR"/>
        </w:rPr>
        <w:t xml:space="preserve"> يَصِلُ إِلَيْهِ </w:t>
      </w:r>
      <w:r w:rsidRPr="00D10E3C">
        <w:rPr>
          <w:rStyle w:val="libFootnotenumChar"/>
          <w:rtl/>
        </w:rPr>
        <w:t>(16)</w:t>
      </w:r>
      <w:r>
        <w:rPr>
          <w:rtl/>
          <w:lang w:bidi="fa-IR"/>
        </w:rPr>
        <w:t xml:space="preserve"> مِنْ قَرِيبٍ وَمِنْ </w:t>
      </w:r>
      <w:r w:rsidRPr="00D10E3C">
        <w:rPr>
          <w:rStyle w:val="libFootnotenumChar"/>
          <w:rtl/>
        </w:rPr>
        <w:t>(17)</w:t>
      </w:r>
      <w:r>
        <w:rPr>
          <w:rtl/>
          <w:lang w:bidi="fa-IR"/>
        </w:rPr>
        <w:t xml:space="preserve"> بَعِيدٍ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ح 180 </w:t>
      </w:r>
      <w:r w:rsidR="00744A1C" w:rsidRPr="004C7F81">
        <w:rPr>
          <w:rtl/>
        </w:rPr>
        <w:t>وكامل الزيارات</w:t>
      </w:r>
      <w:r w:rsidR="00744A1C">
        <w:rPr>
          <w:rtl/>
          <w:lang w:bidi="fa-IR"/>
        </w:rPr>
        <w:t xml:space="preserve"> ، ص 197 والمزار : + « بن أبي فاختة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 ح 19672 و 19673 : - « والمفضّل بن عمرو أبو سلمة السرّاج جلوساً ».</w:t>
      </w:r>
    </w:p>
    <w:p w:rsidR="00744A1C" w:rsidRDefault="00E378DD" w:rsidP="00E378DD">
      <w:pPr>
        <w:pStyle w:val="libFootnote0"/>
        <w:rPr>
          <w:lang w:bidi="fa-IR"/>
        </w:rPr>
      </w:pPr>
      <w:r>
        <w:rPr>
          <w:rtl/>
          <w:lang w:bidi="fa-IR"/>
        </w:rPr>
        <w:t>(3).</w:t>
      </w:r>
      <w:r w:rsidR="00744A1C">
        <w:rPr>
          <w:rtl/>
          <w:lang w:bidi="fa-IR"/>
        </w:rPr>
        <w:t xml:space="preserve"> هكذا في جميع النسخ التي قوبلت و</w:t>
      </w:r>
      <w:r w:rsidR="00744A1C" w:rsidRPr="004C7F81">
        <w:rPr>
          <w:rtl/>
        </w:rPr>
        <w:t xml:space="preserve">كامل الزيارات ، ص 80. وفي المطبوع والوافي : </w:t>
      </w:r>
      <w:r w:rsidR="00744A1C">
        <w:rPr>
          <w:rtl/>
          <w:lang w:bidi="fa-IR"/>
        </w:rPr>
        <w:t>« وكان ».</w:t>
      </w:r>
    </w:p>
    <w:p w:rsidR="00744A1C" w:rsidRDefault="00E378DD" w:rsidP="00E378DD">
      <w:pPr>
        <w:pStyle w:val="libFootnote0"/>
        <w:rPr>
          <w:lang w:bidi="fa-IR"/>
        </w:rPr>
      </w:pPr>
      <w:r>
        <w:rPr>
          <w:rtl/>
          <w:lang w:bidi="fa-IR"/>
        </w:rPr>
        <w:t>(4).</w:t>
      </w:r>
      <w:r w:rsidR="00744A1C">
        <w:rPr>
          <w:rtl/>
          <w:lang w:bidi="fa-IR"/>
        </w:rPr>
        <w:t xml:space="preserve"> في </w:t>
      </w:r>
      <w:r w:rsidR="00744A1C" w:rsidRPr="004C7F81">
        <w:rPr>
          <w:rtl/>
        </w:rPr>
        <w:t>البحار والتهذيب</w:t>
      </w:r>
      <w:r w:rsidR="00744A1C">
        <w:rPr>
          <w:rtl/>
          <w:lang w:bidi="fa-IR"/>
        </w:rPr>
        <w:t xml:space="preserve"> ، ح 180 و</w:t>
      </w:r>
      <w:r w:rsidR="00744A1C" w:rsidRPr="007B299E">
        <w:rPr>
          <w:rStyle w:val="libFootnoteBoldChar"/>
          <w:rtl/>
        </w:rPr>
        <w:t>كامل الزيارات</w:t>
      </w:r>
      <w:r w:rsidR="00744A1C">
        <w:rPr>
          <w:rtl/>
          <w:lang w:bidi="fa-IR"/>
        </w:rPr>
        <w:t xml:space="preserve"> ، ص 80 و 197 والمزار : - « منّا ».</w:t>
      </w:r>
    </w:p>
    <w:p w:rsidR="00744A1C" w:rsidRDefault="00E378DD" w:rsidP="00E378DD">
      <w:pPr>
        <w:pStyle w:val="libFootnote0"/>
        <w:rPr>
          <w:lang w:bidi="fa-IR"/>
        </w:rPr>
      </w:pPr>
      <w:r>
        <w:rPr>
          <w:rtl/>
          <w:lang w:bidi="fa-IR"/>
        </w:rPr>
        <w:t>(5).</w:t>
      </w:r>
      <w:r w:rsidR="00744A1C">
        <w:rPr>
          <w:rtl/>
          <w:lang w:bidi="fa-IR"/>
        </w:rPr>
        <w:t xml:space="preserve"> في </w:t>
      </w:r>
      <w:r w:rsidR="00744A1C" w:rsidRPr="004C7F81">
        <w:rPr>
          <w:rtl/>
        </w:rPr>
        <w:t xml:space="preserve">الوسائل </w:t>
      </w:r>
      <w:r w:rsidR="00744A1C">
        <w:rPr>
          <w:rtl/>
          <w:lang w:bidi="fa-IR"/>
        </w:rPr>
        <w:t>، ح 19672 و 19673 : - « فكان المتكلّم منّا يونس ».</w:t>
      </w:r>
    </w:p>
    <w:p w:rsidR="00744A1C" w:rsidRDefault="00E378DD" w:rsidP="00E378DD">
      <w:pPr>
        <w:pStyle w:val="libFootnote0"/>
        <w:rPr>
          <w:lang w:bidi="fa-IR"/>
        </w:rPr>
      </w:pPr>
      <w:r>
        <w:rPr>
          <w:rtl/>
          <w:lang w:bidi="fa-IR"/>
        </w:rPr>
        <w:t>(6).</w:t>
      </w:r>
      <w:r w:rsidR="00744A1C">
        <w:rPr>
          <w:rtl/>
          <w:lang w:bidi="fa-IR"/>
        </w:rPr>
        <w:t xml:space="preserve"> في </w:t>
      </w:r>
      <w:r w:rsidR="00744A1C" w:rsidRPr="004C7F81">
        <w:rPr>
          <w:rtl/>
        </w:rPr>
        <w:t>كامل الزيارات</w:t>
      </w:r>
      <w:r w:rsidR="00744A1C">
        <w:rPr>
          <w:rtl/>
          <w:lang w:bidi="fa-IR"/>
        </w:rPr>
        <w:t xml:space="preserve"> ، ص 197 : « س ا ب ع » بدل « العبّاس ».</w:t>
      </w:r>
    </w:p>
    <w:p w:rsidR="00744A1C" w:rsidRDefault="00E378DD" w:rsidP="00E378DD">
      <w:pPr>
        <w:pStyle w:val="libFootnote0"/>
        <w:rPr>
          <w:lang w:bidi="fa-IR"/>
        </w:rPr>
      </w:pPr>
      <w:r>
        <w:rPr>
          <w:rtl/>
          <w:lang w:bidi="fa-IR"/>
        </w:rPr>
        <w:t>(7).</w:t>
      </w:r>
      <w:r w:rsidR="00744A1C">
        <w:rPr>
          <w:rtl/>
          <w:lang w:bidi="fa-IR"/>
        </w:rPr>
        <w:t xml:space="preserve"> في </w:t>
      </w:r>
      <w:r w:rsidR="00744A1C" w:rsidRPr="000B1C3F">
        <w:rPr>
          <w:rStyle w:val="libFootnoteBoldChar"/>
          <w:rtl/>
        </w:rPr>
        <w:t>الأمالي للطوسي</w:t>
      </w:r>
      <w:r w:rsidR="00744A1C">
        <w:rPr>
          <w:rtl/>
          <w:lang w:bidi="fa-IR"/>
        </w:rPr>
        <w:t xml:space="preserve"> : « فأذكركم في نفسي فأيّ شي‌ء أقول » بدل « يعني ولد العبّاس فما أقول ».</w:t>
      </w:r>
    </w:p>
    <w:p w:rsidR="00744A1C" w:rsidRDefault="00E378DD" w:rsidP="00E378DD">
      <w:pPr>
        <w:pStyle w:val="libFootnote0"/>
        <w:rPr>
          <w:lang w:bidi="fa-IR"/>
        </w:rPr>
      </w:pPr>
      <w:r>
        <w:rPr>
          <w:rtl/>
          <w:lang w:bidi="fa-IR"/>
        </w:rPr>
        <w:t>(8).</w:t>
      </w:r>
      <w:r w:rsidR="00744A1C">
        <w:rPr>
          <w:rtl/>
          <w:lang w:bidi="fa-IR"/>
        </w:rPr>
        <w:t xml:space="preserve"> في « ى ، بف » : « حضرتم ». وفي « بخ » : « احضرتم ».</w:t>
      </w:r>
    </w:p>
    <w:p w:rsidR="00744A1C" w:rsidRDefault="00E378DD" w:rsidP="00E378DD">
      <w:pPr>
        <w:pStyle w:val="libFootnote0"/>
        <w:rPr>
          <w:lang w:bidi="fa-IR"/>
        </w:rPr>
      </w:pPr>
      <w:r>
        <w:rPr>
          <w:rtl/>
          <w:lang w:bidi="fa-IR"/>
        </w:rPr>
        <w:t>(9).</w:t>
      </w:r>
      <w:r w:rsidR="00744A1C">
        <w:rPr>
          <w:rtl/>
          <w:lang w:bidi="fa-IR"/>
        </w:rPr>
        <w:t xml:space="preserve"> في « بف » : « الرجاء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أي تهلك وتفني ما تشاء ، فإن تشاء تبدّلنا بهم أئمّة الحقّ ». وفي </w:t>
      </w:r>
      <w:r w:rsidR="00744A1C" w:rsidRPr="00C24F9C">
        <w:rPr>
          <w:rStyle w:val="libFootnoteBoldChar"/>
          <w:rtl/>
        </w:rPr>
        <w:t>المرآة</w:t>
      </w:r>
      <w:r w:rsidR="00744A1C">
        <w:rPr>
          <w:rtl/>
          <w:lang w:bidi="fa-IR"/>
        </w:rPr>
        <w:t xml:space="preserve"> : « أي من الثواب ، أو في الرجعة. ومن جعله تتمّة الدعاء وقال : المراد به أنّك تهلك من تشاء ، فقد ابع</w:t>
      </w:r>
      <w:r w:rsidR="00A6581D">
        <w:rPr>
          <w:rtl/>
          <w:lang w:bidi="fa-IR"/>
        </w:rPr>
        <w:t>د ما بعد ممّا بين الأرض والسماء</w:t>
      </w:r>
      <w:r w:rsidR="00744A1C">
        <w:rPr>
          <w:rtl/>
          <w:lang w:bidi="fa-IR"/>
        </w:rPr>
        <w:t>».</w:t>
      </w:r>
    </w:p>
    <w:p w:rsidR="00744A1C" w:rsidRDefault="00E378DD" w:rsidP="00E378DD">
      <w:pPr>
        <w:pStyle w:val="libFootnote0"/>
        <w:rPr>
          <w:lang w:bidi="fa-IR"/>
        </w:rPr>
      </w:pPr>
      <w:r>
        <w:rPr>
          <w:rtl/>
          <w:lang w:bidi="fa-IR"/>
        </w:rPr>
        <w:t>(11).</w:t>
      </w:r>
      <w:r w:rsidR="00744A1C">
        <w:rPr>
          <w:rtl/>
          <w:lang w:bidi="fa-IR"/>
        </w:rPr>
        <w:t xml:space="preserve"> في </w:t>
      </w:r>
      <w:r w:rsidR="00744A1C" w:rsidRPr="0061079A">
        <w:rPr>
          <w:rStyle w:val="libFootnoteBoldChar"/>
          <w:rtl/>
        </w:rPr>
        <w:t>البحار</w:t>
      </w:r>
      <w:r w:rsidR="00744A1C">
        <w:rPr>
          <w:rtl/>
          <w:lang w:bidi="fa-IR"/>
        </w:rPr>
        <w:t xml:space="preserve"> </w:t>
      </w:r>
      <w:r w:rsidR="00744A1C" w:rsidRPr="0061079A">
        <w:rPr>
          <w:rStyle w:val="libFootnoteBoldChar"/>
          <w:rtl/>
        </w:rPr>
        <w:t>والتهذيب</w:t>
      </w:r>
      <w:r w:rsidR="00744A1C">
        <w:rPr>
          <w:rtl/>
          <w:lang w:bidi="fa-IR"/>
        </w:rPr>
        <w:t xml:space="preserve"> ، ح 180 والمزار : - « جعلت فداك إنّي أحضر » إلى هنا.</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الوسائل</w:t>
      </w:r>
      <w:r w:rsidR="00744A1C">
        <w:rPr>
          <w:rtl/>
          <w:lang w:bidi="fa-IR"/>
        </w:rPr>
        <w:t xml:space="preserve"> ، ح 19673 : - « جعلت فداك إنّي أحضر » إلى هنا.</w:t>
      </w:r>
    </w:p>
    <w:p w:rsidR="00744A1C" w:rsidRDefault="00E378DD" w:rsidP="004C7F81">
      <w:pPr>
        <w:pStyle w:val="libFootnote0"/>
        <w:rPr>
          <w:lang w:bidi="fa-IR"/>
        </w:rPr>
      </w:pPr>
      <w:r>
        <w:rPr>
          <w:rtl/>
          <w:lang w:bidi="fa-IR"/>
        </w:rPr>
        <w:t>(13).</w:t>
      </w:r>
      <w:r w:rsidR="00744A1C">
        <w:rPr>
          <w:rtl/>
          <w:lang w:bidi="fa-IR"/>
        </w:rPr>
        <w:t xml:space="preserve"> في « ى ، بح ، بخ ، بف ، جد ، جن »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xml:space="preserve"> </w:t>
      </w:r>
      <w:r w:rsidR="00744A1C" w:rsidRPr="0061079A">
        <w:rPr>
          <w:rStyle w:val="libFootnoteBoldChar"/>
          <w:rtl/>
        </w:rPr>
        <w:t>والتهذيب</w:t>
      </w:r>
      <w:r w:rsidR="00744A1C">
        <w:rPr>
          <w:rtl/>
          <w:lang w:bidi="fa-IR"/>
        </w:rPr>
        <w:t xml:space="preserve"> ، ح 180 و</w:t>
      </w:r>
      <w:r w:rsidR="00744A1C" w:rsidRPr="007B299E">
        <w:rPr>
          <w:rStyle w:val="libFootnoteBoldChar"/>
          <w:rtl/>
        </w:rPr>
        <w:t>كامل الزيارات</w:t>
      </w:r>
      <w:r w:rsidR="00744A1C">
        <w:rPr>
          <w:rtl/>
          <w:lang w:bidi="fa-IR"/>
        </w:rPr>
        <w:t xml:space="preserve"> ، ص 197 والمزاروالمقنعة : « قال ».</w:t>
      </w:r>
      <w:r w:rsidR="004C7F81">
        <w:rPr>
          <w:rFonts w:hint="cs"/>
          <w:rtl/>
          <w:lang w:bidi="fa-IR"/>
        </w:rPr>
        <w:t xml:space="preserve">                               </w:t>
      </w:r>
      <w:r>
        <w:rPr>
          <w:rtl/>
          <w:lang w:bidi="fa-IR"/>
        </w:rPr>
        <w:t>(14).</w:t>
      </w:r>
      <w:r w:rsidR="00744A1C">
        <w:rPr>
          <w:rtl/>
          <w:lang w:bidi="fa-IR"/>
        </w:rPr>
        <w:t xml:space="preserve"> في « بح ، بخ » : - « قل ».</w:t>
      </w:r>
    </w:p>
    <w:tbl>
      <w:tblPr>
        <w:tblStyle w:val="TableGrid"/>
        <w:bidiVisual/>
        <w:tblW w:w="0" w:type="auto"/>
        <w:tblLook w:val="04A0" w:firstRow="1" w:lastRow="0" w:firstColumn="1" w:lastColumn="0" w:noHBand="0" w:noVBand="1"/>
      </w:tblPr>
      <w:tblGrid>
        <w:gridCol w:w="4006"/>
        <w:gridCol w:w="4006"/>
      </w:tblGrid>
      <w:tr w:rsidR="004C7F81" w:rsidTr="004C7F81">
        <w:tc>
          <w:tcPr>
            <w:tcW w:w="4006" w:type="dxa"/>
          </w:tcPr>
          <w:p w:rsidR="004C7F81" w:rsidRDefault="004C7F81" w:rsidP="00E378DD">
            <w:pPr>
              <w:pStyle w:val="libFootnote0"/>
              <w:rPr>
                <w:rtl/>
                <w:lang w:bidi="fa-IR"/>
              </w:rPr>
            </w:pPr>
            <w:r>
              <w:rPr>
                <w:rtl/>
                <w:lang w:bidi="fa-IR"/>
              </w:rPr>
              <w:t xml:space="preserve">(15). في </w:t>
            </w:r>
            <w:r w:rsidRPr="004C7F81">
              <w:rPr>
                <w:rtl/>
              </w:rPr>
              <w:t>البحار والتهذيب ،</w:t>
            </w:r>
            <w:r>
              <w:rPr>
                <w:rtl/>
                <w:lang w:bidi="fa-IR"/>
              </w:rPr>
              <w:t xml:space="preserve"> ح 108 : + « عليه ».</w:t>
            </w:r>
          </w:p>
        </w:tc>
        <w:tc>
          <w:tcPr>
            <w:tcW w:w="4006" w:type="dxa"/>
          </w:tcPr>
          <w:p w:rsidR="004C7F81" w:rsidRDefault="004C7F81" w:rsidP="00E378DD">
            <w:pPr>
              <w:pStyle w:val="libFootnote0"/>
              <w:rPr>
                <w:rtl/>
                <w:lang w:bidi="fa-IR"/>
              </w:rPr>
            </w:pPr>
            <w:r>
              <w:rPr>
                <w:rtl/>
                <w:lang w:bidi="fa-IR"/>
              </w:rPr>
              <w:t xml:space="preserve">(16) في </w:t>
            </w:r>
            <w:r w:rsidRPr="004C7F81">
              <w:rPr>
                <w:rtl/>
              </w:rPr>
              <w:t>البحار</w:t>
            </w:r>
            <w:r>
              <w:rPr>
                <w:rtl/>
                <w:lang w:bidi="fa-IR"/>
              </w:rPr>
              <w:t xml:space="preserve"> : - « إليه ».</w:t>
            </w:r>
          </w:p>
        </w:tc>
      </w:tr>
    </w:tbl>
    <w:p w:rsidR="00744A1C" w:rsidRDefault="00744A1C" w:rsidP="00D10E3C">
      <w:pPr>
        <w:pStyle w:val="libFootnote0"/>
        <w:rPr>
          <w:lang w:bidi="fa-IR"/>
        </w:rPr>
      </w:pPr>
      <w:r>
        <w:rPr>
          <w:rtl/>
          <w:lang w:bidi="fa-IR"/>
        </w:rPr>
        <w:t xml:space="preserve">(17) في </w:t>
      </w:r>
      <w:r w:rsidRPr="004C7F81">
        <w:rPr>
          <w:rtl/>
        </w:rPr>
        <w:t xml:space="preserve">الوافي والبحار </w:t>
      </w:r>
      <w:r>
        <w:rPr>
          <w:rtl/>
          <w:lang w:bidi="fa-IR"/>
        </w:rPr>
        <w:t>: - « من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ثُمَّ قَالَ : « إِنَّ أَبَا عَبْدِ اللهِ الْحُسَيْنَ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لَمَّا قَضى بَكَتْ عَلَيْهِ السَّمَاوَاتُ السَّبْعُ ، وَالْأَرَضُونَ السَّبْعُ ، وَمَا </w:t>
      </w:r>
      <w:r w:rsidRPr="00D10E3C">
        <w:rPr>
          <w:rStyle w:val="libFootnotenumChar"/>
          <w:rtl/>
        </w:rPr>
        <w:t>(2)</w:t>
      </w:r>
      <w:r>
        <w:rPr>
          <w:rtl/>
          <w:lang w:bidi="fa-IR"/>
        </w:rPr>
        <w:t xml:space="preserve"> فِيهِنَّ </w:t>
      </w:r>
      <w:r w:rsidRPr="00D10E3C">
        <w:rPr>
          <w:rStyle w:val="libFootnotenumChar"/>
          <w:rtl/>
        </w:rPr>
        <w:t>(3)</w:t>
      </w:r>
      <w:r>
        <w:rPr>
          <w:rtl/>
          <w:lang w:bidi="fa-IR"/>
        </w:rPr>
        <w:t xml:space="preserve"> وَمَا </w:t>
      </w:r>
      <w:r w:rsidRPr="00D10E3C">
        <w:rPr>
          <w:rStyle w:val="libFootnotenumChar"/>
          <w:rtl/>
        </w:rPr>
        <w:t>(4)</w:t>
      </w:r>
      <w:r>
        <w:rPr>
          <w:rtl/>
          <w:lang w:bidi="fa-IR"/>
        </w:rPr>
        <w:t xml:space="preserve"> بَيْنَهُنَّ </w:t>
      </w:r>
      <w:r w:rsidRPr="00D10E3C">
        <w:rPr>
          <w:rStyle w:val="libFootnotenumChar"/>
          <w:rtl/>
        </w:rPr>
        <w:t>(5)</w:t>
      </w:r>
      <w:r>
        <w:rPr>
          <w:rtl/>
          <w:lang w:bidi="fa-IR"/>
        </w:rPr>
        <w:t xml:space="preserve"> ، وَمَنْ </w:t>
      </w:r>
      <w:r w:rsidRPr="00D10E3C">
        <w:rPr>
          <w:rStyle w:val="libFootnotenumChar"/>
          <w:rtl/>
        </w:rPr>
        <w:t>(6)</w:t>
      </w:r>
      <w:r>
        <w:rPr>
          <w:rtl/>
          <w:lang w:bidi="fa-IR"/>
        </w:rPr>
        <w:t xml:space="preserve"> يَنْقَلِبُ </w:t>
      </w:r>
      <w:r w:rsidRPr="00D10E3C">
        <w:rPr>
          <w:rStyle w:val="libFootnotenumChar"/>
          <w:rtl/>
        </w:rPr>
        <w:t>(7)</w:t>
      </w:r>
      <w:r>
        <w:rPr>
          <w:rtl/>
          <w:lang w:bidi="fa-IR"/>
        </w:rPr>
        <w:t xml:space="preserve"> فِي الْجَنَّةِ وَالنَّارِ مِنْ‌ خَلْقِ رَبِّنَا ، وَمَا يُرى وَمَا لَايُرى بَكى عَلى أَبِي عَبْدِ اللهِ الْحُسَيْنِ </w:t>
      </w:r>
      <w:r w:rsidRPr="00D10E3C">
        <w:rPr>
          <w:rStyle w:val="libFootnotenumChar"/>
          <w:rtl/>
        </w:rPr>
        <w:t>(8)</w:t>
      </w:r>
      <w:r>
        <w:rPr>
          <w:rtl/>
          <w:lang w:bidi="fa-IR"/>
        </w:rPr>
        <w:t xml:space="preserve"> </w:t>
      </w:r>
      <w:r w:rsidR="0061079A" w:rsidRPr="0061079A">
        <w:rPr>
          <w:rStyle w:val="libAlaemChar"/>
          <w:rtl/>
        </w:rPr>
        <w:t>عليه‌السلام</w:t>
      </w:r>
      <w:r w:rsidR="00D10E3C">
        <w:rPr>
          <w:rtl/>
          <w:lang w:bidi="fa-IR"/>
        </w:rPr>
        <w:t xml:space="preserve"> </w:t>
      </w:r>
      <w:r w:rsidR="004C7F81">
        <w:rPr>
          <w:rtl/>
          <w:lang w:bidi="fa-IR"/>
        </w:rPr>
        <w:t>إِل</w:t>
      </w:r>
      <w:r w:rsidR="004C7F81">
        <w:rPr>
          <w:rFonts w:hint="cs"/>
          <w:rtl/>
          <w:lang w:bidi="fa-IR"/>
        </w:rPr>
        <w:t>َّ</w:t>
      </w:r>
      <w:r w:rsidR="004C7F81">
        <w:rPr>
          <w:rtl/>
          <w:lang w:bidi="fa-IR"/>
        </w:rPr>
        <w:t>ا</w:t>
      </w:r>
      <w:r>
        <w:rPr>
          <w:rtl/>
          <w:lang w:bidi="fa-IR"/>
        </w:rPr>
        <w:t xml:space="preserve"> ثَلَاثَةَ أَشْيَاءَ لَمْ تَبْكِ </w:t>
      </w:r>
      <w:r w:rsidRPr="00D10E3C">
        <w:rPr>
          <w:rStyle w:val="libFootnotenumChar"/>
          <w:rtl/>
        </w:rPr>
        <w:t>(9)</w:t>
      </w:r>
      <w:r w:rsidR="00A6581D">
        <w:rPr>
          <w:rtl/>
          <w:lang w:bidi="fa-IR"/>
        </w:rPr>
        <w:t xml:space="preserve"> عَلَيْهِ</w:t>
      </w:r>
      <w:r>
        <w:rPr>
          <w:rtl/>
          <w:lang w:bidi="fa-IR"/>
        </w:rPr>
        <w:t>».</w:t>
      </w:r>
    </w:p>
    <w:p w:rsidR="00744A1C" w:rsidRDefault="00744A1C" w:rsidP="00744A1C">
      <w:pPr>
        <w:pStyle w:val="libNormal"/>
        <w:rPr>
          <w:lang w:bidi="fa-IR"/>
        </w:rPr>
      </w:pPr>
      <w:r>
        <w:rPr>
          <w:rtl/>
          <w:lang w:bidi="fa-IR"/>
        </w:rPr>
        <w:t xml:space="preserve">قُلْتُ : جُعِلْتُ فِدَاكَ </w:t>
      </w:r>
      <w:r w:rsidRPr="00D10E3C">
        <w:rPr>
          <w:rStyle w:val="libFootnotenumChar"/>
          <w:rtl/>
        </w:rPr>
        <w:t>(10)</w:t>
      </w:r>
      <w:r>
        <w:rPr>
          <w:rtl/>
          <w:lang w:bidi="fa-IR"/>
        </w:rPr>
        <w:t xml:space="preserve"> ، وَمَا هذِهِ الثَّلَاثَةُ </w:t>
      </w:r>
      <w:r w:rsidRPr="00D10E3C">
        <w:rPr>
          <w:rStyle w:val="libFootnotenumChar"/>
          <w:rtl/>
        </w:rPr>
        <w:t>(11)</w:t>
      </w:r>
      <w:r>
        <w:rPr>
          <w:rtl/>
          <w:lang w:bidi="fa-IR"/>
        </w:rPr>
        <w:t xml:space="preserve"> الْأَشْيَاءِ؟</w:t>
      </w:r>
    </w:p>
    <w:p w:rsidR="00744A1C" w:rsidRDefault="00744A1C" w:rsidP="00744A1C">
      <w:pPr>
        <w:pStyle w:val="libNormal"/>
        <w:rPr>
          <w:lang w:bidi="fa-IR"/>
        </w:rPr>
      </w:pPr>
      <w:r>
        <w:rPr>
          <w:rtl/>
          <w:lang w:bidi="fa-IR"/>
        </w:rPr>
        <w:t xml:space="preserve">قَالَ : « لَمْ تَبْكِ </w:t>
      </w:r>
      <w:r w:rsidRPr="00D10E3C">
        <w:rPr>
          <w:rStyle w:val="libFootnotenumChar"/>
          <w:rtl/>
        </w:rPr>
        <w:t>(12)</w:t>
      </w:r>
      <w:r>
        <w:rPr>
          <w:rtl/>
          <w:lang w:bidi="fa-IR"/>
        </w:rPr>
        <w:t xml:space="preserve"> عَلَيْهِ الْبَصْرَةُ وَلَادِمَشْقُ ، وَلَا آلُ عُثْمَانَ عَلَيْهِمْ لَعْنَةُ اللهِ </w:t>
      </w:r>
      <w:r w:rsidRPr="00D10E3C">
        <w:rPr>
          <w:rStyle w:val="libFootnotenumChar"/>
          <w:rtl/>
        </w:rPr>
        <w:t>(13)</w:t>
      </w:r>
      <w:r>
        <w:rPr>
          <w:rtl/>
          <w:lang w:bidi="fa-IR"/>
        </w:rPr>
        <w:t xml:space="preserve"> ».</w:t>
      </w:r>
    </w:p>
    <w:p w:rsidR="00744A1C" w:rsidRDefault="00744A1C" w:rsidP="00744A1C">
      <w:pPr>
        <w:pStyle w:val="libNormal"/>
        <w:rPr>
          <w:lang w:bidi="fa-IR"/>
        </w:rPr>
      </w:pPr>
      <w:r>
        <w:rPr>
          <w:rtl/>
          <w:lang w:bidi="fa-IR"/>
        </w:rPr>
        <w:t xml:space="preserve">قُلْتُ جُعِلْتُ فِدَاكَ ، إِنِّي أُرِيدُ أَنْ أَزُورَهُ ، فَكَيْفَ أَقُولُ </w:t>
      </w:r>
      <w:r w:rsidRPr="00D10E3C">
        <w:rPr>
          <w:rStyle w:val="libFootnotenumChar"/>
          <w:rtl/>
        </w:rPr>
        <w:t>(14)</w:t>
      </w:r>
      <w:r>
        <w:rPr>
          <w:rtl/>
          <w:lang w:bidi="fa-IR"/>
        </w:rPr>
        <w:t xml:space="preserve">؟ وَكَيْفَ أَصْنَعُ </w:t>
      </w:r>
      <w:r w:rsidRPr="00D10E3C">
        <w:rPr>
          <w:rStyle w:val="libFootnotenumChar"/>
          <w:rtl/>
        </w:rPr>
        <w:t>(15)</w:t>
      </w:r>
      <w:r>
        <w:rPr>
          <w:rtl/>
          <w:lang w:bidi="fa-IR"/>
        </w:rPr>
        <w:t>؟</w:t>
      </w:r>
    </w:p>
    <w:p w:rsidR="00744A1C" w:rsidRDefault="00744A1C" w:rsidP="00744A1C">
      <w:pPr>
        <w:pStyle w:val="libNormal"/>
        <w:rPr>
          <w:lang w:bidi="fa-IR"/>
        </w:rPr>
      </w:pPr>
      <w:r>
        <w:rPr>
          <w:rtl/>
          <w:lang w:bidi="fa-IR"/>
        </w:rPr>
        <w:t xml:space="preserve">قَالَ </w:t>
      </w:r>
      <w:r w:rsidRPr="00D10E3C">
        <w:rPr>
          <w:rStyle w:val="libFootnotenumChar"/>
          <w:rtl/>
        </w:rPr>
        <w:t>(16)</w:t>
      </w:r>
      <w:r>
        <w:rPr>
          <w:rtl/>
          <w:lang w:bidi="fa-IR"/>
        </w:rPr>
        <w:t xml:space="preserve"> : « إِذَا أَتَيْتَ أَبَا عَبْدِ اللهِ </w:t>
      </w:r>
      <w:r w:rsidRPr="00D10E3C">
        <w:rPr>
          <w:rStyle w:val="libFootnotenumChar"/>
          <w:rtl/>
        </w:rPr>
        <w:t>(17)</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فَاغْتَسِلْ عَلى شَاطِئِ الْفُرَاتِ ، ثُمَّ الْبَسْ ثِيَابَكَ الطَّاهِرَةَ ، ثُمَّ امْشِ حَافِياً ، فَإِنَّكَ فِي حَرَمٍ مِنْ حَرَمِ اللهِ وَحَرَمِ رَسُولِهِ ، وَعَلَيْكَ بِالتَّكْبِيرِ وَالتَّهْلِيلِ وَالتَّسْبِيحِ وَالتَّحْمِيدِ </w:t>
      </w:r>
      <w:r w:rsidRPr="00D10E3C">
        <w:rPr>
          <w:rStyle w:val="libFootnotenumChar"/>
          <w:rtl/>
        </w:rPr>
        <w:t>(18)</w:t>
      </w:r>
      <w:r>
        <w:rPr>
          <w:rtl/>
          <w:lang w:bidi="fa-IR"/>
        </w:rPr>
        <w:t xml:space="preserve"> وَالتَّعْظِيمِ لِلّهِ عَزَّ وَجَلَّ كَثِيراً ، وَالصَّلَاةِ عَلى‌</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w:t>
      </w:r>
      <w:r w:rsidR="00744A1C" w:rsidRPr="004C7F81">
        <w:rPr>
          <w:rtl/>
        </w:rPr>
        <w:t>وكامل الزيارات</w:t>
      </w:r>
      <w:r w:rsidR="00744A1C">
        <w:rPr>
          <w:rtl/>
          <w:lang w:bidi="fa-IR"/>
        </w:rPr>
        <w:t xml:space="preserve"> ، ص 197 وص 80 : - « الحسين ».</w:t>
      </w:r>
    </w:p>
    <w:tbl>
      <w:tblPr>
        <w:tblStyle w:val="TableGrid"/>
        <w:bidiVisual/>
        <w:tblW w:w="0" w:type="auto"/>
        <w:tblLook w:val="04A0" w:firstRow="1" w:lastRow="0" w:firstColumn="1" w:lastColumn="0" w:noHBand="0" w:noVBand="1"/>
      </w:tblPr>
      <w:tblGrid>
        <w:gridCol w:w="4006"/>
        <w:gridCol w:w="4006"/>
      </w:tblGrid>
      <w:tr w:rsidR="004C7F81" w:rsidTr="004C7F81">
        <w:tc>
          <w:tcPr>
            <w:tcW w:w="4006" w:type="dxa"/>
          </w:tcPr>
          <w:p w:rsidR="004C7F81" w:rsidRDefault="004C7F81" w:rsidP="00E378DD">
            <w:pPr>
              <w:pStyle w:val="libFootnote0"/>
              <w:rPr>
                <w:rtl/>
                <w:lang w:bidi="fa-IR"/>
              </w:rPr>
            </w:pPr>
            <w:r>
              <w:rPr>
                <w:rtl/>
                <w:lang w:bidi="fa-IR"/>
              </w:rPr>
              <w:t>(2). في حاشية « بح » : « ومن ».</w:t>
            </w:r>
          </w:p>
        </w:tc>
        <w:tc>
          <w:tcPr>
            <w:tcW w:w="4006" w:type="dxa"/>
          </w:tcPr>
          <w:p w:rsidR="004C7F81" w:rsidRDefault="004C7F81" w:rsidP="00E378DD">
            <w:pPr>
              <w:pStyle w:val="libFootnote0"/>
              <w:rPr>
                <w:rtl/>
                <w:lang w:bidi="fa-IR"/>
              </w:rPr>
            </w:pPr>
            <w:r>
              <w:rPr>
                <w:rtl/>
                <w:lang w:bidi="fa-IR"/>
              </w:rPr>
              <w:t>(3). في «بح ، بخ ، بف»و</w:t>
            </w:r>
            <w:r w:rsidRPr="00C24F9C">
              <w:rPr>
                <w:rStyle w:val="libFootnoteBoldChar"/>
                <w:rtl/>
              </w:rPr>
              <w:t>الوافي</w:t>
            </w:r>
            <w:r>
              <w:rPr>
                <w:rtl/>
                <w:lang w:bidi="fa-IR"/>
              </w:rPr>
              <w:t xml:space="preserve"> : + « وما تحتهنّ ».</w:t>
            </w:r>
          </w:p>
        </w:tc>
      </w:tr>
      <w:tr w:rsidR="004C7F81" w:rsidTr="004C7F81">
        <w:tc>
          <w:tcPr>
            <w:tcW w:w="4006" w:type="dxa"/>
          </w:tcPr>
          <w:p w:rsidR="004C7F81" w:rsidRDefault="004C7F81" w:rsidP="00E378DD">
            <w:pPr>
              <w:pStyle w:val="libFootnote0"/>
              <w:rPr>
                <w:rtl/>
                <w:lang w:bidi="fa-IR"/>
              </w:rPr>
            </w:pPr>
            <w:r>
              <w:rPr>
                <w:rtl/>
                <w:lang w:bidi="fa-IR"/>
              </w:rPr>
              <w:t>(4). في حاشية « بح » : « ومن ».</w:t>
            </w:r>
          </w:p>
        </w:tc>
        <w:tc>
          <w:tcPr>
            <w:tcW w:w="4006" w:type="dxa"/>
          </w:tcPr>
          <w:p w:rsidR="004C7F81" w:rsidRDefault="004C7F81" w:rsidP="00E378DD">
            <w:pPr>
              <w:pStyle w:val="libFootnote0"/>
              <w:rPr>
                <w:rtl/>
                <w:lang w:bidi="fa-IR"/>
              </w:rPr>
            </w:pPr>
            <w:r>
              <w:rPr>
                <w:rtl/>
                <w:lang w:bidi="fa-IR"/>
              </w:rPr>
              <w:t>(5). في « جن » : « وما تحتهنّ » بدل « وما بينهنّ ».</w:t>
            </w:r>
          </w:p>
        </w:tc>
      </w:tr>
    </w:tbl>
    <w:p w:rsidR="00744A1C" w:rsidRDefault="00E378DD" w:rsidP="00E378DD">
      <w:pPr>
        <w:pStyle w:val="libFootnote0"/>
        <w:rPr>
          <w:lang w:bidi="fa-IR"/>
        </w:rPr>
      </w:pPr>
      <w:r>
        <w:rPr>
          <w:rtl/>
          <w:lang w:bidi="fa-IR"/>
        </w:rPr>
        <w:t>(6).</w:t>
      </w:r>
      <w:r w:rsidR="00744A1C">
        <w:rPr>
          <w:rtl/>
          <w:lang w:bidi="fa-IR"/>
        </w:rPr>
        <w:t xml:space="preserve"> في « بخ ، بف » وحاشية « بث ، بح » و</w:t>
      </w:r>
      <w:r w:rsidR="00744A1C" w:rsidRPr="00C24F9C">
        <w:rPr>
          <w:rStyle w:val="libFootnoteBoldChar"/>
          <w:rtl/>
        </w:rPr>
        <w:t>الوافي</w:t>
      </w:r>
      <w:r w:rsidR="00744A1C">
        <w:rPr>
          <w:rtl/>
          <w:lang w:bidi="fa-IR"/>
        </w:rPr>
        <w:t xml:space="preserve"> : « وما ».</w:t>
      </w:r>
    </w:p>
    <w:p w:rsidR="00744A1C" w:rsidRDefault="00E378DD" w:rsidP="00E378DD">
      <w:pPr>
        <w:pStyle w:val="libFootnote0"/>
        <w:rPr>
          <w:lang w:bidi="fa-IR"/>
        </w:rPr>
      </w:pPr>
      <w:r>
        <w:rPr>
          <w:rtl/>
          <w:lang w:bidi="fa-IR"/>
        </w:rPr>
        <w:t>(7).</w:t>
      </w:r>
      <w:r w:rsidR="00744A1C">
        <w:rPr>
          <w:rtl/>
          <w:lang w:bidi="fa-IR"/>
        </w:rPr>
        <w:t xml:space="preserve"> في « بح ، جد » و</w:t>
      </w:r>
      <w:r w:rsidR="00744A1C" w:rsidRPr="00C24F9C">
        <w:rPr>
          <w:rStyle w:val="libFootnoteBoldChar"/>
          <w:rtl/>
        </w:rPr>
        <w:t>الوسائل</w:t>
      </w:r>
      <w:r w:rsidR="00744A1C">
        <w:rPr>
          <w:rtl/>
          <w:lang w:bidi="fa-IR"/>
        </w:rPr>
        <w:t xml:space="preserve"> ، ح 19701 : « يتقلّب ».</w:t>
      </w:r>
    </w:p>
    <w:p w:rsidR="00744A1C" w:rsidRDefault="00E378DD" w:rsidP="00E378DD">
      <w:pPr>
        <w:pStyle w:val="libFootnote0"/>
        <w:rPr>
          <w:lang w:bidi="fa-IR"/>
        </w:rPr>
      </w:pPr>
      <w:r>
        <w:rPr>
          <w:rtl/>
          <w:lang w:bidi="fa-IR"/>
        </w:rPr>
        <w:t>(8).</w:t>
      </w:r>
      <w:r w:rsidR="00744A1C">
        <w:rPr>
          <w:rtl/>
          <w:lang w:bidi="fa-IR"/>
        </w:rPr>
        <w:t xml:space="preserve"> في « بح ، بخ ، بف ، جد » و</w:t>
      </w:r>
      <w:r w:rsidR="00744A1C" w:rsidRPr="007B299E">
        <w:rPr>
          <w:rStyle w:val="libFootnoteBoldChar"/>
          <w:rtl/>
        </w:rPr>
        <w:t>كامل الزيارات</w:t>
      </w:r>
      <w:r w:rsidR="00744A1C">
        <w:rPr>
          <w:rtl/>
          <w:lang w:bidi="fa-IR"/>
        </w:rPr>
        <w:t xml:space="preserve"> ، ص 197 وص 80 : - « الحسين ».</w:t>
      </w:r>
    </w:p>
    <w:tbl>
      <w:tblPr>
        <w:tblStyle w:val="TableGrid"/>
        <w:bidiVisual/>
        <w:tblW w:w="0" w:type="auto"/>
        <w:tblLook w:val="04A0" w:firstRow="1" w:lastRow="0" w:firstColumn="1" w:lastColumn="0" w:noHBand="0" w:noVBand="1"/>
      </w:tblPr>
      <w:tblGrid>
        <w:gridCol w:w="4006"/>
        <w:gridCol w:w="4006"/>
      </w:tblGrid>
      <w:tr w:rsidR="004C7F81" w:rsidTr="004C7F81">
        <w:tc>
          <w:tcPr>
            <w:tcW w:w="4006" w:type="dxa"/>
          </w:tcPr>
          <w:p w:rsidR="004C7F81" w:rsidRDefault="00BF597E" w:rsidP="00E378DD">
            <w:pPr>
              <w:pStyle w:val="libFootnote0"/>
              <w:rPr>
                <w:rtl/>
                <w:lang w:bidi="fa-IR"/>
              </w:rPr>
            </w:pPr>
            <w:r>
              <w:rPr>
                <w:rtl/>
                <w:lang w:bidi="fa-IR"/>
              </w:rPr>
              <w:t>(9). في « بث ، جن » : « لم يبك ».</w:t>
            </w:r>
          </w:p>
        </w:tc>
        <w:tc>
          <w:tcPr>
            <w:tcW w:w="4006" w:type="dxa"/>
          </w:tcPr>
          <w:p w:rsidR="004C7F81" w:rsidRDefault="00BF597E" w:rsidP="00E378DD">
            <w:pPr>
              <w:pStyle w:val="libFootnote0"/>
              <w:rPr>
                <w:rtl/>
                <w:lang w:bidi="fa-IR"/>
              </w:rPr>
            </w:pPr>
            <w:r>
              <w:rPr>
                <w:rtl/>
                <w:lang w:bidi="fa-IR"/>
              </w:rPr>
              <w:t xml:space="preserve">(10). في </w:t>
            </w:r>
            <w:r w:rsidRPr="00C24F9C">
              <w:rPr>
                <w:rStyle w:val="libFootnoteBoldChar"/>
                <w:rtl/>
              </w:rPr>
              <w:t>الوسائل</w:t>
            </w:r>
            <w:r>
              <w:rPr>
                <w:rtl/>
                <w:lang w:bidi="fa-IR"/>
              </w:rPr>
              <w:t>،ح 19701 : - « جعلت فداك ».</w:t>
            </w:r>
          </w:p>
        </w:tc>
      </w:tr>
      <w:tr w:rsidR="004C7F81" w:rsidTr="004C7F81">
        <w:tc>
          <w:tcPr>
            <w:tcW w:w="4006" w:type="dxa"/>
          </w:tcPr>
          <w:p w:rsidR="004C7F81" w:rsidRDefault="00BF597E" w:rsidP="00E378DD">
            <w:pPr>
              <w:pStyle w:val="libFootnote0"/>
              <w:rPr>
                <w:rtl/>
                <w:lang w:bidi="fa-IR"/>
              </w:rPr>
            </w:pPr>
            <w:r>
              <w:rPr>
                <w:rtl/>
                <w:lang w:bidi="fa-IR"/>
              </w:rPr>
              <w:t>(11). في « جن » : - « الثلاثة ».</w:t>
            </w:r>
          </w:p>
        </w:tc>
        <w:tc>
          <w:tcPr>
            <w:tcW w:w="4006" w:type="dxa"/>
          </w:tcPr>
          <w:p w:rsidR="004C7F81" w:rsidRDefault="00BF597E" w:rsidP="00E378DD">
            <w:pPr>
              <w:pStyle w:val="libFootnote0"/>
              <w:rPr>
                <w:rtl/>
                <w:lang w:bidi="fa-IR"/>
              </w:rPr>
            </w:pPr>
            <w:r>
              <w:rPr>
                <w:rtl/>
                <w:lang w:bidi="fa-IR"/>
              </w:rPr>
              <w:t>(12). في « جن » : « لم يبك ».</w:t>
            </w:r>
          </w:p>
        </w:tc>
      </w:tr>
    </w:tbl>
    <w:p w:rsidR="00744A1C" w:rsidRDefault="00E378DD" w:rsidP="00E378DD">
      <w:pPr>
        <w:pStyle w:val="libFootnote0"/>
        <w:rPr>
          <w:lang w:bidi="fa-IR"/>
        </w:rPr>
      </w:pPr>
      <w:r>
        <w:rPr>
          <w:rtl/>
          <w:lang w:bidi="fa-IR"/>
        </w:rPr>
        <w:t>(13).</w:t>
      </w:r>
      <w:r w:rsidR="00744A1C">
        <w:rPr>
          <w:rtl/>
          <w:lang w:bidi="fa-IR"/>
        </w:rPr>
        <w:t xml:space="preserve"> في </w:t>
      </w:r>
      <w:r w:rsidR="00744A1C" w:rsidRPr="000B1C3F">
        <w:rPr>
          <w:rStyle w:val="libFootnoteBoldChar"/>
          <w:rtl/>
        </w:rPr>
        <w:t>الأمالي للطوسي</w:t>
      </w:r>
      <w:r w:rsidR="00744A1C">
        <w:rPr>
          <w:rtl/>
          <w:lang w:bidi="fa-IR"/>
        </w:rPr>
        <w:t xml:space="preserve"> : « ولا آل الحكم بن أبي العاص » بدل « ولا آل عثمان عليهم لعنة الله ».</w:t>
      </w:r>
    </w:p>
    <w:p w:rsidR="00744A1C" w:rsidRDefault="00E378DD" w:rsidP="00BF597E">
      <w:pPr>
        <w:pStyle w:val="libFootnote0"/>
        <w:rPr>
          <w:lang w:bidi="fa-IR"/>
        </w:rPr>
      </w:pPr>
      <w:r>
        <w:rPr>
          <w:rtl/>
          <w:lang w:bidi="fa-IR"/>
        </w:rPr>
        <w:t>(14).</w:t>
      </w:r>
      <w:r w:rsidR="00744A1C">
        <w:rPr>
          <w:rtl/>
          <w:lang w:bidi="fa-IR"/>
        </w:rPr>
        <w:t xml:space="preserve"> في </w:t>
      </w:r>
      <w:r w:rsidR="00744A1C" w:rsidRPr="00C24F9C">
        <w:rPr>
          <w:rStyle w:val="libFootnoteBoldChar"/>
          <w:rtl/>
        </w:rPr>
        <w:t>الوسائل</w:t>
      </w:r>
      <w:r w:rsidR="00744A1C">
        <w:rPr>
          <w:rtl/>
          <w:lang w:bidi="fa-IR"/>
        </w:rPr>
        <w:t xml:space="preserve"> ، ح 19672 : « فقال : اذا أردت زيارة الحسين كيف أصنع؟ » بدل « قلت : جعلت فداك ، إنّي ا</w:t>
      </w:r>
      <w:r w:rsidR="00BF597E">
        <w:rPr>
          <w:rFonts w:hint="cs"/>
          <w:rtl/>
          <w:lang w:bidi="fa-IR"/>
        </w:rPr>
        <w:t>ُ</w:t>
      </w:r>
      <w:r w:rsidR="00744A1C">
        <w:rPr>
          <w:rtl/>
          <w:lang w:bidi="fa-IR"/>
        </w:rPr>
        <w:t>ريد أن أزوره ، فكيف أقول؟ ».</w:t>
      </w:r>
      <w:r w:rsidR="00BF597E">
        <w:rPr>
          <w:rFonts w:hint="cs"/>
          <w:rtl/>
          <w:lang w:bidi="fa-IR"/>
        </w:rPr>
        <w:t xml:space="preserve">                      </w:t>
      </w:r>
      <w:r>
        <w:rPr>
          <w:rtl/>
          <w:lang w:bidi="fa-IR"/>
        </w:rPr>
        <w:t>(15).</w:t>
      </w:r>
      <w:r w:rsidR="00744A1C">
        <w:rPr>
          <w:rtl/>
          <w:lang w:bidi="fa-IR"/>
        </w:rPr>
        <w:t xml:space="preserve"> في </w:t>
      </w:r>
      <w:r w:rsidR="00744A1C" w:rsidRPr="00C24F9C">
        <w:rPr>
          <w:rStyle w:val="libFootnoteBoldChar"/>
          <w:rtl/>
        </w:rPr>
        <w:t>الوسائل</w:t>
      </w:r>
      <w:r w:rsidR="00744A1C">
        <w:rPr>
          <w:rtl/>
          <w:lang w:bidi="fa-IR"/>
        </w:rPr>
        <w:t xml:space="preserve"> ، ح 19672 : « أقول ».</w:t>
      </w:r>
    </w:p>
    <w:p w:rsidR="00744A1C" w:rsidRDefault="00744A1C" w:rsidP="00D10E3C">
      <w:pPr>
        <w:pStyle w:val="libFootnote0"/>
        <w:rPr>
          <w:lang w:bidi="fa-IR"/>
        </w:rPr>
      </w:pPr>
      <w:r>
        <w:rPr>
          <w:rtl/>
          <w:lang w:bidi="fa-IR"/>
        </w:rPr>
        <w:t xml:space="preserve">(16) في </w:t>
      </w:r>
      <w:r w:rsidRPr="00C24F9C">
        <w:rPr>
          <w:rStyle w:val="libFootnoteBoldChar"/>
          <w:rtl/>
        </w:rPr>
        <w:t>التهذيب</w:t>
      </w:r>
      <w:r>
        <w:rPr>
          <w:rtl/>
          <w:lang w:bidi="fa-IR"/>
        </w:rPr>
        <w:t xml:space="preserve"> : « إذا أردت زيارة الحسين </w:t>
      </w:r>
      <w:r w:rsidR="0061079A" w:rsidRPr="0061079A">
        <w:rPr>
          <w:rStyle w:val="libFootnoteAlaemChar"/>
          <w:rtl/>
        </w:rPr>
        <w:t>عليه‌السلام</w:t>
      </w:r>
      <w:r w:rsidR="00D10E3C">
        <w:rPr>
          <w:rtl/>
          <w:lang w:bidi="fa-IR"/>
        </w:rPr>
        <w:t xml:space="preserve"> </w:t>
      </w:r>
      <w:r>
        <w:rPr>
          <w:rtl/>
          <w:lang w:bidi="fa-IR"/>
        </w:rPr>
        <w:t>كيف أصنع؟ ، وكيف أقول؟ فقال له » بدل « جعلت فداك إنّي أحضرمجلس هؤلاء القوم - إلى قوله - وكيف أصنع؟ قال ».</w:t>
      </w:r>
    </w:p>
    <w:p w:rsidR="00744A1C" w:rsidRDefault="00744A1C" w:rsidP="00D10E3C">
      <w:pPr>
        <w:pStyle w:val="libFootnote0"/>
        <w:rPr>
          <w:lang w:bidi="fa-IR"/>
        </w:rPr>
      </w:pPr>
      <w:r>
        <w:rPr>
          <w:rtl/>
          <w:lang w:bidi="fa-IR"/>
        </w:rPr>
        <w:t>(17) في « ى ، بث ، بس » : + « الحسين ».</w:t>
      </w:r>
    </w:p>
    <w:p w:rsidR="00744A1C" w:rsidRDefault="00744A1C" w:rsidP="00D10E3C">
      <w:pPr>
        <w:pStyle w:val="libFootnote0"/>
        <w:rPr>
          <w:lang w:bidi="fa-IR"/>
        </w:rPr>
      </w:pPr>
      <w:r>
        <w:rPr>
          <w:rtl/>
          <w:lang w:bidi="fa-IR"/>
        </w:rPr>
        <w:t>(18) في « ى ، بح ، بس ، بف ، جد » و</w:t>
      </w:r>
      <w:r w:rsidRPr="00C24F9C">
        <w:rPr>
          <w:rStyle w:val="libFootnoteBoldChar"/>
          <w:rtl/>
        </w:rPr>
        <w:t>الوافي</w:t>
      </w:r>
      <w:r>
        <w:rPr>
          <w:rtl/>
          <w:lang w:bidi="fa-IR"/>
        </w:rPr>
        <w:t xml:space="preserve"> و</w:t>
      </w:r>
      <w:r w:rsidRPr="00C24F9C">
        <w:rPr>
          <w:rStyle w:val="libFootnoteBoldChar"/>
          <w:rtl/>
        </w:rPr>
        <w:t>الوسائل</w:t>
      </w:r>
      <w:r>
        <w:rPr>
          <w:rtl/>
          <w:lang w:bidi="fa-IR"/>
        </w:rPr>
        <w:t xml:space="preserve"> ، ح 19672 : « والتمجيد ». وفي </w:t>
      </w:r>
      <w:r w:rsidRPr="00C24F9C">
        <w:rPr>
          <w:rStyle w:val="libFootnoteBoldChar"/>
          <w:rtl/>
        </w:rPr>
        <w:t>الفقيه</w:t>
      </w:r>
      <w:r>
        <w:rPr>
          <w:rtl/>
          <w:lang w:bidi="fa-IR"/>
        </w:rPr>
        <w:t xml:space="preserve"> </w:t>
      </w:r>
      <w:r w:rsidRPr="0061079A">
        <w:rPr>
          <w:rStyle w:val="libFootnoteBoldChar"/>
          <w:rtl/>
        </w:rPr>
        <w:t>والتهذيب</w:t>
      </w:r>
      <w:r>
        <w:rPr>
          <w:rtl/>
          <w:lang w:bidi="fa-IR"/>
        </w:rPr>
        <w:t xml:space="preserve"> ، ح 131 و</w:t>
      </w:r>
      <w:r w:rsidRPr="007B299E">
        <w:rPr>
          <w:rStyle w:val="libFootnoteBoldChar"/>
          <w:rtl/>
        </w:rPr>
        <w:t>كامل الزيارات</w:t>
      </w:r>
      <w:r>
        <w:rPr>
          <w:rtl/>
          <w:lang w:bidi="fa-IR"/>
        </w:rPr>
        <w:t xml:space="preserve"> ، ص 197 : « التمجيد » بدل « التسبيح والتحميد ».</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 xml:space="preserve">مُحَمَّدٍ وَأَهْلِ بَيْتِهِ حَتّى تَصِيرَ إِلى بَابِ الْحَيْرِ </w:t>
      </w:r>
      <w:r w:rsidRPr="00D10E3C">
        <w:rPr>
          <w:rStyle w:val="libFootnotenumChar"/>
          <w:rtl/>
        </w:rPr>
        <w:t>(1)</w:t>
      </w:r>
      <w:r>
        <w:rPr>
          <w:rtl/>
          <w:lang w:bidi="fa-IR"/>
        </w:rPr>
        <w:t xml:space="preserve"> ، ثُمَّ تَقُولُ : السَّلَامُ عَلَيْكَ يَا حُجَّةَ اللهِ وَابْنَ حُجَّتِهِ ، السَّلَامُ عَلَيْكُمْ يَا مَلَائِكَةَ اللهِ وَزُوَّارَ قَبْرِ ابْنِ نَبِيِّ اللهِ.</w:t>
      </w:r>
    </w:p>
    <w:p w:rsidR="00744A1C" w:rsidRDefault="00744A1C" w:rsidP="00744A1C">
      <w:pPr>
        <w:pStyle w:val="libNormal"/>
        <w:rPr>
          <w:lang w:bidi="fa-IR"/>
        </w:rPr>
      </w:pPr>
      <w:r>
        <w:rPr>
          <w:rtl/>
          <w:lang w:bidi="fa-IR"/>
        </w:rPr>
        <w:t xml:space="preserve">ثُمَّ اخْطُ عَشْرَ خُطُوَاتٍ </w:t>
      </w:r>
      <w:r w:rsidRPr="00D10E3C">
        <w:rPr>
          <w:rStyle w:val="libFootnotenumChar"/>
          <w:rtl/>
        </w:rPr>
        <w:t>(2)</w:t>
      </w:r>
      <w:r>
        <w:rPr>
          <w:rtl/>
          <w:lang w:bidi="fa-IR"/>
        </w:rPr>
        <w:t xml:space="preserve"> ، ثُمَّ قِفْ وَكَبِّرْ </w:t>
      </w:r>
      <w:r w:rsidRPr="00D10E3C">
        <w:rPr>
          <w:rStyle w:val="libFootnotenumChar"/>
          <w:rtl/>
        </w:rPr>
        <w:t>(3)</w:t>
      </w:r>
      <w:r>
        <w:rPr>
          <w:rtl/>
          <w:lang w:bidi="fa-IR"/>
        </w:rPr>
        <w:t xml:space="preserve"> ثَلَاثِينَ تَكْبِيرَةً ، ثُمَّ امْشِ إِلَيْهِ حَتّى تَأْتِيَهُ مِنْ قِبَلِ وَجْهِهِ ، فَاسْتَقْبِلْ وَجْهَكَ بِوَجْهِهِ </w:t>
      </w:r>
      <w:r w:rsidRPr="00D10E3C">
        <w:rPr>
          <w:rStyle w:val="libFootnotenumChar"/>
          <w:rtl/>
        </w:rPr>
        <w:t>(4)</w:t>
      </w:r>
      <w:r>
        <w:rPr>
          <w:rtl/>
          <w:lang w:bidi="fa-IR"/>
        </w:rPr>
        <w:t xml:space="preserve"> ، وَتَجْعَلُ الْقِبْلَةَ بَيْنَ كَتِفَيْكَ ، ثُمَّ قُلِ : السَّلَامُ عَلَيْكَ يَا حُجَّةَ اللهِ وَابْنَ حُجَّتِهِ ، السَّلَامُ عَلَيْكَ يَا قَتِيلَ اللهِ </w:t>
      </w:r>
      <w:r w:rsidRPr="00D10E3C">
        <w:rPr>
          <w:rStyle w:val="libFootnotenumChar"/>
          <w:rtl/>
        </w:rPr>
        <w:t>(5)</w:t>
      </w:r>
      <w:r>
        <w:rPr>
          <w:rtl/>
          <w:lang w:bidi="fa-IR"/>
        </w:rPr>
        <w:t xml:space="preserve"> وَابْنَ قَتِيلِهِ </w:t>
      </w:r>
      <w:r w:rsidRPr="00D10E3C">
        <w:rPr>
          <w:rStyle w:val="libFootnotenumChar"/>
          <w:rtl/>
        </w:rPr>
        <w:t>(6)</w:t>
      </w:r>
      <w:r>
        <w:rPr>
          <w:rtl/>
          <w:lang w:bidi="fa-IR"/>
        </w:rPr>
        <w:t xml:space="preserve"> ، السَّلَامُ عَلَيْكَ يَا ثَارَ اللهِ وَابْنَ ثَارِهِ </w:t>
      </w:r>
      <w:r w:rsidRPr="00D10E3C">
        <w:rPr>
          <w:rStyle w:val="libFootnotenumChar"/>
          <w:rtl/>
        </w:rPr>
        <w:t>(7)</w:t>
      </w:r>
      <w:r>
        <w:rPr>
          <w:rtl/>
          <w:lang w:bidi="fa-IR"/>
        </w:rPr>
        <w:t xml:space="preserve"> ، السَّلَامُ عَلَيْكَ يَا وَتْرَ اللهِ الْمَوْتُورَ </w:t>
      </w:r>
      <w:r w:rsidRPr="00D10E3C">
        <w:rPr>
          <w:rStyle w:val="libFootnotenumChar"/>
          <w:rtl/>
        </w:rPr>
        <w:t>(8)</w:t>
      </w:r>
      <w:r>
        <w:rPr>
          <w:rtl/>
          <w:lang w:bidi="fa-IR"/>
        </w:rPr>
        <w:t xml:space="preserve"> فِي السَّمَاوَاتِ‌</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وحاشية « بف »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ح 131 و</w:t>
      </w:r>
      <w:r w:rsidR="00744A1C" w:rsidRPr="007B299E">
        <w:rPr>
          <w:rStyle w:val="libFootnoteBoldChar"/>
          <w:rtl/>
        </w:rPr>
        <w:t>كامل الزيارات</w:t>
      </w:r>
      <w:r w:rsidR="00744A1C">
        <w:rPr>
          <w:rtl/>
          <w:lang w:bidi="fa-IR"/>
        </w:rPr>
        <w:t xml:space="preserve"> ، ص 197 : « الحائر ». وفي هامش </w:t>
      </w:r>
      <w:r w:rsidR="00744A1C" w:rsidRPr="00C24F9C">
        <w:rPr>
          <w:rStyle w:val="libFootnoteBoldChar"/>
          <w:rtl/>
        </w:rPr>
        <w:t>الوافي</w:t>
      </w:r>
      <w:r w:rsidR="00744A1C">
        <w:rPr>
          <w:rtl/>
          <w:lang w:bidi="fa-IR"/>
        </w:rPr>
        <w:t>‌</w:t>
      </w:r>
      <w:r w:rsidR="00BF597E">
        <w:rPr>
          <w:rFonts w:hint="cs"/>
          <w:rtl/>
          <w:lang w:bidi="fa-IR"/>
        </w:rPr>
        <w:t xml:space="preserve"> </w:t>
      </w:r>
      <w:r w:rsidR="00744A1C">
        <w:rPr>
          <w:rtl/>
          <w:lang w:bidi="fa-IR"/>
        </w:rPr>
        <w:t xml:space="preserve">عن المحقّق الشعراني </w:t>
      </w:r>
      <w:r w:rsidR="00877682" w:rsidRPr="00877682">
        <w:rPr>
          <w:rStyle w:val="libFootnoteAlaemChar"/>
          <w:rtl/>
        </w:rPr>
        <w:t>رحمه‌الله</w:t>
      </w:r>
      <w:r w:rsidR="00744A1C">
        <w:rPr>
          <w:rtl/>
          <w:lang w:bidi="fa-IR"/>
        </w:rPr>
        <w:t>: « المستفاد من هذا الحديث أنّ الحائر كان أعظم من الحرم الحالي ، أعني تحت القبّة والرواق الواقع على أطرافه ، وذلك لأنّ الفاصلة بين الباب وما يقف فيه الزائر حول القبر الشريف كان أكثر من عشر خطوات ، ولا يبعد أن يستفاد منه أنّ باب الحائر كان في الضل</w:t>
      </w:r>
      <w:r w:rsidR="00BF597E">
        <w:rPr>
          <w:rtl/>
          <w:lang w:bidi="fa-IR"/>
        </w:rPr>
        <w:t>ع الجنوبي من جدار الحائر ، وإل</w:t>
      </w:r>
      <w:r w:rsidR="00BF597E">
        <w:rPr>
          <w:rFonts w:hint="cs"/>
          <w:rtl/>
          <w:lang w:bidi="fa-IR"/>
        </w:rPr>
        <w:t>ّ</w:t>
      </w:r>
      <w:r w:rsidR="00BF597E">
        <w:rPr>
          <w:rtl/>
          <w:lang w:bidi="fa-IR"/>
        </w:rPr>
        <w:t>ا</w:t>
      </w:r>
      <w:r w:rsidR="00744A1C">
        <w:rPr>
          <w:rtl/>
          <w:lang w:bidi="fa-IR"/>
        </w:rPr>
        <w:t xml:space="preserve"> لوجب التصريح بأنّك تدور ، أو تطوف ، أو تحول حتّى تأتيه من قبل وجهه </w:t>
      </w:r>
      <w:r w:rsidR="0061079A" w:rsidRPr="0061079A">
        <w:rPr>
          <w:rStyle w:val="libFootnoteAlaemChar"/>
          <w:rtl/>
        </w:rPr>
        <w:t>عليه‌السلام</w:t>
      </w:r>
      <w:r>
        <w:rPr>
          <w:rtl/>
          <w:lang w:bidi="fa-IR"/>
        </w:rPr>
        <w:t xml:space="preserve"> </w:t>
      </w:r>
      <w:r w:rsidR="00744A1C">
        <w:rPr>
          <w:rtl/>
          <w:lang w:bidi="fa-IR"/>
        </w:rPr>
        <w:t>، ولكن اكتفى بقوله : امش حتّى تأتيه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 ح 19672 </w:t>
      </w:r>
      <w:r w:rsidR="00744A1C" w:rsidRPr="00BF597E">
        <w:rPr>
          <w:rtl/>
        </w:rPr>
        <w:t>وكامل الزيارات ،</w:t>
      </w:r>
      <w:r w:rsidR="00744A1C">
        <w:rPr>
          <w:rtl/>
          <w:lang w:bidi="fa-IR"/>
        </w:rPr>
        <w:t xml:space="preserve"> ص 197 : « خطا ». وفي </w:t>
      </w:r>
      <w:r w:rsidR="00744A1C" w:rsidRPr="00BF597E">
        <w:rPr>
          <w:rtl/>
        </w:rPr>
        <w:t>الفقيه والتهذيب</w:t>
      </w:r>
      <w:r w:rsidR="00A6581D">
        <w:rPr>
          <w:rtl/>
          <w:lang w:bidi="fa-IR"/>
        </w:rPr>
        <w:t xml:space="preserve"> ، ح 131 : « خطى</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في « بح ، بف » </w:t>
      </w:r>
      <w:r w:rsidR="00744A1C" w:rsidRPr="00BF597E">
        <w:rPr>
          <w:rtl/>
        </w:rPr>
        <w:t>والوافي وكامل الزيارات ،</w:t>
      </w:r>
      <w:r w:rsidR="00744A1C">
        <w:rPr>
          <w:rtl/>
          <w:lang w:bidi="fa-IR"/>
        </w:rPr>
        <w:t xml:space="preserve"> ص 197 : « فكبّر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ح 131 : « واستقبل بوجهك وجهه » بدل « فاستقبل وجهك بوجهه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أي المقتول لله‌وفي سبيله ، أو الذي هو تعالى طالب دمه وثاره ».</w:t>
      </w:r>
    </w:p>
    <w:p w:rsidR="00744A1C" w:rsidRDefault="00E378DD" w:rsidP="00E378DD">
      <w:pPr>
        <w:pStyle w:val="libFootnote0"/>
        <w:rPr>
          <w:lang w:bidi="fa-IR"/>
        </w:rPr>
      </w:pPr>
      <w:r>
        <w:rPr>
          <w:rtl/>
          <w:lang w:bidi="fa-IR"/>
        </w:rPr>
        <w:t>(6).</w:t>
      </w:r>
      <w:r w:rsidR="00744A1C">
        <w:rPr>
          <w:rtl/>
          <w:lang w:bidi="fa-IR"/>
        </w:rPr>
        <w:t xml:space="preserve"> في « بخ » و</w:t>
      </w:r>
      <w:r w:rsidR="00744A1C" w:rsidRPr="00C24F9C">
        <w:rPr>
          <w:rStyle w:val="libFootnoteBoldChar"/>
          <w:rtl/>
        </w:rPr>
        <w:t>الوافي</w:t>
      </w:r>
      <w:r w:rsidR="00744A1C">
        <w:rPr>
          <w:rtl/>
          <w:lang w:bidi="fa-IR"/>
        </w:rPr>
        <w:t xml:space="preserve"> : « يا قتيل ابن القتيل ».</w:t>
      </w:r>
    </w:p>
    <w:p w:rsidR="00744A1C" w:rsidRDefault="00E378DD" w:rsidP="00E378DD">
      <w:pPr>
        <w:pStyle w:val="libFootnote0"/>
        <w:rPr>
          <w:lang w:bidi="fa-IR"/>
        </w:rPr>
      </w:pPr>
      <w:r>
        <w:rPr>
          <w:rtl/>
          <w:lang w:bidi="fa-IR"/>
        </w:rPr>
        <w:t>(7).</w:t>
      </w:r>
      <w:r w:rsidR="00744A1C">
        <w:rPr>
          <w:rtl/>
          <w:lang w:bidi="fa-IR"/>
        </w:rPr>
        <w:t xml:space="preserve"> الثأر : الدم ، وطلب الدم. وأنّك ثار الله ، أي أنّك أهل ثار الله والذي يطلب الله بدمه من أعدائه ، أو هو الطالب‌بدمه ودماء أهل بيته بأمر الله في الرجعة. راجع : </w:t>
      </w:r>
      <w:r w:rsidR="00744A1C" w:rsidRPr="0061079A">
        <w:rPr>
          <w:rStyle w:val="libFootnoteBoldChar"/>
          <w:rtl/>
        </w:rPr>
        <w:t>البحار</w:t>
      </w:r>
      <w:r w:rsidR="00744A1C">
        <w:rPr>
          <w:rtl/>
          <w:lang w:bidi="fa-IR"/>
        </w:rPr>
        <w:t xml:space="preserve"> ، ج 98 ، ص 150 ، ذيل ح 1 ؛ </w:t>
      </w:r>
      <w:r w:rsidR="00744A1C" w:rsidRPr="00877682">
        <w:rPr>
          <w:rStyle w:val="libFootnoteBoldChar"/>
          <w:rtl/>
        </w:rPr>
        <w:t>لسان العرب</w:t>
      </w:r>
      <w:r w:rsidR="00744A1C">
        <w:rPr>
          <w:rtl/>
          <w:lang w:bidi="fa-IR"/>
        </w:rPr>
        <w:t xml:space="preserve"> ، ج 4 ، ص 97 ( ثأر ).</w:t>
      </w:r>
    </w:p>
    <w:p w:rsidR="00744A1C" w:rsidRDefault="00E378DD" w:rsidP="00E378DD">
      <w:pPr>
        <w:pStyle w:val="libFootnote0"/>
        <w:rPr>
          <w:lang w:bidi="fa-IR"/>
        </w:rPr>
      </w:pPr>
      <w:r>
        <w:rPr>
          <w:rtl/>
          <w:lang w:bidi="fa-IR"/>
        </w:rPr>
        <w:t>(8).</w:t>
      </w:r>
      <w:r w:rsidR="00744A1C">
        <w:rPr>
          <w:rtl/>
          <w:lang w:bidi="fa-IR"/>
        </w:rPr>
        <w:t xml:space="preserve"> الوتر ، بالفتح والكسر : الفرد ، والذحْل - وهو الثار - ، والجناية التي يجنيها الرجل على غيره من قتل حميمه وسلب أهله وماله.</w:t>
      </w:r>
    </w:p>
    <w:p w:rsidR="00744A1C" w:rsidRDefault="00744A1C" w:rsidP="00D10E3C">
      <w:pPr>
        <w:pStyle w:val="libFootnote0"/>
        <w:rPr>
          <w:lang w:bidi="fa-IR"/>
        </w:rPr>
      </w:pPr>
      <w:r>
        <w:rPr>
          <w:rtl/>
          <w:lang w:bidi="fa-IR"/>
        </w:rPr>
        <w:t>ومعنى « وتر الله » على الأوّل : أنّه متفرّد في الكمال والفضل في عصره الشريف ، أو أنّه فرد في عبادة الله ، أو محبّته ، أو أنّه فرد في مرتبته عند الله. وعلى الثاني : أنّه ثار الله. وعلى الثالث : أنّه الذي قتل في سبيل الله ، وقتل أقرباؤه وأصحابه ، وسلب أمواله.</w:t>
      </w:r>
    </w:p>
    <w:p w:rsidR="00744A1C" w:rsidRDefault="00744A1C" w:rsidP="00D10E3C">
      <w:pPr>
        <w:pStyle w:val="libFootnote0"/>
        <w:rPr>
          <w:lang w:bidi="fa-IR"/>
        </w:rPr>
      </w:pPr>
      <w:r>
        <w:rPr>
          <w:rtl/>
          <w:lang w:bidi="fa-IR"/>
        </w:rPr>
        <w:t xml:space="preserve">وأمّا الموتور فهو الذي قتل له قتيل فلم يدرك بدمه ، من الوتر. بمعنى النقص ، أو هو الذي لم يطلب دمه الملائكة ولا بنو آدم إلى الآن. راجع : </w:t>
      </w:r>
      <w:r w:rsidRPr="00877682">
        <w:rPr>
          <w:rStyle w:val="libFootnoteBoldChar"/>
          <w:rtl/>
        </w:rPr>
        <w:t>لسان العرب</w:t>
      </w:r>
      <w:r>
        <w:rPr>
          <w:rtl/>
          <w:lang w:bidi="fa-IR"/>
        </w:rPr>
        <w:t xml:space="preserve"> ، ج 5 ، ص 273 و 274 ( وتر ) ؛ روضة المتّقين ، ج 5 ، ص 428 ؛ </w:t>
      </w:r>
      <w:r w:rsidRPr="00877682">
        <w:rPr>
          <w:rStyle w:val="libFootnoteBoldChar"/>
          <w:rtl/>
        </w:rPr>
        <w:t>مرآة العقول</w:t>
      </w:r>
      <w:r>
        <w:rPr>
          <w:rtl/>
          <w:lang w:bidi="fa-IR"/>
        </w:rPr>
        <w:t xml:space="preserve"> ، ج 18 ، ص 298 ؛ ملاذ الأخيار ، ج 9 ، ص 133.</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 xml:space="preserve">وَالْأَرْضِ </w:t>
      </w:r>
      <w:r w:rsidRPr="00D10E3C">
        <w:rPr>
          <w:rStyle w:val="libFootnotenumChar"/>
          <w:rtl/>
        </w:rPr>
        <w:t>(1)</w:t>
      </w:r>
      <w:r>
        <w:rPr>
          <w:rtl/>
          <w:lang w:bidi="fa-IR"/>
        </w:rPr>
        <w:t xml:space="preserve"> ، أَشْهَدُ أَنَّ دَمَكَ سَكَنَ فِي الْخُلْدِ </w:t>
      </w:r>
      <w:r w:rsidRPr="00D10E3C">
        <w:rPr>
          <w:rStyle w:val="libFootnotenumChar"/>
          <w:rtl/>
        </w:rPr>
        <w:t>(2)</w:t>
      </w:r>
      <w:r>
        <w:rPr>
          <w:rtl/>
          <w:lang w:bidi="fa-IR"/>
        </w:rPr>
        <w:t xml:space="preserve"> ، وَاقْشَعَرَّتْ لَهُ أَظِلَّةُ </w:t>
      </w:r>
      <w:r w:rsidRPr="00D10E3C">
        <w:rPr>
          <w:rStyle w:val="libFootnotenumChar"/>
          <w:rtl/>
        </w:rPr>
        <w:t>(3)</w:t>
      </w:r>
      <w:r>
        <w:rPr>
          <w:rtl/>
          <w:lang w:bidi="fa-IR"/>
        </w:rPr>
        <w:t xml:space="preserve"> الْعَرْشِ ، وَبَكى لَهُ جَمِيعُ الْخَلَائِقِ </w:t>
      </w:r>
      <w:r w:rsidRPr="00D10E3C">
        <w:rPr>
          <w:rStyle w:val="libFootnotenumChar"/>
          <w:rtl/>
        </w:rPr>
        <w:t>(4)</w:t>
      </w:r>
      <w:r>
        <w:rPr>
          <w:rtl/>
          <w:lang w:bidi="fa-IR"/>
        </w:rPr>
        <w:t xml:space="preserve"> ، وَبَكَتْ لَهُ السَّمَاوَاتُ السَّبْعُ ، وَالْأَرَضُونَ السَّبْعُ ، وَمَا فِيهِنَّ وَمَا بَيْنَهُنَّ ، وَمَنْ يَتَقَلَّبُ </w:t>
      </w:r>
      <w:r w:rsidRPr="00D10E3C">
        <w:rPr>
          <w:rStyle w:val="libFootnotenumChar"/>
          <w:rtl/>
        </w:rPr>
        <w:t>(5)</w:t>
      </w:r>
      <w:r>
        <w:rPr>
          <w:rtl/>
          <w:lang w:bidi="fa-IR"/>
        </w:rPr>
        <w:t xml:space="preserve"> فِي الْجَنَّةِ وَالنَّارِ مِنْ </w:t>
      </w:r>
      <w:r w:rsidRPr="00D10E3C">
        <w:rPr>
          <w:rStyle w:val="libFootnotenumChar"/>
          <w:rtl/>
        </w:rPr>
        <w:t>(6)</w:t>
      </w:r>
      <w:r>
        <w:rPr>
          <w:rtl/>
          <w:lang w:bidi="fa-IR"/>
        </w:rPr>
        <w:t xml:space="preserve"> خَلْقِ رَبِّنَا ، وَمَا يُرى وَمَا لَايُرى.</w:t>
      </w:r>
    </w:p>
    <w:p w:rsidR="00744A1C" w:rsidRDefault="00744A1C" w:rsidP="00744A1C">
      <w:pPr>
        <w:pStyle w:val="libNormal"/>
        <w:rPr>
          <w:lang w:bidi="fa-IR"/>
        </w:rPr>
      </w:pPr>
      <w:r>
        <w:rPr>
          <w:rtl/>
          <w:lang w:bidi="fa-IR"/>
        </w:rPr>
        <w:t xml:space="preserve">أَشْهَدُ أَنَّكَ حُجَّةُ اللهِ وَابْنُ حُجَّتِهِ ، وَأَشْهَدُ </w:t>
      </w:r>
      <w:r w:rsidRPr="00D10E3C">
        <w:rPr>
          <w:rStyle w:val="libFootnotenumChar"/>
          <w:rtl/>
        </w:rPr>
        <w:t>(7)</w:t>
      </w:r>
      <w:r>
        <w:rPr>
          <w:rtl/>
          <w:lang w:bidi="fa-IR"/>
        </w:rPr>
        <w:t xml:space="preserve"> أَنَّكَ قَتِيلُ اللهِ وَابْنُ قَتِيلِهِ ، وَأَشْهَدُ أَنَّكَ ثَارُ اللهِ وَابْنُ ثَارِهِ </w:t>
      </w:r>
      <w:r w:rsidRPr="00D10E3C">
        <w:rPr>
          <w:rStyle w:val="libFootnotenumChar"/>
          <w:rtl/>
        </w:rPr>
        <w:t>(8)</w:t>
      </w:r>
      <w:r>
        <w:rPr>
          <w:rtl/>
          <w:lang w:bidi="fa-IR"/>
        </w:rPr>
        <w:t xml:space="preserve"> ، وَأَشْهَدُ </w:t>
      </w:r>
      <w:r w:rsidRPr="00D10E3C">
        <w:rPr>
          <w:rStyle w:val="libFootnotenumChar"/>
          <w:rtl/>
        </w:rPr>
        <w:t>(9)</w:t>
      </w:r>
      <w:r>
        <w:rPr>
          <w:rtl/>
          <w:lang w:bidi="fa-IR"/>
        </w:rPr>
        <w:t xml:space="preserve"> أَنَّكَ وَتْرُ اللهِ </w:t>
      </w:r>
      <w:r w:rsidRPr="00D10E3C">
        <w:rPr>
          <w:rStyle w:val="libFootnotenumChar"/>
          <w:rtl/>
        </w:rPr>
        <w:t>(10)</w:t>
      </w:r>
      <w:r>
        <w:rPr>
          <w:rtl/>
          <w:lang w:bidi="fa-IR"/>
        </w:rPr>
        <w:t xml:space="preserve"> الْمَوْتُورُ فِي السَّمَاوَاتِ وَالْأَرْضِ ، وَأَشْهَدُ أَنَّكَ قَدْ بَلَّغْتَ وَنَصَحْتَ ، وَوَفَيْتَ وَأَوْفَيْتَ </w:t>
      </w:r>
      <w:r w:rsidRPr="00D10E3C">
        <w:rPr>
          <w:rStyle w:val="libFootnotenumChar"/>
          <w:rtl/>
        </w:rPr>
        <w:t>(11)</w:t>
      </w:r>
      <w:r>
        <w:rPr>
          <w:rtl/>
          <w:lang w:bidi="fa-IR"/>
        </w:rPr>
        <w:t xml:space="preserve"> ، وَجَاهَدْتَ فِي سَبِيلِ اللهِ </w:t>
      </w:r>
      <w:r w:rsidRPr="00D10E3C">
        <w:rPr>
          <w:rStyle w:val="libFootnotenumChar"/>
          <w:rtl/>
        </w:rPr>
        <w:t>(12)</w:t>
      </w:r>
      <w:r>
        <w:rPr>
          <w:rtl/>
          <w:lang w:bidi="fa-IR"/>
        </w:rPr>
        <w:t xml:space="preserve"> ، وَمَضَيْتَ </w:t>
      </w:r>
      <w:r w:rsidRPr="00D10E3C">
        <w:rPr>
          <w:rStyle w:val="libFootnotenumChar"/>
          <w:rtl/>
        </w:rPr>
        <w:t>(13)</w:t>
      </w:r>
      <w:r>
        <w:rPr>
          <w:rtl/>
          <w:lang w:bidi="fa-IR"/>
        </w:rPr>
        <w:t xml:space="preserve"> لِلَّذِي كُنْتَ عَلَيْهِ شَهِيداً </w:t>
      </w:r>
      <w:r w:rsidRPr="00D10E3C">
        <w:rPr>
          <w:rStyle w:val="libFootnotenumChar"/>
          <w:rtl/>
        </w:rPr>
        <w:t>(14)</w:t>
      </w:r>
      <w:r>
        <w:rPr>
          <w:rtl/>
          <w:lang w:bidi="fa-IR"/>
        </w:rPr>
        <w:t xml:space="preserve"> وَمُسْتَشْهَداً ، وَشَاهِداً وَمَشْهُوداً.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 « وفي الأرض ». في </w:t>
      </w:r>
      <w:r w:rsidR="00744A1C" w:rsidRPr="00C24F9C">
        <w:rPr>
          <w:rStyle w:val="libFootnoteBoldChar"/>
          <w:rtl/>
        </w:rPr>
        <w:t>المرآة</w:t>
      </w:r>
      <w:r w:rsidR="00744A1C">
        <w:rPr>
          <w:rtl/>
          <w:lang w:bidi="fa-IR"/>
        </w:rPr>
        <w:t xml:space="preserve"> : « أي ينتظر طلب ثأره أهل السماوات والأرض ، أو عظمت مصيبته‌</w:t>
      </w:r>
      <w:r w:rsidR="00BF597E">
        <w:rPr>
          <w:rFonts w:hint="cs"/>
          <w:rtl/>
          <w:lang w:bidi="fa-IR"/>
        </w:rPr>
        <w:t xml:space="preserve"> </w:t>
      </w:r>
      <w:r w:rsidR="00744A1C">
        <w:rPr>
          <w:rtl/>
          <w:lang w:bidi="fa-IR"/>
        </w:rPr>
        <w:t>فيهما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أي لم يسكن دمك في الأرض ، بل يضطرب بعد ويفور ، وإنّما سكن في الجنان التي هي دار الخلود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هي كناية عن أجسام العالم كلّها ؛ فإنّها أظلّة للأرواح. والعرش عبارة عن مجموع الخلائق كما ورد في الحديث ». وفي </w:t>
      </w:r>
      <w:r w:rsidR="00744A1C" w:rsidRPr="00C24F9C">
        <w:rPr>
          <w:rStyle w:val="libFootnoteBoldChar"/>
          <w:rtl/>
        </w:rPr>
        <w:t>المرآة</w:t>
      </w:r>
      <w:r w:rsidR="00744A1C">
        <w:rPr>
          <w:rtl/>
          <w:lang w:bidi="fa-IR"/>
        </w:rPr>
        <w:t xml:space="preserve"> : « الأظلّة ، جمع ظلال ، وهو ما أظلّك من سقف أو غيره ، والمراد بها هنا إمّا ما فوق العرش ، أؤ أطباقه وبطونه ؛ فإنّ كلّ طبقة وبطن منه ظلّ لطائفة ، أو أجزاء العرش ؛ فإنّ كلّ جزء منه ظلّ لمن يسكن تحته ، وقد يطلق الظلال على الأشخاص والأجسام اللطيفة والأرواح ، فيمكن أن يراد بها الأرواح المقدّسة والملائكة الذين يسكنون العرش ويطيقون به. وفي بعض الكتب : ظلّة العرش ، بالضمّ ، فالإضافة بيانيّة ». وراجع أيضاً : </w:t>
      </w:r>
      <w:r w:rsidR="00744A1C" w:rsidRPr="008A57EB">
        <w:rPr>
          <w:rStyle w:val="libFootnoteBoldChar"/>
          <w:rtl/>
        </w:rPr>
        <w:t>القاموس المحيط</w:t>
      </w:r>
      <w:r w:rsidR="00744A1C">
        <w:rPr>
          <w:rtl/>
          <w:lang w:bidi="fa-IR"/>
        </w:rPr>
        <w:t xml:space="preserve"> ، ج 2 ، ص 1358 ( ظلل ).</w:t>
      </w:r>
    </w:p>
    <w:p w:rsidR="00744A1C" w:rsidRDefault="00E378DD" w:rsidP="00E378DD">
      <w:pPr>
        <w:pStyle w:val="libFootnote0"/>
        <w:rPr>
          <w:lang w:bidi="fa-IR"/>
        </w:rPr>
      </w:pPr>
      <w:r>
        <w:rPr>
          <w:rtl/>
          <w:lang w:bidi="fa-IR"/>
        </w:rPr>
        <w:t>(4).</w:t>
      </w:r>
      <w:r w:rsidR="00744A1C">
        <w:rPr>
          <w:rtl/>
          <w:lang w:bidi="fa-IR"/>
        </w:rPr>
        <w:t xml:space="preserve"> </w:t>
      </w:r>
      <w:r w:rsidR="00744A1C" w:rsidRPr="00BF597E">
        <w:rPr>
          <w:rtl/>
        </w:rPr>
        <w:t>في الوسائل</w:t>
      </w:r>
      <w:r w:rsidR="00744A1C">
        <w:rPr>
          <w:rtl/>
          <w:lang w:bidi="fa-IR"/>
        </w:rPr>
        <w:t xml:space="preserve"> ، ح 19672 : - « وبكى له جميع الخلائق ».</w:t>
      </w:r>
    </w:p>
    <w:p w:rsidR="00744A1C" w:rsidRDefault="00E378DD" w:rsidP="00E378DD">
      <w:pPr>
        <w:pStyle w:val="libFootnote0"/>
        <w:rPr>
          <w:lang w:bidi="fa-IR"/>
        </w:rPr>
      </w:pPr>
      <w:r>
        <w:rPr>
          <w:rtl/>
          <w:lang w:bidi="fa-IR"/>
        </w:rPr>
        <w:t>(5).</w:t>
      </w:r>
      <w:r w:rsidR="00744A1C">
        <w:rPr>
          <w:rtl/>
          <w:lang w:bidi="fa-IR"/>
        </w:rPr>
        <w:t xml:space="preserve"> في « بث ، بف » : « ينقلب ». وفي </w:t>
      </w:r>
      <w:r w:rsidR="00744A1C" w:rsidRPr="00C24F9C">
        <w:rPr>
          <w:rStyle w:val="libFootnoteBoldChar"/>
          <w:rtl/>
        </w:rPr>
        <w:t>التهذيب</w:t>
      </w:r>
      <w:r w:rsidR="00744A1C">
        <w:rPr>
          <w:rtl/>
          <w:lang w:bidi="fa-IR"/>
        </w:rPr>
        <w:t xml:space="preserve"> ، ح 131 : - « يتقلّب ».</w:t>
      </w:r>
    </w:p>
    <w:p w:rsidR="00744A1C" w:rsidRDefault="00E378DD" w:rsidP="00E378DD">
      <w:pPr>
        <w:pStyle w:val="libFootnote0"/>
        <w:rPr>
          <w:lang w:bidi="fa-IR"/>
        </w:rPr>
      </w:pPr>
      <w:r>
        <w:rPr>
          <w:rtl/>
          <w:lang w:bidi="fa-IR"/>
        </w:rPr>
        <w:t>(6).</w:t>
      </w:r>
      <w:r w:rsidR="00744A1C">
        <w:rPr>
          <w:rtl/>
          <w:lang w:bidi="fa-IR"/>
        </w:rPr>
        <w:t xml:space="preserve"> في « ى ، بث ، بح ، بس ، جد ، جن » و</w:t>
      </w:r>
      <w:r w:rsidR="00744A1C" w:rsidRPr="00C24F9C">
        <w:rPr>
          <w:rStyle w:val="libFootnoteBoldChar"/>
          <w:rtl/>
        </w:rPr>
        <w:t>الوسائل</w:t>
      </w:r>
      <w:r w:rsidR="00744A1C">
        <w:rPr>
          <w:rtl/>
          <w:lang w:bidi="fa-IR"/>
        </w:rPr>
        <w:t xml:space="preserve"> ، ح 19672 : « ومن ».</w:t>
      </w:r>
    </w:p>
    <w:p w:rsidR="00744A1C" w:rsidRDefault="00E378DD" w:rsidP="00E378DD">
      <w:pPr>
        <w:pStyle w:val="libFootnote0"/>
        <w:rPr>
          <w:lang w:bidi="fa-IR"/>
        </w:rPr>
      </w:pPr>
      <w:r>
        <w:rPr>
          <w:rtl/>
          <w:lang w:bidi="fa-IR"/>
        </w:rPr>
        <w:t>(7).</w:t>
      </w:r>
      <w:r w:rsidR="00744A1C">
        <w:rPr>
          <w:rtl/>
          <w:lang w:bidi="fa-IR"/>
        </w:rPr>
        <w:t xml:space="preserve"> في « ى ، بح ، بخ ، جن » و</w:t>
      </w:r>
      <w:r w:rsidR="00744A1C" w:rsidRPr="00C24F9C">
        <w:rPr>
          <w:rStyle w:val="libFootnoteBoldChar"/>
          <w:rtl/>
        </w:rPr>
        <w:t>الوسائل</w:t>
      </w:r>
      <w:r w:rsidR="00744A1C">
        <w:rPr>
          <w:rtl/>
          <w:lang w:bidi="fa-IR"/>
        </w:rPr>
        <w:t xml:space="preserve"> ، ح 19672 : « أشهد » بدون الواو.</w:t>
      </w:r>
    </w:p>
    <w:p w:rsidR="00744A1C" w:rsidRDefault="00E378DD" w:rsidP="00E378DD">
      <w:pPr>
        <w:pStyle w:val="libFootnote0"/>
        <w:rPr>
          <w:lang w:bidi="fa-IR"/>
        </w:rPr>
      </w:pPr>
      <w:r>
        <w:rPr>
          <w:rtl/>
          <w:lang w:bidi="fa-IR"/>
        </w:rPr>
        <w:t>(8).</w:t>
      </w:r>
      <w:r w:rsidR="00744A1C">
        <w:rPr>
          <w:rtl/>
          <w:lang w:bidi="fa-IR"/>
        </w:rPr>
        <w:t xml:space="preserve"> هكذا في معظم النسخ والشروح والمصادر. وفي « بث ، بح » والمطبوع : « وأشهد أنّك ثائر الله وابن ثائره ». وفي « جن » : - « وأشهد أنّك ثار الله وابن ثاره ».</w:t>
      </w:r>
    </w:p>
    <w:tbl>
      <w:tblPr>
        <w:tblStyle w:val="TableGrid"/>
        <w:bidiVisual/>
        <w:tblW w:w="0" w:type="auto"/>
        <w:tblLook w:val="04A0" w:firstRow="1" w:lastRow="0" w:firstColumn="1" w:lastColumn="0" w:noHBand="0" w:noVBand="1"/>
      </w:tblPr>
      <w:tblGrid>
        <w:gridCol w:w="4006"/>
        <w:gridCol w:w="4006"/>
      </w:tblGrid>
      <w:tr w:rsidR="00BF597E" w:rsidTr="00BF597E">
        <w:tc>
          <w:tcPr>
            <w:tcW w:w="4006" w:type="dxa"/>
          </w:tcPr>
          <w:p w:rsidR="00BF597E" w:rsidRDefault="00BF597E" w:rsidP="00E378DD">
            <w:pPr>
              <w:pStyle w:val="libFootnote0"/>
              <w:rPr>
                <w:rtl/>
                <w:lang w:bidi="fa-IR"/>
              </w:rPr>
            </w:pPr>
            <w:r>
              <w:rPr>
                <w:rtl/>
                <w:lang w:bidi="fa-IR"/>
              </w:rPr>
              <w:t>(9). في « بخ ، بف » : - « وأشهد ».</w:t>
            </w:r>
          </w:p>
        </w:tc>
        <w:tc>
          <w:tcPr>
            <w:tcW w:w="4006" w:type="dxa"/>
          </w:tcPr>
          <w:p w:rsidR="00BF597E" w:rsidRDefault="00BF597E" w:rsidP="00E378DD">
            <w:pPr>
              <w:pStyle w:val="libFootnote0"/>
              <w:rPr>
                <w:rtl/>
                <w:lang w:bidi="fa-IR"/>
              </w:rPr>
            </w:pPr>
            <w:r>
              <w:rPr>
                <w:rtl/>
                <w:lang w:bidi="fa-IR"/>
              </w:rPr>
              <w:t xml:space="preserve">(10). في </w:t>
            </w:r>
            <w:r w:rsidRPr="00C24F9C">
              <w:rPr>
                <w:rStyle w:val="libFootnoteBoldChar"/>
                <w:rtl/>
              </w:rPr>
              <w:t>التهذيب</w:t>
            </w:r>
            <w:r>
              <w:rPr>
                <w:rtl/>
                <w:lang w:bidi="fa-IR"/>
              </w:rPr>
              <w:t xml:space="preserve"> ، ح 131 : + « وابن وتره ».</w:t>
            </w:r>
          </w:p>
        </w:tc>
      </w:tr>
    </w:tbl>
    <w:p w:rsidR="00744A1C" w:rsidRDefault="00E378DD" w:rsidP="00E378DD">
      <w:pPr>
        <w:pStyle w:val="libFootnote0"/>
        <w:rPr>
          <w:lang w:bidi="fa-IR"/>
        </w:rPr>
      </w:pPr>
      <w:r>
        <w:rPr>
          <w:rtl/>
          <w:lang w:bidi="fa-IR"/>
        </w:rPr>
        <w:t>(11).</w:t>
      </w:r>
      <w:r w:rsidR="00744A1C">
        <w:rPr>
          <w:rtl/>
          <w:lang w:bidi="fa-IR"/>
        </w:rPr>
        <w:t xml:space="preserve"> في « جن » : - « وأوفيت ». وفي حاشية « ى » : « ووافيت ».</w:t>
      </w:r>
    </w:p>
    <w:p w:rsidR="00744A1C" w:rsidRDefault="00E378DD" w:rsidP="00E378DD">
      <w:pPr>
        <w:pStyle w:val="libFootnote0"/>
        <w:rPr>
          <w:lang w:bidi="fa-IR"/>
        </w:rPr>
      </w:pPr>
      <w:r>
        <w:rPr>
          <w:rtl/>
          <w:lang w:bidi="fa-IR"/>
        </w:rPr>
        <w:t>(12).</w:t>
      </w:r>
      <w:r w:rsidR="00744A1C">
        <w:rPr>
          <w:rtl/>
          <w:lang w:bidi="fa-IR"/>
        </w:rPr>
        <w:t xml:space="preserve"> في </w:t>
      </w:r>
      <w:r w:rsidR="00744A1C" w:rsidRPr="00BF597E">
        <w:rPr>
          <w:rtl/>
        </w:rPr>
        <w:t xml:space="preserve">التهذيب </w:t>
      </w:r>
      <w:r w:rsidR="00744A1C">
        <w:rPr>
          <w:rtl/>
          <w:lang w:bidi="fa-IR"/>
        </w:rPr>
        <w:t xml:space="preserve">، ح 131 </w:t>
      </w:r>
      <w:r w:rsidR="00744A1C" w:rsidRPr="00D656FA">
        <w:rPr>
          <w:rtl/>
        </w:rPr>
        <w:t>وكامل الزيارات ،</w:t>
      </w:r>
      <w:r w:rsidR="00744A1C">
        <w:rPr>
          <w:rtl/>
          <w:lang w:bidi="fa-IR"/>
        </w:rPr>
        <w:t xml:space="preserve"> ص 197 : « ربّك ».</w:t>
      </w:r>
    </w:p>
    <w:p w:rsidR="00744A1C" w:rsidRDefault="00E378DD" w:rsidP="00E378DD">
      <w:pPr>
        <w:pStyle w:val="libFootnote0"/>
        <w:rPr>
          <w:lang w:bidi="fa-IR"/>
        </w:rPr>
      </w:pPr>
      <w:r>
        <w:rPr>
          <w:rtl/>
          <w:lang w:bidi="fa-IR"/>
        </w:rPr>
        <w:t>(13).</w:t>
      </w:r>
      <w:r w:rsidR="00744A1C">
        <w:rPr>
          <w:rtl/>
          <w:lang w:bidi="fa-IR"/>
        </w:rPr>
        <w:t xml:space="preserve"> في </w:t>
      </w:r>
      <w:r w:rsidR="00744A1C" w:rsidRPr="00BF597E">
        <w:rPr>
          <w:rtl/>
        </w:rPr>
        <w:t xml:space="preserve">كامل الزيارات </w:t>
      </w:r>
      <w:r w:rsidR="00744A1C">
        <w:rPr>
          <w:rtl/>
          <w:lang w:bidi="fa-IR"/>
        </w:rPr>
        <w:t>، ص 197 : + « على بصيرة ».</w:t>
      </w:r>
    </w:p>
    <w:p w:rsidR="00744A1C" w:rsidRDefault="00E378DD" w:rsidP="00E378DD">
      <w:pPr>
        <w:pStyle w:val="libFootnote0"/>
        <w:rPr>
          <w:lang w:bidi="fa-IR"/>
        </w:rPr>
      </w:pPr>
      <w:r>
        <w:rPr>
          <w:rtl/>
          <w:lang w:bidi="fa-IR"/>
        </w:rPr>
        <w:t>(14).</w:t>
      </w:r>
      <w:r w:rsidR="00744A1C">
        <w:rPr>
          <w:rtl/>
          <w:lang w:bidi="fa-IR"/>
        </w:rPr>
        <w:t xml:space="preserve"> في </w:t>
      </w:r>
      <w:r w:rsidR="00744A1C" w:rsidRPr="00BF597E">
        <w:rPr>
          <w:rtl/>
        </w:rPr>
        <w:t xml:space="preserve">التهذيب </w:t>
      </w:r>
      <w:r w:rsidR="00744A1C">
        <w:rPr>
          <w:rtl/>
          <w:lang w:bidi="fa-IR"/>
        </w:rPr>
        <w:t>، ح 131 : + « برّاً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أَنَا عَبْدُ اللهِ </w:t>
      </w:r>
      <w:r w:rsidRPr="00D10E3C">
        <w:rPr>
          <w:rStyle w:val="libFootnotenumChar"/>
          <w:rtl/>
        </w:rPr>
        <w:t>(1)</w:t>
      </w:r>
      <w:r>
        <w:rPr>
          <w:rtl/>
          <w:lang w:bidi="fa-IR"/>
        </w:rPr>
        <w:t xml:space="preserve"> وَمَوْلَاكَ ، وَفِي طَاعَتِكَ ، وَالْوَافِدُ إِلَيْكَ ، أَلْتَمِسُ </w:t>
      </w:r>
      <w:r w:rsidRPr="00D10E3C">
        <w:rPr>
          <w:rStyle w:val="libFootnotenumChar"/>
          <w:rtl/>
        </w:rPr>
        <w:t>(2)</w:t>
      </w:r>
      <w:r>
        <w:rPr>
          <w:rtl/>
          <w:lang w:bidi="fa-IR"/>
        </w:rPr>
        <w:t xml:space="preserve"> كَمَالَ الْمَنْزِلَةِ عِنْدَ اللهِ ، وَثَبَاتَ الْقَدَمِ فِي الْهِجْرَةِ </w:t>
      </w:r>
      <w:r w:rsidRPr="00D10E3C">
        <w:rPr>
          <w:rStyle w:val="libFootnotenumChar"/>
          <w:rtl/>
        </w:rPr>
        <w:t>(3)</w:t>
      </w:r>
      <w:r>
        <w:rPr>
          <w:rtl/>
          <w:lang w:bidi="fa-IR"/>
        </w:rPr>
        <w:t xml:space="preserve"> إِلَيْكَ </w:t>
      </w:r>
      <w:r w:rsidRPr="00D10E3C">
        <w:rPr>
          <w:rStyle w:val="libFootnotenumChar"/>
          <w:rtl/>
        </w:rPr>
        <w:t>(4)</w:t>
      </w:r>
      <w:r>
        <w:rPr>
          <w:rtl/>
          <w:lang w:bidi="fa-IR"/>
        </w:rPr>
        <w:t xml:space="preserve"> ، وَالسَّبِيلَ </w:t>
      </w:r>
      <w:r w:rsidRPr="00D10E3C">
        <w:rPr>
          <w:rStyle w:val="libFootnotenumChar"/>
          <w:rtl/>
        </w:rPr>
        <w:t>(5)</w:t>
      </w:r>
      <w:r>
        <w:rPr>
          <w:rtl/>
          <w:lang w:bidi="fa-IR"/>
        </w:rPr>
        <w:t xml:space="preserve"> الَّذِي لَايُخْتَلَجُ </w:t>
      </w:r>
      <w:r w:rsidRPr="00D10E3C">
        <w:rPr>
          <w:rStyle w:val="libFootnotenumChar"/>
          <w:rtl/>
        </w:rPr>
        <w:t>(6)</w:t>
      </w:r>
      <w:r>
        <w:rPr>
          <w:rtl/>
          <w:lang w:bidi="fa-IR"/>
        </w:rPr>
        <w:t xml:space="preserve"> دُونَكَ مِنَ الدُّخُولِ فِي كَفَالَتِكَ </w:t>
      </w:r>
      <w:r w:rsidRPr="00D10E3C">
        <w:rPr>
          <w:rStyle w:val="libFootnotenumChar"/>
          <w:rtl/>
        </w:rPr>
        <w:t>(7)</w:t>
      </w:r>
      <w:r>
        <w:rPr>
          <w:rtl/>
          <w:lang w:bidi="fa-IR"/>
        </w:rPr>
        <w:t xml:space="preserve"> الَّتِي أُمِرْتَ بِهَا.</w:t>
      </w:r>
    </w:p>
    <w:p w:rsidR="00744A1C" w:rsidRDefault="00744A1C" w:rsidP="00744A1C">
      <w:pPr>
        <w:pStyle w:val="libNormal"/>
        <w:rPr>
          <w:lang w:bidi="fa-IR"/>
        </w:rPr>
      </w:pPr>
      <w:r>
        <w:rPr>
          <w:rtl/>
          <w:lang w:bidi="fa-IR"/>
        </w:rPr>
        <w:t xml:space="preserve">مَنْ أَرَادَ اللهَ بَدَأَ بِكُمْ ، بِكُمْ </w:t>
      </w:r>
      <w:r w:rsidRPr="00D10E3C">
        <w:rPr>
          <w:rStyle w:val="libFootnotenumChar"/>
          <w:rtl/>
        </w:rPr>
        <w:t>(8)</w:t>
      </w:r>
      <w:r>
        <w:rPr>
          <w:rtl/>
          <w:lang w:bidi="fa-IR"/>
        </w:rPr>
        <w:t xml:space="preserve"> يُبَيِّنُ اللهُ الْكَذِبَ ، وَبِكُمْ يُبَاعِدُ اللهُ </w:t>
      </w:r>
      <w:r w:rsidRPr="00D10E3C">
        <w:rPr>
          <w:rStyle w:val="libFootnotenumChar"/>
          <w:rtl/>
        </w:rPr>
        <w:t>(9)</w:t>
      </w:r>
      <w:r>
        <w:rPr>
          <w:rtl/>
          <w:lang w:bidi="fa-IR"/>
        </w:rPr>
        <w:t xml:space="preserve"> الزَّمَانَ‌</w:t>
      </w:r>
    </w:p>
    <w:p w:rsidR="00744A1C" w:rsidRDefault="00744A1C" w:rsidP="00D10E3C">
      <w:pPr>
        <w:pStyle w:val="libLine"/>
        <w:rPr>
          <w:lang w:bidi="fa-IR"/>
        </w:rPr>
      </w:pPr>
      <w:r>
        <w:rPr>
          <w:rtl/>
          <w:lang w:bidi="fa-IR"/>
        </w:rPr>
        <w:t>____________________</w:t>
      </w:r>
    </w:p>
    <w:p w:rsidR="00144FA6" w:rsidRDefault="00D656FA" w:rsidP="00D10E3C">
      <w:pPr>
        <w:pStyle w:val="libFootnote0"/>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في </w:t>
      </w:r>
      <w:r w:rsidR="00744A1C" w:rsidRPr="00877682">
        <w:rPr>
          <w:rStyle w:val="libFootnoteBoldChar"/>
          <w:rtl/>
        </w:rPr>
        <w:t>مرآة العقول</w:t>
      </w:r>
      <w:r w:rsidR="00744A1C">
        <w:rPr>
          <w:rtl/>
          <w:lang w:bidi="fa-IR"/>
        </w:rPr>
        <w:t xml:space="preserve"> ، ج 18 ، ص 299 : « قوله : ومضيت للذي ، أقول : يحتمل وجوهاً :</w:t>
      </w:r>
    </w:p>
    <w:p w:rsidR="00744A1C" w:rsidRDefault="00744A1C" w:rsidP="00D10E3C">
      <w:pPr>
        <w:pStyle w:val="libFootnote0"/>
        <w:rPr>
          <w:lang w:bidi="fa-IR"/>
        </w:rPr>
      </w:pPr>
      <w:r>
        <w:rPr>
          <w:rtl/>
          <w:lang w:bidi="fa-IR"/>
        </w:rPr>
        <w:t>الأوّل : أن تكون اللام بمعنى في ، كما يقال : مضى لسبيله ، أي مات ، أي مضيت في الطريق الذي كنت عليه عالماً بحقّيّة ما كنت عليه ، والله أمرك إلى الشهادة وشاهداً على ما صدر من الا</w:t>
      </w:r>
      <w:r w:rsidR="00C86959">
        <w:rPr>
          <w:rFonts w:hint="cs"/>
          <w:rtl/>
          <w:lang w:bidi="fa-IR"/>
        </w:rPr>
        <w:t>ُ</w:t>
      </w:r>
      <w:r>
        <w:rPr>
          <w:rtl/>
          <w:lang w:bidi="fa-IR"/>
        </w:rPr>
        <w:t>مّة ، ومن جميع من مضى من الخلق ، ومشهوداً يشهد الله ورسوله وملائكته والمؤمنون لك بأنّك كنت على الحقّ ، وأدّيت ما عليك.</w:t>
      </w:r>
    </w:p>
    <w:p w:rsidR="00744A1C" w:rsidRDefault="00744A1C" w:rsidP="00D10E3C">
      <w:pPr>
        <w:pStyle w:val="libFootnote0"/>
        <w:rPr>
          <w:lang w:bidi="fa-IR"/>
        </w:rPr>
      </w:pPr>
      <w:r>
        <w:rPr>
          <w:rtl/>
          <w:lang w:bidi="fa-IR"/>
        </w:rPr>
        <w:t xml:space="preserve">الثاني : أن تكون اللام بمعنى إلى ، كقوله تعالى : </w:t>
      </w:r>
      <w:r w:rsidRPr="00C86959">
        <w:rPr>
          <w:rStyle w:val="libFootnoteAlaemChar"/>
          <w:rtl/>
        </w:rPr>
        <w:t>(</w:t>
      </w:r>
      <w:r w:rsidRPr="00C86959">
        <w:rPr>
          <w:rStyle w:val="libFootnoteAieChar"/>
          <w:rtl/>
        </w:rPr>
        <w:t xml:space="preserve"> أَوْحى لَها </w:t>
      </w:r>
      <w:r w:rsidRPr="00C86959">
        <w:rPr>
          <w:rStyle w:val="libFootnoteAlaemChar"/>
          <w:rtl/>
        </w:rPr>
        <w:t>)</w:t>
      </w:r>
      <w:r>
        <w:rPr>
          <w:rtl/>
          <w:lang w:bidi="fa-IR"/>
        </w:rPr>
        <w:t xml:space="preserve"> ، أي مضيت إلى عالم القدس الذي كنت عليه قبل النزول إلى هذا العالم ، والبواقي كما مرّ.</w:t>
      </w:r>
    </w:p>
    <w:p w:rsidR="00744A1C" w:rsidRDefault="00744A1C" w:rsidP="00D10E3C">
      <w:pPr>
        <w:pStyle w:val="libFootnote0"/>
        <w:rPr>
          <w:lang w:bidi="fa-IR"/>
        </w:rPr>
      </w:pPr>
      <w:r>
        <w:rPr>
          <w:rtl/>
          <w:lang w:bidi="fa-IR"/>
        </w:rPr>
        <w:t>الثالث : أن تكون اللام تعليلاً لقوله : شهيداً ، بأن يكون الشهيد بمعنى المستشهد ، أي مضيت شهيداً لكونك على الحقّ ، ولذا قتلوك.</w:t>
      </w:r>
    </w:p>
    <w:p w:rsidR="00744A1C" w:rsidRDefault="00744A1C" w:rsidP="00D10E3C">
      <w:pPr>
        <w:pStyle w:val="libFootnote0"/>
        <w:rPr>
          <w:lang w:bidi="fa-IR"/>
        </w:rPr>
      </w:pPr>
      <w:r>
        <w:rPr>
          <w:rtl/>
          <w:lang w:bidi="fa-IR"/>
        </w:rPr>
        <w:t>الرابع : أن تكون اللام ظرفيّة ، و « على » تعليليّة ، أي مضيت في السبيل الذي لأجله صرت عالماً وشهيداً وشاهداً ومشهوداً.</w:t>
      </w:r>
    </w:p>
    <w:p w:rsidR="00744A1C" w:rsidRDefault="00744A1C" w:rsidP="00D10E3C">
      <w:pPr>
        <w:pStyle w:val="libFootnote0"/>
        <w:rPr>
          <w:lang w:bidi="fa-IR"/>
        </w:rPr>
      </w:pPr>
      <w:r>
        <w:rPr>
          <w:rtl/>
          <w:lang w:bidi="fa-IR"/>
        </w:rPr>
        <w:t>الخامس : أن تكون اللام ظرفيّة أيضاً ، بمعنى أنّك مضيت في سبيل كنت متهيّئاً له ، موطّناً نفسك عليه ، وهو الموت ، كما يقال : فلان على جناح السفر ، أي كنت طالباً للشهادة ، غير راغب عنها ».</w:t>
      </w:r>
    </w:p>
    <w:p w:rsidR="00744A1C" w:rsidRDefault="00D10E3C" w:rsidP="00D10E3C">
      <w:pPr>
        <w:pStyle w:val="libFootnote0"/>
        <w:rPr>
          <w:lang w:bidi="fa-IR"/>
        </w:rPr>
      </w:pPr>
      <w:r>
        <w:rPr>
          <w:rtl/>
          <w:lang w:bidi="fa-IR"/>
        </w:rPr>
        <w:t>(1).</w:t>
      </w:r>
      <w:r w:rsidR="00744A1C">
        <w:rPr>
          <w:rtl/>
          <w:lang w:bidi="fa-IR"/>
        </w:rPr>
        <w:t xml:space="preserve"> في</w:t>
      </w:r>
      <w:r w:rsidR="00744A1C" w:rsidRPr="001435E0">
        <w:rPr>
          <w:rtl/>
        </w:rPr>
        <w:t xml:space="preserve"> التهذيب</w:t>
      </w:r>
      <w:r w:rsidR="00744A1C">
        <w:rPr>
          <w:rtl/>
          <w:lang w:bidi="fa-IR"/>
        </w:rPr>
        <w:t xml:space="preserve"> ، ح 131 : « عبدك » بدل « عبد الله ».</w:t>
      </w:r>
    </w:p>
    <w:tbl>
      <w:tblPr>
        <w:tblStyle w:val="TableGrid"/>
        <w:bidiVisual/>
        <w:tblW w:w="0" w:type="auto"/>
        <w:tblLook w:val="04A0" w:firstRow="1" w:lastRow="0" w:firstColumn="1" w:lastColumn="0" w:noHBand="0" w:noVBand="1"/>
      </w:tblPr>
      <w:tblGrid>
        <w:gridCol w:w="4006"/>
        <w:gridCol w:w="4006"/>
      </w:tblGrid>
      <w:tr w:rsidR="001435E0" w:rsidTr="001435E0">
        <w:tc>
          <w:tcPr>
            <w:tcW w:w="4006" w:type="dxa"/>
          </w:tcPr>
          <w:p w:rsidR="001435E0" w:rsidRDefault="001435E0" w:rsidP="00E378DD">
            <w:pPr>
              <w:pStyle w:val="libFootnote0"/>
              <w:rPr>
                <w:rtl/>
                <w:lang w:bidi="fa-IR"/>
              </w:rPr>
            </w:pPr>
            <w:r>
              <w:rPr>
                <w:rtl/>
                <w:lang w:bidi="fa-IR"/>
              </w:rPr>
              <w:t xml:space="preserve">(2). في </w:t>
            </w:r>
            <w:r w:rsidRPr="001435E0">
              <w:rPr>
                <w:rtl/>
              </w:rPr>
              <w:t>الوافي</w:t>
            </w:r>
            <w:r>
              <w:rPr>
                <w:rtl/>
                <w:lang w:bidi="fa-IR"/>
              </w:rPr>
              <w:t xml:space="preserve"> : + « بذلك ».</w:t>
            </w:r>
          </w:p>
        </w:tc>
        <w:tc>
          <w:tcPr>
            <w:tcW w:w="4006" w:type="dxa"/>
          </w:tcPr>
          <w:p w:rsidR="001435E0" w:rsidRDefault="001435E0" w:rsidP="00E378DD">
            <w:pPr>
              <w:pStyle w:val="libFootnote0"/>
              <w:rPr>
                <w:rtl/>
                <w:lang w:bidi="fa-IR"/>
              </w:rPr>
            </w:pPr>
            <w:r>
              <w:rPr>
                <w:rtl/>
                <w:lang w:bidi="fa-IR"/>
              </w:rPr>
              <w:t>(3). في « جن » : « والهجرة » بدل « في الهجرة ».</w:t>
            </w:r>
          </w:p>
        </w:tc>
      </w:tr>
    </w:tbl>
    <w:p w:rsidR="00744A1C" w:rsidRDefault="00E378DD" w:rsidP="00E378DD">
      <w:pPr>
        <w:pStyle w:val="libFootnote0"/>
        <w:rPr>
          <w:lang w:bidi="fa-IR"/>
        </w:rPr>
      </w:pPr>
      <w:r>
        <w:rPr>
          <w:rtl/>
          <w:lang w:bidi="fa-IR"/>
        </w:rPr>
        <w:t>(4).</w:t>
      </w:r>
      <w:r w:rsidR="00744A1C">
        <w:rPr>
          <w:rtl/>
          <w:lang w:bidi="fa-IR"/>
        </w:rPr>
        <w:t xml:space="preserve"> </w:t>
      </w:r>
      <w:r w:rsidR="00744A1C" w:rsidRPr="001435E0">
        <w:rPr>
          <w:rtl/>
        </w:rPr>
        <w:t>في الوسائل ،</w:t>
      </w:r>
      <w:r w:rsidR="00744A1C">
        <w:rPr>
          <w:rtl/>
          <w:lang w:bidi="fa-IR"/>
        </w:rPr>
        <w:t xml:space="preserve"> ح 19672 : - « إليك ».</w:t>
      </w:r>
    </w:p>
    <w:p w:rsidR="00744A1C" w:rsidRDefault="00E378DD" w:rsidP="00E378DD">
      <w:pPr>
        <w:pStyle w:val="libFootnote0"/>
        <w:rPr>
          <w:lang w:bidi="fa-IR"/>
        </w:rPr>
      </w:pPr>
      <w:r>
        <w:rPr>
          <w:rtl/>
          <w:lang w:bidi="fa-IR"/>
        </w:rPr>
        <w:t>(5).</w:t>
      </w:r>
      <w:r w:rsidR="00744A1C">
        <w:rPr>
          <w:rtl/>
          <w:lang w:bidi="fa-IR"/>
        </w:rPr>
        <w:t xml:space="preserve"> في</w:t>
      </w:r>
      <w:r w:rsidR="00744A1C" w:rsidRPr="001435E0">
        <w:rPr>
          <w:rtl/>
        </w:rPr>
        <w:t xml:space="preserve"> التهذيب</w:t>
      </w:r>
      <w:r w:rsidR="00744A1C">
        <w:rPr>
          <w:rtl/>
          <w:lang w:bidi="fa-IR"/>
        </w:rPr>
        <w:t xml:space="preserve"> ، ح 131 : « في السبيل » بدل « والسبيل ». وقوله </w:t>
      </w:r>
      <w:r w:rsidR="0061079A" w:rsidRPr="0061079A">
        <w:rPr>
          <w:rStyle w:val="libFootnoteAlaemChar"/>
          <w:rtl/>
        </w:rPr>
        <w:t>عليه‌السلام</w:t>
      </w:r>
      <w:r w:rsidR="00D10E3C">
        <w:rPr>
          <w:rtl/>
          <w:lang w:bidi="fa-IR"/>
        </w:rPr>
        <w:t xml:space="preserve"> </w:t>
      </w:r>
      <w:r w:rsidR="00744A1C">
        <w:rPr>
          <w:rtl/>
          <w:lang w:bidi="fa-IR"/>
        </w:rPr>
        <w:t>: « السبيل » إمّا معطوف على الهجرة ، أو على ثب</w:t>
      </w:r>
      <w:r w:rsidR="00CB0F7B">
        <w:rPr>
          <w:rtl/>
          <w:lang w:bidi="fa-IR"/>
        </w:rPr>
        <w:t>ات القدم ؛ والأوّل اختاره العل</w:t>
      </w:r>
      <w:r w:rsidR="00CB0F7B">
        <w:rPr>
          <w:rFonts w:hint="cs"/>
          <w:rtl/>
          <w:lang w:bidi="fa-IR"/>
        </w:rPr>
        <w:t>ّ</w:t>
      </w:r>
      <w:r w:rsidR="00CB0F7B">
        <w:rPr>
          <w:rtl/>
          <w:lang w:bidi="fa-IR"/>
        </w:rPr>
        <w:t>ا</w:t>
      </w:r>
      <w:r w:rsidR="00744A1C">
        <w:rPr>
          <w:rtl/>
          <w:lang w:bidi="fa-IR"/>
        </w:rPr>
        <w:t xml:space="preserve">مة الفيض </w:t>
      </w:r>
      <w:r w:rsidR="00877682" w:rsidRPr="00877682">
        <w:rPr>
          <w:rStyle w:val="libFootnoteAlaemChar"/>
          <w:rtl/>
        </w:rPr>
        <w:t>رحمه‌الله</w:t>
      </w:r>
      <w:r w:rsidR="00CB0F7B">
        <w:rPr>
          <w:rStyle w:val="libFootnoteAlaemChar"/>
          <w:rFonts w:hint="cs"/>
          <w:rtl/>
        </w:rPr>
        <w:t xml:space="preserve"> </w:t>
      </w:r>
      <w:r w:rsidR="00744A1C">
        <w:rPr>
          <w:rtl/>
          <w:lang w:bidi="fa-IR"/>
        </w:rPr>
        <w:t xml:space="preserve">في </w:t>
      </w:r>
      <w:r w:rsidR="00744A1C" w:rsidRPr="00C24F9C">
        <w:rPr>
          <w:rStyle w:val="libFootnoteBoldChar"/>
          <w:rtl/>
        </w:rPr>
        <w:t>الوافي</w:t>
      </w:r>
      <w:r w:rsidR="00744A1C">
        <w:rPr>
          <w:rtl/>
          <w:lang w:bidi="fa-IR"/>
        </w:rPr>
        <w:t xml:space="preserve"> حيث قال : « يعني : وفي السبيل الذي لا ينتزع ولا يبدّل قبل الوصول إليك من الدخول في </w:t>
      </w:r>
      <w:r w:rsidR="00A83E42">
        <w:rPr>
          <w:rtl/>
          <w:lang w:bidi="fa-IR"/>
        </w:rPr>
        <w:t>كفالتك ». والثاني استظهره العل</w:t>
      </w:r>
      <w:r w:rsidR="00A83E42">
        <w:rPr>
          <w:rFonts w:hint="cs"/>
          <w:rtl/>
          <w:lang w:bidi="fa-IR"/>
        </w:rPr>
        <w:t>ّ</w:t>
      </w:r>
      <w:r w:rsidR="00A83E42">
        <w:rPr>
          <w:rtl/>
          <w:lang w:bidi="fa-IR"/>
        </w:rPr>
        <w:t>ا</w:t>
      </w:r>
      <w:r w:rsidR="00744A1C">
        <w:rPr>
          <w:rtl/>
          <w:lang w:bidi="fa-IR"/>
        </w:rPr>
        <w:t xml:space="preserve">مة المجلسي </w:t>
      </w:r>
      <w:r w:rsidR="00877682" w:rsidRPr="00877682">
        <w:rPr>
          <w:rStyle w:val="libFootnoteAlaemChar"/>
          <w:rtl/>
        </w:rPr>
        <w:t>رحمه‌الله</w:t>
      </w:r>
      <w:r w:rsidR="00A83E42">
        <w:rPr>
          <w:rStyle w:val="libFootnoteAlaemChar"/>
          <w:rFonts w:hint="cs"/>
          <w:rtl/>
        </w:rPr>
        <w:t xml:space="preserve"> </w:t>
      </w:r>
      <w:r w:rsidR="00744A1C">
        <w:rPr>
          <w:rtl/>
          <w:lang w:bidi="fa-IR"/>
        </w:rPr>
        <w:t xml:space="preserve">في </w:t>
      </w:r>
      <w:r w:rsidR="00744A1C" w:rsidRPr="00C24F9C">
        <w:rPr>
          <w:rStyle w:val="libFootnoteBoldChar"/>
          <w:rtl/>
        </w:rPr>
        <w:t>المرآة</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الاختلاج : الاضطراب ، والحركة ، والثبوت. ويجوز في « يختلج » بناء الفاعل والمفعول ، واستظهر الثاني في </w:t>
      </w:r>
      <w:r w:rsidR="00744A1C" w:rsidRPr="00C24F9C">
        <w:rPr>
          <w:rStyle w:val="libFootnoteBoldChar"/>
          <w:rtl/>
        </w:rPr>
        <w:t>المرآة</w:t>
      </w:r>
      <w:r w:rsidR="00744A1C">
        <w:rPr>
          <w:rtl/>
          <w:lang w:bidi="fa-IR"/>
        </w:rPr>
        <w:t xml:space="preserve">. راجع : </w:t>
      </w:r>
      <w:r w:rsidR="00744A1C" w:rsidRPr="00877682">
        <w:rPr>
          <w:rStyle w:val="libFootnoteBoldChar"/>
          <w:rtl/>
        </w:rPr>
        <w:t>النهاية</w:t>
      </w:r>
      <w:r w:rsidR="00744A1C">
        <w:rPr>
          <w:rtl/>
          <w:lang w:bidi="fa-IR"/>
        </w:rPr>
        <w:t xml:space="preserve"> ، ج 2 ، ص 60 ؛ </w:t>
      </w:r>
      <w:r w:rsidR="00744A1C" w:rsidRPr="00877682">
        <w:rPr>
          <w:rStyle w:val="libFootnoteBoldChar"/>
          <w:rtl/>
        </w:rPr>
        <w:t>لسان العرب</w:t>
      </w:r>
      <w:r w:rsidR="00744A1C">
        <w:rPr>
          <w:rtl/>
          <w:lang w:bidi="fa-IR"/>
        </w:rPr>
        <w:t xml:space="preserve"> ، ج 2 ، ص 258 ( خلج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على التقديرين : حاصل الكلام أنّي ألتمس منك السبيل المستقيم غير المضطرب ، أو السبيل الذي من سلكه لا يجتذب ولا يمنع من الوصول إليكم في الدنيا والآخرة. وكلمة « من » في قوله : من الدخول ، تعليليّة أو بيانيّة ، فيكون بياناً للسبيل ، أو صلة للاختلاج على ثاني معنييه ».</w:t>
      </w:r>
    </w:p>
    <w:tbl>
      <w:tblPr>
        <w:tblStyle w:val="TableGrid"/>
        <w:bidiVisual/>
        <w:tblW w:w="0" w:type="auto"/>
        <w:tblLook w:val="04A0" w:firstRow="1" w:lastRow="0" w:firstColumn="1" w:lastColumn="0" w:noHBand="0" w:noVBand="1"/>
      </w:tblPr>
      <w:tblGrid>
        <w:gridCol w:w="4006"/>
        <w:gridCol w:w="4006"/>
      </w:tblGrid>
      <w:tr w:rsidR="00EF3DD6" w:rsidTr="00EF3DD6">
        <w:tc>
          <w:tcPr>
            <w:tcW w:w="4006" w:type="dxa"/>
          </w:tcPr>
          <w:p w:rsidR="00EF3DD6" w:rsidRDefault="00EF3DD6" w:rsidP="00E378DD">
            <w:pPr>
              <w:pStyle w:val="libFootnote0"/>
              <w:rPr>
                <w:rtl/>
                <w:lang w:bidi="fa-IR"/>
              </w:rPr>
            </w:pPr>
            <w:r>
              <w:rPr>
                <w:rtl/>
                <w:lang w:bidi="fa-IR"/>
              </w:rPr>
              <w:t xml:space="preserve">(8). في </w:t>
            </w:r>
            <w:r w:rsidRPr="00C24F9C">
              <w:rPr>
                <w:rStyle w:val="libFootnoteBoldChar"/>
                <w:rtl/>
              </w:rPr>
              <w:t>التهذيب</w:t>
            </w:r>
            <w:r>
              <w:rPr>
                <w:rtl/>
                <w:lang w:bidi="fa-IR"/>
              </w:rPr>
              <w:t xml:space="preserve"> : « وبكم ».</w:t>
            </w:r>
          </w:p>
        </w:tc>
        <w:tc>
          <w:tcPr>
            <w:tcW w:w="4006" w:type="dxa"/>
          </w:tcPr>
          <w:p w:rsidR="00EF3DD6" w:rsidRDefault="00EF3DD6" w:rsidP="00E378DD">
            <w:pPr>
              <w:pStyle w:val="libFootnote0"/>
              <w:rPr>
                <w:rtl/>
                <w:lang w:bidi="fa-IR"/>
              </w:rPr>
            </w:pPr>
            <w:r>
              <w:rPr>
                <w:rtl/>
                <w:lang w:bidi="fa-IR"/>
              </w:rPr>
              <w:t xml:space="preserve">(9). في « ى » </w:t>
            </w:r>
            <w:r w:rsidRPr="0061079A">
              <w:rPr>
                <w:rStyle w:val="libFootnoteBoldChar"/>
                <w:rtl/>
              </w:rPr>
              <w:t>والتهذيب</w:t>
            </w:r>
            <w:r>
              <w:rPr>
                <w:rtl/>
                <w:lang w:bidi="fa-IR"/>
              </w:rPr>
              <w:t xml:space="preserve"> ، ح 131 : - « الله ».</w:t>
            </w:r>
          </w:p>
        </w:tc>
      </w:tr>
    </w:tbl>
    <w:p w:rsidR="00150943" w:rsidRDefault="00150943" w:rsidP="00D10E3C">
      <w:pPr>
        <w:pStyle w:val="libNormal"/>
        <w:rPr>
          <w:rtl/>
          <w:lang w:bidi="fa-IR"/>
        </w:rPr>
      </w:pPr>
      <w:r>
        <w:rPr>
          <w:rtl/>
          <w:lang w:bidi="fa-IR"/>
        </w:rPr>
        <w:br w:type="page"/>
      </w:r>
    </w:p>
    <w:p w:rsidR="00144FA6" w:rsidRDefault="00744A1C" w:rsidP="00A6581D">
      <w:pPr>
        <w:pStyle w:val="libNormal"/>
        <w:rPr>
          <w:rtl/>
          <w:lang w:bidi="fa-IR"/>
        </w:rPr>
      </w:pPr>
      <w:r>
        <w:rPr>
          <w:rtl/>
          <w:lang w:bidi="fa-IR"/>
        </w:rPr>
        <w:lastRenderedPageBreak/>
        <w:t xml:space="preserve">الْكَلِبَ </w:t>
      </w:r>
      <w:r w:rsidRPr="00D10E3C">
        <w:rPr>
          <w:rStyle w:val="libFootnotenumChar"/>
          <w:rtl/>
        </w:rPr>
        <w:t>(1)</w:t>
      </w:r>
      <w:r>
        <w:rPr>
          <w:rtl/>
          <w:lang w:bidi="fa-IR"/>
        </w:rPr>
        <w:t xml:space="preserve"> ، وَ</w:t>
      </w:r>
      <w:r w:rsidR="009016EF">
        <w:rPr>
          <w:rFonts w:hint="cs"/>
          <w:rtl/>
          <w:lang w:bidi="fa-IR"/>
        </w:rPr>
        <w:t xml:space="preserve"> </w:t>
      </w:r>
      <w:r>
        <w:rPr>
          <w:rtl/>
          <w:lang w:bidi="fa-IR"/>
        </w:rPr>
        <w:t>بِكُمْ فَتَحَ اللهُ ، وَ</w:t>
      </w:r>
      <w:r w:rsidR="009016EF">
        <w:rPr>
          <w:rFonts w:hint="cs"/>
          <w:rtl/>
          <w:lang w:bidi="fa-IR"/>
        </w:rPr>
        <w:t xml:space="preserve"> </w:t>
      </w:r>
      <w:r>
        <w:rPr>
          <w:rtl/>
          <w:lang w:bidi="fa-IR"/>
        </w:rPr>
        <w:t xml:space="preserve">بِكُمْ يَخْتِمُ اللهُ </w:t>
      </w:r>
      <w:r w:rsidRPr="00D10E3C">
        <w:rPr>
          <w:rStyle w:val="libFootnotenumChar"/>
          <w:rtl/>
        </w:rPr>
        <w:t>(2)</w:t>
      </w:r>
      <w:r>
        <w:rPr>
          <w:rtl/>
          <w:lang w:bidi="fa-IR"/>
        </w:rPr>
        <w:t xml:space="preserve"> ، وَ</w:t>
      </w:r>
      <w:r w:rsidR="009016EF">
        <w:rPr>
          <w:rFonts w:hint="cs"/>
          <w:rtl/>
          <w:lang w:bidi="fa-IR"/>
        </w:rPr>
        <w:t xml:space="preserve"> </w:t>
      </w:r>
      <w:r>
        <w:rPr>
          <w:rtl/>
          <w:lang w:bidi="fa-IR"/>
        </w:rPr>
        <w:t xml:space="preserve">بِكُمْ يَمْحُو </w:t>
      </w:r>
      <w:r w:rsidRPr="00D10E3C">
        <w:rPr>
          <w:rStyle w:val="libFootnotenumChar"/>
          <w:rtl/>
        </w:rPr>
        <w:t>(3)</w:t>
      </w:r>
      <w:r>
        <w:rPr>
          <w:rtl/>
          <w:lang w:bidi="fa-IR"/>
        </w:rPr>
        <w:t xml:space="preserve"> مَا يَشَاءُ ، وَ</w:t>
      </w:r>
      <w:r w:rsidR="009016EF">
        <w:rPr>
          <w:rFonts w:hint="cs"/>
          <w:rtl/>
          <w:lang w:bidi="fa-IR"/>
        </w:rPr>
        <w:t xml:space="preserve"> </w:t>
      </w:r>
      <w:r>
        <w:rPr>
          <w:rtl/>
          <w:lang w:bidi="fa-IR"/>
        </w:rPr>
        <w:t xml:space="preserve">بِكُمْ </w:t>
      </w:r>
      <w:r w:rsidRPr="00D10E3C">
        <w:rPr>
          <w:rStyle w:val="libFootnotenumChar"/>
          <w:rtl/>
        </w:rPr>
        <w:t>(4)</w:t>
      </w:r>
      <w:r>
        <w:rPr>
          <w:rtl/>
          <w:lang w:bidi="fa-IR"/>
        </w:rPr>
        <w:t xml:space="preserve"> يُثْبِتُ ، وَ</w:t>
      </w:r>
      <w:r w:rsidR="009016EF">
        <w:rPr>
          <w:rFonts w:hint="cs"/>
          <w:rtl/>
          <w:lang w:bidi="fa-IR"/>
        </w:rPr>
        <w:t xml:space="preserve"> </w:t>
      </w:r>
      <w:r>
        <w:rPr>
          <w:rtl/>
          <w:lang w:bidi="fa-IR"/>
        </w:rPr>
        <w:t xml:space="preserve">بِكُمْ يَفُكُّ الذُّلَّ مِنْ رِقَابِنَا </w:t>
      </w:r>
      <w:r w:rsidRPr="00D10E3C">
        <w:rPr>
          <w:rStyle w:val="libFootnotenumChar"/>
          <w:rtl/>
        </w:rPr>
        <w:t>(5)</w:t>
      </w:r>
      <w:r>
        <w:rPr>
          <w:rtl/>
          <w:lang w:bidi="fa-IR"/>
        </w:rPr>
        <w:t xml:space="preserve"> ، وَ</w:t>
      </w:r>
      <w:r w:rsidR="009016EF">
        <w:rPr>
          <w:rFonts w:hint="cs"/>
          <w:rtl/>
          <w:lang w:bidi="fa-IR"/>
        </w:rPr>
        <w:t xml:space="preserve"> </w:t>
      </w:r>
      <w:r>
        <w:rPr>
          <w:rtl/>
          <w:lang w:bidi="fa-IR"/>
        </w:rPr>
        <w:t xml:space="preserve">بِكُمْ يُدْرِكُ اللهُ تِرَةَ كُلِّ مُؤْمِنٍ </w:t>
      </w:r>
      <w:r w:rsidRPr="00D10E3C">
        <w:rPr>
          <w:rStyle w:val="libFootnotenumChar"/>
          <w:rtl/>
        </w:rPr>
        <w:t>(6)</w:t>
      </w:r>
      <w:r>
        <w:rPr>
          <w:rtl/>
          <w:lang w:bidi="fa-IR"/>
        </w:rPr>
        <w:t xml:space="preserve"> يُطْلَبُ </w:t>
      </w:r>
      <w:r w:rsidRPr="00D10E3C">
        <w:rPr>
          <w:rStyle w:val="libFootnotenumChar"/>
          <w:rtl/>
        </w:rPr>
        <w:t>(7)</w:t>
      </w:r>
      <w:r>
        <w:rPr>
          <w:rtl/>
          <w:lang w:bidi="fa-IR"/>
        </w:rPr>
        <w:t xml:space="preserve"> بِهَا </w:t>
      </w:r>
      <w:r w:rsidRPr="00D10E3C">
        <w:rPr>
          <w:rStyle w:val="libFootnotenumChar"/>
          <w:rtl/>
        </w:rPr>
        <w:t>(8)</w:t>
      </w:r>
      <w:r>
        <w:rPr>
          <w:rtl/>
          <w:lang w:bidi="fa-IR"/>
        </w:rPr>
        <w:t xml:space="preserve"> ، وَ</w:t>
      </w:r>
      <w:r w:rsidR="009016EF">
        <w:rPr>
          <w:rFonts w:hint="cs"/>
          <w:rtl/>
          <w:lang w:bidi="fa-IR"/>
        </w:rPr>
        <w:t xml:space="preserve"> </w:t>
      </w:r>
      <w:r>
        <w:rPr>
          <w:rtl/>
          <w:lang w:bidi="fa-IR"/>
        </w:rPr>
        <w:t xml:space="preserve">بِكُمْ تُنْبِتُ </w:t>
      </w:r>
      <w:r w:rsidRPr="00D10E3C">
        <w:rPr>
          <w:rStyle w:val="libFootnotenumChar"/>
          <w:rtl/>
        </w:rPr>
        <w:t>(9)</w:t>
      </w:r>
      <w:r>
        <w:rPr>
          <w:rtl/>
          <w:lang w:bidi="fa-IR"/>
        </w:rPr>
        <w:t xml:space="preserve"> الْأَرْضُ أَشْجَارَهَا ، وَ</w:t>
      </w:r>
      <w:r w:rsidR="009016EF">
        <w:rPr>
          <w:rFonts w:hint="cs"/>
          <w:rtl/>
          <w:lang w:bidi="fa-IR"/>
        </w:rPr>
        <w:t xml:space="preserve"> </w:t>
      </w:r>
      <w:r>
        <w:rPr>
          <w:rtl/>
          <w:lang w:bidi="fa-IR"/>
        </w:rPr>
        <w:t xml:space="preserve">بِكُمْ تُخْرِجُ </w:t>
      </w:r>
      <w:r w:rsidRPr="00D10E3C">
        <w:rPr>
          <w:rStyle w:val="libFootnotenumChar"/>
          <w:rtl/>
        </w:rPr>
        <w:t>(10)</w:t>
      </w:r>
      <w:r>
        <w:rPr>
          <w:rtl/>
          <w:lang w:bidi="fa-IR"/>
        </w:rPr>
        <w:t xml:space="preserve"> الْأَشْجَارُ أَثْمَارَهَا </w:t>
      </w:r>
      <w:r w:rsidRPr="00D10E3C">
        <w:rPr>
          <w:rStyle w:val="libFootnotenumChar"/>
          <w:rtl/>
        </w:rPr>
        <w:t>(11)</w:t>
      </w:r>
      <w:r>
        <w:rPr>
          <w:rtl/>
          <w:lang w:bidi="fa-IR"/>
        </w:rPr>
        <w:t xml:space="preserve"> ، وَ</w:t>
      </w:r>
      <w:r w:rsidR="009016EF">
        <w:rPr>
          <w:rFonts w:hint="cs"/>
          <w:rtl/>
          <w:lang w:bidi="fa-IR"/>
        </w:rPr>
        <w:t xml:space="preserve"> </w:t>
      </w:r>
      <w:r>
        <w:rPr>
          <w:rtl/>
          <w:lang w:bidi="fa-IR"/>
        </w:rPr>
        <w:t xml:space="preserve">بِكُمْ تُنْزِلُ </w:t>
      </w:r>
      <w:r w:rsidRPr="00D10E3C">
        <w:rPr>
          <w:rStyle w:val="libFootnotenumChar"/>
          <w:rtl/>
        </w:rPr>
        <w:t>(12)</w:t>
      </w:r>
      <w:r>
        <w:rPr>
          <w:rtl/>
          <w:lang w:bidi="fa-IR"/>
        </w:rPr>
        <w:t xml:space="preserve"> السَّمَاءُ قَطْرَهَا وَ</w:t>
      </w:r>
      <w:r w:rsidR="009016EF">
        <w:rPr>
          <w:rFonts w:hint="cs"/>
          <w:rtl/>
          <w:lang w:bidi="fa-IR"/>
        </w:rPr>
        <w:t xml:space="preserve"> </w:t>
      </w:r>
      <w:r>
        <w:rPr>
          <w:rtl/>
          <w:lang w:bidi="fa-IR"/>
        </w:rPr>
        <w:t>رِزْقَهَا ، وَ</w:t>
      </w:r>
      <w:r w:rsidR="009016EF">
        <w:rPr>
          <w:rFonts w:hint="cs"/>
          <w:rtl/>
          <w:lang w:bidi="fa-IR"/>
        </w:rPr>
        <w:t xml:space="preserve"> </w:t>
      </w:r>
      <w:r>
        <w:rPr>
          <w:rtl/>
          <w:lang w:bidi="fa-IR"/>
        </w:rPr>
        <w:t>بِكُمْ يَكْشِفُ اللهُ الْكَرْبَ ، وَ</w:t>
      </w:r>
      <w:r w:rsidR="009016EF">
        <w:rPr>
          <w:rFonts w:hint="cs"/>
          <w:rtl/>
          <w:lang w:bidi="fa-IR"/>
        </w:rPr>
        <w:t xml:space="preserve"> </w:t>
      </w:r>
      <w:r>
        <w:rPr>
          <w:rtl/>
          <w:lang w:bidi="fa-IR"/>
        </w:rPr>
        <w:t>بِكُمْ يُنَزِّلُ اللهُ الْغَيْثَ ، وَ</w:t>
      </w:r>
      <w:r w:rsidR="009016EF">
        <w:rPr>
          <w:rFonts w:hint="cs"/>
          <w:rtl/>
          <w:lang w:bidi="fa-IR"/>
        </w:rPr>
        <w:t xml:space="preserve"> </w:t>
      </w:r>
      <w:r>
        <w:rPr>
          <w:rtl/>
          <w:lang w:bidi="fa-IR"/>
        </w:rPr>
        <w:t xml:space="preserve">بِكُمْ تَسِيخُ </w:t>
      </w:r>
      <w:r w:rsidRPr="00D10E3C">
        <w:rPr>
          <w:rStyle w:val="libFootnotenumChar"/>
          <w:rtl/>
        </w:rPr>
        <w:t>(13)</w:t>
      </w:r>
      <w:r>
        <w:rPr>
          <w:rtl/>
          <w:lang w:bidi="fa-IR"/>
        </w:rPr>
        <w:t xml:space="preserve"> الْأَرْضُ الَّتِي تَحْمِلُ أَبْدَانَكُمْ </w:t>
      </w:r>
      <w:r w:rsidRPr="00D10E3C">
        <w:rPr>
          <w:rStyle w:val="libFootnotenumChar"/>
          <w:rtl/>
        </w:rPr>
        <w:t>(14)</w:t>
      </w:r>
      <w:r>
        <w:rPr>
          <w:rtl/>
          <w:lang w:bidi="fa-IR"/>
        </w:rPr>
        <w:t xml:space="preserve"> ، وَتَسْتَقِرُّ </w:t>
      </w:r>
      <w:r w:rsidRPr="00D10E3C">
        <w:rPr>
          <w:rStyle w:val="libFootnotenumChar"/>
          <w:rtl/>
        </w:rPr>
        <w:t>(15)</w:t>
      </w:r>
      <w:r>
        <w:rPr>
          <w:rtl/>
          <w:lang w:bidi="fa-IR"/>
        </w:rPr>
        <w:t xml:space="preserve"> جِبَالُهَا عَنْ </w:t>
      </w:r>
      <w:r w:rsidRPr="00D10E3C">
        <w:rPr>
          <w:rStyle w:val="libFootnotenumChar"/>
          <w:rtl/>
        </w:rPr>
        <w:t>(16)</w:t>
      </w:r>
      <w:r>
        <w:rPr>
          <w:rtl/>
          <w:lang w:bidi="fa-IR"/>
        </w:rPr>
        <w:t xml:space="preserve"> مَرَاسِيهَا </w:t>
      </w:r>
      <w:r w:rsidRPr="00D10E3C">
        <w:rPr>
          <w:rStyle w:val="libFootnotenumChar"/>
          <w:rtl/>
        </w:rPr>
        <w:t>(17)</w:t>
      </w:r>
      <w:r w:rsidR="009016EF" w:rsidRPr="009016EF">
        <w:rPr>
          <w:rFonts w:hint="cs"/>
          <w:rtl/>
        </w:rPr>
        <w:t>.</w:t>
      </w:r>
    </w:p>
    <w:p w:rsidR="00744A1C" w:rsidRDefault="00744A1C" w:rsidP="00744A1C">
      <w:pPr>
        <w:pStyle w:val="libNormal"/>
        <w:rPr>
          <w:lang w:bidi="fa-IR"/>
        </w:rPr>
      </w:pPr>
      <w:r>
        <w:rPr>
          <w:rtl/>
          <w:lang w:bidi="fa-IR"/>
        </w:rPr>
        <w:t xml:space="preserve">إِرَادَةُ الرَّبِّ فِي مَقَادِيرِ أُمُورِهِ تَهْبِطُ إِلَيْكُمْ </w:t>
      </w:r>
      <w:r w:rsidRPr="00D10E3C">
        <w:rPr>
          <w:rStyle w:val="libFootnotenumChar"/>
          <w:rtl/>
        </w:rPr>
        <w:t>(18)</w:t>
      </w:r>
      <w:r>
        <w:rPr>
          <w:rtl/>
          <w:lang w:bidi="fa-IR"/>
        </w:rPr>
        <w:t xml:space="preserve"> ، وَ</w:t>
      </w:r>
      <w:r w:rsidR="009016EF">
        <w:rPr>
          <w:rFonts w:hint="cs"/>
          <w:rtl/>
          <w:lang w:bidi="fa-IR"/>
        </w:rPr>
        <w:t xml:space="preserve"> </w:t>
      </w:r>
      <w:r>
        <w:rPr>
          <w:rtl/>
          <w:lang w:bidi="fa-IR"/>
        </w:rPr>
        <w:t xml:space="preserve">تَصْدُرُ </w:t>
      </w:r>
      <w:r w:rsidRPr="00D10E3C">
        <w:rPr>
          <w:rStyle w:val="libFootnotenumChar"/>
          <w:rtl/>
        </w:rPr>
        <w:t>(19)</w:t>
      </w:r>
      <w:r>
        <w:rPr>
          <w:rtl/>
          <w:lang w:bidi="fa-IR"/>
        </w:rPr>
        <w:t xml:space="preserve"> مِنْ بُيُوتِكُمْ‌</w:t>
      </w:r>
    </w:p>
    <w:p w:rsidR="00744A1C" w:rsidRDefault="00744A1C" w:rsidP="00D10E3C">
      <w:pPr>
        <w:pStyle w:val="libLine"/>
        <w:rPr>
          <w:lang w:bidi="fa-IR"/>
        </w:rPr>
      </w:pPr>
      <w:r>
        <w:rPr>
          <w:rtl/>
          <w:lang w:bidi="fa-IR"/>
        </w:rPr>
        <w:t>____________________</w:t>
      </w:r>
    </w:p>
    <w:p w:rsidR="00744A1C" w:rsidRDefault="00D10E3C" w:rsidP="009016EF">
      <w:pPr>
        <w:pStyle w:val="libFootnote0"/>
        <w:rPr>
          <w:lang w:bidi="fa-IR"/>
        </w:rPr>
      </w:pPr>
      <w:r>
        <w:rPr>
          <w:rtl/>
          <w:lang w:bidi="fa-IR"/>
        </w:rPr>
        <w:t>(1).</w:t>
      </w:r>
      <w:r w:rsidR="00744A1C">
        <w:rPr>
          <w:rtl/>
          <w:lang w:bidi="fa-IR"/>
        </w:rPr>
        <w:t xml:space="preserve"> رجلٌ كَلِبٌ ، إذا اشتدّ حرصه على الشي‌ء. وكَلِبُ الزمان : شدّته. راجع : </w:t>
      </w:r>
      <w:r w:rsidR="00744A1C" w:rsidRPr="00E978C3">
        <w:rPr>
          <w:rStyle w:val="libFootnoteBoldChar"/>
          <w:rtl/>
        </w:rPr>
        <w:t>ترتيب كتاب العين</w:t>
      </w:r>
      <w:r w:rsidR="00744A1C">
        <w:rPr>
          <w:rtl/>
          <w:lang w:bidi="fa-IR"/>
        </w:rPr>
        <w:t xml:space="preserve"> ، ج 3 ، ص 1589 ( كلب ).</w:t>
      </w:r>
      <w:r w:rsidR="009016EF">
        <w:rPr>
          <w:rFonts w:hint="cs"/>
          <w:rtl/>
          <w:lang w:bidi="fa-IR"/>
        </w:rPr>
        <w:t xml:space="preserve">                             </w:t>
      </w:r>
      <w:r w:rsidR="009656AA">
        <w:rPr>
          <w:rFonts w:hint="cs"/>
          <w:rtl/>
          <w:lang w:bidi="fa-IR"/>
        </w:rPr>
        <w:t xml:space="preserve">             </w:t>
      </w:r>
      <w:r w:rsidR="009016EF">
        <w:rPr>
          <w:rFonts w:hint="cs"/>
          <w:rtl/>
          <w:lang w:bidi="fa-IR"/>
        </w:rPr>
        <w:t xml:space="preserve"> </w:t>
      </w:r>
      <w:r w:rsidR="00E378DD">
        <w:rPr>
          <w:rtl/>
          <w:lang w:bidi="fa-IR"/>
        </w:rPr>
        <w:t>(2).</w:t>
      </w:r>
      <w:r w:rsidR="00744A1C">
        <w:rPr>
          <w:rtl/>
          <w:lang w:bidi="fa-IR"/>
        </w:rPr>
        <w:t xml:space="preserve"> في </w:t>
      </w:r>
      <w:r w:rsidR="00744A1C" w:rsidRPr="009016EF">
        <w:rPr>
          <w:rtl/>
        </w:rPr>
        <w:t>التهذيب</w:t>
      </w:r>
      <w:r w:rsidR="00744A1C">
        <w:rPr>
          <w:rtl/>
          <w:lang w:bidi="fa-IR"/>
        </w:rPr>
        <w:t xml:space="preserve"> ، ح 131 : - « الله ».</w:t>
      </w:r>
    </w:p>
    <w:p w:rsidR="00744A1C" w:rsidRDefault="00E378DD" w:rsidP="00E378DD">
      <w:pPr>
        <w:pStyle w:val="libFootnote0"/>
        <w:rPr>
          <w:lang w:bidi="fa-IR"/>
        </w:rPr>
      </w:pPr>
      <w:r>
        <w:rPr>
          <w:rtl/>
          <w:lang w:bidi="fa-IR"/>
        </w:rPr>
        <w:t>(3).</w:t>
      </w:r>
      <w:r w:rsidR="00744A1C">
        <w:rPr>
          <w:rtl/>
          <w:lang w:bidi="fa-IR"/>
        </w:rPr>
        <w:t xml:space="preserve"> في </w:t>
      </w:r>
      <w:r w:rsidR="00744A1C" w:rsidRPr="009016EF">
        <w:rPr>
          <w:rtl/>
        </w:rPr>
        <w:t>الوسائل</w:t>
      </w:r>
      <w:r w:rsidR="00744A1C">
        <w:rPr>
          <w:rtl/>
          <w:lang w:bidi="fa-IR"/>
        </w:rPr>
        <w:t xml:space="preserve"> ، ح 19672 و</w:t>
      </w:r>
      <w:r w:rsidR="00744A1C" w:rsidRPr="009016EF">
        <w:rPr>
          <w:rtl/>
        </w:rPr>
        <w:t xml:space="preserve">الفقيه وكامل الزيارات ، </w:t>
      </w:r>
      <w:r w:rsidR="00744A1C">
        <w:rPr>
          <w:rtl/>
          <w:lang w:bidi="fa-IR"/>
        </w:rPr>
        <w:t>ص 197 : + « الله ».</w:t>
      </w:r>
    </w:p>
    <w:tbl>
      <w:tblPr>
        <w:tblStyle w:val="TableGrid"/>
        <w:bidiVisual/>
        <w:tblW w:w="0" w:type="auto"/>
        <w:tblLook w:val="04A0" w:firstRow="1" w:lastRow="0" w:firstColumn="1" w:lastColumn="0" w:noHBand="0" w:noVBand="1"/>
      </w:tblPr>
      <w:tblGrid>
        <w:gridCol w:w="4006"/>
        <w:gridCol w:w="4006"/>
      </w:tblGrid>
      <w:tr w:rsidR="009016EF" w:rsidTr="009016EF">
        <w:tc>
          <w:tcPr>
            <w:tcW w:w="4006" w:type="dxa"/>
          </w:tcPr>
          <w:p w:rsidR="009016EF" w:rsidRDefault="009016EF" w:rsidP="00E378DD">
            <w:pPr>
              <w:pStyle w:val="libFootnote0"/>
              <w:rPr>
                <w:rtl/>
                <w:lang w:bidi="fa-IR"/>
              </w:rPr>
            </w:pPr>
            <w:r>
              <w:rPr>
                <w:rtl/>
                <w:lang w:bidi="fa-IR"/>
              </w:rPr>
              <w:t>(4). في «بس»</w:t>
            </w:r>
            <w:r w:rsidRPr="009016EF">
              <w:rPr>
                <w:rtl/>
              </w:rPr>
              <w:t xml:space="preserve">والوسائل ، </w:t>
            </w:r>
            <w:r>
              <w:rPr>
                <w:rtl/>
                <w:lang w:bidi="fa-IR"/>
              </w:rPr>
              <w:t>ح 19672 : - « بكم ».</w:t>
            </w:r>
          </w:p>
        </w:tc>
        <w:tc>
          <w:tcPr>
            <w:tcW w:w="4006" w:type="dxa"/>
          </w:tcPr>
          <w:p w:rsidR="009016EF" w:rsidRDefault="009016EF" w:rsidP="00E378DD">
            <w:pPr>
              <w:pStyle w:val="libFootnote0"/>
              <w:rPr>
                <w:rtl/>
                <w:lang w:bidi="fa-IR"/>
              </w:rPr>
            </w:pPr>
            <w:r>
              <w:rPr>
                <w:rtl/>
                <w:lang w:bidi="fa-IR"/>
              </w:rPr>
              <w:t>(5).في«بخ،بف»وحاشية«بث،بح»:-«الذلّ</w:t>
            </w:r>
            <w:r>
              <w:rPr>
                <w:rFonts w:hint="cs"/>
                <w:rtl/>
                <w:lang w:bidi="fa-IR"/>
              </w:rPr>
              <w:t xml:space="preserve"> </w:t>
            </w:r>
            <w:r>
              <w:rPr>
                <w:rtl/>
                <w:lang w:bidi="fa-IR"/>
              </w:rPr>
              <w:t>من رقابنا».</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9016EF">
        <w:rPr>
          <w:rtl/>
        </w:rPr>
        <w:t xml:space="preserve">في الوافي </w:t>
      </w:r>
      <w:r w:rsidR="00744A1C">
        <w:rPr>
          <w:rtl/>
          <w:lang w:bidi="fa-IR"/>
        </w:rPr>
        <w:t xml:space="preserve">: « أي دم قتيله وكلّ تبعة له على غيره ». </w:t>
      </w:r>
      <w:r w:rsidR="00744A1C" w:rsidRPr="009016EF">
        <w:rPr>
          <w:rtl/>
        </w:rPr>
        <w:t>وفي المرآة : « أي ما وقع على الشيعة من ا</w:t>
      </w:r>
      <w:r w:rsidR="00744A1C">
        <w:rPr>
          <w:rtl/>
          <w:lang w:bidi="fa-IR"/>
        </w:rPr>
        <w:t xml:space="preserve">لقتل والنهب والشتم وغير ذلك أنتم </w:t>
      </w:r>
      <w:r w:rsidR="00744A1C" w:rsidRPr="009016EF">
        <w:rPr>
          <w:rtl/>
        </w:rPr>
        <w:t xml:space="preserve">الطالب بها في الرجعة ». وفي هامش الوافي عن </w:t>
      </w:r>
      <w:r w:rsidR="00744A1C">
        <w:rPr>
          <w:rtl/>
          <w:lang w:bidi="fa-IR"/>
        </w:rPr>
        <w:t xml:space="preserve">المحقّق الشعراني </w:t>
      </w:r>
      <w:r w:rsidR="00877682" w:rsidRPr="00877682">
        <w:rPr>
          <w:rStyle w:val="libFootnoteAlaemChar"/>
          <w:rtl/>
        </w:rPr>
        <w:t>رحمه‌الله</w:t>
      </w:r>
      <w:r w:rsidR="00744A1C">
        <w:rPr>
          <w:rtl/>
          <w:lang w:bidi="fa-IR"/>
        </w:rPr>
        <w:t xml:space="preserve">: « لعلّه أراد كلّ مؤمن قتل في سبيل محبّتهم ، ولم يدرك ثأره أحد من أوليائه ؛ فإنّ الله ينتقم منه بعد ظهور القائم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(7).</w:t>
      </w:r>
      <w:r w:rsidR="00744A1C">
        <w:rPr>
          <w:rtl/>
          <w:lang w:bidi="fa-IR"/>
        </w:rPr>
        <w:t xml:space="preserve"> في « بف » </w:t>
      </w:r>
      <w:r w:rsidR="00744A1C" w:rsidRPr="009016EF">
        <w:rPr>
          <w:rtl/>
        </w:rPr>
        <w:t>والوافي والفقيه والتهذيب ، ح 131 : « تطل</w:t>
      </w:r>
      <w:r w:rsidR="00744A1C">
        <w:rPr>
          <w:rtl/>
          <w:lang w:bidi="fa-IR"/>
        </w:rPr>
        <w:t>ب ».</w:t>
      </w:r>
    </w:p>
    <w:p w:rsidR="00744A1C" w:rsidRDefault="00E378DD" w:rsidP="00E378DD">
      <w:pPr>
        <w:pStyle w:val="libFootnote0"/>
        <w:rPr>
          <w:lang w:bidi="fa-IR"/>
        </w:rPr>
      </w:pPr>
      <w:r>
        <w:rPr>
          <w:rtl/>
          <w:lang w:bidi="fa-IR"/>
        </w:rPr>
        <w:t>(8).</w:t>
      </w:r>
      <w:r w:rsidR="00744A1C">
        <w:rPr>
          <w:rtl/>
          <w:lang w:bidi="fa-IR"/>
        </w:rPr>
        <w:t xml:space="preserve"> في « بح ، بخ ، بف » </w:t>
      </w:r>
      <w:r w:rsidR="00744A1C" w:rsidRPr="009656AA">
        <w:rPr>
          <w:rtl/>
        </w:rPr>
        <w:t>والوافي والفقيه والتهذيب ،</w:t>
      </w:r>
      <w:r w:rsidR="00744A1C">
        <w:rPr>
          <w:rtl/>
          <w:lang w:bidi="fa-IR"/>
        </w:rPr>
        <w:t xml:space="preserve"> ح 131 </w:t>
      </w:r>
      <w:r w:rsidR="00744A1C" w:rsidRPr="009656AA">
        <w:rPr>
          <w:rtl/>
        </w:rPr>
        <w:t>وكامل الزيارات ،</w:t>
      </w:r>
      <w:r w:rsidR="00744A1C">
        <w:rPr>
          <w:rtl/>
          <w:lang w:bidi="fa-IR"/>
        </w:rPr>
        <w:t xml:space="preserve"> ص 197 : - « بها ».</w:t>
      </w:r>
    </w:p>
    <w:p w:rsidR="00744A1C" w:rsidRDefault="00E378DD" w:rsidP="00E378DD">
      <w:pPr>
        <w:pStyle w:val="libFootnote0"/>
        <w:rPr>
          <w:lang w:bidi="fa-IR"/>
        </w:rPr>
      </w:pPr>
      <w:r>
        <w:rPr>
          <w:rtl/>
          <w:lang w:bidi="fa-IR"/>
        </w:rPr>
        <w:t>(9).</w:t>
      </w:r>
      <w:r w:rsidR="00744A1C">
        <w:rPr>
          <w:rtl/>
          <w:lang w:bidi="fa-IR"/>
        </w:rPr>
        <w:t xml:space="preserve"> في « بث ، بف » : « تثبت ».</w:t>
      </w:r>
    </w:p>
    <w:p w:rsidR="00744A1C" w:rsidRDefault="00E378DD" w:rsidP="00E378DD">
      <w:pPr>
        <w:pStyle w:val="libFootnote0"/>
        <w:rPr>
          <w:lang w:bidi="fa-IR"/>
        </w:rPr>
      </w:pPr>
      <w:r>
        <w:rPr>
          <w:rtl/>
          <w:lang w:bidi="fa-IR"/>
        </w:rPr>
        <w:t>(10).</w:t>
      </w:r>
      <w:r w:rsidR="00744A1C">
        <w:rPr>
          <w:rtl/>
          <w:lang w:bidi="fa-IR"/>
        </w:rPr>
        <w:t xml:space="preserve"> في « بخ ، بس » : « يخرج ». وفي « جن » بالتاء والياء معاً.</w:t>
      </w:r>
    </w:p>
    <w:p w:rsidR="00744A1C" w:rsidRDefault="00E378DD" w:rsidP="00E378DD">
      <w:pPr>
        <w:pStyle w:val="libFootnote0"/>
        <w:rPr>
          <w:lang w:bidi="fa-IR"/>
        </w:rPr>
      </w:pPr>
      <w:r>
        <w:rPr>
          <w:rtl/>
          <w:lang w:bidi="fa-IR"/>
        </w:rPr>
        <w:t>(11).</w:t>
      </w:r>
      <w:r w:rsidR="00744A1C">
        <w:rPr>
          <w:rtl/>
          <w:lang w:bidi="fa-IR"/>
        </w:rPr>
        <w:t xml:space="preserve"> في « ى ، بث ، بخ ، بس ، بف » و</w:t>
      </w:r>
      <w:r w:rsidR="00744A1C" w:rsidRPr="00C24F9C">
        <w:rPr>
          <w:rStyle w:val="libFootnoteBoldChar"/>
          <w:rtl/>
        </w:rPr>
        <w:t>الوسائل</w:t>
      </w:r>
      <w:r w:rsidR="00744A1C">
        <w:rPr>
          <w:rtl/>
          <w:lang w:bidi="fa-IR"/>
        </w:rPr>
        <w:t xml:space="preserve"> ، ح 19672 : « ثمارها ». وفي « بح » : - « وبكم تخرج الأشجار أثمارها ».</w:t>
      </w:r>
    </w:p>
    <w:p w:rsidR="00744A1C" w:rsidRDefault="00E378DD" w:rsidP="00E378DD">
      <w:pPr>
        <w:pStyle w:val="libFootnote0"/>
        <w:rPr>
          <w:lang w:bidi="fa-IR"/>
        </w:rPr>
      </w:pPr>
      <w:r>
        <w:rPr>
          <w:rtl/>
          <w:lang w:bidi="fa-IR"/>
        </w:rPr>
        <w:t>(12).</w:t>
      </w:r>
      <w:r w:rsidR="00744A1C">
        <w:rPr>
          <w:rtl/>
          <w:lang w:bidi="fa-IR"/>
        </w:rPr>
        <w:t xml:space="preserve"> في « بث ، بخ » : « ينزل ». وفي « جد ، جن » بالتاء والياء معاً.</w:t>
      </w:r>
    </w:p>
    <w:p w:rsidR="00744A1C" w:rsidRDefault="00E378DD" w:rsidP="009656AA">
      <w:pPr>
        <w:pStyle w:val="libFootnote0"/>
        <w:rPr>
          <w:lang w:bidi="fa-IR"/>
        </w:rPr>
      </w:pPr>
      <w:r>
        <w:rPr>
          <w:rtl/>
          <w:lang w:bidi="fa-IR"/>
        </w:rPr>
        <w:t>(13).</w:t>
      </w:r>
      <w:r w:rsidR="00744A1C">
        <w:rPr>
          <w:rtl/>
          <w:lang w:bidi="fa-IR"/>
        </w:rPr>
        <w:t xml:space="preserve"> في « ى ، بث ، بخ ، بس ، جن » وحاشية « بح » و</w:t>
      </w:r>
      <w:r w:rsidR="00744A1C" w:rsidRPr="009656AA">
        <w:rPr>
          <w:rtl/>
        </w:rPr>
        <w:t>الوافي والوسائل ،</w:t>
      </w:r>
      <w:r w:rsidR="00744A1C">
        <w:rPr>
          <w:rtl/>
          <w:lang w:bidi="fa-IR"/>
        </w:rPr>
        <w:t xml:space="preserve"> ح 19672 </w:t>
      </w:r>
      <w:r w:rsidR="00744A1C" w:rsidRPr="009656AA">
        <w:rPr>
          <w:rtl/>
        </w:rPr>
        <w:t>والفقيه والتهذيب</w:t>
      </w:r>
      <w:r w:rsidR="00744A1C">
        <w:rPr>
          <w:rtl/>
          <w:lang w:bidi="fa-IR"/>
        </w:rPr>
        <w:t xml:space="preserve"> ، ح 131 : « تسبّح ». وفي </w:t>
      </w:r>
      <w:r w:rsidR="00744A1C" w:rsidRPr="009656AA">
        <w:rPr>
          <w:rtl/>
        </w:rPr>
        <w:t>كامل الزيارات</w:t>
      </w:r>
      <w:r w:rsidR="00744A1C">
        <w:rPr>
          <w:rtl/>
          <w:lang w:bidi="fa-IR"/>
        </w:rPr>
        <w:t xml:space="preserve"> ، ص 197 : « تسبّح الله ». و « تَسيخُ » ، أي تستقرّ وتثبت الأرض بكم. راجع : </w:t>
      </w:r>
      <w:r w:rsidR="00744A1C" w:rsidRPr="00877682">
        <w:rPr>
          <w:rStyle w:val="libFootnoteBoldChar"/>
          <w:rtl/>
        </w:rPr>
        <w:t>لسان العرب</w:t>
      </w:r>
      <w:r w:rsidR="00744A1C">
        <w:rPr>
          <w:rtl/>
          <w:lang w:bidi="fa-IR"/>
        </w:rPr>
        <w:t xml:space="preserve"> ، ج 3 ، ص 27 ( سوخ ).</w:t>
      </w:r>
      <w:r w:rsidR="009656AA">
        <w:rPr>
          <w:rFonts w:hint="cs"/>
          <w:rtl/>
          <w:lang w:bidi="fa-IR"/>
        </w:rPr>
        <w:t xml:space="preserve">            </w:t>
      </w:r>
      <w:r>
        <w:rPr>
          <w:rtl/>
          <w:lang w:bidi="fa-IR"/>
        </w:rPr>
        <w:t>(14).</w:t>
      </w:r>
      <w:r w:rsidR="00744A1C">
        <w:rPr>
          <w:rtl/>
          <w:lang w:bidi="fa-IR"/>
        </w:rPr>
        <w:t xml:space="preserve"> في « بح » </w:t>
      </w:r>
      <w:r w:rsidR="00744A1C" w:rsidRPr="009656AA">
        <w:rPr>
          <w:rtl/>
        </w:rPr>
        <w:t>والوافي :</w:t>
      </w:r>
      <w:r w:rsidR="00744A1C">
        <w:rPr>
          <w:rtl/>
          <w:lang w:bidi="fa-IR"/>
        </w:rPr>
        <w:t xml:space="preserve"> + « الشريفة ».</w:t>
      </w:r>
    </w:p>
    <w:p w:rsidR="00744A1C" w:rsidRDefault="00E378DD" w:rsidP="00E378DD">
      <w:pPr>
        <w:pStyle w:val="libFootnote0"/>
        <w:rPr>
          <w:lang w:bidi="fa-IR"/>
        </w:rPr>
      </w:pPr>
      <w:r>
        <w:rPr>
          <w:rtl/>
          <w:lang w:bidi="fa-IR"/>
        </w:rPr>
        <w:t>(15).</w:t>
      </w:r>
      <w:r w:rsidR="00744A1C">
        <w:rPr>
          <w:rtl/>
          <w:lang w:bidi="fa-IR"/>
        </w:rPr>
        <w:t xml:space="preserve"> في </w:t>
      </w:r>
      <w:r w:rsidR="00744A1C" w:rsidRPr="009656AA">
        <w:rPr>
          <w:rtl/>
        </w:rPr>
        <w:t>التهذيب ،</w:t>
      </w:r>
      <w:r w:rsidR="00744A1C">
        <w:rPr>
          <w:rtl/>
          <w:lang w:bidi="fa-IR"/>
        </w:rPr>
        <w:t xml:space="preserve"> ح 131 </w:t>
      </w:r>
      <w:r w:rsidR="00744A1C" w:rsidRPr="009656AA">
        <w:rPr>
          <w:rtl/>
        </w:rPr>
        <w:t>وكامل الزيارات</w:t>
      </w:r>
      <w:r w:rsidR="00744A1C">
        <w:rPr>
          <w:rtl/>
          <w:lang w:bidi="fa-IR"/>
        </w:rPr>
        <w:t xml:space="preserve"> ، ص 197 : « وتستقلّ ».</w:t>
      </w:r>
    </w:p>
    <w:p w:rsidR="00744A1C" w:rsidRDefault="00744A1C" w:rsidP="00D10E3C">
      <w:pPr>
        <w:pStyle w:val="libFootnote0"/>
        <w:rPr>
          <w:lang w:bidi="fa-IR"/>
        </w:rPr>
      </w:pPr>
      <w:r>
        <w:rPr>
          <w:rtl/>
          <w:lang w:bidi="fa-IR"/>
        </w:rPr>
        <w:t xml:space="preserve">(16) في </w:t>
      </w:r>
      <w:r w:rsidRPr="009656AA">
        <w:rPr>
          <w:rtl/>
        </w:rPr>
        <w:t>كامل الزيارات</w:t>
      </w:r>
      <w:r>
        <w:rPr>
          <w:rtl/>
          <w:lang w:bidi="fa-IR"/>
        </w:rPr>
        <w:t xml:space="preserve"> ، ص 197 : « على ».</w:t>
      </w:r>
    </w:p>
    <w:p w:rsidR="00744A1C" w:rsidRDefault="00744A1C" w:rsidP="00D10E3C">
      <w:pPr>
        <w:pStyle w:val="libFootnote0"/>
        <w:rPr>
          <w:lang w:bidi="fa-IR"/>
        </w:rPr>
      </w:pPr>
      <w:r>
        <w:rPr>
          <w:rtl/>
          <w:lang w:bidi="fa-IR"/>
        </w:rPr>
        <w:t xml:space="preserve">(17) « مَراسيها » ، أي أماكنها ومقارّها. راجع : </w:t>
      </w:r>
      <w:r w:rsidRPr="00877682">
        <w:rPr>
          <w:rStyle w:val="libFootnoteBoldChar"/>
          <w:rtl/>
        </w:rPr>
        <w:t>لسان العرب</w:t>
      </w:r>
      <w:r>
        <w:rPr>
          <w:rtl/>
          <w:lang w:bidi="fa-IR"/>
        </w:rPr>
        <w:t xml:space="preserve"> ، ج 14 ، ص 321 ( رسو ).</w:t>
      </w:r>
    </w:p>
    <w:p w:rsidR="00744A1C" w:rsidRDefault="00744A1C" w:rsidP="00D10E3C">
      <w:pPr>
        <w:pStyle w:val="libFootnote0"/>
        <w:rPr>
          <w:lang w:bidi="fa-IR"/>
        </w:rPr>
      </w:pPr>
      <w:r>
        <w:rPr>
          <w:rtl/>
          <w:lang w:bidi="fa-IR"/>
        </w:rPr>
        <w:t>(18) قال العل</w:t>
      </w:r>
      <w:r w:rsidR="009656AA">
        <w:rPr>
          <w:rFonts w:hint="cs"/>
          <w:rtl/>
          <w:lang w:bidi="fa-IR"/>
        </w:rPr>
        <w:t>ّ</w:t>
      </w:r>
      <w:r w:rsidR="009656AA">
        <w:rPr>
          <w:rtl/>
          <w:lang w:bidi="fa-IR"/>
        </w:rPr>
        <w:t>ا</w:t>
      </w:r>
      <w:r>
        <w:rPr>
          <w:rtl/>
          <w:lang w:bidi="fa-IR"/>
        </w:rPr>
        <w:t xml:space="preserve">مة الفيض </w:t>
      </w:r>
      <w:r w:rsidR="00877682" w:rsidRPr="00877682">
        <w:rPr>
          <w:rStyle w:val="libFootnoteAlaemChar"/>
          <w:rtl/>
        </w:rPr>
        <w:t>رحمه‌الله</w:t>
      </w:r>
      <w:r w:rsidR="001116AA">
        <w:rPr>
          <w:rStyle w:val="libFootnoteAlaemChar"/>
          <w:rFonts w:hint="cs"/>
          <w:rtl/>
        </w:rPr>
        <w:t xml:space="preserve"> </w:t>
      </w:r>
      <w:r>
        <w:rPr>
          <w:rtl/>
          <w:lang w:bidi="fa-IR"/>
        </w:rPr>
        <w:t xml:space="preserve">في </w:t>
      </w:r>
      <w:r w:rsidRPr="00C24F9C">
        <w:rPr>
          <w:rStyle w:val="libFootnoteBoldChar"/>
          <w:rtl/>
        </w:rPr>
        <w:t>الوافي</w:t>
      </w:r>
      <w:r>
        <w:rPr>
          <w:rtl/>
          <w:lang w:bidi="fa-IR"/>
        </w:rPr>
        <w:t xml:space="preserve"> : « يعني أنتم الذين يعلمونها أوّلاً ، ثمّ تصدر من بيوتكم إلى سائر الناس فيه</w:t>
      </w:r>
      <w:r w:rsidR="001116AA">
        <w:rPr>
          <w:rFonts w:hint="cs"/>
          <w:rtl/>
          <w:lang w:bidi="fa-IR"/>
        </w:rPr>
        <w:t xml:space="preserve"> </w:t>
      </w:r>
      <w:r>
        <w:rPr>
          <w:rtl/>
          <w:lang w:bidi="fa-IR"/>
        </w:rPr>
        <w:t>‌إشارة إلى ما ينزل إليهم في ليلة القدر من كلّ أمر يكون في السنة ».</w:t>
      </w:r>
    </w:p>
    <w:p w:rsidR="00744A1C" w:rsidRDefault="00744A1C" w:rsidP="00D10E3C">
      <w:pPr>
        <w:pStyle w:val="libFootnote0"/>
        <w:rPr>
          <w:lang w:bidi="fa-IR"/>
        </w:rPr>
      </w:pPr>
      <w:r>
        <w:rPr>
          <w:rtl/>
          <w:lang w:bidi="fa-IR"/>
        </w:rPr>
        <w:t>(19) في « بخ » : « ويصدر ». وفي « بف » بالتاء والياء معاً.</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وَ</w:t>
      </w:r>
      <w:r w:rsidR="001116AA">
        <w:rPr>
          <w:rFonts w:hint="cs"/>
          <w:rtl/>
          <w:lang w:bidi="fa-IR"/>
        </w:rPr>
        <w:t xml:space="preserve"> </w:t>
      </w:r>
      <w:r>
        <w:rPr>
          <w:rtl/>
          <w:lang w:bidi="fa-IR"/>
        </w:rPr>
        <w:t xml:space="preserve">الصَّادِرُ </w:t>
      </w:r>
      <w:r w:rsidRPr="00D10E3C">
        <w:rPr>
          <w:rStyle w:val="libFootnotenumChar"/>
          <w:rtl/>
        </w:rPr>
        <w:t>(1)</w:t>
      </w:r>
      <w:r>
        <w:rPr>
          <w:rtl/>
          <w:lang w:bidi="fa-IR"/>
        </w:rPr>
        <w:t xml:space="preserve"> عَمَّا فَصَلَ </w:t>
      </w:r>
      <w:r w:rsidRPr="00D10E3C">
        <w:rPr>
          <w:rStyle w:val="libFootnotenumChar"/>
          <w:rtl/>
        </w:rPr>
        <w:t>(2)</w:t>
      </w:r>
      <w:r>
        <w:rPr>
          <w:rtl/>
          <w:lang w:bidi="fa-IR"/>
        </w:rPr>
        <w:t xml:space="preserve"> مِنْ أَحْكَامِ الْعِبَادِ ، لُعِنَتْ </w:t>
      </w:r>
      <w:r w:rsidRPr="00D10E3C">
        <w:rPr>
          <w:rStyle w:val="libFootnotenumChar"/>
          <w:rtl/>
        </w:rPr>
        <w:t>(3)</w:t>
      </w:r>
      <w:r>
        <w:rPr>
          <w:rtl/>
          <w:lang w:bidi="fa-IR"/>
        </w:rPr>
        <w:t xml:space="preserve"> أُمَّةٌ قَتَلَتْكُمْ ، وَأُمَّةٌ خَالَفَتْكُمْ </w:t>
      </w:r>
      <w:r w:rsidRPr="00D10E3C">
        <w:rPr>
          <w:rStyle w:val="libFootnotenumChar"/>
          <w:rtl/>
        </w:rPr>
        <w:t>(4)</w:t>
      </w:r>
      <w:r>
        <w:rPr>
          <w:rtl/>
          <w:lang w:bidi="fa-IR"/>
        </w:rPr>
        <w:t xml:space="preserve"> ، وَأُمَّةٌ جَحَدَتْ وَلَايَتَكُمْ ، وَأُمَّةٌ ظَاهَرَتْ </w:t>
      </w:r>
      <w:r w:rsidRPr="00D10E3C">
        <w:rPr>
          <w:rStyle w:val="libFootnotenumChar"/>
          <w:rtl/>
        </w:rPr>
        <w:t>(5)</w:t>
      </w:r>
      <w:r>
        <w:rPr>
          <w:rtl/>
          <w:lang w:bidi="fa-IR"/>
        </w:rPr>
        <w:t xml:space="preserve"> عَلَيْكُمْ ، وَأُمَّةٌ شَهِدَتْ وَلَمْ تُسْتَشْهَدْ ، الْحَمْدُ لِلّهِ الَّذِي جَعَلَ النَّارَ مَثْوَاهُمْ </w:t>
      </w:r>
      <w:r w:rsidRPr="00D10E3C">
        <w:rPr>
          <w:rStyle w:val="libFootnotenumChar"/>
          <w:rtl/>
        </w:rPr>
        <w:t>(6)</w:t>
      </w:r>
      <w:r>
        <w:rPr>
          <w:rtl/>
          <w:lang w:bidi="fa-IR"/>
        </w:rPr>
        <w:t xml:space="preserve"> ، وَبِئْسَ وِرْدُ </w:t>
      </w:r>
      <w:r w:rsidRPr="00D10E3C">
        <w:rPr>
          <w:rStyle w:val="libFootnotenumChar"/>
          <w:rtl/>
        </w:rPr>
        <w:t>(7)</w:t>
      </w:r>
      <w:r>
        <w:rPr>
          <w:rtl/>
          <w:lang w:bidi="fa-IR"/>
        </w:rPr>
        <w:t xml:space="preserve"> الْوَارِدِينَ </w:t>
      </w:r>
      <w:r w:rsidRPr="00D10E3C">
        <w:rPr>
          <w:rStyle w:val="libFootnotenumChar"/>
          <w:rtl/>
        </w:rPr>
        <w:t>(8)</w:t>
      </w:r>
      <w:r>
        <w:rPr>
          <w:rtl/>
          <w:lang w:bidi="fa-IR"/>
        </w:rPr>
        <w:t xml:space="preserve"> ، وَبِئْسَ الْوِرْدُ الْمَوْرُودُ </w:t>
      </w:r>
      <w:r w:rsidRPr="00D10E3C">
        <w:rPr>
          <w:rStyle w:val="libFootnotenumChar"/>
          <w:rtl/>
        </w:rPr>
        <w:t>(9)</w:t>
      </w:r>
      <w:r>
        <w:rPr>
          <w:rtl/>
          <w:lang w:bidi="fa-IR"/>
        </w:rPr>
        <w:t xml:space="preserve"> ، وَالْحَمْدُ </w:t>
      </w:r>
      <w:r w:rsidRPr="00D10E3C">
        <w:rPr>
          <w:rStyle w:val="libFootnotenumChar"/>
          <w:rtl/>
        </w:rPr>
        <w:t>(10)</w:t>
      </w:r>
      <w:r>
        <w:rPr>
          <w:rtl/>
          <w:lang w:bidi="fa-IR"/>
        </w:rPr>
        <w:t xml:space="preserve"> لِلّهِ رَبِّ الْعَالَمِينَ ، وَصَلَّى اللهُ عَلَيْكَ يَا أَبَا عَبْدِ اللهِ </w:t>
      </w:r>
      <w:r w:rsidRPr="00D10E3C">
        <w:rPr>
          <w:rStyle w:val="libFootnotenumChar"/>
          <w:rtl/>
        </w:rPr>
        <w:t>(11)</w:t>
      </w:r>
      <w:r>
        <w:rPr>
          <w:rtl/>
          <w:lang w:bidi="fa-IR"/>
        </w:rPr>
        <w:t xml:space="preserve"> ، أَنَا إِلَى اللهِ مِمَّنْ خَالَفَكَ بَرِي‌ءٌ </w:t>
      </w:r>
      <w:r w:rsidRPr="00D10E3C">
        <w:rPr>
          <w:rStyle w:val="libFootnotenumChar"/>
          <w:rtl/>
        </w:rPr>
        <w:t>(12)</w:t>
      </w:r>
      <w:r>
        <w:rPr>
          <w:rtl/>
          <w:lang w:bidi="fa-IR"/>
        </w:rPr>
        <w:t xml:space="preserve"> ، ثَلَاثاً.</w:t>
      </w:r>
    </w:p>
    <w:p w:rsidR="00744A1C" w:rsidRDefault="00744A1C" w:rsidP="00744A1C">
      <w:pPr>
        <w:pStyle w:val="libNormal"/>
        <w:rPr>
          <w:lang w:bidi="fa-IR"/>
        </w:rPr>
      </w:pPr>
      <w:r>
        <w:rPr>
          <w:rtl/>
          <w:lang w:bidi="fa-IR"/>
        </w:rPr>
        <w:t xml:space="preserve">ثُمَّ تَقُومُ ، فَتَأْتِي </w:t>
      </w:r>
      <w:r w:rsidRPr="00D10E3C">
        <w:rPr>
          <w:rStyle w:val="libFootnotenumChar"/>
          <w:rtl/>
        </w:rPr>
        <w:t>(13)</w:t>
      </w:r>
      <w:r>
        <w:rPr>
          <w:rtl/>
          <w:lang w:bidi="fa-IR"/>
        </w:rPr>
        <w:t xml:space="preserve"> ابْنَهُ عَلِيّاً </w:t>
      </w:r>
      <w:r w:rsidR="0061079A" w:rsidRPr="0061079A">
        <w:rPr>
          <w:rStyle w:val="libAlaemChar"/>
          <w:rtl/>
        </w:rPr>
        <w:t>عليه‌السلام</w:t>
      </w:r>
      <w:r w:rsidR="00D10E3C">
        <w:rPr>
          <w:rtl/>
          <w:lang w:bidi="fa-IR"/>
        </w:rPr>
        <w:t xml:space="preserve"> </w:t>
      </w:r>
      <w:r>
        <w:rPr>
          <w:rtl/>
          <w:lang w:bidi="fa-IR"/>
        </w:rPr>
        <w:t xml:space="preserve">وَهُوَ عِنْدَ رِجْلَيْهِ ، فَتَقُولُ </w:t>
      </w:r>
      <w:r w:rsidRPr="00D10E3C">
        <w:rPr>
          <w:rStyle w:val="libFootnotenumChar"/>
          <w:rtl/>
        </w:rPr>
        <w:t>(14)</w:t>
      </w:r>
      <w:r>
        <w:rPr>
          <w:rtl/>
          <w:lang w:bidi="fa-IR"/>
        </w:rPr>
        <w:t xml:space="preserve"> : السَّلَامُ عَلَيْكَ‌</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1116AA">
        <w:rPr>
          <w:rtl/>
        </w:rPr>
        <w:t>كامل الزيارات</w:t>
      </w:r>
      <w:r w:rsidR="00744A1C">
        <w:rPr>
          <w:rtl/>
          <w:lang w:bidi="fa-IR"/>
        </w:rPr>
        <w:t xml:space="preserve"> ، ص 197 : « والصادق ».</w:t>
      </w:r>
    </w:p>
    <w:p w:rsidR="00744A1C" w:rsidRDefault="00E378DD" w:rsidP="00E378DD">
      <w:pPr>
        <w:pStyle w:val="libFootnote0"/>
        <w:rPr>
          <w:lang w:bidi="fa-IR"/>
        </w:rPr>
      </w:pPr>
      <w:r>
        <w:rPr>
          <w:rtl/>
          <w:lang w:bidi="fa-IR"/>
        </w:rPr>
        <w:t>(2).</w:t>
      </w:r>
      <w:r w:rsidR="00744A1C">
        <w:rPr>
          <w:rtl/>
          <w:lang w:bidi="fa-IR"/>
        </w:rPr>
        <w:t xml:space="preserve"> في « ى ، بح » : « فصّل » بالتضعيف. وفي « بث » : « افضل ». وفي « بف » : « فضّل ». وفي </w:t>
      </w:r>
      <w:r w:rsidR="00744A1C" w:rsidRPr="00C24F9C">
        <w:rPr>
          <w:rStyle w:val="libFootnoteBoldChar"/>
          <w:rtl/>
        </w:rPr>
        <w:t>التهذيب</w:t>
      </w:r>
      <w:r w:rsidR="00744A1C">
        <w:rPr>
          <w:rtl/>
          <w:lang w:bidi="fa-IR"/>
        </w:rPr>
        <w:t xml:space="preserve"> ، ح 131 : « نقل ».</w:t>
      </w:r>
    </w:p>
    <w:p w:rsidR="00744A1C" w:rsidRDefault="00744A1C" w:rsidP="00D10E3C">
      <w:pPr>
        <w:pStyle w:val="libFootnote0"/>
        <w:rPr>
          <w:lang w:bidi="fa-IR"/>
        </w:rPr>
      </w:pPr>
      <w:r>
        <w:rPr>
          <w:rtl/>
          <w:lang w:bidi="fa-IR"/>
        </w:rPr>
        <w:t xml:space="preserve">وقال في </w:t>
      </w:r>
      <w:r w:rsidRPr="00C24F9C">
        <w:rPr>
          <w:rStyle w:val="libFootnoteBoldChar"/>
          <w:rtl/>
        </w:rPr>
        <w:t>الوافي</w:t>
      </w:r>
      <w:r>
        <w:rPr>
          <w:rtl/>
          <w:lang w:bidi="fa-IR"/>
        </w:rPr>
        <w:t xml:space="preserve"> ، « يعني وكذا الصادر عن فصل الأحكام يخرج من بيوتكم ».</w:t>
      </w:r>
    </w:p>
    <w:p w:rsidR="00744A1C" w:rsidRDefault="00744A1C" w:rsidP="001116AA">
      <w:pPr>
        <w:pStyle w:val="libFootnote0"/>
        <w:rPr>
          <w:lang w:bidi="fa-IR"/>
        </w:rPr>
      </w:pPr>
      <w:r>
        <w:rPr>
          <w:rtl/>
          <w:lang w:bidi="fa-IR"/>
        </w:rPr>
        <w:t xml:space="preserve">وفي </w:t>
      </w:r>
      <w:r w:rsidRPr="00C24F9C">
        <w:rPr>
          <w:rStyle w:val="libFootnoteBoldChar"/>
          <w:rtl/>
        </w:rPr>
        <w:t>المرآة</w:t>
      </w:r>
      <w:r>
        <w:rPr>
          <w:rtl/>
          <w:lang w:bidi="fa-IR"/>
        </w:rPr>
        <w:t xml:space="preserve"> : « يمكن أن يقرأ « فضل » على بناء المعلوم والمجهول من باب التفعيل والمجرّد. وقوله : والصادر : مبتدأ ، وخبره محذوف بقرينة ما سبق ، أي تصدر من بيوتكم ، والحاصل أنّ أحكام العباد وما بيّن منها ، أو ما يفصل بينهم في قضاياهم ، أو ما يتميّز به بين الحقّ والباطل ، أو ما خرج من الوحي منها يؤخذ منكم ؛ فإنّ الصادر عن الماء هو الذي يرد الماء ، فيأخذ منه حاجته ويرجع ، فإذا كان علم ما فصّل من أحكام العبادة في بيوتهم ، فالصادر عنه لابدّ أن يصدر من بيوتهم ، ولا يبعد أن يكون الواو في قوله : والصادر ، زيد من النسّاخ ، فيكون فاعل يصدر ، ولا يحتاج إلى تقدير ».</w:t>
      </w:r>
      <w:r w:rsidR="00B509BC">
        <w:rPr>
          <w:rFonts w:hint="cs"/>
          <w:rtl/>
          <w:lang w:bidi="fa-IR"/>
        </w:rPr>
        <w:t xml:space="preserve">                                     </w:t>
      </w:r>
      <w:r w:rsidR="00A6581D">
        <w:rPr>
          <w:rFonts w:hint="cs"/>
          <w:rtl/>
          <w:lang w:bidi="fa-IR"/>
        </w:rPr>
        <w:t xml:space="preserve">  </w:t>
      </w:r>
      <w:r w:rsidR="00B509BC">
        <w:rPr>
          <w:rFonts w:hint="cs"/>
          <w:rtl/>
          <w:lang w:bidi="fa-IR"/>
        </w:rPr>
        <w:t xml:space="preserve">                  </w:t>
      </w:r>
      <w:r w:rsidR="00E378DD">
        <w:rPr>
          <w:rtl/>
          <w:lang w:bidi="fa-IR"/>
        </w:rPr>
        <w:t>(3).</w:t>
      </w:r>
      <w:r>
        <w:rPr>
          <w:rtl/>
          <w:lang w:bidi="fa-IR"/>
        </w:rPr>
        <w:t xml:space="preserve"> في </w:t>
      </w:r>
      <w:r w:rsidRPr="00C24F9C">
        <w:rPr>
          <w:rStyle w:val="libFootnoteBoldChar"/>
          <w:rtl/>
        </w:rPr>
        <w:t>التهذيب</w:t>
      </w:r>
      <w:r>
        <w:rPr>
          <w:rtl/>
          <w:lang w:bidi="fa-IR"/>
        </w:rPr>
        <w:t xml:space="preserve"> ، ح 131 : « لعن الله ».</w:t>
      </w:r>
    </w:p>
    <w:tbl>
      <w:tblPr>
        <w:tblStyle w:val="TableGrid"/>
        <w:bidiVisual/>
        <w:tblW w:w="0" w:type="auto"/>
        <w:tblLook w:val="04A0" w:firstRow="1" w:lastRow="0" w:firstColumn="1" w:lastColumn="0" w:noHBand="0" w:noVBand="1"/>
      </w:tblPr>
      <w:tblGrid>
        <w:gridCol w:w="4006"/>
        <w:gridCol w:w="4006"/>
      </w:tblGrid>
      <w:tr w:rsidR="001116AA" w:rsidTr="001116AA">
        <w:tc>
          <w:tcPr>
            <w:tcW w:w="4006" w:type="dxa"/>
          </w:tcPr>
          <w:p w:rsidR="001116AA" w:rsidRDefault="001116AA" w:rsidP="00E378DD">
            <w:pPr>
              <w:pStyle w:val="libFootnote0"/>
              <w:rPr>
                <w:rtl/>
                <w:lang w:bidi="fa-IR"/>
              </w:rPr>
            </w:pPr>
            <w:r>
              <w:rPr>
                <w:rtl/>
                <w:lang w:bidi="fa-IR"/>
              </w:rPr>
              <w:t>(4). في « ى » : - « وا</w:t>
            </w:r>
            <w:r w:rsidR="00B509BC">
              <w:rPr>
                <w:rFonts w:hint="cs"/>
                <w:rtl/>
                <w:lang w:bidi="fa-IR"/>
              </w:rPr>
              <w:t>ُ</w:t>
            </w:r>
            <w:r>
              <w:rPr>
                <w:rtl/>
                <w:lang w:bidi="fa-IR"/>
              </w:rPr>
              <w:t>مّة خالفتكم ».</w:t>
            </w:r>
          </w:p>
        </w:tc>
        <w:tc>
          <w:tcPr>
            <w:tcW w:w="4006" w:type="dxa"/>
          </w:tcPr>
          <w:p w:rsidR="001116AA" w:rsidRDefault="00B509BC" w:rsidP="00E378DD">
            <w:pPr>
              <w:pStyle w:val="libFootnote0"/>
              <w:rPr>
                <w:rtl/>
                <w:lang w:bidi="fa-IR"/>
              </w:rPr>
            </w:pPr>
            <w:r>
              <w:rPr>
                <w:rtl/>
                <w:lang w:bidi="fa-IR"/>
              </w:rPr>
              <w:t>(5). في « بخ » : « ظهرت ».</w:t>
            </w:r>
          </w:p>
        </w:tc>
      </w:tr>
    </w:tbl>
    <w:p w:rsidR="00744A1C" w:rsidRDefault="00E378DD" w:rsidP="00E378DD">
      <w:pPr>
        <w:pStyle w:val="libFootnote0"/>
        <w:rPr>
          <w:lang w:bidi="fa-IR"/>
        </w:rPr>
      </w:pPr>
      <w:r>
        <w:rPr>
          <w:rtl/>
          <w:lang w:bidi="fa-IR"/>
        </w:rPr>
        <w:t>(6).</w:t>
      </w:r>
      <w:r w:rsidR="00744A1C">
        <w:rPr>
          <w:rtl/>
          <w:lang w:bidi="fa-IR"/>
        </w:rPr>
        <w:t xml:space="preserve"> في « ى ، بح ، بخ ، بف ، جد » و</w:t>
      </w:r>
      <w:r w:rsidR="00744A1C" w:rsidRPr="00C24F9C">
        <w:rPr>
          <w:rStyle w:val="libFootnoteBoldChar"/>
          <w:rtl/>
        </w:rPr>
        <w:t>الوسائل</w:t>
      </w:r>
      <w:r w:rsidR="00744A1C">
        <w:rPr>
          <w:rtl/>
          <w:lang w:bidi="fa-IR"/>
        </w:rPr>
        <w:t xml:space="preserve"> ، ح 19672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ح 131 و</w:t>
      </w:r>
      <w:r w:rsidR="00744A1C" w:rsidRPr="007B299E">
        <w:rPr>
          <w:rStyle w:val="libFootnoteBoldChar"/>
          <w:rtl/>
        </w:rPr>
        <w:t>كامل الزيارات</w:t>
      </w:r>
      <w:r w:rsidR="00744A1C">
        <w:rPr>
          <w:rtl/>
          <w:lang w:bidi="fa-IR"/>
        </w:rPr>
        <w:t xml:space="preserve"> ، ص 197 : « مأواهم ».</w:t>
      </w:r>
    </w:p>
    <w:p w:rsidR="00744A1C" w:rsidRDefault="00E378DD" w:rsidP="00E378DD">
      <w:pPr>
        <w:pStyle w:val="libFootnote0"/>
        <w:rPr>
          <w:lang w:bidi="fa-IR"/>
        </w:rPr>
      </w:pPr>
      <w:r>
        <w:rPr>
          <w:rtl/>
          <w:lang w:bidi="fa-IR"/>
        </w:rPr>
        <w:t>(7).</w:t>
      </w:r>
      <w:r w:rsidR="00744A1C">
        <w:rPr>
          <w:rtl/>
          <w:lang w:bidi="fa-IR"/>
        </w:rPr>
        <w:t xml:space="preserve"> الوِرْدُ : الماء الذي يُورَدُ. </w:t>
      </w:r>
      <w:r w:rsidR="00744A1C" w:rsidRPr="00877682">
        <w:rPr>
          <w:rStyle w:val="libFootnoteBoldChar"/>
          <w:rtl/>
        </w:rPr>
        <w:t>لسان العرب</w:t>
      </w:r>
      <w:r w:rsidR="00744A1C">
        <w:rPr>
          <w:rtl/>
          <w:lang w:bidi="fa-IR"/>
        </w:rPr>
        <w:t xml:space="preserve"> ، ج 3 ، ص 456 ( ورد ).</w:t>
      </w:r>
    </w:p>
    <w:p w:rsidR="00744A1C" w:rsidRDefault="00E378DD" w:rsidP="00E378DD">
      <w:pPr>
        <w:pStyle w:val="libFootnote0"/>
        <w:rPr>
          <w:lang w:bidi="fa-IR"/>
        </w:rPr>
      </w:pPr>
      <w:r>
        <w:rPr>
          <w:rtl/>
          <w:lang w:bidi="fa-IR"/>
        </w:rPr>
        <w:t>(8).</w:t>
      </w:r>
      <w:r w:rsidR="00744A1C">
        <w:rPr>
          <w:rtl/>
          <w:lang w:bidi="fa-IR"/>
        </w:rPr>
        <w:t xml:space="preserve"> في حاشية « بح » : « الموردين ».</w:t>
      </w:r>
    </w:p>
    <w:p w:rsidR="00744A1C" w:rsidRDefault="00E378DD" w:rsidP="00E378DD">
      <w:pPr>
        <w:pStyle w:val="libFootnote0"/>
        <w:rPr>
          <w:lang w:bidi="fa-IR"/>
        </w:rPr>
      </w:pPr>
      <w:r>
        <w:rPr>
          <w:rtl/>
          <w:lang w:bidi="fa-IR"/>
        </w:rPr>
        <w:t>(9).</w:t>
      </w:r>
      <w:r w:rsidR="00744A1C">
        <w:rPr>
          <w:rtl/>
          <w:lang w:bidi="fa-IR"/>
        </w:rPr>
        <w:t xml:space="preserve"> في « بخ » </w:t>
      </w:r>
      <w:r w:rsidR="00744A1C" w:rsidRPr="00017A82">
        <w:rPr>
          <w:rtl/>
        </w:rPr>
        <w:t>والتهذيب</w:t>
      </w:r>
      <w:r w:rsidR="00744A1C">
        <w:rPr>
          <w:rtl/>
          <w:lang w:bidi="fa-IR"/>
        </w:rPr>
        <w:t xml:space="preserve"> ، ح 131 : « وبئس الورد المورود وبئس ورد الواردين » بدل « وبئس ورد الواردين وبئس الورد المورود ». وفي </w:t>
      </w:r>
      <w:r w:rsidR="00744A1C" w:rsidRPr="00C24F9C">
        <w:rPr>
          <w:rStyle w:val="libFootnoteBoldChar"/>
          <w:rtl/>
        </w:rPr>
        <w:t>المرآة</w:t>
      </w:r>
      <w:r w:rsidR="00744A1C">
        <w:rPr>
          <w:rtl/>
          <w:lang w:bidi="fa-IR"/>
        </w:rPr>
        <w:t xml:space="preserve"> : « الوِردُ - بالكسر - : الماء الذي ترد عليه ، وال</w:t>
      </w:r>
      <w:r w:rsidR="00017A82">
        <w:rPr>
          <w:rFonts w:hint="cs"/>
          <w:rtl/>
          <w:lang w:bidi="fa-IR"/>
        </w:rPr>
        <w:t>ـ</w:t>
      </w:r>
      <w:r w:rsidR="00744A1C">
        <w:rPr>
          <w:rtl/>
          <w:lang w:bidi="fa-IR"/>
        </w:rPr>
        <w:t>مَوردُ تأكيد له ، وهذا على سبيل التهكّم ، وهي مؤكّدة للفقرة السابقة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w:t>
      </w:r>
      <w:r w:rsidR="00744A1C" w:rsidRPr="00017A82">
        <w:rPr>
          <w:rtl/>
        </w:rPr>
        <w:t>وكامل الزيارات ، ص 197 : « الحمد »</w:t>
      </w:r>
      <w:r w:rsidR="00744A1C">
        <w:rPr>
          <w:rtl/>
          <w:lang w:bidi="fa-IR"/>
        </w:rPr>
        <w:t xml:space="preserve"> بدون الواو.</w:t>
      </w:r>
    </w:p>
    <w:p w:rsidR="00744A1C" w:rsidRDefault="00E378DD" w:rsidP="00E378DD">
      <w:pPr>
        <w:pStyle w:val="libFootnote0"/>
        <w:rPr>
          <w:lang w:bidi="fa-IR"/>
        </w:rPr>
      </w:pPr>
      <w:r>
        <w:rPr>
          <w:rtl/>
          <w:lang w:bidi="fa-IR"/>
        </w:rPr>
        <w:t>(11).</w:t>
      </w:r>
      <w:r w:rsidR="00744A1C">
        <w:rPr>
          <w:rtl/>
          <w:lang w:bidi="fa-IR"/>
        </w:rPr>
        <w:t xml:space="preserve"> في « بح ، بس ، بف ، جن » وحاشية « بخ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131 : + « ثلاثاً ».</w:t>
      </w:r>
    </w:p>
    <w:p w:rsidR="00744A1C" w:rsidRDefault="00E378DD" w:rsidP="00E378DD">
      <w:pPr>
        <w:pStyle w:val="libFootnote0"/>
        <w:rPr>
          <w:lang w:bidi="fa-IR"/>
        </w:rPr>
      </w:pPr>
      <w:r>
        <w:rPr>
          <w:rtl/>
          <w:lang w:bidi="fa-IR"/>
        </w:rPr>
        <w:t>(12).</w:t>
      </w:r>
      <w:r w:rsidR="00744A1C">
        <w:rPr>
          <w:rtl/>
          <w:lang w:bidi="fa-IR"/>
        </w:rPr>
        <w:t xml:space="preserve"> في « بث ، بخ ، بس ، بف ، جد ، جن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ح 131 : + « أنا إلى الله ممّن خالفك بري‌ء ».</w:t>
      </w:r>
    </w:p>
    <w:p w:rsidR="00744A1C" w:rsidRDefault="00E378DD" w:rsidP="00E378DD">
      <w:pPr>
        <w:pStyle w:val="libFootnote0"/>
        <w:rPr>
          <w:lang w:bidi="fa-IR"/>
        </w:rPr>
      </w:pPr>
      <w:r>
        <w:rPr>
          <w:rtl/>
          <w:lang w:bidi="fa-IR"/>
        </w:rPr>
        <w:t>(13).</w:t>
      </w:r>
      <w:r w:rsidR="00744A1C">
        <w:rPr>
          <w:rtl/>
          <w:lang w:bidi="fa-IR"/>
        </w:rPr>
        <w:t xml:space="preserve"> في « بف » : « وتأتي ».</w:t>
      </w:r>
    </w:p>
    <w:p w:rsidR="00744A1C" w:rsidRDefault="00E378DD" w:rsidP="00E378DD">
      <w:pPr>
        <w:pStyle w:val="libFootnote0"/>
        <w:rPr>
          <w:lang w:bidi="fa-IR"/>
        </w:rPr>
      </w:pPr>
      <w:r>
        <w:rPr>
          <w:rtl/>
          <w:lang w:bidi="fa-IR"/>
        </w:rPr>
        <w:t>(14).</w:t>
      </w:r>
      <w:r w:rsidR="00744A1C">
        <w:rPr>
          <w:rtl/>
          <w:lang w:bidi="fa-IR"/>
        </w:rPr>
        <w:t xml:space="preserve"> في « بث » : « تقول ». وفي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ح 131 : « وتقول ».</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 xml:space="preserve">يَا ابْنَ رَسُولِ اللهِ ، السَّلَامُ عَلَيْكَ يَا ابْنَ عَلِيٍّ </w:t>
      </w:r>
      <w:r w:rsidRPr="00D10E3C">
        <w:rPr>
          <w:rStyle w:val="libFootnotenumChar"/>
          <w:rtl/>
        </w:rPr>
        <w:t>(1)</w:t>
      </w:r>
      <w:r>
        <w:rPr>
          <w:rtl/>
          <w:lang w:bidi="fa-IR"/>
        </w:rPr>
        <w:t xml:space="preserve"> أَمِيرِ الْمُؤْمِنِينَ ، السَّلَامُ عَلَيْكَ يَا ابْنَ الْحَسَنِ </w:t>
      </w:r>
      <w:r w:rsidRPr="00D10E3C">
        <w:rPr>
          <w:rStyle w:val="libFootnotenumChar"/>
          <w:rtl/>
        </w:rPr>
        <w:t>(2)</w:t>
      </w:r>
      <w:r>
        <w:rPr>
          <w:rtl/>
          <w:lang w:bidi="fa-IR"/>
        </w:rPr>
        <w:t xml:space="preserve"> وَالْحُسَيْنِ ، السَّلَامُ عَلَيْكَ يَا ابْنَ خَدِيجَةَ </w:t>
      </w:r>
      <w:r w:rsidRPr="00D10E3C">
        <w:rPr>
          <w:rStyle w:val="libFootnotenumChar"/>
          <w:rtl/>
        </w:rPr>
        <w:t>(3)</w:t>
      </w:r>
      <w:r>
        <w:rPr>
          <w:rtl/>
          <w:lang w:bidi="fa-IR"/>
        </w:rPr>
        <w:t xml:space="preserve"> وَفَاطِمَةَ </w:t>
      </w:r>
      <w:r w:rsidRPr="00D10E3C">
        <w:rPr>
          <w:rStyle w:val="libFootnotenumChar"/>
          <w:rtl/>
        </w:rPr>
        <w:t>(4)</w:t>
      </w:r>
      <w:r>
        <w:rPr>
          <w:rtl/>
          <w:lang w:bidi="fa-IR"/>
        </w:rPr>
        <w:t xml:space="preserve"> ، صَلَّى اللهُ عَلَيْكَ ، لَعَنَ اللهُ مَنْ قَتَلَكَ - تَقُولُهَا </w:t>
      </w:r>
      <w:r w:rsidRPr="00D10E3C">
        <w:rPr>
          <w:rStyle w:val="libFootnotenumChar"/>
          <w:rtl/>
        </w:rPr>
        <w:t>(5)</w:t>
      </w:r>
      <w:r>
        <w:rPr>
          <w:rtl/>
          <w:lang w:bidi="fa-IR"/>
        </w:rPr>
        <w:t xml:space="preserve"> ثَلَاثاً - أَنَا إِلَى اللهِ مِنْهُمْ بَرِي‌ءٌ ، ثَلَاثاً.</w:t>
      </w:r>
    </w:p>
    <w:p w:rsidR="00744A1C" w:rsidRDefault="00744A1C" w:rsidP="00744A1C">
      <w:pPr>
        <w:pStyle w:val="libNormal"/>
        <w:rPr>
          <w:lang w:bidi="fa-IR"/>
        </w:rPr>
      </w:pPr>
      <w:r>
        <w:rPr>
          <w:rtl/>
          <w:lang w:bidi="fa-IR"/>
        </w:rPr>
        <w:t xml:space="preserve">ثُمَّ تَقُومُ ، فَتُؤْمِئُ بِيَدِكَ </w:t>
      </w:r>
      <w:r w:rsidRPr="00D10E3C">
        <w:rPr>
          <w:rStyle w:val="libFootnotenumChar"/>
          <w:rtl/>
        </w:rPr>
        <w:t>(6)</w:t>
      </w:r>
      <w:r>
        <w:rPr>
          <w:rtl/>
          <w:lang w:bidi="fa-IR"/>
        </w:rPr>
        <w:t xml:space="preserve"> إِلَى الشُّهَدَاءِ ، وَتَقُولُ </w:t>
      </w:r>
      <w:r w:rsidRPr="00D10E3C">
        <w:rPr>
          <w:rStyle w:val="libFootnotenumChar"/>
          <w:rtl/>
        </w:rPr>
        <w:t>(7)</w:t>
      </w:r>
      <w:r>
        <w:rPr>
          <w:rtl/>
          <w:lang w:bidi="fa-IR"/>
        </w:rPr>
        <w:t xml:space="preserve"> : السَّلَامُ عَلَيْكُمْ - ثَلَاثاً </w:t>
      </w:r>
      <w:r w:rsidRPr="00D10E3C">
        <w:rPr>
          <w:rStyle w:val="libFootnotenumChar"/>
          <w:rtl/>
        </w:rPr>
        <w:t>(8)</w:t>
      </w:r>
      <w:r>
        <w:rPr>
          <w:rtl/>
          <w:lang w:bidi="fa-IR"/>
        </w:rPr>
        <w:t xml:space="preserve"> - فُزْتُمْ وَاللهِ ، فُزْتُمْ وَاللهِ </w:t>
      </w:r>
      <w:r w:rsidRPr="00D10E3C">
        <w:rPr>
          <w:rStyle w:val="libFootnotenumChar"/>
          <w:rtl/>
        </w:rPr>
        <w:t>(9)</w:t>
      </w:r>
      <w:r>
        <w:rPr>
          <w:rtl/>
          <w:lang w:bidi="fa-IR"/>
        </w:rPr>
        <w:t xml:space="preserve"> ، فَلَيْتَ أَنِّي </w:t>
      </w:r>
      <w:r w:rsidRPr="00D10E3C">
        <w:rPr>
          <w:rStyle w:val="libFootnotenumChar"/>
          <w:rtl/>
        </w:rPr>
        <w:t>(10)</w:t>
      </w:r>
      <w:r>
        <w:rPr>
          <w:rtl/>
          <w:lang w:bidi="fa-IR"/>
        </w:rPr>
        <w:t xml:space="preserve"> مَعَكُمْ ، فَأَفُوزَ فَوْزاً عَظِيماً.</w:t>
      </w:r>
    </w:p>
    <w:p w:rsidR="00144FA6" w:rsidRDefault="00744A1C" w:rsidP="00744A1C">
      <w:pPr>
        <w:pStyle w:val="libNormal"/>
        <w:rPr>
          <w:rtl/>
          <w:lang w:bidi="fa-IR"/>
        </w:rPr>
      </w:pPr>
      <w:r>
        <w:rPr>
          <w:rtl/>
          <w:lang w:bidi="fa-IR"/>
        </w:rPr>
        <w:t xml:space="preserve">ثُمَّ تَدُورُ ، فَتَجْعَلُ قَبْرَ أَبِي عَبْدِ اللهِ </w:t>
      </w:r>
      <w:r w:rsidR="0061079A" w:rsidRPr="0061079A">
        <w:rPr>
          <w:rStyle w:val="libAlaemChar"/>
          <w:rtl/>
        </w:rPr>
        <w:t>عليه‌السلام</w:t>
      </w:r>
      <w:r w:rsidR="00D10E3C">
        <w:rPr>
          <w:rtl/>
          <w:lang w:bidi="fa-IR"/>
        </w:rPr>
        <w:t xml:space="preserve"> </w:t>
      </w:r>
      <w:r>
        <w:rPr>
          <w:rtl/>
          <w:lang w:bidi="fa-IR"/>
        </w:rPr>
        <w:t xml:space="preserve">بَيْنَ يَدَيْكَ ، فَصَلِّ </w:t>
      </w:r>
      <w:r w:rsidRPr="00D10E3C">
        <w:rPr>
          <w:rStyle w:val="libFootnotenumChar"/>
          <w:rtl/>
        </w:rPr>
        <w:t>(11)</w:t>
      </w:r>
      <w:r>
        <w:rPr>
          <w:rtl/>
          <w:lang w:bidi="fa-IR"/>
        </w:rPr>
        <w:t xml:space="preserve"> سِتَّ رَكَعَاتٍ وَقَدْ تَمَّتْ زِيَارَتُكَ ، فَإِنْ شِئْتَ فَانْصَرِفْ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w:t>
      </w:r>
      <w:r w:rsidR="00744A1C" w:rsidRPr="00017A82">
        <w:rPr>
          <w:rtl/>
        </w:rPr>
        <w:t>بس » والوافي :</w:t>
      </w:r>
      <w:r w:rsidR="00744A1C">
        <w:rPr>
          <w:rtl/>
          <w:lang w:bidi="fa-IR"/>
        </w:rPr>
        <w:t xml:space="preserve"> - « عليّ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هو على المجاز ؛ فإنّ العرب تسمّى العمّ أباً مجازاً ، كما قيل في قوله تعالى : </w:t>
      </w:r>
      <w:r w:rsidR="00744A1C" w:rsidRPr="00017A82">
        <w:rPr>
          <w:rStyle w:val="libFootnoteAlaemChar"/>
          <w:rtl/>
        </w:rPr>
        <w:t>(</w:t>
      </w:r>
      <w:r w:rsidR="00744A1C" w:rsidRPr="00017A82">
        <w:rPr>
          <w:rStyle w:val="libFootnoteAieChar"/>
          <w:rtl/>
        </w:rPr>
        <w:t xml:space="preserve"> لِأَبِيهِ آزَرَ </w:t>
      </w:r>
      <w:r w:rsidR="00744A1C" w:rsidRPr="00017A82">
        <w:rPr>
          <w:rStyle w:val="libFootnoteAlaemChar"/>
          <w:rtl/>
        </w:rPr>
        <w:t>)</w:t>
      </w:r>
      <w:r w:rsidR="00744A1C">
        <w:rPr>
          <w:rtl/>
          <w:lang w:bidi="fa-IR"/>
        </w:rPr>
        <w:t xml:space="preserve"> [ الأنعام </w:t>
      </w:r>
      <w:r w:rsidR="00017A82">
        <w:rPr>
          <w:rtl/>
          <w:lang w:bidi="fa-IR"/>
        </w:rPr>
        <w:t>(6)</w:t>
      </w:r>
      <w:r w:rsidR="00744A1C">
        <w:rPr>
          <w:rtl/>
          <w:lang w:bidi="fa-IR"/>
        </w:rPr>
        <w:t xml:space="preserve"> : 74 ]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ح 131 و</w:t>
      </w:r>
      <w:r w:rsidR="00744A1C" w:rsidRPr="007B299E">
        <w:rPr>
          <w:rStyle w:val="libFootnoteBoldChar"/>
          <w:rtl/>
        </w:rPr>
        <w:t>كامل الزيارات</w:t>
      </w:r>
      <w:r w:rsidR="00744A1C">
        <w:rPr>
          <w:rtl/>
          <w:lang w:bidi="fa-IR"/>
        </w:rPr>
        <w:t xml:space="preserve"> ، ص 197 : + « الكبرى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الوسائل</w:t>
      </w:r>
      <w:r w:rsidR="00744A1C">
        <w:rPr>
          <w:rtl/>
          <w:lang w:bidi="fa-IR"/>
        </w:rPr>
        <w:t xml:space="preserve"> ، ح 19672 : + « السلام عليك ». وفي </w:t>
      </w:r>
      <w:r w:rsidR="00744A1C" w:rsidRPr="00C24F9C">
        <w:rPr>
          <w:rStyle w:val="libFootnoteBoldChar"/>
          <w:rtl/>
        </w:rPr>
        <w:t>التهذيب</w:t>
      </w:r>
      <w:r w:rsidR="00744A1C">
        <w:rPr>
          <w:rtl/>
          <w:lang w:bidi="fa-IR"/>
        </w:rPr>
        <w:t xml:space="preserve"> ، ح 131 و</w:t>
      </w:r>
      <w:r w:rsidR="00744A1C" w:rsidRPr="007B299E">
        <w:rPr>
          <w:rStyle w:val="libFootnoteBoldChar"/>
          <w:rtl/>
        </w:rPr>
        <w:t>كامل الزيارات</w:t>
      </w:r>
      <w:r w:rsidR="00744A1C">
        <w:rPr>
          <w:rtl/>
          <w:lang w:bidi="fa-IR"/>
        </w:rPr>
        <w:t xml:space="preserve"> ، ص 197 : + « الزهراء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ح 131 و</w:t>
      </w:r>
      <w:r w:rsidR="00744A1C" w:rsidRPr="007B299E">
        <w:rPr>
          <w:rStyle w:val="libFootnoteBoldChar"/>
          <w:rtl/>
        </w:rPr>
        <w:t>كامل الزيارات</w:t>
      </w:r>
      <w:r w:rsidR="00744A1C">
        <w:rPr>
          <w:rtl/>
          <w:lang w:bidi="fa-IR"/>
        </w:rPr>
        <w:t xml:space="preserve"> ، ص 197 : - « تقولها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الوسائل</w:t>
      </w:r>
      <w:r w:rsidR="00744A1C">
        <w:rPr>
          <w:rtl/>
          <w:lang w:bidi="fa-IR"/>
        </w:rPr>
        <w:t xml:space="preserve"> ، ح 19672 : - « بيدك ».</w:t>
      </w:r>
    </w:p>
    <w:p w:rsidR="00744A1C" w:rsidRDefault="00E378DD" w:rsidP="00E378DD">
      <w:pPr>
        <w:pStyle w:val="libFootnote0"/>
        <w:rPr>
          <w:lang w:bidi="fa-IR"/>
        </w:rPr>
      </w:pPr>
      <w:r>
        <w:rPr>
          <w:rtl/>
          <w:lang w:bidi="fa-IR"/>
        </w:rPr>
        <w:t>(7).</w:t>
      </w:r>
      <w:r w:rsidR="00744A1C">
        <w:rPr>
          <w:rtl/>
          <w:lang w:bidi="fa-IR"/>
        </w:rPr>
        <w:t xml:space="preserve"> في « جد » و</w:t>
      </w:r>
      <w:r w:rsidR="00744A1C" w:rsidRPr="00C24F9C">
        <w:rPr>
          <w:rStyle w:val="libFootnoteBoldChar"/>
          <w:rtl/>
        </w:rPr>
        <w:t>الوسائل</w:t>
      </w:r>
      <w:r w:rsidR="00744A1C">
        <w:rPr>
          <w:rtl/>
          <w:lang w:bidi="fa-IR"/>
        </w:rPr>
        <w:t xml:space="preserve"> ، ح 19672 : « فتقول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ح 131 : « السلام عليكم » بدل « ثلاثاً ».</w:t>
      </w:r>
    </w:p>
    <w:p w:rsidR="00744A1C" w:rsidRDefault="00E378DD" w:rsidP="00E378DD">
      <w:pPr>
        <w:pStyle w:val="libFootnote0"/>
        <w:rPr>
          <w:lang w:bidi="fa-IR"/>
        </w:rPr>
      </w:pPr>
      <w:r>
        <w:rPr>
          <w:rtl/>
          <w:lang w:bidi="fa-IR"/>
        </w:rPr>
        <w:t>(9).</w:t>
      </w:r>
      <w:r w:rsidR="00744A1C">
        <w:rPr>
          <w:rtl/>
          <w:lang w:bidi="fa-IR"/>
        </w:rPr>
        <w:t xml:space="preserve"> في </w:t>
      </w:r>
      <w:r w:rsidR="00744A1C" w:rsidRPr="00017A82">
        <w:rPr>
          <w:rtl/>
        </w:rPr>
        <w:t>الفقيه والتهذيب ،</w:t>
      </w:r>
      <w:r w:rsidR="00744A1C">
        <w:rPr>
          <w:rtl/>
          <w:lang w:bidi="fa-IR"/>
        </w:rPr>
        <w:t xml:space="preserve"> ح 131 : + « فزتم والله ».</w:t>
      </w:r>
    </w:p>
    <w:p w:rsidR="00744A1C" w:rsidRDefault="00E378DD" w:rsidP="00E378DD">
      <w:pPr>
        <w:pStyle w:val="libFootnote0"/>
        <w:rPr>
          <w:lang w:bidi="fa-IR"/>
        </w:rPr>
      </w:pPr>
      <w:r>
        <w:rPr>
          <w:rtl/>
          <w:lang w:bidi="fa-IR"/>
        </w:rPr>
        <w:t>(10).</w:t>
      </w:r>
      <w:r w:rsidR="00744A1C">
        <w:rPr>
          <w:rtl/>
          <w:lang w:bidi="fa-IR"/>
        </w:rPr>
        <w:t xml:space="preserve"> في حاشية « ى » : « فياليتني كنت » بدل « فليت أنّي ».</w:t>
      </w:r>
    </w:p>
    <w:p w:rsidR="00744A1C" w:rsidRDefault="00E378DD" w:rsidP="00E378DD">
      <w:pPr>
        <w:pStyle w:val="libFootnote0"/>
        <w:rPr>
          <w:lang w:bidi="fa-IR"/>
        </w:rPr>
      </w:pPr>
      <w:r>
        <w:rPr>
          <w:rtl/>
          <w:lang w:bidi="fa-IR"/>
        </w:rPr>
        <w:t>(11).</w:t>
      </w:r>
      <w:r w:rsidR="00744A1C">
        <w:rPr>
          <w:rtl/>
          <w:lang w:bidi="fa-IR"/>
        </w:rPr>
        <w:t xml:space="preserve"> في « بح ، بخ ، بخ » </w:t>
      </w:r>
      <w:r w:rsidR="00744A1C" w:rsidRPr="00017A82">
        <w:rPr>
          <w:rtl/>
        </w:rPr>
        <w:t xml:space="preserve">والوافي </w:t>
      </w:r>
      <w:r w:rsidR="00744A1C">
        <w:rPr>
          <w:rtl/>
          <w:lang w:bidi="fa-IR"/>
        </w:rPr>
        <w:t xml:space="preserve">: « وصلّ ». وفي </w:t>
      </w:r>
      <w:r w:rsidR="00744A1C" w:rsidRPr="00017A82">
        <w:rPr>
          <w:rtl/>
        </w:rPr>
        <w:t>الفقيه والتهذيب ،</w:t>
      </w:r>
      <w:r w:rsidR="00744A1C">
        <w:rPr>
          <w:rtl/>
          <w:lang w:bidi="fa-IR"/>
        </w:rPr>
        <w:t xml:space="preserve"> ح 131 </w:t>
      </w:r>
      <w:r w:rsidR="00744A1C" w:rsidRPr="00017A82">
        <w:rPr>
          <w:rtl/>
        </w:rPr>
        <w:t>وكامل الزيارات ،</w:t>
      </w:r>
      <w:r w:rsidR="00744A1C">
        <w:rPr>
          <w:rtl/>
          <w:lang w:bidi="fa-IR"/>
        </w:rPr>
        <w:t xml:space="preserve"> ص 197 « فتصلّي ».</w:t>
      </w:r>
    </w:p>
    <w:p w:rsidR="00144FA6" w:rsidRDefault="00E378DD" w:rsidP="00E378DD">
      <w:pPr>
        <w:pStyle w:val="libFootnote0"/>
        <w:rPr>
          <w:rtl/>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103 ، ح 180 ، [ إلى قوله : « فإنّ السلام يصل إليه من قريب ومن بعيد » ] ؛ وص 54 ، ح 131 ، معلّقاً عن الكليني ؛ كتاب المزار ، ص 214 ، ح 1 ، بسنده عن محمّد يعقوب ، إلى قوله : « فإنّ السلام يصل إليه من قريب ومن بعيد ». وفي </w:t>
      </w:r>
      <w:r w:rsidR="00744A1C" w:rsidRPr="007B299E">
        <w:rPr>
          <w:rStyle w:val="libFootnoteBoldChar"/>
          <w:rtl/>
        </w:rPr>
        <w:t>كامل الزيارات</w:t>
      </w:r>
      <w:r w:rsidR="00744A1C">
        <w:rPr>
          <w:rtl/>
          <w:lang w:bidi="fa-IR"/>
        </w:rPr>
        <w:t xml:space="preserve"> ، ص 197 ، الباب 99 ، ح 2 ؛ وص 80 ، الباب 26 ، ح 5 ، بسندهما عن أحمد بن محمّد بن عيسى ، وفي الأخير إلى قوله : « ولا دمشق ولا آل عثمان ». </w:t>
      </w:r>
      <w:r w:rsidR="00744A1C" w:rsidRPr="00C24F9C">
        <w:rPr>
          <w:rStyle w:val="libFootnoteBoldChar"/>
          <w:rtl/>
        </w:rPr>
        <w:t>الفقيه</w:t>
      </w:r>
      <w:r w:rsidR="00744A1C">
        <w:rPr>
          <w:rtl/>
          <w:lang w:bidi="fa-IR"/>
        </w:rPr>
        <w:t xml:space="preserve"> ، ج 2 ، ص 594 ، ح 3199 ، معلّقاً عن الحسن بن راشد ، من قوله : « إذا أتيت أبا عبدالله </w:t>
      </w:r>
      <w:r w:rsidR="0061079A" w:rsidRPr="0061079A">
        <w:rPr>
          <w:rStyle w:val="libFootnoteAlaemChar"/>
          <w:rtl/>
        </w:rPr>
        <w:t>عليه‌السلام</w:t>
      </w:r>
      <w:r w:rsidR="00D10E3C">
        <w:rPr>
          <w:rtl/>
          <w:lang w:bidi="fa-IR"/>
        </w:rPr>
        <w:t xml:space="preserve"> </w:t>
      </w:r>
      <w:r w:rsidR="00744A1C">
        <w:rPr>
          <w:rtl/>
          <w:lang w:bidi="fa-IR"/>
        </w:rPr>
        <w:t xml:space="preserve">فاغتسل على شاطئ الفرات ». </w:t>
      </w:r>
      <w:r w:rsidR="00744A1C" w:rsidRPr="007B299E">
        <w:rPr>
          <w:rStyle w:val="libFootnoteBoldChar"/>
          <w:rtl/>
        </w:rPr>
        <w:t>كامل الزيارات</w:t>
      </w:r>
      <w:r w:rsidR="00744A1C">
        <w:rPr>
          <w:rtl/>
          <w:lang w:bidi="fa-IR"/>
        </w:rPr>
        <w:t xml:space="preserve"> ، ص 80 ، الباب 26 ، ح 3 ، بسنده عن الحسين بن ثوير بن أبي فاختة ويونس بن ظبيان وأبي سلمة السرّاج والمفضّل بن عمر كلّهم ، عن أبي عبدالله </w:t>
      </w:r>
      <w:r w:rsidR="0061079A" w:rsidRPr="0061079A">
        <w:rPr>
          <w:rStyle w:val="libFootnoteAlaemChar"/>
          <w:rtl/>
        </w:rPr>
        <w:t>عليه‌السلام</w:t>
      </w:r>
      <w:r w:rsidR="00D10E3C">
        <w:rPr>
          <w:rtl/>
          <w:lang w:bidi="fa-IR"/>
        </w:rPr>
        <w:t xml:space="preserve"> </w:t>
      </w:r>
      <w:r w:rsidR="00744A1C">
        <w:rPr>
          <w:rtl/>
          <w:lang w:bidi="fa-IR"/>
        </w:rPr>
        <w:t>، من قوله : « إنّ أبا عبدالله الحسين ل</w:t>
      </w:r>
      <w:r w:rsidR="00017A82">
        <w:rPr>
          <w:rFonts w:hint="cs"/>
          <w:rtl/>
          <w:lang w:bidi="fa-IR"/>
        </w:rPr>
        <w:t>ـ</w:t>
      </w:r>
      <w:r w:rsidR="00744A1C">
        <w:rPr>
          <w:rtl/>
          <w:lang w:bidi="fa-IR"/>
        </w:rPr>
        <w:t>مّا قضى » إلى</w:t>
      </w:r>
      <w:r w:rsidR="00017A82">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8159 / 3. عِدَّةٌ مِنْ أَصْحَابِنَا ، عَنْ سَهْلِ بْنِ زِيَادٍ ، عَنْ مُحَمَّدِ بْنِ أُورَمَةَ ، عَنْ بَعْضِ أَصْحَابِنَا :</w:t>
      </w:r>
    </w:p>
    <w:p w:rsidR="00744A1C" w:rsidRDefault="00744A1C" w:rsidP="00744A1C">
      <w:pPr>
        <w:pStyle w:val="libNormal"/>
        <w:rPr>
          <w:lang w:bidi="fa-IR"/>
        </w:rPr>
      </w:pPr>
      <w:r>
        <w:rPr>
          <w:rtl/>
          <w:lang w:bidi="fa-IR"/>
        </w:rPr>
        <w:t xml:space="preserve">عَنْ أَبِي الْحَسَنِ صَاحِبِ الْعَسْكَرِ </w:t>
      </w:r>
      <w:r w:rsidR="0061079A" w:rsidRPr="0061079A">
        <w:rPr>
          <w:rStyle w:val="libAlaemChar"/>
          <w:rtl/>
        </w:rPr>
        <w:t>عليه‌السلام</w:t>
      </w:r>
      <w:r w:rsidR="00D10E3C">
        <w:rPr>
          <w:rtl/>
          <w:lang w:bidi="fa-IR"/>
        </w:rPr>
        <w:t xml:space="preserve"> </w:t>
      </w:r>
      <w:r>
        <w:rPr>
          <w:rtl/>
          <w:lang w:bidi="fa-IR"/>
        </w:rPr>
        <w:t xml:space="preserve">، قَالَ : « تَقُولُ عِنْدَ رَأْسِ </w:t>
      </w:r>
      <w:r w:rsidRPr="00D10E3C">
        <w:rPr>
          <w:rStyle w:val="libFootnotenumChar"/>
          <w:rtl/>
        </w:rPr>
        <w:t>(1)</w:t>
      </w:r>
      <w:r>
        <w:rPr>
          <w:rtl/>
          <w:lang w:bidi="fa-IR"/>
        </w:rPr>
        <w:t xml:space="preserve"> الْحُسَيْنِ </w:t>
      </w:r>
      <w:r w:rsidR="0061079A" w:rsidRPr="0061079A">
        <w:rPr>
          <w:rStyle w:val="libAlaemChar"/>
          <w:rtl/>
        </w:rPr>
        <w:t>عليه‌السلام</w:t>
      </w:r>
      <w:r w:rsidR="00D10E3C">
        <w:rPr>
          <w:rtl/>
          <w:lang w:bidi="fa-IR"/>
        </w:rPr>
        <w:t xml:space="preserve"> </w:t>
      </w:r>
      <w:r>
        <w:rPr>
          <w:rtl/>
          <w:lang w:bidi="fa-IR"/>
        </w:rPr>
        <w:t>: السَّلَامُ‌ عَلَيْكَ يَا أَبَا عَبْدِ اللهِ ، السَّلَامُ عَلَيْكَ يَا حُجَّةَ اللهِ فِي أَرْضِهِ وَشَاهِدَهُ عَلى خَلْقِهِ ، السَّلَامُ عَلَيْكَ يَا ابْنَ رَسُولِ اللهِ ، السَّلَامُ عَلَيْكَ يَا ابْنَ عَلِيٍّ الْمُرْتَضى ، السَّلَامُ عَلَيْكَ يَا ابْنَ فَاطِمَةَ الزَّهْرَاءِ ، أَشْهَدُ أَنَّكَ قَدْ أَقَمْتَ الصَّلَاةَ ، وَآتَيْتَ الزَّكَاةَ ، وَأَمَرْتَ بِالْمَعْرُوفِ ، وَنَهَيْتَ عَنِ الْمُنْكَرِ ، وَجَاهَدْتَ فِي سَبِيلِ اللهِ حَتّى أَتَاكَ الْيَقِينُ ، فَصَلَّى اللهُ عَلَيْكَ حَيّاً وَمَيِّتاً.</w:t>
      </w:r>
    </w:p>
    <w:p w:rsidR="00744A1C" w:rsidRDefault="00744A1C" w:rsidP="00744A1C">
      <w:pPr>
        <w:pStyle w:val="libNormal"/>
        <w:rPr>
          <w:lang w:bidi="fa-IR"/>
        </w:rPr>
      </w:pPr>
      <w:r>
        <w:rPr>
          <w:rtl/>
          <w:lang w:bidi="fa-IR"/>
        </w:rPr>
        <w:t xml:space="preserve">ثُمَّ تَضَعُ خَدَّكَ الْأَيْمَنَ عَلَى الْقَبْرِ ، وَقُلْ </w:t>
      </w:r>
      <w:r w:rsidRPr="00D10E3C">
        <w:rPr>
          <w:rStyle w:val="libFootnotenumChar"/>
          <w:rtl/>
        </w:rPr>
        <w:t>(2)</w:t>
      </w:r>
      <w:r>
        <w:rPr>
          <w:rtl/>
          <w:lang w:bidi="fa-IR"/>
        </w:rPr>
        <w:t xml:space="preserve"> : أَشْهَدُ أَنَّكَ </w:t>
      </w:r>
      <w:r w:rsidRPr="00D10E3C">
        <w:rPr>
          <w:rStyle w:val="libFootnotenumChar"/>
          <w:rtl/>
        </w:rPr>
        <w:t>(3)</w:t>
      </w:r>
      <w:r>
        <w:rPr>
          <w:rtl/>
          <w:lang w:bidi="fa-IR"/>
        </w:rPr>
        <w:t xml:space="preserve"> عَلى بَيِّنَةٍ مِنْ رَبِّكَ جِئْتُ </w:t>
      </w:r>
      <w:r w:rsidRPr="00D10E3C">
        <w:rPr>
          <w:rStyle w:val="libFootnotenumChar"/>
          <w:rtl/>
        </w:rPr>
        <w:t>(4)</w:t>
      </w:r>
      <w:r>
        <w:rPr>
          <w:rtl/>
          <w:lang w:bidi="fa-IR"/>
        </w:rPr>
        <w:t xml:space="preserve"> مُقِرّاً بِالذُّنُوبِ لِتَشْفَعَ لِي عِنْدَ رَبِّكَ يَا ابْنَ رَسُولِ اللهِ ، ثُمَّ اذْكُرِ الْأَئِمَّةَ بِأَسْمَائِهِمْ </w:t>
      </w:r>
      <w:r w:rsidRPr="00D10E3C">
        <w:rPr>
          <w:rStyle w:val="libFootnotenumChar"/>
          <w:rtl/>
        </w:rPr>
        <w:t>(5)</w:t>
      </w:r>
      <w:r>
        <w:rPr>
          <w:rtl/>
          <w:lang w:bidi="fa-IR"/>
        </w:rPr>
        <w:t xml:space="preserve"> وَاحِداً‌</w:t>
      </w:r>
    </w:p>
    <w:p w:rsidR="00744A1C" w:rsidRDefault="00744A1C" w:rsidP="00D10E3C">
      <w:pPr>
        <w:pStyle w:val="libLine"/>
        <w:rPr>
          <w:lang w:bidi="fa-IR"/>
        </w:rPr>
      </w:pPr>
      <w:r>
        <w:rPr>
          <w:rtl/>
          <w:lang w:bidi="fa-IR"/>
        </w:rPr>
        <w:t>____________________</w:t>
      </w:r>
    </w:p>
    <w:p w:rsidR="00744A1C" w:rsidRDefault="00A655AD" w:rsidP="00D10E3C">
      <w:pPr>
        <w:pStyle w:val="libFootnote0"/>
        <w:rPr>
          <w:lang w:bidi="fa-IR"/>
        </w:rPr>
      </w:pPr>
      <w:r>
        <w:rPr>
          <w:rFonts w:hint="cs"/>
          <w:rtl/>
          <w:lang w:bidi="fa-IR"/>
        </w:rPr>
        <w:t xml:space="preserve">= </w:t>
      </w:r>
      <w:r w:rsidR="00744A1C">
        <w:rPr>
          <w:rtl/>
          <w:lang w:bidi="fa-IR"/>
        </w:rPr>
        <w:t xml:space="preserve">قوله : « وما يرى ومالايرى ». </w:t>
      </w:r>
      <w:r w:rsidR="00744A1C" w:rsidRPr="007B299E">
        <w:rPr>
          <w:rStyle w:val="libFootnoteBoldChar"/>
          <w:rtl/>
        </w:rPr>
        <w:t>كامل الزيارات</w:t>
      </w:r>
      <w:r w:rsidR="00744A1C">
        <w:rPr>
          <w:rtl/>
          <w:lang w:bidi="fa-IR"/>
        </w:rPr>
        <w:t xml:space="preserve"> ، ص 80 ، الباب 26 ، ح 4 ، بسنده عن الحسين بن ثوير ، عن يونس وأبي سلمة السرّاج والمفضّل بن عمر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من قوله : « بكى على أبي عبدالله الحسين </w:t>
      </w:r>
      <w:r w:rsidR="0061079A" w:rsidRPr="0061079A">
        <w:rPr>
          <w:rStyle w:val="libFootnoteAlaemChar"/>
          <w:rtl/>
        </w:rPr>
        <w:t>عليه‌السلام</w:t>
      </w:r>
      <w:r w:rsidR="00D10E3C">
        <w:rPr>
          <w:rtl/>
          <w:lang w:bidi="fa-IR"/>
        </w:rPr>
        <w:t xml:space="preserve"> </w:t>
      </w:r>
      <w:r>
        <w:rPr>
          <w:rtl/>
          <w:lang w:bidi="fa-IR"/>
        </w:rPr>
        <w:t>إل</w:t>
      </w:r>
      <w:r>
        <w:rPr>
          <w:rFonts w:hint="cs"/>
          <w:rtl/>
          <w:lang w:bidi="fa-IR"/>
        </w:rPr>
        <w:t>ّ</w:t>
      </w:r>
      <w:r>
        <w:rPr>
          <w:rtl/>
          <w:lang w:bidi="fa-IR"/>
        </w:rPr>
        <w:t>ا</w:t>
      </w:r>
      <w:r w:rsidR="00744A1C">
        <w:rPr>
          <w:rtl/>
          <w:lang w:bidi="fa-IR"/>
        </w:rPr>
        <w:t xml:space="preserve"> ثلاثة » إلى قوله : « ولا دمشق ولا آل عثمان ». </w:t>
      </w:r>
      <w:r w:rsidR="00744A1C" w:rsidRPr="000B1C3F">
        <w:rPr>
          <w:rStyle w:val="libFootnoteBoldChar"/>
          <w:rtl/>
        </w:rPr>
        <w:t>الأمالي للطوسي</w:t>
      </w:r>
      <w:r w:rsidR="00744A1C">
        <w:rPr>
          <w:rtl/>
          <w:lang w:bidi="fa-IR"/>
        </w:rPr>
        <w:t xml:space="preserve"> ، ص 54 ، المجلس 2 ، ح 42 ، بسنده عن الحسين بن أبي فاختة ، وفيه هكذا : « عن الحسين بن أبي فاختة قال : كنت أنا وأبو سلمة السرّاج ويونس بن يعقوب والفضيل بن يسار عند أبي عبدالله جعفر بن محمّد </w:t>
      </w:r>
      <w:r w:rsidR="0061079A" w:rsidRPr="0061079A">
        <w:rPr>
          <w:rStyle w:val="libFootnoteAlaemChar"/>
          <w:rtl/>
        </w:rPr>
        <w:t>عليه‌السلام</w:t>
      </w:r>
      <w:r w:rsidR="00D10E3C">
        <w:rPr>
          <w:rtl/>
          <w:lang w:bidi="fa-IR"/>
        </w:rPr>
        <w:t xml:space="preserve"> </w:t>
      </w:r>
      <w:r w:rsidR="00744A1C">
        <w:rPr>
          <w:rtl/>
          <w:lang w:bidi="fa-IR"/>
        </w:rPr>
        <w:t xml:space="preserve">... » إلى قوله : « ولا دمشق ولا آل عثمان ». المقنعة ، ص 491 ، مرسلاً عن يونس بن ظبيان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من قوله : « فقلت : جعلت فداك إنّي كثيراً ما أذكر الحسين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يصل إليه من قريب ومن بعيد </w:t>
      </w:r>
      <w:r>
        <w:rPr>
          <w:rtl/>
          <w:lang w:bidi="fa-IR"/>
        </w:rPr>
        <w:t>» وفي كلّ المصادر - إل</w:t>
      </w:r>
      <w:r>
        <w:rPr>
          <w:rFonts w:hint="cs"/>
          <w:rtl/>
          <w:lang w:bidi="fa-IR"/>
        </w:rPr>
        <w:t>ّ</w:t>
      </w:r>
      <w:r>
        <w:rPr>
          <w:rtl/>
          <w:lang w:bidi="fa-IR"/>
        </w:rPr>
        <w:t>ا</w:t>
      </w:r>
      <w:r w:rsidR="00744A1C">
        <w:rPr>
          <w:rtl/>
          <w:lang w:bidi="fa-IR"/>
        </w:rPr>
        <w:t xml:space="preserve"> كتاب المزار </w:t>
      </w:r>
      <w:r w:rsidR="00744A1C" w:rsidRPr="0061079A">
        <w:rPr>
          <w:rStyle w:val="libFootnoteBoldChar"/>
          <w:rtl/>
        </w:rPr>
        <w:t>والتهذيب</w:t>
      </w:r>
      <w:r w:rsidR="00744A1C">
        <w:rPr>
          <w:rtl/>
          <w:lang w:bidi="fa-IR"/>
        </w:rPr>
        <w:t xml:space="preserve"> - مع اختلاف يسير </w:t>
      </w:r>
      <w:r w:rsidR="00744A1C" w:rsidRPr="00C24F9C">
        <w:rPr>
          <w:rStyle w:val="libFootnoteBoldChar"/>
          <w:rtl/>
        </w:rPr>
        <w:t>الوافي</w:t>
      </w:r>
      <w:r w:rsidR="00744A1C">
        <w:rPr>
          <w:rtl/>
          <w:lang w:bidi="fa-IR"/>
        </w:rPr>
        <w:t xml:space="preserve"> ، ج 14 ، ص 1485 ، ح 14575 ؛ وص 1578 ، ح 14657 ؛ </w:t>
      </w:r>
      <w:r w:rsidR="00744A1C" w:rsidRPr="00C24F9C">
        <w:rPr>
          <w:rStyle w:val="libFootnoteBoldChar"/>
          <w:rtl/>
        </w:rPr>
        <w:t>الوسائل</w:t>
      </w:r>
      <w:r w:rsidR="00744A1C">
        <w:rPr>
          <w:rtl/>
          <w:lang w:bidi="fa-IR"/>
        </w:rPr>
        <w:t xml:space="preserve"> ، ج 14 ، ص 490 ، ح 19672 ؛ وفيه ، ص 493 ، ح 19673 ، إلى قوله : « يصل إليه من قريب ومن بعيد » ؛ وص 506 ، ح 19701 ؛ </w:t>
      </w:r>
      <w:r w:rsidR="00744A1C" w:rsidRPr="0061079A">
        <w:rPr>
          <w:rStyle w:val="libFootnoteBoldChar"/>
          <w:rtl/>
        </w:rPr>
        <w:t>البحار</w:t>
      </w:r>
      <w:r w:rsidR="00744A1C">
        <w:rPr>
          <w:rtl/>
          <w:lang w:bidi="fa-IR"/>
        </w:rPr>
        <w:t xml:space="preserve"> ، ج 101 ، ص 151 ، ح 4 ؛ وفيه ، ص 370 ، ح 14 ، إلى قوله : « يصل إليه من قريب ومن بعيد ».</w:t>
      </w:r>
    </w:p>
    <w:p w:rsidR="00744A1C" w:rsidRDefault="00D10E3C" w:rsidP="00D10E3C">
      <w:pPr>
        <w:pStyle w:val="libFootnote0"/>
        <w:rPr>
          <w:lang w:bidi="fa-IR"/>
        </w:rPr>
      </w:pPr>
      <w:r>
        <w:rPr>
          <w:rtl/>
          <w:lang w:bidi="fa-IR"/>
        </w:rPr>
        <w:t>(1).</w:t>
      </w:r>
      <w:r w:rsidR="00744A1C">
        <w:rPr>
          <w:rtl/>
          <w:lang w:bidi="fa-IR"/>
        </w:rPr>
        <w:t xml:space="preserve"> في « بح ، بخ ، بس ، بف ، جد ، جن » </w:t>
      </w:r>
      <w:r w:rsidR="00744A1C" w:rsidRPr="0061079A">
        <w:rPr>
          <w:rStyle w:val="libFootnoteBoldChar"/>
          <w:rtl/>
        </w:rPr>
        <w:t>والتهذيب</w:t>
      </w:r>
      <w:r w:rsidR="00744A1C">
        <w:rPr>
          <w:rtl/>
          <w:lang w:bidi="fa-IR"/>
        </w:rPr>
        <w:t xml:space="preserve"> : - « رأس ». وفي </w:t>
      </w:r>
      <w:r w:rsidR="00744A1C" w:rsidRPr="007B299E">
        <w:rPr>
          <w:rStyle w:val="libFootnoteBoldChar"/>
          <w:rtl/>
        </w:rPr>
        <w:t>كامل الزيارات</w:t>
      </w:r>
      <w:r w:rsidR="00744A1C">
        <w:rPr>
          <w:rtl/>
          <w:lang w:bidi="fa-IR"/>
        </w:rPr>
        <w:t xml:space="preserve"> ، ص 209 ، ح 7 وذيل ح 7 : « قبر » بدل « رأس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 وتقول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 « كنت ».</w:t>
      </w:r>
    </w:p>
    <w:p w:rsidR="00744A1C" w:rsidRDefault="00E378DD" w:rsidP="00E378DD">
      <w:pPr>
        <w:pStyle w:val="libFootnote0"/>
        <w:rPr>
          <w:lang w:bidi="fa-IR"/>
        </w:rPr>
      </w:pPr>
      <w:r>
        <w:rPr>
          <w:rtl/>
          <w:lang w:bidi="fa-IR"/>
        </w:rPr>
        <w:t>(4).</w:t>
      </w:r>
      <w:r w:rsidR="00744A1C">
        <w:rPr>
          <w:rtl/>
          <w:lang w:bidi="fa-IR"/>
        </w:rPr>
        <w:t xml:space="preserve"> في </w:t>
      </w:r>
      <w:r w:rsidR="00744A1C" w:rsidRPr="00A655AD">
        <w:rPr>
          <w:rtl/>
        </w:rPr>
        <w:t>التهذيب وكامل الزيارات ،</w:t>
      </w:r>
      <w:r w:rsidR="00744A1C">
        <w:rPr>
          <w:rtl/>
          <w:lang w:bidi="fa-IR"/>
        </w:rPr>
        <w:t xml:space="preserve"> ص 209 ، ح 7 وذيل ح 7 : « جئتك ».</w:t>
      </w:r>
    </w:p>
    <w:p w:rsidR="00744A1C" w:rsidRDefault="00E378DD" w:rsidP="00E378DD">
      <w:pPr>
        <w:pStyle w:val="libFootnote0"/>
        <w:rPr>
          <w:lang w:bidi="fa-IR"/>
        </w:rPr>
      </w:pPr>
      <w:r>
        <w:rPr>
          <w:rtl/>
          <w:lang w:bidi="fa-IR"/>
        </w:rPr>
        <w:t>(5).</w:t>
      </w:r>
      <w:r w:rsidR="00744A1C">
        <w:rPr>
          <w:rtl/>
          <w:lang w:bidi="fa-IR"/>
        </w:rPr>
        <w:t xml:space="preserve"> في « ى » : « وأسماءهم ».</w:t>
      </w:r>
    </w:p>
    <w:p w:rsidR="00150943" w:rsidRDefault="00150943" w:rsidP="00D10E3C">
      <w:pPr>
        <w:pStyle w:val="libNormal"/>
        <w:rPr>
          <w:rtl/>
          <w:lang w:bidi="fa-IR"/>
        </w:rPr>
      </w:pPr>
      <w:r>
        <w:rPr>
          <w:rtl/>
          <w:lang w:bidi="fa-IR"/>
        </w:rPr>
        <w:br w:type="page"/>
      </w:r>
    </w:p>
    <w:p w:rsidR="00A655AD" w:rsidRDefault="00744A1C" w:rsidP="00A6581D">
      <w:pPr>
        <w:pStyle w:val="libNormal0"/>
        <w:rPr>
          <w:rtl/>
          <w:lang w:bidi="fa-IR"/>
        </w:rPr>
      </w:pPr>
      <w:r>
        <w:rPr>
          <w:rtl/>
          <w:lang w:bidi="fa-IR"/>
        </w:rPr>
        <w:lastRenderedPageBreak/>
        <w:t xml:space="preserve">وَاحِداً </w:t>
      </w:r>
      <w:r w:rsidRPr="00D10E3C">
        <w:rPr>
          <w:rStyle w:val="libFootnotenumChar"/>
          <w:rtl/>
        </w:rPr>
        <w:t>(1)</w:t>
      </w:r>
      <w:r>
        <w:rPr>
          <w:rtl/>
          <w:lang w:bidi="fa-IR"/>
        </w:rPr>
        <w:t xml:space="preserve"> ، وَقُلْ : أَشْهَدُ أَنَّهُمْ </w:t>
      </w:r>
      <w:r w:rsidRPr="00D10E3C">
        <w:rPr>
          <w:rStyle w:val="libFootnotenumChar"/>
          <w:rtl/>
        </w:rPr>
        <w:t>(2)</w:t>
      </w:r>
      <w:r>
        <w:rPr>
          <w:rtl/>
          <w:lang w:bidi="fa-IR"/>
        </w:rPr>
        <w:t xml:space="preserve"> حُجَّةُ اللهِ ، ثُمَّ قُلْ : اكْتُبْ لِي عِنْدَكَ مِيثَاقاً وَعَهْداً أَنِّي أَتَيْتُكَ أُجَدِّدُ </w:t>
      </w:r>
      <w:r w:rsidRPr="00D10E3C">
        <w:rPr>
          <w:rStyle w:val="libFootnotenumChar"/>
          <w:rtl/>
        </w:rPr>
        <w:t>(3)</w:t>
      </w:r>
      <w:r>
        <w:rPr>
          <w:rtl/>
          <w:lang w:bidi="fa-IR"/>
        </w:rPr>
        <w:t xml:space="preserve"> الْمِيثَاقَ ، فَاشْهَدْ لِي عِنْدَ رَبِّكَ ، إِنَّكَ أَنْتَ الشَّاهِدُ ». </w:t>
      </w:r>
      <w:r w:rsidRPr="00D10E3C">
        <w:rPr>
          <w:rStyle w:val="libFootnotenumChar"/>
          <w:rtl/>
        </w:rPr>
        <w:t>(4)</w:t>
      </w:r>
    </w:p>
    <w:p w:rsidR="00144FA6" w:rsidRDefault="00A655AD" w:rsidP="00A655AD">
      <w:pPr>
        <w:pStyle w:val="libNormal"/>
        <w:rPr>
          <w:rtl/>
          <w:lang w:bidi="fa-IR"/>
        </w:rPr>
      </w:pPr>
      <w:r>
        <w:rPr>
          <w:rFonts w:hint="cs"/>
          <w:rtl/>
          <w:lang w:bidi="fa-IR"/>
        </w:rPr>
        <w:t xml:space="preserve">* </w:t>
      </w:r>
      <w:r w:rsidR="00744A1C">
        <w:rPr>
          <w:rtl/>
          <w:lang w:bidi="fa-IR"/>
        </w:rPr>
        <w:t xml:space="preserve">مُحَمَّدُ بْنُ جَعْفَرٍ الرَّزَّازُ الْكُوفِيُّ ، عَنْ مُحَمَّدِ بْنِ عِيسَى بْنِ عُبَيْدٍ ، عَمَّنْ ذَكَرَهُ ، عَنْ أَبِي الْحَسَنِ </w:t>
      </w:r>
      <w:r w:rsidR="0061079A" w:rsidRPr="0061079A">
        <w:rPr>
          <w:rStyle w:val="libAlaemChar"/>
          <w:rtl/>
        </w:rPr>
        <w:t>عليه‌السلام</w:t>
      </w:r>
      <w:r w:rsidR="00D10E3C">
        <w:rPr>
          <w:rtl/>
          <w:lang w:bidi="fa-IR"/>
        </w:rPr>
        <w:t xml:space="preserve"> </w:t>
      </w:r>
      <w:r w:rsidR="00744A1C">
        <w:rPr>
          <w:rtl/>
          <w:lang w:bidi="fa-IR"/>
        </w:rPr>
        <w:t xml:space="preserve">مِثْلَهُ. </w:t>
      </w:r>
      <w:r w:rsidR="00744A1C" w:rsidRPr="00D10E3C">
        <w:rPr>
          <w:rStyle w:val="libFootnotenumChar"/>
          <w:rtl/>
        </w:rPr>
        <w:t>(5)</w:t>
      </w:r>
    </w:p>
    <w:p w:rsidR="00144FA6" w:rsidRDefault="00744A1C" w:rsidP="00744A1C">
      <w:pPr>
        <w:pStyle w:val="libNormal"/>
        <w:rPr>
          <w:rtl/>
          <w:lang w:bidi="fa-IR"/>
        </w:rPr>
      </w:pPr>
      <w:r>
        <w:rPr>
          <w:rtl/>
          <w:lang w:bidi="fa-IR"/>
        </w:rPr>
        <w:t xml:space="preserve">8160 / 4. عَلِيُّ بْنُ إِبْرَاهِيمَ ، عَنْ أَبِيهِ ، عَنِ ابْنِ أَبِي نَجْرَانَ ، عَنْ يَزِيدِ </w:t>
      </w:r>
      <w:r w:rsidRPr="00D10E3C">
        <w:rPr>
          <w:rStyle w:val="libFootnotenumChar"/>
          <w:rtl/>
        </w:rPr>
        <w:t>(6)</w:t>
      </w:r>
      <w:r>
        <w:rPr>
          <w:rtl/>
          <w:lang w:bidi="fa-IR"/>
        </w:rPr>
        <w:t xml:space="preserve"> بْنِ إِسْحَاقَ ، عَنِ الْحَسَنِ بْنِ عَطِيَّةَ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sidRPr="00D10E3C">
        <w:rPr>
          <w:rStyle w:val="libFootnotenumChar"/>
          <w:rtl/>
        </w:rPr>
        <w:t>(7)</w:t>
      </w:r>
      <w:r>
        <w:rPr>
          <w:rtl/>
          <w:lang w:bidi="fa-IR"/>
        </w:rPr>
        <w:t xml:space="preserve"> ، قَالَ : « إِذَا فَرَغْتَ مِنَ السَّلَامِ عَلَى الشُّهَدَاءِ ، فَائْتِ قَبْرَ أَبِي عَبْدِ اللهِ </w:t>
      </w:r>
      <w:r w:rsidR="0061079A" w:rsidRPr="0061079A">
        <w:rPr>
          <w:rStyle w:val="libAlaemChar"/>
          <w:rtl/>
        </w:rPr>
        <w:t>عليه‌السلام</w:t>
      </w:r>
      <w:r w:rsidR="00D10E3C">
        <w:rPr>
          <w:rtl/>
          <w:lang w:bidi="fa-IR"/>
        </w:rPr>
        <w:t xml:space="preserve"> </w:t>
      </w:r>
      <w:r>
        <w:rPr>
          <w:rtl/>
          <w:lang w:bidi="fa-IR"/>
        </w:rPr>
        <w:t xml:space="preserve">، فَاجْعَلْهُ بَيْنَ يَدَيْكَ ، ثُمَّ تُصَلِّي مَا بَدَا لَكَ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بخ ، بف » و</w:t>
      </w:r>
      <w:r w:rsidR="00744A1C" w:rsidRPr="00A655AD">
        <w:rPr>
          <w:rtl/>
        </w:rPr>
        <w:t>الوافي</w:t>
      </w:r>
      <w:r w:rsidR="00744A1C">
        <w:rPr>
          <w:rtl/>
          <w:lang w:bidi="fa-IR"/>
        </w:rPr>
        <w:t xml:space="preserve"> : « واحداً بعد واحد ».</w:t>
      </w:r>
    </w:p>
    <w:p w:rsidR="00744A1C" w:rsidRDefault="00E378DD" w:rsidP="00E378DD">
      <w:pPr>
        <w:pStyle w:val="libFootnote0"/>
        <w:rPr>
          <w:lang w:bidi="fa-IR"/>
        </w:rPr>
      </w:pPr>
      <w:r>
        <w:rPr>
          <w:rtl/>
          <w:lang w:bidi="fa-IR"/>
        </w:rPr>
        <w:t>(2).</w:t>
      </w:r>
      <w:r w:rsidR="00744A1C">
        <w:rPr>
          <w:rtl/>
          <w:lang w:bidi="fa-IR"/>
        </w:rPr>
        <w:t xml:space="preserve"> هكذا في النسخ التي قوبلت </w:t>
      </w:r>
      <w:r w:rsidR="00744A1C" w:rsidRPr="00A655AD">
        <w:rPr>
          <w:rtl/>
        </w:rPr>
        <w:t>والوافي والتهذيب وكامل الزيارات ،</w:t>
      </w:r>
      <w:r w:rsidR="00744A1C">
        <w:rPr>
          <w:rtl/>
          <w:lang w:bidi="fa-IR"/>
        </w:rPr>
        <w:t xml:space="preserve"> ذيل ح 7. وفي المطبوع : « أنَّكم ».</w:t>
      </w:r>
    </w:p>
    <w:p w:rsidR="00744A1C" w:rsidRDefault="00E378DD" w:rsidP="00E378DD">
      <w:pPr>
        <w:pStyle w:val="libFootnote0"/>
        <w:rPr>
          <w:lang w:bidi="fa-IR"/>
        </w:rPr>
      </w:pPr>
      <w:r>
        <w:rPr>
          <w:rtl/>
          <w:lang w:bidi="fa-IR"/>
        </w:rPr>
        <w:t>(3).</w:t>
      </w:r>
      <w:r w:rsidR="00744A1C">
        <w:rPr>
          <w:rtl/>
          <w:lang w:bidi="fa-IR"/>
        </w:rPr>
        <w:t xml:space="preserve"> في </w:t>
      </w:r>
      <w:r w:rsidR="00744A1C" w:rsidRPr="00A655AD">
        <w:rPr>
          <w:rtl/>
        </w:rPr>
        <w:t>التهذيب :</w:t>
      </w:r>
      <w:r w:rsidR="00744A1C">
        <w:rPr>
          <w:rtl/>
          <w:lang w:bidi="fa-IR"/>
        </w:rPr>
        <w:t xml:space="preserve"> « آخذاً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114 ، ح 202 ، معلّقاً عن الكليني. </w:t>
      </w:r>
      <w:r w:rsidR="00744A1C" w:rsidRPr="00A655AD">
        <w:rPr>
          <w:rtl/>
        </w:rPr>
        <w:t>كامل الزيارات ،</w:t>
      </w:r>
      <w:r w:rsidR="00744A1C">
        <w:rPr>
          <w:rtl/>
          <w:lang w:bidi="fa-IR"/>
        </w:rPr>
        <w:t xml:space="preserve"> ص 209 ، الباب 99 ، ح 7 ، بسندين آخرين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A655AD">
        <w:rPr>
          <w:rFonts w:hint="cs"/>
          <w:rtl/>
          <w:lang w:bidi="fa-IR"/>
        </w:rPr>
        <w:t>.</w:t>
      </w:r>
      <w:r w:rsidR="00744A1C" w:rsidRPr="00A655AD">
        <w:rPr>
          <w:rtl/>
        </w:rPr>
        <w:t>الوافي ، ج 14</w:t>
      </w:r>
      <w:r w:rsidR="00744A1C">
        <w:rPr>
          <w:rtl/>
          <w:lang w:bidi="fa-IR"/>
        </w:rPr>
        <w:t xml:space="preserve"> ، ص 1496 ، ح 14580 ؛ </w:t>
      </w:r>
      <w:r w:rsidR="00744A1C" w:rsidRPr="0061079A">
        <w:rPr>
          <w:rStyle w:val="libFootnoteBoldChar"/>
          <w:rtl/>
        </w:rPr>
        <w:t>البحار</w:t>
      </w:r>
      <w:r w:rsidR="00744A1C">
        <w:rPr>
          <w:rtl/>
          <w:lang w:bidi="fa-IR"/>
        </w:rPr>
        <w:t xml:space="preserve"> ، ج 101 ، ص 172 ، ح 28.</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14 ، ص 1497 ، ح 14581 ؛ </w:t>
      </w:r>
      <w:r w:rsidR="00744A1C" w:rsidRPr="0061079A">
        <w:rPr>
          <w:rStyle w:val="libFootnoteBoldChar"/>
          <w:rtl/>
        </w:rPr>
        <w:t>البحار</w:t>
      </w:r>
      <w:r w:rsidR="00744A1C">
        <w:rPr>
          <w:rtl/>
          <w:lang w:bidi="fa-IR"/>
        </w:rPr>
        <w:t xml:space="preserve"> ، ج 101 ، ص 172 ، ح 29.</w:t>
      </w:r>
    </w:p>
    <w:p w:rsidR="00744A1C" w:rsidRDefault="00E378DD" w:rsidP="00E378DD">
      <w:pPr>
        <w:pStyle w:val="libFootnote0"/>
        <w:rPr>
          <w:lang w:bidi="fa-IR"/>
        </w:rPr>
      </w:pPr>
      <w:r>
        <w:rPr>
          <w:rtl/>
          <w:lang w:bidi="fa-IR"/>
        </w:rPr>
        <w:t>(6).</w:t>
      </w:r>
      <w:r w:rsidR="00744A1C">
        <w:rPr>
          <w:rtl/>
          <w:lang w:bidi="fa-IR"/>
        </w:rPr>
        <w:t xml:space="preserve"> هكذا في </w:t>
      </w:r>
      <w:r w:rsidR="00744A1C" w:rsidRPr="0061079A">
        <w:rPr>
          <w:rStyle w:val="libFootnoteBoldChar"/>
          <w:rtl/>
        </w:rPr>
        <w:t>البحار</w:t>
      </w:r>
      <w:r w:rsidR="00744A1C">
        <w:rPr>
          <w:rtl/>
          <w:lang w:bidi="fa-IR"/>
        </w:rPr>
        <w:t xml:space="preserve">. وفي « ى ، بث ، بح ، بخ ، بس ، بف ، جد ، جن » والمطبوع </w:t>
      </w:r>
      <w:r w:rsidR="00744A1C" w:rsidRPr="00A655AD">
        <w:rPr>
          <w:rtl/>
        </w:rPr>
        <w:t>والوافي والوسائل</w:t>
      </w:r>
      <w:r w:rsidR="00744A1C">
        <w:rPr>
          <w:rtl/>
          <w:lang w:bidi="fa-IR"/>
        </w:rPr>
        <w:t xml:space="preserve"> : « زيد ».</w:t>
      </w:r>
    </w:p>
    <w:p w:rsidR="00744A1C" w:rsidRDefault="00744A1C" w:rsidP="00D10E3C">
      <w:pPr>
        <w:pStyle w:val="libFootnote0"/>
        <w:rPr>
          <w:lang w:bidi="fa-IR"/>
        </w:rPr>
      </w:pPr>
      <w:r>
        <w:rPr>
          <w:rtl/>
          <w:lang w:bidi="fa-IR"/>
        </w:rPr>
        <w:t xml:space="preserve">والخبر رواه ابن قولويه في </w:t>
      </w:r>
      <w:r w:rsidRPr="007B299E">
        <w:rPr>
          <w:rStyle w:val="libFootnoteBoldChar"/>
          <w:rtl/>
        </w:rPr>
        <w:t>كامل الزيارات</w:t>
      </w:r>
      <w:r>
        <w:rPr>
          <w:rtl/>
          <w:lang w:bidi="fa-IR"/>
        </w:rPr>
        <w:t xml:space="preserve"> ، ص 245 ، ح 3 بسنده عن عليّ بن إبراهيم عن أبيه عن ابن أبي نجران عن يزيد بن إسحاق. ووردت رواية [ عبد الرحمن ] بن أبي نجران عن يزيد بن إسحاق عن الحسن بن عطيّة في </w:t>
      </w:r>
      <w:r w:rsidRPr="007B299E">
        <w:rPr>
          <w:rStyle w:val="libFootnoteBoldChar"/>
          <w:rtl/>
        </w:rPr>
        <w:t>كامل الزيارات</w:t>
      </w:r>
      <w:r>
        <w:rPr>
          <w:rtl/>
          <w:lang w:bidi="fa-IR"/>
        </w:rPr>
        <w:t xml:space="preserve"> ، ص 55 ، ح 3 ؛ ص 194 ، ح 1 ؛ وص 213 ، ذيل ح 9.</w:t>
      </w:r>
    </w:p>
    <w:p w:rsidR="00744A1C" w:rsidRDefault="00744A1C" w:rsidP="00D10E3C">
      <w:pPr>
        <w:pStyle w:val="libFootnote0"/>
        <w:rPr>
          <w:lang w:bidi="fa-IR"/>
        </w:rPr>
      </w:pPr>
      <w:r>
        <w:rPr>
          <w:rtl/>
          <w:lang w:bidi="fa-IR"/>
        </w:rPr>
        <w:t xml:space="preserve">ويزيد بن إسحاق هذا ، هو يزيد بن إسحاق الملقّب ب- « شَعَر ». راجع : </w:t>
      </w:r>
      <w:r w:rsidRPr="003A7143">
        <w:rPr>
          <w:rStyle w:val="libFootnoteBoldChar"/>
          <w:rtl/>
        </w:rPr>
        <w:t>رجال النجاشي</w:t>
      </w:r>
      <w:r>
        <w:rPr>
          <w:rtl/>
          <w:lang w:bidi="fa-IR"/>
        </w:rPr>
        <w:t xml:space="preserve"> ، ص 453 ، الرقم 1225 ؛ </w:t>
      </w:r>
      <w:r w:rsidRPr="003A7143">
        <w:rPr>
          <w:rStyle w:val="libFootnoteBoldChar"/>
          <w:rtl/>
        </w:rPr>
        <w:t>الفهرست للطوسي</w:t>
      </w:r>
      <w:r>
        <w:rPr>
          <w:rtl/>
          <w:lang w:bidi="fa-IR"/>
        </w:rPr>
        <w:t xml:space="preserve"> ، ص 513 ، الرقم 816.</w:t>
      </w:r>
    </w:p>
    <w:p w:rsidR="00744A1C" w:rsidRDefault="00744A1C" w:rsidP="00D10E3C">
      <w:pPr>
        <w:pStyle w:val="libFootnote0"/>
        <w:rPr>
          <w:lang w:bidi="fa-IR"/>
        </w:rPr>
      </w:pPr>
      <w:r>
        <w:rPr>
          <w:rtl/>
          <w:lang w:bidi="fa-IR"/>
        </w:rPr>
        <w:t>هذا ، وأمّا زيد بن إسحاق في هذه الطبقة ، فليس له أثر في الأسناد والمصادر الرجاليّة.</w:t>
      </w:r>
    </w:p>
    <w:p w:rsidR="00744A1C" w:rsidRDefault="00E378DD" w:rsidP="00E378DD">
      <w:pPr>
        <w:pStyle w:val="libFootnote0"/>
        <w:rPr>
          <w:lang w:bidi="fa-IR"/>
        </w:rPr>
      </w:pPr>
      <w:r>
        <w:rPr>
          <w:rtl/>
          <w:lang w:bidi="fa-IR"/>
        </w:rPr>
        <w:t>(7).</w:t>
      </w:r>
      <w:r w:rsidR="00744A1C">
        <w:rPr>
          <w:rtl/>
          <w:lang w:bidi="fa-IR"/>
        </w:rPr>
        <w:t xml:space="preserve"> في </w:t>
      </w:r>
      <w:r w:rsidR="00744A1C" w:rsidRPr="0061079A">
        <w:rPr>
          <w:rStyle w:val="libFootnoteBoldChar"/>
          <w:rtl/>
        </w:rPr>
        <w:t>البحار</w:t>
      </w:r>
      <w:r w:rsidR="00744A1C">
        <w:rPr>
          <w:rtl/>
          <w:lang w:bidi="fa-IR"/>
        </w:rPr>
        <w:t xml:space="preserve"> : - « عن أبي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(8).</w:t>
      </w:r>
      <w:r w:rsidR="00744A1C">
        <w:rPr>
          <w:rtl/>
          <w:lang w:bidi="fa-IR"/>
        </w:rPr>
        <w:t xml:space="preserve"> </w:t>
      </w:r>
      <w:r w:rsidR="00744A1C" w:rsidRPr="007B299E">
        <w:rPr>
          <w:rStyle w:val="libFootnoteBoldChar"/>
          <w:rtl/>
        </w:rPr>
        <w:t>كامل الزيارات</w:t>
      </w:r>
      <w:r w:rsidR="00744A1C">
        <w:rPr>
          <w:rtl/>
          <w:lang w:bidi="fa-IR"/>
        </w:rPr>
        <w:t xml:space="preserve"> ، ص 245 ، الباب 80 ، ح 3 ، بسنده عن عليّ بن إبراهيم ، مع اختلاف يسير </w:t>
      </w:r>
      <w:r w:rsidR="00A655AD">
        <w:rPr>
          <w:rFonts w:hint="cs"/>
          <w:rtl/>
          <w:lang w:bidi="fa-IR"/>
        </w:rPr>
        <w:t>.</w:t>
      </w:r>
      <w:r w:rsidR="00744A1C" w:rsidRPr="00C24F9C">
        <w:rPr>
          <w:rStyle w:val="libFootnoteBoldChar"/>
          <w:rtl/>
        </w:rPr>
        <w:t>الوافي</w:t>
      </w:r>
      <w:r w:rsidR="00744A1C">
        <w:rPr>
          <w:rtl/>
          <w:lang w:bidi="fa-IR"/>
        </w:rPr>
        <w:t xml:space="preserve"> ، ج 14 ، ص 1497 ، ح 14582 ؛ </w:t>
      </w:r>
      <w:r w:rsidR="00744A1C" w:rsidRPr="00C24F9C">
        <w:rPr>
          <w:rStyle w:val="libFootnoteBoldChar"/>
          <w:rtl/>
        </w:rPr>
        <w:t>الوسائل</w:t>
      </w:r>
      <w:r w:rsidR="00744A1C">
        <w:rPr>
          <w:rtl/>
          <w:lang w:bidi="fa-IR"/>
        </w:rPr>
        <w:t xml:space="preserve"> ، ج 14 ، ص 517 ، ح 19726 ؛ </w:t>
      </w:r>
      <w:r w:rsidR="00744A1C" w:rsidRPr="0061079A">
        <w:rPr>
          <w:rStyle w:val="libFootnoteBoldChar"/>
          <w:rtl/>
        </w:rPr>
        <w:t>البحار</w:t>
      </w:r>
      <w:r w:rsidR="00744A1C">
        <w:rPr>
          <w:rtl/>
          <w:lang w:bidi="fa-IR"/>
        </w:rPr>
        <w:t xml:space="preserve"> ، ج 101 ، ص 151 ، ح 2.</w:t>
      </w:r>
    </w:p>
    <w:p w:rsidR="00150943" w:rsidRDefault="00150943" w:rsidP="00D10E3C">
      <w:pPr>
        <w:pStyle w:val="libNormal"/>
        <w:rPr>
          <w:rtl/>
          <w:lang w:bidi="fa-IR"/>
        </w:rPr>
      </w:pPr>
      <w:r>
        <w:rPr>
          <w:rtl/>
          <w:lang w:bidi="fa-IR"/>
        </w:rPr>
        <w:br w:type="page"/>
      </w:r>
    </w:p>
    <w:p w:rsidR="00144FA6" w:rsidRDefault="00744A1C" w:rsidP="00A655AD">
      <w:pPr>
        <w:pStyle w:val="Heading2Center"/>
        <w:rPr>
          <w:rtl/>
          <w:lang w:bidi="fa-IR"/>
        </w:rPr>
      </w:pPr>
      <w:bookmarkStart w:id="77" w:name="_Toc49261375"/>
      <w:r>
        <w:rPr>
          <w:rtl/>
          <w:lang w:bidi="fa-IR"/>
        </w:rPr>
        <w:lastRenderedPageBreak/>
        <w:t xml:space="preserve">230 - بَابُ الْقَوْلِ عِنْدَ قَبْرِ أَبِي الْحَسَنِ </w:t>
      </w:r>
      <w:r w:rsidRPr="00D10E3C">
        <w:rPr>
          <w:rStyle w:val="libFootnotenumChar"/>
          <w:rtl/>
        </w:rPr>
        <w:t>(1)</w:t>
      </w:r>
      <w:r>
        <w:rPr>
          <w:rtl/>
          <w:lang w:bidi="fa-IR"/>
        </w:rPr>
        <w:t xml:space="preserve"> وَأَبِي جَعْفَرٍ الثَّانِي</w:t>
      </w:r>
      <w:bookmarkEnd w:id="77"/>
    </w:p>
    <w:p w:rsidR="00744A1C" w:rsidRDefault="00744A1C" w:rsidP="00A655AD">
      <w:pPr>
        <w:pStyle w:val="Heading2Center"/>
        <w:rPr>
          <w:lang w:bidi="fa-IR"/>
        </w:rPr>
      </w:pPr>
      <w:bookmarkStart w:id="78" w:name="_Toc49261376"/>
      <w:r>
        <w:rPr>
          <w:rtl/>
          <w:lang w:bidi="fa-IR"/>
        </w:rPr>
        <w:t xml:space="preserve">وَمَا يُجْزِئُ مِنَ الْقَوْلِ عِنْدَ كُلِّهِمْ </w:t>
      </w:r>
      <w:r w:rsidR="00A655AD" w:rsidRPr="00A655AD">
        <w:rPr>
          <w:rStyle w:val="libAlaemChar"/>
          <w:rFonts w:eastAsiaTheme="minorHAnsi"/>
          <w:rtl/>
        </w:rPr>
        <w:t>عليهم‌السلام</w:t>
      </w:r>
      <w:bookmarkEnd w:id="78"/>
    </w:p>
    <w:p w:rsidR="00144FA6" w:rsidRDefault="00744A1C" w:rsidP="00744A1C">
      <w:pPr>
        <w:pStyle w:val="libNormal"/>
        <w:rPr>
          <w:rtl/>
          <w:lang w:bidi="fa-IR"/>
        </w:rPr>
      </w:pPr>
      <w:r>
        <w:rPr>
          <w:rtl/>
          <w:lang w:bidi="fa-IR"/>
        </w:rPr>
        <w:t>8161 / 1. مُحَمَّدُ بْنُ جَعْفَرٍ الرَّزَّازُ الْكُوفِيُّ ، عَنْ مُحَمَّدِ بْنِ عِيسَى بْنِ عُبَيْدٍ ، عَمَّنْ ذَكَرَهُ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 تَقُولُ بِبَغْدَادَ : السَّلَامُ عَلَيْكَ يَا وَلِيَّ اللهِ ، السَّلَامُ عَلَيْكَ يَا حُجَّةَ اللهِ ، السَّلَامُ عَلَيْكَ يَا نُورَ اللهِ فِي ظُلُمَاتِ </w:t>
      </w:r>
      <w:r w:rsidRPr="00D10E3C">
        <w:rPr>
          <w:rStyle w:val="libFootnotenumChar"/>
          <w:rtl/>
        </w:rPr>
        <w:t>(2)</w:t>
      </w:r>
      <w:r>
        <w:rPr>
          <w:rtl/>
          <w:lang w:bidi="fa-IR"/>
        </w:rPr>
        <w:t xml:space="preserve"> الْأَرْضِ ، السَّلَامُ عَلَيْكَ يَا مَنْ بَدَا لِلّهِ فِي شَأْنِهِ </w:t>
      </w:r>
      <w:r w:rsidRPr="00D10E3C">
        <w:rPr>
          <w:rStyle w:val="libFootnotenumChar"/>
          <w:rtl/>
        </w:rPr>
        <w:t>(3)</w:t>
      </w:r>
      <w:r>
        <w:rPr>
          <w:rtl/>
          <w:lang w:bidi="fa-IR"/>
        </w:rPr>
        <w:t xml:space="preserve"> ، أَتَيْتُكَ عَارِفاً بِحَقِّكَ ، مُعَادِياً لِأَعْدَائِكَ ، فَاشْفَعْ لِي عِنْدَ رَبِّكَ. وَادْعُ اللهَ ، وَسَلْ </w:t>
      </w:r>
      <w:r w:rsidRPr="00D10E3C">
        <w:rPr>
          <w:rStyle w:val="libFootnotenumChar"/>
          <w:rtl/>
        </w:rPr>
        <w:t>(4)</w:t>
      </w:r>
      <w:r w:rsidR="00A6581D">
        <w:rPr>
          <w:rtl/>
          <w:lang w:bidi="fa-IR"/>
        </w:rPr>
        <w:t xml:space="preserve"> حَاجَتَكَ</w:t>
      </w:r>
      <w:r>
        <w:rPr>
          <w:rtl/>
          <w:lang w:bidi="fa-IR"/>
        </w:rPr>
        <w:t>».</w:t>
      </w:r>
    </w:p>
    <w:p w:rsidR="00144FA6" w:rsidRDefault="00744A1C" w:rsidP="00744A1C">
      <w:pPr>
        <w:pStyle w:val="libNormal"/>
        <w:rPr>
          <w:rtl/>
          <w:lang w:bidi="fa-IR"/>
        </w:rPr>
      </w:pPr>
      <w:r>
        <w:rPr>
          <w:rtl/>
          <w:lang w:bidi="fa-IR"/>
        </w:rPr>
        <w:t xml:space="preserve">قَالَ </w:t>
      </w:r>
      <w:r w:rsidRPr="00D10E3C">
        <w:rPr>
          <w:rStyle w:val="libFootnotenumChar"/>
          <w:rtl/>
        </w:rPr>
        <w:t>(5)</w:t>
      </w:r>
      <w:r>
        <w:rPr>
          <w:rtl/>
          <w:lang w:bidi="fa-IR"/>
        </w:rPr>
        <w:t xml:space="preserve"> : « وَتُسَلِّمُ </w:t>
      </w:r>
      <w:r w:rsidRPr="00D10E3C">
        <w:rPr>
          <w:rStyle w:val="libFootnotenumChar"/>
          <w:rtl/>
        </w:rPr>
        <w:t>(6)</w:t>
      </w:r>
      <w:r>
        <w:rPr>
          <w:rtl/>
          <w:lang w:bidi="fa-IR"/>
        </w:rPr>
        <w:t xml:space="preserve"> بِهذَا عَلى أَبِي جَعْفَرٍ </w:t>
      </w:r>
      <w:r w:rsidRPr="00D10E3C">
        <w:rPr>
          <w:rStyle w:val="libFootnotenumChar"/>
          <w:rtl/>
        </w:rPr>
        <w:t>(7)</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النسخ التي قوبلت </w:t>
      </w:r>
      <w:r w:rsidR="00744A1C" w:rsidRPr="00A655AD">
        <w:rPr>
          <w:rtl/>
        </w:rPr>
        <w:t>والمرآة.</w:t>
      </w:r>
      <w:r w:rsidR="00744A1C">
        <w:rPr>
          <w:rtl/>
          <w:lang w:bidi="fa-IR"/>
        </w:rPr>
        <w:t xml:space="preserve"> وفي المطبوع : + « موسى </w:t>
      </w:r>
      <w:r w:rsidR="0061079A" w:rsidRPr="0061079A">
        <w:rPr>
          <w:rStyle w:val="libFootnoteAlaemChar"/>
          <w:rtl/>
        </w:rPr>
        <w:t>عليه‌السلام</w:t>
      </w:r>
      <w:r>
        <w:rPr>
          <w:rtl/>
          <w:lang w:bidi="fa-IR"/>
        </w:rPr>
        <w:t xml:space="preserve"> </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 جن » : « ظلمة ».</w:t>
      </w:r>
    </w:p>
    <w:p w:rsidR="00744A1C" w:rsidRDefault="00E378DD" w:rsidP="00E378DD">
      <w:pPr>
        <w:pStyle w:val="libFootnote0"/>
        <w:rPr>
          <w:lang w:bidi="fa-IR"/>
        </w:rPr>
      </w:pPr>
      <w:r>
        <w:rPr>
          <w:rtl/>
          <w:lang w:bidi="fa-IR"/>
        </w:rPr>
        <w:t>(3).</w:t>
      </w:r>
      <w:r w:rsidR="00744A1C">
        <w:rPr>
          <w:rtl/>
          <w:lang w:bidi="fa-IR"/>
        </w:rPr>
        <w:t xml:space="preserve"> في « بث ، بف » : « بدأ الله في شأنه ». وفي </w:t>
      </w:r>
      <w:r w:rsidR="00744A1C" w:rsidRPr="00C24F9C">
        <w:rPr>
          <w:rStyle w:val="libFootnoteBoldChar"/>
          <w:rtl/>
        </w:rPr>
        <w:t>الوافي</w:t>
      </w:r>
      <w:r w:rsidR="00744A1C">
        <w:rPr>
          <w:rtl/>
          <w:lang w:bidi="fa-IR"/>
        </w:rPr>
        <w:t xml:space="preserve"> : « أي نشأ له عزّوجلّ في شأنه أمر ، وهو إمامته بعد أبيه ، فقدورد أنّ الله سبحانه كان أثبتها أوّلاً لإسماعيل بن جعفر ، ثمّ محا ذلك ، وقبض إسماعيل وأثبتها لموسى بن جعفر </w:t>
      </w:r>
      <w:r w:rsidR="00877682" w:rsidRPr="00877682">
        <w:rPr>
          <w:rStyle w:val="libFootnoteAlaemChar"/>
          <w:rtl/>
        </w:rPr>
        <w:t>عليهم‌السلام</w:t>
      </w:r>
      <w:r w:rsidR="00D10E3C">
        <w:rPr>
          <w:rtl/>
          <w:lang w:bidi="fa-IR"/>
        </w:rPr>
        <w:t xml:space="preserve"> </w:t>
      </w:r>
      <w:r w:rsidR="00744A1C">
        <w:rPr>
          <w:rtl/>
          <w:lang w:bidi="fa-IR"/>
        </w:rPr>
        <w:t>».</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304 : « لعلّه إشارة إلى ما ورد في بعض الأخبار أنّه كان قدر له </w:t>
      </w:r>
      <w:r w:rsidR="0061079A" w:rsidRPr="0061079A">
        <w:rPr>
          <w:rStyle w:val="libFootnoteAlaemChar"/>
          <w:rtl/>
        </w:rPr>
        <w:t>عليه‌السلام</w:t>
      </w:r>
      <w:r w:rsidR="00D10E3C">
        <w:rPr>
          <w:rtl/>
          <w:lang w:bidi="fa-IR"/>
        </w:rPr>
        <w:t xml:space="preserve"> </w:t>
      </w:r>
      <w:r>
        <w:rPr>
          <w:rtl/>
          <w:lang w:bidi="fa-IR"/>
        </w:rPr>
        <w:t xml:space="preserve">، وإن يكون قائماً بالسيف ، ثمّ جرى فيه البداء ، أو إلى البداء الذي وقع في إسماعيل ؛ فإنّ البداء في إسماعيل يستلزم البداء فيه </w:t>
      </w:r>
      <w:r w:rsidR="0061079A" w:rsidRPr="0061079A">
        <w:rPr>
          <w:rStyle w:val="libFootnoteAlaemChar"/>
          <w:rtl/>
        </w:rPr>
        <w:t>عليه‌السلام</w:t>
      </w:r>
      <w:r>
        <w:rPr>
          <w:rtl/>
          <w:lang w:bidi="fa-IR"/>
        </w:rPr>
        <w:t xml:space="preserve"> . وأمّا قراءة تلك الفقرة في زيارة أبي جعفر </w:t>
      </w:r>
      <w:r w:rsidR="0061079A" w:rsidRPr="0061079A">
        <w:rPr>
          <w:rStyle w:val="libFootnoteAlaemChar"/>
          <w:rtl/>
        </w:rPr>
        <w:t>عليه‌السلام</w:t>
      </w:r>
      <w:r w:rsidR="00D10E3C">
        <w:rPr>
          <w:rtl/>
          <w:lang w:bidi="fa-IR"/>
        </w:rPr>
        <w:t xml:space="preserve"> </w:t>
      </w:r>
      <w:r>
        <w:rPr>
          <w:rtl/>
          <w:lang w:bidi="fa-IR"/>
        </w:rPr>
        <w:t xml:space="preserve">إمّا لأنّ البداء في أبيه يستلزم البداء فيه ، أو لأنّه ولد </w:t>
      </w:r>
      <w:r w:rsidR="0061079A" w:rsidRPr="0061079A">
        <w:rPr>
          <w:rStyle w:val="libFootnoteAlaemChar"/>
          <w:rtl/>
        </w:rPr>
        <w:t>عليه‌السلام</w:t>
      </w:r>
      <w:r w:rsidR="00D10E3C">
        <w:rPr>
          <w:rtl/>
          <w:lang w:bidi="fa-IR"/>
        </w:rPr>
        <w:t xml:space="preserve"> </w:t>
      </w:r>
      <w:r>
        <w:rPr>
          <w:rtl/>
          <w:lang w:bidi="fa-IR"/>
        </w:rPr>
        <w:t>بعد اليأس منه ، فكأنّه بدا الله فيه ، أو لأنّ مغلوبيّتهم مع كونهم خلفاء الله تعالى فيه شبه البداء. وفي بعض نسخ المزار : يا مريد الله في شأنه ، من الإرادة. وفي بعض نسخ الكتاب وغيره : يا من بدأ الله ، بالهمزة ، أي أراد الله إمامته ، أو بدأ به فجعله أهلاً لذلك دون غيره. والظاهر أنّها تصحيفات ».</w:t>
      </w:r>
    </w:p>
    <w:p w:rsidR="00744A1C" w:rsidRDefault="00E378DD" w:rsidP="00E378DD">
      <w:pPr>
        <w:pStyle w:val="libFootnote0"/>
        <w:rPr>
          <w:lang w:bidi="fa-IR"/>
        </w:rPr>
      </w:pPr>
      <w:r>
        <w:rPr>
          <w:rtl/>
          <w:lang w:bidi="fa-IR"/>
        </w:rPr>
        <w:t>(4).</w:t>
      </w:r>
      <w:r w:rsidR="00744A1C">
        <w:rPr>
          <w:rtl/>
          <w:lang w:bidi="fa-IR"/>
        </w:rPr>
        <w:t xml:space="preserve"> في « ى » </w:t>
      </w:r>
      <w:r w:rsidR="00744A1C" w:rsidRPr="00A655AD">
        <w:rPr>
          <w:rtl/>
        </w:rPr>
        <w:t>والوافي والتهذيب ، ح 163 وكامل الزيارات</w:t>
      </w:r>
      <w:r w:rsidR="00744A1C">
        <w:rPr>
          <w:rtl/>
          <w:lang w:bidi="fa-IR"/>
        </w:rPr>
        <w:t xml:space="preserve"> : « واسأل ».</w:t>
      </w:r>
    </w:p>
    <w:tbl>
      <w:tblPr>
        <w:tblStyle w:val="TableGrid"/>
        <w:bidiVisual/>
        <w:tblW w:w="0" w:type="auto"/>
        <w:tblLook w:val="04A0" w:firstRow="1" w:lastRow="0" w:firstColumn="1" w:lastColumn="0" w:noHBand="0" w:noVBand="1"/>
      </w:tblPr>
      <w:tblGrid>
        <w:gridCol w:w="4006"/>
        <w:gridCol w:w="4006"/>
      </w:tblGrid>
      <w:tr w:rsidR="00A655AD" w:rsidTr="00A655AD">
        <w:tc>
          <w:tcPr>
            <w:tcW w:w="4006" w:type="dxa"/>
          </w:tcPr>
          <w:p w:rsidR="00A655AD" w:rsidRDefault="00A655AD" w:rsidP="00E378DD">
            <w:pPr>
              <w:pStyle w:val="libFootnote0"/>
              <w:rPr>
                <w:rtl/>
                <w:lang w:bidi="fa-IR"/>
              </w:rPr>
            </w:pPr>
            <w:r>
              <w:rPr>
                <w:rtl/>
                <w:lang w:bidi="fa-IR"/>
              </w:rPr>
              <w:t xml:space="preserve">(5). في </w:t>
            </w:r>
            <w:r w:rsidRPr="00C24F9C">
              <w:rPr>
                <w:rStyle w:val="libFootnoteBoldChar"/>
                <w:rtl/>
              </w:rPr>
              <w:t>التهذيب</w:t>
            </w:r>
            <w:r>
              <w:rPr>
                <w:rtl/>
                <w:lang w:bidi="fa-IR"/>
              </w:rPr>
              <w:t xml:space="preserve"> : - « قال ».</w:t>
            </w:r>
          </w:p>
        </w:tc>
        <w:tc>
          <w:tcPr>
            <w:tcW w:w="4006" w:type="dxa"/>
          </w:tcPr>
          <w:p w:rsidR="00A655AD" w:rsidRDefault="00A655AD" w:rsidP="00E378DD">
            <w:pPr>
              <w:pStyle w:val="libFootnote0"/>
              <w:rPr>
                <w:rtl/>
                <w:lang w:bidi="fa-IR"/>
              </w:rPr>
            </w:pPr>
            <w:r>
              <w:rPr>
                <w:rtl/>
                <w:lang w:bidi="fa-IR"/>
              </w:rPr>
              <w:t xml:space="preserve">(6). في </w:t>
            </w:r>
            <w:r w:rsidRPr="00C24F9C">
              <w:rPr>
                <w:rStyle w:val="libFootnoteBoldChar"/>
                <w:rtl/>
              </w:rPr>
              <w:t>التهذيب</w:t>
            </w:r>
            <w:r>
              <w:rPr>
                <w:rtl/>
                <w:lang w:bidi="fa-IR"/>
              </w:rPr>
              <w:t xml:space="preserve"> ، ح 163 </w:t>
            </w:r>
            <w:r w:rsidRPr="00A655AD">
              <w:rPr>
                <w:rtl/>
              </w:rPr>
              <w:t>وكامل الزيارات</w:t>
            </w:r>
            <w:r>
              <w:rPr>
                <w:rtl/>
                <w:lang w:bidi="fa-IR"/>
              </w:rPr>
              <w:t xml:space="preserve"> :«وسلّم».</w:t>
            </w:r>
          </w:p>
        </w:tc>
      </w:tr>
    </w:tbl>
    <w:p w:rsidR="00744A1C" w:rsidRDefault="00E378DD" w:rsidP="00E378DD">
      <w:pPr>
        <w:pStyle w:val="libFootnote0"/>
        <w:rPr>
          <w:lang w:bidi="fa-IR"/>
        </w:rPr>
      </w:pPr>
      <w:r>
        <w:rPr>
          <w:rtl/>
          <w:lang w:bidi="fa-IR"/>
        </w:rPr>
        <w:t>(7).</w:t>
      </w:r>
      <w:r w:rsidR="00744A1C">
        <w:rPr>
          <w:rtl/>
          <w:lang w:bidi="fa-IR"/>
        </w:rPr>
        <w:t xml:space="preserve"> في « جن » : + « الثاني ».</w:t>
      </w:r>
    </w:p>
    <w:p w:rsidR="00144FA6" w:rsidRDefault="00E378DD" w:rsidP="00E378DD">
      <w:pPr>
        <w:pStyle w:val="libFootnote0"/>
        <w:rPr>
          <w:rtl/>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82 ، ح 163 ؛ وص 91 ، ح 173 ، معلّقاً عن الكليني. </w:t>
      </w:r>
      <w:r w:rsidR="00744A1C" w:rsidRPr="007B299E">
        <w:rPr>
          <w:rStyle w:val="libFootnoteBoldChar"/>
          <w:rtl/>
        </w:rPr>
        <w:t>كامل الزيارات</w:t>
      </w:r>
      <w:r w:rsidR="00744A1C">
        <w:rPr>
          <w:rtl/>
          <w:lang w:bidi="fa-IR"/>
        </w:rPr>
        <w:t xml:space="preserve"> ، ص 301 ، الباب 100 ،</w:t>
      </w:r>
      <w:r w:rsidR="00A655AD">
        <w:rPr>
          <w:rFonts w:hint="cs"/>
          <w:rtl/>
          <w:lang w:bidi="fa-IR"/>
        </w:rPr>
        <w:t>=</w:t>
      </w:r>
    </w:p>
    <w:p w:rsidR="00150943" w:rsidRDefault="00150943" w:rsidP="00D10E3C">
      <w:pPr>
        <w:pStyle w:val="libNormal"/>
        <w:rPr>
          <w:rtl/>
          <w:lang w:bidi="fa-IR"/>
        </w:rPr>
      </w:pPr>
      <w:r>
        <w:rPr>
          <w:rtl/>
          <w:lang w:bidi="fa-IR"/>
        </w:rPr>
        <w:br w:type="page"/>
      </w:r>
    </w:p>
    <w:p w:rsidR="00144FA6" w:rsidRDefault="00744A1C" w:rsidP="00DD0D06">
      <w:pPr>
        <w:pStyle w:val="libNormal"/>
        <w:rPr>
          <w:rtl/>
          <w:lang w:bidi="fa-IR"/>
        </w:rPr>
      </w:pPr>
      <w:r>
        <w:rPr>
          <w:rtl/>
          <w:lang w:bidi="fa-IR"/>
        </w:rPr>
        <w:lastRenderedPageBreak/>
        <w:t xml:space="preserve">8162 / 2. مُحَمَّدُ بْنُ يَحْيى ، عَنْ مُحَمَّدِ بْنِ أَحْمَدَ </w:t>
      </w:r>
      <w:r w:rsidRPr="00D10E3C">
        <w:rPr>
          <w:rStyle w:val="libFootnotenumChar"/>
          <w:rtl/>
        </w:rPr>
        <w:t>(1)</w:t>
      </w:r>
      <w:r>
        <w:rPr>
          <w:rtl/>
          <w:lang w:bidi="fa-IR"/>
        </w:rPr>
        <w:t xml:space="preserve"> ، عَنْ هَارُونَ بْنِ مُسْلِمٍ ، عَنْ عَلِيِّ بْنِ حَسَّانَ :</w:t>
      </w:r>
    </w:p>
    <w:p w:rsidR="00144FA6" w:rsidRDefault="00744A1C" w:rsidP="00744A1C">
      <w:pPr>
        <w:pStyle w:val="libNormal"/>
        <w:rPr>
          <w:rtl/>
          <w:lang w:bidi="fa-IR"/>
        </w:rPr>
      </w:pPr>
      <w:r>
        <w:rPr>
          <w:rtl/>
          <w:lang w:bidi="fa-IR"/>
        </w:rPr>
        <w:t xml:space="preserve">عَنِ الرِّضَا </w:t>
      </w:r>
      <w:r w:rsidR="0061079A" w:rsidRPr="0061079A">
        <w:rPr>
          <w:rStyle w:val="libAlaemChar"/>
          <w:rtl/>
        </w:rPr>
        <w:t>عليه‌السلام</w:t>
      </w:r>
      <w:r w:rsidR="00D10E3C">
        <w:rPr>
          <w:rtl/>
          <w:lang w:bidi="fa-IR"/>
        </w:rPr>
        <w:t xml:space="preserve"> </w:t>
      </w:r>
      <w:r>
        <w:rPr>
          <w:rtl/>
          <w:lang w:bidi="fa-IR"/>
        </w:rPr>
        <w:t xml:space="preserve">، قَالَ : سُئِلَ </w:t>
      </w:r>
      <w:r w:rsidRPr="00D10E3C">
        <w:rPr>
          <w:rStyle w:val="libFootnotenumChar"/>
          <w:rtl/>
        </w:rPr>
        <w:t>(2)</w:t>
      </w:r>
      <w:r>
        <w:rPr>
          <w:rtl/>
          <w:lang w:bidi="fa-IR"/>
        </w:rPr>
        <w:t xml:space="preserve"> عَنْ إِتْيَانِ قَبْرِ أَبِي الْحَسَنِ </w:t>
      </w:r>
      <w:r w:rsidRPr="00D10E3C">
        <w:rPr>
          <w:rStyle w:val="libFootnotenumChar"/>
          <w:rtl/>
        </w:rPr>
        <w:t>(3)</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فَقَالَ : « صَلُّوا فِي الْمَسَاجِدِ حَوْلَهُ </w:t>
      </w:r>
      <w:r w:rsidRPr="00D10E3C">
        <w:rPr>
          <w:rStyle w:val="libFootnotenumChar"/>
          <w:rtl/>
        </w:rPr>
        <w:t>(4)</w:t>
      </w:r>
      <w:r>
        <w:rPr>
          <w:rtl/>
          <w:lang w:bidi="fa-IR"/>
        </w:rPr>
        <w:t xml:space="preserve"> ، وَيُجْزِئُ فِي الْمَوَاضِعِ كُلِّهَا أَنْ تَقُولَ </w:t>
      </w:r>
      <w:r w:rsidRPr="00D10E3C">
        <w:rPr>
          <w:rStyle w:val="libFootnotenumChar"/>
          <w:rtl/>
        </w:rPr>
        <w:t>(5)</w:t>
      </w:r>
      <w:r>
        <w:rPr>
          <w:rtl/>
          <w:lang w:bidi="fa-IR"/>
        </w:rPr>
        <w:t xml:space="preserve"> : السَّلَامُ عَلى أَوْلِيَاءِ اللهِ وَأَصْفِيَائِهِ ، السَّلَامُ عَلى أُمَنَاءِ </w:t>
      </w:r>
      <w:r w:rsidRPr="00D10E3C">
        <w:rPr>
          <w:rStyle w:val="libFootnotenumChar"/>
          <w:rtl/>
        </w:rPr>
        <w:t>(6)</w:t>
      </w:r>
      <w:r>
        <w:rPr>
          <w:rtl/>
          <w:lang w:bidi="fa-IR"/>
        </w:rPr>
        <w:t xml:space="preserve"> اللهِ وَأَحِبَّائِهِ ، السَّلَامُ عَلى أَنْصَارِ اللهِ وَخُلَفَائِهِ ، السَّلَامُ عَلى مَحَالِّ </w:t>
      </w:r>
      <w:r w:rsidRPr="00D10E3C">
        <w:rPr>
          <w:rStyle w:val="libFootnotenumChar"/>
          <w:rtl/>
        </w:rPr>
        <w:t>(7)</w:t>
      </w:r>
      <w:r>
        <w:rPr>
          <w:rtl/>
          <w:lang w:bidi="fa-IR"/>
        </w:rPr>
        <w:t xml:space="preserve"> مَعْرِفَةِ اللهِ </w:t>
      </w:r>
      <w:r w:rsidRPr="00D10E3C">
        <w:rPr>
          <w:rStyle w:val="libFootnotenumChar"/>
          <w:rtl/>
        </w:rPr>
        <w:t>(8)</w:t>
      </w:r>
      <w:r>
        <w:rPr>
          <w:rtl/>
          <w:lang w:bidi="fa-IR"/>
        </w:rPr>
        <w:t xml:space="preserve"> ، السَّلَامُ عَلى مَسَاكِنِ ذِكْرِ اللهِ </w:t>
      </w:r>
      <w:r w:rsidRPr="00D10E3C">
        <w:rPr>
          <w:rStyle w:val="libFootnotenumChar"/>
          <w:rtl/>
        </w:rPr>
        <w:t>(9)</w:t>
      </w:r>
      <w:r>
        <w:rPr>
          <w:rtl/>
          <w:lang w:bidi="fa-IR"/>
        </w:rPr>
        <w:t xml:space="preserve"> ، السَّلَامُ عَلى مُظَاهِرِي </w:t>
      </w:r>
      <w:r w:rsidRPr="00D10E3C">
        <w:rPr>
          <w:rStyle w:val="libFootnotenumChar"/>
          <w:rtl/>
        </w:rPr>
        <w:t>(10)</w:t>
      </w:r>
      <w:r>
        <w:rPr>
          <w:rtl/>
          <w:lang w:bidi="fa-IR"/>
        </w:rPr>
        <w:t xml:space="preserve"> أَمْرِ اللهِ وَنَهْيِهِ ، السَّلَامُ عَلَى الدُّعَاةِ إِلَى اللهِ ، السَّلَامُ عَلَى الْمُسْتَقِرِّينَ فِي مَرْضَاةِ اللهِ ،</w:t>
      </w:r>
    </w:p>
    <w:p w:rsidR="00744A1C" w:rsidRDefault="00744A1C" w:rsidP="00D10E3C">
      <w:pPr>
        <w:pStyle w:val="libLine"/>
        <w:rPr>
          <w:lang w:bidi="fa-IR"/>
        </w:rPr>
      </w:pPr>
      <w:r>
        <w:rPr>
          <w:rtl/>
          <w:lang w:bidi="fa-IR"/>
        </w:rPr>
        <w:t>____________________</w:t>
      </w:r>
    </w:p>
    <w:p w:rsidR="00744A1C" w:rsidRDefault="00DD0D06" w:rsidP="00D10E3C">
      <w:pPr>
        <w:pStyle w:val="libFootnote0"/>
        <w:rPr>
          <w:lang w:bidi="fa-IR"/>
        </w:rPr>
      </w:pPr>
      <w:r>
        <w:rPr>
          <w:rFonts w:hint="cs"/>
          <w:rtl/>
          <w:lang w:bidi="fa-IR"/>
        </w:rPr>
        <w:t xml:space="preserve">= </w:t>
      </w:r>
      <w:r w:rsidR="00744A1C">
        <w:rPr>
          <w:rtl/>
          <w:lang w:bidi="fa-IR"/>
        </w:rPr>
        <w:t xml:space="preserve">ح 1 ، عن محمّد بن جعفر الرزّاز الكوفي ، مع زيادة في آخره </w:t>
      </w:r>
      <w:r w:rsidR="009E1D3E">
        <w:rPr>
          <w:rFonts w:hint="cs"/>
          <w:rtl/>
          <w:lang w:bidi="fa-IR"/>
        </w:rPr>
        <w:t>.</w:t>
      </w:r>
      <w:r w:rsidR="00744A1C" w:rsidRPr="00C24F9C">
        <w:rPr>
          <w:rStyle w:val="libFootnoteBoldChar"/>
          <w:rtl/>
        </w:rPr>
        <w:t>الوافي</w:t>
      </w:r>
      <w:r w:rsidR="00744A1C">
        <w:rPr>
          <w:rtl/>
          <w:lang w:bidi="fa-IR"/>
        </w:rPr>
        <w:t xml:space="preserve"> ، ج 14 ، ص 1539 ، ح 14626 ؛ </w:t>
      </w:r>
      <w:r w:rsidR="00744A1C" w:rsidRPr="00C24F9C">
        <w:rPr>
          <w:rStyle w:val="libFootnoteBoldChar"/>
          <w:rtl/>
        </w:rPr>
        <w:t>الوسائل</w:t>
      </w:r>
      <w:r w:rsidR="00744A1C">
        <w:rPr>
          <w:rtl/>
          <w:lang w:bidi="fa-IR"/>
        </w:rPr>
        <w:t xml:space="preserve"> ، ج 14 ، ص 548 ، ح 19796 ؛ </w:t>
      </w:r>
      <w:r w:rsidR="00744A1C" w:rsidRPr="0061079A">
        <w:rPr>
          <w:rStyle w:val="libFootnoteBoldChar"/>
          <w:rtl/>
        </w:rPr>
        <w:t>البحار</w:t>
      </w:r>
      <w:r w:rsidR="00744A1C">
        <w:rPr>
          <w:rtl/>
          <w:lang w:bidi="fa-IR"/>
        </w:rPr>
        <w:t xml:space="preserve"> ، ج 102 ، ص 8 ، ح 2.</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 « بن يحيى ».</w:t>
      </w:r>
    </w:p>
    <w:p w:rsidR="00744A1C" w:rsidRDefault="00E378DD" w:rsidP="00E378DD">
      <w:pPr>
        <w:pStyle w:val="libFootnote0"/>
        <w:rPr>
          <w:lang w:bidi="fa-IR"/>
        </w:rPr>
      </w:pPr>
      <w:r>
        <w:rPr>
          <w:rtl/>
          <w:lang w:bidi="fa-IR"/>
        </w:rPr>
        <w:t>(2).</w:t>
      </w:r>
      <w:r w:rsidR="00744A1C">
        <w:rPr>
          <w:rtl/>
          <w:lang w:bidi="fa-IR"/>
        </w:rPr>
        <w:t xml:space="preserve"> هكذا في « جر » </w:t>
      </w:r>
      <w:r w:rsidR="00744A1C" w:rsidRPr="009E1D3E">
        <w:rPr>
          <w:rtl/>
        </w:rPr>
        <w:t>والوسائل والبحار.</w:t>
      </w:r>
      <w:r w:rsidR="00744A1C">
        <w:rPr>
          <w:rtl/>
          <w:lang w:bidi="fa-IR"/>
        </w:rPr>
        <w:t xml:space="preserve"> وفي « ى ، بث ، بح ، بخ ، بس ، بف ، جد ، جن » والمطبوع : + « أبي » ، وهو</w:t>
      </w:r>
      <w:r w:rsidR="009E1D3E">
        <w:rPr>
          <w:rFonts w:hint="cs"/>
          <w:rtl/>
          <w:lang w:bidi="fa-IR"/>
        </w:rPr>
        <w:t xml:space="preserve"> </w:t>
      </w:r>
      <w:r w:rsidR="00744A1C">
        <w:rPr>
          <w:rtl/>
          <w:lang w:bidi="fa-IR"/>
        </w:rPr>
        <w:t xml:space="preserve">سهو كما يظهر من عنوان الباب ، وما ورد في </w:t>
      </w:r>
      <w:r w:rsidR="00744A1C" w:rsidRPr="00C24F9C">
        <w:rPr>
          <w:rStyle w:val="libFootnoteBoldChar"/>
          <w:rtl/>
        </w:rPr>
        <w:t>التهذيب</w:t>
      </w:r>
      <w:r w:rsidR="00744A1C">
        <w:rPr>
          <w:rtl/>
          <w:lang w:bidi="fa-IR"/>
        </w:rPr>
        <w:t xml:space="preserve"> من « عليّ بن حسّان ، قال : سئل الرضا </w:t>
      </w:r>
      <w:r w:rsidR="0061079A" w:rsidRPr="0061079A">
        <w:rPr>
          <w:rStyle w:val="libFootnoteAlaemChar"/>
          <w:rtl/>
        </w:rPr>
        <w:t>عليه‌السلام</w:t>
      </w:r>
      <w:r w:rsidR="00D10E3C">
        <w:rPr>
          <w:rtl/>
          <w:lang w:bidi="fa-IR"/>
        </w:rPr>
        <w:t xml:space="preserve"> </w:t>
      </w:r>
      <w:r w:rsidR="00744A1C">
        <w:rPr>
          <w:rtl/>
          <w:lang w:bidi="fa-IR"/>
        </w:rPr>
        <w:t xml:space="preserve">» بدل « عليّ بن حسّان ، عن الرضا </w:t>
      </w:r>
      <w:r w:rsidR="0061079A" w:rsidRPr="0061079A">
        <w:rPr>
          <w:rStyle w:val="libFootnoteAlaemChar"/>
          <w:rtl/>
        </w:rPr>
        <w:t>عليه‌السلام</w:t>
      </w:r>
      <w:r w:rsidR="00D10E3C">
        <w:rPr>
          <w:rtl/>
          <w:lang w:bidi="fa-IR"/>
        </w:rPr>
        <w:t xml:space="preserve"> </w:t>
      </w:r>
      <w:r w:rsidR="00744A1C">
        <w:rPr>
          <w:rtl/>
          <w:lang w:bidi="fa-IR"/>
        </w:rPr>
        <w:t>، قال : سئل ».</w:t>
      </w:r>
    </w:p>
    <w:p w:rsidR="00744A1C" w:rsidRDefault="00E378DD" w:rsidP="00E378DD">
      <w:pPr>
        <w:pStyle w:val="libFootnote0"/>
        <w:rPr>
          <w:lang w:bidi="fa-IR"/>
        </w:rPr>
      </w:pPr>
      <w:r>
        <w:rPr>
          <w:rtl/>
          <w:lang w:bidi="fa-IR"/>
        </w:rPr>
        <w:t>(3).</w:t>
      </w:r>
      <w:r w:rsidR="00744A1C">
        <w:rPr>
          <w:rtl/>
          <w:lang w:bidi="fa-IR"/>
        </w:rPr>
        <w:t xml:space="preserve"> هكذا </w:t>
      </w:r>
      <w:r w:rsidR="00744A1C" w:rsidRPr="009E1D3E">
        <w:rPr>
          <w:rtl/>
        </w:rPr>
        <w:t>في الوافي والفقيه والتهذيب وكامل الزيارات وعيون الأخبار. وفي</w:t>
      </w:r>
      <w:r w:rsidR="00744A1C">
        <w:rPr>
          <w:rtl/>
          <w:lang w:bidi="fa-IR"/>
        </w:rPr>
        <w:t xml:space="preserve"> « ى ، بث ، بح ، بخ ، بس ، بف ، جد ، جر ، جن » والمطبوع </w:t>
      </w:r>
      <w:r w:rsidR="00744A1C" w:rsidRPr="005F7492">
        <w:rPr>
          <w:rtl/>
        </w:rPr>
        <w:t>والوسائل والبحار</w:t>
      </w:r>
      <w:r w:rsidR="00744A1C">
        <w:rPr>
          <w:rtl/>
          <w:lang w:bidi="fa-IR"/>
        </w:rPr>
        <w:t xml:space="preserve"> : « قبر الحسين » ، وهو سهو ، كما يعلم من عنوان الباب. والظاهر أنّ الأصل في بعض النسخ كان « الحسن » ثمّ ا</w:t>
      </w:r>
      <w:r w:rsidR="005F7492">
        <w:rPr>
          <w:rFonts w:hint="cs"/>
          <w:rtl/>
          <w:lang w:bidi="fa-IR"/>
        </w:rPr>
        <w:t>ُ</w:t>
      </w:r>
      <w:r w:rsidR="00744A1C">
        <w:rPr>
          <w:rtl/>
          <w:lang w:bidi="fa-IR"/>
        </w:rPr>
        <w:t>ضيفت لفظة « أبي » في الهامش تصحيحاً ، فأدرجت في غير موضعها ب</w:t>
      </w:r>
      <w:r w:rsidR="005F7492">
        <w:rPr>
          <w:rtl/>
          <w:lang w:bidi="fa-IR"/>
        </w:rPr>
        <w:t>عد « سئل » ثمّ صحّف « الحسن » ب</w:t>
      </w:r>
      <w:r w:rsidR="005F7492">
        <w:rPr>
          <w:rFonts w:hint="cs"/>
          <w:rtl/>
          <w:lang w:bidi="fa-IR"/>
        </w:rPr>
        <w:t>ـ</w:t>
      </w:r>
      <w:r w:rsidR="00744A1C">
        <w:rPr>
          <w:rtl/>
          <w:lang w:bidi="fa-IR"/>
        </w:rPr>
        <w:t xml:space="preserve"> « الحسين ».</w:t>
      </w:r>
    </w:p>
    <w:p w:rsidR="00744A1C" w:rsidRDefault="00744A1C" w:rsidP="00D10E3C">
      <w:pPr>
        <w:pStyle w:val="libFootnote0"/>
        <w:rPr>
          <w:lang w:bidi="fa-IR"/>
        </w:rPr>
      </w:pPr>
      <w:r>
        <w:rPr>
          <w:rtl/>
          <w:lang w:bidi="fa-IR"/>
        </w:rPr>
        <w:t xml:space="preserve">ويؤيّد ذلك ما ورد في </w:t>
      </w:r>
      <w:r w:rsidRPr="007B299E">
        <w:rPr>
          <w:rStyle w:val="libFootnoteBoldChar"/>
          <w:rtl/>
        </w:rPr>
        <w:t>كامل الزيارات</w:t>
      </w:r>
      <w:r>
        <w:rPr>
          <w:rtl/>
          <w:lang w:bidi="fa-IR"/>
        </w:rPr>
        <w:t xml:space="preserve"> ، ص 315 ، ح 1 ، وفيه : أبي الحسن </w:t>
      </w:r>
      <w:r w:rsidR="0061079A" w:rsidRPr="0061079A">
        <w:rPr>
          <w:rStyle w:val="libFootnoteAlaemChar"/>
          <w:rtl/>
        </w:rPr>
        <w:t>عليه‌السلام</w:t>
      </w:r>
      <w:r w:rsidR="00D10E3C">
        <w:rPr>
          <w:rtl/>
          <w:lang w:bidi="fa-IR"/>
        </w:rPr>
        <w:t xml:space="preserve"> </w:t>
      </w:r>
      <w:r>
        <w:rPr>
          <w:rtl/>
          <w:lang w:bidi="fa-IR"/>
        </w:rPr>
        <w:t xml:space="preserve">، وفي </w:t>
      </w:r>
      <w:r w:rsidRPr="00877682">
        <w:rPr>
          <w:rStyle w:val="libFootnoteBoldChar"/>
          <w:rtl/>
        </w:rPr>
        <w:t>عيون الأخبار</w:t>
      </w:r>
      <w:r>
        <w:rPr>
          <w:rtl/>
          <w:lang w:bidi="fa-IR"/>
        </w:rPr>
        <w:t xml:space="preserve"> ، ج 2 ، ص 271 ، ح 1 ، وفيه : أبي الحسن موسى </w:t>
      </w:r>
      <w:r w:rsidR="0061079A" w:rsidRPr="0061079A">
        <w:rPr>
          <w:rStyle w:val="libFootnoteAlaemChar"/>
          <w:rtl/>
        </w:rPr>
        <w:t>عليه‌السلام</w:t>
      </w:r>
      <w:r>
        <w:rPr>
          <w:rtl/>
          <w:lang w:bidi="fa-IR"/>
        </w:rPr>
        <w:t xml:space="preserve"> .</w:t>
      </w:r>
    </w:p>
    <w:p w:rsidR="00744A1C" w:rsidRDefault="00E378DD" w:rsidP="00A72BD1">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كأنّ بناء السؤال والجواب كليهما على التقيّة ، والمراد بالصلاة التحيّة ، كما يشعر به الحديث‌السابق [ </w:t>
      </w:r>
      <w:r w:rsidR="00744A1C" w:rsidRPr="00C24F9C">
        <w:rPr>
          <w:rStyle w:val="libFootnoteBoldChar"/>
          <w:rtl/>
        </w:rPr>
        <w:t>التهذيب</w:t>
      </w:r>
      <w:r w:rsidR="00744A1C">
        <w:rPr>
          <w:rtl/>
          <w:lang w:bidi="fa-IR"/>
        </w:rPr>
        <w:t xml:space="preserve"> ، ج 6 ، ص 82 ، ح 161 ] ، ويحتمل أن يكون المراد أنّه يكفي الصلاة حوله عن الزيارة مع عدم التمكّن منها ».</w:t>
      </w:r>
      <w:r w:rsidR="00A72BD1">
        <w:rPr>
          <w:rFonts w:hint="cs"/>
          <w:rtl/>
          <w:lang w:bidi="fa-IR"/>
        </w:rPr>
        <w:t xml:space="preserve">                                     </w:t>
      </w:r>
      <w:r>
        <w:rPr>
          <w:rtl/>
          <w:lang w:bidi="fa-IR"/>
        </w:rPr>
        <w:t>(5).</w:t>
      </w:r>
      <w:r w:rsidR="00744A1C">
        <w:rPr>
          <w:rtl/>
          <w:lang w:bidi="fa-IR"/>
        </w:rPr>
        <w:t xml:space="preserve"> في « جن » : « أن يقول ».</w:t>
      </w:r>
    </w:p>
    <w:tbl>
      <w:tblPr>
        <w:tblStyle w:val="TableGrid"/>
        <w:bidiVisual/>
        <w:tblW w:w="0" w:type="auto"/>
        <w:tblLook w:val="04A0" w:firstRow="1" w:lastRow="0" w:firstColumn="1" w:lastColumn="0" w:noHBand="0" w:noVBand="1"/>
      </w:tblPr>
      <w:tblGrid>
        <w:gridCol w:w="4006"/>
        <w:gridCol w:w="4006"/>
      </w:tblGrid>
      <w:tr w:rsidR="00A72BD1" w:rsidTr="00A72BD1">
        <w:tc>
          <w:tcPr>
            <w:tcW w:w="4006" w:type="dxa"/>
          </w:tcPr>
          <w:p w:rsidR="00A72BD1" w:rsidRDefault="00A72BD1" w:rsidP="00E378DD">
            <w:pPr>
              <w:pStyle w:val="libFootnote0"/>
              <w:rPr>
                <w:rtl/>
                <w:lang w:bidi="fa-IR"/>
              </w:rPr>
            </w:pPr>
            <w:r>
              <w:rPr>
                <w:rtl/>
                <w:lang w:bidi="fa-IR"/>
              </w:rPr>
              <w:t>(6). في « بف » : « أنبياء ».</w:t>
            </w:r>
          </w:p>
        </w:tc>
        <w:tc>
          <w:tcPr>
            <w:tcW w:w="4006" w:type="dxa"/>
          </w:tcPr>
          <w:p w:rsidR="00A72BD1" w:rsidRDefault="00A72BD1" w:rsidP="00E378DD">
            <w:pPr>
              <w:pStyle w:val="libFootnote0"/>
              <w:rPr>
                <w:rtl/>
                <w:lang w:bidi="fa-IR"/>
              </w:rPr>
            </w:pPr>
            <w:r>
              <w:rPr>
                <w:rtl/>
                <w:lang w:bidi="fa-IR"/>
              </w:rPr>
              <w:t>(7). في «بث،بخ،بف،جد»وحاشية«بح» : « محلّ ».</w:t>
            </w:r>
          </w:p>
        </w:tc>
      </w:tr>
    </w:tbl>
    <w:p w:rsidR="00744A1C" w:rsidRDefault="00E378DD" w:rsidP="00E378DD">
      <w:pPr>
        <w:pStyle w:val="libFootnote0"/>
        <w:rPr>
          <w:lang w:bidi="fa-IR"/>
        </w:rPr>
      </w:pPr>
      <w:r>
        <w:rPr>
          <w:rtl/>
          <w:lang w:bidi="fa-IR"/>
        </w:rPr>
        <w:t>(8).</w:t>
      </w:r>
      <w:r w:rsidR="00744A1C">
        <w:rPr>
          <w:rtl/>
          <w:lang w:bidi="fa-IR"/>
        </w:rPr>
        <w:t xml:space="preserve"> في المقنعة والمزار : + « السلام على معادن حكمة الله ».</w:t>
      </w:r>
    </w:p>
    <w:p w:rsidR="00744A1C" w:rsidRDefault="00E378DD" w:rsidP="00E378DD">
      <w:pPr>
        <w:pStyle w:val="libFootnote0"/>
        <w:rPr>
          <w:lang w:bidi="fa-IR"/>
        </w:rPr>
      </w:pPr>
      <w:r>
        <w:rPr>
          <w:rtl/>
          <w:lang w:bidi="fa-IR"/>
        </w:rPr>
        <w:t>(9).</w:t>
      </w:r>
      <w:r w:rsidR="00744A1C">
        <w:rPr>
          <w:rtl/>
          <w:lang w:bidi="fa-IR"/>
        </w:rPr>
        <w:t xml:space="preserve"> في المقنعة والمزار : + « السلام على عباد الله المكرمين الذين لا يسبقونه بالقول وهم بأمره يعملون ».</w:t>
      </w:r>
    </w:p>
    <w:p w:rsidR="00744A1C" w:rsidRDefault="00E378DD" w:rsidP="00E378DD">
      <w:pPr>
        <w:pStyle w:val="libFootnote0"/>
        <w:rPr>
          <w:lang w:bidi="fa-IR"/>
        </w:rPr>
      </w:pPr>
      <w:r>
        <w:rPr>
          <w:rtl/>
          <w:lang w:bidi="fa-IR"/>
        </w:rPr>
        <w:t>(10).</w:t>
      </w:r>
      <w:r w:rsidR="00744A1C">
        <w:rPr>
          <w:rtl/>
          <w:lang w:bidi="fa-IR"/>
        </w:rPr>
        <w:t xml:space="preserve"> في « بخ ، بف » وحاشية « بث ، بح » و</w:t>
      </w:r>
      <w:r w:rsidR="00744A1C" w:rsidRPr="007B299E">
        <w:rPr>
          <w:rStyle w:val="libFootnoteBoldChar"/>
          <w:rtl/>
        </w:rPr>
        <w:t>كامل الزيارات</w:t>
      </w:r>
      <w:r w:rsidR="00744A1C">
        <w:rPr>
          <w:rtl/>
          <w:lang w:bidi="fa-IR"/>
        </w:rPr>
        <w:t xml:space="preserve"> ، ص 315 والمقنعة : « مظاهر ». وفي </w:t>
      </w:r>
      <w:r w:rsidR="00744A1C" w:rsidRPr="00C24F9C">
        <w:rPr>
          <w:rStyle w:val="libFootnoteBoldChar"/>
          <w:rtl/>
        </w:rPr>
        <w:t>الوافي</w:t>
      </w:r>
      <w:r w:rsidR="00744A1C">
        <w:rPr>
          <w:rtl/>
          <w:lang w:bidi="fa-IR"/>
        </w:rPr>
        <w:t xml:space="preserve">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 ح 178 والعيون والمزار : « مظهري ».</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 xml:space="preserve">السَّلَامُ عَلَى الْمُمَحَّصِينَ </w:t>
      </w:r>
      <w:r w:rsidRPr="00D10E3C">
        <w:rPr>
          <w:rStyle w:val="libFootnotenumChar"/>
          <w:rtl/>
        </w:rPr>
        <w:t>(1)</w:t>
      </w:r>
      <w:r>
        <w:rPr>
          <w:rtl/>
          <w:lang w:bidi="fa-IR"/>
        </w:rPr>
        <w:t xml:space="preserve"> فِي طَاعَةِ الله</w:t>
      </w:r>
      <w:r w:rsidR="009C04BD">
        <w:rPr>
          <w:rtl/>
          <w:lang w:bidi="fa-IR"/>
        </w:rPr>
        <w:t>ِ ، السَّلَامُ عَلَى الْأَدِل</w:t>
      </w:r>
      <w:r w:rsidR="009C04BD">
        <w:rPr>
          <w:rFonts w:hint="cs"/>
          <w:rtl/>
          <w:lang w:bidi="fa-IR"/>
        </w:rPr>
        <w:t>َّ</w:t>
      </w:r>
      <w:r w:rsidR="009C04BD">
        <w:rPr>
          <w:rtl/>
          <w:lang w:bidi="fa-IR"/>
        </w:rPr>
        <w:t>ا</w:t>
      </w:r>
      <w:r>
        <w:rPr>
          <w:rtl/>
          <w:lang w:bidi="fa-IR"/>
        </w:rPr>
        <w:t xml:space="preserve">ءِ عَلَى اللهِ ، السَّلَامُ عَلَى الَّذِينَ مَنْ وَالَاهُمْ فَقَدْ وَالَى اللهَ </w:t>
      </w:r>
      <w:r w:rsidRPr="00D10E3C">
        <w:rPr>
          <w:rStyle w:val="libFootnotenumChar"/>
          <w:rtl/>
        </w:rPr>
        <w:t>(2)</w:t>
      </w:r>
      <w:r>
        <w:rPr>
          <w:rtl/>
          <w:lang w:bidi="fa-IR"/>
        </w:rPr>
        <w:t xml:space="preserve"> ، وَمَنْ عَادَاهُمْ فَقَدْ عَادَى اللهَ ، وَمَنْ عَرَفَهُمْ فَقَدْ عَرَفَ اللهَ ، وَمَنْ جَهِلَهُمْ فَقَدْ جَهِلَ اللهَ ، وَمَنِ اعْتَصَمَ بِهِمْ فَقَدِ اعْتَصَمَ بِاللهِ ، وَمَنْ تَخَلّى مِنْهُمْ فَقَدْ تَخَلّى مِنَ اللهِ ، أُشْهِدُ </w:t>
      </w:r>
      <w:r w:rsidRPr="00D10E3C">
        <w:rPr>
          <w:rStyle w:val="libFootnotenumChar"/>
          <w:rtl/>
        </w:rPr>
        <w:t>(3)</w:t>
      </w:r>
      <w:r>
        <w:rPr>
          <w:rtl/>
          <w:lang w:bidi="fa-IR"/>
        </w:rPr>
        <w:t xml:space="preserve"> اللهَ </w:t>
      </w:r>
      <w:r w:rsidRPr="00D10E3C">
        <w:rPr>
          <w:rStyle w:val="libFootnotenumChar"/>
          <w:rtl/>
        </w:rPr>
        <w:t>(4)</w:t>
      </w:r>
      <w:r>
        <w:rPr>
          <w:rtl/>
          <w:lang w:bidi="fa-IR"/>
        </w:rPr>
        <w:t xml:space="preserve"> أَنِّي سِلْمٌ لِمَنْ سَالَمْتُمْ ، وَحَرْبٌ لِمَنْ حَارَبْتُمْ </w:t>
      </w:r>
      <w:r w:rsidRPr="00D10E3C">
        <w:rPr>
          <w:rStyle w:val="libFootnotenumChar"/>
          <w:rtl/>
        </w:rPr>
        <w:t>(5)</w:t>
      </w:r>
      <w:r>
        <w:rPr>
          <w:rtl/>
          <w:lang w:bidi="fa-IR"/>
        </w:rPr>
        <w:t xml:space="preserve"> ، مُؤْمِنٌ بِسِرِّكُمْ وَعَلَانِيَتِكُمْ ، مُفَوِّضٌ فِي ذلِكَ كُلِّهِ إِلَيْكُمْ </w:t>
      </w:r>
      <w:r w:rsidRPr="00D10E3C">
        <w:rPr>
          <w:rStyle w:val="libFootnotenumChar"/>
          <w:rtl/>
        </w:rPr>
        <w:t>(6)</w:t>
      </w:r>
      <w:r>
        <w:rPr>
          <w:rtl/>
          <w:lang w:bidi="fa-IR"/>
        </w:rPr>
        <w:t xml:space="preserve"> ، لَعَنَ اللهُ عَدُوَّ آلِ مُحَمَّدٍ مِنَ الْجِنِّ وَالْإِنْسِ </w:t>
      </w:r>
      <w:r w:rsidRPr="00D10E3C">
        <w:rPr>
          <w:rStyle w:val="libFootnotenumChar"/>
          <w:rtl/>
        </w:rPr>
        <w:t>(7)</w:t>
      </w:r>
      <w:r>
        <w:rPr>
          <w:rtl/>
          <w:lang w:bidi="fa-IR"/>
        </w:rPr>
        <w:t xml:space="preserve"> ، وَأَبْرَأُ إِلَى اللهِ مِنْهُمْ ، وَصَلَّى اللهُ </w:t>
      </w:r>
      <w:r w:rsidRPr="00D10E3C">
        <w:rPr>
          <w:rStyle w:val="libFootnotenumChar"/>
          <w:rtl/>
        </w:rPr>
        <w:t>(8)</w:t>
      </w:r>
      <w:r>
        <w:rPr>
          <w:rtl/>
          <w:lang w:bidi="fa-IR"/>
        </w:rPr>
        <w:t xml:space="preserve"> عَلَى مُحَمَّدٍ وَآلِهِ </w:t>
      </w:r>
      <w:r w:rsidRPr="00D10E3C">
        <w:rPr>
          <w:rStyle w:val="libFootnotenumChar"/>
          <w:rtl/>
        </w:rPr>
        <w:t>(9)</w:t>
      </w:r>
      <w:r w:rsidR="004E019F" w:rsidRPr="004E019F">
        <w:rPr>
          <w:rFonts w:hint="cs"/>
          <w:rtl/>
        </w:rPr>
        <w:t>.</w:t>
      </w:r>
    </w:p>
    <w:p w:rsidR="00144FA6" w:rsidRDefault="00744A1C" w:rsidP="00744A1C">
      <w:pPr>
        <w:pStyle w:val="libNormal"/>
        <w:rPr>
          <w:rtl/>
          <w:lang w:bidi="fa-IR"/>
        </w:rPr>
      </w:pPr>
      <w:r>
        <w:rPr>
          <w:rtl/>
          <w:lang w:bidi="fa-IR"/>
        </w:rPr>
        <w:t xml:space="preserve">هذَا يُجْزِئُ فِي الزِّيَارَاتِ كُلِّهَا ، وَتُكْثِرُ مِنَ الصَّلَاةِ عَلى مُحَمَّدٍ وَآلِهِ ، وَتُسَمِّي </w:t>
      </w:r>
      <w:r w:rsidRPr="00D10E3C">
        <w:rPr>
          <w:rStyle w:val="libFootnotenumChar"/>
          <w:rtl/>
        </w:rPr>
        <w:t>(10)</w:t>
      </w:r>
      <w:r>
        <w:rPr>
          <w:rtl/>
          <w:lang w:bidi="fa-IR"/>
        </w:rPr>
        <w:t xml:space="preserve"> وَاحِداً وَاحِداً بِأَسْمَائِهِمْ ، وَتَبْرَأُ إِلَى اللهِ </w:t>
      </w:r>
      <w:r w:rsidRPr="00D10E3C">
        <w:rPr>
          <w:rStyle w:val="libFootnotenumChar"/>
          <w:rtl/>
        </w:rPr>
        <w:t>(11)</w:t>
      </w:r>
      <w:r>
        <w:rPr>
          <w:rtl/>
          <w:lang w:bidi="fa-IR"/>
        </w:rPr>
        <w:t xml:space="preserve"> مِنْ أَعْدَائِهِمْ ، وَتَخَيَّرْ </w:t>
      </w:r>
      <w:r w:rsidRPr="00D10E3C">
        <w:rPr>
          <w:rStyle w:val="libFootnotenumChar"/>
          <w:rtl/>
        </w:rPr>
        <w:t>(12)</w:t>
      </w:r>
      <w:r>
        <w:rPr>
          <w:rtl/>
          <w:lang w:bidi="fa-IR"/>
        </w:rPr>
        <w:t xml:space="preserve"> لِنَفْسِكَ مِنَ الدُّعَاءِ مَا أَحْبَبْتَ </w:t>
      </w:r>
      <w:r w:rsidRPr="00D10E3C">
        <w:rPr>
          <w:rStyle w:val="libFootnotenumChar"/>
          <w:rtl/>
        </w:rPr>
        <w:t>(13)</w:t>
      </w:r>
      <w:r>
        <w:rPr>
          <w:rtl/>
          <w:lang w:bidi="fa-IR"/>
        </w:rPr>
        <w:t xml:space="preserve"> وَلِلْمُؤْمِنِينَ وَالْمُؤْمِنَاتِ </w:t>
      </w:r>
      <w:r w:rsidRPr="00D10E3C">
        <w:rPr>
          <w:rStyle w:val="libFootnotenumChar"/>
          <w:rtl/>
        </w:rPr>
        <w:t>(14)</w:t>
      </w:r>
      <w:r>
        <w:rPr>
          <w:rtl/>
          <w:lang w:bidi="fa-IR"/>
        </w:rPr>
        <w:t xml:space="preserve"> ». </w:t>
      </w:r>
      <w:r w:rsidRPr="00D10E3C">
        <w:rPr>
          <w:rStyle w:val="libFootnotenumChar"/>
          <w:rtl/>
        </w:rPr>
        <w:t>(15)</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4E019F">
        <w:rPr>
          <w:rtl/>
        </w:rPr>
        <w:t>الوافي</w:t>
      </w:r>
      <w:r w:rsidR="00744A1C">
        <w:rPr>
          <w:rtl/>
          <w:lang w:bidi="fa-IR"/>
        </w:rPr>
        <w:t xml:space="preserve"> عن بعض النسخ </w:t>
      </w:r>
      <w:r w:rsidR="00744A1C" w:rsidRPr="004E019F">
        <w:rPr>
          <w:rtl/>
        </w:rPr>
        <w:t>والفقيه وكامل الزيارات</w:t>
      </w:r>
      <w:r w:rsidR="00744A1C">
        <w:rPr>
          <w:rtl/>
          <w:lang w:bidi="fa-IR"/>
        </w:rPr>
        <w:t xml:space="preserve"> ، ص 315 والعيون : « المخلصين ». وفي </w:t>
      </w:r>
      <w:r w:rsidR="00744A1C" w:rsidRPr="004E019F">
        <w:rPr>
          <w:rtl/>
        </w:rPr>
        <w:t>الوافي أيضاً</w:t>
      </w:r>
      <w:r w:rsidR="00744A1C">
        <w:rPr>
          <w:rtl/>
          <w:lang w:bidi="fa-IR"/>
        </w:rPr>
        <w:t xml:space="preserve"> عن‌بعض النسخ والمقنعة : « الممحّضين ».</w:t>
      </w:r>
    </w:p>
    <w:p w:rsidR="00744A1C" w:rsidRDefault="00744A1C" w:rsidP="00D10E3C">
      <w:pPr>
        <w:pStyle w:val="libFootnote0"/>
        <w:rPr>
          <w:lang w:bidi="fa-IR"/>
        </w:rPr>
      </w:pPr>
      <w:r>
        <w:rPr>
          <w:rtl/>
          <w:lang w:bidi="fa-IR"/>
        </w:rPr>
        <w:t xml:space="preserve">والتمحيص : الابتلاء والاختبار والتخليص. راجع : </w:t>
      </w:r>
      <w:r w:rsidRPr="00E978C3">
        <w:rPr>
          <w:rStyle w:val="libFootnoteBoldChar"/>
          <w:rtl/>
        </w:rPr>
        <w:t>الصحاح</w:t>
      </w:r>
      <w:r>
        <w:rPr>
          <w:rtl/>
          <w:lang w:bidi="fa-IR"/>
        </w:rPr>
        <w:t xml:space="preserve"> ، ج 3 ، ص 1056 ( محص ).</w:t>
      </w:r>
    </w:p>
    <w:p w:rsidR="00744A1C" w:rsidRDefault="00E378DD" w:rsidP="00E378DD">
      <w:pPr>
        <w:pStyle w:val="libFootnote0"/>
        <w:rPr>
          <w:lang w:bidi="fa-IR"/>
        </w:rPr>
      </w:pPr>
      <w:r>
        <w:rPr>
          <w:rtl/>
          <w:lang w:bidi="fa-IR"/>
        </w:rPr>
        <w:t>(2).</w:t>
      </w:r>
      <w:r w:rsidR="00744A1C">
        <w:rPr>
          <w:rtl/>
          <w:lang w:bidi="fa-IR"/>
        </w:rPr>
        <w:t xml:space="preserve"> في « بس » : - « السلام على المستقرّين » إلى هنا.</w:t>
      </w:r>
    </w:p>
    <w:p w:rsidR="00744A1C" w:rsidRDefault="00E378DD" w:rsidP="00E378DD">
      <w:pPr>
        <w:pStyle w:val="libFootnote0"/>
        <w:rPr>
          <w:lang w:bidi="fa-IR"/>
        </w:rPr>
      </w:pPr>
      <w:r>
        <w:rPr>
          <w:rtl/>
          <w:lang w:bidi="fa-IR"/>
        </w:rPr>
        <w:t>(3).</w:t>
      </w:r>
      <w:r w:rsidR="00744A1C">
        <w:rPr>
          <w:rtl/>
          <w:lang w:bidi="fa-IR"/>
        </w:rPr>
        <w:t xml:space="preserve"> في </w:t>
      </w:r>
      <w:r w:rsidR="00744A1C" w:rsidRPr="004E019F">
        <w:rPr>
          <w:rtl/>
        </w:rPr>
        <w:t>الفقيه والتهذيب</w:t>
      </w:r>
      <w:r w:rsidR="00744A1C">
        <w:rPr>
          <w:rtl/>
          <w:lang w:bidi="fa-IR"/>
        </w:rPr>
        <w:t xml:space="preserve"> ، ح 178 والمزار : « وا</w:t>
      </w:r>
      <w:r w:rsidR="004E019F">
        <w:rPr>
          <w:rFonts w:hint="cs"/>
          <w:rtl/>
          <w:lang w:bidi="fa-IR"/>
        </w:rPr>
        <w:t>ُ</w:t>
      </w:r>
      <w:r w:rsidR="00744A1C">
        <w:rPr>
          <w:rtl/>
          <w:lang w:bidi="fa-IR"/>
        </w:rPr>
        <w:t>شهد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ح 178 : - « الله ».</w:t>
      </w:r>
    </w:p>
    <w:p w:rsidR="00744A1C" w:rsidRDefault="00E378DD" w:rsidP="00E378DD">
      <w:pPr>
        <w:pStyle w:val="libFootnote0"/>
        <w:rPr>
          <w:lang w:bidi="fa-IR"/>
        </w:rPr>
      </w:pPr>
      <w:r>
        <w:rPr>
          <w:rtl/>
          <w:lang w:bidi="fa-IR"/>
        </w:rPr>
        <w:t>(5).</w:t>
      </w:r>
      <w:r w:rsidR="00744A1C">
        <w:rPr>
          <w:rtl/>
          <w:lang w:bidi="fa-IR"/>
        </w:rPr>
        <w:t xml:space="preserve"> في « بح » وحاشية « بث » </w:t>
      </w:r>
      <w:r w:rsidR="00744A1C" w:rsidRPr="0061079A">
        <w:rPr>
          <w:rStyle w:val="libFootnoteBoldChar"/>
          <w:rtl/>
        </w:rPr>
        <w:t>والتهذيب</w:t>
      </w:r>
      <w:r w:rsidR="00744A1C">
        <w:rPr>
          <w:rtl/>
          <w:lang w:bidi="fa-IR"/>
        </w:rPr>
        <w:t xml:space="preserve"> ، ح 178 و</w:t>
      </w:r>
      <w:r w:rsidR="00744A1C" w:rsidRPr="007B299E">
        <w:rPr>
          <w:rStyle w:val="libFootnoteBoldChar"/>
          <w:rtl/>
        </w:rPr>
        <w:t>كامل الزيارات</w:t>
      </w:r>
      <w:r w:rsidR="00744A1C">
        <w:rPr>
          <w:rtl/>
          <w:lang w:bidi="fa-IR"/>
        </w:rPr>
        <w:t xml:space="preserve"> ، ص 315 والعيون والمزار : « سلم لمن سالمكم وحرب لمن حاربكم ». وفي المقنعة والمزار : + « مؤمن بما آمنتم به كافر بما كفرتم به ، محقّق بما حقّقتم ، ومبطل لما [ في المزار : « مبطل ما » بدون الواو ] أبطلتم مؤمن ».</w:t>
      </w:r>
    </w:p>
    <w:p w:rsidR="00744A1C" w:rsidRDefault="00E378DD" w:rsidP="00E378DD">
      <w:pPr>
        <w:pStyle w:val="libFootnote0"/>
        <w:rPr>
          <w:lang w:bidi="fa-IR"/>
        </w:rPr>
      </w:pPr>
      <w:r>
        <w:rPr>
          <w:rtl/>
          <w:lang w:bidi="fa-IR"/>
        </w:rPr>
        <w:t>(6).</w:t>
      </w:r>
      <w:r w:rsidR="00744A1C">
        <w:rPr>
          <w:rtl/>
          <w:lang w:bidi="fa-IR"/>
        </w:rPr>
        <w:t xml:space="preserve"> في المقنعة والمزار : + « والحمد لله‌ربّ العالمين ».</w:t>
      </w:r>
    </w:p>
    <w:p w:rsidR="00744A1C" w:rsidRDefault="00E378DD" w:rsidP="00E378DD">
      <w:pPr>
        <w:pStyle w:val="libFootnote0"/>
        <w:rPr>
          <w:lang w:bidi="fa-IR"/>
        </w:rPr>
      </w:pPr>
      <w:r>
        <w:rPr>
          <w:rtl/>
          <w:lang w:bidi="fa-IR"/>
        </w:rPr>
        <w:t>(7).</w:t>
      </w:r>
      <w:r w:rsidR="00744A1C">
        <w:rPr>
          <w:rtl/>
          <w:lang w:bidi="fa-IR"/>
        </w:rPr>
        <w:t xml:space="preserve"> في المقنعة والمزار : + « وضاعف عليهم العذاب الأليم ».</w:t>
      </w:r>
    </w:p>
    <w:tbl>
      <w:tblPr>
        <w:tblStyle w:val="TableGrid"/>
        <w:bidiVisual/>
        <w:tblW w:w="0" w:type="auto"/>
        <w:tblLook w:val="04A0" w:firstRow="1" w:lastRow="0" w:firstColumn="1" w:lastColumn="0" w:noHBand="0" w:noVBand="1"/>
      </w:tblPr>
      <w:tblGrid>
        <w:gridCol w:w="4006"/>
        <w:gridCol w:w="4006"/>
      </w:tblGrid>
      <w:tr w:rsidR="004E019F" w:rsidTr="004E019F">
        <w:tc>
          <w:tcPr>
            <w:tcW w:w="4006" w:type="dxa"/>
          </w:tcPr>
          <w:p w:rsidR="004E019F" w:rsidRDefault="004E019F" w:rsidP="00E378DD">
            <w:pPr>
              <w:pStyle w:val="libFootnote0"/>
              <w:rPr>
                <w:rtl/>
                <w:lang w:bidi="fa-IR"/>
              </w:rPr>
            </w:pPr>
            <w:r>
              <w:rPr>
                <w:rtl/>
                <w:lang w:bidi="fa-IR"/>
              </w:rPr>
              <w:t>(8). في «ى ،بح ،جد» : «وصلّ»بدل « وصلّى الله ».</w:t>
            </w:r>
          </w:p>
        </w:tc>
        <w:tc>
          <w:tcPr>
            <w:tcW w:w="4006" w:type="dxa"/>
          </w:tcPr>
          <w:p w:rsidR="004E019F" w:rsidRDefault="004E019F" w:rsidP="00E378DD">
            <w:pPr>
              <w:pStyle w:val="libFootnote0"/>
              <w:rPr>
                <w:rtl/>
                <w:lang w:bidi="fa-IR"/>
              </w:rPr>
            </w:pPr>
            <w:r>
              <w:rPr>
                <w:rtl/>
                <w:lang w:bidi="fa-IR"/>
              </w:rPr>
              <w:t xml:space="preserve">(9). في </w:t>
            </w:r>
            <w:r w:rsidRPr="00C24F9C">
              <w:rPr>
                <w:rStyle w:val="libFootnoteBoldChar"/>
                <w:rtl/>
              </w:rPr>
              <w:t>الفقيه</w:t>
            </w:r>
            <w:r>
              <w:rPr>
                <w:rtl/>
                <w:lang w:bidi="fa-IR"/>
              </w:rPr>
              <w:t xml:space="preserve"> والمقنعة : « وآل محمّد ».</w:t>
            </w:r>
          </w:p>
        </w:tc>
      </w:tr>
    </w:tbl>
    <w:p w:rsidR="00744A1C" w:rsidRDefault="00E378DD" w:rsidP="00E378DD">
      <w:pPr>
        <w:pStyle w:val="libFootnote0"/>
        <w:rPr>
          <w:lang w:bidi="fa-IR"/>
        </w:rPr>
      </w:pPr>
      <w:r>
        <w:rPr>
          <w:rtl/>
          <w:lang w:bidi="fa-IR"/>
        </w:rPr>
        <w:t>(10).</w:t>
      </w:r>
      <w:r w:rsidR="00744A1C">
        <w:rPr>
          <w:rtl/>
          <w:lang w:bidi="fa-IR"/>
        </w:rPr>
        <w:t xml:space="preserve"> في « بث » : « ويسمّي ». وفي « جد » بالتاء والياء معاً.</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التهذيب</w:t>
      </w:r>
      <w:r w:rsidR="00744A1C">
        <w:rPr>
          <w:rtl/>
          <w:lang w:bidi="fa-IR"/>
        </w:rPr>
        <w:t xml:space="preserve"> ، ح 178 و</w:t>
      </w:r>
      <w:r w:rsidR="00744A1C" w:rsidRPr="007B299E">
        <w:rPr>
          <w:rStyle w:val="libFootnoteBoldChar"/>
          <w:rtl/>
        </w:rPr>
        <w:t>كامل الزيارات</w:t>
      </w:r>
      <w:r w:rsidR="00744A1C">
        <w:rPr>
          <w:rtl/>
          <w:lang w:bidi="fa-IR"/>
        </w:rPr>
        <w:t xml:space="preserve"> ، ص 315 والعيون : - « إلى الله ».</w:t>
      </w:r>
    </w:p>
    <w:p w:rsidR="00744A1C" w:rsidRDefault="00E378DD" w:rsidP="004E019F">
      <w:pPr>
        <w:pStyle w:val="libFootnote0"/>
        <w:rPr>
          <w:lang w:bidi="fa-IR"/>
        </w:rPr>
      </w:pPr>
      <w:r>
        <w:rPr>
          <w:rtl/>
          <w:lang w:bidi="fa-IR"/>
        </w:rPr>
        <w:t>(12).</w:t>
      </w:r>
      <w:r w:rsidR="00744A1C">
        <w:rPr>
          <w:rtl/>
          <w:lang w:bidi="fa-IR"/>
        </w:rPr>
        <w:t xml:space="preserve"> هكذا في معظم النسخ التي </w:t>
      </w:r>
      <w:r w:rsidR="00744A1C" w:rsidRPr="004E019F">
        <w:rPr>
          <w:rtl/>
        </w:rPr>
        <w:t>قوبلت والوافي والوسائل والتهذيب</w:t>
      </w:r>
      <w:r w:rsidR="00744A1C">
        <w:rPr>
          <w:rtl/>
          <w:lang w:bidi="fa-IR"/>
        </w:rPr>
        <w:t xml:space="preserve"> ، ح 178 و</w:t>
      </w:r>
      <w:r w:rsidR="00744A1C" w:rsidRPr="007B299E">
        <w:rPr>
          <w:rStyle w:val="libFootnoteBoldChar"/>
          <w:rtl/>
        </w:rPr>
        <w:t>كامل الزيارات</w:t>
      </w:r>
      <w:r w:rsidR="00744A1C">
        <w:rPr>
          <w:rtl/>
          <w:lang w:bidi="fa-IR"/>
        </w:rPr>
        <w:t xml:space="preserve"> ، ص 315. وفي « بس ، جن » والمطبوع : « وتختر ».</w:t>
      </w:r>
      <w:r w:rsidR="004E019F">
        <w:rPr>
          <w:rFonts w:hint="cs"/>
          <w:rtl/>
          <w:lang w:bidi="fa-IR"/>
        </w:rPr>
        <w:t xml:space="preserve">                           </w:t>
      </w:r>
      <w:r>
        <w:rPr>
          <w:rtl/>
          <w:lang w:bidi="fa-IR"/>
        </w:rPr>
        <w:t>(13).</w:t>
      </w:r>
      <w:r w:rsidR="00744A1C">
        <w:rPr>
          <w:rtl/>
          <w:lang w:bidi="fa-IR"/>
        </w:rPr>
        <w:t xml:space="preserve"> في </w:t>
      </w:r>
      <w:r w:rsidR="00744A1C" w:rsidRPr="00C24F9C">
        <w:rPr>
          <w:rStyle w:val="libFootnoteBoldChar"/>
          <w:rtl/>
        </w:rPr>
        <w:t>التهذيب</w:t>
      </w:r>
      <w:r w:rsidR="00744A1C">
        <w:rPr>
          <w:rtl/>
          <w:lang w:bidi="fa-IR"/>
        </w:rPr>
        <w:t xml:space="preserve"> ، ح 178 : - « ما أحببت ».</w:t>
      </w:r>
    </w:p>
    <w:p w:rsidR="00744A1C" w:rsidRDefault="00E378DD" w:rsidP="00E378DD">
      <w:pPr>
        <w:pStyle w:val="libFootnote0"/>
        <w:rPr>
          <w:lang w:bidi="fa-IR"/>
        </w:rPr>
      </w:pPr>
      <w:r>
        <w:rPr>
          <w:rtl/>
          <w:lang w:bidi="fa-IR"/>
        </w:rPr>
        <w:t>(14).</w:t>
      </w:r>
      <w:r w:rsidR="00744A1C">
        <w:rPr>
          <w:rtl/>
          <w:lang w:bidi="fa-IR"/>
        </w:rPr>
        <w:t xml:space="preserve"> في « جن » : « وللمؤمنات ».</w:t>
      </w:r>
    </w:p>
    <w:p w:rsidR="00144FA6" w:rsidRDefault="00E378DD" w:rsidP="00E378DD">
      <w:pPr>
        <w:pStyle w:val="libFootnote0"/>
        <w:rPr>
          <w:rtl/>
          <w:lang w:bidi="fa-IR"/>
        </w:rPr>
      </w:pPr>
      <w:r>
        <w:rPr>
          <w:rtl/>
          <w:lang w:bidi="fa-IR"/>
        </w:rPr>
        <w:t>(15).</w:t>
      </w:r>
      <w:r w:rsidR="00744A1C">
        <w:rPr>
          <w:rtl/>
          <w:lang w:bidi="fa-IR"/>
        </w:rPr>
        <w:t xml:space="preserve"> </w:t>
      </w:r>
      <w:r w:rsidR="00744A1C" w:rsidRPr="00C24F9C">
        <w:rPr>
          <w:rStyle w:val="libFootnoteBoldChar"/>
          <w:rtl/>
        </w:rPr>
        <w:t>التهذيب</w:t>
      </w:r>
      <w:r w:rsidR="00744A1C">
        <w:rPr>
          <w:rtl/>
          <w:lang w:bidi="fa-IR"/>
        </w:rPr>
        <w:t xml:space="preserve"> ، ج 6 ، ص 102 ، ح 178 ، معلّقاً عن الكليني. </w:t>
      </w:r>
      <w:r w:rsidR="00744A1C" w:rsidRPr="00C24F9C">
        <w:rPr>
          <w:rStyle w:val="libFootnoteBoldChar"/>
          <w:rtl/>
        </w:rPr>
        <w:t>التهذيب</w:t>
      </w:r>
      <w:r w:rsidR="00744A1C">
        <w:rPr>
          <w:rtl/>
          <w:lang w:bidi="fa-IR"/>
        </w:rPr>
        <w:t xml:space="preserve"> ، ج 6 ، ص 83 ، ح 164 ، بسنده عن محمّد بن أحمد ؛ </w:t>
      </w:r>
      <w:r w:rsidR="00744A1C" w:rsidRPr="007B299E">
        <w:rPr>
          <w:rStyle w:val="libFootnoteBoldChar"/>
          <w:rtl/>
        </w:rPr>
        <w:t>كامل الزيارات</w:t>
      </w:r>
      <w:r w:rsidR="00744A1C">
        <w:rPr>
          <w:rtl/>
          <w:lang w:bidi="fa-IR"/>
        </w:rPr>
        <w:t xml:space="preserve"> ، ص 315 ، الباب 104 ، ح 1 ، بسنده عن</w:t>
      </w:r>
      <w:r w:rsidR="004E019F">
        <w:rPr>
          <w:rFonts w:hint="cs"/>
          <w:rtl/>
          <w:lang w:bidi="fa-IR"/>
        </w:rPr>
        <w:t xml:space="preserve"> =</w:t>
      </w:r>
    </w:p>
    <w:p w:rsidR="00150943" w:rsidRDefault="00150943" w:rsidP="00D10E3C">
      <w:pPr>
        <w:pStyle w:val="libNormal"/>
        <w:rPr>
          <w:rtl/>
          <w:lang w:bidi="fa-IR"/>
        </w:rPr>
      </w:pPr>
      <w:r>
        <w:rPr>
          <w:rtl/>
          <w:lang w:bidi="fa-IR"/>
        </w:rPr>
        <w:br w:type="page"/>
      </w:r>
    </w:p>
    <w:p w:rsidR="00744A1C" w:rsidRDefault="00744A1C" w:rsidP="00531AA0">
      <w:pPr>
        <w:pStyle w:val="Heading2Center"/>
        <w:rPr>
          <w:lang w:bidi="fa-IR"/>
        </w:rPr>
      </w:pPr>
      <w:bookmarkStart w:id="79" w:name="_Toc49261377"/>
      <w:r>
        <w:rPr>
          <w:rtl/>
          <w:lang w:bidi="fa-IR"/>
        </w:rPr>
        <w:lastRenderedPageBreak/>
        <w:t>231 - بَابُ فَضْلِ الزِّيَارَاتِ وَثَوَابِهَا‌</w:t>
      </w:r>
      <w:bookmarkEnd w:id="79"/>
    </w:p>
    <w:p w:rsidR="00144FA6" w:rsidRDefault="00744A1C" w:rsidP="00744A1C">
      <w:pPr>
        <w:pStyle w:val="libNormal"/>
        <w:rPr>
          <w:rtl/>
          <w:lang w:bidi="fa-IR"/>
        </w:rPr>
      </w:pPr>
      <w:r>
        <w:rPr>
          <w:rtl/>
          <w:lang w:bidi="fa-IR"/>
        </w:rPr>
        <w:t xml:space="preserve">8163 / 1. مُحَمَّدُ بْنُ يَحْيى ، عَنْ مُحَمَّدِ بْنِ الْحُسَيْنِ ، عَنْ مُحَمَّدِ بْنِ إِسْمَاعِيلَ بْنِ بَزِيعٍ </w:t>
      </w:r>
      <w:r w:rsidRPr="00D10E3C">
        <w:rPr>
          <w:rStyle w:val="libFootnotenumChar"/>
          <w:rtl/>
        </w:rPr>
        <w:t>(1)</w:t>
      </w:r>
      <w:r>
        <w:rPr>
          <w:rtl/>
          <w:lang w:bidi="fa-IR"/>
        </w:rPr>
        <w:t xml:space="preserve"> ، عَنْ صَالِحِ بْنِ عُقْبَةَ ، عَنْ زَيْدٍ الشَّحَّامِ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مَا لِمَنْ زَارَ أَحَداً </w:t>
      </w:r>
      <w:r w:rsidRPr="00D10E3C">
        <w:rPr>
          <w:rStyle w:val="libFootnotenumChar"/>
          <w:rtl/>
        </w:rPr>
        <w:t>(2)</w:t>
      </w:r>
      <w:r>
        <w:rPr>
          <w:rtl/>
          <w:lang w:bidi="fa-IR"/>
        </w:rPr>
        <w:t xml:space="preserve"> مِنْكُمْ </w:t>
      </w:r>
      <w:r w:rsidRPr="00D10E3C">
        <w:rPr>
          <w:rStyle w:val="libFootnotenumChar"/>
          <w:rtl/>
        </w:rPr>
        <w:t>(3)</w:t>
      </w:r>
      <w:r>
        <w:rPr>
          <w:rtl/>
          <w:lang w:bidi="fa-IR"/>
        </w:rPr>
        <w:t>؟</w:t>
      </w:r>
    </w:p>
    <w:p w:rsidR="00144FA6" w:rsidRDefault="00744A1C" w:rsidP="00744A1C">
      <w:pPr>
        <w:pStyle w:val="libNormal"/>
        <w:rPr>
          <w:rtl/>
          <w:lang w:bidi="fa-IR"/>
        </w:rPr>
      </w:pPr>
      <w:r>
        <w:rPr>
          <w:rtl/>
          <w:lang w:bidi="fa-IR"/>
        </w:rPr>
        <w:t xml:space="preserve">قَالَ </w:t>
      </w:r>
      <w:r w:rsidRPr="00D10E3C">
        <w:rPr>
          <w:rStyle w:val="libFootnotenumChar"/>
          <w:rtl/>
        </w:rPr>
        <w:t>(4)</w:t>
      </w:r>
      <w:r>
        <w:rPr>
          <w:rtl/>
          <w:lang w:bidi="fa-IR"/>
        </w:rPr>
        <w:t xml:space="preserve"> : « كَمَنْ زَارَ رَسُولَ اللهِ </w:t>
      </w:r>
      <w:r w:rsidR="0017097C" w:rsidRPr="0017097C">
        <w:rPr>
          <w:rStyle w:val="libAlaemChar"/>
          <w:rtl/>
        </w:rPr>
        <w:t>صلى‌الله‌عليه‌وآله</w:t>
      </w:r>
      <w:r w:rsidR="00D10E3C">
        <w:rPr>
          <w:rtl/>
          <w:lang w:bidi="fa-IR"/>
        </w:rPr>
        <w:t xml:space="preserve"> </w:t>
      </w:r>
      <w:r>
        <w:rPr>
          <w:rtl/>
          <w:lang w:bidi="fa-IR"/>
        </w:rPr>
        <w:t xml:space="preserve">». </w:t>
      </w:r>
      <w:r w:rsidRPr="00D10E3C">
        <w:rPr>
          <w:rStyle w:val="libFootnotenumChar"/>
          <w:rtl/>
        </w:rPr>
        <w:t>(5)</w:t>
      </w:r>
    </w:p>
    <w:p w:rsidR="00744A1C" w:rsidRDefault="00744A1C" w:rsidP="00D10E3C">
      <w:pPr>
        <w:pStyle w:val="libLine"/>
        <w:rPr>
          <w:lang w:bidi="fa-IR"/>
        </w:rPr>
      </w:pPr>
      <w:r>
        <w:rPr>
          <w:rtl/>
          <w:lang w:bidi="fa-IR"/>
        </w:rPr>
        <w:t>____________________</w:t>
      </w:r>
    </w:p>
    <w:p w:rsidR="00744A1C" w:rsidRDefault="00531AA0" w:rsidP="00D10E3C">
      <w:pPr>
        <w:pStyle w:val="libFootnote0"/>
        <w:rPr>
          <w:lang w:bidi="fa-IR"/>
        </w:rPr>
      </w:pPr>
      <w:r>
        <w:rPr>
          <w:rFonts w:hint="cs"/>
          <w:rtl/>
          <w:lang w:bidi="fa-IR"/>
        </w:rPr>
        <w:t xml:space="preserve">= </w:t>
      </w:r>
      <w:r w:rsidR="00744A1C">
        <w:rPr>
          <w:rtl/>
          <w:lang w:bidi="fa-IR"/>
        </w:rPr>
        <w:t xml:space="preserve">محمّد بن أحمد بن يحيى بن عمران ، عن هارون بن مسلم. وفيه ، ص 299 ، الباب 99 ، ح 4 ، بسنده عن هارون بن مسلم ، وفي الأخيرين إلى قوله : « صلّوا في المساجد حوله ». </w:t>
      </w:r>
      <w:r w:rsidR="00744A1C" w:rsidRPr="00C24F9C">
        <w:rPr>
          <w:rStyle w:val="libFootnoteBoldChar"/>
          <w:rtl/>
        </w:rPr>
        <w:t>الفقيه</w:t>
      </w:r>
      <w:r w:rsidR="00744A1C">
        <w:rPr>
          <w:rtl/>
          <w:lang w:bidi="fa-IR"/>
        </w:rPr>
        <w:t xml:space="preserve"> ، ج 2 ، ص 608 ، ح 3212 ، معلّقاً عن عليّ بن حسّان ، إلى قوله : « وأبرأ إلى الله منهم وصلّى الله على محمّد وآله ». </w:t>
      </w:r>
      <w:r w:rsidR="00744A1C" w:rsidRPr="00877682">
        <w:rPr>
          <w:rStyle w:val="libFootnoteBoldChar"/>
          <w:rtl/>
        </w:rPr>
        <w:t>عيون الأخبار</w:t>
      </w:r>
      <w:r w:rsidR="00744A1C">
        <w:rPr>
          <w:rtl/>
          <w:lang w:bidi="fa-IR"/>
        </w:rPr>
        <w:t xml:space="preserve"> ، ج 2 ، ص 271 ، ح 1 ، بسنده عن عليّ بن حسّان. المقنعة ، ص 488 ، مرسلاً. كتاب المزار ، ص 205 ، من دون الإسناد إلى المعصوم </w:t>
      </w:r>
      <w:r w:rsidR="0061079A" w:rsidRPr="0061079A">
        <w:rPr>
          <w:rStyle w:val="libFootnoteAlaemChar"/>
          <w:rtl/>
        </w:rPr>
        <w:t>عليه‌السلام</w:t>
      </w:r>
      <w:r w:rsidR="00D10E3C">
        <w:rPr>
          <w:rtl/>
          <w:lang w:bidi="fa-IR"/>
        </w:rPr>
        <w:t xml:space="preserve"> </w:t>
      </w:r>
      <w:r>
        <w:rPr>
          <w:rtl/>
          <w:lang w:bidi="fa-IR"/>
        </w:rPr>
        <w:t>، وفي كلّ المصادر - إل</w:t>
      </w:r>
      <w:r>
        <w:rPr>
          <w:rFonts w:hint="cs"/>
          <w:rtl/>
          <w:lang w:bidi="fa-IR"/>
        </w:rPr>
        <w:t>ّ</w:t>
      </w:r>
      <w:r>
        <w:rPr>
          <w:rtl/>
          <w:lang w:bidi="fa-IR"/>
        </w:rPr>
        <w:t>ا</w:t>
      </w:r>
      <w:r w:rsidR="00744A1C">
        <w:rPr>
          <w:rtl/>
          <w:lang w:bidi="fa-IR"/>
        </w:rPr>
        <w:t xml:space="preserve"> </w:t>
      </w:r>
      <w:r w:rsidR="00744A1C" w:rsidRPr="00C24F9C">
        <w:rPr>
          <w:rStyle w:val="libFootnoteBoldChar"/>
          <w:rtl/>
        </w:rPr>
        <w:t>التهذيب</w:t>
      </w:r>
      <w:r w:rsidR="00744A1C">
        <w:rPr>
          <w:rtl/>
          <w:lang w:bidi="fa-IR"/>
        </w:rPr>
        <w:t xml:space="preserve"> ، ص 102 - مع اختلاف يسير </w:t>
      </w:r>
      <w:r>
        <w:rPr>
          <w:rFonts w:hint="cs"/>
          <w:rtl/>
          <w:lang w:bidi="fa-IR"/>
        </w:rPr>
        <w:t>.</w:t>
      </w:r>
      <w:r w:rsidR="00744A1C" w:rsidRPr="00C24F9C">
        <w:rPr>
          <w:rStyle w:val="libFootnoteBoldChar"/>
          <w:rtl/>
        </w:rPr>
        <w:t>الوافي</w:t>
      </w:r>
      <w:r w:rsidR="00744A1C">
        <w:rPr>
          <w:rtl/>
          <w:lang w:bidi="fa-IR"/>
        </w:rPr>
        <w:t xml:space="preserve"> ، ج 14 ، ص 1565 ، ح 14653 ؛ وفيه ، ص 1536 ، ح 14624 ، إلى قوله : « صلّوا في المساجد حوله » ؛ </w:t>
      </w:r>
      <w:r w:rsidR="00744A1C" w:rsidRPr="00C24F9C">
        <w:rPr>
          <w:rStyle w:val="libFootnoteBoldChar"/>
          <w:rtl/>
        </w:rPr>
        <w:t>الوسائل</w:t>
      </w:r>
      <w:r w:rsidR="00744A1C">
        <w:rPr>
          <w:rtl/>
          <w:lang w:bidi="fa-IR"/>
        </w:rPr>
        <w:t xml:space="preserve"> ، ج 14 ، ص 549 ، ح 19797.</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 « بن بزيع ».</w:t>
      </w:r>
    </w:p>
    <w:p w:rsidR="00744A1C" w:rsidRDefault="00E378DD" w:rsidP="00E378DD">
      <w:pPr>
        <w:pStyle w:val="libFootnote0"/>
        <w:rPr>
          <w:lang w:bidi="fa-IR"/>
        </w:rPr>
      </w:pPr>
      <w:r>
        <w:rPr>
          <w:rtl/>
          <w:lang w:bidi="fa-IR"/>
        </w:rPr>
        <w:t>(2).</w:t>
      </w:r>
      <w:r w:rsidR="00744A1C">
        <w:rPr>
          <w:rtl/>
          <w:lang w:bidi="fa-IR"/>
        </w:rPr>
        <w:t xml:space="preserve"> في « بخ ، بف » </w:t>
      </w:r>
      <w:r w:rsidR="00744A1C" w:rsidRPr="007A0703">
        <w:rPr>
          <w:rtl/>
        </w:rPr>
        <w:t>والوسائل ،</w:t>
      </w:r>
      <w:r w:rsidR="00744A1C">
        <w:rPr>
          <w:rtl/>
          <w:lang w:bidi="fa-IR"/>
        </w:rPr>
        <w:t xml:space="preserve"> ح 19842 و</w:t>
      </w:r>
      <w:r w:rsidR="00744A1C" w:rsidRPr="00C24F9C">
        <w:rPr>
          <w:rStyle w:val="libFootnoteBoldChar"/>
          <w:rtl/>
        </w:rPr>
        <w:t>الفقيه</w:t>
      </w:r>
      <w:r w:rsidR="00744A1C">
        <w:rPr>
          <w:rtl/>
          <w:lang w:bidi="fa-IR"/>
        </w:rPr>
        <w:t xml:space="preserve"> ، ج 2 ، ص 578 و 581 والعلل : « واحداً ».</w:t>
      </w:r>
    </w:p>
    <w:p w:rsidR="00744A1C" w:rsidRDefault="00E378DD" w:rsidP="00E378DD">
      <w:pPr>
        <w:pStyle w:val="libFootnote0"/>
        <w:rPr>
          <w:lang w:bidi="fa-IR"/>
        </w:rPr>
      </w:pPr>
      <w:r>
        <w:rPr>
          <w:rtl/>
          <w:lang w:bidi="fa-IR"/>
        </w:rPr>
        <w:t>(3).</w:t>
      </w:r>
      <w:r w:rsidR="00744A1C">
        <w:rPr>
          <w:rtl/>
          <w:lang w:bidi="fa-IR"/>
        </w:rPr>
        <w:t xml:space="preserve"> في </w:t>
      </w:r>
      <w:r w:rsidR="00744A1C" w:rsidRPr="007B299E">
        <w:rPr>
          <w:rStyle w:val="libFootnoteBoldChar"/>
          <w:rtl/>
        </w:rPr>
        <w:t>كامل الزيارات</w:t>
      </w:r>
      <w:r w:rsidR="00744A1C">
        <w:rPr>
          <w:rtl/>
          <w:lang w:bidi="fa-IR"/>
        </w:rPr>
        <w:t xml:space="preserve"> ، ص 147 وص 150 ، ح 3 : « منكم ( أحدكم ) ».</w:t>
      </w:r>
    </w:p>
    <w:p w:rsidR="00744A1C" w:rsidRDefault="00E378DD" w:rsidP="00E378DD">
      <w:pPr>
        <w:pStyle w:val="libFootnote0"/>
        <w:rPr>
          <w:lang w:bidi="fa-IR"/>
        </w:rPr>
      </w:pPr>
      <w:r>
        <w:rPr>
          <w:rtl/>
          <w:lang w:bidi="fa-IR"/>
        </w:rPr>
        <w:t>(4).</w:t>
      </w:r>
      <w:r w:rsidR="00744A1C">
        <w:rPr>
          <w:rtl/>
          <w:lang w:bidi="fa-IR"/>
        </w:rPr>
        <w:t xml:space="preserve"> في « بس » : + « كان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79 ، ح 157 ؛ وص 93 ، ح 174 ، معلّقاً عن الكليني ؛ </w:t>
      </w:r>
      <w:r w:rsidR="00744A1C" w:rsidRPr="007B299E">
        <w:rPr>
          <w:rStyle w:val="libFootnoteBoldChar"/>
          <w:rtl/>
        </w:rPr>
        <w:t>كامل الزيارات</w:t>
      </w:r>
      <w:r w:rsidR="00744A1C">
        <w:rPr>
          <w:rtl/>
          <w:lang w:bidi="fa-IR"/>
        </w:rPr>
        <w:t xml:space="preserve"> ، ص 150 ، الباب 60 ، ح 3 ، عن محمّد بن يعقوب الكليني بهذا السند ، وبسند آخر أيضاً عن محمّد بن الحسين ؛ كتاب المزار ، ص 183 ، بسنده عن محمّد بن يعقوب الكليني. وفي </w:t>
      </w:r>
      <w:r w:rsidR="00744A1C" w:rsidRPr="003A7143">
        <w:rPr>
          <w:rStyle w:val="libFootnoteBoldChar"/>
          <w:rtl/>
        </w:rPr>
        <w:t>علل الشرائع</w:t>
      </w:r>
      <w:r w:rsidR="00744A1C">
        <w:rPr>
          <w:rtl/>
          <w:lang w:bidi="fa-IR"/>
        </w:rPr>
        <w:t xml:space="preserve"> ، ص 460 ، ح 6 ؛ و</w:t>
      </w:r>
      <w:r w:rsidR="00744A1C" w:rsidRPr="00877682">
        <w:rPr>
          <w:rStyle w:val="libFootnoteBoldChar"/>
          <w:rtl/>
        </w:rPr>
        <w:t>عيون الأخبار</w:t>
      </w:r>
      <w:r w:rsidR="00744A1C">
        <w:rPr>
          <w:rtl/>
          <w:lang w:bidi="fa-IR"/>
        </w:rPr>
        <w:t xml:space="preserve"> ، ج 2 ، ص 262 ، ح 31 ، بسند آخر عن محمّد بن يحيى. وفي </w:t>
      </w:r>
      <w:r w:rsidR="00744A1C" w:rsidRPr="0061079A">
        <w:rPr>
          <w:rStyle w:val="libFootnoteBoldChar"/>
          <w:rtl/>
        </w:rPr>
        <w:t>الكافي</w:t>
      </w:r>
      <w:r w:rsidR="00744A1C">
        <w:rPr>
          <w:rtl/>
          <w:lang w:bidi="fa-IR"/>
        </w:rPr>
        <w:t xml:space="preserve"> ، كتاب الحجّ ، باب فضل زيارة أبي الحسن الرضا </w:t>
      </w:r>
      <w:r w:rsidR="0061079A" w:rsidRPr="0061079A">
        <w:rPr>
          <w:rStyle w:val="libFootnoteAlaemChar"/>
          <w:rtl/>
        </w:rPr>
        <w:t>عليه‌السلام</w:t>
      </w:r>
      <w:r w:rsidR="00D10E3C">
        <w:rPr>
          <w:rtl/>
          <w:lang w:bidi="fa-IR"/>
        </w:rPr>
        <w:t xml:space="preserve"> </w:t>
      </w:r>
      <w:r w:rsidR="00744A1C">
        <w:rPr>
          <w:rtl/>
          <w:lang w:bidi="fa-IR"/>
        </w:rPr>
        <w:t xml:space="preserve">، ذيل ح 8184 ؛ </w:t>
      </w:r>
      <w:r w:rsidR="00744A1C" w:rsidRPr="0061079A">
        <w:rPr>
          <w:rStyle w:val="libFootnoteBoldChar"/>
          <w:rtl/>
        </w:rPr>
        <w:t>والتهذيب</w:t>
      </w:r>
      <w:r w:rsidR="00744A1C">
        <w:rPr>
          <w:rtl/>
          <w:lang w:bidi="fa-IR"/>
        </w:rPr>
        <w:t xml:space="preserve"> ، ج 6 ، ص 4 ، ذيل ح 6 ؛ و</w:t>
      </w:r>
      <w:r w:rsidR="00744A1C" w:rsidRPr="007B299E">
        <w:rPr>
          <w:rStyle w:val="libFootnoteBoldChar"/>
          <w:rtl/>
        </w:rPr>
        <w:t>كامل الزيارات</w:t>
      </w:r>
      <w:r w:rsidR="00744A1C">
        <w:rPr>
          <w:rtl/>
          <w:lang w:bidi="fa-IR"/>
        </w:rPr>
        <w:t xml:space="preserve"> ، ص 150 ، الباب 60 ، ح 4 ؛ وكتاب المزار ، ص 169 ، ذيل ح 2 ، بسند آخر عن محمّد بن الحسين ؛ </w:t>
      </w:r>
      <w:r w:rsidR="00744A1C" w:rsidRPr="007B299E">
        <w:rPr>
          <w:rStyle w:val="libFootnoteBoldChar"/>
          <w:rtl/>
        </w:rPr>
        <w:t>كامل الزيارات</w:t>
      </w:r>
      <w:r w:rsidR="00744A1C">
        <w:rPr>
          <w:rtl/>
          <w:lang w:bidi="fa-IR"/>
        </w:rPr>
        <w:t xml:space="preserve"> ، ص 147 ، الباب 59 ، ذيل ح 1 ، بسنده عن أحمد بن محمّد ومحمّد بن الحسين ، عن محمّد بن إسماعيل بن بزيع. </w:t>
      </w:r>
      <w:r w:rsidR="00744A1C" w:rsidRPr="00C24F9C">
        <w:rPr>
          <w:rStyle w:val="libFootnoteBoldChar"/>
          <w:rtl/>
        </w:rPr>
        <w:t>الفقيه</w:t>
      </w:r>
      <w:r w:rsidR="00744A1C">
        <w:rPr>
          <w:rtl/>
          <w:lang w:bidi="fa-IR"/>
        </w:rPr>
        <w:t xml:space="preserve"> ، ج 2 ، ص 578 ، ح 3163 ، معلّقاً عن صالح بن عقبة. </w:t>
      </w:r>
      <w:r w:rsidR="00744A1C" w:rsidRPr="00C24F9C">
        <w:rPr>
          <w:rStyle w:val="libFootnoteBoldChar"/>
          <w:rtl/>
        </w:rPr>
        <w:t>الفقيه</w:t>
      </w:r>
      <w:r w:rsidR="00744A1C">
        <w:rPr>
          <w:rtl/>
          <w:lang w:bidi="fa-IR"/>
        </w:rPr>
        <w:t xml:space="preserve"> ، ج 2 ، ص 581 ، ح 3175 ، معلّقاً عن زيد الشحّام. المقنعة ، ص 474 ، مرسلاً. راجع : </w:t>
      </w:r>
      <w:r w:rsidR="00744A1C" w:rsidRPr="007B299E">
        <w:rPr>
          <w:rStyle w:val="libFootnoteBoldChar"/>
          <w:rtl/>
        </w:rPr>
        <w:t>كامل الزيارات</w:t>
      </w:r>
      <w:r w:rsidR="00744A1C">
        <w:rPr>
          <w:rtl/>
          <w:lang w:bidi="fa-IR"/>
        </w:rPr>
        <w:t xml:space="preserve"> ، ص 299 ، الباب 99 ، ح 5 ؛ وكتاب المزار ، ص 191 ، ح 3 </w:t>
      </w:r>
      <w:r w:rsidR="007A0703">
        <w:rPr>
          <w:rFonts w:hint="cs"/>
          <w:rtl/>
          <w:lang w:bidi="fa-IR"/>
        </w:rPr>
        <w:t>.</w:t>
      </w:r>
      <w:r w:rsidR="00744A1C" w:rsidRPr="00C24F9C">
        <w:rPr>
          <w:rStyle w:val="libFootnoteBoldChar"/>
          <w:rtl/>
        </w:rPr>
        <w:t>الوافي</w:t>
      </w:r>
      <w:r w:rsidR="00744A1C">
        <w:rPr>
          <w:rtl/>
          <w:lang w:bidi="fa-IR"/>
        </w:rPr>
        <w:t xml:space="preserve"> ، ج 14 ، ص 1332 ، ح 13461 ؛ </w:t>
      </w:r>
      <w:r w:rsidR="00744A1C" w:rsidRPr="00C24F9C">
        <w:rPr>
          <w:rStyle w:val="libFootnoteBoldChar"/>
          <w:rtl/>
        </w:rPr>
        <w:t>الوسائل</w:t>
      </w:r>
      <w:r w:rsidR="00744A1C">
        <w:rPr>
          <w:rtl/>
          <w:lang w:bidi="fa-IR"/>
        </w:rPr>
        <w:t xml:space="preserve"> ، ج 14 ، ص 327 ، ح 19324 ؛ وص 543 ، ح 19783 ؛ وص 571 ، ح 19842.</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8164 / 2. أَبُو عَلِيٍّ الْأَشْعَرِيُّ ، عَنْ مُحَمَّدِ بْنِ عَبْدِ الْجَبَّارِ </w:t>
      </w:r>
      <w:r w:rsidRPr="00D10E3C">
        <w:rPr>
          <w:rStyle w:val="libFootnotenumChar"/>
          <w:rtl/>
        </w:rPr>
        <w:t>(1)</w:t>
      </w:r>
      <w:r>
        <w:rPr>
          <w:rtl/>
          <w:lang w:bidi="fa-IR"/>
        </w:rPr>
        <w:t xml:space="preserve"> ، عَنْ مُحَمَّدِ بْنِ سِنَانٍ ، عَنْ مُحَمَّدِ بْنِ عَلِيٍّ رَفَعَهُ </w:t>
      </w:r>
      <w:r w:rsidRPr="00D10E3C">
        <w:rPr>
          <w:rStyle w:val="libFootnotenumChar"/>
          <w:rtl/>
        </w:rPr>
        <w:t>(2)</w:t>
      </w:r>
      <w:r>
        <w:rPr>
          <w:rtl/>
          <w:lang w:bidi="fa-IR"/>
        </w:rPr>
        <w:t xml:space="preserve"> ، قَالَ :</w:t>
      </w:r>
    </w:p>
    <w:p w:rsidR="00144FA6" w:rsidRDefault="00744A1C" w:rsidP="00744A1C">
      <w:pPr>
        <w:pStyle w:val="libNormal"/>
        <w:rPr>
          <w:rtl/>
          <w:lang w:bidi="fa-IR"/>
        </w:rPr>
      </w:pPr>
      <w:r>
        <w:rPr>
          <w:rtl/>
          <w:lang w:bidi="fa-IR"/>
        </w:rPr>
        <w:t xml:space="preserve">« قَالَ رَسُولُ اللهِ </w:t>
      </w:r>
      <w:r w:rsidR="0017097C" w:rsidRPr="0017097C">
        <w:rPr>
          <w:rStyle w:val="libAlaemChar"/>
          <w:rtl/>
        </w:rPr>
        <w:t>صلى‌الله‌عليه‌وآله</w:t>
      </w:r>
      <w:r w:rsidR="00D10E3C">
        <w:rPr>
          <w:rtl/>
          <w:lang w:bidi="fa-IR"/>
        </w:rPr>
        <w:t xml:space="preserve"> </w:t>
      </w:r>
      <w:r w:rsidRPr="00D10E3C">
        <w:rPr>
          <w:rStyle w:val="libFootnotenumChar"/>
          <w:rtl/>
        </w:rPr>
        <w:t>(3)</w:t>
      </w:r>
      <w:r>
        <w:rPr>
          <w:rtl/>
          <w:lang w:bidi="fa-IR"/>
        </w:rPr>
        <w:t xml:space="preserve"> : يَا عَلِيُّ ، مَنْ زَارَنِي فِي حَيَاتِي ، أَوْ بَعْدَ مَوْتِي </w:t>
      </w:r>
      <w:r w:rsidRPr="00D10E3C">
        <w:rPr>
          <w:rStyle w:val="libFootnotenumChar"/>
          <w:rtl/>
        </w:rPr>
        <w:t>(4)</w:t>
      </w:r>
      <w:r>
        <w:rPr>
          <w:rtl/>
          <w:lang w:bidi="fa-IR"/>
        </w:rPr>
        <w:t xml:space="preserve"> ، أَوْ زَارَكَ فِي حَيَاتِكَ ، أَوْ بَعْدَ مَوْتِكَ </w:t>
      </w:r>
      <w:r w:rsidRPr="00D10E3C">
        <w:rPr>
          <w:rStyle w:val="libFootnotenumChar"/>
          <w:rtl/>
        </w:rPr>
        <w:t>(5)</w:t>
      </w:r>
      <w:r>
        <w:rPr>
          <w:rtl/>
          <w:lang w:bidi="fa-IR"/>
        </w:rPr>
        <w:t xml:space="preserve"> ، أَوْ زَارَ ابْنَيْكَ فِي حَيَاتِهِمَا ، أَوْ بَعْدَ مَوْتِهِمَا </w:t>
      </w:r>
      <w:r w:rsidRPr="00D10E3C">
        <w:rPr>
          <w:rStyle w:val="libFootnotenumChar"/>
          <w:rtl/>
        </w:rPr>
        <w:t>(6)</w:t>
      </w:r>
      <w:r>
        <w:rPr>
          <w:rtl/>
          <w:lang w:bidi="fa-IR"/>
        </w:rPr>
        <w:t xml:space="preserve"> ، ضَمِنْتُ لَهُ يَوْمَ الْقِيَامَةِ أَنْ أُخَلِّصَهُ مِنْ أَهْوَالِهَا وَشَدَائِدِهَا حَتّى أُصَيِّرَهُ مَعِي فِي دَرَجَتِي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بح ، بس ، بف ، جد ، جر ، جن » : - « عن محمّد بن عبد الجبّار ». وفي « بخ » : - « بن عبد الجبّار ».</w:t>
      </w:r>
    </w:p>
    <w:p w:rsidR="00744A1C" w:rsidRDefault="00744A1C" w:rsidP="00D10E3C">
      <w:pPr>
        <w:pStyle w:val="libFootnote0"/>
        <w:rPr>
          <w:lang w:bidi="fa-IR"/>
        </w:rPr>
      </w:pPr>
      <w:r>
        <w:rPr>
          <w:rtl/>
          <w:lang w:bidi="fa-IR"/>
        </w:rPr>
        <w:t>والظاهر أنّ ما ورد في أكثر النسخ ناشٍ من جواز النظر من « محمّد » في « محمّد بن عبد الجبّار » إلى « محمّد » في « محمّد بن سنان » ، فوقع السقط.</w:t>
      </w:r>
    </w:p>
    <w:p w:rsidR="00744A1C" w:rsidRDefault="00744A1C" w:rsidP="00D10E3C">
      <w:pPr>
        <w:pStyle w:val="libFootnote0"/>
        <w:rPr>
          <w:lang w:bidi="fa-IR"/>
        </w:rPr>
      </w:pPr>
      <w:r>
        <w:rPr>
          <w:rtl/>
          <w:lang w:bidi="fa-IR"/>
        </w:rPr>
        <w:t xml:space="preserve">ويؤيّد ذلك أنّ أبا عليّ الأشعري ، وهو أحمد بن إدريس ، توفّي سنة ستّ وثلاثمائة ، ومحمّد بن سنان مات سنة عشر ومائتين ، وأنّ عمدة رواة محمّد بن سنان - وهم أحمد بن محمّد بن عيسى ، وأحمد بن محمّد بن خالد ، ومحمّد بن خالد البرقي والحسين بن سعيد - إمّا في طبقة مشايخ أبي عليّ الأشعري ، كأحمد بن محمّد بن عيسى ، أو في طبقة مشايخ مشايخه ، كالحسين بن سعيد ومحمّد بن خالد البرقي. راجع : </w:t>
      </w:r>
      <w:r w:rsidRPr="003A7143">
        <w:rPr>
          <w:rStyle w:val="libFootnoteBoldChar"/>
          <w:rtl/>
        </w:rPr>
        <w:t>رجال النجاشي</w:t>
      </w:r>
      <w:r>
        <w:rPr>
          <w:rtl/>
          <w:lang w:bidi="fa-IR"/>
        </w:rPr>
        <w:t xml:space="preserve"> ، ص 92 ، الرقم 228 ؛ وص 328 ، الرقم 888 ؛ </w:t>
      </w:r>
      <w:r w:rsidRPr="003A7143">
        <w:rPr>
          <w:rStyle w:val="libFootnoteBoldChar"/>
          <w:rtl/>
        </w:rPr>
        <w:t>الفهرست للطوسي</w:t>
      </w:r>
      <w:r>
        <w:rPr>
          <w:rtl/>
          <w:lang w:bidi="fa-IR"/>
        </w:rPr>
        <w:t xml:space="preserve"> ، ص 64 ، الرقم 81.</w:t>
      </w:r>
    </w:p>
    <w:tbl>
      <w:tblPr>
        <w:tblStyle w:val="TableGrid"/>
        <w:bidiVisual/>
        <w:tblW w:w="0" w:type="auto"/>
        <w:tblLook w:val="04A0" w:firstRow="1" w:lastRow="0" w:firstColumn="1" w:lastColumn="0" w:noHBand="0" w:noVBand="1"/>
      </w:tblPr>
      <w:tblGrid>
        <w:gridCol w:w="4006"/>
        <w:gridCol w:w="4006"/>
      </w:tblGrid>
      <w:tr w:rsidR="007A0703" w:rsidTr="007A0703">
        <w:tc>
          <w:tcPr>
            <w:tcW w:w="4006" w:type="dxa"/>
          </w:tcPr>
          <w:p w:rsidR="007A0703" w:rsidRDefault="007A0703" w:rsidP="00E378DD">
            <w:pPr>
              <w:pStyle w:val="libFootnote0"/>
              <w:rPr>
                <w:rtl/>
                <w:lang w:bidi="fa-IR"/>
              </w:rPr>
            </w:pPr>
            <w:r>
              <w:rPr>
                <w:rtl/>
                <w:lang w:bidi="fa-IR"/>
              </w:rPr>
              <w:t xml:space="preserve">(2). في « </w:t>
            </w:r>
            <w:r w:rsidRPr="007A0703">
              <w:rPr>
                <w:rtl/>
              </w:rPr>
              <w:t>بف » والوافي</w:t>
            </w:r>
            <w:r>
              <w:rPr>
                <w:rtl/>
                <w:lang w:bidi="fa-IR"/>
              </w:rPr>
              <w:t xml:space="preserve"> : « يرفعه ».</w:t>
            </w:r>
          </w:p>
        </w:tc>
        <w:tc>
          <w:tcPr>
            <w:tcW w:w="4006" w:type="dxa"/>
          </w:tcPr>
          <w:p w:rsidR="007A0703" w:rsidRDefault="007A0703" w:rsidP="00E378DD">
            <w:pPr>
              <w:pStyle w:val="libFootnote0"/>
              <w:rPr>
                <w:rtl/>
                <w:lang w:bidi="fa-IR"/>
              </w:rPr>
            </w:pPr>
            <w:r>
              <w:rPr>
                <w:rtl/>
                <w:lang w:bidi="fa-IR"/>
              </w:rPr>
              <w:t xml:space="preserve">(3). في </w:t>
            </w:r>
            <w:r w:rsidRPr="007A0703">
              <w:rPr>
                <w:rtl/>
              </w:rPr>
              <w:t>الوافي :</w:t>
            </w:r>
            <w:r>
              <w:rPr>
                <w:rtl/>
                <w:lang w:bidi="fa-IR"/>
              </w:rPr>
              <w:t xml:space="preserve"> + « لعليّ </w:t>
            </w:r>
            <w:r w:rsidRPr="0061079A">
              <w:rPr>
                <w:rStyle w:val="libFootnoteAlaemChar"/>
                <w:rtl/>
              </w:rPr>
              <w:t>عليه‌السلام</w:t>
            </w:r>
            <w:r>
              <w:rPr>
                <w:rtl/>
                <w:lang w:bidi="fa-IR"/>
              </w:rPr>
              <w:t xml:space="preserve"> ».</w:t>
            </w:r>
          </w:p>
        </w:tc>
      </w:tr>
      <w:tr w:rsidR="007A0703" w:rsidTr="007A0703">
        <w:tc>
          <w:tcPr>
            <w:tcW w:w="4006" w:type="dxa"/>
          </w:tcPr>
          <w:p w:rsidR="007A0703" w:rsidRDefault="007A0703" w:rsidP="00E378DD">
            <w:pPr>
              <w:pStyle w:val="libFootnote0"/>
              <w:rPr>
                <w:rtl/>
                <w:lang w:bidi="fa-IR"/>
              </w:rPr>
            </w:pPr>
            <w:r>
              <w:rPr>
                <w:rtl/>
                <w:lang w:bidi="fa-IR"/>
              </w:rPr>
              <w:t xml:space="preserve">(4). في حاشية « ى </w:t>
            </w:r>
            <w:r w:rsidRPr="007A0703">
              <w:rPr>
                <w:rtl/>
              </w:rPr>
              <w:t>» والفقيه :</w:t>
            </w:r>
            <w:r>
              <w:rPr>
                <w:rtl/>
                <w:lang w:bidi="fa-IR"/>
              </w:rPr>
              <w:t xml:space="preserve"> « مماتي ».</w:t>
            </w:r>
          </w:p>
        </w:tc>
        <w:tc>
          <w:tcPr>
            <w:tcW w:w="4006" w:type="dxa"/>
          </w:tcPr>
          <w:p w:rsidR="007A0703" w:rsidRDefault="007A0703" w:rsidP="00E378DD">
            <w:pPr>
              <w:pStyle w:val="libFootnote0"/>
              <w:rPr>
                <w:rtl/>
                <w:lang w:bidi="fa-IR"/>
              </w:rPr>
            </w:pPr>
            <w:r>
              <w:rPr>
                <w:rtl/>
                <w:lang w:bidi="fa-IR"/>
              </w:rPr>
              <w:t xml:space="preserve">(5). في حاشية « ى </w:t>
            </w:r>
            <w:r w:rsidRPr="007A0703">
              <w:rPr>
                <w:rtl/>
              </w:rPr>
              <w:t>» والفقيه :</w:t>
            </w:r>
            <w:r>
              <w:rPr>
                <w:rtl/>
                <w:lang w:bidi="fa-IR"/>
              </w:rPr>
              <w:t xml:space="preserve"> « مماتك ».</w:t>
            </w:r>
          </w:p>
        </w:tc>
      </w:tr>
    </w:tbl>
    <w:p w:rsidR="00744A1C" w:rsidRDefault="00E378DD" w:rsidP="00E378DD">
      <w:pPr>
        <w:pStyle w:val="libFootnote0"/>
        <w:rPr>
          <w:lang w:bidi="fa-IR"/>
        </w:rPr>
      </w:pPr>
      <w:r>
        <w:rPr>
          <w:rtl/>
          <w:lang w:bidi="fa-IR"/>
        </w:rPr>
        <w:t>(6).</w:t>
      </w:r>
      <w:r w:rsidR="00744A1C">
        <w:rPr>
          <w:rtl/>
          <w:lang w:bidi="fa-IR"/>
        </w:rPr>
        <w:t xml:space="preserve"> في « بث »</w:t>
      </w:r>
      <w:r w:rsidR="00744A1C" w:rsidRPr="007A0703">
        <w:rPr>
          <w:rtl/>
        </w:rPr>
        <w:t xml:space="preserve"> والفقيه</w:t>
      </w:r>
      <w:r w:rsidR="00744A1C">
        <w:rPr>
          <w:rtl/>
          <w:lang w:bidi="fa-IR"/>
        </w:rPr>
        <w:t xml:space="preserve"> : « مماتهما ».</w:t>
      </w:r>
    </w:p>
    <w:p w:rsidR="00744A1C" w:rsidRDefault="00E378DD" w:rsidP="00ED7650">
      <w:pPr>
        <w:pStyle w:val="libFootnote0"/>
        <w:rPr>
          <w:lang w:bidi="fa-IR"/>
        </w:rPr>
      </w:pPr>
      <w:r>
        <w:rPr>
          <w:rtl/>
          <w:lang w:bidi="fa-IR"/>
        </w:rPr>
        <w:t>(7).</w:t>
      </w:r>
      <w:r w:rsidR="00744A1C">
        <w:rPr>
          <w:rtl/>
          <w:lang w:bidi="fa-IR"/>
        </w:rPr>
        <w:t xml:space="preserve"> </w:t>
      </w:r>
      <w:r w:rsidR="00744A1C" w:rsidRPr="007B299E">
        <w:rPr>
          <w:rStyle w:val="libFootnoteBoldChar"/>
          <w:rtl/>
        </w:rPr>
        <w:t>كامل الزيارات</w:t>
      </w:r>
      <w:r w:rsidR="00744A1C">
        <w:rPr>
          <w:rtl/>
          <w:lang w:bidi="fa-IR"/>
        </w:rPr>
        <w:t xml:space="preserve"> ، ص 11 ، الباب 1 ، ح 3 ، عن أبيه ومحمّد بن يعقوب ، عن أحمد بن إدريس ، عمّن ذكره ، عن محمّد بن سنان. وفي </w:t>
      </w:r>
      <w:r w:rsidR="00744A1C" w:rsidRPr="007B299E">
        <w:rPr>
          <w:rStyle w:val="libFootnoteBoldChar"/>
          <w:rtl/>
        </w:rPr>
        <w:t>كامل الزيارات</w:t>
      </w:r>
      <w:r w:rsidR="00744A1C">
        <w:rPr>
          <w:rtl/>
          <w:lang w:bidi="fa-IR"/>
        </w:rPr>
        <w:t xml:space="preserve"> ، ص 11 ، الباب 1 ، ح 2 و 5 ؛ وص 14 ، الباب 2 ، ح 18 ، بسند آخر عن أبي عبدالله ، عن الحسين بن عليّ </w:t>
      </w:r>
      <w:r w:rsidR="00F112A7" w:rsidRPr="00CE5A92">
        <w:rPr>
          <w:rStyle w:val="libFootnoteAlaemChar"/>
          <w:rtl/>
        </w:rPr>
        <w:t>عليهما‌السلام</w:t>
      </w:r>
      <w:r w:rsidR="00ED17BC" w:rsidRPr="00ED17BC">
        <w:rPr>
          <w:rFonts w:hint="cs"/>
          <w:rtl/>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w:t>
      </w:r>
      <w:r w:rsidR="00744A1C" w:rsidRPr="007B299E">
        <w:rPr>
          <w:rStyle w:val="libFootnoteBoldChar"/>
          <w:rtl/>
        </w:rPr>
        <w:t>كامل الزيارات</w:t>
      </w:r>
      <w:r w:rsidR="00744A1C">
        <w:rPr>
          <w:rtl/>
          <w:lang w:bidi="fa-IR"/>
        </w:rPr>
        <w:t xml:space="preserve"> ، ص 14 ، الباب 10 ، ح 3 ، بسند آخر عن أبي عبدالله ، عن الحسين بن عليّ </w:t>
      </w:r>
      <w:r w:rsidR="00F112A7" w:rsidRPr="00CE5A92">
        <w:rPr>
          <w:rStyle w:val="libFootnoteAlaemChar"/>
          <w:rtl/>
        </w:rPr>
        <w:t>عليهما‌السلام</w:t>
      </w:r>
      <w:r w:rsidR="00ED17BC" w:rsidRPr="00ED17BC">
        <w:rPr>
          <w:rFonts w:hint="cs"/>
          <w:rtl/>
        </w:rPr>
        <w:t xml:space="preserve"> </w:t>
      </w:r>
      <w:r w:rsidR="00744A1C">
        <w:rPr>
          <w:rtl/>
          <w:lang w:bidi="fa-IR"/>
        </w:rPr>
        <w:t xml:space="preserve">عن رسول الله </w:t>
      </w:r>
      <w:r w:rsidR="00024D6D" w:rsidRPr="00024D6D">
        <w:rPr>
          <w:rStyle w:val="libFootnoteAlaemChar"/>
          <w:rtl/>
        </w:rPr>
        <w:t>صلى‌الله‌عليه‌وآله</w:t>
      </w:r>
      <w:r w:rsidR="00744A1C">
        <w:rPr>
          <w:rtl/>
          <w:lang w:bidi="fa-IR"/>
        </w:rPr>
        <w:t xml:space="preserve"> . وفي </w:t>
      </w:r>
      <w:r w:rsidR="00744A1C" w:rsidRPr="0061079A">
        <w:rPr>
          <w:rStyle w:val="libFootnoteBoldChar"/>
          <w:rtl/>
        </w:rPr>
        <w:t>الكافي</w:t>
      </w:r>
      <w:r w:rsidR="00744A1C">
        <w:rPr>
          <w:rtl/>
          <w:lang w:bidi="fa-IR"/>
        </w:rPr>
        <w:t xml:space="preserve"> ، كتاب الحجّ ، باب زيارة النبيّ </w:t>
      </w:r>
      <w:r w:rsidR="0061079A" w:rsidRPr="0061079A">
        <w:rPr>
          <w:rStyle w:val="libFootnoteAlaemChar"/>
          <w:rtl/>
        </w:rPr>
        <w:t>صلى‌الله‌عليه‌وآله</w:t>
      </w:r>
      <w:r w:rsidR="00D10E3C">
        <w:rPr>
          <w:rtl/>
          <w:lang w:bidi="fa-IR"/>
        </w:rPr>
        <w:t xml:space="preserve"> </w:t>
      </w:r>
      <w:r w:rsidR="00744A1C">
        <w:rPr>
          <w:rtl/>
          <w:lang w:bidi="fa-IR"/>
        </w:rPr>
        <w:t xml:space="preserve">، ح 8092 ؛ </w:t>
      </w:r>
      <w:r w:rsidR="00744A1C" w:rsidRPr="0061079A">
        <w:rPr>
          <w:rStyle w:val="libFootnoteBoldChar"/>
          <w:rtl/>
        </w:rPr>
        <w:t>والتهذيب</w:t>
      </w:r>
      <w:r w:rsidR="00744A1C">
        <w:rPr>
          <w:rtl/>
          <w:lang w:bidi="fa-IR"/>
        </w:rPr>
        <w:t xml:space="preserve"> ، ج 6 ، ص 4 ، ح 7 ، بسند آخر عن الحسين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w:t>
      </w:r>
      <w:r w:rsidR="00744A1C" w:rsidRPr="00C24F9C">
        <w:rPr>
          <w:rStyle w:val="libFootnoteBoldChar"/>
          <w:rtl/>
        </w:rPr>
        <w:t>التهذيب</w:t>
      </w:r>
      <w:r w:rsidR="00744A1C">
        <w:rPr>
          <w:rtl/>
          <w:lang w:bidi="fa-IR"/>
        </w:rPr>
        <w:t xml:space="preserve"> ، ج 6 ، ص 40 ، ح 83 ، بسند آخر عن الحسين بن عليّ </w:t>
      </w:r>
      <w:r w:rsidR="00F112A7" w:rsidRPr="00CE5A92">
        <w:rPr>
          <w:rStyle w:val="libFootnoteAlaemChar"/>
          <w:rtl/>
        </w:rPr>
        <w:t>عليهما‌السلام</w:t>
      </w:r>
      <w:r w:rsidR="00ED7650" w:rsidRPr="00ED7650">
        <w:rPr>
          <w:rFonts w:hint="cs"/>
          <w:rtl/>
        </w:rPr>
        <w:t xml:space="preserve"> </w:t>
      </w:r>
      <w:r w:rsidR="00744A1C">
        <w:rPr>
          <w:rtl/>
          <w:lang w:bidi="fa-IR"/>
        </w:rPr>
        <w:t xml:space="preserve">عن رسول الله </w:t>
      </w:r>
      <w:r w:rsidR="004D054E" w:rsidRPr="00ED7650">
        <w:rPr>
          <w:rStyle w:val="libFootnoteAlaemChar"/>
          <w:rtl/>
        </w:rPr>
        <w:t>صلى‌الله‌عليه‌وآله</w:t>
      </w:r>
      <w:r w:rsidR="00744A1C">
        <w:rPr>
          <w:rtl/>
          <w:lang w:bidi="fa-IR"/>
        </w:rPr>
        <w:t xml:space="preserve"> . وفي الأمالي للصدوق ، ص 59 ، المجلس 14 ، ح 4 ؛ </w:t>
      </w:r>
      <w:r w:rsidR="00744A1C" w:rsidRPr="004D054E">
        <w:rPr>
          <w:rStyle w:val="libFootnoteBoldChar"/>
          <w:rtl/>
        </w:rPr>
        <w:t>وثواب الأعمال</w:t>
      </w:r>
      <w:r w:rsidR="00744A1C">
        <w:rPr>
          <w:rtl/>
          <w:lang w:bidi="fa-IR"/>
        </w:rPr>
        <w:t xml:space="preserve"> ، ص 107 ، ح 1 ، بسند آخر عن أبي عبدالله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w:t>
      </w:r>
      <w:r w:rsidR="00744A1C" w:rsidRPr="003A7143">
        <w:rPr>
          <w:rStyle w:val="libFootnoteBoldChar"/>
          <w:rtl/>
        </w:rPr>
        <w:t>علل الشرائع</w:t>
      </w:r>
      <w:r w:rsidR="00744A1C">
        <w:rPr>
          <w:rtl/>
          <w:lang w:bidi="fa-IR"/>
        </w:rPr>
        <w:t xml:space="preserve"> ، ص 460 ، ح 5 ، بسند آخر عن أبي عبدالله ، عن الحسين بن عليّ </w:t>
      </w:r>
      <w:r w:rsidR="00F112A7" w:rsidRPr="00CE5A92">
        <w:rPr>
          <w:rStyle w:val="libFootnoteAlaemChar"/>
          <w:rtl/>
        </w:rPr>
        <w:t>عليهما‌السلام</w:t>
      </w:r>
      <w:r w:rsidR="00ED7650" w:rsidRPr="00ED7650">
        <w:rPr>
          <w:rFonts w:hint="cs"/>
          <w:rtl/>
        </w:rPr>
        <w:t xml:space="preserve"> </w:t>
      </w:r>
      <w:r w:rsidR="00744A1C">
        <w:rPr>
          <w:rtl/>
          <w:lang w:bidi="fa-IR"/>
        </w:rPr>
        <w:t xml:space="preserve">عن رسول الله </w:t>
      </w:r>
      <w:r w:rsidR="005E465D" w:rsidRPr="00ED7650">
        <w:rPr>
          <w:rStyle w:val="libFootnoteAlaemChar"/>
          <w:rtl/>
        </w:rPr>
        <w:t>صلى‌الله‌عليه‌وآله</w:t>
      </w:r>
      <w:r w:rsidR="00744A1C">
        <w:rPr>
          <w:rtl/>
          <w:lang w:bidi="fa-IR"/>
        </w:rPr>
        <w:t xml:space="preserve">. </w:t>
      </w:r>
      <w:r w:rsidR="00744A1C" w:rsidRPr="00C24F9C">
        <w:rPr>
          <w:rStyle w:val="libFootnoteBoldChar"/>
          <w:rtl/>
        </w:rPr>
        <w:t>الفقيه</w:t>
      </w:r>
      <w:r w:rsidR="00744A1C">
        <w:rPr>
          <w:rtl/>
          <w:lang w:bidi="fa-IR"/>
        </w:rPr>
        <w:t xml:space="preserve"> ، ج 2 ، ص 577 ، ح 3159 ، مرسلاً عن الحسين بن عليّ </w:t>
      </w:r>
      <w:r w:rsidR="00F112A7" w:rsidRPr="00CE5A92">
        <w:rPr>
          <w:rStyle w:val="libFootnoteAlaemChar"/>
          <w:rtl/>
        </w:rPr>
        <w:t>عليهما‌السلام</w:t>
      </w:r>
      <w:r w:rsidR="00ED7650" w:rsidRPr="00ED7650">
        <w:rPr>
          <w:rFonts w:hint="cs"/>
          <w:rtl/>
        </w:rPr>
        <w:t xml:space="preserve"> </w:t>
      </w:r>
      <w:r w:rsidR="00744A1C">
        <w:rPr>
          <w:rtl/>
          <w:lang w:bidi="fa-IR"/>
        </w:rPr>
        <w:t xml:space="preserve">عن رسول الله </w:t>
      </w:r>
      <w:r w:rsidR="00ED7650" w:rsidRPr="00ED7650">
        <w:rPr>
          <w:rStyle w:val="libFootnoteAlaemChar"/>
          <w:rtl/>
        </w:rPr>
        <w:t>صلى‌الله‌عليه‌وآله</w:t>
      </w:r>
      <w:r w:rsidR="00ED7650">
        <w:rPr>
          <w:rtl/>
          <w:lang w:bidi="fa-IR"/>
        </w:rPr>
        <w:t xml:space="preserve"> ، وفي كلّ المصادر - إل</w:t>
      </w:r>
      <w:r w:rsidR="00ED7650">
        <w:rPr>
          <w:rFonts w:hint="cs"/>
          <w:rtl/>
          <w:lang w:bidi="fa-IR"/>
        </w:rPr>
        <w:t>ّ</w:t>
      </w:r>
      <w:r w:rsidR="00ED7650">
        <w:rPr>
          <w:rtl/>
          <w:lang w:bidi="fa-IR"/>
        </w:rPr>
        <w:t>ا</w:t>
      </w:r>
      <w:r w:rsidR="00744A1C">
        <w:rPr>
          <w:rtl/>
          <w:lang w:bidi="fa-IR"/>
        </w:rPr>
        <w:t xml:space="preserve"> </w:t>
      </w:r>
      <w:r w:rsidR="00744A1C" w:rsidRPr="007B299E">
        <w:rPr>
          <w:rStyle w:val="libFootnoteBoldChar"/>
          <w:rtl/>
        </w:rPr>
        <w:t>كامل الزيارات</w:t>
      </w:r>
      <w:r w:rsidR="00744A1C">
        <w:rPr>
          <w:rtl/>
          <w:lang w:bidi="fa-IR"/>
        </w:rPr>
        <w:t xml:space="preserve"> ، ص 11 ، ح 3 - إلى قوله : « ا</w:t>
      </w:r>
      <w:r w:rsidR="00ED7650">
        <w:rPr>
          <w:rFonts w:hint="cs"/>
          <w:rtl/>
          <w:lang w:bidi="fa-IR"/>
        </w:rPr>
        <w:t>ُ</w:t>
      </w:r>
      <w:r w:rsidR="00744A1C">
        <w:rPr>
          <w:rtl/>
          <w:lang w:bidi="fa-IR"/>
        </w:rPr>
        <w:t xml:space="preserve">خلّصه من أهوالها وشدائدها » مع اختلاف يسير. وفي </w:t>
      </w:r>
      <w:r w:rsidR="00744A1C" w:rsidRPr="00C24F9C">
        <w:rPr>
          <w:rStyle w:val="libFootnoteBoldChar"/>
          <w:rtl/>
        </w:rPr>
        <w:t>الفقيه</w:t>
      </w:r>
      <w:r w:rsidR="00744A1C">
        <w:rPr>
          <w:rtl/>
          <w:lang w:bidi="fa-IR"/>
        </w:rPr>
        <w:t xml:space="preserve"> ، ص 578 ، ح 3164 ، مرسلاً عن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 خطاباً لعليّ </w:t>
      </w:r>
      <w:r w:rsidR="0061079A" w:rsidRPr="0061079A">
        <w:rPr>
          <w:rStyle w:val="libFootnoteAlaemChar"/>
          <w:rtl/>
        </w:rPr>
        <w:t>عليه‌السلام</w:t>
      </w:r>
      <w:r w:rsidR="00744A1C">
        <w:rPr>
          <w:rtl/>
          <w:lang w:bidi="fa-IR"/>
        </w:rPr>
        <w:t xml:space="preserve"> . راجع : </w:t>
      </w:r>
      <w:r w:rsidR="00744A1C" w:rsidRPr="00877682">
        <w:rPr>
          <w:rStyle w:val="libFootnoteBoldChar"/>
          <w:rtl/>
        </w:rPr>
        <w:t>قرب الإسناد</w:t>
      </w:r>
      <w:r w:rsidR="00744A1C">
        <w:rPr>
          <w:rtl/>
          <w:lang w:bidi="fa-IR"/>
        </w:rPr>
        <w:t xml:space="preserve"> ، ص 65 ، ح 205 </w:t>
      </w:r>
      <w:r w:rsidR="00A25E11">
        <w:rPr>
          <w:rFonts w:hint="cs"/>
          <w:rtl/>
          <w:lang w:bidi="fa-IR"/>
        </w:rPr>
        <w:t>.</w:t>
      </w:r>
      <w:r w:rsidR="00744A1C" w:rsidRPr="00C24F9C">
        <w:rPr>
          <w:rStyle w:val="libFootnoteBoldChar"/>
          <w:rtl/>
        </w:rPr>
        <w:t>الوافي</w:t>
      </w:r>
      <w:r w:rsidR="00744A1C">
        <w:rPr>
          <w:rtl/>
          <w:lang w:bidi="fa-IR"/>
        </w:rPr>
        <w:t xml:space="preserve"> ، ج 14 ، ص 1328 ، ح 14351 ؛ </w:t>
      </w:r>
      <w:r w:rsidR="00744A1C" w:rsidRPr="00C24F9C">
        <w:rPr>
          <w:rStyle w:val="libFootnoteBoldChar"/>
          <w:rtl/>
        </w:rPr>
        <w:t>الوسائل</w:t>
      </w:r>
      <w:r w:rsidR="00744A1C">
        <w:rPr>
          <w:rtl/>
          <w:lang w:bidi="fa-IR"/>
        </w:rPr>
        <w:t xml:space="preserve"> ، ج 14 ، ص 328 ، ح 19325 ؛ </w:t>
      </w:r>
      <w:r w:rsidR="00744A1C" w:rsidRPr="0061079A">
        <w:rPr>
          <w:rStyle w:val="libFootnoteBoldChar"/>
          <w:rtl/>
        </w:rPr>
        <w:t>البحار</w:t>
      </w:r>
      <w:r w:rsidR="00744A1C">
        <w:rPr>
          <w:rtl/>
          <w:lang w:bidi="fa-IR"/>
        </w:rPr>
        <w:t xml:space="preserve"> ، ج 100 ، ص 123 ، ح 30.</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8165 / 3. مُحَمَّدُ بْنُ يَحْيى ، عَنْ حَمْدَانَ بْنِ سُلَيْمَانَ </w:t>
      </w:r>
      <w:r w:rsidRPr="00D10E3C">
        <w:rPr>
          <w:rStyle w:val="libFootnotenumChar"/>
          <w:rtl/>
        </w:rPr>
        <w:t>(1)</w:t>
      </w:r>
      <w:r>
        <w:rPr>
          <w:rtl/>
          <w:lang w:bidi="fa-IR"/>
        </w:rPr>
        <w:t xml:space="preserve"> ، عَنْ عَبْدِ اللهِ بْنِ مُحَمَّدٍ‌ الْيَمَانِيِّ ، عَنْ مَنِيعِ بْنِ الْحَجَّاجِ ، عَنْ يُونُسَ بْنِ </w:t>
      </w:r>
      <w:r w:rsidRPr="00D10E3C">
        <w:rPr>
          <w:rStyle w:val="libFootnotenumChar"/>
          <w:rtl/>
        </w:rPr>
        <w:t>(2)</w:t>
      </w:r>
      <w:r>
        <w:rPr>
          <w:rtl/>
          <w:lang w:bidi="fa-IR"/>
        </w:rPr>
        <w:t xml:space="preserve"> أَبِي وَهْبٍ الْقَصْرِيِّ </w:t>
      </w:r>
      <w:r w:rsidRPr="00D10E3C">
        <w:rPr>
          <w:rStyle w:val="libFootnotenumChar"/>
          <w:rtl/>
        </w:rPr>
        <w:t>(3)</w:t>
      </w:r>
      <w:r>
        <w:rPr>
          <w:rtl/>
          <w:lang w:bidi="fa-IR"/>
        </w:rPr>
        <w:t xml:space="preserve"> ، قَالَ :</w:t>
      </w:r>
    </w:p>
    <w:p w:rsidR="00744A1C" w:rsidRDefault="00744A1C" w:rsidP="00744A1C">
      <w:pPr>
        <w:pStyle w:val="libNormal"/>
        <w:rPr>
          <w:lang w:bidi="fa-IR"/>
        </w:rPr>
      </w:pPr>
      <w:r>
        <w:rPr>
          <w:rtl/>
          <w:lang w:bidi="fa-IR"/>
        </w:rPr>
        <w:t xml:space="preserve">دَخَلْتُ الْمَدِينَةَ ، فَأَتَيْتُ أَبَا عَبْدِ اللهِ </w:t>
      </w:r>
      <w:r w:rsidR="0061079A" w:rsidRPr="0061079A">
        <w:rPr>
          <w:rStyle w:val="libAlaemChar"/>
          <w:rtl/>
        </w:rPr>
        <w:t>عليه‌السلام</w:t>
      </w:r>
      <w:r w:rsidR="00D10E3C">
        <w:rPr>
          <w:rtl/>
          <w:lang w:bidi="fa-IR"/>
        </w:rPr>
        <w:t xml:space="preserve"> </w:t>
      </w:r>
      <w:r>
        <w:rPr>
          <w:rtl/>
          <w:lang w:bidi="fa-IR"/>
        </w:rPr>
        <w:t xml:space="preserve">، فَقُلْتُ </w:t>
      </w:r>
      <w:r w:rsidRPr="00D10E3C">
        <w:rPr>
          <w:rStyle w:val="libFootnotenumChar"/>
          <w:rtl/>
        </w:rPr>
        <w:t>(4)</w:t>
      </w:r>
      <w:r>
        <w:rPr>
          <w:rtl/>
          <w:lang w:bidi="fa-IR"/>
        </w:rPr>
        <w:t xml:space="preserve"> : جُعِلْتُ فِدَاكَ ، أَتَيْتُكَ وَلَمْ أَزُرْ </w:t>
      </w:r>
      <w:r w:rsidRPr="00D10E3C">
        <w:rPr>
          <w:rStyle w:val="libFootnotenumChar"/>
          <w:rtl/>
        </w:rPr>
        <w:t>(5)</w:t>
      </w:r>
      <w:r>
        <w:rPr>
          <w:rtl/>
          <w:lang w:bidi="fa-IR"/>
        </w:rPr>
        <w:t xml:space="preserve"> أَمِيرَ الْمُؤْمِنِينَ </w:t>
      </w:r>
      <w:r w:rsidR="0061079A" w:rsidRPr="0061079A">
        <w:rPr>
          <w:rStyle w:val="libAlaemChar"/>
          <w:rtl/>
        </w:rPr>
        <w:t>عليه‌السلام</w:t>
      </w:r>
      <w:r>
        <w:rPr>
          <w:rtl/>
          <w:lang w:bidi="fa-IR"/>
        </w:rPr>
        <w:t xml:space="preserve"> .</w:t>
      </w:r>
    </w:p>
    <w:p w:rsidR="00744A1C" w:rsidRDefault="00744A1C" w:rsidP="00744A1C">
      <w:pPr>
        <w:pStyle w:val="libNormal"/>
        <w:rPr>
          <w:lang w:bidi="fa-IR"/>
        </w:rPr>
      </w:pPr>
      <w:r>
        <w:rPr>
          <w:rtl/>
          <w:lang w:bidi="fa-IR"/>
        </w:rPr>
        <w:t xml:space="preserve">قَالَ : « بِئْسَ مَا صَنَعْتَ ، لَوْ لَا أَنَّكَ مِنْ شِيعَتِنَا مَا نَظَرْتُ إِلَيْكَ ، أَلَاتَزُورُ مَنْ يَزُورُهُ اللهُ مَعَ الْمَلَائِكَةِ </w:t>
      </w:r>
      <w:r w:rsidRPr="00D10E3C">
        <w:rPr>
          <w:rStyle w:val="libFootnotenumChar"/>
          <w:rtl/>
        </w:rPr>
        <w:t>(6)</w:t>
      </w:r>
      <w:r>
        <w:rPr>
          <w:rtl/>
          <w:lang w:bidi="fa-IR"/>
        </w:rPr>
        <w:t xml:space="preserve"> ، وَيَزُورُهُ </w:t>
      </w:r>
      <w:r w:rsidRPr="00D10E3C">
        <w:rPr>
          <w:rStyle w:val="libFootnotenumChar"/>
          <w:rtl/>
        </w:rPr>
        <w:t>(7)</w:t>
      </w:r>
      <w:r>
        <w:rPr>
          <w:rtl/>
          <w:lang w:bidi="fa-IR"/>
        </w:rPr>
        <w:t xml:space="preserve"> الْأَنْبِيَاءُ </w:t>
      </w:r>
      <w:r w:rsidRPr="00D10E3C">
        <w:rPr>
          <w:rStyle w:val="libFootnotenumChar"/>
          <w:rtl/>
        </w:rPr>
        <w:t>(8)</w:t>
      </w:r>
      <w:r>
        <w:rPr>
          <w:rtl/>
          <w:lang w:bidi="fa-IR"/>
        </w:rPr>
        <w:t xml:space="preserve"> ، وَيَزُورُهُ </w:t>
      </w:r>
      <w:r w:rsidRPr="00D10E3C">
        <w:rPr>
          <w:rStyle w:val="libFootnotenumChar"/>
          <w:rtl/>
        </w:rPr>
        <w:t>(9)</w:t>
      </w:r>
      <w:r>
        <w:rPr>
          <w:rtl/>
          <w:lang w:bidi="fa-IR"/>
        </w:rPr>
        <w:t xml:space="preserve"> الْمُؤْمِنُونَ؟ ».</w:t>
      </w:r>
    </w:p>
    <w:p w:rsidR="00744A1C" w:rsidRDefault="00744A1C" w:rsidP="00744A1C">
      <w:pPr>
        <w:pStyle w:val="libNormal"/>
        <w:rPr>
          <w:lang w:bidi="fa-IR"/>
        </w:rPr>
      </w:pPr>
      <w:r>
        <w:rPr>
          <w:rtl/>
          <w:lang w:bidi="fa-IR"/>
        </w:rPr>
        <w:t>قُلْتُ : جُعِلْتُ فِدَاكَ ، مَا عَلِمْتُ ذلِكَ.</w:t>
      </w:r>
    </w:p>
    <w:p w:rsidR="00144FA6" w:rsidRDefault="00744A1C" w:rsidP="00744A1C">
      <w:pPr>
        <w:pStyle w:val="libNormal"/>
        <w:rPr>
          <w:rtl/>
          <w:lang w:bidi="fa-IR"/>
        </w:rPr>
      </w:pPr>
      <w:r>
        <w:rPr>
          <w:rtl/>
          <w:lang w:bidi="fa-IR"/>
        </w:rPr>
        <w:t xml:space="preserve">قَالَ : « اعْلَمْ </w:t>
      </w:r>
      <w:r w:rsidRPr="00D10E3C">
        <w:rPr>
          <w:rStyle w:val="libFootnotenumChar"/>
          <w:rtl/>
        </w:rPr>
        <w:t>(10)</w:t>
      </w:r>
      <w:r>
        <w:rPr>
          <w:rtl/>
          <w:lang w:bidi="fa-IR"/>
        </w:rPr>
        <w:t xml:space="preserve"> أَنَّ أَمِيرَ الْمُؤْمِنِينَ </w:t>
      </w:r>
      <w:r w:rsidR="0061079A" w:rsidRPr="0061079A">
        <w:rPr>
          <w:rStyle w:val="libAlaemChar"/>
          <w:rtl/>
        </w:rPr>
        <w:t>عليه‌السلام</w:t>
      </w:r>
      <w:r w:rsidR="00D10E3C">
        <w:rPr>
          <w:rtl/>
          <w:lang w:bidi="fa-IR"/>
        </w:rPr>
        <w:t xml:space="preserve"> </w:t>
      </w:r>
      <w:r>
        <w:rPr>
          <w:rtl/>
          <w:lang w:bidi="fa-IR"/>
        </w:rPr>
        <w:t xml:space="preserve">أَفْضَلُ عِنْدَ اللهِ </w:t>
      </w:r>
      <w:r w:rsidRPr="00D10E3C">
        <w:rPr>
          <w:rStyle w:val="libFootnotenumChar"/>
          <w:rtl/>
        </w:rPr>
        <w:t>(11)</w:t>
      </w:r>
      <w:r>
        <w:rPr>
          <w:rtl/>
          <w:lang w:bidi="fa-IR"/>
        </w:rPr>
        <w:t xml:space="preserve"> مِنَ الْأَئِمَّةِ كُلِّهِمْ ، وَلَهُ ثَوَابُ أَعْمَالِهِمْ ، وَعَلى قَدْرِ أَعْمَالِهِمْ فُضِّلُوا ». </w:t>
      </w:r>
      <w:r w:rsidRPr="00D10E3C">
        <w:rPr>
          <w:rStyle w:val="libFootnotenumChar"/>
          <w:rtl/>
        </w:rPr>
        <w:t>(12)</w:t>
      </w:r>
    </w:p>
    <w:p w:rsidR="00744A1C" w:rsidRDefault="00744A1C" w:rsidP="00D10E3C">
      <w:pPr>
        <w:pStyle w:val="libLine"/>
        <w:rPr>
          <w:lang w:bidi="fa-IR"/>
        </w:rPr>
      </w:pPr>
      <w:r>
        <w:rPr>
          <w:rtl/>
          <w:lang w:bidi="fa-IR"/>
        </w:rPr>
        <w:t>____________________</w:t>
      </w:r>
    </w:p>
    <w:p w:rsidR="00A25E11" w:rsidRDefault="00D10E3C" w:rsidP="00A25E11">
      <w:pPr>
        <w:pStyle w:val="libFootnote0"/>
        <w:rPr>
          <w:rtl/>
          <w:lang w:bidi="fa-IR"/>
        </w:rPr>
      </w:pPr>
      <w:r>
        <w:rPr>
          <w:rtl/>
          <w:lang w:bidi="fa-IR"/>
        </w:rPr>
        <w:t>(1).</w:t>
      </w:r>
      <w:r w:rsidR="00744A1C">
        <w:rPr>
          <w:rtl/>
          <w:lang w:bidi="fa-IR"/>
        </w:rPr>
        <w:t xml:space="preserve"> في « ى ، بث ، بح ، بس ، جد » و</w:t>
      </w:r>
      <w:r w:rsidR="00744A1C" w:rsidRPr="00C24F9C">
        <w:rPr>
          <w:rStyle w:val="libFootnoteBoldChar"/>
          <w:rtl/>
        </w:rPr>
        <w:t>الوسائل</w:t>
      </w:r>
      <w:r w:rsidR="00744A1C">
        <w:rPr>
          <w:rtl/>
          <w:lang w:bidi="fa-IR"/>
        </w:rPr>
        <w:t xml:space="preserve"> : « عثمان ». وهو سهو ؛ فإنّ حمدان هذا ، هو حمدان بن سليمان النيسابوري ، روى محمّد بن يحيى كتابه. راجع : </w:t>
      </w:r>
      <w:r w:rsidR="00744A1C" w:rsidRPr="003A7143">
        <w:rPr>
          <w:rStyle w:val="libFootnoteBoldChar"/>
          <w:rtl/>
        </w:rPr>
        <w:t>رجال النجاشي</w:t>
      </w:r>
      <w:r w:rsidR="00744A1C">
        <w:rPr>
          <w:rtl/>
          <w:lang w:bidi="fa-IR"/>
        </w:rPr>
        <w:t xml:space="preserve"> ، ص 138 ، الرقم 357 ؛ </w:t>
      </w:r>
      <w:r w:rsidR="00744A1C" w:rsidRPr="003A7143">
        <w:rPr>
          <w:rStyle w:val="libFootnoteBoldChar"/>
          <w:rtl/>
        </w:rPr>
        <w:t>الفهرست للطوسي</w:t>
      </w:r>
      <w:r w:rsidR="00744A1C">
        <w:rPr>
          <w:rtl/>
          <w:lang w:bidi="fa-IR"/>
        </w:rPr>
        <w:t xml:space="preserve"> ، ص 163 ، الرقم 250.</w:t>
      </w:r>
    </w:p>
    <w:p w:rsidR="00744A1C" w:rsidRDefault="00744A1C" w:rsidP="00A25E11">
      <w:pPr>
        <w:pStyle w:val="libFootnote0"/>
        <w:rPr>
          <w:lang w:bidi="fa-IR"/>
        </w:rPr>
      </w:pPr>
      <w:r>
        <w:rPr>
          <w:rtl/>
          <w:lang w:bidi="fa-IR"/>
        </w:rPr>
        <w:t>و</w:t>
      </w:r>
      <w:r w:rsidR="00A25E11">
        <w:rPr>
          <w:rFonts w:hint="cs"/>
          <w:rtl/>
          <w:lang w:bidi="fa-IR"/>
        </w:rPr>
        <w:t xml:space="preserve"> </w:t>
      </w:r>
      <w:r>
        <w:rPr>
          <w:rtl/>
          <w:lang w:bidi="fa-IR"/>
        </w:rPr>
        <w:t>أمّا حمدان بن عثمان ، فلم نجد له ذكراً في موضع.</w:t>
      </w:r>
    </w:p>
    <w:p w:rsidR="00744A1C" w:rsidRDefault="00E378DD" w:rsidP="00E378DD">
      <w:pPr>
        <w:pStyle w:val="libFootnote0"/>
        <w:rPr>
          <w:lang w:bidi="fa-IR"/>
        </w:rPr>
      </w:pPr>
      <w:r>
        <w:rPr>
          <w:rtl/>
          <w:lang w:bidi="fa-IR"/>
        </w:rPr>
        <w:t>(2).</w:t>
      </w:r>
      <w:r w:rsidR="00744A1C">
        <w:rPr>
          <w:rtl/>
          <w:lang w:bidi="fa-IR"/>
        </w:rPr>
        <w:t xml:space="preserve"> </w:t>
      </w:r>
      <w:r w:rsidR="00744A1C" w:rsidRPr="00A25E11">
        <w:rPr>
          <w:rtl/>
        </w:rPr>
        <w:t>في كامل الزيارات</w:t>
      </w:r>
      <w:r w:rsidR="00744A1C">
        <w:rPr>
          <w:rtl/>
          <w:lang w:bidi="fa-IR"/>
        </w:rPr>
        <w:t xml:space="preserve"> والمزار : « عن ». وورد الخبر في </w:t>
      </w:r>
      <w:r w:rsidR="00744A1C" w:rsidRPr="00C24F9C">
        <w:rPr>
          <w:rStyle w:val="libFootnoteBoldChar"/>
          <w:rtl/>
        </w:rPr>
        <w:t>التهذيب</w:t>
      </w:r>
      <w:r w:rsidR="00744A1C">
        <w:rPr>
          <w:rtl/>
          <w:lang w:bidi="fa-IR"/>
        </w:rPr>
        <w:t xml:space="preserve"> ، ج 6 ، ص 20 ، ح 45 ، عن محمّد بن يحيى العطّار عن حمدان بن سليمان النيسابوري عن عبد الله بن محمّد اليماني عن منيع بن الحجّاج عن يونس عن أبي وهب القصري ، وهو الظاهر ؛ فقد روى منيع بن الحجّاج عن يونس بن عبد الرحمن في بعض الأسناد. انظر على سبيل المثال : </w:t>
      </w:r>
      <w:r w:rsidR="00744A1C" w:rsidRPr="00C24F9C">
        <w:rPr>
          <w:rStyle w:val="libFootnoteBoldChar"/>
          <w:rtl/>
        </w:rPr>
        <w:t>التهذيب</w:t>
      </w:r>
      <w:r w:rsidR="00744A1C">
        <w:rPr>
          <w:rtl/>
          <w:lang w:bidi="fa-IR"/>
        </w:rPr>
        <w:t xml:space="preserve"> ، ج 6 ، ص 44 ، ح 93 ؛ وص 116 ، ح 205.</w:t>
      </w:r>
    </w:p>
    <w:tbl>
      <w:tblPr>
        <w:tblStyle w:val="TableGrid"/>
        <w:bidiVisual/>
        <w:tblW w:w="0" w:type="auto"/>
        <w:tblLook w:val="04A0" w:firstRow="1" w:lastRow="0" w:firstColumn="1" w:lastColumn="0" w:noHBand="0" w:noVBand="1"/>
      </w:tblPr>
      <w:tblGrid>
        <w:gridCol w:w="4006"/>
        <w:gridCol w:w="4006"/>
      </w:tblGrid>
      <w:tr w:rsidR="00A25E11" w:rsidTr="00A25E11">
        <w:tc>
          <w:tcPr>
            <w:tcW w:w="4006" w:type="dxa"/>
          </w:tcPr>
          <w:p w:rsidR="00A25E11" w:rsidRDefault="00A25E11" w:rsidP="00E378DD">
            <w:pPr>
              <w:pStyle w:val="libFootnote0"/>
              <w:rPr>
                <w:rtl/>
                <w:lang w:bidi="fa-IR"/>
              </w:rPr>
            </w:pPr>
            <w:r>
              <w:rPr>
                <w:rtl/>
                <w:lang w:bidi="fa-IR"/>
              </w:rPr>
              <w:t xml:space="preserve">(3). في </w:t>
            </w:r>
            <w:r w:rsidRPr="00A25E11">
              <w:rPr>
                <w:rtl/>
              </w:rPr>
              <w:t>كامل الزيارات</w:t>
            </w:r>
            <w:r>
              <w:rPr>
                <w:rtl/>
                <w:lang w:bidi="fa-IR"/>
              </w:rPr>
              <w:t xml:space="preserve"> : « البصري ».</w:t>
            </w:r>
          </w:p>
        </w:tc>
        <w:tc>
          <w:tcPr>
            <w:tcW w:w="4006" w:type="dxa"/>
          </w:tcPr>
          <w:p w:rsidR="00A25E11" w:rsidRDefault="00A25E11" w:rsidP="00E378DD">
            <w:pPr>
              <w:pStyle w:val="libFootnote0"/>
              <w:rPr>
                <w:rtl/>
                <w:lang w:bidi="fa-IR"/>
              </w:rPr>
            </w:pPr>
            <w:r>
              <w:rPr>
                <w:rtl/>
                <w:lang w:bidi="fa-IR"/>
              </w:rPr>
              <w:t xml:space="preserve">(4). في </w:t>
            </w:r>
            <w:r w:rsidRPr="00A25E11">
              <w:rPr>
                <w:rtl/>
              </w:rPr>
              <w:t>الوافي والتهذيب : +</w:t>
            </w:r>
            <w:r>
              <w:rPr>
                <w:rtl/>
                <w:lang w:bidi="fa-IR"/>
              </w:rPr>
              <w:t xml:space="preserve"> « له ».</w:t>
            </w:r>
          </w:p>
        </w:tc>
      </w:tr>
    </w:tbl>
    <w:p w:rsidR="00744A1C" w:rsidRDefault="00E378DD" w:rsidP="00E378DD">
      <w:pPr>
        <w:pStyle w:val="libFootnote0"/>
        <w:rPr>
          <w:lang w:bidi="fa-IR"/>
        </w:rPr>
      </w:pPr>
      <w:r>
        <w:rPr>
          <w:rtl/>
          <w:lang w:bidi="fa-IR"/>
        </w:rPr>
        <w:t>(5).</w:t>
      </w:r>
      <w:r w:rsidR="00744A1C">
        <w:rPr>
          <w:rtl/>
          <w:lang w:bidi="fa-IR"/>
        </w:rPr>
        <w:t xml:space="preserve"> في </w:t>
      </w:r>
      <w:r w:rsidR="00744A1C" w:rsidRPr="00A25E11">
        <w:rPr>
          <w:rtl/>
        </w:rPr>
        <w:t xml:space="preserve">الوافي والتهذيب وكامل الزيارات </w:t>
      </w:r>
      <w:r w:rsidR="00744A1C">
        <w:rPr>
          <w:rtl/>
          <w:lang w:bidi="fa-IR"/>
        </w:rPr>
        <w:t>والمزار : + « قبر ».</w:t>
      </w:r>
    </w:p>
    <w:p w:rsidR="00744A1C" w:rsidRDefault="00E378DD" w:rsidP="00E378DD">
      <w:pPr>
        <w:pStyle w:val="libFootnote0"/>
        <w:rPr>
          <w:lang w:bidi="fa-IR"/>
        </w:rPr>
      </w:pPr>
      <w:r>
        <w:rPr>
          <w:rtl/>
          <w:lang w:bidi="fa-IR"/>
        </w:rPr>
        <w:t>(6).</w:t>
      </w:r>
      <w:r w:rsidR="00744A1C">
        <w:rPr>
          <w:rtl/>
          <w:lang w:bidi="fa-IR"/>
        </w:rPr>
        <w:t xml:space="preserve"> في « بس » : « ملائكته ».</w:t>
      </w:r>
    </w:p>
    <w:p w:rsidR="00744A1C" w:rsidRDefault="00E378DD" w:rsidP="00E378DD">
      <w:pPr>
        <w:pStyle w:val="libFootnote0"/>
        <w:rPr>
          <w:lang w:bidi="fa-IR"/>
        </w:rPr>
      </w:pPr>
      <w:r>
        <w:rPr>
          <w:rtl/>
          <w:lang w:bidi="fa-IR"/>
        </w:rPr>
        <w:t>(7).</w:t>
      </w:r>
      <w:r w:rsidR="00744A1C">
        <w:rPr>
          <w:rtl/>
          <w:lang w:bidi="fa-IR"/>
        </w:rPr>
        <w:t xml:space="preserve"> في « بث ، بح ، بخ ، بس ، بف ، جن » والمزار : « وتزوره ». وفي « جد » بالتاء والياء معاً.</w:t>
      </w:r>
    </w:p>
    <w:p w:rsidR="00744A1C" w:rsidRDefault="00E378DD" w:rsidP="00E378DD">
      <w:pPr>
        <w:pStyle w:val="libFootnote0"/>
        <w:rPr>
          <w:lang w:bidi="fa-IR"/>
        </w:rPr>
      </w:pPr>
      <w:r>
        <w:rPr>
          <w:rtl/>
          <w:lang w:bidi="fa-IR"/>
        </w:rPr>
        <w:t>(8).</w:t>
      </w:r>
      <w:r w:rsidR="00744A1C">
        <w:rPr>
          <w:rtl/>
          <w:lang w:bidi="fa-IR"/>
        </w:rPr>
        <w:t xml:space="preserve"> في </w:t>
      </w:r>
      <w:r w:rsidR="00744A1C" w:rsidRPr="007B299E">
        <w:rPr>
          <w:rStyle w:val="libFootnoteBoldChar"/>
          <w:rtl/>
        </w:rPr>
        <w:t>كامل الزيارات</w:t>
      </w:r>
      <w:r w:rsidR="00744A1C">
        <w:rPr>
          <w:rtl/>
          <w:lang w:bidi="fa-IR"/>
        </w:rPr>
        <w:t xml:space="preserve"> : + « مع المؤمنين ».</w:t>
      </w:r>
    </w:p>
    <w:p w:rsidR="00744A1C" w:rsidRDefault="00E378DD" w:rsidP="00E378DD">
      <w:pPr>
        <w:pStyle w:val="libFootnote0"/>
        <w:rPr>
          <w:lang w:bidi="fa-IR"/>
        </w:rPr>
      </w:pPr>
      <w:r>
        <w:rPr>
          <w:rtl/>
          <w:lang w:bidi="fa-IR"/>
        </w:rPr>
        <w:t>(9).</w:t>
      </w:r>
      <w:r w:rsidR="00744A1C">
        <w:rPr>
          <w:rtl/>
          <w:lang w:bidi="fa-IR"/>
        </w:rPr>
        <w:t xml:space="preserve"> في « بخ ، بس ، جن » : « وتزوره ». وفي « جد » بالتاء والياء معاً.</w:t>
      </w:r>
    </w:p>
    <w:p w:rsidR="00744A1C" w:rsidRDefault="00E378DD" w:rsidP="00E378DD">
      <w:pPr>
        <w:pStyle w:val="libFootnote0"/>
        <w:rPr>
          <w:lang w:bidi="fa-IR"/>
        </w:rPr>
      </w:pPr>
      <w:r>
        <w:rPr>
          <w:rtl/>
          <w:lang w:bidi="fa-IR"/>
        </w:rPr>
        <w:t>(10).</w:t>
      </w:r>
      <w:r w:rsidR="00744A1C">
        <w:rPr>
          <w:rtl/>
          <w:lang w:bidi="fa-IR"/>
        </w:rPr>
        <w:t xml:space="preserve"> في </w:t>
      </w:r>
      <w:r w:rsidR="00744A1C" w:rsidRPr="00A25E11">
        <w:rPr>
          <w:rtl/>
        </w:rPr>
        <w:t>الوافي والتهذيب وكامل الزيارات</w:t>
      </w:r>
      <w:r w:rsidR="00744A1C">
        <w:rPr>
          <w:rtl/>
          <w:lang w:bidi="fa-IR"/>
        </w:rPr>
        <w:t xml:space="preserve"> والمزار : « فاعلم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عند الله أفضل ».</w:t>
      </w:r>
    </w:p>
    <w:p w:rsidR="00144FA6" w:rsidRDefault="00E378DD" w:rsidP="00E378DD">
      <w:pPr>
        <w:pStyle w:val="libFootnote0"/>
        <w:rPr>
          <w:rtl/>
          <w:lang w:bidi="fa-IR"/>
        </w:rPr>
      </w:pPr>
      <w:r>
        <w:rPr>
          <w:rtl/>
          <w:lang w:bidi="fa-IR"/>
        </w:rPr>
        <w:t>(12).</w:t>
      </w:r>
      <w:r w:rsidR="00744A1C">
        <w:rPr>
          <w:rtl/>
          <w:lang w:bidi="fa-IR"/>
        </w:rPr>
        <w:t xml:space="preserve"> </w:t>
      </w:r>
      <w:r w:rsidR="00744A1C" w:rsidRPr="007B299E">
        <w:rPr>
          <w:rStyle w:val="libFootnoteBoldChar"/>
          <w:rtl/>
        </w:rPr>
        <w:t>كامل الزيارات</w:t>
      </w:r>
      <w:r w:rsidR="00744A1C">
        <w:rPr>
          <w:rtl/>
          <w:lang w:bidi="fa-IR"/>
        </w:rPr>
        <w:t xml:space="preserve"> ، ص 38 ، الباب 10 ، ح 1 ، عن أبيه ومحمّد بن يعقوب. وفي </w:t>
      </w:r>
      <w:r w:rsidR="00744A1C" w:rsidRPr="00C24F9C">
        <w:rPr>
          <w:rStyle w:val="libFootnoteBoldChar"/>
          <w:rtl/>
        </w:rPr>
        <w:t>التهذيب</w:t>
      </w:r>
      <w:r w:rsidR="00744A1C">
        <w:rPr>
          <w:rtl/>
          <w:lang w:bidi="fa-IR"/>
        </w:rPr>
        <w:t xml:space="preserve"> ، ج 6 ، ص 20 ، ح 45 ؛</w:t>
      </w:r>
      <w:r w:rsidR="00A25E11">
        <w:rPr>
          <w:rFonts w:hint="cs"/>
          <w:rtl/>
          <w:lang w:bidi="fa-IR"/>
        </w:rPr>
        <w:t>=</w:t>
      </w:r>
    </w:p>
    <w:p w:rsidR="00150943" w:rsidRDefault="00150943" w:rsidP="00D10E3C">
      <w:pPr>
        <w:pStyle w:val="libNormal"/>
        <w:rPr>
          <w:rtl/>
          <w:lang w:bidi="fa-IR"/>
        </w:rPr>
      </w:pPr>
      <w:r>
        <w:rPr>
          <w:rtl/>
          <w:lang w:bidi="fa-IR"/>
        </w:rPr>
        <w:br w:type="page"/>
      </w:r>
    </w:p>
    <w:p w:rsidR="00144FA6" w:rsidRDefault="00744A1C" w:rsidP="00FD66CB">
      <w:pPr>
        <w:pStyle w:val="Heading2Center"/>
        <w:rPr>
          <w:rtl/>
          <w:lang w:bidi="fa-IR"/>
        </w:rPr>
      </w:pPr>
      <w:bookmarkStart w:id="80" w:name="_Toc49261378"/>
      <w:r>
        <w:rPr>
          <w:rtl/>
          <w:lang w:bidi="fa-IR"/>
        </w:rPr>
        <w:lastRenderedPageBreak/>
        <w:t xml:space="preserve">232 - بَابُ فَضْلِ زِيَارَةِ أَبِي عَبْدِ اللهِ الْحُسَيْنِ </w:t>
      </w:r>
      <w:r w:rsidR="0061079A" w:rsidRPr="0061079A">
        <w:rPr>
          <w:rStyle w:val="libAlaemChar"/>
          <w:rtl/>
        </w:rPr>
        <w:t>عليه‌السلام</w:t>
      </w:r>
      <w:bookmarkEnd w:id="80"/>
    </w:p>
    <w:p w:rsidR="00144FA6" w:rsidRDefault="00744A1C" w:rsidP="00744A1C">
      <w:pPr>
        <w:pStyle w:val="libNormal"/>
        <w:rPr>
          <w:rtl/>
          <w:lang w:bidi="fa-IR"/>
        </w:rPr>
      </w:pPr>
      <w:r>
        <w:rPr>
          <w:rtl/>
          <w:lang w:bidi="fa-IR"/>
        </w:rPr>
        <w:t>8166 / 1. مُحَمَّدُ بْنُ يَحْيى ، عَنْ مُحَمَّدِ بْنِ الْحُسَيْنِ ، عَنْ مُحَمَّدِ بْنِ إِسْمَاعِيلَ ، عَنْ صَالِحِ بْنِ عُقْبَةَ ، عَنْ بَشِيرٍ الدَّهَّانِ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رُبَّمَا فَاتَنِي الْحَجُّ ، فَأُعَرِّفُ </w:t>
      </w:r>
      <w:r w:rsidRPr="00D10E3C">
        <w:rPr>
          <w:rStyle w:val="libFootnotenumChar"/>
          <w:rtl/>
        </w:rPr>
        <w:t>(1)</w:t>
      </w:r>
      <w:r>
        <w:rPr>
          <w:rtl/>
          <w:lang w:bidi="fa-IR"/>
        </w:rPr>
        <w:t xml:space="preserve"> عِنْدَ قَبْرِ الْحُسَيْنِ </w:t>
      </w:r>
      <w:r w:rsidR="0061079A" w:rsidRPr="0061079A">
        <w:rPr>
          <w:rStyle w:val="libAlaemChar"/>
          <w:rtl/>
        </w:rPr>
        <w:t>عليه‌السلام</w:t>
      </w:r>
      <w:r w:rsidR="00D10E3C">
        <w:rPr>
          <w:rtl/>
          <w:lang w:bidi="fa-IR"/>
        </w:rPr>
        <w:t xml:space="preserve"> </w:t>
      </w:r>
      <w:r w:rsidRPr="00D10E3C">
        <w:rPr>
          <w:rStyle w:val="libFootnotenumChar"/>
          <w:rtl/>
        </w:rPr>
        <w:t>(2)</w:t>
      </w:r>
    </w:p>
    <w:p w:rsidR="00744A1C" w:rsidRDefault="00744A1C" w:rsidP="00744A1C">
      <w:pPr>
        <w:pStyle w:val="libNormal"/>
        <w:rPr>
          <w:lang w:bidi="fa-IR"/>
        </w:rPr>
      </w:pPr>
      <w:r>
        <w:rPr>
          <w:rtl/>
          <w:lang w:bidi="fa-IR"/>
        </w:rPr>
        <w:t xml:space="preserve">فَقَالَ </w:t>
      </w:r>
      <w:r w:rsidRPr="00D10E3C">
        <w:rPr>
          <w:rStyle w:val="libFootnotenumChar"/>
          <w:rtl/>
        </w:rPr>
        <w:t>(3)</w:t>
      </w:r>
      <w:r>
        <w:rPr>
          <w:rtl/>
          <w:lang w:bidi="fa-IR"/>
        </w:rPr>
        <w:t xml:space="preserve"> : « أَحْسَنْتَ يَا بَشِيرُ ، أَيُّمَا مُؤْمِنٍ أَتى قَبْرَ الْحُسَيْنِ </w:t>
      </w:r>
      <w:r w:rsidR="0061079A" w:rsidRPr="0061079A">
        <w:rPr>
          <w:rStyle w:val="libAlaemChar"/>
          <w:rtl/>
        </w:rPr>
        <w:t>عليه‌السلام</w:t>
      </w:r>
      <w:r w:rsidR="00D10E3C">
        <w:rPr>
          <w:rtl/>
          <w:lang w:bidi="fa-IR"/>
        </w:rPr>
        <w:t xml:space="preserve"> </w:t>
      </w:r>
      <w:r>
        <w:rPr>
          <w:rtl/>
          <w:lang w:bidi="fa-IR"/>
        </w:rPr>
        <w:t xml:space="preserve">عَارِفاً بِحَقِّهِ فِي </w:t>
      </w:r>
      <w:r w:rsidRPr="00D10E3C">
        <w:rPr>
          <w:rStyle w:val="libFootnotenumChar"/>
          <w:rtl/>
        </w:rPr>
        <w:t>(4)</w:t>
      </w:r>
      <w:r>
        <w:rPr>
          <w:rtl/>
          <w:lang w:bidi="fa-IR"/>
        </w:rPr>
        <w:t xml:space="preserve"> غَيْرِ يَوْمِ عِيدٍ </w:t>
      </w:r>
      <w:r w:rsidRPr="00D10E3C">
        <w:rPr>
          <w:rStyle w:val="libFootnotenumChar"/>
          <w:rtl/>
        </w:rPr>
        <w:t>(5)</w:t>
      </w:r>
      <w:r>
        <w:rPr>
          <w:rtl/>
          <w:lang w:bidi="fa-IR"/>
        </w:rPr>
        <w:t xml:space="preserve"> ، كَتَبَ اللهُ لَهُ عِشْرِينَ حَجَّةً وَعِشْرِينَ عُمْرَةً مَبْرُورَاتٍ مَقْبُولَاتٍ ، وَعِشْرِينَ حَجَّةً وَعُمْرَةً </w:t>
      </w:r>
      <w:r w:rsidRPr="00D10E3C">
        <w:rPr>
          <w:rStyle w:val="libFootnotenumChar"/>
          <w:rtl/>
        </w:rPr>
        <w:t>(6)</w:t>
      </w:r>
      <w:r>
        <w:rPr>
          <w:rtl/>
          <w:lang w:bidi="fa-IR"/>
        </w:rPr>
        <w:t xml:space="preserve"> مَعَ نَبِيٍّ مُرْسَلٍ ، أَوْ إِمَامٍ </w:t>
      </w:r>
      <w:r w:rsidRPr="00D10E3C">
        <w:rPr>
          <w:rStyle w:val="libFootnotenumChar"/>
          <w:rtl/>
        </w:rPr>
        <w:t>(7)</w:t>
      </w:r>
      <w:r>
        <w:rPr>
          <w:rtl/>
          <w:lang w:bidi="fa-IR"/>
        </w:rPr>
        <w:t xml:space="preserve"> عَدْلٍ </w:t>
      </w:r>
      <w:r w:rsidRPr="00D10E3C">
        <w:rPr>
          <w:rStyle w:val="libFootnotenumChar"/>
          <w:rtl/>
        </w:rPr>
        <w:t>(8)</w:t>
      </w:r>
      <w:r>
        <w:rPr>
          <w:rtl/>
          <w:lang w:bidi="fa-IR"/>
        </w:rPr>
        <w:t xml:space="preserve"> ؛ وَمَنْ أَتَاهُ فِي يَوْمِ عِيدٍ ، كَتَبَ اللهُ لَهُ مِائَةَ </w:t>
      </w:r>
      <w:r w:rsidRPr="00D10E3C">
        <w:rPr>
          <w:rStyle w:val="libFootnotenumChar"/>
          <w:rtl/>
        </w:rPr>
        <w:t>(9)</w:t>
      </w:r>
      <w:r>
        <w:rPr>
          <w:rtl/>
          <w:lang w:bidi="fa-IR"/>
        </w:rPr>
        <w:t xml:space="preserve"> حَجَّةٍ ، وَمِائَةَ عُمْرَةٍ </w:t>
      </w:r>
      <w:r w:rsidRPr="00D10E3C">
        <w:rPr>
          <w:rStyle w:val="libFootnotenumChar"/>
          <w:rtl/>
        </w:rPr>
        <w:t>(10)</w:t>
      </w:r>
      <w:r>
        <w:rPr>
          <w:rtl/>
          <w:lang w:bidi="fa-IR"/>
        </w:rPr>
        <w:t xml:space="preserve"> ، وَمِائَةَ </w:t>
      </w:r>
      <w:r w:rsidRPr="00D10E3C">
        <w:rPr>
          <w:rStyle w:val="libFootnotenumChar"/>
          <w:rtl/>
        </w:rPr>
        <w:t>(11)</w:t>
      </w:r>
      <w:r>
        <w:rPr>
          <w:rtl/>
          <w:lang w:bidi="fa-IR"/>
        </w:rPr>
        <w:t xml:space="preserve"> غَزْوَةٍ </w:t>
      </w:r>
      <w:r w:rsidRPr="00D10E3C">
        <w:rPr>
          <w:rStyle w:val="libFootnotenumChar"/>
          <w:rtl/>
        </w:rPr>
        <w:t>(12)</w:t>
      </w:r>
      <w:r>
        <w:rPr>
          <w:rtl/>
          <w:lang w:bidi="fa-IR"/>
        </w:rPr>
        <w:t xml:space="preserve"> مَعَ نَبِيٍّ مُرْسَلٍ ، أَوْ إِمَامٍ عَدْلٍ </w:t>
      </w:r>
      <w:r w:rsidRPr="00D10E3C">
        <w:rPr>
          <w:rStyle w:val="libFootnotenumChar"/>
          <w:rtl/>
        </w:rPr>
        <w:t>(13)</w:t>
      </w:r>
      <w:r>
        <w:rPr>
          <w:rtl/>
          <w:lang w:bidi="fa-IR"/>
        </w:rPr>
        <w:t xml:space="preserve"> ».</w:t>
      </w:r>
    </w:p>
    <w:p w:rsidR="00744A1C" w:rsidRDefault="00744A1C" w:rsidP="00D10E3C">
      <w:pPr>
        <w:pStyle w:val="libLine"/>
        <w:rPr>
          <w:lang w:bidi="fa-IR"/>
        </w:rPr>
      </w:pPr>
      <w:r>
        <w:rPr>
          <w:rtl/>
          <w:lang w:bidi="fa-IR"/>
        </w:rPr>
        <w:t>____________________</w:t>
      </w:r>
    </w:p>
    <w:p w:rsidR="00744A1C" w:rsidRDefault="00FD66CB" w:rsidP="00D10E3C">
      <w:pPr>
        <w:pStyle w:val="libFootnote0"/>
        <w:rPr>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كتاب المزار ، ص 19 ، ح 2 ، بسندهما عن محمّد بن يحيى. وفي خصائص الأئمّة </w:t>
      </w:r>
      <w:r w:rsidR="00877682" w:rsidRPr="00877682">
        <w:rPr>
          <w:rStyle w:val="libFootnoteAlaemChar"/>
          <w:rtl/>
        </w:rPr>
        <w:t>عليهم‌السلام</w:t>
      </w:r>
      <w:r w:rsidR="00D10E3C">
        <w:rPr>
          <w:rtl/>
          <w:lang w:bidi="fa-IR"/>
        </w:rPr>
        <w:t xml:space="preserve"> </w:t>
      </w:r>
      <w:r w:rsidR="00744A1C">
        <w:rPr>
          <w:rtl/>
          <w:lang w:bidi="fa-IR"/>
        </w:rPr>
        <w:t xml:space="preserve">، ص 40 ؛ والمقنعة ، ص 462 ، مرسلاً ، من قوله : « ألاتزور من يزوره الله » مع اختلاف يسير وزيادة في أوّله </w:t>
      </w:r>
      <w:r w:rsidR="00C6050F">
        <w:rPr>
          <w:rFonts w:hint="cs"/>
          <w:rtl/>
          <w:lang w:bidi="fa-IR"/>
        </w:rPr>
        <w:t>.</w:t>
      </w:r>
      <w:r w:rsidR="00744A1C" w:rsidRPr="00C24F9C">
        <w:rPr>
          <w:rStyle w:val="libFootnoteBoldChar"/>
          <w:rtl/>
        </w:rPr>
        <w:t>الوافي</w:t>
      </w:r>
      <w:r w:rsidR="00744A1C">
        <w:rPr>
          <w:rtl/>
          <w:lang w:bidi="fa-IR"/>
        </w:rPr>
        <w:t xml:space="preserve"> ، ج 14 ، ص 1403 ، ح 14451 ؛ </w:t>
      </w:r>
      <w:r w:rsidR="00744A1C" w:rsidRPr="00C24F9C">
        <w:rPr>
          <w:rStyle w:val="libFootnoteBoldChar"/>
          <w:rtl/>
        </w:rPr>
        <w:t>الوسائل</w:t>
      </w:r>
      <w:r w:rsidR="00744A1C">
        <w:rPr>
          <w:rtl/>
          <w:lang w:bidi="fa-IR"/>
        </w:rPr>
        <w:t xml:space="preserve"> ، ج 14 ، ص 375 ، ذيل ح 19420.</w:t>
      </w:r>
    </w:p>
    <w:p w:rsidR="00744A1C" w:rsidRDefault="00D10E3C" w:rsidP="00D10E3C">
      <w:pPr>
        <w:pStyle w:val="libFootnote0"/>
        <w:rPr>
          <w:lang w:bidi="fa-IR"/>
        </w:rPr>
      </w:pPr>
      <w:r>
        <w:rPr>
          <w:rtl/>
          <w:lang w:bidi="fa-IR"/>
        </w:rPr>
        <w:t>(1).</w:t>
      </w:r>
      <w:r w:rsidR="00744A1C">
        <w:rPr>
          <w:rtl/>
          <w:lang w:bidi="fa-IR"/>
        </w:rPr>
        <w:t xml:space="preserve"> التعريف : الوقوف بعرفات. </w:t>
      </w:r>
      <w:r w:rsidR="00744A1C" w:rsidRPr="00E978C3">
        <w:rPr>
          <w:rStyle w:val="libFootnoteBoldChar"/>
          <w:rtl/>
        </w:rPr>
        <w:t>الصحاح</w:t>
      </w:r>
      <w:r w:rsidR="00744A1C">
        <w:rPr>
          <w:rtl/>
          <w:lang w:bidi="fa-IR"/>
        </w:rPr>
        <w:t xml:space="preserve"> ، ج</w:t>
      </w:r>
      <w:r w:rsidR="00C6050F">
        <w:rPr>
          <w:rtl/>
          <w:lang w:bidi="fa-IR"/>
        </w:rPr>
        <w:t xml:space="preserve"> 3 ، ص 1440 ( عرف ). وقال العل</w:t>
      </w:r>
      <w:r w:rsidR="00C6050F">
        <w:rPr>
          <w:rFonts w:hint="cs"/>
          <w:rtl/>
          <w:lang w:bidi="fa-IR"/>
        </w:rPr>
        <w:t>ّ</w:t>
      </w:r>
      <w:r w:rsidR="00C6050F">
        <w:rPr>
          <w:rtl/>
          <w:lang w:bidi="fa-IR"/>
        </w:rPr>
        <w:t>ا</w:t>
      </w:r>
      <w:r w:rsidR="00744A1C">
        <w:rPr>
          <w:rtl/>
          <w:lang w:bidi="fa-IR"/>
        </w:rPr>
        <w:t xml:space="preserve">مة المجلسي </w:t>
      </w:r>
      <w:r w:rsidR="00877682" w:rsidRPr="00877682">
        <w:rPr>
          <w:rStyle w:val="libFootnoteAlaemChar"/>
          <w:rtl/>
        </w:rPr>
        <w:t>رحمه‌الله</w:t>
      </w:r>
      <w:r w:rsidR="00C6050F">
        <w:rPr>
          <w:rStyle w:val="libFootnoteAlaemChar"/>
          <w:rFonts w:hint="cs"/>
          <w:rtl/>
        </w:rPr>
        <w:t xml:space="preserve"> </w:t>
      </w:r>
      <w:r w:rsidR="00744A1C">
        <w:rPr>
          <w:rtl/>
          <w:lang w:bidi="fa-IR"/>
        </w:rPr>
        <w:t xml:space="preserve">في </w:t>
      </w:r>
      <w:r w:rsidR="00744A1C" w:rsidRPr="00877682">
        <w:rPr>
          <w:rStyle w:val="libFootnoteBoldChar"/>
          <w:rtl/>
        </w:rPr>
        <w:t>مرآة العقول</w:t>
      </w:r>
      <w:r w:rsidR="00744A1C">
        <w:rPr>
          <w:rtl/>
          <w:lang w:bidi="fa-IR"/>
        </w:rPr>
        <w:t xml:space="preserve"> ، ج 18 ، ص 307 : « لعلّه استعمل هنا في الاشتغال بالدعاء والعبادة في</w:t>
      </w:r>
      <w:r w:rsidR="00A6581D">
        <w:rPr>
          <w:rtl/>
          <w:lang w:bidi="fa-IR"/>
        </w:rPr>
        <w:t xml:space="preserve"> عشيّة يوم عرفة في أيّ موضع كان</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ح 101 : + « عارفاً بحقّه ».</w:t>
      </w:r>
    </w:p>
    <w:p w:rsidR="00744A1C" w:rsidRDefault="00E378DD" w:rsidP="00E378DD">
      <w:pPr>
        <w:pStyle w:val="libFootnote0"/>
        <w:rPr>
          <w:lang w:bidi="fa-IR"/>
        </w:rPr>
      </w:pPr>
      <w:r>
        <w:rPr>
          <w:rtl/>
          <w:lang w:bidi="fa-IR"/>
        </w:rPr>
        <w:t>(3).</w:t>
      </w:r>
      <w:r w:rsidR="00744A1C">
        <w:rPr>
          <w:rtl/>
          <w:lang w:bidi="fa-IR"/>
        </w:rPr>
        <w:t xml:space="preserve"> في « بث » </w:t>
      </w:r>
      <w:r w:rsidR="00744A1C" w:rsidRPr="0061079A">
        <w:rPr>
          <w:rStyle w:val="libFootnoteBoldChar"/>
          <w:rtl/>
        </w:rPr>
        <w:t>والتهذيب</w:t>
      </w:r>
      <w:r w:rsidR="00744A1C">
        <w:rPr>
          <w:rtl/>
          <w:lang w:bidi="fa-IR"/>
        </w:rPr>
        <w:t xml:space="preserve"> ، ح 101 و</w:t>
      </w:r>
      <w:r w:rsidR="00744A1C" w:rsidRPr="007B299E">
        <w:rPr>
          <w:rStyle w:val="libFootnoteBoldChar"/>
          <w:rtl/>
        </w:rPr>
        <w:t>كامل الزيارات</w:t>
      </w:r>
      <w:r w:rsidR="00744A1C">
        <w:rPr>
          <w:rtl/>
          <w:lang w:bidi="fa-IR"/>
        </w:rPr>
        <w:t xml:space="preserve"> ، ص 184 : « قال ».</w:t>
      </w:r>
    </w:p>
    <w:p w:rsidR="00744A1C" w:rsidRDefault="00E378DD" w:rsidP="00E378DD">
      <w:pPr>
        <w:pStyle w:val="libFootnote0"/>
        <w:rPr>
          <w:lang w:bidi="fa-IR"/>
        </w:rPr>
      </w:pPr>
      <w:r>
        <w:rPr>
          <w:rtl/>
          <w:lang w:bidi="fa-IR"/>
        </w:rPr>
        <w:t>(4).</w:t>
      </w:r>
      <w:r w:rsidR="00744A1C">
        <w:rPr>
          <w:rtl/>
          <w:lang w:bidi="fa-IR"/>
        </w:rPr>
        <w:t xml:space="preserve"> في « ى » : « من ».</w:t>
      </w:r>
    </w:p>
    <w:p w:rsidR="00744A1C" w:rsidRDefault="00E378DD" w:rsidP="00E378DD">
      <w:pPr>
        <w:pStyle w:val="libFootnote0"/>
        <w:rPr>
          <w:lang w:bidi="fa-IR"/>
        </w:rPr>
      </w:pPr>
      <w:r>
        <w:rPr>
          <w:rtl/>
          <w:lang w:bidi="fa-IR"/>
        </w:rPr>
        <w:t>(5).</w:t>
      </w:r>
      <w:r w:rsidR="00744A1C">
        <w:rPr>
          <w:rtl/>
          <w:lang w:bidi="fa-IR"/>
        </w:rPr>
        <w:t xml:space="preserve"> في « بف » : « العيد ». وفي </w:t>
      </w:r>
      <w:r w:rsidR="00744A1C" w:rsidRPr="00C6050F">
        <w:rPr>
          <w:rtl/>
        </w:rPr>
        <w:t>كامل الزيارات</w:t>
      </w:r>
      <w:r w:rsidR="00744A1C">
        <w:rPr>
          <w:rtl/>
          <w:lang w:bidi="fa-IR"/>
        </w:rPr>
        <w:t xml:space="preserve"> ، ص 184 : + « ولا عرفة ».</w:t>
      </w:r>
    </w:p>
    <w:p w:rsidR="00744A1C" w:rsidRDefault="00E378DD" w:rsidP="00E378DD">
      <w:pPr>
        <w:pStyle w:val="libFootnote0"/>
        <w:rPr>
          <w:lang w:bidi="fa-IR"/>
        </w:rPr>
      </w:pPr>
      <w:r>
        <w:rPr>
          <w:rtl/>
          <w:lang w:bidi="fa-IR"/>
        </w:rPr>
        <w:t>(6).</w:t>
      </w:r>
      <w:r w:rsidR="00744A1C">
        <w:rPr>
          <w:rtl/>
          <w:lang w:bidi="fa-IR"/>
        </w:rPr>
        <w:t xml:space="preserve"> في « بف » </w:t>
      </w:r>
      <w:r w:rsidR="00744A1C" w:rsidRPr="00C6050F">
        <w:rPr>
          <w:rtl/>
        </w:rPr>
        <w:t xml:space="preserve">والوافي والفقيه والتهذيب </w:t>
      </w:r>
      <w:r w:rsidR="00744A1C">
        <w:rPr>
          <w:rtl/>
          <w:lang w:bidi="fa-IR"/>
        </w:rPr>
        <w:t xml:space="preserve">ح 101 </w:t>
      </w:r>
      <w:r w:rsidR="00744A1C" w:rsidRPr="00C6050F">
        <w:rPr>
          <w:rtl/>
        </w:rPr>
        <w:t>وكامل الزيارات ، ص</w:t>
      </w:r>
      <w:r w:rsidR="00744A1C">
        <w:rPr>
          <w:rtl/>
          <w:lang w:bidi="fa-IR"/>
        </w:rPr>
        <w:t xml:space="preserve"> 169 وص 184 والأمالي للصدوق‌والثواب و</w:t>
      </w:r>
      <w:r w:rsidR="00744A1C" w:rsidRPr="000B1C3F">
        <w:rPr>
          <w:rStyle w:val="libFootnoteBoldChar"/>
          <w:rtl/>
        </w:rPr>
        <w:t>الأمالي للطوسي</w:t>
      </w:r>
      <w:r w:rsidR="00744A1C">
        <w:rPr>
          <w:rtl/>
          <w:lang w:bidi="fa-IR"/>
        </w:rPr>
        <w:t xml:space="preserve"> : « غزوة » بدل « حجّة وعمرة ».</w:t>
      </w:r>
    </w:p>
    <w:p w:rsidR="00744A1C" w:rsidRDefault="00E378DD" w:rsidP="00E378DD">
      <w:pPr>
        <w:pStyle w:val="libFootnote0"/>
        <w:rPr>
          <w:lang w:bidi="fa-IR"/>
        </w:rPr>
      </w:pPr>
      <w:r>
        <w:rPr>
          <w:rtl/>
          <w:lang w:bidi="fa-IR"/>
        </w:rPr>
        <w:t>(7).</w:t>
      </w:r>
      <w:r w:rsidR="00744A1C">
        <w:rPr>
          <w:rtl/>
          <w:lang w:bidi="fa-IR"/>
        </w:rPr>
        <w:t xml:space="preserve"> في « ى ، بخ » : « وإمام ».</w:t>
      </w:r>
    </w:p>
    <w:p w:rsidR="00744A1C" w:rsidRDefault="00E378DD" w:rsidP="00E378DD">
      <w:pPr>
        <w:pStyle w:val="libFootnote0"/>
        <w:rPr>
          <w:lang w:bidi="fa-IR"/>
        </w:rPr>
      </w:pPr>
      <w:r>
        <w:rPr>
          <w:rtl/>
          <w:lang w:bidi="fa-IR"/>
        </w:rPr>
        <w:t>(8).</w:t>
      </w:r>
      <w:r w:rsidR="00744A1C">
        <w:rPr>
          <w:rtl/>
          <w:lang w:bidi="fa-IR"/>
        </w:rPr>
        <w:t xml:space="preserve"> في « ى ، جن » وحاشية « جد » و</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والأمالي للصدوق والثواب و</w:t>
      </w:r>
      <w:r w:rsidR="00744A1C" w:rsidRPr="000B1C3F">
        <w:rPr>
          <w:rStyle w:val="libFootnoteBoldChar"/>
          <w:rtl/>
        </w:rPr>
        <w:t>الأمالي للطوسي</w:t>
      </w:r>
      <w:r w:rsidR="00744A1C">
        <w:rPr>
          <w:rtl/>
          <w:lang w:bidi="fa-IR"/>
        </w:rPr>
        <w:t xml:space="preserve"> : « عادل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الفقيه</w:t>
      </w:r>
      <w:r w:rsidR="00744A1C">
        <w:rPr>
          <w:rtl/>
          <w:lang w:bidi="fa-IR"/>
        </w:rPr>
        <w:t xml:space="preserve"> : « ألف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الفقيه</w:t>
      </w:r>
      <w:r w:rsidR="00744A1C">
        <w:rPr>
          <w:rtl/>
          <w:lang w:bidi="fa-IR"/>
        </w:rPr>
        <w:t xml:space="preserve"> و</w:t>
      </w:r>
      <w:r w:rsidR="00744A1C" w:rsidRPr="000B1C3F">
        <w:rPr>
          <w:rStyle w:val="libFootnoteBoldChar"/>
          <w:rtl/>
        </w:rPr>
        <w:t>الأمالي للطوسي</w:t>
      </w:r>
      <w:r w:rsidR="00744A1C">
        <w:rPr>
          <w:rtl/>
          <w:lang w:bidi="fa-IR"/>
        </w:rPr>
        <w:t xml:space="preserve"> : « ألف عمرة مبرورات متقبّلات » بدل « مائة عمرة ».</w:t>
      </w:r>
    </w:p>
    <w:tbl>
      <w:tblPr>
        <w:tblStyle w:val="TableGrid"/>
        <w:bidiVisual/>
        <w:tblW w:w="0" w:type="auto"/>
        <w:tblLook w:val="04A0" w:firstRow="1" w:lastRow="0" w:firstColumn="1" w:lastColumn="0" w:noHBand="0" w:noVBand="1"/>
      </w:tblPr>
      <w:tblGrid>
        <w:gridCol w:w="4006"/>
        <w:gridCol w:w="4006"/>
      </w:tblGrid>
      <w:tr w:rsidR="00C6050F" w:rsidTr="00C6050F">
        <w:tc>
          <w:tcPr>
            <w:tcW w:w="4006" w:type="dxa"/>
          </w:tcPr>
          <w:p w:rsidR="00C6050F" w:rsidRDefault="00C6050F" w:rsidP="00E378DD">
            <w:pPr>
              <w:pStyle w:val="libFootnote0"/>
              <w:rPr>
                <w:rtl/>
                <w:lang w:bidi="fa-IR"/>
              </w:rPr>
            </w:pPr>
            <w:r>
              <w:rPr>
                <w:rtl/>
                <w:lang w:bidi="fa-IR"/>
              </w:rPr>
              <w:t xml:space="preserve">(11). في </w:t>
            </w:r>
            <w:r w:rsidRPr="00C24F9C">
              <w:rPr>
                <w:rStyle w:val="libFootnoteBoldChar"/>
                <w:rtl/>
              </w:rPr>
              <w:t>الفقيه</w:t>
            </w:r>
            <w:r>
              <w:rPr>
                <w:rtl/>
                <w:lang w:bidi="fa-IR"/>
              </w:rPr>
              <w:t xml:space="preserve"> : « وألف ».</w:t>
            </w:r>
          </w:p>
        </w:tc>
        <w:tc>
          <w:tcPr>
            <w:tcW w:w="4006" w:type="dxa"/>
          </w:tcPr>
          <w:p w:rsidR="00C6050F" w:rsidRDefault="00C6050F" w:rsidP="00E378DD">
            <w:pPr>
              <w:pStyle w:val="libFootnote0"/>
              <w:rPr>
                <w:rtl/>
                <w:lang w:bidi="fa-IR"/>
              </w:rPr>
            </w:pPr>
            <w:r>
              <w:rPr>
                <w:rtl/>
                <w:lang w:bidi="fa-IR"/>
              </w:rPr>
              <w:t>(12). في « بس » : « عمرة ».</w:t>
            </w:r>
          </w:p>
        </w:tc>
      </w:tr>
    </w:tbl>
    <w:p w:rsidR="00144FA6" w:rsidRDefault="00E378DD" w:rsidP="00E378DD">
      <w:pPr>
        <w:pStyle w:val="libFootnote0"/>
        <w:rPr>
          <w:rtl/>
          <w:lang w:bidi="fa-IR"/>
        </w:rPr>
      </w:pPr>
      <w:r>
        <w:rPr>
          <w:rtl/>
          <w:lang w:bidi="fa-IR"/>
        </w:rPr>
        <w:t>(13).</w:t>
      </w:r>
      <w:r w:rsidR="00744A1C">
        <w:rPr>
          <w:rtl/>
          <w:lang w:bidi="fa-IR"/>
        </w:rPr>
        <w:t xml:space="preserve"> في </w:t>
      </w:r>
      <w:r w:rsidR="00744A1C" w:rsidRPr="007B299E">
        <w:rPr>
          <w:rStyle w:val="libFootnoteBoldChar"/>
          <w:rtl/>
        </w:rPr>
        <w:t>كامل الزيارات</w:t>
      </w:r>
      <w:r w:rsidR="00744A1C">
        <w:rPr>
          <w:rtl/>
          <w:lang w:bidi="fa-IR"/>
        </w:rPr>
        <w:t xml:space="preserve"> ، ص 169 والأمالي للصدوق والثواب : + « ومن أتاه في يوم عرفة عارفاً بحقّه كتب الله [ في</w:t>
      </w:r>
      <w:r w:rsidR="00ED510E">
        <w:rPr>
          <w:rFonts w:hint="cs"/>
          <w:rtl/>
          <w:lang w:bidi="fa-IR"/>
        </w:rPr>
        <w:t xml:space="preserve">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w:t>
      </w:r>
      <w:r w:rsidRPr="00D10E3C">
        <w:rPr>
          <w:rStyle w:val="libFootnotenumChar"/>
          <w:rtl/>
        </w:rPr>
        <w:t>(1)</w:t>
      </w:r>
      <w:r>
        <w:rPr>
          <w:rtl/>
          <w:lang w:bidi="fa-IR"/>
        </w:rPr>
        <w:t xml:space="preserve"> : فَقُلْتُ </w:t>
      </w:r>
      <w:r w:rsidRPr="00D10E3C">
        <w:rPr>
          <w:rStyle w:val="libFootnotenumChar"/>
          <w:rtl/>
        </w:rPr>
        <w:t>(2)</w:t>
      </w:r>
      <w:r>
        <w:rPr>
          <w:rtl/>
          <w:lang w:bidi="fa-IR"/>
        </w:rPr>
        <w:t xml:space="preserve"> لَهُ </w:t>
      </w:r>
      <w:r w:rsidRPr="00D10E3C">
        <w:rPr>
          <w:rStyle w:val="libFootnotenumChar"/>
          <w:rtl/>
        </w:rPr>
        <w:t>(3)</w:t>
      </w:r>
      <w:r>
        <w:rPr>
          <w:rtl/>
          <w:lang w:bidi="fa-IR"/>
        </w:rPr>
        <w:t xml:space="preserve"> : كَيْفَ </w:t>
      </w:r>
      <w:r w:rsidRPr="00D10E3C">
        <w:rPr>
          <w:rStyle w:val="libFootnotenumChar"/>
          <w:rtl/>
        </w:rPr>
        <w:t>(4)</w:t>
      </w:r>
      <w:r>
        <w:rPr>
          <w:rtl/>
          <w:lang w:bidi="fa-IR"/>
        </w:rPr>
        <w:t xml:space="preserve"> لِي بِمِثْلِ الْمَوْقِفِ </w:t>
      </w:r>
      <w:r w:rsidRPr="00D10E3C">
        <w:rPr>
          <w:rStyle w:val="libFootnotenumChar"/>
          <w:rtl/>
        </w:rPr>
        <w:t>(5)</w:t>
      </w:r>
      <w:r>
        <w:rPr>
          <w:rtl/>
          <w:lang w:bidi="fa-IR"/>
        </w:rPr>
        <w:t>؟</w:t>
      </w:r>
    </w:p>
    <w:p w:rsidR="00144FA6" w:rsidRDefault="00744A1C" w:rsidP="00744A1C">
      <w:pPr>
        <w:pStyle w:val="libNormal"/>
        <w:rPr>
          <w:rtl/>
          <w:lang w:bidi="fa-IR"/>
        </w:rPr>
      </w:pPr>
      <w:r>
        <w:rPr>
          <w:rtl/>
          <w:lang w:bidi="fa-IR"/>
        </w:rPr>
        <w:t xml:space="preserve">قَالَ </w:t>
      </w:r>
      <w:r w:rsidRPr="00D10E3C">
        <w:rPr>
          <w:rStyle w:val="libFootnotenumChar"/>
          <w:rtl/>
        </w:rPr>
        <w:t>(6)</w:t>
      </w:r>
      <w:r>
        <w:rPr>
          <w:rtl/>
          <w:lang w:bidi="fa-IR"/>
        </w:rPr>
        <w:t xml:space="preserve"> : فَنَظَرَ إِلَيَّ </w:t>
      </w:r>
      <w:r w:rsidRPr="00D10E3C">
        <w:rPr>
          <w:rStyle w:val="libFootnotenumChar"/>
          <w:rtl/>
        </w:rPr>
        <w:t>(7)</w:t>
      </w:r>
      <w:r>
        <w:rPr>
          <w:rtl/>
          <w:lang w:bidi="fa-IR"/>
        </w:rPr>
        <w:t xml:space="preserve"> شِبْهَ </w:t>
      </w:r>
      <w:r w:rsidRPr="00D10E3C">
        <w:rPr>
          <w:rStyle w:val="libFootnotenumChar"/>
          <w:rtl/>
        </w:rPr>
        <w:t>(8)</w:t>
      </w:r>
      <w:r>
        <w:rPr>
          <w:rtl/>
          <w:lang w:bidi="fa-IR"/>
        </w:rPr>
        <w:t xml:space="preserve"> الْمُغْضَبِ ، ثُمَّ قَالَ </w:t>
      </w:r>
      <w:r w:rsidRPr="00D10E3C">
        <w:rPr>
          <w:rStyle w:val="libFootnotenumChar"/>
          <w:rtl/>
        </w:rPr>
        <w:t>(9)</w:t>
      </w:r>
      <w:r>
        <w:rPr>
          <w:rtl/>
          <w:lang w:bidi="fa-IR"/>
        </w:rPr>
        <w:t xml:space="preserve"> : « يَا بَشِيرُ ، إِنَّ الْمُؤْمِنَ إِذَا أَتى قَبْرَ الْحُسَيْنِ </w:t>
      </w:r>
      <w:r w:rsidR="0061079A" w:rsidRPr="0061079A">
        <w:rPr>
          <w:rStyle w:val="libAlaemChar"/>
          <w:rtl/>
        </w:rPr>
        <w:t>عليه‌السلام</w:t>
      </w:r>
      <w:r w:rsidR="00D10E3C">
        <w:rPr>
          <w:rtl/>
          <w:lang w:bidi="fa-IR"/>
        </w:rPr>
        <w:t xml:space="preserve"> </w:t>
      </w:r>
      <w:r>
        <w:rPr>
          <w:rtl/>
          <w:lang w:bidi="fa-IR"/>
        </w:rPr>
        <w:t xml:space="preserve">يَوْمَ عَرَفَةَ ، وَاغْتَسَلَ مِنَ الْفُرَاتِ ، ثُمَّ تَوَجَّهَ إِلَيْهِ ، كَتَبَ اللهُ لَهُ بِكُلِّ خُطْوَةٍ </w:t>
      </w:r>
      <w:r w:rsidRPr="00D10E3C">
        <w:rPr>
          <w:rStyle w:val="libFootnotenumChar"/>
          <w:rtl/>
        </w:rPr>
        <w:t>(10)</w:t>
      </w:r>
      <w:r>
        <w:rPr>
          <w:rtl/>
          <w:lang w:bidi="fa-IR"/>
        </w:rPr>
        <w:t xml:space="preserve"> حَجَّةً بِمَنَاس</w:t>
      </w:r>
      <w:r w:rsidR="006206E5">
        <w:rPr>
          <w:rtl/>
          <w:lang w:bidi="fa-IR"/>
        </w:rPr>
        <w:t>ِكِهَا » وَلَا أَعْلَمُهُ إِل</w:t>
      </w:r>
      <w:r w:rsidR="006206E5">
        <w:rPr>
          <w:rFonts w:hint="cs"/>
          <w:rtl/>
          <w:lang w:bidi="fa-IR"/>
        </w:rPr>
        <w:t>َّ</w:t>
      </w:r>
      <w:r w:rsidR="006206E5">
        <w:rPr>
          <w:rtl/>
          <w:lang w:bidi="fa-IR"/>
        </w:rPr>
        <w:t>ا</w:t>
      </w:r>
      <w:r>
        <w:rPr>
          <w:rtl/>
          <w:lang w:bidi="fa-IR"/>
        </w:rPr>
        <w:t xml:space="preserve"> قَالَ : « وَغَزْوَةً </w:t>
      </w:r>
      <w:r w:rsidRPr="00D10E3C">
        <w:rPr>
          <w:rStyle w:val="libFootnotenumChar"/>
          <w:rtl/>
        </w:rPr>
        <w:t>(11)</w:t>
      </w:r>
      <w:r>
        <w:rPr>
          <w:rtl/>
          <w:lang w:bidi="fa-IR"/>
        </w:rPr>
        <w:t xml:space="preserve"> ». </w:t>
      </w:r>
      <w:r w:rsidRPr="00D10E3C">
        <w:rPr>
          <w:rStyle w:val="libFootnotenumChar"/>
          <w:rtl/>
        </w:rPr>
        <w:t>(12)</w:t>
      </w:r>
    </w:p>
    <w:p w:rsidR="00144FA6" w:rsidRDefault="00744A1C" w:rsidP="00744A1C">
      <w:pPr>
        <w:pStyle w:val="libNormal"/>
        <w:rPr>
          <w:rtl/>
          <w:lang w:bidi="fa-IR"/>
        </w:rPr>
      </w:pPr>
      <w:r>
        <w:rPr>
          <w:rtl/>
          <w:lang w:bidi="fa-IR"/>
        </w:rPr>
        <w:t>8167 / 2. عِدَّةٌ مِنْ أَصْحَابِنَا ، عَنْ أَحْمَدَ بْنِ مُحَمَّدِ بْنِ عِيسى ، عَنْ مُحَمَّدِ بْنِ سِنَانٍ ، عَنِ الْحُسَيْنِ بْنِ الْمُخْتَارِ ، عَنْ زَيْدٍ الشَّحَّامِ :</w:t>
      </w:r>
    </w:p>
    <w:p w:rsidR="00744A1C" w:rsidRDefault="00744A1C" w:rsidP="00261A1F">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زِيَارَةُ قَبْرِ الْحُسَيْنِ </w:t>
      </w:r>
      <w:r w:rsidR="0061079A" w:rsidRPr="0061079A">
        <w:rPr>
          <w:rStyle w:val="libAlaemChar"/>
          <w:rtl/>
        </w:rPr>
        <w:t>عليه‌السلام</w:t>
      </w:r>
      <w:r w:rsidR="00D10E3C">
        <w:rPr>
          <w:rtl/>
          <w:lang w:bidi="fa-IR"/>
        </w:rPr>
        <w:t xml:space="preserve"> </w:t>
      </w:r>
      <w:r>
        <w:rPr>
          <w:rtl/>
          <w:lang w:bidi="fa-IR"/>
        </w:rPr>
        <w:t>تَعْدِلُ عِشْرِينَ حَجَّةً ، وَأَفْضَلُ‌</w:t>
      </w:r>
    </w:p>
    <w:p w:rsidR="00744A1C" w:rsidRDefault="00744A1C" w:rsidP="00D10E3C">
      <w:pPr>
        <w:pStyle w:val="libLine"/>
        <w:rPr>
          <w:lang w:bidi="fa-IR"/>
        </w:rPr>
      </w:pPr>
      <w:r>
        <w:rPr>
          <w:rtl/>
          <w:lang w:bidi="fa-IR"/>
        </w:rPr>
        <w:t>____________________</w:t>
      </w:r>
    </w:p>
    <w:p w:rsidR="00744A1C" w:rsidRDefault="00261A1F" w:rsidP="00D10E3C">
      <w:pPr>
        <w:pStyle w:val="libFootnote0"/>
        <w:rPr>
          <w:lang w:bidi="fa-IR"/>
        </w:rPr>
      </w:pPr>
      <w:r>
        <w:rPr>
          <w:rFonts w:hint="cs"/>
          <w:rtl/>
          <w:lang w:bidi="fa-IR"/>
        </w:rPr>
        <w:t xml:space="preserve">= </w:t>
      </w:r>
      <w:r w:rsidR="00744A1C">
        <w:rPr>
          <w:rtl/>
          <w:lang w:bidi="fa-IR"/>
        </w:rPr>
        <w:t xml:space="preserve">الأماليين والثواب « كتبت » ] له ألف حجّة وألف عمرة [ في الأماليين : + « مبرورات » ] متقبّلات ، وألف غزوة مع نبيّ مرسل أو إمام عدل [ في الأماليين والثواب : « عادل » ] ». وفي </w:t>
      </w:r>
      <w:r w:rsidR="00744A1C" w:rsidRPr="00C24F9C">
        <w:rPr>
          <w:rStyle w:val="libFootnoteBoldChar"/>
          <w:rtl/>
        </w:rPr>
        <w:t>الفقيه</w:t>
      </w:r>
      <w:r w:rsidR="00744A1C">
        <w:rPr>
          <w:rtl/>
          <w:lang w:bidi="fa-IR"/>
        </w:rPr>
        <w:t xml:space="preserve"> و</w:t>
      </w:r>
      <w:r w:rsidR="00744A1C" w:rsidRPr="00C24F9C">
        <w:rPr>
          <w:rStyle w:val="libFootnoteBoldChar"/>
          <w:rtl/>
        </w:rPr>
        <w:t>الوسائل</w:t>
      </w:r>
      <w:r w:rsidR="00A6581D">
        <w:rPr>
          <w:rtl/>
          <w:lang w:bidi="fa-IR"/>
        </w:rPr>
        <w:t xml:space="preserve"> : « عادل » بدل « عدل</w:t>
      </w:r>
      <w:r w:rsidR="00744A1C">
        <w:rPr>
          <w:rtl/>
          <w:lang w:bidi="fa-IR"/>
        </w:rPr>
        <w:t>».</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ح 101 : - « قال ».</w:t>
      </w:r>
    </w:p>
    <w:p w:rsidR="00744A1C" w:rsidRDefault="00E378DD" w:rsidP="00E378DD">
      <w:pPr>
        <w:pStyle w:val="libFootnote0"/>
        <w:rPr>
          <w:lang w:bidi="fa-IR"/>
        </w:rPr>
      </w:pPr>
      <w:r>
        <w:rPr>
          <w:rtl/>
          <w:lang w:bidi="fa-IR"/>
        </w:rPr>
        <w:t>(2).</w:t>
      </w:r>
      <w:r w:rsidR="00744A1C">
        <w:rPr>
          <w:rtl/>
          <w:lang w:bidi="fa-IR"/>
        </w:rPr>
        <w:t xml:space="preserve"> هكذا في « ى ، ب</w:t>
      </w:r>
      <w:r w:rsidR="00744A1C" w:rsidRPr="0091777D">
        <w:rPr>
          <w:rtl/>
        </w:rPr>
        <w:t xml:space="preserve">خ ، بس ، بف ، جد » والوافي والوسائل والفقيه وكامل الزيارات ، ص 169 </w:t>
      </w:r>
      <w:r w:rsidR="00744A1C">
        <w:rPr>
          <w:rtl/>
          <w:lang w:bidi="fa-IR"/>
        </w:rPr>
        <w:t>والأماليين. وفي سائر النسخ والمطبوع : « قلت ».</w:t>
      </w:r>
    </w:p>
    <w:p w:rsidR="00744A1C" w:rsidRDefault="00E378DD" w:rsidP="00E378DD">
      <w:pPr>
        <w:pStyle w:val="libFootnote0"/>
        <w:rPr>
          <w:lang w:bidi="fa-IR"/>
        </w:rPr>
      </w:pPr>
      <w:r>
        <w:rPr>
          <w:rtl/>
          <w:lang w:bidi="fa-IR"/>
        </w:rPr>
        <w:t>(3).</w:t>
      </w:r>
      <w:r w:rsidR="00744A1C">
        <w:rPr>
          <w:rtl/>
          <w:lang w:bidi="fa-IR"/>
        </w:rPr>
        <w:t xml:space="preserve"> </w:t>
      </w:r>
      <w:r w:rsidR="00744A1C" w:rsidRPr="0091777D">
        <w:rPr>
          <w:rtl/>
        </w:rPr>
        <w:t>في التهذيب ،</w:t>
      </w:r>
      <w:r w:rsidR="00744A1C">
        <w:rPr>
          <w:rtl/>
          <w:lang w:bidi="fa-IR"/>
        </w:rPr>
        <w:t xml:space="preserve"> ح 101 : - « له ».</w:t>
      </w:r>
    </w:p>
    <w:tbl>
      <w:tblPr>
        <w:tblStyle w:val="TableGrid"/>
        <w:bidiVisual/>
        <w:tblW w:w="0" w:type="auto"/>
        <w:tblLook w:val="04A0" w:firstRow="1" w:lastRow="0" w:firstColumn="1" w:lastColumn="0" w:noHBand="0" w:noVBand="1"/>
      </w:tblPr>
      <w:tblGrid>
        <w:gridCol w:w="4006"/>
        <w:gridCol w:w="4006"/>
      </w:tblGrid>
      <w:tr w:rsidR="0091777D" w:rsidTr="0091777D">
        <w:tc>
          <w:tcPr>
            <w:tcW w:w="4006" w:type="dxa"/>
          </w:tcPr>
          <w:p w:rsidR="0091777D" w:rsidRDefault="0091777D" w:rsidP="00E378DD">
            <w:pPr>
              <w:pStyle w:val="libFootnote0"/>
              <w:rPr>
                <w:rtl/>
                <w:lang w:bidi="fa-IR"/>
              </w:rPr>
            </w:pPr>
            <w:r>
              <w:rPr>
                <w:rtl/>
                <w:lang w:bidi="fa-IR"/>
              </w:rPr>
              <w:t xml:space="preserve">(4). في </w:t>
            </w:r>
            <w:r w:rsidRPr="0091777D">
              <w:rPr>
                <w:rtl/>
              </w:rPr>
              <w:t>الوافي والتهذيب ،</w:t>
            </w:r>
            <w:r>
              <w:rPr>
                <w:rtl/>
                <w:lang w:bidi="fa-IR"/>
              </w:rPr>
              <w:t xml:space="preserve"> ح 101 : « وكيف ».</w:t>
            </w:r>
          </w:p>
        </w:tc>
        <w:tc>
          <w:tcPr>
            <w:tcW w:w="4006" w:type="dxa"/>
          </w:tcPr>
          <w:p w:rsidR="0091777D" w:rsidRDefault="0091777D" w:rsidP="00E378DD">
            <w:pPr>
              <w:pStyle w:val="libFootnote0"/>
              <w:rPr>
                <w:rtl/>
                <w:lang w:bidi="fa-IR"/>
              </w:rPr>
            </w:pPr>
            <w:r>
              <w:rPr>
                <w:rtl/>
                <w:lang w:bidi="fa-IR"/>
              </w:rPr>
              <w:t xml:space="preserve">(5). في </w:t>
            </w:r>
            <w:r w:rsidRPr="000B1C3F">
              <w:rPr>
                <w:rStyle w:val="libFootnoteBoldChar"/>
                <w:rtl/>
              </w:rPr>
              <w:t>الأمالي للطوسي</w:t>
            </w:r>
            <w:r>
              <w:rPr>
                <w:rtl/>
                <w:lang w:bidi="fa-IR"/>
              </w:rPr>
              <w:t xml:space="preserve"> : « الموقفين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91777D">
        <w:rPr>
          <w:rtl/>
        </w:rPr>
        <w:t>التهذيب ،</w:t>
      </w:r>
      <w:r w:rsidR="00744A1C">
        <w:rPr>
          <w:rtl/>
          <w:lang w:bidi="fa-IR"/>
        </w:rPr>
        <w:t xml:space="preserve"> ح 101 و</w:t>
      </w:r>
      <w:r w:rsidR="00744A1C" w:rsidRPr="000B1C3F">
        <w:rPr>
          <w:rStyle w:val="libFootnoteBoldChar"/>
          <w:rtl/>
        </w:rPr>
        <w:t>الأمالي للطوسي</w:t>
      </w:r>
      <w:r w:rsidR="00744A1C">
        <w:rPr>
          <w:rtl/>
          <w:lang w:bidi="fa-IR"/>
        </w:rPr>
        <w:t xml:space="preserve"> : - « قال ».</w:t>
      </w:r>
    </w:p>
    <w:tbl>
      <w:tblPr>
        <w:tblStyle w:val="TableGrid"/>
        <w:bidiVisual/>
        <w:tblW w:w="0" w:type="auto"/>
        <w:tblLook w:val="04A0" w:firstRow="1" w:lastRow="0" w:firstColumn="1" w:lastColumn="0" w:noHBand="0" w:noVBand="1"/>
      </w:tblPr>
      <w:tblGrid>
        <w:gridCol w:w="4006"/>
        <w:gridCol w:w="4006"/>
      </w:tblGrid>
      <w:tr w:rsidR="0091777D" w:rsidTr="0091777D">
        <w:tc>
          <w:tcPr>
            <w:tcW w:w="4006" w:type="dxa"/>
          </w:tcPr>
          <w:p w:rsidR="0091777D" w:rsidRDefault="0091777D" w:rsidP="00E378DD">
            <w:pPr>
              <w:pStyle w:val="libFootnote0"/>
              <w:rPr>
                <w:rtl/>
                <w:lang w:bidi="fa-IR"/>
              </w:rPr>
            </w:pPr>
            <w:r>
              <w:rPr>
                <w:rtl/>
                <w:lang w:bidi="fa-IR"/>
              </w:rPr>
              <w:t>(7). في « ى » : « إليه ».</w:t>
            </w:r>
          </w:p>
        </w:tc>
        <w:tc>
          <w:tcPr>
            <w:tcW w:w="4006" w:type="dxa"/>
          </w:tcPr>
          <w:p w:rsidR="0091777D" w:rsidRDefault="0091777D" w:rsidP="00E378DD">
            <w:pPr>
              <w:pStyle w:val="libFootnote0"/>
              <w:rPr>
                <w:rtl/>
                <w:lang w:bidi="fa-IR"/>
              </w:rPr>
            </w:pPr>
            <w:r>
              <w:rPr>
                <w:rtl/>
                <w:lang w:bidi="fa-IR"/>
              </w:rPr>
              <w:t>(8). في «جن» وحاشية«بث ،بح ، جد » : « شبيه ».</w:t>
            </w:r>
          </w:p>
        </w:tc>
      </w:tr>
    </w:tbl>
    <w:p w:rsidR="00744A1C" w:rsidRDefault="00E378DD" w:rsidP="00E378DD">
      <w:pPr>
        <w:pStyle w:val="libFootnote0"/>
        <w:rPr>
          <w:lang w:bidi="fa-IR"/>
        </w:rPr>
      </w:pPr>
      <w:r>
        <w:rPr>
          <w:rtl/>
          <w:lang w:bidi="fa-IR"/>
        </w:rPr>
        <w:t>(9).</w:t>
      </w:r>
      <w:r w:rsidR="00744A1C">
        <w:rPr>
          <w:rtl/>
          <w:lang w:bidi="fa-IR"/>
        </w:rPr>
        <w:t xml:space="preserve"> هكذا في معظم النسخ التي قوبلت </w:t>
      </w:r>
      <w:r w:rsidR="00744A1C" w:rsidRPr="00371A40">
        <w:rPr>
          <w:rtl/>
        </w:rPr>
        <w:t>والوافي والوسائل والفقيه والتهذيب</w:t>
      </w:r>
      <w:r w:rsidR="00744A1C">
        <w:rPr>
          <w:rtl/>
          <w:lang w:bidi="fa-IR"/>
        </w:rPr>
        <w:t xml:space="preserve"> ، ح 101 و</w:t>
      </w:r>
      <w:r w:rsidR="00744A1C" w:rsidRPr="007B299E">
        <w:rPr>
          <w:rStyle w:val="libFootnoteBoldChar"/>
          <w:rtl/>
        </w:rPr>
        <w:t>كامل الزيارات</w:t>
      </w:r>
      <w:r w:rsidR="00744A1C">
        <w:rPr>
          <w:rtl/>
          <w:lang w:bidi="fa-IR"/>
        </w:rPr>
        <w:t xml:space="preserve"> ، ص 169 والأمالي للصدوق والثواب و</w:t>
      </w:r>
      <w:r w:rsidR="00744A1C" w:rsidRPr="000B1C3F">
        <w:rPr>
          <w:rStyle w:val="libFootnoteBoldChar"/>
          <w:rtl/>
        </w:rPr>
        <w:t>الأمالي للطوسي</w:t>
      </w:r>
      <w:r w:rsidR="00744A1C">
        <w:rPr>
          <w:rtl/>
          <w:lang w:bidi="fa-IR"/>
        </w:rPr>
        <w:t>. وفي « جن » والمطبوع : + « لي ».</w:t>
      </w:r>
    </w:p>
    <w:p w:rsidR="00744A1C" w:rsidRDefault="00E378DD" w:rsidP="00E378DD">
      <w:pPr>
        <w:pStyle w:val="libFootnote0"/>
        <w:rPr>
          <w:lang w:bidi="fa-IR"/>
        </w:rPr>
      </w:pPr>
      <w:r>
        <w:rPr>
          <w:rtl/>
          <w:lang w:bidi="fa-IR"/>
        </w:rPr>
        <w:t>(10).</w:t>
      </w:r>
      <w:r w:rsidR="00744A1C">
        <w:rPr>
          <w:rtl/>
          <w:lang w:bidi="fa-IR"/>
        </w:rPr>
        <w:t xml:space="preserve"> في « بح » وحاشية « بث » : + « منها ».</w:t>
      </w:r>
    </w:p>
    <w:p w:rsidR="00744A1C" w:rsidRDefault="00E378DD" w:rsidP="00E378DD">
      <w:pPr>
        <w:pStyle w:val="libFootnote0"/>
        <w:rPr>
          <w:lang w:bidi="fa-IR"/>
        </w:rPr>
      </w:pPr>
      <w:r>
        <w:rPr>
          <w:rtl/>
          <w:lang w:bidi="fa-IR"/>
        </w:rPr>
        <w:t>(11).</w:t>
      </w:r>
      <w:r w:rsidR="00744A1C">
        <w:rPr>
          <w:rtl/>
          <w:lang w:bidi="fa-IR"/>
        </w:rPr>
        <w:t xml:space="preserve"> في « بف » </w:t>
      </w:r>
      <w:r w:rsidR="00744A1C" w:rsidRPr="00371A40">
        <w:rPr>
          <w:rtl/>
        </w:rPr>
        <w:t>والوافي والثواب</w:t>
      </w:r>
      <w:r w:rsidR="00744A1C">
        <w:rPr>
          <w:rtl/>
          <w:lang w:bidi="fa-IR"/>
        </w:rPr>
        <w:t xml:space="preserve"> : « عمرة وغزوة ». وفي « بخ ، جد » وحاشية « بس » </w:t>
      </w:r>
      <w:r w:rsidR="00744A1C" w:rsidRPr="00371A40">
        <w:rPr>
          <w:rtl/>
        </w:rPr>
        <w:t>والفقيه والتهذيب</w:t>
      </w:r>
      <w:r w:rsidR="00744A1C">
        <w:rPr>
          <w:rtl/>
          <w:lang w:bidi="fa-IR"/>
        </w:rPr>
        <w:t xml:space="preserve"> ، ح 101 : « وعمرة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46 ، ح 101 ، معلّقاً عن الكليني ؛ </w:t>
      </w:r>
      <w:r w:rsidR="00744A1C" w:rsidRPr="007B299E">
        <w:rPr>
          <w:rStyle w:val="libFootnoteBoldChar"/>
          <w:rtl/>
        </w:rPr>
        <w:t>كامل الزيارات</w:t>
      </w:r>
      <w:r w:rsidR="00744A1C">
        <w:rPr>
          <w:rtl/>
          <w:lang w:bidi="fa-IR"/>
        </w:rPr>
        <w:t xml:space="preserve"> ، ص 184 ، الباب 74 ، ح 6 ، عن محمّد بن يعقوب ، إلى قوله : « مع نبيّ مرسل أو إمام عدل ». </w:t>
      </w:r>
      <w:r w:rsidR="00744A1C" w:rsidRPr="00C24F9C">
        <w:rPr>
          <w:rStyle w:val="libFootnoteBoldChar"/>
          <w:rtl/>
        </w:rPr>
        <w:t>التهذيب</w:t>
      </w:r>
      <w:r w:rsidR="00744A1C">
        <w:rPr>
          <w:rtl/>
          <w:lang w:bidi="fa-IR"/>
        </w:rPr>
        <w:t xml:space="preserve"> ، ج 6 ، ص 50 ، ح 115 ، بسنده عن محمّد بن يحيى. وفي </w:t>
      </w:r>
      <w:r w:rsidR="00744A1C" w:rsidRPr="007B299E">
        <w:rPr>
          <w:rStyle w:val="libFootnoteBoldChar"/>
          <w:rtl/>
        </w:rPr>
        <w:t>كامل الزيارات</w:t>
      </w:r>
      <w:r w:rsidR="00744A1C">
        <w:rPr>
          <w:rtl/>
          <w:lang w:bidi="fa-IR"/>
        </w:rPr>
        <w:t xml:space="preserve"> ، ص 169 ، الباب 70 ، ح 1 ؛ والأمالي للصدوق ، ص 143 ، المجلس 29 ، ح 11 ؛ </w:t>
      </w:r>
      <w:r w:rsidR="00744A1C" w:rsidRPr="00371A40">
        <w:rPr>
          <w:rtl/>
        </w:rPr>
        <w:t>وثواب الأعمال</w:t>
      </w:r>
      <w:r w:rsidR="00744A1C">
        <w:rPr>
          <w:rtl/>
          <w:lang w:bidi="fa-IR"/>
        </w:rPr>
        <w:t xml:space="preserve"> ، ص 115 ، ح 25 ؛ و</w:t>
      </w:r>
      <w:r w:rsidR="00744A1C" w:rsidRPr="000B1C3F">
        <w:rPr>
          <w:rStyle w:val="libFootnoteBoldChar"/>
          <w:rtl/>
        </w:rPr>
        <w:t>الأمالي للطوسي</w:t>
      </w:r>
      <w:r w:rsidR="00744A1C">
        <w:rPr>
          <w:rtl/>
          <w:lang w:bidi="fa-IR"/>
        </w:rPr>
        <w:t xml:space="preserve"> ، ص 201 ، المجلس 7 ، ح 44 ، بسند آخر عن محمّد بن الحسين ، مع اختلاف يسير. </w:t>
      </w:r>
      <w:r w:rsidR="00744A1C" w:rsidRPr="00C24F9C">
        <w:rPr>
          <w:rStyle w:val="libFootnoteBoldChar"/>
          <w:rtl/>
        </w:rPr>
        <w:t>الفقيه</w:t>
      </w:r>
      <w:r w:rsidR="00744A1C">
        <w:rPr>
          <w:rtl/>
          <w:lang w:bidi="fa-IR"/>
        </w:rPr>
        <w:t xml:space="preserve"> ، ج 2 ، ص 580 ، ح 3169 ، معلّقاً عن صالح بن عقبة ، مع اختلاف يسير </w:t>
      </w:r>
      <w:r w:rsidR="00371A40">
        <w:rPr>
          <w:rFonts w:hint="cs"/>
          <w:rtl/>
          <w:lang w:bidi="fa-IR"/>
        </w:rPr>
        <w:t>.</w:t>
      </w:r>
      <w:r w:rsidR="00744A1C" w:rsidRPr="00C24F9C">
        <w:rPr>
          <w:rStyle w:val="libFootnoteBoldChar"/>
          <w:rtl/>
        </w:rPr>
        <w:t>الوافي</w:t>
      </w:r>
      <w:r w:rsidR="00744A1C">
        <w:rPr>
          <w:rtl/>
          <w:lang w:bidi="fa-IR"/>
        </w:rPr>
        <w:t xml:space="preserve"> ، ج 14 ، ص 1459 ، ح 14522 ؛ </w:t>
      </w:r>
      <w:r w:rsidR="00744A1C" w:rsidRPr="00C24F9C">
        <w:rPr>
          <w:rStyle w:val="libFootnoteBoldChar"/>
          <w:rtl/>
        </w:rPr>
        <w:t>الوسائل</w:t>
      </w:r>
      <w:r w:rsidR="00744A1C">
        <w:rPr>
          <w:rtl/>
          <w:lang w:bidi="fa-IR"/>
        </w:rPr>
        <w:t xml:space="preserve"> ، ج 14 ، ص 459 ، ح 19597.</w:t>
      </w:r>
    </w:p>
    <w:p w:rsidR="00150943" w:rsidRDefault="00150943" w:rsidP="00D10E3C">
      <w:pPr>
        <w:pStyle w:val="libNormal"/>
        <w:rPr>
          <w:rtl/>
          <w:lang w:bidi="fa-IR"/>
        </w:rPr>
      </w:pPr>
      <w:r>
        <w:rPr>
          <w:rtl/>
          <w:lang w:bidi="fa-IR"/>
        </w:rPr>
        <w:br w:type="page"/>
      </w:r>
    </w:p>
    <w:p w:rsidR="00144FA6" w:rsidRDefault="00744A1C" w:rsidP="00371A40">
      <w:pPr>
        <w:pStyle w:val="libNormal0"/>
        <w:rPr>
          <w:rtl/>
          <w:lang w:bidi="fa-IR"/>
        </w:rPr>
      </w:pPr>
      <w:r>
        <w:rPr>
          <w:rtl/>
          <w:lang w:bidi="fa-IR"/>
        </w:rPr>
        <w:lastRenderedPageBreak/>
        <w:t xml:space="preserve">مِنْ </w:t>
      </w:r>
      <w:r w:rsidRPr="00D10E3C">
        <w:rPr>
          <w:rStyle w:val="libFootnotenumChar"/>
          <w:rtl/>
        </w:rPr>
        <w:t>(1)</w:t>
      </w:r>
      <w:r>
        <w:rPr>
          <w:rtl/>
          <w:lang w:bidi="fa-IR"/>
        </w:rPr>
        <w:t xml:space="preserve"> عِشْرِينَ عُمْرَةً </w:t>
      </w:r>
      <w:r w:rsidRPr="00D10E3C">
        <w:rPr>
          <w:rStyle w:val="libFootnotenumChar"/>
          <w:rtl/>
        </w:rPr>
        <w:t>(2)</w:t>
      </w:r>
      <w:r>
        <w:rPr>
          <w:rtl/>
          <w:lang w:bidi="fa-IR"/>
        </w:rPr>
        <w:t xml:space="preserve"> وَحَجَّةً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 xml:space="preserve">8168 / 3. مُحَمَّدُ بْنُ يَحْيى ، عَنْ مُحَمَّدِ بْنِ الْحُسَيْنِ ، عَنْ مُحَمَّدِ بْنِ إِسْمَاعِيلَ بْنِ بَزِيعٍ ، عَنْ صَالِحِ </w:t>
      </w:r>
      <w:r w:rsidRPr="00D10E3C">
        <w:rPr>
          <w:rStyle w:val="libFootnotenumChar"/>
          <w:rtl/>
        </w:rPr>
        <w:t>(5)</w:t>
      </w:r>
      <w:r>
        <w:rPr>
          <w:rtl/>
          <w:lang w:bidi="fa-IR"/>
        </w:rPr>
        <w:t xml:space="preserve"> بْنِ عُقْبَةَ ، عَنْ يَزِيدَ بْنِ عَبْدِ الْمَلِكِ ، قَالَ :</w:t>
      </w:r>
    </w:p>
    <w:p w:rsidR="00744A1C" w:rsidRDefault="00744A1C" w:rsidP="00744A1C">
      <w:pPr>
        <w:pStyle w:val="libNormal"/>
        <w:rPr>
          <w:lang w:bidi="fa-IR"/>
        </w:rPr>
      </w:pPr>
      <w:r>
        <w:rPr>
          <w:rtl/>
          <w:lang w:bidi="fa-IR"/>
        </w:rPr>
        <w:t xml:space="preserve">كُنْتُ مَعَ أَبِي عَبْدِ اللهِ </w:t>
      </w:r>
      <w:r w:rsidR="0061079A" w:rsidRPr="0061079A">
        <w:rPr>
          <w:rStyle w:val="libAlaemChar"/>
          <w:rtl/>
        </w:rPr>
        <w:t>عليه‌السلام</w:t>
      </w:r>
      <w:r w:rsidR="00D10E3C">
        <w:rPr>
          <w:rtl/>
          <w:lang w:bidi="fa-IR"/>
        </w:rPr>
        <w:t xml:space="preserve"> </w:t>
      </w:r>
      <w:r>
        <w:rPr>
          <w:rtl/>
          <w:lang w:bidi="fa-IR"/>
        </w:rPr>
        <w:t xml:space="preserve">، فَمَرَّ قَوْمٌ عَلى حَمِيرٍ ، فَقَالَ : « أَيْنَ يُرِيدُ </w:t>
      </w:r>
      <w:r w:rsidRPr="00D10E3C">
        <w:rPr>
          <w:rStyle w:val="libFootnotenumChar"/>
          <w:rtl/>
        </w:rPr>
        <w:t>(6)</w:t>
      </w:r>
      <w:r>
        <w:rPr>
          <w:rtl/>
          <w:lang w:bidi="fa-IR"/>
        </w:rPr>
        <w:t xml:space="preserve"> هؤُلَاءِ؟ ».</w:t>
      </w:r>
    </w:p>
    <w:p w:rsidR="00744A1C" w:rsidRDefault="00744A1C" w:rsidP="00744A1C">
      <w:pPr>
        <w:pStyle w:val="libNormal"/>
        <w:rPr>
          <w:lang w:bidi="fa-IR"/>
        </w:rPr>
      </w:pPr>
      <w:r>
        <w:rPr>
          <w:rtl/>
          <w:lang w:bidi="fa-IR"/>
        </w:rPr>
        <w:t xml:space="preserve">قُلْتُ </w:t>
      </w:r>
      <w:r w:rsidRPr="00D10E3C">
        <w:rPr>
          <w:rStyle w:val="libFootnotenumChar"/>
          <w:rtl/>
        </w:rPr>
        <w:t>(7)</w:t>
      </w:r>
      <w:r>
        <w:rPr>
          <w:rtl/>
          <w:lang w:bidi="fa-IR"/>
        </w:rPr>
        <w:t xml:space="preserve"> : قُبُورَ الشُّهَدَاءِ.</w:t>
      </w:r>
    </w:p>
    <w:p w:rsidR="00744A1C" w:rsidRDefault="00744A1C" w:rsidP="00744A1C">
      <w:pPr>
        <w:pStyle w:val="libNormal"/>
        <w:rPr>
          <w:lang w:bidi="fa-IR"/>
        </w:rPr>
      </w:pPr>
      <w:r>
        <w:rPr>
          <w:rtl/>
          <w:lang w:bidi="fa-IR"/>
        </w:rPr>
        <w:t xml:space="preserve">قَالَ : « فَمَا يَمْنَعُهُمْ مِنْ </w:t>
      </w:r>
      <w:r w:rsidRPr="00D10E3C">
        <w:rPr>
          <w:rStyle w:val="libFootnotenumChar"/>
          <w:rtl/>
        </w:rPr>
        <w:t>(8)</w:t>
      </w:r>
      <w:r>
        <w:rPr>
          <w:rtl/>
          <w:lang w:bidi="fa-IR"/>
        </w:rPr>
        <w:t xml:space="preserve"> زِيَارَةِ الشَّهِيدِ الْغَرِيبِ </w:t>
      </w:r>
      <w:r w:rsidRPr="00D10E3C">
        <w:rPr>
          <w:rStyle w:val="libFootnotenumChar"/>
          <w:rtl/>
        </w:rPr>
        <w:t>(9)</w:t>
      </w:r>
      <w:r>
        <w:rPr>
          <w:rtl/>
          <w:lang w:bidi="fa-IR"/>
        </w:rPr>
        <w:t>؟ ».</w:t>
      </w:r>
    </w:p>
    <w:p w:rsidR="00744A1C" w:rsidRDefault="00744A1C" w:rsidP="00744A1C">
      <w:pPr>
        <w:pStyle w:val="libNormal"/>
        <w:rPr>
          <w:lang w:bidi="fa-IR"/>
        </w:rPr>
      </w:pPr>
      <w:r>
        <w:rPr>
          <w:rtl/>
          <w:lang w:bidi="fa-IR"/>
        </w:rPr>
        <w:t xml:space="preserve">فَقَالَ رَجُلٌ مِنْ أَهْلِ </w:t>
      </w:r>
      <w:r w:rsidRPr="00D10E3C">
        <w:rPr>
          <w:rStyle w:val="libFootnotenumChar"/>
          <w:rtl/>
        </w:rPr>
        <w:t>(10)</w:t>
      </w:r>
      <w:r>
        <w:rPr>
          <w:rtl/>
          <w:lang w:bidi="fa-IR"/>
        </w:rPr>
        <w:t xml:space="preserve"> الْعِرَاقِ : وَزِيَارَتُهُ وَاجِبَةٌ؟</w:t>
      </w:r>
    </w:p>
    <w:p w:rsidR="00744A1C" w:rsidRDefault="00744A1C" w:rsidP="00744A1C">
      <w:pPr>
        <w:pStyle w:val="libNormal"/>
        <w:rPr>
          <w:lang w:bidi="fa-IR"/>
        </w:rPr>
      </w:pPr>
      <w:r>
        <w:rPr>
          <w:rtl/>
          <w:lang w:bidi="fa-IR"/>
        </w:rPr>
        <w:t xml:space="preserve">قَالَ : « زِيَارَتُهُ خَيْرٌ مِنْ حَجَّةٍ وَعُمْرَةٍ وَعُمْرَةٍ </w:t>
      </w:r>
      <w:r w:rsidRPr="00D10E3C">
        <w:rPr>
          <w:rStyle w:val="libFootnotenumChar"/>
          <w:rtl/>
        </w:rPr>
        <w:t>(11)</w:t>
      </w:r>
      <w:r>
        <w:rPr>
          <w:rtl/>
          <w:lang w:bidi="fa-IR"/>
        </w:rPr>
        <w:t xml:space="preserve"> وَحَجَّةٍ </w:t>
      </w:r>
      <w:r w:rsidRPr="00D10E3C">
        <w:rPr>
          <w:rStyle w:val="libFootnotenumChar"/>
          <w:rtl/>
        </w:rPr>
        <w:t>(12)</w:t>
      </w:r>
      <w:r>
        <w:rPr>
          <w:rtl/>
          <w:lang w:bidi="fa-IR"/>
        </w:rPr>
        <w:t xml:space="preserve"> » حَتّى عَدَّ عِشْرِينَ حَجَّةً وَعُمْرَةً ، ثُمَّ قَالَ : « مَبْرُورَاتٍ مَقْبُولَاتٍ </w:t>
      </w:r>
      <w:r w:rsidRPr="00D10E3C">
        <w:rPr>
          <w:rStyle w:val="libFootnotenumChar"/>
          <w:rtl/>
        </w:rPr>
        <w:t>(13)</w:t>
      </w:r>
      <w:r>
        <w:rPr>
          <w:rtl/>
          <w:lang w:bidi="fa-IR"/>
        </w:rPr>
        <w:t xml:space="preserve"> ».</w:t>
      </w:r>
    </w:p>
    <w:p w:rsidR="00744A1C" w:rsidRDefault="00744A1C" w:rsidP="00744A1C">
      <w:pPr>
        <w:pStyle w:val="libNormal"/>
        <w:rPr>
          <w:lang w:bidi="fa-IR"/>
        </w:rPr>
      </w:pPr>
      <w:r>
        <w:rPr>
          <w:rtl/>
          <w:lang w:bidi="fa-IR"/>
        </w:rPr>
        <w:t>قَالَ : فَوَ اللهِ مَا قُمْتُ حَتّى أَتَاهُ رَجُلٌ ، فَقَالَ لَهُ : إِنِّي قَدْ حَجَجْتُ تِسْعَ عَشْرَةَ‌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w:t>
      </w:r>
      <w:r w:rsidR="00744A1C" w:rsidRPr="00371A40">
        <w:rPr>
          <w:rtl/>
        </w:rPr>
        <w:t xml:space="preserve">والوافي والتهذيب وكامل الزيارات </w:t>
      </w:r>
      <w:r w:rsidR="00744A1C">
        <w:rPr>
          <w:rtl/>
          <w:lang w:bidi="fa-IR"/>
        </w:rPr>
        <w:t>والثواب. وفي المطبوع : « ومن ».</w:t>
      </w:r>
    </w:p>
    <w:tbl>
      <w:tblPr>
        <w:tblStyle w:val="TableGrid"/>
        <w:bidiVisual/>
        <w:tblW w:w="0" w:type="auto"/>
        <w:tblLook w:val="04A0" w:firstRow="1" w:lastRow="0" w:firstColumn="1" w:lastColumn="0" w:noHBand="0" w:noVBand="1"/>
      </w:tblPr>
      <w:tblGrid>
        <w:gridCol w:w="4006"/>
        <w:gridCol w:w="4006"/>
      </w:tblGrid>
      <w:tr w:rsidR="00371A40" w:rsidTr="00371A40">
        <w:tc>
          <w:tcPr>
            <w:tcW w:w="4006" w:type="dxa"/>
          </w:tcPr>
          <w:p w:rsidR="00371A40" w:rsidRDefault="00371A40" w:rsidP="00E378DD">
            <w:pPr>
              <w:pStyle w:val="libFootnote0"/>
              <w:rPr>
                <w:rtl/>
                <w:lang w:bidi="fa-IR"/>
              </w:rPr>
            </w:pPr>
            <w:r>
              <w:rPr>
                <w:rtl/>
                <w:lang w:bidi="fa-IR"/>
              </w:rPr>
              <w:t>(2). في حاشية « بث » : « غزوة ».</w:t>
            </w:r>
          </w:p>
        </w:tc>
        <w:tc>
          <w:tcPr>
            <w:tcW w:w="4006" w:type="dxa"/>
          </w:tcPr>
          <w:p w:rsidR="00371A40" w:rsidRDefault="00371A40" w:rsidP="00E378DD">
            <w:pPr>
              <w:pStyle w:val="libFootnote0"/>
              <w:rPr>
                <w:rtl/>
                <w:lang w:bidi="fa-IR"/>
              </w:rPr>
            </w:pPr>
            <w:r>
              <w:rPr>
                <w:rtl/>
                <w:lang w:bidi="fa-IR"/>
              </w:rPr>
              <w:t>(3). في « ى ، بس ، بف » : « حجّة وعمرة ».</w:t>
            </w:r>
          </w:p>
        </w:tc>
      </w:tr>
    </w:tbl>
    <w:p w:rsidR="00744A1C" w:rsidRDefault="00E378DD" w:rsidP="00E378DD">
      <w:pPr>
        <w:pStyle w:val="libFootnote0"/>
        <w:rPr>
          <w:lang w:bidi="fa-IR"/>
        </w:rPr>
      </w:pPr>
      <w:r>
        <w:rPr>
          <w:rtl/>
          <w:lang w:bidi="fa-IR"/>
        </w:rPr>
        <w:t>(4).</w:t>
      </w:r>
      <w:r w:rsidR="00744A1C">
        <w:rPr>
          <w:rtl/>
          <w:lang w:bidi="fa-IR"/>
        </w:rPr>
        <w:t xml:space="preserve"> </w:t>
      </w:r>
      <w:r w:rsidR="00744A1C" w:rsidRPr="007B299E">
        <w:rPr>
          <w:rStyle w:val="libFootnoteBoldChar"/>
          <w:rtl/>
        </w:rPr>
        <w:t>كامل الزيارات</w:t>
      </w:r>
      <w:r w:rsidR="00744A1C">
        <w:rPr>
          <w:rtl/>
          <w:lang w:bidi="fa-IR"/>
        </w:rPr>
        <w:t xml:space="preserve"> ، ص 161 ، الباب 66 ، ح 1 ، عن محمّد بن يعقوب بهذا السند ، وبسند آخر أيضاً عن أحمد بن محمّد بن عيسى. </w:t>
      </w:r>
      <w:r w:rsidR="00744A1C" w:rsidRPr="00C24F9C">
        <w:rPr>
          <w:rStyle w:val="libFootnoteBoldChar"/>
          <w:rtl/>
        </w:rPr>
        <w:t>التهذيب</w:t>
      </w:r>
      <w:r w:rsidR="00744A1C">
        <w:rPr>
          <w:rtl/>
          <w:lang w:bidi="fa-IR"/>
        </w:rPr>
        <w:t xml:space="preserve"> ، ج 6 ، ص 47 ، ح 102 ، بسنده عن أحمد بن عيسى ، عن محمّد بن سنان ؛ ثواب الأعمال ، ص 117 ، ح 34 ، بسنده عن أحمد بن محمّد ، عن محمّد بن سنان </w:t>
      </w:r>
      <w:r w:rsidR="00371A40">
        <w:rPr>
          <w:rFonts w:hint="cs"/>
          <w:rtl/>
          <w:lang w:bidi="fa-IR"/>
        </w:rPr>
        <w:t>.</w:t>
      </w:r>
      <w:r w:rsidR="00744A1C" w:rsidRPr="00C24F9C">
        <w:rPr>
          <w:rStyle w:val="libFootnoteBoldChar"/>
          <w:rtl/>
        </w:rPr>
        <w:t>الوافي</w:t>
      </w:r>
      <w:r w:rsidR="00744A1C">
        <w:rPr>
          <w:rtl/>
          <w:lang w:bidi="fa-IR"/>
        </w:rPr>
        <w:t xml:space="preserve"> ، ج 14 ، ص 1460 ، ح 14523 ؛ </w:t>
      </w:r>
      <w:r w:rsidR="00744A1C" w:rsidRPr="00C24F9C">
        <w:rPr>
          <w:rStyle w:val="libFootnoteBoldChar"/>
          <w:rtl/>
        </w:rPr>
        <w:t>الوسائل</w:t>
      </w:r>
      <w:r w:rsidR="00744A1C">
        <w:rPr>
          <w:rtl/>
          <w:lang w:bidi="fa-IR"/>
        </w:rPr>
        <w:t xml:space="preserve"> ، ج 14 ، ص 446 ، ذيل ح 19568.</w:t>
      </w:r>
    </w:p>
    <w:p w:rsidR="00744A1C" w:rsidRDefault="00E378DD" w:rsidP="00E378DD">
      <w:pPr>
        <w:pStyle w:val="libFootnote0"/>
        <w:rPr>
          <w:lang w:bidi="fa-IR"/>
        </w:rPr>
      </w:pPr>
      <w:r>
        <w:rPr>
          <w:rtl/>
          <w:lang w:bidi="fa-IR"/>
        </w:rPr>
        <w:t>(5).</w:t>
      </w:r>
      <w:r w:rsidR="00744A1C">
        <w:rPr>
          <w:rtl/>
          <w:lang w:bidi="fa-IR"/>
        </w:rPr>
        <w:t xml:space="preserve"> في « بث » وحاشية « بح » و</w:t>
      </w:r>
      <w:r w:rsidR="00744A1C" w:rsidRPr="00C24F9C">
        <w:rPr>
          <w:rStyle w:val="libFootnoteBoldChar"/>
          <w:rtl/>
        </w:rPr>
        <w:t>الوسائل</w:t>
      </w:r>
      <w:r w:rsidR="00744A1C">
        <w:rPr>
          <w:rtl/>
          <w:lang w:bidi="fa-IR"/>
        </w:rPr>
        <w:t xml:space="preserve"> : « عليّ ». وقد تكرّرت في الأسناد رواية محمّد بن الحسين عن محمّد بن إسماعيل [ بن بزيع ] عن صالح بن عقبة. وأمّا رواية محمّد بن إسماعيل عن عليّ بن عقبة ، فلم نجدها في موضع. راجع : </w:t>
      </w:r>
      <w:r w:rsidR="00744A1C" w:rsidRPr="0061079A">
        <w:rPr>
          <w:rStyle w:val="libFootnoteBoldChar"/>
          <w:rtl/>
        </w:rPr>
        <w:t>معجم رجال الحديث</w:t>
      </w:r>
      <w:r w:rsidR="00744A1C">
        <w:rPr>
          <w:rtl/>
          <w:lang w:bidi="fa-IR"/>
        </w:rPr>
        <w:t xml:space="preserve"> ، ج 15 ، ص 347 ، وص 357.</w:t>
      </w:r>
    </w:p>
    <w:p w:rsidR="00744A1C" w:rsidRDefault="00E378DD" w:rsidP="00E378DD">
      <w:pPr>
        <w:pStyle w:val="libFootnote0"/>
        <w:rPr>
          <w:lang w:bidi="fa-IR"/>
        </w:rPr>
      </w:pPr>
      <w:r>
        <w:rPr>
          <w:rtl/>
          <w:lang w:bidi="fa-IR"/>
        </w:rPr>
        <w:t>(6).</w:t>
      </w:r>
      <w:r w:rsidR="00744A1C">
        <w:rPr>
          <w:rtl/>
          <w:lang w:bidi="fa-IR"/>
        </w:rPr>
        <w:t xml:space="preserve"> في « ى ، بخ ، جد » </w:t>
      </w:r>
      <w:r w:rsidR="00744A1C" w:rsidRPr="00371A40">
        <w:rPr>
          <w:rtl/>
        </w:rPr>
        <w:t>وكامل الزيارات ،</w:t>
      </w:r>
      <w:r w:rsidR="00744A1C">
        <w:rPr>
          <w:rtl/>
          <w:lang w:bidi="fa-IR"/>
        </w:rPr>
        <w:t xml:space="preserve"> ص 160 والثواب : « يريدون ».</w:t>
      </w:r>
    </w:p>
    <w:p w:rsidR="00744A1C" w:rsidRDefault="00E378DD" w:rsidP="00E378DD">
      <w:pPr>
        <w:pStyle w:val="libFootnote0"/>
        <w:rPr>
          <w:lang w:bidi="fa-IR"/>
        </w:rPr>
      </w:pPr>
      <w:r>
        <w:rPr>
          <w:rtl/>
          <w:lang w:bidi="fa-IR"/>
        </w:rPr>
        <w:t>(7).</w:t>
      </w:r>
      <w:r w:rsidR="00744A1C">
        <w:rPr>
          <w:rtl/>
          <w:lang w:bidi="fa-IR"/>
        </w:rPr>
        <w:t xml:space="preserve"> في « بخ ، بف ، جد » و</w:t>
      </w:r>
      <w:r w:rsidR="00744A1C" w:rsidRPr="00C24F9C">
        <w:rPr>
          <w:rStyle w:val="libFootnoteBoldChar"/>
          <w:rtl/>
        </w:rPr>
        <w:t>الوافي</w:t>
      </w:r>
      <w:r w:rsidR="00744A1C">
        <w:rPr>
          <w:rtl/>
          <w:lang w:bidi="fa-IR"/>
        </w:rPr>
        <w:t xml:space="preserve"> والثواب : « فقلت ».</w:t>
      </w:r>
    </w:p>
    <w:tbl>
      <w:tblPr>
        <w:tblStyle w:val="TableGrid"/>
        <w:bidiVisual/>
        <w:tblW w:w="0" w:type="auto"/>
        <w:tblLook w:val="04A0" w:firstRow="1" w:lastRow="0" w:firstColumn="1" w:lastColumn="0" w:noHBand="0" w:noVBand="1"/>
      </w:tblPr>
      <w:tblGrid>
        <w:gridCol w:w="4006"/>
        <w:gridCol w:w="4006"/>
      </w:tblGrid>
      <w:tr w:rsidR="00D64C8D" w:rsidTr="00D64C8D">
        <w:tc>
          <w:tcPr>
            <w:tcW w:w="4006" w:type="dxa"/>
          </w:tcPr>
          <w:p w:rsidR="00D64C8D" w:rsidRDefault="00D64C8D" w:rsidP="00E378DD">
            <w:pPr>
              <w:pStyle w:val="libFootnote0"/>
              <w:rPr>
                <w:rtl/>
                <w:lang w:bidi="fa-IR"/>
              </w:rPr>
            </w:pPr>
            <w:r>
              <w:rPr>
                <w:rtl/>
                <w:lang w:bidi="fa-IR"/>
              </w:rPr>
              <w:t>(8). في « بف » : « عن ».</w:t>
            </w:r>
          </w:p>
        </w:tc>
        <w:tc>
          <w:tcPr>
            <w:tcW w:w="4006" w:type="dxa"/>
          </w:tcPr>
          <w:p w:rsidR="00D64C8D" w:rsidRDefault="00D64C8D" w:rsidP="00E378DD">
            <w:pPr>
              <w:pStyle w:val="libFootnote0"/>
              <w:rPr>
                <w:rtl/>
                <w:lang w:bidi="fa-IR"/>
              </w:rPr>
            </w:pPr>
            <w:r>
              <w:rPr>
                <w:rtl/>
                <w:lang w:bidi="fa-IR"/>
              </w:rPr>
              <w:t xml:space="preserve">(9). في </w:t>
            </w:r>
            <w:r w:rsidRPr="00D64C8D">
              <w:rPr>
                <w:rtl/>
              </w:rPr>
              <w:t>الوافي :</w:t>
            </w:r>
            <w:r>
              <w:rPr>
                <w:rtl/>
                <w:lang w:bidi="fa-IR"/>
              </w:rPr>
              <w:t xml:space="preserve"> « الغريب الشهيد ».</w:t>
            </w:r>
          </w:p>
        </w:tc>
      </w:tr>
      <w:tr w:rsidR="00D64C8D" w:rsidTr="00D64C8D">
        <w:tc>
          <w:tcPr>
            <w:tcW w:w="4006" w:type="dxa"/>
          </w:tcPr>
          <w:p w:rsidR="00D64C8D" w:rsidRDefault="00D64C8D" w:rsidP="00E378DD">
            <w:pPr>
              <w:pStyle w:val="libFootnote0"/>
              <w:rPr>
                <w:rtl/>
                <w:lang w:bidi="fa-IR"/>
              </w:rPr>
            </w:pPr>
            <w:r>
              <w:rPr>
                <w:rtl/>
                <w:lang w:bidi="fa-IR"/>
              </w:rPr>
              <w:t xml:space="preserve">(10). في </w:t>
            </w:r>
            <w:r w:rsidRPr="00D64C8D">
              <w:rPr>
                <w:rtl/>
              </w:rPr>
              <w:t>الوسائل :</w:t>
            </w:r>
            <w:r>
              <w:rPr>
                <w:rtl/>
                <w:lang w:bidi="fa-IR"/>
              </w:rPr>
              <w:t xml:space="preserve"> - « أهل ».</w:t>
            </w:r>
          </w:p>
        </w:tc>
        <w:tc>
          <w:tcPr>
            <w:tcW w:w="4006" w:type="dxa"/>
          </w:tcPr>
          <w:p w:rsidR="00D64C8D" w:rsidRDefault="00D64C8D" w:rsidP="00E378DD">
            <w:pPr>
              <w:pStyle w:val="libFootnote0"/>
              <w:rPr>
                <w:rtl/>
                <w:lang w:bidi="fa-IR"/>
              </w:rPr>
            </w:pPr>
            <w:r>
              <w:rPr>
                <w:rtl/>
                <w:lang w:bidi="fa-IR"/>
              </w:rPr>
              <w:t>(11). في « بث ، جن » : - « وعمرة ».</w:t>
            </w:r>
          </w:p>
        </w:tc>
      </w:tr>
    </w:tbl>
    <w:p w:rsidR="00744A1C" w:rsidRDefault="00E378DD" w:rsidP="00E378DD">
      <w:pPr>
        <w:pStyle w:val="libFootnote0"/>
        <w:rPr>
          <w:lang w:bidi="fa-IR"/>
        </w:rPr>
      </w:pPr>
      <w:r>
        <w:rPr>
          <w:rtl/>
          <w:lang w:bidi="fa-IR"/>
        </w:rPr>
        <w:t>(12).</w:t>
      </w:r>
      <w:r w:rsidR="00744A1C">
        <w:rPr>
          <w:rtl/>
          <w:lang w:bidi="fa-IR"/>
        </w:rPr>
        <w:t xml:space="preserve"> في </w:t>
      </w:r>
      <w:r w:rsidR="00744A1C" w:rsidRPr="00D64C8D">
        <w:rPr>
          <w:rtl/>
        </w:rPr>
        <w:t>الوسائل :</w:t>
      </w:r>
      <w:r w:rsidR="00744A1C">
        <w:rPr>
          <w:rtl/>
          <w:lang w:bidi="fa-IR"/>
        </w:rPr>
        <w:t xml:space="preserve"> « حجّة وعمرة ».</w:t>
      </w:r>
    </w:p>
    <w:p w:rsidR="00744A1C" w:rsidRDefault="00E378DD" w:rsidP="00E378DD">
      <w:pPr>
        <w:pStyle w:val="libFootnote0"/>
        <w:rPr>
          <w:lang w:bidi="fa-IR"/>
        </w:rPr>
      </w:pPr>
      <w:r>
        <w:rPr>
          <w:rtl/>
          <w:lang w:bidi="fa-IR"/>
        </w:rPr>
        <w:t>(13).</w:t>
      </w:r>
      <w:r w:rsidR="00744A1C">
        <w:rPr>
          <w:rtl/>
          <w:lang w:bidi="fa-IR"/>
        </w:rPr>
        <w:t xml:space="preserve"> هكذا في جميع النسخ التي قوبلت </w:t>
      </w:r>
      <w:r w:rsidR="00744A1C" w:rsidRPr="00D64C8D">
        <w:rPr>
          <w:rtl/>
        </w:rPr>
        <w:t>والوافي والوسائل.</w:t>
      </w:r>
      <w:r w:rsidR="00744A1C">
        <w:rPr>
          <w:rtl/>
          <w:lang w:bidi="fa-IR"/>
        </w:rPr>
        <w:t xml:space="preserve"> وفي المطبوع : « مقبولات مبرورات ».</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حَجَّةً ، فَادْعُ اللهَ أَنْ يَرْزُقَنِي تَمَامَ الْعِشْرِينَ حَجَّةً.</w:t>
      </w:r>
    </w:p>
    <w:p w:rsidR="00144FA6" w:rsidRDefault="00744A1C" w:rsidP="00744A1C">
      <w:pPr>
        <w:pStyle w:val="libNormal"/>
        <w:rPr>
          <w:rtl/>
          <w:lang w:bidi="fa-IR"/>
        </w:rPr>
      </w:pPr>
      <w:r>
        <w:rPr>
          <w:rtl/>
          <w:lang w:bidi="fa-IR"/>
        </w:rPr>
        <w:t xml:space="preserve">قَالَ : « هَلْ زُرْتَ قَبْرَ </w:t>
      </w:r>
      <w:r w:rsidRPr="00D10E3C">
        <w:rPr>
          <w:rStyle w:val="libFootnotenumChar"/>
          <w:rtl/>
        </w:rPr>
        <w:t>(1)</w:t>
      </w:r>
      <w:r>
        <w:rPr>
          <w:rtl/>
          <w:lang w:bidi="fa-IR"/>
        </w:rPr>
        <w:t xml:space="preserve"> الْحُسَيْنِ </w:t>
      </w:r>
      <w:r w:rsidR="0061079A" w:rsidRPr="0061079A">
        <w:rPr>
          <w:rStyle w:val="libAlaemChar"/>
          <w:rtl/>
        </w:rPr>
        <w:t>عليه‌السلام</w:t>
      </w:r>
      <w:r>
        <w:rPr>
          <w:rtl/>
          <w:lang w:bidi="fa-IR"/>
        </w:rPr>
        <w:t xml:space="preserve"> ؟ » قَالَ : لَا ، قَالَ : « لَزِيَارَتُهُ </w:t>
      </w:r>
      <w:r w:rsidRPr="00D10E3C">
        <w:rPr>
          <w:rStyle w:val="libFootnotenumChar"/>
          <w:rtl/>
        </w:rPr>
        <w:t>(2)</w:t>
      </w:r>
      <w:r>
        <w:rPr>
          <w:rtl/>
          <w:lang w:bidi="fa-IR"/>
        </w:rPr>
        <w:t xml:space="preserve"> خَيْرٌ مِنْ عِشْرِينَ حَجَّةً ». </w:t>
      </w:r>
      <w:r w:rsidRPr="00D10E3C">
        <w:rPr>
          <w:rStyle w:val="libFootnotenumChar"/>
          <w:rtl/>
        </w:rPr>
        <w:t>(3)</w:t>
      </w:r>
    </w:p>
    <w:p w:rsidR="00144FA6" w:rsidRDefault="00744A1C" w:rsidP="00744A1C">
      <w:pPr>
        <w:pStyle w:val="libNormal"/>
        <w:rPr>
          <w:rtl/>
          <w:lang w:bidi="fa-IR"/>
        </w:rPr>
      </w:pPr>
      <w:r>
        <w:rPr>
          <w:rtl/>
          <w:lang w:bidi="fa-IR"/>
        </w:rPr>
        <w:t xml:space="preserve">8169 / 4. مُحَمَّدُ بْنُ الْحُسَيْنِ </w:t>
      </w:r>
      <w:r w:rsidRPr="00D10E3C">
        <w:rPr>
          <w:rStyle w:val="libFootnotenumChar"/>
          <w:rtl/>
        </w:rPr>
        <w:t>(4)</w:t>
      </w:r>
      <w:r>
        <w:rPr>
          <w:rtl/>
          <w:lang w:bidi="fa-IR"/>
        </w:rPr>
        <w:t xml:space="preserve"> ، عَنْ مُحَمَّدِ بْنِ إِسْمَاعِيلَ ، عَنْ صَالِحِ بْنِ عُقْبَةَ ، عَنْ أَبِي سَعِيدٍ الْمَدَائِنِيِّ </w:t>
      </w:r>
      <w:r w:rsidRPr="00D10E3C">
        <w:rPr>
          <w:rStyle w:val="libFootnotenumChar"/>
          <w:rtl/>
        </w:rPr>
        <w:t>(5)</w:t>
      </w:r>
      <w:r>
        <w:rPr>
          <w:rtl/>
          <w:lang w:bidi="fa-IR"/>
        </w:rPr>
        <w:t xml:space="preserve"> ، قَالَ :</w:t>
      </w:r>
    </w:p>
    <w:p w:rsidR="00744A1C" w:rsidRDefault="00744A1C" w:rsidP="00744A1C">
      <w:pPr>
        <w:pStyle w:val="libNormal"/>
        <w:rPr>
          <w:lang w:bidi="fa-IR"/>
        </w:rPr>
      </w:pPr>
      <w:r>
        <w:rPr>
          <w:rtl/>
          <w:lang w:bidi="fa-IR"/>
        </w:rPr>
        <w:t xml:space="preserve">دَخَلْتُ عَلى أَبِي عَبْدِ اللهِ </w:t>
      </w:r>
      <w:r w:rsidR="0061079A" w:rsidRPr="0061079A">
        <w:rPr>
          <w:rStyle w:val="libAlaemChar"/>
          <w:rtl/>
        </w:rPr>
        <w:t>عليه‌السلام</w:t>
      </w:r>
      <w:r w:rsidR="00D10E3C">
        <w:rPr>
          <w:rtl/>
          <w:lang w:bidi="fa-IR"/>
        </w:rPr>
        <w:t xml:space="preserve"> </w:t>
      </w:r>
      <w:r>
        <w:rPr>
          <w:rtl/>
          <w:lang w:bidi="fa-IR"/>
        </w:rPr>
        <w:t xml:space="preserve">، فَقُلْتُ لَهُ </w:t>
      </w:r>
      <w:r w:rsidRPr="00D10E3C">
        <w:rPr>
          <w:rStyle w:val="libFootnotenumChar"/>
          <w:rtl/>
        </w:rPr>
        <w:t>(6)</w:t>
      </w:r>
      <w:r>
        <w:rPr>
          <w:rtl/>
          <w:lang w:bidi="fa-IR"/>
        </w:rPr>
        <w:t xml:space="preserve"> : جُعِلْتُ فِدَاكَ ، آتِي </w:t>
      </w:r>
      <w:r w:rsidRPr="00D10E3C">
        <w:rPr>
          <w:rStyle w:val="libFootnotenumChar"/>
          <w:rtl/>
        </w:rPr>
        <w:t>(7)</w:t>
      </w:r>
      <w:r>
        <w:rPr>
          <w:rtl/>
          <w:lang w:bidi="fa-IR"/>
        </w:rPr>
        <w:t xml:space="preserve"> قَبْرَ الْحُسَيْنِ </w:t>
      </w:r>
      <w:r w:rsidRPr="00D10E3C">
        <w:rPr>
          <w:rStyle w:val="libFootnotenumChar"/>
          <w:rtl/>
        </w:rPr>
        <w:t>(8)</w:t>
      </w:r>
      <w:r>
        <w:rPr>
          <w:rtl/>
          <w:lang w:bidi="fa-IR"/>
        </w:rPr>
        <w:t xml:space="preserve"> </w:t>
      </w:r>
      <w:r w:rsidR="0061079A" w:rsidRPr="0061079A">
        <w:rPr>
          <w:rStyle w:val="libAlaemChar"/>
          <w:rtl/>
        </w:rPr>
        <w:t>عليه‌السلام</w:t>
      </w:r>
      <w:r>
        <w:rPr>
          <w:rtl/>
          <w:lang w:bidi="fa-IR"/>
        </w:rPr>
        <w:t xml:space="preserve"> ؟</w:t>
      </w:r>
    </w:p>
    <w:p w:rsidR="00144FA6" w:rsidRDefault="00744A1C" w:rsidP="00D64C8D">
      <w:pPr>
        <w:pStyle w:val="libNormal"/>
        <w:rPr>
          <w:rtl/>
          <w:lang w:bidi="fa-IR"/>
        </w:rPr>
      </w:pPr>
      <w:r>
        <w:rPr>
          <w:rtl/>
          <w:lang w:bidi="fa-IR"/>
        </w:rPr>
        <w:t xml:space="preserve">قَالَ : « نَعَمْ يَا أَبَا سَعِيدٍ </w:t>
      </w:r>
      <w:r w:rsidRPr="00D10E3C">
        <w:rPr>
          <w:rStyle w:val="libFootnotenumChar"/>
          <w:rtl/>
        </w:rPr>
        <w:t>(9)</w:t>
      </w:r>
      <w:r>
        <w:rPr>
          <w:rtl/>
          <w:lang w:bidi="fa-IR"/>
        </w:rPr>
        <w:t xml:space="preserve"> ، فَائْتِ </w:t>
      </w:r>
      <w:r w:rsidRPr="00D10E3C">
        <w:rPr>
          <w:rStyle w:val="libFootnotenumChar"/>
          <w:rtl/>
        </w:rPr>
        <w:t>(10)</w:t>
      </w:r>
      <w:r>
        <w:rPr>
          <w:rtl/>
          <w:lang w:bidi="fa-IR"/>
        </w:rPr>
        <w:t xml:space="preserve"> قَبْرَ </w:t>
      </w:r>
      <w:r w:rsidRPr="00D10E3C">
        <w:rPr>
          <w:rStyle w:val="libFootnotenumChar"/>
          <w:rtl/>
        </w:rPr>
        <w:t>(11)</w:t>
      </w:r>
      <w:r>
        <w:rPr>
          <w:rtl/>
          <w:lang w:bidi="fa-IR"/>
        </w:rPr>
        <w:t xml:space="preserve"> ابْنِ رَسُولِ اللهِ </w:t>
      </w:r>
      <w:r w:rsidR="00D64C8D" w:rsidRPr="00D64C8D">
        <w:rPr>
          <w:rStyle w:val="libAlaemChar"/>
          <w:rFonts w:eastAsiaTheme="minorHAnsi"/>
          <w:rtl/>
        </w:rPr>
        <w:t>صلى‌الله‌عليه‌وآله‌وسلم</w:t>
      </w:r>
      <w:r w:rsidR="00D64C8D" w:rsidRPr="00D64C8D">
        <w:rPr>
          <w:rFonts w:eastAsiaTheme="minorHAnsi"/>
          <w:rtl/>
        </w:rPr>
        <w:t xml:space="preserve"> </w:t>
      </w:r>
      <w:r>
        <w:rPr>
          <w:rtl/>
          <w:lang w:bidi="fa-IR"/>
        </w:rPr>
        <w:t xml:space="preserve">أَطْيَبِ الطَّيِّبِينَ وَأَطْهَرِ الطَّاهِرِينَ وَأَبَرِّ </w:t>
      </w:r>
      <w:r w:rsidRPr="00D10E3C">
        <w:rPr>
          <w:rStyle w:val="libFootnotenumChar"/>
          <w:rtl/>
        </w:rPr>
        <w:t>(12)</w:t>
      </w:r>
      <w:r>
        <w:rPr>
          <w:rtl/>
          <w:lang w:bidi="fa-IR"/>
        </w:rPr>
        <w:t xml:space="preserve"> الْأَبْرَارِ ، فَإِذَا زُرْتَهُ كَتَبَ اللهُ لَكَ بِهِ </w:t>
      </w:r>
      <w:r w:rsidRPr="00D10E3C">
        <w:rPr>
          <w:rStyle w:val="libFootnotenumChar"/>
          <w:rtl/>
        </w:rPr>
        <w:t>(13)</w:t>
      </w:r>
      <w:r>
        <w:rPr>
          <w:rtl/>
          <w:lang w:bidi="fa-IR"/>
        </w:rPr>
        <w:t xml:space="preserve"> خَمْساً </w:t>
      </w:r>
      <w:r w:rsidRPr="00D10E3C">
        <w:rPr>
          <w:rStyle w:val="libFootnotenumChar"/>
          <w:rtl/>
        </w:rPr>
        <w:t>(14)</w:t>
      </w:r>
      <w:r>
        <w:rPr>
          <w:rtl/>
          <w:lang w:bidi="fa-IR"/>
        </w:rPr>
        <w:t xml:space="preserve"> وَعِشْرِينَ حَجَّةً </w:t>
      </w:r>
      <w:r w:rsidRPr="00D10E3C">
        <w:rPr>
          <w:rStyle w:val="libFootnotenumChar"/>
          <w:rtl/>
        </w:rPr>
        <w:t>(15)</w:t>
      </w:r>
      <w:r>
        <w:rPr>
          <w:rtl/>
          <w:lang w:bidi="fa-IR"/>
        </w:rPr>
        <w:t xml:space="preserve"> ». </w:t>
      </w:r>
      <w:r w:rsidRPr="00D10E3C">
        <w:rPr>
          <w:rStyle w:val="libFootnotenumChar"/>
          <w:rtl/>
        </w:rPr>
        <w:t>(16)</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D64C8D" w:rsidTr="00D64C8D">
        <w:tc>
          <w:tcPr>
            <w:tcW w:w="4006" w:type="dxa"/>
          </w:tcPr>
          <w:p w:rsidR="00D64C8D" w:rsidRDefault="00D64C8D" w:rsidP="00E378DD">
            <w:pPr>
              <w:pStyle w:val="libFootnote0"/>
              <w:rPr>
                <w:rtl/>
                <w:lang w:bidi="fa-IR"/>
              </w:rPr>
            </w:pPr>
            <w:r>
              <w:rPr>
                <w:rtl/>
                <w:lang w:bidi="fa-IR"/>
              </w:rPr>
              <w:t>(1). في « بخ ، بف » : - « قبر ».</w:t>
            </w:r>
          </w:p>
        </w:tc>
        <w:tc>
          <w:tcPr>
            <w:tcW w:w="4006" w:type="dxa"/>
          </w:tcPr>
          <w:p w:rsidR="00D64C8D" w:rsidRDefault="00D64C8D" w:rsidP="00E378DD">
            <w:pPr>
              <w:pStyle w:val="libFootnote0"/>
              <w:rPr>
                <w:rtl/>
                <w:lang w:bidi="fa-IR"/>
              </w:rPr>
            </w:pPr>
            <w:r>
              <w:rPr>
                <w:rtl/>
                <w:lang w:bidi="fa-IR"/>
              </w:rPr>
              <w:t>(2). في « بف » : « زيارته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7B299E">
        <w:rPr>
          <w:rStyle w:val="libFootnoteBoldChar"/>
          <w:rtl/>
        </w:rPr>
        <w:t>كامل الزيارات</w:t>
      </w:r>
      <w:r w:rsidR="00744A1C">
        <w:rPr>
          <w:rtl/>
          <w:lang w:bidi="fa-IR"/>
        </w:rPr>
        <w:t xml:space="preserve"> ، ص 160 ، الباب 65 ، ح 15 ؛ </w:t>
      </w:r>
      <w:r w:rsidR="00744A1C" w:rsidRPr="004D054E">
        <w:rPr>
          <w:rStyle w:val="libFootnoteBoldChar"/>
          <w:rtl/>
        </w:rPr>
        <w:t>وثواب الأعمال</w:t>
      </w:r>
      <w:r w:rsidR="00744A1C">
        <w:rPr>
          <w:rtl/>
          <w:lang w:bidi="fa-IR"/>
        </w:rPr>
        <w:t xml:space="preserve"> ، ص 119 ، ح 21 ، بسندهما عن محمّد بن الحسين. </w:t>
      </w:r>
      <w:r w:rsidR="00744A1C" w:rsidRPr="007B299E">
        <w:rPr>
          <w:rStyle w:val="libFootnoteBoldChar"/>
          <w:rtl/>
        </w:rPr>
        <w:t>كامل الزيارات</w:t>
      </w:r>
      <w:r w:rsidR="00744A1C">
        <w:rPr>
          <w:rtl/>
          <w:lang w:bidi="fa-IR"/>
        </w:rPr>
        <w:t xml:space="preserve"> ، ص 163 ، الباب 65 ، ح 8 ، بسنده عن محمّد بن إسماعيل ، عن صالح بن عقبة </w:t>
      </w:r>
      <w:r w:rsidR="00D64C8D">
        <w:rPr>
          <w:rFonts w:hint="cs"/>
          <w:rtl/>
          <w:lang w:bidi="fa-IR"/>
        </w:rPr>
        <w:t>.</w:t>
      </w:r>
      <w:r w:rsidR="00744A1C" w:rsidRPr="00C24F9C">
        <w:rPr>
          <w:rStyle w:val="libFootnoteBoldChar"/>
          <w:rtl/>
        </w:rPr>
        <w:t>الوافي</w:t>
      </w:r>
      <w:r w:rsidR="00744A1C">
        <w:rPr>
          <w:rtl/>
          <w:lang w:bidi="fa-IR"/>
        </w:rPr>
        <w:t xml:space="preserve"> ، ج 14 ، ص 1461 ، ح 14524 ؛ </w:t>
      </w:r>
      <w:r w:rsidR="00744A1C" w:rsidRPr="00C24F9C">
        <w:rPr>
          <w:rStyle w:val="libFootnoteBoldChar"/>
          <w:rtl/>
        </w:rPr>
        <w:t>الوسائل</w:t>
      </w:r>
      <w:r w:rsidR="00744A1C">
        <w:rPr>
          <w:rtl/>
          <w:lang w:bidi="fa-IR"/>
        </w:rPr>
        <w:t xml:space="preserve"> ، ج 14 ، ص 447 ، ح 19570.</w:t>
      </w:r>
    </w:p>
    <w:p w:rsidR="00744A1C" w:rsidRDefault="00E378DD" w:rsidP="00E378DD">
      <w:pPr>
        <w:pStyle w:val="libFootnote0"/>
        <w:rPr>
          <w:lang w:bidi="fa-IR"/>
        </w:rPr>
      </w:pPr>
      <w:r>
        <w:rPr>
          <w:rtl/>
          <w:lang w:bidi="fa-IR"/>
        </w:rPr>
        <w:t>(4).</w:t>
      </w:r>
      <w:r w:rsidR="00744A1C">
        <w:rPr>
          <w:rtl/>
          <w:lang w:bidi="fa-IR"/>
        </w:rPr>
        <w:t xml:space="preserve"> السند معلّق على سابقه. ويروي عن محمّد بن الحسين ، محمّد بن يحيى.</w:t>
      </w:r>
    </w:p>
    <w:p w:rsidR="00744A1C" w:rsidRDefault="00E378DD" w:rsidP="00E378DD">
      <w:pPr>
        <w:pStyle w:val="libFootnote0"/>
        <w:rPr>
          <w:lang w:bidi="fa-IR"/>
        </w:rPr>
      </w:pPr>
      <w:r>
        <w:rPr>
          <w:rtl/>
          <w:lang w:bidi="fa-IR"/>
        </w:rPr>
        <w:t>(5).</w:t>
      </w:r>
      <w:r w:rsidR="00744A1C">
        <w:rPr>
          <w:rtl/>
          <w:lang w:bidi="fa-IR"/>
        </w:rPr>
        <w:t xml:space="preserve"> في « بح ، بخ ، بس ، بف ، جد ، جر » وحاشية « بث » : « المكاري ». لكن لم نجد رواية صالح بن عقبة عن أبي سعيد المكاري ، وقد تكرّر الخبر في المصادر وفي الجميع : أبي سعيد المدائني.</w:t>
      </w:r>
    </w:p>
    <w:p w:rsidR="00744A1C" w:rsidRDefault="00E378DD" w:rsidP="00E378DD">
      <w:pPr>
        <w:pStyle w:val="libFootnote0"/>
        <w:rPr>
          <w:lang w:bidi="fa-IR"/>
        </w:rPr>
      </w:pPr>
      <w:r>
        <w:rPr>
          <w:rtl/>
          <w:lang w:bidi="fa-IR"/>
        </w:rPr>
        <w:t>(6).</w:t>
      </w:r>
      <w:r w:rsidR="00744A1C">
        <w:rPr>
          <w:rtl/>
          <w:lang w:bidi="fa-IR"/>
        </w:rPr>
        <w:t xml:space="preserve"> في « ى » </w:t>
      </w:r>
      <w:r w:rsidR="00744A1C" w:rsidRPr="00D64C8D">
        <w:rPr>
          <w:rtl/>
        </w:rPr>
        <w:t>وكامل الزيارات</w:t>
      </w:r>
      <w:r w:rsidR="00744A1C">
        <w:rPr>
          <w:rtl/>
          <w:lang w:bidi="fa-IR"/>
        </w:rPr>
        <w:t xml:space="preserve"> ، ص 161 وص 154 : - « له ».</w:t>
      </w:r>
    </w:p>
    <w:p w:rsidR="00744A1C" w:rsidRDefault="00E378DD" w:rsidP="00E378DD">
      <w:pPr>
        <w:pStyle w:val="libFootnote0"/>
        <w:rPr>
          <w:lang w:bidi="fa-IR"/>
        </w:rPr>
      </w:pPr>
      <w:r>
        <w:rPr>
          <w:rtl/>
          <w:lang w:bidi="fa-IR"/>
        </w:rPr>
        <w:t>(7).</w:t>
      </w:r>
      <w:r w:rsidR="00744A1C">
        <w:rPr>
          <w:rtl/>
          <w:lang w:bidi="fa-IR"/>
        </w:rPr>
        <w:t xml:space="preserve"> هكذا في « ى ، بس ، جد » وحاشية « بث » </w:t>
      </w:r>
      <w:r w:rsidR="00744A1C" w:rsidRPr="00D64C8D">
        <w:rPr>
          <w:rtl/>
        </w:rPr>
        <w:t>والوسائل وكامل الزيارات والثواب ، ص 11</w:t>
      </w:r>
      <w:r w:rsidR="00744A1C">
        <w:rPr>
          <w:rtl/>
          <w:lang w:bidi="fa-IR"/>
        </w:rPr>
        <w:t xml:space="preserve">2 ، ح 9 وح 14 وص 117. وفي « بث ، بح ، بف » </w:t>
      </w:r>
      <w:r w:rsidR="00744A1C" w:rsidRPr="00D64C8D">
        <w:rPr>
          <w:rtl/>
        </w:rPr>
        <w:t>والوافي</w:t>
      </w:r>
      <w:r w:rsidR="00744A1C">
        <w:rPr>
          <w:rtl/>
          <w:lang w:bidi="fa-IR"/>
        </w:rPr>
        <w:t xml:space="preserve"> : « أتيت ». وفي المطبوع : « أئت ».</w:t>
      </w:r>
    </w:p>
    <w:p w:rsidR="00744A1C" w:rsidRDefault="00E378DD" w:rsidP="00E378DD">
      <w:pPr>
        <w:pStyle w:val="libFootnote0"/>
        <w:rPr>
          <w:lang w:bidi="fa-IR"/>
        </w:rPr>
      </w:pPr>
      <w:r>
        <w:rPr>
          <w:rtl/>
          <w:lang w:bidi="fa-IR"/>
        </w:rPr>
        <w:t>(8).</w:t>
      </w:r>
      <w:r w:rsidR="00744A1C">
        <w:rPr>
          <w:rtl/>
          <w:lang w:bidi="fa-IR"/>
        </w:rPr>
        <w:t xml:space="preserve"> في </w:t>
      </w:r>
      <w:r w:rsidR="00744A1C" w:rsidRPr="00D64C8D">
        <w:rPr>
          <w:rtl/>
        </w:rPr>
        <w:t>كامل الزيارات</w:t>
      </w:r>
      <w:r w:rsidR="00744A1C">
        <w:rPr>
          <w:rtl/>
          <w:lang w:bidi="fa-IR"/>
        </w:rPr>
        <w:t xml:space="preserve"> ، ص 146 : « قبر ابن رسول الله ».</w:t>
      </w:r>
    </w:p>
    <w:tbl>
      <w:tblPr>
        <w:tblStyle w:val="TableGrid"/>
        <w:bidiVisual/>
        <w:tblW w:w="0" w:type="auto"/>
        <w:tblLook w:val="04A0" w:firstRow="1" w:lastRow="0" w:firstColumn="1" w:lastColumn="0" w:noHBand="0" w:noVBand="1"/>
      </w:tblPr>
      <w:tblGrid>
        <w:gridCol w:w="4006"/>
        <w:gridCol w:w="4006"/>
      </w:tblGrid>
      <w:tr w:rsidR="00D64C8D" w:rsidTr="00D64C8D">
        <w:tc>
          <w:tcPr>
            <w:tcW w:w="4006" w:type="dxa"/>
          </w:tcPr>
          <w:p w:rsidR="00D64C8D" w:rsidRDefault="00D64C8D" w:rsidP="00E378DD">
            <w:pPr>
              <w:pStyle w:val="libFootnote0"/>
              <w:rPr>
                <w:rtl/>
                <w:lang w:bidi="fa-IR"/>
              </w:rPr>
            </w:pPr>
            <w:r>
              <w:rPr>
                <w:rtl/>
                <w:lang w:bidi="fa-IR"/>
              </w:rPr>
              <w:t xml:space="preserve">(9). في </w:t>
            </w:r>
            <w:r w:rsidRPr="00D64C8D">
              <w:rPr>
                <w:rtl/>
              </w:rPr>
              <w:t>الوسائل :</w:t>
            </w:r>
            <w:r>
              <w:rPr>
                <w:rtl/>
                <w:lang w:bidi="fa-IR"/>
              </w:rPr>
              <w:t xml:space="preserve"> - « يا أبا سعيد ».</w:t>
            </w:r>
          </w:p>
        </w:tc>
        <w:tc>
          <w:tcPr>
            <w:tcW w:w="4006" w:type="dxa"/>
          </w:tcPr>
          <w:p w:rsidR="00D64C8D" w:rsidRDefault="00D64C8D" w:rsidP="00E378DD">
            <w:pPr>
              <w:pStyle w:val="libFootnote0"/>
              <w:rPr>
                <w:rtl/>
                <w:lang w:bidi="fa-IR"/>
              </w:rPr>
            </w:pPr>
            <w:r>
              <w:rPr>
                <w:rtl/>
                <w:lang w:bidi="fa-IR"/>
              </w:rPr>
              <w:t>(10). في « بث » : - « فائت ».</w:t>
            </w:r>
          </w:p>
        </w:tc>
      </w:tr>
      <w:tr w:rsidR="00D64C8D" w:rsidTr="00D64C8D">
        <w:tc>
          <w:tcPr>
            <w:tcW w:w="4006" w:type="dxa"/>
          </w:tcPr>
          <w:p w:rsidR="00D64C8D" w:rsidRDefault="00D64C8D" w:rsidP="00E378DD">
            <w:pPr>
              <w:pStyle w:val="libFootnote0"/>
              <w:rPr>
                <w:rtl/>
                <w:lang w:bidi="fa-IR"/>
              </w:rPr>
            </w:pPr>
            <w:r>
              <w:rPr>
                <w:rtl/>
                <w:lang w:bidi="fa-IR"/>
              </w:rPr>
              <w:t xml:space="preserve">(11). في </w:t>
            </w:r>
            <w:r w:rsidRPr="00D64C8D">
              <w:rPr>
                <w:rtl/>
              </w:rPr>
              <w:t>كامل الزيارات ،</w:t>
            </w:r>
            <w:r>
              <w:rPr>
                <w:rtl/>
                <w:lang w:bidi="fa-IR"/>
              </w:rPr>
              <w:t>ص161 : + « الحسين ».</w:t>
            </w:r>
          </w:p>
        </w:tc>
        <w:tc>
          <w:tcPr>
            <w:tcW w:w="4006" w:type="dxa"/>
          </w:tcPr>
          <w:p w:rsidR="00D64C8D" w:rsidRDefault="00D64C8D" w:rsidP="00E378DD">
            <w:pPr>
              <w:pStyle w:val="libFootnote0"/>
              <w:rPr>
                <w:rtl/>
                <w:lang w:bidi="fa-IR"/>
              </w:rPr>
            </w:pPr>
            <w:r>
              <w:rPr>
                <w:rtl/>
                <w:lang w:bidi="fa-IR"/>
              </w:rPr>
              <w:t>(12). في « بث » : « وابن ».</w:t>
            </w:r>
          </w:p>
        </w:tc>
      </w:tr>
    </w:tbl>
    <w:p w:rsidR="00744A1C" w:rsidRDefault="00E378DD" w:rsidP="00E378DD">
      <w:pPr>
        <w:pStyle w:val="libFootnote0"/>
        <w:rPr>
          <w:lang w:bidi="fa-IR"/>
        </w:rPr>
      </w:pPr>
      <w:r>
        <w:rPr>
          <w:rtl/>
          <w:lang w:bidi="fa-IR"/>
        </w:rPr>
        <w:t>(13).</w:t>
      </w:r>
      <w:r w:rsidR="00744A1C">
        <w:rPr>
          <w:rtl/>
          <w:lang w:bidi="fa-IR"/>
        </w:rPr>
        <w:t xml:space="preserve"> في </w:t>
      </w:r>
      <w:r w:rsidR="00744A1C" w:rsidRPr="00D64C8D">
        <w:rPr>
          <w:rtl/>
        </w:rPr>
        <w:t>كامل الزيارات</w:t>
      </w:r>
      <w:r w:rsidR="00744A1C">
        <w:rPr>
          <w:rtl/>
          <w:lang w:bidi="fa-IR"/>
        </w:rPr>
        <w:t xml:space="preserve"> ، ص 164 والثواب ، ص 112 ، ح 14 : « عتق » بدل « به ».</w:t>
      </w:r>
    </w:p>
    <w:p w:rsidR="00744A1C" w:rsidRDefault="00E378DD" w:rsidP="00E378DD">
      <w:pPr>
        <w:pStyle w:val="libFootnote0"/>
        <w:rPr>
          <w:lang w:bidi="fa-IR"/>
        </w:rPr>
      </w:pPr>
      <w:r>
        <w:rPr>
          <w:rtl/>
          <w:lang w:bidi="fa-IR"/>
        </w:rPr>
        <w:t>(14).</w:t>
      </w:r>
      <w:r w:rsidR="00744A1C">
        <w:rPr>
          <w:rtl/>
          <w:lang w:bidi="fa-IR"/>
        </w:rPr>
        <w:t xml:space="preserve"> هكذا في « بث ، بح » والثواب ، ص 117. وفي المطبوع و</w:t>
      </w:r>
      <w:r w:rsidR="00744A1C" w:rsidRPr="00C24F9C">
        <w:rPr>
          <w:rStyle w:val="libFootnoteBoldChar"/>
          <w:rtl/>
        </w:rPr>
        <w:t>الوافي</w:t>
      </w:r>
      <w:r w:rsidR="00744A1C">
        <w:rPr>
          <w:rtl/>
          <w:lang w:bidi="fa-IR"/>
        </w:rPr>
        <w:t xml:space="preserve"> : « خمسة ». وفي الثواب ، ص 112 ، ح 9 : « اثنين ». وفي </w:t>
      </w:r>
      <w:r w:rsidR="00744A1C" w:rsidRPr="00D64C8D">
        <w:rPr>
          <w:rtl/>
        </w:rPr>
        <w:t>كامل الزيارات</w:t>
      </w:r>
      <w:r w:rsidR="00744A1C">
        <w:rPr>
          <w:rtl/>
          <w:lang w:bidi="fa-IR"/>
        </w:rPr>
        <w:t xml:space="preserve"> ، ص 154 : « اثنتان ».</w:t>
      </w:r>
    </w:p>
    <w:p w:rsidR="00744A1C" w:rsidRDefault="00E378DD" w:rsidP="00E378DD">
      <w:pPr>
        <w:pStyle w:val="libFootnote0"/>
        <w:rPr>
          <w:lang w:bidi="fa-IR"/>
        </w:rPr>
      </w:pPr>
      <w:r>
        <w:rPr>
          <w:rtl/>
          <w:lang w:bidi="fa-IR"/>
        </w:rPr>
        <w:t>(15).</w:t>
      </w:r>
      <w:r w:rsidR="00744A1C">
        <w:rPr>
          <w:rtl/>
          <w:lang w:bidi="fa-IR"/>
        </w:rPr>
        <w:t xml:space="preserve"> في </w:t>
      </w:r>
      <w:r w:rsidR="00744A1C" w:rsidRPr="00D64C8D">
        <w:rPr>
          <w:rtl/>
        </w:rPr>
        <w:t>كامل الزيارات ،</w:t>
      </w:r>
      <w:r w:rsidR="00744A1C">
        <w:rPr>
          <w:rtl/>
          <w:lang w:bidi="fa-IR"/>
        </w:rPr>
        <w:t xml:space="preserve"> ص 164 والثواب ، ص 112 ، ح 14 : « رقبة ». وفي الثواب ، ص 112 ، ح 9 </w:t>
      </w:r>
      <w:r w:rsidR="00744A1C" w:rsidRPr="00D64C8D">
        <w:rPr>
          <w:rtl/>
        </w:rPr>
        <w:t>وكامل الزيارات ،</w:t>
      </w:r>
      <w:r w:rsidR="00744A1C">
        <w:rPr>
          <w:rtl/>
          <w:lang w:bidi="fa-IR"/>
        </w:rPr>
        <w:t xml:space="preserve"> ص 154 : « عمرة ».</w:t>
      </w:r>
    </w:p>
    <w:p w:rsidR="00144FA6" w:rsidRDefault="00744A1C" w:rsidP="00D10E3C">
      <w:pPr>
        <w:pStyle w:val="libFootnote0"/>
        <w:rPr>
          <w:rtl/>
          <w:lang w:bidi="fa-IR"/>
        </w:rPr>
      </w:pPr>
      <w:r>
        <w:rPr>
          <w:rtl/>
          <w:lang w:bidi="fa-IR"/>
        </w:rPr>
        <w:t xml:space="preserve">(16) </w:t>
      </w:r>
      <w:r w:rsidRPr="007B299E">
        <w:rPr>
          <w:rStyle w:val="libFootnoteBoldChar"/>
          <w:rtl/>
        </w:rPr>
        <w:t>كامل الزيارات</w:t>
      </w:r>
      <w:r>
        <w:rPr>
          <w:rtl/>
          <w:lang w:bidi="fa-IR"/>
        </w:rPr>
        <w:t xml:space="preserve"> ، ص 161 ، الباب 66 ، ح 2 ، عن محمّد بن يعقوب بهذا السند ، وبسند آخر أيضاً عن</w:t>
      </w:r>
      <w:r w:rsidR="00D64C8D">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8170 / 5. مُحَمَّدُ بْنُ الْحُسَيْنِ </w:t>
      </w:r>
      <w:r w:rsidRPr="00D10E3C">
        <w:rPr>
          <w:rStyle w:val="libFootnotenumChar"/>
          <w:rtl/>
        </w:rPr>
        <w:t>(1)</w:t>
      </w:r>
      <w:r>
        <w:rPr>
          <w:rtl/>
          <w:lang w:bidi="fa-IR"/>
        </w:rPr>
        <w:t xml:space="preserve"> ، عَنْ مُحَمَّدِ بْنِ سِنَانٍ ، عَنْ مُحَمَّدِ بْنِ صَدَقَةَ ، عَنْ صَالِحٍ النِّيلِيِّ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مَنْ أَتى قَبْرَ الْحُسَيْنِ </w:t>
      </w:r>
      <w:r w:rsidR="0061079A" w:rsidRPr="0061079A">
        <w:rPr>
          <w:rStyle w:val="libAlaemChar"/>
          <w:rtl/>
        </w:rPr>
        <w:t>عليه‌السلام</w:t>
      </w:r>
      <w:r w:rsidR="00D10E3C">
        <w:rPr>
          <w:rtl/>
          <w:lang w:bidi="fa-IR"/>
        </w:rPr>
        <w:t xml:space="preserve"> </w:t>
      </w:r>
      <w:r>
        <w:rPr>
          <w:rtl/>
          <w:lang w:bidi="fa-IR"/>
        </w:rPr>
        <w:t xml:space="preserve">عَارِفاً بِحَقِّهِ ، كَتَبَ اللهُ لَهُ أَجْرَ مَنْ أَعْتَقَ أَلْفَ نَسَمَةٍ ، وَ </w:t>
      </w:r>
      <w:r w:rsidRPr="00D10E3C">
        <w:rPr>
          <w:rStyle w:val="libFootnotenumChar"/>
          <w:rtl/>
        </w:rPr>
        <w:t>(2)</w:t>
      </w:r>
      <w:r>
        <w:rPr>
          <w:rtl/>
          <w:lang w:bidi="fa-IR"/>
        </w:rPr>
        <w:t xml:space="preserve"> كَمَنْ حَمَلَ عَلى </w:t>
      </w:r>
      <w:r w:rsidRPr="00D10E3C">
        <w:rPr>
          <w:rStyle w:val="libFootnotenumChar"/>
          <w:rtl/>
        </w:rPr>
        <w:t>(3)</w:t>
      </w:r>
      <w:r>
        <w:rPr>
          <w:rtl/>
          <w:lang w:bidi="fa-IR"/>
        </w:rPr>
        <w:t xml:space="preserve"> أَلْفِ فَرَسٍ مُسْرَجَةٍ مُلْجَمَةٍ فِي سَبِيلِ اللهِ ». </w:t>
      </w:r>
      <w:r w:rsidRPr="00D10E3C">
        <w:rPr>
          <w:rStyle w:val="libFootnotenumChar"/>
          <w:rtl/>
        </w:rPr>
        <w:t>(4)</w:t>
      </w:r>
    </w:p>
    <w:p w:rsidR="00144FA6" w:rsidRDefault="00744A1C" w:rsidP="00744A1C">
      <w:pPr>
        <w:pStyle w:val="libNormal"/>
        <w:rPr>
          <w:rtl/>
          <w:lang w:bidi="fa-IR"/>
        </w:rPr>
      </w:pPr>
      <w:r>
        <w:rPr>
          <w:rtl/>
          <w:lang w:bidi="fa-IR"/>
        </w:rPr>
        <w:t>8171 / 6. عِدَّةٌ مِنْ أَصْحَابِنَا ، عَنْ أَحْمَدَ بْنِ مُحَمَّدٍ ، عَنِ الْحُسَيْنِ بْنِ سَعِيدٍ ، عَنِ الْقَاسِمِ بْنِ مُحَمَّدٍ ، عَنْ إِسْحَاقَ بْنِ إِبْرَاهِيمَ ، عَنْ هَارُونَ بْنِ خَارِجَةَ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وَكَّلَ اللهُ بِقَبْرِ الْحُسَيْنِ </w:t>
      </w:r>
      <w:r w:rsidR="0061079A" w:rsidRPr="0061079A">
        <w:rPr>
          <w:rStyle w:val="libAlaemChar"/>
          <w:rtl/>
        </w:rPr>
        <w:t>عليه‌السلام</w:t>
      </w:r>
      <w:r w:rsidR="00D10E3C">
        <w:rPr>
          <w:rtl/>
          <w:lang w:bidi="fa-IR"/>
        </w:rPr>
        <w:t xml:space="preserve"> </w:t>
      </w:r>
      <w:r>
        <w:rPr>
          <w:rtl/>
          <w:lang w:bidi="fa-IR"/>
        </w:rPr>
        <w:t xml:space="preserve">أَرْبَعَةَ آلَافِ مَلَكٍ شُعْثاً غُبْراً - </w:t>
      </w:r>
      <w:r w:rsidRPr="00D10E3C">
        <w:rPr>
          <w:rStyle w:val="libFootnotenumChar"/>
          <w:rtl/>
        </w:rPr>
        <w:t>(5)</w:t>
      </w:r>
      <w:r>
        <w:rPr>
          <w:rtl/>
          <w:lang w:bidi="fa-IR"/>
        </w:rPr>
        <w:t xml:space="preserve"> يَبْكُونَهُ إِلى يَوْمِ الْقِيَامَةِ ، فَمَنْ زَارَهُ عَارِفاً بِحَقِّهِ ، شَيَّعُوهُ حَتّى يُبْلِغُوهُ مَأْمَنَهُ ،</w:t>
      </w:r>
    </w:p>
    <w:p w:rsidR="00744A1C" w:rsidRDefault="00744A1C" w:rsidP="00D10E3C">
      <w:pPr>
        <w:pStyle w:val="libLine"/>
        <w:rPr>
          <w:lang w:bidi="fa-IR"/>
        </w:rPr>
      </w:pPr>
      <w:r>
        <w:rPr>
          <w:rtl/>
          <w:lang w:bidi="fa-IR"/>
        </w:rPr>
        <w:t>____________________</w:t>
      </w:r>
    </w:p>
    <w:p w:rsidR="00744A1C" w:rsidRDefault="00075807" w:rsidP="00D10E3C">
      <w:pPr>
        <w:pStyle w:val="libFootnote0"/>
        <w:rPr>
          <w:lang w:bidi="fa-IR"/>
        </w:rPr>
      </w:pPr>
      <w:r>
        <w:rPr>
          <w:rFonts w:hint="cs"/>
          <w:rtl/>
          <w:lang w:bidi="fa-IR"/>
        </w:rPr>
        <w:t xml:space="preserve">= </w:t>
      </w:r>
      <w:r w:rsidR="00744A1C">
        <w:rPr>
          <w:rtl/>
          <w:lang w:bidi="fa-IR"/>
        </w:rPr>
        <w:t xml:space="preserve">محمّد بن إسماعيل بن بزيع ، عن صالح بن عقبة. وفي </w:t>
      </w:r>
      <w:r w:rsidR="00744A1C" w:rsidRPr="007B299E">
        <w:rPr>
          <w:rStyle w:val="libFootnoteBoldChar"/>
          <w:rtl/>
        </w:rPr>
        <w:t>كامل الزيارات</w:t>
      </w:r>
      <w:r w:rsidR="00744A1C">
        <w:rPr>
          <w:rtl/>
          <w:lang w:bidi="fa-IR"/>
        </w:rPr>
        <w:t xml:space="preserve"> ، ص 164 ، الباب 67 ، ح 2 ؛ </w:t>
      </w:r>
      <w:r w:rsidR="00744A1C" w:rsidRPr="004D054E">
        <w:rPr>
          <w:rStyle w:val="libFootnoteBoldChar"/>
          <w:rtl/>
        </w:rPr>
        <w:t>وثواب الأعمال</w:t>
      </w:r>
      <w:r w:rsidR="00744A1C">
        <w:rPr>
          <w:rtl/>
          <w:lang w:bidi="fa-IR"/>
        </w:rPr>
        <w:t xml:space="preserve"> ، ص 112 ، ح 14 ؛ وص 117 ، ح 35 ، بسند آخر عن محمّد بن الحسين. </w:t>
      </w:r>
      <w:r w:rsidR="00744A1C" w:rsidRPr="007B299E">
        <w:rPr>
          <w:rStyle w:val="libFootnoteBoldChar"/>
          <w:rtl/>
        </w:rPr>
        <w:t>كامل الزيارات</w:t>
      </w:r>
      <w:r w:rsidR="00744A1C">
        <w:rPr>
          <w:rtl/>
          <w:lang w:bidi="fa-IR"/>
        </w:rPr>
        <w:t xml:space="preserve"> ، ص 164 ، الباب 66 ، ذيل ح 2 ، بسنده عن محمّد بن إسماعيل. وفي </w:t>
      </w:r>
      <w:r w:rsidR="00744A1C" w:rsidRPr="007B299E">
        <w:rPr>
          <w:rStyle w:val="libFootnoteBoldChar"/>
          <w:rtl/>
        </w:rPr>
        <w:t>كامل الزيارات</w:t>
      </w:r>
      <w:r w:rsidR="00744A1C">
        <w:rPr>
          <w:rtl/>
          <w:lang w:bidi="fa-IR"/>
        </w:rPr>
        <w:t xml:space="preserve"> ، ص 154 ، الباب 63 ، ح 2 ؛ </w:t>
      </w:r>
      <w:r w:rsidR="00744A1C" w:rsidRPr="004D054E">
        <w:rPr>
          <w:rStyle w:val="libFootnoteBoldChar"/>
          <w:rtl/>
        </w:rPr>
        <w:t>وثواب الأعمال</w:t>
      </w:r>
      <w:r w:rsidR="00744A1C">
        <w:rPr>
          <w:rtl/>
          <w:lang w:bidi="fa-IR"/>
        </w:rPr>
        <w:t xml:space="preserve"> ، ص 112 ، ح 9 ، بسندهما عن أبي سعيد المدائني </w:t>
      </w:r>
      <w:r w:rsidR="00510222">
        <w:rPr>
          <w:rFonts w:hint="cs"/>
          <w:rtl/>
          <w:lang w:bidi="fa-IR"/>
        </w:rPr>
        <w:t>.</w:t>
      </w:r>
      <w:r w:rsidR="00744A1C" w:rsidRPr="00C24F9C">
        <w:rPr>
          <w:rStyle w:val="libFootnoteBoldChar"/>
          <w:rtl/>
        </w:rPr>
        <w:t>الوافي</w:t>
      </w:r>
      <w:r w:rsidR="00744A1C">
        <w:rPr>
          <w:rtl/>
          <w:lang w:bidi="fa-IR"/>
        </w:rPr>
        <w:t xml:space="preserve"> ، ج 14 ، ص 1461 ح 14525 ؛ </w:t>
      </w:r>
      <w:r w:rsidR="00744A1C" w:rsidRPr="00C24F9C">
        <w:rPr>
          <w:rStyle w:val="libFootnoteBoldChar"/>
          <w:rtl/>
        </w:rPr>
        <w:t>الوسائل</w:t>
      </w:r>
      <w:r w:rsidR="00744A1C">
        <w:rPr>
          <w:rtl/>
          <w:lang w:bidi="fa-IR"/>
        </w:rPr>
        <w:t xml:space="preserve"> ، ج 14 ، ص 448 ، ح 19571 ، ح 6.</w:t>
      </w:r>
    </w:p>
    <w:tbl>
      <w:tblPr>
        <w:tblStyle w:val="TableGrid"/>
        <w:bidiVisual/>
        <w:tblW w:w="0" w:type="auto"/>
        <w:tblLook w:val="04A0" w:firstRow="1" w:lastRow="0" w:firstColumn="1" w:lastColumn="0" w:noHBand="0" w:noVBand="1"/>
      </w:tblPr>
      <w:tblGrid>
        <w:gridCol w:w="4006"/>
        <w:gridCol w:w="4006"/>
      </w:tblGrid>
      <w:tr w:rsidR="00510222" w:rsidTr="00510222">
        <w:tc>
          <w:tcPr>
            <w:tcW w:w="4006" w:type="dxa"/>
          </w:tcPr>
          <w:p w:rsidR="00510222" w:rsidRDefault="00510222" w:rsidP="00D10E3C">
            <w:pPr>
              <w:pStyle w:val="libFootnote0"/>
              <w:rPr>
                <w:rtl/>
                <w:lang w:bidi="fa-IR"/>
              </w:rPr>
            </w:pPr>
            <w:r>
              <w:rPr>
                <w:rtl/>
                <w:lang w:bidi="fa-IR"/>
              </w:rPr>
              <w:t>(1). السند معلّق ، كسابقه.</w:t>
            </w:r>
          </w:p>
        </w:tc>
        <w:tc>
          <w:tcPr>
            <w:tcW w:w="4006" w:type="dxa"/>
          </w:tcPr>
          <w:p w:rsidR="00510222" w:rsidRDefault="00510222" w:rsidP="00D10E3C">
            <w:pPr>
              <w:pStyle w:val="libFootnote0"/>
              <w:rPr>
                <w:rtl/>
                <w:lang w:bidi="fa-IR"/>
              </w:rPr>
            </w:pPr>
            <w:r>
              <w:rPr>
                <w:rtl/>
                <w:lang w:bidi="fa-IR"/>
              </w:rPr>
              <w:t xml:space="preserve">(2). في </w:t>
            </w:r>
            <w:r w:rsidRPr="00510222">
              <w:rPr>
                <w:rtl/>
              </w:rPr>
              <w:t xml:space="preserve">الوسائل </w:t>
            </w:r>
            <w:r>
              <w:rPr>
                <w:rtl/>
                <w:lang w:bidi="fa-IR"/>
              </w:rPr>
              <w:t>: « وكان ».</w:t>
            </w:r>
          </w:p>
        </w:tc>
      </w:tr>
    </w:tbl>
    <w:p w:rsidR="00744A1C" w:rsidRDefault="00E378DD" w:rsidP="00E378DD">
      <w:pPr>
        <w:pStyle w:val="libFootnote0"/>
        <w:rPr>
          <w:lang w:bidi="fa-IR"/>
        </w:rPr>
      </w:pPr>
      <w:r>
        <w:rPr>
          <w:rtl/>
          <w:lang w:bidi="fa-IR"/>
        </w:rPr>
        <w:t>(3).</w:t>
      </w:r>
      <w:r w:rsidR="00744A1C">
        <w:rPr>
          <w:rtl/>
          <w:lang w:bidi="fa-IR"/>
        </w:rPr>
        <w:t xml:space="preserve"> في « بف » : - « على ».</w:t>
      </w:r>
    </w:p>
    <w:p w:rsidR="00744A1C" w:rsidRDefault="00E378DD" w:rsidP="00E378DD">
      <w:pPr>
        <w:pStyle w:val="libFootnote0"/>
        <w:rPr>
          <w:lang w:bidi="fa-IR"/>
        </w:rPr>
      </w:pPr>
      <w:r>
        <w:rPr>
          <w:rtl/>
          <w:lang w:bidi="fa-IR"/>
        </w:rPr>
        <w:t>(4).</w:t>
      </w:r>
      <w:r w:rsidR="00744A1C">
        <w:rPr>
          <w:rtl/>
          <w:lang w:bidi="fa-IR"/>
        </w:rPr>
        <w:t xml:space="preserve"> </w:t>
      </w:r>
      <w:r w:rsidR="00744A1C" w:rsidRPr="007B299E">
        <w:rPr>
          <w:rStyle w:val="libFootnoteBoldChar"/>
          <w:rtl/>
        </w:rPr>
        <w:t>كامل الزيارات</w:t>
      </w:r>
      <w:r w:rsidR="00744A1C">
        <w:rPr>
          <w:rtl/>
          <w:lang w:bidi="fa-IR"/>
        </w:rPr>
        <w:t xml:space="preserve"> ، ص 164 ، الباب 67 ، ح 1 ، عن أبيه ومحمّد بن يعقوب ، عن محمّد بن يحيى العطّار ، عن محمّد بن الحسين ، وبسند آخر عن محمّد بن الحسين الزيّات ، عن محمّد بن سنان. وفي </w:t>
      </w:r>
      <w:r w:rsidR="00744A1C" w:rsidRPr="00C24F9C">
        <w:rPr>
          <w:rStyle w:val="libFootnoteBoldChar"/>
          <w:rtl/>
        </w:rPr>
        <w:t>التهذيب</w:t>
      </w:r>
      <w:r w:rsidR="00744A1C">
        <w:rPr>
          <w:rtl/>
          <w:lang w:bidi="fa-IR"/>
        </w:rPr>
        <w:t xml:space="preserve"> ، ج 6 ، ص 44 ، ح 94 ؛ </w:t>
      </w:r>
      <w:r w:rsidR="00744A1C" w:rsidRPr="004D054E">
        <w:rPr>
          <w:rStyle w:val="libFootnoteBoldChar"/>
          <w:rtl/>
        </w:rPr>
        <w:t>وثواب الأعمال</w:t>
      </w:r>
      <w:r w:rsidR="00744A1C">
        <w:rPr>
          <w:rtl/>
          <w:lang w:bidi="fa-IR"/>
        </w:rPr>
        <w:t xml:space="preserve"> ، ص 112 ، ح 13 ، بسندهما عن محمّد بن الحسين. كتاب المزار ، ص 38 ، ح 2 ، بسنده عن محمّد بن الحسين الزيّات ، عن محمّد بن سنان </w:t>
      </w:r>
      <w:r w:rsidR="00510222">
        <w:rPr>
          <w:rFonts w:hint="cs"/>
          <w:rtl/>
          <w:lang w:bidi="fa-IR"/>
        </w:rPr>
        <w:t>.</w:t>
      </w:r>
      <w:r w:rsidR="00744A1C" w:rsidRPr="00C24F9C">
        <w:rPr>
          <w:rStyle w:val="libFootnoteBoldChar"/>
          <w:rtl/>
        </w:rPr>
        <w:t>الوافي</w:t>
      </w:r>
      <w:r w:rsidR="00744A1C">
        <w:rPr>
          <w:rtl/>
          <w:lang w:bidi="fa-IR"/>
        </w:rPr>
        <w:t xml:space="preserve"> ، ج 14 ، ص 1461 ، ح 14526 ؛ </w:t>
      </w:r>
      <w:r w:rsidR="00744A1C" w:rsidRPr="00C24F9C">
        <w:rPr>
          <w:rStyle w:val="libFootnoteBoldChar"/>
          <w:rtl/>
        </w:rPr>
        <w:t>الوسائل</w:t>
      </w:r>
      <w:r w:rsidR="00744A1C">
        <w:rPr>
          <w:rtl/>
          <w:lang w:bidi="fa-IR"/>
        </w:rPr>
        <w:t xml:space="preserve"> ، ج 14 ، ص 455 ، ح 19589.</w:t>
      </w:r>
    </w:p>
    <w:p w:rsidR="00744A1C" w:rsidRDefault="00E378DD" w:rsidP="00E378DD">
      <w:pPr>
        <w:pStyle w:val="libFootnote0"/>
        <w:rPr>
          <w:lang w:bidi="fa-IR"/>
        </w:rPr>
      </w:pPr>
      <w:r>
        <w:rPr>
          <w:rtl/>
          <w:lang w:bidi="fa-IR"/>
        </w:rPr>
        <w:t>(5).</w:t>
      </w:r>
      <w:r w:rsidR="00744A1C">
        <w:rPr>
          <w:rtl/>
          <w:lang w:bidi="fa-IR"/>
        </w:rPr>
        <w:t xml:space="preserve"> هكذا في « بخ ، بف ، جد » و</w:t>
      </w:r>
      <w:r w:rsidR="00744A1C" w:rsidRPr="00C24F9C">
        <w:rPr>
          <w:rStyle w:val="libFootnoteBoldChar"/>
          <w:rtl/>
        </w:rPr>
        <w:t>الوافي</w:t>
      </w:r>
      <w:r w:rsidR="00744A1C">
        <w:rPr>
          <w:rtl/>
          <w:lang w:bidi="fa-IR"/>
        </w:rPr>
        <w:t xml:space="preserve"> و</w:t>
      </w:r>
      <w:r w:rsidR="00744A1C" w:rsidRPr="007B299E">
        <w:rPr>
          <w:rStyle w:val="libFootnoteBoldChar"/>
          <w:rtl/>
        </w:rPr>
        <w:t>كامل الزيارات</w:t>
      </w:r>
      <w:r w:rsidR="00744A1C">
        <w:rPr>
          <w:rtl/>
          <w:lang w:bidi="fa-IR"/>
        </w:rPr>
        <w:t xml:space="preserve"> ، ص 189 وص 191 والأمالي للصدوق ، ص 142. وفي‌سائر النسخ والمطبوع : « شعث غبر ».</w:t>
      </w:r>
    </w:p>
    <w:p w:rsidR="00744A1C" w:rsidRDefault="00744A1C" w:rsidP="00D10E3C">
      <w:pPr>
        <w:pStyle w:val="libFootnote0"/>
        <w:rPr>
          <w:lang w:bidi="fa-IR"/>
        </w:rPr>
      </w:pPr>
      <w:r>
        <w:rPr>
          <w:rtl/>
          <w:lang w:bidi="fa-IR"/>
        </w:rPr>
        <w:t xml:space="preserve">و « الشُعْث » : جمع الأشعث ، وهو المغبرّ الرأس والمتلبّد الشعر ، وهو الشَّعِثُ. راجع : </w:t>
      </w:r>
      <w:r w:rsidRPr="00877682">
        <w:rPr>
          <w:rStyle w:val="libFootnoteBoldChar"/>
          <w:rtl/>
        </w:rPr>
        <w:t>لسان العرب</w:t>
      </w:r>
      <w:r>
        <w:rPr>
          <w:rtl/>
          <w:lang w:bidi="fa-IR"/>
        </w:rPr>
        <w:t xml:space="preserve"> ، ج 2 ، ص 160 ( شعث ).</w:t>
      </w:r>
    </w:p>
    <w:p w:rsidR="00744A1C" w:rsidRDefault="00744A1C" w:rsidP="00D10E3C">
      <w:pPr>
        <w:pStyle w:val="libFootnote0"/>
        <w:rPr>
          <w:lang w:bidi="fa-IR"/>
        </w:rPr>
      </w:pPr>
      <w:r>
        <w:rPr>
          <w:rtl/>
          <w:lang w:bidi="fa-IR"/>
        </w:rPr>
        <w:t xml:space="preserve">و « الغُبْر » : جمع الأغبر ، وهو الذي أصابه الغبار ، أو الذي لونه الغُبْرة ، وهو لون الغبار. راجع : </w:t>
      </w:r>
      <w:r w:rsidRPr="00877682">
        <w:rPr>
          <w:rStyle w:val="libFootnoteBoldChar"/>
          <w:rtl/>
        </w:rPr>
        <w:t>لسان العرب</w:t>
      </w:r>
      <w:r>
        <w:rPr>
          <w:rtl/>
          <w:lang w:bidi="fa-IR"/>
        </w:rPr>
        <w:t xml:space="preserve"> ، ج 5 ، ص 5 ( غبر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وَ</w:t>
      </w:r>
      <w:r w:rsidR="00510222">
        <w:rPr>
          <w:rFonts w:hint="cs"/>
          <w:rtl/>
          <w:lang w:bidi="fa-IR"/>
        </w:rPr>
        <w:t xml:space="preserve"> </w:t>
      </w:r>
      <w:r>
        <w:rPr>
          <w:rtl/>
          <w:lang w:bidi="fa-IR"/>
        </w:rPr>
        <w:t>إِنْ مَرِضَ عَادُوهُ غُدْوَةً وَعَشِيَّةً ، وَإِنْ مَاتَ شَهِدُوا جَنَازَتَهُ ، وَاسْتَغْفَرُو</w:t>
      </w:r>
      <w:r w:rsidR="00510222">
        <w:rPr>
          <w:rtl/>
          <w:lang w:bidi="fa-IR"/>
        </w:rPr>
        <w:t>ا لَهُ إِلى يَوْمِ الْقِيَامَةِ</w:t>
      </w:r>
      <w:r>
        <w:rPr>
          <w:rtl/>
          <w:lang w:bidi="fa-IR"/>
        </w:rPr>
        <w:t>».</w:t>
      </w:r>
      <w:r w:rsidRPr="00D10E3C">
        <w:rPr>
          <w:rStyle w:val="libFootnotenumChar"/>
          <w:rtl/>
        </w:rPr>
        <w:t>(1)</w:t>
      </w:r>
    </w:p>
    <w:p w:rsidR="00144FA6" w:rsidRDefault="00744A1C" w:rsidP="00744A1C">
      <w:pPr>
        <w:pStyle w:val="libNormal"/>
        <w:rPr>
          <w:rtl/>
          <w:lang w:bidi="fa-IR"/>
        </w:rPr>
      </w:pPr>
      <w:r>
        <w:rPr>
          <w:rtl/>
          <w:lang w:bidi="fa-IR"/>
        </w:rPr>
        <w:t>8172 / 7. مُحَمَّدُ بْنُ يَحْيى ، عَنْ مُحَمَّدِ بْنِ الْحُسَيْنِ ، عَنْ مُوسَى بْنِ سَعْدَانَ ، عَنْ عَبْدِ اللهِ بْنِ الْقَاسِمِ ، عَنْ عُمَرَ بْنِ أَبَانٍ الْكَلْبِيِّ ، عَنْ أَبَانِ بْنِ تَغْلِبَ ، قَالَ :</w:t>
      </w:r>
    </w:p>
    <w:p w:rsidR="00144FA6" w:rsidRDefault="00744A1C" w:rsidP="00510222">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إِنَّ </w:t>
      </w:r>
      <w:r w:rsidRPr="00D10E3C">
        <w:rPr>
          <w:rStyle w:val="libFootnotenumChar"/>
          <w:rtl/>
        </w:rPr>
        <w:t>(2)</w:t>
      </w:r>
      <w:r>
        <w:rPr>
          <w:rtl/>
          <w:lang w:bidi="fa-IR"/>
        </w:rPr>
        <w:t xml:space="preserve"> أَرْبَعَةَ آلَافِ مَلَكٍ عِنْدَ قَبْرِ الْحُسَيْنِ </w:t>
      </w:r>
      <w:r w:rsidR="0061079A" w:rsidRPr="0061079A">
        <w:rPr>
          <w:rStyle w:val="libAlaemChar"/>
          <w:rtl/>
        </w:rPr>
        <w:t>عليه‌السلام</w:t>
      </w:r>
      <w:r w:rsidR="00D10E3C">
        <w:rPr>
          <w:rtl/>
          <w:lang w:bidi="fa-IR"/>
        </w:rPr>
        <w:t xml:space="preserve"> </w:t>
      </w:r>
      <w:r>
        <w:rPr>
          <w:rtl/>
          <w:lang w:bidi="fa-IR"/>
        </w:rPr>
        <w:t xml:space="preserve">شُعْثاً غُبْراً </w:t>
      </w:r>
      <w:r w:rsidRPr="00D10E3C">
        <w:rPr>
          <w:rStyle w:val="libFootnotenumChar"/>
          <w:rtl/>
        </w:rPr>
        <w:t>(3)</w:t>
      </w:r>
      <w:r>
        <w:rPr>
          <w:rtl/>
          <w:lang w:bidi="fa-IR"/>
        </w:rPr>
        <w:t xml:space="preserve"> يَبْكُونَهُ إِلى يَوْمِ الْقِيَامَةِ ، رَئِيسُهُمْ مَلَكٌ يُقَالُ لَهُ : مَنْصُورٌ </w:t>
      </w:r>
      <w:r w:rsidR="00510222">
        <w:rPr>
          <w:rtl/>
          <w:lang w:bidi="fa-IR"/>
        </w:rPr>
        <w:t>، فَلَا يَزُورُهُ زَائِرٌ إِل</w:t>
      </w:r>
      <w:r w:rsidR="00510222">
        <w:rPr>
          <w:rFonts w:hint="cs"/>
          <w:rtl/>
          <w:lang w:bidi="fa-IR"/>
        </w:rPr>
        <w:t>َّ</w:t>
      </w:r>
      <w:r w:rsidR="00510222">
        <w:rPr>
          <w:rtl/>
          <w:lang w:bidi="fa-IR"/>
        </w:rPr>
        <w:t>ا</w:t>
      </w:r>
      <w:r>
        <w:rPr>
          <w:rtl/>
          <w:lang w:bidi="fa-IR"/>
        </w:rPr>
        <w:t xml:space="preserve"> اسْتَقْبَلُوهُ ، وَلَا‌ يُوَدِّعُهُ مُوَدِّعٌ </w:t>
      </w:r>
      <w:r w:rsidR="00510222">
        <w:rPr>
          <w:rtl/>
          <w:lang w:bidi="fa-IR"/>
        </w:rPr>
        <w:t>إِل</w:t>
      </w:r>
      <w:r w:rsidR="00510222">
        <w:rPr>
          <w:rFonts w:hint="cs"/>
          <w:rtl/>
          <w:lang w:bidi="fa-IR"/>
        </w:rPr>
        <w:t>َّ</w:t>
      </w:r>
      <w:r w:rsidR="00510222">
        <w:rPr>
          <w:rtl/>
          <w:lang w:bidi="fa-IR"/>
        </w:rPr>
        <w:t xml:space="preserve">ا </w:t>
      </w:r>
      <w:r>
        <w:rPr>
          <w:rtl/>
          <w:lang w:bidi="fa-IR"/>
        </w:rPr>
        <w:t xml:space="preserve">شَيَّعُوهُ ، وَلَايَمْرَضُ </w:t>
      </w:r>
      <w:r w:rsidRPr="00D10E3C">
        <w:rPr>
          <w:rStyle w:val="libFootnotenumChar"/>
          <w:rtl/>
        </w:rPr>
        <w:t>(4)</w:t>
      </w:r>
      <w:r>
        <w:rPr>
          <w:rtl/>
          <w:lang w:bidi="fa-IR"/>
        </w:rPr>
        <w:t xml:space="preserve"> </w:t>
      </w:r>
      <w:r w:rsidR="00510222">
        <w:rPr>
          <w:rtl/>
          <w:lang w:bidi="fa-IR"/>
        </w:rPr>
        <w:t>إِل</w:t>
      </w:r>
      <w:r w:rsidR="00510222">
        <w:rPr>
          <w:rFonts w:hint="cs"/>
          <w:rtl/>
          <w:lang w:bidi="fa-IR"/>
        </w:rPr>
        <w:t>َّ</w:t>
      </w:r>
      <w:r w:rsidR="00510222">
        <w:rPr>
          <w:rtl/>
          <w:lang w:bidi="fa-IR"/>
        </w:rPr>
        <w:t xml:space="preserve">ا </w:t>
      </w:r>
      <w:r>
        <w:rPr>
          <w:rtl/>
          <w:lang w:bidi="fa-IR"/>
        </w:rPr>
        <w:t xml:space="preserve">عَادُوهُ ، وَلَايَمُوتُ </w:t>
      </w:r>
      <w:r w:rsidR="00510222">
        <w:rPr>
          <w:rtl/>
          <w:lang w:bidi="fa-IR"/>
        </w:rPr>
        <w:t>إِل</w:t>
      </w:r>
      <w:r w:rsidR="00510222">
        <w:rPr>
          <w:rFonts w:hint="cs"/>
          <w:rtl/>
          <w:lang w:bidi="fa-IR"/>
        </w:rPr>
        <w:t>َّ</w:t>
      </w:r>
      <w:r w:rsidR="00510222">
        <w:rPr>
          <w:rtl/>
          <w:lang w:bidi="fa-IR"/>
        </w:rPr>
        <w:t xml:space="preserve">ا </w:t>
      </w:r>
      <w:r>
        <w:rPr>
          <w:rtl/>
          <w:lang w:bidi="fa-IR"/>
        </w:rPr>
        <w:t xml:space="preserve">صَلَّوْا عَلى جِنَازَتِهِ ، وَاسْتَغْفَرُوا </w:t>
      </w:r>
      <w:r w:rsidRPr="00D10E3C">
        <w:rPr>
          <w:rStyle w:val="libFootnotenumChar"/>
          <w:rtl/>
        </w:rPr>
        <w:t>(5)</w:t>
      </w:r>
      <w:r>
        <w:rPr>
          <w:rtl/>
          <w:lang w:bidi="fa-IR"/>
        </w:rPr>
        <w:t xml:space="preserve"> لَهُ بَعْدَ مَوْتِهِ ». </w:t>
      </w:r>
      <w:r w:rsidRPr="00D10E3C">
        <w:rPr>
          <w:rStyle w:val="libFootnotenumChar"/>
          <w:rtl/>
        </w:rPr>
        <w:t>(6)</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الأمالي للصدوق ، ص 142 ، المجلس 29 ، ح 8 ، بسنده عن أحمد بن محمّد بن عيسى ، عن الحسين بن سعيد. وفي </w:t>
      </w:r>
      <w:r w:rsidR="00744A1C" w:rsidRPr="007B299E">
        <w:rPr>
          <w:rStyle w:val="libFootnoteBoldChar"/>
          <w:rtl/>
        </w:rPr>
        <w:t>كامل الزيارات</w:t>
      </w:r>
      <w:r w:rsidR="00744A1C">
        <w:rPr>
          <w:rtl/>
          <w:lang w:bidi="fa-IR"/>
        </w:rPr>
        <w:t xml:space="preserve"> ، ص 189 ، الباب 77 ، ح 1 ؛ </w:t>
      </w:r>
      <w:r w:rsidR="00744A1C" w:rsidRPr="004D054E">
        <w:rPr>
          <w:rStyle w:val="libFootnoteBoldChar"/>
          <w:rtl/>
        </w:rPr>
        <w:t>وثواب الأعمال</w:t>
      </w:r>
      <w:r w:rsidR="00744A1C">
        <w:rPr>
          <w:rtl/>
          <w:lang w:bidi="fa-IR"/>
        </w:rPr>
        <w:t xml:space="preserve"> ، ص 113 ، ح 17 ، بسند آخر عن الحسين بن سعيد. </w:t>
      </w:r>
      <w:r w:rsidR="00744A1C" w:rsidRPr="00510222">
        <w:rPr>
          <w:rStyle w:val="libFootnoteBoldChar"/>
          <w:rtl/>
        </w:rPr>
        <w:t>الأمالي</w:t>
      </w:r>
      <w:r w:rsidR="00744A1C">
        <w:rPr>
          <w:rtl/>
          <w:lang w:bidi="fa-IR"/>
        </w:rPr>
        <w:t xml:space="preserve"> </w:t>
      </w:r>
      <w:r w:rsidR="00744A1C" w:rsidRPr="00510222">
        <w:rPr>
          <w:rStyle w:val="libFootnoteBoldChar"/>
          <w:rtl/>
        </w:rPr>
        <w:t>للصدوق</w:t>
      </w:r>
      <w:r w:rsidR="00744A1C">
        <w:rPr>
          <w:rtl/>
          <w:lang w:bidi="fa-IR"/>
        </w:rPr>
        <w:t xml:space="preserve"> ، ص 14 ، المجلس 4 ، ح 4 ، بسنده عن الحسين بن سعيد ، عن الحسن بن محمّد ، عن إسحاق بن هارون ، عن هارون بن حمزة الغنوي ، عن الصادق </w:t>
      </w:r>
      <w:r w:rsidR="0061079A" w:rsidRPr="0061079A">
        <w:rPr>
          <w:rStyle w:val="libFootnoteAlaemChar"/>
          <w:rtl/>
        </w:rPr>
        <w:t>عليه‌السلام</w:t>
      </w:r>
      <w:r w:rsidR="00744A1C">
        <w:rPr>
          <w:rtl/>
          <w:lang w:bidi="fa-IR"/>
        </w:rPr>
        <w:t xml:space="preserve"> . </w:t>
      </w:r>
      <w:r w:rsidR="00744A1C" w:rsidRPr="007B299E">
        <w:rPr>
          <w:rStyle w:val="libFootnoteBoldChar"/>
          <w:rtl/>
        </w:rPr>
        <w:t>كامل الزيارات</w:t>
      </w:r>
      <w:r w:rsidR="00744A1C">
        <w:rPr>
          <w:rtl/>
          <w:lang w:bidi="fa-IR"/>
        </w:rPr>
        <w:t xml:space="preserve"> ، ص 191 ، الباب 77 ، ح 8 ، بسنده عن القاسم بن محمّد </w:t>
      </w:r>
      <w:r w:rsidR="00510222">
        <w:rPr>
          <w:rFonts w:hint="cs"/>
          <w:rtl/>
          <w:lang w:bidi="fa-IR"/>
        </w:rPr>
        <w:t>.</w:t>
      </w:r>
      <w:r w:rsidR="00744A1C" w:rsidRPr="00C24F9C">
        <w:rPr>
          <w:rStyle w:val="libFootnoteBoldChar"/>
          <w:rtl/>
        </w:rPr>
        <w:t>الوافي</w:t>
      </w:r>
      <w:r w:rsidR="00744A1C">
        <w:rPr>
          <w:rtl/>
          <w:lang w:bidi="fa-IR"/>
        </w:rPr>
        <w:t xml:space="preserve"> ، ج 14 ، ص 1462 ، ح 14527 ؛ </w:t>
      </w:r>
      <w:r w:rsidR="00744A1C" w:rsidRPr="00C24F9C">
        <w:rPr>
          <w:rStyle w:val="libFootnoteBoldChar"/>
          <w:rtl/>
        </w:rPr>
        <w:t>الوسائل</w:t>
      </w:r>
      <w:r w:rsidR="00744A1C">
        <w:rPr>
          <w:rtl/>
          <w:lang w:bidi="fa-IR"/>
        </w:rPr>
        <w:t xml:space="preserve"> ، ج 14 ، ص 409 ، ح 19476.</w:t>
      </w:r>
    </w:p>
    <w:p w:rsidR="00744A1C" w:rsidRDefault="00E378DD" w:rsidP="00E378DD">
      <w:pPr>
        <w:pStyle w:val="libFootnote0"/>
        <w:rPr>
          <w:lang w:bidi="fa-IR"/>
        </w:rPr>
      </w:pPr>
      <w:r>
        <w:rPr>
          <w:rtl/>
          <w:lang w:bidi="fa-IR"/>
        </w:rPr>
        <w:t>(2).</w:t>
      </w:r>
      <w:r w:rsidR="00744A1C">
        <w:rPr>
          <w:rtl/>
          <w:lang w:bidi="fa-IR"/>
        </w:rPr>
        <w:t xml:space="preserve"> في « جن » والغيبة للنعماني </w:t>
      </w:r>
      <w:r w:rsidR="00744A1C" w:rsidRPr="00510222">
        <w:rPr>
          <w:rtl/>
        </w:rPr>
        <w:t>وكامل الزيارات ،</w:t>
      </w:r>
      <w:r w:rsidR="00744A1C">
        <w:rPr>
          <w:rtl/>
          <w:lang w:bidi="fa-IR"/>
        </w:rPr>
        <w:t xml:space="preserve"> ص 119 ، ح 1 وص 119 ، ح 5 وكمال الدين : - « إنّ ». وفي « بس » : + « لله ». وفي </w:t>
      </w:r>
      <w:r w:rsidR="00744A1C" w:rsidRPr="00510222">
        <w:rPr>
          <w:rtl/>
        </w:rPr>
        <w:t>كامل الزيارات ،</w:t>
      </w:r>
      <w:r w:rsidR="00744A1C">
        <w:rPr>
          <w:rtl/>
          <w:lang w:bidi="fa-IR"/>
        </w:rPr>
        <w:t xml:space="preserve"> ص 192 : « هبط ».</w:t>
      </w:r>
    </w:p>
    <w:p w:rsidR="00744A1C" w:rsidRDefault="00E378DD" w:rsidP="00E378DD">
      <w:pPr>
        <w:pStyle w:val="libFootnote0"/>
        <w:rPr>
          <w:lang w:bidi="fa-IR"/>
        </w:rPr>
      </w:pPr>
      <w:r>
        <w:rPr>
          <w:rtl/>
          <w:lang w:bidi="fa-IR"/>
        </w:rPr>
        <w:t>(3).</w:t>
      </w:r>
      <w:r w:rsidR="00744A1C">
        <w:rPr>
          <w:rtl/>
          <w:lang w:bidi="fa-IR"/>
        </w:rPr>
        <w:t xml:space="preserve"> هكذا في « بخ ، بف ، جد » </w:t>
      </w:r>
      <w:r w:rsidR="00744A1C" w:rsidRPr="00510222">
        <w:rPr>
          <w:rtl/>
        </w:rPr>
        <w:t>والوافي والوسائل. وفي</w:t>
      </w:r>
      <w:r w:rsidR="00744A1C">
        <w:rPr>
          <w:rtl/>
          <w:lang w:bidi="fa-IR"/>
        </w:rPr>
        <w:t xml:space="preserve"> سائر النسخ والمطبوع : « شعث غبر ».</w:t>
      </w:r>
    </w:p>
    <w:p w:rsidR="00744A1C" w:rsidRDefault="00E378DD" w:rsidP="00510222">
      <w:pPr>
        <w:pStyle w:val="libFootnote0"/>
        <w:rPr>
          <w:lang w:bidi="fa-IR"/>
        </w:rPr>
      </w:pPr>
      <w:r>
        <w:rPr>
          <w:rtl/>
          <w:lang w:bidi="fa-IR"/>
        </w:rPr>
        <w:t>(4).</w:t>
      </w:r>
      <w:r w:rsidR="00744A1C">
        <w:rPr>
          <w:rtl/>
          <w:lang w:bidi="fa-IR"/>
        </w:rPr>
        <w:t xml:space="preserve"> هكذا في جميع النسخ التي قوبلت </w:t>
      </w:r>
      <w:r w:rsidR="00744A1C" w:rsidRPr="00510222">
        <w:rPr>
          <w:rtl/>
        </w:rPr>
        <w:t>والوافي والوسائل وكامل الزيارات ، ص 119 ، ح 1 والث</w:t>
      </w:r>
      <w:r w:rsidR="00744A1C">
        <w:rPr>
          <w:rtl/>
          <w:lang w:bidi="fa-IR"/>
        </w:rPr>
        <w:t>واب ، ص 113 ، ح 15. وفي المطبوع : « ولا مرض ». وفي « ى ، بث ، بح ، بس ، جد ، جن » و</w:t>
      </w:r>
      <w:r w:rsidR="00744A1C" w:rsidRPr="00510222">
        <w:rPr>
          <w:rtl/>
        </w:rPr>
        <w:t xml:space="preserve">كامل الزيارات ، ص </w:t>
      </w:r>
      <w:r w:rsidR="00744A1C">
        <w:rPr>
          <w:rtl/>
          <w:lang w:bidi="fa-IR"/>
        </w:rPr>
        <w:t>119 ، ح 5 وص 192 : + « مريض ».</w:t>
      </w:r>
      <w:r w:rsidR="00510222">
        <w:rPr>
          <w:rFonts w:hint="cs"/>
          <w:rtl/>
          <w:lang w:bidi="fa-IR"/>
        </w:rPr>
        <w:t xml:space="preserve">                              </w:t>
      </w:r>
      <w:r>
        <w:rPr>
          <w:rtl/>
          <w:lang w:bidi="fa-IR"/>
        </w:rPr>
        <w:t>(5).</w:t>
      </w:r>
      <w:r w:rsidR="00744A1C">
        <w:rPr>
          <w:rtl/>
          <w:lang w:bidi="fa-IR"/>
        </w:rPr>
        <w:t xml:space="preserve"> في « جد » : « فاستغفروا ».</w:t>
      </w:r>
    </w:p>
    <w:p w:rsidR="00144FA6" w:rsidRDefault="00E378DD" w:rsidP="00E378DD">
      <w:pPr>
        <w:pStyle w:val="libFootnote0"/>
        <w:rPr>
          <w:rtl/>
          <w:lang w:bidi="fa-IR"/>
        </w:rPr>
      </w:pPr>
      <w:r>
        <w:rPr>
          <w:rtl/>
          <w:lang w:bidi="fa-IR"/>
        </w:rPr>
        <w:t>(6).</w:t>
      </w:r>
      <w:r w:rsidR="00744A1C">
        <w:rPr>
          <w:rtl/>
          <w:lang w:bidi="fa-IR"/>
        </w:rPr>
        <w:t xml:space="preserve"> </w:t>
      </w:r>
      <w:r w:rsidR="00744A1C" w:rsidRPr="007B299E">
        <w:rPr>
          <w:rStyle w:val="libFootnoteBoldChar"/>
          <w:rtl/>
        </w:rPr>
        <w:t>كامل الزيارات</w:t>
      </w:r>
      <w:r w:rsidR="00744A1C">
        <w:rPr>
          <w:rtl/>
          <w:lang w:bidi="fa-IR"/>
        </w:rPr>
        <w:t xml:space="preserve"> ، ص 83 ، الباب 27 ، ح 2 ، إلى قوله : « يقال له : منصور » ؛ وص 119 ، الباب 41 ، ح 1 ؛ وص 192 ، الباب 77 ، ح 9 ؛ الأمالي للصدوق ، ص 638 ، المجلس 92 ، ح 7 ، إلى قوله : « يقال له : منصور » ؛ </w:t>
      </w:r>
      <w:r w:rsidR="00744A1C" w:rsidRPr="00510222">
        <w:rPr>
          <w:rStyle w:val="libFootnoteBoldChar"/>
          <w:rtl/>
        </w:rPr>
        <w:t>ثواب الأعمال</w:t>
      </w:r>
      <w:r w:rsidR="00744A1C">
        <w:rPr>
          <w:rtl/>
          <w:lang w:bidi="fa-IR"/>
        </w:rPr>
        <w:t xml:space="preserve"> ، ص 113 ، ح 15 ، وفي كلّها بسند آخر عن محمّد بن الحسين بن أبي الخطّاب ، عن موسى بن سعدان ؛ </w:t>
      </w:r>
      <w:r w:rsidR="00744A1C" w:rsidRPr="007B299E">
        <w:rPr>
          <w:rStyle w:val="libFootnoteBoldChar"/>
          <w:rtl/>
        </w:rPr>
        <w:t>كامل الزيارات</w:t>
      </w:r>
      <w:r w:rsidR="00744A1C">
        <w:rPr>
          <w:rtl/>
          <w:lang w:bidi="fa-IR"/>
        </w:rPr>
        <w:t xml:space="preserve"> ، ص 189 ، الباب 77 ، ح 2 ، بسنده عن محمّد بن الحسين ، عن موسى بن سعدان ، عن عبدالله بن القاسم ، عن عمر بن أبان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وبسند آخر أيضاً عن أبي جعفر </w:t>
      </w:r>
      <w:r w:rsidR="0061079A" w:rsidRPr="0061079A">
        <w:rPr>
          <w:rStyle w:val="libFootnoteAlaemChar"/>
          <w:rtl/>
        </w:rPr>
        <w:t>عليه‌السلام</w:t>
      </w:r>
      <w:r w:rsidR="00D10E3C">
        <w:rPr>
          <w:rtl/>
          <w:lang w:bidi="fa-IR"/>
        </w:rPr>
        <w:t xml:space="preserve"> </w:t>
      </w:r>
      <w:r w:rsidR="00510222">
        <w:rPr>
          <w:rtl/>
          <w:lang w:bidi="fa-IR"/>
        </w:rPr>
        <w:t>، إلى قوله : « ولايموت إل</w:t>
      </w:r>
      <w:r w:rsidR="00510222">
        <w:rPr>
          <w:rFonts w:hint="cs"/>
          <w:rtl/>
          <w:lang w:bidi="fa-IR"/>
        </w:rPr>
        <w:t>ّ</w:t>
      </w:r>
      <w:r w:rsidR="00510222">
        <w:rPr>
          <w:rtl/>
          <w:lang w:bidi="fa-IR"/>
        </w:rPr>
        <w:t>ا</w:t>
      </w:r>
      <w:r w:rsidR="00510222">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8173 / 8. الْحُسَيْنُ بْنُ مُحَمَّدٍ ، عَنْ مُعَلَّى بْنِ مُحَمَّدٍ ، عَنْ أَبِي دَاوُدَ الْمُسْتَرِقِّ ، عَنْ بَعْضِ أَصْحَابِنَا ، عَنْ مُثَنًّى الْحَنَّاطِ :</w:t>
      </w:r>
    </w:p>
    <w:p w:rsidR="00144FA6" w:rsidRDefault="00744A1C" w:rsidP="00744A1C">
      <w:pPr>
        <w:pStyle w:val="libNormal"/>
        <w:rPr>
          <w:rtl/>
          <w:lang w:bidi="fa-IR"/>
        </w:rPr>
      </w:pPr>
      <w:r>
        <w:rPr>
          <w:rtl/>
          <w:lang w:bidi="fa-IR"/>
        </w:rPr>
        <w:t xml:space="preserve">عَنْ أَبِي الْحَسَنِ الْأَوَّلِ </w:t>
      </w:r>
      <w:r w:rsidR="0061079A" w:rsidRPr="0061079A">
        <w:rPr>
          <w:rStyle w:val="libAlaemChar"/>
          <w:rtl/>
        </w:rPr>
        <w:t>عليه‌السلام</w:t>
      </w:r>
      <w:r w:rsidR="00D10E3C">
        <w:rPr>
          <w:rtl/>
          <w:lang w:bidi="fa-IR"/>
        </w:rPr>
        <w:t xml:space="preserve"> </w:t>
      </w:r>
      <w:r>
        <w:rPr>
          <w:rtl/>
          <w:lang w:bidi="fa-IR"/>
        </w:rPr>
        <w:t xml:space="preserve">، قَالَ : سَمِعْتُهُ يَقُولُ : « مَنْ أَتَى </w:t>
      </w:r>
      <w:r w:rsidRPr="00D10E3C">
        <w:rPr>
          <w:rStyle w:val="libFootnotenumChar"/>
          <w:rtl/>
        </w:rPr>
        <w:t>(1)</w:t>
      </w:r>
      <w:r>
        <w:rPr>
          <w:rtl/>
          <w:lang w:bidi="fa-IR"/>
        </w:rPr>
        <w:t xml:space="preserve"> الْحُسَيْنَ عَارِفاً بِحَقِّهِ ، غَفَرَ اللهُ لَهُ </w:t>
      </w:r>
      <w:r w:rsidRPr="00D10E3C">
        <w:rPr>
          <w:rStyle w:val="libFootnotenumChar"/>
          <w:rtl/>
        </w:rPr>
        <w:t>(2)</w:t>
      </w:r>
      <w:r>
        <w:rPr>
          <w:rtl/>
          <w:lang w:bidi="fa-IR"/>
        </w:rPr>
        <w:t xml:space="preserve"> مَا تَقَدَّمَ مِنْ ذَنْبِهِ وَمَا تَأَخَّرَ ». </w:t>
      </w:r>
      <w:r w:rsidRPr="00D10E3C">
        <w:rPr>
          <w:rStyle w:val="libFootnotenumChar"/>
          <w:rtl/>
        </w:rPr>
        <w:t>(3)</w:t>
      </w:r>
    </w:p>
    <w:p w:rsidR="00144FA6" w:rsidRDefault="00744A1C" w:rsidP="00744A1C">
      <w:pPr>
        <w:pStyle w:val="libNormal"/>
        <w:rPr>
          <w:rtl/>
          <w:lang w:bidi="fa-IR"/>
        </w:rPr>
      </w:pPr>
      <w:r>
        <w:rPr>
          <w:rtl/>
          <w:lang w:bidi="fa-IR"/>
        </w:rPr>
        <w:t>8174 / 9. مُحَمَّدُ بْنُ يَحْيى ، عَنْ مُحَمَّدِ بْنِ الْحُسَيْنِ ، عَنْ مُحَمَّدِ بْنِ إِسْمَاعِيلَ ، عَنِ الْخَيْبَرِيِّ ، عَنِ الْحُسَيْنِ بْنِ مُحَمَّدٍ ، قَالَ :</w:t>
      </w:r>
    </w:p>
    <w:p w:rsidR="00144FA6" w:rsidRDefault="00744A1C" w:rsidP="004A0FB3">
      <w:pPr>
        <w:pStyle w:val="libNormal"/>
        <w:rPr>
          <w:rtl/>
          <w:lang w:bidi="fa-IR"/>
        </w:rPr>
      </w:pPr>
      <w:r>
        <w:rPr>
          <w:rtl/>
          <w:lang w:bidi="fa-IR"/>
        </w:rPr>
        <w:t xml:space="preserve">قَالَ أَبُو الْحَسَنِ مُوسى </w:t>
      </w:r>
      <w:r w:rsidR="004A0FB3" w:rsidRPr="004A0FB3">
        <w:rPr>
          <w:rStyle w:val="libAlaemChar"/>
          <w:rFonts w:eastAsiaTheme="minorHAnsi"/>
          <w:rtl/>
        </w:rPr>
        <w:t>عليه‌السلام</w:t>
      </w:r>
      <w:r>
        <w:rPr>
          <w:rtl/>
          <w:lang w:bidi="fa-IR"/>
        </w:rPr>
        <w:t xml:space="preserve">: « أَدْنى مَا يُثَابُ بِهِ </w:t>
      </w:r>
      <w:r w:rsidRPr="00D10E3C">
        <w:rPr>
          <w:rStyle w:val="libFootnotenumChar"/>
          <w:rtl/>
        </w:rPr>
        <w:t>(4)</w:t>
      </w:r>
      <w:r>
        <w:rPr>
          <w:rtl/>
          <w:lang w:bidi="fa-IR"/>
        </w:rPr>
        <w:t xml:space="preserve"> زَائِرُ أَبِي عَبْدِ اللهِ </w:t>
      </w:r>
      <w:r w:rsidR="0061079A" w:rsidRPr="0061079A">
        <w:rPr>
          <w:rStyle w:val="libAlaemChar"/>
          <w:rtl/>
        </w:rPr>
        <w:t>عليه‌السلام</w:t>
      </w:r>
      <w:r w:rsidR="00D10E3C">
        <w:rPr>
          <w:rtl/>
          <w:lang w:bidi="fa-IR"/>
        </w:rPr>
        <w:t xml:space="preserve"> </w:t>
      </w:r>
      <w:r>
        <w:rPr>
          <w:rtl/>
          <w:lang w:bidi="fa-IR"/>
        </w:rPr>
        <w:t xml:space="preserve">بِشَطِّ </w:t>
      </w:r>
      <w:r w:rsidRPr="00D10E3C">
        <w:rPr>
          <w:rStyle w:val="libFootnotenumChar"/>
          <w:rtl/>
        </w:rPr>
        <w:t>(5)</w:t>
      </w:r>
      <w:r>
        <w:rPr>
          <w:rtl/>
          <w:lang w:bidi="fa-IR"/>
        </w:rPr>
        <w:t xml:space="preserve"> الْفُرَاتِ - إِذَا عَرَفَ حَقَّهُ وَحُرْمَتَهُ وَ</w:t>
      </w:r>
      <w:r w:rsidR="004A0FB3">
        <w:rPr>
          <w:rFonts w:hint="cs"/>
          <w:rtl/>
          <w:lang w:bidi="fa-IR"/>
        </w:rPr>
        <w:t xml:space="preserve"> </w:t>
      </w:r>
      <w:r>
        <w:rPr>
          <w:rtl/>
          <w:lang w:bidi="fa-IR"/>
        </w:rPr>
        <w:t xml:space="preserve">وَلَايَتَهُ - أَنْ يُغْفَرَ لَهُ مَا تَقَدَّمَ مِنْ ذَنْبِهِ وَمَا تَأَخَّرَ ». </w:t>
      </w:r>
      <w:r w:rsidRPr="00D10E3C">
        <w:rPr>
          <w:rStyle w:val="libFootnotenumChar"/>
          <w:rtl/>
        </w:rPr>
        <w:t>(6)</w:t>
      </w:r>
    </w:p>
    <w:p w:rsidR="00744A1C" w:rsidRDefault="00744A1C" w:rsidP="00D10E3C">
      <w:pPr>
        <w:pStyle w:val="libLine"/>
        <w:rPr>
          <w:lang w:bidi="fa-IR"/>
        </w:rPr>
      </w:pPr>
      <w:r>
        <w:rPr>
          <w:rtl/>
          <w:lang w:bidi="fa-IR"/>
        </w:rPr>
        <w:t>____________________</w:t>
      </w:r>
    </w:p>
    <w:p w:rsidR="00744A1C" w:rsidRDefault="004A0FB3" w:rsidP="00D10E3C">
      <w:pPr>
        <w:pStyle w:val="libFootnote0"/>
        <w:rPr>
          <w:lang w:bidi="fa-IR"/>
        </w:rPr>
      </w:pPr>
      <w:r>
        <w:rPr>
          <w:rFonts w:hint="cs"/>
          <w:rtl/>
          <w:lang w:bidi="fa-IR"/>
        </w:rPr>
        <w:t xml:space="preserve">= </w:t>
      </w:r>
      <w:r w:rsidR="00744A1C">
        <w:rPr>
          <w:rtl/>
          <w:lang w:bidi="fa-IR"/>
        </w:rPr>
        <w:t xml:space="preserve">صلّوا على جنازته ». </w:t>
      </w:r>
      <w:r w:rsidR="00744A1C" w:rsidRPr="00B81476">
        <w:rPr>
          <w:rStyle w:val="libFootnoteBoldChar"/>
          <w:rtl/>
        </w:rPr>
        <w:t>الغيبة</w:t>
      </w:r>
      <w:r w:rsidR="00744A1C">
        <w:rPr>
          <w:rtl/>
          <w:lang w:bidi="fa-IR"/>
        </w:rPr>
        <w:t xml:space="preserve"> </w:t>
      </w:r>
      <w:r w:rsidR="00744A1C" w:rsidRPr="00B81476">
        <w:rPr>
          <w:rStyle w:val="libFootnoteBoldChar"/>
          <w:rtl/>
        </w:rPr>
        <w:t>للنعماني</w:t>
      </w:r>
      <w:r w:rsidR="00744A1C">
        <w:rPr>
          <w:rtl/>
          <w:lang w:bidi="fa-IR"/>
        </w:rPr>
        <w:t xml:space="preserve"> ، ص 310 ، ضمن ح 5 ، بسنده عن موسى بن سعدان. </w:t>
      </w:r>
      <w:r w:rsidR="00744A1C" w:rsidRPr="007B299E">
        <w:rPr>
          <w:rStyle w:val="libFootnoteBoldChar"/>
          <w:rtl/>
        </w:rPr>
        <w:t>كامل الزيارات</w:t>
      </w:r>
      <w:r w:rsidR="00744A1C">
        <w:rPr>
          <w:rtl/>
          <w:lang w:bidi="fa-IR"/>
        </w:rPr>
        <w:t xml:space="preserve"> ، ص 119 ، الباب 41 ، ضمن ح 5 ، بسنده عن عمر بن أبان ، عن أبان بن تغلب. </w:t>
      </w:r>
      <w:r w:rsidR="00744A1C" w:rsidRPr="00B81476">
        <w:rPr>
          <w:rStyle w:val="libFootnoteBoldChar"/>
          <w:rtl/>
        </w:rPr>
        <w:t>كمال الدين</w:t>
      </w:r>
      <w:r w:rsidR="00744A1C">
        <w:rPr>
          <w:rtl/>
          <w:lang w:bidi="fa-IR"/>
        </w:rPr>
        <w:t xml:space="preserve"> ، ص 671 ، ضمن ح 22 ، بسنده عن أبان بن تغلب. </w:t>
      </w:r>
      <w:r w:rsidR="00744A1C" w:rsidRPr="00B81476">
        <w:rPr>
          <w:rStyle w:val="libFootnoteBoldChar"/>
          <w:rtl/>
        </w:rPr>
        <w:t>ثواب الأعمال</w:t>
      </w:r>
      <w:r w:rsidR="00744A1C">
        <w:rPr>
          <w:rtl/>
          <w:lang w:bidi="fa-IR"/>
        </w:rPr>
        <w:t xml:space="preserve"> ، ص 113 ، ح 18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يبكونه إلى يوم القيامة » ، وفي كلّ المصادر مع اختلاف يسير </w:t>
      </w:r>
      <w:r w:rsidR="00B81476">
        <w:rPr>
          <w:rFonts w:hint="cs"/>
          <w:rtl/>
          <w:lang w:bidi="fa-IR"/>
        </w:rPr>
        <w:t>.</w:t>
      </w:r>
      <w:r w:rsidR="00744A1C" w:rsidRPr="00C24F9C">
        <w:rPr>
          <w:rStyle w:val="libFootnoteBoldChar"/>
          <w:rtl/>
        </w:rPr>
        <w:t>الوافي</w:t>
      </w:r>
      <w:r w:rsidR="00744A1C">
        <w:rPr>
          <w:rtl/>
          <w:lang w:bidi="fa-IR"/>
        </w:rPr>
        <w:t xml:space="preserve"> ، ج 14 ، ص 1462 ، ح 14528 ؛ </w:t>
      </w:r>
      <w:r w:rsidR="00744A1C" w:rsidRPr="00C24F9C">
        <w:rPr>
          <w:rStyle w:val="libFootnoteBoldChar"/>
          <w:rtl/>
        </w:rPr>
        <w:t>الوسائل</w:t>
      </w:r>
      <w:r w:rsidR="00744A1C">
        <w:rPr>
          <w:rtl/>
          <w:lang w:bidi="fa-IR"/>
        </w:rPr>
        <w:t xml:space="preserve"> ، ج 14 ، ص 410 ، ح 19477.</w:t>
      </w:r>
    </w:p>
    <w:p w:rsidR="00744A1C" w:rsidRDefault="00D10E3C" w:rsidP="00D10E3C">
      <w:pPr>
        <w:pStyle w:val="libFootnote0"/>
        <w:rPr>
          <w:lang w:bidi="fa-IR"/>
        </w:rPr>
      </w:pPr>
      <w:r>
        <w:rPr>
          <w:rtl/>
          <w:lang w:bidi="fa-IR"/>
        </w:rPr>
        <w:t>(1).</w:t>
      </w:r>
      <w:r w:rsidR="00744A1C">
        <w:rPr>
          <w:rtl/>
          <w:lang w:bidi="fa-IR"/>
        </w:rPr>
        <w:t xml:space="preserve"> في « ى ، بح » </w:t>
      </w:r>
      <w:r w:rsidR="00744A1C" w:rsidRPr="00B81476">
        <w:rPr>
          <w:rtl/>
        </w:rPr>
        <w:t>وكامل الزيارات</w:t>
      </w:r>
      <w:r w:rsidR="00744A1C">
        <w:rPr>
          <w:rtl/>
          <w:lang w:bidi="fa-IR"/>
        </w:rPr>
        <w:t xml:space="preserve"> ، ص 138 ، ح 5 وص 139 ، ح 9 ، وص 140 ، ح 12 : + « قبر ».</w:t>
      </w:r>
    </w:p>
    <w:p w:rsidR="00744A1C" w:rsidRDefault="00E378DD" w:rsidP="00E378DD">
      <w:pPr>
        <w:pStyle w:val="libFootnote0"/>
        <w:rPr>
          <w:lang w:bidi="fa-IR"/>
        </w:rPr>
      </w:pPr>
      <w:r>
        <w:rPr>
          <w:rtl/>
          <w:lang w:bidi="fa-IR"/>
        </w:rPr>
        <w:t>(2).</w:t>
      </w:r>
      <w:r w:rsidR="00744A1C">
        <w:rPr>
          <w:rtl/>
          <w:lang w:bidi="fa-IR"/>
        </w:rPr>
        <w:t xml:space="preserve"> في « ى » : - « له ».</w:t>
      </w:r>
    </w:p>
    <w:p w:rsidR="00744A1C" w:rsidRDefault="00E378DD" w:rsidP="00E378DD">
      <w:pPr>
        <w:pStyle w:val="libFootnote0"/>
        <w:rPr>
          <w:lang w:bidi="fa-IR"/>
        </w:rPr>
      </w:pPr>
      <w:r>
        <w:rPr>
          <w:rtl/>
          <w:lang w:bidi="fa-IR"/>
        </w:rPr>
        <w:t>(3).</w:t>
      </w:r>
      <w:r w:rsidR="00744A1C">
        <w:rPr>
          <w:rtl/>
          <w:lang w:bidi="fa-IR"/>
        </w:rPr>
        <w:t xml:space="preserve"> </w:t>
      </w:r>
      <w:r w:rsidR="00744A1C" w:rsidRPr="007B299E">
        <w:rPr>
          <w:rStyle w:val="libFootnoteBoldChar"/>
          <w:rtl/>
        </w:rPr>
        <w:t>كامل الزيارات</w:t>
      </w:r>
      <w:r w:rsidR="00744A1C">
        <w:rPr>
          <w:rtl/>
          <w:lang w:bidi="fa-IR"/>
        </w:rPr>
        <w:t xml:space="preserve"> ، ص 140 ، الباب 54 ، ح 12 و 15 ، عن الحسين بن محمّد بن عامر ، عن معلّي بن محمّد. </w:t>
      </w:r>
      <w:r w:rsidR="00744A1C" w:rsidRPr="007B299E">
        <w:rPr>
          <w:rStyle w:val="libFootnoteBoldChar"/>
          <w:rtl/>
        </w:rPr>
        <w:t>كامل الزيارات</w:t>
      </w:r>
      <w:r w:rsidR="00744A1C">
        <w:rPr>
          <w:rtl/>
          <w:lang w:bidi="fa-IR"/>
        </w:rPr>
        <w:t xml:space="preserve"> ، ص 138 ، الباب 54 ، ح 5 ، بسنده عن أبي داود سليمان بن سفيان المسترقّ ، عن بعض أصحابنا. وفي </w:t>
      </w:r>
      <w:r w:rsidR="00744A1C" w:rsidRPr="007B299E">
        <w:rPr>
          <w:rStyle w:val="libFootnoteBoldChar"/>
          <w:rtl/>
        </w:rPr>
        <w:t>كامل الزيارات</w:t>
      </w:r>
      <w:r w:rsidR="00744A1C">
        <w:rPr>
          <w:rtl/>
          <w:lang w:bidi="fa-IR"/>
        </w:rPr>
        <w:t xml:space="preserve"> ، ص 138 و 139 و 140 ، الباب 54 ، ح 1 و 9 وذيل ح 14 ؛ والأمالي للصدوق ، ص 142 ، المجلس 29 ، ح 9 ؛ </w:t>
      </w:r>
      <w:r w:rsidR="00744A1C" w:rsidRPr="004D054E">
        <w:rPr>
          <w:rStyle w:val="libFootnoteBoldChar"/>
          <w:rtl/>
        </w:rPr>
        <w:t>وثواب الأعمال</w:t>
      </w:r>
      <w:r w:rsidR="00744A1C">
        <w:rPr>
          <w:rtl/>
          <w:lang w:bidi="fa-IR"/>
        </w:rPr>
        <w:t xml:space="preserve"> ، ص 110 ، ح 4 ، بسند آخر. وفي </w:t>
      </w:r>
      <w:r w:rsidR="00744A1C" w:rsidRPr="007B299E">
        <w:rPr>
          <w:rStyle w:val="libFootnoteBoldChar"/>
          <w:rtl/>
        </w:rPr>
        <w:t>كامل الزيارات</w:t>
      </w:r>
      <w:r w:rsidR="00744A1C">
        <w:rPr>
          <w:rtl/>
          <w:lang w:bidi="fa-IR"/>
        </w:rPr>
        <w:t xml:space="preserve"> ، ص 138 و 139 ، الباب 54 ، ذيل ح 2 وح 6 و 7 وذيل ح 8 وح 11 ؛ وص 144 ، الباب 57 ، ضمن ح 2 ؛ والأمالي للصدوق ، ص 587 ، المجلس 86 ، ضمن ح 11 ؛ </w:t>
      </w:r>
      <w:r w:rsidR="00744A1C" w:rsidRPr="004D054E">
        <w:rPr>
          <w:rStyle w:val="libFootnoteBoldChar"/>
          <w:rtl/>
        </w:rPr>
        <w:t>وثواب الأعمال</w:t>
      </w:r>
      <w:r w:rsidR="00744A1C">
        <w:rPr>
          <w:rtl/>
          <w:lang w:bidi="fa-IR"/>
        </w:rPr>
        <w:t xml:space="preserve"> ، ص 111 ، ذيل ح 5 ؛ </w:t>
      </w:r>
      <w:r w:rsidR="00744A1C" w:rsidRPr="0061079A">
        <w:rPr>
          <w:rStyle w:val="libFootnoteBoldChar"/>
          <w:rtl/>
        </w:rPr>
        <w:t>والتهذيب</w:t>
      </w:r>
      <w:r w:rsidR="00744A1C">
        <w:rPr>
          <w:rtl/>
          <w:lang w:bidi="fa-IR"/>
        </w:rPr>
        <w:t xml:space="preserve"> ، ج 6 ، ص 108 ، ضمن ح 191 ؛ و</w:t>
      </w:r>
      <w:r w:rsidR="00744A1C" w:rsidRPr="000B1C3F">
        <w:rPr>
          <w:rStyle w:val="libFootnoteBoldChar"/>
          <w:rtl/>
        </w:rPr>
        <w:t>الأمالي للطوسي</w:t>
      </w:r>
      <w:r w:rsidR="00744A1C">
        <w:rPr>
          <w:rtl/>
          <w:lang w:bidi="fa-IR"/>
        </w:rPr>
        <w:t xml:space="preserve"> ، ص 214 ، المجلس 8 ، ذيل ح 22 ، بسند آخر عن أبي عبدالله </w:t>
      </w:r>
      <w:r w:rsidR="0061079A" w:rsidRPr="0061079A">
        <w:rPr>
          <w:rStyle w:val="libFootnoteAlaemChar"/>
          <w:rtl/>
        </w:rPr>
        <w:t>عليه‌السلام</w:t>
      </w:r>
      <w:r w:rsidR="00744A1C">
        <w:rPr>
          <w:rtl/>
          <w:lang w:bidi="fa-IR"/>
        </w:rPr>
        <w:t xml:space="preserve"> . </w:t>
      </w:r>
      <w:r w:rsidR="00744A1C" w:rsidRPr="007B299E">
        <w:rPr>
          <w:rStyle w:val="libFootnoteBoldChar"/>
          <w:rtl/>
        </w:rPr>
        <w:t>كامل الزيارات</w:t>
      </w:r>
      <w:r w:rsidR="00744A1C">
        <w:rPr>
          <w:rtl/>
          <w:lang w:bidi="fa-IR"/>
        </w:rPr>
        <w:t xml:space="preserve"> ، ص 139 ، الباب 54 ، ح 10 ، بسند آخر عن عليّ بن الحسين بن عليّ ، عن أبيه </w:t>
      </w:r>
      <w:r w:rsidR="00F112A7" w:rsidRPr="00CE5A92">
        <w:rPr>
          <w:rStyle w:val="libFootnoteAlaemChar"/>
          <w:rtl/>
        </w:rPr>
        <w:t>عليهما‌السلام</w:t>
      </w:r>
      <w:r w:rsidR="00B81476" w:rsidRPr="00B81476">
        <w:rPr>
          <w:rFonts w:hint="cs"/>
          <w:rtl/>
        </w:rPr>
        <w:t>.</w:t>
      </w:r>
      <w:r w:rsidR="00744A1C" w:rsidRPr="00C24F9C">
        <w:rPr>
          <w:rStyle w:val="libFootnoteBoldChar"/>
          <w:rtl/>
        </w:rPr>
        <w:t>الوافي</w:t>
      </w:r>
      <w:r w:rsidR="00744A1C">
        <w:rPr>
          <w:rtl/>
          <w:lang w:bidi="fa-IR"/>
        </w:rPr>
        <w:t xml:space="preserve"> ، ج 14 ، ص 1462 ، ح 14529 ؛ </w:t>
      </w:r>
      <w:r w:rsidR="00744A1C" w:rsidRPr="00C24F9C">
        <w:rPr>
          <w:rStyle w:val="libFootnoteBoldChar"/>
          <w:rtl/>
        </w:rPr>
        <w:t>الوسائل</w:t>
      </w:r>
      <w:r w:rsidR="00744A1C">
        <w:rPr>
          <w:rtl/>
          <w:lang w:bidi="fa-IR"/>
        </w:rPr>
        <w:t xml:space="preserve"> ، ج 14 ، ص 410 ، ح 19478.</w:t>
      </w:r>
    </w:p>
    <w:p w:rsidR="00744A1C" w:rsidRDefault="00E378DD" w:rsidP="00E378DD">
      <w:pPr>
        <w:pStyle w:val="libFootnote0"/>
        <w:rPr>
          <w:lang w:bidi="fa-IR"/>
        </w:rPr>
      </w:pPr>
      <w:r>
        <w:rPr>
          <w:rtl/>
          <w:lang w:bidi="fa-IR"/>
        </w:rPr>
        <w:t>(4).</w:t>
      </w:r>
      <w:r w:rsidR="00744A1C">
        <w:rPr>
          <w:rtl/>
          <w:lang w:bidi="fa-IR"/>
        </w:rPr>
        <w:t xml:space="preserve"> في « بخ » : - « به ».</w:t>
      </w:r>
    </w:p>
    <w:p w:rsidR="00744A1C" w:rsidRDefault="00E378DD" w:rsidP="00E378DD">
      <w:pPr>
        <w:pStyle w:val="libFootnote0"/>
        <w:rPr>
          <w:lang w:bidi="fa-IR"/>
        </w:rPr>
      </w:pPr>
      <w:r>
        <w:rPr>
          <w:rtl/>
          <w:lang w:bidi="fa-IR"/>
        </w:rPr>
        <w:t>(5).</w:t>
      </w:r>
      <w:r w:rsidR="00744A1C">
        <w:rPr>
          <w:rtl/>
          <w:lang w:bidi="fa-IR"/>
        </w:rPr>
        <w:t xml:space="preserve"> في </w:t>
      </w:r>
      <w:r w:rsidR="00744A1C" w:rsidRPr="00B81476">
        <w:rPr>
          <w:rtl/>
        </w:rPr>
        <w:t>كامل الزيارات ،</w:t>
      </w:r>
      <w:r w:rsidR="00744A1C">
        <w:rPr>
          <w:rtl/>
          <w:lang w:bidi="fa-IR"/>
        </w:rPr>
        <w:t xml:space="preserve"> ص 153 : « بشاطئ ».</w:t>
      </w:r>
    </w:p>
    <w:p w:rsidR="00144FA6" w:rsidRDefault="00E378DD" w:rsidP="00E378DD">
      <w:pPr>
        <w:pStyle w:val="libFootnote0"/>
        <w:rPr>
          <w:rtl/>
          <w:lang w:bidi="fa-IR"/>
        </w:rPr>
      </w:pPr>
      <w:r>
        <w:rPr>
          <w:rtl/>
          <w:lang w:bidi="fa-IR"/>
        </w:rPr>
        <w:t>(6).</w:t>
      </w:r>
      <w:r w:rsidR="00744A1C">
        <w:rPr>
          <w:rtl/>
          <w:lang w:bidi="fa-IR"/>
        </w:rPr>
        <w:t xml:space="preserve"> </w:t>
      </w:r>
      <w:r w:rsidR="00744A1C" w:rsidRPr="007B299E">
        <w:rPr>
          <w:rStyle w:val="libFootnoteBoldChar"/>
          <w:rtl/>
        </w:rPr>
        <w:t>كامل الزيارات</w:t>
      </w:r>
      <w:r w:rsidR="00744A1C">
        <w:rPr>
          <w:rtl/>
          <w:lang w:bidi="fa-IR"/>
        </w:rPr>
        <w:t xml:space="preserve"> ، ص 138 ، الباب 54 ، ح 3 ؛ وص 153 ، الباب 62 ، ح 5 ؛ </w:t>
      </w:r>
      <w:r w:rsidR="00744A1C" w:rsidRPr="004D054E">
        <w:rPr>
          <w:rStyle w:val="libFootnoteBoldChar"/>
          <w:rtl/>
        </w:rPr>
        <w:t>وثواب الأعمال</w:t>
      </w:r>
      <w:r w:rsidR="00744A1C">
        <w:rPr>
          <w:rtl/>
          <w:lang w:bidi="fa-IR"/>
        </w:rPr>
        <w:t xml:space="preserve"> ، ص 111 ، ح 6 ،</w:t>
      </w:r>
      <w:r w:rsidR="00B81476">
        <w:rPr>
          <w:rFonts w:hint="cs"/>
          <w:rtl/>
          <w:lang w:bidi="fa-IR"/>
        </w:rPr>
        <w:t>=</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8175 / 10. أَبُو عَلِيٍّ الْأَشْعَرِيُّ ، عَنْ مُحَمَّدِ بْنِ عَبْدِ الْجَبَّارِ ، عَنْ صَفْوَانَ بْنِ يَحْيى ، عَنِ ابْنِ مُسْكَانَ ، عَنْ غَسَّانَ الْبَصْرِيِّ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أَتى قَبْرَ أَبِي عَبْدِ اللهِ </w:t>
      </w:r>
      <w:r w:rsidR="0061079A" w:rsidRPr="0061079A">
        <w:rPr>
          <w:rStyle w:val="libAlaemChar"/>
          <w:rtl/>
        </w:rPr>
        <w:t>عليه‌السلام</w:t>
      </w:r>
      <w:r w:rsidR="00D10E3C">
        <w:rPr>
          <w:rtl/>
          <w:lang w:bidi="fa-IR"/>
        </w:rPr>
        <w:t xml:space="preserve"> </w:t>
      </w:r>
      <w:r>
        <w:rPr>
          <w:rtl/>
          <w:lang w:bidi="fa-IR"/>
        </w:rPr>
        <w:t xml:space="preserve">عَارِفاً بِحَقِّهِ ، غَفَرَ اللهُ لَهُ </w:t>
      </w:r>
      <w:r w:rsidRPr="00D10E3C">
        <w:rPr>
          <w:rStyle w:val="libFootnotenumChar"/>
          <w:rtl/>
        </w:rPr>
        <w:t>(1)</w:t>
      </w:r>
      <w:r>
        <w:rPr>
          <w:rtl/>
          <w:lang w:bidi="fa-IR"/>
        </w:rPr>
        <w:t xml:space="preserve"> مَا تَقَدَّمَ مِنْ ذَنْبِهِ وَمَا تَأَخَّرَ ». </w:t>
      </w:r>
      <w:r w:rsidRPr="00D10E3C">
        <w:rPr>
          <w:rStyle w:val="libFootnotenumChar"/>
          <w:rtl/>
        </w:rPr>
        <w:t>(2)</w:t>
      </w:r>
    </w:p>
    <w:p w:rsidR="004A2786" w:rsidRDefault="00744A1C" w:rsidP="004A2786">
      <w:pPr>
        <w:pStyle w:val="libNormal"/>
        <w:rPr>
          <w:rtl/>
          <w:lang w:bidi="fa-IR"/>
        </w:rPr>
      </w:pPr>
      <w:r>
        <w:rPr>
          <w:rtl/>
          <w:lang w:bidi="fa-IR"/>
        </w:rPr>
        <w:t xml:space="preserve">8176 / 11. مُحَمَّدُ بْنُ يَحْيى وَغَيْرُهُ ، عَنْ مُحَمَّدِ بْنِ أَحْمَدَ وَمُحَمَّدِ بْنِ الْحَسَنِ </w:t>
      </w:r>
      <w:r w:rsidRPr="00D10E3C">
        <w:rPr>
          <w:rStyle w:val="libFootnotenumChar"/>
          <w:rtl/>
        </w:rPr>
        <w:t>(3)</w:t>
      </w:r>
      <w:r>
        <w:rPr>
          <w:rtl/>
          <w:lang w:bidi="fa-IR"/>
        </w:rPr>
        <w:t xml:space="preserve"> جَمِيعاً ، عَنْ مُوسَى بْنِ عُمَرَ ، عَنْ غَسَّانَ الْبَصْرِيِّ ، عَنْ مُعَاوِيَةَ بْنِ وَهْبٍ ؛</w:t>
      </w:r>
    </w:p>
    <w:p w:rsidR="00144FA6" w:rsidRDefault="004A2786" w:rsidP="004A2786">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عَلِيُّ بْنُ إِبْرَاهِيمَ ، عَنْ أَبِيهِ ، عَنْ بَعْضِ أَصْحَابِنَا ، عَنْ إِبْرَاهِيمَ بْنِ عُقْبَةَ ، عَنْ مُعَاوِيَةَ بْنِ وَهْبٍ ، قَالَ :</w:t>
      </w:r>
    </w:p>
    <w:p w:rsidR="00144FA6" w:rsidRDefault="00744A1C" w:rsidP="00744A1C">
      <w:pPr>
        <w:pStyle w:val="libNormal"/>
        <w:rPr>
          <w:rtl/>
          <w:lang w:bidi="fa-IR"/>
        </w:rPr>
      </w:pPr>
      <w:r>
        <w:rPr>
          <w:rtl/>
          <w:lang w:bidi="fa-IR"/>
        </w:rPr>
        <w:t xml:space="preserve">اسْتَأْذَنْتُ عَلى أَبِي عَبْدِ اللهِ </w:t>
      </w:r>
      <w:r w:rsidR="0061079A" w:rsidRPr="0061079A">
        <w:rPr>
          <w:rStyle w:val="libAlaemChar"/>
          <w:rtl/>
        </w:rPr>
        <w:t>عليه‌السلام</w:t>
      </w:r>
      <w:r w:rsidR="00D10E3C">
        <w:rPr>
          <w:rtl/>
          <w:lang w:bidi="fa-IR"/>
        </w:rPr>
        <w:t xml:space="preserve"> </w:t>
      </w:r>
      <w:r>
        <w:rPr>
          <w:rtl/>
          <w:lang w:bidi="fa-IR"/>
        </w:rPr>
        <w:t>، فَقِيلَ لِي : ادْخُلْ ، فَدَخَ</w:t>
      </w:r>
      <w:r w:rsidR="004A2786">
        <w:rPr>
          <w:rtl/>
          <w:lang w:bidi="fa-IR"/>
        </w:rPr>
        <w:t>لْتُ ، فَوَجَدْتُهُ فِي مُصَل</w:t>
      </w:r>
      <w:r w:rsidR="004A2786">
        <w:rPr>
          <w:rFonts w:hint="cs"/>
          <w:rtl/>
          <w:lang w:bidi="fa-IR"/>
        </w:rPr>
        <w:t>َّ</w:t>
      </w:r>
      <w:r w:rsidR="004A2786">
        <w:rPr>
          <w:rtl/>
          <w:lang w:bidi="fa-IR"/>
        </w:rPr>
        <w:t>ا</w:t>
      </w:r>
      <w:r>
        <w:rPr>
          <w:rtl/>
          <w:lang w:bidi="fa-IR"/>
        </w:rPr>
        <w:t xml:space="preserve">هُ فِي بَيْتِهِ </w:t>
      </w:r>
      <w:r w:rsidRPr="00D10E3C">
        <w:rPr>
          <w:rStyle w:val="libFootnotenumChar"/>
          <w:rtl/>
        </w:rPr>
        <w:t>(4)</w:t>
      </w:r>
      <w:r>
        <w:rPr>
          <w:rtl/>
          <w:lang w:bidi="fa-IR"/>
        </w:rPr>
        <w:t xml:space="preserve"> ، فَجَلَسْتُ حَتّى قَضى صَلَاتَهُ ، فَسَمِعْتُهُ وَهُوَ يُنَاجِي رَبَّهُ ،</w:t>
      </w:r>
    </w:p>
    <w:p w:rsidR="00744A1C" w:rsidRDefault="00744A1C" w:rsidP="00D10E3C">
      <w:pPr>
        <w:pStyle w:val="libLine"/>
        <w:rPr>
          <w:lang w:bidi="fa-IR"/>
        </w:rPr>
      </w:pPr>
      <w:r>
        <w:rPr>
          <w:rtl/>
          <w:lang w:bidi="fa-IR"/>
        </w:rPr>
        <w:t>____________________</w:t>
      </w:r>
    </w:p>
    <w:p w:rsidR="00744A1C" w:rsidRDefault="004A2786" w:rsidP="00D10E3C">
      <w:pPr>
        <w:pStyle w:val="libFootnote0"/>
        <w:rPr>
          <w:lang w:bidi="fa-IR"/>
        </w:rPr>
      </w:pPr>
      <w:r>
        <w:rPr>
          <w:rFonts w:hint="cs"/>
          <w:rtl/>
          <w:lang w:bidi="fa-IR"/>
        </w:rPr>
        <w:t xml:space="preserve">= </w:t>
      </w:r>
      <w:r w:rsidR="00744A1C">
        <w:rPr>
          <w:rtl/>
          <w:lang w:bidi="fa-IR"/>
        </w:rPr>
        <w:t xml:space="preserve">بسند آخر عن محمّد بن الحسين. </w:t>
      </w:r>
      <w:r w:rsidR="00744A1C" w:rsidRPr="00C24F9C">
        <w:rPr>
          <w:rStyle w:val="libFootnoteBoldChar"/>
          <w:rtl/>
        </w:rPr>
        <w:t>الفقيه</w:t>
      </w:r>
      <w:r w:rsidR="00744A1C">
        <w:rPr>
          <w:rtl/>
          <w:lang w:bidi="fa-IR"/>
        </w:rPr>
        <w:t xml:space="preserve"> ، ج 2 ، ص 581 ، ح 3176 ، مرسلاً </w:t>
      </w:r>
      <w:r>
        <w:rPr>
          <w:rFonts w:hint="cs"/>
          <w:rtl/>
          <w:lang w:bidi="fa-IR"/>
        </w:rPr>
        <w:t>.</w:t>
      </w:r>
      <w:r w:rsidR="00744A1C" w:rsidRPr="00C24F9C">
        <w:rPr>
          <w:rStyle w:val="libFootnoteBoldChar"/>
          <w:rtl/>
        </w:rPr>
        <w:t>الوافي</w:t>
      </w:r>
      <w:r w:rsidR="00744A1C">
        <w:rPr>
          <w:rtl/>
          <w:lang w:bidi="fa-IR"/>
        </w:rPr>
        <w:t xml:space="preserve"> ، ج 14 ، ص 1463 ، ح 14530 ؛ </w:t>
      </w:r>
      <w:r w:rsidR="00744A1C" w:rsidRPr="00C24F9C">
        <w:rPr>
          <w:rStyle w:val="libFootnoteBoldChar"/>
          <w:rtl/>
        </w:rPr>
        <w:t>الوسائل</w:t>
      </w:r>
      <w:r w:rsidR="00744A1C">
        <w:rPr>
          <w:rtl/>
          <w:lang w:bidi="fa-IR"/>
        </w:rPr>
        <w:t xml:space="preserve"> ، ج 14 ، ص 410 ، ح 19479.</w:t>
      </w:r>
    </w:p>
    <w:p w:rsidR="00744A1C" w:rsidRDefault="00D10E3C" w:rsidP="00D10E3C">
      <w:pPr>
        <w:pStyle w:val="libFootnote0"/>
        <w:rPr>
          <w:lang w:bidi="fa-IR"/>
        </w:rPr>
      </w:pPr>
      <w:r>
        <w:rPr>
          <w:rtl/>
          <w:lang w:bidi="fa-IR"/>
        </w:rPr>
        <w:t>(1).</w:t>
      </w:r>
      <w:r w:rsidR="00744A1C">
        <w:rPr>
          <w:rtl/>
          <w:lang w:bidi="fa-IR"/>
        </w:rPr>
        <w:t xml:space="preserve"> في « بخ » : - « له ».</w:t>
      </w:r>
    </w:p>
    <w:p w:rsidR="00744A1C" w:rsidRDefault="00E378DD" w:rsidP="00E378DD">
      <w:pPr>
        <w:pStyle w:val="libFootnote0"/>
        <w:rPr>
          <w:lang w:bidi="fa-IR"/>
        </w:rPr>
      </w:pPr>
      <w:r>
        <w:rPr>
          <w:rtl/>
          <w:lang w:bidi="fa-IR"/>
        </w:rPr>
        <w:t>(2).</w:t>
      </w:r>
      <w:r w:rsidR="00744A1C">
        <w:rPr>
          <w:rtl/>
          <w:lang w:bidi="fa-IR"/>
        </w:rPr>
        <w:t xml:space="preserve"> </w:t>
      </w:r>
      <w:r w:rsidR="00744A1C" w:rsidRPr="007B299E">
        <w:rPr>
          <w:rStyle w:val="libFootnoteBoldChar"/>
          <w:rtl/>
        </w:rPr>
        <w:t>كامل الزيارات</w:t>
      </w:r>
      <w:r w:rsidR="00744A1C">
        <w:rPr>
          <w:rtl/>
          <w:lang w:bidi="fa-IR"/>
        </w:rPr>
        <w:t xml:space="preserve"> ، ص 140 ، الباب 54 ، ح 13 ، عن محمّد بن يعقوب ، عن أحمد بن إدريس ، عن محمّد بن عبدالجبّار ، عن صفوان ، عن ابن مسكان ، عن أبي عبدالله </w:t>
      </w:r>
      <w:r w:rsidR="0061079A" w:rsidRPr="0061079A">
        <w:rPr>
          <w:rStyle w:val="libFootnoteAlaemChar"/>
          <w:rtl/>
        </w:rPr>
        <w:t>عليه‌السلام</w:t>
      </w:r>
      <w:r w:rsidR="00744A1C">
        <w:rPr>
          <w:rtl/>
          <w:lang w:bidi="fa-IR"/>
        </w:rPr>
        <w:t xml:space="preserve"> . </w:t>
      </w:r>
      <w:r w:rsidR="00744A1C" w:rsidRPr="007B299E">
        <w:rPr>
          <w:rStyle w:val="libFootnoteBoldChar"/>
          <w:rtl/>
        </w:rPr>
        <w:t>كامل الزيارات</w:t>
      </w:r>
      <w:r w:rsidR="00744A1C">
        <w:rPr>
          <w:rtl/>
          <w:lang w:bidi="fa-IR"/>
        </w:rPr>
        <w:t xml:space="preserve"> ، ص 138 ، الباب 54 ، ح 4 ؛ </w:t>
      </w:r>
      <w:r w:rsidR="00744A1C" w:rsidRPr="004D054E">
        <w:rPr>
          <w:rStyle w:val="libFootnoteBoldChar"/>
          <w:rtl/>
        </w:rPr>
        <w:t>وثواب الأعمال</w:t>
      </w:r>
      <w:r w:rsidR="00744A1C">
        <w:rPr>
          <w:rtl/>
          <w:lang w:bidi="fa-IR"/>
        </w:rPr>
        <w:t xml:space="preserve"> ، ص 111 ، ح 7 ، بسندهما عن صفوان بن يحيى ، عن ابن مسكان ، عن أبي عبدالله </w:t>
      </w:r>
      <w:r w:rsidR="0061079A" w:rsidRPr="0061079A">
        <w:rPr>
          <w:rStyle w:val="libFootnoteAlaemChar"/>
          <w:rtl/>
        </w:rPr>
        <w:t>عليه‌السلام</w:t>
      </w:r>
      <w:r w:rsidR="00744A1C">
        <w:rPr>
          <w:rtl/>
          <w:lang w:bidi="fa-IR"/>
        </w:rPr>
        <w:t xml:space="preserve"> . الأمالي للصدوق ، ص 237 ، المجلس 42 ، ح 3 ، بسند آخر عن زيد بن عليّ </w:t>
      </w:r>
      <w:r w:rsidR="0061079A" w:rsidRPr="0061079A">
        <w:rPr>
          <w:rStyle w:val="libFootnoteAlaemChar"/>
          <w:rtl/>
        </w:rPr>
        <w:t>عليه‌السلام</w:t>
      </w:r>
      <w:r w:rsidR="00D10E3C">
        <w:rPr>
          <w:rtl/>
          <w:lang w:bidi="fa-IR"/>
        </w:rPr>
        <w:t xml:space="preserve"> </w:t>
      </w:r>
      <w:r w:rsidR="004A2786">
        <w:rPr>
          <w:rFonts w:hint="cs"/>
          <w:rtl/>
          <w:lang w:bidi="fa-IR"/>
        </w:rPr>
        <w:t>.</w:t>
      </w:r>
      <w:r w:rsidR="00744A1C" w:rsidRPr="00C24F9C">
        <w:rPr>
          <w:rStyle w:val="libFootnoteBoldChar"/>
          <w:rtl/>
        </w:rPr>
        <w:t>الوافي</w:t>
      </w:r>
      <w:r w:rsidR="00744A1C">
        <w:rPr>
          <w:rtl/>
          <w:lang w:bidi="fa-IR"/>
        </w:rPr>
        <w:t xml:space="preserve"> ، ج 14 ، ص 1463 ، ح 14532 ؛ </w:t>
      </w:r>
      <w:r w:rsidR="00744A1C" w:rsidRPr="00C24F9C">
        <w:rPr>
          <w:rStyle w:val="libFootnoteBoldChar"/>
          <w:rtl/>
        </w:rPr>
        <w:t>الوسائل</w:t>
      </w:r>
      <w:r w:rsidR="00744A1C">
        <w:rPr>
          <w:rtl/>
          <w:lang w:bidi="fa-IR"/>
        </w:rPr>
        <w:t xml:space="preserve"> ، ج 14 ، ص 411 ، ح 19481.</w:t>
      </w:r>
    </w:p>
    <w:p w:rsidR="00744A1C" w:rsidRDefault="00E378DD" w:rsidP="00E378DD">
      <w:pPr>
        <w:pStyle w:val="libFootnote0"/>
        <w:rPr>
          <w:lang w:bidi="fa-IR"/>
        </w:rPr>
      </w:pPr>
      <w:r>
        <w:rPr>
          <w:rtl/>
          <w:lang w:bidi="fa-IR"/>
        </w:rPr>
        <w:t>(3).</w:t>
      </w:r>
      <w:r w:rsidR="00744A1C">
        <w:rPr>
          <w:rtl/>
          <w:lang w:bidi="fa-IR"/>
        </w:rPr>
        <w:t xml:space="preserve"> هكذا في « ى ، بث ، بح ، بخ ، جد ، جر ، جن » و</w:t>
      </w:r>
      <w:r w:rsidR="00744A1C" w:rsidRPr="00C24F9C">
        <w:rPr>
          <w:rStyle w:val="libFootnoteBoldChar"/>
          <w:rtl/>
        </w:rPr>
        <w:t>الوافي</w:t>
      </w:r>
      <w:r w:rsidR="00744A1C">
        <w:rPr>
          <w:rtl/>
          <w:lang w:bidi="fa-IR"/>
        </w:rPr>
        <w:t>. وفي « بس ، بف » والمطبوع و</w:t>
      </w:r>
      <w:r w:rsidR="00744A1C" w:rsidRPr="00C24F9C">
        <w:rPr>
          <w:rStyle w:val="libFootnoteBoldChar"/>
          <w:rtl/>
        </w:rPr>
        <w:t>الوسائل</w:t>
      </w:r>
      <w:r w:rsidR="00744A1C">
        <w:rPr>
          <w:rtl/>
          <w:lang w:bidi="fa-IR"/>
        </w:rPr>
        <w:t xml:space="preserve"> : « محمّد بن‌الحسين ».</w:t>
      </w:r>
    </w:p>
    <w:p w:rsidR="00744A1C" w:rsidRDefault="00744A1C" w:rsidP="00D10E3C">
      <w:pPr>
        <w:pStyle w:val="libFootnote0"/>
        <w:rPr>
          <w:lang w:bidi="fa-IR"/>
        </w:rPr>
      </w:pPr>
      <w:r>
        <w:rPr>
          <w:rtl/>
          <w:lang w:bidi="fa-IR"/>
        </w:rPr>
        <w:t xml:space="preserve">وما أثبتناه هو الظاهر ؛ فقد ورد في </w:t>
      </w:r>
      <w:r w:rsidRPr="0061079A">
        <w:rPr>
          <w:rStyle w:val="libFootnoteBoldChar"/>
          <w:rtl/>
        </w:rPr>
        <w:t>الكافي</w:t>
      </w:r>
      <w:r>
        <w:rPr>
          <w:rtl/>
          <w:lang w:bidi="fa-IR"/>
        </w:rPr>
        <w:t xml:space="preserve"> ، ح 11825 رواية محمّد بن يحيى ، عن محمّد بن الحسن ، عن موسى بن عمر. وخبرنا هذا رواه ابن قولويه في </w:t>
      </w:r>
      <w:r w:rsidRPr="007B299E">
        <w:rPr>
          <w:rStyle w:val="libFootnoteBoldChar"/>
          <w:rtl/>
        </w:rPr>
        <w:t>كامل الزيارات</w:t>
      </w:r>
      <w:r>
        <w:rPr>
          <w:rtl/>
          <w:lang w:bidi="fa-IR"/>
        </w:rPr>
        <w:t xml:space="preserve"> ، ص 116 ، ح 2 ، بسنده عن عبد الله بن جعفر الحميري ، عن موسى بن عمر ، عن حسّان البصري. وعبد الله بن جعفر الحميري في طبقة محمّد بن عليّ بن محبوب وسعد - وهو سعد بن عبد الله - الراويين لكتاب موسى بن عمر بن يزيد ، وهؤلاء الثلاثة مشتركون مع محمّد بن الحسن الصفّار في الطبقة وعمدة المشايخ.</w:t>
      </w:r>
    </w:p>
    <w:p w:rsidR="00744A1C" w:rsidRDefault="00E378DD" w:rsidP="00E378DD">
      <w:pPr>
        <w:pStyle w:val="libFootnote0"/>
        <w:rPr>
          <w:lang w:bidi="fa-IR"/>
        </w:rPr>
      </w:pPr>
      <w:r>
        <w:rPr>
          <w:rtl/>
          <w:lang w:bidi="fa-IR"/>
        </w:rPr>
        <w:t>(4).</w:t>
      </w:r>
      <w:r w:rsidR="00744A1C">
        <w:rPr>
          <w:rtl/>
          <w:lang w:bidi="fa-IR"/>
        </w:rPr>
        <w:t xml:space="preserve"> في </w:t>
      </w:r>
      <w:r w:rsidR="00744A1C" w:rsidRPr="004A2786">
        <w:rPr>
          <w:rtl/>
        </w:rPr>
        <w:t>الوسائل وثواب الأعمال</w:t>
      </w:r>
      <w:r w:rsidR="00744A1C">
        <w:rPr>
          <w:rtl/>
          <w:lang w:bidi="fa-IR"/>
        </w:rPr>
        <w:t xml:space="preserve"> : - « في بيته ».</w:t>
      </w:r>
    </w:p>
    <w:p w:rsidR="00150943" w:rsidRDefault="00150943" w:rsidP="00D10E3C">
      <w:pPr>
        <w:pStyle w:val="libNormal"/>
        <w:rPr>
          <w:rtl/>
          <w:lang w:bidi="fa-IR"/>
        </w:rPr>
      </w:pPr>
      <w:r>
        <w:rPr>
          <w:rtl/>
          <w:lang w:bidi="fa-IR"/>
        </w:rPr>
        <w:br w:type="page"/>
      </w:r>
    </w:p>
    <w:p w:rsidR="00744A1C" w:rsidRDefault="00744A1C" w:rsidP="00A6581D">
      <w:pPr>
        <w:pStyle w:val="libNormal0"/>
        <w:rPr>
          <w:lang w:bidi="fa-IR"/>
        </w:rPr>
      </w:pPr>
      <w:r>
        <w:rPr>
          <w:rtl/>
          <w:lang w:bidi="fa-IR"/>
        </w:rPr>
        <w:lastRenderedPageBreak/>
        <w:t>وَ</w:t>
      </w:r>
      <w:r w:rsidR="004A2786">
        <w:rPr>
          <w:rFonts w:hint="cs"/>
          <w:rtl/>
          <w:lang w:bidi="fa-IR"/>
        </w:rPr>
        <w:t xml:space="preserve"> </w:t>
      </w:r>
      <w:r>
        <w:rPr>
          <w:rtl/>
          <w:lang w:bidi="fa-IR"/>
        </w:rPr>
        <w:t xml:space="preserve">يَقُولُ </w:t>
      </w:r>
      <w:r w:rsidRPr="00D10E3C">
        <w:rPr>
          <w:rStyle w:val="libFootnotenumChar"/>
          <w:rtl/>
        </w:rPr>
        <w:t>(1)</w:t>
      </w:r>
      <w:r>
        <w:rPr>
          <w:rtl/>
          <w:lang w:bidi="fa-IR"/>
        </w:rPr>
        <w:t xml:space="preserve"> : « يَا مَنْ خَصَّنَا بِالْكَرَامَةِ </w:t>
      </w:r>
      <w:r w:rsidRPr="00D10E3C">
        <w:rPr>
          <w:rStyle w:val="libFootnotenumChar"/>
          <w:rtl/>
        </w:rPr>
        <w:t>(2)</w:t>
      </w:r>
      <w:r>
        <w:rPr>
          <w:rtl/>
          <w:lang w:bidi="fa-IR"/>
        </w:rPr>
        <w:t xml:space="preserve"> ، وَخَصَّنَا </w:t>
      </w:r>
      <w:r w:rsidRPr="00D10E3C">
        <w:rPr>
          <w:rStyle w:val="libFootnotenumChar"/>
          <w:rtl/>
        </w:rPr>
        <w:t>(3)</w:t>
      </w:r>
      <w:r>
        <w:rPr>
          <w:rtl/>
          <w:lang w:bidi="fa-IR"/>
        </w:rPr>
        <w:t xml:space="preserve"> بِالْوَصِيَّةِ ، وَوَعَدَنَا الشَّفَاعَةَ ، وَأَعْطَانَا عِلْمَ مَا مَضى وَمَا بَقِيَ ، وَجَعَلَ أَفْئِدَةً مِنَ النَّاسِ تَهْوِي إِلَيْنَا ، اغْفِرْ لِي وَلِإِخْوَانِي وَلِزُوَّارِ قَبْرِ أَبِي عَبْدِ اللهِ </w:t>
      </w:r>
      <w:r w:rsidRPr="00D10E3C">
        <w:rPr>
          <w:rStyle w:val="libFootnotenumChar"/>
          <w:rtl/>
        </w:rPr>
        <w:t>(4)</w:t>
      </w:r>
      <w:r>
        <w:rPr>
          <w:rtl/>
          <w:lang w:bidi="fa-IR"/>
        </w:rPr>
        <w:t xml:space="preserve"> الْحُسَيْنِ </w:t>
      </w:r>
      <w:r w:rsidR="0061079A" w:rsidRPr="0061079A">
        <w:rPr>
          <w:rStyle w:val="libAlaemChar"/>
          <w:rtl/>
        </w:rPr>
        <w:t>عليه‌السلام</w:t>
      </w:r>
      <w:r w:rsidR="00D10E3C">
        <w:rPr>
          <w:rtl/>
          <w:lang w:bidi="fa-IR"/>
        </w:rPr>
        <w:t xml:space="preserve"> </w:t>
      </w:r>
      <w:r>
        <w:rPr>
          <w:rtl/>
          <w:lang w:bidi="fa-IR"/>
        </w:rPr>
        <w:t>الَّذِينَ أَنْفَقُوا أَمْوَالَهُمْ ، وَ</w:t>
      </w:r>
      <w:r w:rsidR="004A2786">
        <w:rPr>
          <w:rFonts w:hint="cs"/>
          <w:rtl/>
          <w:lang w:bidi="fa-IR"/>
        </w:rPr>
        <w:t xml:space="preserve"> </w:t>
      </w:r>
      <w:r>
        <w:rPr>
          <w:rtl/>
          <w:lang w:bidi="fa-IR"/>
        </w:rPr>
        <w:t>أَشْخَصُوا أَبْدَانَهُمْ رَغْبَةً فِي بِرِّنَا ، وَ</w:t>
      </w:r>
      <w:r w:rsidR="004A2786">
        <w:rPr>
          <w:rFonts w:hint="cs"/>
          <w:rtl/>
          <w:lang w:bidi="fa-IR"/>
        </w:rPr>
        <w:t xml:space="preserve"> </w:t>
      </w:r>
      <w:r>
        <w:rPr>
          <w:rtl/>
          <w:lang w:bidi="fa-IR"/>
        </w:rPr>
        <w:t>رَجَاءً لِمَا عِنْدَكَ فِي صِلَتِنَا ، وَ</w:t>
      </w:r>
      <w:r w:rsidR="004A2786">
        <w:rPr>
          <w:rFonts w:hint="cs"/>
          <w:rtl/>
          <w:lang w:bidi="fa-IR"/>
        </w:rPr>
        <w:t xml:space="preserve"> </w:t>
      </w:r>
      <w:r>
        <w:rPr>
          <w:rtl/>
          <w:lang w:bidi="fa-IR"/>
        </w:rPr>
        <w:t xml:space="preserve">سُرُوراً أَدْخَلُوهُ عَلى نَبِيِّكَ ، صَلَوَاتُكَ عَلَيْهِ وَآلِهِ ، وَإِجَابَةً مِنْهُمْ لِأَمْرِنَا ، وَغَيْظاً أَدْخَلُوهُ عَلى عَدُوِّنَا ، أَرَادُوا بِذلِكَ رِضَاكَ ، فَكَافِهِمْ </w:t>
      </w:r>
      <w:r w:rsidRPr="00D10E3C">
        <w:rPr>
          <w:rStyle w:val="libFootnotenumChar"/>
          <w:rtl/>
        </w:rPr>
        <w:t>(5)</w:t>
      </w:r>
      <w:r>
        <w:rPr>
          <w:rtl/>
          <w:lang w:bidi="fa-IR"/>
        </w:rPr>
        <w:t xml:space="preserve"> عَنَّا بِالرِّضْوَانِ ، وَاكْلَأْهُمْ </w:t>
      </w:r>
      <w:r w:rsidRPr="00D10E3C">
        <w:rPr>
          <w:rStyle w:val="libFootnotenumChar"/>
          <w:rtl/>
        </w:rPr>
        <w:t>(6)</w:t>
      </w:r>
      <w:r>
        <w:rPr>
          <w:rtl/>
          <w:lang w:bidi="fa-IR"/>
        </w:rPr>
        <w:t xml:space="preserve"> بِاللَّيْلِ وَالنَّهَارِ ، وَاخْلُفْ عَلى أَهَالِيهِمْ وَ</w:t>
      </w:r>
      <w:r w:rsidR="00890FED">
        <w:rPr>
          <w:rFonts w:hint="cs"/>
          <w:rtl/>
          <w:lang w:bidi="fa-IR"/>
        </w:rPr>
        <w:t xml:space="preserve"> </w:t>
      </w:r>
      <w:r>
        <w:rPr>
          <w:rtl/>
          <w:lang w:bidi="fa-IR"/>
        </w:rPr>
        <w:t xml:space="preserve">أَوْلَادِهِمُ الَّذِينَ خُلِّفُوا بِأَحْسَنِ الْخَلَفِ ، وَاصْحَبْهُمْ ، وَاكْفِهِمْ شَرَّ كُلِّ جَبَّارٍ عَنِيدٍ ، وَكُلِّ ضَعِيفٍ مِنْ خَلْقِكَ أَوْ شَدِيدٍ ، وَشَرَّ شَيَاطِينِ الْإِنْسِ وَالْجِنِّ </w:t>
      </w:r>
      <w:r w:rsidRPr="00D10E3C">
        <w:rPr>
          <w:rStyle w:val="libFootnotenumChar"/>
          <w:rtl/>
        </w:rPr>
        <w:t>(7)</w:t>
      </w:r>
      <w:r>
        <w:rPr>
          <w:rtl/>
          <w:lang w:bidi="fa-IR"/>
        </w:rPr>
        <w:t xml:space="preserve"> ، وَأَعْطِهِمْ أَفْضَلَ مَا أَمَّلُوا مِنْكَ فِي غُرْبَتِهِمْ عَنْ أَوْطَانِهِمْ ، وَمَا آثَرُونَا بِهِ عَلى أَبْنَائِهِمْ </w:t>
      </w:r>
      <w:r w:rsidRPr="00D10E3C">
        <w:rPr>
          <w:rStyle w:val="libFootnotenumChar"/>
          <w:rtl/>
        </w:rPr>
        <w:t>(8)</w:t>
      </w:r>
      <w:r>
        <w:rPr>
          <w:rtl/>
          <w:lang w:bidi="fa-IR"/>
        </w:rPr>
        <w:t xml:space="preserve"> وَأَهَالِيهِمْ </w:t>
      </w:r>
      <w:r w:rsidRPr="00D10E3C">
        <w:rPr>
          <w:rStyle w:val="libFootnotenumChar"/>
          <w:rtl/>
        </w:rPr>
        <w:t>(9)</w:t>
      </w:r>
      <w:r>
        <w:rPr>
          <w:rtl/>
          <w:lang w:bidi="fa-IR"/>
        </w:rPr>
        <w:t xml:space="preserve"> وَقَرَابَاتِهِمْ.</w:t>
      </w:r>
    </w:p>
    <w:p w:rsidR="00144FA6" w:rsidRDefault="00744A1C" w:rsidP="00744A1C">
      <w:pPr>
        <w:pStyle w:val="libNormal"/>
        <w:rPr>
          <w:rtl/>
          <w:lang w:bidi="fa-IR"/>
        </w:rPr>
      </w:pPr>
      <w:r>
        <w:rPr>
          <w:rtl/>
          <w:lang w:bidi="fa-IR"/>
        </w:rPr>
        <w:t>الل</w:t>
      </w:r>
      <w:r w:rsidR="00890FED">
        <w:rPr>
          <w:rFonts w:hint="cs"/>
          <w:rtl/>
          <w:lang w:bidi="fa-IR"/>
        </w:rPr>
        <w:t>ّ</w:t>
      </w:r>
      <w:r>
        <w:rPr>
          <w:rtl/>
          <w:lang w:bidi="fa-IR"/>
        </w:rPr>
        <w:t xml:space="preserve">هُمَّ إِنَّ أَعْدَاءَنَا عَابُوا عَلَيْهِمْ خُرُوجَهُمْ ، فَلَمْ يَنْهَهُمْ ذلِكَ عَنِ </w:t>
      </w:r>
      <w:r w:rsidRPr="00D10E3C">
        <w:rPr>
          <w:rStyle w:val="libFootnotenumChar"/>
          <w:rtl/>
        </w:rPr>
        <w:t>(10)</w:t>
      </w:r>
      <w:r>
        <w:rPr>
          <w:rtl/>
          <w:lang w:bidi="fa-IR"/>
        </w:rPr>
        <w:t xml:space="preserve"> الشُّخُوصِ </w:t>
      </w:r>
      <w:r w:rsidRPr="00D10E3C">
        <w:rPr>
          <w:rStyle w:val="libFootnotenumChar"/>
          <w:rtl/>
        </w:rPr>
        <w:t>(11)</w:t>
      </w:r>
      <w:r>
        <w:rPr>
          <w:rtl/>
          <w:lang w:bidi="fa-IR"/>
        </w:rPr>
        <w:t xml:space="preserve"> إِلَيْنَا ، وَخِلَافاً </w:t>
      </w:r>
      <w:r w:rsidRPr="00D10E3C">
        <w:rPr>
          <w:rStyle w:val="libFootnotenumChar"/>
          <w:rtl/>
        </w:rPr>
        <w:t>(12)</w:t>
      </w:r>
      <w:r>
        <w:rPr>
          <w:rtl/>
          <w:lang w:bidi="fa-IR"/>
        </w:rPr>
        <w:t xml:space="preserve"> مِنْهُمْ </w:t>
      </w:r>
      <w:r w:rsidRPr="00D10E3C">
        <w:rPr>
          <w:rStyle w:val="libFootnotenumChar"/>
          <w:rtl/>
        </w:rPr>
        <w:t>(13)</w:t>
      </w:r>
      <w:r>
        <w:rPr>
          <w:rtl/>
          <w:lang w:bidi="fa-IR"/>
        </w:rPr>
        <w:t xml:space="preserve"> عَلى مَنْ خَالَفَنَا ، فَارْحَمْ تِلْكَ الْوُجُوهَ الَّتِي قَدْ </w:t>
      </w:r>
      <w:r w:rsidRPr="00D10E3C">
        <w:rPr>
          <w:rStyle w:val="libFootnotenumChar"/>
          <w:rtl/>
        </w:rPr>
        <w:t>(14)</w:t>
      </w:r>
      <w:r>
        <w:rPr>
          <w:rtl/>
          <w:lang w:bidi="fa-IR"/>
        </w:rPr>
        <w:t xml:space="preserve"> غَيَّرَتْهَا الشَّمْسُ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بخ ، بس ، بف ، جد » وحاشية « بح » : « وهو يقول ». وفي </w:t>
      </w:r>
      <w:r w:rsidR="00744A1C" w:rsidRPr="00890FED">
        <w:rPr>
          <w:rtl/>
        </w:rPr>
        <w:t>كامل الزيارات</w:t>
      </w:r>
      <w:r w:rsidR="00744A1C">
        <w:rPr>
          <w:rtl/>
          <w:lang w:bidi="fa-IR"/>
        </w:rPr>
        <w:t xml:space="preserve"> : + « الل</w:t>
      </w:r>
      <w:r w:rsidR="00890FED">
        <w:rPr>
          <w:rFonts w:hint="cs"/>
          <w:rtl/>
          <w:lang w:bidi="fa-IR"/>
        </w:rPr>
        <w:t>ّ</w:t>
      </w:r>
      <w:r w:rsidR="00744A1C">
        <w:rPr>
          <w:rtl/>
          <w:lang w:bidi="fa-IR"/>
        </w:rPr>
        <w:t>همّ ».</w:t>
      </w:r>
    </w:p>
    <w:p w:rsidR="00744A1C" w:rsidRDefault="00E378DD" w:rsidP="00E378DD">
      <w:pPr>
        <w:pStyle w:val="libFootnote0"/>
        <w:rPr>
          <w:lang w:bidi="fa-IR"/>
        </w:rPr>
      </w:pPr>
      <w:r>
        <w:rPr>
          <w:rtl/>
          <w:lang w:bidi="fa-IR"/>
        </w:rPr>
        <w:t>(2).</w:t>
      </w:r>
      <w:r w:rsidR="00744A1C">
        <w:rPr>
          <w:rtl/>
          <w:lang w:bidi="fa-IR"/>
        </w:rPr>
        <w:t xml:space="preserve"> في « بث ، بح » : « بالرسالة ».</w:t>
      </w:r>
    </w:p>
    <w:p w:rsidR="00744A1C" w:rsidRDefault="00E378DD" w:rsidP="00E378DD">
      <w:pPr>
        <w:pStyle w:val="libFootnote0"/>
        <w:rPr>
          <w:lang w:bidi="fa-IR"/>
        </w:rPr>
      </w:pPr>
      <w:r>
        <w:rPr>
          <w:rtl/>
          <w:lang w:bidi="fa-IR"/>
        </w:rPr>
        <w:t>(3).</w:t>
      </w:r>
      <w:r w:rsidR="00744A1C">
        <w:rPr>
          <w:rtl/>
          <w:lang w:bidi="fa-IR"/>
        </w:rPr>
        <w:t xml:space="preserve"> في « ى » : - « بالكرامة وخصّنا ».</w:t>
      </w:r>
    </w:p>
    <w:p w:rsidR="00744A1C" w:rsidRDefault="00E378DD" w:rsidP="00E378DD">
      <w:pPr>
        <w:pStyle w:val="libFootnote0"/>
        <w:rPr>
          <w:lang w:bidi="fa-IR"/>
        </w:rPr>
      </w:pPr>
      <w:r>
        <w:rPr>
          <w:rtl/>
          <w:lang w:bidi="fa-IR"/>
        </w:rPr>
        <w:t>(4).</w:t>
      </w:r>
      <w:r w:rsidR="00744A1C">
        <w:rPr>
          <w:rtl/>
          <w:lang w:bidi="fa-IR"/>
        </w:rPr>
        <w:t xml:space="preserve"> في « ى ، بح ، بخ ، بس ، بف ، جد ، جن » و</w:t>
      </w:r>
      <w:r w:rsidR="00744A1C" w:rsidRPr="004D5558">
        <w:rPr>
          <w:rtl/>
        </w:rPr>
        <w:t xml:space="preserve">الوافي </w:t>
      </w:r>
      <w:r w:rsidR="00744A1C">
        <w:rPr>
          <w:rtl/>
          <w:lang w:bidi="fa-IR"/>
        </w:rPr>
        <w:t xml:space="preserve">: - « عبد الله ». وفي </w:t>
      </w:r>
      <w:r w:rsidR="00744A1C" w:rsidRPr="004D5558">
        <w:rPr>
          <w:rtl/>
        </w:rPr>
        <w:t>الوسائل وكامل الزيارات :</w:t>
      </w:r>
      <w:r w:rsidR="00744A1C">
        <w:rPr>
          <w:rtl/>
          <w:lang w:bidi="fa-IR"/>
        </w:rPr>
        <w:t xml:space="preserve"> - « أبي عبد الله ».</w:t>
      </w:r>
    </w:p>
    <w:p w:rsidR="00744A1C" w:rsidRDefault="00E378DD" w:rsidP="00E378DD">
      <w:pPr>
        <w:pStyle w:val="libFootnote0"/>
        <w:rPr>
          <w:lang w:bidi="fa-IR"/>
        </w:rPr>
      </w:pPr>
      <w:r>
        <w:rPr>
          <w:rtl/>
          <w:lang w:bidi="fa-IR"/>
        </w:rPr>
        <w:t>(5).</w:t>
      </w:r>
      <w:r w:rsidR="00744A1C">
        <w:rPr>
          <w:rtl/>
          <w:lang w:bidi="fa-IR"/>
        </w:rPr>
        <w:t xml:space="preserve"> في حاشية « بح » : « وكافهم ».</w:t>
      </w:r>
    </w:p>
    <w:p w:rsidR="00744A1C" w:rsidRDefault="00E378DD" w:rsidP="00E378DD">
      <w:pPr>
        <w:pStyle w:val="libFootnote0"/>
        <w:rPr>
          <w:lang w:bidi="fa-IR"/>
        </w:rPr>
      </w:pPr>
      <w:r>
        <w:rPr>
          <w:rtl/>
          <w:lang w:bidi="fa-IR"/>
        </w:rPr>
        <w:t>(6).</w:t>
      </w:r>
      <w:r w:rsidR="00744A1C">
        <w:rPr>
          <w:rtl/>
          <w:lang w:bidi="fa-IR"/>
        </w:rPr>
        <w:t xml:space="preserve"> كلأه يَكلَؤُه كلأً وكِلاءً : حَرَسَه وحَفِظَهُ. </w:t>
      </w:r>
      <w:r w:rsidR="00744A1C" w:rsidRPr="00877682">
        <w:rPr>
          <w:rStyle w:val="libFootnoteBoldChar"/>
          <w:rtl/>
        </w:rPr>
        <w:t>لسان العرب</w:t>
      </w:r>
      <w:r w:rsidR="00744A1C">
        <w:rPr>
          <w:rtl/>
          <w:lang w:bidi="fa-IR"/>
        </w:rPr>
        <w:t xml:space="preserve"> ، ج 1 ، ص 146 ( كلأ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الوسائل</w:t>
      </w:r>
      <w:r w:rsidR="00744A1C">
        <w:rPr>
          <w:rtl/>
          <w:lang w:bidi="fa-IR"/>
        </w:rPr>
        <w:t xml:space="preserve"> : « الجنّ والإنس ».</w:t>
      </w:r>
    </w:p>
    <w:tbl>
      <w:tblPr>
        <w:tblStyle w:val="TableGrid"/>
        <w:bidiVisual/>
        <w:tblW w:w="0" w:type="auto"/>
        <w:tblLook w:val="04A0" w:firstRow="1" w:lastRow="0" w:firstColumn="1" w:lastColumn="0" w:noHBand="0" w:noVBand="1"/>
      </w:tblPr>
      <w:tblGrid>
        <w:gridCol w:w="4006"/>
        <w:gridCol w:w="4006"/>
      </w:tblGrid>
      <w:tr w:rsidR="004D5558" w:rsidTr="004D5558">
        <w:tc>
          <w:tcPr>
            <w:tcW w:w="4006" w:type="dxa"/>
          </w:tcPr>
          <w:p w:rsidR="004D5558" w:rsidRDefault="004D5558" w:rsidP="00E378DD">
            <w:pPr>
              <w:pStyle w:val="libFootnote0"/>
              <w:rPr>
                <w:rtl/>
                <w:lang w:bidi="fa-IR"/>
              </w:rPr>
            </w:pPr>
            <w:r>
              <w:rPr>
                <w:rtl/>
                <w:lang w:bidi="fa-IR"/>
              </w:rPr>
              <w:t>(8). في « بث ، بح » : « أبياتهم ».</w:t>
            </w:r>
          </w:p>
        </w:tc>
        <w:tc>
          <w:tcPr>
            <w:tcW w:w="4006" w:type="dxa"/>
          </w:tcPr>
          <w:p w:rsidR="004D5558" w:rsidRDefault="004D5558" w:rsidP="00E378DD">
            <w:pPr>
              <w:pStyle w:val="libFootnote0"/>
              <w:rPr>
                <w:rtl/>
                <w:lang w:bidi="fa-IR"/>
              </w:rPr>
            </w:pPr>
            <w:r>
              <w:rPr>
                <w:rtl/>
                <w:lang w:bidi="fa-IR"/>
              </w:rPr>
              <w:t>(9). في حاشية « بث ، بح » : « وأهليهم ».</w:t>
            </w:r>
          </w:p>
        </w:tc>
      </w:tr>
    </w:tbl>
    <w:p w:rsidR="00744A1C" w:rsidRDefault="00E378DD" w:rsidP="00E378DD">
      <w:pPr>
        <w:pStyle w:val="libFootnote0"/>
        <w:rPr>
          <w:lang w:bidi="fa-IR"/>
        </w:rPr>
      </w:pPr>
      <w:r>
        <w:rPr>
          <w:rtl/>
          <w:lang w:bidi="fa-IR"/>
        </w:rPr>
        <w:t>(10).</w:t>
      </w:r>
      <w:r w:rsidR="00744A1C">
        <w:rPr>
          <w:rtl/>
          <w:lang w:bidi="fa-IR"/>
        </w:rPr>
        <w:t xml:space="preserve"> في ثواب الأعمال : + « النهوض و».</w:t>
      </w:r>
    </w:p>
    <w:p w:rsidR="00744A1C" w:rsidRDefault="00E378DD" w:rsidP="00E378DD">
      <w:pPr>
        <w:pStyle w:val="libFootnote0"/>
        <w:rPr>
          <w:lang w:bidi="fa-IR"/>
        </w:rPr>
      </w:pPr>
      <w:r>
        <w:rPr>
          <w:rtl/>
          <w:lang w:bidi="fa-IR"/>
        </w:rPr>
        <w:t>(11).</w:t>
      </w:r>
      <w:r w:rsidR="00744A1C">
        <w:rPr>
          <w:rtl/>
          <w:lang w:bidi="fa-IR"/>
        </w:rPr>
        <w:t xml:space="preserve"> « الشُخوصُ » : السير من بلد إلى بلد ، وشَخَصَ ، أي ذَهَبَ وسار. راجع : </w:t>
      </w:r>
      <w:r w:rsidR="00744A1C" w:rsidRPr="00877682">
        <w:rPr>
          <w:rStyle w:val="libFootnoteBoldChar"/>
          <w:rtl/>
        </w:rPr>
        <w:t>لسان العرب</w:t>
      </w:r>
      <w:r w:rsidR="00744A1C">
        <w:rPr>
          <w:rtl/>
          <w:lang w:bidi="fa-IR"/>
        </w:rPr>
        <w:t xml:space="preserve"> ، ج 7 ، ص 46 ؛ </w:t>
      </w:r>
      <w:r w:rsidR="00744A1C" w:rsidRPr="008A57EB">
        <w:rPr>
          <w:rStyle w:val="libFootnoteBoldChar"/>
          <w:rtl/>
        </w:rPr>
        <w:t>القاموس المحيط</w:t>
      </w:r>
      <w:r w:rsidR="00744A1C">
        <w:rPr>
          <w:rtl/>
          <w:lang w:bidi="fa-IR"/>
        </w:rPr>
        <w:t xml:space="preserve"> ، ج 1 ، ص 844 ( شخص ).</w:t>
      </w:r>
    </w:p>
    <w:p w:rsidR="00744A1C" w:rsidRDefault="00E378DD" w:rsidP="00E378DD">
      <w:pPr>
        <w:pStyle w:val="libFootnote0"/>
        <w:rPr>
          <w:lang w:bidi="fa-IR"/>
        </w:rPr>
      </w:pPr>
      <w:r>
        <w:rPr>
          <w:rtl/>
          <w:lang w:bidi="fa-IR"/>
        </w:rPr>
        <w:t>(12).</w:t>
      </w:r>
      <w:r w:rsidR="00744A1C">
        <w:rPr>
          <w:rtl/>
          <w:lang w:bidi="fa-IR"/>
        </w:rPr>
        <w:t xml:space="preserve"> في « جد » </w:t>
      </w:r>
      <w:r w:rsidR="00744A1C" w:rsidRPr="00835FD7">
        <w:rPr>
          <w:rtl/>
        </w:rPr>
        <w:t>وكامل الزيارات</w:t>
      </w:r>
      <w:r w:rsidR="00744A1C">
        <w:rPr>
          <w:rtl/>
          <w:lang w:bidi="fa-IR"/>
        </w:rPr>
        <w:t xml:space="preserve"> والثواب : « خلافاً » بدون الواو.</w:t>
      </w:r>
    </w:p>
    <w:p w:rsidR="00744A1C" w:rsidRDefault="00E378DD" w:rsidP="00E378DD">
      <w:pPr>
        <w:pStyle w:val="libFootnote0"/>
        <w:rPr>
          <w:lang w:bidi="fa-IR"/>
        </w:rPr>
      </w:pPr>
      <w:r>
        <w:rPr>
          <w:rtl/>
          <w:lang w:bidi="fa-IR"/>
        </w:rPr>
        <w:t>(13).</w:t>
      </w:r>
      <w:r w:rsidR="00744A1C">
        <w:rPr>
          <w:rtl/>
          <w:lang w:bidi="fa-IR"/>
        </w:rPr>
        <w:t xml:space="preserve"> في « بف » </w:t>
      </w:r>
      <w:r w:rsidR="00744A1C" w:rsidRPr="00835FD7">
        <w:rPr>
          <w:rtl/>
        </w:rPr>
        <w:t>والوافي :</w:t>
      </w:r>
      <w:r w:rsidR="00744A1C">
        <w:rPr>
          <w:rtl/>
          <w:lang w:bidi="fa-IR"/>
        </w:rPr>
        <w:t xml:space="preserve"> « وخلافهم » بدل « وخلافاً منهم ».</w:t>
      </w:r>
    </w:p>
    <w:p w:rsidR="00744A1C" w:rsidRDefault="00E378DD" w:rsidP="00E378DD">
      <w:pPr>
        <w:pStyle w:val="libFootnote0"/>
        <w:rPr>
          <w:lang w:bidi="fa-IR"/>
        </w:rPr>
      </w:pPr>
      <w:r>
        <w:rPr>
          <w:rtl/>
          <w:lang w:bidi="fa-IR"/>
        </w:rPr>
        <w:t>(14).</w:t>
      </w:r>
      <w:r w:rsidR="00744A1C">
        <w:rPr>
          <w:rtl/>
          <w:lang w:bidi="fa-IR"/>
        </w:rPr>
        <w:t xml:space="preserve"> في « ى ، بح ، بس ، جد » </w:t>
      </w:r>
      <w:r w:rsidR="00744A1C" w:rsidRPr="00835FD7">
        <w:rPr>
          <w:rtl/>
        </w:rPr>
        <w:t xml:space="preserve">والوافي </w:t>
      </w:r>
      <w:r w:rsidR="00744A1C">
        <w:rPr>
          <w:rtl/>
          <w:lang w:bidi="fa-IR"/>
        </w:rPr>
        <w:t>: - « قد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وَ</w:t>
      </w:r>
      <w:r w:rsidR="00835FD7">
        <w:rPr>
          <w:rFonts w:hint="cs"/>
          <w:rtl/>
          <w:lang w:bidi="fa-IR"/>
        </w:rPr>
        <w:t xml:space="preserve"> </w:t>
      </w:r>
      <w:r>
        <w:rPr>
          <w:rtl/>
          <w:lang w:bidi="fa-IR"/>
        </w:rPr>
        <w:t xml:space="preserve">ارْحَمْ تِلْكَ الْخُدُودَ الَّتِي تَقَلَّبَتْ عَلى حُفْرَةِ </w:t>
      </w:r>
      <w:r w:rsidRPr="00D10E3C">
        <w:rPr>
          <w:rStyle w:val="libFootnotenumChar"/>
          <w:rtl/>
        </w:rPr>
        <w:t>(1)</w:t>
      </w:r>
      <w:r>
        <w:rPr>
          <w:rtl/>
          <w:lang w:bidi="fa-IR"/>
        </w:rPr>
        <w:t xml:space="preserve"> أَبِي عَبْدِ اللهِ </w:t>
      </w:r>
      <w:r w:rsidR="0061079A" w:rsidRPr="0061079A">
        <w:rPr>
          <w:rStyle w:val="libAlaemChar"/>
          <w:rtl/>
        </w:rPr>
        <w:t>عليه‌السلام</w:t>
      </w:r>
      <w:r w:rsidR="00D10E3C">
        <w:rPr>
          <w:rtl/>
          <w:lang w:bidi="fa-IR"/>
        </w:rPr>
        <w:t xml:space="preserve"> </w:t>
      </w:r>
      <w:r>
        <w:rPr>
          <w:rtl/>
          <w:lang w:bidi="fa-IR"/>
        </w:rPr>
        <w:t xml:space="preserve">، وَارْحَمْ </w:t>
      </w:r>
      <w:r w:rsidRPr="00D10E3C">
        <w:rPr>
          <w:rStyle w:val="libFootnotenumChar"/>
          <w:rtl/>
        </w:rPr>
        <w:t>(2)</w:t>
      </w:r>
      <w:r>
        <w:rPr>
          <w:rtl/>
          <w:lang w:bidi="fa-IR"/>
        </w:rPr>
        <w:t xml:space="preserve"> تِلْكَ الْأَعْيُنَ الَّتِي جَرَتْ دُمُوعُهَا رَحْمَةً لَنَا ، وَارْحَمْ تِلْكَ الْقُلُوبَ الَّتِي جَزِعَتْ وَاحْتَرَقَتْ لَنَا ، وَارْحَمِ </w:t>
      </w:r>
      <w:r w:rsidRPr="00D10E3C">
        <w:rPr>
          <w:rStyle w:val="libFootnotenumChar"/>
          <w:rtl/>
        </w:rPr>
        <w:t>(3)</w:t>
      </w:r>
      <w:r>
        <w:rPr>
          <w:rtl/>
          <w:lang w:bidi="fa-IR"/>
        </w:rPr>
        <w:t xml:space="preserve"> الصَّرْخَةَ الَّتِي كَانَتْ لَنَا ، الل</w:t>
      </w:r>
      <w:r w:rsidR="00835FD7">
        <w:rPr>
          <w:rFonts w:hint="cs"/>
          <w:rtl/>
          <w:lang w:bidi="fa-IR"/>
        </w:rPr>
        <w:t>ّ</w:t>
      </w:r>
      <w:r>
        <w:rPr>
          <w:rtl/>
          <w:lang w:bidi="fa-IR"/>
        </w:rPr>
        <w:t xml:space="preserve">هُمَّ إِنِّي أَسْتَوْدِعُكَ تِلْكَ الْأَنْفُسَ وَتِلْكَ الْأَبْدَانَ حَتّى نُوَافِيَهُمْ </w:t>
      </w:r>
      <w:r w:rsidRPr="00D10E3C">
        <w:rPr>
          <w:rStyle w:val="libFootnotenumChar"/>
          <w:rtl/>
        </w:rPr>
        <w:t>(4)</w:t>
      </w:r>
      <w:r>
        <w:rPr>
          <w:rtl/>
          <w:lang w:bidi="fa-IR"/>
        </w:rPr>
        <w:t xml:space="preserve"> عَلَى </w:t>
      </w:r>
      <w:r w:rsidRPr="00D10E3C">
        <w:rPr>
          <w:rStyle w:val="libFootnotenumChar"/>
          <w:rtl/>
        </w:rPr>
        <w:t>(5)</w:t>
      </w:r>
      <w:r>
        <w:rPr>
          <w:rtl/>
          <w:lang w:bidi="fa-IR"/>
        </w:rPr>
        <w:t xml:space="preserve"> الْحَوْضِ يَوْمَ الْعَطَشِ » فَمَا زَالَ وَهُوَ سَاجِدٌ يَدْعُو بِهذَا الدُّعَاءِ.</w:t>
      </w:r>
    </w:p>
    <w:p w:rsidR="00744A1C" w:rsidRDefault="00744A1C" w:rsidP="00744A1C">
      <w:pPr>
        <w:pStyle w:val="libNormal"/>
        <w:rPr>
          <w:lang w:bidi="fa-IR"/>
        </w:rPr>
      </w:pPr>
      <w:r>
        <w:rPr>
          <w:rtl/>
          <w:lang w:bidi="fa-IR"/>
        </w:rPr>
        <w:t xml:space="preserve">فَلَمَّا انْصَرَفَ ، قُلْتُ : جُعِلْتُ فِدَاكَ ، لَوْ أَنَّ هذَا الَّذِي سَمِعْتُ مِنْكَ ، كَانَ لِمَنْ لَايَعْرِفُ اللهَ ، لَظَنَنْتُ أَنَّ النَّارَ لَاتَطْعَمُ مِنْهُ شَيْئاً ، وَاللهِ لَقَدْ تَمَنَّيْتُ أَنْ </w:t>
      </w:r>
      <w:r w:rsidRPr="00D10E3C">
        <w:rPr>
          <w:rStyle w:val="libFootnotenumChar"/>
          <w:rtl/>
        </w:rPr>
        <w:t>(6)</w:t>
      </w:r>
      <w:r>
        <w:rPr>
          <w:rtl/>
          <w:lang w:bidi="fa-IR"/>
        </w:rPr>
        <w:t xml:space="preserve"> كُنْتُ زُرْتُهُ وَلَمْ أَحُجَّ.</w:t>
      </w:r>
    </w:p>
    <w:p w:rsidR="00744A1C" w:rsidRDefault="00744A1C" w:rsidP="00744A1C">
      <w:pPr>
        <w:pStyle w:val="libNormal"/>
        <w:rPr>
          <w:lang w:bidi="fa-IR"/>
        </w:rPr>
      </w:pPr>
      <w:r>
        <w:rPr>
          <w:rtl/>
          <w:lang w:bidi="fa-IR"/>
        </w:rPr>
        <w:t xml:space="preserve">فَقَالَ لِي : « مَا أَقْرَبَكَ مِنْهُ! فَمَا الَّذِي يَمْنَعُكَ مِنْ إِتْيَانِهِ </w:t>
      </w:r>
      <w:r w:rsidRPr="00D10E3C">
        <w:rPr>
          <w:rStyle w:val="libFootnotenumChar"/>
          <w:rtl/>
        </w:rPr>
        <w:t>(7)</w:t>
      </w:r>
      <w:r>
        <w:rPr>
          <w:rtl/>
          <w:lang w:bidi="fa-IR"/>
        </w:rPr>
        <w:t>؟ » ثُمَّ قَالَ : « يَا مُعَاوِيَةُ ، لِمَ تَدَعُ ذلِكَ؟ ».</w:t>
      </w:r>
    </w:p>
    <w:p w:rsidR="00744A1C" w:rsidRDefault="00744A1C" w:rsidP="00744A1C">
      <w:pPr>
        <w:pStyle w:val="libNormal"/>
        <w:rPr>
          <w:lang w:bidi="fa-IR"/>
        </w:rPr>
      </w:pPr>
      <w:r>
        <w:rPr>
          <w:rtl/>
          <w:lang w:bidi="fa-IR"/>
        </w:rPr>
        <w:t xml:space="preserve">قُلْتُ : جُعِلْتُ فِدَاكَ </w:t>
      </w:r>
      <w:r w:rsidRPr="00D10E3C">
        <w:rPr>
          <w:rStyle w:val="libFootnotenumChar"/>
          <w:rtl/>
        </w:rPr>
        <w:t>(8)</w:t>
      </w:r>
      <w:r>
        <w:rPr>
          <w:rtl/>
          <w:lang w:bidi="fa-IR"/>
        </w:rPr>
        <w:t xml:space="preserve"> ، لَمْ أَدْرِ أَنَّ الْأَمْرَ يَبْلُغُ هَذَا كُلَّهُ.</w:t>
      </w:r>
    </w:p>
    <w:p w:rsidR="00144FA6" w:rsidRDefault="00744A1C" w:rsidP="00744A1C">
      <w:pPr>
        <w:pStyle w:val="libNormal"/>
        <w:rPr>
          <w:rtl/>
          <w:lang w:bidi="fa-IR"/>
        </w:rPr>
      </w:pPr>
      <w:r>
        <w:rPr>
          <w:rtl/>
          <w:lang w:bidi="fa-IR"/>
        </w:rPr>
        <w:t xml:space="preserve">قَالَ : « يَا مُعَاوِيَةُ </w:t>
      </w:r>
      <w:r w:rsidRPr="00D10E3C">
        <w:rPr>
          <w:rStyle w:val="libFootnotenumChar"/>
          <w:rtl/>
        </w:rPr>
        <w:t>(9)</w:t>
      </w:r>
      <w:r>
        <w:rPr>
          <w:rtl/>
          <w:lang w:bidi="fa-IR"/>
        </w:rPr>
        <w:t xml:space="preserve"> ، مَنْ يَدْعُو لِزُوَّارِهِ فِي السَّمَاءِ أَكْثَرُ مِمَّنْ يَدْعُو لَهُمْ فِي الْأَرْضِ ». </w:t>
      </w:r>
      <w:r w:rsidRPr="00D10E3C">
        <w:rPr>
          <w:rStyle w:val="libFootnotenumChar"/>
          <w:rtl/>
        </w:rPr>
        <w:t>(10)</w:t>
      </w:r>
    </w:p>
    <w:p w:rsidR="00144FA6" w:rsidRDefault="00744A1C" w:rsidP="00835FD7">
      <w:pPr>
        <w:pStyle w:val="Heading2Center"/>
        <w:rPr>
          <w:rtl/>
          <w:lang w:bidi="fa-IR"/>
        </w:rPr>
      </w:pPr>
      <w:bookmarkStart w:id="81" w:name="_Toc49261379"/>
      <w:r>
        <w:rPr>
          <w:rtl/>
          <w:lang w:bidi="fa-IR"/>
        </w:rPr>
        <w:t xml:space="preserve">233 - بَابُ فَضْلِ زِيَارَةِ أَبِي الْحَسَنِ مُوسى </w:t>
      </w:r>
      <w:r w:rsidR="0061079A" w:rsidRPr="0061079A">
        <w:rPr>
          <w:rStyle w:val="libAlaemChar"/>
          <w:rtl/>
        </w:rPr>
        <w:t>عليه‌السلام</w:t>
      </w:r>
      <w:bookmarkEnd w:id="81"/>
    </w:p>
    <w:p w:rsidR="00744A1C" w:rsidRDefault="00744A1C" w:rsidP="00744A1C">
      <w:pPr>
        <w:pStyle w:val="libNormal"/>
        <w:rPr>
          <w:lang w:bidi="fa-IR"/>
        </w:rPr>
      </w:pPr>
      <w:r>
        <w:rPr>
          <w:rtl/>
          <w:lang w:bidi="fa-IR"/>
        </w:rPr>
        <w:t>8177 / 1. مُحَمَّدُ بْنُ يَحْيى ، عَنْ مُحَمَّدِ بْنِ الْحُسَيْنِ ، عَنْ مُحَمَّدِ بْنِ إِسْمَاعِيلَ ، عَنِ‌</w:t>
      </w:r>
    </w:p>
    <w:p w:rsidR="00744A1C" w:rsidRDefault="00744A1C" w:rsidP="00D10E3C">
      <w:pPr>
        <w:pStyle w:val="libLine"/>
        <w:rPr>
          <w:lang w:bidi="fa-IR"/>
        </w:rPr>
      </w:pPr>
      <w:r>
        <w:rPr>
          <w:rtl/>
          <w:lang w:bidi="fa-IR"/>
        </w:rPr>
        <w:t>____________________</w:t>
      </w:r>
    </w:p>
    <w:p w:rsidR="00744A1C" w:rsidRDefault="00D10E3C" w:rsidP="00F37DB6">
      <w:pPr>
        <w:pStyle w:val="libFootnote0"/>
        <w:rPr>
          <w:lang w:bidi="fa-IR"/>
        </w:rPr>
      </w:pPr>
      <w:r>
        <w:rPr>
          <w:rtl/>
          <w:lang w:bidi="fa-IR"/>
        </w:rPr>
        <w:t>(1).</w:t>
      </w:r>
      <w:r w:rsidR="00744A1C">
        <w:rPr>
          <w:rtl/>
          <w:lang w:bidi="fa-IR"/>
        </w:rPr>
        <w:t xml:space="preserve"> في « بف » </w:t>
      </w:r>
      <w:r w:rsidR="00744A1C" w:rsidRPr="00835FD7">
        <w:rPr>
          <w:rtl/>
        </w:rPr>
        <w:t>وكامل الزيارات</w:t>
      </w:r>
      <w:r w:rsidR="00744A1C">
        <w:rPr>
          <w:rtl/>
          <w:lang w:bidi="fa-IR"/>
        </w:rPr>
        <w:t xml:space="preserve"> والثواب : « قبر ». وفي « جن » وحاشية « بث » : « حضرة ».</w:t>
      </w:r>
    </w:p>
    <w:tbl>
      <w:tblPr>
        <w:tblStyle w:val="TableGrid"/>
        <w:bidiVisual/>
        <w:tblW w:w="0" w:type="auto"/>
        <w:tblLook w:val="04A0" w:firstRow="1" w:lastRow="0" w:firstColumn="1" w:lastColumn="0" w:noHBand="0" w:noVBand="1"/>
      </w:tblPr>
      <w:tblGrid>
        <w:gridCol w:w="4006"/>
        <w:gridCol w:w="4006"/>
      </w:tblGrid>
      <w:tr w:rsidR="00F37DB6" w:rsidTr="00F37DB6">
        <w:tc>
          <w:tcPr>
            <w:tcW w:w="4006" w:type="dxa"/>
          </w:tcPr>
          <w:p w:rsidR="00F37DB6" w:rsidRDefault="00F37DB6" w:rsidP="00E378DD">
            <w:pPr>
              <w:pStyle w:val="libFootnote0"/>
              <w:rPr>
                <w:rtl/>
                <w:lang w:bidi="fa-IR"/>
              </w:rPr>
            </w:pPr>
            <w:r>
              <w:rPr>
                <w:rtl/>
                <w:lang w:bidi="fa-IR"/>
              </w:rPr>
              <w:t>(2). في « جد » : « فارحم ».</w:t>
            </w:r>
          </w:p>
        </w:tc>
        <w:tc>
          <w:tcPr>
            <w:tcW w:w="4006" w:type="dxa"/>
          </w:tcPr>
          <w:p w:rsidR="00F37DB6" w:rsidRDefault="00F37DB6" w:rsidP="00E378DD">
            <w:pPr>
              <w:pStyle w:val="libFootnote0"/>
              <w:rPr>
                <w:rtl/>
                <w:lang w:bidi="fa-IR"/>
              </w:rPr>
            </w:pPr>
            <w:r>
              <w:rPr>
                <w:rtl/>
                <w:lang w:bidi="fa-IR"/>
              </w:rPr>
              <w:t xml:space="preserve">(3). في « بث » </w:t>
            </w:r>
            <w:r w:rsidRPr="00835FD7">
              <w:rPr>
                <w:rtl/>
              </w:rPr>
              <w:t>والوافي : +</w:t>
            </w:r>
            <w:r>
              <w:rPr>
                <w:rtl/>
                <w:lang w:bidi="fa-IR"/>
              </w:rPr>
              <w:t xml:space="preserve"> « تلك ».</w:t>
            </w:r>
          </w:p>
        </w:tc>
      </w:tr>
    </w:tbl>
    <w:p w:rsidR="00744A1C" w:rsidRDefault="00E378DD" w:rsidP="00E378DD">
      <w:pPr>
        <w:pStyle w:val="libFootnote0"/>
        <w:rPr>
          <w:lang w:bidi="fa-IR"/>
        </w:rPr>
      </w:pPr>
      <w:r>
        <w:rPr>
          <w:rtl/>
          <w:lang w:bidi="fa-IR"/>
        </w:rPr>
        <w:t>(4).</w:t>
      </w:r>
      <w:r w:rsidR="00744A1C">
        <w:rPr>
          <w:rtl/>
          <w:lang w:bidi="fa-IR"/>
        </w:rPr>
        <w:t xml:space="preserve"> في « ى ، بح ، بس ، بف ، جن » : « توافيهم ». وفي </w:t>
      </w:r>
      <w:r w:rsidR="00744A1C" w:rsidRPr="00F37DB6">
        <w:rPr>
          <w:rtl/>
        </w:rPr>
        <w:t>كامل الزيارات</w:t>
      </w:r>
      <w:r w:rsidR="00744A1C">
        <w:rPr>
          <w:rtl/>
          <w:lang w:bidi="fa-IR"/>
        </w:rPr>
        <w:t xml:space="preserve"> : « توفّيهم ». وفي </w:t>
      </w:r>
      <w:r w:rsidR="00744A1C" w:rsidRPr="00F37DB6">
        <w:rPr>
          <w:rStyle w:val="libFootnoteBoldChar"/>
          <w:rtl/>
        </w:rPr>
        <w:t>ثواب الأعمال</w:t>
      </w:r>
      <w:r w:rsidR="00744A1C">
        <w:rPr>
          <w:rtl/>
          <w:lang w:bidi="fa-IR"/>
        </w:rPr>
        <w:t xml:space="preserve"> : « ترويهم ».</w:t>
      </w:r>
    </w:p>
    <w:tbl>
      <w:tblPr>
        <w:tblStyle w:val="TableGrid"/>
        <w:bidiVisual/>
        <w:tblW w:w="0" w:type="auto"/>
        <w:tblLook w:val="04A0" w:firstRow="1" w:lastRow="0" w:firstColumn="1" w:lastColumn="0" w:noHBand="0" w:noVBand="1"/>
      </w:tblPr>
      <w:tblGrid>
        <w:gridCol w:w="4006"/>
        <w:gridCol w:w="4006"/>
      </w:tblGrid>
      <w:tr w:rsidR="00F37DB6" w:rsidTr="00F37DB6">
        <w:tc>
          <w:tcPr>
            <w:tcW w:w="4006" w:type="dxa"/>
          </w:tcPr>
          <w:p w:rsidR="00F37DB6" w:rsidRDefault="00F37DB6" w:rsidP="00E378DD">
            <w:pPr>
              <w:pStyle w:val="libFootnote0"/>
              <w:rPr>
                <w:rtl/>
                <w:lang w:bidi="fa-IR"/>
              </w:rPr>
            </w:pPr>
            <w:r>
              <w:rPr>
                <w:rtl/>
                <w:lang w:bidi="fa-IR"/>
              </w:rPr>
              <w:t>(5). في ثواب الأعمال : « من ».</w:t>
            </w:r>
          </w:p>
        </w:tc>
        <w:tc>
          <w:tcPr>
            <w:tcW w:w="4006" w:type="dxa"/>
          </w:tcPr>
          <w:p w:rsidR="00F37DB6" w:rsidRDefault="00F37DB6" w:rsidP="00E378DD">
            <w:pPr>
              <w:pStyle w:val="libFootnote0"/>
              <w:rPr>
                <w:rtl/>
                <w:lang w:bidi="fa-IR"/>
              </w:rPr>
            </w:pPr>
            <w:r>
              <w:rPr>
                <w:rtl/>
                <w:lang w:bidi="fa-IR"/>
              </w:rPr>
              <w:t xml:space="preserve">(6). في </w:t>
            </w:r>
            <w:r w:rsidRPr="00F37DB6">
              <w:rPr>
                <w:rtl/>
              </w:rPr>
              <w:t>الوسائل وكامل الزيارات</w:t>
            </w:r>
            <w:r>
              <w:rPr>
                <w:rtl/>
                <w:lang w:bidi="fa-IR"/>
              </w:rPr>
              <w:t xml:space="preserve"> والثواب : « أنّي ».</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F37DB6">
        <w:rPr>
          <w:rtl/>
        </w:rPr>
        <w:t>الوسائل وكامل الزيارات</w:t>
      </w:r>
      <w:r w:rsidR="00744A1C">
        <w:rPr>
          <w:rtl/>
          <w:lang w:bidi="fa-IR"/>
        </w:rPr>
        <w:t xml:space="preserve"> والثواب : « زيارته ».</w:t>
      </w:r>
    </w:p>
    <w:tbl>
      <w:tblPr>
        <w:tblStyle w:val="TableGrid"/>
        <w:bidiVisual/>
        <w:tblW w:w="0" w:type="auto"/>
        <w:tblLook w:val="04A0" w:firstRow="1" w:lastRow="0" w:firstColumn="1" w:lastColumn="0" w:noHBand="0" w:noVBand="1"/>
      </w:tblPr>
      <w:tblGrid>
        <w:gridCol w:w="4006"/>
        <w:gridCol w:w="4006"/>
      </w:tblGrid>
      <w:tr w:rsidR="00F37DB6" w:rsidTr="00F37DB6">
        <w:tc>
          <w:tcPr>
            <w:tcW w:w="4006" w:type="dxa"/>
          </w:tcPr>
          <w:p w:rsidR="00F37DB6" w:rsidRDefault="00F37DB6" w:rsidP="00E378DD">
            <w:pPr>
              <w:pStyle w:val="libFootnote0"/>
              <w:rPr>
                <w:rtl/>
                <w:lang w:bidi="fa-IR"/>
              </w:rPr>
            </w:pPr>
            <w:r>
              <w:rPr>
                <w:rtl/>
                <w:lang w:bidi="fa-IR"/>
              </w:rPr>
              <w:t xml:space="preserve">(8). في </w:t>
            </w:r>
            <w:r w:rsidRPr="00F37DB6">
              <w:rPr>
                <w:rtl/>
              </w:rPr>
              <w:t>الوسائل</w:t>
            </w:r>
            <w:r>
              <w:rPr>
                <w:rtl/>
                <w:lang w:bidi="fa-IR"/>
              </w:rPr>
              <w:t xml:space="preserve"> : - « جعلت فداك ».</w:t>
            </w:r>
          </w:p>
        </w:tc>
        <w:tc>
          <w:tcPr>
            <w:tcW w:w="4006" w:type="dxa"/>
          </w:tcPr>
          <w:p w:rsidR="00F37DB6" w:rsidRDefault="00F37DB6" w:rsidP="00E378DD">
            <w:pPr>
              <w:pStyle w:val="libFootnote0"/>
              <w:rPr>
                <w:rtl/>
                <w:lang w:bidi="fa-IR"/>
              </w:rPr>
            </w:pPr>
            <w:r>
              <w:rPr>
                <w:rtl/>
                <w:lang w:bidi="fa-IR"/>
              </w:rPr>
              <w:t xml:space="preserve">(9). في </w:t>
            </w:r>
            <w:r w:rsidRPr="00F37DB6">
              <w:rPr>
                <w:rtl/>
              </w:rPr>
              <w:t>الوافي</w:t>
            </w:r>
            <w:r>
              <w:rPr>
                <w:rtl/>
                <w:lang w:bidi="fa-IR"/>
              </w:rPr>
              <w:t xml:space="preserve"> : + « إنّ ».</w:t>
            </w:r>
          </w:p>
        </w:tc>
      </w:tr>
    </w:tbl>
    <w:p w:rsidR="00744A1C" w:rsidRDefault="00E378DD" w:rsidP="00E378DD">
      <w:pPr>
        <w:pStyle w:val="libFootnote0"/>
        <w:rPr>
          <w:lang w:bidi="fa-IR"/>
        </w:rPr>
      </w:pPr>
      <w:r>
        <w:rPr>
          <w:rtl/>
          <w:lang w:bidi="fa-IR"/>
        </w:rPr>
        <w:t>(10).</w:t>
      </w:r>
      <w:r w:rsidR="00744A1C">
        <w:rPr>
          <w:rtl/>
          <w:lang w:bidi="fa-IR"/>
        </w:rPr>
        <w:t xml:space="preserve"> </w:t>
      </w:r>
      <w:r w:rsidR="00744A1C" w:rsidRPr="007B299E">
        <w:rPr>
          <w:rStyle w:val="libFootnoteBoldChar"/>
          <w:rtl/>
        </w:rPr>
        <w:t>كامل الزيارات</w:t>
      </w:r>
      <w:r w:rsidR="00744A1C">
        <w:rPr>
          <w:rtl/>
          <w:lang w:bidi="fa-IR"/>
        </w:rPr>
        <w:t xml:space="preserve"> ، ص 116 ، الباب 40 ، ح 2 ، بسنده عن موسى بن عمر ، عن حسّان البصري ، عن معاوية بن وهب ، وبسند آخر أيضاً عن معاوية بن وهب. </w:t>
      </w:r>
      <w:r w:rsidR="00744A1C" w:rsidRPr="00F37DB6">
        <w:rPr>
          <w:rStyle w:val="libFootnoteBoldChar"/>
          <w:rtl/>
        </w:rPr>
        <w:t>ثواب الأعمال</w:t>
      </w:r>
      <w:r w:rsidR="00744A1C">
        <w:rPr>
          <w:rtl/>
          <w:lang w:bidi="fa-IR"/>
        </w:rPr>
        <w:t xml:space="preserve"> ، ص 120 ، ح 44 ، بسنده عن معاوية بن وهب ، وفيهما مع اختلاف يسير وزيادة في آخره </w:t>
      </w:r>
      <w:r w:rsidR="00F37DB6">
        <w:rPr>
          <w:rFonts w:hint="cs"/>
          <w:rtl/>
          <w:lang w:bidi="fa-IR"/>
        </w:rPr>
        <w:t>.</w:t>
      </w:r>
      <w:r w:rsidR="00744A1C" w:rsidRPr="00C24F9C">
        <w:rPr>
          <w:rStyle w:val="libFootnoteBoldChar"/>
          <w:rtl/>
        </w:rPr>
        <w:t>الوافي</w:t>
      </w:r>
      <w:r w:rsidR="00744A1C">
        <w:rPr>
          <w:rtl/>
          <w:lang w:bidi="fa-IR"/>
        </w:rPr>
        <w:t xml:space="preserve"> ، ج 14 ، ص 1464 ، ح 14533 ؛ </w:t>
      </w:r>
      <w:r w:rsidR="00744A1C" w:rsidRPr="00C24F9C">
        <w:rPr>
          <w:rStyle w:val="libFootnoteBoldChar"/>
          <w:rtl/>
        </w:rPr>
        <w:t>الوسائل</w:t>
      </w:r>
      <w:r w:rsidR="00744A1C">
        <w:rPr>
          <w:rtl/>
          <w:lang w:bidi="fa-IR"/>
        </w:rPr>
        <w:t xml:space="preserve"> ، ج 14 ، ص 411 ، ح 19482.</w:t>
      </w:r>
    </w:p>
    <w:p w:rsidR="00150943" w:rsidRDefault="00150943" w:rsidP="00D10E3C">
      <w:pPr>
        <w:pStyle w:val="libNormal"/>
        <w:rPr>
          <w:rtl/>
          <w:lang w:bidi="fa-IR"/>
        </w:rPr>
      </w:pPr>
      <w:r>
        <w:rPr>
          <w:rtl/>
          <w:lang w:bidi="fa-IR"/>
        </w:rPr>
        <w:br w:type="page"/>
      </w:r>
    </w:p>
    <w:p w:rsidR="00144FA6" w:rsidRDefault="00744A1C" w:rsidP="00A6581D">
      <w:pPr>
        <w:pStyle w:val="libNormal0"/>
        <w:rPr>
          <w:rtl/>
          <w:lang w:bidi="fa-IR"/>
        </w:rPr>
      </w:pPr>
      <w:r>
        <w:rPr>
          <w:rtl/>
          <w:lang w:bidi="fa-IR"/>
        </w:rPr>
        <w:lastRenderedPageBreak/>
        <w:t xml:space="preserve">الْخَيْبَرِيِّ </w:t>
      </w:r>
      <w:r w:rsidRPr="00D10E3C">
        <w:rPr>
          <w:rStyle w:val="libFootnotenumChar"/>
          <w:rtl/>
        </w:rPr>
        <w:t>(1)</w:t>
      </w:r>
      <w:r>
        <w:rPr>
          <w:rtl/>
          <w:lang w:bidi="fa-IR"/>
        </w:rPr>
        <w:t xml:space="preserve"> ، عَنِ الْحُسَيْنِ بْنِ مُحَمَّدٍ الْقُمِّيِّ </w:t>
      </w:r>
      <w:r w:rsidRPr="00D10E3C">
        <w:rPr>
          <w:rStyle w:val="libFootnotenumChar"/>
          <w:rtl/>
        </w:rPr>
        <w:t>(2)</w:t>
      </w:r>
      <w:r>
        <w:rPr>
          <w:rtl/>
          <w:lang w:bidi="fa-IR"/>
        </w:rPr>
        <w:t xml:space="preserve"> ، قَالَ :</w:t>
      </w:r>
    </w:p>
    <w:p w:rsidR="00144FA6" w:rsidRDefault="00744A1C" w:rsidP="00744A1C">
      <w:pPr>
        <w:pStyle w:val="libNormal"/>
        <w:rPr>
          <w:rtl/>
          <w:lang w:bidi="fa-IR"/>
        </w:rPr>
      </w:pPr>
      <w:r>
        <w:rPr>
          <w:rtl/>
          <w:lang w:bidi="fa-IR"/>
        </w:rPr>
        <w:t xml:space="preserve">قَالَ </w:t>
      </w:r>
      <w:r w:rsidRPr="00D10E3C">
        <w:rPr>
          <w:rStyle w:val="libFootnotenumChar"/>
          <w:rtl/>
        </w:rPr>
        <w:t>(3)</w:t>
      </w:r>
      <w:r>
        <w:rPr>
          <w:rtl/>
          <w:lang w:bidi="fa-IR"/>
        </w:rPr>
        <w:t xml:space="preserve"> الرِّضَا </w:t>
      </w:r>
      <w:r w:rsidR="0061079A" w:rsidRPr="0061079A">
        <w:rPr>
          <w:rStyle w:val="libAlaemChar"/>
          <w:rtl/>
        </w:rPr>
        <w:t>عليه‌السلام</w:t>
      </w:r>
      <w:r w:rsidR="00D10E3C">
        <w:rPr>
          <w:rtl/>
          <w:lang w:bidi="fa-IR"/>
        </w:rPr>
        <w:t xml:space="preserve"> </w:t>
      </w:r>
      <w:r>
        <w:rPr>
          <w:rtl/>
          <w:lang w:bidi="fa-IR"/>
        </w:rPr>
        <w:t xml:space="preserve">: « مَنْ زَارَ قَبْرَ أَبِي بِبَغْدَادَ </w:t>
      </w:r>
      <w:r w:rsidRPr="00D10E3C">
        <w:rPr>
          <w:rStyle w:val="libFootnotenumChar"/>
          <w:rtl/>
        </w:rPr>
        <w:t>(4)</w:t>
      </w:r>
      <w:r>
        <w:rPr>
          <w:rtl/>
          <w:lang w:bidi="fa-IR"/>
        </w:rPr>
        <w:t xml:space="preserve"> ، كَمَنْ زَارَ قَبْرَ رَسُولِ اللهِ </w:t>
      </w:r>
      <w:r w:rsidR="0017097C" w:rsidRPr="0017097C">
        <w:rPr>
          <w:rStyle w:val="libAlaemChar"/>
          <w:rtl/>
        </w:rPr>
        <w:t>صلى‌الله‌عليه‌وآله</w:t>
      </w:r>
      <w:r w:rsidR="00D10E3C">
        <w:rPr>
          <w:rtl/>
          <w:lang w:bidi="fa-IR"/>
        </w:rPr>
        <w:t xml:space="preserve"> </w:t>
      </w:r>
      <w:r>
        <w:rPr>
          <w:rtl/>
          <w:lang w:bidi="fa-IR"/>
        </w:rPr>
        <w:t xml:space="preserve"> وَقَبْرَ أَمِيرِ الْمُؤْمِنِينَ </w:t>
      </w:r>
      <w:r w:rsidR="0061079A" w:rsidRPr="0061079A">
        <w:rPr>
          <w:rStyle w:val="libAlaemChar"/>
          <w:rtl/>
        </w:rPr>
        <w:t>عليه‌السلام</w:t>
      </w:r>
      <w:r w:rsidR="00D10E3C">
        <w:rPr>
          <w:rtl/>
          <w:lang w:bidi="fa-IR"/>
        </w:rPr>
        <w:t xml:space="preserve"> </w:t>
      </w:r>
      <w:r w:rsidR="00F37DB6">
        <w:rPr>
          <w:rtl/>
          <w:lang w:bidi="fa-IR"/>
        </w:rPr>
        <w:t>، إِل</w:t>
      </w:r>
      <w:r w:rsidR="00F37DB6">
        <w:rPr>
          <w:rFonts w:hint="cs"/>
          <w:rtl/>
          <w:lang w:bidi="fa-IR"/>
        </w:rPr>
        <w:t>َّ</w:t>
      </w:r>
      <w:r w:rsidR="00F37DB6">
        <w:rPr>
          <w:rtl/>
          <w:lang w:bidi="fa-IR"/>
        </w:rPr>
        <w:t>ا</w:t>
      </w:r>
      <w:r>
        <w:rPr>
          <w:rtl/>
          <w:lang w:bidi="fa-IR"/>
        </w:rPr>
        <w:t xml:space="preserve"> أَنَّ لِرَسُولِ اللهِ وَلِأَمِيرِ الْمُؤْمِنِينَ </w:t>
      </w:r>
      <w:r w:rsidRPr="00D10E3C">
        <w:rPr>
          <w:rStyle w:val="libFootnotenumChar"/>
          <w:rtl/>
        </w:rPr>
        <w:t>(5)</w:t>
      </w:r>
      <w:r>
        <w:rPr>
          <w:rtl/>
          <w:lang w:bidi="fa-IR"/>
        </w:rPr>
        <w:t xml:space="preserve"> - صَلَوَاتُ اللهِ عَلَيْهِمَا - فَضْلَهُمَا ». </w:t>
      </w:r>
      <w:r w:rsidRPr="00D10E3C">
        <w:rPr>
          <w:rStyle w:val="libFootnotenumChar"/>
          <w:rtl/>
        </w:rPr>
        <w:t>(6)</w:t>
      </w:r>
    </w:p>
    <w:p w:rsidR="00144FA6" w:rsidRDefault="00744A1C" w:rsidP="00744A1C">
      <w:pPr>
        <w:pStyle w:val="libNormal"/>
        <w:rPr>
          <w:rtl/>
          <w:lang w:bidi="fa-IR"/>
        </w:rPr>
      </w:pPr>
      <w:r>
        <w:rPr>
          <w:rtl/>
          <w:lang w:bidi="fa-IR"/>
        </w:rPr>
        <w:t>8178 / 2. مُحَمَّدُ بْنُ يَحْيى ، عَنْ أَحْمَدَ بْنِ مُحَمَّدٍ ، عَنِ الْحَسَنِ بْنِ عَلِيٍّ الْوَشَّاءِ :</w:t>
      </w:r>
    </w:p>
    <w:p w:rsidR="00144FA6" w:rsidRDefault="00744A1C" w:rsidP="00744A1C">
      <w:pPr>
        <w:pStyle w:val="libNormal"/>
        <w:rPr>
          <w:rtl/>
          <w:lang w:bidi="fa-IR"/>
        </w:rPr>
      </w:pPr>
      <w:r>
        <w:rPr>
          <w:rtl/>
          <w:lang w:bidi="fa-IR"/>
        </w:rPr>
        <w:t xml:space="preserve">عَنِ الرِّضَا </w:t>
      </w:r>
      <w:r w:rsidR="0061079A" w:rsidRPr="0061079A">
        <w:rPr>
          <w:rStyle w:val="libAlaemChar"/>
          <w:rtl/>
        </w:rPr>
        <w:t>عليه‌السلام</w:t>
      </w:r>
      <w:r w:rsidR="00D10E3C">
        <w:rPr>
          <w:rtl/>
          <w:lang w:bidi="fa-IR"/>
        </w:rPr>
        <w:t xml:space="preserve"> </w:t>
      </w:r>
      <w:r>
        <w:rPr>
          <w:rtl/>
          <w:lang w:bidi="fa-IR"/>
        </w:rPr>
        <w:t xml:space="preserve">، قَالَ : سَأَلْتُهُ عَنْ زِيَارَةِ قَبْرِ أَبِي الْحَسَنِ </w:t>
      </w:r>
      <w:r w:rsidR="0061079A" w:rsidRPr="0061079A">
        <w:rPr>
          <w:rStyle w:val="libAlaemChar"/>
          <w:rtl/>
        </w:rPr>
        <w:t>عليه‌السلام</w:t>
      </w:r>
      <w:r w:rsidR="00D10E3C">
        <w:rPr>
          <w:rtl/>
          <w:lang w:bidi="fa-IR"/>
        </w:rPr>
        <w:t xml:space="preserve"> </w:t>
      </w:r>
      <w:r w:rsidRPr="00D10E3C">
        <w:rPr>
          <w:rStyle w:val="libFootnotenumChar"/>
          <w:rtl/>
        </w:rPr>
        <w:t>(7)</w:t>
      </w:r>
      <w:r>
        <w:rPr>
          <w:rtl/>
          <w:lang w:bidi="fa-IR"/>
        </w:rPr>
        <w:t xml:space="preserve"> مِثْلُ </w:t>
      </w:r>
      <w:r w:rsidRPr="00D10E3C">
        <w:rPr>
          <w:rStyle w:val="libFootnotenumChar"/>
          <w:rtl/>
        </w:rPr>
        <w:t>(8)</w:t>
      </w:r>
      <w:r>
        <w:rPr>
          <w:rtl/>
          <w:lang w:bidi="fa-IR"/>
        </w:rPr>
        <w:t xml:space="preserve"> قَبْرِ الْحُسَيْنِ </w:t>
      </w:r>
      <w:r w:rsidR="0061079A" w:rsidRPr="0061079A">
        <w:rPr>
          <w:rStyle w:val="libAlaemChar"/>
          <w:rtl/>
        </w:rPr>
        <w:t>عليه‌السلام</w:t>
      </w:r>
      <w:r>
        <w:rPr>
          <w:rtl/>
          <w:lang w:bidi="fa-IR"/>
        </w:rPr>
        <w:t xml:space="preserve"> ؟ قَالَ : « نَعَمْ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بس ، جد » </w:t>
      </w:r>
      <w:r w:rsidR="00744A1C" w:rsidRPr="00F37DB6">
        <w:rPr>
          <w:rtl/>
        </w:rPr>
        <w:t>والوافي</w:t>
      </w:r>
      <w:r w:rsidR="00744A1C">
        <w:rPr>
          <w:rtl/>
          <w:lang w:bidi="fa-IR"/>
        </w:rPr>
        <w:t xml:space="preserve"> عن بعض النسخ. وفي « ى ، بث ، بح ، بخ ، جن » والمطبوع : « الحميري ». وفي حاشية « جن » : « الحيري ».</w:t>
      </w:r>
    </w:p>
    <w:p w:rsidR="00744A1C" w:rsidRDefault="00744A1C" w:rsidP="00D10E3C">
      <w:pPr>
        <w:pStyle w:val="libFootnote0"/>
        <w:rPr>
          <w:lang w:bidi="fa-IR"/>
        </w:rPr>
      </w:pPr>
      <w:r>
        <w:rPr>
          <w:rtl/>
          <w:lang w:bidi="fa-IR"/>
        </w:rPr>
        <w:t xml:space="preserve">والخيبري هذا ، هو خبيريّ بن عليّ الطحّان ، روى كتابه محمّد بن إسماعيل بن بزيع ، وقد تقدّم في الحديث التاسع من الباب السابق توسّطه بين محمّد بن إسماعيل وبين الحسين بن محمّد. راجع : </w:t>
      </w:r>
      <w:r w:rsidRPr="003A7143">
        <w:rPr>
          <w:rStyle w:val="libFootnoteBoldChar"/>
          <w:rtl/>
        </w:rPr>
        <w:t>رجال النجاشي</w:t>
      </w:r>
      <w:r>
        <w:rPr>
          <w:rtl/>
          <w:lang w:bidi="fa-IR"/>
        </w:rPr>
        <w:t xml:space="preserve"> ، ص 154 ، الرقم 408 ؛ </w:t>
      </w:r>
      <w:r w:rsidRPr="00F37DB6">
        <w:rPr>
          <w:rStyle w:val="libFootnoteBoldChar"/>
          <w:rtl/>
        </w:rPr>
        <w:t>الرجال لابن الغضائري</w:t>
      </w:r>
      <w:r>
        <w:rPr>
          <w:rtl/>
          <w:lang w:bidi="fa-IR"/>
        </w:rPr>
        <w:t xml:space="preserve"> ، ص 56 ، الرقم 43.</w:t>
      </w:r>
    </w:p>
    <w:p w:rsidR="00744A1C" w:rsidRDefault="00E378DD" w:rsidP="00E378DD">
      <w:pPr>
        <w:pStyle w:val="libFootnote0"/>
        <w:rPr>
          <w:lang w:bidi="fa-IR"/>
        </w:rPr>
      </w:pPr>
      <w:r>
        <w:rPr>
          <w:rtl/>
          <w:lang w:bidi="fa-IR"/>
        </w:rPr>
        <w:t>(2).</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6 ، ص 81 ، ح 159 ، بسنده عن محمّد بن الحسين عن محمّد بن إسماعيل عن الخيبري عن الحسن بن محمّد القمّي ، والظاهر أنّ الصواب هو « الحسين » بدل « الحسن » ، كما ورد الخبر في </w:t>
      </w:r>
      <w:r w:rsidR="00744A1C" w:rsidRPr="007B299E">
        <w:rPr>
          <w:rStyle w:val="libFootnoteBoldChar"/>
          <w:rtl/>
        </w:rPr>
        <w:t>كامل الزيارات</w:t>
      </w:r>
      <w:r w:rsidR="00744A1C">
        <w:rPr>
          <w:rtl/>
          <w:lang w:bidi="fa-IR"/>
        </w:rPr>
        <w:t xml:space="preserve"> ، ص 148 ، ح 7 ، عن الحسين بن محمّد القمّي ، وفي ص 299 ، ح 2 ، عن الحسين بن محمّد الأشعري القمّي. وقد عدّ الشيخ الطوسي الحسين بن محمّد القمّي من أصحاب أبي الحسن موسى وأبي جعفر الثاني </w:t>
      </w:r>
      <w:r w:rsidR="00F112A7" w:rsidRPr="00CE5A92">
        <w:rPr>
          <w:rStyle w:val="libFootnoteAlaemChar"/>
          <w:rtl/>
        </w:rPr>
        <w:t>عليهما‌السلام</w:t>
      </w:r>
      <w:r w:rsidR="00744A1C">
        <w:rPr>
          <w:rtl/>
          <w:lang w:bidi="fa-IR"/>
        </w:rPr>
        <w:t xml:space="preserve">. راجع : </w:t>
      </w:r>
      <w:r w:rsidR="00744A1C" w:rsidRPr="0061079A">
        <w:rPr>
          <w:rStyle w:val="libFootnoteBoldChar"/>
          <w:rtl/>
        </w:rPr>
        <w:t>رجال الطوسي</w:t>
      </w:r>
      <w:r w:rsidR="00744A1C">
        <w:rPr>
          <w:rtl/>
          <w:lang w:bidi="fa-IR"/>
        </w:rPr>
        <w:t xml:space="preserve"> ، ص 335 ، الرقم 4987 ؛ وص 375 ، الرقم 5549.</w:t>
      </w:r>
    </w:p>
    <w:p w:rsidR="00744A1C" w:rsidRDefault="00E378DD" w:rsidP="00E378DD">
      <w:pPr>
        <w:pStyle w:val="libFootnote0"/>
        <w:rPr>
          <w:lang w:bidi="fa-IR"/>
        </w:rPr>
      </w:pPr>
      <w:r>
        <w:rPr>
          <w:rtl/>
          <w:lang w:bidi="fa-IR"/>
        </w:rPr>
        <w:t>(3).</w:t>
      </w:r>
      <w:r w:rsidR="00744A1C">
        <w:rPr>
          <w:rtl/>
          <w:lang w:bidi="fa-IR"/>
        </w:rPr>
        <w:t xml:space="preserve"> في « جد » </w:t>
      </w:r>
      <w:r w:rsidR="00744A1C" w:rsidRPr="00F37DB6">
        <w:rPr>
          <w:rtl/>
        </w:rPr>
        <w:t>وكامل الزيارات</w:t>
      </w:r>
      <w:r w:rsidR="00744A1C">
        <w:rPr>
          <w:rtl/>
          <w:lang w:bidi="fa-IR"/>
        </w:rPr>
        <w:t xml:space="preserve"> ، ص 148 وص </w:t>
      </w:r>
      <w:r w:rsidR="00744A1C" w:rsidRPr="00F37DB6">
        <w:rPr>
          <w:rtl/>
        </w:rPr>
        <w:t>299 والتهذيب</w:t>
      </w:r>
      <w:r w:rsidR="00744A1C">
        <w:rPr>
          <w:rtl/>
          <w:lang w:bidi="fa-IR"/>
        </w:rPr>
        <w:t xml:space="preserve"> : + « لي ».</w:t>
      </w:r>
    </w:p>
    <w:tbl>
      <w:tblPr>
        <w:tblStyle w:val="TableGrid"/>
        <w:bidiVisual/>
        <w:tblW w:w="0" w:type="auto"/>
        <w:tblLook w:val="04A0" w:firstRow="1" w:lastRow="0" w:firstColumn="1" w:lastColumn="0" w:noHBand="0" w:noVBand="1"/>
      </w:tblPr>
      <w:tblGrid>
        <w:gridCol w:w="4006"/>
        <w:gridCol w:w="4006"/>
      </w:tblGrid>
      <w:tr w:rsidR="00F37DB6" w:rsidTr="00F37DB6">
        <w:tc>
          <w:tcPr>
            <w:tcW w:w="4006" w:type="dxa"/>
          </w:tcPr>
          <w:p w:rsidR="00F37DB6" w:rsidRDefault="00F37DB6" w:rsidP="00E378DD">
            <w:pPr>
              <w:pStyle w:val="libFootnote0"/>
              <w:rPr>
                <w:rtl/>
                <w:lang w:bidi="fa-IR"/>
              </w:rPr>
            </w:pPr>
            <w:r>
              <w:rPr>
                <w:rtl/>
                <w:lang w:bidi="fa-IR"/>
              </w:rPr>
              <w:t xml:space="preserve">(4). في </w:t>
            </w:r>
            <w:r w:rsidRPr="00CE5A92">
              <w:rPr>
                <w:rtl/>
              </w:rPr>
              <w:t>الوافي</w:t>
            </w:r>
            <w:r>
              <w:rPr>
                <w:rtl/>
                <w:lang w:bidi="fa-IR"/>
              </w:rPr>
              <w:t xml:space="preserve"> : + « كان ».</w:t>
            </w:r>
          </w:p>
        </w:tc>
        <w:tc>
          <w:tcPr>
            <w:tcW w:w="4006" w:type="dxa"/>
          </w:tcPr>
          <w:p w:rsidR="00F37DB6" w:rsidRDefault="00F37DB6" w:rsidP="00E378DD">
            <w:pPr>
              <w:pStyle w:val="libFootnote0"/>
              <w:rPr>
                <w:rtl/>
                <w:lang w:bidi="fa-IR"/>
              </w:rPr>
            </w:pPr>
            <w:r>
              <w:rPr>
                <w:rtl/>
                <w:lang w:bidi="fa-IR"/>
              </w:rPr>
              <w:t xml:space="preserve">(5). في </w:t>
            </w:r>
            <w:r w:rsidRPr="00CE5A92">
              <w:rPr>
                <w:rtl/>
              </w:rPr>
              <w:t>الوافي</w:t>
            </w:r>
            <w:r>
              <w:rPr>
                <w:rtl/>
                <w:lang w:bidi="fa-IR"/>
              </w:rPr>
              <w:t xml:space="preserve"> : « وأمير المؤمنين ».</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7B299E">
        <w:rPr>
          <w:rStyle w:val="libFootnoteBoldChar"/>
          <w:rtl/>
        </w:rPr>
        <w:t>كامل الزيارات</w:t>
      </w:r>
      <w:r w:rsidR="00744A1C">
        <w:rPr>
          <w:rtl/>
          <w:lang w:bidi="fa-IR"/>
        </w:rPr>
        <w:t xml:space="preserve"> ، ص 299 ، الباب 99 ، ح 1 ، عن محمّد بن يعقوب بهذا السند ، وبسند آخر أيضاً عن محمّد بن الحسين. وفي </w:t>
      </w:r>
      <w:r w:rsidR="00744A1C" w:rsidRPr="007B299E">
        <w:rPr>
          <w:rStyle w:val="libFootnoteBoldChar"/>
          <w:rtl/>
        </w:rPr>
        <w:t>كامل الزيارات</w:t>
      </w:r>
      <w:r w:rsidR="00744A1C">
        <w:rPr>
          <w:rtl/>
          <w:lang w:bidi="fa-IR"/>
        </w:rPr>
        <w:t xml:space="preserve"> ، ص 148 ، الباب 59 ، ح 7 ؛ </w:t>
      </w:r>
      <w:r w:rsidR="00744A1C" w:rsidRPr="0061079A">
        <w:rPr>
          <w:rStyle w:val="libFootnoteBoldChar"/>
          <w:rtl/>
        </w:rPr>
        <w:t>والتهذيب</w:t>
      </w:r>
      <w:r w:rsidR="00744A1C">
        <w:rPr>
          <w:rtl/>
          <w:lang w:bidi="fa-IR"/>
        </w:rPr>
        <w:t xml:space="preserve"> ، ج 6 ، ص 81 ، ح 159 ، بسندهما عن محمّد بن الحسين. </w:t>
      </w:r>
      <w:r w:rsidR="00744A1C" w:rsidRPr="00C24F9C">
        <w:rPr>
          <w:rStyle w:val="libFootnoteBoldChar"/>
          <w:rtl/>
        </w:rPr>
        <w:t>الفقيه</w:t>
      </w:r>
      <w:r w:rsidR="00744A1C">
        <w:rPr>
          <w:rtl/>
          <w:lang w:bidi="fa-IR"/>
        </w:rPr>
        <w:t xml:space="preserve"> ، ج 2 ، ص 582 ، ح 3179 ، معلّقاً عن الحسين بن محمّد القمّي </w:t>
      </w:r>
      <w:r w:rsidR="00CE5A92">
        <w:rPr>
          <w:rFonts w:hint="cs"/>
          <w:rtl/>
          <w:lang w:bidi="fa-IR"/>
        </w:rPr>
        <w:t>.</w:t>
      </w:r>
      <w:r w:rsidR="00744A1C" w:rsidRPr="00C24F9C">
        <w:rPr>
          <w:rStyle w:val="libFootnoteBoldChar"/>
          <w:rtl/>
        </w:rPr>
        <w:t>الوافي</w:t>
      </w:r>
      <w:r w:rsidR="00744A1C">
        <w:rPr>
          <w:rtl/>
          <w:lang w:bidi="fa-IR"/>
        </w:rPr>
        <w:t xml:space="preserve"> ، ج 14 ، ص 1533 ، ح 14619 ؛ </w:t>
      </w:r>
      <w:r w:rsidR="00744A1C" w:rsidRPr="00C24F9C">
        <w:rPr>
          <w:rStyle w:val="libFootnoteBoldChar"/>
          <w:rtl/>
        </w:rPr>
        <w:t>الوسائل</w:t>
      </w:r>
      <w:r w:rsidR="00744A1C">
        <w:rPr>
          <w:rtl/>
          <w:lang w:bidi="fa-IR"/>
        </w:rPr>
        <w:t xml:space="preserve"> ، ج 14 ، ص 545 ، ح 19787.</w:t>
      </w:r>
    </w:p>
    <w:tbl>
      <w:tblPr>
        <w:tblStyle w:val="TableGrid"/>
        <w:bidiVisual/>
        <w:tblW w:w="0" w:type="auto"/>
        <w:tblLook w:val="04A0" w:firstRow="1" w:lastRow="0" w:firstColumn="1" w:lastColumn="0" w:noHBand="0" w:noVBand="1"/>
      </w:tblPr>
      <w:tblGrid>
        <w:gridCol w:w="3854"/>
        <w:gridCol w:w="4158"/>
      </w:tblGrid>
      <w:tr w:rsidR="00CE5A92" w:rsidTr="00CE5A92">
        <w:tc>
          <w:tcPr>
            <w:tcW w:w="3854" w:type="dxa"/>
          </w:tcPr>
          <w:p w:rsidR="00CE5A92" w:rsidRDefault="00CE5A92" w:rsidP="00E378DD">
            <w:pPr>
              <w:pStyle w:val="libFootnote0"/>
              <w:rPr>
                <w:rtl/>
                <w:lang w:bidi="fa-IR"/>
              </w:rPr>
            </w:pPr>
            <w:r>
              <w:rPr>
                <w:rtl/>
                <w:lang w:bidi="fa-IR"/>
              </w:rPr>
              <w:t xml:space="preserve">(7). في </w:t>
            </w:r>
            <w:r w:rsidRPr="00CE5A92">
              <w:rPr>
                <w:rtl/>
              </w:rPr>
              <w:t>الوافي</w:t>
            </w:r>
            <w:r>
              <w:rPr>
                <w:rtl/>
                <w:lang w:bidi="fa-IR"/>
              </w:rPr>
              <w:t xml:space="preserve"> : + « هي ».</w:t>
            </w:r>
          </w:p>
        </w:tc>
        <w:tc>
          <w:tcPr>
            <w:tcW w:w="4158" w:type="dxa"/>
          </w:tcPr>
          <w:p w:rsidR="00CE5A92" w:rsidRDefault="00CE5A92" w:rsidP="00E378DD">
            <w:pPr>
              <w:pStyle w:val="libFootnote0"/>
              <w:rPr>
                <w:rtl/>
                <w:lang w:bidi="fa-IR"/>
              </w:rPr>
            </w:pPr>
            <w:r>
              <w:rPr>
                <w:rtl/>
                <w:lang w:bidi="fa-IR"/>
              </w:rPr>
              <w:t xml:space="preserve">(8). في «بح،جن» </w:t>
            </w:r>
            <w:r w:rsidRPr="00CE5A92">
              <w:rPr>
                <w:rtl/>
              </w:rPr>
              <w:t>والوافي</w:t>
            </w:r>
            <w:r>
              <w:rPr>
                <w:rtl/>
                <w:lang w:bidi="fa-IR"/>
              </w:rPr>
              <w:t xml:space="preserve"> من بعض النسخ : + «زيارة».</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7B299E">
        <w:rPr>
          <w:rStyle w:val="libFootnoteBoldChar"/>
          <w:rtl/>
        </w:rPr>
        <w:t>كامل الزيارات</w:t>
      </w:r>
      <w:r w:rsidR="00744A1C">
        <w:rPr>
          <w:rtl/>
          <w:lang w:bidi="fa-IR"/>
        </w:rPr>
        <w:t xml:space="preserve"> ، ص 298 ، الباب 99 ، ح 1 ، عن محمّد بن يعقوب بهذا السند ، وبسند آخر أيضاً عن أحمد بن محمّد بن عيسى. وفي </w:t>
      </w:r>
      <w:r w:rsidR="00744A1C" w:rsidRPr="00C24F9C">
        <w:rPr>
          <w:rStyle w:val="libFootnoteBoldChar"/>
          <w:rtl/>
        </w:rPr>
        <w:t>التهذيب</w:t>
      </w:r>
      <w:r w:rsidR="00744A1C">
        <w:rPr>
          <w:rtl/>
          <w:lang w:bidi="fa-IR"/>
        </w:rPr>
        <w:t xml:space="preserve"> ، ج 6 ، ص 81 ، ح 158 ؛ </w:t>
      </w:r>
      <w:r w:rsidR="00744A1C" w:rsidRPr="00CE5A92">
        <w:rPr>
          <w:rStyle w:val="libFootnoteBoldChar"/>
          <w:rtl/>
        </w:rPr>
        <w:t>وكا</w:t>
      </w:r>
      <w:r w:rsidR="00744A1C" w:rsidRPr="007B299E">
        <w:rPr>
          <w:rStyle w:val="libFootnoteBoldChar"/>
          <w:rtl/>
        </w:rPr>
        <w:t>مل الزيارات</w:t>
      </w:r>
      <w:r w:rsidR="00744A1C">
        <w:rPr>
          <w:rtl/>
          <w:lang w:bidi="fa-IR"/>
        </w:rPr>
        <w:t xml:space="preserve"> ، ص 300 ، الباب 99 ، ح 8 ، بسندهما عن أحمد بن محمّد [ في </w:t>
      </w:r>
      <w:r w:rsidR="00744A1C" w:rsidRPr="00C24F9C">
        <w:rPr>
          <w:rStyle w:val="libFootnoteBoldChar"/>
          <w:rtl/>
        </w:rPr>
        <w:t>التهذيب</w:t>
      </w:r>
      <w:r w:rsidR="00744A1C">
        <w:rPr>
          <w:rtl/>
          <w:lang w:bidi="fa-IR"/>
        </w:rPr>
        <w:t xml:space="preserve"> : + « بن عيسى » ]. </w:t>
      </w:r>
      <w:r w:rsidR="00744A1C" w:rsidRPr="00C24F9C">
        <w:rPr>
          <w:rStyle w:val="libFootnoteBoldChar"/>
          <w:rtl/>
        </w:rPr>
        <w:t>الفقيه</w:t>
      </w:r>
      <w:r w:rsidR="00744A1C">
        <w:rPr>
          <w:rtl/>
          <w:lang w:bidi="fa-IR"/>
        </w:rPr>
        <w:t xml:space="preserve"> ، ج 2 ، ص 582 ، ح 3180 ، معلّقاً عن الحسن بن عليّ الوشّاء </w:t>
      </w:r>
      <w:r w:rsidR="00CE5A92">
        <w:rPr>
          <w:rFonts w:hint="cs"/>
          <w:rtl/>
          <w:lang w:bidi="fa-IR"/>
        </w:rPr>
        <w:t>.</w:t>
      </w:r>
      <w:r w:rsidR="00744A1C" w:rsidRPr="00C24F9C">
        <w:rPr>
          <w:rStyle w:val="libFootnoteBoldChar"/>
          <w:rtl/>
        </w:rPr>
        <w:t>الوافي</w:t>
      </w:r>
      <w:r w:rsidR="00744A1C">
        <w:rPr>
          <w:rtl/>
          <w:lang w:bidi="fa-IR"/>
        </w:rPr>
        <w:t xml:space="preserve"> ، ج 14 ، ص 1534 ، ح 14620 ؛ </w:t>
      </w:r>
      <w:r w:rsidR="00744A1C" w:rsidRPr="00C24F9C">
        <w:rPr>
          <w:rStyle w:val="libFootnoteBoldChar"/>
          <w:rtl/>
        </w:rPr>
        <w:t>الوسائل</w:t>
      </w:r>
      <w:r w:rsidR="00744A1C">
        <w:rPr>
          <w:rtl/>
          <w:lang w:bidi="fa-IR"/>
        </w:rPr>
        <w:t xml:space="preserve"> ، ج 14 ، ص 544 ، ذيل ح 19786.</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8179 / 3. مُحَمَّدُ بْنُ يَحْيى ، عَنْ حَمْدَانَ الْقَلَانِسِيِّ ، عَنْ عَلِيِّ بْنِ مُحَمَّدٍ الْحُضَيْنِيِّ </w:t>
      </w:r>
      <w:r w:rsidRPr="00D10E3C">
        <w:rPr>
          <w:rStyle w:val="libFootnotenumChar"/>
          <w:rtl/>
        </w:rPr>
        <w:t>(1)</w:t>
      </w:r>
      <w:r>
        <w:rPr>
          <w:rtl/>
          <w:lang w:bidi="fa-IR"/>
        </w:rPr>
        <w:t xml:space="preserve"> ، عَنْ عَلِيِّ بْنِ عَبْدِ اللهِ بْنِ مَرْوَانَ ، عَنْ إِبْرَاهِيمَ بْنِ عُقْبَةَ ، قَالَ :</w:t>
      </w:r>
    </w:p>
    <w:p w:rsidR="00744A1C" w:rsidRDefault="00744A1C" w:rsidP="00744A1C">
      <w:pPr>
        <w:pStyle w:val="libNormal"/>
        <w:rPr>
          <w:lang w:bidi="fa-IR"/>
        </w:rPr>
      </w:pPr>
      <w:r>
        <w:rPr>
          <w:rtl/>
          <w:lang w:bidi="fa-IR"/>
        </w:rPr>
        <w:t xml:space="preserve">كَتَبْتُ إِلى أَبِي الْحَسَنِ الثَّالِثِ </w:t>
      </w:r>
      <w:r w:rsidR="0061079A" w:rsidRPr="0061079A">
        <w:rPr>
          <w:rStyle w:val="libAlaemChar"/>
          <w:rtl/>
        </w:rPr>
        <w:t>عليه‌السلام</w:t>
      </w:r>
      <w:r w:rsidR="00D10E3C">
        <w:rPr>
          <w:rtl/>
          <w:lang w:bidi="fa-IR"/>
        </w:rPr>
        <w:t xml:space="preserve"> </w:t>
      </w:r>
      <w:r>
        <w:rPr>
          <w:rtl/>
          <w:lang w:bidi="fa-IR"/>
        </w:rPr>
        <w:t xml:space="preserve">أَسْأَلُهُ عَنْ زِيَارَةِ </w:t>
      </w:r>
      <w:r w:rsidRPr="00D10E3C">
        <w:rPr>
          <w:rStyle w:val="libFootnotenumChar"/>
          <w:rtl/>
        </w:rPr>
        <w:t>(2)</w:t>
      </w:r>
      <w:r>
        <w:rPr>
          <w:rtl/>
          <w:lang w:bidi="fa-IR"/>
        </w:rPr>
        <w:t xml:space="preserve"> أَبِي عَبْدِ اللهِ الْحُسَيْنِ </w:t>
      </w:r>
      <w:r w:rsidRPr="00D10E3C">
        <w:rPr>
          <w:rStyle w:val="libFootnotenumChar"/>
          <w:rtl/>
        </w:rPr>
        <w:t>(3)</w:t>
      </w:r>
      <w:r>
        <w:rPr>
          <w:rtl/>
          <w:lang w:bidi="fa-IR"/>
        </w:rPr>
        <w:t xml:space="preserve"> ، وَعَنْ </w:t>
      </w:r>
      <w:r w:rsidRPr="00D10E3C">
        <w:rPr>
          <w:rStyle w:val="libFootnotenumChar"/>
          <w:rtl/>
        </w:rPr>
        <w:t>(4)</w:t>
      </w:r>
      <w:r>
        <w:rPr>
          <w:rtl/>
          <w:lang w:bidi="fa-IR"/>
        </w:rPr>
        <w:t xml:space="preserve"> زِيَارَةِ أَبِي الْحَسَنِ وَأَبِي جَعْفَرٍ </w:t>
      </w:r>
      <w:r w:rsidRPr="00D10E3C">
        <w:rPr>
          <w:rStyle w:val="libFootnotenumChar"/>
          <w:rtl/>
        </w:rPr>
        <w:t>(5)</w:t>
      </w:r>
      <w:r>
        <w:rPr>
          <w:rtl/>
          <w:lang w:bidi="fa-IR"/>
        </w:rPr>
        <w:t xml:space="preserve"> </w:t>
      </w:r>
      <w:r w:rsidR="008859AA" w:rsidRPr="008859AA">
        <w:rPr>
          <w:rStyle w:val="libAlaemChar"/>
          <w:rtl/>
        </w:rPr>
        <w:t>عليهما‌السلام</w:t>
      </w:r>
      <w:r>
        <w:rPr>
          <w:rtl/>
          <w:lang w:bidi="fa-IR"/>
        </w:rPr>
        <w:t xml:space="preserve">أَجْمَعِينَ </w:t>
      </w:r>
      <w:r w:rsidRPr="00D10E3C">
        <w:rPr>
          <w:rStyle w:val="libFootnotenumChar"/>
          <w:rtl/>
        </w:rPr>
        <w:t>(6)</w:t>
      </w:r>
      <w:r>
        <w:rPr>
          <w:rtl/>
          <w:lang w:bidi="fa-IR"/>
        </w:rPr>
        <w:t>؟</w:t>
      </w:r>
    </w:p>
    <w:p w:rsidR="00144FA6" w:rsidRDefault="00744A1C" w:rsidP="00744A1C">
      <w:pPr>
        <w:pStyle w:val="libNormal"/>
        <w:rPr>
          <w:rtl/>
          <w:lang w:bidi="fa-IR"/>
        </w:rPr>
      </w:pPr>
      <w:r>
        <w:rPr>
          <w:rtl/>
          <w:lang w:bidi="fa-IR"/>
        </w:rPr>
        <w:t xml:space="preserve">فَكَتَبَ إِلَيَّ أَبُو عَبْدِ اللهِ </w:t>
      </w:r>
      <w:r w:rsidR="0061079A" w:rsidRPr="0061079A">
        <w:rPr>
          <w:rStyle w:val="libAlaemChar"/>
          <w:rtl/>
        </w:rPr>
        <w:t>عليه‌السلام</w:t>
      </w:r>
      <w:r w:rsidR="00D10E3C">
        <w:rPr>
          <w:rtl/>
          <w:lang w:bidi="fa-IR"/>
        </w:rPr>
        <w:t xml:space="preserve"> </w:t>
      </w:r>
      <w:r>
        <w:rPr>
          <w:rtl/>
          <w:lang w:bidi="fa-IR"/>
        </w:rPr>
        <w:t xml:space="preserve">: « الْمُقَدَّمُ </w:t>
      </w:r>
      <w:r w:rsidRPr="00D10E3C">
        <w:rPr>
          <w:rStyle w:val="libFootnotenumChar"/>
          <w:rtl/>
        </w:rPr>
        <w:t>(7)</w:t>
      </w:r>
      <w:r>
        <w:rPr>
          <w:rtl/>
          <w:lang w:bidi="fa-IR"/>
        </w:rPr>
        <w:t xml:space="preserve"> ، وَهذَا أَجْمَعُ وَأَعْظَمُ أَجْراً ». </w:t>
      </w:r>
      <w:r w:rsidRPr="00D10E3C">
        <w:rPr>
          <w:rStyle w:val="libFootnotenumChar"/>
          <w:rtl/>
        </w:rPr>
        <w:t>(8)</w:t>
      </w:r>
    </w:p>
    <w:p w:rsidR="00144FA6" w:rsidRDefault="00744A1C" w:rsidP="00CE5A92">
      <w:pPr>
        <w:pStyle w:val="Heading2Center"/>
        <w:rPr>
          <w:rtl/>
          <w:lang w:bidi="fa-IR"/>
        </w:rPr>
      </w:pPr>
      <w:bookmarkStart w:id="82" w:name="_Toc49261380"/>
      <w:r>
        <w:rPr>
          <w:rtl/>
          <w:lang w:bidi="fa-IR"/>
        </w:rPr>
        <w:t xml:space="preserve">234 - بَابُ فَضْلِ </w:t>
      </w:r>
      <w:r w:rsidRPr="00D10E3C">
        <w:rPr>
          <w:rStyle w:val="libFootnotenumChar"/>
          <w:rtl/>
        </w:rPr>
        <w:t>(9)</w:t>
      </w:r>
      <w:r>
        <w:rPr>
          <w:rtl/>
          <w:lang w:bidi="fa-IR"/>
        </w:rPr>
        <w:t xml:space="preserve"> زِيَارَةِ أَبِي الْحَسَنِ الرِّضَا </w:t>
      </w:r>
      <w:r w:rsidRPr="00D10E3C">
        <w:rPr>
          <w:rStyle w:val="libFootnotenumChar"/>
          <w:rtl/>
        </w:rPr>
        <w:t>(10)</w:t>
      </w:r>
      <w:r>
        <w:rPr>
          <w:rtl/>
          <w:lang w:bidi="fa-IR"/>
        </w:rPr>
        <w:t xml:space="preserve"> </w:t>
      </w:r>
      <w:r w:rsidR="0061079A" w:rsidRPr="0061079A">
        <w:rPr>
          <w:rStyle w:val="libAlaemChar"/>
          <w:rtl/>
        </w:rPr>
        <w:t>عليه‌السلام</w:t>
      </w:r>
      <w:bookmarkEnd w:id="82"/>
    </w:p>
    <w:p w:rsidR="00144FA6" w:rsidRDefault="00744A1C" w:rsidP="00744A1C">
      <w:pPr>
        <w:pStyle w:val="libNormal"/>
        <w:rPr>
          <w:rtl/>
          <w:lang w:bidi="fa-IR"/>
        </w:rPr>
      </w:pPr>
      <w:r>
        <w:rPr>
          <w:rtl/>
          <w:lang w:bidi="fa-IR"/>
        </w:rPr>
        <w:t xml:space="preserve">8180 / 1. عَلِيُّ بْنُ إِبْرَاهِيمَ ، عَنْ أَبِيهِ </w:t>
      </w:r>
      <w:r w:rsidRPr="00D10E3C">
        <w:rPr>
          <w:rStyle w:val="libFootnotenumChar"/>
          <w:rtl/>
        </w:rPr>
        <w:t>(11)</w:t>
      </w:r>
      <w:r>
        <w:rPr>
          <w:rtl/>
          <w:lang w:bidi="fa-IR"/>
        </w:rPr>
        <w:t xml:space="preserve"> ، عَنْ عَلِيِّ بْنِ مَهْزِيَارَ ، قَالَ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CE5A92" w:rsidTr="00CE5A92">
        <w:tc>
          <w:tcPr>
            <w:tcW w:w="4006" w:type="dxa"/>
          </w:tcPr>
          <w:p w:rsidR="00CE5A92" w:rsidRDefault="00CE5A92" w:rsidP="00D10E3C">
            <w:pPr>
              <w:pStyle w:val="libFootnote0"/>
              <w:rPr>
                <w:rtl/>
                <w:lang w:bidi="fa-IR"/>
              </w:rPr>
            </w:pPr>
            <w:r>
              <w:rPr>
                <w:rtl/>
                <w:lang w:bidi="fa-IR"/>
              </w:rPr>
              <w:t>(1). في « بح ، بخ » : « الحصيني ».</w:t>
            </w:r>
          </w:p>
        </w:tc>
        <w:tc>
          <w:tcPr>
            <w:tcW w:w="4006" w:type="dxa"/>
          </w:tcPr>
          <w:p w:rsidR="00CE5A92" w:rsidRDefault="00CE5A92" w:rsidP="00D10E3C">
            <w:pPr>
              <w:pStyle w:val="libFootnote0"/>
              <w:rPr>
                <w:rtl/>
                <w:lang w:bidi="fa-IR"/>
              </w:rPr>
            </w:pPr>
            <w:r>
              <w:rPr>
                <w:rtl/>
                <w:lang w:bidi="fa-IR"/>
              </w:rPr>
              <w:t>(2). في « جن » والمزار : + « قبر ».</w:t>
            </w:r>
          </w:p>
        </w:tc>
      </w:tr>
      <w:tr w:rsidR="00CE5A92" w:rsidTr="00CE5A92">
        <w:tc>
          <w:tcPr>
            <w:tcW w:w="4006" w:type="dxa"/>
          </w:tcPr>
          <w:p w:rsidR="00CE5A92" w:rsidRDefault="00CE5A92" w:rsidP="00D10E3C">
            <w:pPr>
              <w:pStyle w:val="libFootnote0"/>
              <w:rPr>
                <w:rtl/>
                <w:lang w:bidi="fa-IR"/>
              </w:rPr>
            </w:pPr>
            <w:r>
              <w:rPr>
                <w:rtl/>
                <w:lang w:bidi="fa-IR"/>
              </w:rPr>
              <w:t xml:space="preserve">(3). في </w:t>
            </w:r>
            <w:r w:rsidRPr="00CE5A92">
              <w:rPr>
                <w:rtl/>
              </w:rPr>
              <w:t>التهذيب</w:t>
            </w:r>
            <w:r>
              <w:rPr>
                <w:rtl/>
                <w:lang w:bidi="fa-IR"/>
              </w:rPr>
              <w:t xml:space="preserve"> والمزار : - « الحسين ».</w:t>
            </w:r>
          </w:p>
        </w:tc>
        <w:tc>
          <w:tcPr>
            <w:tcW w:w="4006" w:type="dxa"/>
          </w:tcPr>
          <w:p w:rsidR="00CE5A92" w:rsidRDefault="00CE5A92" w:rsidP="00D10E3C">
            <w:pPr>
              <w:pStyle w:val="libFootnote0"/>
              <w:rPr>
                <w:rtl/>
                <w:lang w:bidi="fa-IR"/>
              </w:rPr>
            </w:pPr>
            <w:r>
              <w:rPr>
                <w:rtl/>
                <w:lang w:bidi="fa-IR"/>
              </w:rPr>
              <w:t xml:space="preserve">(4). في </w:t>
            </w:r>
            <w:r w:rsidRPr="00CE5A92">
              <w:rPr>
                <w:rtl/>
              </w:rPr>
              <w:t>التهذيب</w:t>
            </w:r>
            <w:r>
              <w:rPr>
                <w:rtl/>
                <w:lang w:bidi="fa-IR"/>
              </w:rPr>
              <w:t xml:space="preserve"> : - « عن ».</w:t>
            </w:r>
          </w:p>
        </w:tc>
      </w:tr>
    </w:tbl>
    <w:p w:rsidR="00744A1C" w:rsidRDefault="00E378DD" w:rsidP="00E378DD">
      <w:pPr>
        <w:pStyle w:val="libFootnote0"/>
        <w:rPr>
          <w:lang w:bidi="fa-IR"/>
        </w:rPr>
      </w:pPr>
      <w:r>
        <w:rPr>
          <w:rtl/>
          <w:lang w:bidi="fa-IR"/>
        </w:rPr>
        <w:t>(5).</w:t>
      </w:r>
      <w:r w:rsidR="00744A1C">
        <w:rPr>
          <w:rtl/>
          <w:lang w:bidi="fa-IR"/>
        </w:rPr>
        <w:t xml:space="preserve"> في « ى ، بث ، بخ ، بس ، بف ، جد » وحاشية « بح » : + « وعن الأئمّة ».</w:t>
      </w:r>
    </w:p>
    <w:p w:rsidR="00744A1C" w:rsidRDefault="00E378DD" w:rsidP="00E378DD">
      <w:pPr>
        <w:pStyle w:val="libFootnote0"/>
        <w:rPr>
          <w:lang w:bidi="fa-IR"/>
        </w:rPr>
      </w:pPr>
      <w:r>
        <w:rPr>
          <w:rtl/>
          <w:lang w:bidi="fa-IR"/>
        </w:rPr>
        <w:t>(6).</w:t>
      </w:r>
      <w:r w:rsidR="00744A1C">
        <w:rPr>
          <w:rtl/>
          <w:lang w:bidi="fa-IR"/>
        </w:rPr>
        <w:t xml:space="preserve"> في </w:t>
      </w:r>
      <w:r w:rsidR="00744A1C" w:rsidRPr="00CE5A92">
        <w:rPr>
          <w:rtl/>
        </w:rPr>
        <w:t>الوسائل والتهذيب وكامل الزيارات</w:t>
      </w:r>
      <w:r w:rsidR="00744A1C">
        <w:rPr>
          <w:rtl/>
          <w:lang w:bidi="fa-IR"/>
        </w:rPr>
        <w:t xml:space="preserve"> والعيون والمزار : - « أجمعين ».</w:t>
      </w:r>
    </w:p>
    <w:p w:rsidR="00744A1C" w:rsidRDefault="00E378DD" w:rsidP="00E378DD">
      <w:pPr>
        <w:pStyle w:val="libFootnote0"/>
        <w:rPr>
          <w:lang w:bidi="fa-IR"/>
        </w:rPr>
      </w:pPr>
      <w:r>
        <w:rPr>
          <w:rtl/>
          <w:lang w:bidi="fa-IR"/>
        </w:rPr>
        <w:t>(7).</w:t>
      </w:r>
      <w:r w:rsidR="00744A1C">
        <w:rPr>
          <w:rtl/>
          <w:lang w:bidi="fa-IR"/>
        </w:rPr>
        <w:t xml:space="preserve"> في « بس » : - « المقدّم ». وفي </w:t>
      </w:r>
      <w:r w:rsidR="00744A1C" w:rsidRPr="00877682">
        <w:rPr>
          <w:rStyle w:val="libFootnoteBoldChar"/>
          <w:rtl/>
        </w:rPr>
        <w:t>مرآة العقول</w:t>
      </w:r>
      <w:r w:rsidR="00744A1C">
        <w:rPr>
          <w:rtl/>
          <w:lang w:bidi="fa-IR"/>
        </w:rPr>
        <w:t xml:space="preserve"> ، ج 18 ، ص 311 : « أي الحسين </w:t>
      </w:r>
      <w:r w:rsidR="0061079A" w:rsidRPr="0061079A">
        <w:rPr>
          <w:rStyle w:val="libFootnoteAlaemChar"/>
          <w:rtl/>
        </w:rPr>
        <w:t>عليه‌السلام</w:t>
      </w:r>
      <w:r w:rsidR="00D10E3C">
        <w:rPr>
          <w:rtl/>
          <w:lang w:bidi="fa-IR"/>
        </w:rPr>
        <w:t xml:space="preserve"> </w:t>
      </w:r>
      <w:r w:rsidR="00744A1C">
        <w:rPr>
          <w:rtl/>
          <w:lang w:bidi="fa-IR"/>
        </w:rPr>
        <w:t xml:space="preserve">أقدم وأفضل ، أو المعنى أنّ زيارته فقط أفضل من زيارة كلّ من المعصومين </w:t>
      </w:r>
      <w:r w:rsidR="00877682" w:rsidRPr="00877682">
        <w:rPr>
          <w:rStyle w:val="libFootnoteAlaemChar"/>
          <w:rtl/>
        </w:rPr>
        <w:t>عليهم‌السلام</w:t>
      </w:r>
      <w:r w:rsidR="00D10E3C">
        <w:rPr>
          <w:rtl/>
          <w:lang w:bidi="fa-IR"/>
        </w:rPr>
        <w:t xml:space="preserve"> </w:t>
      </w:r>
      <w:r w:rsidR="00744A1C">
        <w:rPr>
          <w:rtl/>
          <w:lang w:bidi="fa-IR"/>
        </w:rPr>
        <w:t xml:space="preserve">، ومجموع زيارتيهما أجمع وأفضل ، أو المعنى أنّ زيارة الحسين </w:t>
      </w:r>
      <w:r w:rsidR="0061079A" w:rsidRPr="0061079A">
        <w:rPr>
          <w:rStyle w:val="libFootnoteAlaemChar"/>
          <w:rtl/>
        </w:rPr>
        <w:t>عليه‌السلام</w:t>
      </w:r>
      <w:r w:rsidR="00D10E3C">
        <w:rPr>
          <w:rtl/>
          <w:lang w:bidi="fa-IR"/>
        </w:rPr>
        <w:t xml:space="preserve"> </w:t>
      </w:r>
      <w:r w:rsidR="00744A1C">
        <w:rPr>
          <w:rtl/>
          <w:lang w:bidi="fa-IR"/>
        </w:rPr>
        <w:t xml:space="preserve">أولى بالتقديم ، ثمّ إن أضفت إلى زيارته </w:t>
      </w:r>
      <w:r w:rsidR="0061079A" w:rsidRPr="0061079A">
        <w:rPr>
          <w:rStyle w:val="libFootnoteAlaemChar"/>
          <w:rtl/>
        </w:rPr>
        <w:t>عليه‌السلام</w:t>
      </w:r>
      <w:r w:rsidR="00D10E3C">
        <w:rPr>
          <w:rtl/>
          <w:lang w:bidi="fa-IR"/>
        </w:rPr>
        <w:t xml:space="preserve"> </w:t>
      </w:r>
      <w:r w:rsidR="00744A1C">
        <w:rPr>
          <w:rtl/>
          <w:lang w:bidi="fa-IR"/>
        </w:rPr>
        <w:t xml:space="preserve">زيارتهما </w:t>
      </w:r>
      <w:r w:rsidR="00F112A7" w:rsidRPr="00CE5A92">
        <w:rPr>
          <w:rStyle w:val="libFootnoteAlaemChar"/>
          <w:rtl/>
        </w:rPr>
        <w:t>عليهما‌السلام</w:t>
      </w:r>
      <w:r w:rsidR="00744A1C">
        <w:rPr>
          <w:rtl/>
          <w:lang w:bidi="fa-IR"/>
        </w:rPr>
        <w:t xml:space="preserve">، كان أجمع وأعظم أجراً. وقيل : المعنى أنّ زيارتهما أجمع من زيارته ؛ لأنّ الاعتقاد بإمامتهما يستلزم الاعتقاد بإمامته </w:t>
      </w:r>
      <w:r w:rsidR="0061079A" w:rsidRPr="0061079A">
        <w:rPr>
          <w:rStyle w:val="libFootnoteAlaemChar"/>
          <w:rtl/>
        </w:rPr>
        <w:t>عليه‌السلام</w:t>
      </w:r>
      <w:r w:rsidR="00D10E3C">
        <w:rPr>
          <w:rtl/>
          <w:lang w:bidi="fa-IR"/>
        </w:rPr>
        <w:t xml:space="preserve"> </w:t>
      </w:r>
      <w:r w:rsidR="00744A1C">
        <w:rPr>
          <w:rtl/>
          <w:lang w:bidi="fa-IR"/>
        </w:rPr>
        <w:t xml:space="preserve">دون العكس ، فكان زيارتهما </w:t>
      </w:r>
      <w:r w:rsidR="00F112A7" w:rsidRPr="00CE5A92">
        <w:rPr>
          <w:rStyle w:val="libFootnoteAlaemChar"/>
          <w:rtl/>
        </w:rPr>
        <w:t>عليهما‌السلام</w:t>
      </w:r>
      <w:r w:rsidR="00CE5A92" w:rsidRPr="00CE5A92">
        <w:rPr>
          <w:rFonts w:hint="cs"/>
          <w:rtl/>
        </w:rPr>
        <w:t xml:space="preserve"> </w:t>
      </w:r>
      <w:r w:rsidR="00744A1C">
        <w:rPr>
          <w:rtl/>
          <w:lang w:bidi="fa-IR"/>
        </w:rPr>
        <w:t xml:space="preserve">تشتمل على زيارته ، ولأنّ زيارتهما مختصّة بالخواصّ من الشيعة كما ورد في زيارة الرضا </w:t>
      </w:r>
      <w:r w:rsidR="0061079A" w:rsidRPr="0061079A">
        <w:rPr>
          <w:rStyle w:val="libFootnoteAlaemChar"/>
          <w:rtl/>
        </w:rPr>
        <w:t>عليه‌السلام</w:t>
      </w:r>
      <w:r w:rsidR="00744A1C">
        <w:rPr>
          <w:rtl/>
          <w:lang w:bidi="fa-IR"/>
        </w:rPr>
        <w:t xml:space="preserve"> . ولا</w:t>
      </w:r>
      <w:r w:rsidR="00CE5A92">
        <w:rPr>
          <w:rtl/>
          <w:lang w:bidi="fa-IR"/>
        </w:rPr>
        <w:t>يخفى ما فيه ». والقائل هو العل</w:t>
      </w:r>
      <w:r w:rsidR="00CE5A92">
        <w:rPr>
          <w:rFonts w:hint="cs"/>
          <w:rtl/>
          <w:lang w:bidi="fa-IR"/>
        </w:rPr>
        <w:t>ّ</w:t>
      </w:r>
      <w:r w:rsidR="00CE5A92">
        <w:rPr>
          <w:rtl/>
          <w:lang w:bidi="fa-IR"/>
        </w:rPr>
        <w:t>ا</w:t>
      </w:r>
      <w:r w:rsidR="00744A1C">
        <w:rPr>
          <w:rtl/>
          <w:lang w:bidi="fa-IR"/>
        </w:rPr>
        <w:t xml:space="preserve">مة الفيض في </w:t>
      </w:r>
      <w:r w:rsidR="00744A1C" w:rsidRPr="00C24F9C">
        <w:rPr>
          <w:rStyle w:val="libFootnoteBoldChar"/>
          <w:rtl/>
        </w:rPr>
        <w:t>الوافي</w:t>
      </w:r>
      <w:r w:rsidR="00744A1C">
        <w:rPr>
          <w:rtl/>
          <w:lang w:bidi="fa-IR"/>
        </w:rPr>
        <w:t>.</w:t>
      </w:r>
    </w:p>
    <w:p w:rsidR="00744A1C" w:rsidRDefault="00E378DD" w:rsidP="00CE5A92">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91 ، ح 172 ، معلّقاً عن الكليني ؛ </w:t>
      </w:r>
      <w:r w:rsidR="00744A1C" w:rsidRPr="007B299E">
        <w:rPr>
          <w:rStyle w:val="libFootnoteBoldChar"/>
          <w:rtl/>
        </w:rPr>
        <w:t>كامل الزيارات</w:t>
      </w:r>
      <w:r w:rsidR="00744A1C">
        <w:rPr>
          <w:rtl/>
          <w:lang w:bidi="fa-IR"/>
        </w:rPr>
        <w:t xml:space="preserve"> ، ص 300 ، الباب 99 ، ح 11 ، عن محمّد بن يعقوب ؛ </w:t>
      </w:r>
      <w:r w:rsidR="00744A1C" w:rsidRPr="00CE5A92">
        <w:rPr>
          <w:rStyle w:val="libFootnoteBoldChar"/>
          <w:rtl/>
        </w:rPr>
        <w:t>كتاب المزار</w:t>
      </w:r>
      <w:r w:rsidR="00744A1C">
        <w:rPr>
          <w:rtl/>
          <w:lang w:bidi="fa-IR"/>
        </w:rPr>
        <w:t xml:space="preserve"> ، ص 190 ، بسنده عن محمّد بن يعقوب. </w:t>
      </w:r>
      <w:r w:rsidR="00744A1C" w:rsidRPr="00877682">
        <w:rPr>
          <w:rStyle w:val="libFootnoteBoldChar"/>
          <w:rtl/>
        </w:rPr>
        <w:t>عيون الأخبار</w:t>
      </w:r>
      <w:r w:rsidR="00744A1C">
        <w:rPr>
          <w:rtl/>
          <w:lang w:bidi="fa-IR"/>
        </w:rPr>
        <w:t xml:space="preserve"> ، ص 261 ، ح 25 ، بسنده عن محمّد بن يحيى العطّار ، عن حمدان بن سليمان النيسابوري ، عن عليّ بن محمّد الحصيني ، عن عليّ بن محمّد بن مروان ، عن إبراهيم بن عقبة </w:t>
      </w:r>
      <w:r w:rsidR="00CE5A92">
        <w:rPr>
          <w:rFonts w:hint="cs"/>
          <w:rtl/>
          <w:lang w:bidi="fa-IR"/>
        </w:rPr>
        <w:t>.</w:t>
      </w:r>
      <w:r w:rsidR="00744A1C" w:rsidRPr="00C24F9C">
        <w:rPr>
          <w:rStyle w:val="libFootnoteBoldChar"/>
          <w:rtl/>
        </w:rPr>
        <w:t>الوافي</w:t>
      </w:r>
      <w:r w:rsidR="00744A1C">
        <w:rPr>
          <w:rtl/>
          <w:lang w:bidi="fa-IR"/>
        </w:rPr>
        <w:t xml:space="preserve"> ، ج 14 ، ص 1534 ، ح 14621 ؛ </w:t>
      </w:r>
      <w:r w:rsidR="00744A1C" w:rsidRPr="00C24F9C">
        <w:rPr>
          <w:rStyle w:val="libFootnoteBoldChar"/>
          <w:rtl/>
        </w:rPr>
        <w:t>الوسائل</w:t>
      </w:r>
      <w:r w:rsidR="00744A1C">
        <w:rPr>
          <w:rtl/>
          <w:lang w:bidi="fa-IR"/>
        </w:rPr>
        <w:t xml:space="preserve"> ، ج 14 ، ص 570 ، ح 19841 ؛ </w:t>
      </w:r>
      <w:r w:rsidR="00744A1C" w:rsidRPr="0061079A">
        <w:rPr>
          <w:rStyle w:val="libFootnoteBoldChar"/>
          <w:rtl/>
        </w:rPr>
        <w:t>البحار</w:t>
      </w:r>
      <w:r w:rsidR="00744A1C">
        <w:rPr>
          <w:rtl/>
          <w:lang w:bidi="fa-IR"/>
        </w:rPr>
        <w:t xml:space="preserve"> ، ج 102 ، ص 2 ، ح 9.</w:t>
      </w:r>
      <w:r w:rsidR="00CE5A92">
        <w:rPr>
          <w:rFonts w:hint="cs"/>
          <w:rtl/>
          <w:lang w:bidi="fa-IR"/>
        </w:rPr>
        <w:t xml:space="preserve">  </w:t>
      </w:r>
      <w:r>
        <w:rPr>
          <w:rtl/>
          <w:lang w:bidi="fa-IR"/>
        </w:rPr>
        <w:t>(9).</w:t>
      </w:r>
      <w:r w:rsidR="00CE5A92">
        <w:rPr>
          <w:rtl/>
          <w:lang w:bidi="fa-IR"/>
        </w:rPr>
        <w:t xml:space="preserve"> في «بث ،بخ ،جد ،</w:t>
      </w:r>
      <w:r w:rsidR="00744A1C">
        <w:rPr>
          <w:rtl/>
          <w:lang w:bidi="fa-IR"/>
        </w:rPr>
        <w:t>جن » : - « فضل ».</w:t>
      </w:r>
    </w:p>
    <w:p w:rsidR="00744A1C" w:rsidRDefault="00E378DD" w:rsidP="00E378DD">
      <w:pPr>
        <w:pStyle w:val="libFootnote0"/>
        <w:rPr>
          <w:lang w:bidi="fa-IR"/>
        </w:rPr>
      </w:pPr>
      <w:r>
        <w:rPr>
          <w:rtl/>
          <w:lang w:bidi="fa-IR"/>
        </w:rPr>
        <w:t>(10).</w:t>
      </w:r>
      <w:r w:rsidR="00744A1C">
        <w:rPr>
          <w:rtl/>
          <w:lang w:bidi="fa-IR"/>
        </w:rPr>
        <w:t xml:space="preserve"> في « جن » : + « على زيارة الحسين ».</w:t>
      </w:r>
    </w:p>
    <w:p w:rsidR="00744A1C" w:rsidRDefault="00E378DD" w:rsidP="00E378DD">
      <w:pPr>
        <w:pStyle w:val="libFootnote0"/>
        <w:rPr>
          <w:lang w:bidi="fa-IR"/>
        </w:rPr>
      </w:pPr>
      <w:r>
        <w:rPr>
          <w:rtl/>
          <w:lang w:bidi="fa-IR"/>
        </w:rPr>
        <w:t>(11).</w:t>
      </w:r>
      <w:r w:rsidR="00744A1C">
        <w:rPr>
          <w:rtl/>
          <w:lang w:bidi="fa-IR"/>
        </w:rPr>
        <w:t xml:space="preserve"> في « ى ، بث ، بف ، جد ، جر » </w:t>
      </w:r>
      <w:r w:rsidR="00744A1C" w:rsidRPr="007964EE">
        <w:rPr>
          <w:rtl/>
        </w:rPr>
        <w:t>والوسائل</w:t>
      </w:r>
      <w:r w:rsidR="00744A1C">
        <w:rPr>
          <w:rtl/>
          <w:lang w:bidi="fa-IR"/>
        </w:rPr>
        <w:t xml:space="preserve"> : - « عن أبيه ». وهو سهو ؛ فإنّا لم نجد رواية عليّ بن إبراهيم عن عليّ بن مهزيار مباشرة في موضع.</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قُلْتُ لِأَبِي جَعْفَرٍ </w:t>
      </w:r>
      <w:r w:rsidR="0061079A" w:rsidRPr="0061079A">
        <w:rPr>
          <w:rStyle w:val="libAlaemChar"/>
          <w:rtl/>
        </w:rPr>
        <w:t>عليه‌السلام</w:t>
      </w:r>
      <w:r w:rsidR="00D10E3C">
        <w:rPr>
          <w:rtl/>
          <w:lang w:bidi="fa-IR"/>
        </w:rPr>
        <w:t xml:space="preserve"> </w:t>
      </w:r>
      <w:r>
        <w:rPr>
          <w:rtl/>
          <w:lang w:bidi="fa-IR"/>
        </w:rPr>
        <w:t xml:space="preserve">: جُعِلْتُ فِدَاكَ ، زِيَارَةُ الرِّضَا </w:t>
      </w:r>
      <w:r w:rsidR="0061079A" w:rsidRPr="0061079A">
        <w:rPr>
          <w:rStyle w:val="libAlaemChar"/>
          <w:rtl/>
        </w:rPr>
        <w:t>عليه‌السلام</w:t>
      </w:r>
      <w:r w:rsidR="00D10E3C">
        <w:rPr>
          <w:rtl/>
          <w:lang w:bidi="fa-IR"/>
        </w:rPr>
        <w:t xml:space="preserve"> </w:t>
      </w:r>
      <w:r>
        <w:rPr>
          <w:rtl/>
          <w:lang w:bidi="fa-IR"/>
        </w:rPr>
        <w:t xml:space="preserve">أَفْضَلُ ، أَمْ </w:t>
      </w:r>
      <w:r w:rsidRPr="00D10E3C">
        <w:rPr>
          <w:rStyle w:val="libFootnotenumChar"/>
          <w:rtl/>
        </w:rPr>
        <w:t>(1)</w:t>
      </w:r>
      <w:r>
        <w:rPr>
          <w:rtl/>
          <w:lang w:bidi="fa-IR"/>
        </w:rPr>
        <w:t xml:space="preserve"> زِيَارَةُ أَبِي عَبْدِ اللهِ الْحُسَيْنِ </w:t>
      </w:r>
      <w:r w:rsidR="0061079A" w:rsidRPr="0061079A">
        <w:rPr>
          <w:rStyle w:val="libAlaemChar"/>
          <w:rtl/>
        </w:rPr>
        <w:t>عليه‌السلام</w:t>
      </w:r>
      <w:r>
        <w:rPr>
          <w:rtl/>
          <w:lang w:bidi="fa-IR"/>
        </w:rPr>
        <w:t xml:space="preserve"> ؟</w:t>
      </w:r>
    </w:p>
    <w:p w:rsidR="00144FA6" w:rsidRDefault="00744A1C" w:rsidP="00744A1C">
      <w:pPr>
        <w:pStyle w:val="libNormal"/>
        <w:rPr>
          <w:rtl/>
          <w:lang w:bidi="fa-IR"/>
        </w:rPr>
      </w:pPr>
      <w:r>
        <w:rPr>
          <w:rtl/>
          <w:lang w:bidi="fa-IR"/>
        </w:rPr>
        <w:t xml:space="preserve">فَقَالَ </w:t>
      </w:r>
      <w:r w:rsidRPr="00D10E3C">
        <w:rPr>
          <w:rStyle w:val="libFootnotenumChar"/>
          <w:rtl/>
        </w:rPr>
        <w:t>(2)</w:t>
      </w:r>
      <w:r>
        <w:rPr>
          <w:rtl/>
          <w:lang w:bidi="fa-IR"/>
        </w:rPr>
        <w:t xml:space="preserve"> : « زِيَارَةُ أَبِي أَفْضَلُ ، وَذلِكَ أَنَّ أَبَا عَبْدِ اللهِ </w:t>
      </w:r>
      <w:r w:rsidR="0061079A" w:rsidRPr="0061079A">
        <w:rPr>
          <w:rStyle w:val="libAlaemChar"/>
          <w:rtl/>
        </w:rPr>
        <w:t>عليه‌السلام</w:t>
      </w:r>
      <w:r w:rsidR="00D10E3C">
        <w:rPr>
          <w:rtl/>
          <w:lang w:bidi="fa-IR"/>
        </w:rPr>
        <w:t xml:space="preserve"> </w:t>
      </w:r>
      <w:r>
        <w:rPr>
          <w:rtl/>
          <w:lang w:bidi="fa-IR"/>
        </w:rPr>
        <w:t xml:space="preserve">يَزُورُهُ </w:t>
      </w:r>
      <w:r w:rsidRPr="00D10E3C">
        <w:rPr>
          <w:rStyle w:val="libFootnotenumChar"/>
          <w:rtl/>
        </w:rPr>
        <w:t>(3)</w:t>
      </w:r>
      <w:r>
        <w:rPr>
          <w:rtl/>
          <w:lang w:bidi="fa-IR"/>
        </w:rPr>
        <w:t xml:space="preserve"> كُلُّ </w:t>
      </w:r>
      <w:r w:rsidRPr="00D10E3C">
        <w:rPr>
          <w:rStyle w:val="libFootnotenumChar"/>
          <w:rtl/>
        </w:rPr>
        <w:t>(4)</w:t>
      </w:r>
      <w:r>
        <w:rPr>
          <w:rtl/>
          <w:lang w:bidi="fa-IR"/>
        </w:rPr>
        <w:t xml:space="preserve"> النَّاسِ </w:t>
      </w:r>
      <w:r w:rsidRPr="00D10E3C">
        <w:rPr>
          <w:rStyle w:val="libFootnotenumChar"/>
          <w:rtl/>
        </w:rPr>
        <w:t>(5)</w:t>
      </w:r>
      <w:r w:rsidR="007964EE">
        <w:rPr>
          <w:rtl/>
          <w:lang w:bidi="fa-IR"/>
        </w:rPr>
        <w:t xml:space="preserve"> ، وَأَبِي لَا يَزُورُهُ إِل</w:t>
      </w:r>
      <w:r w:rsidR="007964EE">
        <w:rPr>
          <w:rFonts w:hint="cs"/>
          <w:rtl/>
          <w:lang w:bidi="fa-IR"/>
        </w:rPr>
        <w:t>َّ</w:t>
      </w:r>
      <w:r w:rsidR="007964EE">
        <w:rPr>
          <w:rtl/>
          <w:lang w:bidi="fa-IR"/>
        </w:rPr>
        <w:t>ا</w:t>
      </w:r>
      <w:r>
        <w:rPr>
          <w:rtl/>
          <w:lang w:bidi="fa-IR"/>
        </w:rPr>
        <w:t xml:space="preserve"> الْخَوَاصُّ مِنَ الشِّيعَةِ ». </w:t>
      </w:r>
      <w:r w:rsidRPr="00D10E3C">
        <w:rPr>
          <w:rStyle w:val="libFootnotenumChar"/>
          <w:rtl/>
        </w:rPr>
        <w:t>(6)</w:t>
      </w:r>
    </w:p>
    <w:p w:rsidR="00144FA6" w:rsidRDefault="00744A1C" w:rsidP="00744A1C">
      <w:pPr>
        <w:pStyle w:val="libNormal"/>
        <w:rPr>
          <w:rtl/>
          <w:lang w:bidi="fa-IR"/>
        </w:rPr>
      </w:pPr>
      <w:r>
        <w:rPr>
          <w:rtl/>
          <w:lang w:bidi="fa-IR"/>
        </w:rPr>
        <w:t>8181 / 2. أَبُو عَلِيٍّ الْأَشْعَرِيُّ ، عَنِ الْحَسَنِ بْنِ عَلِيٍّ الْكُوفِيِّ ، عَنِ الْحُسَيْنِ بْنِ سَيْفٍ ، عَنْ مُحَمَّدِ بْنِ أَسْلَمَ ، عَنْ مُحَمَّدِ بْنِ سُلَيْمَانَ ، قَالَ :</w:t>
      </w:r>
    </w:p>
    <w:p w:rsidR="00144FA6" w:rsidRDefault="00744A1C" w:rsidP="00744A1C">
      <w:pPr>
        <w:pStyle w:val="libNormal"/>
        <w:rPr>
          <w:rtl/>
          <w:lang w:bidi="fa-IR"/>
        </w:rPr>
      </w:pPr>
      <w:r>
        <w:rPr>
          <w:rtl/>
          <w:lang w:bidi="fa-IR"/>
        </w:rPr>
        <w:t xml:space="preserve">سَأَلْتُ أَبَا جَعْفَرٍ </w:t>
      </w:r>
      <w:r w:rsidR="0061079A" w:rsidRPr="0061079A">
        <w:rPr>
          <w:rStyle w:val="libAlaemChar"/>
          <w:rtl/>
        </w:rPr>
        <w:t>عليه‌السلام</w:t>
      </w:r>
      <w:r w:rsidR="00D10E3C">
        <w:rPr>
          <w:rtl/>
          <w:lang w:bidi="fa-IR"/>
        </w:rPr>
        <w:t xml:space="preserve"> </w:t>
      </w:r>
      <w:r>
        <w:rPr>
          <w:rtl/>
          <w:lang w:bidi="fa-IR"/>
        </w:rPr>
        <w:t xml:space="preserve">عَنْ رَجُلٍ حَجَّ حَجَّةَ الْإِسْلَامِ ، فَدَخَلَ مُتَمَتِّعاً بِالْعُمْرَةِ إِلَى الْحَجِّ </w:t>
      </w:r>
      <w:r w:rsidRPr="00D10E3C">
        <w:rPr>
          <w:rStyle w:val="libFootnotenumChar"/>
          <w:rtl/>
        </w:rPr>
        <w:t>(7)</w:t>
      </w:r>
      <w:r>
        <w:rPr>
          <w:rtl/>
          <w:lang w:bidi="fa-IR"/>
        </w:rPr>
        <w:t xml:space="preserve"> ، فَأَعَانَهُ اللهُ عَلى عُمْرَتِهِ وَحَجِّهِ ، ثُمَّ أَتَى الْمَدِينَةَ ، فَسَلَّمَ عَلَى النَّبِيِّ </w:t>
      </w:r>
      <w:r w:rsidR="005E465D" w:rsidRPr="005E465D">
        <w:rPr>
          <w:rStyle w:val="libAlaemChar"/>
          <w:rtl/>
        </w:rPr>
        <w:t>صلى‌الله‌عليه‌وآله</w:t>
      </w:r>
      <w:r w:rsidR="00D10E3C">
        <w:rPr>
          <w:rtl/>
          <w:lang w:bidi="fa-IR"/>
        </w:rPr>
        <w:t xml:space="preserve"> </w:t>
      </w:r>
      <w:r>
        <w:rPr>
          <w:rtl/>
          <w:lang w:bidi="fa-IR"/>
        </w:rPr>
        <w:t xml:space="preserve">، ثُمَّ أَتَاكَ عَارِفاً بِحَقِّكَ ، يَعْلَمُ أَنَّكَ </w:t>
      </w:r>
      <w:r w:rsidRPr="00D10E3C">
        <w:rPr>
          <w:rStyle w:val="libFootnotenumChar"/>
          <w:rtl/>
        </w:rPr>
        <w:t>(8)</w:t>
      </w:r>
      <w:r>
        <w:rPr>
          <w:rtl/>
          <w:lang w:bidi="fa-IR"/>
        </w:rPr>
        <w:t xml:space="preserve"> حُجَّةُ اللهِ عَلى خَلْقِهِ ، وَبَابُهُ الَّذِي يُؤْتى مِنْهُ ، فَسَلَّمَ عَلَيْكَ </w:t>
      </w:r>
      <w:r w:rsidRPr="00D10E3C">
        <w:rPr>
          <w:rStyle w:val="libFootnotenumChar"/>
          <w:rtl/>
        </w:rPr>
        <w:t>(9)</w:t>
      </w:r>
      <w:r>
        <w:rPr>
          <w:rtl/>
          <w:lang w:bidi="fa-IR"/>
        </w:rPr>
        <w:t xml:space="preserve"> ، ثُمَّ أَتى أَبَا عَبْدِ اللهِ الْحُسَيْنَ صَلَوَاتُ اللهِ عَلَيْهِ ، فَسَلَّمَ عَلَيْهِ ، ثُمَّ أَتى بَغْدَادَ ، وَسَلَّمَ </w:t>
      </w:r>
      <w:r w:rsidRPr="00D10E3C">
        <w:rPr>
          <w:rStyle w:val="libFootnotenumChar"/>
          <w:rtl/>
        </w:rPr>
        <w:t>(10)</w:t>
      </w:r>
      <w:r>
        <w:rPr>
          <w:rtl/>
          <w:lang w:bidi="fa-IR"/>
        </w:rPr>
        <w:t xml:space="preserve"> عَلى أَبِي الْحَسَنِ مُوسى </w:t>
      </w:r>
      <w:r w:rsidR="0061079A" w:rsidRPr="0061079A">
        <w:rPr>
          <w:rStyle w:val="libAlaemChar"/>
          <w:rtl/>
        </w:rPr>
        <w:t>عليه‌السلام</w:t>
      </w:r>
      <w:r w:rsidR="00D10E3C">
        <w:rPr>
          <w:rtl/>
          <w:lang w:bidi="fa-IR"/>
        </w:rPr>
        <w:t xml:space="preserve"> </w:t>
      </w:r>
      <w:r>
        <w:rPr>
          <w:rtl/>
          <w:lang w:bidi="fa-IR"/>
        </w:rPr>
        <w:t xml:space="preserve">، ثُمَّ انْصَرَفَ إِلى بِلَادِهِ ، فَلَمَّا كَانَ فِي وَقْتِ الْحَجِّ رَزَقَهُ اللهُ الْحَجَّ </w:t>
      </w:r>
      <w:r w:rsidRPr="00D10E3C">
        <w:rPr>
          <w:rStyle w:val="libFootnotenumChar"/>
          <w:rtl/>
        </w:rPr>
        <w:t>(11)</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 « من » بدل « أم ».</w:t>
      </w:r>
    </w:p>
    <w:p w:rsidR="00744A1C" w:rsidRDefault="00E378DD" w:rsidP="00E378DD">
      <w:pPr>
        <w:pStyle w:val="libFootnote0"/>
        <w:rPr>
          <w:lang w:bidi="fa-IR"/>
        </w:rPr>
      </w:pPr>
      <w:r>
        <w:rPr>
          <w:rtl/>
          <w:lang w:bidi="fa-IR"/>
        </w:rPr>
        <w:t>(2).</w:t>
      </w:r>
      <w:r w:rsidR="00744A1C">
        <w:rPr>
          <w:rtl/>
          <w:lang w:bidi="fa-IR"/>
        </w:rPr>
        <w:t xml:space="preserve"> في </w:t>
      </w:r>
      <w:r w:rsidR="00744A1C" w:rsidRPr="007964EE">
        <w:rPr>
          <w:rtl/>
        </w:rPr>
        <w:t>الفقيه والتهذيب وكامل الزيارات</w:t>
      </w:r>
      <w:r w:rsidR="00744A1C">
        <w:rPr>
          <w:rtl/>
          <w:lang w:bidi="fa-IR"/>
        </w:rPr>
        <w:t xml:space="preserve"> : « قال ».</w:t>
      </w:r>
    </w:p>
    <w:tbl>
      <w:tblPr>
        <w:tblStyle w:val="TableGrid"/>
        <w:bidiVisual/>
        <w:tblW w:w="0" w:type="auto"/>
        <w:tblLook w:val="04A0" w:firstRow="1" w:lastRow="0" w:firstColumn="1" w:lastColumn="0" w:noHBand="0" w:noVBand="1"/>
      </w:tblPr>
      <w:tblGrid>
        <w:gridCol w:w="4006"/>
        <w:gridCol w:w="4006"/>
      </w:tblGrid>
      <w:tr w:rsidR="007964EE" w:rsidTr="007964EE">
        <w:tc>
          <w:tcPr>
            <w:tcW w:w="4006" w:type="dxa"/>
          </w:tcPr>
          <w:p w:rsidR="007964EE" w:rsidRDefault="007964EE" w:rsidP="00E378DD">
            <w:pPr>
              <w:pStyle w:val="libFootnote0"/>
              <w:rPr>
                <w:rtl/>
                <w:lang w:bidi="fa-IR"/>
              </w:rPr>
            </w:pPr>
            <w:r>
              <w:rPr>
                <w:rtl/>
                <w:lang w:bidi="fa-IR"/>
              </w:rPr>
              <w:t>(3). في « بخ ، بف » : « تزوره ».</w:t>
            </w:r>
          </w:p>
        </w:tc>
        <w:tc>
          <w:tcPr>
            <w:tcW w:w="4006" w:type="dxa"/>
          </w:tcPr>
          <w:p w:rsidR="007964EE" w:rsidRDefault="007964EE" w:rsidP="00E378DD">
            <w:pPr>
              <w:pStyle w:val="libFootnote0"/>
              <w:rPr>
                <w:rtl/>
                <w:lang w:bidi="fa-IR"/>
              </w:rPr>
            </w:pPr>
            <w:r>
              <w:rPr>
                <w:rtl/>
                <w:lang w:bidi="fa-IR"/>
              </w:rPr>
              <w:t>(4). في « بخ ، بف ، جد ، جن » : - « كلّ ».</w:t>
            </w:r>
          </w:p>
        </w:tc>
      </w:tr>
    </w:tbl>
    <w:p w:rsidR="00744A1C" w:rsidRDefault="00E378DD" w:rsidP="00E378DD">
      <w:pPr>
        <w:pStyle w:val="libFootnote0"/>
        <w:rPr>
          <w:lang w:bidi="fa-IR"/>
        </w:rPr>
      </w:pPr>
      <w:r>
        <w:rPr>
          <w:rtl/>
          <w:lang w:bidi="fa-IR"/>
        </w:rPr>
        <w:t>(5).</w:t>
      </w:r>
      <w:r w:rsidR="00744A1C">
        <w:rPr>
          <w:rtl/>
          <w:lang w:bidi="fa-IR"/>
        </w:rPr>
        <w:t xml:space="preserve"> في « ى ، بث ، بح ، بس » : « ا</w:t>
      </w:r>
      <w:r w:rsidR="007964EE">
        <w:rPr>
          <w:rFonts w:hint="cs"/>
          <w:rtl/>
          <w:lang w:bidi="fa-IR"/>
        </w:rPr>
        <w:t>ُ</w:t>
      </w:r>
      <w:r w:rsidR="00744A1C">
        <w:rPr>
          <w:rtl/>
          <w:lang w:bidi="fa-IR"/>
        </w:rPr>
        <w:t>ناس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84 ، ح 165 ، معلّقاً عن الكليني ؛ </w:t>
      </w:r>
      <w:r w:rsidR="00744A1C" w:rsidRPr="007B299E">
        <w:rPr>
          <w:rStyle w:val="libFootnoteBoldChar"/>
          <w:rtl/>
        </w:rPr>
        <w:t>كامل الزيارات</w:t>
      </w:r>
      <w:r w:rsidR="00744A1C">
        <w:rPr>
          <w:rtl/>
          <w:lang w:bidi="fa-IR"/>
        </w:rPr>
        <w:t xml:space="preserve"> ، ص 306 ، الباب 101 ، ح 11 ، عن محمّد بن يعقوب وعليّ بن الحسين وغيرهما ، عن عليّ بن إبراهيم. </w:t>
      </w:r>
      <w:r w:rsidR="00744A1C" w:rsidRPr="00C24F9C">
        <w:rPr>
          <w:rStyle w:val="libFootnoteBoldChar"/>
          <w:rtl/>
        </w:rPr>
        <w:t>الفقيه</w:t>
      </w:r>
      <w:r w:rsidR="00744A1C">
        <w:rPr>
          <w:rtl/>
          <w:lang w:bidi="fa-IR"/>
        </w:rPr>
        <w:t xml:space="preserve"> ، ج 2 ، ص 582 ، ح 3181 ، معلّقاً عن عليّ بن مهزيار ؛ </w:t>
      </w:r>
      <w:r w:rsidR="00744A1C" w:rsidRPr="00877682">
        <w:rPr>
          <w:rStyle w:val="libFootnoteBoldChar"/>
          <w:rtl/>
        </w:rPr>
        <w:t>عيون الأخبار</w:t>
      </w:r>
      <w:r w:rsidR="00744A1C">
        <w:rPr>
          <w:rtl/>
          <w:lang w:bidi="fa-IR"/>
        </w:rPr>
        <w:t xml:space="preserve"> ، ج 2 ، ص 261 ، ح 26 ، بسنده عن عليّ بن مهزيار </w:t>
      </w:r>
      <w:r w:rsidR="007964EE">
        <w:rPr>
          <w:rFonts w:hint="cs"/>
          <w:rtl/>
          <w:lang w:bidi="fa-IR"/>
        </w:rPr>
        <w:t>.</w:t>
      </w:r>
      <w:r w:rsidR="00744A1C" w:rsidRPr="00C24F9C">
        <w:rPr>
          <w:rStyle w:val="libFootnoteBoldChar"/>
          <w:rtl/>
        </w:rPr>
        <w:t>الوافي</w:t>
      </w:r>
      <w:r w:rsidR="00744A1C">
        <w:rPr>
          <w:rtl/>
          <w:lang w:bidi="fa-IR"/>
        </w:rPr>
        <w:t xml:space="preserve"> ، ج 14 ، ص 1543 ، ح 14629 ؛ </w:t>
      </w:r>
      <w:r w:rsidR="00744A1C" w:rsidRPr="00C24F9C">
        <w:rPr>
          <w:rStyle w:val="libFootnoteBoldChar"/>
          <w:rtl/>
        </w:rPr>
        <w:t>الوسائل</w:t>
      </w:r>
      <w:r w:rsidR="00744A1C">
        <w:rPr>
          <w:rtl/>
          <w:lang w:bidi="fa-IR"/>
        </w:rPr>
        <w:t xml:space="preserve"> ، ج 14 ، ص 562 ، ح 19829.</w:t>
      </w:r>
    </w:p>
    <w:p w:rsidR="00744A1C" w:rsidRDefault="00E378DD" w:rsidP="00E378DD">
      <w:pPr>
        <w:pStyle w:val="libFootnote0"/>
        <w:rPr>
          <w:lang w:bidi="fa-IR"/>
        </w:rPr>
      </w:pPr>
      <w:r>
        <w:rPr>
          <w:rtl/>
          <w:lang w:bidi="fa-IR"/>
        </w:rPr>
        <w:t>(7).</w:t>
      </w:r>
      <w:r w:rsidR="00744A1C">
        <w:rPr>
          <w:rtl/>
          <w:lang w:bidi="fa-IR"/>
        </w:rPr>
        <w:t xml:space="preserve"> في « ى » : - « إلى الحجّ ».</w:t>
      </w:r>
    </w:p>
    <w:p w:rsidR="00744A1C" w:rsidRDefault="00E378DD" w:rsidP="00E378DD">
      <w:pPr>
        <w:pStyle w:val="libFootnote0"/>
        <w:rPr>
          <w:lang w:bidi="fa-IR"/>
        </w:rPr>
      </w:pPr>
      <w:r>
        <w:rPr>
          <w:rtl/>
          <w:lang w:bidi="fa-IR"/>
        </w:rPr>
        <w:t>(8).</w:t>
      </w:r>
      <w:r w:rsidR="00744A1C">
        <w:rPr>
          <w:rtl/>
          <w:lang w:bidi="fa-IR"/>
        </w:rPr>
        <w:t xml:space="preserve"> في العيون : « أتى أباك أميرالمؤمنين </w:t>
      </w:r>
      <w:r w:rsidR="0061079A" w:rsidRPr="0061079A">
        <w:rPr>
          <w:rStyle w:val="libFootnoteAlaemChar"/>
          <w:rtl/>
        </w:rPr>
        <w:t>عليه‌السلام</w:t>
      </w:r>
      <w:r w:rsidR="00D10E3C">
        <w:rPr>
          <w:rtl/>
          <w:lang w:bidi="fa-IR"/>
        </w:rPr>
        <w:t xml:space="preserve"> </w:t>
      </w:r>
      <w:r w:rsidR="00744A1C">
        <w:rPr>
          <w:rtl/>
          <w:lang w:bidi="fa-IR"/>
        </w:rPr>
        <w:t>عارفاً بحقّه يعلم أنّه » بدل « أتاك عارفاً بحقّك يعلم أنّك ».</w:t>
      </w:r>
    </w:p>
    <w:p w:rsidR="00744A1C" w:rsidRDefault="00E378DD" w:rsidP="00E378DD">
      <w:pPr>
        <w:pStyle w:val="libFootnote0"/>
        <w:rPr>
          <w:lang w:bidi="fa-IR"/>
        </w:rPr>
      </w:pPr>
      <w:r>
        <w:rPr>
          <w:rtl/>
          <w:lang w:bidi="fa-IR"/>
        </w:rPr>
        <w:t>(9).</w:t>
      </w:r>
      <w:r w:rsidR="00744A1C">
        <w:rPr>
          <w:rtl/>
          <w:lang w:bidi="fa-IR"/>
        </w:rPr>
        <w:t xml:space="preserve"> في العيون : « عليه ».</w:t>
      </w:r>
    </w:p>
    <w:p w:rsidR="00744A1C" w:rsidRDefault="00E378DD" w:rsidP="00E378DD">
      <w:pPr>
        <w:pStyle w:val="libFootnote0"/>
        <w:rPr>
          <w:lang w:bidi="fa-IR"/>
        </w:rPr>
      </w:pPr>
      <w:r>
        <w:rPr>
          <w:rtl/>
          <w:lang w:bidi="fa-IR"/>
        </w:rPr>
        <w:t>(10).</w:t>
      </w:r>
      <w:r w:rsidR="00744A1C">
        <w:rPr>
          <w:rtl/>
          <w:lang w:bidi="fa-IR"/>
        </w:rPr>
        <w:t xml:space="preserve"> في « بث ، بخ ، بف ، جد » </w:t>
      </w:r>
      <w:r w:rsidR="00744A1C" w:rsidRPr="007964EE">
        <w:rPr>
          <w:rtl/>
        </w:rPr>
        <w:t>والوافي والوسائل والتهذيب وكامل الزيارات</w:t>
      </w:r>
      <w:r w:rsidR="00744A1C">
        <w:rPr>
          <w:rtl/>
          <w:lang w:bidi="fa-IR"/>
        </w:rPr>
        <w:t xml:space="preserve"> والعيون : « فسلّم ».</w:t>
      </w:r>
    </w:p>
    <w:p w:rsidR="00744A1C" w:rsidRDefault="00E378DD" w:rsidP="00E378DD">
      <w:pPr>
        <w:pStyle w:val="libFootnote0"/>
        <w:rPr>
          <w:lang w:bidi="fa-IR"/>
        </w:rPr>
      </w:pPr>
      <w:r>
        <w:rPr>
          <w:rtl/>
          <w:lang w:bidi="fa-IR"/>
        </w:rPr>
        <w:t>(11).</w:t>
      </w:r>
      <w:r w:rsidR="00744A1C">
        <w:rPr>
          <w:rtl/>
          <w:lang w:bidi="fa-IR"/>
        </w:rPr>
        <w:t xml:space="preserve"> في « بف » : « ما لم يحجّ » بدل « الحجّ ». وفي </w:t>
      </w:r>
      <w:r w:rsidR="00744A1C" w:rsidRPr="007964EE">
        <w:rPr>
          <w:rtl/>
        </w:rPr>
        <w:t>الوافي وكامل الزيارات والعيون والتهذيب : «</w:t>
      </w:r>
      <w:r w:rsidR="00744A1C">
        <w:rPr>
          <w:rtl/>
          <w:lang w:bidi="fa-IR"/>
        </w:rPr>
        <w:t xml:space="preserve"> ما يحجّ به » بدل « الحجّ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فَأَيُّهُمَا أَفْضَلُ : هذَا </w:t>
      </w:r>
      <w:r w:rsidRPr="00D10E3C">
        <w:rPr>
          <w:rStyle w:val="libFootnotenumChar"/>
          <w:rtl/>
        </w:rPr>
        <w:t>(1)</w:t>
      </w:r>
      <w:r>
        <w:rPr>
          <w:rtl/>
          <w:lang w:bidi="fa-IR"/>
        </w:rPr>
        <w:t xml:space="preserve"> الَّذِي قَدْ حَجَّ حَجَّةَ الْإِسْلَامِ يَرْجِعُ </w:t>
      </w:r>
      <w:r w:rsidRPr="00D10E3C">
        <w:rPr>
          <w:rStyle w:val="libFootnotenumChar"/>
          <w:rtl/>
        </w:rPr>
        <w:t>(2)</w:t>
      </w:r>
      <w:r>
        <w:rPr>
          <w:rtl/>
          <w:lang w:bidi="fa-IR"/>
        </w:rPr>
        <w:t xml:space="preserve"> أَيْضاً فَيَحُجُّ ، أَوْ يَخْرُجُ إِلى خُرَاسَانَ إِلى أَبِيكَ عَلِيِّ بْنِ مُوسى ، فَيُسَلِّمُ عَلَيْهِ؟</w:t>
      </w:r>
    </w:p>
    <w:p w:rsidR="00144FA6" w:rsidRDefault="00744A1C" w:rsidP="00744A1C">
      <w:pPr>
        <w:pStyle w:val="libNormal"/>
        <w:rPr>
          <w:rtl/>
          <w:lang w:bidi="fa-IR"/>
        </w:rPr>
      </w:pPr>
      <w:r>
        <w:rPr>
          <w:rtl/>
          <w:lang w:bidi="fa-IR"/>
        </w:rPr>
        <w:t xml:space="preserve">قَالَ </w:t>
      </w:r>
      <w:r w:rsidRPr="00D10E3C">
        <w:rPr>
          <w:rStyle w:val="libFootnotenumChar"/>
          <w:rtl/>
        </w:rPr>
        <w:t>(3)</w:t>
      </w:r>
      <w:r>
        <w:rPr>
          <w:rtl/>
          <w:lang w:bidi="fa-IR"/>
        </w:rPr>
        <w:t xml:space="preserve"> : « يَأْتِي خُرَاسَانَ ، فَيُسَلِّمُ عَلى أَبِي الْحَسَنِ </w:t>
      </w:r>
      <w:r w:rsidR="0061079A" w:rsidRPr="0061079A">
        <w:rPr>
          <w:rStyle w:val="libAlaemChar"/>
          <w:rtl/>
        </w:rPr>
        <w:t>عليه‌السلام</w:t>
      </w:r>
      <w:r w:rsidR="00D10E3C">
        <w:rPr>
          <w:rtl/>
          <w:lang w:bidi="fa-IR"/>
        </w:rPr>
        <w:t xml:space="preserve"> </w:t>
      </w:r>
      <w:r>
        <w:rPr>
          <w:rtl/>
          <w:lang w:bidi="fa-IR"/>
        </w:rPr>
        <w:t xml:space="preserve">أَفْضَلُ ، وَلْيَكُنْ ذلِكَ فِي رَجَبٍ ، وَلَايَنْبَغِي </w:t>
      </w:r>
      <w:r w:rsidRPr="00D10E3C">
        <w:rPr>
          <w:rStyle w:val="libFootnotenumChar"/>
          <w:rtl/>
        </w:rPr>
        <w:t>(4)</w:t>
      </w:r>
      <w:r>
        <w:rPr>
          <w:rtl/>
          <w:lang w:bidi="fa-IR"/>
        </w:rPr>
        <w:t xml:space="preserve"> أَنْ تَفْعَلُوا </w:t>
      </w:r>
      <w:r w:rsidRPr="00D10E3C">
        <w:rPr>
          <w:rStyle w:val="libFootnotenumChar"/>
          <w:rtl/>
        </w:rPr>
        <w:t>(5)</w:t>
      </w:r>
      <w:r>
        <w:rPr>
          <w:rtl/>
          <w:lang w:bidi="fa-IR"/>
        </w:rPr>
        <w:t xml:space="preserve"> هذَا الْيَوْمَ ؛ فَإِنَّ عَلَيْنَا وَعَلَيْكُمْ </w:t>
      </w:r>
      <w:r w:rsidRPr="00D10E3C">
        <w:rPr>
          <w:rStyle w:val="libFootnotenumChar"/>
          <w:rtl/>
        </w:rPr>
        <w:t>(6)</w:t>
      </w:r>
      <w:r>
        <w:rPr>
          <w:rtl/>
          <w:lang w:bidi="fa-IR"/>
        </w:rPr>
        <w:t xml:space="preserve"> مِنَ السُّلْطَانِ شُنْعَةً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 xml:space="preserve">8182 / 3. مُحَمَّدُ بْنُ يَحْيى ، عَنْ عَلِيِّ بْنِ إِبْرَاهِيمَ الْجَعْفَرِيِّ </w:t>
      </w:r>
      <w:r w:rsidRPr="00D10E3C">
        <w:rPr>
          <w:rStyle w:val="libFootnotenumChar"/>
          <w:rtl/>
        </w:rPr>
        <w:t>(9)</w:t>
      </w:r>
      <w:r>
        <w:rPr>
          <w:rtl/>
          <w:lang w:bidi="fa-IR"/>
        </w:rPr>
        <w:t xml:space="preserve"> ، عَنْ حَمْدَانَ بْنِ إِسْحَاقَ ، قَالَ :</w:t>
      </w:r>
    </w:p>
    <w:p w:rsidR="00744A1C" w:rsidRDefault="00744A1C" w:rsidP="00744A1C">
      <w:pPr>
        <w:pStyle w:val="libNormal"/>
        <w:rPr>
          <w:lang w:bidi="fa-IR"/>
        </w:rPr>
      </w:pPr>
      <w:r>
        <w:rPr>
          <w:rtl/>
          <w:lang w:bidi="fa-IR"/>
        </w:rPr>
        <w:t xml:space="preserve">سَمِعْتُ أَبَا جَعْفَرٍ </w:t>
      </w:r>
      <w:r w:rsidR="0061079A" w:rsidRPr="0061079A">
        <w:rPr>
          <w:rStyle w:val="libAlaemChar"/>
          <w:rtl/>
        </w:rPr>
        <w:t>عليه‌السلام</w:t>
      </w:r>
      <w:r w:rsidR="00D10E3C">
        <w:rPr>
          <w:rtl/>
          <w:lang w:bidi="fa-IR"/>
        </w:rPr>
        <w:t xml:space="preserve"> </w:t>
      </w:r>
      <w:r w:rsidRPr="00D10E3C">
        <w:rPr>
          <w:rStyle w:val="libFootnotenumChar"/>
          <w:rtl/>
        </w:rPr>
        <w:t>(10)</w:t>
      </w:r>
      <w:r>
        <w:rPr>
          <w:rtl/>
          <w:lang w:bidi="fa-IR"/>
        </w:rPr>
        <w:t xml:space="preserve"> ، أَوْ حُكِيَ لِي عَنْ رَجُلٍ ، عَنْ أَبِي جَعْفَرٍ </w:t>
      </w:r>
      <w:r w:rsidR="0061079A" w:rsidRPr="0061079A">
        <w:rPr>
          <w:rStyle w:val="libAlaemChar"/>
          <w:rtl/>
        </w:rPr>
        <w:t>عليه‌السلام</w:t>
      </w:r>
      <w:r w:rsidR="00D10E3C">
        <w:rPr>
          <w:rtl/>
          <w:lang w:bidi="fa-IR"/>
        </w:rPr>
        <w:t xml:space="preserve"> </w:t>
      </w:r>
      <w:r>
        <w:rPr>
          <w:rtl/>
          <w:lang w:bidi="fa-IR"/>
        </w:rPr>
        <w:t>- الشَّكُّ مِنْ عَلِيِّ</w:t>
      </w:r>
      <w:r w:rsidR="007964EE">
        <w:rPr>
          <w:rFonts w:hint="cs"/>
          <w:rtl/>
          <w:lang w:bidi="fa-IR"/>
        </w:rPr>
        <w:t xml:space="preserve"> </w:t>
      </w:r>
      <w:r>
        <w:rPr>
          <w:rtl/>
          <w:lang w:bidi="fa-IR"/>
        </w:rPr>
        <w:t>‌بْنِ‌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 « أهذا ». وفي </w:t>
      </w:r>
      <w:r w:rsidR="00744A1C" w:rsidRPr="007964EE">
        <w:rPr>
          <w:rtl/>
        </w:rPr>
        <w:t>التهذيب وكامل الزيارات</w:t>
      </w:r>
      <w:r w:rsidR="00744A1C">
        <w:rPr>
          <w:rtl/>
          <w:lang w:bidi="fa-IR"/>
        </w:rPr>
        <w:t xml:space="preserve"> : « لهذا ».</w:t>
      </w:r>
    </w:p>
    <w:p w:rsidR="00744A1C" w:rsidRDefault="00E378DD" w:rsidP="00E378DD">
      <w:pPr>
        <w:pStyle w:val="libFootnote0"/>
        <w:rPr>
          <w:lang w:bidi="fa-IR"/>
        </w:rPr>
      </w:pPr>
      <w:r>
        <w:rPr>
          <w:rtl/>
          <w:lang w:bidi="fa-IR"/>
        </w:rPr>
        <w:t>(2).</w:t>
      </w:r>
      <w:r w:rsidR="00744A1C">
        <w:rPr>
          <w:rtl/>
          <w:lang w:bidi="fa-IR"/>
        </w:rPr>
        <w:t xml:space="preserve"> في « بس » : « أيرجع ».</w:t>
      </w:r>
    </w:p>
    <w:p w:rsidR="00744A1C" w:rsidRDefault="00E378DD" w:rsidP="00E378DD">
      <w:pPr>
        <w:pStyle w:val="libFootnote0"/>
        <w:rPr>
          <w:lang w:bidi="fa-IR"/>
        </w:rPr>
      </w:pPr>
      <w:r>
        <w:rPr>
          <w:rtl/>
          <w:lang w:bidi="fa-IR"/>
        </w:rPr>
        <w:t>(3).</w:t>
      </w:r>
      <w:r w:rsidR="00744A1C">
        <w:rPr>
          <w:rtl/>
          <w:lang w:bidi="fa-IR"/>
        </w:rPr>
        <w:t xml:space="preserve"> هكذا في جميع النسخ التي قوبلت </w:t>
      </w:r>
      <w:r w:rsidR="00744A1C" w:rsidRPr="007964EE">
        <w:rPr>
          <w:rtl/>
        </w:rPr>
        <w:t>والوافي والوسائل والتهذيب</w:t>
      </w:r>
      <w:r w:rsidR="00744A1C">
        <w:rPr>
          <w:rtl/>
          <w:lang w:bidi="fa-IR"/>
        </w:rPr>
        <w:t xml:space="preserve"> </w:t>
      </w:r>
      <w:r w:rsidR="00744A1C" w:rsidRPr="007964EE">
        <w:rPr>
          <w:rtl/>
        </w:rPr>
        <w:t>وكامل الزيارات</w:t>
      </w:r>
      <w:r w:rsidR="00744A1C">
        <w:rPr>
          <w:rtl/>
          <w:lang w:bidi="fa-IR"/>
        </w:rPr>
        <w:t>. وفي المطبوع : + « [ لا ] بل ».</w:t>
      </w:r>
    </w:p>
    <w:p w:rsidR="00744A1C" w:rsidRDefault="00E378DD" w:rsidP="00E378DD">
      <w:pPr>
        <w:pStyle w:val="libFootnote0"/>
        <w:rPr>
          <w:lang w:bidi="fa-IR"/>
        </w:rPr>
      </w:pPr>
      <w:r>
        <w:rPr>
          <w:rtl/>
          <w:lang w:bidi="fa-IR"/>
        </w:rPr>
        <w:t>(4).</w:t>
      </w:r>
      <w:r w:rsidR="00744A1C">
        <w:rPr>
          <w:rtl/>
          <w:lang w:bidi="fa-IR"/>
        </w:rPr>
        <w:t xml:space="preserve"> في </w:t>
      </w:r>
      <w:r w:rsidR="00744A1C" w:rsidRPr="007B299E">
        <w:rPr>
          <w:rStyle w:val="libFootnoteBoldChar"/>
          <w:rtl/>
        </w:rPr>
        <w:t>كامل الزيارات</w:t>
      </w:r>
      <w:r w:rsidR="00744A1C">
        <w:rPr>
          <w:rtl/>
          <w:lang w:bidi="fa-IR"/>
        </w:rPr>
        <w:t xml:space="preserve"> : « لكن ينبغي » بدل « لاينبغي ».</w:t>
      </w:r>
    </w:p>
    <w:p w:rsidR="00744A1C" w:rsidRDefault="00E378DD" w:rsidP="007964EE">
      <w:pPr>
        <w:pStyle w:val="libFootnote0"/>
        <w:rPr>
          <w:lang w:bidi="fa-IR"/>
        </w:rPr>
      </w:pPr>
      <w:r>
        <w:rPr>
          <w:rtl/>
          <w:lang w:bidi="fa-IR"/>
        </w:rPr>
        <w:t>(5).</w:t>
      </w:r>
      <w:r w:rsidR="00744A1C">
        <w:rPr>
          <w:rtl/>
          <w:lang w:bidi="fa-IR"/>
        </w:rPr>
        <w:t xml:space="preserve"> هكذا في جميع النسخ التي قوبلت </w:t>
      </w:r>
      <w:r w:rsidR="00744A1C" w:rsidRPr="007964EE">
        <w:rPr>
          <w:rtl/>
        </w:rPr>
        <w:t>والوافي والوسائل والتهذيب وكامل الزيارات</w:t>
      </w:r>
      <w:r w:rsidR="00744A1C">
        <w:rPr>
          <w:rtl/>
          <w:lang w:bidi="fa-IR"/>
        </w:rPr>
        <w:t xml:space="preserve"> والعيون. وفي المطبوع : + « [ في ] ». وفي « بخ ، بف » : « أن يفعلوا ».</w:t>
      </w:r>
      <w:r w:rsidR="007964EE">
        <w:rPr>
          <w:rFonts w:hint="cs"/>
          <w:rtl/>
          <w:lang w:bidi="fa-IR"/>
        </w:rPr>
        <w:t xml:space="preserve">     </w:t>
      </w:r>
      <w:r>
        <w:rPr>
          <w:rtl/>
          <w:lang w:bidi="fa-IR"/>
        </w:rPr>
        <w:t>(6).</w:t>
      </w:r>
      <w:r w:rsidR="00744A1C">
        <w:rPr>
          <w:rtl/>
          <w:lang w:bidi="fa-IR"/>
        </w:rPr>
        <w:t xml:space="preserve"> في </w:t>
      </w:r>
      <w:r w:rsidR="00744A1C" w:rsidRPr="007964EE">
        <w:rPr>
          <w:rtl/>
        </w:rPr>
        <w:t>كامل الزيارات</w:t>
      </w:r>
      <w:r w:rsidR="00744A1C">
        <w:rPr>
          <w:rtl/>
          <w:lang w:bidi="fa-IR"/>
        </w:rPr>
        <w:t xml:space="preserve"> : + « خوفاً ».</w:t>
      </w:r>
    </w:p>
    <w:p w:rsidR="00744A1C" w:rsidRDefault="00E378DD" w:rsidP="00E378DD">
      <w:pPr>
        <w:pStyle w:val="libFootnote0"/>
        <w:rPr>
          <w:lang w:bidi="fa-IR"/>
        </w:rPr>
      </w:pPr>
      <w:r>
        <w:rPr>
          <w:rtl/>
          <w:lang w:bidi="fa-IR"/>
        </w:rPr>
        <w:t>(7).</w:t>
      </w:r>
      <w:r w:rsidR="00744A1C">
        <w:rPr>
          <w:rtl/>
          <w:lang w:bidi="fa-IR"/>
        </w:rPr>
        <w:t xml:space="preserve"> شَنعَ الأَمرُ أو الشى‌ءُ شَناعَةً وشُنْعاً وشُنُوعاً : قَبُحَ ، فهو شَنيعٌ. والاسم : الشُنْعَةُ. </w:t>
      </w:r>
      <w:r w:rsidR="00744A1C" w:rsidRPr="00877682">
        <w:rPr>
          <w:rStyle w:val="libFootnoteBoldChar"/>
          <w:rtl/>
        </w:rPr>
        <w:t>لسان العرب</w:t>
      </w:r>
      <w:r w:rsidR="00744A1C">
        <w:rPr>
          <w:rtl/>
          <w:lang w:bidi="fa-IR"/>
        </w:rPr>
        <w:t xml:space="preserve"> ، ج 8 ، ص 186 ( شنع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84 ، ح 166 ، معلّقاً عن الكليني. </w:t>
      </w:r>
      <w:r w:rsidR="00744A1C" w:rsidRPr="007B299E">
        <w:rPr>
          <w:rStyle w:val="libFootnoteBoldChar"/>
          <w:rtl/>
        </w:rPr>
        <w:t>كامل الزيارات</w:t>
      </w:r>
      <w:r w:rsidR="00744A1C">
        <w:rPr>
          <w:rtl/>
          <w:lang w:bidi="fa-IR"/>
        </w:rPr>
        <w:t xml:space="preserve"> ، ص 305 ، الباب 101 ، ح 7 ، بسنده عن الحسن بن عليّ بن عبدالله بن المغيرة ، عن الحسين بن سيف بن عميرة ، عن محمّد بن أسلم الجبلي ، عن محمّد بن سليمان. </w:t>
      </w:r>
      <w:r w:rsidR="00744A1C" w:rsidRPr="00877682">
        <w:rPr>
          <w:rStyle w:val="libFootnoteBoldChar"/>
          <w:rtl/>
        </w:rPr>
        <w:t>عيون الأخبار</w:t>
      </w:r>
      <w:r w:rsidR="00744A1C">
        <w:rPr>
          <w:rtl/>
          <w:lang w:bidi="fa-IR"/>
        </w:rPr>
        <w:t xml:space="preserve"> ، ج 2 ، ص 258 ، ح 15 ، سنده عن الحسين بن سيف </w:t>
      </w:r>
      <w:r w:rsidR="00E843EA">
        <w:rPr>
          <w:rFonts w:hint="cs"/>
          <w:rtl/>
          <w:lang w:bidi="fa-IR"/>
        </w:rPr>
        <w:t>.</w:t>
      </w:r>
      <w:r w:rsidR="00744A1C" w:rsidRPr="00C24F9C">
        <w:rPr>
          <w:rStyle w:val="libFootnoteBoldChar"/>
          <w:rtl/>
        </w:rPr>
        <w:t>الوافي</w:t>
      </w:r>
      <w:r w:rsidR="00744A1C">
        <w:rPr>
          <w:rtl/>
          <w:lang w:bidi="fa-IR"/>
        </w:rPr>
        <w:t xml:space="preserve"> ، ج 14 ، ص 1543 ، ح 14630 ؛ </w:t>
      </w:r>
      <w:r w:rsidR="00744A1C" w:rsidRPr="00C24F9C">
        <w:rPr>
          <w:rStyle w:val="libFootnoteBoldChar"/>
          <w:rtl/>
        </w:rPr>
        <w:t>الوسائل</w:t>
      </w:r>
      <w:r w:rsidR="00744A1C">
        <w:rPr>
          <w:rtl/>
          <w:lang w:bidi="fa-IR"/>
        </w:rPr>
        <w:t xml:space="preserve"> ، ج 14 ، ص 565 ، ح 19834.</w:t>
      </w:r>
    </w:p>
    <w:p w:rsidR="00744A1C" w:rsidRDefault="00E378DD" w:rsidP="00E378DD">
      <w:pPr>
        <w:pStyle w:val="libFootnote0"/>
        <w:rPr>
          <w:lang w:bidi="fa-IR"/>
        </w:rPr>
      </w:pPr>
      <w:r>
        <w:rPr>
          <w:rtl/>
          <w:lang w:bidi="fa-IR"/>
        </w:rPr>
        <w:t>(9).</w:t>
      </w:r>
      <w:r w:rsidR="00744A1C">
        <w:rPr>
          <w:rtl/>
          <w:lang w:bidi="fa-IR"/>
        </w:rPr>
        <w:t xml:space="preserve"> ورد الخبر في </w:t>
      </w:r>
      <w:r w:rsidR="00744A1C" w:rsidRPr="007B299E">
        <w:rPr>
          <w:rStyle w:val="libFootnoteBoldChar"/>
          <w:rtl/>
        </w:rPr>
        <w:t>كامل الزيارات</w:t>
      </w:r>
      <w:r w:rsidR="00744A1C">
        <w:rPr>
          <w:rtl/>
          <w:lang w:bidi="fa-IR"/>
        </w:rPr>
        <w:t xml:space="preserve"> ، ص 305 ، ح 6 هكذا : « حدّثني أبي ومحمّد بن يعقوب ، عن عليّ بن إبراهيم ، عن حمدان بن إسحاق ... ». والظاهر وقوع السقط بين محمّد بن يعقوب وعليّ بن إبراهيم في سند </w:t>
      </w:r>
      <w:r w:rsidR="00744A1C" w:rsidRPr="007B299E">
        <w:rPr>
          <w:rStyle w:val="libFootnoteBoldChar"/>
          <w:rtl/>
        </w:rPr>
        <w:t>كامل الزيارات</w:t>
      </w:r>
      <w:r w:rsidR="00744A1C">
        <w:rPr>
          <w:rtl/>
          <w:lang w:bidi="fa-IR"/>
        </w:rPr>
        <w:t xml:space="preserve"> ؛ فإنّ عليّ بن إبراهيم الراوي عن حمدان بن إسحاق هو الجعفري ، وليس هو عليّ بن إبراهيم بن هاشم شيخ الكليني </w:t>
      </w:r>
      <w:r w:rsidR="00E843EA" w:rsidRPr="00E843EA">
        <w:rPr>
          <w:rStyle w:val="libFootnoteAlaemChar"/>
          <w:rtl/>
        </w:rPr>
        <w:t>قدس‌سره</w:t>
      </w:r>
      <w:r w:rsidR="00744A1C">
        <w:rPr>
          <w:rtl/>
          <w:lang w:bidi="fa-IR"/>
        </w:rPr>
        <w:t xml:space="preserve"> ؛ فقد روى محمّد بن يحيى ، عن عليّ بن إبراهيم الجعفري ، عن حمدان بن إسحاق في </w:t>
      </w:r>
      <w:r w:rsidR="00744A1C" w:rsidRPr="0061079A">
        <w:rPr>
          <w:rStyle w:val="libFootnoteBoldChar"/>
          <w:rtl/>
        </w:rPr>
        <w:t>الكافي</w:t>
      </w:r>
      <w:r w:rsidR="00744A1C">
        <w:rPr>
          <w:rtl/>
          <w:lang w:bidi="fa-IR"/>
        </w:rPr>
        <w:t xml:space="preserve"> ، ح 10633.</w:t>
      </w:r>
    </w:p>
    <w:p w:rsidR="00744A1C" w:rsidRDefault="00744A1C" w:rsidP="00D10E3C">
      <w:pPr>
        <w:pStyle w:val="libFootnote0"/>
        <w:rPr>
          <w:lang w:bidi="fa-IR"/>
        </w:rPr>
      </w:pPr>
      <w:r>
        <w:rPr>
          <w:rtl/>
          <w:lang w:bidi="fa-IR"/>
        </w:rPr>
        <w:t xml:space="preserve">ويؤكّد ذلك ما ورد في </w:t>
      </w:r>
      <w:r w:rsidRPr="007B299E">
        <w:rPr>
          <w:rStyle w:val="libFootnoteBoldChar"/>
          <w:rtl/>
        </w:rPr>
        <w:t>كامل الزيارات</w:t>
      </w:r>
      <w:r>
        <w:rPr>
          <w:rtl/>
          <w:lang w:bidi="fa-IR"/>
        </w:rPr>
        <w:t xml:space="preserve"> ، ص 304 ، ح 3 ، من رواية ابن قولويه ، عن أبيه ، عن سعد بن عبدالله ، عن عليّ بن إبراهيم الجعفري ، عن حمدان الدسواري.</w:t>
      </w:r>
    </w:p>
    <w:p w:rsidR="00744A1C" w:rsidRDefault="00E378DD" w:rsidP="00E378DD">
      <w:pPr>
        <w:pStyle w:val="libFootnote0"/>
        <w:rPr>
          <w:lang w:bidi="fa-IR"/>
        </w:rPr>
      </w:pPr>
      <w:r>
        <w:rPr>
          <w:rtl/>
          <w:lang w:bidi="fa-IR"/>
        </w:rPr>
        <w:t>(10).</w:t>
      </w:r>
      <w:r w:rsidR="00744A1C">
        <w:rPr>
          <w:rtl/>
          <w:lang w:bidi="fa-IR"/>
        </w:rPr>
        <w:t xml:space="preserve"> في </w:t>
      </w:r>
      <w:r w:rsidR="00744A1C" w:rsidRPr="00E843EA">
        <w:rPr>
          <w:rtl/>
        </w:rPr>
        <w:t>الوسائل</w:t>
      </w:r>
      <w:r w:rsidR="00744A1C">
        <w:rPr>
          <w:rtl/>
          <w:lang w:bidi="fa-IR"/>
        </w:rPr>
        <w:t xml:space="preserve"> : + « يقول ».</w:t>
      </w:r>
    </w:p>
    <w:p w:rsidR="00150943" w:rsidRDefault="00150943" w:rsidP="00D10E3C">
      <w:pPr>
        <w:pStyle w:val="libNormal"/>
        <w:rPr>
          <w:rtl/>
          <w:lang w:bidi="fa-IR"/>
        </w:rPr>
      </w:pPr>
      <w:r>
        <w:rPr>
          <w:rtl/>
          <w:lang w:bidi="fa-IR"/>
        </w:rPr>
        <w:br w:type="page"/>
      </w:r>
    </w:p>
    <w:p w:rsidR="00744A1C" w:rsidRDefault="00744A1C" w:rsidP="00E843EA">
      <w:pPr>
        <w:pStyle w:val="libNormal0"/>
        <w:rPr>
          <w:lang w:bidi="fa-IR"/>
        </w:rPr>
      </w:pPr>
      <w:r>
        <w:rPr>
          <w:rtl/>
          <w:lang w:bidi="fa-IR"/>
        </w:rPr>
        <w:lastRenderedPageBreak/>
        <w:t xml:space="preserve">إِبْرَاهِيمَ - قَالَ : قَالَ أَبُو جَعْفَرٍ </w:t>
      </w:r>
      <w:r w:rsidR="0061079A" w:rsidRPr="0061079A">
        <w:rPr>
          <w:rStyle w:val="libAlaemChar"/>
          <w:rtl/>
        </w:rPr>
        <w:t>عليه‌السلام</w:t>
      </w:r>
      <w:r w:rsidR="00D10E3C">
        <w:rPr>
          <w:rtl/>
          <w:lang w:bidi="fa-IR"/>
        </w:rPr>
        <w:t xml:space="preserve"> </w:t>
      </w:r>
      <w:r>
        <w:rPr>
          <w:rtl/>
          <w:lang w:bidi="fa-IR"/>
        </w:rPr>
        <w:t xml:space="preserve">: « مَنْ زَارَ قَبْرَ أَبِي بِطُوسَ ، غَفَرَ اللهُ لَهُ </w:t>
      </w:r>
      <w:r w:rsidRPr="00D10E3C">
        <w:rPr>
          <w:rStyle w:val="libFootnotenumChar"/>
          <w:rtl/>
        </w:rPr>
        <w:t>(1)</w:t>
      </w:r>
      <w:r>
        <w:rPr>
          <w:rtl/>
          <w:lang w:bidi="fa-IR"/>
        </w:rPr>
        <w:t xml:space="preserve"> مَا تَقَدَّمَ مِنْ ذَنْبِهِ وَمَا تَأَخَّرَ ».</w:t>
      </w:r>
    </w:p>
    <w:p w:rsidR="00144FA6" w:rsidRDefault="00744A1C" w:rsidP="00744A1C">
      <w:pPr>
        <w:pStyle w:val="libNormal"/>
        <w:rPr>
          <w:rtl/>
          <w:lang w:bidi="fa-IR"/>
        </w:rPr>
      </w:pPr>
      <w:r>
        <w:rPr>
          <w:rtl/>
          <w:lang w:bidi="fa-IR"/>
        </w:rPr>
        <w:t xml:space="preserve">قَالَ : فَحَجَجْتُ بَعْدَ الزِّيَارَةِ </w:t>
      </w:r>
      <w:r w:rsidRPr="00D10E3C">
        <w:rPr>
          <w:rStyle w:val="libFootnotenumChar"/>
          <w:rtl/>
        </w:rPr>
        <w:t>(2)</w:t>
      </w:r>
      <w:r>
        <w:rPr>
          <w:rtl/>
          <w:lang w:bidi="fa-IR"/>
        </w:rPr>
        <w:t xml:space="preserve"> ، فَلَقِيتُ أَيُّوبَ بْنَ نُوحٍ ، فَقَالَ لِي : قَالَ </w:t>
      </w:r>
      <w:r w:rsidRPr="00D10E3C">
        <w:rPr>
          <w:rStyle w:val="libFootnotenumChar"/>
          <w:rtl/>
        </w:rPr>
        <w:t>(3)</w:t>
      </w:r>
      <w:r>
        <w:rPr>
          <w:rtl/>
          <w:lang w:bidi="fa-IR"/>
        </w:rPr>
        <w:t xml:space="preserve"> أَبُو جَعْفَرٍ الثَّانِي </w:t>
      </w:r>
      <w:r w:rsidRPr="00D10E3C">
        <w:rPr>
          <w:rStyle w:val="libFootnotenumChar"/>
          <w:rtl/>
        </w:rPr>
        <w:t>(4)</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 مَنْ زَارَ قَبْرَ أَبِي بِطُوسَ ، غَفَرَ اللهُ لَهُ مَا تَقَدَّمَ مِنْ ذَنْبِهِ وَمَا تَأَخَّرَ ، وَبَنَى اللهُ </w:t>
      </w:r>
      <w:r w:rsidRPr="00D10E3C">
        <w:rPr>
          <w:rStyle w:val="libFootnotenumChar"/>
          <w:rtl/>
        </w:rPr>
        <w:t>(5)</w:t>
      </w:r>
      <w:r>
        <w:rPr>
          <w:rtl/>
          <w:lang w:bidi="fa-IR"/>
        </w:rPr>
        <w:t xml:space="preserve"> لَهُ مِنْبَراً </w:t>
      </w:r>
      <w:r w:rsidRPr="00D10E3C">
        <w:rPr>
          <w:rStyle w:val="libFootnotenumChar"/>
          <w:rtl/>
        </w:rPr>
        <w:t>(6)</w:t>
      </w:r>
      <w:r>
        <w:rPr>
          <w:rtl/>
          <w:lang w:bidi="fa-IR"/>
        </w:rPr>
        <w:t xml:space="preserve"> حِذَاءَ </w:t>
      </w:r>
      <w:r w:rsidRPr="00D10E3C">
        <w:rPr>
          <w:rStyle w:val="libFootnotenumChar"/>
          <w:rtl/>
        </w:rPr>
        <w:t>(7)</w:t>
      </w:r>
      <w:r>
        <w:rPr>
          <w:rtl/>
          <w:lang w:bidi="fa-IR"/>
        </w:rPr>
        <w:t xml:space="preserve"> مِنْبَرِ مُحَمَّدٍ </w:t>
      </w:r>
      <w:r w:rsidRPr="00D10E3C">
        <w:rPr>
          <w:rStyle w:val="libFootnotenumChar"/>
          <w:rtl/>
        </w:rPr>
        <w:t>(8)</w:t>
      </w:r>
      <w:r>
        <w:rPr>
          <w:rtl/>
          <w:lang w:bidi="fa-IR"/>
        </w:rPr>
        <w:t xml:space="preserve"> وَعَلِيٍّ </w:t>
      </w:r>
      <w:r w:rsidR="008859AA" w:rsidRPr="008859AA">
        <w:rPr>
          <w:rStyle w:val="libAlaemChar"/>
          <w:rtl/>
        </w:rPr>
        <w:t>عليهما‌السلام</w:t>
      </w:r>
      <w:r>
        <w:rPr>
          <w:rtl/>
          <w:lang w:bidi="fa-IR"/>
        </w:rPr>
        <w:t xml:space="preserve">حَتّى يَفْرُغَ اللهُ مِنْ حِسَابِ الْخَلَائِقِ » فَرَأَيْتُهُ </w:t>
      </w:r>
      <w:r w:rsidRPr="00D10E3C">
        <w:rPr>
          <w:rStyle w:val="libFootnotenumChar"/>
          <w:rtl/>
        </w:rPr>
        <w:t>(9)</w:t>
      </w:r>
      <w:r>
        <w:rPr>
          <w:rtl/>
          <w:lang w:bidi="fa-IR"/>
        </w:rPr>
        <w:t xml:space="preserve"> وَقَدْ زَارَ ، فَقَالَ </w:t>
      </w:r>
      <w:r w:rsidRPr="00D10E3C">
        <w:rPr>
          <w:rStyle w:val="libFootnotenumChar"/>
          <w:rtl/>
        </w:rPr>
        <w:t>(10)</w:t>
      </w:r>
      <w:r>
        <w:rPr>
          <w:rtl/>
          <w:lang w:bidi="fa-IR"/>
        </w:rPr>
        <w:t xml:space="preserve"> : جِئْتُ أَطْلُبُ </w:t>
      </w:r>
      <w:r w:rsidRPr="00D10E3C">
        <w:rPr>
          <w:rStyle w:val="libFootnotenumChar"/>
          <w:rtl/>
        </w:rPr>
        <w:t>(11)</w:t>
      </w:r>
      <w:r>
        <w:rPr>
          <w:rtl/>
          <w:lang w:bidi="fa-IR"/>
        </w:rPr>
        <w:t xml:space="preserve"> الْمِنْبَرَ. </w:t>
      </w:r>
      <w:r w:rsidRPr="00D10E3C">
        <w:rPr>
          <w:rStyle w:val="libFootnotenumChar"/>
          <w:rtl/>
        </w:rPr>
        <w:t>(12)</w:t>
      </w:r>
    </w:p>
    <w:p w:rsidR="00744A1C" w:rsidRDefault="00744A1C" w:rsidP="00744A1C">
      <w:pPr>
        <w:pStyle w:val="libNormal"/>
        <w:rPr>
          <w:lang w:bidi="fa-IR"/>
        </w:rPr>
      </w:pPr>
      <w:r>
        <w:rPr>
          <w:rtl/>
          <w:lang w:bidi="fa-IR"/>
        </w:rPr>
        <w:t xml:space="preserve">8183 / 4. مُحَمَّدُ بْنُ يَحْيى ، عَنْ عَلِيِّ بْنِ الْحُسَيْنِ النَّيْسَابُورِيِّ </w:t>
      </w:r>
      <w:r w:rsidRPr="00D10E3C">
        <w:rPr>
          <w:rStyle w:val="libFootnotenumChar"/>
          <w:rtl/>
        </w:rPr>
        <w:t>(13)</w:t>
      </w:r>
      <w:r>
        <w:rPr>
          <w:rtl/>
          <w:lang w:bidi="fa-IR"/>
        </w:rPr>
        <w:t xml:space="preserve"> ، عَنْ إِبْرَاهِيمَ بْنِ‌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 - « له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أي زيارة النبيّ </w:t>
      </w:r>
      <w:r w:rsidR="00E843EA" w:rsidRPr="00E843EA">
        <w:rPr>
          <w:rStyle w:val="libFootnoteAlaemChar"/>
          <w:rtl/>
        </w:rPr>
        <w:t>صلى‌الله‌عليه‌وآله</w:t>
      </w:r>
      <w:r w:rsidR="00D10E3C">
        <w:rPr>
          <w:rtl/>
          <w:lang w:bidi="fa-IR"/>
        </w:rPr>
        <w:t xml:space="preserve"> </w:t>
      </w:r>
      <w:r w:rsidR="00744A1C">
        <w:rPr>
          <w:rtl/>
          <w:lang w:bidi="fa-IR"/>
        </w:rPr>
        <w:t xml:space="preserve">، أو زيارة الرضا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في « بس » </w:t>
      </w:r>
      <w:r w:rsidR="00744A1C" w:rsidRPr="00E843EA">
        <w:rPr>
          <w:rtl/>
        </w:rPr>
        <w:t>وكامل الزيارات</w:t>
      </w:r>
      <w:r w:rsidR="00744A1C">
        <w:rPr>
          <w:rtl/>
          <w:lang w:bidi="fa-IR"/>
        </w:rPr>
        <w:t xml:space="preserve"> ، ص 305 : - « قال ».</w:t>
      </w:r>
    </w:p>
    <w:p w:rsidR="00744A1C" w:rsidRDefault="00E378DD" w:rsidP="00E378DD">
      <w:pPr>
        <w:pStyle w:val="libFootnote0"/>
        <w:rPr>
          <w:lang w:bidi="fa-IR"/>
        </w:rPr>
      </w:pPr>
      <w:r>
        <w:rPr>
          <w:rtl/>
          <w:lang w:bidi="fa-IR"/>
        </w:rPr>
        <w:t>(4).</w:t>
      </w:r>
      <w:r w:rsidR="00744A1C">
        <w:rPr>
          <w:rtl/>
          <w:lang w:bidi="fa-IR"/>
        </w:rPr>
        <w:t xml:space="preserve"> في « بث ، بخ » </w:t>
      </w:r>
      <w:r w:rsidR="00744A1C" w:rsidRPr="00E843EA">
        <w:rPr>
          <w:rtl/>
        </w:rPr>
        <w:t>والوافي وكامل الزيارات</w:t>
      </w:r>
      <w:r w:rsidR="00744A1C">
        <w:rPr>
          <w:rtl/>
          <w:lang w:bidi="fa-IR"/>
        </w:rPr>
        <w:t xml:space="preserve"> ، ص 305 : - « الثاني ».</w:t>
      </w:r>
    </w:p>
    <w:p w:rsidR="00744A1C" w:rsidRDefault="00E378DD" w:rsidP="00E378DD">
      <w:pPr>
        <w:pStyle w:val="libFootnote0"/>
        <w:rPr>
          <w:lang w:bidi="fa-IR"/>
        </w:rPr>
      </w:pPr>
      <w:r>
        <w:rPr>
          <w:rtl/>
          <w:lang w:bidi="fa-IR"/>
        </w:rPr>
        <w:t>(5).</w:t>
      </w:r>
      <w:r w:rsidR="00744A1C">
        <w:rPr>
          <w:rtl/>
          <w:lang w:bidi="fa-IR"/>
        </w:rPr>
        <w:t xml:space="preserve"> في « بف » </w:t>
      </w:r>
      <w:r w:rsidR="00744A1C" w:rsidRPr="00E843EA">
        <w:rPr>
          <w:rtl/>
        </w:rPr>
        <w:t>والوافي وكامل الزيارات</w:t>
      </w:r>
      <w:r w:rsidR="00744A1C">
        <w:rPr>
          <w:rtl/>
          <w:lang w:bidi="fa-IR"/>
        </w:rPr>
        <w:t xml:space="preserve"> ، ص 305 : - « الله ».</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E843EA">
        <w:rPr>
          <w:rtl/>
        </w:rPr>
        <w:t>والوافي والوسائل</w:t>
      </w:r>
      <w:r w:rsidR="00744A1C">
        <w:rPr>
          <w:rtl/>
          <w:lang w:bidi="fa-IR"/>
        </w:rPr>
        <w:t>. وفي المطبوع : + « في ».</w:t>
      </w:r>
    </w:p>
    <w:tbl>
      <w:tblPr>
        <w:tblStyle w:val="TableGrid"/>
        <w:bidiVisual/>
        <w:tblW w:w="0" w:type="auto"/>
        <w:tblLook w:val="04A0" w:firstRow="1" w:lastRow="0" w:firstColumn="1" w:lastColumn="0" w:noHBand="0" w:noVBand="1"/>
      </w:tblPr>
      <w:tblGrid>
        <w:gridCol w:w="3674"/>
        <w:gridCol w:w="4338"/>
      </w:tblGrid>
      <w:tr w:rsidR="00E843EA" w:rsidTr="00B635BD">
        <w:tc>
          <w:tcPr>
            <w:tcW w:w="3674" w:type="dxa"/>
          </w:tcPr>
          <w:p w:rsidR="00E843EA" w:rsidRDefault="00E843EA" w:rsidP="00E378DD">
            <w:pPr>
              <w:pStyle w:val="libFootnote0"/>
              <w:rPr>
                <w:rtl/>
                <w:lang w:bidi="fa-IR"/>
              </w:rPr>
            </w:pPr>
            <w:r>
              <w:rPr>
                <w:rtl/>
                <w:lang w:bidi="fa-IR"/>
              </w:rPr>
              <w:t xml:space="preserve">(7). في </w:t>
            </w:r>
            <w:r w:rsidRPr="00E843EA">
              <w:rPr>
                <w:rtl/>
              </w:rPr>
              <w:t>كامل الزيارات</w:t>
            </w:r>
            <w:r w:rsidR="00B635BD">
              <w:rPr>
                <w:rtl/>
                <w:lang w:bidi="fa-IR"/>
              </w:rPr>
              <w:t>،ص 305:«بحذاء</w:t>
            </w:r>
            <w:r>
              <w:rPr>
                <w:rtl/>
                <w:lang w:bidi="fa-IR"/>
              </w:rPr>
              <w:t>».</w:t>
            </w:r>
          </w:p>
        </w:tc>
        <w:tc>
          <w:tcPr>
            <w:tcW w:w="4338" w:type="dxa"/>
          </w:tcPr>
          <w:p w:rsidR="00E843EA" w:rsidRDefault="00E843EA" w:rsidP="00E378DD">
            <w:pPr>
              <w:pStyle w:val="libFootnote0"/>
              <w:rPr>
                <w:rtl/>
                <w:lang w:bidi="fa-IR"/>
              </w:rPr>
            </w:pPr>
            <w:r>
              <w:rPr>
                <w:rtl/>
                <w:lang w:bidi="fa-IR"/>
              </w:rPr>
              <w:t xml:space="preserve">(8).في </w:t>
            </w:r>
            <w:r w:rsidRPr="00E843EA">
              <w:rPr>
                <w:rtl/>
              </w:rPr>
              <w:t>كامل الزيارات</w:t>
            </w:r>
            <w:r w:rsidR="00B635BD">
              <w:rPr>
                <w:rtl/>
                <w:lang w:bidi="fa-IR"/>
              </w:rPr>
              <w:t>،ص 305:«</w:t>
            </w:r>
            <w:r>
              <w:rPr>
                <w:rtl/>
                <w:lang w:bidi="fa-IR"/>
              </w:rPr>
              <w:t>رسول الله</w:t>
            </w:r>
            <w:r w:rsidR="00B635BD">
              <w:rPr>
                <w:rFonts w:hint="cs"/>
                <w:rtl/>
                <w:lang w:bidi="fa-IR"/>
              </w:rPr>
              <w:t xml:space="preserve"> </w:t>
            </w:r>
            <w:r w:rsidRPr="00E843EA">
              <w:rPr>
                <w:rStyle w:val="libFootnoteAlaemChar"/>
                <w:rtl/>
              </w:rPr>
              <w:t>صلى‌الله‌عليه‌وآله</w:t>
            </w:r>
            <w:r>
              <w:rPr>
                <w:rtl/>
                <w:lang w:bidi="fa-IR"/>
              </w:rPr>
              <w:t>».</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E843EA">
        <w:rPr>
          <w:rtl/>
        </w:rPr>
        <w:t>كامل الزيارات</w:t>
      </w:r>
      <w:r w:rsidR="00744A1C">
        <w:rPr>
          <w:rtl/>
          <w:lang w:bidi="fa-IR"/>
        </w:rPr>
        <w:t xml:space="preserve"> ، ص 305 : « فرأيت أيّوب بن نوح بعد ذلك » بدل « فرأيته ».</w:t>
      </w:r>
    </w:p>
    <w:tbl>
      <w:tblPr>
        <w:tblStyle w:val="TableGrid"/>
        <w:bidiVisual/>
        <w:tblW w:w="0" w:type="auto"/>
        <w:tblLook w:val="04A0" w:firstRow="1" w:lastRow="0" w:firstColumn="1" w:lastColumn="0" w:noHBand="0" w:noVBand="1"/>
      </w:tblPr>
      <w:tblGrid>
        <w:gridCol w:w="4006"/>
        <w:gridCol w:w="4006"/>
      </w:tblGrid>
      <w:tr w:rsidR="00B635BD" w:rsidTr="00B635BD">
        <w:tc>
          <w:tcPr>
            <w:tcW w:w="4006" w:type="dxa"/>
          </w:tcPr>
          <w:p w:rsidR="00B635BD" w:rsidRDefault="00B635BD" w:rsidP="00E378DD">
            <w:pPr>
              <w:pStyle w:val="libFootnote0"/>
              <w:rPr>
                <w:rtl/>
                <w:lang w:bidi="fa-IR"/>
              </w:rPr>
            </w:pPr>
            <w:r>
              <w:rPr>
                <w:rtl/>
                <w:lang w:bidi="fa-IR"/>
              </w:rPr>
              <w:t xml:space="preserve">(10). في « بف » </w:t>
            </w:r>
            <w:r w:rsidRPr="00B635BD">
              <w:rPr>
                <w:rtl/>
              </w:rPr>
              <w:t>والوافي</w:t>
            </w:r>
            <w:r>
              <w:rPr>
                <w:rtl/>
                <w:lang w:bidi="fa-IR"/>
              </w:rPr>
              <w:t xml:space="preserve"> : « قال ».</w:t>
            </w:r>
          </w:p>
        </w:tc>
        <w:tc>
          <w:tcPr>
            <w:tcW w:w="4006" w:type="dxa"/>
          </w:tcPr>
          <w:p w:rsidR="00B635BD" w:rsidRDefault="00B635BD" w:rsidP="00E378DD">
            <w:pPr>
              <w:pStyle w:val="libFootnote0"/>
              <w:rPr>
                <w:rtl/>
                <w:lang w:bidi="fa-IR"/>
              </w:rPr>
            </w:pPr>
            <w:r>
              <w:rPr>
                <w:rtl/>
                <w:lang w:bidi="fa-IR"/>
              </w:rPr>
              <w:t>(11). في « جد » : « لأطلب ».</w:t>
            </w:r>
          </w:p>
        </w:tc>
      </w:tr>
    </w:tbl>
    <w:p w:rsidR="00744A1C" w:rsidRDefault="00E378DD" w:rsidP="007F229D">
      <w:pPr>
        <w:pStyle w:val="libFootnote0"/>
        <w:rPr>
          <w:lang w:bidi="fa-IR"/>
        </w:rPr>
      </w:pPr>
      <w:r>
        <w:rPr>
          <w:rtl/>
          <w:lang w:bidi="fa-IR"/>
        </w:rPr>
        <w:t>(12).</w:t>
      </w:r>
      <w:r w:rsidR="00744A1C">
        <w:rPr>
          <w:rtl/>
          <w:lang w:bidi="fa-IR"/>
        </w:rPr>
        <w:t xml:space="preserve"> </w:t>
      </w:r>
      <w:r w:rsidR="00744A1C" w:rsidRPr="00B635BD">
        <w:rPr>
          <w:rStyle w:val="libFootnoteBoldChar"/>
          <w:rtl/>
        </w:rPr>
        <w:t>كامل الزيارت</w:t>
      </w:r>
      <w:r w:rsidR="00744A1C">
        <w:rPr>
          <w:rtl/>
          <w:lang w:bidi="fa-IR"/>
        </w:rPr>
        <w:t xml:space="preserve"> ، ص 305 ، الباب 101 ، ح 6 ، عن أبيه ومحمّد بن يعقوب ، عن عليّ بن إبراهيم ، عن حمدان بن إسحاق ؛ </w:t>
      </w:r>
      <w:r w:rsidR="00744A1C" w:rsidRPr="00B635BD">
        <w:rPr>
          <w:rStyle w:val="libFootnoteBoldChar"/>
          <w:rtl/>
        </w:rPr>
        <w:t>كتاب المزار</w:t>
      </w:r>
      <w:r w:rsidR="00744A1C">
        <w:rPr>
          <w:rtl/>
          <w:lang w:bidi="fa-IR"/>
        </w:rPr>
        <w:t xml:space="preserve"> ، ص 195 ، ح 1 ، بسنده عن محمّد بن ي</w:t>
      </w:r>
      <w:r w:rsidR="00B635BD">
        <w:rPr>
          <w:rtl/>
          <w:lang w:bidi="fa-IR"/>
        </w:rPr>
        <w:t>عقوب ، إلى قوله : « قال : فحججت</w:t>
      </w:r>
      <w:r w:rsidR="00744A1C">
        <w:rPr>
          <w:rtl/>
          <w:lang w:bidi="fa-IR"/>
        </w:rPr>
        <w:t xml:space="preserve">». </w:t>
      </w:r>
      <w:r w:rsidR="00744A1C" w:rsidRPr="007B299E">
        <w:rPr>
          <w:rStyle w:val="libFootnoteBoldChar"/>
          <w:rtl/>
        </w:rPr>
        <w:t>كامل الزيارات</w:t>
      </w:r>
      <w:r w:rsidR="00744A1C">
        <w:rPr>
          <w:rtl/>
          <w:lang w:bidi="fa-IR"/>
        </w:rPr>
        <w:t xml:space="preserve"> ، ص 304 ، الباب 101 ، ح 3 ، بسنده عن عليّ بن إبراهيم الجعفري ، عن حمدان الدسواي ، عن أبي جعفر الثاني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حتّى يفرغ الله من حساب الخلائق ». وفي </w:t>
      </w:r>
      <w:r w:rsidR="00744A1C" w:rsidRPr="00B635BD">
        <w:rPr>
          <w:rStyle w:val="libFootnoteBoldChar"/>
          <w:rtl/>
        </w:rPr>
        <w:t>الأمالي للصدوق</w:t>
      </w:r>
      <w:r w:rsidR="00744A1C">
        <w:rPr>
          <w:rtl/>
          <w:lang w:bidi="fa-IR"/>
        </w:rPr>
        <w:t xml:space="preserve"> ، ص 120 ، المجلس 25 ، ح 7 ؛ </w:t>
      </w:r>
      <w:r w:rsidR="00744A1C" w:rsidRPr="00B635BD">
        <w:rPr>
          <w:rStyle w:val="libFootnoteBoldChar"/>
          <w:rtl/>
        </w:rPr>
        <w:t>وع</w:t>
      </w:r>
      <w:r w:rsidR="00744A1C" w:rsidRPr="00877682">
        <w:rPr>
          <w:rStyle w:val="libFootnoteBoldChar"/>
          <w:rtl/>
        </w:rPr>
        <w:t>يون الأخبار</w:t>
      </w:r>
      <w:r w:rsidR="00744A1C">
        <w:rPr>
          <w:rtl/>
          <w:lang w:bidi="fa-IR"/>
        </w:rPr>
        <w:t xml:space="preserve"> ، ج 2 ، ص 259 ، ح 19 ، بسندهما عن أيّوب بن نوح ، عن أبي جعفر محمّد بن عليّ بن موسى </w:t>
      </w:r>
      <w:r w:rsidR="0061079A" w:rsidRPr="0061079A">
        <w:rPr>
          <w:rStyle w:val="libFootnoteAlaemChar"/>
          <w:rtl/>
        </w:rPr>
        <w:t>عليه‌السلام</w:t>
      </w:r>
      <w:r w:rsidR="00D10E3C">
        <w:rPr>
          <w:rtl/>
          <w:lang w:bidi="fa-IR"/>
        </w:rPr>
        <w:t xml:space="preserve"> </w:t>
      </w:r>
      <w:r w:rsidR="00744A1C">
        <w:rPr>
          <w:rtl/>
          <w:lang w:bidi="fa-IR"/>
        </w:rPr>
        <w:t xml:space="preserve">، من قوله : « فلقيت أيّوب بن نوح » إلى قوله : « حتّى يفرغ الله من حساب الخلائق » وفي الأربعة الأخيرة مع اختلاف يسير. وفيه ، نفس الباب ، ضمن ح 17 ؛ </w:t>
      </w:r>
      <w:r w:rsidR="00744A1C" w:rsidRPr="007F229D">
        <w:rPr>
          <w:rStyle w:val="libFootnoteBoldChar"/>
          <w:rtl/>
        </w:rPr>
        <w:t>وا</w:t>
      </w:r>
      <w:r w:rsidR="00744A1C" w:rsidRPr="00C24F9C">
        <w:rPr>
          <w:rStyle w:val="libFootnoteBoldChar"/>
          <w:rtl/>
        </w:rPr>
        <w:t>لفقيه</w:t>
      </w:r>
      <w:r w:rsidR="00744A1C">
        <w:rPr>
          <w:rtl/>
          <w:lang w:bidi="fa-IR"/>
        </w:rPr>
        <w:t xml:space="preserve"> ، ج 2 ، ص 584 ، ضمن ح 3188 ، بسند آخر عن أميرالمؤمنين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هكذا : « فمن زاره [ عليّ بن موسى </w:t>
      </w:r>
      <w:r w:rsidR="00F112A7" w:rsidRPr="00CE5A92">
        <w:rPr>
          <w:rStyle w:val="libFootnoteAlaemChar"/>
          <w:rtl/>
        </w:rPr>
        <w:t>عليهما‌السلام</w:t>
      </w:r>
      <w:r w:rsidR="00744A1C">
        <w:rPr>
          <w:rtl/>
          <w:lang w:bidi="fa-IR"/>
        </w:rPr>
        <w:t xml:space="preserve">] في غربته غفر الله عزّ وجلّ له ذنوبه ما تقدم منها وما تأخّر ». وفي </w:t>
      </w:r>
      <w:r w:rsidR="00744A1C" w:rsidRPr="007F229D">
        <w:rPr>
          <w:rStyle w:val="libFootnoteBoldChar"/>
          <w:rtl/>
        </w:rPr>
        <w:t>المقنعة</w:t>
      </w:r>
      <w:r w:rsidR="00744A1C">
        <w:rPr>
          <w:rtl/>
          <w:lang w:bidi="fa-IR"/>
        </w:rPr>
        <w:t xml:space="preserve"> ، ص 480 ، مرسلاً عن حمدان بن إسحاق النيسابوري ، عن أبي جعفر الثاني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قال : فحججت » مع اختلاف يسير </w:t>
      </w:r>
      <w:r w:rsidR="007F229D">
        <w:rPr>
          <w:rFonts w:hint="cs"/>
          <w:rtl/>
          <w:lang w:bidi="fa-IR"/>
        </w:rPr>
        <w:t>.</w:t>
      </w:r>
      <w:r w:rsidR="00744A1C" w:rsidRPr="00C24F9C">
        <w:rPr>
          <w:rStyle w:val="libFootnoteBoldChar"/>
          <w:rtl/>
        </w:rPr>
        <w:t>الوافي</w:t>
      </w:r>
      <w:r w:rsidR="00744A1C">
        <w:rPr>
          <w:rtl/>
          <w:lang w:bidi="fa-IR"/>
        </w:rPr>
        <w:t xml:space="preserve"> ، ج 14 ، ص 1544 ، ح 14631 ؛ </w:t>
      </w:r>
      <w:r w:rsidR="00744A1C" w:rsidRPr="00C24F9C">
        <w:rPr>
          <w:rStyle w:val="libFootnoteBoldChar"/>
          <w:rtl/>
        </w:rPr>
        <w:t>الوسائل</w:t>
      </w:r>
      <w:r w:rsidR="00744A1C">
        <w:rPr>
          <w:rtl/>
          <w:lang w:bidi="fa-IR"/>
        </w:rPr>
        <w:t xml:space="preserve"> ، ج 14 ، ص 550 ، ح 19798.</w:t>
      </w:r>
      <w:r w:rsidR="007F229D">
        <w:rPr>
          <w:rFonts w:hint="cs"/>
          <w:rtl/>
          <w:lang w:bidi="fa-IR"/>
        </w:rPr>
        <w:t xml:space="preserve"> </w:t>
      </w:r>
      <w:r>
        <w:rPr>
          <w:rtl/>
          <w:lang w:bidi="fa-IR"/>
        </w:rPr>
        <w:t>(13).</w:t>
      </w:r>
      <w:r w:rsidR="007F229D">
        <w:rPr>
          <w:rtl/>
          <w:lang w:bidi="fa-IR"/>
        </w:rPr>
        <w:t xml:space="preserve"> في «بخ</w:t>
      </w:r>
      <w:r w:rsidR="00744A1C">
        <w:rPr>
          <w:rtl/>
          <w:lang w:bidi="fa-IR"/>
        </w:rPr>
        <w:t>»</w:t>
      </w:r>
      <w:r w:rsidR="007F229D">
        <w:rPr>
          <w:rtl/>
          <w:lang w:bidi="fa-IR"/>
        </w:rPr>
        <w:t>: «النيشابوري</w:t>
      </w:r>
      <w:r w:rsidR="00744A1C">
        <w:rPr>
          <w:rtl/>
          <w:lang w:bidi="fa-IR"/>
        </w:rPr>
        <w:t>».</w:t>
      </w:r>
    </w:p>
    <w:p w:rsidR="00150943" w:rsidRDefault="00150943" w:rsidP="00D10E3C">
      <w:pPr>
        <w:pStyle w:val="libNormal"/>
        <w:rPr>
          <w:rtl/>
          <w:lang w:bidi="fa-IR"/>
        </w:rPr>
      </w:pPr>
      <w:r>
        <w:rPr>
          <w:rtl/>
          <w:lang w:bidi="fa-IR"/>
        </w:rPr>
        <w:br w:type="page"/>
      </w:r>
    </w:p>
    <w:p w:rsidR="00144FA6" w:rsidRDefault="00744A1C" w:rsidP="007F229D">
      <w:pPr>
        <w:pStyle w:val="libNormal0"/>
        <w:rPr>
          <w:rtl/>
          <w:lang w:bidi="fa-IR"/>
        </w:rPr>
      </w:pPr>
      <w:r>
        <w:rPr>
          <w:rtl/>
          <w:lang w:bidi="fa-IR"/>
        </w:rPr>
        <w:lastRenderedPageBreak/>
        <w:t xml:space="preserve">أَحْمَدَ </w:t>
      </w:r>
      <w:r w:rsidRPr="00D10E3C">
        <w:rPr>
          <w:rStyle w:val="libFootnotenumChar"/>
          <w:rtl/>
        </w:rPr>
        <w:t>(1)</w:t>
      </w:r>
      <w:r>
        <w:rPr>
          <w:rtl/>
          <w:lang w:bidi="fa-IR"/>
        </w:rPr>
        <w:t xml:space="preserve"> ، عَنْ عَبْدِ الرَّحْمنِ بْنِ سَعِيدٍ الْمَكِّيِّ ، عَنْ يَحْيَى بْنِ سُلَيْمَانَ الْمَازِنِيِّ :</w:t>
      </w:r>
    </w:p>
    <w:p w:rsidR="00744A1C" w:rsidRDefault="00744A1C" w:rsidP="00744A1C">
      <w:pPr>
        <w:pStyle w:val="libNormal"/>
        <w:rPr>
          <w:lang w:bidi="fa-IR"/>
        </w:rPr>
      </w:pPr>
      <w:r>
        <w:rPr>
          <w:rtl/>
          <w:lang w:bidi="fa-IR"/>
        </w:rPr>
        <w:t xml:space="preserve">عَنْ أَبِي الْحَسَنِ مُوسى </w:t>
      </w:r>
      <w:r w:rsidR="0061079A" w:rsidRPr="0061079A">
        <w:rPr>
          <w:rStyle w:val="libAlaemChar"/>
          <w:rtl/>
        </w:rPr>
        <w:t>عليه‌السلام</w:t>
      </w:r>
      <w:r w:rsidR="00D10E3C">
        <w:rPr>
          <w:rtl/>
          <w:lang w:bidi="fa-IR"/>
        </w:rPr>
        <w:t xml:space="preserve"> </w:t>
      </w:r>
      <w:r>
        <w:rPr>
          <w:rtl/>
          <w:lang w:bidi="fa-IR"/>
        </w:rPr>
        <w:t xml:space="preserve">، قَالَ : « مَنْ زَارَ قَبْرَ وَلَدِي عَلِيٍّ </w:t>
      </w:r>
      <w:r w:rsidRPr="00D10E3C">
        <w:rPr>
          <w:rStyle w:val="libFootnotenumChar"/>
          <w:rtl/>
        </w:rPr>
        <w:t>(2)</w:t>
      </w:r>
      <w:r>
        <w:rPr>
          <w:rtl/>
          <w:lang w:bidi="fa-IR"/>
        </w:rPr>
        <w:t xml:space="preserve"> كَانَ لَهُ </w:t>
      </w:r>
      <w:r w:rsidRPr="00D10E3C">
        <w:rPr>
          <w:rStyle w:val="libFootnotenumChar"/>
          <w:rtl/>
        </w:rPr>
        <w:t>(3)</w:t>
      </w:r>
      <w:r>
        <w:rPr>
          <w:rtl/>
          <w:lang w:bidi="fa-IR"/>
        </w:rPr>
        <w:t xml:space="preserve"> عِنْدَ اللهِ كَسَبْعِينَ </w:t>
      </w:r>
      <w:r w:rsidRPr="00D10E3C">
        <w:rPr>
          <w:rStyle w:val="libFootnotenumChar"/>
          <w:rtl/>
        </w:rPr>
        <w:t>(4)</w:t>
      </w:r>
      <w:r>
        <w:rPr>
          <w:rtl/>
          <w:lang w:bidi="fa-IR"/>
        </w:rPr>
        <w:t xml:space="preserve"> حَجَّةً مَبْرُورَةً ».</w:t>
      </w:r>
    </w:p>
    <w:p w:rsidR="00744A1C" w:rsidRDefault="00744A1C" w:rsidP="00744A1C">
      <w:pPr>
        <w:pStyle w:val="libNormal"/>
        <w:rPr>
          <w:lang w:bidi="fa-IR"/>
        </w:rPr>
      </w:pPr>
      <w:r>
        <w:rPr>
          <w:rtl/>
          <w:lang w:bidi="fa-IR"/>
        </w:rPr>
        <w:t>قَالَ : قُلْتُ : سَبْعِينَ حَجَّةً؟!</w:t>
      </w:r>
    </w:p>
    <w:p w:rsidR="00744A1C" w:rsidRDefault="00744A1C" w:rsidP="00744A1C">
      <w:pPr>
        <w:pStyle w:val="libNormal"/>
        <w:rPr>
          <w:lang w:bidi="fa-IR"/>
        </w:rPr>
      </w:pPr>
      <w:r>
        <w:rPr>
          <w:rtl/>
          <w:lang w:bidi="fa-IR"/>
        </w:rPr>
        <w:t xml:space="preserve">قَالَ : « نَعَمْ </w:t>
      </w:r>
      <w:r w:rsidRPr="00D10E3C">
        <w:rPr>
          <w:rStyle w:val="libFootnotenumChar"/>
          <w:rtl/>
        </w:rPr>
        <w:t>(5)</w:t>
      </w:r>
      <w:r>
        <w:rPr>
          <w:rtl/>
          <w:lang w:bidi="fa-IR"/>
        </w:rPr>
        <w:t xml:space="preserve"> ، وَسَبْعِينَ أَلْفَ حَجَّةٍ ».</w:t>
      </w:r>
    </w:p>
    <w:p w:rsidR="00744A1C" w:rsidRDefault="00744A1C" w:rsidP="00744A1C">
      <w:pPr>
        <w:pStyle w:val="libNormal"/>
        <w:rPr>
          <w:lang w:bidi="fa-IR"/>
        </w:rPr>
      </w:pPr>
      <w:r>
        <w:rPr>
          <w:rtl/>
          <w:lang w:bidi="fa-IR"/>
        </w:rPr>
        <w:t xml:space="preserve">قَالَ : قُلْتُ : سَبْعِينَ </w:t>
      </w:r>
      <w:r w:rsidRPr="00D10E3C">
        <w:rPr>
          <w:rStyle w:val="libFootnotenumChar"/>
          <w:rtl/>
        </w:rPr>
        <w:t>(6)</w:t>
      </w:r>
      <w:r>
        <w:rPr>
          <w:rtl/>
          <w:lang w:bidi="fa-IR"/>
        </w:rPr>
        <w:t xml:space="preserve"> أَلْفَ حَجَّةٍ؟!</w:t>
      </w:r>
    </w:p>
    <w:p w:rsidR="00744A1C" w:rsidRDefault="00744A1C" w:rsidP="00744A1C">
      <w:pPr>
        <w:pStyle w:val="libNormal"/>
        <w:rPr>
          <w:lang w:bidi="fa-IR"/>
        </w:rPr>
      </w:pPr>
      <w:r>
        <w:rPr>
          <w:rtl/>
          <w:lang w:bidi="fa-IR"/>
        </w:rPr>
        <w:t xml:space="preserve">قَالَ </w:t>
      </w:r>
      <w:r w:rsidRPr="00D10E3C">
        <w:rPr>
          <w:rStyle w:val="libFootnotenumChar"/>
          <w:rtl/>
        </w:rPr>
        <w:t>(7)</w:t>
      </w:r>
      <w:r>
        <w:rPr>
          <w:rtl/>
          <w:lang w:bidi="fa-IR"/>
        </w:rPr>
        <w:t xml:space="preserve"> : « رُبَّ </w:t>
      </w:r>
      <w:r w:rsidRPr="00D10E3C">
        <w:rPr>
          <w:rStyle w:val="libFootnotenumChar"/>
          <w:rtl/>
        </w:rPr>
        <w:t>(8)</w:t>
      </w:r>
      <w:r>
        <w:rPr>
          <w:rtl/>
          <w:lang w:bidi="fa-IR"/>
        </w:rPr>
        <w:t xml:space="preserve"> حَجَّةٍ لَاتُقْبَلُ ؛ مَنْ زَارَهُ </w:t>
      </w:r>
      <w:r w:rsidRPr="00D10E3C">
        <w:rPr>
          <w:rStyle w:val="libFootnotenumChar"/>
          <w:rtl/>
        </w:rPr>
        <w:t>(9)</w:t>
      </w:r>
      <w:r>
        <w:rPr>
          <w:rtl/>
          <w:lang w:bidi="fa-IR"/>
        </w:rPr>
        <w:t xml:space="preserve"> وَبَاتَ </w:t>
      </w:r>
      <w:r w:rsidRPr="00D10E3C">
        <w:rPr>
          <w:rStyle w:val="libFootnotenumChar"/>
          <w:rtl/>
        </w:rPr>
        <w:t>(10)</w:t>
      </w:r>
      <w:r>
        <w:rPr>
          <w:rtl/>
          <w:lang w:bidi="fa-IR"/>
        </w:rPr>
        <w:t xml:space="preserve"> عِنْدَهُ لَيْلَةً ، كَانَ كَمَنْ زَارَ اللهَ فِي عَرْشِهِ ».</w:t>
      </w:r>
    </w:p>
    <w:p w:rsidR="00744A1C" w:rsidRDefault="00744A1C" w:rsidP="00744A1C">
      <w:pPr>
        <w:pStyle w:val="libNormal"/>
        <w:rPr>
          <w:lang w:bidi="fa-IR"/>
        </w:rPr>
      </w:pPr>
      <w:r>
        <w:rPr>
          <w:rtl/>
          <w:lang w:bidi="fa-IR"/>
        </w:rPr>
        <w:t xml:space="preserve">فَقُلْتُ : كَمَنْ زَارَ اللهَ فِي عَرْشِهِ </w:t>
      </w:r>
      <w:r w:rsidRPr="00D10E3C">
        <w:rPr>
          <w:rStyle w:val="libFootnotenumChar"/>
          <w:rtl/>
        </w:rPr>
        <w:t>(11)</w:t>
      </w:r>
      <w:r>
        <w:rPr>
          <w:rtl/>
          <w:lang w:bidi="fa-IR"/>
        </w:rPr>
        <w:t>؟</w:t>
      </w:r>
    </w:p>
    <w:p w:rsidR="00744A1C" w:rsidRDefault="00744A1C" w:rsidP="00744A1C">
      <w:pPr>
        <w:pStyle w:val="libNormal"/>
        <w:rPr>
          <w:lang w:bidi="fa-IR"/>
        </w:rPr>
      </w:pPr>
      <w:r>
        <w:rPr>
          <w:rtl/>
          <w:lang w:bidi="fa-IR"/>
        </w:rPr>
        <w:t xml:space="preserve">قَالَ : « نَعَمْ ، إِذَا كَانَ يَوْمُ الْقِيَامَةِ ، كَانَ عَلى عَرْشِ الرَّحْمنِ </w:t>
      </w:r>
      <w:r w:rsidRPr="00D10E3C">
        <w:rPr>
          <w:rStyle w:val="libFootnotenumChar"/>
          <w:rtl/>
        </w:rPr>
        <w:t>(12)</w:t>
      </w:r>
      <w:r>
        <w:rPr>
          <w:rtl/>
          <w:lang w:bidi="fa-IR"/>
        </w:rPr>
        <w:t xml:space="preserve"> أَرْبَعَةٌ مِنَ الْأَوَّلِينَ ، وَأَرْبَعَةٌ مِنَ الْآخِرِينَ ؛ فَأَمَّا </w:t>
      </w:r>
      <w:r w:rsidRPr="00D10E3C">
        <w:rPr>
          <w:rStyle w:val="libFootnotenumChar"/>
          <w:rtl/>
        </w:rPr>
        <w:t>(13)</w:t>
      </w:r>
      <w:r>
        <w:rPr>
          <w:rtl/>
          <w:lang w:bidi="fa-IR"/>
        </w:rPr>
        <w:t xml:space="preserve"> الْأَرْبَعَةُ الَّذِينَ هُمْ مِنَ الْأَوَّلِينَ ، فَنُوحٌ وَإِبْرَاهِيمُ وَمُوسى وَعِيسى </w:t>
      </w:r>
      <w:r w:rsidR="008859AA" w:rsidRPr="008859AA">
        <w:rPr>
          <w:rStyle w:val="libAlaemChar"/>
          <w:rtl/>
        </w:rPr>
        <w:t>عليهما‌السلام</w:t>
      </w:r>
      <w:r>
        <w:rPr>
          <w:rtl/>
          <w:lang w:bidi="fa-IR"/>
        </w:rPr>
        <w:t xml:space="preserve">؛ وَأَمَّا الْأَرْبَعَةُ </w:t>
      </w:r>
      <w:r w:rsidRPr="00D10E3C">
        <w:rPr>
          <w:rStyle w:val="libFootnotenumChar"/>
          <w:rtl/>
        </w:rPr>
        <w:t>(14)</w:t>
      </w:r>
      <w:r>
        <w:rPr>
          <w:rtl/>
          <w:lang w:bidi="fa-IR"/>
        </w:rPr>
        <w:t xml:space="preserve"> مِنَ الْآخِرِينَ </w:t>
      </w:r>
      <w:r w:rsidRPr="00D10E3C">
        <w:rPr>
          <w:rStyle w:val="libFootnotenumChar"/>
          <w:rtl/>
        </w:rPr>
        <w:t>(15)</w:t>
      </w:r>
      <w:r>
        <w:rPr>
          <w:rtl/>
          <w:lang w:bidi="fa-IR"/>
        </w:rPr>
        <w:t xml:space="preserve"> ، فَمُحَمَّدٌ </w:t>
      </w:r>
      <w:r w:rsidRPr="00D10E3C">
        <w:rPr>
          <w:rStyle w:val="libFootnotenumChar"/>
          <w:rtl/>
        </w:rPr>
        <w:t>(16)</w:t>
      </w:r>
      <w:r>
        <w:rPr>
          <w:rtl/>
          <w:lang w:bidi="fa-IR"/>
        </w:rPr>
        <w:t xml:space="preserve"> وَعَلِيٌّ وَالْحَسَنُ‌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جر » </w:t>
      </w:r>
      <w:r w:rsidR="00744A1C" w:rsidRPr="007F229D">
        <w:rPr>
          <w:rtl/>
        </w:rPr>
        <w:t xml:space="preserve">وكامل الزيارات </w:t>
      </w:r>
      <w:r w:rsidR="00744A1C">
        <w:rPr>
          <w:rtl/>
          <w:lang w:bidi="fa-IR"/>
        </w:rPr>
        <w:t>: « إبراهيم بن محمّد ».</w:t>
      </w:r>
    </w:p>
    <w:tbl>
      <w:tblPr>
        <w:tblStyle w:val="TableGrid"/>
        <w:bidiVisual/>
        <w:tblW w:w="0" w:type="auto"/>
        <w:tblLook w:val="04A0" w:firstRow="1" w:lastRow="0" w:firstColumn="1" w:lastColumn="0" w:noHBand="0" w:noVBand="1"/>
      </w:tblPr>
      <w:tblGrid>
        <w:gridCol w:w="3891"/>
        <w:gridCol w:w="4121"/>
      </w:tblGrid>
      <w:tr w:rsidR="007F229D" w:rsidTr="007F229D">
        <w:tc>
          <w:tcPr>
            <w:tcW w:w="3891" w:type="dxa"/>
          </w:tcPr>
          <w:p w:rsidR="007F229D" w:rsidRDefault="007F229D" w:rsidP="00E378DD">
            <w:pPr>
              <w:pStyle w:val="libFootnote0"/>
              <w:rPr>
                <w:rtl/>
                <w:lang w:bidi="fa-IR"/>
              </w:rPr>
            </w:pPr>
            <w:r>
              <w:rPr>
                <w:rtl/>
                <w:lang w:bidi="fa-IR"/>
              </w:rPr>
              <w:t xml:space="preserve">(2). في </w:t>
            </w:r>
            <w:r w:rsidRPr="007F229D">
              <w:rPr>
                <w:rtl/>
              </w:rPr>
              <w:t>كامل الزيارات</w:t>
            </w:r>
            <w:r>
              <w:rPr>
                <w:rtl/>
                <w:lang w:bidi="fa-IR"/>
              </w:rPr>
              <w:t xml:space="preserve"> : - « عليّ ».</w:t>
            </w:r>
          </w:p>
        </w:tc>
        <w:tc>
          <w:tcPr>
            <w:tcW w:w="4121" w:type="dxa"/>
          </w:tcPr>
          <w:p w:rsidR="007F229D" w:rsidRDefault="007F229D" w:rsidP="00E378DD">
            <w:pPr>
              <w:pStyle w:val="libFootnote0"/>
              <w:rPr>
                <w:rtl/>
                <w:lang w:bidi="fa-IR"/>
              </w:rPr>
            </w:pPr>
            <w:r>
              <w:rPr>
                <w:rtl/>
                <w:lang w:bidi="fa-IR"/>
              </w:rPr>
              <w:t>(3). في «بث،بح،جن» و</w:t>
            </w:r>
            <w:r w:rsidRPr="007F229D">
              <w:rPr>
                <w:rtl/>
              </w:rPr>
              <w:t xml:space="preserve">الوسائل </w:t>
            </w:r>
            <w:r>
              <w:rPr>
                <w:rtl/>
                <w:lang w:bidi="fa-IR"/>
              </w:rPr>
              <w:t>، ح 19833:-«له».</w:t>
            </w:r>
          </w:p>
        </w:tc>
      </w:tr>
    </w:tbl>
    <w:p w:rsidR="00744A1C" w:rsidRDefault="00E378DD" w:rsidP="00E378DD">
      <w:pPr>
        <w:pStyle w:val="libFootnote0"/>
        <w:rPr>
          <w:lang w:bidi="fa-IR"/>
        </w:rPr>
      </w:pPr>
      <w:r>
        <w:rPr>
          <w:rtl/>
          <w:lang w:bidi="fa-IR"/>
        </w:rPr>
        <w:t>(4).</w:t>
      </w:r>
      <w:r w:rsidR="00744A1C">
        <w:rPr>
          <w:rtl/>
          <w:lang w:bidi="fa-IR"/>
        </w:rPr>
        <w:t xml:space="preserve"> في « بث ، بخ ، بس ، بف ، جد » وحاشية « ى » </w:t>
      </w:r>
      <w:r w:rsidR="00744A1C" w:rsidRPr="007F229D">
        <w:rPr>
          <w:rtl/>
        </w:rPr>
        <w:t>وكامل الزيارات</w:t>
      </w:r>
      <w:r w:rsidR="00744A1C">
        <w:rPr>
          <w:rtl/>
          <w:lang w:bidi="fa-IR"/>
        </w:rPr>
        <w:t xml:space="preserve"> والأمالي للصدوق : « سبعين ».</w:t>
      </w:r>
    </w:p>
    <w:p w:rsidR="00744A1C" w:rsidRDefault="00E378DD" w:rsidP="00E378DD">
      <w:pPr>
        <w:pStyle w:val="libFootnote0"/>
        <w:rPr>
          <w:lang w:bidi="fa-IR"/>
        </w:rPr>
      </w:pPr>
      <w:r>
        <w:rPr>
          <w:rtl/>
          <w:lang w:bidi="fa-IR"/>
        </w:rPr>
        <w:t>(5).</w:t>
      </w:r>
      <w:r w:rsidR="00744A1C">
        <w:rPr>
          <w:rtl/>
          <w:lang w:bidi="fa-IR"/>
        </w:rPr>
        <w:t xml:space="preserve"> في </w:t>
      </w:r>
      <w:r w:rsidR="00744A1C" w:rsidRPr="007F229D">
        <w:rPr>
          <w:rtl/>
        </w:rPr>
        <w:t>كامل الزيارات</w:t>
      </w:r>
      <w:r w:rsidR="00744A1C">
        <w:rPr>
          <w:rtl/>
          <w:lang w:bidi="fa-IR"/>
        </w:rPr>
        <w:t xml:space="preserve"> : + « وسبعمائة حجّة ، قلت : سبعمائة حجّة؟ قال : نعم ».</w:t>
      </w:r>
    </w:p>
    <w:tbl>
      <w:tblPr>
        <w:tblStyle w:val="TableGrid"/>
        <w:bidiVisual/>
        <w:tblW w:w="0" w:type="auto"/>
        <w:tblLook w:val="04A0" w:firstRow="1" w:lastRow="0" w:firstColumn="1" w:lastColumn="0" w:noHBand="0" w:noVBand="1"/>
      </w:tblPr>
      <w:tblGrid>
        <w:gridCol w:w="4006"/>
        <w:gridCol w:w="4006"/>
      </w:tblGrid>
      <w:tr w:rsidR="007F229D" w:rsidTr="007F229D">
        <w:tc>
          <w:tcPr>
            <w:tcW w:w="4006" w:type="dxa"/>
          </w:tcPr>
          <w:p w:rsidR="007F229D" w:rsidRDefault="007F229D" w:rsidP="00E378DD">
            <w:pPr>
              <w:pStyle w:val="libFootnote0"/>
              <w:rPr>
                <w:rtl/>
                <w:lang w:bidi="fa-IR"/>
              </w:rPr>
            </w:pPr>
            <w:r>
              <w:rPr>
                <w:rtl/>
                <w:lang w:bidi="fa-IR"/>
              </w:rPr>
              <w:t xml:space="preserve">(6). في « ى » </w:t>
            </w:r>
            <w:r w:rsidRPr="007F229D">
              <w:rPr>
                <w:rtl/>
              </w:rPr>
              <w:t>وكامل الزيارات</w:t>
            </w:r>
            <w:r>
              <w:rPr>
                <w:rtl/>
                <w:lang w:bidi="fa-IR"/>
              </w:rPr>
              <w:t xml:space="preserve"> : « وسبعين ».</w:t>
            </w:r>
          </w:p>
        </w:tc>
        <w:tc>
          <w:tcPr>
            <w:tcW w:w="4006" w:type="dxa"/>
          </w:tcPr>
          <w:p w:rsidR="007F229D" w:rsidRDefault="007F229D" w:rsidP="00E378DD">
            <w:pPr>
              <w:pStyle w:val="libFootnote0"/>
              <w:rPr>
                <w:rtl/>
                <w:lang w:bidi="fa-IR"/>
              </w:rPr>
            </w:pPr>
            <w:r>
              <w:rPr>
                <w:rtl/>
                <w:lang w:bidi="fa-IR"/>
              </w:rPr>
              <w:t xml:space="preserve">(7). في </w:t>
            </w:r>
            <w:r w:rsidRPr="007F229D">
              <w:rPr>
                <w:rtl/>
              </w:rPr>
              <w:t>كامل الزيارات</w:t>
            </w:r>
            <w:r>
              <w:rPr>
                <w:rtl/>
                <w:lang w:bidi="fa-IR"/>
              </w:rPr>
              <w:t xml:space="preserve"> : + « نعم و».</w:t>
            </w:r>
          </w:p>
        </w:tc>
      </w:tr>
    </w:tbl>
    <w:p w:rsidR="00744A1C" w:rsidRDefault="00E378DD" w:rsidP="00E378DD">
      <w:pPr>
        <w:pStyle w:val="libFootnote0"/>
        <w:rPr>
          <w:lang w:bidi="fa-IR"/>
        </w:rPr>
      </w:pPr>
      <w:r>
        <w:rPr>
          <w:rtl/>
          <w:lang w:bidi="fa-IR"/>
        </w:rPr>
        <w:t>(8).</w:t>
      </w:r>
      <w:r w:rsidR="00744A1C">
        <w:rPr>
          <w:rtl/>
          <w:lang w:bidi="fa-IR"/>
        </w:rPr>
        <w:t xml:space="preserve"> في « بف » وحاشية « بخ » </w:t>
      </w:r>
      <w:r w:rsidR="00744A1C" w:rsidRPr="007F229D">
        <w:rPr>
          <w:rtl/>
        </w:rPr>
        <w:t>والوافي</w:t>
      </w:r>
      <w:r w:rsidR="00744A1C">
        <w:rPr>
          <w:rtl/>
          <w:lang w:bidi="fa-IR"/>
        </w:rPr>
        <w:t xml:space="preserve"> : « وربّ ».</w:t>
      </w:r>
    </w:p>
    <w:p w:rsidR="00744A1C" w:rsidRDefault="00E378DD" w:rsidP="00E378DD">
      <w:pPr>
        <w:pStyle w:val="libFootnote0"/>
        <w:rPr>
          <w:lang w:bidi="fa-IR"/>
        </w:rPr>
      </w:pPr>
      <w:r>
        <w:rPr>
          <w:rtl/>
          <w:lang w:bidi="fa-IR"/>
        </w:rPr>
        <w:t>(9).</w:t>
      </w:r>
      <w:r w:rsidR="00744A1C">
        <w:rPr>
          <w:rtl/>
          <w:lang w:bidi="fa-IR"/>
        </w:rPr>
        <w:t xml:space="preserve"> في </w:t>
      </w:r>
      <w:r w:rsidR="00744A1C" w:rsidRPr="007F229D">
        <w:rPr>
          <w:rtl/>
        </w:rPr>
        <w:t>الوسائل</w:t>
      </w:r>
      <w:r w:rsidR="00744A1C">
        <w:rPr>
          <w:rtl/>
          <w:lang w:bidi="fa-IR"/>
        </w:rPr>
        <w:t xml:space="preserve"> ، ح 19832 : - « كان له عند الله كسبعين » إلى هنا.</w:t>
      </w:r>
    </w:p>
    <w:p w:rsidR="00744A1C" w:rsidRDefault="00E378DD" w:rsidP="00E378DD">
      <w:pPr>
        <w:pStyle w:val="libFootnote0"/>
        <w:rPr>
          <w:lang w:bidi="fa-IR"/>
        </w:rPr>
      </w:pPr>
      <w:r>
        <w:rPr>
          <w:rtl/>
          <w:lang w:bidi="fa-IR"/>
        </w:rPr>
        <w:t>(10).</w:t>
      </w:r>
      <w:r w:rsidR="00744A1C">
        <w:rPr>
          <w:rtl/>
          <w:lang w:bidi="fa-IR"/>
        </w:rPr>
        <w:t xml:space="preserve"> في الأمالي للصدوق والعيون : « أو بات ».</w:t>
      </w:r>
    </w:p>
    <w:p w:rsidR="00744A1C" w:rsidRDefault="00E378DD" w:rsidP="00E378DD">
      <w:pPr>
        <w:pStyle w:val="libFootnote0"/>
        <w:rPr>
          <w:lang w:bidi="fa-IR"/>
        </w:rPr>
      </w:pPr>
      <w:r>
        <w:rPr>
          <w:rtl/>
          <w:lang w:bidi="fa-IR"/>
        </w:rPr>
        <w:t>(11).</w:t>
      </w:r>
      <w:r w:rsidR="00744A1C">
        <w:rPr>
          <w:rtl/>
          <w:lang w:bidi="fa-IR"/>
        </w:rPr>
        <w:t xml:space="preserve"> هكذا في معظم النسخ التي قوبلت </w:t>
      </w:r>
      <w:r w:rsidR="00744A1C" w:rsidRPr="007F229D">
        <w:rPr>
          <w:rtl/>
        </w:rPr>
        <w:t>والوافي والوسائل</w:t>
      </w:r>
      <w:r w:rsidR="00744A1C">
        <w:rPr>
          <w:rtl/>
          <w:lang w:bidi="fa-IR"/>
        </w:rPr>
        <w:t xml:space="preserve"> ، ح 19832 </w:t>
      </w:r>
      <w:r w:rsidR="00744A1C" w:rsidRPr="007F229D">
        <w:rPr>
          <w:rtl/>
        </w:rPr>
        <w:t>والتهذيب وكامل الزيارات</w:t>
      </w:r>
      <w:r w:rsidR="00744A1C">
        <w:rPr>
          <w:rtl/>
          <w:lang w:bidi="fa-IR"/>
        </w:rPr>
        <w:t xml:space="preserve"> والأمالي للصدوق والعيون. وفي « ى » والمطبوع : - « فقلت كمن زار الله في عرشه ».</w:t>
      </w:r>
    </w:p>
    <w:p w:rsidR="00744A1C" w:rsidRDefault="00E378DD" w:rsidP="00E378DD">
      <w:pPr>
        <w:pStyle w:val="libFootnote0"/>
        <w:rPr>
          <w:lang w:bidi="fa-IR"/>
        </w:rPr>
      </w:pPr>
      <w:r>
        <w:rPr>
          <w:rtl/>
          <w:lang w:bidi="fa-IR"/>
        </w:rPr>
        <w:t>(12).</w:t>
      </w:r>
      <w:r w:rsidR="00744A1C">
        <w:rPr>
          <w:rtl/>
          <w:lang w:bidi="fa-IR"/>
        </w:rPr>
        <w:t xml:space="preserve"> في </w:t>
      </w:r>
      <w:r w:rsidR="00744A1C" w:rsidRPr="007F229D">
        <w:rPr>
          <w:rtl/>
        </w:rPr>
        <w:t>التهذيب وكامل الزيارات</w:t>
      </w:r>
      <w:r w:rsidR="00744A1C">
        <w:rPr>
          <w:rtl/>
          <w:lang w:bidi="fa-IR"/>
        </w:rPr>
        <w:t xml:space="preserve"> والأمالي للصدوق والعيون : « الله ».</w:t>
      </w:r>
    </w:p>
    <w:tbl>
      <w:tblPr>
        <w:tblStyle w:val="TableGrid"/>
        <w:bidiVisual/>
        <w:tblW w:w="0" w:type="auto"/>
        <w:tblLook w:val="04A0" w:firstRow="1" w:lastRow="0" w:firstColumn="1" w:lastColumn="0" w:noHBand="0" w:noVBand="1"/>
      </w:tblPr>
      <w:tblGrid>
        <w:gridCol w:w="4006"/>
        <w:gridCol w:w="4006"/>
      </w:tblGrid>
      <w:tr w:rsidR="007F229D" w:rsidTr="007F229D">
        <w:tc>
          <w:tcPr>
            <w:tcW w:w="4006" w:type="dxa"/>
          </w:tcPr>
          <w:p w:rsidR="007F229D" w:rsidRDefault="007F229D" w:rsidP="00E378DD">
            <w:pPr>
              <w:pStyle w:val="libFootnote0"/>
              <w:rPr>
                <w:rtl/>
                <w:lang w:bidi="fa-IR"/>
              </w:rPr>
            </w:pPr>
            <w:r>
              <w:rPr>
                <w:rtl/>
                <w:lang w:bidi="fa-IR"/>
              </w:rPr>
              <w:t xml:space="preserve">(13). في </w:t>
            </w:r>
            <w:r w:rsidRPr="00F260C6">
              <w:rPr>
                <w:rtl/>
              </w:rPr>
              <w:t>كامل الزيارات</w:t>
            </w:r>
            <w:r>
              <w:rPr>
                <w:rtl/>
                <w:lang w:bidi="fa-IR"/>
              </w:rPr>
              <w:t xml:space="preserve"> : « أمّا ».</w:t>
            </w:r>
          </w:p>
        </w:tc>
        <w:tc>
          <w:tcPr>
            <w:tcW w:w="4006" w:type="dxa"/>
          </w:tcPr>
          <w:p w:rsidR="007F229D" w:rsidRDefault="007F229D" w:rsidP="00E378DD">
            <w:pPr>
              <w:pStyle w:val="libFootnote0"/>
              <w:rPr>
                <w:rtl/>
                <w:lang w:bidi="fa-IR"/>
              </w:rPr>
            </w:pPr>
            <w:r>
              <w:rPr>
                <w:rtl/>
                <w:lang w:bidi="fa-IR"/>
              </w:rPr>
              <w:t xml:space="preserve">(14). في </w:t>
            </w:r>
            <w:r w:rsidRPr="00F260C6">
              <w:rPr>
                <w:rtl/>
              </w:rPr>
              <w:t>كامل الزيارات</w:t>
            </w:r>
            <w:r>
              <w:rPr>
                <w:rtl/>
                <w:lang w:bidi="fa-IR"/>
              </w:rPr>
              <w:t xml:space="preserve"> : + « الذين هم ».</w:t>
            </w:r>
          </w:p>
        </w:tc>
      </w:tr>
    </w:tbl>
    <w:p w:rsidR="00744A1C" w:rsidRDefault="00E378DD" w:rsidP="00E378DD">
      <w:pPr>
        <w:pStyle w:val="libFootnote0"/>
        <w:rPr>
          <w:lang w:bidi="fa-IR"/>
        </w:rPr>
      </w:pPr>
      <w:r>
        <w:rPr>
          <w:rtl/>
          <w:lang w:bidi="fa-IR"/>
        </w:rPr>
        <w:t>(15).</w:t>
      </w:r>
      <w:r w:rsidR="00744A1C">
        <w:rPr>
          <w:rtl/>
          <w:lang w:bidi="fa-IR"/>
        </w:rPr>
        <w:t xml:space="preserve"> في </w:t>
      </w:r>
      <w:r w:rsidR="00744A1C" w:rsidRPr="00F260C6">
        <w:rPr>
          <w:rtl/>
        </w:rPr>
        <w:t>التهذيب</w:t>
      </w:r>
      <w:r w:rsidR="00744A1C">
        <w:rPr>
          <w:rtl/>
          <w:lang w:bidi="fa-IR"/>
        </w:rPr>
        <w:t xml:space="preserve"> : « وأمّا الآخرون ». وفي الأمالي للصدوق والعيون : « وأمّا الأربعة الآخرون ».</w:t>
      </w:r>
    </w:p>
    <w:p w:rsidR="00744A1C" w:rsidRDefault="00744A1C" w:rsidP="00D10E3C">
      <w:pPr>
        <w:pStyle w:val="libFootnote0"/>
        <w:rPr>
          <w:lang w:bidi="fa-IR"/>
        </w:rPr>
      </w:pPr>
      <w:r>
        <w:rPr>
          <w:rtl/>
          <w:lang w:bidi="fa-IR"/>
        </w:rPr>
        <w:t xml:space="preserve">(16) في معظم النسخ </w:t>
      </w:r>
      <w:r w:rsidRPr="00F260C6">
        <w:rPr>
          <w:rtl/>
        </w:rPr>
        <w:t>والوسائل</w:t>
      </w:r>
      <w:r>
        <w:rPr>
          <w:rtl/>
          <w:lang w:bidi="fa-IR"/>
        </w:rPr>
        <w:t xml:space="preserve"> ، ح 19832 </w:t>
      </w:r>
      <w:r w:rsidRPr="00F260C6">
        <w:rPr>
          <w:rtl/>
        </w:rPr>
        <w:t>والبحار</w:t>
      </w:r>
      <w:r>
        <w:rPr>
          <w:rtl/>
          <w:lang w:bidi="fa-IR"/>
        </w:rPr>
        <w:t xml:space="preserve"> : « محمّد ».</w:t>
      </w:r>
    </w:p>
    <w:p w:rsidR="00150943" w:rsidRDefault="00150943" w:rsidP="00D10E3C">
      <w:pPr>
        <w:pStyle w:val="libNormal"/>
        <w:rPr>
          <w:rtl/>
          <w:lang w:bidi="fa-IR"/>
        </w:rPr>
      </w:pPr>
      <w:r>
        <w:rPr>
          <w:rtl/>
          <w:lang w:bidi="fa-IR"/>
        </w:rPr>
        <w:br w:type="page"/>
      </w:r>
    </w:p>
    <w:p w:rsidR="00144FA6" w:rsidRDefault="00744A1C" w:rsidP="00F260C6">
      <w:pPr>
        <w:pStyle w:val="libNormal0"/>
        <w:rPr>
          <w:rtl/>
          <w:lang w:bidi="fa-IR"/>
        </w:rPr>
      </w:pPr>
      <w:r>
        <w:rPr>
          <w:rtl/>
          <w:lang w:bidi="fa-IR"/>
        </w:rPr>
        <w:lastRenderedPageBreak/>
        <w:t xml:space="preserve">وَالْحُسَيْنُ </w:t>
      </w:r>
      <w:r w:rsidR="008859AA" w:rsidRPr="008859AA">
        <w:rPr>
          <w:rStyle w:val="libAlaemChar"/>
          <w:rtl/>
        </w:rPr>
        <w:t>عليهما‌السلام</w:t>
      </w:r>
      <w:r>
        <w:rPr>
          <w:rtl/>
          <w:lang w:bidi="fa-IR"/>
        </w:rPr>
        <w:t xml:space="preserve">، ثُمَّ يُمَدُّ الْمِضْمَارُ </w:t>
      </w:r>
      <w:r w:rsidRPr="00D10E3C">
        <w:rPr>
          <w:rStyle w:val="libFootnotenumChar"/>
          <w:rtl/>
        </w:rPr>
        <w:t>(1)</w:t>
      </w:r>
      <w:r>
        <w:rPr>
          <w:rtl/>
          <w:lang w:bidi="fa-IR"/>
        </w:rPr>
        <w:t xml:space="preserve"> ، فَيَقْعُدُ مَعَنَا مَنْ زَارَ </w:t>
      </w:r>
      <w:r w:rsidRPr="00D10E3C">
        <w:rPr>
          <w:rStyle w:val="libFootnotenumChar"/>
          <w:rtl/>
        </w:rPr>
        <w:t>(2)</w:t>
      </w:r>
      <w:r w:rsidR="00F260C6">
        <w:rPr>
          <w:rtl/>
          <w:lang w:bidi="fa-IR"/>
        </w:rPr>
        <w:t xml:space="preserve"> قُبُورَ الْأَئِمَّةِ ، إِل</w:t>
      </w:r>
      <w:r w:rsidR="00F260C6">
        <w:rPr>
          <w:rFonts w:hint="cs"/>
          <w:rtl/>
          <w:lang w:bidi="fa-IR"/>
        </w:rPr>
        <w:t>َّ</w:t>
      </w:r>
      <w:r w:rsidR="00F260C6">
        <w:rPr>
          <w:rtl/>
          <w:lang w:bidi="fa-IR"/>
        </w:rPr>
        <w:t>ا</w:t>
      </w:r>
      <w:r>
        <w:rPr>
          <w:rtl/>
          <w:lang w:bidi="fa-IR"/>
        </w:rPr>
        <w:t xml:space="preserve"> أَنَّ أَعْلَاهُمْ دَرَجَةً وَأَقْرَبَهُمْ حَبْوَةً </w:t>
      </w:r>
      <w:r w:rsidRPr="00D10E3C">
        <w:rPr>
          <w:rStyle w:val="libFootnotenumChar"/>
          <w:rtl/>
        </w:rPr>
        <w:t>(3)</w:t>
      </w:r>
      <w:r>
        <w:rPr>
          <w:rtl/>
          <w:lang w:bidi="fa-IR"/>
        </w:rPr>
        <w:t xml:space="preserve"> ، زُوَّارُ </w:t>
      </w:r>
      <w:r w:rsidRPr="00D10E3C">
        <w:rPr>
          <w:rStyle w:val="libFootnotenumChar"/>
          <w:rtl/>
        </w:rPr>
        <w:t>(4)</w:t>
      </w:r>
      <w:r>
        <w:rPr>
          <w:rtl/>
          <w:lang w:bidi="fa-IR"/>
        </w:rPr>
        <w:t xml:space="preserve"> قَبْرِ وَلَدِي عَلِيٍّ </w:t>
      </w:r>
      <w:r w:rsidRPr="00D10E3C">
        <w:rPr>
          <w:rStyle w:val="libFootnotenumChar"/>
          <w:rtl/>
        </w:rPr>
        <w:t>(5)</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w:t>
      </w:r>
      <w:r w:rsidRPr="00D10E3C">
        <w:rPr>
          <w:rStyle w:val="libFootnotenumChar"/>
          <w:rtl/>
        </w:rPr>
        <w:t>(6)</w:t>
      </w:r>
    </w:p>
    <w:p w:rsidR="00144FA6" w:rsidRDefault="00744A1C" w:rsidP="00744A1C">
      <w:pPr>
        <w:pStyle w:val="libNormal"/>
        <w:rPr>
          <w:rtl/>
          <w:lang w:bidi="fa-IR"/>
        </w:rPr>
      </w:pPr>
      <w:r>
        <w:rPr>
          <w:rtl/>
          <w:lang w:bidi="fa-IR"/>
        </w:rPr>
        <w:t>8184 / 5. عِدَّةٌ مِنْ أَصْحَابِنَا ، عَنْ سَهْلِ بْنِ زِيَادٍ ، عَنْ مُحَمَّدِ بْنِ الْحُسَيْنِ ، عَنْ مُحَمَّدِ بْنِ إِسْمَاعِيلَ ، عَنْ صَالِحِ بْنِ عُقْبَةَ ، عَنْ زَيْدٍ الشَّحَّامِ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مَا لِمَنْ زَارَ </w:t>
      </w:r>
      <w:r w:rsidRPr="00D10E3C">
        <w:rPr>
          <w:rStyle w:val="libFootnotenumChar"/>
          <w:rtl/>
        </w:rPr>
        <w:t>(7)</w:t>
      </w:r>
      <w:r>
        <w:rPr>
          <w:rtl/>
          <w:lang w:bidi="fa-IR"/>
        </w:rPr>
        <w:t xml:space="preserve"> رَسُولَ اللهِ </w:t>
      </w:r>
      <w:r w:rsidR="004D054E" w:rsidRPr="004D054E">
        <w:rPr>
          <w:rStyle w:val="libAlaemChar"/>
          <w:rtl/>
        </w:rPr>
        <w:t>صلى‌الله‌عليه‌وآله</w:t>
      </w:r>
      <w:r w:rsidR="00D10E3C">
        <w:rPr>
          <w:rtl/>
          <w:lang w:bidi="fa-IR"/>
        </w:rPr>
        <w:t xml:space="preserve"> </w:t>
      </w:r>
      <w:r w:rsidRPr="00D10E3C">
        <w:rPr>
          <w:rStyle w:val="libFootnotenumChar"/>
          <w:rtl/>
        </w:rPr>
        <w:t>(8)</w:t>
      </w:r>
      <w:r>
        <w:rPr>
          <w:rtl/>
          <w:lang w:bidi="fa-IR"/>
        </w:rPr>
        <w:t>؟</w:t>
      </w:r>
    </w:p>
    <w:p w:rsidR="00744A1C" w:rsidRDefault="00744A1C" w:rsidP="00744A1C">
      <w:pPr>
        <w:pStyle w:val="libNormal"/>
        <w:rPr>
          <w:lang w:bidi="fa-IR"/>
        </w:rPr>
      </w:pPr>
      <w:r>
        <w:rPr>
          <w:rtl/>
          <w:lang w:bidi="fa-IR"/>
        </w:rPr>
        <w:t xml:space="preserve">قَالَ : « كَمَنْ زَارَ اللهَ - عَزَّ وَجَلَّ - فَوْقَ </w:t>
      </w:r>
      <w:r w:rsidRPr="00D10E3C">
        <w:rPr>
          <w:rStyle w:val="libFootnotenumChar"/>
          <w:rtl/>
        </w:rPr>
        <w:t>(9)</w:t>
      </w:r>
      <w:r>
        <w:rPr>
          <w:rtl/>
          <w:lang w:bidi="fa-IR"/>
        </w:rPr>
        <w:t xml:space="preserve"> عَرْشِهِ </w:t>
      </w:r>
      <w:r w:rsidRPr="00D10E3C">
        <w:rPr>
          <w:rStyle w:val="libFootnotenumChar"/>
          <w:rtl/>
        </w:rPr>
        <w:t>(10)</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جميع النسخ التي قوبلت </w:t>
      </w:r>
      <w:r w:rsidR="00744A1C" w:rsidRPr="00F260C6">
        <w:rPr>
          <w:rtl/>
        </w:rPr>
        <w:t>والوسائل</w:t>
      </w:r>
      <w:r w:rsidR="00744A1C">
        <w:rPr>
          <w:rtl/>
          <w:lang w:bidi="fa-IR"/>
        </w:rPr>
        <w:t xml:space="preserve"> ، ح 19832 </w:t>
      </w:r>
      <w:r w:rsidR="00744A1C" w:rsidRPr="00F260C6">
        <w:rPr>
          <w:rtl/>
        </w:rPr>
        <w:t>والبحار</w:t>
      </w:r>
      <w:r w:rsidR="00744A1C">
        <w:rPr>
          <w:rtl/>
          <w:lang w:bidi="fa-IR"/>
        </w:rPr>
        <w:t xml:space="preserve"> : « الطعام ». وفي حاشية « بح » والعيون : « المطمار ». وفي الأمالي للصدوق : « المطمر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ثمّ يمدّ المضمار ؛ كذا وجدناه في أكثر النسخ ، ويشبه أن يكون تصحيفاً. وربما يوجد في بعضها : « ثمّ يمدّ الطعام » وتوجيهه لايخلو من تكلّف. والصواب « المطمار » كما وجدناه في </w:t>
      </w:r>
      <w:r w:rsidRPr="00F260C6">
        <w:rPr>
          <w:rtl/>
        </w:rPr>
        <w:t>عيون الأخبار</w:t>
      </w:r>
      <w:r>
        <w:rPr>
          <w:rtl/>
          <w:lang w:bidi="fa-IR"/>
        </w:rPr>
        <w:t xml:space="preserve"> في هذا الحديث بعينه ، وهو الخيط الذي يقدّر به البناء. يعني ثمّ يوضع ميزان لتعرف درجات الناس في المنازل ، </w:t>
      </w:r>
      <w:r w:rsidR="00F260C6">
        <w:rPr>
          <w:rtl/>
          <w:lang w:bidi="fa-IR"/>
        </w:rPr>
        <w:t>وقد مرّ نظيره في الإيمان والكفر</w:t>
      </w:r>
      <w:r>
        <w:rPr>
          <w:rtl/>
          <w:lang w:bidi="fa-IR"/>
        </w:rPr>
        <w:t>».</w:t>
      </w:r>
    </w:p>
    <w:p w:rsidR="00744A1C" w:rsidRDefault="00E378DD" w:rsidP="00E378DD">
      <w:pPr>
        <w:pStyle w:val="libFootnote0"/>
        <w:rPr>
          <w:lang w:bidi="fa-IR"/>
        </w:rPr>
      </w:pPr>
      <w:r>
        <w:rPr>
          <w:rtl/>
          <w:lang w:bidi="fa-IR"/>
        </w:rPr>
        <w:t>(2).</w:t>
      </w:r>
      <w:r w:rsidR="00744A1C">
        <w:rPr>
          <w:rtl/>
          <w:lang w:bidi="fa-IR"/>
        </w:rPr>
        <w:t xml:space="preserve"> في </w:t>
      </w:r>
      <w:r w:rsidR="00744A1C" w:rsidRPr="00F260C6">
        <w:rPr>
          <w:rtl/>
        </w:rPr>
        <w:t>الوسائل</w:t>
      </w:r>
      <w:r w:rsidR="00744A1C">
        <w:rPr>
          <w:rtl/>
          <w:lang w:bidi="fa-IR"/>
        </w:rPr>
        <w:t xml:space="preserve"> ، ح 19832 والأمالي للصدوق والعيون : « زوّار » بدل « من زار ».</w:t>
      </w:r>
    </w:p>
    <w:p w:rsidR="00744A1C" w:rsidRDefault="00E378DD" w:rsidP="00E378DD">
      <w:pPr>
        <w:pStyle w:val="libFootnote0"/>
        <w:rPr>
          <w:lang w:bidi="fa-IR"/>
        </w:rPr>
      </w:pPr>
      <w:r>
        <w:rPr>
          <w:rtl/>
          <w:lang w:bidi="fa-IR"/>
        </w:rPr>
        <w:t>(3).</w:t>
      </w:r>
      <w:r w:rsidR="00744A1C">
        <w:rPr>
          <w:rtl/>
          <w:lang w:bidi="fa-IR"/>
        </w:rPr>
        <w:t xml:space="preserve"> في الأمالي للصدوق : « حياة ». والحِباءُ والحَبْوَة والحِبْوَة : العطاء ، والعطيّة ، والقرب ، والارتفاع. ا</w:t>
      </w:r>
      <w:r w:rsidR="00F260C6">
        <w:rPr>
          <w:rFonts w:hint="cs"/>
          <w:rtl/>
          <w:lang w:bidi="fa-IR"/>
        </w:rPr>
        <w:t>ُ</w:t>
      </w:r>
      <w:r w:rsidR="00744A1C">
        <w:rPr>
          <w:rtl/>
          <w:lang w:bidi="fa-IR"/>
        </w:rPr>
        <w:t xml:space="preserve">نظر : </w:t>
      </w:r>
      <w:r w:rsidR="00744A1C" w:rsidRPr="00877682">
        <w:rPr>
          <w:rStyle w:val="libFootnoteBoldChar"/>
          <w:rtl/>
        </w:rPr>
        <w:t>لسان العرب</w:t>
      </w:r>
      <w:r w:rsidR="00744A1C">
        <w:rPr>
          <w:rtl/>
          <w:lang w:bidi="fa-IR"/>
        </w:rPr>
        <w:t xml:space="preserve"> ، ج 14 ، ص 162 ؛ </w:t>
      </w:r>
      <w:r w:rsidR="00744A1C" w:rsidRPr="008A57EB">
        <w:rPr>
          <w:rStyle w:val="libFootnoteBoldChar"/>
          <w:rtl/>
        </w:rPr>
        <w:t>مجمع البحرين</w:t>
      </w:r>
      <w:r w:rsidR="00744A1C">
        <w:rPr>
          <w:rtl/>
          <w:lang w:bidi="fa-IR"/>
        </w:rPr>
        <w:t xml:space="preserve"> ، ج 1 ، ص 94 ( حبو ).</w:t>
      </w:r>
    </w:p>
    <w:tbl>
      <w:tblPr>
        <w:tblStyle w:val="TableGrid"/>
        <w:bidiVisual/>
        <w:tblW w:w="0" w:type="auto"/>
        <w:tblLook w:val="04A0" w:firstRow="1" w:lastRow="0" w:firstColumn="1" w:lastColumn="0" w:noHBand="0" w:noVBand="1"/>
      </w:tblPr>
      <w:tblGrid>
        <w:gridCol w:w="4006"/>
        <w:gridCol w:w="4006"/>
      </w:tblGrid>
      <w:tr w:rsidR="00F260C6" w:rsidTr="00F260C6">
        <w:tc>
          <w:tcPr>
            <w:tcW w:w="4006" w:type="dxa"/>
          </w:tcPr>
          <w:p w:rsidR="00F260C6" w:rsidRDefault="00F260C6" w:rsidP="00E378DD">
            <w:pPr>
              <w:pStyle w:val="libFootnote0"/>
              <w:rPr>
                <w:rtl/>
                <w:lang w:bidi="fa-IR"/>
              </w:rPr>
            </w:pPr>
            <w:r>
              <w:rPr>
                <w:rtl/>
                <w:lang w:bidi="fa-IR"/>
              </w:rPr>
              <w:t xml:space="preserve">(4). في </w:t>
            </w:r>
            <w:r w:rsidRPr="00F260C6">
              <w:rPr>
                <w:rtl/>
              </w:rPr>
              <w:t>كامل الزيارات</w:t>
            </w:r>
            <w:r>
              <w:rPr>
                <w:rtl/>
                <w:lang w:bidi="fa-IR"/>
              </w:rPr>
              <w:t xml:space="preserve"> : « من زار » بدل « زوّار ».</w:t>
            </w:r>
          </w:p>
        </w:tc>
        <w:tc>
          <w:tcPr>
            <w:tcW w:w="4006" w:type="dxa"/>
          </w:tcPr>
          <w:p w:rsidR="00F260C6" w:rsidRDefault="00F260C6" w:rsidP="00E378DD">
            <w:pPr>
              <w:pStyle w:val="libFootnote0"/>
              <w:rPr>
                <w:rtl/>
                <w:lang w:bidi="fa-IR"/>
              </w:rPr>
            </w:pPr>
            <w:r>
              <w:rPr>
                <w:rtl/>
                <w:lang w:bidi="fa-IR"/>
              </w:rPr>
              <w:t xml:space="preserve">(5). في </w:t>
            </w:r>
            <w:r w:rsidRPr="00F260C6">
              <w:rPr>
                <w:rtl/>
              </w:rPr>
              <w:t>البحار</w:t>
            </w:r>
            <w:r>
              <w:rPr>
                <w:rtl/>
                <w:lang w:bidi="fa-IR"/>
              </w:rPr>
              <w:t xml:space="preserve"> : - « عليّ ».</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84 ، ح 167 ، معلّقاً عن الكليني ؛ </w:t>
      </w:r>
      <w:r w:rsidR="00744A1C" w:rsidRPr="007B299E">
        <w:rPr>
          <w:rStyle w:val="libFootnoteBoldChar"/>
          <w:rtl/>
        </w:rPr>
        <w:t>كامل الزيارات</w:t>
      </w:r>
      <w:r w:rsidR="00744A1C">
        <w:rPr>
          <w:rtl/>
          <w:lang w:bidi="fa-IR"/>
        </w:rPr>
        <w:t xml:space="preserve"> ، ص 307 ، الباب 101 ، ح 13 ، عن محمّد بن يعقوب. وفي </w:t>
      </w:r>
      <w:r w:rsidR="00744A1C" w:rsidRPr="00F260C6">
        <w:rPr>
          <w:rStyle w:val="libFootnoteBoldChar"/>
          <w:rtl/>
        </w:rPr>
        <w:t>الأمالي للصدوق</w:t>
      </w:r>
      <w:r w:rsidR="00744A1C">
        <w:rPr>
          <w:rtl/>
          <w:lang w:bidi="fa-IR"/>
        </w:rPr>
        <w:t xml:space="preserve"> ، ص 120 ، المجلس 25 ، ح 6 ؛ </w:t>
      </w:r>
      <w:r w:rsidR="00744A1C" w:rsidRPr="00F260C6">
        <w:rPr>
          <w:rStyle w:val="libFootnoteBoldChar"/>
          <w:rtl/>
        </w:rPr>
        <w:t>وعي</w:t>
      </w:r>
      <w:r w:rsidR="00744A1C" w:rsidRPr="00877682">
        <w:rPr>
          <w:rStyle w:val="libFootnoteBoldChar"/>
          <w:rtl/>
        </w:rPr>
        <w:t>ون الأخبار</w:t>
      </w:r>
      <w:r w:rsidR="00744A1C">
        <w:rPr>
          <w:rtl/>
          <w:lang w:bidi="fa-IR"/>
        </w:rPr>
        <w:t xml:space="preserve"> ، ج 2 ، ص 259 ، ح 20 ، بسند آخر. وراجع : </w:t>
      </w:r>
      <w:r w:rsidR="00744A1C" w:rsidRPr="0061079A">
        <w:rPr>
          <w:rStyle w:val="libFootnoteBoldChar"/>
          <w:rtl/>
        </w:rPr>
        <w:t>الكافي</w:t>
      </w:r>
      <w:r w:rsidR="00744A1C">
        <w:rPr>
          <w:rtl/>
          <w:lang w:bidi="fa-IR"/>
        </w:rPr>
        <w:t xml:space="preserve"> ، كتاب التوحيد ، باب العرش والكرسي ، ح 344 </w:t>
      </w:r>
      <w:r w:rsidR="00F260C6">
        <w:rPr>
          <w:rFonts w:hint="cs"/>
          <w:rtl/>
          <w:lang w:bidi="fa-IR"/>
        </w:rPr>
        <w:t>.</w:t>
      </w:r>
      <w:r w:rsidR="00744A1C" w:rsidRPr="00C24F9C">
        <w:rPr>
          <w:rStyle w:val="libFootnoteBoldChar"/>
          <w:rtl/>
        </w:rPr>
        <w:t>الوافي</w:t>
      </w:r>
      <w:r w:rsidR="00744A1C">
        <w:rPr>
          <w:rtl/>
          <w:lang w:bidi="fa-IR"/>
        </w:rPr>
        <w:t xml:space="preserve"> ، ج 14 ، ص 1544 ، ح 14632 ؛ </w:t>
      </w:r>
      <w:r w:rsidR="00744A1C" w:rsidRPr="00C24F9C">
        <w:rPr>
          <w:rStyle w:val="libFootnoteBoldChar"/>
          <w:rtl/>
        </w:rPr>
        <w:t>الوسائل</w:t>
      </w:r>
      <w:r w:rsidR="00744A1C">
        <w:rPr>
          <w:rtl/>
          <w:lang w:bidi="fa-IR"/>
        </w:rPr>
        <w:t xml:space="preserve"> ، ج 14 ، ص 564 ، ح 19832 ؛ </w:t>
      </w:r>
      <w:r w:rsidR="00744A1C" w:rsidRPr="00F260C6">
        <w:rPr>
          <w:rStyle w:val="libFootnoteBoldChar"/>
          <w:rtl/>
        </w:rPr>
        <w:t>وفيه</w:t>
      </w:r>
      <w:r w:rsidR="00744A1C">
        <w:rPr>
          <w:rtl/>
          <w:lang w:bidi="fa-IR"/>
        </w:rPr>
        <w:t xml:space="preserve"> ، ص 565 ، ح 19833 ، إلى قوله : « كان كمن زار الله في عرشه » ؛ </w:t>
      </w:r>
      <w:r w:rsidR="00744A1C" w:rsidRPr="0061079A">
        <w:rPr>
          <w:rStyle w:val="libFootnoteBoldChar"/>
          <w:rtl/>
        </w:rPr>
        <w:t>البحار</w:t>
      </w:r>
      <w:r w:rsidR="00744A1C">
        <w:rPr>
          <w:rtl/>
          <w:lang w:bidi="fa-IR"/>
        </w:rPr>
        <w:t xml:space="preserve"> ، ج 100 ، ص 123 ، ح 29 ، </w:t>
      </w:r>
      <w:r w:rsidR="00F260C6">
        <w:rPr>
          <w:rtl/>
          <w:lang w:bidi="fa-IR"/>
        </w:rPr>
        <w:t>من قوله : « إذا كان يوم القيامة</w:t>
      </w:r>
      <w:r w:rsidR="00744A1C">
        <w:rPr>
          <w:rtl/>
          <w:lang w:bidi="fa-IR"/>
        </w:rPr>
        <w:t>».</w:t>
      </w:r>
    </w:p>
    <w:p w:rsidR="00744A1C" w:rsidRDefault="00E378DD" w:rsidP="00E378DD">
      <w:pPr>
        <w:pStyle w:val="libFootnote0"/>
        <w:rPr>
          <w:lang w:bidi="fa-IR"/>
        </w:rPr>
      </w:pPr>
      <w:r>
        <w:rPr>
          <w:rtl/>
          <w:lang w:bidi="fa-IR"/>
        </w:rPr>
        <w:t>(7).</w:t>
      </w:r>
      <w:r w:rsidR="00744A1C">
        <w:rPr>
          <w:rtl/>
          <w:lang w:bidi="fa-IR"/>
        </w:rPr>
        <w:t xml:space="preserve"> في « بح » والمزار ، ص 169 </w:t>
      </w:r>
      <w:r w:rsidR="00744A1C" w:rsidRPr="00F260C6">
        <w:rPr>
          <w:rtl/>
        </w:rPr>
        <w:t>وكامل الزيارات</w:t>
      </w:r>
      <w:r w:rsidR="00744A1C">
        <w:rPr>
          <w:rtl/>
          <w:lang w:bidi="fa-IR"/>
        </w:rPr>
        <w:t xml:space="preserve"> ، ص 15 وص 147 : + « قبر ».</w:t>
      </w:r>
    </w:p>
    <w:p w:rsidR="00744A1C" w:rsidRDefault="00E378DD" w:rsidP="00E378DD">
      <w:pPr>
        <w:pStyle w:val="libFootnote0"/>
        <w:rPr>
          <w:lang w:bidi="fa-IR"/>
        </w:rPr>
      </w:pPr>
      <w:r>
        <w:rPr>
          <w:rtl/>
          <w:lang w:bidi="fa-IR"/>
        </w:rPr>
        <w:t>(8).</w:t>
      </w:r>
      <w:r w:rsidR="00744A1C">
        <w:rPr>
          <w:rtl/>
          <w:lang w:bidi="fa-IR"/>
        </w:rPr>
        <w:t xml:space="preserve"> في </w:t>
      </w:r>
      <w:r w:rsidR="00744A1C" w:rsidRPr="007B299E">
        <w:rPr>
          <w:rStyle w:val="libFootnoteBoldChar"/>
          <w:rtl/>
        </w:rPr>
        <w:t>كامل الزيارات</w:t>
      </w:r>
      <w:r w:rsidR="00744A1C">
        <w:rPr>
          <w:rtl/>
          <w:lang w:bidi="fa-IR"/>
        </w:rPr>
        <w:t xml:space="preserve"> ، ص 147 : « الحسين </w:t>
      </w:r>
      <w:r w:rsidR="0061079A" w:rsidRPr="0061079A">
        <w:rPr>
          <w:rStyle w:val="libFootnoteAlaemChar"/>
          <w:rtl/>
        </w:rPr>
        <w:t>عليه‌السلام</w:t>
      </w:r>
      <w:r w:rsidR="00D10E3C">
        <w:rPr>
          <w:rtl/>
          <w:lang w:bidi="fa-IR"/>
        </w:rPr>
        <w:t xml:space="preserve"> </w:t>
      </w:r>
      <w:r w:rsidR="00744A1C">
        <w:rPr>
          <w:rtl/>
          <w:lang w:bidi="fa-IR"/>
        </w:rPr>
        <w:t xml:space="preserve">» بدل « رسول الله </w:t>
      </w:r>
      <w:r w:rsidR="00E843EA" w:rsidRPr="00E843EA">
        <w:rPr>
          <w:rStyle w:val="libFootnoteAlaemChar"/>
          <w:rtl/>
        </w:rPr>
        <w:t>صلى‌الله‌عليه‌وآله</w:t>
      </w:r>
      <w:r w:rsidR="00D10E3C">
        <w:rPr>
          <w:rtl/>
          <w:lang w:bidi="fa-IR"/>
        </w:rPr>
        <w:t xml:space="preserve"> </w:t>
      </w:r>
      <w:r w:rsidR="00744A1C">
        <w:rPr>
          <w:rtl/>
          <w:lang w:bidi="fa-IR"/>
        </w:rPr>
        <w:t xml:space="preserve">». وفي </w:t>
      </w:r>
      <w:r w:rsidR="00744A1C" w:rsidRPr="007B299E">
        <w:rPr>
          <w:rStyle w:val="libFootnoteBoldChar"/>
          <w:rtl/>
        </w:rPr>
        <w:t>كامل الزيارات</w:t>
      </w:r>
      <w:r w:rsidR="00744A1C">
        <w:rPr>
          <w:rtl/>
          <w:lang w:bidi="fa-IR"/>
        </w:rPr>
        <w:t xml:space="preserve"> ، ص 150 ، ح 4 : « الحسين </w:t>
      </w:r>
      <w:r w:rsidR="0061079A" w:rsidRPr="0061079A">
        <w:rPr>
          <w:rStyle w:val="libFootnoteAlaemChar"/>
          <w:rtl/>
        </w:rPr>
        <w:t>عليه‌السلام</w:t>
      </w:r>
      <w:r w:rsidR="00D10E3C">
        <w:rPr>
          <w:rtl/>
          <w:lang w:bidi="fa-IR"/>
        </w:rPr>
        <w:t xml:space="preserve"> </w:t>
      </w:r>
      <w:r w:rsidR="00744A1C">
        <w:rPr>
          <w:rtl/>
          <w:lang w:bidi="fa-IR"/>
        </w:rPr>
        <w:t xml:space="preserve">( رسول الله وعليّاً ) » بدل « رسول الله </w:t>
      </w:r>
      <w:r w:rsidR="00024D6D" w:rsidRPr="00024D6D">
        <w:rPr>
          <w:rStyle w:val="libFootnoteAlaemChar"/>
          <w:rtl/>
        </w:rPr>
        <w:t>صلى‌الله‌عليه‌وآله</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(9).</w:t>
      </w:r>
      <w:r w:rsidR="00744A1C">
        <w:rPr>
          <w:rtl/>
          <w:lang w:bidi="fa-IR"/>
        </w:rPr>
        <w:t xml:space="preserve"> في المزار ، ص 169 </w:t>
      </w:r>
      <w:r w:rsidR="00744A1C" w:rsidRPr="00F260C6">
        <w:rPr>
          <w:rStyle w:val="libFootnoteBoldChar"/>
          <w:rtl/>
        </w:rPr>
        <w:t>وكا</w:t>
      </w:r>
      <w:r w:rsidR="00744A1C" w:rsidRPr="007B299E">
        <w:rPr>
          <w:rStyle w:val="libFootnoteBoldChar"/>
          <w:rtl/>
        </w:rPr>
        <w:t>مل الزيارات</w:t>
      </w:r>
      <w:r w:rsidR="00744A1C">
        <w:rPr>
          <w:rtl/>
          <w:lang w:bidi="fa-IR"/>
        </w:rPr>
        <w:t xml:space="preserve"> ، ص 15 ، ص 147 وص 150 ، ح 4 : « في ».</w:t>
      </w:r>
    </w:p>
    <w:p w:rsidR="00144FA6" w:rsidRDefault="00E378DD" w:rsidP="00E378DD">
      <w:pPr>
        <w:pStyle w:val="libFootnote0"/>
        <w:rPr>
          <w:rtl/>
          <w:lang w:bidi="fa-IR"/>
        </w:rPr>
      </w:pPr>
      <w:r>
        <w:rPr>
          <w:rtl/>
          <w:lang w:bidi="fa-IR"/>
        </w:rPr>
        <w:t>(10).</w:t>
      </w:r>
      <w:r w:rsidR="00744A1C">
        <w:rPr>
          <w:rtl/>
          <w:lang w:bidi="fa-IR"/>
        </w:rPr>
        <w:t xml:space="preserve"> عن الشيخ الصدوق </w:t>
      </w:r>
      <w:r w:rsidR="00877682" w:rsidRPr="00877682">
        <w:rPr>
          <w:rStyle w:val="libFootnoteAlaemChar"/>
          <w:rtl/>
        </w:rPr>
        <w:t>رحمه‌الله</w:t>
      </w:r>
      <w:r w:rsidR="00F260C6" w:rsidRPr="00F260C6">
        <w:rPr>
          <w:rFonts w:hint="cs"/>
          <w:rtl/>
        </w:rPr>
        <w:t xml:space="preserve"> </w:t>
      </w:r>
      <w:r w:rsidR="00744A1C">
        <w:rPr>
          <w:rtl/>
          <w:lang w:bidi="fa-IR"/>
        </w:rPr>
        <w:t>في أماليه : « ليس بتشبيه ؛ لأنّ الملائكة تزور العرش ، وتلوذ به ، وتطوف حوله ، وتقول : نزور الله في عرشه ، كما يقول الناس : نحجّ بيت الله ، ونزور الله ، لا أنّ الله تعالى موصوف بمكان ».</w:t>
      </w:r>
      <w:r w:rsidR="004F26EE">
        <w:rPr>
          <w:rFonts w:hint="cs"/>
          <w:rtl/>
          <w:lang w:bidi="fa-IR"/>
        </w:rPr>
        <w:t xml:space="preserve"> =</w:t>
      </w:r>
    </w:p>
    <w:p w:rsidR="00150943" w:rsidRDefault="00150943"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قَالَ : قُلْتُ : فَمَا </w:t>
      </w:r>
      <w:r w:rsidRPr="00D10E3C">
        <w:rPr>
          <w:rStyle w:val="libFootnotenumChar"/>
          <w:rtl/>
        </w:rPr>
        <w:t>(1)</w:t>
      </w:r>
      <w:r>
        <w:rPr>
          <w:rtl/>
          <w:lang w:bidi="fa-IR"/>
        </w:rPr>
        <w:t xml:space="preserve"> لِمَنْ زَارَ أَحَداً مِنْكُمْ </w:t>
      </w:r>
      <w:r w:rsidRPr="00D10E3C">
        <w:rPr>
          <w:rStyle w:val="libFootnotenumChar"/>
          <w:rtl/>
        </w:rPr>
        <w:t>(2)</w:t>
      </w:r>
      <w:r>
        <w:rPr>
          <w:rtl/>
          <w:lang w:bidi="fa-IR"/>
        </w:rPr>
        <w:t>؟</w:t>
      </w:r>
    </w:p>
    <w:p w:rsidR="00144FA6" w:rsidRDefault="00744A1C" w:rsidP="00744A1C">
      <w:pPr>
        <w:pStyle w:val="libNormal"/>
        <w:rPr>
          <w:rtl/>
          <w:lang w:bidi="fa-IR"/>
        </w:rPr>
      </w:pPr>
      <w:r>
        <w:rPr>
          <w:rtl/>
          <w:lang w:bidi="fa-IR"/>
        </w:rPr>
        <w:t xml:space="preserve">قَالَ : « كَمَنْ زَارَ رَسُولَ اللهِ </w:t>
      </w:r>
      <w:r w:rsidR="0017097C" w:rsidRPr="0017097C">
        <w:rPr>
          <w:rStyle w:val="libAlaemChar"/>
          <w:rtl/>
        </w:rPr>
        <w:t>صلى‌الله‌عليه‌وآله</w:t>
      </w:r>
      <w:r w:rsidR="00D10E3C">
        <w:rPr>
          <w:rtl/>
          <w:lang w:bidi="fa-IR"/>
        </w:rPr>
        <w:t xml:space="preserve"> </w:t>
      </w:r>
      <w:r>
        <w:rPr>
          <w:rtl/>
          <w:lang w:bidi="fa-IR"/>
        </w:rPr>
        <w:t xml:space="preserve">». </w:t>
      </w:r>
      <w:r w:rsidRPr="00D10E3C">
        <w:rPr>
          <w:rStyle w:val="libFootnotenumChar"/>
          <w:rtl/>
        </w:rPr>
        <w:t>(3)</w:t>
      </w:r>
    </w:p>
    <w:p w:rsidR="00144FA6" w:rsidRDefault="00744A1C" w:rsidP="004F26EE">
      <w:pPr>
        <w:pStyle w:val="Heading2Center"/>
        <w:rPr>
          <w:rtl/>
          <w:lang w:bidi="fa-IR"/>
        </w:rPr>
      </w:pPr>
      <w:bookmarkStart w:id="83" w:name="_Toc49261381"/>
      <w:r>
        <w:rPr>
          <w:rtl/>
          <w:lang w:bidi="fa-IR"/>
        </w:rPr>
        <w:t xml:space="preserve">235 - بَابُ فَضْلِ الصَّلَاةِ فِي الْحَرَمَيْنِ وَإِتْمَامِ الصَّلَاةِ فِي الْمَواطِنِ الْأَرْبَعَةِ </w:t>
      </w:r>
      <w:r w:rsidRPr="00D10E3C">
        <w:rPr>
          <w:rStyle w:val="libFootnotenumChar"/>
          <w:rtl/>
        </w:rPr>
        <w:t>(4)</w:t>
      </w:r>
      <w:bookmarkEnd w:id="83"/>
    </w:p>
    <w:p w:rsidR="00144FA6" w:rsidRDefault="00744A1C" w:rsidP="00744A1C">
      <w:pPr>
        <w:pStyle w:val="libNormal"/>
        <w:rPr>
          <w:rtl/>
          <w:lang w:bidi="fa-IR"/>
        </w:rPr>
      </w:pPr>
      <w:r>
        <w:rPr>
          <w:rtl/>
          <w:lang w:bidi="fa-IR"/>
        </w:rPr>
        <w:t>8185 / 1. عَلِيُّ بْنُ إِبْرَاهِيمَ وَغَيْر</w:t>
      </w:r>
      <w:r w:rsidR="004F26EE">
        <w:rPr>
          <w:rtl/>
          <w:lang w:bidi="fa-IR"/>
        </w:rPr>
        <w:t>ُهُ ، عَنْ أَبِيهِ ، عَنْ خَل</w:t>
      </w:r>
      <w:r w:rsidR="004F26EE">
        <w:rPr>
          <w:rFonts w:hint="cs"/>
          <w:rtl/>
          <w:lang w:bidi="fa-IR"/>
        </w:rPr>
        <w:t>َّ</w:t>
      </w:r>
      <w:r w:rsidR="004F26EE">
        <w:rPr>
          <w:rtl/>
          <w:lang w:bidi="fa-IR"/>
        </w:rPr>
        <w:t>ا</w:t>
      </w:r>
      <w:r>
        <w:rPr>
          <w:rtl/>
          <w:lang w:bidi="fa-IR"/>
        </w:rPr>
        <w:t xml:space="preserve">دٍ الْقَلَانِسِيِّ </w:t>
      </w:r>
      <w:r w:rsidRPr="00D10E3C">
        <w:rPr>
          <w:rStyle w:val="libFootnotenumChar"/>
          <w:rtl/>
        </w:rPr>
        <w:t>(5)</w:t>
      </w:r>
      <w:r>
        <w:rPr>
          <w:rtl/>
          <w:lang w:bidi="fa-IR"/>
        </w:rPr>
        <w:t xml:space="preserve"> :</w:t>
      </w:r>
    </w:p>
    <w:p w:rsidR="00744A1C" w:rsidRDefault="00744A1C" w:rsidP="00D10E3C">
      <w:pPr>
        <w:pStyle w:val="libLine"/>
        <w:rPr>
          <w:lang w:bidi="fa-IR"/>
        </w:rPr>
      </w:pPr>
      <w:r>
        <w:rPr>
          <w:rtl/>
          <w:lang w:bidi="fa-IR"/>
        </w:rPr>
        <w:t>____________________</w:t>
      </w:r>
    </w:p>
    <w:p w:rsidR="00744A1C" w:rsidRDefault="004F26EE" w:rsidP="00D10E3C">
      <w:pPr>
        <w:pStyle w:val="libFootnote0"/>
        <w:rPr>
          <w:lang w:bidi="fa-IR"/>
        </w:rPr>
      </w:pPr>
      <w:r>
        <w:rPr>
          <w:rFonts w:hint="cs"/>
          <w:rtl/>
          <w:lang w:bidi="fa-IR"/>
        </w:rPr>
        <w:t xml:space="preserve">= </w:t>
      </w:r>
      <w:r w:rsidR="00744A1C">
        <w:rPr>
          <w:rtl/>
          <w:lang w:bidi="fa-IR"/>
        </w:rPr>
        <w:t xml:space="preserve">وقال الشيخ </w:t>
      </w:r>
      <w:r w:rsidR="00877682" w:rsidRPr="00877682">
        <w:rPr>
          <w:rStyle w:val="libFootnoteAlaemChar"/>
          <w:rtl/>
        </w:rPr>
        <w:t>رحمه‌الله</w:t>
      </w:r>
      <w:r w:rsidR="00A6581D" w:rsidRPr="00A6581D">
        <w:rPr>
          <w:rFonts w:hint="cs"/>
          <w:rtl/>
        </w:rPr>
        <w:t xml:space="preserve"> </w:t>
      </w:r>
      <w:r w:rsidR="00744A1C">
        <w:rPr>
          <w:rtl/>
          <w:lang w:bidi="fa-IR"/>
        </w:rPr>
        <w:t xml:space="preserve">في </w:t>
      </w:r>
      <w:r w:rsidR="00744A1C" w:rsidRPr="00C24F9C">
        <w:rPr>
          <w:rStyle w:val="libFootnoteBoldChar"/>
          <w:rtl/>
        </w:rPr>
        <w:t>التهذيب</w:t>
      </w:r>
      <w:r w:rsidR="00744A1C">
        <w:rPr>
          <w:rtl/>
          <w:lang w:bidi="fa-IR"/>
        </w:rPr>
        <w:t xml:space="preserve"> : « هو أنّ لزائره </w:t>
      </w:r>
      <w:r w:rsidR="0061079A" w:rsidRPr="0061079A">
        <w:rPr>
          <w:rStyle w:val="libFootnoteAlaemChar"/>
          <w:rtl/>
        </w:rPr>
        <w:t>عليه‌السلام</w:t>
      </w:r>
      <w:r w:rsidR="00D10E3C">
        <w:rPr>
          <w:rtl/>
          <w:lang w:bidi="fa-IR"/>
        </w:rPr>
        <w:t xml:space="preserve"> </w:t>
      </w:r>
      <w:r w:rsidR="00744A1C">
        <w:rPr>
          <w:rtl/>
          <w:lang w:bidi="fa-IR"/>
        </w:rPr>
        <w:t>من المثوبة والأجر العظيم والتبجيل في يوم القيامة كمن رفعه الله إلى سمائه وأدناه من عرشه الذي يحمله الملائكة ، وأراه من خاصّة ملائكته ما يكون به توكيد كرامته ، وليس على ما تظنّه العامّة من مقتضى التشبيه ».</w:t>
      </w:r>
    </w:p>
    <w:p w:rsidR="00744A1C" w:rsidRDefault="00D10E3C" w:rsidP="00D10E3C">
      <w:pPr>
        <w:pStyle w:val="libFootnote0"/>
        <w:rPr>
          <w:lang w:bidi="fa-IR"/>
        </w:rPr>
      </w:pPr>
      <w:r>
        <w:rPr>
          <w:rtl/>
          <w:lang w:bidi="fa-IR"/>
        </w:rPr>
        <w:t>(1).</w:t>
      </w:r>
      <w:r w:rsidR="00744A1C">
        <w:rPr>
          <w:rtl/>
          <w:lang w:bidi="fa-IR"/>
        </w:rPr>
        <w:t xml:space="preserve"> في </w:t>
      </w:r>
      <w:r w:rsidR="00744A1C" w:rsidRPr="004F26EE">
        <w:rPr>
          <w:rtl/>
        </w:rPr>
        <w:t>الكافي</w:t>
      </w:r>
      <w:r w:rsidR="00744A1C">
        <w:rPr>
          <w:rtl/>
          <w:lang w:bidi="fa-IR"/>
        </w:rPr>
        <w:t xml:space="preserve"> ، ح 8163 </w:t>
      </w:r>
      <w:r w:rsidR="00744A1C" w:rsidRPr="004F26EE">
        <w:rPr>
          <w:rStyle w:val="libFootnoteBoldChar"/>
          <w:rtl/>
        </w:rPr>
        <w:t>وال</w:t>
      </w:r>
      <w:r w:rsidR="00744A1C" w:rsidRPr="00C24F9C">
        <w:rPr>
          <w:rStyle w:val="libFootnoteBoldChar"/>
          <w:rtl/>
        </w:rPr>
        <w:t>فقيه</w:t>
      </w:r>
      <w:r w:rsidR="00744A1C">
        <w:rPr>
          <w:rtl/>
          <w:lang w:bidi="fa-IR"/>
        </w:rPr>
        <w:t xml:space="preserve"> ، ج 2 ، ص 578 وص 581 </w:t>
      </w:r>
      <w:r w:rsidR="00744A1C" w:rsidRPr="0061079A">
        <w:rPr>
          <w:rStyle w:val="libFootnoteBoldChar"/>
          <w:rtl/>
        </w:rPr>
        <w:t>والتهذيب</w:t>
      </w:r>
      <w:r w:rsidR="00744A1C">
        <w:rPr>
          <w:rtl/>
          <w:lang w:bidi="fa-IR"/>
        </w:rPr>
        <w:t xml:space="preserve"> ، ج 6 ، ص 79 وص 93 </w:t>
      </w:r>
      <w:r w:rsidR="00744A1C" w:rsidRPr="004F26EE">
        <w:rPr>
          <w:rStyle w:val="libFootnoteBoldChar"/>
          <w:rtl/>
        </w:rPr>
        <w:t>والمزار</w:t>
      </w:r>
      <w:r w:rsidR="00744A1C">
        <w:rPr>
          <w:rtl/>
          <w:lang w:bidi="fa-IR"/>
        </w:rPr>
        <w:t xml:space="preserve"> ، ص 183 </w:t>
      </w:r>
      <w:r w:rsidR="00744A1C" w:rsidRPr="004F26EE">
        <w:rPr>
          <w:rStyle w:val="libFootnoteBoldChar"/>
          <w:rtl/>
        </w:rPr>
        <w:t>وك</w:t>
      </w:r>
      <w:r w:rsidR="00744A1C" w:rsidRPr="007B299E">
        <w:rPr>
          <w:rStyle w:val="libFootnoteBoldChar"/>
          <w:rtl/>
        </w:rPr>
        <w:t>امل الزيارات</w:t>
      </w:r>
      <w:r w:rsidR="00744A1C">
        <w:rPr>
          <w:rtl/>
          <w:lang w:bidi="fa-IR"/>
        </w:rPr>
        <w:t xml:space="preserve"> ، ص 150 ، ح 3 وص 147 والعلل والعيون : « ما ».</w:t>
      </w:r>
    </w:p>
    <w:p w:rsidR="00744A1C" w:rsidRDefault="00E378DD" w:rsidP="00E378DD">
      <w:pPr>
        <w:pStyle w:val="libFootnote0"/>
        <w:rPr>
          <w:lang w:bidi="fa-IR"/>
        </w:rPr>
      </w:pPr>
      <w:r>
        <w:rPr>
          <w:rtl/>
          <w:lang w:bidi="fa-IR"/>
        </w:rPr>
        <w:t>(2).</w:t>
      </w:r>
      <w:r w:rsidR="00744A1C">
        <w:rPr>
          <w:rtl/>
          <w:lang w:bidi="fa-IR"/>
        </w:rPr>
        <w:t xml:space="preserve"> في </w:t>
      </w:r>
      <w:r w:rsidR="00744A1C" w:rsidRPr="007B299E">
        <w:rPr>
          <w:rStyle w:val="libFootnoteBoldChar"/>
          <w:rtl/>
        </w:rPr>
        <w:t>كامل الزيارات</w:t>
      </w:r>
      <w:r w:rsidR="00744A1C">
        <w:rPr>
          <w:rtl/>
          <w:lang w:bidi="fa-IR"/>
        </w:rPr>
        <w:t xml:space="preserve"> ، ص 150 ، ح 3 وص 147 : « منكم ( أحدكم ) </w:t>
      </w:r>
      <w:r w:rsidR="004F26EE">
        <w:rPr>
          <w:rtl/>
          <w:lang w:bidi="fa-IR"/>
        </w:rPr>
        <w:t>». وفي المزار ، ص 183 : « أحدكم</w:t>
      </w:r>
      <w:r w:rsidR="00744A1C">
        <w:rPr>
          <w:rtl/>
          <w:lang w:bidi="fa-IR"/>
        </w:rPr>
        <w:t>» بدل « أحداً منكم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4 ، ح 6 ، معلّقاً عن الكليني ؛ </w:t>
      </w:r>
      <w:r w:rsidR="00744A1C" w:rsidRPr="004F26EE">
        <w:rPr>
          <w:rStyle w:val="libFootnoteBoldChar"/>
          <w:rtl/>
        </w:rPr>
        <w:t>كتاب المزار</w:t>
      </w:r>
      <w:r w:rsidR="00744A1C">
        <w:rPr>
          <w:rtl/>
          <w:lang w:bidi="fa-IR"/>
        </w:rPr>
        <w:t xml:space="preserve"> ، ص 169 ، ح 2 ، بسنده عن الكليني ، وفيهما إلى قوله : « فوق عرشه ». </w:t>
      </w:r>
      <w:r w:rsidR="00744A1C" w:rsidRPr="007B299E">
        <w:rPr>
          <w:rStyle w:val="libFootnoteBoldChar"/>
          <w:rtl/>
        </w:rPr>
        <w:t>كامل الزيارات</w:t>
      </w:r>
      <w:r w:rsidR="00744A1C">
        <w:rPr>
          <w:rtl/>
          <w:lang w:bidi="fa-IR"/>
        </w:rPr>
        <w:t xml:space="preserve"> ، ص 150 ، الباب 60 ، ح 4 ، عن أبيه ، عن الحسن بن متّيل ، عن سهل بن زياد الآدمي ، عن محمّد بن الحسين ، وبسند آخر عن محمّد بن الحسين. وفي </w:t>
      </w:r>
      <w:r w:rsidR="00744A1C" w:rsidRPr="0061079A">
        <w:rPr>
          <w:rStyle w:val="libFootnoteBoldChar"/>
          <w:rtl/>
        </w:rPr>
        <w:t>الكافي</w:t>
      </w:r>
      <w:r w:rsidR="00744A1C">
        <w:rPr>
          <w:rtl/>
          <w:lang w:bidi="fa-IR"/>
        </w:rPr>
        <w:t xml:space="preserve"> ، كتاب الحجّ ، باب فضل الزيارات وثوابها ، ح 8163 ؛ </w:t>
      </w:r>
      <w:r w:rsidR="00744A1C" w:rsidRPr="0061079A">
        <w:rPr>
          <w:rStyle w:val="libFootnoteBoldChar"/>
          <w:rtl/>
        </w:rPr>
        <w:t>والتهذيب</w:t>
      </w:r>
      <w:r w:rsidR="00744A1C">
        <w:rPr>
          <w:rtl/>
          <w:lang w:bidi="fa-IR"/>
        </w:rPr>
        <w:t xml:space="preserve"> ، ج 6 ، ص 79 ، ح 157 ؛ وص 93 ، ح 174 ؛ </w:t>
      </w:r>
      <w:r w:rsidR="00744A1C" w:rsidRPr="004F26EE">
        <w:rPr>
          <w:rStyle w:val="libFootnoteBoldChar"/>
          <w:rtl/>
        </w:rPr>
        <w:t>وكام</w:t>
      </w:r>
      <w:r w:rsidR="00744A1C" w:rsidRPr="007B299E">
        <w:rPr>
          <w:rStyle w:val="libFootnoteBoldChar"/>
          <w:rtl/>
        </w:rPr>
        <w:t>ل الزيارات</w:t>
      </w:r>
      <w:r w:rsidR="00744A1C">
        <w:rPr>
          <w:rtl/>
          <w:lang w:bidi="fa-IR"/>
        </w:rPr>
        <w:t xml:space="preserve"> ، ص 150 ، الباب 60 ، ح 3 ؛ </w:t>
      </w:r>
      <w:r w:rsidR="00744A1C" w:rsidRPr="004F26EE">
        <w:rPr>
          <w:rStyle w:val="libFootnoteBoldChar"/>
          <w:rtl/>
        </w:rPr>
        <w:t>وع</w:t>
      </w:r>
      <w:r w:rsidR="00744A1C" w:rsidRPr="003A7143">
        <w:rPr>
          <w:rStyle w:val="libFootnoteBoldChar"/>
          <w:rtl/>
        </w:rPr>
        <w:t>لل الشرائع</w:t>
      </w:r>
      <w:r w:rsidR="00744A1C">
        <w:rPr>
          <w:rtl/>
          <w:lang w:bidi="fa-IR"/>
        </w:rPr>
        <w:t xml:space="preserve"> ، ص 460 ، ح 6 ؛ </w:t>
      </w:r>
      <w:r w:rsidR="00744A1C" w:rsidRPr="004F26EE">
        <w:rPr>
          <w:rStyle w:val="libFootnoteBoldChar"/>
          <w:rtl/>
        </w:rPr>
        <w:t>وعيون</w:t>
      </w:r>
      <w:r w:rsidR="00744A1C" w:rsidRPr="00877682">
        <w:rPr>
          <w:rStyle w:val="libFootnoteBoldChar"/>
          <w:rtl/>
        </w:rPr>
        <w:t xml:space="preserve"> الأخبار</w:t>
      </w:r>
      <w:r w:rsidR="00744A1C">
        <w:rPr>
          <w:rtl/>
          <w:lang w:bidi="fa-IR"/>
        </w:rPr>
        <w:t xml:space="preserve"> ، ج 2 ، ص 262 ، ح 31 ؛ </w:t>
      </w:r>
      <w:r w:rsidR="00744A1C" w:rsidRPr="004F26EE">
        <w:rPr>
          <w:rStyle w:val="libFootnoteBoldChar"/>
          <w:rtl/>
        </w:rPr>
        <w:t>وكتاب المزار</w:t>
      </w:r>
      <w:r w:rsidR="00744A1C">
        <w:rPr>
          <w:rtl/>
          <w:lang w:bidi="fa-IR"/>
        </w:rPr>
        <w:t xml:space="preserve"> ، ص 183 ، ح 1 ، بسند آخر عن محمّد بن الحسين [ في </w:t>
      </w:r>
      <w:r w:rsidR="00744A1C" w:rsidRPr="004F26EE">
        <w:rPr>
          <w:rtl/>
        </w:rPr>
        <w:t>كامل الزيارات</w:t>
      </w:r>
      <w:r w:rsidR="00744A1C">
        <w:rPr>
          <w:rtl/>
          <w:lang w:bidi="fa-IR"/>
        </w:rPr>
        <w:t xml:space="preserve"> والعلل والعيون : + « بن أبي الخطّاب » ] ، عن محمّد بن إسماعيل [ في </w:t>
      </w:r>
      <w:r w:rsidR="00744A1C" w:rsidRPr="004F26EE">
        <w:rPr>
          <w:rtl/>
        </w:rPr>
        <w:t>كامل الزيارات</w:t>
      </w:r>
      <w:r w:rsidR="00744A1C">
        <w:rPr>
          <w:rtl/>
          <w:lang w:bidi="fa-IR"/>
        </w:rPr>
        <w:t xml:space="preserve"> والعلل والعيون : + « بن بزيع » ] ، من قوله : « فما لمن زار أحداً منكم ». </w:t>
      </w:r>
      <w:r w:rsidR="00744A1C" w:rsidRPr="007B299E">
        <w:rPr>
          <w:rStyle w:val="libFootnoteBoldChar"/>
          <w:rtl/>
        </w:rPr>
        <w:t>كامل الزيارات</w:t>
      </w:r>
      <w:r w:rsidR="00744A1C">
        <w:rPr>
          <w:rtl/>
          <w:lang w:bidi="fa-IR"/>
        </w:rPr>
        <w:t xml:space="preserve"> ، ص 147 ، الباب 59 ، ح 1 ، بسنده عن أحمد بن محمّد ومحمّد بن الحسين ، عن محمّد بن إسماعيل بن بزيع. </w:t>
      </w:r>
      <w:r w:rsidR="00744A1C" w:rsidRPr="007B299E">
        <w:rPr>
          <w:rStyle w:val="libFootnoteBoldChar"/>
          <w:rtl/>
        </w:rPr>
        <w:t>كامل الزيارات</w:t>
      </w:r>
      <w:r w:rsidR="00744A1C">
        <w:rPr>
          <w:rtl/>
          <w:lang w:bidi="fa-IR"/>
        </w:rPr>
        <w:t xml:space="preserve"> ، ص 15 ، الباب 2 ، ح 20 ، بسنده عن محمّد بن الحسن ، عن محمّد بن إسماعيل ، إلى قوله : « فوق عرشه ». </w:t>
      </w:r>
      <w:r w:rsidR="00744A1C" w:rsidRPr="00C24F9C">
        <w:rPr>
          <w:rStyle w:val="libFootnoteBoldChar"/>
          <w:rtl/>
        </w:rPr>
        <w:t>الفقيه</w:t>
      </w:r>
      <w:r w:rsidR="00744A1C">
        <w:rPr>
          <w:rtl/>
          <w:lang w:bidi="fa-IR"/>
        </w:rPr>
        <w:t xml:space="preserve"> ، ج 2 ، ص 578 ، ح 3163 ، معلّقاً عن صالح بن عقبة. </w:t>
      </w:r>
      <w:r w:rsidR="00744A1C" w:rsidRPr="004F26EE">
        <w:rPr>
          <w:rStyle w:val="libFootnoteBoldChar"/>
          <w:rtl/>
        </w:rPr>
        <w:t>وفيه</w:t>
      </w:r>
      <w:r w:rsidR="00744A1C">
        <w:rPr>
          <w:rtl/>
          <w:lang w:bidi="fa-IR"/>
        </w:rPr>
        <w:t xml:space="preserve"> ، ج 2 ، ص 581 ، ح 3175 ، معلّقاً عن زيد الشحّام ، من دون التصريح باسم المعصوم </w:t>
      </w:r>
      <w:r w:rsidR="0061079A" w:rsidRPr="0061079A">
        <w:rPr>
          <w:rStyle w:val="libFootnoteAlaemChar"/>
          <w:rtl/>
        </w:rPr>
        <w:t>عليه‌السلام</w:t>
      </w:r>
      <w:r w:rsidR="00744A1C">
        <w:rPr>
          <w:rtl/>
          <w:lang w:bidi="fa-IR"/>
        </w:rPr>
        <w:t xml:space="preserve"> . </w:t>
      </w:r>
      <w:r w:rsidR="00744A1C" w:rsidRPr="004F26EE">
        <w:rPr>
          <w:rStyle w:val="libFootnoteBoldChar"/>
          <w:rtl/>
        </w:rPr>
        <w:t>المقنعة</w:t>
      </w:r>
      <w:r w:rsidR="00744A1C">
        <w:rPr>
          <w:rtl/>
          <w:lang w:bidi="fa-IR"/>
        </w:rPr>
        <w:t xml:space="preserve"> ، ص 474 ، مرسلاً ، وفي الثلاثة الأخيرة من قوله : « فما لمن زار أحداً منكم ». </w:t>
      </w:r>
      <w:r w:rsidR="00744A1C" w:rsidRPr="004F26EE">
        <w:rPr>
          <w:rStyle w:val="libFootnoteBoldChar"/>
          <w:rtl/>
        </w:rPr>
        <w:t>المقنعة</w:t>
      </w:r>
      <w:r w:rsidR="00744A1C">
        <w:rPr>
          <w:rtl/>
          <w:lang w:bidi="fa-IR"/>
        </w:rPr>
        <w:t xml:space="preserve"> ، ص 458 ، مرسلاً ، إلى قوله : « فوق عرشه » </w:t>
      </w:r>
      <w:r w:rsidR="004F26EE">
        <w:rPr>
          <w:rFonts w:hint="cs"/>
          <w:rtl/>
          <w:lang w:bidi="fa-IR"/>
        </w:rPr>
        <w:t>.</w:t>
      </w:r>
      <w:r w:rsidR="00744A1C" w:rsidRPr="00C24F9C">
        <w:rPr>
          <w:rStyle w:val="libFootnoteBoldChar"/>
          <w:rtl/>
        </w:rPr>
        <w:t>الوافي</w:t>
      </w:r>
      <w:r w:rsidR="00744A1C">
        <w:rPr>
          <w:rtl/>
          <w:lang w:bidi="fa-IR"/>
        </w:rPr>
        <w:t xml:space="preserve"> ، ج 14 ، ص 1329 ، ح 14353 ؛ </w:t>
      </w:r>
      <w:r w:rsidR="00744A1C" w:rsidRPr="00C24F9C">
        <w:rPr>
          <w:rStyle w:val="libFootnoteBoldChar"/>
          <w:rtl/>
        </w:rPr>
        <w:t>الوسائل</w:t>
      </w:r>
      <w:r w:rsidR="00744A1C">
        <w:rPr>
          <w:rtl/>
          <w:lang w:bidi="fa-IR"/>
        </w:rPr>
        <w:t xml:space="preserve"> ، ج 14 ، ص 327 ، ذيل ح 19324 ، من قوله : « فما لمن زار أحداً منكم » ؛ وفيه ، ص 335 ، ح 19340 ، إلى قوله : « فوق عرشه ».</w:t>
      </w:r>
    </w:p>
    <w:p w:rsidR="00144FA6" w:rsidRDefault="00E378DD" w:rsidP="00E378DD">
      <w:pPr>
        <w:pStyle w:val="libFootnote0"/>
        <w:rPr>
          <w:rtl/>
          <w:lang w:bidi="fa-IR"/>
        </w:rPr>
      </w:pPr>
      <w:r>
        <w:rPr>
          <w:rtl/>
          <w:lang w:bidi="fa-IR"/>
        </w:rPr>
        <w:t>(4).</w:t>
      </w:r>
      <w:r w:rsidR="00744A1C">
        <w:rPr>
          <w:rtl/>
          <w:lang w:bidi="fa-IR"/>
        </w:rPr>
        <w:t xml:space="preserve"> هكذا في « بز » وحاشية « ى ، جش ، جن ». وفي حاشية ا</w:t>
      </w:r>
      <w:r w:rsidR="004F26EE">
        <w:rPr>
          <w:rFonts w:hint="cs"/>
          <w:rtl/>
          <w:lang w:bidi="fa-IR"/>
        </w:rPr>
        <w:t>ُ</w:t>
      </w:r>
      <w:r w:rsidR="00744A1C">
        <w:rPr>
          <w:rtl/>
          <w:lang w:bidi="fa-IR"/>
        </w:rPr>
        <w:t>خرى ل</w:t>
      </w:r>
      <w:r w:rsidR="004F26EE">
        <w:rPr>
          <w:rFonts w:hint="cs"/>
          <w:rtl/>
          <w:lang w:bidi="fa-IR"/>
        </w:rPr>
        <w:t>ـ</w:t>
      </w:r>
      <w:r w:rsidR="00744A1C">
        <w:rPr>
          <w:rtl/>
          <w:lang w:bidi="fa-IR"/>
        </w:rPr>
        <w:t xml:space="preserve"> « جن » : « باب فضل الصلاة بالحرمين وإتمام</w:t>
      </w:r>
      <w:r w:rsidR="004F26EE">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عَنْ أَبِي عَبْدِ اللهِ </w:t>
      </w:r>
      <w:r w:rsidR="004F26EE" w:rsidRPr="004F26EE">
        <w:rPr>
          <w:rStyle w:val="libAlaemChar"/>
          <w:rtl/>
        </w:rPr>
        <w:t>عليه‌السلام</w:t>
      </w:r>
      <w:r w:rsidR="00D10E3C">
        <w:rPr>
          <w:rtl/>
          <w:lang w:bidi="fa-IR"/>
        </w:rPr>
        <w:t xml:space="preserve"> </w:t>
      </w:r>
      <w:r>
        <w:rPr>
          <w:rtl/>
          <w:lang w:bidi="fa-IR"/>
        </w:rPr>
        <w:t xml:space="preserve">، قَالَ : « مَكَّةُ حَرَمُ اللهِ ، وَحَرَمُ رَسُولِهِ ، وَحَرَمُ أَمِيرِ الْمُؤْمِنِينَ </w:t>
      </w:r>
      <w:r w:rsidR="008859AA" w:rsidRPr="008859AA">
        <w:rPr>
          <w:rStyle w:val="libAlaemChar"/>
          <w:rtl/>
        </w:rPr>
        <w:t>عليهما‌السلام</w:t>
      </w:r>
      <w:r>
        <w:rPr>
          <w:rtl/>
          <w:lang w:bidi="fa-IR"/>
        </w:rPr>
        <w:t xml:space="preserve">، الصَّلَاةُ فِيهَا </w:t>
      </w:r>
      <w:r w:rsidRPr="00D10E3C">
        <w:rPr>
          <w:rStyle w:val="libFootnotenumChar"/>
          <w:rtl/>
        </w:rPr>
        <w:t>(1)</w:t>
      </w:r>
      <w:r>
        <w:rPr>
          <w:rtl/>
          <w:lang w:bidi="fa-IR"/>
        </w:rPr>
        <w:t xml:space="preserve"> بِمِائَةِ أَلْفِ صَلَاةٍ ، وَالدِّرْهَمُ فِيهَا بِمِائَةِ أَلْفِ دِرْهَمٍ ؛ وَالْمَدِينَةُ حَرَمُ اللهِ ، وَحَرَمُ رَسُولِهِ ، وَحَرَمُ أَمِيرِ الْمُؤْمِنِينَ صَلَوَاتُ اللهِ عَلَيْهِمَا ، الصَّلَاةُ </w:t>
      </w:r>
      <w:r w:rsidRPr="00D10E3C">
        <w:rPr>
          <w:rStyle w:val="libFootnotenumChar"/>
          <w:rtl/>
        </w:rPr>
        <w:t>(2)</w:t>
      </w:r>
      <w:r>
        <w:rPr>
          <w:rtl/>
          <w:lang w:bidi="fa-IR"/>
        </w:rPr>
        <w:t xml:space="preserve"> فِيهَا بِعَشَرَةِ آلَافِ صَلَاةٍ ، وَالدِّرْهَمُ فِيهَا بِعَشَرَةِ آلَافِ دِرْهَمٍ ؛ وَالْكُوفَةُ حَرَمُ اللهِ ، وَحَرَمُ رَسُولِهِ ، وَحَرَمُ أَمِيرِ الْمُؤْمِنِينَ </w:t>
      </w:r>
      <w:r w:rsidR="004F26EE" w:rsidRPr="004F26EE">
        <w:rPr>
          <w:rStyle w:val="libAlaemChar"/>
          <w:rtl/>
        </w:rPr>
        <w:t>عليهما‌السلام</w:t>
      </w:r>
      <w:r w:rsidR="00D10E3C">
        <w:rPr>
          <w:rtl/>
          <w:lang w:bidi="fa-IR"/>
        </w:rPr>
        <w:t xml:space="preserve"> </w:t>
      </w:r>
      <w:r w:rsidRPr="00D10E3C">
        <w:rPr>
          <w:rStyle w:val="libFootnotenumChar"/>
          <w:rtl/>
        </w:rPr>
        <w:t>(3)</w:t>
      </w:r>
      <w:r>
        <w:rPr>
          <w:rtl/>
          <w:lang w:bidi="fa-IR"/>
        </w:rPr>
        <w:t xml:space="preserve"> ، الصَّلَاةُ </w:t>
      </w:r>
      <w:r w:rsidRPr="00D10E3C">
        <w:rPr>
          <w:rStyle w:val="libFootnotenumChar"/>
          <w:rtl/>
        </w:rPr>
        <w:t>(4)</w:t>
      </w:r>
      <w:r>
        <w:rPr>
          <w:rtl/>
          <w:lang w:bidi="fa-IR"/>
        </w:rPr>
        <w:t xml:space="preserve"> فِيهَا بِأَلْفِ صَلَاةٍ ، وَالدِّرْهَمُ فِيهَا بِأَلْفِ دِرْهَمٍ ». </w:t>
      </w:r>
      <w:r w:rsidRPr="00D10E3C">
        <w:rPr>
          <w:rStyle w:val="libFootnotenumChar"/>
          <w:rtl/>
        </w:rPr>
        <w:t>(5)</w:t>
      </w:r>
    </w:p>
    <w:p w:rsidR="00144FA6" w:rsidRDefault="00744A1C" w:rsidP="00744A1C">
      <w:pPr>
        <w:pStyle w:val="libNormal"/>
        <w:rPr>
          <w:rtl/>
          <w:lang w:bidi="fa-IR"/>
        </w:rPr>
      </w:pPr>
      <w:r>
        <w:rPr>
          <w:rtl/>
          <w:lang w:bidi="fa-IR"/>
        </w:rPr>
        <w:t xml:space="preserve">8186 / 2. مُحَمَّدُ بْنِ يَحْيى ، عَنْ مُحَمَّدِ بْنِ الْحُسَيْنِ ، عَنْ مُحَمَّدِ بْنِ سِنَانٍ ، عَنْ إِسْحَاقَ بْنِ جَرِيرٍ </w:t>
      </w:r>
      <w:r w:rsidRPr="00D10E3C">
        <w:rPr>
          <w:rStyle w:val="libFootnotenumChar"/>
          <w:rtl/>
        </w:rPr>
        <w:t>(6)</w:t>
      </w:r>
      <w:r>
        <w:rPr>
          <w:rtl/>
          <w:lang w:bidi="fa-IR"/>
        </w:rPr>
        <w:t xml:space="preserve"> ، عَنْ أَبِي بَصِيرٍ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سَمِعْتُهُ يَقُولُ : « تَتِمُّ </w:t>
      </w:r>
      <w:r w:rsidRPr="00D10E3C">
        <w:rPr>
          <w:rStyle w:val="libFootnotenumChar"/>
          <w:rtl/>
        </w:rPr>
        <w:t>(7)</w:t>
      </w:r>
      <w:r>
        <w:rPr>
          <w:rtl/>
          <w:lang w:bidi="fa-IR"/>
        </w:rPr>
        <w:t xml:space="preserve"> الصَّلَاةُ فِي أَرْبَعَةِ </w:t>
      </w:r>
      <w:r w:rsidRPr="00D10E3C">
        <w:rPr>
          <w:rStyle w:val="libFootnotenumChar"/>
          <w:rtl/>
        </w:rPr>
        <w:t>(8)</w:t>
      </w:r>
      <w:r>
        <w:rPr>
          <w:rtl/>
          <w:lang w:bidi="fa-IR"/>
        </w:rPr>
        <w:t xml:space="preserve"> مَوَاطِنَ : فِي‌</w:t>
      </w:r>
    </w:p>
    <w:p w:rsidR="00744A1C" w:rsidRDefault="00744A1C" w:rsidP="00D10E3C">
      <w:pPr>
        <w:pStyle w:val="libLine"/>
        <w:rPr>
          <w:lang w:bidi="fa-IR"/>
        </w:rPr>
      </w:pPr>
      <w:r>
        <w:rPr>
          <w:rtl/>
          <w:lang w:bidi="fa-IR"/>
        </w:rPr>
        <w:t>____________________</w:t>
      </w:r>
    </w:p>
    <w:p w:rsidR="00744A1C" w:rsidRDefault="004F26EE" w:rsidP="00D10E3C">
      <w:pPr>
        <w:pStyle w:val="libFootnote0"/>
        <w:rPr>
          <w:lang w:bidi="fa-IR"/>
        </w:rPr>
      </w:pPr>
      <w:r>
        <w:rPr>
          <w:rFonts w:hint="cs"/>
          <w:rtl/>
          <w:lang w:bidi="fa-IR"/>
        </w:rPr>
        <w:t xml:space="preserve">= </w:t>
      </w:r>
      <w:r w:rsidR="00744A1C">
        <w:rPr>
          <w:rtl/>
          <w:lang w:bidi="fa-IR"/>
        </w:rPr>
        <w:t xml:space="preserve">الصلاة في المواطن الأربعة ». وفي « بف » : « باب الصلاة بمكّة ومسجد النبيّ </w:t>
      </w:r>
      <w:r w:rsidR="00F90866" w:rsidRPr="00F90866">
        <w:rPr>
          <w:rStyle w:val="libFootnoteAlaemChar"/>
          <w:rtl/>
        </w:rPr>
        <w:t>صلى‌الله‌عليه‌وآله</w:t>
      </w:r>
      <w:r w:rsidR="00744A1C">
        <w:rPr>
          <w:rtl/>
          <w:lang w:bidi="fa-IR"/>
        </w:rPr>
        <w:t xml:space="preserve"> ». وفي حاشية « ت » : « باب فضل الصلاة في الحرمين والكوفة وإتمام الصلاة ». وفي سائر النسخ والمطبوع : « باب » بدون العنوان.</w:t>
      </w:r>
    </w:p>
    <w:p w:rsidR="00744A1C" w:rsidRDefault="00E378DD" w:rsidP="00E378DD">
      <w:pPr>
        <w:pStyle w:val="libFootnote0"/>
        <w:rPr>
          <w:lang w:bidi="fa-IR"/>
        </w:rPr>
      </w:pPr>
      <w:r>
        <w:rPr>
          <w:rtl/>
          <w:lang w:bidi="fa-IR"/>
        </w:rPr>
        <w:t>(5).</w:t>
      </w:r>
      <w:r w:rsidR="00744A1C">
        <w:rPr>
          <w:rtl/>
          <w:lang w:bidi="fa-IR"/>
        </w:rPr>
        <w:t xml:space="preserve"> ورد الخبر 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w:t>
      </w:r>
      <w:r w:rsidR="00744A1C" w:rsidRPr="004F26EE">
        <w:rPr>
          <w:rStyle w:val="libFootnoteBoldChar"/>
          <w:rtl/>
        </w:rPr>
        <w:t>وك</w:t>
      </w:r>
      <w:r w:rsidR="00744A1C" w:rsidRPr="007B299E">
        <w:rPr>
          <w:rStyle w:val="libFootnoteBoldChar"/>
          <w:rtl/>
        </w:rPr>
        <w:t>امل الزيارات</w:t>
      </w:r>
      <w:r w:rsidR="00744A1C">
        <w:rPr>
          <w:rtl/>
          <w:lang w:bidi="fa-IR"/>
        </w:rPr>
        <w:t xml:space="preserve"> والمزار للمفيد عن خالد القلانسي ، وهو الظاهر ، وخالد هذا ، هو خالد بن ماد القلانسي. راجع : </w:t>
      </w:r>
      <w:r w:rsidR="00744A1C" w:rsidRPr="003A7143">
        <w:rPr>
          <w:rStyle w:val="libFootnoteBoldChar"/>
          <w:rtl/>
        </w:rPr>
        <w:t>رجال النجاشي</w:t>
      </w:r>
      <w:r w:rsidR="00744A1C">
        <w:rPr>
          <w:rtl/>
          <w:lang w:bidi="fa-IR"/>
        </w:rPr>
        <w:t xml:space="preserve"> ، ص 149 ، الرقم 388 ؛ </w:t>
      </w:r>
      <w:r w:rsidR="00744A1C" w:rsidRPr="003A7143">
        <w:rPr>
          <w:rStyle w:val="libFootnoteBoldChar"/>
          <w:rtl/>
        </w:rPr>
        <w:t>الفهرست للطوسي</w:t>
      </w:r>
      <w:r w:rsidR="00744A1C">
        <w:rPr>
          <w:rtl/>
          <w:lang w:bidi="fa-IR"/>
        </w:rPr>
        <w:t xml:space="preserve"> ، ص 173 ، الرقم 266.</w:t>
      </w:r>
    </w:p>
    <w:p w:rsidR="00744A1C" w:rsidRDefault="00D10E3C" w:rsidP="00D10E3C">
      <w:pPr>
        <w:pStyle w:val="libFootnote0"/>
        <w:rPr>
          <w:lang w:bidi="fa-IR"/>
        </w:rPr>
      </w:pPr>
      <w:r>
        <w:rPr>
          <w:rtl/>
          <w:lang w:bidi="fa-IR"/>
        </w:rPr>
        <w:t>(1).</w:t>
      </w:r>
      <w:r w:rsidR="00744A1C">
        <w:rPr>
          <w:rtl/>
          <w:lang w:bidi="fa-IR"/>
        </w:rPr>
        <w:t xml:space="preserve"> في « بخ » </w:t>
      </w:r>
      <w:r w:rsidR="00744A1C" w:rsidRPr="004F26EE">
        <w:rPr>
          <w:rtl/>
        </w:rPr>
        <w:t>والوافي</w:t>
      </w:r>
      <w:r w:rsidR="00744A1C">
        <w:rPr>
          <w:rtl/>
          <w:lang w:bidi="fa-IR"/>
        </w:rPr>
        <w:t xml:space="preserve"> : « والصلاة فيها ». وفي </w:t>
      </w:r>
      <w:r w:rsidR="00744A1C" w:rsidRPr="00877682">
        <w:rPr>
          <w:rStyle w:val="libFootnoteBoldChar"/>
          <w:rtl/>
        </w:rPr>
        <w:t>مرآة العقول</w:t>
      </w:r>
      <w:r w:rsidR="00744A1C">
        <w:rPr>
          <w:rtl/>
          <w:lang w:bidi="fa-IR"/>
        </w:rPr>
        <w:t xml:space="preserve"> ، ج 18 ، ص 314 : « أي في مسجدها كما ورد في غيره من‌الأخبار ، أو مطلقاً ، وإن كان المسجد أفضل. والاحتمالان جاريان في السابقين أيضاً ».</w:t>
      </w:r>
    </w:p>
    <w:tbl>
      <w:tblPr>
        <w:tblStyle w:val="TableGrid"/>
        <w:bidiVisual/>
        <w:tblW w:w="0" w:type="auto"/>
        <w:tblLook w:val="04A0" w:firstRow="1" w:lastRow="0" w:firstColumn="1" w:lastColumn="0" w:noHBand="0" w:noVBand="1"/>
      </w:tblPr>
      <w:tblGrid>
        <w:gridCol w:w="3674"/>
        <w:gridCol w:w="4338"/>
      </w:tblGrid>
      <w:tr w:rsidR="004F26EE" w:rsidTr="00712C99">
        <w:tc>
          <w:tcPr>
            <w:tcW w:w="3674" w:type="dxa"/>
          </w:tcPr>
          <w:p w:rsidR="004F26EE" w:rsidRDefault="004F26EE" w:rsidP="00E378DD">
            <w:pPr>
              <w:pStyle w:val="libFootnote0"/>
              <w:rPr>
                <w:rtl/>
                <w:lang w:bidi="fa-IR"/>
              </w:rPr>
            </w:pPr>
            <w:r>
              <w:rPr>
                <w:rtl/>
                <w:lang w:bidi="fa-IR"/>
              </w:rPr>
              <w:t xml:space="preserve">(2). في </w:t>
            </w:r>
            <w:r w:rsidRPr="004F26EE">
              <w:rPr>
                <w:rtl/>
              </w:rPr>
              <w:t>الوافي</w:t>
            </w:r>
            <w:r>
              <w:rPr>
                <w:rtl/>
                <w:lang w:bidi="fa-IR"/>
              </w:rPr>
              <w:t xml:space="preserve"> : « والصلاة ».</w:t>
            </w:r>
          </w:p>
        </w:tc>
        <w:tc>
          <w:tcPr>
            <w:tcW w:w="4338" w:type="dxa"/>
          </w:tcPr>
          <w:p w:rsidR="004F26EE" w:rsidRDefault="004F26EE" w:rsidP="00E378DD">
            <w:pPr>
              <w:pStyle w:val="libFootnote0"/>
              <w:rPr>
                <w:rtl/>
                <w:lang w:bidi="fa-IR"/>
              </w:rPr>
            </w:pPr>
            <w:r>
              <w:rPr>
                <w:rtl/>
                <w:lang w:bidi="fa-IR"/>
              </w:rPr>
              <w:t>(3). في «بس»:-«الصلاة فيها بعشرة آلاف صلاة»إلى</w:t>
            </w:r>
            <w:r>
              <w:rPr>
                <w:rFonts w:hint="cs"/>
                <w:rtl/>
                <w:lang w:bidi="fa-IR"/>
              </w:rPr>
              <w:t xml:space="preserve"> </w:t>
            </w:r>
            <w:r>
              <w:rPr>
                <w:rtl/>
                <w:lang w:bidi="fa-IR"/>
              </w:rPr>
              <w:t>هنا.</w:t>
            </w:r>
          </w:p>
        </w:tc>
      </w:tr>
    </w:tbl>
    <w:p w:rsidR="00744A1C" w:rsidRDefault="00E378DD" w:rsidP="00E378DD">
      <w:pPr>
        <w:pStyle w:val="libFootnote0"/>
        <w:rPr>
          <w:lang w:bidi="fa-IR"/>
        </w:rPr>
      </w:pPr>
      <w:r>
        <w:rPr>
          <w:rtl/>
          <w:lang w:bidi="fa-IR"/>
        </w:rPr>
        <w:t>(4).</w:t>
      </w:r>
      <w:r w:rsidR="00744A1C">
        <w:rPr>
          <w:rtl/>
          <w:lang w:bidi="fa-IR"/>
        </w:rPr>
        <w:t xml:space="preserve"> في </w:t>
      </w:r>
      <w:r w:rsidR="00744A1C" w:rsidRPr="00712C99">
        <w:rPr>
          <w:rtl/>
        </w:rPr>
        <w:t>الوافي</w:t>
      </w:r>
      <w:r w:rsidR="00744A1C">
        <w:rPr>
          <w:rtl/>
          <w:lang w:bidi="fa-IR"/>
        </w:rPr>
        <w:t xml:space="preserve"> : « والصلاة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31 ، ح 58 ؛ </w:t>
      </w:r>
      <w:r w:rsidR="00744A1C" w:rsidRPr="007B299E">
        <w:rPr>
          <w:rStyle w:val="libFootnoteBoldChar"/>
          <w:rtl/>
        </w:rPr>
        <w:t>كامل الزيارات</w:t>
      </w:r>
      <w:r w:rsidR="00744A1C">
        <w:rPr>
          <w:rtl/>
          <w:lang w:bidi="fa-IR"/>
        </w:rPr>
        <w:t xml:space="preserve"> ، ص 29 ، الباب 8 ، ح 8 ؛ </w:t>
      </w:r>
      <w:r w:rsidR="00744A1C" w:rsidRPr="00712C99">
        <w:rPr>
          <w:rStyle w:val="libFootnoteBoldChar"/>
          <w:rtl/>
        </w:rPr>
        <w:t>كتاب المزار</w:t>
      </w:r>
      <w:r w:rsidR="00744A1C">
        <w:rPr>
          <w:rtl/>
          <w:lang w:bidi="fa-IR"/>
        </w:rPr>
        <w:t xml:space="preserve"> ، ص 5 ، ح 2 ، وفيهما إلى قوله : « الصلاة فيها بألف صلاة » ، وفي كلّها بسند آخر عن خالد القلانسي ، عن أبي عبدالله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1 ، ص 228 ، ح 680 ، معلّقاً عن خالد بن ماد القلانسي ، عن الصادق </w:t>
      </w:r>
      <w:r w:rsidR="0061079A" w:rsidRPr="0061079A">
        <w:rPr>
          <w:rStyle w:val="libFootnoteAlaemChar"/>
          <w:rtl/>
        </w:rPr>
        <w:t>عليه‌السلام</w:t>
      </w:r>
      <w:r w:rsidR="00D10E3C">
        <w:rPr>
          <w:rtl/>
          <w:lang w:bidi="fa-IR"/>
        </w:rPr>
        <w:t xml:space="preserve"> </w:t>
      </w:r>
      <w:r w:rsidR="00712C99">
        <w:rPr>
          <w:rFonts w:hint="cs"/>
          <w:rtl/>
          <w:lang w:bidi="fa-IR"/>
        </w:rPr>
        <w:t>.</w:t>
      </w:r>
      <w:r w:rsidR="00744A1C" w:rsidRPr="00C24F9C">
        <w:rPr>
          <w:rStyle w:val="libFootnoteBoldChar"/>
          <w:rtl/>
        </w:rPr>
        <w:t>الوافي</w:t>
      </w:r>
      <w:r w:rsidR="00744A1C">
        <w:rPr>
          <w:rtl/>
          <w:lang w:bidi="fa-IR"/>
        </w:rPr>
        <w:t xml:space="preserve"> ، ج 12 ، ص 44 ، ح 11478 ؛ </w:t>
      </w:r>
      <w:r w:rsidR="00744A1C" w:rsidRPr="00C24F9C">
        <w:rPr>
          <w:rStyle w:val="libFootnoteBoldChar"/>
          <w:rtl/>
        </w:rPr>
        <w:t>الوسائل</w:t>
      </w:r>
      <w:r w:rsidR="00744A1C">
        <w:rPr>
          <w:rtl/>
          <w:lang w:bidi="fa-IR"/>
        </w:rPr>
        <w:t xml:space="preserve"> ، ج 5 ، ص 256 ، ح 6479.</w:t>
      </w:r>
    </w:p>
    <w:p w:rsidR="00744A1C" w:rsidRDefault="00E378DD" w:rsidP="00E378DD">
      <w:pPr>
        <w:pStyle w:val="libFootnote0"/>
        <w:rPr>
          <w:lang w:bidi="fa-IR"/>
        </w:rPr>
      </w:pPr>
      <w:r>
        <w:rPr>
          <w:rtl/>
          <w:lang w:bidi="fa-IR"/>
        </w:rPr>
        <w:t>(6).</w:t>
      </w:r>
      <w:r w:rsidR="00744A1C">
        <w:rPr>
          <w:rtl/>
          <w:lang w:bidi="fa-IR"/>
        </w:rPr>
        <w:t xml:space="preserve"> في « بث ، بخ ، جر » </w:t>
      </w:r>
      <w:r w:rsidR="00744A1C" w:rsidRPr="00712C99">
        <w:rPr>
          <w:rtl/>
        </w:rPr>
        <w:t>والوسائل</w:t>
      </w:r>
      <w:r w:rsidR="00744A1C">
        <w:rPr>
          <w:rtl/>
          <w:lang w:bidi="fa-IR"/>
        </w:rPr>
        <w:t xml:space="preserve"> : « حريز ». وهو سهو ، وإسحاق هذا هو إسحاق بن جرير البجلي. راجع : </w:t>
      </w:r>
      <w:r w:rsidR="00744A1C" w:rsidRPr="003A7143">
        <w:rPr>
          <w:rStyle w:val="libFootnoteBoldChar"/>
          <w:rtl/>
        </w:rPr>
        <w:t>رجال النجاشي</w:t>
      </w:r>
      <w:r w:rsidR="00744A1C">
        <w:rPr>
          <w:rtl/>
          <w:lang w:bidi="fa-IR"/>
        </w:rPr>
        <w:t xml:space="preserve"> ، ص 71 ، الرقم 170 ؛ </w:t>
      </w:r>
      <w:r w:rsidR="00744A1C" w:rsidRPr="004D054E">
        <w:rPr>
          <w:rStyle w:val="libFootnoteBoldChar"/>
          <w:rtl/>
        </w:rPr>
        <w:t>رجال البرقي</w:t>
      </w:r>
      <w:r w:rsidR="00744A1C">
        <w:rPr>
          <w:rtl/>
          <w:lang w:bidi="fa-IR"/>
        </w:rPr>
        <w:t xml:space="preserve"> ، ص 28.</w:t>
      </w:r>
    </w:p>
    <w:p w:rsidR="00744A1C" w:rsidRDefault="00E378DD" w:rsidP="00E378DD">
      <w:pPr>
        <w:pStyle w:val="libFootnote0"/>
        <w:rPr>
          <w:lang w:bidi="fa-IR"/>
        </w:rPr>
      </w:pPr>
      <w:r>
        <w:rPr>
          <w:rtl/>
          <w:lang w:bidi="fa-IR"/>
        </w:rPr>
        <w:t>(7).</w:t>
      </w:r>
      <w:r w:rsidR="00744A1C">
        <w:rPr>
          <w:rtl/>
          <w:lang w:bidi="fa-IR"/>
        </w:rPr>
        <w:t xml:space="preserve"> في « بث » : « يتمّ ». وفي « بف » وحاشية « ى ، جن » : « تمّم ».</w:t>
      </w:r>
    </w:p>
    <w:p w:rsidR="00744A1C" w:rsidRDefault="00E378DD" w:rsidP="00E378DD">
      <w:pPr>
        <w:pStyle w:val="libFootnote0"/>
        <w:rPr>
          <w:lang w:bidi="fa-IR"/>
        </w:rPr>
      </w:pPr>
      <w:r>
        <w:rPr>
          <w:rtl/>
          <w:lang w:bidi="fa-IR"/>
        </w:rPr>
        <w:t>(8).</w:t>
      </w:r>
      <w:r w:rsidR="00744A1C">
        <w:rPr>
          <w:rtl/>
          <w:lang w:bidi="fa-IR"/>
        </w:rPr>
        <w:t xml:space="preserve"> في « ى ، بث ، بس ، بف ، جد ، جن : « أربع ».</w:t>
      </w:r>
    </w:p>
    <w:p w:rsidR="00150943" w:rsidRDefault="00150943" w:rsidP="00D10E3C">
      <w:pPr>
        <w:pStyle w:val="libNormal"/>
        <w:rPr>
          <w:rtl/>
          <w:lang w:bidi="fa-IR"/>
        </w:rPr>
      </w:pPr>
      <w:r>
        <w:rPr>
          <w:rtl/>
          <w:lang w:bidi="fa-IR"/>
        </w:rPr>
        <w:br w:type="page"/>
      </w:r>
    </w:p>
    <w:p w:rsidR="00144FA6" w:rsidRDefault="00744A1C" w:rsidP="00A6581D">
      <w:pPr>
        <w:pStyle w:val="libNormal0"/>
        <w:rPr>
          <w:rtl/>
          <w:lang w:bidi="fa-IR"/>
        </w:rPr>
      </w:pPr>
      <w:r>
        <w:rPr>
          <w:rtl/>
          <w:lang w:bidi="fa-IR"/>
        </w:rPr>
        <w:lastRenderedPageBreak/>
        <w:t xml:space="preserve">الْمَسْجِدِ الْحَرَامِ ، وَمَسْجِدِ الرَّسُولِ </w:t>
      </w:r>
      <w:r w:rsidR="00712C99" w:rsidRPr="00712C99">
        <w:rPr>
          <w:rStyle w:val="libAlaemChar"/>
          <w:rtl/>
        </w:rPr>
        <w:t>صلى‌الله‌عليه‌وآله</w:t>
      </w:r>
      <w:r w:rsidR="00D10E3C">
        <w:rPr>
          <w:rtl/>
          <w:lang w:bidi="fa-IR"/>
        </w:rPr>
        <w:t xml:space="preserve"> </w:t>
      </w:r>
      <w:r>
        <w:rPr>
          <w:rtl/>
          <w:lang w:bidi="fa-IR"/>
        </w:rPr>
        <w:t xml:space="preserve">، وَمَسْجِدِ الْكُوفَةِ ، وَحَرَمِ الْحُسَيْنِ </w:t>
      </w:r>
      <w:r w:rsidR="0061079A" w:rsidRPr="0061079A">
        <w:rPr>
          <w:rStyle w:val="libAlaemChar"/>
          <w:rtl/>
        </w:rPr>
        <w:t>عليه‌السلام</w:t>
      </w:r>
      <w:r w:rsidR="00D10E3C">
        <w:rPr>
          <w:rtl/>
          <w:lang w:bidi="fa-IR"/>
        </w:rPr>
        <w:t xml:space="preserve"> </w:t>
      </w:r>
      <w:r>
        <w:rPr>
          <w:rtl/>
          <w:lang w:bidi="fa-IR"/>
        </w:rPr>
        <w:t xml:space="preserve">». </w:t>
      </w:r>
      <w:r w:rsidRPr="00D10E3C">
        <w:rPr>
          <w:rStyle w:val="libFootnotenumChar"/>
          <w:rtl/>
        </w:rPr>
        <w:t>(1)</w:t>
      </w:r>
    </w:p>
    <w:p w:rsidR="00144FA6" w:rsidRDefault="00744A1C" w:rsidP="00744A1C">
      <w:pPr>
        <w:pStyle w:val="libNormal"/>
        <w:rPr>
          <w:rtl/>
          <w:lang w:bidi="fa-IR"/>
        </w:rPr>
      </w:pPr>
      <w:r>
        <w:rPr>
          <w:rtl/>
          <w:lang w:bidi="fa-IR"/>
        </w:rPr>
        <w:t xml:space="preserve">8187 / 3. عَلِيٌّ </w:t>
      </w:r>
      <w:r w:rsidRPr="00D10E3C">
        <w:rPr>
          <w:rStyle w:val="libFootnotenumChar"/>
          <w:rtl/>
        </w:rPr>
        <w:t>(2)</w:t>
      </w:r>
      <w:r>
        <w:rPr>
          <w:rtl/>
          <w:lang w:bidi="fa-IR"/>
        </w:rPr>
        <w:t xml:space="preserve"> ، عَنْ مُحَمَّدِ بْنِ الْحُسَيْنِ </w:t>
      </w:r>
      <w:r w:rsidRPr="00D10E3C">
        <w:rPr>
          <w:rStyle w:val="libFootnotenumChar"/>
          <w:rtl/>
        </w:rPr>
        <w:t>(3)</w:t>
      </w:r>
      <w:r>
        <w:rPr>
          <w:rtl/>
          <w:lang w:bidi="fa-IR"/>
        </w:rPr>
        <w:t xml:space="preserve"> ، عَنْ مُحَمَّدِ بْنِ سِنَانٍ ، عَنْ حُذَيْفَةَ بْنِ مَنْصُورٍ ، قَالَ :</w:t>
      </w:r>
    </w:p>
    <w:p w:rsidR="00144FA6" w:rsidRDefault="00744A1C" w:rsidP="00744A1C">
      <w:pPr>
        <w:pStyle w:val="libNormal"/>
        <w:rPr>
          <w:rtl/>
          <w:lang w:bidi="fa-IR"/>
        </w:rPr>
      </w:pPr>
      <w:r>
        <w:rPr>
          <w:rtl/>
          <w:lang w:bidi="fa-IR"/>
        </w:rPr>
        <w:t xml:space="preserve">حَدَّثَنِي مَنْ سَمِعَ أَبَا عَبْدِ اللهِ </w:t>
      </w:r>
      <w:r w:rsidR="0061079A" w:rsidRPr="0061079A">
        <w:rPr>
          <w:rStyle w:val="libAlaemChar"/>
          <w:rtl/>
        </w:rPr>
        <w:t>عليه‌السلام</w:t>
      </w:r>
      <w:r w:rsidR="00D10E3C">
        <w:rPr>
          <w:rtl/>
          <w:lang w:bidi="fa-IR"/>
        </w:rPr>
        <w:t xml:space="preserve"> </w:t>
      </w:r>
      <w:r>
        <w:rPr>
          <w:rtl/>
          <w:lang w:bidi="fa-IR"/>
        </w:rPr>
        <w:t xml:space="preserve">يَقُولُ : « تَتِمُّ </w:t>
      </w:r>
      <w:r w:rsidRPr="00D10E3C">
        <w:rPr>
          <w:rStyle w:val="libFootnotenumChar"/>
          <w:rtl/>
        </w:rPr>
        <w:t>(4)</w:t>
      </w:r>
      <w:r>
        <w:rPr>
          <w:rtl/>
          <w:lang w:bidi="fa-IR"/>
        </w:rPr>
        <w:t xml:space="preserve"> الصَّلَاةُ </w:t>
      </w:r>
      <w:r w:rsidRPr="00D10E3C">
        <w:rPr>
          <w:rStyle w:val="libFootnotenumChar"/>
          <w:rtl/>
        </w:rPr>
        <w:t>(5)</w:t>
      </w:r>
      <w:r>
        <w:rPr>
          <w:rtl/>
          <w:lang w:bidi="fa-IR"/>
        </w:rPr>
        <w:t xml:space="preserve"> فِي الْمَسْجِدِ الْحَرَامِ ، وَمَسْجِدِ الرَّسُولِ </w:t>
      </w:r>
      <w:r w:rsidR="0017097C" w:rsidRPr="0017097C">
        <w:rPr>
          <w:rStyle w:val="libAlaemChar"/>
          <w:rtl/>
        </w:rPr>
        <w:t>صلى‌الله‌عليه‌وآله</w:t>
      </w:r>
      <w:r w:rsidR="00D10E3C">
        <w:rPr>
          <w:rtl/>
          <w:lang w:bidi="fa-IR"/>
        </w:rPr>
        <w:t xml:space="preserve"> </w:t>
      </w:r>
      <w:r>
        <w:rPr>
          <w:rtl/>
          <w:lang w:bidi="fa-IR"/>
        </w:rPr>
        <w:t xml:space="preserve">، وَمَسْجِدِ الْكُوفَةِ ، وَحَرَمِ الْحُسَيْنِ </w:t>
      </w:r>
      <w:r w:rsidR="0061079A" w:rsidRPr="0061079A">
        <w:rPr>
          <w:rStyle w:val="libAlaemChar"/>
          <w:rtl/>
        </w:rPr>
        <w:t>عليه‌السلام</w:t>
      </w:r>
      <w:r w:rsidR="00D10E3C">
        <w:rPr>
          <w:rtl/>
          <w:lang w:bidi="fa-IR"/>
        </w:rPr>
        <w:t xml:space="preserve"> </w:t>
      </w:r>
      <w:r>
        <w:rPr>
          <w:rtl/>
          <w:lang w:bidi="fa-IR"/>
        </w:rPr>
        <w:t xml:space="preserve">». </w:t>
      </w:r>
      <w:r w:rsidRPr="00D10E3C">
        <w:rPr>
          <w:rStyle w:val="libFootnotenumChar"/>
          <w:rtl/>
        </w:rPr>
        <w:t>(6)</w:t>
      </w:r>
    </w:p>
    <w:p w:rsidR="00744A1C" w:rsidRDefault="00744A1C" w:rsidP="00744A1C">
      <w:pPr>
        <w:pStyle w:val="libNormal"/>
        <w:rPr>
          <w:lang w:bidi="fa-IR"/>
        </w:rPr>
      </w:pPr>
      <w:r>
        <w:rPr>
          <w:rtl/>
          <w:lang w:bidi="fa-IR"/>
        </w:rPr>
        <w:t xml:space="preserve">8188 / 4. أَبُو عَلِيٍّ الْأَشْعَرِيُّ ، عَنِ الْحَسَنِ بْنِ عَلِيٍّ ، عَنْ عَلِيِّ بْنِ مَهْزِيَارَ </w:t>
      </w:r>
      <w:r w:rsidRPr="00D10E3C">
        <w:rPr>
          <w:rStyle w:val="libFootnotenumChar"/>
          <w:rtl/>
        </w:rPr>
        <w:t>(7)</w:t>
      </w:r>
      <w:r>
        <w:rPr>
          <w:rtl/>
          <w:lang w:bidi="fa-IR"/>
        </w:rPr>
        <w:t xml:space="preserve">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5 ، ص 432 ، ح 1500 ؛ </w:t>
      </w:r>
      <w:r w:rsidR="00744A1C" w:rsidRPr="00C24F9C">
        <w:rPr>
          <w:rStyle w:val="libFootnoteBoldChar"/>
          <w:rtl/>
        </w:rPr>
        <w:t>والاستبصار</w:t>
      </w:r>
      <w:r w:rsidR="00744A1C">
        <w:rPr>
          <w:rtl/>
          <w:lang w:bidi="fa-IR"/>
        </w:rPr>
        <w:t xml:space="preserve"> ، ج 2 ، ص 335 ، ح 1196 ، معلّقاً عن الكليني. وفي </w:t>
      </w:r>
      <w:r w:rsidR="00744A1C" w:rsidRPr="00C24F9C">
        <w:rPr>
          <w:rStyle w:val="libFootnoteBoldChar"/>
          <w:rtl/>
        </w:rPr>
        <w:t>التهذيب</w:t>
      </w:r>
      <w:r w:rsidR="00744A1C">
        <w:rPr>
          <w:rtl/>
          <w:lang w:bidi="fa-IR"/>
        </w:rPr>
        <w:t xml:space="preserve"> ، ج 5 ، ص 430 ، ح 1494 ؛ </w:t>
      </w:r>
      <w:r w:rsidR="00744A1C" w:rsidRPr="00C24F9C">
        <w:rPr>
          <w:rStyle w:val="libFootnoteBoldChar"/>
          <w:rtl/>
        </w:rPr>
        <w:t>والاستبصار</w:t>
      </w:r>
      <w:r w:rsidR="00744A1C">
        <w:rPr>
          <w:rtl/>
          <w:lang w:bidi="fa-IR"/>
        </w:rPr>
        <w:t xml:space="preserve"> ، ج 2 ، ص 334 ، ح 1191 ؛ </w:t>
      </w:r>
      <w:r w:rsidR="00744A1C" w:rsidRPr="00712C99">
        <w:rPr>
          <w:rStyle w:val="libFootnoteBoldChar"/>
          <w:rtl/>
        </w:rPr>
        <w:t>وك</w:t>
      </w:r>
      <w:r w:rsidR="00744A1C" w:rsidRPr="007B299E">
        <w:rPr>
          <w:rStyle w:val="libFootnoteBoldChar"/>
          <w:rtl/>
        </w:rPr>
        <w:t>امل الزيارات</w:t>
      </w:r>
      <w:r w:rsidR="00744A1C">
        <w:rPr>
          <w:rtl/>
          <w:lang w:bidi="fa-IR"/>
        </w:rPr>
        <w:t xml:space="preserve"> ، ص 249 ، الباب 82 ، ح 4 و 5 ؛ وص 250 ، نفس الباب ، ح 6 ؛ </w:t>
      </w:r>
      <w:r w:rsidR="00744A1C" w:rsidRPr="00712C99">
        <w:rPr>
          <w:rStyle w:val="libFootnoteBoldChar"/>
          <w:rtl/>
        </w:rPr>
        <w:t>والخصال</w:t>
      </w:r>
      <w:r w:rsidR="00744A1C">
        <w:rPr>
          <w:rtl/>
          <w:lang w:bidi="fa-IR"/>
        </w:rPr>
        <w:t xml:space="preserve"> ، ص 252 ، باب الأربعة ، ح 123 ، بسند آخر ، مع اختلاف يسير. وفي </w:t>
      </w:r>
      <w:r w:rsidR="00744A1C" w:rsidRPr="00C24F9C">
        <w:rPr>
          <w:rStyle w:val="libFootnoteBoldChar"/>
          <w:rtl/>
        </w:rPr>
        <w:t>التهذيب</w:t>
      </w:r>
      <w:r w:rsidR="00744A1C">
        <w:rPr>
          <w:rtl/>
          <w:lang w:bidi="fa-IR"/>
        </w:rPr>
        <w:t xml:space="preserve"> ، ج 5 ، ص 430 ، ح 1495 ؛ </w:t>
      </w:r>
      <w:r w:rsidR="00744A1C" w:rsidRPr="00C24F9C">
        <w:rPr>
          <w:rStyle w:val="libFootnoteBoldChar"/>
          <w:rtl/>
        </w:rPr>
        <w:t>والاستبصار</w:t>
      </w:r>
      <w:r w:rsidR="00744A1C">
        <w:rPr>
          <w:rtl/>
          <w:lang w:bidi="fa-IR"/>
        </w:rPr>
        <w:t xml:space="preserve"> ، ج 2 ، ص 335 ، ح 1192 ؛ </w:t>
      </w:r>
      <w:r w:rsidR="00744A1C" w:rsidRPr="00712C99">
        <w:rPr>
          <w:rStyle w:val="libFootnoteBoldChar"/>
          <w:rtl/>
        </w:rPr>
        <w:t>وك</w:t>
      </w:r>
      <w:r w:rsidR="00744A1C" w:rsidRPr="007B299E">
        <w:rPr>
          <w:rStyle w:val="libFootnoteBoldChar"/>
          <w:rtl/>
        </w:rPr>
        <w:t>امل الزيارات</w:t>
      </w:r>
      <w:r w:rsidR="00744A1C">
        <w:rPr>
          <w:rtl/>
          <w:lang w:bidi="fa-IR"/>
        </w:rPr>
        <w:t xml:space="preserve"> ، ص 250 ، الباب 82 ، ح 7 ؛ </w:t>
      </w:r>
      <w:r w:rsidR="00744A1C" w:rsidRPr="00712C99">
        <w:rPr>
          <w:rStyle w:val="libFootnoteBoldChar"/>
          <w:rtl/>
        </w:rPr>
        <w:t>وكتاب المزار</w:t>
      </w:r>
      <w:r w:rsidR="00744A1C">
        <w:rPr>
          <w:rtl/>
          <w:lang w:bidi="fa-IR"/>
        </w:rPr>
        <w:t xml:space="preserve"> ، ص 137 ، ح 2 ؛ وص 138 ، ح 4 ؛ بسند آخر عن أبي الحسن </w:t>
      </w:r>
      <w:r w:rsidR="0061079A" w:rsidRPr="0061079A">
        <w:rPr>
          <w:rStyle w:val="libFootnoteAlaemChar"/>
          <w:rtl/>
        </w:rPr>
        <w:t>عليه‌السلام</w:t>
      </w:r>
      <w:r>
        <w:rPr>
          <w:rtl/>
          <w:lang w:bidi="fa-IR"/>
        </w:rPr>
        <w:t xml:space="preserve"> </w:t>
      </w:r>
      <w:r w:rsidR="00744A1C">
        <w:rPr>
          <w:rtl/>
          <w:lang w:bidi="fa-IR"/>
        </w:rPr>
        <w:t xml:space="preserve">، مع اختلاف يسير. </w:t>
      </w:r>
      <w:r w:rsidR="00744A1C" w:rsidRPr="00C24F9C">
        <w:rPr>
          <w:rStyle w:val="libFootnoteBoldChar"/>
          <w:rtl/>
        </w:rPr>
        <w:t>الفقيه</w:t>
      </w:r>
      <w:r w:rsidR="00744A1C">
        <w:rPr>
          <w:rtl/>
          <w:lang w:bidi="fa-IR"/>
        </w:rPr>
        <w:t xml:space="preserve"> ، ج 1 ، ص 442 ، ح 1283 ، مرسلاً عن الصادق </w:t>
      </w:r>
      <w:r w:rsidR="0061079A" w:rsidRPr="0061079A">
        <w:rPr>
          <w:rStyle w:val="libFootnoteAlaemChar"/>
          <w:rtl/>
        </w:rPr>
        <w:t>عليه‌السلام</w:t>
      </w:r>
      <w:r>
        <w:rPr>
          <w:rtl/>
          <w:lang w:bidi="fa-IR"/>
        </w:rPr>
        <w:t xml:space="preserve"> </w:t>
      </w:r>
      <w:r w:rsidR="00744A1C">
        <w:rPr>
          <w:rtl/>
          <w:lang w:bidi="fa-IR"/>
        </w:rPr>
        <w:t xml:space="preserve">، مع اختلاف يسير </w:t>
      </w:r>
      <w:r w:rsidR="00712C99">
        <w:rPr>
          <w:rFonts w:hint="cs"/>
          <w:rtl/>
          <w:lang w:bidi="fa-IR"/>
        </w:rPr>
        <w:t>.</w:t>
      </w:r>
      <w:r w:rsidR="00744A1C" w:rsidRPr="00C24F9C">
        <w:rPr>
          <w:rStyle w:val="libFootnoteBoldChar"/>
          <w:rtl/>
        </w:rPr>
        <w:t>الوافي</w:t>
      </w:r>
      <w:r w:rsidR="00744A1C">
        <w:rPr>
          <w:rtl/>
          <w:lang w:bidi="fa-IR"/>
        </w:rPr>
        <w:t xml:space="preserve"> ، ج 7 ، ص 183 ، ح 5729 ؛ </w:t>
      </w:r>
      <w:r w:rsidR="00744A1C" w:rsidRPr="00C24F9C">
        <w:rPr>
          <w:rStyle w:val="libFootnoteBoldChar"/>
          <w:rtl/>
        </w:rPr>
        <w:t>الوسائل</w:t>
      </w:r>
      <w:r w:rsidR="00744A1C">
        <w:rPr>
          <w:rtl/>
          <w:lang w:bidi="fa-IR"/>
        </w:rPr>
        <w:t xml:space="preserve"> ، ج 8 ، ص 531 ، ح 11367.</w:t>
      </w:r>
    </w:p>
    <w:p w:rsidR="00744A1C" w:rsidRDefault="00E378DD" w:rsidP="00E378DD">
      <w:pPr>
        <w:pStyle w:val="libFootnote0"/>
        <w:rPr>
          <w:lang w:bidi="fa-IR"/>
        </w:rPr>
      </w:pPr>
      <w:r>
        <w:rPr>
          <w:rtl/>
          <w:lang w:bidi="fa-IR"/>
        </w:rPr>
        <w:t>(2).</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5 ، ص 431 ، ح 1498 ؛ </w:t>
      </w:r>
      <w:r w:rsidR="00744A1C" w:rsidRPr="00C24F9C">
        <w:rPr>
          <w:rStyle w:val="libFootnoteBoldChar"/>
          <w:rtl/>
        </w:rPr>
        <w:t>والاستبصار</w:t>
      </w:r>
      <w:r w:rsidR="00744A1C">
        <w:rPr>
          <w:rtl/>
          <w:lang w:bidi="fa-IR"/>
        </w:rPr>
        <w:t xml:space="preserve"> ، ج 2 ، ص 335 ، ح 1195 ، عن محمّد بن</w:t>
      </w:r>
      <w:r w:rsidR="00712C99">
        <w:rPr>
          <w:rFonts w:hint="cs"/>
          <w:rtl/>
          <w:lang w:bidi="fa-IR"/>
        </w:rPr>
        <w:t xml:space="preserve"> </w:t>
      </w:r>
      <w:r w:rsidR="00744A1C">
        <w:rPr>
          <w:rtl/>
          <w:lang w:bidi="fa-IR"/>
        </w:rPr>
        <w:t>‌يعقوب ، عن محمّد بن يحيى [ العطّار ] ، عن محمّد بن الحسين. ولايبعد أن يكون « عليّ » في ما نحن فيه محرّفاً من « عنه » ، ويكون الضمير راجعاً إلى محمّد بن يحيى المذكور في السند السابق ؛ فإنّه لم يثبت رواية عليّ في مشايخ الكليني - سواء أكان المراد منه عليّ بن إبراهيم أو عليّ بن محمّد بن بندار أو ع</w:t>
      </w:r>
      <w:r w:rsidR="00712C99">
        <w:rPr>
          <w:rtl/>
          <w:lang w:bidi="fa-IR"/>
        </w:rPr>
        <w:t>ليّ بن محمّد عل</w:t>
      </w:r>
      <w:r w:rsidR="00712C99">
        <w:rPr>
          <w:rFonts w:hint="cs"/>
          <w:rtl/>
          <w:lang w:bidi="fa-IR"/>
        </w:rPr>
        <w:t>ّ</w:t>
      </w:r>
      <w:r w:rsidR="00712C99">
        <w:rPr>
          <w:rtl/>
          <w:lang w:bidi="fa-IR"/>
        </w:rPr>
        <w:t>ا</w:t>
      </w:r>
      <w:r w:rsidR="00744A1C">
        <w:rPr>
          <w:rtl/>
          <w:lang w:bidi="fa-IR"/>
        </w:rPr>
        <w:t xml:space="preserve">ن الكليني - عن محمّد بن الحسين. وما ورد في </w:t>
      </w:r>
      <w:r w:rsidR="00744A1C" w:rsidRPr="0061079A">
        <w:rPr>
          <w:rStyle w:val="libFootnoteBoldChar"/>
          <w:rtl/>
        </w:rPr>
        <w:t>الكافي</w:t>
      </w:r>
      <w:r w:rsidR="00744A1C">
        <w:rPr>
          <w:rtl/>
          <w:lang w:bidi="fa-IR"/>
        </w:rPr>
        <w:t xml:space="preserve"> ، ح 887 من رواية عليّ بن إبراهيم عن محمّد بن الحسين ، لايأمن مِنَ التحريف.</w:t>
      </w:r>
    </w:p>
    <w:p w:rsidR="00744A1C" w:rsidRDefault="00E378DD" w:rsidP="00712C99">
      <w:pPr>
        <w:pStyle w:val="libFootnote0"/>
        <w:rPr>
          <w:lang w:bidi="fa-IR"/>
        </w:rPr>
      </w:pPr>
      <w:r>
        <w:rPr>
          <w:rtl/>
          <w:lang w:bidi="fa-IR"/>
        </w:rPr>
        <w:t>(3).</w:t>
      </w:r>
      <w:r w:rsidR="00744A1C">
        <w:rPr>
          <w:rtl/>
          <w:lang w:bidi="fa-IR"/>
        </w:rPr>
        <w:t xml:space="preserve"> في المزار : « الحسن ». وهو سهو ؛ فإنّه لم يثبت رواية محمّد بن الحسن - وهو الصفّار - عن محمّد بن سنان مباشرة.</w:t>
      </w:r>
      <w:r w:rsidR="00712C99">
        <w:rPr>
          <w:rFonts w:hint="cs"/>
          <w:rtl/>
          <w:lang w:bidi="fa-IR"/>
        </w:rPr>
        <w:t xml:space="preserve">                               </w:t>
      </w:r>
      <w:r>
        <w:rPr>
          <w:rtl/>
          <w:lang w:bidi="fa-IR"/>
        </w:rPr>
        <w:t>(4).</w:t>
      </w:r>
      <w:r w:rsidR="00744A1C">
        <w:rPr>
          <w:rtl/>
          <w:lang w:bidi="fa-IR"/>
        </w:rPr>
        <w:t xml:space="preserve"> في « بف » وحاشية « ى ، بث ، جن » : « تمّم ».</w:t>
      </w:r>
    </w:p>
    <w:p w:rsidR="00744A1C" w:rsidRDefault="00E378DD" w:rsidP="00E378DD">
      <w:pPr>
        <w:pStyle w:val="libFootnote0"/>
        <w:rPr>
          <w:lang w:bidi="fa-IR"/>
        </w:rPr>
      </w:pPr>
      <w:r>
        <w:rPr>
          <w:rtl/>
          <w:lang w:bidi="fa-IR"/>
        </w:rPr>
        <w:t>(5).</w:t>
      </w:r>
      <w:r w:rsidR="00744A1C">
        <w:rPr>
          <w:rtl/>
          <w:lang w:bidi="fa-IR"/>
        </w:rPr>
        <w:t xml:space="preserve"> في الاستبصار : + « في أربعة مواطن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431 ، ح 1498 ؛ </w:t>
      </w:r>
      <w:r w:rsidR="00744A1C" w:rsidRPr="00C24F9C">
        <w:rPr>
          <w:rStyle w:val="libFootnoteBoldChar"/>
          <w:rtl/>
        </w:rPr>
        <w:t>والاستبصار</w:t>
      </w:r>
      <w:r w:rsidR="00744A1C">
        <w:rPr>
          <w:rtl/>
          <w:lang w:bidi="fa-IR"/>
        </w:rPr>
        <w:t xml:space="preserve"> ، ج 2 ، ص 335 ، ح 1195 ، معلّقاً عن الكليني ؛ </w:t>
      </w:r>
      <w:r w:rsidR="00744A1C" w:rsidRPr="007B299E">
        <w:rPr>
          <w:rStyle w:val="libFootnoteBoldChar"/>
          <w:rtl/>
        </w:rPr>
        <w:t>كامل الزيارات</w:t>
      </w:r>
      <w:r w:rsidR="00744A1C">
        <w:rPr>
          <w:rtl/>
          <w:lang w:bidi="fa-IR"/>
        </w:rPr>
        <w:t xml:space="preserve"> ، ص 250 ، الباب 82 ، ح 8 ، عن محمّد بن يعقوب وجماعة مشايخي ، عن محمّد بن يحيى العطّار ، عن محمّد بن الحسين ؛ </w:t>
      </w:r>
      <w:r w:rsidR="00744A1C" w:rsidRPr="00E14A6E">
        <w:rPr>
          <w:rStyle w:val="libFootnoteBoldChar"/>
          <w:rtl/>
        </w:rPr>
        <w:t>كتاب المزار</w:t>
      </w:r>
      <w:r w:rsidR="00744A1C">
        <w:rPr>
          <w:rtl/>
          <w:lang w:bidi="fa-IR"/>
        </w:rPr>
        <w:t xml:space="preserve"> ، ص 137 ، ح 3 ، بسنده عن محمّد بن يعقوب وجماعة مشايخي ، عن محمّد بن يحيى العطّار ، عن محمّد بن الحسن ، عن محمّد بن سنان </w:t>
      </w:r>
      <w:r w:rsidR="00E14A6E">
        <w:rPr>
          <w:rFonts w:hint="cs"/>
          <w:rtl/>
          <w:lang w:bidi="fa-IR"/>
        </w:rPr>
        <w:t>.</w:t>
      </w:r>
      <w:r w:rsidR="00744A1C" w:rsidRPr="00C24F9C">
        <w:rPr>
          <w:rStyle w:val="libFootnoteBoldChar"/>
          <w:rtl/>
        </w:rPr>
        <w:t>الوافي</w:t>
      </w:r>
      <w:r w:rsidR="00744A1C">
        <w:rPr>
          <w:rtl/>
          <w:lang w:bidi="fa-IR"/>
        </w:rPr>
        <w:t xml:space="preserve"> ، ج 7 ، ص 184 ، ح 5730 ؛ </w:t>
      </w:r>
      <w:r w:rsidR="00744A1C" w:rsidRPr="00C24F9C">
        <w:rPr>
          <w:rStyle w:val="libFootnoteBoldChar"/>
          <w:rtl/>
        </w:rPr>
        <w:t>الوسائل</w:t>
      </w:r>
      <w:r w:rsidR="00744A1C">
        <w:rPr>
          <w:rtl/>
          <w:lang w:bidi="fa-IR"/>
        </w:rPr>
        <w:t xml:space="preserve"> ، ج 8 ، ص 530 ، ح 11365.</w:t>
      </w:r>
    </w:p>
    <w:p w:rsidR="00144FA6" w:rsidRDefault="00E378DD" w:rsidP="00E378DD">
      <w:pPr>
        <w:pStyle w:val="libFootnote0"/>
        <w:rPr>
          <w:rtl/>
          <w:lang w:bidi="fa-IR"/>
        </w:rPr>
      </w:pPr>
      <w:r>
        <w:rPr>
          <w:rtl/>
          <w:lang w:bidi="fa-IR"/>
        </w:rPr>
        <w:t>(7).</w:t>
      </w:r>
      <w:r w:rsidR="00744A1C">
        <w:rPr>
          <w:rtl/>
          <w:lang w:bidi="fa-IR"/>
        </w:rPr>
        <w:t xml:space="preserve"> في </w:t>
      </w:r>
      <w:r w:rsidR="00744A1C" w:rsidRPr="00E14A6E">
        <w:rPr>
          <w:rtl/>
        </w:rPr>
        <w:t>الوسائل</w:t>
      </w:r>
      <w:r w:rsidR="00744A1C">
        <w:rPr>
          <w:rtl/>
          <w:lang w:bidi="fa-IR"/>
        </w:rPr>
        <w:t xml:space="preserve"> : « الحسن بن عليّ بن مهزيار » بدل « الحسن بن عليّ ، عن عليّ بن مهزيار ». وهو سهو ناشٍ من</w:t>
      </w:r>
      <w:r w:rsidR="00E14A6E">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8775FD">
      <w:pPr>
        <w:pStyle w:val="libNormal0"/>
        <w:rPr>
          <w:rtl/>
          <w:lang w:bidi="fa-IR"/>
        </w:rPr>
      </w:pPr>
      <w:r>
        <w:rPr>
          <w:rtl/>
          <w:lang w:bidi="fa-IR"/>
        </w:rPr>
        <w:lastRenderedPageBreak/>
        <w:t>الْحُسَيْنِ بْنِ سَعِيدٍ ، عَنْ إِبْرَاهِيمَ بْنِ أَبِي الْبِلَادِ ، عَنْ رَجُلٍ مِنْ أَصْحَابِنَا يُقَالُ لَهُ : حُسَيْنٌ :</w:t>
      </w:r>
    </w:p>
    <w:p w:rsidR="00144FA6" w:rsidRDefault="00744A1C" w:rsidP="002F339C">
      <w:pPr>
        <w:pStyle w:val="libNormal"/>
        <w:rPr>
          <w:rtl/>
          <w:lang w:bidi="fa-IR"/>
        </w:rPr>
      </w:pPr>
      <w:r>
        <w:rPr>
          <w:rtl/>
          <w:lang w:bidi="fa-IR"/>
        </w:rPr>
        <w:t xml:space="preserve">عَنْ أَبِي عَبْدِ اللهِ </w:t>
      </w:r>
      <w:r w:rsidR="002F339C" w:rsidRPr="0061079A">
        <w:rPr>
          <w:rStyle w:val="libAlaemChar"/>
          <w:rtl/>
        </w:rPr>
        <w:t>عليه‌السلام</w:t>
      </w:r>
      <w:r w:rsidR="002F339C">
        <w:rPr>
          <w:rtl/>
          <w:lang w:bidi="fa-IR"/>
        </w:rPr>
        <w:t xml:space="preserve"> </w:t>
      </w:r>
      <w:r>
        <w:rPr>
          <w:rtl/>
          <w:lang w:bidi="fa-IR"/>
        </w:rPr>
        <w:t xml:space="preserve">، قَالَ : « تَتِمُّ </w:t>
      </w:r>
      <w:r w:rsidRPr="00D10E3C">
        <w:rPr>
          <w:rStyle w:val="libFootnotenumChar"/>
          <w:rtl/>
        </w:rPr>
        <w:t>(1)</w:t>
      </w:r>
      <w:r>
        <w:rPr>
          <w:rtl/>
          <w:lang w:bidi="fa-IR"/>
        </w:rPr>
        <w:t xml:space="preserve"> الصَّلَاةُ فِي ثَلَاثَةِ مَوَاطِنَ : فِي </w:t>
      </w:r>
      <w:r w:rsidRPr="00D10E3C">
        <w:rPr>
          <w:rStyle w:val="libFootnotenumChar"/>
          <w:rtl/>
        </w:rPr>
        <w:t>(2)</w:t>
      </w:r>
      <w:r>
        <w:rPr>
          <w:rtl/>
          <w:lang w:bidi="fa-IR"/>
        </w:rPr>
        <w:t xml:space="preserve"> الْمَسْجِدِ الْحَرَامِ ، وَمَسْجِدِ الرَّسُولِ </w:t>
      </w:r>
      <w:r w:rsidR="004D054E" w:rsidRPr="004D054E">
        <w:rPr>
          <w:rStyle w:val="libAlaemChar"/>
          <w:rtl/>
        </w:rPr>
        <w:t>صلى‌الله‌عليه‌وآله</w:t>
      </w:r>
      <w:r w:rsidR="00D10E3C">
        <w:rPr>
          <w:rtl/>
          <w:lang w:bidi="fa-IR"/>
        </w:rPr>
        <w:t xml:space="preserve"> </w:t>
      </w:r>
      <w:r>
        <w:rPr>
          <w:rtl/>
          <w:lang w:bidi="fa-IR"/>
        </w:rPr>
        <w:t xml:space="preserve">، وَعِنْدَ قَبْرِ الْحُسَيْنِ </w:t>
      </w:r>
      <w:r w:rsidR="0061079A" w:rsidRPr="0061079A">
        <w:rPr>
          <w:rStyle w:val="libAlaemChar"/>
          <w:rtl/>
        </w:rPr>
        <w:t>عليه‌السلام</w:t>
      </w:r>
      <w:r w:rsidR="00D10E3C">
        <w:rPr>
          <w:rtl/>
          <w:lang w:bidi="fa-IR"/>
        </w:rPr>
        <w:t xml:space="preserve"> </w:t>
      </w:r>
      <w:r>
        <w:rPr>
          <w:rtl/>
          <w:lang w:bidi="fa-IR"/>
        </w:rPr>
        <w:t xml:space="preserve">». </w:t>
      </w:r>
      <w:r w:rsidRPr="00D10E3C">
        <w:rPr>
          <w:rStyle w:val="libFootnotenumChar"/>
          <w:rtl/>
        </w:rPr>
        <w:t>(3)</w:t>
      </w:r>
    </w:p>
    <w:p w:rsidR="00144FA6" w:rsidRDefault="00744A1C" w:rsidP="00744A1C">
      <w:pPr>
        <w:pStyle w:val="libNormal"/>
        <w:rPr>
          <w:rtl/>
          <w:lang w:bidi="fa-IR"/>
        </w:rPr>
      </w:pPr>
      <w:r>
        <w:rPr>
          <w:rtl/>
          <w:lang w:bidi="fa-IR"/>
        </w:rPr>
        <w:t>8189 / 5. عِدَّةٌ مِنْ أَصْحَابِنَا ، عَنْ أَحْمَدَ بْنِ مُحَمَّدٍ ، عَنِ الْحُسَيْنِ بْنِ سَعِيدٍ ، عَنْ عَبْدِ الْمَلِكِ الْقُمِّيِّ ، عَنْ إِسْمَاعِيلَ بْنِ جَابِرٍ ، عَنْ عَبْدِ الْحَمِيدِ خَادِمِ إِسْمَاعِيلَ بْنِ جَعْفَرٍ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تَتِمُّ </w:t>
      </w:r>
      <w:r w:rsidRPr="00D10E3C">
        <w:rPr>
          <w:rStyle w:val="libFootnotenumChar"/>
          <w:rtl/>
        </w:rPr>
        <w:t>(4)</w:t>
      </w:r>
      <w:r>
        <w:rPr>
          <w:rtl/>
          <w:lang w:bidi="fa-IR"/>
        </w:rPr>
        <w:t xml:space="preserve"> الصَّلَاةُ فِي أَرْبَعَةِ </w:t>
      </w:r>
      <w:r w:rsidRPr="00D10E3C">
        <w:rPr>
          <w:rStyle w:val="libFootnotenumChar"/>
          <w:rtl/>
        </w:rPr>
        <w:t>(5)</w:t>
      </w:r>
      <w:r>
        <w:rPr>
          <w:rtl/>
          <w:lang w:bidi="fa-IR"/>
        </w:rPr>
        <w:t xml:space="preserve"> مَوَاطِنَ : الْمَسْجِدِ الْحَرَامِ ، وَمَسْجِدِ الرَّسُولِ </w:t>
      </w:r>
      <w:r w:rsidR="0017097C" w:rsidRPr="0017097C">
        <w:rPr>
          <w:rStyle w:val="libAlaemChar"/>
          <w:rtl/>
        </w:rPr>
        <w:t>صلى‌الله‌عليه‌وآله</w:t>
      </w:r>
      <w:r w:rsidR="00D10E3C">
        <w:rPr>
          <w:rtl/>
          <w:lang w:bidi="fa-IR"/>
        </w:rPr>
        <w:t xml:space="preserve"> </w:t>
      </w:r>
      <w:r>
        <w:rPr>
          <w:rtl/>
          <w:lang w:bidi="fa-IR"/>
        </w:rPr>
        <w:t xml:space="preserve"> ، وَمَسْجِدِ الْكُوفَةِ ، وَحَرَمِ الْحُسَيْنِ </w:t>
      </w:r>
      <w:r w:rsidR="0061079A" w:rsidRPr="0061079A">
        <w:rPr>
          <w:rStyle w:val="libAlaemChar"/>
          <w:rtl/>
        </w:rPr>
        <w:t>عليه‌السلام</w:t>
      </w:r>
      <w:r w:rsidR="00D10E3C">
        <w:rPr>
          <w:rtl/>
          <w:lang w:bidi="fa-IR"/>
        </w:rPr>
        <w:t xml:space="preserve"> </w:t>
      </w:r>
      <w:r>
        <w:rPr>
          <w:rtl/>
          <w:lang w:bidi="fa-IR"/>
        </w:rPr>
        <w:t xml:space="preserve">». </w:t>
      </w:r>
      <w:r w:rsidRPr="00D10E3C">
        <w:rPr>
          <w:rStyle w:val="libFootnotenumChar"/>
          <w:rtl/>
        </w:rPr>
        <w:t>(6)</w:t>
      </w:r>
    </w:p>
    <w:p w:rsidR="00144FA6" w:rsidRDefault="00744A1C" w:rsidP="00744A1C">
      <w:pPr>
        <w:pStyle w:val="libNormal"/>
        <w:rPr>
          <w:rtl/>
          <w:lang w:bidi="fa-IR"/>
        </w:rPr>
      </w:pPr>
      <w:r>
        <w:rPr>
          <w:rtl/>
          <w:lang w:bidi="fa-IR"/>
        </w:rPr>
        <w:t>8190 / 6. عِدَّةٌ مِنْ أَصْحَابِنَا ، عَنْ سَهْلِ بْنِ زِيَادٍ ، عَنْ مُحَمَّدِ بْنِ عَبْدِ اللهِ ، عَنْ صَالِحِ بْنِ عُقْبَةَ ، عَنْ أَبِي شِبْلٍ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أَزُورُ قَبْرَ الْحُسَيْنِ </w:t>
      </w:r>
      <w:r w:rsidR="0061079A" w:rsidRPr="0061079A">
        <w:rPr>
          <w:rStyle w:val="libAlaemChar"/>
          <w:rtl/>
        </w:rPr>
        <w:t>عليه‌السلام</w:t>
      </w:r>
      <w:r>
        <w:rPr>
          <w:rtl/>
          <w:lang w:bidi="fa-IR"/>
        </w:rPr>
        <w:t xml:space="preserve"> ؟</w:t>
      </w:r>
    </w:p>
    <w:p w:rsidR="00744A1C" w:rsidRDefault="00744A1C" w:rsidP="00744A1C">
      <w:pPr>
        <w:pStyle w:val="libNormal"/>
        <w:rPr>
          <w:lang w:bidi="fa-IR"/>
        </w:rPr>
      </w:pPr>
      <w:r>
        <w:rPr>
          <w:rtl/>
          <w:lang w:bidi="fa-IR"/>
        </w:rPr>
        <w:t>قَالَ : « نَعَمْ ، زُرِ الطَّيِّبَ ، وَأَتِمَّ الصَّلَاةَ فِيهِ ».</w:t>
      </w:r>
    </w:p>
    <w:p w:rsidR="00744A1C" w:rsidRDefault="00744A1C" w:rsidP="00744A1C">
      <w:pPr>
        <w:pStyle w:val="libNormal"/>
        <w:rPr>
          <w:lang w:bidi="fa-IR"/>
        </w:rPr>
      </w:pPr>
      <w:r>
        <w:rPr>
          <w:rtl/>
          <w:lang w:bidi="fa-IR"/>
        </w:rPr>
        <w:t xml:space="preserve">قُلْتُ : فَإِنَّ بَعْضَ أَصْحَابِنَا يَرَوْنَ </w:t>
      </w:r>
      <w:r w:rsidRPr="00D10E3C">
        <w:rPr>
          <w:rStyle w:val="libFootnotenumChar"/>
          <w:rtl/>
        </w:rPr>
        <w:t>(7)</w:t>
      </w:r>
      <w:r>
        <w:rPr>
          <w:rtl/>
          <w:lang w:bidi="fa-IR"/>
        </w:rPr>
        <w:t xml:space="preserve"> التَّقْصِيرَ.</w:t>
      </w:r>
    </w:p>
    <w:p w:rsidR="00744A1C" w:rsidRDefault="00744A1C" w:rsidP="00D10E3C">
      <w:pPr>
        <w:pStyle w:val="libLine"/>
        <w:rPr>
          <w:lang w:bidi="fa-IR"/>
        </w:rPr>
      </w:pPr>
      <w:r>
        <w:rPr>
          <w:rtl/>
          <w:lang w:bidi="fa-IR"/>
        </w:rPr>
        <w:t>____________________</w:t>
      </w:r>
    </w:p>
    <w:p w:rsidR="00744A1C" w:rsidRDefault="002F339C" w:rsidP="00D10E3C">
      <w:pPr>
        <w:pStyle w:val="libFootnote0"/>
        <w:rPr>
          <w:lang w:bidi="fa-IR"/>
        </w:rPr>
      </w:pPr>
      <w:r>
        <w:rPr>
          <w:rFonts w:hint="cs"/>
          <w:rtl/>
          <w:lang w:bidi="fa-IR"/>
        </w:rPr>
        <w:t xml:space="preserve">= </w:t>
      </w:r>
      <w:r w:rsidR="00744A1C">
        <w:rPr>
          <w:rtl/>
          <w:lang w:bidi="fa-IR"/>
        </w:rPr>
        <w:t>جواز النظر من « عليّ » في « الحسن بن عليّ » إلى « عليّ » في « عليّ بن مهزيار ».</w:t>
      </w:r>
    </w:p>
    <w:p w:rsidR="00744A1C" w:rsidRDefault="00D10E3C" w:rsidP="00D10E3C">
      <w:pPr>
        <w:pStyle w:val="libFootnote0"/>
        <w:rPr>
          <w:lang w:bidi="fa-IR"/>
        </w:rPr>
      </w:pPr>
      <w:r>
        <w:rPr>
          <w:rtl/>
          <w:lang w:bidi="fa-IR"/>
        </w:rPr>
        <w:t>(1).</w:t>
      </w:r>
      <w:r w:rsidR="00744A1C">
        <w:rPr>
          <w:rtl/>
          <w:lang w:bidi="fa-IR"/>
        </w:rPr>
        <w:t xml:space="preserve"> في « بف » : « يتمّ ».</w:t>
      </w:r>
    </w:p>
    <w:p w:rsidR="00744A1C" w:rsidRDefault="00E378DD" w:rsidP="00E378DD">
      <w:pPr>
        <w:pStyle w:val="libFootnote0"/>
        <w:rPr>
          <w:lang w:bidi="fa-IR"/>
        </w:rPr>
      </w:pPr>
      <w:r>
        <w:rPr>
          <w:rtl/>
          <w:lang w:bidi="fa-IR"/>
        </w:rPr>
        <w:t>(2).</w:t>
      </w:r>
      <w:r w:rsidR="00744A1C">
        <w:rPr>
          <w:rtl/>
          <w:lang w:bidi="fa-IR"/>
        </w:rPr>
        <w:t xml:space="preserve"> في « بخ ، بف » </w:t>
      </w:r>
      <w:r w:rsidR="00744A1C" w:rsidRPr="002F339C">
        <w:rPr>
          <w:rtl/>
        </w:rPr>
        <w:t>والوافي</w:t>
      </w:r>
      <w:r w:rsidR="00744A1C">
        <w:rPr>
          <w:rtl/>
          <w:lang w:bidi="fa-IR"/>
        </w:rPr>
        <w:t xml:space="preserve"> : - « في ».</w:t>
      </w:r>
    </w:p>
    <w:p w:rsidR="00744A1C" w:rsidRDefault="00E378DD" w:rsidP="00E378DD">
      <w:pPr>
        <w:pStyle w:val="libFootnote0"/>
        <w:rPr>
          <w:lang w:bidi="fa-IR"/>
        </w:rPr>
      </w:pPr>
      <w:r>
        <w:rPr>
          <w:rtl/>
          <w:lang w:bidi="fa-IR"/>
        </w:rPr>
        <w:t>(3).</w:t>
      </w:r>
      <w:r w:rsidR="00744A1C">
        <w:rPr>
          <w:rtl/>
          <w:lang w:bidi="fa-IR"/>
        </w:rPr>
        <w:t xml:space="preserve"> </w:t>
      </w:r>
      <w:r w:rsidR="00744A1C" w:rsidRPr="007B299E">
        <w:rPr>
          <w:rStyle w:val="libFootnoteBoldChar"/>
          <w:rtl/>
        </w:rPr>
        <w:t>كامل الزيارات</w:t>
      </w:r>
      <w:r w:rsidR="00744A1C">
        <w:rPr>
          <w:rtl/>
          <w:lang w:bidi="fa-IR"/>
        </w:rPr>
        <w:t xml:space="preserve"> ، ص 249 ، الباب 82 ، ح 2 ، بسنده عن الحسن بن عليّ بن مهزيار ، عن أبيه عليّ ، عن الحسين بن سعيد </w:t>
      </w:r>
      <w:r w:rsidR="002F339C">
        <w:rPr>
          <w:rFonts w:hint="cs"/>
          <w:rtl/>
          <w:lang w:bidi="fa-IR"/>
        </w:rPr>
        <w:t>.</w:t>
      </w:r>
      <w:r w:rsidR="00744A1C" w:rsidRPr="00C24F9C">
        <w:rPr>
          <w:rStyle w:val="libFootnoteBoldChar"/>
          <w:rtl/>
        </w:rPr>
        <w:t>الوافي</w:t>
      </w:r>
      <w:r w:rsidR="00744A1C">
        <w:rPr>
          <w:rtl/>
          <w:lang w:bidi="fa-IR"/>
        </w:rPr>
        <w:t xml:space="preserve"> ، ج 7 ، ص 184 ، ح 5732 ؛ </w:t>
      </w:r>
      <w:r w:rsidR="00744A1C" w:rsidRPr="00C24F9C">
        <w:rPr>
          <w:rStyle w:val="libFootnoteBoldChar"/>
          <w:rtl/>
        </w:rPr>
        <w:t>الوسائل</w:t>
      </w:r>
      <w:r w:rsidR="00744A1C">
        <w:rPr>
          <w:rtl/>
          <w:lang w:bidi="fa-IR"/>
        </w:rPr>
        <w:t xml:space="preserve"> ، ج 8 ، ص 530 ، ح 11364.</w:t>
      </w:r>
    </w:p>
    <w:tbl>
      <w:tblPr>
        <w:tblStyle w:val="TableGrid"/>
        <w:bidiVisual/>
        <w:tblW w:w="0" w:type="auto"/>
        <w:tblLook w:val="04A0" w:firstRow="1" w:lastRow="0" w:firstColumn="1" w:lastColumn="0" w:noHBand="0" w:noVBand="1"/>
      </w:tblPr>
      <w:tblGrid>
        <w:gridCol w:w="4006"/>
        <w:gridCol w:w="4006"/>
      </w:tblGrid>
      <w:tr w:rsidR="002F339C" w:rsidTr="002F339C">
        <w:tc>
          <w:tcPr>
            <w:tcW w:w="4006" w:type="dxa"/>
          </w:tcPr>
          <w:p w:rsidR="002F339C" w:rsidRDefault="002F339C" w:rsidP="00E378DD">
            <w:pPr>
              <w:pStyle w:val="libFootnote0"/>
              <w:rPr>
                <w:rtl/>
                <w:lang w:bidi="fa-IR"/>
              </w:rPr>
            </w:pPr>
            <w:r>
              <w:rPr>
                <w:rtl/>
                <w:lang w:bidi="fa-IR"/>
              </w:rPr>
              <w:t>(4). في « بف » : « يتمّ ».</w:t>
            </w:r>
          </w:p>
        </w:tc>
        <w:tc>
          <w:tcPr>
            <w:tcW w:w="4006" w:type="dxa"/>
          </w:tcPr>
          <w:p w:rsidR="002F339C" w:rsidRDefault="002F339C" w:rsidP="00E378DD">
            <w:pPr>
              <w:pStyle w:val="libFootnote0"/>
              <w:rPr>
                <w:rtl/>
                <w:lang w:bidi="fa-IR"/>
              </w:rPr>
            </w:pPr>
            <w:r>
              <w:rPr>
                <w:rtl/>
                <w:lang w:bidi="fa-IR"/>
              </w:rPr>
              <w:t>(5). في «ى،بث،بح،بخ،بس،بف،جد،جن»:«أربع».</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5 ، ص 431 ، ح 1497 ؛ </w:t>
      </w:r>
      <w:r w:rsidR="00744A1C" w:rsidRPr="00C24F9C">
        <w:rPr>
          <w:rStyle w:val="libFootnoteBoldChar"/>
          <w:rtl/>
        </w:rPr>
        <w:t>والاستبصار</w:t>
      </w:r>
      <w:r w:rsidR="00744A1C">
        <w:rPr>
          <w:rtl/>
          <w:lang w:bidi="fa-IR"/>
        </w:rPr>
        <w:t xml:space="preserve"> ، ج 2 ، ص 335 ، ح 1194 ؛ </w:t>
      </w:r>
      <w:r w:rsidR="00744A1C" w:rsidRPr="002F339C">
        <w:rPr>
          <w:rStyle w:val="libFootnoteBoldChar"/>
          <w:rtl/>
        </w:rPr>
        <w:t>وكتاب المزار</w:t>
      </w:r>
      <w:r w:rsidR="00744A1C">
        <w:rPr>
          <w:rtl/>
          <w:lang w:bidi="fa-IR"/>
        </w:rPr>
        <w:t xml:space="preserve"> ، ص 136 ، باب فضل إتمام الصلاة في الحرمين ... ، ح 1 ، بسند آخر عن أحمد بن</w:t>
      </w:r>
      <w:r w:rsidR="002F339C">
        <w:rPr>
          <w:rtl/>
          <w:lang w:bidi="fa-IR"/>
        </w:rPr>
        <w:t xml:space="preserve"> محمّد [ المزار : + « بن عيسى»</w:t>
      </w:r>
      <w:r w:rsidR="00744A1C">
        <w:rPr>
          <w:rtl/>
          <w:lang w:bidi="fa-IR"/>
        </w:rPr>
        <w:t xml:space="preserve">] ، عن الحسين بن سعيد ، عن محمّد بن سنان ، عن عبدالملك القمّي. </w:t>
      </w:r>
      <w:r w:rsidR="00744A1C" w:rsidRPr="007B299E">
        <w:rPr>
          <w:rStyle w:val="libFootnoteBoldChar"/>
          <w:rtl/>
        </w:rPr>
        <w:t>كامل الزيارات</w:t>
      </w:r>
      <w:r w:rsidR="00744A1C">
        <w:rPr>
          <w:rtl/>
          <w:lang w:bidi="fa-IR"/>
        </w:rPr>
        <w:t xml:space="preserve"> ، ص 249 ، الباب 82 ، ح 3 ، بسنده عن أحمد بن محمّد بن عيسى ، عن الحسين بن سعيد </w:t>
      </w:r>
      <w:r w:rsidR="002F339C">
        <w:rPr>
          <w:rFonts w:hint="cs"/>
          <w:rtl/>
          <w:lang w:bidi="fa-IR"/>
        </w:rPr>
        <w:t>.</w:t>
      </w:r>
      <w:r w:rsidR="00744A1C" w:rsidRPr="00C24F9C">
        <w:rPr>
          <w:rStyle w:val="libFootnoteBoldChar"/>
          <w:rtl/>
        </w:rPr>
        <w:t>الوافي</w:t>
      </w:r>
      <w:r w:rsidR="00744A1C">
        <w:rPr>
          <w:rtl/>
          <w:lang w:bidi="fa-IR"/>
        </w:rPr>
        <w:t xml:space="preserve"> ، ج 7 ، ص 184 ، ح 5731 ؛ </w:t>
      </w:r>
      <w:r w:rsidR="00744A1C" w:rsidRPr="00C24F9C">
        <w:rPr>
          <w:rStyle w:val="libFootnoteBoldChar"/>
          <w:rtl/>
        </w:rPr>
        <w:t>الوسائل</w:t>
      </w:r>
      <w:r w:rsidR="00744A1C">
        <w:rPr>
          <w:rtl/>
          <w:lang w:bidi="fa-IR"/>
        </w:rPr>
        <w:t xml:space="preserve"> ، ج 8 ، ص 528 ، ذيل ح 11356.</w:t>
      </w:r>
    </w:p>
    <w:p w:rsidR="00744A1C" w:rsidRDefault="00E378DD" w:rsidP="00E378DD">
      <w:pPr>
        <w:pStyle w:val="libFootnote0"/>
        <w:rPr>
          <w:lang w:bidi="fa-IR"/>
        </w:rPr>
      </w:pPr>
      <w:r>
        <w:rPr>
          <w:rtl/>
          <w:lang w:bidi="fa-IR"/>
        </w:rPr>
        <w:t>(7).</w:t>
      </w:r>
      <w:r w:rsidR="00744A1C">
        <w:rPr>
          <w:rtl/>
          <w:lang w:bidi="fa-IR"/>
        </w:rPr>
        <w:t xml:space="preserve"> في « بخ ، بف ، جن » : « يروون ». وفي </w:t>
      </w:r>
      <w:r w:rsidR="00744A1C" w:rsidRPr="002F339C">
        <w:rPr>
          <w:rtl/>
        </w:rPr>
        <w:t>التهذيب والاستبصار</w:t>
      </w:r>
      <w:r w:rsidR="00744A1C">
        <w:rPr>
          <w:rtl/>
          <w:lang w:bidi="fa-IR"/>
        </w:rPr>
        <w:t xml:space="preserve"> والمزار : « يرى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قَالَ : « إِنَّمَا يَفْعَلُ ذلِكَ الضَّعَفَةُ </w:t>
      </w:r>
      <w:r w:rsidRPr="00D10E3C">
        <w:rPr>
          <w:rStyle w:val="libFootnotenumChar"/>
          <w:rtl/>
        </w:rPr>
        <w:t>(1)</w:t>
      </w:r>
      <w:r>
        <w:rPr>
          <w:rtl/>
          <w:lang w:bidi="fa-IR"/>
        </w:rPr>
        <w:t xml:space="preserve"> ». </w:t>
      </w:r>
      <w:r w:rsidRPr="00D10E3C">
        <w:rPr>
          <w:rStyle w:val="libFootnotenumChar"/>
          <w:rtl/>
        </w:rPr>
        <w:t>(2)</w:t>
      </w:r>
    </w:p>
    <w:p w:rsidR="00144FA6" w:rsidRDefault="00744A1C" w:rsidP="002F339C">
      <w:pPr>
        <w:pStyle w:val="Heading2Center"/>
        <w:rPr>
          <w:rtl/>
          <w:lang w:bidi="fa-IR"/>
        </w:rPr>
      </w:pPr>
      <w:bookmarkStart w:id="84" w:name="_Toc49261382"/>
      <w:r>
        <w:rPr>
          <w:rtl/>
          <w:lang w:bidi="fa-IR"/>
        </w:rPr>
        <w:t xml:space="preserve">236 - بَابُ النَّوَادِرِ </w:t>
      </w:r>
      <w:r w:rsidRPr="00D10E3C">
        <w:rPr>
          <w:rStyle w:val="libFootnotenumChar"/>
          <w:rtl/>
        </w:rPr>
        <w:t>(3)</w:t>
      </w:r>
      <w:bookmarkEnd w:id="84"/>
    </w:p>
    <w:p w:rsidR="00144FA6" w:rsidRDefault="00744A1C" w:rsidP="00744A1C">
      <w:pPr>
        <w:pStyle w:val="libNormal"/>
        <w:rPr>
          <w:rtl/>
          <w:lang w:bidi="fa-IR"/>
        </w:rPr>
      </w:pPr>
      <w:r>
        <w:rPr>
          <w:rtl/>
          <w:lang w:bidi="fa-IR"/>
        </w:rPr>
        <w:t>8191 / 1. عِدَّةٌ مِنْ أَصْحَابِنَا ، عَنْ أَحْمَدَ بْنِ مُحَمَّدٍ ، عَنِ ابْنِ أَبِي عُم</w:t>
      </w:r>
      <w:r w:rsidR="002F339C">
        <w:rPr>
          <w:rtl/>
          <w:lang w:bidi="fa-IR"/>
        </w:rPr>
        <w:t>َيْرٍ ، عَمَّنْ رَوَاهُ ، قَالَ</w:t>
      </w:r>
      <w:r>
        <w:rPr>
          <w:rtl/>
          <w:lang w:bidi="fa-IR"/>
        </w:rPr>
        <w:t>:</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إِذَا بَعُدَتْ بِأَحَدِكُمُ الشُّقَّةُ </w:t>
      </w:r>
      <w:r w:rsidRPr="00D10E3C">
        <w:rPr>
          <w:rStyle w:val="libFootnotenumChar"/>
          <w:rtl/>
        </w:rPr>
        <w:t>(4)</w:t>
      </w:r>
      <w:r>
        <w:rPr>
          <w:rtl/>
          <w:lang w:bidi="fa-IR"/>
        </w:rPr>
        <w:t xml:space="preserve"> ، وَنَأَتْ </w:t>
      </w:r>
      <w:r w:rsidRPr="00D10E3C">
        <w:rPr>
          <w:rStyle w:val="libFootnotenumChar"/>
          <w:rtl/>
        </w:rPr>
        <w:t>(5)</w:t>
      </w:r>
      <w:r>
        <w:rPr>
          <w:rtl/>
          <w:lang w:bidi="fa-IR"/>
        </w:rPr>
        <w:t xml:space="preserve"> بِهِ الدَّارُ ، فَلْيَعْلُ أَعْلى </w:t>
      </w:r>
      <w:r w:rsidRPr="00D10E3C">
        <w:rPr>
          <w:rStyle w:val="libFootnotenumChar"/>
          <w:rtl/>
        </w:rPr>
        <w:t>(6)</w:t>
      </w:r>
      <w:r>
        <w:rPr>
          <w:rtl/>
          <w:lang w:bidi="fa-IR"/>
        </w:rPr>
        <w:t xml:space="preserve"> مَنْزِلِهِ </w:t>
      </w:r>
      <w:r w:rsidRPr="00D10E3C">
        <w:rPr>
          <w:rStyle w:val="libFootnotenumChar"/>
          <w:rtl/>
        </w:rPr>
        <w:t>(7)</w:t>
      </w:r>
      <w:r>
        <w:rPr>
          <w:rtl/>
          <w:lang w:bidi="fa-IR"/>
        </w:rPr>
        <w:t xml:space="preserve"> ، وَلْيُصَلِّ رَكْعَتَيْنِ ، وَلْيُؤْمِ بِالسَّلَامِ إِلى قُبُورِنَا ؛ فَإِنَّ ذلِكَ يَصِلُ إِلَيْنَا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لضعفه ». وفي « بخ » : « لضعف ». وفي حاشية « بف » : « المضعفة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316 : « أي الضعفة في الدين ، الجاهلون بالأحكام ؛ أو من له ضعف لايمكنه الإتمام ، أو يشقّ عليه ، فيختار الأسهل ، وإن كان مرجوحاً. والأخير أظهر ».</w:t>
      </w:r>
    </w:p>
    <w:p w:rsidR="00744A1C" w:rsidRDefault="00E378DD" w:rsidP="00E378DD">
      <w:pPr>
        <w:pStyle w:val="libFootnote0"/>
        <w:rPr>
          <w:lang w:bidi="fa-IR"/>
        </w:rPr>
      </w:pPr>
      <w:r>
        <w:rPr>
          <w:rtl/>
          <w:lang w:bidi="fa-IR"/>
        </w:rPr>
        <w:t>(2).</w:t>
      </w:r>
      <w:r w:rsidR="00744A1C">
        <w:rPr>
          <w:rtl/>
          <w:lang w:bidi="fa-IR"/>
        </w:rPr>
        <w:t xml:space="preserve"> </w:t>
      </w:r>
      <w:r w:rsidR="00744A1C" w:rsidRPr="007B299E">
        <w:rPr>
          <w:rStyle w:val="libFootnoteBoldChar"/>
          <w:rtl/>
        </w:rPr>
        <w:t>كامل الزيارات</w:t>
      </w:r>
      <w:r w:rsidR="00744A1C">
        <w:rPr>
          <w:rtl/>
          <w:lang w:bidi="fa-IR"/>
        </w:rPr>
        <w:t xml:space="preserve"> ، ص 248 ، الباب 82 ، ح 1 ، عن محمّد بن يعقوب ، عن جماعة مشايخه ، عن سهل بن زياد وبسند آخر عن سهل بن زياد. وفي </w:t>
      </w:r>
      <w:r w:rsidR="00744A1C" w:rsidRPr="00C24F9C">
        <w:rPr>
          <w:rStyle w:val="libFootnoteBoldChar"/>
          <w:rtl/>
        </w:rPr>
        <w:t>التهذيب</w:t>
      </w:r>
      <w:r w:rsidR="00744A1C">
        <w:rPr>
          <w:rtl/>
          <w:lang w:bidi="fa-IR"/>
        </w:rPr>
        <w:t xml:space="preserve"> ، ج 5 ، ص 431 ، ح 1496 ؛ </w:t>
      </w:r>
      <w:r w:rsidR="00744A1C" w:rsidRPr="00C24F9C">
        <w:rPr>
          <w:rStyle w:val="libFootnoteBoldChar"/>
          <w:rtl/>
        </w:rPr>
        <w:t>والاستبصار</w:t>
      </w:r>
      <w:r w:rsidR="00744A1C">
        <w:rPr>
          <w:rtl/>
          <w:lang w:bidi="fa-IR"/>
        </w:rPr>
        <w:t xml:space="preserve"> ، ج 2 ، ص 335 ، ح 1193 ؛ </w:t>
      </w:r>
      <w:r w:rsidR="00744A1C" w:rsidRPr="002F339C">
        <w:rPr>
          <w:rStyle w:val="libFootnoteBoldChar"/>
          <w:rtl/>
        </w:rPr>
        <w:t>وكتاب المزار</w:t>
      </w:r>
      <w:r w:rsidR="00744A1C">
        <w:rPr>
          <w:rtl/>
          <w:lang w:bidi="fa-IR"/>
        </w:rPr>
        <w:t xml:space="preserve"> ، ص 138 ، ح 5 ، بسند آخر عن سهل بن زياد </w:t>
      </w:r>
      <w:r w:rsidR="002F339C">
        <w:rPr>
          <w:rFonts w:hint="cs"/>
          <w:rtl/>
          <w:lang w:bidi="fa-IR"/>
        </w:rPr>
        <w:t>.</w:t>
      </w:r>
      <w:r w:rsidR="00744A1C" w:rsidRPr="00C24F9C">
        <w:rPr>
          <w:rStyle w:val="libFootnoteBoldChar"/>
          <w:rtl/>
        </w:rPr>
        <w:t>الوافي</w:t>
      </w:r>
      <w:r w:rsidR="00744A1C">
        <w:rPr>
          <w:rtl/>
          <w:lang w:bidi="fa-IR"/>
        </w:rPr>
        <w:t xml:space="preserve"> ، ج 7 ، ص 185 ، ح 5733 ؛ </w:t>
      </w:r>
      <w:r w:rsidR="00744A1C" w:rsidRPr="00C24F9C">
        <w:rPr>
          <w:rStyle w:val="libFootnoteBoldChar"/>
          <w:rtl/>
        </w:rPr>
        <w:t>الوسائل</w:t>
      </w:r>
      <w:r w:rsidR="00744A1C">
        <w:rPr>
          <w:rtl/>
          <w:lang w:bidi="fa-IR"/>
        </w:rPr>
        <w:t xml:space="preserve"> ، ج 8 ، ص 527 ، ذيل ح 11354.</w:t>
      </w:r>
    </w:p>
    <w:p w:rsidR="00744A1C" w:rsidRDefault="00E378DD" w:rsidP="00E378DD">
      <w:pPr>
        <w:pStyle w:val="libFootnote0"/>
        <w:rPr>
          <w:lang w:bidi="fa-IR"/>
        </w:rPr>
      </w:pPr>
      <w:r>
        <w:rPr>
          <w:rtl/>
          <w:lang w:bidi="fa-IR"/>
        </w:rPr>
        <w:t>(3).</w:t>
      </w:r>
      <w:r w:rsidR="00744A1C">
        <w:rPr>
          <w:rtl/>
          <w:lang w:bidi="fa-IR"/>
        </w:rPr>
        <w:t xml:space="preserve"> في « بف » : + « في زيارة الحسين </w:t>
      </w:r>
      <w:r w:rsidR="002F339C" w:rsidRPr="002F339C">
        <w:rPr>
          <w:rStyle w:val="libFootnoteAlaemChar"/>
          <w:rtl/>
        </w:rPr>
        <w:t>عليه‌السلام</w:t>
      </w:r>
      <w:r w:rsidR="00744A1C">
        <w:rPr>
          <w:rtl/>
          <w:lang w:bidi="fa-IR"/>
        </w:rPr>
        <w:t xml:space="preserve"> عن بعد وفي طين قبره ».</w:t>
      </w:r>
    </w:p>
    <w:p w:rsidR="00744A1C" w:rsidRDefault="00E378DD" w:rsidP="00E378DD">
      <w:pPr>
        <w:pStyle w:val="libFootnote0"/>
        <w:rPr>
          <w:lang w:bidi="fa-IR"/>
        </w:rPr>
      </w:pPr>
      <w:r>
        <w:rPr>
          <w:rtl/>
          <w:lang w:bidi="fa-IR"/>
        </w:rPr>
        <w:t>(4).</w:t>
      </w:r>
      <w:r w:rsidR="00744A1C">
        <w:rPr>
          <w:rtl/>
          <w:lang w:bidi="fa-IR"/>
        </w:rPr>
        <w:t xml:space="preserve"> « الشُقَّةُ » ، بالضمّ : بُعد مسير إلى أرض بعيدة. </w:t>
      </w:r>
      <w:r w:rsidR="00744A1C" w:rsidRPr="00877682">
        <w:rPr>
          <w:rStyle w:val="libFootnoteBoldChar"/>
          <w:rtl/>
        </w:rPr>
        <w:t>لسان العرب</w:t>
      </w:r>
      <w:r w:rsidR="00744A1C">
        <w:rPr>
          <w:rtl/>
          <w:lang w:bidi="fa-IR"/>
        </w:rPr>
        <w:t xml:space="preserve"> ، ج 10 ، ص 184 ( شقق ).</w:t>
      </w:r>
    </w:p>
    <w:p w:rsidR="00744A1C" w:rsidRDefault="00E378DD" w:rsidP="00E378DD">
      <w:pPr>
        <w:pStyle w:val="libFootnote0"/>
        <w:rPr>
          <w:lang w:bidi="fa-IR"/>
        </w:rPr>
      </w:pPr>
      <w:r>
        <w:rPr>
          <w:rtl/>
          <w:lang w:bidi="fa-IR"/>
        </w:rPr>
        <w:t>(5).</w:t>
      </w:r>
      <w:r w:rsidR="00744A1C">
        <w:rPr>
          <w:rtl/>
          <w:lang w:bidi="fa-IR"/>
        </w:rPr>
        <w:t xml:space="preserve"> النَّأيُ : البُعْدُ ، ونأت ، أي بَعُدَت. راجع : </w:t>
      </w:r>
      <w:r w:rsidR="00744A1C" w:rsidRPr="00877682">
        <w:rPr>
          <w:rStyle w:val="libFootnoteBoldChar"/>
          <w:rtl/>
        </w:rPr>
        <w:t>لسان العرب</w:t>
      </w:r>
      <w:r w:rsidR="00744A1C">
        <w:rPr>
          <w:rtl/>
          <w:lang w:bidi="fa-IR"/>
        </w:rPr>
        <w:t xml:space="preserve"> ، ج 15 ، ص 300 ( نأي ).</w:t>
      </w:r>
    </w:p>
    <w:p w:rsidR="00744A1C" w:rsidRDefault="00E378DD" w:rsidP="00E378DD">
      <w:pPr>
        <w:pStyle w:val="libFootnote0"/>
        <w:rPr>
          <w:lang w:bidi="fa-IR"/>
        </w:rPr>
      </w:pPr>
      <w:r>
        <w:rPr>
          <w:rtl/>
          <w:lang w:bidi="fa-IR"/>
        </w:rPr>
        <w:t>(6).</w:t>
      </w:r>
      <w:r w:rsidR="00744A1C">
        <w:rPr>
          <w:rtl/>
          <w:lang w:bidi="fa-IR"/>
        </w:rPr>
        <w:t xml:space="preserve"> في </w:t>
      </w:r>
      <w:r w:rsidR="00744A1C" w:rsidRPr="002F339C">
        <w:rPr>
          <w:rtl/>
        </w:rPr>
        <w:t>التهذيب</w:t>
      </w:r>
      <w:r w:rsidR="00744A1C">
        <w:rPr>
          <w:rtl/>
          <w:lang w:bidi="fa-IR"/>
        </w:rPr>
        <w:t xml:space="preserve"> والمزار : « على ».</w:t>
      </w:r>
    </w:p>
    <w:p w:rsidR="00744A1C" w:rsidRDefault="00E378DD" w:rsidP="00E378DD">
      <w:pPr>
        <w:pStyle w:val="libFootnote0"/>
        <w:rPr>
          <w:lang w:bidi="fa-IR"/>
        </w:rPr>
      </w:pPr>
      <w:r>
        <w:rPr>
          <w:rtl/>
          <w:lang w:bidi="fa-IR"/>
        </w:rPr>
        <w:t>(7).</w:t>
      </w:r>
      <w:r w:rsidR="00744A1C">
        <w:rPr>
          <w:rtl/>
          <w:lang w:bidi="fa-IR"/>
        </w:rPr>
        <w:t xml:space="preserve"> في « ى » </w:t>
      </w:r>
      <w:r w:rsidR="00744A1C" w:rsidRPr="00004EBC">
        <w:rPr>
          <w:rtl/>
        </w:rPr>
        <w:t>والوافي وكامل الزيارات</w:t>
      </w:r>
      <w:r w:rsidR="00744A1C">
        <w:rPr>
          <w:rtl/>
          <w:lang w:bidi="fa-IR"/>
        </w:rPr>
        <w:t xml:space="preserve"> ، ص 286 : « منزل له ».</w:t>
      </w:r>
    </w:p>
    <w:p w:rsidR="00744A1C" w:rsidRDefault="00E378DD" w:rsidP="00E378DD">
      <w:pPr>
        <w:pStyle w:val="libFootnote0"/>
        <w:rPr>
          <w:lang w:bidi="fa-IR"/>
        </w:rPr>
      </w:pPr>
      <w:r>
        <w:rPr>
          <w:rtl/>
          <w:lang w:bidi="fa-IR"/>
        </w:rPr>
        <w:t>(8).</w:t>
      </w:r>
      <w:r w:rsidR="00744A1C">
        <w:rPr>
          <w:rtl/>
          <w:lang w:bidi="fa-IR"/>
        </w:rPr>
        <w:t xml:space="preserve"> قال الشيخ </w:t>
      </w:r>
      <w:r w:rsidR="00877682" w:rsidRPr="00877682">
        <w:rPr>
          <w:rStyle w:val="libFootnoteAlaemChar"/>
          <w:rtl/>
        </w:rPr>
        <w:t>رحمه‌الله</w:t>
      </w:r>
      <w:r w:rsidR="00744A1C">
        <w:rPr>
          <w:rtl/>
          <w:lang w:bidi="fa-IR"/>
        </w:rPr>
        <w:t xml:space="preserve">في </w:t>
      </w:r>
      <w:r w:rsidR="00744A1C" w:rsidRPr="00C24F9C">
        <w:rPr>
          <w:rStyle w:val="libFootnoteBoldChar"/>
          <w:rtl/>
        </w:rPr>
        <w:t>التهذيب</w:t>
      </w:r>
      <w:r w:rsidR="00744A1C">
        <w:rPr>
          <w:rtl/>
          <w:lang w:bidi="fa-IR"/>
        </w:rPr>
        <w:t xml:space="preserve"> : « تسلّم على الأئمّة </w:t>
      </w:r>
      <w:r w:rsidR="00877682" w:rsidRPr="00877682">
        <w:rPr>
          <w:rStyle w:val="libFootnoteAlaemChar"/>
          <w:rtl/>
        </w:rPr>
        <w:t>عليهم‌السلام</w:t>
      </w:r>
      <w:r w:rsidR="00D10E3C">
        <w:rPr>
          <w:rtl/>
          <w:lang w:bidi="fa-IR"/>
        </w:rPr>
        <w:t xml:space="preserve"> </w:t>
      </w:r>
      <w:r w:rsidR="00744A1C">
        <w:rPr>
          <w:rtl/>
          <w:lang w:bidi="fa-IR"/>
        </w:rPr>
        <w:t>من بعيد ، كما تسلّم عليهم من قريب ، غير أنّك لايصحّ أن تقول : أتيتك زائراً ، بل تقول موضعه : قصدتك بقلبي زائراً ، إذ عجزت عن حضور مشهدك ، ووجّهت إليك سلامي لعلمي بأنّه يبلغك ، صلّى الله عليك ، فاشفع لي عند ربّك جلّ وعزّ ، وتدعو بما أحببت ».</w:t>
      </w:r>
    </w:p>
    <w:p w:rsidR="00144FA6" w:rsidRDefault="00E378DD" w:rsidP="00E378DD">
      <w:pPr>
        <w:pStyle w:val="libFootnote0"/>
        <w:rPr>
          <w:rtl/>
          <w:lang w:bidi="fa-IR"/>
        </w:rPr>
      </w:pPr>
      <w:r>
        <w:rPr>
          <w:rtl/>
          <w:lang w:bidi="fa-IR"/>
        </w:rPr>
        <w:t>(9).</w:t>
      </w:r>
      <w:r w:rsidR="00744A1C">
        <w:rPr>
          <w:rtl/>
          <w:lang w:bidi="fa-IR"/>
        </w:rPr>
        <w:t xml:space="preserve"> </w:t>
      </w:r>
      <w:r w:rsidR="00744A1C" w:rsidRPr="00004EBC">
        <w:rPr>
          <w:rStyle w:val="libFootnoteBoldChar"/>
          <w:rtl/>
        </w:rPr>
        <w:t>كتاب المزار</w:t>
      </w:r>
      <w:r w:rsidR="00744A1C">
        <w:rPr>
          <w:rtl/>
          <w:lang w:bidi="fa-IR"/>
        </w:rPr>
        <w:t xml:space="preserve"> ، ص 214 ، صدر ح 2 ، بسنده عن الكليني. </w:t>
      </w:r>
      <w:r w:rsidR="00744A1C" w:rsidRPr="00C24F9C">
        <w:rPr>
          <w:rStyle w:val="libFootnoteBoldChar"/>
          <w:rtl/>
        </w:rPr>
        <w:t>التهذيب</w:t>
      </w:r>
      <w:r w:rsidR="00744A1C">
        <w:rPr>
          <w:rtl/>
          <w:lang w:bidi="fa-IR"/>
        </w:rPr>
        <w:t xml:space="preserve"> ، ج 6 ، ص 103 ، ح 179 ، معلّقاً عن أحمد بن محمّد بن عيسى ، عن ابن أبي‌عمير. </w:t>
      </w:r>
      <w:r w:rsidR="00744A1C" w:rsidRPr="007B299E">
        <w:rPr>
          <w:rStyle w:val="libFootnoteBoldChar"/>
          <w:rtl/>
        </w:rPr>
        <w:t>كامل الزيارات</w:t>
      </w:r>
      <w:r w:rsidR="00744A1C">
        <w:rPr>
          <w:rtl/>
          <w:lang w:bidi="fa-IR"/>
        </w:rPr>
        <w:t xml:space="preserve"> ، ص 286 ، الباب 96 ، ح 1 ، بسنده عن سعد ومحمّد بن يحيى ، عن أحمد بن محمّد بن عيسى ، عن محمّد بن أبي عمير. </w:t>
      </w:r>
      <w:r w:rsidR="00744A1C" w:rsidRPr="007B299E">
        <w:rPr>
          <w:rStyle w:val="libFootnoteBoldChar"/>
          <w:rtl/>
        </w:rPr>
        <w:t>كامل الزيارات</w:t>
      </w:r>
      <w:r w:rsidR="00744A1C">
        <w:rPr>
          <w:rtl/>
          <w:lang w:bidi="fa-IR"/>
        </w:rPr>
        <w:t xml:space="preserve"> ، ص 288 ، نفس الباب ، ح 6 ، بسنده عن محمّد بن الحسن الصفّار ، عن أحمد بن محمّد بن عيسى ، عن إسماعيل بن سهل ، عن أبي أحمد ، عمّن رواه ،</w:t>
      </w:r>
      <w:r w:rsidR="00004EBC">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8192 / 2. عِدَّةٌ مِنْ أَصْحَابِنَا ، عَنْ أَحْمَدَ بْنِ مُحَمَّدٍ ، عَنْ عَلِيِّ بْنِ الْحَكَمِ ، عَنْ بَعْضِ أَصْحَابِنَا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أَرَدْتَ زِيَارَةَ الْحُسَيْنِ </w:t>
      </w:r>
      <w:r w:rsidR="0061079A" w:rsidRPr="0061079A">
        <w:rPr>
          <w:rStyle w:val="libAlaemChar"/>
          <w:rtl/>
        </w:rPr>
        <w:t>عليه‌السلام</w:t>
      </w:r>
      <w:r w:rsidR="00D10E3C">
        <w:rPr>
          <w:rtl/>
          <w:lang w:bidi="fa-IR"/>
        </w:rPr>
        <w:t xml:space="preserve"> </w:t>
      </w:r>
      <w:r>
        <w:rPr>
          <w:rtl/>
          <w:lang w:bidi="fa-IR"/>
        </w:rPr>
        <w:t xml:space="preserve">، فَزُرْهُ وَأَنْتَ حَزِينٌ ، مَكْرُوبٌ ، شَعِثٌ </w:t>
      </w:r>
      <w:r w:rsidRPr="00D10E3C">
        <w:rPr>
          <w:rStyle w:val="libFootnotenumChar"/>
          <w:rtl/>
        </w:rPr>
        <w:t>(1)</w:t>
      </w:r>
      <w:r>
        <w:rPr>
          <w:rtl/>
          <w:lang w:bidi="fa-IR"/>
        </w:rPr>
        <w:t xml:space="preserve"> ، مُغْبَرٌّ </w:t>
      </w:r>
      <w:r w:rsidRPr="00D10E3C">
        <w:rPr>
          <w:rStyle w:val="libFootnotenumChar"/>
          <w:rtl/>
        </w:rPr>
        <w:t>(2)</w:t>
      </w:r>
      <w:r>
        <w:rPr>
          <w:rtl/>
          <w:lang w:bidi="fa-IR"/>
        </w:rPr>
        <w:t xml:space="preserve"> ، جَائِعٌ ، عَطْشَانُ </w:t>
      </w:r>
      <w:r w:rsidRPr="00D10E3C">
        <w:rPr>
          <w:rStyle w:val="libFootnotenumChar"/>
          <w:rtl/>
        </w:rPr>
        <w:t>(3)</w:t>
      </w:r>
      <w:r>
        <w:rPr>
          <w:rtl/>
          <w:lang w:bidi="fa-IR"/>
        </w:rPr>
        <w:t xml:space="preserve"> ، وَسَلْهُ الْحَوَائِجَ ، وَانْصَرِفْ عَ</w:t>
      </w:r>
      <w:r w:rsidR="00004EBC">
        <w:rPr>
          <w:rtl/>
          <w:lang w:bidi="fa-IR"/>
        </w:rPr>
        <w:t>نْهُ ، وَلَاتَتَّخِذْهُ وَطَناً</w:t>
      </w:r>
      <w:r>
        <w:rPr>
          <w:rtl/>
          <w:lang w:bidi="fa-IR"/>
        </w:rPr>
        <w:t>».</w:t>
      </w:r>
      <w:r w:rsidRPr="00D10E3C">
        <w:rPr>
          <w:rStyle w:val="libFootnotenumChar"/>
          <w:rtl/>
        </w:rPr>
        <w:t>(4)</w:t>
      </w:r>
    </w:p>
    <w:p w:rsidR="00144FA6" w:rsidRDefault="00744A1C" w:rsidP="00744A1C">
      <w:pPr>
        <w:pStyle w:val="libNormal"/>
        <w:rPr>
          <w:rtl/>
          <w:lang w:bidi="fa-IR"/>
        </w:rPr>
      </w:pPr>
      <w:r>
        <w:rPr>
          <w:rtl/>
          <w:lang w:bidi="fa-IR"/>
        </w:rPr>
        <w:t xml:space="preserve">8193 / 3. أَحْمَدُ بْنُ مُحَمَّدٍ </w:t>
      </w:r>
      <w:r w:rsidRPr="00D10E3C">
        <w:rPr>
          <w:rStyle w:val="libFootnotenumChar"/>
          <w:rtl/>
        </w:rPr>
        <w:t>(5)</w:t>
      </w:r>
      <w:r>
        <w:rPr>
          <w:rtl/>
          <w:lang w:bidi="fa-IR"/>
        </w:rPr>
        <w:t xml:space="preserve"> ، عَنِ ابْنِ فَضَّالٍ ، عَنْ كَرَّامٍ ، عَنِ ابْنِ أَبِي يَعْفُورٍ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يَأْخُذُ الْإِنْسَانُ مِنْ طِينِ قَبْرِ الْحُسَيْنِ </w:t>
      </w:r>
      <w:r w:rsidR="0061079A" w:rsidRPr="0061079A">
        <w:rPr>
          <w:rStyle w:val="libAlaemChar"/>
          <w:rtl/>
        </w:rPr>
        <w:t>عليه‌السلام</w:t>
      </w:r>
      <w:r w:rsidR="00D10E3C">
        <w:rPr>
          <w:rtl/>
          <w:lang w:bidi="fa-IR"/>
        </w:rPr>
        <w:t xml:space="preserve"> </w:t>
      </w:r>
      <w:r>
        <w:rPr>
          <w:rtl/>
          <w:lang w:bidi="fa-IR"/>
        </w:rPr>
        <w:t xml:space="preserve">فَيَنْتَفِعُ بِهِ ، وَيَأْخُذُ </w:t>
      </w:r>
      <w:r w:rsidRPr="00D10E3C">
        <w:rPr>
          <w:rStyle w:val="libFootnotenumChar"/>
          <w:rtl/>
        </w:rPr>
        <w:t>(6)</w:t>
      </w:r>
      <w:r>
        <w:rPr>
          <w:rtl/>
          <w:lang w:bidi="fa-IR"/>
        </w:rPr>
        <w:t xml:space="preserve"> غَيْرُهُ وَلَايَنْتَفِعُ </w:t>
      </w:r>
      <w:r w:rsidRPr="00D10E3C">
        <w:rPr>
          <w:rStyle w:val="libFootnotenumChar"/>
          <w:rtl/>
        </w:rPr>
        <w:t>(7)</w:t>
      </w:r>
      <w:r>
        <w:rPr>
          <w:rtl/>
          <w:lang w:bidi="fa-IR"/>
        </w:rPr>
        <w:t xml:space="preserve"> بِهِ.</w:t>
      </w:r>
    </w:p>
    <w:p w:rsidR="00144FA6" w:rsidRDefault="00744A1C" w:rsidP="00744A1C">
      <w:pPr>
        <w:pStyle w:val="libNormal"/>
        <w:rPr>
          <w:rtl/>
          <w:lang w:bidi="fa-IR"/>
        </w:rPr>
      </w:pPr>
      <w:r>
        <w:rPr>
          <w:rtl/>
          <w:lang w:bidi="fa-IR"/>
        </w:rPr>
        <w:t xml:space="preserve">فَقَالَ : « لَا ، </w:t>
      </w:r>
      <w:r w:rsidR="00004EBC">
        <w:rPr>
          <w:rtl/>
          <w:lang w:bidi="fa-IR"/>
        </w:rPr>
        <w:t>وَاللهِ الَّذِي لَا إِلهَ إِل</w:t>
      </w:r>
      <w:r w:rsidR="00004EBC">
        <w:rPr>
          <w:rFonts w:hint="cs"/>
          <w:rtl/>
          <w:lang w:bidi="fa-IR"/>
        </w:rPr>
        <w:t>َّ</w:t>
      </w:r>
      <w:r w:rsidR="00004EBC">
        <w:rPr>
          <w:rtl/>
          <w:lang w:bidi="fa-IR"/>
        </w:rPr>
        <w:t>ا</w:t>
      </w:r>
      <w:r>
        <w:rPr>
          <w:rtl/>
          <w:lang w:bidi="fa-IR"/>
        </w:rPr>
        <w:t xml:space="preserve"> هُوَ </w:t>
      </w:r>
      <w:r w:rsidRPr="00D10E3C">
        <w:rPr>
          <w:rStyle w:val="libFootnotenumChar"/>
          <w:rtl/>
        </w:rPr>
        <w:t>(8)</w:t>
      </w:r>
      <w:r>
        <w:rPr>
          <w:rtl/>
          <w:lang w:bidi="fa-IR"/>
        </w:rPr>
        <w:t xml:space="preserve"> ، مَا يَأْخُذُهُ </w:t>
      </w:r>
      <w:r w:rsidRPr="00D10E3C">
        <w:rPr>
          <w:rStyle w:val="libFootnotenumChar"/>
          <w:rtl/>
        </w:rPr>
        <w:t>(9)</w:t>
      </w:r>
      <w:r>
        <w:rPr>
          <w:rtl/>
          <w:lang w:bidi="fa-IR"/>
        </w:rPr>
        <w:t xml:space="preserve"> أَحَدٌ وَهُوَ يَرى أَ</w:t>
      </w:r>
      <w:r w:rsidR="00004EBC">
        <w:rPr>
          <w:rtl/>
          <w:lang w:bidi="fa-IR"/>
        </w:rPr>
        <w:t>نَّ اللهَ يَنْفَعُهُ بِهِ إِل</w:t>
      </w:r>
      <w:r w:rsidR="00004EBC">
        <w:rPr>
          <w:rFonts w:hint="cs"/>
          <w:rtl/>
          <w:lang w:bidi="fa-IR"/>
        </w:rPr>
        <w:t>َّ</w:t>
      </w:r>
      <w:r w:rsidR="00004EBC">
        <w:rPr>
          <w:rtl/>
          <w:lang w:bidi="fa-IR"/>
        </w:rPr>
        <w:t>ا</w:t>
      </w:r>
      <w:r>
        <w:rPr>
          <w:rtl/>
          <w:lang w:bidi="fa-IR"/>
        </w:rPr>
        <w:t xml:space="preserve"> نَفَعَهُ بِهِ </w:t>
      </w:r>
      <w:r w:rsidRPr="00D10E3C">
        <w:rPr>
          <w:rStyle w:val="libFootnotenumChar"/>
          <w:rtl/>
        </w:rPr>
        <w:t>(10)</w:t>
      </w:r>
      <w:r>
        <w:rPr>
          <w:rtl/>
          <w:lang w:bidi="fa-IR"/>
        </w:rPr>
        <w:t xml:space="preserve">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004EBC" w:rsidP="00D10E3C">
      <w:pPr>
        <w:pStyle w:val="libFootnote0"/>
        <w:rPr>
          <w:lang w:bidi="fa-IR"/>
        </w:rPr>
      </w:pPr>
      <w:r>
        <w:rPr>
          <w:rFonts w:hint="cs"/>
          <w:rtl/>
          <w:lang w:bidi="fa-IR"/>
        </w:rPr>
        <w:t xml:space="preserve">= </w:t>
      </w:r>
      <w:r w:rsidR="00744A1C">
        <w:rPr>
          <w:rtl/>
          <w:lang w:bidi="fa-IR"/>
        </w:rPr>
        <w:t xml:space="preserve">عن أبي عبدالله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599 ، ح 3202 ، معلّقاً عن ابن أبي عمير ، عن هشام ، عن أبي عبدالله </w:t>
      </w:r>
      <w:r w:rsidR="0061079A" w:rsidRPr="0061079A">
        <w:rPr>
          <w:rStyle w:val="libFootnoteAlaemChar"/>
          <w:rtl/>
        </w:rPr>
        <w:t>عليه‌السلام</w:t>
      </w:r>
      <w:r w:rsidR="00744A1C">
        <w:rPr>
          <w:rtl/>
          <w:lang w:bidi="fa-IR"/>
        </w:rPr>
        <w:t xml:space="preserve"> . المقنعة ، ص 490 ، مرسلاً </w:t>
      </w:r>
      <w:r>
        <w:rPr>
          <w:rFonts w:hint="cs"/>
          <w:rtl/>
          <w:lang w:bidi="fa-IR"/>
        </w:rPr>
        <w:t>.</w:t>
      </w:r>
      <w:r w:rsidR="00744A1C" w:rsidRPr="00C24F9C">
        <w:rPr>
          <w:rStyle w:val="libFootnoteBoldChar"/>
          <w:rtl/>
        </w:rPr>
        <w:t>الوافي</w:t>
      </w:r>
      <w:r w:rsidR="00744A1C">
        <w:rPr>
          <w:rtl/>
          <w:lang w:bidi="fa-IR"/>
        </w:rPr>
        <w:t xml:space="preserve"> ، ج 14 ، ص 1577 ، ح 14655 ؛ </w:t>
      </w:r>
      <w:r w:rsidR="00744A1C" w:rsidRPr="00C24F9C">
        <w:rPr>
          <w:rStyle w:val="libFootnoteBoldChar"/>
          <w:rtl/>
        </w:rPr>
        <w:t>الوسائل</w:t>
      </w:r>
      <w:r w:rsidR="00744A1C">
        <w:rPr>
          <w:rtl/>
          <w:lang w:bidi="fa-IR"/>
        </w:rPr>
        <w:t xml:space="preserve"> ، ج 14 ، ص 577 ، ح 19854.</w:t>
      </w:r>
    </w:p>
    <w:p w:rsidR="00744A1C" w:rsidRDefault="00D10E3C" w:rsidP="00D10E3C">
      <w:pPr>
        <w:pStyle w:val="libFootnote0"/>
        <w:rPr>
          <w:lang w:bidi="fa-IR"/>
        </w:rPr>
      </w:pPr>
      <w:r>
        <w:rPr>
          <w:rtl/>
          <w:lang w:bidi="fa-IR"/>
        </w:rPr>
        <w:t>(1).</w:t>
      </w:r>
      <w:r w:rsidR="00744A1C">
        <w:rPr>
          <w:rtl/>
          <w:lang w:bidi="fa-IR"/>
        </w:rPr>
        <w:t xml:space="preserve"> تقدّم معنى « الشعث » ذيل ح 8171.</w:t>
      </w:r>
    </w:p>
    <w:p w:rsidR="00744A1C" w:rsidRDefault="00E378DD" w:rsidP="00E378DD">
      <w:pPr>
        <w:pStyle w:val="libFootnote0"/>
        <w:rPr>
          <w:lang w:bidi="fa-IR"/>
        </w:rPr>
      </w:pPr>
      <w:r>
        <w:rPr>
          <w:rtl/>
          <w:lang w:bidi="fa-IR"/>
        </w:rPr>
        <w:t>(2).</w:t>
      </w:r>
      <w:r w:rsidR="00744A1C">
        <w:rPr>
          <w:rtl/>
          <w:lang w:bidi="fa-IR"/>
        </w:rPr>
        <w:t xml:space="preserve"> في « بخ » : « غبر ». وفي « ى » : -</w:t>
      </w:r>
      <w:r w:rsidR="00004EBC">
        <w:rPr>
          <w:rtl/>
          <w:lang w:bidi="fa-IR"/>
        </w:rPr>
        <w:t xml:space="preserve"> « مغبرّ ». و « المغبرّ » : الم</w:t>
      </w:r>
      <w:r w:rsidR="00004EBC">
        <w:rPr>
          <w:rFonts w:hint="cs"/>
          <w:rtl/>
          <w:lang w:bidi="fa-IR"/>
        </w:rPr>
        <w:t>ـُ</w:t>
      </w:r>
      <w:r w:rsidR="00744A1C">
        <w:rPr>
          <w:rtl/>
          <w:lang w:bidi="fa-IR"/>
        </w:rPr>
        <w:t xml:space="preserve">لَطَّخ بالغبار. راجع : </w:t>
      </w:r>
      <w:r w:rsidR="00744A1C" w:rsidRPr="00877682">
        <w:rPr>
          <w:rStyle w:val="libFootnoteBoldChar"/>
          <w:rtl/>
        </w:rPr>
        <w:t>لسان العرب</w:t>
      </w:r>
      <w:r w:rsidR="00744A1C">
        <w:rPr>
          <w:rtl/>
          <w:lang w:bidi="fa-IR"/>
        </w:rPr>
        <w:t xml:space="preserve"> ، ج 5 ، ص 5 ( غبر ).</w:t>
      </w:r>
    </w:p>
    <w:p w:rsidR="00744A1C" w:rsidRDefault="00E378DD" w:rsidP="00E378DD">
      <w:pPr>
        <w:pStyle w:val="libFootnote0"/>
        <w:rPr>
          <w:lang w:bidi="fa-IR"/>
        </w:rPr>
      </w:pPr>
      <w:r>
        <w:rPr>
          <w:rtl/>
          <w:lang w:bidi="fa-IR"/>
        </w:rPr>
        <w:t>(3).</w:t>
      </w:r>
      <w:r w:rsidR="00744A1C">
        <w:rPr>
          <w:rtl/>
          <w:lang w:bidi="fa-IR"/>
        </w:rPr>
        <w:t xml:space="preserve"> في </w:t>
      </w:r>
      <w:r w:rsidR="00744A1C" w:rsidRPr="00004EBC">
        <w:rPr>
          <w:rtl/>
        </w:rPr>
        <w:t>الوافي</w:t>
      </w:r>
      <w:r w:rsidR="00744A1C">
        <w:rPr>
          <w:rtl/>
          <w:lang w:bidi="fa-IR"/>
        </w:rPr>
        <w:t xml:space="preserve"> : « شعثاً مغبرّاً جائعاً عطشاناً » بدل « شعث مغبرّ جائع عطشان ». وفي </w:t>
      </w:r>
      <w:r w:rsidR="00744A1C" w:rsidRPr="00004EBC">
        <w:rPr>
          <w:rtl/>
        </w:rPr>
        <w:t>كامل الزيارات</w:t>
      </w:r>
      <w:r w:rsidR="00744A1C">
        <w:rPr>
          <w:rtl/>
          <w:lang w:bidi="fa-IR"/>
        </w:rPr>
        <w:t xml:space="preserve"> ، ص 131 ، ح 3 والثواب والمزار : + « فإنّ الحسين </w:t>
      </w:r>
      <w:r w:rsidR="0061079A" w:rsidRPr="0061079A">
        <w:rPr>
          <w:rStyle w:val="libFootnoteAlaemChar"/>
          <w:rtl/>
        </w:rPr>
        <w:t>عليه‌السلام</w:t>
      </w:r>
      <w:r w:rsidR="00D10E3C">
        <w:rPr>
          <w:rtl/>
          <w:lang w:bidi="fa-IR"/>
        </w:rPr>
        <w:t xml:space="preserve"> </w:t>
      </w:r>
      <w:r w:rsidR="00744A1C">
        <w:rPr>
          <w:rtl/>
          <w:lang w:bidi="fa-IR"/>
        </w:rPr>
        <w:t>قتل حزيناً مكروباً شعثاً مغبرّاً جائعاً عطشاناً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76 ، ح 151 ؛ </w:t>
      </w:r>
      <w:r w:rsidR="00744A1C" w:rsidRPr="00004EBC">
        <w:rPr>
          <w:rStyle w:val="libFootnoteBoldChar"/>
          <w:rtl/>
        </w:rPr>
        <w:t>وك</w:t>
      </w:r>
      <w:r w:rsidR="00744A1C" w:rsidRPr="007B299E">
        <w:rPr>
          <w:rStyle w:val="libFootnoteBoldChar"/>
          <w:rtl/>
        </w:rPr>
        <w:t>امل الزيارات</w:t>
      </w:r>
      <w:r w:rsidR="00744A1C">
        <w:rPr>
          <w:rtl/>
          <w:lang w:bidi="fa-IR"/>
        </w:rPr>
        <w:t xml:space="preserve"> ، ص 131 ، الباب 48 ، ح 2 ؛ </w:t>
      </w:r>
      <w:r w:rsidR="00744A1C" w:rsidRPr="004D054E">
        <w:rPr>
          <w:rStyle w:val="libFootnoteBoldChar"/>
          <w:rtl/>
        </w:rPr>
        <w:t>وثواب الأعمال</w:t>
      </w:r>
      <w:r w:rsidR="00744A1C">
        <w:rPr>
          <w:rtl/>
          <w:lang w:bidi="fa-IR"/>
        </w:rPr>
        <w:t xml:space="preserve"> ، ص 114 ، ح 21 ، بسند آخر عن أحمد بن محمّد. </w:t>
      </w:r>
      <w:r w:rsidR="00744A1C" w:rsidRPr="007B299E">
        <w:rPr>
          <w:rStyle w:val="libFootnoteBoldChar"/>
          <w:rtl/>
        </w:rPr>
        <w:t>كامل الزيارات</w:t>
      </w:r>
      <w:r w:rsidR="00744A1C">
        <w:rPr>
          <w:rtl/>
          <w:lang w:bidi="fa-IR"/>
        </w:rPr>
        <w:t xml:space="preserve"> ، ص 131 ، الباب 48 ، ح 4 ، بسند آخر ، إلى قوله : « جائع عطشان ». </w:t>
      </w:r>
      <w:r w:rsidR="00744A1C" w:rsidRPr="00004EBC">
        <w:rPr>
          <w:rStyle w:val="libFootnoteBoldChar"/>
          <w:rtl/>
        </w:rPr>
        <w:t>كتاب المزار</w:t>
      </w:r>
      <w:r w:rsidR="00744A1C">
        <w:rPr>
          <w:rtl/>
          <w:lang w:bidi="fa-IR"/>
        </w:rPr>
        <w:t xml:space="preserve"> ، ص 96 ، مرسلاً. راجع : </w:t>
      </w:r>
      <w:r w:rsidR="00744A1C" w:rsidRPr="007B299E">
        <w:rPr>
          <w:rStyle w:val="libFootnoteBoldChar"/>
          <w:rtl/>
        </w:rPr>
        <w:t>كامل الزيارات</w:t>
      </w:r>
      <w:r w:rsidR="00744A1C">
        <w:rPr>
          <w:rtl/>
          <w:lang w:bidi="fa-IR"/>
        </w:rPr>
        <w:t xml:space="preserve"> ، ص 131 ، الباب 48 ، ح 2 ؛ وكتاب المزار ، ص 96 </w:t>
      </w:r>
      <w:r w:rsidR="00004EBC">
        <w:rPr>
          <w:rFonts w:hint="cs"/>
          <w:rtl/>
          <w:lang w:bidi="fa-IR"/>
        </w:rPr>
        <w:t>.</w:t>
      </w:r>
      <w:r w:rsidR="00744A1C" w:rsidRPr="00C24F9C">
        <w:rPr>
          <w:rStyle w:val="libFootnoteBoldChar"/>
          <w:rtl/>
        </w:rPr>
        <w:t>الوافي</w:t>
      </w:r>
      <w:r w:rsidR="00744A1C">
        <w:rPr>
          <w:rtl/>
          <w:lang w:bidi="fa-IR"/>
        </w:rPr>
        <w:t xml:space="preserve"> ، ج 14 ، ص 1515 ، ح 14587 ؛ </w:t>
      </w:r>
      <w:r w:rsidR="00744A1C" w:rsidRPr="00C24F9C">
        <w:rPr>
          <w:rStyle w:val="libFootnoteBoldChar"/>
          <w:rtl/>
        </w:rPr>
        <w:t>الوسائل</w:t>
      </w:r>
      <w:r w:rsidR="00744A1C">
        <w:rPr>
          <w:rtl/>
          <w:lang w:bidi="fa-IR"/>
        </w:rPr>
        <w:t xml:space="preserve"> ، ج 14 ، ص 540 ، ذيل ح 19778.</w:t>
      </w:r>
    </w:p>
    <w:p w:rsidR="00744A1C" w:rsidRDefault="00E378DD" w:rsidP="00E378DD">
      <w:pPr>
        <w:pStyle w:val="libFootnote0"/>
        <w:rPr>
          <w:lang w:bidi="fa-IR"/>
        </w:rPr>
      </w:pPr>
      <w:r>
        <w:rPr>
          <w:rtl/>
          <w:lang w:bidi="fa-IR"/>
        </w:rPr>
        <w:t>(5).</w:t>
      </w:r>
      <w:r w:rsidR="00744A1C">
        <w:rPr>
          <w:rtl/>
          <w:lang w:bidi="fa-IR"/>
        </w:rPr>
        <w:t xml:space="preserve"> السند معلّق على سابقه. ويروي عن أحمد بن محمّد ، عدّة من أصحابنا.</w:t>
      </w:r>
    </w:p>
    <w:p w:rsidR="00744A1C" w:rsidRDefault="00E378DD" w:rsidP="00E378DD">
      <w:pPr>
        <w:pStyle w:val="libFootnote0"/>
        <w:rPr>
          <w:lang w:bidi="fa-IR"/>
        </w:rPr>
      </w:pPr>
      <w:r>
        <w:rPr>
          <w:rtl/>
          <w:lang w:bidi="fa-IR"/>
        </w:rPr>
        <w:t>(6).</w:t>
      </w:r>
      <w:r w:rsidR="00744A1C">
        <w:rPr>
          <w:rtl/>
          <w:lang w:bidi="fa-IR"/>
        </w:rPr>
        <w:t xml:space="preserve"> في « بس ، جد ، جن » : « ويأخذه ».</w:t>
      </w:r>
    </w:p>
    <w:p w:rsidR="00744A1C" w:rsidRDefault="00E378DD" w:rsidP="00E378DD">
      <w:pPr>
        <w:pStyle w:val="libFootnote0"/>
        <w:rPr>
          <w:lang w:bidi="fa-IR"/>
        </w:rPr>
      </w:pPr>
      <w:r>
        <w:rPr>
          <w:rtl/>
          <w:lang w:bidi="fa-IR"/>
        </w:rPr>
        <w:t>(7).</w:t>
      </w:r>
      <w:r w:rsidR="00744A1C">
        <w:rPr>
          <w:rtl/>
          <w:lang w:bidi="fa-IR"/>
        </w:rPr>
        <w:t xml:space="preserve"> في « بث ، بح ، بخ ، بس ، بف ، جد » </w:t>
      </w:r>
      <w:r w:rsidR="00744A1C" w:rsidRPr="00004EBC">
        <w:rPr>
          <w:rtl/>
        </w:rPr>
        <w:t>والوافي</w:t>
      </w:r>
      <w:r w:rsidR="00744A1C">
        <w:rPr>
          <w:rtl/>
          <w:lang w:bidi="fa-IR"/>
        </w:rPr>
        <w:t xml:space="preserve"> : « فلا ينتفع ».</w:t>
      </w:r>
    </w:p>
    <w:tbl>
      <w:tblPr>
        <w:tblStyle w:val="TableGrid"/>
        <w:bidiVisual/>
        <w:tblW w:w="0" w:type="auto"/>
        <w:tblLook w:val="04A0" w:firstRow="1" w:lastRow="0" w:firstColumn="1" w:lastColumn="0" w:noHBand="0" w:noVBand="1"/>
      </w:tblPr>
      <w:tblGrid>
        <w:gridCol w:w="4006"/>
        <w:gridCol w:w="4006"/>
      </w:tblGrid>
      <w:tr w:rsidR="00004EBC" w:rsidTr="00004EBC">
        <w:tc>
          <w:tcPr>
            <w:tcW w:w="4006" w:type="dxa"/>
          </w:tcPr>
          <w:p w:rsidR="00004EBC" w:rsidRDefault="00004EBC" w:rsidP="00E378DD">
            <w:pPr>
              <w:pStyle w:val="libFootnote0"/>
              <w:rPr>
                <w:rtl/>
                <w:lang w:bidi="fa-IR"/>
              </w:rPr>
            </w:pPr>
            <w:r>
              <w:rPr>
                <w:rtl/>
                <w:lang w:bidi="fa-IR"/>
              </w:rPr>
              <w:t xml:space="preserve">(8). في </w:t>
            </w:r>
            <w:r w:rsidRPr="00004EBC">
              <w:rPr>
                <w:rtl/>
              </w:rPr>
              <w:t>الوسائل</w:t>
            </w:r>
            <w:r>
              <w:rPr>
                <w:rtl/>
                <w:lang w:bidi="fa-IR"/>
              </w:rPr>
              <w:t xml:space="preserve"> : - « الذي لا إله إل</w:t>
            </w:r>
            <w:r>
              <w:rPr>
                <w:rFonts w:hint="cs"/>
                <w:rtl/>
                <w:lang w:bidi="fa-IR"/>
              </w:rPr>
              <w:t>ّ</w:t>
            </w:r>
            <w:r>
              <w:rPr>
                <w:rtl/>
                <w:lang w:bidi="fa-IR"/>
              </w:rPr>
              <w:t>ا هو ».</w:t>
            </w:r>
          </w:p>
        </w:tc>
        <w:tc>
          <w:tcPr>
            <w:tcW w:w="4006" w:type="dxa"/>
          </w:tcPr>
          <w:p w:rsidR="00004EBC" w:rsidRDefault="00004EBC" w:rsidP="00E378DD">
            <w:pPr>
              <w:pStyle w:val="libFootnote0"/>
              <w:rPr>
                <w:rtl/>
                <w:lang w:bidi="fa-IR"/>
              </w:rPr>
            </w:pPr>
            <w:r>
              <w:rPr>
                <w:rtl/>
                <w:lang w:bidi="fa-IR"/>
              </w:rPr>
              <w:t xml:space="preserve">(9). في </w:t>
            </w:r>
            <w:r w:rsidRPr="00004EBC">
              <w:rPr>
                <w:rtl/>
              </w:rPr>
              <w:t>الوسائل</w:t>
            </w:r>
            <w:r>
              <w:rPr>
                <w:rtl/>
                <w:lang w:bidi="fa-IR"/>
              </w:rPr>
              <w:t xml:space="preserve"> : « لا يأخذه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يدلّ على أنّ عدم الانتفاع بالتربة المباركة لضعف اليقين ».</w:t>
      </w:r>
    </w:p>
    <w:p w:rsidR="00144FA6" w:rsidRDefault="00E378DD" w:rsidP="00E378DD">
      <w:pPr>
        <w:pStyle w:val="libFootnote0"/>
        <w:rPr>
          <w:rtl/>
          <w:lang w:bidi="fa-IR"/>
        </w:rPr>
      </w:pPr>
      <w:r>
        <w:rPr>
          <w:rtl/>
          <w:lang w:bidi="fa-IR"/>
        </w:rPr>
        <w:t>(11).</w:t>
      </w:r>
      <w:r w:rsidR="00744A1C">
        <w:rPr>
          <w:rtl/>
          <w:lang w:bidi="fa-IR"/>
        </w:rPr>
        <w:t xml:space="preserve"> </w:t>
      </w:r>
      <w:r w:rsidR="00744A1C" w:rsidRPr="007B299E">
        <w:rPr>
          <w:rStyle w:val="libFootnoteBoldChar"/>
          <w:rtl/>
        </w:rPr>
        <w:t>كامل الزيارات</w:t>
      </w:r>
      <w:r w:rsidR="00004EBC">
        <w:rPr>
          <w:rtl/>
          <w:lang w:bidi="fa-IR"/>
        </w:rPr>
        <w:t>،ص 274،الباب 91،ح 1،بسنده عن أحمد بن محمّد بن عيسى،</w:t>
      </w:r>
      <w:r w:rsidR="00744A1C">
        <w:rPr>
          <w:rtl/>
          <w:lang w:bidi="fa-IR"/>
        </w:rPr>
        <w:t>عن الحسن بن عليّ بن</w:t>
      </w:r>
      <w:r w:rsidR="00004EBC">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8194 / 4. أَحْمَدُ بْنُ مُحَمَّدٍ </w:t>
      </w:r>
      <w:r w:rsidRPr="00D10E3C">
        <w:rPr>
          <w:rStyle w:val="libFootnotenumChar"/>
          <w:rtl/>
        </w:rPr>
        <w:t>(1)</w:t>
      </w:r>
      <w:r>
        <w:rPr>
          <w:rtl/>
          <w:lang w:bidi="fa-IR"/>
        </w:rPr>
        <w:t xml:space="preserve"> ، عَنِ الْحَسَنِ بْنِ عَلِيٍّ ، عَنْ يُونُسَ بْنِ الرَّبِيعِ </w:t>
      </w:r>
      <w:r w:rsidRPr="00D10E3C">
        <w:rPr>
          <w:rStyle w:val="libFootnotenumChar"/>
          <w:rtl/>
        </w:rPr>
        <w:t>(2)</w:t>
      </w:r>
      <w:r>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عِنْدَ رَأْسِ الْحُسَيْنِ </w:t>
      </w:r>
      <w:r w:rsidR="0061079A" w:rsidRPr="0061079A">
        <w:rPr>
          <w:rStyle w:val="libAlaemChar"/>
          <w:rtl/>
        </w:rPr>
        <w:t>عليه‌السلام</w:t>
      </w:r>
      <w:r w:rsidR="00D10E3C">
        <w:rPr>
          <w:rtl/>
          <w:lang w:bidi="fa-IR"/>
        </w:rPr>
        <w:t xml:space="preserve"> </w:t>
      </w:r>
      <w:r>
        <w:rPr>
          <w:rtl/>
          <w:lang w:bidi="fa-IR"/>
        </w:rPr>
        <w:t>لَتُرْبَةً حَمْرَاءَ فِيهَا</w:t>
      </w:r>
      <w:r w:rsidR="00004EBC">
        <w:rPr>
          <w:rtl/>
          <w:lang w:bidi="fa-IR"/>
        </w:rPr>
        <w:t xml:space="preserve"> شِفَاءٌ مِنْ كُلِّ دَاءٍ إِل</w:t>
      </w:r>
      <w:r w:rsidR="00004EBC">
        <w:rPr>
          <w:rFonts w:hint="cs"/>
          <w:rtl/>
          <w:lang w:bidi="fa-IR"/>
        </w:rPr>
        <w:t>َّ</w:t>
      </w:r>
      <w:r w:rsidR="00004EBC">
        <w:rPr>
          <w:rtl/>
          <w:lang w:bidi="fa-IR"/>
        </w:rPr>
        <w:t>ا</w:t>
      </w:r>
      <w:r>
        <w:rPr>
          <w:rtl/>
          <w:lang w:bidi="fa-IR"/>
        </w:rPr>
        <w:t xml:space="preserve"> السَّامَ ».</w:t>
      </w:r>
    </w:p>
    <w:p w:rsidR="00144FA6" w:rsidRDefault="00744A1C" w:rsidP="00004EBC">
      <w:pPr>
        <w:pStyle w:val="libNormal"/>
        <w:rPr>
          <w:rtl/>
          <w:lang w:bidi="fa-IR"/>
        </w:rPr>
      </w:pPr>
      <w:r>
        <w:rPr>
          <w:rtl/>
          <w:lang w:bidi="fa-IR"/>
        </w:rPr>
        <w:t xml:space="preserve">قَالَ : فَأَتَيْنَا الْقَبْرَ بَعْدَ مَا سَمِعْنَا هذَا الْحَدِيثَ ، فَاحْتَفَرْنَا عِنْدَ رَأْسِ </w:t>
      </w:r>
      <w:r w:rsidRPr="00D10E3C">
        <w:rPr>
          <w:rStyle w:val="libFootnotenumChar"/>
          <w:rtl/>
        </w:rPr>
        <w:t>(3)</w:t>
      </w:r>
      <w:r>
        <w:rPr>
          <w:rtl/>
          <w:lang w:bidi="fa-IR"/>
        </w:rPr>
        <w:t xml:space="preserve"> الْقَبْرِ </w:t>
      </w:r>
      <w:r w:rsidRPr="00D10E3C">
        <w:rPr>
          <w:rStyle w:val="libFootnotenumChar"/>
          <w:rtl/>
        </w:rPr>
        <w:t>(4)</w:t>
      </w:r>
      <w:r>
        <w:rPr>
          <w:rtl/>
          <w:lang w:bidi="fa-IR"/>
        </w:rPr>
        <w:t xml:space="preserve"> ، فَلَمَّا حَفَرْنَا </w:t>
      </w:r>
      <w:r w:rsidRPr="00D10E3C">
        <w:rPr>
          <w:rStyle w:val="libFootnotenumChar"/>
          <w:rtl/>
        </w:rPr>
        <w:t>(5)</w:t>
      </w:r>
      <w:r>
        <w:rPr>
          <w:rtl/>
          <w:lang w:bidi="fa-IR"/>
        </w:rPr>
        <w:t xml:space="preserve"> قَدْرَ ذِرَاعٍ ، ابْتَدَرَتْ </w:t>
      </w:r>
      <w:r w:rsidRPr="00D10E3C">
        <w:rPr>
          <w:rStyle w:val="libFootnotenumChar"/>
          <w:rtl/>
        </w:rPr>
        <w:t>(6)</w:t>
      </w:r>
      <w:r>
        <w:rPr>
          <w:rtl/>
          <w:lang w:bidi="fa-IR"/>
        </w:rPr>
        <w:t xml:space="preserve"> عَلَيْنَا مِنْ رَأْسِ الْقَبْرِ مِثْلُ </w:t>
      </w:r>
      <w:r w:rsidRPr="00D10E3C">
        <w:rPr>
          <w:rStyle w:val="libFootnotenumChar"/>
          <w:rtl/>
        </w:rPr>
        <w:t>(7)</w:t>
      </w:r>
      <w:r>
        <w:rPr>
          <w:rtl/>
          <w:lang w:bidi="fa-IR"/>
        </w:rPr>
        <w:t xml:space="preserve"> السِّهْلَةِ </w:t>
      </w:r>
      <w:r w:rsidRPr="00D10E3C">
        <w:rPr>
          <w:rStyle w:val="libFootnotenumChar"/>
          <w:rtl/>
        </w:rPr>
        <w:t>(8)</w:t>
      </w:r>
      <w:r>
        <w:rPr>
          <w:rtl/>
          <w:lang w:bidi="fa-IR"/>
        </w:rPr>
        <w:t xml:space="preserve"> حَمْرَاءَ </w:t>
      </w:r>
      <w:r w:rsidRPr="00D10E3C">
        <w:rPr>
          <w:rStyle w:val="libFootnotenumChar"/>
          <w:rtl/>
        </w:rPr>
        <w:t>(9)</w:t>
      </w:r>
      <w:r>
        <w:rPr>
          <w:rtl/>
          <w:lang w:bidi="fa-IR"/>
        </w:rPr>
        <w:t xml:space="preserve"> قَدْرَ الدِّرْهَمِ ، فَحَمَلْنَاهَا إِلَى الْكُوفَةِ ، فَمَزَجْنَاهُ </w:t>
      </w:r>
      <w:r w:rsidRPr="00D10E3C">
        <w:rPr>
          <w:rStyle w:val="libFootnotenumChar"/>
          <w:rtl/>
        </w:rPr>
        <w:t>(10)</w:t>
      </w:r>
      <w:r>
        <w:rPr>
          <w:rtl/>
          <w:lang w:bidi="fa-IR"/>
        </w:rPr>
        <w:t xml:space="preserve"> ، وَأَقْبَلْنَا نُعْطِي النَّاسَ يَتَدَاوَوْنَ بِهِ </w:t>
      </w:r>
      <w:r w:rsidRPr="00D10E3C">
        <w:rPr>
          <w:rStyle w:val="libFootnotenumChar"/>
          <w:rtl/>
        </w:rPr>
        <w:t>(11)</w:t>
      </w:r>
      <w:r w:rsidR="00004EBC">
        <w:rPr>
          <w:rFonts w:hint="cs"/>
          <w:rtl/>
          <w:lang w:bidi="fa-IR"/>
        </w:rPr>
        <w:t>.</w:t>
      </w:r>
      <w:r w:rsidRPr="00D10E3C">
        <w:rPr>
          <w:rStyle w:val="libFootnotenumChar"/>
          <w:rtl/>
        </w:rPr>
        <w:t>(12)</w:t>
      </w:r>
    </w:p>
    <w:p w:rsidR="00144FA6" w:rsidRDefault="00744A1C" w:rsidP="00744A1C">
      <w:pPr>
        <w:pStyle w:val="libNormal"/>
        <w:rPr>
          <w:rtl/>
          <w:lang w:bidi="fa-IR"/>
        </w:rPr>
      </w:pPr>
      <w:r>
        <w:rPr>
          <w:rtl/>
          <w:lang w:bidi="fa-IR"/>
        </w:rPr>
        <w:t xml:space="preserve">8195 / 5. أَحْمَدُ بْنُ مُحَمَّدٍ </w:t>
      </w:r>
      <w:r w:rsidRPr="00D10E3C">
        <w:rPr>
          <w:rStyle w:val="libFootnotenumChar"/>
          <w:rtl/>
        </w:rPr>
        <w:t>(13)</w:t>
      </w:r>
      <w:r>
        <w:rPr>
          <w:rtl/>
          <w:lang w:bidi="fa-IR"/>
        </w:rPr>
        <w:t xml:space="preserve"> ، عَنْ رِزْقِ اللهِ بْنِ أَبِي الْعَلَاءِ ، عَنْ سُلَيْمَانَ بْنِ عُمَرَ السَّرَّاجِ ، عَنْ بَعْضِ أَصْحَابِنَا ، قَالَ :</w:t>
      </w:r>
    </w:p>
    <w:p w:rsidR="00144FA6" w:rsidRDefault="00744A1C" w:rsidP="00004EBC">
      <w:pPr>
        <w:pStyle w:val="libNormal"/>
        <w:rPr>
          <w:rtl/>
          <w:lang w:bidi="fa-IR"/>
        </w:rPr>
      </w:pPr>
      <w:r>
        <w:rPr>
          <w:rtl/>
          <w:lang w:bidi="fa-IR"/>
        </w:rPr>
        <w:t xml:space="preserve">يُؤْخَذُ طِينُ قَبْرِ الْحُسَيْنِ </w:t>
      </w:r>
      <w:r w:rsidR="0061079A" w:rsidRPr="0061079A">
        <w:rPr>
          <w:rStyle w:val="libAlaemChar"/>
          <w:rtl/>
        </w:rPr>
        <w:t>عليه‌السلام</w:t>
      </w:r>
      <w:r w:rsidR="00D10E3C">
        <w:rPr>
          <w:rtl/>
          <w:lang w:bidi="fa-IR"/>
        </w:rPr>
        <w:t xml:space="preserve"> </w:t>
      </w:r>
      <w:r>
        <w:rPr>
          <w:rtl/>
          <w:lang w:bidi="fa-IR"/>
        </w:rPr>
        <w:t xml:space="preserve">مِنْ عِنْدِ الْقَبْرِ عَلى </w:t>
      </w:r>
      <w:r w:rsidRPr="00D10E3C">
        <w:rPr>
          <w:rStyle w:val="libFootnotenumChar"/>
          <w:rtl/>
        </w:rPr>
        <w:t>(14)</w:t>
      </w:r>
      <w:r>
        <w:rPr>
          <w:rtl/>
          <w:lang w:bidi="fa-IR"/>
        </w:rPr>
        <w:t xml:space="preserve"> سَبْعِينَ ذِرَاعاً </w:t>
      </w:r>
      <w:r w:rsidRPr="00D10E3C">
        <w:rPr>
          <w:rStyle w:val="libFootnotenumChar"/>
          <w:rtl/>
        </w:rPr>
        <w:t>(15)</w:t>
      </w:r>
      <w:r w:rsidR="00004EBC">
        <w:rPr>
          <w:rFonts w:hint="cs"/>
          <w:rtl/>
          <w:lang w:bidi="fa-IR"/>
        </w:rPr>
        <w:t>.</w:t>
      </w:r>
      <w:r w:rsidRPr="00D10E3C">
        <w:rPr>
          <w:rStyle w:val="libFootnotenumChar"/>
          <w:rtl/>
        </w:rPr>
        <w:t>(16)</w:t>
      </w:r>
    </w:p>
    <w:p w:rsidR="00744A1C" w:rsidRDefault="00744A1C" w:rsidP="00D10E3C">
      <w:pPr>
        <w:pStyle w:val="libLine"/>
        <w:rPr>
          <w:lang w:bidi="fa-IR"/>
        </w:rPr>
      </w:pPr>
      <w:r>
        <w:rPr>
          <w:rtl/>
          <w:lang w:bidi="fa-IR"/>
        </w:rPr>
        <w:t>____________________</w:t>
      </w:r>
    </w:p>
    <w:p w:rsidR="00744A1C" w:rsidRDefault="00004EBC" w:rsidP="00D10E3C">
      <w:pPr>
        <w:pStyle w:val="libFootnote0"/>
        <w:rPr>
          <w:lang w:bidi="fa-IR"/>
        </w:rPr>
      </w:pPr>
      <w:r>
        <w:rPr>
          <w:rFonts w:hint="cs"/>
          <w:rtl/>
          <w:lang w:bidi="fa-IR"/>
        </w:rPr>
        <w:t xml:space="preserve">= </w:t>
      </w:r>
      <w:r w:rsidR="00744A1C">
        <w:rPr>
          <w:rtl/>
          <w:lang w:bidi="fa-IR"/>
        </w:rPr>
        <w:t xml:space="preserve">فضّال </w:t>
      </w:r>
      <w:r>
        <w:rPr>
          <w:rFonts w:hint="cs"/>
          <w:rtl/>
          <w:lang w:bidi="fa-IR"/>
        </w:rPr>
        <w:t>.</w:t>
      </w:r>
      <w:r w:rsidR="00744A1C" w:rsidRPr="00C24F9C">
        <w:rPr>
          <w:rStyle w:val="libFootnoteBoldChar"/>
          <w:rtl/>
        </w:rPr>
        <w:t>الوافي</w:t>
      </w:r>
      <w:r w:rsidR="00744A1C">
        <w:rPr>
          <w:rtl/>
          <w:lang w:bidi="fa-IR"/>
        </w:rPr>
        <w:t xml:space="preserve"> ، ج 14 ، ص 1526 ، ح 14608 ؛ </w:t>
      </w:r>
      <w:r w:rsidR="00744A1C" w:rsidRPr="00C24F9C">
        <w:rPr>
          <w:rStyle w:val="libFootnoteBoldChar"/>
          <w:rtl/>
        </w:rPr>
        <w:t>الوسائل</w:t>
      </w:r>
      <w:r w:rsidR="00744A1C">
        <w:rPr>
          <w:rtl/>
          <w:lang w:bidi="fa-IR"/>
        </w:rPr>
        <w:t xml:space="preserve"> ، ج 14 ، ص 522 ، ح 19737 ؛ </w:t>
      </w:r>
      <w:r w:rsidR="00744A1C" w:rsidRPr="0061079A">
        <w:rPr>
          <w:rStyle w:val="libFootnoteBoldChar"/>
          <w:rtl/>
        </w:rPr>
        <w:t>البحار</w:t>
      </w:r>
      <w:r w:rsidR="00744A1C">
        <w:rPr>
          <w:rtl/>
          <w:lang w:bidi="fa-IR"/>
        </w:rPr>
        <w:t xml:space="preserve"> ، ج 101 ، ص 122 ، ح 14.</w:t>
      </w:r>
    </w:p>
    <w:p w:rsidR="00744A1C" w:rsidRDefault="00D10E3C" w:rsidP="00D10E3C">
      <w:pPr>
        <w:pStyle w:val="libFootnote0"/>
        <w:rPr>
          <w:lang w:bidi="fa-IR"/>
        </w:rPr>
      </w:pPr>
      <w:r>
        <w:rPr>
          <w:rtl/>
          <w:lang w:bidi="fa-IR"/>
        </w:rPr>
        <w:t>(1).</w:t>
      </w:r>
      <w:r w:rsidR="00744A1C">
        <w:rPr>
          <w:rtl/>
          <w:lang w:bidi="fa-IR"/>
        </w:rPr>
        <w:t xml:space="preserve"> السند معلّق ، كسابقه.</w:t>
      </w:r>
    </w:p>
    <w:p w:rsidR="00744A1C" w:rsidRDefault="00E378DD" w:rsidP="00E378DD">
      <w:pPr>
        <w:pStyle w:val="libFootnote0"/>
        <w:rPr>
          <w:lang w:bidi="fa-IR"/>
        </w:rPr>
      </w:pPr>
      <w:r>
        <w:rPr>
          <w:rtl/>
          <w:lang w:bidi="fa-IR"/>
        </w:rPr>
        <w:t>(2).</w:t>
      </w:r>
      <w:r w:rsidR="00744A1C">
        <w:rPr>
          <w:rtl/>
          <w:lang w:bidi="fa-IR"/>
        </w:rPr>
        <w:t xml:space="preserve"> ورد الخبر في </w:t>
      </w:r>
      <w:r w:rsidR="00744A1C" w:rsidRPr="007B299E">
        <w:rPr>
          <w:rStyle w:val="libFootnoteBoldChar"/>
          <w:rtl/>
        </w:rPr>
        <w:t>كامل الزيارات</w:t>
      </w:r>
      <w:r w:rsidR="00744A1C">
        <w:rPr>
          <w:rtl/>
          <w:lang w:bidi="fa-IR"/>
        </w:rPr>
        <w:t xml:space="preserve"> ، ص 279 ، ح 1 ، بسنده عن الحسن بن عليّ عن يونس بن رفيع ، والمذكور في أصحاب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هو يونس بن الربيع. راجع : </w:t>
      </w:r>
      <w:r w:rsidR="00744A1C" w:rsidRPr="004D054E">
        <w:rPr>
          <w:rStyle w:val="libFootnoteBoldChar"/>
          <w:rtl/>
        </w:rPr>
        <w:t>رجال البرقي</w:t>
      </w:r>
      <w:r w:rsidR="00744A1C">
        <w:rPr>
          <w:rtl/>
          <w:lang w:bidi="fa-IR"/>
        </w:rPr>
        <w:t xml:space="preserve"> ، ص 29.</w:t>
      </w:r>
    </w:p>
    <w:tbl>
      <w:tblPr>
        <w:tblStyle w:val="TableGrid"/>
        <w:bidiVisual/>
        <w:tblW w:w="0" w:type="auto"/>
        <w:tblLook w:val="04A0" w:firstRow="1" w:lastRow="0" w:firstColumn="1" w:lastColumn="0" w:noHBand="0" w:noVBand="1"/>
      </w:tblPr>
      <w:tblGrid>
        <w:gridCol w:w="4006"/>
        <w:gridCol w:w="4006"/>
      </w:tblGrid>
      <w:tr w:rsidR="00004EBC" w:rsidTr="00004EBC">
        <w:tc>
          <w:tcPr>
            <w:tcW w:w="4006" w:type="dxa"/>
          </w:tcPr>
          <w:p w:rsidR="00004EBC" w:rsidRDefault="00004EBC" w:rsidP="00E378DD">
            <w:pPr>
              <w:pStyle w:val="libFootnote0"/>
              <w:rPr>
                <w:rtl/>
                <w:lang w:bidi="fa-IR"/>
              </w:rPr>
            </w:pPr>
            <w:r>
              <w:rPr>
                <w:rtl/>
                <w:lang w:bidi="fa-IR"/>
              </w:rPr>
              <w:t xml:space="preserve">(3). في « بخ ، بف » </w:t>
            </w:r>
            <w:r w:rsidRPr="00004EBC">
              <w:rPr>
                <w:rtl/>
              </w:rPr>
              <w:t>والوافي</w:t>
            </w:r>
            <w:r>
              <w:rPr>
                <w:rtl/>
                <w:lang w:bidi="fa-IR"/>
              </w:rPr>
              <w:t xml:space="preserve"> : + « الحسين </w:t>
            </w:r>
            <w:r w:rsidRPr="0061079A">
              <w:rPr>
                <w:rStyle w:val="libFootnoteAlaemChar"/>
                <w:rtl/>
              </w:rPr>
              <w:t>عليه‌السلام</w:t>
            </w:r>
            <w:r>
              <w:rPr>
                <w:rtl/>
                <w:lang w:bidi="fa-IR"/>
              </w:rPr>
              <w:t xml:space="preserve"> ».</w:t>
            </w:r>
          </w:p>
        </w:tc>
        <w:tc>
          <w:tcPr>
            <w:tcW w:w="4006" w:type="dxa"/>
          </w:tcPr>
          <w:p w:rsidR="00004EBC" w:rsidRDefault="00004EBC" w:rsidP="00E378DD">
            <w:pPr>
              <w:pStyle w:val="libFootnote0"/>
              <w:rPr>
                <w:rtl/>
                <w:lang w:bidi="fa-IR"/>
              </w:rPr>
            </w:pPr>
            <w:r>
              <w:rPr>
                <w:rtl/>
                <w:lang w:bidi="fa-IR"/>
              </w:rPr>
              <w:t xml:space="preserve">(4). في « بخ ، بف ، جد » </w:t>
            </w:r>
            <w:r w:rsidRPr="00004EBC">
              <w:rPr>
                <w:rtl/>
              </w:rPr>
              <w:t>والوافي</w:t>
            </w:r>
            <w:r>
              <w:rPr>
                <w:rtl/>
                <w:lang w:bidi="fa-IR"/>
              </w:rPr>
              <w:t xml:space="preserve"> : - « القبر ».</w:t>
            </w:r>
          </w:p>
        </w:tc>
      </w:tr>
      <w:tr w:rsidR="00004EBC" w:rsidTr="00004EBC">
        <w:tc>
          <w:tcPr>
            <w:tcW w:w="4006" w:type="dxa"/>
          </w:tcPr>
          <w:p w:rsidR="00004EBC" w:rsidRDefault="00004EBC" w:rsidP="00E378DD">
            <w:pPr>
              <w:pStyle w:val="libFootnote0"/>
              <w:rPr>
                <w:rtl/>
                <w:lang w:bidi="fa-IR"/>
              </w:rPr>
            </w:pPr>
            <w:r>
              <w:rPr>
                <w:rtl/>
                <w:lang w:bidi="fa-IR"/>
              </w:rPr>
              <w:t>(5). في « ى » : « حفر ».</w:t>
            </w:r>
          </w:p>
        </w:tc>
        <w:tc>
          <w:tcPr>
            <w:tcW w:w="4006" w:type="dxa"/>
          </w:tcPr>
          <w:p w:rsidR="00004EBC" w:rsidRDefault="00004EBC" w:rsidP="00E378DD">
            <w:pPr>
              <w:pStyle w:val="libFootnote0"/>
              <w:rPr>
                <w:rtl/>
                <w:lang w:bidi="fa-IR"/>
              </w:rPr>
            </w:pPr>
            <w:r>
              <w:rPr>
                <w:rtl/>
                <w:lang w:bidi="fa-IR"/>
              </w:rPr>
              <w:t xml:space="preserve">(6). في </w:t>
            </w:r>
            <w:r w:rsidRPr="00004EBC">
              <w:rPr>
                <w:rtl/>
              </w:rPr>
              <w:t>كامل الزيارات</w:t>
            </w:r>
            <w:r>
              <w:rPr>
                <w:rtl/>
                <w:lang w:bidi="fa-IR"/>
              </w:rPr>
              <w:t xml:space="preserve"> : « انحدرت ».</w:t>
            </w:r>
          </w:p>
        </w:tc>
      </w:tr>
    </w:tbl>
    <w:p w:rsidR="00744A1C" w:rsidRDefault="00E378DD" w:rsidP="00E378DD">
      <w:pPr>
        <w:pStyle w:val="libFootnote0"/>
        <w:rPr>
          <w:lang w:bidi="fa-IR"/>
        </w:rPr>
      </w:pPr>
      <w:r>
        <w:rPr>
          <w:rtl/>
          <w:lang w:bidi="fa-IR"/>
        </w:rPr>
        <w:t>(7).</w:t>
      </w:r>
      <w:r w:rsidR="00744A1C">
        <w:rPr>
          <w:rtl/>
          <w:lang w:bidi="fa-IR"/>
        </w:rPr>
        <w:t xml:space="preserve"> في « ى ، جد » وحاشية « جن » : « شبه ». وفي « بخ ، بف » </w:t>
      </w:r>
      <w:r w:rsidR="00744A1C" w:rsidRPr="00004EBC">
        <w:rPr>
          <w:rtl/>
        </w:rPr>
        <w:t>والوافي</w:t>
      </w:r>
      <w:r w:rsidR="00744A1C">
        <w:rPr>
          <w:rtl/>
          <w:lang w:bidi="fa-IR"/>
        </w:rPr>
        <w:t xml:space="preserve"> : « شبيه ».</w:t>
      </w:r>
    </w:p>
    <w:p w:rsidR="00744A1C" w:rsidRDefault="00E378DD" w:rsidP="00E378DD">
      <w:pPr>
        <w:pStyle w:val="libFootnote0"/>
        <w:rPr>
          <w:lang w:bidi="fa-IR"/>
        </w:rPr>
      </w:pPr>
      <w:r>
        <w:rPr>
          <w:rtl/>
          <w:lang w:bidi="fa-IR"/>
        </w:rPr>
        <w:t>(8).</w:t>
      </w:r>
      <w:r w:rsidR="00744A1C">
        <w:rPr>
          <w:rtl/>
          <w:lang w:bidi="fa-IR"/>
        </w:rPr>
        <w:t xml:space="preserve"> « السِّهْلَة » بالكسر ، تراب كالرمل يجي‌ء به الماء. </w:t>
      </w:r>
      <w:r w:rsidR="00744A1C" w:rsidRPr="008A57EB">
        <w:rPr>
          <w:rStyle w:val="libFootnoteBoldChar"/>
          <w:rtl/>
        </w:rPr>
        <w:t>القاموس المحيط</w:t>
      </w:r>
      <w:r w:rsidR="00744A1C">
        <w:rPr>
          <w:rtl/>
          <w:lang w:bidi="fa-IR"/>
        </w:rPr>
        <w:t xml:space="preserve"> ، ج 2 ، ص 1344 ( سهل ).</w:t>
      </w:r>
    </w:p>
    <w:tbl>
      <w:tblPr>
        <w:tblStyle w:val="TableGrid"/>
        <w:bidiVisual/>
        <w:tblW w:w="0" w:type="auto"/>
        <w:tblLook w:val="04A0" w:firstRow="1" w:lastRow="0" w:firstColumn="1" w:lastColumn="0" w:noHBand="0" w:noVBand="1"/>
      </w:tblPr>
      <w:tblGrid>
        <w:gridCol w:w="4006"/>
        <w:gridCol w:w="4006"/>
      </w:tblGrid>
      <w:tr w:rsidR="00004EBC" w:rsidTr="00004EBC">
        <w:tc>
          <w:tcPr>
            <w:tcW w:w="4006" w:type="dxa"/>
          </w:tcPr>
          <w:p w:rsidR="00004EBC" w:rsidRDefault="00004EBC" w:rsidP="00E378DD">
            <w:pPr>
              <w:pStyle w:val="libFootnote0"/>
              <w:rPr>
                <w:rtl/>
                <w:lang w:bidi="fa-IR"/>
              </w:rPr>
            </w:pPr>
            <w:r>
              <w:rPr>
                <w:rtl/>
                <w:lang w:bidi="fa-IR"/>
              </w:rPr>
              <w:t>(9). في « بح ، جن » : « الحمراء ».</w:t>
            </w:r>
          </w:p>
        </w:tc>
        <w:tc>
          <w:tcPr>
            <w:tcW w:w="4006" w:type="dxa"/>
          </w:tcPr>
          <w:p w:rsidR="00004EBC" w:rsidRDefault="00004EBC" w:rsidP="00E378DD">
            <w:pPr>
              <w:pStyle w:val="libFootnote0"/>
              <w:rPr>
                <w:rtl/>
                <w:lang w:bidi="fa-IR"/>
              </w:rPr>
            </w:pPr>
            <w:r>
              <w:rPr>
                <w:rtl/>
                <w:lang w:bidi="fa-IR"/>
              </w:rPr>
              <w:t xml:space="preserve">(10). في </w:t>
            </w:r>
            <w:r w:rsidRPr="007B299E">
              <w:rPr>
                <w:rStyle w:val="libFootnoteBoldChar"/>
                <w:rtl/>
              </w:rPr>
              <w:t>كامل الزيارات</w:t>
            </w:r>
            <w:r>
              <w:rPr>
                <w:rtl/>
                <w:lang w:bidi="fa-IR"/>
              </w:rPr>
              <w:t xml:space="preserve"> : + « وخبيناه ».</w:t>
            </w:r>
          </w:p>
        </w:tc>
      </w:tr>
    </w:tbl>
    <w:p w:rsidR="00744A1C" w:rsidRDefault="00E378DD" w:rsidP="00E378DD">
      <w:pPr>
        <w:pStyle w:val="libFootnote0"/>
        <w:rPr>
          <w:lang w:bidi="fa-IR"/>
        </w:rPr>
      </w:pPr>
      <w:r>
        <w:rPr>
          <w:rtl/>
          <w:lang w:bidi="fa-IR"/>
        </w:rPr>
        <w:t>(11).</w:t>
      </w:r>
      <w:r w:rsidR="00744A1C">
        <w:rPr>
          <w:rtl/>
          <w:lang w:bidi="fa-IR"/>
        </w:rPr>
        <w:t xml:space="preserve"> هكذا في جميع النسخ التي قوبلت </w:t>
      </w:r>
      <w:r w:rsidR="00744A1C" w:rsidRPr="00004EBC">
        <w:rPr>
          <w:rtl/>
        </w:rPr>
        <w:t>والوافي وكامل الزيارات</w:t>
      </w:r>
      <w:r w:rsidR="00744A1C">
        <w:rPr>
          <w:rtl/>
          <w:lang w:bidi="fa-IR"/>
        </w:rPr>
        <w:t>. وفي المطبوع : « بها ».</w:t>
      </w:r>
    </w:p>
    <w:p w:rsidR="00744A1C" w:rsidRDefault="00E378DD" w:rsidP="00E378DD">
      <w:pPr>
        <w:pStyle w:val="libFootnote0"/>
        <w:rPr>
          <w:lang w:bidi="fa-IR"/>
        </w:rPr>
      </w:pPr>
      <w:r>
        <w:rPr>
          <w:rtl/>
          <w:lang w:bidi="fa-IR"/>
        </w:rPr>
        <w:t>(12).</w:t>
      </w:r>
      <w:r w:rsidR="00744A1C">
        <w:rPr>
          <w:rtl/>
          <w:lang w:bidi="fa-IR"/>
        </w:rPr>
        <w:t xml:space="preserve"> </w:t>
      </w:r>
      <w:r w:rsidR="00744A1C" w:rsidRPr="007B299E">
        <w:rPr>
          <w:rStyle w:val="libFootnoteBoldChar"/>
          <w:rtl/>
        </w:rPr>
        <w:t>كامل الزيارات</w:t>
      </w:r>
      <w:r w:rsidR="00744A1C">
        <w:rPr>
          <w:rtl/>
          <w:lang w:bidi="fa-IR"/>
        </w:rPr>
        <w:t xml:space="preserve"> ، ص 279 ، الباب 93 ، ح 1 ، بسنده عن الحسن بن عليّ ، عن يونس بن رفيع ، عن أبي عبدالله </w:t>
      </w:r>
      <w:r w:rsidR="0061079A" w:rsidRPr="0061079A">
        <w:rPr>
          <w:rStyle w:val="libFootnoteAlaemChar"/>
          <w:rtl/>
        </w:rPr>
        <w:t>عليه‌السلام</w:t>
      </w:r>
      <w:r w:rsidR="00D10E3C">
        <w:rPr>
          <w:rtl/>
          <w:lang w:bidi="fa-IR"/>
        </w:rPr>
        <w:t xml:space="preserve"> </w:t>
      </w:r>
      <w:r w:rsidR="00004EBC">
        <w:rPr>
          <w:rFonts w:hint="cs"/>
          <w:rtl/>
          <w:lang w:bidi="fa-IR"/>
        </w:rPr>
        <w:t>.</w:t>
      </w:r>
      <w:r w:rsidR="00744A1C" w:rsidRPr="00C24F9C">
        <w:rPr>
          <w:rStyle w:val="libFootnoteBoldChar"/>
          <w:rtl/>
        </w:rPr>
        <w:t>الوافي</w:t>
      </w:r>
      <w:r w:rsidR="00744A1C">
        <w:rPr>
          <w:rtl/>
          <w:lang w:bidi="fa-IR"/>
        </w:rPr>
        <w:t xml:space="preserve"> ، ج 14 ، ص 1525 ، ح 14606 ؛ </w:t>
      </w:r>
      <w:r w:rsidR="00744A1C" w:rsidRPr="00C24F9C">
        <w:rPr>
          <w:rStyle w:val="libFootnoteBoldChar"/>
          <w:rtl/>
        </w:rPr>
        <w:t>الوسائل</w:t>
      </w:r>
      <w:r w:rsidR="00744A1C">
        <w:rPr>
          <w:rtl/>
          <w:lang w:bidi="fa-IR"/>
        </w:rPr>
        <w:t xml:space="preserve"> ، ج 14 ، ص 521 ، ح 19736 ، إ</w:t>
      </w:r>
      <w:r w:rsidR="00004EBC">
        <w:rPr>
          <w:rtl/>
          <w:lang w:bidi="fa-IR"/>
        </w:rPr>
        <w:t>لى قوله : « شفاء من كلّ داء إل</w:t>
      </w:r>
      <w:r w:rsidR="00004EBC">
        <w:rPr>
          <w:rFonts w:hint="cs"/>
          <w:rtl/>
          <w:lang w:bidi="fa-IR"/>
        </w:rPr>
        <w:t>ّ</w:t>
      </w:r>
      <w:r w:rsidR="00004EBC">
        <w:rPr>
          <w:rtl/>
          <w:lang w:bidi="fa-IR"/>
        </w:rPr>
        <w:t>ا</w:t>
      </w:r>
      <w:r w:rsidR="00744A1C">
        <w:rPr>
          <w:rtl/>
          <w:lang w:bidi="fa-IR"/>
        </w:rPr>
        <w:t xml:space="preserve"> السام » ؛ </w:t>
      </w:r>
      <w:r w:rsidR="00744A1C" w:rsidRPr="0061079A">
        <w:rPr>
          <w:rStyle w:val="libFootnoteBoldChar"/>
          <w:rtl/>
        </w:rPr>
        <w:t>البحار</w:t>
      </w:r>
      <w:r w:rsidR="00744A1C">
        <w:rPr>
          <w:rtl/>
          <w:lang w:bidi="fa-IR"/>
        </w:rPr>
        <w:t xml:space="preserve"> ، ج 101 ، ص 125 ، ح 31.</w:t>
      </w:r>
    </w:p>
    <w:tbl>
      <w:tblPr>
        <w:tblStyle w:val="TableGrid"/>
        <w:bidiVisual/>
        <w:tblW w:w="0" w:type="auto"/>
        <w:tblLook w:val="04A0" w:firstRow="1" w:lastRow="0" w:firstColumn="1" w:lastColumn="0" w:noHBand="0" w:noVBand="1"/>
      </w:tblPr>
      <w:tblGrid>
        <w:gridCol w:w="4006"/>
        <w:gridCol w:w="4006"/>
      </w:tblGrid>
      <w:tr w:rsidR="00004EBC" w:rsidTr="00004EBC">
        <w:tc>
          <w:tcPr>
            <w:tcW w:w="4006" w:type="dxa"/>
          </w:tcPr>
          <w:p w:rsidR="00004EBC" w:rsidRDefault="00004EBC" w:rsidP="00E378DD">
            <w:pPr>
              <w:pStyle w:val="libFootnote0"/>
              <w:rPr>
                <w:rtl/>
                <w:lang w:bidi="fa-IR"/>
              </w:rPr>
            </w:pPr>
            <w:r>
              <w:rPr>
                <w:rtl/>
                <w:lang w:bidi="fa-IR"/>
              </w:rPr>
              <w:t>(13). السند معلّق ، كسابقيه.</w:t>
            </w:r>
          </w:p>
        </w:tc>
        <w:tc>
          <w:tcPr>
            <w:tcW w:w="4006" w:type="dxa"/>
          </w:tcPr>
          <w:p w:rsidR="00004EBC" w:rsidRDefault="00004EBC" w:rsidP="00E378DD">
            <w:pPr>
              <w:pStyle w:val="libFootnote0"/>
              <w:rPr>
                <w:rtl/>
                <w:lang w:bidi="fa-IR"/>
              </w:rPr>
            </w:pPr>
            <w:r>
              <w:rPr>
                <w:rtl/>
                <w:lang w:bidi="fa-IR"/>
              </w:rPr>
              <w:t>(14). في « بح ، بس ، جن » : + « قدر ».</w:t>
            </w:r>
          </w:p>
        </w:tc>
      </w:tr>
    </w:tbl>
    <w:p w:rsidR="00744A1C" w:rsidRDefault="00E378DD" w:rsidP="00E378DD">
      <w:pPr>
        <w:pStyle w:val="libFootnote0"/>
        <w:rPr>
          <w:lang w:bidi="fa-IR"/>
        </w:rPr>
      </w:pPr>
      <w:r>
        <w:rPr>
          <w:rtl/>
          <w:lang w:bidi="fa-IR"/>
        </w:rPr>
        <w:t>(15).</w:t>
      </w:r>
      <w:r w:rsidR="00744A1C">
        <w:rPr>
          <w:rtl/>
          <w:lang w:bidi="fa-IR"/>
        </w:rPr>
        <w:t xml:space="preserve"> في </w:t>
      </w:r>
      <w:r w:rsidR="00744A1C" w:rsidRPr="00004EBC">
        <w:rPr>
          <w:rtl/>
        </w:rPr>
        <w:t>كامل الزيارات</w:t>
      </w:r>
      <w:r w:rsidR="00744A1C">
        <w:rPr>
          <w:rtl/>
          <w:lang w:bidi="fa-IR"/>
        </w:rPr>
        <w:t xml:space="preserve"> ، ص 281 والمزار : « باعاً في سبعين باعاً » بدل « ذراعاً ». وفي </w:t>
      </w:r>
      <w:r w:rsidR="00744A1C" w:rsidRPr="00004EBC">
        <w:rPr>
          <w:rtl/>
        </w:rPr>
        <w:t>كامل الزيارات</w:t>
      </w:r>
      <w:r w:rsidR="00744A1C">
        <w:rPr>
          <w:rtl/>
          <w:lang w:bidi="fa-IR"/>
        </w:rPr>
        <w:t xml:space="preserve"> ، ص 279 : « باعاً » بدله.</w:t>
      </w:r>
    </w:p>
    <w:p w:rsidR="00144FA6" w:rsidRDefault="00744A1C" w:rsidP="00D10E3C">
      <w:pPr>
        <w:pStyle w:val="libFootnote0"/>
        <w:rPr>
          <w:rtl/>
          <w:lang w:bidi="fa-IR"/>
        </w:rPr>
      </w:pPr>
      <w:r>
        <w:rPr>
          <w:rtl/>
          <w:lang w:bidi="fa-IR"/>
        </w:rPr>
        <w:t xml:space="preserve">(16) </w:t>
      </w:r>
      <w:r w:rsidRPr="00C24F9C">
        <w:rPr>
          <w:rStyle w:val="libFootnoteBoldChar"/>
          <w:rtl/>
        </w:rPr>
        <w:t>التهذيب</w:t>
      </w:r>
      <w:r>
        <w:rPr>
          <w:rtl/>
          <w:lang w:bidi="fa-IR"/>
        </w:rPr>
        <w:t xml:space="preserve"> ، ج 6 ، ص 74 ، ح 144 ؛ </w:t>
      </w:r>
      <w:r w:rsidRPr="00004EBC">
        <w:rPr>
          <w:rStyle w:val="libFootnoteBoldChar"/>
          <w:rtl/>
        </w:rPr>
        <w:t>وك</w:t>
      </w:r>
      <w:r w:rsidRPr="007B299E">
        <w:rPr>
          <w:rStyle w:val="libFootnoteBoldChar"/>
          <w:rtl/>
        </w:rPr>
        <w:t>امل الزيارات</w:t>
      </w:r>
      <w:r>
        <w:rPr>
          <w:rtl/>
          <w:lang w:bidi="fa-IR"/>
        </w:rPr>
        <w:t xml:space="preserve"> ، ص 279 ، الباب 93 ، ح 2 ؛ وص 281 ، نفس الباب ،</w:t>
      </w:r>
      <w:r w:rsidR="00004EBC">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8196 / 6. عِدَّةٌ مِنْ أَصْحَابِنَا ، عَنْ سَهْلِ بْنِ زِيَادٍ وَأَحْمَدَ بْنِ مُحَمَّدٍ ، عَنِ الْحَسَنِ بْنِ مَحْبُوبٍ ، عَنْ إِسْحَاقَ بْنِ عَمَّارٍ ، قَالَ :</w:t>
      </w:r>
    </w:p>
    <w:p w:rsidR="00744A1C" w:rsidRDefault="00744A1C" w:rsidP="00744A1C">
      <w:pPr>
        <w:pStyle w:val="libNormal"/>
        <w:rPr>
          <w:lang w:bidi="fa-IR"/>
        </w:rPr>
      </w:pPr>
      <w:r>
        <w:rPr>
          <w:rtl/>
          <w:lang w:bidi="fa-IR"/>
        </w:rPr>
        <w:t xml:space="preserve">سَمِعْتُهُ يَقُولُ : « لِمَوْضِعِ قَبْرِ الْحُسَيْنِ </w:t>
      </w:r>
      <w:r w:rsidR="0061079A" w:rsidRPr="0061079A">
        <w:rPr>
          <w:rStyle w:val="libAlaemChar"/>
          <w:rtl/>
        </w:rPr>
        <w:t>عليه‌السلام</w:t>
      </w:r>
      <w:r w:rsidR="00D10E3C">
        <w:rPr>
          <w:rtl/>
          <w:lang w:bidi="fa-IR"/>
        </w:rPr>
        <w:t xml:space="preserve"> </w:t>
      </w:r>
      <w:r>
        <w:rPr>
          <w:rtl/>
          <w:lang w:bidi="fa-IR"/>
        </w:rPr>
        <w:t>حُرْمَةٌ مَعْلُومَةٌ ، مَنْ عَرَفَهَا وَاسْتَجَارَ بِهَا أُجِيرَ ».</w:t>
      </w:r>
    </w:p>
    <w:p w:rsidR="00744A1C" w:rsidRDefault="00744A1C" w:rsidP="00744A1C">
      <w:pPr>
        <w:pStyle w:val="libNormal"/>
        <w:rPr>
          <w:lang w:bidi="fa-IR"/>
        </w:rPr>
      </w:pPr>
      <w:r>
        <w:rPr>
          <w:rtl/>
          <w:lang w:bidi="fa-IR"/>
        </w:rPr>
        <w:t>قُلْتُ : صِفْ لِي مَوْضِعَهَا.</w:t>
      </w:r>
    </w:p>
    <w:p w:rsidR="00144FA6" w:rsidRDefault="00744A1C" w:rsidP="00744A1C">
      <w:pPr>
        <w:pStyle w:val="libNormal"/>
        <w:rPr>
          <w:rtl/>
          <w:lang w:bidi="fa-IR"/>
        </w:rPr>
      </w:pPr>
      <w:r>
        <w:rPr>
          <w:rtl/>
          <w:lang w:bidi="fa-IR"/>
        </w:rPr>
        <w:t xml:space="preserve">قَالَ : « امْسَحْ مِنْ </w:t>
      </w:r>
      <w:r w:rsidRPr="00D10E3C">
        <w:rPr>
          <w:rStyle w:val="libFootnotenumChar"/>
          <w:rtl/>
        </w:rPr>
        <w:t>(1)</w:t>
      </w:r>
      <w:r>
        <w:rPr>
          <w:rtl/>
          <w:lang w:bidi="fa-IR"/>
        </w:rPr>
        <w:t xml:space="preserve"> مَوْضِعِ قَبْرِهِ الْيَوْمَ </w:t>
      </w:r>
      <w:r w:rsidRPr="00D10E3C">
        <w:rPr>
          <w:rStyle w:val="libFootnotenumChar"/>
          <w:rtl/>
        </w:rPr>
        <w:t>(2)</w:t>
      </w:r>
      <w:r>
        <w:rPr>
          <w:rtl/>
          <w:lang w:bidi="fa-IR"/>
        </w:rPr>
        <w:t xml:space="preserve"> خَمْسَةً </w:t>
      </w:r>
      <w:r w:rsidRPr="00D10E3C">
        <w:rPr>
          <w:rStyle w:val="libFootnotenumChar"/>
          <w:rtl/>
        </w:rPr>
        <w:t>(3)</w:t>
      </w:r>
      <w:r>
        <w:rPr>
          <w:rtl/>
          <w:lang w:bidi="fa-IR"/>
        </w:rPr>
        <w:t xml:space="preserve"> وَعِشْرِينَ ذِرَاعاً مِنْ قُدَّامِهِ ، وَخَمْسَةً وَعِشْرِينَ ذِرَاعاً </w:t>
      </w:r>
      <w:r w:rsidRPr="00D10E3C">
        <w:rPr>
          <w:rStyle w:val="libFootnotenumChar"/>
          <w:rtl/>
        </w:rPr>
        <w:t>(4)</w:t>
      </w:r>
      <w:r>
        <w:rPr>
          <w:rtl/>
          <w:lang w:bidi="fa-IR"/>
        </w:rPr>
        <w:t xml:space="preserve"> عِنْدَ رَأْسِهِ ، وَخَمْسَةً وَعِشْرِينَ ذِرَاعاً مِنْ نَاحِيَةِ رِجْلَيْهِ ، وَخَمْسَةً وَعِشْرِينَ ذِرَاعاً مِنْ خَلْفِهِ ، وَمَوْضِعُ قَبْرِهِ مِنْ يَوْمِ دُفِنَ رَوْضَةٌ مِنْ رِيَاضِ الْجَنَّةِ ، وَمِنْهُ مِعْرَاجٌ يُعْرَجُ مِنْهُ بِأَعْمَالِ زُوَّارِهِ إِلَى السَّمَاءِ ، وَلَيْسَ مِنْ مَلَكٍ وَلَانَبِيٍّ </w:t>
      </w:r>
      <w:r w:rsidRPr="00D10E3C">
        <w:rPr>
          <w:rStyle w:val="libFootnotenumChar"/>
          <w:rtl/>
        </w:rPr>
        <w:t>(5)</w:t>
      </w:r>
      <w:r>
        <w:rPr>
          <w:rtl/>
          <w:lang w:bidi="fa-IR"/>
        </w:rPr>
        <w:t xml:space="preserve"> فِي السَّمَاوَاتِ </w:t>
      </w:r>
      <w:r w:rsidRPr="00D10E3C">
        <w:rPr>
          <w:rStyle w:val="libFootnotenumChar"/>
          <w:rtl/>
        </w:rPr>
        <w:t>(6)</w:t>
      </w:r>
      <w:r w:rsidR="00004EBC">
        <w:rPr>
          <w:rtl/>
          <w:lang w:bidi="fa-IR"/>
        </w:rPr>
        <w:t xml:space="preserve"> إِل</w:t>
      </w:r>
      <w:r w:rsidR="00004EBC">
        <w:rPr>
          <w:rFonts w:hint="cs"/>
          <w:rtl/>
          <w:lang w:bidi="fa-IR"/>
        </w:rPr>
        <w:t>َّ</w:t>
      </w:r>
      <w:r w:rsidR="00004EBC">
        <w:rPr>
          <w:rtl/>
          <w:lang w:bidi="fa-IR"/>
        </w:rPr>
        <w:t>ا</w:t>
      </w:r>
      <w:r>
        <w:rPr>
          <w:rtl/>
          <w:lang w:bidi="fa-IR"/>
        </w:rPr>
        <w:t xml:space="preserve"> وَهُمْ يَسْأَلُونَ اللهَ أَنْ يَأْذَنَ لَهُمْ فِي زِيَارَةِ قَبْرِ الْحُسَيْنِ </w:t>
      </w:r>
      <w:r w:rsidR="0061079A" w:rsidRPr="0061079A">
        <w:rPr>
          <w:rStyle w:val="libAlaemChar"/>
          <w:rtl/>
        </w:rPr>
        <w:t>عليه‌السلام</w:t>
      </w:r>
      <w:r w:rsidR="00D10E3C">
        <w:rPr>
          <w:rtl/>
          <w:lang w:bidi="fa-IR"/>
        </w:rPr>
        <w:t xml:space="preserve"> </w:t>
      </w:r>
      <w:r>
        <w:rPr>
          <w:rtl/>
          <w:lang w:bidi="fa-IR"/>
        </w:rPr>
        <w:t xml:space="preserve">، فَفَوْجٌ يَنْزِلُ ، وَفَوْجٌ يَعْرُجُ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004EBC" w:rsidP="00D10E3C">
      <w:pPr>
        <w:pStyle w:val="libFootnote0"/>
        <w:rPr>
          <w:lang w:bidi="fa-IR"/>
        </w:rPr>
      </w:pPr>
      <w:r>
        <w:rPr>
          <w:rFonts w:hint="cs"/>
          <w:rtl/>
          <w:lang w:bidi="fa-IR"/>
        </w:rPr>
        <w:t xml:space="preserve">= </w:t>
      </w:r>
      <w:r w:rsidR="00744A1C">
        <w:rPr>
          <w:rtl/>
          <w:lang w:bidi="fa-IR"/>
        </w:rPr>
        <w:t xml:space="preserve">ح 6 ؛ </w:t>
      </w:r>
      <w:r w:rsidR="00744A1C" w:rsidRPr="00004EBC">
        <w:rPr>
          <w:rStyle w:val="libFootnoteBoldChar"/>
          <w:rtl/>
        </w:rPr>
        <w:t>وكتاب المزار</w:t>
      </w:r>
      <w:r w:rsidR="00744A1C">
        <w:rPr>
          <w:rtl/>
          <w:lang w:bidi="fa-IR"/>
        </w:rPr>
        <w:t xml:space="preserve"> ، ص 145 ، ح 7 ، بسند آخر عن أحمد بن محمّد بن عيسى ، عن رزق الله بن العلاء ، عن سليمان بن عمر السراج [ في </w:t>
      </w:r>
      <w:r w:rsidR="00744A1C" w:rsidRPr="00004EBC">
        <w:rPr>
          <w:rtl/>
        </w:rPr>
        <w:t>كامل الزيارات</w:t>
      </w:r>
      <w:r w:rsidR="00744A1C">
        <w:rPr>
          <w:rtl/>
          <w:lang w:bidi="fa-IR"/>
        </w:rPr>
        <w:t xml:space="preserve"> ، ص 279 وكتاب المزار : « سليمان بن عمرو السراج » ] </w:t>
      </w:r>
      <w:r>
        <w:rPr>
          <w:rFonts w:hint="cs"/>
          <w:rtl/>
          <w:lang w:bidi="fa-IR"/>
        </w:rPr>
        <w:t>.</w:t>
      </w:r>
      <w:r w:rsidR="00744A1C" w:rsidRPr="00C24F9C">
        <w:rPr>
          <w:rStyle w:val="libFootnoteBoldChar"/>
          <w:rtl/>
        </w:rPr>
        <w:t>الوافي</w:t>
      </w:r>
      <w:r w:rsidR="00744A1C">
        <w:rPr>
          <w:rtl/>
          <w:lang w:bidi="fa-IR"/>
        </w:rPr>
        <w:t xml:space="preserve"> ، ج 14 ، ص 1526 ، ح 14607 ؛ </w:t>
      </w:r>
      <w:r w:rsidR="00744A1C" w:rsidRPr="0061079A">
        <w:rPr>
          <w:rStyle w:val="libFootnoteBoldChar"/>
          <w:rtl/>
        </w:rPr>
        <w:t>البحار</w:t>
      </w:r>
      <w:r w:rsidR="00744A1C">
        <w:rPr>
          <w:rtl/>
          <w:lang w:bidi="fa-IR"/>
        </w:rPr>
        <w:t xml:space="preserve"> ، ج 101 ، ص 130 ، ح 51.</w:t>
      </w:r>
    </w:p>
    <w:p w:rsidR="00744A1C" w:rsidRDefault="00D10E3C" w:rsidP="00D10E3C">
      <w:pPr>
        <w:pStyle w:val="libFootnote0"/>
        <w:rPr>
          <w:lang w:bidi="fa-IR"/>
        </w:rPr>
      </w:pPr>
      <w:r>
        <w:rPr>
          <w:rtl/>
          <w:lang w:bidi="fa-IR"/>
        </w:rPr>
        <w:t>(1).</w:t>
      </w:r>
      <w:r w:rsidR="00744A1C">
        <w:rPr>
          <w:rtl/>
          <w:lang w:bidi="fa-IR"/>
        </w:rPr>
        <w:t xml:space="preserve"> في « جن » : - « من ».</w:t>
      </w:r>
    </w:p>
    <w:p w:rsidR="00744A1C" w:rsidRDefault="00E378DD" w:rsidP="00E378DD">
      <w:pPr>
        <w:pStyle w:val="libFootnote0"/>
        <w:rPr>
          <w:lang w:bidi="fa-IR"/>
        </w:rPr>
      </w:pPr>
      <w:r>
        <w:rPr>
          <w:rtl/>
          <w:lang w:bidi="fa-IR"/>
        </w:rPr>
        <w:t>(2).</w:t>
      </w:r>
      <w:r w:rsidR="00744A1C">
        <w:rPr>
          <w:rtl/>
          <w:lang w:bidi="fa-IR"/>
        </w:rPr>
        <w:t xml:space="preserve"> في « بث ، جن » : - « اليوم ». وفي حاشية « جن » : + « إلى ».</w:t>
      </w:r>
    </w:p>
    <w:tbl>
      <w:tblPr>
        <w:tblStyle w:val="TableGrid"/>
        <w:bidiVisual/>
        <w:tblW w:w="0" w:type="auto"/>
        <w:tblLook w:val="04A0" w:firstRow="1" w:lastRow="0" w:firstColumn="1" w:lastColumn="0" w:noHBand="0" w:noVBand="1"/>
      </w:tblPr>
      <w:tblGrid>
        <w:gridCol w:w="4006"/>
        <w:gridCol w:w="4006"/>
      </w:tblGrid>
      <w:tr w:rsidR="00004EBC" w:rsidTr="00004EBC">
        <w:tc>
          <w:tcPr>
            <w:tcW w:w="4006" w:type="dxa"/>
          </w:tcPr>
          <w:p w:rsidR="00004EBC" w:rsidRDefault="00004EBC" w:rsidP="00E378DD">
            <w:pPr>
              <w:pStyle w:val="libFootnote0"/>
              <w:rPr>
                <w:rtl/>
                <w:lang w:bidi="fa-IR"/>
              </w:rPr>
            </w:pPr>
            <w:r>
              <w:rPr>
                <w:rtl/>
                <w:lang w:bidi="fa-IR"/>
              </w:rPr>
              <w:t>(3). في « بس ، جد » : « خمساً » وكذا فيما بعد.</w:t>
            </w:r>
          </w:p>
        </w:tc>
        <w:tc>
          <w:tcPr>
            <w:tcW w:w="4006" w:type="dxa"/>
          </w:tcPr>
          <w:p w:rsidR="00004EBC" w:rsidRDefault="00004EBC" w:rsidP="00E378DD">
            <w:pPr>
              <w:pStyle w:val="libFootnote0"/>
              <w:rPr>
                <w:rtl/>
                <w:lang w:bidi="fa-IR"/>
              </w:rPr>
            </w:pPr>
            <w:r>
              <w:rPr>
                <w:rtl/>
                <w:lang w:bidi="fa-IR"/>
              </w:rPr>
              <w:t xml:space="preserve">(4). في « ى ، بس » </w:t>
            </w:r>
            <w:r w:rsidRPr="00004EBC">
              <w:rPr>
                <w:rtl/>
              </w:rPr>
              <w:t>والوافي والتهذيب</w:t>
            </w:r>
            <w:r>
              <w:rPr>
                <w:rtl/>
                <w:lang w:bidi="fa-IR"/>
              </w:rPr>
              <w:t xml:space="preserve"> : + « من ».</w:t>
            </w:r>
          </w:p>
        </w:tc>
      </w:tr>
    </w:tbl>
    <w:p w:rsidR="00744A1C" w:rsidRDefault="00E378DD" w:rsidP="00E378DD">
      <w:pPr>
        <w:pStyle w:val="libFootnote0"/>
        <w:rPr>
          <w:lang w:bidi="fa-IR"/>
        </w:rPr>
      </w:pPr>
      <w:r>
        <w:rPr>
          <w:rtl/>
          <w:lang w:bidi="fa-IR"/>
        </w:rPr>
        <w:t>(5).</w:t>
      </w:r>
      <w:r w:rsidR="00744A1C">
        <w:rPr>
          <w:rtl/>
          <w:lang w:bidi="fa-IR"/>
        </w:rPr>
        <w:t xml:space="preserve"> في </w:t>
      </w:r>
      <w:r w:rsidR="00744A1C" w:rsidRPr="00004EBC">
        <w:rPr>
          <w:rtl/>
        </w:rPr>
        <w:t>التهذيب وكامل الزيارات</w:t>
      </w:r>
      <w:r w:rsidR="00744A1C">
        <w:rPr>
          <w:rtl/>
          <w:lang w:bidi="fa-IR"/>
        </w:rPr>
        <w:t xml:space="preserve"> ، ص 13 : - « ولا نبيّ ».</w:t>
      </w:r>
    </w:p>
    <w:p w:rsidR="00744A1C" w:rsidRDefault="00E378DD" w:rsidP="00E378DD">
      <w:pPr>
        <w:pStyle w:val="libFootnote0"/>
        <w:rPr>
          <w:lang w:bidi="fa-IR"/>
        </w:rPr>
      </w:pPr>
      <w:r>
        <w:rPr>
          <w:rtl/>
          <w:lang w:bidi="fa-IR"/>
        </w:rPr>
        <w:t>(6).</w:t>
      </w:r>
      <w:r w:rsidR="00744A1C">
        <w:rPr>
          <w:rtl/>
          <w:lang w:bidi="fa-IR"/>
        </w:rPr>
        <w:t xml:space="preserve"> في </w:t>
      </w:r>
      <w:r w:rsidR="00744A1C" w:rsidRPr="007B299E">
        <w:rPr>
          <w:rStyle w:val="libFootnoteBoldChar"/>
          <w:rtl/>
        </w:rPr>
        <w:t>كامل الزيارات</w:t>
      </w:r>
      <w:r w:rsidR="00744A1C">
        <w:rPr>
          <w:rtl/>
          <w:lang w:bidi="fa-IR"/>
        </w:rPr>
        <w:t xml:space="preserve"> ، ص 113 والمزار ، ص 24 : + « والأرض ». وفي </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والمزار ، ص 141 : + « ولا في الأرض ».</w:t>
      </w:r>
    </w:p>
    <w:p w:rsidR="00144FA6" w:rsidRDefault="00E378DD" w:rsidP="00E378DD">
      <w:pPr>
        <w:pStyle w:val="libFootnote0"/>
        <w:rPr>
          <w:rtl/>
          <w:lang w:bidi="fa-IR"/>
        </w:rPr>
      </w:pPr>
      <w:r>
        <w:rPr>
          <w:rtl/>
          <w:lang w:bidi="fa-IR"/>
        </w:rPr>
        <w:t>(7).</w:t>
      </w:r>
      <w:r w:rsidR="00744A1C">
        <w:rPr>
          <w:rtl/>
          <w:lang w:bidi="fa-IR"/>
        </w:rPr>
        <w:t xml:space="preserve"> ثواب الأعمال ، ص 119 ، ح 42 ، بسنده عن أحمد بن محمّد ، عن الحسن بن محبوب ، عن إسحاق بن عمّار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خمسة وعشرين ذراعاً من خلفه » مع اختلاف يسير. </w:t>
      </w:r>
      <w:r w:rsidR="00744A1C" w:rsidRPr="00C24F9C">
        <w:rPr>
          <w:rStyle w:val="libFootnoteBoldChar"/>
          <w:rtl/>
        </w:rPr>
        <w:t>التهذيب</w:t>
      </w:r>
      <w:r w:rsidR="00744A1C">
        <w:rPr>
          <w:rtl/>
          <w:lang w:bidi="fa-IR"/>
        </w:rPr>
        <w:t xml:space="preserve"> ، ج 6 ، ص 71 ، ح 134 ؛ </w:t>
      </w:r>
      <w:r w:rsidR="00744A1C" w:rsidRPr="007B299E">
        <w:rPr>
          <w:rStyle w:val="libFootnoteBoldChar"/>
          <w:rtl/>
        </w:rPr>
        <w:t>كامل الزيارات</w:t>
      </w:r>
      <w:r w:rsidR="00744A1C">
        <w:rPr>
          <w:rtl/>
          <w:lang w:bidi="fa-IR"/>
        </w:rPr>
        <w:t xml:space="preserve"> ، ص 113 ، الباب 39 ، ح 1 ، من قوله : « وليس من ملك ولانبيّ في السموات » ؛ وص 272 ، الباب 89 ، ح 4 ؛ </w:t>
      </w:r>
      <w:r w:rsidR="00744A1C" w:rsidRPr="00004EBC">
        <w:rPr>
          <w:rStyle w:val="libFootnoteBoldChar"/>
          <w:rtl/>
        </w:rPr>
        <w:t>كتاب المزار</w:t>
      </w:r>
      <w:r w:rsidR="00744A1C">
        <w:rPr>
          <w:rtl/>
          <w:lang w:bidi="fa-IR"/>
        </w:rPr>
        <w:t xml:space="preserve"> ، ص 24 ، ح 2 ؛ وص 141 ، ح 3 ، وفي كلّها بسند آخر عن الحسن بن</w:t>
      </w:r>
      <w:r w:rsidR="00004EBC">
        <w:rPr>
          <w:rFonts w:hint="cs"/>
          <w:rtl/>
          <w:lang w:bidi="fa-IR"/>
        </w:rPr>
        <w:t xml:space="preserve"> =</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8197 / 7. عَلِيُّ بْنُ مُحَمَّدٍ </w:t>
      </w:r>
      <w:r w:rsidRPr="00D10E3C">
        <w:rPr>
          <w:rStyle w:val="libFootnotenumChar"/>
          <w:rtl/>
        </w:rPr>
        <w:t>(1)</w:t>
      </w:r>
      <w:r>
        <w:rPr>
          <w:rtl/>
          <w:lang w:bidi="fa-IR"/>
        </w:rPr>
        <w:t xml:space="preserve"> رَفَعَهُ ، قَالَ :</w:t>
      </w:r>
    </w:p>
    <w:p w:rsidR="00144FA6" w:rsidRDefault="00744A1C" w:rsidP="00744A1C">
      <w:pPr>
        <w:pStyle w:val="libNormal"/>
        <w:rPr>
          <w:rtl/>
          <w:lang w:bidi="fa-IR"/>
        </w:rPr>
      </w:pPr>
      <w:r>
        <w:rPr>
          <w:rtl/>
          <w:lang w:bidi="fa-IR"/>
        </w:rPr>
        <w:t xml:space="preserve">قَالَ : « الْخَتْمُ </w:t>
      </w:r>
      <w:r w:rsidRPr="00D10E3C">
        <w:rPr>
          <w:rStyle w:val="libFootnotenumChar"/>
          <w:rtl/>
        </w:rPr>
        <w:t>(2)</w:t>
      </w:r>
      <w:r>
        <w:rPr>
          <w:rtl/>
          <w:lang w:bidi="fa-IR"/>
        </w:rPr>
        <w:t xml:space="preserve"> عَلى طِينِ قَبْرِ الْحُسَيْنِ </w:t>
      </w:r>
      <w:r w:rsidR="0061079A" w:rsidRPr="0061079A">
        <w:rPr>
          <w:rStyle w:val="libAlaemChar"/>
          <w:rtl/>
        </w:rPr>
        <w:t>عليه‌السلام</w:t>
      </w:r>
      <w:r w:rsidR="00D10E3C">
        <w:rPr>
          <w:rtl/>
          <w:lang w:bidi="fa-IR"/>
        </w:rPr>
        <w:t xml:space="preserve"> </w:t>
      </w:r>
      <w:r>
        <w:rPr>
          <w:rtl/>
          <w:lang w:bidi="fa-IR"/>
        </w:rPr>
        <w:t xml:space="preserve">أَنْ يُقْرَأَ </w:t>
      </w:r>
      <w:r w:rsidRPr="00D10E3C">
        <w:rPr>
          <w:rStyle w:val="libFootnotenumChar"/>
          <w:rtl/>
        </w:rPr>
        <w:t>(3)</w:t>
      </w:r>
      <w:r>
        <w:rPr>
          <w:rtl/>
          <w:lang w:bidi="fa-IR"/>
        </w:rPr>
        <w:t xml:space="preserve"> عَلَيْهِ : </w:t>
      </w:r>
      <w:r w:rsidRPr="00004EBC">
        <w:rPr>
          <w:rStyle w:val="libAlaemChar"/>
          <w:rtl/>
        </w:rPr>
        <w:t>(</w:t>
      </w:r>
      <w:r w:rsidRPr="00004EBC">
        <w:rPr>
          <w:rStyle w:val="libAieChar"/>
          <w:rtl/>
        </w:rPr>
        <w:t xml:space="preserve"> إِنّا أَنْزَلْناهُ فِي لَيْلَةٍ الْقَدْرِ</w:t>
      </w:r>
      <w:r w:rsidRPr="00004EBC">
        <w:rPr>
          <w:rStyle w:val="libAlaemChar"/>
          <w:rtl/>
        </w:rPr>
        <w:t>)</w:t>
      </w:r>
      <w:r>
        <w:rPr>
          <w:rtl/>
          <w:lang w:bidi="fa-IR"/>
        </w:rPr>
        <w:t xml:space="preserve">». </w:t>
      </w:r>
      <w:r w:rsidRPr="00D10E3C">
        <w:rPr>
          <w:rStyle w:val="libFootnotenumChar"/>
          <w:rtl/>
        </w:rPr>
        <w:t>(4)</w:t>
      </w:r>
    </w:p>
    <w:p w:rsidR="00144FA6" w:rsidRDefault="00004EBC" w:rsidP="00744A1C">
      <w:pPr>
        <w:pStyle w:val="libNormal"/>
        <w:rPr>
          <w:rtl/>
          <w:lang w:bidi="fa-IR"/>
        </w:rPr>
      </w:pPr>
      <w:r>
        <w:rPr>
          <w:rFonts w:hint="cs"/>
          <w:rtl/>
          <w:lang w:bidi="fa-IR"/>
        </w:rPr>
        <w:t xml:space="preserve">* </w:t>
      </w:r>
      <w:r w:rsidR="00744A1C">
        <w:rPr>
          <w:rtl/>
          <w:lang w:bidi="fa-IR"/>
        </w:rPr>
        <w:t xml:space="preserve">وَرُوِيَ : « إِذَا أَخَذْتَهُ ، فَقُلْ : بِسْمِ اللهِ </w:t>
      </w:r>
      <w:r w:rsidR="00744A1C" w:rsidRPr="00D10E3C">
        <w:rPr>
          <w:rStyle w:val="libFootnotenumChar"/>
          <w:rtl/>
        </w:rPr>
        <w:t>(5)</w:t>
      </w:r>
      <w:r w:rsidR="00744A1C">
        <w:rPr>
          <w:rtl/>
          <w:lang w:bidi="fa-IR"/>
        </w:rPr>
        <w:t xml:space="preserve"> ، الل</w:t>
      </w:r>
      <w:r>
        <w:rPr>
          <w:rFonts w:hint="cs"/>
          <w:rtl/>
          <w:lang w:bidi="fa-IR"/>
        </w:rPr>
        <w:t>َّ</w:t>
      </w:r>
      <w:r w:rsidR="00744A1C">
        <w:rPr>
          <w:rtl/>
          <w:lang w:bidi="fa-IR"/>
        </w:rPr>
        <w:t xml:space="preserve">هُمَّ بِحَقِّ هذِهِ التُّرْبَةِ الطَّاهِرَةِ ، وَبِحَقِّ الْبُقْعَةِ </w:t>
      </w:r>
      <w:r w:rsidR="00744A1C" w:rsidRPr="00D10E3C">
        <w:rPr>
          <w:rStyle w:val="libFootnotenumChar"/>
          <w:rtl/>
        </w:rPr>
        <w:t>(6)</w:t>
      </w:r>
      <w:r w:rsidR="00744A1C">
        <w:rPr>
          <w:rtl/>
          <w:lang w:bidi="fa-IR"/>
        </w:rPr>
        <w:t xml:space="preserve"> الطَّيِّبَةِ ، وَبِحَقِّ الْوَصِيِّ الَّذِي تُوَارِيهِ ، وَبِحَقِّ جَدِّهِ وَأَبِيهِ </w:t>
      </w:r>
      <w:r w:rsidR="00744A1C" w:rsidRPr="00D10E3C">
        <w:rPr>
          <w:rStyle w:val="libFootnotenumChar"/>
          <w:rtl/>
        </w:rPr>
        <w:t>(7)</w:t>
      </w:r>
      <w:r w:rsidR="00744A1C">
        <w:rPr>
          <w:rtl/>
          <w:lang w:bidi="fa-IR"/>
        </w:rPr>
        <w:t xml:space="preserve"> وَأَخِيهِ ، وَالْمَلَائِكَةِ الَّذِينَ يَحُفُّونَ بِهِ ، وَالْمَلَائِكَةِ الْعُكُوفِ عَلى قَبْرِ وَلِيِّكَ يَنْتَظِرُونَ نَصْرَهُ - صَلَّى اللهُ عَلَيْهِمْ أَجْمَعِينَ - اجْعَلْ لِي فِيهِ شِفَاءً مِنْ كُلِّ دَاءٍ ، وَأَمَاناً مِنْ كُلِّ خَوْفٍ </w:t>
      </w:r>
      <w:r w:rsidR="00744A1C" w:rsidRPr="00D10E3C">
        <w:rPr>
          <w:rStyle w:val="libFootnotenumChar"/>
          <w:rtl/>
        </w:rPr>
        <w:t>(8)</w:t>
      </w:r>
      <w:r w:rsidR="00744A1C">
        <w:rPr>
          <w:rtl/>
          <w:lang w:bidi="fa-IR"/>
        </w:rPr>
        <w:t xml:space="preserve"> ، وَعِزّاً مِنْ كُلِّ ذُلٍّ ، وَأَوْسِعْ </w:t>
      </w:r>
      <w:r w:rsidR="00744A1C" w:rsidRPr="00D10E3C">
        <w:rPr>
          <w:rStyle w:val="libFootnotenumChar"/>
          <w:rtl/>
        </w:rPr>
        <w:t>(9)</w:t>
      </w:r>
      <w:r w:rsidR="00744A1C">
        <w:rPr>
          <w:rtl/>
          <w:lang w:bidi="fa-IR"/>
        </w:rPr>
        <w:t xml:space="preserve"> بِهِ </w:t>
      </w:r>
      <w:r w:rsidR="00744A1C" w:rsidRPr="00D10E3C">
        <w:rPr>
          <w:rStyle w:val="libFootnotenumChar"/>
          <w:rtl/>
        </w:rPr>
        <w:t>(10)</w:t>
      </w:r>
      <w:r w:rsidR="00744A1C">
        <w:rPr>
          <w:rtl/>
          <w:lang w:bidi="fa-IR"/>
        </w:rPr>
        <w:t xml:space="preserve"> عَلَيَّ </w:t>
      </w:r>
      <w:r w:rsidR="00744A1C" w:rsidRPr="00D10E3C">
        <w:rPr>
          <w:rStyle w:val="libFootnotenumChar"/>
          <w:rtl/>
        </w:rPr>
        <w:t>(11)</w:t>
      </w:r>
      <w:r w:rsidR="00744A1C">
        <w:rPr>
          <w:rtl/>
          <w:lang w:bidi="fa-IR"/>
        </w:rPr>
        <w:t xml:space="preserve"> فِي رِزْقِي ، وَأَصِحَّ بِهِ جِسْمِي ». </w:t>
      </w:r>
      <w:r w:rsidR="00744A1C" w:rsidRPr="00D10E3C">
        <w:rPr>
          <w:rStyle w:val="libFootnotenumChar"/>
          <w:rtl/>
        </w:rPr>
        <w:t>(12)</w:t>
      </w:r>
    </w:p>
    <w:p w:rsidR="00744A1C" w:rsidRDefault="00744A1C" w:rsidP="00744A1C">
      <w:pPr>
        <w:pStyle w:val="libNormal"/>
        <w:rPr>
          <w:lang w:bidi="fa-IR"/>
        </w:rPr>
      </w:pPr>
      <w:r>
        <w:rPr>
          <w:rtl/>
          <w:lang w:bidi="fa-IR"/>
        </w:rPr>
        <w:t xml:space="preserve">8198 / 8. مُحَمَّدُ بْنُ يَحْيى ، عَنْ سَلَمَةَ بْنِ الْخَطَّابِ ، عَنْ عَبْدِ اللهِ </w:t>
      </w:r>
      <w:r w:rsidRPr="00D10E3C">
        <w:rPr>
          <w:rStyle w:val="libFootnotenumChar"/>
          <w:rtl/>
        </w:rPr>
        <w:t>(13)</w:t>
      </w:r>
      <w:r>
        <w:rPr>
          <w:rtl/>
          <w:lang w:bidi="fa-IR"/>
        </w:rPr>
        <w:t xml:space="preserve"> بْنِ الْخَطَّابِ ، عَنْ‌</w:t>
      </w:r>
    </w:p>
    <w:p w:rsidR="00744A1C" w:rsidRDefault="00744A1C" w:rsidP="00D10E3C">
      <w:pPr>
        <w:pStyle w:val="libLine"/>
        <w:rPr>
          <w:lang w:bidi="fa-IR"/>
        </w:rPr>
      </w:pPr>
      <w:r>
        <w:rPr>
          <w:rtl/>
          <w:lang w:bidi="fa-IR"/>
        </w:rPr>
        <w:t>____________________</w:t>
      </w:r>
    </w:p>
    <w:p w:rsidR="00744A1C" w:rsidRDefault="00004EBC" w:rsidP="00D10E3C">
      <w:pPr>
        <w:pStyle w:val="libFootnote0"/>
        <w:rPr>
          <w:lang w:bidi="fa-IR"/>
        </w:rPr>
      </w:pPr>
      <w:r>
        <w:rPr>
          <w:rFonts w:hint="cs"/>
          <w:rtl/>
          <w:lang w:bidi="fa-IR"/>
        </w:rPr>
        <w:t xml:space="preserve">= </w:t>
      </w:r>
      <w:r w:rsidR="00744A1C">
        <w:rPr>
          <w:rtl/>
          <w:lang w:bidi="fa-IR"/>
        </w:rPr>
        <w:t xml:space="preserve">محبوب ، عن إسحاق بن عمّار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Pr>
          <w:rFonts w:hint="cs"/>
          <w:rtl/>
          <w:lang w:bidi="fa-IR"/>
        </w:rPr>
        <w:t>.</w:t>
      </w:r>
      <w:r w:rsidR="00744A1C" w:rsidRPr="00C24F9C">
        <w:rPr>
          <w:rStyle w:val="libFootnoteBoldChar"/>
          <w:rtl/>
        </w:rPr>
        <w:t>الوافي</w:t>
      </w:r>
      <w:r w:rsidR="00744A1C">
        <w:rPr>
          <w:rtl/>
          <w:lang w:bidi="fa-IR"/>
        </w:rPr>
        <w:t xml:space="preserve"> ، ج 14 ، ص 1519 ، ح 14593 ؛ </w:t>
      </w:r>
      <w:r w:rsidR="00744A1C" w:rsidRPr="00C24F9C">
        <w:rPr>
          <w:rStyle w:val="libFootnoteBoldChar"/>
          <w:rtl/>
        </w:rPr>
        <w:t>الوسائل</w:t>
      </w:r>
      <w:r w:rsidR="00744A1C">
        <w:rPr>
          <w:rtl/>
          <w:lang w:bidi="fa-IR"/>
        </w:rPr>
        <w:t xml:space="preserve"> ، ج 14 ، ص 512 ، ح 19714 ؛ </w:t>
      </w:r>
      <w:r w:rsidR="00744A1C" w:rsidRPr="0061079A">
        <w:rPr>
          <w:rStyle w:val="libFootnoteBoldChar"/>
          <w:rtl/>
        </w:rPr>
        <w:t>البحار</w:t>
      </w:r>
      <w:r w:rsidR="00744A1C">
        <w:rPr>
          <w:rtl/>
          <w:lang w:bidi="fa-IR"/>
        </w:rPr>
        <w:t xml:space="preserve"> ، ج 101 ، ص 110 ، ح 21.</w:t>
      </w:r>
    </w:p>
    <w:p w:rsidR="00744A1C" w:rsidRDefault="00D10E3C" w:rsidP="00D10E3C">
      <w:pPr>
        <w:pStyle w:val="libFootnote0"/>
        <w:rPr>
          <w:lang w:bidi="fa-IR"/>
        </w:rPr>
      </w:pPr>
      <w:r>
        <w:rPr>
          <w:rtl/>
          <w:lang w:bidi="fa-IR"/>
        </w:rPr>
        <w:t>(1).</w:t>
      </w:r>
      <w:r w:rsidR="00744A1C">
        <w:rPr>
          <w:rtl/>
          <w:lang w:bidi="fa-IR"/>
        </w:rPr>
        <w:t xml:space="preserve"> في </w:t>
      </w:r>
      <w:r w:rsidR="00744A1C" w:rsidRPr="00004EBC">
        <w:rPr>
          <w:rtl/>
        </w:rPr>
        <w:t>البحار وكامل الزيارات</w:t>
      </w:r>
      <w:r w:rsidR="00744A1C">
        <w:rPr>
          <w:rtl/>
          <w:lang w:bidi="fa-IR"/>
        </w:rPr>
        <w:t xml:space="preserve"> : « محمّد بن عليّ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لعلّ المراد بالختم عليه ما يتمّ به فائدته. قال الجوهري : قوله تعالى : </w:t>
      </w:r>
      <w:r w:rsidR="00744A1C" w:rsidRPr="00004EBC">
        <w:rPr>
          <w:rStyle w:val="libFootnoteAlaemChar"/>
          <w:rtl/>
        </w:rPr>
        <w:t>(</w:t>
      </w:r>
      <w:r w:rsidR="00744A1C" w:rsidRPr="00004EBC">
        <w:rPr>
          <w:rStyle w:val="libFootnoteAieChar"/>
          <w:rtl/>
        </w:rPr>
        <w:t xml:space="preserve"> خِتامُهُ مِسْكٌ </w:t>
      </w:r>
      <w:r w:rsidR="00744A1C" w:rsidRPr="00004EBC">
        <w:rPr>
          <w:rStyle w:val="libFootnoteAlaemChar"/>
          <w:rtl/>
        </w:rPr>
        <w:t>)</w:t>
      </w:r>
      <w:r w:rsidR="00744A1C">
        <w:rPr>
          <w:rtl/>
          <w:lang w:bidi="fa-IR"/>
        </w:rPr>
        <w:t xml:space="preserve"> [ المطفّفين : 26 ] ، أي آخره ؛ لأنّ آخر ما يجدونه رائحة المسك ». وراجع : </w:t>
      </w:r>
      <w:r w:rsidR="00744A1C" w:rsidRPr="00E978C3">
        <w:rPr>
          <w:rStyle w:val="libFootnoteBoldChar"/>
          <w:rtl/>
        </w:rPr>
        <w:t>الصحاح</w:t>
      </w:r>
      <w:r w:rsidR="00744A1C">
        <w:rPr>
          <w:rtl/>
          <w:lang w:bidi="fa-IR"/>
        </w:rPr>
        <w:t xml:space="preserve"> ، ج 5 ، ص 1908 ( ختم ).</w:t>
      </w:r>
    </w:p>
    <w:p w:rsidR="00744A1C" w:rsidRDefault="00E378DD" w:rsidP="00E378DD">
      <w:pPr>
        <w:pStyle w:val="libFootnote0"/>
        <w:rPr>
          <w:lang w:bidi="fa-IR"/>
        </w:rPr>
      </w:pPr>
      <w:r>
        <w:rPr>
          <w:rtl/>
          <w:lang w:bidi="fa-IR"/>
        </w:rPr>
        <w:t>(3).</w:t>
      </w:r>
      <w:r w:rsidR="00744A1C">
        <w:rPr>
          <w:rtl/>
          <w:lang w:bidi="fa-IR"/>
        </w:rPr>
        <w:t xml:space="preserve"> في « بف ، جد » : « أن تقرأ ».</w:t>
      </w:r>
    </w:p>
    <w:p w:rsidR="00744A1C" w:rsidRDefault="00E378DD" w:rsidP="00E378DD">
      <w:pPr>
        <w:pStyle w:val="libFootnote0"/>
        <w:rPr>
          <w:lang w:bidi="fa-IR"/>
        </w:rPr>
      </w:pPr>
      <w:r>
        <w:rPr>
          <w:rtl/>
          <w:lang w:bidi="fa-IR"/>
        </w:rPr>
        <w:t>(4).</w:t>
      </w:r>
      <w:r w:rsidR="00744A1C">
        <w:rPr>
          <w:rtl/>
          <w:lang w:bidi="fa-IR"/>
        </w:rPr>
        <w:t xml:space="preserve"> </w:t>
      </w:r>
      <w:r w:rsidR="00744A1C" w:rsidRPr="007B299E">
        <w:rPr>
          <w:rStyle w:val="libFootnoteBoldChar"/>
          <w:rtl/>
        </w:rPr>
        <w:t>كامل الزيارات</w:t>
      </w:r>
      <w:r w:rsidR="00744A1C">
        <w:rPr>
          <w:rtl/>
          <w:lang w:bidi="fa-IR"/>
        </w:rPr>
        <w:t xml:space="preserve"> ، ص 281 ، الباب 93 ، ح 7 ، عن محمّد بن يعقوب </w:t>
      </w:r>
      <w:r w:rsidR="00004EBC">
        <w:rPr>
          <w:rFonts w:hint="cs"/>
          <w:rtl/>
          <w:lang w:bidi="fa-IR"/>
        </w:rPr>
        <w:t>.</w:t>
      </w:r>
      <w:r w:rsidR="00744A1C" w:rsidRPr="00C24F9C">
        <w:rPr>
          <w:rStyle w:val="libFootnoteBoldChar"/>
          <w:rtl/>
        </w:rPr>
        <w:t>الوافي</w:t>
      </w:r>
      <w:r w:rsidR="00744A1C">
        <w:rPr>
          <w:rtl/>
          <w:lang w:bidi="fa-IR"/>
        </w:rPr>
        <w:t xml:space="preserve"> ، ج 14 ، ص 1527 ، ح 14609 ؛ </w:t>
      </w:r>
      <w:r w:rsidR="00744A1C" w:rsidRPr="00C24F9C">
        <w:rPr>
          <w:rStyle w:val="libFootnoteBoldChar"/>
          <w:rtl/>
        </w:rPr>
        <w:t>الوسائل</w:t>
      </w:r>
      <w:r w:rsidR="00744A1C">
        <w:rPr>
          <w:rtl/>
          <w:lang w:bidi="fa-IR"/>
        </w:rPr>
        <w:t xml:space="preserve"> ، ج 14 ، ص 522 ، ح 19738 ؛ </w:t>
      </w:r>
      <w:r w:rsidR="00744A1C" w:rsidRPr="0061079A">
        <w:rPr>
          <w:rStyle w:val="libFootnoteBoldChar"/>
          <w:rtl/>
        </w:rPr>
        <w:t>البحار</w:t>
      </w:r>
      <w:r w:rsidR="00744A1C">
        <w:rPr>
          <w:rtl/>
          <w:lang w:bidi="fa-IR"/>
        </w:rPr>
        <w:t xml:space="preserve"> ، ج 101 ، ص 127 ، ح 36.</w:t>
      </w:r>
    </w:p>
    <w:p w:rsidR="00744A1C" w:rsidRDefault="00E378DD" w:rsidP="00E378DD">
      <w:pPr>
        <w:pStyle w:val="libFootnote0"/>
        <w:rPr>
          <w:lang w:bidi="fa-IR"/>
        </w:rPr>
      </w:pPr>
      <w:r>
        <w:rPr>
          <w:rtl/>
          <w:lang w:bidi="fa-IR"/>
        </w:rPr>
        <w:t>(5).</w:t>
      </w:r>
      <w:r w:rsidR="00744A1C">
        <w:rPr>
          <w:rtl/>
          <w:lang w:bidi="fa-IR"/>
        </w:rPr>
        <w:t xml:space="preserve"> في « بح » </w:t>
      </w:r>
      <w:r w:rsidR="00744A1C" w:rsidRPr="00004EBC">
        <w:rPr>
          <w:rtl/>
        </w:rPr>
        <w:t>وكامل الزيارات</w:t>
      </w:r>
      <w:r w:rsidR="00744A1C">
        <w:rPr>
          <w:rtl/>
          <w:lang w:bidi="fa-IR"/>
        </w:rPr>
        <w:t xml:space="preserve"> : - « بسم الله ».</w:t>
      </w:r>
    </w:p>
    <w:p w:rsidR="00744A1C" w:rsidRDefault="00E378DD" w:rsidP="00E378DD">
      <w:pPr>
        <w:pStyle w:val="libFootnote0"/>
        <w:rPr>
          <w:lang w:bidi="fa-IR"/>
        </w:rPr>
      </w:pPr>
      <w:r>
        <w:rPr>
          <w:rtl/>
          <w:lang w:bidi="fa-IR"/>
        </w:rPr>
        <w:t>(6).</w:t>
      </w:r>
      <w:r w:rsidR="00744A1C">
        <w:rPr>
          <w:rtl/>
          <w:lang w:bidi="fa-IR"/>
        </w:rPr>
        <w:t xml:space="preserve"> في </w:t>
      </w:r>
      <w:r w:rsidR="00744A1C" w:rsidRPr="00004EBC">
        <w:rPr>
          <w:rtl/>
        </w:rPr>
        <w:t>البحار</w:t>
      </w:r>
      <w:r w:rsidR="00744A1C">
        <w:rPr>
          <w:rtl/>
          <w:lang w:bidi="fa-IR"/>
        </w:rPr>
        <w:t xml:space="preserve"> : + « المباركة ».</w:t>
      </w:r>
    </w:p>
    <w:p w:rsidR="00744A1C" w:rsidRDefault="00E378DD" w:rsidP="00E378DD">
      <w:pPr>
        <w:pStyle w:val="libFootnote0"/>
        <w:rPr>
          <w:lang w:bidi="fa-IR"/>
        </w:rPr>
      </w:pPr>
      <w:r>
        <w:rPr>
          <w:rtl/>
          <w:lang w:bidi="fa-IR"/>
        </w:rPr>
        <w:t>(7).</w:t>
      </w:r>
      <w:r w:rsidR="00744A1C">
        <w:rPr>
          <w:rtl/>
          <w:lang w:bidi="fa-IR"/>
        </w:rPr>
        <w:t xml:space="preserve"> هكذا في جميع </w:t>
      </w:r>
      <w:r w:rsidR="00744A1C" w:rsidRPr="00004EBC">
        <w:rPr>
          <w:rtl/>
        </w:rPr>
        <w:t>النسخ والوافي</w:t>
      </w:r>
      <w:r w:rsidR="00744A1C">
        <w:rPr>
          <w:rtl/>
          <w:lang w:bidi="fa-IR"/>
        </w:rPr>
        <w:t>. وفي المطبوع : + « وا</w:t>
      </w:r>
      <w:r w:rsidR="00004EBC">
        <w:rPr>
          <w:rFonts w:hint="cs"/>
          <w:rtl/>
          <w:lang w:bidi="fa-IR"/>
        </w:rPr>
        <w:t>ُ</w:t>
      </w:r>
      <w:r w:rsidR="00744A1C">
        <w:rPr>
          <w:rtl/>
          <w:lang w:bidi="fa-IR"/>
        </w:rPr>
        <w:t>مّه ».</w:t>
      </w:r>
    </w:p>
    <w:p w:rsidR="00744A1C" w:rsidRDefault="00E378DD" w:rsidP="00E378DD">
      <w:pPr>
        <w:pStyle w:val="libFootnote0"/>
        <w:rPr>
          <w:lang w:bidi="fa-IR"/>
        </w:rPr>
      </w:pPr>
      <w:r>
        <w:rPr>
          <w:rtl/>
          <w:lang w:bidi="fa-IR"/>
        </w:rPr>
        <w:t>(8).</w:t>
      </w:r>
      <w:r w:rsidR="00744A1C">
        <w:rPr>
          <w:rtl/>
          <w:lang w:bidi="fa-IR"/>
        </w:rPr>
        <w:t xml:space="preserve"> في </w:t>
      </w:r>
      <w:r w:rsidR="00744A1C" w:rsidRPr="00004EBC">
        <w:rPr>
          <w:rtl/>
        </w:rPr>
        <w:t>البحار وكامل الزيارات</w:t>
      </w:r>
      <w:r w:rsidR="00744A1C">
        <w:rPr>
          <w:rtl/>
          <w:lang w:bidi="fa-IR"/>
        </w:rPr>
        <w:t xml:space="preserve"> : + « وغنى من كلّ فقر ».</w:t>
      </w:r>
    </w:p>
    <w:tbl>
      <w:tblPr>
        <w:tblStyle w:val="TableGrid"/>
        <w:bidiVisual/>
        <w:tblW w:w="0" w:type="auto"/>
        <w:tblLook w:val="04A0" w:firstRow="1" w:lastRow="0" w:firstColumn="1" w:lastColumn="0" w:noHBand="0" w:noVBand="1"/>
      </w:tblPr>
      <w:tblGrid>
        <w:gridCol w:w="4006"/>
        <w:gridCol w:w="4006"/>
      </w:tblGrid>
      <w:tr w:rsidR="00004EBC" w:rsidTr="00004EBC">
        <w:tc>
          <w:tcPr>
            <w:tcW w:w="4006" w:type="dxa"/>
          </w:tcPr>
          <w:p w:rsidR="00004EBC" w:rsidRDefault="00004EBC" w:rsidP="00E378DD">
            <w:pPr>
              <w:pStyle w:val="libFootnote0"/>
              <w:rPr>
                <w:rtl/>
                <w:lang w:bidi="fa-IR"/>
              </w:rPr>
            </w:pPr>
            <w:r>
              <w:rPr>
                <w:rtl/>
                <w:lang w:bidi="fa-IR"/>
              </w:rPr>
              <w:t>(9). في « بف » : « ووسّع ».</w:t>
            </w:r>
          </w:p>
        </w:tc>
        <w:tc>
          <w:tcPr>
            <w:tcW w:w="4006" w:type="dxa"/>
          </w:tcPr>
          <w:p w:rsidR="00004EBC" w:rsidRDefault="00004EBC" w:rsidP="00E378DD">
            <w:pPr>
              <w:pStyle w:val="libFootnote0"/>
              <w:rPr>
                <w:rtl/>
                <w:lang w:bidi="fa-IR"/>
              </w:rPr>
            </w:pPr>
            <w:r>
              <w:rPr>
                <w:rtl/>
                <w:lang w:bidi="fa-IR"/>
              </w:rPr>
              <w:t xml:space="preserve">(10). في « بف » </w:t>
            </w:r>
            <w:r w:rsidRPr="00004EBC">
              <w:rPr>
                <w:rtl/>
              </w:rPr>
              <w:t>والوافي</w:t>
            </w:r>
            <w:r>
              <w:rPr>
                <w:rtl/>
                <w:lang w:bidi="fa-IR"/>
              </w:rPr>
              <w:t xml:space="preserve"> : - « به ».</w:t>
            </w:r>
          </w:p>
        </w:tc>
      </w:tr>
    </w:tbl>
    <w:p w:rsidR="00744A1C" w:rsidRDefault="00E378DD" w:rsidP="00E378DD">
      <w:pPr>
        <w:pStyle w:val="libFootnote0"/>
        <w:rPr>
          <w:lang w:bidi="fa-IR"/>
        </w:rPr>
      </w:pPr>
      <w:r>
        <w:rPr>
          <w:rtl/>
          <w:lang w:bidi="fa-IR"/>
        </w:rPr>
        <w:t>(11).</w:t>
      </w:r>
      <w:r w:rsidR="00744A1C">
        <w:rPr>
          <w:rtl/>
          <w:lang w:bidi="fa-IR"/>
        </w:rPr>
        <w:t xml:space="preserve"> في « بح » : - « عليّ ». وفي « ى ، بث ، بخ ، جن » : « عليّ به ».</w:t>
      </w:r>
    </w:p>
    <w:p w:rsidR="00744A1C" w:rsidRDefault="00E378DD" w:rsidP="00E378DD">
      <w:pPr>
        <w:pStyle w:val="libFootnote0"/>
        <w:rPr>
          <w:lang w:bidi="fa-IR"/>
        </w:rPr>
      </w:pPr>
      <w:r>
        <w:rPr>
          <w:rtl/>
          <w:lang w:bidi="fa-IR"/>
        </w:rPr>
        <w:t>(12).</w:t>
      </w:r>
      <w:r w:rsidR="00744A1C">
        <w:rPr>
          <w:rtl/>
          <w:lang w:bidi="fa-IR"/>
        </w:rPr>
        <w:t xml:space="preserve"> </w:t>
      </w:r>
      <w:r w:rsidR="00744A1C" w:rsidRPr="007B299E">
        <w:rPr>
          <w:rStyle w:val="libFootnoteBoldChar"/>
          <w:rtl/>
        </w:rPr>
        <w:t>كامل الزيارات</w:t>
      </w:r>
      <w:r w:rsidR="00744A1C">
        <w:rPr>
          <w:rtl/>
          <w:lang w:bidi="fa-IR"/>
        </w:rPr>
        <w:t xml:space="preserve"> ، ص 281 ، الباب 93 ، ح 8 بلفظ « روي » </w:t>
      </w:r>
      <w:r w:rsidR="00004EBC">
        <w:rPr>
          <w:rFonts w:hint="cs"/>
          <w:rtl/>
          <w:lang w:bidi="fa-IR"/>
        </w:rPr>
        <w:t>.</w:t>
      </w:r>
      <w:r w:rsidR="00744A1C" w:rsidRPr="00C24F9C">
        <w:rPr>
          <w:rStyle w:val="libFootnoteBoldChar"/>
          <w:rtl/>
        </w:rPr>
        <w:t>الوافي</w:t>
      </w:r>
      <w:r w:rsidR="00744A1C">
        <w:rPr>
          <w:rtl/>
          <w:lang w:bidi="fa-IR"/>
        </w:rPr>
        <w:t xml:space="preserve"> ، ج 14 ، ص 1527 ، ح 14610 ؛ </w:t>
      </w:r>
      <w:r w:rsidR="00744A1C" w:rsidRPr="00C24F9C">
        <w:rPr>
          <w:rStyle w:val="libFootnoteBoldChar"/>
          <w:rtl/>
        </w:rPr>
        <w:t>الوسائل</w:t>
      </w:r>
      <w:r w:rsidR="00744A1C">
        <w:rPr>
          <w:rtl/>
          <w:lang w:bidi="fa-IR"/>
        </w:rPr>
        <w:t xml:space="preserve"> ، ج 14 ، ص 522 ، ح 19739 ؛ </w:t>
      </w:r>
      <w:r w:rsidR="00744A1C" w:rsidRPr="0061079A">
        <w:rPr>
          <w:rStyle w:val="libFootnoteBoldChar"/>
          <w:rtl/>
        </w:rPr>
        <w:t>البحار</w:t>
      </w:r>
      <w:r w:rsidR="00744A1C">
        <w:rPr>
          <w:rtl/>
          <w:lang w:bidi="fa-IR"/>
        </w:rPr>
        <w:t xml:space="preserve"> ، ج 101 ، ص 127 ، ح 37.</w:t>
      </w:r>
    </w:p>
    <w:p w:rsidR="00744A1C" w:rsidRDefault="00E378DD" w:rsidP="00E378DD">
      <w:pPr>
        <w:pStyle w:val="libFootnote0"/>
        <w:rPr>
          <w:lang w:bidi="fa-IR"/>
        </w:rPr>
      </w:pPr>
      <w:r>
        <w:rPr>
          <w:rtl/>
          <w:lang w:bidi="fa-IR"/>
        </w:rPr>
        <w:t>(13).</w:t>
      </w:r>
      <w:r w:rsidR="00744A1C">
        <w:rPr>
          <w:rtl/>
          <w:lang w:bidi="fa-IR"/>
        </w:rPr>
        <w:t xml:space="preserve"> في </w:t>
      </w:r>
      <w:r w:rsidR="00744A1C" w:rsidRPr="00004EBC">
        <w:rPr>
          <w:rtl/>
        </w:rPr>
        <w:t>البحار والتهذيب</w:t>
      </w:r>
      <w:r w:rsidR="00744A1C">
        <w:rPr>
          <w:rtl/>
          <w:lang w:bidi="fa-IR"/>
        </w:rPr>
        <w:t xml:space="preserve"> : - « عبدالله ».</w:t>
      </w:r>
    </w:p>
    <w:p w:rsidR="00150943" w:rsidRDefault="00150943" w:rsidP="00D10E3C">
      <w:pPr>
        <w:pStyle w:val="libNormal"/>
        <w:rPr>
          <w:rtl/>
          <w:lang w:bidi="fa-IR"/>
        </w:rPr>
      </w:pPr>
      <w:r>
        <w:rPr>
          <w:rtl/>
          <w:lang w:bidi="fa-IR"/>
        </w:rPr>
        <w:br w:type="page"/>
      </w:r>
    </w:p>
    <w:p w:rsidR="00144FA6" w:rsidRDefault="00744A1C" w:rsidP="00004EBC">
      <w:pPr>
        <w:pStyle w:val="libNormal0"/>
        <w:rPr>
          <w:rtl/>
          <w:lang w:bidi="fa-IR"/>
        </w:rPr>
      </w:pPr>
      <w:r>
        <w:rPr>
          <w:rtl/>
          <w:lang w:bidi="fa-IR"/>
        </w:rPr>
        <w:lastRenderedPageBreak/>
        <w:t xml:space="preserve">عَبْدِ اللهِ بْنِ مُحَمَّدِ بْنِ سِنَانٍ </w:t>
      </w:r>
      <w:r w:rsidRPr="00D10E3C">
        <w:rPr>
          <w:rStyle w:val="libFootnotenumChar"/>
          <w:rtl/>
        </w:rPr>
        <w:t>(1)</w:t>
      </w:r>
      <w:r>
        <w:rPr>
          <w:rtl/>
          <w:lang w:bidi="fa-IR"/>
        </w:rPr>
        <w:t xml:space="preserve"> ، عَنْ مَنِيعٍ </w:t>
      </w:r>
      <w:r w:rsidRPr="00D10E3C">
        <w:rPr>
          <w:rStyle w:val="libFootnotenumChar"/>
          <w:rtl/>
        </w:rPr>
        <w:t>(2)</w:t>
      </w:r>
      <w:r>
        <w:rPr>
          <w:rtl/>
          <w:lang w:bidi="fa-IR"/>
        </w:rPr>
        <w:t xml:space="preserve"> ، عَنْ يُونُسَ بْنِ عَبْدِ الرَّحْمنِ ، عَنْ حَنَانٍ </w:t>
      </w:r>
      <w:r w:rsidRPr="00D10E3C">
        <w:rPr>
          <w:rStyle w:val="libFootnotenumChar"/>
          <w:rtl/>
        </w:rPr>
        <w:t>(3)</w:t>
      </w:r>
      <w:r>
        <w:rPr>
          <w:rtl/>
          <w:lang w:bidi="fa-IR"/>
        </w:rPr>
        <w:t xml:space="preserve"> ، عَنْ أَبِيهِ ، قَالَ :</w:t>
      </w:r>
    </w:p>
    <w:p w:rsidR="00744A1C" w:rsidRDefault="00744A1C" w:rsidP="00744A1C">
      <w:pPr>
        <w:pStyle w:val="libNormal"/>
        <w:rPr>
          <w:lang w:bidi="fa-IR"/>
        </w:rPr>
      </w:pPr>
      <w:r>
        <w:rPr>
          <w:rtl/>
          <w:lang w:bidi="fa-IR"/>
        </w:rPr>
        <w:t xml:space="preserve">قَالَ </w:t>
      </w:r>
      <w:r w:rsidRPr="00D10E3C">
        <w:rPr>
          <w:rStyle w:val="libFootnotenumChar"/>
          <w:rtl/>
        </w:rPr>
        <w:t>(4)</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يَا سَدِيرُ ، تَزُورُ قَبْرَ </w:t>
      </w:r>
      <w:r w:rsidRPr="00D10E3C">
        <w:rPr>
          <w:rStyle w:val="libFootnotenumChar"/>
          <w:rtl/>
        </w:rPr>
        <w:t>(5)</w:t>
      </w:r>
      <w:r>
        <w:rPr>
          <w:rtl/>
          <w:lang w:bidi="fa-IR"/>
        </w:rPr>
        <w:t xml:space="preserve"> الْحُسَيْنِ </w:t>
      </w:r>
      <w:r w:rsidR="0061079A" w:rsidRPr="0061079A">
        <w:rPr>
          <w:rStyle w:val="libAlaemChar"/>
          <w:rtl/>
        </w:rPr>
        <w:t>عليه‌السلام</w:t>
      </w:r>
      <w:r w:rsidR="00D10E3C">
        <w:rPr>
          <w:rtl/>
          <w:lang w:bidi="fa-IR"/>
        </w:rPr>
        <w:t xml:space="preserve"> </w:t>
      </w:r>
      <w:r>
        <w:rPr>
          <w:rtl/>
          <w:lang w:bidi="fa-IR"/>
        </w:rPr>
        <w:t xml:space="preserve">فِي كُلِّ يَوْمٍ؟ » قُلْتُ : جُعِلْتُ فِدَاكَ </w:t>
      </w:r>
      <w:r w:rsidRPr="00D10E3C">
        <w:rPr>
          <w:rStyle w:val="libFootnotenumChar"/>
          <w:rtl/>
        </w:rPr>
        <w:t>(6)</w:t>
      </w:r>
      <w:r>
        <w:rPr>
          <w:rtl/>
          <w:lang w:bidi="fa-IR"/>
        </w:rPr>
        <w:t xml:space="preserve"> ، لَا ، قَالَ : « فَمَا </w:t>
      </w:r>
      <w:r w:rsidRPr="00D10E3C">
        <w:rPr>
          <w:rStyle w:val="libFootnotenumChar"/>
          <w:rtl/>
        </w:rPr>
        <w:t>(7)</w:t>
      </w:r>
      <w:r>
        <w:rPr>
          <w:rtl/>
          <w:lang w:bidi="fa-IR"/>
        </w:rPr>
        <w:t xml:space="preserve"> أَجْفَاكُمْ! » قَالَ </w:t>
      </w:r>
      <w:r w:rsidRPr="00D10E3C">
        <w:rPr>
          <w:rStyle w:val="libFootnotenumChar"/>
          <w:rtl/>
        </w:rPr>
        <w:t>(8)</w:t>
      </w:r>
      <w:r>
        <w:rPr>
          <w:rtl/>
          <w:lang w:bidi="fa-IR"/>
        </w:rPr>
        <w:t xml:space="preserve"> : « فَتَزُورُونَهُ فِي كُلِّ جُمْعَةٍ؟ » قُلْتُ : لَا ، قَالَ </w:t>
      </w:r>
      <w:r w:rsidRPr="00D10E3C">
        <w:rPr>
          <w:rStyle w:val="libFootnotenumChar"/>
          <w:rtl/>
        </w:rPr>
        <w:t>(9)</w:t>
      </w:r>
      <w:r>
        <w:rPr>
          <w:rtl/>
          <w:lang w:bidi="fa-IR"/>
        </w:rPr>
        <w:t xml:space="preserve"> : « فَتَزُورُونَهُ </w:t>
      </w:r>
      <w:r w:rsidRPr="00D10E3C">
        <w:rPr>
          <w:rStyle w:val="libFootnotenumChar"/>
          <w:rtl/>
        </w:rPr>
        <w:t>(10)</w:t>
      </w:r>
      <w:r>
        <w:rPr>
          <w:rtl/>
          <w:lang w:bidi="fa-IR"/>
        </w:rPr>
        <w:t xml:space="preserve"> فِي كُلِّ شَهْرٍ </w:t>
      </w:r>
      <w:r w:rsidRPr="00D10E3C">
        <w:rPr>
          <w:rStyle w:val="libFootnotenumChar"/>
          <w:rtl/>
        </w:rPr>
        <w:t>(11)</w:t>
      </w:r>
      <w:r>
        <w:rPr>
          <w:rtl/>
          <w:lang w:bidi="fa-IR"/>
        </w:rPr>
        <w:t xml:space="preserve">؟ » قُلْتُ : لَا ، قَالَ : « فَتَزُورُونَهُ </w:t>
      </w:r>
      <w:r w:rsidRPr="00D10E3C">
        <w:rPr>
          <w:rStyle w:val="libFootnotenumChar"/>
          <w:rtl/>
        </w:rPr>
        <w:t>(12)</w:t>
      </w:r>
      <w:r>
        <w:rPr>
          <w:rtl/>
          <w:lang w:bidi="fa-IR"/>
        </w:rPr>
        <w:t xml:space="preserve"> </w:t>
      </w:r>
      <w:r w:rsidR="00004EBC">
        <w:rPr>
          <w:rtl/>
          <w:lang w:bidi="fa-IR"/>
        </w:rPr>
        <w:t>فِي كُلِّ سَنَةٍ؟</w:t>
      </w:r>
      <w:r>
        <w:rPr>
          <w:rtl/>
          <w:lang w:bidi="fa-IR"/>
        </w:rPr>
        <w:t>» قُلْتُ : قَدْ يَكُونُ ذلِكَ.</w:t>
      </w:r>
    </w:p>
    <w:p w:rsidR="00744A1C" w:rsidRDefault="00744A1C" w:rsidP="00744A1C">
      <w:pPr>
        <w:pStyle w:val="libNormal"/>
        <w:rPr>
          <w:lang w:bidi="fa-IR"/>
        </w:rPr>
      </w:pPr>
      <w:r>
        <w:rPr>
          <w:rtl/>
          <w:lang w:bidi="fa-IR"/>
        </w:rPr>
        <w:t xml:space="preserve">قَالَ : « يَا سَدِيرُ ، مَا أَجْفَاكُمْ لِلْحُسَيْنِ </w:t>
      </w:r>
      <w:r w:rsidR="0061079A" w:rsidRPr="0061079A">
        <w:rPr>
          <w:rStyle w:val="libAlaemChar"/>
          <w:rtl/>
        </w:rPr>
        <w:t>عليه‌السلام</w:t>
      </w:r>
      <w:r w:rsidR="00D10E3C">
        <w:rPr>
          <w:rtl/>
          <w:lang w:bidi="fa-IR"/>
        </w:rPr>
        <w:t xml:space="preserve"> </w:t>
      </w:r>
      <w:r>
        <w:rPr>
          <w:rtl/>
          <w:lang w:bidi="fa-IR"/>
        </w:rPr>
        <w:t>، أَ</w:t>
      </w:r>
      <w:r w:rsidR="00004EBC">
        <w:rPr>
          <w:rFonts w:hint="cs"/>
          <w:rtl/>
          <w:lang w:bidi="fa-IR"/>
        </w:rPr>
        <w:t xml:space="preserve"> </w:t>
      </w:r>
      <w:r>
        <w:rPr>
          <w:rtl/>
          <w:lang w:bidi="fa-IR"/>
        </w:rPr>
        <w:t xml:space="preserve">مَا عَلِمْتَ أَنَّ لِلّهِ - عَزَّ وَجَلَّ - أَلْفَيْ </w:t>
      </w:r>
      <w:r w:rsidRPr="00D10E3C">
        <w:rPr>
          <w:rStyle w:val="libFootnotenumChar"/>
          <w:rtl/>
        </w:rPr>
        <w:t>(13)</w:t>
      </w:r>
      <w:r>
        <w:rPr>
          <w:rtl/>
          <w:lang w:bidi="fa-IR"/>
        </w:rPr>
        <w:t xml:space="preserve"> أَلْفِ مَلَكٍ شُعْثٌ غُبْرٌ ، يَبْكُونَ </w:t>
      </w:r>
      <w:r w:rsidRPr="00D10E3C">
        <w:rPr>
          <w:rStyle w:val="libFootnotenumChar"/>
          <w:rtl/>
        </w:rPr>
        <w:t>(14)</w:t>
      </w:r>
      <w:r>
        <w:rPr>
          <w:rtl/>
          <w:lang w:bidi="fa-IR"/>
        </w:rPr>
        <w:t xml:space="preserve"> ، وَيَزُورُونَ </w:t>
      </w:r>
      <w:r w:rsidRPr="00D10E3C">
        <w:rPr>
          <w:rStyle w:val="libFootnotenumChar"/>
          <w:rtl/>
        </w:rPr>
        <w:t>(15)</w:t>
      </w:r>
      <w:r>
        <w:rPr>
          <w:rtl/>
          <w:lang w:bidi="fa-IR"/>
        </w:rPr>
        <w:t xml:space="preserve"> ، لَايَفْتُرُونَ </w:t>
      </w:r>
      <w:r w:rsidRPr="00D10E3C">
        <w:rPr>
          <w:rStyle w:val="libFootnotenumChar"/>
          <w:rtl/>
        </w:rPr>
        <w:t>(16)</w:t>
      </w:r>
      <w:r>
        <w:rPr>
          <w:rtl/>
          <w:lang w:bidi="fa-IR"/>
        </w:rPr>
        <w:t xml:space="preserve"> ؛ وَمَا عَلَيْكَ يَا سَدِيرُ أَنْ‌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004EBC">
        <w:rPr>
          <w:rtl/>
        </w:rPr>
        <w:t>التهذيب</w:t>
      </w:r>
      <w:r w:rsidR="00744A1C">
        <w:rPr>
          <w:rtl/>
          <w:lang w:bidi="fa-IR"/>
        </w:rPr>
        <w:t xml:space="preserve"> : « عن محمّد بن حسّان » بدل « عن عبدالله بن محمّد بن سنان ». والظاهر أنّ كلا النقلين محرّف ، والصواب إمّا عبدالله بن محمّد ، أو عبدالله بن محمّد اليماني. فقد ورد في </w:t>
      </w:r>
      <w:r w:rsidR="00744A1C" w:rsidRPr="007B299E">
        <w:rPr>
          <w:rStyle w:val="libFootnoteBoldChar"/>
          <w:rtl/>
        </w:rPr>
        <w:t>كامل الزيارات</w:t>
      </w:r>
      <w:r w:rsidR="00744A1C">
        <w:rPr>
          <w:rtl/>
          <w:lang w:bidi="fa-IR"/>
        </w:rPr>
        <w:t xml:space="preserve"> ، ص 287 ، ح 2 ، وص 291 ، ح 4 بعض قطعات الخبر عن عبدالله بن محمّد اليماني عن منيع بن الحجّاج عن يونس بن عبدالرحمن. وتقدّمت في ح 8165 رواية عبدالله بن محمّد اليماني عن منيع بن الحجّاج.</w:t>
      </w:r>
    </w:p>
    <w:p w:rsidR="00744A1C" w:rsidRDefault="00E378DD" w:rsidP="00E378DD">
      <w:pPr>
        <w:pStyle w:val="libFootnote0"/>
        <w:rPr>
          <w:lang w:bidi="fa-IR"/>
        </w:rPr>
      </w:pPr>
      <w:r>
        <w:rPr>
          <w:rtl/>
          <w:lang w:bidi="fa-IR"/>
        </w:rPr>
        <w:t>(2).</w:t>
      </w:r>
      <w:r w:rsidR="00744A1C">
        <w:rPr>
          <w:rtl/>
          <w:lang w:bidi="fa-IR"/>
        </w:rPr>
        <w:t xml:space="preserve"> هكذا في « بف » </w:t>
      </w:r>
      <w:r w:rsidR="00744A1C" w:rsidRPr="00004EBC">
        <w:rPr>
          <w:rtl/>
        </w:rPr>
        <w:t>والوافي</w:t>
      </w:r>
      <w:r w:rsidR="00744A1C">
        <w:rPr>
          <w:rtl/>
          <w:lang w:bidi="fa-IR"/>
        </w:rPr>
        <w:t xml:space="preserve"> عن بعض النسخ </w:t>
      </w:r>
      <w:r w:rsidR="00744A1C" w:rsidRPr="00004EBC">
        <w:rPr>
          <w:rtl/>
        </w:rPr>
        <w:t>والتهذيب وكامل الزيارات</w:t>
      </w:r>
      <w:r w:rsidR="00744A1C">
        <w:rPr>
          <w:rtl/>
          <w:lang w:bidi="fa-IR"/>
        </w:rPr>
        <w:t xml:space="preserve"> ، ص 287 ، ح 3. وفي « ى ، بث ، بح ، بخ ، بس ، جد ، جن » والمطبوع : « مسمع » ، وهو سهو ، كما يعلم ممّا قدّمناه آنفاً.</w:t>
      </w:r>
    </w:p>
    <w:p w:rsidR="00744A1C" w:rsidRDefault="00E378DD" w:rsidP="00E378DD">
      <w:pPr>
        <w:pStyle w:val="libFootnote0"/>
        <w:rPr>
          <w:lang w:bidi="fa-IR"/>
        </w:rPr>
      </w:pPr>
      <w:r>
        <w:rPr>
          <w:rtl/>
          <w:lang w:bidi="fa-IR"/>
        </w:rPr>
        <w:t>(3).</w:t>
      </w:r>
      <w:r w:rsidR="00744A1C">
        <w:rPr>
          <w:rtl/>
          <w:lang w:bidi="fa-IR"/>
        </w:rPr>
        <w:t xml:space="preserve"> في « بخ ، بس ، بف » </w:t>
      </w:r>
      <w:r w:rsidR="00744A1C" w:rsidRPr="00004EBC">
        <w:rPr>
          <w:rtl/>
        </w:rPr>
        <w:t>والتهذيب وكامل الزيارات</w:t>
      </w:r>
      <w:r w:rsidR="00744A1C">
        <w:rPr>
          <w:rtl/>
          <w:lang w:bidi="fa-IR"/>
        </w:rPr>
        <w:t xml:space="preserve"> ، ص 287 ، ح 3 : + « بن سدير ».</w:t>
      </w:r>
    </w:p>
    <w:tbl>
      <w:tblPr>
        <w:tblStyle w:val="TableGrid"/>
        <w:bidiVisual/>
        <w:tblW w:w="0" w:type="auto"/>
        <w:tblLook w:val="04A0" w:firstRow="1" w:lastRow="0" w:firstColumn="1" w:lastColumn="0" w:noHBand="0" w:noVBand="1"/>
      </w:tblPr>
      <w:tblGrid>
        <w:gridCol w:w="4006"/>
        <w:gridCol w:w="4006"/>
      </w:tblGrid>
      <w:tr w:rsidR="00004EBC" w:rsidTr="00004EBC">
        <w:tc>
          <w:tcPr>
            <w:tcW w:w="4006" w:type="dxa"/>
          </w:tcPr>
          <w:p w:rsidR="00004EBC" w:rsidRDefault="00004EBC" w:rsidP="00E378DD">
            <w:pPr>
              <w:pStyle w:val="libFootnote0"/>
              <w:rPr>
                <w:rtl/>
                <w:lang w:bidi="fa-IR"/>
              </w:rPr>
            </w:pPr>
            <w:r>
              <w:rPr>
                <w:rtl/>
                <w:lang w:bidi="fa-IR"/>
              </w:rPr>
              <w:t xml:space="preserve">(4). في « جد » </w:t>
            </w:r>
            <w:r w:rsidRPr="00004EBC">
              <w:rPr>
                <w:rtl/>
              </w:rPr>
              <w:t>والفقيه والتهذيب</w:t>
            </w:r>
            <w:r>
              <w:rPr>
                <w:rtl/>
                <w:lang w:bidi="fa-IR"/>
              </w:rPr>
              <w:t xml:space="preserve"> : + « لي ».</w:t>
            </w:r>
          </w:p>
        </w:tc>
        <w:tc>
          <w:tcPr>
            <w:tcW w:w="4006" w:type="dxa"/>
          </w:tcPr>
          <w:p w:rsidR="00004EBC" w:rsidRDefault="00004EBC" w:rsidP="00E378DD">
            <w:pPr>
              <w:pStyle w:val="libFootnote0"/>
              <w:rPr>
                <w:rtl/>
                <w:lang w:bidi="fa-IR"/>
              </w:rPr>
            </w:pPr>
            <w:r>
              <w:rPr>
                <w:rtl/>
                <w:lang w:bidi="fa-IR"/>
              </w:rPr>
              <w:t xml:space="preserve">(5). في </w:t>
            </w:r>
            <w:r w:rsidRPr="00004EBC">
              <w:rPr>
                <w:rtl/>
              </w:rPr>
              <w:t>الوسائل</w:t>
            </w:r>
            <w:r>
              <w:rPr>
                <w:rtl/>
                <w:lang w:bidi="fa-IR"/>
              </w:rPr>
              <w:t xml:space="preserve"> : - « قبر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004EBC">
        <w:rPr>
          <w:rtl/>
        </w:rPr>
        <w:t>التهذيب وكامل الزيارات</w:t>
      </w:r>
      <w:r w:rsidR="00744A1C">
        <w:rPr>
          <w:rtl/>
          <w:lang w:bidi="fa-IR"/>
        </w:rPr>
        <w:t xml:space="preserve"> ، ص 291 : - « جعلت فداك ».</w:t>
      </w:r>
    </w:p>
    <w:p w:rsidR="00744A1C" w:rsidRDefault="00E378DD" w:rsidP="00E378DD">
      <w:pPr>
        <w:pStyle w:val="libFootnote0"/>
        <w:rPr>
          <w:lang w:bidi="fa-IR"/>
        </w:rPr>
      </w:pPr>
      <w:r>
        <w:rPr>
          <w:rtl/>
          <w:lang w:bidi="fa-IR"/>
        </w:rPr>
        <w:t>(7).</w:t>
      </w:r>
      <w:r w:rsidR="00744A1C">
        <w:rPr>
          <w:rtl/>
          <w:lang w:bidi="fa-IR"/>
        </w:rPr>
        <w:t xml:space="preserve"> في </w:t>
      </w:r>
      <w:r w:rsidR="00744A1C" w:rsidRPr="00004EBC">
        <w:rPr>
          <w:rtl/>
        </w:rPr>
        <w:t xml:space="preserve">الفقيه والتهذيب وكامل الزيارات : </w:t>
      </w:r>
      <w:r w:rsidR="00744A1C">
        <w:rPr>
          <w:rtl/>
          <w:lang w:bidi="fa-IR"/>
        </w:rPr>
        <w:t>« ما ».</w:t>
      </w:r>
    </w:p>
    <w:p w:rsidR="00744A1C" w:rsidRDefault="00E378DD" w:rsidP="00E378DD">
      <w:pPr>
        <w:pStyle w:val="libFootnote0"/>
        <w:rPr>
          <w:lang w:bidi="fa-IR"/>
        </w:rPr>
      </w:pPr>
      <w:r>
        <w:rPr>
          <w:rtl/>
          <w:lang w:bidi="fa-IR"/>
        </w:rPr>
        <w:t>(8).</w:t>
      </w:r>
      <w:r w:rsidR="00744A1C">
        <w:rPr>
          <w:rtl/>
          <w:lang w:bidi="fa-IR"/>
        </w:rPr>
        <w:t xml:space="preserve"> في « ى ، بث ، بخ ، بس ، بف » </w:t>
      </w:r>
      <w:r w:rsidR="00744A1C" w:rsidRPr="00981C00">
        <w:rPr>
          <w:rtl/>
        </w:rPr>
        <w:t>والوافي والفقيه والتهذيب</w:t>
      </w:r>
      <w:r w:rsidR="00744A1C">
        <w:rPr>
          <w:rtl/>
          <w:lang w:bidi="fa-IR"/>
        </w:rPr>
        <w:t xml:space="preserve"> : - « قال ».</w:t>
      </w:r>
    </w:p>
    <w:p w:rsidR="00744A1C" w:rsidRDefault="00E378DD" w:rsidP="00981C00">
      <w:pPr>
        <w:pStyle w:val="libFootnote0"/>
        <w:rPr>
          <w:lang w:bidi="fa-IR"/>
        </w:rPr>
      </w:pPr>
      <w:r>
        <w:rPr>
          <w:rtl/>
          <w:lang w:bidi="fa-IR"/>
        </w:rPr>
        <w:t>(9).</w:t>
      </w:r>
      <w:r w:rsidR="00744A1C">
        <w:rPr>
          <w:rtl/>
          <w:lang w:bidi="fa-IR"/>
        </w:rPr>
        <w:t xml:space="preserve"> في « بث ، بخ ، بف ، جد » و</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w:t>
      </w:r>
      <w:r w:rsidR="00744A1C" w:rsidRPr="00981C00">
        <w:rPr>
          <w:rStyle w:val="libFootnoteBoldChar"/>
          <w:rtl/>
        </w:rPr>
        <w:t>و</w:t>
      </w:r>
      <w:r w:rsidR="00744A1C" w:rsidRPr="007B299E">
        <w:rPr>
          <w:rStyle w:val="libFootnoteBoldChar"/>
          <w:rtl/>
        </w:rPr>
        <w:t>كامل الزيارات</w:t>
      </w:r>
      <w:r w:rsidR="00744A1C">
        <w:rPr>
          <w:rtl/>
          <w:lang w:bidi="fa-IR"/>
        </w:rPr>
        <w:t xml:space="preserve"> ، ص 287 ، ح 3 : « فتزورونه في كلّ جمعة؟ قلت : لا ، قال ».</w:t>
      </w:r>
      <w:r w:rsidR="00981C00">
        <w:rPr>
          <w:rFonts w:hint="cs"/>
          <w:rtl/>
          <w:lang w:bidi="fa-IR"/>
        </w:rPr>
        <w:t xml:space="preserve">    </w:t>
      </w:r>
      <w:r>
        <w:rPr>
          <w:rtl/>
          <w:lang w:bidi="fa-IR"/>
        </w:rPr>
        <w:t>(10).</w:t>
      </w:r>
      <w:r w:rsidR="00744A1C">
        <w:rPr>
          <w:rtl/>
          <w:lang w:bidi="fa-IR"/>
        </w:rPr>
        <w:t xml:space="preserve"> في </w:t>
      </w:r>
      <w:r w:rsidR="00744A1C" w:rsidRPr="0061079A">
        <w:rPr>
          <w:rStyle w:val="libFootnoteBoldChar"/>
          <w:rtl/>
        </w:rPr>
        <w:t>التهذيب</w:t>
      </w:r>
      <w:r w:rsidR="00744A1C">
        <w:rPr>
          <w:rtl/>
          <w:lang w:bidi="fa-IR"/>
        </w:rPr>
        <w:t xml:space="preserve"> </w:t>
      </w:r>
      <w:r w:rsidR="00744A1C" w:rsidRPr="00981C00">
        <w:rPr>
          <w:rStyle w:val="libFootnoteBoldChar"/>
          <w:rtl/>
        </w:rPr>
        <w:t>وك</w:t>
      </w:r>
      <w:r w:rsidR="00744A1C" w:rsidRPr="007B299E">
        <w:rPr>
          <w:rStyle w:val="libFootnoteBoldChar"/>
          <w:rtl/>
        </w:rPr>
        <w:t>امل الزيارات</w:t>
      </w:r>
      <w:r w:rsidR="00981C00">
        <w:rPr>
          <w:rtl/>
          <w:lang w:bidi="fa-IR"/>
        </w:rPr>
        <w:t>،ص 287،ح 3وص 291وص 292:«فتزوره</w:t>
      </w:r>
      <w:r w:rsidR="00744A1C">
        <w:rPr>
          <w:rtl/>
          <w:lang w:bidi="fa-IR"/>
        </w:rPr>
        <w:t>».</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الفقيه</w:t>
      </w:r>
      <w:r w:rsidR="00744A1C">
        <w:rPr>
          <w:rtl/>
          <w:lang w:bidi="fa-IR"/>
        </w:rPr>
        <w:t xml:space="preserve"> : « سنة ».</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w:t>
      </w:r>
      <w:r w:rsidR="00744A1C" w:rsidRPr="00981C00">
        <w:rPr>
          <w:rStyle w:val="libFootnoteBoldChar"/>
          <w:rtl/>
        </w:rPr>
        <w:t>وكا</w:t>
      </w:r>
      <w:r w:rsidR="00744A1C" w:rsidRPr="007B299E">
        <w:rPr>
          <w:rStyle w:val="libFootnoteBoldChar"/>
          <w:rtl/>
        </w:rPr>
        <w:t>مل الزيارات</w:t>
      </w:r>
      <w:r w:rsidR="00744A1C">
        <w:rPr>
          <w:rtl/>
          <w:lang w:bidi="fa-IR"/>
        </w:rPr>
        <w:t xml:space="preserve"> ، ص 287 ، ح 3 وص 291 وص 292 : « فتزوره ».</w:t>
      </w:r>
    </w:p>
    <w:p w:rsidR="00744A1C" w:rsidRDefault="00E378DD" w:rsidP="00981C00">
      <w:pPr>
        <w:pStyle w:val="libFootnote0"/>
        <w:rPr>
          <w:lang w:bidi="fa-IR"/>
        </w:rPr>
      </w:pPr>
      <w:r>
        <w:rPr>
          <w:rtl/>
          <w:lang w:bidi="fa-IR"/>
        </w:rPr>
        <w:t>(13).</w:t>
      </w:r>
      <w:r w:rsidR="00744A1C">
        <w:rPr>
          <w:rtl/>
          <w:lang w:bidi="fa-IR"/>
        </w:rPr>
        <w:t xml:space="preserve"> في « بخ ، بف » </w:t>
      </w:r>
      <w:r w:rsidR="00744A1C" w:rsidRPr="00981C00">
        <w:rPr>
          <w:rtl/>
        </w:rPr>
        <w:t>والوافي والفقيه والتهذيب</w:t>
      </w:r>
      <w:r w:rsidR="00744A1C">
        <w:rPr>
          <w:rtl/>
          <w:lang w:bidi="fa-IR"/>
        </w:rPr>
        <w:t xml:space="preserve"> </w:t>
      </w:r>
      <w:r w:rsidR="00744A1C" w:rsidRPr="00981C00">
        <w:rPr>
          <w:rtl/>
        </w:rPr>
        <w:t>وكامل الزيارات</w:t>
      </w:r>
      <w:r w:rsidR="00744A1C">
        <w:rPr>
          <w:rtl/>
          <w:lang w:bidi="fa-IR"/>
        </w:rPr>
        <w:t xml:space="preserve"> ، ص 287 ، ح 3 : « ألف ». وفي </w:t>
      </w:r>
      <w:r w:rsidR="00744A1C" w:rsidRPr="007B299E">
        <w:rPr>
          <w:rStyle w:val="libFootnoteBoldChar"/>
          <w:rtl/>
        </w:rPr>
        <w:t>كامل الزيارات</w:t>
      </w:r>
      <w:r w:rsidR="00744A1C">
        <w:rPr>
          <w:rtl/>
          <w:lang w:bidi="fa-IR"/>
        </w:rPr>
        <w:t xml:space="preserve"> ، ص 291 : - « ألفي ».</w:t>
      </w:r>
      <w:r w:rsidR="00981C00">
        <w:rPr>
          <w:rFonts w:hint="cs"/>
          <w:rtl/>
          <w:lang w:bidi="fa-IR"/>
        </w:rPr>
        <w:t xml:space="preserve">        </w:t>
      </w:r>
      <w:r>
        <w:rPr>
          <w:rtl/>
          <w:lang w:bidi="fa-IR"/>
        </w:rPr>
        <w:t>(14).</w:t>
      </w:r>
      <w:r w:rsidR="00744A1C">
        <w:rPr>
          <w:rtl/>
          <w:lang w:bidi="fa-IR"/>
        </w:rPr>
        <w:t xml:space="preserve"> في « جن » : « يبكونه ».</w:t>
      </w:r>
    </w:p>
    <w:p w:rsidR="00744A1C" w:rsidRDefault="00E378DD" w:rsidP="00E378DD">
      <w:pPr>
        <w:pStyle w:val="libFootnote0"/>
        <w:rPr>
          <w:lang w:bidi="fa-IR"/>
        </w:rPr>
      </w:pPr>
      <w:r>
        <w:rPr>
          <w:rtl/>
          <w:lang w:bidi="fa-IR"/>
        </w:rPr>
        <w:t>(15).</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981C00">
        <w:rPr>
          <w:rStyle w:val="libFootnoteBoldChar"/>
          <w:rtl/>
        </w:rPr>
        <w:t>وكا</w:t>
      </w:r>
      <w:r w:rsidR="00744A1C" w:rsidRPr="007B299E">
        <w:rPr>
          <w:rStyle w:val="libFootnoteBoldChar"/>
          <w:rtl/>
        </w:rPr>
        <w:t>مل الزيارات</w:t>
      </w:r>
      <w:r w:rsidR="00744A1C">
        <w:rPr>
          <w:rtl/>
          <w:lang w:bidi="fa-IR"/>
        </w:rPr>
        <w:t xml:space="preserve"> ، ص 291 : « شعثاً غبراً ويزورونه » بدل « شعث غبر يبكون ويزورون ».</w:t>
      </w:r>
    </w:p>
    <w:p w:rsidR="00744A1C" w:rsidRDefault="00744A1C" w:rsidP="00D10E3C">
      <w:pPr>
        <w:pStyle w:val="libFootnote0"/>
        <w:rPr>
          <w:lang w:bidi="fa-IR"/>
        </w:rPr>
      </w:pPr>
      <w:r>
        <w:rPr>
          <w:rtl/>
          <w:lang w:bidi="fa-IR"/>
        </w:rPr>
        <w:t xml:space="preserve">(16) في « بخ ، بس ، بف » </w:t>
      </w:r>
      <w:r w:rsidRPr="00981C00">
        <w:rPr>
          <w:rtl/>
        </w:rPr>
        <w:t>والوافي والفقيه والتهذيب</w:t>
      </w:r>
      <w:r>
        <w:rPr>
          <w:rtl/>
          <w:lang w:bidi="fa-IR"/>
        </w:rPr>
        <w:t xml:space="preserve"> : « ولا يفترون ».</w:t>
      </w:r>
    </w:p>
    <w:p w:rsidR="00150943" w:rsidRDefault="00150943" w:rsidP="00D10E3C">
      <w:pPr>
        <w:pStyle w:val="libNormal"/>
        <w:rPr>
          <w:rtl/>
          <w:lang w:bidi="fa-IR"/>
        </w:rPr>
      </w:pPr>
      <w:r>
        <w:rPr>
          <w:rtl/>
          <w:lang w:bidi="fa-IR"/>
        </w:rPr>
        <w:br w:type="page"/>
      </w:r>
    </w:p>
    <w:p w:rsidR="00744A1C" w:rsidRDefault="00744A1C" w:rsidP="00981C00">
      <w:pPr>
        <w:pStyle w:val="libNormal0"/>
        <w:rPr>
          <w:lang w:bidi="fa-IR"/>
        </w:rPr>
      </w:pPr>
      <w:r>
        <w:rPr>
          <w:rtl/>
          <w:lang w:bidi="fa-IR"/>
        </w:rPr>
        <w:lastRenderedPageBreak/>
        <w:t xml:space="preserve">تَزُورَ قَبْرَ الْحُسَيْنِ </w:t>
      </w:r>
      <w:r w:rsidR="0061079A" w:rsidRPr="0061079A">
        <w:rPr>
          <w:rStyle w:val="libAlaemChar"/>
          <w:rtl/>
        </w:rPr>
        <w:t>عليه‌السلام</w:t>
      </w:r>
      <w:r w:rsidR="00D10E3C">
        <w:rPr>
          <w:rtl/>
          <w:lang w:bidi="fa-IR"/>
        </w:rPr>
        <w:t xml:space="preserve"> </w:t>
      </w:r>
      <w:r>
        <w:rPr>
          <w:rtl/>
          <w:lang w:bidi="fa-IR"/>
        </w:rPr>
        <w:t xml:space="preserve">فِي كُلِّ جُمْعَةٍ خَمْسَ مَرَّاتٍ ، وَفِي </w:t>
      </w:r>
      <w:r w:rsidRPr="00D10E3C">
        <w:rPr>
          <w:rStyle w:val="libFootnotenumChar"/>
          <w:rtl/>
        </w:rPr>
        <w:t>(1)</w:t>
      </w:r>
      <w:r>
        <w:rPr>
          <w:rtl/>
          <w:lang w:bidi="fa-IR"/>
        </w:rPr>
        <w:t xml:space="preserve"> كُلِّ يَوْمٍ مَرَّةً؟ ».</w:t>
      </w:r>
    </w:p>
    <w:p w:rsidR="00744A1C" w:rsidRDefault="00744A1C" w:rsidP="00744A1C">
      <w:pPr>
        <w:pStyle w:val="libNormal"/>
        <w:rPr>
          <w:lang w:bidi="fa-IR"/>
        </w:rPr>
      </w:pPr>
      <w:r>
        <w:rPr>
          <w:rtl/>
          <w:lang w:bidi="fa-IR"/>
        </w:rPr>
        <w:t xml:space="preserve">قُلْتُ : جُعِلْتُ فِدَاكَ ، إِنَّ </w:t>
      </w:r>
      <w:r w:rsidRPr="00D10E3C">
        <w:rPr>
          <w:rStyle w:val="libFootnotenumChar"/>
          <w:rtl/>
        </w:rPr>
        <w:t>(2)</w:t>
      </w:r>
      <w:r>
        <w:rPr>
          <w:rtl/>
          <w:lang w:bidi="fa-IR"/>
        </w:rPr>
        <w:t xml:space="preserve"> بَيْنَنَا </w:t>
      </w:r>
      <w:r w:rsidRPr="00D10E3C">
        <w:rPr>
          <w:rStyle w:val="libFootnotenumChar"/>
          <w:rtl/>
        </w:rPr>
        <w:t>(3)</w:t>
      </w:r>
      <w:r>
        <w:rPr>
          <w:rtl/>
          <w:lang w:bidi="fa-IR"/>
        </w:rPr>
        <w:t xml:space="preserve"> وَبَيْنَهُ فَرَاسِخَ كَثِيرَةً.</w:t>
      </w:r>
    </w:p>
    <w:p w:rsidR="00744A1C" w:rsidRDefault="00744A1C" w:rsidP="00744A1C">
      <w:pPr>
        <w:pStyle w:val="libNormal"/>
        <w:rPr>
          <w:lang w:bidi="fa-IR"/>
        </w:rPr>
      </w:pPr>
      <w:r>
        <w:rPr>
          <w:rtl/>
          <w:lang w:bidi="fa-IR"/>
        </w:rPr>
        <w:t xml:space="preserve">فَقَالَ لِي : « اصْعَدْ فَوْقَ سَطْحِكَ </w:t>
      </w:r>
      <w:r w:rsidRPr="00D10E3C">
        <w:rPr>
          <w:rStyle w:val="libFootnotenumChar"/>
          <w:rtl/>
        </w:rPr>
        <w:t>(4)</w:t>
      </w:r>
      <w:r>
        <w:rPr>
          <w:rtl/>
          <w:lang w:bidi="fa-IR"/>
        </w:rPr>
        <w:t xml:space="preserve"> ، ثُمَّ تَلْتَفِتُ </w:t>
      </w:r>
      <w:r w:rsidRPr="00D10E3C">
        <w:rPr>
          <w:rStyle w:val="libFootnotenumChar"/>
          <w:rtl/>
        </w:rPr>
        <w:t>(5)</w:t>
      </w:r>
      <w:r>
        <w:rPr>
          <w:rtl/>
          <w:lang w:bidi="fa-IR"/>
        </w:rPr>
        <w:t xml:space="preserve"> يُمْنَةً وَيُسْرَةً ، ثُمَّ تَرْفَعُ رَأْسَكَ إِلَى السَّمَاءِ ، ثُمَّ تَنْحُو </w:t>
      </w:r>
      <w:r w:rsidRPr="00D10E3C">
        <w:rPr>
          <w:rStyle w:val="libFootnotenumChar"/>
          <w:rtl/>
        </w:rPr>
        <w:t>(6)</w:t>
      </w:r>
      <w:r>
        <w:rPr>
          <w:rtl/>
          <w:lang w:bidi="fa-IR"/>
        </w:rPr>
        <w:t xml:space="preserve"> نَحْوَ الْقَبْرِ ، وَتَقُولُ </w:t>
      </w:r>
      <w:r w:rsidRPr="00D10E3C">
        <w:rPr>
          <w:rStyle w:val="libFootnotenumChar"/>
          <w:rtl/>
        </w:rPr>
        <w:t>(7)</w:t>
      </w:r>
      <w:r>
        <w:rPr>
          <w:rtl/>
          <w:lang w:bidi="fa-IR"/>
        </w:rPr>
        <w:t xml:space="preserve"> : " السَّلَامُ عَلَيْكَ يَا أَبَا عَبْدِ اللهِ ، السَّلَامُ عَلَيْكَ وَرَحْمَةُ اللهِ وَبَرَكَاتُهُ" ، تُكْتَبُ </w:t>
      </w:r>
      <w:r w:rsidRPr="00D10E3C">
        <w:rPr>
          <w:rStyle w:val="libFootnotenumChar"/>
          <w:rtl/>
        </w:rPr>
        <w:t>(8)</w:t>
      </w:r>
      <w:r>
        <w:rPr>
          <w:rtl/>
          <w:lang w:bidi="fa-IR"/>
        </w:rPr>
        <w:t xml:space="preserve"> لَكَ زَوْرَةٌ ، وَالزَّوْرَةُ حَجَّةٌ وَعُمْرَةٌ ».</w:t>
      </w:r>
    </w:p>
    <w:p w:rsidR="00144FA6" w:rsidRDefault="00744A1C" w:rsidP="00981C00">
      <w:pPr>
        <w:pStyle w:val="libNormal"/>
        <w:rPr>
          <w:rtl/>
          <w:lang w:bidi="fa-IR"/>
        </w:rPr>
      </w:pPr>
      <w:r>
        <w:rPr>
          <w:rtl/>
          <w:lang w:bidi="fa-IR"/>
        </w:rPr>
        <w:t xml:space="preserve">قَالَ سَدِيرٌ : فَرُبَّمَا </w:t>
      </w:r>
      <w:r w:rsidRPr="00D10E3C">
        <w:rPr>
          <w:rStyle w:val="libFootnotenumChar"/>
          <w:rtl/>
        </w:rPr>
        <w:t>(9)</w:t>
      </w:r>
      <w:r>
        <w:rPr>
          <w:rtl/>
          <w:lang w:bidi="fa-IR"/>
        </w:rPr>
        <w:t xml:space="preserve"> فَعَلْتُ ذلِكَ </w:t>
      </w:r>
      <w:r w:rsidRPr="00D10E3C">
        <w:rPr>
          <w:rStyle w:val="libFootnotenumChar"/>
          <w:rtl/>
        </w:rPr>
        <w:t>(10)</w:t>
      </w:r>
      <w:r>
        <w:rPr>
          <w:rtl/>
          <w:lang w:bidi="fa-IR"/>
        </w:rPr>
        <w:t xml:space="preserve"> فِي الشَّهْرِ </w:t>
      </w:r>
      <w:r w:rsidRPr="00D10E3C">
        <w:rPr>
          <w:rStyle w:val="libFootnotenumChar"/>
          <w:rtl/>
        </w:rPr>
        <w:t>(11)</w:t>
      </w:r>
      <w:r>
        <w:rPr>
          <w:rtl/>
          <w:lang w:bidi="fa-IR"/>
        </w:rPr>
        <w:t xml:space="preserve"> أَكْثَرَ مِنْ عِشْرِينَ مَرَّةً </w:t>
      </w:r>
      <w:r w:rsidRPr="00D10E3C">
        <w:rPr>
          <w:rStyle w:val="libFootnotenumChar"/>
          <w:rtl/>
        </w:rPr>
        <w:t>(12)</w:t>
      </w:r>
      <w:r w:rsidR="00981C00">
        <w:rPr>
          <w:rFonts w:hint="cs"/>
          <w:rtl/>
          <w:lang w:bidi="fa-IR"/>
        </w:rPr>
        <w:t>.</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981C00">
        <w:rPr>
          <w:rtl/>
        </w:rPr>
        <w:t>الوسائل والفقيه</w:t>
      </w:r>
      <w:r w:rsidR="00744A1C">
        <w:rPr>
          <w:rtl/>
          <w:lang w:bidi="fa-IR"/>
        </w:rPr>
        <w:t xml:space="preserve"> : « أو في » بدل « وفي ».</w:t>
      </w:r>
    </w:p>
    <w:p w:rsidR="00744A1C" w:rsidRDefault="00E378DD" w:rsidP="00E378DD">
      <w:pPr>
        <w:pStyle w:val="libFootnote0"/>
        <w:rPr>
          <w:lang w:bidi="fa-IR"/>
        </w:rPr>
      </w:pPr>
      <w:r>
        <w:rPr>
          <w:rtl/>
          <w:lang w:bidi="fa-IR"/>
        </w:rPr>
        <w:t>(2).</w:t>
      </w:r>
      <w:r w:rsidR="00744A1C">
        <w:rPr>
          <w:rtl/>
          <w:lang w:bidi="fa-IR"/>
        </w:rPr>
        <w:t xml:space="preserve"> في « بخ ، بف ، جد » </w:t>
      </w:r>
      <w:r w:rsidR="00744A1C" w:rsidRPr="00981C00">
        <w:rPr>
          <w:rtl/>
        </w:rPr>
        <w:t>والوافي والوسائل والفقيه والتهذيب</w:t>
      </w:r>
      <w:r w:rsidR="00744A1C">
        <w:rPr>
          <w:rtl/>
          <w:lang w:bidi="fa-IR"/>
        </w:rPr>
        <w:t xml:space="preserve"> : - « إنّ ».</w:t>
      </w:r>
    </w:p>
    <w:tbl>
      <w:tblPr>
        <w:tblStyle w:val="TableGrid"/>
        <w:bidiVisual/>
        <w:tblW w:w="0" w:type="auto"/>
        <w:tblLook w:val="04A0" w:firstRow="1" w:lastRow="0" w:firstColumn="1" w:lastColumn="0" w:noHBand="0" w:noVBand="1"/>
      </w:tblPr>
      <w:tblGrid>
        <w:gridCol w:w="4006"/>
        <w:gridCol w:w="4006"/>
      </w:tblGrid>
      <w:tr w:rsidR="00981C00" w:rsidTr="00981C00">
        <w:tc>
          <w:tcPr>
            <w:tcW w:w="4006" w:type="dxa"/>
          </w:tcPr>
          <w:p w:rsidR="00981C00" w:rsidRDefault="00981C00" w:rsidP="00E378DD">
            <w:pPr>
              <w:pStyle w:val="libFootnote0"/>
              <w:rPr>
                <w:rtl/>
                <w:lang w:bidi="fa-IR"/>
              </w:rPr>
            </w:pPr>
            <w:r>
              <w:rPr>
                <w:rtl/>
                <w:lang w:bidi="fa-IR"/>
              </w:rPr>
              <w:t xml:space="preserve">(3). في </w:t>
            </w:r>
            <w:r w:rsidRPr="00981C00">
              <w:rPr>
                <w:rtl/>
              </w:rPr>
              <w:t>التهذيب</w:t>
            </w:r>
            <w:r>
              <w:rPr>
                <w:rtl/>
                <w:lang w:bidi="fa-IR"/>
              </w:rPr>
              <w:t xml:space="preserve"> : « بيني ».</w:t>
            </w:r>
          </w:p>
        </w:tc>
        <w:tc>
          <w:tcPr>
            <w:tcW w:w="4006" w:type="dxa"/>
          </w:tcPr>
          <w:p w:rsidR="00981C00" w:rsidRDefault="00981C00" w:rsidP="00E378DD">
            <w:pPr>
              <w:pStyle w:val="libFootnote0"/>
              <w:rPr>
                <w:rtl/>
                <w:lang w:bidi="fa-IR"/>
              </w:rPr>
            </w:pPr>
            <w:r>
              <w:rPr>
                <w:rtl/>
                <w:lang w:bidi="fa-IR"/>
              </w:rPr>
              <w:t>(4). في « جن » : « فوق سطح دارك ».</w:t>
            </w:r>
          </w:p>
        </w:tc>
      </w:tr>
    </w:tbl>
    <w:p w:rsidR="00744A1C" w:rsidRDefault="00E378DD" w:rsidP="00E378DD">
      <w:pPr>
        <w:pStyle w:val="libFootnote0"/>
        <w:rPr>
          <w:lang w:bidi="fa-IR"/>
        </w:rPr>
      </w:pPr>
      <w:r>
        <w:rPr>
          <w:rtl/>
          <w:lang w:bidi="fa-IR"/>
        </w:rPr>
        <w:t>(5).</w:t>
      </w:r>
      <w:r w:rsidR="00744A1C">
        <w:rPr>
          <w:rtl/>
          <w:lang w:bidi="fa-IR"/>
        </w:rPr>
        <w:t xml:space="preserve"> في </w:t>
      </w:r>
      <w:r w:rsidR="00744A1C" w:rsidRPr="00981C00">
        <w:rPr>
          <w:rtl/>
        </w:rPr>
        <w:t>الوسائل</w:t>
      </w:r>
      <w:r w:rsidR="00744A1C">
        <w:rPr>
          <w:rtl/>
          <w:lang w:bidi="fa-IR"/>
        </w:rPr>
        <w:t xml:space="preserve"> : « التفت ».</w:t>
      </w:r>
    </w:p>
    <w:p w:rsidR="00744A1C" w:rsidRDefault="00E378DD" w:rsidP="00E378DD">
      <w:pPr>
        <w:pStyle w:val="libFootnote0"/>
        <w:rPr>
          <w:lang w:bidi="fa-IR"/>
        </w:rPr>
      </w:pPr>
      <w:r>
        <w:rPr>
          <w:rtl/>
          <w:lang w:bidi="fa-IR"/>
        </w:rPr>
        <w:t>(6).</w:t>
      </w:r>
      <w:r w:rsidR="00744A1C">
        <w:rPr>
          <w:rtl/>
          <w:lang w:bidi="fa-IR"/>
        </w:rPr>
        <w:t xml:space="preserve"> هكذا في « بح ، بخ ، بس ، جد ، جن » </w:t>
      </w:r>
      <w:r w:rsidR="00744A1C" w:rsidRPr="00981C00">
        <w:rPr>
          <w:rtl/>
        </w:rPr>
        <w:t>والوافي والوسائل والفقيه والتهذيب</w:t>
      </w:r>
      <w:r w:rsidR="00744A1C">
        <w:rPr>
          <w:rtl/>
          <w:lang w:bidi="fa-IR"/>
        </w:rPr>
        <w:t xml:space="preserve">. وفي سائر النسخ : « ثمّ انْحُ ». </w:t>
      </w:r>
      <w:r w:rsidR="00744A1C" w:rsidRPr="00981C00">
        <w:rPr>
          <w:rtl/>
        </w:rPr>
        <w:t>وفي‌كامل الزيارات</w:t>
      </w:r>
      <w:r w:rsidR="00744A1C">
        <w:rPr>
          <w:rtl/>
          <w:lang w:bidi="fa-IR"/>
        </w:rPr>
        <w:t xml:space="preserve"> ، ص 287 : « ثمّ تتحرى ». وفي المطبوع : « ثمّ انحو » ، وهو سهو واضح.</w:t>
      </w:r>
    </w:p>
    <w:p w:rsidR="00144FA6" w:rsidRDefault="00E378DD" w:rsidP="00E378DD">
      <w:pPr>
        <w:pStyle w:val="libFootnote0"/>
        <w:rPr>
          <w:rtl/>
          <w:lang w:bidi="fa-IR"/>
        </w:rPr>
      </w:pPr>
      <w:r>
        <w:rPr>
          <w:rtl/>
          <w:lang w:bidi="fa-IR"/>
        </w:rPr>
        <w:t>(7).</w:t>
      </w:r>
      <w:r w:rsidR="00981C00">
        <w:rPr>
          <w:rFonts w:hint="cs"/>
          <w:rtl/>
          <w:lang w:bidi="fa-IR"/>
        </w:rPr>
        <w:t xml:space="preserve">في الوسائل والفقيه : </w:t>
      </w:r>
      <w:r w:rsidR="00981C00">
        <w:rPr>
          <w:rtl/>
          <w:lang w:bidi="fa-IR"/>
        </w:rPr>
        <w:t>«</w:t>
      </w:r>
      <w:r w:rsidR="00981C00">
        <w:rPr>
          <w:rFonts w:hint="cs"/>
          <w:rtl/>
          <w:lang w:bidi="fa-IR"/>
        </w:rPr>
        <w:t xml:space="preserve"> فتقول </w:t>
      </w:r>
      <w:r w:rsidR="00981C00">
        <w:rPr>
          <w:rtl/>
          <w:lang w:bidi="fa-IR"/>
        </w:rPr>
        <w:t>»</w:t>
      </w:r>
      <w:r w:rsidR="00981C00">
        <w:rPr>
          <w:rFonts w:hint="cs"/>
          <w:rtl/>
          <w:lang w:bidi="fa-IR"/>
        </w:rPr>
        <w:t xml:space="preserve"> .</w:t>
      </w:r>
    </w:p>
    <w:p w:rsidR="00744A1C" w:rsidRDefault="00E378DD" w:rsidP="00E378DD">
      <w:pPr>
        <w:pStyle w:val="libFootnote0"/>
        <w:rPr>
          <w:lang w:bidi="fa-IR"/>
        </w:rPr>
      </w:pPr>
      <w:r>
        <w:rPr>
          <w:rtl/>
          <w:lang w:bidi="fa-IR"/>
        </w:rPr>
        <w:t>(8).</w:t>
      </w:r>
      <w:r w:rsidR="00744A1C">
        <w:rPr>
          <w:rtl/>
          <w:lang w:bidi="fa-IR"/>
        </w:rPr>
        <w:t xml:space="preserve"> في « بث ، بخ ، بس ، بف ، جن » </w:t>
      </w:r>
      <w:r w:rsidR="00744A1C" w:rsidRPr="00981C00">
        <w:rPr>
          <w:rtl/>
        </w:rPr>
        <w:t>وكامل الزيارات</w:t>
      </w:r>
      <w:r w:rsidR="00744A1C">
        <w:rPr>
          <w:rtl/>
          <w:lang w:bidi="fa-IR"/>
        </w:rPr>
        <w:t xml:space="preserve"> ، ص 287 ، ح 2 : « يكتب ».</w:t>
      </w:r>
    </w:p>
    <w:p w:rsidR="00744A1C" w:rsidRDefault="00E378DD" w:rsidP="00E378DD">
      <w:pPr>
        <w:pStyle w:val="libFootnote0"/>
        <w:rPr>
          <w:lang w:bidi="fa-IR"/>
        </w:rPr>
      </w:pPr>
      <w:r>
        <w:rPr>
          <w:rtl/>
          <w:lang w:bidi="fa-IR"/>
        </w:rPr>
        <w:t>(9).</w:t>
      </w:r>
      <w:r w:rsidR="00744A1C">
        <w:rPr>
          <w:rtl/>
          <w:lang w:bidi="fa-IR"/>
        </w:rPr>
        <w:t xml:space="preserve"> في « ى ، بح ، بس ، بف ، جد ، جن » </w:t>
      </w:r>
      <w:r w:rsidR="00744A1C" w:rsidRPr="00981C00">
        <w:rPr>
          <w:rtl/>
        </w:rPr>
        <w:t>والوافي والتهذيب</w:t>
      </w:r>
      <w:r w:rsidR="00744A1C">
        <w:rPr>
          <w:rtl/>
          <w:lang w:bidi="fa-IR"/>
        </w:rPr>
        <w:t xml:space="preserve"> : « ربّما ».</w:t>
      </w:r>
    </w:p>
    <w:p w:rsidR="00744A1C" w:rsidRDefault="00E378DD" w:rsidP="00E378DD">
      <w:pPr>
        <w:pStyle w:val="libFootnote0"/>
        <w:rPr>
          <w:lang w:bidi="fa-IR"/>
        </w:rPr>
      </w:pPr>
      <w:r>
        <w:rPr>
          <w:rtl/>
          <w:lang w:bidi="fa-IR"/>
        </w:rPr>
        <w:t>(10).</w:t>
      </w:r>
      <w:r w:rsidR="00744A1C">
        <w:rPr>
          <w:rtl/>
          <w:lang w:bidi="fa-IR"/>
        </w:rPr>
        <w:t xml:space="preserve"> هكذا في « ى ، بح ، بخ ، بس ، بف » </w:t>
      </w:r>
      <w:r w:rsidR="00744A1C" w:rsidRPr="00981C00">
        <w:rPr>
          <w:rtl/>
        </w:rPr>
        <w:t>والوافي والفقيه</w:t>
      </w:r>
      <w:r w:rsidR="00744A1C">
        <w:rPr>
          <w:rtl/>
          <w:lang w:bidi="fa-IR"/>
        </w:rPr>
        <w:t>. وفي سائر النسخ والمطبوع : - « ذلك ».</w:t>
      </w:r>
    </w:p>
    <w:p w:rsidR="00744A1C" w:rsidRDefault="00E378DD" w:rsidP="00E378DD">
      <w:pPr>
        <w:pStyle w:val="libFootnote0"/>
        <w:rPr>
          <w:lang w:bidi="fa-IR"/>
        </w:rPr>
      </w:pPr>
      <w:r>
        <w:rPr>
          <w:rtl/>
          <w:lang w:bidi="fa-IR"/>
        </w:rPr>
        <w:t>(11).</w:t>
      </w:r>
      <w:r w:rsidR="00744A1C">
        <w:rPr>
          <w:rtl/>
          <w:lang w:bidi="fa-IR"/>
        </w:rPr>
        <w:t xml:space="preserve"> في </w:t>
      </w:r>
      <w:r w:rsidR="00744A1C" w:rsidRPr="00981C00">
        <w:rPr>
          <w:rtl/>
        </w:rPr>
        <w:t>كامل الزيارات</w:t>
      </w:r>
      <w:r w:rsidR="00744A1C">
        <w:rPr>
          <w:rtl/>
          <w:lang w:bidi="fa-IR"/>
        </w:rPr>
        <w:t xml:space="preserve"> ، ص 287 ، ح 2 : « النهار ».</w:t>
      </w:r>
    </w:p>
    <w:p w:rsidR="00744A1C" w:rsidRDefault="00E378DD" w:rsidP="00E378DD">
      <w:pPr>
        <w:pStyle w:val="libFootnote0"/>
        <w:rPr>
          <w:lang w:bidi="fa-IR"/>
        </w:rPr>
      </w:pPr>
      <w:r>
        <w:rPr>
          <w:rtl/>
          <w:lang w:bidi="fa-IR"/>
        </w:rPr>
        <w:t>(12).</w:t>
      </w:r>
      <w:r w:rsidR="00744A1C">
        <w:rPr>
          <w:rtl/>
          <w:lang w:bidi="fa-IR"/>
        </w:rPr>
        <w:t xml:space="preserve"> في « بث ، جد » </w:t>
      </w:r>
      <w:r w:rsidR="00744A1C" w:rsidRPr="00981C00">
        <w:rPr>
          <w:rtl/>
        </w:rPr>
        <w:t xml:space="preserve">والوسائل </w:t>
      </w:r>
      <w:r w:rsidR="00744A1C">
        <w:rPr>
          <w:rtl/>
          <w:lang w:bidi="fa-IR"/>
        </w:rPr>
        <w:t>: - « قال سدير » إلى هنا.</w:t>
      </w:r>
    </w:p>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6 ، ص 116 ، ح 205 ، معلّقاً عن الكليني. </w:t>
      </w:r>
      <w:r w:rsidR="00744A1C" w:rsidRPr="007B299E">
        <w:rPr>
          <w:rStyle w:val="libFootnoteBoldChar"/>
          <w:rtl/>
        </w:rPr>
        <w:t>كامل الزيارات</w:t>
      </w:r>
      <w:r w:rsidR="00744A1C">
        <w:rPr>
          <w:rtl/>
          <w:lang w:bidi="fa-IR"/>
        </w:rPr>
        <w:t xml:space="preserve"> ، ص 287 ، الباب 96 ، ح 3 ، إلى قوله : « في كلّ جمعة خمس مرّات » ؛ </w:t>
      </w:r>
      <w:r w:rsidR="00744A1C" w:rsidRPr="00981C00">
        <w:rPr>
          <w:rStyle w:val="libFootnoteBoldChar"/>
          <w:rtl/>
        </w:rPr>
        <w:t>وفيه</w:t>
      </w:r>
      <w:r w:rsidR="00744A1C">
        <w:rPr>
          <w:rtl/>
          <w:lang w:bidi="fa-IR"/>
        </w:rPr>
        <w:t xml:space="preserve"> ، ص 292 ، نفس الباب ، ح 9 ، إلى قوله : « يا سدير ما أجفاكم للحسين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بسند آخر عن سلمة بن الخطّاب ، عن عبدالله بن الخطّاب ، عن عبدالله بن محمّد بن سنان ، عن منيع [ في ح 9 : + « بن الحجّاج » ] عن يونس بن عبدالرحمن. </w:t>
      </w:r>
      <w:r w:rsidR="00744A1C" w:rsidRPr="007B299E">
        <w:rPr>
          <w:rStyle w:val="libFootnoteBoldChar"/>
          <w:rtl/>
        </w:rPr>
        <w:t>كامل الزيارات</w:t>
      </w:r>
      <w:r w:rsidR="00744A1C">
        <w:rPr>
          <w:rtl/>
          <w:lang w:bidi="fa-IR"/>
        </w:rPr>
        <w:t xml:space="preserve"> ، ص 287 ، نفس الباب ، ح 2 ، إلى قوله : « وما عليك يا سدير » ؛ </w:t>
      </w:r>
      <w:r w:rsidR="00744A1C" w:rsidRPr="00981C00">
        <w:rPr>
          <w:rStyle w:val="libFootnoteBoldChar"/>
          <w:rtl/>
        </w:rPr>
        <w:t>وفيه</w:t>
      </w:r>
      <w:r w:rsidR="00744A1C">
        <w:rPr>
          <w:rtl/>
          <w:lang w:bidi="fa-IR"/>
        </w:rPr>
        <w:t xml:space="preserve"> ، ص 291 ، نفس الباب ، ح 4 ، إلى قوله : « ويزورون لايفترون » وفي الأخيرين بسند آخر عن عبدالله بن محمّد اليماني ، عن منيع بن الحجّاج ، عن يونس بن عبدالرحمن. </w:t>
      </w:r>
      <w:r w:rsidR="00744A1C" w:rsidRPr="00C24F9C">
        <w:rPr>
          <w:rStyle w:val="libFootnoteBoldChar"/>
          <w:rtl/>
        </w:rPr>
        <w:t>الفقيه</w:t>
      </w:r>
      <w:r w:rsidR="00744A1C">
        <w:rPr>
          <w:rtl/>
          <w:lang w:bidi="fa-IR"/>
        </w:rPr>
        <w:t xml:space="preserve"> ، ج 2 ، ص 599 ، ح 3203 ، معلّقاً عن حنان بن سدير ، عن أبيه. </w:t>
      </w:r>
      <w:r w:rsidR="00744A1C" w:rsidRPr="007B299E">
        <w:rPr>
          <w:rStyle w:val="libFootnoteBoldChar"/>
          <w:rtl/>
        </w:rPr>
        <w:t>كامل الزيارات</w:t>
      </w:r>
      <w:r w:rsidR="00744A1C">
        <w:rPr>
          <w:rtl/>
          <w:lang w:bidi="fa-IR"/>
        </w:rPr>
        <w:t xml:space="preserve"> ، ص 288 ، الباب 96 ، ح 7 ، بسنده عن حنان بن سدير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w:t>
      </w:r>
      <w:r w:rsidR="001A454E">
        <w:rPr>
          <w:rFonts w:hint="cs"/>
          <w:rtl/>
          <w:lang w:bidi="fa-IR"/>
        </w:rPr>
        <w:t>.</w:t>
      </w:r>
      <w:r w:rsidR="00744A1C" w:rsidRPr="00C24F9C">
        <w:rPr>
          <w:rStyle w:val="libFootnoteBoldChar"/>
          <w:rtl/>
        </w:rPr>
        <w:t>الوافي</w:t>
      </w:r>
      <w:r w:rsidR="00744A1C">
        <w:rPr>
          <w:rtl/>
          <w:lang w:bidi="fa-IR"/>
        </w:rPr>
        <w:t xml:space="preserve"> ، ج 14 ، ص 1578 ، ح 14658 ؛ </w:t>
      </w:r>
      <w:r w:rsidR="00744A1C" w:rsidRPr="00C24F9C">
        <w:rPr>
          <w:rStyle w:val="libFootnoteBoldChar"/>
          <w:rtl/>
        </w:rPr>
        <w:t>الوسائل</w:t>
      </w:r>
      <w:r w:rsidR="00744A1C">
        <w:rPr>
          <w:rtl/>
          <w:lang w:bidi="fa-IR"/>
        </w:rPr>
        <w:t xml:space="preserve"> ، ج 14 ، ص 493 ، ح 19674 ؛ </w:t>
      </w:r>
      <w:r w:rsidR="00744A1C" w:rsidRPr="0061079A">
        <w:rPr>
          <w:rStyle w:val="libFootnoteBoldChar"/>
          <w:rtl/>
        </w:rPr>
        <w:t>البحار</w:t>
      </w:r>
      <w:r w:rsidR="00744A1C">
        <w:rPr>
          <w:rtl/>
          <w:lang w:bidi="fa-IR"/>
        </w:rPr>
        <w:t xml:space="preserve"> ، ج 101 ، ص 366 ، ح 5.</w:t>
      </w:r>
    </w:p>
    <w:p w:rsidR="00150943" w:rsidRDefault="00150943"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8199 / 9. عَلِيُّ بْنُ إِبْرَاهِيمَ ، عَنْ أَبِيهِ ، عَنْ بَعْضِ أَصْحَابِهِ </w:t>
      </w:r>
      <w:r w:rsidRPr="00D10E3C">
        <w:rPr>
          <w:rStyle w:val="libFootnotenumChar"/>
          <w:rtl/>
        </w:rPr>
        <w:t>(1)</w:t>
      </w:r>
      <w:r>
        <w:rPr>
          <w:rtl/>
          <w:lang w:bidi="fa-IR"/>
        </w:rPr>
        <w:t xml:space="preserve"> ، عَنْ هَارُونَ بْنِ خَارِجَةَ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كَانَ </w:t>
      </w:r>
      <w:r w:rsidRPr="00D10E3C">
        <w:rPr>
          <w:rStyle w:val="libFootnotenumChar"/>
          <w:rtl/>
        </w:rPr>
        <w:t>(2)</w:t>
      </w:r>
      <w:r>
        <w:rPr>
          <w:rtl/>
          <w:lang w:bidi="fa-IR"/>
        </w:rPr>
        <w:t xml:space="preserve"> النِّصْفُ مِنْ شَعْبَانَ نَادى مُنَادٍ مِنَ الْأُفُقِ الْأَعْلى : زَائِرِي </w:t>
      </w:r>
      <w:r w:rsidRPr="00D10E3C">
        <w:rPr>
          <w:rStyle w:val="libFootnotenumChar"/>
          <w:rtl/>
        </w:rPr>
        <w:t>(3)</w:t>
      </w:r>
      <w:r>
        <w:rPr>
          <w:rtl/>
          <w:lang w:bidi="fa-IR"/>
        </w:rPr>
        <w:t xml:space="preserve"> قَبْرِ </w:t>
      </w:r>
      <w:r w:rsidRPr="00D10E3C">
        <w:rPr>
          <w:rStyle w:val="libFootnotenumChar"/>
          <w:rtl/>
        </w:rPr>
        <w:t>(4)</w:t>
      </w:r>
      <w:r>
        <w:rPr>
          <w:rtl/>
          <w:lang w:bidi="fa-IR"/>
        </w:rPr>
        <w:t xml:space="preserve"> الْحُسَيْنِ ، ارْجِعُوا مَغْفُوراً لَكُمْ ، وَثَوَابُكُمْ </w:t>
      </w:r>
      <w:r w:rsidRPr="00D10E3C">
        <w:rPr>
          <w:rStyle w:val="libFootnotenumChar"/>
          <w:rtl/>
        </w:rPr>
        <w:t>(5)</w:t>
      </w:r>
      <w:r>
        <w:rPr>
          <w:rtl/>
          <w:lang w:bidi="fa-IR"/>
        </w:rPr>
        <w:t xml:space="preserve"> عَلى رَبِّكُمْ وَمُحَمَّدٍ نَبِيِّكُمْ ». </w:t>
      </w:r>
      <w:r w:rsidRPr="00D10E3C">
        <w:rPr>
          <w:rStyle w:val="libFootnotenumChar"/>
          <w:rtl/>
        </w:rPr>
        <w:t>(6)</w:t>
      </w:r>
    </w:p>
    <w:p w:rsidR="00744A1C" w:rsidRDefault="00744A1C" w:rsidP="001A454E">
      <w:pPr>
        <w:pStyle w:val="libCenter"/>
        <w:rPr>
          <w:lang w:bidi="fa-IR"/>
        </w:rPr>
      </w:pPr>
      <w:r>
        <w:rPr>
          <w:rtl/>
          <w:lang w:bidi="fa-IR"/>
        </w:rPr>
        <w:t xml:space="preserve">تَمَّ كِتَابُ الْحَجِّ مِنَ الْكَافِي وَيَتْلُوهُ كِتَابُ الْجِهَادِ وَالْحَمْدُ لِلّهِ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أصحابنا ».</w:t>
      </w:r>
    </w:p>
    <w:p w:rsidR="00744A1C" w:rsidRDefault="00E378DD" w:rsidP="00E378DD">
      <w:pPr>
        <w:pStyle w:val="libFootnote0"/>
        <w:rPr>
          <w:lang w:bidi="fa-IR"/>
        </w:rPr>
      </w:pPr>
      <w:r>
        <w:rPr>
          <w:rtl/>
          <w:lang w:bidi="fa-IR"/>
        </w:rPr>
        <w:t>(2).</w:t>
      </w:r>
      <w:r w:rsidR="00744A1C">
        <w:rPr>
          <w:rtl/>
          <w:lang w:bidi="fa-IR"/>
        </w:rPr>
        <w:t xml:space="preserve"> في </w:t>
      </w:r>
      <w:r w:rsidR="00744A1C" w:rsidRPr="001A454E">
        <w:rPr>
          <w:rtl/>
        </w:rPr>
        <w:t>الوافي والتهذيب</w:t>
      </w:r>
      <w:r w:rsidR="00744A1C">
        <w:rPr>
          <w:rtl/>
          <w:lang w:bidi="fa-IR"/>
        </w:rPr>
        <w:t xml:space="preserve"> : « ليلة ».</w:t>
      </w:r>
    </w:p>
    <w:p w:rsidR="00744A1C" w:rsidRDefault="00E378DD" w:rsidP="00E378DD">
      <w:pPr>
        <w:pStyle w:val="libFootnote0"/>
        <w:rPr>
          <w:lang w:bidi="fa-IR"/>
        </w:rPr>
      </w:pPr>
      <w:r>
        <w:rPr>
          <w:rtl/>
          <w:lang w:bidi="fa-IR"/>
        </w:rPr>
        <w:t>(3).</w:t>
      </w:r>
      <w:r w:rsidR="00744A1C">
        <w:rPr>
          <w:rtl/>
          <w:lang w:bidi="fa-IR"/>
        </w:rPr>
        <w:t xml:space="preserve"> هكذا في جميع النسخ التي قوبلت </w:t>
      </w:r>
      <w:r w:rsidR="00744A1C" w:rsidRPr="001A454E">
        <w:rPr>
          <w:rtl/>
        </w:rPr>
        <w:t>والتهذيب وكامل الزيارات</w:t>
      </w:r>
      <w:r w:rsidR="00744A1C">
        <w:rPr>
          <w:rtl/>
          <w:lang w:bidi="fa-IR"/>
        </w:rPr>
        <w:t xml:space="preserve"> ، ص 179 و 180 والمزار. وفي المطبوع : « ألا</w:t>
      </w:r>
      <w:r w:rsidR="001A454E">
        <w:rPr>
          <w:rFonts w:hint="cs"/>
          <w:rtl/>
          <w:lang w:bidi="fa-IR"/>
        </w:rPr>
        <w:t xml:space="preserve"> </w:t>
      </w:r>
      <w:r w:rsidR="00744A1C">
        <w:rPr>
          <w:rtl/>
          <w:lang w:bidi="fa-IR"/>
        </w:rPr>
        <w:t xml:space="preserve">زائري ». وفي </w:t>
      </w:r>
      <w:r w:rsidR="00744A1C" w:rsidRPr="001A454E">
        <w:rPr>
          <w:rtl/>
        </w:rPr>
        <w:t>الوافي</w:t>
      </w:r>
      <w:r w:rsidR="00744A1C">
        <w:rPr>
          <w:rtl/>
          <w:lang w:bidi="fa-IR"/>
        </w:rPr>
        <w:t xml:space="preserve"> : « يا زائري ».</w:t>
      </w:r>
    </w:p>
    <w:p w:rsidR="00744A1C" w:rsidRDefault="00E378DD" w:rsidP="00E378DD">
      <w:pPr>
        <w:pStyle w:val="libFootnote0"/>
        <w:rPr>
          <w:lang w:bidi="fa-IR"/>
        </w:rPr>
      </w:pPr>
      <w:r>
        <w:rPr>
          <w:rtl/>
          <w:lang w:bidi="fa-IR"/>
        </w:rPr>
        <w:t>(4).</w:t>
      </w:r>
      <w:r w:rsidR="00744A1C">
        <w:rPr>
          <w:rtl/>
          <w:lang w:bidi="fa-IR"/>
        </w:rPr>
        <w:t xml:space="preserve"> في </w:t>
      </w:r>
      <w:r w:rsidR="00744A1C" w:rsidRPr="001A454E">
        <w:rPr>
          <w:rtl/>
        </w:rPr>
        <w:t>التهذيب وكامل الزيارات</w:t>
      </w:r>
      <w:r w:rsidR="00744A1C">
        <w:rPr>
          <w:rtl/>
          <w:lang w:bidi="fa-IR"/>
        </w:rPr>
        <w:t xml:space="preserve"> والمزار : - « قبر ».</w:t>
      </w:r>
    </w:p>
    <w:p w:rsidR="00744A1C" w:rsidRDefault="00E378DD" w:rsidP="00E378DD">
      <w:pPr>
        <w:pStyle w:val="libFootnote0"/>
        <w:rPr>
          <w:lang w:bidi="fa-IR"/>
        </w:rPr>
      </w:pPr>
      <w:r>
        <w:rPr>
          <w:rtl/>
          <w:lang w:bidi="fa-IR"/>
        </w:rPr>
        <w:t>(5).</w:t>
      </w:r>
      <w:r w:rsidR="00744A1C">
        <w:rPr>
          <w:rtl/>
          <w:lang w:bidi="fa-IR"/>
        </w:rPr>
        <w:t xml:space="preserve"> في « بخ ، بف ، جد » </w:t>
      </w:r>
      <w:r w:rsidR="00744A1C" w:rsidRPr="001A454E">
        <w:rPr>
          <w:rtl/>
        </w:rPr>
        <w:t>والوافي وكامل الزيارات</w:t>
      </w:r>
      <w:r w:rsidR="00744A1C">
        <w:rPr>
          <w:rtl/>
          <w:lang w:bidi="fa-IR"/>
        </w:rPr>
        <w:t xml:space="preserve"> ، ص 179 و 180 والمزار : « ثوابكم » بدون الواو.</w:t>
      </w:r>
    </w:p>
    <w:p w:rsidR="00744A1C" w:rsidRDefault="00E378DD" w:rsidP="00E378DD">
      <w:pPr>
        <w:pStyle w:val="libFootnote0"/>
        <w:rPr>
          <w:lang w:bidi="fa-IR"/>
        </w:rPr>
      </w:pPr>
      <w:r>
        <w:rPr>
          <w:rtl/>
          <w:lang w:bidi="fa-IR"/>
        </w:rPr>
        <w:t>(6).</w:t>
      </w:r>
      <w:r w:rsidR="00744A1C">
        <w:rPr>
          <w:rtl/>
          <w:lang w:bidi="fa-IR"/>
        </w:rPr>
        <w:t xml:space="preserve"> </w:t>
      </w:r>
      <w:r w:rsidR="00744A1C" w:rsidRPr="007B299E">
        <w:rPr>
          <w:rStyle w:val="libFootnoteBoldChar"/>
          <w:rtl/>
        </w:rPr>
        <w:t>كامل الزيارات</w:t>
      </w:r>
      <w:r w:rsidR="00744A1C">
        <w:rPr>
          <w:rtl/>
          <w:lang w:bidi="fa-IR"/>
        </w:rPr>
        <w:t xml:space="preserve"> ، ص 179 ، الباب 72 ، ح 1 ، عن أبيه وعليّ بن الحسين ومحمّد بن يعقوب جميعاً ، عن عليّ بن إبراهيم. وفي </w:t>
      </w:r>
      <w:r w:rsidR="00744A1C" w:rsidRPr="00C24F9C">
        <w:rPr>
          <w:rStyle w:val="libFootnoteBoldChar"/>
          <w:rtl/>
        </w:rPr>
        <w:t>التهذيب</w:t>
      </w:r>
      <w:r w:rsidR="00744A1C">
        <w:rPr>
          <w:rtl/>
          <w:lang w:bidi="fa-IR"/>
        </w:rPr>
        <w:t xml:space="preserve"> ، ج 6 ، ص 49 ، ح 110 ؛ </w:t>
      </w:r>
      <w:r w:rsidR="00744A1C" w:rsidRPr="001A454E">
        <w:rPr>
          <w:rStyle w:val="libFootnoteBoldChar"/>
          <w:rtl/>
        </w:rPr>
        <w:t>وكتاب المزار</w:t>
      </w:r>
      <w:r w:rsidR="00744A1C">
        <w:rPr>
          <w:rtl/>
          <w:lang w:bidi="fa-IR"/>
        </w:rPr>
        <w:t xml:space="preserve"> ، ص 43 ، ح 2 ، بسندهما عن عليّ بن إبراهيم. </w:t>
      </w:r>
      <w:r w:rsidR="00744A1C" w:rsidRPr="007B299E">
        <w:rPr>
          <w:rStyle w:val="libFootnoteBoldChar"/>
          <w:rtl/>
        </w:rPr>
        <w:t>كامل الزيارات</w:t>
      </w:r>
      <w:r w:rsidR="00744A1C">
        <w:rPr>
          <w:rtl/>
          <w:lang w:bidi="fa-IR"/>
        </w:rPr>
        <w:t xml:space="preserve"> ، ص 180 ، الباب 72 ، ح 3 ، بسنده عن إبراهيم بن هاشم ، عن صندل ، عن هارون بن خارجة. </w:t>
      </w:r>
      <w:r w:rsidR="00744A1C" w:rsidRPr="00C24F9C">
        <w:rPr>
          <w:rStyle w:val="libFootnoteBoldChar"/>
          <w:rtl/>
        </w:rPr>
        <w:t>الفقيه</w:t>
      </w:r>
      <w:r w:rsidR="00744A1C">
        <w:rPr>
          <w:rtl/>
          <w:lang w:bidi="fa-IR"/>
        </w:rPr>
        <w:t xml:space="preserve"> ، ج 2 ، ص 582 ، ح 3178 ، معلّقاً عن هارون بن خارجة </w:t>
      </w:r>
      <w:r w:rsidR="001A454E">
        <w:rPr>
          <w:rFonts w:hint="cs"/>
          <w:rtl/>
          <w:lang w:bidi="fa-IR"/>
        </w:rPr>
        <w:t>.</w:t>
      </w:r>
      <w:r w:rsidR="00744A1C" w:rsidRPr="00C24F9C">
        <w:rPr>
          <w:rStyle w:val="libFootnoteBoldChar"/>
          <w:rtl/>
        </w:rPr>
        <w:t>الوافي</w:t>
      </w:r>
      <w:r w:rsidR="00744A1C">
        <w:rPr>
          <w:rtl/>
          <w:lang w:bidi="fa-IR"/>
        </w:rPr>
        <w:t xml:space="preserve"> ، ج 14 ، ص 1474 ، ح 14553 ؛ </w:t>
      </w:r>
      <w:r w:rsidR="00744A1C" w:rsidRPr="00C24F9C">
        <w:rPr>
          <w:rStyle w:val="libFootnoteBoldChar"/>
          <w:rtl/>
        </w:rPr>
        <w:t>الوسائل</w:t>
      </w:r>
      <w:r w:rsidR="00744A1C">
        <w:rPr>
          <w:rtl/>
          <w:lang w:bidi="fa-IR"/>
        </w:rPr>
        <w:t xml:space="preserve"> ، ج 14 ، ص 468 ، ذيل ح 19616.</w:t>
      </w:r>
    </w:p>
    <w:p w:rsidR="00744A1C" w:rsidRDefault="00E378DD" w:rsidP="00E378DD">
      <w:pPr>
        <w:pStyle w:val="libFootnote0"/>
        <w:rPr>
          <w:lang w:bidi="fa-IR"/>
        </w:rPr>
      </w:pPr>
      <w:r>
        <w:rPr>
          <w:rtl/>
          <w:lang w:bidi="fa-IR"/>
        </w:rPr>
        <w:t>(7).</w:t>
      </w:r>
      <w:r w:rsidR="00744A1C">
        <w:rPr>
          <w:rtl/>
          <w:lang w:bidi="fa-IR"/>
        </w:rPr>
        <w:t xml:space="preserve"> في أكثر النسخ بدل قوله « تمّ كتاب الحجّ » إلى هنا عبارات مختلفة.</w:t>
      </w:r>
    </w:p>
    <w:p w:rsidR="00150943" w:rsidRDefault="00150943" w:rsidP="00D10E3C">
      <w:pPr>
        <w:pStyle w:val="libNormal"/>
        <w:rPr>
          <w:rtl/>
          <w:lang w:bidi="fa-IR"/>
        </w:rPr>
      </w:pPr>
      <w:r>
        <w:rPr>
          <w:rtl/>
          <w:lang w:bidi="fa-IR"/>
        </w:rPr>
        <w:br w:type="page"/>
      </w:r>
    </w:p>
    <w:p w:rsidR="00150943" w:rsidRDefault="00150943" w:rsidP="00D10E3C">
      <w:pPr>
        <w:pStyle w:val="libNormal"/>
        <w:rPr>
          <w:rtl/>
          <w:lang w:bidi="fa-IR"/>
        </w:rPr>
      </w:pPr>
      <w:r>
        <w:rPr>
          <w:rtl/>
          <w:lang w:bidi="fa-IR"/>
        </w:rPr>
        <w:lastRenderedPageBreak/>
        <w:br w:type="page"/>
      </w:r>
    </w:p>
    <w:p w:rsidR="00744A1C" w:rsidRDefault="00744A1C" w:rsidP="001A454E">
      <w:pPr>
        <w:pStyle w:val="Heading1Center"/>
        <w:rPr>
          <w:lang w:bidi="fa-IR"/>
        </w:rPr>
      </w:pPr>
      <w:bookmarkStart w:id="85" w:name="_Toc49261383"/>
      <w:r w:rsidRPr="001A454E">
        <w:rPr>
          <w:rtl/>
        </w:rPr>
        <w:lastRenderedPageBreak/>
        <w:t>(16)</w:t>
      </w:r>
      <w:bookmarkEnd w:id="85"/>
    </w:p>
    <w:p w:rsidR="00744A1C" w:rsidRDefault="00744A1C" w:rsidP="001A454E">
      <w:pPr>
        <w:pStyle w:val="Heading1Center"/>
        <w:rPr>
          <w:lang w:bidi="fa-IR"/>
        </w:rPr>
      </w:pPr>
      <w:bookmarkStart w:id="86" w:name="_Toc49261384"/>
      <w:r>
        <w:rPr>
          <w:rtl/>
          <w:lang w:bidi="fa-IR"/>
        </w:rPr>
        <w:t>كتاب الجهاد‌</w:t>
      </w:r>
      <w:bookmarkEnd w:id="86"/>
    </w:p>
    <w:p w:rsidR="00150943" w:rsidRDefault="00150943" w:rsidP="00D10E3C">
      <w:pPr>
        <w:pStyle w:val="libNormal"/>
        <w:rPr>
          <w:rtl/>
          <w:lang w:bidi="fa-IR"/>
        </w:rPr>
      </w:pPr>
      <w:r>
        <w:rPr>
          <w:rtl/>
          <w:lang w:bidi="fa-IR"/>
        </w:rPr>
        <w:br w:type="page"/>
      </w:r>
    </w:p>
    <w:p w:rsidR="001A454E" w:rsidRDefault="001A454E" w:rsidP="001A454E">
      <w:pPr>
        <w:pStyle w:val="libNormal"/>
        <w:rPr>
          <w:rtl/>
          <w:lang w:bidi="fa-IR"/>
        </w:rPr>
      </w:pPr>
      <w:r>
        <w:rPr>
          <w:rtl/>
          <w:lang w:bidi="fa-IR"/>
        </w:rPr>
        <w:lastRenderedPageBreak/>
        <w:br w:type="page"/>
      </w:r>
    </w:p>
    <w:p w:rsidR="00144FA6" w:rsidRDefault="00744A1C" w:rsidP="001A454E">
      <w:pPr>
        <w:pStyle w:val="libCenter"/>
        <w:rPr>
          <w:rtl/>
          <w:lang w:bidi="fa-IR"/>
        </w:rPr>
      </w:pPr>
      <w:r>
        <w:rPr>
          <w:rtl/>
          <w:lang w:bidi="fa-IR"/>
        </w:rPr>
        <w:lastRenderedPageBreak/>
        <w:t xml:space="preserve">بِسْمِ اللهِ الرَّحْمنِ الرَّحيمِ </w:t>
      </w:r>
      <w:r w:rsidRPr="00D10E3C">
        <w:rPr>
          <w:rStyle w:val="libFootnotenumChar"/>
          <w:rtl/>
        </w:rPr>
        <w:t>(1)</w:t>
      </w:r>
    </w:p>
    <w:p w:rsidR="00744A1C" w:rsidRDefault="00744A1C" w:rsidP="001A454E">
      <w:pPr>
        <w:pStyle w:val="Heading2Center"/>
        <w:rPr>
          <w:lang w:bidi="fa-IR"/>
        </w:rPr>
      </w:pPr>
      <w:bookmarkStart w:id="87" w:name="_Toc49261385"/>
      <w:r>
        <w:rPr>
          <w:rtl/>
          <w:lang w:bidi="fa-IR"/>
        </w:rPr>
        <w:t>[16]</w:t>
      </w:r>
      <w:bookmarkEnd w:id="87"/>
    </w:p>
    <w:p w:rsidR="00744A1C" w:rsidRDefault="00744A1C" w:rsidP="001A454E">
      <w:pPr>
        <w:pStyle w:val="Heading2Center"/>
        <w:rPr>
          <w:lang w:bidi="fa-IR"/>
        </w:rPr>
      </w:pPr>
      <w:bookmarkStart w:id="88" w:name="_Toc49261386"/>
      <w:r>
        <w:rPr>
          <w:rtl/>
          <w:lang w:bidi="fa-IR"/>
        </w:rPr>
        <w:t>كِتَابُ الْجِهَادِ‌</w:t>
      </w:r>
      <w:bookmarkEnd w:id="88"/>
    </w:p>
    <w:p w:rsidR="00744A1C" w:rsidRDefault="00744A1C" w:rsidP="001A454E">
      <w:pPr>
        <w:pStyle w:val="Heading2Center"/>
        <w:rPr>
          <w:lang w:bidi="fa-IR"/>
        </w:rPr>
      </w:pPr>
      <w:bookmarkStart w:id="89" w:name="_Toc49261387"/>
      <w:r>
        <w:rPr>
          <w:rtl/>
          <w:lang w:bidi="fa-IR"/>
        </w:rPr>
        <w:t>1 - بَابُ فَضْلِ الْجِهَادِ‌</w:t>
      </w:r>
      <w:bookmarkEnd w:id="89"/>
    </w:p>
    <w:p w:rsidR="00144FA6" w:rsidRDefault="00744A1C" w:rsidP="00744A1C">
      <w:pPr>
        <w:pStyle w:val="libNormal"/>
        <w:rPr>
          <w:rtl/>
          <w:lang w:bidi="fa-IR"/>
        </w:rPr>
      </w:pPr>
      <w:r>
        <w:rPr>
          <w:rtl/>
          <w:lang w:bidi="fa-IR"/>
        </w:rPr>
        <w:t xml:space="preserve">8200 / 1. عِدَّةٌ مِنْ أَصْحَابِنَا ، عَنْ أَحْمَدَ بْنِ مُحَمَّدٍ ، عَنْ عَلِيِّ بْنِ الْحَكَمِ ، عَنْ عُمَرَ بْنِ أَبَانٍ </w:t>
      </w:r>
      <w:r w:rsidRPr="00D10E3C">
        <w:rPr>
          <w:rStyle w:val="libFootnotenumChar"/>
          <w:rtl/>
        </w:rPr>
        <w:t>(2)</w:t>
      </w:r>
      <w:r>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7B299E" w:rsidRPr="007B299E">
        <w:rPr>
          <w:rStyle w:val="libAlaemChar"/>
          <w:rtl/>
        </w:rPr>
        <w:t>صلى‌الله‌عليه‌وآله</w:t>
      </w:r>
      <w:r w:rsidR="00D10E3C">
        <w:rPr>
          <w:rtl/>
          <w:lang w:bidi="fa-IR"/>
        </w:rPr>
        <w:t xml:space="preserve"> </w:t>
      </w:r>
      <w:r>
        <w:rPr>
          <w:rtl/>
          <w:lang w:bidi="fa-IR"/>
        </w:rPr>
        <w:t xml:space="preserve">: الْخَيْرُ كُلُّهُ فِي السَّيْفِ ، وَتَحْتَ ظِلِّ السَّيْفِ </w:t>
      </w:r>
      <w:r w:rsidRPr="00D10E3C">
        <w:rPr>
          <w:rStyle w:val="libFootnotenumChar"/>
          <w:rtl/>
        </w:rPr>
        <w:t>(3)</w:t>
      </w:r>
      <w:r w:rsidR="001A454E">
        <w:rPr>
          <w:rtl/>
          <w:lang w:bidi="fa-IR"/>
        </w:rPr>
        <w:t xml:space="preserve"> ، وَلَا يُقِيمُ النَّاسَ إِل</w:t>
      </w:r>
      <w:r w:rsidR="001A454E">
        <w:rPr>
          <w:rFonts w:hint="cs"/>
          <w:rtl/>
          <w:lang w:bidi="fa-IR"/>
        </w:rPr>
        <w:t>َّ</w:t>
      </w:r>
      <w:r w:rsidR="001A454E">
        <w:rPr>
          <w:rtl/>
          <w:lang w:bidi="fa-IR"/>
        </w:rPr>
        <w:t>ا</w:t>
      </w:r>
      <w:r>
        <w:rPr>
          <w:rtl/>
          <w:lang w:bidi="fa-IR"/>
        </w:rPr>
        <w:t xml:space="preserve"> السَّيْفُ ، وَالسُّيُوفُ مَقَالِيدُ </w:t>
      </w:r>
      <w:r w:rsidRPr="00D10E3C">
        <w:rPr>
          <w:rStyle w:val="libFootnotenumChar"/>
          <w:rtl/>
        </w:rPr>
        <w:t>(4)</w:t>
      </w:r>
      <w:r>
        <w:rPr>
          <w:rtl/>
          <w:lang w:bidi="fa-IR"/>
        </w:rPr>
        <w:t xml:space="preserve"> الْجَنَّةِ‌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بف ، جت » : + « وبه نستعين ». وفي « بس » : + « وبه ثقتي وعليه توكّلي ».</w:t>
      </w:r>
    </w:p>
    <w:p w:rsidR="00744A1C" w:rsidRDefault="00E378DD" w:rsidP="00E378DD">
      <w:pPr>
        <w:pStyle w:val="libFootnote0"/>
        <w:rPr>
          <w:lang w:bidi="fa-IR"/>
        </w:rPr>
      </w:pPr>
      <w:r>
        <w:rPr>
          <w:rtl/>
          <w:lang w:bidi="fa-IR"/>
        </w:rPr>
        <w:t>(2).</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6 ، ص 122 ، ح 211 عن الصفّار ، عن محمّد بن السندي ، عن عليّ بن الحكم ، عن أبان ، عن أبي عبد الله </w:t>
      </w:r>
      <w:r w:rsidR="0061079A" w:rsidRPr="0061079A">
        <w:rPr>
          <w:rStyle w:val="libFootnoteAlaemChar"/>
          <w:rtl/>
        </w:rPr>
        <w:t>عليه‌السلام</w:t>
      </w:r>
      <w:r w:rsidR="00744A1C">
        <w:rPr>
          <w:rtl/>
          <w:lang w:bidi="fa-IR"/>
        </w:rPr>
        <w:t xml:space="preserve"> . وقد رواه الشيخ الصدوق في </w:t>
      </w:r>
      <w:r w:rsidR="00744A1C" w:rsidRPr="001A454E">
        <w:rPr>
          <w:rStyle w:val="libFootnoteBoldChar"/>
          <w:rtl/>
        </w:rPr>
        <w:t>ثواب الأعمال</w:t>
      </w:r>
      <w:r w:rsidR="00744A1C">
        <w:rPr>
          <w:rtl/>
          <w:lang w:bidi="fa-IR"/>
        </w:rPr>
        <w:t xml:space="preserve"> ، ص 225 ، ح 5 ؛ </w:t>
      </w:r>
      <w:r w:rsidR="00744A1C" w:rsidRPr="001A454E">
        <w:rPr>
          <w:rStyle w:val="libFootnoteBoldChar"/>
          <w:rtl/>
        </w:rPr>
        <w:t>والأمالي</w:t>
      </w:r>
      <w:r w:rsidR="00744A1C">
        <w:rPr>
          <w:rtl/>
          <w:lang w:bidi="fa-IR"/>
        </w:rPr>
        <w:t xml:space="preserve"> ، ص 578 ، المجلس 85 ، ح 11 بسنده عن محمّد بن إسماعيل ، عن عليّ بن الحكم ، عن عمر بن أبان ، عن أبي عبد الله </w:t>
      </w:r>
      <w:r w:rsidR="0061079A" w:rsidRPr="0061079A">
        <w:rPr>
          <w:rStyle w:val="libFootnoteAlaemChar"/>
          <w:rtl/>
        </w:rPr>
        <w:t>عليه‌السلام</w:t>
      </w:r>
      <w:r w:rsidR="00744A1C">
        <w:rPr>
          <w:rtl/>
          <w:lang w:bidi="fa-IR"/>
        </w:rPr>
        <w:t xml:space="preserve"> . ومحمّد بن إسماعيل في سند الصدوق هو محمّد بن السندي في سند </w:t>
      </w:r>
      <w:r w:rsidR="00744A1C" w:rsidRPr="00C24F9C">
        <w:rPr>
          <w:rStyle w:val="libFootnoteBoldChar"/>
          <w:rtl/>
        </w:rPr>
        <w:t>التهذيب</w:t>
      </w:r>
      <w:r w:rsidR="00744A1C">
        <w:rPr>
          <w:rtl/>
          <w:lang w:bidi="fa-IR"/>
        </w:rPr>
        <w:t xml:space="preserve"> ؛ فإنّه محمّد بن إسماعيل السندي بن عيسى الأشعري.</w:t>
      </w:r>
    </w:p>
    <w:p w:rsidR="00744A1C" w:rsidRDefault="00744A1C" w:rsidP="00D10E3C">
      <w:pPr>
        <w:pStyle w:val="libFootnote0"/>
        <w:rPr>
          <w:lang w:bidi="fa-IR"/>
        </w:rPr>
      </w:pPr>
      <w:r>
        <w:rPr>
          <w:rtl/>
          <w:lang w:bidi="fa-IR"/>
        </w:rPr>
        <w:t xml:space="preserve">هذا ، والمظنون قويّاً سقوط « عمر بن » قبل « أبان » في سند </w:t>
      </w:r>
      <w:r w:rsidRPr="00C24F9C">
        <w:rPr>
          <w:rStyle w:val="libFootnoteBoldChar"/>
          <w:rtl/>
        </w:rPr>
        <w:t>التهذيب</w:t>
      </w:r>
      <w:r>
        <w:rPr>
          <w:rtl/>
          <w:lang w:bidi="fa-IR"/>
        </w:rPr>
        <w:t>.</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إنّما كان الخير كلّه في السيف وتحت ظلّ السيف ؛ لأنّه به يسلم الكفّار ، وبه يستقيم الفجّار ، وبه</w:t>
      </w:r>
      <w:r w:rsidR="000B570E">
        <w:rPr>
          <w:rFonts w:hint="cs"/>
          <w:rtl/>
          <w:lang w:bidi="fa-IR"/>
        </w:rPr>
        <w:t xml:space="preserve"> </w:t>
      </w:r>
      <w:r w:rsidR="00744A1C">
        <w:rPr>
          <w:rtl/>
          <w:lang w:bidi="fa-IR"/>
        </w:rPr>
        <w:t>‌ينتظم ا</w:t>
      </w:r>
      <w:r w:rsidR="000B570E">
        <w:rPr>
          <w:rFonts w:hint="cs"/>
          <w:rtl/>
          <w:lang w:bidi="fa-IR"/>
        </w:rPr>
        <w:t>ُ</w:t>
      </w:r>
      <w:r w:rsidR="00744A1C">
        <w:rPr>
          <w:rtl/>
          <w:lang w:bidi="fa-IR"/>
        </w:rPr>
        <w:t xml:space="preserve">مور الناس ؛ لما فيه من شدّة البأس ، وبه يثاب الشهداء ، وبه يكون الظفر على الأعداء ، وبه يغنم المسلمون ، ويفي‌ء إليهم الأرضون ، وبه يؤمن الخائفون ، وبه يعبد الله المؤمنون ». وفي </w:t>
      </w:r>
      <w:r w:rsidR="00744A1C" w:rsidRPr="00877682">
        <w:rPr>
          <w:rStyle w:val="libFootnoteBoldChar"/>
          <w:rtl/>
        </w:rPr>
        <w:t>مرآة العقول</w:t>
      </w:r>
      <w:r w:rsidR="00744A1C">
        <w:rPr>
          <w:rtl/>
          <w:lang w:bidi="fa-IR"/>
        </w:rPr>
        <w:t xml:space="preserve"> ، ج 18 ، ص 320 : « قوله </w:t>
      </w:r>
      <w:r w:rsidR="0061079A" w:rsidRPr="0061079A">
        <w:rPr>
          <w:rStyle w:val="libFootnoteAlaemChar"/>
          <w:rtl/>
        </w:rPr>
        <w:t>عليه‌السلام</w:t>
      </w:r>
      <w:r w:rsidR="00D10E3C">
        <w:rPr>
          <w:rtl/>
          <w:lang w:bidi="fa-IR"/>
        </w:rPr>
        <w:t xml:space="preserve"> </w:t>
      </w:r>
      <w:r w:rsidR="00744A1C">
        <w:rPr>
          <w:rtl/>
          <w:lang w:bidi="fa-IR"/>
        </w:rPr>
        <w:t>: في السيف ، أي عند قتل غيره أو جرحه. وتحت ظلّ السيف ، أي عند شهادته ومجروحيّته ».</w:t>
      </w:r>
    </w:p>
    <w:p w:rsidR="00144FA6" w:rsidRDefault="00E378DD" w:rsidP="00E378DD">
      <w:pPr>
        <w:pStyle w:val="libFootnote0"/>
        <w:rPr>
          <w:rtl/>
          <w:lang w:bidi="fa-IR"/>
        </w:rPr>
      </w:pPr>
      <w:r>
        <w:rPr>
          <w:rtl/>
          <w:lang w:bidi="fa-IR"/>
        </w:rPr>
        <w:t>(4).</w:t>
      </w:r>
      <w:r w:rsidR="00744A1C">
        <w:rPr>
          <w:rtl/>
          <w:lang w:bidi="fa-IR"/>
        </w:rPr>
        <w:t xml:space="preserve"> المقاليد : المفاتيح ، أو الخزائن. وفي الآية 63 من سورة الزمر (39) : </w:t>
      </w:r>
      <w:r w:rsidR="00744A1C" w:rsidRPr="000B570E">
        <w:rPr>
          <w:rStyle w:val="libFootnoteAlaemChar"/>
          <w:rtl/>
        </w:rPr>
        <w:t>(</w:t>
      </w:r>
      <w:r w:rsidR="00744A1C" w:rsidRPr="000B570E">
        <w:rPr>
          <w:rStyle w:val="libFootnoteAieChar"/>
          <w:rtl/>
        </w:rPr>
        <w:t xml:space="preserve"> لَهُ مَقالِيدُ السَّماواتِ وَالْأَرْضِ </w:t>
      </w:r>
      <w:r w:rsidR="00744A1C" w:rsidRPr="000B570E">
        <w:rPr>
          <w:rStyle w:val="libFootnoteAlaemChar"/>
          <w:rtl/>
        </w:rPr>
        <w:t>)</w:t>
      </w:r>
      <w:r w:rsidR="00744A1C">
        <w:rPr>
          <w:rtl/>
          <w:lang w:bidi="fa-IR"/>
        </w:rPr>
        <w:t xml:space="preserve"> ؛ أي</w:t>
      </w:r>
      <w:r w:rsidR="000B570E">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0B570E">
      <w:pPr>
        <w:pStyle w:val="libNormal0"/>
        <w:rPr>
          <w:rtl/>
          <w:lang w:bidi="fa-IR"/>
        </w:rPr>
      </w:pPr>
      <w:r>
        <w:rPr>
          <w:rtl/>
          <w:lang w:bidi="fa-IR"/>
        </w:rPr>
        <w:lastRenderedPageBreak/>
        <w:t xml:space="preserve">وَالنَّارِ ». </w:t>
      </w:r>
      <w:r w:rsidRPr="00D10E3C">
        <w:rPr>
          <w:rStyle w:val="libFootnotenumChar"/>
          <w:rtl/>
        </w:rPr>
        <w:t>(1)</w:t>
      </w:r>
    </w:p>
    <w:p w:rsidR="00144FA6" w:rsidRDefault="00744A1C" w:rsidP="00744A1C">
      <w:pPr>
        <w:pStyle w:val="libNormal"/>
        <w:rPr>
          <w:rtl/>
          <w:lang w:bidi="fa-IR"/>
        </w:rPr>
      </w:pPr>
      <w:r>
        <w:rPr>
          <w:rtl/>
          <w:lang w:bidi="fa-IR"/>
        </w:rPr>
        <w:t>8201 / 2. عَلِيُّ بْنُ إِبْرَاهِيمَ ، عَنْ أَبِيهِ ، عَنِ النَّوْفَلِيِّ ، عَنِ السَّكُونِيِّ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17097C" w:rsidRPr="0017097C">
        <w:rPr>
          <w:rStyle w:val="libAlaemChar"/>
          <w:rtl/>
        </w:rPr>
        <w:t>صلى‌الله‌عليه‌وآله</w:t>
      </w:r>
      <w:r>
        <w:rPr>
          <w:rtl/>
          <w:lang w:bidi="fa-IR"/>
        </w:rPr>
        <w:t xml:space="preserve"> : لِلْجَنَّةِ بَابٌ يُقَالُ لَهُ : بَابُ الْمُجَاهِدِينَ يَمْضُونَ إِلَيْهِ ، فَإِذَا هُوَ مَفْتُوحٌ وَهُمْ مُتَقَلِّدُونَ بِسُيُوفِهِمْ </w:t>
      </w:r>
      <w:r w:rsidRPr="00D10E3C">
        <w:rPr>
          <w:rStyle w:val="libFootnotenumChar"/>
          <w:rtl/>
        </w:rPr>
        <w:t>(2)</w:t>
      </w:r>
      <w:r>
        <w:rPr>
          <w:rtl/>
          <w:lang w:bidi="fa-IR"/>
        </w:rPr>
        <w:t xml:space="preserve"> ، وَالْجَمْعُ فِي الْمَوْقِفِ </w:t>
      </w:r>
      <w:r w:rsidRPr="00D10E3C">
        <w:rPr>
          <w:rStyle w:val="libFootnotenumChar"/>
          <w:rtl/>
        </w:rPr>
        <w:t>(3)</w:t>
      </w:r>
      <w:r>
        <w:rPr>
          <w:rtl/>
          <w:lang w:bidi="fa-IR"/>
        </w:rPr>
        <w:t xml:space="preserve"> وَالْمَلَائِكَةُ تُرَحِّبُ بِهِمْ </w:t>
      </w:r>
      <w:r w:rsidRPr="00D10E3C">
        <w:rPr>
          <w:rStyle w:val="libFootnotenumChar"/>
          <w:rtl/>
        </w:rPr>
        <w:t>(4)</w:t>
      </w:r>
      <w:r>
        <w:rPr>
          <w:rtl/>
          <w:lang w:bidi="fa-IR"/>
        </w:rPr>
        <w:t xml:space="preserve"> ».</w:t>
      </w:r>
    </w:p>
    <w:p w:rsidR="00144FA6" w:rsidRDefault="00744A1C" w:rsidP="00744A1C">
      <w:pPr>
        <w:pStyle w:val="libNormal"/>
        <w:rPr>
          <w:rtl/>
          <w:lang w:bidi="fa-IR"/>
        </w:rPr>
      </w:pPr>
      <w:r>
        <w:rPr>
          <w:rtl/>
          <w:lang w:bidi="fa-IR"/>
        </w:rPr>
        <w:t xml:space="preserve">ثُمَّ قَالَ : « فَمَنْ </w:t>
      </w:r>
      <w:r w:rsidRPr="00D10E3C">
        <w:rPr>
          <w:rStyle w:val="libFootnotenumChar"/>
          <w:rtl/>
        </w:rPr>
        <w:t>(5)</w:t>
      </w:r>
      <w:r>
        <w:rPr>
          <w:rtl/>
          <w:lang w:bidi="fa-IR"/>
        </w:rPr>
        <w:t xml:space="preserve"> تَرَكَ الْجِهَادَ ، أَلْبَسَهُ اللهُ - عَزَّ وَجَلَّ - ذُلًّا وَفَقْراً فِي مَعِيشَتِهِ ، وَمَحْقاً </w:t>
      </w:r>
      <w:r w:rsidRPr="00D10E3C">
        <w:rPr>
          <w:rStyle w:val="libFootnotenumChar"/>
          <w:rtl/>
        </w:rPr>
        <w:t>(6)</w:t>
      </w:r>
      <w:r>
        <w:rPr>
          <w:rtl/>
          <w:lang w:bidi="fa-IR"/>
        </w:rPr>
        <w:t xml:space="preserve"> فِي دِينِهِ ، إِنَّ اللهَ - عَزَّ وَجَلَّ - أَغْنى </w:t>
      </w:r>
      <w:r w:rsidRPr="00D10E3C">
        <w:rPr>
          <w:rStyle w:val="libFootnotenumChar"/>
          <w:rtl/>
        </w:rPr>
        <w:t>(7)</w:t>
      </w:r>
      <w:r>
        <w:rPr>
          <w:rtl/>
          <w:lang w:bidi="fa-IR"/>
        </w:rPr>
        <w:t xml:space="preserve"> أُمَّتِي بِسَنَابِكِ </w:t>
      </w:r>
      <w:r w:rsidRPr="00D10E3C">
        <w:rPr>
          <w:rStyle w:val="libFootnotenumChar"/>
          <w:rtl/>
        </w:rPr>
        <w:t>(8)</w:t>
      </w:r>
      <w:r>
        <w:rPr>
          <w:rtl/>
          <w:lang w:bidi="fa-IR"/>
        </w:rPr>
        <w:t xml:space="preserve"> خَيْلِهَا ، وَمَرَاكِزِ رِمَاحِهَا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0B570E" w:rsidP="00D10E3C">
      <w:pPr>
        <w:pStyle w:val="libFootnote0"/>
        <w:rPr>
          <w:lang w:bidi="fa-IR"/>
        </w:rPr>
      </w:pPr>
      <w:r>
        <w:rPr>
          <w:rFonts w:hint="cs"/>
          <w:rtl/>
          <w:lang w:bidi="fa-IR"/>
        </w:rPr>
        <w:t xml:space="preserve">= </w:t>
      </w:r>
      <w:r w:rsidR="00744A1C">
        <w:rPr>
          <w:rtl/>
          <w:lang w:bidi="fa-IR"/>
        </w:rPr>
        <w:t xml:space="preserve">مفاتيحها ، أو خزائنها. وفي </w:t>
      </w:r>
      <w:r w:rsidR="00744A1C" w:rsidRPr="00C24F9C">
        <w:rPr>
          <w:rStyle w:val="libFootnoteBoldChar"/>
          <w:rtl/>
        </w:rPr>
        <w:t>الوافي</w:t>
      </w:r>
      <w:r w:rsidR="00744A1C">
        <w:rPr>
          <w:rtl/>
          <w:lang w:bidi="fa-IR"/>
        </w:rPr>
        <w:t xml:space="preserve"> : « يعني أنّ السيوف مفاتيح الجنّة للمسلمين ، ومفاتيح النار للكفّار ». وفي </w:t>
      </w:r>
      <w:r w:rsidR="00744A1C" w:rsidRPr="00C24F9C">
        <w:rPr>
          <w:rStyle w:val="libFootnoteBoldChar"/>
          <w:rtl/>
        </w:rPr>
        <w:t>المرآة</w:t>
      </w:r>
      <w:r w:rsidR="00744A1C">
        <w:rPr>
          <w:rtl/>
          <w:lang w:bidi="fa-IR"/>
        </w:rPr>
        <w:t xml:space="preserve"> : « كونها مقاليد الجنّة إذا كان بإذن الله ، وكونها مقاليد النار إذا لم يكن بإذنه تعالى ». وراجع : </w:t>
      </w:r>
      <w:r w:rsidR="00744A1C" w:rsidRPr="00877682">
        <w:rPr>
          <w:rStyle w:val="libFootnoteBoldChar"/>
          <w:rtl/>
        </w:rPr>
        <w:t>لسان العرب</w:t>
      </w:r>
      <w:r w:rsidR="00744A1C">
        <w:rPr>
          <w:rtl/>
          <w:lang w:bidi="fa-IR"/>
        </w:rPr>
        <w:t xml:space="preserve"> ، ج 3 ، ص 365 ( قلد ).</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6 ، ص 122 ، ح 211 ؛ </w:t>
      </w:r>
      <w:r w:rsidR="00744A1C" w:rsidRPr="000B570E">
        <w:rPr>
          <w:rStyle w:val="libFootnoteBoldChar"/>
          <w:rtl/>
        </w:rPr>
        <w:t>والأمالي للصدوق</w:t>
      </w:r>
      <w:r w:rsidR="00744A1C">
        <w:rPr>
          <w:rtl/>
          <w:lang w:bidi="fa-IR"/>
        </w:rPr>
        <w:t xml:space="preserve"> ، ص 578 ، المجلس 85 ، ح 11 ؛ </w:t>
      </w:r>
      <w:r w:rsidR="00744A1C" w:rsidRPr="004D054E">
        <w:rPr>
          <w:rStyle w:val="libFootnoteBoldChar"/>
          <w:rtl/>
        </w:rPr>
        <w:t>وثواب الأعمال</w:t>
      </w:r>
      <w:r w:rsidR="00744A1C">
        <w:rPr>
          <w:rtl/>
          <w:lang w:bidi="fa-IR"/>
        </w:rPr>
        <w:t xml:space="preserve"> ، ص 225 ، ح 5 ، بسند آخر عن عليّ بن الحكم. وراجع : </w:t>
      </w:r>
      <w:r w:rsidR="00744A1C" w:rsidRPr="0061079A">
        <w:rPr>
          <w:rStyle w:val="libFootnoteBoldChar"/>
          <w:rtl/>
        </w:rPr>
        <w:t>الكافي</w:t>
      </w:r>
      <w:r w:rsidR="00744A1C">
        <w:rPr>
          <w:rtl/>
          <w:lang w:bidi="fa-IR"/>
        </w:rPr>
        <w:t xml:space="preserve"> ، كتاب الجهاد ، باب فضل الجهاد ، ح 8214 ومصادره </w:t>
      </w:r>
      <w:r w:rsidR="000B570E">
        <w:rPr>
          <w:rFonts w:hint="cs"/>
          <w:rtl/>
          <w:lang w:bidi="fa-IR"/>
        </w:rPr>
        <w:t>.</w:t>
      </w:r>
      <w:r w:rsidR="00744A1C" w:rsidRPr="00C24F9C">
        <w:rPr>
          <w:rStyle w:val="libFootnoteBoldChar"/>
          <w:rtl/>
        </w:rPr>
        <w:t>الوافي</w:t>
      </w:r>
      <w:r w:rsidR="00744A1C">
        <w:rPr>
          <w:rtl/>
          <w:lang w:bidi="fa-IR"/>
        </w:rPr>
        <w:t xml:space="preserve"> ، ج 15 ، ص 43 ، ح 14679 ؛ </w:t>
      </w:r>
      <w:r w:rsidR="00744A1C" w:rsidRPr="00C24F9C">
        <w:rPr>
          <w:rStyle w:val="libFootnoteBoldChar"/>
          <w:rtl/>
        </w:rPr>
        <w:t>الوسائل</w:t>
      </w:r>
      <w:r w:rsidR="00744A1C">
        <w:rPr>
          <w:rtl/>
          <w:lang w:bidi="fa-IR"/>
        </w:rPr>
        <w:t xml:space="preserve"> ، ج 15 ، ص 9 ، ح 19901.</w:t>
      </w:r>
    </w:p>
    <w:p w:rsidR="00744A1C" w:rsidRDefault="00E378DD" w:rsidP="00E378DD">
      <w:pPr>
        <w:pStyle w:val="libFootnote0"/>
        <w:rPr>
          <w:lang w:bidi="fa-IR"/>
        </w:rPr>
      </w:pPr>
      <w:r>
        <w:rPr>
          <w:rtl/>
          <w:lang w:bidi="fa-IR"/>
        </w:rPr>
        <w:t>(2).</w:t>
      </w:r>
      <w:r w:rsidR="00744A1C">
        <w:rPr>
          <w:rtl/>
          <w:lang w:bidi="fa-IR"/>
        </w:rPr>
        <w:t xml:space="preserve"> في حاشية « جت » </w:t>
      </w:r>
      <w:r w:rsidR="00744A1C" w:rsidRPr="000B570E">
        <w:rPr>
          <w:rtl/>
        </w:rPr>
        <w:t>والوسائل وثواب الأعمال</w:t>
      </w:r>
      <w:r w:rsidR="00744A1C">
        <w:rPr>
          <w:rtl/>
          <w:lang w:bidi="fa-IR"/>
        </w:rPr>
        <w:t xml:space="preserve"> : « سيوفهم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ا</w:t>
      </w:r>
      <w:r w:rsidR="000B570E">
        <w:rPr>
          <w:rFonts w:hint="cs"/>
          <w:rtl/>
          <w:lang w:bidi="fa-IR"/>
        </w:rPr>
        <w:t>ُ</w:t>
      </w:r>
      <w:r w:rsidR="00744A1C">
        <w:rPr>
          <w:rtl/>
          <w:lang w:bidi="fa-IR"/>
        </w:rPr>
        <w:t>ريد بالموقف موقف الحساب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تزجر » بدل « ترحّب بهم ». والترحيب بالرجل أن يقول له : مرحباً. قال الجوهري : « مرحباً وأهلاً ، أي أتيت سعة ، وأتيت أهلاً ، فاستأنس ولا تستوحش ». </w:t>
      </w:r>
      <w:r w:rsidR="00744A1C" w:rsidRPr="00E978C3">
        <w:rPr>
          <w:rStyle w:val="libFootnoteBoldChar"/>
          <w:rtl/>
        </w:rPr>
        <w:t>الصحاح</w:t>
      </w:r>
      <w:r w:rsidR="00744A1C">
        <w:rPr>
          <w:rtl/>
          <w:lang w:bidi="fa-IR"/>
        </w:rPr>
        <w:t xml:space="preserve"> ، ج 1 ، ص 134 ( رحب ).</w:t>
      </w:r>
    </w:p>
    <w:p w:rsidR="00744A1C" w:rsidRDefault="00E378DD" w:rsidP="00E378DD">
      <w:pPr>
        <w:pStyle w:val="libFootnote0"/>
        <w:rPr>
          <w:lang w:bidi="fa-IR"/>
        </w:rPr>
      </w:pPr>
      <w:r>
        <w:rPr>
          <w:rtl/>
          <w:lang w:bidi="fa-IR"/>
        </w:rPr>
        <w:t>(5).</w:t>
      </w:r>
      <w:r w:rsidR="00744A1C">
        <w:rPr>
          <w:rtl/>
          <w:lang w:bidi="fa-IR"/>
        </w:rPr>
        <w:t xml:space="preserve"> في حاشية « بح » : « من ».</w:t>
      </w:r>
    </w:p>
    <w:p w:rsidR="00744A1C" w:rsidRDefault="00E378DD" w:rsidP="00E378DD">
      <w:pPr>
        <w:pStyle w:val="libFootnote0"/>
        <w:rPr>
          <w:lang w:bidi="fa-IR"/>
        </w:rPr>
      </w:pPr>
      <w:r>
        <w:rPr>
          <w:rtl/>
          <w:lang w:bidi="fa-IR"/>
        </w:rPr>
        <w:t>(6).</w:t>
      </w:r>
      <w:r w:rsidR="00744A1C">
        <w:rPr>
          <w:rtl/>
          <w:lang w:bidi="fa-IR"/>
        </w:rPr>
        <w:t xml:space="preserve"> المحق : النقص ، والمحو ، والإبطال. </w:t>
      </w:r>
      <w:r w:rsidR="00744A1C" w:rsidRPr="00877682">
        <w:rPr>
          <w:rStyle w:val="libFootnoteBoldChar"/>
          <w:rtl/>
        </w:rPr>
        <w:t>النهاية</w:t>
      </w:r>
      <w:r w:rsidR="00744A1C">
        <w:rPr>
          <w:rtl/>
          <w:lang w:bidi="fa-IR"/>
        </w:rPr>
        <w:t xml:space="preserve"> ، ج 4 ، ص 303 ( محق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والأمالي للصدوق </w:t>
      </w:r>
      <w:r w:rsidR="00744A1C" w:rsidRPr="000B570E">
        <w:rPr>
          <w:rtl/>
        </w:rPr>
        <w:t>وثواب الأعمال</w:t>
      </w:r>
      <w:r w:rsidR="00744A1C">
        <w:rPr>
          <w:rtl/>
          <w:lang w:bidi="fa-IR"/>
        </w:rPr>
        <w:t xml:space="preserve"> : « أعزّ ».</w:t>
      </w:r>
    </w:p>
    <w:p w:rsidR="00744A1C" w:rsidRDefault="00E378DD" w:rsidP="00E378DD">
      <w:pPr>
        <w:pStyle w:val="libFootnote0"/>
        <w:rPr>
          <w:lang w:bidi="fa-IR"/>
        </w:rPr>
      </w:pPr>
      <w:r>
        <w:rPr>
          <w:rtl/>
          <w:lang w:bidi="fa-IR"/>
        </w:rPr>
        <w:t>(8).</w:t>
      </w:r>
      <w:r w:rsidR="00744A1C">
        <w:rPr>
          <w:rtl/>
          <w:lang w:bidi="fa-IR"/>
        </w:rPr>
        <w:t xml:space="preserve"> السنابك ، جمع السنبك - كقنفذ - : طرف مقدّم الحافر وجانباه من قُدُم. والسنبك : ضرب من العَدْو. راجع : </w:t>
      </w:r>
      <w:r w:rsidR="00744A1C" w:rsidRPr="00877682">
        <w:rPr>
          <w:rStyle w:val="libFootnoteBoldChar"/>
          <w:rtl/>
        </w:rPr>
        <w:t>لسان العرب</w:t>
      </w:r>
      <w:r w:rsidR="00744A1C">
        <w:rPr>
          <w:rtl/>
          <w:lang w:bidi="fa-IR"/>
        </w:rPr>
        <w:t xml:space="preserve"> ، ج 10 ، ص 444 ( سنبك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123 ، ح 213 ؛ </w:t>
      </w:r>
      <w:r w:rsidR="00744A1C" w:rsidRPr="000B570E">
        <w:rPr>
          <w:rStyle w:val="libFootnoteBoldChar"/>
          <w:rtl/>
        </w:rPr>
        <w:t>والأمالي للصدوق</w:t>
      </w:r>
      <w:r w:rsidR="00744A1C">
        <w:rPr>
          <w:rtl/>
          <w:lang w:bidi="fa-IR"/>
        </w:rPr>
        <w:t xml:space="preserve"> ، ص 577 ، المجلس 85 ، ح 8 ؛ </w:t>
      </w:r>
      <w:r w:rsidR="00744A1C" w:rsidRPr="004D054E">
        <w:rPr>
          <w:rStyle w:val="libFootnoteBoldChar"/>
          <w:rtl/>
        </w:rPr>
        <w:t>وثواب الأعمال</w:t>
      </w:r>
      <w:r w:rsidR="00744A1C">
        <w:rPr>
          <w:rtl/>
          <w:lang w:bidi="fa-IR"/>
        </w:rPr>
        <w:t xml:space="preserve"> ، ص 225 ، ح 2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0B570E">
        <w:rPr>
          <w:rFonts w:hint="cs"/>
          <w:rtl/>
          <w:lang w:bidi="fa-IR"/>
        </w:rPr>
        <w:t>.</w:t>
      </w:r>
      <w:r w:rsidR="00744A1C" w:rsidRPr="00C24F9C">
        <w:rPr>
          <w:rStyle w:val="libFootnoteBoldChar"/>
          <w:rtl/>
        </w:rPr>
        <w:t>الوافي</w:t>
      </w:r>
      <w:r w:rsidR="00744A1C">
        <w:rPr>
          <w:rtl/>
          <w:lang w:bidi="fa-IR"/>
        </w:rPr>
        <w:t xml:space="preserve"> ، ج 15 ، ص 41 ، ح 14674 ؛ </w:t>
      </w:r>
      <w:r w:rsidR="00744A1C" w:rsidRPr="00C24F9C">
        <w:rPr>
          <w:rStyle w:val="libFootnoteBoldChar"/>
          <w:rtl/>
        </w:rPr>
        <w:t>الوسائل</w:t>
      </w:r>
      <w:r w:rsidR="00744A1C">
        <w:rPr>
          <w:rtl/>
          <w:lang w:bidi="fa-IR"/>
        </w:rPr>
        <w:t xml:space="preserve"> ، ج 15 ، ص 10 ، ح 19902.</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8202 / 3. وَبِإِسْنَادِهِ </w:t>
      </w:r>
      <w:r w:rsidRPr="00D10E3C">
        <w:rPr>
          <w:rStyle w:val="libFootnotenumChar"/>
          <w:rtl/>
        </w:rPr>
        <w:t>(1)</w:t>
      </w:r>
      <w:r>
        <w:rPr>
          <w:rtl/>
          <w:lang w:bidi="fa-IR"/>
        </w:rPr>
        <w:t xml:space="preserve"> ، قَالَ :</w:t>
      </w:r>
    </w:p>
    <w:p w:rsidR="00744A1C" w:rsidRDefault="00744A1C" w:rsidP="00744A1C">
      <w:pPr>
        <w:pStyle w:val="libNormal"/>
        <w:rPr>
          <w:lang w:bidi="fa-IR"/>
        </w:rPr>
      </w:pPr>
      <w:r>
        <w:rPr>
          <w:rtl/>
          <w:lang w:bidi="fa-IR"/>
        </w:rPr>
        <w:t xml:space="preserve">« قَالَ رَسُولُ اللهِ </w:t>
      </w:r>
      <w:r w:rsidR="00AE01C7" w:rsidRPr="00AE01C7">
        <w:rPr>
          <w:rStyle w:val="libFootnoteAlaemChar"/>
          <w:rtl/>
        </w:rPr>
        <w:t>صلى‌الله‌عليه‌وآله</w:t>
      </w:r>
      <w:r w:rsidR="00D10E3C">
        <w:rPr>
          <w:rtl/>
          <w:lang w:bidi="fa-IR"/>
        </w:rPr>
        <w:t xml:space="preserve"> </w:t>
      </w:r>
      <w:r>
        <w:rPr>
          <w:rtl/>
          <w:lang w:bidi="fa-IR"/>
        </w:rPr>
        <w:t xml:space="preserve">: خُيُولُ الْغُزَاةِ فِي الدُّنْيَا خُيُولُهُمْ فِي الْجَنَّةِ ، وَإِنَّ أَرْدِيَةَ </w:t>
      </w:r>
      <w:r w:rsidRPr="00D10E3C">
        <w:rPr>
          <w:rStyle w:val="libFootnotenumChar"/>
          <w:rtl/>
        </w:rPr>
        <w:t>(2)</w:t>
      </w:r>
      <w:r>
        <w:rPr>
          <w:rtl/>
          <w:lang w:bidi="fa-IR"/>
        </w:rPr>
        <w:t xml:space="preserve"> الْغُزَاةِ لَسُيُوفُهُمْ</w:t>
      </w:r>
      <w:r w:rsidRPr="00D10E3C">
        <w:rPr>
          <w:rStyle w:val="libFootnotenumChar"/>
          <w:rtl/>
        </w:rPr>
        <w:t>(3)</w:t>
      </w:r>
      <w:r w:rsidR="000B570E" w:rsidRPr="000B570E">
        <w:rPr>
          <w:rFonts w:hint="cs"/>
          <w:rtl/>
        </w:rPr>
        <w:t>.</w:t>
      </w:r>
    </w:p>
    <w:p w:rsidR="00144FA6" w:rsidRDefault="00744A1C" w:rsidP="00744A1C">
      <w:pPr>
        <w:pStyle w:val="libNormal"/>
        <w:rPr>
          <w:rtl/>
          <w:lang w:bidi="fa-IR"/>
        </w:rPr>
      </w:pPr>
      <w:r>
        <w:rPr>
          <w:rtl/>
          <w:lang w:bidi="fa-IR"/>
        </w:rPr>
        <w:t xml:space="preserve">وَقَالَ النَّبِيُّ </w:t>
      </w:r>
      <w:r w:rsidR="004D054E" w:rsidRPr="004D054E">
        <w:rPr>
          <w:rStyle w:val="libAlaemChar"/>
          <w:rtl/>
        </w:rPr>
        <w:t>صلى‌الله‌عليه‌وآله</w:t>
      </w:r>
      <w:r w:rsidR="00D10E3C">
        <w:rPr>
          <w:rtl/>
          <w:lang w:bidi="fa-IR"/>
        </w:rPr>
        <w:t xml:space="preserve"> </w:t>
      </w:r>
      <w:r>
        <w:rPr>
          <w:rtl/>
          <w:lang w:bidi="fa-IR"/>
        </w:rPr>
        <w:t xml:space="preserve">: أَخْبَرَنِي جَبْرَئِيلُ </w:t>
      </w:r>
      <w:r w:rsidR="0061079A" w:rsidRPr="0061079A">
        <w:rPr>
          <w:rStyle w:val="libAlaemChar"/>
          <w:rtl/>
        </w:rPr>
        <w:t>عليه‌السلام</w:t>
      </w:r>
      <w:r w:rsidR="00D10E3C">
        <w:rPr>
          <w:rtl/>
          <w:lang w:bidi="fa-IR"/>
        </w:rPr>
        <w:t xml:space="preserve"> </w:t>
      </w:r>
      <w:r>
        <w:rPr>
          <w:rtl/>
          <w:lang w:bidi="fa-IR"/>
        </w:rPr>
        <w:t xml:space="preserve">بِأَمْرٍ قَرَّتْ بِهِ عَيْنِي ، وَفَرِحَ بِهِ قَلْبِي ، قَالَ : يَا مُحَمَّدُ ، مَنْ غَزَا مِنْ أُمَّتِكَ فِي سَبِيلِ اللهِ ، فَأَصَابَهُ قَطْرَةٌ مِنَ السَّمَاءِ أَوْ صُدَاعٌ </w:t>
      </w:r>
      <w:r w:rsidRPr="00D10E3C">
        <w:rPr>
          <w:rStyle w:val="libFootnotenumChar"/>
          <w:rtl/>
        </w:rPr>
        <w:t>(4)</w:t>
      </w:r>
      <w:r>
        <w:rPr>
          <w:rtl/>
          <w:lang w:bidi="fa-IR"/>
        </w:rPr>
        <w:t xml:space="preserve"> ، كَتَبَ اللهُ - عَزَّ وَجَلَّ - لَهُ شَهَادَةً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8203 / 4. مُحَمَّدُ بْنُ يَحْيى ، عَنْ أَحْمَدَ بْنِ مُحَمَّدِ بْنِ عِيسى ، عَنِ الْحَسَنِ بْنِ مَحْبُوبٍ ، عَنْ بَعْضِ أَصْحَابِهِ ، قَالَ :</w:t>
      </w:r>
    </w:p>
    <w:p w:rsidR="00744A1C" w:rsidRDefault="00744A1C" w:rsidP="00744A1C">
      <w:pPr>
        <w:pStyle w:val="libNormal"/>
        <w:rPr>
          <w:lang w:bidi="fa-IR"/>
        </w:rPr>
      </w:pPr>
      <w:r>
        <w:rPr>
          <w:rtl/>
          <w:lang w:bidi="fa-IR"/>
        </w:rPr>
        <w:t xml:space="preserve">كَتَبَ أَبُو جَعْفَرٍ </w:t>
      </w:r>
      <w:r w:rsidR="0061079A" w:rsidRPr="0061079A">
        <w:rPr>
          <w:rStyle w:val="libAlaemChar"/>
          <w:rtl/>
        </w:rPr>
        <w:t>عليه‌السلام</w:t>
      </w:r>
      <w:r w:rsidR="00D10E3C">
        <w:rPr>
          <w:rtl/>
          <w:lang w:bidi="fa-IR"/>
        </w:rPr>
        <w:t xml:space="preserve"> </w:t>
      </w:r>
      <w:r>
        <w:rPr>
          <w:rtl/>
          <w:lang w:bidi="fa-IR"/>
        </w:rPr>
        <w:t xml:space="preserve">فِي رِسَالَةٍ إِلى بَعْضِ خُلَفَاءِ بَنِي أُمَيَّةَ ، وَمِنْ ذلِكَ : « مَا ضَيَّعَ الْجِهَادَ </w:t>
      </w:r>
      <w:r w:rsidRPr="00D10E3C">
        <w:rPr>
          <w:rStyle w:val="libFootnotenumChar"/>
          <w:rtl/>
        </w:rPr>
        <w:t>(7)</w:t>
      </w:r>
      <w:r>
        <w:rPr>
          <w:rtl/>
          <w:lang w:bidi="fa-IR"/>
        </w:rPr>
        <w:t xml:space="preserve"> الَّذِي فَضَّلَهُ اللهُ - عَزَّ وَجَلَّ - عَلَى الْأَعْمَالِ ، وَفَضَّلَ عَامِلَهُ عَلَى الْعُمَّالِ تَفْضِيلاً‌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المراد من « بإسناده » هو السند المذكور في الخبر السابق إلى رسول الله </w:t>
      </w:r>
      <w:r w:rsidR="00F90866" w:rsidRPr="00F90866">
        <w:rPr>
          <w:rStyle w:val="libFootnoteAlaemChar"/>
          <w:rtl/>
        </w:rPr>
        <w:t>صلى‌الله‌عليه‌وآله</w:t>
      </w:r>
      <w:r w:rsidR="00744A1C">
        <w:rPr>
          <w:rtl/>
          <w:lang w:bidi="fa-IR"/>
        </w:rPr>
        <w:t xml:space="preserve">؛ فقد روى الشيخ الصدوق صدر الخبر في </w:t>
      </w:r>
      <w:r w:rsidR="00744A1C" w:rsidRPr="005D054E">
        <w:rPr>
          <w:rStyle w:val="libFootnoteBoldChar"/>
          <w:rtl/>
        </w:rPr>
        <w:t>الأمالي</w:t>
      </w:r>
      <w:r w:rsidR="00744A1C">
        <w:rPr>
          <w:rtl/>
          <w:lang w:bidi="fa-IR"/>
        </w:rPr>
        <w:t xml:space="preserve"> ، المجلس 85 ، ص 578 ، ح 10 ؛ </w:t>
      </w:r>
      <w:r w:rsidR="00744A1C" w:rsidRPr="004D054E">
        <w:rPr>
          <w:rStyle w:val="libFootnoteBoldChar"/>
          <w:rtl/>
        </w:rPr>
        <w:t>وثواب الأعمال</w:t>
      </w:r>
      <w:r w:rsidR="00744A1C">
        <w:rPr>
          <w:rtl/>
          <w:lang w:bidi="fa-IR"/>
        </w:rPr>
        <w:t xml:space="preserve"> ، ص 225 ، ح 4 ، بسنديه عن [ إسماعيل بن مسلم ] السكوني.</w:t>
      </w:r>
    </w:p>
    <w:p w:rsidR="00744A1C" w:rsidRDefault="00E378DD" w:rsidP="00E378DD">
      <w:pPr>
        <w:pStyle w:val="libFootnote0"/>
        <w:rPr>
          <w:lang w:bidi="fa-IR"/>
        </w:rPr>
      </w:pPr>
      <w:r>
        <w:rPr>
          <w:rtl/>
          <w:lang w:bidi="fa-IR"/>
        </w:rPr>
        <w:t>(2).</w:t>
      </w:r>
      <w:r w:rsidR="00744A1C">
        <w:rPr>
          <w:rtl/>
          <w:lang w:bidi="fa-IR"/>
        </w:rPr>
        <w:t xml:space="preserve"> </w:t>
      </w:r>
      <w:r w:rsidR="00744A1C" w:rsidRPr="005D054E">
        <w:rPr>
          <w:rStyle w:val="libFootnoteBoldChar"/>
          <w:rtl/>
        </w:rPr>
        <w:t>الأردية</w:t>
      </w:r>
      <w:r w:rsidR="00744A1C">
        <w:rPr>
          <w:rtl/>
          <w:lang w:bidi="fa-IR"/>
        </w:rPr>
        <w:t xml:space="preserve"> : جمع الرداء ، وهو الثوب الذي يجعل على العاتقين وبين الكتفين فوق الثياب. راجع : </w:t>
      </w:r>
      <w:r w:rsidR="00744A1C" w:rsidRPr="00877682">
        <w:rPr>
          <w:rStyle w:val="libFootnoteBoldChar"/>
          <w:rtl/>
        </w:rPr>
        <w:t>النهاية</w:t>
      </w:r>
      <w:r w:rsidR="00744A1C">
        <w:rPr>
          <w:rtl/>
          <w:lang w:bidi="fa-IR"/>
        </w:rPr>
        <w:t xml:space="preserve"> ، ج 2 ، ص 217 ( ردا ).</w:t>
      </w:r>
    </w:p>
    <w:p w:rsidR="00744A1C" w:rsidRDefault="00E378DD" w:rsidP="00E378DD">
      <w:pPr>
        <w:pStyle w:val="libFootnote0"/>
        <w:rPr>
          <w:lang w:bidi="fa-IR"/>
        </w:rPr>
      </w:pPr>
      <w:r>
        <w:rPr>
          <w:rtl/>
          <w:lang w:bidi="fa-IR"/>
        </w:rPr>
        <w:t>(3).</w:t>
      </w:r>
      <w:r w:rsidR="00744A1C">
        <w:rPr>
          <w:rtl/>
          <w:lang w:bidi="fa-IR"/>
        </w:rPr>
        <w:t xml:space="preserve"> </w:t>
      </w:r>
      <w:r w:rsidR="00744A1C" w:rsidRPr="005D054E">
        <w:rPr>
          <w:rStyle w:val="libFootnoteBoldChar"/>
          <w:rtl/>
        </w:rPr>
        <w:t>الأمالي للصدوق</w:t>
      </w:r>
      <w:r w:rsidR="00744A1C">
        <w:rPr>
          <w:rtl/>
          <w:lang w:bidi="fa-IR"/>
        </w:rPr>
        <w:t xml:space="preserve"> ، ص 578 ، المجلس 85 ، ح 10 ؛ </w:t>
      </w:r>
      <w:r w:rsidR="00744A1C" w:rsidRPr="004D054E">
        <w:rPr>
          <w:rStyle w:val="libFootnoteBoldChar"/>
          <w:rtl/>
        </w:rPr>
        <w:t>وثواب الأعمال</w:t>
      </w:r>
      <w:r w:rsidR="00744A1C">
        <w:rPr>
          <w:rtl/>
          <w:lang w:bidi="fa-IR"/>
        </w:rPr>
        <w:t xml:space="preserve"> ، ص 225 ، ح 4 ، بسندهما عن السكوني ،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744A1C">
        <w:rPr>
          <w:rtl/>
          <w:lang w:bidi="fa-IR"/>
        </w:rPr>
        <w:t xml:space="preserve"> . وفي </w:t>
      </w:r>
      <w:r w:rsidR="00744A1C" w:rsidRPr="00877682">
        <w:rPr>
          <w:rStyle w:val="libFootnoteBoldChar"/>
          <w:rtl/>
        </w:rPr>
        <w:t>الجعفريّات</w:t>
      </w:r>
      <w:r w:rsidR="00744A1C">
        <w:rPr>
          <w:rtl/>
          <w:lang w:bidi="fa-IR"/>
        </w:rPr>
        <w:t xml:space="preserve"> ، ص 85 ، بسند آخر عن جعفر بن محمّد ، عن آبائه </w:t>
      </w:r>
      <w:r w:rsidR="005D054E" w:rsidRPr="005D054E">
        <w:rPr>
          <w:rStyle w:val="libFootnoteAlaemChar"/>
          <w:rtl/>
        </w:rPr>
        <w:t>عليهم‌السلام</w:t>
      </w:r>
      <w:r w:rsidR="00744A1C">
        <w:rPr>
          <w:rtl/>
          <w:lang w:bidi="fa-IR"/>
        </w:rPr>
        <w:t xml:space="preserve"> عن رسول الله </w:t>
      </w:r>
      <w:r w:rsidR="00F90866" w:rsidRPr="00F90866">
        <w:rPr>
          <w:rStyle w:val="libFootnoteAlaemChar"/>
          <w:rtl/>
        </w:rPr>
        <w:t>صلى‌الله‌عليه‌وآله</w:t>
      </w:r>
      <w:r w:rsidR="00744A1C">
        <w:rPr>
          <w:rtl/>
          <w:lang w:bidi="fa-IR"/>
        </w:rPr>
        <w:t xml:space="preserve"> ، وفي كلّ المصادر إلى قوله : « خيولهم في الجنّة » </w:t>
      </w:r>
      <w:r w:rsidR="005D054E">
        <w:rPr>
          <w:rFonts w:hint="cs"/>
          <w:rtl/>
          <w:lang w:bidi="fa-IR"/>
        </w:rPr>
        <w:t>.</w:t>
      </w:r>
      <w:r w:rsidR="00744A1C" w:rsidRPr="00C24F9C">
        <w:rPr>
          <w:rStyle w:val="libFootnoteBoldChar"/>
          <w:rtl/>
        </w:rPr>
        <w:t>الوافي</w:t>
      </w:r>
      <w:r w:rsidR="00744A1C">
        <w:rPr>
          <w:rtl/>
          <w:lang w:bidi="fa-IR"/>
        </w:rPr>
        <w:t xml:space="preserve"> ، ج 15 ، ص 42 ، ح 14676 ؛ </w:t>
      </w:r>
      <w:r w:rsidR="00744A1C" w:rsidRPr="00C24F9C">
        <w:rPr>
          <w:rStyle w:val="libFootnoteBoldChar"/>
          <w:rtl/>
        </w:rPr>
        <w:t>الوسائل</w:t>
      </w:r>
      <w:r w:rsidR="00744A1C">
        <w:rPr>
          <w:rtl/>
          <w:lang w:bidi="fa-IR"/>
        </w:rPr>
        <w:t xml:space="preserve"> ، ج 15 ، ص 10 ، ح 19903.</w:t>
      </w:r>
    </w:p>
    <w:p w:rsidR="00744A1C" w:rsidRDefault="00E378DD" w:rsidP="00E378DD">
      <w:pPr>
        <w:pStyle w:val="libFootnote0"/>
        <w:rPr>
          <w:lang w:bidi="fa-IR"/>
        </w:rPr>
      </w:pPr>
      <w:r>
        <w:rPr>
          <w:rtl/>
          <w:lang w:bidi="fa-IR"/>
        </w:rPr>
        <w:t>(4).</w:t>
      </w:r>
      <w:r w:rsidR="00744A1C">
        <w:rPr>
          <w:rtl/>
          <w:lang w:bidi="fa-IR"/>
        </w:rPr>
        <w:t xml:space="preserve"> الصُّداع : وجَعُ الرأس. </w:t>
      </w:r>
      <w:r w:rsidR="00744A1C" w:rsidRPr="00877682">
        <w:rPr>
          <w:rStyle w:val="libFootnoteBoldChar"/>
          <w:rtl/>
        </w:rPr>
        <w:t>لسان العرب</w:t>
      </w:r>
      <w:r w:rsidR="00744A1C">
        <w:rPr>
          <w:rtl/>
          <w:lang w:bidi="fa-IR"/>
        </w:rPr>
        <w:t xml:space="preserve"> ، ج 8 ، ص 196 ( صدع ).</w:t>
      </w:r>
    </w:p>
    <w:p w:rsidR="00744A1C" w:rsidRDefault="00E378DD" w:rsidP="00E378DD">
      <w:pPr>
        <w:pStyle w:val="libFootnote0"/>
        <w:rPr>
          <w:lang w:bidi="fa-IR"/>
        </w:rPr>
      </w:pPr>
      <w:r>
        <w:rPr>
          <w:rtl/>
          <w:lang w:bidi="fa-IR"/>
        </w:rPr>
        <w:t>(5).</w:t>
      </w:r>
      <w:r w:rsidR="00744A1C">
        <w:rPr>
          <w:rtl/>
          <w:lang w:bidi="fa-IR"/>
        </w:rPr>
        <w:t xml:space="preserve"> في </w:t>
      </w:r>
      <w:r w:rsidR="00744A1C" w:rsidRPr="005D054E">
        <w:rPr>
          <w:rtl/>
        </w:rPr>
        <w:t>الوسائل</w:t>
      </w:r>
      <w:r w:rsidR="00744A1C">
        <w:rPr>
          <w:rtl/>
          <w:lang w:bidi="fa-IR"/>
        </w:rPr>
        <w:t xml:space="preserve"> : + « يوم القيامة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121 ، ح 206 ؛ </w:t>
      </w:r>
      <w:r w:rsidR="00744A1C" w:rsidRPr="005D054E">
        <w:rPr>
          <w:rStyle w:val="libFootnoteBoldChar"/>
          <w:rtl/>
        </w:rPr>
        <w:t>والأمالي للصدوق</w:t>
      </w:r>
      <w:r w:rsidR="00744A1C">
        <w:rPr>
          <w:rtl/>
          <w:lang w:bidi="fa-IR"/>
        </w:rPr>
        <w:t xml:space="preserve"> ، ص 577 ، المجلس 85 ، ح 7 ؛ </w:t>
      </w:r>
      <w:r w:rsidR="00744A1C" w:rsidRPr="004D054E">
        <w:rPr>
          <w:rStyle w:val="libFootnoteBoldChar"/>
          <w:rtl/>
        </w:rPr>
        <w:t>وثواب الأعمال</w:t>
      </w:r>
      <w:r w:rsidR="00744A1C">
        <w:rPr>
          <w:rtl/>
          <w:lang w:bidi="fa-IR"/>
        </w:rPr>
        <w:t xml:space="preserve"> ، ص 225 ، ح 1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744A1C">
        <w:rPr>
          <w:rtl/>
          <w:lang w:bidi="fa-IR"/>
        </w:rPr>
        <w:t xml:space="preserve">، مع اختلاف يسير </w:t>
      </w:r>
      <w:r w:rsidR="005D054E">
        <w:rPr>
          <w:rFonts w:hint="cs"/>
          <w:rtl/>
          <w:lang w:bidi="fa-IR"/>
        </w:rPr>
        <w:t>.</w:t>
      </w:r>
      <w:r w:rsidR="00744A1C" w:rsidRPr="00C24F9C">
        <w:rPr>
          <w:rStyle w:val="libFootnoteBoldChar"/>
          <w:rtl/>
        </w:rPr>
        <w:t>الوافي</w:t>
      </w:r>
      <w:r w:rsidR="00744A1C">
        <w:rPr>
          <w:rtl/>
          <w:lang w:bidi="fa-IR"/>
        </w:rPr>
        <w:t xml:space="preserve"> ، ج 15 ، ص 42 ، ذيل ح 14676 ؛ </w:t>
      </w:r>
      <w:r w:rsidR="00744A1C" w:rsidRPr="00C24F9C">
        <w:rPr>
          <w:rStyle w:val="libFootnoteBoldChar"/>
          <w:rtl/>
        </w:rPr>
        <w:t>الوسائل</w:t>
      </w:r>
      <w:r w:rsidR="00744A1C">
        <w:rPr>
          <w:rtl/>
          <w:lang w:bidi="fa-IR"/>
        </w:rPr>
        <w:t xml:space="preserve"> ، ج 15 ، ص 11 ، ح 19904 ؛ </w:t>
      </w:r>
      <w:r w:rsidR="00744A1C" w:rsidRPr="0061079A">
        <w:rPr>
          <w:rStyle w:val="libFootnoteBoldChar"/>
          <w:rtl/>
        </w:rPr>
        <w:t>البحار</w:t>
      </w:r>
      <w:r w:rsidR="00744A1C">
        <w:rPr>
          <w:rtl/>
          <w:lang w:bidi="fa-IR"/>
        </w:rPr>
        <w:t xml:space="preserve"> ، ج 100 ، ص 8 ، ح 5.</w:t>
      </w:r>
    </w:p>
    <w:p w:rsidR="00144FA6" w:rsidRDefault="00E378DD" w:rsidP="00E378DD">
      <w:pPr>
        <w:pStyle w:val="libFootnote0"/>
        <w:rPr>
          <w:rtl/>
          <w:lang w:bidi="fa-IR"/>
        </w:rPr>
      </w:pPr>
      <w:r>
        <w:rPr>
          <w:rtl/>
          <w:lang w:bidi="fa-IR"/>
        </w:rPr>
        <w:t>(7).</w:t>
      </w:r>
      <w:r w:rsidR="00744A1C">
        <w:rPr>
          <w:rtl/>
          <w:lang w:bidi="fa-IR"/>
        </w:rPr>
        <w:t xml:space="preserve"> في </w:t>
      </w:r>
      <w:r w:rsidR="00744A1C" w:rsidRPr="00C24F9C">
        <w:rPr>
          <w:rStyle w:val="libFootnoteBoldChar"/>
          <w:rtl/>
        </w:rPr>
        <w:t>الوافي</w:t>
      </w:r>
      <w:r w:rsidR="005D054E">
        <w:rPr>
          <w:rtl/>
          <w:lang w:bidi="fa-IR"/>
        </w:rPr>
        <w:t xml:space="preserve"> : «</w:t>
      </w:r>
      <w:r w:rsidR="00744A1C">
        <w:rPr>
          <w:rtl/>
          <w:lang w:bidi="fa-IR"/>
        </w:rPr>
        <w:t xml:space="preserve">كأنّه </w:t>
      </w:r>
      <w:r w:rsidR="0061079A" w:rsidRPr="0061079A">
        <w:rPr>
          <w:rStyle w:val="libFootnoteAlaemChar"/>
          <w:rtl/>
        </w:rPr>
        <w:t>عليه‌السلام</w:t>
      </w:r>
      <w:r w:rsidR="00D10E3C">
        <w:rPr>
          <w:rtl/>
          <w:lang w:bidi="fa-IR"/>
        </w:rPr>
        <w:t xml:space="preserve"> </w:t>
      </w:r>
      <w:r w:rsidR="00744A1C">
        <w:rPr>
          <w:rtl/>
          <w:lang w:bidi="fa-IR"/>
        </w:rPr>
        <w:t>يعدّد على الخليفة خطاياه ، و</w:t>
      </w:r>
      <w:r w:rsidR="005D054E">
        <w:rPr>
          <w:rtl/>
          <w:lang w:bidi="fa-IR"/>
        </w:rPr>
        <w:t>الضمير في ضيّع - في أوّل الحديث-</w:t>
      </w:r>
      <w:r w:rsidR="00744A1C">
        <w:rPr>
          <w:rtl/>
          <w:lang w:bidi="fa-IR"/>
        </w:rPr>
        <w:t>للخليفة ، وكذا في</w:t>
      </w:r>
      <w:r w:rsidR="005D054E">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5D054E">
      <w:pPr>
        <w:pStyle w:val="libNormal0"/>
        <w:rPr>
          <w:rtl/>
          <w:lang w:bidi="fa-IR"/>
        </w:rPr>
      </w:pPr>
      <w:r>
        <w:rPr>
          <w:rtl/>
          <w:lang w:bidi="fa-IR"/>
        </w:rPr>
        <w:lastRenderedPageBreak/>
        <w:t xml:space="preserve">فِي الدَّرَجَاتِ وَالْمَغْفِرَةِ وَالرَّحْمَةِ ؛ لِأَنَّهُ ظَهَرَ بِهِ الدِّينُ ، وَبِهِ يُدْفَعُ عَنِ الدِّينِ ، وَبِهِ </w:t>
      </w:r>
      <w:r w:rsidRPr="00D10E3C">
        <w:rPr>
          <w:rStyle w:val="libFootnotenumChar"/>
          <w:rtl/>
        </w:rPr>
        <w:t>(1)</w:t>
      </w:r>
      <w:r>
        <w:rPr>
          <w:rtl/>
          <w:lang w:bidi="fa-IR"/>
        </w:rPr>
        <w:t xml:space="preserve"> اشْتَرَى اللهُ مِنَ الْمُؤْمِنِينَ أَنْفُسَهُمْ وَأَمْوَالَهُمْ بِالْجَنَّةِ </w:t>
      </w:r>
      <w:r w:rsidRPr="00D10E3C">
        <w:rPr>
          <w:rStyle w:val="libFootnotenumChar"/>
          <w:rtl/>
        </w:rPr>
        <w:t>(2)</w:t>
      </w:r>
      <w:r>
        <w:rPr>
          <w:rtl/>
          <w:lang w:bidi="fa-IR"/>
        </w:rPr>
        <w:t xml:space="preserve"> بَيْعاً مُفْلِحاً مُنْجِحاً </w:t>
      </w:r>
      <w:r w:rsidRPr="00D10E3C">
        <w:rPr>
          <w:rStyle w:val="libFootnotenumChar"/>
          <w:rtl/>
        </w:rPr>
        <w:t>(3)</w:t>
      </w:r>
      <w:r>
        <w:rPr>
          <w:rtl/>
          <w:lang w:bidi="fa-IR"/>
        </w:rPr>
        <w:t xml:space="preserve"> ، اشْتَرَطَ عَلَيْهِمْ فِيهِ حِفْظَ الْحُدُودِ ، وَأَوَّلُ </w:t>
      </w:r>
      <w:r w:rsidRPr="00D10E3C">
        <w:rPr>
          <w:rStyle w:val="libFootnotenumChar"/>
          <w:rtl/>
        </w:rPr>
        <w:t>(4)</w:t>
      </w:r>
      <w:r>
        <w:rPr>
          <w:rtl/>
          <w:lang w:bidi="fa-IR"/>
        </w:rPr>
        <w:t xml:space="preserve"> ذلِكَ الدُّعَاءُ إِلى طَاعَةِ اللهِ - عَزَّ وَجَلَّ - مِنْ طَاعَةِ الْعِبَادِ ، وَإِلَى عِبَادَةِ اللهِ مِنْ عِبَادَةِ الْعِبَادِ ، وَإِلى وَلَايَةِ اللهِ مِنْ وَلَايَةِ الْعِبَادِ ، فَمَنْ دُعِيَ إِلَى الْجِزْيَةِ فَأَبى ، قُتِلَ وَسُبِيَ أَهْلُهُ ، وَلَيْسَ الدُّعَاءُ مِنْ طَاعَةِ عَبْدٍ إِلى طَاعَةِ عَبْدٍ مِثْلِهِ </w:t>
      </w:r>
      <w:r w:rsidRPr="00D10E3C">
        <w:rPr>
          <w:rStyle w:val="libFootnotenumChar"/>
          <w:rtl/>
        </w:rPr>
        <w:t>(5)</w:t>
      </w:r>
      <w:r>
        <w:rPr>
          <w:rtl/>
          <w:lang w:bidi="fa-IR"/>
        </w:rPr>
        <w:t xml:space="preserve"> ، وَمَنْ أَقَرَّ بِالْجِزْيَةِ لَمْ يُتَعَدَّ عَلَيْهِ ، وَلَمْ تُخْفَرْ </w:t>
      </w:r>
      <w:r w:rsidRPr="00D10E3C">
        <w:rPr>
          <w:rStyle w:val="libFootnotenumChar"/>
          <w:rtl/>
        </w:rPr>
        <w:t>(6)</w:t>
      </w:r>
      <w:r>
        <w:rPr>
          <w:rtl/>
          <w:lang w:bidi="fa-IR"/>
        </w:rPr>
        <w:t xml:space="preserve"> ذِمَّتُهُ ، وَكُلِّفَ دُونَ طَاقَتِهِ ، وَكَانَ الْفَيْ‌ءُ لِلْمُسْلِمِينَ عَامَّةً غَيْرَ خَاصَّةٍ ، وَإِنْ كَانَ قِتَالٌ وَسَبْيٌ ، سِيرَ </w:t>
      </w:r>
      <w:r w:rsidRPr="00D10E3C">
        <w:rPr>
          <w:rStyle w:val="libFootnotenumChar"/>
          <w:rtl/>
        </w:rPr>
        <w:t>(7)</w:t>
      </w:r>
      <w:r>
        <w:rPr>
          <w:rtl/>
          <w:lang w:bidi="fa-IR"/>
        </w:rPr>
        <w:t xml:space="preserve"> فِي ذلِكَ بِسِيرَتِهِ </w:t>
      </w:r>
      <w:r w:rsidRPr="00D10E3C">
        <w:rPr>
          <w:rStyle w:val="libFootnotenumChar"/>
          <w:rtl/>
        </w:rPr>
        <w:t>(8)</w:t>
      </w:r>
      <w:r>
        <w:rPr>
          <w:rtl/>
          <w:lang w:bidi="fa-IR"/>
        </w:rPr>
        <w:t xml:space="preserve"> ، وَعُمِلَ </w:t>
      </w:r>
      <w:r w:rsidRPr="00D10E3C">
        <w:rPr>
          <w:rStyle w:val="libFootnotenumChar"/>
          <w:rtl/>
        </w:rPr>
        <w:t>(9)</w:t>
      </w:r>
      <w:r>
        <w:rPr>
          <w:rtl/>
          <w:lang w:bidi="fa-IR"/>
        </w:rPr>
        <w:t xml:space="preserve"> فِي ذلِكَ بِسُنَّتِهِ مِنَ الدِّينِ ، ثُمَّ كَلَّفَ الْأَعْمى وَالْأَعْرَجَ وَالَّذِينَ </w:t>
      </w:r>
      <w:r w:rsidRPr="00D10E3C">
        <w:rPr>
          <w:rStyle w:val="libFootnotenumChar"/>
          <w:rtl/>
        </w:rPr>
        <w:t>(10)</w:t>
      </w:r>
      <w:r>
        <w:rPr>
          <w:rtl/>
          <w:lang w:bidi="fa-IR"/>
        </w:rPr>
        <w:t xml:space="preserve"> لَايَجِدُونَ مَا يُنْفِقُونَ عَلَى الْجِهَادِ بَعْدَ عُذْرِ اللهِ - عَزَّ وَجَلَّ - إِيَّاهُمْ ، وَيُكَلِّفُ الَّذِينَ يُطِيقُونَ مَا لَا يُطِيقُونَ ، وَإِنَّمَا </w:t>
      </w:r>
      <w:r w:rsidRPr="00D10E3C">
        <w:rPr>
          <w:rStyle w:val="libFootnotenumChar"/>
          <w:rtl/>
        </w:rPr>
        <w:t>(11)</w:t>
      </w:r>
      <w:r>
        <w:rPr>
          <w:rtl/>
          <w:lang w:bidi="fa-IR"/>
        </w:rPr>
        <w:t xml:space="preserve"> كَانُوا </w:t>
      </w:r>
      <w:r w:rsidRPr="00D10E3C">
        <w:rPr>
          <w:rStyle w:val="libFootnotenumChar"/>
          <w:rtl/>
        </w:rPr>
        <w:t>(12)</w:t>
      </w:r>
      <w:r>
        <w:rPr>
          <w:rtl/>
          <w:lang w:bidi="fa-IR"/>
        </w:rPr>
        <w:t xml:space="preserve"> أَهْلَ مِصْرٍ يُقَاتِلُونَ </w:t>
      </w:r>
      <w:r w:rsidRPr="00D10E3C">
        <w:rPr>
          <w:rStyle w:val="libFootnotenumChar"/>
          <w:rtl/>
        </w:rPr>
        <w:t>(13)</w:t>
      </w:r>
      <w:r>
        <w:rPr>
          <w:rtl/>
          <w:lang w:bidi="fa-IR"/>
        </w:rPr>
        <w:t xml:space="preserve"> مَنْ يَلِيهِ ، يُعْدَلُ بَيْنَهُمْ فِي الْبُعُوثِ </w:t>
      </w:r>
      <w:r w:rsidRPr="00D10E3C">
        <w:rPr>
          <w:rStyle w:val="libFootnotenumChar"/>
          <w:rtl/>
        </w:rPr>
        <w:t>(14)</w:t>
      </w:r>
      <w:r>
        <w:rPr>
          <w:rtl/>
          <w:lang w:bidi="fa-IR"/>
        </w:rPr>
        <w:t xml:space="preserve"> ،</w:t>
      </w:r>
    </w:p>
    <w:p w:rsidR="00744A1C" w:rsidRDefault="00744A1C" w:rsidP="00D10E3C">
      <w:pPr>
        <w:pStyle w:val="libLine"/>
        <w:rPr>
          <w:lang w:bidi="fa-IR"/>
        </w:rPr>
      </w:pPr>
      <w:r>
        <w:rPr>
          <w:rtl/>
          <w:lang w:bidi="fa-IR"/>
        </w:rPr>
        <w:t>____________________</w:t>
      </w:r>
    </w:p>
    <w:p w:rsidR="00744A1C" w:rsidRDefault="005D054E" w:rsidP="00D10E3C">
      <w:pPr>
        <w:pStyle w:val="libFootnote0"/>
        <w:rPr>
          <w:lang w:bidi="fa-IR"/>
        </w:rPr>
      </w:pPr>
      <w:r>
        <w:rPr>
          <w:rFonts w:hint="cs"/>
          <w:rtl/>
          <w:lang w:bidi="fa-IR"/>
        </w:rPr>
        <w:t xml:space="preserve">= </w:t>
      </w:r>
      <w:r w:rsidR="00744A1C">
        <w:rPr>
          <w:rtl/>
          <w:lang w:bidi="fa-IR"/>
        </w:rPr>
        <w:t>قوله : ثمّ كلّف الأعمى ، ويكلّف ، ويحتمل البناء للمفعول ».</w:t>
      </w:r>
    </w:p>
    <w:tbl>
      <w:tblPr>
        <w:tblStyle w:val="TableGrid"/>
        <w:bidiVisual/>
        <w:tblW w:w="0" w:type="auto"/>
        <w:tblLook w:val="04A0" w:firstRow="1" w:lastRow="0" w:firstColumn="1" w:lastColumn="0" w:noHBand="0" w:noVBand="1"/>
      </w:tblPr>
      <w:tblGrid>
        <w:gridCol w:w="4006"/>
        <w:gridCol w:w="4006"/>
      </w:tblGrid>
      <w:tr w:rsidR="005D054E" w:rsidTr="005D054E">
        <w:tc>
          <w:tcPr>
            <w:tcW w:w="4006" w:type="dxa"/>
          </w:tcPr>
          <w:p w:rsidR="005D054E" w:rsidRDefault="005D054E" w:rsidP="00D10E3C">
            <w:pPr>
              <w:pStyle w:val="libFootnote0"/>
              <w:rPr>
                <w:rtl/>
                <w:lang w:bidi="fa-IR"/>
              </w:rPr>
            </w:pPr>
            <w:r>
              <w:rPr>
                <w:rtl/>
                <w:lang w:bidi="fa-IR"/>
              </w:rPr>
              <w:t xml:space="preserve">(1). في </w:t>
            </w:r>
            <w:r w:rsidRPr="005D054E">
              <w:rPr>
                <w:rtl/>
              </w:rPr>
              <w:t>الوافي</w:t>
            </w:r>
            <w:r>
              <w:rPr>
                <w:rtl/>
                <w:lang w:bidi="fa-IR"/>
              </w:rPr>
              <w:t xml:space="preserve"> : - « وبه ».</w:t>
            </w:r>
          </w:p>
        </w:tc>
        <w:tc>
          <w:tcPr>
            <w:tcW w:w="4006" w:type="dxa"/>
          </w:tcPr>
          <w:p w:rsidR="005D054E" w:rsidRDefault="005D054E" w:rsidP="00D10E3C">
            <w:pPr>
              <w:pStyle w:val="libFootnote0"/>
              <w:rPr>
                <w:rtl/>
                <w:lang w:bidi="fa-IR"/>
              </w:rPr>
            </w:pPr>
            <w:r>
              <w:rPr>
                <w:rtl/>
                <w:lang w:bidi="fa-IR"/>
              </w:rPr>
              <w:t>(2). في حاشية «بح»:«بأنّ لهم الجنّة » بدل «بالجنّة».</w:t>
            </w:r>
          </w:p>
        </w:tc>
      </w:tr>
    </w:tbl>
    <w:p w:rsidR="00744A1C" w:rsidRPr="005D054E" w:rsidRDefault="00E378DD" w:rsidP="005D054E">
      <w:pPr>
        <w:pStyle w:val="libFootnote0"/>
      </w:pPr>
      <w:r w:rsidRPr="005D054E">
        <w:rPr>
          <w:rtl/>
        </w:rPr>
        <w:t>(3).</w:t>
      </w:r>
      <w:r w:rsidR="005D054E" w:rsidRPr="005D054E">
        <w:rPr>
          <w:rtl/>
        </w:rPr>
        <w:t xml:space="preserve"> ال</w:t>
      </w:r>
      <w:r w:rsidR="005D054E" w:rsidRPr="005D054E">
        <w:rPr>
          <w:rFonts w:hint="cs"/>
          <w:rtl/>
        </w:rPr>
        <w:t>مـُ</w:t>
      </w:r>
      <w:r w:rsidR="00744A1C" w:rsidRPr="005D054E">
        <w:rPr>
          <w:rtl/>
        </w:rPr>
        <w:t xml:space="preserve">نْجِحُ : ذو نُجْح ، وهو الظفر بالشي‌ء. </w:t>
      </w:r>
      <w:r w:rsidR="00744A1C" w:rsidRPr="005D054E">
        <w:rPr>
          <w:rStyle w:val="libFootnoteBoldChar"/>
          <w:rtl/>
        </w:rPr>
        <w:t>لسان العرب</w:t>
      </w:r>
      <w:r w:rsidR="00744A1C" w:rsidRPr="005D054E">
        <w:rPr>
          <w:rtl/>
        </w:rPr>
        <w:t xml:space="preserve"> ، ج 2 ، ص 611 ( نجح ).</w:t>
      </w:r>
    </w:p>
    <w:p w:rsidR="00744A1C" w:rsidRDefault="00E378DD" w:rsidP="00E378DD">
      <w:pPr>
        <w:pStyle w:val="libFootnote0"/>
        <w:rPr>
          <w:lang w:bidi="fa-IR"/>
        </w:rPr>
      </w:pPr>
      <w:r>
        <w:rPr>
          <w:rtl/>
          <w:lang w:bidi="fa-IR"/>
        </w:rPr>
        <w:t>(4).</w:t>
      </w:r>
      <w:r w:rsidR="00744A1C">
        <w:rPr>
          <w:rtl/>
          <w:lang w:bidi="fa-IR"/>
        </w:rPr>
        <w:t xml:space="preserve"> في « ى ، بح ، بف ، جت ، جد » </w:t>
      </w:r>
      <w:r w:rsidR="00744A1C" w:rsidRPr="005D054E">
        <w:rPr>
          <w:rtl/>
        </w:rPr>
        <w:t>والوافي</w:t>
      </w:r>
      <w:r w:rsidR="00744A1C">
        <w:rPr>
          <w:rtl/>
          <w:lang w:bidi="fa-IR"/>
        </w:rPr>
        <w:t xml:space="preserve"> : « أوّل » بدون الواو.</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لعلّه إشارة إلى بغيه على المسلمين أو أهل ال</w:t>
      </w:r>
      <w:r w:rsidR="005D054E">
        <w:rPr>
          <w:rtl/>
          <w:lang w:bidi="fa-IR"/>
        </w:rPr>
        <w:t>ذمّة لم</w:t>
      </w:r>
      <w:r w:rsidR="005D054E">
        <w:rPr>
          <w:rFonts w:hint="cs"/>
          <w:rtl/>
          <w:lang w:bidi="fa-IR"/>
        </w:rPr>
        <w:t>ـّ</w:t>
      </w:r>
      <w:r w:rsidR="00744A1C">
        <w:rPr>
          <w:rtl/>
          <w:lang w:bidi="fa-IR"/>
        </w:rPr>
        <w:t>ا أطاعوا غيره ، وتخطئة إيّاه فيه ، وكذا ما بعده‌</w:t>
      </w:r>
      <w:r w:rsidR="005D054E">
        <w:rPr>
          <w:rFonts w:hint="cs"/>
          <w:rtl/>
          <w:lang w:bidi="fa-IR"/>
        </w:rPr>
        <w:t xml:space="preserve"> </w:t>
      </w:r>
      <w:r w:rsidR="00744A1C">
        <w:rPr>
          <w:rtl/>
          <w:lang w:bidi="fa-IR"/>
        </w:rPr>
        <w:t>تخطئة له فيما كان يفعله ».</w:t>
      </w:r>
    </w:p>
    <w:p w:rsidR="00744A1C" w:rsidRDefault="00E378DD" w:rsidP="005D054E">
      <w:pPr>
        <w:pStyle w:val="libFootnote0"/>
        <w:rPr>
          <w:lang w:bidi="fa-IR"/>
        </w:rPr>
      </w:pPr>
      <w:r>
        <w:rPr>
          <w:rtl/>
          <w:lang w:bidi="fa-IR"/>
        </w:rPr>
        <w:t>(6).</w:t>
      </w:r>
      <w:r w:rsidR="00744A1C">
        <w:rPr>
          <w:rtl/>
          <w:lang w:bidi="fa-IR"/>
        </w:rPr>
        <w:t xml:space="preserve"> في « جت » : « ولم يخفر ». والذمّة : العهد. وإخفار الذمّة : عدم الوفاء بها. راجع : </w:t>
      </w:r>
      <w:r w:rsidR="00744A1C" w:rsidRPr="00877682">
        <w:rPr>
          <w:rStyle w:val="libFootnoteBoldChar"/>
          <w:rtl/>
        </w:rPr>
        <w:t>لسان العرب</w:t>
      </w:r>
      <w:r w:rsidR="00744A1C">
        <w:rPr>
          <w:rtl/>
          <w:lang w:bidi="fa-IR"/>
        </w:rPr>
        <w:t xml:space="preserve"> ، ج 4 ، ص 254 ( خفر ) ؛ وج 12 ، ص 221 ( ذمم ).</w:t>
      </w:r>
      <w:r w:rsidR="005D054E">
        <w:rPr>
          <w:rFonts w:hint="cs"/>
          <w:rtl/>
          <w:lang w:bidi="fa-IR"/>
        </w:rPr>
        <w:t xml:space="preserve">   </w:t>
      </w:r>
      <w:r w:rsidR="004C2BAB">
        <w:rPr>
          <w:rFonts w:hint="cs"/>
          <w:rtl/>
          <w:lang w:bidi="fa-IR"/>
        </w:rPr>
        <w:t xml:space="preserve">   </w:t>
      </w:r>
      <w:r>
        <w:rPr>
          <w:rtl/>
          <w:lang w:bidi="fa-IR"/>
        </w:rPr>
        <w:t>(7).</w:t>
      </w:r>
      <w:r w:rsidR="00744A1C">
        <w:rPr>
          <w:rtl/>
          <w:lang w:bidi="fa-IR"/>
        </w:rPr>
        <w:t xml:space="preserve"> في « ى ، جت ، جن » : « يسير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المجرور في قوله : بسيرته ، وسنّته ، يعود إلى القتال والسبي ؛ يعني ينظر إليه من أيّ أنواعه ، فيعمل به ما تقتضيه ، ويحتمل عوده إلى رسول الله </w:t>
      </w:r>
      <w:r w:rsidR="00F90866" w:rsidRPr="00F90866">
        <w:rPr>
          <w:rStyle w:val="libFootnoteAlaemChar"/>
          <w:rtl/>
        </w:rPr>
        <w:t>صلى‌الله‌عليه‌وآله</w:t>
      </w:r>
      <w:r w:rsidR="004C2BAB">
        <w:rPr>
          <w:rtl/>
          <w:lang w:bidi="fa-IR"/>
        </w:rPr>
        <w:t>. وهو وإن لم يجر له ذكر إل</w:t>
      </w:r>
      <w:r w:rsidR="004C2BAB">
        <w:rPr>
          <w:rFonts w:hint="cs"/>
          <w:rtl/>
          <w:lang w:bidi="fa-IR"/>
        </w:rPr>
        <w:t>ّ</w:t>
      </w:r>
      <w:r w:rsidR="004C2BAB">
        <w:rPr>
          <w:rtl/>
          <w:lang w:bidi="fa-IR"/>
        </w:rPr>
        <w:t>ا</w:t>
      </w:r>
      <w:r w:rsidR="00744A1C">
        <w:rPr>
          <w:rtl/>
          <w:lang w:bidi="fa-IR"/>
        </w:rPr>
        <w:t xml:space="preserve"> أنّ سياق الكلام يدلّ عليه ».</w:t>
      </w:r>
    </w:p>
    <w:p w:rsidR="00744A1C" w:rsidRDefault="00E378DD" w:rsidP="00E378DD">
      <w:pPr>
        <w:pStyle w:val="libFootnote0"/>
        <w:rPr>
          <w:lang w:bidi="fa-IR"/>
        </w:rPr>
      </w:pPr>
      <w:r>
        <w:rPr>
          <w:rtl/>
          <w:lang w:bidi="fa-IR"/>
        </w:rPr>
        <w:t>(9).</w:t>
      </w:r>
      <w:r w:rsidR="00744A1C">
        <w:rPr>
          <w:rtl/>
          <w:lang w:bidi="fa-IR"/>
        </w:rPr>
        <w:t xml:space="preserve"> في </w:t>
      </w:r>
      <w:r w:rsidR="00744A1C" w:rsidRPr="004C2BAB">
        <w:rPr>
          <w:rtl/>
        </w:rPr>
        <w:t>الوسائل</w:t>
      </w:r>
      <w:r w:rsidR="00744A1C">
        <w:rPr>
          <w:rtl/>
          <w:lang w:bidi="fa-IR"/>
        </w:rPr>
        <w:t xml:space="preserve"> : + « فيه ».</w:t>
      </w:r>
    </w:p>
    <w:p w:rsidR="00744A1C" w:rsidRDefault="00E378DD" w:rsidP="00E378DD">
      <w:pPr>
        <w:pStyle w:val="libFootnote0"/>
        <w:rPr>
          <w:lang w:bidi="fa-IR"/>
        </w:rPr>
      </w:pPr>
      <w:r>
        <w:rPr>
          <w:rtl/>
          <w:lang w:bidi="fa-IR"/>
        </w:rPr>
        <w:t>(10).</w:t>
      </w:r>
      <w:r w:rsidR="00744A1C">
        <w:rPr>
          <w:rtl/>
          <w:lang w:bidi="fa-IR"/>
        </w:rPr>
        <w:t xml:space="preserve"> هكذا في « ى ، بح ، بس » </w:t>
      </w:r>
      <w:r w:rsidR="00744A1C" w:rsidRPr="004C2BAB">
        <w:rPr>
          <w:rtl/>
        </w:rPr>
        <w:t>والوافي والوسائل</w:t>
      </w:r>
      <w:r w:rsidR="00744A1C">
        <w:rPr>
          <w:rtl/>
          <w:lang w:bidi="fa-IR"/>
        </w:rPr>
        <w:t>. وفي سائر النسخ والمطبوع : « الذين » بدون الواو.</w:t>
      </w:r>
    </w:p>
    <w:tbl>
      <w:tblPr>
        <w:tblStyle w:val="TableGrid"/>
        <w:bidiVisual/>
        <w:tblW w:w="0" w:type="auto"/>
        <w:tblLook w:val="04A0" w:firstRow="1" w:lastRow="0" w:firstColumn="1" w:lastColumn="0" w:noHBand="0" w:noVBand="1"/>
      </w:tblPr>
      <w:tblGrid>
        <w:gridCol w:w="4006"/>
        <w:gridCol w:w="4006"/>
      </w:tblGrid>
      <w:tr w:rsidR="004C2BAB" w:rsidTr="004C2BAB">
        <w:tc>
          <w:tcPr>
            <w:tcW w:w="4006" w:type="dxa"/>
          </w:tcPr>
          <w:p w:rsidR="004C2BAB" w:rsidRDefault="004C2BAB" w:rsidP="00E378DD">
            <w:pPr>
              <w:pStyle w:val="libFootnote0"/>
              <w:rPr>
                <w:rtl/>
                <w:lang w:bidi="fa-IR"/>
              </w:rPr>
            </w:pPr>
            <w:r>
              <w:rPr>
                <w:rtl/>
                <w:lang w:bidi="fa-IR"/>
              </w:rPr>
              <w:t>(11). في « بس » : « وإن ».</w:t>
            </w:r>
          </w:p>
        </w:tc>
        <w:tc>
          <w:tcPr>
            <w:tcW w:w="4006" w:type="dxa"/>
          </w:tcPr>
          <w:p w:rsidR="004C2BAB" w:rsidRDefault="004C2BAB" w:rsidP="00E378DD">
            <w:pPr>
              <w:pStyle w:val="libFootnote0"/>
              <w:rPr>
                <w:rtl/>
                <w:lang w:bidi="fa-IR"/>
              </w:rPr>
            </w:pPr>
            <w:r>
              <w:rPr>
                <w:rtl/>
                <w:lang w:bidi="fa-IR"/>
              </w:rPr>
              <w:t xml:space="preserve">(12). في « ى ، بس ، جد » </w:t>
            </w:r>
            <w:r w:rsidRPr="004C2BAB">
              <w:rPr>
                <w:rtl/>
              </w:rPr>
              <w:t>والوسائل</w:t>
            </w:r>
            <w:r>
              <w:rPr>
                <w:rtl/>
                <w:lang w:bidi="fa-IR"/>
              </w:rPr>
              <w:t xml:space="preserve"> : « كان ».</w:t>
            </w:r>
          </w:p>
        </w:tc>
      </w:tr>
    </w:tbl>
    <w:p w:rsidR="00744A1C" w:rsidRDefault="00E378DD" w:rsidP="00E378DD">
      <w:pPr>
        <w:pStyle w:val="libFootnote0"/>
        <w:rPr>
          <w:lang w:bidi="fa-IR"/>
        </w:rPr>
      </w:pPr>
      <w:r>
        <w:rPr>
          <w:rtl/>
          <w:lang w:bidi="fa-IR"/>
        </w:rPr>
        <w:t>(13).</w:t>
      </w:r>
      <w:r w:rsidR="00744A1C">
        <w:rPr>
          <w:rtl/>
          <w:lang w:bidi="fa-IR"/>
        </w:rPr>
        <w:t xml:space="preserve"> في </w:t>
      </w:r>
      <w:r w:rsidR="00744A1C" w:rsidRPr="004C2BAB">
        <w:rPr>
          <w:rtl/>
        </w:rPr>
        <w:t>الوسائل</w:t>
      </w:r>
      <w:r w:rsidR="00744A1C">
        <w:rPr>
          <w:rtl/>
          <w:lang w:bidi="fa-IR"/>
        </w:rPr>
        <w:t xml:space="preserve"> : « يقاتل ».</w:t>
      </w:r>
    </w:p>
    <w:p w:rsidR="00744A1C" w:rsidRDefault="00E378DD" w:rsidP="00E378DD">
      <w:pPr>
        <w:pStyle w:val="libFootnote0"/>
        <w:rPr>
          <w:lang w:bidi="fa-IR"/>
        </w:rPr>
      </w:pPr>
      <w:r>
        <w:rPr>
          <w:rtl/>
          <w:lang w:bidi="fa-IR"/>
        </w:rPr>
        <w:t>(14).</w:t>
      </w:r>
      <w:r w:rsidR="00744A1C">
        <w:rPr>
          <w:rtl/>
          <w:lang w:bidi="fa-IR"/>
        </w:rPr>
        <w:t xml:space="preserve"> في « جت » : « البعيث ». و « البعوث » : جمع البعث بمعنى الجيش ، تسمية بالمصدر ، أو هو بمعنى المصدر ، أي البعوث إلى الجهاد ، كما هو الظاهر من </w:t>
      </w:r>
      <w:r w:rsidR="00744A1C" w:rsidRPr="00C24F9C">
        <w:rPr>
          <w:rStyle w:val="libFootnoteBoldChar"/>
          <w:rtl/>
        </w:rPr>
        <w:t>المرآة</w:t>
      </w:r>
      <w:r w:rsidR="00744A1C">
        <w:rPr>
          <w:rtl/>
          <w:lang w:bidi="fa-IR"/>
        </w:rPr>
        <w:t xml:space="preserve">. راجع : </w:t>
      </w:r>
      <w:r w:rsidR="00744A1C" w:rsidRPr="00877682">
        <w:rPr>
          <w:rStyle w:val="libFootnoteBoldChar"/>
          <w:rtl/>
        </w:rPr>
        <w:t>لسان العرب</w:t>
      </w:r>
      <w:r w:rsidR="00744A1C">
        <w:rPr>
          <w:rtl/>
          <w:lang w:bidi="fa-IR"/>
        </w:rPr>
        <w:t xml:space="preserve"> ، ج 2 ، ص 116 ( بعث ).</w:t>
      </w:r>
    </w:p>
    <w:p w:rsidR="006A5060" w:rsidRDefault="006A5060" w:rsidP="00D10E3C">
      <w:pPr>
        <w:pStyle w:val="libNormal"/>
        <w:rPr>
          <w:rtl/>
          <w:lang w:bidi="fa-IR"/>
        </w:rPr>
      </w:pPr>
      <w:r>
        <w:rPr>
          <w:rtl/>
          <w:lang w:bidi="fa-IR"/>
        </w:rPr>
        <w:br w:type="page"/>
      </w:r>
    </w:p>
    <w:p w:rsidR="00144FA6" w:rsidRDefault="00744A1C" w:rsidP="004C2BAB">
      <w:pPr>
        <w:pStyle w:val="libNormal0"/>
        <w:rPr>
          <w:rtl/>
          <w:lang w:bidi="fa-IR"/>
        </w:rPr>
      </w:pPr>
      <w:r>
        <w:rPr>
          <w:rtl/>
          <w:lang w:bidi="fa-IR"/>
        </w:rPr>
        <w:lastRenderedPageBreak/>
        <w:t xml:space="preserve">فَذَهَبَ </w:t>
      </w:r>
      <w:r w:rsidRPr="00D10E3C">
        <w:rPr>
          <w:rStyle w:val="libFootnotenumChar"/>
          <w:rtl/>
        </w:rPr>
        <w:t>(1)</w:t>
      </w:r>
      <w:r>
        <w:rPr>
          <w:rtl/>
          <w:lang w:bidi="fa-IR"/>
        </w:rPr>
        <w:t xml:space="preserve"> ذلِكَ </w:t>
      </w:r>
      <w:r w:rsidRPr="00D10E3C">
        <w:rPr>
          <w:rStyle w:val="libFootnotenumChar"/>
          <w:rtl/>
        </w:rPr>
        <w:t>(2)</w:t>
      </w:r>
      <w:r>
        <w:rPr>
          <w:rtl/>
          <w:lang w:bidi="fa-IR"/>
        </w:rPr>
        <w:t xml:space="preserve"> كُلُّهُ حَتّى عَادَ النَّاسُ رَجُلَيْنِ : أَجِيرٌ مُؤْتَجِرٌ بَعْدَ بَيْعِ اللهِ ، وَمُسْتَأْجِرٌ صَاحِبَهُ </w:t>
      </w:r>
      <w:r w:rsidRPr="00D10E3C">
        <w:rPr>
          <w:rStyle w:val="libFootnotenumChar"/>
          <w:rtl/>
        </w:rPr>
        <w:t>(3)</w:t>
      </w:r>
      <w:r>
        <w:rPr>
          <w:rtl/>
          <w:lang w:bidi="fa-IR"/>
        </w:rPr>
        <w:t xml:space="preserve"> غَارِمٌ بَعْدَ </w:t>
      </w:r>
      <w:r w:rsidRPr="00D10E3C">
        <w:rPr>
          <w:rStyle w:val="libFootnotenumChar"/>
          <w:rtl/>
        </w:rPr>
        <w:t>(4)</w:t>
      </w:r>
      <w:r>
        <w:rPr>
          <w:rtl/>
          <w:lang w:bidi="fa-IR"/>
        </w:rPr>
        <w:t xml:space="preserve"> عُذْرِ اللهِ ، وَذَهَبَ الْحَجُّ </w:t>
      </w:r>
      <w:r w:rsidRPr="00D10E3C">
        <w:rPr>
          <w:rStyle w:val="libFootnotenumChar"/>
          <w:rtl/>
        </w:rPr>
        <w:t>(5)</w:t>
      </w:r>
      <w:r>
        <w:rPr>
          <w:rtl/>
          <w:lang w:bidi="fa-IR"/>
        </w:rPr>
        <w:t xml:space="preserve"> فَضُيِّعَ ، وَافْتَقَرَ النَّاسُ ، فَمَنْ أَعْوَجُ مِمَّنْ عَوَّجَ هذا؟ وَمَنْ أَقْوَمُ مِمَّنْ أَقَامَ هذا؟ فَرَدَّ الْجِهَادَ عَلَى الْعِبَادِ ، وَزَادَ الْجِهَادَ عَلَى الْعِبَادِ </w:t>
      </w:r>
      <w:r w:rsidRPr="00D10E3C">
        <w:rPr>
          <w:rStyle w:val="libFootnotenumChar"/>
          <w:rtl/>
        </w:rPr>
        <w:t>(6)</w:t>
      </w:r>
      <w:r>
        <w:rPr>
          <w:rtl/>
          <w:lang w:bidi="fa-IR"/>
        </w:rPr>
        <w:t xml:space="preserve"> ؛ إِنَّ </w:t>
      </w:r>
      <w:r w:rsidRPr="00D10E3C">
        <w:rPr>
          <w:rStyle w:val="libFootnotenumChar"/>
          <w:rtl/>
        </w:rPr>
        <w:t>(7)</w:t>
      </w:r>
      <w:r w:rsidR="004C2BAB">
        <w:rPr>
          <w:rtl/>
          <w:lang w:bidi="fa-IR"/>
        </w:rPr>
        <w:t xml:space="preserve"> ذلِكَ خَطَأٌ عَظِيمٌ</w:t>
      </w:r>
      <w:r>
        <w:rPr>
          <w:rtl/>
          <w:lang w:bidi="fa-IR"/>
        </w:rPr>
        <w:t xml:space="preserve">». </w:t>
      </w:r>
      <w:r w:rsidRPr="00D10E3C">
        <w:rPr>
          <w:rStyle w:val="libFootnotenumChar"/>
          <w:rtl/>
        </w:rPr>
        <w:t>(8)</w:t>
      </w:r>
    </w:p>
    <w:p w:rsidR="00144FA6" w:rsidRDefault="00744A1C" w:rsidP="00744A1C">
      <w:pPr>
        <w:pStyle w:val="libNormal"/>
        <w:rPr>
          <w:rtl/>
          <w:lang w:bidi="fa-IR"/>
        </w:rPr>
      </w:pPr>
      <w:r>
        <w:rPr>
          <w:rtl/>
          <w:lang w:bidi="fa-IR"/>
        </w:rPr>
        <w:t>8204 / 5. عِدَّةٌ مِنْ أَصْحَابِنَا ، عَنْ أَحْمَدَ بْنِ مُحَمَّدِ بْنِ خَالِدٍ ، عَنْ بَعْضِ أَصْحَابِهِ ، عَنْ‌ عَبْدِ اللهِ بْنِ عَبْدِ الرَّحْمنِ الْأَصَمِّ ، عَنْ حَيْدَرَةَ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الْجِهَادُ أَفْضَلُ الْأَشْيَاءِ بَعْدَ الْفَرَائِضِ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4C2BAB" w:rsidTr="004C2BAB">
        <w:tc>
          <w:tcPr>
            <w:tcW w:w="4006" w:type="dxa"/>
          </w:tcPr>
          <w:p w:rsidR="004C2BAB" w:rsidRDefault="00A6581D" w:rsidP="00D10E3C">
            <w:pPr>
              <w:pStyle w:val="libFootnote0"/>
              <w:rPr>
                <w:rtl/>
                <w:lang w:bidi="fa-IR"/>
              </w:rPr>
            </w:pPr>
            <w:r>
              <w:rPr>
                <w:rtl/>
                <w:lang w:bidi="fa-IR"/>
              </w:rPr>
              <w:t>(1). في «بح» وحاشية «بث ، جت» : «وذهب</w:t>
            </w:r>
            <w:r w:rsidR="004C2BAB">
              <w:rPr>
                <w:rtl/>
                <w:lang w:bidi="fa-IR"/>
              </w:rPr>
              <w:t>».</w:t>
            </w:r>
          </w:p>
        </w:tc>
        <w:tc>
          <w:tcPr>
            <w:tcW w:w="4006" w:type="dxa"/>
          </w:tcPr>
          <w:p w:rsidR="004C2BAB" w:rsidRDefault="004C2BAB" w:rsidP="00D10E3C">
            <w:pPr>
              <w:pStyle w:val="libFootnote0"/>
              <w:rPr>
                <w:rtl/>
                <w:lang w:bidi="fa-IR"/>
              </w:rPr>
            </w:pPr>
            <w:r>
              <w:rPr>
                <w:rtl/>
                <w:lang w:bidi="fa-IR"/>
              </w:rPr>
              <w:t>(2). في « جن » : - « ذلك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322 : « قوله </w:t>
      </w:r>
      <w:r w:rsidR="00A914B5" w:rsidRPr="00A914B5">
        <w:rPr>
          <w:rStyle w:val="libFootnoteAlaemChar"/>
          <w:rtl/>
        </w:rPr>
        <w:t>عليه‌السلام</w:t>
      </w:r>
      <w:r w:rsidR="00D10E3C">
        <w:rPr>
          <w:rtl/>
          <w:lang w:bidi="fa-IR"/>
        </w:rPr>
        <w:t xml:space="preserve"> </w:t>
      </w:r>
      <w:r w:rsidR="00744A1C">
        <w:rPr>
          <w:rtl/>
          <w:lang w:bidi="fa-IR"/>
        </w:rPr>
        <w:t>: ومستأجر صاحبه ، بنصب الصاحب بالمفعوليّة ، أو بجرّه‌</w:t>
      </w:r>
      <w:r w:rsidR="006169B9">
        <w:rPr>
          <w:rFonts w:hint="cs"/>
          <w:rtl/>
          <w:lang w:bidi="fa-IR"/>
        </w:rPr>
        <w:t xml:space="preserve"> </w:t>
      </w:r>
      <w:r w:rsidR="00744A1C">
        <w:rPr>
          <w:rtl/>
          <w:lang w:bidi="fa-IR"/>
        </w:rPr>
        <w:t>بالإضافة ، أي مستأجر يكلّف الجهاد مع عجزه عنه لزمانه وعمي ونحوهما ، وقد عذّره الله تعالى ، فينظر إلى أن يستأجر غيره فيبعثه » إلى أن قال : « ويمكن أن يقرأ مستأجر على بناء المفعول ، وصاحبه بالرفع وفيه بُعد ».</w:t>
      </w:r>
    </w:p>
    <w:p w:rsidR="00744A1C" w:rsidRDefault="00E378DD" w:rsidP="00E378DD">
      <w:pPr>
        <w:pStyle w:val="libFootnote0"/>
        <w:rPr>
          <w:lang w:bidi="fa-IR"/>
        </w:rPr>
      </w:pPr>
      <w:r>
        <w:rPr>
          <w:rtl/>
          <w:lang w:bidi="fa-IR"/>
        </w:rPr>
        <w:t>(4).</w:t>
      </w:r>
      <w:r w:rsidR="00744A1C">
        <w:rPr>
          <w:rtl/>
          <w:lang w:bidi="fa-IR"/>
        </w:rPr>
        <w:t xml:space="preserve"> هكذا في « ب ، ى ، بس » </w:t>
      </w:r>
      <w:r w:rsidR="00744A1C" w:rsidRPr="006169B9">
        <w:rPr>
          <w:rtl/>
        </w:rPr>
        <w:t>والوافي</w:t>
      </w:r>
      <w:r w:rsidR="00744A1C">
        <w:rPr>
          <w:rtl/>
          <w:lang w:bidi="fa-IR"/>
        </w:rPr>
        <w:t xml:space="preserve"> </w:t>
      </w:r>
      <w:r w:rsidR="00744A1C" w:rsidRPr="006169B9">
        <w:rPr>
          <w:rtl/>
        </w:rPr>
        <w:t>والوسائل</w:t>
      </w:r>
      <w:r w:rsidR="00744A1C">
        <w:rPr>
          <w:rtl/>
          <w:lang w:bidi="fa-IR"/>
        </w:rPr>
        <w:t xml:space="preserve">. وفي سائر النسخ والمطبوع : « وبعد » مع الواو. وقال العلامة المجلسي في </w:t>
      </w:r>
      <w:r w:rsidR="00744A1C" w:rsidRPr="00C24F9C">
        <w:rPr>
          <w:rStyle w:val="libFootnoteBoldChar"/>
          <w:rtl/>
        </w:rPr>
        <w:t>المرآة</w:t>
      </w:r>
      <w:r w:rsidR="00744A1C">
        <w:rPr>
          <w:rtl/>
          <w:lang w:bidi="fa-IR"/>
        </w:rPr>
        <w:t xml:space="preserve"> : « في أكثر النسخ : وبعد عذر الله ؛ ولعلّ الواو زيدت من النسّاخ</w:t>
      </w:r>
      <w:r w:rsidR="006169B9">
        <w:rPr>
          <w:rtl/>
          <w:lang w:bidi="fa-IR"/>
        </w:rPr>
        <w:t xml:space="preserve"> ، وعلى تقديرها يحتاج إلى تقدير</w:t>
      </w:r>
      <w:r w:rsidR="00744A1C">
        <w:rPr>
          <w:rtl/>
          <w:lang w:bidi="fa-IR"/>
        </w:rPr>
        <w:t>».</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وإنّما ذهب الحجّ ؛ لأنّ المال صرف في هذا الأمر الباطل ، فلم يبق للحجّ ». وفي </w:t>
      </w:r>
      <w:r w:rsidR="00744A1C" w:rsidRPr="00C24F9C">
        <w:rPr>
          <w:rStyle w:val="libFootnoteBoldChar"/>
          <w:rtl/>
        </w:rPr>
        <w:t>المرآة</w:t>
      </w:r>
      <w:r w:rsidR="00744A1C">
        <w:rPr>
          <w:rtl/>
          <w:lang w:bidi="fa-IR"/>
        </w:rPr>
        <w:t xml:space="preserve"> : « وقوله </w:t>
      </w:r>
      <w:r w:rsidR="0061079A" w:rsidRPr="0061079A">
        <w:rPr>
          <w:rStyle w:val="libFootnoteAlaemChar"/>
          <w:rtl/>
        </w:rPr>
        <w:t>عليه‌السلام</w:t>
      </w:r>
      <w:r w:rsidR="00D10E3C">
        <w:rPr>
          <w:rtl/>
          <w:lang w:bidi="fa-IR"/>
        </w:rPr>
        <w:t xml:space="preserve"> </w:t>
      </w:r>
      <w:r w:rsidR="00744A1C">
        <w:rPr>
          <w:rtl/>
          <w:lang w:bidi="fa-IR"/>
        </w:rPr>
        <w:t>وذهب الحجّ ، أي افتقر الناس لتلك الغرامات ، فلا يقدرون على الحجّ ».</w:t>
      </w:r>
    </w:p>
    <w:p w:rsidR="00744A1C" w:rsidRDefault="00E378DD" w:rsidP="00E378DD">
      <w:pPr>
        <w:pStyle w:val="libFootnote0"/>
        <w:rPr>
          <w:lang w:bidi="fa-IR"/>
        </w:rPr>
      </w:pPr>
      <w:r>
        <w:rPr>
          <w:rtl/>
          <w:lang w:bidi="fa-IR"/>
        </w:rPr>
        <w:t>(6).</w:t>
      </w:r>
      <w:r w:rsidR="00744A1C">
        <w:rPr>
          <w:rtl/>
          <w:lang w:bidi="fa-IR"/>
        </w:rPr>
        <w:t xml:space="preserve"> في « بث » : - « وزاد الجهاد على العباد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وزاد الجهاد على العباد ، على بناء المفعول ، فيكون « زاد » لازماً على بناء الفاعل ، والضمير الفاعل راجع إلى « من أعوج » ، فزاد متعدّ ، والحاصل أنّ أرباب القدرة والاستطاعة ردّوا الجهاد على أهل الضرورة ، فزادوا عليهم ما لا يلزمهم ».</w:t>
      </w:r>
    </w:p>
    <w:p w:rsidR="00744A1C" w:rsidRDefault="00E378DD" w:rsidP="00E378DD">
      <w:pPr>
        <w:pStyle w:val="libFootnote0"/>
        <w:rPr>
          <w:lang w:bidi="fa-IR"/>
        </w:rPr>
      </w:pPr>
      <w:r>
        <w:rPr>
          <w:rtl/>
          <w:lang w:bidi="fa-IR"/>
        </w:rPr>
        <w:t>(7).</w:t>
      </w:r>
      <w:r w:rsidR="00744A1C">
        <w:rPr>
          <w:rtl/>
          <w:lang w:bidi="fa-IR"/>
        </w:rPr>
        <w:t xml:space="preserve"> في </w:t>
      </w:r>
      <w:r w:rsidR="00744A1C" w:rsidRPr="006169B9">
        <w:rPr>
          <w:rtl/>
        </w:rPr>
        <w:t>الوافي</w:t>
      </w:r>
      <w:r w:rsidR="00744A1C">
        <w:rPr>
          <w:rtl/>
          <w:lang w:bidi="fa-IR"/>
        </w:rPr>
        <w:t xml:space="preserve"> : « وإنّ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15 ، ص 44 ، ح 14685 ؛ </w:t>
      </w:r>
      <w:r w:rsidR="00744A1C" w:rsidRPr="00C24F9C">
        <w:rPr>
          <w:rStyle w:val="libFootnoteBoldChar"/>
          <w:rtl/>
        </w:rPr>
        <w:t>الوسائل</w:t>
      </w:r>
      <w:r w:rsidR="00744A1C">
        <w:rPr>
          <w:rtl/>
          <w:lang w:bidi="fa-IR"/>
        </w:rPr>
        <w:t xml:space="preserve"> ، ج 15 ، ص 12 ، ح 19908.</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بعد الفرائض ، أي الصلوات اليوميّة ؛ لأنّها أفضل العبادات البدنيّة ، كما يدلّ عليه : حيّ على خير العمل ».</w:t>
      </w:r>
    </w:p>
    <w:p w:rsidR="00144FA6" w:rsidRDefault="00E378DD" w:rsidP="00E378DD">
      <w:pPr>
        <w:pStyle w:val="libFootnote0"/>
        <w:rPr>
          <w:rtl/>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121 ، ح 207 ، معلّقاً عن محمّد بن أحمد بن يحيى ، عن جعفر بن محمّد ، عن بعض أصحابنا ، عن عبد الله بن عبد الرحمن الأصمّ. </w:t>
      </w:r>
      <w:r w:rsidR="00744A1C" w:rsidRPr="007B299E">
        <w:rPr>
          <w:rStyle w:val="libFootnoteBoldChar"/>
          <w:rtl/>
        </w:rPr>
        <w:t>كامل الزيارات</w:t>
      </w:r>
      <w:r w:rsidR="00744A1C">
        <w:rPr>
          <w:rtl/>
          <w:lang w:bidi="fa-IR"/>
        </w:rPr>
        <w:t xml:space="preserve"> ، ص 335 ، الباب 108 ، ضمن ح 12 ، بسنده عن عبد الرحمن الأصمّ ، عن جدّه ، عن أبي عبد الله </w:t>
      </w:r>
      <w:r w:rsidR="0061079A" w:rsidRPr="0061079A">
        <w:rPr>
          <w:rStyle w:val="libFootnoteAlaemChar"/>
          <w:rtl/>
        </w:rPr>
        <w:t>عليه‌السلام</w:t>
      </w:r>
      <w:r w:rsidR="00744A1C">
        <w:rPr>
          <w:rtl/>
          <w:lang w:bidi="fa-IR"/>
        </w:rPr>
        <w:t xml:space="preserve"> . راجع : </w:t>
      </w:r>
      <w:r w:rsidR="00744A1C" w:rsidRPr="0061079A">
        <w:rPr>
          <w:rStyle w:val="libFootnoteBoldChar"/>
          <w:rtl/>
        </w:rPr>
        <w:t>الكافي</w:t>
      </w:r>
      <w:r w:rsidR="00744A1C">
        <w:rPr>
          <w:rtl/>
          <w:lang w:bidi="fa-IR"/>
        </w:rPr>
        <w:t xml:space="preserve"> ، كتاب الإيمان والكفر ، باب البرّ بالوالدين ،</w:t>
      </w:r>
      <w:r w:rsidR="006169B9">
        <w:rPr>
          <w:rFonts w:hint="cs"/>
          <w:rtl/>
          <w:lang w:bidi="fa-IR"/>
        </w:rPr>
        <w:t xml:space="preserve"> =</w:t>
      </w:r>
    </w:p>
    <w:p w:rsidR="006A5060" w:rsidRDefault="006A5060" w:rsidP="00D10E3C">
      <w:pPr>
        <w:pStyle w:val="libNormal"/>
        <w:rPr>
          <w:rtl/>
          <w:lang w:bidi="fa-IR"/>
        </w:rPr>
      </w:pPr>
      <w:r>
        <w:rPr>
          <w:rtl/>
          <w:lang w:bidi="fa-IR"/>
        </w:rPr>
        <w:br w:type="page"/>
      </w:r>
    </w:p>
    <w:p w:rsidR="006169B9" w:rsidRDefault="00744A1C" w:rsidP="006169B9">
      <w:pPr>
        <w:pStyle w:val="libNormal"/>
        <w:rPr>
          <w:rtl/>
          <w:lang w:bidi="fa-IR"/>
        </w:rPr>
      </w:pPr>
      <w:r>
        <w:rPr>
          <w:rtl/>
          <w:lang w:bidi="fa-IR"/>
        </w:rPr>
        <w:lastRenderedPageBreak/>
        <w:t>8205 / 6. أَحْمَدُ بْنُ مُحَمَّدِ بْنِ سَعِيدٍ ، عَنْ جَعْفَرِ بْنِ عَبْدِ اللهِ الْعَلَوِيِّ ؛</w:t>
      </w:r>
    </w:p>
    <w:p w:rsidR="00144FA6" w:rsidRDefault="006169B9" w:rsidP="006169B9">
      <w:pPr>
        <w:pStyle w:val="libNormal"/>
        <w:rPr>
          <w:rtl/>
          <w:lang w:bidi="fa-IR"/>
        </w:rPr>
      </w:pPr>
      <w:r>
        <w:rPr>
          <w:rFonts w:hint="cs"/>
          <w:rtl/>
          <w:lang w:bidi="fa-IR"/>
        </w:rPr>
        <w:t xml:space="preserve">             </w:t>
      </w:r>
      <w:r w:rsidR="00744A1C">
        <w:rPr>
          <w:rtl/>
          <w:lang w:bidi="fa-IR"/>
        </w:rPr>
        <w:t xml:space="preserve">وَأَحْمَدُ بْنُ مُحَمَّدٍ الْكُوفِيُّ ، عَنْ عَلِيِّ بْنِ الْعَبَّاسِ ، عَنْ إِسْمَاعِيلَ بْنِ إِسْحَاقَ جَمِيعاً ، عَنْ أَبِي رَوْحٍ فَرَجِ بْنِ قُرَّةَ </w:t>
      </w:r>
      <w:r w:rsidR="00744A1C" w:rsidRPr="00D10E3C">
        <w:rPr>
          <w:rStyle w:val="libFootnotenumChar"/>
          <w:rtl/>
        </w:rPr>
        <w:t>(1)</w:t>
      </w:r>
      <w:r w:rsidR="00744A1C">
        <w:rPr>
          <w:rtl/>
          <w:lang w:bidi="fa-IR"/>
        </w:rPr>
        <w:t xml:space="preserve"> ، عَنْ مَسْعَدَةَ بْنِ صَدَقَةَ ، قَالَ : حَدَّثَنِي ابْنُ أَبِي لَيْلى ، عَنْ أَبِي عَبْدِ الرَّحْمنِ السُّلَمِيِّ ، قَالَ :</w:t>
      </w:r>
    </w:p>
    <w:p w:rsidR="00144FA6" w:rsidRDefault="00744A1C" w:rsidP="00744A1C">
      <w:pPr>
        <w:pStyle w:val="libNormal"/>
        <w:rPr>
          <w:rtl/>
          <w:lang w:bidi="fa-IR"/>
        </w:rPr>
      </w:pPr>
      <w:r>
        <w:rPr>
          <w:rtl/>
          <w:lang w:bidi="fa-IR"/>
        </w:rPr>
        <w:t xml:space="preserve">قَالَ أَمِيرُ الْمُؤْمِنِينَ صَلَوَاتُ اللهِ عَلَيْهِ : « أَمَّا بَعْدُ ، فَإِنَّ </w:t>
      </w:r>
      <w:r w:rsidRPr="00D10E3C">
        <w:rPr>
          <w:rStyle w:val="libFootnotenumChar"/>
          <w:rtl/>
        </w:rPr>
        <w:t>(2)</w:t>
      </w:r>
      <w:r>
        <w:rPr>
          <w:rtl/>
          <w:lang w:bidi="fa-IR"/>
        </w:rPr>
        <w:t xml:space="preserve"> الْجِهَادَ بَابٌ مِنْ أَبْوَابِ الْجَنَّةِ </w:t>
      </w:r>
      <w:r w:rsidRPr="00D10E3C">
        <w:rPr>
          <w:rStyle w:val="libFootnotenumChar"/>
          <w:rtl/>
        </w:rPr>
        <w:t>(3)</w:t>
      </w:r>
      <w:r>
        <w:rPr>
          <w:rtl/>
          <w:lang w:bidi="fa-IR"/>
        </w:rPr>
        <w:t xml:space="preserve"> فَتَحَهُ اللهُ لِخَاصَّةِ أَوْلِيَائِهِ ، وَسَوَّغَهُمْ </w:t>
      </w:r>
      <w:r w:rsidRPr="00D10E3C">
        <w:rPr>
          <w:rStyle w:val="libFootnotenumChar"/>
          <w:rtl/>
        </w:rPr>
        <w:t>(4)</w:t>
      </w:r>
      <w:r>
        <w:rPr>
          <w:rtl/>
          <w:lang w:bidi="fa-IR"/>
        </w:rPr>
        <w:t xml:space="preserve"> كَرَامَةً مِنْهُ لَهُمْ ، وَنِعْمَةٌ ذَخَرَهَا ، وَالْجِهَادُ </w:t>
      </w:r>
      <w:r w:rsidRPr="00D10E3C">
        <w:rPr>
          <w:rStyle w:val="libFootnotenumChar"/>
          <w:rtl/>
        </w:rPr>
        <w:t>(5)</w:t>
      </w:r>
      <w:r>
        <w:rPr>
          <w:rtl/>
          <w:lang w:bidi="fa-IR"/>
        </w:rPr>
        <w:t xml:space="preserve"> هُوَ </w:t>
      </w:r>
      <w:r w:rsidRPr="00D10E3C">
        <w:rPr>
          <w:rStyle w:val="libFootnotenumChar"/>
          <w:rtl/>
        </w:rPr>
        <w:t>(6)</w:t>
      </w:r>
      <w:r>
        <w:rPr>
          <w:rtl/>
          <w:lang w:bidi="fa-IR"/>
        </w:rPr>
        <w:t xml:space="preserve"> لِبَاسُ التَّقْوى ، وَدِرْعُ اللهِ الْحَصِينَةُ </w:t>
      </w:r>
      <w:r w:rsidRPr="00D10E3C">
        <w:rPr>
          <w:rStyle w:val="libFootnotenumChar"/>
          <w:rtl/>
        </w:rPr>
        <w:t>(7)</w:t>
      </w:r>
      <w:r>
        <w:rPr>
          <w:rtl/>
          <w:lang w:bidi="fa-IR"/>
        </w:rPr>
        <w:t xml:space="preserve"> ، وَجُنَّتُهُ الْوَثِيقَةُ ، فَمَنْ تَرَكَهُ رَغْبَةً عَنْهُ </w:t>
      </w:r>
      <w:r w:rsidRPr="00D10E3C">
        <w:rPr>
          <w:rStyle w:val="libFootnotenumChar"/>
          <w:rtl/>
        </w:rPr>
        <w:t>(8)</w:t>
      </w:r>
      <w:r>
        <w:rPr>
          <w:rtl/>
          <w:lang w:bidi="fa-IR"/>
        </w:rPr>
        <w:t xml:space="preserve"> أَلْبَسَهُ اللهُ ثَوْبَ الذُّلِّ </w:t>
      </w:r>
      <w:r w:rsidRPr="00D10E3C">
        <w:rPr>
          <w:rStyle w:val="libFootnotenumChar"/>
          <w:rtl/>
        </w:rPr>
        <w:t>(9)</w:t>
      </w:r>
      <w:r>
        <w:rPr>
          <w:rtl/>
          <w:lang w:bidi="fa-IR"/>
        </w:rPr>
        <w:t xml:space="preserve"> ، وَشَمِلَهُ </w:t>
      </w:r>
      <w:r w:rsidRPr="00D10E3C">
        <w:rPr>
          <w:rStyle w:val="libFootnotenumChar"/>
          <w:rtl/>
        </w:rPr>
        <w:t>(10)</w:t>
      </w:r>
      <w:r>
        <w:rPr>
          <w:rtl/>
          <w:lang w:bidi="fa-IR"/>
        </w:rPr>
        <w:t xml:space="preserve"> الْبَلَاءُ ، وَفَارَقَ الرِّضَا </w:t>
      </w:r>
      <w:r w:rsidRPr="00D10E3C">
        <w:rPr>
          <w:rStyle w:val="libFootnotenumChar"/>
          <w:rtl/>
        </w:rPr>
        <w:t>(11)</w:t>
      </w:r>
      <w:r>
        <w:rPr>
          <w:rtl/>
          <w:lang w:bidi="fa-IR"/>
        </w:rPr>
        <w:t xml:space="preserve"> ، وَدُيِّثَ </w:t>
      </w:r>
      <w:r w:rsidRPr="00D10E3C">
        <w:rPr>
          <w:rStyle w:val="libFootnotenumChar"/>
          <w:rtl/>
        </w:rPr>
        <w:t>(12)</w:t>
      </w:r>
      <w:r>
        <w:rPr>
          <w:rtl/>
          <w:lang w:bidi="fa-IR"/>
        </w:rPr>
        <w:t xml:space="preserve"> بِالصَّغَارِ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6169B9" w:rsidP="00D10E3C">
      <w:pPr>
        <w:pStyle w:val="libFootnote0"/>
        <w:rPr>
          <w:lang w:bidi="fa-IR"/>
        </w:rPr>
      </w:pPr>
      <w:r>
        <w:rPr>
          <w:rFonts w:hint="cs"/>
          <w:rtl/>
          <w:lang w:bidi="fa-IR"/>
        </w:rPr>
        <w:t xml:space="preserve">= </w:t>
      </w:r>
      <w:r w:rsidR="00744A1C">
        <w:rPr>
          <w:rtl/>
          <w:lang w:bidi="fa-IR"/>
        </w:rPr>
        <w:t xml:space="preserve">ح 2010 ؛ </w:t>
      </w:r>
      <w:r w:rsidR="00744A1C" w:rsidRPr="006169B9">
        <w:rPr>
          <w:rStyle w:val="libFootnoteBoldChar"/>
          <w:rtl/>
        </w:rPr>
        <w:t>وال</w:t>
      </w:r>
      <w:r w:rsidR="00744A1C" w:rsidRPr="003A7143">
        <w:rPr>
          <w:rStyle w:val="libFootnoteBoldChar"/>
          <w:rtl/>
        </w:rPr>
        <w:t>محاسن</w:t>
      </w:r>
      <w:r w:rsidR="00744A1C">
        <w:rPr>
          <w:rtl/>
          <w:lang w:bidi="fa-IR"/>
        </w:rPr>
        <w:t xml:space="preserve"> ، ص 292 ، كتاب الصفوة ، ح 445 ؛ </w:t>
      </w:r>
      <w:r w:rsidR="00744A1C" w:rsidRPr="006169B9">
        <w:rPr>
          <w:rStyle w:val="libFootnoteBoldChar"/>
          <w:rtl/>
        </w:rPr>
        <w:t>و</w:t>
      </w:r>
      <w:r w:rsidR="00744A1C" w:rsidRPr="000B1C3F">
        <w:rPr>
          <w:rStyle w:val="libFootnoteBoldChar"/>
          <w:rtl/>
        </w:rPr>
        <w:t>الأمالي للطوسي</w:t>
      </w:r>
      <w:r w:rsidR="00744A1C">
        <w:rPr>
          <w:rtl/>
          <w:lang w:bidi="fa-IR"/>
        </w:rPr>
        <w:t xml:space="preserve"> ، ص 539 ، المجلس 19 ، ح 2 </w:t>
      </w:r>
      <w:r>
        <w:rPr>
          <w:rFonts w:hint="cs"/>
          <w:rtl/>
          <w:lang w:bidi="fa-IR"/>
        </w:rPr>
        <w:t>.</w:t>
      </w:r>
      <w:r w:rsidR="00744A1C" w:rsidRPr="00C24F9C">
        <w:rPr>
          <w:rStyle w:val="libFootnoteBoldChar"/>
          <w:rtl/>
        </w:rPr>
        <w:t>الوافي</w:t>
      </w:r>
      <w:r w:rsidR="00744A1C">
        <w:rPr>
          <w:rtl/>
          <w:lang w:bidi="fa-IR"/>
        </w:rPr>
        <w:t xml:space="preserve"> ، ج 15 ، ص 41 ، ح 14673 ؛ </w:t>
      </w:r>
      <w:r w:rsidR="00744A1C" w:rsidRPr="00C24F9C">
        <w:rPr>
          <w:rStyle w:val="libFootnoteBoldChar"/>
          <w:rtl/>
        </w:rPr>
        <w:t>الوسائل</w:t>
      </w:r>
      <w:r w:rsidR="00744A1C">
        <w:rPr>
          <w:rtl/>
          <w:lang w:bidi="fa-IR"/>
        </w:rPr>
        <w:t xml:space="preserve"> ، ج 15 ، ص 13 ، ح 19909.</w:t>
      </w:r>
    </w:p>
    <w:p w:rsidR="00744A1C" w:rsidRDefault="00D10E3C" w:rsidP="00D10E3C">
      <w:pPr>
        <w:pStyle w:val="libFootnote0"/>
        <w:rPr>
          <w:lang w:bidi="fa-IR"/>
        </w:rPr>
      </w:pPr>
      <w:r>
        <w:rPr>
          <w:rtl/>
          <w:lang w:bidi="fa-IR"/>
        </w:rPr>
        <w:t>(1).</w:t>
      </w:r>
      <w:r w:rsidR="00744A1C">
        <w:rPr>
          <w:rtl/>
          <w:lang w:bidi="fa-IR"/>
        </w:rPr>
        <w:t xml:space="preserve"> في « بث ، بف » وحاشية « جن » </w:t>
      </w:r>
      <w:r w:rsidR="00744A1C" w:rsidRPr="006169B9">
        <w:rPr>
          <w:rtl/>
        </w:rPr>
        <w:t>والوافي</w:t>
      </w:r>
      <w:r w:rsidR="00744A1C">
        <w:rPr>
          <w:rtl/>
          <w:lang w:bidi="fa-IR"/>
        </w:rPr>
        <w:t xml:space="preserve"> : « فروة ».</w:t>
      </w:r>
    </w:p>
    <w:tbl>
      <w:tblPr>
        <w:tblStyle w:val="TableGrid"/>
        <w:bidiVisual/>
        <w:tblW w:w="0" w:type="auto"/>
        <w:tblLook w:val="04A0" w:firstRow="1" w:lastRow="0" w:firstColumn="1" w:lastColumn="0" w:noHBand="0" w:noVBand="1"/>
      </w:tblPr>
      <w:tblGrid>
        <w:gridCol w:w="4006"/>
        <w:gridCol w:w="4006"/>
      </w:tblGrid>
      <w:tr w:rsidR="006169B9" w:rsidTr="006169B9">
        <w:tc>
          <w:tcPr>
            <w:tcW w:w="4006" w:type="dxa"/>
          </w:tcPr>
          <w:p w:rsidR="006169B9" w:rsidRDefault="006169B9" w:rsidP="00E378DD">
            <w:pPr>
              <w:pStyle w:val="libFootnote0"/>
              <w:rPr>
                <w:rtl/>
                <w:lang w:bidi="fa-IR"/>
              </w:rPr>
            </w:pPr>
            <w:r>
              <w:rPr>
                <w:rtl/>
                <w:lang w:bidi="fa-IR"/>
              </w:rPr>
              <w:t xml:space="preserve">(2). في «بف» </w:t>
            </w:r>
            <w:r w:rsidRPr="006169B9">
              <w:rPr>
                <w:rtl/>
              </w:rPr>
              <w:t>والتهذيب</w:t>
            </w:r>
            <w:r>
              <w:rPr>
                <w:rtl/>
                <w:lang w:bidi="fa-IR"/>
              </w:rPr>
              <w:t xml:space="preserve"> : «إنّ» بدل «أمّا بعد فإنّ».</w:t>
            </w:r>
          </w:p>
        </w:tc>
        <w:tc>
          <w:tcPr>
            <w:tcW w:w="4006" w:type="dxa"/>
          </w:tcPr>
          <w:p w:rsidR="006169B9" w:rsidRDefault="006169B9" w:rsidP="00E378DD">
            <w:pPr>
              <w:pStyle w:val="libFootnote0"/>
              <w:rPr>
                <w:rtl/>
                <w:lang w:bidi="fa-IR"/>
              </w:rPr>
            </w:pPr>
            <w:r>
              <w:rPr>
                <w:rtl/>
                <w:lang w:bidi="fa-IR"/>
              </w:rPr>
              <w:t xml:space="preserve">(3). في « بف » </w:t>
            </w:r>
            <w:r w:rsidRPr="0061079A">
              <w:rPr>
                <w:rStyle w:val="libFootnoteBoldChar"/>
                <w:rtl/>
              </w:rPr>
              <w:t>والتهذيب</w:t>
            </w:r>
            <w:r>
              <w:rPr>
                <w:rtl/>
                <w:lang w:bidi="fa-IR"/>
              </w:rPr>
              <w:t xml:space="preserve"> : - « من أبواب الجنّة ».</w:t>
            </w:r>
          </w:p>
        </w:tc>
      </w:tr>
    </w:tbl>
    <w:p w:rsidR="00744A1C" w:rsidRDefault="00E378DD" w:rsidP="00E378DD">
      <w:pPr>
        <w:pStyle w:val="libFootnote0"/>
        <w:rPr>
          <w:lang w:bidi="fa-IR"/>
        </w:rPr>
      </w:pPr>
      <w:r>
        <w:rPr>
          <w:rtl/>
          <w:lang w:bidi="fa-IR"/>
        </w:rPr>
        <w:t>(4).</w:t>
      </w:r>
      <w:r w:rsidR="00744A1C">
        <w:rPr>
          <w:rtl/>
          <w:lang w:bidi="fa-IR"/>
        </w:rPr>
        <w:t xml:space="preserve"> في حاشية « بث ، بز » </w:t>
      </w:r>
      <w:r w:rsidR="00744A1C" w:rsidRPr="006169B9">
        <w:rPr>
          <w:rtl/>
        </w:rPr>
        <w:t>والوافي</w:t>
      </w:r>
      <w:r w:rsidR="00744A1C">
        <w:rPr>
          <w:rtl/>
          <w:lang w:bidi="fa-IR"/>
        </w:rPr>
        <w:t xml:space="preserve"> : « وسوّغه »</w:t>
      </w:r>
      <w:r w:rsidR="006169B9">
        <w:rPr>
          <w:rtl/>
          <w:lang w:bidi="fa-IR"/>
        </w:rPr>
        <w:t>. ونقله العل</w:t>
      </w:r>
      <w:r w:rsidR="006169B9">
        <w:rPr>
          <w:rFonts w:hint="cs"/>
          <w:rtl/>
          <w:lang w:bidi="fa-IR"/>
        </w:rPr>
        <w:t>ّ</w:t>
      </w:r>
      <w:r w:rsidR="006169B9">
        <w:rPr>
          <w:rtl/>
          <w:lang w:bidi="fa-IR"/>
        </w:rPr>
        <w:t>ا</w:t>
      </w:r>
      <w:r w:rsidR="00744A1C">
        <w:rPr>
          <w:rtl/>
          <w:lang w:bidi="fa-IR"/>
        </w:rPr>
        <w:t xml:space="preserve">مة المجلسي </w:t>
      </w:r>
      <w:r w:rsidR="00877682" w:rsidRPr="00877682">
        <w:rPr>
          <w:rStyle w:val="libFootnoteAlaemChar"/>
          <w:rtl/>
        </w:rPr>
        <w:t>رحمه‌الله</w:t>
      </w:r>
      <w:r w:rsidR="006169B9" w:rsidRPr="006169B9">
        <w:rPr>
          <w:rFonts w:hint="cs"/>
          <w:rtl/>
        </w:rPr>
        <w:t xml:space="preserve"> </w:t>
      </w:r>
      <w:r w:rsidR="00744A1C">
        <w:rPr>
          <w:rtl/>
          <w:lang w:bidi="fa-IR"/>
        </w:rPr>
        <w:t xml:space="preserve">في </w:t>
      </w:r>
      <w:r w:rsidR="00744A1C" w:rsidRPr="00C24F9C">
        <w:rPr>
          <w:rStyle w:val="libFootnoteBoldChar"/>
          <w:rtl/>
        </w:rPr>
        <w:t>المرآة</w:t>
      </w:r>
      <w:r w:rsidR="00744A1C">
        <w:rPr>
          <w:rtl/>
          <w:lang w:bidi="fa-IR"/>
        </w:rPr>
        <w:t xml:space="preserve"> عن بعض نسخ </w:t>
      </w:r>
      <w:r w:rsidR="00744A1C" w:rsidRPr="00C24F9C">
        <w:rPr>
          <w:rStyle w:val="libFootnoteBoldChar"/>
          <w:rtl/>
        </w:rPr>
        <w:t>التهذيب</w:t>
      </w:r>
      <w:r w:rsidR="00744A1C">
        <w:rPr>
          <w:rtl/>
          <w:lang w:bidi="fa-IR"/>
        </w:rPr>
        <w:t xml:space="preserve"> ، ثمّ قال : « وهو أظهر ، وعلى ضمير الجمع لعلّ فيه حذفاً وإيصالاً ، أي سوّغه لهم ، أو من قولهم : ساغ الشراب ، إذا سهل مدخله في الحلق. وقوله </w:t>
      </w:r>
      <w:r w:rsidR="0061079A" w:rsidRPr="0061079A">
        <w:rPr>
          <w:rStyle w:val="libFootnoteAlaemChar"/>
          <w:rtl/>
        </w:rPr>
        <w:t>عليه‌السلام</w:t>
      </w:r>
      <w:r w:rsidR="00D10E3C">
        <w:rPr>
          <w:rtl/>
          <w:lang w:bidi="fa-IR"/>
        </w:rPr>
        <w:t xml:space="preserve"> </w:t>
      </w:r>
      <w:r w:rsidR="00744A1C">
        <w:rPr>
          <w:rtl/>
          <w:lang w:bidi="fa-IR"/>
        </w:rPr>
        <w:t>: نعمة ، إمّا مرفوع بالعطف على باب ، أو منصوب بالعطف على كرامة ».</w:t>
      </w:r>
    </w:p>
    <w:p w:rsidR="00744A1C" w:rsidRDefault="00E378DD" w:rsidP="00E378DD">
      <w:pPr>
        <w:pStyle w:val="libFootnote0"/>
        <w:rPr>
          <w:lang w:bidi="fa-IR"/>
        </w:rPr>
      </w:pPr>
      <w:r>
        <w:rPr>
          <w:rtl/>
          <w:lang w:bidi="fa-IR"/>
        </w:rPr>
        <w:t>(5).</w:t>
      </w:r>
      <w:r w:rsidR="00744A1C">
        <w:rPr>
          <w:rtl/>
          <w:lang w:bidi="fa-IR"/>
        </w:rPr>
        <w:t xml:space="preserve"> في « بس » : - « والجهاد ». وفي « ت ، ى ، بذ ، بص ، جد » ونهج البلاغة : - « وسوّغهم كرامة » إلى هنا.</w:t>
      </w:r>
    </w:p>
    <w:p w:rsidR="00744A1C" w:rsidRDefault="00E378DD" w:rsidP="00E378DD">
      <w:pPr>
        <w:pStyle w:val="libFootnote0"/>
        <w:rPr>
          <w:lang w:bidi="fa-IR"/>
        </w:rPr>
      </w:pPr>
      <w:r>
        <w:rPr>
          <w:rtl/>
          <w:lang w:bidi="fa-IR"/>
        </w:rPr>
        <w:t>(6).</w:t>
      </w:r>
      <w:r w:rsidR="00744A1C">
        <w:rPr>
          <w:rtl/>
          <w:lang w:bidi="fa-IR"/>
        </w:rPr>
        <w:t xml:space="preserve"> في « بت ، بث ، بح ، بف » </w:t>
      </w:r>
      <w:r w:rsidR="00744A1C" w:rsidRPr="0077087C">
        <w:rPr>
          <w:rtl/>
        </w:rPr>
        <w:t>والوافي والتهذيب</w:t>
      </w:r>
      <w:r w:rsidR="00744A1C">
        <w:rPr>
          <w:rtl/>
          <w:lang w:bidi="fa-IR"/>
        </w:rPr>
        <w:t xml:space="preserve"> : - « هو ». وفي « </w:t>
      </w:r>
      <w:r w:rsidR="0077087C">
        <w:rPr>
          <w:rtl/>
          <w:lang w:bidi="fa-IR"/>
        </w:rPr>
        <w:t>ى ، بس ، جت ، جد ، جن » : « فهو</w:t>
      </w:r>
      <w:r w:rsidR="00744A1C">
        <w:rPr>
          <w:rtl/>
          <w:lang w:bidi="fa-IR"/>
        </w:rPr>
        <w:t>».</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استعار للجهاد لفظ اللباس والدرع والجنّة ؛ لأنّه به يتّقى العدوّ وعذاب الآخرة ».</w:t>
      </w:r>
    </w:p>
    <w:tbl>
      <w:tblPr>
        <w:tblStyle w:val="TableGrid"/>
        <w:bidiVisual/>
        <w:tblW w:w="0" w:type="auto"/>
        <w:tblLook w:val="04A0" w:firstRow="1" w:lastRow="0" w:firstColumn="1" w:lastColumn="0" w:noHBand="0" w:noVBand="1"/>
      </w:tblPr>
      <w:tblGrid>
        <w:gridCol w:w="4006"/>
        <w:gridCol w:w="4006"/>
      </w:tblGrid>
      <w:tr w:rsidR="0077087C" w:rsidTr="0077087C">
        <w:tc>
          <w:tcPr>
            <w:tcW w:w="4006" w:type="dxa"/>
          </w:tcPr>
          <w:p w:rsidR="0077087C" w:rsidRDefault="0077087C" w:rsidP="00E378DD">
            <w:pPr>
              <w:pStyle w:val="libFootnote0"/>
              <w:rPr>
                <w:rtl/>
                <w:lang w:bidi="fa-IR"/>
              </w:rPr>
            </w:pPr>
            <w:r>
              <w:rPr>
                <w:rtl/>
                <w:lang w:bidi="fa-IR"/>
              </w:rPr>
              <w:t xml:space="preserve">(8). في </w:t>
            </w:r>
            <w:r w:rsidRPr="00C24F9C">
              <w:rPr>
                <w:rStyle w:val="libFootnoteBoldChar"/>
                <w:rtl/>
              </w:rPr>
              <w:t>الوسائل</w:t>
            </w:r>
            <w:r>
              <w:rPr>
                <w:rtl/>
                <w:lang w:bidi="fa-IR"/>
              </w:rPr>
              <w:t xml:space="preserve"> : - « رغبة عنه ».</w:t>
            </w:r>
          </w:p>
        </w:tc>
        <w:tc>
          <w:tcPr>
            <w:tcW w:w="4006" w:type="dxa"/>
          </w:tcPr>
          <w:p w:rsidR="0077087C" w:rsidRDefault="0077087C" w:rsidP="00E378DD">
            <w:pPr>
              <w:pStyle w:val="libFootnote0"/>
              <w:rPr>
                <w:rtl/>
                <w:lang w:bidi="fa-IR"/>
              </w:rPr>
            </w:pPr>
            <w:r>
              <w:rPr>
                <w:rtl/>
                <w:lang w:bidi="fa-IR"/>
              </w:rPr>
              <w:t>(9). في « بث » و</w:t>
            </w:r>
            <w:r w:rsidRPr="00C24F9C">
              <w:rPr>
                <w:rStyle w:val="libFootnoteBoldChar"/>
                <w:rtl/>
              </w:rPr>
              <w:t>الوافي</w:t>
            </w:r>
            <w:r>
              <w:rPr>
                <w:rtl/>
                <w:lang w:bidi="fa-IR"/>
              </w:rPr>
              <w:t xml:space="preserve"> : « الذلّة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في بعض النسخ : شملة ، بالتاء ، وهي كساء يتغطّى به ، ولعلّ الفعل أظهر كما في النهج ». وراجع : </w:t>
      </w:r>
      <w:r w:rsidR="00744A1C" w:rsidRPr="0077087C">
        <w:rPr>
          <w:rStyle w:val="libFootnoteBoldChar"/>
          <w:rtl/>
        </w:rPr>
        <w:t>نهج البلاغة</w:t>
      </w:r>
      <w:r w:rsidR="00744A1C">
        <w:rPr>
          <w:rtl/>
          <w:lang w:bidi="fa-IR"/>
        </w:rPr>
        <w:t xml:space="preserve"> ، ص 69 ، الخطبة 27.</w:t>
      </w:r>
    </w:p>
    <w:p w:rsidR="00744A1C" w:rsidRDefault="00E378DD" w:rsidP="00E378DD">
      <w:pPr>
        <w:pStyle w:val="libFootnote0"/>
        <w:rPr>
          <w:lang w:bidi="fa-IR"/>
        </w:rPr>
      </w:pPr>
      <w:r>
        <w:rPr>
          <w:rtl/>
          <w:lang w:bidi="fa-IR"/>
        </w:rPr>
        <w:t>(11).</w:t>
      </w:r>
      <w:r w:rsidR="00744A1C">
        <w:rPr>
          <w:rtl/>
          <w:lang w:bidi="fa-IR"/>
        </w:rPr>
        <w:t xml:space="preserve"> في « ى ، جت ، جد » </w:t>
      </w:r>
      <w:r w:rsidR="00744A1C" w:rsidRPr="0077087C">
        <w:rPr>
          <w:rtl/>
        </w:rPr>
        <w:t>والوافي والوسائل</w:t>
      </w:r>
      <w:r w:rsidR="00744A1C">
        <w:rPr>
          <w:rtl/>
          <w:lang w:bidi="fa-IR"/>
        </w:rPr>
        <w:t xml:space="preserve"> ونهج البلاغة : - « وفارق الرضا ». وفي </w:t>
      </w:r>
      <w:r w:rsidR="00744A1C" w:rsidRPr="0077087C">
        <w:rPr>
          <w:rtl/>
        </w:rPr>
        <w:t>التهذيب</w:t>
      </w:r>
      <w:r w:rsidR="00744A1C">
        <w:rPr>
          <w:rtl/>
          <w:lang w:bidi="fa-IR"/>
        </w:rPr>
        <w:t xml:space="preserve"> : « الرخاء » بدل « الرضا ».</w:t>
      </w:r>
    </w:p>
    <w:p w:rsidR="00744A1C" w:rsidRDefault="00E378DD" w:rsidP="00E378DD">
      <w:pPr>
        <w:pStyle w:val="libFootnote0"/>
        <w:rPr>
          <w:lang w:bidi="fa-IR"/>
        </w:rPr>
      </w:pPr>
      <w:r>
        <w:rPr>
          <w:rtl/>
          <w:lang w:bidi="fa-IR"/>
        </w:rPr>
        <w:t>(12).</w:t>
      </w:r>
      <w:r w:rsidR="00744A1C">
        <w:rPr>
          <w:rtl/>
          <w:lang w:bidi="fa-IR"/>
        </w:rPr>
        <w:t xml:space="preserve"> دَيَّث الرجل : ذلَّله ، وليّنه. و « دُيِّث » على بناء المجهول ، أي ذُلّل. راجع : </w:t>
      </w:r>
      <w:r w:rsidR="00744A1C" w:rsidRPr="00E978C3">
        <w:rPr>
          <w:rStyle w:val="libFootnoteBoldChar"/>
          <w:rtl/>
        </w:rPr>
        <w:t>الصحاح</w:t>
      </w:r>
      <w:r w:rsidR="00744A1C">
        <w:rPr>
          <w:rtl/>
          <w:lang w:bidi="fa-IR"/>
        </w:rPr>
        <w:t xml:space="preserve"> ، ج 1 ، ص 282 ؛ </w:t>
      </w:r>
      <w:r w:rsidR="00744A1C" w:rsidRPr="00877682">
        <w:rPr>
          <w:rStyle w:val="libFootnoteBoldChar"/>
          <w:rtl/>
        </w:rPr>
        <w:t>النهاية</w:t>
      </w:r>
      <w:r w:rsidR="00744A1C">
        <w:rPr>
          <w:rtl/>
          <w:lang w:bidi="fa-IR"/>
        </w:rPr>
        <w:t xml:space="preserve"> ، ج 2 ، ص 147 ( ديث ).</w:t>
      </w:r>
    </w:p>
    <w:p w:rsidR="00744A1C" w:rsidRDefault="00E378DD" w:rsidP="00E378DD">
      <w:pPr>
        <w:pStyle w:val="libFootnote0"/>
        <w:rPr>
          <w:lang w:bidi="fa-IR"/>
        </w:rPr>
      </w:pPr>
      <w:r>
        <w:rPr>
          <w:rtl/>
          <w:lang w:bidi="fa-IR"/>
        </w:rPr>
        <w:t>(13).</w:t>
      </w:r>
      <w:r w:rsidR="00744A1C">
        <w:rPr>
          <w:rtl/>
          <w:lang w:bidi="fa-IR"/>
        </w:rPr>
        <w:t xml:space="preserve"> « الصَغار » - بالفتح - : الذلّ ، والهوان ، والضيم. راجع : </w:t>
      </w:r>
      <w:r w:rsidR="00744A1C" w:rsidRPr="00E978C3">
        <w:rPr>
          <w:rStyle w:val="libFootnoteBoldChar"/>
          <w:rtl/>
        </w:rPr>
        <w:t>الصحاح</w:t>
      </w:r>
      <w:r w:rsidR="00744A1C">
        <w:rPr>
          <w:rtl/>
          <w:lang w:bidi="fa-IR"/>
        </w:rPr>
        <w:t xml:space="preserve"> ، ج 3 ، ص 713 ؛ </w:t>
      </w:r>
      <w:r w:rsidR="00744A1C" w:rsidRPr="00877682">
        <w:rPr>
          <w:rStyle w:val="libFootnoteBoldChar"/>
          <w:rtl/>
        </w:rPr>
        <w:t>لسان العرب</w:t>
      </w:r>
      <w:r w:rsidR="00744A1C">
        <w:rPr>
          <w:rtl/>
          <w:lang w:bidi="fa-IR"/>
        </w:rPr>
        <w:t xml:space="preserve"> ، ج 4 ، ص 459 ( صغر ).</w:t>
      </w:r>
    </w:p>
    <w:p w:rsidR="006A5060" w:rsidRDefault="006A5060" w:rsidP="00D10E3C">
      <w:pPr>
        <w:pStyle w:val="libNormal"/>
        <w:rPr>
          <w:rtl/>
          <w:lang w:bidi="fa-IR"/>
        </w:rPr>
      </w:pPr>
      <w:r>
        <w:rPr>
          <w:rtl/>
          <w:lang w:bidi="fa-IR"/>
        </w:rPr>
        <w:br w:type="page"/>
      </w:r>
    </w:p>
    <w:p w:rsidR="00744A1C" w:rsidRDefault="00744A1C" w:rsidP="0077087C">
      <w:pPr>
        <w:pStyle w:val="libNormal0"/>
        <w:rPr>
          <w:lang w:bidi="fa-IR"/>
        </w:rPr>
      </w:pPr>
      <w:r>
        <w:rPr>
          <w:rtl/>
          <w:lang w:bidi="fa-IR"/>
        </w:rPr>
        <w:lastRenderedPageBreak/>
        <w:t xml:space="preserve">وَالْقَمَاءَةِ </w:t>
      </w:r>
      <w:r w:rsidRPr="00D10E3C">
        <w:rPr>
          <w:rStyle w:val="libFootnotenumChar"/>
          <w:rtl/>
        </w:rPr>
        <w:t>(1)</w:t>
      </w:r>
      <w:r>
        <w:rPr>
          <w:rtl/>
          <w:lang w:bidi="fa-IR"/>
        </w:rPr>
        <w:t xml:space="preserve"> ، وَضُرِبَ عَلى قَلْبِهِ بِالْأَسْدَادِ </w:t>
      </w:r>
      <w:r w:rsidRPr="00D10E3C">
        <w:rPr>
          <w:rStyle w:val="libFootnotenumChar"/>
          <w:rtl/>
        </w:rPr>
        <w:t>(2)</w:t>
      </w:r>
      <w:r>
        <w:rPr>
          <w:rtl/>
          <w:lang w:bidi="fa-IR"/>
        </w:rPr>
        <w:t xml:space="preserve"> ، وَأُدِيلَ </w:t>
      </w:r>
      <w:r w:rsidRPr="00D10E3C">
        <w:rPr>
          <w:rStyle w:val="libFootnotenumChar"/>
          <w:rtl/>
        </w:rPr>
        <w:t>(3)</w:t>
      </w:r>
      <w:r>
        <w:rPr>
          <w:rtl/>
          <w:lang w:bidi="fa-IR"/>
        </w:rPr>
        <w:t xml:space="preserve"> الْحَقُّ مِنْهُ بِتَضْيِيعِ الْجِهَادِ </w:t>
      </w:r>
      <w:r w:rsidRPr="00D10E3C">
        <w:rPr>
          <w:rStyle w:val="libFootnotenumChar"/>
          <w:rtl/>
        </w:rPr>
        <w:t>(4)</w:t>
      </w:r>
      <w:r>
        <w:rPr>
          <w:rtl/>
          <w:lang w:bidi="fa-IR"/>
        </w:rPr>
        <w:t xml:space="preserve"> ، وَسِيمَ </w:t>
      </w:r>
      <w:r w:rsidRPr="00D10E3C">
        <w:rPr>
          <w:rStyle w:val="libFootnotenumChar"/>
          <w:rtl/>
        </w:rPr>
        <w:t>(5)</w:t>
      </w:r>
      <w:r>
        <w:rPr>
          <w:rtl/>
          <w:lang w:bidi="fa-IR"/>
        </w:rPr>
        <w:t xml:space="preserve"> الْخَسْفَ </w:t>
      </w:r>
      <w:r w:rsidRPr="00D10E3C">
        <w:rPr>
          <w:rStyle w:val="libFootnotenumChar"/>
          <w:rtl/>
        </w:rPr>
        <w:t>(6)</w:t>
      </w:r>
      <w:r>
        <w:rPr>
          <w:rtl/>
          <w:lang w:bidi="fa-IR"/>
        </w:rPr>
        <w:t xml:space="preserve"> ، وَمُنِعَ النَّصَفَ </w:t>
      </w:r>
      <w:r w:rsidRPr="00D10E3C">
        <w:rPr>
          <w:rStyle w:val="libFootnotenumChar"/>
          <w:rtl/>
        </w:rPr>
        <w:t>(7)</w:t>
      </w:r>
      <w:r w:rsidR="0077087C" w:rsidRPr="0077087C">
        <w:rPr>
          <w:rStyle w:val="libNormalChar"/>
          <w:rFonts w:hint="cs"/>
          <w:rtl/>
        </w:rPr>
        <w:t>.</w:t>
      </w:r>
    </w:p>
    <w:p w:rsidR="00144FA6" w:rsidRDefault="00744A1C" w:rsidP="00744A1C">
      <w:pPr>
        <w:pStyle w:val="libNormal"/>
        <w:rPr>
          <w:rtl/>
          <w:lang w:bidi="fa-IR"/>
        </w:rPr>
      </w:pPr>
      <w:r>
        <w:rPr>
          <w:rtl/>
          <w:lang w:bidi="fa-IR"/>
        </w:rPr>
        <w:t>أَلَا وَإِنِّي قَدْ دَعَوْتُكُمْ إِلى قِتَالِ هؤُلَاءِ الْقَوْمِ لَيْلاً وَنَهَاراً ، وَسِرّاً وَإِعْلَاناً ، وَقُلْتُ لَكُمْ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القَماءة : الذلّ ، والصغر. </w:t>
      </w:r>
      <w:r w:rsidR="00744A1C" w:rsidRPr="008A57EB">
        <w:rPr>
          <w:rStyle w:val="libFootnoteBoldChar"/>
          <w:rtl/>
        </w:rPr>
        <w:t>القاموس المحيط</w:t>
      </w:r>
      <w:r w:rsidR="00744A1C">
        <w:rPr>
          <w:rtl/>
          <w:lang w:bidi="fa-IR"/>
        </w:rPr>
        <w:t xml:space="preserve"> ، ج 1 ، ص 116 ( قمأ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 بالأشباه ». والأسداد : جمع سدّ ، يقال : ضربت عليه الأرض بالأسداد : سدّت عليه الطريق ، وعميت عليه مذاهبه. </w:t>
      </w:r>
      <w:r w:rsidR="00744A1C" w:rsidRPr="008A57EB">
        <w:rPr>
          <w:rStyle w:val="libFootnoteBoldChar"/>
          <w:rtl/>
        </w:rPr>
        <w:t>القاموس المحيط</w:t>
      </w:r>
      <w:r w:rsidR="00744A1C">
        <w:rPr>
          <w:rtl/>
          <w:lang w:bidi="fa-IR"/>
        </w:rPr>
        <w:t xml:space="preserve"> ، ج 1 ، ص 420 ( سدد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في بعض نسخ النهج : بالأسهاب ؛ يقال : ا</w:t>
      </w:r>
      <w:r w:rsidR="0077087C">
        <w:rPr>
          <w:rFonts w:hint="cs"/>
          <w:rtl/>
          <w:lang w:bidi="fa-IR"/>
        </w:rPr>
        <w:t>ُ</w:t>
      </w:r>
      <w:r>
        <w:rPr>
          <w:rtl/>
          <w:lang w:bidi="fa-IR"/>
        </w:rPr>
        <w:t xml:space="preserve">سهب الرجل - على بناء المفعول - إذا ذهب عقله من لدغ الحيّة ، وقيل : مطلقاً. وقيل : هو من الإسهاب بمعنى كثرة الكلام ؛ لأنّه عوقب بكثرة كلامه فيما لا يعنيه ». وراجع : </w:t>
      </w:r>
      <w:r w:rsidRPr="00877682">
        <w:rPr>
          <w:rStyle w:val="libFootnoteBoldChar"/>
          <w:rtl/>
        </w:rPr>
        <w:t>النهاية</w:t>
      </w:r>
      <w:r>
        <w:rPr>
          <w:rtl/>
          <w:lang w:bidi="fa-IR"/>
        </w:rPr>
        <w:t xml:space="preserve"> ، ج 2 ، ص 428 ؛ </w:t>
      </w:r>
      <w:r w:rsidRPr="00877682">
        <w:rPr>
          <w:rStyle w:val="libFootnoteBoldChar"/>
          <w:rtl/>
        </w:rPr>
        <w:t>لسان العرب</w:t>
      </w:r>
      <w:r>
        <w:rPr>
          <w:rtl/>
          <w:lang w:bidi="fa-IR"/>
        </w:rPr>
        <w:t xml:space="preserve"> ، ج 1 ، ص 475 ( سهب ).</w:t>
      </w:r>
    </w:p>
    <w:p w:rsidR="00744A1C" w:rsidRDefault="00E378DD" w:rsidP="00E378DD">
      <w:pPr>
        <w:pStyle w:val="libFootnote0"/>
        <w:rPr>
          <w:lang w:bidi="fa-IR"/>
        </w:rPr>
      </w:pPr>
      <w:r>
        <w:rPr>
          <w:rtl/>
          <w:lang w:bidi="fa-IR"/>
        </w:rPr>
        <w:t>(3).</w:t>
      </w:r>
      <w:r w:rsidR="00744A1C">
        <w:rPr>
          <w:rtl/>
          <w:lang w:bidi="fa-IR"/>
        </w:rPr>
        <w:t xml:space="preserve"> « ا</w:t>
      </w:r>
      <w:r w:rsidR="0077087C">
        <w:rPr>
          <w:rFonts w:hint="cs"/>
          <w:rtl/>
          <w:lang w:bidi="fa-IR"/>
        </w:rPr>
        <w:t>ُ</w:t>
      </w:r>
      <w:r w:rsidR="00744A1C">
        <w:rPr>
          <w:rtl/>
          <w:lang w:bidi="fa-IR"/>
        </w:rPr>
        <w:t>ديل » من الدَّولة ، وهي الانتقال من حال الشدّة إلى الرخاء. والإدالة : الغلبة والنصرة. يقال : ا</w:t>
      </w:r>
      <w:r w:rsidR="0077087C">
        <w:rPr>
          <w:rFonts w:hint="cs"/>
          <w:rtl/>
          <w:lang w:bidi="fa-IR"/>
        </w:rPr>
        <w:t>ُ</w:t>
      </w:r>
      <w:r w:rsidR="00744A1C">
        <w:rPr>
          <w:rtl/>
          <w:lang w:bidi="fa-IR"/>
        </w:rPr>
        <w:t xml:space="preserve">ديل لنا على أعدائنا ، أي نُصرنا عليهم وكانت الدولة لنا. وأدال منه وعليه ، أي جعله مغلوباً بالخصمة ، فالمراد هنا أنّه جعل مغلوباً للحقّ فيصيبه وخامة العاقبة ؛ لخذلانه الحقّ. راجع : </w:t>
      </w:r>
      <w:r w:rsidR="00744A1C" w:rsidRPr="00877682">
        <w:rPr>
          <w:rStyle w:val="libFootnoteBoldChar"/>
          <w:rtl/>
        </w:rPr>
        <w:t>النهاية</w:t>
      </w:r>
      <w:r w:rsidR="00744A1C">
        <w:rPr>
          <w:rtl/>
          <w:lang w:bidi="fa-IR"/>
        </w:rPr>
        <w:t xml:space="preserve"> ، ج 2 ، ص 141 ( دول ) ؛ </w:t>
      </w:r>
      <w:r w:rsidR="00744A1C" w:rsidRPr="00877682">
        <w:rPr>
          <w:rStyle w:val="libFootnoteBoldChar"/>
          <w:rtl/>
        </w:rPr>
        <w:t>مرآة العقول</w:t>
      </w:r>
      <w:r w:rsidR="00744A1C">
        <w:rPr>
          <w:rtl/>
          <w:lang w:bidi="fa-IR"/>
        </w:rPr>
        <w:t xml:space="preserve"> ، ج 18 ، ص 325.</w:t>
      </w:r>
    </w:p>
    <w:p w:rsidR="00744A1C" w:rsidRDefault="00E378DD" w:rsidP="00E378DD">
      <w:pPr>
        <w:pStyle w:val="libFootnote0"/>
        <w:rPr>
          <w:lang w:bidi="fa-IR"/>
        </w:rPr>
      </w:pPr>
      <w:r>
        <w:rPr>
          <w:rtl/>
          <w:lang w:bidi="fa-IR"/>
        </w:rPr>
        <w:t>(4).</w:t>
      </w:r>
      <w:r w:rsidR="00744A1C">
        <w:rPr>
          <w:rtl/>
          <w:lang w:bidi="fa-IR"/>
        </w:rPr>
        <w:t xml:space="preserve"> في « بث » : « ضرب على قلبه بالاشتباه وديّث بالصغار والقماءة » ، وفي « بف » : « ضرب على قلبه بالإسهاب وديّث بالصغار والقماوة » ، وفي </w:t>
      </w:r>
      <w:r w:rsidR="00744A1C" w:rsidRPr="0077087C">
        <w:rPr>
          <w:rtl/>
        </w:rPr>
        <w:t>الوافي</w:t>
      </w:r>
      <w:r w:rsidR="00744A1C">
        <w:rPr>
          <w:rtl/>
          <w:lang w:bidi="fa-IR"/>
        </w:rPr>
        <w:t xml:space="preserve"> : « ضرب على قلبه بالإسداد وديّث بالصغار والقماء » كلّها بدل « ديّث بالصغار والقماءة - إلى - بتضييع الجهاد ».</w:t>
      </w:r>
    </w:p>
    <w:p w:rsidR="00744A1C" w:rsidRDefault="00E378DD" w:rsidP="00E378DD">
      <w:pPr>
        <w:pStyle w:val="libFootnote0"/>
        <w:rPr>
          <w:lang w:bidi="fa-IR"/>
        </w:rPr>
      </w:pPr>
      <w:r>
        <w:rPr>
          <w:rtl/>
          <w:lang w:bidi="fa-IR"/>
        </w:rPr>
        <w:t>(5).</w:t>
      </w:r>
      <w:r w:rsidR="00744A1C">
        <w:rPr>
          <w:rtl/>
          <w:lang w:bidi="fa-IR"/>
        </w:rPr>
        <w:t xml:space="preserve"> « سيم » أي كُلِّفَ ، من السوم بمعنى التكليف. قال ابن منظور : « أكثر ما يستعمل في العذاب والشرّ والظلم ». وقال ابن الأثير : « أصله الواو ، فقلبت ضمّة السين كسرة ، ف</w:t>
      </w:r>
      <w:r w:rsidR="0077087C">
        <w:rPr>
          <w:rtl/>
          <w:lang w:bidi="fa-IR"/>
        </w:rPr>
        <w:t>انقلبت الواو ياء ». وقرأه العل</w:t>
      </w:r>
      <w:r w:rsidR="0077087C">
        <w:rPr>
          <w:rFonts w:hint="cs"/>
          <w:rtl/>
          <w:lang w:bidi="fa-IR"/>
        </w:rPr>
        <w:t>ّ</w:t>
      </w:r>
      <w:r w:rsidR="0077087C">
        <w:rPr>
          <w:rtl/>
          <w:lang w:bidi="fa-IR"/>
        </w:rPr>
        <w:t>ا</w:t>
      </w:r>
      <w:r w:rsidR="00744A1C">
        <w:rPr>
          <w:rtl/>
          <w:lang w:bidi="fa-IR"/>
        </w:rPr>
        <w:t xml:space="preserve">مة المجلسي </w:t>
      </w:r>
      <w:r w:rsidR="00877682" w:rsidRPr="00877682">
        <w:rPr>
          <w:rStyle w:val="libFootnoteAlaemChar"/>
          <w:rtl/>
        </w:rPr>
        <w:t>رحمه‌الله</w:t>
      </w:r>
      <w:r w:rsidR="00744A1C">
        <w:rPr>
          <w:rtl/>
          <w:lang w:bidi="fa-IR"/>
        </w:rPr>
        <w:t xml:space="preserve">: « سُئم » على بناء المفعول وقال : « أي كُلّف والزم ». </w:t>
      </w:r>
      <w:r w:rsidR="00744A1C" w:rsidRPr="00877682">
        <w:rPr>
          <w:rStyle w:val="libFootnoteBoldChar"/>
          <w:rtl/>
        </w:rPr>
        <w:t>النهاية</w:t>
      </w:r>
      <w:r w:rsidR="00744A1C">
        <w:rPr>
          <w:rtl/>
          <w:lang w:bidi="fa-IR"/>
        </w:rPr>
        <w:t xml:space="preserve"> ، ج 2 ، ص 426 ؛ </w:t>
      </w:r>
      <w:r w:rsidR="00744A1C" w:rsidRPr="00877682">
        <w:rPr>
          <w:rStyle w:val="libFootnoteBoldChar"/>
          <w:rtl/>
        </w:rPr>
        <w:t>لسان العرب</w:t>
      </w:r>
      <w:r w:rsidR="00744A1C">
        <w:rPr>
          <w:rtl/>
          <w:lang w:bidi="fa-IR"/>
        </w:rPr>
        <w:t xml:space="preserve"> ، ج 12 ، ص 311 ( سوم ).</w:t>
      </w:r>
    </w:p>
    <w:p w:rsidR="00744A1C" w:rsidRDefault="00E378DD" w:rsidP="00E378DD">
      <w:pPr>
        <w:pStyle w:val="libFootnote0"/>
        <w:rPr>
          <w:lang w:bidi="fa-IR"/>
        </w:rPr>
      </w:pPr>
      <w:r>
        <w:rPr>
          <w:rtl/>
          <w:lang w:bidi="fa-IR"/>
        </w:rPr>
        <w:t>(6).</w:t>
      </w:r>
      <w:r w:rsidR="00744A1C">
        <w:rPr>
          <w:rtl/>
          <w:lang w:bidi="fa-IR"/>
        </w:rPr>
        <w:t xml:space="preserve"> « الخسف </w:t>
      </w:r>
      <w:r w:rsidR="0077087C">
        <w:rPr>
          <w:rtl/>
          <w:lang w:bidi="fa-IR"/>
        </w:rPr>
        <w:t>» : الذلّ ، والمشقّة. قال العل</w:t>
      </w:r>
      <w:r w:rsidR="0077087C">
        <w:rPr>
          <w:rFonts w:hint="cs"/>
          <w:rtl/>
          <w:lang w:bidi="fa-IR"/>
        </w:rPr>
        <w:t>ّ</w:t>
      </w:r>
      <w:r w:rsidR="0077087C">
        <w:rPr>
          <w:rtl/>
          <w:lang w:bidi="fa-IR"/>
        </w:rPr>
        <w:t>ا</w:t>
      </w:r>
      <w:r w:rsidR="00744A1C">
        <w:rPr>
          <w:rtl/>
          <w:lang w:bidi="fa-IR"/>
        </w:rPr>
        <w:t xml:space="preserve">مة الفيض في </w:t>
      </w:r>
      <w:r w:rsidR="00744A1C" w:rsidRPr="00C24F9C">
        <w:rPr>
          <w:rStyle w:val="libFootnoteBoldChar"/>
          <w:rtl/>
        </w:rPr>
        <w:t>الوافي</w:t>
      </w:r>
      <w:r w:rsidR="00744A1C">
        <w:rPr>
          <w:rtl/>
          <w:lang w:bidi="fa-IR"/>
        </w:rPr>
        <w:t xml:space="preserve"> : « سيم الخسف ، أي ا</w:t>
      </w:r>
      <w:r w:rsidR="0077087C">
        <w:rPr>
          <w:rFonts w:hint="cs"/>
          <w:rtl/>
          <w:lang w:bidi="fa-IR"/>
        </w:rPr>
        <w:t>ُ</w:t>
      </w:r>
      <w:r w:rsidR="00744A1C">
        <w:rPr>
          <w:rtl/>
          <w:lang w:bidi="fa-IR"/>
        </w:rPr>
        <w:t xml:space="preserve">وتي الذلّ ، ويقال : سامه خسفاً - ويضمّ - أي أولاه ذلاًّ ، وكلّفه المشقّة ». وراجع : </w:t>
      </w:r>
      <w:r w:rsidR="00744A1C" w:rsidRPr="00877682">
        <w:rPr>
          <w:rStyle w:val="libFootnoteBoldChar"/>
          <w:rtl/>
        </w:rPr>
        <w:t>النهاية</w:t>
      </w:r>
      <w:r w:rsidR="00744A1C">
        <w:rPr>
          <w:rtl/>
          <w:lang w:bidi="fa-IR"/>
        </w:rPr>
        <w:t xml:space="preserve"> ، ج 2 ، ص 31 ؛ </w:t>
      </w:r>
      <w:r w:rsidR="00744A1C" w:rsidRPr="00877682">
        <w:rPr>
          <w:rStyle w:val="libFootnoteBoldChar"/>
          <w:rtl/>
        </w:rPr>
        <w:t>لسان العرب</w:t>
      </w:r>
      <w:r w:rsidR="00744A1C">
        <w:rPr>
          <w:rtl/>
          <w:lang w:bidi="fa-IR"/>
        </w:rPr>
        <w:t xml:space="preserve"> ، ج 9 ، ص 68 ( خسف ).</w:t>
      </w:r>
    </w:p>
    <w:p w:rsidR="00744A1C" w:rsidRDefault="00E378DD" w:rsidP="00E378DD">
      <w:pPr>
        <w:pStyle w:val="libFootnote0"/>
        <w:rPr>
          <w:lang w:bidi="fa-IR"/>
        </w:rPr>
      </w:pPr>
      <w:r>
        <w:rPr>
          <w:rtl/>
          <w:lang w:bidi="fa-IR"/>
        </w:rPr>
        <w:t>(7).</w:t>
      </w:r>
      <w:r w:rsidR="00744A1C">
        <w:rPr>
          <w:rtl/>
          <w:lang w:bidi="fa-IR"/>
        </w:rPr>
        <w:t xml:space="preserve"> في « بف » : + « و</w:t>
      </w:r>
      <w:r w:rsidR="0077087C">
        <w:rPr>
          <w:rFonts w:hint="cs"/>
          <w:rtl/>
          <w:lang w:bidi="fa-IR"/>
        </w:rPr>
        <w:t xml:space="preserve"> </w:t>
      </w:r>
      <w:r w:rsidR="00744A1C">
        <w:rPr>
          <w:rtl/>
          <w:lang w:bidi="fa-IR"/>
        </w:rPr>
        <w:t>ا</w:t>
      </w:r>
      <w:r w:rsidR="0077087C">
        <w:rPr>
          <w:rFonts w:hint="cs"/>
          <w:rtl/>
          <w:lang w:bidi="fa-IR"/>
        </w:rPr>
        <w:t>ُ</w:t>
      </w:r>
      <w:r w:rsidR="00744A1C">
        <w:rPr>
          <w:rtl/>
          <w:lang w:bidi="fa-IR"/>
        </w:rPr>
        <w:t xml:space="preserve">زيل الحقّ منه بتضييع الجهاد وغضب الله عليه بتركه نصرته. قال الله عزّ وجلّ في كتابه : </w:t>
      </w:r>
      <w:r w:rsidR="00744A1C" w:rsidRPr="0077087C">
        <w:rPr>
          <w:rStyle w:val="libFootnoteAlaemChar"/>
          <w:rtl/>
        </w:rPr>
        <w:t>(</w:t>
      </w:r>
      <w:r w:rsidR="00744A1C">
        <w:rPr>
          <w:rtl/>
          <w:lang w:bidi="fa-IR"/>
        </w:rPr>
        <w:t xml:space="preserve"> </w:t>
      </w:r>
      <w:r w:rsidR="00744A1C" w:rsidRPr="0077087C">
        <w:rPr>
          <w:rStyle w:val="libFootnoteAieChar"/>
          <w:rtl/>
        </w:rPr>
        <w:t>إِنْ تَنْصُرُوا اللهَ يَنْصُرْكُمْ وَيُثَبِّتْ أَقْدامَكُمْ</w:t>
      </w:r>
      <w:r w:rsidR="00744A1C">
        <w:rPr>
          <w:rtl/>
          <w:lang w:bidi="fa-IR"/>
        </w:rPr>
        <w:t xml:space="preserve"> </w:t>
      </w:r>
      <w:r w:rsidR="00744A1C" w:rsidRPr="0077087C">
        <w:rPr>
          <w:rStyle w:val="libFootnoteAlaemChar"/>
          <w:rtl/>
        </w:rPr>
        <w:t>)</w:t>
      </w:r>
      <w:r w:rsidR="00744A1C">
        <w:rPr>
          <w:rtl/>
          <w:lang w:bidi="fa-IR"/>
        </w:rPr>
        <w:t xml:space="preserve"> ». وهكذا في </w:t>
      </w:r>
      <w:r w:rsidR="00744A1C" w:rsidRPr="00C24F9C">
        <w:rPr>
          <w:rStyle w:val="libFootnoteBoldChar"/>
          <w:rtl/>
        </w:rPr>
        <w:t>الوافي</w:t>
      </w:r>
      <w:r w:rsidR="00744A1C">
        <w:rPr>
          <w:rtl/>
          <w:lang w:bidi="fa-IR"/>
        </w:rPr>
        <w:t xml:space="preserve"> بدل قوله </w:t>
      </w:r>
      <w:r w:rsidR="0061079A" w:rsidRPr="0061079A">
        <w:rPr>
          <w:rStyle w:val="libFootnoteAlaemChar"/>
          <w:rtl/>
        </w:rPr>
        <w:t>عليه‌السلام</w:t>
      </w:r>
      <w:r w:rsidR="00D10E3C">
        <w:rPr>
          <w:rtl/>
          <w:lang w:bidi="fa-IR"/>
        </w:rPr>
        <w:t xml:space="preserve"> </w:t>
      </w:r>
      <w:r w:rsidR="00744A1C">
        <w:rPr>
          <w:rtl/>
          <w:lang w:bidi="fa-IR"/>
        </w:rPr>
        <w:t>: « ألا وإنّي ق</w:t>
      </w:r>
      <w:r w:rsidR="0077087C">
        <w:rPr>
          <w:rtl/>
          <w:lang w:bidi="fa-IR"/>
        </w:rPr>
        <w:t>د دعوتكم » إلى آخر الحديث ، إل</w:t>
      </w:r>
      <w:r w:rsidR="0077087C">
        <w:rPr>
          <w:rFonts w:hint="cs"/>
          <w:rtl/>
          <w:lang w:bidi="fa-IR"/>
        </w:rPr>
        <w:t>ّ</w:t>
      </w:r>
      <w:r w:rsidR="0077087C">
        <w:rPr>
          <w:rtl/>
          <w:lang w:bidi="fa-IR"/>
        </w:rPr>
        <w:t>ا</w:t>
      </w:r>
      <w:r w:rsidR="00744A1C">
        <w:rPr>
          <w:rtl/>
          <w:lang w:bidi="fa-IR"/>
        </w:rPr>
        <w:t xml:space="preserve"> أنّ فيه : « ا</w:t>
      </w:r>
      <w:r w:rsidR="0077087C">
        <w:rPr>
          <w:rFonts w:hint="cs"/>
          <w:rtl/>
          <w:lang w:bidi="fa-IR"/>
        </w:rPr>
        <w:t>ُ</w:t>
      </w:r>
      <w:r w:rsidR="00744A1C">
        <w:rPr>
          <w:rtl/>
          <w:lang w:bidi="fa-IR"/>
        </w:rPr>
        <w:t>ديل » بدل « ا</w:t>
      </w:r>
      <w:r w:rsidR="0077087C">
        <w:rPr>
          <w:rFonts w:hint="cs"/>
          <w:rtl/>
          <w:lang w:bidi="fa-IR"/>
        </w:rPr>
        <w:t>ُ</w:t>
      </w:r>
      <w:r w:rsidR="00744A1C">
        <w:rPr>
          <w:rtl/>
          <w:lang w:bidi="fa-IR"/>
        </w:rPr>
        <w:t xml:space="preserve">زيل » و « بتضييعه » بدل « بتضييع » ، ثمّ نقل من قوله </w:t>
      </w:r>
      <w:r w:rsidR="0061079A" w:rsidRPr="0061079A">
        <w:rPr>
          <w:rStyle w:val="libFootnoteAlaemChar"/>
          <w:rtl/>
        </w:rPr>
        <w:t>عليه‌السلام</w:t>
      </w:r>
      <w:r w:rsidR="00D10E3C">
        <w:rPr>
          <w:rtl/>
          <w:lang w:bidi="fa-IR"/>
        </w:rPr>
        <w:t xml:space="preserve"> </w:t>
      </w:r>
      <w:r w:rsidR="00744A1C">
        <w:rPr>
          <w:rtl/>
          <w:lang w:bidi="fa-IR"/>
        </w:rPr>
        <w:t xml:space="preserve">: « ألا وإنّي قد دعوتكم » إلى آخر الحديث عن بعض نسخ </w:t>
      </w:r>
      <w:r w:rsidR="00744A1C" w:rsidRPr="0061079A">
        <w:rPr>
          <w:rStyle w:val="libFootnoteBoldChar"/>
          <w:rtl/>
        </w:rPr>
        <w:t>الكافي</w:t>
      </w:r>
      <w:r w:rsidR="00744A1C">
        <w:rPr>
          <w:rtl/>
          <w:lang w:bidi="fa-IR"/>
        </w:rPr>
        <w:t>.</w:t>
      </w:r>
    </w:p>
    <w:p w:rsidR="00744A1C" w:rsidRDefault="00744A1C" w:rsidP="00D10E3C">
      <w:pPr>
        <w:pStyle w:val="libFootnote0"/>
        <w:rPr>
          <w:lang w:bidi="fa-IR"/>
        </w:rPr>
      </w:pPr>
      <w:r>
        <w:rPr>
          <w:rtl/>
          <w:lang w:bidi="fa-IR"/>
        </w:rPr>
        <w:t xml:space="preserve">والنَصَفُ : إعطاء الحقّ ، والاسم من </w:t>
      </w:r>
      <w:r w:rsidR="0077087C">
        <w:rPr>
          <w:rtl/>
          <w:lang w:bidi="fa-IR"/>
        </w:rPr>
        <w:t>الإنصاف ، وهو العدل. وقال العل</w:t>
      </w:r>
      <w:r w:rsidR="0077087C">
        <w:rPr>
          <w:rFonts w:hint="cs"/>
          <w:rtl/>
          <w:lang w:bidi="fa-IR"/>
        </w:rPr>
        <w:t>ّ</w:t>
      </w:r>
      <w:r w:rsidR="0077087C">
        <w:rPr>
          <w:rtl/>
          <w:lang w:bidi="fa-IR"/>
        </w:rPr>
        <w:t>ا</w:t>
      </w:r>
      <w:r>
        <w:rPr>
          <w:rtl/>
          <w:lang w:bidi="fa-IR"/>
        </w:rPr>
        <w:t xml:space="preserve">مة المجلسي </w:t>
      </w:r>
      <w:r w:rsidR="00877682" w:rsidRPr="00877682">
        <w:rPr>
          <w:rStyle w:val="libFootnoteAlaemChar"/>
          <w:rtl/>
        </w:rPr>
        <w:t>رحمه‌الله</w:t>
      </w:r>
      <w:r>
        <w:rPr>
          <w:rtl/>
          <w:lang w:bidi="fa-IR"/>
        </w:rPr>
        <w:t xml:space="preserve">: « أي لا يتمكّن من الانتصاف والانتقام ، بل يصير مظلوماً من الخصوم والأعادي ، وقيل : لا ينصف هو ، وهو بعيد ». راجع : </w:t>
      </w:r>
      <w:r w:rsidRPr="00877682">
        <w:rPr>
          <w:rStyle w:val="libFootnoteBoldChar"/>
          <w:rtl/>
        </w:rPr>
        <w:t>لسان العرب</w:t>
      </w:r>
      <w:r>
        <w:rPr>
          <w:rtl/>
          <w:lang w:bidi="fa-IR"/>
        </w:rPr>
        <w:t xml:space="preserve"> ، ج 9 ، ص 331 ؛ </w:t>
      </w:r>
      <w:r w:rsidRPr="008A57EB">
        <w:rPr>
          <w:rStyle w:val="libFootnoteBoldChar"/>
          <w:rtl/>
        </w:rPr>
        <w:t>القاموس المحيط</w:t>
      </w:r>
      <w:r>
        <w:rPr>
          <w:rtl/>
          <w:lang w:bidi="fa-IR"/>
        </w:rPr>
        <w:t xml:space="preserve"> ، ج 2 ، ص 1140 ( نصف ).</w:t>
      </w:r>
    </w:p>
    <w:p w:rsidR="006A5060" w:rsidRDefault="006A5060" w:rsidP="00D10E3C">
      <w:pPr>
        <w:pStyle w:val="libNormal"/>
        <w:rPr>
          <w:rtl/>
          <w:lang w:bidi="fa-IR"/>
        </w:rPr>
      </w:pPr>
      <w:r>
        <w:rPr>
          <w:rtl/>
          <w:lang w:bidi="fa-IR"/>
        </w:rPr>
        <w:br w:type="page"/>
      </w:r>
    </w:p>
    <w:p w:rsidR="00744A1C" w:rsidRDefault="00744A1C" w:rsidP="0077087C">
      <w:pPr>
        <w:pStyle w:val="libNormal0"/>
        <w:rPr>
          <w:lang w:bidi="fa-IR"/>
        </w:rPr>
      </w:pPr>
      <w:r>
        <w:rPr>
          <w:rtl/>
          <w:lang w:bidi="fa-IR"/>
        </w:rPr>
        <w:lastRenderedPageBreak/>
        <w:t xml:space="preserve">اغْزُوهُمْ قَبْلَ أَنْ يَغْزُوكُمْ ، فَوَ اللهِ مَا غُزِيَ </w:t>
      </w:r>
      <w:r w:rsidRPr="00D10E3C">
        <w:rPr>
          <w:rStyle w:val="libFootnotenumChar"/>
          <w:rtl/>
        </w:rPr>
        <w:t>(1)</w:t>
      </w:r>
      <w:r>
        <w:rPr>
          <w:rtl/>
          <w:lang w:bidi="fa-IR"/>
        </w:rPr>
        <w:t xml:space="preserve"> قَوْمٌ قَطُّ فِي عُقْرِ دَارِهِمْ </w:t>
      </w:r>
      <w:r w:rsidRPr="00D10E3C">
        <w:rPr>
          <w:rStyle w:val="libFootnotenumChar"/>
          <w:rtl/>
        </w:rPr>
        <w:t>(2)</w:t>
      </w:r>
      <w:r w:rsidR="0077087C">
        <w:rPr>
          <w:rtl/>
          <w:lang w:bidi="fa-IR"/>
        </w:rPr>
        <w:t xml:space="preserve"> إِل</w:t>
      </w:r>
      <w:r w:rsidR="0077087C">
        <w:rPr>
          <w:rFonts w:hint="cs"/>
          <w:rtl/>
          <w:lang w:bidi="fa-IR"/>
        </w:rPr>
        <w:t>َّ</w:t>
      </w:r>
      <w:r w:rsidR="0077087C">
        <w:rPr>
          <w:rtl/>
          <w:lang w:bidi="fa-IR"/>
        </w:rPr>
        <w:t>ا</w:t>
      </w:r>
      <w:r>
        <w:rPr>
          <w:rtl/>
          <w:lang w:bidi="fa-IR"/>
        </w:rPr>
        <w:t xml:space="preserve"> ذَلُّوا ، فَتَوَاكَلْتُمْ </w:t>
      </w:r>
      <w:r w:rsidRPr="00D10E3C">
        <w:rPr>
          <w:rStyle w:val="libFootnotenumChar"/>
          <w:rtl/>
        </w:rPr>
        <w:t>(3)</w:t>
      </w:r>
      <w:r>
        <w:rPr>
          <w:rtl/>
          <w:lang w:bidi="fa-IR"/>
        </w:rPr>
        <w:t xml:space="preserve"> وَتَخَاذَلْتُمْ حَتّى شُنَّتْ عَلَيْكُمُ الْغَارَاتُ </w:t>
      </w:r>
      <w:r w:rsidRPr="00D10E3C">
        <w:rPr>
          <w:rStyle w:val="libFootnotenumChar"/>
          <w:rtl/>
        </w:rPr>
        <w:t>(4)</w:t>
      </w:r>
      <w:r>
        <w:rPr>
          <w:rtl/>
          <w:lang w:bidi="fa-IR"/>
        </w:rPr>
        <w:t xml:space="preserve"> ، وَمُلِكَتْ عَلَيْكُمُ </w:t>
      </w:r>
      <w:r w:rsidRPr="00D10E3C">
        <w:rPr>
          <w:rStyle w:val="libFootnotenumChar"/>
          <w:rtl/>
        </w:rPr>
        <w:t>(5)</w:t>
      </w:r>
      <w:r>
        <w:rPr>
          <w:rtl/>
          <w:lang w:bidi="fa-IR"/>
        </w:rPr>
        <w:t xml:space="preserve"> الْأَوْطَانُ ، هذَا أَخُو غَامِدٍ </w:t>
      </w:r>
      <w:r w:rsidRPr="00D10E3C">
        <w:rPr>
          <w:rStyle w:val="libFootnotenumChar"/>
          <w:rtl/>
        </w:rPr>
        <w:t>(6)</w:t>
      </w:r>
      <w:r>
        <w:rPr>
          <w:rtl/>
          <w:lang w:bidi="fa-IR"/>
        </w:rPr>
        <w:t xml:space="preserve"> قَدْ وَرَدَتْ خَيْلُهُ الْأَنْبَارَ </w:t>
      </w:r>
      <w:r w:rsidRPr="00D10E3C">
        <w:rPr>
          <w:rStyle w:val="libFootnotenumChar"/>
          <w:rtl/>
        </w:rPr>
        <w:t>(7)</w:t>
      </w:r>
      <w:r>
        <w:rPr>
          <w:rtl/>
          <w:lang w:bidi="fa-IR"/>
        </w:rPr>
        <w:t xml:space="preserve"> ، وَقَتَلَ </w:t>
      </w:r>
      <w:r w:rsidRPr="00D10E3C">
        <w:rPr>
          <w:rStyle w:val="libFootnotenumChar"/>
          <w:rtl/>
        </w:rPr>
        <w:t>(8)</w:t>
      </w:r>
      <w:r>
        <w:rPr>
          <w:rtl/>
          <w:lang w:bidi="fa-IR"/>
        </w:rPr>
        <w:t xml:space="preserve"> حَسَّانَ بْنَ حَسَّانَ </w:t>
      </w:r>
      <w:r w:rsidRPr="00D10E3C">
        <w:rPr>
          <w:rStyle w:val="libFootnotenumChar"/>
          <w:rtl/>
        </w:rPr>
        <w:t>(9)</w:t>
      </w:r>
      <w:r>
        <w:rPr>
          <w:rtl/>
          <w:lang w:bidi="fa-IR"/>
        </w:rPr>
        <w:t xml:space="preserve"> الْبَكْرِيَّ </w:t>
      </w:r>
      <w:r w:rsidRPr="00D10E3C">
        <w:rPr>
          <w:rStyle w:val="libFootnotenumChar"/>
          <w:rtl/>
        </w:rPr>
        <w:t>(10)</w:t>
      </w:r>
      <w:r>
        <w:rPr>
          <w:rtl/>
          <w:lang w:bidi="fa-IR"/>
        </w:rPr>
        <w:t xml:space="preserve"> ، وَأَزَالَ خَيْلَكُمْ عَنْ مَسَالِحِهَا </w:t>
      </w:r>
      <w:r w:rsidRPr="00D10E3C">
        <w:rPr>
          <w:rStyle w:val="libFootnotenumChar"/>
          <w:rtl/>
        </w:rPr>
        <w:t>(11)</w:t>
      </w:r>
      <w:r>
        <w:rPr>
          <w:rtl/>
          <w:lang w:bidi="fa-IR"/>
        </w:rPr>
        <w:t xml:space="preserve"> ، وَقَدْ </w:t>
      </w:r>
      <w:r w:rsidRPr="00D10E3C">
        <w:rPr>
          <w:rStyle w:val="libFootnotenumChar"/>
          <w:rtl/>
        </w:rPr>
        <w:t>(12)</w:t>
      </w:r>
      <w:r>
        <w:rPr>
          <w:rtl/>
          <w:lang w:bidi="fa-IR"/>
        </w:rPr>
        <w:t xml:space="preserve"> بَلَغَنِي أَنَّ الرَّجُلَ مِنْهُمْ كَانَ يَدْخُلُ عَلَى الْمَرْأَةِ الْمُسْلِمَةِ ، وَالْأُخْرَى الْمُعَاهَدَةِ </w:t>
      </w:r>
      <w:r w:rsidRPr="00D10E3C">
        <w:rPr>
          <w:rStyle w:val="libFootnotenumChar"/>
          <w:rtl/>
        </w:rPr>
        <w:t>(13)</w:t>
      </w:r>
      <w:r>
        <w:rPr>
          <w:rtl/>
          <w:lang w:bidi="fa-IR"/>
        </w:rPr>
        <w:t xml:space="preserve"> ، فَيَنْتَزِعُ </w:t>
      </w:r>
      <w:r w:rsidRPr="00D10E3C">
        <w:rPr>
          <w:rStyle w:val="libFootnotenumChar"/>
          <w:rtl/>
        </w:rPr>
        <w:t>(14)</w:t>
      </w:r>
      <w:r>
        <w:rPr>
          <w:rtl/>
          <w:lang w:bidi="fa-IR"/>
        </w:rPr>
        <w:t xml:space="preserve"> حِجْلَهَا </w:t>
      </w:r>
      <w:r w:rsidRPr="00D10E3C">
        <w:rPr>
          <w:rStyle w:val="libFootnotenumChar"/>
          <w:rtl/>
        </w:rPr>
        <w:t>(15)</w:t>
      </w:r>
      <w:r>
        <w:rPr>
          <w:rtl/>
          <w:lang w:bidi="fa-IR"/>
        </w:rPr>
        <w:t xml:space="preserve"> وَقُلْبَهَا </w:t>
      </w:r>
      <w:r w:rsidRPr="00D10E3C">
        <w:rPr>
          <w:rStyle w:val="libFootnotenumChar"/>
          <w:rtl/>
        </w:rPr>
        <w:t>(16)</w:t>
      </w:r>
      <w:r>
        <w:rPr>
          <w:rtl/>
          <w:lang w:bidi="fa-IR"/>
        </w:rPr>
        <w:t xml:space="preserve"> وَقَلَائِدَهَا وَرِعَاثَهَا </w:t>
      </w:r>
      <w:r w:rsidRPr="00D10E3C">
        <w:rPr>
          <w:rStyle w:val="libFootnotenumChar"/>
          <w:rtl/>
        </w:rPr>
        <w:t>(17)</w:t>
      </w:r>
      <w:r>
        <w:rPr>
          <w:rtl/>
          <w:lang w:bidi="fa-IR"/>
        </w:rPr>
        <w:t xml:space="preserve"> ، مَا تُمْنَعُ </w:t>
      </w:r>
      <w:r w:rsidRPr="00D10E3C">
        <w:rPr>
          <w:rStyle w:val="libFootnotenumChar"/>
          <w:rtl/>
        </w:rPr>
        <w:t>(18)</w:t>
      </w:r>
      <w:r>
        <w:rPr>
          <w:rtl/>
          <w:lang w:bidi="fa-IR"/>
        </w:rPr>
        <w:t xml:space="preserve"> مِنْهُ‌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 « ا</w:t>
      </w:r>
      <w:r w:rsidR="0077087C">
        <w:rPr>
          <w:rFonts w:hint="cs"/>
          <w:rtl/>
          <w:lang w:bidi="fa-IR"/>
        </w:rPr>
        <w:t>ُ</w:t>
      </w:r>
      <w:r w:rsidR="00744A1C">
        <w:rPr>
          <w:rtl/>
          <w:lang w:bidi="fa-IR"/>
        </w:rPr>
        <w:t>غزي » على صيغة المبنيّ للمفعول.</w:t>
      </w:r>
    </w:p>
    <w:p w:rsidR="00744A1C" w:rsidRDefault="00E378DD" w:rsidP="00E378DD">
      <w:pPr>
        <w:pStyle w:val="libFootnote0"/>
        <w:rPr>
          <w:lang w:bidi="fa-IR"/>
        </w:rPr>
      </w:pPr>
      <w:r>
        <w:rPr>
          <w:rtl/>
          <w:lang w:bidi="fa-IR"/>
        </w:rPr>
        <w:t>(2).</w:t>
      </w:r>
      <w:r w:rsidR="00744A1C">
        <w:rPr>
          <w:rtl/>
          <w:lang w:bidi="fa-IR"/>
        </w:rPr>
        <w:t xml:space="preserve"> عُقر الدار : أصلها أو وسطها ، وهو محلّة القوم. </w:t>
      </w:r>
      <w:r w:rsidR="00744A1C" w:rsidRPr="00877682">
        <w:rPr>
          <w:rStyle w:val="libFootnoteBoldChar"/>
          <w:rtl/>
        </w:rPr>
        <w:t>لسان العرب</w:t>
      </w:r>
      <w:r w:rsidR="00744A1C">
        <w:rPr>
          <w:rtl/>
          <w:lang w:bidi="fa-IR"/>
        </w:rPr>
        <w:t xml:space="preserve"> ، ج 4 ، ص 596 ( عقر ).</w:t>
      </w:r>
    </w:p>
    <w:p w:rsidR="00744A1C" w:rsidRDefault="00E378DD" w:rsidP="00E378DD">
      <w:pPr>
        <w:pStyle w:val="libFootnote0"/>
        <w:rPr>
          <w:lang w:bidi="fa-IR"/>
        </w:rPr>
      </w:pPr>
      <w:r>
        <w:rPr>
          <w:rtl/>
          <w:lang w:bidi="fa-IR"/>
        </w:rPr>
        <w:t>(3).</w:t>
      </w:r>
      <w:r w:rsidR="00744A1C">
        <w:rPr>
          <w:rtl/>
          <w:lang w:bidi="fa-IR"/>
        </w:rPr>
        <w:t xml:space="preserve"> تواكلَ القومُ : اتّكل بعضهم على بعض وترك الأمر إليه. راجع : </w:t>
      </w:r>
      <w:r w:rsidR="00744A1C" w:rsidRPr="00877682">
        <w:rPr>
          <w:rStyle w:val="libFootnoteBoldChar"/>
          <w:rtl/>
        </w:rPr>
        <w:t>لسان العرب</w:t>
      </w:r>
      <w:r w:rsidR="00744A1C">
        <w:rPr>
          <w:rtl/>
          <w:lang w:bidi="fa-IR"/>
        </w:rPr>
        <w:t xml:space="preserve"> ، ج 11 ، ص 735 ( وكل ).</w:t>
      </w:r>
    </w:p>
    <w:p w:rsidR="00744A1C" w:rsidRDefault="00E378DD" w:rsidP="00E378DD">
      <w:pPr>
        <w:pStyle w:val="libFootnote0"/>
        <w:rPr>
          <w:lang w:bidi="fa-IR"/>
        </w:rPr>
      </w:pPr>
      <w:r>
        <w:rPr>
          <w:rtl/>
          <w:lang w:bidi="fa-IR"/>
        </w:rPr>
        <w:t>(4).</w:t>
      </w:r>
      <w:r w:rsidR="00744A1C">
        <w:rPr>
          <w:rtl/>
          <w:lang w:bidi="fa-IR"/>
        </w:rPr>
        <w:t xml:space="preserve"> شنّ عليهم الغارة شنّها شنّاً وأشنّ : صبّها ، وبثّها ، وفرّقها من كلّ وجه. والغارة : الجماعة من الخيل إذا أغارت‌</w:t>
      </w:r>
      <w:r w:rsidR="0077087C">
        <w:rPr>
          <w:rFonts w:hint="cs"/>
          <w:rtl/>
          <w:lang w:bidi="fa-IR"/>
        </w:rPr>
        <w:t xml:space="preserve"> </w:t>
      </w:r>
      <w:r w:rsidR="00744A1C">
        <w:rPr>
          <w:rtl/>
          <w:lang w:bidi="fa-IR"/>
        </w:rPr>
        <w:t xml:space="preserve">وتهجّمت. راجع : </w:t>
      </w:r>
      <w:r w:rsidR="00744A1C" w:rsidRPr="00877682">
        <w:rPr>
          <w:rStyle w:val="libFootnoteBoldChar"/>
          <w:rtl/>
        </w:rPr>
        <w:t>لسان العرب</w:t>
      </w:r>
      <w:r w:rsidR="00744A1C">
        <w:rPr>
          <w:rtl/>
          <w:lang w:bidi="fa-IR"/>
        </w:rPr>
        <w:t xml:space="preserve"> ، ج 13 ، ص 242 ( شنن ) ؛ وج 5 ، ص 36 ( غور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كلمة على ، في ملكت عليكم ، تفيد الاستعلاء بالقهر والغلبة ، أي أخذوا الأوطان منكم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أخو غامد هو سفيان بن عوف الغامدي ، وغامد قبيلة من اليمن ». ونحوه في </w:t>
      </w:r>
      <w:r w:rsidR="00744A1C" w:rsidRPr="00C24F9C">
        <w:rPr>
          <w:rStyle w:val="libFootnoteBoldChar"/>
          <w:rtl/>
        </w:rPr>
        <w:t>المرآة</w:t>
      </w:r>
      <w:r w:rsidR="00744A1C">
        <w:rPr>
          <w:rtl/>
          <w:lang w:bidi="fa-IR"/>
        </w:rPr>
        <w:t xml:space="preserve">. وراجع : </w:t>
      </w:r>
      <w:r w:rsidR="00744A1C" w:rsidRPr="00E978C3">
        <w:rPr>
          <w:rStyle w:val="libFootnoteBoldChar"/>
          <w:rtl/>
        </w:rPr>
        <w:t>الصحاح</w:t>
      </w:r>
      <w:r w:rsidR="00744A1C">
        <w:rPr>
          <w:rtl/>
          <w:lang w:bidi="fa-IR"/>
        </w:rPr>
        <w:t xml:space="preserve"> ، ج 2 ، ص 517 ؛ </w:t>
      </w:r>
      <w:r w:rsidR="00744A1C" w:rsidRPr="00877682">
        <w:rPr>
          <w:rStyle w:val="libFootnoteBoldChar"/>
          <w:rtl/>
        </w:rPr>
        <w:t>لسان العرب</w:t>
      </w:r>
      <w:r w:rsidR="00744A1C">
        <w:rPr>
          <w:rtl/>
          <w:lang w:bidi="fa-IR"/>
        </w:rPr>
        <w:t xml:space="preserve"> ، ج 3 ، ص 326 ( غمد ).</w:t>
      </w:r>
    </w:p>
    <w:p w:rsidR="00744A1C" w:rsidRDefault="00E378DD" w:rsidP="00E378DD">
      <w:pPr>
        <w:pStyle w:val="libFootnote0"/>
        <w:rPr>
          <w:lang w:bidi="fa-IR"/>
        </w:rPr>
      </w:pPr>
      <w:r>
        <w:rPr>
          <w:rtl/>
          <w:lang w:bidi="fa-IR"/>
        </w:rPr>
        <w:t>(7).</w:t>
      </w:r>
      <w:r w:rsidR="00744A1C">
        <w:rPr>
          <w:rtl/>
          <w:lang w:bidi="fa-IR"/>
        </w:rPr>
        <w:t xml:space="preserve"> « الأنبار » : مدينة على الفرات في غربيّ بغداد ، بينهما عشرة فراسخ. سمّيت بذلك لأنّه كان يجمع بها أنابير</w:t>
      </w:r>
      <w:r w:rsidR="0077087C">
        <w:rPr>
          <w:rFonts w:hint="cs"/>
          <w:rtl/>
          <w:lang w:bidi="fa-IR"/>
        </w:rPr>
        <w:t xml:space="preserve"> </w:t>
      </w:r>
      <w:r w:rsidR="00744A1C">
        <w:rPr>
          <w:rtl/>
          <w:lang w:bidi="fa-IR"/>
        </w:rPr>
        <w:t xml:space="preserve">الحنطة والشعير والقت والتين ، وقيل غير ذلك. راجع : </w:t>
      </w:r>
      <w:r w:rsidR="00744A1C" w:rsidRPr="0077087C">
        <w:rPr>
          <w:rStyle w:val="libFootnoteBoldChar"/>
          <w:rtl/>
        </w:rPr>
        <w:t>معجم البلدان</w:t>
      </w:r>
      <w:r w:rsidR="00744A1C">
        <w:rPr>
          <w:rtl/>
          <w:lang w:bidi="fa-IR"/>
        </w:rPr>
        <w:t xml:space="preserve"> ، ج 1 ، ص 257.</w:t>
      </w:r>
    </w:p>
    <w:p w:rsidR="00744A1C" w:rsidRDefault="00E378DD" w:rsidP="00E378DD">
      <w:pPr>
        <w:pStyle w:val="libFootnote0"/>
        <w:rPr>
          <w:lang w:bidi="fa-IR"/>
        </w:rPr>
      </w:pPr>
      <w:r>
        <w:rPr>
          <w:rtl/>
          <w:lang w:bidi="fa-IR"/>
        </w:rPr>
        <w:t>(8).</w:t>
      </w:r>
      <w:r w:rsidR="00744A1C">
        <w:rPr>
          <w:rtl/>
          <w:lang w:bidi="fa-IR"/>
        </w:rPr>
        <w:t xml:space="preserve"> في « جت » ونهج البلاغة : « وقد قتل ».</w:t>
      </w:r>
    </w:p>
    <w:p w:rsidR="00744A1C" w:rsidRDefault="00E378DD" w:rsidP="00E378DD">
      <w:pPr>
        <w:pStyle w:val="libFootnote0"/>
        <w:rPr>
          <w:lang w:bidi="fa-IR"/>
        </w:rPr>
      </w:pPr>
      <w:r>
        <w:rPr>
          <w:rtl/>
          <w:lang w:bidi="fa-IR"/>
        </w:rPr>
        <w:t>(9).</w:t>
      </w:r>
      <w:r w:rsidR="00744A1C">
        <w:rPr>
          <w:rtl/>
          <w:lang w:bidi="fa-IR"/>
        </w:rPr>
        <w:t xml:space="preserve"> في « جد ، جن » : « حيّان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حسّان ، كان عاملاً من قبله </w:t>
      </w:r>
      <w:r w:rsidR="0061079A" w:rsidRPr="0061079A">
        <w:rPr>
          <w:rStyle w:val="libFootnoteAlaemChar"/>
          <w:rtl/>
        </w:rPr>
        <w:t>عليه‌السلام</w:t>
      </w:r>
      <w:r w:rsidR="00D10E3C">
        <w:rPr>
          <w:rtl/>
          <w:lang w:bidi="fa-IR"/>
        </w:rPr>
        <w:t xml:space="preserve"> </w:t>
      </w:r>
      <w:r w:rsidR="00744A1C">
        <w:rPr>
          <w:rtl/>
          <w:lang w:bidi="fa-IR"/>
        </w:rPr>
        <w:t>على الأنبار ».</w:t>
      </w:r>
    </w:p>
    <w:p w:rsidR="00744A1C" w:rsidRDefault="00E378DD" w:rsidP="00E378DD">
      <w:pPr>
        <w:pStyle w:val="libFootnote0"/>
        <w:rPr>
          <w:lang w:bidi="fa-IR"/>
        </w:rPr>
      </w:pPr>
      <w:r>
        <w:rPr>
          <w:rtl/>
          <w:lang w:bidi="fa-IR"/>
        </w:rPr>
        <w:t>(11).</w:t>
      </w:r>
      <w:r w:rsidR="00744A1C">
        <w:rPr>
          <w:rtl/>
          <w:lang w:bidi="fa-IR"/>
        </w:rPr>
        <w:t xml:space="preserve"> المسالح </w:t>
      </w:r>
      <w:r w:rsidR="0077087C">
        <w:rPr>
          <w:rtl/>
          <w:lang w:bidi="fa-IR"/>
        </w:rPr>
        <w:t>: جمع المسلحة ، وهي كالثغر والم</w:t>
      </w:r>
      <w:r w:rsidR="0077087C">
        <w:rPr>
          <w:rFonts w:hint="cs"/>
          <w:rtl/>
          <w:lang w:bidi="fa-IR"/>
        </w:rPr>
        <w:t>ـَ</w:t>
      </w:r>
      <w:r w:rsidR="00744A1C">
        <w:rPr>
          <w:rtl/>
          <w:lang w:bidi="fa-IR"/>
        </w:rPr>
        <w:t>رْقَب يكون فيه أقوام يرقبون العدوّ لئل</w:t>
      </w:r>
      <w:r w:rsidR="0077087C">
        <w:rPr>
          <w:rFonts w:hint="cs"/>
          <w:rtl/>
          <w:lang w:bidi="fa-IR"/>
        </w:rPr>
        <w:t>ّ</w:t>
      </w:r>
      <w:r w:rsidR="0077087C">
        <w:rPr>
          <w:rtl/>
          <w:lang w:bidi="fa-IR"/>
        </w:rPr>
        <w:t>ا</w:t>
      </w:r>
      <w:r w:rsidR="00744A1C">
        <w:rPr>
          <w:rtl/>
          <w:lang w:bidi="fa-IR"/>
        </w:rPr>
        <w:t xml:space="preserve"> يطرقهم على غفلة ، فإذا</w:t>
      </w:r>
      <w:r w:rsidR="0077087C">
        <w:rPr>
          <w:rFonts w:hint="cs"/>
          <w:rtl/>
          <w:lang w:bidi="fa-IR"/>
        </w:rPr>
        <w:t xml:space="preserve"> </w:t>
      </w:r>
      <w:r w:rsidR="00744A1C">
        <w:rPr>
          <w:rtl/>
          <w:lang w:bidi="fa-IR"/>
        </w:rPr>
        <w:t xml:space="preserve">رأوه أعلموا أصحابهم ليتأهّبوا له. </w:t>
      </w:r>
      <w:r w:rsidR="00744A1C" w:rsidRPr="00877682">
        <w:rPr>
          <w:rStyle w:val="libFootnoteBoldChar"/>
          <w:rtl/>
        </w:rPr>
        <w:t>النهاية</w:t>
      </w:r>
      <w:r w:rsidR="00744A1C">
        <w:rPr>
          <w:rtl/>
          <w:lang w:bidi="fa-IR"/>
        </w:rPr>
        <w:t xml:space="preserve"> ، ج 2 ، ص 388 ( سلح ).</w:t>
      </w:r>
    </w:p>
    <w:p w:rsidR="00744A1C" w:rsidRDefault="00E378DD" w:rsidP="00E378DD">
      <w:pPr>
        <w:pStyle w:val="libFootnote0"/>
        <w:rPr>
          <w:lang w:bidi="fa-IR"/>
        </w:rPr>
      </w:pPr>
      <w:r>
        <w:rPr>
          <w:rtl/>
          <w:lang w:bidi="fa-IR"/>
        </w:rPr>
        <w:t>(12).</w:t>
      </w:r>
      <w:r w:rsidR="00744A1C">
        <w:rPr>
          <w:rtl/>
          <w:lang w:bidi="fa-IR"/>
        </w:rPr>
        <w:t xml:space="preserve"> في حاشية « بح » ونهج البلاغة : « ولقد ».</w:t>
      </w:r>
    </w:p>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المرآة</w:t>
      </w:r>
      <w:r w:rsidR="00744A1C">
        <w:rPr>
          <w:rtl/>
          <w:lang w:bidi="fa-IR"/>
        </w:rPr>
        <w:t xml:space="preserve"> : « والا</w:t>
      </w:r>
      <w:r w:rsidR="0077087C">
        <w:rPr>
          <w:rFonts w:hint="cs"/>
          <w:rtl/>
          <w:lang w:bidi="fa-IR"/>
        </w:rPr>
        <w:t>ُ</w:t>
      </w:r>
      <w:r w:rsidR="00744A1C">
        <w:rPr>
          <w:rtl/>
          <w:lang w:bidi="fa-IR"/>
        </w:rPr>
        <w:t>خرى المعاهدة ، أي ذمّيّة ذات العهد والأمان ، والمشهور فتح الهاء ، والمضبوط في أكثر نسخ‌ النهج الكسر ».</w:t>
      </w:r>
    </w:p>
    <w:p w:rsidR="00744A1C" w:rsidRDefault="00E378DD" w:rsidP="00E378DD">
      <w:pPr>
        <w:pStyle w:val="libFootnote0"/>
        <w:rPr>
          <w:lang w:bidi="fa-IR"/>
        </w:rPr>
      </w:pPr>
      <w:r>
        <w:rPr>
          <w:rtl/>
          <w:lang w:bidi="fa-IR"/>
        </w:rPr>
        <w:t>(14).</w:t>
      </w:r>
      <w:r w:rsidR="00744A1C">
        <w:rPr>
          <w:rtl/>
          <w:lang w:bidi="fa-IR"/>
        </w:rPr>
        <w:t xml:space="preserve"> في « جت » وحاشية « بث » : « فنزع ».</w:t>
      </w:r>
    </w:p>
    <w:p w:rsidR="00744A1C" w:rsidRDefault="00E378DD" w:rsidP="00E378DD">
      <w:pPr>
        <w:pStyle w:val="libFootnote0"/>
        <w:rPr>
          <w:lang w:bidi="fa-IR"/>
        </w:rPr>
      </w:pPr>
      <w:r>
        <w:rPr>
          <w:rtl/>
          <w:lang w:bidi="fa-IR"/>
        </w:rPr>
        <w:t>(15).</w:t>
      </w:r>
      <w:r w:rsidR="00744A1C">
        <w:rPr>
          <w:rtl/>
          <w:lang w:bidi="fa-IR"/>
        </w:rPr>
        <w:t xml:space="preserve"> الحَجْل والحِجْل : الخلخال ، لغتان. والجمع أحجال وحُجُول. </w:t>
      </w:r>
      <w:r w:rsidR="00744A1C" w:rsidRPr="00877682">
        <w:rPr>
          <w:rStyle w:val="libFootnoteBoldChar"/>
          <w:rtl/>
        </w:rPr>
        <w:t>لسان العرب</w:t>
      </w:r>
      <w:r w:rsidR="00744A1C">
        <w:rPr>
          <w:rtl/>
          <w:lang w:bidi="fa-IR"/>
        </w:rPr>
        <w:t xml:space="preserve"> ، ج 11 ، ص 144 ( حجل ).</w:t>
      </w:r>
    </w:p>
    <w:p w:rsidR="00744A1C" w:rsidRDefault="00744A1C" w:rsidP="00D10E3C">
      <w:pPr>
        <w:pStyle w:val="libFootnote0"/>
        <w:rPr>
          <w:lang w:bidi="fa-IR"/>
        </w:rPr>
      </w:pPr>
      <w:r>
        <w:rPr>
          <w:rtl/>
          <w:lang w:bidi="fa-IR"/>
        </w:rPr>
        <w:t xml:space="preserve">(16) في « جت » : « وحليها ». والقُلب ، بالضمّ : سوار </w:t>
      </w:r>
      <w:r w:rsidRPr="00C24F9C">
        <w:rPr>
          <w:rStyle w:val="libFootnoteBoldChar"/>
          <w:rtl/>
        </w:rPr>
        <w:t>المرأة</w:t>
      </w:r>
      <w:r>
        <w:rPr>
          <w:rtl/>
          <w:lang w:bidi="fa-IR"/>
        </w:rPr>
        <w:t xml:space="preserve">. </w:t>
      </w:r>
      <w:r w:rsidRPr="00877682">
        <w:rPr>
          <w:rStyle w:val="libFootnoteBoldChar"/>
          <w:rtl/>
        </w:rPr>
        <w:t>لسان العرب</w:t>
      </w:r>
      <w:r>
        <w:rPr>
          <w:rtl/>
          <w:lang w:bidi="fa-IR"/>
        </w:rPr>
        <w:t xml:space="preserve"> ، ج 1 ، ص 688 ( قلب ).</w:t>
      </w:r>
    </w:p>
    <w:p w:rsidR="00744A1C" w:rsidRDefault="00744A1C" w:rsidP="0077087C">
      <w:pPr>
        <w:pStyle w:val="libFootnote0"/>
        <w:rPr>
          <w:lang w:bidi="fa-IR"/>
        </w:rPr>
      </w:pPr>
      <w:r>
        <w:rPr>
          <w:rtl/>
          <w:lang w:bidi="fa-IR"/>
        </w:rPr>
        <w:t>(17) الرعاث بالكسر ، جمع رَعْثة وَرَعَثة أيضاً بالتحريك : القرطة ، وهي من حُليّ الا</w:t>
      </w:r>
      <w:r w:rsidR="0077087C">
        <w:rPr>
          <w:rFonts w:hint="cs"/>
          <w:rtl/>
          <w:lang w:bidi="fa-IR"/>
        </w:rPr>
        <w:t>ُ</w:t>
      </w:r>
      <w:r>
        <w:rPr>
          <w:rtl/>
          <w:lang w:bidi="fa-IR"/>
        </w:rPr>
        <w:t xml:space="preserve">ذُن. راجع : </w:t>
      </w:r>
      <w:r w:rsidRPr="00877682">
        <w:rPr>
          <w:rStyle w:val="libFootnoteBoldChar"/>
          <w:rtl/>
        </w:rPr>
        <w:t>النهاية</w:t>
      </w:r>
      <w:r>
        <w:rPr>
          <w:rtl/>
          <w:lang w:bidi="fa-IR"/>
        </w:rPr>
        <w:t xml:space="preserve"> ، ج 2 ، ص 234 ( رعث ).</w:t>
      </w:r>
      <w:r w:rsidR="0077087C">
        <w:rPr>
          <w:rFonts w:hint="cs"/>
          <w:rtl/>
          <w:lang w:bidi="fa-IR"/>
        </w:rPr>
        <w:t xml:space="preserve">                         </w:t>
      </w:r>
      <w:r>
        <w:rPr>
          <w:rtl/>
          <w:lang w:bidi="fa-IR"/>
        </w:rPr>
        <w:t>(18) في « بث ، بح ، بس ، جن » ونهج البلاغة : « تمتنع ».</w:t>
      </w:r>
    </w:p>
    <w:p w:rsidR="006A5060" w:rsidRDefault="006A5060" w:rsidP="00D10E3C">
      <w:pPr>
        <w:pStyle w:val="libNormal"/>
        <w:rPr>
          <w:rtl/>
          <w:lang w:bidi="fa-IR"/>
        </w:rPr>
      </w:pPr>
      <w:r>
        <w:rPr>
          <w:rtl/>
          <w:lang w:bidi="fa-IR"/>
        </w:rPr>
        <w:br w:type="page"/>
      </w:r>
    </w:p>
    <w:p w:rsidR="00744A1C" w:rsidRDefault="0077087C" w:rsidP="00A6581D">
      <w:pPr>
        <w:pStyle w:val="libNormal0"/>
        <w:rPr>
          <w:lang w:bidi="fa-IR"/>
        </w:rPr>
      </w:pPr>
      <w:r>
        <w:rPr>
          <w:rtl/>
          <w:lang w:bidi="fa-IR"/>
        </w:rPr>
        <w:lastRenderedPageBreak/>
        <w:t>إِل</w:t>
      </w:r>
      <w:r>
        <w:rPr>
          <w:rFonts w:hint="cs"/>
          <w:rtl/>
          <w:lang w:bidi="fa-IR"/>
        </w:rPr>
        <w:t>َّ</w:t>
      </w:r>
      <w:r>
        <w:rPr>
          <w:rtl/>
          <w:lang w:bidi="fa-IR"/>
        </w:rPr>
        <w:t>ا</w:t>
      </w:r>
      <w:r w:rsidR="00744A1C">
        <w:rPr>
          <w:rtl/>
          <w:lang w:bidi="fa-IR"/>
        </w:rPr>
        <w:t xml:space="preserve"> بِالِاسْتِرْجَاعِ وَالِاسْتِرْحَامِ </w:t>
      </w:r>
      <w:r w:rsidR="00744A1C" w:rsidRPr="00D10E3C">
        <w:rPr>
          <w:rStyle w:val="libFootnotenumChar"/>
          <w:rtl/>
        </w:rPr>
        <w:t>(1)</w:t>
      </w:r>
      <w:r w:rsidR="00744A1C">
        <w:rPr>
          <w:rtl/>
          <w:lang w:bidi="fa-IR"/>
        </w:rPr>
        <w:t xml:space="preserve"> ، ثُمَّ انْصَرَفُوا وَافِرِينَ </w:t>
      </w:r>
      <w:r w:rsidR="00744A1C" w:rsidRPr="00D10E3C">
        <w:rPr>
          <w:rStyle w:val="libFootnotenumChar"/>
          <w:rtl/>
        </w:rPr>
        <w:t>(2)</w:t>
      </w:r>
      <w:r w:rsidR="00744A1C">
        <w:rPr>
          <w:rtl/>
          <w:lang w:bidi="fa-IR"/>
        </w:rPr>
        <w:t xml:space="preserve"> مَا نَالَ رَجُلاً مِنْهُمْ كَلْمٌ </w:t>
      </w:r>
      <w:r w:rsidR="00744A1C" w:rsidRPr="00D10E3C">
        <w:rPr>
          <w:rStyle w:val="libFootnotenumChar"/>
          <w:rtl/>
        </w:rPr>
        <w:t>(3)</w:t>
      </w:r>
      <w:r w:rsidR="00744A1C">
        <w:rPr>
          <w:rtl/>
          <w:lang w:bidi="fa-IR"/>
        </w:rPr>
        <w:t xml:space="preserve"> ، وَلَا أُرِيقَ لَهُ </w:t>
      </w:r>
      <w:r w:rsidR="00744A1C" w:rsidRPr="00D10E3C">
        <w:rPr>
          <w:rStyle w:val="libFootnotenumChar"/>
          <w:rtl/>
        </w:rPr>
        <w:t>(4)</w:t>
      </w:r>
      <w:r w:rsidR="00744A1C">
        <w:rPr>
          <w:rtl/>
          <w:lang w:bidi="fa-IR"/>
        </w:rPr>
        <w:t xml:space="preserve"> دَمٌ ، فَلَوْ أَنَّ امْرَأً مُسْلِماً مَاتَ مِنْ بَعْدِ هذَا أَسَفاً </w:t>
      </w:r>
      <w:r w:rsidR="00744A1C" w:rsidRPr="00D10E3C">
        <w:rPr>
          <w:rStyle w:val="libFootnotenumChar"/>
          <w:rtl/>
        </w:rPr>
        <w:t>(5)</w:t>
      </w:r>
      <w:r w:rsidR="00744A1C">
        <w:rPr>
          <w:rtl/>
          <w:lang w:bidi="fa-IR"/>
        </w:rPr>
        <w:t xml:space="preserve"> مَا كَانَ بِهِ مَلُوماً ، بَلْ كَانَ عِنْدِي بِهِ جَدِيراً.</w:t>
      </w:r>
    </w:p>
    <w:p w:rsidR="00744A1C" w:rsidRDefault="00744A1C" w:rsidP="00744A1C">
      <w:pPr>
        <w:pStyle w:val="libNormal"/>
        <w:rPr>
          <w:lang w:bidi="fa-IR"/>
        </w:rPr>
      </w:pPr>
      <w:r>
        <w:rPr>
          <w:rtl/>
          <w:lang w:bidi="fa-IR"/>
        </w:rPr>
        <w:t xml:space="preserve">فَيَا عَجَباً عَجَباً ، وَاللهِ يَمِيثُ </w:t>
      </w:r>
      <w:r w:rsidRPr="00D10E3C">
        <w:rPr>
          <w:rStyle w:val="libFootnotenumChar"/>
          <w:rtl/>
        </w:rPr>
        <w:t>(6)</w:t>
      </w:r>
      <w:r>
        <w:rPr>
          <w:rtl/>
          <w:lang w:bidi="fa-IR"/>
        </w:rPr>
        <w:t xml:space="preserve"> الْقَلْبَ ، وَيَجْلِبُ الْهَمَّ مِنِ اجْتِمَاعِ هؤُلَاءِ </w:t>
      </w:r>
      <w:r w:rsidRPr="00D10E3C">
        <w:rPr>
          <w:rStyle w:val="libFootnotenumChar"/>
          <w:rtl/>
        </w:rPr>
        <w:t>(7)</w:t>
      </w:r>
      <w:r>
        <w:rPr>
          <w:rtl/>
          <w:lang w:bidi="fa-IR"/>
        </w:rPr>
        <w:t xml:space="preserve"> عَلى بَاطِلِهِمْ ، وَتَفَرُّقِكُمْ عَنْ حَقِّكُمْ ، فَقُبْحاً </w:t>
      </w:r>
      <w:r w:rsidRPr="00D10E3C">
        <w:rPr>
          <w:rStyle w:val="libFootnotenumChar"/>
          <w:rtl/>
        </w:rPr>
        <w:t>(8)</w:t>
      </w:r>
      <w:r>
        <w:rPr>
          <w:rtl/>
          <w:lang w:bidi="fa-IR"/>
        </w:rPr>
        <w:t xml:space="preserve"> لَكُمْ وَتَرَحاً </w:t>
      </w:r>
      <w:r w:rsidRPr="00D10E3C">
        <w:rPr>
          <w:rStyle w:val="libFootnotenumChar"/>
          <w:rtl/>
        </w:rPr>
        <w:t>(9)</w:t>
      </w:r>
      <w:r>
        <w:rPr>
          <w:rtl/>
          <w:lang w:bidi="fa-IR"/>
        </w:rPr>
        <w:t xml:space="preserve"> حِينَ صِرْتُمْ غَرَضاً </w:t>
      </w:r>
      <w:r w:rsidRPr="00D10E3C">
        <w:rPr>
          <w:rStyle w:val="libFootnotenumChar"/>
          <w:rtl/>
        </w:rPr>
        <w:t>(10)</w:t>
      </w:r>
      <w:r>
        <w:rPr>
          <w:rtl/>
          <w:lang w:bidi="fa-IR"/>
        </w:rPr>
        <w:t xml:space="preserve"> يُرْمى </w:t>
      </w:r>
      <w:r w:rsidRPr="00D10E3C">
        <w:rPr>
          <w:rStyle w:val="libFootnotenumChar"/>
          <w:rtl/>
        </w:rPr>
        <w:t>(11)</w:t>
      </w:r>
      <w:r>
        <w:rPr>
          <w:rtl/>
          <w:lang w:bidi="fa-IR"/>
        </w:rPr>
        <w:t xml:space="preserve"> ، يُغَارُ عَلَيْكُمْ وَلَا تُغِيرُونَ ، وَتُغْزَوْنَ </w:t>
      </w:r>
      <w:r w:rsidRPr="00D10E3C">
        <w:rPr>
          <w:rStyle w:val="libFootnotenumChar"/>
          <w:rtl/>
        </w:rPr>
        <w:t>(12)</w:t>
      </w:r>
      <w:r>
        <w:rPr>
          <w:rtl/>
          <w:lang w:bidi="fa-IR"/>
        </w:rPr>
        <w:t xml:space="preserve"> وَلَا تَغْزُونَ ، وَيُعْصَى اللهُ وَتَرْضَوْنَ ، فَإِذَا أَمَرْتُكُمْ بِالسَّيْرِ‌</w:t>
      </w:r>
    </w:p>
    <w:p w:rsidR="00744A1C" w:rsidRDefault="00744A1C" w:rsidP="00D10E3C">
      <w:pPr>
        <w:pStyle w:val="libLine"/>
        <w:rPr>
          <w:lang w:bidi="fa-IR"/>
        </w:rPr>
      </w:pPr>
      <w:r>
        <w:rPr>
          <w:rtl/>
          <w:lang w:bidi="fa-IR"/>
        </w:rPr>
        <w:t>____________________</w:t>
      </w:r>
    </w:p>
    <w:p w:rsidR="00744A1C" w:rsidRDefault="00D10E3C" w:rsidP="00E378DD">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الاسترجاع : ترديد الصوت في البكاء. والاسترحام : مناشدة الرحم. كذا قيل ، ويحتمل أن يكون‌</w:t>
      </w:r>
      <w:r w:rsidR="00073915">
        <w:rPr>
          <w:rFonts w:hint="cs"/>
          <w:rtl/>
          <w:lang w:bidi="fa-IR"/>
        </w:rPr>
        <w:t xml:space="preserve"> </w:t>
      </w:r>
      <w:r w:rsidR="00744A1C">
        <w:rPr>
          <w:rtl/>
          <w:lang w:bidi="fa-IR"/>
        </w:rPr>
        <w:t xml:space="preserve">المراد بالاسترجاع قول : </w:t>
      </w:r>
      <w:r w:rsidR="00744A1C" w:rsidRPr="00073915">
        <w:rPr>
          <w:rStyle w:val="libFootnoteAlaemChar"/>
          <w:rtl/>
        </w:rPr>
        <w:t>(</w:t>
      </w:r>
      <w:r w:rsidR="00744A1C" w:rsidRPr="00073915">
        <w:rPr>
          <w:rStyle w:val="libFootnoteAieChar"/>
          <w:rtl/>
        </w:rPr>
        <w:t xml:space="preserve"> إِنّا لِلّهِ وَإِنّا إِلَيْهِ راجِعُونَ </w:t>
      </w:r>
      <w:r w:rsidR="00744A1C" w:rsidRPr="00073915">
        <w:rPr>
          <w:rStyle w:val="libFootnoteAlaemChar"/>
          <w:rtl/>
        </w:rPr>
        <w:t>)</w:t>
      </w:r>
      <w:r w:rsidR="00744A1C">
        <w:rPr>
          <w:rtl/>
          <w:lang w:bidi="fa-IR"/>
        </w:rPr>
        <w:t xml:space="preserve"> [ البقرة </w:t>
      </w:r>
      <w:r w:rsidR="00E378DD">
        <w:rPr>
          <w:rtl/>
          <w:lang w:bidi="fa-IR"/>
        </w:rPr>
        <w:t>(2).</w:t>
      </w:r>
      <w:r w:rsidR="00744A1C">
        <w:rPr>
          <w:rtl/>
          <w:lang w:bidi="fa-IR"/>
        </w:rPr>
        <w:t xml:space="preserve"> : 156 ] وبالاسترحام طلب الرحمة ». وحاصل المعنى عجزها عن الامتناع ، كما في </w:t>
      </w:r>
      <w:r w:rsidR="00744A1C" w:rsidRPr="00C24F9C">
        <w:rPr>
          <w:rStyle w:val="libFootnoteBoldChar"/>
          <w:rtl/>
        </w:rPr>
        <w:t>المرآة</w:t>
      </w:r>
      <w:r w:rsidR="00744A1C">
        <w:rPr>
          <w:rtl/>
          <w:lang w:bidi="fa-IR"/>
        </w:rPr>
        <w:t xml:space="preserve"> ، وراجع أيضاً : </w:t>
      </w:r>
      <w:r w:rsidR="00744A1C" w:rsidRPr="00877682">
        <w:rPr>
          <w:rStyle w:val="libFootnoteBoldChar"/>
          <w:rtl/>
        </w:rPr>
        <w:t>لسان العرب</w:t>
      </w:r>
      <w:r w:rsidR="00744A1C">
        <w:rPr>
          <w:rtl/>
          <w:lang w:bidi="fa-IR"/>
        </w:rPr>
        <w:t xml:space="preserve"> ، ج 8 ، ص 117 ( رجع ) ؛ وج 12 ، ص 230 ( رحم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وافرين : غانمين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وافرين ، أي تا</w:t>
      </w:r>
      <w:r w:rsidR="00073915">
        <w:rPr>
          <w:rtl/>
          <w:lang w:bidi="fa-IR"/>
        </w:rPr>
        <w:t>مّين ، أي لم ينل أحداً منهم نقص</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الكَلْم ، بالفتح ، ثمّ السكون : الجُرح. والجمع : كُلُوم وكِلام. </w:t>
      </w:r>
      <w:r w:rsidR="00744A1C" w:rsidRPr="00877682">
        <w:rPr>
          <w:rStyle w:val="libFootnoteBoldChar"/>
          <w:rtl/>
        </w:rPr>
        <w:t>لسان العرب</w:t>
      </w:r>
      <w:r w:rsidR="00744A1C">
        <w:rPr>
          <w:rtl/>
          <w:lang w:bidi="fa-IR"/>
        </w:rPr>
        <w:t xml:space="preserve"> ، ج 12 ، ص 524 ( كلم ).</w:t>
      </w:r>
    </w:p>
    <w:p w:rsidR="00744A1C" w:rsidRDefault="00E378DD" w:rsidP="00E378DD">
      <w:pPr>
        <w:pStyle w:val="libFootnote0"/>
        <w:rPr>
          <w:lang w:bidi="fa-IR"/>
        </w:rPr>
      </w:pPr>
      <w:r>
        <w:rPr>
          <w:rtl/>
          <w:lang w:bidi="fa-IR"/>
        </w:rPr>
        <w:t>(4).</w:t>
      </w:r>
      <w:r w:rsidR="00744A1C">
        <w:rPr>
          <w:rtl/>
          <w:lang w:bidi="fa-IR"/>
        </w:rPr>
        <w:t xml:space="preserve"> في « جت » ونهج البلاغة : « لهم ». وراق الماء يريق ريقاً : انصبّ ، ثمّ يتعدّى بالهمزة فيقال : أراق الماء يريقه</w:t>
      </w:r>
      <w:r w:rsidR="00073915">
        <w:rPr>
          <w:rFonts w:hint="cs"/>
          <w:rtl/>
          <w:lang w:bidi="fa-IR"/>
        </w:rPr>
        <w:t xml:space="preserve"> </w:t>
      </w:r>
      <w:r w:rsidR="00744A1C">
        <w:rPr>
          <w:rtl/>
          <w:lang w:bidi="fa-IR"/>
        </w:rPr>
        <w:t xml:space="preserve">‌إراقة ، أي صبّه. راجع : </w:t>
      </w:r>
      <w:r w:rsidR="00744A1C" w:rsidRPr="00E978C3">
        <w:rPr>
          <w:rStyle w:val="libFootnoteBoldChar"/>
          <w:rtl/>
        </w:rPr>
        <w:t>المصباح المنير</w:t>
      </w:r>
      <w:r w:rsidR="00744A1C">
        <w:rPr>
          <w:rtl/>
          <w:lang w:bidi="fa-IR"/>
        </w:rPr>
        <w:t xml:space="preserve"> ، ص 248 ( ريق ).</w:t>
      </w:r>
    </w:p>
    <w:p w:rsidR="00744A1C" w:rsidRDefault="00E378DD" w:rsidP="00E378DD">
      <w:pPr>
        <w:pStyle w:val="libFootnote0"/>
        <w:rPr>
          <w:lang w:bidi="fa-IR"/>
        </w:rPr>
      </w:pPr>
      <w:r>
        <w:rPr>
          <w:rtl/>
          <w:lang w:bidi="fa-IR"/>
        </w:rPr>
        <w:t>(5).</w:t>
      </w:r>
      <w:r w:rsidR="00744A1C">
        <w:rPr>
          <w:rtl/>
          <w:lang w:bidi="fa-IR"/>
        </w:rPr>
        <w:t xml:space="preserve"> الأسف : المبالغة والشدّة في الحزن والغضب. راجع : </w:t>
      </w:r>
      <w:r w:rsidR="00744A1C" w:rsidRPr="00877682">
        <w:rPr>
          <w:rStyle w:val="libFootnoteBoldChar"/>
          <w:rtl/>
        </w:rPr>
        <w:t>لسان العرب</w:t>
      </w:r>
      <w:r w:rsidR="00744A1C">
        <w:rPr>
          <w:rtl/>
          <w:lang w:bidi="fa-IR"/>
        </w:rPr>
        <w:t xml:space="preserve"> ، ج 9 ، ص 5 ( أسف ).</w:t>
      </w:r>
    </w:p>
    <w:p w:rsidR="00744A1C" w:rsidRDefault="00E378DD" w:rsidP="00E378DD">
      <w:pPr>
        <w:pStyle w:val="libFootnote0"/>
        <w:rPr>
          <w:lang w:bidi="fa-IR"/>
        </w:rPr>
      </w:pPr>
      <w:r>
        <w:rPr>
          <w:rtl/>
          <w:lang w:bidi="fa-IR"/>
        </w:rPr>
        <w:t>(6).</w:t>
      </w:r>
      <w:r w:rsidR="00744A1C">
        <w:rPr>
          <w:rtl/>
          <w:lang w:bidi="fa-IR"/>
        </w:rPr>
        <w:t xml:space="preserve"> في « بث ، بس ، جت ، جن » و</w:t>
      </w:r>
      <w:r w:rsidR="00744A1C" w:rsidRPr="00C24F9C">
        <w:rPr>
          <w:rStyle w:val="libFootnoteBoldChar"/>
          <w:rtl/>
        </w:rPr>
        <w:t>المرآة</w:t>
      </w:r>
      <w:r w:rsidR="00744A1C">
        <w:rPr>
          <w:rtl/>
          <w:lang w:bidi="fa-IR"/>
        </w:rPr>
        <w:t xml:space="preserve"> : « يميت ». و « يميث » أي يُذيب ، أو يذوب ، كما ترجمه به العلاّمة الفيض‌</w:t>
      </w:r>
      <w:r w:rsidR="00073915">
        <w:rPr>
          <w:rFonts w:hint="cs"/>
          <w:rtl/>
          <w:lang w:bidi="fa-IR"/>
        </w:rPr>
        <w:t xml:space="preserve"> </w:t>
      </w:r>
      <w:r w:rsidR="00744A1C">
        <w:rPr>
          <w:rtl/>
          <w:lang w:bidi="fa-IR"/>
        </w:rPr>
        <w:t xml:space="preserve">في </w:t>
      </w:r>
      <w:r w:rsidR="00744A1C" w:rsidRPr="00C24F9C">
        <w:rPr>
          <w:rStyle w:val="libFootnoteBoldChar"/>
          <w:rtl/>
        </w:rPr>
        <w:t>الوافي</w:t>
      </w:r>
      <w:r w:rsidR="00744A1C">
        <w:rPr>
          <w:rtl/>
          <w:lang w:bidi="fa-IR"/>
        </w:rPr>
        <w:t xml:space="preserve"> ، فعليه كلمة « القلب » مرفوعة. راجع : </w:t>
      </w:r>
      <w:r w:rsidR="00744A1C" w:rsidRPr="00877682">
        <w:rPr>
          <w:rStyle w:val="libFootnoteBoldChar"/>
          <w:rtl/>
        </w:rPr>
        <w:t>لسان العرب</w:t>
      </w:r>
      <w:r w:rsidR="00744A1C">
        <w:rPr>
          <w:rtl/>
          <w:lang w:bidi="fa-IR"/>
        </w:rPr>
        <w:t xml:space="preserve"> ، ج 2 ، ص 192 ؛ </w:t>
      </w:r>
      <w:r w:rsidR="00744A1C" w:rsidRPr="00E978C3">
        <w:rPr>
          <w:rStyle w:val="libFootnoteBoldChar"/>
          <w:rtl/>
        </w:rPr>
        <w:t>المصباح المنير</w:t>
      </w:r>
      <w:r w:rsidR="00744A1C">
        <w:rPr>
          <w:rtl/>
          <w:lang w:bidi="fa-IR"/>
        </w:rPr>
        <w:t xml:space="preserve"> ، ص 584 ( موث ». وفي </w:t>
      </w:r>
      <w:r w:rsidR="00744A1C" w:rsidRPr="00C24F9C">
        <w:rPr>
          <w:rStyle w:val="libFootnoteBoldChar"/>
          <w:rtl/>
        </w:rPr>
        <w:t>المرآة</w:t>
      </w:r>
      <w:r w:rsidR="00744A1C">
        <w:rPr>
          <w:rtl/>
          <w:lang w:bidi="fa-IR"/>
        </w:rPr>
        <w:t xml:space="preserve"> : « يميت ، صفة للمصدر ، والقسم معترض بين الصفة والموصوف ».</w:t>
      </w:r>
    </w:p>
    <w:p w:rsidR="00744A1C" w:rsidRDefault="00E378DD" w:rsidP="00E378DD">
      <w:pPr>
        <w:pStyle w:val="libFootnote0"/>
        <w:rPr>
          <w:lang w:bidi="fa-IR"/>
        </w:rPr>
      </w:pPr>
      <w:r>
        <w:rPr>
          <w:rtl/>
          <w:lang w:bidi="fa-IR"/>
        </w:rPr>
        <w:t>(7).</w:t>
      </w:r>
      <w:r w:rsidR="00744A1C">
        <w:rPr>
          <w:rtl/>
          <w:lang w:bidi="fa-IR"/>
        </w:rPr>
        <w:t xml:space="preserve"> في « بف » ونهج البلاغة : + « القوم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القبح : الإبعاد ؛ يقال : قبحه الله ، أي نحّاه عن الخير ، فهو من المقبوحين ». وراجع : </w:t>
      </w:r>
      <w:r w:rsidR="00744A1C" w:rsidRPr="00073915">
        <w:rPr>
          <w:rStyle w:val="libFootnoteBoldChar"/>
          <w:rtl/>
        </w:rPr>
        <w:t>القاموس‌</w:t>
      </w:r>
      <w:r w:rsidR="00073915" w:rsidRPr="00073915">
        <w:rPr>
          <w:rStyle w:val="libFootnoteBoldChar"/>
          <w:rFonts w:hint="cs"/>
          <w:rtl/>
        </w:rPr>
        <w:t xml:space="preserve"> </w:t>
      </w:r>
      <w:r w:rsidR="00744A1C" w:rsidRPr="00073915">
        <w:rPr>
          <w:rStyle w:val="libFootnoteBoldChar"/>
          <w:rtl/>
        </w:rPr>
        <w:t>المحيط</w:t>
      </w:r>
      <w:r w:rsidR="00744A1C">
        <w:rPr>
          <w:rtl/>
          <w:lang w:bidi="fa-IR"/>
        </w:rPr>
        <w:t xml:space="preserve"> ، ج 1 ، ص 353 ( قبح ).</w:t>
      </w:r>
    </w:p>
    <w:p w:rsidR="00744A1C" w:rsidRDefault="00E378DD" w:rsidP="00E378DD">
      <w:pPr>
        <w:pStyle w:val="libFootnote0"/>
        <w:rPr>
          <w:lang w:bidi="fa-IR"/>
        </w:rPr>
      </w:pPr>
      <w:r>
        <w:rPr>
          <w:rtl/>
          <w:lang w:bidi="fa-IR"/>
        </w:rPr>
        <w:t>(9).</w:t>
      </w:r>
      <w:r w:rsidR="00744A1C">
        <w:rPr>
          <w:rtl/>
          <w:lang w:bidi="fa-IR"/>
        </w:rPr>
        <w:t xml:space="preserve"> « التَرَح » : ضدّ الفرح ، وهو الهلاك والانقطاع أيضاً. </w:t>
      </w:r>
      <w:r w:rsidR="00744A1C" w:rsidRPr="00877682">
        <w:rPr>
          <w:rStyle w:val="libFootnoteBoldChar"/>
          <w:rtl/>
        </w:rPr>
        <w:t>النهاية</w:t>
      </w:r>
      <w:r w:rsidR="00744A1C">
        <w:rPr>
          <w:rtl/>
          <w:lang w:bidi="fa-IR"/>
        </w:rPr>
        <w:t xml:space="preserve"> ، ج 1 ، ص 186 ( ترح ).</w:t>
      </w:r>
    </w:p>
    <w:p w:rsidR="00744A1C" w:rsidRDefault="00E378DD" w:rsidP="00E378DD">
      <w:pPr>
        <w:pStyle w:val="libFootnote0"/>
        <w:rPr>
          <w:lang w:bidi="fa-IR"/>
        </w:rPr>
      </w:pPr>
      <w:r>
        <w:rPr>
          <w:rtl/>
          <w:lang w:bidi="fa-IR"/>
        </w:rPr>
        <w:t>(10).</w:t>
      </w:r>
      <w:r w:rsidR="00744A1C">
        <w:rPr>
          <w:rtl/>
          <w:lang w:bidi="fa-IR"/>
        </w:rPr>
        <w:t xml:space="preserve"> الغرض : الهدف الذي يرمى فيه. </w:t>
      </w:r>
      <w:r w:rsidR="00744A1C" w:rsidRPr="00E978C3">
        <w:rPr>
          <w:rStyle w:val="libFootnoteBoldChar"/>
          <w:rtl/>
        </w:rPr>
        <w:t>الصحاح</w:t>
      </w:r>
      <w:r w:rsidR="00744A1C">
        <w:rPr>
          <w:rtl/>
          <w:lang w:bidi="fa-IR"/>
        </w:rPr>
        <w:t xml:space="preserve"> ، ج 3 ، ص 1093 ( غرض ). وتتمّة الكلام ، أي من قوله </w:t>
      </w:r>
      <w:r w:rsidR="0061079A" w:rsidRPr="0061079A">
        <w:rPr>
          <w:rStyle w:val="libFootnoteAlaemChar"/>
          <w:rtl/>
        </w:rPr>
        <w:t>عليه‌السلام</w:t>
      </w:r>
      <w:r w:rsidR="00D10E3C">
        <w:rPr>
          <w:rtl/>
          <w:lang w:bidi="fa-IR"/>
        </w:rPr>
        <w:t xml:space="preserve"> </w:t>
      </w:r>
      <w:r w:rsidR="00744A1C">
        <w:rPr>
          <w:rtl/>
          <w:lang w:bidi="fa-IR"/>
        </w:rPr>
        <w:t xml:space="preserve">: « يغار عليكم » إلى « ترضون » بيان للغرض ، والمعنى أنّه يغار عليكم بقتل النفس ونهب الأموال وتخريب الديار وأنتم ترضون بذلك ؛ إذ لولا رضاكم لما تمكّن العدوّ منكم ولما هجم عليكم. راجع : </w:t>
      </w:r>
      <w:r w:rsidR="00744A1C" w:rsidRPr="00877682">
        <w:rPr>
          <w:rStyle w:val="libFootnoteBoldChar"/>
          <w:rtl/>
        </w:rPr>
        <w:t>مرآة العقول</w:t>
      </w:r>
      <w:r w:rsidR="00744A1C">
        <w:rPr>
          <w:rtl/>
          <w:lang w:bidi="fa-IR"/>
        </w:rPr>
        <w:t xml:space="preserve"> ، ج 18 ، ص 327.</w:t>
      </w:r>
    </w:p>
    <w:p w:rsidR="00744A1C" w:rsidRDefault="00E378DD" w:rsidP="00E378DD">
      <w:pPr>
        <w:pStyle w:val="libFootnote0"/>
        <w:rPr>
          <w:lang w:bidi="fa-IR"/>
        </w:rPr>
      </w:pPr>
      <w:r>
        <w:rPr>
          <w:rtl/>
          <w:lang w:bidi="fa-IR"/>
        </w:rPr>
        <w:t>(11).</w:t>
      </w:r>
      <w:r w:rsidR="00744A1C">
        <w:rPr>
          <w:rtl/>
          <w:lang w:bidi="fa-IR"/>
        </w:rPr>
        <w:t xml:space="preserve"> في « بث » : - « يرمى ».</w:t>
      </w:r>
    </w:p>
    <w:p w:rsidR="00744A1C" w:rsidRDefault="00E378DD" w:rsidP="00E378DD">
      <w:pPr>
        <w:pStyle w:val="libFootnote0"/>
        <w:rPr>
          <w:lang w:bidi="fa-IR"/>
        </w:rPr>
      </w:pPr>
      <w:r>
        <w:rPr>
          <w:rtl/>
          <w:lang w:bidi="fa-IR"/>
        </w:rPr>
        <w:t>(12).</w:t>
      </w:r>
      <w:r w:rsidR="00744A1C">
        <w:rPr>
          <w:rtl/>
          <w:lang w:bidi="fa-IR"/>
        </w:rPr>
        <w:t xml:space="preserve"> في « بث » : - « وتغزون ».</w:t>
      </w:r>
    </w:p>
    <w:p w:rsidR="006A5060" w:rsidRDefault="006A5060" w:rsidP="00D10E3C">
      <w:pPr>
        <w:pStyle w:val="libNormal"/>
        <w:rPr>
          <w:rtl/>
          <w:lang w:bidi="fa-IR"/>
        </w:rPr>
      </w:pPr>
      <w:r>
        <w:rPr>
          <w:rtl/>
          <w:lang w:bidi="fa-IR"/>
        </w:rPr>
        <w:br w:type="page"/>
      </w:r>
    </w:p>
    <w:p w:rsidR="00744A1C" w:rsidRDefault="00744A1C" w:rsidP="00073915">
      <w:pPr>
        <w:pStyle w:val="libNormal0"/>
        <w:rPr>
          <w:lang w:bidi="fa-IR"/>
        </w:rPr>
      </w:pPr>
      <w:r>
        <w:rPr>
          <w:rtl/>
          <w:lang w:bidi="fa-IR"/>
        </w:rPr>
        <w:lastRenderedPageBreak/>
        <w:t xml:space="preserve">إِلَيْهِمْ فِي أَيَّامِ الْحَرِّ ، قُلْتُمْ : هذِهِ حَمَارَّةُ </w:t>
      </w:r>
      <w:r w:rsidRPr="00D10E3C">
        <w:rPr>
          <w:rStyle w:val="libFootnotenumChar"/>
          <w:rtl/>
        </w:rPr>
        <w:t>(1)</w:t>
      </w:r>
      <w:r>
        <w:rPr>
          <w:rtl/>
          <w:lang w:bidi="fa-IR"/>
        </w:rPr>
        <w:t xml:space="preserve"> الْقَيْظِ </w:t>
      </w:r>
      <w:r w:rsidRPr="00D10E3C">
        <w:rPr>
          <w:rStyle w:val="libFootnotenumChar"/>
          <w:rtl/>
        </w:rPr>
        <w:t>(2)</w:t>
      </w:r>
      <w:r>
        <w:rPr>
          <w:rtl/>
          <w:lang w:bidi="fa-IR"/>
        </w:rPr>
        <w:t xml:space="preserve"> أَمْهِلْنَا حَتّى يُسَبَّخَ </w:t>
      </w:r>
      <w:r w:rsidRPr="00D10E3C">
        <w:rPr>
          <w:rStyle w:val="libFootnotenumChar"/>
          <w:rtl/>
        </w:rPr>
        <w:t>(3)</w:t>
      </w:r>
      <w:r>
        <w:rPr>
          <w:rtl/>
          <w:lang w:bidi="fa-IR"/>
        </w:rPr>
        <w:t xml:space="preserve"> عَنَّا الْحَرُّ ، وَإِذَا أَمَرْتُكُمْ بِالسَّيْرِ إِلَيْهِمْ فِي الشِّتَاءِ </w:t>
      </w:r>
      <w:r w:rsidRPr="00D10E3C">
        <w:rPr>
          <w:rStyle w:val="libFootnotenumChar"/>
          <w:rtl/>
        </w:rPr>
        <w:t>(4)</w:t>
      </w:r>
      <w:r>
        <w:rPr>
          <w:rtl/>
          <w:lang w:bidi="fa-IR"/>
        </w:rPr>
        <w:t xml:space="preserve"> ، قُلْتُمْ : هذِهِ صَبَارَّةُ الْقُرِّ </w:t>
      </w:r>
      <w:r w:rsidRPr="00D10E3C">
        <w:rPr>
          <w:rStyle w:val="libFootnotenumChar"/>
          <w:rtl/>
        </w:rPr>
        <w:t>(5)</w:t>
      </w:r>
      <w:r>
        <w:rPr>
          <w:rtl/>
          <w:lang w:bidi="fa-IR"/>
        </w:rPr>
        <w:t xml:space="preserve"> أَمْهِلْنَا حَتّى </w:t>
      </w:r>
      <w:r w:rsidRPr="00D10E3C">
        <w:rPr>
          <w:rStyle w:val="libFootnotenumChar"/>
          <w:rtl/>
        </w:rPr>
        <w:t>(6)</w:t>
      </w:r>
      <w:r>
        <w:rPr>
          <w:rtl/>
          <w:lang w:bidi="fa-IR"/>
        </w:rPr>
        <w:t xml:space="preserve"> يَنْسَلِخَ </w:t>
      </w:r>
      <w:r w:rsidRPr="00D10E3C">
        <w:rPr>
          <w:rStyle w:val="libFootnotenumChar"/>
          <w:rtl/>
        </w:rPr>
        <w:t>(7)</w:t>
      </w:r>
      <w:r>
        <w:rPr>
          <w:rtl/>
          <w:lang w:bidi="fa-IR"/>
        </w:rPr>
        <w:t xml:space="preserve"> عَنَّا الْبَرْدُ ، كُلُّ هذَا فِرَارٌ </w:t>
      </w:r>
      <w:r w:rsidRPr="00D10E3C">
        <w:rPr>
          <w:rStyle w:val="libFootnotenumChar"/>
          <w:rtl/>
        </w:rPr>
        <w:t>(8)</w:t>
      </w:r>
      <w:r>
        <w:rPr>
          <w:rtl/>
          <w:lang w:bidi="fa-IR"/>
        </w:rPr>
        <w:t xml:space="preserve"> مِنَ الْحَرِّ وَالْقُرِّ ، فَإِذَا كُنْتُمْ مِنَ الْحَرِّ وَالْقُرِّ تَفِرُّونَ </w:t>
      </w:r>
      <w:r w:rsidRPr="00D10E3C">
        <w:rPr>
          <w:rStyle w:val="libFootnotenumChar"/>
          <w:rtl/>
        </w:rPr>
        <w:t>(9)</w:t>
      </w:r>
      <w:r>
        <w:rPr>
          <w:rtl/>
          <w:lang w:bidi="fa-IR"/>
        </w:rPr>
        <w:t xml:space="preserve"> ، فَأَنْتُمْ وَاللهِ مِنَ السَّيْفِ أَفَرُّ.</w:t>
      </w:r>
    </w:p>
    <w:p w:rsidR="00744A1C" w:rsidRDefault="00744A1C" w:rsidP="00744A1C">
      <w:pPr>
        <w:pStyle w:val="libNormal"/>
        <w:rPr>
          <w:lang w:bidi="fa-IR"/>
        </w:rPr>
      </w:pPr>
      <w:r>
        <w:rPr>
          <w:rtl/>
          <w:lang w:bidi="fa-IR"/>
        </w:rPr>
        <w:t xml:space="preserve">يَا أَشْبَاهَ الرِّجَالِ وَلَا رِجَالَ </w:t>
      </w:r>
      <w:r w:rsidRPr="00D10E3C">
        <w:rPr>
          <w:rStyle w:val="libFootnotenumChar"/>
          <w:rtl/>
        </w:rPr>
        <w:t>(10)</w:t>
      </w:r>
      <w:r>
        <w:rPr>
          <w:rtl/>
          <w:lang w:bidi="fa-IR"/>
        </w:rPr>
        <w:t xml:space="preserve"> ، حُلُومُ </w:t>
      </w:r>
      <w:r w:rsidRPr="00D10E3C">
        <w:rPr>
          <w:rStyle w:val="libFootnotenumChar"/>
          <w:rtl/>
        </w:rPr>
        <w:t>(11)</w:t>
      </w:r>
      <w:r>
        <w:rPr>
          <w:rtl/>
          <w:lang w:bidi="fa-IR"/>
        </w:rPr>
        <w:t xml:space="preserve"> الْأَطْفَالِ ، وَعُقُولُ رَبَّاتِ الْحِجَالِ </w:t>
      </w:r>
      <w:r w:rsidRPr="00D10E3C">
        <w:rPr>
          <w:rStyle w:val="libFootnotenumChar"/>
          <w:rtl/>
        </w:rPr>
        <w:t>(12)</w:t>
      </w:r>
      <w:r>
        <w:rPr>
          <w:rtl/>
          <w:lang w:bidi="fa-IR"/>
        </w:rPr>
        <w:t xml:space="preserve"> ، لَوَدِدْتُ أَنِّي لَمْ أَرَكُمْ ، وَلَمْ أَعْرِفْكُمْ مَعْرِفَةً وَاللهِ جَرَّتْ نَدَماً ، وَأَعْقَبَتْ ذَمّاً </w:t>
      </w:r>
      <w:r w:rsidRPr="00D10E3C">
        <w:rPr>
          <w:rStyle w:val="libFootnotenumChar"/>
          <w:rtl/>
        </w:rPr>
        <w:t>(13)</w:t>
      </w:r>
      <w:r>
        <w:rPr>
          <w:rtl/>
          <w:lang w:bidi="fa-IR"/>
        </w:rPr>
        <w:t xml:space="preserve"> ، قَاتَلَكُمُ اللهُ </w:t>
      </w:r>
      <w:r w:rsidRPr="00D10E3C">
        <w:rPr>
          <w:rStyle w:val="libFootnotenumChar"/>
          <w:rtl/>
        </w:rPr>
        <w:t>(14)</w:t>
      </w:r>
      <w:r>
        <w:rPr>
          <w:rtl/>
          <w:lang w:bidi="fa-IR"/>
        </w:rPr>
        <w:t xml:space="preserve"> لَقَدْ‌</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 « حارّة ».</w:t>
      </w:r>
    </w:p>
    <w:p w:rsidR="00744A1C" w:rsidRDefault="00E378DD" w:rsidP="00E378DD">
      <w:pPr>
        <w:pStyle w:val="libFootnote0"/>
        <w:rPr>
          <w:lang w:bidi="fa-IR"/>
        </w:rPr>
      </w:pPr>
      <w:r>
        <w:rPr>
          <w:rtl/>
          <w:lang w:bidi="fa-IR"/>
        </w:rPr>
        <w:t>(2).</w:t>
      </w:r>
      <w:r w:rsidR="00744A1C">
        <w:rPr>
          <w:rtl/>
          <w:lang w:bidi="fa-IR"/>
        </w:rPr>
        <w:t xml:space="preserve"> « القيظ » : شدّة الحرّ ، والصيف من الفصول ، أو صميم الصيف ، وهو حاقّها. و « حَمارّة القيظ » بتشديد الراء ، وحمارَته بتخفيفها : شدّة الحرّ. راجع : </w:t>
      </w:r>
      <w:r w:rsidR="00744A1C" w:rsidRPr="00877682">
        <w:rPr>
          <w:rStyle w:val="libFootnoteBoldChar"/>
          <w:rtl/>
        </w:rPr>
        <w:t>النهاية</w:t>
      </w:r>
      <w:r w:rsidR="00744A1C">
        <w:rPr>
          <w:rtl/>
          <w:lang w:bidi="fa-IR"/>
        </w:rPr>
        <w:t xml:space="preserve"> ، ج 1 ، ص 422 ( حمر ) ؛ </w:t>
      </w:r>
      <w:r w:rsidR="00744A1C" w:rsidRPr="00877682">
        <w:rPr>
          <w:rStyle w:val="libFootnoteBoldChar"/>
          <w:rtl/>
        </w:rPr>
        <w:t>لسان العرب</w:t>
      </w:r>
      <w:r w:rsidR="00744A1C">
        <w:rPr>
          <w:rtl/>
          <w:lang w:bidi="fa-IR"/>
        </w:rPr>
        <w:t xml:space="preserve"> ، ج 7 ، ص 456 ؛ </w:t>
      </w:r>
      <w:r w:rsidR="00744A1C" w:rsidRPr="00E978C3">
        <w:rPr>
          <w:rStyle w:val="libFootnoteBoldChar"/>
          <w:rtl/>
        </w:rPr>
        <w:t>المصباح المنير</w:t>
      </w:r>
      <w:r w:rsidR="00744A1C">
        <w:rPr>
          <w:rtl/>
          <w:lang w:bidi="fa-IR"/>
        </w:rPr>
        <w:t xml:space="preserve"> ، ص 521 ( قيظ ).</w:t>
      </w:r>
    </w:p>
    <w:p w:rsidR="00744A1C" w:rsidRDefault="00E378DD" w:rsidP="00E378DD">
      <w:pPr>
        <w:pStyle w:val="libFootnote0"/>
        <w:rPr>
          <w:lang w:bidi="fa-IR"/>
        </w:rPr>
      </w:pPr>
      <w:r>
        <w:rPr>
          <w:rtl/>
          <w:lang w:bidi="fa-IR"/>
        </w:rPr>
        <w:t>(3).</w:t>
      </w:r>
      <w:r w:rsidR="00744A1C">
        <w:rPr>
          <w:rtl/>
          <w:lang w:bidi="fa-IR"/>
        </w:rPr>
        <w:t xml:space="preserve"> في « جن » : « ينسلخ ». في </w:t>
      </w:r>
      <w:r w:rsidR="00744A1C" w:rsidRPr="00C24F9C">
        <w:rPr>
          <w:rStyle w:val="libFootnoteBoldChar"/>
          <w:rtl/>
        </w:rPr>
        <w:t>المرآة</w:t>
      </w:r>
      <w:r w:rsidR="00744A1C">
        <w:rPr>
          <w:rtl/>
          <w:lang w:bidi="fa-IR"/>
        </w:rPr>
        <w:t xml:space="preserve"> : « والتسبيخ بالخاء المعجمة : التخفيف ، والتسكين ، والفعل على بناء المفعول ، أي أمهلنا حتّى يخفّف الله الحرّ عنّا ». وراجع : </w:t>
      </w:r>
      <w:r w:rsidR="00744A1C" w:rsidRPr="008A57EB">
        <w:rPr>
          <w:rStyle w:val="libFootnoteBoldChar"/>
          <w:rtl/>
        </w:rPr>
        <w:t>القاموس المحيط</w:t>
      </w:r>
      <w:r w:rsidR="00744A1C">
        <w:rPr>
          <w:rtl/>
          <w:lang w:bidi="fa-IR"/>
        </w:rPr>
        <w:t xml:space="preserve"> ، ج 1 ، ص 375 ( سبخ ).</w:t>
      </w:r>
    </w:p>
    <w:p w:rsidR="00744A1C" w:rsidRDefault="00E378DD" w:rsidP="00E378DD">
      <w:pPr>
        <w:pStyle w:val="libFootnote0"/>
        <w:rPr>
          <w:lang w:bidi="fa-IR"/>
        </w:rPr>
      </w:pPr>
      <w:r>
        <w:rPr>
          <w:rtl/>
          <w:lang w:bidi="fa-IR"/>
        </w:rPr>
        <w:t>(4).</w:t>
      </w:r>
      <w:r w:rsidR="00744A1C">
        <w:rPr>
          <w:rtl/>
          <w:lang w:bidi="fa-IR"/>
        </w:rPr>
        <w:t xml:space="preserve"> في « بث ، بح ، جت ، جن » : « بالشتاء ».</w:t>
      </w:r>
    </w:p>
    <w:p w:rsidR="00744A1C" w:rsidRDefault="00E378DD" w:rsidP="00367F22">
      <w:pPr>
        <w:pStyle w:val="libFootnote0"/>
        <w:rPr>
          <w:lang w:bidi="fa-IR"/>
        </w:rPr>
      </w:pPr>
      <w:r>
        <w:rPr>
          <w:rtl/>
          <w:lang w:bidi="fa-IR"/>
        </w:rPr>
        <w:t>(5).</w:t>
      </w:r>
      <w:r w:rsidR="00744A1C">
        <w:rPr>
          <w:rtl/>
          <w:lang w:bidi="fa-IR"/>
        </w:rPr>
        <w:t xml:space="preserve"> « القُرّ » بالضمّ : البرد. و « صبارّة القرّ » - بتشديد الراء - : شدّة البرد. راجع : </w:t>
      </w:r>
      <w:r w:rsidR="00744A1C" w:rsidRPr="00E978C3">
        <w:rPr>
          <w:rStyle w:val="libFootnoteBoldChar"/>
          <w:rtl/>
        </w:rPr>
        <w:t>الصحاح</w:t>
      </w:r>
      <w:r w:rsidR="00744A1C">
        <w:rPr>
          <w:rtl/>
          <w:lang w:bidi="fa-IR"/>
        </w:rPr>
        <w:t xml:space="preserve"> ، ج 2 ، ص 789 ( قرر ) ؛ وج 2 ، ص 707 ( صبر ).</w:t>
      </w:r>
      <w:r w:rsidR="00367F22">
        <w:rPr>
          <w:rFonts w:hint="cs"/>
          <w:rtl/>
          <w:lang w:bidi="fa-IR"/>
        </w:rPr>
        <w:t xml:space="preserve">                  </w:t>
      </w:r>
      <w:r>
        <w:rPr>
          <w:rtl/>
          <w:lang w:bidi="fa-IR"/>
        </w:rPr>
        <w:t>(6).</w:t>
      </w:r>
      <w:r w:rsidR="00744A1C">
        <w:rPr>
          <w:rtl/>
          <w:lang w:bidi="fa-IR"/>
        </w:rPr>
        <w:t xml:space="preserve"> في « ى » : - « حتّى ».</w:t>
      </w:r>
    </w:p>
    <w:p w:rsidR="00744A1C" w:rsidRDefault="00E378DD" w:rsidP="00E378DD">
      <w:pPr>
        <w:pStyle w:val="libFootnote0"/>
        <w:rPr>
          <w:lang w:bidi="fa-IR"/>
        </w:rPr>
      </w:pPr>
      <w:r>
        <w:rPr>
          <w:rtl/>
          <w:lang w:bidi="fa-IR"/>
        </w:rPr>
        <w:t>(7).</w:t>
      </w:r>
      <w:r w:rsidR="00744A1C">
        <w:rPr>
          <w:rtl/>
          <w:lang w:bidi="fa-IR"/>
        </w:rPr>
        <w:t xml:space="preserve"> « ينسلخ عنّا البرد » أي مضى وانقضى مدّته. راجع : </w:t>
      </w:r>
      <w:r w:rsidR="00744A1C" w:rsidRPr="00E978C3">
        <w:rPr>
          <w:rStyle w:val="libFootnoteBoldChar"/>
          <w:rtl/>
        </w:rPr>
        <w:t>المصباح المنير</w:t>
      </w:r>
      <w:r w:rsidR="00744A1C">
        <w:rPr>
          <w:rtl/>
          <w:lang w:bidi="fa-IR"/>
        </w:rPr>
        <w:t xml:space="preserve"> ، ص 284 ؛ </w:t>
      </w:r>
      <w:r w:rsidR="00744A1C" w:rsidRPr="008A57EB">
        <w:rPr>
          <w:rStyle w:val="libFootnoteBoldChar"/>
          <w:rtl/>
        </w:rPr>
        <w:t>مجمع البحرين</w:t>
      </w:r>
      <w:r w:rsidR="00744A1C">
        <w:rPr>
          <w:rtl/>
          <w:lang w:bidi="fa-IR"/>
        </w:rPr>
        <w:t xml:space="preserve"> ، ج 2 ، ص 433 ( سلخ ).</w:t>
      </w:r>
    </w:p>
    <w:p w:rsidR="00744A1C" w:rsidRDefault="00E378DD" w:rsidP="00E378DD">
      <w:pPr>
        <w:pStyle w:val="libFootnote0"/>
        <w:rPr>
          <w:lang w:bidi="fa-IR"/>
        </w:rPr>
      </w:pPr>
      <w:r>
        <w:rPr>
          <w:rtl/>
          <w:lang w:bidi="fa-IR"/>
        </w:rPr>
        <w:t>(8).</w:t>
      </w:r>
      <w:r w:rsidR="00744A1C">
        <w:rPr>
          <w:rtl/>
          <w:lang w:bidi="fa-IR"/>
        </w:rPr>
        <w:t xml:space="preserve"> هكذا في « بث ، بس ، جن ». وفي سائر النسخ والمطبوع : « فراراً ».</w:t>
      </w:r>
    </w:p>
    <w:p w:rsidR="00744A1C" w:rsidRDefault="00E378DD" w:rsidP="00E378DD">
      <w:pPr>
        <w:pStyle w:val="libFootnote0"/>
        <w:rPr>
          <w:lang w:bidi="fa-IR"/>
        </w:rPr>
      </w:pPr>
      <w:r>
        <w:rPr>
          <w:rtl/>
          <w:lang w:bidi="fa-IR"/>
        </w:rPr>
        <w:t>(9).</w:t>
      </w:r>
      <w:r w:rsidR="00744A1C">
        <w:rPr>
          <w:rtl/>
          <w:lang w:bidi="fa-IR"/>
        </w:rPr>
        <w:t xml:space="preserve"> في « بف » : - « فإذا كنتم من الحرّ والقرّ تفرّون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ولا رجال ، كلمة « لا » لنفي الجنس ، والخبر محذوف ، أي موجود فيكم ، أو مطلقاً ».</w:t>
      </w:r>
    </w:p>
    <w:p w:rsidR="00744A1C" w:rsidRDefault="00E378DD" w:rsidP="00E378DD">
      <w:pPr>
        <w:pStyle w:val="libFootnote0"/>
        <w:rPr>
          <w:lang w:bidi="fa-IR"/>
        </w:rPr>
      </w:pPr>
      <w:r>
        <w:rPr>
          <w:rtl/>
          <w:lang w:bidi="fa-IR"/>
        </w:rPr>
        <w:t>(11).</w:t>
      </w:r>
      <w:r w:rsidR="00744A1C">
        <w:rPr>
          <w:rtl/>
          <w:lang w:bidi="fa-IR"/>
        </w:rPr>
        <w:t xml:space="preserve"> الحُلُوم والأحلام : جمع الحِلْم بمعنى العقل. راجع : </w:t>
      </w:r>
      <w:r w:rsidR="00744A1C" w:rsidRPr="00877682">
        <w:rPr>
          <w:rStyle w:val="libFootnoteBoldChar"/>
          <w:rtl/>
        </w:rPr>
        <w:t>النهاية</w:t>
      </w:r>
      <w:r w:rsidR="00744A1C">
        <w:rPr>
          <w:rtl/>
          <w:lang w:bidi="fa-IR"/>
        </w:rPr>
        <w:t xml:space="preserve"> ، ج 1 ، ص 434 ؛ </w:t>
      </w:r>
      <w:r w:rsidR="00744A1C" w:rsidRPr="00877682">
        <w:rPr>
          <w:rStyle w:val="libFootnoteBoldChar"/>
          <w:rtl/>
        </w:rPr>
        <w:t>لسان العرب</w:t>
      </w:r>
      <w:r w:rsidR="00744A1C">
        <w:rPr>
          <w:rtl/>
          <w:lang w:bidi="fa-IR"/>
        </w:rPr>
        <w:t xml:space="preserve"> ، ج 12 ، ص 146 ( حلم ).</w:t>
      </w:r>
    </w:p>
    <w:p w:rsidR="00744A1C" w:rsidRDefault="00E378DD" w:rsidP="00E378DD">
      <w:pPr>
        <w:pStyle w:val="libFootnote0"/>
        <w:rPr>
          <w:lang w:bidi="fa-IR"/>
        </w:rPr>
      </w:pPr>
      <w:r>
        <w:rPr>
          <w:rtl/>
          <w:lang w:bidi="fa-IR"/>
        </w:rPr>
        <w:t>(12).</w:t>
      </w:r>
      <w:r w:rsidR="00744A1C">
        <w:rPr>
          <w:rtl/>
          <w:lang w:bidi="fa-IR"/>
        </w:rPr>
        <w:t xml:space="preserve"> « ربّات الحجال » أي صاحباتها والحجال : جمع الحَجَلة ، بالتحريك للعروس ، وهي بيت يزيّن بالثياب والأسرّة والستور ، والمراد بهنّ النساء العرائس. راجع : </w:t>
      </w:r>
      <w:r w:rsidR="00744A1C" w:rsidRPr="00E978C3">
        <w:rPr>
          <w:rStyle w:val="libFootnoteBoldChar"/>
          <w:rtl/>
        </w:rPr>
        <w:t>الصحاح</w:t>
      </w:r>
      <w:r w:rsidR="00744A1C">
        <w:rPr>
          <w:rtl/>
          <w:lang w:bidi="fa-IR"/>
        </w:rPr>
        <w:t xml:space="preserve"> ، ج 4 ، ص 1667 ( حجل ) ؛ </w:t>
      </w:r>
      <w:r w:rsidR="00744A1C" w:rsidRPr="00367F22">
        <w:rPr>
          <w:rStyle w:val="libFootnoteBoldChar"/>
          <w:rtl/>
        </w:rPr>
        <w:t>شرح نهج البلاغة</w:t>
      </w:r>
      <w:r w:rsidR="00744A1C">
        <w:rPr>
          <w:rtl/>
          <w:lang w:bidi="fa-IR"/>
        </w:rPr>
        <w:t xml:space="preserve"> لابن أبي الحديد ، ج 2 ، ص 79.</w:t>
      </w:r>
    </w:p>
    <w:p w:rsidR="00744A1C" w:rsidRDefault="00E378DD" w:rsidP="00E378DD">
      <w:pPr>
        <w:pStyle w:val="libFootnote0"/>
        <w:rPr>
          <w:lang w:bidi="fa-IR"/>
        </w:rPr>
      </w:pPr>
      <w:r>
        <w:rPr>
          <w:rtl/>
          <w:lang w:bidi="fa-IR"/>
        </w:rPr>
        <w:t>(13).</w:t>
      </w:r>
      <w:r w:rsidR="00744A1C">
        <w:rPr>
          <w:rtl/>
          <w:lang w:bidi="fa-IR"/>
        </w:rPr>
        <w:t xml:space="preserve"> في « بس » </w:t>
      </w:r>
      <w:r w:rsidR="00744A1C" w:rsidRPr="00367F22">
        <w:rPr>
          <w:rtl/>
        </w:rPr>
        <w:t>والوافي</w:t>
      </w:r>
      <w:r w:rsidR="00744A1C">
        <w:rPr>
          <w:rtl/>
          <w:lang w:bidi="fa-IR"/>
        </w:rPr>
        <w:t xml:space="preserve"> ونهج البلاغة : « سَدَماً » ، وهو الندم والحزن. </w:t>
      </w:r>
      <w:r w:rsidR="00744A1C" w:rsidRPr="00E978C3">
        <w:rPr>
          <w:rStyle w:val="libFootnoteBoldChar"/>
          <w:rtl/>
        </w:rPr>
        <w:t>الصحاح</w:t>
      </w:r>
      <w:r w:rsidR="00744A1C">
        <w:rPr>
          <w:rtl/>
          <w:lang w:bidi="fa-IR"/>
        </w:rPr>
        <w:t xml:space="preserve"> ، ج 5 ، ص 1948 ( سدم ).</w:t>
      </w:r>
    </w:p>
    <w:p w:rsidR="00744A1C" w:rsidRDefault="00E378DD" w:rsidP="00E378DD">
      <w:pPr>
        <w:pStyle w:val="libFootnote0"/>
        <w:rPr>
          <w:lang w:bidi="fa-IR"/>
        </w:rPr>
      </w:pPr>
      <w:r>
        <w:rPr>
          <w:rtl/>
          <w:lang w:bidi="fa-IR"/>
        </w:rPr>
        <w:t>(14).</w:t>
      </w:r>
      <w:r w:rsidR="00744A1C">
        <w:rPr>
          <w:rtl/>
          <w:lang w:bidi="fa-IR"/>
        </w:rPr>
        <w:t xml:space="preserve"> في </w:t>
      </w:r>
      <w:r w:rsidR="00744A1C" w:rsidRPr="00C24F9C">
        <w:rPr>
          <w:rStyle w:val="libFootnoteBoldChar"/>
          <w:rtl/>
        </w:rPr>
        <w:t>المرآة</w:t>
      </w:r>
      <w:r w:rsidR="00744A1C">
        <w:rPr>
          <w:rtl/>
          <w:lang w:bidi="fa-IR"/>
        </w:rPr>
        <w:t xml:space="preserve"> : « قاتلكم الله ، مجاز عن اللعن والإبعاد والابتلاء بالع</w:t>
      </w:r>
      <w:r w:rsidR="00367F22">
        <w:rPr>
          <w:rtl/>
          <w:lang w:bidi="fa-IR"/>
        </w:rPr>
        <w:t>ذاب ؛ فإنّ المقاتلة لا تكون إل</w:t>
      </w:r>
      <w:r w:rsidR="00367F22">
        <w:rPr>
          <w:rFonts w:hint="cs"/>
          <w:rtl/>
          <w:lang w:bidi="fa-IR"/>
        </w:rPr>
        <w:t>ّ</w:t>
      </w:r>
      <w:r w:rsidR="00367F22">
        <w:rPr>
          <w:rtl/>
          <w:lang w:bidi="fa-IR"/>
        </w:rPr>
        <w:t>ا</w:t>
      </w:r>
      <w:r w:rsidR="00367F22">
        <w:rPr>
          <w:rFonts w:hint="cs"/>
          <w:rtl/>
          <w:lang w:bidi="fa-IR"/>
        </w:rPr>
        <w:t xml:space="preserve"> </w:t>
      </w:r>
      <w:r w:rsidR="00367F22">
        <w:rPr>
          <w:rtl/>
          <w:lang w:bidi="fa-IR"/>
        </w:rPr>
        <w:t>لعداوة بالغة</w:t>
      </w:r>
      <w:r w:rsidR="00744A1C">
        <w:rPr>
          <w:rtl/>
          <w:lang w:bidi="fa-IR"/>
        </w:rPr>
        <w:t>».</w:t>
      </w:r>
    </w:p>
    <w:p w:rsidR="006A5060" w:rsidRDefault="006A5060" w:rsidP="00D10E3C">
      <w:pPr>
        <w:pStyle w:val="libNormal"/>
        <w:rPr>
          <w:rtl/>
          <w:lang w:bidi="fa-IR"/>
        </w:rPr>
      </w:pPr>
      <w:r>
        <w:rPr>
          <w:rtl/>
          <w:lang w:bidi="fa-IR"/>
        </w:rPr>
        <w:br w:type="page"/>
      </w:r>
    </w:p>
    <w:p w:rsidR="00144FA6" w:rsidRDefault="00744A1C" w:rsidP="00A6581D">
      <w:pPr>
        <w:pStyle w:val="libNormal0"/>
        <w:rPr>
          <w:rtl/>
          <w:lang w:bidi="fa-IR"/>
        </w:rPr>
      </w:pPr>
      <w:r>
        <w:rPr>
          <w:rtl/>
          <w:lang w:bidi="fa-IR"/>
        </w:rPr>
        <w:lastRenderedPageBreak/>
        <w:t xml:space="preserve">مَلَأْتُمْ قَلْبِي قَيْحاً </w:t>
      </w:r>
      <w:r w:rsidRPr="00D10E3C">
        <w:rPr>
          <w:rStyle w:val="libFootnotenumChar"/>
          <w:rtl/>
        </w:rPr>
        <w:t>(1)</w:t>
      </w:r>
      <w:r>
        <w:rPr>
          <w:rtl/>
          <w:lang w:bidi="fa-IR"/>
        </w:rPr>
        <w:t xml:space="preserve"> ، وَشَحَنْتُمْ </w:t>
      </w:r>
      <w:r w:rsidRPr="00D10E3C">
        <w:rPr>
          <w:rStyle w:val="libFootnotenumChar"/>
          <w:rtl/>
        </w:rPr>
        <w:t>(2)</w:t>
      </w:r>
      <w:r>
        <w:rPr>
          <w:rtl/>
          <w:lang w:bidi="fa-IR"/>
        </w:rPr>
        <w:t xml:space="preserve"> صَدْرِي غَيْظاً ، وَجَرَّعْتُمُونِي نُغَبَ </w:t>
      </w:r>
      <w:r w:rsidRPr="00D10E3C">
        <w:rPr>
          <w:rStyle w:val="libFootnotenumChar"/>
          <w:rtl/>
        </w:rPr>
        <w:t>(3)</w:t>
      </w:r>
      <w:r>
        <w:rPr>
          <w:rtl/>
          <w:lang w:bidi="fa-IR"/>
        </w:rPr>
        <w:t xml:space="preserve"> التَّهْمَامِ </w:t>
      </w:r>
      <w:r w:rsidRPr="00D10E3C">
        <w:rPr>
          <w:rStyle w:val="libFootnotenumChar"/>
          <w:rtl/>
        </w:rPr>
        <w:t>(4)</w:t>
      </w:r>
      <w:r>
        <w:rPr>
          <w:rtl/>
          <w:lang w:bidi="fa-IR"/>
        </w:rPr>
        <w:t xml:space="preserve"> أَنْفَاساً </w:t>
      </w:r>
      <w:r w:rsidRPr="00D10E3C">
        <w:rPr>
          <w:rStyle w:val="libFootnotenumChar"/>
          <w:rtl/>
        </w:rPr>
        <w:t>(5)</w:t>
      </w:r>
      <w:r>
        <w:rPr>
          <w:rtl/>
          <w:lang w:bidi="fa-IR"/>
        </w:rPr>
        <w:t xml:space="preserve"> ، وَأَفْسَدْتُمْ عَلَيَّ رَأْيِي بِالْعِصْيَانِ وَالْخِذْلَانِ ، حَتّى لَقَدْ قَالَتْ قُرَيْشٌ : إِنَّ ابْنَ أَبِي طَالِبٍ رَجُلٌ شُجَاعٌ ، وَلكِنْ لَاعِلْمَ لَهُ بِالْحَرْبِ </w:t>
      </w:r>
      <w:r w:rsidRPr="00D10E3C">
        <w:rPr>
          <w:rStyle w:val="libFootnotenumChar"/>
          <w:rtl/>
        </w:rPr>
        <w:t>(6)</w:t>
      </w:r>
      <w:r>
        <w:rPr>
          <w:rtl/>
          <w:lang w:bidi="fa-IR"/>
        </w:rPr>
        <w:t xml:space="preserve"> ، لِلّهِ أَبُوهُمْ </w:t>
      </w:r>
      <w:r w:rsidRPr="00D10E3C">
        <w:rPr>
          <w:rStyle w:val="libFootnotenumChar"/>
          <w:rtl/>
        </w:rPr>
        <w:t>(7)</w:t>
      </w:r>
      <w:r>
        <w:rPr>
          <w:rtl/>
          <w:lang w:bidi="fa-IR"/>
        </w:rPr>
        <w:t xml:space="preserve"> وَهَلْ أَحَدٌ مِنْهُمْ أَشَدُّ لَهَا مِرَاساً </w:t>
      </w:r>
      <w:r w:rsidRPr="00D10E3C">
        <w:rPr>
          <w:rStyle w:val="libFootnotenumChar"/>
          <w:rtl/>
        </w:rPr>
        <w:t>(8)</w:t>
      </w:r>
      <w:r>
        <w:rPr>
          <w:rtl/>
          <w:lang w:bidi="fa-IR"/>
        </w:rPr>
        <w:t xml:space="preserve"> ، وَأَقْدَمُ فِيهَا مَقَاماً مِنِّي؟ لَقَدْ نَهَضْتُ فِيهَا وَمَا بَلَغْتُ الْعِشْرِينَ ، وَهَا أَنَا قَدْ ذَرَّفْتُ </w:t>
      </w:r>
      <w:r w:rsidRPr="00D10E3C">
        <w:rPr>
          <w:rStyle w:val="libFootnotenumChar"/>
          <w:rtl/>
        </w:rPr>
        <w:t>(9)</w:t>
      </w:r>
      <w:r>
        <w:rPr>
          <w:rtl/>
          <w:lang w:bidi="fa-IR"/>
        </w:rPr>
        <w:t xml:space="preserve"> عَلَى السِّتِّينَ ، وَلكِنْ لَارَأْيَ لِمَنْ لَايُطَاعُ </w:t>
      </w:r>
      <w:r w:rsidRPr="00D10E3C">
        <w:rPr>
          <w:rStyle w:val="libFootnotenumChar"/>
          <w:rtl/>
        </w:rPr>
        <w:t>(10)</w:t>
      </w:r>
      <w:r>
        <w:rPr>
          <w:rtl/>
          <w:lang w:bidi="fa-IR"/>
        </w:rPr>
        <w:t xml:space="preserve">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القيح ، ما يكون في القرحة من صديدها ما لم يخالطه دم ، أي قرحتم قلبي حتّى امتلأت من القيح</w:t>
      </w:r>
      <w:r w:rsidR="00367F22">
        <w:rPr>
          <w:rFonts w:hint="cs"/>
          <w:rtl/>
          <w:lang w:bidi="fa-IR"/>
        </w:rPr>
        <w:t xml:space="preserve"> </w:t>
      </w:r>
      <w:r w:rsidR="00744A1C">
        <w:rPr>
          <w:rtl/>
          <w:lang w:bidi="fa-IR"/>
        </w:rPr>
        <w:t xml:space="preserve">‌الغيظ ، وهو كناية عن شدّة التألّم ». وراجع : </w:t>
      </w:r>
      <w:r w:rsidR="00744A1C" w:rsidRPr="00E978C3">
        <w:rPr>
          <w:rStyle w:val="libFootnoteBoldChar"/>
          <w:rtl/>
        </w:rPr>
        <w:t>المصباح المنير</w:t>
      </w:r>
      <w:r w:rsidR="00744A1C">
        <w:rPr>
          <w:rtl/>
          <w:lang w:bidi="fa-IR"/>
        </w:rPr>
        <w:t xml:space="preserve"> ، ص 521 ( قيح ).</w:t>
      </w:r>
    </w:p>
    <w:p w:rsidR="00744A1C" w:rsidRDefault="00E378DD" w:rsidP="00E378DD">
      <w:pPr>
        <w:pStyle w:val="libFootnote0"/>
        <w:rPr>
          <w:lang w:bidi="fa-IR"/>
        </w:rPr>
      </w:pPr>
      <w:r>
        <w:rPr>
          <w:rtl/>
          <w:lang w:bidi="fa-IR"/>
        </w:rPr>
        <w:t>(2).</w:t>
      </w:r>
      <w:r w:rsidR="00744A1C">
        <w:rPr>
          <w:rtl/>
          <w:lang w:bidi="fa-IR"/>
        </w:rPr>
        <w:t xml:space="preserve"> « شحنتم » أي ملأتم. </w:t>
      </w:r>
      <w:r w:rsidR="00744A1C" w:rsidRPr="00E978C3">
        <w:rPr>
          <w:rStyle w:val="libFootnoteBoldChar"/>
          <w:rtl/>
        </w:rPr>
        <w:t>الصحاح</w:t>
      </w:r>
      <w:r w:rsidR="00744A1C">
        <w:rPr>
          <w:rtl/>
          <w:lang w:bidi="fa-IR"/>
        </w:rPr>
        <w:t xml:space="preserve"> ، ج 5 ، ص 2143 ( شحن ).</w:t>
      </w:r>
    </w:p>
    <w:p w:rsidR="00744A1C" w:rsidRDefault="00E378DD" w:rsidP="00E378DD">
      <w:pPr>
        <w:pStyle w:val="libFootnote0"/>
        <w:rPr>
          <w:lang w:bidi="fa-IR"/>
        </w:rPr>
      </w:pPr>
      <w:r>
        <w:rPr>
          <w:rtl/>
          <w:lang w:bidi="fa-IR"/>
        </w:rPr>
        <w:t>(3).</w:t>
      </w:r>
      <w:r w:rsidR="00744A1C">
        <w:rPr>
          <w:rtl/>
          <w:lang w:bidi="fa-IR"/>
        </w:rPr>
        <w:t xml:space="preserve"> النُغَب ، جمع النغبة - بالضمّ وبالفتح - : الجرعة. راجع : </w:t>
      </w:r>
      <w:r w:rsidR="00744A1C" w:rsidRPr="00E978C3">
        <w:rPr>
          <w:rStyle w:val="libFootnoteBoldChar"/>
          <w:rtl/>
        </w:rPr>
        <w:t>الصحاح</w:t>
      </w:r>
      <w:r w:rsidR="00744A1C">
        <w:rPr>
          <w:rtl/>
          <w:lang w:bidi="fa-IR"/>
        </w:rPr>
        <w:t xml:space="preserve"> ، ج 1 ، ص 226 ؛ </w:t>
      </w:r>
      <w:r w:rsidR="00744A1C" w:rsidRPr="00877682">
        <w:rPr>
          <w:rStyle w:val="libFootnoteBoldChar"/>
          <w:rtl/>
        </w:rPr>
        <w:t>لسان العرب</w:t>
      </w:r>
      <w:r w:rsidR="00744A1C">
        <w:rPr>
          <w:rtl/>
          <w:lang w:bidi="fa-IR"/>
        </w:rPr>
        <w:t xml:space="preserve"> ، ج 1 ، ص 765 ( نغب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التهمام : الهمّ ، ويفيد هذا الوزن المبالغة في مصدر الثلاثي كالتلعاب والترداد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وأنفاساً ، أي جرعة بعد جرعة ، وهي جمع نَفَس - بالتحريك - وهو الجرعة ». وراجع : </w:t>
      </w:r>
      <w:r w:rsidR="00744A1C" w:rsidRPr="00E978C3">
        <w:rPr>
          <w:rStyle w:val="libFootnoteBoldChar"/>
          <w:rtl/>
        </w:rPr>
        <w:t>الصحاح</w:t>
      </w:r>
      <w:r w:rsidR="00744A1C">
        <w:rPr>
          <w:rtl/>
          <w:lang w:bidi="fa-IR"/>
        </w:rPr>
        <w:t xml:space="preserve"> ، ج 3 ، ص 984 ؛ </w:t>
      </w:r>
      <w:r w:rsidR="00744A1C" w:rsidRPr="00877682">
        <w:rPr>
          <w:rStyle w:val="libFootnoteBoldChar"/>
          <w:rtl/>
        </w:rPr>
        <w:t>لسان العرب</w:t>
      </w:r>
      <w:r w:rsidR="00744A1C">
        <w:rPr>
          <w:rtl/>
          <w:lang w:bidi="fa-IR"/>
        </w:rPr>
        <w:t xml:space="preserve"> ، ج 6 ، ص 236 ( نفس ).</w:t>
      </w:r>
    </w:p>
    <w:p w:rsidR="00744A1C" w:rsidRDefault="00E378DD" w:rsidP="00E378DD">
      <w:pPr>
        <w:pStyle w:val="libFootnote0"/>
        <w:rPr>
          <w:lang w:bidi="fa-IR"/>
        </w:rPr>
      </w:pPr>
      <w:r>
        <w:rPr>
          <w:rtl/>
          <w:lang w:bidi="fa-IR"/>
        </w:rPr>
        <w:t>(6).</w:t>
      </w:r>
      <w:r w:rsidR="00744A1C">
        <w:rPr>
          <w:rtl/>
          <w:lang w:bidi="fa-IR"/>
        </w:rPr>
        <w:t xml:space="preserve"> في « بس » : « بالحروب ».</w:t>
      </w:r>
    </w:p>
    <w:p w:rsidR="00744A1C" w:rsidRDefault="00E378DD" w:rsidP="00E378DD">
      <w:pPr>
        <w:pStyle w:val="libFootnote0"/>
        <w:rPr>
          <w:lang w:bidi="fa-IR"/>
        </w:rPr>
      </w:pPr>
      <w:r>
        <w:rPr>
          <w:rtl/>
          <w:lang w:bidi="fa-IR"/>
        </w:rPr>
        <w:t>(7).</w:t>
      </w:r>
      <w:r w:rsidR="00744A1C">
        <w:rPr>
          <w:rtl/>
          <w:lang w:bidi="fa-IR"/>
        </w:rPr>
        <w:t xml:space="preserve"> « لله أبوك » ، يستعملها العرب عند المدح والتعجّب ، أي ما أحسن أبوك حيث أتى بمثلك. راجع : </w:t>
      </w:r>
      <w:r w:rsidR="00744A1C" w:rsidRPr="00877682">
        <w:rPr>
          <w:rStyle w:val="libFootnoteBoldChar"/>
          <w:rtl/>
        </w:rPr>
        <w:t>النهاية</w:t>
      </w:r>
      <w:r w:rsidR="00744A1C">
        <w:rPr>
          <w:rtl/>
          <w:lang w:bidi="fa-IR"/>
        </w:rPr>
        <w:t xml:space="preserve"> ، ج 1 ، ص 23 ؛ </w:t>
      </w:r>
      <w:r w:rsidR="00744A1C" w:rsidRPr="00877682">
        <w:rPr>
          <w:rStyle w:val="libFootnoteBoldChar"/>
          <w:rtl/>
        </w:rPr>
        <w:t>لسان العرب</w:t>
      </w:r>
      <w:r w:rsidR="00744A1C">
        <w:rPr>
          <w:rtl/>
          <w:lang w:bidi="fa-IR"/>
        </w:rPr>
        <w:t xml:space="preserve"> ، ج 14 ، ص 12 ( أبو ).</w:t>
      </w:r>
    </w:p>
    <w:p w:rsidR="00744A1C" w:rsidRDefault="00E378DD" w:rsidP="002B20E1">
      <w:pPr>
        <w:pStyle w:val="libFootnote0"/>
        <w:rPr>
          <w:lang w:bidi="fa-IR"/>
        </w:rPr>
      </w:pPr>
      <w:r>
        <w:rPr>
          <w:rtl/>
          <w:lang w:bidi="fa-IR"/>
        </w:rPr>
        <w:t>(8).</w:t>
      </w:r>
      <w:r w:rsidR="00367F22">
        <w:rPr>
          <w:rtl/>
          <w:lang w:bidi="fa-IR"/>
        </w:rPr>
        <w:t xml:space="preserve"> الم</w:t>
      </w:r>
      <w:r w:rsidR="00367F22">
        <w:rPr>
          <w:rFonts w:hint="cs"/>
          <w:rtl/>
          <w:lang w:bidi="fa-IR"/>
        </w:rPr>
        <w:t>ـِ</w:t>
      </w:r>
      <w:r w:rsidR="00744A1C">
        <w:rPr>
          <w:rtl/>
          <w:lang w:bidi="fa-IR"/>
        </w:rPr>
        <w:t xml:space="preserve">راس : الممارسة ، والمعالجة. ورجل مَرَس : شديد العلاج. </w:t>
      </w:r>
      <w:r w:rsidR="00744A1C" w:rsidRPr="00E978C3">
        <w:rPr>
          <w:rStyle w:val="libFootnoteBoldChar"/>
          <w:rtl/>
        </w:rPr>
        <w:t>الصحاح</w:t>
      </w:r>
      <w:r w:rsidR="00744A1C">
        <w:rPr>
          <w:rtl/>
          <w:lang w:bidi="fa-IR"/>
        </w:rPr>
        <w:t xml:space="preserve"> ، ج 3 ، ص 977 ( مرس ).</w:t>
      </w:r>
    </w:p>
    <w:p w:rsidR="00744A1C" w:rsidRDefault="00E378DD" w:rsidP="00E378DD">
      <w:pPr>
        <w:pStyle w:val="libFootnote0"/>
        <w:rPr>
          <w:lang w:bidi="fa-IR"/>
        </w:rPr>
      </w:pPr>
      <w:r>
        <w:rPr>
          <w:rtl/>
          <w:lang w:bidi="fa-IR"/>
        </w:rPr>
        <w:t>(9).</w:t>
      </w:r>
      <w:r w:rsidR="00744A1C">
        <w:rPr>
          <w:rtl/>
          <w:lang w:bidi="fa-IR"/>
        </w:rPr>
        <w:t xml:space="preserve"> « ذرّفتُ » : زِدتُ. </w:t>
      </w:r>
      <w:r w:rsidR="00744A1C" w:rsidRPr="00877682">
        <w:rPr>
          <w:rStyle w:val="libFootnoteBoldChar"/>
          <w:rtl/>
        </w:rPr>
        <w:t>النهاية</w:t>
      </w:r>
      <w:r w:rsidR="00744A1C">
        <w:rPr>
          <w:rtl/>
          <w:lang w:bidi="fa-IR"/>
        </w:rPr>
        <w:t xml:space="preserve"> ، ج 2 ، ص 159 ( ذرف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قوله : لا رأي لمن لا يطاع ، مَثَل ، قيل : هو أوّل من سمع منه </w:t>
      </w:r>
      <w:r w:rsidR="0061079A" w:rsidRPr="0061079A">
        <w:rPr>
          <w:rStyle w:val="libFootnoteAlaemChar"/>
          <w:rtl/>
        </w:rPr>
        <w:t>عليه‌السلام</w:t>
      </w:r>
      <w:r w:rsidR="00D10E3C">
        <w:rPr>
          <w:rtl/>
          <w:lang w:bidi="fa-IR"/>
        </w:rPr>
        <w:t xml:space="preserve"> </w:t>
      </w:r>
      <w:r w:rsidR="00744A1C">
        <w:rPr>
          <w:rtl/>
          <w:lang w:bidi="fa-IR"/>
        </w:rPr>
        <w:t>».</w:t>
      </w:r>
    </w:p>
    <w:p w:rsidR="00144FA6" w:rsidRDefault="00744A1C" w:rsidP="00D10E3C">
      <w:pPr>
        <w:pStyle w:val="libFootnote0"/>
        <w:rPr>
          <w:rtl/>
          <w:lang w:bidi="fa-IR"/>
        </w:rPr>
      </w:pPr>
      <w:r>
        <w:rPr>
          <w:rtl/>
          <w:lang w:bidi="fa-IR"/>
        </w:rPr>
        <w:t xml:space="preserve">في هامش </w:t>
      </w:r>
      <w:r w:rsidRPr="0061079A">
        <w:rPr>
          <w:rStyle w:val="libFootnoteBoldChar"/>
          <w:rtl/>
        </w:rPr>
        <w:t>الكافي</w:t>
      </w:r>
      <w:r>
        <w:rPr>
          <w:rtl/>
          <w:lang w:bidi="fa-IR"/>
        </w:rPr>
        <w:t xml:space="preserve"> المطبوع : « قضيّة سفيان بن عوف وبعث معاوية إيّاه لغارة الأنبار معروفة في كتب التأريخ ، ذكروها في حوادث سنة تسع وثلاثين ، ونقل ابن أبي الحديد عن كتاب </w:t>
      </w:r>
      <w:r w:rsidRPr="00F622C8">
        <w:rPr>
          <w:rStyle w:val="libFootnoteBoldChar"/>
          <w:rtl/>
        </w:rPr>
        <w:t>الغارات</w:t>
      </w:r>
      <w:r>
        <w:rPr>
          <w:rtl/>
          <w:lang w:bidi="fa-IR"/>
        </w:rPr>
        <w:t xml:space="preserve"> أنّ معاوية دعا سفيان بن عوف وقال له : إنّي باعثك في جيش كثيف ذي أداة وجلادة ، فالزم جانب الفرات حتّى تمرّ بهيت ، فتقطعها ، فإن وجدت بها جنداً فاغز عليها ، و</w:t>
      </w:r>
      <w:r w:rsidR="008D59C7">
        <w:rPr>
          <w:rFonts w:hint="cs"/>
          <w:rtl/>
          <w:lang w:bidi="fa-IR"/>
        </w:rPr>
        <w:t xml:space="preserve"> </w:t>
      </w:r>
      <w:r w:rsidR="008D59C7">
        <w:rPr>
          <w:rtl/>
          <w:lang w:bidi="fa-IR"/>
        </w:rPr>
        <w:t>إل</w:t>
      </w:r>
      <w:r w:rsidR="008D59C7">
        <w:rPr>
          <w:rFonts w:hint="cs"/>
          <w:rtl/>
          <w:lang w:bidi="fa-IR"/>
        </w:rPr>
        <w:t>ّ</w:t>
      </w:r>
      <w:r w:rsidR="008D59C7">
        <w:rPr>
          <w:rtl/>
          <w:lang w:bidi="fa-IR"/>
        </w:rPr>
        <w:t>ا</w:t>
      </w:r>
      <w:r>
        <w:rPr>
          <w:rtl/>
          <w:lang w:bidi="fa-IR"/>
        </w:rPr>
        <w:t xml:space="preserve"> فامض حتّى تغير على الأنبار ، فإن لم تجدبها جنداً فامض حتّى توغّل المدائن ، ثمّ أقبل إليّ ، واتّق أن تقرب الكوفة ، واعلم أنّك إن أغرت على أهل الأنبار فكأنّك قد أغرت على الكوفة ؛ فإنّ هذه </w:t>
      </w:r>
      <w:r w:rsidRPr="00F622C8">
        <w:rPr>
          <w:rStyle w:val="libFootnoteBoldChar"/>
          <w:rtl/>
        </w:rPr>
        <w:t>الغارات</w:t>
      </w:r>
      <w:r>
        <w:rPr>
          <w:rtl/>
          <w:lang w:bidi="fa-IR"/>
        </w:rPr>
        <w:t xml:space="preserve"> ترعب قلوب أهل العراق ، ويفرّح كلّ من له فينا هوى منهم ، ويدعو إلينا كلّ من خاف الدوائر ، فاقتل من لقيت ممّن ليس على مثل رأيك ، وأخرب كلّ ما مررت به من القرى ، وانتهب الأموال ؛ فإنّه شبيهة بالقتل ، وهو أوجع للقلب. فخرج سفيان ومضى على شاطئ الفرات ، وقتل عامل عليّ </w:t>
      </w:r>
      <w:r w:rsidR="0061079A" w:rsidRPr="0061079A">
        <w:rPr>
          <w:rStyle w:val="libFootnoteAlaemChar"/>
          <w:rtl/>
        </w:rPr>
        <w:t>عليه‌السلام</w:t>
      </w:r>
      <w:r w:rsidR="008D59C7">
        <w:rPr>
          <w:rStyle w:val="libFootnoteAlaemChar"/>
          <w:rFonts w:hint="cs"/>
          <w:rtl/>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8206 / 7. مُحَمَّدُ بْنُ يَحْيى ، عَنْ أَحْمَدَ بْنِ مُحَمَّدِ بْنِ عِيسى ، عَنْ عَلِيِّ بْنِ الْحَكَمِ ، عَنْ أَبِي حَفْصٍ الْكَلْبِيِّ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اللهَ - عَزَّ وَجَلَّ - بَعَثَ رَسُولَهُ بِالْإِسْلَامِ إِلَى النَّاسِ عَشْرَ سِنِينَ ، فَأَبَوْا أَنْ يَقْبَلُوا حَتّى أَمَرَهُ بِالْقِتَالِ ، فَالْخَيْرُ فِي السَّيْفِ </w:t>
      </w:r>
      <w:r w:rsidRPr="00D10E3C">
        <w:rPr>
          <w:rStyle w:val="libFootnotenumChar"/>
          <w:rtl/>
        </w:rPr>
        <w:t>(1)</w:t>
      </w:r>
      <w:r>
        <w:rPr>
          <w:rtl/>
          <w:lang w:bidi="fa-IR"/>
        </w:rPr>
        <w:t xml:space="preserve"> وَتَحْتَ السَّيْفِ ،</w:t>
      </w:r>
    </w:p>
    <w:p w:rsidR="00744A1C" w:rsidRDefault="00744A1C" w:rsidP="00D10E3C">
      <w:pPr>
        <w:pStyle w:val="libLine"/>
        <w:rPr>
          <w:lang w:bidi="fa-IR"/>
        </w:rPr>
      </w:pPr>
      <w:r>
        <w:rPr>
          <w:rtl/>
          <w:lang w:bidi="fa-IR"/>
        </w:rPr>
        <w:t>____________________</w:t>
      </w:r>
    </w:p>
    <w:p w:rsidR="00744A1C" w:rsidRDefault="00837B97" w:rsidP="00D10E3C">
      <w:pPr>
        <w:pStyle w:val="libFootnote0"/>
        <w:rPr>
          <w:lang w:bidi="fa-IR"/>
        </w:rPr>
      </w:pPr>
      <w:r>
        <w:rPr>
          <w:rFonts w:hint="cs"/>
          <w:rtl/>
          <w:lang w:bidi="fa-IR"/>
        </w:rPr>
        <w:t xml:space="preserve">= </w:t>
      </w:r>
      <w:r w:rsidR="00744A1C">
        <w:rPr>
          <w:rtl/>
          <w:lang w:bidi="fa-IR"/>
        </w:rPr>
        <w:t>في نحو ثلاثين رجلاً ، وحمل الأموال وانصرف. انتهى.</w:t>
      </w:r>
    </w:p>
    <w:p w:rsidR="00744A1C" w:rsidRDefault="00744A1C" w:rsidP="00D10E3C">
      <w:pPr>
        <w:pStyle w:val="libFootnote0"/>
        <w:rPr>
          <w:lang w:bidi="fa-IR"/>
        </w:rPr>
      </w:pPr>
      <w:r w:rsidRPr="00837B97">
        <w:rPr>
          <w:rStyle w:val="libFootnoteBoldChar"/>
          <w:rtl/>
        </w:rPr>
        <w:t>أقول</w:t>
      </w:r>
      <w:r>
        <w:rPr>
          <w:rtl/>
          <w:lang w:bidi="fa-IR"/>
        </w:rPr>
        <w:t xml:space="preserve"> : هذا معاوية بن أبي سفيان طليق رسول الله </w:t>
      </w:r>
      <w:r w:rsidR="00024D6D" w:rsidRPr="00024D6D">
        <w:rPr>
          <w:rStyle w:val="libFootnoteAlaemChar"/>
          <w:rtl/>
        </w:rPr>
        <w:t>صلى‌الله‌عليه‌وآله</w:t>
      </w:r>
      <w:r w:rsidR="00D10E3C">
        <w:rPr>
          <w:rtl/>
          <w:lang w:bidi="fa-IR"/>
        </w:rPr>
        <w:t xml:space="preserve"> </w:t>
      </w:r>
      <w:r>
        <w:rPr>
          <w:rtl/>
          <w:lang w:bidi="fa-IR"/>
        </w:rPr>
        <w:t xml:space="preserve">، الذي اتّخذه الجهلاء بل الأشقياء إمامهم ، وأوجبوا طاعته ، وأشادوا بذكره ، واعتقدوا علوّ كعبه في الإسلام ، واستدلّوا بمفتعلة « أصحابي كنجوم السماء ، بأيّهم اقتديتم اهتديتم » وأمثالها ممّا رواه الكذّابون على الله ورسوله أمثال أبي هريرة الذي هو في طليعة الوضّاعين واللاعنين عليّاً </w:t>
      </w:r>
      <w:r w:rsidR="0061079A" w:rsidRPr="0061079A">
        <w:rPr>
          <w:rStyle w:val="libFootnoteAlaemChar"/>
          <w:rtl/>
        </w:rPr>
        <w:t>عليه‌السلام</w:t>
      </w:r>
      <w:r>
        <w:rPr>
          <w:rtl/>
          <w:lang w:bidi="fa-IR"/>
        </w:rPr>
        <w:t xml:space="preserve"> .</w:t>
      </w:r>
    </w:p>
    <w:p w:rsidR="00744A1C" w:rsidRDefault="00744A1C" w:rsidP="00D10E3C">
      <w:pPr>
        <w:pStyle w:val="libFootnote0"/>
        <w:rPr>
          <w:lang w:bidi="fa-IR"/>
        </w:rPr>
      </w:pPr>
      <w:r>
        <w:rPr>
          <w:rtl/>
          <w:lang w:bidi="fa-IR"/>
        </w:rPr>
        <w:t>وقس على كلامه هذا ما قاله أمير المؤمنين عليهملسلا</w:t>
      </w:r>
      <w:r w:rsidR="00D10E3C">
        <w:rPr>
          <w:rtl/>
          <w:lang w:bidi="fa-IR"/>
        </w:rPr>
        <w:t xml:space="preserve"> </w:t>
      </w:r>
      <w:r>
        <w:rPr>
          <w:rtl/>
          <w:lang w:bidi="fa-IR"/>
        </w:rPr>
        <w:t xml:space="preserve"> يوم البصرة بعد سقوط الجمل وانهزام الناس حيث قال : « أيّها الناس ، لا تتبعوا مدبراً ، ولا تجهزوا على جريح ، ولا تدخلوا داراً ، ولا تأخذوا سلاحاً ولا ثياباً ولا متاعاً ، ومن ألقى السلاح فهو آمن ، ومن أغلق بابه فهو آمن » إلخ. وكلامه </w:t>
      </w:r>
      <w:r w:rsidR="0061079A" w:rsidRPr="0061079A">
        <w:rPr>
          <w:rStyle w:val="libFootnoteAlaemChar"/>
          <w:rtl/>
        </w:rPr>
        <w:t>عليه‌السلام</w:t>
      </w:r>
      <w:r w:rsidR="00D10E3C">
        <w:rPr>
          <w:rtl/>
          <w:lang w:bidi="fa-IR"/>
        </w:rPr>
        <w:t xml:space="preserve"> </w:t>
      </w:r>
      <w:r>
        <w:rPr>
          <w:rtl/>
          <w:lang w:bidi="fa-IR"/>
        </w:rPr>
        <w:t xml:space="preserve">يوم صفّين حيث قال : « لاتمثّلوا بقتيل ، وإذا وصلتم إلى رجال القوم فلا تهتكوا ستراً ، ولا تدخلوا داراً ، </w:t>
      </w:r>
      <w:r w:rsidR="00837B97">
        <w:rPr>
          <w:rtl/>
          <w:lang w:bidi="fa-IR"/>
        </w:rPr>
        <w:t>ولا تأخذوا شيئاً من أموالهم إل</w:t>
      </w:r>
      <w:r w:rsidR="00837B97">
        <w:rPr>
          <w:rFonts w:hint="cs"/>
          <w:rtl/>
          <w:lang w:bidi="fa-IR"/>
        </w:rPr>
        <w:t>ّ</w:t>
      </w:r>
      <w:r w:rsidR="00837B97">
        <w:rPr>
          <w:rtl/>
          <w:lang w:bidi="fa-IR"/>
        </w:rPr>
        <w:t>ا</w:t>
      </w:r>
      <w:r w:rsidR="00837B97">
        <w:rPr>
          <w:rFonts w:hint="cs"/>
          <w:rtl/>
          <w:lang w:bidi="fa-IR"/>
        </w:rPr>
        <w:t xml:space="preserve"> </w:t>
      </w:r>
      <w:r>
        <w:rPr>
          <w:rtl/>
          <w:lang w:bidi="fa-IR"/>
        </w:rPr>
        <w:t>ما وجدتم في عسكرهم ، ولا تهيّجوا امرأة بأذى ، وإن شتمن أعراضكم ، وسببن امراءكم وصلحاءكم ؛ فإنّهنّ ضعاف القوى والأنفس والعقول » إلى آخر كلامه صلوات الله عليه.</w:t>
      </w:r>
    </w:p>
    <w:p w:rsidR="00744A1C" w:rsidRDefault="00744A1C" w:rsidP="00D10E3C">
      <w:pPr>
        <w:pStyle w:val="libFootnote0"/>
        <w:rPr>
          <w:lang w:bidi="fa-IR"/>
        </w:rPr>
      </w:pPr>
      <w:r>
        <w:rPr>
          <w:rtl/>
          <w:lang w:bidi="fa-IR"/>
        </w:rPr>
        <w:t xml:space="preserve">فليت شعري بماذا أحلّ ابن أبي سفيان دماء المسلمين ، وبماذا يحلّ إيذاءهم ، وبماذا يجوز شنّ الغارة عليهم وهم أبرياء ، وكيف يجوز له قتلهم ، وتخريب ديارهم ، ونهب أموالهم بغير إثم اكتسبوه ، أو فساد أظهروه ، </w:t>
      </w:r>
      <w:r w:rsidR="00945DDD">
        <w:rPr>
          <w:rtl/>
          <w:lang w:bidi="fa-IR"/>
        </w:rPr>
        <w:t>أو سيّئة اجترحوها ، فليس هو إل</w:t>
      </w:r>
      <w:r w:rsidR="00945DDD">
        <w:rPr>
          <w:rFonts w:hint="cs"/>
          <w:rtl/>
          <w:lang w:bidi="fa-IR"/>
        </w:rPr>
        <w:t>ّ</w:t>
      </w:r>
      <w:r w:rsidR="00945DDD">
        <w:rPr>
          <w:rtl/>
          <w:lang w:bidi="fa-IR"/>
        </w:rPr>
        <w:t>ا</w:t>
      </w:r>
      <w:r w:rsidR="00945DDD">
        <w:rPr>
          <w:rFonts w:hint="cs"/>
          <w:rtl/>
          <w:lang w:bidi="fa-IR"/>
        </w:rPr>
        <w:t xml:space="preserve"> </w:t>
      </w:r>
      <w:r>
        <w:rPr>
          <w:rtl/>
          <w:lang w:bidi="fa-IR"/>
        </w:rPr>
        <w:t xml:space="preserve">لإبراز ما في كمونه من الخباثة الموروثة ، وهو ابن آكلة الأكباد ، وفرع الشجرة الملعونة في القرآن ، وقد قال الله تعالى : </w:t>
      </w:r>
      <w:r w:rsidRPr="00C81DF6">
        <w:rPr>
          <w:rStyle w:val="libFootnoteAlaemChar"/>
          <w:rtl/>
        </w:rPr>
        <w:t>(</w:t>
      </w:r>
      <w:r w:rsidRPr="00C81DF6">
        <w:rPr>
          <w:rStyle w:val="libFootnoteAieChar"/>
          <w:rtl/>
        </w:rPr>
        <w:t xml:space="preserve"> وَالَّذِينَ يُؤْذُونَ الْمُؤْمِنِينَ وَالْمُؤْمِناتِ بِغَيْرِ مَا اكْتَسَبُوا فَقَدِ احْتَمَلُوا بُهْتاناً وَإِثْماً مُبِيناً </w:t>
      </w:r>
      <w:r w:rsidRPr="00C81DF6">
        <w:rPr>
          <w:rStyle w:val="libFootnoteAlaemChar"/>
          <w:rtl/>
        </w:rPr>
        <w:t>)</w:t>
      </w:r>
      <w:r>
        <w:rPr>
          <w:rtl/>
          <w:lang w:bidi="fa-IR"/>
        </w:rPr>
        <w:t xml:space="preserve">. وقال سبحانه : </w:t>
      </w:r>
      <w:r w:rsidRPr="00725A13">
        <w:rPr>
          <w:rStyle w:val="libFootnoteAlaemChar"/>
          <w:rtl/>
        </w:rPr>
        <w:t>(</w:t>
      </w:r>
      <w:r w:rsidRPr="00725A13">
        <w:rPr>
          <w:rStyle w:val="libFootnoteAieChar"/>
          <w:rtl/>
        </w:rPr>
        <w:t xml:space="preserve">وَمَنْ يَقْتُلْ مُؤْمِناً مُتَعَمِّداً فَجَزاؤُهُ جَهَنَّمُ خالِداً فِيها وَغَضِبَ اللهُ عَلَيْهِ وَلَعَنَهُ وَأَعَدَّ لَهُ عَذاباً عَظِيماً </w:t>
      </w:r>
      <w:r w:rsidRPr="00725A13">
        <w:rPr>
          <w:rStyle w:val="libFootnoteAlaemChar"/>
          <w:rtl/>
        </w:rPr>
        <w:t>)</w:t>
      </w:r>
      <w:r>
        <w:rPr>
          <w:rtl/>
          <w:lang w:bidi="fa-IR"/>
        </w:rPr>
        <w:t xml:space="preserve"> ». راجع : </w:t>
      </w:r>
      <w:r w:rsidRPr="0061079A">
        <w:rPr>
          <w:rStyle w:val="libFootnoteBoldChar"/>
          <w:rtl/>
        </w:rPr>
        <w:t>الكافي</w:t>
      </w:r>
      <w:r>
        <w:rPr>
          <w:rtl/>
          <w:lang w:bidi="fa-IR"/>
        </w:rPr>
        <w:t xml:space="preserve"> ، ح 8263 ؛ </w:t>
      </w:r>
      <w:r w:rsidRPr="00F622C8">
        <w:rPr>
          <w:rStyle w:val="libFootnoteBoldChar"/>
          <w:rtl/>
        </w:rPr>
        <w:t>الغارات</w:t>
      </w:r>
      <w:r>
        <w:rPr>
          <w:rtl/>
          <w:lang w:bidi="fa-IR"/>
        </w:rPr>
        <w:t xml:space="preserve"> ، ج 2 ، ص 320 ؛ الفصول المختارة ، ص 146 ؛ وقعة صفّين ، ص 203 ؛ </w:t>
      </w:r>
      <w:r w:rsidRPr="0061079A">
        <w:rPr>
          <w:rStyle w:val="libFootnoteBoldChar"/>
          <w:rtl/>
        </w:rPr>
        <w:t>البحار</w:t>
      </w:r>
      <w:r>
        <w:rPr>
          <w:rtl/>
          <w:lang w:bidi="fa-IR"/>
        </w:rPr>
        <w:t xml:space="preserve"> ، ج 34 ، ص 52 - 65 ؛ وج 101 ، ص 27 ، ح 34 ؛ شرح نهج البلاغة لابن أبي الحديد ، ج 2 ، ص 85 - 88 ؛ </w:t>
      </w:r>
      <w:r w:rsidRPr="00543213">
        <w:rPr>
          <w:rStyle w:val="libFootnoteBoldChar"/>
          <w:rtl/>
        </w:rPr>
        <w:t>تاريخ الطبري</w:t>
      </w:r>
      <w:r>
        <w:rPr>
          <w:rtl/>
          <w:lang w:bidi="fa-IR"/>
        </w:rPr>
        <w:t xml:space="preserve"> ، ج 4 ، ص 103 ؛ البداية و</w:t>
      </w:r>
      <w:r w:rsidRPr="00877682">
        <w:rPr>
          <w:rStyle w:val="libFootnoteBoldChar"/>
          <w:rtl/>
        </w:rPr>
        <w:t>النهاية</w:t>
      </w:r>
      <w:r>
        <w:rPr>
          <w:rtl/>
          <w:lang w:bidi="fa-IR"/>
        </w:rPr>
        <w:t xml:space="preserve"> ، ج 7 ، ص 354.</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123 ، ح 216 ، معلّقاً عن أحمد بن محمّد بن سعيد ، إلى قوله : « وسيم الخسف ومنع النصف » مع زيادة في آخره. وفي </w:t>
      </w:r>
      <w:r w:rsidR="00744A1C" w:rsidRPr="00F622C8">
        <w:rPr>
          <w:rStyle w:val="libFootnoteBoldChar"/>
          <w:rtl/>
        </w:rPr>
        <w:t>الغارات</w:t>
      </w:r>
      <w:r w:rsidR="00744A1C">
        <w:rPr>
          <w:rtl/>
          <w:lang w:bidi="fa-IR"/>
        </w:rPr>
        <w:t xml:space="preserve"> ، ج 2 ، ص 325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309 ، ح 1 ، بسند آخر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وزيادة في أوّله. نهج البلاغة ، ص 69 ، الخطبة 27. وراجع : </w:t>
      </w:r>
      <w:r w:rsidR="00744A1C" w:rsidRPr="002D57AD">
        <w:rPr>
          <w:rStyle w:val="libFootnoteBoldChar"/>
          <w:rtl/>
        </w:rPr>
        <w:t>الإرشاد</w:t>
      </w:r>
      <w:r w:rsidR="00744A1C">
        <w:rPr>
          <w:rtl/>
          <w:lang w:bidi="fa-IR"/>
        </w:rPr>
        <w:t xml:space="preserve"> ، ص 279 </w:t>
      </w:r>
      <w:r w:rsidR="00725A13">
        <w:rPr>
          <w:rFonts w:hint="cs"/>
          <w:rtl/>
          <w:lang w:bidi="fa-IR"/>
        </w:rPr>
        <w:t>.</w:t>
      </w:r>
      <w:r w:rsidR="00744A1C" w:rsidRPr="00C24F9C">
        <w:rPr>
          <w:rStyle w:val="libFootnoteBoldChar"/>
          <w:rtl/>
        </w:rPr>
        <w:t>الوافي</w:t>
      </w:r>
      <w:r w:rsidR="00744A1C">
        <w:rPr>
          <w:rtl/>
          <w:lang w:bidi="fa-IR"/>
        </w:rPr>
        <w:t xml:space="preserve"> ، ج 15 ، ص 46 ، ح 14686 ؛ </w:t>
      </w:r>
      <w:r w:rsidR="00744A1C" w:rsidRPr="00C24F9C">
        <w:rPr>
          <w:rStyle w:val="libFootnoteBoldChar"/>
          <w:rtl/>
        </w:rPr>
        <w:t>الوسائل</w:t>
      </w:r>
      <w:r w:rsidR="00744A1C">
        <w:rPr>
          <w:rtl/>
          <w:lang w:bidi="fa-IR"/>
        </w:rPr>
        <w:t xml:space="preserve"> ، ج 15 ، ص 14 ، ح 19913 ، إلى قوله : « وسيم الخسف ومنع النصف ».</w:t>
      </w:r>
    </w:p>
    <w:p w:rsidR="00744A1C" w:rsidRDefault="00D10E3C" w:rsidP="00D10E3C">
      <w:pPr>
        <w:pStyle w:val="libFootnote0"/>
        <w:rPr>
          <w:lang w:bidi="fa-IR"/>
        </w:rPr>
      </w:pPr>
      <w:r>
        <w:rPr>
          <w:rtl/>
          <w:lang w:bidi="fa-IR"/>
        </w:rPr>
        <w:t>(1).</w:t>
      </w:r>
      <w:r w:rsidR="00744A1C">
        <w:rPr>
          <w:rtl/>
          <w:lang w:bidi="fa-IR"/>
        </w:rPr>
        <w:t xml:space="preserve"> في « بح » : « بالسيف ».</w:t>
      </w:r>
    </w:p>
    <w:p w:rsidR="006A5060" w:rsidRDefault="006A5060" w:rsidP="00D10E3C">
      <w:pPr>
        <w:pStyle w:val="libNormal"/>
        <w:rPr>
          <w:rtl/>
          <w:lang w:bidi="fa-IR"/>
        </w:rPr>
      </w:pPr>
      <w:r>
        <w:rPr>
          <w:rtl/>
          <w:lang w:bidi="fa-IR"/>
        </w:rPr>
        <w:br w:type="page"/>
      </w:r>
    </w:p>
    <w:p w:rsidR="00144FA6" w:rsidRDefault="00744A1C" w:rsidP="00A6581D">
      <w:pPr>
        <w:pStyle w:val="libNormal0"/>
        <w:rPr>
          <w:rtl/>
          <w:lang w:bidi="fa-IR"/>
        </w:rPr>
      </w:pPr>
      <w:r>
        <w:rPr>
          <w:rtl/>
          <w:lang w:bidi="fa-IR"/>
        </w:rPr>
        <w:lastRenderedPageBreak/>
        <w:t>وَ</w:t>
      </w:r>
      <w:r w:rsidR="00725A13">
        <w:rPr>
          <w:rFonts w:hint="cs"/>
          <w:rtl/>
          <w:lang w:bidi="fa-IR"/>
        </w:rPr>
        <w:t xml:space="preserve"> </w:t>
      </w:r>
      <w:r>
        <w:rPr>
          <w:rtl/>
          <w:lang w:bidi="fa-IR"/>
        </w:rPr>
        <w:t xml:space="preserve">الْأَمْرُ يَعُودُ </w:t>
      </w:r>
      <w:r w:rsidRPr="00D10E3C">
        <w:rPr>
          <w:rStyle w:val="libFootnotenumChar"/>
          <w:rtl/>
        </w:rPr>
        <w:t>(1)</w:t>
      </w:r>
      <w:r>
        <w:rPr>
          <w:rtl/>
          <w:lang w:bidi="fa-IR"/>
        </w:rPr>
        <w:t xml:space="preserve"> كَمَا بَدَأَ ». </w:t>
      </w:r>
      <w:r w:rsidRPr="00D10E3C">
        <w:rPr>
          <w:rStyle w:val="libFootnotenumChar"/>
          <w:rtl/>
        </w:rPr>
        <w:t>(2)</w:t>
      </w:r>
    </w:p>
    <w:p w:rsidR="00144FA6" w:rsidRDefault="00744A1C" w:rsidP="00744A1C">
      <w:pPr>
        <w:pStyle w:val="libNormal"/>
        <w:rPr>
          <w:rtl/>
          <w:lang w:bidi="fa-IR"/>
        </w:rPr>
      </w:pPr>
      <w:r>
        <w:rPr>
          <w:rtl/>
          <w:lang w:bidi="fa-IR"/>
        </w:rPr>
        <w:t xml:space="preserve">8207 / 8. عِدَّةٌ مِنْ أَصْحَابِنَا ، عَنْ أَحْمَدَ بْنِ مُحَمَّدِ بْنِ خَالِدٍ ، عَنْ أَبِيهِ </w:t>
      </w:r>
      <w:r w:rsidRPr="00D10E3C">
        <w:rPr>
          <w:rStyle w:val="libFootnotenumChar"/>
          <w:rtl/>
        </w:rPr>
        <w:t>(3)</w:t>
      </w:r>
      <w:r>
        <w:rPr>
          <w:rtl/>
          <w:lang w:bidi="fa-IR"/>
        </w:rPr>
        <w:t xml:space="preserve"> ، عَنْ أَبِي الْبَخْتَرِيِّ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CB3856" w:rsidRPr="00CB3856">
        <w:rPr>
          <w:rStyle w:val="libAlaemChar"/>
          <w:rtl/>
        </w:rPr>
        <w:t>صلى‌الله‌عليه‌وآله</w:t>
      </w:r>
      <w:r w:rsidR="00D10E3C">
        <w:rPr>
          <w:rtl/>
          <w:lang w:bidi="fa-IR"/>
        </w:rPr>
        <w:t xml:space="preserve"> </w:t>
      </w:r>
      <w:r>
        <w:rPr>
          <w:rtl/>
          <w:lang w:bidi="fa-IR"/>
        </w:rPr>
        <w:t xml:space="preserve">: إِنَّ جَبْرَئِيلَ </w:t>
      </w:r>
      <w:r w:rsidR="0061079A" w:rsidRPr="0061079A">
        <w:rPr>
          <w:rStyle w:val="libAlaemChar"/>
          <w:rtl/>
        </w:rPr>
        <w:t>عليه‌السلام</w:t>
      </w:r>
      <w:r w:rsidR="00D10E3C">
        <w:rPr>
          <w:rtl/>
          <w:lang w:bidi="fa-IR"/>
        </w:rPr>
        <w:t xml:space="preserve"> </w:t>
      </w:r>
      <w:r>
        <w:rPr>
          <w:rtl/>
          <w:lang w:bidi="fa-IR"/>
        </w:rPr>
        <w:t xml:space="preserve">أَخْبَرَنِي بِأَمْرٍ قَرَّتْ بِهِ عَيْنِي ، وَفَرِحَ بِهِ قَلْبِي ، قَالَ : يَا مُحَمَّدُ ، مَنْ غَزَا غَزَاةً فِي سَبِيلِ اللهِ مِنْ أُمَّتِكَ ، فَمَا أَصَابَهُ </w:t>
      </w:r>
      <w:r w:rsidRPr="00D10E3C">
        <w:rPr>
          <w:rStyle w:val="libFootnotenumChar"/>
          <w:rtl/>
        </w:rPr>
        <w:t>(4)</w:t>
      </w:r>
      <w:r>
        <w:rPr>
          <w:rtl/>
          <w:lang w:bidi="fa-IR"/>
        </w:rPr>
        <w:t xml:space="preserve"> قَطْرَةٌ مِنَ السَّمَاءِ أَوْ </w:t>
      </w:r>
      <w:r w:rsidR="00725A13">
        <w:rPr>
          <w:rtl/>
          <w:lang w:bidi="fa-IR"/>
        </w:rPr>
        <w:t>صُدَاعٌ ، إِل</w:t>
      </w:r>
      <w:r w:rsidR="00725A13">
        <w:rPr>
          <w:rFonts w:hint="cs"/>
          <w:rtl/>
          <w:lang w:bidi="fa-IR"/>
        </w:rPr>
        <w:t>َّ</w:t>
      </w:r>
      <w:r w:rsidR="00725A13">
        <w:rPr>
          <w:rtl/>
          <w:lang w:bidi="fa-IR"/>
        </w:rPr>
        <w:t>ا</w:t>
      </w:r>
      <w:r>
        <w:rPr>
          <w:rtl/>
          <w:lang w:bidi="fa-IR"/>
        </w:rPr>
        <w:t xml:space="preserve"> كَانَتْ لَهُ شَهَادَةً يَوْمَ الْقِيَامَةِ ». </w:t>
      </w:r>
      <w:r w:rsidRPr="00D10E3C">
        <w:rPr>
          <w:rStyle w:val="libFootnotenumChar"/>
          <w:rtl/>
        </w:rPr>
        <w:t>(5)</w:t>
      </w:r>
    </w:p>
    <w:p w:rsidR="00144FA6" w:rsidRDefault="00744A1C" w:rsidP="00744A1C">
      <w:pPr>
        <w:pStyle w:val="libNormal"/>
        <w:rPr>
          <w:rtl/>
          <w:lang w:bidi="fa-IR"/>
        </w:rPr>
      </w:pPr>
      <w:r>
        <w:rPr>
          <w:rtl/>
          <w:lang w:bidi="fa-IR"/>
        </w:rPr>
        <w:t>8208 / 9. وَبِهذَا الْإِسْنَادِ ، قَالَ :</w:t>
      </w:r>
    </w:p>
    <w:p w:rsidR="00144FA6" w:rsidRDefault="00744A1C" w:rsidP="00744A1C">
      <w:pPr>
        <w:pStyle w:val="libNormal"/>
        <w:rPr>
          <w:rtl/>
          <w:lang w:bidi="fa-IR"/>
        </w:rPr>
      </w:pPr>
      <w:r>
        <w:rPr>
          <w:rtl/>
          <w:lang w:bidi="fa-IR"/>
        </w:rPr>
        <w:t xml:space="preserve">« قَالَ رَسُولُ اللهِ </w:t>
      </w:r>
      <w:r w:rsidR="0017097C" w:rsidRPr="0017097C">
        <w:rPr>
          <w:rStyle w:val="libAlaemChar"/>
          <w:rtl/>
        </w:rPr>
        <w:t>صلى‌الله‌عليه‌وآله</w:t>
      </w:r>
      <w:r w:rsidR="00D10E3C">
        <w:rPr>
          <w:rtl/>
          <w:lang w:bidi="fa-IR"/>
        </w:rPr>
        <w:t xml:space="preserve"> </w:t>
      </w:r>
      <w:r>
        <w:rPr>
          <w:rtl/>
          <w:lang w:bidi="fa-IR"/>
        </w:rPr>
        <w:t xml:space="preserve">: مَنْ بَلَّغَ رِسَالَةَ غَازٍ ، كَانَ كَمَنْ أَعْتَقَ رَقَبَةً ، وَهُوَ شَرِيكُهُ فِي ثَوَابِ </w:t>
      </w:r>
      <w:r w:rsidRPr="00D10E3C">
        <w:rPr>
          <w:rStyle w:val="libFootnotenumChar"/>
          <w:rtl/>
        </w:rPr>
        <w:t>(6)</w:t>
      </w:r>
      <w:r>
        <w:rPr>
          <w:rtl/>
          <w:lang w:bidi="fa-IR"/>
        </w:rPr>
        <w:t xml:space="preserve"> غَزْوَتِهِ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والأمر يعود ؛ يعني في دولة القائم </w:t>
      </w:r>
      <w:r w:rsidR="0061079A" w:rsidRPr="0061079A">
        <w:rPr>
          <w:rStyle w:val="libFootnoteAlaemChar"/>
          <w:rtl/>
        </w:rPr>
        <w:t>عليه‌السلام</w:t>
      </w:r>
      <w:r>
        <w:rPr>
          <w:rtl/>
          <w:lang w:bidi="fa-IR"/>
        </w:rPr>
        <w:t xml:space="preserve"> </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15 ، ص 44 ، ح 14683 ؛ </w:t>
      </w:r>
      <w:r w:rsidR="00744A1C" w:rsidRPr="00C24F9C">
        <w:rPr>
          <w:rStyle w:val="libFootnoteBoldChar"/>
          <w:rtl/>
        </w:rPr>
        <w:t>الوسائل</w:t>
      </w:r>
      <w:r w:rsidR="00744A1C">
        <w:rPr>
          <w:rtl/>
          <w:lang w:bidi="fa-IR"/>
        </w:rPr>
        <w:t xml:space="preserve"> ، ج 15 ، ص 15 ، ح 19914.</w:t>
      </w:r>
    </w:p>
    <w:p w:rsidR="00744A1C" w:rsidRDefault="00E378DD" w:rsidP="00E378DD">
      <w:pPr>
        <w:pStyle w:val="libFootnote0"/>
        <w:rPr>
          <w:lang w:bidi="fa-IR"/>
        </w:rPr>
      </w:pPr>
      <w:r>
        <w:rPr>
          <w:rtl/>
          <w:lang w:bidi="fa-IR"/>
        </w:rPr>
        <w:t>(3).</w:t>
      </w:r>
      <w:r w:rsidR="00744A1C">
        <w:rPr>
          <w:rtl/>
          <w:lang w:bidi="fa-IR"/>
        </w:rPr>
        <w:t xml:space="preserve"> هكذا في « ى ، بث ، بح ، بس ، بف ، جت ، جد ، جن » و</w:t>
      </w:r>
      <w:r w:rsidR="00744A1C" w:rsidRPr="00C24F9C">
        <w:rPr>
          <w:rStyle w:val="libFootnoteBoldChar"/>
          <w:rtl/>
        </w:rPr>
        <w:t>الوسائل</w:t>
      </w:r>
      <w:r w:rsidR="00744A1C">
        <w:rPr>
          <w:rtl/>
          <w:lang w:bidi="fa-IR"/>
        </w:rPr>
        <w:t>. وفي المطبوع : - « عن أبيه ».</w:t>
      </w:r>
    </w:p>
    <w:p w:rsidR="00744A1C" w:rsidRDefault="00744A1C" w:rsidP="00D10E3C">
      <w:pPr>
        <w:pStyle w:val="libFootnote0"/>
        <w:rPr>
          <w:lang w:bidi="fa-IR"/>
        </w:rPr>
      </w:pPr>
      <w:r>
        <w:rPr>
          <w:rtl/>
          <w:lang w:bidi="fa-IR"/>
        </w:rPr>
        <w:t xml:space="preserve">وأبو البختري هو وهب بن وهب القرشي ، وقد تكرّرت رواية أحمد بن محمّد بن خالد - بعناوينه المختلفة - عن أبيه عنه. راجع : </w:t>
      </w:r>
      <w:r w:rsidRPr="003A7143">
        <w:rPr>
          <w:rStyle w:val="libFootnoteBoldChar"/>
          <w:rtl/>
        </w:rPr>
        <w:t>رجال النجاشي</w:t>
      </w:r>
      <w:r>
        <w:rPr>
          <w:rtl/>
          <w:lang w:bidi="fa-IR"/>
        </w:rPr>
        <w:t xml:space="preserve"> ، ص 430 ، الرقم 1155 ؛ </w:t>
      </w:r>
      <w:r w:rsidRPr="0061079A">
        <w:rPr>
          <w:rStyle w:val="libFootnoteBoldChar"/>
          <w:rtl/>
        </w:rPr>
        <w:t>معجم رجال الحديث</w:t>
      </w:r>
      <w:r>
        <w:rPr>
          <w:rtl/>
          <w:lang w:bidi="fa-IR"/>
        </w:rPr>
        <w:t xml:space="preserve"> ، ج 16 ، ص 354 ، ص 364 ، ص 367 ، ص 369 ؛ وج 21 ، ص 404 ، وص 410 - 411.</w:t>
      </w:r>
    </w:p>
    <w:p w:rsidR="00744A1C" w:rsidRDefault="00E378DD" w:rsidP="00E378DD">
      <w:pPr>
        <w:pStyle w:val="libFootnote0"/>
        <w:rPr>
          <w:lang w:bidi="fa-IR"/>
        </w:rPr>
      </w:pPr>
      <w:r>
        <w:rPr>
          <w:rtl/>
          <w:lang w:bidi="fa-IR"/>
        </w:rPr>
        <w:t>(4).</w:t>
      </w:r>
      <w:r w:rsidR="00744A1C">
        <w:rPr>
          <w:rtl/>
          <w:lang w:bidi="fa-IR"/>
        </w:rPr>
        <w:t xml:space="preserve"> في « بث » : « فأصابه » بدل « فما أصابه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121 ، ح 206 ؛ والأمالي للصدوق ، ص 577 ، المجلس 85 ، ح 7 ؛ </w:t>
      </w:r>
      <w:r w:rsidR="00744A1C" w:rsidRPr="004D054E">
        <w:rPr>
          <w:rStyle w:val="libFootnoteBoldChar"/>
          <w:rtl/>
        </w:rPr>
        <w:t>وثواب الأعمال</w:t>
      </w:r>
      <w:r w:rsidR="00744A1C">
        <w:rPr>
          <w:rtl/>
          <w:lang w:bidi="fa-IR"/>
        </w:rPr>
        <w:t xml:space="preserve"> ، ص 225 ، ح 1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132ED1">
        <w:rPr>
          <w:rFonts w:hint="cs"/>
          <w:rtl/>
          <w:lang w:bidi="fa-IR"/>
        </w:rPr>
        <w:t>.</w:t>
      </w:r>
      <w:r w:rsidR="00744A1C" w:rsidRPr="00C24F9C">
        <w:rPr>
          <w:rStyle w:val="libFootnoteBoldChar"/>
          <w:rtl/>
        </w:rPr>
        <w:t>الوافي</w:t>
      </w:r>
      <w:r w:rsidR="00744A1C">
        <w:rPr>
          <w:rtl/>
          <w:lang w:bidi="fa-IR"/>
        </w:rPr>
        <w:t xml:space="preserve"> ، ج 15 ، ص 42 ، ح 14677 ؛ </w:t>
      </w:r>
      <w:r w:rsidR="00744A1C" w:rsidRPr="00C24F9C">
        <w:rPr>
          <w:rStyle w:val="libFootnoteBoldChar"/>
          <w:rtl/>
        </w:rPr>
        <w:t>الوسائل</w:t>
      </w:r>
      <w:r w:rsidR="00744A1C">
        <w:rPr>
          <w:rtl/>
          <w:lang w:bidi="fa-IR"/>
        </w:rPr>
        <w:t xml:space="preserve"> ، ج 15 ، ص 13 ، ح 19910.</w:t>
      </w:r>
    </w:p>
    <w:p w:rsidR="00744A1C" w:rsidRDefault="00E378DD" w:rsidP="00E378DD">
      <w:pPr>
        <w:pStyle w:val="libFootnote0"/>
        <w:rPr>
          <w:lang w:bidi="fa-IR"/>
        </w:rPr>
      </w:pPr>
      <w:r>
        <w:rPr>
          <w:rtl/>
          <w:lang w:bidi="fa-IR"/>
        </w:rPr>
        <w:t>(6).</w:t>
      </w:r>
      <w:r w:rsidR="00744A1C">
        <w:rPr>
          <w:rtl/>
          <w:lang w:bidi="fa-IR"/>
        </w:rPr>
        <w:t xml:space="preserve"> في الأمالي للصدوق </w:t>
      </w:r>
      <w:r w:rsidR="00744A1C" w:rsidRPr="004D054E">
        <w:rPr>
          <w:rStyle w:val="libFootnoteBoldChar"/>
          <w:rtl/>
        </w:rPr>
        <w:t>وثواب الأعمال</w:t>
      </w:r>
      <w:r w:rsidR="00744A1C">
        <w:rPr>
          <w:rtl/>
          <w:lang w:bidi="fa-IR"/>
        </w:rPr>
        <w:t xml:space="preserve"> : « باب ».</w:t>
      </w:r>
    </w:p>
    <w:p w:rsidR="00744A1C" w:rsidRPr="00132ED1" w:rsidRDefault="00E378DD" w:rsidP="00E378DD">
      <w:pPr>
        <w:pStyle w:val="libFootnote0"/>
        <w:rPr>
          <w:lang w:bidi="fa-IR"/>
        </w:rPr>
      </w:pPr>
      <w:r w:rsidRPr="00132ED1">
        <w:rPr>
          <w:rtl/>
          <w:lang w:bidi="fa-IR"/>
        </w:rPr>
        <w:t>(7).</w:t>
      </w:r>
      <w:r w:rsidR="00744A1C" w:rsidRPr="00132ED1">
        <w:rPr>
          <w:rtl/>
          <w:lang w:bidi="fa-IR"/>
        </w:rPr>
        <w:t xml:space="preserve"> </w:t>
      </w:r>
      <w:r w:rsidR="00744A1C" w:rsidRPr="00132ED1">
        <w:rPr>
          <w:rStyle w:val="libFootnoteBoldChar"/>
          <w:rtl/>
        </w:rPr>
        <w:t>التهذيب</w:t>
      </w:r>
      <w:r w:rsidR="00744A1C" w:rsidRPr="00132ED1">
        <w:rPr>
          <w:rtl/>
          <w:lang w:bidi="fa-IR"/>
        </w:rPr>
        <w:t xml:space="preserve"> ، ج 6 ، ص 123 ، ح 214 ، بسنده عن أبي جعفر [ البرقي ] ، عن أبيه ، عن وهب ، عن جعفر ، عن أبيه </w:t>
      </w:r>
      <w:r w:rsidR="00F112A7" w:rsidRPr="00132ED1">
        <w:rPr>
          <w:rStyle w:val="libFootnoteAlaemChar"/>
          <w:rtl/>
        </w:rPr>
        <w:t>عليهما‌السلام</w:t>
      </w:r>
      <w:r w:rsidR="00132ED1" w:rsidRPr="00132ED1">
        <w:rPr>
          <w:rFonts w:hint="cs"/>
          <w:rtl/>
        </w:rPr>
        <w:t xml:space="preserve"> </w:t>
      </w:r>
      <w:r w:rsidR="00744A1C" w:rsidRPr="00132ED1">
        <w:rPr>
          <w:rtl/>
          <w:lang w:bidi="fa-IR"/>
        </w:rPr>
        <w:t xml:space="preserve">عن رسول الله </w:t>
      </w:r>
      <w:r w:rsidR="005E465D" w:rsidRPr="00132ED1">
        <w:rPr>
          <w:rStyle w:val="libFootnoteAlaemChar"/>
          <w:rtl/>
        </w:rPr>
        <w:t>صلى‌الله‌عليه‌وآله</w:t>
      </w:r>
      <w:r w:rsidR="00744A1C" w:rsidRPr="00132ED1">
        <w:rPr>
          <w:rtl/>
          <w:lang w:bidi="fa-IR"/>
        </w:rPr>
        <w:t xml:space="preserve"> . وفي الأمالي للصدوق ، ص 578 ، المجلس 85 ، ح 9 ؛ </w:t>
      </w:r>
      <w:r w:rsidR="00744A1C" w:rsidRPr="00132ED1">
        <w:rPr>
          <w:rStyle w:val="libFootnoteBoldChar"/>
          <w:rtl/>
        </w:rPr>
        <w:t>وثواب الأعمال</w:t>
      </w:r>
      <w:r w:rsidR="00744A1C" w:rsidRPr="00132ED1">
        <w:rPr>
          <w:rtl/>
          <w:lang w:bidi="fa-IR"/>
        </w:rPr>
        <w:t xml:space="preserve"> ، ص 235 ، ح 3 ، بسندهما عن أحمد بن أبي عبد الله البرقي ، عن أبيه ، عن وهب بن وهب [ الأمالي : + « القرشي » ] ، عن جعفر بن محمّد ، عن آبائه </w:t>
      </w:r>
      <w:r w:rsidR="00877682" w:rsidRPr="00132ED1">
        <w:rPr>
          <w:rStyle w:val="libFootnoteAlaemChar"/>
          <w:rtl/>
        </w:rPr>
        <w:t>عليهم‌السلام</w:t>
      </w:r>
      <w:r w:rsidR="00D10E3C" w:rsidRPr="00132ED1">
        <w:rPr>
          <w:rtl/>
          <w:lang w:bidi="fa-IR"/>
        </w:rPr>
        <w:t xml:space="preserve"> </w:t>
      </w:r>
      <w:r w:rsidR="00744A1C" w:rsidRPr="00132ED1">
        <w:rPr>
          <w:rtl/>
          <w:lang w:bidi="fa-IR"/>
        </w:rPr>
        <w:t xml:space="preserve">عن رسول الله </w:t>
      </w:r>
      <w:r w:rsidR="00E843EA" w:rsidRPr="00132ED1">
        <w:rPr>
          <w:rStyle w:val="libFootnoteAlaemChar"/>
          <w:rtl/>
        </w:rPr>
        <w:t>صلى‌الله‌عليه‌وآله</w:t>
      </w:r>
      <w:r w:rsidR="00D10E3C" w:rsidRPr="00132ED1">
        <w:rPr>
          <w:rtl/>
          <w:lang w:bidi="fa-IR"/>
        </w:rPr>
        <w:t xml:space="preserve"> </w:t>
      </w:r>
      <w:r w:rsidR="00132ED1">
        <w:rPr>
          <w:rFonts w:hint="cs"/>
          <w:rtl/>
          <w:lang w:bidi="fa-IR"/>
        </w:rPr>
        <w:t>.</w:t>
      </w:r>
      <w:r w:rsidR="00744A1C" w:rsidRPr="00132ED1">
        <w:rPr>
          <w:rStyle w:val="libFootnoteBoldChar"/>
          <w:rtl/>
        </w:rPr>
        <w:t>الوافي</w:t>
      </w:r>
      <w:r w:rsidR="00744A1C" w:rsidRPr="00132ED1">
        <w:rPr>
          <w:rtl/>
          <w:lang w:bidi="fa-IR"/>
        </w:rPr>
        <w:t xml:space="preserve"> ، ج 15 ، ص 51 ، ح 14692 ؛ </w:t>
      </w:r>
      <w:r w:rsidR="00744A1C" w:rsidRPr="00132ED1">
        <w:rPr>
          <w:rStyle w:val="libFootnoteBoldChar"/>
          <w:rtl/>
        </w:rPr>
        <w:t>الوسائل</w:t>
      </w:r>
      <w:r w:rsidR="00744A1C" w:rsidRPr="00132ED1">
        <w:rPr>
          <w:rtl/>
          <w:lang w:bidi="fa-IR"/>
        </w:rPr>
        <w:t xml:space="preserve"> ، ج 15 ، ص 21 ، ذيل ح 19932.</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8209 / 10.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النَّبِيُّ </w:t>
      </w:r>
      <w:r w:rsidR="0017097C" w:rsidRPr="0017097C">
        <w:rPr>
          <w:rStyle w:val="libAlaemChar"/>
          <w:rtl/>
        </w:rPr>
        <w:t>صلى‌الله‌عليه‌وآله</w:t>
      </w:r>
      <w:r>
        <w:rPr>
          <w:rtl/>
          <w:lang w:bidi="fa-IR"/>
        </w:rPr>
        <w:t xml:space="preserve"> : مَنِ اغْتَابَ مُؤْمِناً غَازِياً ، أَوْ آذَاهُ </w:t>
      </w:r>
      <w:r w:rsidRPr="00D10E3C">
        <w:rPr>
          <w:rStyle w:val="libFootnotenumChar"/>
          <w:rtl/>
        </w:rPr>
        <w:t>(1)</w:t>
      </w:r>
      <w:r>
        <w:rPr>
          <w:rtl/>
          <w:lang w:bidi="fa-IR"/>
        </w:rPr>
        <w:t xml:space="preserve"> ، أَوْ خَلَفَهُ فِي أَهْلِهِ بِسُوءٍ ، نُصِبَ لَهُ </w:t>
      </w:r>
      <w:r w:rsidRPr="00D10E3C">
        <w:rPr>
          <w:rStyle w:val="libFootnotenumChar"/>
          <w:rtl/>
        </w:rPr>
        <w:t>(2)</w:t>
      </w:r>
      <w:r>
        <w:rPr>
          <w:rtl/>
          <w:lang w:bidi="fa-IR"/>
        </w:rPr>
        <w:t xml:space="preserve"> يَوْمَ الْقِيَامَةِ ، فَيَسْتَغْرِقُ </w:t>
      </w:r>
      <w:r w:rsidRPr="00D10E3C">
        <w:rPr>
          <w:rStyle w:val="libFootnotenumChar"/>
          <w:rtl/>
        </w:rPr>
        <w:t>(3)</w:t>
      </w:r>
      <w:r>
        <w:rPr>
          <w:rtl/>
          <w:lang w:bidi="fa-IR"/>
        </w:rPr>
        <w:t xml:space="preserve"> حَسَنَاتِهِ ، ثُمَّ يُرْكَسُ </w:t>
      </w:r>
      <w:r w:rsidRPr="00D10E3C">
        <w:rPr>
          <w:rStyle w:val="libFootnotenumChar"/>
          <w:rtl/>
        </w:rPr>
        <w:t>(4)</w:t>
      </w:r>
      <w:r>
        <w:rPr>
          <w:rtl/>
          <w:lang w:bidi="fa-IR"/>
        </w:rPr>
        <w:t xml:space="preserve"> فِي النَّارِ إِذَا كَانَ الْغَازِي فِي طَاعَةِ اللهِ عَزَّ وَجَلَّ ». </w:t>
      </w:r>
      <w:r w:rsidRPr="00D10E3C">
        <w:rPr>
          <w:rStyle w:val="libFootnotenumChar"/>
          <w:rtl/>
        </w:rPr>
        <w:t>(5)</w:t>
      </w:r>
    </w:p>
    <w:p w:rsidR="00144FA6" w:rsidRDefault="00744A1C" w:rsidP="00744A1C">
      <w:pPr>
        <w:pStyle w:val="libNormal"/>
        <w:rPr>
          <w:rtl/>
          <w:lang w:bidi="fa-IR"/>
        </w:rPr>
      </w:pPr>
      <w:r>
        <w:rPr>
          <w:rtl/>
          <w:lang w:bidi="fa-IR"/>
        </w:rPr>
        <w:t>8210 / 11. عَلِيُّ بْنُ إِبْرَاهِيمَ ، عَنْ أَبِيهِ ، عَنِ ابْنِ مَحْبُوبٍ رَفَعَهُ ، قَالَ :</w:t>
      </w:r>
    </w:p>
    <w:p w:rsidR="00144FA6" w:rsidRDefault="00744A1C" w:rsidP="00744A1C">
      <w:pPr>
        <w:pStyle w:val="libNormal"/>
        <w:rPr>
          <w:rtl/>
          <w:lang w:bidi="fa-IR"/>
        </w:rPr>
      </w:pPr>
      <w:r>
        <w:rPr>
          <w:rtl/>
          <w:lang w:bidi="fa-IR"/>
        </w:rPr>
        <w:t xml:space="preserve">قَالَ أَمِيرُ الْمُؤْمِنِينَ </w:t>
      </w:r>
      <w:r w:rsidR="0061079A" w:rsidRPr="0061079A">
        <w:rPr>
          <w:rStyle w:val="libAlaemChar"/>
          <w:rtl/>
        </w:rPr>
        <w:t>عليه‌السلام</w:t>
      </w:r>
      <w:r w:rsidR="00D10E3C">
        <w:rPr>
          <w:rtl/>
          <w:lang w:bidi="fa-IR"/>
        </w:rPr>
        <w:t xml:space="preserve"> </w:t>
      </w:r>
      <w:r>
        <w:rPr>
          <w:rtl/>
          <w:lang w:bidi="fa-IR"/>
        </w:rPr>
        <w:t xml:space="preserve">: « إِنَّ اللهَ - عَزَّ وَجَلَّ - فَرَضَ الْجِهَادَ وَعَظَّمَهُ ، وَجَعَلَهُ نَصْرَهُ وَنَاصِرَهُ ، وَاللهِ مَا صَلَحَتْ دُنْيَا </w:t>
      </w:r>
      <w:r w:rsidR="00132ED1">
        <w:rPr>
          <w:rtl/>
          <w:lang w:bidi="fa-IR"/>
        </w:rPr>
        <w:t>وَلَا دِينٌ إِل</w:t>
      </w:r>
      <w:r w:rsidR="00132ED1">
        <w:rPr>
          <w:rFonts w:hint="cs"/>
          <w:rtl/>
          <w:lang w:bidi="fa-IR"/>
        </w:rPr>
        <w:t>َّ</w:t>
      </w:r>
      <w:r w:rsidR="00132ED1">
        <w:rPr>
          <w:rtl/>
          <w:lang w:bidi="fa-IR"/>
        </w:rPr>
        <w:t>ا</w:t>
      </w:r>
      <w:r>
        <w:rPr>
          <w:rtl/>
          <w:lang w:bidi="fa-IR"/>
        </w:rPr>
        <w:t xml:space="preserve"> بِهِ ». </w:t>
      </w:r>
      <w:r w:rsidRPr="00D10E3C">
        <w:rPr>
          <w:rStyle w:val="libFootnotenumChar"/>
          <w:rtl/>
        </w:rPr>
        <w:t>(6)</w:t>
      </w:r>
    </w:p>
    <w:p w:rsidR="00144FA6" w:rsidRDefault="00744A1C" w:rsidP="00744A1C">
      <w:pPr>
        <w:pStyle w:val="libNormal"/>
        <w:rPr>
          <w:rtl/>
          <w:lang w:bidi="fa-IR"/>
        </w:rPr>
      </w:pPr>
      <w:r>
        <w:rPr>
          <w:rtl/>
          <w:lang w:bidi="fa-IR"/>
        </w:rPr>
        <w:t xml:space="preserve">8211 / 12. عَلِيُّ بْنُ إِبْرَاهِيمَ ، عَنْ أَبِيهِ </w:t>
      </w:r>
      <w:r w:rsidRPr="00D10E3C">
        <w:rPr>
          <w:rStyle w:val="libFootnotenumChar"/>
          <w:rtl/>
        </w:rPr>
        <w:t>(7)</w:t>
      </w:r>
      <w:r>
        <w:rPr>
          <w:rtl/>
          <w:lang w:bidi="fa-IR"/>
        </w:rPr>
        <w:t xml:space="preserve"> ، عَنْ هَارُونَ بْنِ مُسْلِمٍ </w:t>
      </w:r>
      <w:r w:rsidR="007603B6">
        <w:rPr>
          <w:rtl/>
          <w:lang w:bidi="fa-IR"/>
        </w:rPr>
        <w:t>، عَنْ مَسْعَدَةَ بْنِ صَدَقَةَ</w:t>
      </w:r>
      <w:r>
        <w:rPr>
          <w:rtl/>
          <w:lang w:bidi="fa-IR"/>
        </w:rPr>
        <w:t>:</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النَّبِيُّ </w:t>
      </w:r>
      <w:r w:rsidR="00AE01C7" w:rsidRPr="00A6581D">
        <w:rPr>
          <w:rStyle w:val="libAlaemChar"/>
          <w:rtl/>
        </w:rPr>
        <w:t>صلى‌الله‌عليه‌وآله</w:t>
      </w:r>
      <w:r w:rsidR="00D10E3C">
        <w:rPr>
          <w:rtl/>
          <w:lang w:bidi="fa-IR"/>
        </w:rPr>
        <w:t xml:space="preserve"> </w:t>
      </w:r>
      <w:r>
        <w:rPr>
          <w:rtl/>
          <w:lang w:bidi="fa-IR"/>
        </w:rPr>
        <w:t xml:space="preserve">: اغْزُوا ، تُورِثُوا أَبْنَاءَكُمْ مَجْداً ». </w:t>
      </w:r>
      <w:r w:rsidRPr="00D10E3C">
        <w:rPr>
          <w:rStyle w:val="libFootnotenumChar"/>
          <w:rtl/>
        </w:rPr>
        <w:t>(8)</w:t>
      </w:r>
    </w:p>
    <w:p w:rsidR="00144FA6" w:rsidRDefault="00744A1C" w:rsidP="00744A1C">
      <w:pPr>
        <w:pStyle w:val="libNormal"/>
        <w:rPr>
          <w:rtl/>
          <w:lang w:bidi="fa-IR"/>
        </w:rPr>
      </w:pPr>
      <w:r>
        <w:rPr>
          <w:rtl/>
          <w:lang w:bidi="fa-IR"/>
        </w:rPr>
        <w:t xml:space="preserve">8212 / 13. وَبِهذَا الْإِسْنَادِ </w:t>
      </w:r>
      <w:r w:rsidRPr="00D10E3C">
        <w:rPr>
          <w:rStyle w:val="libFootnotenumChar"/>
          <w:rtl/>
        </w:rPr>
        <w:t>(9)</w:t>
      </w:r>
      <w:r>
        <w:rPr>
          <w:rtl/>
          <w:lang w:bidi="fa-IR"/>
        </w:rPr>
        <w:t xml:space="preserve"> :</w:t>
      </w:r>
    </w:p>
    <w:p w:rsidR="00744A1C" w:rsidRDefault="00744A1C" w:rsidP="00744A1C">
      <w:pPr>
        <w:pStyle w:val="libNormal"/>
        <w:rPr>
          <w:lang w:bidi="fa-IR"/>
        </w:rPr>
      </w:pPr>
      <w:r>
        <w:rPr>
          <w:rtl/>
          <w:lang w:bidi="fa-IR"/>
        </w:rPr>
        <w:t xml:space="preserve">« أَنَّ أَبَا دُجَانَةَ الْأَنْصَارِيَّ اعْتَمَّ يَوْمَ أُحُدٍ بِعِمَامَةٍ لَهُ ، وَأَرْخى </w:t>
      </w:r>
      <w:r w:rsidRPr="00D10E3C">
        <w:rPr>
          <w:rStyle w:val="libFootnotenumChar"/>
          <w:rtl/>
        </w:rPr>
        <w:t>(10)</w:t>
      </w:r>
      <w:r>
        <w:rPr>
          <w:rtl/>
          <w:lang w:bidi="fa-IR"/>
        </w:rPr>
        <w:t xml:space="preserve"> عَذَبَةَ </w:t>
      </w:r>
      <w:r w:rsidRPr="00D10E3C">
        <w:rPr>
          <w:rStyle w:val="libFootnotenumChar"/>
          <w:rtl/>
        </w:rPr>
        <w:t>(11)</w:t>
      </w:r>
      <w:r>
        <w:rPr>
          <w:rtl/>
          <w:lang w:bidi="fa-IR"/>
        </w:rPr>
        <w:t xml:space="preserve"> الْعِمَامَةِ بَيْنَ‌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7603B6" w:rsidTr="007603B6">
        <w:tc>
          <w:tcPr>
            <w:tcW w:w="4006" w:type="dxa"/>
          </w:tcPr>
          <w:p w:rsidR="007603B6" w:rsidRDefault="007603B6" w:rsidP="00D10E3C">
            <w:pPr>
              <w:pStyle w:val="libFootnote0"/>
              <w:rPr>
                <w:rtl/>
                <w:lang w:bidi="fa-IR"/>
              </w:rPr>
            </w:pPr>
            <w:r>
              <w:rPr>
                <w:rtl/>
                <w:lang w:bidi="fa-IR"/>
              </w:rPr>
              <w:t>(1). في « بس ، بف » : « وآذاه ».</w:t>
            </w:r>
          </w:p>
        </w:tc>
        <w:tc>
          <w:tcPr>
            <w:tcW w:w="4006" w:type="dxa"/>
          </w:tcPr>
          <w:p w:rsidR="007603B6" w:rsidRDefault="007603B6" w:rsidP="00D10E3C">
            <w:pPr>
              <w:pStyle w:val="libFootnote0"/>
              <w:rPr>
                <w:rtl/>
                <w:lang w:bidi="fa-IR"/>
              </w:rPr>
            </w:pPr>
            <w:r>
              <w:rPr>
                <w:rtl/>
                <w:lang w:bidi="fa-IR"/>
              </w:rPr>
              <w:t>(2). في ثواب الأعمال : « عمله ».</w:t>
            </w:r>
          </w:p>
        </w:tc>
      </w:tr>
    </w:tbl>
    <w:p w:rsidR="00744A1C" w:rsidRDefault="00E378DD" w:rsidP="00E378DD">
      <w:pPr>
        <w:pStyle w:val="libFootnote0"/>
        <w:rPr>
          <w:lang w:bidi="fa-IR"/>
        </w:rPr>
      </w:pPr>
      <w:r>
        <w:rPr>
          <w:rtl/>
          <w:lang w:bidi="fa-IR"/>
        </w:rPr>
        <w:t>(3).</w:t>
      </w:r>
      <w:r w:rsidR="00744A1C">
        <w:rPr>
          <w:rtl/>
          <w:lang w:bidi="fa-IR"/>
        </w:rPr>
        <w:t xml:space="preserve"> في « جن » : « فتستغرق ».</w:t>
      </w:r>
    </w:p>
    <w:p w:rsidR="00744A1C" w:rsidRDefault="00E378DD" w:rsidP="00E378DD">
      <w:pPr>
        <w:pStyle w:val="libFootnote0"/>
        <w:rPr>
          <w:lang w:bidi="fa-IR"/>
        </w:rPr>
      </w:pPr>
      <w:r>
        <w:rPr>
          <w:rtl/>
          <w:lang w:bidi="fa-IR"/>
        </w:rPr>
        <w:t>(4).</w:t>
      </w:r>
      <w:r w:rsidR="00744A1C">
        <w:rPr>
          <w:rtl/>
          <w:lang w:bidi="fa-IR"/>
        </w:rPr>
        <w:t xml:space="preserve"> الركس : ردّ الشي‌ء مقلوباً ، وقد ركسه وأركسه بمعنى ، أي ردّه على رأسه وقَلَبه. راجع : </w:t>
      </w:r>
      <w:r w:rsidR="00744A1C" w:rsidRPr="00E978C3">
        <w:rPr>
          <w:rStyle w:val="libFootnoteBoldChar"/>
          <w:rtl/>
        </w:rPr>
        <w:t>الصحاح</w:t>
      </w:r>
      <w:r w:rsidR="00744A1C">
        <w:rPr>
          <w:rtl/>
          <w:lang w:bidi="fa-IR"/>
        </w:rPr>
        <w:t xml:space="preserve"> ، ج 3 ، ص 936 ( ركس ).</w:t>
      </w:r>
    </w:p>
    <w:p w:rsidR="00744A1C" w:rsidRDefault="00E378DD" w:rsidP="00E378DD">
      <w:pPr>
        <w:pStyle w:val="libFootnote0"/>
        <w:rPr>
          <w:lang w:bidi="fa-IR"/>
        </w:rPr>
      </w:pPr>
      <w:r>
        <w:rPr>
          <w:rtl/>
          <w:lang w:bidi="fa-IR"/>
        </w:rPr>
        <w:t>(5).</w:t>
      </w:r>
      <w:r w:rsidR="00744A1C">
        <w:rPr>
          <w:rtl/>
          <w:lang w:bidi="fa-IR"/>
        </w:rPr>
        <w:t xml:space="preserve"> ثواب الأعمال ، ص 256 ، ح 1 ، بسنده عن إبراهيم بن هاشم ، عن النوفلي ، عن السكوني ، عن جعفر بن محمّد ، عن أبيه </w:t>
      </w:r>
      <w:r w:rsidR="00F112A7" w:rsidRPr="00CE5A92">
        <w:rPr>
          <w:rStyle w:val="libFootnoteAlaemChar"/>
          <w:rtl/>
        </w:rPr>
        <w:t>عليهما‌السلام</w:t>
      </w:r>
      <w:r w:rsidR="00744A1C">
        <w:rPr>
          <w:rtl/>
          <w:lang w:bidi="fa-IR"/>
        </w:rPr>
        <w:t xml:space="preserve">عن رسول الله </w:t>
      </w:r>
      <w:r w:rsidR="005E465D" w:rsidRPr="00CA58C1">
        <w:rPr>
          <w:rStyle w:val="libFootnoteAlaemChar"/>
          <w:rtl/>
        </w:rPr>
        <w:t>صلى‌الله‌عليه‌وآله</w:t>
      </w:r>
      <w:r w:rsidR="00D10E3C">
        <w:rPr>
          <w:rtl/>
          <w:lang w:bidi="fa-IR"/>
        </w:rPr>
        <w:t xml:space="preserve"> </w:t>
      </w:r>
      <w:r w:rsidR="00CA58C1">
        <w:rPr>
          <w:rFonts w:hint="cs"/>
          <w:rtl/>
          <w:lang w:bidi="fa-IR"/>
        </w:rPr>
        <w:t>.</w:t>
      </w:r>
      <w:r w:rsidR="00744A1C" w:rsidRPr="00C24F9C">
        <w:rPr>
          <w:rStyle w:val="libFootnoteBoldChar"/>
          <w:rtl/>
        </w:rPr>
        <w:t>الوافي</w:t>
      </w:r>
      <w:r w:rsidR="00744A1C">
        <w:rPr>
          <w:rtl/>
          <w:lang w:bidi="fa-IR"/>
        </w:rPr>
        <w:t xml:space="preserve"> ، ج 15 ، ص 50 ، ح 14691 ؛ </w:t>
      </w:r>
      <w:r w:rsidR="00744A1C" w:rsidRPr="00C24F9C">
        <w:rPr>
          <w:rStyle w:val="libFootnoteBoldChar"/>
          <w:rtl/>
        </w:rPr>
        <w:t>الوسائل</w:t>
      </w:r>
      <w:r w:rsidR="00744A1C">
        <w:rPr>
          <w:rtl/>
          <w:lang w:bidi="fa-IR"/>
        </w:rPr>
        <w:t xml:space="preserve"> ، ج 15 ، ص 22 ، ح 19933.</w:t>
      </w:r>
    </w:p>
    <w:p w:rsidR="00744A1C" w:rsidRDefault="00E378DD" w:rsidP="00E378DD">
      <w:pPr>
        <w:pStyle w:val="libFootnote0"/>
        <w:rPr>
          <w:lang w:bidi="fa-IR"/>
        </w:rPr>
      </w:pPr>
      <w:r>
        <w:rPr>
          <w:rtl/>
          <w:lang w:bidi="fa-IR"/>
        </w:rPr>
        <w:t>(6).</w:t>
      </w:r>
      <w:r w:rsidR="00744A1C">
        <w:rPr>
          <w:rtl/>
          <w:lang w:bidi="fa-IR"/>
        </w:rPr>
        <w:t xml:space="preserve"> </w:t>
      </w:r>
      <w:r w:rsidR="00744A1C" w:rsidRPr="002D57AD">
        <w:rPr>
          <w:rStyle w:val="libFootnoteBoldChar"/>
          <w:rtl/>
        </w:rPr>
        <w:t>الإرشاد</w:t>
      </w:r>
      <w:r w:rsidR="00744A1C">
        <w:rPr>
          <w:rtl/>
          <w:lang w:bidi="fa-IR"/>
        </w:rPr>
        <w:t xml:space="preserve"> ، ج 1 ، ص 251 ضمن الحديث ، مرسلاً ، مع اختلاف يسير </w:t>
      </w:r>
      <w:r w:rsidR="006E59BC">
        <w:rPr>
          <w:rFonts w:hint="cs"/>
          <w:rtl/>
          <w:lang w:bidi="fa-IR"/>
        </w:rPr>
        <w:t>.</w:t>
      </w:r>
      <w:r w:rsidR="00744A1C" w:rsidRPr="00C24F9C">
        <w:rPr>
          <w:rStyle w:val="libFootnoteBoldChar"/>
          <w:rtl/>
        </w:rPr>
        <w:t>الوافي</w:t>
      </w:r>
      <w:r w:rsidR="00744A1C">
        <w:rPr>
          <w:rtl/>
          <w:lang w:bidi="fa-IR"/>
        </w:rPr>
        <w:t xml:space="preserve"> ، ج 15 ، ص 49 ، ح 14687 ؛ </w:t>
      </w:r>
      <w:r w:rsidR="00744A1C" w:rsidRPr="00C24F9C">
        <w:rPr>
          <w:rStyle w:val="libFootnoteBoldChar"/>
          <w:rtl/>
        </w:rPr>
        <w:t>الوسائل</w:t>
      </w:r>
      <w:r w:rsidR="00744A1C">
        <w:rPr>
          <w:rtl/>
          <w:lang w:bidi="fa-IR"/>
        </w:rPr>
        <w:t xml:space="preserve"> ، ج 15 ، ص 15 ، ح 19915.</w:t>
      </w:r>
    </w:p>
    <w:p w:rsidR="00744A1C" w:rsidRDefault="00E378DD" w:rsidP="00E378DD">
      <w:pPr>
        <w:pStyle w:val="libFootnote0"/>
        <w:rPr>
          <w:lang w:bidi="fa-IR"/>
        </w:rPr>
      </w:pPr>
      <w:r>
        <w:rPr>
          <w:rtl/>
          <w:lang w:bidi="fa-IR"/>
        </w:rPr>
        <w:t>(7).</w:t>
      </w:r>
      <w:r w:rsidR="00744A1C">
        <w:rPr>
          <w:rtl/>
          <w:lang w:bidi="fa-IR"/>
        </w:rPr>
        <w:t xml:space="preserve"> الظاهر زيادة « عن أبيه » في السند ، كما تقدّم في </w:t>
      </w:r>
      <w:r w:rsidR="00744A1C" w:rsidRPr="0061079A">
        <w:rPr>
          <w:rStyle w:val="libFootnoteBoldChar"/>
          <w:rtl/>
        </w:rPr>
        <w:t>الكافي</w:t>
      </w:r>
      <w:r w:rsidR="00744A1C">
        <w:rPr>
          <w:rtl/>
          <w:lang w:bidi="fa-IR"/>
        </w:rPr>
        <w:t xml:space="preserve"> ، ذيل ح 18 ، فلاحظ.</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15 ، ص 49 ، ح 14688 ؛ </w:t>
      </w:r>
      <w:r w:rsidR="00744A1C" w:rsidRPr="00C24F9C">
        <w:rPr>
          <w:rStyle w:val="libFootnoteBoldChar"/>
          <w:rtl/>
        </w:rPr>
        <w:t>الوسائل</w:t>
      </w:r>
      <w:r w:rsidR="00744A1C">
        <w:rPr>
          <w:rtl/>
          <w:lang w:bidi="fa-IR"/>
        </w:rPr>
        <w:t xml:space="preserve"> ، ج 15 ، ص 15 ، ح 19916.</w:t>
      </w:r>
    </w:p>
    <w:p w:rsidR="00744A1C" w:rsidRDefault="00E378DD" w:rsidP="00E378DD">
      <w:pPr>
        <w:pStyle w:val="libFootnote0"/>
        <w:rPr>
          <w:lang w:bidi="fa-IR"/>
        </w:rPr>
      </w:pPr>
      <w:r>
        <w:rPr>
          <w:rtl/>
          <w:lang w:bidi="fa-IR"/>
        </w:rPr>
        <w:t>(9).</w:t>
      </w:r>
      <w:r w:rsidR="00744A1C">
        <w:rPr>
          <w:rtl/>
          <w:lang w:bidi="fa-IR"/>
        </w:rPr>
        <w:t xml:space="preserve"> المراد من « بهذا الإسناد » هو السند المتقدّم إلى النبيّ </w:t>
      </w:r>
      <w:r w:rsidR="00E843EA" w:rsidRPr="00E843EA">
        <w:rPr>
          <w:rStyle w:val="libFootnoteAlaemChar"/>
          <w:rtl/>
        </w:rPr>
        <w:t>صلى‌الله‌عليه‌وآله</w:t>
      </w:r>
      <w:r w:rsidR="00744A1C">
        <w:rPr>
          <w:rtl/>
          <w:lang w:bidi="fa-IR"/>
        </w:rPr>
        <w:t xml:space="preserve"> .</w:t>
      </w:r>
    </w:p>
    <w:p w:rsidR="00744A1C" w:rsidRDefault="00E378DD" w:rsidP="00E378DD">
      <w:pPr>
        <w:pStyle w:val="libFootnote0"/>
        <w:rPr>
          <w:lang w:bidi="fa-IR"/>
        </w:rPr>
      </w:pPr>
      <w:r>
        <w:rPr>
          <w:rtl/>
          <w:lang w:bidi="fa-IR"/>
        </w:rPr>
        <w:t>(10).</w:t>
      </w:r>
      <w:r w:rsidR="00744A1C">
        <w:rPr>
          <w:rtl/>
          <w:lang w:bidi="fa-IR"/>
        </w:rPr>
        <w:t xml:space="preserve"> الإرخاء : الإرسال. راجع : </w:t>
      </w:r>
      <w:r w:rsidR="00744A1C" w:rsidRPr="00877682">
        <w:rPr>
          <w:rStyle w:val="libFootnoteBoldChar"/>
          <w:rtl/>
        </w:rPr>
        <w:t>لسان العرب</w:t>
      </w:r>
      <w:r w:rsidR="00744A1C">
        <w:rPr>
          <w:rtl/>
          <w:lang w:bidi="fa-IR"/>
        </w:rPr>
        <w:t xml:space="preserve"> ، ج 1 ، ص 180 ( رخا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 « عَذَبة العمامة - محرّكة - : طرفها ». في اللغة : عذبة كلّ شي‌ء : طرفه ، وعذبة العمامة : ما سدل بين الكتفين منها. راجع : تاج العروس ، ج 2 ، ص 211 ( عذب ).</w:t>
      </w:r>
    </w:p>
    <w:p w:rsidR="006A5060" w:rsidRDefault="006A5060" w:rsidP="00D10E3C">
      <w:pPr>
        <w:pStyle w:val="libNormal"/>
        <w:rPr>
          <w:rtl/>
          <w:lang w:bidi="fa-IR"/>
        </w:rPr>
      </w:pPr>
      <w:r>
        <w:rPr>
          <w:rtl/>
          <w:lang w:bidi="fa-IR"/>
        </w:rPr>
        <w:br w:type="page"/>
      </w:r>
    </w:p>
    <w:p w:rsidR="00144FA6" w:rsidRDefault="00744A1C" w:rsidP="00A6581D">
      <w:pPr>
        <w:pStyle w:val="libNormal0"/>
        <w:rPr>
          <w:rtl/>
          <w:lang w:bidi="fa-IR"/>
        </w:rPr>
      </w:pPr>
      <w:r>
        <w:rPr>
          <w:rtl/>
          <w:lang w:bidi="fa-IR"/>
        </w:rPr>
        <w:lastRenderedPageBreak/>
        <w:t xml:space="preserve">كَتِفَيْهِ حَتّى جَعَلَ يَتَبَخْتَرُ </w:t>
      </w:r>
      <w:r w:rsidRPr="00D10E3C">
        <w:rPr>
          <w:rStyle w:val="libFootnotenumChar"/>
          <w:rtl/>
        </w:rPr>
        <w:t>(1)</w:t>
      </w:r>
      <w:r>
        <w:rPr>
          <w:rtl/>
          <w:lang w:bidi="fa-IR"/>
        </w:rPr>
        <w:t xml:space="preserve"> ، فَقَالَ رَسُولُ اللهِ </w:t>
      </w:r>
      <w:r w:rsidR="00CB3856" w:rsidRPr="00CB3856">
        <w:rPr>
          <w:rStyle w:val="libAlaemChar"/>
          <w:rtl/>
        </w:rPr>
        <w:t>صلى‌الله‌عليه‌وآله</w:t>
      </w:r>
      <w:r w:rsidR="00D10E3C">
        <w:rPr>
          <w:rtl/>
          <w:lang w:bidi="fa-IR"/>
        </w:rPr>
        <w:t xml:space="preserve"> </w:t>
      </w:r>
      <w:r>
        <w:rPr>
          <w:rtl/>
          <w:lang w:bidi="fa-IR"/>
        </w:rPr>
        <w:t>: إِنَّ هذِهِ لَمِشْيَةٌ يُبْغِ</w:t>
      </w:r>
      <w:r w:rsidR="006E59BC">
        <w:rPr>
          <w:rtl/>
          <w:lang w:bidi="fa-IR"/>
        </w:rPr>
        <w:t>ضُهَا اللهُ عَزَّ وَجَلَّ إِل</w:t>
      </w:r>
      <w:r w:rsidR="006E59BC">
        <w:rPr>
          <w:rFonts w:hint="cs"/>
          <w:rtl/>
          <w:lang w:bidi="fa-IR"/>
        </w:rPr>
        <w:t>َّ</w:t>
      </w:r>
      <w:r w:rsidR="006E59BC">
        <w:rPr>
          <w:rtl/>
          <w:lang w:bidi="fa-IR"/>
        </w:rPr>
        <w:t>ا</w:t>
      </w:r>
      <w:r>
        <w:rPr>
          <w:rtl/>
          <w:lang w:bidi="fa-IR"/>
        </w:rPr>
        <w:t xml:space="preserve"> عِنْدَ الْقِتَالِ فِي سَبِيلِ اللهِ ». </w:t>
      </w:r>
      <w:r w:rsidRPr="00D10E3C">
        <w:rPr>
          <w:rStyle w:val="libFootnotenumChar"/>
          <w:rtl/>
        </w:rPr>
        <w:t>(2)</w:t>
      </w:r>
    </w:p>
    <w:p w:rsidR="00144FA6" w:rsidRDefault="00744A1C" w:rsidP="00744A1C">
      <w:pPr>
        <w:pStyle w:val="libNormal"/>
        <w:rPr>
          <w:rtl/>
          <w:lang w:bidi="fa-IR"/>
        </w:rPr>
      </w:pPr>
      <w:r>
        <w:rPr>
          <w:rtl/>
          <w:lang w:bidi="fa-IR"/>
        </w:rPr>
        <w:t xml:space="preserve">8213 / 14. عَلِيٌّ </w:t>
      </w:r>
      <w:r w:rsidRPr="00D10E3C">
        <w:rPr>
          <w:rStyle w:val="libFootnotenumChar"/>
          <w:rtl/>
        </w:rPr>
        <w:t>(3)</w:t>
      </w:r>
      <w:r>
        <w:rPr>
          <w:rtl/>
          <w:lang w:bidi="fa-IR"/>
        </w:rPr>
        <w:t xml:space="preserve">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5E465D" w:rsidRPr="005E465D">
        <w:rPr>
          <w:rStyle w:val="libAlaemChar"/>
          <w:rtl/>
        </w:rPr>
        <w:t>صلى‌الله‌عليه‌وآله</w:t>
      </w:r>
      <w:r w:rsidR="00D10E3C">
        <w:rPr>
          <w:rtl/>
          <w:lang w:bidi="fa-IR"/>
        </w:rPr>
        <w:t xml:space="preserve"> </w:t>
      </w:r>
      <w:r>
        <w:rPr>
          <w:rtl/>
          <w:lang w:bidi="fa-IR"/>
        </w:rPr>
        <w:t xml:space="preserve">: جَاهِدُوا ، تَغْنَمُوا ». </w:t>
      </w:r>
      <w:r w:rsidRPr="00D10E3C">
        <w:rPr>
          <w:rStyle w:val="libFootnotenumChar"/>
          <w:rtl/>
        </w:rPr>
        <w:t>(4)</w:t>
      </w:r>
    </w:p>
    <w:p w:rsidR="00144FA6" w:rsidRDefault="00744A1C" w:rsidP="00744A1C">
      <w:pPr>
        <w:pStyle w:val="libNormal"/>
        <w:rPr>
          <w:rtl/>
          <w:lang w:bidi="fa-IR"/>
        </w:rPr>
      </w:pPr>
      <w:r>
        <w:rPr>
          <w:rtl/>
          <w:lang w:bidi="fa-IR"/>
        </w:rPr>
        <w:t>8214 / 15. مُحَمَّدُ بْنُ يَحْيى ، عَنْ أَحْمَدَ بْنِ مُحَمَّدٍ ، عَنِ الْحَجَّالِ ، عَنْ ثَعْلَبَةَ ، عَنْ مَعْمَرٍ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قَالَ : « الْخَيْرُ كُلُّهُ فِي السَّيْفِ ، وَتَحْتَ السَّيْفِ ، وَفِي ظِلِّ السَّيْفِ ».</w:t>
      </w:r>
    </w:p>
    <w:p w:rsidR="00144FA6" w:rsidRDefault="00744A1C" w:rsidP="00744A1C">
      <w:pPr>
        <w:pStyle w:val="libNormal"/>
        <w:rPr>
          <w:rtl/>
          <w:lang w:bidi="fa-IR"/>
        </w:rPr>
      </w:pPr>
      <w:r>
        <w:rPr>
          <w:rtl/>
          <w:lang w:bidi="fa-IR"/>
        </w:rPr>
        <w:t xml:space="preserve">قَالَ : وَسَمِعْتُهُ يَقُولُ : « إِنَّ </w:t>
      </w:r>
      <w:r w:rsidRPr="00D10E3C">
        <w:rPr>
          <w:rStyle w:val="libFootnotenumChar"/>
          <w:rtl/>
        </w:rPr>
        <w:t>(5)</w:t>
      </w:r>
      <w:r>
        <w:rPr>
          <w:rtl/>
          <w:lang w:bidi="fa-IR"/>
        </w:rPr>
        <w:t xml:space="preserve"> الْخَيْرَ كُلَّ الْخَيْرِ مَعْقُودٌ فِي نَوَاصِي </w:t>
      </w:r>
      <w:r w:rsidRPr="00D10E3C">
        <w:rPr>
          <w:rStyle w:val="libFootnotenumChar"/>
          <w:rtl/>
        </w:rPr>
        <w:t>(6)</w:t>
      </w:r>
      <w:r>
        <w:rPr>
          <w:rtl/>
          <w:lang w:bidi="fa-IR"/>
        </w:rPr>
        <w:t xml:space="preserve"> الْخَيْلِ إِلى يَوْمِ الْقِيَامَةِ</w:t>
      </w:r>
      <w:r w:rsidRPr="00D10E3C">
        <w:rPr>
          <w:rStyle w:val="libFootnotenumChar"/>
          <w:rtl/>
        </w:rPr>
        <w:t>(7)</w:t>
      </w:r>
      <w:r>
        <w:rPr>
          <w:rtl/>
          <w:lang w:bidi="fa-IR"/>
        </w:rPr>
        <w:t>».</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يتبختر » أي يمشي مشية المتكبّر المعجب بنفسه. راجع : </w:t>
      </w:r>
      <w:r w:rsidR="00744A1C" w:rsidRPr="00877682">
        <w:rPr>
          <w:rStyle w:val="libFootnoteBoldChar"/>
          <w:rtl/>
        </w:rPr>
        <w:t>النهاية</w:t>
      </w:r>
      <w:r w:rsidR="00744A1C">
        <w:rPr>
          <w:rtl/>
          <w:lang w:bidi="fa-IR"/>
        </w:rPr>
        <w:t xml:space="preserve"> ، ج 1 ، ص 101 ( بختر ).</w:t>
      </w:r>
    </w:p>
    <w:p w:rsidR="00744A1C" w:rsidRDefault="00E378DD" w:rsidP="00E378DD">
      <w:pPr>
        <w:pStyle w:val="libFootnote0"/>
        <w:rPr>
          <w:lang w:bidi="fa-IR"/>
        </w:rPr>
      </w:pPr>
      <w:r>
        <w:rPr>
          <w:rtl/>
          <w:lang w:bidi="fa-IR"/>
        </w:rPr>
        <w:t>(2).</w:t>
      </w:r>
      <w:r w:rsidR="00744A1C">
        <w:rPr>
          <w:rtl/>
          <w:lang w:bidi="fa-IR"/>
        </w:rPr>
        <w:t xml:space="preserve"> </w:t>
      </w:r>
      <w:r w:rsidR="00744A1C" w:rsidRPr="00877682">
        <w:rPr>
          <w:rStyle w:val="libFootnoteBoldChar"/>
          <w:rtl/>
        </w:rPr>
        <w:t>الجعفريّات</w:t>
      </w:r>
      <w:r w:rsidR="00744A1C">
        <w:rPr>
          <w:rtl/>
          <w:lang w:bidi="fa-IR"/>
        </w:rPr>
        <w:t xml:space="preserve"> ، ص 77 ، بسند آخر عن جعفر بن محمّد ، عن آبائه ، عن عليّ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يسير </w:t>
      </w:r>
      <w:r w:rsidR="00C25EAC">
        <w:rPr>
          <w:rFonts w:hint="cs"/>
          <w:rtl/>
          <w:lang w:bidi="fa-IR"/>
        </w:rPr>
        <w:t>.</w:t>
      </w:r>
      <w:r w:rsidR="00744A1C" w:rsidRPr="00C24F9C">
        <w:rPr>
          <w:rStyle w:val="libFootnoteBoldChar"/>
          <w:rtl/>
        </w:rPr>
        <w:t>الوافي</w:t>
      </w:r>
      <w:r w:rsidR="00744A1C">
        <w:rPr>
          <w:rtl/>
          <w:lang w:bidi="fa-IR"/>
        </w:rPr>
        <w:t xml:space="preserve"> ، ج 15 ، ص 50 ، ح 14689 ؛ </w:t>
      </w:r>
      <w:r w:rsidR="00744A1C" w:rsidRPr="00C24F9C">
        <w:rPr>
          <w:rStyle w:val="libFootnoteBoldChar"/>
          <w:rtl/>
        </w:rPr>
        <w:t>الوسائل</w:t>
      </w:r>
      <w:r w:rsidR="00744A1C">
        <w:rPr>
          <w:rtl/>
          <w:lang w:bidi="fa-IR"/>
        </w:rPr>
        <w:t xml:space="preserve"> ، ج 15 ، ص 15 ، ح 19917 ؛ </w:t>
      </w:r>
      <w:r w:rsidR="00744A1C" w:rsidRPr="0061079A">
        <w:rPr>
          <w:rStyle w:val="libFootnoteBoldChar"/>
          <w:rtl/>
        </w:rPr>
        <w:t>البحار</w:t>
      </w:r>
      <w:r w:rsidR="00744A1C">
        <w:rPr>
          <w:rtl/>
          <w:lang w:bidi="fa-IR"/>
        </w:rPr>
        <w:t xml:space="preserve"> ، ج 20 ، ص 116 ، ح 46.</w:t>
      </w:r>
    </w:p>
    <w:p w:rsidR="00744A1C" w:rsidRDefault="00E378DD" w:rsidP="00E378DD">
      <w:pPr>
        <w:pStyle w:val="libFootnote0"/>
        <w:rPr>
          <w:lang w:bidi="fa-IR"/>
        </w:rPr>
      </w:pPr>
      <w:r>
        <w:rPr>
          <w:rtl/>
          <w:lang w:bidi="fa-IR"/>
        </w:rPr>
        <w:t>(3).</w:t>
      </w:r>
      <w:r w:rsidR="00744A1C">
        <w:rPr>
          <w:rtl/>
          <w:lang w:bidi="fa-IR"/>
        </w:rPr>
        <w:t xml:space="preserve"> في « بس » : + « بن إبراهيم ».</w:t>
      </w:r>
    </w:p>
    <w:p w:rsidR="00744A1C" w:rsidRDefault="00E378DD" w:rsidP="00442620">
      <w:pPr>
        <w:pStyle w:val="libFootnote0"/>
        <w:rPr>
          <w:lang w:bidi="fa-IR"/>
        </w:rPr>
      </w:pPr>
      <w:r>
        <w:rPr>
          <w:rtl/>
          <w:lang w:bidi="fa-IR"/>
        </w:rPr>
        <w:t>(4).</w:t>
      </w:r>
      <w:r w:rsidR="00744A1C">
        <w:rPr>
          <w:rtl/>
          <w:lang w:bidi="fa-IR"/>
        </w:rPr>
        <w:t xml:space="preserve"> </w:t>
      </w:r>
      <w:r w:rsidR="00744A1C" w:rsidRPr="003A7143">
        <w:rPr>
          <w:rStyle w:val="libFootnoteBoldChar"/>
          <w:rtl/>
        </w:rPr>
        <w:t>المحاسن</w:t>
      </w:r>
      <w:r w:rsidR="00744A1C">
        <w:rPr>
          <w:rtl/>
          <w:lang w:bidi="fa-IR"/>
        </w:rPr>
        <w:t xml:space="preserve"> ، ص 345 ، كتاب السفر ، ضمن ح 2 ، عن النوفلي ، عن السكوني ، عن أبي عبد الله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w:t>
      </w:r>
      <w:r w:rsidR="00744A1C" w:rsidRPr="00C24F9C">
        <w:rPr>
          <w:rStyle w:val="libFootnoteBoldChar"/>
          <w:rtl/>
        </w:rPr>
        <w:t>الفقيه</w:t>
      </w:r>
      <w:r w:rsidR="00744A1C">
        <w:rPr>
          <w:rtl/>
          <w:lang w:bidi="fa-IR"/>
        </w:rPr>
        <w:t xml:space="preserve"> ، ج 2 ، ص 265 ، ح 2387 ، معلّقاً عن السكوني بإسناده عن رسول الله </w:t>
      </w:r>
      <w:r w:rsidR="00024D6D" w:rsidRPr="00024D6D">
        <w:rPr>
          <w:rStyle w:val="libFootnoteAlaemChar"/>
          <w:rtl/>
        </w:rPr>
        <w:t>صلى‌الله‌عليه‌وآله</w:t>
      </w:r>
      <w:r w:rsidR="00D10E3C">
        <w:rPr>
          <w:rtl/>
          <w:lang w:bidi="fa-IR"/>
        </w:rPr>
        <w:t xml:space="preserve"> </w:t>
      </w:r>
      <w:r w:rsidR="00744A1C">
        <w:rPr>
          <w:rtl/>
          <w:lang w:bidi="fa-IR"/>
        </w:rPr>
        <w:t xml:space="preserve">، وتمام الرواية فيهما : « سافروا تصحّوا ، وجاهدوا تغنموا ، وحجّوا تستغنوا » </w:t>
      </w:r>
      <w:r w:rsidR="00442620">
        <w:rPr>
          <w:rFonts w:hint="cs"/>
          <w:rtl/>
          <w:lang w:bidi="fa-IR"/>
        </w:rPr>
        <w:t>.</w:t>
      </w:r>
      <w:r w:rsidR="00744A1C" w:rsidRPr="00C24F9C">
        <w:rPr>
          <w:rStyle w:val="libFootnoteBoldChar"/>
          <w:rtl/>
        </w:rPr>
        <w:t>الوافي</w:t>
      </w:r>
      <w:r w:rsidR="00744A1C">
        <w:rPr>
          <w:rtl/>
          <w:lang w:bidi="fa-IR"/>
        </w:rPr>
        <w:t xml:space="preserve"> ، ج 15 ، ص 44 ، ح 14682 ؛ </w:t>
      </w:r>
      <w:r w:rsidR="00744A1C" w:rsidRPr="00C24F9C">
        <w:rPr>
          <w:rStyle w:val="libFootnoteBoldChar"/>
          <w:rtl/>
        </w:rPr>
        <w:t>الوسائل</w:t>
      </w:r>
      <w:r w:rsidR="00744A1C">
        <w:rPr>
          <w:rtl/>
          <w:lang w:bidi="fa-IR"/>
        </w:rPr>
        <w:t xml:space="preserve"> ، ج 15 ، ص 11 ، ح 19905.</w:t>
      </w:r>
      <w:r w:rsidR="00442620">
        <w:rPr>
          <w:rFonts w:hint="cs"/>
          <w:rtl/>
          <w:lang w:bidi="fa-IR"/>
        </w:rPr>
        <w:t xml:space="preserve">          </w:t>
      </w:r>
      <w:r>
        <w:rPr>
          <w:rtl/>
          <w:lang w:bidi="fa-IR"/>
        </w:rPr>
        <w:t>(5).</w:t>
      </w:r>
      <w:r w:rsidR="00744A1C">
        <w:rPr>
          <w:rtl/>
          <w:lang w:bidi="fa-IR"/>
        </w:rPr>
        <w:t xml:space="preserve"> في « بث » : - « إنّ ».</w:t>
      </w:r>
    </w:p>
    <w:p w:rsidR="00744A1C" w:rsidRDefault="00E378DD" w:rsidP="00E378DD">
      <w:pPr>
        <w:pStyle w:val="libFootnote0"/>
        <w:rPr>
          <w:lang w:bidi="fa-IR"/>
        </w:rPr>
      </w:pPr>
      <w:r>
        <w:rPr>
          <w:rtl/>
          <w:lang w:bidi="fa-IR"/>
        </w:rPr>
        <w:t>(6).</w:t>
      </w:r>
      <w:r w:rsidR="00744A1C">
        <w:rPr>
          <w:rtl/>
          <w:lang w:bidi="fa-IR"/>
        </w:rPr>
        <w:t xml:space="preserve"> النواصي جمع الناصية ، وهي قُصاص الشَّعْر في مقدّم الرأس. راجع : </w:t>
      </w:r>
      <w:r w:rsidR="00744A1C" w:rsidRPr="00877682">
        <w:rPr>
          <w:rStyle w:val="libFootnoteBoldChar"/>
          <w:rtl/>
        </w:rPr>
        <w:t>لسان العرب</w:t>
      </w:r>
      <w:r w:rsidR="00A6581D">
        <w:rPr>
          <w:rtl/>
          <w:lang w:bidi="fa-IR"/>
        </w:rPr>
        <w:t xml:space="preserve"> ، ج 15 ، ص 327 (نصو</w:t>
      </w:r>
      <w:r w:rsidR="00744A1C">
        <w:rPr>
          <w:rtl/>
          <w:lang w:bidi="fa-IR"/>
        </w:rPr>
        <w:t>).</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إنّما كان الخير معقوداً في نواصي الخيل لما قلناه في السيف ؛ فإنّ أكثره كان مشتركاً مع ما يخصّ الخيل من الخيرات ».</w:t>
      </w:r>
    </w:p>
    <w:p w:rsidR="00144FA6" w:rsidRDefault="00E378DD" w:rsidP="00E378DD">
      <w:pPr>
        <w:pStyle w:val="libFootnote0"/>
        <w:rPr>
          <w:rtl/>
          <w:lang w:bidi="fa-IR"/>
        </w:rPr>
      </w:pPr>
      <w:r>
        <w:rPr>
          <w:rtl/>
          <w:lang w:bidi="fa-IR"/>
        </w:rPr>
        <w:t>(8).</w:t>
      </w:r>
      <w:r w:rsidR="00744A1C">
        <w:rPr>
          <w:rtl/>
          <w:lang w:bidi="fa-IR"/>
        </w:rPr>
        <w:t xml:space="preserve"> </w:t>
      </w:r>
      <w:r w:rsidR="00744A1C" w:rsidRPr="0061079A">
        <w:rPr>
          <w:rStyle w:val="libFootnoteBoldChar"/>
          <w:rtl/>
        </w:rPr>
        <w:t>الكافي</w:t>
      </w:r>
      <w:r w:rsidR="00744A1C">
        <w:rPr>
          <w:rtl/>
          <w:lang w:bidi="fa-IR"/>
        </w:rPr>
        <w:t xml:space="preserve"> ، كتاب الجهاد ، باب فضل ارتباط الخيل وإجرائها والرمي ، ح 8285 ؛ و</w:t>
      </w:r>
      <w:r w:rsidR="00744A1C" w:rsidRPr="003A7143">
        <w:rPr>
          <w:rStyle w:val="libFootnoteBoldChar"/>
          <w:rtl/>
        </w:rPr>
        <w:t>المحاسن</w:t>
      </w:r>
      <w:r w:rsidR="00744A1C">
        <w:rPr>
          <w:rtl/>
          <w:lang w:bidi="fa-IR"/>
        </w:rPr>
        <w:t xml:space="preserve"> ، ص 630 ، كتاب المرافق ، ح 111 ، بسندهما عن ثعلبة. </w:t>
      </w:r>
      <w:r w:rsidR="00744A1C" w:rsidRPr="003A7143">
        <w:rPr>
          <w:rStyle w:val="libFootnoteBoldChar"/>
          <w:rtl/>
        </w:rPr>
        <w:t>المحاسن</w:t>
      </w:r>
      <w:r w:rsidR="00744A1C">
        <w:rPr>
          <w:rtl/>
          <w:lang w:bidi="fa-IR"/>
        </w:rPr>
        <w:t xml:space="preserve"> ، ص 630 ، ح 110 ، بسند آخر عن أبي جعفر وأبي عبد الله </w:t>
      </w:r>
      <w:r w:rsidR="00F112A7" w:rsidRPr="00CE5A92">
        <w:rPr>
          <w:rStyle w:val="libFootnoteAlaemChar"/>
          <w:rtl/>
        </w:rPr>
        <w:t>عليهما‌السلام</w:t>
      </w:r>
      <w:r w:rsidR="00744A1C">
        <w:rPr>
          <w:rtl/>
          <w:lang w:bidi="fa-IR"/>
        </w:rPr>
        <w:t xml:space="preserve">عن رسول الله </w:t>
      </w:r>
      <w:r w:rsidR="0061079A" w:rsidRPr="0061079A">
        <w:rPr>
          <w:rStyle w:val="libFootnoteAlaemChar"/>
          <w:rtl/>
        </w:rPr>
        <w:t>صلى‌الله‌عليه‌وآله</w:t>
      </w:r>
      <w:r w:rsidR="00744A1C">
        <w:rPr>
          <w:rtl/>
          <w:lang w:bidi="fa-IR"/>
        </w:rPr>
        <w:t xml:space="preserve"> . وفي </w:t>
      </w:r>
      <w:r w:rsidR="00744A1C" w:rsidRPr="0061079A">
        <w:rPr>
          <w:rStyle w:val="libFootnoteBoldChar"/>
          <w:rtl/>
        </w:rPr>
        <w:t>الكافي</w:t>
      </w:r>
      <w:r w:rsidR="00744A1C">
        <w:rPr>
          <w:rtl/>
          <w:lang w:bidi="fa-IR"/>
        </w:rPr>
        <w:t xml:space="preserve"> ، كتاب الجهاد ، باب فضل ارتباط الخيل وإجرائها والرمي ، ح 8284 ؛ و</w:t>
      </w:r>
      <w:r w:rsidR="00744A1C" w:rsidRPr="003A7143">
        <w:rPr>
          <w:rStyle w:val="libFootnoteBoldChar"/>
          <w:rtl/>
        </w:rPr>
        <w:t>المحاسن</w:t>
      </w:r>
      <w:r w:rsidR="00744A1C">
        <w:rPr>
          <w:rtl/>
          <w:lang w:bidi="fa-IR"/>
        </w:rPr>
        <w:t xml:space="preserve"> ، ص 631 ، كتاب المرافق ، ح 112 ؛ </w:t>
      </w:r>
      <w:r w:rsidR="00744A1C" w:rsidRPr="004D054E">
        <w:rPr>
          <w:rStyle w:val="libFootnoteBoldChar"/>
          <w:rtl/>
        </w:rPr>
        <w:t>وثواب الأعمال</w:t>
      </w:r>
      <w:r w:rsidR="00744A1C">
        <w:rPr>
          <w:rtl/>
          <w:lang w:bidi="fa-IR"/>
        </w:rPr>
        <w:t xml:space="preserve"> ، ص 226 ، ح 2 ، بسند آخر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4D054E" w:rsidRPr="00EE40F1">
        <w:rPr>
          <w:rStyle w:val="libFootnoteAlaemChar"/>
          <w:rtl/>
        </w:rPr>
        <w:t>صلى‌الله‌عليه‌وآله</w:t>
      </w:r>
      <w:r w:rsidR="00744A1C">
        <w:rPr>
          <w:rtl/>
          <w:lang w:bidi="fa-IR"/>
        </w:rPr>
        <w:t xml:space="preserve"> . </w:t>
      </w:r>
      <w:r w:rsidR="00744A1C" w:rsidRPr="00877682">
        <w:rPr>
          <w:rStyle w:val="libFootnoteBoldChar"/>
          <w:rtl/>
        </w:rPr>
        <w:t>الجعفريّات</w:t>
      </w:r>
      <w:r w:rsidR="00744A1C">
        <w:rPr>
          <w:rtl/>
          <w:lang w:bidi="fa-IR"/>
        </w:rPr>
        <w:t xml:space="preserve"> ، ص 87 ، ضمن الحديث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4D054E" w:rsidRPr="00EE40F1">
        <w:rPr>
          <w:rStyle w:val="libFootnoteAlaemChar"/>
          <w:rtl/>
        </w:rPr>
        <w:t>صلى‌الله‌عليه‌وآله</w:t>
      </w:r>
      <w:r w:rsidR="00744A1C">
        <w:rPr>
          <w:rtl/>
          <w:lang w:bidi="fa-IR"/>
        </w:rPr>
        <w:t xml:space="preserve"> . </w:t>
      </w:r>
      <w:r w:rsidR="00744A1C" w:rsidRPr="000B1C3F">
        <w:rPr>
          <w:rStyle w:val="libFootnoteBoldChar"/>
          <w:rtl/>
        </w:rPr>
        <w:t>الأمالي للطوسي</w:t>
      </w:r>
      <w:r w:rsidR="00744A1C">
        <w:rPr>
          <w:rtl/>
          <w:lang w:bidi="fa-IR"/>
        </w:rPr>
        <w:t xml:space="preserve"> ، ص 383 ، المجلس 13 ، ح 81 ، بسند آخر عن عليّ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4D054E" w:rsidRPr="00EE40F1">
        <w:rPr>
          <w:rStyle w:val="libFootnoteAlaemChar"/>
          <w:rtl/>
        </w:rPr>
        <w:t>صلى‌الله‌عليه‌وآله</w:t>
      </w:r>
      <w:r w:rsidR="00D10E3C">
        <w:rPr>
          <w:rtl/>
          <w:lang w:bidi="fa-IR"/>
        </w:rPr>
        <w:t xml:space="preserve"> </w:t>
      </w:r>
      <w:r w:rsidR="00744A1C">
        <w:rPr>
          <w:rtl/>
          <w:lang w:bidi="fa-IR"/>
        </w:rPr>
        <w:t>، مع</w:t>
      </w:r>
      <w:r w:rsidR="00DD3B0B">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AF2D8E">
      <w:pPr>
        <w:pStyle w:val="Heading2Center"/>
        <w:rPr>
          <w:lang w:bidi="fa-IR"/>
        </w:rPr>
      </w:pPr>
      <w:bookmarkStart w:id="90" w:name="_Toc49261388"/>
      <w:r>
        <w:rPr>
          <w:rtl/>
          <w:lang w:bidi="fa-IR"/>
        </w:rPr>
        <w:lastRenderedPageBreak/>
        <w:t>2 - بَابُ جِهَادِ الرَّجُلِ وَالْمَرْأَةِ‌</w:t>
      </w:r>
      <w:bookmarkEnd w:id="90"/>
    </w:p>
    <w:p w:rsidR="00144FA6" w:rsidRDefault="00744A1C" w:rsidP="00744A1C">
      <w:pPr>
        <w:pStyle w:val="libNormal"/>
        <w:rPr>
          <w:rtl/>
          <w:lang w:bidi="fa-IR"/>
        </w:rPr>
      </w:pPr>
      <w:r>
        <w:rPr>
          <w:rtl/>
          <w:lang w:bidi="fa-IR"/>
        </w:rPr>
        <w:t xml:space="preserve">8215 / 1. عَلِيُّ بْنُ إِبْرَاهِيمَ ، عَنْ أَبِيهِ ، عَنْ أَبِي الْجَوْزَاءِ ، عَنِ الْحُسَيْنِ بْنِ عُلْوَانَ ، عَنْ سَعْدِ بْنِ طَرِيفٍ </w:t>
      </w:r>
      <w:r w:rsidRPr="00D10E3C">
        <w:rPr>
          <w:rStyle w:val="libFootnotenumChar"/>
          <w:rtl/>
        </w:rPr>
        <w:t>(1)</w:t>
      </w:r>
      <w:r>
        <w:rPr>
          <w:rtl/>
          <w:lang w:bidi="fa-IR"/>
        </w:rPr>
        <w:t xml:space="preserve"> ، عَنِ الْأَصْبَغِ بْنِ نُبَاتَةَ ، قَالَ :</w:t>
      </w:r>
    </w:p>
    <w:p w:rsidR="00144FA6" w:rsidRDefault="00744A1C" w:rsidP="00744A1C">
      <w:pPr>
        <w:pStyle w:val="libNormal"/>
        <w:rPr>
          <w:rtl/>
          <w:lang w:bidi="fa-IR"/>
        </w:rPr>
      </w:pPr>
      <w:r>
        <w:rPr>
          <w:rtl/>
          <w:lang w:bidi="fa-IR"/>
        </w:rPr>
        <w:t xml:space="preserve">قَالَ أَمِيرُ الْمُؤْمِنِينَ </w:t>
      </w:r>
      <w:r w:rsidR="0061079A" w:rsidRPr="0061079A">
        <w:rPr>
          <w:rStyle w:val="libAlaemChar"/>
          <w:rtl/>
        </w:rPr>
        <w:t>عليه‌السلام</w:t>
      </w:r>
      <w:r w:rsidR="00D10E3C">
        <w:rPr>
          <w:rtl/>
          <w:lang w:bidi="fa-IR"/>
        </w:rPr>
        <w:t xml:space="preserve"> </w:t>
      </w:r>
      <w:r>
        <w:rPr>
          <w:rtl/>
          <w:lang w:bidi="fa-IR"/>
        </w:rPr>
        <w:t xml:space="preserve">: « كَتَبَ اللهُ الْجِهَادَ عَلَى الرِّجَالِ وَالنِّسَاءِ ، فَجِهَادُ الرَّجُلِ بَذْلُ </w:t>
      </w:r>
      <w:r w:rsidRPr="00D10E3C">
        <w:rPr>
          <w:rStyle w:val="libFootnotenumChar"/>
          <w:rtl/>
        </w:rPr>
        <w:t>(2)</w:t>
      </w:r>
      <w:r>
        <w:rPr>
          <w:rtl/>
          <w:lang w:bidi="fa-IR"/>
        </w:rPr>
        <w:t xml:space="preserve"> مَالِهِ وَنَفْسِهِ حَتّى يُقْتَلَ فِي سَبِيلِ اللهِ ، وَجِهَادُ الْمَرْأَةِ أَنْ </w:t>
      </w:r>
      <w:r w:rsidRPr="00D10E3C">
        <w:rPr>
          <w:rStyle w:val="libFootnotenumChar"/>
          <w:rtl/>
        </w:rPr>
        <w:t>(3)</w:t>
      </w:r>
      <w:r>
        <w:rPr>
          <w:rtl/>
          <w:lang w:bidi="fa-IR"/>
        </w:rPr>
        <w:t xml:space="preserve"> تَصْبِرَ عَلى مَا تَرى مِنْ أَذى زَوْجِهَا وَغَيْرَتِهِ ». </w:t>
      </w:r>
      <w:r w:rsidRPr="00D10E3C">
        <w:rPr>
          <w:rStyle w:val="libFootnotenumChar"/>
          <w:rtl/>
        </w:rPr>
        <w:t>(4)</w:t>
      </w:r>
    </w:p>
    <w:p w:rsidR="00144FA6" w:rsidRDefault="00744A1C" w:rsidP="00744A1C">
      <w:pPr>
        <w:pStyle w:val="libNormal"/>
        <w:rPr>
          <w:rtl/>
          <w:lang w:bidi="fa-IR"/>
        </w:rPr>
      </w:pPr>
      <w:r>
        <w:rPr>
          <w:rtl/>
          <w:lang w:bidi="fa-IR"/>
        </w:rPr>
        <w:t xml:space="preserve">8216 / 2. وَفِي حَدِيثٍ آخَرَ : « جِهَادُ </w:t>
      </w:r>
      <w:r w:rsidRPr="00D10E3C">
        <w:rPr>
          <w:rStyle w:val="libFootnotenumChar"/>
          <w:rtl/>
        </w:rPr>
        <w:t>(5)</w:t>
      </w:r>
      <w:r>
        <w:rPr>
          <w:rtl/>
          <w:lang w:bidi="fa-IR"/>
        </w:rPr>
        <w:t xml:space="preserve"> الْمَرْأَةِ حُسْنُ التَّبَعُّلِ </w:t>
      </w:r>
      <w:r w:rsidRPr="00D10E3C">
        <w:rPr>
          <w:rStyle w:val="libFootnotenumChar"/>
          <w:rtl/>
        </w:rPr>
        <w:t>(6)</w:t>
      </w:r>
      <w:r>
        <w:rPr>
          <w:rtl/>
          <w:lang w:bidi="fa-IR"/>
        </w:rPr>
        <w:t xml:space="preserve">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AF2D8E" w:rsidP="00D10E3C">
      <w:pPr>
        <w:pStyle w:val="libFootnote0"/>
        <w:rPr>
          <w:lang w:bidi="fa-IR"/>
        </w:rPr>
      </w:pPr>
      <w:r>
        <w:rPr>
          <w:rFonts w:hint="cs"/>
          <w:rtl/>
          <w:lang w:bidi="fa-IR"/>
        </w:rPr>
        <w:t xml:space="preserve">= </w:t>
      </w:r>
      <w:r w:rsidR="00744A1C">
        <w:rPr>
          <w:rtl/>
          <w:lang w:bidi="fa-IR"/>
        </w:rPr>
        <w:t xml:space="preserve">زيادة في آخره. </w:t>
      </w:r>
      <w:r w:rsidR="00744A1C" w:rsidRPr="00C24F9C">
        <w:rPr>
          <w:rStyle w:val="libFootnoteBoldChar"/>
          <w:rtl/>
        </w:rPr>
        <w:t>الفقيه</w:t>
      </w:r>
      <w:r w:rsidR="00744A1C">
        <w:rPr>
          <w:rtl/>
          <w:lang w:bidi="fa-IR"/>
        </w:rPr>
        <w:t xml:space="preserve"> ، ج 2 ، ص 283 ، ح 2459 ، مرسلاً عن رسول الله </w:t>
      </w:r>
      <w:r w:rsidR="00F90866" w:rsidRPr="00F90866">
        <w:rPr>
          <w:rStyle w:val="libFootnoteAlaemChar"/>
          <w:rtl/>
        </w:rPr>
        <w:t>صلى‌الله‌عليه‌وآله</w:t>
      </w:r>
      <w:r w:rsidR="00744A1C">
        <w:rPr>
          <w:rtl/>
          <w:lang w:bidi="fa-IR"/>
        </w:rPr>
        <w:t xml:space="preserve"> ، مع زيادة في آخره ، وفي كلّ المصادر من قوله : « إنّ الخير كلّ الخير معقود » مع اختلاف يسير. وراجع : </w:t>
      </w:r>
      <w:r w:rsidR="00744A1C" w:rsidRPr="0061079A">
        <w:rPr>
          <w:rStyle w:val="libFootnoteBoldChar"/>
          <w:rtl/>
        </w:rPr>
        <w:t>الكافي</w:t>
      </w:r>
      <w:r w:rsidR="00744A1C">
        <w:rPr>
          <w:rtl/>
          <w:lang w:bidi="fa-IR"/>
        </w:rPr>
        <w:t xml:space="preserve"> ، كتاب الجهاد ، باب فضل الجهاد ، ح 8200 ومصادره </w:t>
      </w:r>
      <w:r w:rsidR="00012577">
        <w:rPr>
          <w:rFonts w:hint="cs"/>
          <w:rtl/>
          <w:lang w:bidi="fa-IR"/>
        </w:rPr>
        <w:t>.</w:t>
      </w:r>
      <w:r w:rsidR="00744A1C" w:rsidRPr="00C24F9C">
        <w:rPr>
          <w:rStyle w:val="libFootnoteBoldChar"/>
          <w:rtl/>
        </w:rPr>
        <w:t>الوافي</w:t>
      </w:r>
      <w:r w:rsidR="00744A1C">
        <w:rPr>
          <w:rtl/>
          <w:lang w:bidi="fa-IR"/>
        </w:rPr>
        <w:t xml:space="preserve"> ، ج 15 ، ص 43 ، ح 14681 ؛ </w:t>
      </w:r>
      <w:r w:rsidR="00744A1C" w:rsidRPr="00C24F9C">
        <w:rPr>
          <w:rStyle w:val="libFootnoteBoldChar"/>
          <w:rtl/>
        </w:rPr>
        <w:t>الوسائل</w:t>
      </w:r>
      <w:r w:rsidR="00744A1C">
        <w:rPr>
          <w:rtl/>
          <w:lang w:bidi="fa-IR"/>
        </w:rPr>
        <w:t xml:space="preserve"> ، ج 15 ، ص 16 ، ح 19918.</w:t>
      </w:r>
    </w:p>
    <w:p w:rsidR="00744A1C" w:rsidRDefault="00D10E3C" w:rsidP="00D10E3C">
      <w:pPr>
        <w:pStyle w:val="libFootnote0"/>
        <w:rPr>
          <w:lang w:bidi="fa-IR"/>
        </w:rPr>
      </w:pPr>
      <w:r>
        <w:rPr>
          <w:rtl/>
          <w:lang w:bidi="fa-IR"/>
        </w:rPr>
        <w:t>(1).</w:t>
      </w:r>
      <w:r w:rsidR="00744A1C">
        <w:rPr>
          <w:rtl/>
          <w:lang w:bidi="fa-IR"/>
        </w:rPr>
        <w:t xml:space="preserve"> في</w:t>
      </w:r>
      <w:r w:rsidR="00744A1C" w:rsidRPr="00012577">
        <w:rPr>
          <w:rtl/>
        </w:rPr>
        <w:t xml:space="preserve"> التهذيب</w:t>
      </w:r>
      <w:r w:rsidR="00744A1C">
        <w:rPr>
          <w:rtl/>
          <w:lang w:bidi="fa-IR"/>
        </w:rPr>
        <w:t xml:space="preserve"> : « ظريف ». والمذكور في بعض نسخه : « طريف » وهو الصواب.</w:t>
      </w:r>
    </w:p>
    <w:p w:rsidR="00744A1C" w:rsidRDefault="00E378DD" w:rsidP="00E378DD">
      <w:pPr>
        <w:pStyle w:val="libFootnote0"/>
        <w:rPr>
          <w:lang w:bidi="fa-IR"/>
        </w:rPr>
      </w:pPr>
      <w:r>
        <w:rPr>
          <w:rtl/>
          <w:lang w:bidi="fa-IR"/>
        </w:rPr>
        <w:t>(2).</w:t>
      </w:r>
      <w:r w:rsidR="00744A1C">
        <w:rPr>
          <w:rtl/>
          <w:lang w:bidi="fa-IR"/>
        </w:rPr>
        <w:t xml:space="preserve"> في </w:t>
      </w:r>
      <w:r w:rsidR="00744A1C" w:rsidRPr="00012577">
        <w:rPr>
          <w:rtl/>
        </w:rPr>
        <w:t>التهذيب : «</w:t>
      </w:r>
      <w:r w:rsidR="00744A1C">
        <w:rPr>
          <w:rtl/>
          <w:lang w:bidi="fa-IR"/>
        </w:rPr>
        <w:t xml:space="preserve"> أن يبذل ».</w:t>
      </w:r>
    </w:p>
    <w:p w:rsidR="00744A1C" w:rsidRDefault="00E378DD" w:rsidP="00E378DD">
      <w:pPr>
        <w:pStyle w:val="libFootnote0"/>
        <w:rPr>
          <w:lang w:bidi="fa-IR"/>
        </w:rPr>
      </w:pPr>
      <w:r>
        <w:rPr>
          <w:rtl/>
          <w:lang w:bidi="fa-IR"/>
        </w:rPr>
        <w:t>(3).</w:t>
      </w:r>
      <w:r w:rsidR="00744A1C">
        <w:rPr>
          <w:rtl/>
          <w:lang w:bidi="fa-IR"/>
        </w:rPr>
        <w:t xml:space="preserve"> في « ى » : - « أن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126 ، ح 222 ، معلّقاً عن الكليني. </w:t>
      </w:r>
      <w:r w:rsidR="00744A1C" w:rsidRPr="00C24F9C">
        <w:rPr>
          <w:rStyle w:val="libFootnoteBoldChar"/>
          <w:rtl/>
        </w:rPr>
        <w:t>الفقيه</w:t>
      </w:r>
      <w:r w:rsidR="00744A1C">
        <w:rPr>
          <w:rtl/>
          <w:lang w:bidi="fa-IR"/>
        </w:rPr>
        <w:t xml:space="preserve"> ، ج 3 ، ص 439 ، ح 4516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012577">
        <w:rPr>
          <w:rFonts w:hint="cs"/>
          <w:rtl/>
          <w:lang w:bidi="fa-IR"/>
        </w:rPr>
        <w:t>.</w:t>
      </w:r>
      <w:r w:rsidR="00744A1C" w:rsidRPr="00C24F9C">
        <w:rPr>
          <w:rStyle w:val="libFootnoteBoldChar"/>
          <w:rtl/>
        </w:rPr>
        <w:t>الوافي</w:t>
      </w:r>
      <w:r w:rsidR="00744A1C">
        <w:rPr>
          <w:rtl/>
          <w:lang w:bidi="fa-IR"/>
        </w:rPr>
        <w:t xml:space="preserve"> ، ج 22 ، ص 776 ، ح 22142 ؛ </w:t>
      </w:r>
      <w:r w:rsidR="00744A1C" w:rsidRPr="00C24F9C">
        <w:rPr>
          <w:rStyle w:val="libFootnoteBoldChar"/>
          <w:rtl/>
        </w:rPr>
        <w:t>الوسائل</w:t>
      </w:r>
      <w:r w:rsidR="00744A1C">
        <w:rPr>
          <w:rtl/>
          <w:lang w:bidi="fa-IR"/>
        </w:rPr>
        <w:t xml:space="preserve"> ، ج 15 ، ص 23 ، ح 19934.</w:t>
      </w:r>
    </w:p>
    <w:p w:rsidR="00744A1C" w:rsidRDefault="00E378DD" w:rsidP="00E378DD">
      <w:pPr>
        <w:pStyle w:val="libFootnote0"/>
        <w:rPr>
          <w:lang w:bidi="fa-IR"/>
        </w:rPr>
      </w:pPr>
      <w:r>
        <w:rPr>
          <w:rtl/>
          <w:lang w:bidi="fa-IR"/>
        </w:rPr>
        <w:t>(5).</w:t>
      </w:r>
      <w:r w:rsidR="00744A1C">
        <w:rPr>
          <w:rtl/>
          <w:lang w:bidi="fa-IR"/>
        </w:rPr>
        <w:t xml:space="preserve"> في « ى ، بف » : « وجهاد ».</w:t>
      </w:r>
    </w:p>
    <w:p w:rsidR="00744A1C" w:rsidRDefault="00E378DD" w:rsidP="00E378DD">
      <w:pPr>
        <w:pStyle w:val="libFootnote0"/>
        <w:rPr>
          <w:lang w:bidi="fa-IR"/>
        </w:rPr>
      </w:pPr>
      <w:r>
        <w:rPr>
          <w:rtl/>
          <w:lang w:bidi="fa-IR"/>
        </w:rPr>
        <w:t>(6).</w:t>
      </w:r>
      <w:r w:rsidR="00744A1C">
        <w:rPr>
          <w:rtl/>
          <w:lang w:bidi="fa-IR"/>
        </w:rPr>
        <w:t xml:space="preserve"> قال ابن الأثير : « التبعّل : حسن العشرة ». وقال ابن منظور : « امرأة حسنة التبعّل ، إذا كانت مطاوعة لزوجها ، محبّة له ». </w:t>
      </w:r>
      <w:r w:rsidR="00744A1C" w:rsidRPr="00877682">
        <w:rPr>
          <w:rStyle w:val="libFootnoteBoldChar"/>
          <w:rtl/>
        </w:rPr>
        <w:t>النهاية</w:t>
      </w:r>
      <w:r w:rsidR="00744A1C">
        <w:rPr>
          <w:rtl/>
          <w:lang w:bidi="fa-IR"/>
        </w:rPr>
        <w:t xml:space="preserve"> ، ج 1 ، ص 140 ؛ </w:t>
      </w:r>
      <w:r w:rsidR="00744A1C" w:rsidRPr="00877682">
        <w:rPr>
          <w:rStyle w:val="libFootnoteBoldChar"/>
          <w:rtl/>
        </w:rPr>
        <w:t>لسان العرب</w:t>
      </w:r>
      <w:r w:rsidR="00744A1C">
        <w:rPr>
          <w:rtl/>
          <w:lang w:bidi="fa-IR"/>
        </w:rPr>
        <w:t xml:space="preserve"> ، ج 11 ، ص 58 ( بعل ).</w:t>
      </w:r>
    </w:p>
    <w:p w:rsidR="00744A1C" w:rsidRDefault="00E378DD" w:rsidP="00E378DD">
      <w:pPr>
        <w:pStyle w:val="libFootnote0"/>
        <w:rPr>
          <w:lang w:bidi="fa-IR"/>
        </w:rPr>
      </w:pPr>
      <w:r>
        <w:rPr>
          <w:rtl/>
          <w:lang w:bidi="fa-IR"/>
        </w:rPr>
        <w:t>(7).</w:t>
      </w:r>
      <w:r w:rsidR="00744A1C">
        <w:rPr>
          <w:rtl/>
          <w:lang w:bidi="fa-IR"/>
        </w:rPr>
        <w:t xml:space="preserve"> </w:t>
      </w:r>
      <w:r w:rsidR="00744A1C" w:rsidRPr="0061079A">
        <w:rPr>
          <w:rStyle w:val="libFootnoteBoldChar"/>
          <w:rtl/>
        </w:rPr>
        <w:t>الكافي</w:t>
      </w:r>
      <w:r w:rsidR="00744A1C">
        <w:rPr>
          <w:rtl/>
          <w:lang w:bidi="fa-IR"/>
        </w:rPr>
        <w:t xml:space="preserve"> ، كتاب النكاح ، باب حقّ الزوج على </w:t>
      </w:r>
      <w:r w:rsidR="00744A1C" w:rsidRPr="00C24F9C">
        <w:rPr>
          <w:rStyle w:val="libFootnoteBoldChar"/>
          <w:rtl/>
        </w:rPr>
        <w:t>المرأة</w:t>
      </w:r>
      <w:r w:rsidR="00744A1C">
        <w:rPr>
          <w:rtl/>
          <w:lang w:bidi="fa-IR"/>
        </w:rPr>
        <w:t xml:space="preserve"> ، ح 10168 ، بسند آخر عن أبي ابراهيم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4 ، ص 416 ، ضمن ح 5904 ، بسند آخر عن الصادق </w:t>
      </w:r>
      <w:r w:rsidR="0061079A" w:rsidRPr="0061079A">
        <w:rPr>
          <w:rStyle w:val="libFootnoteAlaemChar"/>
          <w:rtl/>
        </w:rPr>
        <w:t>عليه‌السلام</w:t>
      </w:r>
      <w:r w:rsidR="00744A1C">
        <w:rPr>
          <w:rtl/>
          <w:lang w:bidi="fa-IR"/>
        </w:rPr>
        <w:t xml:space="preserve"> . الخصال ، ص 585 ، أبواب السبعين ومافوقه ، ضمن الحديث الطويل 12 ، بسند آخر عن أبي جعفر </w:t>
      </w:r>
      <w:r w:rsidR="0061079A" w:rsidRPr="0061079A">
        <w:rPr>
          <w:rStyle w:val="libFootnoteAlaemChar"/>
          <w:rtl/>
        </w:rPr>
        <w:t>عليه‌السلام</w:t>
      </w:r>
      <w:r w:rsidR="00744A1C">
        <w:rPr>
          <w:rtl/>
          <w:lang w:bidi="fa-IR"/>
        </w:rPr>
        <w:t xml:space="preserve"> . الخصال ، ص 620 ، أبواب الثمانين ومافوقه ، ضمن الحديث الطويل 10 ، بسند آخر عن أبي عبدالله ، عن آبائه ، عن أميرالمؤمنين </w:t>
      </w:r>
      <w:r w:rsidR="00877682" w:rsidRPr="00877682">
        <w:rPr>
          <w:rStyle w:val="libFootnoteAlaemChar"/>
          <w:rtl/>
        </w:rPr>
        <w:t>عليهم‌السلام</w:t>
      </w:r>
      <w:r w:rsidR="00744A1C">
        <w:rPr>
          <w:rtl/>
          <w:lang w:bidi="fa-IR"/>
        </w:rPr>
        <w:t xml:space="preserve"> . </w:t>
      </w:r>
      <w:r w:rsidR="00744A1C" w:rsidRPr="00877682">
        <w:rPr>
          <w:rStyle w:val="libFootnoteBoldChar"/>
          <w:rtl/>
        </w:rPr>
        <w:t>الجعفريّات</w:t>
      </w:r>
      <w:r w:rsidR="00744A1C">
        <w:rPr>
          <w:rtl/>
          <w:lang w:bidi="fa-IR"/>
        </w:rPr>
        <w:t xml:space="preserve"> ، ص 67 ، ضمن الحديث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النبيّ </w:t>
      </w:r>
      <w:r w:rsidR="00024D6D" w:rsidRPr="00024D6D">
        <w:rPr>
          <w:rStyle w:val="libFootnoteAlaemChar"/>
          <w:rtl/>
        </w:rPr>
        <w:t>صلى‌الله‌عليه‌وآله</w:t>
      </w:r>
      <w:r w:rsidR="00744A1C">
        <w:rPr>
          <w:rtl/>
          <w:lang w:bidi="fa-IR"/>
        </w:rPr>
        <w:t xml:space="preserve"> . </w:t>
      </w:r>
      <w:r w:rsidR="00744A1C" w:rsidRPr="00C24F9C">
        <w:rPr>
          <w:rStyle w:val="libFootnoteBoldChar"/>
          <w:rtl/>
        </w:rPr>
        <w:t>الفقيه</w:t>
      </w:r>
      <w:r w:rsidR="00744A1C">
        <w:rPr>
          <w:rtl/>
          <w:lang w:bidi="fa-IR"/>
        </w:rPr>
        <w:t xml:space="preserve"> ، ج 3 ، ص 439 ، ح 4518 ، مرسلاً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نهج البلاغة ، ص 494 ، ذيل الحكمة 136 ؛ خصائص الأئمّة </w:t>
      </w:r>
      <w:r w:rsidR="00877682" w:rsidRPr="00877682">
        <w:rPr>
          <w:rStyle w:val="libFootnoteAlaemChar"/>
          <w:rtl/>
        </w:rPr>
        <w:t>عليهم‌السلام</w:t>
      </w:r>
      <w:r w:rsidR="00D10E3C">
        <w:rPr>
          <w:rtl/>
          <w:lang w:bidi="fa-IR"/>
        </w:rPr>
        <w:t xml:space="preserve"> </w:t>
      </w:r>
      <w:r w:rsidR="00744A1C">
        <w:rPr>
          <w:rtl/>
          <w:lang w:bidi="fa-IR"/>
        </w:rPr>
        <w:t xml:space="preserve">، ص 103 ، ذيل الحديث ، مرسلاً عن أميرالمؤمنين </w:t>
      </w:r>
      <w:r w:rsidR="0061079A" w:rsidRPr="0061079A">
        <w:rPr>
          <w:rStyle w:val="libFootnoteAlaemChar"/>
          <w:rtl/>
        </w:rPr>
        <w:t>عليه‌السلام</w:t>
      </w:r>
      <w:r w:rsidR="00D10E3C">
        <w:rPr>
          <w:rtl/>
          <w:lang w:bidi="fa-IR"/>
        </w:rPr>
        <w:t xml:space="preserve"> </w:t>
      </w:r>
      <w:r w:rsidR="00012577">
        <w:rPr>
          <w:rFonts w:hint="cs"/>
          <w:rtl/>
          <w:lang w:bidi="fa-IR"/>
        </w:rPr>
        <w:t>.</w:t>
      </w:r>
      <w:r w:rsidR="00744A1C" w:rsidRPr="00C24F9C">
        <w:rPr>
          <w:rStyle w:val="libFootnoteBoldChar"/>
          <w:rtl/>
        </w:rPr>
        <w:t>الوافي</w:t>
      </w:r>
      <w:r w:rsidR="00744A1C">
        <w:rPr>
          <w:rtl/>
          <w:lang w:bidi="fa-IR"/>
        </w:rPr>
        <w:t xml:space="preserve"> ، ج 22 ، ص 777 ، ح 22145 ؛ </w:t>
      </w:r>
      <w:r w:rsidR="00744A1C" w:rsidRPr="00C24F9C">
        <w:rPr>
          <w:rStyle w:val="libFootnoteBoldChar"/>
          <w:rtl/>
        </w:rPr>
        <w:t>الوسائل</w:t>
      </w:r>
      <w:r w:rsidR="00744A1C">
        <w:rPr>
          <w:rtl/>
          <w:lang w:bidi="fa-IR"/>
        </w:rPr>
        <w:t xml:space="preserve"> ، ج 15 ، ص 23 ، ح 19935.</w:t>
      </w:r>
    </w:p>
    <w:p w:rsidR="006A5060" w:rsidRDefault="006A5060" w:rsidP="00D10E3C">
      <w:pPr>
        <w:pStyle w:val="libNormal"/>
        <w:rPr>
          <w:rtl/>
          <w:lang w:bidi="fa-IR"/>
        </w:rPr>
      </w:pPr>
      <w:r>
        <w:rPr>
          <w:rtl/>
          <w:lang w:bidi="fa-IR"/>
        </w:rPr>
        <w:br w:type="page"/>
      </w:r>
    </w:p>
    <w:p w:rsidR="00744A1C" w:rsidRDefault="00744A1C" w:rsidP="00012577">
      <w:pPr>
        <w:pStyle w:val="Heading2Center"/>
        <w:rPr>
          <w:lang w:bidi="fa-IR"/>
        </w:rPr>
      </w:pPr>
      <w:bookmarkStart w:id="91" w:name="_Toc49261389"/>
      <w:r>
        <w:rPr>
          <w:rtl/>
          <w:lang w:bidi="fa-IR"/>
        </w:rPr>
        <w:lastRenderedPageBreak/>
        <w:t>3 - بَابُ وُجُوهِ الْجِهَادِ‌</w:t>
      </w:r>
      <w:bookmarkEnd w:id="91"/>
    </w:p>
    <w:p w:rsidR="00144FA6" w:rsidRDefault="00744A1C" w:rsidP="00744A1C">
      <w:pPr>
        <w:pStyle w:val="libNormal"/>
        <w:rPr>
          <w:rtl/>
          <w:lang w:bidi="fa-IR"/>
        </w:rPr>
      </w:pPr>
      <w:r>
        <w:rPr>
          <w:rtl/>
          <w:lang w:bidi="fa-IR"/>
        </w:rPr>
        <w:t xml:space="preserve">8217 / 1. عَلِيُّ بْنُ إِبْرَاهِيمَ ، عَنْ أَبِيهِ وَعَلِيِّ بْنِ مُحَمَّدٍ الْقَاسَانِيِّ </w:t>
      </w:r>
      <w:r w:rsidRPr="00D10E3C">
        <w:rPr>
          <w:rStyle w:val="libFootnotenumChar"/>
          <w:rtl/>
        </w:rPr>
        <w:t>(1)</w:t>
      </w:r>
      <w:r>
        <w:rPr>
          <w:rtl/>
          <w:lang w:bidi="fa-IR"/>
        </w:rPr>
        <w:t xml:space="preserve"> جَمِيعاً ، عَنِ الْقَاسِمِ بْنِ مُحَمَّدٍ ، عَنْ سُلَيْمَانَ بْنِ دَاوُدَ الْمِنْقَرِيِّ ، عَنْ فُضَيْلِ بْنِ عِيَاضٍ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الْجِهَادِ : سُنَّةٌ </w:t>
      </w:r>
      <w:r w:rsidRPr="00D10E3C">
        <w:rPr>
          <w:rStyle w:val="libFootnotenumChar"/>
          <w:rtl/>
        </w:rPr>
        <w:t>(2)</w:t>
      </w:r>
      <w:r>
        <w:rPr>
          <w:rtl/>
          <w:lang w:bidi="fa-IR"/>
        </w:rPr>
        <w:t xml:space="preserve"> أَمْ فَرِيضَةٌ؟</w:t>
      </w:r>
    </w:p>
    <w:p w:rsidR="00744A1C" w:rsidRDefault="00744A1C" w:rsidP="00744A1C">
      <w:pPr>
        <w:pStyle w:val="libNormal"/>
        <w:rPr>
          <w:lang w:bidi="fa-IR"/>
        </w:rPr>
      </w:pPr>
      <w:r>
        <w:rPr>
          <w:rtl/>
          <w:lang w:bidi="fa-IR"/>
        </w:rPr>
        <w:t xml:space="preserve">فَقَالَ : « الْجِهَادُ عَلى أَرْبَعَةِ أَوْجُهٍ ، فَجِهَادَانِ فَرْضٌ ، وَجِهَادٌ سُنَّةٌ لَايُقَامُ </w:t>
      </w:r>
      <w:r w:rsidRPr="00D10E3C">
        <w:rPr>
          <w:rStyle w:val="libFootnotenumChar"/>
          <w:rtl/>
        </w:rPr>
        <w:t>(3)</w:t>
      </w:r>
      <w:r w:rsidR="00012577">
        <w:rPr>
          <w:rtl/>
          <w:lang w:bidi="fa-IR"/>
        </w:rPr>
        <w:t xml:space="preserve"> إِل</w:t>
      </w:r>
      <w:r w:rsidR="00012577">
        <w:rPr>
          <w:rFonts w:hint="cs"/>
          <w:rtl/>
          <w:lang w:bidi="fa-IR"/>
        </w:rPr>
        <w:t>َّ</w:t>
      </w:r>
      <w:r w:rsidR="00012577">
        <w:rPr>
          <w:rtl/>
          <w:lang w:bidi="fa-IR"/>
        </w:rPr>
        <w:t>ا</w:t>
      </w:r>
      <w:r>
        <w:rPr>
          <w:rtl/>
          <w:lang w:bidi="fa-IR"/>
        </w:rPr>
        <w:t xml:space="preserve"> مَعَ الْفَرْضِ </w:t>
      </w:r>
      <w:r w:rsidRPr="00D10E3C">
        <w:rPr>
          <w:rStyle w:val="libFootnotenumChar"/>
          <w:rtl/>
        </w:rPr>
        <w:t>(4)</w:t>
      </w:r>
      <w:r>
        <w:rPr>
          <w:rtl/>
          <w:lang w:bidi="fa-IR"/>
        </w:rPr>
        <w:t xml:space="preserve"> ، وجِهادٌ سُنَّةٌ </w:t>
      </w:r>
      <w:r w:rsidRPr="00D10E3C">
        <w:rPr>
          <w:rStyle w:val="libFootnotenumChar"/>
          <w:rtl/>
        </w:rPr>
        <w:t>(5)</w:t>
      </w:r>
      <w:r w:rsidR="008247A0" w:rsidRPr="008247A0">
        <w:rPr>
          <w:rFonts w:hint="cs"/>
          <w:rtl/>
        </w:rPr>
        <w:t>.</w:t>
      </w:r>
    </w:p>
    <w:p w:rsidR="00744A1C" w:rsidRDefault="00744A1C" w:rsidP="00744A1C">
      <w:pPr>
        <w:pStyle w:val="libNormal"/>
        <w:rPr>
          <w:lang w:bidi="fa-IR"/>
        </w:rPr>
      </w:pPr>
      <w:r>
        <w:rPr>
          <w:rtl/>
          <w:lang w:bidi="fa-IR"/>
        </w:rPr>
        <w:t xml:space="preserve">فَأَمَّا </w:t>
      </w:r>
      <w:r w:rsidRPr="00D10E3C">
        <w:rPr>
          <w:rStyle w:val="libFootnotenumChar"/>
          <w:rtl/>
        </w:rPr>
        <w:t>(6)</w:t>
      </w:r>
      <w:r>
        <w:rPr>
          <w:rtl/>
          <w:lang w:bidi="fa-IR"/>
        </w:rPr>
        <w:t xml:space="preserve"> أَحَدُ الْفَرْضَيْنِ </w:t>
      </w:r>
      <w:r w:rsidRPr="00D10E3C">
        <w:rPr>
          <w:rStyle w:val="libFootnotenumChar"/>
          <w:rtl/>
        </w:rPr>
        <w:t>(7)</w:t>
      </w:r>
      <w:r>
        <w:rPr>
          <w:rtl/>
          <w:lang w:bidi="fa-IR"/>
        </w:rPr>
        <w:t xml:space="preserve"> ، فَمُجَاهَدَةُ الرَّجُلِ نَفْسَهُ عَنْ مَعَاصِي اللهِ عَزَّ وَجَلَّ ، وَهُوَ مِنْ </w:t>
      </w:r>
      <w:r w:rsidRPr="00D10E3C">
        <w:rPr>
          <w:rStyle w:val="libFootnotenumChar"/>
          <w:rtl/>
        </w:rPr>
        <w:t>(8)</w:t>
      </w:r>
      <w:r>
        <w:rPr>
          <w:rtl/>
          <w:lang w:bidi="fa-IR"/>
        </w:rPr>
        <w:t xml:space="preserve"> أَعْظَمِ الْجِهَادِ.</w:t>
      </w:r>
    </w:p>
    <w:p w:rsidR="00744A1C" w:rsidRDefault="00744A1C" w:rsidP="00744A1C">
      <w:pPr>
        <w:pStyle w:val="libNormal"/>
        <w:rPr>
          <w:lang w:bidi="fa-IR"/>
        </w:rPr>
      </w:pPr>
      <w:r>
        <w:rPr>
          <w:rtl/>
          <w:lang w:bidi="fa-IR"/>
        </w:rPr>
        <w:t>وَ</w:t>
      </w:r>
      <w:r w:rsidR="008247A0">
        <w:rPr>
          <w:rFonts w:hint="cs"/>
          <w:rtl/>
          <w:lang w:bidi="fa-IR"/>
        </w:rPr>
        <w:t xml:space="preserve"> </w:t>
      </w:r>
      <w:r>
        <w:rPr>
          <w:rtl/>
          <w:lang w:bidi="fa-IR"/>
        </w:rPr>
        <w:t xml:space="preserve">مُجَاهَدَةُ الَّذِينَ يَلُونَكُمْ مِنَ الْكُفَّارِ فَرْضٌ </w:t>
      </w:r>
      <w:r w:rsidRPr="00D10E3C">
        <w:rPr>
          <w:rStyle w:val="libFootnotenumChar"/>
          <w:rtl/>
        </w:rPr>
        <w:t>(9)</w:t>
      </w:r>
    </w:p>
    <w:p w:rsidR="00744A1C" w:rsidRDefault="00744A1C" w:rsidP="00744A1C">
      <w:pPr>
        <w:pStyle w:val="libNormal"/>
        <w:rPr>
          <w:lang w:bidi="fa-IR"/>
        </w:rPr>
      </w:pPr>
      <w:r>
        <w:rPr>
          <w:rtl/>
          <w:lang w:bidi="fa-IR"/>
        </w:rPr>
        <w:t>وَأَمَّا الْجِهَادُ الَّذِ</w:t>
      </w:r>
      <w:r w:rsidR="008247A0">
        <w:rPr>
          <w:rtl/>
          <w:lang w:bidi="fa-IR"/>
        </w:rPr>
        <w:t>ي هُوَ سُنَّةٌ لَايُقَامُ إِل</w:t>
      </w:r>
      <w:r w:rsidR="008247A0">
        <w:rPr>
          <w:rFonts w:hint="cs"/>
          <w:rtl/>
          <w:lang w:bidi="fa-IR"/>
        </w:rPr>
        <w:t>َّ</w:t>
      </w:r>
      <w:r w:rsidR="008247A0">
        <w:rPr>
          <w:rtl/>
          <w:lang w:bidi="fa-IR"/>
        </w:rPr>
        <w:t>ا</w:t>
      </w:r>
      <w:r>
        <w:rPr>
          <w:rtl/>
          <w:lang w:bidi="fa-IR"/>
        </w:rPr>
        <w:t xml:space="preserve"> مَعَ فَرْضٍ </w:t>
      </w:r>
      <w:r w:rsidRPr="00D10E3C">
        <w:rPr>
          <w:rStyle w:val="libFootnotenumChar"/>
          <w:rtl/>
        </w:rPr>
        <w:t>(10)</w:t>
      </w:r>
      <w:r>
        <w:rPr>
          <w:rtl/>
          <w:lang w:bidi="fa-IR"/>
        </w:rPr>
        <w:t xml:space="preserve"> ، فَإِنَّ مُجَاهَدَةَ الْعَدُوِّ فَرْضٌ عَلى‌</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القاشاني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والخصال : « أسنّة هو » بدل « سنّة ». وفي </w:t>
      </w:r>
      <w:r w:rsidR="00744A1C" w:rsidRPr="00C24F9C">
        <w:rPr>
          <w:rStyle w:val="libFootnoteBoldChar"/>
          <w:rtl/>
        </w:rPr>
        <w:t>التهذيب</w:t>
      </w:r>
      <w:r w:rsidR="00744A1C">
        <w:rPr>
          <w:rtl/>
          <w:lang w:bidi="fa-IR"/>
        </w:rPr>
        <w:t xml:space="preserve"> : + « هو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الوسائل</w:t>
      </w:r>
      <w:r w:rsidR="00744A1C">
        <w:rPr>
          <w:rtl/>
          <w:lang w:bidi="fa-IR"/>
        </w:rPr>
        <w:t xml:space="preserve"> : « لا تقام ».</w:t>
      </w:r>
    </w:p>
    <w:p w:rsidR="00744A1C" w:rsidRDefault="00E378DD" w:rsidP="00E378DD">
      <w:pPr>
        <w:pStyle w:val="libFootnote0"/>
        <w:rPr>
          <w:lang w:bidi="fa-IR"/>
        </w:rPr>
      </w:pPr>
      <w:r>
        <w:rPr>
          <w:rtl/>
          <w:lang w:bidi="fa-IR"/>
        </w:rPr>
        <w:t>(4).</w:t>
      </w:r>
      <w:r w:rsidR="00744A1C">
        <w:rPr>
          <w:rtl/>
          <w:lang w:bidi="fa-IR"/>
        </w:rPr>
        <w:t xml:space="preserve"> في « بث ، بح ، بس ، بف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والخصال والتحف : « فرض ».</w:t>
      </w:r>
    </w:p>
    <w:p w:rsidR="00744A1C" w:rsidRDefault="00E378DD" w:rsidP="008247A0">
      <w:pPr>
        <w:pStyle w:val="libFootnote0"/>
        <w:rPr>
          <w:lang w:bidi="fa-IR"/>
        </w:rPr>
      </w:pPr>
      <w:r>
        <w:rPr>
          <w:rtl/>
          <w:lang w:bidi="fa-IR"/>
        </w:rPr>
        <w:t>(5).</w:t>
      </w:r>
      <w:r w:rsidR="00744A1C">
        <w:rPr>
          <w:rtl/>
          <w:lang w:bidi="fa-IR"/>
        </w:rPr>
        <w:t xml:space="preserve"> هكذا في « ى ، بث ، بح ، بس ، بف ، جت ، جد » </w:t>
      </w:r>
      <w:r w:rsidR="00744A1C" w:rsidRPr="00EE40F1">
        <w:rPr>
          <w:rtl/>
        </w:rPr>
        <w:t>والوافي والوسائل والتهذيب</w:t>
      </w:r>
      <w:r w:rsidR="00744A1C">
        <w:rPr>
          <w:rtl/>
          <w:lang w:bidi="fa-IR"/>
        </w:rPr>
        <w:t xml:space="preserve"> والخصال والتحف. وفي المطبوع : - « وجهاد سنّة ».</w:t>
      </w:r>
      <w:r w:rsidR="008247A0">
        <w:rPr>
          <w:rFonts w:hint="cs"/>
          <w:rtl/>
          <w:lang w:bidi="fa-IR"/>
        </w:rPr>
        <w:t xml:space="preserve">                  </w:t>
      </w:r>
      <w:r w:rsidR="00EE40F1">
        <w:rPr>
          <w:rFonts w:hint="cs"/>
          <w:rtl/>
          <w:lang w:bidi="fa-IR"/>
        </w:rPr>
        <w:t xml:space="preserve">      </w:t>
      </w:r>
      <w:r w:rsidR="008247A0">
        <w:rPr>
          <w:rFonts w:hint="cs"/>
          <w:rtl/>
          <w:lang w:bidi="fa-IR"/>
        </w:rPr>
        <w:t xml:space="preserve">     </w:t>
      </w:r>
      <w:r>
        <w:rPr>
          <w:rtl/>
          <w:lang w:bidi="fa-IR"/>
        </w:rPr>
        <w:t>(6).</w:t>
      </w:r>
      <w:r w:rsidR="00744A1C">
        <w:rPr>
          <w:rtl/>
          <w:lang w:bidi="fa-IR"/>
        </w:rPr>
        <w:t xml:space="preserve"> في « بح » : « وأمّا ».</w:t>
      </w:r>
    </w:p>
    <w:tbl>
      <w:tblPr>
        <w:tblStyle w:val="TableGrid"/>
        <w:bidiVisual/>
        <w:tblW w:w="0" w:type="auto"/>
        <w:tblLook w:val="04A0" w:firstRow="1" w:lastRow="0" w:firstColumn="1" w:lastColumn="0" w:noHBand="0" w:noVBand="1"/>
      </w:tblPr>
      <w:tblGrid>
        <w:gridCol w:w="4006"/>
        <w:gridCol w:w="4006"/>
      </w:tblGrid>
      <w:tr w:rsidR="008247A0" w:rsidTr="008247A0">
        <w:tc>
          <w:tcPr>
            <w:tcW w:w="4006" w:type="dxa"/>
          </w:tcPr>
          <w:p w:rsidR="008247A0" w:rsidRDefault="008247A0" w:rsidP="00E378DD">
            <w:pPr>
              <w:pStyle w:val="libFootnote0"/>
              <w:rPr>
                <w:rtl/>
                <w:lang w:bidi="fa-IR"/>
              </w:rPr>
            </w:pPr>
            <w:r>
              <w:rPr>
                <w:rtl/>
                <w:lang w:bidi="fa-IR"/>
              </w:rPr>
              <w:t>(7). في حاشية « بث » : « فريضتين ».</w:t>
            </w:r>
          </w:p>
        </w:tc>
        <w:tc>
          <w:tcPr>
            <w:tcW w:w="4006" w:type="dxa"/>
          </w:tcPr>
          <w:p w:rsidR="008247A0" w:rsidRDefault="008247A0" w:rsidP="00E378DD">
            <w:pPr>
              <w:pStyle w:val="libFootnote0"/>
              <w:rPr>
                <w:rtl/>
                <w:lang w:bidi="fa-IR"/>
              </w:rPr>
            </w:pPr>
            <w:r>
              <w:rPr>
                <w:rtl/>
                <w:lang w:bidi="fa-IR"/>
              </w:rPr>
              <w:t xml:space="preserve">(8). في </w:t>
            </w:r>
            <w:r w:rsidRPr="00C24F9C">
              <w:rPr>
                <w:rStyle w:val="libFootnoteBoldChar"/>
                <w:rtl/>
              </w:rPr>
              <w:t>الوافي</w:t>
            </w:r>
            <w:r>
              <w:rPr>
                <w:rtl/>
                <w:lang w:bidi="fa-IR"/>
              </w:rPr>
              <w:t xml:space="preserve"> : - « من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877682">
        <w:rPr>
          <w:rStyle w:val="libFootnoteBoldChar"/>
          <w:rtl/>
        </w:rPr>
        <w:t>مرآة العقول</w:t>
      </w:r>
      <w:r w:rsidR="00744A1C">
        <w:rPr>
          <w:rtl/>
          <w:lang w:bidi="fa-IR"/>
        </w:rPr>
        <w:t xml:space="preserve"> ، ج 18 ، ص 332 : « لعلّ المراد بالثاني ما إذا صار الجهاد على طائفة واجباً عينيّاً بأن يهجم عليهم العدوّ ، وبالثالث الجهاد الذي هو واجب كفائي على الا</w:t>
      </w:r>
      <w:r w:rsidR="00D170CF">
        <w:rPr>
          <w:rFonts w:hint="cs"/>
          <w:rtl/>
          <w:lang w:bidi="fa-IR"/>
        </w:rPr>
        <w:t>ُ</w:t>
      </w:r>
      <w:r w:rsidR="00744A1C">
        <w:rPr>
          <w:rtl/>
          <w:lang w:bidi="fa-IR"/>
        </w:rPr>
        <w:t>مّة وعلى كلّ فرد بخصوصه سنّة عي</w:t>
      </w:r>
      <w:r w:rsidR="00D170CF">
        <w:rPr>
          <w:rtl/>
          <w:lang w:bidi="fa-IR"/>
        </w:rPr>
        <w:t>نيّاً ، فهو سنّة لا يقام إل</w:t>
      </w:r>
      <w:r w:rsidR="00D170CF">
        <w:rPr>
          <w:rFonts w:hint="cs"/>
          <w:rtl/>
          <w:lang w:bidi="fa-IR"/>
        </w:rPr>
        <w:t>ّ</w:t>
      </w:r>
      <w:r w:rsidR="00D170CF">
        <w:rPr>
          <w:rtl/>
          <w:lang w:bidi="fa-IR"/>
        </w:rPr>
        <w:t>ا</w:t>
      </w:r>
      <w:r w:rsidR="00D170CF">
        <w:rPr>
          <w:rFonts w:hint="cs"/>
          <w:rtl/>
          <w:lang w:bidi="fa-IR"/>
        </w:rPr>
        <w:t xml:space="preserve"> </w:t>
      </w:r>
      <w:r w:rsidR="00744A1C">
        <w:rPr>
          <w:rtl/>
          <w:lang w:bidi="fa-IR"/>
        </w:rPr>
        <w:t>مع الفرض ».</w:t>
      </w:r>
    </w:p>
    <w:p w:rsidR="00144FA6" w:rsidRDefault="00E378DD" w:rsidP="00E378DD">
      <w:pPr>
        <w:pStyle w:val="libFootnote0"/>
        <w:rPr>
          <w:rtl/>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الفريضة ما أمر الله به في كتابه وشدّد أمره ، وهو إنّما يكون واجباً. والسنّة ما سنّه النبيّ </w:t>
      </w:r>
      <w:r w:rsidR="00E843EA" w:rsidRPr="00E843EA">
        <w:rPr>
          <w:rStyle w:val="libFootnoteAlaemChar"/>
          <w:rtl/>
        </w:rPr>
        <w:t>صلى‌الله‌عليه‌وآله</w:t>
      </w:r>
      <w:r w:rsidR="00D10E3C">
        <w:rPr>
          <w:rtl/>
          <w:lang w:bidi="fa-IR"/>
        </w:rPr>
        <w:t xml:space="preserve"> </w:t>
      </w:r>
      <w:r w:rsidR="00744A1C">
        <w:rPr>
          <w:rtl/>
          <w:lang w:bidi="fa-IR"/>
        </w:rPr>
        <w:t xml:space="preserve">وليس‌بتلك المثابة من التشديد ، وهو قد يكون واجباً ، وقد يكون مستحبّاً. وجهاد النفس مذكور في القرآن في مواضع كثيرة ، منها قوله سبحانه : </w:t>
      </w:r>
      <w:r w:rsidR="00744A1C" w:rsidRPr="008D0F0B">
        <w:rPr>
          <w:rStyle w:val="libFootnoteAlaemChar"/>
          <w:rtl/>
        </w:rPr>
        <w:t>(</w:t>
      </w:r>
      <w:r w:rsidR="00744A1C" w:rsidRPr="008D0F0B">
        <w:rPr>
          <w:rStyle w:val="libFootnoteAieChar"/>
          <w:rtl/>
        </w:rPr>
        <w:t xml:space="preserve"> وَ</w:t>
      </w:r>
      <w:r w:rsidR="008D0F0B" w:rsidRPr="008D0F0B">
        <w:rPr>
          <w:rStyle w:val="libFootnoteAieChar"/>
          <w:rFonts w:hint="cs"/>
          <w:rtl/>
        </w:rPr>
        <w:t xml:space="preserve"> </w:t>
      </w:r>
      <w:r w:rsidR="00744A1C" w:rsidRPr="008D0F0B">
        <w:rPr>
          <w:rStyle w:val="libFootnoteAieChar"/>
          <w:rtl/>
        </w:rPr>
        <w:t>جاهِدُوا فِي اللهِ حَقَّ جِه</w:t>
      </w:r>
      <w:r w:rsidR="00B9319A">
        <w:rPr>
          <w:rStyle w:val="libFootnoteAieChar"/>
          <w:rFonts w:hint="cs"/>
          <w:rtl/>
        </w:rPr>
        <w:t>َ</w:t>
      </w:r>
      <w:r w:rsidR="00744A1C" w:rsidRPr="008D0F0B">
        <w:rPr>
          <w:rStyle w:val="libFootnoteAieChar"/>
          <w:rtl/>
        </w:rPr>
        <w:t xml:space="preserve">ادِهِ </w:t>
      </w:r>
      <w:r w:rsidR="00744A1C" w:rsidRPr="008D0F0B">
        <w:rPr>
          <w:rStyle w:val="libFootnoteAlaemChar"/>
          <w:rtl/>
        </w:rPr>
        <w:t>)</w:t>
      </w:r>
      <w:r w:rsidR="00744A1C">
        <w:rPr>
          <w:rtl/>
          <w:lang w:bidi="fa-IR"/>
        </w:rPr>
        <w:t xml:space="preserve"> [ الحج (22) : 78 ] وقوله : </w:t>
      </w:r>
      <w:r w:rsidR="00744A1C" w:rsidRPr="00B9319A">
        <w:rPr>
          <w:rStyle w:val="libFootnoteAlaemChar"/>
          <w:rtl/>
        </w:rPr>
        <w:t>(</w:t>
      </w:r>
      <w:r w:rsidR="00744A1C" w:rsidRPr="00B9319A">
        <w:rPr>
          <w:rStyle w:val="libFootnoteAieChar"/>
          <w:rtl/>
        </w:rPr>
        <w:t xml:space="preserve"> وَ</w:t>
      </w:r>
      <w:r w:rsidR="00B9319A" w:rsidRPr="00B9319A">
        <w:rPr>
          <w:rStyle w:val="libFootnoteAieChar"/>
          <w:rFonts w:hint="cs"/>
          <w:rtl/>
        </w:rPr>
        <w:t xml:space="preserve"> </w:t>
      </w:r>
      <w:r w:rsidR="00744A1C" w:rsidRPr="00B9319A">
        <w:rPr>
          <w:rStyle w:val="libFootnoteAieChar"/>
          <w:rtl/>
        </w:rPr>
        <w:t>الَّذِينَ</w:t>
      </w:r>
      <w:r w:rsidR="00744A1C">
        <w:rPr>
          <w:rtl/>
          <w:lang w:bidi="fa-IR"/>
        </w:rPr>
        <w:t xml:space="preserve"> </w:t>
      </w:r>
      <w:r w:rsidR="00744A1C" w:rsidRPr="00B9319A">
        <w:rPr>
          <w:rStyle w:val="libFootnoteAieChar"/>
          <w:rtl/>
        </w:rPr>
        <w:t>جاهَدُوا فِين</w:t>
      </w:r>
      <w:r w:rsidR="007A75F6">
        <w:rPr>
          <w:rStyle w:val="libFootnoteAieChar"/>
          <w:rFonts w:hint="cs"/>
          <w:rtl/>
        </w:rPr>
        <w:t>َ</w:t>
      </w:r>
      <w:r w:rsidR="00744A1C" w:rsidRPr="00B9319A">
        <w:rPr>
          <w:rStyle w:val="libFootnoteAieChar"/>
          <w:rtl/>
        </w:rPr>
        <w:t>ا</w:t>
      </w:r>
      <w:r w:rsidR="00B9319A">
        <w:rPr>
          <w:rStyle w:val="libFootnoteAieChar"/>
          <w:rFonts w:hint="cs"/>
          <w:rtl/>
        </w:rPr>
        <w:t xml:space="preserve"> </w:t>
      </w:r>
      <w:r w:rsidR="00B9319A" w:rsidRPr="00B9319A">
        <w:rPr>
          <w:rFonts w:hint="cs"/>
          <w:rtl/>
        </w:rPr>
        <w:t>=</w:t>
      </w:r>
    </w:p>
    <w:p w:rsidR="006A5060" w:rsidRDefault="006A5060" w:rsidP="00D10E3C">
      <w:pPr>
        <w:pStyle w:val="libNormal"/>
        <w:rPr>
          <w:rtl/>
          <w:lang w:bidi="fa-IR"/>
        </w:rPr>
      </w:pPr>
      <w:r>
        <w:rPr>
          <w:rtl/>
          <w:lang w:bidi="fa-IR"/>
        </w:rPr>
        <w:br w:type="page"/>
      </w:r>
    </w:p>
    <w:p w:rsidR="00744A1C" w:rsidRDefault="00744A1C" w:rsidP="007A75F6">
      <w:pPr>
        <w:pStyle w:val="libNormal0"/>
        <w:rPr>
          <w:lang w:bidi="fa-IR"/>
        </w:rPr>
      </w:pPr>
      <w:r>
        <w:rPr>
          <w:rtl/>
          <w:lang w:bidi="fa-IR"/>
        </w:rPr>
        <w:lastRenderedPageBreak/>
        <w:t xml:space="preserve">جَمِيعِ الْأُمَّةِ ، وَلَوْ تَرَكُوا الْجِهَادَ لَأَتَاهُمُ الْعَذَابُ ، وَهذَا هُوَ مِنْ عَذَابِ الْأُمَّةِ ، وَهُوَ سُنَّةٌ عَلَى الْإِمَامِ وَحْدَهُ </w:t>
      </w:r>
      <w:r w:rsidRPr="00D10E3C">
        <w:rPr>
          <w:rStyle w:val="libFootnotenumChar"/>
          <w:rtl/>
        </w:rPr>
        <w:t>(1)</w:t>
      </w:r>
      <w:r>
        <w:rPr>
          <w:rtl/>
          <w:lang w:bidi="fa-IR"/>
        </w:rPr>
        <w:t xml:space="preserve"> أَنْ يَأْتِيَ الْعَدُوَّ مَعَ الْأُمَّةِ فَيُجَاهِدَهُمْ.</w:t>
      </w:r>
    </w:p>
    <w:p w:rsidR="00144FA6" w:rsidRDefault="00744A1C" w:rsidP="00744A1C">
      <w:pPr>
        <w:pStyle w:val="libNormal"/>
        <w:rPr>
          <w:rtl/>
          <w:lang w:bidi="fa-IR"/>
        </w:rPr>
      </w:pPr>
      <w:r>
        <w:rPr>
          <w:rtl/>
          <w:lang w:bidi="fa-IR"/>
        </w:rPr>
        <w:t>وَ</w:t>
      </w:r>
      <w:r w:rsidR="007A75F6">
        <w:rPr>
          <w:rFonts w:hint="cs"/>
          <w:rtl/>
          <w:lang w:bidi="fa-IR"/>
        </w:rPr>
        <w:t xml:space="preserve"> </w:t>
      </w:r>
      <w:r>
        <w:rPr>
          <w:rtl/>
          <w:lang w:bidi="fa-IR"/>
        </w:rPr>
        <w:t>أَمَّا الْجِهَادُ الَّذِي هُوَ سُنَّةٌ ، فَكُلُّ سُنَّةٍ أَقَامَهَا الرَّجُلُ ، وَ</w:t>
      </w:r>
      <w:r w:rsidR="007A75F6">
        <w:rPr>
          <w:rFonts w:hint="cs"/>
          <w:rtl/>
          <w:lang w:bidi="fa-IR"/>
        </w:rPr>
        <w:t xml:space="preserve"> </w:t>
      </w:r>
      <w:r>
        <w:rPr>
          <w:rtl/>
          <w:lang w:bidi="fa-IR"/>
        </w:rPr>
        <w:t>جَاهَدَ فِي إِقَامَتِهَا وَ</w:t>
      </w:r>
      <w:r w:rsidR="007A75F6">
        <w:rPr>
          <w:rFonts w:hint="cs"/>
          <w:rtl/>
          <w:lang w:bidi="fa-IR"/>
        </w:rPr>
        <w:t xml:space="preserve"> </w:t>
      </w:r>
      <w:r>
        <w:rPr>
          <w:rtl/>
          <w:lang w:bidi="fa-IR"/>
        </w:rPr>
        <w:t>بُلُوغِهَا وَ</w:t>
      </w:r>
      <w:r w:rsidR="007A75F6">
        <w:rPr>
          <w:rFonts w:hint="cs"/>
          <w:rtl/>
          <w:lang w:bidi="fa-IR"/>
        </w:rPr>
        <w:t xml:space="preserve"> </w:t>
      </w:r>
      <w:r>
        <w:rPr>
          <w:rtl/>
          <w:lang w:bidi="fa-IR"/>
        </w:rPr>
        <w:t>إِحْيَائِهَا ، فَالْعَمَلُ وَ</w:t>
      </w:r>
      <w:r w:rsidR="007A75F6">
        <w:rPr>
          <w:rFonts w:hint="cs"/>
          <w:rtl/>
          <w:lang w:bidi="fa-IR"/>
        </w:rPr>
        <w:t xml:space="preserve"> </w:t>
      </w:r>
      <w:r>
        <w:rPr>
          <w:rtl/>
          <w:lang w:bidi="fa-IR"/>
        </w:rPr>
        <w:t xml:space="preserve">السَّعْيُ فِيهَا مِنْ أَفْضَلِ الْأَعْمَالِ ؛ لِأَنَّهَا إِحْيَاءُ سُنَّةٍ ، وَقَدْ قَالَ رَسُولُ‌ اللهِ </w:t>
      </w:r>
      <w:r w:rsidR="00712C99" w:rsidRPr="00712C99">
        <w:rPr>
          <w:rStyle w:val="libAlaemChar"/>
          <w:rtl/>
        </w:rPr>
        <w:t>صلى‌الله‌عليه‌وآله</w:t>
      </w:r>
      <w:r w:rsidR="00D10E3C">
        <w:rPr>
          <w:rtl/>
          <w:lang w:bidi="fa-IR"/>
        </w:rPr>
        <w:t xml:space="preserve"> </w:t>
      </w:r>
      <w:r>
        <w:rPr>
          <w:rtl/>
          <w:lang w:bidi="fa-IR"/>
        </w:rPr>
        <w:t xml:space="preserve">: مَنْ سَنَّ سُنَّةً حَسَنَةً ، فَلَهُ أَجْرُهَا وَأَجْرُ </w:t>
      </w:r>
      <w:r w:rsidRPr="00D10E3C">
        <w:rPr>
          <w:rStyle w:val="libFootnotenumChar"/>
          <w:rtl/>
        </w:rPr>
        <w:t>(2)</w:t>
      </w:r>
      <w:r>
        <w:rPr>
          <w:rtl/>
          <w:lang w:bidi="fa-IR"/>
        </w:rPr>
        <w:t xml:space="preserve"> مَنْ عَمِلَ بِهَا إِلى يَوْمِ الْقِيَامَةِ مِنْ غَيْرِ أَنْ يُنْقَصَ </w:t>
      </w:r>
      <w:r w:rsidRPr="00D10E3C">
        <w:rPr>
          <w:rStyle w:val="libFootnotenumChar"/>
          <w:rtl/>
        </w:rPr>
        <w:t>(3)</w:t>
      </w:r>
      <w:r>
        <w:rPr>
          <w:rtl/>
          <w:lang w:bidi="fa-IR"/>
        </w:rPr>
        <w:t xml:space="preserve"> مِنْ أُجُورِهِمْ شَيْ‌ءٌ ». </w:t>
      </w:r>
      <w:r w:rsidRPr="00D10E3C">
        <w:rPr>
          <w:rStyle w:val="libFootnotenumChar"/>
          <w:rtl/>
        </w:rPr>
        <w:t>(4)</w:t>
      </w:r>
    </w:p>
    <w:p w:rsidR="00744A1C" w:rsidRDefault="00744A1C" w:rsidP="00D10E3C">
      <w:pPr>
        <w:pStyle w:val="libLine"/>
        <w:rPr>
          <w:lang w:bidi="fa-IR"/>
        </w:rPr>
      </w:pPr>
      <w:r>
        <w:rPr>
          <w:rtl/>
          <w:lang w:bidi="fa-IR"/>
        </w:rPr>
        <w:t>____________________</w:t>
      </w:r>
    </w:p>
    <w:p w:rsidR="00744A1C" w:rsidRDefault="007A75F6" w:rsidP="00E378DD">
      <w:pPr>
        <w:pStyle w:val="libFootnote0"/>
        <w:rPr>
          <w:lang w:bidi="fa-IR"/>
        </w:rPr>
      </w:pPr>
      <w:r>
        <w:rPr>
          <w:rFonts w:hint="cs"/>
          <w:rtl/>
          <w:lang w:bidi="fa-IR"/>
        </w:rPr>
        <w:t xml:space="preserve">= </w:t>
      </w:r>
      <w:r w:rsidR="00744A1C" w:rsidRPr="007A75F6">
        <w:rPr>
          <w:rStyle w:val="libFootnoteAieChar"/>
          <w:rtl/>
        </w:rPr>
        <w:t>لَنَهْدِيَنَّهُمْ سُبُلَن</w:t>
      </w:r>
      <w:r>
        <w:rPr>
          <w:rStyle w:val="libFootnoteAieChar"/>
          <w:rFonts w:hint="cs"/>
          <w:rtl/>
        </w:rPr>
        <w:t>َ</w:t>
      </w:r>
      <w:r w:rsidR="00744A1C" w:rsidRPr="007A75F6">
        <w:rPr>
          <w:rStyle w:val="libFootnoteAieChar"/>
          <w:rtl/>
        </w:rPr>
        <w:t xml:space="preserve">ا </w:t>
      </w:r>
      <w:r w:rsidR="00744A1C" w:rsidRPr="007A75F6">
        <w:rPr>
          <w:rStyle w:val="libFootnoteAlaemChar"/>
          <w:rtl/>
        </w:rPr>
        <w:t>)</w:t>
      </w:r>
      <w:r w:rsidR="00744A1C">
        <w:rPr>
          <w:rtl/>
          <w:lang w:bidi="fa-IR"/>
        </w:rPr>
        <w:t xml:space="preserve"> [ العنكبوت (29) : 69 ] إلى غير ذلك. وكذا جهاد العدوّ القريب الذي يخاف ضرره ، قال الله سبحانه : </w:t>
      </w:r>
      <w:r w:rsidR="00744A1C" w:rsidRPr="00745F1D">
        <w:rPr>
          <w:rStyle w:val="libFootnoteAlaemChar"/>
          <w:rtl/>
        </w:rPr>
        <w:t>(</w:t>
      </w:r>
      <w:r w:rsidR="00744A1C" w:rsidRPr="00745F1D">
        <w:rPr>
          <w:rStyle w:val="libFootnoteAieChar"/>
          <w:rtl/>
        </w:rPr>
        <w:t xml:space="preserve"> ق</w:t>
      </w:r>
      <w:r w:rsidR="00745F1D" w:rsidRPr="00745F1D">
        <w:rPr>
          <w:rStyle w:val="libFootnoteAieChar"/>
          <w:rFonts w:hint="cs"/>
          <w:rtl/>
        </w:rPr>
        <w:t>َ</w:t>
      </w:r>
      <w:r w:rsidR="00744A1C" w:rsidRPr="00745F1D">
        <w:rPr>
          <w:rStyle w:val="libFootnoteAieChar"/>
          <w:rtl/>
        </w:rPr>
        <w:t>اتِلُوا الَّذِينَ يَلُونَكُمْ مِنَ الْكُفّ</w:t>
      </w:r>
      <w:r w:rsidR="00A61810">
        <w:rPr>
          <w:rStyle w:val="libFootnoteAieChar"/>
          <w:rFonts w:hint="cs"/>
          <w:rtl/>
        </w:rPr>
        <w:t>َ</w:t>
      </w:r>
      <w:r w:rsidR="00744A1C" w:rsidRPr="00745F1D">
        <w:rPr>
          <w:rStyle w:val="libFootnoteAieChar"/>
          <w:rtl/>
        </w:rPr>
        <w:t xml:space="preserve">ارِ </w:t>
      </w:r>
      <w:r w:rsidR="00744A1C" w:rsidRPr="00745F1D">
        <w:rPr>
          <w:rStyle w:val="libFootnoteAlaemChar"/>
          <w:rtl/>
        </w:rPr>
        <w:t>)</w:t>
      </w:r>
      <w:r w:rsidR="00744A1C">
        <w:rPr>
          <w:rtl/>
          <w:lang w:bidi="fa-IR"/>
        </w:rPr>
        <w:t xml:space="preserve"> [ التوبه </w:t>
      </w:r>
      <w:r w:rsidR="00745F1D">
        <w:rPr>
          <w:rtl/>
          <w:lang w:bidi="fa-IR"/>
        </w:rPr>
        <w:t>(9)</w:t>
      </w:r>
      <w:r w:rsidR="00744A1C">
        <w:rPr>
          <w:rtl/>
          <w:lang w:bidi="fa-IR"/>
        </w:rPr>
        <w:t xml:space="preserve"> : 123 ] وكذا كلّ جهاد مع العدوّ ، قال الله تعالى : </w:t>
      </w:r>
      <w:r w:rsidR="00744A1C" w:rsidRPr="00A61810">
        <w:rPr>
          <w:rStyle w:val="libFootnoteAlaemChar"/>
          <w:rtl/>
        </w:rPr>
        <w:t>(</w:t>
      </w:r>
      <w:r w:rsidR="00744A1C">
        <w:rPr>
          <w:rtl/>
          <w:lang w:bidi="fa-IR"/>
        </w:rPr>
        <w:t xml:space="preserve"> </w:t>
      </w:r>
      <w:r w:rsidR="00744A1C" w:rsidRPr="00A61810">
        <w:rPr>
          <w:rStyle w:val="libFootnoteAieChar"/>
          <w:rtl/>
        </w:rPr>
        <w:t>فَاقْتُلُوا الْمُشْرِكِينَ حَيْثُ وَجَدْتُمُوهُمْ</w:t>
      </w:r>
      <w:r w:rsidR="00744A1C">
        <w:rPr>
          <w:rtl/>
          <w:lang w:bidi="fa-IR"/>
        </w:rPr>
        <w:t xml:space="preserve"> </w:t>
      </w:r>
      <w:r w:rsidR="00744A1C" w:rsidRPr="00A61810">
        <w:rPr>
          <w:rStyle w:val="libFootnoteAlaemChar"/>
          <w:rtl/>
        </w:rPr>
        <w:t>)</w:t>
      </w:r>
      <w:r w:rsidR="00744A1C">
        <w:rPr>
          <w:rtl/>
          <w:lang w:bidi="fa-IR"/>
        </w:rPr>
        <w:t xml:space="preserve"> [ التوبه </w:t>
      </w:r>
      <w:r w:rsidR="00A61810">
        <w:rPr>
          <w:rtl/>
          <w:lang w:bidi="fa-IR"/>
        </w:rPr>
        <w:t>(9)</w:t>
      </w:r>
      <w:r w:rsidR="00744A1C">
        <w:rPr>
          <w:rtl/>
          <w:lang w:bidi="fa-IR"/>
        </w:rPr>
        <w:t xml:space="preserve"> : 5 ] إلى غير ذلك من الآيات ، وهذا هو</w:t>
      </w:r>
      <w:r w:rsidR="00745F1D">
        <w:rPr>
          <w:rtl/>
          <w:lang w:bidi="fa-IR"/>
        </w:rPr>
        <w:t xml:space="preserve"> الفرض الذي لا تقام السنّة إل</w:t>
      </w:r>
      <w:r w:rsidR="00745F1D">
        <w:rPr>
          <w:rFonts w:hint="cs"/>
          <w:rtl/>
          <w:lang w:bidi="fa-IR"/>
        </w:rPr>
        <w:t>ّ</w:t>
      </w:r>
      <w:r w:rsidR="00745F1D">
        <w:rPr>
          <w:rtl/>
          <w:lang w:bidi="fa-IR"/>
        </w:rPr>
        <w:t>ا</w:t>
      </w:r>
      <w:r w:rsidR="00744A1C">
        <w:rPr>
          <w:rtl/>
          <w:lang w:bidi="fa-IR"/>
        </w:rPr>
        <w:t xml:space="preserve"> به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الجهاد الذي هو سنّة على الإمام هو أن يأتي العدوّ بعد تجهيز الجيش ، حيث كان يؤمن ضرر العدوّ ، ولم يتعيّن على الناس جهاده قبل أن يأمرهم الإمام به ، فإذا أمرهم به صار فرضاً عليهم ، وصار من جملة ما فرض الله عليهم ، فهذا هو السنّة التي إنّما يقام بالفرض ، وأمّا الجهاد الرابع الذي هو سنّة فهو مع الناس في إحياء كلّ سنّة بعد اندراسها واجبة كانت أو مستحبّة ؛ فإنّ السعي في ذلك جهاد مع من أنكرها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فذكر الإمام </w:t>
      </w:r>
      <w:r w:rsidR="0061079A" w:rsidRPr="0061079A">
        <w:rPr>
          <w:rStyle w:val="libFootnoteAlaemChar"/>
          <w:rtl/>
        </w:rPr>
        <w:t>عليه‌السلام</w:t>
      </w:r>
      <w:r w:rsidR="00D10E3C">
        <w:rPr>
          <w:rtl/>
          <w:lang w:bidi="fa-IR"/>
        </w:rPr>
        <w:t xml:space="preserve"> </w:t>
      </w:r>
      <w:r>
        <w:rPr>
          <w:rtl/>
          <w:lang w:bidi="fa-IR"/>
        </w:rPr>
        <w:t xml:space="preserve">على المثال ، ويحتمل أن يكون الغرض بيان أنّه لا يتوهّم معاقبة الإمام عند ترك الجهاد مع عدم الأعوان » إلى قوله : « ويحتمل أن يكون الغرض بيان الفرق بين جهاد النبيّ وجهاد الإمام بأن يكون المراد بالأوّل مجاهدة النبيّ </w:t>
      </w:r>
      <w:r w:rsidR="00024D6D" w:rsidRPr="00024D6D">
        <w:rPr>
          <w:rStyle w:val="libFootnoteAlaemChar"/>
          <w:rtl/>
        </w:rPr>
        <w:t>صلى‌الله‌عليه‌وآله</w:t>
      </w:r>
      <w:r w:rsidR="00D10E3C">
        <w:rPr>
          <w:rtl/>
          <w:lang w:bidi="fa-IR"/>
        </w:rPr>
        <w:t xml:space="preserve"> </w:t>
      </w:r>
      <w:r>
        <w:rPr>
          <w:rtl/>
          <w:lang w:bidi="fa-IR"/>
        </w:rPr>
        <w:t xml:space="preserve">؛ حيث كان الخطاب في الآية متوجّهاً إليه ؛ فإنّه </w:t>
      </w:r>
      <w:r w:rsidR="004D054E" w:rsidRPr="00E13079">
        <w:rPr>
          <w:rStyle w:val="libFootnoteAlaemChar"/>
          <w:rtl/>
        </w:rPr>
        <w:t>صلى‌الله‌عليه‌وآله</w:t>
      </w:r>
      <w:r w:rsidR="00D10E3C">
        <w:rPr>
          <w:rtl/>
          <w:lang w:bidi="fa-IR"/>
        </w:rPr>
        <w:t xml:space="preserve"> </w:t>
      </w:r>
      <w:r>
        <w:rPr>
          <w:rtl/>
          <w:lang w:bidi="fa-IR"/>
        </w:rPr>
        <w:t>كان مكلّفاً بالجهاد وإن لم يعاونه أحد ، كما ورد في ذلك أخبار كثيرة في تأويل ق</w:t>
      </w:r>
      <w:r w:rsidR="00A61810">
        <w:rPr>
          <w:rtl/>
          <w:lang w:bidi="fa-IR"/>
        </w:rPr>
        <w:t xml:space="preserve">وله تعالى : </w:t>
      </w:r>
      <w:r w:rsidR="00A61810" w:rsidRPr="00E13079">
        <w:rPr>
          <w:rStyle w:val="libFootnoteAlaemChar"/>
          <w:rtl/>
        </w:rPr>
        <w:t>(</w:t>
      </w:r>
      <w:r w:rsidR="00A61810" w:rsidRPr="00E13079">
        <w:rPr>
          <w:rStyle w:val="libFootnoteAieChar"/>
          <w:rtl/>
        </w:rPr>
        <w:t xml:space="preserve"> ل</w:t>
      </w:r>
      <w:r w:rsidR="001B3BC6">
        <w:rPr>
          <w:rStyle w:val="libFootnoteAieChar"/>
          <w:rFonts w:hint="cs"/>
          <w:rtl/>
        </w:rPr>
        <w:t>َ</w:t>
      </w:r>
      <w:r w:rsidR="00A61810" w:rsidRPr="00E13079">
        <w:rPr>
          <w:rStyle w:val="libFootnoteAieChar"/>
          <w:rtl/>
        </w:rPr>
        <w:t>ا تُكَلَّفُ إِل</w:t>
      </w:r>
      <w:r w:rsidR="001B3BC6">
        <w:rPr>
          <w:rStyle w:val="libFootnoteAieChar"/>
          <w:rFonts w:hint="cs"/>
          <w:rtl/>
        </w:rPr>
        <w:t>َّ</w:t>
      </w:r>
      <w:r w:rsidR="00A61810" w:rsidRPr="00E13079">
        <w:rPr>
          <w:rStyle w:val="libFootnoteAieChar"/>
          <w:rtl/>
        </w:rPr>
        <w:t>ا</w:t>
      </w:r>
      <w:r w:rsidRPr="00E13079">
        <w:rPr>
          <w:rStyle w:val="libFootnoteAieChar"/>
          <w:rtl/>
        </w:rPr>
        <w:t xml:space="preserve"> نَفْسَكَ </w:t>
      </w:r>
      <w:r w:rsidRPr="00E13079">
        <w:rPr>
          <w:rStyle w:val="libFootnoteAlaemChar"/>
          <w:rtl/>
        </w:rPr>
        <w:t>)</w:t>
      </w:r>
      <w:r>
        <w:rPr>
          <w:rtl/>
          <w:lang w:bidi="fa-IR"/>
        </w:rPr>
        <w:t xml:space="preserve"> ، وأمّا جهاد الإمام </w:t>
      </w:r>
      <w:r w:rsidR="0061079A" w:rsidRPr="0061079A">
        <w:rPr>
          <w:rStyle w:val="libFootnoteAlaemChar"/>
          <w:rtl/>
        </w:rPr>
        <w:t>عليه‌السلام</w:t>
      </w:r>
      <w:r w:rsidR="00D10E3C">
        <w:rPr>
          <w:rtl/>
          <w:lang w:bidi="fa-IR"/>
        </w:rPr>
        <w:t xml:space="preserve"> </w:t>
      </w:r>
      <w:r>
        <w:rPr>
          <w:rtl/>
          <w:lang w:bidi="fa-IR"/>
        </w:rPr>
        <w:t>فهو مشروط باجتماع الا</w:t>
      </w:r>
      <w:r w:rsidR="00BB5676">
        <w:rPr>
          <w:rFonts w:hint="cs"/>
          <w:rtl/>
          <w:lang w:bidi="fa-IR"/>
        </w:rPr>
        <w:t>ُ</w:t>
      </w:r>
      <w:r>
        <w:rPr>
          <w:rtl/>
          <w:lang w:bidi="fa-IR"/>
        </w:rPr>
        <w:t>مّة عليه ومعاونتهم له ، فهو سنّة مشروط بما فرض على الا</w:t>
      </w:r>
      <w:r w:rsidR="00E174AD">
        <w:rPr>
          <w:rFonts w:hint="cs"/>
          <w:rtl/>
          <w:lang w:bidi="fa-IR"/>
        </w:rPr>
        <w:t>ُ</w:t>
      </w:r>
      <w:r>
        <w:rPr>
          <w:rtl/>
          <w:lang w:bidi="fa-IR"/>
        </w:rPr>
        <w:t xml:space="preserve">مّة من معاونته والاجتماع عليه ، فلا إثم عليه لو تركوا ذلك ، وفي </w:t>
      </w:r>
      <w:r w:rsidRPr="00C24F9C">
        <w:rPr>
          <w:rStyle w:val="libFootnoteBoldChar"/>
          <w:rtl/>
        </w:rPr>
        <w:t>التهذيب</w:t>
      </w:r>
      <w:r>
        <w:rPr>
          <w:rtl/>
          <w:lang w:bidi="fa-IR"/>
        </w:rPr>
        <w:t xml:space="preserve"> هكذا : وهو سنّة عليه وحده أن يأتي العدوّ ، فيكون المراد كلّ شخص ، ويؤيّد المعنى الأوّل ، ولا يخفى أنّه على الوجه الثاني الذي اخترناه لا يحتاج إلى تخصيص القسم الثاني بما إذا صار واجباً عينيّاً ، بل يدخل فيه كلّ جهاد واجب ».</w:t>
      </w:r>
    </w:p>
    <w:p w:rsidR="00744A1C" w:rsidRDefault="00744A1C" w:rsidP="00D10E3C">
      <w:pPr>
        <w:pStyle w:val="libFootnote0"/>
        <w:rPr>
          <w:lang w:bidi="fa-IR"/>
        </w:rPr>
      </w:pPr>
      <w:r>
        <w:rPr>
          <w:rtl/>
          <w:lang w:bidi="fa-IR"/>
        </w:rPr>
        <w:t>ثمّ قال : « ويحتمل الحديث وجهاً آخر بأن يكون المراد بالثاني مجاهدة العدوّ الذي لا يؤمن ضرره ؛ فإنّه واجب على الإمام ، وبالثالث جهاد العدوّ الذي لا يخاف منه ضرر ؛ فإنّه لا يجب على الإمام ، بل هو سنّة عليه ، لكن إذا اختاره أمر به يصير واجباً على الا</w:t>
      </w:r>
      <w:r w:rsidR="004D7964">
        <w:rPr>
          <w:rFonts w:hint="cs"/>
          <w:rtl/>
          <w:lang w:bidi="fa-IR"/>
        </w:rPr>
        <w:t>ُ</w:t>
      </w:r>
      <w:r>
        <w:rPr>
          <w:rtl/>
          <w:lang w:bidi="fa-IR"/>
        </w:rPr>
        <w:t>مّة لوجوب طاعته ».</w:t>
      </w:r>
    </w:p>
    <w:p w:rsidR="00744A1C" w:rsidRDefault="00E378DD" w:rsidP="00E378DD">
      <w:pPr>
        <w:pStyle w:val="libFootnote0"/>
        <w:rPr>
          <w:lang w:bidi="fa-IR"/>
        </w:rPr>
      </w:pPr>
      <w:r>
        <w:rPr>
          <w:rtl/>
          <w:lang w:bidi="fa-IR"/>
        </w:rPr>
        <w:t>(2).</w:t>
      </w:r>
      <w:r w:rsidR="00744A1C">
        <w:rPr>
          <w:rtl/>
          <w:lang w:bidi="fa-IR"/>
        </w:rPr>
        <w:t xml:space="preserve"> في </w:t>
      </w:r>
      <w:r w:rsidR="00744A1C" w:rsidRPr="003A7143">
        <w:rPr>
          <w:rStyle w:val="libFootnoteBoldChar"/>
          <w:rtl/>
        </w:rPr>
        <w:t>المحاسن</w:t>
      </w:r>
      <w:r w:rsidR="00744A1C">
        <w:rPr>
          <w:rtl/>
          <w:lang w:bidi="fa-IR"/>
        </w:rPr>
        <w:t xml:space="preserve"> و</w:t>
      </w:r>
      <w:r w:rsidR="00744A1C" w:rsidRPr="006368D2">
        <w:rPr>
          <w:rStyle w:val="libFootnoteBoldChar"/>
          <w:rtl/>
        </w:rPr>
        <w:t>الأمالي للمفيد</w:t>
      </w:r>
      <w:r w:rsidR="00744A1C">
        <w:rPr>
          <w:rtl/>
          <w:lang w:bidi="fa-IR"/>
        </w:rPr>
        <w:t xml:space="preserve"> : « سنّة عدل ، فاتّبع ، كان له مثل أجر » ب</w:t>
      </w:r>
      <w:r w:rsidR="00EE40F1">
        <w:rPr>
          <w:rtl/>
          <w:lang w:bidi="fa-IR"/>
        </w:rPr>
        <w:t>دل « سنّة حسنة ، فله أجرها وأجر</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في « ى ، بث » وحاشية « بح ، جت » و</w:t>
      </w:r>
      <w:r w:rsidR="00744A1C" w:rsidRPr="00C24F9C">
        <w:rPr>
          <w:rStyle w:val="libFootnoteBoldChar"/>
          <w:rtl/>
        </w:rPr>
        <w:t>الوافي</w:t>
      </w:r>
      <w:r w:rsidR="00744A1C">
        <w:rPr>
          <w:rtl/>
          <w:lang w:bidi="fa-IR"/>
        </w:rPr>
        <w:t xml:space="preserve"> : « أن ينتقص ».</w:t>
      </w:r>
    </w:p>
    <w:p w:rsidR="00144FA6" w:rsidRDefault="00E378DD" w:rsidP="00E378DD">
      <w:pPr>
        <w:pStyle w:val="libFootnote0"/>
        <w:rPr>
          <w:rtl/>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124 ، ح 217 ، بسنده عن عليّ بن محمّد القاساني ، عن القاسم بن محمّد ، عن</w:t>
      </w:r>
      <w:r w:rsidR="004D7964">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lastRenderedPageBreak/>
        <w:t xml:space="preserve">8218 / 2. وَبِإِسْنَادِهِ </w:t>
      </w:r>
      <w:r w:rsidRPr="00D10E3C">
        <w:rPr>
          <w:rStyle w:val="libFootnotenumChar"/>
          <w:rtl/>
        </w:rPr>
        <w:t>(1)</w:t>
      </w:r>
      <w:r>
        <w:rPr>
          <w:rtl/>
          <w:lang w:bidi="fa-IR"/>
        </w:rPr>
        <w:t xml:space="preserve"> ، عَنِ الْمِنْقَرِيِّ ، عَنْ حَفْصِ بْنِ غِيَاثٍ </w:t>
      </w:r>
      <w:r w:rsidRPr="00D10E3C">
        <w:rPr>
          <w:rStyle w:val="libFootnotenumChar"/>
          <w:rtl/>
        </w:rPr>
        <w:t>(2)</w:t>
      </w:r>
      <w:r>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سَأَلَ رَجُلٌ أَبِي - صَلَوَاتُ اللهِ عَلَيْهِ </w:t>
      </w:r>
      <w:r w:rsidRPr="00D10E3C">
        <w:rPr>
          <w:rStyle w:val="libFootnotenumChar"/>
          <w:rtl/>
        </w:rPr>
        <w:t>(3)</w:t>
      </w:r>
      <w:r>
        <w:rPr>
          <w:rtl/>
          <w:lang w:bidi="fa-IR"/>
        </w:rPr>
        <w:t xml:space="preserve"> - عَنْ حُرُوبِ أَمِيرِ الْمُؤْمِنِينَ </w:t>
      </w:r>
      <w:r w:rsidR="0061079A" w:rsidRPr="0061079A">
        <w:rPr>
          <w:rStyle w:val="libAlaemChar"/>
          <w:rtl/>
        </w:rPr>
        <w:t>عليه‌السلام</w:t>
      </w:r>
      <w:r w:rsidR="00D10E3C">
        <w:rPr>
          <w:rtl/>
          <w:lang w:bidi="fa-IR"/>
        </w:rPr>
        <w:t xml:space="preserve"> </w:t>
      </w:r>
      <w:r>
        <w:rPr>
          <w:rtl/>
          <w:lang w:bidi="fa-IR"/>
        </w:rPr>
        <w:t>وَ</w:t>
      </w:r>
      <w:r w:rsidR="00CB4BC4">
        <w:rPr>
          <w:rFonts w:hint="cs"/>
          <w:rtl/>
          <w:lang w:bidi="fa-IR"/>
        </w:rPr>
        <w:t xml:space="preserve"> </w:t>
      </w:r>
      <w:r>
        <w:rPr>
          <w:rtl/>
          <w:lang w:bidi="fa-IR"/>
        </w:rPr>
        <w:t xml:space="preserve">كَانَ السَّائِلُ مِنْ مُحِبِّينَا ، فَقَالَ لَهُ أَبُو جَعْفَرٍ </w:t>
      </w:r>
      <w:r w:rsidR="0061079A" w:rsidRPr="0061079A">
        <w:rPr>
          <w:rStyle w:val="libAlaemChar"/>
          <w:rtl/>
        </w:rPr>
        <w:t>عليه‌السلام</w:t>
      </w:r>
      <w:r w:rsidR="00D10E3C">
        <w:rPr>
          <w:rtl/>
          <w:lang w:bidi="fa-IR"/>
        </w:rPr>
        <w:t xml:space="preserve"> </w:t>
      </w:r>
      <w:r>
        <w:rPr>
          <w:rtl/>
          <w:lang w:bidi="fa-IR"/>
        </w:rPr>
        <w:t xml:space="preserve">: بَعَثَ اللهُ مُحَمَّداً </w:t>
      </w:r>
      <w:r w:rsidR="0017097C" w:rsidRPr="0017097C">
        <w:rPr>
          <w:rStyle w:val="libAlaemChar"/>
          <w:rtl/>
        </w:rPr>
        <w:t>صلى‌الله‌عليه‌وآله</w:t>
      </w:r>
      <w:r w:rsidR="00D10E3C">
        <w:rPr>
          <w:rtl/>
          <w:lang w:bidi="fa-IR"/>
        </w:rPr>
        <w:t xml:space="preserve"> </w:t>
      </w:r>
      <w:r>
        <w:rPr>
          <w:rtl/>
          <w:lang w:bidi="fa-IR"/>
        </w:rPr>
        <w:t xml:space="preserve"> بِخَمْسَةِ أَسْيَافٍ : ثَلَاثَةٌ مِنْهَا شَاهِرَةٌ </w:t>
      </w:r>
      <w:r w:rsidRPr="00D10E3C">
        <w:rPr>
          <w:rStyle w:val="libFootnotenumChar"/>
          <w:rtl/>
        </w:rPr>
        <w:t>(4)</w:t>
      </w:r>
      <w:r>
        <w:rPr>
          <w:rtl/>
          <w:lang w:bidi="fa-IR"/>
        </w:rPr>
        <w:t xml:space="preserve"> ، فَلَا تُغْمَدُ حَتّى تَضَعَ الْحَرْبُ أَوْزارَها </w:t>
      </w:r>
      <w:r w:rsidRPr="00D10E3C">
        <w:rPr>
          <w:rStyle w:val="libFootnotenumChar"/>
          <w:rtl/>
        </w:rPr>
        <w:t>(5)</w:t>
      </w:r>
      <w:r>
        <w:rPr>
          <w:rtl/>
          <w:lang w:bidi="fa-IR"/>
        </w:rPr>
        <w:t xml:space="preserve"> ، وَلَنْ تَضَعَ الْحَرْبُ أَوْزَارَهَا حَتّى تَطْلُعَ الشَّمْسُ مِنْ مَغْرِبِهَا </w:t>
      </w:r>
      <w:r w:rsidRPr="00D10E3C">
        <w:rPr>
          <w:rStyle w:val="libFootnotenumChar"/>
          <w:rtl/>
        </w:rPr>
        <w:t>(6)</w:t>
      </w:r>
      <w:r>
        <w:rPr>
          <w:rtl/>
          <w:lang w:bidi="fa-IR"/>
        </w:rPr>
        <w:t xml:space="preserve"> ، فَإِذَا طَلَعَتِ الشَّمْسُ مِنْ مَغْرِبِهَا ، آمَنَ النَّاسُ كُلُّهُمْ فِي ذلِكَ الْيَوْمِ ، فَيَوْمَئِذٍ </w:t>
      </w:r>
      <w:r w:rsidRPr="001A6057">
        <w:rPr>
          <w:rStyle w:val="libAlaemChar"/>
          <w:rtl/>
        </w:rPr>
        <w:t>(</w:t>
      </w:r>
      <w:r w:rsidRPr="001A6057">
        <w:rPr>
          <w:rStyle w:val="libAieChar"/>
          <w:rtl/>
        </w:rPr>
        <w:t xml:space="preserve"> لا يَنْفَعُ نَفْساً إِيمانُها لَمْ تَكُنْ آمَنَتْ مِنْ قَبْلُ أَوْ كَسَبَتْ فِي إِيمانِها خَيْراً </w:t>
      </w:r>
      <w:r w:rsidRPr="001A6057">
        <w:rPr>
          <w:rStyle w:val="libAlaemChar"/>
          <w:rtl/>
        </w:rPr>
        <w:t>)</w:t>
      </w:r>
      <w:r>
        <w:rPr>
          <w:rtl/>
          <w:lang w:bidi="fa-IR"/>
        </w:rPr>
        <w:t xml:space="preserve"> </w:t>
      </w:r>
      <w:r w:rsidRPr="00D10E3C">
        <w:rPr>
          <w:rStyle w:val="libFootnotenumChar"/>
          <w:rtl/>
        </w:rPr>
        <w:t>(7)</w:t>
      </w:r>
      <w:r>
        <w:rPr>
          <w:rtl/>
          <w:lang w:bidi="fa-IR"/>
        </w:rPr>
        <w:t xml:space="preserve"> ؛ وَ</w:t>
      </w:r>
      <w:r w:rsidR="001A6057">
        <w:rPr>
          <w:rFonts w:hint="cs"/>
          <w:rtl/>
          <w:lang w:bidi="fa-IR"/>
        </w:rPr>
        <w:t xml:space="preserve"> </w:t>
      </w:r>
      <w:r>
        <w:rPr>
          <w:rtl/>
          <w:lang w:bidi="fa-IR"/>
        </w:rPr>
        <w:t>سَيْفٌ مِنْهَا‌</w:t>
      </w:r>
    </w:p>
    <w:p w:rsidR="00744A1C" w:rsidRDefault="00744A1C" w:rsidP="00D10E3C">
      <w:pPr>
        <w:pStyle w:val="libLine"/>
        <w:rPr>
          <w:lang w:bidi="fa-IR"/>
        </w:rPr>
      </w:pPr>
      <w:r>
        <w:rPr>
          <w:rtl/>
          <w:lang w:bidi="fa-IR"/>
        </w:rPr>
        <w:t>____________________</w:t>
      </w:r>
    </w:p>
    <w:p w:rsidR="00744A1C" w:rsidRDefault="001B502E" w:rsidP="00D10E3C">
      <w:pPr>
        <w:pStyle w:val="libFootnote0"/>
        <w:rPr>
          <w:lang w:bidi="fa-IR"/>
        </w:rPr>
      </w:pPr>
      <w:r>
        <w:rPr>
          <w:rFonts w:hint="cs"/>
          <w:rtl/>
          <w:lang w:bidi="fa-IR"/>
        </w:rPr>
        <w:t xml:space="preserve">= </w:t>
      </w:r>
      <w:r w:rsidR="00744A1C">
        <w:rPr>
          <w:rtl/>
          <w:lang w:bidi="fa-IR"/>
        </w:rPr>
        <w:t xml:space="preserve">سليمان بن داود المنقري ، عن حفص بن غياث ، عن أبي عبدالله </w:t>
      </w:r>
      <w:r w:rsidR="0061079A" w:rsidRPr="0061079A">
        <w:rPr>
          <w:rStyle w:val="libFootnoteAlaemChar"/>
          <w:rtl/>
        </w:rPr>
        <w:t>عليه‌السلام</w:t>
      </w:r>
      <w:r w:rsidR="00744A1C">
        <w:rPr>
          <w:rtl/>
          <w:lang w:bidi="fa-IR"/>
        </w:rPr>
        <w:t xml:space="preserve"> . الخصال ، ص 240 ، باب الأربعة ، ح 89 ، بسنده عن القاسم بن محمّد الإصفهاني ، عن سليمان بن داود المنقري. وفي </w:t>
      </w:r>
      <w:r w:rsidR="00744A1C" w:rsidRPr="00610FB4">
        <w:rPr>
          <w:rStyle w:val="libFootnoteBoldChar"/>
          <w:rtl/>
        </w:rPr>
        <w:t>تفسير القمّي</w:t>
      </w:r>
      <w:r w:rsidR="00744A1C">
        <w:rPr>
          <w:rtl/>
          <w:lang w:bidi="fa-IR"/>
        </w:rPr>
        <w:t xml:space="preserve"> ، ج 2 ، ص 397 ؛ و</w:t>
      </w:r>
      <w:r w:rsidR="00744A1C" w:rsidRPr="003A7143">
        <w:rPr>
          <w:rStyle w:val="libFootnoteBoldChar"/>
          <w:rtl/>
        </w:rPr>
        <w:t>المحاسن</w:t>
      </w:r>
      <w:r w:rsidR="00744A1C">
        <w:rPr>
          <w:rtl/>
          <w:lang w:bidi="fa-IR"/>
        </w:rPr>
        <w:t xml:space="preserve"> ، ص 27 ، كتاب ثواب الأعمال ، ح 8 ؛ و</w:t>
      </w:r>
      <w:r>
        <w:rPr>
          <w:rFonts w:hint="cs"/>
          <w:rtl/>
          <w:lang w:bidi="fa-IR"/>
        </w:rPr>
        <w:t xml:space="preserve"> </w:t>
      </w:r>
      <w:r w:rsidR="00744A1C" w:rsidRPr="006368D2">
        <w:rPr>
          <w:rStyle w:val="libFootnoteBoldChar"/>
          <w:rtl/>
        </w:rPr>
        <w:t>الأمالي للمفيد</w:t>
      </w:r>
      <w:r w:rsidR="00744A1C">
        <w:rPr>
          <w:rtl/>
          <w:lang w:bidi="fa-IR"/>
        </w:rPr>
        <w:t xml:space="preserve"> ، ص 191 ، المجلس 23 ، ح 19 ، بسند آخر عن أبي جعفر </w:t>
      </w:r>
      <w:r w:rsidR="0061079A" w:rsidRPr="0061079A">
        <w:rPr>
          <w:rStyle w:val="libFootnoteAlaemChar"/>
          <w:rtl/>
        </w:rPr>
        <w:t>عليه‌السلام</w:t>
      </w:r>
      <w:r w:rsidR="00744A1C">
        <w:rPr>
          <w:rtl/>
          <w:lang w:bidi="fa-IR"/>
        </w:rPr>
        <w:t xml:space="preserve"> . </w:t>
      </w:r>
      <w:r w:rsidR="00744A1C" w:rsidRPr="00211914">
        <w:rPr>
          <w:rStyle w:val="libFootnoteBoldChar"/>
          <w:rtl/>
        </w:rPr>
        <w:t>الاختصاص</w:t>
      </w:r>
      <w:r w:rsidR="00744A1C">
        <w:rPr>
          <w:rtl/>
          <w:lang w:bidi="fa-IR"/>
        </w:rPr>
        <w:t xml:space="preserve"> ، ص 251 ، مرسلاً عن العالم </w:t>
      </w:r>
      <w:r w:rsidR="0061079A" w:rsidRPr="0061079A">
        <w:rPr>
          <w:rStyle w:val="libFootnoteAlaemChar"/>
          <w:rtl/>
        </w:rPr>
        <w:t>عليه‌السلام</w:t>
      </w:r>
      <w:r w:rsidR="00D10E3C">
        <w:rPr>
          <w:rtl/>
          <w:lang w:bidi="fa-IR"/>
        </w:rPr>
        <w:t xml:space="preserve"> </w:t>
      </w:r>
      <w:r w:rsidR="00744A1C">
        <w:rPr>
          <w:rtl/>
          <w:lang w:bidi="fa-IR"/>
        </w:rPr>
        <w:t xml:space="preserve">، وفي الأربعة الأخيرة من قوله : « من سنّ سنّة حسنة » مع زيادة. راجع : </w:t>
      </w:r>
      <w:r w:rsidR="00744A1C" w:rsidRPr="0061079A">
        <w:rPr>
          <w:rStyle w:val="libFootnoteBoldChar"/>
          <w:rtl/>
        </w:rPr>
        <w:t>الكافي</w:t>
      </w:r>
      <w:r w:rsidR="00744A1C">
        <w:rPr>
          <w:rtl/>
          <w:lang w:bidi="fa-IR"/>
        </w:rPr>
        <w:t xml:space="preserve"> ، كتاب الوصايا ، باب ما يلحق الميّت بعد موته ، ح 13287 ؛ و</w:t>
      </w:r>
      <w:r>
        <w:rPr>
          <w:rFonts w:hint="cs"/>
          <w:rtl/>
          <w:lang w:bidi="fa-IR"/>
        </w:rPr>
        <w:t xml:space="preserve"> </w:t>
      </w:r>
      <w:r w:rsidR="00744A1C" w:rsidRPr="001B502E">
        <w:rPr>
          <w:rStyle w:val="libFootnoteBoldChar"/>
          <w:rtl/>
        </w:rPr>
        <w:t>الأمالي للصدوق</w:t>
      </w:r>
      <w:r w:rsidR="00744A1C">
        <w:rPr>
          <w:rtl/>
          <w:lang w:bidi="fa-IR"/>
        </w:rPr>
        <w:t xml:space="preserve"> ، ص 169 ، </w:t>
      </w:r>
      <w:r w:rsidR="00744A1C" w:rsidRPr="001B502E">
        <w:rPr>
          <w:rStyle w:val="libFootnoteBoldChar"/>
          <w:rtl/>
        </w:rPr>
        <w:t>المجلس</w:t>
      </w:r>
      <w:r w:rsidR="00744A1C">
        <w:rPr>
          <w:rtl/>
          <w:lang w:bidi="fa-IR"/>
        </w:rPr>
        <w:t xml:space="preserve"> 32 ، ح 2 ؛ </w:t>
      </w:r>
      <w:r w:rsidR="00744A1C" w:rsidRPr="004D054E">
        <w:rPr>
          <w:rStyle w:val="libFootnoteBoldChar"/>
          <w:rtl/>
        </w:rPr>
        <w:t>وثواب الأعمال</w:t>
      </w:r>
      <w:r w:rsidR="00744A1C">
        <w:rPr>
          <w:rtl/>
          <w:lang w:bidi="fa-IR"/>
        </w:rPr>
        <w:t xml:space="preserve"> ، ص 160 ، ح 1 ؛ و</w:t>
      </w:r>
      <w:r>
        <w:rPr>
          <w:rFonts w:hint="cs"/>
          <w:rtl/>
          <w:lang w:bidi="fa-IR"/>
        </w:rPr>
        <w:t xml:space="preserve"> </w:t>
      </w:r>
      <w:r w:rsidR="00744A1C" w:rsidRPr="001B502E">
        <w:rPr>
          <w:rStyle w:val="libFootnoteBoldChar"/>
          <w:rtl/>
        </w:rPr>
        <w:t>الخصال</w:t>
      </w:r>
      <w:r w:rsidR="00744A1C">
        <w:rPr>
          <w:rtl/>
          <w:lang w:bidi="fa-IR"/>
        </w:rPr>
        <w:t xml:space="preserve"> ، ص 323 ، باب السنّة ، ح 9 </w:t>
      </w:r>
      <w:r>
        <w:rPr>
          <w:rFonts w:hint="cs"/>
          <w:rtl/>
          <w:lang w:bidi="fa-IR"/>
        </w:rPr>
        <w:t>.</w:t>
      </w:r>
      <w:r w:rsidR="00744A1C" w:rsidRPr="00C24F9C">
        <w:rPr>
          <w:rStyle w:val="libFootnoteBoldChar"/>
          <w:rtl/>
        </w:rPr>
        <w:t>الوافي</w:t>
      </w:r>
      <w:r w:rsidR="00744A1C">
        <w:rPr>
          <w:rtl/>
          <w:lang w:bidi="fa-IR"/>
        </w:rPr>
        <w:t xml:space="preserve"> ، ج 15 ، ص 57 ، ح 14703 ؛ </w:t>
      </w:r>
      <w:r w:rsidR="00744A1C" w:rsidRPr="00C24F9C">
        <w:rPr>
          <w:rStyle w:val="libFootnoteBoldChar"/>
          <w:rtl/>
        </w:rPr>
        <w:t>الوسائل</w:t>
      </w:r>
      <w:r w:rsidR="00744A1C">
        <w:rPr>
          <w:rtl/>
          <w:lang w:bidi="fa-IR"/>
        </w:rPr>
        <w:t xml:space="preserve"> ، ج 15 ، ص 24 ، ح 19937.</w:t>
      </w:r>
    </w:p>
    <w:p w:rsidR="00744A1C" w:rsidRDefault="00D10E3C" w:rsidP="00D10E3C">
      <w:pPr>
        <w:pStyle w:val="libFootnote0"/>
        <w:rPr>
          <w:lang w:bidi="fa-IR"/>
        </w:rPr>
      </w:pPr>
      <w:r>
        <w:rPr>
          <w:rtl/>
          <w:lang w:bidi="fa-IR"/>
        </w:rPr>
        <w:t>(1).</w:t>
      </w:r>
      <w:r w:rsidR="00744A1C">
        <w:rPr>
          <w:rtl/>
          <w:lang w:bidi="fa-IR"/>
        </w:rPr>
        <w:t xml:space="preserve"> المراد من « بإسناده » هو السند المتقدّم إلى سليمان بن داود المنقري ؛ فقد ورد الخبر في </w:t>
      </w:r>
      <w:r w:rsidR="00744A1C" w:rsidRPr="00610FB4">
        <w:rPr>
          <w:rStyle w:val="libFootnoteBoldChar"/>
          <w:rtl/>
        </w:rPr>
        <w:t>تفسير القمّي</w:t>
      </w:r>
      <w:r w:rsidR="00744A1C">
        <w:rPr>
          <w:rtl/>
          <w:lang w:bidi="fa-IR"/>
        </w:rPr>
        <w:t xml:space="preserve"> ، ج 2 ، ص 320 وسنده هكذا : « قال : حدّثني أبي عن القاسم بن محمّد ، عن سليمان بن داود المنقري ، عن حفص بن غياث » والشيخ الطوسي أيضاً روى الخبر في </w:t>
      </w:r>
      <w:r w:rsidR="00744A1C" w:rsidRPr="00C24F9C">
        <w:rPr>
          <w:rStyle w:val="libFootnoteBoldChar"/>
          <w:rtl/>
        </w:rPr>
        <w:t>التهذيب</w:t>
      </w:r>
      <w:r w:rsidR="00744A1C">
        <w:rPr>
          <w:rtl/>
          <w:lang w:bidi="fa-IR"/>
        </w:rPr>
        <w:t xml:space="preserve"> ، ج 4 ، ص 114 ، ح 326 ؛ وج 6 ، ص 136 ، ح 230 بسنديه ، عن عليّ بن محمّد القاساني ، عن القاسم بن محمّد ، عن سليمان بن داود المنقري ، عن حفص بن غياث.</w:t>
      </w:r>
    </w:p>
    <w:p w:rsidR="00744A1C" w:rsidRDefault="00E378DD" w:rsidP="00E378DD">
      <w:pPr>
        <w:pStyle w:val="libFootnote0"/>
        <w:rPr>
          <w:lang w:bidi="fa-IR"/>
        </w:rPr>
      </w:pPr>
      <w:r>
        <w:rPr>
          <w:rtl/>
          <w:lang w:bidi="fa-IR"/>
        </w:rPr>
        <w:t>(2).</w:t>
      </w:r>
      <w:r w:rsidR="00744A1C">
        <w:rPr>
          <w:rtl/>
          <w:lang w:bidi="fa-IR"/>
        </w:rPr>
        <w:t xml:space="preserve"> في </w:t>
      </w:r>
      <w:r w:rsidR="00744A1C" w:rsidRPr="0061079A">
        <w:rPr>
          <w:rStyle w:val="libFootnoteBoldChar"/>
          <w:rtl/>
        </w:rPr>
        <w:t>البحار</w:t>
      </w:r>
      <w:r w:rsidR="00744A1C">
        <w:rPr>
          <w:rtl/>
          <w:lang w:bidi="fa-IR"/>
        </w:rPr>
        <w:t xml:space="preserve"> ، ج 6 و 32 : « فضيل بن عياض » بدل « حفص بن غياث ».</w:t>
      </w:r>
    </w:p>
    <w:p w:rsidR="00744A1C" w:rsidRDefault="00E378DD" w:rsidP="00E378DD">
      <w:pPr>
        <w:pStyle w:val="libFootnote0"/>
        <w:rPr>
          <w:lang w:bidi="fa-IR"/>
        </w:rPr>
      </w:pPr>
      <w:r>
        <w:rPr>
          <w:rtl/>
          <w:lang w:bidi="fa-IR"/>
        </w:rPr>
        <w:t>(3).</w:t>
      </w:r>
      <w:r w:rsidR="00744A1C">
        <w:rPr>
          <w:rtl/>
          <w:lang w:bidi="fa-IR"/>
        </w:rPr>
        <w:t xml:space="preserve"> في </w:t>
      </w:r>
      <w:r w:rsidR="00744A1C" w:rsidRPr="00610FB4">
        <w:rPr>
          <w:rStyle w:val="libFootnoteBoldChar"/>
          <w:rtl/>
        </w:rPr>
        <w:t>تفسير القمّي</w:t>
      </w:r>
      <w:r w:rsidR="00744A1C">
        <w:rPr>
          <w:rtl/>
          <w:lang w:bidi="fa-IR"/>
        </w:rPr>
        <w:t xml:space="preserve"> : - « أبي صلوات الله عليه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شاهرة : مجرّدة من الغمد ». وفي اللغة : الشاهرة : هو المبرز للسيف من غمده ، والسيف : مشهور ، الل</w:t>
      </w:r>
      <w:r w:rsidR="001B502E">
        <w:rPr>
          <w:rFonts w:hint="cs"/>
          <w:rtl/>
          <w:lang w:bidi="fa-IR"/>
        </w:rPr>
        <w:t>ّ</w:t>
      </w:r>
      <w:r w:rsidR="000651E1">
        <w:rPr>
          <w:rtl/>
          <w:lang w:bidi="fa-IR"/>
        </w:rPr>
        <w:t>همّ إل</w:t>
      </w:r>
      <w:r w:rsidR="000651E1">
        <w:rPr>
          <w:rFonts w:hint="cs"/>
          <w:rtl/>
          <w:lang w:bidi="fa-IR"/>
        </w:rPr>
        <w:t>ّ</w:t>
      </w:r>
      <w:r w:rsidR="000651E1">
        <w:rPr>
          <w:rtl/>
          <w:lang w:bidi="fa-IR"/>
        </w:rPr>
        <w:t>ا</w:t>
      </w:r>
      <w:r w:rsidR="00744A1C">
        <w:rPr>
          <w:rtl/>
          <w:lang w:bidi="fa-IR"/>
        </w:rPr>
        <w:t xml:space="preserve"> أن تكون مأخوذة من الشهرة بمعنى وضوح الأمر ، أي ظاهرة ، أو خارجة. راجع : </w:t>
      </w:r>
      <w:r w:rsidR="00744A1C" w:rsidRPr="00E978C3">
        <w:rPr>
          <w:rStyle w:val="libFootnoteBoldChar"/>
          <w:rtl/>
        </w:rPr>
        <w:t>الصحاح</w:t>
      </w:r>
      <w:r w:rsidR="00744A1C">
        <w:rPr>
          <w:rtl/>
          <w:lang w:bidi="fa-IR"/>
        </w:rPr>
        <w:t xml:space="preserve"> ، ج 2 ، ص 705 ؛ </w:t>
      </w:r>
      <w:r w:rsidR="00744A1C" w:rsidRPr="00877682">
        <w:rPr>
          <w:rStyle w:val="libFootnoteBoldChar"/>
          <w:rtl/>
        </w:rPr>
        <w:t>لسان العرب</w:t>
      </w:r>
      <w:r w:rsidR="00744A1C">
        <w:rPr>
          <w:rtl/>
          <w:lang w:bidi="fa-IR"/>
        </w:rPr>
        <w:t xml:space="preserve"> ، ج 4 ، ص 433 ( شهر ).</w:t>
      </w:r>
    </w:p>
    <w:p w:rsidR="00744A1C" w:rsidRDefault="00E378DD" w:rsidP="00E378DD">
      <w:pPr>
        <w:pStyle w:val="libFootnote0"/>
        <w:rPr>
          <w:lang w:bidi="fa-IR"/>
        </w:rPr>
      </w:pPr>
      <w:r>
        <w:rPr>
          <w:rtl/>
          <w:lang w:bidi="fa-IR"/>
        </w:rPr>
        <w:t>(5).</w:t>
      </w:r>
      <w:r w:rsidR="00744A1C">
        <w:rPr>
          <w:rtl/>
          <w:lang w:bidi="fa-IR"/>
        </w:rPr>
        <w:t xml:space="preserve"> الوِزر : الحَمل ، والثقل. و</w:t>
      </w:r>
      <w:r w:rsidR="00A653E8">
        <w:rPr>
          <w:rFonts w:hint="cs"/>
          <w:rtl/>
          <w:lang w:bidi="fa-IR"/>
        </w:rPr>
        <w:t xml:space="preserve"> </w:t>
      </w:r>
      <w:r w:rsidR="00744A1C">
        <w:rPr>
          <w:rtl/>
          <w:lang w:bidi="fa-IR"/>
        </w:rPr>
        <w:t xml:space="preserve">الوِزر : السلاح. قال الراغب في المفردات ، ص 868 ( وزر ) : « أوزار الحرب ، واحدها وِزرٌ : آلتها من السلاح ». وفي </w:t>
      </w:r>
      <w:r w:rsidR="00744A1C" w:rsidRPr="00C24F9C">
        <w:rPr>
          <w:rStyle w:val="libFootnoteBoldChar"/>
          <w:rtl/>
        </w:rPr>
        <w:t>الوافي</w:t>
      </w:r>
      <w:r w:rsidR="00744A1C">
        <w:rPr>
          <w:rtl/>
          <w:lang w:bidi="fa-IR"/>
        </w:rPr>
        <w:t xml:space="preserve"> : « أي تنقضي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ولعلّ طلوع الشمس من مغربها كناية عن أشراط الساعة وقيام القيامة ».</w:t>
      </w:r>
    </w:p>
    <w:p w:rsidR="00744A1C" w:rsidRDefault="00E378DD" w:rsidP="00E378DD">
      <w:pPr>
        <w:pStyle w:val="libFootnote0"/>
        <w:rPr>
          <w:lang w:bidi="fa-IR"/>
        </w:rPr>
      </w:pPr>
      <w:r>
        <w:rPr>
          <w:rtl/>
          <w:lang w:bidi="fa-IR"/>
        </w:rPr>
        <w:t>(7).</w:t>
      </w:r>
      <w:r w:rsidR="00744A1C">
        <w:rPr>
          <w:rtl/>
          <w:lang w:bidi="fa-IR"/>
        </w:rPr>
        <w:t xml:space="preserve"> الأنعام </w:t>
      </w:r>
      <w:r w:rsidR="00A653E8">
        <w:rPr>
          <w:rtl/>
          <w:lang w:bidi="fa-IR"/>
        </w:rPr>
        <w:t>(6)</w:t>
      </w:r>
      <w:r w:rsidR="00744A1C">
        <w:rPr>
          <w:rtl/>
          <w:lang w:bidi="fa-IR"/>
        </w:rPr>
        <w:t xml:space="preserve"> : 158.</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lastRenderedPageBreak/>
        <w:t xml:space="preserve">مَكْفُوفٌ </w:t>
      </w:r>
      <w:r w:rsidRPr="00D10E3C">
        <w:rPr>
          <w:rStyle w:val="libFootnotenumChar"/>
          <w:rtl/>
        </w:rPr>
        <w:t>(1)</w:t>
      </w:r>
      <w:r>
        <w:rPr>
          <w:rtl/>
          <w:lang w:bidi="fa-IR"/>
        </w:rPr>
        <w:t xml:space="preserve"> ؛ وَ</w:t>
      </w:r>
      <w:r w:rsidR="00A653E8">
        <w:rPr>
          <w:rFonts w:hint="cs"/>
          <w:rtl/>
          <w:lang w:bidi="fa-IR"/>
        </w:rPr>
        <w:t xml:space="preserve"> </w:t>
      </w:r>
      <w:r>
        <w:rPr>
          <w:rtl/>
          <w:lang w:bidi="fa-IR"/>
        </w:rPr>
        <w:t xml:space="preserve">سَيْفٌ مِنْهَا مَغْمُودٌ </w:t>
      </w:r>
      <w:r w:rsidRPr="00D10E3C">
        <w:rPr>
          <w:rStyle w:val="libFootnotenumChar"/>
          <w:rtl/>
        </w:rPr>
        <w:t>(2)</w:t>
      </w:r>
      <w:r>
        <w:rPr>
          <w:rtl/>
          <w:lang w:bidi="fa-IR"/>
        </w:rPr>
        <w:t xml:space="preserve"> سَلُّهُ </w:t>
      </w:r>
      <w:r w:rsidRPr="00D10E3C">
        <w:rPr>
          <w:rStyle w:val="libFootnotenumChar"/>
          <w:rtl/>
        </w:rPr>
        <w:t>(3)</w:t>
      </w:r>
      <w:r>
        <w:rPr>
          <w:rtl/>
          <w:lang w:bidi="fa-IR"/>
        </w:rPr>
        <w:t xml:space="preserve"> إِلى غَيْرِنَا ، وَحُكْمُهُ إِلَيْنَا.</w:t>
      </w:r>
    </w:p>
    <w:p w:rsidR="00744A1C" w:rsidRDefault="00744A1C" w:rsidP="00A653E8">
      <w:pPr>
        <w:pStyle w:val="libNormal"/>
        <w:rPr>
          <w:lang w:bidi="fa-IR"/>
        </w:rPr>
      </w:pPr>
      <w:r>
        <w:rPr>
          <w:rtl/>
          <w:lang w:bidi="fa-IR"/>
        </w:rPr>
        <w:t>وَ</w:t>
      </w:r>
      <w:r w:rsidR="00A653E8">
        <w:rPr>
          <w:rFonts w:hint="cs"/>
          <w:rtl/>
          <w:lang w:bidi="fa-IR"/>
        </w:rPr>
        <w:t xml:space="preserve"> </w:t>
      </w:r>
      <w:r>
        <w:rPr>
          <w:rtl/>
          <w:lang w:bidi="fa-IR"/>
        </w:rPr>
        <w:t xml:space="preserve">أَمَّا السُّيُوفُ الثَّلَاثَةُ الْمَشْهُورَةُ </w:t>
      </w:r>
      <w:r w:rsidRPr="00D10E3C">
        <w:rPr>
          <w:rStyle w:val="libFootnotenumChar"/>
          <w:rtl/>
        </w:rPr>
        <w:t>(4)</w:t>
      </w:r>
      <w:r>
        <w:rPr>
          <w:rtl/>
          <w:lang w:bidi="fa-IR"/>
        </w:rPr>
        <w:t xml:space="preserve"> ، فَسَيْفٌ عَلى مُشْرِكِي الْعَرَبِ ، قَالَ اللهُ عَزَّ وَجَلَّ : </w:t>
      </w:r>
      <w:r w:rsidRPr="00A653E8">
        <w:rPr>
          <w:rStyle w:val="libAlaemChar"/>
          <w:rtl/>
        </w:rPr>
        <w:t>(</w:t>
      </w:r>
      <w:r w:rsidRPr="00A653E8">
        <w:rPr>
          <w:rStyle w:val="libAieChar"/>
          <w:rtl/>
        </w:rPr>
        <w:t xml:space="preserve">فَاقْتُلُوا </w:t>
      </w:r>
      <w:r w:rsidRPr="00D10E3C">
        <w:rPr>
          <w:rStyle w:val="libFootnotenumChar"/>
          <w:rtl/>
        </w:rPr>
        <w:t>(5)</w:t>
      </w:r>
      <w:r w:rsidRPr="00A653E8">
        <w:rPr>
          <w:rStyle w:val="libAieChar"/>
          <w:rtl/>
        </w:rPr>
        <w:t xml:space="preserve"> الْمُشْرِكِينَ حَيْثُ وَجَدْتُمُوهُمْ وَ</w:t>
      </w:r>
      <w:r w:rsidR="00A653E8" w:rsidRPr="00A653E8">
        <w:rPr>
          <w:rStyle w:val="libAieChar"/>
          <w:rFonts w:hint="cs"/>
          <w:rtl/>
        </w:rPr>
        <w:t xml:space="preserve"> </w:t>
      </w:r>
      <w:r w:rsidRPr="00A653E8">
        <w:rPr>
          <w:rStyle w:val="libAieChar"/>
          <w:rtl/>
        </w:rPr>
        <w:t>خُذُوهُمْ وَ</w:t>
      </w:r>
      <w:r w:rsidR="00A653E8" w:rsidRPr="00A653E8">
        <w:rPr>
          <w:rStyle w:val="libAieChar"/>
          <w:rFonts w:hint="cs"/>
          <w:rtl/>
        </w:rPr>
        <w:t xml:space="preserve"> </w:t>
      </w:r>
      <w:r w:rsidRPr="00A653E8">
        <w:rPr>
          <w:rStyle w:val="libAieChar"/>
          <w:rtl/>
        </w:rPr>
        <w:t>احْصُرُوهُمْ وَ</w:t>
      </w:r>
      <w:r w:rsidR="00A653E8" w:rsidRPr="00A653E8">
        <w:rPr>
          <w:rStyle w:val="libAieChar"/>
          <w:rFonts w:hint="cs"/>
          <w:rtl/>
        </w:rPr>
        <w:t xml:space="preserve"> </w:t>
      </w:r>
      <w:r w:rsidRPr="00A653E8">
        <w:rPr>
          <w:rStyle w:val="libAieChar"/>
          <w:rtl/>
        </w:rPr>
        <w:t xml:space="preserve">اقْعُدُوا لَهُمْ كُلَّ مَرْصَدٍ </w:t>
      </w:r>
      <w:r w:rsidR="00A653E8" w:rsidRPr="00A653E8">
        <w:rPr>
          <w:rStyle w:val="libAlaemChar"/>
          <w:rtl/>
        </w:rPr>
        <w:t>)</w:t>
      </w:r>
      <w:r w:rsidR="00A653E8" w:rsidRPr="00A653E8">
        <w:rPr>
          <w:rtl/>
        </w:rPr>
        <w:t xml:space="preserve"> </w:t>
      </w:r>
      <w:r w:rsidRPr="00D10E3C">
        <w:rPr>
          <w:rStyle w:val="libFootnotenumChar"/>
          <w:rtl/>
        </w:rPr>
        <w:t>(6)</w:t>
      </w:r>
      <w:r>
        <w:rPr>
          <w:rtl/>
          <w:lang w:bidi="fa-IR"/>
        </w:rPr>
        <w:t xml:space="preserve"> </w:t>
      </w:r>
      <w:r w:rsidR="00A653E8" w:rsidRPr="00A653E8">
        <w:rPr>
          <w:rStyle w:val="libAlaemChar"/>
          <w:rtl/>
        </w:rPr>
        <w:t>(</w:t>
      </w:r>
      <w:r w:rsidR="00A653E8">
        <w:rPr>
          <w:rStyle w:val="libAlaemChar"/>
          <w:rFonts w:hint="cs"/>
          <w:rtl/>
        </w:rPr>
        <w:t xml:space="preserve"> </w:t>
      </w:r>
      <w:r w:rsidRPr="00A653E8">
        <w:rPr>
          <w:rStyle w:val="libAieChar"/>
          <w:rtl/>
        </w:rPr>
        <w:t xml:space="preserve">فَإِنْ تابُوا </w:t>
      </w:r>
      <w:r w:rsidRPr="00A653E8">
        <w:rPr>
          <w:rStyle w:val="libAlaemChar"/>
          <w:rtl/>
        </w:rPr>
        <w:t>)</w:t>
      </w:r>
      <w:r>
        <w:rPr>
          <w:rtl/>
          <w:lang w:bidi="fa-IR"/>
        </w:rPr>
        <w:t xml:space="preserve"> يَعْنِي آمَنُوا </w:t>
      </w:r>
      <w:r w:rsidR="00A653E8" w:rsidRPr="00A653E8">
        <w:rPr>
          <w:rStyle w:val="libAlaemChar"/>
          <w:rtl/>
        </w:rPr>
        <w:t>(</w:t>
      </w:r>
      <w:r w:rsidRPr="00A653E8">
        <w:rPr>
          <w:rStyle w:val="libAieChar"/>
          <w:rtl/>
        </w:rPr>
        <w:t xml:space="preserve"> وَ</w:t>
      </w:r>
      <w:r w:rsidR="00A653E8" w:rsidRPr="00A653E8">
        <w:rPr>
          <w:rStyle w:val="libAieChar"/>
          <w:rFonts w:hint="cs"/>
          <w:rtl/>
        </w:rPr>
        <w:t xml:space="preserve"> </w:t>
      </w:r>
      <w:r w:rsidRPr="00A653E8">
        <w:rPr>
          <w:rStyle w:val="libAieChar"/>
          <w:rtl/>
        </w:rPr>
        <w:t>أَقامُوا الصَّلاةَ وَ</w:t>
      </w:r>
      <w:r w:rsidR="00A653E8" w:rsidRPr="00A653E8">
        <w:rPr>
          <w:rStyle w:val="libAieChar"/>
          <w:rFonts w:hint="cs"/>
          <w:rtl/>
        </w:rPr>
        <w:t xml:space="preserve"> </w:t>
      </w:r>
      <w:r w:rsidRPr="00A653E8">
        <w:rPr>
          <w:rStyle w:val="libAieChar"/>
          <w:rtl/>
        </w:rPr>
        <w:t xml:space="preserve">آتَوُا الزَّكاةَ فَإِخْوانُكُمْ فِي الدِّينِ </w:t>
      </w:r>
      <w:r w:rsidRPr="00A653E8">
        <w:rPr>
          <w:rStyle w:val="libAlaemChar"/>
          <w:rtl/>
        </w:rPr>
        <w:t>)</w:t>
      </w:r>
      <w:r>
        <w:rPr>
          <w:rtl/>
          <w:lang w:bidi="fa-IR"/>
        </w:rPr>
        <w:t xml:space="preserve"> </w:t>
      </w:r>
      <w:r w:rsidRPr="00D10E3C">
        <w:rPr>
          <w:rStyle w:val="libFootnotenumChar"/>
          <w:rtl/>
        </w:rPr>
        <w:t>(7)</w:t>
      </w:r>
      <w:r>
        <w:rPr>
          <w:rtl/>
          <w:lang w:bidi="fa-IR"/>
        </w:rPr>
        <w:t xml:space="preserve"> فَهؤُلَ</w:t>
      </w:r>
      <w:r w:rsidR="001C70C1">
        <w:rPr>
          <w:rtl/>
          <w:lang w:bidi="fa-IR"/>
        </w:rPr>
        <w:t>اءِ لَايُقْبَلُ‌ مِنْهُمْ إِل</w:t>
      </w:r>
      <w:r w:rsidR="001C70C1">
        <w:rPr>
          <w:rFonts w:hint="cs"/>
          <w:rtl/>
          <w:lang w:bidi="fa-IR"/>
        </w:rPr>
        <w:t>َّ</w:t>
      </w:r>
      <w:r w:rsidR="001C70C1">
        <w:rPr>
          <w:rtl/>
          <w:lang w:bidi="fa-IR"/>
        </w:rPr>
        <w:t>ا</w:t>
      </w:r>
      <w:r>
        <w:rPr>
          <w:rtl/>
          <w:lang w:bidi="fa-IR"/>
        </w:rPr>
        <w:t xml:space="preserve"> الْقَتْلُ أَوِ الدُّخُولُ فِي الْإِسْلَامِ ، وَأَمْوَالُهُمْ </w:t>
      </w:r>
      <w:r w:rsidRPr="00D10E3C">
        <w:rPr>
          <w:rStyle w:val="libFootnotenumChar"/>
          <w:rtl/>
        </w:rPr>
        <w:t>(8)</w:t>
      </w:r>
      <w:r>
        <w:rPr>
          <w:rtl/>
          <w:lang w:bidi="fa-IR"/>
        </w:rPr>
        <w:t xml:space="preserve"> وَذَرَارِيُّهُمْ </w:t>
      </w:r>
      <w:r w:rsidRPr="00D10E3C">
        <w:rPr>
          <w:rStyle w:val="libFootnotenumChar"/>
          <w:rtl/>
        </w:rPr>
        <w:t>(9)</w:t>
      </w:r>
      <w:r>
        <w:rPr>
          <w:rtl/>
          <w:lang w:bidi="fa-IR"/>
        </w:rPr>
        <w:t xml:space="preserve"> سَبْيٌ عَلى مَا سَنَّ رَسُولُ اللهِ </w:t>
      </w:r>
      <w:r w:rsidR="007B299E" w:rsidRPr="007B299E">
        <w:rPr>
          <w:rStyle w:val="libAlaemChar"/>
          <w:rtl/>
        </w:rPr>
        <w:t>صلى‌الله‌عليه‌وآله</w:t>
      </w:r>
      <w:r w:rsidR="00D10E3C">
        <w:rPr>
          <w:rtl/>
          <w:lang w:bidi="fa-IR"/>
        </w:rPr>
        <w:t xml:space="preserve"> </w:t>
      </w:r>
      <w:r>
        <w:rPr>
          <w:rtl/>
          <w:lang w:bidi="fa-IR"/>
        </w:rPr>
        <w:t>؛ فَإِنَّهُ سَبى وَعَفَا وَقَبِلَ الْفِدَاءَ.</w:t>
      </w:r>
    </w:p>
    <w:p w:rsidR="00144FA6" w:rsidRDefault="00744A1C" w:rsidP="00744A1C">
      <w:pPr>
        <w:pStyle w:val="libNormal"/>
        <w:rPr>
          <w:rtl/>
          <w:lang w:bidi="fa-IR"/>
        </w:rPr>
      </w:pPr>
      <w:r>
        <w:rPr>
          <w:rtl/>
          <w:lang w:bidi="fa-IR"/>
        </w:rPr>
        <w:t>وَ</w:t>
      </w:r>
      <w:r w:rsidR="001C70C1">
        <w:rPr>
          <w:rFonts w:hint="cs"/>
          <w:rtl/>
          <w:lang w:bidi="fa-IR"/>
        </w:rPr>
        <w:t xml:space="preserve"> </w:t>
      </w:r>
      <w:r>
        <w:rPr>
          <w:rtl/>
          <w:lang w:bidi="fa-IR"/>
        </w:rPr>
        <w:t xml:space="preserve">السَّيْفُ الثَّانِي عَلى أَهْلِ الذِّمَّةِ ، قَالَ اللهُ تَعَالى : </w:t>
      </w:r>
      <w:r w:rsidRPr="001C70C1">
        <w:rPr>
          <w:rStyle w:val="libAlaemChar"/>
          <w:rtl/>
        </w:rPr>
        <w:t>(</w:t>
      </w:r>
      <w:r w:rsidRPr="001C70C1">
        <w:rPr>
          <w:rStyle w:val="libAieChar"/>
          <w:rtl/>
        </w:rPr>
        <w:t xml:space="preserve"> وَ</w:t>
      </w:r>
      <w:r w:rsidR="001C70C1" w:rsidRPr="001C70C1">
        <w:rPr>
          <w:rStyle w:val="libAieChar"/>
          <w:rFonts w:hint="cs"/>
          <w:rtl/>
        </w:rPr>
        <w:t xml:space="preserve"> </w:t>
      </w:r>
      <w:r w:rsidRPr="001C70C1">
        <w:rPr>
          <w:rStyle w:val="libAieChar"/>
          <w:rtl/>
        </w:rPr>
        <w:t xml:space="preserve">قُولُوا لِلنّاسِ حُسْناً </w:t>
      </w:r>
      <w:r w:rsidRPr="001C70C1">
        <w:rPr>
          <w:rStyle w:val="libAlaemChar"/>
          <w:rtl/>
        </w:rPr>
        <w:t>)</w:t>
      </w:r>
      <w:r>
        <w:rPr>
          <w:rtl/>
          <w:lang w:bidi="fa-IR"/>
        </w:rPr>
        <w:t xml:space="preserve"> </w:t>
      </w:r>
      <w:r w:rsidRPr="00D10E3C">
        <w:rPr>
          <w:rStyle w:val="libFootnotenumChar"/>
          <w:rtl/>
        </w:rPr>
        <w:t>(10)</w:t>
      </w:r>
      <w:r>
        <w:rPr>
          <w:rtl/>
          <w:lang w:bidi="fa-IR"/>
        </w:rPr>
        <w:t xml:space="preserve"> نَزَلَتْ هذِهِ الْآيَةُ فِي أَهْلِ الذِّمَّةِ ، ثُمَّ نَسَخَهَا قَوْلُهُ عَزَّ وَجَلَّ : </w:t>
      </w:r>
      <w:r w:rsidRPr="001C70C1">
        <w:rPr>
          <w:rStyle w:val="libAlaemChar"/>
          <w:rtl/>
        </w:rPr>
        <w:t>(</w:t>
      </w:r>
      <w:r w:rsidRPr="001C70C1">
        <w:rPr>
          <w:rStyle w:val="libAieChar"/>
          <w:rtl/>
        </w:rPr>
        <w:t xml:space="preserve"> قاتِلُوا الَّذِينَ لا يُؤْمِنُونَ بِاللهِ وَ</w:t>
      </w:r>
      <w:r w:rsidR="001C70C1">
        <w:rPr>
          <w:rStyle w:val="libAieChar"/>
          <w:rFonts w:hint="cs"/>
          <w:rtl/>
        </w:rPr>
        <w:t xml:space="preserve"> </w:t>
      </w:r>
      <w:r w:rsidRPr="001C70C1">
        <w:rPr>
          <w:rStyle w:val="libAieChar"/>
          <w:rtl/>
        </w:rPr>
        <w:t>لا بِالْيَوْمِ الْآخِرِ وَ</w:t>
      </w:r>
      <w:r w:rsidR="001C70C1">
        <w:rPr>
          <w:rStyle w:val="libAieChar"/>
          <w:rFonts w:hint="cs"/>
          <w:rtl/>
        </w:rPr>
        <w:t xml:space="preserve"> </w:t>
      </w:r>
      <w:r w:rsidRPr="001C70C1">
        <w:rPr>
          <w:rStyle w:val="libAieChar"/>
          <w:rtl/>
        </w:rPr>
        <w:t>لا يُحَرِّمُونَ ما حَرَّمَ اللهُ وَ</w:t>
      </w:r>
      <w:r w:rsidR="001C70C1">
        <w:rPr>
          <w:rStyle w:val="libAieChar"/>
          <w:rFonts w:hint="cs"/>
          <w:rtl/>
        </w:rPr>
        <w:t xml:space="preserve"> </w:t>
      </w:r>
      <w:r w:rsidRPr="001C70C1">
        <w:rPr>
          <w:rStyle w:val="libAieChar"/>
          <w:rtl/>
        </w:rPr>
        <w:t>رَسُولُهُ وَ</w:t>
      </w:r>
      <w:r w:rsidR="001C70C1">
        <w:rPr>
          <w:rStyle w:val="libAieChar"/>
          <w:rFonts w:hint="cs"/>
          <w:rtl/>
        </w:rPr>
        <w:t xml:space="preserve"> </w:t>
      </w:r>
      <w:r w:rsidRPr="001C70C1">
        <w:rPr>
          <w:rStyle w:val="libAieChar"/>
          <w:rtl/>
        </w:rPr>
        <w:t xml:space="preserve">لا يَدِينُونَ دِينَ الْحَقِّ مِنَ الَّذِينَ أُوتُوا الْكِتابَ حَتّى يُعْطُوا الْجِزْيَةَ عَنْ يَدٍ وَهُمْ صاغِرُونَ </w:t>
      </w:r>
      <w:r w:rsidRPr="001C70C1">
        <w:rPr>
          <w:rStyle w:val="libAlaemChar"/>
          <w:rtl/>
        </w:rPr>
        <w:t>)</w:t>
      </w:r>
      <w:r>
        <w:rPr>
          <w:rtl/>
          <w:lang w:bidi="fa-IR"/>
        </w:rPr>
        <w:t xml:space="preserve"> </w:t>
      </w:r>
      <w:r w:rsidRPr="00D10E3C">
        <w:rPr>
          <w:rStyle w:val="libFootnotenumChar"/>
          <w:rtl/>
        </w:rPr>
        <w:t>(11)</w:t>
      </w:r>
      <w:r>
        <w:rPr>
          <w:rtl/>
          <w:lang w:bidi="fa-IR"/>
        </w:rPr>
        <w:t xml:space="preserve"> فَمَنْ كَانَ مِنْهُمْ فِي دَارِ الْإِسْلَامِ ، فَلَنْ </w:t>
      </w:r>
      <w:r w:rsidRPr="00D10E3C">
        <w:rPr>
          <w:rStyle w:val="libFootnotenumChar"/>
          <w:rtl/>
        </w:rPr>
        <w:t>(12)</w:t>
      </w:r>
      <w:r>
        <w:rPr>
          <w:rtl/>
          <w:lang w:bidi="fa-IR"/>
        </w:rPr>
        <w:t xml:space="preserve"> يُقْبَلَ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1C70C1">
        <w:rPr>
          <w:rtl/>
        </w:rPr>
        <w:t>تفسير القمّي والخصال</w:t>
      </w:r>
      <w:r w:rsidR="00744A1C">
        <w:rPr>
          <w:rtl/>
          <w:lang w:bidi="fa-IR"/>
        </w:rPr>
        <w:t xml:space="preserve"> : « ملفوف ». وفي </w:t>
      </w:r>
      <w:r w:rsidR="00744A1C" w:rsidRPr="0061079A">
        <w:rPr>
          <w:rStyle w:val="libFootnoteBoldChar"/>
          <w:rtl/>
        </w:rPr>
        <w:t>البحار</w:t>
      </w:r>
      <w:r w:rsidR="00744A1C">
        <w:rPr>
          <w:rtl/>
          <w:lang w:bidi="fa-IR"/>
        </w:rPr>
        <w:t xml:space="preserve"> ، ج 32 : - « فلا تغمد حتّى تضع الحرب - إلى - مكفوف ».</w:t>
      </w:r>
    </w:p>
    <w:p w:rsidR="00744A1C" w:rsidRDefault="00E378DD" w:rsidP="00E378DD">
      <w:pPr>
        <w:pStyle w:val="libFootnote0"/>
        <w:rPr>
          <w:lang w:bidi="fa-IR"/>
        </w:rPr>
      </w:pPr>
      <w:r>
        <w:rPr>
          <w:rtl/>
          <w:lang w:bidi="fa-IR"/>
        </w:rPr>
        <w:t>(2).</w:t>
      </w:r>
      <w:r w:rsidR="00744A1C">
        <w:rPr>
          <w:rtl/>
          <w:lang w:bidi="fa-IR"/>
        </w:rPr>
        <w:t xml:space="preserve"> « ال</w:t>
      </w:r>
      <w:r w:rsidR="001C70C1">
        <w:rPr>
          <w:rFonts w:hint="cs"/>
          <w:rtl/>
          <w:lang w:bidi="fa-IR"/>
        </w:rPr>
        <w:t>ـ</w:t>
      </w:r>
      <w:r w:rsidR="00744A1C">
        <w:rPr>
          <w:rtl/>
          <w:lang w:bidi="fa-IR"/>
        </w:rPr>
        <w:t xml:space="preserve">مَغمود » من الغِمد - بالكسر فالسكون - وهو غلاف السيف ، أي المجعول في غلافه. راجع : </w:t>
      </w:r>
      <w:r w:rsidR="00744A1C" w:rsidRPr="00E978C3">
        <w:rPr>
          <w:rStyle w:val="libFootnoteBoldChar"/>
          <w:rtl/>
        </w:rPr>
        <w:t>الصحاح</w:t>
      </w:r>
      <w:r w:rsidR="00744A1C">
        <w:rPr>
          <w:rtl/>
          <w:lang w:bidi="fa-IR"/>
        </w:rPr>
        <w:t xml:space="preserve"> ، ج 2 ، ص 517 ( غمد ).</w:t>
      </w:r>
    </w:p>
    <w:p w:rsidR="00744A1C" w:rsidRDefault="00E378DD" w:rsidP="00E378DD">
      <w:pPr>
        <w:pStyle w:val="libFootnote0"/>
        <w:rPr>
          <w:lang w:bidi="fa-IR"/>
        </w:rPr>
      </w:pPr>
      <w:r>
        <w:rPr>
          <w:rtl/>
          <w:lang w:bidi="fa-IR"/>
        </w:rPr>
        <w:t>(3).</w:t>
      </w:r>
      <w:r w:rsidR="00744A1C">
        <w:rPr>
          <w:rtl/>
          <w:lang w:bidi="fa-IR"/>
        </w:rPr>
        <w:t xml:space="preserve"> في « بس » : « وسلّه ». والسَّلُّ : انتزاع الشي‌ء وإخراجُه في رفق. وسَلّ السيف : إخراجه من الغمد. راجع : </w:t>
      </w:r>
      <w:r w:rsidR="00744A1C" w:rsidRPr="00877682">
        <w:rPr>
          <w:rStyle w:val="libFootnoteBoldChar"/>
          <w:rtl/>
        </w:rPr>
        <w:t>لسان العرب</w:t>
      </w:r>
      <w:r w:rsidR="00744A1C">
        <w:rPr>
          <w:rtl/>
          <w:lang w:bidi="fa-IR"/>
        </w:rPr>
        <w:t xml:space="preserve"> ، ج 11 ، ص 338 ؛ </w:t>
      </w:r>
      <w:r w:rsidR="00744A1C" w:rsidRPr="008A57EB">
        <w:rPr>
          <w:rStyle w:val="libFootnoteBoldChar"/>
          <w:rtl/>
        </w:rPr>
        <w:t>القاموس المحيط</w:t>
      </w:r>
      <w:r w:rsidR="00744A1C">
        <w:rPr>
          <w:rtl/>
          <w:lang w:bidi="fa-IR"/>
        </w:rPr>
        <w:t xml:space="preserve"> ، ج 2 ، ص 342 ( سلل ).</w:t>
      </w:r>
    </w:p>
    <w:p w:rsidR="00744A1C" w:rsidRDefault="00E378DD" w:rsidP="00E378DD">
      <w:pPr>
        <w:pStyle w:val="libFootnote0"/>
        <w:rPr>
          <w:lang w:bidi="fa-IR"/>
        </w:rPr>
      </w:pPr>
      <w:r>
        <w:rPr>
          <w:rtl/>
          <w:lang w:bidi="fa-IR"/>
        </w:rPr>
        <w:t>(4).</w:t>
      </w:r>
      <w:r w:rsidR="00744A1C">
        <w:rPr>
          <w:rtl/>
          <w:lang w:bidi="fa-IR"/>
        </w:rPr>
        <w:t xml:space="preserve"> هكذا في « ى ، بح ، بس ، جت ، جد ، جن » وحاشية « بث » و</w:t>
      </w:r>
      <w:r w:rsidR="00744A1C" w:rsidRPr="00C24F9C">
        <w:rPr>
          <w:rStyle w:val="libFootnoteBoldChar"/>
          <w:rtl/>
        </w:rPr>
        <w:t>الوسائل</w:t>
      </w:r>
      <w:r w:rsidR="00744A1C">
        <w:rPr>
          <w:rtl/>
          <w:lang w:bidi="fa-IR"/>
        </w:rPr>
        <w:t>. وفي سائر النسخ والمطبوع : « الشاهرة ».</w:t>
      </w:r>
    </w:p>
    <w:p w:rsidR="00744A1C" w:rsidRDefault="00E378DD" w:rsidP="00E378DD">
      <w:pPr>
        <w:pStyle w:val="libFootnote0"/>
        <w:rPr>
          <w:lang w:bidi="fa-IR"/>
        </w:rPr>
      </w:pPr>
      <w:r>
        <w:rPr>
          <w:rtl/>
          <w:lang w:bidi="fa-IR"/>
        </w:rPr>
        <w:t>(5).</w:t>
      </w:r>
      <w:r w:rsidR="00744A1C">
        <w:rPr>
          <w:rtl/>
          <w:lang w:bidi="fa-IR"/>
        </w:rPr>
        <w:t xml:space="preserve"> هكذا في القرآن. وفي النسخ والمطبوع : « اقتلوا ».</w:t>
      </w:r>
    </w:p>
    <w:tbl>
      <w:tblPr>
        <w:tblStyle w:val="TableGrid"/>
        <w:bidiVisual/>
        <w:tblW w:w="0" w:type="auto"/>
        <w:tblLook w:val="04A0" w:firstRow="1" w:lastRow="0" w:firstColumn="1" w:lastColumn="0" w:noHBand="0" w:noVBand="1"/>
      </w:tblPr>
      <w:tblGrid>
        <w:gridCol w:w="4006"/>
        <w:gridCol w:w="4006"/>
      </w:tblGrid>
      <w:tr w:rsidR="001C70C1" w:rsidTr="001C70C1">
        <w:tc>
          <w:tcPr>
            <w:tcW w:w="4006" w:type="dxa"/>
          </w:tcPr>
          <w:p w:rsidR="001C70C1" w:rsidRDefault="001C70C1" w:rsidP="00E378DD">
            <w:pPr>
              <w:pStyle w:val="libFootnote0"/>
              <w:rPr>
                <w:rtl/>
                <w:lang w:bidi="fa-IR"/>
              </w:rPr>
            </w:pPr>
            <w:r>
              <w:rPr>
                <w:rtl/>
                <w:lang w:bidi="fa-IR"/>
              </w:rPr>
              <w:t>(6). التوبة (9) : 5.</w:t>
            </w:r>
          </w:p>
        </w:tc>
        <w:tc>
          <w:tcPr>
            <w:tcW w:w="4006" w:type="dxa"/>
          </w:tcPr>
          <w:p w:rsidR="001C70C1" w:rsidRDefault="001C70C1" w:rsidP="00E378DD">
            <w:pPr>
              <w:pStyle w:val="libFootnote0"/>
              <w:rPr>
                <w:rtl/>
                <w:lang w:bidi="fa-IR"/>
              </w:rPr>
            </w:pPr>
            <w:r>
              <w:rPr>
                <w:rtl/>
                <w:lang w:bidi="fa-IR"/>
              </w:rPr>
              <w:t>(7). التوبة (9) : 11.</w:t>
            </w:r>
          </w:p>
        </w:tc>
      </w:tr>
    </w:tbl>
    <w:p w:rsidR="00744A1C" w:rsidRDefault="00E378DD" w:rsidP="00E378DD">
      <w:pPr>
        <w:pStyle w:val="libFootnote0"/>
        <w:rPr>
          <w:lang w:bidi="fa-IR"/>
        </w:rPr>
      </w:pPr>
      <w:r>
        <w:rPr>
          <w:rtl/>
          <w:lang w:bidi="fa-IR"/>
        </w:rPr>
        <w:t>(8).</w:t>
      </w:r>
      <w:r w:rsidR="00744A1C">
        <w:rPr>
          <w:rtl/>
          <w:lang w:bidi="fa-IR"/>
        </w:rPr>
        <w:t xml:space="preserve"> في الخصال : « ما لهم في‌ء » بدل « أموالهم ». وفي التحف : + « في‌ء ».</w:t>
      </w:r>
    </w:p>
    <w:tbl>
      <w:tblPr>
        <w:tblStyle w:val="TableGrid"/>
        <w:bidiVisual/>
        <w:tblW w:w="0" w:type="auto"/>
        <w:tblLook w:val="04A0" w:firstRow="1" w:lastRow="0" w:firstColumn="1" w:lastColumn="0" w:noHBand="0" w:noVBand="1"/>
      </w:tblPr>
      <w:tblGrid>
        <w:gridCol w:w="4006"/>
        <w:gridCol w:w="4006"/>
      </w:tblGrid>
      <w:tr w:rsidR="001C70C1" w:rsidTr="001C70C1">
        <w:tc>
          <w:tcPr>
            <w:tcW w:w="4006" w:type="dxa"/>
          </w:tcPr>
          <w:p w:rsidR="001C70C1" w:rsidRDefault="001C70C1" w:rsidP="00E378DD">
            <w:pPr>
              <w:pStyle w:val="libFootnote0"/>
              <w:rPr>
                <w:rtl/>
                <w:lang w:bidi="fa-IR"/>
              </w:rPr>
            </w:pPr>
            <w:r>
              <w:rPr>
                <w:rtl/>
                <w:lang w:bidi="fa-IR"/>
              </w:rPr>
              <w:t>(9). في حاشية « بث ، بح » : « ذرّيّاتهم ».</w:t>
            </w:r>
          </w:p>
        </w:tc>
        <w:tc>
          <w:tcPr>
            <w:tcW w:w="4006" w:type="dxa"/>
          </w:tcPr>
          <w:p w:rsidR="001C70C1" w:rsidRDefault="001C70C1" w:rsidP="00E378DD">
            <w:pPr>
              <w:pStyle w:val="libFootnote0"/>
              <w:rPr>
                <w:rtl/>
                <w:lang w:bidi="fa-IR"/>
              </w:rPr>
            </w:pPr>
            <w:r>
              <w:rPr>
                <w:rtl/>
                <w:lang w:bidi="fa-IR"/>
              </w:rPr>
              <w:t>(10). البقرة (2) : 83.</w:t>
            </w:r>
          </w:p>
        </w:tc>
      </w:tr>
    </w:tbl>
    <w:p w:rsidR="00744A1C" w:rsidRDefault="00E378DD" w:rsidP="00E378DD">
      <w:pPr>
        <w:pStyle w:val="libFootnote0"/>
        <w:rPr>
          <w:lang w:bidi="fa-IR"/>
        </w:rPr>
      </w:pPr>
      <w:r>
        <w:rPr>
          <w:rtl/>
          <w:lang w:bidi="fa-IR"/>
        </w:rPr>
        <w:t>(11).</w:t>
      </w:r>
      <w:r w:rsidR="00744A1C">
        <w:rPr>
          <w:rtl/>
          <w:lang w:bidi="fa-IR"/>
        </w:rPr>
        <w:t xml:space="preserve"> التوبة </w:t>
      </w:r>
      <w:r w:rsidR="001C70C1">
        <w:rPr>
          <w:rtl/>
          <w:lang w:bidi="fa-IR"/>
        </w:rPr>
        <w:t>(9)</w:t>
      </w:r>
      <w:r w:rsidR="00744A1C">
        <w:rPr>
          <w:rtl/>
          <w:lang w:bidi="fa-IR"/>
        </w:rPr>
        <w:t xml:space="preserve"> : 29. و « عَنْ يَدٍ » إمّا أن يراد يد المعطي ، أو يد الآخذ ، فمعناه على الأوّل : حتّى يعطوها عن يد مؤاتية</w:t>
      </w:r>
      <w:r w:rsidR="001C70C1">
        <w:rPr>
          <w:rFonts w:hint="cs"/>
          <w:rtl/>
          <w:lang w:bidi="fa-IR"/>
        </w:rPr>
        <w:t xml:space="preserve"> </w:t>
      </w:r>
      <w:r w:rsidR="00744A1C">
        <w:rPr>
          <w:rtl/>
          <w:lang w:bidi="fa-IR"/>
        </w:rPr>
        <w:t>غير ممتنعة ، كما يقال : أعطى بيده : إذا أصحب وانقاد ، أو حتّى يعطوها عن يد إلى يد نقداً غير نسيئة ولا مبعوثاً على يد أحد ، ومعناه على إرادة يد الآخذ : حتّى يعطوها عن يد قاهرة مستولية ، أو على إنعام عليهم.</w:t>
      </w:r>
      <w:r w:rsidR="00744A1C" w:rsidRPr="001C70C1">
        <w:rPr>
          <w:rStyle w:val="libFootnoteAlaemChar"/>
          <w:rtl/>
        </w:rPr>
        <w:t>(</w:t>
      </w:r>
      <w:r w:rsidR="00744A1C" w:rsidRPr="001C70C1">
        <w:rPr>
          <w:rStyle w:val="libFootnoteAieChar"/>
          <w:rtl/>
        </w:rPr>
        <w:t xml:space="preserve"> وَ</w:t>
      </w:r>
      <w:r w:rsidR="001C70C1">
        <w:rPr>
          <w:rStyle w:val="libFootnoteAieChar"/>
          <w:rFonts w:hint="cs"/>
          <w:rtl/>
        </w:rPr>
        <w:t xml:space="preserve"> </w:t>
      </w:r>
      <w:r w:rsidR="00744A1C" w:rsidRPr="001C70C1">
        <w:rPr>
          <w:rStyle w:val="libFootnoteAieChar"/>
          <w:rtl/>
        </w:rPr>
        <w:t>هُمْ ص</w:t>
      </w:r>
      <w:r w:rsidR="001C70C1">
        <w:rPr>
          <w:rStyle w:val="libFootnoteAieChar"/>
          <w:rFonts w:hint="cs"/>
          <w:rtl/>
        </w:rPr>
        <w:t>َ</w:t>
      </w:r>
      <w:r w:rsidR="00744A1C" w:rsidRPr="001C70C1">
        <w:rPr>
          <w:rStyle w:val="libFootnoteAieChar"/>
          <w:rtl/>
        </w:rPr>
        <w:t xml:space="preserve">اغِرُونَ </w:t>
      </w:r>
      <w:r w:rsidR="00744A1C" w:rsidRPr="001C70C1">
        <w:rPr>
          <w:rStyle w:val="libFootnoteAlaemChar"/>
          <w:rtl/>
        </w:rPr>
        <w:t>)</w:t>
      </w:r>
      <w:r w:rsidR="00744A1C">
        <w:rPr>
          <w:rtl/>
          <w:lang w:bidi="fa-IR"/>
        </w:rPr>
        <w:t xml:space="preserve"> ، أي تؤخذ منهم الجزية على الصغار والذلّ. تفسير جوامع الجامع ، ج 2 ، ص 58. وراجع أيضاً : </w:t>
      </w:r>
      <w:r w:rsidR="00744A1C" w:rsidRPr="002D57AD">
        <w:rPr>
          <w:rStyle w:val="libFootnoteBoldChar"/>
          <w:rtl/>
        </w:rPr>
        <w:t>المفردات للراغب</w:t>
      </w:r>
      <w:r w:rsidR="00744A1C">
        <w:rPr>
          <w:rtl/>
          <w:lang w:bidi="fa-IR"/>
        </w:rPr>
        <w:t xml:space="preserve"> ، ص 890 ( يد ) ؛ وص 485 ( صغر ).</w:t>
      </w:r>
    </w:p>
    <w:tbl>
      <w:tblPr>
        <w:tblStyle w:val="TableGrid"/>
        <w:bidiVisual/>
        <w:tblW w:w="0" w:type="auto"/>
        <w:tblLook w:val="04A0" w:firstRow="1" w:lastRow="0" w:firstColumn="1" w:lastColumn="0" w:noHBand="0" w:noVBand="1"/>
      </w:tblPr>
      <w:tblGrid>
        <w:gridCol w:w="4006"/>
        <w:gridCol w:w="4006"/>
      </w:tblGrid>
      <w:tr w:rsidR="001C70C1" w:rsidTr="001C70C1">
        <w:tc>
          <w:tcPr>
            <w:tcW w:w="4006" w:type="dxa"/>
          </w:tcPr>
          <w:p w:rsidR="001C70C1" w:rsidRDefault="001C70C1" w:rsidP="00E378DD">
            <w:pPr>
              <w:pStyle w:val="libFootnote0"/>
              <w:rPr>
                <w:rtl/>
                <w:lang w:bidi="fa-IR"/>
              </w:rPr>
            </w:pPr>
            <w:r>
              <w:rPr>
                <w:rtl/>
                <w:lang w:bidi="fa-IR"/>
              </w:rPr>
              <w:t>(12). في « جن » : « فلا ».</w:t>
            </w:r>
          </w:p>
        </w:tc>
        <w:tc>
          <w:tcPr>
            <w:tcW w:w="4006" w:type="dxa"/>
          </w:tcPr>
          <w:p w:rsidR="001C70C1" w:rsidRDefault="001C70C1" w:rsidP="00E378DD">
            <w:pPr>
              <w:pStyle w:val="libFootnote0"/>
              <w:rPr>
                <w:rtl/>
                <w:lang w:bidi="fa-IR"/>
              </w:rPr>
            </w:pPr>
            <w:r>
              <w:rPr>
                <w:rtl/>
                <w:lang w:bidi="fa-IR"/>
              </w:rPr>
              <w:t>(13). في « بس ، جت » : « فلن تقبل ».</w:t>
            </w:r>
          </w:p>
        </w:tc>
      </w:tr>
    </w:tbl>
    <w:p w:rsidR="006A5060" w:rsidRDefault="006A5060" w:rsidP="00D10E3C">
      <w:pPr>
        <w:pStyle w:val="libNormal"/>
        <w:rPr>
          <w:rtl/>
          <w:lang w:bidi="fa-IR"/>
        </w:rPr>
      </w:pPr>
      <w:r>
        <w:rPr>
          <w:rtl/>
          <w:lang w:bidi="fa-IR"/>
        </w:rPr>
        <w:br w:type="page"/>
      </w:r>
    </w:p>
    <w:p w:rsidR="00744A1C" w:rsidRDefault="009C5FC6" w:rsidP="009C5FC6">
      <w:pPr>
        <w:pStyle w:val="libNormal0"/>
        <w:rPr>
          <w:lang w:bidi="fa-IR"/>
        </w:rPr>
      </w:pPr>
      <w:r>
        <w:rPr>
          <w:rtl/>
          <w:lang w:bidi="fa-IR"/>
        </w:rPr>
        <w:lastRenderedPageBreak/>
        <w:t>مِنْهُمْ إِل</w:t>
      </w:r>
      <w:r>
        <w:rPr>
          <w:rFonts w:hint="cs"/>
          <w:rtl/>
          <w:lang w:bidi="fa-IR"/>
        </w:rPr>
        <w:t>َّ</w:t>
      </w:r>
      <w:r>
        <w:rPr>
          <w:rtl/>
          <w:lang w:bidi="fa-IR"/>
        </w:rPr>
        <w:t>ا</w:t>
      </w:r>
      <w:r w:rsidR="00744A1C">
        <w:rPr>
          <w:rtl/>
          <w:lang w:bidi="fa-IR"/>
        </w:rPr>
        <w:t xml:space="preserve"> الْجِزْيَةُ أَوِ الْقَتْلُ ، وَ</w:t>
      </w:r>
      <w:r w:rsidR="00991BC3">
        <w:rPr>
          <w:rFonts w:hint="cs"/>
          <w:rtl/>
          <w:lang w:bidi="fa-IR"/>
        </w:rPr>
        <w:t xml:space="preserve"> </w:t>
      </w:r>
      <w:r w:rsidR="00744A1C">
        <w:rPr>
          <w:rtl/>
          <w:lang w:bidi="fa-IR"/>
        </w:rPr>
        <w:t xml:space="preserve">مَالُهُمْ فَيْ‌ءٌ </w:t>
      </w:r>
      <w:r w:rsidR="00744A1C" w:rsidRPr="00D10E3C">
        <w:rPr>
          <w:rStyle w:val="libFootnotenumChar"/>
          <w:rtl/>
        </w:rPr>
        <w:t>(1)</w:t>
      </w:r>
      <w:r w:rsidR="00744A1C">
        <w:rPr>
          <w:rtl/>
          <w:lang w:bidi="fa-IR"/>
        </w:rPr>
        <w:t xml:space="preserve"> ، وَ</w:t>
      </w:r>
      <w:r w:rsidR="00991BC3">
        <w:rPr>
          <w:rFonts w:hint="cs"/>
          <w:rtl/>
          <w:lang w:bidi="fa-IR"/>
        </w:rPr>
        <w:t xml:space="preserve"> </w:t>
      </w:r>
      <w:r w:rsidR="00744A1C">
        <w:rPr>
          <w:rtl/>
          <w:lang w:bidi="fa-IR"/>
        </w:rPr>
        <w:t>ذَرَارِيُّهُمْ سَبْيٌ ، وَ</w:t>
      </w:r>
      <w:r w:rsidR="00991BC3">
        <w:rPr>
          <w:rFonts w:hint="cs"/>
          <w:rtl/>
          <w:lang w:bidi="fa-IR"/>
        </w:rPr>
        <w:t xml:space="preserve"> </w:t>
      </w:r>
      <w:r w:rsidR="00744A1C">
        <w:rPr>
          <w:rtl/>
          <w:lang w:bidi="fa-IR"/>
        </w:rPr>
        <w:t>إِذَا قَبِلُوا الْجِزْيَةَ عَلى أَنْفُسِهِمْ ، حُرِّمَ عَلَيْنَا سَبْيُهُمْ ، وَ</w:t>
      </w:r>
      <w:r w:rsidR="005878D9">
        <w:rPr>
          <w:rFonts w:hint="cs"/>
          <w:rtl/>
          <w:lang w:bidi="fa-IR"/>
        </w:rPr>
        <w:t xml:space="preserve"> </w:t>
      </w:r>
      <w:r w:rsidR="00744A1C">
        <w:rPr>
          <w:rtl/>
          <w:lang w:bidi="fa-IR"/>
        </w:rPr>
        <w:t>حُرِّمَتْ أَمْوَالُهُمْ ، وَ</w:t>
      </w:r>
      <w:r w:rsidR="005878D9">
        <w:rPr>
          <w:rFonts w:hint="cs"/>
          <w:rtl/>
          <w:lang w:bidi="fa-IR"/>
        </w:rPr>
        <w:t xml:space="preserve"> </w:t>
      </w:r>
      <w:r w:rsidR="00744A1C">
        <w:rPr>
          <w:rtl/>
          <w:lang w:bidi="fa-IR"/>
        </w:rPr>
        <w:t xml:space="preserve">حَلَّتْ لَنَا </w:t>
      </w:r>
      <w:r w:rsidR="00744A1C" w:rsidRPr="00D10E3C">
        <w:rPr>
          <w:rStyle w:val="libFootnotenumChar"/>
          <w:rtl/>
        </w:rPr>
        <w:t>(2)</w:t>
      </w:r>
      <w:r w:rsidR="00744A1C">
        <w:rPr>
          <w:rtl/>
          <w:lang w:bidi="fa-IR"/>
        </w:rPr>
        <w:t xml:space="preserve"> مُنَاكَحَتُهُمْ </w:t>
      </w:r>
      <w:r w:rsidR="00744A1C" w:rsidRPr="00D10E3C">
        <w:rPr>
          <w:rStyle w:val="libFootnotenumChar"/>
          <w:rtl/>
        </w:rPr>
        <w:t>(3)</w:t>
      </w:r>
      <w:r w:rsidR="00744A1C">
        <w:rPr>
          <w:rtl/>
          <w:lang w:bidi="fa-IR"/>
        </w:rPr>
        <w:t xml:space="preserve"> ، وَمَنْ كَانَ مِنْهُمْ فِي دَارِ الْحَرْبِ ، حَلَّ لَنَا سَبْيُهُمْ وَ</w:t>
      </w:r>
      <w:r w:rsidR="005878D9">
        <w:rPr>
          <w:rFonts w:hint="cs"/>
          <w:rtl/>
          <w:lang w:bidi="fa-IR"/>
        </w:rPr>
        <w:t xml:space="preserve"> </w:t>
      </w:r>
      <w:r w:rsidR="00744A1C">
        <w:rPr>
          <w:rtl/>
          <w:lang w:bidi="fa-IR"/>
        </w:rPr>
        <w:t xml:space="preserve">أَمْوَالُهُمْ </w:t>
      </w:r>
      <w:r w:rsidR="00744A1C" w:rsidRPr="00D10E3C">
        <w:rPr>
          <w:rStyle w:val="libFootnotenumChar"/>
          <w:rtl/>
        </w:rPr>
        <w:t>(4)</w:t>
      </w:r>
      <w:r w:rsidR="00744A1C">
        <w:rPr>
          <w:rtl/>
          <w:lang w:bidi="fa-IR"/>
        </w:rPr>
        <w:t xml:space="preserve"> ، وَ</w:t>
      </w:r>
      <w:r w:rsidR="005878D9">
        <w:rPr>
          <w:rFonts w:hint="cs"/>
          <w:rtl/>
          <w:lang w:bidi="fa-IR"/>
        </w:rPr>
        <w:t xml:space="preserve"> </w:t>
      </w:r>
      <w:r w:rsidR="00744A1C">
        <w:rPr>
          <w:rtl/>
          <w:lang w:bidi="fa-IR"/>
        </w:rPr>
        <w:t xml:space="preserve">لَمْ تَحِلَّ </w:t>
      </w:r>
      <w:r w:rsidR="00744A1C" w:rsidRPr="00D10E3C">
        <w:rPr>
          <w:rStyle w:val="libFootnotenumChar"/>
          <w:rtl/>
        </w:rPr>
        <w:t>(5)</w:t>
      </w:r>
      <w:r w:rsidR="00744A1C">
        <w:rPr>
          <w:rtl/>
          <w:lang w:bidi="fa-IR"/>
        </w:rPr>
        <w:t xml:space="preserve"> لَنَا مُنَاكَحَتُهُمْ ،</w:t>
      </w:r>
      <w:r w:rsidR="00991BC3">
        <w:rPr>
          <w:rtl/>
          <w:lang w:bidi="fa-IR"/>
        </w:rPr>
        <w:t xml:space="preserve"> وَلَمْ يُقْبَلْ مِنْهُمْ إِل</w:t>
      </w:r>
      <w:r w:rsidR="00991BC3">
        <w:rPr>
          <w:rFonts w:hint="cs"/>
          <w:rtl/>
          <w:lang w:bidi="fa-IR"/>
        </w:rPr>
        <w:t>َّ</w:t>
      </w:r>
      <w:r w:rsidR="00991BC3">
        <w:rPr>
          <w:rtl/>
          <w:lang w:bidi="fa-IR"/>
        </w:rPr>
        <w:t>ا</w:t>
      </w:r>
      <w:r w:rsidR="00744A1C">
        <w:rPr>
          <w:rtl/>
          <w:lang w:bidi="fa-IR"/>
        </w:rPr>
        <w:t xml:space="preserve"> الدُّخُولُ فِي </w:t>
      </w:r>
      <w:r w:rsidR="00744A1C" w:rsidRPr="00D10E3C">
        <w:rPr>
          <w:rStyle w:val="libFootnotenumChar"/>
          <w:rtl/>
        </w:rPr>
        <w:t>(6)</w:t>
      </w:r>
      <w:r w:rsidR="00744A1C">
        <w:rPr>
          <w:rtl/>
          <w:lang w:bidi="fa-IR"/>
        </w:rPr>
        <w:t xml:space="preserve"> دَارِ الْإِسْلَامِ ، أَوِ الْجِزْيَةُ ، أَوِ الْقَتْلُ </w:t>
      </w:r>
      <w:r w:rsidR="00744A1C" w:rsidRPr="00D10E3C">
        <w:rPr>
          <w:rStyle w:val="libFootnotenumChar"/>
          <w:rtl/>
        </w:rPr>
        <w:t>(7)</w:t>
      </w:r>
      <w:r w:rsidR="005878D9" w:rsidRPr="005878D9">
        <w:rPr>
          <w:rStyle w:val="libNormalChar"/>
          <w:rFonts w:hint="cs"/>
          <w:rtl/>
        </w:rPr>
        <w:t>.</w:t>
      </w:r>
    </w:p>
    <w:p w:rsidR="00744A1C" w:rsidRDefault="00744A1C" w:rsidP="00744A1C">
      <w:pPr>
        <w:pStyle w:val="libNormal"/>
        <w:rPr>
          <w:lang w:bidi="fa-IR"/>
        </w:rPr>
      </w:pPr>
      <w:r>
        <w:rPr>
          <w:rtl/>
          <w:lang w:bidi="fa-IR"/>
        </w:rPr>
        <w:t>وَ</w:t>
      </w:r>
      <w:r w:rsidR="005878D9">
        <w:rPr>
          <w:rFonts w:hint="cs"/>
          <w:rtl/>
          <w:lang w:bidi="fa-IR"/>
        </w:rPr>
        <w:t xml:space="preserve"> </w:t>
      </w:r>
      <w:r>
        <w:rPr>
          <w:rtl/>
          <w:lang w:bidi="fa-IR"/>
        </w:rPr>
        <w:t xml:space="preserve">السَّيْفُ الثَّالِثُ سَيْفٌ عَلى مُشْرِكِي الْعَجَمِ يَعْنِي التُّرْكَ وَالدَّيْلَمَ وَالْخَزَرَ </w:t>
      </w:r>
      <w:r w:rsidRPr="00D10E3C">
        <w:rPr>
          <w:rStyle w:val="libFootnotenumChar"/>
          <w:rtl/>
        </w:rPr>
        <w:t>(8)</w:t>
      </w:r>
      <w:r>
        <w:rPr>
          <w:rtl/>
          <w:lang w:bidi="fa-IR"/>
        </w:rPr>
        <w:t xml:space="preserve"> ، قَالَ اللهُ - عَزَّ وَجَلَّ - فِي أَوَّلِ السُّورَةِ الَّتِي يَذْكُرُ فِيهَا : </w:t>
      </w:r>
      <w:r w:rsidRPr="005878D9">
        <w:rPr>
          <w:rStyle w:val="libAlaemChar"/>
          <w:rtl/>
        </w:rPr>
        <w:t>(</w:t>
      </w:r>
      <w:r w:rsidRPr="005878D9">
        <w:rPr>
          <w:rStyle w:val="libAieChar"/>
          <w:rtl/>
        </w:rPr>
        <w:t xml:space="preserve"> الَّذِينَ كَفَرُوا </w:t>
      </w:r>
      <w:r w:rsidRPr="005878D9">
        <w:rPr>
          <w:rStyle w:val="libAlaemChar"/>
          <w:rtl/>
        </w:rPr>
        <w:t>)</w:t>
      </w:r>
      <w:r>
        <w:rPr>
          <w:rtl/>
          <w:lang w:bidi="fa-IR"/>
        </w:rPr>
        <w:t xml:space="preserve"> فَقَصَّ قِصَّتَهُمْ ، ثُمَّ قَالَ </w:t>
      </w:r>
      <w:r w:rsidRPr="00D10E3C">
        <w:rPr>
          <w:rStyle w:val="libFootnotenumChar"/>
          <w:rtl/>
        </w:rPr>
        <w:t>(9)</w:t>
      </w:r>
      <w:r>
        <w:rPr>
          <w:rtl/>
          <w:lang w:bidi="fa-IR"/>
        </w:rPr>
        <w:t xml:space="preserve"> : </w:t>
      </w:r>
      <w:r w:rsidRPr="005878D9">
        <w:rPr>
          <w:rStyle w:val="libAlaemChar"/>
          <w:rtl/>
        </w:rPr>
        <w:t>(</w:t>
      </w:r>
      <w:r>
        <w:rPr>
          <w:rtl/>
          <w:lang w:bidi="fa-IR"/>
        </w:rPr>
        <w:t xml:space="preserve"> </w:t>
      </w:r>
      <w:r w:rsidRPr="005878D9">
        <w:rPr>
          <w:rStyle w:val="libAieChar"/>
          <w:rtl/>
        </w:rPr>
        <w:t xml:space="preserve">فَضَرْبَ الرِّقابِ حَتّى إِذا أَثْخَنْتُمُوهُمْ </w:t>
      </w:r>
      <w:r w:rsidRPr="005878D9">
        <w:rPr>
          <w:rStyle w:val="libFootnotenumChar"/>
          <w:rtl/>
        </w:rPr>
        <w:t>(10)</w:t>
      </w:r>
      <w:r w:rsidRPr="005878D9">
        <w:rPr>
          <w:rStyle w:val="libAieChar"/>
          <w:rtl/>
        </w:rPr>
        <w:t xml:space="preserve"> فَشُدُّوا الْوَثاقَ فَإِمّا مَنًّا بَعْدُ وَإِمّا فِداءً حَتّى تَضَعَ الْحَرْبُ أَوْزارَها</w:t>
      </w:r>
      <w:r>
        <w:rPr>
          <w:rtl/>
          <w:lang w:bidi="fa-IR"/>
        </w:rPr>
        <w:t xml:space="preserve"> ) </w:t>
      </w:r>
      <w:r w:rsidRPr="00D10E3C">
        <w:rPr>
          <w:rStyle w:val="libFootnotenumChar"/>
          <w:rtl/>
        </w:rPr>
        <w:t>(11)</w:t>
      </w:r>
      <w:r>
        <w:rPr>
          <w:rtl/>
          <w:lang w:bidi="fa-IR"/>
        </w:rPr>
        <w:t xml:space="preserve"> فَأَمَّا قَوْلُهُ : </w:t>
      </w:r>
      <w:r w:rsidRPr="005878D9">
        <w:rPr>
          <w:rStyle w:val="libAlaemChar"/>
          <w:rtl/>
        </w:rPr>
        <w:t>(</w:t>
      </w:r>
      <w:r w:rsidRPr="005878D9">
        <w:rPr>
          <w:rStyle w:val="libAieChar"/>
          <w:rtl/>
        </w:rPr>
        <w:t xml:space="preserve"> فَإِمّا مَنًّا بَعْدُ </w:t>
      </w:r>
      <w:r w:rsidRPr="005878D9">
        <w:rPr>
          <w:rStyle w:val="libAlaemChar"/>
          <w:rtl/>
        </w:rPr>
        <w:t>)</w:t>
      </w:r>
      <w:r>
        <w:rPr>
          <w:rtl/>
          <w:lang w:bidi="fa-IR"/>
        </w:rPr>
        <w:t xml:space="preserve"> </w:t>
      </w:r>
      <w:r w:rsidRPr="00D10E3C">
        <w:rPr>
          <w:rStyle w:val="libFootnotenumChar"/>
          <w:rtl/>
        </w:rPr>
        <w:t>(12)</w:t>
      </w:r>
      <w:r>
        <w:rPr>
          <w:rtl/>
          <w:lang w:bidi="fa-IR"/>
        </w:rPr>
        <w:t xml:space="preserve"> يَعْنِي بَعْدَ السَّبْيِ مِنْهُمْ </w:t>
      </w:r>
      <w:r w:rsidRPr="00D10E3C">
        <w:rPr>
          <w:rStyle w:val="libFootnotenumChar"/>
          <w:rtl/>
        </w:rPr>
        <w:t>(13)</w:t>
      </w:r>
      <w:r>
        <w:rPr>
          <w:rtl/>
          <w:lang w:bidi="fa-IR"/>
        </w:rPr>
        <w:t xml:space="preserve"> </w:t>
      </w:r>
      <w:r w:rsidRPr="005878D9">
        <w:rPr>
          <w:rStyle w:val="libAlaemChar"/>
          <w:rtl/>
        </w:rPr>
        <w:t>(</w:t>
      </w:r>
      <w:r w:rsidRPr="005878D9">
        <w:rPr>
          <w:rStyle w:val="libAieChar"/>
          <w:rtl/>
        </w:rPr>
        <w:t xml:space="preserve"> وَ</w:t>
      </w:r>
      <w:r w:rsidR="005878D9" w:rsidRPr="005878D9">
        <w:rPr>
          <w:rStyle w:val="libAieChar"/>
          <w:rFonts w:hint="cs"/>
          <w:rtl/>
        </w:rPr>
        <w:t xml:space="preserve"> </w:t>
      </w:r>
      <w:r w:rsidRPr="005878D9">
        <w:rPr>
          <w:rStyle w:val="libAieChar"/>
          <w:rtl/>
        </w:rPr>
        <w:t xml:space="preserve">إِمّا فِداءً </w:t>
      </w:r>
      <w:r w:rsidRPr="005878D9">
        <w:rPr>
          <w:rStyle w:val="libAlaemChar"/>
          <w:rtl/>
        </w:rPr>
        <w:t>)</w:t>
      </w:r>
      <w:r>
        <w:rPr>
          <w:rtl/>
          <w:lang w:bidi="fa-IR"/>
        </w:rPr>
        <w:t xml:space="preserve"> : يَعْنِي‌</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5878D9" w:rsidTr="005878D9">
        <w:tc>
          <w:tcPr>
            <w:tcW w:w="4006" w:type="dxa"/>
          </w:tcPr>
          <w:p w:rsidR="005878D9" w:rsidRDefault="005878D9" w:rsidP="00D10E3C">
            <w:pPr>
              <w:pStyle w:val="libFootnote0"/>
              <w:rPr>
                <w:rtl/>
                <w:lang w:bidi="fa-IR"/>
              </w:rPr>
            </w:pPr>
            <w:r>
              <w:rPr>
                <w:rtl/>
                <w:lang w:bidi="fa-IR"/>
              </w:rPr>
              <w:t>(1). في « جن » و</w:t>
            </w:r>
            <w:r w:rsidRPr="00610FB4">
              <w:rPr>
                <w:rStyle w:val="libFootnoteBoldChar"/>
                <w:rtl/>
              </w:rPr>
              <w:t>تفسير القمّي</w:t>
            </w:r>
            <w:r>
              <w:rPr>
                <w:rtl/>
                <w:lang w:bidi="fa-IR"/>
              </w:rPr>
              <w:t xml:space="preserve"> : - « في‌ء ».</w:t>
            </w:r>
          </w:p>
        </w:tc>
        <w:tc>
          <w:tcPr>
            <w:tcW w:w="4006" w:type="dxa"/>
          </w:tcPr>
          <w:p w:rsidR="005878D9" w:rsidRDefault="005878D9" w:rsidP="00D10E3C">
            <w:pPr>
              <w:pStyle w:val="libFootnote0"/>
              <w:rPr>
                <w:rtl/>
                <w:lang w:bidi="fa-IR"/>
              </w:rPr>
            </w:pPr>
            <w:r>
              <w:rPr>
                <w:rtl/>
                <w:lang w:bidi="fa-IR"/>
              </w:rPr>
              <w:t xml:space="preserve">(2). في </w:t>
            </w:r>
            <w:r w:rsidRPr="00610FB4">
              <w:rPr>
                <w:rStyle w:val="libFootnoteBoldChar"/>
                <w:rtl/>
              </w:rPr>
              <w:t>تفسير القمّي</w:t>
            </w:r>
            <w:r>
              <w:rPr>
                <w:rtl/>
                <w:lang w:bidi="fa-IR"/>
              </w:rPr>
              <w:t xml:space="preserve"> : - « لنا ».</w:t>
            </w:r>
          </w:p>
        </w:tc>
      </w:tr>
    </w:tbl>
    <w:p w:rsidR="00744A1C" w:rsidRDefault="00E378DD" w:rsidP="00E378DD">
      <w:pPr>
        <w:pStyle w:val="libFootnote0"/>
        <w:rPr>
          <w:lang w:bidi="fa-IR"/>
        </w:rPr>
      </w:pPr>
      <w:r>
        <w:rPr>
          <w:rtl/>
          <w:lang w:bidi="fa-IR"/>
        </w:rPr>
        <w:t>(3).</w:t>
      </w:r>
      <w:r w:rsidR="00744A1C">
        <w:rPr>
          <w:rtl/>
          <w:lang w:bidi="fa-IR"/>
        </w:rPr>
        <w:t xml:space="preserve"> في حاشية « بح » </w:t>
      </w:r>
      <w:r w:rsidR="00744A1C" w:rsidRPr="00705056">
        <w:rPr>
          <w:rtl/>
        </w:rPr>
        <w:t>والبحار</w:t>
      </w:r>
      <w:r w:rsidR="00744A1C">
        <w:rPr>
          <w:rtl/>
          <w:lang w:bidi="fa-IR"/>
        </w:rPr>
        <w:t xml:space="preserve"> ، ج 19 والتحف : « مناكحهم ».</w:t>
      </w:r>
    </w:p>
    <w:tbl>
      <w:tblPr>
        <w:tblStyle w:val="TableGrid"/>
        <w:bidiVisual/>
        <w:tblW w:w="0" w:type="auto"/>
        <w:tblLook w:val="04A0" w:firstRow="1" w:lastRow="0" w:firstColumn="1" w:lastColumn="0" w:noHBand="0" w:noVBand="1"/>
      </w:tblPr>
      <w:tblGrid>
        <w:gridCol w:w="4006"/>
        <w:gridCol w:w="4006"/>
      </w:tblGrid>
      <w:tr w:rsidR="00705056" w:rsidTr="00705056">
        <w:tc>
          <w:tcPr>
            <w:tcW w:w="4006" w:type="dxa"/>
          </w:tcPr>
          <w:p w:rsidR="00705056" w:rsidRDefault="00705056" w:rsidP="00E378DD">
            <w:pPr>
              <w:pStyle w:val="libFootnote0"/>
              <w:rPr>
                <w:rtl/>
                <w:lang w:bidi="fa-IR"/>
              </w:rPr>
            </w:pPr>
            <w:r>
              <w:rPr>
                <w:rtl/>
                <w:lang w:bidi="fa-IR"/>
              </w:rPr>
              <w:t xml:space="preserve">(4). في </w:t>
            </w:r>
            <w:r w:rsidRPr="00705056">
              <w:rPr>
                <w:rtl/>
              </w:rPr>
              <w:t>الوسائل والتهذيب</w:t>
            </w:r>
            <w:r>
              <w:rPr>
                <w:rtl/>
                <w:lang w:bidi="fa-IR"/>
              </w:rPr>
              <w:t xml:space="preserve"> ، ج 4 : - « وأموالهم ».</w:t>
            </w:r>
          </w:p>
        </w:tc>
        <w:tc>
          <w:tcPr>
            <w:tcW w:w="4006" w:type="dxa"/>
          </w:tcPr>
          <w:p w:rsidR="00705056" w:rsidRDefault="00705056" w:rsidP="00E378DD">
            <w:pPr>
              <w:pStyle w:val="libFootnote0"/>
              <w:rPr>
                <w:rtl/>
                <w:lang w:bidi="fa-IR"/>
              </w:rPr>
            </w:pPr>
            <w:r>
              <w:rPr>
                <w:rtl/>
                <w:lang w:bidi="fa-IR"/>
              </w:rPr>
              <w:t>(5). في « ى » : « ولا تحلّ ».</w:t>
            </w:r>
          </w:p>
        </w:tc>
      </w:tr>
    </w:tbl>
    <w:p w:rsidR="00744A1C" w:rsidRDefault="00E378DD" w:rsidP="00C3278E">
      <w:pPr>
        <w:pStyle w:val="libFootnote0"/>
        <w:rPr>
          <w:lang w:bidi="fa-IR"/>
        </w:rPr>
      </w:pPr>
      <w:r>
        <w:rPr>
          <w:rtl/>
          <w:lang w:bidi="fa-IR"/>
        </w:rPr>
        <w:t>(6).</w:t>
      </w:r>
      <w:r w:rsidR="00744A1C">
        <w:rPr>
          <w:rtl/>
          <w:lang w:bidi="fa-IR"/>
        </w:rPr>
        <w:t xml:space="preserve"> في « ى » و</w:t>
      </w:r>
      <w:r w:rsidR="00744A1C" w:rsidRPr="00C24F9C">
        <w:rPr>
          <w:rStyle w:val="libFootnoteBoldChar"/>
          <w:rtl/>
        </w:rPr>
        <w:t>الوافي</w:t>
      </w:r>
      <w:r w:rsidR="00C3278E">
        <w:rPr>
          <w:rtl/>
          <w:lang w:bidi="fa-IR"/>
        </w:rPr>
        <w:t xml:space="preserve"> : « إل</w:t>
      </w:r>
      <w:r w:rsidR="00C3278E">
        <w:rPr>
          <w:rFonts w:hint="cs"/>
          <w:rtl/>
          <w:lang w:bidi="fa-IR"/>
        </w:rPr>
        <w:t>ّ</w:t>
      </w:r>
      <w:r w:rsidR="00C3278E">
        <w:rPr>
          <w:rtl/>
          <w:lang w:bidi="fa-IR"/>
        </w:rPr>
        <w:t>ا</w:t>
      </w:r>
      <w:r w:rsidR="00744A1C">
        <w:rPr>
          <w:rtl/>
          <w:lang w:bidi="fa-IR"/>
        </w:rPr>
        <w:t xml:space="preserve"> دخول » بدل « </w:t>
      </w:r>
      <w:r w:rsidR="00C3278E">
        <w:rPr>
          <w:rtl/>
          <w:lang w:bidi="fa-IR"/>
        </w:rPr>
        <w:t>إل</w:t>
      </w:r>
      <w:r w:rsidR="00C3278E">
        <w:rPr>
          <w:rFonts w:hint="cs"/>
          <w:rtl/>
          <w:lang w:bidi="fa-IR"/>
        </w:rPr>
        <w:t>ّ</w:t>
      </w:r>
      <w:r w:rsidR="00C3278E">
        <w:rPr>
          <w:rtl/>
          <w:lang w:bidi="fa-IR"/>
        </w:rPr>
        <w:t xml:space="preserve">ا </w:t>
      </w:r>
      <w:r w:rsidR="00744A1C">
        <w:rPr>
          <w:rtl/>
          <w:lang w:bidi="fa-IR"/>
        </w:rPr>
        <w:t>الدخول في ».</w:t>
      </w:r>
    </w:p>
    <w:p w:rsidR="00744A1C" w:rsidRDefault="00E378DD" w:rsidP="00C3278E">
      <w:pPr>
        <w:pStyle w:val="libFootnote0"/>
        <w:rPr>
          <w:lang w:bidi="fa-IR"/>
        </w:rPr>
      </w:pPr>
      <w:r>
        <w:rPr>
          <w:rtl/>
          <w:lang w:bidi="fa-IR"/>
        </w:rPr>
        <w:t>(7).</w:t>
      </w:r>
      <w:r w:rsidR="00744A1C">
        <w:rPr>
          <w:rtl/>
          <w:lang w:bidi="fa-IR"/>
        </w:rPr>
        <w:t xml:space="preserve"> في </w:t>
      </w:r>
      <w:r w:rsidR="00744A1C" w:rsidRPr="00C3278E">
        <w:rPr>
          <w:rtl/>
        </w:rPr>
        <w:t>تفسير القمّي</w:t>
      </w:r>
      <w:r w:rsidR="00744A1C">
        <w:rPr>
          <w:rtl/>
          <w:lang w:bidi="fa-IR"/>
        </w:rPr>
        <w:t xml:space="preserve"> : « لا يقبل منها </w:t>
      </w:r>
      <w:r w:rsidR="00C3278E">
        <w:rPr>
          <w:rtl/>
          <w:lang w:bidi="fa-IR"/>
        </w:rPr>
        <w:t>إل</w:t>
      </w:r>
      <w:r w:rsidR="00C3278E">
        <w:rPr>
          <w:rFonts w:hint="cs"/>
          <w:rtl/>
          <w:lang w:bidi="fa-IR"/>
        </w:rPr>
        <w:t>ّ</w:t>
      </w:r>
      <w:r w:rsidR="00C3278E">
        <w:rPr>
          <w:rtl/>
          <w:lang w:bidi="fa-IR"/>
        </w:rPr>
        <w:t xml:space="preserve">ا </w:t>
      </w:r>
      <w:r w:rsidR="00744A1C">
        <w:rPr>
          <w:rtl/>
          <w:lang w:bidi="fa-IR"/>
        </w:rPr>
        <w:t>الجزية أو القتل » بدل « ومن كان منهم - إلى - أو القتل ».</w:t>
      </w:r>
    </w:p>
    <w:p w:rsidR="00744A1C" w:rsidRDefault="00E378DD" w:rsidP="00E378DD">
      <w:pPr>
        <w:pStyle w:val="libFootnote0"/>
        <w:rPr>
          <w:lang w:bidi="fa-IR"/>
        </w:rPr>
      </w:pPr>
      <w:r>
        <w:rPr>
          <w:rtl/>
          <w:lang w:bidi="fa-IR"/>
        </w:rPr>
        <w:t>(8).</w:t>
      </w:r>
      <w:r w:rsidR="00744A1C">
        <w:rPr>
          <w:rtl/>
          <w:lang w:bidi="fa-IR"/>
        </w:rPr>
        <w:t xml:space="preserve"> في </w:t>
      </w:r>
      <w:r w:rsidR="00744A1C" w:rsidRPr="00C3278E">
        <w:rPr>
          <w:rtl/>
        </w:rPr>
        <w:t>تفسير القمّي :</w:t>
      </w:r>
      <w:r w:rsidR="00744A1C">
        <w:rPr>
          <w:rtl/>
          <w:lang w:bidi="fa-IR"/>
        </w:rPr>
        <w:t xml:space="preserve"> « الخزرج ». وفي معجم البلدان ، ج 2 ، ص 368 : « الخَزَر : قوم سود الشعور ، وهم صنفان : صنف يسمّون قراخزر ، وهم سمر يضربون لشدّة السمرة إلى السواد ، كأنّهم صنف من الهند ، وصنف بيض ظاهرو الجمال والحسن ». وقال المسعودي في التنبيه والإشراف ، ص 73 : « ويدعون بالتركيّة سبير ، وبالفارسيّة خزران ، وهم جنس من الترك حاضرة ، فعرف اسمهم فقيل : الخزر وغيرهم ». وقال الجوهري : « الخزر : جيل من الناس ». وقال الطريحي </w:t>
      </w:r>
      <w:r w:rsidR="00877682" w:rsidRPr="00877682">
        <w:rPr>
          <w:rStyle w:val="libFootnoteAlaemChar"/>
          <w:rtl/>
        </w:rPr>
        <w:t>رحمه‌الله</w:t>
      </w:r>
      <w:r w:rsidR="00744A1C">
        <w:rPr>
          <w:rtl/>
          <w:lang w:bidi="fa-IR"/>
        </w:rPr>
        <w:t>: « الخزر بضمّ معجمة وسكون زاي وفتحها وفي الآخر راء مهملة : جنس من الا</w:t>
      </w:r>
      <w:r w:rsidR="00C3278E">
        <w:rPr>
          <w:rFonts w:hint="cs"/>
          <w:rtl/>
          <w:lang w:bidi="fa-IR"/>
        </w:rPr>
        <w:t>ُ</w:t>
      </w:r>
      <w:r w:rsidR="00744A1C">
        <w:rPr>
          <w:rtl/>
          <w:lang w:bidi="fa-IR"/>
        </w:rPr>
        <w:t xml:space="preserve">مم خزر العيون من ولد يافث بن نوح </w:t>
      </w:r>
      <w:r w:rsidR="0061079A" w:rsidRPr="0061079A">
        <w:rPr>
          <w:rStyle w:val="libFootnoteAlaemChar"/>
          <w:rtl/>
        </w:rPr>
        <w:t>عليه‌السلام</w:t>
      </w:r>
      <w:r w:rsidR="00D10E3C">
        <w:rPr>
          <w:rtl/>
          <w:lang w:bidi="fa-IR"/>
        </w:rPr>
        <w:t xml:space="preserve"> </w:t>
      </w:r>
      <w:r w:rsidR="00744A1C">
        <w:rPr>
          <w:rtl/>
          <w:lang w:bidi="fa-IR"/>
        </w:rPr>
        <w:t xml:space="preserve">، من خزرت العين من باب تعب ، إذا صغرت وضاقت ». </w:t>
      </w:r>
      <w:r w:rsidR="00744A1C" w:rsidRPr="00E978C3">
        <w:rPr>
          <w:rStyle w:val="libFootnoteBoldChar"/>
          <w:rtl/>
        </w:rPr>
        <w:t>الصحاح</w:t>
      </w:r>
      <w:r w:rsidR="00744A1C">
        <w:rPr>
          <w:rtl/>
          <w:lang w:bidi="fa-IR"/>
        </w:rPr>
        <w:t xml:space="preserve"> ، ج 2 ، ص 644 ؛ </w:t>
      </w:r>
      <w:r w:rsidR="00744A1C" w:rsidRPr="008A57EB">
        <w:rPr>
          <w:rStyle w:val="libFootnoteBoldChar"/>
          <w:rtl/>
        </w:rPr>
        <w:t>مجمع البحرين</w:t>
      </w:r>
      <w:r w:rsidR="00744A1C">
        <w:rPr>
          <w:rtl/>
          <w:lang w:bidi="fa-IR"/>
        </w:rPr>
        <w:t xml:space="preserve"> ، ج 1 ، ص 640 ( خزر ).</w:t>
      </w:r>
    </w:p>
    <w:p w:rsidR="00744A1C" w:rsidRDefault="00E378DD" w:rsidP="00E378DD">
      <w:pPr>
        <w:pStyle w:val="libFootnote0"/>
        <w:rPr>
          <w:lang w:bidi="fa-IR"/>
        </w:rPr>
      </w:pPr>
      <w:r>
        <w:rPr>
          <w:rtl/>
          <w:lang w:bidi="fa-IR"/>
        </w:rPr>
        <w:t>(9).</w:t>
      </w:r>
      <w:r w:rsidR="00744A1C">
        <w:rPr>
          <w:rtl/>
          <w:lang w:bidi="fa-IR"/>
        </w:rPr>
        <w:t xml:space="preserve"> في </w:t>
      </w:r>
      <w:r w:rsidR="00744A1C" w:rsidRPr="00610FB4">
        <w:rPr>
          <w:rStyle w:val="libFootnoteBoldChar"/>
          <w:rtl/>
        </w:rPr>
        <w:t>تفسير القمّي</w:t>
      </w:r>
      <w:r w:rsidR="00744A1C">
        <w:rPr>
          <w:rtl/>
          <w:lang w:bidi="fa-IR"/>
        </w:rPr>
        <w:t xml:space="preserve"> : « فقال : فإذا لقيتم الذين كفروا » بدل « ثمّ قال ». وفي </w:t>
      </w:r>
      <w:r w:rsidR="00744A1C" w:rsidRPr="0061079A">
        <w:rPr>
          <w:rStyle w:val="libFootnoteBoldChar"/>
          <w:rtl/>
        </w:rPr>
        <w:t>البحار</w:t>
      </w:r>
      <w:r w:rsidR="00744A1C">
        <w:rPr>
          <w:rtl/>
          <w:lang w:bidi="fa-IR"/>
        </w:rPr>
        <w:t xml:space="preserve"> ، ج 19 : - « وفي أوّل السورة - إلى - ثمّ قال ».</w:t>
      </w:r>
    </w:p>
    <w:p w:rsidR="00744A1C" w:rsidRDefault="00E378DD" w:rsidP="00C3278E">
      <w:pPr>
        <w:pStyle w:val="libFootnote0"/>
        <w:rPr>
          <w:lang w:bidi="fa-IR"/>
        </w:rPr>
      </w:pPr>
      <w:r>
        <w:rPr>
          <w:rtl/>
          <w:lang w:bidi="fa-IR"/>
        </w:rPr>
        <w:t>(10).</w:t>
      </w:r>
      <w:r w:rsidR="00744A1C">
        <w:rPr>
          <w:rtl/>
          <w:lang w:bidi="fa-IR"/>
        </w:rPr>
        <w:t xml:space="preserve"> يقال : أثخن في العدوّ ، إذا بالغ الجراحة فيهم. و </w:t>
      </w:r>
      <w:r w:rsidR="00744A1C" w:rsidRPr="00C3278E">
        <w:rPr>
          <w:rStyle w:val="libFootnoteAlaemChar"/>
          <w:rtl/>
        </w:rPr>
        <w:t>(</w:t>
      </w:r>
      <w:r w:rsidR="00744A1C" w:rsidRPr="00C3278E">
        <w:rPr>
          <w:rStyle w:val="libFootnoteAieChar"/>
          <w:rtl/>
        </w:rPr>
        <w:t xml:space="preserve"> أَثْخَنْتُمُوهُمْ </w:t>
      </w:r>
      <w:r w:rsidR="00744A1C" w:rsidRPr="00C3278E">
        <w:rPr>
          <w:rStyle w:val="libFootnoteAlaemChar"/>
          <w:rtl/>
        </w:rPr>
        <w:t>)</w:t>
      </w:r>
      <w:r w:rsidR="00744A1C">
        <w:rPr>
          <w:rtl/>
          <w:lang w:bidi="fa-IR"/>
        </w:rPr>
        <w:t xml:space="preserve"> أي غلبتموهم وكثر فيهم الجراح. راجع : </w:t>
      </w:r>
      <w:r w:rsidR="00744A1C" w:rsidRPr="008A57EB">
        <w:rPr>
          <w:rStyle w:val="libFootnoteBoldChar"/>
          <w:rtl/>
        </w:rPr>
        <w:t>القاموس المحيط</w:t>
      </w:r>
      <w:r w:rsidR="00744A1C">
        <w:rPr>
          <w:rtl/>
          <w:lang w:bidi="fa-IR"/>
        </w:rPr>
        <w:t xml:space="preserve"> ، ج 2 ، ص 1556 ( ثخن ). وفي </w:t>
      </w:r>
      <w:r w:rsidR="00744A1C" w:rsidRPr="00C24F9C">
        <w:rPr>
          <w:rStyle w:val="libFootnoteBoldChar"/>
          <w:rtl/>
        </w:rPr>
        <w:t>الوافي</w:t>
      </w:r>
      <w:r w:rsidR="00744A1C">
        <w:rPr>
          <w:rtl/>
          <w:lang w:bidi="fa-IR"/>
        </w:rPr>
        <w:t xml:space="preserve"> : « </w:t>
      </w:r>
      <w:r w:rsidR="00744A1C" w:rsidRPr="00C3278E">
        <w:rPr>
          <w:rStyle w:val="libFootnoteAlaemChar"/>
          <w:rtl/>
        </w:rPr>
        <w:t>(</w:t>
      </w:r>
      <w:r w:rsidR="00744A1C" w:rsidRPr="00C3278E">
        <w:rPr>
          <w:rStyle w:val="libAieChar"/>
          <w:rtl/>
        </w:rPr>
        <w:t xml:space="preserve"> أَثْخَنْتُمُوهُمْ</w:t>
      </w:r>
      <w:r w:rsidR="00744A1C">
        <w:rPr>
          <w:rtl/>
          <w:lang w:bidi="fa-IR"/>
        </w:rPr>
        <w:t xml:space="preserve"> </w:t>
      </w:r>
      <w:r w:rsidR="00744A1C" w:rsidRPr="00C3278E">
        <w:rPr>
          <w:rStyle w:val="libFootnoteAlaemChar"/>
          <w:rtl/>
        </w:rPr>
        <w:t>)</w:t>
      </w:r>
      <w:r w:rsidR="00744A1C">
        <w:rPr>
          <w:rtl/>
          <w:lang w:bidi="fa-IR"/>
        </w:rPr>
        <w:t xml:space="preserve"> أي أكثرتم قتلهم وأغلظتموه ؛ من الثخن بمعني الغلظ ».</w:t>
      </w:r>
      <w:r w:rsidR="00C3278E">
        <w:rPr>
          <w:rFonts w:hint="cs"/>
          <w:rtl/>
          <w:lang w:bidi="fa-IR"/>
        </w:rPr>
        <w:t xml:space="preserve">                                        </w:t>
      </w:r>
      <w:r>
        <w:rPr>
          <w:rtl/>
          <w:lang w:bidi="fa-IR"/>
        </w:rPr>
        <w:t>(11).</w:t>
      </w:r>
      <w:r w:rsidR="00744A1C">
        <w:rPr>
          <w:rtl/>
          <w:lang w:bidi="fa-IR"/>
        </w:rPr>
        <w:t xml:space="preserve"> محمّد (47) : 4.</w:t>
      </w:r>
    </w:p>
    <w:p w:rsidR="00744A1C" w:rsidRDefault="00E378DD" w:rsidP="00E378DD">
      <w:pPr>
        <w:pStyle w:val="libFootnote0"/>
        <w:rPr>
          <w:lang w:bidi="fa-IR"/>
        </w:rPr>
      </w:pPr>
      <w:r>
        <w:rPr>
          <w:rtl/>
          <w:lang w:bidi="fa-IR"/>
        </w:rPr>
        <w:t>(12).</w:t>
      </w:r>
      <w:r w:rsidR="00744A1C">
        <w:rPr>
          <w:rtl/>
          <w:lang w:bidi="fa-IR"/>
        </w:rPr>
        <w:t xml:space="preserve"> في « بف » </w:t>
      </w:r>
      <w:r w:rsidR="00744A1C" w:rsidRPr="002E0FDA">
        <w:rPr>
          <w:rtl/>
        </w:rPr>
        <w:t>وتفسير القمّي</w:t>
      </w:r>
      <w:r w:rsidR="00744A1C">
        <w:rPr>
          <w:rtl/>
          <w:lang w:bidi="fa-IR"/>
        </w:rPr>
        <w:t xml:space="preserve"> : - </w:t>
      </w:r>
      <w:r w:rsidR="00744A1C" w:rsidRPr="00C3278E">
        <w:rPr>
          <w:rStyle w:val="libFootnoteAlaemChar"/>
          <w:rtl/>
        </w:rPr>
        <w:t>(</w:t>
      </w:r>
      <w:r w:rsidR="00744A1C" w:rsidRPr="002E0FDA">
        <w:rPr>
          <w:rStyle w:val="libFootnoteAieChar"/>
          <w:rtl/>
        </w:rPr>
        <w:t xml:space="preserve"> وَإِمّا فِداءً </w:t>
      </w:r>
      <w:r w:rsidR="00744A1C" w:rsidRPr="002E0FDA">
        <w:rPr>
          <w:rtl/>
        </w:rPr>
        <w:t xml:space="preserve">- إلى </w:t>
      </w:r>
      <w:r w:rsidR="002E0FDA" w:rsidRPr="002E0FDA">
        <w:rPr>
          <w:rFonts w:hint="cs"/>
          <w:rtl/>
        </w:rPr>
        <w:t>-</w:t>
      </w:r>
      <w:r w:rsidR="002E0FDA">
        <w:rPr>
          <w:rStyle w:val="libFootnoteAieChar"/>
          <w:rFonts w:hint="cs"/>
          <w:rtl/>
        </w:rPr>
        <w:t xml:space="preserve"> </w:t>
      </w:r>
      <w:r w:rsidR="00744A1C" w:rsidRPr="002E0FDA">
        <w:rPr>
          <w:rStyle w:val="libFootnoteAieChar"/>
          <w:rtl/>
        </w:rPr>
        <w:t xml:space="preserve">مَنًّا بَعْدُ </w:t>
      </w:r>
      <w:r w:rsidR="00744A1C" w:rsidRPr="00C3278E">
        <w:rPr>
          <w:rStyle w:val="libFootnoteAlaemChar"/>
          <w:rtl/>
        </w:rPr>
        <w:t>)</w:t>
      </w:r>
      <w:r w:rsidR="00744A1C">
        <w:rPr>
          <w:rtl/>
          <w:lang w:bidi="fa-IR"/>
        </w:rPr>
        <w:t>.</w:t>
      </w:r>
    </w:p>
    <w:p w:rsidR="00744A1C" w:rsidRDefault="00E378DD" w:rsidP="00E378DD">
      <w:pPr>
        <w:pStyle w:val="libFootnote0"/>
        <w:rPr>
          <w:lang w:bidi="fa-IR"/>
        </w:rPr>
      </w:pPr>
      <w:r>
        <w:rPr>
          <w:rtl/>
          <w:lang w:bidi="fa-IR"/>
        </w:rPr>
        <w:t>(13).</w:t>
      </w:r>
      <w:r w:rsidR="00744A1C">
        <w:rPr>
          <w:rtl/>
          <w:lang w:bidi="fa-IR"/>
        </w:rPr>
        <w:t xml:space="preserve"> في « جن » : - « منهم ».</w:t>
      </w:r>
    </w:p>
    <w:p w:rsidR="006A5060" w:rsidRDefault="006A5060" w:rsidP="00D10E3C">
      <w:pPr>
        <w:pStyle w:val="libNormal"/>
        <w:rPr>
          <w:rtl/>
          <w:lang w:bidi="fa-IR"/>
        </w:rPr>
      </w:pPr>
      <w:r>
        <w:rPr>
          <w:rtl/>
          <w:lang w:bidi="fa-IR"/>
        </w:rPr>
        <w:br w:type="page"/>
      </w:r>
    </w:p>
    <w:p w:rsidR="00744A1C" w:rsidRDefault="00744A1C" w:rsidP="00EE40F1">
      <w:pPr>
        <w:pStyle w:val="libNormal0"/>
        <w:rPr>
          <w:lang w:bidi="fa-IR"/>
        </w:rPr>
      </w:pPr>
      <w:r>
        <w:rPr>
          <w:rtl/>
          <w:lang w:bidi="fa-IR"/>
        </w:rPr>
        <w:lastRenderedPageBreak/>
        <w:t xml:space="preserve">الْمُفَادَاةَ بَيْنَهُمْ وَبَيْنَ أَهْلِ الْإِسْلَامِ ؛ فَهؤُلَاءِ لَنْ يُقْبَلَ </w:t>
      </w:r>
      <w:r w:rsidRPr="00D10E3C">
        <w:rPr>
          <w:rStyle w:val="libFootnotenumChar"/>
          <w:rtl/>
        </w:rPr>
        <w:t>(1)</w:t>
      </w:r>
      <w:r w:rsidR="00525724">
        <w:rPr>
          <w:rtl/>
          <w:lang w:bidi="fa-IR"/>
        </w:rPr>
        <w:t xml:space="preserve"> مِنْهُمْ إِل</w:t>
      </w:r>
      <w:r w:rsidR="00525724">
        <w:rPr>
          <w:rFonts w:hint="cs"/>
          <w:rtl/>
          <w:lang w:bidi="fa-IR"/>
        </w:rPr>
        <w:t>َّ</w:t>
      </w:r>
      <w:r w:rsidR="00525724">
        <w:rPr>
          <w:rtl/>
          <w:lang w:bidi="fa-IR"/>
        </w:rPr>
        <w:t>ا</w:t>
      </w:r>
      <w:r>
        <w:rPr>
          <w:rtl/>
          <w:lang w:bidi="fa-IR"/>
        </w:rPr>
        <w:t xml:space="preserve"> الْقَتْلُ ، أَوِ الدُّخُولُ فِي الْإِسْلَامِ ، وَلَا يَحِلُّ </w:t>
      </w:r>
      <w:r w:rsidRPr="00D10E3C">
        <w:rPr>
          <w:rStyle w:val="libFootnotenumChar"/>
          <w:rtl/>
        </w:rPr>
        <w:t>(2)</w:t>
      </w:r>
      <w:r>
        <w:rPr>
          <w:rtl/>
          <w:lang w:bidi="fa-IR"/>
        </w:rPr>
        <w:t xml:space="preserve"> لَنَا </w:t>
      </w:r>
      <w:r w:rsidRPr="00D10E3C">
        <w:rPr>
          <w:rStyle w:val="libFootnotenumChar"/>
          <w:rtl/>
        </w:rPr>
        <w:t>(3)</w:t>
      </w:r>
      <w:r>
        <w:rPr>
          <w:rtl/>
          <w:lang w:bidi="fa-IR"/>
        </w:rPr>
        <w:t xml:space="preserve"> مُنَاكَحَتُهُمْ </w:t>
      </w:r>
      <w:r w:rsidRPr="00D10E3C">
        <w:rPr>
          <w:rStyle w:val="libFootnotenumChar"/>
          <w:rtl/>
        </w:rPr>
        <w:t>(4)</w:t>
      </w:r>
      <w:r>
        <w:rPr>
          <w:rtl/>
          <w:lang w:bidi="fa-IR"/>
        </w:rPr>
        <w:t xml:space="preserve"> مَا دَامُوا فِي دَارِ </w:t>
      </w:r>
      <w:r w:rsidRPr="00D10E3C">
        <w:rPr>
          <w:rStyle w:val="libFootnotenumChar"/>
          <w:rtl/>
        </w:rPr>
        <w:t>(5)</w:t>
      </w:r>
      <w:r>
        <w:rPr>
          <w:rtl/>
          <w:lang w:bidi="fa-IR"/>
        </w:rPr>
        <w:t xml:space="preserve"> الْحَرْبِ </w:t>
      </w:r>
      <w:r w:rsidRPr="00D10E3C">
        <w:rPr>
          <w:rStyle w:val="libFootnotenumChar"/>
          <w:rtl/>
        </w:rPr>
        <w:t>(6)</w:t>
      </w:r>
      <w:r w:rsidR="0075605E" w:rsidRPr="0075605E">
        <w:rPr>
          <w:rFonts w:hint="cs"/>
          <w:rtl/>
        </w:rPr>
        <w:t>.</w:t>
      </w:r>
    </w:p>
    <w:p w:rsidR="00144FA6" w:rsidRDefault="00744A1C" w:rsidP="00EE40F1">
      <w:pPr>
        <w:pStyle w:val="libNormal"/>
        <w:rPr>
          <w:rtl/>
          <w:lang w:bidi="fa-IR"/>
        </w:rPr>
      </w:pPr>
      <w:r>
        <w:rPr>
          <w:rtl/>
          <w:lang w:bidi="fa-IR"/>
        </w:rPr>
        <w:t>وَ</w:t>
      </w:r>
      <w:r w:rsidR="0075605E">
        <w:rPr>
          <w:rFonts w:hint="cs"/>
          <w:rtl/>
          <w:lang w:bidi="fa-IR"/>
        </w:rPr>
        <w:t xml:space="preserve"> </w:t>
      </w:r>
      <w:r>
        <w:rPr>
          <w:rtl/>
          <w:lang w:bidi="fa-IR"/>
        </w:rPr>
        <w:t xml:space="preserve">أَمَّا السَّيْفُ الْمَكْفُوفُ </w:t>
      </w:r>
      <w:r w:rsidRPr="00D10E3C">
        <w:rPr>
          <w:rStyle w:val="libFootnotenumChar"/>
          <w:rtl/>
        </w:rPr>
        <w:t>(7)</w:t>
      </w:r>
      <w:r>
        <w:rPr>
          <w:rtl/>
          <w:lang w:bidi="fa-IR"/>
        </w:rPr>
        <w:t xml:space="preserve"> ، فَسَيْفٌ عَلى أَهْلِ الْبَغْيِ وَالتَّأْوِيلِ ، قَالَ اللهُ عَزَّ وَجَلَّ : </w:t>
      </w:r>
      <w:r w:rsidRPr="0075605E">
        <w:rPr>
          <w:rStyle w:val="libAlaemChar"/>
          <w:rtl/>
        </w:rPr>
        <w:t>(</w:t>
      </w:r>
      <w:r w:rsidRPr="0075605E">
        <w:rPr>
          <w:rStyle w:val="libAieChar"/>
          <w:rtl/>
        </w:rPr>
        <w:t xml:space="preserve"> وَ</w:t>
      </w:r>
      <w:r w:rsidR="0075605E" w:rsidRPr="0075605E">
        <w:rPr>
          <w:rStyle w:val="libAieChar"/>
          <w:rFonts w:hint="cs"/>
          <w:rtl/>
        </w:rPr>
        <w:t xml:space="preserve"> </w:t>
      </w:r>
      <w:r w:rsidRPr="0075605E">
        <w:rPr>
          <w:rStyle w:val="libAieChar"/>
          <w:rtl/>
        </w:rPr>
        <w:t>إِنْ طائِفَتانِ مِنَ الْمُؤْمِنِينَ اقْتَتَلُوا فَأَصْلِحُوا بَيْنَهُما فَإِنْ بَغَتْ إِحْداهُما عَلَى الْأُخْرى فَقاتِلُوا الَّتِي تَبْغِي حَتّى تَفِي‌ءَ إِلى أَمْرِ اللهِ</w:t>
      </w:r>
      <w:r>
        <w:rPr>
          <w:rtl/>
          <w:lang w:bidi="fa-IR"/>
        </w:rPr>
        <w:t xml:space="preserve"> </w:t>
      </w:r>
      <w:r w:rsidRPr="0075605E">
        <w:rPr>
          <w:rStyle w:val="libAlaemChar"/>
          <w:rtl/>
        </w:rPr>
        <w:t>)</w:t>
      </w:r>
      <w:r>
        <w:rPr>
          <w:rtl/>
          <w:lang w:bidi="fa-IR"/>
        </w:rPr>
        <w:t xml:space="preserve"> </w:t>
      </w:r>
      <w:r w:rsidRPr="00D10E3C">
        <w:rPr>
          <w:rStyle w:val="libFootnotenumChar"/>
          <w:rtl/>
        </w:rPr>
        <w:t>(8)</w:t>
      </w:r>
      <w:r>
        <w:rPr>
          <w:rtl/>
          <w:lang w:bidi="fa-IR"/>
        </w:rPr>
        <w:t xml:space="preserve"> فَلَمَّا نَزَلَتْ هذِهِ الْآيَةُ ، قَالَ رَسُولُ اللهِ </w:t>
      </w:r>
      <w:r w:rsidR="0017097C" w:rsidRPr="0017097C">
        <w:rPr>
          <w:rStyle w:val="libAlaemChar"/>
          <w:rtl/>
        </w:rPr>
        <w:t>صلى‌الله‌عليه‌وآله</w:t>
      </w:r>
      <w:r>
        <w:rPr>
          <w:rtl/>
          <w:lang w:bidi="fa-IR"/>
        </w:rPr>
        <w:t xml:space="preserve"> : إِنَّ مِنْكُمْ مَنْ يُقَاتِلُ بَعْدِي عَلَى التَّأْوِيلِ </w:t>
      </w:r>
      <w:r w:rsidRPr="00D10E3C">
        <w:rPr>
          <w:rStyle w:val="libFootnotenumChar"/>
          <w:rtl/>
        </w:rPr>
        <w:t>(9)</w:t>
      </w:r>
      <w:r>
        <w:rPr>
          <w:rtl/>
          <w:lang w:bidi="fa-IR"/>
        </w:rPr>
        <w:t xml:space="preserve"> ، كَمَا قَاتَلْتُ عَلَى التَّنْزِيلِ ، فَسُئِلَ النَّبِيُّ </w:t>
      </w:r>
      <w:r w:rsidR="00EE40F1" w:rsidRPr="0017097C">
        <w:rPr>
          <w:rStyle w:val="libAlaemChar"/>
          <w:rtl/>
        </w:rPr>
        <w:t>صلى‌الله‌عليه‌وآله</w:t>
      </w:r>
      <w:r>
        <w:rPr>
          <w:rtl/>
          <w:lang w:bidi="fa-IR"/>
        </w:rPr>
        <w:t xml:space="preserve">: مَنْ هُوَ؟ فَقَالَ : خَاصِفُ </w:t>
      </w:r>
      <w:r w:rsidRPr="00D10E3C">
        <w:rPr>
          <w:rStyle w:val="libFootnotenumChar"/>
          <w:rtl/>
        </w:rPr>
        <w:t>(10)</w:t>
      </w:r>
      <w:r>
        <w:rPr>
          <w:rtl/>
          <w:lang w:bidi="fa-IR"/>
        </w:rPr>
        <w:t xml:space="preserve"> النَّعْلِ يَعْنِي أَمِيرَ الْمُؤْمِنِينَ </w:t>
      </w:r>
      <w:r w:rsidR="0061079A" w:rsidRPr="0061079A">
        <w:rPr>
          <w:rStyle w:val="libAlaemChar"/>
          <w:rtl/>
        </w:rPr>
        <w:t>عليه‌السلام</w:t>
      </w:r>
      <w:r w:rsidR="00D10E3C">
        <w:rPr>
          <w:rtl/>
          <w:lang w:bidi="fa-IR"/>
        </w:rPr>
        <w:t xml:space="preserve"> </w:t>
      </w:r>
      <w:r>
        <w:rPr>
          <w:rtl/>
          <w:lang w:bidi="fa-IR"/>
        </w:rPr>
        <w:t xml:space="preserve">، فَقَالَ عَمَّارُ بْنُ يَاسِرٍ : قَاتَلْتُ بِهذِهِ الرَّايَةِ مَعَ رَسُولِ اللهِ </w:t>
      </w:r>
      <w:r w:rsidRPr="00D10E3C">
        <w:rPr>
          <w:rStyle w:val="libFootnotenumChar"/>
          <w:rtl/>
        </w:rPr>
        <w:t>(11)</w:t>
      </w:r>
      <w:r>
        <w:rPr>
          <w:rtl/>
          <w:lang w:bidi="fa-IR"/>
        </w:rPr>
        <w:t xml:space="preserve"> </w:t>
      </w:r>
      <w:r w:rsidR="007B299E" w:rsidRPr="007B299E">
        <w:rPr>
          <w:rStyle w:val="libAlaemChar"/>
          <w:rtl/>
        </w:rPr>
        <w:t>صلى‌الله‌عليه‌وآله</w:t>
      </w:r>
      <w:r w:rsidR="00D10E3C">
        <w:rPr>
          <w:rtl/>
          <w:lang w:bidi="fa-IR"/>
        </w:rPr>
        <w:t xml:space="preserve"> </w:t>
      </w:r>
      <w:r w:rsidRPr="00D10E3C">
        <w:rPr>
          <w:rStyle w:val="libFootnotenumChar"/>
          <w:rtl/>
        </w:rPr>
        <w:t>(12)</w:t>
      </w:r>
      <w:r>
        <w:rPr>
          <w:rtl/>
          <w:lang w:bidi="fa-IR"/>
        </w:rPr>
        <w:t xml:space="preserve"> ثَلَاثاً ، وَ</w:t>
      </w:r>
      <w:r w:rsidR="0075605E">
        <w:rPr>
          <w:rFonts w:hint="cs"/>
          <w:rtl/>
          <w:lang w:bidi="fa-IR"/>
        </w:rPr>
        <w:t xml:space="preserve"> </w:t>
      </w:r>
      <w:r>
        <w:rPr>
          <w:rtl/>
          <w:lang w:bidi="fa-IR"/>
        </w:rPr>
        <w:t xml:space="preserve">هذِهِ </w:t>
      </w:r>
      <w:r w:rsidRPr="00D10E3C">
        <w:rPr>
          <w:rStyle w:val="libFootnotenumChar"/>
          <w:rtl/>
        </w:rPr>
        <w:t>(13)</w:t>
      </w:r>
      <w:r>
        <w:rPr>
          <w:rtl/>
          <w:lang w:bidi="fa-IR"/>
        </w:rPr>
        <w:t xml:space="preserve"> الرَّابِعَةُ ، وَاللهِ لَوْ ضَرَبُونَا حَتّى يَبْلُغُوا بِنَا </w:t>
      </w:r>
      <w:r w:rsidRPr="00D10E3C">
        <w:rPr>
          <w:rStyle w:val="libFootnotenumChar"/>
          <w:rtl/>
        </w:rPr>
        <w:t>(14)</w:t>
      </w:r>
      <w:r>
        <w:rPr>
          <w:rtl/>
          <w:lang w:bidi="fa-IR"/>
        </w:rPr>
        <w:t xml:space="preserve"> السَّعَفَاتِ </w:t>
      </w:r>
      <w:r w:rsidRPr="00D10E3C">
        <w:rPr>
          <w:rStyle w:val="libFootnotenumChar"/>
          <w:rtl/>
        </w:rPr>
        <w:t>(15)</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w:t>
      </w:r>
      <w:r w:rsidR="00744A1C" w:rsidRPr="0075605E">
        <w:rPr>
          <w:rtl/>
        </w:rPr>
        <w:t xml:space="preserve"> والتهذيب </w:t>
      </w:r>
      <w:r w:rsidR="00744A1C">
        <w:rPr>
          <w:rtl/>
          <w:lang w:bidi="fa-IR"/>
        </w:rPr>
        <w:t xml:space="preserve">، ج 6 </w:t>
      </w:r>
      <w:r w:rsidR="00744A1C" w:rsidRPr="0075605E">
        <w:rPr>
          <w:rtl/>
        </w:rPr>
        <w:t>وتفسير القمّي</w:t>
      </w:r>
      <w:r w:rsidR="00744A1C">
        <w:rPr>
          <w:rtl/>
          <w:lang w:bidi="fa-IR"/>
        </w:rPr>
        <w:t xml:space="preserve"> والخصال : « لا يقبل ».</w:t>
      </w:r>
    </w:p>
    <w:p w:rsidR="00744A1C" w:rsidRDefault="00E378DD" w:rsidP="00E378DD">
      <w:pPr>
        <w:pStyle w:val="libFootnote0"/>
        <w:rPr>
          <w:lang w:bidi="fa-IR"/>
        </w:rPr>
      </w:pPr>
      <w:r>
        <w:rPr>
          <w:rtl/>
          <w:lang w:bidi="fa-IR"/>
        </w:rPr>
        <w:t>(2).</w:t>
      </w:r>
      <w:r w:rsidR="00744A1C">
        <w:rPr>
          <w:rtl/>
          <w:lang w:bidi="fa-IR"/>
        </w:rPr>
        <w:t xml:space="preserve"> في « ى ، جد » </w:t>
      </w:r>
      <w:r w:rsidR="00744A1C" w:rsidRPr="0075605E">
        <w:rPr>
          <w:rtl/>
        </w:rPr>
        <w:t>والوافي والوسائل والتهذيب ، ج 4 : « ولا تحلّ</w:t>
      </w:r>
      <w:r w:rsidR="00744A1C">
        <w:rPr>
          <w:rtl/>
          <w:lang w:bidi="fa-IR"/>
        </w:rPr>
        <w:t xml:space="preserve"> ».</w:t>
      </w:r>
    </w:p>
    <w:p w:rsidR="00744A1C" w:rsidRDefault="00E378DD" w:rsidP="00E378DD">
      <w:pPr>
        <w:pStyle w:val="libFootnote0"/>
        <w:rPr>
          <w:lang w:bidi="fa-IR"/>
        </w:rPr>
      </w:pPr>
      <w:r>
        <w:rPr>
          <w:rtl/>
          <w:lang w:bidi="fa-IR"/>
        </w:rPr>
        <w:t>(3).</w:t>
      </w:r>
      <w:r w:rsidR="00744A1C">
        <w:rPr>
          <w:rtl/>
          <w:lang w:bidi="fa-IR"/>
        </w:rPr>
        <w:t xml:space="preserve"> في « بح » : - « لنا ».</w:t>
      </w:r>
    </w:p>
    <w:p w:rsidR="00744A1C" w:rsidRDefault="00E378DD" w:rsidP="00E378DD">
      <w:pPr>
        <w:pStyle w:val="libFootnote0"/>
        <w:rPr>
          <w:lang w:bidi="fa-IR"/>
        </w:rPr>
      </w:pPr>
      <w:r>
        <w:rPr>
          <w:rtl/>
          <w:lang w:bidi="fa-IR"/>
        </w:rPr>
        <w:t>(4).</w:t>
      </w:r>
      <w:r w:rsidR="00744A1C">
        <w:rPr>
          <w:rtl/>
          <w:lang w:bidi="fa-IR"/>
        </w:rPr>
        <w:t xml:space="preserve"> في </w:t>
      </w:r>
      <w:r w:rsidR="00744A1C" w:rsidRPr="0075605E">
        <w:rPr>
          <w:rtl/>
        </w:rPr>
        <w:t>التهذيب</w:t>
      </w:r>
      <w:r w:rsidR="00744A1C">
        <w:rPr>
          <w:rtl/>
          <w:lang w:bidi="fa-IR"/>
        </w:rPr>
        <w:t xml:space="preserve"> ، ج 6 </w:t>
      </w:r>
      <w:r w:rsidR="00744A1C" w:rsidRPr="0075605E">
        <w:rPr>
          <w:rtl/>
        </w:rPr>
        <w:t>وتفسير القمّي والخصال</w:t>
      </w:r>
      <w:r w:rsidR="00744A1C">
        <w:rPr>
          <w:rtl/>
          <w:lang w:bidi="fa-IR"/>
        </w:rPr>
        <w:t xml:space="preserve"> والتحف : « نكاحهم ».</w:t>
      </w:r>
    </w:p>
    <w:p w:rsidR="00144FA6" w:rsidRDefault="00E378DD" w:rsidP="00E378DD">
      <w:pPr>
        <w:pStyle w:val="libFootnote0"/>
        <w:rPr>
          <w:rtl/>
          <w:lang w:bidi="fa-IR"/>
        </w:rPr>
      </w:pPr>
      <w:r>
        <w:rPr>
          <w:rtl/>
          <w:lang w:bidi="fa-IR"/>
        </w:rPr>
        <w:t>(5).</w:t>
      </w:r>
      <w:r w:rsidR="00744A1C">
        <w:rPr>
          <w:rtl/>
          <w:lang w:bidi="fa-IR"/>
        </w:rPr>
        <w:t xml:space="preserve"> في </w:t>
      </w:r>
      <w:r w:rsidR="00744A1C" w:rsidRPr="0075605E">
        <w:rPr>
          <w:rtl/>
        </w:rPr>
        <w:t>التهذيب</w:t>
      </w:r>
      <w:r w:rsidR="00744A1C">
        <w:rPr>
          <w:rtl/>
          <w:lang w:bidi="fa-IR"/>
        </w:rPr>
        <w:t xml:space="preserve"> ، ج 6 </w:t>
      </w:r>
      <w:r w:rsidR="00744A1C" w:rsidRPr="0075605E">
        <w:rPr>
          <w:rtl/>
        </w:rPr>
        <w:t>وتفسير القمّي</w:t>
      </w:r>
      <w:r w:rsidR="00744A1C">
        <w:rPr>
          <w:rtl/>
          <w:lang w:bidi="fa-IR"/>
        </w:rPr>
        <w:t xml:space="preserve"> : - « دار »</w:t>
      </w:r>
    </w:p>
    <w:p w:rsidR="00744A1C" w:rsidRDefault="00E378DD" w:rsidP="00E378DD">
      <w:pPr>
        <w:pStyle w:val="libFootnote0"/>
        <w:rPr>
          <w:lang w:bidi="fa-IR"/>
        </w:rPr>
      </w:pPr>
      <w:r>
        <w:rPr>
          <w:rtl/>
          <w:lang w:bidi="fa-IR"/>
        </w:rPr>
        <w:t>(6).</w:t>
      </w:r>
      <w:r w:rsidR="00744A1C">
        <w:rPr>
          <w:rtl/>
          <w:lang w:bidi="fa-IR"/>
        </w:rPr>
        <w:t xml:space="preserve"> في </w:t>
      </w:r>
      <w:r w:rsidR="00744A1C" w:rsidRPr="0075605E">
        <w:rPr>
          <w:rtl/>
        </w:rPr>
        <w:t>البحار</w:t>
      </w:r>
      <w:r w:rsidR="00744A1C">
        <w:rPr>
          <w:rtl/>
          <w:lang w:bidi="fa-IR"/>
        </w:rPr>
        <w:t xml:space="preserve"> ، ج 32 : « ثمّ قال » بدل « وأمّا السيوف الثلاثة المشهورة » إلى هنا.</w:t>
      </w:r>
    </w:p>
    <w:p w:rsidR="00744A1C" w:rsidRDefault="00E378DD" w:rsidP="00E378DD">
      <w:pPr>
        <w:pStyle w:val="libFootnote0"/>
        <w:rPr>
          <w:lang w:bidi="fa-IR"/>
        </w:rPr>
      </w:pPr>
      <w:r>
        <w:rPr>
          <w:rtl/>
          <w:lang w:bidi="fa-IR"/>
        </w:rPr>
        <w:t>(7).</w:t>
      </w:r>
      <w:r w:rsidR="00744A1C">
        <w:rPr>
          <w:rtl/>
          <w:lang w:bidi="fa-IR"/>
        </w:rPr>
        <w:t xml:space="preserve"> في </w:t>
      </w:r>
      <w:r w:rsidR="00744A1C" w:rsidRPr="0075605E">
        <w:rPr>
          <w:rtl/>
        </w:rPr>
        <w:t>تفسير</w:t>
      </w:r>
      <w:r w:rsidR="00744A1C" w:rsidRPr="00610FB4">
        <w:rPr>
          <w:rStyle w:val="libFootnoteBoldChar"/>
          <w:rtl/>
        </w:rPr>
        <w:t xml:space="preserve"> </w:t>
      </w:r>
      <w:r w:rsidR="00744A1C" w:rsidRPr="0075605E">
        <w:rPr>
          <w:rtl/>
        </w:rPr>
        <w:t>القمّي</w:t>
      </w:r>
      <w:r w:rsidR="00744A1C">
        <w:rPr>
          <w:rtl/>
          <w:lang w:bidi="fa-IR"/>
        </w:rPr>
        <w:t xml:space="preserve"> والخصال : « الملفوف ».</w:t>
      </w:r>
    </w:p>
    <w:p w:rsidR="00744A1C" w:rsidRDefault="00E378DD" w:rsidP="00E378DD">
      <w:pPr>
        <w:pStyle w:val="libFootnote0"/>
        <w:rPr>
          <w:lang w:bidi="fa-IR"/>
        </w:rPr>
      </w:pPr>
      <w:r>
        <w:rPr>
          <w:rtl/>
          <w:lang w:bidi="fa-IR"/>
        </w:rPr>
        <w:t>(8).</w:t>
      </w:r>
      <w:r w:rsidR="00744A1C">
        <w:rPr>
          <w:rtl/>
          <w:lang w:bidi="fa-IR"/>
        </w:rPr>
        <w:t xml:space="preserve"> الحجرات (49) : 9. وهذه الآية أصل في قتال أهل البغي من المسلمين ، ودليل على وجوب قتالهم ، وعليها</w:t>
      </w:r>
      <w:r w:rsidR="0075605E">
        <w:rPr>
          <w:rFonts w:hint="cs"/>
          <w:rtl/>
          <w:lang w:bidi="fa-IR"/>
        </w:rPr>
        <w:t xml:space="preserve"> </w:t>
      </w:r>
      <w:r w:rsidR="00744A1C">
        <w:rPr>
          <w:rtl/>
          <w:lang w:bidi="fa-IR"/>
        </w:rPr>
        <w:t xml:space="preserve">بنى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قتال الناكثين والقاسطين والمارقين ، وإيّاها عنى رسول الله </w:t>
      </w:r>
      <w:r w:rsidR="00F90866" w:rsidRPr="00F90866">
        <w:rPr>
          <w:rStyle w:val="libFootnoteAlaemChar"/>
          <w:rtl/>
        </w:rPr>
        <w:t>صلى‌الله‌عليه‌وآله</w:t>
      </w:r>
      <w:r w:rsidR="00744A1C">
        <w:rPr>
          <w:rtl/>
          <w:lang w:bidi="fa-IR"/>
        </w:rPr>
        <w:t xml:space="preserve"> حين قال لعمّار بن ياسر : « يا عمّار ، تقتلك الفئة الباغية ». راجع : المبسوط ، ج 7 ، ص 262 ؛ المهذّب ، ج 1 ، ص 322 ؛ </w:t>
      </w:r>
      <w:r w:rsidR="00744A1C" w:rsidRPr="00877682">
        <w:rPr>
          <w:rStyle w:val="libFootnoteBoldChar"/>
          <w:rtl/>
        </w:rPr>
        <w:t>السرائر</w:t>
      </w:r>
      <w:r w:rsidR="00744A1C">
        <w:rPr>
          <w:rtl/>
          <w:lang w:bidi="fa-IR"/>
        </w:rPr>
        <w:t xml:space="preserve"> ، ج 2 ، ص 904 ؛ </w:t>
      </w:r>
      <w:r w:rsidR="00744A1C" w:rsidRPr="00877682">
        <w:rPr>
          <w:rStyle w:val="libFootnoteBoldChar"/>
          <w:rtl/>
        </w:rPr>
        <w:t>منتهى المطلب</w:t>
      </w:r>
      <w:r w:rsidR="00744A1C">
        <w:rPr>
          <w:rtl/>
          <w:lang w:bidi="fa-IR"/>
        </w:rPr>
        <w:t xml:space="preserve"> ، ج 2 ، ص 982 ؛ وغيرها من المصادر الفقهيّة.</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لعلّ كون القتال للتأويل لكون الآية من غير نصّ في خصوص طائفة ؛ إذ الباغي يدّعي أنّه على‌الحقّ ، وخصمه باغ ؛ أو المراد به أنّ آيات قتال المشركين والكافرين يشملهم في تأويل القرآن ».</w:t>
      </w:r>
    </w:p>
    <w:p w:rsidR="00744A1C" w:rsidRDefault="00E378DD" w:rsidP="00E378DD">
      <w:pPr>
        <w:pStyle w:val="libFootnote0"/>
        <w:rPr>
          <w:lang w:bidi="fa-IR"/>
        </w:rPr>
      </w:pPr>
      <w:r>
        <w:rPr>
          <w:rtl/>
          <w:lang w:bidi="fa-IR"/>
        </w:rPr>
        <w:t>(10).</w:t>
      </w:r>
      <w:r w:rsidR="00744A1C">
        <w:rPr>
          <w:rtl/>
          <w:lang w:bidi="fa-IR"/>
        </w:rPr>
        <w:t xml:space="preserve"> </w:t>
      </w:r>
      <w:r w:rsidR="00744A1C" w:rsidRPr="0075210F">
        <w:rPr>
          <w:rStyle w:val="libFootnoteBoldChar"/>
          <w:rtl/>
        </w:rPr>
        <w:t>الخَصف</w:t>
      </w:r>
      <w:r w:rsidR="00744A1C">
        <w:rPr>
          <w:rtl/>
          <w:lang w:bidi="fa-IR"/>
        </w:rPr>
        <w:t xml:space="preserve"> : ضمّ الشي‌ء إلى الشي‌ء ، يقال : خصف النعلَ يخصفها خَصفاً ، أي ظاهر بعضها على بعض‌وخرزها. راجع : </w:t>
      </w:r>
      <w:r w:rsidR="00744A1C" w:rsidRPr="00877682">
        <w:rPr>
          <w:rStyle w:val="libFootnoteBoldChar"/>
          <w:rtl/>
        </w:rPr>
        <w:t>لسان العرب</w:t>
      </w:r>
      <w:r w:rsidR="00744A1C">
        <w:rPr>
          <w:rtl/>
          <w:lang w:bidi="fa-IR"/>
        </w:rPr>
        <w:t xml:space="preserve"> ، ج 9 ، ص 71 ( خصف ).</w:t>
      </w:r>
    </w:p>
    <w:p w:rsidR="00744A1C" w:rsidRDefault="00E378DD" w:rsidP="00E378DD">
      <w:pPr>
        <w:pStyle w:val="libFootnote0"/>
        <w:rPr>
          <w:lang w:bidi="fa-IR"/>
        </w:rPr>
      </w:pPr>
      <w:r>
        <w:rPr>
          <w:rtl/>
          <w:lang w:bidi="fa-IR"/>
        </w:rPr>
        <w:t>(11).</w:t>
      </w:r>
      <w:r w:rsidR="00744A1C">
        <w:rPr>
          <w:rtl/>
          <w:lang w:bidi="fa-IR"/>
        </w:rPr>
        <w:t xml:space="preserve"> في « بث ، بح ، جد » وحاشية « جت » : « مع النبيّ ».</w:t>
      </w:r>
    </w:p>
    <w:tbl>
      <w:tblPr>
        <w:tblStyle w:val="TableGrid"/>
        <w:bidiVisual/>
        <w:tblW w:w="0" w:type="auto"/>
        <w:tblLook w:val="04A0" w:firstRow="1" w:lastRow="0" w:firstColumn="1" w:lastColumn="0" w:noHBand="0" w:noVBand="1"/>
      </w:tblPr>
      <w:tblGrid>
        <w:gridCol w:w="4006"/>
        <w:gridCol w:w="4006"/>
      </w:tblGrid>
      <w:tr w:rsidR="0075210F" w:rsidTr="0075210F">
        <w:tc>
          <w:tcPr>
            <w:tcW w:w="4006" w:type="dxa"/>
          </w:tcPr>
          <w:p w:rsidR="0075210F" w:rsidRDefault="0075210F" w:rsidP="00E378DD">
            <w:pPr>
              <w:pStyle w:val="libFootnote0"/>
              <w:rPr>
                <w:rtl/>
                <w:lang w:bidi="fa-IR"/>
              </w:rPr>
            </w:pPr>
            <w:r>
              <w:rPr>
                <w:rtl/>
                <w:lang w:bidi="fa-IR"/>
              </w:rPr>
              <w:t>(12). في الخصال : + « وأهل بيته ».</w:t>
            </w:r>
          </w:p>
        </w:tc>
        <w:tc>
          <w:tcPr>
            <w:tcW w:w="4006" w:type="dxa"/>
          </w:tcPr>
          <w:p w:rsidR="0075210F" w:rsidRDefault="0075210F" w:rsidP="00E378DD">
            <w:pPr>
              <w:pStyle w:val="libFootnote0"/>
              <w:rPr>
                <w:rtl/>
                <w:lang w:bidi="fa-IR"/>
              </w:rPr>
            </w:pPr>
            <w:r>
              <w:rPr>
                <w:rtl/>
                <w:lang w:bidi="fa-IR"/>
              </w:rPr>
              <w:t>(13). في « ى » : « فهذه ».</w:t>
            </w:r>
          </w:p>
        </w:tc>
      </w:tr>
    </w:tbl>
    <w:p w:rsidR="00744A1C" w:rsidRDefault="00E378DD" w:rsidP="00E378DD">
      <w:pPr>
        <w:pStyle w:val="libFootnote0"/>
        <w:rPr>
          <w:lang w:bidi="fa-IR"/>
        </w:rPr>
      </w:pPr>
      <w:r>
        <w:rPr>
          <w:rtl/>
          <w:lang w:bidi="fa-IR"/>
        </w:rPr>
        <w:t>(14).</w:t>
      </w:r>
      <w:r w:rsidR="00744A1C">
        <w:rPr>
          <w:rtl/>
          <w:lang w:bidi="fa-IR"/>
        </w:rPr>
        <w:t xml:space="preserve"> في « جن » : « بلغونا ». وفي </w:t>
      </w:r>
      <w:r w:rsidR="00744A1C" w:rsidRPr="00C24F9C">
        <w:rPr>
          <w:rStyle w:val="libFootnoteBoldChar"/>
          <w:rtl/>
        </w:rPr>
        <w:t>الوسائل</w:t>
      </w:r>
      <w:r w:rsidR="00744A1C">
        <w:rPr>
          <w:rtl/>
          <w:lang w:bidi="fa-IR"/>
        </w:rPr>
        <w:t xml:space="preserve"> : « يبلغونا » بدل « يبلغوا بنا ».</w:t>
      </w:r>
    </w:p>
    <w:p w:rsidR="00144FA6" w:rsidRDefault="00E378DD" w:rsidP="00E378DD">
      <w:pPr>
        <w:pStyle w:val="libFootnote0"/>
        <w:rPr>
          <w:rtl/>
          <w:lang w:bidi="fa-IR"/>
        </w:rPr>
      </w:pPr>
      <w:r>
        <w:rPr>
          <w:rtl/>
          <w:lang w:bidi="fa-IR"/>
        </w:rPr>
        <w:t>(15).</w:t>
      </w:r>
      <w:r w:rsidR="00744A1C">
        <w:rPr>
          <w:rtl/>
          <w:lang w:bidi="fa-IR"/>
        </w:rPr>
        <w:t xml:space="preserve"> قال ابن الأثير : « في حديث عمّار : لو ضربونا حتّى يبلغوا بنا سعفات هَجَر ، السَعَفات جمع سَعَفَة</w:t>
      </w:r>
      <w:r w:rsidR="0062285C">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EE40F1">
      <w:pPr>
        <w:pStyle w:val="libNormal0"/>
        <w:rPr>
          <w:lang w:bidi="fa-IR"/>
        </w:rPr>
      </w:pPr>
      <w:r>
        <w:rPr>
          <w:rtl/>
          <w:lang w:bidi="fa-IR"/>
        </w:rPr>
        <w:lastRenderedPageBreak/>
        <w:t xml:space="preserve">مِنْ هَجَرَ </w:t>
      </w:r>
      <w:r w:rsidRPr="00D10E3C">
        <w:rPr>
          <w:rStyle w:val="libFootnotenumChar"/>
          <w:rtl/>
        </w:rPr>
        <w:t>(1)</w:t>
      </w:r>
      <w:r>
        <w:rPr>
          <w:rtl/>
          <w:lang w:bidi="fa-IR"/>
        </w:rPr>
        <w:t xml:space="preserve"> ، لَعَلِمْنَا أَنَّا عَلَى الْحَقِّ ، وَأَنَّهُمْ عَلَى الْبَاطِلِ ، وَكَانَتِ السِّيرَةُ فِيهِمْ مِنْ أَمِيرِ الْمُؤْمِنِينَ </w:t>
      </w:r>
      <w:r w:rsidR="0061079A" w:rsidRPr="0061079A">
        <w:rPr>
          <w:rStyle w:val="libAlaemChar"/>
          <w:rtl/>
        </w:rPr>
        <w:t>عليه‌السلام</w:t>
      </w:r>
      <w:r w:rsidR="00D10E3C">
        <w:rPr>
          <w:rtl/>
          <w:lang w:bidi="fa-IR"/>
        </w:rPr>
        <w:t xml:space="preserve"> </w:t>
      </w:r>
      <w:r w:rsidRPr="00D10E3C">
        <w:rPr>
          <w:rStyle w:val="libFootnotenumChar"/>
          <w:rtl/>
        </w:rPr>
        <w:t>(2)</w:t>
      </w:r>
      <w:r>
        <w:rPr>
          <w:rtl/>
          <w:lang w:bidi="fa-IR"/>
        </w:rPr>
        <w:t xml:space="preserve"> مَا كَانَ مِنْ رَسُولِ اللهِ </w:t>
      </w:r>
      <w:r w:rsidR="005E465D" w:rsidRPr="005E465D">
        <w:rPr>
          <w:rStyle w:val="libAlaemChar"/>
          <w:rtl/>
        </w:rPr>
        <w:t>صلى‌الله‌عليه‌وآله</w:t>
      </w:r>
      <w:r w:rsidR="00D10E3C">
        <w:rPr>
          <w:rtl/>
          <w:lang w:bidi="fa-IR"/>
        </w:rPr>
        <w:t xml:space="preserve"> </w:t>
      </w:r>
      <w:r>
        <w:rPr>
          <w:rtl/>
          <w:lang w:bidi="fa-IR"/>
        </w:rPr>
        <w:t xml:space="preserve">فِي أَهْلِ مَكَّةَ </w:t>
      </w:r>
      <w:r w:rsidRPr="00D10E3C">
        <w:rPr>
          <w:rStyle w:val="libFootnotenumChar"/>
          <w:rtl/>
        </w:rPr>
        <w:t>(3)</w:t>
      </w:r>
      <w:r>
        <w:rPr>
          <w:rtl/>
          <w:lang w:bidi="fa-IR"/>
        </w:rPr>
        <w:t xml:space="preserve"> يَوْمَ فَتْحِ مَكَّةَ ؛ فَإِنَّهُ لَمْ يَسْبِ لَهُمْ ذُرِّيَّةً ، وَقَالَ مَنْ أَغْلَقَ بَابَهُ فَهُوَ آمِنٌ ، وَمَنْ أَلْقى سِلَاحَهُ </w:t>
      </w:r>
      <w:r w:rsidRPr="00D10E3C">
        <w:rPr>
          <w:rStyle w:val="libFootnotenumChar"/>
          <w:rtl/>
        </w:rPr>
        <w:t>(4)</w:t>
      </w:r>
      <w:r>
        <w:rPr>
          <w:rtl/>
          <w:lang w:bidi="fa-IR"/>
        </w:rPr>
        <w:t xml:space="preserve"> فَهُوَ آمِنٌ </w:t>
      </w:r>
      <w:r w:rsidRPr="00D10E3C">
        <w:rPr>
          <w:rStyle w:val="libFootnotenumChar"/>
          <w:rtl/>
        </w:rPr>
        <w:t>(5)</w:t>
      </w:r>
      <w:r>
        <w:rPr>
          <w:rtl/>
          <w:lang w:bidi="fa-IR"/>
        </w:rPr>
        <w:t xml:space="preserve"> ، وَكَذلِكَ قَالَ أَمِيرُ الْمُؤْمِنِينَ - صَلَوَاتُ اللهِ عَلَيْهِ - يَوْمَ الْبَصْرَةِ نَادى فِيهِمْ </w:t>
      </w:r>
      <w:r w:rsidRPr="00D10E3C">
        <w:rPr>
          <w:rStyle w:val="libFootnotenumChar"/>
          <w:rtl/>
        </w:rPr>
        <w:t>(6)</w:t>
      </w:r>
      <w:r>
        <w:rPr>
          <w:rtl/>
          <w:lang w:bidi="fa-IR"/>
        </w:rPr>
        <w:t xml:space="preserve"> : لَاتَسْبُوا </w:t>
      </w:r>
      <w:r w:rsidRPr="00D10E3C">
        <w:rPr>
          <w:rStyle w:val="libFootnotenumChar"/>
          <w:rtl/>
        </w:rPr>
        <w:t>(7)</w:t>
      </w:r>
      <w:r>
        <w:rPr>
          <w:rtl/>
          <w:lang w:bidi="fa-IR"/>
        </w:rPr>
        <w:t xml:space="preserve"> لَهُمْ ذُرِّيَّةً ، وَلَا تُجْهِزُوا </w:t>
      </w:r>
      <w:r w:rsidRPr="00D10E3C">
        <w:rPr>
          <w:rStyle w:val="libFootnotenumChar"/>
          <w:rtl/>
        </w:rPr>
        <w:t>(8)</w:t>
      </w:r>
      <w:r>
        <w:rPr>
          <w:rtl/>
          <w:lang w:bidi="fa-IR"/>
        </w:rPr>
        <w:t xml:space="preserve"> عَلى جَرِيحٍ </w:t>
      </w:r>
      <w:r w:rsidRPr="00D10E3C">
        <w:rPr>
          <w:rStyle w:val="libFootnotenumChar"/>
          <w:rtl/>
        </w:rPr>
        <w:t>(9)</w:t>
      </w:r>
      <w:r>
        <w:rPr>
          <w:rtl/>
          <w:lang w:bidi="fa-IR"/>
        </w:rPr>
        <w:t xml:space="preserve"> ، وَلَا تَتْبَعُوا </w:t>
      </w:r>
      <w:r w:rsidRPr="00D10E3C">
        <w:rPr>
          <w:rStyle w:val="libFootnotenumChar"/>
          <w:rtl/>
        </w:rPr>
        <w:t>(10)</w:t>
      </w:r>
      <w:r>
        <w:rPr>
          <w:rtl/>
          <w:lang w:bidi="fa-IR"/>
        </w:rPr>
        <w:t xml:space="preserve"> مُدْبِراً ، وَمَنْ أَغْلَقَ بَابَهُ وَأَلْقى سِلَاحَهُ فَهُوَ آمِنٌ.</w:t>
      </w:r>
    </w:p>
    <w:p w:rsidR="00744A1C" w:rsidRDefault="00744A1C" w:rsidP="00744A1C">
      <w:pPr>
        <w:pStyle w:val="libNormal"/>
        <w:rPr>
          <w:lang w:bidi="fa-IR"/>
        </w:rPr>
      </w:pPr>
      <w:r>
        <w:rPr>
          <w:rtl/>
          <w:lang w:bidi="fa-IR"/>
        </w:rPr>
        <w:t>وَ</w:t>
      </w:r>
      <w:r w:rsidR="00446473">
        <w:rPr>
          <w:rFonts w:hint="cs"/>
          <w:rtl/>
          <w:lang w:bidi="fa-IR"/>
        </w:rPr>
        <w:t xml:space="preserve"> </w:t>
      </w:r>
      <w:r>
        <w:rPr>
          <w:rtl/>
          <w:lang w:bidi="fa-IR"/>
        </w:rPr>
        <w:t xml:space="preserve">أَمَّا </w:t>
      </w:r>
      <w:r w:rsidRPr="00D10E3C">
        <w:rPr>
          <w:rStyle w:val="libFootnotenumChar"/>
          <w:rtl/>
        </w:rPr>
        <w:t>(11)</w:t>
      </w:r>
      <w:r>
        <w:rPr>
          <w:rtl/>
          <w:lang w:bidi="fa-IR"/>
        </w:rPr>
        <w:t xml:space="preserve"> السَّيْفُ الْمَغْمُودُ ، فَالسَّيْفُ الَّذِي يَقُومُ </w:t>
      </w:r>
      <w:r w:rsidRPr="00D10E3C">
        <w:rPr>
          <w:rStyle w:val="libFootnotenumChar"/>
          <w:rtl/>
        </w:rPr>
        <w:t>(12)</w:t>
      </w:r>
      <w:r>
        <w:rPr>
          <w:rtl/>
          <w:lang w:bidi="fa-IR"/>
        </w:rPr>
        <w:t xml:space="preserve"> بِهِ الْقِصَاصُ ، قَالَ اللهُ عَزَّ وَجَلَّ : </w:t>
      </w:r>
      <w:r w:rsidRPr="00446473">
        <w:rPr>
          <w:rStyle w:val="libAlaemChar"/>
          <w:rtl/>
        </w:rPr>
        <w:t>(</w:t>
      </w:r>
      <w:r>
        <w:rPr>
          <w:rtl/>
          <w:lang w:bidi="fa-IR"/>
        </w:rPr>
        <w:t xml:space="preserve"> </w:t>
      </w:r>
      <w:r w:rsidRPr="00446473">
        <w:rPr>
          <w:rStyle w:val="libAieChar"/>
          <w:rtl/>
        </w:rPr>
        <w:t>النَّفْسَ بِالنَّفْسِ وَالْعَيْنَ بِالْعَيْنِ</w:t>
      </w:r>
      <w:r>
        <w:rPr>
          <w:rtl/>
          <w:lang w:bidi="fa-IR"/>
        </w:rPr>
        <w:t xml:space="preserve"> </w:t>
      </w:r>
      <w:r w:rsidRPr="00446473">
        <w:rPr>
          <w:rStyle w:val="libAlaemChar"/>
          <w:rtl/>
        </w:rPr>
        <w:t>)</w:t>
      </w:r>
      <w:r>
        <w:rPr>
          <w:rtl/>
          <w:lang w:bidi="fa-IR"/>
        </w:rPr>
        <w:t xml:space="preserve"> </w:t>
      </w:r>
      <w:r w:rsidRPr="00D10E3C">
        <w:rPr>
          <w:rStyle w:val="libFootnotenumChar"/>
          <w:rtl/>
        </w:rPr>
        <w:t>(13)</w:t>
      </w:r>
      <w:r>
        <w:rPr>
          <w:rtl/>
          <w:lang w:bidi="fa-IR"/>
        </w:rPr>
        <w:t xml:space="preserve"> فَسَلُّهُ </w:t>
      </w:r>
      <w:r w:rsidRPr="00D10E3C">
        <w:rPr>
          <w:rStyle w:val="libFootnotenumChar"/>
          <w:rtl/>
        </w:rPr>
        <w:t>(14)</w:t>
      </w:r>
      <w:r>
        <w:rPr>
          <w:rtl/>
          <w:lang w:bidi="fa-IR"/>
        </w:rPr>
        <w:t xml:space="preserve"> إِلى أَوْلِيَاءِ الْمَقْتُولِ ، وَحُكْمُهُ إِلَيْنَا </w:t>
      </w:r>
      <w:r w:rsidRPr="00D10E3C">
        <w:rPr>
          <w:rStyle w:val="libFootnotenumChar"/>
          <w:rtl/>
        </w:rPr>
        <w:t>(15)</w:t>
      </w:r>
      <w:r w:rsidR="00446473" w:rsidRPr="00446473">
        <w:rPr>
          <w:rFonts w:hint="cs"/>
          <w:rtl/>
        </w:rPr>
        <w:t>.</w:t>
      </w:r>
    </w:p>
    <w:p w:rsidR="00144FA6" w:rsidRDefault="00744A1C" w:rsidP="00744A1C">
      <w:pPr>
        <w:pStyle w:val="libNormal"/>
        <w:rPr>
          <w:rtl/>
          <w:lang w:bidi="fa-IR"/>
        </w:rPr>
      </w:pPr>
      <w:r>
        <w:rPr>
          <w:rtl/>
          <w:lang w:bidi="fa-IR"/>
        </w:rPr>
        <w:t xml:space="preserve">فَهذِهِ السُّيُوفُ الَّتِي بَعَثَ اللهُ بِهَا مُحَمَّداً </w:t>
      </w:r>
      <w:r w:rsidR="0017097C" w:rsidRPr="0017097C">
        <w:rPr>
          <w:rStyle w:val="libAlaemChar"/>
          <w:rtl/>
        </w:rPr>
        <w:t>صلى‌الله‌عليه‌وآله</w:t>
      </w:r>
      <w:r w:rsidR="00D10E3C">
        <w:rPr>
          <w:rtl/>
          <w:lang w:bidi="fa-IR"/>
        </w:rPr>
        <w:t xml:space="preserve"> </w:t>
      </w:r>
      <w:r>
        <w:rPr>
          <w:rtl/>
          <w:lang w:bidi="fa-IR"/>
        </w:rPr>
        <w:t>، فَمَنْ جَحَدَهَا ، أَوْ جَحَدَ وَاحِداً مِنْهَا ،</w:t>
      </w:r>
    </w:p>
    <w:p w:rsidR="00744A1C" w:rsidRDefault="00744A1C" w:rsidP="00D10E3C">
      <w:pPr>
        <w:pStyle w:val="libLine"/>
        <w:rPr>
          <w:lang w:bidi="fa-IR"/>
        </w:rPr>
      </w:pPr>
      <w:r>
        <w:rPr>
          <w:rtl/>
          <w:lang w:bidi="fa-IR"/>
        </w:rPr>
        <w:t>____________________</w:t>
      </w:r>
    </w:p>
    <w:p w:rsidR="00744A1C" w:rsidRDefault="00446473" w:rsidP="00D10E3C">
      <w:pPr>
        <w:pStyle w:val="libFootnote0"/>
        <w:rPr>
          <w:lang w:bidi="fa-IR"/>
        </w:rPr>
      </w:pPr>
      <w:r>
        <w:rPr>
          <w:rFonts w:hint="cs"/>
          <w:rtl/>
          <w:lang w:bidi="fa-IR"/>
        </w:rPr>
        <w:t xml:space="preserve">= </w:t>
      </w:r>
      <w:r w:rsidR="00744A1C">
        <w:rPr>
          <w:rtl/>
          <w:lang w:bidi="fa-IR"/>
        </w:rPr>
        <w:t xml:space="preserve">بالتحريك ، وهي أغصان النخيل ، وقيل : إذا يَبُسَت سمّيت سَعَفَة ، وإذا كانت رطبة فهي شَطْبة ، وإنّما خصّ هجر للمباعدة في المسافة ، ولأنّها موصوفة بكثرة النخيل ». </w:t>
      </w:r>
      <w:r w:rsidR="00744A1C" w:rsidRPr="00877682">
        <w:rPr>
          <w:rStyle w:val="libFootnoteBoldChar"/>
          <w:rtl/>
        </w:rPr>
        <w:t>النهاية</w:t>
      </w:r>
      <w:r w:rsidR="00744A1C">
        <w:rPr>
          <w:rtl/>
          <w:lang w:bidi="fa-IR"/>
        </w:rPr>
        <w:t xml:space="preserve"> ، ج 2 ، ص 368 ( سعف ).</w:t>
      </w:r>
    </w:p>
    <w:p w:rsidR="00744A1C" w:rsidRDefault="00D10E3C" w:rsidP="00D10E3C">
      <w:pPr>
        <w:pStyle w:val="libFootnote0"/>
        <w:rPr>
          <w:lang w:bidi="fa-IR"/>
        </w:rPr>
      </w:pPr>
      <w:r>
        <w:rPr>
          <w:rtl/>
          <w:lang w:bidi="fa-IR"/>
        </w:rPr>
        <w:t>(1).</w:t>
      </w:r>
      <w:r w:rsidR="00744A1C">
        <w:rPr>
          <w:rtl/>
          <w:lang w:bidi="fa-IR"/>
        </w:rPr>
        <w:t xml:space="preserve"> قال الفيروزآبادي : « هجر ، محرّكة : بلد باليمن بينه وبين عَثَّر يوم وليلة ، مذكّر مصروف ، وقد يؤنّث ويمنع ، والنسبة : هجري وهاجري ، واسم لجميع أرض البحرين ». </w:t>
      </w:r>
      <w:r w:rsidR="00744A1C" w:rsidRPr="008A57EB">
        <w:rPr>
          <w:rStyle w:val="libFootnoteBoldChar"/>
          <w:rtl/>
        </w:rPr>
        <w:t>القاموس المحيط</w:t>
      </w:r>
      <w:r w:rsidR="00744A1C">
        <w:rPr>
          <w:rtl/>
          <w:lang w:bidi="fa-IR"/>
        </w:rPr>
        <w:t xml:space="preserve"> ، ج 1 ، ص 685 ( هجر ). وراجع : معجم البلدان ، ج 1 ، ص 303 ؛ وج 3 ، ص 413.</w:t>
      </w:r>
    </w:p>
    <w:p w:rsidR="00744A1C" w:rsidRDefault="00E378DD" w:rsidP="00E378DD">
      <w:pPr>
        <w:pStyle w:val="libFootnote0"/>
        <w:rPr>
          <w:lang w:bidi="fa-IR"/>
        </w:rPr>
      </w:pPr>
      <w:r>
        <w:rPr>
          <w:rtl/>
          <w:lang w:bidi="fa-IR"/>
        </w:rPr>
        <w:t>(2).</w:t>
      </w:r>
      <w:r w:rsidR="00744A1C">
        <w:rPr>
          <w:rtl/>
          <w:lang w:bidi="fa-IR"/>
        </w:rPr>
        <w:t xml:space="preserve"> في التحف : + « مثل ».</w:t>
      </w:r>
    </w:p>
    <w:p w:rsidR="00744A1C" w:rsidRDefault="00E378DD" w:rsidP="00E378DD">
      <w:pPr>
        <w:pStyle w:val="libFootnote0"/>
        <w:rPr>
          <w:lang w:bidi="fa-IR"/>
        </w:rPr>
      </w:pPr>
      <w:r>
        <w:rPr>
          <w:rtl/>
          <w:lang w:bidi="fa-IR"/>
        </w:rPr>
        <w:t>(3).</w:t>
      </w:r>
      <w:r w:rsidR="00744A1C">
        <w:rPr>
          <w:rtl/>
          <w:lang w:bidi="fa-IR"/>
        </w:rPr>
        <w:t xml:space="preserve"> في « ى » : - « في أهل مكّة ».</w:t>
      </w:r>
    </w:p>
    <w:p w:rsidR="00744A1C" w:rsidRDefault="00E378DD" w:rsidP="00E378DD">
      <w:pPr>
        <w:pStyle w:val="libFootnote0"/>
        <w:rPr>
          <w:lang w:bidi="fa-IR"/>
        </w:rPr>
      </w:pPr>
      <w:r>
        <w:rPr>
          <w:rtl/>
          <w:lang w:bidi="fa-IR"/>
        </w:rPr>
        <w:t>(4).</w:t>
      </w:r>
      <w:r w:rsidR="00744A1C">
        <w:rPr>
          <w:rtl/>
          <w:lang w:bidi="fa-IR"/>
        </w:rPr>
        <w:t xml:space="preserve"> في </w:t>
      </w:r>
      <w:r w:rsidR="00744A1C" w:rsidRPr="00446473">
        <w:rPr>
          <w:rtl/>
        </w:rPr>
        <w:t>الوافي والتهذيب</w:t>
      </w:r>
      <w:r w:rsidR="00744A1C">
        <w:rPr>
          <w:rtl/>
          <w:lang w:bidi="fa-IR"/>
        </w:rPr>
        <w:t xml:space="preserve"> ، ج 4 و 6 والخصال : « ومن [</w:t>
      </w:r>
      <w:r w:rsidR="00744A1C" w:rsidRPr="00446473">
        <w:rPr>
          <w:rtl/>
        </w:rPr>
        <w:t xml:space="preserve"> التهذيب </w:t>
      </w:r>
      <w:r w:rsidR="00744A1C">
        <w:rPr>
          <w:rtl/>
          <w:lang w:bidi="fa-IR"/>
        </w:rPr>
        <w:t>، ج 4 : « أو » بدل « ومن » ] ألقى سلاحه أو دخل دارأبي سفيان » بدل « فهو آمن ومن ألقى سلاحه ».</w:t>
      </w:r>
    </w:p>
    <w:p w:rsidR="00744A1C" w:rsidRDefault="00E378DD" w:rsidP="00E378DD">
      <w:pPr>
        <w:pStyle w:val="libFootnote0"/>
        <w:rPr>
          <w:lang w:bidi="fa-IR"/>
        </w:rPr>
      </w:pPr>
      <w:r>
        <w:rPr>
          <w:rtl/>
          <w:lang w:bidi="fa-IR"/>
        </w:rPr>
        <w:t>(5).</w:t>
      </w:r>
      <w:r w:rsidR="00744A1C">
        <w:rPr>
          <w:rtl/>
          <w:lang w:bidi="fa-IR"/>
        </w:rPr>
        <w:t xml:space="preserve"> في </w:t>
      </w:r>
      <w:r w:rsidR="00744A1C" w:rsidRPr="00446473">
        <w:rPr>
          <w:rtl/>
        </w:rPr>
        <w:t>تفسير القمّي :</w:t>
      </w:r>
      <w:r w:rsidR="00744A1C">
        <w:rPr>
          <w:rtl/>
          <w:lang w:bidi="fa-IR"/>
        </w:rPr>
        <w:t xml:space="preserve"> + « ومن دخل دار أبي سفيان فهو آمن ».</w:t>
      </w:r>
    </w:p>
    <w:tbl>
      <w:tblPr>
        <w:tblStyle w:val="TableGrid"/>
        <w:bidiVisual/>
        <w:tblW w:w="0" w:type="auto"/>
        <w:tblLook w:val="04A0" w:firstRow="1" w:lastRow="0" w:firstColumn="1" w:lastColumn="0" w:noHBand="0" w:noVBand="1"/>
      </w:tblPr>
      <w:tblGrid>
        <w:gridCol w:w="4006"/>
        <w:gridCol w:w="4006"/>
      </w:tblGrid>
      <w:tr w:rsidR="00446473" w:rsidTr="00446473">
        <w:tc>
          <w:tcPr>
            <w:tcW w:w="4006" w:type="dxa"/>
          </w:tcPr>
          <w:p w:rsidR="00446473" w:rsidRDefault="00446473" w:rsidP="00E378DD">
            <w:pPr>
              <w:pStyle w:val="libFootnote0"/>
              <w:rPr>
                <w:rtl/>
                <w:lang w:bidi="fa-IR"/>
              </w:rPr>
            </w:pPr>
            <w:r>
              <w:rPr>
                <w:rtl/>
                <w:lang w:bidi="fa-IR"/>
              </w:rPr>
              <w:t xml:space="preserve">(6). في </w:t>
            </w:r>
            <w:r w:rsidRPr="00446473">
              <w:rPr>
                <w:rtl/>
              </w:rPr>
              <w:t>الوسائل :</w:t>
            </w:r>
            <w:r>
              <w:rPr>
                <w:rtl/>
                <w:lang w:bidi="fa-IR"/>
              </w:rPr>
              <w:t xml:space="preserve"> - « فيهم ».</w:t>
            </w:r>
          </w:p>
        </w:tc>
        <w:tc>
          <w:tcPr>
            <w:tcW w:w="4006" w:type="dxa"/>
          </w:tcPr>
          <w:p w:rsidR="00446473" w:rsidRDefault="00446473" w:rsidP="00E378DD">
            <w:pPr>
              <w:pStyle w:val="libFootnote0"/>
              <w:rPr>
                <w:rtl/>
                <w:lang w:bidi="fa-IR"/>
              </w:rPr>
            </w:pPr>
            <w:r>
              <w:rPr>
                <w:rtl/>
                <w:lang w:bidi="fa-IR"/>
              </w:rPr>
              <w:t>(7). في « بف » و</w:t>
            </w:r>
            <w:r w:rsidRPr="00C24F9C">
              <w:rPr>
                <w:rStyle w:val="libFootnoteBoldChar"/>
                <w:rtl/>
              </w:rPr>
              <w:t>الوافي</w:t>
            </w:r>
            <w:r>
              <w:rPr>
                <w:rtl/>
                <w:lang w:bidi="fa-IR"/>
              </w:rPr>
              <w:t xml:space="preserve"> : « أل</w:t>
            </w:r>
            <w:r>
              <w:rPr>
                <w:rFonts w:hint="cs"/>
                <w:rtl/>
                <w:lang w:bidi="fa-IR"/>
              </w:rPr>
              <w:t>ّ</w:t>
            </w:r>
            <w:r>
              <w:rPr>
                <w:rtl/>
                <w:lang w:bidi="fa-IR"/>
              </w:rPr>
              <w:t>ا تسبوا ».</w:t>
            </w:r>
          </w:p>
        </w:tc>
      </w:tr>
    </w:tbl>
    <w:p w:rsidR="00744A1C" w:rsidRDefault="00E378DD" w:rsidP="00E378DD">
      <w:pPr>
        <w:pStyle w:val="libFootnote0"/>
        <w:rPr>
          <w:lang w:bidi="fa-IR"/>
        </w:rPr>
      </w:pPr>
      <w:r>
        <w:rPr>
          <w:rtl/>
          <w:lang w:bidi="fa-IR"/>
        </w:rPr>
        <w:t>(8).</w:t>
      </w:r>
      <w:r w:rsidR="00744A1C">
        <w:rPr>
          <w:rtl/>
          <w:lang w:bidi="fa-IR"/>
        </w:rPr>
        <w:t xml:space="preserve"> في</w:t>
      </w:r>
      <w:r w:rsidR="00744A1C" w:rsidRPr="00FF0F4E">
        <w:rPr>
          <w:rtl/>
        </w:rPr>
        <w:t xml:space="preserve"> التهذيب</w:t>
      </w:r>
      <w:r w:rsidR="00744A1C">
        <w:rPr>
          <w:rtl/>
          <w:lang w:bidi="fa-IR"/>
        </w:rPr>
        <w:t xml:space="preserve"> ، ج 4 و 6 : « ولا تتمّوا ». وفي التحف : « ولا تدفقوا ».</w:t>
      </w:r>
    </w:p>
    <w:p w:rsidR="00744A1C" w:rsidRDefault="00E378DD" w:rsidP="00E378DD">
      <w:pPr>
        <w:pStyle w:val="libFootnote0"/>
        <w:rPr>
          <w:lang w:bidi="fa-IR"/>
        </w:rPr>
      </w:pPr>
      <w:r>
        <w:rPr>
          <w:rtl/>
          <w:lang w:bidi="fa-IR"/>
        </w:rPr>
        <w:t>(9).</w:t>
      </w:r>
      <w:r w:rsidR="00744A1C">
        <w:rPr>
          <w:rtl/>
          <w:lang w:bidi="fa-IR"/>
        </w:rPr>
        <w:t xml:space="preserve"> في « بف » : « الجريح ». وأجهز على الجريح إجهازاً ، أي أثبت قتله ، أو أسرع قتله وتمّم عليه. راجع : </w:t>
      </w:r>
      <w:r w:rsidR="00744A1C" w:rsidRPr="00877682">
        <w:rPr>
          <w:rStyle w:val="libFootnoteBoldChar"/>
          <w:rtl/>
        </w:rPr>
        <w:t>لسان العرب</w:t>
      </w:r>
      <w:r w:rsidR="00744A1C">
        <w:rPr>
          <w:rtl/>
          <w:lang w:bidi="fa-IR"/>
        </w:rPr>
        <w:t xml:space="preserve"> ، ج 5 ، ص 325 ( جهز ). </w:t>
      </w:r>
      <w:r w:rsidR="00EE40F1">
        <w:rPr>
          <w:rFonts w:hint="cs"/>
          <w:rtl/>
          <w:lang w:bidi="fa-IR"/>
        </w:rPr>
        <w:t xml:space="preserve">              </w:t>
      </w:r>
      <w:r w:rsidR="00FF0F4E">
        <w:rPr>
          <w:rFonts w:hint="cs"/>
          <w:rtl/>
          <w:lang w:bidi="fa-IR"/>
        </w:rPr>
        <w:t xml:space="preserve">       </w:t>
      </w:r>
      <w:r>
        <w:rPr>
          <w:rtl/>
          <w:lang w:bidi="fa-IR"/>
        </w:rPr>
        <w:t>(10).</w:t>
      </w:r>
      <w:r w:rsidR="00744A1C">
        <w:rPr>
          <w:rtl/>
          <w:lang w:bidi="fa-IR"/>
        </w:rPr>
        <w:t xml:space="preserve"> في « ى » : + « لهم ».</w:t>
      </w:r>
    </w:p>
    <w:tbl>
      <w:tblPr>
        <w:tblStyle w:val="TableGrid"/>
        <w:bidiVisual/>
        <w:tblW w:w="0" w:type="auto"/>
        <w:tblLook w:val="04A0" w:firstRow="1" w:lastRow="0" w:firstColumn="1" w:lastColumn="0" w:noHBand="0" w:noVBand="1"/>
      </w:tblPr>
      <w:tblGrid>
        <w:gridCol w:w="4006"/>
        <w:gridCol w:w="4006"/>
      </w:tblGrid>
      <w:tr w:rsidR="00FF0F4E" w:rsidTr="00FF0F4E">
        <w:tc>
          <w:tcPr>
            <w:tcW w:w="4006" w:type="dxa"/>
          </w:tcPr>
          <w:p w:rsidR="00FF0F4E" w:rsidRDefault="00FF0F4E" w:rsidP="00E378DD">
            <w:pPr>
              <w:pStyle w:val="libFootnote0"/>
              <w:rPr>
                <w:rtl/>
                <w:lang w:bidi="fa-IR"/>
              </w:rPr>
            </w:pPr>
            <w:r>
              <w:rPr>
                <w:rtl/>
                <w:lang w:bidi="fa-IR"/>
              </w:rPr>
              <w:t>(11). في « بف » : « فأمّا ».</w:t>
            </w:r>
          </w:p>
        </w:tc>
        <w:tc>
          <w:tcPr>
            <w:tcW w:w="4006" w:type="dxa"/>
          </w:tcPr>
          <w:p w:rsidR="00FF0F4E" w:rsidRDefault="00FF0F4E" w:rsidP="00E378DD">
            <w:pPr>
              <w:pStyle w:val="libFootnote0"/>
              <w:rPr>
                <w:rtl/>
                <w:lang w:bidi="fa-IR"/>
              </w:rPr>
            </w:pPr>
            <w:r>
              <w:rPr>
                <w:rtl/>
                <w:lang w:bidi="fa-IR"/>
              </w:rPr>
              <w:t xml:space="preserve">(12). </w:t>
            </w:r>
            <w:r w:rsidRPr="00FF0F4E">
              <w:rPr>
                <w:rtl/>
              </w:rPr>
              <w:t>في الوافي وتفسير القمّي والتحف : « يق</w:t>
            </w:r>
            <w:r>
              <w:rPr>
                <w:rtl/>
                <w:lang w:bidi="fa-IR"/>
              </w:rPr>
              <w:t>ام ».</w:t>
            </w:r>
          </w:p>
        </w:tc>
      </w:tr>
      <w:tr w:rsidR="00FF0F4E" w:rsidTr="00FF0F4E">
        <w:tc>
          <w:tcPr>
            <w:tcW w:w="4006" w:type="dxa"/>
          </w:tcPr>
          <w:p w:rsidR="00FF0F4E" w:rsidRDefault="00FF0F4E" w:rsidP="00E378DD">
            <w:pPr>
              <w:pStyle w:val="libFootnote0"/>
              <w:rPr>
                <w:rtl/>
                <w:lang w:bidi="fa-IR"/>
              </w:rPr>
            </w:pPr>
            <w:r>
              <w:rPr>
                <w:rtl/>
                <w:lang w:bidi="fa-IR"/>
              </w:rPr>
              <w:t>(13). المائدة (5) : 45.</w:t>
            </w:r>
          </w:p>
        </w:tc>
        <w:tc>
          <w:tcPr>
            <w:tcW w:w="4006" w:type="dxa"/>
          </w:tcPr>
          <w:p w:rsidR="00FF0F4E" w:rsidRDefault="00FF0F4E" w:rsidP="00E378DD">
            <w:pPr>
              <w:pStyle w:val="libFootnote0"/>
              <w:rPr>
                <w:rtl/>
                <w:lang w:bidi="fa-IR"/>
              </w:rPr>
            </w:pPr>
            <w:r>
              <w:rPr>
                <w:rtl/>
                <w:lang w:bidi="fa-IR"/>
              </w:rPr>
              <w:t>(14). في « بف » : « فسلّمه ».</w:t>
            </w:r>
          </w:p>
        </w:tc>
      </w:tr>
    </w:tbl>
    <w:p w:rsidR="00744A1C" w:rsidRDefault="00E378DD" w:rsidP="00E378DD">
      <w:pPr>
        <w:pStyle w:val="libFootnote0"/>
        <w:rPr>
          <w:lang w:bidi="fa-IR"/>
        </w:rPr>
      </w:pPr>
      <w:r>
        <w:rPr>
          <w:rtl/>
          <w:lang w:bidi="fa-IR"/>
        </w:rPr>
        <w:t>(15).</w:t>
      </w:r>
      <w:r w:rsidR="00744A1C">
        <w:rPr>
          <w:rtl/>
          <w:lang w:bidi="fa-IR"/>
        </w:rPr>
        <w:t xml:space="preserve"> في </w:t>
      </w:r>
      <w:r w:rsidR="00744A1C" w:rsidRPr="00C24F9C">
        <w:rPr>
          <w:rStyle w:val="libFootnoteBoldChar"/>
          <w:rtl/>
        </w:rPr>
        <w:t>المرآة</w:t>
      </w:r>
      <w:r w:rsidR="00744A1C">
        <w:rPr>
          <w:rtl/>
          <w:lang w:bidi="fa-IR"/>
        </w:rPr>
        <w:t xml:space="preserve"> : « يدلّ على عدم جواز القصاص بدون حكم الإمام </w:t>
      </w:r>
      <w:r w:rsidR="0061079A" w:rsidRPr="0061079A">
        <w:rPr>
          <w:rStyle w:val="libFootnoteAlaemChar"/>
          <w:rtl/>
        </w:rPr>
        <w:t>عليه‌السلام</w:t>
      </w:r>
      <w:r w:rsidR="00D10E3C">
        <w:rPr>
          <w:rtl/>
          <w:lang w:bidi="fa-IR"/>
        </w:rPr>
        <w:t xml:space="preserve"> </w:t>
      </w:r>
      <w:r w:rsidR="00744A1C">
        <w:rPr>
          <w:rtl/>
          <w:lang w:bidi="fa-IR"/>
        </w:rPr>
        <w:t xml:space="preserve">، وأمّا جهاد من أراد قتل نفس محترمة أو سبي مال أو حريم ، فلا اختصاص له بالأئمّة </w:t>
      </w:r>
      <w:r w:rsidR="00877682" w:rsidRPr="00877682">
        <w:rPr>
          <w:rStyle w:val="libFootnoteAlaemChar"/>
          <w:rtl/>
        </w:rPr>
        <w:t>عليهم‌السلام</w:t>
      </w:r>
      <w:r w:rsidR="00D10E3C">
        <w:rPr>
          <w:rtl/>
          <w:lang w:bidi="fa-IR"/>
        </w:rPr>
        <w:t xml:space="preserve"> </w:t>
      </w:r>
      <w:r w:rsidR="00744A1C">
        <w:rPr>
          <w:rtl/>
          <w:lang w:bidi="fa-IR"/>
        </w:rPr>
        <w:t xml:space="preserve">، والكلام هنا فيما لهم </w:t>
      </w:r>
      <w:r w:rsidR="00877682" w:rsidRPr="00877682">
        <w:rPr>
          <w:rStyle w:val="libFootnoteAlaemChar"/>
          <w:rtl/>
        </w:rPr>
        <w:t>عليهم‌السلام</w:t>
      </w:r>
      <w:r w:rsidR="00D10E3C">
        <w:rPr>
          <w:rtl/>
          <w:lang w:bidi="fa-IR"/>
        </w:rPr>
        <w:t xml:space="preserve"> </w:t>
      </w:r>
      <w:r w:rsidR="00744A1C">
        <w:rPr>
          <w:rtl/>
          <w:lang w:bidi="fa-IR"/>
        </w:rPr>
        <w:t>مدخل فيه ».</w:t>
      </w:r>
    </w:p>
    <w:p w:rsidR="006A5060" w:rsidRDefault="006A5060" w:rsidP="00D10E3C">
      <w:pPr>
        <w:pStyle w:val="libNormal"/>
        <w:rPr>
          <w:rtl/>
          <w:lang w:bidi="fa-IR"/>
        </w:rPr>
      </w:pPr>
      <w:r>
        <w:rPr>
          <w:rtl/>
          <w:lang w:bidi="fa-IR"/>
        </w:rPr>
        <w:br w:type="page"/>
      </w:r>
    </w:p>
    <w:p w:rsidR="00144FA6" w:rsidRDefault="00744A1C" w:rsidP="00EE40F1">
      <w:pPr>
        <w:pStyle w:val="libNormal0"/>
        <w:rPr>
          <w:rtl/>
          <w:lang w:bidi="fa-IR"/>
        </w:rPr>
      </w:pPr>
      <w:r>
        <w:rPr>
          <w:rtl/>
          <w:lang w:bidi="fa-IR"/>
        </w:rPr>
        <w:lastRenderedPageBreak/>
        <w:t xml:space="preserve">أَوْ شَيْئاً مِنْ سِيَرِهَا وَأَحْكَامِهَا </w:t>
      </w:r>
      <w:r w:rsidRPr="00D10E3C">
        <w:rPr>
          <w:rStyle w:val="libFootnotenumChar"/>
          <w:rtl/>
        </w:rPr>
        <w:t>(1)</w:t>
      </w:r>
      <w:r>
        <w:rPr>
          <w:rtl/>
          <w:lang w:bidi="fa-IR"/>
        </w:rPr>
        <w:t xml:space="preserve"> ، فَقَدْ كَفَرَ بِمَا أَنْزَلَ اللهُ </w:t>
      </w:r>
      <w:r w:rsidRPr="00D10E3C">
        <w:rPr>
          <w:rStyle w:val="libFootnotenumChar"/>
          <w:rtl/>
        </w:rPr>
        <w:t>(2)</w:t>
      </w:r>
      <w:r>
        <w:rPr>
          <w:rtl/>
          <w:lang w:bidi="fa-IR"/>
        </w:rPr>
        <w:t xml:space="preserve"> عَلى مُحَمَّدٍ </w:t>
      </w:r>
      <w:r w:rsidR="005E465D" w:rsidRPr="005E465D">
        <w:rPr>
          <w:rStyle w:val="libAlaemChar"/>
          <w:rtl/>
        </w:rPr>
        <w:t>صلى‌الله‌عليه‌وآله</w:t>
      </w:r>
      <w:r w:rsidR="00D10E3C">
        <w:rPr>
          <w:rtl/>
          <w:lang w:bidi="fa-IR"/>
        </w:rPr>
        <w:t xml:space="preserve"> </w:t>
      </w:r>
      <w:r>
        <w:rPr>
          <w:rtl/>
          <w:lang w:bidi="fa-IR"/>
        </w:rPr>
        <w:t xml:space="preserve">». </w:t>
      </w:r>
      <w:r w:rsidRPr="00D10E3C">
        <w:rPr>
          <w:rStyle w:val="libFootnotenumChar"/>
          <w:rtl/>
        </w:rPr>
        <w:t>(3)</w:t>
      </w:r>
    </w:p>
    <w:p w:rsidR="00144FA6" w:rsidRDefault="00744A1C" w:rsidP="00744A1C">
      <w:pPr>
        <w:pStyle w:val="libNormal"/>
        <w:rPr>
          <w:rtl/>
          <w:lang w:bidi="fa-IR"/>
        </w:rPr>
      </w:pPr>
      <w:r>
        <w:rPr>
          <w:rtl/>
          <w:lang w:bidi="fa-IR"/>
        </w:rPr>
        <w:t>8219 / 3. عَلِيُّ بْنُ إِبْرَاهِيمَ ، عَنْ أَبِيهِ ، عَنِ النَّوْفَلِيِّ ، عَنِ السَّكُونِيِّ :</w:t>
      </w:r>
    </w:p>
    <w:p w:rsidR="00144FA6" w:rsidRDefault="00744A1C" w:rsidP="00F2074E">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 أَنَّ النَّبِيَّ </w:t>
      </w:r>
      <w:r w:rsidR="0017097C" w:rsidRPr="0017097C">
        <w:rPr>
          <w:rStyle w:val="libAlaemChar"/>
          <w:rtl/>
        </w:rPr>
        <w:t>صلى‌الله‌عليه‌وآله</w:t>
      </w:r>
      <w:r w:rsidR="00D10E3C">
        <w:rPr>
          <w:rtl/>
          <w:lang w:bidi="fa-IR"/>
        </w:rPr>
        <w:t xml:space="preserve"> </w:t>
      </w:r>
      <w:r>
        <w:rPr>
          <w:rtl/>
          <w:lang w:bidi="fa-IR"/>
        </w:rPr>
        <w:t xml:space="preserve">بَعَثَ بِسَرِيَّةٍ ، فَلَمَّا رَجَعُوا قَالَ : مَرْحَباً بِقَوْمٍ قَضَوُا الْجِهَادَ الْأَصْغَرَ ، وَبَقِيَ </w:t>
      </w:r>
      <w:r w:rsidRPr="00D10E3C">
        <w:rPr>
          <w:rStyle w:val="libFootnotenumChar"/>
          <w:rtl/>
        </w:rPr>
        <w:t>(4)</w:t>
      </w:r>
      <w:r>
        <w:rPr>
          <w:rtl/>
          <w:lang w:bidi="fa-IR"/>
        </w:rPr>
        <w:t xml:space="preserve"> الْجِهَادُ الْأَكْبَرُ ، قِيلَ : يَا رَسُولَ اللهِ </w:t>
      </w:r>
      <w:r w:rsidR="00F2074E" w:rsidRPr="00F2074E">
        <w:rPr>
          <w:rStyle w:val="libAlaemChar"/>
          <w:rFonts w:eastAsiaTheme="minorHAnsi"/>
          <w:rtl/>
        </w:rPr>
        <w:t>صلى‌الله‌عليه‌وآله‌وسلم</w:t>
      </w:r>
      <w:r w:rsidR="00F2074E" w:rsidRPr="00CF21EC">
        <w:rPr>
          <w:rFonts w:eastAsiaTheme="minorHAnsi"/>
          <w:rtl/>
        </w:rPr>
        <w:t xml:space="preserve"> </w:t>
      </w:r>
      <w:r>
        <w:rPr>
          <w:rtl/>
          <w:lang w:bidi="fa-IR"/>
        </w:rPr>
        <w:t xml:space="preserve">، وَمَا </w:t>
      </w:r>
      <w:r w:rsidRPr="00D10E3C">
        <w:rPr>
          <w:rStyle w:val="libFootnotenumChar"/>
          <w:rtl/>
        </w:rPr>
        <w:t>(5)</w:t>
      </w:r>
      <w:r>
        <w:rPr>
          <w:rtl/>
          <w:lang w:bidi="fa-IR"/>
        </w:rPr>
        <w:t xml:space="preserve"> الْجِهَادُ الْأَكْبَرُ؟ قَالَ : جِهَادُ النَّفْسِ ». </w:t>
      </w:r>
      <w:r w:rsidRPr="00D10E3C">
        <w:rPr>
          <w:rStyle w:val="libFootnotenumChar"/>
          <w:rtl/>
        </w:rPr>
        <w:t>(6)</w:t>
      </w:r>
    </w:p>
    <w:p w:rsidR="00744A1C" w:rsidRDefault="00744A1C" w:rsidP="00CF21EC">
      <w:pPr>
        <w:pStyle w:val="Heading2Center"/>
        <w:rPr>
          <w:lang w:bidi="fa-IR"/>
        </w:rPr>
      </w:pPr>
      <w:bookmarkStart w:id="92" w:name="_Toc49261390"/>
      <w:r>
        <w:rPr>
          <w:rtl/>
          <w:lang w:bidi="fa-IR"/>
        </w:rPr>
        <w:t>4 - بَابُ مَنْ يَجِبُ عَلَيْهِ الْجِهَادُ وَمَنْ لَا</w:t>
      </w:r>
      <w:r w:rsidR="00CF21EC">
        <w:rPr>
          <w:rFonts w:hint="cs"/>
          <w:rtl/>
          <w:lang w:bidi="fa-IR"/>
        </w:rPr>
        <w:t xml:space="preserve"> </w:t>
      </w:r>
      <w:r>
        <w:rPr>
          <w:rtl/>
          <w:lang w:bidi="fa-IR"/>
        </w:rPr>
        <w:t>يَجِبُ‌</w:t>
      </w:r>
      <w:bookmarkEnd w:id="92"/>
    </w:p>
    <w:p w:rsidR="00744A1C" w:rsidRDefault="00744A1C" w:rsidP="00744A1C">
      <w:pPr>
        <w:pStyle w:val="libNormal"/>
        <w:rPr>
          <w:lang w:bidi="fa-IR"/>
        </w:rPr>
      </w:pPr>
      <w:r>
        <w:rPr>
          <w:rtl/>
          <w:lang w:bidi="fa-IR"/>
        </w:rPr>
        <w:t>8220 / 1. عَلِيُّ بْنُ إِبْرَاهِيمَ ، عَنْ أَبِيهِ ، عَنْ بَكْرِ بْنِ صَالِحٍ ، عَنِ الْقَاسِمِ بْنِ بُرَيْدٍ ، عَنْ‌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CF21EC" w:rsidTr="00CF21EC">
        <w:tc>
          <w:tcPr>
            <w:tcW w:w="4006" w:type="dxa"/>
          </w:tcPr>
          <w:p w:rsidR="00CF21EC" w:rsidRDefault="00CF21EC" w:rsidP="00D10E3C">
            <w:pPr>
              <w:pStyle w:val="libFootnote0"/>
              <w:rPr>
                <w:rtl/>
                <w:lang w:bidi="fa-IR"/>
              </w:rPr>
            </w:pPr>
            <w:r>
              <w:rPr>
                <w:rtl/>
                <w:lang w:bidi="fa-IR"/>
              </w:rPr>
              <w:t>(1). في « بف » و</w:t>
            </w:r>
            <w:r w:rsidRPr="00C24F9C">
              <w:rPr>
                <w:rStyle w:val="libFootnoteBoldChar"/>
                <w:rtl/>
              </w:rPr>
              <w:t>الوسائل</w:t>
            </w:r>
            <w:r>
              <w:rPr>
                <w:rtl/>
                <w:lang w:bidi="fa-IR"/>
              </w:rPr>
              <w:t xml:space="preserve"> : « أو أحكامها ».</w:t>
            </w:r>
          </w:p>
        </w:tc>
        <w:tc>
          <w:tcPr>
            <w:tcW w:w="4006" w:type="dxa"/>
          </w:tcPr>
          <w:p w:rsidR="00CF21EC" w:rsidRDefault="00CF21EC" w:rsidP="00D10E3C">
            <w:pPr>
              <w:pStyle w:val="libFootnote0"/>
              <w:rPr>
                <w:rtl/>
                <w:lang w:bidi="fa-IR"/>
              </w:rPr>
            </w:pPr>
            <w:r>
              <w:rPr>
                <w:rtl/>
                <w:lang w:bidi="fa-IR"/>
              </w:rPr>
              <w:t>(2). في « بح ، بس ، جت ، جد » : - « الله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A472F">
        <w:rPr>
          <w:rStyle w:val="libFootnoteBoldChar"/>
          <w:rtl/>
        </w:rPr>
        <w:t>تفسير القمّي ،</w:t>
      </w:r>
      <w:r w:rsidR="00744A1C">
        <w:rPr>
          <w:rtl/>
          <w:lang w:bidi="fa-IR"/>
        </w:rPr>
        <w:t xml:space="preserve"> ج 2 ، ص 320 ، عن أبيه ، عن القاسم بن محمّد ، عن سليمان بن داود المنقري. وفي </w:t>
      </w:r>
      <w:r w:rsidR="00744A1C" w:rsidRPr="00C24F9C">
        <w:rPr>
          <w:rStyle w:val="libFootnoteBoldChar"/>
          <w:rtl/>
        </w:rPr>
        <w:t>التهذيب</w:t>
      </w:r>
      <w:r w:rsidR="00744A1C">
        <w:rPr>
          <w:rtl/>
          <w:lang w:bidi="fa-IR"/>
        </w:rPr>
        <w:t xml:space="preserve"> ، ج 4 ، ص 114 ، ح 336 ؛ وج 6 ، ص 136 ، ح 230 ، بسندهما عن عليّ بن محمّد القاساني ، عن القاسم بن محمّد ، عن سليمان بن داود المنقري. الخصال ، ص 274 ، باب الخمسة ، ح 18 ، بسنده عن القاسم بن محمّد الأصبهاني ، عن سليمان بن داود المنقري. وفي </w:t>
      </w:r>
      <w:r w:rsidR="00744A1C" w:rsidRPr="00A914B5">
        <w:rPr>
          <w:rStyle w:val="libFootnoteBoldChar"/>
          <w:rtl/>
        </w:rPr>
        <w:t>تفسير العيّاشي</w:t>
      </w:r>
      <w:r w:rsidR="00744A1C">
        <w:rPr>
          <w:rtl/>
          <w:lang w:bidi="fa-IR"/>
        </w:rPr>
        <w:t xml:space="preserve"> ، ج 1 ، ص 48 ، ح 66 ؛ وص 324 ، ح 128 ؛ وص 385 ، ح 129 ؛ وج 2 ، ص 85 ، ح 42 ، عن حفص بن غياث ، عن أبي عبد الله ،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قطعة منه ؛ </w:t>
      </w:r>
      <w:r w:rsidR="00744A1C" w:rsidRPr="00A914B5">
        <w:rPr>
          <w:rStyle w:val="libFootnoteBoldChar"/>
          <w:rtl/>
        </w:rPr>
        <w:t>تفسير العيّاشي</w:t>
      </w:r>
      <w:r w:rsidR="00744A1C">
        <w:rPr>
          <w:rtl/>
          <w:lang w:bidi="fa-IR"/>
        </w:rPr>
        <w:t xml:space="preserve"> ، ج 1 ، ص 77 ، ح 21 ، عن جعفر بن محمّد ، عن أبي جعفر </w:t>
      </w:r>
      <w:r w:rsidR="00877682" w:rsidRPr="00877682">
        <w:rPr>
          <w:rStyle w:val="libFootnoteAlaemChar"/>
          <w:rtl/>
        </w:rPr>
        <w:t>عليهم‌السلام</w:t>
      </w:r>
      <w:r w:rsidR="00744A1C">
        <w:rPr>
          <w:rtl/>
          <w:lang w:bidi="fa-IR"/>
        </w:rPr>
        <w:t xml:space="preserve"> ، قطعة منه ؛ </w:t>
      </w:r>
      <w:r w:rsidR="00744A1C" w:rsidRPr="007D61A8">
        <w:rPr>
          <w:rStyle w:val="libFootnoteBoldChar"/>
          <w:rtl/>
        </w:rPr>
        <w:t>تحف العقول</w:t>
      </w:r>
      <w:r w:rsidR="00744A1C">
        <w:rPr>
          <w:rtl/>
          <w:lang w:bidi="fa-IR"/>
        </w:rPr>
        <w:t xml:space="preserve"> ، ص 288 ، عن أبي جعفر </w:t>
      </w:r>
      <w:r w:rsidR="0061079A" w:rsidRPr="0061079A">
        <w:rPr>
          <w:rStyle w:val="libFootnoteAlaemChar"/>
          <w:rtl/>
        </w:rPr>
        <w:t>عليه‌السلام</w:t>
      </w:r>
      <w:r w:rsidR="00744A1C">
        <w:rPr>
          <w:rtl/>
          <w:lang w:bidi="fa-IR"/>
        </w:rPr>
        <w:t xml:space="preserve"> . وراجع : </w:t>
      </w:r>
      <w:r w:rsidR="00744A1C" w:rsidRPr="0061079A">
        <w:rPr>
          <w:rStyle w:val="libFootnoteBoldChar"/>
          <w:rtl/>
        </w:rPr>
        <w:t>الكافي</w:t>
      </w:r>
      <w:r w:rsidR="00744A1C">
        <w:rPr>
          <w:rtl/>
          <w:lang w:bidi="fa-IR"/>
        </w:rPr>
        <w:t xml:space="preserve"> ، كتاب الجهاد ، باب [ بدون العنوان ] ، ح 8246 </w:t>
      </w:r>
      <w:r w:rsidR="00CA472F">
        <w:rPr>
          <w:rFonts w:hint="cs"/>
          <w:rtl/>
          <w:lang w:bidi="fa-IR"/>
        </w:rPr>
        <w:t>.</w:t>
      </w:r>
      <w:r w:rsidR="00744A1C" w:rsidRPr="00C24F9C">
        <w:rPr>
          <w:rStyle w:val="libFootnoteBoldChar"/>
          <w:rtl/>
        </w:rPr>
        <w:t>الوافي</w:t>
      </w:r>
      <w:r w:rsidR="00744A1C">
        <w:rPr>
          <w:rtl/>
          <w:lang w:bidi="fa-IR"/>
        </w:rPr>
        <w:t xml:space="preserve"> ، ج 15 ، ص 57 ، ح 14703 ؛ </w:t>
      </w:r>
      <w:r w:rsidR="00744A1C" w:rsidRPr="00C24F9C">
        <w:rPr>
          <w:rStyle w:val="libFootnoteBoldChar"/>
          <w:rtl/>
        </w:rPr>
        <w:t>الوسائل</w:t>
      </w:r>
      <w:r w:rsidR="00744A1C">
        <w:rPr>
          <w:rtl/>
          <w:lang w:bidi="fa-IR"/>
        </w:rPr>
        <w:t xml:space="preserve"> ، ج 15 ، ص 25 ، ح 19938 ؛ </w:t>
      </w:r>
      <w:r w:rsidR="00744A1C" w:rsidRPr="0061079A">
        <w:rPr>
          <w:rStyle w:val="libFootnoteBoldChar"/>
          <w:rtl/>
        </w:rPr>
        <w:t>البحار</w:t>
      </w:r>
      <w:r w:rsidR="00744A1C">
        <w:rPr>
          <w:rtl/>
          <w:lang w:bidi="fa-IR"/>
        </w:rPr>
        <w:t xml:space="preserve"> ، ج 6 ، ص 312 ، ح 16 ، إلى قوله : « أو كسبت في إيمانها خيراً » ؛ وفيه ، ج 19 ، ص 181 ، ح 30 ، إلى قوله : « لا يحلّ لنا مناكحتهم ما داموا في دار الحرب » ؛ وفيه أيضاً ، ج 32 ، ص 292 ، ح 248 ، إلى قوله : « لعلمنا أنّا على الحقّ وأنّهم على الباطل » ملخّصاً.</w:t>
      </w:r>
    </w:p>
    <w:p w:rsidR="00744A1C" w:rsidRDefault="00E378DD" w:rsidP="00E378DD">
      <w:pPr>
        <w:pStyle w:val="libFootnote0"/>
        <w:rPr>
          <w:lang w:bidi="fa-IR"/>
        </w:rPr>
      </w:pPr>
      <w:r>
        <w:rPr>
          <w:rtl/>
          <w:lang w:bidi="fa-IR"/>
        </w:rPr>
        <w:t>(4).</w:t>
      </w:r>
      <w:r w:rsidR="00744A1C">
        <w:rPr>
          <w:rtl/>
          <w:lang w:bidi="fa-IR"/>
        </w:rPr>
        <w:t xml:space="preserve"> في </w:t>
      </w:r>
      <w:r w:rsidR="00744A1C" w:rsidRPr="00CA472F">
        <w:rPr>
          <w:rtl/>
        </w:rPr>
        <w:t>الوسائل والجعفريّات</w:t>
      </w:r>
      <w:r w:rsidR="00744A1C">
        <w:rPr>
          <w:rtl/>
          <w:lang w:bidi="fa-IR"/>
        </w:rPr>
        <w:t xml:space="preserve"> والأمالي للصدوق والمعاني : + « عليهم ».</w:t>
      </w:r>
    </w:p>
    <w:p w:rsidR="00744A1C" w:rsidRDefault="00E378DD" w:rsidP="00E378DD">
      <w:pPr>
        <w:pStyle w:val="libFootnote0"/>
        <w:rPr>
          <w:lang w:bidi="fa-IR"/>
        </w:rPr>
      </w:pPr>
      <w:r>
        <w:rPr>
          <w:rtl/>
          <w:lang w:bidi="fa-IR"/>
        </w:rPr>
        <w:t>(5).</w:t>
      </w:r>
      <w:r w:rsidR="00744A1C">
        <w:rPr>
          <w:rtl/>
          <w:lang w:bidi="fa-IR"/>
        </w:rPr>
        <w:t xml:space="preserve"> في « بس ، جد ، جن » و</w:t>
      </w:r>
      <w:r w:rsidR="00744A1C" w:rsidRPr="00C24F9C">
        <w:rPr>
          <w:rStyle w:val="libFootnoteBoldChar"/>
          <w:rtl/>
        </w:rPr>
        <w:t>الوسائل</w:t>
      </w:r>
      <w:r w:rsidR="00744A1C">
        <w:rPr>
          <w:rtl/>
          <w:lang w:bidi="fa-IR"/>
        </w:rPr>
        <w:t xml:space="preserve"> : « ما » بدون الواو.</w:t>
      </w:r>
    </w:p>
    <w:p w:rsidR="00744A1C" w:rsidRDefault="00E378DD" w:rsidP="00E378DD">
      <w:pPr>
        <w:pStyle w:val="libFootnote0"/>
        <w:rPr>
          <w:lang w:bidi="fa-IR"/>
        </w:rPr>
      </w:pPr>
      <w:r>
        <w:rPr>
          <w:rtl/>
          <w:lang w:bidi="fa-IR"/>
        </w:rPr>
        <w:t>(6).</w:t>
      </w:r>
      <w:r w:rsidR="00744A1C">
        <w:rPr>
          <w:rtl/>
          <w:lang w:bidi="fa-IR"/>
        </w:rPr>
        <w:t xml:space="preserve"> </w:t>
      </w:r>
      <w:r w:rsidR="00744A1C" w:rsidRPr="00877682">
        <w:rPr>
          <w:rStyle w:val="libFootnoteBoldChar"/>
          <w:rtl/>
        </w:rPr>
        <w:t>الجعفريّات</w:t>
      </w:r>
      <w:r w:rsidR="00744A1C">
        <w:rPr>
          <w:rtl/>
          <w:lang w:bidi="fa-IR"/>
        </w:rPr>
        <w:t xml:space="preserve"> ، ص 78 ، بسند آخر عن جعفر بن محمّد ، عن آبائه ، عن عليّ </w:t>
      </w:r>
      <w:r w:rsidR="00877682" w:rsidRPr="00877682">
        <w:rPr>
          <w:rStyle w:val="libFootnoteAlaemChar"/>
          <w:rtl/>
        </w:rPr>
        <w:t>عليهم‌السلام</w:t>
      </w:r>
      <w:r w:rsidR="00744A1C">
        <w:rPr>
          <w:rtl/>
          <w:lang w:bidi="fa-IR"/>
        </w:rPr>
        <w:t xml:space="preserve"> . وفي الأمالي للصدوق ، ص 466 ، المجلس 71 ، ح 8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160 ، ح 1 ، بسند آخر عن موسى بن جعفر ، عن آبائه ، عن عليّ </w:t>
      </w:r>
      <w:r w:rsidR="00877682" w:rsidRPr="00877682">
        <w:rPr>
          <w:rStyle w:val="libFootnoteAlaemChar"/>
          <w:rtl/>
        </w:rPr>
        <w:t>عليهم‌السلام</w:t>
      </w:r>
      <w:r w:rsidR="00D10E3C">
        <w:rPr>
          <w:rtl/>
          <w:lang w:bidi="fa-IR"/>
        </w:rPr>
        <w:t xml:space="preserve"> </w:t>
      </w:r>
      <w:r w:rsidR="00744A1C">
        <w:rPr>
          <w:rtl/>
          <w:lang w:bidi="fa-IR"/>
        </w:rPr>
        <w:t xml:space="preserve">، مع زيادة في آخره. </w:t>
      </w:r>
      <w:r w:rsidR="00744A1C" w:rsidRPr="00211914">
        <w:rPr>
          <w:rStyle w:val="libFootnoteBoldChar"/>
          <w:rtl/>
        </w:rPr>
        <w:t>الاختصاص</w:t>
      </w:r>
      <w:r w:rsidR="00744A1C">
        <w:rPr>
          <w:rtl/>
          <w:lang w:bidi="fa-IR"/>
        </w:rPr>
        <w:t xml:space="preserve"> ، ص 240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380 ، مع اختلاف </w:t>
      </w:r>
      <w:r w:rsidR="00CA472F">
        <w:rPr>
          <w:rFonts w:hint="cs"/>
          <w:rtl/>
          <w:lang w:bidi="fa-IR"/>
        </w:rPr>
        <w:t>.</w:t>
      </w:r>
      <w:r w:rsidR="00744A1C" w:rsidRPr="00C24F9C">
        <w:rPr>
          <w:rStyle w:val="libFootnoteBoldChar"/>
          <w:rtl/>
        </w:rPr>
        <w:t>الوافي</w:t>
      </w:r>
      <w:r w:rsidR="00744A1C">
        <w:rPr>
          <w:rtl/>
          <w:lang w:bidi="fa-IR"/>
        </w:rPr>
        <w:t xml:space="preserve"> ، ج 15 ، ص 62 ، ح 14706 ؛ </w:t>
      </w:r>
      <w:r w:rsidR="00744A1C" w:rsidRPr="00C24F9C">
        <w:rPr>
          <w:rStyle w:val="libFootnoteBoldChar"/>
          <w:rtl/>
        </w:rPr>
        <w:t>الوسائل</w:t>
      </w:r>
      <w:r w:rsidR="00744A1C">
        <w:rPr>
          <w:rtl/>
          <w:lang w:bidi="fa-IR"/>
        </w:rPr>
        <w:t xml:space="preserve"> ، ج 15 ، ص 161 ، ح 20208 ؛ </w:t>
      </w:r>
      <w:r w:rsidR="00744A1C" w:rsidRPr="0061079A">
        <w:rPr>
          <w:rStyle w:val="libFootnoteBoldChar"/>
          <w:rtl/>
        </w:rPr>
        <w:t>البحار</w:t>
      </w:r>
      <w:r w:rsidR="00744A1C">
        <w:rPr>
          <w:rtl/>
          <w:lang w:bidi="fa-IR"/>
        </w:rPr>
        <w:t xml:space="preserve"> ، ج 19 ، ص 182 ، ح 31.</w:t>
      </w:r>
    </w:p>
    <w:p w:rsidR="006A5060" w:rsidRDefault="006A5060" w:rsidP="00D10E3C">
      <w:pPr>
        <w:pStyle w:val="libNormal"/>
        <w:rPr>
          <w:rtl/>
          <w:lang w:bidi="fa-IR"/>
        </w:rPr>
      </w:pPr>
      <w:r>
        <w:rPr>
          <w:rtl/>
          <w:lang w:bidi="fa-IR"/>
        </w:rPr>
        <w:br w:type="page"/>
      </w:r>
    </w:p>
    <w:p w:rsidR="00144FA6" w:rsidRDefault="00744A1C" w:rsidP="00EE40F1">
      <w:pPr>
        <w:pStyle w:val="libNormal0"/>
        <w:rPr>
          <w:rtl/>
          <w:lang w:bidi="fa-IR"/>
        </w:rPr>
      </w:pPr>
      <w:r>
        <w:rPr>
          <w:rtl/>
          <w:lang w:bidi="fa-IR"/>
        </w:rPr>
        <w:lastRenderedPageBreak/>
        <w:t>أَبِي عَمْرٍو الزُّبَيْرِيِّ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 أَخْبِرْنِي عَنِ الدُّعَاءِ إِلَى اللهِ وَالْجِهَادِ فِي سَبِيلِهِ </w:t>
      </w:r>
      <w:r w:rsidRPr="00D10E3C">
        <w:rPr>
          <w:rStyle w:val="libFootnotenumChar"/>
          <w:rtl/>
        </w:rPr>
        <w:t>(1)</w:t>
      </w:r>
      <w:r>
        <w:rPr>
          <w:rtl/>
          <w:lang w:bidi="fa-IR"/>
        </w:rPr>
        <w:t xml:space="preserve"> : أ</w:t>
      </w:r>
      <w:r w:rsidR="00CA472F">
        <w:rPr>
          <w:rtl/>
          <w:lang w:bidi="fa-IR"/>
        </w:rPr>
        <w:t>َهُوَ لِقَوْمٍ لَايَحِلُّ إِل</w:t>
      </w:r>
      <w:r w:rsidR="00CA472F">
        <w:rPr>
          <w:rFonts w:hint="cs"/>
          <w:rtl/>
          <w:lang w:bidi="fa-IR"/>
        </w:rPr>
        <w:t>َّ</w:t>
      </w:r>
      <w:r w:rsidR="00CA472F">
        <w:rPr>
          <w:rtl/>
          <w:lang w:bidi="fa-IR"/>
        </w:rPr>
        <w:t>ا</w:t>
      </w:r>
      <w:r>
        <w:rPr>
          <w:rtl/>
          <w:lang w:bidi="fa-IR"/>
        </w:rPr>
        <w:t xml:space="preserve"> لَ</w:t>
      </w:r>
      <w:r w:rsidR="00CA472F">
        <w:rPr>
          <w:rtl/>
          <w:lang w:bidi="fa-IR"/>
        </w:rPr>
        <w:t>هُمْ ، وَلَا يَقُومُ بِهِ إِل</w:t>
      </w:r>
      <w:r w:rsidR="00CA472F">
        <w:rPr>
          <w:rFonts w:hint="cs"/>
          <w:rtl/>
          <w:lang w:bidi="fa-IR"/>
        </w:rPr>
        <w:t>َّ</w:t>
      </w:r>
      <w:r w:rsidR="00CA472F">
        <w:rPr>
          <w:rtl/>
          <w:lang w:bidi="fa-IR"/>
        </w:rPr>
        <w:t>ا</w:t>
      </w:r>
      <w:r>
        <w:rPr>
          <w:rtl/>
          <w:lang w:bidi="fa-IR"/>
        </w:rPr>
        <w:t xml:space="preserve"> مَنْ كَانَ مِنْهُمْ ، أَمْ هُوَ مُبَاحٌ لِكُلِّ مَنْ وَحَّدَ اللهَ عَزَّ وَجَلَّ ، وَآمَنَ </w:t>
      </w:r>
      <w:r w:rsidRPr="00D10E3C">
        <w:rPr>
          <w:rStyle w:val="libFootnotenumChar"/>
          <w:rtl/>
        </w:rPr>
        <w:t>(2)</w:t>
      </w:r>
      <w:r>
        <w:rPr>
          <w:rtl/>
          <w:lang w:bidi="fa-IR"/>
        </w:rPr>
        <w:t xml:space="preserve"> بِرَسُولِهِ </w:t>
      </w:r>
      <w:r w:rsidRPr="00D10E3C">
        <w:rPr>
          <w:rStyle w:val="libFootnotenumChar"/>
          <w:rtl/>
        </w:rPr>
        <w:t>(3)</w:t>
      </w:r>
      <w:r>
        <w:rPr>
          <w:rtl/>
          <w:lang w:bidi="fa-IR"/>
        </w:rPr>
        <w:t xml:space="preserve"> </w:t>
      </w:r>
      <w:r w:rsidR="0017097C" w:rsidRPr="0017097C">
        <w:rPr>
          <w:rStyle w:val="libAlaemChar"/>
          <w:rtl/>
        </w:rPr>
        <w:t>صلى‌الله‌عليه‌وآله</w:t>
      </w:r>
      <w:r w:rsidR="00D10E3C">
        <w:rPr>
          <w:rtl/>
          <w:lang w:bidi="fa-IR"/>
        </w:rPr>
        <w:t xml:space="preserve"> </w:t>
      </w:r>
      <w:r>
        <w:rPr>
          <w:rtl/>
          <w:lang w:bidi="fa-IR"/>
        </w:rPr>
        <w:t xml:space="preserve">، وَمَنْ كَانَ كَذَا فَلَهُ أَنْ يَدْعُوَ إِلَى اللهِ عَزَّ وَجَلَّ ، وَإِلى طَاعَتِهِ ، وَأَنْ يُجَاهِدَ فِي سَبِيلِهِ </w:t>
      </w:r>
      <w:r w:rsidRPr="00D10E3C">
        <w:rPr>
          <w:rStyle w:val="libFootnotenumChar"/>
          <w:rtl/>
        </w:rPr>
        <w:t>(4)</w:t>
      </w:r>
      <w:r>
        <w:rPr>
          <w:rtl/>
          <w:lang w:bidi="fa-IR"/>
        </w:rPr>
        <w:t>؟</w:t>
      </w:r>
    </w:p>
    <w:p w:rsidR="00744A1C" w:rsidRDefault="00744A1C" w:rsidP="00CE6B22">
      <w:pPr>
        <w:pStyle w:val="libNormal"/>
        <w:rPr>
          <w:lang w:bidi="fa-IR"/>
        </w:rPr>
      </w:pPr>
      <w:r>
        <w:rPr>
          <w:rtl/>
          <w:lang w:bidi="fa-IR"/>
        </w:rPr>
        <w:t xml:space="preserve">فَقَالَ : « </w:t>
      </w:r>
      <w:r w:rsidR="00E4773B">
        <w:rPr>
          <w:rtl/>
          <w:lang w:bidi="fa-IR"/>
        </w:rPr>
        <w:t>ذلِكَ لِقَوْمٍ لَايَحِلُّ إِل</w:t>
      </w:r>
      <w:r w:rsidR="00E4773B">
        <w:rPr>
          <w:rFonts w:hint="cs"/>
          <w:rtl/>
          <w:lang w:bidi="fa-IR"/>
        </w:rPr>
        <w:t>َّ</w:t>
      </w:r>
      <w:r w:rsidR="00E4773B">
        <w:rPr>
          <w:rtl/>
          <w:lang w:bidi="fa-IR"/>
        </w:rPr>
        <w:t>ا</w:t>
      </w:r>
      <w:r>
        <w:rPr>
          <w:rtl/>
          <w:lang w:bidi="fa-IR"/>
        </w:rPr>
        <w:t xml:space="preserve"> لَهُمْ ، وَلَا يَقُومُ بِذلِكَ </w:t>
      </w:r>
      <w:r w:rsidRPr="00D10E3C">
        <w:rPr>
          <w:rStyle w:val="libFootnotenumChar"/>
          <w:rtl/>
        </w:rPr>
        <w:t>(5)</w:t>
      </w:r>
      <w:r>
        <w:rPr>
          <w:rtl/>
          <w:lang w:bidi="fa-IR"/>
        </w:rPr>
        <w:t xml:space="preserve"> </w:t>
      </w:r>
      <w:r w:rsidR="00CE6B22">
        <w:rPr>
          <w:rtl/>
          <w:lang w:bidi="fa-IR"/>
        </w:rPr>
        <w:t>إِل</w:t>
      </w:r>
      <w:r w:rsidR="00CE6B22">
        <w:rPr>
          <w:rFonts w:hint="cs"/>
          <w:rtl/>
          <w:lang w:bidi="fa-IR"/>
        </w:rPr>
        <w:t>َّ</w:t>
      </w:r>
      <w:r w:rsidR="00CE6B22">
        <w:rPr>
          <w:rtl/>
          <w:lang w:bidi="fa-IR"/>
        </w:rPr>
        <w:t xml:space="preserve">ا </w:t>
      </w:r>
      <w:r>
        <w:rPr>
          <w:rtl/>
          <w:lang w:bidi="fa-IR"/>
        </w:rPr>
        <w:t>مَنْ كَانَ مِنْهُمْ ».</w:t>
      </w:r>
    </w:p>
    <w:p w:rsidR="00744A1C" w:rsidRDefault="00744A1C" w:rsidP="00744A1C">
      <w:pPr>
        <w:pStyle w:val="libNormal"/>
        <w:rPr>
          <w:lang w:bidi="fa-IR"/>
        </w:rPr>
      </w:pPr>
      <w:r>
        <w:rPr>
          <w:rtl/>
          <w:lang w:bidi="fa-IR"/>
        </w:rPr>
        <w:t xml:space="preserve">قُلْتُ : مَنْ </w:t>
      </w:r>
      <w:r w:rsidRPr="00D10E3C">
        <w:rPr>
          <w:rStyle w:val="libFootnotenumChar"/>
          <w:rtl/>
        </w:rPr>
        <w:t>(6)</w:t>
      </w:r>
      <w:r>
        <w:rPr>
          <w:rtl/>
          <w:lang w:bidi="fa-IR"/>
        </w:rPr>
        <w:t xml:space="preserve"> أُولئِكَ؟</w:t>
      </w:r>
    </w:p>
    <w:p w:rsidR="00744A1C" w:rsidRDefault="00744A1C" w:rsidP="00744A1C">
      <w:pPr>
        <w:pStyle w:val="libNormal"/>
        <w:rPr>
          <w:lang w:bidi="fa-IR"/>
        </w:rPr>
      </w:pPr>
      <w:r>
        <w:rPr>
          <w:rtl/>
          <w:lang w:bidi="fa-IR"/>
        </w:rPr>
        <w:t xml:space="preserve">قَالَ : « مَنْ قَامَ بِشَرَائِطِ اللهِ - عَزَّ وَجَلَّ - فِي الْقِتَالِ وَالْجِهَادِ عَلَى الْمُجَاهِدِينَ ، فَهُوَ الْمَأْذُونُ لَهُ فِي الدُّعَاءِ إِلَى اللهِ عَزَّ وَجَلَّ ، وَمَنْ لَمْ يَكُنْ قَائِماً بِشَرَائِطِ اللهِ - عَزَّ وَجَلَّ - فِي الْجِهَادِ عَلَى الْمُجَاهِدِينَ ، فَلَيْسَ بِمَأْذُونٍ لَهُ فِي الْجِهَادِ وَلَا الدُّعَاءِ </w:t>
      </w:r>
      <w:r w:rsidRPr="00D10E3C">
        <w:rPr>
          <w:rStyle w:val="libFootnotenumChar"/>
          <w:rtl/>
        </w:rPr>
        <w:t>(7)</w:t>
      </w:r>
      <w:r>
        <w:rPr>
          <w:rtl/>
          <w:lang w:bidi="fa-IR"/>
        </w:rPr>
        <w:t xml:space="preserve"> إِلَى اللهِ ، حَتّى يَحْكُمَ فِي نَفْسِهِ مَا </w:t>
      </w:r>
      <w:r w:rsidRPr="00D10E3C">
        <w:rPr>
          <w:rStyle w:val="libFootnotenumChar"/>
          <w:rtl/>
        </w:rPr>
        <w:t>(8)</w:t>
      </w:r>
      <w:r>
        <w:rPr>
          <w:rtl/>
          <w:lang w:bidi="fa-IR"/>
        </w:rPr>
        <w:t xml:space="preserve"> أَخَذَ اللهُ عَلَيْهِ مِنْ شَرَائِطِ الْجِهَادِ ».</w:t>
      </w:r>
    </w:p>
    <w:p w:rsidR="00744A1C" w:rsidRDefault="00744A1C" w:rsidP="00744A1C">
      <w:pPr>
        <w:pStyle w:val="libNormal"/>
        <w:rPr>
          <w:lang w:bidi="fa-IR"/>
        </w:rPr>
      </w:pPr>
      <w:r>
        <w:rPr>
          <w:rtl/>
          <w:lang w:bidi="fa-IR"/>
        </w:rPr>
        <w:t xml:space="preserve">قُلْتُ : فَبَيِّنْ </w:t>
      </w:r>
      <w:r w:rsidRPr="00D10E3C">
        <w:rPr>
          <w:rStyle w:val="libFootnotenumChar"/>
          <w:rtl/>
        </w:rPr>
        <w:t>(9)</w:t>
      </w:r>
      <w:r>
        <w:rPr>
          <w:rtl/>
          <w:lang w:bidi="fa-IR"/>
        </w:rPr>
        <w:t xml:space="preserve"> لِي يَرْحَمُكَ </w:t>
      </w:r>
      <w:r w:rsidRPr="00D10E3C">
        <w:rPr>
          <w:rStyle w:val="libFootnotenumChar"/>
          <w:rtl/>
        </w:rPr>
        <w:t>(10)</w:t>
      </w:r>
      <w:r>
        <w:rPr>
          <w:rtl/>
          <w:lang w:bidi="fa-IR"/>
        </w:rPr>
        <w:t xml:space="preserve"> اللهُ.</w:t>
      </w:r>
    </w:p>
    <w:p w:rsidR="00744A1C" w:rsidRDefault="00744A1C" w:rsidP="00744A1C">
      <w:pPr>
        <w:pStyle w:val="libNormal"/>
        <w:rPr>
          <w:lang w:bidi="fa-IR"/>
        </w:rPr>
      </w:pPr>
      <w:r>
        <w:rPr>
          <w:rtl/>
          <w:lang w:bidi="fa-IR"/>
        </w:rPr>
        <w:t xml:space="preserve">قَالَ : « إِنَّ اللهَ - تَبَارَكَ وَتَعَالى - أَخْبَرَ </w:t>
      </w:r>
      <w:r w:rsidRPr="00D10E3C">
        <w:rPr>
          <w:rStyle w:val="libFootnotenumChar"/>
          <w:rtl/>
        </w:rPr>
        <w:t>(11)</w:t>
      </w:r>
      <w:r>
        <w:rPr>
          <w:rtl/>
          <w:lang w:bidi="fa-IR"/>
        </w:rPr>
        <w:t xml:space="preserve"> فِي كِتَابِهِ الدُّعَاءَ </w:t>
      </w:r>
      <w:r w:rsidRPr="00D10E3C">
        <w:rPr>
          <w:rStyle w:val="libFootnotenumChar"/>
          <w:rtl/>
        </w:rPr>
        <w:t>(12)</w:t>
      </w:r>
      <w:r>
        <w:rPr>
          <w:rtl/>
          <w:lang w:bidi="fa-IR"/>
        </w:rPr>
        <w:t xml:space="preserve"> إِلَيْهِ ، وَ</w:t>
      </w:r>
      <w:r w:rsidR="00CE6B22">
        <w:rPr>
          <w:rFonts w:hint="cs"/>
          <w:rtl/>
          <w:lang w:bidi="fa-IR"/>
        </w:rPr>
        <w:t xml:space="preserve"> </w:t>
      </w:r>
      <w:r>
        <w:rPr>
          <w:rtl/>
          <w:lang w:bidi="fa-IR"/>
        </w:rPr>
        <w:t xml:space="preserve">وَصَفَ الدُّعَاةَ إِلَيْهِ ، فَجَعَلَ ذلِكَ لَهُمْ دَرَجَاتٍ </w:t>
      </w:r>
      <w:r w:rsidRPr="00D10E3C">
        <w:rPr>
          <w:rStyle w:val="libFootnotenumChar"/>
          <w:rtl/>
        </w:rPr>
        <w:t>(13)</w:t>
      </w:r>
      <w:r>
        <w:rPr>
          <w:rtl/>
          <w:lang w:bidi="fa-IR"/>
        </w:rPr>
        <w:t xml:space="preserve"> يُعَرِّفُ بَعْضُهَا بَعْضاً ، وَيُسْتَدَلُّ بِبَعْضِهَا عَلى بَعْضٍ ، فَأَخْبَرَ‌</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جت » وحاشية « بح » </w:t>
      </w:r>
      <w:r w:rsidR="00744A1C" w:rsidRPr="00CE6B22">
        <w:rPr>
          <w:rtl/>
        </w:rPr>
        <w:t>والوافي :</w:t>
      </w:r>
      <w:r w:rsidR="00744A1C">
        <w:rPr>
          <w:rtl/>
          <w:lang w:bidi="fa-IR"/>
        </w:rPr>
        <w:t xml:space="preserve"> « في سبيل الله ».</w:t>
      </w:r>
    </w:p>
    <w:tbl>
      <w:tblPr>
        <w:tblStyle w:val="TableGrid"/>
        <w:bidiVisual/>
        <w:tblW w:w="0" w:type="auto"/>
        <w:tblLook w:val="04A0" w:firstRow="1" w:lastRow="0" w:firstColumn="1" w:lastColumn="0" w:noHBand="0" w:noVBand="1"/>
      </w:tblPr>
      <w:tblGrid>
        <w:gridCol w:w="4006"/>
        <w:gridCol w:w="4006"/>
      </w:tblGrid>
      <w:tr w:rsidR="00CE6B22" w:rsidTr="00CE6B22">
        <w:tc>
          <w:tcPr>
            <w:tcW w:w="4006" w:type="dxa"/>
          </w:tcPr>
          <w:p w:rsidR="00CE6B22" w:rsidRDefault="00CE6B22" w:rsidP="00E378DD">
            <w:pPr>
              <w:pStyle w:val="libFootnote0"/>
              <w:rPr>
                <w:rtl/>
                <w:lang w:bidi="fa-IR"/>
              </w:rPr>
            </w:pPr>
            <w:r>
              <w:rPr>
                <w:rtl/>
                <w:lang w:bidi="fa-IR"/>
              </w:rPr>
              <w:t>(2). في « جد » : « فآمن ».</w:t>
            </w:r>
          </w:p>
        </w:tc>
        <w:tc>
          <w:tcPr>
            <w:tcW w:w="4006" w:type="dxa"/>
          </w:tcPr>
          <w:p w:rsidR="00CE6B22" w:rsidRDefault="00CE6B22" w:rsidP="00E378DD">
            <w:pPr>
              <w:pStyle w:val="libFootnote0"/>
              <w:rPr>
                <w:rtl/>
                <w:lang w:bidi="fa-IR"/>
              </w:rPr>
            </w:pPr>
            <w:r>
              <w:rPr>
                <w:rtl/>
                <w:lang w:bidi="fa-IR"/>
              </w:rPr>
              <w:t>(3). في « جت » : « برسول الله ».</w:t>
            </w:r>
          </w:p>
        </w:tc>
      </w:tr>
    </w:tbl>
    <w:p w:rsidR="00744A1C" w:rsidRDefault="00E378DD" w:rsidP="00E378DD">
      <w:pPr>
        <w:pStyle w:val="libFootnote0"/>
        <w:rPr>
          <w:lang w:bidi="fa-IR"/>
        </w:rPr>
      </w:pPr>
      <w:r>
        <w:rPr>
          <w:rtl/>
          <w:lang w:bidi="fa-IR"/>
        </w:rPr>
        <w:t>(4).</w:t>
      </w:r>
      <w:r w:rsidR="00744A1C">
        <w:rPr>
          <w:rtl/>
          <w:lang w:bidi="fa-IR"/>
        </w:rPr>
        <w:t xml:space="preserve"> في « ى ، بف ، جد » وحاشية « بث ، بح » </w:t>
      </w:r>
      <w:r w:rsidR="00744A1C" w:rsidRPr="00CE6B22">
        <w:rPr>
          <w:rtl/>
        </w:rPr>
        <w:t>والوافي والوسائل والتهذيب</w:t>
      </w:r>
      <w:r w:rsidR="00744A1C">
        <w:rPr>
          <w:rtl/>
          <w:lang w:bidi="fa-IR"/>
        </w:rPr>
        <w:t xml:space="preserve"> : « سبيل الله ».</w:t>
      </w:r>
    </w:p>
    <w:tbl>
      <w:tblPr>
        <w:tblStyle w:val="TableGrid"/>
        <w:bidiVisual/>
        <w:tblW w:w="0" w:type="auto"/>
        <w:tblLook w:val="04A0" w:firstRow="1" w:lastRow="0" w:firstColumn="1" w:lastColumn="0" w:noHBand="0" w:noVBand="1"/>
      </w:tblPr>
      <w:tblGrid>
        <w:gridCol w:w="4006"/>
        <w:gridCol w:w="4006"/>
      </w:tblGrid>
      <w:tr w:rsidR="00CE6B22" w:rsidTr="00CE6B22">
        <w:tc>
          <w:tcPr>
            <w:tcW w:w="4006" w:type="dxa"/>
          </w:tcPr>
          <w:p w:rsidR="00CE6B22" w:rsidRDefault="00CE6B22" w:rsidP="00E378DD">
            <w:pPr>
              <w:pStyle w:val="libFootnote0"/>
              <w:rPr>
                <w:rtl/>
                <w:lang w:bidi="fa-IR"/>
              </w:rPr>
            </w:pPr>
            <w:r>
              <w:rPr>
                <w:rtl/>
                <w:lang w:bidi="fa-IR"/>
              </w:rPr>
              <w:t xml:space="preserve">(5). في </w:t>
            </w:r>
            <w:r w:rsidRPr="00CE6B22">
              <w:rPr>
                <w:rtl/>
              </w:rPr>
              <w:t>الوسائل :</w:t>
            </w:r>
            <w:r>
              <w:rPr>
                <w:rtl/>
                <w:lang w:bidi="fa-IR"/>
              </w:rPr>
              <w:t xml:space="preserve"> « به ».</w:t>
            </w:r>
          </w:p>
        </w:tc>
        <w:tc>
          <w:tcPr>
            <w:tcW w:w="4006" w:type="dxa"/>
          </w:tcPr>
          <w:p w:rsidR="00CE6B22" w:rsidRDefault="00CE6B22" w:rsidP="00E378DD">
            <w:pPr>
              <w:pStyle w:val="libFootnote0"/>
              <w:rPr>
                <w:rtl/>
                <w:lang w:bidi="fa-IR"/>
              </w:rPr>
            </w:pPr>
            <w:r>
              <w:rPr>
                <w:rtl/>
                <w:lang w:bidi="fa-IR"/>
              </w:rPr>
              <w:t xml:space="preserve">(6). في </w:t>
            </w:r>
            <w:r w:rsidRPr="00CE6B22">
              <w:rPr>
                <w:rtl/>
              </w:rPr>
              <w:t xml:space="preserve">الوافي </w:t>
            </w:r>
            <w:r>
              <w:rPr>
                <w:rtl/>
                <w:lang w:bidi="fa-IR"/>
              </w:rPr>
              <w:t>: « ومن ».</w:t>
            </w:r>
          </w:p>
        </w:tc>
      </w:tr>
      <w:tr w:rsidR="00CE6B22" w:rsidTr="00CE6B22">
        <w:tc>
          <w:tcPr>
            <w:tcW w:w="4006" w:type="dxa"/>
          </w:tcPr>
          <w:p w:rsidR="00CE6B22" w:rsidRDefault="00CE6B22" w:rsidP="00E378DD">
            <w:pPr>
              <w:pStyle w:val="libFootnote0"/>
              <w:rPr>
                <w:rtl/>
                <w:lang w:bidi="fa-IR"/>
              </w:rPr>
            </w:pPr>
            <w:r>
              <w:rPr>
                <w:rtl/>
                <w:lang w:bidi="fa-IR"/>
              </w:rPr>
              <w:t>(7). في « بف » : « ولا للدعاء ».</w:t>
            </w:r>
          </w:p>
        </w:tc>
        <w:tc>
          <w:tcPr>
            <w:tcW w:w="4006" w:type="dxa"/>
          </w:tcPr>
          <w:p w:rsidR="00CE6B22" w:rsidRDefault="00CE6B22" w:rsidP="00E378DD">
            <w:pPr>
              <w:pStyle w:val="libFootnote0"/>
              <w:rPr>
                <w:rtl/>
                <w:lang w:bidi="fa-IR"/>
              </w:rPr>
            </w:pPr>
            <w:r>
              <w:rPr>
                <w:rtl/>
                <w:lang w:bidi="fa-IR"/>
              </w:rPr>
              <w:t>(8). في الوفي : « بما ».</w:t>
            </w:r>
          </w:p>
        </w:tc>
      </w:tr>
      <w:tr w:rsidR="00CE6B22" w:rsidTr="00CE6B22">
        <w:tc>
          <w:tcPr>
            <w:tcW w:w="4006" w:type="dxa"/>
          </w:tcPr>
          <w:p w:rsidR="00CE6B22" w:rsidRDefault="00CE6B22" w:rsidP="00E378DD">
            <w:pPr>
              <w:pStyle w:val="libFootnote0"/>
              <w:rPr>
                <w:rtl/>
                <w:lang w:bidi="fa-IR"/>
              </w:rPr>
            </w:pPr>
            <w:r>
              <w:rPr>
                <w:rtl/>
                <w:lang w:bidi="fa-IR"/>
              </w:rPr>
              <w:t xml:space="preserve">(9). في </w:t>
            </w:r>
            <w:r w:rsidRPr="00CE6B22">
              <w:rPr>
                <w:rtl/>
              </w:rPr>
              <w:t>الوسائل</w:t>
            </w:r>
            <w:r>
              <w:rPr>
                <w:rtl/>
                <w:lang w:bidi="fa-IR"/>
              </w:rPr>
              <w:t xml:space="preserve"> : « بيّن ».</w:t>
            </w:r>
          </w:p>
        </w:tc>
        <w:tc>
          <w:tcPr>
            <w:tcW w:w="4006" w:type="dxa"/>
          </w:tcPr>
          <w:p w:rsidR="00CE6B22" w:rsidRDefault="00CE6B22" w:rsidP="00E378DD">
            <w:pPr>
              <w:pStyle w:val="libFootnote0"/>
              <w:rPr>
                <w:rtl/>
                <w:lang w:bidi="fa-IR"/>
              </w:rPr>
            </w:pPr>
            <w:r>
              <w:rPr>
                <w:rtl/>
                <w:lang w:bidi="fa-IR"/>
              </w:rPr>
              <w:t>(10). في«بح» وحاشية « بث ، جت » : « رحمك ».</w:t>
            </w:r>
          </w:p>
        </w:tc>
      </w:tr>
    </w:tbl>
    <w:p w:rsidR="00744A1C" w:rsidRDefault="00E378DD" w:rsidP="00E378DD">
      <w:pPr>
        <w:pStyle w:val="libFootnote0"/>
        <w:rPr>
          <w:lang w:bidi="fa-IR"/>
        </w:rPr>
      </w:pPr>
      <w:r>
        <w:rPr>
          <w:rtl/>
          <w:lang w:bidi="fa-IR"/>
        </w:rPr>
        <w:t>(11).</w:t>
      </w:r>
      <w:r w:rsidR="00744A1C">
        <w:rPr>
          <w:rtl/>
          <w:lang w:bidi="fa-IR"/>
        </w:rPr>
        <w:t xml:space="preserve"> هكذا في معظم النسخ </w:t>
      </w:r>
      <w:r w:rsidR="00744A1C" w:rsidRPr="00CE6B22">
        <w:rPr>
          <w:rtl/>
        </w:rPr>
        <w:t>والوافي والوسائل والتهذيب.</w:t>
      </w:r>
      <w:r w:rsidR="00744A1C">
        <w:rPr>
          <w:rtl/>
          <w:lang w:bidi="fa-IR"/>
        </w:rPr>
        <w:t xml:space="preserve"> وفي « بث » والمطبوع : + « نبيّه ».</w:t>
      </w:r>
    </w:p>
    <w:p w:rsidR="00744A1C" w:rsidRDefault="00E378DD" w:rsidP="00E378DD">
      <w:pPr>
        <w:pStyle w:val="libFootnote0"/>
        <w:rPr>
          <w:lang w:bidi="fa-IR"/>
        </w:rPr>
      </w:pPr>
      <w:r>
        <w:rPr>
          <w:rtl/>
          <w:lang w:bidi="fa-IR"/>
        </w:rPr>
        <w:t>(12).</w:t>
      </w:r>
      <w:r w:rsidR="00744A1C">
        <w:rPr>
          <w:rtl/>
          <w:lang w:bidi="fa-IR"/>
        </w:rPr>
        <w:t xml:space="preserve"> في « بس » : « الدعاة ».</w:t>
      </w:r>
    </w:p>
    <w:p w:rsidR="00144FA6" w:rsidRDefault="00E378DD" w:rsidP="00E378DD">
      <w:pPr>
        <w:pStyle w:val="libFootnote0"/>
        <w:rPr>
          <w:rtl/>
          <w:lang w:bidi="fa-IR"/>
        </w:rPr>
      </w:pPr>
      <w:r>
        <w:rPr>
          <w:rtl/>
          <w:lang w:bidi="fa-IR"/>
        </w:rPr>
        <w:t>(13).</w:t>
      </w:r>
      <w:r w:rsidR="00744A1C">
        <w:rPr>
          <w:rtl/>
          <w:lang w:bidi="fa-IR"/>
        </w:rPr>
        <w:t xml:space="preserve"> في </w:t>
      </w:r>
      <w:r w:rsidR="00744A1C" w:rsidRPr="00877682">
        <w:rPr>
          <w:rStyle w:val="libFootnoteBoldChar"/>
          <w:rtl/>
        </w:rPr>
        <w:t>مرآة العقول</w:t>
      </w:r>
      <w:r w:rsidR="00744A1C">
        <w:rPr>
          <w:rtl/>
          <w:lang w:bidi="fa-IR"/>
        </w:rPr>
        <w:t xml:space="preserve"> ، ج 18 ، ص 337 : « الدرجات إشارة إلى ابتدائه تعالى بنفسه ، ثمّ برسوله ، ثمّ بكتابه ، فيظهر من</w:t>
      </w:r>
      <w:r w:rsidR="00CE6B22">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EE40F1">
      <w:pPr>
        <w:pStyle w:val="libNormal0"/>
        <w:rPr>
          <w:rtl/>
          <w:lang w:bidi="fa-IR"/>
        </w:rPr>
      </w:pPr>
      <w:r>
        <w:rPr>
          <w:rtl/>
          <w:lang w:bidi="fa-IR"/>
        </w:rPr>
        <w:lastRenderedPageBreak/>
        <w:t xml:space="preserve">أَنَّهُ - تَبَارَكَ وَتَعَالى - أَوَّلُ مَنْ دَعَا إِلى نَفْسِهِ ، وَدَعَا إِلى طَاعَتِهِ وَاتِّبَاعِ أَمْرِهِ ، فَبَدَأَ بِنَفْسِهِ ، فَقَالَ : </w:t>
      </w:r>
      <w:r w:rsidRPr="007B42EB">
        <w:rPr>
          <w:rStyle w:val="libAlaemChar"/>
          <w:rtl/>
        </w:rPr>
        <w:t>(</w:t>
      </w:r>
      <w:r w:rsidRPr="007B42EB">
        <w:rPr>
          <w:rStyle w:val="libAieChar"/>
          <w:rtl/>
        </w:rPr>
        <w:t xml:space="preserve"> وَاللهُ يَدْعُوا إِلى دارِ السَّلامِ </w:t>
      </w:r>
      <w:r w:rsidRPr="007B42EB">
        <w:rPr>
          <w:rStyle w:val="libFootnotenumChar"/>
          <w:rtl/>
        </w:rPr>
        <w:t>(1)</w:t>
      </w:r>
      <w:r w:rsidRPr="007B42EB">
        <w:rPr>
          <w:rStyle w:val="libAieChar"/>
          <w:rtl/>
        </w:rPr>
        <w:t xml:space="preserve"> وَيَهْدِي مَنْ يَشاءُ إِلى صِراطٍ مُسْتَقِيمٍ </w:t>
      </w:r>
      <w:r w:rsidRPr="007B42EB">
        <w:rPr>
          <w:rStyle w:val="libAlaemChar"/>
          <w:rtl/>
        </w:rPr>
        <w:t>)</w:t>
      </w:r>
      <w:r>
        <w:rPr>
          <w:rtl/>
          <w:lang w:bidi="fa-IR"/>
        </w:rPr>
        <w:t xml:space="preserve"> </w:t>
      </w:r>
      <w:r w:rsidRPr="00D10E3C">
        <w:rPr>
          <w:rStyle w:val="libFootnotenumChar"/>
          <w:rtl/>
        </w:rPr>
        <w:t>(2)</w:t>
      </w:r>
      <w:r>
        <w:rPr>
          <w:rtl/>
          <w:lang w:bidi="fa-IR"/>
        </w:rPr>
        <w:t xml:space="preserve"> ثُمَّ ثَنّى بِرَسُولِهِ ، فَقَالَ : </w:t>
      </w:r>
      <w:r w:rsidRPr="007B42EB">
        <w:rPr>
          <w:rStyle w:val="libAlaemChar"/>
          <w:rtl/>
        </w:rPr>
        <w:t>(</w:t>
      </w:r>
      <w:r w:rsidRPr="007B42EB">
        <w:rPr>
          <w:rStyle w:val="libAieChar"/>
          <w:rtl/>
        </w:rPr>
        <w:t xml:space="preserve"> ادْعُ إِلى سَبِيلِ رَبِّكَ بِالْحِكْمَةِ </w:t>
      </w:r>
      <w:r w:rsidRPr="00D10E3C">
        <w:rPr>
          <w:rStyle w:val="libFootnotenumChar"/>
          <w:rtl/>
        </w:rPr>
        <w:t>(3)</w:t>
      </w:r>
      <w:r>
        <w:rPr>
          <w:rtl/>
          <w:lang w:bidi="fa-IR"/>
        </w:rPr>
        <w:t xml:space="preserve"> </w:t>
      </w:r>
      <w:r w:rsidRPr="007B42EB">
        <w:rPr>
          <w:rStyle w:val="libAieChar"/>
          <w:rtl/>
        </w:rPr>
        <w:t xml:space="preserve">وَالْمَوْعِظَةِ الْحَسَنَةِ وَجادِلْهُمْ بِالَّتِي هِيَ أَحْسَنُ </w:t>
      </w:r>
      <w:r w:rsidRPr="007B42EB">
        <w:rPr>
          <w:rStyle w:val="libAlaemChar"/>
          <w:rtl/>
        </w:rPr>
        <w:t>)</w:t>
      </w:r>
      <w:r>
        <w:rPr>
          <w:rtl/>
          <w:lang w:bidi="fa-IR"/>
        </w:rPr>
        <w:t xml:space="preserve"> </w:t>
      </w:r>
      <w:r w:rsidRPr="00D10E3C">
        <w:rPr>
          <w:rStyle w:val="libFootnotenumChar"/>
          <w:rtl/>
        </w:rPr>
        <w:t>(4)</w:t>
      </w:r>
      <w:r>
        <w:rPr>
          <w:rtl/>
          <w:lang w:bidi="fa-IR"/>
        </w:rPr>
        <w:t xml:space="preserve"> يَعْنِي بِالْقُرْآنِ </w:t>
      </w:r>
      <w:r w:rsidRPr="00D10E3C">
        <w:rPr>
          <w:rStyle w:val="libFootnotenumChar"/>
          <w:rtl/>
        </w:rPr>
        <w:t>(5)</w:t>
      </w:r>
      <w:r>
        <w:rPr>
          <w:rtl/>
          <w:lang w:bidi="fa-IR"/>
        </w:rPr>
        <w:t xml:space="preserve"> ، وَلَمْ يَكُنْ دَاعِياً إِلَى اللهِ - عَزَّ وَجَلَّ - مَنْ خَالَفَ أَمْرَ اللهِ ، وَيَدْعُو إِلَيْهِ بِغَيْرِ مَا أَمَرَ </w:t>
      </w:r>
      <w:r w:rsidRPr="00D10E3C">
        <w:rPr>
          <w:rStyle w:val="libFootnotenumChar"/>
          <w:rtl/>
        </w:rPr>
        <w:t>(6)</w:t>
      </w:r>
      <w:r>
        <w:rPr>
          <w:rtl/>
          <w:lang w:bidi="fa-IR"/>
        </w:rPr>
        <w:t xml:space="preserve"> فِي كِتَابِهِ ، وَالَّذِي </w:t>
      </w:r>
      <w:r w:rsidRPr="00D10E3C">
        <w:rPr>
          <w:rStyle w:val="libFootnotenumChar"/>
          <w:rtl/>
        </w:rPr>
        <w:t>(7)</w:t>
      </w:r>
      <w:r w:rsidR="007B42EB">
        <w:rPr>
          <w:rtl/>
          <w:lang w:bidi="fa-IR"/>
        </w:rPr>
        <w:t xml:space="preserve"> أَمَرَ أَنْ لَايُدْعى إِل</w:t>
      </w:r>
      <w:r w:rsidR="007B42EB">
        <w:rPr>
          <w:rFonts w:hint="cs"/>
          <w:rtl/>
          <w:lang w:bidi="fa-IR"/>
        </w:rPr>
        <w:t>َّ</w:t>
      </w:r>
      <w:r w:rsidR="007B42EB">
        <w:rPr>
          <w:rtl/>
          <w:lang w:bidi="fa-IR"/>
        </w:rPr>
        <w:t>ا</w:t>
      </w:r>
      <w:r>
        <w:rPr>
          <w:rtl/>
          <w:lang w:bidi="fa-IR"/>
        </w:rPr>
        <w:t xml:space="preserve"> بِهِ ، وَقَالَ فِي نَبِيِّهِ </w:t>
      </w:r>
      <w:r w:rsidRPr="00D10E3C">
        <w:rPr>
          <w:rStyle w:val="libFootnotenumChar"/>
          <w:rtl/>
        </w:rPr>
        <w:t>(8)</w:t>
      </w:r>
      <w:r>
        <w:rPr>
          <w:rtl/>
          <w:lang w:bidi="fa-IR"/>
        </w:rPr>
        <w:t xml:space="preserve"> </w:t>
      </w:r>
      <w:r w:rsidR="007B299E" w:rsidRPr="007B299E">
        <w:rPr>
          <w:rStyle w:val="libAlaemChar"/>
          <w:rtl/>
        </w:rPr>
        <w:t>صلى‌الله‌عليه‌وآله</w:t>
      </w:r>
      <w:r w:rsidR="00D10E3C">
        <w:rPr>
          <w:rtl/>
          <w:lang w:bidi="fa-IR"/>
        </w:rPr>
        <w:t xml:space="preserve"> </w:t>
      </w:r>
      <w:r>
        <w:rPr>
          <w:rtl/>
          <w:lang w:bidi="fa-IR"/>
        </w:rPr>
        <w:t xml:space="preserve">: </w:t>
      </w:r>
      <w:r w:rsidRPr="00A329D1">
        <w:rPr>
          <w:rStyle w:val="libAlaemChar"/>
          <w:rtl/>
        </w:rPr>
        <w:t>(</w:t>
      </w:r>
      <w:r w:rsidRPr="00A329D1">
        <w:rPr>
          <w:rStyle w:val="libAieChar"/>
          <w:rtl/>
        </w:rPr>
        <w:t xml:space="preserve"> وَإِنَّكَ</w:t>
      </w:r>
      <w:r>
        <w:rPr>
          <w:rtl/>
          <w:lang w:bidi="fa-IR"/>
        </w:rPr>
        <w:t xml:space="preserve"> </w:t>
      </w:r>
      <w:r w:rsidRPr="00A329D1">
        <w:rPr>
          <w:rStyle w:val="libAieChar"/>
          <w:rtl/>
        </w:rPr>
        <w:t>لَتَهْدِي إِلى صِراطٍ مُسْتَقِيمٍ</w:t>
      </w:r>
      <w:r>
        <w:rPr>
          <w:rtl/>
          <w:lang w:bidi="fa-IR"/>
        </w:rPr>
        <w:t xml:space="preserve"> </w:t>
      </w:r>
      <w:r w:rsidRPr="00A329D1">
        <w:rPr>
          <w:rStyle w:val="libAlaemChar"/>
          <w:rtl/>
        </w:rPr>
        <w:t>)</w:t>
      </w:r>
      <w:r>
        <w:rPr>
          <w:rtl/>
          <w:lang w:bidi="fa-IR"/>
        </w:rPr>
        <w:t xml:space="preserve"> </w:t>
      </w:r>
      <w:r w:rsidRPr="00D10E3C">
        <w:rPr>
          <w:rStyle w:val="libFootnotenumChar"/>
          <w:rtl/>
        </w:rPr>
        <w:t>(9)</w:t>
      </w:r>
      <w:r>
        <w:rPr>
          <w:rtl/>
          <w:lang w:bidi="fa-IR"/>
        </w:rPr>
        <w:t xml:space="preserve"> يَقُولُ : تَدْعُو </w:t>
      </w:r>
      <w:r w:rsidRPr="00D10E3C">
        <w:rPr>
          <w:rStyle w:val="libFootnotenumChar"/>
          <w:rtl/>
        </w:rPr>
        <w:t>(10)</w:t>
      </w:r>
      <w:r>
        <w:rPr>
          <w:rtl/>
          <w:lang w:bidi="fa-IR"/>
        </w:rPr>
        <w:t xml:space="preserve"> ، ثُمَّ ثَلَّثَ بِالدُّعَاءِ إِلَيْهِ بِكِتَابِهِ أَيْضاً ، فَقَالَ تَبَارَكَ وَتَعَالى : </w:t>
      </w:r>
      <w:r w:rsidRPr="00A329D1">
        <w:rPr>
          <w:rStyle w:val="libAlaemChar"/>
          <w:rtl/>
        </w:rPr>
        <w:t>(</w:t>
      </w:r>
      <w:r w:rsidRPr="00A329D1">
        <w:rPr>
          <w:rStyle w:val="libAieChar"/>
          <w:rtl/>
        </w:rPr>
        <w:t xml:space="preserve"> إِنَّ هذَا الْقُرْآنَ يَهْدِي لِلَّتِي هِيَ أَقْوَمُ</w:t>
      </w:r>
      <w:r>
        <w:rPr>
          <w:rtl/>
          <w:lang w:bidi="fa-IR"/>
        </w:rPr>
        <w:t xml:space="preserve"> </w:t>
      </w:r>
      <w:r w:rsidRPr="00A329D1">
        <w:rPr>
          <w:rStyle w:val="libAlaemChar"/>
          <w:rtl/>
        </w:rPr>
        <w:t>)</w:t>
      </w:r>
      <w:r>
        <w:rPr>
          <w:rtl/>
          <w:lang w:bidi="fa-IR"/>
        </w:rPr>
        <w:t xml:space="preserve"> </w:t>
      </w:r>
      <w:r w:rsidRPr="00D10E3C">
        <w:rPr>
          <w:rStyle w:val="libFootnotenumChar"/>
          <w:rtl/>
        </w:rPr>
        <w:t>(11)</w:t>
      </w:r>
      <w:r>
        <w:rPr>
          <w:rtl/>
          <w:lang w:bidi="fa-IR"/>
        </w:rPr>
        <w:t xml:space="preserve"> أَيْ يَدْعُو </w:t>
      </w:r>
      <w:r w:rsidRPr="00A329D1">
        <w:rPr>
          <w:rStyle w:val="libAlaemChar"/>
          <w:rtl/>
        </w:rPr>
        <w:t>(</w:t>
      </w:r>
      <w:r>
        <w:rPr>
          <w:rtl/>
          <w:lang w:bidi="fa-IR"/>
        </w:rPr>
        <w:t xml:space="preserve"> </w:t>
      </w:r>
      <w:r w:rsidRPr="00A329D1">
        <w:rPr>
          <w:rStyle w:val="libAieChar"/>
          <w:rtl/>
        </w:rPr>
        <w:t>وَيُبَشِّرُ الْمُؤْمِنِينَ</w:t>
      </w:r>
      <w:r>
        <w:rPr>
          <w:rtl/>
          <w:lang w:bidi="fa-IR"/>
        </w:rPr>
        <w:t xml:space="preserve"> </w:t>
      </w:r>
      <w:r w:rsidRPr="00A329D1">
        <w:rPr>
          <w:rStyle w:val="libAlaemChar"/>
          <w:rtl/>
        </w:rPr>
        <w:t>)</w:t>
      </w:r>
      <w:r>
        <w:rPr>
          <w:rtl/>
          <w:lang w:bidi="fa-IR"/>
        </w:rPr>
        <w:t xml:space="preserve"> </w:t>
      </w:r>
      <w:r w:rsidRPr="00D10E3C">
        <w:rPr>
          <w:rStyle w:val="libFootnotenumChar"/>
          <w:rtl/>
        </w:rPr>
        <w:t>(12)</w:t>
      </w:r>
      <w:r>
        <w:rPr>
          <w:rtl/>
          <w:lang w:bidi="fa-IR"/>
        </w:rPr>
        <w:t xml:space="preserve"> ثُمَّ ذَكَرَ مَنْ أَذِنَ لَهُ‌ فِي الدُّعَاءِ </w:t>
      </w:r>
      <w:r w:rsidRPr="00D10E3C">
        <w:rPr>
          <w:rStyle w:val="libFootnotenumChar"/>
          <w:rtl/>
        </w:rPr>
        <w:t>(13)</w:t>
      </w:r>
      <w:r>
        <w:rPr>
          <w:rtl/>
          <w:lang w:bidi="fa-IR"/>
        </w:rPr>
        <w:t xml:space="preserve"> إِلَيْهِ بَعْدَهُ وَبَعْدَ رَسُولِهِ فِي كِتَابِهِ ، فَقَالَ : </w:t>
      </w:r>
      <w:r w:rsidRPr="00A329D1">
        <w:rPr>
          <w:rStyle w:val="libAlaemChar"/>
          <w:rtl/>
        </w:rPr>
        <w:t>(</w:t>
      </w:r>
      <w:r w:rsidRPr="00A329D1">
        <w:rPr>
          <w:rStyle w:val="libAieChar"/>
          <w:rtl/>
        </w:rPr>
        <w:t xml:space="preserve"> وَلْتَكُنْ مِنْكُمْ </w:t>
      </w:r>
      <w:r w:rsidRPr="00D10E3C">
        <w:rPr>
          <w:rStyle w:val="libFootnotenumChar"/>
          <w:rtl/>
        </w:rPr>
        <w:t>(14)</w:t>
      </w:r>
      <w:r w:rsidRPr="00A329D1">
        <w:rPr>
          <w:rStyle w:val="libAieChar"/>
          <w:rtl/>
        </w:rPr>
        <w:t xml:space="preserve"> أُمَّةٌ يَدْعُونَ إِلَى الْخَيْرِ</w:t>
      </w:r>
    </w:p>
    <w:p w:rsidR="00744A1C" w:rsidRDefault="00744A1C" w:rsidP="00D10E3C">
      <w:pPr>
        <w:pStyle w:val="libLine"/>
        <w:rPr>
          <w:lang w:bidi="fa-IR"/>
        </w:rPr>
      </w:pPr>
      <w:r>
        <w:rPr>
          <w:rtl/>
          <w:lang w:bidi="fa-IR"/>
        </w:rPr>
        <w:t>____________________</w:t>
      </w:r>
    </w:p>
    <w:p w:rsidR="00744A1C" w:rsidRDefault="00744A1C" w:rsidP="00A329D1">
      <w:pPr>
        <w:pStyle w:val="libFootnote0"/>
        <w:rPr>
          <w:lang w:bidi="fa-IR"/>
        </w:rPr>
      </w:pPr>
      <w:r>
        <w:rPr>
          <w:rtl/>
          <w:lang w:bidi="fa-IR"/>
        </w:rPr>
        <w:t>‌</w:t>
      </w:r>
      <w:r w:rsidR="00A329D1">
        <w:rPr>
          <w:rFonts w:hint="cs"/>
          <w:rtl/>
          <w:lang w:bidi="fa-IR"/>
        </w:rPr>
        <w:t xml:space="preserve">= </w:t>
      </w:r>
      <w:r>
        <w:rPr>
          <w:rtl/>
          <w:lang w:bidi="fa-IR"/>
        </w:rPr>
        <w:t xml:space="preserve">هذا التدريج أنّه يلزم أن يكون الداعي بعدهم مثلهم ، ودعوتهم موافقة لدعوتهم ، ويكون عالماً بما دعوا إليه ، فلذا قال </w:t>
      </w:r>
      <w:r w:rsidR="00A329D1" w:rsidRPr="00A329D1">
        <w:rPr>
          <w:rStyle w:val="libFootnoteAlaemChar"/>
          <w:rFonts w:eastAsiaTheme="minorHAnsi"/>
          <w:rtl/>
        </w:rPr>
        <w:t>عليه‌السلام</w:t>
      </w:r>
      <w:r>
        <w:rPr>
          <w:rtl/>
          <w:lang w:bidi="fa-IR"/>
        </w:rPr>
        <w:t>: يعرّف بعضها بعضاً ».</w:t>
      </w:r>
    </w:p>
    <w:p w:rsidR="00744A1C" w:rsidRDefault="00D10E3C" w:rsidP="003B55A7">
      <w:pPr>
        <w:pStyle w:val="libFootnote0"/>
        <w:rPr>
          <w:lang w:bidi="fa-IR"/>
        </w:rPr>
      </w:pPr>
      <w:r>
        <w:rPr>
          <w:rtl/>
          <w:lang w:bidi="fa-IR"/>
        </w:rPr>
        <w:t>(1).</w:t>
      </w:r>
      <w:r w:rsidR="00744A1C">
        <w:rPr>
          <w:rtl/>
          <w:lang w:bidi="fa-IR"/>
        </w:rPr>
        <w:t xml:space="preserve"> قال الراغب : « </w:t>
      </w:r>
      <w:r w:rsidR="00744A1C" w:rsidRPr="003B55A7">
        <w:rPr>
          <w:rStyle w:val="libFootnoteAlaemChar"/>
          <w:rtl/>
        </w:rPr>
        <w:t>(</w:t>
      </w:r>
      <w:r w:rsidR="00744A1C" w:rsidRPr="003B55A7">
        <w:rPr>
          <w:rStyle w:val="libFootnoteAieChar"/>
          <w:rtl/>
        </w:rPr>
        <w:t xml:space="preserve"> لَهُمْ دارُ السَّلامِ عِنْدَ رَبِّهِمْ </w:t>
      </w:r>
      <w:r w:rsidR="00744A1C" w:rsidRPr="003B55A7">
        <w:rPr>
          <w:rStyle w:val="libFootnoteAlaemChar"/>
          <w:rtl/>
        </w:rPr>
        <w:t>)</w:t>
      </w:r>
      <w:r w:rsidR="00744A1C" w:rsidRPr="003B55A7">
        <w:rPr>
          <w:rStyle w:val="libFootnoteAieChar"/>
          <w:rtl/>
        </w:rPr>
        <w:t xml:space="preserve"> </w:t>
      </w:r>
      <w:r w:rsidR="00744A1C">
        <w:rPr>
          <w:rtl/>
          <w:lang w:bidi="fa-IR"/>
        </w:rPr>
        <w:t>أي السلامة ». المفرادات ، ص 423 ( سلم ). وراجع أيضاً : جوامع‌الجامع ، ج 2 ، ص 122.</w:t>
      </w:r>
      <w:r w:rsidR="003B55A7">
        <w:rPr>
          <w:rFonts w:hint="cs"/>
          <w:rtl/>
          <w:lang w:bidi="fa-IR"/>
        </w:rPr>
        <w:t xml:space="preserve">                                        </w:t>
      </w:r>
      <w:r w:rsidR="00E378DD">
        <w:rPr>
          <w:rtl/>
          <w:lang w:bidi="fa-IR"/>
        </w:rPr>
        <w:t>(2).</w:t>
      </w:r>
      <w:r w:rsidR="00744A1C">
        <w:rPr>
          <w:rtl/>
          <w:lang w:bidi="fa-IR"/>
        </w:rPr>
        <w:t xml:space="preserve"> يونس </w:t>
      </w:r>
      <w:r w:rsidR="003B55A7">
        <w:rPr>
          <w:rtl/>
          <w:lang w:bidi="fa-IR"/>
        </w:rPr>
        <w:t>(10)</w:t>
      </w:r>
      <w:r w:rsidR="00744A1C">
        <w:rPr>
          <w:rtl/>
          <w:lang w:bidi="fa-IR"/>
        </w:rPr>
        <w:t xml:space="preserve"> : 25.</w:t>
      </w:r>
    </w:p>
    <w:p w:rsidR="00744A1C" w:rsidRDefault="00E378DD" w:rsidP="004075CA">
      <w:pPr>
        <w:pStyle w:val="libFootnote0"/>
        <w:rPr>
          <w:lang w:bidi="fa-IR"/>
        </w:rPr>
      </w:pPr>
      <w:r>
        <w:rPr>
          <w:rtl/>
          <w:lang w:bidi="fa-IR"/>
        </w:rPr>
        <w:t>(3).</w:t>
      </w:r>
      <w:r w:rsidR="00744A1C">
        <w:rPr>
          <w:rtl/>
          <w:lang w:bidi="fa-IR"/>
        </w:rPr>
        <w:t xml:space="preserve"> في </w:t>
      </w:r>
      <w:r w:rsidR="00744A1C" w:rsidRPr="0061079A">
        <w:rPr>
          <w:rStyle w:val="libFootnoteBoldChar"/>
          <w:rtl/>
        </w:rPr>
        <w:t>البحار</w:t>
      </w:r>
      <w:r w:rsidR="00744A1C">
        <w:rPr>
          <w:rtl/>
          <w:lang w:bidi="fa-IR"/>
        </w:rPr>
        <w:t xml:space="preserve"> : « قيل : المراد بالحكمة : البراهين القاطعة وهي للخواصّ ، وبالموعظة الحسنة : الخطابات المقنعةوالعبر النافعة وهي للعوامّ ، وبالمجادلة بالتي هي أحسن : إلزام المعاندين والجاحدين بالمقدّمات المشهورة والمسلّمة ». </w:t>
      </w:r>
      <w:r w:rsidR="00744A1C" w:rsidRPr="0061079A">
        <w:rPr>
          <w:rStyle w:val="libFootnoteBoldChar"/>
          <w:rtl/>
        </w:rPr>
        <w:t>البحار</w:t>
      </w:r>
      <w:r w:rsidR="00744A1C">
        <w:rPr>
          <w:rtl/>
          <w:lang w:bidi="fa-IR"/>
        </w:rPr>
        <w:t xml:space="preserve"> ، ج 29 ، ص 263.</w:t>
      </w:r>
      <w:r w:rsidR="004075CA">
        <w:rPr>
          <w:rFonts w:hint="cs"/>
          <w:rtl/>
          <w:lang w:bidi="fa-IR"/>
        </w:rPr>
        <w:t xml:space="preserve">        </w:t>
      </w:r>
      <w:r w:rsidR="00A13668">
        <w:rPr>
          <w:rFonts w:hint="cs"/>
          <w:rtl/>
          <w:lang w:bidi="fa-IR"/>
        </w:rPr>
        <w:t xml:space="preserve">                           </w:t>
      </w:r>
      <w:r w:rsidR="00CC18A6">
        <w:rPr>
          <w:rFonts w:hint="cs"/>
          <w:rtl/>
          <w:lang w:bidi="fa-IR"/>
        </w:rPr>
        <w:t xml:space="preserve">                     </w:t>
      </w:r>
      <w:r>
        <w:rPr>
          <w:rtl/>
          <w:lang w:bidi="fa-IR"/>
        </w:rPr>
        <w:t>(4).</w:t>
      </w:r>
      <w:r w:rsidR="00744A1C">
        <w:rPr>
          <w:rtl/>
          <w:lang w:bidi="fa-IR"/>
        </w:rPr>
        <w:t xml:space="preserve"> النحل (16) : 125.</w:t>
      </w:r>
    </w:p>
    <w:p w:rsidR="00744A1C" w:rsidRDefault="00E378DD" w:rsidP="00E378DD">
      <w:pPr>
        <w:pStyle w:val="libFootnote0"/>
        <w:rPr>
          <w:lang w:bidi="fa-IR"/>
        </w:rPr>
      </w:pPr>
      <w:r>
        <w:rPr>
          <w:rtl/>
          <w:lang w:bidi="fa-IR"/>
        </w:rPr>
        <w:t>(5).</w:t>
      </w:r>
      <w:r w:rsidR="00744A1C">
        <w:rPr>
          <w:rtl/>
          <w:lang w:bidi="fa-IR"/>
        </w:rPr>
        <w:t xml:space="preserve"> في</w:t>
      </w:r>
      <w:r w:rsidR="00744A1C" w:rsidRPr="00CC18A6">
        <w:rPr>
          <w:rtl/>
        </w:rPr>
        <w:t xml:space="preserve"> الوسائل</w:t>
      </w:r>
      <w:r w:rsidR="00744A1C">
        <w:rPr>
          <w:rtl/>
          <w:lang w:bidi="fa-IR"/>
        </w:rPr>
        <w:t xml:space="preserve"> : « القرآن ». وفي </w:t>
      </w:r>
      <w:r w:rsidR="00744A1C" w:rsidRPr="00CC18A6">
        <w:rPr>
          <w:rtl/>
        </w:rPr>
        <w:t>المرآة :</w:t>
      </w:r>
      <w:r w:rsidR="00744A1C">
        <w:rPr>
          <w:rtl/>
          <w:lang w:bidi="fa-IR"/>
        </w:rPr>
        <w:t xml:space="preserve"> « يعني بالقرآن ، تفسير للحكمة ، أو التي هي أحسن أو الأعمّ ».</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CC18A6">
        <w:rPr>
          <w:rtl/>
        </w:rPr>
        <w:t>والوافي والوسائل. وفي</w:t>
      </w:r>
      <w:r w:rsidR="00744A1C">
        <w:rPr>
          <w:rtl/>
          <w:lang w:bidi="fa-IR"/>
        </w:rPr>
        <w:t xml:space="preserve"> المطبوع : + « [ به ] ».</w:t>
      </w:r>
    </w:p>
    <w:p w:rsidR="00744A1C" w:rsidRDefault="00E378DD" w:rsidP="00E378DD">
      <w:pPr>
        <w:pStyle w:val="libFootnote0"/>
        <w:rPr>
          <w:lang w:bidi="fa-IR"/>
        </w:rPr>
      </w:pPr>
      <w:r>
        <w:rPr>
          <w:rtl/>
          <w:lang w:bidi="fa-IR"/>
        </w:rPr>
        <w:t>(7).</w:t>
      </w:r>
      <w:r w:rsidR="00744A1C">
        <w:rPr>
          <w:rtl/>
          <w:lang w:bidi="fa-IR"/>
        </w:rPr>
        <w:t xml:space="preserve"> في </w:t>
      </w:r>
      <w:r w:rsidR="00744A1C" w:rsidRPr="00CC18A6">
        <w:rPr>
          <w:rtl/>
        </w:rPr>
        <w:t>الوسائل والتهذيب</w:t>
      </w:r>
      <w:r w:rsidR="00744A1C">
        <w:rPr>
          <w:rtl/>
          <w:lang w:bidi="fa-IR"/>
        </w:rPr>
        <w:t xml:space="preserve"> : « الذي » بدون الواو.</w:t>
      </w:r>
    </w:p>
    <w:p w:rsidR="00744A1C" w:rsidRDefault="00E378DD" w:rsidP="00E378DD">
      <w:pPr>
        <w:pStyle w:val="libFootnote0"/>
        <w:rPr>
          <w:lang w:bidi="fa-IR"/>
        </w:rPr>
      </w:pPr>
      <w:r>
        <w:rPr>
          <w:rtl/>
          <w:lang w:bidi="fa-IR"/>
        </w:rPr>
        <w:t>(8).</w:t>
      </w:r>
      <w:r w:rsidR="00744A1C">
        <w:rPr>
          <w:rtl/>
          <w:lang w:bidi="fa-IR"/>
        </w:rPr>
        <w:t xml:space="preserve"> في حاشية « بث »</w:t>
      </w:r>
      <w:r w:rsidR="00744A1C" w:rsidRPr="00CC18A6">
        <w:rPr>
          <w:rtl/>
        </w:rPr>
        <w:t xml:space="preserve"> والتهذيب</w:t>
      </w:r>
      <w:r w:rsidR="00744A1C">
        <w:rPr>
          <w:rtl/>
          <w:lang w:bidi="fa-IR"/>
        </w:rPr>
        <w:t xml:space="preserve"> : « لنبيّه ».</w:t>
      </w:r>
    </w:p>
    <w:p w:rsidR="00744A1C" w:rsidRDefault="00E378DD" w:rsidP="00330596">
      <w:pPr>
        <w:pStyle w:val="libFootnote0"/>
        <w:rPr>
          <w:lang w:bidi="fa-IR"/>
        </w:rPr>
      </w:pPr>
      <w:r>
        <w:rPr>
          <w:rtl/>
          <w:lang w:bidi="fa-IR"/>
        </w:rPr>
        <w:t>(9).</w:t>
      </w:r>
      <w:r w:rsidR="00744A1C">
        <w:rPr>
          <w:rtl/>
          <w:lang w:bidi="fa-IR"/>
        </w:rPr>
        <w:t xml:space="preserve"> الشورى (42) : 52. وفي </w:t>
      </w:r>
      <w:r w:rsidR="00744A1C" w:rsidRPr="00CC18A6">
        <w:rPr>
          <w:rtl/>
        </w:rPr>
        <w:t>المرآة :</w:t>
      </w:r>
      <w:r w:rsidR="00744A1C">
        <w:rPr>
          <w:rtl/>
          <w:lang w:bidi="fa-IR"/>
        </w:rPr>
        <w:t xml:space="preserve"> « قوله تعالى : </w:t>
      </w:r>
      <w:r w:rsidR="00744A1C" w:rsidRPr="00CC18A6">
        <w:rPr>
          <w:rStyle w:val="libFootnoteAlaemChar"/>
          <w:rtl/>
        </w:rPr>
        <w:t>(</w:t>
      </w:r>
      <w:r w:rsidR="00744A1C" w:rsidRPr="00CC18A6">
        <w:rPr>
          <w:rStyle w:val="libFootnoteAieChar"/>
          <w:rtl/>
        </w:rPr>
        <w:t xml:space="preserve"> وَ</w:t>
      </w:r>
      <w:r w:rsidR="00CC18A6" w:rsidRPr="00CC18A6">
        <w:rPr>
          <w:rStyle w:val="libFootnoteAieChar"/>
          <w:rFonts w:hint="cs"/>
          <w:rtl/>
        </w:rPr>
        <w:t xml:space="preserve"> </w:t>
      </w:r>
      <w:r w:rsidR="00744A1C" w:rsidRPr="00CC18A6">
        <w:rPr>
          <w:rStyle w:val="libFootnoteAieChar"/>
          <w:rtl/>
        </w:rPr>
        <w:t xml:space="preserve">إِنَّكَ لَتَهْدِي </w:t>
      </w:r>
      <w:r w:rsidR="00744A1C" w:rsidRPr="00CC18A6">
        <w:rPr>
          <w:rStyle w:val="libFootnoteAlaemChar"/>
          <w:rtl/>
        </w:rPr>
        <w:t>)</w:t>
      </w:r>
      <w:r w:rsidR="00744A1C">
        <w:rPr>
          <w:rtl/>
          <w:lang w:bidi="fa-IR"/>
        </w:rPr>
        <w:t xml:space="preserve"> أي هدايته </w:t>
      </w:r>
      <w:r w:rsidR="00770174" w:rsidRPr="00770174">
        <w:rPr>
          <w:rStyle w:val="libFootnoteAlaemChar"/>
          <w:rFonts w:eastAsiaTheme="minorHAnsi"/>
          <w:rtl/>
        </w:rPr>
        <w:t>صلى‌الله‌عليه‌وآله‌وسلم</w:t>
      </w:r>
      <w:r w:rsidR="00770174" w:rsidRPr="00770174">
        <w:rPr>
          <w:rFonts w:eastAsiaTheme="minorHAnsi"/>
          <w:rtl/>
        </w:rPr>
        <w:t xml:space="preserve"> </w:t>
      </w:r>
      <w:r w:rsidR="00744A1C">
        <w:rPr>
          <w:rtl/>
          <w:lang w:bidi="fa-IR"/>
        </w:rPr>
        <w:t>إنّما هي بالدعوة ، وأمّا الهدايةالموصلة فهي مختصّة به تعالى ».</w:t>
      </w:r>
      <w:r w:rsidR="00330596">
        <w:rPr>
          <w:rFonts w:hint="cs"/>
          <w:rtl/>
          <w:lang w:bidi="fa-IR"/>
        </w:rPr>
        <w:t xml:space="preserve">                        </w:t>
      </w:r>
      <w:r w:rsidR="00EE40F1">
        <w:rPr>
          <w:rFonts w:hint="cs"/>
          <w:rtl/>
          <w:lang w:bidi="fa-IR"/>
        </w:rPr>
        <w:t xml:space="preserve">     </w:t>
      </w:r>
      <w:r w:rsidR="00330596">
        <w:rPr>
          <w:rFonts w:hint="cs"/>
          <w:rtl/>
          <w:lang w:bidi="fa-IR"/>
        </w:rPr>
        <w:t xml:space="preserve">    </w:t>
      </w:r>
      <w:r>
        <w:rPr>
          <w:rtl/>
          <w:lang w:bidi="fa-IR"/>
        </w:rPr>
        <w:t>(10).</w:t>
      </w:r>
      <w:r w:rsidR="00744A1C">
        <w:rPr>
          <w:rtl/>
          <w:lang w:bidi="fa-IR"/>
        </w:rPr>
        <w:t xml:space="preserve"> في « بث » : « يدعو ».</w:t>
      </w:r>
    </w:p>
    <w:p w:rsidR="00744A1C" w:rsidRDefault="00E378DD" w:rsidP="00330596">
      <w:pPr>
        <w:pStyle w:val="libFootnote0"/>
        <w:rPr>
          <w:lang w:bidi="fa-IR"/>
        </w:rPr>
      </w:pPr>
      <w:r>
        <w:rPr>
          <w:rtl/>
          <w:lang w:bidi="fa-IR"/>
        </w:rPr>
        <w:t>(11).</w:t>
      </w:r>
      <w:r w:rsidR="00744A1C">
        <w:rPr>
          <w:rtl/>
          <w:lang w:bidi="fa-IR"/>
        </w:rPr>
        <w:t xml:space="preserve"> قال المحقّق الطبرسي </w:t>
      </w:r>
      <w:r w:rsidR="00877682" w:rsidRPr="00877682">
        <w:rPr>
          <w:rStyle w:val="libFootnoteAlaemChar"/>
          <w:rtl/>
        </w:rPr>
        <w:t>رحمه‌الله</w:t>
      </w:r>
      <w:r w:rsidR="00744A1C">
        <w:rPr>
          <w:rtl/>
          <w:lang w:bidi="fa-IR"/>
        </w:rPr>
        <w:t>: « معناه : إنّ هذا القرآن يهدي إلى الديانة ، والملّة ، والطريقة التي هي أشدّ استقامة ». مجمع البيان ، ج 6 ، ص 225.</w:t>
      </w:r>
      <w:r w:rsidR="00330596">
        <w:rPr>
          <w:rFonts w:hint="cs"/>
          <w:rtl/>
          <w:lang w:bidi="fa-IR"/>
        </w:rPr>
        <w:t xml:space="preserve">                          </w:t>
      </w:r>
      <w:r w:rsidR="00EE40F1">
        <w:rPr>
          <w:rFonts w:hint="cs"/>
          <w:rtl/>
          <w:lang w:bidi="fa-IR"/>
        </w:rPr>
        <w:t xml:space="preserve">     </w:t>
      </w:r>
      <w:r w:rsidR="00330596">
        <w:rPr>
          <w:rFonts w:hint="cs"/>
          <w:rtl/>
          <w:lang w:bidi="fa-IR"/>
        </w:rPr>
        <w:t xml:space="preserve">   </w:t>
      </w:r>
      <w:r>
        <w:rPr>
          <w:rtl/>
          <w:lang w:bidi="fa-IR"/>
        </w:rPr>
        <w:t>(12).</w:t>
      </w:r>
      <w:r w:rsidR="00744A1C">
        <w:rPr>
          <w:rtl/>
          <w:lang w:bidi="fa-IR"/>
        </w:rPr>
        <w:t xml:space="preserve"> الإسراء (17) : 9.</w:t>
      </w:r>
    </w:p>
    <w:p w:rsidR="00744A1C" w:rsidRDefault="00E378DD" w:rsidP="00E378DD">
      <w:pPr>
        <w:pStyle w:val="libFootnote0"/>
        <w:rPr>
          <w:lang w:bidi="fa-IR"/>
        </w:rPr>
      </w:pPr>
      <w:r>
        <w:rPr>
          <w:rtl/>
          <w:lang w:bidi="fa-IR"/>
        </w:rPr>
        <w:t>(13).</w:t>
      </w:r>
      <w:r w:rsidR="00744A1C">
        <w:rPr>
          <w:rtl/>
          <w:lang w:bidi="fa-IR"/>
        </w:rPr>
        <w:t xml:space="preserve"> في « ى » : « بالدعاء ».</w:t>
      </w:r>
    </w:p>
    <w:p w:rsidR="00744A1C" w:rsidRDefault="00E378DD" w:rsidP="00E378DD">
      <w:pPr>
        <w:pStyle w:val="libFootnote0"/>
        <w:rPr>
          <w:lang w:bidi="fa-IR"/>
        </w:rPr>
      </w:pPr>
      <w:r>
        <w:rPr>
          <w:rtl/>
          <w:lang w:bidi="fa-IR"/>
        </w:rPr>
        <w:t>(14).</w:t>
      </w:r>
      <w:r w:rsidR="00744A1C">
        <w:rPr>
          <w:rtl/>
          <w:lang w:bidi="fa-IR"/>
        </w:rPr>
        <w:t xml:space="preserve"> « من » هاهنا للتبعيض على قول أكثر المفسّرين ؛ لأنّ الأمر بالمعروف وإنكار المنكر ليسا بفرضين على الأعيان ، وهما من فروض الكفايات ، فأيّ فرقة قامت بهما سقطا عن الباقين. مجمع البيان ، ج 2 ، ص 358.</w:t>
      </w:r>
    </w:p>
    <w:p w:rsidR="006A5060" w:rsidRDefault="006A5060" w:rsidP="00D10E3C">
      <w:pPr>
        <w:pStyle w:val="libNormal"/>
        <w:rPr>
          <w:rtl/>
          <w:lang w:bidi="fa-IR"/>
        </w:rPr>
      </w:pPr>
      <w:r>
        <w:rPr>
          <w:rtl/>
          <w:lang w:bidi="fa-IR"/>
        </w:rPr>
        <w:br w:type="page"/>
      </w:r>
    </w:p>
    <w:p w:rsidR="00744A1C" w:rsidRDefault="00744A1C" w:rsidP="00344D59">
      <w:pPr>
        <w:pStyle w:val="libNormal0"/>
        <w:rPr>
          <w:lang w:bidi="fa-IR"/>
        </w:rPr>
      </w:pPr>
      <w:r w:rsidRPr="00344D59">
        <w:rPr>
          <w:rStyle w:val="libAieChar"/>
          <w:rtl/>
        </w:rPr>
        <w:lastRenderedPageBreak/>
        <w:t>وَ</w:t>
      </w:r>
      <w:r w:rsidR="00344D59" w:rsidRPr="00344D59">
        <w:rPr>
          <w:rStyle w:val="libAieChar"/>
          <w:rFonts w:hint="cs"/>
          <w:rtl/>
        </w:rPr>
        <w:t xml:space="preserve"> </w:t>
      </w:r>
      <w:r w:rsidRPr="00344D59">
        <w:rPr>
          <w:rStyle w:val="libAieChar"/>
          <w:rtl/>
        </w:rPr>
        <w:t xml:space="preserve">يَأْمُرُونَ بِالْمَعْرُوفِ وَيَنْهَوْنَ عَنِ الْمُنْكَرِ وَأُولئِكَ هُمُ الْمُفْلِحُونَ </w:t>
      </w:r>
      <w:r w:rsidRPr="00344D59">
        <w:rPr>
          <w:rStyle w:val="libAlaemChar"/>
          <w:rtl/>
        </w:rPr>
        <w:t>)</w:t>
      </w:r>
      <w:r>
        <w:rPr>
          <w:rtl/>
          <w:lang w:bidi="fa-IR"/>
        </w:rPr>
        <w:t xml:space="preserve"> </w:t>
      </w:r>
      <w:r w:rsidRPr="00D10E3C">
        <w:rPr>
          <w:rStyle w:val="libFootnotenumChar"/>
          <w:rtl/>
        </w:rPr>
        <w:t>(1)</w:t>
      </w:r>
    </w:p>
    <w:p w:rsidR="00744A1C" w:rsidRDefault="00744A1C" w:rsidP="00744A1C">
      <w:pPr>
        <w:pStyle w:val="libNormal"/>
        <w:rPr>
          <w:lang w:bidi="fa-IR"/>
        </w:rPr>
      </w:pPr>
      <w:r>
        <w:rPr>
          <w:rtl/>
          <w:lang w:bidi="fa-IR"/>
        </w:rPr>
        <w:t xml:space="preserve">ثُمَّ أَخْبَرَ عَنْ هذِهِ الْأُمَّةِ </w:t>
      </w:r>
      <w:r w:rsidRPr="00D10E3C">
        <w:rPr>
          <w:rStyle w:val="libFootnotenumChar"/>
          <w:rtl/>
        </w:rPr>
        <w:t>(2)</w:t>
      </w:r>
      <w:r>
        <w:rPr>
          <w:rtl/>
          <w:lang w:bidi="fa-IR"/>
        </w:rPr>
        <w:t xml:space="preserve"> ، وَمِمَّنْ هِيَ ، وَأَنَّهَا مِنْ ذُرِّيَّةِ إِبْرَاهِيمَ ، وَمِنْ </w:t>
      </w:r>
      <w:r w:rsidRPr="00D10E3C">
        <w:rPr>
          <w:rStyle w:val="libFootnotenumChar"/>
          <w:rtl/>
        </w:rPr>
        <w:t>(3)</w:t>
      </w:r>
      <w:r>
        <w:rPr>
          <w:rtl/>
          <w:lang w:bidi="fa-IR"/>
        </w:rPr>
        <w:t xml:space="preserve"> ذُرِّيَّةِ إِسْمَاعِيلَ مِنْ </w:t>
      </w:r>
      <w:r w:rsidRPr="00D10E3C">
        <w:rPr>
          <w:rStyle w:val="libFootnotenumChar"/>
          <w:rtl/>
        </w:rPr>
        <w:t>(4)</w:t>
      </w:r>
      <w:r>
        <w:rPr>
          <w:rtl/>
          <w:lang w:bidi="fa-IR"/>
        </w:rPr>
        <w:t xml:space="preserve"> سُكَّانِ الْحَرَمِ مِمَّنْ لَمْ يَعْبُدُوا غَيْرَ اللهِ قَطُّ ، الَّذِينَ وَجَبَتْ لَهُمُ الدَّعْوَةُ ، دَعْوَةُ إِبْرَاهِيمَ وَإِسْمَاعِيلَ مِنْ أَهْلِ الْمَسْجِدِ ، الَّذِينَ أَخْبَرَ عَنْهُمْ فِي كِتَابِهِ أَنَّهُ أَذْهَبَ عَنْهُمُ الرِّجْسَ وَطَهَّرَهُمْ تَطْهِيراً </w:t>
      </w:r>
      <w:r w:rsidRPr="00D10E3C">
        <w:rPr>
          <w:rStyle w:val="libFootnotenumChar"/>
          <w:rtl/>
        </w:rPr>
        <w:t>(5)</w:t>
      </w:r>
      <w:r>
        <w:rPr>
          <w:rtl/>
          <w:lang w:bidi="fa-IR"/>
        </w:rPr>
        <w:t xml:space="preserve"> ، الَّذِينَ وَصَفْنَاهُمْ قَبْلَ هذَا </w:t>
      </w:r>
      <w:r w:rsidRPr="00D10E3C">
        <w:rPr>
          <w:rStyle w:val="libFootnotenumChar"/>
          <w:rtl/>
        </w:rPr>
        <w:t>(6)</w:t>
      </w:r>
      <w:r>
        <w:rPr>
          <w:rtl/>
          <w:lang w:bidi="fa-IR"/>
        </w:rPr>
        <w:t xml:space="preserve"> فِي صِفَةِ أُمَّةِ مُحَمَّدٍ </w:t>
      </w:r>
      <w:r w:rsidR="00AE01C7" w:rsidRPr="00AE01C7">
        <w:rPr>
          <w:rStyle w:val="libFootnoteAlaemChar"/>
          <w:rtl/>
        </w:rPr>
        <w:t>صلى‌الله‌عليه‌وآله</w:t>
      </w:r>
      <w:r w:rsidR="00D10E3C">
        <w:rPr>
          <w:rtl/>
          <w:lang w:bidi="fa-IR"/>
        </w:rPr>
        <w:t xml:space="preserve"> </w:t>
      </w:r>
      <w:r w:rsidRPr="00D10E3C">
        <w:rPr>
          <w:rStyle w:val="libFootnotenumChar"/>
          <w:rtl/>
        </w:rPr>
        <w:t>(7)</w:t>
      </w:r>
      <w:r>
        <w:rPr>
          <w:rtl/>
          <w:lang w:bidi="fa-IR"/>
        </w:rPr>
        <w:t xml:space="preserve"> ، الَّذِينَ عَنَاهُمُ اللهُ - تَبَارَكَ وَتَعَالى - فِي قَوْلِهِ </w:t>
      </w:r>
      <w:r w:rsidRPr="00D10E3C">
        <w:rPr>
          <w:rStyle w:val="libFootnotenumChar"/>
          <w:rtl/>
        </w:rPr>
        <w:t>(8)</w:t>
      </w:r>
      <w:r>
        <w:rPr>
          <w:rtl/>
          <w:lang w:bidi="fa-IR"/>
        </w:rPr>
        <w:t xml:space="preserve"> : </w:t>
      </w:r>
      <w:r w:rsidRPr="001A27C4">
        <w:rPr>
          <w:rStyle w:val="libAlaemChar"/>
          <w:rtl/>
        </w:rPr>
        <w:t>(</w:t>
      </w:r>
      <w:r w:rsidRPr="001A27C4">
        <w:rPr>
          <w:rStyle w:val="libAieChar"/>
          <w:rtl/>
        </w:rPr>
        <w:t xml:space="preserve"> أَدْعُوا إِلَى اللهِ عَلى بَصِيرَةٍ</w:t>
      </w:r>
      <w:r>
        <w:rPr>
          <w:rtl/>
          <w:lang w:bidi="fa-IR"/>
        </w:rPr>
        <w:t xml:space="preserve"> </w:t>
      </w:r>
      <w:r w:rsidRPr="00D10E3C">
        <w:rPr>
          <w:rStyle w:val="libFootnotenumChar"/>
          <w:rtl/>
        </w:rPr>
        <w:t>(9)</w:t>
      </w:r>
      <w:r w:rsidRPr="001A27C4">
        <w:rPr>
          <w:rStyle w:val="libAieChar"/>
          <w:rtl/>
        </w:rPr>
        <w:t xml:space="preserve"> أَنَا وَمَنِ اتَّبَعَنِي </w:t>
      </w:r>
      <w:r w:rsidRPr="001A27C4">
        <w:rPr>
          <w:rStyle w:val="libAlaemChar"/>
          <w:rtl/>
        </w:rPr>
        <w:t>)</w:t>
      </w:r>
      <w:r>
        <w:rPr>
          <w:rtl/>
          <w:lang w:bidi="fa-IR"/>
        </w:rPr>
        <w:t xml:space="preserve"> </w:t>
      </w:r>
      <w:r w:rsidRPr="00D10E3C">
        <w:rPr>
          <w:rStyle w:val="libFootnotenumChar"/>
          <w:rtl/>
        </w:rPr>
        <w:t>(10)</w:t>
      </w:r>
      <w:r>
        <w:rPr>
          <w:rtl/>
          <w:lang w:bidi="fa-IR"/>
        </w:rPr>
        <w:t xml:space="preserve"> يَعْنِي أَوَّلَ مَنِ اتَّبَعَهُ عَلَى الْإِيمَانِ بِهِ ، وَالتَّصْدِيقِ لَهُ </w:t>
      </w:r>
      <w:r w:rsidRPr="00D10E3C">
        <w:rPr>
          <w:rStyle w:val="libFootnotenumChar"/>
          <w:rtl/>
        </w:rPr>
        <w:t>(11)</w:t>
      </w:r>
      <w:r>
        <w:rPr>
          <w:rtl/>
          <w:lang w:bidi="fa-IR"/>
        </w:rPr>
        <w:t xml:space="preserve"> وَبِمَا </w:t>
      </w:r>
      <w:r w:rsidRPr="00D10E3C">
        <w:rPr>
          <w:rStyle w:val="libFootnotenumChar"/>
          <w:rtl/>
        </w:rPr>
        <w:t>(12)</w:t>
      </w:r>
      <w:r>
        <w:rPr>
          <w:rtl/>
          <w:lang w:bidi="fa-IR"/>
        </w:rPr>
        <w:t xml:space="preserve"> جَاءَ بِهِ مِنْ عِنْدِ اللهِ - عَزَّ وَجَلَّ - مِنَ الْأُمَّةِ الَّتِي بُعِثَ فِيهَا وَمِنْهَا وَإِلَيْهَا قَبْلَ الْخَلْقِ </w:t>
      </w:r>
      <w:r w:rsidRPr="00D10E3C">
        <w:rPr>
          <w:rStyle w:val="libFootnotenumChar"/>
          <w:rtl/>
        </w:rPr>
        <w:t>(13)</w:t>
      </w:r>
      <w:r>
        <w:rPr>
          <w:rtl/>
          <w:lang w:bidi="fa-IR"/>
        </w:rPr>
        <w:t xml:space="preserve"> مِمَّنْ لَمْ يُشْرِكْ بِاللهِ قَطُّ ، وَلَمْ يَلْبِسْ إِيمَانَهُ بِظُلْمٍ </w:t>
      </w:r>
      <w:r w:rsidRPr="00D10E3C">
        <w:rPr>
          <w:rStyle w:val="libFootnotenumChar"/>
          <w:rtl/>
        </w:rPr>
        <w:t>(14)</w:t>
      </w:r>
      <w:r>
        <w:rPr>
          <w:rtl/>
          <w:lang w:bidi="fa-IR"/>
        </w:rPr>
        <w:t xml:space="preserve"> وَهُوَ الشِّرْكُ.</w:t>
      </w:r>
    </w:p>
    <w:p w:rsidR="00144FA6" w:rsidRDefault="00744A1C" w:rsidP="00744A1C">
      <w:pPr>
        <w:pStyle w:val="libNormal"/>
        <w:rPr>
          <w:rtl/>
          <w:lang w:bidi="fa-IR"/>
        </w:rPr>
      </w:pPr>
      <w:r>
        <w:rPr>
          <w:rtl/>
          <w:lang w:bidi="fa-IR"/>
        </w:rPr>
        <w:t xml:space="preserve">ثُمَّ ذَكَرَ أَتْبَاعَ نَبِيِّهِ </w:t>
      </w:r>
      <w:r w:rsidR="0017097C" w:rsidRPr="0017097C">
        <w:rPr>
          <w:rStyle w:val="libAlaemChar"/>
          <w:rtl/>
        </w:rPr>
        <w:t>صلى‌الله‌عليه‌وآله</w:t>
      </w:r>
      <w:r w:rsidR="00D10E3C">
        <w:rPr>
          <w:rtl/>
          <w:lang w:bidi="fa-IR"/>
        </w:rPr>
        <w:t xml:space="preserve"> </w:t>
      </w:r>
      <w:r>
        <w:rPr>
          <w:rtl/>
          <w:lang w:bidi="fa-IR"/>
        </w:rPr>
        <w:t xml:space="preserve"> وَأَتْبَاعَ هذِهِ الْأُمَّةِ الَّتِي وَصَفَهَا فِي كِتَابِهِ بِالْأَمْرِ بِالْمَعْرُوفِ وَالنَّهْيِ عَنِ الْمُنْكَرِ ، وَجَعَلَهَا دَاعِيَةً إِلَيْهِ ، وَأَذِنَ لَهَا </w:t>
      </w:r>
      <w:r w:rsidRPr="00D10E3C">
        <w:rPr>
          <w:rStyle w:val="libFootnotenumChar"/>
          <w:rtl/>
        </w:rPr>
        <w:t>(15)</w:t>
      </w:r>
      <w:r>
        <w:rPr>
          <w:rtl/>
          <w:lang w:bidi="fa-IR"/>
        </w:rPr>
        <w:t xml:space="preserve"> فِي الدُّعَاءِ إِلَيْهِ </w:t>
      </w:r>
      <w:r w:rsidRPr="00D10E3C">
        <w:rPr>
          <w:rStyle w:val="libFootnotenumChar"/>
          <w:rtl/>
        </w:rPr>
        <w:t>(16)</w:t>
      </w:r>
      <w:r>
        <w:rPr>
          <w:rtl/>
          <w:lang w:bidi="fa-IR"/>
        </w:rPr>
        <w:t xml:space="preserve"> ، فَقَالَ : </w:t>
      </w:r>
      <w:r w:rsidRPr="001A27C4">
        <w:rPr>
          <w:rStyle w:val="libAlaemChar"/>
          <w:rtl/>
        </w:rPr>
        <w:t>(</w:t>
      </w:r>
      <w:r w:rsidRPr="001A27C4">
        <w:rPr>
          <w:rStyle w:val="libAieChar"/>
          <w:rtl/>
        </w:rPr>
        <w:t xml:space="preserve"> يا أَيُّهَا</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1A27C4" w:rsidTr="001A27C4">
        <w:tc>
          <w:tcPr>
            <w:tcW w:w="4006" w:type="dxa"/>
          </w:tcPr>
          <w:p w:rsidR="001A27C4" w:rsidRDefault="001A27C4" w:rsidP="00E378DD">
            <w:pPr>
              <w:pStyle w:val="libFootnote0"/>
              <w:rPr>
                <w:rtl/>
                <w:lang w:bidi="fa-IR"/>
              </w:rPr>
            </w:pPr>
            <w:r>
              <w:rPr>
                <w:rtl/>
                <w:lang w:bidi="fa-IR"/>
              </w:rPr>
              <w:t>(1). آل عمران (3) : 104.</w:t>
            </w:r>
          </w:p>
        </w:tc>
        <w:tc>
          <w:tcPr>
            <w:tcW w:w="4006" w:type="dxa"/>
          </w:tcPr>
          <w:p w:rsidR="001A27C4" w:rsidRDefault="001A27C4" w:rsidP="00E378DD">
            <w:pPr>
              <w:pStyle w:val="libFootnote0"/>
              <w:rPr>
                <w:rtl/>
                <w:lang w:bidi="fa-IR"/>
              </w:rPr>
            </w:pPr>
            <w:r>
              <w:rPr>
                <w:rtl/>
                <w:lang w:bidi="fa-IR"/>
              </w:rPr>
              <w:t>(2). في حاشية « جت » : « الآية ».</w:t>
            </w:r>
          </w:p>
        </w:tc>
      </w:tr>
      <w:tr w:rsidR="001A27C4" w:rsidTr="001A27C4">
        <w:tc>
          <w:tcPr>
            <w:tcW w:w="4006" w:type="dxa"/>
          </w:tcPr>
          <w:p w:rsidR="001A27C4" w:rsidRDefault="001A27C4" w:rsidP="00E378DD">
            <w:pPr>
              <w:pStyle w:val="libFootnote0"/>
              <w:rPr>
                <w:rtl/>
                <w:lang w:bidi="fa-IR"/>
              </w:rPr>
            </w:pPr>
            <w:r>
              <w:rPr>
                <w:rtl/>
                <w:lang w:bidi="fa-IR"/>
              </w:rPr>
              <w:t xml:space="preserve">(3). في </w:t>
            </w:r>
            <w:r w:rsidRPr="001A27C4">
              <w:rPr>
                <w:rtl/>
              </w:rPr>
              <w:t>الوسائل</w:t>
            </w:r>
            <w:r>
              <w:rPr>
                <w:rtl/>
                <w:lang w:bidi="fa-IR"/>
              </w:rPr>
              <w:t xml:space="preserve"> : - « من ».</w:t>
            </w:r>
          </w:p>
        </w:tc>
        <w:tc>
          <w:tcPr>
            <w:tcW w:w="4006" w:type="dxa"/>
          </w:tcPr>
          <w:p w:rsidR="001A27C4" w:rsidRDefault="001A27C4" w:rsidP="00E378DD">
            <w:pPr>
              <w:pStyle w:val="libFootnote0"/>
              <w:rPr>
                <w:rtl/>
                <w:lang w:bidi="fa-IR"/>
              </w:rPr>
            </w:pPr>
            <w:r>
              <w:rPr>
                <w:rtl/>
                <w:lang w:bidi="fa-IR"/>
              </w:rPr>
              <w:t>(4). في « ى » : « ومن ».</w:t>
            </w:r>
          </w:p>
        </w:tc>
      </w:tr>
    </w:tbl>
    <w:p w:rsidR="00744A1C" w:rsidRDefault="00E378DD" w:rsidP="001A27C4">
      <w:pPr>
        <w:pStyle w:val="libFootnote0"/>
        <w:rPr>
          <w:lang w:bidi="fa-IR"/>
        </w:rPr>
      </w:pPr>
      <w:r>
        <w:rPr>
          <w:rtl/>
          <w:lang w:bidi="fa-IR"/>
        </w:rPr>
        <w:t>(5).</w:t>
      </w:r>
      <w:r w:rsidR="00744A1C">
        <w:rPr>
          <w:rtl/>
          <w:lang w:bidi="fa-IR"/>
        </w:rPr>
        <w:t xml:space="preserve"> اشارة إلى الآية (33) من سورة الأحزاب (33) : </w:t>
      </w:r>
      <w:r w:rsidR="00744A1C" w:rsidRPr="001A27C4">
        <w:rPr>
          <w:rStyle w:val="libFootnoteAlaemChar"/>
          <w:rtl/>
        </w:rPr>
        <w:t>(</w:t>
      </w:r>
      <w:r w:rsidR="00744A1C" w:rsidRPr="001A27C4">
        <w:rPr>
          <w:rStyle w:val="libFootnoteAieChar"/>
          <w:rtl/>
        </w:rPr>
        <w:t xml:space="preserve"> إِنَّما يُرِيدُ اللهُ لِيُذْهِبَ عَنْكُمُ الرِّجْسَ أَهْلَ الْبَيْتِ وَيُطَهِّرَكُمْ تَطْهِيراً </w:t>
      </w:r>
      <w:r w:rsidR="00744A1C" w:rsidRPr="001A27C4">
        <w:rPr>
          <w:rStyle w:val="libFootnoteAlaemChar"/>
          <w:rtl/>
        </w:rPr>
        <w:t>)</w:t>
      </w:r>
      <w:r w:rsidR="00744A1C">
        <w:rPr>
          <w:rtl/>
          <w:lang w:bidi="fa-IR"/>
        </w:rPr>
        <w:t>.</w:t>
      </w:r>
      <w:r w:rsidR="001A27C4">
        <w:rPr>
          <w:rFonts w:hint="cs"/>
          <w:rtl/>
          <w:lang w:bidi="fa-IR"/>
        </w:rPr>
        <w:t xml:space="preserve">             </w:t>
      </w:r>
      <w:r w:rsidR="00EE40F1">
        <w:rPr>
          <w:rFonts w:hint="cs"/>
          <w:rtl/>
          <w:lang w:bidi="fa-IR"/>
        </w:rPr>
        <w:t xml:space="preserve">                            </w:t>
      </w:r>
      <w:r w:rsidR="001A27C4">
        <w:rPr>
          <w:rFonts w:hint="cs"/>
          <w:rtl/>
          <w:lang w:bidi="fa-IR"/>
        </w:rPr>
        <w:t xml:space="preserve">       </w:t>
      </w:r>
      <w:r w:rsidR="0044217E">
        <w:rPr>
          <w:rFonts w:hint="cs"/>
          <w:rtl/>
          <w:lang w:bidi="fa-IR"/>
        </w:rPr>
        <w:t xml:space="preserve"> </w:t>
      </w:r>
      <w:r>
        <w:rPr>
          <w:rtl/>
          <w:lang w:bidi="fa-IR"/>
        </w:rPr>
        <w:t>(6).</w:t>
      </w:r>
      <w:r w:rsidR="00744A1C">
        <w:rPr>
          <w:rtl/>
          <w:lang w:bidi="fa-IR"/>
        </w:rPr>
        <w:t xml:space="preserve"> في </w:t>
      </w:r>
      <w:r w:rsidR="00744A1C" w:rsidRPr="00C24F9C">
        <w:rPr>
          <w:rStyle w:val="libFootnoteBoldChar"/>
          <w:rtl/>
        </w:rPr>
        <w:t>الوسائل</w:t>
      </w:r>
      <w:r w:rsidR="00744A1C">
        <w:rPr>
          <w:rtl/>
          <w:lang w:bidi="fa-IR"/>
        </w:rPr>
        <w:t xml:space="preserve"> : « هذه ».</w:t>
      </w:r>
    </w:p>
    <w:p w:rsidR="00744A1C" w:rsidRDefault="00E378DD" w:rsidP="001D136F">
      <w:pPr>
        <w:pStyle w:val="libFootnote0"/>
        <w:rPr>
          <w:lang w:bidi="fa-IR"/>
        </w:rPr>
      </w:pPr>
      <w:r>
        <w:rPr>
          <w:rtl/>
          <w:lang w:bidi="fa-IR"/>
        </w:rPr>
        <w:t>(7).</w:t>
      </w:r>
      <w:r w:rsidR="00744A1C">
        <w:rPr>
          <w:rtl/>
          <w:lang w:bidi="fa-IR"/>
        </w:rPr>
        <w:t xml:space="preserve"> هكذا في « بث ، بس ، بف » وحاشية « ى ، بح ، جت ، جن » </w:t>
      </w:r>
      <w:r w:rsidR="00744A1C" w:rsidRPr="001D136F">
        <w:rPr>
          <w:rtl/>
        </w:rPr>
        <w:t>والوافي والتهذيب. وفي</w:t>
      </w:r>
      <w:r w:rsidR="00744A1C">
        <w:rPr>
          <w:rtl/>
          <w:lang w:bidi="fa-IR"/>
        </w:rPr>
        <w:t xml:space="preserve"> سائر النسخ والمطبوع : « ا</w:t>
      </w:r>
      <w:r w:rsidR="001D136F">
        <w:rPr>
          <w:rFonts w:hint="cs"/>
          <w:rtl/>
          <w:lang w:bidi="fa-IR"/>
        </w:rPr>
        <w:t>ُ</w:t>
      </w:r>
      <w:r w:rsidR="00744A1C">
        <w:rPr>
          <w:rtl/>
          <w:lang w:bidi="fa-IR"/>
        </w:rPr>
        <w:t xml:space="preserve">مّة إبراهيم </w:t>
      </w:r>
      <w:r w:rsidR="0061079A" w:rsidRPr="0061079A">
        <w:rPr>
          <w:rStyle w:val="libFootnoteAlaemChar"/>
          <w:rtl/>
        </w:rPr>
        <w:t>عليه‌السلام</w:t>
      </w:r>
      <w:r w:rsidR="00D10E3C">
        <w:rPr>
          <w:rtl/>
          <w:lang w:bidi="fa-IR"/>
        </w:rPr>
        <w:t xml:space="preserve"> </w:t>
      </w:r>
      <w:r w:rsidR="00744A1C">
        <w:rPr>
          <w:rtl/>
          <w:lang w:bidi="fa-IR"/>
        </w:rPr>
        <w:t>».</w:t>
      </w:r>
      <w:r w:rsidR="00EE40F1">
        <w:rPr>
          <w:rFonts w:hint="cs"/>
          <w:rtl/>
          <w:lang w:bidi="fa-IR"/>
        </w:rPr>
        <w:t xml:space="preserve">                         </w:t>
      </w:r>
      <w:r w:rsidR="001D136F">
        <w:rPr>
          <w:rFonts w:hint="cs"/>
          <w:rtl/>
          <w:lang w:bidi="fa-IR"/>
        </w:rPr>
        <w:t xml:space="preserve">         </w:t>
      </w:r>
      <w:r w:rsidR="0044217E">
        <w:rPr>
          <w:rFonts w:hint="cs"/>
          <w:rtl/>
          <w:lang w:bidi="fa-IR"/>
        </w:rPr>
        <w:t xml:space="preserve"> </w:t>
      </w:r>
      <w:r w:rsidR="001D136F">
        <w:rPr>
          <w:rFonts w:hint="cs"/>
          <w:rtl/>
          <w:lang w:bidi="fa-IR"/>
        </w:rPr>
        <w:t xml:space="preserve"> </w:t>
      </w: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في كتابه بقوله » بدل « في قوله ».</w:t>
      </w:r>
    </w:p>
    <w:p w:rsidR="00744A1C" w:rsidRDefault="00E378DD" w:rsidP="00E378DD">
      <w:pPr>
        <w:pStyle w:val="libFootnote0"/>
        <w:rPr>
          <w:lang w:bidi="fa-IR"/>
        </w:rPr>
      </w:pPr>
      <w:r>
        <w:rPr>
          <w:rtl/>
          <w:lang w:bidi="fa-IR"/>
        </w:rPr>
        <w:t>(9).</w:t>
      </w:r>
      <w:r w:rsidR="00744A1C">
        <w:rPr>
          <w:rtl/>
          <w:lang w:bidi="fa-IR"/>
        </w:rPr>
        <w:t xml:space="preserve"> أي أدعو إلى توحيد الله وعدله ودينه على يقين ومعرفة وحجّة قاطعة وبيان واضح غيرعمياء ، لا على وجه التقليد. راجع : الكشّاف ، ج 2 ، ص 346 ؛ مجمع البيان ، ج 5 ، ص 464.</w:t>
      </w:r>
    </w:p>
    <w:tbl>
      <w:tblPr>
        <w:tblStyle w:val="TableGrid"/>
        <w:bidiVisual/>
        <w:tblW w:w="0" w:type="auto"/>
        <w:tblLook w:val="04A0" w:firstRow="1" w:lastRow="0" w:firstColumn="1" w:lastColumn="0" w:noHBand="0" w:noVBand="1"/>
      </w:tblPr>
      <w:tblGrid>
        <w:gridCol w:w="4006"/>
        <w:gridCol w:w="4006"/>
      </w:tblGrid>
      <w:tr w:rsidR="0044217E" w:rsidTr="0044217E">
        <w:tc>
          <w:tcPr>
            <w:tcW w:w="4006" w:type="dxa"/>
          </w:tcPr>
          <w:p w:rsidR="0044217E" w:rsidRDefault="0044217E" w:rsidP="00E378DD">
            <w:pPr>
              <w:pStyle w:val="libFootnote0"/>
              <w:rPr>
                <w:rtl/>
                <w:lang w:bidi="fa-IR"/>
              </w:rPr>
            </w:pPr>
            <w:r>
              <w:rPr>
                <w:rtl/>
                <w:lang w:bidi="fa-IR"/>
              </w:rPr>
              <w:t>(10). يوسف (12) : 108.</w:t>
            </w:r>
          </w:p>
        </w:tc>
        <w:tc>
          <w:tcPr>
            <w:tcW w:w="4006" w:type="dxa"/>
          </w:tcPr>
          <w:p w:rsidR="0044217E" w:rsidRDefault="0044217E" w:rsidP="00E378DD">
            <w:pPr>
              <w:pStyle w:val="libFootnote0"/>
              <w:rPr>
                <w:rtl/>
                <w:lang w:bidi="fa-IR"/>
              </w:rPr>
            </w:pPr>
            <w:r>
              <w:rPr>
                <w:rtl/>
                <w:lang w:bidi="fa-IR"/>
              </w:rPr>
              <w:t>(11). في حاشية « بث » : « برسوله ».</w:t>
            </w:r>
          </w:p>
        </w:tc>
      </w:tr>
    </w:tbl>
    <w:p w:rsidR="00744A1C" w:rsidRDefault="00E378DD" w:rsidP="00E378DD">
      <w:pPr>
        <w:pStyle w:val="libFootnote0"/>
        <w:rPr>
          <w:lang w:bidi="fa-IR"/>
        </w:rPr>
      </w:pPr>
      <w:r>
        <w:rPr>
          <w:rtl/>
          <w:lang w:bidi="fa-IR"/>
        </w:rPr>
        <w:t>(12).</w:t>
      </w:r>
      <w:r w:rsidR="00744A1C">
        <w:rPr>
          <w:rtl/>
          <w:lang w:bidi="fa-IR"/>
        </w:rPr>
        <w:t xml:space="preserve"> هكذا في جميع النسخ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وفي المطبوع و</w:t>
      </w:r>
      <w:r w:rsidR="00744A1C" w:rsidRPr="00C24F9C">
        <w:rPr>
          <w:rStyle w:val="libFootnoteBoldChar"/>
          <w:rtl/>
        </w:rPr>
        <w:t>الوسائل</w:t>
      </w:r>
      <w:r w:rsidR="00744A1C">
        <w:rPr>
          <w:rtl/>
          <w:lang w:bidi="fa-IR"/>
        </w:rPr>
        <w:t xml:space="preserve"> : « بما » بدون الواو.</w:t>
      </w:r>
    </w:p>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قبل الخلق ، متعلّق بقوله : من اتّبعه ».</w:t>
      </w:r>
    </w:p>
    <w:p w:rsidR="00744A1C" w:rsidRDefault="00E378DD" w:rsidP="00E378DD">
      <w:pPr>
        <w:pStyle w:val="libFootnote0"/>
        <w:rPr>
          <w:lang w:bidi="fa-IR"/>
        </w:rPr>
      </w:pPr>
      <w:r>
        <w:rPr>
          <w:rtl/>
          <w:lang w:bidi="fa-IR"/>
        </w:rPr>
        <w:t>(14).</w:t>
      </w:r>
      <w:r w:rsidR="00744A1C">
        <w:rPr>
          <w:rtl/>
          <w:lang w:bidi="fa-IR"/>
        </w:rPr>
        <w:t xml:space="preserve"> إشارة إلى الآية 82 من سورة الأنعام </w:t>
      </w:r>
      <w:r w:rsidR="0044217E">
        <w:rPr>
          <w:rtl/>
          <w:lang w:bidi="fa-IR"/>
        </w:rPr>
        <w:t>(6)</w:t>
      </w:r>
      <w:r w:rsidR="00744A1C">
        <w:rPr>
          <w:rtl/>
          <w:lang w:bidi="fa-IR"/>
        </w:rPr>
        <w:t xml:space="preserve"> : </w:t>
      </w:r>
      <w:r w:rsidR="00744A1C" w:rsidRPr="0044217E">
        <w:rPr>
          <w:rStyle w:val="libFootnoteAlaemChar"/>
          <w:rtl/>
        </w:rPr>
        <w:t>(</w:t>
      </w:r>
      <w:r w:rsidR="00744A1C" w:rsidRPr="0044217E">
        <w:rPr>
          <w:rStyle w:val="libFootnoteAieChar"/>
          <w:rtl/>
        </w:rPr>
        <w:t xml:space="preserve"> الَّذِينَ آمَنُوا وَلَمْ يَلْبِسُوا إِيمانَهُمْ بِظُلْمٍ </w:t>
      </w:r>
      <w:r w:rsidR="00744A1C" w:rsidRPr="0044217E">
        <w:rPr>
          <w:rStyle w:val="libFootnoteAlaemChar"/>
          <w:rtl/>
        </w:rPr>
        <w:t>)</w:t>
      </w:r>
      <w:r w:rsidR="00744A1C">
        <w:rPr>
          <w:rtl/>
          <w:lang w:bidi="fa-IR"/>
        </w:rPr>
        <w:t>.</w:t>
      </w:r>
    </w:p>
    <w:p w:rsidR="00744A1C" w:rsidRDefault="00E378DD" w:rsidP="00E378DD">
      <w:pPr>
        <w:pStyle w:val="libFootnote0"/>
        <w:rPr>
          <w:lang w:bidi="fa-IR"/>
        </w:rPr>
      </w:pPr>
      <w:r>
        <w:rPr>
          <w:rtl/>
          <w:lang w:bidi="fa-IR"/>
        </w:rPr>
        <w:t>(15).</w:t>
      </w:r>
      <w:r w:rsidR="00744A1C">
        <w:rPr>
          <w:rtl/>
          <w:lang w:bidi="fa-IR"/>
        </w:rPr>
        <w:t xml:space="preserve"> في « ى ، بث ، بس ، جت ، جن » </w:t>
      </w:r>
      <w:r w:rsidR="00744A1C" w:rsidRPr="00710F1E">
        <w:rPr>
          <w:rtl/>
        </w:rPr>
        <w:t>والوافي والوسائل والتهذيب</w:t>
      </w:r>
      <w:r w:rsidR="00744A1C">
        <w:rPr>
          <w:rtl/>
          <w:lang w:bidi="fa-IR"/>
        </w:rPr>
        <w:t xml:space="preserve"> : « له ».</w:t>
      </w:r>
    </w:p>
    <w:p w:rsidR="00744A1C" w:rsidRDefault="00744A1C" w:rsidP="00D10E3C">
      <w:pPr>
        <w:pStyle w:val="libFootnote0"/>
        <w:rPr>
          <w:lang w:bidi="fa-IR"/>
        </w:rPr>
      </w:pPr>
      <w:r>
        <w:rPr>
          <w:rtl/>
          <w:lang w:bidi="fa-IR"/>
        </w:rPr>
        <w:t>(16) في « جن » : « إلى الله ».</w:t>
      </w:r>
    </w:p>
    <w:p w:rsidR="006A5060" w:rsidRDefault="006A5060" w:rsidP="00D10E3C">
      <w:pPr>
        <w:pStyle w:val="libNormal"/>
        <w:rPr>
          <w:rtl/>
          <w:lang w:bidi="fa-IR"/>
        </w:rPr>
      </w:pPr>
      <w:r>
        <w:rPr>
          <w:rtl/>
          <w:lang w:bidi="fa-IR"/>
        </w:rPr>
        <w:br w:type="page"/>
      </w:r>
    </w:p>
    <w:p w:rsidR="00744A1C" w:rsidRDefault="00744A1C" w:rsidP="00710F1E">
      <w:pPr>
        <w:pStyle w:val="libNormal0"/>
        <w:rPr>
          <w:lang w:bidi="fa-IR"/>
        </w:rPr>
      </w:pPr>
      <w:r w:rsidRPr="00710F1E">
        <w:rPr>
          <w:rStyle w:val="libAieChar"/>
          <w:rtl/>
        </w:rPr>
        <w:lastRenderedPageBreak/>
        <w:t>النَّبِيُّ حَسْبُكَ</w:t>
      </w:r>
      <w:r>
        <w:rPr>
          <w:rtl/>
          <w:lang w:bidi="fa-IR"/>
        </w:rPr>
        <w:t xml:space="preserve"> </w:t>
      </w:r>
      <w:r w:rsidRPr="00D10E3C">
        <w:rPr>
          <w:rStyle w:val="libFootnotenumChar"/>
          <w:rtl/>
        </w:rPr>
        <w:t>(1)</w:t>
      </w:r>
      <w:r w:rsidRPr="00710F1E">
        <w:rPr>
          <w:rStyle w:val="libAieChar"/>
          <w:rtl/>
        </w:rPr>
        <w:t xml:space="preserve"> اللهُ وَمَنِ اتَّبَعَكَ مِنَ الْمُؤْمِنِينَ</w:t>
      </w:r>
      <w:r>
        <w:rPr>
          <w:rtl/>
          <w:lang w:bidi="fa-IR"/>
        </w:rPr>
        <w:t xml:space="preserve"> </w:t>
      </w:r>
      <w:r w:rsidRPr="00710F1E">
        <w:rPr>
          <w:rStyle w:val="libAlaemChar"/>
          <w:rtl/>
        </w:rPr>
        <w:t>)</w:t>
      </w:r>
      <w:r>
        <w:rPr>
          <w:rtl/>
          <w:lang w:bidi="fa-IR"/>
        </w:rPr>
        <w:t xml:space="preserve"> </w:t>
      </w:r>
      <w:r w:rsidRPr="00D10E3C">
        <w:rPr>
          <w:rStyle w:val="libFootnotenumChar"/>
          <w:rtl/>
        </w:rPr>
        <w:t>(2)</w:t>
      </w:r>
      <w:r>
        <w:rPr>
          <w:rtl/>
          <w:lang w:bidi="fa-IR"/>
        </w:rPr>
        <w:t xml:space="preserve"> ثُمَّ وَصَفَ أَتْبَاعَ نَبِيِّهِ </w:t>
      </w:r>
      <w:r w:rsidR="0017097C" w:rsidRPr="0017097C">
        <w:rPr>
          <w:rStyle w:val="libAlaemChar"/>
          <w:rtl/>
        </w:rPr>
        <w:t>صلى‌الله‌عليه‌وآله</w:t>
      </w:r>
      <w:r w:rsidR="00D10E3C">
        <w:rPr>
          <w:rtl/>
          <w:lang w:bidi="fa-IR"/>
        </w:rPr>
        <w:t xml:space="preserve"> </w:t>
      </w:r>
      <w:r>
        <w:rPr>
          <w:rtl/>
          <w:lang w:bidi="fa-IR"/>
        </w:rPr>
        <w:t xml:space="preserve">مِنَ الْمُؤْمِنِينَ ، فَقَالَ عَزَّ وَجَلَّ : </w:t>
      </w:r>
      <w:r w:rsidRPr="00710F1E">
        <w:rPr>
          <w:rStyle w:val="libAlaemChar"/>
          <w:rtl/>
        </w:rPr>
        <w:t>(</w:t>
      </w:r>
      <w:r w:rsidRPr="00710F1E">
        <w:rPr>
          <w:rStyle w:val="libAieChar"/>
          <w:rtl/>
        </w:rPr>
        <w:t xml:space="preserve"> مُحَمَّدٌ رَسُولُ اللهِ وَالَّذِينَ مَعَهُ أَشِدّاءُ عَلَى الْكُفّارِ رُحَماءُ بَيْنَهُمْ تَراهُمْ رُكَّعاً سُجَّداً يَبْتَغُونَ فَضْلاً مِنَ اللهِ وَرِضْواناً سِيماهُمْ فِي وُجُوهِهِمْ مِنْ أَثَرِ السُّجُودِ </w:t>
      </w:r>
      <w:r w:rsidRPr="00710F1E">
        <w:rPr>
          <w:rStyle w:val="libFootnotenumChar"/>
          <w:rtl/>
        </w:rPr>
        <w:t>(3)</w:t>
      </w:r>
      <w:r w:rsidRPr="00710F1E">
        <w:rPr>
          <w:rStyle w:val="libAieChar"/>
          <w:rtl/>
        </w:rPr>
        <w:t xml:space="preserve"> ذلِكَ مَثَلُهُمْ فِي التَّوْراةِ وَمَثَلُهُمْ فِي الْإِنْجِيلِ </w:t>
      </w:r>
      <w:r w:rsidRPr="00710F1E">
        <w:rPr>
          <w:rStyle w:val="libAlaemChar"/>
          <w:rtl/>
        </w:rPr>
        <w:t>)</w:t>
      </w:r>
      <w:r>
        <w:rPr>
          <w:rtl/>
          <w:lang w:bidi="fa-IR"/>
        </w:rPr>
        <w:t xml:space="preserve"> </w:t>
      </w:r>
      <w:r w:rsidRPr="00D10E3C">
        <w:rPr>
          <w:rStyle w:val="libFootnotenumChar"/>
          <w:rtl/>
        </w:rPr>
        <w:t>(4)</w:t>
      </w:r>
      <w:r>
        <w:rPr>
          <w:rtl/>
          <w:lang w:bidi="fa-IR"/>
        </w:rPr>
        <w:t xml:space="preserve"> وَقَالَ : </w:t>
      </w:r>
      <w:r w:rsidRPr="00710F1E">
        <w:rPr>
          <w:rStyle w:val="libAlaemChar"/>
          <w:rtl/>
        </w:rPr>
        <w:t>(</w:t>
      </w:r>
      <w:r w:rsidRPr="00710F1E">
        <w:rPr>
          <w:rStyle w:val="libAieChar"/>
          <w:rtl/>
        </w:rPr>
        <w:t xml:space="preserve"> يَوْمَ لا يُخْزِي اللهُ النَّبِيَّ وَالَّذِينَ آمَنُوا مَعَهُ نُورُهُمْ يَسْعى بَيْنَ أَيْدِيهِمْ وَبِأَيْمانِهِمْ </w:t>
      </w:r>
      <w:r w:rsidRPr="00710F1E">
        <w:rPr>
          <w:rStyle w:val="libAlaemChar"/>
          <w:rtl/>
        </w:rPr>
        <w:t>)</w:t>
      </w:r>
      <w:r>
        <w:rPr>
          <w:rtl/>
          <w:lang w:bidi="fa-IR"/>
        </w:rPr>
        <w:t xml:space="preserve"> </w:t>
      </w:r>
      <w:r w:rsidRPr="00D10E3C">
        <w:rPr>
          <w:rStyle w:val="libFootnotenumChar"/>
          <w:rtl/>
        </w:rPr>
        <w:t>(5)</w:t>
      </w:r>
      <w:r>
        <w:rPr>
          <w:rtl/>
          <w:lang w:bidi="fa-IR"/>
        </w:rPr>
        <w:t xml:space="preserve"> يَعْنِي أُولئِكَ الْمُؤْمِنِينَ ، وَقَالَ : </w:t>
      </w:r>
      <w:r w:rsidRPr="00894E56">
        <w:rPr>
          <w:rStyle w:val="libAlaemChar"/>
          <w:rtl/>
        </w:rPr>
        <w:t>(</w:t>
      </w:r>
      <w:r w:rsidRPr="00894E56">
        <w:rPr>
          <w:rStyle w:val="libAieChar"/>
          <w:rtl/>
        </w:rPr>
        <w:t xml:space="preserve"> قَدْ أَفْلَحَ الْمُؤْمِنُونَ </w:t>
      </w:r>
      <w:r w:rsidRPr="00894E56">
        <w:rPr>
          <w:rStyle w:val="libAlaemChar"/>
          <w:rtl/>
        </w:rPr>
        <w:t>)</w:t>
      </w:r>
      <w:r>
        <w:rPr>
          <w:rtl/>
          <w:lang w:bidi="fa-IR"/>
        </w:rPr>
        <w:t xml:space="preserve"> </w:t>
      </w:r>
      <w:r w:rsidRPr="00D10E3C">
        <w:rPr>
          <w:rStyle w:val="libFootnotenumChar"/>
          <w:rtl/>
        </w:rPr>
        <w:t>(6)</w:t>
      </w:r>
    </w:p>
    <w:p w:rsidR="00144FA6" w:rsidRDefault="00894E56" w:rsidP="00744A1C">
      <w:pPr>
        <w:pStyle w:val="libNormal"/>
        <w:rPr>
          <w:rtl/>
          <w:lang w:bidi="fa-IR"/>
        </w:rPr>
      </w:pPr>
      <w:r>
        <w:rPr>
          <w:rtl/>
          <w:lang w:bidi="fa-IR"/>
        </w:rPr>
        <w:t>ثُمَّ حَل</w:t>
      </w:r>
      <w:r>
        <w:rPr>
          <w:rFonts w:hint="cs"/>
          <w:rtl/>
          <w:lang w:bidi="fa-IR"/>
        </w:rPr>
        <w:t>َّ</w:t>
      </w:r>
      <w:r>
        <w:rPr>
          <w:rtl/>
          <w:lang w:bidi="fa-IR"/>
        </w:rPr>
        <w:t>ا</w:t>
      </w:r>
      <w:r w:rsidR="00744A1C">
        <w:rPr>
          <w:rtl/>
          <w:lang w:bidi="fa-IR"/>
        </w:rPr>
        <w:t>هُمْ وَ</w:t>
      </w:r>
      <w:r>
        <w:rPr>
          <w:rFonts w:hint="cs"/>
          <w:rtl/>
          <w:lang w:bidi="fa-IR"/>
        </w:rPr>
        <w:t xml:space="preserve"> </w:t>
      </w:r>
      <w:r w:rsidR="00744A1C">
        <w:rPr>
          <w:rtl/>
          <w:lang w:bidi="fa-IR"/>
        </w:rPr>
        <w:t>وَصَفَهُمْ كَيْ لَايَطْم</w:t>
      </w:r>
      <w:r>
        <w:rPr>
          <w:rtl/>
          <w:lang w:bidi="fa-IR"/>
        </w:rPr>
        <w:t>َعَ فِي اللِّحَاقِ بِهِمْ إِل</w:t>
      </w:r>
      <w:r>
        <w:rPr>
          <w:rFonts w:hint="cs"/>
          <w:rtl/>
          <w:lang w:bidi="fa-IR"/>
        </w:rPr>
        <w:t>َّ</w:t>
      </w:r>
      <w:r>
        <w:rPr>
          <w:rtl/>
          <w:lang w:bidi="fa-IR"/>
        </w:rPr>
        <w:t>ا</w:t>
      </w:r>
      <w:r w:rsidR="00744A1C">
        <w:rPr>
          <w:rtl/>
          <w:lang w:bidi="fa-IR"/>
        </w:rPr>
        <w:t xml:space="preserve"> مَنْ كَانَ </w:t>
      </w:r>
      <w:r>
        <w:rPr>
          <w:rtl/>
          <w:lang w:bidi="fa-IR"/>
        </w:rPr>
        <w:t>مِنْهُمْ ، فَقَالَ فِيمَا حَل</w:t>
      </w:r>
      <w:r>
        <w:rPr>
          <w:rFonts w:hint="cs"/>
          <w:rtl/>
          <w:lang w:bidi="fa-IR"/>
        </w:rPr>
        <w:t>َّ</w:t>
      </w:r>
      <w:r>
        <w:rPr>
          <w:rtl/>
          <w:lang w:bidi="fa-IR"/>
        </w:rPr>
        <w:t>ا</w:t>
      </w:r>
      <w:r w:rsidR="00744A1C">
        <w:rPr>
          <w:rtl/>
          <w:lang w:bidi="fa-IR"/>
        </w:rPr>
        <w:t>هُمْ بِهِ وَ</w:t>
      </w:r>
      <w:r>
        <w:rPr>
          <w:rFonts w:hint="cs"/>
          <w:rtl/>
          <w:lang w:bidi="fa-IR"/>
        </w:rPr>
        <w:t xml:space="preserve"> </w:t>
      </w:r>
      <w:r w:rsidR="00744A1C">
        <w:rPr>
          <w:rtl/>
          <w:lang w:bidi="fa-IR"/>
        </w:rPr>
        <w:t xml:space="preserve">وَصَفَهُمْ : </w:t>
      </w:r>
      <w:r w:rsidR="00744A1C" w:rsidRPr="00894E56">
        <w:rPr>
          <w:rStyle w:val="libAlaemChar"/>
          <w:rtl/>
        </w:rPr>
        <w:t>(</w:t>
      </w:r>
      <w:r w:rsidR="00744A1C" w:rsidRPr="00894E56">
        <w:rPr>
          <w:rStyle w:val="libAieChar"/>
          <w:rtl/>
        </w:rPr>
        <w:t xml:space="preserve"> الَّذِينَ هُمْ فِي صَل</w:t>
      </w:r>
      <w:r w:rsidRPr="00894E56">
        <w:rPr>
          <w:rStyle w:val="libAieChar"/>
          <w:rFonts w:hint="cs"/>
          <w:rtl/>
        </w:rPr>
        <w:t>َ</w:t>
      </w:r>
      <w:r w:rsidR="00744A1C" w:rsidRPr="00894E56">
        <w:rPr>
          <w:rStyle w:val="libAieChar"/>
          <w:rtl/>
        </w:rPr>
        <w:t xml:space="preserve">اتِهِمْ خاشِعُونَ </w:t>
      </w:r>
      <w:r w:rsidRPr="00894E56">
        <w:rPr>
          <w:rStyle w:val="libAieChar"/>
          <w:rFonts w:hint="cs"/>
          <w:rtl/>
        </w:rPr>
        <w:t xml:space="preserve">* </w:t>
      </w:r>
      <w:r w:rsidR="00744A1C" w:rsidRPr="00894E56">
        <w:rPr>
          <w:rStyle w:val="libAieChar"/>
          <w:rtl/>
        </w:rPr>
        <w:t xml:space="preserve">وَالَّذِينَ هُمْ عَنِ اللَّغْوِ مُعْرِضُونَ </w:t>
      </w:r>
      <w:r w:rsidR="00744A1C" w:rsidRPr="00894E56">
        <w:rPr>
          <w:rStyle w:val="libAlaemChar"/>
          <w:rtl/>
        </w:rPr>
        <w:t>)</w:t>
      </w:r>
      <w:r w:rsidR="00744A1C">
        <w:rPr>
          <w:rtl/>
          <w:lang w:bidi="fa-IR"/>
        </w:rPr>
        <w:t xml:space="preserve"> إِلى‌ قَوْلِهِ : </w:t>
      </w:r>
      <w:r w:rsidR="00744A1C" w:rsidRPr="00894E56">
        <w:rPr>
          <w:rStyle w:val="libAlaemChar"/>
          <w:rtl/>
        </w:rPr>
        <w:t>(</w:t>
      </w:r>
      <w:r w:rsidR="00744A1C">
        <w:rPr>
          <w:rtl/>
          <w:lang w:bidi="fa-IR"/>
        </w:rPr>
        <w:t xml:space="preserve"> </w:t>
      </w:r>
      <w:r w:rsidR="00744A1C" w:rsidRPr="00894E56">
        <w:rPr>
          <w:rStyle w:val="libAieChar"/>
          <w:rtl/>
        </w:rPr>
        <w:t xml:space="preserve">أُولئِكَ هُمُ الْوارِثُونَ </w:t>
      </w:r>
      <w:r>
        <w:rPr>
          <w:rStyle w:val="libAieChar"/>
          <w:rFonts w:hint="cs"/>
          <w:rtl/>
        </w:rPr>
        <w:t xml:space="preserve">* </w:t>
      </w:r>
      <w:r w:rsidR="00744A1C" w:rsidRPr="00894E56">
        <w:rPr>
          <w:rStyle w:val="libAieChar"/>
          <w:rtl/>
        </w:rPr>
        <w:t xml:space="preserve">الَّذِينَ يَرِثُونَ الْفِرْدَوْسَ هُمْ فِيها </w:t>
      </w:r>
      <w:r w:rsidR="00744A1C" w:rsidRPr="00894E56">
        <w:rPr>
          <w:rStyle w:val="libFootnotenumChar"/>
          <w:rtl/>
        </w:rPr>
        <w:t>(7)</w:t>
      </w:r>
      <w:r w:rsidR="00744A1C" w:rsidRPr="00894E56">
        <w:rPr>
          <w:rStyle w:val="libAieChar"/>
          <w:rtl/>
        </w:rPr>
        <w:t xml:space="preserve"> خالِدُونَ </w:t>
      </w:r>
      <w:r w:rsidR="00744A1C" w:rsidRPr="00894E56">
        <w:rPr>
          <w:rStyle w:val="libAlaemChar"/>
          <w:rtl/>
        </w:rPr>
        <w:t>)</w:t>
      </w:r>
      <w:r w:rsidR="00744A1C">
        <w:rPr>
          <w:rtl/>
          <w:lang w:bidi="fa-IR"/>
        </w:rPr>
        <w:t xml:space="preserve"> </w:t>
      </w:r>
      <w:r w:rsidR="00744A1C" w:rsidRPr="00D10E3C">
        <w:rPr>
          <w:rStyle w:val="libFootnotenumChar"/>
          <w:rtl/>
        </w:rPr>
        <w:t>(8)</w:t>
      </w:r>
      <w:r w:rsidR="00744A1C">
        <w:rPr>
          <w:rtl/>
          <w:lang w:bidi="fa-IR"/>
        </w:rPr>
        <w:t xml:space="preserve"> وَقَالَ فِي صِفَتِهِمْ وَحِلْيَتِهِمْ أَيْضاً : </w:t>
      </w:r>
      <w:r w:rsidR="00744A1C" w:rsidRPr="00894E56">
        <w:rPr>
          <w:rStyle w:val="libAlaemChar"/>
          <w:rtl/>
        </w:rPr>
        <w:t>(</w:t>
      </w:r>
      <w:r w:rsidR="00744A1C" w:rsidRPr="00894E56">
        <w:rPr>
          <w:rStyle w:val="libAieChar"/>
          <w:rtl/>
        </w:rPr>
        <w:t xml:space="preserve"> الَّذِينَ لا يَدْعُونَ مَعَ اللهِ إِلهاً آخَرَ وَلا يَقْتُلُونَ النَّ</w:t>
      </w:r>
      <w:r w:rsidRPr="00894E56">
        <w:rPr>
          <w:rStyle w:val="libAieChar"/>
          <w:rtl/>
        </w:rPr>
        <w:t>فْسَ الَّتِي حَرَّمَ اللهُ إِل</w:t>
      </w:r>
      <w:r w:rsidRPr="00894E56">
        <w:rPr>
          <w:rStyle w:val="libAieChar"/>
          <w:rFonts w:hint="cs"/>
          <w:rtl/>
        </w:rPr>
        <w:t>ّ</w:t>
      </w:r>
      <w:r>
        <w:rPr>
          <w:rStyle w:val="libAieChar"/>
          <w:rFonts w:hint="cs"/>
          <w:rtl/>
        </w:rPr>
        <w:t>َ</w:t>
      </w:r>
      <w:r w:rsidRPr="00894E56">
        <w:rPr>
          <w:rStyle w:val="libAieChar"/>
          <w:rtl/>
        </w:rPr>
        <w:t>ا</w:t>
      </w:r>
      <w:r w:rsidR="00744A1C" w:rsidRPr="00894E56">
        <w:rPr>
          <w:rStyle w:val="libAieChar"/>
          <w:rtl/>
        </w:rPr>
        <w:t xml:space="preserve"> بِالْحَقِّ وَلا يَزْنُونَ وَمَنْ يَفْعَلْ ذلِكَ يَلْقَ أَثاماً </w:t>
      </w:r>
      <w:r w:rsidR="00744A1C" w:rsidRPr="00894E56">
        <w:rPr>
          <w:rStyle w:val="libFootnotenumChar"/>
          <w:rtl/>
        </w:rPr>
        <w:t>(9)</w:t>
      </w:r>
      <w:r w:rsidR="00744A1C" w:rsidRPr="00894E56">
        <w:rPr>
          <w:rStyle w:val="libAieChar"/>
          <w:rtl/>
        </w:rPr>
        <w:t xml:space="preserve"> </w:t>
      </w:r>
      <w:r>
        <w:rPr>
          <w:rStyle w:val="libAieChar"/>
          <w:rFonts w:hint="cs"/>
          <w:rtl/>
        </w:rPr>
        <w:t xml:space="preserve">* </w:t>
      </w:r>
      <w:r w:rsidR="00744A1C" w:rsidRPr="00894E56">
        <w:rPr>
          <w:rStyle w:val="libAieChar"/>
          <w:rtl/>
        </w:rPr>
        <w:t xml:space="preserve">يُضاعَفْ لَهُ الْعَذابُ يَوْمَ الْقِيامَةِ وَيَخْلُدْ فِيهِ مُهاناً </w:t>
      </w:r>
      <w:r w:rsidR="00744A1C" w:rsidRPr="00894E56">
        <w:rPr>
          <w:rStyle w:val="libAlaemChar"/>
          <w:rtl/>
        </w:rPr>
        <w:t>)</w:t>
      </w:r>
      <w:r w:rsidR="00744A1C">
        <w:rPr>
          <w:rtl/>
          <w:lang w:bidi="fa-IR"/>
        </w:rPr>
        <w:t xml:space="preserve"> </w:t>
      </w:r>
      <w:r w:rsidR="00744A1C" w:rsidRPr="00D10E3C">
        <w:rPr>
          <w:rStyle w:val="libFootnotenumChar"/>
          <w:rtl/>
        </w:rPr>
        <w:t>(10)</w:t>
      </w:r>
      <w:r w:rsidR="00744A1C">
        <w:rPr>
          <w:rtl/>
          <w:lang w:bidi="fa-IR"/>
        </w:rPr>
        <w:t xml:space="preserve"> ثُمَّ أَخْبَرَ أَنَّهُ </w:t>
      </w:r>
      <w:r w:rsidR="00744A1C" w:rsidRPr="006E0A83">
        <w:rPr>
          <w:rStyle w:val="libAlaemChar"/>
          <w:rtl/>
        </w:rPr>
        <w:t>(</w:t>
      </w:r>
      <w:r w:rsidR="00744A1C" w:rsidRPr="006E0A83">
        <w:rPr>
          <w:rStyle w:val="libAieChar"/>
          <w:rtl/>
        </w:rPr>
        <w:t xml:space="preserve"> اشْتَرى مِنَ </w:t>
      </w:r>
      <w:r w:rsidR="00744A1C" w:rsidRPr="006E0A83">
        <w:rPr>
          <w:rStyle w:val="libAlaemChar"/>
          <w:rtl/>
        </w:rPr>
        <w:t>)</w:t>
      </w:r>
      <w:r w:rsidR="00744A1C">
        <w:rPr>
          <w:rtl/>
          <w:lang w:bidi="fa-IR"/>
        </w:rPr>
        <w:t xml:space="preserve"> هؤُلَاءِ </w:t>
      </w:r>
      <w:r w:rsidR="00744A1C" w:rsidRPr="006E0A83">
        <w:rPr>
          <w:rStyle w:val="libAlaemChar"/>
          <w:rtl/>
        </w:rPr>
        <w:t>(</w:t>
      </w:r>
      <w:r w:rsidR="00744A1C" w:rsidRPr="006E0A83">
        <w:rPr>
          <w:rStyle w:val="libAieChar"/>
          <w:rtl/>
        </w:rPr>
        <w:t xml:space="preserve"> الْمُؤْمِنِينَ</w:t>
      </w:r>
      <w:r w:rsidR="00744A1C">
        <w:rPr>
          <w:rtl/>
          <w:lang w:bidi="fa-IR"/>
        </w:rPr>
        <w:t xml:space="preserve"> </w:t>
      </w:r>
      <w:r w:rsidR="00744A1C" w:rsidRPr="006E0A83">
        <w:rPr>
          <w:rStyle w:val="libAlaemChar"/>
          <w:rtl/>
        </w:rPr>
        <w:t>)</w:t>
      </w:r>
      <w:r w:rsidR="00744A1C">
        <w:rPr>
          <w:rtl/>
          <w:lang w:bidi="fa-IR"/>
        </w:rPr>
        <w:t xml:space="preserve"> وَمَنْ كَانَ عَلى مِثْلِ صِفَتِهِمْ</w:t>
      </w:r>
      <w:r w:rsidR="006E0A83">
        <w:rPr>
          <w:rFonts w:hint="cs"/>
          <w:rtl/>
          <w:lang w:bidi="fa-IR"/>
        </w:rPr>
        <w:t xml:space="preserve"> </w:t>
      </w:r>
      <w:r w:rsidR="00744A1C" w:rsidRPr="006E0A83">
        <w:rPr>
          <w:rStyle w:val="libAlaemChar"/>
          <w:rtl/>
        </w:rPr>
        <w:t>(</w:t>
      </w:r>
      <w:r w:rsidR="00744A1C" w:rsidRPr="006E0A83">
        <w:rPr>
          <w:rStyle w:val="libAieChar"/>
          <w:rtl/>
        </w:rPr>
        <w:t xml:space="preserve"> أَنْفُسَهُمْ وَأَمْوالَهُمْ بِأَنَّ لَهُمُ الْجَنَّةَ يُقاتِلُونَ فِي سَبِيلِ اللهِ فَيَقْتُلُونَ وَيُقْتَلُونَ وَعْداً </w:t>
      </w:r>
      <w:r w:rsidR="00744A1C" w:rsidRPr="00D10E3C">
        <w:rPr>
          <w:rStyle w:val="libFootnotenumChar"/>
          <w:rtl/>
        </w:rPr>
        <w:t>(11)</w:t>
      </w:r>
      <w:r w:rsidR="00744A1C">
        <w:rPr>
          <w:rtl/>
          <w:lang w:bidi="fa-IR"/>
        </w:rPr>
        <w:t xml:space="preserve"> </w:t>
      </w:r>
      <w:r w:rsidR="00744A1C" w:rsidRPr="006E0A83">
        <w:rPr>
          <w:rStyle w:val="libAieChar"/>
          <w:rtl/>
        </w:rPr>
        <w:t>عَلَيْهِ حَقًّا فِي التَّوْراةِ</w:t>
      </w:r>
      <w:r w:rsidR="00744A1C">
        <w:rPr>
          <w:rtl/>
          <w:lang w:bidi="fa-IR"/>
        </w:rPr>
        <w:t xml:space="preserve"> </w:t>
      </w:r>
      <w:r w:rsidR="00744A1C" w:rsidRPr="006E0A83">
        <w:rPr>
          <w:rStyle w:val="libAieChar"/>
          <w:rtl/>
        </w:rPr>
        <w:t>وَ</w:t>
      </w:r>
      <w:r w:rsidR="006E0A83">
        <w:rPr>
          <w:rStyle w:val="libAieChar"/>
          <w:rFonts w:hint="cs"/>
          <w:rtl/>
        </w:rPr>
        <w:t xml:space="preserve"> </w:t>
      </w:r>
      <w:r w:rsidR="00744A1C" w:rsidRPr="006E0A83">
        <w:rPr>
          <w:rStyle w:val="libAieChar"/>
          <w:rtl/>
        </w:rPr>
        <w:t>الْإِنْجِيلِ</w:t>
      </w:r>
    </w:p>
    <w:p w:rsidR="00744A1C" w:rsidRDefault="00744A1C" w:rsidP="00D10E3C">
      <w:pPr>
        <w:pStyle w:val="libLine"/>
        <w:rPr>
          <w:lang w:bidi="fa-IR"/>
        </w:rPr>
      </w:pPr>
      <w:r>
        <w:rPr>
          <w:rtl/>
          <w:lang w:bidi="fa-IR"/>
        </w:rPr>
        <w:t>____________________</w:t>
      </w:r>
    </w:p>
    <w:p w:rsidR="00744A1C" w:rsidRDefault="00D10E3C" w:rsidP="004A04E6">
      <w:pPr>
        <w:pStyle w:val="libFootnote0"/>
        <w:rPr>
          <w:lang w:bidi="fa-IR"/>
        </w:rPr>
      </w:pPr>
      <w:r>
        <w:rPr>
          <w:rtl/>
          <w:lang w:bidi="fa-IR"/>
        </w:rPr>
        <w:t>(1).</w:t>
      </w:r>
      <w:r w:rsidR="00744A1C">
        <w:rPr>
          <w:rtl/>
          <w:lang w:bidi="fa-IR"/>
        </w:rPr>
        <w:t xml:space="preserve"> حَسْبُ ، يستعمل في معنى الكفاية ، و </w:t>
      </w:r>
      <w:r w:rsidR="00744A1C" w:rsidRPr="004A04E6">
        <w:rPr>
          <w:rStyle w:val="libFootnoteAlaemChar"/>
          <w:rtl/>
        </w:rPr>
        <w:t>(</w:t>
      </w:r>
      <w:r w:rsidR="00744A1C" w:rsidRPr="004A04E6">
        <w:rPr>
          <w:rStyle w:val="libFootnoteAieChar"/>
          <w:rtl/>
        </w:rPr>
        <w:t xml:space="preserve"> حَسْبُنَا اللهُ </w:t>
      </w:r>
      <w:r w:rsidR="00744A1C" w:rsidRPr="004A04E6">
        <w:rPr>
          <w:rStyle w:val="libFootnoteAlaemChar"/>
          <w:rtl/>
        </w:rPr>
        <w:t>)</w:t>
      </w:r>
      <w:r w:rsidR="00744A1C">
        <w:rPr>
          <w:rtl/>
          <w:lang w:bidi="fa-IR"/>
        </w:rPr>
        <w:t xml:space="preserve"> [ آل عمران </w:t>
      </w:r>
      <w:r w:rsidR="00E378DD">
        <w:rPr>
          <w:rtl/>
          <w:lang w:bidi="fa-IR"/>
        </w:rPr>
        <w:t>(3).</w:t>
      </w:r>
      <w:r w:rsidR="00744A1C">
        <w:rPr>
          <w:rtl/>
          <w:lang w:bidi="fa-IR"/>
        </w:rPr>
        <w:t xml:space="preserve"> : 173 ؛ التوبه </w:t>
      </w:r>
      <w:r w:rsidR="004A04E6">
        <w:rPr>
          <w:rtl/>
          <w:lang w:bidi="fa-IR"/>
        </w:rPr>
        <w:t>(9)</w:t>
      </w:r>
      <w:r w:rsidR="00744A1C">
        <w:rPr>
          <w:rtl/>
          <w:lang w:bidi="fa-IR"/>
        </w:rPr>
        <w:t xml:space="preserve"> : 59 ] أي كافينا هو. </w:t>
      </w:r>
      <w:r w:rsidR="00744A1C" w:rsidRPr="004A04E6">
        <w:rPr>
          <w:rtl/>
        </w:rPr>
        <w:t>المفردات للراغب</w:t>
      </w:r>
      <w:r w:rsidR="00744A1C">
        <w:rPr>
          <w:rtl/>
          <w:lang w:bidi="fa-IR"/>
        </w:rPr>
        <w:t xml:space="preserve"> ، ص 234 ( حسب ).</w:t>
      </w:r>
      <w:r w:rsidR="004A04E6">
        <w:rPr>
          <w:rFonts w:hint="cs"/>
          <w:rtl/>
          <w:lang w:bidi="fa-IR"/>
        </w:rPr>
        <w:t xml:space="preserve">  </w:t>
      </w:r>
      <w:r w:rsidR="0036381C">
        <w:rPr>
          <w:rFonts w:hint="cs"/>
          <w:rtl/>
          <w:lang w:bidi="fa-IR"/>
        </w:rPr>
        <w:t xml:space="preserve">   </w:t>
      </w:r>
      <w:r w:rsidR="009C047B">
        <w:rPr>
          <w:rFonts w:hint="cs"/>
          <w:rtl/>
          <w:lang w:bidi="fa-IR"/>
        </w:rPr>
        <w:t xml:space="preserve"> </w:t>
      </w:r>
      <w:r w:rsidR="004A04E6">
        <w:rPr>
          <w:rFonts w:hint="cs"/>
          <w:rtl/>
          <w:lang w:bidi="fa-IR"/>
        </w:rPr>
        <w:t xml:space="preserve">  </w:t>
      </w:r>
      <w:r w:rsidR="00E378DD">
        <w:rPr>
          <w:rtl/>
          <w:lang w:bidi="fa-IR"/>
        </w:rPr>
        <w:t>(2).</w:t>
      </w:r>
      <w:r w:rsidR="00744A1C">
        <w:rPr>
          <w:rtl/>
          <w:lang w:bidi="fa-IR"/>
        </w:rPr>
        <w:t xml:space="preserve"> الأنفال </w:t>
      </w:r>
      <w:r w:rsidR="00E378DD">
        <w:rPr>
          <w:rtl/>
          <w:lang w:bidi="fa-IR"/>
        </w:rPr>
        <w:t>(8)</w:t>
      </w:r>
      <w:r w:rsidR="00744A1C">
        <w:rPr>
          <w:rtl/>
          <w:lang w:bidi="fa-IR"/>
        </w:rPr>
        <w:t xml:space="preserve"> : 64.</w:t>
      </w:r>
    </w:p>
    <w:p w:rsidR="00744A1C" w:rsidRDefault="00E378DD" w:rsidP="00E378DD">
      <w:pPr>
        <w:pStyle w:val="libFootnote0"/>
        <w:rPr>
          <w:lang w:bidi="fa-IR"/>
        </w:rPr>
      </w:pPr>
      <w:r>
        <w:rPr>
          <w:rtl/>
          <w:lang w:bidi="fa-IR"/>
        </w:rPr>
        <w:t>(3).</w:t>
      </w:r>
      <w:r w:rsidR="00744A1C">
        <w:rPr>
          <w:rtl/>
          <w:lang w:bidi="fa-IR"/>
        </w:rPr>
        <w:t xml:space="preserve"> في مجمع البيان ، ج 9 ، ص 212 : « أي علامتهم يوم القيامة أن تكون مواضع سجودهم أشدّ بياضاً ».</w:t>
      </w:r>
    </w:p>
    <w:tbl>
      <w:tblPr>
        <w:tblStyle w:val="TableGrid"/>
        <w:bidiVisual/>
        <w:tblW w:w="0" w:type="auto"/>
        <w:tblLook w:val="04A0" w:firstRow="1" w:lastRow="0" w:firstColumn="1" w:lastColumn="0" w:noHBand="0" w:noVBand="1"/>
      </w:tblPr>
      <w:tblGrid>
        <w:gridCol w:w="4006"/>
        <w:gridCol w:w="4006"/>
      </w:tblGrid>
      <w:tr w:rsidR="0036381C" w:rsidTr="0036381C">
        <w:tc>
          <w:tcPr>
            <w:tcW w:w="4006" w:type="dxa"/>
          </w:tcPr>
          <w:p w:rsidR="0036381C" w:rsidRDefault="0036381C" w:rsidP="00E378DD">
            <w:pPr>
              <w:pStyle w:val="libFootnote0"/>
              <w:rPr>
                <w:rtl/>
                <w:lang w:bidi="fa-IR"/>
              </w:rPr>
            </w:pPr>
            <w:r>
              <w:rPr>
                <w:rtl/>
                <w:lang w:bidi="fa-IR"/>
              </w:rPr>
              <w:t>(4). الفتح (48) : 29.</w:t>
            </w:r>
          </w:p>
        </w:tc>
        <w:tc>
          <w:tcPr>
            <w:tcW w:w="4006" w:type="dxa"/>
          </w:tcPr>
          <w:p w:rsidR="0036381C" w:rsidRDefault="0036381C" w:rsidP="00E378DD">
            <w:pPr>
              <w:pStyle w:val="libFootnote0"/>
              <w:rPr>
                <w:rtl/>
                <w:lang w:bidi="fa-IR"/>
              </w:rPr>
            </w:pPr>
            <w:r>
              <w:rPr>
                <w:rtl/>
                <w:lang w:bidi="fa-IR"/>
              </w:rPr>
              <w:t>(5). التحريم (66) : 8.</w:t>
            </w:r>
          </w:p>
        </w:tc>
      </w:tr>
    </w:tbl>
    <w:p w:rsidR="00744A1C" w:rsidRDefault="00E378DD" w:rsidP="00E378DD">
      <w:pPr>
        <w:pStyle w:val="libFootnote0"/>
        <w:rPr>
          <w:lang w:bidi="fa-IR"/>
        </w:rPr>
      </w:pPr>
      <w:r>
        <w:rPr>
          <w:rtl/>
          <w:lang w:bidi="fa-IR"/>
        </w:rPr>
        <w:t>(6).</w:t>
      </w:r>
      <w:r w:rsidR="00744A1C">
        <w:rPr>
          <w:rtl/>
          <w:lang w:bidi="fa-IR"/>
        </w:rPr>
        <w:t xml:space="preserve"> المؤمنون (23) : 1.</w:t>
      </w:r>
    </w:p>
    <w:p w:rsidR="00744A1C" w:rsidRDefault="00E378DD" w:rsidP="00E378DD">
      <w:pPr>
        <w:pStyle w:val="libFootnote0"/>
        <w:rPr>
          <w:lang w:bidi="fa-IR"/>
        </w:rPr>
      </w:pPr>
      <w:r>
        <w:rPr>
          <w:rtl/>
          <w:lang w:bidi="fa-IR"/>
        </w:rPr>
        <w:t>(7).</w:t>
      </w:r>
      <w:r w:rsidR="00744A1C">
        <w:rPr>
          <w:rtl/>
          <w:lang w:bidi="fa-IR"/>
        </w:rPr>
        <w:t xml:space="preserve"> انّث الضمير للفردوس لأنّه اسم من أسماء الجنّة. وقيل : لأنّه اسم للطبقة العليا منها. راجع : مجمع البيان ، ج 7 ، ص 178 ؛ تاج العروس ، ج 8 ، ص 392 ( فردس ).</w:t>
      </w:r>
    </w:p>
    <w:p w:rsidR="00744A1C" w:rsidRDefault="00E378DD" w:rsidP="00E378DD">
      <w:pPr>
        <w:pStyle w:val="libFootnote0"/>
        <w:rPr>
          <w:lang w:bidi="fa-IR"/>
        </w:rPr>
      </w:pPr>
      <w:r>
        <w:rPr>
          <w:rtl/>
          <w:lang w:bidi="fa-IR"/>
        </w:rPr>
        <w:t>(8).</w:t>
      </w:r>
      <w:r w:rsidR="00744A1C">
        <w:rPr>
          <w:rtl/>
          <w:lang w:bidi="fa-IR"/>
        </w:rPr>
        <w:t xml:space="preserve"> المؤمنون (23) : 2 - 11.</w:t>
      </w:r>
    </w:p>
    <w:p w:rsidR="00744A1C" w:rsidRDefault="00E378DD" w:rsidP="0078708C">
      <w:pPr>
        <w:pStyle w:val="libFootnote0"/>
        <w:rPr>
          <w:lang w:bidi="fa-IR"/>
        </w:rPr>
      </w:pPr>
      <w:r>
        <w:rPr>
          <w:rtl/>
          <w:lang w:bidi="fa-IR"/>
        </w:rPr>
        <w:t>(9).</w:t>
      </w:r>
      <w:r w:rsidR="00744A1C">
        <w:rPr>
          <w:rtl/>
          <w:lang w:bidi="fa-IR"/>
        </w:rPr>
        <w:t xml:space="preserve"> قال الجوهري : « الأثام : جزاء الإثم ». وقال الراغب : « الإثم والأثام : اسم للأفعال المبطئة عن الثواب ، وجمعه : آثام - إلى أن قال : - </w:t>
      </w:r>
      <w:r w:rsidR="00744A1C" w:rsidRPr="0078708C">
        <w:rPr>
          <w:rStyle w:val="libFootnoteAlaemChar"/>
          <w:rtl/>
        </w:rPr>
        <w:t>(</w:t>
      </w:r>
      <w:r w:rsidR="00744A1C" w:rsidRPr="0078708C">
        <w:rPr>
          <w:rStyle w:val="libFootnoteAieChar"/>
          <w:rtl/>
        </w:rPr>
        <w:t xml:space="preserve"> وَ</w:t>
      </w:r>
      <w:r w:rsidR="0078708C" w:rsidRPr="0078708C">
        <w:rPr>
          <w:rStyle w:val="libFootnoteAieChar"/>
          <w:rFonts w:hint="cs"/>
          <w:rtl/>
        </w:rPr>
        <w:t xml:space="preserve"> </w:t>
      </w:r>
      <w:r w:rsidR="00744A1C" w:rsidRPr="0078708C">
        <w:rPr>
          <w:rStyle w:val="libFootnoteAieChar"/>
          <w:rtl/>
        </w:rPr>
        <w:t xml:space="preserve">مَنْ يَفْعَلْ ذلِكَ يَلْقَ أَثاماً </w:t>
      </w:r>
      <w:r w:rsidR="00744A1C" w:rsidRPr="0078708C">
        <w:rPr>
          <w:rStyle w:val="libFootnoteAlaemChar"/>
          <w:rtl/>
        </w:rPr>
        <w:t>)</w:t>
      </w:r>
      <w:r w:rsidR="00744A1C">
        <w:rPr>
          <w:rtl/>
          <w:lang w:bidi="fa-IR"/>
        </w:rPr>
        <w:t xml:space="preserve"> ، أي عذاباً ، فسمّاه أثاماً لما كان منه ». </w:t>
      </w:r>
      <w:r w:rsidR="00744A1C" w:rsidRPr="00E978C3">
        <w:rPr>
          <w:rStyle w:val="libFootnoteBoldChar"/>
          <w:rtl/>
        </w:rPr>
        <w:t>الصحاح</w:t>
      </w:r>
      <w:r w:rsidR="00744A1C">
        <w:rPr>
          <w:rtl/>
          <w:lang w:bidi="fa-IR"/>
        </w:rPr>
        <w:t xml:space="preserve"> ، ج 5 ، ص 1858 ؛ المفردات ، ص 63 ( أثم ).</w:t>
      </w:r>
      <w:r w:rsidR="0078708C">
        <w:rPr>
          <w:rFonts w:hint="cs"/>
          <w:rtl/>
          <w:lang w:bidi="fa-IR"/>
        </w:rPr>
        <w:t xml:space="preserve">                    </w:t>
      </w:r>
      <w:r>
        <w:rPr>
          <w:rtl/>
          <w:lang w:bidi="fa-IR"/>
        </w:rPr>
        <w:t>(10).</w:t>
      </w:r>
      <w:r w:rsidR="00744A1C">
        <w:rPr>
          <w:rtl/>
          <w:lang w:bidi="fa-IR"/>
        </w:rPr>
        <w:t xml:space="preserve"> الفرقان (25) : 68 - 69.</w:t>
      </w:r>
    </w:p>
    <w:p w:rsidR="00744A1C" w:rsidRDefault="00E378DD" w:rsidP="00E378DD">
      <w:pPr>
        <w:pStyle w:val="libFootnote0"/>
        <w:rPr>
          <w:lang w:bidi="fa-IR"/>
        </w:rPr>
      </w:pPr>
      <w:r>
        <w:rPr>
          <w:rtl/>
          <w:lang w:bidi="fa-IR"/>
        </w:rPr>
        <w:t>(11).</w:t>
      </w:r>
      <w:r w:rsidR="00744A1C" w:rsidRPr="00847740">
        <w:rPr>
          <w:rStyle w:val="libFootnoteAlaemChar"/>
          <w:rtl/>
        </w:rPr>
        <w:t>(</w:t>
      </w:r>
      <w:r w:rsidR="00744A1C" w:rsidRPr="00847740">
        <w:rPr>
          <w:rStyle w:val="libFootnoteAieChar"/>
          <w:rtl/>
        </w:rPr>
        <w:t xml:space="preserve"> وَعْداً </w:t>
      </w:r>
      <w:r w:rsidR="00744A1C" w:rsidRPr="00847740">
        <w:rPr>
          <w:rStyle w:val="libFootnoteAlaemChar"/>
          <w:rtl/>
        </w:rPr>
        <w:t>)</w:t>
      </w:r>
      <w:r w:rsidR="00744A1C">
        <w:rPr>
          <w:rtl/>
          <w:lang w:bidi="fa-IR"/>
        </w:rPr>
        <w:t xml:space="preserve"> نصب على المصدر ؛ لأنّ قوله تعالى : </w:t>
      </w:r>
      <w:r w:rsidR="00744A1C" w:rsidRPr="006E1998">
        <w:rPr>
          <w:rStyle w:val="libFootnoteAlaemChar"/>
          <w:rtl/>
        </w:rPr>
        <w:t>(</w:t>
      </w:r>
      <w:r w:rsidR="00744A1C" w:rsidRPr="006E1998">
        <w:rPr>
          <w:rStyle w:val="libFootnoteAieChar"/>
          <w:rtl/>
        </w:rPr>
        <w:t xml:space="preserve"> اشْتَرى</w:t>
      </w:r>
      <w:r w:rsidR="00744A1C">
        <w:rPr>
          <w:rtl/>
          <w:lang w:bidi="fa-IR"/>
        </w:rPr>
        <w:t xml:space="preserve"> </w:t>
      </w:r>
      <w:r w:rsidR="00744A1C" w:rsidRPr="006E1998">
        <w:rPr>
          <w:rStyle w:val="libFootnoteAlaemChar"/>
          <w:rtl/>
        </w:rPr>
        <w:t>)</w:t>
      </w:r>
      <w:r w:rsidR="00744A1C">
        <w:rPr>
          <w:rtl/>
          <w:lang w:bidi="fa-IR"/>
        </w:rPr>
        <w:t xml:space="preserve"> يدلّ على أنّه وعد. </w:t>
      </w:r>
      <w:r w:rsidR="00744A1C" w:rsidRPr="006E1998">
        <w:rPr>
          <w:rStyle w:val="libFootnoteBoldChar"/>
          <w:rtl/>
        </w:rPr>
        <w:t>مجمع البيان</w:t>
      </w:r>
      <w:r w:rsidR="00744A1C">
        <w:rPr>
          <w:rtl/>
          <w:lang w:bidi="fa-IR"/>
        </w:rPr>
        <w:t xml:space="preserve"> ، ج 5 ، ص 129.</w:t>
      </w:r>
    </w:p>
    <w:p w:rsidR="006A5060" w:rsidRDefault="006A5060" w:rsidP="00D10E3C">
      <w:pPr>
        <w:pStyle w:val="libNormal"/>
        <w:rPr>
          <w:rtl/>
          <w:lang w:bidi="fa-IR"/>
        </w:rPr>
      </w:pPr>
      <w:r>
        <w:rPr>
          <w:rtl/>
          <w:lang w:bidi="fa-IR"/>
        </w:rPr>
        <w:br w:type="page"/>
      </w:r>
    </w:p>
    <w:p w:rsidR="00744A1C" w:rsidRDefault="00744A1C" w:rsidP="006E0A83">
      <w:pPr>
        <w:pStyle w:val="libNormal0"/>
        <w:rPr>
          <w:lang w:bidi="fa-IR"/>
        </w:rPr>
      </w:pPr>
      <w:r w:rsidRPr="006E0A83">
        <w:rPr>
          <w:rStyle w:val="libAieChar"/>
          <w:rtl/>
        </w:rPr>
        <w:t>وَ</w:t>
      </w:r>
      <w:r w:rsidR="006E0A83" w:rsidRPr="006E0A83">
        <w:rPr>
          <w:rStyle w:val="libAieChar"/>
          <w:rFonts w:hint="cs"/>
          <w:rtl/>
        </w:rPr>
        <w:t xml:space="preserve"> </w:t>
      </w:r>
      <w:r w:rsidRPr="006E0A83">
        <w:rPr>
          <w:rStyle w:val="libAieChar"/>
          <w:rtl/>
        </w:rPr>
        <w:t>الْقُرْآن</w:t>
      </w:r>
      <w:r w:rsidRPr="00EE40F1">
        <w:rPr>
          <w:rStyle w:val="libFootnoteAieChar"/>
          <w:rtl/>
        </w:rPr>
        <w:t xml:space="preserve">ِ </w:t>
      </w:r>
      <w:r w:rsidRPr="006E0A83">
        <w:rPr>
          <w:rStyle w:val="libAlaemChar"/>
          <w:rtl/>
        </w:rPr>
        <w:t>)</w:t>
      </w:r>
      <w:r>
        <w:rPr>
          <w:rtl/>
          <w:lang w:bidi="fa-IR"/>
        </w:rPr>
        <w:t xml:space="preserve"> ثُمَّ ذَكَرَ وَفَاءَهُمْ لَهُ بِعَهْدِهِ وَمُبَايَعَتِهِ ، فَقَالَ : </w:t>
      </w:r>
      <w:r w:rsidRPr="006E1998">
        <w:rPr>
          <w:rStyle w:val="libAlaemChar"/>
          <w:rtl/>
        </w:rPr>
        <w:t>(</w:t>
      </w:r>
      <w:r w:rsidRPr="006E1998">
        <w:rPr>
          <w:rStyle w:val="libAieChar"/>
          <w:rtl/>
        </w:rPr>
        <w:t xml:space="preserve"> وَ</w:t>
      </w:r>
      <w:r w:rsidR="006E1998" w:rsidRPr="006E1998">
        <w:rPr>
          <w:rStyle w:val="libAieChar"/>
          <w:rFonts w:hint="cs"/>
          <w:rtl/>
        </w:rPr>
        <w:t xml:space="preserve"> </w:t>
      </w:r>
      <w:r w:rsidRPr="006E1998">
        <w:rPr>
          <w:rStyle w:val="libAieChar"/>
          <w:rtl/>
        </w:rPr>
        <w:t xml:space="preserve">مَنْ أَوْفى بِعَهْدِهِ مِنَ اللهِ فَاسْتَبْشِرُوا بِبَيْعِكُمُ الَّذِي بايَعْتُمْ بِهِ وَذلِكَ هُوَ الْفَوْزُ الْعَظِيمُ </w:t>
      </w:r>
      <w:r w:rsidRPr="006E1998">
        <w:rPr>
          <w:rStyle w:val="libAlaemChar"/>
          <w:rtl/>
        </w:rPr>
        <w:t>)</w:t>
      </w:r>
      <w:r>
        <w:rPr>
          <w:rtl/>
          <w:lang w:bidi="fa-IR"/>
        </w:rPr>
        <w:t xml:space="preserve"> </w:t>
      </w:r>
      <w:r w:rsidRPr="00D10E3C">
        <w:rPr>
          <w:rStyle w:val="libFootnotenumChar"/>
          <w:rtl/>
        </w:rPr>
        <w:t>(1)</w:t>
      </w:r>
      <w:r w:rsidR="006E1998" w:rsidRPr="006E1998">
        <w:rPr>
          <w:rStyle w:val="libNormalChar"/>
          <w:rFonts w:hint="cs"/>
          <w:rtl/>
        </w:rPr>
        <w:t>.</w:t>
      </w:r>
    </w:p>
    <w:p w:rsidR="00744A1C" w:rsidRDefault="00744A1C" w:rsidP="00744A1C">
      <w:pPr>
        <w:pStyle w:val="libNormal"/>
        <w:rPr>
          <w:lang w:bidi="fa-IR"/>
        </w:rPr>
      </w:pPr>
      <w:r>
        <w:rPr>
          <w:rtl/>
          <w:lang w:bidi="fa-IR"/>
        </w:rPr>
        <w:t xml:space="preserve">فَلَمَّا نَزَلَتْ هذِهِ الْآيَةُ : </w:t>
      </w:r>
      <w:r w:rsidRPr="006E1998">
        <w:rPr>
          <w:rStyle w:val="libAlaemChar"/>
          <w:rtl/>
        </w:rPr>
        <w:t>(</w:t>
      </w:r>
      <w:r w:rsidRPr="006E1998">
        <w:rPr>
          <w:rStyle w:val="libAieChar"/>
          <w:rtl/>
        </w:rPr>
        <w:t xml:space="preserve"> إِنَّ اللهَ اشْتَرى مِنَ الْمُؤْمِنِينَ أَنْفُسَهُمْ وَأَمْوالَهُمْ بِأَنَّ لَهُمُ الْجَنَّةَ</w:t>
      </w:r>
      <w:r>
        <w:rPr>
          <w:rtl/>
          <w:lang w:bidi="fa-IR"/>
        </w:rPr>
        <w:t xml:space="preserve"> </w:t>
      </w:r>
      <w:r w:rsidRPr="006E1998">
        <w:rPr>
          <w:rStyle w:val="libAlaemChar"/>
          <w:rtl/>
        </w:rPr>
        <w:t>)</w:t>
      </w:r>
      <w:r>
        <w:rPr>
          <w:rtl/>
          <w:lang w:bidi="fa-IR"/>
        </w:rPr>
        <w:t xml:space="preserve"> قَامَ رَجُلٌ إِلَى النَّبِيِّ </w:t>
      </w:r>
      <w:r w:rsidR="0017097C" w:rsidRPr="0017097C">
        <w:rPr>
          <w:rStyle w:val="libAlaemChar"/>
          <w:rtl/>
        </w:rPr>
        <w:t>صلى‌الله‌عليه‌وآله</w:t>
      </w:r>
      <w:r w:rsidR="00D10E3C">
        <w:rPr>
          <w:rtl/>
          <w:lang w:bidi="fa-IR"/>
        </w:rPr>
        <w:t xml:space="preserve"> </w:t>
      </w:r>
      <w:r>
        <w:rPr>
          <w:rtl/>
          <w:lang w:bidi="fa-IR"/>
        </w:rPr>
        <w:t xml:space="preserve">، فَقَالَ : يَا نَبِيَّ اللهِ ، أَرَأَيْتَكَ </w:t>
      </w:r>
      <w:r w:rsidRPr="00D10E3C">
        <w:rPr>
          <w:rStyle w:val="libFootnotenumChar"/>
          <w:rtl/>
        </w:rPr>
        <w:t>(2)</w:t>
      </w:r>
      <w:r>
        <w:rPr>
          <w:rtl/>
          <w:lang w:bidi="fa-IR"/>
        </w:rPr>
        <w:t xml:space="preserve"> : الرَّجُلُ يَأْخُذُ سَيْفَهُ </w:t>
      </w:r>
      <w:r w:rsidRPr="00D10E3C">
        <w:rPr>
          <w:rStyle w:val="libFootnotenumChar"/>
          <w:rtl/>
        </w:rPr>
        <w:t>(3)</w:t>
      </w:r>
      <w:r>
        <w:rPr>
          <w:rtl/>
          <w:lang w:bidi="fa-IR"/>
        </w:rPr>
        <w:t xml:space="preserve"> ، فَيُقَاتِلُ حَتّى يُقْت</w:t>
      </w:r>
      <w:r w:rsidR="006E1998">
        <w:rPr>
          <w:rtl/>
          <w:lang w:bidi="fa-IR"/>
        </w:rPr>
        <w:t>َلَ إِل</w:t>
      </w:r>
      <w:r w:rsidR="006E1998">
        <w:rPr>
          <w:rFonts w:hint="cs"/>
          <w:rtl/>
          <w:lang w:bidi="fa-IR"/>
        </w:rPr>
        <w:t>َّ</w:t>
      </w:r>
      <w:r w:rsidR="006E1998">
        <w:rPr>
          <w:rtl/>
          <w:lang w:bidi="fa-IR"/>
        </w:rPr>
        <w:t>ا</w:t>
      </w:r>
      <w:r>
        <w:rPr>
          <w:rtl/>
          <w:lang w:bidi="fa-IR"/>
        </w:rPr>
        <w:t xml:space="preserve"> أَنَّهُ يَقْتَرِفُ مِنْ هذِهِ الْمَحَارِمِ ، أَشَهِيدٌ هُوَ؟</w:t>
      </w:r>
    </w:p>
    <w:p w:rsidR="00144FA6" w:rsidRDefault="00744A1C" w:rsidP="00744A1C">
      <w:pPr>
        <w:pStyle w:val="libNormal"/>
        <w:rPr>
          <w:rtl/>
          <w:lang w:bidi="fa-IR"/>
        </w:rPr>
      </w:pPr>
      <w:r>
        <w:rPr>
          <w:rtl/>
          <w:lang w:bidi="fa-IR"/>
        </w:rPr>
        <w:t xml:space="preserve">فَأَنْزَلَ اللهُ - عَزَّ وَجَلَّ - عَلى رَسُولِهِ </w:t>
      </w:r>
      <w:r w:rsidRPr="00D10E3C">
        <w:rPr>
          <w:rStyle w:val="libFootnotenumChar"/>
          <w:rtl/>
        </w:rPr>
        <w:t>(4)</w:t>
      </w:r>
      <w:r>
        <w:rPr>
          <w:rtl/>
          <w:lang w:bidi="fa-IR"/>
        </w:rPr>
        <w:t xml:space="preserve"> : </w:t>
      </w:r>
      <w:r w:rsidRPr="00043026">
        <w:rPr>
          <w:rStyle w:val="libAlaemChar"/>
          <w:rtl/>
        </w:rPr>
        <w:t>(</w:t>
      </w:r>
      <w:r w:rsidRPr="00043026">
        <w:rPr>
          <w:rStyle w:val="libAieChar"/>
          <w:rtl/>
        </w:rPr>
        <w:t xml:space="preserve"> التّائِبُونَ الْعابِدُونَ الْحامِدُونَ السّائِحُونَ الرّاكِعُونَ السّاجِدُونَ الْآمِرُونَ بِالْمَعْرُوفِ وَالنّاهُونَ عَنِ الْمُنْكَرِ وَالْحافِظُونَ لِحُدُودِ اللهِ وَبَشِّرِ الْمُؤْمِنِينَ </w:t>
      </w:r>
      <w:r w:rsidRPr="00043026">
        <w:rPr>
          <w:rStyle w:val="libAlaemChar"/>
          <w:rtl/>
        </w:rPr>
        <w:t>)</w:t>
      </w:r>
      <w:r>
        <w:rPr>
          <w:rtl/>
          <w:lang w:bidi="fa-IR"/>
        </w:rPr>
        <w:t xml:space="preserve"> </w:t>
      </w:r>
      <w:r w:rsidRPr="00D10E3C">
        <w:rPr>
          <w:rStyle w:val="libFootnotenumChar"/>
          <w:rtl/>
        </w:rPr>
        <w:t>(5)</w:t>
      </w:r>
      <w:r>
        <w:rPr>
          <w:rtl/>
          <w:lang w:bidi="fa-IR"/>
        </w:rPr>
        <w:t xml:space="preserve"> فَفَسَّرَ </w:t>
      </w:r>
      <w:r w:rsidRPr="00D10E3C">
        <w:rPr>
          <w:rStyle w:val="libFootnotenumChar"/>
          <w:rtl/>
        </w:rPr>
        <w:t>(6)</w:t>
      </w:r>
      <w:r>
        <w:rPr>
          <w:rtl/>
          <w:lang w:bidi="fa-IR"/>
        </w:rPr>
        <w:t xml:space="preserve"> النَّبِيُّ </w:t>
      </w:r>
      <w:r w:rsidRPr="00D10E3C">
        <w:rPr>
          <w:rStyle w:val="libFootnotenumChar"/>
          <w:rtl/>
        </w:rPr>
        <w:t>(7)</w:t>
      </w:r>
      <w:r>
        <w:rPr>
          <w:rtl/>
          <w:lang w:bidi="fa-IR"/>
        </w:rPr>
        <w:t xml:space="preserve"> </w:t>
      </w:r>
      <w:r w:rsidR="0017097C" w:rsidRPr="0017097C">
        <w:rPr>
          <w:rStyle w:val="libAlaemChar"/>
          <w:rtl/>
        </w:rPr>
        <w:t>صلى‌الله‌عليه‌وآله</w:t>
      </w:r>
      <w:r w:rsidR="00D10E3C">
        <w:rPr>
          <w:rtl/>
          <w:lang w:bidi="fa-IR"/>
        </w:rPr>
        <w:t xml:space="preserve"> </w:t>
      </w:r>
      <w:r>
        <w:rPr>
          <w:rtl/>
          <w:lang w:bidi="fa-IR"/>
        </w:rPr>
        <w:t xml:space="preserve">الْمُجَاهِدِينَ مِنَ الْمُؤْمِنِينَ الَّذِينَ هذِهِ صِفَتُهُمْ وَحِلْيَتُهُمْ بِالشَّهَادَةِ وَالْجَنَّةِ ، وَقَالَ </w:t>
      </w:r>
      <w:r w:rsidRPr="00D10E3C">
        <w:rPr>
          <w:rStyle w:val="libFootnotenumChar"/>
          <w:rtl/>
        </w:rPr>
        <w:t>(8)</w:t>
      </w:r>
      <w:r>
        <w:rPr>
          <w:rtl/>
          <w:lang w:bidi="fa-IR"/>
        </w:rPr>
        <w:t xml:space="preserve"> : </w:t>
      </w:r>
      <w:r w:rsidRPr="00043026">
        <w:rPr>
          <w:rStyle w:val="libAlaemChar"/>
          <w:rtl/>
        </w:rPr>
        <w:t>(</w:t>
      </w:r>
      <w:r w:rsidRPr="00043026">
        <w:rPr>
          <w:rStyle w:val="libAieChar"/>
          <w:rtl/>
        </w:rPr>
        <w:t xml:space="preserve"> التّ</w:t>
      </w:r>
      <w:r w:rsidR="001528C8">
        <w:rPr>
          <w:rStyle w:val="libAieChar"/>
          <w:rFonts w:hint="cs"/>
          <w:rtl/>
        </w:rPr>
        <w:t>َ</w:t>
      </w:r>
      <w:r w:rsidRPr="00043026">
        <w:rPr>
          <w:rStyle w:val="libAieChar"/>
          <w:rtl/>
        </w:rPr>
        <w:t xml:space="preserve">ائِبُونَ </w:t>
      </w:r>
      <w:r w:rsidRPr="00043026">
        <w:rPr>
          <w:rStyle w:val="libAlaemChar"/>
          <w:rtl/>
        </w:rPr>
        <w:t>)</w:t>
      </w:r>
      <w:r>
        <w:rPr>
          <w:rtl/>
          <w:lang w:bidi="fa-IR"/>
        </w:rPr>
        <w:t xml:space="preserve"> مِنَ الذُّنُوبِ </w:t>
      </w:r>
      <w:r w:rsidRPr="00043026">
        <w:rPr>
          <w:rStyle w:val="libAlaemChar"/>
          <w:rtl/>
        </w:rPr>
        <w:t>(</w:t>
      </w:r>
      <w:r w:rsidRPr="00043026">
        <w:rPr>
          <w:rStyle w:val="libAieChar"/>
          <w:rtl/>
        </w:rPr>
        <w:t xml:space="preserve"> الْع</w:t>
      </w:r>
      <w:r w:rsidR="00043026">
        <w:rPr>
          <w:rStyle w:val="libAieChar"/>
          <w:rFonts w:hint="cs"/>
          <w:rtl/>
        </w:rPr>
        <w:t>َ</w:t>
      </w:r>
      <w:r w:rsidRPr="00043026">
        <w:rPr>
          <w:rStyle w:val="libAieChar"/>
          <w:rtl/>
        </w:rPr>
        <w:t>ابِدُونَ</w:t>
      </w:r>
      <w:r>
        <w:rPr>
          <w:rtl/>
          <w:lang w:bidi="fa-IR"/>
        </w:rPr>
        <w:t xml:space="preserve"> </w:t>
      </w:r>
      <w:r w:rsidRPr="00043026">
        <w:rPr>
          <w:rStyle w:val="libAlaemChar"/>
          <w:rtl/>
        </w:rPr>
        <w:t>)</w:t>
      </w:r>
      <w:r>
        <w:rPr>
          <w:rtl/>
          <w:lang w:bidi="fa-IR"/>
        </w:rPr>
        <w:t xml:space="preserve"> :</w:t>
      </w:r>
      <w:r w:rsidR="00043026">
        <w:rPr>
          <w:rtl/>
          <w:lang w:bidi="fa-IR"/>
        </w:rPr>
        <w:t xml:space="preserve"> الَّذِينَ لَايَعْبُدُونَ إِل</w:t>
      </w:r>
      <w:r w:rsidR="00043026">
        <w:rPr>
          <w:rFonts w:hint="cs"/>
          <w:rtl/>
          <w:lang w:bidi="fa-IR"/>
        </w:rPr>
        <w:t>َّ</w:t>
      </w:r>
      <w:r w:rsidR="00043026">
        <w:rPr>
          <w:rtl/>
          <w:lang w:bidi="fa-IR"/>
        </w:rPr>
        <w:t>ا</w:t>
      </w:r>
      <w:r>
        <w:rPr>
          <w:rtl/>
          <w:lang w:bidi="fa-IR"/>
        </w:rPr>
        <w:t xml:space="preserve"> اللهَ ، وَلَا يُشْرِكُونَ بِهِ شَيْئاً </w:t>
      </w:r>
      <w:r w:rsidRPr="001528C8">
        <w:rPr>
          <w:rStyle w:val="libAlaemChar"/>
          <w:rtl/>
        </w:rPr>
        <w:t>(</w:t>
      </w:r>
      <w:r w:rsidRPr="001528C8">
        <w:rPr>
          <w:rStyle w:val="libAieChar"/>
          <w:rtl/>
        </w:rPr>
        <w:t xml:space="preserve"> الْح</w:t>
      </w:r>
      <w:r w:rsidR="001528C8">
        <w:rPr>
          <w:rStyle w:val="libAieChar"/>
          <w:rFonts w:hint="cs"/>
          <w:rtl/>
        </w:rPr>
        <w:t>َ</w:t>
      </w:r>
      <w:r w:rsidRPr="001528C8">
        <w:rPr>
          <w:rStyle w:val="libAieChar"/>
          <w:rtl/>
        </w:rPr>
        <w:t>امِدُونَ</w:t>
      </w:r>
      <w:r>
        <w:rPr>
          <w:rtl/>
          <w:lang w:bidi="fa-IR"/>
        </w:rPr>
        <w:t xml:space="preserve"> </w:t>
      </w:r>
      <w:r w:rsidRPr="001528C8">
        <w:rPr>
          <w:rStyle w:val="libAlaemChar"/>
          <w:rtl/>
        </w:rPr>
        <w:t>)</w:t>
      </w:r>
      <w:r>
        <w:rPr>
          <w:rtl/>
          <w:lang w:bidi="fa-IR"/>
        </w:rPr>
        <w:t xml:space="preserve"> : الَّذِينَ يَحْمَدُونَ اللهَ عَلى كُلِّ حَالٍ فِي الشِّدَّةِ وَالرَّخَاءِ </w:t>
      </w:r>
      <w:r w:rsidRPr="001528C8">
        <w:rPr>
          <w:rStyle w:val="libAlaemChar"/>
          <w:rtl/>
        </w:rPr>
        <w:t>(</w:t>
      </w:r>
      <w:r w:rsidRPr="001528C8">
        <w:rPr>
          <w:rStyle w:val="libAieChar"/>
          <w:rtl/>
        </w:rPr>
        <w:t xml:space="preserve"> السّ</w:t>
      </w:r>
      <w:r w:rsidR="001528C8">
        <w:rPr>
          <w:rStyle w:val="libAieChar"/>
          <w:rFonts w:hint="cs"/>
          <w:rtl/>
        </w:rPr>
        <w:t>َ</w:t>
      </w:r>
      <w:r w:rsidRPr="001528C8">
        <w:rPr>
          <w:rStyle w:val="libAieChar"/>
          <w:rtl/>
        </w:rPr>
        <w:t xml:space="preserve">ائِحُونَ </w:t>
      </w:r>
      <w:r w:rsidRPr="001528C8">
        <w:rPr>
          <w:rStyle w:val="libAlaemChar"/>
          <w:rtl/>
        </w:rPr>
        <w:t>)</w:t>
      </w:r>
      <w:r>
        <w:rPr>
          <w:rtl/>
          <w:lang w:bidi="fa-IR"/>
        </w:rPr>
        <w:t xml:space="preserve"> وَهُمُ الصَّائِمُونَ </w:t>
      </w:r>
      <w:r w:rsidRPr="00D10E3C">
        <w:rPr>
          <w:rStyle w:val="libFootnotenumChar"/>
          <w:rtl/>
        </w:rPr>
        <w:t>(9)</w:t>
      </w:r>
      <w:r>
        <w:rPr>
          <w:rtl/>
          <w:lang w:bidi="fa-IR"/>
        </w:rPr>
        <w:t xml:space="preserve"> </w:t>
      </w:r>
      <w:r w:rsidRPr="001528C8">
        <w:rPr>
          <w:rStyle w:val="libAlaemChar"/>
          <w:rtl/>
        </w:rPr>
        <w:t>(</w:t>
      </w:r>
      <w:r w:rsidRPr="001528C8">
        <w:rPr>
          <w:rStyle w:val="libAieChar"/>
          <w:rtl/>
        </w:rPr>
        <w:t xml:space="preserve"> الرّ</w:t>
      </w:r>
      <w:r w:rsidR="001528C8" w:rsidRPr="001528C8">
        <w:rPr>
          <w:rStyle w:val="libAieChar"/>
          <w:rFonts w:hint="cs"/>
          <w:rtl/>
        </w:rPr>
        <w:t>َ</w:t>
      </w:r>
      <w:r w:rsidRPr="001528C8">
        <w:rPr>
          <w:rStyle w:val="libAieChar"/>
          <w:rtl/>
        </w:rPr>
        <w:t>اكِعُونَ السّ</w:t>
      </w:r>
      <w:r w:rsidR="001528C8" w:rsidRPr="001528C8">
        <w:rPr>
          <w:rStyle w:val="libAieChar"/>
          <w:rFonts w:hint="cs"/>
          <w:rtl/>
        </w:rPr>
        <w:t>َ</w:t>
      </w:r>
      <w:r w:rsidRPr="001528C8">
        <w:rPr>
          <w:rStyle w:val="libAieChar"/>
          <w:rtl/>
        </w:rPr>
        <w:t xml:space="preserve">اجِدُونَ </w:t>
      </w:r>
      <w:r w:rsidRPr="001528C8">
        <w:rPr>
          <w:rStyle w:val="libAlaemChar"/>
          <w:rtl/>
        </w:rPr>
        <w:t>)</w:t>
      </w:r>
      <w:r>
        <w:rPr>
          <w:rtl/>
          <w:lang w:bidi="fa-IR"/>
        </w:rPr>
        <w:t xml:space="preserve"> : الَّذِينَ يُوَاظِبُونَ عَلَى الصَّلَوَاتِ </w:t>
      </w:r>
      <w:r w:rsidRPr="00D10E3C">
        <w:rPr>
          <w:rStyle w:val="libFootnotenumChar"/>
          <w:rtl/>
        </w:rPr>
        <w:t>(10)</w:t>
      </w:r>
      <w:r>
        <w:rPr>
          <w:rtl/>
          <w:lang w:bidi="fa-IR"/>
        </w:rPr>
        <w:t xml:space="preserve"> الْخَمْسِ ، وَالْحَافِظُونَ </w:t>
      </w:r>
      <w:r w:rsidRPr="00D10E3C">
        <w:rPr>
          <w:rStyle w:val="libFootnotenumChar"/>
          <w:rtl/>
        </w:rPr>
        <w:t>(11)</w:t>
      </w:r>
      <w:r>
        <w:rPr>
          <w:rtl/>
          <w:lang w:bidi="fa-IR"/>
        </w:rPr>
        <w:t xml:space="preserve"> لَهَا وَالْمُحَافِظُونَ عَلَيْهَا بِرُكُوعِهَا </w:t>
      </w:r>
      <w:r w:rsidRPr="00D10E3C">
        <w:rPr>
          <w:rStyle w:val="libFootnotenumChar"/>
          <w:rtl/>
        </w:rPr>
        <w:t>(12)</w:t>
      </w:r>
      <w:r>
        <w:rPr>
          <w:rtl/>
          <w:lang w:bidi="fa-IR"/>
        </w:rPr>
        <w:t xml:space="preserve"> وَسُجُودِهَا ، وَفِي الْخُشُوعِ فِيهَا وَفِي أَوْقَاتِهَا </w:t>
      </w:r>
      <w:r w:rsidRPr="00473C8C">
        <w:rPr>
          <w:rStyle w:val="libAlaemChar"/>
          <w:rtl/>
        </w:rPr>
        <w:t>(</w:t>
      </w:r>
      <w:r w:rsidRPr="00473C8C">
        <w:rPr>
          <w:rStyle w:val="libAieChar"/>
          <w:rtl/>
        </w:rPr>
        <w:t xml:space="preserve"> الْآمِرُونَ بِالْمَعْرُوفِ </w:t>
      </w:r>
      <w:r w:rsidRPr="00473C8C">
        <w:rPr>
          <w:rStyle w:val="libAlaemChar"/>
          <w:rtl/>
        </w:rPr>
        <w:t>)</w:t>
      </w:r>
      <w:r>
        <w:rPr>
          <w:rtl/>
          <w:lang w:bidi="fa-IR"/>
        </w:rPr>
        <w:t xml:space="preserve"> بَعْدَ ذلِكَ ، وَالْعَامِلُونَ بِهِ </w:t>
      </w:r>
      <w:r w:rsidRPr="00473C8C">
        <w:rPr>
          <w:rStyle w:val="libAlaemChar"/>
          <w:rtl/>
        </w:rPr>
        <w:t>(</w:t>
      </w:r>
      <w:r w:rsidRPr="00473C8C">
        <w:rPr>
          <w:rStyle w:val="libAieChar"/>
          <w:rtl/>
        </w:rPr>
        <w:t xml:space="preserve"> وَ</w:t>
      </w:r>
      <w:r w:rsidR="00473C8C" w:rsidRPr="00473C8C">
        <w:rPr>
          <w:rStyle w:val="libAieChar"/>
          <w:rFonts w:hint="cs"/>
          <w:rtl/>
        </w:rPr>
        <w:t xml:space="preserve"> </w:t>
      </w:r>
      <w:r w:rsidRPr="00473C8C">
        <w:rPr>
          <w:rStyle w:val="libAieChar"/>
          <w:rtl/>
        </w:rPr>
        <w:t>النّ</w:t>
      </w:r>
      <w:r w:rsidR="00473C8C" w:rsidRPr="00473C8C">
        <w:rPr>
          <w:rStyle w:val="libAieChar"/>
          <w:rFonts w:hint="cs"/>
          <w:rtl/>
        </w:rPr>
        <w:t>َ</w:t>
      </w:r>
      <w:r w:rsidRPr="00473C8C">
        <w:rPr>
          <w:rStyle w:val="libAieChar"/>
          <w:rtl/>
        </w:rPr>
        <w:t>اهُونَ عَنِ</w:t>
      </w:r>
    </w:p>
    <w:p w:rsidR="00744A1C" w:rsidRDefault="00744A1C" w:rsidP="00D10E3C">
      <w:pPr>
        <w:pStyle w:val="libLine"/>
        <w:rPr>
          <w:lang w:bidi="fa-IR"/>
        </w:rPr>
      </w:pPr>
      <w:r>
        <w:rPr>
          <w:rtl/>
          <w:lang w:bidi="fa-IR"/>
        </w:rPr>
        <w:t>____________________</w:t>
      </w:r>
    </w:p>
    <w:p w:rsidR="00744A1C" w:rsidRDefault="00D10E3C" w:rsidP="00E378DD">
      <w:pPr>
        <w:pStyle w:val="libFootnote0"/>
        <w:rPr>
          <w:lang w:bidi="fa-IR"/>
        </w:rPr>
      </w:pPr>
      <w:r>
        <w:rPr>
          <w:rtl/>
          <w:lang w:bidi="fa-IR"/>
        </w:rPr>
        <w:t>(1).</w:t>
      </w:r>
      <w:r w:rsidR="00744A1C">
        <w:rPr>
          <w:rtl/>
          <w:lang w:bidi="fa-IR"/>
        </w:rPr>
        <w:t xml:space="preserve"> التوبة </w:t>
      </w:r>
      <w:r w:rsidR="00473C8C">
        <w:rPr>
          <w:rtl/>
          <w:lang w:bidi="fa-IR"/>
        </w:rPr>
        <w:t>(9)</w:t>
      </w:r>
      <w:r w:rsidR="00744A1C">
        <w:rPr>
          <w:rtl/>
          <w:lang w:bidi="fa-IR"/>
        </w:rPr>
        <w:t xml:space="preserve"> : 111.</w:t>
      </w:r>
    </w:p>
    <w:p w:rsidR="00744A1C" w:rsidRDefault="00E378DD" w:rsidP="00E378DD">
      <w:pPr>
        <w:pStyle w:val="libFootnote0"/>
        <w:rPr>
          <w:lang w:bidi="fa-IR"/>
        </w:rPr>
      </w:pPr>
      <w:r>
        <w:rPr>
          <w:rtl/>
          <w:lang w:bidi="fa-IR"/>
        </w:rPr>
        <w:t>(2).</w:t>
      </w:r>
      <w:r w:rsidR="00744A1C">
        <w:rPr>
          <w:rtl/>
          <w:lang w:bidi="fa-IR"/>
        </w:rPr>
        <w:t xml:space="preserve"> في </w:t>
      </w:r>
      <w:r w:rsidR="00744A1C" w:rsidRPr="00F54D4D">
        <w:rPr>
          <w:rtl/>
        </w:rPr>
        <w:t xml:space="preserve">الوسائل </w:t>
      </w:r>
      <w:r w:rsidR="00744A1C">
        <w:rPr>
          <w:rtl/>
          <w:lang w:bidi="fa-IR"/>
        </w:rPr>
        <w:t>: « أرأيتك يا نبيّ الله » بدل « يا نبيّ الله أرأيتك ».</w:t>
      </w:r>
    </w:p>
    <w:tbl>
      <w:tblPr>
        <w:tblStyle w:val="TableGrid"/>
        <w:bidiVisual/>
        <w:tblW w:w="0" w:type="auto"/>
        <w:tblLook w:val="04A0" w:firstRow="1" w:lastRow="0" w:firstColumn="1" w:lastColumn="0" w:noHBand="0" w:noVBand="1"/>
      </w:tblPr>
      <w:tblGrid>
        <w:gridCol w:w="4006"/>
        <w:gridCol w:w="4006"/>
      </w:tblGrid>
      <w:tr w:rsidR="00F54D4D" w:rsidTr="00F54D4D">
        <w:tc>
          <w:tcPr>
            <w:tcW w:w="4006" w:type="dxa"/>
          </w:tcPr>
          <w:p w:rsidR="00F54D4D" w:rsidRDefault="00F54D4D" w:rsidP="00E378DD">
            <w:pPr>
              <w:pStyle w:val="libFootnote0"/>
              <w:rPr>
                <w:rtl/>
                <w:lang w:bidi="fa-IR"/>
              </w:rPr>
            </w:pPr>
            <w:r>
              <w:rPr>
                <w:rtl/>
                <w:lang w:bidi="fa-IR"/>
              </w:rPr>
              <w:t>(3). في « جن » : « بسيف ».</w:t>
            </w:r>
          </w:p>
        </w:tc>
        <w:tc>
          <w:tcPr>
            <w:tcW w:w="4006" w:type="dxa"/>
          </w:tcPr>
          <w:p w:rsidR="00F54D4D" w:rsidRDefault="00F54D4D" w:rsidP="00E378DD">
            <w:pPr>
              <w:pStyle w:val="libFootnote0"/>
              <w:rPr>
                <w:rtl/>
                <w:lang w:bidi="fa-IR"/>
              </w:rPr>
            </w:pPr>
            <w:r>
              <w:rPr>
                <w:rtl/>
                <w:lang w:bidi="fa-IR"/>
              </w:rPr>
              <w:t>(4). في « بح » : - « على رسوله ».</w:t>
            </w:r>
          </w:p>
        </w:tc>
      </w:tr>
    </w:tbl>
    <w:p w:rsidR="00744A1C" w:rsidRDefault="00E378DD" w:rsidP="00E378DD">
      <w:pPr>
        <w:pStyle w:val="libFootnote0"/>
        <w:rPr>
          <w:lang w:bidi="fa-IR"/>
        </w:rPr>
      </w:pPr>
      <w:r>
        <w:rPr>
          <w:rtl/>
          <w:lang w:bidi="fa-IR"/>
        </w:rPr>
        <w:t>(5).</w:t>
      </w:r>
      <w:r w:rsidR="00744A1C">
        <w:rPr>
          <w:rtl/>
          <w:lang w:bidi="fa-IR"/>
        </w:rPr>
        <w:t xml:space="preserve"> التوبة </w:t>
      </w:r>
      <w:r w:rsidR="007C4947">
        <w:rPr>
          <w:rtl/>
          <w:lang w:bidi="fa-IR"/>
        </w:rPr>
        <w:t>(9)</w:t>
      </w:r>
      <w:r w:rsidR="00744A1C">
        <w:rPr>
          <w:rtl/>
          <w:lang w:bidi="fa-IR"/>
        </w:rPr>
        <w:t xml:space="preserve"> : 112.</w:t>
      </w:r>
    </w:p>
    <w:p w:rsidR="00744A1C" w:rsidRDefault="00E378DD" w:rsidP="00E378DD">
      <w:pPr>
        <w:pStyle w:val="libFootnote0"/>
        <w:rPr>
          <w:lang w:bidi="fa-IR"/>
        </w:rPr>
      </w:pPr>
      <w:r>
        <w:rPr>
          <w:rtl/>
          <w:lang w:bidi="fa-IR"/>
        </w:rPr>
        <w:t>(6).</w:t>
      </w:r>
      <w:r w:rsidR="00744A1C">
        <w:rPr>
          <w:rtl/>
          <w:lang w:bidi="fa-IR"/>
        </w:rPr>
        <w:t xml:space="preserve"> في حاشية « ى » : « فيبشّر ». وفي </w:t>
      </w:r>
      <w:r w:rsidR="00744A1C" w:rsidRPr="000D0A7A">
        <w:rPr>
          <w:rtl/>
        </w:rPr>
        <w:t>الوسائل والتهذيب</w:t>
      </w:r>
      <w:r w:rsidR="00744A1C">
        <w:rPr>
          <w:rtl/>
          <w:lang w:bidi="fa-IR"/>
        </w:rPr>
        <w:t xml:space="preserve"> : « فبشّر ». وفي </w:t>
      </w:r>
      <w:r w:rsidR="00744A1C" w:rsidRPr="000D0A7A">
        <w:rPr>
          <w:rtl/>
        </w:rPr>
        <w:t>الوافي</w:t>
      </w:r>
      <w:r w:rsidR="000D0A7A">
        <w:rPr>
          <w:rtl/>
          <w:lang w:bidi="fa-IR"/>
        </w:rPr>
        <w:t xml:space="preserve"> : «</w:t>
      </w:r>
      <w:r w:rsidR="00744A1C">
        <w:rPr>
          <w:rtl/>
          <w:lang w:bidi="fa-IR"/>
        </w:rPr>
        <w:t>فبشّر ( ففسّر - خ ل ) ».</w:t>
      </w:r>
    </w:p>
    <w:tbl>
      <w:tblPr>
        <w:tblStyle w:val="TableGrid"/>
        <w:bidiVisual/>
        <w:tblW w:w="0" w:type="auto"/>
        <w:tblLook w:val="04A0" w:firstRow="1" w:lastRow="0" w:firstColumn="1" w:lastColumn="0" w:noHBand="0" w:noVBand="1"/>
      </w:tblPr>
      <w:tblGrid>
        <w:gridCol w:w="4006"/>
        <w:gridCol w:w="4006"/>
      </w:tblGrid>
      <w:tr w:rsidR="000D0A7A" w:rsidTr="000D0A7A">
        <w:tc>
          <w:tcPr>
            <w:tcW w:w="4006" w:type="dxa"/>
          </w:tcPr>
          <w:p w:rsidR="000D0A7A" w:rsidRDefault="00161012" w:rsidP="00E378DD">
            <w:pPr>
              <w:pStyle w:val="libFootnote0"/>
              <w:rPr>
                <w:rtl/>
                <w:lang w:bidi="fa-IR"/>
              </w:rPr>
            </w:pPr>
            <w:r>
              <w:rPr>
                <w:rtl/>
                <w:lang w:bidi="fa-IR"/>
              </w:rPr>
              <w:t xml:space="preserve">(7). في </w:t>
            </w:r>
            <w:r w:rsidRPr="00161012">
              <w:rPr>
                <w:rtl/>
              </w:rPr>
              <w:t>الوسائل</w:t>
            </w:r>
            <w:r>
              <w:rPr>
                <w:rtl/>
                <w:lang w:bidi="fa-IR"/>
              </w:rPr>
              <w:t xml:space="preserve"> : « الله ».</w:t>
            </w:r>
          </w:p>
        </w:tc>
        <w:tc>
          <w:tcPr>
            <w:tcW w:w="4006" w:type="dxa"/>
          </w:tcPr>
          <w:p w:rsidR="000D0A7A" w:rsidRDefault="00161012" w:rsidP="00E378DD">
            <w:pPr>
              <w:pStyle w:val="libFootnote0"/>
              <w:rPr>
                <w:rtl/>
                <w:lang w:bidi="fa-IR"/>
              </w:rPr>
            </w:pPr>
            <w:r>
              <w:rPr>
                <w:rtl/>
                <w:lang w:bidi="fa-IR"/>
              </w:rPr>
              <w:t xml:space="preserve">(8). في « جن » </w:t>
            </w:r>
            <w:r w:rsidRPr="0061079A">
              <w:rPr>
                <w:rStyle w:val="libFootnoteBoldChar"/>
                <w:rtl/>
              </w:rPr>
              <w:t>والتهذيب</w:t>
            </w:r>
            <w:r>
              <w:rPr>
                <w:rtl/>
                <w:lang w:bidi="fa-IR"/>
              </w:rPr>
              <w:t xml:space="preserve"> : « فقال ».</w:t>
            </w:r>
          </w:p>
        </w:tc>
      </w:tr>
    </w:tbl>
    <w:p w:rsidR="00744A1C" w:rsidRDefault="00E378DD" w:rsidP="0033223A">
      <w:pPr>
        <w:pStyle w:val="libFootnote0"/>
        <w:rPr>
          <w:lang w:bidi="fa-IR"/>
        </w:rPr>
      </w:pPr>
      <w:r>
        <w:rPr>
          <w:rtl/>
          <w:lang w:bidi="fa-IR"/>
        </w:rPr>
        <w:t>(9).</w:t>
      </w:r>
      <w:r w:rsidR="00744A1C">
        <w:rPr>
          <w:rtl/>
          <w:lang w:bidi="fa-IR"/>
        </w:rPr>
        <w:t xml:space="preserve"> قال ابن الأثير : « ساح في الأرض يسيح سياحة ، إذا ذهب فيها ، وأصله من السيح ، وهو الماء الجاري المنبسطعلى وجه الأرض ... [ ومنه ] الحديث : سياحة هذه الا</w:t>
      </w:r>
      <w:r w:rsidR="0033223A">
        <w:rPr>
          <w:rFonts w:hint="cs"/>
          <w:rtl/>
          <w:lang w:bidi="fa-IR"/>
        </w:rPr>
        <w:t>ُ</w:t>
      </w:r>
      <w:r w:rsidR="00744A1C">
        <w:rPr>
          <w:rtl/>
          <w:lang w:bidi="fa-IR"/>
        </w:rPr>
        <w:t xml:space="preserve">مّة الصيام ، قيل للصائم : سائح ؛ لأنّ الذي يسيح في الأرض متعبّد يسيح ولا زاد له ولا ماء ، فحين يجد يطعم. والصائم يمضي نهاره لا يأكل ولا يشرب شيئاً ، فشبّه به ». </w:t>
      </w:r>
      <w:r w:rsidR="00744A1C" w:rsidRPr="00877682">
        <w:rPr>
          <w:rStyle w:val="libFootnoteBoldChar"/>
          <w:rtl/>
        </w:rPr>
        <w:t>النهاية</w:t>
      </w:r>
      <w:r w:rsidR="00744A1C">
        <w:rPr>
          <w:rtl/>
          <w:lang w:bidi="fa-IR"/>
        </w:rPr>
        <w:t xml:space="preserve"> ، ج 2 ، ص 432 ( سيح ).</w:t>
      </w:r>
      <w:r w:rsidR="0033223A">
        <w:rPr>
          <w:rFonts w:hint="cs"/>
          <w:rtl/>
          <w:lang w:bidi="fa-IR"/>
        </w:rPr>
        <w:t xml:space="preserve">                        </w:t>
      </w:r>
      <w:r>
        <w:rPr>
          <w:rtl/>
          <w:lang w:bidi="fa-IR"/>
        </w:rPr>
        <w:t>(10).</w:t>
      </w:r>
      <w:r w:rsidR="00744A1C">
        <w:rPr>
          <w:rtl/>
          <w:lang w:bidi="fa-IR"/>
        </w:rPr>
        <w:t xml:space="preserve"> في « جن » : « صلاة ».</w:t>
      </w:r>
    </w:p>
    <w:p w:rsidR="00744A1C" w:rsidRDefault="00E378DD" w:rsidP="00E378DD">
      <w:pPr>
        <w:pStyle w:val="libFootnote0"/>
        <w:rPr>
          <w:lang w:bidi="fa-IR"/>
        </w:rPr>
      </w:pPr>
      <w:r>
        <w:rPr>
          <w:rtl/>
          <w:lang w:bidi="fa-IR"/>
        </w:rPr>
        <w:t>(11).</w:t>
      </w:r>
      <w:r w:rsidR="00744A1C">
        <w:rPr>
          <w:rtl/>
          <w:lang w:bidi="fa-IR"/>
        </w:rPr>
        <w:t xml:space="preserve"> في « بث ، بس ، بف ، جد ، جن » </w:t>
      </w:r>
      <w:r w:rsidR="00744A1C" w:rsidRPr="0033223A">
        <w:rPr>
          <w:rtl/>
        </w:rPr>
        <w:t>والوافي والتهذيب</w:t>
      </w:r>
      <w:r w:rsidR="00744A1C">
        <w:rPr>
          <w:rtl/>
          <w:lang w:bidi="fa-IR"/>
        </w:rPr>
        <w:t xml:space="preserve"> : « الحافظون » بدون الواو.</w:t>
      </w:r>
    </w:p>
    <w:p w:rsidR="00744A1C" w:rsidRDefault="00E378DD" w:rsidP="00E378DD">
      <w:pPr>
        <w:pStyle w:val="libFootnote0"/>
        <w:rPr>
          <w:lang w:bidi="fa-IR"/>
        </w:rPr>
      </w:pPr>
      <w:r>
        <w:rPr>
          <w:rtl/>
          <w:lang w:bidi="fa-IR"/>
        </w:rPr>
        <w:t>(12).</w:t>
      </w:r>
      <w:r w:rsidR="00744A1C">
        <w:rPr>
          <w:rtl/>
          <w:lang w:bidi="fa-IR"/>
        </w:rPr>
        <w:t xml:space="preserve"> في </w:t>
      </w:r>
      <w:r w:rsidR="00744A1C" w:rsidRPr="0033223A">
        <w:rPr>
          <w:rtl/>
        </w:rPr>
        <w:t>الوسائل</w:t>
      </w:r>
      <w:r w:rsidR="00744A1C">
        <w:rPr>
          <w:rtl/>
          <w:lang w:bidi="fa-IR"/>
        </w:rPr>
        <w:t xml:space="preserve"> : « في ركوعها ».</w:t>
      </w:r>
    </w:p>
    <w:p w:rsidR="006A5060" w:rsidRDefault="006A5060" w:rsidP="00D10E3C">
      <w:pPr>
        <w:pStyle w:val="libNormal"/>
        <w:rPr>
          <w:rtl/>
          <w:lang w:bidi="fa-IR"/>
        </w:rPr>
      </w:pPr>
      <w:r>
        <w:rPr>
          <w:rtl/>
          <w:lang w:bidi="fa-IR"/>
        </w:rPr>
        <w:br w:type="page"/>
      </w:r>
    </w:p>
    <w:p w:rsidR="00744A1C" w:rsidRDefault="00744A1C" w:rsidP="0033223A">
      <w:pPr>
        <w:pStyle w:val="libNormal0"/>
        <w:rPr>
          <w:lang w:bidi="fa-IR"/>
        </w:rPr>
      </w:pPr>
      <w:r w:rsidRPr="0033223A">
        <w:rPr>
          <w:rStyle w:val="libAieChar"/>
          <w:rtl/>
        </w:rPr>
        <w:t xml:space="preserve">الْمُنْكَرِ </w:t>
      </w:r>
      <w:r w:rsidRPr="0033223A">
        <w:rPr>
          <w:rStyle w:val="libAlaemChar"/>
          <w:rtl/>
        </w:rPr>
        <w:t>)</w:t>
      </w:r>
      <w:r>
        <w:rPr>
          <w:rtl/>
          <w:lang w:bidi="fa-IR"/>
        </w:rPr>
        <w:t xml:space="preserve"> وَ</w:t>
      </w:r>
      <w:r w:rsidR="0033223A">
        <w:rPr>
          <w:rFonts w:hint="cs"/>
          <w:rtl/>
          <w:lang w:bidi="fa-IR"/>
        </w:rPr>
        <w:t xml:space="preserve"> </w:t>
      </w:r>
      <w:r>
        <w:rPr>
          <w:rtl/>
          <w:lang w:bidi="fa-IR"/>
        </w:rPr>
        <w:t>الْمُنْتَهُونَ عَنْهُ ، قَالَ : فَبَشِّرْ مَنْ قُتِلَ وَهُوَ قَائِمٌ بِهذِهِ الشُّرُوطِ بِالشَّهَادَةِ وَالْجَنَّةِ.</w:t>
      </w:r>
    </w:p>
    <w:p w:rsidR="00744A1C" w:rsidRDefault="00744A1C" w:rsidP="00744A1C">
      <w:pPr>
        <w:pStyle w:val="libNormal"/>
        <w:rPr>
          <w:lang w:bidi="fa-IR"/>
        </w:rPr>
      </w:pPr>
      <w:r>
        <w:rPr>
          <w:rtl/>
          <w:lang w:bidi="fa-IR"/>
        </w:rPr>
        <w:t>ثُمَّ أَخْبَرَ - تَبَارَكَ وَتَعَالى - أَنَّهُ ل</w:t>
      </w:r>
      <w:r w:rsidR="0033223A">
        <w:rPr>
          <w:rtl/>
          <w:lang w:bidi="fa-IR"/>
        </w:rPr>
        <w:t>َمْ يَأْمُرْ بِالْقِتَالِ إِل</w:t>
      </w:r>
      <w:r w:rsidR="0033223A">
        <w:rPr>
          <w:rFonts w:hint="cs"/>
          <w:rtl/>
          <w:lang w:bidi="fa-IR"/>
        </w:rPr>
        <w:t>َّ</w:t>
      </w:r>
      <w:r w:rsidR="0033223A">
        <w:rPr>
          <w:rtl/>
          <w:lang w:bidi="fa-IR"/>
        </w:rPr>
        <w:t>ا</w:t>
      </w:r>
      <w:r>
        <w:rPr>
          <w:rtl/>
          <w:lang w:bidi="fa-IR"/>
        </w:rPr>
        <w:t xml:space="preserve"> أَصْحَابَ هذِهِ الشُّرُوطِ ، فَقَالَ عَزَّ وَجَلَّ : </w:t>
      </w:r>
      <w:r w:rsidRPr="00B240CB">
        <w:rPr>
          <w:rStyle w:val="libAlaemChar"/>
          <w:rtl/>
        </w:rPr>
        <w:t>(</w:t>
      </w:r>
      <w:r w:rsidRPr="00B240CB">
        <w:rPr>
          <w:rStyle w:val="libAieChar"/>
          <w:rtl/>
        </w:rPr>
        <w:t xml:space="preserve"> أُذِنَ لِلَّذِينَ يُقاتَلُونَ بِأَنَّهُمْ ظُلِمُوا وَإِنَّ اللهَ عَلى نَصْرِهِمْ لَقَدِيرٌ </w:t>
      </w:r>
      <w:r w:rsidR="00B240CB">
        <w:rPr>
          <w:rStyle w:val="libAieChar"/>
          <w:rFonts w:hint="cs"/>
          <w:rtl/>
        </w:rPr>
        <w:t xml:space="preserve">* </w:t>
      </w:r>
      <w:r w:rsidRPr="00B240CB">
        <w:rPr>
          <w:rStyle w:val="libAieChar"/>
          <w:rtl/>
        </w:rPr>
        <w:t>الَّذِينَ أُخْرِجُوا مِنْ</w:t>
      </w:r>
      <w:r w:rsidR="00F87A6A">
        <w:rPr>
          <w:rStyle w:val="libAieChar"/>
          <w:rtl/>
        </w:rPr>
        <w:t xml:space="preserve"> دِيارِهِمْ بِغَيْرِ حَقٍّ إِل</w:t>
      </w:r>
      <w:r w:rsidR="00F87A6A">
        <w:rPr>
          <w:rStyle w:val="libAieChar"/>
          <w:rFonts w:hint="cs"/>
          <w:rtl/>
        </w:rPr>
        <w:t>َّ</w:t>
      </w:r>
      <w:r w:rsidR="00F87A6A">
        <w:rPr>
          <w:rStyle w:val="libAieChar"/>
          <w:rtl/>
        </w:rPr>
        <w:t>ا</w:t>
      </w:r>
      <w:r w:rsidRPr="00B240CB">
        <w:rPr>
          <w:rStyle w:val="libAieChar"/>
          <w:rtl/>
        </w:rPr>
        <w:t xml:space="preserve"> أَنْ يَقُولُوا رَبُّنَا اللهُ </w:t>
      </w:r>
      <w:r w:rsidRPr="00B240CB">
        <w:rPr>
          <w:rStyle w:val="libAlaemChar"/>
          <w:rtl/>
        </w:rPr>
        <w:t>)</w:t>
      </w:r>
      <w:r>
        <w:rPr>
          <w:rtl/>
          <w:lang w:bidi="fa-IR"/>
        </w:rPr>
        <w:t xml:space="preserve"> </w:t>
      </w:r>
      <w:r w:rsidRPr="00D10E3C">
        <w:rPr>
          <w:rStyle w:val="libFootnotenumChar"/>
          <w:rtl/>
        </w:rPr>
        <w:t>(1)</w:t>
      </w:r>
    </w:p>
    <w:p w:rsidR="00744A1C" w:rsidRDefault="00744A1C" w:rsidP="00744A1C">
      <w:pPr>
        <w:pStyle w:val="libNormal"/>
        <w:rPr>
          <w:lang w:bidi="fa-IR"/>
        </w:rPr>
      </w:pPr>
      <w:r>
        <w:rPr>
          <w:rtl/>
          <w:lang w:bidi="fa-IR"/>
        </w:rPr>
        <w:t>وَ</w:t>
      </w:r>
      <w:r w:rsidR="005C45D5">
        <w:rPr>
          <w:rFonts w:hint="cs"/>
          <w:rtl/>
          <w:lang w:bidi="fa-IR"/>
        </w:rPr>
        <w:t xml:space="preserve"> </w:t>
      </w:r>
      <w:r>
        <w:rPr>
          <w:rtl/>
          <w:lang w:bidi="fa-IR"/>
        </w:rPr>
        <w:t xml:space="preserve">ذلِكَ أَنَّ جَمِيعَ مَا بَيْنَ السَّمَاءِ وَالْأَرْضِ لِلّهِ - عَزَّ وَجَلَّ - وَلِرَسُولِهِ وَلِأَتْبَاعِهِمْ </w:t>
      </w:r>
      <w:r w:rsidRPr="00D10E3C">
        <w:rPr>
          <w:rStyle w:val="libFootnotenumChar"/>
          <w:rtl/>
        </w:rPr>
        <w:t>(2)</w:t>
      </w:r>
      <w:r>
        <w:rPr>
          <w:rtl/>
          <w:lang w:bidi="fa-IR"/>
        </w:rPr>
        <w:t xml:space="preserve"> مِنَ الْمُؤْمِنِينَ مِنْ أَهْلِ هذِهِ الصِّفَةِ ، فَمَا كَانَ مِنَ الدُّنْيَا فِي أَيْدِي الْمُشْرِكِينَ وَالْكُفَّارِ وَالظَّلَمَةِ وَالْفُجَّارِ مِنْ أَهْلِ الْخِلَافِ لِرَسُولِ اللهِ </w:t>
      </w:r>
      <w:r w:rsidR="0017097C" w:rsidRPr="0017097C">
        <w:rPr>
          <w:rStyle w:val="libAlaemChar"/>
          <w:rtl/>
        </w:rPr>
        <w:t>صلى‌الله‌عليه‌وآله</w:t>
      </w:r>
      <w:r w:rsidR="00D10E3C">
        <w:rPr>
          <w:rtl/>
          <w:lang w:bidi="fa-IR"/>
        </w:rPr>
        <w:t xml:space="preserve"> </w:t>
      </w:r>
      <w:r>
        <w:rPr>
          <w:rtl/>
          <w:lang w:bidi="fa-IR"/>
        </w:rPr>
        <w:t xml:space="preserve">، وَالْمُوَلِّي </w:t>
      </w:r>
      <w:r w:rsidRPr="00D10E3C">
        <w:rPr>
          <w:rStyle w:val="libFootnotenumChar"/>
          <w:rtl/>
        </w:rPr>
        <w:t>(3)</w:t>
      </w:r>
      <w:r>
        <w:rPr>
          <w:rtl/>
          <w:lang w:bidi="fa-IR"/>
        </w:rPr>
        <w:t xml:space="preserve"> عَنْ طَاعَتِهِمَا مِمَّا كَانَ فِي أَيْدِيهِمْ ظَلَمُوا فِيهِ الْمُؤْمِنِينَ مِنْ أَهْلِ هذِهِ الصِّفَاتِ وَغَلَبُوهُمْ عَلَيْهِ مِمَّا </w:t>
      </w:r>
      <w:r w:rsidRPr="00D10E3C">
        <w:rPr>
          <w:rStyle w:val="libFootnotenumChar"/>
          <w:rtl/>
        </w:rPr>
        <w:t>(4)</w:t>
      </w:r>
      <w:r>
        <w:rPr>
          <w:rtl/>
          <w:lang w:bidi="fa-IR"/>
        </w:rPr>
        <w:t xml:space="preserve"> أَفَاءَ اللهُ عَلى رَسُولِهِ ، فَهُوَ حَقُّهُمْ أَفَاءَ اللهُ عَلَيْهِمْ ، وَرَدَّهُ إِلَيْهِمْ </w:t>
      </w:r>
      <w:r w:rsidRPr="00D10E3C">
        <w:rPr>
          <w:rStyle w:val="libFootnotenumChar"/>
          <w:rtl/>
        </w:rPr>
        <w:t>(5)</w:t>
      </w:r>
      <w:r w:rsidR="005C45D5" w:rsidRPr="005C45D5">
        <w:rPr>
          <w:rFonts w:hint="cs"/>
          <w:rtl/>
        </w:rPr>
        <w:t>.</w:t>
      </w:r>
    </w:p>
    <w:p w:rsidR="00144FA6" w:rsidRDefault="00744A1C" w:rsidP="00744A1C">
      <w:pPr>
        <w:pStyle w:val="libNormal"/>
        <w:rPr>
          <w:rtl/>
          <w:lang w:bidi="fa-IR"/>
        </w:rPr>
      </w:pPr>
      <w:r>
        <w:rPr>
          <w:rtl/>
          <w:lang w:bidi="fa-IR"/>
        </w:rPr>
        <w:t>وَ</w:t>
      </w:r>
      <w:r w:rsidR="005C45D5">
        <w:rPr>
          <w:rFonts w:hint="cs"/>
          <w:rtl/>
          <w:lang w:bidi="fa-IR"/>
        </w:rPr>
        <w:t xml:space="preserve"> </w:t>
      </w:r>
      <w:r>
        <w:rPr>
          <w:rtl/>
          <w:lang w:bidi="fa-IR"/>
        </w:rPr>
        <w:t xml:space="preserve">إِنَّمَا </w:t>
      </w:r>
      <w:r w:rsidRPr="00D10E3C">
        <w:rPr>
          <w:rStyle w:val="libFootnotenumChar"/>
          <w:rtl/>
        </w:rPr>
        <w:t>(6)</w:t>
      </w:r>
      <w:r>
        <w:rPr>
          <w:rtl/>
          <w:lang w:bidi="fa-IR"/>
        </w:rPr>
        <w:t xml:space="preserve"> مَعْنَى الْفَيْ‌ءِ كُلُّ مَا صَارَ إِلَى الْمُشْرِكِينَ ، ثُمَّ رَجَعَ مِمَّا كَانَ قَدْ </w:t>
      </w:r>
      <w:r w:rsidRPr="00D10E3C">
        <w:rPr>
          <w:rStyle w:val="libFootnotenumChar"/>
          <w:rtl/>
        </w:rPr>
        <w:t>(7)</w:t>
      </w:r>
      <w:r>
        <w:rPr>
          <w:rtl/>
          <w:lang w:bidi="fa-IR"/>
        </w:rPr>
        <w:t xml:space="preserve"> غُلِبَ </w:t>
      </w:r>
      <w:r w:rsidRPr="00D10E3C">
        <w:rPr>
          <w:rStyle w:val="libFootnotenumChar"/>
          <w:rtl/>
        </w:rPr>
        <w:t>(8)</w:t>
      </w:r>
      <w:r>
        <w:rPr>
          <w:rtl/>
          <w:lang w:bidi="fa-IR"/>
        </w:rPr>
        <w:t xml:space="preserve"> عَلَيْهِ أَوْ فِيهِ ، فَمَا رَجَعَ إِلى مَكَانِهِ مِنْ قَوْلٍ أَوْ فِعْلٍ ، فَقَدْ فَاءَ ؛ مِثْلُ قَوْلِ اللهِ عَزَّ وَجَلَّ : </w:t>
      </w:r>
      <w:r w:rsidRPr="005C45D5">
        <w:rPr>
          <w:rStyle w:val="libAlaemChar"/>
          <w:rtl/>
        </w:rPr>
        <w:t>(</w:t>
      </w:r>
      <w:r w:rsidRPr="005C45D5">
        <w:rPr>
          <w:rStyle w:val="libAieChar"/>
          <w:rtl/>
        </w:rPr>
        <w:t xml:space="preserve"> لِلَّذِينَ يُؤْلُونَ </w:t>
      </w:r>
      <w:r w:rsidRPr="00D10E3C">
        <w:rPr>
          <w:rStyle w:val="libFootnotenumChar"/>
          <w:rtl/>
        </w:rPr>
        <w:t>(9)</w:t>
      </w:r>
      <w:r>
        <w:rPr>
          <w:rtl/>
          <w:lang w:bidi="fa-IR"/>
        </w:rPr>
        <w:t xml:space="preserve"> </w:t>
      </w:r>
      <w:r w:rsidRPr="005C45D5">
        <w:rPr>
          <w:rStyle w:val="libAieChar"/>
          <w:rtl/>
        </w:rPr>
        <w:t>مِنْ نِسائِهِمْ تَرَبُّصُ</w:t>
      </w:r>
      <w:r>
        <w:rPr>
          <w:rtl/>
          <w:lang w:bidi="fa-IR"/>
        </w:rPr>
        <w:t xml:space="preserve"> </w:t>
      </w:r>
      <w:r w:rsidRPr="00D10E3C">
        <w:rPr>
          <w:rStyle w:val="libFootnotenumChar"/>
          <w:rtl/>
        </w:rPr>
        <w:t>(10)</w:t>
      </w:r>
      <w:r w:rsidRPr="005C45D5">
        <w:rPr>
          <w:rStyle w:val="libAieChar"/>
          <w:rtl/>
        </w:rPr>
        <w:t xml:space="preserve"> أَرْبَعَةِ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الحجّ (22) : 39 و 40.</w:t>
      </w:r>
    </w:p>
    <w:p w:rsidR="00744A1C" w:rsidRDefault="00E378DD" w:rsidP="00E378DD">
      <w:pPr>
        <w:pStyle w:val="libFootnote0"/>
        <w:rPr>
          <w:lang w:bidi="fa-IR"/>
        </w:rPr>
      </w:pPr>
      <w:r>
        <w:rPr>
          <w:rtl/>
          <w:lang w:bidi="fa-IR"/>
        </w:rPr>
        <w:t>(2).</w:t>
      </w:r>
      <w:r w:rsidR="00744A1C">
        <w:rPr>
          <w:rtl/>
          <w:lang w:bidi="fa-IR"/>
        </w:rPr>
        <w:t xml:space="preserve"> هكذا في جميع النسخ </w:t>
      </w:r>
      <w:r w:rsidR="00744A1C" w:rsidRPr="00583F23">
        <w:rPr>
          <w:rtl/>
        </w:rPr>
        <w:t>والوافي</w:t>
      </w:r>
      <w:r w:rsidR="00744A1C">
        <w:rPr>
          <w:rtl/>
          <w:lang w:bidi="fa-IR"/>
        </w:rPr>
        <w:t xml:space="preserve">. وفي المطبوع </w:t>
      </w:r>
      <w:r w:rsidR="00744A1C" w:rsidRPr="00583F23">
        <w:rPr>
          <w:rtl/>
        </w:rPr>
        <w:t>والوافي</w:t>
      </w:r>
      <w:r w:rsidR="00744A1C">
        <w:rPr>
          <w:rtl/>
          <w:lang w:bidi="fa-IR"/>
        </w:rPr>
        <w:t xml:space="preserve"> عن نسخة : « ولأتباعهما ». وفي </w:t>
      </w:r>
      <w:r w:rsidR="00744A1C" w:rsidRPr="00583F23">
        <w:rPr>
          <w:rtl/>
        </w:rPr>
        <w:t>التهذيب</w:t>
      </w:r>
      <w:r w:rsidR="00744A1C">
        <w:rPr>
          <w:rtl/>
          <w:lang w:bidi="fa-IR"/>
        </w:rPr>
        <w:t xml:space="preserve"> : « ولأتباعه ».</w:t>
      </w:r>
    </w:p>
    <w:p w:rsidR="00744A1C" w:rsidRDefault="00E378DD" w:rsidP="00E378DD">
      <w:pPr>
        <w:pStyle w:val="libFootnote0"/>
        <w:rPr>
          <w:lang w:bidi="fa-IR"/>
        </w:rPr>
      </w:pPr>
      <w:r>
        <w:rPr>
          <w:rtl/>
          <w:lang w:bidi="fa-IR"/>
        </w:rPr>
        <w:t>(3).</w:t>
      </w:r>
      <w:r w:rsidR="00744A1C">
        <w:rPr>
          <w:rtl/>
          <w:lang w:bidi="fa-IR"/>
        </w:rPr>
        <w:t xml:space="preserve"> في « ى » : « وللمولّي ».</w:t>
      </w:r>
    </w:p>
    <w:p w:rsidR="00744A1C" w:rsidRDefault="00E378DD" w:rsidP="00E378DD">
      <w:pPr>
        <w:pStyle w:val="libFootnote0"/>
        <w:rPr>
          <w:lang w:bidi="fa-IR"/>
        </w:rPr>
      </w:pPr>
      <w:r>
        <w:rPr>
          <w:rtl/>
          <w:lang w:bidi="fa-IR"/>
        </w:rPr>
        <w:t>(4).</w:t>
      </w:r>
      <w:r w:rsidR="00744A1C">
        <w:rPr>
          <w:rtl/>
          <w:lang w:bidi="fa-IR"/>
        </w:rPr>
        <w:t xml:space="preserve"> في « بس ، بف » </w:t>
      </w:r>
      <w:r w:rsidR="00744A1C" w:rsidRPr="00583F23">
        <w:rPr>
          <w:rtl/>
        </w:rPr>
        <w:t>والوافي</w:t>
      </w:r>
      <w:r w:rsidR="00744A1C">
        <w:rPr>
          <w:rtl/>
          <w:lang w:bidi="fa-IR"/>
        </w:rPr>
        <w:t xml:space="preserve"> : « فما ». وفي « بح ، جد » وحاشية « بث ، جت » : « ما ». وفي </w:t>
      </w:r>
      <w:r w:rsidR="00744A1C" w:rsidRPr="00C24F9C">
        <w:rPr>
          <w:rStyle w:val="libFootnoteBoldChar"/>
          <w:rtl/>
        </w:rPr>
        <w:t>الوسائل</w:t>
      </w:r>
      <w:r w:rsidR="009C3598">
        <w:rPr>
          <w:rtl/>
          <w:lang w:bidi="fa-IR"/>
        </w:rPr>
        <w:t xml:space="preserve"> : « على ما</w:t>
      </w:r>
      <w:r w:rsidR="00744A1C">
        <w:rPr>
          <w:rtl/>
          <w:lang w:bidi="fa-IR"/>
        </w:rPr>
        <w:t xml:space="preserve">» بدل « عليه ممّا ». وفي </w:t>
      </w:r>
      <w:r w:rsidR="00744A1C" w:rsidRPr="00C24F9C">
        <w:rPr>
          <w:rStyle w:val="libFootnoteBoldChar"/>
          <w:rtl/>
        </w:rPr>
        <w:t>التهذيب</w:t>
      </w:r>
      <w:r w:rsidR="00744A1C">
        <w:rPr>
          <w:rtl/>
          <w:lang w:bidi="fa-IR"/>
        </w:rPr>
        <w:t xml:space="preserve"> وحاشية المطبوع عن بعض النسخ : « بما ». وفي </w:t>
      </w:r>
      <w:r w:rsidR="00744A1C" w:rsidRPr="00C24F9C">
        <w:rPr>
          <w:rStyle w:val="libFootnoteBoldChar"/>
          <w:rtl/>
        </w:rPr>
        <w:t>المرآة</w:t>
      </w:r>
      <w:r w:rsidR="00744A1C">
        <w:rPr>
          <w:rtl/>
          <w:lang w:bidi="fa-IR"/>
        </w:rPr>
        <w:t xml:space="preserve"> : « ما أفاء الله ».</w:t>
      </w:r>
    </w:p>
    <w:tbl>
      <w:tblPr>
        <w:tblStyle w:val="TableGrid"/>
        <w:bidiVisual/>
        <w:tblW w:w="0" w:type="auto"/>
        <w:tblLook w:val="04A0" w:firstRow="1" w:lastRow="0" w:firstColumn="1" w:lastColumn="0" w:noHBand="0" w:noVBand="1"/>
      </w:tblPr>
      <w:tblGrid>
        <w:gridCol w:w="4006"/>
        <w:gridCol w:w="4006"/>
      </w:tblGrid>
      <w:tr w:rsidR="009C3598" w:rsidTr="009C3598">
        <w:tc>
          <w:tcPr>
            <w:tcW w:w="4006" w:type="dxa"/>
          </w:tcPr>
          <w:p w:rsidR="009C3598" w:rsidRDefault="009C3598" w:rsidP="00E378DD">
            <w:pPr>
              <w:pStyle w:val="libFootnote0"/>
              <w:rPr>
                <w:rtl/>
                <w:lang w:bidi="fa-IR"/>
              </w:rPr>
            </w:pPr>
            <w:r>
              <w:rPr>
                <w:rtl/>
                <w:lang w:bidi="fa-IR"/>
              </w:rPr>
              <w:t xml:space="preserve">(5). في </w:t>
            </w:r>
            <w:r w:rsidRPr="009C3598">
              <w:rPr>
                <w:rtl/>
              </w:rPr>
              <w:t>التهذيب :</w:t>
            </w:r>
            <w:r>
              <w:rPr>
                <w:rtl/>
                <w:lang w:bidi="fa-IR"/>
              </w:rPr>
              <w:t xml:space="preserve"> « عليهم ».</w:t>
            </w:r>
          </w:p>
        </w:tc>
        <w:tc>
          <w:tcPr>
            <w:tcW w:w="4006" w:type="dxa"/>
          </w:tcPr>
          <w:p w:rsidR="009C3598" w:rsidRDefault="009C3598" w:rsidP="00E378DD">
            <w:pPr>
              <w:pStyle w:val="libFootnote0"/>
              <w:rPr>
                <w:rtl/>
                <w:lang w:bidi="fa-IR"/>
              </w:rPr>
            </w:pPr>
            <w:r>
              <w:rPr>
                <w:rtl/>
                <w:lang w:bidi="fa-IR"/>
              </w:rPr>
              <w:t xml:space="preserve">(6). في </w:t>
            </w:r>
            <w:r w:rsidRPr="00C24F9C">
              <w:rPr>
                <w:rStyle w:val="libFootnoteBoldChar"/>
                <w:rtl/>
              </w:rPr>
              <w:t>الوسائل</w:t>
            </w:r>
            <w:r>
              <w:rPr>
                <w:rtl/>
                <w:lang w:bidi="fa-IR"/>
              </w:rPr>
              <w:t xml:space="preserve"> : + « كان ».</w:t>
            </w:r>
          </w:p>
        </w:tc>
      </w:tr>
    </w:tbl>
    <w:p w:rsidR="00744A1C" w:rsidRDefault="00E378DD" w:rsidP="00E378DD">
      <w:pPr>
        <w:pStyle w:val="libFootnote0"/>
        <w:rPr>
          <w:lang w:bidi="fa-IR"/>
        </w:rPr>
      </w:pPr>
      <w:r>
        <w:rPr>
          <w:rtl/>
          <w:lang w:bidi="fa-IR"/>
        </w:rPr>
        <w:t>(7).</w:t>
      </w:r>
      <w:r w:rsidR="00744A1C">
        <w:rPr>
          <w:rtl/>
          <w:lang w:bidi="fa-IR"/>
        </w:rPr>
        <w:t xml:space="preserve"> في « ى ، بث ، بح ، بس ، جت ، جد » و</w:t>
      </w:r>
      <w:r w:rsidR="00744A1C" w:rsidRPr="00C24F9C">
        <w:rPr>
          <w:rStyle w:val="libFootnoteBoldChar"/>
          <w:rtl/>
        </w:rPr>
        <w:t>الوسائل</w:t>
      </w:r>
      <w:r w:rsidR="00744A1C">
        <w:rPr>
          <w:rtl/>
          <w:lang w:bidi="fa-IR"/>
        </w:rPr>
        <w:t xml:space="preserve"> : - « قد ». وفي « بف » : « قد كان ».</w:t>
      </w:r>
    </w:p>
    <w:p w:rsidR="00744A1C" w:rsidRDefault="00E378DD" w:rsidP="00E378DD">
      <w:pPr>
        <w:pStyle w:val="libFootnote0"/>
        <w:rPr>
          <w:lang w:bidi="fa-IR"/>
        </w:rPr>
      </w:pPr>
      <w:r>
        <w:rPr>
          <w:rtl/>
          <w:lang w:bidi="fa-IR"/>
        </w:rPr>
        <w:t>(8).</w:t>
      </w:r>
      <w:r w:rsidR="00744A1C">
        <w:rPr>
          <w:rtl/>
          <w:lang w:bidi="fa-IR"/>
        </w:rPr>
        <w:t xml:space="preserve"> في « جد » : « غلبه ». وفي حاشية « بث ، جت » : - « قد غلب ». وفي </w:t>
      </w:r>
      <w:r w:rsidR="00744A1C" w:rsidRPr="00C24F9C">
        <w:rPr>
          <w:rStyle w:val="libFootnoteBoldChar"/>
          <w:rtl/>
        </w:rPr>
        <w:t>الوافي</w:t>
      </w:r>
      <w:r w:rsidR="00744A1C">
        <w:rPr>
          <w:rtl/>
          <w:lang w:bidi="fa-IR"/>
        </w:rPr>
        <w:t xml:space="preserve"> : « إلى ما قد كان عليه » بدل « ممّا كان قد غلب عليه ».</w:t>
      </w:r>
    </w:p>
    <w:p w:rsidR="00744A1C" w:rsidRDefault="00E378DD" w:rsidP="00E378DD">
      <w:pPr>
        <w:pStyle w:val="libFootnote0"/>
        <w:rPr>
          <w:lang w:bidi="fa-IR"/>
        </w:rPr>
      </w:pPr>
      <w:r>
        <w:rPr>
          <w:rtl/>
          <w:lang w:bidi="fa-IR"/>
        </w:rPr>
        <w:t>(9).</w:t>
      </w:r>
      <w:r w:rsidR="00744A1C">
        <w:rPr>
          <w:rtl/>
          <w:lang w:bidi="fa-IR"/>
        </w:rPr>
        <w:t xml:space="preserve"> يقال : ألوت في الأمر : قصّرت فيه. وحقيقة الإيلاء والأليّة : الحلف المقتضي لتقصير في الأمر الذي يُحلف‌عليه ، وجُعل الإيلاء في الشرع للحلف المانع من جماع </w:t>
      </w:r>
      <w:r w:rsidR="00744A1C" w:rsidRPr="00F26840">
        <w:rPr>
          <w:rtl/>
        </w:rPr>
        <w:t>المرأة</w:t>
      </w:r>
      <w:r w:rsidR="00744A1C">
        <w:rPr>
          <w:rtl/>
          <w:lang w:bidi="fa-IR"/>
        </w:rPr>
        <w:t xml:space="preserve"> ، وكيفيّته وأحكامه مختصّة بكتب الفقه. </w:t>
      </w:r>
      <w:r w:rsidR="00744A1C" w:rsidRPr="002D57AD">
        <w:rPr>
          <w:rStyle w:val="libFootnoteBoldChar"/>
          <w:rtl/>
        </w:rPr>
        <w:t>المفردات للراغب</w:t>
      </w:r>
      <w:r w:rsidR="00744A1C">
        <w:rPr>
          <w:rtl/>
          <w:lang w:bidi="fa-IR"/>
        </w:rPr>
        <w:t xml:space="preserve"> ، ص 84 ( ألي ).</w:t>
      </w:r>
    </w:p>
    <w:p w:rsidR="00144FA6" w:rsidRDefault="00E378DD" w:rsidP="00E378DD">
      <w:pPr>
        <w:pStyle w:val="libFootnote0"/>
        <w:rPr>
          <w:rtl/>
          <w:lang w:bidi="fa-IR"/>
        </w:rPr>
      </w:pPr>
      <w:r>
        <w:rPr>
          <w:rtl/>
          <w:lang w:bidi="fa-IR"/>
        </w:rPr>
        <w:t>(10).</w:t>
      </w:r>
      <w:r w:rsidR="00744A1C">
        <w:rPr>
          <w:rtl/>
          <w:lang w:bidi="fa-IR"/>
        </w:rPr>
        <w:t xml:space="preserve"> التربُّص : الانتظار بالشي‌ء. والتربّص : التثبّت في الشي‌ء حتّى يجي‌ء وقته. قال المحقّق الأردبيلي </w:t>
      </w:r>
      <w:r w:rsidR="00877682" w:rsidRPr="00877682">
        <w:rPr>
          <w:rStyle w:val="libFootnoteAlaemChar"/>
          <w:rtl/>
        </w:rPr>
        <w:t>رحمه‌الله</w:t>
      </w:r>
      <w:r w:rsidR="00F26840">
        <w:rPr>
          <w:rStyle w:val="libFootnoteAlaemChar"/>
          <w:rFonts w:hint="cs"/>
          <w:rtl/>
        </w:rPr>
        <w:t xml:space="preserve"> </w:t>
      </w:r>
      <w:r w:rsidR="00744A1C">
        <w:rPr>
          <w:rtl/>
          <w:lang w:bidi="fa-IR"/>
        </w:rPr>
        <w:t>في</w:t>
      </w:r>
      <w:r w:rsidR="00F26840">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1B55D2">
      <w:pPr>
        <w:pStyle w:val="libNormal0"/>
        <w:rPr>
          <w:lang w:bidi="fa-IR"/>
        </w:rPr>
      </w:pPr>
      <w:r w:rsidRPr="001B55D2">
        <w:rPr>
          <w:rStyle w:val="libAieChar"/>
          <w:rtl/>
        </w:rPr>
        <w:t xml:space="preserve">أَشْهُرٍ </w:t>
      </w:r>
      <w:r w:rsidRPr="00D10E3C">
        <w:rPr>
          <w:rStyle w:val="libFootnotenumChar"/>
          <w:rtl/>
        </w:rPr>
        <w:t>(1)</w:t>
      </w:r>
      <w:r w:rsidRPr="001B55D2">
        <w:rPr>
          <w:rStyle w:val="libAieChar"/>
          <w:rtl/>
        </w:rPr>
        <w:t xml:space="preserve"> فَإِنْ فاؤُ </w:t>
      </w:r>
      <w:r w:rsidRPr="00D10E3C">
        <w:rPr>
          <w:rStyle w:val="libFootnotenumChar"/>
          <w:rtl/>
        </w:rPr>
        <w:t>(2)</w:t>
      </w:r>
      <w:r w:rsidRPr="00EE3C45">
        <w:rPr>
          <w:rStyle w:val="libAieChar"/>
          <w:rtl/>
        </w:rPr>
        <w:t xml:space="preserve"> </w:t>
      </w:r>
      <w:r w:rsidRPr="001B55D2">
        <w:rPr>
          <w:rStyle w:val="libAieChar"/>
          <w:rtl/>
        </w:rPr>
        <w:t>فَإِنَّ اللهَ غَفُورٌ رَحِيمٌ</w:t>
      </w:r>
      <w:r>
        <w:rPr>
          <w:rtl/>
          <w:lang w:bidi="fa-IR"/>
        </w:rPr>
        <w:t xml:space="preserve"> </w:t>
      </w:r>
      <w:r w:rsidRPr="001B55D2">
        <w:rPr>
          <w:rStyle w:val="libAlaemChar"/>
          <w:rtl/>
        </w:rPr>
        <w:t>)</w:t>
      </w:r>
      <w:r>
        <w:rPr>
          <w:rtl/>
          <w:lang w:bidi="fa-IR"/>
        </w:rPr>
        <w:t xml:space="preserve"> أَيْ رَجَعُوا ، ثُمَّ قَالَ : </w:t>
      </w:r>
      <w:r w:rsidRPr="00EE3C45">
        <w:rPr>
          <w:rStyle w:val="libAlaemChar"/>
          <w:rtl/>
        </w:rPr>
        <w:t>(</w:t>
      </w:r>
      <w:r w:rsidRPr="00EE3C45">
        <w:rPr>
          <w:rStyle w:val="libAieChar"/>
          <w:rtl/>
        </w:rPr>
        <w:t xml:space="preserve"> وَإِنْ عَزَمُوا الطَّلاقَ فَإِنَّ اللهَ سَمِيعٌ عَلِيمٌ</w:t>
      </w:r>
      <w:r>
        <w:rPr>
          <w:rtl/>
          <w:lang w:bidi="fa-IR"/>
        </w:rPr>
        <w:t xml:space="preserve"> </w:t>
      </w:r>
      <w:r w:rsidRPr="00EE3C45">
        <w:rPr>
          <w:rStyle w:val="libAlaemChar"/>
          <w:rtl/>
        </w:rPr>
        <w:t>)</w:t>
      </w:r>
      <w:r>
        <w:rPr>
          <w:rtl/>
          <w:lang w:bidi="fa-IR"/>
        </w:rPr>
        <w:t xml:space="preserve"> </w:t>
      </w:r>
      <w:r w:rsidRPr="00D10E3C">
        <w:rPr>
          <w:rStyle w:val="libFootnotenumChar"/>
          <w:rtl/>
        </w:rPr>
        <w:t>(3)</w:t>
      </w:r>
      <w:r>
        <w:rPr>
          <w:rtl/>
          <w:lang w:bidi="fa-IR"/>
        </w:rPr>
        <w:t xml:space="preserve"> وَقَالَ : </w:t>
      </w:r>
      <w:r w:rsidRPr="00EE3C45">
        <w:rPr>
          <w:rStyle w:val="libAlaemChar"/>
          <w:rtl/>
        </w:rPr>
        <w:t>(</w:t>
      </w:r>
      <w:r w:rsidRPr="00EE3C45">
        <w:rPr>
          <w:rStyle w:val="libAieChar"/>
          <w:rtl/>
        </w:rPr>
        <w:t xml:space="preserve"> وَإِنْ طائِفَتانِ مِنَ الْمُؤْمِنِينَ اقْتَتَلُوا فَأَصْلِحُوا بَيْنَهُما فَإِنْ بَغَتْ إِحْداهُما عَلَى الْأُخْرى فَقاتِلُوا الَّتِي تَبْغِي حَتّى تَفِي‌ءَ </w:t>
      </w:r>
      <w:r w:rsidRPr="00D10E3C">
        <w:rPr>
          <w:rStyle w:val="libFootnotenumChar"/>
          <w:rtl/>
        </w:rPr>
        <w:t>(4)</w:t>
      </w:r>
      <w:r w:rsidRPr="00EE3C45">
        <w:rPr>
          <w:rStyle w:val="libAieChar"/>
          <w:rtl/>
        </w:rPr>
        <w:t xml:space="preserve"> إِلى أَمْرِ اللهِ </w:t>
      </w:r>
      <w:r w:rsidRPr="00EE3C45">
        <w:rPr>
          <w:rStyle w:val="libAlaemChar"/>
          <w:rtl/>
        </w:rPr>
        <w:t>)</w:t>
      </w:r>
      <w:r>
        <w:rPr>
          <w:rtl/>
          <w:lang w:bidi="fa-IR"/>
        </w:rPr>
        <w:t xml:space="preserve"> أَيْ تَرْجِعَ </w:t>
      </w:r>
      <w:r w:rsidRPr="00EE3C45">
        <w:rPr>
          <w:rStyle w:val="libAlaemChar"/>
          <w:rtl/>
        </w:rPr>
        <w:t>(</w:t>
      </w:r>
      <w:r w:rsidRPr="00EE3C45">
        <w:rPr>
          <w:rStyle w:val="libAieChar"/>
          <w:rtl/>
        </w:rPr>
        <w:t xml:space="preserve"> فَإِنْ فاءَتْ </w:t>
      </w:r>
      <w:r w:rsidRPr="00EE3C45">
        <w:rPr>
          <w:rStyle w:val="libAlaemChar"/>
          <w:rtl/>
        </w:rPr>
        <w:t>)</w:t>
      </w:r>
      <w:r>
        <w:rPr>
          <w:rtl/>
          <w:lang w:bidi="fa-IR"/>
        </w:rPr>
        <w:t xml:space="preserve"> أَيْ رَجَعَتْ</w:t>
      </w:r>
      <w:r w:rsidR="00334768">
        <w:rPr>
          <w:rFonts w:hint="cs"/>
          <w:rtl/>
          <w:lang w:bidi="fa-IR"/>
        </w:rPr>
        <w:t xml:space="preserve"> </w:t>
      </w:r>
      <w:r w:rsidRPr="00334768">
        <w:rPr>
          <w:rStyle w:val="libAlaemChar"/>
          <w:rtl/>
        </w:rPr>
        <w:t>(</w:t>
      </w:r>
      <w:r w:rsidRPr="00334768">
        <w:rPr>
          <w:rStyle w:val="libAieChar"/>
          <w:rtl/>
        </w:rPr>
        <w:t xml:space="preserve"> فَأَصْلِحُوا بَيْنَهُما بِالْعَدْلِ وَأَقْسِطُوا إِنَّ اللهَ يُحِبُّ الْمُقْسِطِينَ </w:t>
      </w:r>
      <w:r w:rsidRPr="00334768">
        <w:rPr>
          <w:rStyle w:val="libAlaemChar"/>
          <w:rtl/>
        </w:rPr>
        <w:t>)</w:t>
      </w:r>
      <w:r>
        <w:rPr>
          <w:rtl/>
          <w:lang w:bidi="fa-IR"/>
        </w:rPr>
        <w:t xml:space="preserve"> </w:t>
      </w:r>
      <w:r w:rsidRPr="00D10E3C">
        <w:rPr>
          <w:rStyle w:val="libFootnotenumChar"/>
          <w:rtl/>
        </w:rPr>
        <w:t>(5)</w:t>
      </w:r>
      <w:r>
        <w:rPr>
          <w:rtl/>
          <w:lang w:bidi="fa-IR"/>
        </w:rPr>
        <w:t xml:space="preserve"> يَعْنِي بِقَوْلِهِ : </w:t>
      </w:r>
      <w:r w:rsidRPr="00334768">
        <w:rPr>
          <w:rStyle w:val="libAlaemChar"/>
          <w:rtl/>
        </w:rPr>
        <w:t>(</w:t>
      </w:r>
      <w:r>
        <w:rPr>
          <w:rtl/>
          <w:lang w:bidi="fa-IR"/>
        </w:rPr>
        <w:t xml:space="preserve"> </w:t>
      </w:r>
      <w:r w:rsidRPr="00334768">
        <w:rPr>
          <w:rStyle w:val="libAieChar"/>
          <w:rtl/>
        </w:rPr>
        <w:t xml:space="preserve">تَفِي‌ءَ </w:t>
      </w:r>
      <w:r w:rsidRPr="00334768">
        <w:rPr>
          <w:rStyle w:val="libAlaemChar"/>
          <w:rtl/>
        </w:rPr>
        <w:t>)</w:t>
      </w:r>
      <w:r>
        <w:rPr>
          <w:rtl/>
          <w:lang w:bidi="fa-IR"/>
        </w:rPr>
        <w:t xml:space="preserve"> تَرْجِعَ.</w:t>
      </w:r>
    </w:p>
    <w:p w:rsidR="00744A1C" w:rsidRDefault="00744A1C" w:rsidP="00744A1C">
      <w:pPr>
        <w:pStyle w:val="libNormal"/>
        <w:rPr>
          <w:lang w:bidi="fa-IR"/>
        </w:rPr>
      </w:pPr>
      <w:r>
        <w:rPr>
          <w:rtl/>
          <w:lang w:bidi="fa-IR"/>
        </w:rPr>
        <w:t xml:space="preserve">فَذلِكَ </w:t>
      </w:r>
      <w:r w:rsidRPr="00D10E3C">
        <w:rPr>
          <w:rStyle w:val="libFootnotenumChar"/>
          <w:rtl/>
        </w:rPr>
        <w:t>(6)</w:t>
      </w:r>
      <w:r>
        <w:rPr>
          <w:rtl/>
          <w:lang w:bidi="fa-IR"/>
        </w:rPr>
        <w:t xml:space="preserve"> الدَّلِيلُ عَلى أَنَّ الْفَيْ‌ءَ كُلُّ رَاجِعٍ إِلى مَكَانٍ قَدْ كَانَ عَلَيْهِ أَوْ فِيهِ ، وَيُقَالُ لِلشَّمْسِ إِذَا زَالَتْ : قَدْ فَاءَتِ الشَّمْسُ حِينَ </w:t>
      </w:r>
      <w:r w:rsidRPr="00D10E3C">
        <w:rPr>
          <w:rStyle w:val="libFootnotenumChar"/>
          <w:rtl/>
        </w:rPr>
        <w:t>(7)</w:t>
      </w:r>
      <w:r>
        <w:rPr>
          <w:rtl/>
          <w:lang w:bidi="fa-IR"/>
        </w:rPr>
        <w:t xml:space="preserve"> يَفِي‌ءُ </w:t>
      </w:r>
      <w:r w:rsidRPr="00D10E3C">
        <w:rPr>
          <w:rStyle w:val="libFootnotenumChar"/>
          <w:rtl/>
        </w:rPr>
        <w:t>(8)</w:t>
      </w:r>
      <w:r>
        <w:rPr>
          <w:rtl/>
          <w:lang w:bidi="fa-IR"/>
        </w:rPr>
        <w:t xml:space="preserve"> الْفَيْ‌ءُ </w:t>
      </w:r>
      <w:r w:rsidRPr="00D10E3C">
        <w:rPr>
          <w:rStyle w:val="libFootnotenumChar"/>
          <w:rtl/>
        </w:rPr>
        <w:t>(9)</w:t>
      </w:r>
      <w:r>
        <w:rPr>
          <w:rtl/>
          <w:lang w:bidi="fa-IR"/>
        </w:rPr>
        <w:t xml:space="preserve"> عِنْدَ رُجُوعِ الشَّمْسِ إِلى زَوَالِهَا ، وَكَذلِكَ مَا أَفَاءَ اللهُ عَلَى الْمُؤْمِنِينَ مِنَ الْكُفَّارِ ، فَإِنَّمَا هِيَ حُقُوقُ الْمُؤْمِنِينَ رَجَعَتْ إِلَيْهِمْ بَعْدَ ظُلْمِ الْكُفَّارِ إِيَّاهُمْ ، فَذلِكَ قَوْلُهُ : ( أُذِنَ لِلَّذِينَ يُقاتَلُونَ بِأَنَّهُمْ ظُلِمُوا ) </w:t>
      </w:r>
      <w:r w:rsidRPr="00D10E3C">
        <w:rPr>
          <w:rStyle w:val="libFootnotenumChar"/>
          <w:rtl/>
        </w:rPr>
        <w:t>(10)</w:t>
      </w:r>
      <w:r>
        <w:rPr>
          <w:rtl/>
          <w:lang w:bidi="fa-IR"/>
        </w:rPr>
        <w:t xml:space="preserve"> مَا كَانَ الْمُؤْمِنُونَ أَحَقَّ بِهِ مِنْهُمْ ، وَإِنَّمَا أُذِنَ لِلْمُؤْمِنِينَ الَّذِينَ قَامُوا بِشَرَائِطِ الْإِيمَانِ الَّتِي وَصَفْنَاهَا ، وَذلِكَ أَنَّهُ لَايَكُونُ مَأْذُوناً لَهُ فِي الْقِتَالِ حَتّى يَكُونَ مَظْلُوماً ، وَلَا يَكُونُ‌ مَظْلُوماً حَتّى يَكُونَ مُؤْمِناً ، وَلَا يَكُونُ مُؤْمِناً حَتّى يَكُونَ قَائِماً بِشَرَائِطِ الْإِيمَانِ الَّتِي اشْتَرَطَ اللهُ - عَزَّ وَجَلَّ - عَلَى الْمُؤْمِنِينَ وَالْمُجَاهِدِينَ ، فَإِذَا تَكَامَلَتْ فِيهِ شَرَائِطُ اللهِ‌</w:t>
      </w:r>
    </w:p>
    <w:p w:rsidR="00744A1C" w:rsidRDefault="00744A1C" w:rsidP="00D10E3C">
      <w:pPr>
        <w:pStyle w:val="libLine"/>
        <w:rPr>
          <w:lang w:bidi="fa-IR"/>
        </w:rPr>
      </w:pPr>
      <w:r>
        <w:rPr>
          <w:rtl/>
          <w:lang w:bidi="fa-IR"/>
        </w:rPr>
        <w:t>____________________</w:t>
      </w:r>
    </w:p>
    <w:p w:rsidR="00744A1C" w:rsidRDefault="00334768" w:rsidP="00D10E3C">
      <w:pPr>
        <w:pStyle w:val="libFootnote0"/>
        <w:rPr>
          <w:lang w:bidi="fa-IR"/>
        </w:rPr>
      </w:pPr>
      <w:r>
        <w:rPr>
          <w:rFonts w:hint="cs"/>
          <w:rtl/>
          <w:lang w:bidi="fa-IR"/>
        </w:rPr>
        <w:t xml:space="preserve">= </w:t>
      </w:r>
      <w:r w:rsidR="00744A1C">
        <w:rPr>
          <w:rtl/>
          <w:lang w:bidi="fa-IR"/>
        </w:rPr>
        <w:t xml:space="preserve">زبدة البيان ، ص 611 : « تربّص مبتدأ ، وللذين خبره ، والمعنى : للمؤلي حقّ التربّص والتلبّث والمهلة في هذه المدّة ». وراجع أيضاً : </w:t>
      </w:r>
      <w:r w:rsidR="00744A1C" w:rsidRPr="002D57AD">
        <w:rPr>
          <w:rStyle w:val="libFootnoteBoldChar"/>
          <w:rtl/>
        </w:rPr>
        <w:t>المفردات للراغب</w:t>
      </w:r>
      <w:r w:rsidR="00744A1C">
        <w:rPr>
          <w:rtl/>
          <w:lang w:bidi="fa-IR"/>
        </w:rPr>
        <w:t xml:space="preserve"> ، ص 338 ( ربص ) ؛ التبيان ، ج 2 ، ص 232 ؛ مجمع البيان ، ج 2 ، ص 95.</w:t>
      </w:r>
    </w:p>
    <w:p w:rsidR="00744A1C" w:rsidRDefault="00D10E3C" w:rsidP="00D10E3C">
      <w:pPr>
        <w:pStyle w:val="libFootnote0"/>
        <w:rPr>
          <w:lang w:bidi="fa-IR"/>
        </w:rPr>
      </w:pPr>
      <w:r>
        <w:rPr>
          <w:rtl/>
          <w:lang w:bidi="fa-IR"/>
        </w:rPr>
        <w:t>(1).</w:t>
      </w:r>
      <w:r w:rsidR="00744A1C">
        <w:rPr>
          <w:rtl/>
          <w:lang w:bidi="fa-IR"/>
        </w:rPr>
        <w:t xml:space="preserve"> في « ى ، بح ، جد ، جن » : - </w:t>
      </w:r>
      <w:r w:rsidR="00744A1C" w:rsidRPr="00334768">
        <w:rPr>
          <w:rStyle w:val="libFootnoteAlaemChar"/>
          <w:rtl/>
        </w:rPr>
        <w:t>(</w:t>
      </w:r>
      <w:r w:rsidR="00744A1C" w:rsidRPr="00334768">
        <w:rPr>
          <w:rStyle w:val="libFootnoteAieChar"/>
          <w:rtl/>
        </w:rPr>
        <w:t xml:space="preserve"> لِلَّذِينَ يُؤْلُونَ مِنْ نِسائِهِمْ تَرَبُّصُ أَرْبَعَةِ أَشْهُرٍ </w:t>
      </w:r>
      <w:r w:rsidR="00744A1C" w:rsidRPr="00334768">
        <w:rPr>
          <w:rStyle w:val="libFootnoteAlaemChar"/>
          <w:rtl/>
        </w:rPr>
        <w:t>)</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الفي‌ء : الرجوع ، و « فَأْوُوا » ، أي رجعوا. راجع : </w:t>
      </w:r>
      <w:r w:rsidR="00744A1C" w:rsidRPr="00877682">
        <w:rPr>
          <w:rStyle w:val="libFootnoteBoldChar"/>
          <w:rtl/>
        </w:rPr>
        <w:t>لسان العرب</w:t>
      </w:r>
      <w:r w:rsidR="00744A1C">
        <w:rPr>
          <w:rtl/>
          <w:lang w:bidi="fa-IR"/>
        </w:rPr>
        <w:t xml:space="preserve"> ، ج 1 ، ص 126 ( فاء ).</w:t>
      </w:r>
    </w:p>
    <w:p w:rsidR="00744A1C" w:rsidRDefault="00E378DD" w:rsidP="00E378DD">
      <w:pPr>
        <w:pStyle w:val="libFootnote0"/>
        <w:rPr>
          <w:lang w:bidi="fa-IR"/>
        </w:rPr>
      </w:pPr>
      <w:r>
        <w:rPr>
          <w:rtl/>
          <w:lang w:bidi="fa-IR"/>
        </w:rPr>
        <w:t>(3).</w:t>
      </w:r>
      <w:r w:rsidR="00744A1C">
        <w:rPr>
          <w:rtl/>
          <w:lang w:bidi="fa-IR"/>
        </w:rPr>
        <w:t xml:space="preserve"> البقرة </w:t>
      </w:r>
      <w:r w:rsidR="00C73AD9">
        <w:rPr>
          <w:rtl/>
          <w:lang w:bidi="fa-IR"/>
        </w:rPr>
        <w:t>(2)</w:t>
      </w:r>
      <w:r w:rsidR="00744A1C">
        <w:rPr>
          <w:rtl/>
          <w:lang w:bidi="fa-IR"/>
        </w:rPr>
        <w:t xml:space="preserve"> : 226 و 227.</w:t>
      </w:r>
    </w:p>
    <w:p w:rsidR="00744A1C" w:rsidRDefault="00E378DD" w:rsidP="00E378DD">
      <w:pPr>
        <w:pStyle w:val="libFootnote0"/>
        <w:rPr>
          <w:lang w:bidi="fa-IR"/>
        </w:rPr>
      </w:pPr>
      <w:r>
        <w:rPr>
          <w:rtl/>
          <w:lang w:bidi="fa-IR"/>
        </w:rPr>
        <w:t>(4).</w:t>
      </w:r>
      <w:r w:rsidR="00744A1C">
        <w:rPr>
          <w:rtl/>
          <w:lang w:bidi="fa-IR"/>
        </w:rPr>
        <w:t xml:space="preserve"> قال البيضاوي في تفسيره ، ج 5 ، ص 216 : « [ أي ] ترجع إلى حكمه ، أو ما أمر به. وإنّما ا</w:t>
      </w:r>
      <w:r w:rsidR="00C73AD9">
        <w:rPr>
          <w:rFonts w:hint="cs"/>
          <w:rtl/>
          <w:lang w:bidi="fa-IR"/>
        </w:rPr>
        <w:t>ُ</w:t>
      </w:r>
      <w:r w:rsidR="00744A1C">
        <w:rPr>
          <w:rtl/>
          <w:lang w:bidi="fa-IR"/>
        </w:rPr>
        <w:t>طلق الفي‌ء على الظلّ‌</w:t>
      </w:r>
      <w:r w:rsidR="00C73AD9">
        <w:rPr>
          <w:rFonts w:hint="cs"/>
          <w:rtl/>
          <w:lang w:bidi="fa-IR"/>
        </w:rPr>
        <w:t xml:space="preserve"> </w:t>
      </w:r>
      <w:r w:rsidR="00744A1C">
        <w:rPr>
          <w:rtl/>
          <w:lang w:bidi="fa-IR"/>
        </w:rPr>
        <w:t>لرجوعه بعد نسخ الشمس ، والغنيمة لرجوعها من الكفّار إلى المسلمين ».</w:t>
      </w:r>
    </w:p>
    <w:tbl>
      <w:tblPr>
        <w:tblStyle w:val="TableGrid"/>
        <w:bidiVisual/>
        <w:tblW w:w="0" w:type="auto"/>
        <w:tblLook w:val="04A0" w:firstRow="1" w:lastRow="0" w:firstColumn="1" w:lastColumn="0" w:noHBand="0" w:noVBand="1"/>
      </w:tblPr>
      <w:tblGrid>
        <w:gridCol w:w="4006"/>
        <w:gridCol w:w="4006"/>
      </w:tblGrid>
      <w:tr w:rsidR="00C73AD9" w:rsidTr="00C73AD9">
        <w:tc>
          <w:tcPr>
            <w:tcW w:w="4006" w:type="dxa"/>
          </w:tcPr>
          <w:p w:rsidR="00C73AD9" w:rsidRDefault="00C73AD9" w:rsidP="00E378DD">
            <w:pPr>
              <w:pStyle w:val="libFootnote0"/>
              <w:rPr>
                <w:rtl/>
                <w:lang w:bidi="fa-IR"/>
              </w:rPr>
            </w:pPr>
            <w:r>
              <w:rPr>
                <w:rtl/>
                <w:lang w:bidi="fa-IR"/>
              </w:rPr>
              <w:t>(5). الحجرات (49) : 9.</w:t>
            </w:r>
          </w:p>
        </w:tc>
        <w:tc>
          <w:tcPr>
            <w:tcW w:w="4006" w:type="dxa"/>
          </w:tcPr>
          <w:p w:rsidR="00C73AD9" w:rsidRDefault="00C73AD9" w:rsidP="00E378DD">
            <w:pPr>
              <w:pStyle w:val="libFootnote0"/>
              <w:rPr>
                <w:rtl/>
                <w:lang w:bidi="fa-IR"/>
              </w:rPr>
            </w:pPr>
            <w:r>
              <w:rPr>
                <w:rtl/>
                <w:lang w:bidi="fa-IR"/>
              </w:rPr>
              <w:t xml:space="preserve">(6). في </w:t>
            </w:r>
            <w:r w:rsidRPr="00C24F9C">
              <w:rPr>
                <w:rStyle w:val="libFootnoteBoldChar"/>
                <w:rtl/>
              </w:rPr>
              <w:t>التهذيب</w:t>
            </w:r>
            <w:r>
              <w:rPr>
                <w:rtl/>
                <w:lang w:bidi="fa-IR"/>
              </w:rPr>
              <w:t xml:space="preserve"> : « فدلّ ».</w:t>
            </w:r>
          </w:p>
        </w:tc>
      </w:tr>
    </w:tbl>
    <w:p w:rsidR="00744A1C" w:rsidRDefault="00E378DD" w:rsidP="00E378DD">
      <w:pPr>
        <w:pStyle w:val="libFootnote0"/>
        <w:rPr>
          <w:lang w:bidi="fa-IR"/>
        </w:rPr>
      </w:pPr>
      <w:r>
        <w:rPr>
          <w:rtl/>
          <w:lang w:bidi="fa-IR"/>
        </w:rPr>
        <w:t>(7).</w:t>
      </w:r>
      <w:r w:rsidR="00744A1C">
        <w:rPr>
          <w:rtl/>
          <w:lang w:bidi="fa-IR"/>
        </w:rPr>
        <w:t xml:space="preserve"> في هامش المطبوع عن بعض نسخ </w:t>
      </w:r>
      <w:r w:rsidR="00744A1C" w:rsidRPr="00C24F9C">
        <w:rPr>
          <w:rStyle w:val="libFootnoteBoldChar"/>
          <w:rtl/>
        </w:rPr>
        <w:t>التهذيب</w:t>
      </w:r>
      <w:r w:rsidR="00744A1C">
        <w:rPr>
          <w:rtl/>
          <w:lang w:bidi="fa-IR"/>
        </w:rPr>
        <w:t xml:space="preserve"> : « حتّى ».</w:t>
      </w:r>
    </w:p>
    <w:p w:rsidR="00744A1C" w:rsidRDefault="00E378DD" w:rsidP="00E378DD">
      <w:pPr>
        <w:pStyle w:val="libFootnote0"/>
        <w:rPr>
          <w:lang w:bidi="fa-IR"/>
        </w:rPr>
      </w:pPr>
      <w:r>
        <w:rPr>
          <w:rtl/>
          <w:lang w:bidi="fa-IR"/>
        </w:rPr>
        <w:t>(8).</w:t>
      </w:r>
      <w:r w:rsidR="00744A1C">
        <w:rPr>
          <w:rtl/>
          <w:lang w:bidi="fa-IR"/>
        </w:rPr>
        <w:t xml:space="preserve"> في « ى ، بح » : « تفي‌ء ». وفي « جن » بالتاء والياء معاً.</w:t>
      </w:r>
    </w:p>
    <w:tbl>
      <w:tblPr>
        <w:tblStyle w:val="TableGrid"/>
        <w:bidiVisual/>
        <w:tblW w:w="0" w:type="auto"/>
        <w:tblLook w:val="04A0" w:firstRow="1" w:lastRow="0" w:firstColumn="1" w:lastColumn="0" w:noHBand="0" w:noVBand="1"/>
      </w:tblPr>
      <w:tblGrid>
        <w:gridCol w:w="4006"/>
        <w:gridCol w:w="4006"/>
      </w:tblGrid>
      <w:tr w:rsidR="007B5D87" w:rsidTr="007B5D87">
        <w:tc>
          <w:tcPr>
            <w:tcW w:w="4006" w:type="dxa"/>
          </w:tcPr>
          <w:p w:rsidR="007B5D87" w:rsidRDefault="007B5D87" w:rsidP="00E378DD">
            <w:pPr>
              <w:pStyle w:val="libFootnote0"/>
              <w:rPr>
                <w:rtl/>
                <w:lang w:bidi="fa-IR"/>
              </w:rPr>
            </w:pPr>
            <w:r>
              <w:rPr>
                <w:rtl/>
                <w:lang w:bidi="fa-IR"/>
              </w:rPr>
              <w:t xml:space="preserve">(9). في </w:t>
            </w:r>
            <w:r w:rsidRPr="00C24F9C">
              <w:rPr>
                <w:rStyle w:val="libFootnoteBoldChar"/>
                <w:rtl/>
              </w:rPr>
              <w:t>الوافي</w:t>
            </w:r>
            <w:r>
              <w:rPr>
                <w:rtl/>
                <w:lang w:bidi="fa-IR"/>
              </w:rPr>
              <w:t xml:space="preserve"> : + « وذلك ».</w:t>
            </w:r>
          </w:p>
        </w:tc>
        <w:tc>
          <w:tcPr>
            <w:tcW w:w="4006" w:type="dxa"/>
          </w:tcPr>
          <w:p w:rsidR="007B5D87" w:rsidRDefault="007B5D87" w:rsidP="00E378DD">
            <w:pPr>
              <w:pStyle w:val="libFootnote0"/>
              <w:rPr>
                <w:rtl/>
                <w:lang w:bidi="fa-IR"/>
              </w:rPr>
            </w:pPr>
            <w:r>
              <w:rPr>
                <w:rtl/>
                <w:lang w:bidi="fa-IR"/>
              </w:rPr>
              <w:t>(10). الحجّ (22) : 39.</w:t>
            </w:r>
          </w:p>
        </w:tc>
      </w:tr>
    </w:tbl>
    <w:p w:rsidR="006A5060" w:rsidRDefault="006A5060" w:rsidP="00D10E3C">
      <w:pPr>
        <w:pStyle w:val="libNormal"/>
        <w:rPr>
          <w:rtl/>
          <w:lang w:bidi="fa-IR"/>
        </w:rPr>
      </w:pPr>
      <w:r>
        <w:rPr>
          <w:rtl/>
          <w:lang w:bidi="fa-IR"/>
        </w:rPr>
        <w:br w:type="page"/>
      </w:r>
    </w:p>
    <w:p w:rsidR="00744A1C" w:rsidRDefault="00744A1C" w:rsidP="00B2333D">
      <w:pPr>
        <w:pStyle w:val="libNormal0"/>
        <w:rPr>
          <w:lang w:bidi="fa-IR"/>
        </w:rPr>
      </w:pPr>
      <w:r>
        <w:rPr>
          <w:rtl/>
          <w:lang w:bidi="fa-IR"/>
        </w:rPr>
        <w:t xml:space="preserve">عَزَّ وَجَلَّ ، كَانَ مُؤْمِناً ، وَإِذَا كَانَ مُؤْمِناً ، كَانَ مَظْلُوماً ، وَإِذَا كَانَ مَظْلُوماً ، كَانَ مَأْذُوناً لَهُ فِي الْجِهَادِ ؛ لِقَوْلِهِ </w:t>
      </w:r>
      <w:r w:rsidRPr="00D10E3C">
        <w:rPr>
          <w:rStyle w:val="libFootnotenumChar"/>
          <w:rtl/>
        </w:rPr>
        <w:t>(1)</w:t>
      </w:r>
      <w:r>
        <w:rPr>
          <w:rtl/>
          <w:lang w:bidi="fa-IR"/>
        </w:rPr>
        <w:t xml:space="preserve"> عَزَّ وَجَلَّ : </w:t>
      </w:r>
      <w:r w:rsidRPr="00B2333D">
        <w:rPr>
          <w:rStyle w:val="libAlaemChar"/>
          <w:rtl/>
        </w:rPr>
        <w:t>(</w:t>
      </w:r>
      <w:r w:rsidRPr="00B2333D">
        <w:rPr>
          <w:rStyle w:val="libAieChar"/>
          <w:rtl/>
        </w:rPr>
        <w:t xml:space="preserve"> أُذِنَ لِلَّذِينَ يُقاتَلُونَ بِأَنَّهُمْ ظُلِمُوا وَإِنَّ اللهَ عَلى نَصْرِهِمْ لَقَدِيرٌ </w:t>
      </w:r>
      <w:r w:rsidRPr="00B2333D">
        <w:rPr>
          <w:rStyle w:val="libAlaemChar"/>
          <w:rtl/>
        </w:rPr>
        <w:t>)</w:t>
      </w:r>
      <w:r>
        <w:rPr>
          <w:rtl/>
          <w:lang w:bidi="fa-IR"/>
        </w:rPr>
        <w:t xml:space="preserve"> </w:t>
      </w:r>
      <w:r w:rsidRPr="00D10E3C">
        <w:rPr>
          <w:rStyle w:val="libFootnotenumChar"/>
          <w:rtl/>
        </w:rPr>
        <w:t>(2)</w:t>
      </w:r>
      <w:r>
        <w:rPr>
          <w:rtl/>
          <w:lang w:bidi="fa-IR"/>
        </w:rPr>
        <w:t xml:space="preserve"> ، وَإِنْ لَمْ يَكُنْ مُسْتَكْمِلاً لِشَرَائِطِ </w:t>
      </w:r>
      <w:r w:rsidRPr="00D10E3C">
        <w:rPr>
          <w:rStyle w:val="libFootnotenumChar"/>
          <w:rtl/>
        </w:rPr>
        <w:t>(3)</w:t>
      </w:r>
      <w:r>
        <w:rPr>
          <w:rtl/>
          <w:lang w:bidi="fa-IR"/>
        </w:rPr>
        <w:t xml:space="preserve"> الْإِيمَانِ ، فَهُوَ ظَالِمٌ مِمَّنْ يَبْغِي </w:t>
      </w:r>
      <w:r w:rsidRPr="00D10E3C">
        <w:rPr>
          <w:rStyle w:val="libFootnotenumChar"/>
          <w:rtl/>
        </w:rPr>
        <w:t>(4)</w:t>
      </w:r>
      <w:r>
        <w:rPr>
          <w:rtl/>
          <w:lang w:bidi="fa-IR"/>
        </w:rPr>
        <w:t xml:space="preserve"> وَيَجِبُ جِهَادُهُ حَتّى يَتُوبَ ، وَلَيْسَ مِثْلُهُ مَأْذُوناً لَهُ فِي الْجِهَادِ وَالدُّعَاءِ إِلَى اللهِ عَزَّ وَجَلَّ ؛ لِأَنَّهُ لَيْسَ مِنَ الْمُؤْمِنِينَ الْمَظْلُومِينَ الَّذِينَ أُذِنَ لَهُمْ فِي الْقُرْآنِ فِي الْقِتَالِ ، فَلَمَّا نَزَلَتْ هذِهِ الْآيَةُ : </w:t>
      </w:r>
      <w:r w:rsidRPr="00B2333D">
        <w:rPr>
          <w:rStyle w:val="libAlaemChar"/>
          <w:rtl/>
        </w:rPr>
        <w:t>(</w:t>
      </w:r>
      <w:r w:rsidRPr="00B2333D">
        <w:rPr>
          <w:rStyle w:val="libAieChar"/>
          <w:rtl/>
        </w:rPr>
        <w:t xml:space="preserve"> أُذِنَ لِلَّذِينَ يُقاتَلُونَ بِأَنَّهُمْ ظُلِمُوا</w:t>
      </w:r>
      <w:r>
        <w:rPr>
          <w:rtl/>
          <w:lang w:bidi="fa-IR"/>
        </w:rPr>
        <w:t xml:space="preserve"> </w:t>
      </w:r>
      <w:r w:rsidRPr="00B2333D">
        <w:rPr>
          <w:rStyle w:val="libAlaemChar"/>
          <w:rtl/>
        </w:rPr>
        <w:t>)</w:t>
      </w:r>
      <w:r>
        <w:rPr>
          <w:rtl/>
          <w:lang w:bidi="fa-IR"/>
        </w:rPr>
        <w:t xml:space="preserve"> فِي الْمُهَاجِرِينَ الَّذِينَ أَخْرَجَهُمْ أَهْلُ مَكَّةَ مِنْ دِيَارِهِمْ وَأَمْوَالِهِمْ ، أُحِلَّ لَهُمْ جِهَادُهُمْ بِظُلْمِهِمْ إِيَّاهُمْ ، وَأُذِنَ لَهُمْ فِي الْقِتَالِ ».</w:t>
      </w:r>
    </w:p>
    <w:p w:rsidR="00744A1C" w:rsidRDefault="00744A1C" w:rsidP="00744A1C">
      <w:pPr>
        <w:pStyle w:val="libNormal"/>
        <w:rPr>
          <w:lang w:bidi="fa-IR"/>
        </w:rPr>
      </w:pPr>
      <w:r>
        <w:rPr>
          <w:rtl/>
          <w:lang w:bidi="fa-IR"/>
        </w:rPr>
        <w:t xml:space="preserve">فَقُلْتُ : فَهذِهِ نَزَلَتْ فِي الْمُهَاجِرِينَ بِظُلْمِ مُشْرِكِي أَهْلِ مَكَّةَ لَهُمْ ، فَمَا بَالُهُمْ </w:t>
      </w:r>
      <w:r w:rsidRPr="00D10E3C">
        <w:rPr>
          <w:rStyle w:val="libFootnotenumChar"/>
          <w:rtl/>
        </w:rPr>
        <w:t>(5)</w:t>
      </w:r>
      <w:r>
        <w:rPr>
          <w:rtl/>
          <w:lang w:bidi="fa-IR"/>
        </w:rPr>
        <w:t xml:space="preserve"> فِي قِتَالِهِمْ كِسْرى وَقَيْصَرَ وَمَنْ دُونَهُمْ مِنْ مُشْرِكِي </w:t>
      </w:r>
      <w:r w:rsidRPr="00D10E3C">
        <w:rPr>
          <w:rStyle w:val="libFootnotenumChar"/>
          <w:rtl/>
        </w:rPr>
        <w:t>(6)</w:t>
      </w:r>
      <w:r>
        <w:rPr>
          <w:rtl/>
          <w:lang w:bidi="fa-IR"/>
        </w:rPr>
        <w:t xml:space="preserve"> قَبَائِلِ الْعَرَبِ؟</w:t>
      </w:r>
    </w:p>
    <w:p w:rsidR="00744A1C" w:rsidRDefault="00744A1C" w:rsidP="00744A1C">
      <w:pPr>
        <w:pStyle w:val="libNormal"/>
        <w:rPr>
          <w:lang w:bidi="fa-IR"/>
        </w:rPr>
      </w:pPr>
      <w:r>
        <w:rPr>
          <w:rtl/>
          <w:lang w:bidi="fa-IR"/>
        </w:rPr>
        <w:t xml:space="preserve">فَقَالَ : « لَوْ كَانَ إِنَّمَا أُذِنَ لَهُمْ </w:t>
      </w:r>
      <w:r w:rsidRPr="00D10E3C">
        <w:rPr>
          <w:rStyle w:val="libFootnotenumChar"/>
          <w:rtl/>
        </w:rPr>
        <w:t>(7)</w:t>
      </w:r>
      <w:r>
        <w:rPr>
          <w:rtl/>
          <w:lang w:bidi="fa-IR"/>
        </w:rPr>
        <w:t xml:space="preserve"> فِي قِتَالِ مَنْ ظَلَمَهُمْ مِنْ أَهْلِ مَكَّةَ فَقَطْ ، لَمْ يَكُنْ لَهُمْ إِلى قِتَالِ جُمُوعِ كِسْرى وَقَيْصَرَ وَغَيْرِ </w:t>
      </w:r>
      <w:r w:rsidRPr="00D10E3C">
        <w:rPr>
          <w:rStyle w:val="libFootnotenumChar"/>
          <w:rtl/>
        </w:rPr>
        <w:t>(8)</w:t>
      </w:r>
      <w:r>
        <w:rPr>
          <w:rtl/>
          <w:lang w:bidi="fa-IR"/>
        </w:rPr>
        <w:t xml:space="preserve"> أَهْلِ مَكَّةَ مِنْ قَبَائِلِ الْعَرَبِ سَبِيلٌ ؛ لِأَنَّ الَّذِينَ ظَلَمُوهُمْ غَيْرُهُمْ ، وَإِنَّمَا أُذِنَ لَهُمْ فِي قِتَالِ مَنْ ظَلَمَهُمْ مِنْ أَهْلِ مَكَّةَ ؛ لِإِخْرَاجِهِمْ إِيَّاهُمْ مِنْ دِيَارِهِمْ وَأَمْوَالِهِمْ بِغَيْرِ حَقٍّ ؛ وَلَوْ كَانَتِ الْآيَةُ إِنَّمَا عَنَتِ الْمُهَاجِرِينَ الَّذِينَ ظَلَمَهُمْ أَهْلُ مَكَّةَ ، كَانَتِ الْآيَةُ مُرْتَفِعَةَ الْفَرْضِ عَمَّنْ بَعْدَهُمْ إِذَا </w:t>
      </w:r>
      <w:r w:rsidRPr="00D10E3C">
        <w:rPr>
          <w:rStyle w:val="libFootnotenumChar"/>
          <w:rtl/>
        </w:rPr>
        <w:t>(9)</w:t>
      </w:r>
      <w:r>
        <w:rPr>
          <w:rtl/>
          <w:lang w:bidi="fa-IR"/>
        </w:rPr>
        <w:t xml:space="preserve"> لَمْ يَبْقَ مِنَ الظَّالِمِينَ وَالْمَظْلُومِينَ </w:t>
      </w:r>
      <w:r w:rsidRPr="00D10E3C">
        <w:rPr>
          <w:rStyle w:val="libFootnotenumChar"/>
          <w:rtl/>
        </w:rPr>
        <w:t>(10)</w:t>
      </w:r>
      <w:r>
        <w:rPr>
          <w:rtl/>
          <w:lang w:bidi="fa-IR"/>
        </w:rPr>
        <w:t xml:space="preserve"> أَحَدٌ </w:t>
      </w:r>
      <w:r w:rsidRPr="00D10E3C">
        <w:rPr>
          <w:rStyle w:val="libFootnotenumChar"/>
          <w:rtl/>
        </w:rPr>
        <w:t>(11)</w:t>
      </w:r>
      <w:r>
        <w:rPr>
          <w:rtl/>
          <w:lang w:bidi="fa-IR"/>
        </w:rPr>
        <w:t xml:space="preserve"> ، وَكَانَ فَرْضُهَا مَرْفُوعاً عَنِ النَّاسِ بَعْدَهُمْ إِذَا </w:t>
      </w:r>
      <w:r w:rsidRPr="00D10E3C">
        <w:rPr>
          <w:rStyle w:val="libFootnotenumChar"/>
          <w:rtl/>
        </w:rPr>
        <w:t>(12)</w:t>
      </w:r>
      <w:r>
        <w:rPr>
          <w:rtl/>
          <w:lang w:bidi="fa-IR"/>
        </w:rPr>
        <w:t xml:space="preserve"> لَمْ يَبْقَ مِنَ الظَّالِمِينَ وَالْمَظْلُومِينَ أَحَدٌ.</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وحاشية « بث ، بح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 لقول الله ».</w:t>
      </w:r>
    </w:p>
    <w:tbl>
      <w:tblPr>
        <w:tblStyle w:val="TableGrid"/>
        <w:bidiVisual/>
        <w:tblW w:w="0" w:type="auto"/>
        <w:tblLook w:val="04A0" w:firstRow="1" w:lastRow="0" w:firstColumn="1" w:lastColumn="0" w:noHBand="0" w:noVBand="1"/>
      </w:tblPr>
      <w:tblGrid>
        <w:gridCol w:w="4006"/>
        <w:gridCol w:w="4006"/>
      </w:tblGrid>
      <w:tr w:rsidR="00B2333D" w:rsidTr="00B2333D">
        <w:tc>
          <w:tcPr>
            <w:tcW w:w="4006" w:type="dxa"/>
          </w:tcPr>
          <w:p w:rsidR="00B2333D" w:rsidRDefault="00B2333D" w:rsidP="00E378DD">
            <w:pPr>
              <w:pStyle w:val="libFootnote0"/>
              <w:rPr>
                <w:rtl/>
                <w:lang w:bidi="fa-IR"/>
              </w:rPr>
            </w:pPr>
            <w:r>
              <w:rPr>
                <w:rtl/>
                <w:lang w:bidi="fa-IR"/>
              </w:rPr>
              <w:t>(2). الحجّ (22) : 39.</w:t>
            </w:r>
          </w:p>
        </w:tc>
        <w:tc>
          <w:tcPr>
            <w:tcW w:w="4006" w:type="dxa"/>
          </w:tcPr>
          <w:p w:rsidR="00B2333D" w:rsidRDefault="00B2333D" w:rsidP="00E378DD">
            <w:pPr>
              <w:pStyle w:val="libFootnote0"/>
              <w:rPr>
                <w:rtl/>
                <w:lang w:bidi="fa-IR"/>
              </w:rPr>
            </w:pPr>
            <w:r>
              <w:rPr>
                <w:rtl/>
                <w:lang w:bidi="fa-IR"/>
              </w:rPr>
              <w:t>(3). في « ى ، جن » : « بشرائط ».</w:t>
            </w:r>
          </w:p>
        </w:tc>
      </w:tr>
      <w:tr w:rsidR="00B2333D" w:rsidTr="00B2333D">
        <w:tc>
          <w:tcPr>
            <w:tcW w:w="4006" w:type="dxa"/>
          </w:tcPr>
          <w:p w:rsidR="00B2333D" w:rsidRDefault="00B2333D" w:rsidP="00E378DD">
            <w:pPr>
              <w:pStyle w:val="libFootnote0"/>
              <w:rPr>
                <w:rtl/>
                <w:lang w:bidi="fa-IR"/>
              </w:rPr>
            </w:pPr>
            <w:r>
              <w:rPr>
                <w:rtl/>
                <w:lang w:bidi="fa-IR"/>
              </w:rPr>
              <w:t>(4). في «ى،بث،بح،جت، جد ، جن » : « ينبغي ».</w:t>
            </w:r>
          </w:p>
        </w:tc>
        <w:tc>
          <w:tcPr>
            <w:tcW w:w="4006" w:type="dxa"/>
          </w:tcPr>
          <w:p w:rsidR="00B2333D" w:rsidRDefault="00B2333D" w:rsidP="00E378DD">
            <w:pPr>
              <w:pStyle w:val="libFootnote0"/>
              <w:rPr>
                <w:rtl/>
                <w:lang w:bidi="fa-IR"/>
              </w:rPr>
            </w:pPr>
            <w:r>
              <w:rPr>
                <w:rtl/>
                <w:lang w:bidi="fa-IR"/>
              </w:rPr>
              <w:t xml:space="preserve">(5). في </w:t>
            </w:r>
            <w:r w:rsidRPr="00C24F9C">
              <w:rPr>
                <w:rStyle w:val="libFootnoteBoldChar"/>
                <w:rtl/>
              </w:rPr>
              <w:t>التهذيب</w:t>
            </w:r>
            <w:r>
              <w:rPr>
                <w:rtl/>
                <w:lang w:bidi="fa-IR"/>
              </w:rPr>
              <w:t xml:space="preserve"> : «فيما نالهم أو»بدل « فما بالهم ».</w:t>
            </w:r>
          </w:p>
        </w:tc>
      </w:tr>
      <w:tr w:rsidR="00B2333D" w:rsidTr="00B2333D">
        <w:tc>
          <w:tcPr>
            <w:tcW w:w="4006" w:type="dxa"/>
          </w:tcPr>
          <w:p w:rsidR="00B2333D" w:rsidRDefault="00B2333D" w:rsidP="00E378DD">
            <w:pPr>
              <w:pStyle w:val="libFootnote0"/>
              <w:rPr>
                <w:rtl/>
                <w:lang w:bidi="fa-IR"/>
              </w:rPr>
            </w:pPr>
            <w:r>
              <w:rPr>
                <w:rtl/>
                <w:lang w:bidi="fa-IR"/>
              </w:rPr>
              <w:t>(6). في « جن » : « مشركين » بدل « من مشركي ».</w:t>
            </w:r>
          </w:p>
        </w:tc>
        <w:tc>
          <w:tcPr>
            <w:tcW w:w="4006" w:type="dxa"/>
          </w:tcPr>
          <w:p w:rsidR="00B2333D" w:rsidRDefault="00B2333D" w:rsidP="00E378DD">
            <w:pPr>
              <w:pStyle w:val="libFootnote0"/>
              <w:rPr>
                <w:rtl/>
                <w:lang w:bidi="fa-IR"/>
              </w:rPr>
            </w:pPr>
            <w:r>
              <w:rPr>
                <w:rtl/>
                <w:lang w:bidi="fa-IR"/>
              </w:rPr>
              <w:t xml:space="preserve">(7). في </w:t>
            </w:r>
            <w:r w:rsidRPr="00C24F9C">
              <w:rPr>
                <w:rStyle w:val="libFootnoteBoldChar"/>
                <w:rtl/>
              </w:rPr>
              <w:t>الوسائل</w:t>
            </w:r>
            <w:r>
              <w:rPr>
                <w:rtl/>
                <w:lang w:bidi="fa-IR"/>
              </w:rPr>
              <w:t xml:space="preserve"> : - « لهم ».</w:t>
            </w:r>
          </w:p>
        </w:tc>
      </w:tr>
      <w:tr w:rsidR="00B2333D" w:rsidTr="00B2333D">
        <w:tc>
          <w:tcPr>
            <w:tcW w:w="4006" w:type="dxa"/>
          </w:tcPr>
          <w:p w:rsidR="00B2333D" w:rsidRDefault="00B2333D" w:rsidP="00E378DD">
            <w:pPr>
              <w:pStyle w:val="libFootnote0"/>
              <w:rPr>
                <w:rtl/>
                <w:lang w:bidi="fa-IR"/>
              </w:rPr>
            </w:pPr>
            <w:r>
              <w:rPr>
                <w:rtl/>
                <w:lang w:bidi="fa-IR"/>
              </w:rPr>
              <w:t>(8). في « بث » : « غير » بدون الواو.</w:t>
            </w:r>
          </w:p>
        </w:tc>
        <w:tc>
          <w:tcPr>
            <w:tcW w:w="4006" w:type="dxa"/>
          </w:tcPr>
          <w:p w:rsidR="00B2333D" w:rsidRDefault="00B2333D" w:rsidP="00E378DD">
            <w:pPr>
              <w:pStyle w:val="libFootnote0"/>
              <w:rPr>
                <w:rtl/>
                <w:lang w:bidi="fa-IR"/>
              </w:rPr>
            </w:pPr>
            <w:r>
              <w:rPr>
                <w:rtl/>
                <w:lang w:bidi="fa-IR"/>
              </w:rPr>
              <w:t xml:space="preserve">(9). في « بس » </w:t>
            </w:r>
            <w:r w:rsidRPr="00B2333D">
              <w:rPr>
                <w:rtl/>
              </w:rPr>
              <w:t>والوافي والتهذيب :</w:t>
            </w:r>
            <w:r>
              <w:rPr>
                <w:rtl/>
                <w:lang w:bidi="fa-IR"/>
              </w:rPr>
              <w:t xml:space="preserve"> « إذ ».</w:t>
            </w:r>
          </w:p>
        </w:tc>
      </w:tr>
      <w:tr w:rsidR="00B2333D" w:rsidTr="00B2333D">
        <w:tc>
          <w:tcPr>
            <w:tcW w:w="4006" w:type="dxa"/>
          </w:tcPr>
          <w:p w:rsidR="00B2333D" w:rsidRDefault="00B2333D" w:rsidP="00E378DD">
            <w:pPr>
              <w:pStyle w:val="libFootnote0"/>
              <w:rPr>
                <w:rtl/>
                <w:lang w:bidi="fa-IR"/>
              </w:rPr>
            </w:pPr>
            <w:r>
              <w:rPr>
                <w:rtl/>
                <w:lang w:bidi="fa-IR"/>
              </w:rPr>
              <w:t>(10). في « جن » : - « والمظلومين ».</w:t>
            </w:r>
          </w:p>
        </w:tc>
        <w:tc>
          <w:tcPr>
            <w:tcW w:w="4006" w:type="dxa"/>
          </w:tcPr>
          <w:p w:rsidR="00B2333D" w:rsidRDefault="00B2333D" w:rsidP="00E378DD">
            <w:pPr>
              <w:pStyle w:val="libFootnote0"/>
              <w:rPr>
                <w:rtl/>
                <w:lang w:bidi="fa-IR"/>
              </w:rPr>
            </w:pPr>
            <w:r>
              <w:rPr>
                <w:rtl/>
                <w:lang w:bidi="fa-IR"/>
              </w:rPr>
              <w:t>(11). في « جن » : « أحدهم ».</w:t>
            </w:r>
          </w:p>
        </w:tc>
      </w:tr>
    </w:tbl>
    <w:p w:rsidR="00744A1C" w:rsidRDefault="00E378DD" w:rsidP="00E378DD">
      <w:pPr>
        <w:pStyle w:val="libFootnote0"/>
        <w:rPr>
          <w:lang w:bidi="fa-IR"/>
        </w:rPr>
      </w:pPr>
      <w:r>
        <w:rPr>
          <w:rtl/>
          <w:lang w:bidi="fa-IR"/>
        </w:rPr>
        <w:t>(12).</w:t>
      </w:r>
      <w:r w:rsidR="00744A1C">
        <w:rPr>
          <w:rtl/>
          <w:lang w:bidi="fa-IR"/>
        </w:rPr>
        <w:t xml:space="preserve"> في « بف » </w:t>
      </w:r>
      <w:r w:rsidR="00744A1C" w:rsidRPr="00345B0A">
        <w:rPr>
          <w:rtl/>
        </w:rPr>
        <w:t>والوافي</w:t>
      </w:r>
      <w:r w:rsidR="00744A1C">
        <w:rPr>
          <w:rtl/>
          <w:lang w:bidi="fa-IR"/>
        </w:rPr>
        <w:t xml:space="preserve"> : « إذ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وَلَيْسَ كَمَا ظَنَنْتَ ، وَلَا كَمَا ذَكَرْتَ ، وَلكِنَّ </w:t>
      </w:r>
      <w:r w:rsidRPr="00D10E3C">
        <w:rPr>
          <w:rStyle w:val="libFootnotenumChar"/>
          <w:rtl/>
        </w:rPr>
        <w:t>(1)</w:t>
      </w:r>
      <w:r>
        <w:rPr>
          <w:rtl/>
          <w:lang w:bidi="fa-IR"/>
        </w:rPr>
        <w:t xml:space="preserve"> الْمُهَاجِرِينَ ظُلِمُوا مِنْ جِهَتَيْنِ : ظَلَمَهُمْ أَهْلُ مَكَّةَ بِإِخْرَاجِهِمْ مِنْ دِيَارِهِمْ وَأَمْوَالِهِمْ ، فَقَاتَلُوهُمْ بِإِذْنِ اللهِ لَهُمْ فِي ذلِكَ ، وَظَلَمَهُمْ كِسْرى وَقَيْصَرُ وَمَنْ كَانَ دُونَهُمْ مِنْ قَبَائِلِ الْعَرَبِ وَالْعَجَمِ بِمَا كَانَ فِي أَيْدِيهِمْ مِمَّا كَانَ الْمُؤْمِنُونَ أَحَقَّ بِهِ مِنْهُمْ ، فَقَدْ قَاتَلُوهُمْ بِإِذْنِ اللهِ - عَزَّ وَجَلَّ - لَهُمْ فِي ذلِكَ </w:t>
      </w:r>
      <w:r w:rsidRPr="00D10E3C">
        <w:rPr>
          <w:rStyle w:val="libFootnotenumChar"/>
          <w:rtl/>
        </w:rPr>
        <w:t>(2)</w:t>
      </w:r>
      <w:r w:rsidR="00345B0A" w:rsidRPr="00345B0A">
        <w:rPr>
          <w:rFonts w:hint="cs"/>
          <w:rtl/>
        </w:rPr>
        <w:t>.</w:t>
      </w:r>
    </w:p>
    <w:p w:rsidR="00744A1C" w:rsidRDefault="00744A1C" w:rsidP="00744A1C">
      <w:pPr>
        <w:pStyle w:val="libNormal"/>
        <w:rPr>
          <w:lang w:bidi="fa-IR"/>
        </w:rPr>
      </w:pPr>
      <w:r>
        <w:rPr>
          <w:rtl/>
          <w:lang w:bidi="fa-IR"/>
        </w:rPr>
        <w:t xml:space="preserve">وَبِحُجَّةِ هذِهِ الْآيَةِ يُقَاتِلُ مُؤْمِنُو </w:t>
      </w:r>
      <w:r w:rsidRPr="00D10E3C">
        <w:rPr>
          <w:rStyle w:val="libFootnotenumChar"/>
          <w:rtl/>
        </w:rPr>
        <w:t>(3)</w:t>
      </w:r>
      <w:r>
        <w:rPr>
          <w:rtl/>
          <w:lang w:bidi="fa-IR"/>
        </w:rPr>
        <w:t xml:space="preserve"> كُلِّ زَمَانٍ ، وَإِنَّمَا أَذِنَ اللهُ - عَزَّ وَجَلَّ - لِلْمُؤْمِنِينَ الَّذِينَ قَامُوا بِمَا وَصَفَ </w:t>
      </w:r>
      <w:r w:rsidRPr="00D10E3C">
        <w:rPr>
          <w:rStyle w:val="libFootnotenumChar"/>
          <w:rtl/>
        </w:rPr>
        <w:t>(4)</w:t>
      </w:r>
      <w:r>
        <w:rPr>
          <w:rtl/>
          <w:lang w:bidi="fa-IR"/>
        </w:rPr>
        <w:t xml:space="preserve"> اللهُ - عَزَّ وَجَلَّ - مِنَ الشَّرَائِطِ الَّتِي شَرَطَهَا اللهُ </w:t>
      </w:r>
      <w:r w:rsidRPr="00D10E3C">
        <w:rPr>
          <w:rStyle w:val="libFootnotenumChar"/>
          <w:rtl/>
        </w:rPr>
        <w:t>(5)</w:t>
      </w:r>
      <w:r>
        <w:rPr>
          <w:rtl/>
          <w:lang w:bidi="fa-IR"/>
        </w:rPr>
        <w:t xml:space="preserve"> عَلَى الْمُؤْمِنِينَ فِي الْإِيمَانِ وَالْجِهَادِ ، وَمَنْ كَانَ قَائِماً بِتِلْكَ الشَّرَائِطِ ، فَهُوَ مُؤْمِنٌ ، وَهُوَ مَظْلُومٌ ، وَمَأْذُونٌ لَهُ </w:t>
      </w:r>
      <w:r w:rsidRPr="00D10E3C">
        <w:rPr>
          <w:rStyle w:val="libFootnotenumChar"/>
          <w:rtl/>
        </w:rPr>
        <w:t>(6)</w:t>
      </w:r>
      <w:r>
        <w:rPr>
          <w:rtl/>
          <w:lang w:bidi="fa-IR"/>
        </w:rPr>
        <w:t xml:space="preserve"> فِي الْجِهَادِ بِذلِكَ الْمَعْنى ؛ وَمَنْ كَانَ عَلى خِلَافِ ذلِكَ ، فَهُوَ ظَالِمٌ ، وَلَيْسَ مِنَ‌ الْمَظْلُومِينَ ، وَلَيْسَ بِمَأْذُونٍ لَهُ فِي الْقِتَالِ </w:t>
      </w:r>
      <w:r w:rsidRPr="00D10E3C">
        <w:rPr>
          <w:rStyle w:val="libFootnotenumChar"/>
          <w:rtl/>
        </w:rPr>
        <w:t>(7)</w:t>
      </w:r>
      <w:r>
        <w:rPr>
          <w:rtl/>
          <w:lang w:bidi="fa-IR"/>
        </w:rPr>
        <w:t xml:space="preserve"> ، وَلَا بِالنَّهْيِ عَنِ الْمُنْكَرِ وَالْأَمْرِ </w:t>
      </w:r>
      <w:r w:rsidRPr="00D10E3C">
        <w:rPr>
          <w:rStyle w:val="libFootnotenumChar"/>
          <w:rtl/>
        </w:rPr>
        <w:t>(8)</w:t>
      </w:r>
      <w:r>
        <w:rPr>
          <w:rtl/>
          <w:lang w:bidi="fa-IR"/>
        </w:rPr>
        <w:t xml:space="preserve"> بِالْمَعْرُوفِ ؛ لِأَنَّهُ لَيْسَ مِنْ أَهْلِ ذلِكَ ، وَلَا مَأْذُونٍ </w:t>
      </w:r>
      <w:r w:rsidRPr="00D10E3C">
        <w:rPr>
          <w:rStyle w:val="libFootnotenumChar"/>
          <w:rtl/>
        </w:rPr>
        <w:t>(9)</w:t>
      </w:r>
      <w:r>
        <w:rPr>
          <w:rtl/>
          <w:lang w:bidi="fa-IR"/>
        </w:rPr>
        <w:t xml:space="preserve"> لَهُ فِي الدُّعَاءِ إِلَى اللهِ عَزَّ وَجَلَّ ؛ لِأَنَّهُ لَيْسَ يُجَاهِدُ مِثْلُهُ ، وَأُمِرَ بِدُعَائِهِ </w:t>
      </w:r>
      <w:r w:rsidRPr="00D10E3C">
        <w:rPr>
          <w:rStyle w:val="libFootnotenumChar"/>
          <w:rtl/>
        </w:rPr>
        <w:t>(10)</w:t>
      </w:r>
      <w:r>
        <w:rPr>
          <w:rtl/>
          <w:lang w:bidi="fa-IR"/>
        </w:rPr>
        <w:t xml:space="preserve"> إِلَى اللهِ </w:t>
      </w:r>
      <w:r w:rsidRPr="00D10E3C">
        <w:rPr>
          <w:rStyle w:val="libFootnotenumChar"/>
          <w:rtl/>
        </w:rPr>
        <w:t>(11)</w:t>
      </w:r>
      <w:r w:rsidR="00345B0A" w:rsidRPr="00345B0A">
        <w:rPr>
          <w:rFonts w:hint="cs"/>
          <w:rtl/>
        </w:rPr>
        <w:t>.</w:t>
      </w:r>
    </w:p>
    <w:p w:rsidR="00744A1C" w:rsidRDefault="00744A1C" w:rsidP="00744A1C">
      <w:pPr>
        <w:pStyle w:val="libNormal"/>
        <w:rPr>
          <w:lang w:bidi="fa-IR"/>
        </w:rPr>
      </w:pPr>
      <w:r>
        <w:rPr>
          <w:rtl/>
          <w:lang w:bidi="fa-IR"/>
        </w:rPr>
        <w:t xml:space="preserve">وَلَا يَكُونُ مُجَاهِداً مَنْ قَدْ </w:t>
      </w:r>
      <w:r w:rsidRPr="00D10E3C">
        <w:rPr>
          <w:rStyle w:val="libFootnotenumChar"/>
          <w:rtl/>
        </w:rPr>
        <w:t>(12)</w:t>
      </w:r>
      <w:r>
        <w:rPr>
          <w:rtl/>
          <w:lang w:bidi="fa-IR"/>
        </w:rPr>
        <w:t xml:space="preserve"> أُمِرَ </w:t>
      </w:r>
      <w:r w:rsidRPr="00D10E3C">
        <w:rPr>
          <w:rStyle w:val="libFootnotenumChar"/>
          <w:rtl/>
        </w:rPr>
        <w:t>(13)</w:t>
      </w:r>
      <w:r>
        <w:rPr>
          <w:rtl/>
          <w:lang w:bidi="fa-IR"/>
        </w:rPr>
        <w:t xml:space="preserve"> الْمُؤْمِنُونَ </w:t>
      </w:r>
      <w:r w:rsidRPr="00D10E3C">
        <w:rPr>
          <w:rStyle w:val="libFootnotenumChar"/>
          <w:rtl/>
        </w:rPr>
        <w:t>(14)</w:t>
      </w:r>
      <w:r>
        <w:rPr>
          <w:rtl/>
          <w:lang w:bidi="fa-IR"/>
        </w:rPr>
        <w:t xml:space="preserve"> بِجِهَادِهِ ، وَحَظَرَ الْجِهَادَ عَلَيْهِ وَمَنَعَهُ‌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345B0A">
        <w:rPr>
          <w:rtl/>
        </w:rPr>
        <w:t>الوسائل :</w:t>
      </w:r>
      <w:r w:rsidR="00744A1C">
        <w:rPr>
          <w:rtl/>
          <w:lang w:bidi="fa-IR"/>
        </w:rPr>
        <w:t xml:space="preserve"> « لكنّ » بدون الواو.</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حاصل الجواب : أنّا قد ذكرنا أنّ جميع ما في أيدي المشركين من أموال المسلمين ، فجميع المسلمين مظلومون من هذه الجهة ، والمهاجرون ظلموا من هذه الجهة ومن جهة إخراجهم من خصوص مكّة أيضاً ».</w:t>
      </w:r>
    </w:p>
    <w:p w:rsidR="00744A1C" w:rsidRDefault="00E378DD" w:rsidP="00E378DD">
      <w:pPr>
        <w:pStyle w:val="libFootnote0"/>
        <w:rPr>
          <w:lang w:bidi="fa-IR"/>
        </w:rPr>
      </w:pPr>
      <w:r>
        <w:rPr>
          <w:rtl/>
          <w:lang w:bidi="fa-IR"/>
        </w:rPr>
        <w:t>(3).</w:t>
      </w:r>
      <w:r w:rsidR="00744A1C">
        <w:rPr>
          <w:rtl/>
          <w:lang w:bidi="fa-IR"/>
        </w:rPr>
        <w:t xml:space="preserve"> في « جت » : + « أهل ».</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w:t>
      </w:r>
      <w:r w:rsidR="00744A1C" w:rsidRPr="00345B0A">
        <w:rPr>
          <w:rtl/>
        </w:rPr>
        <w:t>والوافي والوسائل والتهذيب.</w:t>
      </w:r>
      <w:r w:rsidR="00744A1C">
        <w:rPr>
          <w:rtl/>
          <w:lang w:bidi="fa-IR"/>
        </w:rPr>
        <w:t xml:space="preserve"> وفي المطبوع : « وصف [ ها ] ».</w:t>
      </w:r>
    </w:p>
    <w:tbl>
      <w:tblPr>
        <w:tblStyle w:val="TableGrid"/>
        <w:bidiVisual/>
        <w:tblW w:w="0" w:type="auto"/>
        <w:tblLook w:val="04A0" w:firstRow="1" w:lastRow="0" w:firstColumn="1" w:lastColumn="0" w:noHBand="0" w:noVBand="1"/>
      </w:tblPr>
      <w:tblGrid>
        <w:gridCol w:w="4006"/>
        <w:gridCol w:w="4006"/>
      </w:tblGrid>
      <w:tr w:rsidR="00345B0A" w:rsidTr="00345B0A">
        <w:tc>
          <w:tcPr>
            <w:tcW w:w="4006" w:type="dxa"/>
          </w:tcPr>
          <w:p w:rsidR="00345B0A" w:rsidRDefault="00345B0A" w:rsidP="00E378DD">
            <w:pPr>
              <w:pStyle w:val="libFootnote0"/>
              <w:rPr>
                <w:rtl/>
                <w:lang w:bidi="fa-IR"/>
              </w:rPr>
            </w:pPr>
            <w:r>
              <w:rPr>
                <w:rtl/>
                <w:lang w:bidi="fa-IR"/>
              </w:rPr>
              <w:t>(5). في « ى » : - « الله ».</w:t>
            </w:r>
          </w:p>
        </w:tc>
        <w:tc>
          <w:tcPr>
            <w:tcW w:w="4006" w:type="dxa"/>
          </w:tcPr>
          <w:p w:rsidR="00345B0A" w:rsidRDefault="00345B0A" w:rsidP="00E378DD">
            <w:pPr>
              <w:pStyle w:val="libFootnote0"/>
              <w:rPr>
                <w:rtl/>
                <w:lang w:bidi="fa-IR"/>
              </w:rPr>
            </w:pPr>
            <w:r>
              <w:rPr>
                <w:rtl/>
                <w:lang w:bidi="fa-IR"/>
              </w:rPr>
              <w:t>(6). في « جن » : - « له ».</w:t>
            </w:r>
          </w:p>
        </w:tc>
      </w:tr>
      <w:tr w:rsidR="00345B0A" w:rsidTr="00345B0A">
        <w:tc>
          <w:tcPr>
            <w:tcW w:w="4006" w:type="dxa"/>
          </w:tcPr>
          <w:p w:rsidR="00345B0A" w:rsidRDefault="00345B0A" w:rsidP="00E378DD">
            <w:pPr>
              <w:pStyle w:val="libFootnote0"/>
              <w:rPr>
                <w:rtl/>
                <w:lang w:bidi="fa-IR"/>
              </w:rPr>
            </w:pPr>
            <w:r>
              <w:rPr>
                <w:rtl/>
                <w:lang w:bidi="fa-IR"/>
              </w:rPr>
              <w:t>(7). في حاشية « جت » : « بالقتال ».</w:t>
            </w:r>
          </w:p>
        </w:tc>
        <w:tc>
          <w:tcPr>
            <w:tcW w:w="4006" w:type="dxa"/>
          </w:tcPr>
          <w:p w:rsidR="00345B0A" w:rsidRDefault="00345B0A" w:rsidP="00E378DD">
            <w:pPr>
              <w:pStyle w:val="libFootnote0"/>
              <w:rPr>
                <w:rtl/>
                <w:lang w:bidi="fa-IR"/>
              </w:rPr>
            </w:pPr>
            <w:r>
              <w:rPr>
                <w:rtl/>
                <w:lang w:bidi="fa-IR"/>
              </w:rPr>
              <w:t>(8). في « جن » : « ولا أمر ».</w:t>
            </w:r>
          </w:p>
        </w:tc>
      </w:tr>
    </w:tbl>
    <w:p w:rsidR="00744A1C" w:rsidRDefault="00E378DD" w:rsidP="00E378DD">
      <w:pPr>
        <w:pStyle w:val="libFootnote0"/>
        <w:rPr>
          <w:lang w:bidi="fa-IR"/>
        </w:rPr>
      </w:pPr>
      <w:r>
        <w:rPr>
          <w:rtl/>
          <w:lang w:bidi="fa-IR"/>
        </w:rPr>
        <w:t>(9).</w:t>
      </w:r>
      <w:r w:rsidR="00744A1C">
        <w:rPr>
          <w:rtl/>
          <w:lang w:bidi="fa-IR"/>
        </w:rPr>
        <w:t xml:space="preserve"> في « ى » وحاشية « جت » : « مأذوناً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وا</w:t>
      </w:r>
      <w:r w:rsidR="000633E4">
        <w:rPr>
          <w:rFonts w:hint="cs"/>
          <w:rtl/>
          <w:lang w:bidi="fa-IR"/>
        </w:rPr>
        <w:t>ُ</w:t>
      </w:r>
      <w:r w:rsidR="00744A1C">
        <w:rPr>
          <w:rtl/>
          <w:lang w:bidi="fa-IR"/>
        </w:rPr>
        <w:t>مر بدعائه ، على بناء المجهول ، أي أمر غيره بدعائه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التهذيب</w:t>
      </w:r>
      <w:r w:rsidR="00744A1C">
        <w:rPr>
          <w:rtl/>
          <w:lang w:bidi="fa-IR"/>
        </w:rPr>
        <w:t xml:space="preserve"> : - « لأنّه ليس يجاهد مثله وا</w:t>
      </w:r>
      <w:r w:rsidR="000633E4">
        <w:rPr>
          <w:rFonts w:hint="cs"/>
          <w:rtl/>
          <w:lang w:bidi="fa-IR"/>
        </w:rPr>
        <w:t>ُ</w:t>
      </w:r>
      <w:r w:rsidR="00744A1C">
        <w:rPr>
          <w:rtl/>
          <w:lang w:bidi="fa-IR"/>
        </w:rPr>
        <w:t>مر بدعائه إلى الله ».</w:t>
      </w:r>
    </w:p>
    <w:tbl>
      <w:tblPr>
        <w:tblStyle w:val="TableGrid"/>
        <w:bidiVisual/>
        <w:tblW w:w="0" w:type="auto"/>
        <w:tblLook w:val="04A0" w:firstRow="1" w:lastRow="0" w:firstColumn="1" w:lastColumn="0" w:noHBand="0" w:noVBand="1"/>
      </w:tblPr>
      <w:tblGrid>
        <w:gridCol w:w="4006"/>
        <w:gridCol w:w="4006"/>
      </w:tblGrid>
      <w:tr w:rsidR="000633E4" w:rsidTr="000633E4">
        <w:tc>
          <w:tcPr>
            <w:tcW w:w="4006" w:type="dxa"/>
          </w:tcPr>
          <w:p w:rsidR="000633E4" w:rsidRDefault="000633E4" w:rsidP="00E378DD">
            <w:pPr>
              <w:pStyle w:val="libFootnote0"/>
              <w:rPr>
                <w:rtl/>
                <w:lang w:bidi="fa-IR"/>
              </w:rPr>
            </w:pPr>
            <w:r>
              <w:rPr>
                <w:rtl/>
                <w:lang w:bidi="fa-IR"/>
              </w:rPr>
              <w:t>(12). في « جت » : « كان ».</w:t>
            </w:r>
          </w:p>
        </w:tc>
        <w:tc>
          <w:tcPr>
            <w:tcW w:w="4006" w:type="dxa"/>
          </w:tcPr>
          <w:p w:rsidR="000633E4" w:rsidRDefault="000633E4" w:rsidP="00E378DD">
            <w:pPr>
              <w:pStyle w:val="libFootnote0"/>
              <w:rPr>
                <w:rtl/>
                <w:lang w:bidi="fa-IR"/>
              </w:rPr>
            </w:pPr>
            <w:r>
              <w:rPr>
                <w:rtl/>
                <w:lang w:bidi="fa-IR"/>
              </w:rPr>
              <w:t>(13). في « جن » : + « الله ».</w:t>
            </w:r>
          </w:p>
        </w:tc>
      </w:tr>
    </w:tbl>
    <w:p w:rsidR="00744A1C" w:rsidRDefault="00E378DD" w:rsidP="00E378DD">
      <w:pPr>
        <w:pStyle w:val="libFootnote0"/>
        <w:rPr>
          <w:lang w:bidi="fa-IR"/>
        </w:rPr>
      </w:pPr>
      <w:r>
        <w:rPr>
          <w:rtl/>
          <w:lang w:bidi="fa-IR"/>
        </w:rPr>
        <w:t>(14).</w:t>
      </w:r>
      <w:r w:rsidR="00744A1C">
        <w:rPr>
          <w:rtl/>
          <w:lang w:bidi="fa-IR"/>
        </w:rPr>
        <w:t xml:space="preserve"> في « جت » : « المؤمنين ».</w:t>
      </w:r>
    </w:p>
    <w:p w:rsidR="006A5060" w:rsidRDefault="006A5060" w:rsidP="00D10E3C">
      <w:pPr>
        <w:pStyle w:val="libNormal"/>
        <w:rPr>
          <w:rtl/>
          <w:lang w:bidi="fa-IR"/>
        </w:rPr>
      </w:pPr>
      <w:r>
        <w:rPr>
          <w:rtl/>
          <w:lang w:bidi="fa-IR"/>
        </w:rPr>
        <w:br w:type="page"/>
      </w:r>
    </w:p>
    <w:p w:rsidR="00744A1C" w:rsidRDefault="00744A1C" w:rsidP="00EE40F1">
      <w:pPr>
        <w:pStyle w:val="libNormal0"/>
        <w:rPr>
          <w:lang w:bidi="fa-IR"/>
        </w:rPr>
      </w:pPr>
      <w:r>
        <w:rPr>
          <w:rtl/>
          <w:lang w:bidi="fa-IR"/>
        </w:rPr>
        <w:t>مِنْهُ ؛ وَ</w:t>
      </w:r>
      <w:r w:rsidR="0043554D">
        <w:rPr>
          <w:rFonts w:hint="cs"/>
          <w:rtl/>
          <w:lang w:bidi="fa-IR"/>
        </w:rPr>
        <w:t xml:space="preserve"> </w:t>
      </w:r>
      <w:r>
        <w:rPr>
          <w:rtl/>
          <w:lang w:bidi="fa-IR"/>
        </w:rPr>
        <w:t xml:space="preserve">لَا يَكُونُ دَاعِياً إِلَى اللهِ - عَزَّ وَجَلَّ - مَنْ أُمِرَ بِدُعَاءِ </w:t>
      </w:r>
      <w:r w:rsidRPr="00D10E3C">
        <w:rPr>
          <w:rStyle w:val="libFootnotenumChar"/>
          <w:rtl/>
        </w:rPr>
        <w:t>(1)</w:t>
      </w:r>
      <w:r>
        <w:rPr>
          <w:rtl/>
          <w:lang w:bidi="fa-IR"/>
        </w:rPr>
        <w:t xml:space="preserve"> مِثْلِهِ إِلَى التَّوْبَةِ وَالْحَقِّ وَالْأَمْرِ بِالْمَعْرُوفِ وَالنَّهْيِ عَنِ الْمُنْكَرِ ؛ وَلَا يَأْمُرُ </w:t>
      </w:r>
      <w:r w:rsidRPr="00D10E3C">
        <w:rPr>
          <w:rStyle w:val="libFootnotenumChar"/>
          <w:rtl/>
        </w:rPr>
        <w:t>(2)</w:t>
      </w:r>
      <w:r>
        <w:rPr>
          <w:rtl/>
          <w:lang w:bidi="fa-IR"/>
        </w:rPr>
        <w:t xml:space="preserve"> بِالْمَعْرُوفِ مَنْ قَدْ أُمِرَ أَنْ يُؤْمَرَ بِهِ ، وَلَا يَنْهى عَنِ الْمُنْكَرِ مَنْ قَدْ أُمِرَ أَنْ يُنْهى عَنْهُ.</w:t>
      </w:r>
    </w:p>
    <w:p w:rsidR="00744A1C" w:rsidRDefault="00744A1C" w:rsidP="0043554D">
      <w:pPr>
        <w:pStyle w:val="libNormal"/>
        <w:rPr>
          <w:lang w:bidi="fa-IR"/>
        </w:rPr>
      </w:pPr>
      <w:r>
        <w:rPr>
          <w:rtl/>
          <w:lang w:bidi="fa-IR"/>
        </w:rPr>
        <w:t xml:space="preserve">فَمَنْ كَانَتْ </w:t>
      </w:r>
      <w:r w:rsidRPr="00D10E3C">
        <w:rPr>
          <w:rStyle w:val="libFootnotenumChar"/>
          <w:rtl/>
        </w:rPr>
        <w:t>(3)</w:t>
      </w:r>
      <w:r>
        <w:rPr>
          <w:rtl/>
          <w:lang w:bidi="fa-IR"/>
        </w:rPr>
        <w:t xml:space="preserve"> قَدْ تَمَّتْ فِيهِ شَرَائِطُ اللهِ - عَزَّ وَجَلَّ - الَّتِي وُصِفَ </w:t>
      </w:r>
      <w:r w:rsidRPr="00D10E3C">
        <w:rPr>
          <w:rStyle w:val="libFootnotenumChar"/>
          <w:rtl/>
        </w:rPr>
        <w:t>(4)</w:t>
      </w:r>
      <w:r>
        <w:rPr>
          <w:rtl/>
          <w:lang w:bidi="fa-IR"/>
        </w:rPr>
        <w:t xml:space="preserve"> بِهَا أَهْلُهَا مِنْ أَصْحَابِ النَّبِيِّ </w:t>
      </w:r>
      <w:r w:rsidR="0043554D" w:rsidRPr="0043554D">
        <w:rPr>
          <w:rStyle w:val="libFootnoteAlaemChar"/>
          <w:rFonts w:eastAsiaTheme="minorHAnsi"/>
          <w:rtl/>
        </w:rPr>
        <w:t>صلى‌الله‌عليه‌وآله‌وسلم</w:t>
      </w:r>
      <w:r w:rsidR="0043554D" w:rsidRPr="0043554D">
        <w:rPr>
          <w:rFonts w:eastAsiaTheme="minorHAnsi"/>
          <w:rtl/>
        </w:rPr>
        <w:t xml:space="preserve"> </w:t>
      </w:r>
      <w:r>
        <w:rPr>
          <w:rtl/>
          <w:lang w:bidi="fa-IR"/>
        </w:rPr>
        <w:t xml:space="preserve">وَهُوَ مَظْلُومٌ ، فَهُوَ مَأْذُونٌ لَهُ فِي الْجِهَادِ </w:t>
      </w:r>
      <w:r w:rsidRPr="00D10E3C">
        <w:rPr>
          <w:rStyle w:val="libFootnotenumChar"/>
          <w:rtl/>
        </w:rPr>
        <w:t>(5)</w:t>
      </w:r>
      <w:r>
        <w:rPr>
          <w:rtl/>
          <w:lang w:bidi="fa-IR"/>
        </w:rPr>
        <w:t xml:space="preserve"> كَمَا أُذِنَ لَهُمْ </w:t>
      </w:r>
      <w:r w:rsidRPr="00D10E3C">
        <w:rPr>
          <w:rStyle w:val="libFootnotenumChar"/>
          <w:rtl/>
        </w:rPr>
        <w:t>(6)</w:t>
      </w:r>
      <w:r>
        <w:rPr>
          <w:rtl/>
          <w:lang w:bidi="fa-IR"/>
        </w:rPr>
        <w:t xml:space="preserve"> فِي الْجِهَادِ </w:t>
      </w:r>
      <w:r w:rsidRPr="00D10E3C">
        <w:rPr>
          <w:rStyle w:val="libFootnotenumChar"/>
          <w:rtl/>
        </w:rPr>
        <w:t>(7)</w:t>
      </w:r>
      <w:r>
        <w:rPr>
          <w:rtl/>
          <w:lang w:bidi="fa-IR"/>
        </w:rPr>
        <w:t xml:space="preserve"> ؛ لِأَنَّ حُكْمَ اللهِ - عَزَّ وَجَلَّ - فِي الْأَوَّلِينَ وَالْآخِرِينَ وَفَرَائِ</w:t>
      </w:r>
      <w:r w:rsidR="0043554D">
        <w:rPr>
          <w:rtl/>
          <w:lang w:bidi="fa-IR"/>
        </w:rPr>
        <w:t>ضَهُ عَلَيْهِمْ سَوَاءٌ ، إِل</w:t>
      </w:r>
      <w:r w:rsidR="0043554D">
        <w:rPr>
          <w:rFonts w:hint="cs"/>
          <w:rtl/>
          <w:lang w:bidi="fa-IR"/>
        </w:rPr>
        <w:t>َّ</w:t>
      </w:r>
      <w:r w:rsidR="0043554D">
        <w:rPr>
          <w:rtl/>
          <w:lang w:bidi="fa-IR"/>
        </w:rPr>
        <w:t>ا</w:t>
      </w:r>
      <w:r>
        <w:rPr>
          <w:rtl/>
          <w:lang w:bidi="fa-IR"/>
        </w:rPr>
        <w:t xml:space="preserve"> مِنْ عِلَّةٍ ، أَوْ حَادِثٍ يَكُونُ.</w:t>
      </w:r>
    </w:p>
    <w:p w:rsidR="00744A1C" w:rsidRDefault="00744A1C" w:rsidP="00744A1C">
      <w:pPr>
        <w:pStyle w:val="libNormal"/>
        <w:rPr>
          <w:lang w:bidi="fa-IR"/>
        </w:rPr>
      </w:pPr>
      <w:r>
        <w:rPr>
          <w:rtl/>
          <w:lang w:bidi="fa-IR"/>
        </w:rPr>
        <w:t xml:space="preserve">وَالْأَوَّلُونَ وَالْآخِرُونَ أَيْضاً فِي مَنْعِ الْحَوَادِثِ شُرَكَاءُ ، وَالْفَرَائِضُ عَلَيْهِمْ وَاحِدَةٌ ، يُسْأَلُ الْآخِرُونَ عَنْ </w:t>
      </w:r>
      <w:r w:rsidRPr="00D10E3C">
        <w:rPr>
          <w:rStyle w:val="libFootnotenumChar"/>
          <w:rtl/>
        </w:rPr>
        <w:t>(8)</w:t>
      </w:r>
      <w:r>
        <w:rPr>
          <w:rtl/>
          <w:lang w:bidi="fa-IR"/>
        </w:rPr>
        <w:t xml:space="preserve"> أَدَاءِ الْفَرَائِضِ عَمَّا </w:t>
      </w:r>
      <w:r w:rsidRPr="00D10E3C">
        <w:rPr>
          <w:rStyle w:val="libFootnotenumChar"/>
          <w:rtl/>
        </w:rPr>
        <w:t>(9)</w:t>
      </w:r>
      <w:r>
        <w:rPr>
          <w:rtl/>
          <w:lang w:bidi="fa-IR"/>
        </w:rPr>
        <w:t xml:space="preserve"> يُسْأَلُ عَنْهُ الْأَوَّلُونَ ، وَيُحَاسَبُونَ عَمَّا بِهِ يُحَاسَبُونَ </w:t>
      </w:r>
      <w:r w:rsidRPr="00D10E3C">
        <w:rPr>
          <w:rStyle w:val="libFootnotenumChar"/>
          <w:rtl/>
        </w:rPr>
        <w:t>(10)</w:t>
      </w:r>
      <w:r w:rsidR="00AC0904" w:rsidRPr="00AC0904">
        <w:rPr>
          <w:rStyle w:val="libFootnote0Char"/>
          <w:rFonts w:hint="cs"/>
          <w:rtl/>
        </w:rPr>
        <w:t>.</w:t>
      </w:r>
    </w:p>
    <w:p w:rsidR="00744A1C" w:rsidRDefault="00744A1C" w:rsidP="00744A1C">
      <w:pPr>
        <w:pStyle w:val="libNormal"/>
        <w:rPr>
          <w:lang w:bidi="fa-IR"/>
        </w:rPr>
      </w:pPr>
      <w:r>
        <w:rPr>
          <w:rtl/>
          <w:lang w:bidi="fa-IR"/>
        </w:rPr>
        <w:t>وَ</w:t>
      </w:r>
      <w:r w:rsidR="00AC0904">
        <w:rPr>
          <w:rFonts w:hint="cs"/>
          <w:rtl/>
          <w:lang w:bidi="fa-IR"/>
        </w:rPr>
        <w:t xml:space="preserve"> </w:t>
      </w:r>
      <w:r>
        <w:rPr>
          <w:rtl/>
          <w:lang w:bidi="fa-IR"/>
        </w:rPr>
        <w:t xml:space="preserve">مَنْ لَمْ يَكُنْ عَلى صِفَةِ مَنْ أَذِنَ اللهُ لَهُ فِي الْجِهَادِ مِنَ الْمُؤْمِنِينَ ، فَلَيْسَ </w:t>
      </w:r>
      <w:r w:rsidRPr="00D10E3C">
        <w:rPr>
          <w:rStyle w:val="libFootnotenumChar"/>
          <w:rtl/>
        </w:rPr>
        <w:t>(11)</w:t>
      </w:r>
      <w:r>
        <w:rPr>
          <w:rtl/>
          <w:lang w:bidi="fa-IR"/>
        </w:rPr>
        <w:t xml:space="preserve"> مِنْ أَهْلِ الْجِهَادِ ، وَلَيْسَ بِمَأْذُونٍ لَهُ فِيهِ حَتّى يَفِي‌ءَ بِمَا شَرَطَ اللهُ - عَزَّ وَجَلَّ - عَلَيْهِ </w:t>
      </w:r>
      <w:r w:rsidRPr="00D10E3C">
        <w:rPr>
          <w:rStyle w:val="libFootnotenumChar"/>
          <w:rtl/>
        </w:rPr>
        <w:t>(12)</w:t>
      </w:r>
      <w:r>
        <w:rPr>
          <w:rtl/>
          <w:lang w:bidi="fa-IR"/>
        </w:rPr>
        <w:t xml:space="preserve"> ، فَإِذَا تَكَامَلَتْ فِيهِ شَرَائِطُ اللهِ - عَزَّ وَجَلَّ - عَلَى الْمُؤْمِنِينَ وَالْمُجَاهِدِينَ ، فَهُوَ مِنَ الْمَأْذُونِينَ لَهُمْ فِي الْجِهَادِ.</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AC0904" w:rsidTr="00AC0904">
        <w:tc>
          <w:tcPr>
            <w:tcW w:w="4006" w:type="dxa"/>
          </w:tcPr>
          <w:p w:rsidR="00AC0904" w:rsidRDefault="00AC0904" w:rsidP="00D10E3C">
            <w:pPr>
              <w:pStyle w:val="libFootnote0"/>
              <w:rPr>
                <w:rtl/>
                <w:lang w:bidi="fa-IR"/>
              </w:rPr>
            </w:pPr>
            <w:r>
              <w:rPr>
                <w:rtl/>
                <w:lang w:bidi="fa-IR"/>
              </w:rPr>
              <w:t xml:space="preserve">(1). في </w:t>
            </w:r>
            <w:r w:rsidRPr="00AC0904">
              <w:rPr>
                <w:rtl/>
              </w:rPr>
              <w:t>الوسائل</w:t>
            </w:r>
            <w:r>
              <w:rPr>
                <w:rtl/>
                <w:lang w:bidi="fa-IR"/>
              </w:rPr>
              <w:t xml:space="preserve"> : « بدعائه ».</w:t>
            </w:r>
          </w:p>
        </w:tc>
        <w:tc>
          <w:tcPr>
            <w:tcW w:w="4006" w:type="dxa"/>
          </w:tcPr>
          <w:p w:rsidR="00AC0904" w:rsidRDefault="00AC0904" w:rsidP="00D10E3C">
            <w:pPr>
              <w:pStyle w:val="libFootnote0"/>
              <w:rPr>
                <w:rtl/>
                <w:lang w:bidi="fa-IR"/>
              </w:rPr>
            </w:pPr>
            <w:r>
              <w:rPr>
                <w:rtl/>
                <w:lang w:bidi="fa-IR"/>
              </w:rPr>
              <w:t>(2). في « بف » : « بالأمر ».</w:t>
            </w:r>
          </w:p>
        </w:tc>
      </w:tr>
    </w:tbl>
    <w:p w:rsidR="00744A1C" w:rsidRDefault="00E378DD" w:rsidP="00E378DD">
      <w:pPr>
        <w:pStyle w:val="libFootnote0"/>
        <w:rPr>
          <w:lang w:bidi="fa-IR"/>
        </w:rPr>
      </w:pPr>
      <w:r>
        <w:rPr>
          <w:rtl/>
          <w:lang w:bidi="fa-IR"/>
        </w:rPr>
        <w:t>(3).</w:t>
      </w:r>
      <w:r w:rsidR="00744A1C">
        <w:rPr>
          <w:rtl/>
          <w:lang w:bidi="fa-IR"/>
        </w:rPr>
        <w:t xml:space="preserve"> في « ى » وحاشية « بث » </w:t>
      </w:r>
      <w:r w:rsidR="00744A1C" w:rsidRPr="00A15E99">
        <w:rPr>
          <w:rtl/>
        </w:rPr>
        <w:t>والوافي والبحار والتهذيب</w:t>
      </w:r>
      <w:r w:rsidR="00744A1C">
        <w:rPr>
          <w:rtl/>
          <w:lang w:bidi="fa-IR"/>
        </w:rPr>
        <w:t xml:space="preserve"> : « كان ».</w:t>
      </w:r>
    </w:p>
    <w:tbl>
      <w:tblPr>
        <w:tblStyle w:val="TableGrid"/>
        <w:bidiVisual/>
        <w:tblW w:w="0" w:type="auto"/>
        <w:tblLook w:val="04A0" w:firstRow="1" w:lastRow="0" w:firstColumn="1" w:lastColumn="0" w:noHBand="0" w:noVBand="1"/>
      </w:tblPr>
      <w:tblGrid>
        <w:gridCol w:w="4006"/>
        <w:gridCol w:w="4006"/>
      </w:tblGrid>
      <w:tr w:rsidR="00A15E99" w:rsidTr="00A15E99">
        <w:tc>
          <w:tcPr>
            <w:tcW w:w="4006" w:type="dxa"/>
          </w:tcPr>
          <w:p w:rsidR="00A15E99" w:rsidRDefault="00A15E99" w:rsidP="00E378DD">
            <w:pPr>
              <w:pStyle w:val="libFootnote0"/>
              <w:rPr>
                <w:rtl/>
                <w:lang w:bidi="fa-IR"/>
              </w:rPr>
            </w:pPr>
            <w:r>
              <w:rPr>
                <w:rtl/>
                <w:lang w:bidi="fa-IR"/>
              </w:rPr>
              <w:t xml:space="preserve">(4). في </w:t>
            </w:r>
            <w:r w:rsidRPr="00A15E99">
              <w:rPr>
                <w:rtl/>
              </w:rPr>
              <w:t>البحار والتهذيب :</w:t>
            </w:r>
            <w:r>
              <w:rPr>
                <w:rtl/>
                <w:lang w:bidi="fa-IR"/>
              </w:rPr>
              <w:t xml:space="preserve"> « قد وصف ».</w:t>
            </w:r>
          </w:p>
        </w:tc>
        <w:tc>
          <w:tcPr>
            <w:tcW w:w="4006" w:type="dxa"/>
          </w:tcPr>
          <w:p w:rsidR="00A15E99" w:rsidRDefault="00A15E99" w:rsidP="00E378DD">
            <w:pPr>
              <w:pStyle w:val="libFootnote0"/>
              <w:rPr>
                <w:rtl/>
                <w:lang w:bidi="fa-IR"/>
              </w:rPr>
            </w:pPr>
            <w:r>
              <w:rPr>
                <w:rtl/>
                <w:lang w:bidi="fa-IR"/>
              </w:rPr>
              <w:t xml:space="preserve">(5). في </w:t>
            </w:r>
            <w:r w:rsidRPr="00A15E99">
              <w:rPr>
                <w:rtl/>
              </w:rPr>
              <w:t>البحار والتهذيب</w:t>
            </w:r>
            <w:r>
              <w:rPr>
                <w:rtl/>
                <w:lang w:bidi="fa-IR"/>
              </w:rPr>
              <w:t xml:space="preserve"> : - « في الجهاد ».</w:t>
            </w:r>
          </w:p>
        </w:tc>
      </w:tr>
      <w:tr w:rsidR="00A15E99" w:rsidTr="00A15E99">
        <w:tc>
          <w:tcPr>
            <w:tcW w:w="4006" w:type="dxa"/>
          </w:tcPr>
          <w:p w:rsidR="00A15E99" w:rsidRDefault="00A15E99" w:rsidP="00E378DD">
            <w:pPr>
              <w:pStyle w:val="libFootnote0"/>
              <w:rPr>
                <w:rtl/>
                <w:lang w:bidi="fa-IR"/>
              </w:rPr>
            </w:pPr>
            <w:r>
              <w:rPr>
                <w:rtl/>
                <w:lang w:bidi="fa-IR"/>
              </w:rPr>
              <w:t xml:space="preserve">(6). في </w:t>
            </w:r>
            <w:r w:rsidRPr="00C24F9C">
              <w:rPr>
                <w:rStyle w:val="libFootnoteBoldChar"/>
                <w:rtl/>
              </w:rPr>
              <w:t>المرآة</w:t>
            </w:r>
            <w:r>
              <w:rPr>
                <w:rtl/>
                <w:lang w:bidi="fa-IR"/>
              </w:rPr>
              <w:t xml:space="preserve"> : « أي لأصحاب النبيّ </w:t>
            </w:r>
            <w:r w:rsidRPr="00F90866">
              <w:rPr>
                <w:rStyle w:val="libFootnoteAlaemChar"/>
                <w:rtl/>
              </w:rPr>
              <w:t>صلى‌الله‌عليه‌وآله</w:t>
            </w:r>
            <w:r>
              <w:rPr>
                <w:rtl/>
                <w:lang w:bidi="fa-IR"/>
              </w:rPr>
              <w:t>».</w:t>
            </w:r>
          </w:p>
        </w:tc>
        <w:tc>
          <w:tcPr>
            <w:tcW w:w="4006" w:type="dxa"/>
          </w:tcPr>
          <w:p w:rsidR="00A15E99" w:rsidRDefault="00A15E99" w:rsidP="00E378DD">
            <w:pPr>
              <w:pStyle w:val="libFootnote0"/>
              <w:rPr>
                <w:rtl/>
                <w:lang w:bidi="fa-IR"/>
              </w:rPr>
            </w:pPr>
            <w:r>
              <w:rPr>
                <w:rtl/>
                <w:lang w:bidi="fa-IR"/>
              </w:rPr>
              <w:t>(7). في«ى،بف،جت،جد»</w:t>
            </w:r>
            <w:r w:rsidRPr="004C6549">
              <w:rPr>
                <w:rtl/>
              </w:rPr>
              <w:t>والوافي</w:t>
            </w:r>
            <w:r>
              <w:rPr>
                <w:rtl/>
                <w:lang w:bidi="fa-IR"/>
              </w:rPr>
              <w:t xml:space="preserve"> :- «في الجهاد».</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4C6549">
        <w:rPr>
          <w:rtl/>
        </w:rPr>
        <w:t>الوسائل</w:t>
      </w:r>
      <w:r w:rsidR="00744A1C">
        <w:rPr>
          <w:rtl/>
          <w:lang w:bidi="fa-IR"/>
        </w:rPr>
        <w:t xml:space="preserve"> : « من ».</w:t>
      </w:r>
    </w:p>
    <w:p w:rsidR="00744A1C" w:rsidRDefault="00E378DD" w:rsidP="00E378DD">
      <w:pPr>
        <w:pStyle w:val="libFootnote0"/>
        <w:rPr>
          <w:lang w:bidi="fa-IR"/>
        </w:rPr>
      </w:pPr>
      <w:r>
        <w:rPr>
          <w:rtl/>
          <w:lang w:bidi="fa-IR"/>
        </w:rPr>
        <w:t>(9).</w:t>
      </w:r>
      <w:r w:rsidR="00744A1C">
        <w:rPr>
          <w:rtl/>
          <w:lang w:bidi="fa-IR"/>
        </w:rPr>
        <w:t xml:space="preserve"> في « بح » وحاشية « بث ، جت » </w:t>
      </w:r>
      <w:r w:rsidR="00744A1C" w:rsidRPr="004C6549">
        <w:rPr>
          <w:rtl/>
        </w:rPr>
        <w:t>والبحار والتهذيب</w:t>
      </w:r>
      <w:r w:rsidR="00744A1C">
        <w:rPr>
          <w:rtl/>
          <w:lang w:bidi="fa-IR"/>
        </w:rPr>
        <w:t xml:space="preserve"> : « كما ».</w:t>
      </w:r>
    </w:p>
    <w:p w:rsidR="00744A1C" w:rsidRDefault="00E378DD" w:rsidP="00E378DD">
      <w:pPr>
        <w:pStyle w:val="libFootnote0"/>
        <w:rPr>
          <w:lang w:bidi="fa-IR"/>
        </w:rPr>
      </w:pPr>
      <w:r>
        <w:rPr>
          <w:rtl/>
          <w:lang w:bidi="fa-IR"/>
        </w:rPr>
        <w:t>(10).</w:t>
      </w:r>
      <w:r w:rsidR="00744A1C">
        <w:rPr>
          <w:rtl/>
          <w:lang w:bidi="fa-IR"/>
        </w:rPr>
        <w:t xml:space="preserve"> في </w:t>
      </w:r>
      <w:r w:rsidR="00744A1C" w:rsidRPr="004C6549">
        <w:rPr>
          <w:rtl/>
        </w:rPr>
        <w:t>الوافي والبحار</w:t>
      </w:r>
      <w:r w:rsidR="00744A1C">
        <w:rPr>
          <w:rtl/>
          <w:lang w:bidi="fa-IR"/>
        </w:rPr>
        <w:t xml:space="preserve"> : « كما يحاسبون به » بدل « عمّا به يحاسبون ».</w:t>
      </w:r>
    </w:p>
    <w:p w:rsidR="00744A1C" w:rsidRDefault="00E378DD" w:rsidP="00E378DD">
      <w:pPr>
        <w:pStyle w:val="libFootnote0"/>
        <w:rPr>
          <w:lang w:bidi="fa-IR"/>
        </w:rPr>
      </w:pPr>
      <w:r>
        <w:rPr>
          <w:rtl/>
          <w:lang w:bidi="fa-IR"/>
        </w:rPr>
        <w:t>(11).</w:t>
      </w:r>
      <w:r w:rsidR="00744A1C">
        <w:rPr>
          <w:rtl/>
          <w:lang w:bidi="fa-IR"/>
        </w:rPr>
        <w:t xml:space="preserve"> في « ى ، بث ، بح ، بس ، بف ، جت ، جن » : « وليس ».</w:t>
      </w:r>
    </w:p>
    <w:p w:rsidR="00744A1C" w:rsidRDefault="00E378DD" w:rsidP="00E378DD">
      <w:pPr>
        <w:pStyle w:val="libFootnote0"/>
        <w:rPr>
          <w:lang w:bidi="fa-IR"/>
        </w:rPr>
      </w:pPr>
      <w:r>
        <w:rPr>
          <w:rtl/>
          <w:lang w:bidi="fa-IR"/>
        </w:rPr>
        <w:t>(12).</w:t>
      </w:r>
      <w:r w:rsidR="00744A1C">
        <w:rPr>
          <w:rtl/>
          <w:lang w:bidi="fa-IR"/>
        </w:rPr>
        <w:t xml:space="preserve"> في </w:t>
      </w:r>
      <w:r w:rsidR="00744A1C" w:rsidRPr="004C6549">
        <w:rPr>
          <w:rtl/>
        </w:rPr>
        <w:t>الوسائل :</w:t>
      </w:r>
      <w:r w:rsidR="00744A1C">
        <w:rPr>
          <w:rtl/>
          <w:lang w:bidi="fa-IR"/>
        </w:rPr>
        <w:t xml:space="preserve"> - « عليه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فَلْيَتَّقِ اللهَ - عَزَّ وَجَلَّ - عَبْدٌ </w:t>
      </w:r>
      <w:r w:rsidRPr="00D10E3C">
        <w:rPr>
          <w:rStyle w:val="libFootnotenumChar"/>
          <w:rtl/>
        </w:rPr>
        <w:t>(1)</w:t>
      </w:r>
      <w:r>
        <w:rPr>
          <w:rtl/>
          <w:lang w:bidi="fa-IR"/>
        </w:rPr>
        <w:t xml:space="preserve"> ، وَلَا يَغْتَرَّ بِالْأَمَانِيِّ </w:t>
      </w:r>
      <w:r w:rsidRPr="00D10E3C">
        <w:rPr>
          <w:rStyle w:val="libFootnotenumChar"/>
          <w:rtl/>
        </w:rPr>
        <w:t>(2)</w:t>
      </w:r>
      <w:r>
        <w:rPr>
          <w:rtl/>
          <w:lang w:bidi="fa-IR"/>
        </w:rPr>
        <w:t xml:space="preserve"> الَّتِي نَهَى اللهُ - عَزَّ وَجَلَّ - عَنْهَا مِنْ هذِهِ الْأَحَادِيثِ الْكَاذِبَةِ عَلَى اللهِ الَّتِي يُكَذِّبُهَا الْقُرْآنُ ، وَيَتَبَرَّأُ مِنْهَا وَمِنْ حَمَلَتِهَا وَرُوَاتِهَا ، وَلَا يَقْدَمُ عَلَى اللهِ - عَزَّ وَجَلَّ - بِشُبْهَةٍ لَايُعْذَرُ </w:t>
      </w:r>
      <w:r w:rsidRPr="00D10E3C">
        <w:rPr>
          <w:rStyle w:val="libFootnotenumChar"/>
          <w:rtl/>
        </w:rPr>
        <w:t>(3)</w:t>
      </w:r>
      <w:r>
        <w:rPr>
          <w:rtl/>
          <w:lang w:bidi="fa-IR"/>
        </w:rPr>
        <w:t xml:space="preserve"> بِهَا ؛ فَإِنَّهُ لَيْسَ وَرَاءَ الْمُتَعَرِّضِ </w:t>
      </w:r>
      <w:r w:rsidRPr="00D10E3C">
        <w:rPr>
          <w:rStyle w:val="libFootnotenumChar"/>
          <w:rtl/>
        </w:rPr>
        <w:t>(4)</w:t>
      </w:r>
      <w:r>
        <w:rPr>
          <w:rtl/>
          <w:lang w:bidi="fa-IR"/>
        </w:rPr>
        <w:t xml:space="preserve"> لِلْقَتْلِ فِي سَبِيلِ اللهِ مَنْزِلَةٌ يُؤْتَى اللهُ مِنْ قِبَلِهَا ، وَهِيَ غَايَةُ الْأَعْمَالِ فِي عِظَمِ قَدْرِهَا ، فَلْيَحْكُمِ امْرُؤٌ لِنَفْسِهِ ، وَلْيُرِهَا كِتَابَ اللهِ - عَزَّ وَجَلَّ - وَيَعْرِضُهَا عَلَيْهِ ؛ فَإِنَّهُ لَا أَحَدَ أَعْرَفُ </w:t>
      </w:r>
      <w:r w:rsidRPr="00D10E3C">
        <w:rPr>
          <w:rStyle w:val="libFootnotenumChar"/>
          <w:rtl/>
        </w:rPr>
        <w:t>(5)</w:t>
      </w:r>
      <w:r>
        <w:rPr>
          <w:rtl/>
          <w:lang w:bidi="fa-IR"/>
        </w:rPr>
        <w:t xml:space="preserve"> بِالْمَرْءِ </w:t>
      </w:r>
      <w:r w:rsidRPr="00D10E3C">
        <w:rPr>
          <w:rStyle w:val="libFootnotenumChar"/>
          <w:rtl/>
        </w:rPr>
        <w:t>(6)</w:t>
      </w:r>
      <w:r>
        <w:rPr>
          <w:rtl/>
          <w:lang w:bidi="fa-IR"/>
        </w:rPr>
        <w:t xml:space="preserve"> مِنْ نَفْسِهِ ، فَإِنْ وَجَدَهَا قَائِمَةً بِمَا شَرَطَ اللهُ عَلَيْهِ </w:t>
      </w:r>
      <w:r w:rsidRPr="00D10E3C">
        <w:rPr>
          <w:rStyle w:val="libFootnotenumChar"/>
          <w:rtl/>
        </w:rPr>
        <w:t>(7)</w:t>
      </w:r>
      <w:r>
        <w:rPr>
          <w:rtl/>
          <w:lang w:bidi="fa-IR"/>
        </w:rPr>
        <w:t xml:space="preserve"> فِي الْجِهَادِ ، فَلْيُقْدِمْ عَلَى الْجِهَادِ ، وَإِنْ عَلِمَ تَقْصِيراً ، فَلْيُصْلِحْهَا وَلْيُقِمْهَا عَلى مَا فَرَضَ اللهُ عَلَيْهَا مِنَ </w:t>
      </w:r>
      <w:r w:rsidRPr="00D10E3C">
        <w:rPr>
          <w:rStyle w:val="libFootnotenumChar"/>
          <w:rtl/>
        </w:rPr>
        <w:t>(8)</w:t>
      </w:r>
      <w:r>
        <w:rPr>
          <w:rtl/>
          <w:lang w:bidi="fa-IR"/>
        </w:rPr>
        <w:t xml:space="preserve"> الْجِهَادِ ، ثُمَّ لْيُقْدِمْ بِهَا وَهِيَ طَاهِرَةٌ مُطَهَّرَةٌ مِنْ كُلِّ دَنَسٍ </w:t>
      </w:r>
      <w:r w:rsidRPr="00D10E3C">
        <w:rPr>
          <w:rStyle w:val="libFootnotenumChar"/>
          <w:rtl/>
        </w:rPr>
        <w:t>(9)</w:t>
      </w:r>
      <w:r>
        <w:rPr>
          <w:rtl/>
          <w:lang w:bidi="fa-IR"/>
        </w:rPr>
        <w:t xml:space="preserve"> يَحُولُ بَيْنَهَا وَبَيْنَ جِهَادِهَا.</w:t>
      </w:r>
    </w:p>
    <w:p w:rsidR="00744A1C" w:rsidRDefault="00744A1C" w:rsidP="00744A1C">
      <w:pPr>
        <w:pStyle w:val="libNormal"/>
        <w:rPr>
          <w:lang w:bidi="fa-IR"/>
        </w:rPr>
      </w:pPr>
      <w:r>
        <w:rPr>
          <w:rtl/>
          <w:lang w:bidi="fa-IR"/>
        </w:rPr>
        <w:t xml:space="preserve">وَلَسْنَا نَقُولُ لِمَنْ أَرَادَ الْجِهَادَ وَهُوَ عَلى خِلَافِ مَا وَصَفْنَا </w:t>
      </w:r>
      <w:r w:rsidRPr="00D10E3C">
        <w:rPr>
          <w:rStyle w:val="libFootnotenumChar"/>
          <w:rtl/>
        </w:rPr>
        <w:t>(10)</w:t>
      </w:r>
      <w:r>
        <w:rPr>
          <w:rtl/>
          <w:lang w:bidi="fa-IR"/>
        </w:rPr>
        <w:t xml:space="preserve"> مِنْ شَرَائِطِ اللهِ - عَزَّ وَجَلَّ - عَلَى الْمُؤْمِنِينَ وَالْمُجَاهِدِينَ : لَاتُجَاهِدُوا </w:t>
      </w:r>
      <w:r w:rsidRPr="00D10E3C">
        <w:rPr>
          <w:rStyle w:val="libFootnotenumChar"/>
          <w:rtl/>
        </w:rPr>
        <w:t>(11)</w:t>
      </w:r>
      <w:r>
        <w:rPr>
          <w:rtl/>
          <w:lang w:bidi="fa-IR"/>
        </w:rPr>
        <w:t xml:space="preserve"> ، وَلكِنْ نَقُولُ : قَدْ عَلَّمْنَاكُمْ مَا شَرَطَ اللهُ - عَزَّ وَجَلَّ - عَلى أَهْلِ الْجِهَادِ الَّذِينَ </w:t>
      </w:r>
      <w:r w:rsidRPr="00D10E3C">
        <w:rPr>
          <w:rStyle w:val="libFootnotenumChar"/>
          <w:rtl/>
        </w:rPr>
        <w:t>(12)</w:t>
      </w:r>
      <w:r>
        <w:rPr>
          <w:rtl/>
          <w:lang w:bidi="fa-IR"/>
        </w:rPr>
        <w:t xml:space="preserve"> بَايَعَهُمْ </w:t>
      </w:r>
      <w:r w:rsidRPr="00D10E3C">
        <w:rPr>
          <w:rStyle w:val="libFootnotenumChar"/>
          <w:rtl/>
        </w:rPr>
        <w:t>(13)</w:t>
      </w:r>
      <w:r>
        <w:rPr>
          <w:rtl/>
          <w:lang w:bidi="fa-IR"/>
        </w:rPr>
        <w:t xml:space="preserve"> وَاشْتَرى مِنْهُمْ أَنْفُسَهُمْ وَأَمْوَالَهُمْ‌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جت ، جد » : « عبده ».</w:t>
      </w:r>
    </w:p>
    <w:p w:rsidR="00744A1C" w:rsidRDefault="00E378DD" w:rsidP="001679C1">
      <w:pPr>
        <w:pStyle w:val="libFootnote0"/>
        <w:rPr>
          <w:lang w:bidi="fa-IR"/>
        </w:rPr>
      </w:pPr>
      <w:r>
        <w:rPr>
          <w:rtl/>
          <w:lang w:bidi="fa-IR"/>
        </w:rPr>
        <w:t>(2).</w:t>
      </w:r>
      <w:r w:rsidR="00744A1C">
        <w:rPr>
          <w:rtl/>
          <w:lang w:bidi="fa-IR"/>
        </w:rPr>
        <w:t xml:space="preserve"> في « بث » : « بالأمالي ». والأمانيّ : جمع ا</w:t>
      </w:r>
      <w:r w:rsidR="001679C1">
        <w:rPr>
          <w:rFonts w:hint="cs"/>
          <w:rtl/>
          <w:lang w:bidi="fa-IR"/>
        </w:rPr>
        <w:t>ُ</w:t>
      </w:r>
      <w:r w:rsidR="00744A1C">
        <w:rPr>
          <w:rtl/>
          <w:lang w:bidi="fa-IR"/>
        </w:rPr>
        <w:t>منيّة ، من ال</w:t>
      </w:r>
      <w:r w:rsidR="001679C1">
        <w:rPr>
          <w:rFonts w:hint="cs"/>
          <w:rtl/>
          <w:lang w:bidi="fa-IR"/>
        </w:rPr>
        <w:t>ـ</w:t>
      </w:r>
      <w:r w:rsidR="00744A1C">
        <w:rPr>
          <w:rtl/>
          <w:lang w:bidi="fa-IR"/>
        </w:rPr>
        <w:t>مُنى وال</w:t>
      </w:r>
      <w:r w:rsidR="001679C1">
        <w:rPr>
          <w:rFonts w:hint="cs"/>
          <w:rtl/>
          <w:lang w:bidi="fa-IR"/>
        </w:rPr>
        <w:t>ـ</w:t>
      </w:r>
      <w:r w:rsidR="00744A1C">
        <w:rPr>
          <w:rtl/>
          <w:lang w:bidi="fa-IR"/>
        </w:rPr>
        <w:t>مُنية ، وهو ما يتمنّى الرجل وهي الأكاذيب ، ويطلق على الأحاديث المجعولة المكذوبة ، يقول العرب لما لا حقيقة له وهو يحبّه : هذا مُنى وهذه ا</w:t>
      </w:r>
      <w:r w:rsidR="001679C1">
        <w:rPr>
          <w:rFonts w:hint="cs"/>
          <w:rtl/>
          <w:lang w:bidi="fa-IR"/>
        </w:rPr>
        <w:t>ُ</w:t>
      </w:r>
      <w:r w:rsidR="00744A1C">
        <w:rPr>
          <w:rtl/>
          <w:lang w:bidi="fa-IR"/>
        </w:rPr>
        <w:t xml:space="preserve">منيّة. راجع : </w:t>
      </w:r>
      <w:r w:rsidR="00744A1C" w:rsidRPr="00877682">
        <w:rPr>
          <w:rStyle w:val="libFootnoteBoldChar"/>
          <w:rtl/>
        </w:rPr>
        <w:t>لسان العرب</w:t>
      </w:r>
      <w:r w:rsidR="00744A1C">
        <w:rPr>
          <w:rtl/>
          <w:lang w:bidi="fa-IR"/>
        </w:rPr>
        <w:t xml:space="preserve"> ، ج 15 ، ص 295 ( مني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بالأمانيّ ، مثل قولهم : لاتجتمع ا</w:t>
      </w:r>
      <w:r w:rsidR="001679C1">
        <w:rPr>
          <w:rFonts w:hint="cs"/>
          <w:rtl/>
          <w:lang w:bidi="fa-IR"/>
        </w:rPr>
        <w:t>ُ</w:t>
      </w:r>
      <w:r w:rsidR="00744A1C">
        <w:rPr>
          <w:rtl/>
          <w:lang w:bidi="fa-IR"/>
        </w:rPr>
        <w:t>مّتي على الخطأ ، وقولهم : صلّوا خلف كلّ برّ وفاجر ، وقولهم : أطيعوا كلّ إمام برّ أو فاجر ، ويجب طاعة من انعقدت له البيعة ، وأمثالها ».</w:t>
      </w:r>
      <w:r w:rsidR="001679C1">
        <w:rPr>
          <w:rFonts w:hint="cs"/>
          <w:rtl/>
          <w:lang w:bidi="fa-IR"/>
        </w:rPr>
        <w:t xml:space="preserve">                      </w:t>
      </w:r>
      <w:r w:rsidR="00EE40F1">
        <w:rPr>
          <w:rFonts w:hint="cs"/>
          <w:rtl/>
          <w:lang w:bidi="fa-IR"/>
        </w:rPr>
        <w:t xml:space="preserve">                     </w:t>
      </w:r>
      <w:r w:rsidR="001679C1">
        <w:rPr>
          <w:rFonts w:hint="cs"/>
          <w:rtl/>
          <w:lang w:bidi="fa-IR"/>
        </w:rPr>
        <w:t xml:space="preserve">              </w:t>
      </w:r>
      <w:r>
        <w:rPr>
          <w:rtl/>
          <w:lang w:bidi="fa-IR"/>
        </w:rPr>
        <w:t>(3).</w:t>
      </w:r>
      <w:r w:rsidR="00744A1C">
        <w:rPr>
          <w:rtl/>
          <w:lang w:bidi="fa-IR"/>
        </w:rPr>
        <w:t xml:space="preserve"> في « ى » : « ولا يعذر ».</w:t>
      </w:r>
    </w:p>
    <w:p w:rsidR="00744A1C" w:rsidRDefault="00E378DD" w:rsidP="00E378DD">
      <w:pPr>
        <w:pStyle w:val="libFootnote0"/>
        <w:rPr>
          <w:lang w:bidi="fa-IR"/>
        </w:rPr>
      </w:pPr>
      <w:r>
        <w:rPr>
          <w:rtl/>
          <w:lang w:bidi="fa-IR"/>
        </w:rPr>
        <w:t>(4).</w:t>
      </w:r>
      <w:r w:rsidR="00744A1C">
        <w:rPr>
          <w:rtl/>
          <w:lang w:bidi="fa-IR"/>
        </w:rPr>
        <w:t xml:space="preserve"> في « بث ، بح ، بس ، جت » : « المعترض ».</w:t>
      </w:r>
    </w:p>
    <w:p w:rsidR="00744A1C" w:rsidRDefault="00E378DD" w:rsidP="00E378DD">
      <w:pPr>
        <w:pStyle w:val="libFootnote0"/>
        <w:rPr>
          <w:lang w:bidi="fa-IR"/>
        </w:rPr>
      </w:pPr>
      <w:r>
        <w:rPr>
          <w:rtl/>
          <w:lang w:bidi="fa-IR"/>
        </w:rPr>
        <w:t>(5).</w:t>
      </w:r>
      <w:r w:rsidR="00744A1C">
        <w:rPr>
          <w:rtl/>
          <w:lang w:bidi="fa-IR"/>
        </w:rPr>
        <w:t xml:space="preserve"> في « بث ، بف ، جد » وحاشية « بح ، جت » و</w:t>
      </w:r>
      <w:r w:rsidR="00744A1C" w:rsidRPr="001679C1">
        <w:rPr>
          <w:rtl/>
        </w:rPr>
        <w:t xml:space="preserve">الوافي والوسائل والتهذيب </w:t>
      </w:r>
      <w:r w:rsidR="00744A1C">
        <w:rPr>
          <w:rtl/>
          <w:lang w:bidi="fa-IR"/>
        </w:rPr>
        <w:t>: « أعلم ».</w:t>
      </w:r>
    </w:p>
    <w:tbl>
      <w:tblPr>
        <w:tblStyle w:val="TableGrid"/>
        <w:bidiVisual/>
        <w:tblW w:w="0" w:type="auto"/>
        <w:tblLook w:val="04A0" w:firstRow="1" w:lastRow="0" w:firstColumn="1" w:lastColumn="0" w:noHBand="0" w:noVBand="1"/>
      </w:tblPr>
      <w:tblGrid>
        <w:gridCol w:w="4006"/>
        <w:gridCol w:w="4006"/>
      </w:tblGrid>
      <w:tr w:rsidR="001679C1" w:rsidTr="001679C1">
        <w:tc>
          <w:tcPr>
            <w:tcW w:w="4006" w:type="dxa"/>
          </w:tcPr>
          <w:p w:rsidR="001679C1" w:rsidRDefault="001679C1" w:rsidP="00E378DD">
            <w:pPr>
              <w:pStyle w:val="libFootnote0"/>
              <w:rPr>
                <w:rtl/>
                <w:lang w:bidi="fa-IR"/>
              </w:rPr>
            </w:pPr>
            <w:r>
              <w:rPr>
                <w:rtl/>
                <w:lang w:bidi="fa-IR"/>
              </w:rPr>
              <w:t xml:space="preserve">(6). في </w:t>
            </w:r>
            <w:r w:rsidRPr="00C24F9C">
              <w:rPr>
                <w:rStyle w:val="libFootnoteBoldChar"/>
                <w:rtl/>
              </w:rPr>
              <w:t>الوافي</w:t>
            </w:r>
            <w:r>
              <w:rPr>
                <w:rtl/>
                <w:lang w:bidi="fa-IR"/>
              </w:rPr>
              <w:t xml:space="preserve"> : « بامرئ ».</w:t>
            </w:r>
          </w:p>
        </w:tc>
        <w:tc>
          <w:tcPr>
            <w:tcW w:w="4006" w:type="dxa"/>
          </w:tcPr>
          <w:p w:rsidR="001679C1" w:rsidRDefault="001679C1" w:rsidP="00E378DD">
            <w:pPr>
              <w:pStyle w:val="libFootnote0"/>
              <w:rPr>
                <w:rtl/>
                <w:lang w:bidi="fa-IR"/>
              </w:rPr>
            </w:pPr>
            <w:r>
              <w:rPr>
                <w:rtl/>
                <w:lang w:bidi="fa-IR"/>
              </w:rPr>
              <w:t xml:space="preserve">(7). في </w:t>
            </w:r>
            <w:r w:rsidRPr="00C24F9C">
              <w:rPr>
                <w:rStyle w:val="libFootnoteBoldChar"/>
                <w:rtl/>
              </w:rPr>
              <w:t>الوافي</w:t>
            </w:r>
            <w:r>
              <w:rPr>
                <w:rtl/>
                <w:lang w:bidi="fa-IR"/>
              </w:rPr>
              <w:t xml:space="preserve"> : « عليها ».</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في ».</w:t>
      </w:r>
    </w:p>
    <w:p w:rsidR="00744A1C" w:rsidRDefault="00E378DD" w:rsidP="001679C1">
      <w:pPr>
        <w:pStyle w:val="libFootnote0"/>
        <w:rPr>
          <w:lang w:bidi="fa-IR"/>
        </w:rPr>
      </w:pPr>
      <w:r>
        <w:rPr>
          <w:rtl/>
          <w:lang w:bidi="fa-IR"/>
        </w:rPr>
        <w:t>(9).</w:t>
      </w:r>
      <w:r w:rsidR="00744A1C">
        <w:rPr>
          <w:rtl/>
          <w:lang w:bidi="fa-IR"/>
        </w:rPr>
        <w:t xml:space="preserve"> الدَنَس في الأصل : الوَسَخ. والمراد هنا العيوب والأخلاق المذمومة. راجع : </w:t>
      </w:r>
      <w:r w:rsidR="00744A1C" w:rsidRPr="00877682">
        <w:rPr>
          <w:rStyle w:val="libFootnoteBoldChar"/>
          <w:rtl/>
        </w:rPr>
        <w:t>لسان العرب</w:t>
      </w:r>
      <w:r w:rsidR="00744A1C">
        <w:rPr>
          <w:rtl/>
          <w:lang w:bidi="fa-IR"/>
        </w:rPr>
        <w:t xml:space="preserve"> ، ج 6 ، ص 88 ( دنس ).</w:t>
      </w:r>
      <w:r w:rsidR="001679C1">
        <w:rPr>
          <w:rFonts w:hint="cs"/>
          <w:rtl/>
          <w:lang w:bidi="fa-IR"/>
        </w:rPr>
        <w:t xml:space="preserve">        </w:t>
      </w:r>
      <w:r w:rsidR="00EE40F1">
        <w:rPr>
          <w:rFonts w:hint="cs"/>
          <w:rtl/>
          <w:lang w:bidi="fa-IR"/>
        </w:rPr>
        <w:t xml:space="preserve">                             </w:t>
      </w:r>
      <w:r w:rsidR="001679C1">
        <w:rPr>
          <w:rFonts w:hint="cs"/>
          <w:rtl/>
          <w:lang w:bidi="fa-IR"/>
        </w:rPr>
        <w:t xml:space="preserve">               </w:t>
      </w: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وصفناه ».</w:t>
      </w:r>
    </w:p>
    <w:p w:rsidR="00744A1C" w:rsidRDefault="00E378DD" w:rsidP="00E378DD">
      <w:pPr>
        <w:pStyle w:val="libFootnote0"/>
        <w:rPr>
          <w:lang w:bidi="fa-IR"/>
        </w:rPr>
      </w:pPr>
      <w:r>
        <w:rPr>
          <w:rtl/>
          <w:lang w:bidi="fa-IR"/>
        </w:rPr>
        <w:t>(11).</w:t>
      </w:r>
      <w:r w:rsidR="00744A1C">
        <w:rPr>
          <w:rtl/>
          <w:lang w:bidi="fa-IR"/>
        </w:rPr>
        <w:t xml:space="preserve"> في « بث ، بح ، جت ، جن » </w:t>
      </w:r>
      <w:r w:rsidR="00744A1C" w:rsidRPr="001679C1">
        <w:rPr>
          <w:rtl/>
        </w:rPr>
        <w:t xml:space="preserve">والتهذيب </w:t>
      </w:r>
      <w:r w:rsidR="00744A1C">
        <w:rPr>
          <w:rtl/>
          <w:lang w:bidi="fa-IR"/>
        </w:rPr>
        <w:t>: « لا يجاهدوا ».</w:t>
      </w:r>
    </w:p>
    <w:tbl>
      <w:tblPr>
        <w:tblStyle w:val="TableGrid"/>
        <w:bidiVisual/>
        <w:tblW w:w="0" w:type="auto"/>
        <w:tblLook w:val="04A0" w:firstRow="1" w:lastRow="0" w:firstColumn="1" w:lastColumn="0" w:noHBand="0" w:noVBand="1"/>
      </w:tblPr>
      <w:tblGrid>
        <w:gridCol w:w="4006"/>
        <w:gridCol w:w="4006"/>
      </w:tblGrid>
      <w:tr w:rsidR="001679C1" w:rsidTr="001679C1">
        <w:tc>
          <w:tcPr>
            <w:tcW w:w="4006" w:type="dxa"/>
          </w:tcPr>
          <w:p w:rsidR="001679C1" w:rsidRDefault="001679C1" w:rsidP="00E378DD">
            <w:pPr>
              <w:pStyle w:val="libFootnote0"/>
              <w:rPr>
                <w:rtl/>
                <w:lang w:bidi="fa-IR"/>
              </w:rPr>
            </w:pPr>
            <w:r>
              <w:rPr>
                <w:rtl/>
                <w:lang w:bidi="fa-IR"/>
              </w:rPr>
              <w:t>(12). في « جن » : « والذين ».</w:t>
            </w:r>
          </w:p>
        </w:tc>
        <w:tc>
          <w:tcPr>
            <w:tcW w:w="4006" w:type="dxa"/>
          </w:tcPr>
          <w:p w:rsidR="001679C1" w:rsidRDefault="001679C1" w:rsidP="00E378DD">
            <w:pPr>
              <w:pStyle w:val="libFootnote0"/>
              <w:rPr>
                <w:rtl/>
                <w:lang w:bidi="fa-IR"/>
              </w:rPr>
            </w:pPr>
            <w:r>
              <w:rPr>
                <w:rtl/>
                <w:lang w:bidi="fa-IR"/>
              </w:rPr>
              <w:t>(13). في « جن » : « تابعهم ».</w:t>
            </w:r>
          </w:p>
        </w:tc>
      </w:tr>
    </w:tbl>
    <w:p w:rsidR="006A5060" w:rsidRDefault="006A5060" w:rsidP="00D10E3C">
      <w:pPr>
        <w:pStyle w:val="libNormal"/>
        <w:rPr>
          <w:rtl/>
          <w:lang w:bidi="fa-IR"/>
        </w:rPr>
      </w:pPr>
      <w:r>
        <w:rPr>
          <w:rtl/>
          <w:lang w:bidi="fa-IR"/>
        </w:rPr>
        <w:br w:type="page"/>
      </w:r>
    </w:p>
    <w:p w:rsidR="00144FA6" w:rsidRDefault="00744A1C" w:rsidP="00471DAD">
      <w:pPr>
        <w:pStyle w:val="libNormal0"/>
        <w:rPr>
          <w:rtl/>
          <w:lang w:bidi="fa-IR"/>
        </w:rPr>
      </w:pPr>
      <w:r>
        <w:rPr>
          <w:rtl/>
          <w:lang w:bidi="fa-IR"/>
        </w:rPr>
        <w:t xml:space="preserve">بِالْجِنَانِ ، فَلْيُصْلِحِ </w:t>
      </w:r>
      <w:r w:rsidRPr="00D10E3C">
        <w:rPr>
          <w:rStyle w:val="libFootnotenumChar"/>
          <w:rtl/>
        </w:rPr>
        <w:t>(1)</w:t>
      </w:r>
      <w:r>
        <w:rPr>
          <w:rtl/>
          <w:lang w:bidi="fa-IR"/>
        </w:rPr>
        <w:t xml:space="preserve"> امْرُؤٌ مَا عَلِمَ مِنْ نَفْسِهِ مِنْ تَقْصِيرٍ عَنْ ذلِكَ ، وَلْيَعْرِضْهَا عَلى شَرَائِطِ اللهِ ، فَإِنْ رَأى أَنَّهُ قَدْ وَفى بِهَا وَتَكَامَلَتْ فِيهِ ، فَإِنَّهُ مِمَّنْ أَذِنَ اللهُ - عَزَّ وَجَلَّ - لَهُ فِي الْجِهَادِ ، وَإِنْ </w:t>
      </w:r>
      <w:r w:rsidRPr="00D10E3C">
        <w:rPr>
          <w:rStyle w:val="libFootnotenumChar"/>
          <w:rtl/>
        </w:rPr>
        <w:t>(2)</w:t>
      </w:r>
      <w:r w:rsidR="00471DAD">
        <w:rPr>
          <w:rtl/>
          <w:lang w:bidi="fa-IR"/>
        </w:rPr>
        <w:t xml:space="preserve"> أَبى إِل</w:t>
      </w:r>
      <w:r w:rsidR="00471DAD">
        <w:rPr>
          <w:rFonts w:hint="cs"/>
          <w:rtl/>
          <w:lang w:bidi="fa-IR"/>
        </w:rPr>
        <w:t>َّ</w:t>
      </w:r>
      <w:r w:rsidR="00471DAD">
        <w:rPr>
          <w:rtl/>
          <w:lang w:bidi="fa-IR"/>
        </w:rPr>
        <w:t>ا</w:t>
      </w:r>
      <w:r>
        <w:rPr>
          <w:rtl/>
          <w:lang w:bidi="fa-IR"/>
        </w:rPr>
        <w:t xml:space="preserve"> أَنْ يَكُونَ </w:t>
      </w:r>
      <w:r w:rsidRPr="00D10E3C">
        <w:rPr>
          <w:rStyle w:val="libFootnotenumChar"/>
          <w:rtl/>
        </w:rPr>
        <w:t>(3)</w:t>
      </w:r>
      <w:r>
        <w:rPr>
          <w:rtl/>
          <w:lang w:bidi="fa-IR"/>
        </w:rPr>
        <w:t xml:space="preserve"> مُجَاهِداً </w:t>
      </w:r>
      <w:r w:rsidRPr="00D10E3C">
        <w:rPr>
          <w:rStyle w:val="libFootnotenumChar"/>
          <w:rtl/>
        </w:rPr>
        <w:t>(4)</w:t>
      </w:r>
      <w:r>
        <w:rPr>
          <w:rtl/>
          <w:lang w:bidi="fa-IR"/>
        </w:rPr>
        <w:t xml:space="preserve"> عَلى مَا فِيهِ مِنَ الْإِصْرَارِ عَلَى الْمَعَاصِي وَالْمَحَارِمِ ، وَالْإِقْدَامِ عَلَى الْجِهَادِ بِالتَّخْبِيطِ </w:t>
      </w:r>
      <w:r w:rsidRPr="00D10E3C">
        <w:rPr>
          <w:rStyle w:val="libFootnotenumChar"/>
          <w:rtl/>
        </w:rPr>
        <w:t>(5)</w:t>
      </w:r>
      <w:r>
        <w:rPr>
          <w:rtl/>
          <w:lang w:bidi="fa-IR"/>
        </w:rPr>
        <w:t xml:space="preserve"> وَالْعَمى ، وَالْقُدُومِ عَلَى اللهِ - عَزَّ وَجَلَّ - بِالْجَهْلِ وَالرِّوَايَاتِ الْكَاذِبَةِ ، فَلَقَدْ لَعَمْرِي جَاءَ الْأَثَرُ فِيمَنْ فَعَلَ هذَا الْفِعْلَ ، إِنَّ اللهَ - عَزَّ وَجَلَّ - يَنْصُرُ هذَا الدِّينَ بِأَقْوَامٍ لَاخَلَاقَ </w:t>
      </w:r>
      <w:r w:rsidRPr="00D10E3C">
        <w:rPr>
          <w:rStyle w:val="libFootnotenumChar"/>
          <w:rtl/>
        </w:rPr>
        <w:t>(6)</w:t>
      </w:r>
      <w:r>
        <w:rPr>
          <w:rtl/>
          <w:lang w:bidi="fa-IR"/>
        </w:rPr>
        <w:t xml:space="preserve"> لَهُمْ ؛ فَلْيَتَّقِ اللهَ - عَزَّ وَجَلَّ - امْرُؤٌ ، وَلْيَحْذَرْ أَنْ يَكُونَ مِنْهُمْ ، فَقَدْ بَيَّنَ لَكُمْ وَلَا عُذْرَ لَكُمْ بَعْدَ الْبَيَانِ فِي </w:t>
      </w:r>
      <w:r w:rsidR="007251A8">
        <w:rPr>
          <w:rtl/>
          <w:lang w:bidi="fa-IR"/>
        </w:rPr>
        <w:t>الْجَهْلِ ، وَلَا قُوَّةَ إِل</w:t>
      </w:r>
      <w:r w:rsidR="007251A8">
        <w:rPr>
          <w:rFonts w:hint="cs"/>
          <w:rtl/>
          <w:lang w:bidi="fa-IR"/>
        </w:rPr>
        <w:t>َّ</w:t>
      </w:r>
      <w:r w:rsidR="007251A8">
        <w:rPr>
          <w:rtl/>
          <w:lang w:bidi="fa-IR"/>
        </w:rPr>
        <w:t>ا</w:t>
      </w:r>
      <w:r>
        <w:rPr>
          <w:rtl/>
          <w:lang w:bidi="fa-IR"/>
        </w:rPr>
        <w:t xml:space="preserve"> بِاللهِ ، وَحَسْبُنَا اللهُ ، عَلَيْهِ </w:t>
      </w:r>
      <w:r w:rsidRPr="00D10E3C">
        <w:rPr>
          <w:rStyle w:val="libFootnotenumChar"/>
          <w:rtl/>
        </w:rPr>
        <w:t>(7)</w:t>
      </w:r>
      <w:r>
        <w:rPr>
          <w:rtl/>
          <w:lang w:bidi="fa-IR"/>
        </w:rPr>
        <w:t xml:space="preserve"> تَوَكَّلْنَا ، وَإِلَيْهِ الْمَصِيرُ ». </w:t>
      </w:r>
      <w:r w:rsidRPr="00D10E3C">
        <w:rPr>
          <w:rStyle w:val="libFootnotenumChar"/>
          <w:rtl/>
        </w:rPr>
        <w:t>(8)</w:t>
      </w:r>
    </w:p>
    <w:p w:rsidR="00144FA6" w:rsidRDefault="00744A1C" w:rsidP="00744A1C">
      <w:pPr>
        <w:pStyle w:val="libNormal"/>
        <w:rPr>
          <w:rtl/>
          <w:lang w:bidi="fa-IR"/>
        </w:rPr>
      </w:pPr>
      <w:r>
        <w:rPr>
          <w:rtl/>
          <w:lang w:bidi="fa-IR"/>
        </w:rPr>
        <w:t xml:space="preserve">8221 / 2. عَلِيُّ بْنُ إِبْرَاهِيمَ </w:t>
      </w:r>
      <w:r w:rsidRPr="00D10E3C">
        <w:rPr>
          <w:rStyle w:val="libFootnotenumChar"/>
          <w:rtl/>
        </w:rPr>
        <w:t>(9)</w:t>
      </w:r>
      <w:r>
        <w:rPr>
          <w:rtl/>
          <w:lang w:bidi="fa-IR"/>
        </w:rPr>
        <w:t xml:space="preserve"> ، عَنْ أَبِيهِ ، عَنِ ابْنِ أَبِي عُمَيْرٍ ، عَنِ الْحَكَمِ بْنِ مِسْكِينٍ ، عَنْ عَبْدِ الْمَلِكِ بْنِ عَمْرٍو ، قَالَ :</w:t>
      </w:r>
    </w:p>
    <w:p w:rsidR="00744A1C" w:rsidRDefault="00744A1C" w:rsidP="00744A1C">
      <w:pPr>
        <w:pStyle w:val="libNormal"/>
        <w:rPr>
          <w:lang w:bidi="fa-IR"/>
        </w:rPr>
      </w:pPr>
      <w:r>
        <w:rPr>
          <w:rtl/>
          <w:lang w:bidi="fa-IR"/>
        </w:rPr>
        <w:t xml:space="preserve">قَالَ لِي أَبُو عَبْدِ اللهِ </w:t>
      </w:r>
      <w:r w:rsidR="0061079A" w:rsidRPr="0061079A">
        <w:rPr>
          <w:rStyle w:val="libAlaemChar"/>
          <w:rtl/>
        </w:rPr>
        <w:t>عليه‌السلام</w:t>
      </w:r>
      <w:r w:rsidR="00D10E3C">
        <w:rPr>
          <w:rtl/>
          <w:lang w:bidi="fa-IR"/>
        </w:rPr>
        <w:t xml:space="preserve"> </w:t>
      </w:r>
      <w:r>
        <w:rPr>
          <w:rtl/>
          <w:lang w:bidi="fa-IR"/>
        </w:rPr>
        <w:t>: « يَا عَبْدَ الْمَلِكِ ، مَا لِي لَا أَرَاكَ تَخْرُجُ إِلى هذِهِ الْمَوَاضِعِ‌</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جت ، جن » : « فيصلح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وفي المطبوع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 فإن ».</w:t>
      </w:r>
    </w:p>
    <w:p w:rsidR="00744A1C" w:rsidRDefault="00E378DD" w:rsidP="00E378DD">
      <w:pPr>
        <w:pStyle w:val="libFootnote0"/>
        <w:rPr>
          <w:lang w:bidi="fa-IR"/>
        </w:rPr>
      </w:pPr>
      <w:r>
        <w:rPr>
          <w:rtl/>
          <w:lang w:bidi="fa-IR"/>
        </w:rPr>
        <w:t>(3).</w:t>
      </w:r>
      <w:r w:rsidR="00744A1C">
        <w:rPr>
          <w:rtl/>
          <w:lang w:bidi="fa-IR"/>
        </w:rPr>
        <w:t xml:space="preserve"> هكذا في حاشية « بث ، جت » </w:t>
      </w:r>
      <w:r w:rsidR="00744A1C" w:rsidRPr="00EE40F1">
        <w:rPr>
          <w:rtl/>
        </w:rPr>
        <w:t>والوافي والوسائل والتهذيب. وفي</w:t>
      </w:r>
      <w:r w:rsidR="00744A1C">
        <w:rPr>
          <w:rtl/>
          <w:lang w:bidi="fa-IR"/>
        </w:rPr>
        <w:t xml:space="preserve"> أكثر النسخ والمطبوع : « أبى أن لايكون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 مجاهداً ».</w:t>
      </w:r>
    </w:p>
    <w:p w:rsidR="00744A1C" w:rsidRDefault="00E378DD" w:rsidP="00E378DD">
      <w:pPr>
        <w:pStyle w:val="libFootnote0"/>
        <w:rPr>
          <w:lang w:bidi="fa-IR"/>
        </w:rPr>
      </w:pPr>
      <w:r>
        <w:rPr>
          <w:rtl/>
          <w:lang w:bidi="fa-IR"/>
        </w:rPr>
        <w:t>(5).</w:t>
      </w:r>
      <w:r w:rsidR="00744A1C">
        <w:rPr>
          <w:rtl/>
          <w:lang w:bidi="fa-IR"/>
        </w:rPr>
        <w:t xml:space="preserve"> « التخبيط » من الخَبْط ، وهو كلّ سير على غير هدى ، أو المشي على غير الطريق ، أو الحركة على غير النحوالطبيعي وعلى غير اتّساق. ويحتمل أن يكون من التخبّط وهو الإفساد. راجع : </w:t>
      </w:r>
      <w:r w:rsidR="00744A1C" w:rsidRPr="00877682">
        <w:rPr>
          <w:rStyle w:val="libFootnoteBoldChar"/>
          <w:rtl/>
        </w:rPr>
        <w:t>لسان العرب</w:t>
      </w:r>
      <w:r w:rsidR="00744A1C">
        <w:rPr>
          <w:rtl/>
          <w:lang w:bidi="fa-IR"/>
        </w:rPr>
        <w:t xml:space="preserve"> ، ج 7 ، ص 282 ؛ </w:t>
      </w:r>
      <w:r w:rsidR="00744A1C" w:rsidRPr="00E978C3">
        <w:rPr>
          <w:rStyle w:val="libFootnoteBoldChar"/>
          <w:rtl/>
        </w:rPr>
        <w:t>المصباح المنير</w:t>
      </w:r>
      <w:r w:rsidR="00744A1C">
        <w:rPr>
          <w:rtl/>
          <w:lang w:bidi="fa-IR"/>
        </w:rPr>
        <w:t xml:space="preserve"> ، ص 163 ( خبط ).</w:t>
      </w:r>
    </w:p>
    <w:p w:rsidR="00744A1C" w:rsidRDefault="00E378DD" w:rsidP="00E378DD">
      <w:pPr>
        <w:pStyle w:val="libFootnote0"/>
        <w:rPr>
          <w:lang w:bidi="fa-IR"/>
        </w:rPr>
      </w:pPr>
      <w:r>
        <w:rPr>
          <w:rtl/>
          <w:lang w:bidi="fa-IR"/>
        </w:rPr>
        <w:t>(6).</w:t>
      </w:r>
      <w:r w:rsidR="00744A1C">
        <w:rPr>
          <w:rtl/>
          <w:lang w:bidi="fa-IR"/>
        </w:rPr>
        <w:t xml:space="preserve"> الخَلاق : الحظّ والنصيب. من الخير والصلاح. </w:t>
      </w:r>
      <w:r w:rsidR="00744A1C" w:rsidRPr="00877682">
        <w:rPr>
          <w:rStyle w:val="libFootnoteBoldChar"/>
          <w:rtl/>
        </w:rPr>
        <w:t>لسان العرب</w:t>
      </w:r>
      <w:r w:rsidR="00744A1C">
        <w:rPr>
          <w:rtl/>
          <w:lang w:bidi="fa-IR"/>
        </w:rPr>
        <w:t xml:space="preserve"> ، ج 10 ، ص 92 ( خلق ).</w:t>
      </w:r>
    </w:p>
    <w:p w:rsidR="00744A1C" w:rsidRDefault="00E378DD" w:rsidP="00E378DD">
      <w:pPr>
        <w:pStyle w:val="libFootnote0"/>
        <w:rPr>
          <w:lang w:bidi="fa-IR"/>
        </w:rPr>
      </w:pPr>
      <w:r>
        <w:rPr>
          <w:rtl/>
          <w:lang w:bidi="fa-IR"/>
        </w:rPr>
        <w:t>(7).</w:t>
      </w:r>
      <w:r w:rsidR="00744A1C">
        <w:rPr>
          <w:rtl/>
          <w:lang w:bidi="fa-IR"/>
        </w:rPr>
        <w:t xml:space="preserve"> في </w:t>
      </w:r>
      <w:r w:rsidR="00744A1C" w:rsidRPr="0092147B">
        <w:rPr>
          <w:rtl/>
        </w:rPr>
        <w:t>الوافي :</w:t>
      </w:r>
      <w:r w:rsidR="00744A1C">
        <w:rPr>
          <w:rtl/>
          <w:lang w:bidi="fa-IR"/>
        </w:rPr>
        <w:t xml:space="preserve"> « وعليه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127 ، ح 224 ، معلّقاً عن الكليني </w:t>
      </w:r>
      <w:r w:rsidR="0092147B">
        <w:rPr>
          <w:rFonts w:hint="cs"/>
          <w:rtl/>
          <w:lang w:bidi="fa-IR"/>
        </w:rPr>
        <w:t>.</w:t>
      </w:r>
      <w:r w:rsidR="00744A1C" w:rsidRPr="00C24F9C">
        <w:rPr>
          <w:rStyle w:val="libFootnoteBoldChar"/>
          <w:rtl/>
        </w:rPr>
        <w:t>الوافي</w:t>
      </w:r>
      <w:r w:rsidR="00744A1C">
        <w:rPr>
          <w:rtl/>
          <w:lang w:bidi="fa-IR"/>
        </w:rPr>
        <w:t xml:space="preserve"> ، ج 15 ، ص 67 ، ح 14717 ؛ </w:t>
      </w:r>
      <w:r w:rsidR="00744A1C" w:rsidRPr="00C24F9C">
        <w:rPr>
          <w:rStyle w:val="libFootnoteBoldChar"/>
          <w:rtl/>
        </w:rPr>
        <w:t>الوسائل</w:t>
      </w:r>
      <w:r w:rsidR="00744A1C">
        <w:rPr>
          <w:rtl/>
          <w:lang w:bidi="fa-IR"/>
        </w:rPr>
        <w:t xml:space="preserve"> ، ج 15 ، ص 34 ، ح 19949 ؛ </w:t>
      </w:r>
      <w:r w:rsidR="00744A1C" w:rsidRPr="0061079A">
        <w:rPr>
          <w:rStyle w:val="libFootnoteBoldChar"/>
          <w:rtl/>
        </w:rPr>
        <w:t>البحار</w:t>
      </w:r>
      <w:r w:rsidR="00744A1C">
        <w:rPr>
          <w:rtl/>
          <w:lang w:bidi="fa-IR"/>
        </w:rPr>
        <w:t xml:space="preserve"> ، ج 2 ، ص 280 ، ح 45 ، من قوله : « فمن كانت قد تمّت فيه شرائط الله عزّ وجلّ التي وصف بها أهلها » إلى قوله : « يسأل عنه الأوّلون ويحاسبون عمّا به يحاسبون ».</w:t>
      </w:r>
    </w:p>
    <w:p w:rsidR="00744A1C" w:rsidRDefault="00E378DD" w:rsidP="00E378DD">
      <w:pPr>
        <w:pStyle w:val="libFootnote0"/>
        <w:rPr>
          <w:lang w:bidi="fa-IR"/>
        </w:rPr>
      </w:pPr>
      <w:r>
        <w:rPr>
          <w:rtl/>
          <w:lang w:bidi="fa-IR"/>
        </w:rPr>
        <w:t>(9).</w:t>
      </w:r>
      <w:r w:rsidR="00744A1C">
        <w:rPr>
          <w:rtl/>
          <w:lang w:bidi="fa-IR"/>
        </w:rPr>
        <w:t xml:space="preserve"> في</w:t>
      </w:r>
      <w:r w:rsidR="00744A1C" w:rsidRPr="0092147B">
        <w:rPr>
          <w:rtl/>
        </w:rPr>
        <w:t xml:space="preserve"> التهذيب </w:t>
      </w:r>
      <w:r w:rsidR="00744A1C">
        <w:rPr>
          <w:rtl/>
          <w:lang w:bidi="fa-IR"/>
        </w:rPr>
        <w:t>: - « بن إبراهيم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الَّتِي يَخْرُجُ </w:t>
      </w:r>
      <w:r w:rsidRPr="00D10E3C">
        <w:rPr>
          <w:rStyle w:val="libFootnotenumChar"/>
          <w:rtl/>
        </w:rPr>
        <w:t>(1)</w:t>
      </w:r>
      <w:r>
        <w:rPr>
          <w:rtl/>
          <w:lang w:bidi="fa-IR"/>
        </w:rPr>
        <w:t xml:space="preserve"> إِلَيْهَا أَهْلُ بِلَادِكَ؟ ».</w:t>
      </w:r>
    </w:p>
    <w:p w:rsidR="00744A1C" w:rsidRDefault="00744A1C" w:rsidP="00744A1C">
      <w:pPr>
        <w:pStyle w:val="libNormal"/>
        <w:rPr>
          <w:lang w:bidi="fa-IR"/>
        </w:rPr>
      </w:pPr>
      <w:r>
        <w:rPr>
          <w:rtl/>
          <w:lang w:bidi="fa-IR"/>
        </w:rPr>
        <w:t>قَالَ : قُلْتُ : وَأَيْنَ؟</w:t>
      </w:r>
    </w:p>
    <w:p w:rsidR="00744A1C" w:rsidRDefault="00744A1C" w:rsidP="00744A1C">
      <w:pPr>
        <w:pStyle w:val="libNormal"/>
        <w:rPr>
          <w:lang w:bidi="fa-IR"/>
        </w:rPr>
      </w:pPr>
      <w:r>
        <w:rPr>
          <w:rtl/>
          <w:lang w:bidi="fa-IR"/>
        </w:rPr>
        <w:t xml:space="preserve">فَقَالَ </w:t>
      </w:r>
      <w:r w:rsidRPr="00D10E3C">
        <w:rPr>
          <w:rStyle w:val="libFootnotenumChar"/>
          <w:rtl/>
        </w:rPr>
        <w:t>(2)</w:t>
      </w:r>
      <w:r>
        <w:rPr>
          <w:rtl/>
          <w:lang w:bidi="fa-IR"/>
        </w:rPr>
        <w:t xml:space="preserve"> : « جُدَّةُ ، وَعَبَّادَانُ ، وَالْمَصِّيصَةُ </w:t>
      </w:r>
      <w:r w:rsidRPr="00D10E3C">
        <w:rPr>
          <w:rStyle w:val="libFootnotenumChar"/>
          <w:rtl/>
        </w:rPr>
        <w:t>(3)</w:t>
      </w:r>
      <w:r>
        <w:rPr>
          <w:rtl/>
          <w:lang w:bidi="fa-IR"/>
        </w:rPr>
        <w:t xml:space="preserve"> ، وَقَزْوِينُ ».</w:t>
      </w:r>
    </w:p>
    <w:p w:rsidR="00744A1C" w:rsidRDefault="00744A1C" w:rsidP="00744A1C">
      <w:pPr>
        <w:pStyle w:val="libNormal"/>
        <w:rPr>
          <w:lang w:bidi="fa-IR"/>
        </w:rPr>
      </w:pPr>
      <w:r>
        <w:rPr>
          <w:rtl/>
          <w:lang w:bidi="fa-IR"/>
        </w:rPr>
        <w:t>فَقُلْتُ : انْتِظَاراً لِأَمْرِكُمْ ، وَالِاقْتِدَاءِ بِكُمْ.</w:t>
      </w:r>
    </w:p>
    <w:p w:rsidR="00744A1C" w:rsidRDefault="00744A1C" w:rsidP="00744A1C">
      <w:pPr>
        <w:pStyle w:val="libNormal"/>
        <w:rPr>
          <w:lang w:bidi="fa-IR"/>
        </w:rPr>
      </w:pPr>
      <w:r>
        <w:rPr>
          <w:rtl/>
          <w:lang w:bidi="fa-IR"/>
        </w:rPr>
        <w:t>فَقَالَ : « إِي وَاللهِ ، لَوْ كَانَ خَيْراً مَا سَبَقُونَا إِلَيْهِ ».</w:t>
      </w:r>
    </w:p>
    <w:p w:rsidR="00744A1C" w:rsidRDefault="00744A1C" w:rsidP="00744A1C">
      <w:pPr>
        <w:pStyle w:val="libNormal"/>
        <w:rPr>
          <w:lang w:bidi="fa-IR"/>
        </w:rPr>
      </w:pPr>
      <w:r>
        <w:rPr>
          <w:rtl/>
          <w:lang w:bidi="fa-IR"/>
        </w:rPr>
        <w:t xml:space="preserve">قَالَ : قُلْتُ لَهُ </w:t>
      </w:r>
      <w:r w:rsidRPr="00D10E3C">
        <w:rPr>
          <w:rStyle w:val="libFootnotenumChar"/>
          <w:rtl/>
        </w:rPr>
        <w:t>(4)</w:t>
      </w:r>
      <w:r>
        <w:rPr>
          <w:rtl/>
          <w:lang w:bidi="fa-IR"/>
        </w:rPr>
        <w:t xml:space="preserve"> : فَإِنَّ </w:t>
      </w:r>
      <w:r w:rsidRPr="00D10E3C">
        <w:rPr>
          <w:rStyle w:val="libFootnotenumChar"/>
          <w:rtl/>
        </w:rPr>
        <w:t>(5)</w:t>
      </w:r>
      <w:r>
        <w:rPr>
          <w:rtl/>
          <w:lang w:bidi="fa-IR"/>
        </w:rPr>
        <w:t xml:space="preserve"> الزَّيْدِيَّةَ يَقُولُونَ </w:t>
      </w:r>
      <w:r w:rsidRPr="00D10E3C">
        <w:rPr>
          <w:rStyle w:val="libFootnotenumChar"/>
          <w:rtl/>
        </w:rPr>
        <w:t>(6)</w:t>
      </w:r>
      <w:r>
        <w:rPr>
          <w:rtl/>
          <w:lang w:bidi="fa-IR"/>
        </w:rPr>
        <w:t xml:space="preserve"> : لَيْسَ بَيْنَنَا </w:t>
      </w:r>
      <w:r w:rsidR="0092147B">
        <w:rPr>
          <w:rtl/>
          <w:lang w:bidi="fa-IR"/>
        </w:rPr>
        <w:t>وَبَيْنَ جَعْفَرٍ خِلَافٌ إِل</w:t>
      </w:r>
      <w:r w:rsidR="0092147B">
        <w:rPr>
          <w:rFonts w:hint="cs"/>
          <w:rtl/>
          <w:lang w:bidi="fa-IR"/>
        </w:rPr>
        <w:t>َّ</w:t>
      </w:r>
      <w:r w:rsidR="0092147B">
        <w:rPr>
          <w:rtl/>
          <w:lang w:bidi="fa-IR"/>
        </w:rPr>
        <w:t>ا</w:t>
      </w:r>
      <w:r>
        <w:rPr>
          <w:rtl/>
          <w:lang w:bidi="fa-IR"/>
        </w:rPr>
        <w:t xml:space="preserve"> أَنَّهُ لَايَرَى الْجِهَادَ.</w:t>
      </w:r>
    </w:p>
    <w:p w:rsidR="00744A1C" w:rsidRDefault="00744A1C" w:rsidP="00744A1C">
      <w:pPr>
        <w:pStyle w:val="libNormal"/>
        <w:rPr>
          <w:lang w:bidi="fa-IR"/>
        </w:rPr>
      </w:pPr>
      <w:r>
        <w:rPr>
          <w:rtl/>
          <w:lang w:bidi="fa-IR"/>
        </w:rPr>
        <w:t xml:space="preserve">فَقَالَ : « أَنَا </w:t>
      </w:r>
      <w:r w:rsidRPr="00D10E3C">
        <w:rPr>
          <w:rStyle w:val="libFootnotenumChar"/>
          <w:rtl/>
        </w:rPr>
        <w:t>(7)</w:t>
      </w:r>
      <w:r>
        <w:rPr>
          <w:rtl/>
          <w:lang w:bidi="fa-IR"/>
        </w:rPr>
        <w:t xml:space="preserve"> لَا أَرَاهُ </w:t>
      </w:r>
      <w:r w:rsidRPr="00D10E3C">
        <w:rPr>
          <w:rStyle w:val="libFootnotenumChar"/>
          <w:rtl/>
        </w:rPr>
        <w:t>(8)</w:t>
      </w:r>
      <w:r>
        <w:rPr>
          <w:rtl/>
          <w:lang w:bidi="fa-IR"/>
        </w:rPr>
        <w:t xml:space="preserve"> ، بَلى </w:t>
      </w:r>
      <w:r w:rsidRPr="00D10E3C">
        <w:rPr>
          <w:rStyle w:val="libFootnotenumChar"/>
          <w:rtl/>
        </w:rPr>
        <w:t>(9)</w:t>
      </w:r>
      <w:r>
        <w:rPr>
          <w:rtl/>
          <w:lang w:bidi="fa-IR"/>
        </w:rPr>
        <w:t xml:space="preserve"> وَاللهِ إِنِّي </w:t>
      </w:r>
      <w:r w:rsidRPr="00D10E3C">
        <w:rPr>
          <w:rStyle w:val="libFootnotenumChar"/>
          <w:rtl/>
        </w:rPr>
        <w:t>(10)</w:t>
      </w:r>
      <w:r>
        <w:rPr>
          <w:rtl/>
          <w:lang w:bidi="fa-IR"/>
        </w:rPr>
        <w:t xml:space="preserve"> لَأَرَاهُ </w:t>
      </w:r>
      <w:r w:rsidRPr="00D10E3C">
        <w:rPr>
          <w:rStyle w:val="libFootnotenumChar"/>
          <w:rtl/>
        </w:rPr>
        <w:t>(11)</w:t>
      </w:r>
      <w:r>
        <w:rPr>
          <w:rtl/>
          <w:lang w:bidi="fa-IR"/>
        </w:rPr>
        <w:t xml:space="preserve"> ، وَلكِنْ </w:t>
      </w:r>
      <w:r w:rsidRPr="00D10E3C">
        <w:rPr>
          <w:rStyle w:val="libFootnotenumChar"/>
          <w:rtl/>
        </w:rPr>
        <w:t>(12)</w:t>
      </w:r>
      <w:r>
        <w:rPr>
          <w:rtl/>
          <w:lang w:bidi="fa-IR"/>
        </w:rPr>
        <w:t xml:space="preserve"> أَكْرَهُ أَنْ أَدَعَ عِلْمِي إِلى‌</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A46424" w:rsidTr="00A46424">
        <w:tc>
          <w:tcPr>
            <w:tcW w:w="4006" w:type="dxa"/>
          </w:tcPr>
          <w:p w:rsidR="00A46424" w:rsidRDefault="00A46424" w:rsidP="00D10E3C">
            <w:pPr>
              <w:pStyle w:val="libFootnote0"/>
              <w:rPr>
                <w:rtl/>
                <w:lang w:bidi="fa-IR"/>
              </w:rPr>
            </w:pPr>
            <w:r>
              <w:rPr>
                <w:rtl/>
                <w:lang w:bidi="fa-IR"/>
              </w:rPr>
              <w:t>(1). في « بف » : « تخرج ».</w:t>
            </w:r>
          </w:p>
        </w:tc>
        <w:tc>
          <w:tcPr>
            <w:tcW w:w="4006" w:type="dxa"/>
          </w:tcPr>
          <w:p w:rsidR="00A46424" w:rsidRDefault="00A46424" w:rsidP="00D10E3C">
            <w:pPr>
              <w:pStyle w:val="libFootnote0"/>
              <w:rPr>
                <w:rtl/>
                <w:lang w:bidi="fa-IR"/>
              </w:rPr>
            </w:pPr>
            <w:r>
              <w:rPr>
                <w:rtl/>
                <w:lang w:bidi="fa-IR"/>
              </w:rPr>
              <w:t xml:space="preserve">(2). في </w:t>
            </w:r>
            <w:r w:rsidRPr="00A46424">
              <w:rPr>
                <w:rtl/>
              </w:rPr>
              <w:t>الوسائل والتهذيب</w:t>
            </w:r>
            <w:r>
              <w:rPr>
                <w:rtl/>
                <w:lang w:bidi="fa-IR"/>
              </w:rPr>
              <w:t xml:space="preserve"> : « قال ».</w:t>
            </w:r>
          </w:p>
        </w:tc>
      </w:tr>
    </w:tbl>
    <w:p w:rsidR="00744A1C" w:rsidRDefault="00E378DD" w:rsidP="00A46424">
      <w:pPr>
        <w:pStyle w:val="libFootnote0"/>
        <w:rPr>
          <w:lang w:bidi="fa-IR"/>
        </w:rPr>
      </w:pPr>
      <w:r>
        <w:rPr>
          <w:rtl/>
          <w:lang w:bidi="fa-IR"/>
        </w:rPr>
        <w:t>(3).</w:t>
      </w:r>
      <w:r w:rsidR="00744A1C">
        <w:rPr>
          <w:rtl/>
          <w:lang w:bidi="fa-IR"/>
        </w:rPr>
        <w:t xml:space="preserve"> قال الخليل : « المصّيصة : ثَغْرمن ثُغور الروم ». وقال الجوهري : « مصيصة : بلد بالشام ، ولا تقل : مصّيصة بالتشديد ». وقال البكري الأندلسي : « المصّيصة - بكسر أوّله وتشديد ثانيه ، بعده ياء ، ثمّ صاد ا</w:t>
      </w:r>
      <w:r w:rsidR="00A46424">
        <w:rPr>
          <w:rFonts w:hint="cs"/>
          <w:rtl/>
          <w:lang w:bidi="fa-IR"/>
        </w:rPr>
        <w:t>ُ</w:t>
      </w:r>
      <w:r w:rsidR="00744A1C">
        <w:rPr>
          <w:rtl/>
          <w:lang w:bidi="fa-IR"/>
        </w:rPr>
        <w:t>خرى مهملة - : ثغر من ثغور الشام معروفة. قال أبو حاتم : قال الأصمعي : ولا تقل مَصيصة بفتح أوّله ». وقال الحموي : المصّيصة ، بالفتح ، ثمّ الكسر والتشديد وياء ساكنة وصاد اخرى ، كذا ضبطه الأزهري وغيره من اللغويّين بتشديد الصاد الا</w:t>
      </w:r>
      <w:r w:rsidR="00A46424">
        <w:rPr>
          <w:rFonts w:hint="cs"/>
          <w:rtl/>
          <w:lang w:bidi="fa-IR"/>
        </w:rPr>
        <w:t>ُ</w:t>
      </w:r>
      <w:r w:rsidR="00744A1C">
        <w:rPr>
          <w:rtl/>
          <w:lang w:bidi="fa-IR"/>
        </w:rPr>
        <w:t>ولى ، هذا لفظه ، وتفرّد الجوهري وخالد الفارابي بأن قالا : المصيصة ، بتخفيف الصادين ، والأوّل أصحّ » إلى أن قال : « والمصيصة أيضاً : قرية من قرى دمشق ، قرب بيت لهيا. قال أبو القاسم : يزيد بن أبي مريم الثقفي المصيصي من أهل مصيصة دمشق ، ول</w:t>
      </w:r>
      <w:r w:rsidR="00A46424">
        <w:rPr>
          <w:rFonts w:hint="cs"/>
          <w:rtl/>
          <w:lang w:bidi="fa-IR"/>
        </w:rPr>
        <w:t>ّ</w:t>
      </w:r>
      <w:r w:rsidR="00744A1C">
        <w:rPr>
          <w:rtl/>
          <w:lang w:bidi="fa-IR"/>
        </w:rPr>
        <w:t xml:space="preserve">اه هشام بن عبد الملك عاربة الشحر ، ولم تكن ولايته محمودة ، فعزله ». </w:t>
      </w:r>
      <w:r w:rsidR="00744A1C" w:rsidRPr="00E978C3">
        <w:rPr>
          <w:rStyle w:val="libFootnoteBoldChar"/>
          <w:rtl/>
        </w:rPr>
        <w:t>ترتيب كتاب العين</w:t>
      </w:r>
      <w:r w:rsidR="00744A1C">
        <w:rPr>
          <w:rtl/>
          <w:lang w:bidi="fa-IR"/>
        </w:rPr>
        <w:t xml:space="preserve"> ، ج 3 ، ص 1706 ؛ </w:t>
      </w:r>
      <w:r w:rsidR="00744A1C" w:rsidRPr="00E978C3">
        <w:rPr>
          <w:rStyle w:val="libFootnoteBoldChar"/>
          <w:rtl/>
        </w:rPr>
        <w:t>الصحاح</w:t>
      </w:r>
      <w:r w:rsidR="00744A1C">
        <w:rPr>
          <w:rtl/>
          <w:lang w:bidi="fa-IR"/>
        </w:rPr>
        <w:t xml:space="preserve"> ، ج 3 ، ص 1057 ؛ معجم ما استعجم ، ج 4 ، ص 1235 ( مصص ) ؛ معجم البلدان ، ج 5 ، ص 144 و 145. وراجع أيضاً : </w:t>
      </w:r>
      <w:r w:rsidR="00744A1C" w:rsidRPr="00877682">
        <w:rPr>
          <w:rStyle w:val="libFootnoteBoldChar"/>
          <w:rtl/>
        </w:rPr>
        <w:t>لسان العرب</w:t>
      </w:r>
      <w:r w:rsidR="00744A1C">
        <w:rPr>
          <w:rtl/>
          <w:lang w:bidi="fa-IR"/>
        </w:rPr>
        <w:t xml:space="preserve"> ، ج 7 ، ص 93 ( مصص ).</w:t>
      </w: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 له ».</w:t>
      </w:r>
    </w:p>
    <w:tbl>
      <w:tblPr>
        <w:tblStyle w:val="TableGrid"/>
        <w:bidiVisual/>
        <w:tblW w:w="0" w:type="auto"/>
        <w:tblLook w:val="04A0" w:firstRow="1" w:lastRow="0" w:firstColumn="1" w:lastColumn="0" w:noHBand="0" w:noVBand="1"/>
      </w:tblPr>
      <w:tblGrid>
        <w:gridCol w:w="4006"/>
        <w:gridCol w:w="4006"/>
      </w:tblGrid>
      <w:tr w:rsidR="00A46424" w:rsidTr="00A46424">
        <w:tc>
          <w:tcPr>
            <w:tcW w:w="4006" w:type="dxa"/>
          </w:tcPr>
          <w:p w:rsidR="00A46424" w:rsidRDefault="00A46424" w:rsidP="00E378DD">
            <w:pPr>
              <w:pStyle w:val="libFootnote0"/>
              <w:rPr>
                <w:rtl/>
                <w:lang w:bidi="fa-IR"/>
              </w:rPr>
            </w:pPr>
            <w:r>
              <w:rPr>
                <w:rtl/>
                <w:lang w:bidi="fa-IR"/>
              </w:rPr>
              <w:t>(5). في حاشية « جت » : « إنّ ».</w:t>
            </w:r>
          </w:p>
        </w:tc>
        <w:tc>
          <w:tcPr>
            <w:tcW w:w="4006" w:type="dxa"/>
          </w:tcPr>
          <w:p w:rsidR="00A46424" w:rsidRDefault="00A46424" w:rsidP="00E378DD">
            <w:pPr>
              <w:pStyle w:val="libFootnote0"/>
              <w:rPr>
                <w:rtl/>
                <w:lang w:bidi="fa-IR"/>
              </w:rPr>
            </w:pPr>
            <w:r>
              <w:rPr>
                <w:rtl/>
                <w:lang w:bidi="fa-IR"/>
              </w:rPr>
              <w:t xml:space="preserve">(6). في </w:t>
            </w:r>
            <w:r w:rsidRPr="00A46424">
              <w:rPr>
                <w:rtl/>
              </w:rPr>
              <w:t>التهذيب :</w:t>
            </w:r>
            <w:r>
              <w:rPr>
                <w:rtl/>
                <w:lang w:bidi="fa-IR"/>
              </w:rPr>
              <w:t xml:space="preserve"> « تقول ».</w:t>
            </w:r>
          </w:p>
        </w:tc>
      </w:tr>
    </w:tbl>
    <w:p w:rsidR="00744A1C" w:rsidRDefault="00E378DD" w:rsidP="00E378DD">
      <w:pPr>
        <w:pStyle w:val="libFootnote0"/>
        <w:rPr>
          <w:lang w:bidi="fa-IR"/>
        </w:rPr>
      </w:pPr>
      <w:r>
        <w:rPr>
          <w:rtl/>
          <w:lang w:bidi="fa-IR"/>
        </w:rPr>
        <w:t>(7).</w:t>
      </w:r>
      <w:r w:rsidR="00744A1C">
        <w:rPr>
          <w:rtl/>
          <w:lang w:bidi="fa-IR"/>
        </w:rPr>
        <w:t xml:space="preserve"> في « بف » وحاشية « بث » </w:t>
      </w:r>
      <w:r w:rsidR="00744A1C" w:rsidRPr="00A46424">
        <w:rPr>
          <w:rtl/>
        </w:rPr>
        <w:t>والوافي والتهذيب</w:t>
      </w:r>
      <w:r w:rsidR="00744A1C">
        <w:rPr>
          <w:rtl/>
          <w:lang w:bidi="fa-IR"/>
        </w:rPr>
        <w:t xml:space="preserve"> : « إنّي ». وفي « جن » : - « أنا ».</w:t>
      </w:r>
    </w:p>
    <w:tbl>
      <w:tblPr>
        <w:tblStyle w:val="TableGrid"/>
        <w:bidiVisual/>
        <w:tblW w:w="0" w:type="auto"/>
        <w:tblLook w:val="04A0" w:firstRow="1" w:lastRow="0" w:firstColumn="1" w:lastColumn="0" w:noHBand="0" w:noVBand="1"/>
      </w:tblPr>
      <w:tblGrid>
        <w:gridCol w:w="4006"/>
        <w:gridCol w:w="4006"/>
      </w:tblGrid>
      <w:tr w:rsidR="00A46424" w:rsidTr="00A46424">
        <w:tc>
          <w:tcPr>
            <w:tcW w:w="4006" w:type="dxa"/>
          </w:tcPr>
          <w:p w:rsidR="00A46424" w:rsidRDefault="00A46424" w:rsidP="00E378DD">
            <w:pPr>
              <w:pStyle w:val="libFootnote0"/>
              <w:rPr>
                <w:rtl/>
                <w:lang w:bidi="fa-IR"/>
              </w:rPr>
            </w:pPr>
            <w:r>
              <w:rPr>
                <w:rtl/>
                <w:lang w:bidi="fa-IR"/>
              </w:rPr>
              <w:t xml:space="preserve">(8). في </w:t>
            </w:r>
            <w:r w:rsidRPr="00A46424">
              <w:rPr>
                <w:rtl/>
              </w:rPr>
              <w:t>التهذيب :</w:t>
            </w:r>
            <w:r>
              <w:rPr>
                <w:rtl/>
                <w:lang w:bidi="fa-IR"/>
              </w:rPr>
              <w:t xml:space="preserve"> « أرى ».</w:t>
            </w:r>
          </w:p>
        </w:tc>
        <w:tc>
          <w:tcPr>
            <w:tcW w:w="4006" w:type="dxa"/>
          </w:tcPr>
          <w:p w:rsidR="00A46424" w:rsidRDefault="00A46424" w:rsidP="00E378DD">
            <w:pPr>
              <w:pStyle w:val="libFootnote0"/>
              <w:rPr>
                <w:rtl/>
                <w:lang w:bidi="fa-IR"/>
              </w:rPr>
            </w:pPr>
            <w:r>
              <w:rPr>
                <w:rtl/>
                <w:lang w:bidi="fa-IR"/>
              </w:rPr>
              <w:t>(9). في«ى،بس، جت » وحاشية « بث » : « بل ».</w:t>
            </w:r>
          </w:p>
        </w:tc>
      </w:tr>
    </w:tbl>
    <w:p w:rsidR="00744A1C" w:rsidRDefault="00E378DD" w:rsidP="00E378DD">
      <w:pPr>
        <w:pStyle w:val="libFootnote0"/>
        <w:rPr>
          <w:lang w:bidi="fa-IR"/>
        </w:rPr>
      </w:pPr>
      <w:r>
        <w:rPr>
          <w:rtl/>
          <w:lang w:bidi="fa-IR"/>
        </w:rPr>
        <w:t>(10).</w:t>
      </w:r>
      <w:r w:rsidR="00744A1C">
        <w:rPr>
          <w:rtl/>
          <w:lang w:bidi="fa-IR"/>
        </w:rPr>
        <w:t xml:space="preserve"> في حاشية « بث » : « أنا ».</w:t>
      </w:r>
    </w:p>
    <w:p w:rsidR="00744A1C" w:rsidRDefault="00E378DD" w:rsidP="00E378DD">
      <w:pPr>
        <w:pStyle w:val="libFootnote0"/>
        <w:rPr>
          <w:lang w:bidi="fa-IR"/>
        </w:rPr>
      </w:pPr>
      <w:r>
        <w:rPr>
          <w:rtl/>
          <w:lang w:bidi="fa-IR"/>
        </w:rPr>
        <w:t>(11).</w:t>
      </w:r>
      <w:r w:rsidR="00744A1C">
        <w:rPr>
          <w:rtl/>
          <w:lang w:bidi="fa-IR"/>
        </w:rPr>
        <w:t xml:space="preserve"> في « بث ، بف » </w:t>
      </w:r>
      <w:r w:rsidR="00744A1C" w:rsidRPr="00425404">
        <w:rPr>
          <w:rtl/>
        </w:rPr>
        <w:t>والوافي والمرآة :</w:t>
      </w:r>
      <w:r w:rsidR="00744A1C">
        <w:rPr>
          <w:rtl/>
          <w:lang w:bidi="fa-IR"/>
        </w:rPr>
        <w:t xml:space="preserve"> « لا أ</w:t>
      </w:r>
      <w:r w:rsidR="00425404">
        <w:rPr>
          <w:rtl/>
          <w:lang w:bidi="fa-IR"/>
        </w:rPr>
        <w:t>راه » بدل « لأراه ». وقال العل</w:t>
      </w:r>
      <w:r w:rsidR="00425404">
        <w:rPr>
          <w:rFonts w:hint="cs"/>
          <w:rtl/>
          <w:lang w:bidi="fa-IR"/>
        </w:rPr>
        <w:t>ّ</w:t>
      </w:r>
      <w:r w:rsidR="00425404">
        <w:rPr>
          <w:rtl/>
          <w:lang w:bidi="fa-IR"/>
        </w:rPr>
        <w:t>ا</w:t>
      </w:r>
      <w:r w:rsidR="00744A1C">
        <w:rPr>
          <w:rtl/>
          <w:lang w:bidi="fa-IR"/>
        </w:rPr>
        <w:t xml:space="preserve">مة المجلسي </w:t>
      </w:r>
      <w:r w:rsidR="00877682" w:rsidRPr="00877682">
        <w:rPr>
          <w:rStyle w:val="libFootnoteAlaemChar"/>
          <w:rtl/>
        </w:rPr>
        <w:t>رحمه‌الله</w:t>
      </w:r>
      <w:r w:rsidR="00744A1C">
        <w:rPr>
          <w:rtl/>
          <w:lang w:bidi="fa-IR"/>
        </w:rPr>
        <w:t xml:space="preserve">: « والأصواب : لأراه ، كما في </w:t>
      </w:r>
      <w:r w:rsidR="00744A1C" w:rsidRPr="00C24F9C">
        <w:rPr>
          <w:rStyle w:val="libFootnoteBoldChar"/>
          <w:rtl/>
        </w:rPr>
        <w:t>التهذيب</w:t>
      </w:r>
      <w:r w:rsidR="00744A1C">
        <w:rPr>
          <w:rtl/>
          <w:lang w:bidi="fa-IR"/>
        </w:rPr>
        <w:t xml:space="preserve"> وبعض نسخ الكتاب ، والحاصل أنّي أرى الجهاد ، لكن أعلم أنّ له شرائط ، وأكره أن أدع العمل بعلمي ، وأتبعهم على جهالتهم ».</w:t>
      </w:r>
    </w:p>
    <w:p w:rsidR="00744A1C" w:rsidRDefault="00E378DD" w:rsidP="00E378DD">
      <w:pPr>
        <w:pStyle w:val="libFootnote0"/>
        <w:rPr>
          <w:lang w:bidi="fa-IR"/>
        </w:rPr>
      </w:pPr>
      <w:r>
        <w:rPr>
          <w:rtl/>
          <w:lang w:bidi="fa-IR"/>
        </w:rPr>
        <w:t>(12).</w:t>
      </w:r>
      <w:r w:rsidR="00744A1C">
        <w:rPr>
          <w:rtl/>
          <w:lang w:bidi="fa-IR"/>
        </w:rPr>
        <w:t xml:space="preserve"> في « بث ، بح » وحاشية « جت » </w:t>
      </w:r>
      <w:r w:rsidR="00744A1C" w:rsidRPr="00425404">
        <w:rPr>
          <w:rtl/>
        </w:rPr>
        <w:t>والوافي والوسائل والتهذيب</w:t>
      </w:r>
      <w:r w:rsidR="00744A1C">
        <w:rPr>
          <w:rtl/>
          <w:lang w:bidi="fa-IR"/>
        </w:rPr>
        <w:t xml:space="preserve"> : « لكنّي » بدل « ولكن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جَهْلِهِمْ ». </w:t>
      </w:r>
      <w:r w:rsidRPr="00D10E3C">
        <w:rPr>
          <w:rStyle w:val="libFootnotenumChar"/>
          <w:rtl/>
        </w:rPr>
        <w:t>(1)</w:t>
      </w:r>
    </w:p>
    <w:p w:rsidR="00744A1C" w:rsidRDefault="00744A1C" w:rsidP="00425404">
      <w:pPr>
        <w:pStyle w:val="Heading2Center"/>
        <w:rPr>
          <w:lang w:bidi="fa-IR"/>
        </w:rPr>
      </w:pPr>
      <w:bookmarkStart w:id="93" w:name="_Toc49261391"/>
      <w:r>
        <w:rPr>
          <w:rtl/>
          <w:lang w:bidi="fa-IR"/>
        </w:rPr>
        <w:t>5 - بَابُ الْغَزْوِ مَعَ النَّاسِ إِذَا خِيفَ عَلَى الْإِسْلَامِ‌</w:t>
      </w:r>
      <w:bookmarkEnd w:id="93"/>
    </w:p>
    <w:p w:rsidR="00144FA6" w:rsidRDefault="00744A1C" w:rsidP="00744A1C">
      <w:pPr>
        <w:pStyle w:val="libNormal"/>
        <w:rPr>
          <w:rtl/>
          <w:lang w:bidi="fa-IR"/>
        </w:rPr>
      </w:pPr>
      <w:r>
        <w:rPr>
          <w:rtl/>
          <w:lang w:bidi="fa-IR"/>
        </w:rPr>
        <w:t xml:space="preserve">8222 / 1. مُحَمَّدُ بْنُ يَحْيى ، عَنْ أَحْمَدَ بْنِ مُحَمَّدِ بْنِ عِيسى ، عَنْ عَلِيِّ بْنِ الْحَكَمِ ، عَنْ أَبِي عَمْرَةَ </w:t>
      </w:r>
      <w:r w:rsidRPr="00D10E3C">
        <w:rPr>
          <w:rStyle w:val="libFootnotenumChar"/>
          <w:rtl/>
        </w:rPr>
        <w:t>(2)</w:t>
      </w:r>
      <w:r>
        <w:rPr>
          <w:rtl/>
          <w:lang w:bidi="fa-IR"/>
        </w:rPr>
        <w:t xml:space="preserve"> السُّلَمِيِّ </w:t>
      </w:r>
      <w:r w:rsidRPr="00D10E3C">
        <w:rPr>
          <w:rStyle w:val="libFootnotenumChar"/>
          <w:rtl/>
        </w:rPr>
        <w:t>(3)</w:t>
      </w:r>
      <w:r>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سَأَلَهُ رَجُلٌ ، فَقَالَ : إِنِّي كُنْتُ أُكْثِرُ الْغَزْوَ ، وَأَبْعُدُ </w:t>
      </w:r>
      <w:r w:rsidRPr="00D10E3C">
        <w:rPr>
          <w:rStyle w:val="libFootnotenumChar"/>
          <w:rtl/>
        </w:rPr>
        <w:t>(4)</w:t>
      </w:r>
      <w:r>
        <w:rPr>
          <w:rtl/>
          <w:lang w:bidi="fa-IR"/>
        </w:rPr>
        <w:t xml:space="preserve"> فِي طَلَبِ الْأَجْرِ ، وَأُطِيلُ </w:t>
      </w:r>
      <w:r w:rsidRPr="00D10E3C">
        <w:rPr>
          <w:rStyle w:val="libFootnotenumChar"/>
          <w:rtl/>
        </w:rPr>
        <w:t>(5)</w:t>
      </w:r>
      <w:r>
        <w:rPr>
          <w:rtl/>
          <w:lang w:bidi="fa-IR"/>
        </w:rPr>
        <w:t xml:space="preserve"> الْغَيْبَةَ ، فَحُجِرَ ذلِكَ عَلَيَّ ، فَقَالُوا </w:t>
      </w:r>
      <w:r w:rsidRPr="00D10E3C">
        <w:rPr>
          <w:rStyle w:val="libFootnotenumChar"/>
          <w:rtl/>
        </w:rPr>
        <w:t>(6)</w:t>
      </w:r>
      <w:r w:rsidR="00425404">
        <w:rPr>
          <w:rtl/>
          <w:lang w:bidi="fa-IR"/>
        </w:rPr>
        <w:t xml:space="preserve"> : لَاغَزْوَ إِل</w:t>
      </w:r>
      <w:r w:rsidR="00425404">
        <w:rPr>
          <w:rFonts w:hint="cs"/>
          <w:rtl/>
          <w:lang w:bidi="fa-IR"/>
        </w:rPr>
        <w:t>َّ</w:t>
      </w:r>
      <w:r w:rsidR="00425404">
        <w:rPr>
          <w:rtl/>
          <w:lang w:bidi="fa-IR"/>
        </w:rPr>
        <w:t>ا</w:t>
      </w:r>
      <w:r>
        <w:rPr>
          <w:rtl/>
          <w:lang w:bidi="fa-IR"/>
        </w:rPr>
        <w:t xml:space="preserve"> مَعَ إِمَامٍ عَادِلٍ ، فَمَا تَرى أَصْلَحَكَ اللهُ؟</w:t>
      </w:r>
    </w:p>
    <w:p w:rsidR="00744A1C" w:rsidRDefault="00744A1C" w:rsidP="00744A1C">
      <w:pPr>
        <w:pStyle w:val="libNormal"/>
        <w:rPr>
          <w:lang w:bidi="fa-IR"/>
        </w:rPr>
      </w:pPr>
      <w:r>
        <w:rPr>
          <w:rtl/>
          <w:lang w:bidi="fa-IR"/>
        </w:rPr>
        <w:t xml:space="preserve">فَقَالَ أَبُو عَبْدِ الله </w:t>
      </w:r>
      <w:r w:rsidR="0061079A" w:rsidRPr="0061079A">
        <w:rPr>
          <w:rStyle w:val="libAlaemChar"/>
          <w:rtl/>
        </w:rPr>
        <w:t>عليه‌السلام</w:t>
      </w:r>
      <w:r w:rsidR="00D10E3C">
        <w:rPr>
          <w:rtl/>
          <w:lang w:bidi="fa-IR"/>
        </w:rPr>
        <w:t xml:space="preserve"> </w:t>
      </w:r>
      <w:r>
        <w:rPr>
          <w:rtl/>
          <w:lang w:bidi="fa-IR"/>
        </w:rPr>
        <w:t xml:space="preserve">: « إنْ شِئْتَ أَنْ أُجْمِلَ لَكَ أَجْمَلْتُ ، وَإِنْ شِئْتَ أَنْ أُلَخِّصَ </w:t>
      </w:r>
      <w:r w:rsidRPr="00D10E3C">
        <w:rPr>
          <w:rStyle w:val="libFootnotenumChar"/>
          <w:rtl/>
        </w:rPr>
        <w:t>(7)</w:t>
      </w:r>
      <w:r>
        <w:rPr>
          <w:rtl/>
          <w:lang w:bidi="fa-IR"/>
        </w:rPr>
        <w:t xml:space="preserve"> لَكَ لَخَّصْتُ ».</w:t>
      </w:r>
    </w:p>
    <w:p w:rsidR="00744A1C" w:rsidRDefault="00744A1C" w:rsidP="00744A1C">
      <w:pPr>
        <w:pStyle w:val="libNormal"/>
        <w:rPr>
          <w:lang w:bidi="fa-IR"/>
        </w:rPr>
      </w:pPr>
      <w:r>
        <w:rPr>
          <w:rtl/>
          <w:lang w:bidi="fa-IR"/>
        </w:rPr>
        <w:t>فَقَالَ : بَلْ أَجْمِلْ.</w:t>
      </w:r>
    </w:p>
    <w:p w:rsidR="00744A1C" w:rsidRDefault="00744A1C" w:rsidP="00744A1C">
      <w:pPr>
        <w:pStyle w:val="libNormal"/>
        <w:rPr>
          <w:lang w:bidi="fa-IR"/>
        </w:rPr>
      </w:pPr>
      <w:r>
        <w:rPr>
          <w:rtl/>
          <w:lang w:bidi="fa-IR"/>
        </w:rPr>
        <w:t xml:space="preserve">قَالَ </w:t>
      </w:r>
      <w:r w:rsidRPr="00D10E3C">
        <w:rPr>
          <w:rStyle w:val="libFootnotenumChar"/>
          <w:rtl/>
        </w:rPr>
        <w:t>(8)</w:t>
      </w:r>
      <w:r>
        <w:rPr>
          <w:rtl/>
          <w:lang w:bidi="fa-IR"/>
        </w:rPr>
        <w:t xml:space="preserve"> : « إِنَّ </w:t>
      </w:r>
      <w:r w:rsidRPr="00D10E3C">
        <w:rPr>
          <w:rStyle w:val="libFootnotenumChar"/>
          <w:rtl/>
        </w:rPr>
        <w:t>(9)</w:t>
      </w:r>
      <w:r>
        <w:rPr>
          <w:rtl/>
          <w:lang w:bidi="fa-IR"/>
        </w:rPr>
        <w:t xml:space="preserve"> اللهَ - عَزَّ وَجَلَّ - يَحْشُرُ النَّاسَ عَلى نِيَّاتِهِمْ </w:t>
      </w:r>
      <w:r w:rsidRPr="00D10E3C">
        <w:rPr>
          <w:rStyle w:val="libFootnotenumChar"/>
          <w:rtl/>
        </w:rPr>
        <w:t>(10)</w:t>
      </w:r>
      <w:r>
        <w:rPr>
          <w:rtl/>
          <w:lang w:bidi="fa-IR"/>
        </w:rPr>
        <w:t xml:space="preserve"> يَوْمَ الْقِيَامَةِ ».</w:t>
      </w:r>
    </w:p>
    <w:p w:rsidR="00144FA6" w:rsidRDefault="00744A1C" w:rsidP="00744A1C">
      <w:pPr>
        <w:pStyle w:val="libNormal"/>
        <w:rPr>
          <w:rtl/>
          <w:lang w:bidi="fa-IR"/>
        </w:rPr>
      </w:pPr>
      <w:r>
        <w:rPr>
          <w:rtl/>
          <w:lang w:bidi="fa-IR"/>
        </w:rPr>
        <w:t>قَالَ : فَكَأَنَّهُ اشْتَهى أَنْ يُلَخِّصَ لَهُ ، قَالَ : فَلَخِّصْ لِي أَصْلَحَكَ اللهُ ، فَقَالَ : « هَاتِ »</w:t>
      </w:r>
    </w:p>
    <w:p w:rsidR="00744A1C" w:rsidRDefault="00744A1C" w:rsidP="00D10E3C">
      <w:pPr>
        <w:pStyle w:val="libLine"/>
        <w:rPr>
          <w:lang w:bidi="fa-IR"/>
        </w:rPr>
      </w:pPr>
      <w:r>
        <w:rPr>
          <w:rtl/>
          <w:lang w:bidi="fa-IR"/>
        </w:rPr>
        <w:t>____________________</w:t>
      </w:r>
    </w:p>
    <w:p w:rsidR="00744A1C" w:rsidRDefault="00D10E3C" w:rsidP="00D03D03">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6 ، ص 126 ، ح 223 ، معلّقاً عن الكليني </w:t>
      </w:r>
      <w:r w:rsidR="00D03D03">
        <w:rPr>
          <w:rFonts w:hint="cs"/>
          <w:rtl/>
          <w:lang w:bidi="fa-IR"/>
        </w:rPr>
        <w:t>.</w:t>
      </w:r>
      <w:r w:rsidR="00744A1C" w:rsidRPr="00C24F9C">
        <w:rPr>
          <w:rStyle w:val="libFootnoteBoldChar"/>
          <w:rtl/>
        </w:rPr>
        <w:t>الوافي</w:t>
      </w:r>
      <w:r w:rsidR="00744A1C">
        <w:rPr>
          <w:rtl/>
          <w:lang w:bidi="fa-IR"/>
        </w:rPr>
        <w:t xml:space="preserve"> ، ج 15 ، ص 74 ، ح 14718 ؛ </w:t>
      </w:r>
      <w:r w:rsidR="00744A1C" w:rsidRPr="00C24F9C">
        <w:rPr>
          <w:rStyle w:val="libFootnoteBoldChar"/>
          <w:rtl/>
        </w:rPr>
        <w:t>الوسائل</w:t>
      </w:r>
      <w:r w:rsidR="00744A1C">
        <w:rPr>
          <w:rtl/>
          <w:lang w:bidi="fa-IR"/>
        </w:rPr>
        <w:t xml:space="preserve"> ، ج 15 ، ص 46 ، ح 19955.</w:t>
      </w:r>
      <w:r w:rsidR="00D03D03">
        <w:rPr>
          <w:rFonts w:hint="cs"/>
          <w:rtl/>
          <w:lang w:bidi="fa-IR"/>
        </w:rPr>
        <w:t xml:space="preserve">                </w:t>
      </w:r>
      <w:r w:rsidR="00E378DD">
        <w:rPr>
          <w:rtl/>
          <w:lang w:bidi="fa-IR"/>
        </w:rPr>
        <w:t>(2).</w:t>
      </w:r>
      <w:r w:rsidR="00744A1C">
        <w:rPr>
          <w:rtl/>
          <w:lang w:bidi="fa-IR"/>
        </w:rPr>
        <w:t xml:space="preserve"> في </w:t>
      </w:r>
      <w:r w:rsidR="00744A1C" w:rsidRPr="00C24F9C">
        <w:rPr>
          <w:rStyle w:val="libFootnoteBoldChar"/>
          <w:rtl/>
        </w:rPr>
        <w:t>الوافي</w:t>
      </w:r>
      <w:r w:rsidR="00D03D03">
        <w:rPr>
          <w:rtl/>
          <w:lang w:bidi="fa-IR"/>
        </w:rPr>
        <w:t>:«أبي عميرة».وفيه عن نسخة:«</w:t>
      </w:r>
      <w:r w:rsidR="00744A1C">
        <w:rPr>
          <w:rtl/>
          <w:lang w:bidi="fa-IR"/>
        </w:rPr>
        <w:t>أبي قرّة ».</w:t>
      </w:r>
    </w:p>
    <w:tbl>
      <w:tblPr>
        <w:tblStyle w:val="TableGrid"/>
        <w:bidiVisual/>
        <w:tblW w:w="0" w:type="auto"/>
        <w:tblLook w:val="04A0" w:firstRow="1" w:lastRow="0" w:firstColumn="1" w:lastColumn="0" w:noHBand="0" w:noVBand="1"/>
      </w:tblPr>
      <w:tblGrid>
        <w:gridCol w:w="4006"/>
        <w:gridCol w:w="4006"/>
      </w:tblGrid>
      <w:tr w:rsidR="00D03D03" w:rsidTr="00D03D03">
        <w:tc>
          <w:tcPr>
            <w:tcW w:w="4006" w:type="dxa"/>
          </w:tcPr>
          <w:p w:rsidR="00D03D03" w:rsidRDefault="00D03D03" w:rsidP="00E378DD">
            <w:pPr>
              <w:pStyle w:val="libFootnote0"/>
              <w:rPr>
                <w:rtl/>
                <w:lang w:bidi="fa-IR"/>
              </w:rPr>
            </w:pPr>
            <w:r>
              <w:rPr>
                <w:rtl/>
                <w:lang w:bidi="fa-IR"/>
              </w:rPr>
              <w:t xml:space="preserve">(3). في </w:t>
            </w:r>
            <w:r w:rsidRPr="00C24F9C">
              <w:rPr>
                <w:rStyle w:val="libFootnoteBoldChar"/>
                <w:rtl/>
              </w:rPr>
              <w:t>الوافي</w:t>
            </w:r>
            <w:r>
              <w:rPr>
                <w:rtl/>
                <w:lang w:bidi="fa-IR"/>
              </w:rPr>
              <w:t xml:space="preserve"> عن بعض النسخ : « الشامي ».</w:t>
            </w:r>
          </w:p>
        </w:tc>
        <w:tc>
          <w:tcPr>
            <w:tcW w:w="4006" w:type="dxa"/>
          </w:tcPr>
          <w:p w:rsidR="00D03D03" w:rsidRDefault="00D03D03" w:rsidP="00E378DD">
            <w:pPr>
              <w:pStyle w:val="libFootnote0"/>
              <w:rPr>
                <w:rtl/>
                <w:lang w:bidi="fa-IR"/>
              </w:rPr>
            </w:pPr>
            <w:r>
              <w:rPr>
                <w:rtl/>
                <w:lang w:bidi="fa-IR"/>
              </w:rPr>
              <w:t xml:space="preserve">(4). في </w:t>
            </w:r>
            <w:r w:rsidRPr="00C24F9C">
              <w:rPr>
                <w:rStyle w:val="libFootnoteBoldChar"/>
                <w:rtl/>
              </w:rPr>
              <w:t>الوسائل</w:t>
            </w:r>
            <w:r>
              <w:rPr>
                <w:rtl/>
                <w:lang w:bidi="fa-IR"/>
              </w:rPr>
              <w:t xml:space="preserve"> : « أبعد » بدون الواو.</w:t>
            </w:r>
          </w:p>
        </w:tc>
      </w:tr>
      <w:tr w:rsidR="00D03D03" w:rsidTr="00D03D03">
        <w:tc>
          <w:tcPr>
            <w:tcW w:w="4006" w:type="dxa"/>
          </w:tcPr>
          <w:p w:rsidR="00D03D03" w:rsidRDefault="00D03D03" w:rsidP="00E378DD">
            <w:pPr>
              <w:pStyle w:val="libFootnote0"/>
              <w:rPr>
                <w:rtl/>
                <w:lang w:bidi="fa-IR"/>
              </w:rPr>
            </w:pPr>
            <w:r>
              <w:rPr>
                <w:rtl/>
                <w:lang w:bidi="fa-IR"/>
              </w:rPr>
              <w:t xml:space="preserve">(5). في </w:t>
            </w:r>
            <w:r w:rsidRPr="00C24F9C">
              <w:rPr>
                <w:rStyle w:val="libFootnoteBoldChar"/>
                <w:rtl/>
              </w:rPr>
              <w:t>الوسائل</w:t>
            </w:r>
            <w:r>
              <w:rPr>
                <w:rtl/>
                <w:lang w:bidi="fa-IR"/>
              </w:rPr>
              <w:t xml:space="preserve"> : + « في ».</w:t>
            </w:r>
          </w:p>
        </w:tc>
        <w:tc>
          <w:tcPr>
            <w:tcW w:w="4006" w:type="dxa"/>
          </w:tcPr>
          <w:p w:rsidR="00D03D03" w:rsidRDefault="00D03D03" w:rsidP="00E378DD">
            <w:pPr>
              <w:pStyle w:val="libFootnote0"/>
              <w:rPr>
                <w:rtl/>
                <w:lang w:bidi="fa-IR"/>
              </w:rPr>
            </w:pPr>
            <w:r>
              <w:rPr>
                <w:rtl/>
                <w:lang w:bidi="fa-IR"/>
              </w:rPr>
              <w:t xml:space="preserve">(6). في </w:t>
            </w:r>
            <w:r w:rsidRPr="00C24F9C">
              <w:rPr>
                <w:rStyle w:val="libFootnoteBoldChar"/>
                <w:rtl/>
              </w:rPr>
              <w:t>الوافي</w:t>
            </w:r>
            <w:r>
              <w:rPr>
                <w:rtl/>
                <w:lang w:bidi="fa-IR"/>
              </w:rPr>
              <w:t xml:space="preserve"> عن بعض النسخ : « فقيل ».</w:t>
            </w:r>
          </w:p>
        </w:tc>
      </w:tr>
    </w:tbl>
    <w:p w:rsidR="00744A1C" w:rsidRDefault="00E378DD" w:rsidP="00E378DD">
      <w:pPr>
        <w:pStyle w:val="libFootnote0"/>
        <w:rPr>
          <w:lang w:bidi="fa-IR"/>
        </w:rPr>
      </w:pPr>
      <w:r>
        <w:rPr>
          <w:rtl/>
          <w:lang w:bidi="fa-IR"/>
        </w:rPr>
        <w:t>(7).</w:t>
      </w:r>
      <w:r w:rsidR="00744A1C">
        <w:rPr>
          <w:rtl/>
          <w:lang w:bidi="fa-IR"/>
        </w:rPr>
        <w:t xml:space="preserve"> التلخيص : التبيين والشرح. </w:t>
      </w:r>
      <w:r w:rsidR="00744A1C" w:rsidRPr="00E978C3">
        <w:rPr>
          <w:rStyle w:val="libFootnoteBoldChar"/>
          <w:rtl/>
        </w:rPr>
        <w:t>الصحاح</w:t>
      </w:r>
      <w:r w:rsidR="00744A1C">
        <w:rPr>
          <w:rtl/>
          <w:lang w:bidi="fa-IR"/>
        </w:rPr>
        <w:t xml:space="preserve"> ، ج 3 ، ص 1055 ( لخص ).</w:t>
      </w:r>
    </w:p>
    <w:p w:rsidR="00744A1C" w:rsidRDefault="00E378DD" w:rsidP="00E378DD">
      <w:pPr>
        <w:pStyle w:val="libFootnote0"/>
        <w:rPr>
          <w:lang w:bidi="fa-IR"/>
        </w:rPr>
      </w:pPr>
      <w:r>
        <w:rPr>
          <w:rtl/>
          <w:lang w:bidi="fa-IR"/>
        </w:rPr>
        <w:t>(8).</w:t>
      </w:r>
      <w:r w:rsidR="00744A1C">
        <w:rPr>
          <w:rtl/>
          <w:lang w:bidi="fa-IR"/>
        </w:rPr>
        <w:t xml:space="preserve"> في « جت » </w:t>
      </w:r>
      <w:r w:rsidR="00744A1C" w:rsidRPr="00D03D03">
        <w:rPr>
          <w:rtl/>
        </w:rPr>
        <w:t>والوافي والوسائل</w:t>
      </w:r>
      <w:r w:rsidR="00744A1C">
        <w:rPr>
          <w:rtl/>
          <w:lang w:bidi="fa-IR"/>
        </w:rPr>
        <w:t xml:space="preserve"> : « فقال ».</w:t>
      </w:r>
    </w:p>
    <w:p w:rsidR="00744A1C" w:rsidRDefault="00E378DD" w:rsidP="00E378DD">
      <w:pPr>
        <w:pStyle w:val="libFootnote0"/>
        <w:rPr>
          <w:lang w:bidi="fa-IR"/>
        </w:rPr>
      </w:pPr>
      <w:r>
        <w:rPr>
          <w:rtl/>
          <w:lang w:bidi="fa-IR"/>
        </w:rPr>
        <w:t>(9).</w:t>
      </w:r>
      <w:r w:rsidR="00744A1C">
        <w:rPr>
          <w:rtl/>
          <w:lang w:bidi="fa-IR"/>
        </w:rPr>
        <w:t xml:space="preserve"> في « بث ، بف » </w:t>
      </w:r>
      <w:r w:rsidR="00744A1C" w:rsidRPr="00D03D03">
        <w:rPr>
          <w:rtl/>
        </w:rPr>
        <w:t>والوافي :</w:t>
      </w:r>
      <w:r w:rsidR="00744A1C">
        <w:rPr>
          <w:rtl/>
          <w:lang w:bidi="fa-IR"/>
        </w:rPr>
        <w:t xml:space="preserve"> « فإنّ ».</w:t>
      </w:r>
    </w:p>
    <w:p w:rsidR="00744A1C" w:rsidRDefault="00E378DD" w:rsidP="00E378DD">
      <w:pPr>
        <w:pStyle w:val="libFootnote0"/>
        <w:rPr>
          <w:lang w:bidi="fa-IR"/>
        </w:rPr>
      </w:pPr>
      <w:r>
        <w:rPr>
          <w:rtl/>
          <w:lang w:bidi="fa-IR"/>
        </w:rPr>
        <w:t>(10).</w:t>
      </w:r>
      <w:r w:rsidR="00744A1C">
        <w:rPr>
          <w:rtl/>
          <w:lang w:bidi="fa-IR"/>
        </w:rPr>
        <w:t xml:space="preserve"> في </w:t>
      </w:r>
      <w:r w:rsidR="00744A1C" w:rsidRPr="00877682">
        <w:rPr>
          <w:rStyle w:val="libFootnoteBoldChar"/>
          <w:rtl/>
        </w:rPr>
        <w:t>مرآة العقول</w:t>
      </w:r>
      <w:r w:rsidR="00744A1C">
        <w:rPr>
          <w:rtl/>
          <w:lang w:bidi="fa-IR"/>
        </w:rPr>
        <w:t xml:space="preserve"> ، ج 18 ، ص 345 : « قوله </w:t>
      </w:r>
      <w:r w:rsidR="0061079A" w:rsidRPr="0061079A">
        <w:rPr>
          <w:rStyle w:val="libFootnoteAlaemChar"/>
          <w:rtl/>
        </w:rPr>
        <w:t>عليه‌السلام</w:t>
      </w:r>
      <w:r w:rsidR="00D10E3C">
        <w:rPr>
          <w:rtl/>
          <w:lang w:bidi="fa-IR"/>
        </w:rPr>
        <w:t xml:space="preserve"> </w:t>
      </w:r>
      <w:r w:rsidR="00744A1C">
        <w:rPr>
          <w:rtl/>
          <w:lang w:bidi="fa-IR"/>
        </w:rPr>
        <w:t>:</w:t>
      </w:r>
      <w:r w:rsidR="00D03D03">
        <w:rPr>
          <w:rtl/>
          <w:lang w:bidi="fa-IR"/>
        </w:rPr>
        <w:t xml:space="preserve"> على نيّاتهم ، قال الوالد العل</w:t>
      </w:r>
      <w:r w:rsidR="00D03D03">
        <w:rPr>
          <w:rFonts w:hint="cs"/>
          <w:rtl/>
          <w:lang w:bidi="fa-IR"/>
        </w:rPr>
        <w:t>ّ</w:t>
      </w:r>
      <w:r w:rsidR="00D03D03">
        <w:rPr>
          <w:rtl/>
          <w:lang w:bidi="fa-IR"/>
        </w:rPr>
        <w:t>ا</w:t>
      </w:r>
      <w:r w:rsidR="00744A1C">
        <w:rPr>
          <w:rtl/>
          <w:lang w:bidi="fa-IR"/>
        </w:rPr>
        <w:t>مة : أي ل</w:t>
      </w:r>
      <w:r w:rsidR="00D03D03">
        <w:rPr>
          <w:rFonts w:hint="cs"/>
          <w:rtl/>
          <w:lang w:bidi="fa-IR"/>
        </w:rPr>
        <w:t>ـ</w:t>
      </w:r>
      <w:r w:rsidR="00744A1C">
        <w:rPr>
          <w:rtl/>
          <w:lang w:bidi="fa-IR"/>
        </w:rPr>
        <w:t>مّا كنت تعتقد فيه الثواب ، تثاب على ما فعلت بفضله تعالى ، لا باستحقاقك ، وبعد السؤال والعلم لا يتأتّى منك نيّة القربة ، وتكون معاقباً على الجهاد معهم. انتهى. ويحتمل أن يكون المعنى أنّه إن كان جهاده لحفظ بيضة الإسلام فهو مثاب ، وإن كان غرضه نصرة المخالفين فهو معاقب ، كما سيأتي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فَقَالَ الرَّجُلُ : غَزَوْتُ ، فَوَاقَعْتُ </w:t>
      </w:r>
      <w:r w:rsidRPr="00D10E3C">
        <w:rPr>
          <w:rStyle w:val="libFootnotenumChar"/>
          <w:rtl/>
        </w:rPr>
        <w:t>(1)</w:t>
      </w:r>
      <w:r>
        <w:rPr>
          <w:rtl/>
          <w:lang w:bidi="fa-IR"/>
        </w:rPr>
        <w:t xml:space="preserve"> الْمُشْرِكِينَ ، فَيَنْبَغِي قِتَالُهُمْ قَبْلَ أَنْ أَدْعُوَهُمْ؟</w:t>
      </w:r>
    </w:p>
    <w:p w:rsidR="00744A1C" w:rsidRDefault="00744A1C" w:rsidP="00744A1C">
      <w:pPr>
        <w:pStyle w:val="libNormal"/>
        <w:rPr>
          <w:lang w:bidi="fa-IR"/>
        </w:rPr>
      </w:pPr>
      <w:r>
        <w:rPr>
          <w:rtl/>
          <w:lang w:bidi="fa-IR"/>
        </w:rPr>
        <w:t xml:space="preserve">فَقَالَ : « إِنْ كَانُوا غَزَوْا وَقُوتِلُوا </w:t>
      </w:r>
      <w:r w:rsidRPr="00D10E3C">
        <w:rPr>
          <w:rStyle w:val="libFootnotenumChar"/>
          <w:rtl/>
        </w:rPr>
        <w:t>(2)</w:t>
      </w:r>
      <w:r>
        <w:rPr>
          <w:rtl/>
          <w:lang w:bidi="fa-IR"/>
        </w:rPr>
        <w:t xml:space="preserve"> وَقَاتَلُوا ، فَإِنَّكَ تَجْتَزِئُ </w:t>
      </w:r>
      <w:r w:rsidRPr="00D10E3C">
        <w:rPr>
          <w:rStyle w:val="libFootnotenumChar"/>
          <w:rtl/>
        </w:rPr>
        <w:t>(3)</w:t>
      </w:r>
      <w:r>
        <w:rPr>
          <w:rtl/>
          <w:lang w:bidi="fa-IR"/>
        </w:rPr>
        <w:t xml:space="preserve"> بِذلِكَ ، وَإِنْ كَانُوا قَوْماً لَمْ يَغْزُوا وَلَمْ يُقَاتِلُوا ، فَلَا يَسَعُكَ قِتَالُهُمْ حَتّى تَدْعُوَهُمْ ».</w:t>
      </w:r>
    </w:p>
    <w:p w:rsidR="00744A1C" w:rsidRDefault="00744A1C" w:rsidP="00744A1C">
      <w:pPr>
        <w:pStyle w:val="libNormal"/>
        <w:rPr>
          <w:lang w:bidi="fa-IR"/>
        </w:rPr>
      </w:pPr>
      <w:r>
        <w:rPr>
          <w:rtl/>
          <w:lang w:bidi="fa-IR"/>
        </w:rPr>
        <w:t xml:space="preserve">قَالَ الرَّجُلُ : فَدَعَوْتُهُمْ ، فَأَجَابَنِي مُجِيبٌ ، وَأَقَرَّ بِالْإِسْلَامِ فِي قَلْبِهِ ، وَكَانَ فِي الْإِسْلَامِ ، فَجِيرَ </w:t>
      </w:r>
      <w:r w:rsidRPr="00D10E3C">
        <w:rPr>
          <w:rStyle w:val="libFootnotenumChar"/>
          <w:rtl/>
        </w:rPr>
        <w:t>(4)</w:t>
      </w:r>
      <w:r>
        <w:rPr>
          <w:rtl/>
          <w:lang w:bidi="fa-IR"/>
        </w:rPr>
        <w:t xml:space="preserve"> عَلَيْهِ فِي الْحُكْمِ </w:t>
      </w:r>
      <w:r w:rsidRPr="00D10E3C">
        <w:rPr>
          <w:rStyle w:val="libFootnotenumChar"/>
          <w:rtl/>
        </w:rPr>
        <w:t>(5)</w:t>
      </w:r>
      <w:r>
        <w:rPr>
          <w:rtl/>
          <w:lang w:bidi="fa-IR"/>
        </w:rPr>
        <w:t xml:space="preserve"> ، وَانْتُهِكَتْ حُرْمَتُهُ ، وَأُخِذَ مَالُهُ ، وَاعْتُدِيَ عَلَيْهِ ، فَكَيْفَ بِالْمَخْرَجِ </w:t>
      </w:r>
      <w:r w:rsidRPr="00D10E3C">
        <w:rPr>
          <w:rStyle w:val="libFootnotenumChar"/>
          <w:rtl/>
        </w:rPr>
        <w:t>(6)</w:t>
      </w:r>
      <w:r>
        <w:rPr>
          <w:rtl/>
          <w:lang w:bidi="fa-IR"/>
        </w:rPr>
        <w:t xml:space="preserve"> وَأَنَا دَعَوْتُهُ؟</w:t>
      </w:r>
    </w:p>
    <w:p w:rsidR="00144FA6" w:rsidRDefault="00744A1C" w:rsidP="00744A1C">
      <w:pPr>
        <w:pStyle w:val="libNormal"/>
        <w:rPr>
          <w:rtl/>
          <w:lang w:bidi="fa-IR"/>
        </w:rPr>
      </w:pPr>
      <w:r>
        <w:rPr>
          <w:rtl/>
          <w:lang w:bidi="fa-IR"/>
        </w:rPr>
        <w:t xml:space="preserve">فَقَالَ : « إِنَّكُمَا مَأْجُورَانِ عَلى مَا كَانَ مِنْ ذلِكَ ، وَهُوَ مَعَكَ يَحُوطُكَ </w:t>
      </w:r>
      <w:r w:rsidRPr="00D10E3C">
        <w:rPr>
          <w:rStyle w:val="libFootnotenumChar"/>
          <w:rtl/>
        </w:rPr>
        <w:t>(7)</w:t>
      </w:r>
      <w:r>
        <w:rPr>
          <w:rtl/>
          <w:lang w:bidi="fa-IR"/>
        </w:rPr>
        <w:t xml:space="preserve"> مِنْ وَرَاءِ حُرْمَتِكَ ، وَيَمْنَعُ قِبْلَتَكَ ، وَيَدْفَعُ عَنْ كِتَابِكَ ، وَيَحْقُنُ دَمَكَ خَيْرٌ مِنْ أَنْ يَكُونَ عَلَيْكَ ، يَهْدِمُ قِبْلَتَكَ ، وَيَنْتَهِكُ </w:t>
      </w:r>
      <w:r w:rsidRPr="00D10E3C">
        <w:rPr>
          <w:rStyle w:val="libFootnotenumChar"/>
          <w:rtl/>
        </w:rPr>
        <w:t>(8)</w:t>
      </w:r>
      <w:r>
        <w:rPr>
          <w:rtl/>
          <w:lang w:bidi="fa-IR"/>
        </w:rPr>
        <w:t xml:space="preserve"> حُرْمَتَكَ ، وَيَسْفِكُ دَمَكَ ، وَيُحْرِقُ </w:t>
      </w:r>
      <w:r w:rsidRPr="00D10E3C">
        <w:rPr>
          <w:rStyle w:val="libFootnotenumChar"/>
          <w:rtl/>
        </w:rPr>
        <w:t>(9)</w:t>
      </w:r>
      <w:r>
        <w:rPr>
          <w:rtl/>
          <w:lang w:bidi="fa-IR"/>
        </w:rPr>
        <w:t xml:space="preserve"> كِتَابَكَ ». </w:t>
      </w:r>
      <w:r w:rsidRPr="00D10E3C">
        <w:rPr>
          <w:rStyle w:val="libFootnotenumChar"/>
          <w:rtl/>
        </w:rPr>
        <w:t>(10)</w:t>
      </w:r>
    </w:p>
    <w:p w:rsidR="00144FA6" w:rsidRDefault="00744A1C" w:rsidP="00744A1C">
      <w:pPr>
        <w:pStyle w:val="libNormal"/>
        <w:rPr>
          <w:rtl/>
          <w:lang w:bidi="fa-IR"/>
        </w:rPr>
      </w:pPr>
      <w:r>
        <w:rPr>
          <w:rtl/>
          <w:lang w:bidi="fa-IR"/>
        </w:rPr>
        <w:t>8223 / 2. عَلِيُّ بْنُ إِبْرَاهِيمَ ، عَنْ مُحَمَّدِ بْنِ عِيسى ، عَنْ يُونُسَ :</w:t>
      </w:r>
    </w:p>
    <w:p w:rsidR="00744A1C" w:rsidRDefault="00744A1C" w:rsidP="00744A1C">
      <w:pPr>
        <w:pStyle w:val="libNormal"/>
        <w:rPr>
          <w:lang w:bidi="fa-IR"/>
        </w:rPr>
      </w:pPr>
      <w:r>
        <w:rPr>
          <w:rtl/>
          <w:lang w:bidi="fa-IR"/>
        </w:rPr>
        <w:t xml:space="preserve">عَنْ أَبِي الْحَسَنِ الرِّضَا </w:t>
      </w:r>
      <w:r w:rsidR="0061079A" w:rsidRPr="0061079A">
        <w:rPr>
          <w:rStyle w:val="libAlaemChar"/>
          <w:rtl/>
        </w:rPr>
        <w:t>عليه‌السلام</w:t>
      </w:r>
      <w:r w:rsidR="00D10E3C">
        <w:rPr>
          <w:rtl/>
          <w:lang w:bidi="fa-IR"/>
        </w:rPr>
        <w:t xml:space="preserve"> </w:t>
      </w:r>
      <w:r>
        <w:rPr>
          <w:rtl/>
          <w:lang w:bidi="fa-IR"/>
        </w:rPr>
        <w:t>، قَالَ : قُلْتُ لَهُ : جُعِلْتُ فِدَاكَ ، إِنَّ رَجُلاً مِنْ مَوَالِيكَ بَلَغَهُ‌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حاشية « بث ، بح » : « فواقفت ». وفي « جن » : « فوافقت ». وواقعتُ ، أي قاتلتُ. والوَقيعة : الحرب والقتال. وجمعه الوقائع. راجع : </w:t>
      </w:r>
      <w:r w:rsidR="00744A1C" w:rsidRPr="00877682">
        <w:rPr>
          <w:rStyle w:val="libFootnoteBoldChar"/>
          <w:rtl/>
        </w:rPr>
        <w:t>لسان العرب</w:t>
      </w:r>
      <w:r w:rsidR="00744A1C">
        <w:rPr>
          <w:rtl/>
          <w:lang w:bidi="fa-IR"/>
        </w:rPr>
        <w:t xml:space="preserve"> ، ج 8 ، ص 403 ( وقع ).</w:t>
      </w:r>
    </w:p>
    <w:p w:rsidR="00744A1C" w:rsidRDefault="00E378DD" w:rsidP="00E378DD">
      <w:pPr>
        <w:pStyle w:val="libFootnote0"/>
        <w:rPr>
          <w:lang w:bidi="fa-IR"/>
        </w:rPr>
      </w:pPr>
      <w:r>
        <w:rPr>
          <w:rtl/>
          <w:lang w:bidi="fa-IR"/>
        </w:rPr>
        <w:t>(2).</w:t>
      </w:r>
      <w:r w:rsidR="00744A1C">
        <w:rPr>
          <w:rtl/>
          <w:lang w:bidi="fa-IR"/>
        </w:rPr>
        <w:t xml:space="preserve"> في « بث » : « أو قوتلوا ». وفي « جن » : - « وقوتلوا ».</w:t>
      </w:r>
    </w:p>
    <w:p w:rsidR="00744A1C" w:rsidRDefault="00E378DD" w:rsidP="00E378DD">
      <w:pPr>
        <w:pStyle w:val="libFootnote0"/>
        <w:rPr>
          <w:lang w:bidi="fa-IR"/>
        </w:rPr>
      </w:pPr>
      <w:r>
        <w:rPr>
          <w:rtl/>
          <w:lang w:bidi="fa-IR"/>
        </w:rPr>
        <w:t>(3).</w:t>
      </w:r>
      <w:r w:rsidR="00744A1C">
        <w:rPr>
          <w:rtl/>
          <w:lang w:bidi="fa-IR"/>
        </w:rPr>
        <w:t xml:space="preserve"> هكذا في « بح ، جت ، جن » </w:t>
      </w:r>
      <w:r w:rsidR="00744A1C" w:rsidRPr="00FE4E2A">
        <w:rPr>
          <w:rtl/>
        </w:rPr>
        <w:t>والوافي والتهذيب</w:t>
      </w:r>
      <w:r w:rsidR="00744A1C">
        <w:rPr>
          <w:rtl/>
          <w:lang w:bidi="fa-IR"/>
        </w:rPr>
        <w:t>. وفي « بس » : « تجزئ ». وفي سائر النسخ والمطبوع : « تجترئ ».</w:t>
      </w:r>
    </w:p>
    <w:p w:rsidR="00744A1C" w:rsidRDefault="00E378DD" w:rsidP="00E378DD">
      <w:pPr>
        <w:pStyle w:val="libFootnote0"/>
        <w:rPr>
          <w:lang w:bidi="fa-IR"/>
        </w:rPr>
      </w:pPr>
      <w:r>
        <w:rPr>
          <w:rtl/>
          <w:lang w:bidi="fa-IR"/>
        </w:rPr>
        <w:t>(4).</w:t>
      </w:r>
      <w:r w:rsidR="00744A1C">
        <w:rPr>
          <w:rtl/>
          <w:lang w:bidi="fa-IR"/>
        </w:rPr>
        <w:t xml:space="preserve"> في « بس » وحاشية « جت » : « فحير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أي سلاطين الجور جاروا عليه في الحكم ، ولم يعتدّوا بإسلامه ، أو في حال الحرب لم يعلموا إسلامه ، وانتهكوا حرمته ، والتقيّة في عدم التصريح بالجواب والإجمال فيه ظاهرة ».</w:t>
      </w:r>
    </w:p>
    <w:p w:rsidR="00744A1C" w:rsidRDefault="00E378DD" w:rsidP="00E378DD">
      <w:pPr>
        <w:pStyle w:val="libFootnote0"/>
        <w:rPr>
          <w:lang w:bidi="fa-IR"/>
        </w:rPr>
      </w:pPr>
      <w:r>
        <w:rPr>
          <w:rtl/>
          <w:lang w:bidi="fa-IR"/>
        </w:rPr>
        <w:t>(6).</w:t>
      </w:r>
      <w:r w:rsidR="00744A1C">
        <w:rPr>
          <w:rtl/>
          <w:lang w:bidi="fa-IR"/>
        </w:rPr>
        <w:t xml:space="preserve"> في </w:t>
      </w:r>
      <w:r w:rsidR="00744A1C" w:rsidRPr="00FE4E2A">
        <w:rPr>
          <w:rtl/>
        </w:rPr>
        <w:t xml:space="preserve">التهذيب </w:t>
      </w:r>
      <w:r w:rsidR="00744A1C">
        <w:rPr>
          <w:rtl/>
          <w:lang w:bidi="fa-IR"/>
        </w:rPr>
        <w:t>: « بالخروج ».</w:t>
      </w:r>
    </w:p>
    <w:p w:rsidR="00744A1C" w:rsidRDefault="00E378DD" w:rsidP="00E378DD">
      <w:pPr>
        <w:pStyle w:val="libFootnote0"/>
        <w:rPr>
          <w:lang w:bidi="fa-IR"/>
        </w:rPr>
      </w:pPr>
      <w:r>
        <w:rPr>
          <w:rtl/>
          <w:lang w:bidi="fa-IR"/>
        </w:rPr>
        <w:t>(7).</w:t>
      </w:r>
      <w:r w:rsidR="00744A1C">
        <w:rPr>
          <w:rtl/>
          <w:lang w:bidi="fa-IR"/>
        </w:rPr>
        <w:t xml:space="preserve"> في</w:t>
      </w:r>
      <w:r w:rsidR="00744A1C" w:rsidRPr="00FE4E2A">
        <w:rPr>
          <w:rtl/>
        </w:rPr>
        <w:t xml:space="preserve"> التهذيب</w:t>
      </w:r>
      <w:r w:rsidR="00744A1C">
        <w:rPr>
          <w:rtl/>
          <w:lang w:bidi="fa-IR"/>
        </w:rPr>
        <w:t xml:space="preserve"> : « يحفظك ».</w:t>
      </w:r>
    </w:p>
    <w:p w:rsidR="00744A1C" w:rsidRDefault="00E378DD" w:rsidP="00E378DD">
      <w:pPr>
        <w:pStyle w:val="libFootnote0"/>
        <w:rPr>
          <w:lang w:bidi="fa-IR"/>
        </w:rPr>
      </w:pPr>
      <w:r>
        <w:rPr>
          <w:rtl/>
          <w:lang w:bidi="fa-IR"/>
        </w:rPr>
        <w:t>(8).</w:t>
      </w:r>
      <w:r w:rsidR="00744A1C">
        <w:rPr>
          <w:rtl/>
          <w:lang w:bidi="fa-IR"/>
        </w:rPr>
        <w:t xml:space="preserve"> في « بس ، بف » : « ويهتك ».</w:t>
      </w:r>
    </w:p>
    <w:p w:rsidR="00744A1C" w:rsidRDefault="00E378DD" w:rsidP="00E378DD">
      <w:pPr>
        <w:pStyle w:val="libFootnote0"/>
        <w:rPr>
          <w:lang w:bidi="fa-IR"/>
        </w:rPr>
      </w:pPr>
      <w:r>
        <w:rPr>
          <w:rtl/>
          <w:lang w:bidi="fa-IR"/>
        </w:rPr>
        <w:t>(9).</w:t>
      </w:r>
      <w:r w:rsidR="00744A1C">
        <w:rPr>
          <w:rtl/>
          <w:lang w:bidi="fa-IR"/>
        </w:rPr>
        <w:t xml:space="preserve"> في حاشية « بث ، بح ، جت » : « ويحرف ». وفي حاشية المطبوع عن بعض النسخ : « ويخرق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135 ، ح 228 ، معلّقاً عن أحمد بن محمّد ، عن عليّ بن الحكم </w:t>
      </w:r>
      <w:r w:rsidR="00FE4E2A">
        <w:rPr>
          <w:rFonts w:hint="cs"/>
          <w:rtl/>
          <w:lang w:bidi="fa-IR"/>
        </w:rPr>
        <w:t>.</w:t>
      </w:r>
      <w:r w:rsidR="00744A1C" w:rsidRPr="00C24F9C">
        <w:rPr>
          <w:rStyle w:val="libFootnoteBoldChar"/>
          <w:rtl/>
        </w:rPr>
        <w:t>الوافي</w:t>
      </w:r>
      <w:r w:rsidR="00744A1C">
        <w:rPr>
          <w:rtl/>
          <w:lang w:bidi="fa-IR"/>
        </w:rPr>
        <w:t xml:space="preserve"> ، ج 15 ، ص 80 ، ح 14726 ؛ </w:t>
      </w:r>
      <w:r w:rsidR="00744A1C" w:rsidRPr="00C24F9C">
        <w:rPr>
          <w:rStyle w:val="libFootnoteBoldChar"/>
          <w:rtl/>
        </w:rPr>
        <w:t>الوسائل</w:t>
      </w:r>
      <w:r w:rsidR="00744A1C">
        <w:rPr>
          <w:rtl/>
          <w:lang w:bidi="fa-IR"/>
        </w:rPr>
        <w:t xml:space="preserve"> ، ج 15 ، ص 43 ، ح 19952.</w:t>
      </w:r>
    </w:p>
    <w:p w:rsidR="006A5060" w:rsidRDefault="006A5060" w:rsidP="00D10E3C">
      <w:pPr>
        <w:pStyle w:val="libNormal"/>
        <w:rPr>
          <w:rtl/>
          <w:lang w:bidi="fa-IR"/>
        </w:rPr>
      </w:pPr>
      <w:r>
        <w:rPr>
          <w:rtl/>
          <w:lang w:bidi="fa-IR"/>
        </w:rPr>
        <w:br w:type="page"/>
      </w:r>
    </w:p>
    <w:p w:rsidR="00744A1C" w:rsidRDefault="00744A1C" w:rsidP="00EE40F1">
      <w:pPr>
        <w:pStyle w:val="libNormal0"/>
        <w:rPr>
          <w:lang w:bidi="fa-IR"/>
        </w:rPr>
      </w:pPr>
      <w:r>
        <w:rPr>
          <w:rtl/>
          <w:lang w:bidi="fa-IR"/>
        </w:rPr>
        <w:t xml:space="preserve">أَنَّ رَجُلاً يُعْطِي السَّيْفَ وَالْفَرَسَ فِي سَبِيلِ اللهِ </w:t>
      </w:r>
      <w:r w:rsidRPr="00D10E3C">
        <w:rPr>
          <w:rStyle w:val="libFootnotenumChar"/>
          <w:rtl/>
        </w:rPr>
        <w:t>(1)</w:t>
      </w:r>
      <w:r>
        <w:rPr>
          <w:rtl/>
          <w:lang w:bidi="fa-IR"/>
        </w:rPr>
        <w:t xml:space="preserve"> ، فَأَتَاهُ ، فَأَخَذَهُمَا </w:t>
      </w:r>
      <w:r w:rsidRPr="00D10E3C">
        <w:rPr>
          <w:rStyle w:val="libFootnotenumChar"/>
          <w:rtl/>
        </w:rPr>
        <w:t>(2)</w:t>
      </w:r>
      <w:r>
        <w:rPr>
          <w:rtl/>
          <w:lang w:bidi="fa-IR"/>
        </w:rPr>
        <w:t xml:space="preserve"> مِنْهُ وَهُوَ جَاهِلٌ بِوَجْهِ السَّبِيلِ </w:t>
      </w:r>
      <w:r w:rsidRPr="00D10E3C">
        <w:rPr>
          <w:rStyle w:val="libFootnotenumChar"/>
          <w:rtl/>
        </w:rPr>
        <w:t>(3)</w:t>
      </w:r>
      <w:r>
        <w:rPr>
          <w:rtl/>
          <w:lang w:bidi="fa-IR"/>
        </w:rPr>
        <w:t xml:space="preserve"> ، ثُمَّ لَقِيَهُ أَصْحَابُهُ ، فَأَخْبَرُوهُ أَنَّ السَّبِيلَ مَعَ هؤُلَاءِ لَايَجُوزُ ، وَأَمَرُوهُ بِرَدِّهِمَا؟</w:t>
      </w:r>
    </w:p>
    <w:p w:rsidR="00744A1C" w:rsidRDefault="00744A1C" w:rsidP="00744A1C">
      <w:pPr>
        <w:pStyle w:val="libNormal"/>
        <w:rPr>
          <w:lang w:bidi="fa-IR"/>
        </w:rPr>
      </w:pPr>
      <w:r>
        <w:rPr>
          <w:rtl/>
          <w:lang w:bidi="fa-IR"/>
        </w:rPr>
        <w:t xml:space="preserve">فَقَالَ </w:t>
      </w:r>
      <w:r w:rsidRPr="00D10E3C">
        <w:rPr>
          <w:rStyle w:val="libFootnotenumChar"/>
          <w:rtl/>
        </w:rPr>
        <w:t>(4)</w:t>
      </w:r>
      <w:r>
        <w:rPr>
          <w:rtl/>
          <w:lang w:bidi="fa-IR"/>
        </w:rPr>
        <w:t xml:space="preserve"> : « فَلْيَفْعَلْ ».</w:t>
      </w:r>
    </w:p>
    <w:p w:rsidR="00744A1C" w:rsidRDefault="00744A1C" w:rsidP="00744A1C">
      <w:pPr>
        <w:pStyle w:val="libNormal"/>
        <w:rPr>
          <w:lang w:bidi="fa-IR"/>
        </w:rPr>
      </w:pPr>
      <w:r>
        <w:rPr>
          <w:rtl/>
          <w:lang w:bidi="fa-IR"/>
        </w:rPr>
        <w:t xml:space="preserve">قَالَ : قَدْ طَلَبَ الرَّجُلَ ، فَلَمْ يَجِدْهُ ، وَقِيلَ لَهُ : قَدْ شَخَصَ </w:t>
      </w:r>
      <w:r w:rsidRPr="00D10E3C">
        <w:rPr>
          <w:rStyle w:val="libFootnotenumChar"/>
          <w:rtl/>
        </w:rPr>
        <w:t>(5)</w:t>
      </w:r>
      <w:r>
        <w:rPr>
          <w:rtl/>
          <w:lang w:bidi="fa-IR"/>
        </w:rPr>
        <w:t xml:space="preserve"> الرَّجُلُ </w:t>
      </w:r>
      <w:r w:rsidRPr="00D10E3C">
        <w:rPr>
          <w:rStyle w:val="libFootnotenumChar"/>
          <w:rtl/>
        </w:rPr>
        <w:t>(6)</w:t>
      </w:r>
      <w:r>
        <w:rPr>
          <w:rtl/>
          <w:lang w:bidi="fa-IR"/>
        </w:rPr>
        <w:t>؟</w:t>
      </w:r>
    </w:p>
    <w:p w:rsidR="00744A1C" w:rsidRDefault="00744A1C" w:rsidP="00744A1C">
      <w:pPr>
        <w:pStyle w:val="libNormal"/>
        <w:rPr>
          <w:lang w:bidi="fa-IR"/>
        </w:rPr>
      </w:pPr>
      <w:r>
        <w:rPr>
          <w:rtl/>
          <w:lang w:bidi="fa-IR"/>
        </w:rPr>
        <w:t xml:space="preserve">قَالَ </w:t>
      </w:r>
      <w:r w:rsidRPr="00D10E3C">
        <w:rPr>
          <w:rStyle w:val="libFootnotenumChar"/>
          <w:rtl/>
        </w:rPr>
        <w:t>(7)</w:t>
      </w:r>
      <w:r>
        <w:rPr>
          <w:rtl/>
          <w:lang w:bidi="fa-IR"/>
        </w:rPr>
        <w:t xml:space="preserve"> : « فَلْيُرَابِطْ وَلَا يُقَاتِلْ </w:t>
      </w:r>
      <w:r w:rsidRPr="00D10E3C">
        <w:rPr>
          <w:rStyle w:val="libFootnotenumChar"/>
          <w:rtl/>
        </w:rPr>
        <w:t>(8)</w:t>
      </w:r>
      <w:r>
        <w:rPr>
          <w:rtl/>
          <w:lang w:bidi="fa-IR"/>
        </w:rPr>
        <w:t xml:space="preserve"> ».</w:t>
      </w:r>
    </w:p>
    <w:p w:rsidR="00744A1C" w:rsidRDefault="00744A1C" w:rsidP="00744A1C">
      <w:pPr>
        <w:pStyle w:val="libNormal"/>
        <w:rPr>
          <w:lang w:bidi="fa-IR"/>
        </w:rPr>
      </w:pPr>
      <w:r>
        <w:rPr>
          <w:rtl/>
          <w:lang w:bidi="fa-IR"/>
        </w:rPr>
        <w:t xml:space="preserve">قَالَ : فَفِي مِثْلِ قَزْوِينَ وَالدَّيْلَمِ وَعَسْقَلَانَ </w:t>
      </w:r>
      <w:r w:rsidRPr="00D10E3C">
        <w:rPr>
          <w:rStyle w:val="libFootnotenumChar"/>
          <w:rtl/>
        </w:rPr>
        <w:t>(9)</w:t>
      </w:r>
      <w:r>
        <w:rPr>
          <w:rtl/>
          <w:lang w:bidi="fa-IR"/>
        </w:rPr>
        <w:t xml:space="preserve"> وَمَا أَشْبَهَ هذِهِ الثُّغُورَ؟</w:t>
      </w:r>
    </w:p>
    <w:p w:rsidR="00744A1C" w:rsidRDefault="00744A1C" w:rsidP="00744A1C">
      <w:pPr>
        <w:pStyle w:val="libNormal"/>
        <w:rPr>
          <w:lang w:bidi="fa-IR"/>
        </w:rPr>
      </w:pPr>
      <w:r>
        <w:rPr>
          <w:rtl/>
          <w:lang w:bidi="fa-IR"/>
        </w:rPr>
        <w:t>فَقَالَ : « نَعَمْ ».</w:t>
      </w:r>
    </w:p>
    <w:p w:rsidR="00744A1C" w:rsidRDefault="00744A1C" w:rsidP="00744A1C">
      <w:pPr>
        <w:pStyle w:val="libNormal"/>
        <w:rPr>
          <w:lang w:bidi="fa-IR"/>
        </w:rPr>
      </w:pPr>
      <w:r>
        <w:rPr>
          <w:rtl/>
          <w:lang w:bidi="fa-IR"/>
        </w:rPr>
        <w:t xml:space="preserve">فَقَالَ لَهُ : يُجَاهِدُ </w:t>
      </w:r>
      <w:r w:rsidRPr="00D10E3C">
        <w:rPr>
          <w:rStyle w:val="libFootnotenumChar"/>
          <w:rtl/>
        </w:rPr>
        <w:t>(10)</w:t>
      </w:r>
      <w:r>
        <w:rPr>
          <w:rtl/>
          <w:lang w:bidi="fa-IR"/>
        </w:rPr>
        <w:t>؟</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A9559E" w:rsidTr="00A9559E">
        <w:tc>
          <w:tcPr>
            <w:tcW w:w="4006" w:type="dxa"/>
          </w:tcPr>
          <w:p w:rsidR="00A9559E" w:rsidRDefault="00A9559E" w:rsidP="00D10E3C">
            <w:pPr>
              <w:pStyle w:val="libFootnote0"/>
              <w:rPr>
                <w:rtl/>
                <w:lang w:bidi="fa-IR"/>
              </w:rPr>
            </w:pPr>
            <w:r>
              <w:rPr>
                <w:rtl/>
                <w:lang w:bidi="fa-IR"/>
              </w:rPr>
              <w:t xml:space="preserve">(1). في « بث ، بف » </w:t>
            </w:r>
            <w:r w:rsidRPr="00FE4E2A">
              <w:rPr>
                <w:rtl/>
              </w:rPr>
              <w:t>والوافي</w:t>
            </w:r>
            <w:r>
              <w:rPr>
                <w:rtl/>
                <w:lang w:bidi="fa-IR"/>
              </w:rPr>
              <w:t xml:space="preserve"> : « في السبيل ».</w:t>
            </w:r>
          </w:p>
        </w:tc>
        <w:tc>
          <w:tcPr>
            <w:tcW w:w="4006" w:type="dxa"/>
          </w:tcPr>
          <w:p w:rsidR="00A9559E" w:rsidRDefault="00A9559E" w:rsidP="00D10E3C">
            <w:pPr>
              <w:pStyle w:val="libFootnote0"/>
              <w:rPr>
                <w:rtl/>
                <w:lang w:bidi="fa-IR"/>
              </w:rPr>
            </w:pPr>
            <w:r>
              <w:rPr>
                <w:rtl/>
                <w:lang w:bidi="fa-IR"/>
              </w:rPr>
              <w:t xml:space="preserve">(2). في </w:t>
            </w:r>
            <w:r w:rsidRPr="00A9559E">
              <w:rPr>
                <w:rtl/>
              </w:rPr>
              <w:t>الوافي</w:t>
            </w:r>
            <w:r>
              <w:rPr>
                <w:rtl/>
                <w:lang w:bidi="fa-IR"/>
              </w:rPr>
              <w:t xml:space="preserve"> : « وأخذهما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والعلل : - « وهو جاهل بوجه السبيل ».</w:t>
      </w:r>
    </w:p>
    <w:p w:rsidR="00744A1C" w:rsidRDefault="00E378DD" w:rsidP="00E378DD">
      <w:pPr>
        <w:pStyle w:val="libFootnote0"/>
        <w:rPr>
          <w:lang w:bidi="fa-IR"/>
        </w:rPr>
      </w:pPr>
      <w:r>
        <w:rPr>
          <w:rtl/>
          <w:lang w:bidi="fa-IR"/>
        </w:rPr>
        <w:t>(4).</w:t>
      </w:r>
      <w:r w:rsidR="00744A1C">
        <w:rPr>
          <w:rtl/>
          <w:lang w:bidi="fa-IR"/>
        </w:rPr>
        <w:t xml:space="preserve"> في « جن » : « فيقال ».</w:t>
      </w:r>
    </w:p>
    <w:p w:rsidR="00744A1C" w:rsidRDefault="00E378DD" w:rsidP="00E378DD">
      <w:pPr>
        <w:pStyle w:val="libFootnote0"/>
        <w:rPr>
          <w:lang w:bidi="fa-IR"/>
        </w:rPr>
      </w:pPr>
      <w:r>
        <w:rPr>
          <w:rtl/>
          <w:lang w:bidi="fa-IR"/>
        </w:rPr>
        <w:t>(5).</w:t>
      </w:r>
      <w:r w:rsidR="00744A1C">
        <w:rPr>
          <w:rtl/>
          <w:lang w:bidi="fa-IR"/>
        </w:rPr>
        <w:t xml:space="preserve"> « شَخَص » أي ذهب. يقال : شَخَصَ من بلد إلى بلد شخوصاً ، أي ذهب ، والشخوص : السير من بلد إلى بلد. راجع : </w:t>
      </w:r>
      <w:r w:rsidR="00744A1C" w:rsidRPr="00877682">
        <w:rPr>
          <w:rStyle w:val="libFootnoteBoldChar"/>
          <w:rtl/>
        </w:rPr>
        <w:t>لسان العرب</w:t>
      </w:r>
      <w:r w:rsidR="00744A1C">
        <w:rPr>
          <w:rtl/>
          <w:lang w:bidi="fa-IR"/>
        </w:rPr>
        <w:t xml:space="preserve"> ، ج 7 ، ص 46 ( شخص ).</w:t>
      </w:r>
    </w:p>
    <w:p w:rsidR="00744A1C" w:rsidRDefault="00E378DD" w:rsidP="00E378DD">
      <w:pPr>
        <w:pStyle w:val="libFootnote0"/>
        <w:rPr>
          <w:lang w:bidi="fa-IR"/>
        </w:rPr>
      </w:pPr>
      <w:r>
        <w:rPr>
          <w:rtl/>
          <w:lang w:bidi="fa-IR"/>
        </w:rPr>
        <w:t>(6).</w:t>
      </w:r>
      <w:r w:rsidR="00744A1C">
        <w:rPr>
          <w:rtl/>
          <w:lang w:bidi="fa-IR"/>
        </w:rPr>
        <w:t xml:space="preserve"> في « جن » : - « الرجل ».</w:t>
      </w:r>
    </w:p>
    <w:p w:rsidR="00744A1C" w:rsidRDefault="00E378DD" w:rsidP="00E378DD">
      <w:pPr>
        <w:pStyle w:val="libFootnote0"/>
        <w:rPr>
          <w:lang w:bidi="fa-IR"/>
        </w:rPr>
      </w:pPr>
      <w:r>
        <w:rPr>
          <w:rtl/>
          <w:lang w:bidi="fa-IR"/>
        </w:rPr>
        <w:t>(7).</w:t>
      </w:r>
      <w:r w:rsidR="00744A1C">
        <w:rPr>
          <w:rtl/>
          <w:lang w:bidi="fa-IR"/>
        </w:rPr>
        <w:t xml:space="preserve"> في « جت » : « فقال ». وفي « جن » : « وقال ».</w:t>
      </w:r>
    </w:p>
    <w:p w:rsidR="00744A1C" w:rsidRDefault="00E378DD" w:rsidP="00E378DD">
      <w:pPr>
        <w:pStyle w:val="libFootnote0"/>
        <w:rPr>
          <w:lang w:bidi="fa-IR"/>
        </w:rPr>
      </w:pPr>
      <w:r>
        <w:rPr>
          <w:rtl/>
          <w:lang w:bidi="fa-IR"/>
        </w:rPr>
        <w:t>(8).</w:t>
      </w:r>
      <w:r w:rsidR="00DB3B41">
        <w:rPr>
          <w:rtl/>
          <w:lang w:bidi="fa-IR"/>
        </w:rPr>
        <w:t xml:space="preserve"> قال العل</w:t>
      </w:r>
      <w:r w:rsidR="00DB3B41">
        <w:rPr>
          <w:rFonts w:hint="cs"/>
          <w:rtl/>
          <w:lang w:bidi="fa-IR"/>
        </w:rPr>
        <w:t>ّ</w:t>
      </w:r>
      <w:r w:rsidR="00DB3B41">
        <w:rPr>
          <w:rtl/>
          <w:lang w:bidi="fa-IR"/>
        </w:rPr>
        <w:t>ا</w:t>
      </w:r>
      <w:r w:rsidR="00744A1C">
        <w:rPr>
          <w:rtl/>
          <w:lang w:bidi="fa-IR"/>
        </w:rPr>
        <w:t xml:space="preserve">مة الشعراني في هامش </w:t>
      </w:r>
      <w:r w:rsidR="00744A1C" w:rsidRPr="00C24F9C">
        <w:rPr>
          <w:rStyle w:val="libFootnoteBoldChar"/>
          <w:rtl/>
        </w:rPr>
        <w:t>الوافي</w:t>
      </w:r>
      <w:r w:rsidR="00FC787C">
        <w:rPr>
          <w:rtl/>
          <w:lang w:bidi="fa-IR"/>
        </w:rPr>
        <w:t xml:space="preserve"> : « وصرّح العل</w:t>
      </w:r>
      <w:r w:rsidR="00FC787C">
        <w:rPr>
          <w:rFonts w:hint="cs"/>
          <w:rtl/>
          <w:lang w:bidi="fa-IR"/>
        </w:rPr>
        <w:t>ّ</w:t>
      </w:r>
      <w:r w:rsidR="00FC787C">
        <w:rPr>
          <w:rtl/>
          <w:lang w:bidi="fa-IR"/>
        </w:rPr>
        <w:t>ا</w:t>
      </w:r>
      <w:r w:rsidR="00744A1C">
        <w:rPr>
          <w:rtl/>
          <w:lang w:bidi="fa-IR"/>
        </w:rPr>
        <w:t xml:space="preserve">مة </w:t>
      </w:r>
      <w:r w:rsidR="00877682" w:rsidRPr="00877682">
        <w:rPr>
          <w:rStyle w:val="libFootnoteAlaemChar"/>
          <w:rtl/>
        </w:rPr>
        <w:t>رحمه‌الله</w:t>
      </w:r>
      <w:r w:rsidR="00FC787C" w:rsidRPr="00FC787C">
        <w:rPr>
          <w:rFonts w:hint="cs"/>
          <w:rtl/>
        </w:rPr>
        <w:t xml:space="preserve"> </w:t>
      </w:r>
      <w:r w:rsidR="00744A1C">
        <w:rPr>
          <w:rtl/>
          <w:lang w:bidi="fa-IR"/>
        </w:rPr>
        <w:t>بجواز المرابطة حال الغيبة ، وهو الصحيح ، فما ورد من المنع عنها يحمل على نفي الوجوب ، أو نفي تأكّد الاستحباب ، أو ما إذا خاف أن يترتّب على إعماله قتل من لا يحلّ قتله ، كما يدلّ عليه بعض الأحاديث الآتية ، ويجي‌ء إن شاء الله باب في فضل الرباط ».</w:t>
      </w:r>
    </w:p>
    <w:p w:rsidR="00744A1C" w:rsidRDefault="00E378DD" w:rsidP="00E378DD">
      <w:pPr>
        <w:pStyle w:val="libFootnote0"/>
        <w:rPr>
          <w:lang w:bidi="fa-IR"/>
        </w:rPr>
      </w:pPr>
      <w:r>
        <w:rPr>
          <w:rtl/>
          <w:lang w:bidi="fa-IR"/>
        </w:rPr>
        <w:t>(9).</w:t>
      </w:r>
      <w:r w:rsidR="00744A1C">
        <w:rPr>
          <w:rtl/>
          <w:lang w:bidi="fa-IR"/>
        </w:rPr>
        <w:t xml:space="preserve"> قال البكري : « عسقلان ، بفتح أوّله وإسكان ثانيه : بلد معروف ، واشتقاقه من العساقيل ، وهو من السراب ، أو من العسقيل ، وهو الحجارة الضخمة ». وقال الحموي : « عسقلان ، بفتح أوّله ، وسكون ثانيه ثمّ قاف ، وآخره نون ، وهي مدينة بالشام من أعمال فلسطين على ساحل البحر ، بين غزّة وبيت جبرين ، ويقال لها : عروس الشام ، وكذلك يقال لدمشق أيضاً - إلى أن قال : - وعسقلان أيضاً قرية من قرى بلخ ، أو محلّة من محالّها ، منها عيسى بن أحمد بن عيسى بن وردان أبو يحيى العسقلاني ». معجم البلدان ، ج 4 ، ص 122. معجم ما استعجم ، ج 3 ، ص 943.</w:t>
      </w:r>
    </w:p>
    <w:p w:rsidR="00744A1C" w:rsidRDefault="00E378DD" w:rsidP="00E378DD">
      <w:pPr>
        <w:pStyle w:val="libFootnote0"/>
        <w:rPr>
          <w:lang w:bidi="fa-IR"/>
        </w:rPr>
      </w:pPr>
      <w:r>
        <w:rPr>
          <w:rtl/>
          <w:lang w:bidi="fa-IR"/>
        </w:rPr>
        <w:t>(10).</w:t>
      </w:r>
      <w:r w:rsidR="00744A1C">
        <w:rPr>
          <w:rtl/>
          <w:lang w:bidi="fa-IR"/>
        </w:rPr>
        <w:t xml:space="preserve"> في </w:t>
      </w:r>
      <w:r w:rsidR="00744A1C" w:rsidRPr="00FC787C">
        <w:rPr>
          <w:rtl/>
        </w:rPr>
        <w:t>الوافي</w:t>
      </w:r>
      <w:r w:rsidR="00744A1C">
        <w:rPr>
          <w:rtl/>
          <w:lang w:bidi="fa-IR"/>
        </w:rPr>
        <w:t xml:space="preserve"> : « أن يجاهد ». وفي </w:t>
      </w:r>
      <w:r w:rsidR="00744A1C" w:rsidRPr="00C24F9C">
        <w:rPr>
          <w:rStyle w:val="libFootnoteBoldChar"/>
          <w:rtl/>
        </w:rPr>
        <w:t>المرآة</w:t>
      </w:r>
      <w:r w:rsidR="00744A1C">
        <w:rPr>
          <w:rtl/>
          <w:lang w:bidi="fa-IR"/>
        </w:rPr>
        <w:t xml:space="preserve"> : « أي يبتدئ بالجهاد من غير أن يهجموا عليهم ».</w:t>
      </w:r>
    </w:p>
    <w:p w:rsidR="006A5060" w:rsidRDefault="006A5060" w:rsidP="00D10E3C">
      <w:pPr>
        <w:pStyle w:val="libNormal"/>
        <w:rPr>
          <w:rtl/>
          <w:lang w:bidi="fa-IR"/>
        </w:rPr>
      </w:pPr>
      <w:r>
        <w:rPr>
          <w:rtl/>
          <w:lang w:bidi="fa-IR"/>
        </w:rPr>
        <w:br w:type="page"/>
      </w:r>
    </w:p>
    <w:p w:rsidR="00744A1C" w:rsidRDefault="00FC787C" w:rsidP="00744A1C">
      <w:pPr>
        <w:pStyle w:val="libNormal"/>
        <w:rPr>
          <w:lang w:bidi="fa-IR"/>
        </w:rPr>
      </w:pPr>
      <w:r>
        <w:rPr>
          <w:rtl/>
          <w:lang w:bidi="fa-IR"/>
        </w:rPr>
        <w:t>قَالَ : « لَا ، إِل</w:t>
      </w:r>
      <w:r>
        <w:rPr>
          <w:rFonts w:hint="cs"/>
          <w:rtl/>
          <w:lang w:bidi="fa-IR"/>
        </w:rPr>
        <w:t>َّ</w:t>
      </w:r>
      <w:r>
        <w:rPr>
          <w:rtl/>
          <w:lang w:bidi="fa-IR"/>
        </w:rPr>
        <w:t>ا</w:t>
      </w:r>
      <w:r w:rsidR="00744A1C">
        <w:rPr>
          <w:rtl/>
          <w:lang w:bidi="fa-IR"/>
        </w:rPr>
        <w:t xml:space="preserve"> أَنْ يَخَافَ عَلى ذَرَارِيِّ الْمُسْلِمِينَ </w:t>
      </w:r>
      <w:r w:rsidR="00744A1C" w:rsidRPr="00D10E3C">
        <w:rPr>
          <w:rStyle w:val="libFootnotenumChar"/>
          <w:rtl/>
        </w:rPr>
        <w:t>(1)</w:t>
      </w:r>
      <w:r w:rsidR="00744A1C">
        <w:rPr>
          <w:rtl/>
          <w:lang w:bidi="fa-IR"/>
        </w:rPr>
        <w:t xml:space="preserve"> ».</w:t>
      </w:r>
    </w:p>
    <w:p w:rsidR="00744A1C" w:rsidRDefault="00744A1C" w:rsidP="00744A1C">
      <w:pPr>
        <w:pStyle w:val="libNormal"/>
        <w:rPr>
          <w:lang w:bidi="fa-IR"/>
        </w:rPr>
      </w:pPr>
      <w:r>
        <w:rPr>
          <w:rtl/>
          <w:lang w:bidi="fa-IR"/>
        </w:rPr>
        <w:t xml:space="preserve">[ فَقَالَ ] </w:t>
      </w:r>
      <w:r w:rsidRPr="00D10E3C">
        <w:rPr>
          <w:rStyle w:val="libFootnotenumChar"/>
          <w:rtl/>
        </w:rPr>
        <w:t>(2)</w:t>
      </w:r>
      <w:r>
        <w:rPr>
          <w:rtl/>
          <w:lang w:bidi="fa-IR"/>
        </w:rPr>
        <w:t xml:space="preserve"> : أَرَأَيْتَكَ ، لَوْ أَنَّ الرُّومَ دَخَلُوا عَلَى الْمُسْلِمِينَ ، لَمْ يَنْبَغِ </w:t>
      </w:r>
      <w:r w:rsidRPr="00D10E3C">
        <w:rPr>
          <w:rStyle w:val="libFootnotenumChar"/>
          <w:rtl/>
        </w:rPr>
        <w:t>(3)</w:t>
      </w:r>
      <w:r>
        <w:rPr>
          <w:rtl/>
          <w:lang w:bidi="fa-IR"/>
        </w:rPr>
        <w:t xml:space="preserve"> لَهُمْ أَنْ يَمْنَعُوهُمْ؟</w:t>
      </w:r>
    </w:p>
    <w:p w:rsidR="00744A1C" w:rsidRDefault="00744A1C" w:rsidP="00744A1C">
      <w:pPr>
        <w:pStyle w:val="libNormal"/>
        <w:rPr>
          <w:lang w:bidi="fa-IR"/>
        </w:rPr>
      </w:pPr>
      <w:r>
        <w:rPr>
          <w:rtl/>
          <w:lang w:bidi="fa-IR"/>
        </w:rPr>
        <w:t xml:space="preserve">قَالَ : « يُرَابِطُ وَلَا يُقَاتِلُ ، وَإِنْ خَافَ عَلى بَيْضَةِ الْإِسْلَامِ وَالْمُسْلِمِينَ قَاتَلَ ، فَيَكُونُ قِتَالُهُ لِنَفْسِهِ وَلَيْسَ </w:t>
      </w:r>
      <w:r w:rsidRPr="00D10E3C">
        <w:rPr>
          <w:rStyle w:val="libFootnotenumChar"/>
          <w:rtl/>
        </w:rPr>
        <w:t>(4)</w:t>
      </w:r>
      <w:r>
        <w:rPr>
          <w:rtl/>
          <w:lang w:bidi="fa-IR"/>
        </w:rPr>
        <w:t xml:space="preserve"> لِلسُّلْطَانِ ».</w:t>
      </w:r>
    </w:p>
    <w:p w:rsidR="00744A1C" w:rsidRDefault="00744A1C" w:rsidP="00744A1C">
      <w:pPr>
        <w:pStyle w:val="libNormal"/>
        <w:rPr>
          <w:lang w:bidi="fa-IR"/>
        </w:rPr>
      </w:pPr>
      <w:r>
        <w:rPr>
          <w:rtl/>
          <w:lang w:bidi="fa-IR"/>
        </w:rPr>
        <w:t xml:space="preserve">قَالَ : قُلْتُ : فَإِنْ </w:t>
      </w:r>
      <w:r w:rsidRPr="00D10E3C">
        <w:rPr>
          <w:rStyle w:val="libFootnotenumChar"/>
          <w:rtl/>
        </w:rPr>
        <w:t>(5)</w:t>
      </w:r>
      <w:r>
        <w:rPr>
          <w:rtl/>
          <w:lang w:bidi="fa-IR"/>
        </w:rPr>
        <w:t xml:space="preserve"> جَاءَ الْعَدُوُّ إِلَى الْمَوْضِعِ الَّذِي هُوَ فِيهِ مُرَابِطٌ </w:t>
      </w:r>
      <w:r w:rsidRPr="00D10E3C">
        <w:rPr>
          <w:rStyle w:val="libFootnotenumChar"/>
          <w:rtl/>
        </w:rPr>
        <w:t>(6)</w:t>
      </w:r>
      <w:r>
        <w:rPr>
          <w:rtl/>
          <w:lang w:bidi="fa-IR"/>
        </w:rPr>
        <w:t xml:space="preserve"> كَيْفَ </w:t>
      </w:r>
      <w:r w:rsidRPr="00D10E3C">
        <w:rPr>
          <w:rStyle w:val="libFootnotenumChar"/>
          <w:rtl/>
        </w:rPr>
        <w:t>(7)</w:t>
      </w:r>
      <w:r>
        <w:rPr>
          <w:rtl/>
          <w:lang w:bidi="fa-IR"/>
        </w:rPr>
        <w:t xml:space="preserve"> يَصْنَعُ؟</w:t>
      </w:r>
    </w:p>
    <w:p w:rsidR="00144FA6" w:rsidRDefault="00744A1C" w:rsidP="00744A1C">
      <w:pPr>
        <w:pStyle w:val="libNormal"/>
        <w:rPr>
          <w:rtl/>
          <w:lang w:bidi="fa-IR"/>
        </w:rPr>
      </w:pPr>
      <w:r>
        <w:rPr>
          <w:rtl/>
          <w:lang w:bidi="fa-IR"/>
        </w:rPr>
        <w:t xml:space="preserve">قَالَ : « يُقَاتِلُ عَنْ بَيْضَةِ الْإِسْلَامِ ، لَاعَنْ هؤُلَاءِ ؛ لِأَنَّ فِي </w:t>
      </w:r>
      <w:r w:rsidRPr="00D10E3C">
        <w:rPr>
          <w:rStyle w:val="libFootnotenumChar"/>
          <w:rtl/>
        </w:rPr>
        <w:t>(8)</w:t>
      </w:r>
      <w:r>
        <w:rPr>
          <w:rtl/>
          <w:lang w:bidi="fa-IR"/>
        </w:rPr>
        <w:t xml:space="preserve"> دُرُوسِ </w:t>
      </w:r>
      <w:r w:rsidRPr="00D10E3C">
        <w:rPr>
          <w:rStyle w:val="libFootnotenumChar"/>
          <w:rtl/>
        </w:rPr>
        <w:t>(9)</w:t>
      </w:r>
      <w:r>
        <w:rPr>
          <w:rtl/>
          <w:lang w:bidi="fa-IR"/>
        </w:rPr>
        <w:t xml:space="preserve"> الْإِسْلَامِ دُرُوسَ دِينِ </w:t>
      </w:r>
      <w:r w:rsidRPr="00D10E3C">
        <w:rPr>
          <w:rStyle w:val="libFootnotenumChar"/>
          <w:rtl/>
        </w:rPr>
        <w:t>(10)</w:t>
      </w:r>
      <w:r>
        <w:rPr>
          <w:rtl/>
          <w:lang w:bidi="fa-IR"/>
        </w:rPr>
        <w:t xml:space="preserve"> مُحَمَّدٍ </w:t>
      </w:r>
      <w:r w:rsidR="00AE01C7" w:rsidRPr="00AE01C7">
        <w:rPr>
          <w:rStyle w:val="libFootnoteAlaemChar"/>
          <w:rtl/>
        </w:rPr>
        <w:t>صلى‌الله‌عليه‌وآله</w:t>
      </w:r>
      <w:r w:rsidR="00D10E3C">
        <w:rPr>
          <w:rtl/>
          <w:lang w:bidi="fa-IR"/>
        </w:rPr>
        <w:t xml:space="preserve"> </w:t>
      </w:r>
      <w:r>
        <w:rPr>
          <w:rtl/>
          <w:lang w:bidi="fa-IR"/>
        </w:rPr>
        <w:t xml:space="preserve">». </w:t>
      </w:r>
      <w:r w:rsidRPr="00D10E3C">
        <w:rPr>
          <w:rStyle w:val="libFootnotenumChar"/>
          <w:rtl/>
        </w:rPr>
        <w:t>(11)</w:t>
      </w:r>
    </w:p>
    <w:p w:rsidR="00744A1C" w:rsidRDefault="00B64C84" w:rsidP="00744A1C">
      <w:pPr>
        <w:pStyle w:val="libNormal"/>
        <w:rPr>
          <w:lang w:bidi="fa-IR"/>
        </w:rPr>
      </w:pPr>
      <w:r>
        <w:rPr>
          <w:rFonts w:hint="cs"/>
          <w:rtl/>
          <w:lang w:bidi="fa-IR"/>
        </w:rPr>
        <w:t xml:space="preserve">* </w:t>
      </w:r>
      <w:r w:rsidR="00744A1C">
        <w:rPr>
          <w:rtl/>
          <w:lang w:bidi="fa-IR"/>
        </w:rPr>
        <w:t xml:space="preserve">عَلِيٌّ </w:t>
      </w:r>
      <w:r w:rsidR="00744A1C" w:rsidRPr="00D10E3C">
        <w:rPr>
          <w:rStyle w:val="libFootnotenumChar"/>
          <w:rtl/>
        </w:rPr>
        <w:t>(12)</w:t>
      </w:r>
      <w:r w:rsidR="00744A1C">
        <w:rPr>
          <w:rtl/>
          <w:lang w:bidi="fa-IR"/>
        </w:rPr>
        <w:t xml:space="preserve"> ، عَنْ أَبِيهِ ، عَنْ يَحْيَى بْنِ أَبِي عِمْرَانَ ، عَنْ يُونُسَ ، عَنِ الرِّضَا </w:t>
      </w:r>
      <w:r w:rsidR="0061079A" w:rsidRPr="0061079A">
        <w:rPr>
          <w:rStyle w:val="libAlaemChar"/>
          <w:rtl/>
        </w:rPr>
        <w:t>عليه‌السلام</w:t>
      </w:r>
      <w:r w:rsidR="00D10E3C">
        <w:rPr>
          <w:rtl/>
          <w:lang w:bidi="fa-IR"/>
        </w:rPr>
        <w:t xml:space="preserve"> </w:t>
      </w:r>
      <w:r w:rsidR="00744A1C">
        <w:rPr>
          <w:rtl/>
          <w:lang w:bidi="fa-IR"/>
        </w:rPr>
        <w:t>نَحْوَهُ.</w:t>
      </w:r>
    </w:p>
    <w:p w:rsidR="00744A1C" w:rsidRDefault="00744A1C" w:rsidP="00B64C84">
      <w:pPr>
        <w:pStyle w:val="Heading2Center"/>
        <w:rPr>
          <w:lang w:bidi="fa-IR"/>
        </w:rPr>
      </w:pPr>
      <w:bookmarkStart w:id="94" w:name="_Toc49261392"/>
      <w:r>
        <w:rPr>
          <w:rtl/>
          <w:lang w:bidi="fa-IR"/>
        </w:rPr>
        <w:t xml:space="preserve">6 - بَابُ الْجِهَادِ الْوَاجِبِ </w:t>
      </w:r>
      <w:r w:rsidRPr="00D10E3C">
        <w:rPr>
          <w:rStyle w:val="libFootnotenumChar"/>
          <w:rtl/>
        </w:rPr>
        <w:t>(13)</w:t>
      </w:r>
      <w:r>
        <w:rPr>
          <w:rtl/>
          <w:lang w:bidi="fa-IR"/>
        </w:rPr>
        <w:t xml:space="preserve"> مَعَ مَنْ يَكُونُ‌</w:t>
      </w:r>
      <w:bookmarkEnd w:id="94"/>
    </w:p>
    <w:p w:rsidR="00144FA6" w:rsidRDefault="00744A1C" w:rsidP="00744A1C">
      <w:pPr>
        <w:pStyle w:val="libNormal"/>
        <w:rPr>
          <w:rtl/>
          <w:lang w:bidi="fa-IR"/>
        </w:rPr>
      </w:pPr>
      <w:r>
        <w:rPr>
          <w:rtl/>
          <w:lang w:bidi="fa-IR"/>
        </w:rPr>
        <w:t>8224 / 1. عَلِيُّ بْنُ إِبْرَاهِيمَ ، عَنْ أَبِيهِ ، عَنْ عُثْمَانَ بْنِ عِيسى ، عَنْ سَمَاعَةَ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أي على طائفة ا</w:t>
      </w:r>
      <w:r w:rsidR="00B64C84">
        <w:rPr>
          <w:rFonts w:hint="cs"/>
          <w:rtl/>
          <w:lang w:bidi="fa-IR"/>
        </w:rPr>
        <w:t>ُ</w:t>
      </w:r>
      <w:r w:rsidR="00B64C84">
        <w:rPr>
          <w:rtl/>
          <w:lang w:bidi="fa-IR"/>
        </w:rPr>
        <w:t>خرى ، فيكون الاستثناء متّصلا</w:t>
      </w:r>
      <w:r w:rsidR="00B64C84">
        <w:rPr>
          <w:rFonts w:hint="cs"/>
          <w:rtl/>
          <w:lang w:bidi="fa-IR"/>
        </w:rPr>
        <w:t>ً</w:t>
      </w:r>
      <w:r w:rsidR="00744A1C">
        <w:rPr>
          <w:rtl/>
          <w:lang w:bidi="fa-IR"/>
        </w:rPr>
        <w:t xml:space="preserve"> ».</w:t>
      </w:r>
    </w:p>
    <w:p w:rsidR="00744A1C" w:rsidRDefault="00E378DD" w:rsidP="00E378DD">
      <w:pPr>
        <w:pStyle w:val="libFootnote0"/>
        <w:rPr>
          <w:lang w:bidi="fa-IR"/>
        </w:rPr>
      </w:pPr>
      <w:r>
        <w:rPr>
          <w:rtl/>
          <w:lang w:bidi="fa-IR"/>
        </w:rPr>
        <w:t>(2).</w:t>
      </w:r>
      <w:r w:rsidR="00744A1C">
        <w:rPr>
          <w:rtl/>
          <w:lang w:bidi="fa-IR"/>
        </w:rPr>
        <w:t xml:space="preserve"> في جميع النسخ التي قوبلت و</w:t>
      </w:r>
      <w:r w:rsidR="00744A1C" w:rsidRPr="00C24F9C">
        <w:rPr>
          <w:rStyle w:val="libFootnoteBoldChar"/>
          <w:rtl/>
        </w:rPr>
        <w:t>الوافي</w:t>
      </w:r>
      <w:r w:rsidR="00744A1C">
        <w:rPr>
          <w:rtl/>
          <w:lang w:bidi="fa-IR"/>
        </w:rPr>
        <w:t xml:space="preserve"> : - « فقال ». وما أثبتناه من المطبوع.</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B64C84">
        <w:rPr>
          <w:rStyle w:val="libFootnoteAlaemChar"/>
          <w:rtl/>
        </w:rPr>
        <w:t>عليه‌السلام</w:t>
      </w:r>
      <w:r w:rsidR="00D10E3C">
        <w:rPr>
          <w:rtl/>
          <w:lang w:bidi="fa-IR"/>
        </w:rPr>
        <w:t xml:space="preserve"> </w:t>
      </w:r>
      <w:r w:rsidR="00744A1C">
        <w:rPr>
          <w:rtl/>
          <w:lang w:bidi="fa-IR"/>
        </w:rPr>
        <w:t>: لم ينبغ ، على الاستفهام الإنكاري ».</w:t>
      </w:r>
    </w:p>
    <w:p w:rsidR="00744A1C" w:rsidRDefault="00E378DD" w:rsidP="00B64C84">
      <w:pPr>
        <w:pStyle w:val="libFootnote0"/>
        <w:rPr>
          <w:lang w:bidi="fa-IR"/>
        </w:rPr>
      </w:pPr>
      <w:r>
        <w:rPr>
          <w:rtl/>
          <w:lang w:bidi="fa-IR"/>
        </w:rPr>
        <w:t>(4).</w:t>
      </w:r>
      <w:r w:rsidR="00744A1C">
        <w:rPr>
          <w:rtl/>
          <w:lang w:bidi="fa-IR"/>
        </w:rPr>
        <w:t xml:space="preserve"> في « بس » </w:t>
      </w:r>
      <w:r w:rsidR="00744A1C" w:rsidRPr="00B64C84">
        <w:rPr>
          <w:rtl/>
        </w:rPr>
        <w:t>والتهذيب</w:t>
      </w:r>
      <w:r w:rsidR="00744A1C">
        <w:rPr>
          <w:rtl/>
          <w:lang w:bidi="fa-IR"/>
        </w:rPr>
        <w:t xml:space="preserve"> : « لا » بدل « وليس ». وفي « ى ، بح ، جد ، جن » والعلل : « ليس » بدون الواو. وفي « جن » : + « قتاله ».</w:t>
      </w:r>
      <w:r w:rsidR="00EE40F1">
        <w:rPr>
          <w:rFonts w:hint="cs"/>
          <w:rtl/>
          <w:lang w:bidi="fa-IR"/>
        </w:rPr>
        <w:t xml:space="preserve">                 </w:t>
      </w:r>
      <w:r w:rsidR="00B64C84">
        <w:rPr>
          <w:rFonts w:hint="cs"/>
          <w:rtl/>
          <w:lang w:bidi="fa-IR"/>
        </w:rPr>
        <w:t xml:space="preserve">       </w:t>
      </w:r>
      <w:r>
        <w:rPr>
          <w:rtl/>
          <w:lang w:bidi="fa-IR"/>
        </w:rPr>
        <w:t>(5).</w:t>
      </w:r>
      <w:r w:rsidR="00744A1C">
        <w:rPr>
          <w:rtl/>
          <w:lang w:bidi="fa-IR"/>
        </w:rPr>
        <w:t xml:space="preserve"> في « جت » : « وإن ».</w:t>
      </w:r>
    </w:p>
    <w:tbl>
      <w:tblPr>
        <w:tblStyle w:val="TableGrid"/>
        <w:bidiVisual/>
        <w:tblW w:w="0" w:type="auto"/>
        <w:tblLook w:val="04A0" w:firstRow="1" w:lastRow="0" w:firstColumn="1" w:lastColumn="0" w:noHBand="0" w:noVBand="1"/>
      </w:tblPr>
      <w:tblGrid>
        <w:gridCol w:w="4006"/>
        <w:gridCol w:w="4006"/>
      </w:tblGrid>
      <w:tr w:rsidR="00B64C84" w:rsidTr="00B64C84">
        <w:tc>
          <w:tcPr>
            <w:tcW w:w="4006" w:type="dxa"/>
          </w:tcPr>
          <w:p w:rsidR="00B64C84" w:rsidRDefault="00B64C84" w:rsidP="00E378DD">
            <w:pPr>
              <w:pStyle w:val="libFootnote0"/>
              <w:rPr>
                <w:rtl/>
                <w:lang w:bidi="fa-IR"/>
              </w:rPr>
            </w:pPr>
            <w:r>
              <w:rPr>
                <w:rtl/>
                <w:lang w:bidi="fa-IR"/>
              </w:rPr>
              <w:t>(6). في « بث » : « يرابط ».</w:t>
            </w:r>
          </w:p>
        </w:tc>
        <w:tc>
          <w:tcPr>
            <w:tcW w:w="4006" w:type="dxa"/>
          </w:tcPr>
          <w:p w:rsidR="00B64C84" w:rsidRDefault="00B64C84" w:rsidP="00E378DD">
            <w:pPr>
              <w:pStyle w:val="libFootnote0"/>
              <w:rPr>
                <w:rtl/>
                <w:lang w:bidi="fa-IR"/>
              </w:rPr>
            </w:pPr>
            <w:r>
              <w:rPr>
                <w:rtl/>
                <w:lang w:bidi="fa-IR"/>
              </w:rPr>
              <w:t>(7). في « ى » : « فكيف ».</w:t>
            </w:r>
          </w:p>
        </w:tc>
      </w:tr>
    </w:tbl>
    <w:p w:rsidR="00744A1C" w:rsidRDefault="00E378DD" w:rsidP="00E378DD">
      <w:pPr>
        <w:pStyle w:val="libFootnote0"/>
        <w:rPr>
          <w:lang w:bidi="fa-IR"/>
        </w:rPr>
      </w:pPr>
      <w:r>
        <w:rPr>
          <w:rtl/>
          <w:lang w:bidi="fa-IR"/>
        </w:rPr>
        <w:t>(8).</w:t>
      </w:r>
      <w:r w:rsidR="00744A1C">
        <w:rPr>
          <w:rtl/>
          <w:lang w:bidi="fa-IR"/>
        </w:rPr>
        <w:t xml:space="preserve"> في « ى » : - « في ».</w:t>
      </w:r>
    </w:p>
    <w:p w:rsidR="00744A1C" w:rsidRDefault="00E378DD" w:rsidP="00E378DD">
      <w:pPr>
        <w:pStyle w:val="libFootnote0"/>
        <w:rPr>
          <w:lang w:bidi="fa-IR"/>
        </w:rPr>
      </w:pPr>
      <w:r>
        <w:rPr>
          <w:rtl/>
          <w:lang w:bidi="fa-IR"/>
        </w:rPr>
        <w:t>(9).</w:t>
      </w:r>
      <w:r w:rsidR="00744A1C">
        <w:rPr>
          <w:rtl/>
          <w:lang w:bidi="fa-IR"/>
        </w:rPr>
        <w:t xml:space="preserve"> </w:t>
      </w:r>
      <w:r w:rsidR="00744A1C" w:rsidRPr="002F38E2">
        <w:rPr>
          <w:rtl/>
        </w:rPr>
        <w:t>الدروس :</w:t>
      </w:r>
      <w:r w:rsidR="00744A1C">
        <w:rPr>
          <w:rtl/>
          <w:lang w:bidi="fa-IR"/>
        </w:rPr>
        <w:t xml:space="preserve"> المحو ، والانمحاء ؛ لازم ومتعدّ. </w:t>
      </w:r>
      <w:r w:rsidR="00744A1C" w:rsidRPr="00877682">
        <w:rPr>
          <w:rStyle w:val="libFootnoteBoldChar"/>
          <w:rtl/>
        </w:rPr>
        <w:t>لسان العرب</w:t>
      </w:r>
      <w:r w:rsidR="00744A1C">
        <w:rPr>
          <w:rtl/>
          <w:lang w:bidi="fa-IR"/>
        </w:rPr>
        <w:t xml:space="preserve"> ، ج 6 ، ص 79 ( درس ).</w:t>
      </w:r>
    </w:p>
    <w:p w:rsidR="00744A1C" w:rsidRDefault="00E378DD" w:rsidP="00E378DD">
      <w:pPr>
        <w:pStyle w:val="libFootnote0"/>
        <w:rPr>
          <w:lang w:bidi="fa-IR"/>
        </w:rPr>
      </w:pPr>
      <w:r>
        <w:rPr>
          <w:rtl/>
          <w:lang w:bidi="fa-IR"/>
        </w:rPr>
        <w:t>(10).</w:t>
      </w:r>
      <w:r w:rsidR="00744A1C">
        <w:rPr>
          <w:rtl/>
          <w:lang w:bidi="fa-IR"/>
        </w:rPr>
        <w:t xml:space="preserve"> في </w:t>
      </w:r>
      <w:r w:rsidR="00744A1C" w:rsidRPr="002F38E2">
        <w:rPr>
          <w:rtl/>
        </w:rPr>
        <w:t>الوافي والتهذيب والعلل</w:t>
      </w:r>
      <w:r w:rsidR="00744A1C">
        <w:rPr>
          <w:rtl/>
          <w:lang w:bidi="fa-IR"/>
        </w:rPr>
        <w:t xml:space="preserve"> : « ذكر ».</w:t>
      </w:r>
    </w:p>
    <w:p w:rsidR="00744A1C" w:rsidRDefault="00E378DD" w:rsidP="002F38E2">
      <w:pPr>
        <w:pStyle w:val="libFootnote0"/>
        <w:rPr>
          <w:lang w:bidi="fa-IR"/>
        </w:rPr>
      </w:pPr>
      <w:r>
        <w:rPr>
          <w:rtl/>
          <w:lang w:bidi="fa-IR"/>
        </w:rPr>
        <w:t>(11).</w:t>
      </w:r>
      <w:r w:rsidR="00744A1C">
        <w:rPr>
          <w:rtl/>
          <w:lang w:bidi="fa-IR"/>
        </w:rPr>
        <w:t xml:space="preserve"> </w:t>
      </w:r>
      <w:r w:rsidR="00744A1C" w:rsidRPr="00877682">
        <w:rPr>
          <w:rStyle w:val="libFootnoteBoldChar"/>
          <w:rtl/>
        </w:rPr>
        <w:t>قرب الإسناد</w:t>
      </w:r>
      <w:r w:rsidR="00744A1C">
        <w:rPr>
          <w:rtl/>
          <w:lang w:bidi="fa-IR"/>
        </w:rPr>
        <w:t xml:space="preserve"> ، ص 345 ، ح 1253 ، عن محمّد بن عيسى ، مع اختلاف. وفي </w:t>
      </w:r>
      <w:r w:rsidR="00744A1C" w:rsidRPr="00C24F9C">
        <w:rPr>
          <w:rStyle w:val="libFootnoteBoldChar"/>
          <w:rtl/>
        </w:rPr>
        <w:t>التهذيب</w:t>
      </w:r>
      <w:r w:rsidR="00744A1C">
        <w:rPr>
          <w:rtl/>
          <w:lang w:bidi="fa-IR"/>
        </w:rPr>
        <w:t xml:space="preserve"> ، ج 6 ، ص 125 ، ح 219 ؛ و</w:t>
      </w:r>
      <w:r w:rsidR="00744A1C" w:rsidRPr="003A7143">
        <w:rPr>
          <w:rStyle w:val="libFootnoteBoldChar"/>
          <w:rtl/>
        </w:rPr>
        <w:t>علل الشرائع</w:t>
      </w:r>
      <w:r w:rsidR="00744A1C">
        <w:rPr>
          <w:rtl/>
          <w:lang w:bidi="fa-IR"/>
        </w:rPr>
        <w:t xml:space="preserve"> ، ص 603 ، ح 72 ، بسندهما عن محمّد بن عيسى </w:t>
      </w:r>
      <w:r w:rsidR="002F38E2">
        <w:rPr>
          <w:rFonts w:hint="cs"/>
          <w:rtl/>
          <w:lang w:bidi="fa-IR"/>
        </w:rPr>
        <w:t>.</w:t>
      </w:r>
      <w:r w:rsidR="00744A1C" w:rsidRPr="00C24F9C">
        <w:rPr>
          <w:rStyle w:val="libFootnoteBoldChar"/>
          <w:rtl/>
        </w:rPr>
        <w:t>الوافي</w:t>
      </w:r>
      <w:r w:rsidR="00744A1C">
        <w:rPr>
          <w:rtl/>
          <w:lang w:bidi="fa-IR"/>
        </w:rPr>
        <w:t xml:space="preserve"> ، ج 15 ، ص 79 ، ح 14725 ؛ </w:t>
      </w:r>
      <w:r w:rsidR="00744A1C" w:rsidRPr="00C24F9C">
        <w:rPr>
          <w:rStyle w:val="libFootnoteBoldChar"/>
          <w:rtl/>
        </w:rPr>
        <w:t>الوسائل</w:t>
      </w:r>
      <w:r w:rsidR="00744A1C">
        <w:rPr>
          <w:rtl/>
          <w:lang w:bidi="fa-IR"/>
        </w:rPr>
        <w:t xml:space="preserve"> ، ج 15 ، ص 29 ، ح 19943.</w:t>
      </w:r>
      <w:r w:rsidR="002F38E2">
        <w:rPr>
          <w:rFonts w:hint="cs"/>
          <w:rtl/>
          <w:lang w:bidi="fa-IR"/>
        </w:rPr>
        <w:t xml:space="preserve">   </w:t>
      </w:r>
      <w:r>
        <w:rPr>
          <w:rtl/>
          <w:lang w:bidi="fa-IR"/>
        </w:rPr>
        <w:t>(12).</w:t>
      </w:r>
      <w:r w:rsidR="002F38E2">
        <w:rPr>
          <w:rtl/>
          <w:lang w:bidi="fa-IR"/>
        </w:rPr>
        <w:t xml:space="preserve"> في حاشية«بث،بح</w:t>
      </w:r>
      <w:r w:rsidR="00744A1C">
        <w:rPr>
          <w:rtl/>
          <w:lang w:bidi="fa-IR"/>
        </w:rPr>
        <w:t>» : + « بن إبراهيم ».</w:t>
      </w:r>
    </w:p>
    <w:p w:rsidR="00744A1C" w:rsidRDefault="00E378DD" w:rsidP="00E378DD">
      <w:pPr>
        <w:pStyle w:val="libFootnote0"/>
        <w:rPr>
          <w:lang w:bidi="fa-IR"/>
        </w:rPr>
      </w:pPr>
      <w:r>
        <w:rPr>
          <w:rtl/>
          <w:lang w:bidi="fa-IR"/>
        </w:rPr>
        <w:t>(13).</w:t>
      </w:r>
      <w:r w:rsidR="00744A1C">
        <w:rPr>
          <w:rtl/>
          <w:lang w:bidi="fa-IR"/>
        </w:rPr>
        <w:t xml:space="preserve"> في « بث » : - « الواجب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لَقِيَ عَبَّادٌ الْبَصْرِيُّ عَلِيَّ بْنَ الْحُسَيْنِ - صَلَوَاتُ اللهِ عَلَيْهِمَا - فِي طَرِيقِ مَكَّةَ </w:t>
      </w:r>
      <w:r w:rsidRPr="00D10E3C">
        <w:rPr>
          <w:rStyle w:val="libFootnotenumChar"/>
          <w:rtl/>
        </w:rPr>
        <w:t>(1)</w:t>
      </w:r>
      <w:r>
        <w:rPr>
          <w:rtl/>
          <w:lang w:bidi="fa-IR"/>
        </w:rPr>
        <w:t xml:space="preserve"> ، فَقَالَ لَهُ : يَا عَلِيَّ بْنَ الْحُسَيْنِ ، تَرَكْتَ الْجِهَادَ وَصُعُوبَتَهُ ، وَأَقْبَلْتَ عَلَى الْحَجِّ وَلِينَتِهِ ، إِنَّ اللهَ - عَزَّ وَجَلَّ - يَقُولُ : </w:t>
      </w:r>
      <w:r w:rsidRPr="002F38E2">
        <w:rPr>
          <w:rStyle w:val="libAlaemChar"/>
          <w:rtl/>
        </w:rPr>
        <w:t>(</w:t>
      </w:r>
      <w:r w:rsidRPr="002F38E2">
        <w:rPr>
          <w:rStyle w:val="libAieChar"/>
          <w:rtl/>
        </w:rPr>
        <w:t xml:space="preserve"> إِنَّ اللهَ اشْتَرى مِنَ الْمُؤْمِنِينَ أَنْفُسَهُمْ وَأَمْوالَهُمْ بِأَنَّ لَهُمُ الْجَنَّةَ يُقاتِلُونَ فِي سَبِيلِ اللهِ فَيَقْتُلُونَ وَيُقْتَلُونَ وَعْداً عَلَيْهِ حَقًّا فِي التَّوْراةِ وَالْإِنْجِيلِ وَالْقُرْآنِ وَمَنْ أَوْفى بِعَهْدِهِ مِنَ اللهِ فَاسْتَبْشِرُوا بِبَيْعِكُمُ الَّذِي بايَعْتُمْ بِهِ وَذلِكَ هُوَ الْفَوْزُ الْعَظِيمُ </w:t>
      </w:r>
      <w:r w:rsidRPr="002F38E2">
        <w:rPr>
          <w:rStyle w:val="libAlaemChar"/>
          <w:rtl/>
        </w:rPr>
        <w:t>)</w:t>
      </w:r>
      <w:r>
        <w:rPr>
          <w:rtl/>
          <w:lang w:bidi="fa-IR"/>
        </w:rPr>
        <w:t xml:space="preserve">. </w:t>
      </w:r>
      <w:r w:rsidRPr="00D10E3C">
        <w:rPr>
          <w:rStyle w:val="libFootnotenumChar"/>
          <w:rtl/>
        </w:rPr>
        <w:t>(2)</w:t>
      </w:r>
    </w:p>
    <w:p w:rsidR="00144FA6" w:rsidRDefault="00744A1C" w:rsidP="002F38E2">
      <w:pPr>
        <w:pStyle w:val="libNormal"/>
        <w:rPr>
          <w:rtl/>
          <w:lang w:bidi="fa-IR"/>
        </w:rPr>
      </w:pPr>
      <w:r>
        <w:rPr>
          <w:rtl/>
          <w:lang w:bidi="fa-IR"/>
        </w:rPr>
        <w:t xml:space="preserve">فَقَالَ لَهُ عَلِيُّ بْنُ الْحُسَيْنِ </w:t>
      </w:r>
      <w:r w:rsidR="008859AA" w:rsidRPr="008859AA">
        <w:rPr>
          <w:rStyle w:val="libAlaemChar"/>
          <w:rtl/>
        </w:rPr>
        <w:t>عليهما‌السلام</w:t>
      </w:r>
      <w:r>
        <w:rPr>
          <w:rtl/>
          <w:lang w:bidi="fa-IR"/>
        </w:rPr>
        <w:t xml:space="preserve">: أَتِمَّ الْآيَةَ </w:t>
      </w:r>
      <w:r w:rsidRPr="00D10E3C">
        <w:rPr>
          <w:rStyle w:val="libFootnotenumChar"/>
          <w:rtl/>
        </w:rPr>
        <w:t>(3)</w:t>
      </w:r>
      <w:r>
        <w:rPr>
          <w:rtl/>
          <w:lang w:bidi="fa-IR"/>
        </w:rPr>
        <w:t xml:space="preserve"> ، فَقَالَ : </w:t>
      </w:r>
      <w:r w:rsidRPr="002F38E2">
        <w:rPr>
          <w:rStyle w:val="libAlaemChar"/>
          <w:rtl/>
        </w:rPr>
        <w:t>(</w:t>
      </w:r>
      <w:r w:rsidRPr="002F38E2">
        <w:rPr>
          <w:rStyle w:val="libAieChar"/>
          <w:rtl/>
        </w:rPr>
        <w:t xml:space="preserve"> التّائِبُونَ الْعابِدُونَ الْحامِدُونَ السّائِحُونَ </w:t>
      </w:r>
      <w:r w:rsidRPr="00D10E3C">
        <w:rPr>
          <w:rStyle w:val="libFootnotenumChar"/>
          <w:rtl/>
        </w:rPr>
        <w:t>(4)</w:t>
      </w:r>
      <w:r w:rsidRPr="002F38E2">
        <w:rPr>
          <w:rStyle w:val="libAieChar"/>
          <w:rtl/>
        </w:rPr>
        <w:t xml:space="preserve"> الرّاكِعُونَ السّاجِدُونَ الْآمِرُونَ بِالْمَعْرُوفِ وَالنّاهُونَ عَنِ الْمُنْكَرِ وَالْحافِظُونَ لِحُدُودِ اللهِ وَبَشِّرِ الْمُؤْمِنِينَ </w:t>
      </w:r>
      <w:r w:rsidRPr="002F38E2">
        <w:rPr>
          <w:rStyle w:val="libAlaemChar"/>
          <w:rtl/>
        </w:rPr>
        <w:t>)</w:t>
      </w:r>
      <w:r>
        <w:rPr>
          <w:rtl/>
          <w:lang w:bidi="fa-IR"/>
        </w:rPr>
        <w:t xml:space="preserve"> </w:t>
      </w:r>
      <w:r w:rsidRPr="00D10E3C">
        <w:rPr>
          <w:rStyle w:val="libFootnotenumChar"/>
          <w:rtl/>
        </w:rPr>
        <w:t>(5)</w:t>
      </w:r>
      <w:r>
        <w:rPr>
          <w:rtl/>
          <w:lang w:bidi="fa-IR"/>
        </w:rPr>
        <w:t xml:space="preserve"> فَقَالَ عَلِيُّ بْنُ الْحُسَيْنِ </w:t>
      </w:r>
      <w:r w:rsidR="002F38E2" w:rsidRPr="002F38E2">
        <w:rPr>
          <w:rStyle w:val="libAlaemChar"/>
          <w:rFonts w:eastAsiaTheme="minorHAnsi"/>
          <w:rtl/>
        </w:rPr>
        <w:t>عليهما‌السلام</w:t>
      </w:r>
      <w:r>
        <w:rPr>
          <w:rtl/>
          <w:lang w:bidi="fa-IR"/>
        </w:rPr>
        <w:t xml:space="preserve">: إِذَا رَأَيْنَا هؤُلَاءِ الَّذِينَ هذِهِ صِفَتُهُمْ ، فَالْجِهَادُ مَعَهُمْ أَفْضَلُ مِنَ الْحَجِّ ». </w:t>
      </w:r>
      <w:r w:rsidRPr="00D10E3C">
        <w:rPr>
          <w:rStyle w:val="libFootnotenumChar"/>
          <w:rtl/>
        </w:rPr>
        <w:t>(6)</w:t>
      </w:r>
    </w:p>
    <w:p w:rsidR="00942D6F" w:rsidRDefault="00744A1C" w:rsidP="00942D6F">
      <w:pPr>
        <w:pStyle w:val="libNormal"/>
        <w:rPr>
          <w:rtl/>
          <w:lang w:bidi="fa-IR"/>
        </w:rPr>
      </w:pPr>
      <w:r>
        <w:rPr>
          <w:rtl/>
          <w:lang w:bidi="fa-IR"/>
        </w:rPr>
        <w:t>8225 / 2. عِدَّةٌ مِنْ أَصْحَابِنَا ، عَنْ سَهْلِ بْنِ زِيَادٍ ، عَنْ أَحْمَدَ بْنِ مُحَمَّدِ بْنِ أَبِي نَصْرٍ ، عَنْ مُحَمَّدِ بْنِ عَبْدِ اللهِ ؛</w:t>
      </w:r>
    </w:p>
    <w:p w:rsidR="00744A1C" w:rsidRDefault="00942D6F" w:rsidP="00942D6F">
      <w:pPr>
        <w:pStyle w:val="libNormal"/>
        <w:rPr>
          <w:lang w:bidi="fa-IR"/>
        </w:rPr>
      </w:pPr>
      <w:r>
        <w:rPr>
          <w:rFonts w:hint="cs"/>
          <w:rtl/>
          <w:lang w:bidi="fa-IR"/>
        </w:rPr>
        <w:t xml:space="preserve">                </w:t>
      </w:r>
      <w:r w:rsidR="00744A1C">
        <w:rPr>
          <w:rtl/>
          <w:lang w:bidi="fa-IR"/>
        </w:rPr>
        <w:t xml:space="preserve">وَ </w:t>
      </w:r>
      <w:r w:rsidR="00744A1C" w:rsidRPr="00D10E3C">
        <w:rPr>
          <w:rStyle w:val="libFootnotenumChar"/>
          <w:rtl/>
        </w:rPr>
        <w:t>(7)</w:t>
      </w:r>
      <w:r w:rsidR="00744A1C">
        <w:rPr>
          <w:rtl/>
          <w:lang w:bidi="fa-IR"/>
        </w:rPr>
        <w:t xml:space="preserve"> مُحَمَّدُ بْنُ يَحْيى ، عَنْ أَحْمَدَ بْنِ مُحَمَّدٍ ، عَنِ الْعَبَّاسِ بْنِ مَعْرُوفٍ ، عَنْ‌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942D6F" w:rsidTr="00942D6F">
        <w:tc>
          <w:tcPr>
            <w:tcW w:w="4006" w:type="dxa"/>
          </w:tcPr>
          <w:p w:rsidR="00942D6F" w:rsidRDefault="00942D6F" w:rsidP="00D10E3C">
            <w:pPr>
              <w:pStyle w:val="libFootnote0"/>
              <w:rPr>
                <w:rtl/>
                <w:lang w:bidi="fa-IR"/>
              </w:rPr>
            </w:pPr>
            <w:r>
              <w:rPr>
                <w:rtl/>
                <w:lang w:bidi="fa-IR"/>
              </w:rPr>
              <w:t xml:space="preserve">(1). في </w:t>
            </w:r>
            <w:r w:rsidRPr="00942D6F">
              <w:rPr>
                <w:rtl/>
              </w:rPr>
              <w:t>تفسير القمّي :</w:t>
            </w:r>
            <w:r>
              <w:rPr>
                <w:rtl/>
                <w:lang w:bidi="fa-IR"/>
              </w:rPr>
              <w:t xml:space="preserve"> « الحجّ ».</w:t>
            </w:r>
          </w:p>
        </w:tc>
        <w:tc>
          <w:tcPr>
            <w:tcW w:w="4006" w:type="dxa"/>
          </w:tcPr>
          <w:p w:rsidR="00942D6F" w:rsidRDefault="00942D6F" w:rsidP="00D10E3C">
            <w:pPr>
              <w:pStyle w:val="libFootnote0"/>
              <w:rPr>
                <w:rtl/>
                <w:lang w:bidi="fa-IR"/>
              </w:rPr>
            </w:pPr>
            <w:r>
              <w:rPr>
                <w:rtl/>
                <w:lang w:bidi="fa-IR"/>
              </w:rPr>
              <w:t>(2). التوبة (9) : 111.</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942D6F">
        <w:rPr>
          <w:rtl/>
        </w:rPr>
        <w:t>تفسير القمّي :</w:t>
      </w:r>
      <w:r w:rsidR="00744A1C">
        <w:rPr>
          <w:rtl/>
          <w:lang w:bidi="fa-IR"/>
        </w:rPr>
        <w:t xml:space="preserve"> « إنّهم الأئمّة » بدل « أتمّ الآية ».</w:t>
      </w:r>
    </w:p>
    <w:p w:rsidR="00744A1C" w:rsidRDefault="00E378DD" w:rsidP="00601C6C">
      <w:pPr>
        <w:pStyle w:val="libFootnote0"/>
        <w:rPr>
          <w:lang w:bidi="fa-IR"/>
        </w:rPr>
      </w:pPr>
      <w:r>
        <w:rPr>
          <w:rtl/>
          <w:lang w:bidi="fa-IR"/>
        </w:rPr>
        <w:t>(4).</w:t>
      </w:r>
      <w:r w:rsidR="00744A1C">
        <w:rPr>
          <w:rtl/>
          <w:lang w:bidi="fa-IR"/>
        </w:rPr>
        <w:t xml:space="preserve"> يقال : ساح في الأرض يسيح سياحة ، إذا ذهب فيها ، وأصله من السيح ، وهو الماء الجاري المنبسط على وجه‌الأرض ، وفي الحديث : سياحة هذه الا</w:t>
      </w:r>
      <w:r w:rsidR="00601C6C">
        <w:rPr>
          <w:rFonts w:hint="cs"/>
          <w:rtl/>
          <w:lang w:bidi="fa-IR"/>
        </w:rPr>
        <w:t>ُ</w:t>
      </w:r>
      <w:r w:rsidR="00744A1C">
        <w:rPr>
          <w:rtl/>
          <w:lang w:bidi="fa-IR"/>
        </w:rPr>
        <w:t xml:space="preserve">مّة الصيام ، قيل للصائم : سائح ؛ لأنّ الذي يسيح في الأرض متعبّد يسيح ولا زاد له ولا ماء ، فحين يجد يطعم ، والصائم يمضي نهاره لا يأكل ولا يشرب شيئاً ، فشبّه به. </w:t>
      </w:r>
      <w:r w:rsidR="00744A1C" w:rsidRPr="00877682">
        <w:rPr>
          <w:rStyle w:val="libFootnoteBoldChar"/>
          <w:rtl/>
        </w:rPr>
        <w:t>النهاية</w:t>
      </w:r>
      <w:r w:rsidR="00744A1C">
        <w:rPr>
          <w:rtl/>
          <w:lang w:bidi="fa-IR"/>
        </w:rPr>
        <w:t xml:space="preserve"> ، ج 2 ، ص 432 ( سيح ).</w:t>
      </w:r>
      <w:r w:rsidR="00601C6C">
        <w:rPr>
          <w:rFonts w:hint="cs"/>
          <w:rtl/>
          <w:lang w:bidi="fa-IR"/>
        </w:rPr>
        <w:t xml:space="preserve">                                                </w:t>
      </w:r>
      <w:r>
        <w:rPr>
          <w:rtl/>
          <w:lang w:bidi="fa-IR"/>
        </w:rPr>
        <w:t>(5).</w:t>
      </w:r>
      <w:r w:rsidR="00744A1C">
        <w:rPr>
          <w:rtl/>
          <w:lang w:bidi="fa-IR"/>
        </w:rPr>
        <w:t xml:space="preserve"> التوبة </w:t>
      </w:r>
      <w:r w:rsidR="00601C6C">
        <w:rPr>
          <w:rtl/>
          <w:lang w:bidi="fa-IR"/>
        </w:rPr>
        <w:t>(9)</w:t>
      </w:r>
      <w:r w:rsidR="00744A1C">
        <w:rPr>
          <w:rtl/>
          <w:lang w:bidi="fa-IR"/>
        </w:rPr>
        <w:t xml:space="preserve"> : 112.</w:t>
      </w:r>
    </w:p>
    <w:p w:rsidR="00744A1C" w:rsidRDefault="00E378DD" w:rsidP="00E378DD">
      <w:pPr>
        <w:pStyle w:val="libFootnote0"/>
        <w:rPr>
          <w:lang w:bidi="fa-IR"/>
        </w:rPr>
      </w:pPr>
      <w:r>
        <w:rPr>
          <w:rtl/>
          <w:lang w:bidi="fa-IR"/>
        </w:rPr>
        <w:t>(6).</w:t>
      </w:r>
      <w:r w:rsidR="00744A1C">
        <w:rPr>
          <w:rtl/>
          <w:lang w:bidi="fa-IR"/>
        </w:rPr>
        <w:t xml:space="preserve"> </w:t>
      </w:r>
      <w:r w:rsidR="00744A1C" w:rsidRPr="00610FB4">
        <w:rPr>
          <w:rStyle w:val="libFootnoteBoldChar"/>
          <w:rtl/>
        </w:rPr>
        <w:t>تفسير القمّي</w:t>
      </w:r>
      <w:r w:rsidR="00744A1C">
        <w:rPr>
          <w:rtl/>
          <w:lang w:bidi="fa-IR"/>
        </w:rPr>
        <w:t xml:space="preserve"> ، ج 1 ، ص 306 ، وفيه هكذا : « حدّثني أبي ، عن بعض رجاله ، قال : لقي الزهري عليّ بن الحسين في طريق الحجّ ... ». </w:t>
      </w:r>
      <w:r w:rsidR="00744A1C" w:rsidRPr="00C24F9C">
        <w:rPr>
          <w:rStyle w:val="libFootnoteBoldChar"/>
          <w:rtl/>
        </w:rPr>
        <w:t>الفقيه</w:t>
      </w:r>
      <w:r w:rsidR="00744A1C">
        <w:rPr>
          <w:rtl/>
          <w:lang w:bidi="fa-IR"/>
        </w:rPr>
        <w:t xml:space="preserve"> ، ج 2 ، ص 219 ، ح 2220 ، مرسلاً ، وفيه هكذا : « وجاء رجل إلى عليّ بن الحسين </w:t>
      </w:r>
      <w:r w:rsidR="00F112A7" w:rsidRPr="00CE5A92">
        <w:rPr>
          <w:rStyle w:val="libFootnoteAlaemChar"/>
          <w:rtl/>
        </w:rPr>
        <w:t>عليهما‌السلام</w:t>
      </w:r>
      <w:r w:rsidR="00744A1C">
        <w:rPr>
          <w:rtl/>
          <w:lang w:bidi="fa-IR"/>
        </w:rPr>
        <w:t xml:space="preserve">، فقال ... » مع اختلاف يسير </w:t>
      </w:r>
      <w:r w:rsidR="00601C6C">
        <w:rPr>
          <w:rFonts w:hint="cs"/>
          <w:rtl/>
          <w:lang w:bidi="fa-IR"/>
        </w:rPr>
        <w:t>.</w:t>
      </w:r>
      <w:r w:rsidR="00744A1C" w:rsidRPr="00C24F9C">
        <w:rPr>
          <w:rStyle w:val="libFootnoteBoldChar"/>
          <w:rtl/>
        </w:rPr>
        <w:t>الوافي</w:t>
      </w:r>
      <w:r w:rsidR="00744A1C">
        <w:rPr>
          <w:rtl/>
          <w:lang w:bidi="fa-IR"/>
        </w:rPr>
        <w:t xml:space="preserve"> ، ج 15 ، ص 77 ، ح 14721 ؛ </w:t>
      </w:r>
      <w:r w:rsidR="00744A1C" w:rsidRPr="00C24F9C">
        <w:rPr>
          <w:rStyle w:val="libFootnoteBoldChar"/>
          <w:rtl/>
        </w:rPr>
        <w:t>الوسائل</w:t>
      </w:r>
      <w:r w:rsidR="00744A1C">
        <w:rPr>
          <w:rtl/>
          <w:lang w:bidi="fa-IR"/>
        </w:rPr>
        <w:t xml:space="preserve"> ، ج 15 ، ص 46 ، ح 19956.</w:t>
      </w:r>
    </w:p>
    <w:p w:rsidR="00144FA6" w:rsidRDefault="00E378DD" w:rsidP="00E378DD">
      <w:pPr>
        <w:pStyle w:val="libFootnote0"/>
        <w:rPr>
          <w:rtl/>
          <w:lang w:bidi="fa-IR"/>
        </w:rPr>
      </w:pPr>
      <w:r>
        <w:rPr>
          <w:rtl/>
          <w:lang w:bidi="fa-IR"/>
        </w:rPr>
        <w:t>(7).</w:t>
      </w:r>
      <w:r w:rsidR="00744A1C">
        <w:rPr>
          <w:rtl/>
          <w:lang w:bidi="fa-IR"/>
        </w:rPr>
        <w:t xml:space="preserve"> في السند تحويل بعطف « محمّد بن يحيى عن أحمد بن محمّد عن العبّاس بن معروف عن صفوان بن</w:t>
      </w:r>
      <w:r w:rsidR="00601C6C">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EE40F1">
      <w:pPr>
        <w:pStyle w:val="libNormal0"/>
        <w:rPr>
          <w:rtl/>
          <w:lang w:bidi="fa-IR"/>
        </w:rPr>
      </w:pPr>
      <w:r>
        <w:rPr>
          <w:rtl/>
          <w:lang w:bidi="fa-IR"/>
        </w:rPr>
        <w:t>صَفْوَانَ بْنِ يَحْيى ، عَنْ عَبْدِ اللهِ بْنِ الْمُغِيرَةِ ، قَالَ :</w:t>
      </w:r>
    </w:p>
    <w:p w:rsidR="00744A1C" w:rsidRDefault="00744A1C" w:rsidP="00744A1C">
      <w:pPr>
        <w:pStyle w:val="libNormal"/>
        <w:rPr>
          <w:lang w:bidi="fa-IR"/>
        </w:rPr>
      </w:pPr>
      <w:r>
        <w:rPr>
          <w:rtl/>
          <w:lang w:bidi="fa-IR"/>
        </w:rPr>
        <w:t xml:space="preserve">قَالَ مُحَمَّدُ بْنُ </w:t>
      </w:r>
      <w:r w:rsidRPr="00D10E3C">
        <w:rPr>
          <w:rStyle w:val="libFootnotenumChar"/>
          <w:rtl/>
        </w:rPr>
        <w:t>(1)</w:t>
      </w:r>
      <w:r>
        <w:rPr>
          <w:rtl/>
          <w:lang w:bidi="fa-IR"/>
        </w:rPr>
        <w:t xml:space="preserve"> عَبْدِ اللهِ لِلرِّضَا - صَلَوَاتُ اللهِ عَلَيْهِ - وَأَنَا أَسْمَعُ : حَدَّثَنِي أَبِي عَنْ أَهْلِ بَيْتِهِ ، عَنْ آبَائِهِ </w:t>
      </w:r>
      <w:r w:rsidR="008859AA" w:rsidRPr="008859AA">
        <w:rPr>
          <w:rStyle w:val="libAlaemChar"/>
          <w:rtl/>
        </w:rPr>
        <w:t>عليهما‌السلام</w:t>
      </w:r>
      <w:r>
        <w:rPr>
          <w:rtl/>
          <w:lang w:bidi="fa-IR"/>
        </w:rPr>
        <w:t xml:space="preserve">أَنَّهُ قَالَ لِبَعْضِهِمْ </w:t>
      </w:r>
      <w:r w:rsidRPr="00D10E3C">
        <w:rPr>
          <w:rStyle w:val="libFootnotenumChar"/>
          <w:rtl/>
        </w:rPr>
        <w:t>(2)</w:t>
      </w:r>
      <w:r>
        <w:rPr>
          <w:rtl/>
          <w:lang w:bidi="fa-IR"/>
        </w:rPr>
        <w:t xml:space="preserve"> : إِنَّ فِي بِلَادِنَا مَوْضِعَ رِبَاطٍ </w:t>
      </w:r>
      <w:r w:rsidRPr="00D10E3C">
        <w:rPr>
          <w:rStyle w:val="libFootnotenumChar"/>
          <w:rtl/>
        </w:rPr>
        <w:t>(3)</w:t>
      </w:r>
      <w:r>
        <w:rPr>
          <w:rtl/>
          <w:lang w:bidi="fa-IR"/>
        </w:rPr>
        <w:t xml:space="preserve"> يُقَالُ لَهُ : قَزْوِينُ ، وَعَدُوّاً </w:t>
      </w:r>
      <w:r w:rsidRPr="00D10E3C">
        <w:rPr>
          <w:rStyle w:val="libFootnotenumChar"/>
          <w:rtl/>
        </w:rPr>
        <w:t>(4)</w:t>
      </w:r>
      <w:r>
        <w:rPr>
          <w:rtl/>
          <w:lang w:bidi="fa-IR"/>
        </w:rPr>
        <w:t xml:space="preserve"> يُقَالُ لَهُ : الدَّيْلَمُ ، فَهَلْ مِنْ جِهَادٍ؟ أَوْ هَلْ مِنْ رِبَاطٍ؟</w:t>
      </w:r>
    </w:p>
    <w:p w:rsidR="00744A1C" w:rsidRDefault="00744A1C" w:rsidP="00744A1C">
      <w:pPr>
        <w:pStyle w:val="libNormal"/>
        <w:rPr>
          <w:lang w:bidi="fa-IR"/>
        </w:rPr>
      </w:pPr>
      <w:r>
        <w:rPr>
          <w:rtl/>
          <w:lang w:bidi="fa-IR"/>
        </w:rPr>
        <w:t xml:space="preserve">فَقَالَ : « عَلَيْكُمْ بِهذَا الْبَيْتِ ، فَحُجُّوهُ ». فَأَعَادَ عَلَيْهِ الْحَدِيثَ ، فَقَالَ : « عَلَيْكُمْ بِهذَا الْبَيْتِ ، فَحُجُّوهُ </w:t>
      </w:r>
      <w:r w:rsidRPr="00D10E3C">
        <w:rPr>
          <w:rStyle w:val="libFootnotenumChar"/>
          <w:rtl/>
        </w:rPr>
        <w:t>(5)</w:t>
      </w:r>
      <w:r>
        <w:rPr>
          <w:rtl/>
          <w:lang w:bidi="fa-IR"/>
        </w:rPr>
        <w:t xml:space="preserve"> ؛ أَمَا يَرْضى أَحَدُكُمْ أَنْ يَكُونَ فِي بَيْتِهِ يُنْفِقُ عَلى عِيَالِهِ مِنْ طَوْلِهِ </w:t>
      </w:r>
      <w:r w:rsidRPr="00D10E3C">
        <w:rPr>
          <w:rStyle w:val="libFootnotenumChar"/>
          <w:rtl/>
        </w:rPr>
        <w:t>(6)</w:t>
      </w:r>
      <w:r>
        <w:rPr>
          <w:rtl/>
          <w:lang w:bidi="fa-IR"/>
        </w:rPr>
        <w:t xml:space="preserve"> يَنْتَظِرُ أَمْرَنَا ، فَإِنْ أَدْرَكَهُ كَانَ كَمَنْ شَهِدَ مَعَ رَسُولِ اللهِ </w:t>
      </w:r>
      <w:r w:rsidR="00CB3856" w:rsidRPr="00CB3856">
        <w:rPr>
          <w:rStyle w:val="libAlaemChar"/>
          <w:rtl/>
        </w:rPr>
        <w:t>صلى‌الله‌عليه‌وآله</w:t>
      </w:r>
      <w:r w:rsidR="00D10E3C">
        <w:rPr>
          <w:rtl/>
          <w:lang w:bidi="fa-IR"/>
        </w:rPr>
        <w:t xml:space="preserve"> </w:t>
      </w:r>
      <w:r>
        <w:rPr>
          <w:rtl/>
          <w:lang w:bidi="fa-IR"/>
        </w:rPr>
        <w:t xml:space="preserve">بَدْراً ، وَإِنْ </w:t>
      </w:r>
      <w:r w:rsidRPr="00D10E3C">
        <w:rPr>
          <w:rStyle w:val="libFootnotenumChar"/>
          <w:rtl/>
        </w:rPr>
        <w:t>(7)</w:t>
      </w:r>
      <w:r>
        <w:rPr>
          <w:rtl/>
          <w:lang w:bidi="fa-IR"/>
        </w:rPr>
        <w:t xml:space="preserve"> مَاتَ‌ مُنْتَظِراً لِأَمْرِنَا </w:t>
      </w:r>
      <w:r w:rsidRPr="00D10E3C">
        <w:rPr>
          <w:rStyle w:val="libFootnotenumChar"/>
          <w:rtl/>
        </w:rPr>
        <w:t>(8)</w:t>
      </w:r>
      <w:r>
        <w:rPr>
          <w:rtl/>
          <w:lang w:bidi="fa-IR"/>
        </w:rPr>
        <w:t xml:space="preserve"> كَانَ كَمَنْ كَانَ مَعَ قَائِمِنَا </w:t>
      </w:r>
      <w:r w:rsidR="0061079A" w:rsidRPr="0061079A">
        <w:rPr>
          <w:rStyle w:val="libAlaemChar"/>
          <w:rtl/>
        </w:rPr>
        <w:t>عليه‌السلام</w:t>
      </w:r>
      <w:r w:rsidR="00D10E3C">
        <w:rPr>
          <w:rtl/>
          <w:lang w:bidi="fa-IR"/>
        </w:rPr>
        <w:t xml:space="preserve"> </w:t>
      </w:r>
      <w:r>
        <w:rPr>
          <w:rtl/>
          <w:lang w:bidi="fa-IR"/>
        </w:rPr>
        <w:t xml:space="preserve">هكَذَا فِي فُسْطَاطِهِ </w:t>
      </w:r>
      <w:r w:rsidRPr="00D10E3C">
        <w:rPr>
          <w:rStyle w:val="libFootnotenumChar"/>
          <w:rtl/>
        </w:rPr>
        <w:t>(9)</w:t>
      </w:r>
      <w:r>
        <w:rPr>
          <w:rtl/>
          <w:lang w:bidi="fa-IR"/>
        </w:rPr>
        <w:t xml:space="preserve"> - وَجَمَعَ بَيْنَ‌</w:t>
      </w:r>
    </w:p>
    <w:p w:rsidR="00744A1C" w:rsidRDefault="00744A1C" w:rsidP="00D10E3C">
      <w:pPr>
        <w:pStyle w:val="libLine"/>
        <w:rPr>
          <w:lang w:bidi="fa-IR"/>
        </w:rPr>
      </w:pPr>
      <w:r>
        <w:rPr>
          <w:rtl/>
          <w:lang w:bidi="fa-IR"/>
        </w:rPr>
        <w:t>____________________</w:t>
      </w:r>
    </w:p>
    <w:p w:rsidR="00744A1C" w:rsidRDefault="00F8153C" w:rsidP="00D10E3C">
      <w:pPr>
        <w:pStyle w:val="libFootnote0"/>
        <w:rPr>
          <w:lang w:bidi="fa-IR"/>
        </w:rPr>
      </w:pPr>
      <w:r>
        <w:rPr>
          <w:rFonts w:hint="cs"/>
          <w:rtl/>
          <w:lang w:bidi="fa-IR"/>
        </w:rPr>
        <w:t xml:space="preserve">= </w:t>
      </w:r>
      <w:r w:rsidR="00744A1C">
        <w:rPr>
          <w:rtl/>
          <w:lang w:bidi="fa-IR"/>
        </w:rPr>
        <w:t>يحيى عن عبد الله بن المغيرة » على « عدّة من أصحابنا عن سهل بن زياد عن أحمد بن محمّد بن أبي نصر عن محمّد بن عبد الله ».</w:t>
      </w:r>
    </w:p>
    <w:p w:rsidR="00744A1C" w:rsidRDefault="00744A1C" w:rsidP="00D10E3C">
      <w:pPr>
        <w:pStyle w:val="libFootnote0"/>
        <w:rPr>
          <w:lang w:bidi="fa-IR"/>
        </w:rPr>
      </w:pPr>
      <w:r>
        <w:rPr>
          <w:rtl/>
          <w:lang w:bidi="fa-IR"/>
        </w:rPr>
        <w:t xml:space="preserve">وقد تقدّم الخبر - باختلاف يسير - في </w:t>
      </w:r>
      <w:r w:rsidRPr="0061079A">
        <w:rPr>
          <w:rStyle w:val="libFootnoteBoldChar"/>
          <w:rtl/>
        </w:rPr>
        <w:t>الكافي</w:t>
      </w:r>
      <w:r>
        <w:rPr>
          <w:rtl/>
          <w:lang w:bidi="fa-IR"/>
        </w:rPr>
        <w:t xml:space="preserve"> ، ح 6896 عن عدّة من أصحابنا ، عن سهل بن زياد وأحمد بن محمّد جميعاً ، عن أحمد بن محمّد بن أبي نصر ، عن محمّد بن عبد الله ، قال : قلت للرضا </w:t>
      </w:r>
      <w:r w:rsidR="0061079A" w:rsidRPr="0061079A">
        <w:rPr>
          <w:rStyle w:val="libFootnoteAlaemChar"/>
          <w:rtl/>
        </w:rPr>
        <w:t>عليه‌السلام</w:t>
      </w:r>
      <w:r w:rsidR="00D10E3C">
        <w:rPr>
          <w:rtl/>
          <w:lang w:bidi="fa-IR"/>
        </w:rPr>
        <w:t xml:space="preserve"> </w:t>
      </w:r>
      <w:r>
        <w:rPr>
          <w:rtl/>
          <w:lang w:bidi="fa-IR"/>
        </w:rPr>
        <w:t>....</w:t>
      </w:r>
    </w:p>
    <w:p w:rsidR="00744A1C" w:rsidRDefault="00744A1C" w:rsidP="00D10E3C">
      <w:pPr>
        <w:pStyle w:val="libFootnote0"/>
        <w:rPr>
          <w:lang w:bidi="fa-IR"/>
        </w:rPr>
      </w:pPr>
      <w:r>
        <w:rPr>
          <w:rtl/>
          <w:lang w:bidi="fa-IR"/>
        </w:rPr>
        <w:t>والظاهر أنّ ألفاظ الخبر في ما نحن فيه لعبد الله بن المغيرة.</w:t>
      </w:r>
    </w:p>
    <w:p w:rsidR="00744A1C" w:rsidRDefault="00D10E3C" w:rsidP="00D10E3C">
      <w:pPr>
        <w:pStyle w:val="libFootnote0"/>
        <w:rPr>
          <w:lang w:bidi="fa-IR"/>
        </w:rPr>
      </w:pPr>
      <w:r>
        <w:rPr>
          <w:rtl/>
          <w:lang w:bidi="fa-IR"/>
        </w:rPr>
        <w:t>(1).</w:t>
      </w:r>
      <w:r w:rsidR="00744A1C">
        <w:rPr>
          <w:rtl/>
          <w:lang w:bidi="fa-IR"/>
        </w:rPr>
        <w:t xml:space="preserve"> في « بف » : + « أبي ».</w:t>
      </w:r>
    </w:p>
    <w:p w:rsidR="00744A1C" w:rsidRDefault="00E378DD" w:rsidP="00E378DD">
      <w:pPr>
        <w:pStyle w:val="libFootnote0"/>
        <w:rPr>
          <w:lang w:bidi="fa-IR"/>
        </w:rPr>
      </w:pPr>
      <w:r>
        <w:rPr>
          <w:rtl/>
          <w:lang w:bidi="fa-IR"/>
        </w:rPr>
        <w:t>(2).</w:t>
      </w:r>
      <w:r w:rsidR="00744A1C">
        <w:rPr>
          <w:rtl/>
          <w:lang w:bidi="fa-IR"/>
        </w:rPr>
        <w:t xml:space="preserve"> </w:t>
      </w:r>
      <w:r w:rsidR="00744A1C" w:rsidRPr="00F8153C">
        <w:rPr>
          <w:rtl/>
        </w:rPr>
        <w:t>في الكافي ،</w:t>
      </w:r>
      <w:r w:rsidR="00744A1C">
        <w:rPr>
          <w:rtl/>
          <w:lang w:bidi="fa-IR"/>
        </w:rPr>
        <w:t xml:space="preserve"> ح 6896 : « قال : قلت للرضا </w:t>
      </w:r>
      <w:r w:rsidR="0061079A" w:rsidRPr="0061079A">
        <w:rPr>
          <w:rStyle w:val="libFootnoteAlaemChar"/>
          <w:rtl/>
        </w:rPr>
        <w:t>عليه‌السلام</w:t>
      </w:r>
      <w:r w:rsidR="00D10E3C">
        <w:rPr>
          <w:rtl/>
          <w:lang w:bidi="fa-IR"/>
        </w:rPr>
        <w:t xml:space="preserve"> </w:t>
      </w:r>
      <w:r w:rsidR="00744A1C">
        <w:rPr>
          <w:rtl/>
          <w:lang w:bidi="fa-IR"/>
        </w:rPr>
        <w:t xml:space="preserve">: جعلت فداك ، إنّ أبي حدّثني عن آبائك </w:t>
      </w:r>
      <w:r w:rsidR="00877682" w:rsidRPr="00877682">
        <w:rPr>
          <w:rStyle w:val="libFootnoteAlaemChar"/>
          <w:rtl/>
        </w:rPr>
        <w:t>عليهم‌السلام</w:t>
      </w:r>
      <w:r w:rsidR="00D10E3C">
        <w:rPr>
          <w:rtl/>
          <w:lang w:bidi="fa-IR"/>
        </w:rPr>
        <w:t xml:space="preserve"> </w:t>
      </w:r>
      <w:r w:rsidR="00744A1C">
        <w:rPr>
          <w:rtl/>
          <w:lang w:bidi="fa-IR"/>
        </w:rPr>
        <w:t>أنّه قيل لبعضهم » بدل « قال : قال محمّد بن عبد الله - إلى - قال</w:t>
      </w:r>
    </w:p>
    <w:p w:rsidR="00744A1C" w:rsidRDefault="00744A1C" w:rsidP="00D10E3C">
      <w:pPr>
        <w:pStyle w:val="libFootnote0"/>
        <w:rPr>
          <w:lang w:bidi="fa-IR"/>
        </w:rPr>
      </w:pPr>
      <w:r>
        <w:rPr>
          <w:rtl/>
          <w:lang w:bidi="fa-IR"/>
        </w:rPr>
        <w:t xml:space="preserve">لبعضهم ». وفي </w:t>
      </w:r>
      <w:r w:rsidRPr="00C24F9C">
        <w:rPr>
          <w:rStyle w:val="libFootnoteBoldChar"/>
          <w:rtl/>
        </w:rPr>
        <w:t>الوسائل</w:t>
      </w:r>
      <w:r>
        <w:rPr>
          <w:rtl/>
          <w:lang w:bidi="fa-IR"/>
        </w:rPr>
        <w:t xml:space="preserve"> : « له بعضهم » بدل « لبعضهم ».</w:t>
      </w:r>
    </w:p>
    <w:p w:rsidR="00744A1C" w:rsidRDefault="00E378DD" w:rsidP="00F8153C">
      <w:pPr>
        <w:pStyle w:val="libFootnote0"/>
        <w:rPr>
          <w:lang w:bidi="fa-IR"/>
        </w:rPr>
      </w:pPr>
      <w:r>
        <w:rPr>
          <w:rtl/>
          <w:lang w:bidi="fa-IR"/>
        </w:rPr>
        <w:t>(3).</w:t>
      </w:r>
      <w:r w:rsidR="00744A1C">
        <w:rPr>
          <w:rtl/>
          <w:lang w:bidi="fa-IR"/>
        </w:rPr>
        <w:t xml:space="preserve"> الرباط في الأصل : الإقامة على جهاد العدوّ وارتباط الخيل وإعدادها. قال القتيبي : أصل المرابطة أن يربط الفريقان خيولهم في ثغر ، كلّ منهما مُعدّ لصاحبه ، فسمّى المقام في الثغور رباطاً. </w:t>
      </w:r>
      <w:r w:rsidR="00744A1C" w:rsidRPr="00877682">
        <w:rPr>
          <w:rStyle w:val="libFootnoteBoldChar"/>
          <w:rtl/>
        </w:rPr>
        <w:t>النهاية</w:t>
      </w:r>
      <w:r w:rsidR="00744A1C">
        <w:rPr>
          <w:rtl/>
          <w:lang w:bidi="fa-IR"/>
        </w:rPr>
        <w:t xml:space="preserve"> ، ج 2 ، ص 185 ( ربط ).</w:t>
      </w:r>
      <w:r>
        <w:rPr>
          <w:rtl/>
          <w:lang w:bidi="fa-IR"/>
        </w:rPr>
        <w:t>(4).</w:t>
      </w:r>
      <w:r w:rsidR="00744A1C">
        <w:rPr>
          <w:rtl/>
          <w:lang w:bidi="fa-IR"/>
        </w:rPr>
        <w:t xml:space="preserve"> في « بث ، جت » : « وعدوٍّ ».</w:t>
      </w:r>
    </w:p>
    <w:p w:rsidR="00744A1C" w:rsidRDefault="00E378DD" w:rsidP="00E378DD">
      <w:pPr>
        <w:pStyle w:val="libFootnote0"/>
        <w:rPr>
          <w:lang w:bidi="fa-IR"/>
        </w:rPr>
      </w:pPr>
      <w:r>
        <w:rPr>
          <w:rtl/>
          <w:lang w:bidi="fa-IR"/>
        </w:rPr>
        <w:t>(5).</w:t>
      </w:r>
      <w:r w:rsidR="00744A1C">
        <w:rPr>
          <w:rtl/>
          <w:lang w:bidi="fa-IR"/>
        </w:rPr>
        <w:t xml:space="preserve"> في « بف » : - « فأعاد عليه - إلى - فحجّوه ». وفي </w:t>
      </w:r>
      <w:r w:rsidR="00744A1C" w:rsidRPr="0061079A">
        <w:rPr>
          <w:rStyle w:val="libFootnoteBoldChar"/>
          <w:rtl/>
        </w:rPr>
        <w:t>الكافي</w:t>
      </w:r>
      <w:r w:rsidR="00744A1C">
        <w:rPr>
          <w:rtl/>
          <w:lang w:bidi="fa-IR"/>
        </w:rPr>
        <w:t xml:space="preserve"> ، ح 6896 : « ثلاث مرّات ، كلّ ذلك يقول : عليكم بهذا البيت فحجّوه ثمّ قال في الثالثة » بدل « فقال : عليكم بهذا البيت فحجّوه ».</w:t>
      </w:r>
    </w:p>
    <w:tbl>
      <w:tblPr>
        <w:tblStyle w:val="TableGrid"/>
        <w:bidiVisual/>
        <w:tblW w:w="0" w:type="auto"/>
        <w:tblLook w:val="04A0" w:firstRow="1" w:lastRow="0" w:firstColumn="1" w:lastColumn="0" w:noHBand="0" w:noVBand="1"/>
      </w:tblPr>
      <w:tblGrid>
        <w:gridCol w:w="4006"/>
        <w:gridCol w:w="4006"/>
      </w:tblGrid>
      <w:tr w:rsidR="00F8153C" w:rsidTr="00F8153C">
        <w:tc>
          <w:tcPr>
            <w:tcW w:w="4006" w:type="dxa"/>
          </w:tcPr>
          <w:p w:rsidR="00F8153C" w:rsidRDefault="00F8153C" w:rsidP="00E378DD">
            <w:pPr>
              <w:pStyle w:val="libFootnote0"/>
              <w:rPr>
                <w:rtl/>
                <w:lang w:bidi="fa-IR"/>
              </w:rPr>
            </w:pPr>
            <w:r>
              <w:rPr>
                <w:rtl/>
                <w:lang w:bidi="fa-IR"/>
              </w:rPr>
              <w:t xml:space="preserve">(6). في </w:t>
            </w:r>
            <w:r w:rsidRPr="00F8153C">
              <w:rPr>
                <w:rtl/>
              </w:rPr>
              <w:t>الكافي ، ح</w:t>
            </w:r>
            <w:r>
              <w:rPr>
                <w:rtl/>
                <w:lang w:bidi="fa-IR"/>
              </w:rPr>
              <w:t xml:space="preserve"> 6896 : - « من طوله ».</w:t>
            </w:r>
          </w:p>
        </w:tc>
        <w:tc>
          <w:tcPr>
            <w:tcW w:w="4006" w:type="dxa"/>
          </w:tcPr>
          <w:p w:rsidR="00F8153C" w:rsidRDefault="00F8153C" w:rsidP="00E378DD">
            <w:pPr>
              <w:pStyle w:val="libFootnote0"/>
              <w:rPr>
                <w:rtl/>
                <w:lang w:bidi="fa-IR"/>
              </w:rPr>
            </w:pPr>
            <w:r>
              <w:rPr>
                <w:rtl/>
                <w:lang w:bidi="fa-IR"/>
              </w:rPr>
              <w:t xml:space="preserve">(7). في </w:t>
            </w:r>
            <w:r w:rsidRPr="00F8153C">
              <w:rPr>
                <w:rtl/>
              </w:rPr>
              <w:t xml:space="preserve">الوسائل </w:t>
            </w:r>
            <w:r>
              <w:rPr>
                <w:rtl/>
                <w:lang w:bidi="fa-IR"/>
              </w:rPr>
              <w:t>: « فإن ».</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F8153C">
        <w:rPr>
          <w:rtl/>
        </w:rPr>
        <w:t>الكافي ، ح</w:t>
      </w:r>
      <w:r w:rsidR="00744A1C">
        <w:rPr>
          <w:rtl/>
          <w:lang w:bidi="fa-IR"/>
        </w:rPr>
        <w:t xml:space="preserve"> 6896 : « وإن لم يدركه » بدل « وإن مات منتظراً لأمرنا ». وفي </w:t>
      </w:r>
      <w:r w:rsidR="00744A1C" w:rsidRPr="00C24F9C">
        <w:rPr>
          <w:rStyle w:val="libFootnoteBoldChar"/>
          <w:rtl/>
        </w:rPr>
        <w:t>الوسائل</w:t>
      </w:r>
      <w:r w:rsidR="00744A1C">
        <w:rPr>
          <w:rtl/>
          <w:lang w:bidi="fa-IR"/>
        </w:rPr>
        <w:t xml:space="preserve"> : « ينتظر أمرنا » بدل « منتظراً لأمرنا ».</w:t>
      </w:r>
    </w:p>
    <w:p w:rsidR="00144FA6" w:rsidRDefault="00E378DD" w:rsidP="00E378DD">
      <w:pPr>
        <w:pStyle w:val="libFootnote0"/>
        <w:rPr>
          <w:rtl/>
          <w:lang w:bidi="fa-IR"/>
        </w:rPr>
      </w:pPr>
      <w:r>
        <w:rPr>
          <w:rtl/>
          <w:lang w:bidi="fa-IR"/>
        </w:rPr>
        <w:t>(9).</w:t>
      </w:r>
      <w:r w:rsidR="00744A1C">
        <w:rPr>
          <w:rtl/>
          <w:lang w:bidi="fa-IR"/>
        </w:rPr>
        <w:t xml:space="preserve"> في </w:t>
      </w:r>
      <w:r w:rsidR="00744A1C" w:rsidRPr="00F8153C">
        <w:rPr>
          <w:rtl/>
        </w:rPr>
        <w:t>الكافي ،</w:t>
      </w:r>
      <w:r w:rsidR="00744A1C">
        <w:rPr>
          <w:rtl/>
          <w:lang w:bidi="fa-IR"/>
        </w:rPr>
        <w:t xml:space="preserve"> ح 6896 : « في فسطاطه هكذا وهكذا » بدل « هكذا في فسطاطه ». والفُسطاط : بيت من شَعَر ، وفيه</w:t>
      </w:r>
      <w:r w:rsidR="00F8153C">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EE40F1">
      <w:pPr>
        <w:pStyle w:val="libNormal"/>
        <w:rPr>
          <w:rtl/>
          <w:lang w:bidi="fa-IR"/>
        </w:rPr>
      </w:pPr>
      <w:r>
        <w:rPr>
          <w:rtl/>
          <w:lang w:bidi="fa-IR"/>
        </w:rPr>
        <w:t xml:space="preserve">السَّبَّابَتَيْنِ </w:t>
      </w:r>
      <w:r w:rsidRPr="00D10E3C">
        <w:rPr>
          <w:rStyle w:val="libFootnotenumChar"/>
          <w:rtl/>
        </w:rPr>
        <w:t>(1)</w:t>
      </w:r>
      <w:r>
        <w:rPr>
          <w:rtl/>
          <w:lang w:bidi="fa-IR"/>
        </w:rPr>
        <w:t xml:space="preserve"> - وَلَا أَقُولُ هكَذَا - وَجَمَعَ بَيْنَ السَّبَّابَةِ وَالْوُسْطى - فَإِنَّ هذِهِ أَطْوَلُ مِنْ هذِهِ </w:t>
      </w:r>
      <w:r w:rsidRPr="00D10E3C">
        <w:rPr>
          <w:rStyle w:val="libFootnotenumChar"/>
          <w:rtl/>
        </w:rPr>
        <w:t>(2)</w:t>
      </w:r>
      <w:r>
        <w:rPr>
          <w:rtl/>
          <w:lang w:bidi="fa-IR"/>
        </w:rPr>
        <w:t xml:space="preserve"> » فَقَالَ أَبُو الْحَسَنِ </w:t>
      </w:r>
      <w:r w:rsidR="00EE40F1" w:rsidRPr="0061079A">
        <w:rPr>
          <w:rStyle w:val="libAlaemChar"/>
          <w:rtl/>
        </w:rPr>
        <w:t>عليه‌السلام</w:t>
      </w:r>
      <w:r>
        <w:rPr>
          <w:rtl/>
          <w:lang w:bidi="fa-IR"/>
        </w:rPr>
        <w:t xml:space="preserve">: « صَدَقَ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 xml:space="preserve">8226 / 3. مُحَمَّدُ بْنُ الْحَسَنِ الطَّائِيُّ </w:t>
      </w:r>
      <w:r w:rsidRPr="00D10E3C">
        <w:rPr>
          <w:rStyle w:val="libFootnotenumChar"/>
          <w:rtl/>
        </w:rPr>
        <w:t>(5)</w:t>
      </w:r>
      <w:r>
        <w:rPr>
          <w:rtl/>
          <w:lang w:bidi="fa-IR"/>
        </w:rPr>
        <w:t xml:space="preserve"> ، عَمَّنْ ذَكَرَهُ ، عَنْ عَلِيِّ بْنِ النُّعْمَانِ ، عَنْ سُوَيْدٍ القَلاَّءِ </w:t>
      </w:r>
      <w:r w:rsidRPr="00D10E3C">
        <w:rPr>
          <w:rStyle w:val="libFootnotenumChar"/>
          <w:rtl/>
        </w:rPr>
        <w:t>(6)</w:t>
      </w:r>
      <w:r>
        <w:rPr>
          <w:rtl/>
          <w:lang w:bidi="fa-IR"/>
        </w:rPr>
        <w:t xml:space="preserve"> ، عَنْ بَشِيرٍ الدَّهَّانِ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 إِنِّي رَأَيْتُ فِي الْمَنَامِ أَنِّي قُلْتُ لَكَ : إِنَّ الْقِتَالَ مَعَ غَيْرِ الْإِمَامِ الْمَفْرُوضِ طَاعَتُهُ حَرَامٌ مِثْلُ الْمَيْتَةِ وَالدَّمِ وَلَحْمِ الْخِنْزِيرِ ، فَقُلْتَ لِي : </w:t>
      </w:r>
      <w:r w:rsidRPr="00D10E3C">
        <w:rPr>
          <w:rStyle w:val="libFootnotenumChar"/>
          <w:rtl/>
        </w:rPr>
        <w:t>(7)</w:t>
      </w:r>
      <w:r>
        <w:rPr>
          <w:rtl/>
          <w:lang w:bidi="fa-IR"/>
        </w:rPr>
        <w:t xml:space="preserve"> هُوَ كَذلِكَ؟</w:t>
      </w:r>
    </w:p>
    <w:p w:rsidR="00144FA6" w:rsidRDefault="00744A1C" w:rsidP="00744A1C">
      <w:pPr>
        <w:pStyle w:val="libNormal"/>
        <w:rPr>
          <w:rtl/>
          <w:lang w:bidi="fa-IR"/>
        </w:rPr>
      </w:pPr>
      <w:r>
        <w:rPr>
          <w:rtl/>
          <w:lang w:bidi="fa-IR"/>
        </w:rPr>
        <w:t xml:space="preserve">فَقَالَ أَبُو عَبْدِ اللهِ </w:t>
      </w:r>
      <w:r w:rsidR="0061079A" w:rsidRPr="0061079A">
        <w:rPr>
          <w:rStyle w:val="libAlaemChar"/>
          <w:rtl/>
        </w:rPr>
        <w:t>عليه‌السلام</w:t>
      </w:r>
      <w:r w:rsidR="00D10E3C">
        <w:rPr>
          <w:rtl/>
          <w:lang w:bidi="fa-IR"/>
        </w:rPr>
        <w:t xml:space="preserve"> </w:t>
      </w:r>
      <w:r>
        <w:rPr>
          <w:rtl/>
          <w:lang w:bidi="fa-IR"/>
        </w:rPr>
        <w:t xml:space="preserve">: « هُوَ كَذلِكَ ، هُوَ كَذلِكَ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0926C3" w:rsidP="00D10E3C">
      <w:pPr>
        <w:pStyle w:val="libFootnote0"/>
        <w:rPr>
          <w:lang w:bidi="fa-IR"/>
        </w:rPr>
      </w:pPr>
      <w:r>
        <w:rPr>
          <w:rFonts w:hint="cs"/>
          <w:rtl/>
          <w:lang w:bidi="fa-IR"/>
        </w:rPr>
        <w:t xml:space="preserve">= </w:t>
      </w:r>
      <w:r w:rsidR="00744A1C">
        <w:rPr>
          <w:rtl/>
          <w:lang w:bidi="fa-IR"/>
        </w:rPr>
        <w:t xml:space="preserve">ثلاث لغات : فُسْطاط ، وفُستاط ، وفُسّاط ، وكسر الفاء لغة فيهنّ. وقال الزمخشري : « هو ضرب من الأبنية في السفر دون السرادق ». راجع : الفائق ، ج 3 ، ص 29 ؛ </w:t>
      </w:r>
      <w:r w:rsidR="00744A1C" w:rsidRPr="00E978C3">
        <w:rPr>
          <w:rStyle w:val="libFootnoteBoldChar"/>
          <w:rtl/>
        </w:rPr>
        <w:t>الصحاح</w:t>
      </w:r>
      <w:r w:rsidR="00744A1C">
        <w:rPr>
          <w:rtl/>
          <w:lang w:bidi="fa-IR"/>
        </w:rPr>
        <w:t xml:space="preserve"> ، ج 3 ، ص 1150 ( فسط ).</w:t>
      </w:r>
    </w:p>
    <w:p w:rsidR="00744A1C" w:rsidRDefault="00D10E3C" w:rsidP="00D10E3C">
      <w:pPr>
        <w:pStyle w:val="libFootnote0"/>
        <w:rPr>
          <w:lang w:bidi="fa-IR"/>
        </w:rPr>
      </w:pPr>
      <w:r>
        <w:rPr>
          <w:rtl/>
          <w:lang w:bidi="fa-IR"/>
        </w:rPr>
        <w:t>(1).</w:t>
      </w:r>
      <w:r w:rsidR="00744A1C">
        <w:rPr>
          <w:rtl/>
          <w:lang w:bidi="fa-IR"/>
        </w:rPr>
        <w:t xml:space="preserve"> في</w:t>
      </w:r>
      <w:r w:rsidR="00744A1C" w:rsidRPr="000926C3">
        <w:rPr>
          <w:rtl/>
        </w:rPr>
        <w:t xml:space="preserve"> الكافي</w:t>
      </w:r>
      <w:r w:rsidR="00744A1C">
        <w:rPr>
          <w:rtl/>
          <w:lang w:bidi="fa-IR"/>
        </w:rPr>
        <w:t xml:space="preserve"> ، ح 6896 : « سبّابتيه ».</w:t>
      </w:r>
    </w:p>
    <w:p w:rsidR="00744A1C" w:rsidRDefault="00E378DD" w:rsidP="00E378DD">
      <w:pPr>
        <w:pStyle w:val="libFootnote0"/>
        <w:rPr>
          <w:lang w:bidi="fa-IR"/>
        </w:rPr>
      </w:pPr>
      <w:r>
        <w:rPr>
          <w:rtl/>
          <w:lang w:bidi="fa-IR"/>
        </w:rPr>
        <w:t>(2).</w:t>
      </w:r>
      <w:r w:rsidR="00744A1C">
        <w:rPr>
          <w:rtl/>
          <w:lang w:bidi="fa-IR"/>
        </w:rPr>
        <w:t xml:space="preserve"> في</w:t>
      </w:r>
      <w:r w:rsidR="00744A1C" w:rsidRPr="000926C3">
        <w:rPr>
          <w:rtl/>
        </w:rPr>
        <w:t xml:space="preserve"> الكافي</w:t>
      </w:r>
      <w:r w:rsidR="00744A1C">
        <w:rPr>
          <w:rtl/>
          <w:lang w:bidi="fa-IR"/>
        </w:rPr>
        <w:t xml:space="preserve"> ، ح 6896 : - « ولا أقول هكذا - إلى - أطول من هذه ».</w:t>
      </w:r>
    </w:p>
    <w:p w:rsidR="00744A1C" w:rsidRDefault="00E378DD" w:rsidP="00E378DD">
      <w:pPr>
        <w:pStyle w:val="libFootnote0"/>
        <w:rPr>
          <w:lang w:bidi="fa-IR"/>
        </w:rPr>
      </w:pPr>
      <w:r>
        <w:rPr>
          <w:rtl/>
          <w:lang w:bidi="fa-IR"/>
        </w:rPr>
        <w:t>(3).</w:t>
      </w:r>
      <w:r w:rsidR="00744A1C">
        <w:rPr>
          <w:rtl/>
          <w:lang w:bidi="fa-IR"/>
        </w:rPr>
        <w:t xml:space="preserve"> في </w:t>
      </w:r>
      <w:r w:rsidR="00744A1C" w:rsidRPr="000926C3">
        <w:rPr>
          <w:rtl/>
        </w:rPr>
        <w:t>الكافي ،</w:t>
      </w:r>
      <w:r w:rsidR="00744A1C">
        <w:rPr>
          <w:rtl/>
          <w:lang w:bidi="fa-IR"/>
        </w:rPr>
        <w:t xml:space="preserve"> ح 6896 : + « هو على ما ذكر ».</w:t>
      </w:r>
    </w:p>
    <w:p w:rsidR="00744A1C" w:rsidRDefault="00E378DD" w:rsidP="00E378DD">
      <w:pPr>
        <w:pStyle w:val="libFootnote0"/>
        <w:rPr>
          <w:lang w:bidi="fa-IR"/>
        </w:rPr>
      </w:pPr>
      <w:r>
        <w:rPr>
          <w:rtl/>
          <w:lang w:bidi="fa-IR"/>
        </w:rPr>
        <w:t>(4).</w:t>
      </w:r>
      <w:r w:rsidR="00744A1C">
        <w:rPr>
          <w:rtl/>
          <w:lang w:bidi="fa-IR"/>
        </w:rPr>
        <w:t xml:space="preserve"> </w:t>
      </w:r>
      <w:r w:rsidR="00744A1C" w:rsidRPr="0061079A">
        <w:rPr>
          <w:rStyle w:val="libFootnoteBoldChar"/>
          <w:rtl/>
        </w:rPr>
        <w:t>الكافي</w:t>
      </w:r>
      <w:r w:rsidR="00744A1C">
        <w:rPr>
          <w:rtl/>
          <w:lang w:bidi="fa-IR"/>
        </w:rPr>
        <w:t xml:space="preserve"> ، كتاب الحجّ ، باب فضل الحجّ والعمرة وثوابهما ، ح 6896 ، عن عدّة من أصحابنا ، عن سهل بن زياد وأحمد بن محمّد جميعاً ، عن أحمد بن محمّد بن أبي نصر ، عن محمّد بن عبد الله ، عن الرضا </w:t>
      </w:r>
      <w:r w:rsidR="0061079A" w:rsidRPr="000926C3">
        <w:rPr>
          <w:rStyle w:val="libFootnoteAlaemChar"/>
          <w:rtl/>
        </w:rPr>
        <w:t>عليه‌السلام</w:t>
      </w:r>
      <w:r w:rsidR="00D10E3C">
        <w:rPr>
          <w:rtl/>
          <w:lang w:bidi="fa-IR"/>
        </w:rPr>
        <w:t xml:space="preserve"> </w:t>
      </w:r>
      <w:r w:rsidR="000926C3">
        <w:rPr>
          <w:rFonts w:hint="cs"/>
          <w:rtl/>
          <w:lang w:bidi="fa-IR"/>
        </w:rPr>
        <w:t>.</w:t>
      </w:r>
      <w:r w:rsidR="00744A1C" w:rsidRPr="00C24F9C">
        <w:rPr>
          <w:rStyle w:val="libFootnoteBoldChar"/>
          <w:rtl/>
        </w:rPr>
        <w:t>الوافي</w:t>
      </w:r>
      <w:r w:rsidR="00744A1C">
        <w:rPr>
          <w:rtl/>
          <w:lang w:bidi="fa-IR"/>
        </w:rPr>
        <w:t xml:space="preserve"> ، ج 15 ، ص 78 ، ح 14724 ؛ </w:t>
      </w:r>
      <w:r w:rsidR="00744A1C" w:rsidRPr="00C24F9C">
        <w:rPr>
          <w:rStyle w:val="libFootnoteBoldChar"/>
          <w:rtl/>
        </w:rPr>
        <w:t>الوسائل</w:t>
      </w:r>
      <w:r w:rsidR="00744A1C">
        <w:rPr>
          <w:rtl/>
          <w:lang w:bidi="fa-IR"/>
        </w:rPr>
        <w:t xml:space="preserve"> ، ج 15 ، ص 47 ، ح 19958.</w:t>
      </w:r>
    </w:p>
    <w:p w:rsidR="00744A1C" w:rsidRDefault="00E378DD" w:rsidP="00E378DD">
      <w:pPr>
        <w:pStyle w:val="libFootnote0"/>
        <w:rPr>
          <w:lang w:bidi="fa-IR"/>
        </w:rPr>
      </w:pPr>
      <w:r>
        <w:rPr>
          <w:rtl/>
          <w:lang w:bidi="fa-IR"/>
        </w:rPr>
        <w:t>(5).</w:t>
      </w:r>
      <w:r w:rsidR="00744A1C">
        <w:rPr>
          <w:rtl/>
          <w:lang w:bidi="fa-IR"/>
        </w:rPr>
        <w:t xml:space="preserve"> هكذا في « ى ، بح ، بس ، بف ، جت ، جد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 بث » والمطبوع : « الطاطري ».</w:t>
      </w:r>
    </w:p>
    <w:p w:rsidR="00744A1C" w:rsidRDefault="00744A1C" w:rsidP="00D10E3C">
      <w:pPr>
        <w:pStyle w:val="libFootnote0"/>
        <w:rPr>
          <w:lang w:bidi="fa-IR"/>
        </w:rPr>
      </w:pPr>
      <w:r>
        <w:rPr>
          <w:rtl/>
          <w:lang w:bidi="fa-IR"/>
        </w:rPr>
        <w:t xml:space="preserve">ومحمّد بن الحسن هذا ، هو الطائي الرازي الذي روى عنه الكليني في طريق النجاشي إلى كتب عليّ بن العبّاس الجراذينى. راجع : </w:t>
      </w:r>
      <w:r w:rsidRPr="003A7143">
        <w:rPr>
          <w:rStyle w:val="libFootnoteBoldChar"/>
          <w:rtl/>
        </w:rPr>
        <w:t>رجال النجاشي</w:t>
      </w:r>
      <w:r>
        <w:rPr>
          <w:rtl/>
          <w:lang w:bidi="fa-IR"/>
        </w:rPr>
        <w:t xml:space="preserve"> ، ص 255 ، الرقم 668.</w:t>
      </w:r>
    </w:p>
    <w:p w:rsidR="00744A1C" w:rsidRDefault="00744A1C" w:rsidP="00D10E3C">
      <w:pPr>
        <w:pStyle w:val="libFootnote0"/>
        <w:rPr>
          <w:lang w:bidi="fa-IR"/>
        </w:rPr>
      </w:pPr>
      <w:r>
        <w:rPr>
          <w:rtl/>
          <w:lang w:bidi="fa-IR"/>
        </w:rPr>
        <w:t>وأمّا محمّد بن الحسن الطاطري ، فهو غير مذكور في كتب الرجال والأسناد.</w:t>
      </w:r>
    </w:p>
    <w:p w:rsidR="00744A1C" w:rsidRDefault="00E378DD" w:rsidP="00E378DD">
      <w:pPr>
        <w:pStyle w:val="libFootnote0"/>
        <w:rPr>
          <w:lang w:bidi="fa-IR"/>
        </w:rPr>
      </w:pPr>
      <w:r>
        <w:rPr>
          <w:rtl/>
          <w:lang w:bidi="fa-IR"/>
        </w:rPr>
        <w:t>(6).</w:t>
      </w:r>
      <w:r w:rsidR="00744A1C">
        <w:rPr>
          <w:rtl/>
          <w:lang w:bidi="fa-IR"/>
        </w:rPr>
        <w:t xml:space="preserve"> هكذا في « ى ، بث ، بح ، بس ، بف ، جت ، جد ، جن » </w:t>
      </w:r>
      <w:r w:rsidR="00744A1C" w:rsidRPr="000926C3">
        <w:rPr>
          <w:rtl/>
        </w:rPr>
        <w:t>والوافي والوسائل. وفي</w:t>
      </w:r>
      <w:r w:rsidR="00744A1C">
        <w:rPr>
          <w:rtl/>
          <w:lang w:bidi="fa-IR"/>
        </w:rPr>
        <w:t xml:space="preserve"> المطبوع : « القلانسي ».</w:t>
      </w:r>
    </w:p>
    <w:p w:rsidR="00744A1C" w:rsidRDefault="00744A1C" w:rsidP="000926C3">
      <w:pPr>
        <w:pStyle w:val="libFootnote0"/>
        <w:rPr>
          <w:lang w:bidi="fa-IR"/>
        </w:rPr>
      </w:pPr>
      <w:r>
        <w:rPr>
          <w:rtl/>
          <w:lang w:bidi="fa-IR"/>
        </w:rPr>
        <w:t>وس</w:t>
      </w:r>
      <w:r w:rsidR="000926C3">
        <w:rPr>
          <w:rtl/>
          <w:lang w:bidi="fa-IR"/>
        </w:rPr>
        <w:t>ويد هذا ، هو سويد بن مسلم القل</w:t>
      </w:r>
      <w:r w:rsidR="000926C3">
        <w:rPr>
          <w:rFonts w:hint="cs"/>
          <w:rtl/>
          <w:lang w:bidi="fa-IR"/>
        </w:rPr>
        <w:t>ّ</w:t>
      </w:r>
      <w:r w:rsidR="000926C3">
        <w:rPr>
          <w:rtl/>
          <w:lang w:bidi="fa-IR"/>
        </w:rPr>
        <w:t>ا</w:t>
      </w:r>
      <w:r>
        <w:rPr>
          <w:rtl/>
          <w:lang w:bidi="fa-IR"/>
        </w:rPr>
        <w:t xml:space="preserve">ء ، له كتاب رواه عليّ بن النعمان ، وتكرّرت روايته عنه في الأسناد. راجع : </w:t>
      </w:r>
      <w:r w:rsidRPr="003A7143">
        <w:rPr>
          <w:rStyle w:val="libFootnoteBoldChar"/>
          <w:rtl/>
        </w:rPr>
        <w:t>رجال النجاشي</w:t>
      </w:r>
      <w:r>
        <w:rPr>
          <w:rtl/>
          <w:lang w:bidi="fa-IR"/>
        </w:rPr>
        <w:t xml:space="preserve"> ، ص 191 ، الرقم 510 ؛ </w:t>
      </w:r>
      <w:r w:rsidRPr="003A7143">
        <w:rPr>
          <w:rStyle w:val="libFootnoteBoldChar"/>
          <w:rtl/>
        </w:rPr>
        <w:t>الفهرست للطوسي</w:t>
      </w:r>
      <w:r>
        <w:rPr>
          <w:rtl/>
          <w:lang w:bidi="fa-IR"/>
        </w:rPr>
        <w:t xml:space="preserve"> ، ص 223 ، الرقم 330 ؛ </w:t>
      </w:r>
      <w:r w:rsidRPr="0061079A">
        <w:rPr>
          <w:rStyle w:val="libFootnoteBoldChar"/>
          <w:rtl/>
        </w:rPr>
        <w:t>معجم رجال الحديث</w:t>
      </w:r>
      <w:r>
        <w:rPr>
          <w:rtl/>
          <w:lang w:bidi="fa-IR"/>
        </w:rPr>
        <w:t xml:space="preserve"> ، ج 12 ، ص 360.</w:t>
      </w:r>
      <w:r w:rsidR="000926C3">
        <w:rPr>
          <w:rFonts w:hint="cs"/>
          <w:rtl/>
          <w:lang w:bidi="fa-IR"/>
        </w:rPr>
        <w:t xml:space="preserve">                           </w:t>
      </w:r>
      <w:r w:rsidR="00E378DD">
        <w:rPr>
          <w:rtl/>
          <w:lang w:bidi="fa-IR"/>
        </w:rPr>
        <w:t>(7).</w:t>
      </w:r>
      <w:r>
        <w:rPr>
          <w:rtl/>
          <w:lang w:bidi="fa-IR"/>
        </w:rPr>
        <w:t xml:space="preserve"> في </w:t>
      </w:r>
      <w:r w:rsidRPr="00C24F9C">
        <w:rPr>
          <w:rStyle w:val="libFootnoteBoldChar"/>
          <w:rtl/>
        </w:rPr>
        <w:t>الوافي</w:t>
      </w:r>
      <w:r>
        <w:rPr>
          <w:rtl/>
          <w:lang w:bidi="fa-IR"/>
        </w:rPr>
        <w:t xml:space="preserve"> : + « نعم ».</w:t>
      </w:r>
    </w:p>
    <w:p w:rsidR="00144FA6" w:rsidRDefault="00E378DD" w:rsidP="00E378DD">
      <w:pPr>
        <w:pStyle w:val="libFootnote0"/>
        <w:rPr>
          <w:rtl/>
          <w:lang w:bidi="fa-IR"/>
        </w:rPr>
      </w:pPr>
      <w:r>
        <w:rPr>
          <w:rtl/>
          <w:lang w:bidi="fa-IR"/>
        </w:rPr>
        <w:t>(8).</w:t>
      </w:r>
      <w:r w:rsidR="00744A1C">
        <w:rPr>
          <w:rtl/>
          <w:lang w:bidi="fa-IR"/>
        </w:rPr>
        <w:t xml:space="preserve"> </w:t>
      </w:r>
      <w:r w:rsidR="00744A1C" w:rsidRPr="0061079A">
        <w:rPr>
          <w:rStyle w:val="libFootnoteBoldChar"/>
          <w:rtl/>
        </w:rPr>
        <w:t>الكافي</w:t>
      </w:r>
      <w:r w:rsidR="00744A1C">
        <w:rPr>
          <w:rtl/>
          <w:lang w:bidi="fa-IR"/>
        </w:rPr>
        <w:t xml:space="preserve"> ، كتاب الجهاد ، باب دخول عمرو بن عبيد والمعتزلة على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ح 8228 ؛ </w:t>
      </w:r>
      <w:r w:rsidR="00744A1C" w:rsidRPr="0061079A">
        <w:rPr>
          <w:rStyle w:val="libFootnoteBoldChar"/>
          <w:rtl/>
        </w:rPr>
        <w:t>والتهذيب</w:t>
      </w:r>
      <w:r w:rsidR="00744A1C">
        <w:rPr>
          <w:rtl/>
          <w:lang w:bidi="fa-IR"/>
        </w:rPr>
        <w:t xml:space="preserve"> ، ج 6 ،</w:t>
      </w:r>
      <w:r w:rsidR="000926C3">
        <w:rPr>
          <w:rFonts w:hint="cs"/>
          <w:rtl/>
          <w:lang w:bidi="fa-IR"/>
        </w:rPr>
        <w:t>=</w:t>
      </w:r>
    </w:p>
    <w:p w:rsidR="006A5060" w:rsidRDefault="006A5060" w:rsidP="00D10E3C">
      <w:pPr>
        <w:pStyle w:val="libNormal"/>
        <w:rPr>
          <w:rtl/>
          <w:lang w:bidi="fa-IR"/>
        </w:rPr>
      </w:pPr>
      <w:r>
        <w:rPr>
          <w:rtl/>
          <w:lang w:bidi="fa-IR"/>
        </w:rPr>
        <w:br w:type="page"/>
      </w:r>
    </w:p>
    <w:p w:rsidR="00144FA6" w:rsidRDefault="00744A1C" w:rsidP="00374876">
      <w:pPr>
        <w:pStyle w:val="Heading2Center"/>
        <w:rPr>
          <w:rtl/>
          <w:lang w:bidi="fa-IR"/>
        </w:rPr>
      </w:pPr>
      <w:bookmarkStart w:id="95" w:name="_Toc49261393"/>
      <w:r>
        <w:rPr>
          <w:rtl/>
          <w:lang w:bidi="fa-IR"/>
        </w:rPr>
        <w:t xml:space="preserve">7 - بَابُ دُخُولِ عَمْرِو بْنِ عُبَيْدٍ </w:t>
      </w:r>
      <w:r w:rsidRPr="00D10E3C">
        <w:rPr>
          <w:rStyle w:val="libFootnotenumChar"/>
          <w:rtl/>
        </w:rPr>
        <w:t>(1)</w:t>
      </w:r>
      <w:r>
        <w:rPr>
          <w:rtl/>
          <w:lang w:bidi="fa-IR"/>
        </w:rPr>
        <w:t xml:space="preserve"> وَالْمُعْتَزِلَةِ عَلى أَبِي عَبْدِ اللهِ </w:t>
      </w:r>
      <w:r w:rsidR="0061079A" w:rsidRPr="0061079A">
        <w:rPr>
          <w:rStyle w:val="libAlaemChar"/>
          <w:rtl/>
        </w:rPr>
        <w:t>عليه‌السلام</w:t>
      </w:r>
      <w:bookmarkEnd w:id="95"/>
    </w:p>
    <w:p w:rsidR="00144FA6" w:rsidRDefault="00744A1C" w:rsidP="00744A1C">
      <w:pPr>
        <w:pStyle w:val="libNormal"/>
        <w:rPr>
          <w:rtl/>
          <w:lang w:bidi="fa-IR"/>
        </w:rPr>
      </w:pPr>
      <w:r>
        <w:rPr>
          <w:rtl/>
          <w:lang w:bidi="fa-IR"/>
        </w:rPr>
        <w:t>8227 / 1. عَلِيُّ بْنُ إِبْرَاهِيمَ ، عَنْ أَبِيهِ ، عَنِ ابْنِ أَبِي عُمَيْرٍ ، عَنْ عُمَرَ بْنِ أُذَيْنَةَ ، عَنْ زُرَارَةَ ، عَنْ عَبْدِ الْكَرِيمِ بْنِ عُتْبَةَ الْهَاشِمِيِّ ، قَالَ :</w:t>
      </w:r>
    </w:p>
    <w:p w:rsidR="00144FA6" w:rsidRDefault="00744A1C" w:rsidP="00744A1C">
      <w:pPr>
        <w:pStyle w:val="libNormal"/>
        <w:rPr>
          <w:rtl/>
          <w:lang w:bidi="fa-IR"/>
        </w:rPr>
      </w:pPr>
      <w:r>
        <w:rPr>
          <w:rtl/>
          <w:lang w:bidi="fa-IR"/>
        </w:rPr>
        <w:t xml:space="preserve">كُنْتُ قَاعِداً عِنْدَ أَبِي عَبْدِ اللهِ </w:t>
      </w:r>
      <w:r w:rsidR="0061079A" w:rsidRPr="0061079A">
        <w:rPr>
          <w:rStyle w:val="libAlaemChar"/>
          <w:rtl/>
        </w:rPr>
        <w:t>عليه‌السلام</w:t>
      </w:r>
      <w:r w:rsidR="00D10E3C">
        <w:rPr>
          <w:rtl/>
          <w:lang w:bidi="fa-IR"/>
        </w:rPr>
        <w:t xml:space="preserve"> </w:t>
      </w:r>
      <w:r>
        <w:rPr>
          <w:rtl/>
          <w:lang w:bidi="fa-IR"/>
        </w:rPr>
        <w:t xml:space="preserve">بِمَكَّةَ إِذْ دَخَلَ عَلَيْهِ أُنَاسٌ مِنَ الْمُعْتَزِلَةِ فِيهِمْ عَمْرُو بْنُ عُبَيْدٍ </w:t>
      </w:r>
      <w:r w:rsidRPr="00D10E3C">
        <w:rPr>
          <w:rStyle w:val="libFootnotenumChar"/>
          <w:rtl/>
        </w:rPr>
        <w:t>(2)</w:t>
      </w:r>
      <w:r>
        <w:rPr>
          <w:rtl/>
          <w:lang w:bidi="fa-IR"/>
        </w:rPr>
        <w:t xml:space="preserve"> وَ</w:t>
      </w:r>
      <w:r w:rsidR="00374876">
        <w:rPr>
          <w:rFonts w:hint="cs"/>
          <w:rtl/>
          <w:lang w:bidi="fa-IR"/>
        </w:rPr>
        <w:t xml:space="preserve"> </w:t>
      </w:r>
      <w:r>
        <w:rPr>
          <w:rtl/>
          <w:lang w:bidi="fa-IR"/>
        </w:rPr>
        <w:t xml:space="preserve">وَاصِلُ بْنُ عَطَاءٍ </w:t>
      </w:r>
      <w:r w:rsidRPr="00D10E3C">
        <w:rPr>
          <w:rStyle w:val="libFootnotenumChar"/>
          <w:rtl/>
        </w:rPr>
        <w:t>(3)</w:t>
      </w:r>
      <w:r>
        <w:rPr>
          <w:rtl/>
          <w:lang w:bidi="fa-IR"/>
        </w:rPr>
        <w:t xml:space="preserve"> وَحَفْصُ بْنُ سَالِمٍ مَوْلَى ابْنِ </w:t>
      </w:r>
      <w:r w:rsidRPr="00D10E3C">
        <w:rPr>
          <w:rStyle w:val="libFootnotenumChar"/>
          <w:rtl/>
        </w:rPr>
        <w:t>(4)</w:t>
      </w:r>
      <w:r>
        <w:rPr>
          <w:rtl/>
          <w:lang w:bidi="fa-IR"/>
        </w:rPr>
        <w:t xml:space="preserve"> هُبَيْرَةَ ، وَنَاسٌ مِنْ‌ رُؤَسَائِهِمْ ، وَذلِكَ </w:t>
      </w:r>
      <w:r w:rsidRPr="00D10E3C">
        <w:rPr>
          <w:rStyle w:val="libFootnotenumChar"/>
          <w:rtl/>
        </w:rPr>
        <w:t>(5)</w:t>
      </w:r>
      <w:r>
        <w:rPr>
          <w:rtl/>
          <w:lang w:bidi="fa-IR"/>
        </w:rPr>
        <w:t xml:space="preserve"> حِدْثَانُ </w:t>
      </w:r>
      <w:r w:rsidRPr="00D10E3C">
        <w:rPr>
          <w:rStyle w:val="libFootnotenumChar"/>
          <w:rtl/>
        </w:rPr>
        <w:t>(6)</w:t>
      </w:r>
      <w:r>
        <w:rPr>
          <w:rtl/>
          <w:lang w:bidi="fa-IR"/>
        </w:rPr>
        <w:t xml:space="preserve"> قَتْلِ الْوَلِيدِ وَاخْتِلَافِ أَهْلِ الشَّامِ بَيْنَهُمْ ، فَتَكَلَّمُوا وَأَكْثَرُوا ،</w:t>
      </w:r>
    </w:p>
    <w:p w:rsidR="00744A1C" w:rsidRDefault="00744A1C" w:rsidP="00D10E3C">
      <w:pPr>
        <w:pStyle w:val="libLine"/>
        <w:rPr>
          <w:lang w:bidi="fa-IR"/>
        </w:rPr>
      </w:pPr>
      <w:r>
        <w:rPr>
          <w:rtl/>
          <w:lang w:bidi="fa-IR"/>
        </w:rPr>
        <w:t>____________________</w:t>
      </w:r>
    </w:p>
    <w:p w:rsidR="00744A1C" w:rsidRDefault="00374876" w:rsidP="00D10E3C">
      <w:pPr>
        <w:pStyle w:val="libFootnote0"/>
        <w:rPr>
          <w:lang w:bidi="fa-IR"/>
        </w:rPr>
      </w:pPr>
      <w:r>
        <w:rPr>
          <w:rFonts w:hint="cs"/>
          <w:rtl/>
          <w:lang w:bidi="fa-IR"/>
        </w:rPr>
        <w:t xml:space="preserve">= </w:t>
      </w:r>
      <w:r w:rsidR="00744A1C">
        <w:rPr>
          <w:rtl/>
          <w:lang w:bidi="fa-IR"/>
        </w:rPr>
        <w:t xml:space="preserve">ص 134 ، ح 226 ، بسندهما عن عليّ بن النعمان </w:t>
      </w:r>
      <w:r>
        <w:rPr>
          <w:rFonts w:hint="cs"/>
          <w:rtl/>
          <w:lang w:bidi="fa-IR"/>
        </w:rPr>
        <w:t>.</w:t>
      </w:r>
      <w:r w:rsidR="00744A1C" w:rsidRPr="00C24F9C">
        <w:rPr>
          <w:rStyle w:val="libFootnoteBoldChar"/>
          <w:rtl/>
        </w:rPr>
        <w:t>الوافي</w:t>
      </w:r>
      <w:r w:rsidR="00744A1C">
        <w:rPr>
          <w:rtl/>
          <w:lang w:bidi="fa-IR"/>
        </w:rPr>
        <w:t xml:space="preserve"> ، ج 15 ، ص 78 ، ح 14723 ؛ </w:t>
      </w:r>
      <w:r w:rsidR="00744A1C" w:rsidRPr="00C24F9C">
        <w:rPr>
          <w:rStyle w:val="libFootnoteBoldChar"/>
          <w:rtl/>
        </w:rPr>
        <w:t>الوسائل</w:t>
      </w:r>
      <w:r w:rsidR="00744A1C">
        <w:rPr>
          <w:rtl/>
          <w:lang w:bidi="fa-IR"/>
        </w:rPr>
        <w:t xml:space="preserve"> ، ج 15 ، ص 45 ، ذيل ح 19954.</w:t>
      </w:r>
    </w:p>
    <w:p w:rsidR="00744A1C" w:rsidRDefault="00D10E3C" w:rsidP="00D10E3C">
      <w:pPr>
        <w:pStyle w:val="libFootnote0"/>
        <w:rPr>
          <w:lang w:bidi="fa-IR"/>
        </w:rPr>
      </w:pPr>
      <w:r>
        <w:rPr>
          <w:rtl/>
          <w:lang w:bidi="fa-IR"/>
        </w:rPr>
        <w:t>(1).</w:t>
      </w:r>
      <w:r w:rsidR="00744A1C">
        <w:rPr>
          <w:rtl/>
          <w:lang w:bidi="fa-IR"/>
        </w:rPr>
        <w:t xml:space="preserve"> في « بث » : « عبيدة ».</w:t>
      </w:r>
    </w:p>
    <w:p w:rsidR="00744A1C" w:rsidRDefault="00E378DD" w:rsidP="00E378DD">
      <w:pPr>
        <w:pStyle w:val="libFootnote0"/>
        <w:rPr>
          <w:lang w:bidi="fa-IR"/>
        </w:rPr>
      </w:pPr>
      <w:r>
        <w:rPr>
          <w:rtl/>
          <w:lang w:bidi="fa-IR"/>
        </w:rPr>
        <w:t>(2).</w:t>
      </w:r>
      <w:r w:rsidR="00744A1C">
        <w:rPr>
          <w:rtl/>
          <w:lang w:bidi="fa-IR"/>
        </w:rPr>
        <w:t xml:space="preserve"> قال السيّد المرتضى </w:t>
      </w:r>
      <w:r w:rsidR="00877682" w:rsidRPr="00877682">
        <w:rPr>
          <w:rStyle w:val="libFootnoteAlaemChar"/>
          <w:rtl/>
        </w:rPr>
        <w:t>رحمه‌الله</w:t>
      </w:r>
      <w:r w:rsidR="00374876" w:rsidRPr="00374876">
        <w:rPr>
          <w:rFonts w:hint="cs"/>
          <w:rtl/>
        </w:rPr>
        <w:t xml:space="preserve"> </w:t>
      </w:r>
      <w:r w:rsidR="00744A1C">
        <w:rPr>
          <w:rtl/>
          <w:lang w:bidi="fa-IR"/>
        </w:rPr>
        <w:t>في الأمالي ، ج 1 ، ص 117 : « فأمّا عمرو بن عبيد ، فيكنّى أبا عثمان مولى لبني العدويّة</w:t>
      </w:r>
      <w:r w:rsidR="00374876">
        <w:rPr>
          <w:rFonts w:hint="cs"/>
          <w:rtl/>
          <w:lang w:bidi="fa-IR"/>
        </w:rPr>
        <w:t xml:space="preserve"> </w:t>
      </w:r>
      <w:r w:rsidR="00744A1C">
        <w:rPr>
          <w:rtl/>
          <w:lang w:bidi="fa-IR"/>
        </w:rPr>
        <w:t>من بني تميم ، قال الجاحظ : هو عمرو بن عبيد بن باب ، وباب نفسه من سبي كابل من سبي عبد الرحمان بن سمرة ، وكان باب مولى لبني العدويّة. قال : وكان عبيد شرطيّاً ، وكان عمرو متزهّداً ، فكانا إذا اجتازا معاً على الناس قالوا : هذا شرّ الناس أبو خير الناس ، فيقول عبيد : صدقتم ، هذا إبراهيم وأنا تارخ » ثمّ قال : « وذكر أبو الحسين الخيّاط أنّ مولد عمرو بن عبيد وواصل بن عطاء جميعاً سنة ثمانين ، قال : ومات عمرو بن عبيد في سنة مائة وأربع وأربعين وهو ابن أربع وستّين سنة ».</w:t>
      </w:r>
    </w:p>
    <w:p w:rsidR="00744A1C" w:rsidRDefault="00E378DD" w:rsidP="00605D69">
      <w:pPr>
        <w:pStyle w:val="libFootnote0"/>
        <w:rPr>
          <w:lang w:bidi="fa-IR"/>
        </w:rPr>
      </w:pPr>
      <w:r>
        <w:rPr>
          <w:rtl/>
          <w:lang w:bidi="fa-IR"/>
        </w:rPr>
        <w:t>(3).</w:t>
      </w:r>
      <w:r w:rsidR="00744A1C">
        <w:rPr>
          <w:rtl/>
          <w:lang w:bidi="fa-IR"/>
        </w:rPr>
        <w:t xml:space="preserve"> في « بس » : « عطّار ». وقال السيّد المرتضى </w:t>
      </w:r>
      <w:r w:rsidR="00877682" w:rsidRPr="00877682">
        <w:rPr>
          <w:rStyle w:val="libFootnoteAlaemChar"/>
          <w:rtl/>
        </w:rPr>
        <w:t>رحمه‌الله</w:t>
      </w:r>
      <w:r w:rsidR="00744A1C">
        <w:rPr>
          <w:rtl/>
          <w:lang w:bidi="fa-IR"/>
        </w:rPr>
        <w:t xml:space="preserve">في الأمالي ، ج 1 ، ص 113 : « وممّن تظاهر بالقول بالعدل واشتهر به واصل بن عطاء الغزال ، ويكنّى أبا حذيفة. وقيل : إنّه مولى بني ضبّة. وقيل : مولى بني مخزوم. وقيل : مولى بن هاشم. وروي أنّه لم يكن غزالاً ، وإنّما لقّب بذلك ؛ لأنّه كان يكثر الجلوس في الغزالين - إلى أن قال : - وذكر أبو الحسين الخيّاط أنّ واصلاً كان من أهل مدينة الرسول </w:t>
      </w:r>
      <w:r w:rsidR="00374876" w:rsidRPr="00374876">
        <w:rPr>
          <w:rStyle w:val="libFootnoteAlaemChar"/>
          <w:rFonts w:eastAsiaTheme="minorHAnsi"/>
          <w:rtl/>
        </w:rPr>
        <w:t>صلى‌الله‌عليه‌وآله‌وسلم</w:t>
      </w:r>
      <w:r w:rsidR="00374876" w:rsidRPr="00374876">
        <w:rPr>
          <w:rFonts w:eastAsiaTheme="minorHAnsi"/>
          <w:rtl/>
        </w:rPr>
        <w:t xml:space="preserve"> </w:t>
      </w:r>
      <w:r w:rsidR="00744A1C">
        <w:rPr>
          <w:rtl/>
          <w:lang w:bidi="fa-IR"/>
        </w:rPr>
        <w:t xml:space="preserve">، ومولده سنة ثمانين ، ومات سنة إحدى وثلاثين ومائة ، وكان واصل ممّن لقي أبا هاشم عبد الله بن محمّد بن الحنفيّة وصحبه وأخذ عنه ، وقال قوم : إنّه لقي أباه محمّداً </w:t>
      </w:r>
      <w:r w:rsidR="0061079A" w:rsidRPr="0061079A">
        <w:rPr>
          <w:rStyle w:val="libFootnoteAlaemChar"/>
          <w:rtl/>
        </w:rPr>
        <w:t>عليه‌السلام</w:t>
      </w:r>
      <w:r w:rsidR="00D10E3C">
        <w:rPr>
          <w:rtl/>
          <w:lang w:bidi="fa-IR"/>
        </w:rPr>
        <w:t xml:space="preserve"> </w:t>
      </w:r>
      <w:r w:rsidR="00744A1C">
        <w:rPr>
          <w:rtl/>
          <w:lang w:bidi="fa-IR"/>
        </w:rPr>
        <w:t xml:space="preserve">، وذلك غلط ؛ لأنّ محمّداً توفّي سنة ثمانين أو إحدى وثمانين ، واصل ولد في سنة ثمانين ». وقال ابن خلّكان في </w:t>
      </w:r>
      <w:r w:rsidR="00744A1C" w:rsidRPr="00605D69">
        <w:rPr>
          <w:rStyle w:val="libFootnoteBoldChar"/>
          <w:rtl/>
        </w:rPr>
        <w:t>الوفيات</w:t>
      </w:r>
      <w:r w:rsidR="00744A1C">
        <w:rPr>
          <w:rtl/>
          <w:lang w:bidi="fa-IR"/>
        </w:rPr>
        <w:t xml:space="preserve"> ، ج 6 ، ص 7 : « أبو حذيفة واصل بن عطاء المعتزلي المعروف بالغزال مولى بني ضبّة. وقيل : مولى بني مخزوم ، كان أحد الأئمّة البلغاء المتكلّمين في علوم الكلام وغيره » ، إلى آخره.</w:t>
      </w:r>
    </w:p>
    <w:p w:rsidR="00744A1C" w:rsidRDefault="00E378DD" w:rsidP="00E378DD">
      <w:pPr>
        <w:pStyle w:val="libFootnote0"/>
        <w:rPr>
          <w:lang w:bidi="fa-IR"/>
        </w:rPr>
      </w:pPr>
      <w:r>
        <w:rPr>
          <w:rtl/>
          <w:lang w:bidi="fa-IR"/>
        </w:rPr>
        <w:t>(4).</w:t>
      </w:r>
      <w:r w:rsidR="00744A1C">
        <w:rPr>
          <w:rtl/>
          <w:lang w:bidi="fa-IR"/>
        </w:rPr>
        <w:t xml:space="preserve"> في حاشية « بث ، جت » : « بني ». وفي « بس » وحاشية ا</w:t>
      </w:r>
      <w:r w:rsidR="00605D69">
        <w:rPr>
          <w:rFonts w:hint="cs"/>
          <w:rtl/>
          <w:lang w:bidi="fa-IR"/>
        </w:rPr>
        <w:t>ُ</w:t>
      </w:r>
      <w:r w:rsidR="00744A1C">
        <w:rPr>
          <w:rtl/>
          <w:lang w:bidi="fa-IR"/>
        </w:rPr>
        <w:t>خرى ل</w:t>
      </w:r>
      <w:r w:rsidR="00605D69">
        <w:rPr>
          <w:rFonts w:hint="cs"/>
          <w:rtl/>
          <w:lang w:bidi="fa-IR"/>
        </w:rPr>
        <w:t>ـ</w:t>
      </w:r>
      <w:r w:rsidR="00744A1C">
        <w:rPr>
          <w:rtl/>
          <w:lang w:bidi="fa-IR"/>
        </w:rPr>
        <w:t xml:space="preserve"> « بث » : « أبي ». وفي </w:t>
      </w:r>
      <w:r w:rsidR="00744A1C" w:rsidRPr="00C24F9C">
        <w:rPr>
          <w:rStyle w:val="libFootnoteBoldChar"/>
          <w:rtl/>
        </w:rPr>
        <w:t>التهذيب</w:t>
      </w:r>
      <w:r w:rsidR="00744A1C">
        <w:rPr>
          <w:rtl/>
          <w:lang w:bidi="fa-IR"/>
        </w:rPr>
        <w:t xml:space="preserve"> ، ج 6 : + « أبي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ج 6 : + « بعد ».</w:t>
      </w:r>
    </w:p>
    <w:p w:rsidR="00744A1C" w:rsidRDefault="00E378DD" w:rsidP="00E378DD">
      <w:pPr>
        <w:pStyle w:val="libFootnote0"/>
        <w:rPr>
          <w:lang w:bidi="fa-IR"/>
        </w:rPr>
      </w:pPr>
      <w:r>
        <w:rPr>
          <w:rtl/>
          <w:lang w:bidi="fa-IR"/>
        </w:rPr>
        <w:t>(6).</w:t>
      </w:r>
      <w:r w:rsidR="00744A1C">
        <w:rPr>
          <w:rtl/>
          <w:lang w:bidi="fa-IR"/>
        </w:rPr>
        <w:t xml:space="preserve"> حِدثان الأمر - بالكسر - : أوّله وابتداؤه. </w:t>
      </w:r>
      <w:r w:rsidR="00744A1C" w:rsidRPr="008A57EB">
        <w:rPr>
          <w:rStyle w:val="libFootnoteBoldChar"/>
          <w:rtl/>
        </w:rPr>
        <w:t>القاموس المحيط</w:t>
      </w:r>
      <w:r w:rsidR="00744A1C">
        <w:rPr>
          <w:rtl/>
          <w:lang w:bidi="fa-IR"/>
        </w:rPr>
        <w:t xml:space="preserve"> ، ج 1 ، ص 267 ( حدث ).</w:t>
      </w:r>
    </w:p>
    <w:p w:rsidR="006A5060" w:rsidRDefault="006A5060" w:rsidP="00D10E3C">
      <w:pPr>
        <w:pStyle w:val="libNormal"/>
        <w:rPr>
          <w:rtl/>
          <w:lang w:bidi="fa-IR"/>
        </w:rPr>
      </w:pPr>
      <w:r>
        <w:rPr>
          <w:rtl/>
          <w:lang w:bidi="fa-IR"/>
        </w:rPr>
        <w:br w:type="page"/>
      </w:r>
    </w:p>
    <w:p w:rsidR="00744A1C" w:rsidRDefault="00744A1C" w:rsidP="00605D69">
      <w:pPr>
        <w:pStyle w:val="libNormal0"/>
        <w:rPr>
          <w:lang w:bidi="fa-IR"/>
        </w:rPr>
      </w:pPr>
      <w:r>
        <w:rPr>
          <w:rtl/>
          <w:lang w:bidi="fa-IR"/>
        </w:rPr>
        <w:t xml:space="preserve">وَخَطَبُوا </w:t>
      </w:r>
      <w:r w:rsidRPr="00D10E3C">
        <w:rPr>
          <w:rStyle w:val="libFootnotenumChar"/>
          <w:rtl/>
        </w:rPr>
        <w:t>(1)</w:t>
      </w:r>
      <w:r>
        <w:rPr>
          <w:rtl/>
          <w:lang w:bidi="fa-IR"/>
        </w:rPr>
        <w:t xml:space="preserve"> فَأَطَالُوا </w:t>
      </w:r>
      <w:r w:rsidRPr="00D10E3C">
        <w:rPr>
          <w:rStyle w:val="libFootnotenumChar"/>
          <w:rtl/>
        </w:rPr>
        <w:t>(2)</w:t>
      </w:r>
      <w:r w:rsidR="00605D69" w:rsidRPr="00605D69">
        <w:rPr>
          <w:rFonts w:hint="cs"/>
          <w:rtl/>
        </w:rPr>
        <w:t>.</w:t>
      </w:r>
    </w:p>
    <w:p w:rsidR="00744A1C" w:rsidRDefault="00744A1C" w:rsidP="00744A1C">
      <w:pPr>
        <w:pStyle w:val="libNormal"/>
        <w:rPr>
          <w:lang w:bidi="fa-IR"/>
        </w:rPr>
      </w:pPr>
      <w:r>
        <w:rPr>
          <w:rtl/>
          <w:lang w:bidi="fa-IR"/>
        </w:rPr>
        <w:t xml:space="preserve">فَقَالَ لَهُمْ أَبُو عَبْدِ اللهِ </w:t>
      </w:r>
      <w:r w:rsidR="0061079A" w:rsidRPr="0061079A">
        <w:rPr>
          <w:rStyle w:val="libAlaemChar"/>
          <w:rtl/>
        </w:rPr>
        <w:t>عليه‌السلام</w:t>
      </w:r>
      <w:r w:rsidR="00D10E3C">
        <w:rPr>
          <w:rtl/>
          <w:lang w:bidi="fa-IR"/>
        </w:rPr>
        <w:t xml:space="preserve"> </w:t>
      </w:r>
      <w:r>
        <w:rPr>
          <w:rtl/>
          <w:lang w:bidi="fa-IR"/>
        </w:rPr>
        <w:t xml:space="preserve">: « إِنَّكُمْ قَدْ أَكْثَرْتُمْ عَلَيَّ ، فَأَسْنِدُوا أَمْرَكُمْ إِلى رَجُلٍ مِنْكُمْ ، وَلْيَتَكَلَّمْ بِحُجَجِكُمْ </w:t>
      </w:r>
      <w:r w:rsidRPr="00D10E3C">
        <w:rPr>
          <w:rStyle w:val="libFootnotenumChar"/>
          <w:rtl/>
        </w:rPr>
        <w:t>(3)</w:t>
      </w:r>
      <w:r>
        <w:rPr>
          <w:rtl/>
          <w:lang w:bidi="fa-IR"/>
        </w:rPr>
        <w:t xml:space="preserve"> وَيُوجِزُ </w:t>
      </w:r>
      <w:r w:rsidRPr="00D10E3C">
        <w:rPr>
          <w:rStyle w:val="libFootnotenumChar"/>
          <w:rtl/>
        </w:rPr>
        <w:t>(4)</w:t>
      </w:r>
      <w:r>
        <w:rPr>
          <w:rtl/>
          <w:lang w:bidi="fa-IR"/>
        </w:rPr>
        <w:t xml:space="preserve"> ».</w:t>
      </w:r>
    </w:p>
    <w:p w:rsidR="00744A1C" w:rsidRDefault="00744A1C" w:rsidP="00744A1C">
      <w:pPr>
        <w:pStyle w:val="libNormal"/>
        <w:rPr>
          <w:lang w:bidi="fa-IR"/>
        </w:rPr>
      </w:pPr>
      <w:r>
        <w:rPr>
          <w:rtl/>
          <w:lang w:bidi="fa-IR"/>
        </w:rPr>
        <w:t xml:space="preserve">فَأَسْنَدُوا أَمْرَهُمْ إِلى عَمْرِو بْنِ عُبَيْدٍ ، فَتَكَلَّمَ ، فَأَبْلَغَ وَأَطَالَ ، فَكَانَ </w:t>
      </w:r>
      <w:r w:rsidRPr="00D10E3C">
        <w:rPr>
          <w:rStyle w:val="libFootnotenumChar"/>
          <w:rtl/>
        </w:rPr>
        <w:t>(5)</w:t>
      </w:r>
      <w:r>
        <w:rPr>
          <w:rtl/>
          <w:lang w:bidi="fa-IR"/>
        </w:rPr>
        <w:t xml:space="preserve"> فِيمَا قَالَ أَنْ قَالَ : قَدْ قَتَلَ أَهْلُ الشَّامِ خَلِيفَتَهُمْ ، وَضَرَبَ اللهُ - عَزَّ وَجَلَّ - بَعْضَهُمْ بِبَعْضٍ </w:t>
      </w:r>
      <w:r w:rsidRPr="00D10E3C">
        <w:rPr>
          <w:rStyle w:val="libFootnotenumChar"/>
          <w:rtl/>
        </w:rPr>
        <w:t>(6)</w:t>
      </w:r>
      <w:r>
        <w:rPr>
          <w:rtl/>
          <w:lang w:bidi="fa-IR"/>
        </w:rPr>
        <w:t xml:space="preserve"> ، وَشَتَّتَ اللهُ </w:t>
      </w:r>
      <w:r w:rsidRPr="00D10E3C">
        <w:rPr>
          <w:rStyle w:val="libFootnotenumChar"/>
          <w:rtl/>
        </w:rPr>
        <w:t>(7)</w:t>
      </w:r>
      <w:r>
        <w:rPr>
          <w:rtl/>
          <w:lang w:bidi="fa-IR"/>
        </w:rPr>
        <w:t xml:space="preserve"> أَمْرَهُمْ ، فَنَظَرْنَا </w:t>
      </w:r>
      <w:r w:rsidRPr="00D10E3C">
        <w:rPr>
          <w:rStyle w:val="libFootnotenumChar"/>
          <w:rtl/>
        </w:rPr>
        <w:t>(8)</w:t>
      </w:r>
      <w:r>
        <w:rPr>
          <w:rtl/>
          <w:lang w:bidi="fa-IR"/>
        </w:rPr>
        <w:t xml:space="preserve"> ، فَوَجَدْنَا رَجُلاً لَهُ دِينٌ وَعَقْلٌ </w:t>
      </w:r>
      <w:r w:rsidRPr="00D10E3C">
        <w:rPr>
          <w:rStyle w:val="libFootnotenumChar"/>
          <w:rtl/>
        </w:rPr>
        <w:t>(9)</w:t>
      </w:r>
      <w:r>
        <w:rPr>
          <w:rtl/>
          <w:lang w:bidi="fa-IR"/>
        </w:rPr>
        <w:t xml:space="preserve"> وَمُرُوَّةٌ وَمَوْضِعٌ وَمَعْدِنٌ لِلْخِلَافَةِ ، وَهُوَ مُحَمَّدُ بْنُ عَبْدِ اللهِ بْنِ الْحَسَنِ ، فَأَرَدْنَا أَنْ نَجْتَمِعَ عَلَيْهِ ، فَنُبَايِعَهُ ، ثُمَّ نَظْهَرَ مَعَهُ ، فَمَنْ كَانَ بَايَعَنَا </w:t>
      </w:r>
      <w:r w:rsidRPr="00D10E3C">
        <w:rPr>
          <w:rStyle w:val="libFootnotenumChar"/>
          <w:rtl/>
        </w:rPr>
        <w:t>(10)</w:t>
      </w:r>
      <w:r>
        <w:rPr>
          <w:rtl/>
          <w:lang w:bidi="fa-IR"/>
        </w:rPr>
        <w:t xml:space="preserve"> فَهُوَ مِنَّا وَكُنَّا مِنْهُ ، وَمَنِ اعْتَزَلَنَا كَفَفْنَا عَنْهُ ، وَمَنْ نَصَبَ لَنَا </w:t>
      </w:r>
      <w:r w:rsidRPr="00D10E3C">
        <w:rPr>
          <w:rStyle w:val="libFootnotenumChar"/>
          <w:rtl/>
        </w:rPr>
        <w:t>(11)</w:t>
      </w:r>
      <w:r>
        <w:rPr>
          <w:rtl/>
          <w:lang w:bidi="fa-IR"/>
        </w:rPr>
        <w:t xml:space="preserve"> جَاهَدْنَاهُ وَنَصَبْنَا لَهُ عَلى بَغْيِهِ وَرَدِّهِ إِلَى الْحَقِّ وَأَهْلِهِ ، وَقَدْ أَحْبَبْنَا أَنْ نَعْرِضَ ذلِكَ عَلَيْكَ ، فَتَدْخُلَ مَعَنَا ؛ فَإِنَّهُ لَاغِنًى بِنَا عَنْ مِثْلِكَ ؛ لِمَوْضِعِكَ </w:t>
      </w:r>
      <w:r w:rsidRPr="00D10E3C">
        <w:rPr>
          <w:rStyle w:val="libFootnotenumChar"/>
          <w:rtl/>
        </w:rPr>
        <w:t>(12)</w:t>
      </w:r>
      <w:r>
        <w:rPr>
          <w:rtl/>
          <w:lang w:bidi="fa-IR"/>
        </w:rPr>
        <w:t xml:space="preserve"> وَكَثْرَةِ شِيعَتِكَ.</w:t>
      </w:r>
    </w:p>
    <w:p w:rsidR="00744A1C" w:rsidRDefault="00744A1C" w:rsidP="00744A1C">
      <w:pPr>
        <w:pStyle w:val="libNormal"/>
        <w:rPr>
          <w:lang w:bidi="fa-IR"/>
        </w:rPr>
      </w:pPr>
      <w:r>
        <w:rPr>
          <w:rtl/>
          <w:lang w:bidi="fa-IR"/>
        </w:rPr>
        <w:t xml:space="preserve">فَلَمَّا فَرَغَ ، قَالَ أَبُو عَبْدِ اللهِ </w:t>
      </w:r>
      <w:r w:rsidR="0061079A" w:rsidRPr="0061079A">
        <w:rPr>
          <w:rStyle w:val="libAlaemChar"/>
          <w:rtl/>
        </w:rPr>
        <w:t>عليه‌السلام</w:t>
      </w:r>
      <w:r w:rsidR="00D10E3C">
        <w:rPr>
          <w:rtl/>
          <w:lang w:bidi="fa-IR"/>
        </w:rPr>
        <w:t xml:space="preserve"> </w:t>
      </w:r>
      <w:r>
        <w:rPr>
          <w:rtl/>
          <w:lang w:bidi="fa-IR"/>
        </w:rPr>
        <w:t>: « أَكُلُّكُمْ عَلى مِثْلِ مَا قَالَ عَمْرٌو؟ ».</w:t>
      </w:r>
    </w:p>
    <w:p w:rsidR="00744A1C" w:rsidRDefault="00744A1C" w:rsidP="00744A1C">
      <w:pPr>
        <w:pStyle w:val="libNormal"/>
        <w:rPr>
          <w:lang w:bidi="fa-IR"/>
        </w:rPr>
      </w:pPr>
      <w:r>
        <w:rPr>
          <w:rtl/>
          <w:lang w:bidi="fa-IR"/>
        </w:rPr>
        <w:t>قَالُوا : نَعَمْ.</w:t>
      </w:r>
    </w:p>
    <w:p w:rsidR="00744A1C" w:rsidRDefault="00744A1C" w:rsidP="00744A1C">
      <w:pPr>
        <w:pStyle w:val="libNormal"/>
        <w:rPr>
          <w:lang w:bidi="fa-IR"/>
        </w:rPr>
      </w:pPr>
      <w:r>
        <w:rPr>
          <w:rtl/>
          <w:lang w:bidi="fa-IR"/>
        </w:rPr>
        <w:t xml:space="preserve">فَحَمِدَ اللهَ ، وَأَثْنى عَلَيْهِ ، وَصَلّى عَلَى النَّبِيِّ </w:t>
      </w:r>
      <w:r w:rsidR="007B299E" w:rsidRPr="007B299E">
        <w:rPr>
          <w:rStyle w:val="libAlaemChar"/>
          <w:rtl/>
        </w:rPr>
        <w:t>صلى‌الله‌عليه‌وآله</w:t>
      </w:r>
      <w:r w:rsidR="00D10E3C">
        <w:rPr>
          <w:rtl/>
          <w:lang w:bidi="fa-IR"/>
        </w:rPr>
        <w:t xml:space="preserve"> </w:t>
      </w:r>
      <w:r>
        <w:rPr>
          <w:rtl/>
          <w:lang w:bidi="fa-IR"/>
        </w:rPr>
        <w:t xml:space="preserve">، ثُمَّ قَالَ : « إِنَّمَا </w:t>
      </w:r>
      <w:r w:rsidRPr="00D10E3C">
        <w:rPr>
          <w:rStyle w:val="libFootnotenumChar"/>
          <w:rtl/>
        </w:rPr>
        <w:t>(13)</w:t>
      </w:r>
      <w:r>
        <w:rPr>
          <w:rtl/>
          <w:lang w:bidi="fa-IR"/>
        </w:rPr>
        <w:t xml:space="preserve"> نَسْخَطُ إِذَا عُصِيَ‌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جد ، جن » وحاشية « بس » : « وخبطوا ».</w:t>
      </w:r>
    </w:p>
    <w:p w:rsidR="00744A1C" w:rsidRDefault="00E378DD" w:rsidP="007A3720">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خطبوا فأطالوا ؛ يعني أتوا بصنعة الخطابة من الكلام من المظنونات والمقبولات ، أو أتوا بخطبة مشتملة على الحمد والثناء ».</w:t>
      </w:r>
      <w:r w:rsidR="00EE40F1">
        <w:rPr>
          <w:rFonts w:hint="cs"/>
          <w:rtl/>
          <w:lang w:bidi="fa-IR"/>
        </w:rPr>
        <w:t xml:space="preserve">                         </w:t>
      </w:r>
      <w:r w:rsidR="007A3720">
        <w:rPr>
          <w:rFonts w:hint="cs"/>
          <w:rtl/>
          <w:lang w:bidi="fa-IR"/>
        </w:rPr>
        <w:t xml:space="preserve">     </w:t>
      </w:r>
      <w:r>
        <w:rPr>
          <w:rtl/>
          <w:lang w:bidi="fa-IR"/>
        </w:rPr>
        <w:t>(3).</w:t>
      </w:r>
      <w:r w:rsidR="00744A1C">
        <w:rPr>
          <w:rtl/>
          <w:lang w:bidi="fa-IR"/>
        </w:rPr>
        <w:t xml:space="preserve"> في « بث » : « لحجّتكم ».</w:t>
      </w:r>
    </w:p>
    <w:tbl>
      <w:tblPr>
        <w:tblStyle w:val="TableGrid"/>
        <w:bidiVisual/>
        <w:tblW w:w="0" w:type="auto"/>
        <w:tblLook w:val="04A0" w:firstRow="1" w:lastRow="0" w:firstColumn="1" w:lastColumn="0" w:noHBand="0" w:noVBand="1"/>
      </w:tblPr>
      <w:tblGrid>
        <w:gridCol w:w="4006"/>
        <w:gridCol w:w="4006"/>
      </w:tblGrid>
      <w:tr w:rsidR="007A3720" w:rsidTr="007A3720">
        <w:tc>
          <w:tcPr>
            <w:tcW w:w="4006" w:type="dxa"/>
          </w:tcPr>
          <w:p w:rsidR="007A3720" w:rsidRDefault="007A3720" w:rsidP="00E378DD">
            <w:pPr>
              <w:pStyle w:val="libFootnote0"/>
              <w:rPr>
                <w:rtl/>
                <w:lang w:bidi="fa-IR"/>
              </w:rPr>
            </w:pPr>
            <w:r>
              <w:rPr>
                <w:rtl/>
                <w:lang w:bidi="fa-IR"/>
              </w:rPr>
              <w:t>(4). في « بس » : « ويوجر ».</w:t>
            </w:r>
          </w:p>
        </w:tc>
        <w:tc>
          <w:tcPr>
            <w:tcW w:w="4006" w:type="dxa"/>
          </w:tcPr>
          <w:p w:rsidR="007A3720" w:rsidRDefault="007A3720" w:rsidP="00E378DD">
            <w:pPr>
              <w:pStyle w:val="libFootnote0"/>
              <w:rPr>
                <w:rtl/>
                <w:lang w:bidi="fa-IR"/>
              </w:rPr>
            </w:pPr>
            <w:r>
              <w:rPr>
                <w:rtl/>
                <w:lang w:bidi="fa-IR"/>
              </w:rPr>
              <w:t xml:space="preserve">(5). في </w:t>
            </w:r>
            <w:r w:rsidRPr="007A3720">
              <w:rPr>
                <w:rtl/>
              </w:rPr>
              <w:t>الوافي</w:t>
            </w:r>
            <w:r>
              <w:rPr>
                <w:rtl/>
                <w:lang w:bidi="fa-IR"/>
              </w:rPr>
              <w:t xml:space="preserve"> : « وكان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وضرب بعضهم ببعض ، كناية عن الخلاف والشقاق بينهم ».</w:t>
      </w:r>
    </w:p>
    <w:tbl>
      <w:tblPr>
        <w:tblStyle w:val="TableGrid"/>
        <w:bidiVisual/>
        <w:tblW w:w="0" w:type="auto"/>
        <w:tblLook w:val="04A0" w:firstRow="1" w:lastRow="0" w:firstColumn="1" w:lastColumn="0" w:noHBand="0" w:noVBand="1"/>
      </w:tblPr>
      <w:tblGrid>
        <w:gridCol w:w="4006"/>
        <w:gridCol w:w="4006"/>
      </w:tblGrid>
      <w:tr w:rsidR="007A3720" w:rsidTr="007A3720">
        <w:tc>
          <w:tcPr>
            <w:tcW w:w="4006" w:type="dxa"/>
          </w:tcPr>
          <w:p w:rsidR="007A3720" w:rsidRDefault="007A3720" w:rsidP="00E378DD">
            <w:pPr>
              <w:pStyle w:val="libFootnote0"/>
              <w:rPr>
                <w:rtl/>
                <w:lang w:bidi="fa-IR"/>
              </w:rPr>
            </w:pPr>
            <w:r>
              <w:rPr>
                <w:rtl/>
                <w:lang w:bidi="fa-IR"/>
              </w:rPr>
              <w:t xml:space="preserve">(7). في </w:t>
            </w:r>
            <w:r w:rsidRPr="007A3720">
              <w:rPr>
                <w:rtl/>
              </w:rPr>
              <w:t>الوسائل والتهذيب</w:t>
            </w:r>
            <w:r>
              <w:rPr>
                <w:rtl/>
                <w:lang w:bidi="fa-IR"/>
              </w:rPr>
              <w:t xml:space="preserve"> ، ج 6 : - « الله ».</w:t>
            </w:r>
          </w:p>
        </w:tc>
        <w:tc>
          <w:tcPr>
            <w:tcW w:w="4006" w:type="dxa"/>
          </w:tcPr>
          <w:p w:rsidR="007A3720" w:rsidRDefault="007A3720" w:rsidP="00E378DD">
            <w:pPr>
              <w:pStyle w:val="libFootnote0"/>
              <w:rPr>
                <w:rtl/>
                <w:lang w:bidi="fa-IR"/>
              </w:rPr>
            </w:pPr>
            <w:r>
              <w:rPr>
                <w:rtl/>
                <w:lang w:bidi="fa-IR"/>
              </w:rPr>
              <w:t>(8). في « جن » : « فنظرناهم ».</w:t>
            </w:r>
          </w:p>
        </w:tc>
      </w:tr>
      <w:tr w:rsidR="007A3720" w:rsidTr="007A3720">
        <w:tc>
          <w:tcPr>
            <w:tcW w:w="4006" w:type="dxa"/>
          </w:tcPr>
          <w:p w:rsidR="007A3720" w:rsidRDefault="007A3720" w:rsidP="00E378DD">
            <w:pPr>
              <w:pStyle w:val="libFootnote0"/>
              <w:rPr>
                <w:rtl/>
                <w:lang w:bidi="fa-IR"/>
              </w:rPr>
            </w:pPr>
            <w:r>
              <w:rPr>
                <w:rtl/>
                <w:lang w:bidi="fa-IR"/>
              </w:rPr>
              <w:t xml:space="preserve">(9). في </w:t>
            </w:r>
            <w:r w:rsidRPr="007A3720">
              <w:rPr>
                <w:rtl/>
              </w:rPr>
              <w:t>الوسائل</w:t>
            </w:r>
            <w:r>
              <w:rPr>
                <w:rtl/>
                <w:lang w:bidi="fa-IR"/>
              </w:rPr>
              <w:t xml:space="preserve"> : « عقل ودين ».</w:t>
            </w:r>
          </w:p>
        </w:tc>
        <w:tc>
          <w:tcPr>
            <w:tcW w:w="4006" w:type="dxa"/>
          </w:tcPr>
          <w:p w:rsidR="007A3720" w:rsidRDefault="007A3720" w:rsidP="00E378DD">
            <w:pPr>
              <w:pStyle w:val="libFootnote0"/>
              <w:rPr>
                <w:rtl/>
                <w:lang w:bidi="fa-IR"/>
              </w:rPr>
            </w:pPr>
            <w:r>
              <w:rPr>
                <w:rtl/>
                <w:lang w:bidi="fa-IR"/>
              </w:rPr>
              <w:t xml:space="preserve">(10). في «ى،بث،جن» </w:t>
            </w:r>
            <w:r w:rsidRPr="007A3720">
              <w:rPr>
                <w:rtl/>
              </w:rPr>
              <w:t>والوسائل والتهذيب</w:t>
            </w:r>
            <w:r>
              <w:rPr>
                <w:rtl/>
                <w:lang w:bidi="fa-IR"/>
              </w:rPr>
              <w:t>:«تابعنا».</w:t>
            </w:r>
          </w:p>
        </w:tc>
      </w:tr>
    </w:tbl>
    <w:p w:rsidR="00744A1C" w:rsidRDefault="00E378DD" w:rsidP="00E378DD">
      <w:pPr>
        <w:pStyle w:val="libFootnote0"/>
        <w:rPr>
          <w:lang w:bidi="fa-IR"/>
        </w:rPr>
      </w:pPr>
      <w:r>
        <w:rPr>
          <w:rtl/>
          <w:lang w:bidi="fa-IR"/>
        </w:rPr>
        <w:t>(11).</w:t>
      </w:r>
      <w:r w:rsidR="007A3720">
        <w:rPr>
          <w:rtl/>
          <w:lang w:bidi="fa-IR"/>
        </w:rPr>
        <w:t xml:space="preserve"> النَصْب : الم</w:t>
      </w:r>
      <w:r w:rsidR="007A3720">
        <w:rPr>
          <w:rFonts w:hint="cs"/>
          <w:rtl/>
          <w:lang w:bidi="fa-IR"/>
        </w:rPr>
        <w:t>ـُ</w:t>
      </w:r>
      <w:r w:rsidR="00744A1C">
        <w:rPr>
          <w:rtl/>
          <w:lang w:bidi="fa-IR"/>
        </w:rPr>
        <w:t xml:space="preserve">عاداة. ومنه الناصب ، وهو الذي يتظاهر بعداوة أهل البيت </w:t>
      </w:r>
      <w:r w:rsidR="00877682" w:rsidRPr="00877682">
        <w:rPr>
          <w:rStyle w:val="libFootnoteAlaemChar"/>
          <w:rtl/>
        </w:rPr>
        <w:t>عليهم‌السلام</w:t>
      </w:r>
      <w:r w:rsidR="00D10E3C">
        <w:rPr>
          <w:rtl/>
          <w:lang w:bidi="fa-IR"/>
        </w:rPr>
        <w:t xml:space="preserve"> </w:t>
      </w:r>
      <w:r w:rsidR="00744A1C">
        <w:rPr>
          <w:rtl/>
          <w:lang w:bidi="fa-IR"/>
        </w:rPr>
        <w:t xml:space="preserve">أو لمواليهم لأجل متابعتهم لهم. </w:t>
      </w:r>
      <w:r w:rsidR="00744A1C" w:rsidRPr="008A57EB">
        <w:rPr>
          <w:rStyle w:val="libFootnoteBoldChar"/>
          <w:rtl/>
        </w:rPr>
        <w:t>القاموس المحيط</w:t>
      </w:r>
      <w:r w:rsidR="00744A1C">
        <w:rPr>
          <w:rtl/>
          <w:lang w:bidi="fa-IR"/>
        </w:rPr>
        <w:t xml:space="preserve"> ، ج 1 ، ص 239 ؛ </w:t>
      </w:r>
      <w:r w:rsidR="00744A1C" w:rsidRPr="008A57EB">
        <w:rPr>
          <w:rStyle w:val="libFootnoteBoldChar"/>
          <w:rtl/>
        </w:rPr>
        <w:t>مجمع البحرين</w:t>
      </w:r>
      <w:r w:rsidR="00744A1C">
        <w:rPr>
          <w:rtl/>
          <w:lang w:bidi="fa-IR"/>
        </w:rPr>
        <w:t xml:space="preserve"> ، ج 2 ، ص 173 ( نصب ).</w:t>
      </w:r>
    </w:p>
    <w:p w:rsidR="00744A1C" w:rsidRDefault="00E378DD" w:rsidP="00E378DD">
      <w:pPr>
        <w:pStyle w:val="libFootnote0"/>
        <w:rPr>
          <w:lang w:bidi="fa-IR"/>
        </w:rPr>
      </w:pPr>
      <w:r>
        <w:rPr>
          <w:rtl/>
          <w:lang w:bidi="fa-IR"/>
        </w:rPr>
        <w:t>(12).</w:t>
      </w:r>
      <w:r w:rsidR="00744A1C">
        <w:rPr>
          <w:rtl/>
          <w:lang w:bidi="fa-IR"/>
        </w:rPr>
        <w:t xml:space="preserve"> في « بف » : « بموضعك ».</w:t>
      </w:r>
    </w:p>
    <w:p w:rsidR="00744A1C" w:rsidRDefault="00E378DD" w:rsidP="00E378DD">
      <w:pPr>
        <w:pStyle w:val="libFootnote0"/>
        <w:rPr>
          <w:lang w:bidi="fa-IR"/>
        </w:rPr>
      </w:pPr>
      <w:r>
        <w:rPr>
          <w:rtl/>
          <w:lang w:bidi="fa-IR"/>
        </w:rPr>
        <w:t>(13).</w:t>
      </w:r>
      <w:r w:rsidR="00744A1C">
        <w:rPr>
          <w:rtl/>
          <w:lang w:bidi="fa-IR"/>
        </w:rPr>
        <w:t xml:space="preserve"> في « بف » : « إنّا ».</w:t>
      </w:r>
    </w:p>
    <w:p w:rsidR="006A5060" w:rsidRDefault="006A5060" w:rsidP="00D10E3C">
      <w:pPr>
        <w:pStyle w:val="libNormal"/>
        <w:rPr>
          <w:rtl/>
          <w:lang w:bidi="fa-IR"/>
        </w:rPr>
      </w:pPr>
      <w:r>
        <w:rPr>
          <w:rtl/>
          <w:lang w:bidi="fa-IR"/>
        </w:rPr>
        <w:br w:type="page"/>
      </w:r>
    </w:p>
    <w:p w:rsidR="00744A1C" w:rsidRDefault="00744A1C" w:rsidP="009062DE">
      <w:pPr>
        <w:pStyle w:val="libNormal0"/>
        <w:rPr>
          <w:lang w:bidi="fa-IR"/>
        </w:rPr>
      </w:pPr>
      <w:r>
        <w:rPr>
          <w:rtl/>
          <w:lang w:bidi="fa-IR"/>
        </w:rPr>
        <w:t xml:space="preserve">اللهُ ، فَأَمَّا إِذَا أُطِيعَ رَضِينَا ، أَخْبِرْنِي </w:t>
      </w:r>
      <w:r w:rsidRPr="00D10E3C">
        <w:rPr>
          <w:rStyle w:val="libFootnotenumChar"/>
          <w:rtl/>
        </w:rPr>
        <w:t>(1)</w:t>
      </w:r>
      <w:r>
        <w:rPr>
          <w:rtl/>
          <w:lang w:bidi="fa-IR"/>
        </w:rPr>
        <w:t xml:space="preserve"> يَا عَمْرُو ، لَوْ </w:t>
      </w:r>
      <w:r w:rsidRPr="00D10E3C">
        <w:rPr>
          <w:rStyle w:val="libFootnotenumChar"/>
          <w:rtl/>
        </w:rPr>
        <w:t>(2)</w:t>
      </w:r>
      <w:r>
        <w:rPr>
          <w:rtl/>
          <w:lang w:bidi="fa-IR"/>
        </w:rPr>
        <w:t xml:space="preserve"> أَنَّ الْأُمَّةَ قَلَّدَتْكَ أَمْرَهَا ، وَ</w:t>
      </w:r>
      <w:r w:rsidR="009062DE">
        <w:rPr>
          <w:rFonts w:hint="cs"/>
          <w:rtl/>
          <w:lang w:bidi="fa-IR"/>
        </w:rPr>
        <w:t xml:space="preserve"> </w:t>
      </w:r>
      <w:r>
        <w:rPr>
          <w:rtl/>
          <w:lang w:bidi="fa-IR"/>
        </w:rPr>
        <w:t xml:space="preserve">وَلَّتْكَ </w:t>
      </w:r>
      <w:r w:rsidRPr="00D10E3C">
        <w:rPr>
          <w:rStyle w:val="libFootnotenumChar"/>
          <w:rtl/>
        </w:rPr>
        <w:t>(3)</w:t>
      </w:r>
      <w:r>
        <w:rPr>
          <w:rtl/>
          <w:lang w:bidi="fa-IR"/>
        </w:rPr>
        <w:t xml:space="preserve"> بِغَيْرِ قِتَالٍ وَلَا مَؤُونَةٍ ، وَقِيلَ لَكَ : وَلِّهَا مَنْ شِئْتَ ، مَنْ كُنْتَ تُوَلِّيهَا؟ ».</w:t>
      </w:r>
    </w:p>
    <w:p w:rsidR="00744A1C" w:rsidRDefault="00744A1C" w:rsidP="00744A1C">
      <w:pPr>
        <w:pStyle w:val="libNormal"/>
        <w:rPr>
          <w:lang w:bidi="fa-IR"/>
        </w:rPr>
      </w:pPr>
      <w:r>
        <w:rPr>
          <w:rtl/>
          <w:lang w:bidi="fa-IR"/>
        </w:rPr>
        <w:t xml:space="preserve">قَالَ </w:t>
      </w:r>
      <w:r w:rsidRPr="00D10E3C">
        <w:rPr>
          <w:rStyle w:val="libFootnotenumChar"/>
          <w:rtl/>
        </w:rPr>
        <w:t>(4)</w:t>
      </w:r>
      <w:r>
        <w:rPr>
          <w:rtl/>
          <w:lang w:bidi="fa-IR"/>
        </w:rPr>
        <w:t xml:space="preserve"> : كُنْتُ أَجْعَلُهَا شُورى بَيْنَ الْمُسْلِمِينَ.</w:t>
      </w:r>
    </w:p>
    <w:p w:rsidR="00744A1C" w:rsidRDefault="00744A1C" w:rsidP="00744A1C">
      <w:pPr>
        <w:pStyle w:val="libNormal"/>
        <w:rPr>
          <w:lang w:bidi="fa-IR"/>
        </w:rPr>
      </w:pPr>
      <w:r>
        <w:rPr>
          <w:rtl/>
          <w:lang w:bidi="fa-IR"/>
        </w:rPr>
        <w:t>قَالَ : « بَيْنَ الْمُسْلِمِينَ كُلِّهِمْ؟ ».</w:t>
      </w:r>
    </w:p>
    <w:p w:rsidR="00744A1C" w:rsidRDefault="00744A1C" w:rsidP="00744A1C">
      <w:pPr>
        <w:pStyle w:val="libNormal"/>
        <w:rPr>
          <w:lang w:bidi="fa-IR"/>
        </w:rPr>
      </w:pPr>
      <w:r>
        <w:rPr>
          <w:rtl/>
          <w:lang w:bidi="fa-IR"/>
        </w:rPr>
        <w:t>قَالَ : نَعَمْ.</w:t>
      </w:r>
    </w:p>
    <w:p w:rsidR="00744A1C" w:rsidRDefault="00744A1C" w:rsidP="00744A1C">
      <w:pPr>
        <w:pStyle w:val="libNormal"/>
        <w:rPr>
          <w:lang w:bidi="fa-IR"/>
        </w:rPr>
      </w:pPr>
      <w:r>
        <w:rPr>
          <w:rtl/>
          <w:lang w:bidi="fa-IR"/>
        </w:rPr>
        <w:t>قَالَ : « بَيْنَ فُقَهَائِهِمْ وَخِيَارِهِمْ؟ ».</w:t>
      </w:r>
    </w:p>
    <w:p w:rsidR="00744A1C" w:rsidRDefault="00744A1C" w:rsidP="00744A1C">
      <w:pPr>
        <w:pStyle w:val="libNormal"/>
        <w:rPr>
          <w:lang w:bidi="fa-IR"/>
        </w:rPr>
      </w:pPr>
      <w:r>
        <w:rPr>
          <w:rtl/>
          <w:lang w:bidi="fa-IR"/>
        </w:rPr>
        <w:t>قَالَ : نَعَمْ.</w:t>
      </w:r>
    </w:p>
    <w:p w:rsidR="00744A1C" w:rsidRDefault="00744A1C" w:rsidP="00744A1C">
      <w:pPr>
        <w:pStyle w:val="libNormal"/>
        <w:rPr>
          <w:lang w:bidi="fa-IR"/>
        </w:rPr>
      </w:pPr>
      <w:r>
        <w:rPr>
          <w:rtl/>
          <w:lang w:bidi="fa-IR"/>
        </w:rPr>
        <w:t>قَالَ : « قُرَيْشٍ وَغَيْرِهِمْ؟ ».</w:t>
      </w:r>
    </w:p>
    <w:p w:rsidR="00744A1C" w:rsidRDefault="00744A1C" w:rsidP="00744A1C">
      <w:pPr>
        <w:pStyle w:val="libNormal"/>
        <w:rPr>
          <w:lang w:bidi="fa-IR"/>
        </w:rPr>
      </w:pPr>
      <w:r>
        <w:rPr>
          <w:rtl/>
          <w:lang w:bidi="fa-IR"/>
        </w:rPr>
        <w:t>قَالَ : نَعَمْ.</w:t>
      </w:r>
    </w:p>
    <w:p w:rsidR="00744A1C" w:rsidRDefault="00744A1C" w:rsidP="00744A1C">
      <w:pPr>
        <w:pStyle w:val="libNormal"/>
        <w:rPr>
          <w:lang w:bidi="fa-IR"/>
        </w:rPr>
      </w:pPr>
      <w:r>
        <w:rPr>
          <w:rtl/>
          <w:lang w:bidi="fa-IR"/>
        </w:rPr>
        <w:t xml:space="preserve">قَالَ : « وَالْعَرَبِ </w:t>
      </w:r>
      <w:r w:rsidRPr="00D10E3C">
        <w:rPr>
          <w:rStyle w:val="libFootnotenumChar"/>
          <w:rtl/>
        </w:rPr>
        <w:t>(5)</w:t>
      </w:r>
      <w:r>
        <w:rPr>
          <w:rtl/>
          <w:lang w:bidi="fa-IR"/>
        </w:rPr>
        <w:t xml:space="preserve"> وَالْعَجَمِ؟ </w:t>
      </w:r>
      <w:r w:rsidRPr="00D10E3C">
        <w:rPr>
          <w:rStyle w:val="libFootnotenumChar"/>
          <w:rtl/>
        </w:rPr>
        <w:t>(6)</w:t>
      </w:r>
      <w:r>
        <w:rPr>
          <w:rtl/>
          <w:lang w:bidi="fa-IR"/>
        </w:rPr>
        <w:t xml:space="preserve"> ».</w:t>
      </w:r>
    </w:p>
    <w:p w:rsidR="00744A1C" w:rsidRDefault="00744A1C" w:rsidP="00744A1C">
      <w:pPr>
        <w:pStyle w:val="libNormal"/>
        <w:rPr>
          <w:lang w:bidi="fa-IR"/>
        </w:rPr>
      </w:pPr>
      <w:r>
        <w:rPr>
          <w:rtl/>
          <w:lang w:bidi="fa-IR"/>
        </w:rPr>
        <w:t>قَالَ : نَعَمْ.</w:t>
      </w:r>
    </w:p>
    <w:p w:rsidR="00744A1C" w:rsidRDefault="00744A1C" w:rsidP="00744A1C">
      <w:pPr>
        <w:pStyle w:val="libNormal"/>
        <w:rPr>
          <w:lang w:bidi="fa-IR"/>
        </w:rPr>
      </w:pPr>
      <w:r>
        <w:rPr>
          <w:rtl/>
          <w:lang w:bidi="fa-IR"/>
        </w:rPr>
        <w:t xml:space="preserve">قَالَ : « أَخْبِرْنِي </w:t>
      </w:r>
      <w:r w:rsidRPr="00D10E3C">
        <w:rPr>
          <w:rStyle w:val="libFootnotenumChar"/>
          <w:rtl/>
        </w:rPr>
        <w:t>(7)</w:t>
      </w:r>
      <w:r>
        <w:rPr>
          <w:rtl/>
          <w:lang w:bidi="fa-IR"/>
        </w:rPr>
        <w:t xml:space="preserve"> يَا عَمْرُو ، أَتَتَوَلّى </w:t>
      </w:r>
      <w:r w:rsidRPr="00D10E3C">
        <w:rPr>
          <w:rStyle w:val="libFootnotenumChar"/>
          <w:rtl/>
        </w:rPr>
        <w:t>(8)</w:t>
      </w:r>
      <w:r>
        <w:rPr>
          <w:rtl/>
          <w:lang w:bidi="fa-IR"/>
        </w:rPr>
        <w:t xml:space="preserve"> أَبَا بَكْرٍ وَعُمَرَ ، أَوْ تَتَبَرَّأُ مِنْهُمَا؟ ».</w:t>
      </w:r>
    </w:p>
    <w:p w:rsidR="00744A1C" w:rsidRDefault="009062DE" w:rsidP="00744A1C">
      <w:pPr>
        <w:pStyle w:val="libNormal"/>
        <w:rPr>
          <w:lang w:bidi="fa-IR"/>
        </w:rPr>
      </w:pPr>
      <w:r>
        <w:rPr>
          <w:rtl/>
          <w:lang w:bidi="fa-IR"/>
        </w:rPr>
        <w:t>قَالَ : أَتَوَل</w:t>
      </w:r>
      <w:r>
        <w:rPr>
          <w:rFonts w:hint="cs"/>
          <w:rtl/>
          <w:lang w:bidi="fa-IR"/>
        </w:rPr>
        <w:t>َّ</w:t>
      </w:r>
      <w:r>
        <w:rPr>
          <w:rtl/>
          <w:lang w:bidi="fa-IR"/>
        </w:rPr>
        <w:t>ا</w:t>
      </w:r>
      <w:r w:rsidR="00744A1C">
        <w:rPr>
          <w:rtl/>
          <w:lang w:bidi="fa-IR"/>
        </w:rPr>
        <w:t xml:space="preserve">هُمَا </w:t>
      </w:r>
      <w:r w:rsidR="00744A1C" w:rsidRPr="00D10E3C">
        <w:rPr>
          <w:rStyle w:val="libFootnotenumChar"/>
          <w:rtl/>
        </w:rPr>
        <w:t>(9)</w:t>
      </w:r>
      <w:r w:rsidR="005E4686" w:rsidRPr="005E4686">
        <w:rPr>
          <w:rFonts w:hint="cs"/>
          <w:rtl/>
        </w:rPr>
        <w:t>.</w:t>
      </w:r>
    </w:p>
    <w:p w:rsidR="00744A1C" w:rsidRDefault="00744A1C" w:rsidP="00744A1C">
      <w:pPr>
        <w:pStyle w:val="libNormal"/>
        <w:rPr>
          <w:lang w:bidi="fa-IR"/>
        </w:rPr>
      </w:pPr>
      <w:r>
        <w:rPr>
          <w:rtl/>
          <w:lang w:bidi="fa-IR"/>
        </w:rPr>
        <w:t>فَقَالَ : « فَقَدْ خَالَفْتَهُمَا ، مَا تَقُولُونَ أَنْتُمْ تَتَوَلَّوْنَهُمَا أَوْ تَتَبَرَّؤُونَ مِنْهُمَا؟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بس ، بف ، جد » </w:t>
      </w:r>
      <w:r w:rsidR="00744A1C" w:rsidRPr="00F71F8A">
        <w:rPr>
          <w:rtl/>
        </w:rPr>
        <w:t>و</w:t>
      </w:r>
      <w:r w:rsidR="00F71F8A">
        <w:rPr>
          <w:rFonts w:hint="cs"/>
          <w:rtl/>
        </w:rPr>
        <w:t xml:space="preserve"> </w:t>
      </w:r>
      <w:r w:rsidR="00744A1C" w:rsidRPr="00F71F8A">
        <w:rPr>
          <w:rtl/>
        </w:rPr>
        <w:t>الوافي :</w:t>
      </w:r>
      <w:r w:rsidR="00744A1C">
        <w:rPr>
          <w:rtl/>
          <w:lang w:bidi="fa-IR"/>
        </w:rPr>
        <w:t xml:space="preserve"> « خبِر</w:t>
      </w:r>
      <w:r w:rsidR="005E4686">
        <w:rPr>
          <w:rFonts w:hint="cs"/>
          <w:rtl/>
          <w:lang w:bidi="fa-IR"/>
        </w:rPr>
        <w:t>ّ</w:t>
      </w:r>
      <w:r w:rsidR="00744A1C">
        <w:rPr>
          <w:rtl/>
          <w:lang w:bidi="fa-IR"/>
        </w:rPr>
        <w:t>ني ».</w:t>
      </w:r>
    </w:p>
    <w:p w:rsidR="00744A1C" w:rsidRDefault="00E378DD" w:rsidP="00E378DD">
      <w:pPr>
        <w:pStyle w:val="libFootnote0"/>
        <w:rPr>
          <w:lang w:bidi="fa-IR"/>
        </w:rPr>
      </w:pPr>
      <w:r>
        <w:rPr>
          <w:rtl/>
          <w:lang w:bidi="fa-IR"/>
        </w:rPr>
        <w:t>(2).</w:t>
      </w:r>
      <w:r w:rsidR="00744A1C">
        <w:rPr>
          <w:rtl/>
          <w:lang w:bidi="fa-IR"/>
        </w:rPr>
        <w:t xml:space="preserve"> في « بس ، بف » : « ولو ».</w:t>
      </w:r>
    </w:p>
    <w:p w:rsidR="00744A1C" w:rsidRDefault="00E378DD" w:rsidP="00E378DD">
      <w:pPr>
        <w:pStyle w:val="libFootnote0"/>
        <w:rPr>
          <w:lang w:bidi="fa-IR"/>
        </w:rPr>
      </w:pPr>
      <w:r>
        <w:rPr>
          <w:rtl/>
          <w:lang w:bidi="fa-IR"/>
        </w:rPr>
        <w:t>(3).</w:t>
      </w:r>
      <w:r w:rsidR="00744A1C">
        <w:rPr>
          <w:rtl/>
          <w:lang w:bidi="fa-IR"/>
        </w:rPr>
        <w:t xml:space="preserve"> في « بث ، بف ، جد » وحاشية « بح » </w:t>
      </w:r>
      <w:r w:rsidR="00744A1C" w:rsidRPr="00F71F8A">
        <w:rPr>
          <w:rtl/>
        </w:rPr>
        <w:t>و</w:t>
      </w:r>
      <w:r w:rsidR="00F71F8A">
        <w:rPr>
          <w:rFonts w:hint="cs"/>
          <w:rtl/>
        </w:rPr>
        <w:t xml:space="preserve"> </w:t>
      </w:r>
      <w:r w:rsidR="00744A1C" w:rsidRPr="00F71F8A">
        <w:rPr>
          <w:rtl/>
        </w:rPr>
        <w:t>الوافي و</w:t>
      </w:r>
      <w:r w:rsidR="00F71F8A">
        <w:rPr>
          <w:rFonts w:hint="cs"/>
          <w:rtl/>
        </w:rPr>
        <w:t xml:space="preserve"> </w:t>
      </w:r>
      <w:r w:rsidR="00744A1C" w:rsidRPr="00F71F8A">
        <w:rPr>
          <w:rtl/>
        </w:rPr>
        <w:t>التهذيب</w:t>
      </w:r>
      <w:r w:rsidR="00744A1C">
        <w:rPr>
          <w:rtl/>
          <w:lang w:bidi="fa-IR"/>
        </w:rPr>
        <w:t xml:space="preserve"> ، ج 6 : « و</w:t>
      </w:r>
      <w:r w:rsidR="00F71F8A">
        <w:rPr>
          <w:rFonts w:hint="cs"/>
          <w:rtl/>
          <w:lang w:bidi="fa-IR"/>
        </w:rPr>
        <w:t xml:space="preserve"> </w:t>
      </w:r>
      <w:r w:rsidR="00744A1C">
        <w:rPr>
          <w:rtl/>
          <w:lang w:bidi="fa-IR"/>
        </w:rPr>
        <w:t>ولّتكه ».</w:t>
      </w:r>
    </w:p>
    <w:p w:rsidR="00744A1C" w:rsidRDefault="00E378DD" w:rsidP="00E378DD">
      <w:pPr>
        <w:pStyle w:val="libFootnote0"/>
        <w:rPr>
          <w:lang w:bidi="fa-IR"/>
        </w:rPr>
      </w:pPr>
      <w:r>
        <w:rPr>
          <w:rtl/>
          <w:lang w:bidi="fa-IR"/>
        </w:rPr>
        <w:t>(4).</w:t>
      </w:r>
      <w:r w:rsidR="00744A1C">
        <w:rPr>
          <w:rtl/>
          <w:lang w:bidi="fa-IR"/>
        </w:rPr>
        <w:t xml:space="preserve"> في « ى ، جد » : « فقال ».</w:t>
      </w:r>
    </w:p>
    <w:p w:rsidR="00744A1C" w:rsidRDefault="00E378DD" w:rsidP="00E378DD">
      <w:pPr>
        <w:pStyle w:val="libFootnote0"/>
        <w:rPr>
          <w:lang w:bidi="fa-IR"/>
        </w:rPr>
      </w:pPr>
      <w:r>
        <w:rPr>
          <w:rtl/>
          <w:lang w:bidi="fa-IR"/>
        </w:rPr>
        <w:t>(5).</w:t>
      </w:r>
      <w:r w:rsidR="00744A1C">
        <w:rPr>
          <w:rtl/>
          <w:lang w:bidi="fa-IR"/>
        </w:rPr>
        <w:t xml:space="preserve"> في « ى »</w:t>
      </w:r>
      <w:r w:rsidR="00744A1C" w:rsidRPr="00F71F8A">
        <w:rPr>
          <w:rtl/>
        </w:rPr>
        <w:t xml:space="preserve"> و</w:t>
      </w:r>
      <w:r w:rsidR="00F71F8A">
        <w:rPr>
          <w:rFonts w:hint="cs"/>
          <w:rtl/>
        </w:rPr>
        <w:t xml:space="preserve"> </w:t>
      </w:r>
      <w:r w:rsidR="00744A1C" w:rsidRPr="00F71F8A">
        <w:rPr>
          <w:rtl/>
        </w:rPr>
        <w:t>الوافي</w:t>
      </w:r>
      <w:r w:rsidR="00744A1C">
        <w:rPr>
          <w:rtl/>
          <w:lang w:bidi="fa-IR"/>
        </w:rPr>
        <w:t xml:space="preserve"> : « العرب » بدون الواو. وفي « جن » : « عرب » بدون الواو.</w:t>
      </w:r>
    </w:p>
    <w:p w:rsidR="00744A1C" w:rsidRDefault="00E378DD" w:rsidP="00E378DD">
      <w:pPr>
        <w:pStyle w:val="libFootnote0"/>
        <w:rPr>
          <w:lang w:bidi="fa-IR"/>
        </w:rPr>
      </w:pPr>
      <w:r>
        <w:rPr>
          <w:rtl/>
          <w:lang w:bidi="fa-IR"/>
        </w:rPr>
        <w:t>(6).</w:t>
      </w:r>
      <w:r w:rsidR="00744A1C">
        <w:rPr>
          <w:rtl/>
          <w:lang w:bidi="fa-IR"/>
        </w:rPr>
        <w:t xml:space="preserve"> في « جن » : « عرب وعجم » بدل « والعرب والعجم ».</w:t>
      </w:r>
    </w:p>
    <w:p w:rsidR="00744A1C" w:rsidRDefault="00E378DD" w:rsidP="00E378DD">
      <w:pPr>
        <w:pStyle w:val="libFootnote0"/>
        <w:rPr>
          <w:lang w:bidi="fa-IR"/>
        </w:rPr>
      </w:pPr>
      <w:r>
        <w:rPr>
          <w:rtl/>
          <w:lang w:bidi="fa-IR"/>
        </w:rPr>
        <w:t>(7).</w:t>
      </w:r>
      <w:r w:rsidR="00744A1C">
        <w:rPr>
          <w:rtl/>
          <w:lang w:bidi="fa-IR"/>
        </w:rPr>
        <w:t xml:space="preserve"> في « بس » : - « أخبرني ».</w:t>
      </w:r>
    </w:p>
    <w:p w:rsidR="00744A1C" w:rsidRDefault="00E378DD" w:rsidP="00E378DD">
      <w:pPr>
        <w:pStyle w:val="libFootnote0"/>
        <w:rPr>
          <w:lang w:bidi="fa-IR"/>
        </w:rPr>
      </w:pPr>
      <w:r>
        <w:rPr>
          <w:rtl/>
          <w:lang w:bidi="fa-IR"/>
        </w:rPr>
        <w:t>(8).</w:t>
      </w:r>
      <w:r w:rsidR="00744A1C">
        <w:rPr>
          <w:rtl/>
          <w:lang w:bidi="fa-IR"/>
        </w:rPr>
        <w:t xml:space="preserve"> في « بح ، جت » : « أتتوالى ». وفي « بس » : « تتولّى » بدون همزة الاستفهام.</w:t>
      </w:r>
    </w:p>
    <w:p w:rsidR="00744A1C" w:rsidRDefault="00E378DD" w:rsidP="00E378DD">
      <w:pPr>
        <w:pStyle w:val="libFootnote0"/>
        <w:rPr>
          <w:lang w:bidi="fa-IR"/>
        </w:rPr>
      </w:pPr>
      <w:r>
        <w:rPr>
          <w:rtl/>
          <w:lang w:bidi="fa-IR"/>
        </w:rPr>
        <w:t>(9).</w:t>
      </w:r>
      <w:r w:rsidR="00744A1C">
        <w:rPr>
          <w:rtl/>
          <w:lang w:bidi="fa-IR"/>
        </w:rPr>
        <w:t xml:space="preserve"> في « بح ، جن » : « أتوالاهما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قَالُوا : نَتَوَلاَّهُمَا </w:t>
      </w:r>
      <w:r w:rsidRPr="00D10E3C">
        <w:rPr>
          <w:rStyle w:val="libFootnotenumChar"/>
          <w:rtl/>
        </w:rPr>
        <w:t>(1)</w:t>
      </w:r>
      <w:r w:rsidR="0009364A" w:rsidRPr="0009364A">
        <w:rPr>
          <w:rFonts w:hint="cs"/>
          <w:rtl/>
        </w:rPr>
        <w:t>.</w:t>
      </w:r>
    </w:p>
    <w:p w:rsidR="00744A1C" w:rsidRDefault="00744A1C" w:rsidP="00744A1C">
      <w:pPr>
        <w:pStyle w:val="libNormal"/>
        <w:rPr>
          <w:lang w:bidi="fa-IR"/>
        </w:rPr>
      </w:pPr>
      <w:r>
        <w:rPr>
          <w:rtl/>
          <w:lang w:bidi="fa-IR"/>
        </w:rPr>
        <w:t xml:space="preserve">قَالَ </w:t>
      </w:r>
      <w:r w:rsidRPr="00D10E3C">
        <w:rPr>
          <w:rStyle w:val="libFootnotenumChar"/>
          <w:rtl/>
        </w:rPr>
        <w:t>(2)</w:t>
      </w:r>
      <w:r>
        <w:rPr>
          <w:rtl/>
          <w:lang w:bidi="fa-IR"/>
        </w:rPr>
        <w:t xml:space="preserve"> : « يَا عَمْرُو ، إِنْ </w:t>
      </w:r>
      <w:r w:rsidRPr="00D10E3C">
        <w:rPr>
          <w:rStyle w:val="libFootnotenumChar"/>
          <w:rtl/>
        </w:rPr>
        <w:t>(3)</w:t>
      </w:r>
      <w:r>
        <w:rPr>
          <w:rtl/>
          <w:lang w:bidi="fa-IR"/>
        </w:rPr>
        <w:t xml:space="preserve"> كُنْتَ رَجُلاً تَتَبَرَّأُ مِنْهُمَا ، فَإِنَّهُ يَجُوزُ لَكَ الْخِلَافُ عَلَيْهِمَا ، وَإِنْ </w:t>
      </w:r>
      <w:r w:rsidRPr="00D10E3C">
        <w:rPr>
          <w:rStyle w:val="libFootnotenumChar"/>
          <w:rtl/>
        </w:rPr>
        <w:t>(4)</w:t>
      </w:r>
      <w:r>
        <w:rPr>
          <w:rtl/>
          <w:lang w:bidi="fa-IR"/>
        </w:rPr>
        <w:t xml:space="preserve"> كُنْتَ تَتَوَلاَّهُمَا </w:t>
      </w:r>
      <w:r w:rsidRPr="00D10E3C">
        <w:rPr>
          <w:rStyle w:val="libFootnotenumChar"/>
          <w:rtl/>
        </w:rPr>
        <w:t>(5)</w:t>
      </w:r>
      <w:r>
        <w:rPr>
          <w:rtl/>
          <w:lang w:bidi="fa-IR"/>
        </w:rPr>
        <w:t xml:space="preserve"> فَقَدْ خَالَفْتَهُمَا ؛ قَدْ عَمِدَ </w:t>
      </w:r>
      <w:r w:rsidRPr="00D10E3C">
        <w:rPr>
          <w:rStyle w:val="libFootnotenumChar"/>
          <w:rtl/>
        </w:rPr>
        <w:t>(6)</w:t>
      </w:r>
      <w:r>
        <w:rPr>
          <w:rtl/>
          <w:lang w:bidi="fa-IR"/>
        </w:rPr>
        <w:t xml:space="preserve"> عُمَرُ إِلى أَبِي بَكْرٍ فَبَايَعَهُ ، وَلَمْ يُشَاوِرْ فِيهِ أَحَداً ، ثُمَّ رَدَّهَا أَبُو بَكْرٍ عَلَيْهِ ، وَلَمْ يُشَاوِرْ فِيهِ </w:t>
      </w:r>
      <w:r w:rsidRPr="00D10E3C">
        <w:rPr>
          <w:rStyle w:val="libFootnotenumChar"/>
          <w:rtl/>
        </w:rPr>
        <w:t>(7)</w:t>
      </w:r>
      <w:r>
        <w:rPr>
          <w:rtl/>
          <w:lang w:bidi="fa-IR"/>
        </w:rPr>
        <w:t xml:space="preserve"> أَحَداً </w:t>
      </w:r>
      <w:r w:rsidRPr="00D10E3C">
        <w:rPr>
          <w:rStyle w:val="libFootnotenumChar"/>
          <w:rtl/>
        </w:rPr>
        <w:t>(8)</w:t>
      </w:r>
      <w:r>
        <w:rPr>
          <w:rtl/>
          <w:lang w:bidi="fa-IR"/>
        </w:rPr>
        <w:t xml:space="preserve"> ، ثُمَّ جَعَلَهَا عُمَرُ شُورى بَيْنَ سِتَّةٍ ، وَأَخْرَجَ مِنْهَا جَمِيعَ الْمُهَاجِرِينَ وَالْأَنْصَارِ غَيْرَ أُولئِكَ السِّتَّةِ مِنْ قُرَيْشٍ ، وَأَوْصى فِيهِمْ </w:t>
      </w:r>
      <w:r w:rsidRPr="00D10E3C">
        <w:rPr>
          <w:rStyle w:val="libFootnotenumChar"/>
          <w:rtl/>
        </w:rPr>
        <w:t>(9)</w:t>
      </w:r>
      <w:r>
        <w:rPr>
          <w:rtl/>
          <w:lang w:bidi="fa-IR"/>
        </w:rPr>
        <w:t xml:space="preserve"> شَيْئاً لَا أَرَاكَ تَرْضى بِهِ أَنْتَ وَلَا أَصْحَابُكَ ؛ إِذْ جَعَلْتَهَا شُورى بَيْنَ جَمِيعِ الْمُسْلِمِينَ ».</w:t>
      </w:r>
    </w:p>
    <w:p w:rsidR="00744A1C" w:rsidRDefault="00744A1C" w:rsidP="00744A1C">
      <w:pPr>
        <w:pStyle w:val="libNormal"/>
        <w:rPr>
          <w:lang w:bidi="fa-IR"/>
        </w:rPr>
      </w:pPr>
      <w:r>
        <w:rPr>
          <w:rtl/>
          <w:lang w:bidi="fa-IR"/>
        </w:rPr>
        <w:t>قَالَ : وَمَا صَنَعَ؟</w:t>
      </w:r>
    </w:p>
    <w:p w:rsidR="00744A1C" w:rsidRDefault="00744A1C" w:rsidP="00744A1C">
      <w:pPr>
        <w:pStyle w:val="libNormal"/>
        <w:rPr>
          <w:lang w:bidi="fa-IR"/>
        </w:rPr>
      </w:pPr>
      <w:r>
        <w:rPr>
          <w:rtl/>
          <w:lang w:bidi="fa-IR"/>
        </w:rPr>
        <w:t xml:space="preserve">قَالَ : « أَمَرَ صُهَيْباً </w:t>
      </w:r>
      <w:r w:rsidRPr="00D10E3C">
        <w:rPr>
          <w:rStyle w:val="libFootnotenumChar"/>
          <w:rtl/>
        </w:rPr>
        <w:t>(10)</w:t>
      </w:r>
      <w:r>
        <w:rPr>
          <w:rtl/>
          <w:lang w:bidi="fa-IR"/>
        </w:rPr>
        <w:t xml:space="preserve"> أَنْ يُصَلِّيَ بِالنَّاسِ </w:t>
      </w:r>
      <w:r w:rsidRPr="00D10E3C">
        <w:rPr>
          <w:rStyle w:val="libFootnotenumChar"/>
          <w:rtl/>
        </w:rPr>
        <w:t>(11)</w:t>
      </w:r>
      <w:r>
        <w:rPr>
          <w:rtl/>
          <w:lang w:bidi="fa-IR"/>
        </w:rPr>
        <w:t xml:space="preserve"> ثَلَاثَةَ أَيَّامٍ ، وَأَنْ يُشَاوِرَ أُولئِكَ السِّتَّ</w:t>
      </w:r>
      <w:r w:rsidR="0009364A">
        <w:rPr>
          <w:rtl/>
          <w:lang w:bidi="fa-IR"/>
        </w:rPr>
        <w:t>ةَ لَيْسَ مَعَهُمْ أَحَدٌ إِل</w:t>
      </w:r>
      <w:r w:rsidR="0009364A">
        <w:rPr>
          <w:rFonts w:hint="cs"/>
          <w:rtl/>
          <w:lang w:bidi="fa-IR"/>
        </w:rPr>
        <w:t>َّ</w:t>
      </w:r>
      <w:r w:rsidR="0009364A">
        <w:rPr>
          <w:rtl/>
          <w:lang w:bidi="fa-IR"/>
        </w:rPr>
        <w:t>ا</w:t>
      </w:r>
      <w:r>
        <w:rPr>
          <w:rtl/>
          <w:lang w:bidi="fa-IR"/>
        </w:rPr>
        <w:t xml:space="preserve"> ابْنُ عُمَرَ يُشَاوِرُونَهُ ، وَلَيْسَ لَهُ مِنَ الْأَمْرِ شَيْ‌ءٌ ، وَ</w:t>
      </w:r>
      <w:r w:rsidR="00A21778">
        <w:rPr>
          <w:rFonts w:hint="cs"/>
          <w:rtl/>
          <w:lang w:bidi="fa-IR"/>
        </w:rPr>
        <w:t xml:space="preserve"> </w:t>
      </w:r>
      <w:r>
        <w:rPr>
          <w:rtl/>
          <w:lang w:bidi="fa-IR"/>
        </w:rPr>
        <w:t xml:space="preserve">أَوْصى مَنْ بِحَضْرَتِهِ مِنَ الْمُهَاجِرِينَ وَالْأَنْصَارِ : إِنْ مَضَتْ ثَلَاثَةُ أَيَّامٍ قَبْلَ أَنْ يَفْرُغُوا أَوْ يُبَايِعُوا رَجُلاً ، أَنْ يَضْرِبُوا أَعْنَاقَ أُولئِكَ السِّتَّةِ جَمِيعاً ؛ فَإِنِ اجْتَمَعَ أَرْبَعَةٌ قَبْلَ أَنْ تَمْضِيَ </w:t>
      </w:r>
      <w:r w:rsidRPr="00D10E3C">
        <w:rPr>
          <w:rStyle w:val="libFootnotenumChar"/>
          <w:rtl/>
        </w:rPr>
        <w:t>(12)</w:t>
      </w:r>
      <w:r>
        <w:rPr>
          <w:rtl/>
          <w:lang w:bidi="fa-IR"/>
        </w:rPr>
        <w:t xml:space="preserve"> ثَلَاثَةُ أَيَّامٍ ، وَخَالَفَ اثْنَانِ ، أَنْ يَضْرِبُوا أَعْنَاقَ الِاثْنَيْنِ ؛ أَفَتَرْضَوْنَ بِهذَا أَنْتُمْ فِيمَا تَجْعَلُونَ مِنَ الشُّورى فِي‌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جن » : « نتوالاهما </w:t>
      </w:r>
      <w:r w:rsidR="00A21778">
        <w:rPr>
          <w:rtl/>
          <w:lang w:bidi="fa-IR"/>
        </w:rPr>
        <w:t>». وفي « بس » : - « قال : أتول</w:t>
      </w:r>
      <w:r w:rsidR="00A21778">
        <w:rPr>
          <w:rFonts w:hint="cs"/>
          <w:rtl/>
          <w:lang w:bidi="fa-IR"/>
        </w:rPr>
        <w:t>ّ</w:t>
      </w:r>
      <w:r w:rsidR="00A21778">
        <w:rPr>
          <w:rtl/>
          <w:lang w:bidi="fa-IR"/>
        </w:rPr>
        <w:t>ا</w:t>
      </w:r>
      <w:r w:rsidR="00744A1C">
        <w:rPr>
          <w:rtl/>
          <w:lang w:bidi="fa-IR"/>
        </w:rPr>
        <w:t>هما » إلى هنا.</w:t>
      </w:r>
    </w:p>
    <w:tbl>
      <w:tblPr>
        <w:tblStyle w:val="TableGrid"/>
        <w:bidiVisual/>
        <w:tblW w:w="0" w:type="auto"/>
        <w:tblLook w:val="04A0" w:firstRow="1" w:lastRow="0" w:firstColumn="1" w:lastColumn="0" w:noHBand="0" w:noVBand="1"/>
      </w:tblPr>
      <w:tblGrid>
        <w:gridCol w:w="4006"/>
        <w:gridCol w:w="4006"/>
      </w:tblGrid>
      <w:tr w:rsidR="00A21778" w:rsidTr="00A21778">
        <w:tc>
          <w:tcPr>
            <w:tcW w:w="4006" w:type="dxa"/>
          </w:tcPr>
          <w:p w:rsidR="00A21778" w:rsidRDefault="00A21778" w:rsidP="00E378DD">
            <w:pPr>
              <w:pStyle w:val="libFootnote0"/>
              <w:rPr>
                <w:rtl/>
                <w:lang w:bidi="fa-IR"/>
              </w:rPr>
            </w:pPr>
            <w:r>
              <w:rPr>
                <w:rtl/>
                <w:lang w:bidi="fa-IR"/>
              </w:rPr>
              <w:t>(2). في « بح » وحاشية « جت » : « فقال ».</w:t>
            </w:r>
          </w:p>
        </w:tc>
        <w:tc>
          <w:tcPr>
            <w:tcW w:w="4006" w:type="dxa"/>
          </w:tcPr>
          <w:p w:rsidR="00A21778" w:rsidRDefault="00A21778" w:rsidP="00E378DD">
            <w:pPr>
              <w:pStyle w:val="libFootnote0"/>
              <w:rPr>
                <w:rtl/>
                <w:lang w:bidi="fa-IR"/>
              </w:rPr>
            </w:pPr>
            <w:r>
              <w:rPr>
                <w:rtl/>
                <w:lang w:bidi="fa-IR"/>
              </w:rPr>
              <w:t xml:space="preserve">(3). في«جد»وحاشية«بث ، جت» </w:t>
            </w:r>
            <w:r w:rsidRPr="00A21778">
              <w:rPr>
                <w:rtl/>
              </w:rPr>
              <w:t>والوافي</w:t>
            </w:r>
            <w:r>
              <w:rPr>
                <w:rtl/>
                <w:lang w:bidi="fa-IR"/>
              </w:rPr>
              <w:t xml:space="preserve"> : « فإن ».</w:t>
            </w:r>
          </w:p>
        </w:tc>
      </w:tr>
      <w:tr w:rsidR="008F4BEC" w:rsidTr="008F4BEC">
        <w:tc>
          <w:tcPr>
            <w:tcW w:w="4006" w:type="dxa"/>
          </w:tcPr>
          <w:p w:rsidR="008F4BEC" w:rsidRDefault="008F4BEC" w:rsidP="00E378DD">
            <w:pPr>
              <w:pStyle w:val="libFootnote0"/>
              <w:rPr>
                <w:rtl/>
                <w:lang w:bidi="fa-IR"/>
              </w:rPr>
            </w:pPr>
            <w:r>
              <w:rPr>
                <w:rtl/>
                <w:lang w:bidi="fa-IR"/>
              </w:rPr>
              <w:t>(4). في حاشية « بح » : « فإن ».</w:t>
            </w:r>
          </w:p>
        </w:tc>
        <w:tc>
          <w:tcPr>
            <w:tcW w:w="4006" w:type="dxa"/>
          </w:tcPr>
          <w:p w:rsidR="008F4BEC" w:rsidRDefault="008F4BEC" w:rsidP="00E378DD">
            <w:pPr>
              <w:pStyle w:val="libFootnote0"/>
              <w:rPr>
                <w:rtl/>
                <w:lang w:bidi="fa-IR"/>
              </w:rPr>
            </w:pPr>
            <w:r>
              <w:rPr>
                <w:rtl/>
                <w:lang w:bidi="fa-IR"/>
              </w:rPr>
              <w:t>(5). في « بح ، جت ، جن » : « تتوالاهما ».</w:t>
            </w:r>
          </w:p>
        </w:tc>
      </w:tr>
    </w:tbl>
    <w:p w:rsidR="00744A1C" w:rsidRDefault="00E378DD" w:rsidP="00122ACD">
      <w:pPr>
        <w:pStyle w:val="libFootnote0"/>
        <w:rPr>
          <w:lang w:bidi="fa-IR"/>
        </w:rPr>
      </w:pPr>
      <w:r>
        <w:rPr>
          <w:rtl/>
          <w:lang w:bidi="fa-IR"/>
        </w:rPr>
        <w:t>(6).</w:t>
      </w:r>
      <w:r w:rsidR="00744A1C">
        <w:rPr>
          <w:rtl/>
          <w:lang w:bidi="fa-IR"/>
        </w:rPr>
        <w:t xml:space="preserve"> هكذا في « ى ، بث ، بح ، بس ، بف ، جت ، جد ، جن » </w:t>
      </w:r>
      <w:r w:rsidR="00744A1C" w:rsidRPr="00122ACD">
        <w:rPr>
          <w:rtl/>
        </w:rPr>
        <w:t>والوافي والتهذيب</w:t>
      </w:r>
      <w:r w:rsidR="00744A1C">
        <w:rPr>
          <w:rtl/>
          <w:lang w:bidi="fa-IR"/>
        </w:rPr>
        <w:t xml:space="preserve"> ، ج 6. وفي سائر النسخ والمطبوع : « عهد ».</w:t>
      </w:r>
      <w:r w:rsidR="00122ACD">
        <w:rPr>
          <w:rFonts w:hint="cs"/>
          <w:rtl/>
          <w:lang w:bidi="fa-IR"/>
        </w:rPr>
        <w:t xml:space="preserve">                                         </w:t>
      </w:r>
      <w:r>
        <w:rPr>
          <w:rtl/>
          <w:lang w:bidi="fa-IR"/>
        </w:rPr>
        <w:t>(7).</w:t>
      </w:r>
      <w:r w:rsidR="00744A1C">
        <w:rPr>
          <w:rtl/>
          <w:lang w:bidi="fa-IR"/>
        </w:rPr>
        <w:t xml:space="preserve"> في « جن » : « فيها ».</w:t>
      </w:r>
    </w:p>
    <w:p w:rsidR="00744A1C" w:rsidRDefault="00E378DD" w:rsidP="00E378DD">
      <w:pPr>
        <w:pStyle w:val="libFootnote0"/>
        <w:rPr>
          <w:lang w:bidi="fa-IR"/>
        </w:rPr>
      </w:pPr>
      <w:r>
        <w:rPr>
          <w:rtl/>
          <w:lang w:bidi="fa-IR"/>
        </w:rPr>
        <w:t>(8).</w:t>
      </w:r>
      <w:r w:rsidR="00744A1C">
        <w:rPr>
          <w:rtl/>
          <w:lang w:bidi="fa-IR"/>
        </w:rPr>
        <w:t xml:space="preserve"> في </w:t>
      </w:r>
      <w:r w:rsidR="00744A1C" w:rsidRPr="00393DA8">
        <w:rPr>
          <w:rtl/>
        </w:rPr>
        <w:t>التهذيب</w:t>
      </w:r>
      <w:r w:rsidR="00744A1C">
        <w:rPr>
          <w:rtl/>
          <w:lang w:bidi="fa-IR"/>
        </w:rPr>
        <w:t xml:space="preserve"> ، ج 6 : - « ثمّ ردّها أبو بكر عليه ، ولم يشاور فيه أحداً ».</w:t>
      </w:r>
    </w:p>
    <w:p w:rsidR="00744A1C" w:rsidRDefault="00E378DD" w:rsidP="00E378DD">
      <w:pPr>
        <w:pStyle w:val="libFootnote0"/>
        <w:rPr>
          <w:lang w:bidi="fa-IR"/>
        </w:rPr>
      </w:pPr>
      <w:r>
        <w:rPr>
          <w:rtl/>
          <w:lang w:bidi="fa-IR"/>
        </w:rPr>
        <w:t>(9).</w:t>
      </w:r>
      <w:r w:rsidR="00744A1C">
        <w:rPr>
          <w:rtl/>
          <w:lang w:bidi="fa-IR"/>
        </w:rPr>
        <w:t xml:space="preserve"> في </w:t>
      </w:r>
      <w:r w:rsidR="00744A1C" w:rsidRPr="00393DA8">
        <w:rPr>
          <w:rtl/>
        </w:rPr>
        <w:t>التهذيب</w:t>
      </w:r>
      <w:r w:rsidR="00744A1C">
        <w:rPr>
          <w:rtl/>
          <w:lang w:bidi="fa-IR"/>
        </w:rPr>
        <w:t xml:space="preserve"> ، ج 6 : « نهى منهم » بدل « أوصى فيهم ».</w:t>
      </w:r>
    </w:p>
    <w:p w:rsidR="00744A1C" w:rsidRDefault="00E378DD" w:rsidP="00E378DD">
      <w:pPr>
        <w:pStyle w:val="libFootnote0"/>
        <w:rPr>
          <w:lang w:bidi="fa-IR"/>
        </w:rPr>
      </w:pPr>
      <w:r>
        <w:rPr>
          <w:rtl/>
          <w:lang w:bidi="fa-IR"/>
        </w:rPr>
        <w:t>(10).</w:t>
      </w:r>
      <w:r w:rsidR="00744A1C">
        <w:rPr>
          <w:rtl/>
          <w:lang w:bidi="fa-IR"/>
        </w:rPr>
        <w:t xml:space="preserve"> هو صهيب بن سنان النمري المعروف بالرومي ، مولى رسول الله </w:t>
      </w:r>
      <w:r w:rsidR="00024D6D" w:rsidRPr="00024D6D">
        <w:rPr>
          <w:rStyle w:val="libFootnoteAlaemChar"/>
          <w:rtl/>
        </w:rPr>
        <w:t>صلى‌الله‌عليه‌وآله</w:t>
      </w:r>
      <w:r w:rsidR="00D10E3C">
        <w:rPr>
          <w:rtl/>
          <w:lang w:bidi="fa-IR"/>
        </w:rPr>
        <w:t xml:space="preserve"> </w:t>
      </w:r>
      <w:r w:rsidR="00744A1C">
        <w:rPr>
          <w:rtl/>
          <w:lang w:bidi="fa-IR"/>
        </w:rPr>
        <w:t>، يكنّى أبا يحيى ، وشهد بدراً وا</w:t>
      </w:r>
      <w:r w:rsidR="00393DA8">
        <w:rPr>
          <w:rFonts w:hint="cs"/>
          <w:rtl/>
          <w:lang w:bidi="fa-IR"/>
        </w:rPr>
        <w:t>ُ</w:t>
      </w:r>
      <w:r w:rsidR="00744A1C">
        <w:rPr>
          <w:rtl/>
          <w:lang w:bidi="fa-IR"/>
        </w:rPr>
        <w:t>حداً</w:t>
      </w:r>
      <w:r w:rsidR="00393DA8">
        <w:rPr>
          <w:rFonts w:hint="cs"/>
          <w:rtl/>
          <w:lang w:bidi="fa-IR"/>
        </w:rPr>
        <w:t xml:space="preserve"> </w:t>
      </w:r>
      <w:r w:rsidR="00744A1C">
        <w:rPr>
          <w:rtl/>
          <w:lang w:bidi="fa-IR"/>
        </w:rPr>
        <w:t xml:space="preserve">والخندق وسائر المشاهد كلّها مع الرسول </w:t>
      </w:r>
      <w:r w:rsidR="004D054E" w:rsidRPr="00393DA8">
        <w:rPr>
          <w:rStyle w:val="libFootnoteAlaemChar"/>
          <w:rtl/>
        </w:rPr>
        <w:t>صلى‌الله‌عليه‌وآله</w:t>
      </w:r>
      <w:r w:rsidR="00D10E3C">
        <w:rPr>
          <w:rtl/>
          <w:lang w:bidi="fa-IR"/>
        </w:rPr>
        <w:t xml:space="preserve"> </w:t>
      </w:r>
      <w:r w:rsidR="00744A1C">
        <w:rPr>
          <w:rtl/>
          <w:lang w:bidi="fa-IR"/>
        </w:rPr>
        <w:t xml:space="preserve">، ومات بالمدينة في شوّال سنة ثمان وثلاثين وهو ابن سبعين سنة ، ودفن بالبقيع. راجع : رجال الشيخ ، ص 21 ؛ رجال ابن داود ، ص 250 ؛ </w:t>
      </w:r>
      <w:r w:rsidR="00744A1C" w:rsidRPr="00393DA8">
        <w:rPr>
          <w:rStyle w:val="libFootnoteBoldChar"/>
          <w:rtl/>
        </w:rPr>
        <w:t>الطبقات الكبرى</w:t>
      </w:r>
      <w:r w:rsidR="00744A1C">
        <w:rPr>
          <w:rtl/>
          <w:lang w:bidi="fa-IR"/>
        </w:rPr>
        <w:t xml:space="preserve"> ، ج 3 ، ص 226 ؛ </w:t>
      </w:r>
      <w:r w:rsidR="00744A1C" w:rsidRPr="00B7470D">
        <w:rPr>
          <w:rStyle w:val="libFootnoteBoldChar"/>
          <w:rtl/>
        </w:rPr>
        <w:t>تهذيب الكمال</w:t>
      </w:r>
      <w:r w:rsidR="00744A1C">
        <w:rPr>
          <w:rtl/>
          <w:lang w:bidi="fa-IR"/>
        </w:rPr>
        <w:t xml:space="preserve"> ، ج 13 ، ص 239 ؛ </w:t>
      </w:r>
      <w:r w:rsidR="00744A1C" w:rsidRPr="00393DA8">
        <w:rPr>
          <w:rStyle w:val="libFootnoteBoldChar"/>
          <w:rtl/>
        </w:rPr>
        <w:t>الإصابة</w:t>
      </w:r>
      <w:r w:rsidR="00744A1C">
        <w:rPr>
          <w:rtl/>
          <w:lang w:bidi="fa-IR"/>
        </w:rPr>
        <w:t xml:space="preserve"> ، ج 3 ، ص 364.</w:t>
      </w:r>
    </w:p>
    <w:tbl>
      <w:tblPr>
        <w:tblStyle w:val="TableGrid"/>
        <w:bidiVisual/>
        <w:tblW w:w="0" w:type="auto"/>
        <w:tblLook w:val="04A0" w:firstRow="1" w:lastRow="0" w:firstColumn="1" w:lastColumn="0" w:noHBand="0" w:noVBand="1"/>
      </w:tblPr>
      <w:tblGrid>
        <w:gridCol w:w="4006"/>
        <w:gridCol w:w="4006"/>
      </w:tblGrid>
      <w:tr w:rsidR="00393DA8" w:rsidTr="00393DA8">
        <w:tc>
          <w:tcPr>
            <w:tcW w:w="4006" w:type="dxa"/>
          </w:tcPr>
          <w:p w:rsidR="00393DA8" w:rsidRDefault="00393DA8" w:rsidP="00E378DD">
            <w:pPr>
              <w:pStyle w:val="libFootnote0"/>
              <w:rPr>
                <w:rtl/>
                <w:lang w:bidi="fa-IR"/>
              </w:rPr>
            </w:pPr>
            <w:r>
              <w:rPr>
                <w:rtl/>
                <w:lang w:bidi="fa-IR"/>
              </w:rPr>
              <w:t>(11). في « بح » : « الناس ».</w:t>
            </w:r>
          </w:p>
        </w:tc>
        <w:tc>
          <w:tcPr>
            <w:tcW w:w="4006" w:type="dxa"/>
          </w:tcPr>
          <w:p w:rsidR="00393DA8" w:rsidRDefault="00393DA8" w:rsidP="00E378DD">
            <w:pPr>
              <w:pStyle w:val="libFootnote0"/>
              <w:rPr>
                <w:rtl/>
                <w:lang w:bidi="fa-IR"/>
              </w:rPr>
            </w:pPr>
            <w:r>
              <w:rPr>
                <w:rtl/>
                <w:lang w:bidi="fa-IR"/>
              </w:rPr>
              <w:t xml:space="preserve">(12). في « جت » </w:t>
            </w:r>
            <w:r w:rsidRPr="00393DA8">
              <w:rPr>
                <w:rtl/>
              </w:rPr>
              <w:t>والوافي</w:t>
            </w:r>
            <w:r>
              <w:rPr>
                <w:rtl/>
                <w:lang w:bidi="fa-IR"/>
              </w:rPr>
              <w:t xml:space="preserve"> : « أن يمضي ».</w:t>
            </w:r>
          </w:p>
        </w:tc>
      </w:tr>
    </w:tbl>
    <w:p w:rsidR="006A5060" w:rsidRDefault="006A5060" w:rsidP="00D10E3C">
      <w:pPr>
        <w:pStyle w:val="libNormal"/>
        <w:rPr>
          <w:rtl/>
          <w:lang w:bidi="fa-IR"/>
        </w:rPr>
      </w:pPr>
      <w:r>
        <w:rPr>
          <w:rtl/>
          <w:lang w:bidi="fa-IR"/>
        </w:rPr>
        <w:br w:type="page"/>
      </w:r>
    </w:p>
    <w:p w:rsidR="00744A1C" w:rsidRDefault="00744A1C" w:rsidP="00764BC9">
      <w:pPr>
        <w:pStyle w:val="libNormal0"/>
        <w:rPr>
          <w:lang w:bidi="fa-IR"/>
        </w:rPr>
      </w:pPr>
      <w:r>
        <w:rPr>
          <w:rtl/>
          <w:lang w:bidi="fa-IR"/>
        </w:rPr>
        <w:t xml:space="preserve">جَمَاعَةٍ مِنَ </w:t>
      </w:r>
      <w:r w:rsidRPr="00D10E3C">
        <w:rPr>
          <w:rStyle w:val="libFootnotenumChar"/>
          <w:rtl/>
        </w:rPr>
        <w:t>(1)</w:t>
      </w:r>
      <w:r>
        <w:rPr>
          <w:rtl/>
          <w:lang w:bidi="fa-IR"/>
        </w:rPr>
        <w:t xml:space="preserve"> الْمُسْلِمِينَ؟ ».</w:t>
      </w:r>
    </w:p>
    <w:p w:rsidR="00744A1C" w:rsidRDefault="00744A1C" w:rsidP="00744A1C">
      <w:pPr>
        <w:pStyle w:val="libNormal"/>
        <w:rPr>
          <w:lang w:bidi="fa-IR"/>
        </w:rPr>
      </w:pPr>
      <w:r>
        <w:rPr>
          <w:rtl/>
          <w:lang w:bidi="fa-IR"/>
        </w:rPr>
        <w:t>قَالُوا : لَا.</w:t>
      </w:r>
    </w:p>
    <w:p w:rsidR="00744A1C" w:rsidRDefault="00744A1C" w:rsidP="00744A1C">
      <w:pPr>
        <w:pStyle w:val="libNormal"/>
        <w:rPr>
          <w:lang w:bidi="fa-IR"/>
        </w:rPr>
      </w:pPr>
      <w:r>
        <w:rPr>
          <w:rtl/>
          <w:lang w:bidi="fa-IR"/>
        </w:rPr>
        <w:t xml:space="preserve">ثُمَّ قَالَ : « يَا عَمْرُو ، دَعْ ذَا </w:t>
      </w:r>
      <w:r w:rsidRPr="00D10E3C">
        <w:rPr>
          <w:rStyle w:val="libFootnotenumChar"/>
          <w:rtl/>
        </w:rPr>
        <w:t>(2)</w:t>
      </w:r>
      <w:r>
        <w:rPr>
          <w:rtl/>
          <w:lang w:bidi="fa-IR"/>
        </w:rPr>
        <w:t xml:space="preserve"> ، أَرَأَيْتَ لَوْ بَايَعْتُ صَاحِبَكَ الَّذِي تَدْعُونِي إِلى بَيْعَتِهِ ، ثُمَّ اجْتَمَعَتْ لَكُمُ الْأُمَّةُ ، فَلَمْ يَخْتَلِفْ عَلَيْكُمْ رَجُلَانِ فِيهَا ، فَأَفْضَيْتُمْ </w:t>
      </w:r>
      <w:r w:rsidRPr="00D10E3C">
        <w:rPr>
          <w:rStyle w:val="libFootnotenumChar"/>
          <w:rtl/>
        </w:rPr>
        <w:t>(3)</w:t>
      </w:r>
      <w:r>
        <w:rPr>
          <w:rtl/>
          <w:lang w:bidi="fa-IR"/>
        </w:rPr>
        <w:t xml:space="preserve"> إِلَى الْمُشْرِكِينَ الَّذِينَ لَا يُسْلِمُونَ </w:t>
      </w:r>
      <w:r w:rsidRPr="00D10E3C">
        <w:rPr>
          <w:rStyle w:val="libFootnotenumChar"/>
          <w:rtl/>
        </w:rPr>
        <w:t>(4)</w:t>
      </w:r>
      <w:r>
        <w:rPr>
          <w:rtl/>
          <w:lang w:bidi="fa-IR"/>
        </w:rPr>
        <w:t xml:space="preserve"> وَلَا يُؤَدُّونَ </w:t>
      </w:r>
      <w:r w:rsidRPr="00D10E3C">
        <w:rPr>
          <w:rStyle w:val="libFootnotenumChar"/>
          <w:rtl/>
        </w:rPr>
        <w:t>(5)</w:t>
      </w:r>
      <w:r>
        <w:rPr>
          <w:rtl/>
          <w:lang w:bidi="fa-IR"/>
        </w:rPr>
        <w:t xml:space="preserve"> الْجِزْيَةَ </w:t>
      </w:r>
      <w:r w:rsidRPr="00D10E3C">
        <w:rPr>
          <w:rStyle w:val="libFootnotenumChar"/>
          <w:rtl/>
        </w:rPr>
        <w:t>(6)</w:t>
      </w:r>
      <w:r>
        <w:rPr>
          <w:rtl/>
          <w:lang w:bidi="fa-IR"/>
        </w:rPr>
        <w:t xml:space="preserve"> ، أَكَانَ عِنْدَكُمْ وَعِنْدَ صَاحِبِكُمْ مِنَ الْعِلْمِ مَا تَسِيرُونَ </w:t>
      </w:r>
      <w:r w:rsidRPr="00D10E3C">
        <w:rPr>
          <w:rStyle w:val="libFootnotenumChar"/>
          <w:rtl/>
        </w:rPr>
        <w:t>(7)</w:t>
      </w:r>
      <w:r>
        <w:rPr>
          <w:rtl/>
          <w:lang w:bidi="fa-IR"/>
        </w:rPr>
        <w:t xml:space="preserve"> بِسِيرَةِ رَسُولِ اللهِ </w:t>
      </w:r>
      <w:r w:rsidR="00CB3856" w:rsidRPr="00CB3856">
        <w:rPr>
          <w:rStyle w:val="libAlaemChar"/>
          <w:rtl/>
        </w:rPr>
        <w:t>صلى‌الله‌عليه‌وآله</w:t>
      </w:r>
      <w:r w:rsidR="00D10E3C">
        <w:rPr>
          <w:rtl/>
          <w:lang w:bidi="fa-IR"/>
        </w:rPr>
        <w:t xml:space="preserve"> </w:t>
      </w:r>
      <w:r>
        <w:rPr>
          <w:rtl/>
          <w:lang w:bidi="fa-IR"/>
        </w:rPr>
        <w:t>فِي الْمُشْرِكِينَ فِي حُرُوبِهِ؟ ».</w:t>
      </w:r>
    </w:p>
    <w:p w:rsidR="00744A1C" w:rsidRDefault="00744A1C" w:rsidP="00744A1C">
      <w:pPr>
        <w:pStyle w:val="libNormal"/>
        <w:rPr>
          <w:lang w:bidi="fa-IR"/>
        </w:rPr>
      </w:pPr>
      <w:r>
        <w:rPr>
          <w:rtl/>
          <w:lang w:bidi="fa-IR"/>
        </w:rPr>
        <w:t>قَالَ : نَعَمْ.</w:t>
      </w:r>
    </w:p>
    <w:p w:rsidR="00744A1C" w:rsidRDefault="00744A1C" w:rsidP="00744A1C">
      <w:pPr>
        <w:pStyle w:val="libNormal"/>
        <w:rPr>
          <w:lang w:bidi="fa-IR"/>
        </w:rPr>
      </w:pPr>
      <w:r>
        <w:rPr>
          <w:rtl/>
          <w:lang w:bidi="fa-IR"/>
        </w:rPr>
        <w:t>قَالَ : « فَتَصْنَعُ مَا ذَا؟ ».</w:t>
      </w:r>
    </w:p>
    <w:p w:rsidR="00744A1C" w:rsidRDefault="00744A1C" w:rsidP="00744A1C">
      <w:pPr>
        <w:pStyle w:val="libNormal"/>
        <w:rPr>
          <w:lang w:bidi="fa-IR"/>
        </w:rPr>
      </w:pPr>
      <w:r>
        <w:rPr>
          <w:rtl/>
          <w:lang w:bidi="fa-IR"/>
        </w:rPr>
        <w:t>قَالَ : نَدْعُوهُمْ إِلَى الْإِسْلَامِ ، فَإِنْ أَبَوْا دَعَوْنَاهُمْ إِلَى الْجِزْيَةِ.</w:t>
      </w:r>
    </w:p>
    <w:p w:rsidR="00744A1C" w:rsidRDefault="00744A1C" w:rsidP="00744A1C">
      <w:pPr>
        <w:pStyle w:val="libNormal"/>
        <w:rPr>
          <w:lang w:bidi="fa-IR"/>
        </w:rPr>
      </w:pPr>
      <w:r>
        <w:rPr>
          <w:rtl/>
          <w:lang w:bidi="fa-IR"/>
        </w:rPr>
        <w:t xml:space="preserve">قَالَ : « وَإِنْ كَانُوا مَجُوساً </w:t>
      </w:r>
      <w:r w:rsidRPr="00D10E3C">
        <w:rPr>
          <w:rStyle w:val="libFootnotenumChar"/>
          <w:rtl/>
        </w:rPr>
        <w:t>(8)</w:t>
      </w:r>
      <w:r>
        <w:rPr>
          <w:rtl/>
          <w:lang w:bidi="fa-IR"/>
        </w:rPr>
        <w:t xml:space="preserve"> لَيْسُوا بِأَهْلِ الْكِتَابِ </w:t>
      </w:r>
      <w:r w:rsidRPr="00D10E3C">
        <w:rPr>
          <w:rStyle w:val="libFootnotenumChar"/>
          <w:rtl/>
        </w:rPr>
        <w:t>(9)</w:t>
      </w:r>
      <w:r>
        <w:rPr>
          <w:rtl/>
          <w:lang w:bidi="fa-IR"/>
        </w:rPr>
        <w:t>؟ ».</w:t>
      </w:r>
    </w:p>
    <w:p w:rsidR="00744A1C" w:rsidRDefault="00744A1C" w:rsidP="00744A1C">
      <w:pPr>
        <w:pStyle w:val="libNormal"/>
        <w:rPr>
          <w:lang w:bidi="fa-IR"/>
        </w:rPr>
      </w:pPr>
      <w:r>
        <w:rPr>
          <w:rtl/>
          <w:lang w:bidi="fa-IR"/>
        </w:rPr>
        <w:t>قَالَ : سَوَاءٌ.</w:t>
      </w:r>
    </w:p>
    <w:p w:rsidR="00744A1C" w:rsidRDefault="00744A1C" w:rsidP="00744A1C">
      <w:pPr>
        <w:pStyle w:val="libNormal"/>
        <w:rPr>
          <w:lang w:bidi="fa-IR"/>
        </w:rPr>
      </w:pPr>
      <w:r>
        <w:rPr>
          <w:rtl/>
          <w:lang w:bidi="fa-IR"/>
        </w:rPr>
        <w:t>قَالَ : « وَإِنْ كَانُوا مُشْرِكِي الْعَرَبِ وَعَبَدَةَ الْأَوْثَانِ؟ ».</w:t>
      </w:r>
    </w:p>
    <w:p w:rsidR="00744A1C" w:rsidRDefault="00744A1C" w:rsidP="00744A1C">
      <w:pPr>
        <w:pStyle w:val="libNormal"/>
        <w:rPr>
          <w:lang w:bidi="fa-IR"/>
        </w:rPr>
      </w:pPr>
      <w:r>
        <w:rPr>
          <w:rtl/>
          <w:lang w:bidi="fa-IR"/>
        </w:rPr>
        <w:t xml:space="preserve">قَالَ : سَوَاءٌ </w:t>
      </w:r>
      <w:r w:rsidRPr="00D10E3C">
        <w:rPr>
          <w:rStyle w:val="libFootnotenumChar"/>
          <w:rtl/>
        </w:rPr>
        <w:t>(10)</w:t>
      </w:r>
      <w:r w:rsidR="00CB3856" w:rsidRPr="00CB3856">
        <w:rPr>
          <w:rFonts w:hint="cs"/>
          <w:rtl/>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بح ، بس ، بف ، جت » </w:t>
      </w:r>
      <w:r w:rsidR="00744A1C" w:rsidRPr="00CB3856">
        <w:rPr>
          <w:rtl/>
        </w:rPr>
        <w:t>والوافي</w:t>
      </w:r>
      <w:r w:rsidR="00744A1C">
        <w:rPr>
          <w:rtl/>
          <w:lang w:bidi="fa-IR"/>
        </w:rPr>
        <w:t xml:space="preserve"> : - « من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 - « دع ذا ».</w:t>
      </w:r>
    </w:p>
    <w:p w:rsidR="00744A1C" w:rsidRDefault="00E378DD" w:rsidP="00E378DD">
      <w:pPr>
        <w:pStyle w:val="libFootnote0"/>
        <w:rPr>
          <w:lang w:bidi="fa-IR"/>
        </w:rPr>
      </w:pPr>
      <w:r>
        <w:rPr>
          <w:rtl/>
          <w:lang w:bidi="fa-IR"/>
        </w:rPr>
        <w:t>(3).</w:t>
      </w:r>
      <w:r w:rsidR="00744A1C">
        <w:rPr>
          <w:rtl/>
          <w:lang w:bidi="fa-IR"/>
        </w:rPr>
        <w:t xml:space="preserve"> هكذا في « ى ، بث ، بح ، بف ، جت ، جد ، جن » </w:t>
      </w:r>
      <w:r w:rsidR="00744A1C" w:rsidRPr="00CB3856">
        <w:rPr>
          <w:rtl/>
        </w:rPr>
        <w:t>والوسائل</w:t>
      </w:r>
      <w:r w:rsidR="00744A1C">
        <w:rPr>
          <w:rtl/>
          <w:lang w:bidi="fa-IR"/>
        </w:rPr>
        <w:t>. وفي سائر النسخ والمطبوع : « فأفضتم ».</w:t>
      </w:r>
    </w:p>
    <w:p w:rsidR="00744A1C" w:rsidRDefault="00E378DD" w:rsidP="00E378DD">
      <w:pPr>
        <w:pStyle w:val="libFootnote0"/>
        <w:rPr>
          <w:lang w:bidi="fa-IR"/>
        </w:rPr>
      </w:pPr>
      <w:r>
        <w:rPr>
          <w:rtl/>
          <w:lang w:bidi="fa-IR"/>
        </w:rPr>
        <w:t>(4).</w:t>
      </w:r>
      <w:r w:rsidR="00744A1C">
        <w:rPr>
          <w:rtl/>
          <w:lang w:bidi="fa-IR"/>
        </w:rPr>
        <w:t xml:space="preserve"> في « بث ، بف ، جت » : « لا يسلموا ».</w:t>
      </w:r>
    </w:p>
    <w:p w:rsidR="00744A1C" w:rsidRDefault="00E378DD" w:rsidP="00E378DD">
      <w:pPr>
        <w:pStyle w:val="libFootnote0"/>
        <w:rPr>
          <w:lang w:bidi="fa-IR"/>
        </w:rPr>
      </w:pPr>
      <w:r>
        <w:rPr>
          <w:rtl/>
          <w:lang w:bidi="fa-IR"/>
        </w:rPr>
        <w:t>(5).</w:t>
      </w:r>
      <w:r w:rsidR="00744A1C">
        <w:rPr>
          <w:rtl/>
          <w:lang w:bidi="fa-IR"/>
        </w:rPr>
        <w:t xml:space="preserve"> في « بث ، بف ، جت » </w:t>
      </w:r>
      <w:r w:rsidR="00744A1C" w:rsidRPr="00CB3856">
        <w:rPr>
          <w:rtl/>
        </w:rPr>
        <w:t>والتهذيب</w:t>
      </w:r>
      <w:r w:rsidR="00744A1C">
        <w:rPr>
          <w:rtl/>
          <w:lang w:bidi="fa-IR"/>
        </w:rPr>
        <w:t xml:space="preserve"> ، ج 6 : « ولم يؤدّوا ». وفي حاشية « بث » : « ولم تؤدّوا ».</w:t>
      </w:r>
    </w:p>
    <w:p w:rsidR="00744A1C" w:rsidRDefault="00E378DD" w:rsidP="00E378DD">
      <w:pPr>
        <w:pStyle w:val="libFootnote0"/>
        <w:rPr>
          <w:lang w:bidi="fa-IR"/>
        </w:rPr>
      </w:pPr>
      <w:r>
        <w:rPr>
          <w:rtl/>
          <w:lang w:bidi="fa-IR"/>
        </w:rPr>
        <w:t>(6).</w:t>
      </w:r>
      <w:r w:rsidR="00744A1C">
        <w:rPr>
          <w:rtl/>
          <w:lang w:bidi="fa-IR"/>
        </w:rPr>
        <w:t xml:space="preserve"> في « بح » : « بالجزية ».</w:t>
      </w:r>
    </w:p>
    <w:p w:rsidR="00744A1C" w:rsidRDefault="00E378DD" w:rsidP="00E378DD">
      <w:pPr>
        <w:pStyle w:val="libFootnote0"/>
        <w:rPr>
          <w:lang w:bidi="fa-IR"/>
        </w:rPr>
      </w:pPr>
      <w:r>
        <w:rPr>
          <w:rtl/>
          <w:lang w:bidi="fa-IR"/>
        </w:rPr>
        <w:t>(7).</w:t>
      </w:r>
      <w:r w:rsidR="00744A1C">
        <w:rPr>
          <w:rtl/>
          <w:lang w:bidi="fa-IR"/>
        </w:rPr>
        <w:t xml:space="preserve"> في « بث ، بح ، بف » وحاشية « جت » </w:t>
      </w:r>
      <w:r w:rsidR="00744A1C" w:rsidRPr="00CB3856">
        <w:rPr>
          <w:rtl/>
        </w:rPr>
        <w:t>والوافي والتهذيب</w:t>
      </w:r>
      <w:r w:rsidR="00744A1C">
        <w:rPr>
          <w:rtl/>
          <w:lang w:bidi="fa-IR"/>
        </w:rPr>
        <w:t xml:space="preserve"> ، ج 6 : + « فيه ».</w:t>
      </w:r>
    </w:p>
    <w:p w:rsidR="00744A1C" w:rsidRDefault="00E378DD" w:rsidP="00E378DD">
      <w:pPr>
        <w:pStyle w:val="libFootnote0"/>
        <w:rPr>
          <w:lang w:bidi="fa-IR"/>
        </w:rPr>
      </w:pPr>
      <w:r>
        <w:rPr>
          <w:rtl/>
          <w:lang w:bidi="fa-IR"/>
        </w:rPr>
        <w:t>(8).</w:t>
      </w:r>
      <w:r w:rsidR="00744A1C">
        <w:rPr>
          <w:rtl/>
          <w:lang w:bidi="fa-IR"/>
        </w:rPr>
        <w:t xml:space="preserve"> في </w:t>
      </w:r>
      <w:r w:rsidR="00744A1C" w:rsidRPr="00877682">
        <w:rPr>
          <w:rStyle w:val="libFootnoteBoldChar"/>
          <w:rtl/>
        </w:rPr>
        <w:t>مرآة العقول</w:t>
      </w:r>
      <w:r w:rsidR="00744A1C">
        <w:rPr>
          <w:rtl/>
          <w:lang w:bidi="fa-IR"/>
        </w:rPr>
        <w:t xml:space="preserve"> ، ج 18 ، ص 350 : « يمكن أن يكون ذكر المجوس لإظهار عدم علمهم ؛ لأنّ العامّة مختلفون فيهم ، وكان غرضه </w:t>
      </w:r>
      <w:r w:rsidR="0061079A" w:rsidRPr="0061079A">
        <w:rPr>
          <w:rStyle w:val="libFootnoteAlaemChar"/>
          <w:rtl/>
        </w:rPr>
        <w:t>عليه‌السلام</w:t>
      </w:r>
      <w:r w:rsidR="00D10E3C">
        <w:rPr>
          <w:rtl/>
          <w:lang w:bidi="fa-IR"/>
        </w:rPr>
        <w:t xml:space="preserve"> </w:t>
      </w:r>
      <w:r w:rsidR="00744A1C">
        <w:rPr>
          <w:rtl/>
          <w:lang w:bidi="fa-IR"/>
        </w:rPr>
        <w:t>أن يسأل منهم الدليل ، وكان يعرف أنّهم لايعلمونه ».</w:t>
      </w:r>
    </w:p>
    <w:p w:rsidR="00744A1C" w:rsidRDefault="00E378DD" w:rsidP="00E378DD">
      <w:pPr>
        <w:pStyle w:val="libFootnote0"/>
        <w:rPr>
          <w:lang w:bidi="fa-IR"/>
        </w:rPr>
      </w:pPr>
      <w:r>
        <w:rPr>
          <w:rtl/>
          <w:lang w:bidi="fa-IR"/>
        </w:rPr>
        <w:t>(9).</w:t>
      </w:r>
      <w:r w:rsidR="00744A1C">
        <w:rPr>
          <w:rtl/>
          <w:lang w:bidi="fa-IR"/>
        </w:rPr>
        <w:t xml:space="preserve"> في « جت » </w:t>
      </w:r>
      <w:r w:rsidR="00744A1C" w:rsidRPr="0061079A">
        <w:rPr>
          <w:rStyle w:val="libFootnoteBoldChar"/>
          <w:rtl/>
        </w:rPr>
        <w:t>والتهذيب</w:t>
      </w:r>
      <w:r w:rsidR="00744A1C">
        <w:rPr>
          <w:rtl/>
          <w:lang w:bidi="fa-IR"/>
        </w:rPr>
        <w:t xml:space="preserve"> ، ج 6 : « كتاب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ج 6 : - « قال : سواء ، قال : وإن كانوا ... » إلى هنا.</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قَالَ : « أَخْبِرْنِي عَنِ الْقُرْآنِ تَقْرَؤُهُ؟ » قَالَ : نَعَمْ ، قَالَ : « اقْرَأْ </w:t>
      </w:r>
      <w:r w:rsidRPr="00D10E3C">
        <w:rPr>
          <w:rStyle w:val="libFootnotenumChar"/>
          <w:rtl/>
        </w:rPr>
        <w:t>(1)</w:t>
      </w:r>
      <w:r>
        <w:rPr>
          <w:rtl/>
          <w:lang w:bidi="fa-IR"/>
        </w:rPr>
        <w:t xml:space="preserve"> : </w:t>
      </w:r>
      <w:r w:rsidRPr="00CB3856">
        <w:rPr>
          <w:rStyle w:val="libAlaemChar"/>
          <w:rtl/>
        </w:rPr>
        <w:t>(</w:t>
      </w:r>
      <w:r w:rsidRPr="00CB3856">
        <w:rPr>
          <w:rStyle w:val="libAieChar"/>
          <w:rtl/>
        </w:rPr>
        <w:t xml:space="preserve"> قاتِلُوا الَّذِينَ لا يُؤْمِنُونَ بِاللهِ وَلا بِالْيَوْمِ الْآخِرِ وَلا يُحَرِّمُونَ ما حَرَّمَ اللهُ وَرَسُولُهُ وَلا يَدِينُونَ دِينَ الْحَقِّ مِنَ الَّذِينَ أُوتُوا الْكِتابَ حَتّى يُعْطُوا الْجِزْيَةَ عَنْ يَدٍ </w:t>
      </w:r>
      <w:r w:rsidRPr="00D10E3C">
        <w:rPr>
          <w:rStyle w:val="libFootnotenumChar"/>
          <w:rtl/>
        </w:rPr>
        <w:t>(2)</w:t>
      </w:r>
      <w:r w:rsidRPr="00CB3856">
        <w:rPr>
          <w:rStyle w:val="libAieChar"/>
          <w:rtl/>
        </w:rPr>
        <w:t xml:space="preserve"> وَهُمْ صاغِرُونَ </w:t>
      </w:r>
      <w:r w:rsidRPr="00CB3856">
        <w:rPr>
          <w:rStyle w:val="libAlaemChar"/>
          <w:rtl/>
        </w:rPr>
        <w:t>)</w:t>
      </w:r>
      <w:r>
        <w:rPr>
          <w:rtl/>
          <w:lang w:bidi="fa-IR"/>
        </w:rPr>
        <w:t xml:space="preserve"> </w:t>
      </w:r>
      <w:r w:rsidRPr="00D10E3C">
        <w:rPr>
          <w:rStyle w:val="libFootnotenumChar"/>
          <w:rtl/>
        </w:rPr>
        <w:t>(3)</w:t>
      </w:r>
      <w:r>
        <w:rPr>
          <w:rtl/>
          <w:lang w:bidi="fa-IR"/>
        </w:rPr>
        <w:t xml:space="preserve"> فَاسْتِثْنَاءُ </w:t>
      </w:r>
      <w:r w:rsidRPr="00D10E3C">
        <w:rPr>
          <w:rStyle w:val="libFootnotenumChar"/>
          <w:rtl/>
        </w:rPr>
        <w:t>(4)</w:t>
      </w:r>
      <w:r>
        <w:rPr>
          <w:rtl/>
          <w:lang w:bidi="fa-IR"/>
        </w:rPr>
        <w:t xml:space="preserve"> اللهِ - عَزَّ وَجَلَّ - وَاشْتِرَاطُهُ مِنَ الَّذِينَ أُوتُوا الْكِتَابَ </w:t>
      </w:r>
      <w:r w:rsidRPr="00D10E3C">
        <w:rPr>
          <w:rStyle w:val="libFootnotenumChar"/>
          <w:rtl/>
        </w:rPr>
        <w:t>(5)</w:t>
      </w:r>
      <w:r>
        <w:rPr>
          <w:rtl/>
          <w:lang w:bidi="fa-IR"/>
        </w:rPr>
        <w:t xml:space="preserve"> ، فَهُمْ </w:t>
      </w:r>
      <w:r w:rsidRPr="00D10E3C">
        <w:rPr>
          <w:rStyle w:val="libFootnotenumChar"/>
          <w:rtl/>
        </w:rPr>
        <w:t>(6)</w:t>
      </w:r>
      <w:r>
        <w:rPr>
          <w:rtl/>
          <w:lang w:bidi="fa-IR"/>
        </w:rPr>
        <w:t xml:space="preserve"> وَالَّذِينَ لَمْ </w:t>
      </w:r>
      <w:r w:rsidRPr="00D10E3C">
        <w:rPr>
          <w:rStyle w:val="libFootnotenumChar"/>
          <w:rtl/>
        </w:rPr>
        <w:t>(7)</w:t>
      </w:r>
      <w:r>
        <w:rPr>
          <w:rtl/>
          <w:lang w:bidi="fa-IR"/>
        </w:rPr>
        <w:t xml:space="preserve"> يُؤْتَوُا الْكِتَابَ سَوَاءٌ؟ ».</w:t>
      </w:r>
    </w:p>
    <w:p w:rsidR="00744A1C" w:rsidRDefault="00744A1C" w:rsidP="00744A1C">
      <w:pPr>
        <w:pStyle w:val="libNormal"/>
        <w:rPr>
          <w:lang w:bidi="fa-IR"/>
        </w:rPr>
      </w:pPr>
      <w:r>
        <w:rPr>
          <w:rtl/>
          <w:lang w:bidi="fa-IR"/>
        </w:rPr>
        <w:t>قَالَ : نَعَمْ.</w:t>
      </w:r>
    </w:p>
    <w:p w:rsidR="00744A1C" w:rsidRDefault="00744A1C" w:rsidP="00744A1C">
      <w:pPr>
        <w:pStyle w:val="libNormal"/>
        <w:rPr>
          <w:lang w:bidi="fa-IR"/>
        </w:rPr>
      </w:pPr>
      <w:r>
        <w:rPr>
          <w:rtl/>
          <w:lang w:bidi="fa-IR"/>
        </w:rPr>
        <w:t>قَالَ : « عَمَّنْ أَخَذْتَ ذَا؟ ».</w:t>
      </w:r>
    </w:p>
    <w:p w:rsidR="00744A1C" w:rsidRDefault="00744A1C" w:rsidP="00744A1C">
      <w:pPr>
        <w:pStyle w:val="libNormal"/>
        <w:rPr>
          <w:lang w:bidi="fa-IR"/>
        </w:rPr>
      </w:pPr>
      <w:r>
        <w:rPr>
          <w:rtl/>
          <w:lang w:bidi="fa-IR"/>
        </w:rPr>
        <w:t>قَالَ : سَمِعْتُ النَّاسَ يَقُولُونَ.</w:t>
      </w:r>
    </w:p>
    <w:p w:rsidR="00744A1C" w:rsidRDefault="00744A1C" w:rsidP="00744A1C">
      <w:pPr>
        <w:pStyle w:val="libNormal"/>
        <w:rPr>
          <w:lang w:bidi="fa-IR"/>
        </w:rPr>
      </w:pPr>
      <w:r>
        <w:rPr>
          <w:rtl/>
          <w:lang w:bidi="fa-IR"/>
        </w:rPr>
        <w:t xml:space="preserve">قَالَ : « فَدَعْ ذَا ، فَإِنْ هُمْ أَبَوُا الْجِزْيَةَ ، فَقَاتَلْتَهُمْ ، فَظَهَرْتَ عَلَيْهِمْ ، كَيْفَ </w:t>
      </w:r>
      <w:r w:rsidRPr="00D10E3C">
        <w:rPr>
          <w:rStyle w:val="libFootnotenumChar"/>
          <w:rtl/>
        </w:rPr>
        <w:t>(8)</w:t>
      </w:r>
      <w:r w:rsidR="00CB3856">
        <w:rPr>
          <w:rtl/>
          <w:lang w:bidi="fa-IR"/>
        </w:rPr>
        <w:t xml:space="preserve"> تَصْنَعُ بِالْغَنِيمَةِ؟</w:t>
      </w:r>
      <w:r>
        <w:rPr>
          <w:rtl/>
          <w:lang w:bidi="fa-IR"/>
        </w:rPr>
        <w:t>».</w:t>
      </w:r>
    </w:p>
    <w:p w:rsidR="00744A1C" w:rsidRDefault="00744A1C" w:rsidP="00744A1C">
      <w:pPr>
        <w:pStyle w:val="libNormal"/>
        <w:rPr>
          <w:lang w:bidi="fa-IR"/>
        </w:rPr>
      </w:pPr>
      <w:r>
        <w:rPr>
          <w:rtl/>
          <w:lang w:bidi="fa-IR"/>
        </w:rPr>
        <w:t>قَالَ : أُخْرِجُ الْخُمُسَ ، وَأَقْسِمُ أَرْبَعَةَ أَخْمَاسٍ بَيْنَ مَنْ قَاتَلَ عَلَيْهِ.</w:t>
      </w:r>
    </w:p>
    <w:p w:rsidR="00744A1C" w:rsidRDefault="00744A1C" w:rsidP="00744A1C">
      <w:pPr>
        <w:pStyle w:val="libNormal"/>
        <w:rPr>
          <w:lang w:bidi="fa-IR"/>
        </w:rPr>
      </w:pPr>
      <w:r>
        <w:rPr>
          <w:rtl/>
          <w:lang w:bidi="fa-IR"/>
        </w:rPr>
        <w:t>قَالَ : « أَخْبِرْنِي عَنِ الْخُمُسِ مَنْ تُعْطِيهِ؟ ».</w:t>
      </w:r>
    </w:p>
    <w:p w:rsidR="00744A1C" w:rsidRDefault="00744A1C" w:rsidP="00744A1C">
      <w:pPr>
        <w:pStyle w:val="libNormal"/>
        <w:rPr>
          <w:lang w:bidi="fa-IR"/>
        </w:rPr>
      </w:pPr>
      <w:r>
        <w:rPr>
          <w:rtl/>
          <w:lang w:bidi="fa-IR"/>
        </w:rPr>
        <w:t xml:space="preserve">قَالَ : حَيْثُمَا </w:t>
      </w:r>
      <w:r w:rsidRPr="00D10E3C">
        <w:rPr>
          <w:rStyle w:val="libFootnotenumChar"/>
          <w:rtl/>
        </w:rPr>
        <w:t>(9)</w:t>
      </w:r>
      <w:r>
        <w:rPr>
          <w:rtl/>
          <w:lang w:bidi="fa-IR"/>
        </w:rPr>
        <w:t xml:space="preserve"> سَمَّى اللهُ ، قَالَ : فَقَرَأَ : </w:t>
      </w:r>
      <w:r w:rsidRPr="00CB3856">
        <w:rPr>
          <w:rStyle w:val="libAlaemChar"/>
          <w:rtl/>
        </w:rPr>
        <w:t>(</w:t>
      </w:r>
      <w:r w:rsidRPr="00CB3856">
        <w:rPr>
          <w:rStyle w:val="libAieChar"/>
          <w:rtl/>
        </w:rPr>
        <w:t xml:space="preserve"> وَاعْلَمُوا أَنَّما غَنِمْتُمْ مِنْ شَيْ‌ءٍ فَأَنَّ لِلّهِ خُمُسَهُ وَلِلرَّسُولِ وَلِذِي الْقُرْبى وَالْيَتامى وَالْمَساكِينِ وَابْنِ السَّبِيلِ </w:t>
      </w:r>
      <w:r w:rsidRPr="00CB3856">
        <w:rPr>
          <w:rStyle w:val="libAlaemChar"/>
          <w:rtl/>
        </w:rPr>
        <w:t>)</w:t>
      </w:r>
      <w:r>
        <w:rPr>
          <w:rtl/>
          <w:lang w:bidi="fa-IR"/>
        </w:rPr>
        <w:t xml:space="preserve"> </w:t>
      </w:r>
      <w:r w:rsidRPr="00D10E3C">
        <w:rPr>
          <w:rStyle w:val="libFootnotenumChar"/>
          <w:rtl/>
        </w:rPr>
        <w:t>(10)</w:t>
      </w:r>
      <w:r w:rsidR="00CB3856" w:rsidRPr="00CB3856">
        <w:rPr>
          <w:rFonts w:hint="cs"/>
          <w:rtl/>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B3856">
        <w:rPr>
          <w:rtl/>
        </w:rPr>
        <w:t>التهذيب</w:t>
      </w:r>
      <w:r w:rsidR="00744A1C">
        <w:rPr>
          <w:rtl/>
          <w:lang w:bidi="fa-IR"/>
        </w:rPr>
        <w:t xml:space="preserve"> : « أتقرأ » بدل « اقرأ ».</w:t>
      </w:r>
    </w:p>
    <w:p w:rsidR="00744A1C" w:rsidRDefault="00E378DD" w:rsidP="00E378DD">
      <w:pPr>
        <w:pStyle w:val="libFootnote0"/>
        <w:rPr>
          <w:lang w:bidi="fa-IR"/>
        </w:rPr>
      </w:pPr>
      <w:r>
        <w:rPr>
          <w:rtl/>
          <w:lang w:bidi="fa-IR"/>
        </w:rPr>
        <w:t>(2).</w:t>
      </w:r>
      <w:r w:rsidR="00744A1C">
        <w:rPr>
          <w:rtl/>
          <w:lang w:bidi="fa-IR"/>
        </w:rPr>
        <w:t xml:space="preserve"> قوله تعالى : </w:t>
      </w:r>
      <w:r w:rsidR="00744A1C" w:rsidRPr="00CB3856">
        <w:rPr>
          <w:rStyle w:val="libFootnoteAlaemChar"/>
          <w:rtl/>
        </w:rPr>
        <w:t>(</w:t>
      </w:r>
      <w:r w:rsidR="00744A1C" w:rsidRPr="00CB3856">
        <w:rPr>
          <w:rStyle w:val="libFootnoteAieChar"/>
          <w:rtl/>
        </w:rPr>
        <w:t xml:space="preserve"> عَنْ يَدٍ </w:t>
      </w:r>
      <w:r w:rsidR="00744A1C" w:rsidRPr="00CB3856">
        <w:rPr>
          <w:rStyle w:val="libFootnoteAlaemChar"/>
          <w:rtl/>
        </w:rPr>
        <w:t>)</w:t>
      </w:r>
      <w:r w:rsidR="00744A1C">
        <w:rPr>
          <w:rtl/>
          <w:lang w:bidi="fa-IR"/>
        </w:rPr>
        <w:t xml:space="preserve"> ، إمّا أن يراد يد المعطي ، أو يد الآخذ ، فمعناه على الأوّل : حتّى يعطوها عن يد مؤاتية</w:t>
      </w:r>
      <w:r w:rsidR="00CB3856">
        <w:rPr>
          <w:rFonts w:hint="cs"/>
          <w:rtl/>
          <w:lang w:bidi="fa-IR"/>
        </w:rPr>
        <w:t xml:space="preserve"> </w:t>
      </w:r>
      <w:r w:rsidR="00744A1C">
        <w:rPr>
          <w:rtl/>
          <w:lang w:bidi="fa-IR"/>
        </w:rPr>
        <w:t xml:space="preserve">غير ممتنعة ، كما يقال : أعطى بيده : إذا أصحب وانقاد ، أو حتّى يعطوها عن يد إلى يد نقداً غير نسيئة ولا مبعوثاً على يد أحد. ومعناه على إرادة يد الآخذ : حتّى يعطوها عن يد قاهرة مستولية ، أو عن إنعام عليهم. وقوله تعالى : </w:t>
      </w:r>
      <w:r w:rsidR="00744A1C" w:rsidRPr="00CB3856">
        <w:rPr>
          <w:rStyle w:val="libFootnoteAlaemChar"/>
          <w:rtl/>
        </w:rPr>
        <w:t>(</w:t>
      </w:r>
      <w:r w:rsidR="00744A1C" w:rsidRPr="00CB3856">
        <w:rPr>
          <w:rStyle w:val="libFootnoteAieChar"/>
          <w:rtl/>
        </w:rPr>
        <w:t xml:space="preserve"> وَهُمْ صاغِرُونَ </w:t>
      </w:r>
      <w:r w:rsidR="00744A1C" w:rsidRPr="00CB3856">
        <w:rPr>
          <w:rStyle w:val="libFootnoteAlaemChar"/>
          <w:rtl/>
        </w:rPr>
        <w:t>)</w:t>
      </w:r>
      <w:r w:rsidR="00744A1C">
        <w:rPr>
          <w:rtl/>
          <w:lang w:bidi="fa-IR"/>
        </w:rPr>
        <w:t xml:space="preserve"> أي تؤخذ منهم الجزية على الصغار والذلّ. </w:t>
      </w:r>
      <w:r w:rsidR="00744A1C" w:rsidRPr="00CB3856">
        <w:rPr>
          <w:rStyle w:val="libFootnoteBoldChar"/>
          <w:rtl/>
        </w:rPr>
        <w:t>جوامع الجامع</w:t>
      </w:r>
      <w:r w:rsidR="00744A1C">
        <w:rPr>
          <w:rtl/>
          <w:lang w:bidi="fa-IR"/>
        </w:rPr>
        <w:t xml:space="preserve"> ، ج 2 ، ص 58. وراجع أيضاً : </w:t>
      </w:r>
      <w:r w:rsidR="00744A1C" w:rsidRPr="002D57AD">
        <w:rPr>
          <w:rStyle w:val="libFootnoteBoldChar"/>
          <w:rtl/>
        </w:rPr>
        <w:t>المفردات للراغب</w:t>
      </w:r>
      <w:r w:rsidR="00744A1C">
        <w:rPr>
          <w:rtl/>
          <w:lang w:bidi="fa-IR"/>
        </w:rPr>
        <w:t xml:space="preserve"> ، ص 890 ( يد ) ؛ وص 485 ( صغر ).</w:t>
      </w:r>
    </w:p>
    <w:p w:rsidR="00744A1C" w:rsidRDefault="00E378DD" w:rsidP="00E378DD">
      <w:pPr>
        <w:pStyle w:val="libFootnote0"/>
        <w:rPr>
          <w:lang w:bidi="fa-IR"/>
        </w:rPr>
      </w:pPr>
      <w:r>
        <w:rPr>
          <w:rtl/>
          <w:lang w:bidi="fa-IR"/>
        </w:rPr>
        <w:t>(3).</w:t>
      </w:r>
      <w:r w:rsidR="00744A1C">
        <w:rPr>
          <w:rtl/>
          <w:lang w:bidi="fa-IR"/>
        </w:rPr>
        <w:t xml:space="preserve"> التوبة </w:t>
      </w:r>
      <w:r w:rsidR="00CB3856">
        <w:rPr>
          <w:rtl/>
          <w:lang w:bidi="fa-IR"/>
        </w:rPr>
        <w:t>(9)</w:t>
      </w:r>
      <w:r w:rsidR="00744A1C">
        <w:rPr>
          <w:rtl/>
          <w:lang w:bidi="fa-IR"/>
        </w:rPr>
        <w:t xml:space="preserve"> : 29.</w:t>
      </w:r>
    </w:p>
    <w:p w:rsidR="00744A1C" w:rsidRDefault="00E378DD" w:rsidP="00E378DD">
      <w:pPr>
        <w:pStyle w:val="libFootnote0"/>
        <w:rPr>
          <w:lang w:bidi="fa-IR"/>
        </w:rPr>
      </w:pPr>
      <w:r>
        <w:rPr>
          <w:rtl/>
          <w:lang w:bidi="fa-IR"/>
        </w:rPr>
        <w:t>(4).</w:t>
      </w:r>
      <w:r w:rsidR="00744A1C">
        <w:rPr>
          <w:rtl/>
          <w:lang w:bidi="fa-IR"/>
        </w:rPr>
        <w:t xml:space="preserve"> في « ى » وحاشية « بح » : « فاستثنى ».</w:t>
      </w:r>
    </w:p>
    <w:tbl>
      <w:tblPr>
        <w:tblStyle w:val="TableGrid"/>
        <w:bidiVisual/>
        <w:tblW w:w="0" w:type="auto"/>
        <w:tblLook w:val="04A0" w:firstRow="1" w:lastRow="0" w:firstColumn="1" w:lastColumn="0" w:noHBand="0" w:noVBand="1"/>
      </w:tblPr>
      <w:tblGrid>
        <w:gridCol w:w="4006"/>
        <w:gridCol w:w="4006"/>
      </w:tblGrid>
      <w:tr w:rsidR="00CB3856" w:rsidTr="00CB3856">
        <w:tc>
          <w:tcPr>
            <w:tcW w:w="4006" w:type="dxa"/>
          </w:tcPr>
          <w:p w:rsidR="00CB3856" w:rsidRDefault="00CB3856" w:rsidP="00E378DD">
            <w:pPr>
              <w:pStyle w:val="libFootnote0"/>
              <w:rPr>
                <w:rtl/>
                <w:lang w:bidi="fa-IR"/>
              </w:rPr>
            </w:pPr>
            <w:r>
              <w:rPr>
                <w:rtl/>
                <w:lang w:bidi="fa-IR"/>
              </w:rPr>
              <w:t xml:space="preserve">(5). في </w:t>
            </w:r>
            <w:r w:rsidRPr="00CB3856">
              <w:rPr>
                <w:rtl/>
              </w:rPr>
              <w:t>الوسائل</w:t>
            </w:r>
            <w:r>
              <w:rPr>
                <w:rtl/>
                <w:lang w:bidi="fa-IR"/>
              </w:rPr>
              <w:t xml:space="preserve"> : « واشتراطه من أهل الكتاب ».</w:t>
            </w:r>
          </w:p>
        </w:tc>
        <w:tc>
          <w:tcPr>
            <w:tcW w:w="4006" w:type="dxa"/>
          </w:tcPr>
          <w:p w:rsidR="00CB3856" w:rsidRDefault="00CB3856" w:rsidP="00E378DD">
            <w:pPr>
              <w:pStyle w:val="libFootnote0"/>
              <w:rPr>
                <w:rtl/>
                <w:lang w:bidi="fa-IR"/>
              </w:rPr>
            </w:pPr>
            <w:r>
              <w:rPr>
                <w:rtl/>
                <w:lang w:bidi="fa-IR"/>
              </w:rPr>
              <w:t xml:space="preserve">(6). في </w:t>
            </w:r>
            <w:r w:rsidRPr="00CB3856">
              <w:rPr>
                <w:rtl/>
              </w:rPr>
              <w:t>التهذيب</w:t>
            </w:r>
            <w:r>
              <w:rPr>
                <w:rtl/>
                <w:lang w:bidi="fa-IR"/>
              </w:rPr>
              <w:t xml:space="preserve"> ، ج 6 : « منهم ».</w:t>
            </w:r>
          </w:p>
        </w:tc>
      </w:tr>
      <w:tr w:rsidR="00CB3856" w:rsidTr="00CB3856">
        <w:tc>
          <w:tcPr>
            <w:tcW w:w="4006" w:type="dxa"/>
          </w:tcPr>
          <w:p w:rsidR="00CB3856" w:rsidRDefault="00CB3856" w:rsidP="00E378DD">
            <w:pPr>
              <w:pStyle w:val="libFootnote0"/>
              <w:rPr>
                <w:rtl/>
                <w:lang w:bidi="fa-IR"/>
              </w:rPr>
            </w:pPr>
            <w:r>
              <w:rPr>
                <w:rtl/>
                <w:lang w:bidi="fa-IR"/>
              </w:rPr>
              <w:t>(7). في « بث ، بس » : - « لم ».</w:t>
            </w:r>
          </w:p>
        </w:tc>
        <w:tc>
          <w:tcPr>
            <w:tcW w:w="4006" w:type="dxa"/>
          </w:tcPr>
          <w:p w:rsidR="00CB3856" w:rsidRDefault="00CB3856" w:rsidP="00E378DD">
            <w:pPr>
              <w:pStyle w:val="libFootnote0"/>
              <w:rPr>
                <w:rtl/>
                <w:lang w:bidi="fa-IR"/>
              </w:rPr>
            </w:pPr>
            <w:r>
              <w:rPr>
                <w:rtl/>
                <w:lang w:bidi="fa-IR"/>
              </w:rPr>
              <w:t>(8). في «ى ، جد» وحاشية «جت » : « فكيف ».</w:t>
            </w:r>
          </w:p>
        </w:tc>
      </w:tr>
      <w:tr w:rsidR="00CB3856" w:rsidTr="00CB3856">
        <w:tc>
          <w:tcPr>
            <w:tcW w:w="4006" w:type="dxa"/>
          </w:tcPr>
          <w:p w:rsidR="00CB3856" w:rsidRDefault="00CB3856" w:rsidP="00E378DD">
            <w:pPr>
              <w:pStyle w:val="libFootnote0"/>
              <w:rPr>
                <w:rtl/>
                <w:lang w:bidi="fa-IR"/>
              </w:rPr>
            </w:pPr>
            <w:r>
              <w:rPr>
                <w:rtl/>
                <w:lang w:bidi="fa-IR"/>
              </w:rPr>
              <w:t xml:space="preserve">(9). في « بس » </w:t>
            </w:r>
            <w:r w:rsidRPr="00CB3856">
              <w:rPr>
                <w:rtl/>
              </w:rPr>
              <w:t>والتهذيب</w:t>
            </w:r>
            <w:r>
              <w:rPr>
                <w:rtl/>
                <w:lang w:bidi="fa-IR"/>
              </w:rPr>
              <w:t xml:space="preserve"> : « حيث ».</w:t>
            </w:r>
          </w:p>
        </w:tc>
        <w:tc>
          <w:tcPr>
            <w:tcW w:w="4006" w:type="dxa"/>
          </w:tcPr>
          <w:p w:rsidR="00CB3856" w:rsidRDefault="00CB3856" w:rsidP="00E378DD">
            <w:pPr>
              <w:pStyle w:val="libFootnote0"/>
              <w:rPr>
                <w:rtl/>
                <w:lang w:bidi="fa-IR"/>
              </w:rPr>
            </w:pPr>
            <w:r>
              <w:rPr>
                <w:rtl/>
                <w:lang w:bidi="fa-IR"/>
              </w:rPr>
              <w:t>(10). الأنفال (8) : 41.</w:t>
            </w:r>
          </w:p>
        </w:tc>
      </w:tr>
    </w:tbl>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قَالَ : « الَّذِي لِلرَّسُولِ مَنْ تُعْطِيهِ؟ وَمَنْ ذُو </w:t>
      </w:r>
      <w:r w:rsidRPr="00D10E3C">
        <w:rPr>
          <w:rStyle w:val="libFootnotenumChar"/>
          <w:rtl/>
        </w:rPr>
        <w:t>(1)</w:t>
      </w:r>
      <w:r>
        <w:rPr>
          <w:rtl/>
          <w:lang w:bidi="fa-IR"/>
        </w:rPr>
        <w:t xml:space="preserve"> الْقُرْبى؟ ».</w:t>
      </w:r>
    </w:p>
    <w:p w:rsidR="00744A1C" w:rsidRDefault="00744A1C" w:rsidP="00744A1C">
      <w:pPr>
        <w:pStyle w:val="libNormal"/>
        <w:rPr>
          <w:lang w:bidi="fa-IR"/>
        </w:rPr>
      </w:pPr>
      <w:r>
        <w:rPr>
          <w:rtl/>
          <w:lang w:bidi="fa-IR"/>
        </w:rPr>
        <w:t xml:space="preserve">قَالَ : قَدِ اخْتَلَفَ فِيهِ الْفُقَهَاءُ ، فَقَالَ بَعْضُهُمْ : قَرَابَةُ النَّبِيِّ </w:t>
      </w:r>
      <w:r w:rsidR="00CB3856" w:rsidRPr="00CB3856">
        <w:rPr>
          <w:rStyle w:val="libAlaemChar"/>
          <w:rtl/>
        </w:rPr>
        <w:t>صلى‌الله‌عليه‌وآله</w:t>
      </w:r>
      <w:r w:rsidR="00D10E3C">
        <w:rPr>
          <w:rtl/>
          <w:lang w:bidi="fa-IR"/>
        </w:rPr>
        <w:t xml:space="preserve"> </w:t>
      </w:r>
      <w:r>
        <w:rPr>
          <w:rtl/>
          <w:lang w:bidi="fa-IR"/>
        </w:rPr>
        <w:t xml:space="preserve">وَأَهْلُ بَيْتِهِ </w:t>
      </w:r>
      <w:r w:rsidRPr="00D10E3C">
        <w:rPr>
          <w:rStyle w:val="libFootnotenumChar"/>
          <w:rtl/>
        </w:rPr>
        <w:t>(2)</w:t>
      </w:r>
      <w:r>
        <w:rPr>
          <w:rtl/>
          <w:lang w:bidi="fa-IR"/>
        </w:rPr>
        <w:t xml:space="preserve"> ، وَقَالَ بَعْضُهُمُ : الْخَلِيفَةُ ، وَقَالَ بَعْضُهُمْ : قَرَابَةُ الَّذِينَ قَاتَلُوا عَلَيْهِ مِنَ </w:t>
      </w:r>
      <w:r w:rsidRPr="00D10E3C">
        <w:rPr>
          <w:rStyle w:val="libFootnotenumChar"/>
          <w:rtl/>
        </w:rPr>
        <w:t>(3)</w:t>
      </w:r>
      <w:r>
        <w:rPr>
          <w:rtl/>
          <w:lang w:bidi="fa-IR"/>
        </w:rPr>
        <w:t xml:space="preserve"> الْمُسْلِمِينَ.</w:t>
      </w:r>
    </w:p>
    <w:p w:rsidR="00744A1C" w:rsidRDefault="00744A1C" w:rsidP="00744A1C">
      <w:pPr>
        <w:pStyle w:val="libNormal"/>
        <w:rPr>
          <w:lang w:bidi="fa-IR"/>
        </w:rPr>
      </w:pPr>
      <w:r>
        <w:rPr>
          <w:rtl/>
          <w:lang w:bidi="fa-IR"/>
        </w:rPr>
        <w:t>قَالَ : « فَأَيَّ ذلِكَ تَقُولُ أَنْتَ؟ ».</w:t>
      </w:r>
    </w:p>
    <w:p w:rsidR="00744A1C" w:rsidRDefault="00744A1C" w:rsidP="00744A1C">
      <w:pPr>
        <w:pStyle w:val="libNormal"/>
        <w:rPr>
          <w:lang w:bidi="fa-IR"/>
        </w:rPr>
      </w:pPr>
      <w:r>
        <w:rPr>
          <w:rtl/>
          <w:lang w:bidi="fa-IR"/>
        </w:rPr>
        <w:t>قَالَ : لَا أَدْرِي.</w:t>
      </w:r>
    </w:p>
    <w:p w:rsidR="00744A1C" w:rsidRDefault="00744A1C" w:rsidP="00744A1C">
      <w:pPr>
        <w:pStyle w:val="libNormal"/>
        <w:rPr>
          <w:lang w:bidi="fa-IR"/>
        </w:rPr>
      </w:pPr>
      <w:r>
        <w:rPr>
          <w:rtl/>
          <w:lang w:bidi="fa-IR"/>
        </w:rPr>
        <w:t xml:space="preserve">قَالَ : « فَأَرَاكَ </w:t>
      </w:r>
      <w:r w:rsidRPr="00D10E3C">
        <w:rPr>
          <w:rStyle w:val="libFootnotenumChar"/>
          <w:rtl/>
        </w:rPr>
        <w:t>(4)</w:t>
      </w:r>
      <w:r>
        <w:rPr>
          <w:rtl/>
          <w:lang w:bidi="fa-IR"/>
        </w:rPr>
        <w:t xml:space="preserve"> لَاتَدْرِي ، فَدَعْ ذَا ».</w:t>
      </w:r>
    </w:p>
    <w:p w:rsidR="00744A1C" w:rsidRDefault="00744A1C" w:rsidP="00744A1C">
      <w:pPr>
        <w:pStyle w:val="libNormal"/>
        <w:rPr>
          <w:lang w:bidi="fa-IR"/>
        </w:rPr>
      </w:pPr>
      <w:r>
        <w:rPr>
          <w:rtl/>
          <w:lang w:bidi="fa-IR"/>
        </w:rPr>
        <w:t xml:space="preserve">ثُمَّ قَالَ : « أَرَأَيْتَ الْأَرْبَعَةَ أَخْمَاسٍ </w:t>
      </w:r>
      <w:r w:rsidRPr="00D10E3C">
        <w:rPr>
          <w:rStyle w:val="libFootnotenumChar"/>
          <w:rtl/>
        </w:rPr>
        <w:t>(5)</w:t>
      </w:r>
      <w:r>
        <w:rPr>
          <w:rtl/>
          <w:lang w:bidi="fa-IR"/>
        </w:rPr>
        <w:t xml:space="preserve"> تَقْسِمُهَا بَيْنَ جَمِيعِ مَنْ قَاتَلَ عَلَيْهَا؟ ».</w:t>
      </w:r>
    </w:p>
    <w:p w:rsidR="00744A1C" w:rsidRDefault="00744A1C" w:rsidP="00744A1C">
      <w:pPr>
        <w:pStyle w:val="libNormal"/>
        <w:rPr>
          <w:lang w:bidi="fa-IR"/>
        </w:rPr>
      </w:pPr>
      <w:r>
        <w:rPr>
          <w:rtl/>
          <w:lang w:bidi="fa-IR"/>
        </w:rPr>
        <w:t>قَالَ : نَعَمْ.</w:t>
      </w:r>
    </w:p>
    <w:p w:rsidR="00744A1C" w:rsidRDefault="00744A1C" w:rsidP="00744A1C">
      <w:pPr>
        <w:pStyle w:val="libNormal"/>
        <w:rPr>
          <w:lang w:bidi="fa-IR"/>
        </w:rPr>
      </w:pPr>
      <w:r>
        <w:rPr>
          <w:rtl/>
          <w:lang w:bidi="fa-IR"/>
        </w:rPr>
        <w:t xml:space="preserve">قَالَ : « فَقَدْ </w:t>
      </w:r>
      <w:r w:rsidRPr="00D10E3C">
        <w:rPr>
          <w:rStyle w:val="libFootnotenumChar"/>
          <w:rtl/>
        </w:rPr>
        <w:t>(6)</w:t>
      </w:r>
      <w:r>
        <w:rPr>
          <w:rtl/>
          <w:lang w:bidi="fa-IR"/>
        </w:rPr>
        <w:t xml:space="preserve"> خَالَفْتَ رَسُولَ اللهِ </w:t>
      </w:r>
      <w:r w:rsidR="0017097C" w:rsidRPr="0017097C">
        <w:rPr>
          <w:rStyle w:val="libAlaemChar"/>
          <w:rtl/>
        </w:rPr>
        <w:t>صلى‌الله‌عليه‌وآله</w:t>
      </w:r>
      <w:r w:rsidR="00D10E3C">
        <w:rPr>
          <w:rtl/>
          <w:lang w:bidi="fa-IR"/>
        </w:rPr>
        <w:t xml:space="preserve"> </w:t>
      </w:r>
      <w:r>
        <w:rPr>
          <w:rtl/>
          <w:lang w:bidi="fa-IR"/>
        </w:rPr>
        <w:t xml:space="preserve">فِي سِيرَتِهِ ، بَيْنِي وَبَيْنَكَ فُقَهَاءُ أَهْلِ الْمَدِينَةِ وَمَشِيخَتُهُمْ ، فَاسْأَلْهُمْ </w:t>
      </w:r>
      <w:r w:rsidRPr="00D10E3C">
        <w:rPr>
          <w:rStyle w:val="libFootnotenumChar"/>
          <w:rtl/>
        </w:rPr>
        <w:t>(7)</w:t>
      </w:r>
      <w:r>
        <w:rPr>
          <w:rtl/>
          <w:lang w:bidi="fa-IR"/>
        </w:rPr>
        <w:t xml:space="preserve"> فَإِنَّهُمْ لَايَخْتَلِفُونَ وَلَا يَتَنَازَعُونَ فِي أَنَّ رَسُولَ اللهِ </w:t>
      </w:r>
      <w:r w:rsidR="005E465D" w:rsidRPr="005E465D">
        <w:rPr>
          <w:rStyle w:val="libAlaemChar"/>
          <w:rtl/>
        </w:rPr>
        <w:t>صلى‌الله‌عليه‌وآله</w:t>
      </w:r>
      <w:r w:rsidR="00D10E3C">
        <w:rPr>
          <w:rtl/>
          <w:lang w:bidi="fa-IR"/>
        </w:rPr>
        <w:t xml:space="preserve"> </w:t>
      </w:r>
      <w:r w:rsidRPr="00D10E3C">
        <w:rPr>
          <w:rStyle w:val="libFootnotenumChar"/>
          <w:rtl/>
        </w:rPr>
        <w:t>(8)</w:t>
      </w:r>
      <w:r>
        <w:rPr>
          <w:rtl/>
          <w:lang w:bidi="fa-IR"/>
        </w:rPr>
        <w:t xml:space="preserve"> إِنَّمَا صَالَحَ الْأَعْرَابَ عَلى أَنْ يَدَعَهُمْ فِي دِيَارِهِمْ ، وَلَا يُهَاجِرُوا عَلى إِنْ دَهِمَهُ </w:t>
      </w:r>
      <w:r w:rsidRPr="00D10E3C">
        <w:rPr>
          <w:rStyle w:val="libFootnotenumChar"/>
          <w:rtl/>
        </w:rPr>
        <w:t>(9)</w:t>
      </w:r>
      <w:r>
        <w:rPr>
          <w:rtl/>
          <w:lang w:bidi="fa-IR"/>
        </w:rPr>
        <w:t xml:space="preserve"> مِنْ </w:t>
      </w:r>
      <w:r w:rsidRPr="00D10E3C">
        <w:rPr>
          <w:rStyle w:val="libFootnotenumChar"/>
          <w:rtl/>
        </w:rPr>
        <w:t>(10)</w:t>
      </w:r>
      <w:r>
        <w:rPr>
          <w:rtl/>
          <w:lang w:bidi="fa-IR"/>
        </w:rPr>
        <w:t xml:space="preserve"> عَدُوِّهِ </w:t>
      </w:r>
      <w:r w:rsidRPr="00D10E3C">
        <w:rPr>
          <w:rStyle w:val="libFootnotenumChar"/>
          <w:rtl/>
        </w:rPr>
        <w:t>(11)</w:t>
      </w:r>
      <w:r>
        <w:rPr>
          <w:rtl/>
          <w:lang w:bidi="fa-IR"/>
        </w:rPr>
        <w:t xml:space="preserve"> دَهْمٌ أَنْ يَسْتَنْفِرَهُمْ </w:t>
      </w:r>
      <w:r w:rsidRPr="00D10E3C">
        <w:rPr>
          <w:rStyle w:val="libFootnotenumChar"/>
          <w:rtl/>
        </w:rPr>
        <w:t>(12)</w:t>
      </w:r>
      <w:r>
        <w:rPr>
          <w:rtl/>
          <w:lang w:bidi="fa-IR"/>
        </w:rPr>
        <w:t xml:space="preserve"> ، فَيُقَاتِلَ بِهِمْ ، وَلَيْسَ لَهُمْ فِي الْغَنِيمَةِ نَصِيبٌ ، وَأَنْتَ تَقُولُ : بَيْنَ جَمِيعِهِمْ ؛ فَقَدْ خَالَفْتَ رَسُولَ اللهِ </w:t>
      </w:r>
      <w:r w:rsidR="0061079A" w:rsidRPr="0061079A">
        <w:rPr>
          <w:rStyle w:val="libAlaemChar"/>
          <w:rtl/>
        </w:rPr>
        <w:t>صلى‌الله‌عليه‌وآله</w:t>
      </w:r>
      <w:r w:rsidR="00D10E3C">
        <w:rPr>
          <w:rtl/>
          <w:lang w:bidi="fa-IR"/>
        </w:rPr>
        <w:t xml:space="preserve"> </w:t>
      </w:r>
      <w:r>
        <w:rPr>
          <w:rtl/>
          <w:lang w:bidi="fa-IR"/>
        </w:rPr>
        <w:t>فِي كُلِّ مَا قُلْتَ فِي سِيرَتِهِ فِي الْمُشْرِكِينَ ، وَمَعَ‌</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CB3856" w:rsidTr="00CB3856">
        <w:tc>
          <w:tcPr>
            <w:tcW w:w="4006" w:type="dxa"/>
          </w:tcPr>
          <w:p w:rsidR="00CB3856" w:rsidRDefault="00CB3856" w:rsidP="00D10E3C">
            <w:pPr>
              <w:pStyle w:val="libFootnote0"/>
              <w:rPr>
                <w:rtl/>
                <w:lang w:bidi="fa-IR"/>
              </w:rPr>
            </w:pPr>
            <w:r>
              <w:rPr>
                <w:rtl/>
                <w:lang w:bidi="fa-IR"/>
              </w:rPr>
              <w:t>(1). في « بح ، بس ، جت » : « ذوي ».</w:t>
            </w:r>
          </w:p>
        </w:tc>
        <w:tc>
          <w:tcPr>
            <w:tcW w:w="4006" w:type="dxa"/>
          </w:tcPr>
          <w:p w:rsidR="00CB3856" w:rsidRDefault="00CB3856" w:rsidP="00D10E3C">
            <w:pPr>
              <w:pStyle w:val="libFootnote0"/>
              <w:rPr>
                <w:rtl/>
                <w:lang w:bidi="fa-IR"/>
              </w:rPr>
            </w:pPr>
            <w:r>
              <w:rPr>
                <w:rtl/>
                <w:lang w:bidi="fa-IR"/>
              </w:rPr>
              <w:t>(2). في « بف » : - « وأهل بيته ».</w:t>
            </w:r>
          </w:p>
        </w:tc>
      </w:tr>
      <w:tr w:rsidR="00CB3856" w:rsidTr="00CB3856">
        <w:tc>
          <w:tcPr>
            <w:tcW w:w="4006" w:type="dxa"/>
          </w:tcPr>
          <w:p w:rsidR="00CB3856" w:rsidRDefault="00CB3856" w:rsidP="00D10E3C">
            <w:pPr>
              <w:pStyle w:val="libFootnote0"/>
              <w:rPr>
                <w:rtl/>
                <w:lang w:bidi="fa-IR"/>
              </w:rPr>
            </w:pPr>
            <w:r>
              <w:rPr>
                <w:rtl/>
                <w:lang w:bidi="fa-IR"/>
              </w:rPr>
              <w:t>(3). في « بس » : - « من ».</w:t>
            </w:r>
          </w:p>
        </w:tc>
        <w:tc>
          <w:tcPr>
            <w:tcW w:w="4006" w:type="dxa"/>
          </w:tcPr>
          <w:p w:rsidR="00CB3856" w:rsidRDefault="00CB3856" w:rsidP="00CB3856">
            <w:pPr>
              <w:pStyle w:val="libFootnote0"/>
              <w:rPr>
                <w:rtl/>
                <w:lang w:bidi="fa-IR"/>
              </w:rPr>
            </w:pPr>
            <w:r>
              <w:rPr>
                <w:rtl/>
                <w:lang w:bidi="fa-IR"/>
              </w:rPr>
              <w:t xml:space="preserve">(4). في </w:t>
            </w:r>
            <w:r w:rsidRPr="00CB3856">
              <w:rPr>
                <w:rtl/>
              </w:rPr>
              <w:t>التهذيب</w:t>
            </w:r>
            <w:r>
              <w:rPr>
                <w:rtl/>
                <w:lang w:bidi="fa-IR"/>
              </w:rPr>
              <w:t xml:space="preserve"> ، ج 6 : «فادر أنّك» بدل«فأراك».</w:t>
            </w:r>
          </w:p>
        </w:tc>
      </w:tr>
    </w:tbl>
    <w:p w:rsidR="00744A1C" w:rsidRDefault="00E378DD" w:rsidP="00E378DD">
      <w:pPr>
        <w:pStyle w:val="libFootnote0"/>
        <w:rPr>
          <w:lang w:bidi="fa-IR"/>
        </w:rPr>
      </w:pPr>
      <w:r>
        <w:rPr>
          <w:rtl/>
          <w:lang w:bidi="fa-IR"/>
        </w:rPr>
        <w:t>(5).</w:t>
      </w:r>
      <w:r w:rsidR="00744A1C">
        <w:rPr>
          <w:rtl/>
          <w:lang w:bidi="fa-IR"/>
        </w:rPr>
        <w:t xml:space="preserve"> في « ى ، بس » </w:t>
      </w:r>
      <w:r w:rsidR="00744A1C" w:rsidRPr="00CB3856">
        <w:rPr>
          <w:rtl/>
        </w:rPr>
        <w:t>والوافي والتهذيب</w:t>
      </w:r>
      <w:r w:rsidR="00744A1C">
        <w:rPr>
          <w:rtl/>
          <w:lang w:bidi="fa-IR"/>
        </w:rPr>
        <w:t xml:space="preserve"> : « الأخماس ».</w:t>
      </w:r>
    </w:p>
    <w:p w:rsidR="00744A1C" w:rsidRDefault="00E378DD" w:rsidP="00E378DD">
      <w:pPr>
        <w:pStyle w:val="libFootnote0"/>
        <w:rPr>
          <w:lang w:bidi="fa-IR"/>
        </w:rPr>
      </w:pPr>
      <w:r>
        <w:rPr>
          <w:rtl/>
          <w:lang w:bidi="fa-IR"/>
        </w:rPr>
        <w:t>(6).</w:t>
      </w:r>
      <w:r w:rsidR="00744A1C">
        <w:rPr>
          <w:rtl/>
          <w:lang w:bidi="fa-IR"/>
        </w:rPr>
        <w:t xml:space="preserve"> في « جن » : « قد ».</w:t>
      </w:r>
    </w:p>
    <w:p w:rsidR="00744A1C" w:rsidRDefault="00E378DD" w:rsidP="00CB3856">
      <w:pPr>
        <w:pStyle w:val="libFootnote0"/>
        <w:rPr>
          <w:lang w:bidi="fa-IR"/>
        </w:rPr>
      </w:pPr>
      <w:r>
        <w:rPr>
          <w:rtl/>
          <w:lang w:bidi="fa-IR"/>
        </w:rPr>
        <w:t>(7).</w:t>
      </w:r>
      <w:r w:rsidR="00744A1C">
        <w:rPr>
          <w:rtl/>
          <w:lang w:bidi="fa-IR"/>
        </w:rPr>
        <w:t xml:space="preserve"> في « بح ، بف » وحاشية « بث ، جت » </w:t>
      </w:r>
      <w:r w:rsidR="00744A1C" w:rsidRPr="00CB3856">
        <w:rPr>
          <w:rtl/>
        </w:rPr>
        <w:t>والوافي والتهذيب</w:t>
      </w:r>
      <w:r w:rsidR="00744A1C">
        <w:rPr>
          <w:rtl/>
          <w:lang w:bidi="fa-IR"/>
        </w:rPr>
        <w:t xml:space="preserve"> ، ج 6 : « فسلهم ». وفي « بث » : « نسألهم ». وفي « بس » : « تسألهم ».</w:t>
      </w:r>
      <w:r w:rsidR="00CB3856">
        <w:rPr>
          <w:rFonts w:hint="cs"/>
          <w:rtl/>
          <w:lang w:bidi="fa-IR"/>
        </w:rPr>
        <w:t xml:space="preserve">             </w:t>
      </w:r>
      <w:r>
        <w:rPr>
          <w:rtl/>
          <w:lang w:bidi="fa-IR"/>
        </w:rPr>
        <w:t>(8).</w:t>
      </w:r>
      <w:r w:rsidR="00744A1C">
        <w:rPr>
          <w:rtl/>
          <w:lang w:bidi="fa-IR"/>
        </w:rPr>
        <w:t xml:space="preserve"> في « ى ، بس ، جت » : + « إنّه ».</w:t>
      </w:r>
    </w:p>
    <w:p w:rsidR="00744A1C" w:rsidRDefault="00E378DD" w:rsidP="00E378DD">
      <w:pPr>
        <w:pStyle w:val="libFootnote0"/>
        <w:rPr>
          <w:lang w:bidi="fa-IR"/>
        </w:rPr>
      </w:pPr>
      <w:r>
        <w:rPr>
          <w:rtl/>
          <w:lang w:bidi="fa-IR"/>
        </w:rPr>
        <w:t>(9).</w:t>
      </w:r>
      <w:r w:rsidR="00744A1C">
        <w:rPr>
          <w:rtl/>
          <w:lang w:bidi="fa-IR"/>
        </w:rPr>
        <w:t xml:space="preserve"> الدَّهم : العدد الكثير ، والجماعة الكثيرة. والدَهماء : جماعة من الناس. يقال : دَهَمونا ، أي جاؤنا بمرّة جماعة. ودَهَمَه : غشيه. راجع : </w:t>
      </w:r>
      <w:r w:rsidR="00744A1C" w:rsidRPr="00877682">
        <w:rPr>
          <w:rStyle w:val="libFootnoteBoldChar"/>
          <w:rtl/>
        </w:rPr>
        <w:t>لسان العرب</w:t>
      </w:r>
      <w:r w:rsidR="00744A1C">
        <w:rPr>
          <w:rtl/>
          <w:lang w:bidi="fa-IR"/>
        </w:rPr>
        <w:t xml:space="preserve"> ، ج 12 ، ص 210 ( دهم ).</w:t>
      </w:r>
    </w:p>
    <w:p w:rsidR="00744A1C" w:rsidRDefault="00E378DD" w:rsidP="00E378DD">
      <w:pPr>
        <w:pStyle w:val="libFootnote0"/>
        <w:rPr>
          <w:lang w:bidi="fa-IR"/>
        </w:rPr>
      </w:pPr>
      <w:r>
        <w:rPr>
          <w:rtl/>
          <w:lang w:bidi="fa-IR"/>
        </w:rPr>
        <w:t>(10).</w:t>
      </w:r>
      <w:r w:rsidR="00744A1C">
        <w:rPr>
          <w:rtl/>
          <w:lang w:bidi="fa-IR"/>
        </w:rPr>
        <w:t xml:space="preserve"> في « ى » : - « من ».</w:t>
      </w:r>
    </w:p>
    <w:p w:rsidR="00744A1C" w:rsidRDefault="00E378DD" w:rsidP="00E378DD">
      <w:pPr>
        <w:pStyle w:val="libFootnote0"/>
        <w:rPr>
          <w:lang w:bidi="fa-IR"/>
        </w:rPr>
      </w:pPr>
      <w:r>
        <w:rPr>
          <w:rtl/>
          <w:lang w:bidi="fa-IR"/>
        </w:rPr>
        <w:t>(11).</w:t>
      </w:r>
      <w:r w:rsidR="00744A1C">
        <w:rPr>
          <w:rtl/>
          <w:lang w:bidi="fa-IR"/>
        </w:rPr>
        <w:t xml:space="preserve"> في « بس » : « عدوّ ».</w:t>
      </w:r>
    </w:p>
    <w:p w:rsidR="00744A1C" w:rsidRDefault="00E378DD" w:rsidP="00E378DD">
      <w:pPr>
        <w:pStyle w:val="libFootnote0"/>
        <w:rPr>
          <w:lang w:bidi="fa-IR"/>
        </w:rPr>
      </w:pPr>
      <w:r>
        <w:rPr>
          <w:rtl/>
          <w:lang w:bidi="fa-IR"/>
        </w:rPr>
        <w:t>(12).</w:t>
      </w:r>
      <w:r w:rsidR="00744A1C">
        <w:rPr>
          <w:rtl/>
          <w:lang w:bidi="fa-IR"/>
        </w:rPr>
        <w:t xml:space="preserve"> في « بس » وحاشية « بح ، جت » : « أن يستفزّهم ».</w:t>
      </w:r>
    </w:p>
    <w:p w:rsidR="006A5060" w:rsidRDefault="006A5060" w:rsidP="00D10E3C">
      <w:pPr>
        <w:pStyle w:val="libNormal"/>
        <w:rPr>
          <w:rtl/>
          <w:lang w:bidi="fa-IR"/>
        </w:rPr>
      </w:pPr>
      <w:r>
        <w:rPr>
          <w:rtl/>
          <w:lang w:bidi="fa-IR"/>
        </w:rPr>
        <w:br w:type="page"/>
      </w:r>
    </w:p>
    <w:p w:rsidR="00744A1C" w:rsidRDefault="00744A1C" w:rsidP="00CB3856">
      <w:pPr>
        <w:pStyle w:val="libNormal0"/>
        <w:rPr>
          <w:lang w:bidi="fa-IR"/>
        </w:rPr>
      </w:pPr>
      <w:r>
        <w:rPr>
          <w:rtl/>
          <w:lang w:bidi="fa-IR"/>
        </w:rPr>
        <w:t xml:space="preserve">هذَا </w:t>
      </w:r>
      <w:r w:rsidRPr="00D10E3C">
        <w:rPr>
          <w:rStyle w:val="libFootnotenumChar"/>
          <w:rtl/>
        </w:rPr>
        <w:t>(1)</w:t>
      </w:r>
      <w:r>
        <w:rPr>
          <w:rtl/>
          <w:lang w:bidi="fa-IR"/>
        </w:rPr>
        <w:t xml:space="preserve"> مَا تَقُولُ فِي الصَّدَقَةِ؟ ».</w:t>
      </w:r>
    </w:p>
    <w:p w:rsidR="00744A1C" w:rsidRDefault="00744A1C" w:rsidP="00744A1C">
      <w:pPr>
        <w:pStyle w:val="libNormal"/>
        <w:rPr>
          <w:lang w:bidi="fa-IR"/>
        </w:rPr>
      </w:pPr>
      <w:r>
        <w:rPr>
          <w:rtl/>
          <w:lang w:bidi="fa-IR"/>
        </w:rPr>
        <w:t xml:space="preserve">فَقَرَأَ عَلَيْهِ الْآيَةَ : </w:t>
      </w:r>
      <w:r w:rsidRPr="00CB3856">
        <w:rPr>
          <w:rStyle w:val="libAlaemChar"/>
          <w:rtl/>
        </w:rPr>
        <w:t>(</w:t>
      </w:r>
      <w:r w:rsidRPr="00CB3856">
        <w:rPr>
          <w:rStyle w:val="libAieChar"/>
          <w:rtl/>
        </w:rPr>
        <w:t xml:space="preserve"> إِنَّمَا الصَّدَقاتُ لِلْفُقَراءِ وَالْمَساكِينِ وَالْعامِلِينَ عَلَيْها </w:t>
      </w:r>
      <w:r w:rsidRPr="00CB3856">
        <w:rPr>
          <w:rStyle w:val="libAlaemChar"/>
          <w:rtl/>
        </w:rPr>
        <w:t>)</w:t>
      </w:r>
      <w:r>
        <w:rPr>
          <w:rtl/>
          <w:lang w:bidi="fa-IR"/>
        </w:rPr>
        <w:t xml:space="preserve"> </w:t>
      </w:r>
      <w:r w:rsidRPr="00D10E3C">
        <w:rPr>
          <w:rStyle w:val="libFootnotenumChar"/>
          <w:rtl/>
        </w:rPr>
        <w:t>(2)</w:t>
      </w:r>
      <w:r>
        <w:rPr>
          <w:rtl/>
          <w:lang w:bidi="fa-IR"/>
        </w:rPr>
        <w:t xml:space="preserve"> إِلى آخِرِ الْآيَةِ</w:t>
      </w:r>
      <w:r w:rsidRPr="00D10E3C">
        <w:rPr>
          <w:rStyle w:val="libFootnotenumChar"/>
          <w:rtl/>
        </w:rPr>
        <w:t>(3)</w:t>
      </w:r>
      <w:r w:rsidR="00CB3856" w:rsidRPr="00CB3856">
        <w:rPr>
          <w:rFonts w:hint="cs"/>
          <w:rtl/>
        </w:rPr>
        <w:t>.</w:t>
      </w:r>
    </w:p>
    <w:p w:rsidR="00744A1C" w:rsidRDefault="00744A1C" w:rsidP="00744A1C">
      <w:pPr>
        <w:pStyle w:val="libNormal"/>
        <w:rPr>
          <w:lang w:bidi="fa-IR"/>
        </w:rPr>
      </w:pPr>
      <w:r>
        <w:rPr>
          <w:rtl/>
          <w:lang w:bidi="fa-IR"/>
        </w:rPr>
        <w:t>قَالَ : « نَعَمْ ، فَكَيْفَ تَقْسِمُهَا؟ ».</w:t>
      </w:r>
    </w:p>
    <w:p w:rsidR="00744A1C" w:rsidRDefault="00744A1C" w:rsidP="00744A1C">
      <w:pPr>
        <w:pStyle w:val="libNormal"/>
        <w:rPr>
          <w:lang w:bidi="fa-IR"/>
        </w:rPr>
      </w:pPr>
      <w:r>
        <w:rPr>
          <w:rtl/>
          <w:lang w:bidi="fa-IR"/>
        </w:rPr>
        <w:t>قَالَ : أَقْسِمُهَا عَلى ثَمَانِيَةِ أَجْزَاءٍ ، فَأُعْطِي كُلَّ جُزْءٍ مِنَ الثَّمَانِيَةِ جُزْءاً.</w:t>
      </w:r>
    </w:p>
    <w:p w:rsidR="00744A1C" w:rsidRDefault="00744A1C" w:rsidP="00744A1C">
      <w:pPr>
        <w:pStyle w:val="libNormal"/>
        <w:rPr>
          <w:lang w:bidi="fa-IR"/>
        </w:rPr>
      </w:pPr>
      <w:r>
        <w:rPr>
          <w:rtl/>
          <w:lang w:bidi="fa-IR"/>
        </w:rPr>
        <w:t xml:space="preserve">قَالَ : « وَإِنْ كَانَ صِنْفٌ مِنْهُمْ عَشَرَةَ آلَافٍ ، وَصِنْفٌ مِنْهُمْ </w:t>
      </w:r>
      <w:r w:rsidRPr="00D10E3C">
        <w:rPr>
          <w:rStyle w:val="libFootnotenumChar"/>
          <w:rtl/>
        </w:rPr>
        <w:t>(4)</w:t>
      </w:r>
      <w:r>
        <w:rPr>
          <w:rtl/>
          <w:lang w:bidi="fa-IR"/>
        </w:rPr>
        <w:t xml:space="preserve"> رَجُلاً وَاحِداً أَوْ رَجُلَيْنِ </w:t>
      </w:r>
      <w:r w:rsidRPr="00D10E3C">
        <w:rPr>
          <w:rStyle w:val="libFootnotenumChar"/>
          <w:rtl/>
        </w:rPr>
        <w:t>(5)</w:t>
      </w:r>
      <w:r>
        <w:rPr>
          <w:rtl/>
          <w:lang w:bidi="fa-IR"/>
        </w:rPr>
        <w:t xml:space="preserve"> أَوْ ثَلَاثَةً ، جَعَلْتَ لِهذَا الْوَاحِدِ مِثْلَ </w:t>
      </w:r>
      <w:r w:rsidRPr="00D10E3C">
        <w:rPr>
          <w:rStyle w:val="libFootnotenumChar"/>
          <w:rtl/>
        </w:rPr>
        <w:t>(6)</w:t>
      </w:r>
      <w:r>
        <w:rPr>
          <w:rtl/>
          <w:lang w:bidi="fa-IR"/>
        </w:rPr>
        <w:t xml:space="preserve"> مَا جَعَلْتَ لِلْعَشَرَةِ آلَافٍ؟ ».</w:t>
      </w:r>
    </w:p>
    <w:p w:rsidR="00744A1C" w:rsidRDefault="00744A1C" w:rsidP="00744A1C">
      <w:pPr>
        <w:pStyle w:val="libNormal"/>
        <w:rPr>
          <w:lang w:bidi="fa-IR"/>
        </w:rPr>
      </w:pPr>
      <w:r>
        <w:rPr>
          <w:rtl/>
          <w:lang w:bidi="fa-IR"/>
        </w:rPr>
        <w:t>قَالَ : نَعَمْ.</w:t>
      </w:r>
    </w:p>
    <w:p w:rsidR="00744A1C" w:rsidRDefault="00744A1C" w:rsidP="00744A1C">
      <w:pPr>
        <w:pStyle w:val="libNormal"/>
        <w:rPr>
          <w:lang w:bidi="fa-IR"/>
        </w:rPr>
      </w:pPr>
      <w:r>
        <w:rPr>
          <w:rtl/>
          <w:lang w:bidi="fa-IR"/>
        </w:rPr>
        <w:t xml:space="preserve">قَالَ : « وَتَجْمَعُ صَدَقَاتِ أَهْلِ الْحَضَرِ وَأَهْلِ الْبَوَادِي ، فَتَجْعَلُهُمْ </w:t>
      </w:r>
      <w:r w:rsidRPr="00D10E3C">
        <w:rPr>
          <w:rStyle w:val="libFootnotenumChar"/>
          <w:rtl/>
        </w:rPr>
        <w:t>(7)</w:t>
      </w:r>
      <w:r>
        <w:rPr>
          <w:rtl/>
          <w:lang w:bidi="fa-IR"/>
        </w:rPr>
        <w:t xml:space="preserve"> فِيهَا سَوَاءً؟ ».</w:t>
      </w:r>
    </w:p>
    <w:p w:rsidR="00744A1C" w:rsidRDefault="00744A1C" w:rsidP="00744A1C">
      <w:pPr>
        <w:pStyle w:val="libNormal"/>
        <w:rPr>
          <w:lang w:bidi="fa-IR"/>
        </w:rPr>
      </w:pPr>
      <w:r>
        <w:rPr>
          <w:rtl/>
          <w:lang w:bidi="fa-IR"/>
        </w:rPr>
        <w:t>قَالَ : نَعَمْ.</w:t>
      </w:r>
    </w:p>
    <w:p w:rsidR="00744A1C" w:rsidRDefault="00744A1C" w:rsidP="00744A1C">
      <w:pPr>
        <w:pStyle w:val="libNormal"/>
        <w:rPr>
          <w:lang w:bidi="fa-IR"/>
        </w:rPr>
      </w:pPr>
      <w:r>
        <w:rPr>
          <w:rtl/>
          <w:lang w:bidi="fa-IR"/>
        </w:rPr>
        <w:t xml:space="preserve">قَالَ : « فَقَدْ خَالَفْتَ رَسُولَ اللهِ </w:t>
      </w:r>
      <w:r w:rsidR="004D054E" w:rsidRPr="004D054E">
        <w:rPr>
          <w:rStyle w:val="libAlaemChar"/>
          <w:rtl/>
        </w:rPr>
        <w:t>صلى‌الله‌عليه‌وآله</w:t>
      </w:r>
      <w:r w:rsidR="00D10E3C">
        <w:rPr>
          <w:rtl/>
          <w:lang w:bidi="fa-IR"/>
        </w:rPr>
        <w:t xml:space="preserve"> </w:t>
      </w:r>
      <w:r>
        <w:rPr>
          <w:rtl/>
          <w:lang w:bidi="fa-IR"/>
        </w:rPr>
        <w:t xml:space="preserve">فِي كُلِّ مَا قُلْتَ فِي سِيرَتِهِ ، كَانَ رَسُولُ اللهِ </w:t>
      </w:r>
      <w:r w:rsidR="00CB3856" w:rsidRPr="00CB3856">
        <w:rPr>
          <w:rStyle w:val="libAlaemChar"/>
          <w:rtl/>
        </w:rPr>
        <w:t>صلى‌الله‌عليه‌وآله</w:t>
      </w:r>
      <w:r w:rsidR="00D10E3C">
        <w:rPr>
          <w:rtl/>
          <w:lang w:bidi="fa-IR"/>
        </w:rPr>
        <w:t xml:space="preserve"> </w:t>
      </w:r>
      <w:r>
        <w:rPr>
          <w:rtl/>
          <w:lang w:bidi="fa-IR"/>
        </w:rPr>
        <w:t xml:space="preserve">يَقْسِمُ صَدَقَةَ أَهْلِ </w:t>
      </w:r>
      <w:r w:rsidRPr="00D10E3C">
        <w:rPr>
          <w:rStyle w:val="libFootnotenumChar"/>
          <w:rtl/>
        </w:rPr>
        <w:t>(8)</w:t>
      </w:r>
      <w:r>
        <w:rPr>
          <w:rtl/>
          <w:lang w:bidi="fa-IR"/>
        </w:rPr>
        <w:t xml:space="preserve"> الْبَوَادِي فِي أَهْلِ الْبَوَادِي ، وَصَدَقَةَ أَهْلِ الْحَضَرِ فِي أَهْلِ الْحَضَرِ ، وَلَا‌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حاشية « جت » </w:t>
      </w:r>
      <w:r w:rsidR="00744A1C" w:rsidRPr="00860CD0">
        <w:rPr>
          <w:rtl/>
        </w:rPr>
        <w:t>والتهذيب</w:t>
      </w:r>
      <w:r w:rsidR="00744A1C">
        <w:rPr>
          <w:rtl/>
          <w:lang w:bidi="fa-IR"/>
        </w:rPr>
        <w:t xml:space="preserve"> ، ج 6 : « دع هذا » بدل « ومع هذا ».</w:t>
      </w:r>
    </w:p>
    <w:p w:rsidR="00744A1C" w:rsidRDefault="00E378DD" w:rsidP="00E378DD">
      <w:pPr>
        <w:pStyle w:val="libFootnote0"/>
        <w:rPr>
          <w:lang w:bidi="fa-IR"/>
        </w:rPr>
      </w:pPr>
      <w:r>
        <w:rPr>
          <w:rtl/>
          <w:lang w:bidi="fa-IR"/>
        </w:rPr>
        <w:t>(2).</w:t>
      </w:r>
      <w:r w:rsidR="00744A1C">
        <w:rPr>
          <w:rtl/>
          <w:lang w:bidi="fa-IR"/>
        </w:rPr>
        <w:t xml:space="preserve"> في « بث » : +</w:t>
      </w:r>
      <w:r w:rsidR="00860CD0">
        <w:rPr>
          <w:rFonts w:hint="cs"/>
          <w:rtl/>
          <w:lang w:bidi="fa-IR"/>
        </w:rPr>
        <w:t xml:space="preserve"> </w:t>
      </w:r>
      <w:r w:rsidR="00744A1C" w:rsidRPr="00860CD0">
        <w:rPr>
          <w:rStyle w:val="libFootnoteAlaemChar"/>
          <w:rtl/>
        </w:rPr>
        <w:t>(</w:t>
      </w:r>
      <w:r w:rsidR="00744A1C" w:rsidRPr="00860CD0">
        <w:rPr>
          <w:rStyle w:val="libFootnoteAieChar"/>
          <w:rtl/>
        </w:rPr>
        <w:t xml:space="preserve"> وَالْمُؤَلَّفَةِ قُلُوبُهُمْ </w:t>
      </w:r>
      <w:r w:rsidR="00744A1C" w:rsidRPr="00860CD0">
        <w:rPr>
          <w:rStyle w:val="libFootnoteAlaemChar"/>
          <w:rtl/>
        </w:rPr>
        <w:t>)</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التوبة </w:t>
      </w:r>
      <w:r w:rsidR="00860CD0">
        <w:rPr>
          <w:rtl/>
          <w:lang w:bidi="fa-IR"/>
        </w:rPr>
        <w:t>(9)</w:t>
      </w:r>
      <w:r w:rsidR="00744A1C">
        <w:rPr>
          <w:rtl/>
          <w:lang w:bidi="fa-IR"/>
        </w:rPr>
        <w:t xml:space="preserve"> : 60. وتتمّة الآية هكذا : </w:t>
      </w:r>
      <w:r w:rsidR="00744A1C" w:rsidRPr="00860CD0">
        <w:rPr>
          <w:rStyle w:val="libFootnoteAlaemChar"/>
          <w:rtl/>
        </w:rPr>
        <w:t>(</w:t>
      </w:r>
      <w:r w:rsidR="00744A1C" w:rsidRPr="00860CD0">
        <w:rPr>
          <w:rStyle w:val="libFootnoteAieChar"/>
          <w:rtl/>
        </w:rPr>
        <w:t xml:space="preserve"> وَالْمُؤَلَّفَةِ قُلُوبُهُمْ وَفِي الرِّقابِ وَالْغارِمِينَ وَفِي سَبِيلِ اللهِ وَابْنِ السَّبِيلِ فَرِيضَةً مِنَ اللهِ وَاللهُ عَلِيمٌ حَكِيمٌ </w:t>
      </w:r>
      <w:r w:rsidR="00744A1C" w:rsidRPr="00860CD0">
        <w:rPr>
          <w:rStyle w:val="libFootnoteAlaemChar"/>
          <w:rtl/>
        </w:rPr>
        <w:t>)</w:t>
      </w:r>
      <w:r w:rsidR="00744A1C">
        <w:rPr>
          <w:rtl/>
          <w:lang w:bidi="fa-IR"/>
        </w:rPr>
        <w:t xml:space="preserve">. قال ابن إدريس </w:t>
      </w:r>
      <w:r w:rsidR="00877682" w:rsidRPr="00877682">
        <w:rPr>
          <w:rStyle w:val="libFootnoteAlaemChar"/>
          <w:rtl/>
        </w:rPr>
        <w:t>رحمه‌الله</w:t>
      </w:r>
      <w:r w:rsidR="00860CD0" w:rsidRPr="00860CD0">
        <w:rPr>
          <w:rFonts w:hint="cs"/>
          <w:rtl/>
        </w:rPr>
        <w:t xml:space="preserve"> </w:t>
      </w:r>
      <w:r w:rsidR="00744A1C">
        <w:rPr>
          <w:rtl/>
          <w:lang w:bidi="fa-IR"/>
        </w:rPr>
        <w:t xml:space="preserve">في </w:t>
      </w:r>
      <w:r w:rsidR="00744A1C" w:rsidRPr="00877682">
        <w:rPr>
          <w:rStyle w:val="libFootnoteBoldChar"/>
          <w:rtl/>
        </w:rPr>
        <w:t>السرائر</w:t>
      </w:r>
      <w:r w:rsidR="00744A1C">
        <w:rPr>
          <w:rtl/>
          <w:lang w:bidi="fa-IR"/>
        </w:rPr>
        <w:t xml:space="preserve"> ، ج 1 ، ص 456 : « فأمّا الفقير فهو الذي لا شي‌ء معه ، وأمّا المسكين فهو الذي له بلغة من العيش لا يكفيه طول سنته. وقال بعض أصحابنا عكس ذلك ». وقال : « وأمّا العاملون عليها فهم الذين يسعون في جباية الصدقات ، وأمّا المؤلّفة قلوبهم فهم الذين يتألّفون يستمالون إلى الجهاد - إلى أن قال : - وفي الرقاب وهم العبيد عندنا والمكاتبون بغير خلاف ، ويعتبر فيهم الإيمان والعدالة. والغارمون ، وهم الذين ركبتهم الديون في غير معصية ولا فساد. وفي سبيل الله ، وهو كلّ ما يصرف في الطريق التي يتوصّل بها إلى رضا الله وثوابه ، ويدخل في ذلك الجهاد وغيره من جميع أبواب البرّ للقرب إلى الله تعالى ». ثمّ قال : « وابن السبيل ، وهو المنقطع به - إلى قوله : - ويكون محتاجاً في الحال ، وإن كان له يسار في بلده وموطنه ». وراجع أيضاً : </w:t>
      </w:r>
      <w:r w:rsidR="00744A1C" w:rsidRPr="00860CD0">
        <w:rPr>
          <w:rStyle w:val="libFootnoteBoldChar"/>
          <w:rtl/>
        </w:rPr>
        <w:t>المبسوط</w:t>
      </w:r>
      <w:r w:rsidR="00744A1C">
        <w:rPr>
          <w:rtl/>
          <w:lang w:bidi="fa-IR"/>
        </w:rPr>
        <w:t xml:space="preserve"> ، ج 1 ، ص 246 ؛ </w:t>
      </w:r>
      <w:r w:rsidR="00744A1C" w:rsidRPr="00860CD0">
        <w:rPr>
          <w:rStyle w:val="libFootnoteBoldChar"/>
          <w:rtl/>
        </w:rPr>
        <w:t>شرائع الإسلام</w:t>
      </w:r>
      <w:r w:rsidR="00744A1C">
        <w:rPr>
          <w:rtl/>
          <w:lang w:bidi="fa-IR"/>
        </w:rPr>
        <w:t xml:space="preserve"> ، ج 1 ، ص 123 ؛ </w:t>
      </w:r>
      <w:r w:rsidR="00744A1C" w:rsidRPr="00860CD0">
        <w:rPr>
          <w:rStyle w:val="libFootnoteBoldChar"/>
          <w:rtl/>
        </w:rPr>
        <w:t>زبدة البيان</w:t>
      </w:r>
      <w:r w:rsidR="00744A1C">
        <w:rPr>
          <w:rtl/>
          <w:lang w:bidi="fa-IR"/>
        </w:rPr>
        <w:t xml:space="preserve"> ، ص 187.</w:t>
      </w:r>
    </w:p>
    <w:p w:rsidR="00744A1C" w:rsidRDefault="00E378DD" w:rsidP="00E378DD">
      <w:pPr>
        <w:pStyle w:val="libFootnote0"/>
        <w:rPr>
          <w:lang w:bidi="fa-IR"/>
        </w:rPr>
      </w:pPr>
      <w:r>
        <w:rPr>
          <w:rtl/>
          <w:lang w:bidi="fa-IR"/>
        </w:rPr>
        <w:t>(4).</w:t>
      </w:r>
      <w:r w:rsidR="00744A1C">
        <w:rPr>
          <w:rtl/>
          <w:lang w:bidi="fa-IR"/>
        </w:rPr>
        <w:t xml:space="preserve"> في « بث ، بح ، بف ، جت » </w:t>
      </w:r>
      <w:r w:rsidR="00744A1C" w:rsidRPr="0061079A">
        <w:rPr>
          <w:rStyle w:val="libFootnoteBoldChar"/>
          <w:rtl/>
        </w:rPr>
        <w:t>والتهذيب</w:t>
      </w:r>
      <w:r w:rsidR="00744A1C">
        <w:rPr>
          <w:rtl/>
          <w:lang w:bidi="fa-IR"/>
        </w:rPr>
        <w:t xml:space="preserve"> : - « منهم ».</w:t>
      </w:r>
    </w:p>
    <w:tbl>
      <w:tblPr>
        <w:tblStyle w:val="TableGrid"/>
        <w:bidiVisual/>
        <w:tblW w:w="0" w:type="auto"/>
        <w:tblLook w:val="04A0" w:firstRow="1" w:lastRow="0" w:firstColumn="1" w:lastColumn="0" w:noHBand="0" w:noVBand="1"/>
      </w:tblPr>
      <w:tblGrid>
        <w:gridCol w:w="4006"/>
        <w:gridCol w:w="4006"/>
      </w:tblGrid>
      <w:tr w:rsidR="00860CD0" w:rsidTr="00860CD0">
        <w:tc>
          <w:tcPr>
            <w:tcW w:w="4006" w:type="dxa"/>
          </w:tcPr>
          <w:p w:rsidR="00860CD0" w:rsidRDefault="00860CD0" w:rsidP="00E378DD">
            <w:pPr>
              <w:pStyle w:val="libFootnote0"/>
              <w:rPr>
                <w:rtl/>
                <w:lang w:bidi="fa-IR"/>
              </w:rPr>
            </w:pPr>
            <w:r>
              <w:rPr>
                <w:rtl/>
                <w:lang w:bidi="fa-IR"/>
              </w:rPr>
              <w:t>(5). في « جت » : « اثنين ».</w:t>
            </w:r>
          </w:p>
        </w:tc>
        <w:tc>
          <w:tcPr>
            <w:tcW w:w="4006" w:type="dxa"/>
          </w:tcPr>
          <w:p w:rsidR="00860CD0" w:rsidRDefault="00860CD0" w:rsidP="00E378DD">
            <w:pPr>
              <w:pStyle w:val="libFootnote0"/>
              <w:rPr>
                <w:rtl/>
                <w:lang w:bidi="fa-IR"/>
              </w:rPr>
            </w:pPr>
            <w:r>
              <w:rPr>
                <w:rtl/>
                <w:lang w:bidi="fa-IR"/>
              </w:rPr>
              <w:t>(6). في « بس ، جت ، جد ، جن » : - « مثل ».</w:t>
            </w:r>
          </w:p>
        </w:tc>
      </w:tr>
      <w:tr w:rsidR="00860CD0" w:rsidTr="00860CD0">
        <w:tc>
          <w:tcPr>
            <w:tcW w:w="4006" w:type="dxa"/>
          </w:tcPr>
          <w:p w:rsidR="00860CD0" w:rsidRDefault="00860CD0" w:rsidP="00E378DD">
            <w:pPr>
              <w:pStyle w:val="libFootnote0"/>
              <w:rPr>
                <w:rtl/>
                <w:lang w:bidi="fa-IR"/>
              </w:rPr>
            </w:pPr>
            <w:r>
              <w:rPr>
                <w:rtl/>
                <w:lang w:bidi="fa-IR"/>
              </w:rPr>
              <w:t xml:space="preserve">(7). في </w:t>
            </w:r>
            <w:r w:rsidRPr="00860CD0">
              <w:rPr>
                <w:rtl/>
              </w:rPr>
              <w:t>الوافي</w:t>
            </w:r>
            <w:r>
              <w:rPr>
                <w:rtl/>
                <w:lang w:bidi="fa-IR"/>
              </w:rPr>
              <w:t xml:space="preserve"> : « وتجعلهم ».</w:t>
            </w:r>
          </w:p>
        </w:tc>
        <w:tc>
          <w:tcPr>
            <w:tcW w:w="4006" w:type="dxa"/>
          </w:tcPr>
          <w:p w:rsidR="00860CD0" w:rsidRDefault="00860CD0" w:rsidP="00E378DD">
            <w:pPr>
              <w:pStyle w:val="libFootnote0"/>
              <w:rPr>
                <w:rtl/>
                <w:lang w:bidi="fa-IR"/>
              </w:rPr>
            </w:pPr>
            <w:r>
              <w:rPr>
                <w:rtl/>
                <w:lang w:bidi="fa-IR"/>
              </w:rPr>
              <w:t>(8). في « بث ، بف » : - « أهل ».</w:t>
            </w:r>
          </w:p>
        </w:tc>
      </w:tr>
    </w:tbl>
    <w:p w:rsidR="006A5060" w:rsidRDefault="006A5060" w:rsidP="00D10E3C">
      <w:pPr>
        <w:pStyle w:val="libNormal"/>
        <w:rPr>
          <w:rtl/>
          <w:lang w:bidi="fa-IR"/>
        </w:rPr>
      </w:pPr>
      <w:r>
        <w:rPr>
          <w:rtl/>
          <w:lang w:bidi="fa-IR"/>
        </w:rPr>
        <w:br w:type="page"/>
      </w:r>
    </w:p>
    <w:p w:rsidR="00744A1C" w:rsidRDefault="00744A1C" w:rsidP="00860CD0">
      <w:pPr>
        <w:pStyle w:val="libNormal0"/>
        <w:rPr>
          <w:lang w:bidi="fa-IR"/>
        </w:rPr>
      </w:pPr>
      <w:r>
        <w:rPr>
          <w:rtl/>
          <w:lang w:bidi="fa-IR"/>
        </w:rPr>
        <w:t xml:space="preserve">يَقْسِمُهُ </w:t>
      </w:r>
      <w:r w:rsidRPr="00D10E3C">
        <w:rPr>
          <w:rStyle w:val="libFootnotenumChar"/>
          <w:rtl/>
        </w:rPr>
        <w:t>(1)</w:t>
      </w:r>
      <w:r>
        <w:rPr>
          <w:rtl/>
          <w:lang w:bidi="fa-IR"/>
        </w:rPr>
        <w:t xml:space="preserve"> بَيْنَهُمْ بِالسَّوِيَّةِ ، وَإِنَّمَا </w:t>
      </w:r>
      <w:r w:rsidRPr="00D10E3C">
        <w:rPr>
          <w:rStyle w:val="libFootnotenumChar"/>
          <w:rtl/>
        </w:rPr>
        <w:t>(2)</w:t>
      </w:r>
      <w:r>
        <w:rPr>
          <w:rtl/>
          <w:lang w:bidi="fa-IR"/>
        </w:rPr>
        <w:t xml:space="preserve"> يَقْسِمُهُ </w:t>
      </w:r>
      <w:r w:rsidRPr="00D10E3C">
        <w:rPr>
          <w:rStyle w:val="libFootnotenumChar"/>
          <w:rtl/>
        </w:rPr>
        <w:t>(3)</w:t>
      </w:r>
      <w:r>
        <w:rPr>
          <w:rtl/>
          <w:lang w:bidi="fa-IR"/>
        </w:rPr>
        <w:t xml:space="preserve"> عَلى قَدْرِ مَا </w:t>
      </w:r>
      <w:r w:rsidRPr="00D10E3C">
        <w:rPr>
          <w:rStyle w:val="libFootnotenumChar"/>
          <w:rtl/>
        </w:rPr>
        <w:t>(4)</w:t>
      </w:r>
      <w:r>
        <w:rPr>
          <w:rtl/>
          <w:lang w:bidi="fa-IR"/>
        </w:rPr>
        <w:t xml:space="preserve"> يَحْضُرُهُ مِنْهُمْ ، وَمَا يَرى ، وَلَيْسَ </w:t>
      </w:r>
      <w:r w:rsidRPr="00D10E3C">
        <w:rPr>
          <w:rStyle w:val="libFootnotenumChar"/>
          <w:rtl/>
        </w:rPr>
        <w:t>(5)</w:t>
      </w:r>
      <w:r>
        <w:rPr>
          <w:rtl/>
          <w:lang w:bidi="fa-IR"/>
        </w:rPr>
        <w:t xml:space="preserve"> عَلَيْهِ </w:t>
      </w:r>
      <w:r w:rsidRPr="00D10E3C">
        <w:rPr>
          <w:rStyle w:val="libFootnotenumChar"/>
          <w:rtl/>
        </w:rPr>
        <w:t>(6)</w:t>
      </w:r>
      <w:r>
        <w:rPr>
          <w:rtl/>
          <w:lang w:bidi="fa-IR"/>
        </w:rPr>
        <w:t xml:space="preserve"> فِي ذلِكَ شَيْ‌ءٌ مُوَقَّتٌ مُوَظَّفٌ ، وَإِنَّمَا يَصْنَعُ ذلِكَ بِمَا يَرى عَلى قَدْرِ مَنْ يَحْضُرُهُ مِنْهُمْ ، فَإِنْ كَانَ فِي نَفْسِكَ مِمَّا قُلْتُ شَيْ‌ءٌ ، فَالْقَ فُقَهَاءَ أَهْلِ الْمَدِينَةِ ؛ فَإِنَّهُمْ لَايَخْتَلِفُونَ فِي أَنَّ رَسُولَ اللهِ </w:t>
      </w:r>
      <w:r w:rsidR="0061079A" w:rsidRPr="0061079A">
        <w:rPr>
          <w:rStyle w:val="libAlaemChar"/>
          <w:rtl/>
        </w:rPr>
        <w:t>صلى‌الله‌عليه‌وآله</w:t>
      </w:r>
      <w:r w:rsidR="00D10E3C">
        <w:rPr>
          <w:rtl/>
          <w:lang w:bidi="fa-IR"/>
        </w:rPr>
        <w:t xml:space="preserve"> </w:t>
      </w:r>
      <w:r>
        <w:rPr>
          <w:rtl/>
          <w:lang w:bidi="fa-IR"/>
        </w:rPr>
        <w:t xml:space="preserve">كَذَا كَانَ </w:t>
      </w:r>
      <w:r w:rsidRPr="00D10E3C">
        <w:rPr>
          <w:rStyle w:val="libFootnotenumChar"/>
          <w:rtl/>
        </w:rPr>
        <w:t>(7)</w:t>
      </w:r>
      <w:r>
        <w:rPr>
          <w:rtl/>
          <w:lang w:bidi="fa-IR"/>
        </w:rPr>
        <w:t xml:space="preserve"> يَصْنَعُ ».</w:t>
      </w:r>
    </w:p>
    <w:p w:rsidR="00144FA6" w:rsidRDefault="00744A1C" w:rsidP="00744A1C">
      <w:pPr>
        <w:pStyle w:val="libNormal"/>
        <w:rPr>
          <w:rtl/>
          <w:lang w:bidi="fa-IR"/>
        </w:rPr>
      </w:pPr>
      <w:r>
        <w:rPr>
          <w:rtl/>
          <w:lang w:bidi="fa-IR"/>
        </w:rPr>
        <w:t xml:space="preserve">ثُمَّ أَقْبَلَ عَلى عَمْرِو بْنِ عُبَيْدٍ ، فَقَالَ لَهُ </w:t>
      </w:r>
      <w:r w:rsidRPr="00D10E3C">
        <w:rPr>
          <w:rStyle w:val="libFootnotenumChar"/>
          <w:rtl/>
        </w:rPr>
        <w:t>(8)</w:t>
      </w:r>
      <w:r>
        <w:rPr>
          <w:rtl/>
          <w:lang w:bidi="fa-IR"/>
        </w:rPr>
        <w:t xml:space="preserve"> : « اتَّقِ اللهَ ، وَأَنْتُمْ أَيُّهَا الرَّهْطُ </w:t>
      </w:r>
      <w:r w:rsidRPr="00D10E3C">
        <w:rPr>
          <w:rStyle w:val="libFootnotenumChar"/>
          <w:rtl/>
        </w:rPr>
        <w:t>(9)</w:t>
      </w:r>
      <w:r>
        <w:rPr>
          <w:rtl/>
          <w:lang w:bidi="fa-IR"/>
        </w:rPr>
        <w:t xml:space="preserve"> فَاتَّقُوا اللهَ ؛ فَإِنَّ أَبِي حَدَّثَنِي - وَكَانَ خَيْرَ أَهْلِ الْأَرْضِ وَأَعْلَمَهُمْ بِكِتَابِ اللهِ عَزَّ وَجَلَّ وَسُنَّةِ نَبِيِّهِ </w:t>
      </w:r>
      <w:r w:rsidR="0017097C" w:rsidRPr="0017097C">
        <w:rPr>
          <w:rStyle w:val="libAlaemChar"/>
          <w:rtl/>
        </w:rPr>
        <w:t>صلى‌الله‌عليه‌وآله</w:t>
      </w:r>
      <w:r w:rsidR="00D10E3C">
        <w:rPr>
          <w:rtl/>
          <w:lang w:bidi="fa-IR"/>
        </w:rPr>
        <w:t xml:space="preserve"> </w:t>
      </w:r>
      <w:r>
        <w:rPr>
          <w:rtl/>
          <w:lang w:bidi="fa-IR"/>
        </w:rPr>
        <w:t xml:space="preserve">- أَنَّ رَسُولَ اللهِ </w:t>
      </w:r>
      <w:r w:rsidR="0017097C" w:rsidRPr="0017097C">
        <w:rPr>
          <w:rStyle w:val="libAlaemChar"/>
          <w:rtl/>
        </w:rPr>
        <w:t>صلى‌الله‌عليه‌وآله</w:t>
      </w:r>
      <w:r w:rsidR="00D10E3C">
        <w:rPr>
          <w:rtl/>
          <w:lang w:bidi="fa-IR"/>
        </w:rPr>
        <w:t xml:space="preserve"> </w:t>
      </w:r>
      <w:r>
        <w:rPr>
          <w:rtl/>
          <w:lang w:bidi="fa-IR"/>
        </w:rPr>
        <w:t xml:space="preserve">، قَالَ : مَنْ ضَرَبَ النَّاسَ بِسَيْفِهِ ، وَدَعَاهُمْ إِلى نَفْسِهِ وَفِي الْمُسْلِمِينَ مَنْ هُوَ أَعْلَمُ مِنْهُ ، فَهُوَ ضَالٌّ مُتَكَلِّفٌ </w:t>
      </w:r>
      <w:r w:rsidRPr="00D10E3C">
        <w:rPr>
          <w:rStyle w:val="libFootnotenumChar"/>
          <w:rtl/>
        </w:rPr>
        <w:t>(10)</w:t>
      </w:r>
      <w:r>
        <w:rPr>
          <w:rtl/>
          <w:lang w:bidi="fa-IR"/>
        </w:rPr>
        <w:t xml:space="preserve"> ». </w:t>
      </w:r>
      <w:r w:rsidRPr="00D10E3C">
        <w:rPr>
          <w:rStyle w:val="libFootnotenumChar"/>
          <w:rtl/>
        </w:rPr>
        <w:t>(11)</w:t>
      </w:r>
    </w:p>
    <w:p w:rsidR="00744A1C" w:rsidRDefault="00744A1C" w:rsidP="00744A1C">
      <w:pPr>
        <w:pStyle w:val="libNormal"/>
        <w:rPr>
          <w:lang w:bidi="fa-IR"/>
        </w:rPr>
      </w:pPr>
      <w:r>
        <w:rPr>
          <w:rtl/>
          <w:lang w:bidi="fa-IR"/>
        </w:rPr>
        <w:t>8228 / 2. مُحَمَّدُ بْنُ يَحْيى ، عَنْ مُحَمَّدِ بْنِ الْحُسَيْنِ ، عَنْ عَلِيِّ بْنِ النُّعْمَانِ ، عَنْ سُوَيْدٍ‌</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بف ، جت » وحاشية « بث » : « يقسم ». وفي </w:t>
      </w:r>
      <w:r w:rsidR="00744A1C" w:rsidRPr="0061079A">
        <w:rPr>
          <w:rStyle w:val="libFootnoteBoldChar"/>
          <w:rtl/>
        </w:rPr>
        <w:t>الكافي</w:t>
      </w:r>
      <w:r w:rsidR="00744A1C">
        <w:rPr>
          <w:rtl/>
          <w:lang w:bidi="fa-IR"/>
        </w:rPr>
        <w:t xml:space="preserve"> ، ح 5943 </w:t>
      </w:r>
      <w:r w:rsidR="00744A1C" w:rsidRPr="00860CD0">
        <w:rPr>
          <w:rtl/>
        </w:rPr>
        <w:t>والفقيه</w:t>
      </w:r>
      <w:r w:rsidR="00744A1C">
        <w:rPr>
          <w:rtl/>
          <w:lang w:bidi="fa-IR"/>
        </w:rPr>
        <w:t xml:space="preserve"> </w:t>
      </w:r>
      <w:r w:rsidR="00860CD0">
        <w:rPr>
          <w:rtl/>
          <w:lang w:bidi="fa-IR"/>
        </w:rPr>
        <w:t>والمقنعة : « يقسمها</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w:t>
      </w:r>
      <w:r w:rsidR="00744A1C" w:rsidRPr="0061079A">
        <w:rPr>
          <w:rStyle w:val="libFootnoteBoldChar"/>
          <w:rtl/>
        </w:rPr>
        <w:t>الكافي</w:t>
      </w:r>
      <w:r w:rsidR="00744A1C">
        <w:rPr>
          <w:rtl/>
          <w:lang w:bidi="fa-IR"/>
        </w:rPr>
        <w:t xml:space="preserve"> ، ح 5943 </w:t>
      </w:r>
      <w:r w:rsidR="00744A1C" w:rsidRPr="00860CD0">
        <w:rPr>
          <w:rtl/>
        </w:rPr>
        <w:t>والفقيه والتهذيب</w:t>
      </w:r>
      <w:r w:rsidR="00744A1C">
        <w:rPr>
          <w:rtl/>
          <w:lang w:bidi="fa-IR"/>
        </w:rPr>
        <w:t xml:space="preserve"> ، ج 6 : « إنّما » بدون الواو.</w:t>
      </w:r>
    </w:p>
    <w:p w:rsidR="00744A1C" w:rsidRDefault="00E378DD" w:rsidP="00E378DD">
      <w:pPr>
        <w:pStyle w:val="libFootnote0"/>
        <w:rPr>
          <w:lang w:bidi="fa-IR"/>
        </w:rPr>
      </w:pPr>
      <w:r>
        <w:rPr>
          <w:rtl/>
          <w:lang w:bidi="fa-IR"/>
        </w:rPr>
        <w:t>(3).</w:t>
      </w:r>
      <w:r w:rsidR="00744A1C">
        <w:rPr>
          <w:rtl/>
          <w:lang w:bidi="fa-IR"/>
        </w:rPr>
        <w:t xml:space="preserve"> في « بف » : « يقسم ». وفي </w:t>
      </w:r>
      <w:r w:rsidR="00744A1C" w:rsidRPr="0061079A">
        <w:rPr>
          <w:rStyle w:val="libFootnoteBoldChar"/>
          <w:rtl/>
        </w:rPr>
        <w:t>الكافي</w:t>
      </w:r>
      <w:r w:rsidR="00744A1C">
        <w:rPr>
          <w:rtl/>
          <w:lang w:bidi="fa-IR"/>
        </w:rPr>
        <w:t xml:space="preserve"> ، ح 5943 </w:t>
      </w:r>
      <w:r w:rsidR="00744A1C" w:rsidRPr="00860CD0">
        <w:rPr>
          <w:rtl/>
        </w:rPr>
        <w:t>والفقيه</w:t>
      </w:r>
      <w:r w:rsidR="00744A1C">
        <w:rPr>
          <w:rtl/>
          <w:lang w:bidi="fa-IR"/>
        </w:rPr>
        <w:t xml:space="preserve"> : « يقسمها ».</w:t>
      </w:r>
    </w:p>
    <w:p w:rsidR="00744A1C" w:rsidRDefault="00E378DD" w:rsidP="00E378DD">
      <w:pPr>
        <w:pStyle w:val="libFootnote0"/>
        <w:rPr>
          <w:lang w:bidi="fa-IR"/>
        </w:rPr>
      </w:pPr>
      <w:r>
        <w:rPr>
          <w:rtl/>
          <w:lang w:bidi="fa-IR"/>
        </w:rPr>
        <w:t>(4).</w:t>
      </w:r>
      <w:r w:rsidR="00744A1C">
        <w:rPr>
          <w:rtl/>
          <w:lang w:bidi="fa-IR"/>
        </w:rPr>
        <w:t xml:space="preserve"> في « بح » </w:t>
      </w:r>
      <w:r w:rsidR="00744A1C" w:rsidRPr="00860CD0">
        <w:rPr>
          <w:rtl/>
        </w:rPr>
        <w:t>والفقيه</w:t>
      </w:r>
      <w:r w:rsidR="00744A1C">
        <w:rPr>
          <w:rtl/>
          <w:lang w:bidi="fa-IR"/>
        </w:rPr>
        <w:t xml:space="preserve"> والمقنعة : « من ».</w:t>
      </w:r>
    </w:p>
    <w:p w:rsidR="00744A1C" w:rsidRDefault="00E378DD" w:rsidP="00E378DD">
      <w:pPr>
        <w:pStyle w:val="libFootnote0"/>
        <w:rPr>
          <w:lang w:bidi="fa-IR"/>
        </w:rPr>
      </w:pPr>
      <w:r>
        <w:rPr>
          <w:rtl/>
          <w:lang w:bidi="fa-IR"/>
        </w:rPr>
        <w:t>(5).</w:t>
      </w:r>
      <w:r w:rsidR="00744A1C">
        <w:rPr>
          <w:rtl/>
          <w:lang w:bidi="fa-IR"/>
        </w:rPr>
        <w:t xml:space="preserve"> في « بث » </w:t>
      </w:r>
      <w:r w:rsidR="00744A1C" w:rsidRPr="00860CD0">
        <w:rPr>
          <w:rtl/>
        </w:rPr>
        <w:t>والكافي</w:t>
      </w:r>
      <w:r w:rsidR="00744A1C">
        <w:rPr>
          <w:rtl/>
          <w:lang w:bidi="fa-IR"/>
        </w:rPr>
        <w:t xml:space="preserve"> ، ح 5943 </w:t>
      </w:r>
      <w:r w:rsidR="00744A1C" w:rsidRPr="00860CD0">
        <w:rPr>
          <w:rtl/>
        </w:rPr>
        <w:t>والفقيه والتهذيب</w:t>
      </w:r>
      <w:r w:rsidR="00744A1C">
        <w:rPr>
          <w:rtl/>
          <w:lang w:bidi="fa-IR"/>
        </w:rPr>
        <w:t xml:space="preserve"> ، ج 6 والمقنعة : « ليس » بدون الواو.</w:t>
      </w:r>
    </w:p>
    <w:p w:rsidR="00744A1C" w:rsidRDefault="00E378DD" w:rsidP="00E378DD">
      <w:pPr>
        <w:pStyle w:val="libFootnote0"/>
        <w:rPr>
          <w:lang w:bidi="fa-IR"/>
        </w:rPr>
      </w:pPr>
      <w:r>
        <w:rPr>
          <w:rtl/>
          <w:lang w:bidi="fa-IR"/>
        </w:rPr>
        <w:t>(6).</w:t>
      </w:r>
      <w:r w:rsidR="00744A1C">
        <w:rPr>
          <w:rtl/>
          <w:lang w:bidi="fa-IR"/>
        </w:rPr>
        <w:t xml:space="preserve"> في </w:t>
      </w:r>
      <w:r w:rsidR="00744A1C" w:rsidRPr="00860CD0">
        <w:rPr>
          <w:rtl/>
        </w:rPr>
        <w:t>الكافي</w:t>
      </w:r>
      <w:r w:rsidR="00744A1C">
        <w:rPr>
          <w:rtl/>
          <w:lang w:bidi="fa-IR"/>
        </w:rPr>
        <w:t xml:space="preserve"> ، ح 5943 </w:t>
      </w:r>
      <w:r w:rsidR="00744A1C" w:rsidRPr="00860CD0">
        <w:rPr>
          <w:rtl/>
        </w:rPr>
        <w:t>والفقيه</w:t>
      </w:r>
      <w:r w:rsidR="00744A1C">
        <w:rPr>
          <w:rtl/>
          <w:lang w:bidi="fa-IR"/>
        </w:rPr>
        <w:t xml:space="preserve"> والمقنعة : - « عليه ».</w:t>
      </w:r>
    </w:p>
    <w:tbl>
      <w:tblPr>
        <w:tblStyle w:val="TableGrid"/>
        <w:bidiVisual/>
        <w:tblW w:w="0" w:type="auto"/>
        <w:tblLook w:val="04A0" w:firstRow="1" w:lastRow="0" w:firstColumn="1" w:lastColumn="0" w:noHBand="0" w:noVBand="1"/>
      </w:tblPr>
      <w:tblGrid>
        <w:gridCol w:w="4006"/>
        <w:gridCol w:w="4006"/>
      </w:tblGrid>
      <w:tr w:rsidR="00860CD0" w:rsidTr="00860CD0">
        <w:tc>
          <w:tcPr>
            <w:tcW w:w="4006" w:type="dxa"/>
          </w:tcPr>
          <w:p w:rsidR="00860CD0" w:rsidRDefault="00860CD0" w:rsidP="00E378DD">
            <w:pPr>
              <w:pStyle w:val="libFootnote0"/>
              <w:rPr>
                <w:rtl/>
                <w:lang w:bidi="fa-IR"/>
              </w:rPr>
            </w:pPr>
            <w:r>
              <w:rPr>
                <w:rtl/>
                <w:lang w:bidi="fa-IR"/>
              </w:rPr>
              <w:t>(7). في « بح » : - « كان ».</w:t>
            </w:r>
          </w:p>
        </w:tc>
        <w:tc>
          <w:tcPr>
            <w:tcW w:w="4006" w:type="dxa"/>
          </w:tcPr>
          <w:p w:rsidR="00860CD0" w:rsidRDefault="00860CD0" w:rsidP="00E378DD">
            <w:pPr>
              <w:pStyle w:val="libFootnote0"/>
              <w:rPr>
                <w:rtl/>
                <w:lang w:bidi="fa-IR"/>
              </w:rPr>
            </w:pPr>
            <w:r>
              <w:rPr>
                <w:rtl/>
                <w:lang w:bidi="fa-IR"/>
              </w:rPr>
              <w:t xml:space="preserve">(8). في </w:t>
            </w:r>
            <w:r w:rsidRPr="00860CD0">
              <w:rPr>
                <w:rtl/>
              </w:rPr>
              <w:t>الوسائل</w:t>
            </w:r>
            <w:r>
              <w:rPr>
                <w:rtl/>
                <w:lang w:bidi="fa-IR"/>
              </w:rPr>
              <w:t xml:space="preserve"> : « فقال : يا عمرو ».</w:t>
            </w:r>
          </w:p>
        </w:tc>
      </w:tr>
    </w:tbl>
    <w:p w:rsidR="00744A1C" w:rsidRDefault="00E378DD" w:rsidP="00E378DD">
      <w:pPr>
        <w:pStyle w:val="libFootnote0"/>
        <w:rPr>
          <w:lang w:bidi="fa-IR"/>
        </w:rPr>
      </w:pPr>
      <w:r>
        <w:rPr>
          <w:rtl/>
          <w:lang w:bidi="fa-IR"/>
        </w:rPr>
        <w:t>(9).</w:t>
      </w:r>
      <w:r w:rsidR="00744A1C">
        <w:rPr>
          <w:rtl/>
          <w:lang w:bidi="fa-IR"/>
        </w:rPr>
        <w:t xml:space="preserve"> « الرَّهْطُ » : عدد يجمع من ثلاثة إلى عشرة. وبعض يقول : من سبعة إلى عشرة ، وما دون السبعة إلى الثلاثة نَفَر. وقيل : الرَّهط : ما دون العشرة من الرجال لا يكون فيهم امرأة. </w:t>
      </w:r>
      <w:r w:rsidR="00744A1C" w:rsidRPr="00877682">
        <w:rPr>
          <w:rStyle w:val="libFootnoteBoldChar"/>
          <w:rtl/>
        </w:rPr>
        <w:t>لسان العرب</w:t>
      </w:r>
      <w:r w:rsidR="00744A1C">
        <w:rPr>
          <w:rtl/>
          <w:lang w:bidi="fa-IR"/>
        </w:rPr>
        <w:t xml:space="preserve"> ، ج 7 ، ص 305 ( رهط ).</w:t>
      </w:r>
    </w:p>
    <w:p w:rsidR="00744A1C" w:rsidRDefault="00E378DD" w:rsidP="00E378DD">
      <w:pPr>
        <w:pStyle w:val="libFootnote0"/>
        <w:rPr>
          <w:lang w:bidi="fa-IR"/>
        </w:rPr>
      </w:pPr>
      <w:r>
        <w:rPr>
          <w:rtl/>
          <w:lang w:bidi="fa-IR"/>
        </w:rPr>
        <w:t>(10).</w:t>
      </w:r>
      <w:r w:rsidR="00744A1C">
        <w:rPr>
          <w:rtl/>
          <w:lang w:bidi="fa-IR"/>
        </w:rPr>
        <w:t xml:space="preserve"> المتكلّف : العِرّيض لما لا يعنيه. وتكلّفت الشي‌ء : تجشّمته. </w:t>
      </w:r>
      <w:r w:rsidR="00744A1C" w:rsidRPr="00E978C3">
        <w:rPr>
          <w:rStyle w:val="libFootnoteBoldChar"/>
          <w:rtl/>
        </w:rPr>
        <w:t>الصحاح</w:t>
      </w:r>
      <w:r w:rsidR="00744A1C">
        <w:rPr>
          <w:rtl/>
          <w:lang w:bidi="fa-IR"/>
        </w:rPr>
        <w:t xml:space="preserve"> ، ج 4 ، ص 1424 ( كلف ).</w:t>
      </w:r>
    </w:p>
    <w:p w:rsidR="00744A1C" w:rsidRDefault="00E378DD" w:rsidP="00E378DD">
      <w:pPr>
        <w:pStyle w:val="libFootnote0"/>
        <w:rPr>
          <w:lang w:bidi="fa-IR"/>
        </w:rPr>
      </w:pPr>
      <w:r>
        <w:rPr>
          <w:rtl/>
          <w:lang w:bidi="fa-IR"/>
        </w:rPr>
        <w:t>(11).</w:t>
      </w:r>
      <w:r w:rsidR="00744A1C">
        <w:rPr>
          <w:rtl/>
          <w:lang w:bidi="fa-IR"/>
        </w:rPr>
        <w:t xml:space="preserve"> </w:t>
      </w:r>
      <w:r w:rsidR="00744A1C" w:rsidRPr="0061079A">
        <w:rPr>
          <w:rStyle w:val="libFootnoteBoldChar"/>
          <w:rtl/>
        </w:rPr>
        <w:t>الكافي</w:t>
      </w:r>
      <w:r w:rsidR="00744A1C">
        <w:rPr>
          <w:rtl/>
          <w:lang w:bidi="fa-IR"/>
        </w:rPr>
        <w:t xml:space="preserve"> ، كتاب الزكاة ، باب الزكاة تبعث من بلد إلى بلد ... ، ح 5943. وفي </w:t>
      </w:r>
      <w:r w:rsidR="00744A1C" w:rsidRPr="00C24F9C">
        <w:rPr>
          <w:rStyle w:val="libFootnoteBoldChar"/>
          <w:rtl/>
        </w:rPr>
        <w:t>التهذيب</w:t>
      </w:r>
      <w:r w:rsidR="00744A1C">
        <w:rPr>
          <w:rtl/>
          <w:lang w:bidi="fa-IR"/>
        </w:rPr>
        <w:t xml:space="preserve"> ، ج 4 ، ص 103 ، ح 292 ، معلّقاً عن الكليني ، وفيهما من قوله : « كان رسول الله </w:t>
      </w:r>
      <w:r w:rsidR="00F90866" w:rsidRPr="00F90866">
        <w:rPr>
          <w:rStyle w:val="libFootnoteAlaemChar"/>
          <w:rtl/>
        </w:rPr>
        <w:t>صلى‌الله‌عليه‌وآله</w:t>
      </w:r>
      <w:r w:rsidR="00744A1C">
        <w:rPr>
          <w:rtl/>
          <w:lang w:bidi="fa-IR"/>
        </w:rPr>
        <w:t xml:space="preserve"> يقسم صدقة أهل البوادي » إلى قوله : « وليس عليه في ذلك شي‌ء موقّت ». </w:t>
      </w:r>
      <w:r w:rsidR="00744A1C" w:rsidRPr="00C24F9C">
        <w:rPr>
          <w:rStyle w:val="libFootnoteBoldChar"/>
          <w:rtl/>
        </w:rPr>
        <w:t>التهذيب</w:t>
      </w:r>
      <w:r w:rsidR="00744A1C">
        <w:rPr>
          <w:rtl/>
          <w:lang w:bidi="fa-IR"/>
        </w:rPr>
        <w:t xml:space="preserve"> ، ج 6 ، ص 148 ، ح 261 ، معلّقاً عن عليّ بن إبراهيم. </w:t>
      </w:r>
      <w:r w:rsidR="00744A1C" w:rsidRPr="00A914B5">
        <w:rPr>
          <w:rStyle w:val="libFootnoteBoldChar"/>
          <w:rtl/>
        </w:rPr>
        <w:t>تفسير العيّاشي</w:t>
      </w:r>
      <w:r w:rsidR="00744A1C">
        <w:rPr>
          <w:rtl/>
          <w:lang w:bidi="fa-IR"/>
        </w:rPr>
        <w:t xml:space="preserve"> ، ج 2 ، ص 85 ، ح 40 ، عن عبد الملك بن عتبة الهاشمي ، عن أبي عبد الله ، عن أبيه </w:t>
      </w:r>
      <w:r w:rsidR="00F112A7" w:rsidRPr="00CE5A92">
        <w:rPr>
          <w:rStyle w:val="libFootnoteAlaemChar"/>
          <w:rtl/>
        </w:rPr>
        <w:t>عليهما‌السلام</w:t>
      </w:r>
      <w:r w:rsidR="00744A1C">
        <w:rPr>
          <w:rtl/>
          <w:lang w:bidi="fa-IR"/>
        </w:rPr>
        <w:t xml:space="preserve">، من قوله : « من ضرب الناس بسيفه ». </w:t>
      </w:r>
      <w:r w:rsidR="00744A1C" w:rsidRPr="00860CD0">
        <w:rPr>
          <w:rStyle w:val="libFootnoteBoldChar"/>
          <w:rtl/>
        </w:rPr>
        <w:t>المقنعة</w:t>
      </w:r>
      <w:r w:rsidR="00744A1C">
        <w:rPr>
          <w:rtl/>
          <w:lang w:bidi="fa-IR"/>
        </w:rPr>
        <w:t xml:space="preserve"> ، ص 260 ، مرسلاً عن عبد الكريم بن عتبة الهاشمي ، عن أبي عبد 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31 ، ح 1619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من قوله : « كان رسول الله </w:t>
      </w:r>
      <w:r w:rsidR="00B7470D" w:rsidRPr="00860CD0">
        <w:rPr>
          <w:rStyle w:val="libFootnoteAlaemChar"/>
          <w:rtl/>
        </w:rPr>
        <w:t>صلى‌الله‌عليه‌وآله</w:t>
      </w:r>
      <w:r w:rsidR="00D10E3C">
        <w:rPr>
          <w:rtl/>
          <w:lang w:bidi="fa-IR"/>
        </w:rPr>
        <w:t xml:space="preserve"> </w:t>
      </w:r>
      <w:r w:rsidR="00744A1C">
        <w:rPr>
          <w:rtl/>
          <w:lang w:bidi="fa-IR"/>
        </w:rPr>
        <w:t xml:space="preserve">يقسّم صدقة أهل البوادي » إلى قوله : « وليس عليه في ذلك شي‌ء موقّت » </w:t>
      </w:r>
      <w:r w:rsidR="00860CD0">
        <w:rPr>
          <w:rFonts w:hint="cs"/>
          <w:rtl/>
          <w:lang w:bidi="fa-IR"/>
        </w:rPr>
        <w:t>.</w:t>
      </w:r>
      <w:r w:rsidR="00744A1C" w:rsidRPr="00C24F9C">
        <w:rPr>
          <w:rStyle w:val="libFootnoteBoldChar"/>
          <w:rtl/>
        </w:rPr>
        <w:t>الوافي</w:t>
      </w:r>
      <w:r w:rsidR="00744A1C">
        <w:rPr>
          <w:rtl/>
          <w:lang w:bidi="fa-IR"/>
        </w:rPr>
        <w:t xml:space="preserve"> ، ج 15 ، ص 84 ، ح 14731 ؛ </w:t>
      </w:r>
      <w:r w:rsidR="00744A1C" w:rsidRPr="00C24F9C">
        <w:rPr>
          <w:rStyle w:val="libFootnoteBoldChar"/>
          <w:rtl/>
        </w:rPr>
        <w:t>الوسائل</w:t>
      </w:r>
      <w:r w:rsidR="00744A1C">
        <w:rPr>
          <w:rtl/>
          <w:lang w:bidi="fa-IR"/>
        </w:rPr>
        <w:t xml:space="preserve"> ، ج 15 ، ص 41 ، ح 19950.</w:t>
      </w:r>
    </w:p>
    <w:p w:rsidR="006A5060" w:rsidRDefault="006A5060" w:rsidP="00D10E3C">
      <w:pPr>
        <w:pStyle w:val="libNormal"/>
        <w:rPr>
          <w:rtl/>
          <w:lang w:bidi="fa-IR"/>
        </w:rPr>
      </w:pPr>
      <w:r>
        <w:rPr>
          <w:rtl/>
          <w:lang w:bidi="fa-IR"/>
        </w:rPr>
        <w:br w:type="page"/>
      </w:r>
    </w:p>
    <w:p w:rsidR="00144FA6" w:rsidRDefault="00744A1C" w:rsidP="00860CD0">
      <w:pPr>
        <w:pStyle w:val="libNormal0"/>
        <w:rPr>
          <w:rtl/>
          <w:lang w:bidi="fa-IR"/>
        </w:rPr>
      </w:pPr>
      <w:r>
        <w:rPr>
          <w:rtl/>
          <w:lang w:bidi="fa-IR"/>
        </w:rPr>
        <w:t xml:space="preserve">الْقَلاَّءِ </w:t>
      </w:r>
      <w:r w:rsidRPr="00D10E3C">
        <w:rPr>
          <w:rStyle w:val="libFootnotenumChar"/>
          <w:rtl/>
        </w:rPr>
        <w:t>(1)</w:t>
      </w:r>
      <w:r>
        <w:rPr>
          <w:rtl/>
          <w:lang w:bidi="fa-IR"/>
        </w:rPr>
        <w:t xml:space="preserve"> ، عَنْ بَشِيرٍ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 إِنِّي رَأَيْتُ فِي الْمَنَامِ أَنِّي قُلْتُ لَكَ : إِنَّ الْقِتَالَ مَعَ غَيْرِ الْإِمَامِ الْمُفْتَرَضِ </w:t>
      </w:r>
      <w:r w:rsidRPr="00D10E3C">
        <w:rPr>
          <w:rStyle w:val="libFootnotenumChar"/>
          <w:rtl/>
        </w:rPr>
        <w:t>(2)</w:t>
      </w:r>
      <w:r>
        <w:rPr>
          <w:rtl/>
          <w:lang w:bidi="fa-IR"/>
        </w:rPr>
        <w:t xml:space="preserve"> طَاعَتُهُ </w:t>
      </w:r>
      <w:r w:rsidRPr="00D10E3C">
        <w:rPr>
          <w:rStyle w:val="libFootnotenumChar"/>
          <w:rtl/>
        </w:rPr>
        <w:t>(3)</w:t>
      </w:r>
      <w:r>
        <w:rPr>
          <w:rtl/>
          <w:lang w:bidi="fa-IR"/>
        </w:rPr>
        <w:t xml:space="preserve"> حَرَامٌ مِثْلُ الْمَيْتَةِ وَالدَّمِ وَلَحْمِ الْخِنْزِيرِ ، فَقُلْتَ لِي : نَعَمْ هُوَ كَذلِكَ؟</w:t>
      </w:r>
    </w:p>
    <w:p w:rsidR="00144FA6" w:rsidRDefault="00744A1C" w:rsidP="00744A1C">
      <w:pPr>
        <w:pStyle w:val="libNormal"/>
        <w:rPr>
          <w:rtl/>
          <w:lang w:bidi="fa-IR"/>
        </w:rPr>
      </w:pPr>
      <w:r>
        <w:rPr>
          <w:rtl/>
          <w:lang w:bidi="fa-IR"/>
        </w:rPr>
        <w:t xml:space="preserve">فَقَالَ أَبُو عَبْدِ اللهِ </w:t>
      </w:r>
      <w:r w:rsidR="0061079A" w:rsidRPr="0061079A">
        <w:rPr>
          <w:rStyle w:val="libAlaemChar"/>
          <w:rtl/>
        </w:rPr>
        <w:t>عليه‌السلام</w:t>
      </w:r>
      <w:r w:rsidR="00D10E3C">
        <w:rPr>
          <w:rtl/>
          <w:lang w:bidi="fa-IR"/>
        </w:rPr>
        <w:t xml:space="preserve"> </w:t>
      </w:r>
      <w:r>
        <w:rPr>
          <w:rtl/>
          <w:lang w:bidi="fa-IR"/>
        </w:rPr>
        <w:t xml:space="preserve">: « هُوَ كَذلِكَ ، هُوَ كَذلِكَ </w:t>
      </w:r>
      <w:r w:rsidRPr="00D10E3C">
        <w:rPr>
          <w:rStyle w:val="libFootnotenumChar"/>
          <w:rtl/>
        </w:rPr>
        <w:t>(4)</w:t>
      </w:r>
      <w:r>
        <w:rPr>
          <w:rtl/>
          <w:lang w:bidi="fa-IR"/>
        </w:rPr>
        <w:t xml:space="preserve"> ». </w:t>
      </w:r>
      <w:r w:rsidRPr="00D10E3C">
        <w:rPr>
          <w:rStyle w:val="libFootnotenumChar"/>
          <w:rtl/>
        </w:rPr>
        <w:t>(5)</w:t>
      </w:r>
    </w:p>
    <w:p w:rsidR="00744A1C" w:rsidRDefault="00744A1C" w:rsidP="001F0461">
      <w:pPr>
        <w:pStyle w:val="Heading2Center"/>
        <w:rPr>
          <w:lang w:bidi="fa-IR"/>
        </w:rPr>
      </w:pPr>
      <w:bookmarkStart w:id="96" w:name="_Toc49261394"/>
      <w:r>
        <w:rPr>
          <w:rtl/>
          <w:lang w:bidi="fa-IR"/>
        </w:rPr>
        <w:t xml:space="preserve">8 - بَابُ وَصِيَّةِ رَسُولِ اللهِ </w:t>
      </w:r>
      <w:r w:rsidR="005E465D" w:rsidRPr="005E465D">
        <w:rPr>
          <w:rStyle w:val="libAlaemChar"/>
          <w:rtl/>
        </w:rPr>
        <w:t>صلى‌الله‌عليه‌وآله</w:t>
      </w:r>
      <w:r w:rsidR="00D10E3C">
        <w:rPr>
          <w:rtl/>
          <w:lang w:bidi="fa-IR"/>
        </w:rPr>
        <w:t xml:space="preserve"> </w:t>
      </w:r>
      <w:r>
        <w:rPr>
          <w:rtl/>
          <w:lang w:bidi="fa-IR"/>
        </w:rPr>
        <w:t xml:space="preserve">وَأَمِيرِ الْمُؤْمِنِينَ </w:t>
      </w:r>
      <w:r w:rsidR="0061079A" w:rsidRPr="0061079A">
        <w:rPr>
          <w:rStyle w:val="libAlaemChar"/>
          <w:rtl/>
        </w:rPr>
        <w:t>عليه‌السلام</w:t>
      </w:r>
      <w:r w:rsidR="00D10E3C">
        <w:rPr>
          <w:rtl/>
          <w:lang w:bidi="fa-IR"/>
        </w:rPr>
        <w:t xml:space="preserve"> </w:t>
      </w:r>
      <w:r>
        <w:rPr>
          <w:rtl/>
          <w:lang w:bidi="fa-IR"/>
        </w:rPr>
        <w:t>فِي السَّرَايَا‌</w:t>
      </w:r>
      <w:bookmarkEnd w:id="96"/>
    </w:p>
    <w:p w:rsidR="00144FA6" w:rsidRDefault="00744A1C" w:rsidP="00744A1C">
      <w:pPr>
        <w:pStyle w:val="libNormal"/>
        <w:rPr>
          <w:rtl/>
          <w:lang w:bidi="fa-IR"/>
        </w:rPr>
      </w:pPr>
      <w:r>
        <w:rPr>
          <w:rtl/>
          <w:lang w:bidi="fa-IR"/>
        </w:rPr>
        <w:t>8229 / 1. عَلِيُّ بْنُ إِبْرَاهِيمَ ، عَنْ أَبِيهِ ، عَنِ ابْنِ أَبِي عُمَيْرٍ ، عَنْ مُعَاوِيَةَ بْنِ عَمَّارٍ ، قَالَ : أَظُنُّهُ عَنْ أَبِي حَمْزَةَ الثُّمَالِيِّ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رَسُولُ اللهِ </w:t>
      </w:r>
      <w:r w:rsidR="005E465D" w:rsidRPr="005E465D">
        <w:rPr>
          <w:rStyle w:val="libAlaemChar"/>
          <w:rtl/>
        </w:rPr>
        <w:t>صلى‌الله‌عليه‌وآله</w:t>
      </w:r>
      <w:r w:rsidR="00D10E3C">
        <w:rPr>
          <w:rtl/>
          <w:lang w:bidi="fa-IR"/>
        </w:rPr>
        <w:t xml:space="preserve"> </w:t>
      </w:r>
      <w:r>
        <w:rPr>
          <w:rtl/>
          <w:lang w:bidi="fa-IR"/>
        </w:rPr>
        <w:t xml:space="preserve">إِذَا أَرَادَ أَنْ يَبْعَثَ سَرِيَّةً </w:t>
      </w:r>
      <w:r w:rsidRPr="00D10E3C">
        <w:rPr>
          <w:rStyle w:val="libFootnotenumChar"/>
          <w:rtl/>
        </w:rPr>
        <w:t>(6)</w:t>
      </w:r>
      <w:r>
        <w:rPr>
          <w:rtl/>
          <w:lang w:bidi="fa-IR"/>
        </w:rPr>
        <w:t xml:space="preserve"> دَعَاهُمْ ، فَأَجْلَسَهُمْ بَيْنَ يَدَيْهِ ، ثُمَّ يَقُولُ : سِيرُوا بِسْمِ اللهِ ، وَبِاللهِ ، وَفِي سَبِيلِ اللهِ ، وَعَلى مِلَّةِ رَسُولِ اللهِ ، لَاتَغُلُّوا </w:t>
      </w:r>
      <w:r w:rsidRPr="00D10E3C">
        <w:rPr>
          <w:rStyle w:val="libFootnotenumChar"/>
          <w:rtl/>
        </w:rPr>
        <w:t>(7)</w:t>
      </w:r>
      <w:r>
        <w:rPr>
          <w:rtl/>
          <w:lang w:bidi="fa-IR"/>
        </w:rPr>
        <w:t xml:space="preserve"> ، وَلَا تُمَثِّلُوا </w:t>
      </w:r>
      <w:r w:rsidRPr="00D10E3C">
        <w:rPr>
          <w:rStyle w:val="libFootnotenumChar"/>
          <w:rtl/>
        </w:rPr>
        <w:t>(8)</w:t>
      </w:r>
      <w:r>
        <w:rPr>
          <w:rtl/>
          <w:lang w:bidi="fa-IR"/>
        </w:rPr>
        <w:t xml:space="preserve"> ، وَلَاتَغْدِرُوا </w:t>
      </w:r>
      <w:r w:rsidRPr="00D10E3C">
        <w:rPr>
          <w:rStyle w:val="libFootnotenumChar"/>
          <w:rtl/>
        </w:rPr>
        <w:t>(9)</w:t>
      </w:r>
      <w:r>
        <w:rPr>
          <w:rtl/>
          <w:lang w:bidi="fa-IR"/>
        </w:rPr>
        <w:t xml:space="preserve"> ، وَلَا تَقْتُلُوا شَيْخاً فَانِياً </w:t>
      </w:r>
      <w:r w:rsidRPr="00D10E3C">
        <w:rPr>
          <w:rStyle w:val="libFootnotenumChar"/>
          <w:rtl/>
        </w:rPr>
        <w:t>(10)</w:t>
      </w:r>
      <w:r>
        <w:rPr>
          <w:rtl/>
          <w:lang w:bidi="fa-IR"/>
        </w:rPr>
        <w:t xml:space="preserve"> ، وَلَا صَبِيّاً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ى ، بث ، بح ، بس ، بف ، جت ، جد » </w:t>
      </w:r>
      <w:r w:rsidR="00744A1C" w:rsidRPr="001F0461">
        <w:rPr>
          <w:rtl/>
        </w:rPr>
        <w:t>والوسائل والبحار والتهذيب</w:t>
      </w:r>
      <w:r w:rsidR="00744A1C">
        <w:rPr>
          <w:rtl/>
          <w:lang w:bidi="fa-IR"/>
        </w:rPr>
        <w:t>. وفي المطبوع : « القلانسي ».</w:t>
      </w:r>
    </w:p>
    <w:p w:rsidR="00744A1C" w:rsidRDefault="00744A1C" w:rsidP="001F0461">
      <w:pPr>
        <w:pStyle w:val="libFootnote0"/>
        <w:rPr>
          <w:lang w:bidi="fa-IR"/>
        </w:rPr>
      </w:pPr>
      <w:r>
        <w:rPr>
          <w:rtl/>
          <w:lang w:bidi="fa-IR"/>
        </w:rPr>
        <w:t>والصواب ما أثبتناه كما تقدّم ، ذيل ح 8226.</w:t>
      </w:r>
      <w:r w:rsidR="001F0461">
        <w:rPr>
          <w:rFonts w:hint="cs"/>
          <w:rtl/>
          <w:lang w:bidi="fa-IR"/>
        </w:rPr>
        <w:t xml:space="preserve">   </w:t>
      </w:r>
      <w:r w:rsidR="00E378DD">
        <w:rPr>
          <w:rtl/>
          <w:lang w:bidi="fa-IR"/>
        </w:rPr>
        <w:t>(2).</w:t>
      </w:r>
      <w:r>
        <w:rPr>
          <w:rtl/>
          <w:lang w:bidi="fa-IR"/>
        </w:rPr>
        <w:t xml:space="preserve"> في </w:t>
      </w:r>
      <w:r w:rsidRPr="001F0461">
        <w:rPr>
          <w:rtl/>
        </w:rPr>
        <w:t>الوافي والكافي</w:t>
      </w:r>
      <w:r>
        <w:rPr>
          <w:rtl/>
          <w:lang w:bidi="fa-IR"/>
        </w:rPr>
        <w:t xml:space="preserve"> ، ح 8226 </w:t>
      </w:r>
      <w:r w:rsidRPr="001F0461">
        <w:rPr>
          <w:rtl/>
        </w:rPr>
        <w:t>والتهذيب</w:t>
      </w:r>
      <w:r>
        <w:rPr>
          <w:rtl/>
          <w:lang w:bidi="fa-IR"/>
        </w:rPr>
        <w:t xml:space="preserve"> : « المفروض ».</w:t>
      </w:r>
    </w:p>
    <w:p w:rsidR="00744A1C" w:rsidRDefault="00E378DD" w:rsidP="00E378DD">
      <w:pPr>
        <w:pStyle w:val="libFootnote0"/>
        <w:rPr>
          <w:lang w:bidi="fa-IR"/>
        </w:rPr>
      </w:pPr>
      <w:r>
        <w:rPr>
          <w:rtl/>
          <w:lang w:bidi="fa-IR"/>
        </w:rPr>
        <w:t>(3).</w:t>
      </w:r>
      <w:r w:rsidR="00744A1C">
        <w:rPr>
          <w:rtl/>
          <w:lang w:bidi="fa-IR"/>
        </w:rPr>
        <w:t xml:space="preserve"> في </w:t>
      </w:r>
      <w:r w:rsidR="00744A1C" w:rsidRPr="001F0461">
        <w:rPr>
          <w:rtl/>
        </w:rPr>
        <w:t>البحار</w:t>
      </w:r>
      <w:r w:rsidR="00744A1C">
        <w:rPr>
          <w:rtl/>
          <w:lang w:bidi="fa-IR"/>
        </w:rPr>
        <w:t xml:space="preserve"> : « الطاعة ».</w:t>
      </w:r>
    </w:p>
    <w:p w:rsidR="00744A1C" w:rsidRDefault="00E378DD" w:rsidP="00E378DD">
      <w:pPr>
        <w:pStyle w:val="libFootnote0"/>
        <w:rPr>
          <w:lang w:bidi="fa-IR"/>
        </w:rPr>
      </w:pPr>
      <w:r>
        <w:rPr>
          <w:rtl/>
          <w:lang w:bidi="fa-IR"/>
        </w:rPr>
        <w:t>(4).</w:t>
      </w:r>
      <w:r w:rsidR="00744A1C">
        <w:rPr>
          <w:rtl/>
          <w:lang w:bidi="fa-IR"/>
        </w:rPr>
        <w:t xml:space="preserve"> في « بس » : + « والله المستعان ». وفي </w:t>
      </w:r>
      <w:r w:rsidR="00744A1C" w:rsidRPr="001F0461">
        <w:rPr>
          <w:rtl/>
        </w:rPr>
        <w:t>البحار</w:t>
      </w:r>
      <w:r w:rsidR="00744A1C">
        <w:rPr>
          <w:rtl/>
          <w:lang w:bidi="fa-IR"/>
        </w:rPr>
        <w:t xml:space="preserve"> : - « هو كذلك ».</w:t>
      </w:r>
    </w:p>
    <w:p w:rsidR="00744A1C" w:rsidRDefault="00744A1C" w:rsidP="00D10E3C">
      <w:pPr>
        <w:pStyle w:val="libFootnote0"/>
        <w:rPr>
          <w:lang w:bidi="fa-IR"/>
        </w:rPr>
      </w:pPr>
      <w:r>
        <w:rPr>
          <w:rtl/>
          <w:lang w:bidi="fa-IR"/>
        </w:rPr>
        <w:t>والظاهر اتّحاد هذا الحديث مع ما تقدّم في الباب السابق ، تحت الرقم 8226.</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134 ، ح 226 ، معلّقاً عن الكليني. </w:t>
      </w:r>
      <w:r w:rsidR="00744A1C" w:rsidRPr="0061079A">
        <w:rPr>
          <w:rStyle w:val="libFootnoteBoldChar"/>
          <w:rtl/>
        </w:rPr>
        <w:t>الكافي</w:t>
      </w:r>
      <w:r w:rsidR="00744A1C">
        <w:rPr>
          <w:rtl/>
          <w:lang w:bidi="fa-IR"/>
        </w:rPr>
        <w:t xml:space="preserve"> ، كتاب الجهاد ، باب الجهاد الواجب مع من يكون ، ح 8226 ، عن محمّد بن الحسن الطاطري ، عمّن ذكره ، عن عليّ بن النعمان </w:t>
      </w:r>
      <w:r w:rsidR="001F0461">
        <w:rPr>
          <w:rFonts w:hint="cs"/>
          <w:rtl/>
          <w:lang w:bidi="fa-IR"/>
        </w:rPr>
        <w:t>.</w:t>
      </w:r>
      <w:r w:rsidR="00744A1C" w:rsidRPr="00C24F9C">
        <w:rPr>
          <w:rStyle w:val="libFootnoteBoldChar"/>
          <w:rtl/>
        </w:rPr>
        <w:t>الوافي</w:t>
      </w:r>
      <w:r w:rsidR="00744A1C">
        <w:rPr>
          <w:rtl/>
          <w:lang w:bidi="fa-IR"/>
        </w:rPr>
        <w:t xml:space="preserve"> ، ج 15 ، ص 78 ، ح 14723 ؛ </w:t>
      </w:r>
      <w:r w:rsidR="00744A1C" w:rsidRPr="00C24F9C">
        <w:rPr>
          <w:rStyle w:val="libFootnoteBoldChar"/>
          <w:rtl/>
        </w:rPr>
        <w:t>الوسائل</w:t>
      </w:r>
      <w:r w:rsidR="00744A1C">
        <w:rPr>
          <w:rtl/>
          <w:lang w:bidi="fa-IR"/>
        </w:rPr>
        <w:t xml:space="preserve"> ، ج 15 ، ص 45 ، ح 19954 ؛ </w:t>
      </w:r>
      <w:r w:rsidR="00744A1C" w:rsidRPr="0061079A">
        <w:rPr>
          <w:rStyle w:val="libFootnoteBoldChar"/>
          <w:rtl/>
        </w:rPr>
        <w:t>البحار</w:t>
      </w:r>
      <w:r w:rsidR="00744A1C">
        <w:rPr>
          <w:rtl/>
          <w:lang w:bidi="fa-IR"/>
        </w:rPr>
        <w:t xml:space="preserve"> ، ج 61 ، ص 239 ، ح 4.</w:t>
      </w:r>
    </w:p>
    <w:p w:rsidR="00744A1C" w:rsidRDefault="00E378DD" w:rsidP="00E378DD">
      <w:pPr>
        <w:pStyle w:val="libFootnote0"/>
        <w:rPr>
          <w:lang w:bidi="fa-IR"/>
        </w:rPr>
      </w:pPr>
      <w:r>
        <w:rPr>
          <w:rtl/>
          <w:lang w:bidi="fa-IR"/>
        </w:rPr>
        <w:t>(6).</w:t>
      </w:r>
      <w:r w:rsidR="00744A1C">
        <w:rPr>
          <w:rtl/>
          <w:lang w:bidi="fa-IR"/>
        </w:rPr>
        <w:t xml:space="preserve"> السَريّة : قطعة من الجيش. </w:t>
      </w:r>
      <w:r w:rsidR="00744A1C" w:rsidRPr="00E978C3">
        <w:rPr>
          <w:rStyle w:val="libFootnoteBoldChar"/>
          <w:rtl/>
        </w:rPr>
        <w:t>الصحاح</w:t>
      </w:r>
      <w:r w:rsidR="00744A1C">
        <w:rPr>
          <w:rtl/>
          <w:lang w:bidi="fa-IR"/>
        </w:rPr>
        <w:t xml:space="preserve"> ، ج 6 ، ص 2375 ( سري ).</w:t>
      </w:r>
    </w:p>
    <w:p w:rsidR="00744A1C" w:rsidRDefault="00E378DD" w:rsidP="00E378DD">
      <w:pPr>
        <w:pStyle w:val="libFootnote0"/>
        <w:rPr>
          <w:lang w:bidi="fa-IR"/>
        </w:rPr>
      </w:pPr>
      <w:r>
        <w:rPr>
          <w:rtl/>
          <w:lang w:bidi="fa-IR"/>
        </w:rPr>
        <w:t>(7).</w:t>
      </w:r>
      <w:r w:rsidR="00744A1C">
        <w:rPr>
          <w:rtl/>
          <w:lang w:bidi="fa-IR"/>
        </w:rPr>
        <w:t xml:space="preserve"> في « بح » </w:t>
      </w:r>
      <w:r w:rsidR="00744A1C" w:rsidRPr="001F0461">
        <w:rPr>
          <w:rtl/>
        </w:rPr>
        <w:t>والبحار</w:t>
      </w:r>
      <w:r w:rsidR="00744A1C">
        <w:rPr>
          <w:rtl/>
          <w:lang w:bidi="fa-IR"/>
        </w:rPr>
        <w:t xml:space="preserve"> : « ولا تغلّوا ». والغلول : الخيانة ؛ يقال : غلّ في المغنم غلولاً : خان. وفي </w:t>
      </w:r>
      <w:r w:rsidR="00744A1C" w:rsidRPr="00C24F9C">
        <w:rPr>
          <w:rStyle w:val="libFootnoteBoldChar"/>
          <w:rtl/>
        </w:rPr>
        <w:t>الوافي</w:t>
      </w:r>
      <w:r w:rsidR="00744A1C">
        <w:rPr>
          <w:rtl/>
          <w:lang w:bidi="fa-IR"/>
        </w:rPr>
        <w:t xml:space="preserve"> : « وأكثر ما</w:t>
      </w:r>
      <w:r w:rsidR="001F0461">
        <w:rPr>
          <w:rFonts w:hint="cs"/>
          <w:rtl/>
          <w:lang w:bidi="fa-IR"/>
        </w:rPr>
        <w:t xml:space="preserve"> </w:t>
      </w:r>
      <w:r w:rsidR="00744A1C">
        <w:rPr>
          <w:rtl/>
          <w:lang w:bidi="fa-IR"/>
        </w:rPr>
        <w:t xml:space="preserve">يستعمل في الخيانة في الغنيمة ». راجع : </w:t>
      </w:r>
      <w:r w:rsidR="00744A1C" w:rsidRPr="00E978C3">
        <w:rPr>
          <w:rStyle w:val="libFootnoteBoldChar"/>
          <w:rtl/>
        </w:rPr>
        <w:t>الصحاح</w:t>
      </w:r>
      <w:r w:rsidR="00744A1C">
        <w:rPr>
          <w:rtl/>
          <w:lang w:bidi="fa-IR"/>
        </w:rPr>
        <w:t xml:space="preserve"> ، ج 5 ، ص 1784 ( غلل ).</w:t>
      </w:r>
    </w:p>
    <w:p w:rsidR="00744A1C" w:rsidRDefault="00E378DD" w:rsidP="00E378DD">
      <w:pPr>
        <w:pStyle w:val="libFootnote0"/>
        <w:rPr>
          <w:lang w:bidi="fa-IR"/>
        </w:rPr>
      </w:pPr>
      <w:r>
        <w:rPr>
          <w:rtl/>
          <w:lang w:bidi="fa-IR"/>
        </w:rPr>
        <w:t>(8).</w:t>
      </w:r>
      <w:r w:rsidR="00744A1C">
        <w:rPr>
          <w:rtl/>
          <w:lang w:bidi="fa-IR"/>
        </w:rPr>
        <w:t xml:space="preserve"> التمثيل : قطع الأعضاء والجوارح كالأنف والا</w:t>
      </w:r>
      <w:r w:rsidR="001F0461">
        <w:rPr>
          <w:rFonts w:hint="cs"/>
          <w:rtl/>
          <w:lang w:bidi="fa-IR"/>
        </w:rPr>
        <w:t>ُ</w:t>
      </w:r>
      <w:r w:rsidR="00744A1C">
        <w:rPr>
          <w:rtl/>
          <w:lang w:bidi="fa-IR"/>
        </w:rPr>
        <w:t xml:space="preserve">ذُن والمذاكير وغيرها. راجع : </w:t>
      </w:r>
      <w:r w:rsidR="00744A1C" w:rsidRPr="00877682">
        <w:rPr>
          <w:rStyle w:val="libFootnoteBoldChar"/>
          <w:rtl/>
        </w:rPr>
        <w:t>النهاية</w:t>
      </w:r>
      <w:r w:rsidR="00744A1C">
        <w:rPr>
          <w:rtl/>
          <w:lang w:bidi="fa-IR"/>
        </w:rPr>
        <w:t xml:space="preserve"> ، ج 4 ، ص 294 ( مثل ).</w:t>
      </w:r>
    </w:p>
    <w:p w:rsidR="00744A1C" w:rsidRDefault="00E378DD" w:rsidP="00E378DD">
      <w:pPr>
        <w:pStyle w:val="libFootnote0"/>
        <w:rPr>
          <w:lang w:bidi="fa-IR"/>
        </w:rPr>
      </w:pPr>
      <w:r>
        <w:rPr>
          <w:rtl/>
          <w:lang w:bidi="fa-IR"/>
        </w:rPr>
        <w:t>(9).</w:t>
      </w:r>
      <w:r w:rsidR="00744A1C">
        <w:rPr>
          <w:rtl/>
          <w:lang w:bidi="fa-IR"/>
        </w:rPr>
        <w:t xml:space="preserve"> الغَدْر : ترك الوفاء. </w:t>
      </w:r>
      <w:r w:rsidR="00744A1C" w:rsidRPr="00E978C3">
        <w:rPr>
          <w:rStyle w:val="libFootnoteBoldChar"/>
          <w:rtl/>
        </w:rPr>
        <w:t>الصحاح</w:t>
      </w:r>
      <w:r w:rsidR="00744A1C">
        <w:rPr>
          <w:rtl/>
          <w:lang w:bidi="fa-IR"/>
        </w:rPr>
        <w:t xml:space="preserve"> ، ج 2 ، ص 766 ( غدر ).</w:t>
      </w:r>
    </w:p>
    <w:p w:rsidR="00744A1C" w:rsidRDefault="00E378DD" w:rsidP="00E378DD">
      <w:pPr>
        <w:pStyle w:val="libFootnote0"/>
        <w:rPr>
          <w:lang w:bidi="fa-IR"/>
        </w:rPr>
      </w:pPr>
      <w:r>
        <w:rPr>
          <w:rtl/>
          <w:lang w:bidi="fa-IR"/>
        </w:rPr>
        <w:t>(10).</w:t>
      </w:r>
      <w:r w:rsidR="00744A1C">
        <w:rPr>
          <w:rtl/>
          <w:lang w:bidi="fa-IR"/>
        </w:rPr>
        <w:t xml:space="preserve"> في </w:t>
      </w:r>
      <w:r w:rsidR="00744A1C" w:rsidRPr="00877682">
        <w:rPr>
          <w:rStyle w:val="libFootnoteBoldChar"/>
          <w:rtl/>
        </w:rPr>
        <w:t>مرآة العقول</w:t>
      </w:r>
      <w:r w:rsidR="00744A1C">
        <w:rPr>
          <w:rtl/>
          <w:lang w:bidi="fa-IR"/>
        </w:rPr>
        <w:t xml:space="preserve"> ، ج 1</w:t>
      </w:r>
      <w:r w:rsidR="001F0461">
        <w:rPr>
          <w:rtl/>
          <w:lang w:bidi="fa-IR"/>
        </w:rPr>
        <w:t>8 ، ص 353 : « قال الأصحاب : إل</w:t>
      </w:r>
      <w:r w:rsidR="001F0461">
        <w:rPr>
          <w:rFonts w:hint="cs"/>
          <w:rtl/>
          <w:lang w:bidi="fa-IR"/>
        </w:rPr>
        <w:t>ّ</w:t>
      </w:r>
      <w:r w:rsidR="001F0461">
        <w:rPr>
          <w:rtl/>
          <w:lang w:bidi="fa-IR"/>
        </w:rPr>
        <w:t>ا</w:t>
      </w:r>
      <w:r w:rsidR="00744A1C">
        <w:rPr>
          <w:rtl/>
          <w:lang w:bidi="fa-IR"/>
        </w:rPr>
        <w:t xml:space="preserve"> أن يكون ذا رأي ».</w:t>
      </w:r>
    </w:p>
    <w:p w:rsidR="006A5060" w:rsidRDefault="006A5060" w:rsidP="00D10E3C">
      <w:pPr>
        <w:pStyle w:val="libNormal"/>
        <w:rPr>
          <w:rtl/>
          <w:lang w:bidi="fa-IR"/>
        </w:rPr>
      </w:pPr>
      <w:r>
        <w:rPr>
          <w:rtl/>
          <w:lang w:bidi="fa-IR"/>
        </w:rPr>
        <w:br w:type="page"/>
      </w:r>
    </w:p>
    <w:p w:rsidR="00144FA6" w:rsidRDefault="00744A1C" w:rsidP="001F0461">
      <w:pPr>
        <w:pStyle w:val="libNormal0"/>
        <w:rPr>
          <w:rtl/>
          <w:lang w:bidi="fa-IR"/>
        </w:rPr>
      </w:pPr>
      <w:r>
        <w:rPr>
          <w:rtl/>
          <w:lang w:bidi="fa-IR"/>
        </w:rPr>
        <w:t>وَلَا امْرَأَةً ،</w:t>
      </w:r>
      <w:r w:rsidR="001F0461">
        <w:rPr>
          <w:rtl/>
          <w:lang w:bidi="fa-IR"/>
        </w:rPr>
        <w:t xml:space="preserve"> وَلَا تَقْطَعُوا شَجَراً إِل</w:t>
      </w:r>
      <w:r w:rsidR="001F0461">
        <w:rPr>
          <w:rFonts w:hint="cs"/>
          <w:rtl/>
          <w:lang w:bidi="fa-IR"/>
        </w:rPr>
        <w:t>َّ</w:t>
      </w:r>
      <w:r w:rsidR="001F0461">
        <w:rPr>
          <w:rtl/>
          <w:lang w:bidi="fa-IR"/>
        </w:rPr>
        <w:t>ا</w:t>
      </w:r>
      <w:r>
        <w:rPr>
          <w:rtl/>
          <w:lang w:bidi="fa-IR"/>
        </w:rPr>
        <w:t xml:space="preserve"> أَنْ تُضْطَرُّوا إِلَيْهَا </w:t>
      </w:r>
      <w:r w:rsidRPr="00D10E3C">
        <w:rPr>
          <w:rStyle w:val="libFootnotenumChar"/>
          <w:rtl/>
        </w:rPr>
        <w:t>(1)</w:t>
      </w:r>
      <w:r>
        <w:rPr>
          <w:rtl/>
          <w:lang w:bidi="fa-IR"/>
        </w:rPr>
        <w:t xml:space="preserve"> ، وَأَيُّمَا رَجُلٍ مِنْ أَدْنَى الْمُسْلِمِينَ أَوْ أَفْضَلِهِمْ </w:t>
      </w:r>
      <w:r w:rsidRPr="00D10E3C">
        <w:rPr>
          <w:rStyle w:val="libFootnotenumChar"/>
          <w:rtl/>
        </w:rPr>
        <w:t>(2)</w:t>
      </w:r>
      <w:r>
        <w:rPr>
          <w:rtl/>
          <w:lang w:bidi="fa-IR"/>
        </w:rPr>
        <w:t xml:space="preserve"> نَظَرَ </w:t>
      </w:r>
      <w:r w:rsidRPr="00D10E3C">
        <w:rPr>
          <w:rStyle w:val="libFootnotenumChar"/>
          <w:rtl/>
        </w:rPr>
        <w:t>(3)</w:t>
      </w:r>
      <w:r>
        <w:rPr>
          <w:rtl/>
          <w:lang w:bidi="fa-IR"/>
        </w:rPr>
        <w:t xml:space="preserve"> إِلى رَجُلٍ </w:t>
      </w:r>
      <w:r w:rsidRPr="00D10E3C">
        <w:rPr>
          <w:rStyle w:val="libFootnotenumChar"/>
          <w:rtl/>
        </w:rPr>
        <w:t>(4)</w:t>
      </w:r>
      <w:r>
        <w:rPr>
          <w:rtl/>
          <w:lang w:bidi="fa-IR"/>
        </w:rPr>
        <w:t xml:space="preserve"> مِنَ الْمُشْرِكِينَ ، فَهُوَ جَارٌ </w:t>
      </w:r>
      <w:r w:rsidRPr="00D10E3C">
        <w:rPr>
          <w:rStyle w:val="libFootnotenumChar"/>
          <w:rtl/>
        </w:rPr>
        <w:t>(5)</w:t>
      </w:r>
      <w:r>
        <w:rPr>
          <w:rtl/>
          <w:lang w:bidi="fa-IR"/>
        </w:rPr>
        <w:t xml:space="preserve"> حَتّى يَسْمَعَ كَلَامَ اللهِ ، فَإِنْ تَبِعَكُمْ فَأَخُوكُمْ فِي الدِّينِ </w:t>
      </w:r>
      <w:r w:rsidRPr="00D10E3C">
        <w:rPr>
          <w:rStyle w:val="libFootnotenumChar"/>
          <w:rtl/>
        </w:rPr>
        <w:t>(6)</w:t>
      </w:r>
      <w:r>
        <w:rPr>
          <w:rtl/>
          <w:lang w:bidi="fa-IR"/>
        </w:rPr>
        <w:t xml:space="preserve"> ، وَإِنْ </w:t>
      </w:r>
      <w:r w:rsidRPr="00D10E3C">
        <w:rPr>
          <w:rStyle w:val="libFootnotenumChar"/>
          <w:rtl/>
        </w:rPr>
        <w:t>(7)</w:t>
      </w:r>
      <w:r>
        <w:rPr>
          <w:rtl/>
          <w:lang w:bidi="fa-IR"/>
        </w:rPr>
        <w:t xml:space="preserve"> أَبى فَأَبْلِغُوهُ مَأْمَنَهُ ، وَاسْتَعِينُوا بِاللهِ عَلَيْهِ </w:t>
      </w:r>
      <w:r w:rsidRPr="00D10E3C">
        <w:rPr>
          <w:rStyle w:val="libFootnotenumChar"/>
          <w:rtl/>
        </w:rPr>
        <w:t>(8)</w:t>
      </w:r>
      <w:r>
        <w:rPr>
          <w:rtl/>
          <w:lang w:bidi="fa-IR"/>
        </w:rPr>
        <w:t xml:space="preserve"> ». </w:t>
      </w:r>
      <w:r w:rsidRPr="00D10E3C">
        <w:rPr>
          <w:rStyle w:val="libFootnotenumChar"/>
          <w:rtl/>
        </w:rPr>
        <w:t>(9)</w:t>
      </w:r>
    </w:p>
    <w:p w:rsidR="00144FA6" w:rsidRDefault="00744A1C" w:rsidP="00744A1C">
      <w:pPr>
        <w:pStyle w:val="libNormal"/>
        <w:rPr>
          <w:rtl/>
          <w:lang w:bidi="fa-IR"/>
        </w:rPr>
      </w:pPr>
      <w:r>
        <w:rPr>
          <w:rtl/>
          <w:lang w:bidi="fa-IR"/>
        </w:rPr>
        <w:t>8230 / 2.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w:t>
      </w:r>
      <w:r w:rsidR="0061079A" w:rsidRPr="0061079A">
        <w:rPr>
          <w:rStyle w:val="libAlaemChar"/>
          <w:rtl/>
        </w:rPr>
        <w:t>عليه‌السلام</w:t>
      </w:r>
      <w:r w:rsidR="00D10E3C">
        <w:rPr>
          <w:rtl/>
          <w:lang w:bidi="fa-IR"/>
        </w:rPr>
        <w:t xml:space="preserve"> </w:t>
      </w:r>
      <w:r>
        <w:rPr>
          <w:rtl/>
          <w:lang w:bidi="fa-IR"/>
        </w:rPr>
        <w:t xml:space="preserve">: نَهى رَسُولُ اللهِ </w:t>
      </w:r>
      <w:r w:rsidR="005E465D" w:rsidRPr="005E465D">
        <w:rPr>
          <w:rStyle w:val="libAlaemChar"/>
          <w:rtl/>
        </w:rPr>
        <w:t>صلى‌الله‌عليه‌وآله</w:t>
      </w:r>
      <w:r w:rsidR="00D10E3C">
        <w:rPr>
          <w:rtl/>
          <w:lang w:bidi="fa-IR"/>
        </w:rPr>
        <w:t xml:space="preserve"> </w:t>
      </w:r>
      <w:r>
        <w:rPr>
          <w:rtl/>
          <w:lang w:bidi="fa-IR"/>
        </w:rPr>
        <w:t xml:space="preserve">أَنْ يُلْقَى </w:t>
      </w:r>
      <w:r w:rsidRPr="00D10E3C">
        <w:rPr>
          <w:rStyle w:val="libFootnotenumChar"/>
          <w:rtl/>
        </w:rPr>
        <w:t>(10)</w:t>
      </w:r>
      <w:r>
        <w:rPr>
          <w:rtl/>
          <w:lang w:bidi="fa-IR"/>
        </w:rPr>
        <w:t xml:space="preserve"> السَّمُّ فِي بِلَادِ الْمُشْرِكِينَ ». </w:t>
      </w:r>
      <w:r w:rsidRPr="00D10E3C">
        <w:rPr>
          <w:rStyle w:val="libFootnotenumChar"/>
          <w:rtl/>
        </w:rPr>
        <w:t>(11)</w:t>
      </w:r>
    </w:p>
    <w:p w:rsidR="00144FA6" w:rsidRDefault="00744A1C" w:rsidP="00744A1C">
      <w:pPr>
        <w:pStyle w:val="libNormal"/>
        <w:rPr>
          <w:rtl/>
          <w:lang w:bidi="fa-IR"/>
        </w:rPr>
      </w:pPr>
      <w:r>
        <w:rPr>
          <w:rtl/>
          <w:lang w:bidi="fa-IR"/>
        </w:rPr>
        <w:t>8231 / 3. مُحَمَّدُ بْنُ يَحْيى ، عَنْ أَحْمَدَ بْنِ مُحَمَّدِ بْنِ عِيسى ، عَنِ ابْنِ مَحْبُوبٍ ، عَنْ عَبَّادِ بْنِ صُهَيْبٍ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مَا بَيَّتَ </w:t>
      </w:r>
      <w:r w:rsidRPr="00D10E3C">
        <w:rPr>
          <w:rStyle w:val="libFootnotenumChar"/>
          <w:rtl/>
        </w:rPr>
        <w:t>(12)</w:t>
      </w:r>
      <w:r>
        <w:rPr>
          <w:rtl/>
          <w:lang w:bidi="fa-IR"/>
        </w:rPr>
        <w:t xml:space="preserve"> رَسُولُ اللهِ </w:t>
      </w:r>
      <w:r w:rsidR="00AE01C7" w:rsidRPr="00AE01C7">
        <w:rPr>
          <w:rStyle w:val="libFootnoteAlaemChar"/>
          <w:rtl/>
        </w:rPr>
        <w:t>صلى‌الله‌عليه‌وآله</w:t>
      </w:r>
      <w:r w:rsidR="00D10E3C">
        <w:rPr>
          <w:rtl/>
          <w:lang w:bidi="fa-IR"/>
        </w:rPr>
        <w:t xml:space="preserve"> </w:t>
      </w:r>
      <w:r>
        <w:rPr>
          <w:rtl/>
          <w:lang w:bidi="fa-IR"/>
        </w:rPr>
        <w:t xml:space="preserve">عَدُوّاً قَطُّ </w:t>
      </w:r>
      <w:r w:rsidRPr="00D10E3C">
        <w:rPr>
          <w:rStyle w:val="libFootnotenumChar"/>
          <w:rtl/>
        </w:rPr>
        <w:t>(13)</w:t>
      </w:r>
      <w:r>
        <w:rPr>
          <w:rtl/>
          <w:lang w:bidi="fa-IR"/>
        </w:rPr>
        <w:t xml:space="preserve"> ».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يمكن أن يكون الاستثناء من الجميع ، ومن الأخير فقط بإرج</w:t>
      </w:r>
      <w:r w:rsidR="00CC58A3">
        <w:rPr>
          <w:rtl/>
          <w:lang w:bidi="fa-IR"/>
        </w:rPr>
        <w:t>اع الضمير إلى الشجرة ، أي قطعها</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w:t>
      </w:r>
      <w:r w:rsidR="00744A1C" w:rsidRPr="00CC58A3">
        <w:rPr>
          <w:rtl/>
        </w:rPr>
        <w:t>التهذيب</w:t>
      </w:r>
      <w:r w:rsidR="00744A1C">
        <w:rPr>
          <w:rtl/>
          <w:lang w:bidi="fa-IR"/>
        </w:rPr>
        <w:t xml:space="preserve"> : « وأفضلهم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يعني نظر إشفاق ومرحمة ». وفي </w:t>
      </w:r>
      <w:r w:rsidR="00744A1C" w:rsidRPr="00C24F9C">
        <w:rPr>
          <w:rStyle w:val="libFootnoteBoldChar"/>
          <w:rtl/>
        </w:rPr>
        <w:t>المرآة</w:t>
      </w:r>
      <w:r w:rsidR="00744A1C">
        <w:rPr>
          <w:rtl/>
          <w:lang w:bidi="fa-IR"/>
        </w:rPr>
        <w:t xml:space="preserve"> : « نظر ، لعلّه كناية عن فعل أو قول يدلّ على الأم</w:t>
      </w:r>
      <w:r w:rsidR="00CC58A3">
        <w:rPr>
          <w:rtl/>
          <w:lang w:bidi="fa-IR"/>
        </w:rPr>
        <w:t>ان</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في </w:t>
      </w:r>
      <w:r w:rsidR="00744A1C" w:rsidRPr="00CC58A3">
        <w:rPr>
          <w:rtl/>
        </w:rPr>
        <w:t>الوسائل</w:t>
      </w:r>
      <w:r w:rsidR="00744A1C">
        <w:rPr>
          <w:rtl/>
          <w:lang w:bidi="fa-IR"/>
        </w:rPr>
        <w:t xml:space="preserve"> : « أحد ».</w:t>
      </w:r>
    </w:p>
    <w:p w:rsidR="00744A1C" w:rsidRDefault="00E378DD" w:rsidP="00CC58A3">
      <w:pPr>
        <w:pStyle w:val="libFootnote0"/>
        <w:rPr>
          <w:lang w:bidi="fa-IR"/>
        </w:rPr>
      </w:pPr>
      <w:r>
        <w:rPr>
          <w:rtl/>
          <w:lang w:bidi="fa-IR"/>
        </w:rPr>
        <w:t>(5).</w:t>
      </w:r>
      <w:r w:rsidR="00744A1C">
        <w:rPr>
          <w:rtl/>
          <w:lang w:bidi="fa-IR"/>
        </w:rPr>
        <w:t xml:space="preserve"> الجار : الذي أجرتَه ، من الجِوار - بالكسر - وهو أن تعطي الرجل ذمّة ، فيكون بها جارك فتجيره ، أي تنقذه وتعيذه. </w:t>
      </w:r>
      <w:r w:rsidR="00744A1C" w:rsidRPr="00877682">
        <w:rPr>
          <w:rStyle w:val="libFootnoteBoldChar"/>
          <w:rtl/>
        </w:rPr>
        <w:t>لسان العرب</w:t>
      </w:r>
      <w:r w:rsidR="00744A1C">
        <w:rPr>
          <w:rtl/>
          <w:lang w:bidi="fa-IR"/>
        </w:rPr>
        <w:t xml:space="preserve"> ، ج 4 ، ص 155 ( جور ).</w:t>
      </w:r>
      <w:r w:rsidR="00CC58A3">
        <w:rPr>
          <w:rFonts w:hint="cs"/>
          <w:rtl/>
          <w:lang w:bidi="fa-IR"/>
        </w:rPr>
        <w:t xml:space="preserve">   </w:t>
      </w:r>
      <w:r>
        <w:rPr>
          <w:rtl/>
          <w:lang w:bidi="fa-IR"/>
        </w:rPr>
        <w:t>(6).</w:t>
      </w:r>
      <w:r w:rsidR="00744A1C">
        <w:rPr>
          <w:rtl/>
          <w:lang w:bidi="fa-IR"/>
        </w:rPr>
        <w:t xml:space="preserve"> في </w:t>
      </w:r>
      <w:r w:rsidR="00744A1C" w:rsidRPr="00CC58A3">
        <w:rPr>
          <w:rtl/>
        </w:rPr>
        <w:t>التهذيب</w:t>
      </w:r>
      <w:r w:rsidR="00744A1C">
        <w:rPr>
          <w:rtl/>
          <w:lang w:bidi="fa-IR"/>
        </w:rPr>
        <w:t xml:space="preserve"> : « دينكم ».</w:t>
      </w:r>
    </w:p>
    <w:p w:rsidR="00744A1C" w:rsidRDefault="00E378DD" w:rsidP="00E378DD">
      <w:pPr>
        <w:pStyle w:val="libFootnote0"/>
        <w:rPr>
          <w:lang w:bidi="fa-IR"/>
        </w:rPr>
      </w:pPr>
      <w:r>
        <w:rPr>
          <w:rtl/>
          <w:lang w:bidi="fa-IR"/>
        </w:rPr>
        <w:t>(7).</w:t>
      </w:r>
      <w:r w:rsidR="00744A1C">
        <w:rPr>
          <w:rtl/>
          <w:lang w:bidi="fa-IR"/>
        </w:rPr>
        <w:t xml:space="preserve"> في « ى » : « فإن ».</w:t>
      </w:r>
    </w:p>
    <w:p w:rsidR="00744A1C" w:rsidRDefault="00E378DD" w:rsidP="00E378DD">
      <w:pPr>
        <w:pStyle w:val="libFootnote0"/>
        <w:rPr>
          <w:lang w:bidi="fa-IR"/>
        </w:rPr>
      </w:pPr>
      <w:r>
        <w:rPr>
          <w:rtl/>
          <w:lang w:bidi="fa-IR"/>
        </w:rPr>
        <w:t>(8).</w:t>
      </w:r>
      <w:r w:rsidR="00744A1C">
        <w:rPr>
          <w:rtl/>
          <w:lang w:bidi="fa-IR"/>
        </w:rPr>
        <w:t xml:space="preserve"> في </w:t>
      </w:r>
      <w:r w:rsidR="00744A1C" w:rsidRPr="00CC58A3">
        <w:rPr>
          <w:rtl/>
        </w:rPr>
        <w:t>الوسائل</w:t>
      </w:r>
      <w:r w:rsidR="00744A1C">
        <w:rPr>
          <w:rtl/>
          <w:lang w:bidi="fa-IR"/>
        </w:rPr>
        <w:t xml:space="preserve"> : - « عليه ». وفي </w:t>
      </w:r>
      <w:r w:rsidR="00744A1C" w:rsidRPr="00C24F9C">
        <w:rPr>
          <w:rStyle w:val="libFootnoteBoldChar"/>
          <w:rtl/>
        </w:rPr>
        <w:t>الوافي</w:t>
      </w:r>
      <w:r w:rsidR="00744A1C">
        <w:rPr>
          <w:rtl/>
          <w:lang w:bidi="fa-IR"/>
        </w:rPr>
        <w:t xml:space="preserve"> : « واستعينوا بالله عليه : واطلبوا من الله الإعانة على إيمانه أو قتله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138 ، ح 231 ، معلّقاً عن الكليني </w:t>
      </w:r>
      <w:r w:rsidR="00CC58A3">
        <w:rPr>
          <w:rFonts w:hint="cs"/>
          <w:rtl/>
          <w:lang w:bidi="fa-IR"/>
        </w:rPr>
        <w:t>.</w:t>
      </w:r>
      <w:r w:rsidR="00744A1C" w:rsidRPr="00C24F9C">
        <w:rPr>
          <w:rStyle w:val="libFootnoteBoldChar"/>
          <w:rtl/>
        </w:rPr>
        <w:t>الوافي</w:t>
      </w:r>
      <w:r w:rsidR="00744A1C">
        <w:rPr>
          <w:rtl/>
          <w:lang w:bidi="fa-IR"/>
        </w:rPr>
        <w:t xml:space="preserve"> ، ج 15 ، ص 92 ، ح 14737 ؛ </w:t>
      </w:r>
      <w:r w:rsidR="00744A1C" w:rsidRPr="00C24F9C">
        <w:rPr>
          <w:rStyle w:val="libFootnoteBoldChar"/>
          <w:rtl/>
        </w:rPr>
        <w:t>الوسائل</w:t>
      </w:r>
      <w:r w:rsidR="00744A1C">
        <w:rPr>
          <w:rtl/>
          <w:lang w:bidi="fa-IR"/>
        </w:rPr>
        <w:t xml:space="preserve"> ، ج 15 ، ص 58 ، ح 19985 ؛ </w:t>
      </w:r>
      <w:r w:rsidR="00744A1C" w:rsidRPr="0061079A">
        <w:rPr>
          <w:rStyle w:val="libFootnoteBoldChar"/>
          <w:rtl/>
        </w:rPr>
        <w:t>البحار</w:t>
      </w:r>
      <w:r w:rsidR="00744A1C">
        <w:rPr>
          <w:rtl/>
          <w:lang w:bidi="fa-IR"/>
        </w:rPr>
        <w:t xml:space="preserve"> ، ج 19 ، ص 177 ، ح 21.</w:t>
      </w:r>
    </w:p>
    <w:p w:rsidR="00744A1C" w:rsidRDefault="00E378DD" w:rsidP="00E378DD">
      <w:pPr>
        <w:pStyle w:val="libFootnote0"/>
        <w:rPr>
          <w:lang w:bidi="fa-IR"/>
        </w:rPr>
      </w:pPr>
      <w:r>
        <w:rPr>
          <w:rtl/>
          <w:lang w:bidi="fa-IR"/>
        </w:rPr>
        <w:t>(10).</w:t>
      </w:r>
      <w:r w:rsidR="00744A1C">
        <w:rPr>
          <w:rtl/>
          <w:lang w:bidi="fa-IR"/>
        </w:rPr>
        <w:t xml:space="preserve"> في « بث » : « أن تلقى ».</w:t>
      </w:r>
    </w:p>
    <w:p w:rsidR="00744A1C" w:rsidRDefault="00E378DD" w:rsidP="00CC58A3">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143 ، ح 244 ، بسنده عن إبراهيم بن هاشم ، عن النوفلي ، عن السكوني ، عن جعفر ، عن أبيه ، عن عليّ </w:t>
      </w:r>
      <w:r w:rsidR="00877682" w:rsidRPr="00877682">
        <w:rPr>
          <w:rStyle w:val="libFootnoteAlaemChar"/>
          <w:rtl/>
        </w:rPr>
        <w:t>عليهم‌السلام</w:t>
      </w:r>
      <w:r w:rsidR="00D10E3C">
        <w:rPr>
          <w:rtl/>
          <w:lang w:bidi="fa-IR"/>
        </w:rPr>
        <w:t xml:space="preserve"> </w:t>
      </w:r>
      <w:r w:rsidR="00744A1C">
        <w:rPr>
          <w:rtl/>
          <w:lang w:bidi="fa-IR"/>
        </w:rPr>
        <w:t xml:space="preserve">عن النبيّ </w:t>
      </w:r>
      <w:r w:rsidR="005E465D" w:rsidRPr="00EE40F1">
        <w:rPr>
          <w:rStyle w:val="libFootnoteAlaemChar"/>
          <w:rtl/>
        </w:rPr>
        <w:t>صلى‌الله‌عليه‌وآله</w:t>
      </w:r>
      <w:r w:rsidR="00744A1C">
        <w:rPr>
          <w:rtl/>
          <w:lang w:bidi="fa-IR"/>
        </w:rPr>
        <w:t xml:space="preserve"> . </w:t>
      </w:r>
      <w:r w:rsidR="00744A1C" w:rsidRPr="00877682">
        <w:rPr>
          <w:rStyle w:val="libFootnoteBoldChar"/>
          <w:rtl/>
        </w:rPr>
        <w:t>الجعفريّات</w:t>
      </w:r>
      <w:r w:rsidR="00744A1C">
        <w:rPr>
          <w:rtl/>
          <w:lang w:bidi="fa-IR"/>
        </w:rPr>
        <w:t xml:space="preserve"> ، ص 80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CC58A3">
        <w:rPr>
          <w:rFonts w:hint="cs"/>
          <w:rtl/>
          <w:lang w:bidi="fa-IR"/>
        </w:rPr>
        <w:t>.</w:t>
      </w:r>
      <w:r w:rsidR="00744A1C" w:rsidRPr="00C24F9C">
        <w:rPr>
          <w:rStyle w:val="libFootnoteBoldChar"/>
          <w:rtl/>
        </w:rPr>
        <w:t>الوافي</w:t>
      </w:r>
      <w:r w:rsidR="00744A1C">
        <w:rPr>
          <w:rtl/>
          <w:lang w:bidi="fa-IR"/>
        </w:rPr>
        <w:t xml:space="preserve"> ، ج 15 ، ص 97 ، ح 14746 ؛ </w:t>
      </w:r>
      <w:r w:rsidR="00744A1C" w:rsidRPr="00C24F9C">
        <w:rPr>
          <w:rStyle w:val="libFootnoteBoldChar"/>
          <w:rtl/>
        </w:rPr>
        <w:t>الوسائل</w:t>
      </w:r>
      <w:r w:rsidR="00744A1C">
        <w:rPr>
          <w:rtl/>
          <w:lang w:bidi="fa-IR"/>
        </w:rPr>
        <w:t xml:space="preserve"> ، ج 15 ، ص 62 ، ح 19989 ؛ </w:t>
      </w:r>
      <w:r w:rsidR="00744A1C" w:rsidRPr="0061079A">
        <w:rPr>
          <w:rStyle w:val="libFootnoteBoldChar"/>
          <w:rtl/>
        </w:rPr>
        <w:t>البحار</w:t>
      </w:r>
      <w:r w:rsidR="00744A1C">
        <w:rPr>
          <w:rtl/>
          <w:lang w:bidi="fa-IR"/>
        </w:rPr>
        <w:t xml:space="preserve"> ، ج 19 ، ص 177 ، ح 23.</w:t>
      </w:r>
      <w:r w:rsidR="00CC58A3">
        <w:rPr>
          <w:rFonts w:hint="cs"/>
          <w:rtl/>
          <w:lang w:bidi="fa-IR"/>
        </w:rPr>
        <w:t xml:space="preserve">   </w:t>
      </w:r>
      <w:r>
        <w:rPr>
          <w:rtl/>
          <w:lang w:bidi="fa-IR"/>
        </w:rPr>
        <w:t>(12).</w:t>
      </w:r>
      <w:r w:rsidR="00744A1C">
        <w:rPr>
          <w:rtl/>
          <w:lang w:bidi="fa-IR"/>
        </w:rPr>
        <w:t xml:space="preserve"> في </w:t>
      </w:r>
      <w:r w:rsidR="00744A1C" w:rsidRPr="00C24F9C">
        <w:rPr>
          <w:rStyle w:val="libFootnoteBoldChar"/>
          <w:rtl/>
        </w:rPr>
        <w:t>المرآة</w:t>
      </w:r>
      <w:r w:rsidR="00744A1C">
        <w:rPr>
          <w:rtl/>
          <w:lang w:bidi="fa-IR"/>
        </w:rPr>
        <w:t xml:space="preserve"> : « المشهور كراهة التبييت ليلاً ».</w:t>
      </w:r>
    </w:p>
    <w:p w:rsidR="00744A1C" w:rsidRDefault="00E378DD" w:rsidP="00E378DD">
      <w:pPr>
        <w:pStyle w:val="libFootnote0"/>
        <w:rPr>
          <w:lang w:bidi="fa-IR"/>
        </w:rPr>
      </w:pPr>
      <w:r>
        <w:rPr>
          <w:rtl/>
          <w:lang w:bidi="fa-IR"/>
        </w:rPr>
        <w:t>(13).</w:t>
      </w:r>
      <w:r w:rsidR="00744A1C">
        <w:rPr>
          <w:rtl/>
          <w:lang w:bidi="fa-IR"/>
        </w:rPr>
        <w:t xml:space="preserve"> في </w:t>
      </w:r>
      <w:r w:rsidR="00744A1C" w:rsidRPr="00CC58A3">
        <w:rPr>
          <w:rtl/>
        </w:rPr>
        <w:t>الوسائل والتهذيب</w:t>
      </w:r>
      <w:r w:rsidR="00744A1C">
        <w:rPr>
          <w:rtl/>
          <w:lang w:bidi="fa-IR"/>
        </w:rPr>
        <w:t xml:space="preserve"> : + « ليلاً ».</w:t>
      </w:r>
    </w:p>
    <w:p w:rsidR="00144FA6" w:rsidRDefault="00E378DD" w:rsidP="00E378DD">
      <w:pPr>
        <w:pStyle w:val="libFootnote0"/>
        <w:rPr>
          <w:rtl/>
          <w:lang w:bidi="fa-IR"/>
        </w:rPr>
      </w:pPr>
      <w:r>
        <w:rPr>
          <w:rtl/>
          <w:lang w:bidi="fa-IR"/>
        </w:rPr>
        <w:t>(14).</w:t>
      </w:r>
      <w:r w:rsidR="00744A1C">
        <w:rPr>
          <w:rtl/>
          <w:lang w:bidi="fa-IR"/>
        </w:rPr>
        <w:t xml:space="preserve"> </w:t>
      </w:r>
      <w:r w:rsidR="00744A1C" w:rsidRPr="00C24F9C">
        <w:rPr>
          <w:rStyle w:val="libFootnoteBoldChar"/>
          <w:rtl/>
        </w:rPr>
        <w:t>التهذيب</w:t>
      </w:r>
      <w:r w:rsidR="00CC58A3">
        <w:rPr>
          <w:rtl/>
          <w:lang w:bidi="fa-IR"/>
        </w:rPr>
        <w:t>، ج 6، ص 174، ح 343</w:t>
      </w:r>
      <w:r w:rsidR="00744A1C">
        <w:rPr>
          <w:rtl/>
          <w:lang w:bidi="fa-IR"/>
        </w:rPr>
        <w:t xml:space="preserve">، معلّقاً عن أحمد بن محمّد ، عن الحسن بن محبوب </w:t>
      </w:r>
      <w:r w:rsidR="00CC58A3">
        <w:rPr>
          <w:rFonts w:hint="cs"/>
          <w:rtl/>
          <w:lang w:bidi="fa-IR"/>
        </w:rPr>
        <w:t>.</w:t>
      </w:r>
      <w:r w:rsidR="00744A1C" w:rsidRPr="00C24F9C">
        <w:rPr>
          <w:rStyle w:val="libFootnoteBoldChar"/>
          <w:rtl/>
        </w:rPr>
        <w:t>الوافي</w:t>
      </w:r>
      <w:r w:rsidR="00CC58A3">
        <w:rPr>
          <w:rtl/>
          <w:lang w:bidi="fa-IR"/>
        </w:rPr>
        <w:t xml:space="preserve"> ، ج 15</w:t>
      </w:r>
      <w:r w:rsidR="00744A1C">
        <w:rPr>
          <w:rtl/>
          <w:lang w:bidi="fa-IR"/>
        </w:rPr>
        <w:t>،</w:t>
      </w:r>
      <w:r w:rsidR="00CC58A3">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8232 / 4.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صَلَوَاتُ اللهِ عَلَيْهِ : بَعَثَنِي رَسُولُ اللهِ </w:t>
      </w:r>
      <w:r w:rsidR="005E465D" w:rsidRPr="005E465D">
        <w:rPr>
          <w:rStyle w:val="libAlaemChar"/>
          <w:rtl/>
        </w:rPr>
        <w:t>صلى‌الله‌عليه‌وآله</w:t>
      </w:r>
      <w:r w:rsidR="00D10E3C">
        <w:rPr>
          <w:rtl/>
          <w:lang w:bidi="fa-IR"/>
        </w:rPr>
        <w:t xml:space="preserve"> </w:t>
      </w:r>
      <w:r>
        <w:rPr>
          <w:rtl/>
          <w:lang w:bidi="fa-IR"/>
        </w:rPr>
        <w:t xml:space="preserve">إِلَى الْيَمَنِ ، وَقَالَ </w:t>
      </w:r>
      <w:r w:rsidRPr="00D10E3C">
        <w:rPr>
          <w:rStyle w:val="libFootnotenumChar"/>
          <w:rtl/>
        </w:rPr>
        <w:t>(1)</w:t>
      </w:r>
      <w:r>
        <w:rPr>
          <w:rtl/>
          <w:lang w:bidi="fa-IR"/>
        </w:rPr>
        <w:t xml:space="preserve"> لِي </w:t>
      </w:r>
      <w:r w:rsidRPr="00D10E3C">
        <w:rPr>
          <w:rStyle w:val="libFootnotenumChar"/>
          <w:rtl/>
        </w:rPr>
        <w:t>(2)</w:t>
      </w:r>
      <w:r>
        <w:rPr>
          <w:rtl/>
          <w:lang w:bidi="fa-IR"/>
        </w:rPr>
        <w:t xml:space="preserve"> : يَا عَلِيُّ ، لَاتُقَاتِلَنَّ أَحَداً حَتّى تَدْعُوَهُ </w:t>
      </w:r>
      <w:r w:rsidRPr="00D10E3C">
        <w:rPr>
          <w:rStyle w:val="libFootnotenumChar"/>
          <w:rtl/>
        </w:rPr>
        <w:t>(3)</w:t>
      </w:r>
      <w:r>
        <w:rPr>
          <w:rtl/>
          <w:lang w:bidi="fa-IR"/>
        </w:rPr>
        <w:t xml:space="preserve"> ، وَايْمُ اللهِ لَأَنْ يَهْدِيَ اللهُ عَلى يَدَيْكَ </w:t>
      </w:r>
      <w:r w:rsidRPr="00D10E3C">
        <w:rPr>
          <w:rStyle w:val="libFootnotenumChar"/>
          <w:rtl/>
        </w:rPr>
        <w:t>(4)</w:t>
      </w:r>
      <w:r>
        <w:rPr>
          <w:rtl/>
          <w:lang w:bidi="fa-IR"/>
        </w:rPr>
        <w:t xml:space="preserve"> رَجُلاً خَيْرٌ لَكَ مِمَّا طَلَعَتْ عَلَيْهِ الشَّمْسُ وَغَرَبَتْ ، وَلَكَ وَلَاؤُهُ </w:t>
      </w:r>
      <w:r w:rsidRPr="00D10E3C">
        <w:rPr>
          <w:rStyle w:val="libFootnotenumChar"/>
          <w:rtl/>
        </w:rPr>
        <w:t>(5)</w:t>
      </w:r>
      <w:r>
        <w:rPr>
          <w:rtl/>
          <w:lang w:bidi="fa-IR"/>
        </w:rPr>
        <w:t xml:space="preserve"> يَا عَلِيُّ ». </w:t>
      </w:r>
      <w:r w:rsidRPr="00D10E3C">
        <w:rPr>
          <w:rStyle w:val="libFootnotenumChar"/>
          <w:rtl/>
        </w:rPr>
        <w:t>(6)</w:t>
      </w:r>
    </w:p>
    <w:p w:rsidR="00144FA6" w:rsidRDefault="00744A1C" w:rsidP="00744A1C">
      <w:pPr>
        <w:pStyle w:val="libNormal"/>
        <w:rPr>
          <w:rtl/>
          <w:lang w:bidi="fa-IR"/>
        </w:rPr>
      </w:pPr>
      <w:r>
        <w:rPr>
          <w:rtl/>
          <w:lang w:bidi="fa-IR"/>
        </w:rPr>
        <w:t>8233 / 5. عَلِيُّ بْنُ إِبْرَاهِيمَ ، عَنْ أَبِيهِ ، عَنِ ابْنِ أَبِي عُمَيْرٍ ، عَنْ أَبَانِ بْنِ عُثْمَانَ ، عَنْ يَحْيَى بْنِ أَبِي الْعَلَاءِ :</w:t>
      </w:r>
    </w:p>
    <w:p w:rsidR="00144FA6" w:rsidRDefault="00744A1C" w:rsidP="00EE40F1">
      <w:pPr>
        <w:pStyle w:val="libNormal"/>
        <w:rPr>
          <w:rtl/>
          <w:lang w:bidi="fa-IR"/>
        </w:rPr>
      </w:pPr>
      <w:r>
        <w:rPr>
          <w:rtl/>
          <w:lang w:bidi="fa-IR"/>
        </w:rPr>
        <w:t xml:space="preserve">عَنْ أَبِي عَبْدِ اللهِ </w:t>
      </w:r>
      <w:r w:rsidR="00EE40F1" w:rsidRPr="0061079A">
        <w:rPr>
          <w:rStyle w:val="libAlaemChar"/>
          <w:rtl/>
        </w:rPr>
        <w:t>عليه‌السلام</w:t>
      </w:r>
      <w:r w:rsidR="00EE40F1">
        <w:rPr>
          <w:rtl/>
          <w:lang w:bidi="fa-IR"/>
        </w:rPr>
        <w:t xml:space="preserve"> </w:t>
      </w:r>
      <w:r>
        <w:rPr>
          <w:rtl/>
          <w:lang w:bidi="fa-IR"/>
        </w:rPr>
        <w:t xml:space="preserve">، قَالَ : « كَانَ أَمِيرُ الْمُؤْمِنِينَ - صَلَوَاتُ اللهِ عَلَيْهِ - لَايُقَاتِلُ حَتّى تَزُولَ الشَّمْسُ ، وَيَقُولُ : تُفَتَّحُ </w:t>
      </w:r>
      <w:r w:rsidRPr="00D10E3C">
        <w:rPr>
          <w:rStyle w:val="libFootnotenumChar"/>
          <w:rtl/>
        </w:rPr>
        <w:t>(7)</w:t>
      </w:r>
      <w:r>
        <w:rPr>
          <w:rtl/>
          <w:lang w:bidi="fa-IR"/>
        </w:rPr>
        <w:t xml:space="preserve"> أَبْوَابُ السَّمَاءِ ، وَتُقْبِلُ </w:t>
      </w:r>
      <w:r w:rsidRPr="00D10E3C">
        <w:rPr>
          <w:rStyle w:val="libFootnotenumChar"/>
          <w:rtl/>
        </w:rPr>
        <w:t>(8)</w:t>
      </w:r>
      <w:r>
        <w:rPr>
          <w:rtl/>
          <w:lang w:bidi="fa-IR"/>
        </w:rPr>
        <w:t xml:space="preserve"> الرَّحْمَةُ </w:t>
      </w:r>
      <w:r w:rsidRPr="00D10E3C">
        <w:rPr>
          <w:rStyle w:val="libFootnotenumChar"/>
          <w:rtl/>
        </w:rPr>
        <w:t>(9)</w:t>
      </w:r>
      <w:r>
        <w:rPr>
          <w:rtl/>
          <w:lang w:bidi="fa-IR"/>
        </w:rPr>
        <w:t xml:space="preserve"> ، وَيَنْزِلُ النَّصْرُ ، وَيَقُولُ : هُوَ أَقْرَبُ إِلَى اللَّيْلِ ، وَأَجْدَرُ أَنْ يَقِلَّ الْقَتْلُ ، وَيَرْجِعَ الطَّالِبُ ، وَيُفْلِتَ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CC58A3" w:rsidP="00D10E3C">
      <w:pPr>
        <w:pStyle w:val="libFootnote0"/>
        <w:rPr>
          <w:lang w:bidi="fa-IR"/>
        </w:rPr>
      </w:pPr>
      <w:r>
        <w:rPr>
          <w:rFonts w:hint="cs"/>
          <w:rtl/>
          <w:lang w:bidi="fa-IR"/>
        </w:rPr>
        <w:t xml:space="preserve">= </w:t>
      </w:r>
      <w:r w:rsidR="00744A1C">
        <w:rPr>
          <w:rtl/>
          <w:lang w:bidi="fa-IR"/>
        </w:rPr>
        <w:t xml:space="preserve">ص 97 ، ح 14747 ؛ </w:t>
      </w:r>
      <w:r w:rsidR="00744A1C" w:rsidRPr="00C24F9C">
        <w:rPr>
          <w:rStyle w:val="libFootnoteBoldChar"/>
          <w:rtl/>
        </w:rPr>
        <w:t>الوسائل</w:t>
      </w:r>
      <w:r w:rsidR="00744A1C">
        <w:rPr>
          <w:rtl/>
          <w:lang w:bidi="fa-IR"/>
        </w:rPr>
        <w:t xml:space="preserve"> ، ج 15 ، ص 63 ، ح 19991 ؛ </w:t>
      </w:r>
      <w:r w:rsidR="00744A1C" w:rsidRPr="0061079A">
        <w:rPr>
          <w:rStyle w:val="libFootnoteBoldChar"/>
          <w:rtl/>
        </w:rPr>
        <w:t>البحار</w:t>
      </w:r>
      <w:r w:rsidR="00744A1C">
        <w:rPr>
          <w:rtl/>
          <w:lang w:bidi="fa-IR"/>
        </w:rPr>
        <w:t xml:space="preserve"> ، ج 19 ، ص 178 ، ح 24.</w:t>
      </w:r>
    </w:p>
    <w:p w:rsidR="00744A1C" w:rsidRDefault="00D10E3C" w:rsidP="00D10E3C">
      <w:pPr>
        <w:pStyle w:val="libFootnote0"/>
        <w:rPr>
          <w:lang w:bidi="fa-IR"/>
        </w:rPr>
      </w:pPr>
      <w:r>
        <w:rPr>
          <w:rtl/>
          <w:lang w:bidi="fa-IR"/>
        </w:rPr>
        <w:t>(1).</w:t>
      </w:r>
      <w:r w:rsidR="00744A1C">
        <w:rPr>
          <w:rtl/>
          <w:lang w:bidi="fa-IR"/>
        </w:rPr>
        <w:t xml:space="preserve"> في </w:t>
      </w:r>
      <w:r w:rsidR="00744A1C" w:rsidRPr="00CC58A3">
        <w:rPr>
          <w:rtl/>
        </w:rPr>
        <w:t>الوسائل والتهذيب</w:t>
      </w:r>
      <w:r w:rsidR="00744A1C">
        <w:rPr>
          <w:rtl/>
          <w:lang w:bidi="fa-IR"/>
        </w:rPr>
        <w:t xml:space="preserve"> : « فقال ».</w:t>
      </w:r>
    </w:p>
    <w:p w:rsidR="00744A1C" w:rsidRDefault="00E378DD" w:rsidP="00E378DD">
      <w:pPr>
        <w:pStyle w:val="libFootnote0"/>
        <w:rPr>
          <w:lang w:bidi="fa-IR"/>
        </w:rPr>
      </w:pPr>
      <w:r>
        <w:rPr>
          <w:rtl/>
          <w:lang w:bidi="fa-IR"/>
        </w:rPr>
        <w:t>(2).</w:t>
      </w:r>
      <w:r w:rsidR="00744A1C">
        <w:rPr>
          <w:rtl/>
          <w:lang w:bidi="fa-IR"/>
        </w:rPr>
        <w:t xml:space="preserve"> في </w:t>
      </w:r>
      <w:r w:rsidR="00744A1C" w:rsidRPr="00CC58A3">
        <w:rPr>
          <w:rtl/>
        </w:rPr>
        <w:t>الوسائل والكافي</w:t>
      </w:r>
      <w:r w:rsidR="00744A1C">
        <w:rPr>
          <w:rtl/>
          <w:lang w:bidi="fa-IR"/>
        </w:rPr>
        <w:t xml:space="preserve"> ، ح 8259 </w:t>
      </w:r>
      <w:r w:rsidR="00744A1C" w:rsidRPr="00CC58A3">
        <w:rPr>
          <w:rtl/>
        </w:rPr>
        <w:t>والتهذيب</w:t>
      </w:r>
      <w:r w:rsidR="00744A1C">
        <w:rPr>
          <w:rtl/>
          <w:lang w:bidi="fa-IR"/>
        </w:rPr>
        <w:t xml:space="preserve"> : - « لي ».</w:t>
      </w:r>
    </w:p>
    <w:p w:rsidR="00744A1C" w:rsidRDefault="00E378DD" w:rsidP="00E378DD">
      <w:pPr>
        <w:pStyle w:val="libFootnote0"/>
        <w:rPr>
          <w:lang w:bidi="fa-IR"/>
        </w:rPr>
      </w:pPr>
      <w:r>
        <w:rPr>
          <w:rtl/>
          <w:lang w:bidi="fa-IR"/>
        </w:rPr>
        <w:t>(3).</w:t>
      </w:r>
      <w:r w:rsidR="00744A1C">
        <w:rPr>
          <w:rtl/>
          <w:lang w:bidi="fa-IR"/>
        </w:rPr>
        <w:t xml:space="preserve"> في </w:t>
      </w:r>
      <w:r w:rsidR="00744A1C" w:rsidRPr="00CC58A3">
        <w:rPr>
          <w:rtl/>
        </w:rPr>
        <w:t>الوسائل والكافي</w:t>
      </w:r>
      <w:r w:rsidR="00744A1C">
        <w:rPr>
          <w:rtl/>
          <w:lang w:bidi="fa-IR"/>
        </w:rPr>
        <w:t xml:space="preserve"> ، ح 8259 </w:t>
      </w:r>
      <w:r w:rsidR="00744A1C" w:rsidRPr="00CC58A3">
        <w:rPr>
          <w:rtl/>
        </w:rPr>
        <w:t>والجعفريّات</w:t>
      </w:r>
      <w:r w:rsidR="00744A1C">
        <w:rPr>
          <w:rtl/>
          <w:lang w:bidi="fa-IR"/>
        </w:rPr>
        <w:t xml:space="preserve"> : + « إلى الإسلام ».</w:t>
      </w:r>
    </w:p>
    <w:p w:rsidR="00744A1C" w:rsidRDefault="00E378DD" w:rsidP="00E378DD">
      <w:pPr>
        <w:pStyle w:val="libFootnote0"/>
        <w:rPr>
          <w:lang w:bidi="fa-IR"/>
        </w:rPr>
      </w:pPr>
      <w:r>
        <w:rPr>
          <w:rtl/>
          <w:lang w:bidi="fa-IR"/>
        </w:rPr>
        <w:t>(4).</w:t>
      </w:r>
      <w:r w:rsidR="00744A1C">
        <w:rPr>
          <w:rtl/>
          <w:lang w:bidi="fa-IR"/>
        </w:rPr>
        <w:t xml:space="preserve"> في « جن » : « يدك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والولاء : أن يرثه ». وفي </w:t>
      </w:r>
      <w:r w:rsidR="00744A1C" w:rsidRPr="00C24F9C">
        <w:rPr>
          <w:rStyle w:val="libFootnoteBoldChar"/>
          <w:rtl/>
        </w:rPr>
        <w:t>المرآة</w:t>
      </w:r>
      <w:r w:rsidR="00744A1C">
        <w:rPr>
          <w:rtl/>
          <w:lang w:bidi="fa-IR"/>
        </w:rPr>
        <w:t xml:space="preserve"> : « أي أنت ترثه بولاء الإمامة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141 ، ح 240 ، بسنده عن النوفلي. </w:t>
      </w:r>
      <w:r w:rsidR="00744A1C" w:rsidRPr="0061079A">
        <w:rPr>
          <w:rStyle w:val="libFootnoteBoldChar"/>
          <w:rtl/>
        </w:rPr>
        <w:t>الكافي</w:t>
      </w:r>
      <w:r w:rsidR="00744A1C">
        <w:rPr>
          <w:rtl/>
          <w:lang w:bidi="fa-IR"/>
        </w:rPr>
        <w:t xml:space="preserve"> ، كتاب الجهاد ، باب الدعاء إلى الإسلام قبل القتال ، ح 8259 ، بسند آخر. </w:t>
      </w:r>
      <w:r w:rsidR="00744A1C" w:rsidRPr="00877682">
        <w:rPr>
          <w:rStyle w:val="libFootnoteBoldChar"/>
          <w:rtl/>
        </w:rPr>
        <w:t>الجعفريّات</w:t>
      </w:r>
      <w:r w:rsidR="00744A1C">
        <w:rPr>
          <w:rtl/>
          <w:lang w:bidi="fa-IR"/>
        </w:rPr>
        <w:t xml:space="preserve"> ، ص 77 ، بسند آخر عن جعفر بن محمّد ، عن آبائه ، عن عليّ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E843EA" w:rsidRPr="00E843EA">
        <w:rPr>
          <w:rStyle w:val="libFootnoteAlaemChar"/>
          <w:rtl/>
        </w:rPr>
        <w:t>صلى‌الله‌عليه‌وآله</w:t>
      </w:r>
      <w:r w:rsidR="00744A1C">
        <w:rPr>
          <w:rtl/>
          <w:lang w:bidi="fa-IR"/>
        </w:rPr>
        <w:t xml:space="preserve"> . </w:t>
      </w:r>
      <w:r w:rsidR="00744A1C" w:rsidRPr="00CC58A3">
        <w:rPr>
          <w:rStyle w:val="libFootnoteBoldChar"/>
          <w:rtl/>
        </w:rPr>
        <w:t>مصباح الشريعة</w:t>
      </w:r>
      <w:r w:rsidR="00744A1C">
        <w:rPr>
          <w:rtl/>
          <w:lang w:bidi="fa-IR"/>
        </w:rPr>
        <w:t xml:space="preserve"> ، ص 198 ، الباب 95 ، مرسلاً ، من قوله : « لأن يهدي الله » إلى قوله : « وغربت » مع اختلاف يسير </w:t>
      </w:r>
      <w:r w:rsidR="00CC58A3">
        <w:rPr>
          <w:rFonts w:hint="cs"/>
          <w:rtl/>
          <w:lang w:bidi="fa-IR"/>
        </w:rPr>
        <w:t>.</w:t>
      </w:r>
      <w:r w:rsidR="00744A1C" w:rsidRPr="00C24F9C">
        <w:rPr>
          <w:rStyle w:val="libFootnoteBoldChar"/>
          <w:rtl/>
        </w:rPr>
        <w:t>الوافي</w:t>
      </w:r>
      <w:r w:rsidR="00744A1C">
        <w:rPr>
          <w:rtl/>
          <w:lang w:bidi="fa-IR"/>
        </w:rPr>
        <w:t xml:space="preserve"> ، ج 15 ، ص 92 ، ح 14735 ؛ </w:t>
      </w:r>
      <w:r w:rsidR="00744A1C" w:rsidRPr="00C24F9C">
        <w:rPr>
          <w:rStyle w:val="libFootnoteBoldChar"/>
          <w:rtl/>
        </w:rPr>
        <w:t>الوسائل</w:t>
      </w:r>
      <w:r w:rsidR="00744A1C">
        <w:rPr>
          <w:rtl/>
          <w:lang w:bidi="fa-IR"/>
        </w:rPr>
        <w:t xml:space="preserve"> ، ج 15 ، ص 42 ، ح 19951 ؛ </w:t>
      </w:r>
      <w:r w:rsidR="00744A1C" w:rsidRPr="0061079A">
        <w:rPr>
          <w:rStyle w:val="libFootnoteBoldChar"/>
          <w:rtl/>
        </w:rPr>
        <w:t>البحار</w:t>
      </w:r>
      <w:r w:rsidR="00744A1C">
        <w:rPr>
          <w:rtl/>
          <w:lang w:bidi="fa-IR"/>
        </w:rPr>
        <w:t xml:space="preserve"> ، ج 21 ، ص 361 ، ح 3.</w:t>
      </w:r>
    </w:p>
    <w:p w:rsidR="00144FA6" w:rsidRDefault="00E378DD" w:rsidP="00E378DD">
      <w:pPr>
        <w:pStyle w:val="libFootnote0"/>
        <w:rPr>
          <w:rtl/>
          <w:lang w:bidi="fa-IR"/>
        </w:rPr>
      </w:pPr>
      <w:r>
        <w:rPr>
          <w:rtl/>
          <w:lang w:bidi="fa-IR"/>
        </w:rPr>
        <w:t>(7).</w:t>
      </w:r>
      <w:r w:rsidR="00CC58A3">
        <w:rPr>
          <w:rFonts w:hint="cs"/>
          <w:rtl/>
          <w:lang w:bidi="fa-IR"/>
        </w:rPr>
        <w:t xml:space="preserve"> في </w:t>
      </w:r>
      <w:r w:rsidR="00CC58A3">
        <w:rPr>
          <w:rtl/>
          <w:lang w:bidi="fa-IR"/>
        </w:rPr>
        <w:t>«</w:t>
      </w:r>
      <w:r w:rsidR="00CC58A3">
        <w:rPr>
          <w:rFonts w:hint="cs"/>
          <w:rtl/>
          <w:lang w:bidi="fa-IR"/>
        </w:rPr>
        <w:t xml:space="preserve"> ي ، بث </w:t>
      </w:r>
      <w:r w:rsidR="00CC58A3">
        <w:rPr>
          <w:rtl/>
          <w:lang w:bidi="fa-IR"/>
        </w:rPr>
        <w:t>»</w:t>
      </w:r>
      <w:r w:rsidR="00CC58A3">
        <w:rPr>
          <w:rFonts w:hint="cs"/>
          <w:rtl/>
          <w:lang w:bidi="fa-IR"/>
        </w:rPr>
        <w:t xml:space="preserve"> والوافي : </w:t>
      </w:r>
      <w:r w:rsidR="00CC58A3">
        <w:rPr>
          <w:rtl/>
          <w:lang w:bidi="fa-IR"/>
        </w:rPr>
        <w:t>«</w:t>
      </w:r>
      <w:r w:rsidR="00CC58A3">
        <w:rPr>
          <w:rFonts w:hint="cs"/>
          <w:rtl/>
          <w:lang w:bidi="fa-IR"/>
        </w:rPr>
        <w:t xml:space="preserve"> يفتح </w:t>
      </w:r>
      <w:r w:rsidR="00CC58A3">
        <w:rPr>
          <w:rtl/>
          <w:lang w:bidi="fa-IR"/>
        </w:rPr>
        <w:t>»</w:t>
      </w:r>
      <w:r w:rsidR="00CC58A3">
        <w:rPr>
          <w:rFonts w:hint="cs"/>
          <w:rtl/>
          <w:lang w:bidi="fa-IR"/>
        </w:rPr>
        <w:t xml:space="preserve"> . و في </w:t>
      </w:r>
      <w:r w:rsidR="00CC58A3">
        <w:rPr>
          <w:rtl/>
          <w:lang w:bidi="fa-IR"/>
        </w:rPr>
        <w:t>«</w:t>
      </w:r>
      <w:r w:rsidR="00CC58A3">
        <w:rPr>
          <w:rFonts w:hint="cs"/>
          <w:rtl/>
          <w:lang w:bidi="fa-IR"/>
        </w:rPr>
        <w:t xml:space="preserve"> جت </w:t>
      </w:r>
      <w:r w:rsidR="00CC58A3">
        <w:rPr>
          <w:rtl/>
          <w:lang w:bidi="fa-IR"/>
        </w:rPr>
        <w:t>»</w:t>
      </w:r>
      <w:r w:rsidR="00CC58A3">
        <w:rPr>
          <w:rFonts w:hint="cs"/>
          <w:rtl/>
          <w:lang w:bidi="fa-IR"/>
        </w:rPr>
        <w:t xml:space="preserve"> بالتاء والياء معاً .</w:t>
      </w:r>
    </w:p>
    <w:tbl>
      <w:tblPr>
        <w:tblStyle w:val="TableGrid"/>
        <w:bidiVisual/>
        <w:tblW w:w="0" w:type="auto"/>
        <w:tblLook w:val="04A0" w:firstRow="1" w:lastRow="0" w:firstColumn="1" w:lastColumn="0" w:noHBand="0" w:noVBand="1"/>
      </w:tblPr>
      <w:tblGrid>
        <w:gridCol w:w="4006"/>
        <w:gridCol w:w="4006"/>
      </w:tblGrid>
      <w:tr w:rsidR="001C79E4" w:rsidTr="001C79E4">
        <w:tc>
          <w:tcPr>
            <w:tcW w:w="4006" w:type="dxa"/>
          </w:tcPr>
          <w:p w:rsidR="001C79E4" w:rsidRDefault="001C79E4" w:rsidP="00E378DD">
            <w:pPr>
              <w:pStyle w:val="libFootnote0"/>
              <w:rPr>
                <w:rtl/>
                <w:lang w:bidi="fa-IR"/>
              </w:rPr>
            </w:pPr>
            <w:r>
              <w:rPr>
                <w:rtl/>
                <w:lang w:bidi="fa-IR"/>
              </w:rPr>
              <w:t xml:space="preserve">(8). في « بث » </w:t>
            </w:r>
            <w:r w:rsidRPr="001C79E4">
              <w:rPr>
                <w:rtl/>
              </w:rPr>
              <w:t>والوافي</w:t>
            </w:r>
            <w:r>
              <w:rPr>
                <w:rtl/>
                <w:lang w:bidi="fa-IR"/>
              </w:rPr>
              <w:t xml:space="preserve"> : « ويقبل ».</w:t>
            </w:r>
          </w:p>
        </w:tc>
        <w:tc>
          <w:tcPr>
            <w:tcW w:w="4006" w:type="dxa"/>
          </w:tcPr>
          <w:p w:rsidR="001C79E4" w:rsidRDefault="001C79E4" w:rsidP="00E378DD">
            <w:pPr>
              <w:pStyle w:val="libFootnote0"/>
              <w:rPr>
                <w:rtl/>
                <w:lang w:bidi="fa-IR"/>
              </w:rPr>
            </w:pPr>
            <w:r>
              <w:rPr>
                <w:rtl/>
                <w:lang w:bidi="fa-IR"/>
              </w:rPr>
              <w:t>(9). في العلل : « التوبة ».</w:t>
            </w:r>
          </w:p>
        </w:tc>
      </w:tr>
    </w:tbl>
    <w:p w:rsidR="00744A1C" w:rsidRDefault="00E378DD" w:rsidP="00E378DD">
      <w:pPr>
        <w:pStyle w:val="libFootnote0"/>
        <w:rPr>
          <w:lang w:bidi="fa-IR"/>
        </w:rPr>
      </w:pPr>
      <w:r>
        <w:rPr>
          <w:rtl/>
          <w:lang w:bidi="fa-IR"/>
        </w:rPr>
        <w:t>(10).</w:t>
      </w:r>
      <w:r w:rsidR="00744A1C">
        <w:rPr>
          <w:rtl/>
          <w:lang w:bidi="fa-IR"/>
        </w:rPr>
        <w:t xml:space="preserve"> أي يتخلّص. التفلّت والإفلات والانفلات : التخلّص من الشي‌ء فجأة من غير تمكّث. راجع : </w:t>
      </w:r>
      <w:r w:rsidR="00744A1C" w:rsidRPr="00877682">
        <w:rPr>
          <w:rStyle w:val="libFootnoteBoldChar"/>
          <w:rtl/>
        </w:rPr>
        <w:t>النهاية</w:t>
      </w:r>
      <w:r w:rsidR="00744A1C">
        <w:rPr>
          <w:rtl/>
          <w:lang w:bidi="fa-IR"/>
        </w:rPr>
        <w:t xml:space="preserve"> ، ج 3 ، ص 467 ( فلت ).</w:t>
      </w:r>
    </w:p>
    <w:p w:rsidR="006A5060" w:rsidRDefault="006A5060" w:rsidP="00D10E3C">
      <w:pPr>
        <w:pStyle w:val="libNormal"/>
        <w:rPr>
          <w:rtl/>
          <w:lang w:bidi="fa-IR"/>
        </w:rPr>
      </w:pPr>
      <w:r>
        <w:rPr>
          <w:rtl/>
          <w:lang w:bidi="fa-IR"/>
        </w:rPr>
        <w:br w:type="page"/>
      </w:r>
    </w:p>
    <w:p w:rsidR="00144FA6" w:rsidRDefault="00744A1C" w:rsidP="001C79E4">
      <w:pPr>
        <w:pStyle w:val="libNormal0"/>
        <w:rPr>
          <w:rtl/>
          <w:lang w:bidi="fa-IR"/>
        </w:rPr>
      </w:pPr>
      <w:r>
        <w:rPr>
          <w:rtl/>
          <w:lang w:bidi="fa-IR"/>
        </w:rPr>
        <w:t xml:space="preserve">الْمُنْهَزِمُ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8234 / 6. عَلِيٌّ </w:t>
      </w:r>
      <w:r w:rsidRPr="00D10E3C">
        <w:rPr>
          <w:rStyle w:val="libFootnotenumChar"/>
          <w:rtl/>
        </w:rPr>
        <w:t>(3)</w:t>
      </w:r>
      <w:r>
        <w:rPr>
          <w:rtl/>
          <w:lang w:bidi="fa-IR"/>
        </w:rPr>
        <w:t xml:space="preserve"> ، عَنْ أَبِيهِ ، عَنِ الْقَاسِمِ بْنِ مُحَمَّدٍ ، عَنِ الْمِنْقَرِيِّ ، عَنْ حَفْصِ بْنِ غِيَاثٍ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مَدِينَةٍ مِنْ مَدَائِنِ أَهْلِ الْحَرْبِ : هَلْ يَجُوزُ أَنْ يُرْسَلَ عَلَيْهِمُ </w:t>
      </w:r>
      <w:r w:rsidRPr="00D10E3C">
        <w:rPr>
          <w:rStyle w:val="libFootnotenumChar"/>
          <w:rtl/>
        </w:rPr>
        <w:t>(4)</w:t>
      </w:r>
      <w:r>
        <w:rPr>
          <w:rtl/>
          <w:lang w:bidi="fa-IR"/>
        </w:rPr>
        <w:t xml:space="preserve"> الْمَاءُ ، وَتُحْرَقَ </w:t>
      </w:r>
      <w:r w:rsidRPr="00D10E3C">
        <w:rPr>
          <w:rStyle w:val="libFootnotenumChar"/>
          <w:rtl/>
        </w:rPr>
        <w:t>(5)</w:t>
      </w:r>
      <w:r>
        <w:rPr>
          <w:rtl/>
          <w:lang w:bidi="fa-IR"/>
        </w:rPr>
        <w:t xml:space="preserve"> بِالنَّارِ ، أَوْ تُرْمى بِالْمَجَانِيقِ </w:t>
      </w:r>
      <w:r w:rsidRPr="00D10E3C">
        <w:rPr>
          <w:rStyle w:val="libFootnotenumChar"/>
          <w:rtl/>
        </w:rPr>
        <w:t>(6)</w:t>
      </w:r>
      <w:r>
        <w:rPr>
          <w:rtl/>
          <w:lang w:bidi="fa-IR"/>
        </w:rPr>
        <w:t xml:space="preserve"> حَتّى يُقْتَلُوا وَفِيهِمُ النِّسَاءُ وَالصِّبْيَانُ وَالشَّيْخُ الْكَبِيرُ وَالْأُسَارى مِنَ الْمُسْلِمِينَ وَالتُّجَّارُ؟</w:t>
      </w:r>
    </w:p>
    <w:p w:rsidR="00744A1C" w:rsidRDefault="00744A1C" w:rsidP="00744A1C">
      <w:pPr>
        <w:pStyle w:val="libNormal"/>
        <w:rPr>
          <w:lang w:bidi="fa-IR"/>
        </w:rPr>
      </w:pPr>
      <w:r>
        <w:rPr>
          <w:rtl/>
          <w:lang w:bidi="fa-IR"/>
        </w:rPr>
        <w:t xml:space="preserve">فَقَالَ : « يُفْعَلُ ذلِكَ بِهِمْ </w:t>
      </w:r>
      <w:r w:rsidRPr="00D10E3C">
        <w:rPr>
          <w:rStyle w:val="libFootnotenumChar"/>
          <w:rtl/>
        </w:rPr>
        <w:t>(7)</w:t>
      </w:r>
      <w:r>
        <w:rPr>
          <w:rtl/>
          <w:lang w:bidi="fa-IR"/>
        </w:rPr>
        <w:t xml:space="preserve"> ، وَلَا يُمْسَكُ عَنْهُمْ لِهؤُلَاءِ </w:t>
      </w:r>
      <w:r w:rsidRPr="00D10E3C">
        <w:rPr>
          <w:rStyle w:val="libFootnotenumChar"/>
          <w:rtl/>
        </w:rPr>
        <w:t>(8)</w:t>
      </w:r>
      <w:r>
        <w:rPr>
          <w:rtl/>
          <w:lang w:bidi="fa-IR"/>
        </w:rPr>
        <w:t xml:space="preserve"> ، وَلَا دِيَةَ </w:t>
      </w:r>
      <w:r w:rsidRPr="00D10E3C">
        <w:rPr>
          <w:rStyle w:val="libFootnotenumChar"/>
          <w:rtl/>
        </w:rPr>
        <w:t>(9)</w:t>
      </w:r>
      <w:r>
        <w:rPr>
          <w:rtl/>
          <w:lang w:bidi="fa-IR"/>
        </w:rPr>
        <w:t xml:space="preserve"> عَلَيْهِمْ لِلْمُسْلِمِينَ ، وَلَا كَفَّارَةَ ».</w:t>
      </w:r>
    </w:p>
    <w:p w:rsidR="00744A1C" w:rsidRDefault="00744A1C" w:rsidP="00744A1C">
      <w:pPr>
        <w:pStyle w:val="libNormal"/>
        <w:rPr>
          <w:lang w:bidi="fa-IR"/>
        </w:rPr>
      </w:pPr>
      <w:r>
        <w:rPr>
          <w:rtl/>
          <w:lang w:bidi="fa-IR"/>
        </w:rPr>
        <w:t>وَسَأَلْتُهُ عَنِ النِّسَاءِ : كَيْفَ سَقَطَتِ الْجِزْيَةُ عَنْهُنَّ وَرُفِعَتْ عَنْهُنَّ؟</w:t>
      </w:r>
    </w:p>
    <w:p w:rsidR="00144FA6" w:rsidRDefault="00744A1C" w:rsidP="00744A1C">
      <w:pPr>
        <w:pStyle w:val="libNormal"/>
        <w:rPr>
          <w:rtl/>
          <w:lang w:bidi="fa-IR"/>
        </w:rPr>
      </w:pPr>
      <w:r>
        <w:rPr>
          <w:rtl/>
          <w:lang w:bidi="fa-IR"/>
        </w:rPr>
        <w:t xml:space="preserve">فَقَالَ : « لِأَنَّ رَسُولَ اللهِ </w:t>
      </w:r>
      <w:r w:rsidR="00B7470D" w:rsidRPr="00B7470D">
        <w:rPr>
          <w:rStyle w:val="libAlaemChar"/>
          <w:rtl/>
        </w:rPr>
        <w:t>صلى‌الله‌عليه‌وآله</w:t>
      </w:r>
      <w:r w:rsidR="00D10E3C">
        <w:rPr>
          <w:rtl/>
          <w:lang w:bidi="fa-IR"/>
        </w:rPr>
        <w:t xml:space="preserve"> </w:t>
      </w:r>
      <w:r>
        <w:rPr>
          <w:rtl/>
          <w:lang w:bidi="fa-IR"/>
        </w:rPr>
        <w:t xml:space="preserve">نَهى عَنْ قِتَالِ </w:t>
      </w:r>
      <w:r w:rsidRPr="00D10E3C">
        <w:rPr>
          <w:rStyle w:val="libFootnotenumChar"/>
          <w:rtl/>
        </w:rPr>
        <w:t>(10)</w:t>
      </w:r>
      <w:r>
        <w:rPr>
          <w:rtl/>
          <w:lang w:bidi="fa-IR"/>
        </w:rPr>
        <w:t xml:space="preserve"> النِّسَاءِ وَالْوِلْ</w:t>
      </w:r>
      <w:r w:rsidR="00F565D3">
        <w:rPr>
          <w:rtl/>
          <w:lang w:bidi="fa-IR"/>
        </w:rPr>
        <w:t>دَانِ فِي دَارِ الْحَرْبِ إِل</w:t>
      </w:r>
      <w:r w:rsidR="00F565D3">
        <w:rPr>
          <w:rFonts w:hint="cs"/>
          <w:rtl/>
          <w:lang w:bidi="fa-IR"/>
        </w:rPr>
        <w:t>َّ</w:t>
      </w:r>
      <w:r w:rsidR="00F565D3">
        <w:rPr>
          <w:rtl/>
          <w:lang w:bidi="fa-IR"/>
        </w:rPr>
        <w:t>ا</w:t>
      </w:r>
      <w:r>
        <w:rPr>
          <w:rtl/>
          <w:lang w:bidi="fa-IR"/>
        </w:rPr>
        <w:t xml:space="preserve"> أَنْ يُقَاتِلُوا </w:t>
      </w:r>
      <w:r w:rsidRPr="00D10E3C">
        <w:rPr>
          <w:rStyle w:val="libFootnotenumChar"/>
          <w:rtl/>
        </w:rPr>
        <w:t>(11)</w:t>
      </w:r>
      <w:r>
        <w:rPr>
          <w:rtl/>
          <w:lang w:bidi="fa-IR"/>
        </w:rPr>
        <w:t xml:space="preserve"> ، فَإِنْ </w:t>
      </w:r>
      <w:r w:rsidRPr="00D10E3C">
        <w:rPr>
          <w:rStyle w:val="libFootnotenumChar"/>
          <w:rtl/>
        </w:rPr>
        <w:t>(12)</w:t>
      </w:r>
      <w:r>
        <w:rPr>
          <w:rtl/>
          <w:lang w:bidi="fa-IR"/>
        </w:rPr>
        <w:t xml:space="preserve"> قَاتَلَتْ أَيْضاً ، فَأَمْسِكْ عَنْهَا مَا أَمْكَنَكَ ، وَلَمْ تَخَفْ </w:t>
      </w:r>
      <w:r w:rsidRPr="00D10E3C">
        <w:rPr>
          <w:rStyle w:val="libFootnotenumChar"/>
          <w:rtl/>
        </w:rPr>
        <w:t>(13)</w:t>
      </w:r>
      <w:r>
        <w:rPr>
          <w:rtl/>
          <w:lang w:bidi="fa-IR"/>
        </w:rPr>
        <w:t xml:space="preserve"> خَلَلاً </w:t>
      </w:r>
      <w:r w:rsidRPr="00D10E3C">
        <w:rPr>
          <w:rStyle w:val="libFootnotenumChar"/>
          <w:rtl/>
        </w:rPr>
        <w:t>(14)</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F565D3">
        <w:rPr>
          <w:rtl/>
          <w:lang w:bidi="fa-IR"/>
        </w:rPr>
        <w:t xml:space="preserve"> : « المهزوم ». و « الم</w:t>
      </w:r>
      <w:r w:rsidR="00F565D3">
        <w:rPr>
          <w:rFonts w:hint="cs"/>
          <w:rtl/>
          <w:lang w:bidi="fa-IR"/>
        </w:rPr>
        <w:t>ـُ</w:t>
      </w:r>
      <w:r w:rsidR="00744A1C">
        <w:rPr>
          <w:rtl/>
          <w:lang w:bidi="fa-IR"/>
        </w:rPr>
        <w:t xml:space="preserve">نهزم » : المنكسر ، من الهزيمة في القتال ، وهو الكَسْر والفَلّ والثَلْم ، وهو المدبر الفارّ أيضاً. راجع : </w:t>
      </w:r>
      <w:r w:rsidR="00744A1C" w:rsidRPr="00877682">
        <w:rPr>
          <w:rStyle w:val="libFootnoteBoldChar"/>
          <w:rtl/>
        </w:rPr>
        <w:t>لسان العرب</w:t>
      </w:r>
      <w:r w:rsidR="00744A1C">
        <w:rPr>
          <w:rtl/>
          <w:lang w:bidi="fa-IR"/>
        </w:rPr>
        <w:t xml:space="preserve"> ، ج 12 ، ص 610 ( هزم ). وفي </w:t>
      </w:r>
      <w:r w:rsidR="00744A1C" w:rsidRPr="00C24F9C">
        <w:rPr>
          <w:rStyle w:val="libFootnoteBoldChar"/>
          <w:rtl/>
        </w:rPr>
        <w:t>المرآة</w:t>
      </w:r>
      <w:r w:rsidR="00744A1C">
        <w:rPr>
          <w:rtl/>
          <w:lang w:bidi="fa-IR"/>
        </w:rPr>
        <w:t xml:space="preserve"> : « المش</w:t>
      </w:r>
      <w:r w:rsidR="00F565D3">
        <w:rPr>
          <w:rtl/>
          <w:lang w:bidi="fa-IR"/>
        </w:rPr>
        <w:t>هور كراهة القتال قبل الزوال إل</w:t>
      </w:r>
      <w:r w:rsidR="00F565D3">
        <w:rPr>
          <w:rFonts w:hint="cs"/>
          <w:rtl/>
          <w:lang w:bidi="fa-IR"/>
        </w:rPr>
        <w:t>ّ</w:t>
      </w:r>
      <w:r w:rsidR="00F565D3">
        <w:rPr>
          <w:rtl/>
          <w:lang w:bidi="fa-IR"/>
        </w:rPr>
        <w:t>ا</w:t>
      </w:r>
      <w:r w:rsidR="00F565D3">
        <w:rPr>
          <w:rFonts w:hint="cs"/>
          <w:rtl/>
          <w:lang w:bidi="fa-IR"/>
        </w:rPr>
        <w:t xml:space="preserve"> </w:t>
      </w:r>
      <w:r w:rsidR="00744A1C">
        <w:rPr>
          <w:rtl/>
          <w:lang w:bidi="fa-IR"/>
        </w:rPr>
        <w:t>مع الضرورة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173 ، ح 341 ؛ </w:t>
      </w:r>
      <w:r w:rsidR="00744A1C" w:rsidRPr="00F565D3">
        <w:rPr>
          <w:rStyle w:val="libFootnoteBoldChar"/>
          <w:rtl/>
        </w:rPr>
        <w:t>وعل</w:t>
      </w:r>
      <w:r w:rsidR="00744A1C" w:rsidRPr="003A7143">
        <w:rPr>
          <w:rStyle w:val="libFootnoteBoldChar"/>
          <w:rtl/>
        </w:rPr>
        <w:t>ل الشرائع</w:t>
      </w:r>
      <w:r w:rsidR="00744A1C">
        <w:rPr>
          <w:rtl/>
          <w:lang w:bidi="fa-IR"/>
        </w:rPr>
        <w:t xml:space="preserve"> ، ص 603 ، ح 70 ، بسندهما عن ابن أبي عمير </w:t>
      </w:r>
      <w:r w:rsidR="00F565D3">
        <w:rPr>
          <w:rFonts w:hint="cs"/>
          <w:rtl/>
          <w:lang w:bidi="fa-IR"/>
        </w:rPr>
        <w:t>.</w:t>
      </w:r>
      <w:r w:rsidR="00744A1C" w:rsidRPr="00C24F9C">
        <w:rPr>
          <w:rStyle w:val="libFootnoteBoldChar"/>
          <w:rtl/>
        </w:rPr>
        <w:t>الوافي</w:t>
      </w:r>
      <w:r w:rsidR="00744A1C">
        <w:rPr>
          <w:rtl/>
          <w:lang w:bidi="fa-IR"/>
        </w:rPr>
        <w:t xml:space="preserve"> ، ج 15 ، ص 95 ، ح 14742 ؛ </w:t>
      </w:r>
      <w:r w:rsidR="00744A1C" w:rsidRPr="00C24F9C">
        <w:rPr>
          <w:rStyle w:val="libFootnoteBoldChar"/>
          <w:rtl/>
        </w:rPr>
        <w:t>الوسائل</w:t>
      </w:r>
      <w:r w:rsidR="00744A1C">
        <w:rPr>
          <w:rtl/>
          <w:lang w:bidi="fa-IR"/>
        </w:rPr>
        <w:t xml:space="preserve"> ، ج 15 ، ص 63 ، ح 19992 ؛ </w:t>
      </w:r>
      <w:r w:rsidR="00744A1C" w:rsidRPr="0061079A">
        <w:rPr>
          <w:rStyle w:val="libFootnoteBoldChar"/>
          <w:rtl/>
        </w:rPr>
        <w:t>البحار</w:t>
      </w:r>
      <w:r w:rsidR="00744A1C">
        <w:rPr>
          <w:rtl/>
          <w:lang w:bidi="fa-IR"/>
        </w:rPr>
        <w:t xml:space="preserve"> ، ج 33 ، ص 453 ، ح 667.</w:t>
      </w:r>
    </w:p>
    <w:tbl>
      <w:tblPr>
        <w:tblStyle w:val="TableGrid"/>
        <w:bidiVisual/>
        <w:tblW w:w="0" w:type="auto"/>
        <w:tblLook w:val="04A0" w:firstRow="1" w:lastRow="0" w:firstColumn="1" w:lastColumn="0" w:noHBand="0" w:noVBand="1"/>
      </w:tblPr>
      <w:tblGrid>
        <w:gridCol w:w="4006"/>
        <w:gridCol w:w="4006"/>
      </w:tblGrid>
      <w:tr w:rsidR="00F565D3" w:rsidTr="00F565D3">
        <w:tc>
          <w:tcPr>
            <w:tcW w:w="4006" w:type="dxa"/>
          </w:tcPr>
          <w:p w:rsidR="00F565D3" w:rsidRDefault="00F565D3" w:rsidP="00E378DD">
            <w:pPr>
              <w:pStyle w:val="libFootnote0"/>
              <w:rPr>
                <w:rtl/>
                <w:lang w:bidi="fa-IR"/>
              </w:rPr>
            </w:pPr>
            <w:r>
              <w:rPr>
                <w:rtl/>
                <w:lang w:bidi="fa-IR"/>
              </w:rPr>
              <w:t>(3). في « بس ، جن » : + « بن إبراهيم ».</w:t>
            </w:r>
          </w:p>
        </w:tc>
        <w:tc>
          <w:tcPr>
            <w:tcW w:w="4006" w:type="dxa"/>
          </w:tcPr>
          <w:p w:rsidR="00F565D3" w:rsidRDefault="00F565D3" w:rsidP="00E378DD">
            <w:pPr>
              <w:pStyle w:val="libFootnote0"/>
              <w:rPr>
                <w:rtl/>
                <w:lang w:bidi="fa-IR"/>
              </w:rPr>
            </w:pPr>
            <w:r>
              <w:rPr>
                <w:rtl/>
                <w:lang w:bidi="fa-IR"/>
              </w:rPr>
              <w:t xml:space="preserve">(4). في « بف » </w:t>
            </w:r>
            <w:r w:rsidRPr="00F565D3">
              <w:rPr>
                <w:rtl/>
              </w:rPr>
              <w:t>والوافي</w:t>
            </w:r>
            <w:r>
              <w:rPr>
                <w:rtl/>
                <w:lang w:bidi="fa-IR"/>
              </w:rPr>
              <w:t xml:space="preserve"> : « عليها ».</w:t>
            </w:r>
          </w:p>
        </w:tc>
      </w:tr>
    </w:tbl>
    <w:p w:rsidR="00744A1C" w:rsidRDefault="00E378DD" w:rsidP="00E378DD">
      <w:pPr>
        <w:pStyle w:val="libFootnote0"/>
        <w:rPr>
          <w:lang w:bidi="fa-IR"/>
        </w:rPr>
      </w:pPr>
      <w:r>
        <w:rPr>
          <w:rtl/>
          <w:lang w:bidi="fa-IR"/>
        </w:rPr>
        <w:t>(5).</w:t>
      </w:r>
      <w:r w:rsidR="00744A1C">
        <w:rPr>
          <w:rtl/>
          <w:lang w:bidi="fa-IR"/>
        </w:rPr>
        <w:t xml:space="preserve"> في « بح » </w:t>
      </w:r>
      <w:r w:rsidR="00744A1C" w:rsidRPr="00F565D3">
        <w:rPr>
          <w:rtl/>
        </w:rPr>
        <w:t>والوافي والبحار</w:t>
      </w:r>
      <w:r w:rsidR="00744A1C">
        <w:rPr>
          <w:rtl/>
          <w:lang w:bidi="fa-IR"/>
        </w:rPr>
        <w:t xml:space="preserve"> : « أو تحرق ». وفي « ى » : « ويحرّق ».</w:t>
      </w:r>
    </w:p>
    <w:p w:rsidR="00744A1C" w:rsidRDefault="00E378DD" w:rsidP="00E378DD">
      <w:pPr>
        <w:pStyle w:val="libFootnote0"/>
        <w:rPr>
          <w:lang w:bidi="fa-IR"/>
        </w:rPr>
      </w:pPr>
      <w:r>
        <w:rPr>
          <w:rtl/>
          <w:lang w:bidi="fa-IR"/>
        </w:rPr>
        <w:t>(6).</w:t>
      </w:r>
      <w:r w:rsidR="00F565D3">
        <w:rPr>
          <w:rtl/>
          <w:lang w:bidi="fa-IR"/>
        </w:rPr>
        <w:t xml:space="preserve"> « الم</w:t>
      </w:r>
      <w:r w:rsidR="00F565D3">
        <w:rPr>
          <w:rFonts w:hint="cs"/>
          <w:rtl/>
          <w:lang w:bidi="fa-IR"/>
        </w:rPr>
        <w:t>ـَ</w:t>
      </w:r>
      <w:r w:rsidR="00744A1C">
        <w:rPr>
          <w:rtl/>
          <w:lang w:bidi="fa-IR"/>
        </w:rPr>
        <w:t>جانيق » جمع المن</w:t>
      </w:r>
      <w:r w:rsidR="00F565D3">
        <w:rPr>
          <w:rtl/>
          <w:lang w:bidi="fa-IR"/>
        </w:rPr>
        <w:t>جنيق - بفتح الميم وكسرها – والم</w:t>
      </w:r>
      <w:r w:rsidR="00F565D3">
        <w:rPr>
          <w:rFonts w:hint="cs"/>
          <w:rtl/>
          <w:lang w:bidi="fa-IR"/>
        </w:rPr>
        <w:t>ـَ</w:t>
      </w:r>
      <w:r w:rsidR="00744A1C">
        <w:rPr>
          <w:rtl/>
          <w:lang w:bidi="fa-IR"/>
        </w:rPr>
        <w:t xml:space="preserve">نجَنوق : القَذّاف التي تُرمى بها الحجارة ، دَخيل أعجميّ معرّب. </w:t>
      </w:r>
      <w:r w:rsidR="00744A1C" w:rsidRPr="00877682">
        <w:rPr>
          <w:rStyle w:val="libFootnoteBoldChar"/>
          <w:rtl/>
        </w:rPr>
        <w:t>لسان العرب</w:t>
      </w:r>
      <w:r w:rsidR="00744A1C">
        <w:rPr>
          <w:rtl/>
          <w:lang w:bidi="fa-IR"/>
        </w:rPr>
        <w:t xml:space="preserve"> ، ج 10 ، ص 338 ( مجنق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ح</w:t>
      </w:r>
      <w:r w:rsidR="00F565D3">
        <w:rPr>
          <w:rtl/>
          <w:lang w:bidi="fa-IR"/>
        </w:rPr>
        <w:t>مل على ما إذا لم يمكن الفتح إل</w:t>
      </w:r>
      <w:r w:rsidR="00F565D3">
        <w:rPr>
          <w:rFonts w:hint="cs"/>
          <w:rtl/>
          <w:lang w:bidi="fa-IR"/>
        </w:rPr>
        <w:t>ّ</w:t>
      </w:r>
      <w:r w:rsidR="00F565D3">
        <w:rPr>
          <w:rtl/>
          <w:lang w:bidi="fa-IR"/>
        </w:rPr>
        <w:t>ا</w:t>
      </w:r>
      <w:r w:rsidR="00F565D3">
        <w:rPr>
          <w:rFonts w:hint="cs"/>
          <w:rtl/>
          <w:lang w:bidi="fa-IR"/>
        </w:rPr>
        <w:t xml:space="preserve"> </w:t>
      </w:r>
      <w:r w:rsidR="00744A1C">
        <w:rPr>
          <w:rtl/>
          <w:lang w:bidi="fa-IR"/>
        </w:rPr>
        <w:t>بها ».</w:t>
      </w:r>
    </w:p>
    <w:tbl>
      <w:tblPr>
        <w:tblStyle w:val="TableGrid"/>
        <w:bidiVisual/>
        <w:tblW w:w="0" w:type="auto"/>
        <w:tblLook w:val="04A0" w:firstRow="1" w:lastRow="0" w:firstColumn="1" w:lastColumn="0" w:noHBand="0" w:noVBand="1"/>
      </w:tblPr>
      <w:tblGrid>
        <w:gridCol w:w="4006"/>
        <w:gridCol w:w="4006"/>
      </w:tblGrid>
      <w:tr w:rsidR="00F565D3" w:rsidTr="00F565D3">
        <w:tc>
          <w:tcPr>
            <w:tcW w:w="4006" w:type="dxa"/>
          </w:tcPr>
          <w:p w:rsidR="00F565D3" w:rsidRDefault="00F565D3" w:rsidP="00E378DD">
            <w:pPr>
              <w:pStyle w:val="libFootnote0"/>
              <w:rPr>
                <w:rtl/>
                <w:lang w:bidi="fa-IR"/>
              </w:rPr>
            </w:pPr>
            <w:r>
              <w:rPr>
                <w:rtl/>
                <w:lang w:bidi="fa-IR"/>
              </w:rPr>
              <w:t>(8). في «ى،جد»: «كهؤلاء». وفي «بح»:«هؤلاء».</w:t>
            </w:r>
          </w:p>
        </w:tc>
        <w:tc>
          <w:tcPr>
            <w:tcW w:w="4006" w:type="dxa"/>
          </w:tcPr>
          <w:p w:rsidR="00F565D3" w:rsidRDefault="00F565D3" w:rsidP="00E378DD">
            <w:pPr>
              <w:pStyle w:val="libFootnote0"/>
              <w:rPr>
                <w:rtl/>
                <w:lang w:bidi="fa-IR"/>
              </w:rPr>
            </w:pPr>
            <w:r>
              <w:rPr>
                <w:rtl/>
                <w:lang w:bidi="fa-IR"/>
              </w:rPr>
              <w:t>(9). في « بس » : « ولا ذمّة ».</w:t>
            </w:r>
          </w:p>
        </w:tc>
      </w:tr>
    </w:tbl>
    <w:p w:rsidR="00744A1C" w:rsidRDefault="00E378DD" w:rsidP="00E378DD">
      <w:pPr>
        <w:pStyle w:val="libFootnote0"/>
        <w:rPr>
          <w:lang w:bidi="fa-IR"/>
        </w:rPr>
      </w:pPr>
      <w:r>
        <w:rPr>
          <w:rtl/>
          <w:lang w:bidi="fa-IR"/>
        </w:rPr>
        <w:t>(10).</w:t>
      </w:r>
      <w:r w:rsidR="00744A1C">
        <w:rPr>
          <w:rtl/>
          <w:lang w:bidi="fa-IR"/>
        </w:rPr>
        <w:t xml:space="preserve"> في « ى » </w:t>
      </w:r>
      <w:r w:rsidR="00744A1C" w:rsidRPr="00F565D3">
        <w:rPr>
          <w:rtl/>
        </w:rPr>
        <w:t>والوافي والوسائل</w:t>
      </w:r>
      <w:r w:rsidR="00744A1C">
        <w:rPr>
          <w:rtl/>
          <w:lang w:bidi="fa-IR"/>
        </w:rPr>
        <w:t xml:space="preserve"> </w:t>
      </w:r>
      <w:r w:rsidR="00744A1C" w:rsidRPr="00F565D3">
        <w:rPr>
          <w:rtl/>
        </w:rPr>
        <w:t>والفقيه والتهذيب</w:t>
      </w:r>
      <w:r w:rsidR="00744A1C">
        <w:rPr>
          <w:rtl/>
          <w:lang w:bidi="fa-IR"/>
        </w:rPr>
        <w:t xml:space="preserve"> </w:t>
      </w:r>
      <w:r w:rsidR="00744A1C" w:rsidRPr="00F565D3">
        <w:rPr>
          <w:rtl/>
        </w:rPr>
        <w:t>والمحاسن</w:t>
      </w:r>
      <w:r w:rsidR="00744A1C">
        <w:rPr>
          <w:rtl/>
          <w:lang w:bidi="fa-IR"/>
        </w:rPr>
        <w:t xml:space="preserve"> والعلل : « قتل ».</w:t>
      </w:r>
    </w:p>
    <w:p w:rsidR="00744A1C" w:rsidRDefault="00E378DD" w:rsidP="00E378DD">
      <w:pPr>
        <w:pStyle w:val="libFootnote0"/>
        <w:rPr>
          <w:lang w:bidi="fa-IR"/>
        </w:rPr>
      </w:pPr>
      <w:r>
        <w:rPr>
          <w:rtl/>
          <w:lang w:bidi="fa-IR"/>
        </w:rPr>
        <w:t>(11).</w:t>
      </w:r>
      <w:r w:rsidR="00744A1C">
        <w:rPr>
          <w:rtl/>
          <w:lang w:bidi="fa-IR"/>
        </w:rPr>
        <w:t xml:space="preserve"> في </w:t>
      </w:r>
      <w:r w:rsidR="00744A1C" w:rsidRPr="00F565D3">
        <w:rPr>
          <w:rtl/>
        </w:rPr>
        <w:t>الوافي والوسائل والتهذيب</w:t>
      </w:r>
      <w:r w:rsidR="00744A1C">
        <w:rPr>
          <w:rtl/>
          <w:lang w:bidi="fa-IR"/>
        </w:rPr>
        <w:t xml:space="preserve"> : « أن يقاتلن ».</w:t>
      </w:r>
    </w:p>
    <w:tbl>
      <w:tblPr>
        <w:tblStyle w:val="TableGrid"/>
        <w:bidiVisual/>
        <w:tblW w:w="0" w:type="auto"/>
        <w:tblLook w:val="04A0" w:firstRow="1" w:lastRow="0" w:firstColumn="1" w:lastColumn="0" w:noHBand="0" w:noVBand="1"/>
      </w:tblPr>
      <w:tblGrid>
        <w:gridCol w:w="4006"/>
        <w:gridCol w:w="4006"/>
      </w:tblGrid>
      <w:tr w:rsidR="00F565D3" w:rsidTr="00F565D3">
        <w:tc>
          <w:tcPr>
            <w:tcW w:w="4006" w:type="dxa"/>
          </w:tcPr>
          <w:p w:rsidR="00F565D3" w:rsidRDefault="00F565D3" w:rsidP="00E378DD">
            <w:pPr>
              <w:pStyle w:val="libFootnote0"/>
              <w:rPr>
                <w:rtl/>
                <w:lang w:bidi="fa-IR"/>
              </w:rPr>
            </w:pPr>
            <w:r>
              <w:rPr>
                <w:rtl/>
                <w:lang w:bidi="fa-IR"/>
              </w:rPr>
              <w:t xml:space="preserve">(12). في </w:t>
            </w:r>
            <w:r w:rsidRPr="00F565D3">
              <w:rPr>
                <w:rtl/>
              </w:rPr>
              <w:t>الوافي</w:t>
            </w:r>
            <w:r>
              <w:rPr>
                <w:rtl/>
                <w:lang w:bidi="fa-IR"/>
              </w:rPr>
              <w:t xml:space="preserve"> : « وإن ».</w:t>
            </w:r>
          </w:p>
        </w:tc>
        <w:tc>
          <w:tcPr>
            <w:tcW w:w="4006" w:type="dxa"/>
          </w:tcPr>
          <w:p w:rsidR="00F565D3" w:rsidRDefault="00F565D3" w:rsidP="00E378DD">
            <w:pPr>
              <w:pStyle w:val="libFootnote0"/>
              <w:rPr>
                <w:rtl/>
                <w:lang w:bidi="fa-IR"/>
              </w:rPr>
            </w:pPr>
            <w:r>
              <w:rPr>
                <w:rtl/>
                <w:lang w:bidi="fa-IR"/>
              </w:rPr>
              <w:t>(13). في «بح»:«ولا تخف». وفي «بس»: «ولم يخف».</w:t>
            </w:r>
          </w:p>
        </w:tc>
      </w:tr>
    </w:tbl>
    <w:p w:rsidR="00144FA6" w:rsidRDefault="00E378DD" w:rsidP="00E378DD">
      <w:pPr>
        <w:pStyle w:val="libFootnote0"/>
        <w:rPr>
          <w:rtl/>
          <w:lang w:bidi="fa-IR"/>
        </w:rPr>
      </w:pPr>
      <w:r>
        <w:rPr>
          <w:rtl/>
          <w:lang w:bidi="fa-IR"/>
        </w:rPr>
        <w:t>(14).</w:t>
      </w:r>
      <w:r w:rsidR="00744A1C">
        <w:rPr>
          <w:rtl/>
          <w:lang w:bidi="fa-IR"/>
        </w:rPr>
        <w:t xml:space="preserve"> في « ى ، بح ، بس ، بف ، جت ، جن » </w:t>
      </w:r>
      <w:r w:rsidR="00744A1C" w:rsidRPr="00F565D3">
        <w:rPr>
          <w:rtl/>
        </w:rPr>
        <w:t>والمرآة والبحار</w:t>
      </w:r>
      <w:r w:rsidR="00744A1C">
        <w:rPr>
          <w:rtl/>
          <w:lang w:bidi="fa-IR"/>
        </w:rPr>
        <w:t xml:space="preserve"> : « حالاً ». وقال في </w:t>
      </w:r>
      <w:r w:rsidR="00744A1C" w:rsidRPr="00C24F9C">
        <w:rPr>
          <w:rStyle w:val="libFootnoteBoldChar"/>
          <w:rtl/>
        </w:rPr>
        <w:t>المرآة</w:t>
      </w:r>
      <w:r w:rsidR="00744A1C">
        <w:rPr>
          <w:rtl/>
          <w:lang w:bidi="fa-IR"/>
        </w:rPr>
        <w:t xml:space="preserve"> : « أي حدوث حال سيّئة.</w:t>
      </w:r>
      <w:r w:rsidR="00F565D3">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فَلَمَّا </w:t>
      </w:r>
      <w:r w:rsidRPr="00D10E3C">
        <w:rPr>
          <w:rStyle w:val="libFootnotenumChar"/>
          <w:rtl/>
        </w:rPr>
        <w:t>(1)</w:t>
      </w:r>
      <w:r>
        <w:rPr>
          <w:rtl/>
          <w:lang w:bidi="fa-IR"/>
        </w:rPr>
        <w:t xml:space="preserve"> نَهى عَنْ قَتْلِهِنَّ فِي دَارِ الْحَرْبِ ، كَانَ فِي دَارِ الْإِسْلَامِ أَوْلى ، وَلَوِ امْتَنَعَتْ أَنْ تُؤَدِّيَ </w:t>
      </w:r>
      <w:r w:rsidRPr="00D10E3C">
        <w:rPr>
          <w:rStyle w:val="libFootnotenumChar"/>
          <w:rtl/>
        </w:rPr>
        <w:t>(2)</w:t>
      </w:r>
      <w:r>
        <w:rPr>
          <w:rtl/>
          <w:lang w:bidi="fa-IR"/>
        </w:rPr>
        <w:t xml:space="preserve"> الْجِزْيَةَ ، لَمْ يُمْكِنْ </w:t>
      </w:r>
      <w:r w:rsidRPr="00D10E3C">
        <w:rPr>
          <w:rStyle w:val="libFootnotenumChar"/>
          <w:rtl/>
        </w:rPr>
        <w:t>(3)</w:t>
      </w:r>
      <w:r>
        <w:rPr>
          <w:rtl/>
          <w:lang w:bidi="fa-IR"/>
        </w:rPr>
        <w:t xml:space="preserve"> قَتْلُهَا ، فَلَمَّا لَمْ يُمْكِنْ قَتْلُهَا ، رُفِعَتِ الْجِزْيَةُ عَنْهَا ، وَلَوِ امْتَنَعَ الرِّجَالُ </w:t>
      </w:r>
      <w:r w:rsidRPr="00D10E3C">
        <w:rPr>
          <w:rStyle w:val="libFootnotenumChar"/>
          <w:rtl/>
        </w:rPr>
        <w:t>(4)</w:t>
      </w:r>
      <w:r>
        <w:rPr>
          <w:rtl/>
          <w:lang w:bidi="fa-IR"/>
        </w:rPr>
        <w:t xml:space="preserve"> أَنْ يُؤَدُّوا الْجِزْيَةَ ، كَانُوا نَاقِضِينَ لِلْعَهْدِ ، وَحَلَّتْ دِمَاؤُهُمْ وَقَتْلُهُمْ ؛ لِأَنَّ قَتْلَ الرِّجَالِ مُبَاحٌ فِي دَارِ الشِّرْكِ </w:t>
      </w:r>
      <w:r w:rsidRPr="00D10E3C">
        <w:rPr>
          <w:rStyle w:val="libFootnotenumChar"/>
          <w:rtl/>
        </w:rPr>
        <w:t>(5)</w:t>
      </w:r>
      <w:r>
        <w:rPr>
          <w:rtl/>
          <w:lang w:bidi="fa-IR"/>
        </w:rPr>
        <w:t xml:space="preserve"> ، وَكَذلِكَ الْمُقْعَدُ مِنْ أَهْلِ </w:t>
      </w:r>
      <w:r w:rsidRPr="00D10E3C">
        <w:rPr>
          <w:rStyle w:val="libFootnotenumChar"/>
          <w:rtl/>
        </w:rPr>
        <w:t>(6)</w:t>
      </w:r>
      <w:r>
        <w:rPr>
          <w:rtl/>
          <w:lang w:bidi="fa-IR"/>
        </w:rPr>
        <w:t xml:space="preserve"> الذِّمَّةِ وَالْأَعْمى </w:t>
      </w:r>
      <w:r w:rsidRPr="00D10E3C">
        <w:rPr>
          <w:rStyle w:val="libFootnotenumChar"/>
          <w:rtl/>
        </w:rPr>
        <w:t>(7)</w:t>
      </w:r>
      <w:r>
        <w:rPr>
          <w:rtl/>
          <w:lang w:bidi="fa-IR"/>
        </w:rPr>
        <w:t xml:space="preserve"> وَالشَّيْخُ الْفَانِي </w:t>
      </w:r>
      <w:r w:rsidRPr="00D10E3C">
        <w:rPr>
          <w:rStyle w:val="libFootnotenumChar"/>
          <w:rtl/>
        </w:rPr>
        <w:t>(8)</w:t>
      </w:r>
      <w:r>
        <w:rPr>
          <w:rtl/>
          <w:lang w:bidi="fa-IR"/>
        </w:rPr>
        <w:t xml:space="preserve"> وَالْمَرْأَةُ وَالْوِلْدَانُ فِي أَرْضِ الْحَرْبِ </w:t>
      </w:r>
      <w:r w:rsidRPr="00D10E3C">
        <w:rPr>
          <w:rStyle w:val="libFootnotenumChar"/>
          <w:rtl/>
        </w:rPr>
        <w:t>(9)</w:t>
      </w:r>
      <w:r>
        <w:rPr>
          <w:rtl/>
          <w:lang w:bidi="fa-IR"/>
        </w:rPr>
        <w:t xml:space="preserve"> ، فَمِنْ أَجْلِ ذلِكَ رُفِعَتْ عَنْهُمُ الْجِزْيَةُ ». </w:t>
      </w:r>
      <w:r w:rsidRPr="00D10E3C">
        <w:rPr>
          <w:rStyle w:val="libFootnotenumChar"/>
          <w:rtl/>
        </w:rPr>
        <w:t>(10)</w:t>
      </w:r>
    </w:p>
    <w:p w:rsidR="00144FA6" w:rsidRDefault="00744A1C" w:rsidP="00744A1C">
      <w:pPr>
        <w:pStyle w:val="libNormal"/>
        <w:rPr>
          <w:rtl/>
          <w:lang w:bidi="fa-IR"/>
        </w:rPr>
      </w:pPr>
      <w:r>
        <w:rPr>
          <w:rtl/>
          <w:lang w:bidi="fa-IR"/>
        </w:rPr>
        <w:t>8235 / 7.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w:t>
      </w:r>
      <w:r w:rsidRPr="00D10E3C">
        <w:rPr>
          <w:rStyle w:val="libFootnotenumChar"/>
          <w:rtl/>
        </w:rPr>
        <w:t>(11)</w:t>
      </w:r>
      <w:r>
        <w:rPr>
          <w:rtl/>
          <w:lang w:bidi="fa-IR"/>
        </w:rPr>
        <w:t xml:space="preserve"> : « أَنَّ النَّبِيَّ </w:t>
      </w:r>
      <w:r w:rsidR="00B7470D" w:rsidRPr="00B7470D">
        <w:rPr>
          <w:rStyle w:val="libAlaemChar"/>
          <w:rtl/>
        </w:rPr>
        <w:t>صلى‌الله‌عليه‌وآله</w:t>
      </w:r>
      <w:r w:rsidR="00D10E3C">
        <w:rPr>
          <w:rtl/>
          <w:lang w:bidi="fa-IR"/>
        </w:rPr>
        <w:t xml:space="preserve"> </w:t>
      </w:r>
      <w:r>
        <w:rPr>
          <w:rtl/>
          <w:lang w:bidi="fa-IR"/>
        </w:rPr>
        <w:t xml:space="preserve">كَانَ إِذَا بَعَثَ بِسَرِيَّةٍ </w:t>
      </w:r>
      <w:r w:rsidRPr="00D10E3C">
        <w:rPr>
          <w:rStyle w:val="libFootnotenumChar"/>
          <w:rtl/>
        </w:rPr>
        <w:t>(12)</w:t>
      </w:r>
      <w:r>
        <w:rPr>
          <w:rtl/>
          <w:lang w:bidi="fa-IR"/>
        </w:rPr>
        <w:t xml:space="preserve"> ، دَعَا لَهَا</w:t>
      </w:r>
      <w:r w:rsidRPr="00D10E3C">
        <w:rPr>
          <w:rStyle w:val="libFootnotenumChar"/>
          <w:rtl/>
        </w:rPr>
        <w:t>(13)</w:t>
      </w:r>
      <w:r>
        <w:rPr>
          <w:rtl/>
          <w:lang w:bidi="fa-IR"/>
        </w:rPr>
        <w:t>».</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F6708C" w:rsidP="00D10E3C">
      <w:pPr>
        <w:pStyle w:val="libFootnote0"/>
        <w:rPr>
          <w:lang w:bidi="fa-IR"/>
        </w:rPr>
      </w:pPr>
      <w:r>
        <w:rPr>
          <w:rFonts w:hint="cs"/>
          <w:rtl/>
          <w:lang w:bidi="fa-IR"/>
        </w:rPr>
        <w:t xml:space="preserve">= </w:t>
      </w:r>
      <w:r w:rsidR="00744A1C">
        <w:rPr>
          <w:rtl/>
          <w:lang w:bidi="fa-IR"/>
        </w:rPr>
        <w:t xml:space="preserve">وفي </w:t>
      </w:r>
      <w:r w:rsidR="00744A1C" w:rsidRPr="00C24F9C">
        <w:rPr>
          <w:rStyle w:val="libFootnoteBoldChar"/>
          <w:rtl/>
        </w:rPr>
        <w:t>التهذيب</w:t>
      </w:r>
      <w:r w:rsidR="00744A1C">
        <w:rPr>
          <w:rtl/>
          <w:lang w:bidi="fa-IR"/>
        </w:rPr>
        <w:t xml:space="preserve"> وغيره : خللاً ، وهو الصواب ».</w:t>
      </w:r>
    </w:p>
    <w:tbl>
      <w:tblPr>
        <w:tblStyle w:val="TableGrid"/>
        <w:bidiVisual/>
        <w:tblW w:w="0" w:type="auto"/>
        <w:tblLook w:val="04A0" w:firstRow="1" w:lastRow="0" w:firstColumn="1" w:lastColumn="0" w:noHBand="0" w:noVBand="1"/>
      </w:tblPr>
      <w:tblGrid>
        <w:gridCol w:w="4006"/>
        <w:gridCol w:w="4006"/>
      </w:tblGrid>
      <w:tr w:rsidR="00F6708C" w:rsidTr="00F6708C">
        <w:tc>
          <w:tcPr>
            <w:tcW w:w="4006" w:type="dxa"/>
          </w:tcPr>
          <w:p w:rsidR="00F6708C" w:rsidRDefault="00F6708C" w:rsidP="00D10E3C">
            <w:pPr>
              <w:pStyle w:val="libFootnote0"/>
              <w:rPr>
                <w:rtl/>
                <w:lang w:bidi="fa-IR"/>
              </w:rPr>
            </w:pPr>
            <w:r>
              <w:rPr>
                <w:rtl/>
                <w:lang w:bidi="fa-IR"/>
              </w:rPr>
              <w:t>(1). في « بث » : - « ولم تخف خللاً فلمّا ».</w:t>
            </w:r>
          </w:p>
        </w:tc>
        <w:tc>
          <w:tcPr>
            <w:tcW w:w="4006" w:type="dxa"/>
          </w:tcPr>
          <w:p w:rsidR="00F6708C" w:rsidRDefault="00F6708C" w:rsidP="00D10E3C">
            <w:pPr>
              <w:pStyle w:val="libFootnote0"/>
              <w:rPr>
                <w:rtl/>
                <w:lang w:bidi="fa-IR"/>
              </w:rPr>
            </w:pPr>
            <w:r>
              <w:rPr>
                <w:rtl/>
                <w:lang w:bidi="fa-IR"/>
              </w:rPr>
              <w:t>(2). في « جت » بالتاء والياء معاً.</w:t>
            </w:r>
          </w:p>
        </w:tc>
      </w:tr>
      <w:tr w:rsidR="00F6708C" w:rsidTr="00F6708C">
        <w:tc>
          <w:tcPr>
            <w:tcW w:w="4006" w:type="dxa"/>
          </w:tcPr>
          <w:p w:rsidR="00F6708C" w:rsidRDefault="00DD675A" w:rsidP="00D10E3C">
            <w:pPr>
              <w:pStyle w:val="libFootnote0"/>
              <w:rPr>
                <w:rtl/>
                <w:lang w:bidi="fa-IR"/>
              </w:rPr>
            </w:pPr>
            <w:r>
              <w:rPr>
                <w:rtl/>
                <w:lang w:bidi="fa-IR"/>
              </w:rPr>
              <w:t xml:space="preserve">(3). في </w:t>
            </w:r>
            <w:r w:rsidRPr="00DD675A">
              <w:rPr>
                <w:rtl/>
              </w:rPr>
              <w:t>الوافي</w:t>
            </w:r>
            <w:r>
              <w:rPr>
                <w:rtl/>
                <w:lang w:bidi="fa-IR"/>
              </w:rPr>
              <w:t xml:space="preserve"> : « لم يمكنك ».</w:t>
            </w:r>
          </w:p>
        </w:tc>
        <w:tc>
          <w:tcPr>
            <w:tcW w:w="4006" w:type="dxa"/>
          </w:tcPr>
          <w:p w:rsidR="00F6708C" w:rsidRDefault="00DD675A" w:rsidP="00D10E3C">
            <w:pPr>
              <w:pStyle w:val="libFootnote0"/>
              <w:rPr>
                <w:rtl/>
                <w:lang w:bidi="fa-IR"/>
              </w:rPr>
            </w:pPr>
            <w:r>
              <w:rPr>
                <w:rtl/>
                <w:lang w:bidi="fa-IR"/>
              </w:rPr>
              <w:t xml:space="preserve">(4). في </w:t>
            </w:r>
            <w:r w:rsidRPr="00DD675A">
              <w:rPr>
                <w:rtl/>
              </w:rPr>
              <w:t>الوافي</w:t>
            </w:r>
            <w:r>
              <w:rPr>
                <w:rtl/>
                <w:lang w:bidi="fa-IR"/>
              </w:rPr>
              <w:t xml:space="preserve"> : + « وأبوا ».</w:t>
            </w:r>
          </w:p>
        </w:tc>
      </w:tr>
      <w:tr w:rsidR="00F6708C" w:rsidTr="00F6708C">
        <w:tc>
          <w:tcPr>
            <w:tcW w:w="4006" w:type="dxa"/>
          </w:tcPr>
          <w:p w:rsidR="00F6708C" w:rsidRDefault="00DD675A" w:rsidP="00D10E3C">
            <w:pPr>
              <w:pStyle w:val="libFootnote0"/>
              <w:rPr>
                <w:rtl/>
                <w:lang w:bidi="fa-IR"/>
              </w:rPr>
            </w:pPr>
            <w:r>
              <w:rPr>
                <w:rtl/>
                <w:lang w:bidi="fa-IR"/>
              </w:rPr>
              <w:t xml:space="preserve">(5). في </w:t>
            </w:r>
            <w:r w:rsidRPr="00DD675A">
              <w:rPr>
                <w:rtl/>
              </w:rPr>
              <w:t>الفقيه</w:t>
            </w:r>
            <w:r>
              <w:rPr>
                <w:rtl/>
                <w:lang w:bidi="fa-IR"/>
              </w:rPr>
              <w:t xml:space="preserve"> : + « والذمّة ».</w:t>
            </w:r>
          </w:p>
        </w:tc>
        <w:tc>
          <w:tcPr>
            <w:tcW w:w="4006" w:type="dxa"/>
          </w:tcPr>
          <w:p w:rsidR="00F6708C" w:rsidRDefault="00DD675A" w:rsidP="00D10E3C">
            <w:pPr>
              <w:pStyle w:val="libFootnote0"/>
              <w:rPr>
                <w:rtl/>
                <w:lang w:bidi="fa-IR"/>
              </w:rPr>
            </w:pPr>
            <w:r>
              <w:rPr>
                <w:rtl/>
                <w:lang w:bidi="fa-IR"/>
              </w:rPr>
              <w:t xml:space="preserve">(6). في </w:t>
            </w:r>
            <w:r w:rsidRPr="00DD675A">
              <w:rPr>
                <w:rtl/>
              </w:rPr>
              <w:t>الفقيه</w:t>
            </w:r>
            <w:r>
              <w:rPr>
                <w:rtl/>
                <w:lang w:bidi="fa-IR"/>
              </w:rPr>
              <w:t xml:space="preserve"> والعلل : + « الشرك و».</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DD675A">
        <w:rPr>
          <w:rtl/>
        </w:rPr>
        <w:t>الوافي والتهذيب</w:t>
      </w:r>
      <w:r w:rsidR="00744A1C">
        <w:rPr>
          <w:rtl/>
          <w:lang w:bidi="fa-IR"/>
        </w:rPr>
        <w:t xml:space="preserve"> : - « والأعمى ».</w:t>
      </w:r>
    </w:p>
    <w:p w:rsidR="00744A1C" w:rsidRDefault="00E378DD" w:rsidP="00DD675A">
      <w:pPr>
        <w:pStyle w:val="libFootnote0"/>
        <w:rPr>
          <w:lang w:bidi="fa-IR"/>
        </w:rPr>
      </w:pPr>
      <w:r>
        <w:rPr>
          <w:rtl/>
          <w:lang w:bidi="fa-IR"/>
        </w:rPr>
        <w:t>(8).</w:t>
      </w:r>
      <w:r w:rsidR="00744A1C">
        <w:rPr>
          <w:rtl/>
          <w:lang w:bidi="fa-IR"/>
        </w:rPr>
        <w:t xml:space="preserve"> في </w:t>
      </w:r>
      <w:r w:rsidR="00744A1C" w:rsidRPr="00DD675A">
        <w:rPr>
          <w:rtl/>
        </w:rPr>
        <w:t>المحاسن</w:t>
      </w:r>
      <w:r w:rsidR="00744A1C">
        <w:rPr>
          <w:rtl/>
          <w:lang w:bidi="fa-IR"/>
        </w:rPr>
        <w:t xml:space="preserve"> : + « ليس عليهم جزية ؛ لأنّه لايمكن قتلهم ؛ لما نهى رسول الله </w:t>
      </w:r>
      <w:r w:rsidR="005E465D" w:rsidRPr="005E465D">
        <w:rPr>
          <w:rStyle w:val="libFootnoteAlaemChar"/>
          <w:rtl/>
        </w:rPr>
        <w:t>صلى‌الله‌عليه‌وآله</w:t>
      </w:r>
      <w:r w:rsidR="00D10E3C">
        <w:rPr>
          <w:rtl/>
          <w:lang w:bidi="fa-IR"/>
        </w:rPr>
        <w:t xml:space="preserve"> </w:t>
      </w:r>
      <w:r w:rsidR="00744A1C">
        <w:rPr>
          <w:rtl/>
          <w:lang w:bidi="fa-IR"/>
        </w:rPr>
        <w:t>عن قتل المقعد والأعمى</w:t>
      </w:r>
      <w:r w:rsidR="00DD675A">
        <w:rPr>
          <w:rFonts w:hint="cs"/>
          <w:rtl/>
          <w:lang w:bidi="fa-IR"/>
        </w:rPr>
        <w:t xml:space="preserve"> </w:t>
      </w:r>
      <w:r w:rsidR="00744A1C">
        <w:rPr>
          <w:rtl/>
          <w:lang w:bidi="fa-IR"/>
        </w:rPr>
        <w:t>‌والشيخ الفاني ».</w:t>
      </w:r>
      <w:r w:rsidR="00DD675A">
        <w:rPr>
          <w:rFonts w:hint="cs"/>
          <w:rtl/>
          <w:lang w:bidi="fa-IR"/>
        </w:rPr>
        <w:t xml:space="preserve">                                            </w:t>
      </w:r>
      <w:r>
        <w:rPr>
          <w:rtl/>
          <w:lang w:bidi="fa-IR"/>
        </w:rPr>
        <w:t>(9).</w:t>
      </w:r>
      <w:r w:rsidR="00744A1C">
        <w:rPr>
          <w:rtl/>
          <w:lang w:bidi="fa-IR"/>
        </w:rPr>
        <w:t xml:space="preserve"> في « ى » : « الجرب ».</w:t>
      </w:r>
    </w:p>
    <w:p w:rsidR="00744A1C" w:rsidRDefault="00E378DD" w:rsidP="00E378DD">
      <w:pPr>
        <w:pStyle w:val="libFootnote0"/>
        <w:rPr>
          <w:lang w:bidi="fa-IR"/>
        </w:rPr>
      </w:pPr>
      <w:r>
        <w:rPr>
          <w:rtl/>
          <w:lang w:bidi="fa-IR"/>
        </w:rPr>
        <w:t>(10).</w:t>
      </w:r>
      <w:r w:rsidR="00744A1C">
        <w:rPr>
          <w:rtl/>
          <w:lang w:bidi="fa-IR"/>
        </w:rPr>
        <w:t xml:space="preserve"> </w:t>
      </w:r>
      <w:r w:rsidR="00744A1C" w:rsidRPr="003A7143">
        <w:rPr>
          <w:rStyle w:val="libFootnoteBoldChar"/>
          <w:rtl/>
        </w:rPr>
        <w:t>المحاسن</w:t>
      </w:r>
      <w:r w:rsidR="00744A1C">
        <w:rPr>
          <w:rtl/>
          <w:lang w:bidi="fa-IR"/>
        </w:rPr>
        <w:t xml:space="preserve"> ، ص 327 ، كتاب العلل ، ح 81 ، بسنده عن القاسم بن محمّد ، عن أبي أيّوب وحفص بن غياث ، عن أبي عبد 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التهذيب</w:t>
      </w:r>
      <w:r w:rsidR="00744A1C">
        <w:rPr>
          <w:rtl/>
          <w:lang w:bidi="fa-IR"/>
        </w:rPr>
        <w:t xml:space="preserve"> ، ج 6 ، ص 156 ، ح 277 ، بسنده عن سليمان بن أبي أيّوب ، عن حفص ، عن أبي عبد 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2 ، ص 52 ، ح 1675 ، معلّقاً عن حفص بن غياث. </w:t>
      </w:r>
      <w:r w:rsidR="00744A1C" w:rsidRPr="003A7143">
        <w:rPr>
          <w:rStyle w:val="libFootnoteBoldChar"/>
          <w:rtl/>
        </w:rPr>
        <w:t>علل الشرائع</w:t>
      </w:r>
      <w:r w:rsidR="00744A1C">
        <w:rPr>
          <w:rtl/>
          <w:lang w:bidi="fa-IR"/>
        </w:rPr>
        <w:t xml:space="preserve"> ، ص 376 ، ح 1 ، بسنده عن القاسم بن محمّد الأصبهاني ، عن سليمان بن داود المنقري ، عن عيسى بن يونس ، عن الأوزاعي ، عن الزهري ، عن عليّ بن الحسين </w:t>
      </w:r>
      <w:r w:rsidR="0061079A" w:rsidRPr="0061079A">
        <w:rPr>
          <w:rStyle w:val="libFootnoteAlaemChar"/>
          <w:rtl/>
        </w:rPr>
        <w:t>عليه‌السلام</w:t>
      </w:r>
      <w:r w:rsidR="00D10E3C">
        <w:rPr>
          <w:rtl/>
          <w:lang w:bidi="fa-IR"/>
        </w:rPr>
        <w:t xml:space="preserve"> </w:t>
      </w:r>
      <w:r w:rsidR="00744A1C">
        <w:rPr>
          <w:rtl/>
          <w:lang w:bidi="fa-IR"/>
        </w:rPr>
        <w:t xml:space="preserve">، وفي كلّ المصادر من قوله : « وسألته عن النساء » </w:t>
      </w:r>
      <w:r w:rsidR="00DD675A">
        <w:rPr>
          <w:rFonts w:hint="cs"/>
          <w:rtl/>
          <w:lang w:bidi="fa-IR"/>
        </w:rPr>
        <w:t>.</w:t>
      </w:r>
      <w:r w:rsidR="00744A1C" w:rsidRPr="00C24F9C">
        <w:rPr>
          <w:rStyle w:val="libFootnoteBoldChar"/>
          <w:rtl/>
        </w:rPr>
        <w:t>الوافي</w:t>
      </w:r>
      <w:r w:rsidR="00744A1C">
        <w:rPr>
          <w:rtl/>
          <w:lang w:bidi="fa-IR"/>
        </w:rPr>
        <w:t xml:space="preserve"> ، ج 10 ، ص 354 ، ح 9691 ؛ وج 15 ، ص 98 ، ح 14749 ؛ </w:t>
      </w:r>
      <w:r w:rsidR="00744A1C" w:rsidRPr="00C24F9C">
        <w:rPr>
          <w:rStyle w:val="libFootnoteBoldChar"/>
          <w:rtl/>
        </w:rPr>
        <w:t>الوسائل</w:t>
      </w:r>
      <w:r w:rsidR="00744A1C">
        <w:rPr>
          <w:rtl/>
          <w:lang w:bidi="fa-IR"/>
        </w:rPr>
        <w:t xml:space="preserve"> ، ج 15 ، ص 64 ، ح 19993 ، من قوله : « وسألته عن النساء » ؛ </w:t>
      </w:r>
      <w:r w:rsidR="00744A1C" w:rsidRPr="0061079A">
        <w:rPr>
          <w:rStyle w:val="libFootnoteBoldChar"/>
          <w:rtl/>
        </w:rPr>
        <w:t>البحار</w:t>
      </w:r>
      <w:r w:rsidR="00744A1C">
        <w:rPr>
          <w:rtl/>
          <w:lang w:bidi="fa-IR"/>
        </w:rPr>
        <w:t xml:space="preserve"> ، ج 19 ، ص 178 ، ح 25 ، إلى قوله : « فأمسك عنها ما أمكنك ولم تخف خللاً ».</w:t>
      </w:r>
    </w:p>
    <w:tbl>
      <w:tblPr>
        <w:tblStyle w:val="TableGrid"/>
        <w:bidiVisual/>
        <w:tblW w:w="0" w:type="auto"/>
        <w:tblLook w:val="04A0" w:firstRow="1" w:lastRow="0" w:firstColumn="1" w:lastColumn="0" w:noHBand="0" w:noVBand="1"/>
      </w:tblPr>
      <w:tblGrid>
        <w:gridCol w:w="4006"/>
        <w:gridCol w:w="4006"/>
      </w:tblGrid>
      <w:tr w:rsidR="00DD675A" w:rsidTr="00DD675A">
        <w:tc>
          <w:tcPr>
            <w:tcW w:w="4006" w:type="dxa"/>
          </w:tcPr>
          <w:p w:rsidR="00DD675A" w:rsidRDefault="00DD675A" w:rsidP="00E378DD">
            <w:pPr>
              <w:pStyle w:val="libFootnote0"/>
              <w:rPr>
                <w:rtl/>
                <w:lang w:bidi="fa-IR"/>
              </w:rPr>
            </w:pPr>
            <w:r>
              <w:rPr>
                <w:rtl/>
                <w:lang w:bidi="fa-IR"/>
              </w:rPr>
              <w:t>(11). هكذا في النسخ. وفي المطبوع : - « قال ».</w:t>
            </w:r>
          </w:p>
        </w:tc>
        <w:tc>
          <w:tcPr>
            <w:tcW w:w="4006" w:type="dxa"/>
          </w:tcPr>
          <w:p w:rsidR="00DD675A" w:rsidRDefault="00DD675A" w:rsidP="00E378DD">
            <w:pPr>
              <w:pStyle w:val="libFootnote0"/>
              <w:rPr>
                <w:rtl/>
                <w:lang w:bidi="fa-IR"/>
              </w:rPr>
            </w:pPr>
            <w:r>
              <w:rPr>
                <w:rtl/>
                <w:lang w:bidi="fa-IR"/>
              </w:rPr>
              <w:t xml:space="preserve">(12). في </w:t>
            </w:r>
            <w:r w:rsidRPr="00DD675A">
              <w:rPr>
                <w:rtl/>
              </w:rPr>
              <w:t>الوسائل</w:t>
            </w:r>
            <w:r>
              <w:rPr>
                <w:rtl/>
                <w:lang w:bidi="fa-IR"/>
              </w:rPr>
              <w:t xml:space="preserve"> : « سريّة ».</w:t>
            </w:r>
          </w:p>
        </w:tc>
      </w:tr>
    </w:tbl>
    <w:p w:rsidR="00744A1C" w:rsidRDefault="00E378DD" w:rsidP="00E378DD">
      <w:pPr>
        <w:pStyle w:val="libFootnote0"/>
        <w:rPr>
          <w:lang w:bidi="fa-IR"/>
        </w:rPr>
      </w:pPr>
      <w:r>
        <w:rPr>
          <w:rtl/>
          <w:lang w:bidi="fa-IR"/>
        </w:rPr>
        <w:t>(13).</w:t>
      </w:r>
      <w:r w:rsidR="00744A1C">
        <w:rPr>
          <w:rtl/>
          <w:lang w:bidi="fa-IR"/>
        </w:rPr>
        <w:t xml:space="preserve"> في « ى » : + « عليّ بن إبراهيم ، عن أبيه ، عن هارون بن مسلم ، عن مسعدة بن صدقة ، عن أبي عبد الله صلوات الله عليه ، قال : إنّ النبيّ </w:t>
      </w:r>
      <w:r w:rsidR="005E465D" w:rsidRPr="005E465D">
        <w:rPr>
          <w:rStyle w:val="libFootnoteAlaemChar"/>
          <w:rtl/>
        </w:rPr>
        <w:t>صلى‌الله‌عليه‌وآله</w:t>
      </w:r>
      <w:r w:rsidR="00D10E3C">
        <w:rPr>
          <w:rtl/>
          <w:lang w:bidi="fa-IR"/>
        </w:rPr>
        <w:t xml:space="preserve"> </w:t>
      </w:r>
      <w:r w:rsidR="00744A1C">
        <w:rPr>
          <w:rtl/>
          <w:lang w:bidi="fa-IR"/>
        </w:rPr>
        <w:t>إذا بعث بسريّة دعا لها ».</w:t>
      </w:r>
    </w:p>
    <w:p w:rsidR="00744A1C" w:rsidRDefault="00E378DD" w:rsidP="00E378DD">
      <w:pPr>
        <w:pStyle w:val="libFootnote0"/>
        <w:rPr>
          <w:lang w:bidi="fa-IR"/>
        </w:rPr>
      </w:pPr>
      <w:r>
        <w:rPr>
          <w:rtl/>
          <w:lang w:bidi="fa-IR"/>
        </w:rPr>
        <w:t>(14).</w:t>
      </w:r>
      <w:r w:rsidR="00744A1C">
        <w:rPr>
          <w:rtl/>
          <w:lang w:bidi="fa-IR"/>
        </w:rPr>
        <w:t xml:space="preserve"> </w:t>
      </w:r>
      <w:r w:rsidR="00744A1C" w:rsidRPr="00C24F9C">
        <w:rPr>
          <w:rStyle w:val="libFootnoteBoldChar"/>
          <w:rtl/>
        </w:rPr>
        <w:t>الوافي</w:t>
      </w:r>
      <w:r w:rsidR="00744A1C">
        <w:rPr>
          <w:rtl/>
          <w:lang w:bidi="fa-IR"/>
        </w:rPr>
        <w:t xml:space="preserve"> ، ج 15 ، ص 95 ، ح 14741 ؛ </w:t>
      </w:r>
      <w:r w:rsidR="00744A1C" w:rsidRPr="00C24F9C">
        <w:rPr>
          <w:rStyle w:val="libFootnoteBoldChar"/>
          <w:rtl/>
        </w:rPr>
        <w:t>الوسائل</w:t>
      </w:r>
      <w:r w:rsidR="00744A1C">
        <w:rPr>
          <w:rtl/>
          <w:lang w:bidi="fa-IR"/>
        </w:rPr>
        <w:t xml:space="preserve"> ، ج 15 ، ص 58 ، ح 19984 ؛ </w:t>
      </w:r>
      <w:r w:rsidR="00744A1C" w:rsidRPr="0061079A">
        <w:rPr>
          <w:rStyle w:val="libFootnoteBoldChar"/>
          <w:rtl/>
        </w:rPr>
        <w:t>البحار</w:t>
      </w:r>
      <w:r w:rsidR="00744A1C">
        <w:rPr>
          <w:rtl/>
          <w:lang w:bidi="fa-IR"/>
        </w:rPr>
        <w:t xml:space="preserve"> ، ج 19 ، ص 178 ، ح 26.</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8236 / 8. عَلِيُّ بْنُ إِبْرَاهِيمَ ، عَنْ هَارُونَ بْنِ مُسْلِمٍ ، عَنْ مَسْعَدَةَ بْنِ صَدَقَةَ :</w:t>
      </w:r>
    </w:p>
    <w:p w:rsidR="00744A1C" w:rsidRDefault="00744A1C" w:rsidP="00DD675A">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النَّبِيَّ </w:t>
      </w:r>
      <w:r w:rsidR="00DD675A" w:rsidRPr="0040093D">
        <w:rPr>
          <w:rStyle w:val="libAlaemChar"/>
          <w:rtl/>
        </w:rPr>
        <w:t>صلى‌الله‌عليه‌وآله</w:t>
      </w:r>
      <w:r w:rsidR="00DD675A">
        <w:rPr>
          <w:rtl/>
          <w:lang w:bidi="fa-IR"/>
        </w:rPr>
        <w:t xml:space="preserve"> </w:t>
      </w:r>
      <w:r>
        <w:rPr>
          <w:rtl/>
          <w:lang w:bidi="fa-IR"/>
        </w:rPr>
        <w:t xml:space="preserve">كَانَ إِذَا بَعَثَ </w:t>
      </w:r>
      <w:r w:rsidRPr="00D10E3C">
        <w:rPr>
          <w:rStyle w:val="libFootnotenumChar"/>
          <w:rtl/>
        </w:rPr>
        <w:t>(1)</w:t>
      </w:r>
      <w:r>
        <w:rPr>
          <w:rtl/>
          <w:lang w:bidi="fa-IR"/>
        </w:rPr>
        <w:t xml:space="preserve"> أَمِيراً لَهُ </w:t>
      </w:r>
      <w:r w:rsidRPr="00D10E3C">
        <w:rPr>
          <w:rStyle w:val="libFootnotenumChar"/>
          <w:rtl/>
        </w:rPr>
        <w:t>(2)</w:t>
      </w:r>
      <w:r>
        <w:rPr>
          <w:rtl/>
          <w:lang w:bidi="fa-IR"/>
        </w:rPr>
        <w:t xml:space="preserve"> عَلى سَرِيَّةٍ ، أَمَرَهُ بِتَقْوَى اللهِ - عَزَّ وَجَلَّ - فِي خَاصَّةِ نَفْسِهِ ، ثُمَّ فِي أَصْحَابِهِ عَامَّةً ، ثُمَّ يَقُولُ </w:t>
      </w:r>
      <w:r w:rsidRPr="00D10E3C">
        <w:rPr>
          <w:rStyle w:val="libFootnotenumChar"/>
          <w:rtl/>
        </w:rPr>
        <w:t>(3)</w:t>
      </w:r>
      <w:r>
        <w:rPr>
          <w:rtl/>
          <w:lang w:bidi="fa-IR"/>
        </w:rPr>
        <w:t xml:space="preserve"> : اغْزُوا </w:t>
      </w:r>
      <w:r w:rsidRPr="00D10E3C">
        <w:rPr>
          <w:rStyle w:val="libFootnotenumChar"/>
          <w:rtl/>
        </w:rPr>
        <w:t>(4)</w:t>
      </w:r>
      <w:r>
        <w:rPr>
          <w:rtl/>
          <w:lang w:bidi="fa-IR"/>
        </w:rPr>
        <w:t xml:space="preserve"> بِسْمِ اللهِ ، وَفِي سَبِيلِ اللهِ ، قَاتِلُوا </w:t>
      </w:r>
      <w:r w:rsidRPr="00D10E3C">
        <w:rPr>
          <w:rStyle w:val="libFootnotenumChar"/>
          <w:rtl/>
        </w:rPr>
        <w:t>(5)</w:t>
      </w:r>
      <w:r>
        <w:rPr>
          <w:rtl/>
          <w:lang w:bidi="fa-IR"/>
        </w:rPr>
        <w:t xml:space="preserve"> مَنْ كَفَرَ بِاللهِ ، وَلَا تَغْدِرُوا ، وَلَا تَغُلُّوا ، وَلَا تُمَثِّلُوا </w:t>
      </w:r>
      <w:r w:rsidRPr="00D10E3C">
        <w:rPr>
          <w:rStyle w:val="libFootnotenumChar"/>
          <w:rtl/>
        </w:rPr>
        <w:t>(6)</w:t>
      </w:r>
      <w:r>
        <w:rPr>
          <w:rtl/>
          <w:lang w:bidi="fa-IR"/>
        </w:rPr>
        <w:t xml:space="preserve"> ، وَلَا تَقْتُلُوا وَلِيداً </w:t>
      </w:r>
      <w:r w:rsidRPr="00D10E3C">
        <w:rPr>
          <w:rStyle w:val="libFootnotenumChar"/>
          <w:rtl/>
        </w:rPr>
        <w:t>(7)</w:t>
      </w:r>
      <w:r>
        <w:rPr>
          <w:rtl/>
          <w:lang w:bidi="fa-IR"/>
        </w:rPr>
        <w:t xml:space="preserve"> ، وَلَا مُتَبَتِّلاً </w:t>
      </w:r>
      <w:r w:rsidRPr="00D10E3C">
        <w:rPr>
          <w:rStyle w:val="libFootnotenumChar"/>
          <w:rtl/>
        </w:rPr>
        <w:t>(8)</w:t>
      </w:r>
      <w:r>
        <w:rPr>
          <w:rtl/>
          <w:lang w:bidi="fa-IR"/>
        </w:rPr>
        <w:t xml:space="preserve"> فِي شَاهِقٍ </w:t>
      </w:r>
      <w:r w:rsidRPr="00D10E3C">
        <w:rPr>
          <w:rStyle w:val="libFootnotenumChar"/>
          <w:rtl/>
        </w:rPr>
        <w:t>(9)</w:t>
      </w:r>
      <w:r>
        <w:rPr>
          <w:rtl/>
          <w:lang w:bidi="fa-IR"/>
        </w:rPr>
        <w:t xml:space="preserve"> ، وَلَا تُحْرِقُوا النَّخْلَ ، وَلَا تُغْرِقُوهُ بِالْمَاءِ ، وَلَا تَقْطَعُوا شَجَرَةً مُثْمِرَةً ، وَلَا تُحْرِقُوا زَرْعاً ؛ لِأَنَّكُمْ لَاتَدْرُونَ لَعَلَّكُمْ تَحْتَاجُونَ إِلَيْهِ ، وَلَا تَعْقِرُوا </w:t>
      </w:r>
      <w:r w:rsidRPr="00D10E3C">
        <w:rPr>
          <w:rStyle w:val="libFootnotenumChar"/>
          <w:rtl/>
        </w:rPr>
        <w:t>(10)</w:t>
      </w:r>
      <w:r>
        <w:rPr>
          <w:rtl/>
          <w:lang w:bidi="fa-IR"/>
        </w:rPr>
        <w:t xml:space="preserve"> مِنَ الْبَهَائِمِ مِمَّا </w:t>
      </w:r>
      <w:r w:rsidRPr="00D10E3C">
        <w:rPr>
          <w:rStyle w:val="libFootnotenumChar"/>
          <w:rtl/>
        </w:rPr>
        <w:t>(11)</w:t>
      </w:r>
      <w:r w:rsidR="0040093D">
        <w:rPr>
          <w:rtl/>
          <w:lang w:bidi="fa-IR"/>
        </w:rPr>
        <w:t xml:space="preserve"> يُؤْكَلُ لَحْمُهُ إِل</w:t>
      </w:r>
      <w:r w:rsidR="0040093D">
        <w:rPr>
          <w:rFonts w:hint="cs"/>
          <w:rtl/>
          <w:lang w:bidi="fa-IR"/>
        </w:rPr>
        <w:t>َّ</w:t>
      </w:r>
      <w:r w:rsidR="0040093D">
        <w:rPr>
          <w:rtl/>
          <w:lang w:bidi="fa-IR"/>
        </w:rPr>
        <w:t>ا</w:t>
      </w:r>
      <w:r>
        <w:rPr>
          <w:rtl/>
          <w:lang w:bidi="fa-IR"/>
        </w:rPr>
        <w:t xml:space="preserve"> مَا لَابُدَّ لَكُمْ مِنْ أَكْلِهِ ، وَإِذَا لَقِيتُمْ عَدُوّاً لِلْمُسْلِمِينَ </w:t>
      </w:r>
      <w:r w:rsidRPr="00D10E3C">
        <w:rPr>
          <w:rStyle w:val="libFootnotenumChar"/>
          <w:rtl/>
        </w:rPr>
        <w:t>(12)</w:t>
      </w:r>
      <w:r>
        <w:rPr>
          <w:rtl/>
          <w:lang w:bidi="fa-IR"/>
        </w:rPr>
        <w:t xml:space="preserve"> ، فَادْعُوهُمْ إِلى إِحْدى ثَلَاثٍ </w:t>
      </w:r>
      <w:r w:rsidRPr="00D10E3C">
        <w:rPr>
          <w:rStyle w:val="libFootnotenumChar"/>
          <w:rtl/>
        </w:rPr>
        <w:t>(13)</w:t>
      </w:r>
      <w:r>
        <w:rPr>
          <w:rtl/>
          <w:lang w:bidi="fa-IR"/>
        </w:rPr>
        <w:t xml:space="preserve"> ، فَإِنْ هُمْ أَجَابُوكُمْ إِلَيْهَا ، فَاقْبَلُوا </w:t>
      </w:r>
      <w:r w:rsidRPr="00D10E3C">
        <w:rPr>
          <w:rStyle w:val="libFootnotenumChar"/>
          <w:rtl/>
        </w:rPr>
        <w:t>(14)</w:t>
      </w:r>
      <w:r>
        <w:rPr>
          <w:rtl/>
          <w:lang w:bidi="fa-IR"/>
        </w:rPr>
        <w:t xml:space="preserve"> مِنْهُمْ ، وَكُفُّوا </w:t>
      </w:r>
      <w:r w:rsidRPr="00D10E3C">
        <w:rPr>
          <w:rStyle w:val="libFootnotenumChar"/>
          <w:rtl/>
        </w:rPr>
        <w:t>(15)</w:t>
      </w:r>
      <w:r>
        <w:rPr>
          <w:rtl/>
          <w:lang w:bidi="fa-IR"/>
        </w:rPr>
        <w:t xml:space="preserve"> عَنْهُمْ : ادْعُوهُمْ </w:t>
      </w:r>
      <w:r w:rsidRPr="00D10E3C">
        <w:rPr>
          <w:rStyle w:val="libFootnotenumChar"/>
          <w:rtl/>
        </w:rPr>
        <w:t>(16)</w:t>
      </w:r>
      <w:r>
        <w:rPr>
          <w:rtl/>
          <w:lang w:bidi="fa-IR"/>
        </w:rPr>
        <w:t xml:space="preserve"> إِلَى الْإِسْلَامِ ، فَإِنْ دَخَلُوا فِيهِ ، فَاقْبَلُوهُ </w:t>
      </w:r>
      <w:r w:rsidRPr="00D10E3C">
        <w:rPr>
          <w:rStyle w:val="libFootnotenumChar"/>
          <w:rtl/>
        </w:rPr>
        <w:t>(17)</w:t>
      </w:r>
      <w:r>
        <w:rPr>
          <w:rtl/>
          <w:lang w:bidi="fa-IR"/>
        </w:rPr>
        <w:t xml:space="preserve"> مِنْهُمْ </w:t>
      </w:r>
      <w:r w:rsidRPr="00D10E3C">
        <w:rPr>
          <w:rStyle w:val="libFootnotenumChar"/>
          <w:rtl/>
        </w:rPr>
        <w:t>(18)</w:t>
      </w:r>
      <w:r>
        <w:rPr>
          <w:rtl/>
          <w:lang w:bidi="fa-IR"/>
        </w:rPr>
        <w:t xml:space="preserve"> ، وَكُفُّوا‌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40093D">
        <w:rPr>
          <w:rtl/>
        </w:rPr>
        <w:t>التهذيب</w:t>
      </w:r>
      <w:r w:rsidR="00744A1C">
        <w:rPr>
          <w:rtl/>
          <w:lang w:bidi="fa-IR"/>
        </w:rPr>
        <w:t xml:space="preserve"> : « إذا أراد أن يبعث » بدل « إذا بعث ».</w:t>
      </w:r>
    </w:p>
    <w:tbl>
      <w:tblPr>
        <w:tblStyle w:val="TableGrid"/>
        <w:bidiVisual/>
        <w:tblW w:w="0" w:type="auto"/>
        <w:tblLook w:val="04A0" w:firstRow="1" w:lastRow="0" w:firstColumn="1" w:lastColumn="0" w:noHBand="0" w:noVBand="1"/>
      </w:tblPr>
      <w:tblGrid>
        <w:gridCol w:w="3764"/>
        <w:gridCol w:w="4248"/>
      </w:tblGrid>
      <w:tr w:rsidR="0040093D" w:rsidTr="0040093D">
        <w:tc>
          <w:tcPr>
            <w:tcW w:w="3764" w:type="dxa"/>
          </w:tcPr>
          <w:p w:rsidR="0040093D" w:rsidRDefault="0040093D" w:rsidP="00E378DD">
            <w:pPr>
              <w:pStyle w:val="libFootnote0"/>
              <w:rPr>
                <w:rtl/>
                <w:lang w:bidi="fa-IR"/>
              </w:rPr>
            </w:pPr>
            <w:r>
              <w:rPr>
                <w:rtl/>
                <w:lang w:bidi="fa-IR"/>
              </w:rPr>
              <w:t xml:space="preserve">(2). في </w:t>
            </w:r>
            <w:r w:rsidRPr="0040093D">
              <w:rPr>
                <w:rtl/>
              </w:rPr>
              <w:t>التهذيب</w:t>
            </w:r>
            <w:r>
              <w:rPr>
                <w:rtl/>
                <w:lang w:bidi="fa-IR"/>
              </w:rPr>
              <w:t xml:space="preserve"> : - « له ».</w:t>
            </w:r>
          </w:p>
        </w:tc>
        <w:tc>
          <w:tcPr>
            <w:tcW w:w="4248" w:type="dxa"/>
          </w:tcPr>
          <w:p w:rsidR="0040093D" w:rsidRDefault="0040093D" w:rsidP="00E378DD">
            <w:pPr>
              <w:pStyle w:val="libFootnote0"/>
              <w:rPr>
                <w:rtl/>
                <w:lang w:bidi="fa-IR"/>
              </w:rPr>
            </w:pPr>
            <w:r>
              <w:rPr>
                <w:rtl/>
                <w:lang w:bidi="fa-IR"/>
              </w:rPr>
              <w:t>(3).في«بث،بف»</w:t>
            </w:r>
            <w:r w:rsidRPr="0040093D">
              <w:rPr>
                <w:rtl/>
              </w:rPr>
              <w:t>والوافي</w:t>
            </w:r>
            <w:r>
              <w:rPr>
                <w:rtl/>
                <w:lang w:bidi="fa-IR"/>
              </w:rPr>
              <w:t>: «قال له». وفي «جت»:+«له».</w:t>
            </w:r>
          </w:p>
        </w:tc>
      </w:tr>
    </w:tbl>
    <w:p w:rsidR="00744A1C" w:rsidRDefault="00E378DD" w:rsidP="00E378DD">
      <w:pPr>
        <w:pStyle w:val="libFootnote0"/>
        <w:rPr>
          <w:lang w:bidi="fa-IR"/>
        </w:rPr>
      </w:pPr>
      <w:r>
        <w:rPr>
          <w:rtl/>
          <w:lang w:bidi="fa-IR"/>
        </w:rPr>
        <w:t>(4).</w:t>
      </w:r>
      <w:r w:rsidR="00744A1C">
        <w:rPr>
          <w:rtl/>
          <w:lang w:bidi="fa-IR"/>
        </w:rPr>
        <w:t xml:space="preserve"> هكذا في « ى ، بح ، بف </w:t>
      </w:r>
      <w:r w:rsidR="00744A1C" w:rsidRPr="0040093D">
        <w:rPr>
          <w:rtl/>
        </w:rPr>
        <w:t>» والوافي والبحار والتهذيب</w:t>
      </w:r>
      <w:r w:rsidR="00744A1C">
        <w:rPr>
          <w:rtl/>
          <w:lang w:bidi="fa-IR"/>
        </w:rPr>
        <w:t>. وفي سائر النسخ والمطبوع : « اغز ».</w:t>
      </w:r>
    </w:p>
    <w:p w:rsidR="00744A1C" w:rsidRDefault="00E378DD" w:rsidP="00E378DD">
      <w:pPr>
        <w:pStyle w:val="libFootnote0"/>
        <w:rPr>
          <w:lang w:bidi="fa-IR"/>
        </w:rPr>
      </w:pPr>
      <w:r>
        <w:rPr>
          <w:rtl/>
          <w:lang w:bidi="fa-IR"/>
        </w:rPr>
        <w:t>(5).</w:t>
      </w:r>
      <w:r w:rsidR="00744A1C">
        <w:rPr>
          <w:rtl/>
          <w:lang w:bidi="fa-IR"/>
        </w:rPr>
        <w:t xml:space="preserve"> في « ى ، بس » : « وقاتلوا ».</w:t>
      </w:r>
    </w:p>
    <w:p w:rsidR="00744A1C" w:rsidRDefault="00E378DD" w:rsidP="00E378DD">
      <w:pPr>
        <w:pStyle w:val="libFootnote0"/>
        <w:rPr>
          <w:lang w:bidi="fa-IR"/>
        </w:rPr>
      </w:pPr>
      <w:r>
        <w:rPr>
          <w:rtl/>
          <w:lang w:bidi="fa-IR"/>
        </w:rPr>
        <w:t>(6).</w:t>
      </w:r>
      <w:r w:rsidR="00744A1C">
        <w:rPr>
          <w:rtl/>
          <w:lang w:bidi="fa-IR"/>
        </w:rPr>
        <w:t xml:space="preserve"> هكذا في « ى ، بح ، بس ، بف ، جت ، جد » </w:t>
      </w:r>
      <w:r w:rsidR="00744A1C" w:rsidRPr="0040093D">
        <w:rPr>
          <w:rtl/>
        </w:rPr>
        <w:t>والوسائل والتهذيب</w:t>
      </w:r>
      <w:r w:rsidR="00744A1C">
        <w:rPr>
          <w:rtl/>
          <w:lang w:bidi="fa-IR"/>
        </w:rPr>
        <w:t>. وفي سائر النسخ التي قوبلت والمطبوع : « وتمثّلوا ».</w:t>
      </w:r>
    </w:p>
    <w:p w:rsidR="00744A1C" w:rsidRDefault="00E378DD" w:rsidP="00E378DD">
      <w:pPr>
        <w:pStyle w:val="libFootnote0"/>
        <w:rPr>
          <w:lang w:bidi="fa-IR"/>
        </w:rPr>
      </w:pPr>
      <w:r>
        <w:rPr>
          <w:rtl/>
          <w:lang w:bidi="fa-IR"/>
        </w:rPr>
        <w:t>(7).</w:t>
      </w:r>
      <w:r w:rsidR="00744A1C">
        <w:rPr>
          <w:rtl/>
          <w:lang w:bidi="fa-IR"/>
        </w:rPr>
        <w:t xml:space="preserve"> الوَليد : الصبيّ ، والعبد. والجمع : وِلدان ووَلَدَة. والوَليد : الصبيّة ، والأمة. والجمع : الوَلائد. </w:t>
      </w:r>
      <w:r w:rsidR="00744A1C" w:rsidRPr="00E978C3">
        <w:rPr>
          <w:rStyle w:val="libFootnoteBoldChar"/>
          <w:rtl/>
        </w:rPr>
        <w:t>الصحاح</w:t>
      </w:r>
      <w:r w:rsidR="00744A1C">
        <w:rPr>
          <w:rtl/>
          <w:lang w:bidi="fa-IR"/>
        </w:rPr>
        <w:t xml:space="preserve"> ، ج 2 ، ص 554 ( ولد ).</w:t>
      </w:r>
    </w:p>
    <w:p w:rsidR="00744A1C" w:rsidRDefault="00E378DD" w:rsidP="00E378DD">
      <w:pPr>
        <w:pStyle w:val="libFootnote0"/>
        <w:rPr>
          <w:lang w:bidi="fa-IR"/>
        </w:rPr>
      </w:pPr>
      <w:r>
        <w:rPr>
          <w:rtl/>
          <w:lang w:bidi="fa-IR"/>
        </w:rPr>
        <w:t>(8).</w:t>
      </w:r>
      <w:r w:rsidR="00744A1C">
        <w:rPr>
          <w:rtl/>
          <w:lang w:bidi="fa-IR"/>
        </w:rPr>
        <w:t xml:space="preserve"> التبتّل : الانقطاع عن الدنيا إلى الله. </w:t>
      </w:r>
      <w:r w:rsidR="00744A1C" w:rsidRPr="00E978C3">
        <w:rPr>
          <w:rStyle w:val="libFootnoteBoldChar"/>
          <w:rtl/>
        </w:rPr>
        <w:t>الصحاح</w:t>
      </w:r>
      <w:r w:rsidR="00744A1C">
        <w:rPr>
          <w:rtl/>
          <w:lang w:bidi="fa-IR"/>
        </w:rPr>
        <w:t xml:space="preserve"> ، ج 4 ، ص 1630 ( بتل ).</w:t>
      </w:r>
    </w:p>
    <w:p w:rsidR="00744A1C" w:rsidRDefault="00E378DD" w:rsidP="00E378DD">
      <w:pPr>
        <w:pStyle w:val="libFootnote0"/>
        <w:rPr>
          <w:lang w:bidi="fa-IR"/>
        </w:rPr>
      </w:pPr>
      <w:r>
        <w:rPr>
          <w:rtl/>
          <w:lang w:bidi="fa-IR"/>
        </w:rPr>
        <w:t>(9).</w:t>
      </w:r>
      <w:r w:rsidR="00744A1C">
        <w:rPr>
          <w:rtl/>
          <w:lang w:bidi="fa-IR"/>
        </w:rPr>
        <w:t xml:space="preserve"> الشاهق : الجبل المرتفع ، وكلّ ما رفع من بناء أو غيره. </w:t>
      </w:r>
      <w:r w:rsidR="00744A1C" w:rsidRPr="00877682">
        <w:rPr>
          <w:rStyle w:val="libFootnoteBoldChar"/>
          <w:rtl/>
        </w:rPr>
        <w:t>لسان العرب</w:t>
      </w:r>
      <w:r w:rsidR="00744A1C">
        <w:rPr>
          <w:rtl/>
          <w:lang w:bidi="fa-IR"/>
        </w:rPr>
        <w:t xml:space="preserve"> ، ج 10 ، ص 192 ( شهق ).</w:t>
      </w:r>
    </w:p>
    <w:p w:rsidR="00744A1C" w:rsidRDefault="00E378DD" w:rsidP="00E378DD">
      <w:pPr>
        <w:pStyle w:val="libFootnote0"/>
        <w:rPr>
          <w:lang w:bidi="fa-IR"/>
        </w:rPr>
      </w:pPr>
      <w:r>
        <w:rPr>
          <w:rtl/>
          <w:lang w:bidi="fa-IR"/>
        </w:rPr>
        <w:t>(10).</w:t>
      </w:r>
      <w:r w:rsidR="00744A1C">
        <w:rPr>
          <w:rtl/>
          <w:lang w:bidi="fa-IR"/>
        </w:rPr>
        <w:t xml:space="preserve"> العَقْر : ضرب قوائم البعير أو الشاة بالسيف ، وهو قائم. </w:t>
      </w:r>
      <w:r w:rsidR="00744A1C" w:rsidRPr="00877682">
        <w:rPr>
          <w:rStyle w:val="libFootnoteBoldChar"/>
          <w:rtl/>
        </w:rPr>
        <w:t>النهاية</w:t>
      </w:r>
      <w:r w:rsidR="00744A1C">
        <w:rPr>
          <w:rtl/>
          <w:lang w:bidi="fa-IR"/>
        </w:rPr>
        <w:t xml:space="preserve"> ، ج 3 ، ص 271 ( عقر ).</w:t>
      </w:r>
    </w:p>
    <w:tbl>
      <w:tblPr>
        <w:tblStyle w:val="TableGrid"/>
        <w:bidiVisual/>
        <w:tblW w:w="0" w:type="auto"/>
        <w:tblLook w:val="04A0" w:firstRow="1" w:lastRow="0" w:firstColumn="1" w:lastColumn="0" w:noHBand="0" w:noVBand="1"/>
      </w:tblPr>
      <w:tblGrid>
        <w:gridCol w:w="4006"/>
        <w:gridCol w:w="4006"/>
      </w:tblGrid>
      <w:tr w:rsidR="0040093D" w:rsidTr="0040093D">
        <w:tc>
          <w:tcPr>
            <w:tcW w:w="4006" w:type="dxa"/>
          </w:tcPr>
          <w:p w:rsidR="0040093D" w:rsidRDefault="0040093D" w:rsidP="00E378DD">
            <w:pPr>
              <w:pStyle w:val="libFootnote0"/>
              <w:rPr>
                <w:rtl/>
                <w:lang w:bidi="fa-IR"/>
              </w:rPr>
            </w:pPr>
            <w:r>
              <w:rPr>
                <w:rtl/>
                <w:lang w:bidi="fa-IR"/>
              </w:rPr>
              <w:t xml:space="preserve">(11). في </w:t>
            </w:r>
            <w:r w:rsidRPr="0040093D">
              <w:rPr>
                <w:rtl/>
              </w:rPr>
              <w:t>التهذيب</w:t>
            </w:r>
            <w:r>
              <w:rPr>
                <w:rtl/>
                <w:lang w:bidi="fa-IR"/>
              </w:rPr>
              <w:t xml:space="preserve"> : « ما ».</w:t>
            </w:r>
          </w:p>
        </w:tc>
        <w:tc>
          <w:tcPr>
            <w:tcW w:w="4006" w:type="dxa"/>
          </w:tcPr>
          <w:p w:rsidR="0040093D" w:rsidRDefault="0040093D" w:rsidP="00E378DD">
            <w:pPr>
              <w:pStyle w:val="libFootnote0"/>
              <w:rPr>
                <w:rtl/>
                <w:lang w:bidi="fa-IR"/>
              </w:rPr>
            </w:pPr>
            <w:r>
              <w:rPr>
                <w:rtl/>
                <w:lang w:bidi="fa-IR"/>
              </w:rPr>
              <w:t xml:space="preserve">(12). في </w:t>
            </w:r>
            <w:r w:rsidRPr="0040093D">
              <w:rPr>
                <w:rtl/>
              </w:rPr>
              <w:t>التهذيب</w:t>
            </w:r>
            <w:r>
              <w:rPr>
                <w:rtl/>
                <w:lang w:bidi="fa-IR"/>
              </w:rPr>
              <w:t xml:space="preserve"> : «من المشركين»بدل«للمسلمين».</w:t>
            </w:r>
          </w:p>
        </w:tc>
      </w:tr>
    </w:tbl>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المرآة</w:t>
      </w:r>
      <w:r w:rsidR="00744A1C">
        <w:rPr>
          <w:rtl/>
          <w:lang w:bidi="fa-IR"/>
        </w:rPr>
        <w:t xml:space="preserve"> : « لعلّ فيه تجوّزاً ؛ فإنّ قبول الهجرة فقط بدون الإسلام والجزية لا ينفع ».</w:t>
      </w:r>
    </w:p>
    <w:tbl>
      <w:tblPr>
        <w:tblStyle w:val="TableGrid"/>
        <w:bidiVisual/>
        <w:tblW w:w="0" w:type="auto"/>
        <w:tblLook w:val="04A0" w:firstRow="1" w:lastRow="0" w:firstColumn="1" w:lastColumn="0" w:noHBand="0" w:noVBand="1"/>
      </w:tblPr>
      <w:tblGrid>
        <w:gridCol w:w="4006"/>
        <w:gridCol w:w="4006"/>
      </w:tblGrid>
      <w:tr w:rsidR="0040093D" w:rsidTr="0040093D">
        <w:tc>
          <w:tcPr>
            <w:tcW w:w="4006" w:type="dxa"/>
          </w:tcPr>
          <w:p w:rsidR="0040093D" w:rsidRDefault="0040093D" w:rsidP="00E378DD">
            <w:pPr>
              <w:pStyle w:val="libFootnote0"/>
              <w:rPr>
                <w:rtl/>
                <w:lang w:bidi="fa-IR"/>
              </w:rPr>
            </w:pPr>
            <w:r>
              <w:rPr>
                <w:rtl/>
                <w:lang w:bidi="fa-IR"/>
              </w:rPr>
              <w:t xml:space="preserve">(14). في « بث ، بف » </w:t>
            </w:r>
            <w:r w:rsidRPr="0040093D">
              <w:rPr>
                <w:rtl/>
              </w:rPr>
              <w:t>والتهذيب</w:t>
            </w:r>
            <w:r>
              <w:rPr>
                <w:rtl/>
                <w:lang w:bidi="fa-IR"/>
              </w:rPr>
              <w:t xml:space="preserve"> : « فاقبل ».</w:t>
            </w:r>
          </w:p>
        </w:tc>
        <w:tc>
          <w:tcPr>
            <w:tcW w:w="4006" w:type="dxa"/>
          </w:tcPr>
          <w:p w:rsidR="0040093D" w:rsidRDefault="0040093D" w:rsidP="00E378DD">
            <w:pPr>
              <w:pStyle w:val="libFootnote0"/>
              <w:rPr>
                <w:rtl/>
                <w:lang w:bidi="fa-IR"/>
              </w:rPr>
            </w:pPr>
            <w:r>
              <w:rPr>
                <w:rtl/>
                <w:lang w:bidi="fa-IR"/>
              </w:rPr>
              <w:t xml:space="preserve">(15). في « بث ، بف » </w:t>
            </w:r>
            <w:r w:rsidRPr="0040093D">
              <w:rPr>
                <w:rtl/>
              </w:rPr>
              <w:t>والتهذيب</w:t>
            </w:r>
            <w:r>
              <w:rPr>
                <w:rtl/>
                <w:lang w:bidi="fa-IR"/>
              </w:rPr>
              <w:t xml:space="preserve"> : « وكفّ ».</w:t>
            </w:r>
          </w:p>
        </w:tc>
      </w:tr>
    </w:tbl>
    <w:p w:rsidR="00744A1C" w:rsidRDefault="00744A1C" w:rsidP="00D10E3C">
      <w:pPr>
        <w:pStyle w:val="libFootnote0"/>
        <w:rPr>
          <w:lang w:bidi="fa-IR"/>
        </w:rPr>
      </w:pPr>
      <w:r>
        <w:rPr>
          <w:rtl/>
          <w:lang w:bidi="fa-IR"/>
        </w:rPr>
        <w:t xml:space="preserve">(16) في « ى ، بح ، جت ، جد ، جن » </w:t>
      </w:r>
      <w:r w:rsidRPr="0040093D">
        <w:rPr>
          <w:rtl/>
        </w:rPr>
        <w:t>والبحار</w:t>
      </w:r>
      <w:r>
        <w:rPr>
          <w:rtl/>
          <w:lang w:bidi="fa-IR"/>
        </w:rPr>
        <w:t xml:space="preserve"> : « وادعوهم ».</w:t>
      </w:r>
    </w:p>
    <w:p w:rsidR="00744A1C" w:rsidRDefault="00744A1C" w:rsidP="00D10E3C">
      <w:pPr>
        <w:pStyle w:val="libFootnote0"/>
        <w:rPr>
          <w:lang w:bidi="fa-IR"/>
        </w:rPr>
      </w:pPr>
      <w:r>
        <w:rPr>
          <w:rtl/>
          <w:lang w:bidi="fa-IR"/>
        </w:rPr>
        <w:t>(17) في « بث ، بف » : « فاقبله ».</w:t>
      </w:r>
    </w:p>
    <w:p w:rsidR="00744A1C" w:rsidRDefault="00744A1C" w:rsidP="00D10E3C">
      <w:pPr>
        <w:pStyle w:val="libFootnote0"/>
        <w:rPr>
          <w:lang w:bidi="fa-IR"/>
        </w:rPr>
      </w:pPr>
      <w:r>
        <w:rPr>
          <w:rtl/>
          <w:lang w:bidi="fa-IR"/>
        </w:rPr>
        <w:t xml:space="preserve">(18) في </w:t>
      </w:r>
      <w:r w:rsidRPr="0040093D">
        <w:rPr>
          <w:rtl/>
        </w:rPr>
        <w:t>التهذيب</w:t>
      </w:r>
      <w:r>
        <w:rPr>
          <w:rtl/>
          <w:lang w:bidi="fa-IR"/>
        </w:rPr>
        <w:t xml:space="preserve"> : - « فإن دخلوا فيه فاقبلوه منهم ».</w:t>
      </w:r>
    </w:p>
    <w:p w:rsidR="006A5060" w:rsidRDefault="006A5060" w:rsidP="00D10E3C">
      <w:pPr>
        <w:pStyle w:val="libNormal"/>
        <w:rPr>
          <w:rtl/>
          <w:lang w:bidi="fa-IR"/>
        </w:rPr>
      </w:pPr>
      <w:r>
        <w:rPr>
          <w:rtl/>
          <w:lang w:bidi="fa-IR"/>
        </w:rPr>
        <w:br w:type="page"/>
      </w:r>
    </w:p>
    <w:p w:rsidR="00744A1C" w:rsidRDefault="00744A1C" w:rsidP="0040093D">
      <w:pPr>
        <w:pStyle w:val="libNormal0"/>
        <w:rPr>
          <w:lang w:bidi="fa-IR"/>
        </w:rPr>
      </w:pPr>
      <w:r>
        <w:rPr>
          <w:rtl/>
          <w:lang w:bidi="fa-IR"/>
        </w:rPr>
        <w:t xml:space="preserve">عَنْهُمْ </w:t>
      </w:r>
      <w:r w:rsidRPr="00D10E3C">
        <w:rPr>
          <w:rStyle w:val="libFootnotenumChar"/>
          <w:rtl/>
        </w:rPr>
        <w:t>(1)</w:t>
      </w:r>
      <w:r>
        <w:rPr>
          <w:rtl/>
          <w:lang w:bidi="fa-IR"/>
        </w:rPr>
        <w:t xml:space="preserve"> ؛ وَادْعُوهُمْ إِلَى الْهِجْرَةِ بَعْدَ الْإِسْلَامِ ، فَإِنْ فَعَلُوا ، فَاقْبَلُوا مِنْهُمْ ، وَكُفُّوا عَنْهُمْ </w:t>
      </w:r>
      <w:r w:rsidRPr="00D10E3C">
        <w:rPr>
          <w:rStyle w:val="libFootnotenumChar"/>
          <w:rtl/>
        </w:rPr>
        <w:t>(2)</w:t>
      </w:r>
      <w:r>
        <w:rPr>
          <w:rtl/>
          <w:lang w:bidi="fa-IR"/>
        </w:rPr>
        <w:t xml:space="preserve"> ، وَإِنْ أَبَوْا أَنْ يُهَاجِرُوا وَاخْتَارُوا دِيَارَهُمْ ، وَأَبَوْا أَنْ يَدْخُلُوا فِي دَارِ الْهِجْرَةِ ، كَانُوا بِمَنْزِلَةِ أَعْرَابِ الْمُؤْمِنِينَ </w:t>
      </w:r>
      <w:r w:rsidRPr="00D10E3C">
        <w:rPr>
          <w:rStyle w:val="libFootnotenumChar"/>
          <w:rtl/>
        </w:rPr>
        <w:t>(3)</w:t>
      </w:r>
      <w:r>
        <w:rPr>
          <w:rtl/>
          <w:lang w:bidi="fa-IR"/>
        </w:rPr>
        <w:t xml:space="preserve"> يَجْرِي عَلَيْهِمْ مَا يَجْرِي عَلى أَعْرَابِ الْمُؤْمِنِينَ ، وَلَا يَجْرِي </w:t>
      </w:r>
      <w:r w:rsidRPr="00D10E3C">
        <w:rPr>
          <w:rStyle w:val="libFootnotenumChar"/>
          <w:rtl/>
        </w:rPr>
        <w:t>(4)</w:t>
      </w:r>
      <w:r>
        <w:rPr>
          <w:rtl/>
          <w:lang w:bidi="fa-IR"/>
        </w:rPr>
        <w:t xml:space="preserve"> لَهُمْ فِي الْفَيْ‌ءِ وَلَا فِي الْقِسْمَةِ </w:t>
      </w:r>
      <w:r w:rsidRPr="00D10E3C">
        <w:rPr>
          <w:rStyle w:val="libFootnotenumChar"/>
          <w:rtl/>
        </w:rPr>
        <w:t>(5)</w:t>
      </w:r>
      <w:r>
        <w:rPr>
          <w:rtl/>
          <w:lang w:bidi="fa-IR"/>
        </w:rPr>
        <w:t xml:space="preserve"> شَيْ‌ءٌ </w:t>
      </w:r>
      <w:r w:rsidRPr="00D10E3C">
        <w:rPr>
          <w:rStyle w:val="libFootnotenumChar"/>
          <w:rtl/>
        </w:rPr>
        <w:t>(6)</w:t>
      </w:r>
      <w:r w:rsidR="00E50921">
        <w:rPr>
          <w:rtl/>
          <w:lang w:bidi="fa-IR"/>
        </w:rPr>
        <w:t xml:space="preserve"> إِل</w:t>
      </w:r>
      <w:r w:rsidR="00E50921">
        <w:rPr>
          <w:rFonts w:hint="cs"/>
          <w:rtl/>
          <w:lang w:bidi="fa-IR"/>
        </w:rPr>
        <w:t>َّ</w:t>
      </w:r>
      <w:r w:rsidR="00E50921">
        <w:rPr>
          <w:rtl/>
          <w:lang w:bidi="fa-IR"/>
        </w:rPr>
        <w:t>ا</w:t>
      </w:r>
      <w:r>
        <w:rPr>
          <w:rtl/>
          <w:lang w:bidi="fa-IR"/>
        </w:rPr>
        <w:t xml:space="preserve"> أَنْ يُهَاجِرُوا </w:t>
      </w:r>
      <w:r w:rsidRPr="00D10E3C">
        <w:rPr>
          <w:rStyle w:val="libFootnotenumChar"/>
          <w:rtl/>
        </w:rPr>
        <w:t>(7)</w:t>
      </w:r>
      <w:r>
        <w:rPr>
          <w:rtl/>
          <w:lang w:bidi="fa-IR"/>
        </w:rPr>
        <w:t xml:space="preserve"> فِي سَبِيلِ اللهِ ؛ فَإِنْ أَبَوْا هَاتَيْنِ </w:t>
      </w:r>
      <w:r w:rsidRPr="00D10E3C">
        <w:rPr>
          <w:rStyle w:val="libFootnotenumChar"/>
          <w:rtl/>
        </w:rPr>
        <w:t>(8)</w:t>
      </w:r>
      <w:r>
        <w:rPr>
          <w:rtl/>
          <w:lang w:bidi="fa-IR"/>
        </w:rPr>
        <w:t xml:space="preserve"> فَادْعُوهُمْ إِلى إِعْطَاءِ الْجِزْيَةِ عَنْ يَدٍ وَهُمْ صَاغِرُونَ ، فَإِنْ أَعْطَوُا الْجِزْيَةَ </w:t>
      </w:r>
      <w:r w:rsidRPr="00D10E3C">
        <w:rPr>
          <w:rStyle w:val="libFootnotenumChar"/>
          <w:rtl/>
        </w:rPr>
        <w:t>(9)</w:t>
      </w:r>
      <w:r>
        <w:rPr>
          <w:rtl/>
          <w:lang w:bidi="fa-IR"/>
        </w:rPr>
        <w:t xml:space="preserve"> ، فَاقْبَلْ مِنْهُمْ ، وَكُفَّ عَنْهُمْ ، وَإِنْ أَبَوْا ، فَاسْتَعِنِ اللهَ </w:t>
      </w:r>
      <w:r w:rsidRPr="00D10E3C">
        <w:rPr>
          <w:rStyle w:val="libFootnotenumChar"/>
          <w:rtl/>
        </w:rPr>
        <w:t>(10)</w:t>
      </w:r>
      <w:r>
        <w:rPr>
          <w:rtl/>
          <w:lang w:bidi="fa-IR"/>
        </w:rPr>
        <w:t xml:space="preserve"> - عَزَّ وَجَلَّ - عَلَيْهِمْ ، وَجَاهِدْهُمْ فِي اللهِ حَقَّ جِهَادِهِ ؛ وَإِذَا </w:t>
      </w:r>
      <w:r w:rsidRPr="00D10E3C">
        <w:rPr>
          <w:rStyle w:val="libFootnotenumChar"/>
          <w:rtl/>
        </w:rPr>
        <w:t>(11)</w:t>
      </w:r>
      <w:r>
        <w:rPr>
          <w:rtl/>
          <w:lang w:bidi="fa-IR"/>
        </w:rPr>
        <w:t xml:space="preserve"> ‌حَاصَرْتَ أَهْلَ حِصْنٍ </w:t>
      </w:r>
      <w:r w:rsidRPr="00D10E3C">
        <w:rPr>
          <w:rStyle w:val="libFootnotenumChar"/>
          <w:rtl/>
        </w:rPr>
        <w:t>(12)</w:t>
      </w:r>
      <w:r>
        <w:rPr>
          <w:rtl/>
          <w:lang w:bidi="fa-IR"/>
        </w:rPr>
        <w:t xml:space="preserve"> ، فَأَرَادُوكَ </w:t>
      </w:r>
      <w:r w:rsidRPr="00D10E3C">
        <w:rPr>
          <w:rStyle w:val="libFootnotenumChar"/>
          <w:rtl/>
        </w:rPr>
        <w:t>(13)</w:t>
      </w:r>
      <w:r>
        <w:rPr>
          <w:rtl/>
          <w:lang w:bidi="fa-IR"/>
        </w:rPr>
        <w:t xml:space="preserve"> عَلى </w:t>
      </w:r>
      <w:r w:rsidRPr="00D10E3C">
        <w:rPr>
          <w:rStyle w:val="libFootnotenumChar"/>
          <w:rtl/>
        </w:rPr>
        <w:t>(14)</w:t>
      </w:r>
      <w:r>
        <w:rPr>
          <w:rtl/>
          <w:lang w:bidi="fa-IR"/>
        </w:rPr>
        <w:t xml:space="preserve"> أَنْ يَنْزِلُوا عَلى حُكْمِ اللهِ عَزَّ وَجَلَّ ، فَلَا تَنْزِلْ لَهُمْ </w:t>
      </w:r>
      <w:r w:rsidRPr="00D10E3C">
        <w:rPr>
          <w:rStyle w:val="libFootnotenumChar"/>
          <w:rtl/>
        </w:rPr>
        <w:t>(15)</w:t>
      </w:r>
      <w:r>
        <w:rPr>
          <w:rtl/>
          <w:lang w:bidi="fa-IR"/>
        </w:rPr>
        <w:t xml:space="preserve"> ، وَلكِنْ أَنْزِلْهُمْ عَلى </w:t>
      </w:r>
      <w:r w:rsidRPr="00D10E3C">
        <w:rPr>
          <w:rStyle w:val="libFootnotenumChar"/>
          <w:rtl/>
        </w:rPr>
        <w:t>(16)</w:t>
      </w:r>
      <w:r>
        <w:rPr>
          <w:rtl/>
          <w:lang w:bidi="fa-IR"/>
        </w:rPr>
        <w:t xml:space="preserve"> حُكْمِكُمْ </w:t>
      </w:r>
      <w:r w:rsidRPr="00D10E3C">
        <w:rPr>
          <w:rStyle w:val="libFootnotenumChar"/>
          <w:rtl/>
        </w:rPr>
        <w:t>(17)</w:t>
      </w:r>
      <w:r>
        <w:rPr>
          <w:rtl/>
          <w:lang w:bidi="fa-IR"/>
        </w:rPr>
        <w:t xml:space="preserve"> ، ثُمَّ اقْضِ فِيهِمْ بَعْدُ مَا </w:t>
      </w:r>
      <w:r w:rsidRPr="00D10E3C">
        <w:rPr>
          <w:rStyle w:val="libFootnotenumChar"/>
          <w:rtl/>
        </w:rPr>
        <w:t>(18)</w:t>
      </w:r>
      <w:r>
        <w:rPr>
          <w:rtl/>
          <w:lang w:bidi="fa-IR"/>
        </w:rPr>
        <w:t xml:space="preserve"> شِئْتُمْ ؛ فَإِنَّكُمْ إِنْ تَرَكْتُمُوهُمْ </w:t>
      </w:r>
      <w:r w:rsidRPr="00D10E3C">
        <w:rPr>
          <w:rStyle w:val="libFootnotenumChar"/>
          <w:rtl/>
        </w:rPr>
        <w:t>(19)</w:t>
      </w:r>
      <w:r>
        <w:rPr>
          <w:rtl/>
          <w:lang w:bidi="fa-IR"/>
        </w:rPr>
        <w:t xml:space="preserve"> عَلى حُكْمِ اللهِ </w:t>
      </w:r>
      <w:r w:rsidRPr="00D10E3C">
        <w:rPr>
          <w:rStyle w:val="libFootnotenumChar"/>
          <w:rtl/>
        </w:rPr>
        <w:t>(20)</w:t>
      </w:r>
      <w:r>
        <w:rPr>
          <w:rtl/>
          <w:lang w:bidi="fa-IR"/>
        </w:rPr>
        <w:t xml:space="preserve"> ، لَمْ تَدْرُوا تُصِيبُوا </w:t>
      </w:r>
      <w:r w:rsidRPr="00D10E3C">
        <w:rPr>
          <w:rStyle w:val="libFootnotenumChar"/>
          <w:rtl/>
        </w:rPr>
        <w:t>(21)</w:t>
      </w:r>
      <w:r>
        <w:rPr>
          <w:rtl/>
          <w:lang w:bidi="fa-IR"/>
        </w:rPr>
        <w:t xml:space="preserve"> حُكْمَ اللهِ فِيهِمْ ، أَمْ لَا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بف » </w:t>
      </w:r>
      <w:r w:rsidR="00744A1C" w:rsidRPr="00D733AF">
        <w:rPr>
          <w:rtl/>
        </w:rPr>
        <w:t>والتهذيب</w:t>
      </w:r>
      <w:r w:rsidR="00744A1C">
        <w:rPr>
          <w:rtl/>
          <w:lang w:bidi="fa-IR"/>
        </w:rPr>
        <w:t xml:space="preserve"> : « وكفّ ».</w:t>
      </w:r>
    </w:p>
    <w:p w:rsidR="00744A1C" w:rsidRDefault="00E378DD" w:rsidP="00E378DD">
      <w:pPr>
        <w:pStyle w:val="libFootnote0"/>
        <w:rPr>
          <w:lang w:bidi="fa-IR"/>
        </w:rPr>
      </w:pPr>
      <w:r>
        <w:rPr>
          <w:rtl/>
          <w:lang w:bidi="fa-IR"/>
        </w:rPr>
        <w:t>(2).</w:t>
      </w:r>
      <w:r w:rsidR="00744A1C">
        <w:rPr>
          <w:rtl/>
          <w:lang w:bidi="fa-IR"/>
        </w:rPr>
        <w:t xml:space="preserve"> في « بث ، بف » </w:t>
      </w:r>
      <w:r w:rsidR="00744A1C" w:rsidRPr="00D733AF">
        <w:rPr>
          <w:rtl/>
        </w:rPr>
        <w:t>والتهذيب</w:t>
      </w:r>
      <w:r w:rsidR="00744A1C">
        <w:rPr>
          <w:rtl/>
          <w:lang w:bidi="fa-IR"/>
        </w:rPr>
        <w:t xml:space="preserve"> : « فاقبل منهم وكفّ عنهم ».</w:t>
      </w:r>
    </w:p>
    <w:tbl>
      <w:tblPr>
        <w:tblStyle w:val="TableGrid"/>
        <w:bidiVisual/>
        <w:tblW w:w="0" w:type="auto"/>
        <w:tblLook w:val="04A0" w:firstRow="1" w:lastRow="0" w:firstColumn="1" w:lastColumn="0" w:noHBand="0" w:noVBand="1"/>
      </w:tblPr>
      <w:tblGrid>
        <w:gridCol w:w="4006"/>
        <w:gridCol w:w="4006"/>
      </w:tblGrid>
      <w:tr w:rsidR="00D733AF" w:rsidTr="00D733AF">
        <w:tc>
          <w:tcPr>
            <w:tcW w:w="4006" w:type="dxa"/>
          </w:tcPr>
          <w:p w:rsidR="00D733AF" w:rsidRDefault="00D733AF" w:rsidP="00E378DD">
            <w:pPr>
              <w:pStyle w:val="libFootnote0"/>
              <w:rPr>
                <w:rtl/>
                <w:lang w:bidi="fa-IR"/>
              </w:rPr>
            </w:pPr>
            <w:r>
              <w:rPr>
                <w:rtl/>
                <w:lang w:bidi="fa-IR"/>
              </w:rPr>
              <w:t>(3). في « بس » : « المسلمين ».</w:t>
            </w:r>
          </w:p>
        </w:tc>
        <w:tc>
          <w:tcPr>
            <w:tcW w:w="4006" w:type="dxa"/>
          </w:tcPr>
          <w:p w:rsidR="00D733AF" w:rsidRDefault="00D733AF" w:rsidP="00E378DD">
            <w:pPr>
              <w:pStyle w:val="libFootnote0"/>
              <w:rPr>
                <w:rtl/>
                <w:lang w:bidi="fa-IR"/>
              </w:rPr>
            </w:pPr>
            <w:r>
              <w:rPr>
                <w:rtl/>
                <w:lang w:bidi="fa-IR"/>
              </w:rPr>
              <w:t xml:space="preserve">(4). في </w:t>
            </w:r>
            <w:r w:rsidRPr="00D733AF">
              <w:rPr>
                <w:rtl/>
              </w:rPr>
              <w:t>التهذيب</w:t>
            </w:r>
            <w:r>
              <w:rPr>
                <w:rtl/>
                <w:lang w:bidi="fa-IR"/>
              </w:rPr>
              <w:t xml:space="preserve"> : « ولا تجري ».</w:t>
            </w:r>
          </w:p>
        </w:tc>
      </w:tr>
    </w:tbl>
    <w:p w:rsidR="00744A1C" w:rsidRDefault="00E378DD" w:rsidP="00E378DD">
      <w:pPr>
        <w:pStyle w:val="libFootnote0"/>
        <w:rPr>
          <w:lang w:bidi="fa-IR"/>
        </w:rPr>
      </w:pPr>
      <w:r>
        <w:rPr>
          <w:rtl/>
          <w:lang w:bidi="fa-IR"/>
        </w:rPr>
        <w:t>(5).</w:t>
      </w:r>
      <w:r w:rsidR="00744A1C">
        <w:rPr>
          <w:rtl/>
          <w:lang w:bidi="fa-IR"/>
        </w:rPr>
        <w:t xml:space="preserve"> في </w:t>
      </w:r>
      <w:r w:rsidR="00744A1C" w:rsidRPr="00D733AF">
        <w:rPr>
          <w:rtl/>
        </w:rPr>
        <w:t>الوافي والتهذيب</w:t>
      </w:r>
      <w:r w:rsidR="00744A1C">
        <w:rPr>
          <w:rtl/>
          <w:lang w:bidi="fa-IR"/>
        </w:rPr>
        <w:t xml:space="preserve"> : « من القسمة » بدل « ولا في القسمة ».</w:t>
      </w:r>
    </w:p>
    <w:p w:rsidR="00744A1C" w:rsidRDefault="00E378DD" w:rsidP="00E378DD">
      <w:pPr>
        <w:pStyle w:val="libFootnote0"/>
        <w:rPr>
          <w:lang w:bidi="fa-IR"/>
        </w:rPr>
      </w:pPr>
      <w:r>
        <w:rPr>
          <w:rtl/>
          <w:lang w:bidi="fa-IR"/>
        </w:rPr>
        <w:t>(6).</w:t>
      </w:r>
      <w:r w:rsidR="00744A1C">
        <w:rPr>
          <w:rtl/>
          <w:lang w:bidi="fa-IR"/>
        </w:rPr>
        <w:t xml:space="preserve"> في « بث ، بح ، بف » </w:t>
      </w:r>
      <w:r w:rsidR="00744A1C" w:rsidRPr="00D733AF">
        <w:rPr>
          <w:rtl/>
        </w:rPr>
        <w:t>والتهذيب</w:t>
      </w:r>
      <w:r w:rsidR="00744A1C">
        <w:rPr>
          <w:rtl/>
          <w:lang w:bidi="fa-IR"/>
        </w:rPr>
        <w:t xml:space="preserve"> : « شيئاً ».</w:t>
      </w:r>
    </w:p>
    <w:p w:rsidR="00744A1C" w:rsidRDefault="00E378DD" w:rsidP="00E378DD">
      <w:pPr>
        <w:pStyle w:val="libFootnote0"/>
        <w:rPr>
          <w:lang w:bidi="fa-IR"/>
        </w:rPr>
      </w:pPr>
      <w:r>
        <w:rPr>
          <w:rtl/>
          <w:lang w:bidi="fa-IR"/>
        </w:rPr>
        <w:t>(7).</w:t>
      </w:r>
      <w:r w:rsidR="00744A1C">
        <w:rPr>
          <w:rtl/>
          <w:lang w:bidi="fa-IR"/>
        </w:rPr>
        <w:t xml:space="preserve"> في « جن » </w:t>
      </w:r>
      <w:r w:rsidR="00744A1C" w:rsidRPr="00D733AF">
        <w:rPr>
          <w:rtl/>
        </w:rPr>
        <w:t>والتهذيب</w:t>
      </w:r>
      <w:r w:rsidR="00744A1C">
        <w:rPr>
          <w:rtl/>
          <w:lang w:bidi="fa-IR"/>
        </w:rPr>
        <w:t xml:space="preserve"> : « أن يجاهدوا ».</w:t>
      </w:r>
    </w:p>
    <w:tbl>
      <w:tblPr>
        <w:tblStyle w:val="TableGrid"/>
        <w:bidiVisual/>
        <w:tblW w:w="0" w:type="auto"/>
        <w:tblLook w:val="04A0" w:firstRow="1" w:lastRow="0" w:firstColumn="1" w:lastColumn="0" w:noHBand="0" w:noVBand="1"/>
      </w:tblPr>
      <w:tblGrid>
        <w:gridCol w:w="4006"/>
        <w:gridCol w:w="4006"/>
      </w:tblGrid>
      <w:tr w:rsidR="00D733AF" w:rsidTr="00D733AF">
        <w:tc>
          <w:tcPr>
            <w:tcW w:w="4006" w:type="dxa"/>
          </w:tcPr>
          <w:p w:rsidR="00D733AF" w:rsidRDefault="00D733AF" w:rsidP="00E378DD">
            <w:pPr>
              <w:pStyle w:val="libFootnote0"/>
              <w:rPr>
                <w:rtl/>
                <w:lang w:bidi="fa-IR"/>
              </w:rPr>
            </w:pPr>
            <w:r>
              <w:rPr>
                <w:rtl/>
                <w:lang w:bidi="fa-IR"/>
              </w:rPr>
              <w:t xml:space="preserve">(8). في </w:t>
            </w:r>
            <w:r w:rsidRPr="00C24F9C">
              <w:rPr>
                <w:rStyle w:val="libFootnoteBoldChar"/>
                <w:rtl/>
              </w:rPr>
              <w:t>الوافي</w:t>
            </w:r>
            <w:r>
              <w:rPr>
                <w:rtl/>
                <w:lang w:bidi="fa-IR"/>
              </w:rPr>
              <w:t xml:space="preserve"> : « يعني إن لم يسلموا ».</w:t>
            </w:r>
          </w:p>
        </w:tc>
        <w:tc>
          <w:tcPr>
            <w:tcW w:w="4006" w:type="dxa"/>
          </w:tcPr>
          <w:p w:rsidR="00D733AF" w:rsidRDefault="00D733AF" w:rsidP="00E378DD">
            <w:pPr>
              <w:pStyle w:val="libFootnote0"/>
              <w:rPr>
                <w:rtl/>
                <w:lang w:bidi="fa-IR"/>
              </w:rPr>
            </w:pPr>
            <w:r>
              <w:rPr>
                <w:rtl/>
                <w:lang w:bidi="fa-IR"/>
              </w:rPr>
              <w:t>(9). في « بث » : - « الجزية ».</w:t>
            </w:r>
          </w:p>
        </w:tc>
      </w:tr>
    </w:tbl>
    <w:p w:rsidR="00744A1C" w:rsidRDefault="00E378DD" w:rsidP="00E378DD">
      <w:pPr>
        <w:pStyle w:val="libFootnote0"/>
        <w:rPr>
          <w:lang w:bidi="fa-IR"/>
        </w:rPr>
      </w:pPr>
      <w:r>
        <w:rPr>
          <w:rtl/>
          <w:lang w:bidi="fa-IR"/>
        </w:rPr>
        <w:t>(10).</w:t>
      </w:r>
      <w:r w:rsidR="00744A1C">
        <w:rPr>
          <w:rtl/>
          <w:lang w:bidi="fa-IR"/>
        </w:rPr>
        <w:t xml:space="preserve"> في « بف ، جت » وحاشية « بث » </w:t>
      </w:r>
      <w:r w:rsidR="00744A1C" w:rsidRPr="00D733AF">
        <w:rPr>
          <w:rtl/>
        </w:rPr>
        <w:t>والوافي والوسائل والتهذيب</w:t>
      </w:r>
      <w:r w:rsidR="00744A1C">
        <w:rPr>
          <w:rtl/>
          <w:lang w:bidi="fa-IR"/>
        </w:rPr>
        <w:t xml:space="preserve"> : « بالله ».</w:t>
      </w:r>
    </w:p>
    <w:p w:rsidR="00744A1C" w:rsidRDefault="00E378DD" w:rsidP="00E378DD">
      <w:pPr>
        <w:pStyle w:val="libFootnote0"/>
        <w:rPr>
          <w:lang w:bidi="fa-IR"/>
        </w:rPr>
      </w:pPr>
      <w:r>
        <w:rPr>
          <w:rtl/>
          <w:lang w:bidi="fa-IR"/>
        </w:rPr>
        <w:t>(11).</w:t>
      </w:r>
      <w:r w:rsidR="00744A1C">
        <w:rPr>
          <w:rtl/>
          <w:lang w:bidi="fa-IR"/>
        </w:rPr>
        <w:t xml:space="preserve"> في « جت » : « وإن ». وفي </w:t>
      </w:r>
      <w:r w:rsidR="00744A1C" w:rsidRPr="00D733AF">
        <w:rPr>
          <w:rtl/>
        </w:rPr>
        <w:t>الوافي والتهذيب</w:t>
      </w:r>
      <w:r w:rsidR="00744A1C">
        <w:rPr>
          <w:rtl/>
          <w:lang w:bidi="fa-IR"/>
        </w:rPr>
        <w:t xml:space="preserve"> : « فإذا ».</w:t>
      </w:r>
    </w:p>
    <w:p w:rsidR="00744A1C" w:rsidRDefault="00E378DD" w:rsidP="00E378DD">
      <w:pPr>
        <w:pStyle w:val="libFootnote0"/>
        <w:rPr>
          <w:lang w:bidi="fa-IR"/>
        </w:rPr>
      </w:pPr>
      <w:r>
        <w:rPr>
          <w:rtl/>
          <w:lang w:bidi="fa-IR"/>
        </w:rPr>
        <w:t>(12).</w:t>
      </w:r>
      <w:r w:rsidR="00744A1C">
        <w:rPr>
          <w:rtl/>
          <w:lang w:bidi="fa-IR"/>
        </w:rPr>
        <w:t xml:space="preserve"> في « ى ، بح ، بس ، جت ، جد ، جن » </w:t>
      </w:r>
      <w:r w:rsidR="00744A1C" w:rsidRPr="00D733AF">
        <w:rPr>
          <w:rtl/>
        </w:rPr>
        <w:t>والبحار</w:t>
      </w:r>
      <w:r w:rsidR="00744A1C">
        <w:rPr>
          <w:rtl/>
          <w:lang w:bidi="fa-IR"/>
        </w:rPr>
        <w:t xml:space="preserve"> : « الحصن ».</w:t>
      </w:r>
    </w:p>
    <w:tbl>
      <w:tblPr>
        <w:tblStyle w:val="TableGrid"/>
        <w:bidiVisual/>
        <w:tblW w:w="0" w:type="auto"/>
        <w:tblLook w:val="04A0" w:firstRow="1" w:lastRow="0" w:firstColumn="1" w:lastColumn="0" w:noHBand="0" w:noVBand="1"/>
      </w:tblPr>
      <w:tblGrid>
        <w:gridCol w:w="4006"/>
        <w:gridCol w:w="4006"/>
      </w:tblGrid>
      <w:tr w:rsidR="00D733AF" w:rsidTr="00D733AF">
        <w:tc>
          <w:tcPr>
            <w:tcW w:w="4006" w:type="dxa"/>
          </w:tcPr>
          <w:p w:rsidR="00D733AF" w:rsidRDefault="00D733AF" w:rsidP="00E378DD">
            <w:pPr>
              <w:pStyle w:val="libFootnote0"/>
              <w:rPr>
                <w:rtl/>
                <w:lang w:bidi="fa-IR"/>
              </w:rPr>
            </w:pPr>
            <w:r>
              <w:rPr>
                <w:rtl/>
                <w:lang w:bidi="fa-IR"/>
              </w:rPr>
              <w:t>(13). في « بس » : « فأرادوا ».</w:t>
            </w:r>
          </w:p>
        </w:tc>
        <w:tc>
          <w:tcPr>
            <w:tcW w:w="4006" w:type="dxa"/>
          </w:tcPr>
          <w:p w:rsidR="00D733AF" w:rsidRDefault="00D733AF" w:rsidP="00E378DD">
            <w:pPr>
              <w:pStyle w:val="libFootnote0"/>
              <w:rPr>
                <w:rtl/>
                <w:lang w:bidi="fa-IR"/>
              </w:rPr>
            </w:pPr>
            <w:r>
              <w:rPr>
                <w:rtl/>
                <w:lang w:bidi="fa-IR"/>
              </w:rPr>
              <w:t xml:space="preserve">(14). في </w:t>
            </w:r>
            <w:r w:rsidRPr="00D733AF">
              <w:rPr>
                <w:rtl/>
              </w:rPr>
              <w:t>التهذيب</w:t>
            </w:r>
            <w:r>
              <w:rPr>
                <w:rtl/>
                <w:lang w:bidi="fa-IR"/>
              </w:rPr>
              <w:t xml:space="preserve"> : - « على ».</w:t>
            </w:r>
          </w:p>
        </w:tc>
      </w:tr>
    </w:tbl>
    <w:p w:rsidR="00744A1C" w:rsidRDefault="00E378DD" w:rsidP="00E378DD">
      <w:pPr>
        <w:pStyle w:val="libFootnote0"/>
        <w:rPr>
          <w:lang w:bidi="fa-IR"/>
        </w:rPr>
      </w:pPr>
      <w:r>
        <w:rPr>
          <w:rtl/>
          <w:lang w:bidi="fa-IR"/>
        </w:rPr>
        <w:t>(15).</w:t>
      </w:r>
      <w:r w:rsidR="00744A1C">
        <w:rPr>
          <w:rtl/>
          <w:lang w:bidi="fa-IR"/>
        </w:rPr>
        <w:t xml:space="preserve"> في « بف » </w:t>
      </w:r>
      <w:r w:rsidR="00744A1C" w:rsidRPr="00D733AF">
        <w:rPr>
          <w:rtl/>
        </w:rPr>
        <w:t>والوافي والتهذيب</w:t>
      </w:r>
      <w:r w:rsidR="00744A1C">
        <w:rPr>
          <w:rtl/>
          <w:lang w:bidi="fa-IR"/>
        </w:rPr>
        <w:t xml:space="preserve"> : « فلا تنزلهم ». وفي </w:t>
      </w:r>
      <w:r w:rsidR="00744A1C" w:rsidRPr="00D733AF">
        <w:rPr>
          <w:rtl/>
        </w:rPr>
        <w:t>الوسائل والبحار</w:t>
      </w:r>
      <w:r w:rsidR="00744A1C">
        <w:rPr>
          <w:rtl/>
          <w:lang w:bidi="fa-IR"/>
        </w:rPr>
        <w:t xml:space="preserve"> : « بهم ».</w:t>
      </w:r>
    </w:p>
    <w:p w:rsidR="00744A1C" w:rsidRDefault="00744A1C" w:rsidP="00D10E3C">
      <w:pPr>
        <w:pStyle w:val="libFootnote0"/>
        <w:rPr>
          <w:lang w:bidi="fa-IR"/>
        </w:rPr>
      </w:pPr>
      <w:r>
        <w:rPr>
          <w:rtl/>
          <w:lang w:bidi="fa-IR"/>
        </w:rPr>
        <w:t>(16) في « جن » : « أنزلوا على » بدل « أنزلهم على ».</w:t>
      </w:r>
    </w:p>
    <w:p w:rsidR="00744A1C" w:rsidRDefault="00744A1C" w:rsidP="00D10E3C">
      <w:pPr>
        <w:pStyle w:val="libFootnote0"/>
        <w:rPr>
          <w:lang w:bidi="fa-IR"/>
        </w:rPr>
      </w:pPr>
      <w:r>
        <w:rPr>
          <w:rtl/>
          <w:lang w:bidi="fa-IR"/>
        </w:rPr>
        <w:t xml:space="preserve">(17) في « بث » وحاشية « جت » : « حكمهم ». وفي « بف » : « حكمك ». وفي </w:t>
      </w:r>
      <w:r w:rsidRPr="00D733AF">
        <w:rPr>
          <w:rtl/>
        </w:rPr>
        <w:t>الوافي والتهذيب</w:t>
      </w:r>
      <w:r>
        <w:rPr>
          <w:rtl/>
          <w:lang w:bidi="fa-IR"/>
        </w:rPr>
        <w:t xml:space="preserve"> : « حكمي ».</w:t>
      </w:r>
    </w:p>
    <w:tbl>
      <w:tblPr>
        <w:tblStyle w:val="TableGrid"/>
        <w:bidiVisual/>
        <w:tblW w:w="0" w:type="auto"/>
        <w:tblLook w:val="04A0" w:firstRow="1" w:lastRow="0" w:firstColumn="1" w:lastColumn="0" w:noHBand="0" w:noVBand="1"/>
      </w:tblPr>
      <w:tblGrid>
        <w:gridCol w:w="4006"/>
        <w:gridCol w:w="4006"/>
      </w:tblGrid>
      <w:tr w:rsidR="00D733AF" w:rsidTr="00D733AF">
        <w:tc>
          <w:tcPr>
            <w:tcW w:w="4006" w:type="dxa"/>
          </w:tcPr>
          <w:p w:rsidR="00D733AF" w:rsidRDefault="00D733AF" w:rsidP="00D10E3C">
            <w:pPr>
              <w:pStyle w:val="libFootnote0"/>
              <w:rPr>
                <w:rtl/>
                <w:lang w:bidi="fa-IR"/>
              </w:rPr>
            </w:pPr>
            <w:r>
              <w:rPr>
                <w:rtl/>
                <w:lang w:bidi="fa-IR"/>
              </w:rPr>
              <w:t xml:space="preserve">(18) </w:t>
            </w:r>
            <w:r w:rsidRPr="008C6290">
              <w:rPr>
                <w:rtl/>
              </w:rPr>
              <w:t>في الوافي والتهذيب</w:t>
            </w:r>
            <w:r>
              <w:rPr>
                <w:rtl/>
                <w:lang w:bidi="fa-IR"/>
              </w:rPr>
              <w:t xml:space="preserve"> : « بما ».</w:t>
            </w:r>
          </w:p>
        </w:tc>
        <w:tc>
          <w:tcPr>
            <w:tcW w:w="4006" w:type="dxa"/>
          </w:tcPr>
          <w:p w:rsidR="00D733AF" w:rsidRDefault="00D733AF" w:rsidP="00D10E3C">
            <w:pPr>
              <w:pStyle w:val="libFootnote0"/>
              <w:rPr>
                <w:rtl/>
                <w:lang w:bidi="fa-IR"/>
              </w:rPr>
            </w:pPr>
            <w:r>
              <w:rPr>
                <w:rtl/>
                <w:lang w:bidi="fa-IR"/>
              </w:rPr>
              <w:t xml:space="preserve">(19) في </w:t>
            </w:r>
            <w:r w:rsidRPr="008C6290">
              <w:rPr>
                <w:rtl/>
              </w:rPr>
              <w:t>الوافي والوسائل</w:t>
            </w:r>
            <w:r>
              <w:rPr>
                <w:rtl/>
                <w:lang w:bidi="fa-IR"/>
              </w:rPr>
              <w:t xml:space="preserve"> : « أنزلتموهم ».</w:t>
            </w:r>
          </w:p>
        </w:tc>
      </w:tr>
    </w:tbl>
    <w:p w:rsidR="00744A1C" w:rsidRDefault="00744A1C" w:rsidP="00D10E3C">
      <w:pPr>
        <w:pStyle w:val="libFootnote0"/>
        <w:rPr>
          <w:lang w:bidi="fa-IR"/>
        </w:rPr>
      </w:pPr>
      <w:r>
        <w:rPr>
          <w:rtl/>
          <w:lang w:bidi="fa-IR"/>
        </w:rPr>
        <w:t xml:space="preserve">(20) في </w:t>
      </w:r>
      <w:r w:rsidRPr="008C6290">
        <w:rPr>
          <w:rtl/>
        </w:rPr>
        <w:t>التهذيب</w:t>
      </w:r>
      <w:r>
        <w:rPr>
          <w:rtl/>
          <w:lang w:bidi="fa-IR"/>
        </w:rPr>
        <w:t xml:space="preserve"> : « إن أنزلتموه » بدل « إن تركتموهم على حكم الله ».</w:t>
      </w:r>
    </w:p>
    <w:p w:rsidR="00744A1C" w:rsidRDefault="00744A1C" w:rsidP="00D10E3C">
      <w:pPr>
        <w:pStyle w:val="libFootnote0"/>
        <w:rPr>
          <w:lang w:bidi="fa-IR"/>
        </w:rPr>
      </w:pPr>
      <w:r>
        <w:rPr>
          <w:rtl/>
          <w:lang w:bidi="fa-IR"/>
        </w:rPr>
        <w:t xml:space="preserve">(21) في </w:t>
      </w:r>
      <w:r w:rsidRPr="008C6290">
        <w:rPr>
          <w:rtl/>
        </w:rPr>
        <w:t>الوافي</w:t>
      </w:r>
      <w:r>
        <w:rPr>
          <w:rtl/>
          <w:lang w:bidi="fa-IR"/>
        </w:rPr>
        <w:t xml:space="preserve"> : « أتصيبون ». وفي </w:t>
      </w:r>
      <w:r w:rsidRPr="008C6290">
        <w:rPr>
          <w:rtl/>
        </w:rPr>
        <w:t>التهذيب</w:t>
      </w:r>
      <w:r>
        <w:rPr>
          <w:rtl/>
          <w:lang w:bidi="fa-IR"/>
        </w:rPr>
        <w:t xml:space="preserve"> : « هل تصيبون ».</w:t>
      </w:r>
    </w:p>
    <w:p w:rsidR="006A5060" w:rsidRDefault="006A5060" w:rsidP="00D10E3C">
      <w:pPr>
        <w:pStyle w:val="libNormal"/>
        <w:rPr>
          <w:rtl/>
          <w:lang w:bidi="fa-IR"/>
        </w:rPr>
      </w:pPr>
      <w:r>
        <w:rPr>
          <w:rtl/>
          <w:lang w:bidi="fa-IR"/>
        </w:rPr>
        <w:br w:type="page"/>
      </w:r>
    </w:p>
    <w:p w:rsidR="00144FA6" w:rsidRDefault="00744A1C" w:rsidP="008C6290">
      <w:pPr>
        <w:pStyle w:val="libNormal0"/>
        <w:rPr>
          <w:rtl/>
          <w:lang w:bidi="fa-IR"/>
        </w:rPr>
      </w:pPr>
      <w:r>
        <w:rPr>
          <w:rtl/>
          <w:lang w:bidi="fa-IR"/>
        </w:rPr>
        <w:t xml:space="preserve">وَإِذَا </w:t>
      </w:r>
      <w:r w:rsidRPr="00D10E3C">
        <w:rPr>
          <w:rStyle w:val="libFootnotenumChar"/>
          <w:rtl/>
        </w:rPr>
        <w:t>(1)</w:t>
      </w:r>
      <w:r>
        <w:rPr>
          <w:rtl/>
          <w:lang w:bidi="fa-IR"/>
        </w:rPr>
        <w:t xml:space="preserve"> حَاصَرْتُمْ </w:t>
      </w:r>
      <w:r w:rsidRPr="00D10E3C">
        <w:rPr>
          <w:rStyle w:val="libFootnotenumChar"/>
          <w:rtl/>
        </w:rPr>
        <w:t>(2)</w:t>
      </w:r>
      <w:r>
        <w:rPr>
          <w:rtl/>
          <w:lang w:bidi="fa-IR"/>
        </w:rPr>
        <w:t xml:space="preserve"> أَهْلَ حِصْنٍ ، فَإِنْ آذَنُوكَ </w:t>
      </w:r>
      <w:r w:rsidRPr="00D10E3C">
        <w:rPr>
          <w:rStyle w:val="libFootnotenumChar"/>
          <w:rtl/>
        </w:rPr>
        <w:t>(3)</w:t>
      </w:r>
      <w:r>
        <w:rPr>
          <w:rtl/>
          <w:lang w:bidi="fa-IR"/>
        </w:rPr>
        <w:t xml:space="preserve"> عَلى </w:t>
      </w:r>
      <w:r w:rsidRPr="00D10E3C">
        <w:rPr>
          <w:rStyle w:val="libFootnotenumChar"/>
          <w:rtl/>
        </w:rPr>
        <w:t>(4)</w:t>
      </w:r>
      <w:r>
        <w:rPr>
          <w:rtl/>
          <w:lang w:bidi="fa-IR"/>
        </w:rPr>
        <w:t xml:space="preserve"> أَنْ تُنْزِلَهُمْ عَلى ذِمَّةِ اللهِ وَذِمَّةِ رَسُولِهِ ، فَلَا تُنْزِلْهُمْ ، وَلكِنْ أَنْزِلْهُمْ عَلى ذِمَمِكُمْ وَذِمَمِ آبَائِكُمْ وَإِخْوَانِكُمْ ، فَإِنَّكُمْ إِنْ تُخْفِرُوا </w:t>
      </w:r>
      <w:r w:rsidRPr="00D10E3C">
        <w:rPr>
          <w:rStyle w:val="libFootnotenumChar"/>
          <w:rtl/>
        </w:rPr>
        <w:t>(5)</w:t>
      </w:r>
      <w:r>
        <w:rPr>
          <w:rtl/>
          <w:lang w:bidi="fa-IR"/>
        </w:rPr>
        <w:t xml:space="preserve"> ذِمَمَكُمْ وَذِمَمَ آبَائِكُمْ وَإِخْوَانِكُمْ ، كَانَ أَيْسَرَ عَلَيْكُمْ يَوْمَ الْقِيَامَةِ مِنْ أَنْ تُخْفِرُوا ذِمَّةَ اللهِ وَذِمَّةَ رَسُولِهِ </w:t>
      </w:r>
      <w:r w:rsidRPr="00D10E3C">
        <w:rPr>
          <w:rStyle w:val="libFootnotenumChar"/>
          <w:rtl/>
        </w:rPr>
        <w:t>(6)</w:t>
      </w:r>
      <w:r>
        <w:rPr>
          <w:rtl/>
          <w:lang w:bidi="fa-IR"/>
        </w:rPr>
        <w:t xml:space="preserve"> </w:t>
      </w:r>
      <w:r w:rsidR="0017097C" w:rsidRPr="0017097C">
        <w:rPr>
          <w:rStyle w:val="libAlaemChar"/>
          <w:rtl/>
        </w:rPr>
        <w:t>صلى‌الله‌عليه‌وآله</w:t>
      </w:r>
      <w:r>
        <w:rPr>
          <w:rtl/>
          <w:lang w:bidi="fa-IR"/>
        </w:rPr>
        <w:t>».</w:t>
      </w:r>
      <w:r w:rsidRPr="00D10E3C">
        <w:rPr>
          <w:rStyle w:val="libFootnotenumChar"/>
          <w:rtl/>
        </w:rPr>
        <w:t>(7)</w:t>
      </w:r>
    </w:p>
    <w:p w:rsidR="00144FA6" w:rsidRDefault="00744A1C" w:rsidP="00744A1C">
      <w:pPr>
        <w:pStyle w:val="libNormal"/>
        <w:rPr>
          <w:rtl/>
          <w:lang w:bidi="fa-IR"/>
        </w:rPr>
      </w:pPr>
      <w:r>
        <w:rPr>
          <w:rtl/>
          <w:lang w:bidi="fa-IR"/>
        </w:rPr>
        <w:t xml:space="preserve">8237 / 9. عِدَّةٌ مِنْ أَصْحَابِنَا ، عَنْ أَحْمَدَ بْنِ مُحَمَّدٍ ، عَنِ الْوَشَّاءِ ، عَنْ مُحَمَّدِ بْنِ حُمْرَانَ وَجَمِيلِ بْنِ دَرَّاجٍ ، كِلَاهُمَا </w:t>
      </w:r>
      <w:r w:rsidRPr="00D10E3C">
        <w:rPr>
          <w:rStyle w:val="libFootnotenumChar"/>
          <w:rtl/>
        </w:rPr>
        <w:t>(8)</w:t>
      </w:r>
      <w:r>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رَسُولُ اللهِ </w:t>
      </w:r>
      <w:r w:rsidR="00AE01C7" w:rsidRPr="00AE01C7">
        <w:rPr>
          <w:rStyle w:val="libFootnoteAlaemChar"/>
          <w:rtl/>
        </w:rPr>
        <w:t>صلى‌الله‌عليه‌وآله</w:t>
      </w:r>
      <w:r w:rsidR="00D10E3C">
        <w:rPr>
          <w:rtl/>
          <w:lang w:bidi="fa-IR"/>
        </w:rPr>
        <w:t xml:space="preserve"> </w:t>
      </w:r>
      <w:r>
        <w:rPr>
          <w:rtl/>
          <w:lang w:bidi="fa-IR"/>
        </w:rPr>
        <w:t xml:space="preserve">إِذَا بَعَثَ سَرِيَّةً دَعَا بِأَمِيرِهَا </w:t>
      </w:r>
      <w:r w:rsidRPr="00D10E3C">
        <w:rPr>
          <w:rStyle w:val="libFootnotenumChar"/>
          <w:rtl/>
        </w:rPr>
        <w:t>(9)</w:t>
      </w:r>
      <w:r>
        <w:rPr>
          <w:rtl/>
          <w:lang w:bidi="fa-IR"/>
        </w:rPr>
        <w:t xml:space="preserve"> ، فَأَجْلَسَهُ إِلى جَنْبِهِ ، وَأَجْلَسَ أَصْحَابَهُ بَيْنَ يَدَيْهِ ، ثُمَّ قَالَ </w:t>
      </w:r>
      <w:r w:rsidRPr="00D10E3C">
        <w:rPr>
          <w:rStyle w:val="libFootnotenumChar"/>
          <w:rtl/>
        </w:rPr>
        <w:t>(10)</w:t>
      </w:r>
      <w:r>
        <w:rPr>
          <w:rtl/>
          <w:lang w:bidi="fa-IR"/>
        </w:rPr>
        <w:t xml:space="preserve"> : سِيرُوا بِسْمِ اللهِ ، وَبِاللهِ ، وَفِي سَبِيلِ اللهِ ، وَعَلى مِلَّةِ رَسُولِ اللهِ </w:t>
      </w:r>
      <w:r w:rsidR="00E45E68" w:rsidRPr="00E45E68">
        <w:rPr>
          <w:rStyle w:val="libAlaemChar"/>
          <w:rtl/>
        </w:rPr>
        <w:t>صلى‌الله‌عليه‌وآله</w:t>
      </w:r>
      <w:r w:rsidR="00D10E3C">
        <w:rPr>
          <w:rtl/>
          <w:lang w:bidi="fa-IR"/>
        </w:rPr>
        <w:t xml:space="preserve"> </w:t>
      </w:r>
      <w:r>
        <w:rPr>
          <w:rtl/>
          <w:lang w:bidi="fa-IR"/>
        </w:rPr>
        <w:t xml:space="preserve">، لَاتَغْدِرُوا ، وَلَا تَغُلُّوا ، وَلَا تُمَثِّلُوا ، وَلَا تَقْطَعُوا شَجَرَةً </w:t>
      </w:r>
      <w:r w:rsidRPr="00D10E3C">
        <w:rPr>
          <w:rStyle w:val="libFootnotenumChar"/>
          <w:rtl/>
        </w:rPr>
        <w:t>(11)</w:t>
      </w:r>
      <w:r w:rsidR="00E45E68">
        <w:rPr>
          <w:rtl/>
          <w:lang w:bidi="fa-IR"/>
        </w:rPr>
        <w:t xml:space="preserve"> إِل</w:t>
      </w:r>
      <w:r w:rsidR="00E45E68">
        <w:rPr>
          <w:rFonts w:hint="cs"/>
          <w:rtl/>
          <w:lang w:bidi="fa-IR"/>
        </w:rPr>
        <w:t>َّ</w:t>
      </w:r>
      <w:r w:rsidR="00E45E68">
        <w:rPr>
          <w:rtl/>
          <w:lang w:bidi="fa-IR"/>
        </w:rPr>
        <w:t>ا</w:t>
      </w:r>
      <w:r>
        <w:rPr>
          <w:rtl/>
          <w:lang w:bidi="fa-IR"/>
        </w:rPr>
        <w:t xml:space="preserve"> أَنْ تُضْطَرُّوا </w:t>
      </w:r>
      <w:r w:rsidRPr="00D10E3C">
        <w:rPr>
          <w:rStyle w:val="libFootnotenumChar"/>
          <w:rtl/>
        </w:rPr>
        <w:t>(12)</w:t>
      </w:r>
      <w:r>
        <w:rPr>
          <w:rtl/>
          <w:lang w:bidi="fa-IR"/>
        </w:rPr>
        <w:t xml:space="preserve"> إِلَيْهَا ، وَلَا تَقْتُلُوا شَيْخاً فَانِياً </w:t>
      </w:r>
      <w:r w:rsidRPr="00D10E3C">
        <w:rPr>
          <w:rStyle w:val="libFootnotenumChar"/>
          <w:rtl/>
        </w:rPr>
        <w:t>(13)</w:t>
      </w:r>
      <w:r>
        <w:rPr>
          <w:rtl/>
          <w:lang w:bidi="fa-IR"/>
        </w:rPr>
        <w:t xml:space="preserve"> ، وَلَا صَبِيّاً ، وَلَا امْرَأَةً ، وَأَيُّمَا رَجُلٍ مِنْ أَدْنَى الْمُسْلِمِينَ وَأَفْضَلِهِمْ </w:t>
      </w:r>
      <w:r w:rsidRPr="00D10E3C">
        <w:rPr>
          <w:rStyle w:val="libFootnotenumChar"/>
          <w:rtl/>
        </w:rPr>
        <w:t>(14)</w:t>
      </w:r>
      <w:r>
        <w:rPr>
          <w:rtl/>
          <w:lang w:bidi="fa-IR"/>
        </w:rPr>
        <w:t xml:space="preserve"> نَظَرَ إِلى أَحَدٍ مِنَ الْمُشْرِكِينَ ، فَهُوَ جَارٌ حَتّى‌</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E45E68" w:rsidTr="00E45E68">
        <w:tc>
          <w:tcPr>
            <w:tcW w:w="4006" w:type="dxa"/>
          </w:tcPr>
          <w:p w:rsidR="00E45E68" w:rsidRDefault="00E45E68" w:rsidP="00D10E3C">
            <w:pPr>
              <w:pStyle w:val="libFootnote0"/>
              <w:rPr>
                <w:rtl/>
                <w:lang w:bidi="fa-IR"/>
              </w:rPr>
            </w:pPr>
            <w:r>
              <w:rPr>
                <w:rtl/>
                <w:lang w:bidi="fa-IR"/>
              </w:rPr>
              <w:t xml:space="preserve">(1). في </w:t>
            </w:r>
            <w:r w:rsidRPr="004863C4">
              <w:rPr>
                <w:rtl/>
              </w:rPr>
              <w:t>الوافي والتهذيب</w:t>
            </w:r>
            <w:r>
              <w:rPr>
                <w:rtl/>
                <w:lang w:bidi="fa-IR"/>
              </w:rPr>
              <w:t xml:space="preserve"> : « فإذا ».</w:t>
            </w:r>
          </w:p>
        </w:tc>
        <w:tc>
          <w:tcPr>
            <w:tcW w:w="4006" w:type="dxa"/>
          </w:tcPr>
          <w:p w:rsidR="00E45E68" w:rsidRDefault="00E45E68" w:rsidP="00D10E3C">
            <w:pPr>
              <w:pStyle w:val="libFootnote0"/>
              <w:rPr>
                <w:rtl/>
                <w:lang w:bidi="fa-IR"/>
              </w:rPr>
            </w:pPr>
            <w:r>
              <w:rPr>
                <w:rtl/>
                <w:lang w:bidi="fa-IR"/>
              </w:rPr>
              <w:t xml:space="preserve">(2). في </w:t>
            </w:r>
            <w:r w:rsidRPr="004863C4">
              <w:rPr>
                <w:rtl/>
              </w:rPr>
              <w:t>البحار</w:t>
            </w:r>
            <w:r>
              <w:rPr>
                <w:rtl/>
                <w:lang w:bidi="fa-IR"/>
              </w:rPr>
              <w:t xml:space="preserve"> : « حاصرت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4863C4">
        <w:rPr>
          <w:rtl/>
        </w:rPr>
        <w:t>الوافي</w:t>
      </w:r>
      <w:r w:rsidR="00744A1C">
        <w:rPr>
          <w:rtl/>
          <w:lang w:bidi="fa-IR"/>
        </w:rPr>
        <w:t xml:space="preserve"> : « فإن أرادوك ». وفي </w:t>
      </w:r>
      <w:r w:rsidR="00744A1C" w:rsidRPr="004863C4">
        <w:rPr>
          <w:rtl/>
        </w:rPr>
        <w:t>التهذيب</w:t>
      </w:r>
      <w:r w:rsidR="00744A1C">
        <w:rPr>
          <w:rtl/>
          <w:lang w:bidi="fa-IR"/>
        </w:rPr>
        <w:t xml:space="preserve"> : « فأرادوك » بدل « فإن آذنوك ».</w:t>
      </w:r>
    </w:p>
    <w:p w:rsidR="00744A1C" w:rsidRDefault="00E378DD" w:rsidP="00E378DD">
      <w:pPr>
        <w:pStyle w:val="libFootnote0"/>
        <w:rPr>
          <w:lang w:bidi="fa-IR"/>
        </w:rPr>
      </w:pPr>
      <w:r>
        <w:rPr>
          <w:rtl/>
          <w:lang w:bidi="fa-IR"/>
        </w:rPr>
        <w:t>(4).</w:t>
      </w:r>
      <w:r w:rsidR="00744A1C">
        <w:rPr>
          <w:rtl/>
          <w:lang w:bidi="fa-IR"/>
        </w:rPr>
        <w:t xml:space="preserve"> في « جت ، جن » </w:t>
      </w:r>
      <w:r w:rsidR="00744A1C" w:rsidRPr="004863C4">
        <w:rPr>
          <w:rtl/>
        </w:rPr>
        <w:t>والوافي</w:t>
      </w:r>
      <w:r w:rsidR="00744A1C">
        <w:rPr>
          <w:rtl/>
          <w:lang w:bidi="fa-IR"/>
        </w:rPr>
        <w:t xml:space="preserve"> : - « على ».</w:t>
      </w:r>
    </w:p>
    <w:p w:rsidR="00744A1C" w:rsidRDefault="00E378DD" w:rsidP="00E378DD">
      <w:pPr>
        <w:pStyle w:val="libFootnote0"/>
        <w:rPr>
          <w:lang w:bidi="fa-IR"/>
        </w:rPr>
      </w:pPr>
      <w:r>
        <w:rPr>
          <w:rtl/>
          <w:lang w:bidi="fa-IR"/>
        </w:rPr>
        <w:t>(5).</w:t>
      </w:r>
      <w:r w:rsidR="00744A1C">
        <w:rPr>
          <w:rtl/>
          <w:lang w:bidi="fa-IR"/>
        </w:rPr>
        <w:t xml:space="preserve"> الإخفار : نقض العهد. وإخفار الذمّة : عدم الوفاء بها. راجع : </w:t>
      </w:r>
      <w:r w:rsidR="00744A1C" w:rsidRPr="00877682">
        <w:rPr>
          <w:rStyle w:val="libFootnoteBoldChar"/>
          <w:rtl/>
        </w:rPr>
        <w:t>لسان العرب</w:t>
      </w:r>
      <w:r w:rsidR="00744A1C">
        <w:rPr>
          <w:rtl/>
          <w:lang w:bidi="fa-IR"/>
        </w:rPr>
        <w:t xml:space="preserve"> ، ج 4 ، ص 253 ( خفر ).</w:t>
      </w:r>
    </w:p>
    <w:p w:rsidR="00744A1C" w:rsidRDefault="00E378DD" w:rsidP="00E378DD">
      <w:pPr>
        <w:pStyle w:val="libFootnote0"/>
        <w:rPr>
          <w:lang w:bidi="fa-IR"/>
        </w:rPr>
      </w:pPr>
      <w:r>
        <w:rPr>
          <w:rtl/>
          <w:lang w:bidi="fa-IR"/>
        </w:rPr>
        <w:t>(6).</w:t>
      </w:r>
      <w:r w:rsidR="00744A1C">
        <w:rPr>
          <w:rtl/>
          <w:lang w:bidi="fa-IR"/>
        </w:rPr>
        <w:t xml:space="preserve"> في « جد » و</w:t>
      </w:r>
      <w:r w:rsidR="00744A1C" w:rsidRPr="0061079A">
        <w:rPr>
          <w:rStyle w:val="libFootnoteBoldChar"/>
          <w:rtl/>
        </w:rPr>
        <w:t>البحار</w:t>
      </w:r>
      <w:r w:rsidR="00744A1C">
        <w:rPr>
          <w:rtl/>
          <w:lang w:bidi="fa-IR"/>
        </w:rPr>
        <w:t xml:space="preserve"> : « رسول الله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138 ، ح 232 ، معلّقاً عن الكليني </w:t>
      </w:r>
      <w:r w:rsidR="004863C4">
        <w:rPr>
          <w:rFonts w:hint="cs"/>
          <w:rtl/>
          <w:lang w:bidi="fa-IR"/>
        </w:rPr>
        <w:t>.</w:t>
      </w:r>
      <w:r w:rsidR="00744A1C" w:rsidRPr="00C24F9C">
        <w:rPr>
          <w:rStyle w:val="libFootnoteBoldChar"/>
          <w:rtl/>
        </w:rPr>
        <w:t>الوافي</w:t>
      </w:r>
      <w:r w:rsidR="00744A1C">
        <w:rPr>
          <w:rtl/>
          <w:lang w:bidi="fa-IR"/>
        </w:rPr>
        <w:t xml:space="preserve"> ، ج 15 ، ص 93 ، ح 14738 ؛ </w:t>
      </w:r>
      <w:r w:rsidR="00744A1C" w:rsidRPr="004863C4">
        <w:rPr>
          <w:rtl/>
        </w:rPr>
        <w:t>الوسائل</w:t>
      </w:r>
      <w:r w:rsidR="00744A1C">
        <w:rPr>
          <w:rtl/>
          <w:lang w:bidi="fa-IR"/>
        </w:rPr>
        <w:t xml:space="preserve"> ، ج 15 ، ص 59 ، ح 19986 ؛ </w:t>
      </w:r>
      <w:r w:rsidR="00744A1C" w:rsidRPr="0061079A">
        <w:rPr>
          <w:rStyle w:val="libFootnoteBoldChar"/>
          <w:rtl/>
        </w:rPr>
        <w:t>البحار</w:t>
      </w:r>
      <w:r w:rsidR="00744A1C">
        <w:rPr>
          <w:rtl/>
          <w:lang w:bidi="fa-IR"/>
        </w:rPr>
        <w:t xml:space="preserve"> ، ج 19 ، ص 179 ، ح 27.</w:t>
      </w:r>
    </w:p>
    <w:p w:rsidR="00744A1C" w:rsidRDefault="00E378DD" w:rsidP="00E378DD">
      <w:pPr>
        <w:pStyle w:val="libFootnote0"/>
        <w:rPr>
          <w:lang w:bidi="fa-IR"/>
        </w:rPr>
      </w:pPr>
      <w:r>
        <w:rPr>
          <w:rtl/>
          <w:lang w:bidi="fa-IR"/>
        </w:rPr>
        <w:t>(8).</w:t>
      </w:r>
      <w:r w:rsidR="00744A1C">
        <w:rPr>
          <w:rtl/>
          <w:lang w:bidi="fa-IR"/>
        </w:rPr>
        <w:t xml:space="preserve"> في « بح ، بس » وحاشية « بث » : « كليهما ».</w:t>
      </w:r>
    </w:p>
    <w:p w:rsidR="00744A1C" w:rsidRDefault="00E378DD" w:rsidP="00E378DD">
      <w:pPr>
        <w:pStyle w:val="libFootnote0"/>
        <w:rPr>
          <w:lang w:bidi="fa-IR"/>
        </w:rPr>
      </w:pPr>
      <w:r>
        <w:rPr>
          <w:rtl/>
          <w:lang w:bidi="fa-IR"/>
        </w:rPr>
        <w:t>(9).</w:t>
      </w:r>
      <w:r w:rsidR="00744A1C">
        <w:rPr>
          <w:rtl/>
          <w:lang w:bidi="fa-IR"/>
        </w:rPr>
        <w:t xml:space="preserve"> في « بث » : « أميرها ». وفي </w:t>
      </w:r>
      <w:r w:rsidR="00744A1C" w:rsidRPr="003A7143">
        <w:rPr>
          <w:rStyle w:val="libFootnoteBoldChar"/>
          <w:rtl/>
        </w:rPr>
        <w:t>المحاسن</w:t>
      </w:r>
      <w:r w:rsidR="00744A1C">
        <w:rPr>
          <w:rtl/>
          <w:lang w:bidi="fa-IR"/>
        </w:rPr>
        <w:t xml:space="preserve"> : « بعث أميرها » بدل « دعا بأميرها ».</w:t>
      </w:r>
    </w:p>
    <w:p w:rsidR="00744A1C" w:rsidRDefault="00E378DD" w:rsidP="00E378DD">
      <w:pPr>
        <w:pStyle w:val="libFootnote0"/>
        <w:rPr>
          <w:lang w:bidi="fa-IR"/>
        </w:rPr>
      </w:pPr>
      <w:r>
        <w:rPr>
          <w:rtl/>
          <w:lang w:bidi="fa-IR"/>
        </w:rPr>
        <w:t>(10).</w:t>
      </w:r>
      <w:r w:rsidR="00744A1C">
        <w:rPr>
          <w:rtl/>
          <w:lang w:bidi="fa-IR"/>
        </w:rPr>
        <w:t xml:space="preserve"> في « بف » : + « لهم ».</w:t>
      </w:r>
    </w:p>
    <w:p w:rsidR="00744A1C" w:rsidRDefault="00E378DD" w:rsidP="00E378DD">
      <w:pPr>
        <w:pStyle w:val="libFootnote0"/>
        <w:rPr>
          <w:lang w:bidi="fa-IR"/>
        </w:rPr>
      </w:pPr>
      <w:r>
        <w:rPr>
          <w:rtl/>
          <w:lang w:bidi="fa-IR"/>
        </w:rPr>
        <w:t>(11).</w:t>
      </w:r>
      <w:r w:rsidR="00744A1C">
        <w:rPr>
          <w:rtl/>
          <w:lang w:bidi="fa-IR"/>
        </w:rPr>
        <w:t xml:space="preserve"> في </w:t>
      </w:r>
      <w:r w:rsidR="00744A1C" w:rsidRPr="004863C4">
        <w:rPr>
          <w:rtl/>
        </w:rPr>
        <w:t>المحاسن</w:t>
      </w:r>
      <w:r w:rsidR="00744A1C">
        <w:rPr>
          <w:rtl/>
          <w:lang w:bidi="fa-IR"/>
        </w:rPr>
        <w:t xml:space="preserve"> : « شجراً ».</w:t>
      </w:r>
    </w:p>
    <w:p w:rsidR="00744A1C" w:rsidRDefault="00E378DD" w:rsidP="00E378DD">
      <w:pPr>
        <w:pStyle w:val="libFootnote0"/>
        <w:rPr>
          <w:lang w:bidi="fa-IR"/>
        </w:rPr>
      </w:pPr>
      <w:r>
        <w:rPr>
          <w:rtl/>
          <w:lang w:bidi="fa-IR"/>
        </w:rPr>
        <w:t>(12).</w:t>
      </w:r>
      <w:r w:rsidR="00744A1C">
        <w:rPr>
          <w:rtl/>
          <w:lang w:bidi="fa-IR"/>
        </w:rPr>
        <w:t xml:space="preserve"> في « جت » بالتاء والياء معاً.</w:t>
      </w:r>
    </w:p>
    <w:p w:rsidR="00744A1C" w:rsidRDefault="00E378DD" w:rsidP="00E378DD">
      <w:pPr>
        <w:pStyle w:val="libFootnote0"/>
        <w:rPr>
          <w:lang w:bidi="fa-IR"/>
        </w:rPr>
      </w:pPr>
      <w:r>
        <w:rPr>
          <w:rtl/>
          <w:lang w:bidi="fa-IR"/>
        </w:rPr>
        <w:t>(13).</w:t>
      </w:r>
      <w:r w:rsidR="00744A1C">
        <w:rPr>
          <w:rtl/>
          <w:lang w:bidi="fa-IR"/>
        </w:rPr>
        <w:t xml:space="preserve"> في </w:t>
      </w:r>
      <w:r w:rsidR="00744A1C" w:rsidRPr="004863C4">
        <w:rPr>
          <w:rtl/>
        </w:rPr>
        <w:t>التهذيب</w:t>
      </w:r>
      <w:r w:rsidR="00744A1C">
        <w:rPr>
          <w:rtl/>
          <w:lang w:bidi="fa-IR"/>
        </w:rPr>
        <w:t xml:space="preserve"> : - « فانياً ».</w:t>
      </w:r>
    </w:p>
    <w:p w:rsidR="00744A1C" w:rsidRDefault="00E378DD" w:rsidP="00E378DD">
      <w:pPr>
        <w:pStyle w:val="libFootnote0"/>
        <w:rPr>
          <w:lang w:bidi="fa-IR"/>
        </w:rPr>
      </w:pPr>
      <w:r>
        <w:rPr>
          <w:rtl/>
          <w:lang w:bidi="fa-IR"/>
        </w:rPr>
        <w:t>(14).</w:t>
      </w:r>
      <w:r w:rsidR="00744A1C">
        <w:rPr>
          <w:rtl/>
          <w:lang w:bidi="fa-IR"/>
        </w:rPr>
        <w:t xml:space="preserve"> في « جت » : « أو أفضلهم ». وفي </w:t>
      </w:r>
      <w:r w:rsidR="00744A1C" w:rsidRPr="004863C4">
        <w:rPr>
          <w:rtl/>
        </w:rPr>
        <w:t>المحاسن</w:t>
      </w:r>
      <w:r w:rsidR="00744A1C">
        <w:rPr>
          <w:rtl/>
          <w:lang w:bidi="fa-IR"/>
        </w:rPr>
        <w:t xml:space="preserve"> : « أو أقصاهم ».</w:t>
      </w:r>
    </w:p>
    <w:p w:rsidR="006A5060" w:rsidRDefault="006A5060" w:rsidP="00D10E3C">
      <w:pPr>
        <w:pStyle w:val="libNormal"/>
        <w:rPr>
          <w:rtl/>
          <w:lang w:bidi="fa-IR"/>
        </w:rPr>
      </w:pPr>
      <w:r>
        <w:rPr>
          <w:rtl/>
          <w:lang w:bidi="fa-IR"/>
        </w:rPr>
        <w:br w:type="page"/>
      </w:r>
    </w:p>
    <w:p w:rsidR="00144FA6" w:rsidRDefault="00744A1C" w:rsidP="004863C4">
      <w:pPr>
        <w:pStyle w:val="libNormal0"/>
        <w:rPr>
          <w:rtl/>
          <w:lang w:bidi="fa-IR"/>
        </w:rPr>
      </w:pPr>
      <w:r>
        <w:rPr>
          <w:rtl/>
          <w:lang w:bidi="fa-IR"/>
        </w:rPr>
        <w:t xml:space="preserve">يَسْمَعَ كَلَامَ اللهِ ، فَإِذَا سَمِعَ كَلَامَ اللهِ - عَزَّ وَجَلَّ </w:t>
      </w:r>
      <w:r w:rsidRPr="00D10E3C">
        <w:rPr>
          <w:rStyle w:val="libFootnotenumChar"/>
          <w:rtl/>
        </w:rPr>
        <w:t>(1)</w:t>
      </w:r>
      <w:r>
        <w:rPr>
          <w:rtl/>
          <w:lang w:bidi="fa-IR"/>
        </w:rPr>
        <w:t xml:space="preserve"> - فَإِنْ تَبِعَكُمْ فَأَخُوكُمْ فِي دِينِكُمْ ، وَإِنْ أَبى فَاسْتَعِينُوا بِاللهِ </w:t>
      </w:r>
      <w:r w:rsidRPr="00D10E3C">
        <w:rPr>
          <w:rStyle w:val="libFootnotenumChar"/>
          <w:rtl/>
        </w:rPr>
        <w:t>(2)</w:t>
      </w:r>
      <w:r>
        <w:rPr>
          <w:rtl/>
          <w:lang w:bidi="fa-IR"/>
        </w:rPr>
        <w:t xml:space="preserve"> عَلَيْهِ </w:t>
      </w:r>
      <w:r w:rsidRPr="00D10E3C">
        <w:rPr>
          <w:rStyle w:val="libFootnotenumChar"/>
          <w:rtl/>
        </w:rPr>
        <w:t>(3)</w:t>
      </w:r>
      <w:r>
        <w:rPr>
          <w:rtl/>
          <w:lang w:bidi="fa-IR"/>
        </w:rPr>
        <w:t xml:space="preserve"> ، وَأَبْلِغُوهُ </w:t>
      </w:r>
      <w:r w:rsidRPr="00D10E3C">
        <w:rPr>
          <w:rStyle w:val="libFootnotenumChar"/>
          <w:rtl/>
        </w:rPr>
        <w:t>(4)</w:t>
      </w:r>
      <w:r>
        <w:rPr>
          <w:rtl/>
          <w:lang w:bidi="fa-IR"/>
        </w:rPr>
        <w:t xml:space="preserve"> مَأْمَنَهُ ». </w:t>
      </w:r>
      <w:r w:rsidRPr="00D10E3C">
        <w:rPr>
          <w:rStyle w:val="libFootnotenumChar"/>
          <w:rtl/>
        </w:rPr>
        <w:t>(5)</w:t>
      </w:r>
    </w:p>
    <w:p w:rsidR="00144FA6" w:rsidRDefault="00744A1C" w:rsidP="00744A1C">
      <w:pPr>
        <w:pStyle w:val="libNormal"/>
        <w:rPr>
          <w:rtl/>
          <w:lang w:bidi="fa-IR"/>
        </w:rPr>
      </w:pPr>
      <w:r>
        <w:rPr>
          <w:rtl/>
          <w:lang w:bidi="fa-IR"/>
        </w:rPr>
        <w:t xml:space="preserve">8238 / 10. عَلِيُّ بْنُ إِبْرَاهِيمَ ، عَنْ أَبِيهِ ، عَنِ ابْنِ أَبِي عُمَيْرٍ ، عَنْ جَمِيلٍ </w:t>
      </w:r>
      <w:r w:rsidRPr="00D10E3C">
        <w:rPr>
          <w:rStyle w:val="libFootnotenumChar"/>
          <w:rtl/>
        </w:rPr>
        <w:t>(6)</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sidR="004863C4">
        <w:rPr>
          <w:rtl/>
          <w:lang w:bidi="fa-IR"/>
        </w:rPr>
        <w:t>مِثْلَهُ إِل</w:t>
      </w:r>
      <w:r w:rsidR="004863C4">
        <w:rPr>
          <w:rFonts w:hint="cs"/>
          <w:rtl/>
          <w:lang w:bidi="fa-IR"/>
        </w:rPr>
        <w:t>َّ</w:t>
      </w:r>
      <w:r w:rsidR="004863C4">
        <w:rPr>
          <w:rtl/>
          <w:lang w:bidi="fa-IR"/>
        </w:rPr>
        <w:t>ا</w:t>
      </w:r>
      <w:r>
        <w:rPr>
          <w:rtl/>
          <w:lang w:bidi="fa-IR"/>
        </w:rPr>
        <w:t xml:space="preserve"> أَنَّهُ قَالَ : « وَأَيُّمَا رَجُلٍ مِنَ الْمُسْلِمِينَ نَظَرَ إِلى رَجُلٍ مِنَ الْمُشْرِكِينَ </w:t>
      </w:r>
      <w:r w:rsidRPr="00D10E3C">
        <w:rPr>
          <w:rStyle w:val="libFootnotenumChar"/>
          <w:rtl/>
        </w:rPr>
        <w:t>(7)</w:t>
      </w:r>
      <w:r>
        <w:rPr>
          <w:rtl/>
          <w:lang w:bidi="fa-IR"/>
        </w:rPr>
        <w:t xml:space="preserve"> فِي أَقْصَى الْعَسْكَرِ وَأَدْنَاهُ </w:t>
      </w:r>
      <w:r w:rsidRPr="00D10E3C">
        <w:rPr>
          <w:rStyle w:val="libFootnotenumChar"/>
          <w:rtl/>
        </w:rPr>
        <w:t>(8)</w:t>
      </w:r>
      <w:r>
        <w:rPr>
          <w:rtl/>
          <w:lang w:bidi="fa-IR"/>
        </w:rPr>
        <w:t xml:space="preserve"> ، فَهُوَ جَارٌ </w:t>
      </w:r>
      <w:r w:rsidRPr="00D10E3C">
        <w:rPr>
          <w:rStyle w:val="libFootnotenumChar"/>
          <w:rtl/>
        </w:rPr>
        <w:t>(9)</w:t>
      </w:r>
      <w:r>
        <w:rPr>
          <w:rtl/>
          <w:lang w:bidi="fa-IR"/>
        </w:rPr>
        <w:t xml:space="preserve"> ». </w:t>
      </w:r>
      <w:r w:rsidRPr="00D10E3C">
        <w:rPr>
          <w:rStyle w:val="libFootnotenumChar"/>
          <w:rtl/>
        </w:rPr>
        <w:t>(10)</w:t>
      </w:r>
    </w:p>
    <w:p w:rsidR="00744A1C" w:rsidRDefault="00744A1C" w:rsidP="004863C4">
      <w:pPr>
        <w:pStyle w:val="Heading2Center"/>
        <w:rPr>
          <w:lang w:bidi="fa-IR"/>
        </w:rPr>
      </w:pPr>
      <w:bookmarkStart w:id="97" w:name="_Toc49261395"/>
      <w:r>
        <w:rPr>
          <w:rtl/>
          <w:lang w:bidi="fa-IR"/>
        </w:rPr>
        <w:t>9 - بَابُ إِعْطَاءِ الْأَمَانِ‌</w:t>
      </w:r>
      <w:bookmarkEnd w:id="97"/>
    </w:p>
    <w:p w:rsidR="00144FA6" w:rsidRDefault="00744A1C" w:rsidP="00744A1C">
      <w:pPr>
        <w:pStyle w:val="libNormal"/>
        <w:rPr>
          <w:rtl/>
          <w:lang w:bidi="fa-IR"/>
        </w:rPr>
      </w:pPr>
      <w:r>
        <w:rPr>
          <w:rtl/>
          <w:lang w:bidi="fa-IR"/>
        </w:rPr>
        <w:t>8239 / 1. عَلِيُّ بْنُ إِبْرَاهِيمَ ، عَنْ أَبِيهِ ، عَنِ النَّوْفَلِيِّ ، عَنِ السَّكُونِيِّ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w:t>
      </w:r>
      <w:r w:rsidRPr="00D10E3C">
        <w:rPr>
          <w:rStyle w:val="libFootnotenumChar"/>
          <w:rtl/>
        </w:rPr>
        <w:t>(11)</w:t>
      </w:r>
      <w:r>
        <w:rPr>
          <w:rtl/>
          <w:lang w:bidi="fa-IR"/>
        </w:rPr>
        <w:t xml:space="preserve"> : مَا مَعْنى قَوْلِ النَّبِيِّ </w:t>
      </w:r>
      <w:r w:rsidR="004863C4" w:rsidRPr="004863C4">
        <w:rPr>
          <w:rStyle w:val="libAlaemChar"/>
          <w:rtl/>
        </w:rPr>
        <w:t>صلى‌الله‌عليه‌وآله</w:t>
      </w:r>
      <w:r w:rsidR="00D10E3C">
        <w:rPr>
          <w:rtl/>
          <w:lang w:bidi="fa-IR"/>
        </w:rPr>
        <w:t xml:space="preserve"> </w:t>
      </w:r>
      <w:r>
        <w:rPr>
          <w:rtl/>
          <w:lang w:bidi="fa-IR"/>
        </w:rPr>
        <w:t xml:space="preserve">: « يَسْعى بِذِمَّتِهِمْ أَدْنَاهُمْ » </w:t>
      </w:r>
      <w:r w:rsidRPr="00D10E3C">
        <w:rPr>
          <w:rStyle w:val="libFootnotenumChar"/>
          <w:rtl/>
        </w:rPr>
        <w:t>(12)</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 - « عزّ وجلّ ». وفي « بف » </w:t>
      </w:r>
      <w:r w:rsidR="00744A1C" w:rsidRPr="004863C4">
        <w:rPr>
          <w:rtl/>
        </w:rPr>
        <w:t>والوافي والتهذيب</w:t>
      </w:r>
      <w:r w:rsidR="00744A1C">
        <w:rPr>
          <w:rtl/>
          <w:lang w:bidi="fa-IR"/>
        </w:rPr>
        <w:t xml:space="preserve"> : - « فإذا سمع كلام الله عزّ وجلّ ».</w:t>
      </w:r>
    </w:p>
    <w:tbl>
      <w:tblPr>
        <w:tblStyle w:val="TableGrid"/>
        <w:bidiVisual/>
        <w:tblW w:w="0" w:type="auto"/>
        <w:tblLook w:val="04A0" w:firstRow="1" w:lastRow="0" w:firstColumn="1" w:lastColumn="0" w:noHBand="0" w:noVBand="1"/>
      </w:tblPr>
      <w:tblGrid>
        <w:gridCol w:w="4006"/>
        <w:gridCol w:w="4006"/>
      </w:tblGrid>
      <w:tr w:rsidR="004863C4" w:rsidTr="004863C4">
        <w:tc>
          <w:tcPr>
            <w:tcW w:w="4006" w:type="dxa"/>
          </w:tcPr>
          <w:p w:rsidR="004863C4" w:rsidRDefault="004863C4" w:rsidP="00E378DD">
            <w:pPr>
              <w:pStyle w:val="libFootnote0"/>
              <w:rPr>
                <w:rtl/>
                <w:lang w:bidi="fa-IR"/>
              </w:rPr>
            </w:pPr>
            <w:r>
              <w:rPr>
                <w:rtl/>
                <w:lang w:bidi="fa-IR"/>
              </w:rPr>
              <w:t>(2). في « بس » : « الله ».</w:t>
            </w:r>
          </w:p>
        </w:tc>
        <w:tc>
          <w:tcPr>
            <w:tcW w:w="4006" w:type="dxa"/>
          </w:tcPr>
          <w:p w:rsidR="004863C4" w:rsidRDefault="004863C4" w:rsidP="00E378DD">
            <w:pPr>
              <w:pStyle w:val="libFootnote0"/>
              <w:rPr>
                <w:rtl/>
                <w:lang w:bidi="fa-IR"/>
              </w:rPr>
            </w:pPr>
            <w:r>
              <w:rPr>
                <w:rtl/>
                <w:lang w:bidi="fa-IR"/>
              </w:rPr>
              <w:t xml:space="preserve">(3). في « بث » </w:t>
            </w:r>
            <w:r w:rsidRPr="004863C4">
              <w:rPr>
                <w:rtl/>
              </w:rPr>
              <w:t>والوافي</w:t>
            </w:r>
            <w:r>
              <w:rPr>
                <w:rtl/>
                <w:lang w:bidi="fa-IR"/>
              </w:rPr>
              <w:t xml:space="preserve"> : - « عليه ».</w:t>
            </w:r>
          </w:p>
        </w:tc>
      </w:tr>
    </w:tbl>
    <w:p w:rsidR="00744A1C" w:rsidRDefault="00E378DD" w:rsidP="00E378DD">
      <w:pPr>
        <w:pStyle w:val="libFootnote0"/>
        <w:rPr>
          <w:lang w:bidi="fa-IR"/>
        </w:rPr>
      </w:pPr>
      <w:r>
        <w:rPr>
          <w:rtl/>
          <w:lang w:bidi="fa-IR"/>
        </w:rPr>
        <w:t>(4).</w:t>
      </w:r>
      <w:r w:rsidR="00744A1C">
        <w:rPr>
          <w:rtl/>
          <w:lang w:bidi="fa-IR"/>
        </w:rPr>
        <w:t xml:space="preserve"> في </w:t>
      </w:r>
      <w:r w:rsidR="00744A1C" w:rsidRPr="004863C4">
        <w:rPr>
          <w:rtl/>
        </w:rPr>
        <w:t>المحاسن</w:t>
      </w:r>
      <w:r w:rsidR="00744A1C">
        <w:rPr>
          <w:rtl/>
          <w:lang w:bidi="fa-IR"/>
        </w:rPr>
        <w:t xml:space="preserve"> : + « إلى ».</w:t>
      </w:r>
    </w:p>
    <w:p w:rsidR="00744A1C" w:rsidRDefault="00E378DD" w:rsidP="00E378DD">
      <w:pPr>
        <w:pStyle w:val="libFootnote0"/>
        <w:rPr>
          <w:lang w:bidi="fa-IR"/>
        </w:rPr>
      </w:pPr>
      <w:r>
        <w:rPr>
          <w:rtl/>
          <w:lang w:bidi="fa-IR"/>
        </w:rPr>
        <w:t>(5).</w:t>
      </w:r>
      <w:r w:rsidR="00744A1C">
        <w:rPr>
          <w:rtl/>
          <w:lang w:bidi="fa-IR"/>
        </w:rPr>
        <w:t xml:space="preserve"> </w:t>
      </w:r>
      <w:r w:rsidR="00744A1C" w:rsidRPr="003A7143">
        <w:rPr>
          <w:rStyle w:val="libFootnoteBoldChar"/>
          <w:rtl/>
        </w:rPr>
        <w:t>المحاسن</w:t>
      </w:r>
      <w:r w:rsidR="00744A1C">
        <w:rPr>
          <w:rtl/>
          <w:lang w:bidi="fa-IR"/>
        </w:rPr>
        <w:t xml:space="preserve"> ، ص 355 ، كتاب السفر ، ح 51. وفي </w:t>
      </w:r>
      <w:r w:rsidR="00744A1C" w:rsidRPr="00C24F9C">
        <w:rPr>
          <w:rStyle w:val="libFootnoteBoldChar"/>
          <w:rtl/>
        </w:rPr>
        <w:t>التهذيب</w:t>
      </w:r>
      <w:r w:rsidR="00744A1C">
        <w:rPr>
          <w:rtl/>
          <w:lang w:bidi="fa-IR"/>
        </w:rPr>
        <w:t xml:space="preserve"> ، ج 6 ، ص 139 ، ح 233 ، معلّقاً عن أحمد بن محمّد </w:t>
      </w:r>
      <w:r w:rsidR="004863C4">
        <w:rPr>
          <w:rFonts w:hint="cs"/>
          <w:rtl/>
          <w:lang w:bidi="fa-IR"/>
        </w:rPr>
        <w:t>.</w:t>
      </w:r>
      <w:r w:rsidR="00744A1C" w:rsidRPr="00C24F9C">
        <w:rPr>
          <w:rStyle w:val="libFootnoteBoldChar"/>
          <w:rtl/>
        </w:rPr>
        <w:t>الوافي</w:t>
      </w:r>
      <w:r w:rsidR="00744A1C">
        <w:rPr>
          <w:rtl/>
          <w:lang w:bidi="fa-IR"/>
        </w:rPr>
        <w:t xml:space="preserve"> ، ج 15 ، ص 94 ، ح 14739 ؛ </w:t>
      </w:r>
      <w:r w:rsidR="00744A1C" w:rsidRPr="00C24F9C">
        <w:rPr>
          <w:rStyle w:val="libFootnoteBoldChar"/>
          <w:rtl/>
        </w:rPr>
        <w:t>الوسائل</w:t>
      </w:r>
      <w:r w:rsidR="00744A1C">
        <w:rPr>
          <w:rtl/>
          <w:lang w:bidi="fa-IR"/>
        </w:rPr>
        <w:t xml:space="preserve"> ، ج 15 ، ص 58 ، ح 19985 ؛ </w:t>
      </w:r>
      <w:r w:rsidR="00744A1C" w:rsidRPr="0061079A">
        <w:rPr>
          <w:rStyle w:val="libFootnoteBoldChar"/>
          <w:rtl/>
        </w:rPr>
        <w:t>البحار</w:t>
      </w:r>
      <w:r w:rsidR="00744A1C">
        <w:rPr>
          <w:rtl/>
          <w:lang w:bidi="fa-IR"/>
        </w:rPr>
        <w:t xml:space="preserve"> ، ج 19 ، ص 177 ، ح 22 ، إلى قوله : « ثمّ قال : سيروا بسم الله ».</w:t>
      </w:r>
    </w:p>
    <w:p w:rsidR="00744A1C" w:rsidRDefault="00E378DD" w:rsidP="00E378DD">
      <w:pPr>
        <w:pStyle w:val="libFootnote0"/>
        <w:rPr>
          <w:lang w:bidi="fa-IR"/>
        </w:rPr>
      </w:pPr>
      <w:r>
        <w:rPr>
          <w:rtl/>
          <w:lang w:bidi="fa-IR"/>
        </w:rPr>
        <w:t>(6).</w:t>
      </w:r>
      <w:r w:rsidR="00744A1C">
        <w:rPr>
          <w:rtl/>
          <w:lang w:bidi="fa-IR"/>
        </w:rPr>
        <w:t xml:space="preserve"> في </w:t>
      </w:r>
      <w:r w:rsidR="00744A1C" w:rsidRPr="004863C4">
        <w:rPr>
          <w:rtl/>
        </w:rPr>
        <w:t>المحاسن</w:t>
      </w:r>
      <w:r w:rsidR="00744A1C">
        <w:rPr>
          <w:rtl/>
          <w:lang w:bidi="fa-IR"/>
        </w:rPr>
        <w:t xml:space="preserve"> : - « عن جميل ». ولم يثبت رواية ابن أبي عمير هذا عن أبي عبدالله </w:t>
      </w:r>
      <w:r w:rsidR="0061079A" w:rsidRPr="0061079A">
        <w:rPr>
          <w:rStyle w:val="libFootnoteAlaemChar"/>
          <w:rtl/>
        </w:rPr>
        <w:t>عليه‌السلام</w:t>
      </w:r>
      <w:r w:rsidR="00D10E3C">
        <w:rPr>
          <w:rtl/>
          <w:lang w:bidi="fa-IR"/>
        </w:rPr>
        <w:t xml:space="preserve"> </w:t>
      </w:r>
      <w:r w:rsidR="00744A1C">
        <w:rPr>
          <w:rtl/>
          <w:lang w:bidi="fa-IR"/>
        </w:rPr>
        <w:t>مباشرة.</w:t>
      </w:r>
    </w:p>
    <w:tbl>
      <w:tblPr>
        <w:tblStyle w:val="TableGrid"/>
        <w:bidiVisual/>
        <w:tblW w:w="0" w:type="auto"/>
        <w:tblLook w:val="04A0" w:firstRow="1" w:lastRow="0" w:firstColumn="1" w:lastColumn="0" w:noHBand="0" w:noVBand="1"/>
      </w:tblPr>
      <w:tblGrid>
        <w:gridCol w:w="4006"/>
        <w:gridCol w:w="4006"/>
      </w:tblGrid>
      <w:tr w:rsidR="004863C4" w:rsidTr="004863C4">
        <w:tc>
          <w:tcPr>
            <w:tcW w:w="4006" w:type="dxa"/>
          </w:tcPr>
          <w:p w:rsidR="004863C4" w:rsidRDefault="004863C4" w:rsidP="00E378DD">
            <w:pPr>
              <w:pStyle w:val="libFootnote0"/>
              <w:rPr>
                <w:rtl/>
                <w:lang w:bidi="fa-IR"/>
              </w:rPr>
            </w:pPr>
            <w:r>
              <w:rPr>
                <w:rtl/>
                <w:lang w:bidi="fa-IR"/>
              </w:rPr>
              <w:t xml:space="preserve">(7). في </w:t>
            </w:r>
            <w:r w:rsidRPr="004863C4">
              <w:rPr>
                <w:rtl/>
              </w:rPr>
              <w:t>المحاسن</w:t>
            </w:r>
            <w:r>
              <w:rPr>
                <w:rtl/>
                <w:lang w:bidi="fa-IR"/>
              </w:rPr>
              <w:t xml:space="preserve"> : - « من المشركين ».</w:t>
            </w:r>
          </w:p>
        </w:tc>
        <w:tc>
          <w:tcPr>
            <w:tcW w:w="4006" w:type="dxa"/>
          </w:tcPr>
          <w:p w:rsidR="004863C4" w:rsidRDefault="004863C4" w:rsidP="00E378DD">
            <w:pPr>
              <w:pStyle w:val="libFootnote0"/>
              <w:rPr>
                <w:rtl/>
                <w:lang w:bidi="fa-IR"/>
              </w:rPr>
            </w:pPr>
            <w:r>
              <w:rPr>
                <w:rtl/>
                <w:lang w:bidi="fa-IR"/>
              </w:rPr>
              <w:t>(8). في «ى،بث،بح،بس،جت،جن»</w:t>
            </w:r>
            <w:r w:rsidRPr="004863C4">
              <w:rPr>
                <w:rtl/>
              </w:rPr>
              <w:t>والوافي</w:t>
            </w:r>
            <w:r>
              <w:rPr>
                <w:rtl/>
                <w:lang w:bidi="fa-IR"/>
              </w:rPr>
              <w:t>:«فأدناه».</w:t>
            </w:r>
          </w:p>
        </w:tc>
      </w:tr>
    </w:tbl>
    <w:p w:rsidR="00744A1C" w:rsidRDefault="00E378DD" w:rsidP="00E378DD">
      <w:pPr>
        <w:pStyle w:val="libFootnote0"/>
        <w:rPr>
          <w:lang w:bidi="fa-IR"/>
        </w:rPr>
      </w:pPr>
      <w:r>
        <w:rPr>
          <w:rtl/>
          <w:lang w:bidi="fa-IR"/>
        </w:rPr>
        <w:t>(9).</w:t>
      </w:r>
      <w:r w:rsidR="00744A1C">
        <w:rPr>
          <w:rtl/>
          <w:lang w:bidi="fa-IR"/>
        </w:rPr>
        <w:t xml:space="preserve"> في « بث ، بح ، جت » </w:t>
      </w:r>
      <w:r w:rsidR="00744A1C" w:rsidRPr="004863C4">
        <w:rPr>
          <w:rtl/>
        </w:rPr>
        <w:t>والوافي</w:t>
      </w:r>
      <w:r w:rsidR="00744A1C">
        <w:rPr>
          <w:rtl/>
          <w:lang w:bidi="fa-IR"/>
        </w:rPr>
        <w:t xml:space="preserve"> : « جاره ». وتقدّم معنى الجار في الحديث الأوّل من نفس الباب.</w:t>
      </w:r>
    </w:p>
    <w:p w:rsidR="00744A1C" w:rsidRDefault="00E378DD" w:rsidP="004863C4">
      <w:pPr>
        <w:pStyle w:val="libFootnote0"/>
        <w:rPr>
          <w:lang w:bidi="fa-IR"/>
        </w:rPr>
      </w:pPr>
      <w:r>
        <w:rPr>
          <w:rtl/>
          <w:lang w:bidi="fa-IR"/>
        </w:rPr>
        <w:t>(10).</w:t>
      </w:r>
      <w:r w:rsidR="00744A1C">
        <w:rPr>
          <w:rtl/>
          <w:lang w:bidi="fa-IR"/>
        </w:rPr>
        <w:t xml:space="preserve"> </w:t>
      </w:r>
      <w:r w:rsidR="00744A1C" w:rsidRPr="003A7143">
        <w:rPr>
          <w:rStyle w:val="libFootnoteBoldChar"/>
          <w:rtl/>
        </w:rPr>
        <w:t>المحاسن</w:t>
      </w:r>
      <w:r w:rsidR="00744A1C">
        <w:rPr>
          <w:rtl/>
          <w:lang w:bidi="fa-IR"/>
        </w:rPr>
        <w:t xml:space="preserve"> ، ص 355 ، كتاب السفر ، ذيل ح 51 ، عن أبيه ، عن ابن أبي عمير </w:t>
      </w:r>
      <w:r w:rsidR="004863C4">
        <w:rPr>
          <w:rFonts w:hint="cs"/>
          <w:rtl/>
          <w:lang w:bidi="fa-IR"/>
        </w:rPr>
        <w:t>.</w:t>
      </w:r>
      <w:r w:rsidR="00744A1C" w:rsidRPr="00C24F9C">
        <w:rPr>
          <w:rStyle w:val="libFootnoteBoldChar"/>
          <w:rtl/>
        </w:rPr>
        <w:t>الوافي</w:t>
      </w:r>
      <w:r w:rsidR="00744A1C">
        <w:rPr>
          <w:rtl/>
          <w:lang w:bidi="fa-IR"/>
        </w:rPr>
        <w:t xml:space="preserve"> ، ج 15 ، ص 94 ، ح 14740 ؛ </w:t>
      </w:r>
      <w:r w:rsidR="00744A1C" w:rsidRPr="00C24F9C">
        <w:rPr>
          <w:rStyle w:val="libFootnoteBoldChar"/>
          <w:rtl/>
        </w:rPr>
        <w:t>الوسائل</w:t>
      </w:r>
      <w:r w:rsidR="00744A1C">
        <w:rPr>
          <w:rtl/>
          <w:lang w:bidi="fa-IR"/>
        </w:rPr>
        <w:t xml:space="preserve"> ، ج 15 ، ص 58 ، ذيل ح 19985.</w:t>
      </w:r>
      <w:r w:rsidR="004863C4">
        <w:rPr>
          <w:rFonts w:hint="cs"/>
          <w:rtl/>
          <w:lang w:bidi="fa-IR"/>
        </w:rPr>
        <w:t xml:space="preserve">            </w:t>
      </w:r>
      <w:r>
        <w:rPr>
          <w:rtl/>
          <w:lang w:bidi="fa-IR"/>
        </w:rPr>
        <w:t>(11).</w:t>
      </w:r>
      <w:r w:rsidR="00744A1C">
        <w:rPr>
          <w:rtl/>
          <w:lang w:bidi="fa-IR"/>
        </w:rPr>
        <w:t xml:space="preserve"> في </w:t>
      </w:r>
      <w:r w:rsidR="00744A1C" w:rsidRPr="004863C4">
        <w:rPr>
          <w:rtl/>
        </w:rPr>
        <w:t>التهذيب</w:t>
      </w:r>
      <w:r w:rsidR="00744A1C">
        <w:rPr>
          <w:rtl/>
          <w:lang w:bidi="fa-IR"/>
        </w:rPr>
        <w:t xml:space="preserve"> : - « له ».</w:t>
      </w:r>
    </w:p>
    <w:p w:rsidR="00144FA6" w:rsidRDefault="00E378DD" w:rsidP="00E378DD">
      <w:pPr>
        <w:pStyle w:val="libFootnote0"/>
        <w:rPr>
          <w:rtl/>
          <w:lang w:bidi="fa-IR"/>
        </w:rPr>
      </w:pPr>
      <w:r>
        <w:rPr>
          <w:rtl/>
          <w:lang w:bidi="fa-IR"/>
        </w:rPr>
        <w:t>(12).</w:t>
      </w:r>
      <w:r w:rsidR="00744A1C">
        <w:rPr>
          <w:rtl/>
          <w:lang w:bidi="fa-IR"/>
        </w:rPr>
        <w:t xml:space="preserve"> في </w:t>
      </w:r>
      <w:r w:rsidR="00744A1C" w:rsidRPr="00C24F9C">
        <w:rPr>
          <w:rStyle w:val="libFootnoteBoldChar"/>
          <w:rtl/>
        </w:rPr>
        <w:t>الوافي</w:t>
      </w:r>
      <w:r w:rsidR="00744A1C">
        <w:rPr>
          <w:rtl/>
          <w:lang w:bidi="fa-IR"/>
        </w:rPr>
        <w:t xml:space="preserve"> : « تمام الحديث هكذا : المؤمنون إخوة ، تتكافى دماؤهم وهم يد على من سواهم ، يسعى بذمّتهم أدناهم ؛ يعني أنّهم مجتمعون على أعدائهم لايسعهم التخاذل ، بل يعاون بعضهم بعضاً على جميع الأديان والملل ، كأنّه جعل أيديهم يداً واحدة وفعلهم فعلاً واحداً. ولهذا الحديث صدر قد مضى مع تفسيره على</w:t>
      </w:r>
      <w:r w:rsidR="004863C4">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 « لَوْ أَنَّ جَيْشاً مِنَ الْمُسْلِمِينَ حَاصَرُوا قَوْماً مِنَ الْمُشْرِكِينَ ، فَأَشْرَفَ رَجُلٌ ، فَقَالَ : أَعْطُونِي الْأَمَانَ حَتّى أَلْقى صَاحِبَكُمْ وَأُنَاظِرَهُ </w:t>
      </w:r>
      <w:r w:rsidRPr="00D10E3C">
        <w:rPr>
          <w:rStyle w:val="libFootnotenumChar"/>
          <w:rtl/>
        </w:rPr>
        <w:t>(1)</w:t>
      </w:r>
      <w:r>
        <w:rPr>
          <w:rtl/>
          <w:lang w:bidi="fa-IR"/>
        </w:rPr>
        <w:t xml:space="preserve"> ، فَأَعْطَاهُ أَدْنَاهُمُ الْأَمَانَ </w:t>
      </w:r>
      <w:r w:rsidRPr="00D10E3C">
        <w:rPr>
          <w:rStyle w:val="libFootnotenumChar"/>
          <w:rtl/>
        </w:rPr>
        <w:t>(2)</w:t>
      </w:r>
      <w:r>
        <w:rPr>
          <w:rtl/>
          <w:lang w:bidi="fa-IR"/>
        </w:rPr>
        <w:t xml:space="preserve"> ، وَجَبَ عَلى أَفْضَلِهِمُ الْوَفَاءُ بِهِ ». </w:t>
      </w:r>
      <w:r w:rsidRPr="00D10E3C">
        <w:rPr>
          <w:rStyle w:val="libFootnotenumChar"/>
          <w:rtl/>
        </w:rPr>
        <w:t>(3)</w:t>
      </w:r>
    </w:p>
    <w:p w:rsidR="00144FA6" w:rsidRDefault="00744A1C" w:rsidP="00744A1C">
      <w:pPr>
        <w:pStyle w:val="libNormal"/>
        <w:rPr>
          <w:rtl/>
          <w:lang w:bidi="fa-IR"/>
        </w:rPr>
      </w:pPr>
      <w:r>
        <w:rPr>
          <w:rtl/>
          <w:lang w:bidi="fa-IR"/>
        </w:rPr>
        <w:t xml:space="preserve">8240 / 2. عَلِيٌّ </w:t>
      </w:r>
      <w:r w:rsidRPr="00D10E3C">
        <w:rPr>
          <w:rStyle w:val="libFootnotenumChar"/>
          <w:rtl/>
        </w:rPr>
        <w:t>(4)</w:t>
      </w:r>
      <w:r>
        <w:rPr>
          <w:rtl/>
          <w:lang w:bidi="fa-IR"/>
        </w:rPr>
        <w:t xml:space="preserve"> ، عَنْ هَارُونَ بْنِ مُسْلِمٍ ، عَنْ مَسْعَدَةَ بْنِ صَدَقَةَ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 أنَّ عَلِيّاً </w:t>
      </w:r>
      <w:r w:rsidR="0061079A" w:rsidRPr="0061079A">
        <w:rPr>
          <w:rStyle w:val="libAlaemChar"/>
          <w:rtl/>
        </w:rPr>
        <w:t>عليه‌السلام</w:t>
      </w:r>
      <w:r w:rsidR="00D10E3C">
        <w:rPr>
          <w:rtl/>
          <w:lang w:bidi="fa-IR"/>
        </w:rPr>
        <w:t xml:space="preserve"> </w:t>
      </w:r>
      <w:r>
        <w:rPr>
          <w:rtl/>
          <w:lang w:bidi="fa-IR"/>
        </w:rPr>
        <w:t xml:space="preserve">أَجَازَ أَمَانَ عَبْدٍ مَمْلُوكٍ لِأَهْلِ حِصْنٍ مِنَ الْحُصُونِ ، وَقَالَ : هُوَ مِنَ الْمُؤْمِنِينَ </w:t>
      </w:r>
      <w:r w:rsidRPr="00D10E3C">
        <w:rPr>
          <w:rStyle w:val="libFootnotenumChar"/>
          <w:rtl/>
        </w:rPr>
        <w:t>(5)</w:t>
      </w:r>
      <w:r>
        <w:rPr>
          <w:rtl/>
          <w:lang w:bidi="fa-IR"/>
        </w:rPr>
        <w:t xml:space="preserve"> ». </w:t>
      </w:r>
      <w:r w:rsidRPr="00D10E3C">
        <w:rPr>
          <w:rStyle w:val="libFootnotenumChar"/>
          <w:rtl/>
        </w:rPr>
        <w:t>(6)</w:t>
      </w:r>
    </w:p>
    <w:p w:rsidR="00744A1C" w:rsidRDefault="00744A1C" w:rsidP="00744A1C">
      <w:pPr>
        <w:pStyle w:val="libNormal"/>
        <w:rPr>
          <w:lang w:bidi="fa-IR"/>
        </w:rPr>
      </w:pPr>
      <w:r>
        <w:rPr>
          <w:rtl/>
          <w:lang w:bidi="fa-IR"/>
        </w:rPr>
        <w:t xml:space="preserve">8241 / 3. عَلِيٌّ ، عَنْ أَبِيهِ ، عَنْ يَحْيَى بْنِ أَبِي عِمْرَانَ </w:t>
      </w:r>
      <w:r w:rsidRPr="00D10E3C">
        <w:rPr>
          <w:rStyle w:val="libFootnotenumChar"/>
          <w:rtl/>
        </w:rPr>
        <w:t>(7)</w:t>
      </w:r>
      <w:r>
        <w:rPr>
          <w:rtl/>
          <w:lang w:bidi="fa-IR"/>
        </w:rPr>
        <w:t xml:space="preserve"> ، عَنْ يُونُسَ ، عَنْ عَبْدِ اللهِ بْنِ‌</w:t>
      </w:r>
    </w:p>
    <w:p w:rsidR="00744A1C" w:rsidRDefault="00744A1C" w:rsidP="00D10E3C">
      <w:pPr>
        <w:pStyle w:val="libLine"/>
        <w:rPr>
          <w:lang w:bidi="fa-IR"/>
        </w:rPr>
      </w:pPr>
      <w:r>
        <w:rPr>
          <w:rtl/>
          <w:lang w:bidi="fa-IR"/>
        </w:rPr>
        <w:t>____________________</w:t>
      </w:r>
    </w:p>
    <w:p w:rsidR="00744A1C" w:rsidRDefault="00E0798D" w:rsidP="00D10E3C">
      <w:pPr>
        <w:pStyle w:val="libFootnote0"/>
        <w:rPr>
          <w:lang w:bidi="fa-IR"/>
        </w:rPr>
      </w:pPr>
      <w:r>
        <w:rPr>
          <w:rFonts w:hint="cs"/>
          <w:rtl/>
          <w:lang w:bidi="fa-IR"/>
        </w:rPr>
        <w:t xml:space="preserve">= </w:t>
      </w:r>
      <w:r w:rsidR="00744A1C">
        <w:rPr>
          <w:rtl/>
          <w:lang w:bidi="fa-IR"/>
        </w:rPr>
        <w:t xml:space="preserve">وجهه في كتاب الحجّة ». وتقدّم في ضمن الحديث 1059. وقال المحقّق الشعراني في هامش </w:t>
      </w:r>
      <w:r w:rsidR="00744A1C" w:rsidRPr="00C24F9C">
        <w:rPr>
          <w:rStyle w:val="libFootnoteBoldChar"/>
          <w:rtl/>
        </w:rPr>
        <w:t>الوافي</w:t>
      </w:r>
      <w:r w:rsidR="00744A1C">
        <w:rPr>
          <w:rtl/>
          <w:lang w:bidi="fa-IR"/>
        </w:rPr>
        <w:t xml:space="preserve"> : « قوله : يسعى بذمّتهم أدناهم ، هذا باب عظيم ينفتح منه أبواب كثيرة في أحكام الكفّار زمن الغيبة ؛ إذ لاجهاد عندنا في هذا العصر ، وليس تقسيم الكافر إلى الحربي والذمّي حاضراً عصر الحضور ، فكيف بعصر الغيبة ، فاذاً جاز لآحاد المسلمين تأمين جماعة عظيمة من المشركين ، والأصل بقاء الأموال والأزواج على ما هي عليها ، فيجوز المعاملة معهم ، ولايجوز السرقة منهم وأخذ أموالهم مع الهدنة ».</w:t>
      </w:r>
    </w:p>
    <w:p w:rsidR="00744A1C" w:rsidRDefault="00D10E3C" w:rsidP="00D10E3C">
      <w:pPr>
        <w:pStyle w:val="libFootnote0"/>
        <w:rPr>
          <w:lang w:bidi="fa-IR"/>
        </w:rPr>
      </w:pPr>
      <w:r>
        <w:rPr>
          <w:rtl/>
          <w:lang w:bidi="fa-IR"/>
        </w:rPr>
        <w:t>(1).</w:t>
      </w:r>
      <w:r w:rsidR="00744A1C">
        <w:rPr>
          <w:rtl/>
          <w:lang w:bidi="fa-IR"/>
        </w:rPr>
        <w:t xml:space="preserve"> في « بث » : « ا</w:t>
      </w:r>
      <w:r w:rsidR="00E0798D">
        <w:rPr>
          <w:rFonts w:hint="cs"/>
          <w:rtl/>
          <w:lang w:bidi="fa-IR"/>
        </w:rPr>
        <w:t>ُ</w:t>
      </w:r>
      <w:r w:rsidR="00744A1C">
        <w:rPr>
          <w:rtl/>
          <w:lang w:bidi="fa-IR"/>
        </w:rPr>
        <w:t xml:space="preserve">ناظره » بدون الواو. وفي </w:t>
      </w:r>
      <w:r w:rsidR="00744A1C" w:rsidRPr="00E0798D">
        <w:rPr>
          <w:rtl/>
        </w:rPr>
        <w:t>التهذيب</w:t>
      </w:r>
      <w:r w:rsidR="00744A1C">
        <w:rPr>
          <w:rtl/>
          <w:lang w:bidi="fa-IR"/>
        </w:rPr>
        <w:t xml:space="preserve"> : « فا</w:t>
      </w:r>
      <w:r w:rsidR="00E0798D">
        <w:rPr>
          <w:rFonts w:hint="cs"/>
          <w:rtl/>
          <w:lang w:bidi="fa-IR"/>
        </w:rPr>
        <w:t>ُ</w:t>
      </w:r>
      <w:r w:rsidR="00744A1C">
        <w:rPr>
          <w:rtl/>
          <w:lang w:bidi="fa-IR"/>
        </w:rPr>
        <w:t>ناظره ».</w:t>
      </w:r>
    </w:p>
    <w:p w:rsidR="00744A1C" w:rsidRDefault="00E378DD" w:rsidP="00E378DD">
      <w:pPr>
        <w:pStyle w:val="libFootnote0"/>
        <w:rPr>
          <w:lang w:bidi="fa-IR"/>
        </w:rPr>
      </w:pPr>
      <w:r>
        <w:rPr>
          <w:rtl/>
          <w:lang w:bidi="fa-IR"/>
        </w:rPr>
        <w:t>(2).</w:t>
      </w:r>
      <w:r w:rsidR="00744A1C">
        <w:rPr>
          <w:rtl/>
          <w:lang w:bidi="fa-IR"/>
        </w:rPr>
        <w:t xml:space="preserve"> في </w:t>
      </w:r>
      <w:r w:rsidR="00744A1C" w:rsidRPr="00E0798D">
        <w:rPr>
          <w:rtl/>
        </w:rPr>
        <w:t>التهذيب</w:t>
      </w:r>
      <w:r w:rsidR="00744A1C">
        <w:rPr>
          <w:rtl/>
          <w:lang w:bidi="fa-IR"/>
        </w:rPr>
        <w:t xml:space="preserve"> : « الأمان أدناهم ».</w:t>
      </w:r>
    </w:p>
    <w:p w:rsidR="00744A1C" w:rsidRDefault="00E378DD" w:rsidP="00E0798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14 ، ح 234 ، معلّقاً عن الكليني </w:t>
      </w:r>
      <w:r w:rsidR="00E0798D">
        <w:rPr>
          <w:rFonts w:hint="cs"/>
          <w:rtl/>
          <w:lang w:bidi="fa-IR"/>
        </w:rPr>
        <w:t>.</w:t>
      </w:r>
      <w:r w:rsidR="00744A1C" w:rsidRPr="00C24F9C">
        <w:rPr>
          <w:rStyle w:val="libFootnoteBoldChar"/>
          <w:rtl/>
        </w:rPr>
        <w:t>الوافي</w:t>
      </w:r>
      <w:r w:rsidR="00744A1C">
        <w:rPr>
          <w:rtl/>
          <w:lang w:bidi="fa-IR"/>
        </w:rPr>
        <w:t xml:space="preserve"> ، ج 15 ، ص 101 ، ح 14751 ؛ </w:t>
      </w:r>
      <w:r w:rsidR="00744A1C" w:rsidRPr="00C24F9C">
        <w:rPr>
          <w:rStyle w:val="libFootnoteBoldChar"/>
          <w:rtl/>
        </w:rPr>
        <w:t>الوسائل</w:t>
      </w:r>
      <w:r w:rsidR="00744A1C">
        <w:rPr>
          <w:rtl/>
          <w:lang w:bidi="fa-IR"/>
        </w:rPr>
        <w:t xml:space="preserve"> ، ج 15 ، ص 66 ، ح 19997.</w:t>
      </w:r>
      <w:r w:rsidR="00E0798D">
        <w:rPr>
          <w:rFonts w:hint="cs"/>
          <w:rtl/>
          <w:lang w:bidi="fa-IR"/>
        </w:rPr>
        <w:t xml:space="preserve">       </w:t>
      </w:r>
      <w:r>
        <w:rPr>
          <w:rtl/>
          <w:lang w:bidi="fa-IR"/>
        </w:rPr>
        <w:t>(4).</w:t>
      </w:r>
      <w:r w:rsidR="00744A1C">
        <w:rPr>
          <w:rtl/>
          <w:lang w:bidi="fa-IR"/>
        </w:rPr>
        <w:t xml:space="preserve"> في </w:t>
      </w:r>
      <w:r w:rsidR="00744A1C" w:rsidRPr="00E0798D">
        <w:rPr>
          <w:rtl/>
        </w:rPr>
        <w:t>التهذيب</w:t>
      </w:r>
      <w:r w:rsidR="00744A1C">
        <w:rPr>
          <w:rtl/>
          <w:lang w:bidi="fa-IR"/>
        </w:rPr>
        <w:t xml:space="preserve"> : + « بن إبراهيم ».</w:t>
      </w:r>
    </w:p>
    <w:p w:rsidR="00744A1C" w:rsidRDefault="00E378DD" w:rsidP="00E378DD">
      <w:pPr>
        <w:pStyle w:val="libFootnote0"/>
        <w:rPr>
          <w:lang w:bidi="fa-IR"/>
        </w:rPr>
      </w:pPr>
      <w:r>
        <w:rPr>
          <w:rtl/>
          <w:lang w:bidi="fa-IR"/>
        </w:rPr>
        <w:t>(5).</w:t>
      </w:r>
      <w:r w:rsidR="00744A1C">
        <w:rPr>
          <w:rtl/>
          <w:lang w:bidi="fa-IR"/>
        </w:rPr>
        <w:t xml:space="preserve"> في </w:t>
      </w:r>
      <w:r w:rsidR="00744A1C" w:rsidRPr="00E0798D">
        <w:rPr>
          <w:rtl/>
        </w:rPr>
        <w:t>قرب الإسناد</w:t>
      </w:r>
      <w:r w:rsidR="00744A1C">
        <w:rPr>
          <w:rtl/>
          <w:lang w:bidi="fa-IR"/>
        </w:rPr>
        <w:t xml:space="preserve"> : « المسلمين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140 ، ح 235 ، معلّقاً عن الكليني. </w:t>
      </w:r>
      <w:r w:rsidR="00744A1C" w:rsidRPr="00877682">
        <w:rPr>
          <w:rStyle w:val="libFootnoteBoldChar"/>
          <w:rtl/>
        </w:rPr>
        <w:t>قرب الإسناد</w:t>
      </w:r>
      <w:r w:rsidR="00744A1C">
        <w:rPr>
          <w:rtl/>
          <w:lang w:bidi="fa-IR"/>
        </w:rPr>
        <w:t xml:space="preserve"> ، ص 138 ، ح 488 ، بسند آخر عن جعفر ، عن أبيه </w:t>
      </w:r>
      <w:r w:rsidR="00F112A7" w:rsidRPr="00CE5A92">
        <w:rPr>
          <w:rStyle w:val="libFootnoteAlaemChar"/>
          <w:rtl/>
        </w:rPr>
        <w:t>عليهما‌السلام</w:t>
      </w:r>
      <w:r w:rsidR="00E0798D" w:rsidRPr="00E0798D">
        <w:rPr>
          <w:rFonts w:hint="cs"/>
          <w:rtl/>
        </w:rPr>
        <w:t xml:space="preserve"> </w:t>
      </w:r>
      <w:r w:rsidR="00E0798D">
        <w:rPr>
          <w:rStyle w:val="libFootnoteAlaemChar"/>
          <w:rFonts w:hint="cs"/>
          <w:rtl/>
        </w:rPr>
        <w:t>.</w:t>
      </w:r>
      <w:r w:rsidR="00744A1C" w:rsidRPr="00C24F9C">
        <w:rPr>
          <w:rStyle w:val="libFootnoteBoldChar"/>
          <w:rtl/>
        </w:rPr>
        <w:t>الوافي</w:t>
      </w:r>
      <w:r w:rsidR="00744A1C">
        <w:rPr>
          <w:rtl/>
          <w:lang w:bidi="fa-IR"/>
        </w:rPr>
        <w:t xml:space="preserve"> ، ج 15 ، ص 102 ، ح 14752 ؛ </w:t>
      </w:r>
      <w:r w:rsidR="00744A1C" w:rsidRPr="00C24F9C">
        <w:rPr>
          <w:rStyle w:val="libFootnoteBoldChar"/>
          <w:rtl/>
        </w:rPr>
        <w:t>الوسائل</w:t>
      </w:r>
      <w:r w:rsidR="00744A1C">
        <w:rPr>
          <w:rtl/>
          <w:lang w:bidi="fa-IR"/>
        </w:rPr>
        <w:t xml:space="preserve"> ، ج 15 ، ص 67 ، ح 19998.</w:t>
      </w:r>
    </w:p>
    <w:p w:rsidR="00744A1C" w:rsidRDefault="00E378DD" w:rsidP="00E378DD">
      <w:pPr>
        <w:pStyle w:val="libFootnote0"/>
        <w:rPr>
          <w:lang w:bidi="fa-IR"/>
        </w:rPr>
      </w:pPr>
      <w:r>
        <w:rPr>
          <w:rtl/>
          <w:lang w:bidi="fa-IR"/>
        </w:rPr>
        <w:t>(7).</w:t>
      </w:r>
      <w:r w:rsidR="00744A1C">
        <w:rPr>
          <w:rtl/>
          <w:lang w:bidi="fa-IR"/>
        </w:rPr>
        <w:t xml:space="preserve"> هكذا في « بث ، بس ، بف » </w:t>
      </w:r>
      <w:r w:rsidR="00744A1C" w:rsidRPr="00E0798D">
        <w:rPr>
          <w:rtl/>
        </w:rPr>
        <w:t>والوافي والتهذيب</w:t>
      </w:r>
      <w:r w:rsidR="00744A1C">
        <w:rPr>
          <w:rtl/>
          <w:lang w:bidi="fa-IR"/>
        </w:rPr>
        <w:t xml:space="preserve">. وفي « ى ، بح ، جت ، جد ، جن » والمطبوع </w:t>
      </w:r>
      <w:r w:rsidR="00744A1C" w:rsidRPr="00E0798D">
        <w:rPr>
          <w:rtl/>
        </w:rPr>
        <w:t>والوسائل</w:t>
      </w:r>
      <w:r w:rsidR="00744A1C">
        <w:rPr>
          <w:rtl/>
          <w:lang w:bidi="fa-IR"/>
        </w:rPr>
        <w:t xml:space="preserve"> : « يحيى‌</w:t>
      </w:r>
      <w:r w:rsidR="00E0798D">
        <w:rPr>
          <w:rFonts w:hint="cs"/>
          <w:rtl/>
          <w:lang w:bidi="fa-IR"/>
        </w:rPr>
        <w:t xml:space="preserve"> </w:t>
      </w:r>
      <w:r w:rsidR="00744A1C">
        <w:rPr>
          <w:rtl/>
          <w:lang w:bidi="fa-IR"/>
        </w:rPr>
        <w:t>بن عمران ».</w:t>
      </w:r>
    </w:p>
    <w:p w:rsidR="00744A1C" w:rsidRDefault="00744A1C" w:rsidP="00D10E3C">
      <w:pPr>
        <w:pStyle w:val="libFootnote0"/>
        <w:rPr>
          <w:lang w:bidi="fa-IR"/>
        </w:rPr>
      </w:pPr>
      <w:r>
        <w:rPr>
          <w:rtl/>
          <w:lang w:bidi="fa-IR"/>
        </w:rPr>
        <w:t xml:space="preserve">والظاهر أنّ الصواب ما أثبتناه ؛ فقد ذكر البرقي في رجاله ، ص 54 يحيى بن أبي عمران الهمداني في أصحاب أبي الحسن الرضا </w:t>
      </w:r>
      <w:r w:rsidR="0061079A" w:rsidRPr="0061079A">
        <w:rPr>
          <w:rStyle w:val="libFootnoteAlaemChar"/>
          <w:rtl/>
        </w:rPr>
        <w:t>عليه‌السلام</w:t>
      </w:r>
      <w:r w:rsidR="00D10E3C">
        <w:rPr>
          <w:rtl/>
          <w:lang w:bidi="fa-IR"/>
        </w:rPr>
        <w:t xml:space="preserve"> </w:t>
      </w:r>
      <w:r>
        <w:rPr>
          <w:rtl/>
          <w:lang w:bidi="fa-IR"/>
        </w:rPr>
        <w:t>ومن نشأ في عصره.</w:t>
      </w:r>
    </w:p>
    <w:p w:rsidR="00144FA6" w:rsidRDefault="00744A1C" w:rsidP="00D10E3C">
      <w:pPr>
        <w:pStyle w:val="libFootnote0"/>
        <w:rPr>
          <w:rtl/>
          <w:lang w:bidi="fa-IR"/>
        </w:rPr>
      </w:pPr>
      <w:r>
        <w:rPr>
          <w:rtl/>
          <w:lang w:bidi="fa-IR"/>
        </w:rPr>
        <w:t xml:space="preserve">وأمّا ما ورد في </w:t>
      </w:r>
      <w:r w:rsidRPr="0061079A">
        <w:rPr>
          <w:rStyle w:val="libFootnoteBoldChar"/>
          <w:rtl/>
        </w:rPr>
        <w:t>رجال الطوسي</w:t>
      </w:r>
      <w:r>
        <w:rPr>
          <w:rtl/>
          <w:lang w:bidi="fa-IR"/>
        </w:rPr>
        <w:t xml:space="preserve"> ، ص 369 ، الرقم 5484 من يحيى بن عمران الهمداني [ يونسي ] ، فهو معارض لما ذكره الشيخ الصدوق في طريقه إلى يحيى بن أبي عمران ، حيث قال بعد ذكر طريقه إليه : « وكان تلميذ يونس بن عبد الرحمن » ، ومعارض أيضاً لما ورد في كثيرٍ من أسناد </w:t>
      </w:r>
      <w:r w:rsidRPr="00211914">
        <w:rPr>
          <w:rStyle w:val="libFootnoteBoldChar"/>
          <w:rtl/>
        </w:rPr>
        <w:t>بصائر الدرجات</w:t>
      </w:r>
      <w:r>
        <w:rPr>
          <w:rtl/>
          <w:lang w:bidi="fa-IR"/>
        </w:rPr>
        <w:t xml:space="preserve"> ، من رواية إبراهيم بن</w:t>
      </w:r>
      <w:r w:rsidR="00E0798D">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EE40F1">
      <w:pPr>
        <w:pStyle w:val="libNormal0"/>
        <w:rPr>
          <w:rtl/>
          <w:lang w:bidi="fa-IR"/>
        </w:rPr>
      </w:pPr>
      <w:r>
        <w:rPr>
          <w:rtl/>
          <w:lang w:bidi="fa-IR"/>
        </w:rPr>
        <w:t xml:space="preserve">سُلَيْمَانَ </w:t>
      </w:r>
      <w:r w:rsidRPr="00D10E3C">
        <w:rPr>
          <w:rStyle w:val="libFootnotenumChar"/>
          <w:rtl/>
        </w:rPr>
        <w:t>(1)</w:t>
      </w:r>
      <w:r>
        <w:rPr>
          <w:rtl/>
          <w:lang w:bidi="fa-IR"/>
        </w:rPr>
        <w:t xml:space="preserve"> ، قَالَ :</w:t>
      </w:r>
    </w:p>
    <w:p w:rsidR="00144FA6" w:rsidRDefault="00744A1C" w:rsidP="00744A1C">
      <w:pPr>
        <w:pStyle w:val="libNormal"/>
        <w:rPr>
          <w:rtl/>
          <w:lang w:bidi="fa-IR"/>
        </w:rPr>
      </w:pPr>
      <w:r>
        <w:rPr>
          <w:rtl/>
          <w:lang w:bidi="fa-IR"/>
        </w:rPr>
        <w:t xml:space="preserve">سَمِعْتُ أَبَا جَعْفَرٍ </w:t>
      </w:r>
      <w:r w:rsidR="0061079A" w:rsidRPr="0061079A">
        <w:rPr>
          <w:rStyle w:val="libAlaemChar"/>
          <w:rtl/>
        </w:rPr>
        <w:t>عليه‌السلام</w:t>
      </w:r>
      <w:r w:rsidR="00D10E3C">
        <w:rPr>
          <w:rtl/>
          <w:lang w:bidi="fa-IR"/>
        </w:rPr>
        <w:t xml:space="preserve"> </w:t>
      </w:r>
      <w:r>
        <w:rPr>
          <w:rtl/>
          <w:lang w:bidi="fa-IR"/>
        </w:rPr>
        <w:t xml:space="preserve">يَقُولُ : « مَا مِنْ رَجُلٍ آمَنَ رَجُلاً عَلى ذِمَّةٍ </w:t>
      </w:r>
      <w:r w:rsidRPr="00D10E3C">
        <w:rPr>
          <w:rStyle w:val="libFootnotenumChar"/>
          <w:rtl/>
        </w:rPr>
        <w:t>(2)</w:t>
      </w:r>
      <w:r w:rsidR="00E0798D">
        <w:rPr>
          <w:rtl/>
          <w:lang w:bidi="fa-IR"/>
        </w:rPr>
        <w:t xml:space="preserve"> ثُمَّ قَتَلَهُ إِل</w:t>
      </w:r>
      <w:r w:rsidR="00E0798D">
        <w:rPr>
          <w:rFonts w:hint="cs"/>
          <w:rtl/>
          <w:lang w:bidi="fa-IR"/>
        </w:rPr>
        <w:t>َّ</w:t>
      </w:r>
      <w:r w:rsidR="00E0798D">
        <w:rPr>
          <w:rtl/>
          <w:lang w:bidi="fa-IR"/>
        </w:rPr>
        <w:t>ا</w:t>
      </w:r>
      <w:r>
        <w:rPr>
          <w:rtl/>
          <w:lang w:bidi="fa-IR"/>
        </w:rPr>
        <w:t xml:space="preserve"> جَاءَ يَوْمَ الْقِيَامَةِ يَحْمِلُ لِوَاءَ الْغَدْرِ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 xml:space="preserve">8242 / 4. عَلِيُّ بْنُ إِبْرَاهِيمَ </w:t>
      </w:r>
      <w:r w:rsidRPr="00D10E3C">
        <w:rPr>
          <w:rStyle w:val="libFootnotenumChar"/>
          <w:rtl/>
        </w:rPr>
        <w:t>(5)</w:t>
      </w:r>
      <w:r>
        <w:rPr>
          <w:rtl/>
          <w:lang w:bidi="fa-IR"/>
        </w:rPr>
        <w:t xml:space="preserve"> ، عَنْ أَبِيهِ ، عَنِ ابْنِ أَبِي عُمَيْرٍ ، عَنْ مُحَمَّدِ بْنِ حَكِيمٍ </w:t>
      </w:r>
      <w:r w:rsidRPr="00D10E3C">
        <w:rPr>
          <w:rStyle w:val="libFootnotenumChar"/>
          <w:rtl/>
        </w:rPr>
        <w:t>(6)</w:t>
      </w:r>
      <w:r>
        <w:rPr>
          <w:rtl/>
          <w:lang w:bidi="fa-IR"/>
        </w:rPr>
        <w:t xml:space="preserve"> :</w:t>
      </w:r>
    </w:p>
    <w:p w:rsidR="00744A1C" w:rsidRDefault="00744A1C" w:rsidP="00D10E3C">
      <w:pPr>
        <w:pStyle w:val="libLine"/>
        <w:rPr>
          <w:lang w:bidi="fa-IR"/>
        </w:rPr>
      </w:pPr>
      <w:r>
        <w:rPr>
          <w:rtl/>
          <w:lang w:bidi="fa-IR"/>
        </w:rPr>
        <w:t>____________________</w:t>
      </w:r>
    </w:p>
    <w:p w:rsidR="00744A1C" w:rsidRDefault="00E0798D" w:rsidP="00D10E3C">
      <w:pPr>
        <w:pStyle w:val="libFootnote0"/>
        <w:rPr>
          <w:lang w:bidi="fa-IR"/>
        </w:rPr>
      </w:pPr>
      <w:r>
        <w:rPr>
          <w:rFonts w:hint="cs"/>
          <w:rtl/>
          <w:lang w:bidi="fa-IR"/>
        </w:rPr>
        <w:t xml:space="preserve">= </w:t>
      </w:r>
      <w:r w:rsidR="00744A1C">
        <w:rPr>
          <w:rtl/>
          <w:lang w:bidi="fa-IR"/>
        </w:rPr>
        <w:t xml:space="preserve">هاشم عن يحيى بن أبي عمران عن يونس. وقد وردت في </w:t>
      </w:r>
      <w:r w:rsidR="00744A1C" w:rsidRPr="00610FB4">
        <w:rPr>
          <w:rStyle w:val="libFootnoteBoldChar"/>
          <w:rtl/>
        </w:rPr>
        <w:t>تفسير القمّي</w:t>
      </w:r>
      <w:r w:rsidR="00744A1C">
        <w:rPr>
          <w:rtl/>
          <w:lang w:bidi="fa-IR"/>
        </w:rPr>
        <w:t xml:space="preserve"> ، ج 1 ، ص 30 ، و 304 و 324 ؛ وج 2 ، ص 79 رواية عليّ بن إبراهيم عن أبيه عن يحيى بن أبي عمران عن يونس. راجع : </w:t>
      </w:r>
      <w:r w:rsidR="00744A1C" w:rsidRPr="00C24F9C">
        <w:rPr>
          <w:rStyle w:val="libFootnoteBoldChar"/>
          <w:rtl/>
        </w:rPr>
        <w:t>الفقيه</w:t>
      </w:r>
      <w:r w:rsidR="00744A1C">
        <w:rPr>
          <w:rtl/>
          <w:lang w:bidi="fa-IR"/>
        </w:rPr>
        <w:t xml:space="preserve"> ، ج 4 ، ص 450 ؛ </w:t>
      </w:r>
      <w:r w:rsidR="00744A1C" w:rsidRPr="0061079A">
        <w:rPr>
          <w:rStyle w:val="libFootnoteBoldChar"/>
          <w:rtl/>
        </w:rPr>
        <w:t>معجم رجال الحديث</w:t>
      </w:r>
      <w:r w:rsidR="00744A1C">
        <w:rPr>
          <w:rtl/>
          <w:lang w:bidi="fa-IR"/>
        </w:rPr>
        <w:t xml:space="preserve"> ، ج 20 ، ص 26 - 27.</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التهذيب</w:t>
      </w:r>
      <w:r w:rsidR="00744A1C">
        <w:rPr>
          <w:rtl/>
          <w:lang w:bidi="fa-IR"/>
        </w:rPr>
        <w:t xml:space="preserve"> : « أبي عبد الله بن سليمان » ، لكن لم يرد « أبي » في بعض نسخه ، وهو الصواب. وعبد الله بن سليمان هذا ، هو الصيرفيّ المذكور في </w:t>
      </w:r>
      <w:r w:rsidR="00744A1C" w:rsidRPr="003A7143">
        <w:rPr>
          <w:rStyle w:val="libFootnoteBoldChar"/>
          <w:rtl/>
        </w:rPr>
        <w:t>رجال النجاشي</w:t>
      </w:r>
      <w:r w:rsidR="00744A1C">
        <w:rPr>
          <w:rtl/>
          <w:lang w:bidi="fa-IR"/>
        </w:rPr>
        <w:t xml:space="preserve"> ، ص 225 ، الرقم 592.</w:t>
      </w:r>
    </w:p>
    <w:p w:rsidR="00744A1C" w:rsidRDefault="00E378DD" w:rsidP="00E378DD">
      <w:pPr>
        <w:pStyle w:val="libFootnote0"/>
        <w:rPr>
          <w:lang w:bidi="fa-IR"/>
        </w:rPr>
      </w:pPr>
      <w:r>
        <w:rPr>
          <w:rtl/>
          <w:lang w:bidi="fa-IR"/>
        </w:rPr>
        <w:t>(2).</w:t>
      </w:r>
      <w:r w:rsidR="00744A1C">
        <w:rPr>
          <w:rtl/>
          <w:lang w:bidi="fa-IR"/>
        </w:rPr>
        <w:t xml:space="preserve"> في « ى » : « ذمّته ». وفي </w:t>
      </w:r>
      <w:r w:rsidR="00744A1C" w:rsidRPr="00E0798D">
        <w:rPr>
          <w:rtl/>
        </w:rPr>
        <w:t>الوافي والفقيه وثواب الأعمال</w:t>
      </w:r>
      <w:r w:rsidR="00744A1C">
        <w:rPr>
          <w:rtl/>
          <w:lang w:bidi="fa-IR"/>
        </w:rPr>
        <w:t xml:space="preserve"> : « دمه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357 : « قوله </w:t>
      </w:r>
      <w:r w:rsidR="0061079A" w:rsidRPr="0061079A">
        <w:rPr>
          <w:rStyle w:val="libFootnoteAlaemChar"/>
          <w:rtl/>
        </w:rPr>
        <w:t>عليه‌السلام</w:t>
      </w:r>
      <w:r w:rsidR="00D10E3C">
        <w:rPr>
          <w:rtl/>
          <w:lang w:bidi="fa-IR"/>
        </w:rPr>
        <w:t xml:space="preserve"> </w:t>
      </w:r>
      <w:r w:rsidR="00744A1C">
        <w:rPr>
          <w:rtl/>
          <w:lang w:bidi="fa-IR"/>
        </w:rPr>
        <w:t>: يحمل لواء الغدر ، إمّا كناية عن اشتهاره بالغدر ، أو يحمل لواء يعرف بسببه بها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140 ، ح 236 ، معلّقاً عن الكليني. </w:t>
      </w:r>
      <w:r w:rsidR="00744A1C" w:rsidRPr="000F3F68">
        <w:rPr>
          <w:rStyle w:val="libFootnoteBoldChar"/>
          <w:rtl/>
        </w:rPr>
        <w:t>ثواب الأعمال</w:t>
      </w:r>
      <w:r w:rsidR="00744A1C">
        <w:rPr>
          <w:rtl/>
          <w:lang w:bidi="fa-IR"/>
        </w:rPr>
        <w:t xml:space="preserve"> ، ص 305 ، ح 1 ، بسنده عن إبراهيم بن هاشم ، عن يحيى بن عمران. </w:t>
      </w:r>
      <w:r w:rsidR="00744A1C" w:rsidRPr="00C24F9C">
        <w:rPr>
          <w:rStyle w:val="libFootnoteBoldChar"/>
          <w:rtl/>
        </w:rPr>
        <w:t>الفقيه</w:t>
      </w:r>
      <w:r w:rsidR="00744A1C">
        <w:rPr>
          <w:rtl/>
          <w:lang w:bidi="fa-IR"/>
        </w:rPr>
        <w:t xml:space="preserve"> ، ج 3 ، ص 569 ، ح 4943 ، معلّقاً عن يونس بن عبد الرحمن ، عن عبد الله بن سليمان </w:t>
      </w:r>
      <w:r w:rsidR="000F3F68">
        <w:rPr>
          <w:rFonts w:hint="cs"/>
          <w:rtl/>
          <w:lang w:bidi="fa-IR"/>
        </w:rPr>
        <w:t>.</w:t>
      </w:r>
      <w:r w:rsidR="00744A1C" w:rsidRPr="00C24F9C">
        <w:rPr>
          <w:rStyle w:val="libFootnoteBoldChar"/>
          <w:rtl/>
        </w:rPr>
        <w:t>الوافي</w:t>
      </w:r>
      <w:r w:rsidR="00744A1C">
        <w:rPr>
          <w:rtl/>
          <w:lang w:bidi="fa-IR"/>
        </w:rPr>
        <w:t xml:space="preserve"> ، ج 15 ، ص 102 ، ح 14754 ؛ </w:t>
      </w:r>
      <w:r w:rsidR="00744A1C" w:rsidRPr="00C24F9C">
        <w:rPr>
          <w:rStyle w:val="libFootnoteBoldChar"/>
          <w:rtl/>
        </w:rPr>
        <w:t>الوسائل</w:t>
      </w:r>
      <w:r w:rsidR="00744A1C">
        <w:rPr>
          <w:rtl/>
          <w:lang w:bidi="fa-IR"/>
        </w:rPr>
        <w:t xml:space="preserve"> ، ج 15 ، ص 67 ، ح 19999.</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 « بن إبراهيم ».</w:t>
      </w:r>
    </w:p>
    <w:p w:rsidR="00744A1C" w:rsidRDefault="00E378DD" w:rsidP="00E378DD">
      <w:pPr>
        <w:pStyle w:val="libFootnote0"/>
        <w:rPr>
          <w:lang w:bidi="fa-IR"/>
        </w:rPr>
      </w:pPr>
      <w:r>
        <w:rPr>
          <w:rtl/>
          <w:lang w:bidi="fa-IR"/>
        </w:rPr>
        <w:t>(6).</w:t>
      </w:r>
      <w:r w:rsidR="00744A1C">
        <w:rPr>
          <w:rtl/>
          <w:lang w:bidi="fa-IR"/>
        </w:rPr>
        <w:t xml:space="preserve"> هكذا في </w:t>
      </w:r>
      <w:r w:rsidR="00744A1C" w:rsidRPr="000F3F68">
        <w:rPr>
          <w:rtl/>
        </w:rPr>
        <w:t>التهذيب</w:t>
      </w:r>
      <w:r w:rsidR="00744A1C">
        <w:rPr>
          <w:rtl/>
          <w:lang w:bidi="fa-IR"/>
        </w:rPr>
        <w:t xml:space="preserve">. وفي « ى ، بث ، بح ، بس ، بف ، جت ، جد ، جن » والمطبوع </w:t>
      </w:r>
      <w:r w:rsidR="00744A1C" w:rsidRPr="000F3F68">
        <w:rPr>
          <w:rtl/>
        </w:rPr>
        <w:t>والوسائل</w:t>
      </w:r>
      <w:r w:rsidR="00744A1C">
        <w:rPr>
          <w:rtl/>
          <w:lang w:bidi="fa-IR"/>
        </w:rPr>
        <w:t xml:space="preserve"> : « محمّد بن الحكم ».</w:t>
      </w:r>
    </w:p>
    <w:p w:rsidR="00744A1C" w:rsidRDefault="00744A1C" w:rsidP="00D10E3C">
      <w:pPr>
        <w:pStyle w:val="libFootnote0"/>
        <w:rPr>
          <w:lang w:bidi="fa-IR"/>
        </w:rPr>
      </w:pPr>
      <w:r>
        <w:rPr>
          <w:rtl/>
          <w:lang w:bidi="fa-IR"/>
        </w:rPr>
        <w:t xml:space="preserve">والظاهر أنّ محمّداً هذا ، هو محمّد بن حكيم الخثعمي الذي عدّة النجاشي في رجاله ، ص 357 ، الرقم 957 من رواة أبي عبد الله وأبي الحسن </w:t>
      </w:r>
      <w:r w:rsidR="00F112A7" w:rsidRPr="00CE5A92">
        <w:rPr>
          <w:rStyle w:val="libFootnoteAlaemChar"/>
          <w:rtl/>
        </w:rPr>
        <w:t>عليهما‌السلام</w:t>
      </w:r>
      <w:r>
        <w:rPr>
          <w:rtl/>
          <w:lang w:bidi="fa-IR"/>
        </w:rPr>
        <w:t xml:space="preserve">. وروى [ محمّد ] بن أبي عمير عن محمّد بن حكيم عن أبي عبد الله </w:t>
      </w:r>
      <w:r w:rsidR="0061079A" w:rsidRPr="0061079A">
        <w:rPr>
          <w:rStyle w:val="libFootnoteAlaemChar"/>
          <w:rtl/>
        </w:rPr>
        <w:t>عليه‌السلام</w:t>
      </w:r>
      <w:r w:rsidR="00D10E3C">
        <w:rPr>
          <w:rtl/>
          <w:lang w:bidi="fa-IR"/>
        </w:rPr>
        <w:t xml:space="preserve"> </w:t>
      </w:r>
      <w:r>
        <w:rPr>
          <w:rtl/>
          <w:lang w:bidi="fa-IR"/>
        </w:rPr>
        <w:t xml:space="preserve">، وكذا عن أبي الحسن [ موسى ] </w:t>
      </w:r>
      <w:r w:rsidR="0061079A" w:rsidRPr="0061079A">
        <w:rPr>
          <w:rStyle w:val="libFootnoteAlaemChar"/>
          <w:rtl/>
        </w:rPr>
        <w:t>عليه‌السلام</w:t>
      </w:r>
      <w:r w:rsidR="00D10E3C">
        <w:rPr>
          <w:rtl/>
          <w:lang w:bidi="fa-IR"/>
        </w:rPr>
        <w:t xml:space="preserve"> </w:t>
      </w:r>
      <w:r>
        <w:rPr>
          <w:rtl/>
          <w:lang w:bidi="fa-IR"/>
        </w:rPr>
        <w:t xml:space="preserve">في بعض الأسناد. وأحد طريقي الشيخ الصدوق إلى محمّد بن حكيم ينتهي إلى محمّد بن أبي عمير. راجع : </w:t>
      </w:r>
      <w:r w:rsidRPr="0061079A">
        <w:rPr>
          <w:rStyle w:val="libFootnoteBoldChar"/>
          <w:rtl/>
        </w:rPr>
        <w:t>معجم رجال الحديث</w:t>
      </w:r>
      <w:r>
        <w:rPr>
          <w:rtl/>
          <w:lang w:bidi="fa-IR"/>
        </w:rPr>
        <w:t xml:space="preserve"> ، ج 16 ، ص 348 - 349 ؛ </w:t>
      </w:r>
      <w:r w:rsidRPr="00C24F9C">
        <w:rPr>
          <w:rStyle w:val="libFootnoteBoldChar"/>
          <w:rtl/>
        </w:rPr>
        <w:t>الفقيه</w:t>
      </w:r>
      <w:r>
        <w:rPr>
          <w:rtl/>
          <w:lang w:bidi="fa-IR"/>
        </w:rPr>
        <w:t xml:space="preserve"> ، ج 4 ، ص 489.</w:t>
      </w:r>
    </w:p>
    <w:p w:rsidR="00744A1C" w:rsidRDefault="00744A1C" w:rsidP="00D10E3C">
      <w:pPr>
        <w:pStyle w:val="libFootnote0"/>
        <w:rPr>
          <w:lang w:bidi="fa-IR"/>
        </w:rPr>
      </w:pPr>
      <w:r>
        <w:rPr>
          <w:rtl/>
          <w:lang w:bidi="fa-IR"/>
        </w:rPr>
        <w:t xml:space="preserve">والمظنون أنّ كتابة محمّد بن حكيم بالألف واللام ، محمّد بن الحكيم في بعض النسخ - كما في </w:t>
      </w:r>
      <w:r w:rsidRPr="00C24F9C">
        <w:rPr>
          <w:rStyle w:val="libFootnoteBoldChar"/>
          <w:rtl/>
        </w:rPr>
        <w:t>الفقيه</w:t>
      </w:r>
      <w:r>
        <w:rPr>
          <w:rtl/>
          <w:lang w:bidi="fa-IR"/>
        </w:rPr>
        <w:t xml:space="preserve"> ، ج 3 ، ص 92 ، ح 3389 - جعل العنوان في معرض التصحيف.</w:t>
      </w:r>
    </w:p>
    <w:p w:rsidR="00744A1C" w:rsidRDefault="00744A1C" w:rsidP="00D10E3C">
      <w:pPr>
        <w:pStyle w:val="libFootnote0"/>
        <w:rPr>
          <w:lang w:bidi="fa-IR"/>
        </w:rPr>
      </w:pPr>
      <w:r>
        <w:rPr>
          <w:rtl/>
          <w:lang w:bidi="fa-IR"/>
        </w:rPr>
        <w:t xml:space="preserve">وأمّا احتمال صحّة محمّد بن الحكم ، لما ورد في </w:t>
      </w:r>
      <w:r w:rsidRPr="0061079A">
        <w:rPr>
          <w:rStyle w:val="libFootnoteBoldChar"/>
          <w:rtl/>
        </w:rPr>
        <w:t>الكافي</w:t>
      </w:r>
      <w:r>
        <w:rPr>
          <w:rtl/>
          <w:lang w:bidi="fa-IR"/>
        </w:rPr>
        <w:t xml:space="preserve"> ، 12414 من رواية ابن أبي عمير عن محمّد بن الحكم أخي هشام بن الحكم عن عمر بن يزيد ، فضعيف جدّاً ؛ </w:t>
      </w:r>
      <w:r w:rsidR="000F3F68">
        <w:rPr>
          <w:rtl/>
          <w:lang w:bidi="fa-IR"/>
        </w:rPr>
        <w:t>لأنّ محمّد بن الحكم لم نجده إل</w:t>
      </w:r>
      <w:r w:rsidR="000F3F68">
        <w:rPr>
          <w:rFonts w:hint="cs"/>
          <w:rtl/>
          <w:lang w:bidi="fa-IR"/>
        </w:rPr>
        <w:t>ّ</w:t>
      </w:r>
      <w:r w:rsidR="000F3F68">
        <w:rPr>
          <w:rtl/>
          <w:lang w:bidi="fa-IR"/>
        </w:rPr>
        <w:t>ا</w:t>
      </w:r>
      <w:r w:rsidR="000F3F68">
        <w:rPr>
          <w:rFonts w:hint="cs"/>
          <w:rtl/>
          <w:lang w:bidi="fa-IR"/>
        </w:rPr>
        <w:t xml:space="preserve"> </w:t>
      </w:r>
      <w:r>
        <w:rPr>
          <w:rtl/>
          <w:lang w:bidi="fa-IR"/>
        </w:rPr>
        <w:t xml:space="preserve">في السند المنتهي إلى هذا الخبر ، ولم يرد له ذكر في كتب الرجال ، ولم يثبت روايته عن أبي عبد الله أو أبي الحسن </w:t>
      </w:r>
      <w:r w:rsidR="00F112A7" w:rsidRPr="00CE5A92">
        <w:rPr>
          <w:rStyle w:val="libFootnoteAlaemChar"/>
          <w:rtl/>
        </w:rPr>
        <w:t>عليهما‌السلام</w:t>
      </w:r>
      <w:r>
        <w:rPr>
          <w:rtl/>
          <w:lang w:bidi="fa-IR"/>
        </w:rPr>
        <w:t>. والظاهر أنّه رجل غير معروف كما يرشد إلى هذا تعريفه بأخي هشام بن الحكم.</w:t>
      </w:r>
    </w:p>
    <w:p w:rsidR="006A5060" w:rsidRDefault="006A5060" w:rsidP="00D10E3C">
      <w:pPr>
        <w:pStyle w:val="libNormal"/>
        <w:rPr>
          <w:rtl/>
          <w:lang w:bidi="fa-IR"/>
        </w:rPr>
      </w:pPr>
      <w:r>
        <w:rPr>
          <w:rtl/>
          <w:lang w:bidi="fa-IR"/>
        </w:rPr>
        <w:br w:type="page"/>
      </w:r>
    </w:p>
    <w:p w:rsidR="00144FA6" w:rsidRDefault="00744A1C" w:rsidP="000F3F68">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أَوْ عَنْ أَبِي الْحَسَنِ </w:t>
      </w:r>
      <w:r w:rsidR="000F3F68" w:rsidRPr="000F3F68">
        <w:rPr>
          <w:rStyle w:val="libAlaemChar"/>
          <w:rtl/>
        </w:rPr>
        <w:t>عليه‌السلام</w:t>
      </w:r>
      <w:r w:rsidR="000F3F68">
        <w:rPr>
          <w:rtl/>
          <w:lang w:bidi="fa-IR"/>
        </w:rPr>
        <w:t xml:space="preserve"> </w:t>
      </w:r>
      <w:r w:rsidRPr="00D10E3C">
        <w:rPr>
          <w:rStyle w:val="libFootnotenumChar"/>
          <w:rtl/>
        </w:rPr>
        <w:t>(1)</w:t>
      </w:r>
      <w:r>
        <w:rPr>
          <w:rtl/>
          <w:lang w:bidi="fa-IR"/>
        </w:rPr>
        <w:t xml:space="preserve"> ، قَالَ : « لَوْ أَنَّ قَوْماً حَاصَرُوا مَدِينَةً ، فَسَأَلُوهُمُ الْأَمَانَ ، فَقَالُوا : لَا ، فَظَنُّوا أَنَّهُمْ قَالُوا : نَعَمْ ، فَنَزَلُوا إِلَيْهِمْ ، كَانُوا آمِنِينَ ». </w:t>
      </w:r>
      <w:r w:rsidRPr="00D10E3C">
        <w:rPr>
          <w:rStyle w:val="libFootnotenumChar"/>
          <w:rtl/>
        </w:rPr>
        <w:t>(2)</w:t>
      </w:r>
    </w:p>
    <w:p w:rsidR="00144FA6" w:rsidRDefault="00744A1C" w:rsidP="00744A1C">
      <w:pPr>
        <w:pStyle w:val="libNormal"/>
        <w:rPr>
          <w:rtl/>
          <w:lang w:bidi="fa-IR"/>
        </w:rPr>
      </w:pPr>
      <w:r>
        <w:rPr>
          <w:rtl/>
          <w:lang w:bidi="fa-IR"/>
        </w:rPr>
        <w:t xml:space="preserve">8243 / 5. مُحَمَّدُ بْنُ يَحْيى ، عَنْ أَحْمَدَ بْنِ مُحَمَّدٍ </w:t>
      </w:r>
      <w:r w:rsidRPr="00D10E3C">
        <w:rPr>
          <w:rStyle w:val="libFootnotenumChar"/>
          <w:rtl/>
        </w:rPr>
        <w:t>(3)</w:t>
      </w:r>
      <w:r>
        <w:rPr>
          <w:rtl/>
          <w:lang w:bidi="fa-IR"/>
        </w:rPr>
        <w:t xml:space="preserve"> ، عَنْ مُحَمَّدِ بْنِ يَح</w:t>
      </w:r>
      <w:r w:rsidR="000F3F68">
        <w:rPr>
          <w:rtl/>
          <w:lang w:bidi="fa-IR"/>
        </w:rPr>
        <w:t>ْيى ، عَنْ طَلْحَةَ بْنِ زَيْدٍ</w:t>
      </w:r>
      <w:r>
        <w:rPr>
          <w:rtl/>
          <w:lang w:bidi="fa-IR"/>
        </w:rPr>
        <w:t>:</w:t>
      </w:r>
    </w:p>
    <w:p w:rsidR="00144FA6" w:rsidRDefault="00744A1C" w:rsidP="00744A1C">
      <w:pPr>
        <w:pStyle w:val="libNormal"/>
        <w:rPr>
          <w:rtl/>
          <w:lang w:bidi="fa-IR"/>
        </w:rPr>
      </w:pPr>
      <w:r>
        <w:rPr>
          <w:rtl/>
          <w:lang w:bidi="fa-IR"/>
        </w:rPr>
        <w:t xml:space="preserve">عَنْ أَبِي عَبْدِ اللهِ ، عَنْ أَبِيهِ </w:t>
      </w:r>
      <w:r w:rsidR="008859AA" w:rsidRPr="008859AA">
        <w:rPr>
          <w:rStyle w:val="libAlaemChar"/>
          <w:rtl/>
        </w:rPr>
        <w:t>عليهما‌السلام</w:t>
      </w:r>
      <w:r>
        <w:rPr>
          <w:rtl/>
          <w:lang w:bidi="fa-IR"/>
        </w:rPr>
        <w:t xml:space="preserve">، قَالَ : « قَرَأْتُ فِي كِتَابٍ لِعَلِيٍّ </w:t>
      </w:r>
      <w:r w:rsidRPr="00D10E3C">
        <w:rPr>
          <w:rStyle w:val="libFootnotenumChar"/>
          <w:rtl/>
        </w:rPr>
        <w:t>(4)</w:t>
      </w:r>
      <w:r>
        <w:rPr>
          <w:rtl/>
          <w:lang w:bidi="fa-IR"/>
        </w:rPr>
        <w:t xml:space="preserve"> </w:t>
      </w:r>
      <w:r w:rsidR="000F3F68" w:rsidRPr="000F3F68">
        <w:rPr>
          <w:rStyle w:val="libAlaemChar"/>
          <w:rtl/>
        </w:rPr>
        <w:t>عليه‌السلام</w:t>
      </w:r>
      <w:r>
        <w:rPr>
          <w:rtl/>
          <w:lang w:bidi="fa-IR"/>
        </w:rPr>
        <w:t xml:space="preserve"> أَنَّ رَسُولَ اللهِ </w:t>
      </w:r>
      <w:r w:rsidR="000F3F68" w:rsidRPr="000F3F68">
        <w:rPr>
          <w:rStyle w:val="libAlaemChar"/>
          <w:rtl/>
        </w:rPr>
        <w:t>صلى‌الله‌عليه‌وآله</w:t>
      </w:r>
      <w:r w:rsidR="00D10E3C">
        <w:rPr>
          <w:rtl/>
          <w:lang w:bidi="fa-IR"/>
        </w:rPr>
        <w:t xml:space="preserve"> </w:t>
      </w:r>
      <w:r>
        <w:rPr>
          <w:rtl/>
          <w:lang w:bidi="fa-IR"/>
        </w:rPr>
        <w:t xml:space="preserve">كَتَبَ كِتَاباً </w:t>
      </w:r>
      <w:r w:rsidRPr="00D10E3C">
        <w:rPr>
          <w:rStyle w:val="libFootnotenumChar"/>
          <w:rtl/>
        </w:rPr>
        <w:t>(5)</w:t>
      </w:r>
      <w:r>
        <w:rPr>
          <w:rtl/>
          <w:lang w:bidi="fa-IR"/>
        </w:rPr>
        <w:t xml:space="preserve"> بَيْنَ الْمُهَاجِرِينَ وَالْأَنْصَارِ وَمَنْ لَحِقَ بِهِمْ مِنْ أَهْلِ يَثْرِبَ : أَنَّ كُلَّ غَازِيَةٍ </w:t>
      </w:r>
      <w:r w:rsidRPr="00D10E3C">
        <w:rPr>
          <w:rStyle w:val="libFootnotenumChar"/>
          <w:rtl/>
        </w:rPr>
        <w:t>(6)</w:t>
      </w:r>
      <w:r>
        <w:rPr>
          <w:rtl/>
          <w:lang w:bidi="fa-IR"/>
        </w:rPr>
        <w:t xml:space="preserve"> غَزَتْ بِمَا </w:t>
      </w:r>
      <w:r w:rsidRPr="00D10E3C">
        <w:rPr>
          <w:rStyle w:val="libFootnotenumChar"/>
          <w:rtl/>
        </w:rPr>
        <w:t>(7)</w:t>
      </w:r>
      <w:r>
        <w:rPr>
          <w:rtl/>
          <w:lang w:bidi="fa-IR"/>
        </w:rPr>
        <w:t xml:space="preserve"> يُعَقِّبُ </w:t>
      </w:r>
      <w:r w:rsidRPr="00D10E3C">
        <w:rPr>
          <w:rStyle w:val="libFootnotenumChar"/>
          <w:rtl/>
        </w:rPr>
        <w:t>(8)</w:t>
      </w:r>
      <w:r>
        <w:rPr>
          <w:rtl/>
          <w:lang w:bidi="fa-IR"/>
        </w:rPr>
        <w:t xml:space="preserve"> بَعْضُهَا بَعْضاً </w:t>
      </w:r>
      <w:r w:rsidRPr="00D10E3C">
        <w:rPr>
          <w:rStyle w:val="libFootnotenumChar"/>
          <w:rtl/>
        </w:rPr>
        <w:t>(9)</w:t>
      </w:r>
      <w:r>
        <w:rPr>
          <w:rtl/>
          <w:lang w:bidi="fa-IR"/>
        </w:rPr>
        <w:t xml:space="preserve"> بِالْمَعْرُوفِ وَالْقِسْطِ بَيْنَ الْمُسْلِمِينَ ، فَإِنَّهُ </w:t>
      </w:r>
      <w:r w:rsidRPr="00D10E3C">
        <w:rPr>
          <w:rStyle w:val="libFootnotenumChar"/>
          <w:rtl/>
        </w:rPr>
        <w:t>(10)</w:t>
      </w:r>
      <w:r>
        <w:rPr>
          <w:rtl/>
          <w:lang w:bidi="fa-IR"/>
        </w:rPr>
        <w:t xml:space="preserve"> لَايَجُوزُ حَرْبٌ </w:t>
      </w:r>
      <w:r w:rsidRPr="00D10E3C">
        <w:rPr>
          <w:rStyle w:val="libFootnotenumChar"/>
          <w:rtl/>
        </w:rPr>
        <w:t>(11)</w:t>
      </w:r>
      <w:r w:rsidR="000F3F68">
        <w:rPr>
          <w:rtl/>
          <w:lang w:bidi="fa-IR"/>
        </w:rPr>
        <w:t xml:space="preserve"> إِل</w:t>
      </w:r>
      <w:r w:rsidR="000F3F68">
        <w:rPr>
          <w:rFonts w:hint="cs"/>
          <w:rtl/>
          <w:lang w:bidi="fa-IR"/>
        </w:rPr>
        <w:t>َّ</w:t>
      </w:r>
      <w:r w:rsidR="000F3F68">
        <w:rPr>
          <w:rtl/>
          <w:lang w:bidi="fa-IR"/>
        </w:rPr>
        <w:t>ا</w:t>
      </w:r>
      <w:r>
        <w:rPr>
          <w:rtl/>
          <w:lang w:bidi="fa-IR"/>
        </w:rPr>
        <w:t xml:space="preserve"> بِإِذْنِ أَهْلِهَا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0F3F68">
        <w:rPr>
          <w:rtl/>
        </w:rPr>
        <w:t>الوسائل</w:t>
      </w:r>
      <w:r w:rsidR="00744A1C">
        <w:rPr>
          <w:rtl/>
          <w:lang w:bidi="fa-IR"/>
        </w:rPr>
        <w:t xml:space="preserve"> : - « أو عن أبي الحسن </w:t>
      </w:r>
      <w:r w:rsidR="0061079A" w:rsidRPr="0061079A">
        <w:rPr>
          <w:rStyle w:val="libFootnoteAlaemChar"/>
          <w:rtl/>
        </w:rPr>
        <w:t>عليه‌السلام</w:t>
      </w:r>
      <w:r>
        <w:rPr>
          <w:rtl/>
          <w:lang w:bidi="fa-IR"/>
        </w:rPr>
        <w:t xml:space="preserve"> </w:t>
      </w:r>
      <w:r w:rsidR="00744A1C">
        <w:rPr>
          <w:rtl/>
          <w:lang w:bidi="fa-IR"/>
        </w:rPr>
        <w:t>».</w:t>
      </w:r>
    </w:p>
    <w:p w:rsidR="00744A1C" w:rsidRDefault="00E378DD" w:rsidP="000F3F68">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140 ، ح 237 ، معلّقاً عن الكليني </w:t>
      </w:r>
      <w:r w:rsidR="000F3F68">
        <w:rPr>
          <w:rFonts w:hint="cs"/>
          <w:rtl/>
          <w:lang w:bidi="fa-IR"/>
        </w:rPr>
        <w:t>.</w:t>
      </w:r>
      <w:r w:rsidR="00744A1C" w:rsidRPr="00C24F9C">
        <w:rPr>
          <w:rStyle w:val="libFootnoteBoldChar"/>
          <w:rtl/>
        </w:rPr>
        <w:t>الوافي</w:t>
      </w:r>
      <w:r w:rsidR="00744A1C">
        <w:rPr>
          <w:rtl/>
          <w:lang w:bidi="fa-IR"/>
        </w:rPr>
        <w:t xml:space="preserve"> ، ج 15 ، ص 102 ، ح 14753 ؛ </w:t>
      </w:r>
      <w:r w:rsidR="00744A1C" w:rsidRPr="00C24F9C">
        <w:rPr>
          <w:rStyle w:val="libFootnoteBoldChar"/>
          <w:rtl/>
        </w:rPr>
        <w:t>الوسائل</w:t>
      </w:r>
      <w:r w:rsidR="00744A1C">
        <w:rPr>
          <w:rtl/>
          <w:lang w:bidi="fa-IR"/>
        </w:rPr>
        <w:t xml:space="preserve"> ، ج 15 ، ص 68 ، ح 20000.</w:t>
      </w:r>
      <w:r w:rsidR="000F3F68">
        <w:rPr>
          <w:rFonts w:hint="cs"/>
          <w:rtl/>
          <w:lang w:bidi="fa-IR"/>
        </w:rPr>
        <w:t xml:space="preserve">    </w:t>
      </w:r>
      <w:r>
        <w:rPr>
          <w:rtl/>
          <w:lang w:bidi="fa-IR"/>
        </w:rPr>
        <w:t>(3).</w:t>
      </w:r>
      <w:r w:rsidR="00744A1C">
        <w:rPr>
          <w:rtl/>
          <w:lang w:bidi="fa-IR"/>
        </w:rPr>
        <w:t xml:space="preserve"> في </w:t>
      </w:r>
      <w:r w:rsidR="00744A1C" w:rsidRPr="000F3F68">
        <w:rPr>
          <w:rtl/>
        </w:rPr>
        <w:t>الكافي</w:t>
      </w:r>
      <w:r w:rsidR="00744A1C">
        <w:rPr>
          <w:rtl/>
          <w:lang w:bidi="fa-IR"/>
        </w:rPr>
        <w:t xml:space="preserve"> ، ح 3757 : + « بن عيسى ».</w:t>
      </w:r>
    </w:p>
    <w:p w:rsidR="00744A1C" w:rsidRDefault="00E378DD" w:rsidP="00E378DD">
      <w:pPr>
        <w:pStyle w:val="libFootnote0"/>
        <w:rPr>
          <w:lang w:bidi="fa-IR"/>
        </w:rPr>
      </w:pPr>
      <w:r>
        <w:rPr>
          <w:rtl/>
          <w:lang w:bidi="fa-IR"/>
        </w:rPr>
        <w:t>(4).</w:t>
      </w:r>
      <w:r w:rsidR="00744A1C">
        <w:rPr>
          <w:rtl/>
          <w:lang w:bidi="fa-IR"/>
        </w:rPr>
        <w:t xml:space="preserve"> في </w:t>
      </w:r>
      <w:r w:rsidR="00744A1C" w:rsidRPr="000F3F68">
        <w:rPr>
          <w:rtl/>
        </w:rPr>
        <w:t>الوافي والكافي</w:t>
      </w:r>
      <w:r w:rsidR="00744A1C">
        <w:rPr>
          <w:rtl/>
          <w:lang w:bidi="fa-IR"/>
        </w:rPr>
        <w:t xml:space="preserve"> ، ح 3757 </w:t>
      </w:r>
      <w:r w:rsidR="00744A1C" w:rsidRPr="000F3F68">
        <w:rPr>
          <w:rtl/>
        </w:rPr>
        <w:t>والتهذيب</w:t>
      </w:r>
      <w:r w:rsidR="00744A1C">
        <w:rPr>
          <w:rtl/>
          <w:lang w:bidi="fa-IR"/>
        </w:rPr>
        <w:t xml:space="preserve"> : « عليّ ».</w:t>
      </w:r>
    </w:p>
    <w:p w:rsidR="00744A1C" w:rsidRDefault="00E378DD" w:rsidP="00E378DD">
      <w:pPr>
        <w:pStyle w:val="libFootnote0"/>
        <w:rPr>
          <w:lang w:bidi="fa-IR"/>
        </w:rPr>
      </w:pPr>
      <w:r>
        <w:rPr>
          <w:rtl/>
          <w:lang w:bidi="fa-IR"/>
        </w:rPr>
        <w:t>(5).</w:t>
      </w:r>
      <w:r w:rsidR="00744A1C">
        <w:rPr>
          <w:rtl/>
          <w:lang w:bidi="fa-IR"/>
        </w:rPr>
        <w:t xml:space="preserve"> في </w:t>
      </w:r>
      <w:r w:rsidR="00744A1C" w:rsidRPr="000F3F68">
        <w:rPr>
          <w:rtl/>
        </w:rPr>
        <w:t>الكافي</w:t>
      </w:r>
      <w:r w:rsidR="00744A1C">
        <w:rPr>
          <w:rtl/>
          <w:lang w:bidi="fa-IR"/>
        </w:rPr>
        <w:t xml:space="preserve"> ، ح 3757 : - « كتاباً ».</w:t>
      </w:r>
    </w:p>
    <w:p w:rsidR="00744A1C" w:rsidRDefault="00E378DD" w:rsidP="000F3F68">
      <w:pPr>
        <w:pStyle w:val="libFootnote0"/>
        <w:rPr>
          <w:lang w:bidi="fa-IR"/>
        </w:rPr>
      </w:pPr>
      <w:r>
        <w:rPr>
          <w:rtl/>
          <w:lang w:bidi="fa-IR"/>
        </w:rPr>
        <w:t>(6).</w:t>
      </w:r>
      <w:r w:rsidR="00744A1C">
        <w:rPr>
          <w:rtl/>
          <w:lang w:bidi="fa-IR"/>
        </w:rPr>
        <w:t xml:space="preserve"> الغازية : تأنيث الغازي ، وهي هاهنا صفة لجماعة غازية. راجع : </w:t>
      </w:r>
      <w:r w:rsidR="00744A1C" w:rsidRPr="00877682">
        <w:rPr>
          <w:rStyle w:val="libFootnoteBoldChar"/>
          <w:rtl/>
        </w:rPr>
        <w:t>النهاية</w:t>
      </w:r>
      <w:r w:rsidR="00744A1C">
        <w:rPr>
          <w:rtl/>
          <w:lang w:bidi="fa-IR"/>
        </w:rPr>
        <w:t xml:space="preserve"> ، ج 3 ، ص 366 ( غزا ) ؛ </w:t>
      </w:r>
      <w:r w:rsidR="00744A1C" w:rsidRPr="00877682">
        <w:rPr>
          <w:rStyle w:val="libFootnoteBoldChar"/>
          <w:rtl/>
        </w:rPr>
        <w:t>مرآة العقول</w:t>
      </w:r>
      <w:r w:rsidR="00744A1C">
        <w:rPr>
          <w:rtl/>
          <w:lang w:bidi="fa-IR"/>
        </w:rPr>
        <w:t xml:space="preserve"> ، ج 18 ، ص 358.</w:t>
      </w:r>
      <w:r w:rsidR="000F3F68">
        <w:rPr>
          <w:rFonts w:hint="cs"/>
          <w:rtl/>
          <w:lang w:bidi="fa-IR"/>
        </w:rPr>
        <w:t xml:space="preserve">          </w:t>
      </w:r>
      <w:r>
        <w:rPr>
          <w:rtl/>
          <w:lang w:bidi="fa-IR"/>
        </w:rPr>
        <w:t>(7).</w:t>
      </w:r>
      <w:r w:rsidR="00744A1C">
        <w:rPr>
          <w:rtl/>
          <w:lang w:bidi="fa-IR"/>
        </w:rPr>
        <w:t xml:space="preserve"> في </w:t>
      </w:r>
      <w:r w:rsidR="00744A1C" w:rsidRPr="000F3F68">
        <w:rPr>
          <w:rtl/>
        </w:rPr>
        <w:t>الوافي</w:t>
      </w:r>
      <w:r w:rsidR="00744A1C">
        <w:rPr>
          <w:rtl/>
          <w:lang w:bidi="fa-IR"/>
        </w:rPr>
        <w:t xml:space="preserve"> : - « بما ». وفي </w:t>
      </w:r>
      <w:r w:rsidR="00744A1C" w:rsidRPr="000F3F68">
        <w:rPr>
          <w:rtl/>
        </w:rPr>
        <w:t>التهذيب</w:t>
      </w:r>
      <w:r w:rsidR="00744A1C">
        <w:rPr>
          <w:rtl/>
          <w:lang w:bidi="fa-IR"/>
        </w:rPr>
        <w:t xml:space="preserve"> : « معنا ».</w:t>
      </w:r>
    </w:p>
    <w:p w:rsidR="00744A1C" w:rsidRDefault="00E378DD" w:rsidP="00E378DD">
      <w:pPr>
        <w:pStyle w:val="libFootnote0"/>
        <w:rPr>
          <w:lang w:bidi="fa-IR"/>
        </w:rPr>
      </w:pPr>
      <w:r>
        <w:rPr>
          <w:rtl/>
          <w:lang w:bidi="fa-IR"/>
        </w:rPr>
        <w:t>(8).</w:t>
      </w:r>
      <w:r w:rsidR="00744A1C">
        <w:rPr>
          <w:rtl/>
          <w:lang w:bidi="fa-IR"/>
        </w:rPr>
        <w:t xml:space="preserve"> قال ابن الأثير : « ومنه الحديث : وأنّ كلّ غازية غزت يعقّب بعضها بعضاً ، أي يكون الغزو بينهم نوباً ، فإذا خرجت طائفة ، ثمّ عادت ، لم تكلّف أن تعود ثانية حتّى تعقبها ا</w:t>
      </w:r>
      <w:r w:rsidR="0091183A">
        <w:rPr>
          <w:rFonts w:hint="cs"/>
          <w:rtl/>
          <w:lang w:bidi="fa-IR"/>
        </w:rPr>
        <w:t>ُ</w:t>
      </w:r>
      <w:r w:rsidR="00744A1C">
        <w:rPr>
          <w:rtl/>
          <w:lang w:bidi="fa-IR"/>
        </w:rPr>
        <w:t xml:space="preserve">خرى غيرها ». </w:t>
      </w:r>
      <w:r w:rsidR="00744A1C" w:rsidRPr="00877682">
        <w:rPr>
          <w:rStyle w:val="libFootnoteBoldChar"/>
          <w:rtl/>
        </w:rPr>
        <w:t>النهاية</w:t>
      </w:r>
      <w:r w:rsidR="0091183A">
        <w:rPr>
          <w:rtl/>
          <w:lang w:bidi="fa-IR"/>
        </w:rPr>
        <w:t xml:space="preserve"> ، ج 3 ، ص 267 ( عقب</w:t>
      </w:r>
      <w:r w:rsidR="00744A1C">
        <w:rPr>
          <w:rtl/>
          <w:lang w:bidi="fa-IR"/>
        </w:rPr>
        <w:t>).</w:t>
      </w:r>
    </w:p>
    <w:p w:rsidR="00744A1C" w:rsidRDefault="0091183A" w:rsidP="00D10E3C">
      <w:pPr>
        <w:pStyle w:val="libFootnote0"/>
        <w:rPr>
          <w:lang w:bidi="fa-IR"/>
        </w:rPr>
      </w:pPr>
      <w:r>
        <w:rPr>
          <w:rtl/>
          <w:lang w:bidi="fa-IR"/>
        </w:rPr>
        <w:t>وقال العل</w:t>
      </w:r>
      <w:r>
        <w:rPr>
          <w:rFonts w:hint="cs"/>
          <w:rtl/>
          <w:lang w:bidi="fa-IR"/>
        </w:rPr>
        <w:t>ّ</w:t>
      </w:r>
      <w:r>
        <w:rPr>
          <w:rtl/>
          <w:lang w:bidi="fa-IR"/>
        </w:rPr>
        <w:t>ا</w:t>
      </w:r>
      <w:r w:rsidR="00744A1C">
        <w:rPr>
          <w:rtl/>
          <w:lang w:bidi="fa-IR"/>
        </w:rPr>
        <w:t xml:space="preserve">مة المجلسي </w:t>
      </w:r>
      <w:r w:rsidR="00877682" w:rsidRPr="00877682">
        <w:rPr>
          <w:rStyle w:val="libFootnoteAlaemChar"/>
          <w:rtl/>
        </w:rPr>
        <w:t>رحمه‌الله</w:t>
      </w:r>
      <w:r w:rsidR="00744A1C">
        <w:rPr>
          <w:rtl/>
          <w:lang w:bidi="fa-IR"/>
        </w:rPr>
        <w:t xml:space="preserve">في </w:t>
      </w:r>
      <w:r w:rsidR="00744A1C" w:rsidRPr="00C24F9C">
        <w:rPr>
          <w:rStyle w:val="libFootnoteBoldChar"/>
          <w:rtl/>
        </w:rPr>
        <w:t>المرآة</w:t>
      </w:r>
      <w:r w:rsidR="00744A1C">
        <w:rPr>
          <w:rtl/>
          <w:lang w:bidi="fa-IR"/>
        </w:rPr>
        <w:t xml:space="preserve"> : « لعلّ قوله : بما ، زيد من النسّاخ ، وفي </w:t>
      </w:r>
      <w:r w:rsidR="00744A1C" w:rsidRPr="00C24F9C">
        <w:rPr>
          <w:rStyle w:val="libFootnoteBoldChar"/>
          <w:rtl/>
        </w:rPr>
        <w:t>التهذيب</w:t>
      </w:r>
      <w:r w:rsidR="00744A1C">
        <w:rPr>
          <w:rtl/>
          <w:lang w:bidi="fa-IR"/>
        </w:rPr>
        <w:t xml:space="preserve"> : غزت معنا ، فقوله : يعقّب ، خبر ، وعلى ما في النسخ لعلّ قوله : بالمعروف ، بدل ، أو بيان لقوله : بما يعقّب » ، ثمّ نقل ما نقلناه عن </w:t>
      </w:r>
      <w:r w:rsidR="00744A1C" w:rsidRPr="00877682">
        <w:rPr>
          <w:rStyle w:val="libFootnoteBoldChar"/>
          <w:rtl/>
        </w:rPr>
        <w:t>النهاية</w:t>
      </w:r>
      <w:r w:rsidR="00744A1C">
        <w:rPr>
          <w:rtl/>
          <w:lang w:bidi="fa-IR"/>
        </w:rPr>
        <w:t xml:space="preserve"> وقال : « ولايخفى بعده عمّا في تلك النسخ ».</w:t>
      </w:r>
    </w:p>
    <w:p w:rsidR="00144FA6" w:rsidRDefault="00E378DD" w:rsidP="00E378DD">
      <w:pPr>
        <w:pStyle w:val="libFootnote0"/>
        <w:rPr>
          <w:rtl/>
          <w:lang w:bidi="fa-IR"/>
        </w:rPr>
      </w:pPr>
      <w:r>
        <w:rPr>
          <w:rtl/>
          <w:lang w:bidi="fa-IR"/>
        </w:rPr>
        <w:t>(9).</w:t>
      </w:r>
      <w:r w:rsidR="00744A1C">
        <w:rPr>
          <w:rtl/>
          <w:lang w:bidi="fa-IR"/>
        </w:rPr>
        <w:t xml:space="preserve"> في </w:t>
      </w:r>
      <w:r w:rsidR="00744A1C" w:rsidRPr="0091183A">
        <w:rPr>
          <w:rtl/>
        </w:rPr>
        <w:t>الوسائل</w:t>
      </w:r>
      <w:r w:rsidR="00744A1C">
        <w:rPr>
          <w:rtl/>
          <w:lang w:bidi="fa-IR"/>
        </w:rPr>
        <w:t xml:space="preserve"> : « بعضها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قوله : فإنّه ، خبر ، أي كلّ طائفة غازية بما يعزم أن يعقّب ويتبع بعضها بعضاً فيه ، وهو المعروف</w:t>
      </w:r>
      <w:r w:rsidR="0091183A">
        <w:rPr>
          <w:rFonts w:hint="cs"/>
          <w:rtl/>
          <w:lang w:bidi="fa-IR"/>
        </w:rPr>
        <w:t xml:space="preserve"> </w:t>
      </w:r>
      <w:r w:rsidR="00744A1C">
        <w:rPr>
          <w:rtl/>
          <w:lang w:bidi="fa-IR"/>
        </w:rPr>
        <w:t>‌والقسط بين المس</w:t>
      </w:r>
      <w:r w:rsidR="0091183A">
        <w:rPr>
          <w:rtl/>
          <w:lang w:bidi="fa-IR"/>
        </w:rPr>
        <w:t>لمين ؛ فإنّه لا يجوز له حرب إل</w:t>
      </w:r>
      <w:r w:rsidR="0091183A">
        <w:rPr>
          <w:rFonts w:hint="cs"/>
          <w:rtl/>
          <w:lang w:bidi="fa-IR"/>
        </w:rPr>
        <w:t>ّ</w:t>
      </w:r>
      <w:r w:rsidR="0091183A">
        <w:rPr>
          <w:rtl/>
          <w:lang w:bidi="fa-IR"/>
        </w:rPr>
        <w:t>ا</w:t>
      </w:r>
      <w:r w:rsidR="0091183A">
        <w:rPr>
          <w:rFonts w:hint="cs"/>
          <w:rtl/>
          <w:lang w:bidi="fa-IR"/>
        </w:rPr>
        <w:t xml:space="preserve"> </w:t>
      </w:r>
      <w:r w:rsidR="00744A1C">
        <w:rPr>
          <w:rtl/>
          <w:lang w:bidi="fa-IR"/>
        </w:rPr>
        <w:t>بإذن أهلها ، أي أهل الغازية ، أو فليعلم هذا الحكم ».</w:t>
      </w:r>
    </w:p>
    <w:p w:rsidR="00144FA6" w:rsidRDefault="00E378DD" w:rsidP="00E378DD">
      <w:pPr>
        <w:pStyle w:val="libFootnote0"/>
        <w:rPr>
          <w:rtl/>
          <w:lang w:bidi="fa-IR"/>
        </w:rPr>
      </w:pPr>
      <w:r>
        <w:rPr>
          <w:rtl/>
          <w:lang w:bidi="fa-IR"/>
        </w:rPr>
        <w:t>(11).</w:t>
      </w:r>
      <w:r w:rsidR="00744A1C">
        <w:rPr>
          <w:rtl/>
          <w:lang w:bidi="fa-IR"/>
        </w:rPr>
        <w:t xml:space="preserve"> في « ى ، بث ، جد » </w:t>
      </w:r>
      <w:r w:rsidR="00744A1C" w:rsidRPr="0091183A">
        <w:rPr>
          <w:rtl/>
        </w:rPr>
        <w:t>والوافي والبحار والتهذيب</w:t>
      </w:r>
      <w:r w:rsidR="00744A1C">
        <w:rPr>
          <w:rtl/>
          <w:lang w:bidi="fa-IR"/>
        </w:rPr>
        <w:t xml:space="preserve"> : « لا يجاز حرمة » ب</w:t>
      </w:r>
      <w:r w:rsidR="0091183A">
        <w:rPr>
          <w:rtl/>
          <w:lang w:bidi="fa-IR"/>
        </w:rPr>
        <w:t>دل « لا يجوز حرب ». وفي حاشية «</w:t>
      </w:r>
      <w:r w:rsidR="00744A1C">
        <w:rPr>
          <w:rtl/>
          <w:lang w:bidi="fa-IR"/>
        </w:rPr>
        <w:t xml:space="preserve">جت » : « لا تجار حرمة ». وفي « بف » : « لا يجوز حربه ». وفي حاشية « بح » : « لا تحاز حرمة ». وفي </w:t>
      </w:r>
      <w:r w:rsidR="00744A1C" w:rsidRPr="0091183A">
        <w:rPr>
          <w:rtl/>
        </w:rPr>
        <w:t>الوسائل</w:t>
      </w:r>
      <w:r w:rsidR="00744A1C">
        <w:rPr>
          <w:rtl/>
          <w:lang w:bidi="fa-IR"/>
        </w:rPr>
        <w:t xml:space="preserve"> : « لا تجاز</w:t>
      </w:r>
      <w:r w:rsidR="0091183A">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وَ </w:t>
      </w:r>
      <w:r w:rsidRPr="00D10E3C">
        <w:rPr>
          <w:rStyle w:val="libFootnotenumChar"/>
          <w:rtl/>
        </w:rPr>
        <w:t>(1)</w:t>
      </w:r>
      <w:r>
        <w:rPr>
          <w:rtl/>
          <w:lang w:bidi="fa-IR"/>
        </w:rPr>
        <w:t xml:space="preserve"> إِنَّ الْجَارَ كَالنَّفْسِ غَيْرَ مُضَارٍّ </w:t>
      </w:r>
      <w:r w:rsidRPr="00D10E3C">
        <w:rPr>
          <w:rStyle w:val="libFootnotenumChar"/>
          <w:rtl/>
        </w:rPr>
        <w:t>(2)</w:t>
      </w:r>
      <w:r>
        <w:rPr>
          <w:rtl/>
          <w:lang w:bidi="fa-IR"/>
        </w:rPr>
        <w:t xml:space="preserve"> وَلَا آثِمٍ ، وَحُرْمَةَ الْجَارِ عَلَى الْجَارِ كَحُرْمَةِ أُمِّهِ وَأَبِيهِ ، لَا يُسَالِمُ </w:t>
      </w:r>
      <w:r w:rsidRPr="00D10E3C">
        <w:rPr>
          <w:rStyle w:val="libFootnotenumChar"/>
          <w:rtl/>
        </w:rPr>
        <w:t>(3)</w:t>
      </w:r>
      <w:r>
        <w:rPr>
          <w:rtl/>
          <w:lang w:bidi="fa-IR"/>
        </w:rPr>
        <w:t xml:space="preserve"> مُؤْمِنٌ دُونَ مُؤْمِنٍ فِي </w:t>
      </w:r>
      <w:r w:rsidR="0091183A">
        <w:rPr>
          <w:rtl/>
          <w:lang w:bidi="fa-IR"/>
        </w:rPr>
        <w:t>قِتَالٍ فِي سَبِيلِ اللهِ إِل</w:t>
      </w:r>
      <w:r w:rsidR="0091183A">
        <w:rPr>
          <w:rFonts w:hint="cs"/>
          <w:rtl/>
          <w:lang w:bidi="fa-IR"/>
        </w:rPr>
        <w:t>َّ</w:t>
      </w:r>
      <w:r w:rsidR="0091183A">
        <w:rPr>
          <w:rtl/>
          <w:lang w:bidi="fa-IR"/>
        </w:rPr>
        <w:t>ا</w:t>
      </w:r>
      <w:r>
        <w:rPr>
          <w:rtl/>
          <w:lang w:bidi="fa-IR"/>
        </w:rPr>
        <w:t xml:space="preserve"> عَلى عَدْلٍ وَسَوَاءٍ </w:t>
      </w:r>
      <w:r w:rsidRPr="00D10E3C">
        <w:rPr>
          <w:rStyle w:val="libFootnotenumChar"/>
          <w:rtl/>
        </w:rPr>
        <w:t>(4)</w:t>
      </w:r>
      <w:r>
        <w:rPr>
          <w:rtl/>
          <w:lang w:bidi="fa-IR"/>
        </w:rPr>
        <w:t xml:space="preserve"> ». </w:t>
      </w:r>
      <w:r w:rsidRPr="00D10E3C">
        <w:rPr>
          <w:rStyle w:val="libFootnotenumChar"/>
          <w:rtl/>
        </w:rPr>
        <w:t>(5)</w:t>
      </w:r>
    </w:p>
    <w:p w:rsidR="00744A1C" w:rsidRDefault="00744A1C" w:rsidP="0091183A">
      <w:pPr>
        <w:pStyle w:val="Heading2Center"/>
        <w:rPr>
          <w:lang w:bidi="fa-IR"/>
        </w:rPr>
      </w:pPr>
      <w:bookmarkStart w:id="98" w:name="_Toc49261396"/>
      <w:r>
        <w:rPr>
          <w:rtl/>
          <w:lang w:bidi="fa-IR"/>
        </w:rPr>
        <w:t>10 - بَابٌ‌</w:t>
      </w:r>
      <w:bookmarkEnd w:id="98"/>
    </w:p>
    <w:p w:rsidR="00144FA6" w:rsidRDefault="00744A1C" w:rsidP="00744A1C">
      <w:pPr>
        <w:pStyle w:val="libNormal"/>
        <w:rPr>
          <w:rtl/>
          <w:lang w:bidi="fa-IR"/>
        </w:rPr>
      </w:pPr>
      <w:r>
        <w:rPr>
          <w:rtl/>
          <w:lang w:bidi="fa-IR"/>
        </w:rPr>
        <w:t xml:space="preserve">8244 / 1. مُحَمَّدُ بْنُ يَحْيى ، عَنْ أَحْمَدَ بْنِ مُحَمَّدٍ ، عَنْ مُحَمَّدِ بْنِ يَحْيى </w:t>
      </w:r>
      <w:r w:rsidRPr="00D10E3C">
        <w:rPr>
          <w:rStyle w:val="libFootnotenumChar"/>
          <w:rtl/>
        </w:rPr>
        <w:t>(6)</w:t>
      </w:r>
      <w:r>
        <w:rPr>
          <w:rtl/>
          <w:lang w:bidi="fa-IR"/>
        </w:rPr>
        <w:t xml:space="preserve"> ، عَنْ طَلْحَةَ بْنِ زَيْدٍ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كَانَ أَبِي </w:t>
      </w:r>
      <w:r w:rsidR="0061079A" w:rsidRPr="0061079A">
        <w:rPr>
          <w:rStyle w:val="libAlaemChar"/>
          <w:rtl/>
        </w:rPr>
        <w:t>عليه‌السلام</w:t>
      </w:r>
      <w:r w:rsidR="00D10E3C">
        <w:rPr>
          <w:rtl/>
          <w:lang w:bidi="fa-IR"/>
        </w:rPr>
        <w:t xml:space="preserve"> </w:t>
      </w:r>
      <w:r>
        <w:rPr>
          <w:rtl/>
          <w:lang w:bidi="fa-IR"/>
        </w:rPr>
        <w:t>يَقُولُ : إِنَّ لِلْحَرْبِ حُكْمَيْنِ : إِذَا كَانَتِ‌</w:t>
      </w:r>
    </w:p>
    <w:p w:rsidR="00744A1C" w:rsidRDefault="00744A1C" w:rsidP="00D10E3C">
      <w:pPr>
        <w:pStyle w:val="libLine"/>
        <w:rPr>
          <w:lang w:bidi="fa-IR"/>
        </w:rPr>
      </w:pPr>
      <w:r>
        <w:rPr>
          <w:rtl/>
          <w:lang w:bidi="fa-IR"/>
        </w:rPr>
        <w:t>____________________</w:t>
      </w:r>
    </w:p>
    <w:p w:rsidR="00744A1C" w:rsidRDefault="0091183A" w:rsidP="00D10E3C">
      <w:pPr>
        <w:pStyle w:val="libFootnote0"/>
        <w:rPr>
          <w:lang w:bidi="fa-IR"/>
        </w:rPr>
      </w:pPr>
      <w:r>
        <w:rPr>
          <w:rFonts w:hint="cs"/>
          <w:rtl/>
          <w:lang w:bidi="fa-IR"/>
        </w:rPr>
        <w:t xml:space="preserve">= </w:t>
      </w:r>
      <w:r w:rsidR="00744A1C">
        <w:rPr>
          <w:rtl/>
          <w:lang w:bidi="fa-IR"/>
        </w:rPr>
        <w:t xml:space="preserve">حرمة ». وفي </w:t>
      </w:r>
      <w:r w:rsidR="00744A1C" w:rsidRPr="00C24F9C">
        <w:rPr>
          <w:rStyle w:val="libFootnoteBoldChar"/>
          <w:rtl/>
        </w:rPr>
        <w:t>المرآة</w:t>
      </w:r>
      <w:r w:rsidR="00744A1C">
        <w:rPr>
          <w:rtl/>
          <w:lang w:bidi="fa-IR"/>
        </w:rPr>
        <w:t xml:space="preserve"> : « قوله : فإنّه لايجوز حرب ، في بعض النسخ : لاتجار حرمة ، كما في أكثر نسخ </w:t>
      </w:r>
      <w:r w:rsidR="00744A1C" w:rsidRPr="00C24F9C">
        <w:rPr>
          <w:rStyle w:val="libFootnoteBoldChar"/>
          <w:rtl/>
        </w:rPr>
        <w:t>التهذيب</w:t>
      </w:r>
      <w:r w:rsidR="00744A1C">
        <w:rPr>
          <w:rtl/>
          <w:lang w:bidi="fa-IR"/>
        </w:rPr>
        <w:t xml:space="preserve"> ، أ</w:t>
      </w:r>
      <w:r>
        <w:rPr>
          <w:rtl/>
          <w:lang w:bidi="fa-IR"/>
        </w:rPr>
        <w:t>ي لاينبغي أن تجار حرمة كافر إل</w:t>
      </w:r>
      <w:r>
        <w:rPr>
          <w:rFonts w:hint="cs"/>
          <w:rtl/>
          <w:lang w:bidi="fa-IR"/>
        </w:rPr>
        <w:t>ّ</w:t>
      </w:r>
      <w:r>
        <w:rPr>
          <w:rtl/>
          <w:lang w:bidi="fa-IR"/>
        </w:rPr>
        <w:t>ا</w:t>
      </w:r>
      <w:r>
        <w:rPr>
          <w:rFonts w:hint="cs"/>
          <w:rtl/>
          <w:lang w:bidi="fa-IR"/>
        </w:rPr>
        <w:t xml:space="preserve"> </w:t>
      </w:r>
      <w:r w:rsidR="00744A1C">
        <w:rPr>
          <w:rtl/>
          <w:lang w:bidi="fa-IR"/>
        </w:rPr>
        <w:t>بإذن أه</w:t>
      </w:r>
      <w:r>
        <w:rPr>
          <w:rtl/>
          <w:lang w:bidi="fa-IR"/>
        </w:rPr>
        <w:t>ل الغازية ، أي لايجير أحداً إل</w:t>
      </w:r>
      <w:r>
        <w:rPr>
          <w:rFonts w:hint="cs"/>
          <w:rtl/>
          <w:lang w:bidi="fa-IR"/>
        </w:rPr>
        <w:t>ّ</w:t>
      </w:r>
      <w:r>
        <w:rPr>
          <w:rtl/>
          <w:lang w:bidi="fa-IR"/>
        </w:rPr>
        <w:t>ا</w:t>
      </w:r>
      <w:r>
        <w:rPr>
          <w:rFonts w:hint="cs"/>
          <w:rtl/>
          <w:lang w:bidi="fa-IR"/>
        </w:rPr>
        <w:t xml:space="preserve"> </w:t>
      </w:r>
      <w:r w:rsidR="00744A1C">
        <w:rPr>
          <w:rtl/>
          <w:lang w:bidi="fa-IR"/>
        </w:rPr>
        <w:t>بمصلحة سائر الجيش. وفي بعضها : لاتحاز حزمة ، أي لاتجمع حزمة من الحطب ، مبالغة في رعاية المصلحة. ولعلّه تصحيف ، والله يعلم ».</w:t>
      </w:r>
    </w:p>
    <w:p w:rsidR="00744A1C" w:rsidRDefault="00D10E3C" w:rsidP="00D10E3C">
      <w:pPr>
        <w:pStyle w:val="libFootnote0"/>
        <w:rPr>
          <w:lang w:bidi="fa-IR"/>
        </w:rPr>
      </w:pPr>
      <w:r>
        <w:rPr>
          <w:rtl/>
          <w:lang w:bidi="fa-IR"/>
        </w:rPr>
        <w:t>(1).</w:t>
      </w:r>
      <w:r w:rsidR="00744A1C">
        <w:rPr>
          <w:rtl/>
          <w:lang w:bidi="fa-IR"/>
        </w:rPr>
        <w:t xml:space="preserve"> في </w:t>
      </w:r>
      <w:r w:rsidR="00744A1C" w:rsidRPr="0091183A">
        <w:rPr>
          <w:rtl/>
        </w:rPr>
        <w:t>الكافي</w:t>
      </w:r>
      <w:r w:rsidR="00744A1C">
        <w:rPr>
          <w:rtl/>
          <w:lang w:bidi="fa-IR"/>
        </w:rPr>
        <w:t xml:space="preserve"> ، ح 3757 : - « أنّ كلّ غازية » إلى هنا.</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غير مضارّ ، إمّا حال من المجير على صيغة الفاعل ، أي يجب أن يكون المجير غير مضارّ ولا آثم في حقّ المجار ؛ أو حال من المجار ، فيحتمل بناء المفعول أيضاً ».</w:t>
      </w:r>
    </w:p>
    <w:p w:rsidR="00744A1C" w:rsidRDefault="00E378DD" w:rsidP="00E378DD">
      <w:pPr>
        <w:pStyle w:val="libFootnote0"/>
        <w:rPr>
          <w:lang w:bidi="fa-IR"/>
        </w:rPr>
      </w:pPr>
      <w:r>
        <w:rPr>
          <w:rtl/>
          <w:lang w:bidi="fa-IR"/>
        </w:rPr>
        <w:t>(3).</w:t>
      </w:r>
      <w:r w:rsidR="00744A1C">
        <w:rPr>
          <w:rtl/>
          <w:lang w:bidi="fa-IR"/>
        </w:rPr>
        <w:t xml:space="preserve"> في « بح ، جت » : « ولا يسالم ». وفي </w:t>
      </w:r>
      <w:r w:rsidR="00744A1C" w:rsidRPr="00877682">
        <w:rPr>
          <w:rStyle w:val="libFootnoteBoldChar"/>
          <w:rtl/>
        </w:rPr>
        <w:t>النهاية</w:t>
      </w:r>
      <w:r w:rsidR="00744A1C">
        <w:rPr>
          <w:rtl/>
          <w:lang w:bidi="fa-IR"/>
        </w:rPr>
        <w:t xml:space="preserve"> ، ج 2 ، ص 394 ( سلم ) : « السِّلم والسَلام لغتان في الصلح ، ومنه كتابه بين قريش والأنصار : وإنّ سِلْم المؤمنين واحد لا يسالم مؤمن دون مؤمن ، أي لا يصالح واحد دون أصحابه ، وإنّما يقع الصلح بينهم وبين عدوّهم باجتماع مَلَئهم على ذلك ».</w:t>
      </w:r>
    </w:p>
    <w:p w:rsidR="00744A1C" w:rsidRDefault="00E378DD" w:rsidP="00E378DD">
      <w:pPr>
        <w:pStyle w:val="libFootnote0"/>
        <w:rPr>
          <w:lang w:bidi="fa-IR"/>
        </w:rPr>
      </w:pPr>
      <w:r>
        <w:rPr>
          <w:rtl/>
          <w:lang w:bidi="fa-IR"/>
        </w:rPr>
        <w:t>(4).</w:t>
      </w:r>
      <w:r w:rsidR="00744A1C">
        <w:rPr>
          <w:rtl/>
          <w:lang w:bidi="fa-IR"/>
        </w:rPr>
        <w:t xml:space="preserve"> في </w:t>
      </w:r>
      <w:r w:rsidR="00744A1C" w:rsidRPr="0091183A">
        <w:rPr>
          <w:rtl/>
        </w:rPr>
        <w:t>البحار</w:t>
      </w:r>
      <w:r w:rsidR="00744A1C">
        <w:rPr>
          <w:rtl/>
          <w:lang w:bidi="fa-IR"/>
        </w:rPr>
        <w:t xml:space="preserve"> : « سواء » بدون الواو.</w:t>
      </w:r>
    </w:p>
    <w:p w:rsidR="00744A1C" w:rsidRDefault="00E378DD" w:rsidP="00E378DD">
      <w:pPr>
        <w:pStyle w:val="libFootnote0"/>
        <w:rPr>
          <w:lang w:bidi="fa-IR"/>
        </w:rPr>
      </w:pPr>
      <w:r>
        <w:rPr>
          <w:rtl/>
          <w:lang w:bidi="fa-IR"/>
        </w:rPr>
        <w:t>(5).</w:t>
      </w:r>
      <w:r w:rsidR="00744A1C">
        <w:rPr>
          <w:rtl/>
          <w:lang w:bidi="fa-IR"/>
        </w:rPr>
        <w:t xml:space="preserve"> </w:t>
      </w:r>
      <w:r w:rsidR="00744A1C" w:rsidRPr="0061079A">
        <w:rPr>
          <w:rStyle w:val="libFootnoteBoldChar"/>
          <w:rtl/>
        </w:rPr>
        <w:t>الكافي</w:t>
      </w:r>
      <w:r w:rsidR="00744A1C">
        <w:rPr>
          <w:rtl/>
          <w:lang w:bidi="fa-IR"/>
        </w:rPr>
        <w:t xml:space="preserve"> ، كتاب العشرة ، باب حقّ الجوار ، ح 3757 ، إلى قوله : « كحرمة ا</w:t>
      </w:r>
      <w:r w:rsidR="0091183A">
        <w:rPr>
          <w:rFonts w:hint="cs"/>
          <w:rtl/>
          <w:lang w:bidi="fa-IR"/>
        </w:rPr>
        <w:t>ُ</w:t>
      </w:r>
      <w:r w:rsidR="00744A1C">
        <w:rPr>
          <w:rtl/>
          <w:lang w:bidi="fa-IR"/>
        </w:rPr>
        <w:t xml:space="preserve">مّه » ؛ وكتاب المعيشة ، باب الضرار ، ح 9316. وفي </w:t>
      </w:r>
      <w:r w:rsidR="00744A1C" w:rsidRPr="00C24F9C">
        <w:rPr>
          <w:rStyle w:val="libFootnoteBoldChar"/>
          <w:rtl/>
        </w:rPr>
        <w:t>التهذيب</w:t>
      </w:r>
      <w:r w:rsidR="00744A1C">
        <w:rPr>
          <w:rtl/>
          <w:lang w:bidi="fa-IR"/>
        </w:rPr>
        <w:t xml:space="preserve"> ، ج 7 ، ص 146 ، ح 650 ، معلّقاً عن أحمد بن محمّد ، وتمام الرواية في الأخيرين :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قال : إنّ الجار كالنفس غير مضارّ ولا آثم ». </w:t>
      </w:r>
      <w:r w:rsidR="00744A1C" w:rsidRPr="00C24F9C">
        <w:rPr>
          <w:rStyle w:val="libFootnoteBoldChar"/>
          <w:rtl/>
        </w:rPr>
        <w:t>التهذيب</w:t>
      </w:r>
      <w:r w:rsidR="00744A1C">
        <w:rPr>
          <w:rtl/>
          <w:lang w:bidi="fa-IR"/>
        </w:rPr>
        <w:t xml:space="preserve"> ، ج 6 ، ص 140 ، ح 238 ، معلّقاً عن أحمد بن محمّد </w:t>
      </w:r>
      <w:r w:rsidR="0091183A">
        <w:rPr>
          <w:rFonts w:hint="cs"/>
          <w:rtl/>
          <w:lang w:bidi="fa-IR"/>
        </w:rPr>
        <w:t>.</w:t>
      </w:r>
      <w:r w:rsidR="00744A1C" w:rsidRPr="00C24F9C">
        <w:rPr>
          <w:rStyle w:val="libFootnoteBoldChar"/>
          <w:rtl/>
        </w:rPr>
        <w:t>الوافي</w:t>
      </w:r>
      <w:r w:rsidR="00744A1C">
        <w:rPr>
          <w:rtl/>
          <w:lang w:bidi="fa-IR"/>
        </w:rPr>
        <w:t xml:space="preserve"> ، ج 15 ، ص 98 ، ح 14750 ؛ </w:t>
      </w:r>
      <w:r w:rsidR="00744A1C" w:rsidRPr="00C24F9C">
        <w:rPr>
          <w:rStyle w:val="libFootnoteBoldChar"/>
          <w:rtl/>
        </w:rPr>
        <w:t>الوسائل</w:t>
      </w:r>
      <w:r w:rsidR="00744A1C">
        <w:rPr>
          <w:rtl/>
          <w:lang w:bidi="fa-IR"/>
        </w:rPr>
        <w:t xml:space="preserve"> ، ج 15 ، ص 68 ، ح 20001 ؛ </w:t>
      </w:r>
      <w:r w:rsidR="00744A1C" w:rsidRPr="0061079A">
        <w:rPr>
          <w:rStyle w:val="libFootnoteBoldChar"/>
          <w:rtl/>
        </w:rPr>
        <w:t>البحار</w:t>
      </w:r>
      <w:r w:rsidR="00744A1C">
        <w:rPr>
          <w:rtl/>
          <w:lang w:bidi="fa-IR"/>
        </w:rPr>
        <w:t xml:space="preserve"> ، ج 19 ، ص 167 ، ح 15.</w:t>
      </w:r>
    </w:p>
    <w:p w:rsidR="00744A1C" w:rsidRDefault="00E378DD" w:rsidP="00E378DD">
      <w:pPr>
        <w:pStyle w:val="libFootnote0"/>
        <w:rPr>
          <w:lang w:bidi="fa-IR"/>
        </w:rPr>
      </w:pPr>
      <w:r>
        <w:rPr>
          <w:rtl/>
          <w:lang w:bidi="fa-IR"/>
        </w:rPr>
        <w:t>(6).</w:t>
      </w:r>
      <w:r w:rsidR="00744A1C">
        <w:rPr>
          <w:rtl/>
          <w:lang w:bidi="fa-IR"/>
        </w:rPr>
        <w:t xml:space="preserve"> الخبر رواه الشيخ الطوسي في </w:t>
      </w:r>
      <w:r w:rsidR="00744A1C" w:rsidRPr="00C24F9C">
        <w:rPr>
          <w:rStyle w:val="libFootnoteBoldChar"/>
          <w:rtl/>
        </w:rPr>
        <w:t>التهذيب</w:t>
      </w:r>
      <w:r w:rsidR="00744A1C">
        <w:rPr>
          <w:rtl/>
          <w:lang w:bidi="fa-IR"/>
        </w:rPr>
        <w:t xml:space="preserve"> ، ج 6 ، ص 143 ، ح 245 بإسناده عن أحمد بن محمّد بن عيسى ، عن</w:t>
      </w:r>
      <w:r w:rsidR="0091183A">
        <w:rPr>
          <w:rFonts w:hint="cs"/>
          <w:rtl/>
          <w:lang w:bidi="fa-IR"/>
        </w:rPr>
        <w:t xml:space="preserve"> </w:t>
      </w:r>
      <w:r w:rsidR="00744A1C">
        <w:rPr>
          <w:rtl/>
          <w:lang w:bidi="fa-IR"/>
        </w:rPr>
        <w:t>‌محمّد بن يحيى ، عن عبد الله بن المغيرة ، عن طلحة بن زيد.</w:t>
      </w:r>
    </w:p>
    <w:p w:rsidR="00744A1C" w:rsidRDefault="00744A1C" w:rsidP="00D10E3C">
      <w:pPr>
        <w:pStyle w:val="libFootnote0"/>
        <w:rPr>
          <w:lang w:bidi="fa-IR"/>
        </w:rPr>
      </w:pPr>
      <w:r>
        <w:rPr>
          <w:rtl/>
          <w:lang w:bidi="fa-IR"/>
        </w:rPr>
        <w:t xml:space="preserve">والظاهر أنّ الصواب عطف « عبد الله بن المغيرة » على « محمّد بن يحيى » ، كما تقدّم في </w:t>
      </w:r>
      <w:r w:rsidRPr="0061079A">
        <w:rPr>
          <w:rStyle w:val="libFootnoteBoldChar"/>
          <w:rtl/>
        </w:rPr>
        <w:t>الكافي</w:t>
      </w:r>
      <w:r>
        <w:rPr>
          <w:rtl/>
          <w:lang w:bidi="fa-IR"/>
        </w:rPr>
        <w:t xml:space="preserve"> ، ذيل ح 5992 فلاحظ.</w:t>
      </w:r>
    </w:p>
    <w:p w:rsidR="006A5060" w:rsidRDefault="006A5060" w:rsidP="00D10E3C">
      <w:pPr>
        <w:pStyle w:val="libNormal"/>
        <w:rPr>
          <w:rtl/>
          <w:lang w:bidi="fa-IR"/>
        </w:rPr>
      </w:pPr>
      <w:r>
        <w:rPr>
          <w:rtl/>
          <w:lang w:bidi="fa-IR"/>
        </w:rPr>
        <w:br w:type="page"/>
      </w:r>
    </w:p>
    <w:p w:rsidR="00744A1C" w:rsidRDefault="00744A1C" w:rsidP="0091183A">
      <w:pPr>
        <w:pStyle w:val="libNormal0"/>
        <w:rPr>
          <w:lang w:bidi="fa-IR"/>
        </w:rPr>
      </w:pPr>
      <w:r>
        <w:rPr>
          <w:rtl/>
          <w:lang w:bidi="fa-IR"/>
        </w:rPr>
        <w:t xml:space="preserve">الْحَرْبُ قَائِمَةً لَمْ تَضَعْ </w:t>
      </w:r>
      <w:r w:rsidRPr="00D10E3C">
        <w:rPr>
          <w:rStyle w:val="libFootnotenumChar"/>
          <w:rtl/>
        </w:rPr>
        <w:t>(1)</w:t>
      </w:r>
      <w:r>
        <w:rPr>
          <w:rtl/>
          <w:lang w:bidi="fa-IR"/>
        </w:rPr>
        <w:t xml:space="preserve"> أَوْزَارَهَا </w:t>
      </w:r>
      <w:r w:rsidRPr="00D10E3C">
        <w:rPr>
          <w:rStyle w:val="libFootnotenumChar"/>
          <w:rtl/>
        </w:rPr>
        <w:t>(2)</w:t>
      </w:r>
      <w:r>
        <w:rPr>
          <w:rtl/>
          <w:lang w:bidi="fa-IR"/>
        </w:rPr>
        <w:t xml:space="preserve"> ، وَلَمْ يُثْخَنْ </w:t>
      </w:r>
      <w:r w:rsidRPr="00D10E3C">
        <w:rPr>
          <w:rStyle w:val="libFootnotenumChar"/>
          <w:rtl/>
        </w:rPr>
        <w:t>(3)</w:t>
      </w:r>
      <w:r>
        <w:rPr>
          <w:rtl/>
          <w:lang w:bidi="fa-IR"/>
        </w:rPr>
        <w:t xml:space="preserve"> أَهْلُهَا ، فَكُلُّ أَسِيرٍ أُخِذَ فِي تِلْكَ الْحَالِ ، فَإِنَّ الْإِمَامَ فِيهِ بِالْخِيَارِ ، إِنْ شَاءَ ضَرَبَ عُنُقَهُ ، وَإِنْ شَاءَ قَطَعَ يَدَهُ وَرِجْلَهُ مِنْ خِلَافٍ بِغَيْرِ حَسْمٍ </w:t>
      </w:r>
      <w:r w:rsidRPr="00D10E3C">
        <w:rPr>
          <w:rStyle w:val="libFootnotenumChar"/>
          <w:rtl/>
        </w:rPr>
        <w:t>(4)</w:t>
      </w:r>
      <w:r>
        <w:rPr>
          <w:rtl/>
          <w:lang w:bidi="fa-IR"/>
        </w:rPr>
        <w:t xml:space="preserve"> ، وَتَرَكَهُ يَتَشَحَّطُ فِي دَمِهِ </w:t>
      </w:r>
      <w:r w:rsidRPr="00D10E3C">
        <w:rPr>
          <w:rStyle w:val="libFootnotenumChar"/>
          <w:rtl/>
        </w:rPr>
        <w:t>(5)</w:t>
      </w:r>
      <w:r>
        <w:rPr>
          <w:rtl/>
          <w:lang w:bidi="fa-IR"/>
        </w:rPr>
        <w:t xml:space="preserve"> حَتّى يَمُوتَ ، وَهُوَ قَوْلُ اللهِ عَزَّ وَجَلَّ : </w:t>
      </w:r>
      <w:r w:rsidRPr="0091183A">
        <w:rPr>
          <w:rStyle w:val="libAlaemChar"/>
          <w:rtl/>
        </w:rPr>
        <w:t>(</w:t>
      </w:r>
      <w:r w:rsidRPr="0091183A">
        <w:rPr>
          <w:rStyle w:val="libAieChar"/>
          <w:rtl/>
        </w:rPr>
        <w:t xml:space="preserve"> إِنَّما جَزاءُ الَّذِينَ يُحارِبُونَ اللهَ وَرَسُولَهُ وَيَسْعَوْنَ فِي الْأَرْضِ فَساداً أَنْ يُقَتَّلُوا أَوْ يُصَلَّبُوا أَوْ تُقَطَّعَ أَيْدِيهِمْ وَأَرْجُلُهُمْ مِنْ خِلافٍ أَوْ يُنْفَوْا مِنَ الْأَرْضِ ذلِكَ لَهُمْ خِزْيٌ فِي الدُّنْيا وَلَهُمْ فِي الْآخِرَةِ عَذابٌ عَظِيمٌ </w:t>
      </w:r>
      <w:r w:rsidRPr="0091183A">
        <w:rPr>
          <w:rStyle w:val="libAlaemChar"/>
          <w:rtl/>
        </w:rPr>
        <w:t>)</w:t>
      </w:r>
      <w:r>
        <w:rPr>
          <w:rtl/>
          <w:lang w:bidi="fa-IR"/>
        </w:rPr>
        <w:t xml:space="preserve"> </w:t>
      </w:r>
      <w:r w:rsidRPr="00D10E3C">
        <w:rPr>
          <w:rStyle w:val="libFootnotenumChar"/>
          <w:rtl/>
        </w:rPr>
        <w:t>(6)</w:t>
      </w:r>
      <w:r>
        <w:rPr>
          <w:rtl/>
          <w:lang w:bidi="fa-IR"/>
        </w:rPr>
        <w:t xml:space="preserve"> أَلَاتَرى أَنَّ </w:t>
      </w:r>
      <w:r w:rsidRPr="00D10E3C">
        <w:rPr>
          <w:rStyle w:val="libFootnotenumChar"/>
          <w:rtl/>
        </w:rPr>
        <w:t>(7)</w:t>
      </w:r>
      <w:r>
        <w:rPr>
          <w:rtl/>
          <w:lang w:bidi="fa-IR"/>
        </w:rPr>
        <w:t xml:space="preserve"> الْمُخَيَّرَ </w:t>
      </w:r>
      <w:r w:rsidRPr="00D10E3C">
        <w:rPr>
          <w:rStyle w:val="libFootnotenumChar"/>
          <w:rtl/>
        </w:rPr>
        <w:t>(8)</w:t>
      </w:r>
      <w:r>
        <w:rPr>
          <w:rtl/>
          <w:lang w:bidi="fa-IR"/>
        </w:rPr>
        <w:t xml:space="preserve"> الَّذِي خَيَّرَ اللهُ الْإِمَامَ عَلى شَيْ‌ءٍ وَاحِدٍ وَهُوَ الْكُفْرُ </w:t>
      </w:r>
      <w:r w:rsidRPr="00D10E3C">
        <w:rPr>
          <w:rStyle w:val="libFootnotenumChar"/>
          <w:rtl/>
        </w:rPr>
        <w:t>(9)</w:t>
      </w:r>
      <w:r>
        <w:rPr>
          <w:rtl/>
          <w:lang w:bidi="fa-IR"/>
        </w:rPr>
        <w:t xml:space="preserve"> ، وَلَيْسَ </w:t>
      </w:r>
      <w:r w:rsidRPr="00D10E3C">
        <w:rPr>
          <w:rStyle w:val="libFootnotenumChar"/>
          <w:rtl/>
        </w:rPr>
        <w:t>(10)</w:t>
      </w:r>
      <w:r>
        <w:rPr>
          <w:rtl/>
          <w:lang w:bidi="fa-IR"/>
        </w:rPr>
        <w:t xml:space="preserve"> هُوَ عَلى أَشْيَاءَ مُخْتَلِفَةٍ ».</w:t>
      </w:r>
    </w:p>
    <w:p w:rsidR="00744A1C" w:rsidRDefault="00744A1C" w:rsidP="00744A1C">
      <w:pPr>
        <w:pStyle w:val="libNormal"/>
        <w:rPr>
          <w:lang w:bidi="fa-IR"/>
        </w:rPr>
      </w:pPr>
      <w:r>
        <w:rPr>
          <w:rtl/>
          <w:lang w:bidi="fa-IR"/>
        </w:rPr>
        <w:t xml:space="preserve">فَقُلْتُ لِأَبِي عَبْدِ اللهِ </w:t>
      </w:r>
      <w:r w:rsidRPr="00D10E3C">
        <w:rPr>
          <w:rStyle w:val="libFootnotenumChar"/>
          <w:rtl/>
        </w:rPr>
        <w:t>(11)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قَوْلُ اللهِ عَزَّ وَجَلَّ : </w:t>
      </w:r>
      <w:r w:rsidRPr="0091183A">
        <w:rPr>
          <w:rStyle w:val="libFootnoteAlaemChar"/>
          <w:rtl/>
        </w:rPr>
        <w:t>(</w:t>
      </w:r>
      <w:r w:rsidRPr="0091183A">
        <w:rPr>
          <w:rStyle w:val="libFootnoteAieChar"/>
          <w:rtl/>
        </w:rPr>
        <w:t xml:space="preserve"> أَوْ يُنْفَوْا مِنَ الْأَرْضِ </w:t>
      </w:r>
      <w:r w:rsidRPr="0091183A">
        <w:rPr>
          <w:rStyle w:val="libFootnoteAlaemChar"/>
          <w:rtl/>
        </w:rPr>
        <w:t>)</w:t>
      </w:r>
      <w:r>
        <w:rPr>
          <w:rtl/>
          <w:lang w:bidi="fa-IR"/>
        </w:rPr>
        <w:t>؟</w:t>
      </w:r>
    </w:p>
    <w:p w:rsidR="00744A1C" w:rsidRDefault="00744A1C" w:rsidP="00744A1C">
      <w:pPr>
        <w:pStyle w:val="libNormal"/>
        <w:rPr>
          <w:lang w:bidi="fa-IR"/>
        </w:rPr>
      </w:pPr>
      <w:r>
        <w:rPr>
          <w:rtl/>
          <w:lang w:bidi="fa-IR"/>
        </w:rPr>
        <w:t xml:space="preserve">قَالَ : « ذلِكَ </w:t>
      </w:r>
      <w:r w:rsidRPr="00D10E3C">
        <w:rPr>
          <w:rStyle w:val="libFootnotenumChar"/>
          <w:rtl/>
        </w:rPr>
        <w:t>(12)</w:t>
      </w:r>
      <w:r>
        <w:rPr>
          <w:rtl/>
          <w:lang w:bidi="fa-IR"/>
        </w:rPr>
        <w:t xml:space="preserve"> الطَّلَبُ </w:t>
      </w:r>
      <w:r w:rsidRPr="00D10E3C">
        <w:rPr>
          <w:rStyle w:val="libFootnotenumChar"/>
          <w:rtl/>
        </w:rPr>
        <w:t>(13)</w:t>
      </w:r>
      <w:r>
        <w:rPr>
          <w:rtl/>
          <w:lang w:bidi="fa-IR"/>
        </w:rPr>
        <w:t xml:space="preserve"> أَنْ تَطْلُبَهُ </w:t>
      </w:r>
      <w:r w:rsidRPr="00D10E3C">
        <w:rPr>
          <w:rStyle w:val="libFootnotenumChar"/>
          <w:rtl/>
        </w:rPr>
        <w:t>(14)</w:t>
      </w:r>
      <w:r>
        <w:rPr>
          <w:rtl/>
          <w:lang w:bidi="fa-IR"/>
        </w:rPr>
        <w:t xml:space="preserve"> الْخَيْلُ حَتّى‌</w:t>
      </w:r>
      <w:r w:rsidR="00EE40F1">
        <w:rPr>
          <w:rFonts w:hint="cs"/>
          <w:rtl/>
          <w:lang w:bidi="fa-IR"/>
        </w:rPr>
        <w:t xml:space="preserve"> ................</w:t>
      </w:r>
      <w:r w:rsidR="0091183A">
        <w:rPr>
          <w:rFonts w:hint="cs"/>
          <w:rtl/>
          <w:lang w:bidi="fa-IR"/>
        </w:rPr>
        <w:t>.......</w:t>
      </w:r>
      <w:r w:rsidR="0091183A">
        <w:rPr>
          <w:rFonts w:hint="cs"/>
          <w:rtl/>
          <w:lang w:bidi="fa-IR"/>
        </w:rPr>
        <w:tab/>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FC717C">
        <w:rPr>
          <w:rtl/>
        </w:rPr>
        <w:t>الوسائل</w:t>
      </w:r>
      <w:r w:rsidR="00744A1C">
        <w:rPr>
          <w:rtl/>
          <w:lang w:bidi="fa-IR"/>
        </w:rPr>
        <w:t xml:space="preserve"> : « ولم تضع ».</w:t>
      </w:r>
    </w:p>
    <w:p w:rsidR="00744A1C" w:rsidRDefault="00E378DD" w:rsidP="00E378DD">
      <w:pPr>
        <w:pStyle w:val="libFootnote0"/>
        <w:rPr>
          <w:lang w:bidi="fa-IR"/>
        </w:rPr>
      </w:pPr>
      <w:r>
        <w:rPr>
          <w:rtl/>
          <w:lang w:bidi="fa-IR"/>
        </w:rPr>
        <w:t>(2).</w:t>
      </w:r>
      <w:r w:rsidR="00744A1C">
        <w:rPr>
          <w:rtl/>
          <w:lang w:bidi="fa-IR"/>
        </w:rPr>
        <w:t xml:space="preserve"> أوزار الحرب وغيرها : الأثقال والآلات ، واحدها : وِزْر ، أو لا واحد لها.</w:t>
      </w:r>
    </w:p>
    <w:p w:rsidR="00744A1C" w:rsidRDefault="00E378DD" w:rsidP="00E378DD">
      <w:pPr>
        <w:pStyle w:val="libFootnote0"/>
        <w:rPr>
          <w:lang w:bidi="fa-IR"/>
        </w:rPr>
      </w:pPr>
      <w:r>
        <w:rPr>
          <w:rtl/>
          <w:lang w:bidi="fa-IR"/>
        </w:rPr>
        <w:t>(3).</w:t>
      </w:r>
      <w:r w:rsidR="00744A1C">
        <w:rPr>
          <w:rtl/>
          <w:lang w:bidi="fa-IR"/>
        </w:rPr>
        <w:t xml:space="preserve"> في </w:t>
      </w:r>
      <w:r w:rsidR="00744A1C" w:rsidRPr="00FC717C">
        <w:rPr>
          <w:rtl/>
        </w:rPr>
        <w:t>التهذيب</w:t>
      </w:r>
      <w:r w:rsidR="00744A1C">
        <w:rPr>
          <w:rtl/>
          <w:lang w:bidi="fa-IR"/>
        </w:rPr>
        <w:t xml:space="preserve"> : « ولم تضجر ». و « لم يُثْخَنْ » أي لم يُغْلَبْ ويُقْهَرْ ، ولم يُثْقَلْ بالجراح. راجع : </w:t>
      </w:r>
      <w:r w:rsidR="00744A1C" w:rsidRPr="00877682">
        <w:rPr>
          <w:rStyle w:val="libFootnoteBoldChar"/>
          <w:rtl/>
        </w:rPr>
        <w:t>لسان العرب</w:t>
      </w:r>
      <w:r w:rsidR="00744A1C">
        <w:rPr>
          <w:rtl/>
          <w:lang w:bidi="fa-IR"/>
        </w:rPr>
        <w:t xml:space="preserve"> ، ج 13 ، ص 77 ( ثخن ).</w:t>
      </w:r>
    </w:p>
    <w:p w:rsidR="00744A1C" w:rsidRDefault="00E378DD" w:rsidP="00E378DD">
      <w:pPr>
        <w:pStyle w:val="libFootnote0"/>
        <w:rPr>
          <w:lang w:bidi="fa-IR"/>
        </w:rPr>
      </w:pPr>
      <w:r>
        <w:rPr>
          <w:rtl/>
          <w:lang w:bidi="fa-IR"/>
        </w:rPr>
        <w:t>(4).</w:t>
      </w:r>
      <w:r w:rsidR="00744A1C">
        <w:rPr>
          <w:rtl/>
          <w:lang w:bidi="fa-IR"/>
        </w:rPr>
        <w:t xml:space="preserve"> الحَسم : القَطع. وحَسم ا</w:t>
      </w:r>
      <w:r w:rsidR="00FC717C">
        <w:rPr>
          <w:rtl/>
          <w:lang w:bidi="fa-IR"/>
        </w:rPr>
        <w:t>لعِرق : قطعه ، ثمّ كوّاه ؛ لئل</w:t>
      </w:r>
      <w:r w:rsidR="00FC717C">
        <w:rPr>
          <w:rFonts w:hint="cs"/>
          <w:rtl/>
          <w:lang w:bidi="fa-IR"/>
        </w:rPr>
        <w:t>ّ</w:t>
      </w:r>
      <w:r w:rsidR="00FC717C">
        <w:rPr>
          <w:rtl/>
          <w:lang w:bidi="fa-IR"/>
        </w:rPr>
        <w:t>ا</w:t>
      </w:r>
      <w:r w:rsidR="00744A1C">
        <w:rPr>
          <w:rtl/>
          <w:lang w:bidi="fa-IR"/>
        </w:rPr>
        <w:t xml:space="preserve"> يسيل دمه. </w:t>
      </w:r>
      <w:r w:rsidR="00744A1C" w:rsidRPr="00877682">
        <w:rPr>
          <w:rStyle w:val="libFootnoteBoldChar"/>
          <w:rtl/>
        </w:rPr>
        <w:t>لسان العرب</w:t>
      </w:r>
      <w:r w:rsidR="00FC717C">
        <w:rPr>
          <w:rtl/>
          <w:lang w:bidi="fa-IR"/>
        </w:rPr>
        <w:t xml:space="preserve"> ، ج 12 ، ص 134 ( حسم</w:t>
      </w:r>
      <w:r w:rsidR="00744A1C">
        <w:rPr>
          <w:rtl/>
          <w:lang w:bidi="fa-IR"/>
        </w:rPr>
        <w:t>).</w:t>
      </w:r>
    </w:p>
    <w:p w:rsidR="00744A1C" w:rsidRDefault="00E378DD" w:rsidP="00E378DD">
      <w:pPr>
        <w:pStyle w:val="libFootnote0"/>
        <w:rPr>
          <w:lang w:bidi="fa-IR"/>
        </w:rPr>
      </w:pPr>
      <w:r>
        <w:rPr>
          <w:rtl/>
          <w:lang w:bidi="fa-IR"/>
        </w:rPr>
        <w:t>(5).</w:t>
      </w:r>
      <w:r w:rsidR="00744A1C">
        <w:rPr>
          <w:rtl/>
          <w:lang w:bidi="fa-IR"/>
        </w:rPr>
        <w:t xml:space="preserve"> يتشحّط في دمه : يتخبّط فيه ويضطرب ويتمرّغ فيه. </w:t>
      </w:r>
      <w:r w:rsidR="00744A1C" w:rsidRPr="00877682">
        <w:rPr>
          <w:rStyle w:val="libFootnoteBoldChar"/>
          <w:rtl/>
        </w:rPr>
        <w:t>النهاية</w:t>
      </w:r>
      <w:r w:rsidR="00744A1C">
        <w:rPr>
          <w:rtl/>
          <w:lang w:bidi="fa-IR"/>
        </w:rPr>
        <w:t xml:space="preserve"> ، ج 2 ، ص 449 ( شحط ).</w:t>
      </w:r>
    </w:p>
    <w:tbl>
      <w:tblPr>
        <w:tblStyle w:val="TableGrid"/>
        <w:bidiVisual/>
        <w:tblW w:w="0" w:type="auto"/>
        <w:tblLook w:val="04A0" w:firstRow="1" w:lastRow="0" w:firstColumn="1" w:lastColumn="0" w:noHBand="0" w:noVBand="1"/>
      </w:tblPr>
      <w:tblGrid>
        <w:gridCol w:w="4006"/>
        <w:gridCol w:w="4006"/>
      </w:tblGrid>
      <w:tr w:rsidR="00FC717C" w:rsidTr="00FC717C">
        <w:tc>
          <w:tcPr>
            <w:tcW w:w="4006" w:type="dxa"/>
          </w:tcPr>
          <w:p w:rsidR="00FC717C" w:rsidRDefault="00FC717C" w:rsidP="00E378DD">
            <w:pPr>
              <w:pStyle w:val="libFootnote0"/>
              <w:rPr>
                <w:rtl/>
                <w:lang w:bidi="fa-IR"/>
              </w:rPr>
            </w:pPr>
            <w:r>
              <w:rPr>
                <w:rtl/>
                <w:lang w:bidi="fa-IR"/>
              </w:rPr>
              <w:t>(6). المائدة (5) : 33.</w:t>
            </w:r>
          </w:p>
        </w:tc>
        <w:tc>
          <w:tcPr>
            <w:tcW w:w="4006" w:type="dxa"/>
          </w:tcPr>
          <w:p w:rsidR="00FC717C" w:rsidRDefault="00FC717C" w:rsidP="00E378DD">
            <w:pPr>
              <w:pStyle w:val="libFootnote0"/>
              <w:rPr>
                <w:rtl/>
                <w:lang w:bidi="fa-IR"/>
              </w:rPr>
            </w:pPr>
            <w:r>
              <w:rPr>
                <w:rtl/>
                <w:lang w:bidi="fa-IR"/>
              </w:rPr>
              <w:t xml:space="preserve">(7). في « بث » </w:t>
            </w:r>
            <w:r w:rsidRPr="00FC717C">
              <w:rPr>
                <w:rtl/>
              </w:rPr>
              <w:t>والوافي</w:t>
            </w:r>
            <w:r>
              <w:rPr>
                <w:rtl/>
                <w:lang w:bidi="fa-IR"/>
              </w:rPr>
              <w:t xml:space="preserve"> : « أنّه ».</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FC717C">
        <w:rPr>
          <w:rtl/>
        </w:rPr>
        <w:t>الوافي</w:t>
      </w:r>
      <w:r w:rsidR="00744A1C">
        <w:rPr>
          <w:rtl/>
          <w:lang w:bidi="fa-IR"/>
        </w:rPr>
        <w:t xml:space="preserve"> : « التخيير ».</w:t>
      </w:r>
    </w:p>
    <w:p w:rsidR="00744A1C" w:rsidRDefault="00E378DD" w:rsidP="00E378DD">
      <w:pPr>
        <w:pStyle w:val="libFootnote0"/>
        <w:rPr>
          <w:lang w:bidi="fa-IR"/>
        </w:rPr>
      </w:pPr>
      <w:r>
        <w:rPr>
          <w:rtl/>
          <w:lang w:bidi="fa-IR"/>
        </w:rPr>
        <w:t>(9).</w:t>
      </w:r>
      <w:r w:rsidR="00744A1C">
        <w:rPr>
          <w:rtl/>
          <w:lang w:bidi="fa-IR"/>
        </w:rPr>
        <w:t xml:space="preserve"> في </w:t>
      </w:r>
      <w:r w:rsidR="00744A1C" w:rsidRPr="00FC717C">
        <w:rPr>
          <w:rtl/>
        </w:rPr>
        <w:t>التهذيب</w:t>
      </w:r>
      <w:r w:rsidR="00744A1C">
        <w:rPr>
          <w:rtl/>
          <w:lang w:bidi="fa-IR"/>
        </w:rPr>
        <w:t xml:space="preserve"> : « الكلّ ». وفي </w:t>
      </w:r>
      <w:r w:rsidR="00744A1C" w:rsidRPr="00C24F9C">
        <w:rPr>
          <w:rStyle w:val="libFootnoteBoldChar"/>
          <w:rtl/>
        </w:rPr>
        <w:t>الوافي</w:t>
      </w:r>
      <w:r w:rsidR="00744A1C">
        <w:rPr>
          <w:rtl/>
          <w:lang w:bidi="fa-IR"/>
        </w:rPr>
        <w:t xml:space="preserve"> : « لعلّ المراد به أنّ معنى محاربة الله ورسوله هو الكفر والارتداد الذي في معنى الكفر ، والتخيير مرتّب عليه ، وإنّما يتخيّر الإمام في أنحاء القتل ، وليس كما زعمه من خصّ محاربة الله ورسوله بالمكابرة باللصوصيّة أنّه إن قتل المكابر قتل ، وإن سرق قطع يده ورجله من خلاف ، وإن لم يقتل ولم يسرق وإنّما أخاف نُفي من الأرض ، أي من بلد إلى بلد بحيث لا يتمكّن من الفرار ، أو حبس ، فيكون « أو » في الآية للتفصيل المترتّب على أشياء مختلفة دون التخيير المرتّب على شي‌ء واحد ». وفي هامش المطبوع عن رفيع : « المراد بالكفر هاهنا الإهلاك بحيث لا يرى أثره ؛ قال في </w:t>
      </w:r>
      <w:r w:rsidR="00744A1C" w:rsidRPr="00E978C3">
        <w:rPr>
          <w:rStyle w:val="libFootnoteBoldChar"/>
          <w:rtl/>
        </w:rPr>
        <w:t>الصحاح</w:t>
      </w:r>
      <w:r w:rsidR="00744A1C">
        <w:rPr>
          <w:rtl/>
          <w:lang w:bidi="fa-IR"/>
        </w:rPr>
        <w:t xml:space="preserve"> : الكفر - بالفتح - : التغطية ، وكفرت الشي‌ء كفراً : إذا سترته ». راجع : </w:t>
      </w:r>
      <w:r w:rsidR="00744A1C" w:rsidRPr="00E978C3">
        <w:rPr>
          <w:rStyle w:val="libFootnoteBoldChar"/>
          <w:rtl/>
        </w:rPr>
        <w:t>الصحاح</w:t>
      </w:r>
      <w:r w:rsidR="00744A1C">
        <w:rPr>
          <w:rtl/>
          <w:lang w:bidi="fa-IR"/>
        </w:rPr>
        <w:t xml:space="preserve"> ، ج 2 ، ص 807 ( كفر ).</w:t>
      </w:r>
    </w:p>
    <w:tbl>
      <w:tblPr>
        <w:tblStyle w:val="TableGrid"/>
        <w:bidiVisual/>
        <w:tblW w:w="0" w:type="auto"/>
        <w:tblLook w:val="04A0" w:firstRow="1" w:lastRow="0" w:firstColumn="1" w:lastColumn="0" w:noHBand="0" w:noVBand="1"/>
      </w:tblPr>
      <w:tblGrid>
        <w:gridCol w:w="4006"/>
        <w:gridCol w:w="4006"/>
      </w:tblGrid>
      <w:tr w:rsidR="00FC717C" w:rsidTr="00FC717C">
        <w:tc>
          <w:tcPr>
            <w:tcW w:w="4006" w:type="dxa"/>
          </w:tcPr>
          <w:p w:rsidR="00FC717C" w:rsidRDefault="00FC717C" w:rsidP="00E378DD">
            <w:pPr>
              <w:pStyle w:val="libFootnote0"/>
              <w:rPr>
                <w:rtl/>
                <w:lang w:bidi="fa-IR"/>
              </w:rPr>
            </w:pPr>
            <w:r>
              <w:rPr>
                <w:rtl/>
                <w:lang w:bidi="fa-IR"/>
              </w:rPr>
              <w:t>(10). في « جد » : « فليس ».</w:t>
            </w:r>
          </w:p>
        </w:tc>
        <w:tc>
          <w:tcPr>
            <w:tcW w:w="4006" w:type="dxa"/>
          </w:tcPr>
          <w:p w:rsidR="00FC717C" w:rsidRDefault="00FC717C" w:rsidP="00E378DD">
            <w:pPr>
              <w:pStyle w:val="libFootnote0"/>
              <w:rPr>
                <w:rtl/>
                <w:lang w:bidi="fa-IR"/>
              </w:rPr>
            </w:pPr>
            <w:r>
              <w:rPr>
                <w:rtl/>
                <w:lang w:bidi="fa-IR"/>
              </w:rPr>
              <w:t xml:space="preserve">(11). في </w:t>
            </w:r>
            <w:r w:rsidRPr="00FC717C">
              <w:rPr>
                <w:rtl/>
              </w:rPr>
              <w:t>الوافي</w:t>
            </w:r>
            <w:r>
              <w:rPr>
                <w:rtl/>
                <w:lang w:bidi="fa-IR"/>
              </w:rPr>
              <w:t xml:space="preserve"> : « لجعفر بن محمّد ».</w:t>
            </w:r>
          </w:p>
        </w:tc>
      </w:tr>
      <w:tr w:rsidR="00FC717C" w:rsidTr="00FC717C">
        <w:tc>
          <w:tcPr>
            <w:tcW w:w="4006" w:type="dxa"/>
          </w:tcPr>
          <w:p w:rsidR="00FC717C" w:rsidRDefault="00FC717C" w:rsidP="00E378DD">
            <w:pPr>
              <w:pStyle w:val="libFootnote0"/>
              <w:rPr>
                <w:rtl/>
                <w:lang w:bidi="fa-IR"/>
              </w:rPr>
            </w:pPr>
            <w:r>
              <w:rPr>
                <w:rtl/>
                <w:lang w:bidi="fa-IR"/>
              </w:rPr>
              <w:t>(12). في « ى ، بث ، جد » : « ذاك ».</w:t>
            </w:r>
          </w:p>
        </w:tc>
        <w:tc>
          <w:tcPr>
            <w:tcW w:w="4006" w:type="dxa"/>
          </w:tcPr>
          <w:p w:rsidR="00FC717C" w:rsidRDefault="00FC717C" w:rsidP="00E378DD">
            <w:pPr>
              <w:pStyle w:val="libFootnote0"/>
              <w:rPr>
                <w:rtl/>
                <w:lang w:bidi="fa-IR"/>
              </w:rPr>
            </w:pPr>
            <w:r>
              <w:rPr>
                <w:rtl/>
                <w:lang w:bidi="fa-IR"/>
              </w:rPr>
              <w:t xml:space="preserve">(13). في </w:t>
            </w:r>
            <w:r w:rsidRPr="00FC717C">
              <w:rPr>
                <w:rtl/>
              </w:rPr>
              <w:t>التهذيب</w:t>
            </w:r>
            <w:r>
              <w:rPr>
                <w:rtl/>
                <w:lang w:bidi="fa-IR"/>
              </w:rPr>
              <w:t xml:space="preserve"> : « للطلب ».</w:t>
            </w:r>
          </w:p>
        </w:tc>
      </w:tr>
    </w:tbl>
    <w:p w:rsidR="00744A1C" w:rsidRDefault="00E378DD" w:rsidP="00E378DD">
      <w:pPr>
        <w:pStyle w:val="libFootnote0"/>
        <w:rPr>
          <w:lang w:bidi="fa-IR"/>
        </w:rPr>
      </w:pPr>
      <w:r>
        <w:rPr>
          <w:rtl/>
          <w:lang w:bidi="fa-IR"/>
        </w:rPr>
        <w:t>(14).</w:t>
      </w:r>
      <w:r w:rsidR="00744A1C">
        <w:rPr>
          <w:rtl/>
          <w:lang w:bidi="fa-IR"/>
        </w:rPr>
        <w:t xml:space="preserve"> في </w:t>
      </w:r>
      <w:r w:rsidR="00744A1C" w:rsidRPr="00FC717C">
        <w:rPr>
          <w:rtl/>
        </w:rPr>
        <w:t>الوافي</w:t>
      </w:r>
      <w:r w:rsidR="00744A1C">
        <w:rPr>
          <w:rtl/>
          <w:lang w:bidi="fa-IR"/>
        </w:rPr>
        <w:t xml:space="preserve"> : « أن يطلبه ».</w:t>
      </w:r>
    </w:p>
    <w:p w:rsidR="006A5060" w:rsidRDefault="006A5060" w:rsidP="00D10E3C">
      <w:pPr>
        <w:pStyle w:val="libNormal"/>
        <w:rPr>
          <w:rtl/>
          <w:lang w:bidi="fa-IR"/>
        </w:rPr>
      </w:pPr>
      <w:r>
        <w:rPr>
          <w:rtl/>
          <w:lang w:bidi="fa-IR"/>
        </w:rPr>
        <w:br w:type="page"/>
      </w:r>
    </w:p>
    <w:p w:rsidR="00744A1C" w:rsidRDefault="00744A1C" w:rsidP="00FC717C">
      <w:pPr>
        <w:pStyle w:val="libNormal0"/>
        <w:rPr>
          <w:lang w:bidi="fa-IR"/>
        </w:rPr>
      </w:pPr>
      <w:r>
        <w:rPr>
          <w:rtl/>
          <w:lang w:bidi="fa-IR"/>
        </w:rPr>
        <w:t xml:space="preserve">يَهْرُبَ </w:t>
      </w:r>
      <w:r w:rsidRPr="00D10E3C">
        <w:rPr>
          <w:rStyle w:val="libFootnotenumChar"/>
          <w:rtl/>
        </w:rPr>
        <w:t>(1)</w:t>
      </w:r>
      <w:r>
        <w:rPr>
          <w:rtl/>
          <w:lang w:bidi="fa-IR"/>
        </w:rPr>
        <w:t xml:space="preserve"> ، فَإِنْ </w:t>
      </w:r>
      <w:r w:rsidRPr="00D10E3C">
        <w:rPr>
          <w:rStyle w:val="libFootnotenumChar"/>
          <w:rtl/>
        </w:rPr>
        <w:t>(2)</w:t>
      </w:r>
      <w:r>
        <w:rPr>
          <w:rtl/>
          <w:lang w:bidi="fa-IR"/>
        </w:rPr>
        <w:t xml:space="preserve"> أَخَذَتْهُ الْخَيْلُ </w:t>
      </w:r>
      <w:r w:rsidRPr="00D10E3C">
        <w:rPr>
          <w:rStyle w:val="libFootnotenumChar"/>
          <w:rtl/>
        </w:rPr>
        <w:t>(3)</w:t>
      </w:r>
      <w:r>
        <w:rPr>
          <w:rtl/>
          <w:lang w:bidi="fa-IR"/>
        </w:rPr>
        <w:t xml:space="preserve"> ، حُكِمَ عَلَيْهِ بِبَعْضِ الْأَحْكَامِ الَّتِي وَصَفْتُ لَكَ.</w:t>
      </w:r>
    </w:p>
    <w:p w:rsidR="00144FA6" w:rsidRDefault="00744A1C" w:rsidP="00744A1C">
      <w:pPr>
        <w:pStyle w:val="libNormal"/>
        <w:rPr>
          <w:rtl/>
          <w:lang w:bidi="fa-IR"/>
        </w:rPr>
      </w:pPr>
      <w:r>
        <w:rPr>
          <w:rtl/>
          <w:lang w:bidi="fa-IR"/>
        </w:rPr>
        <w:t xml:space="preserve">وَالْحُكْمُ الْآخَرُ : إِذَا وَضَعَتِ الْحَرْبُ أَوْزَارَهَا ، وَأُثْخِنَ أَهْلُهَا ، فَكُلُّ أَسِيرٍ أُخِذَ فِي </w:t>
      </w:r>
      <w:r w:rsidRPr="00D10E3C">
        <w:rPr>
          <w:rStyle w:val="libFootnotenumChar"/>
          <w:rtl/>
        </w:rPr>
        <w:t>(4)</w:t>
      </w:r>
      <w:r>
        <w:rPr>
          <w:rtl/>
          <w:lang w:bidi="fa-IR"/>
        </w:rPr>
        <w:t xml:space="preserve"> تِلْكَ الْحَالِ ، فَكَانَ </w:t>
      </w:r>
      <w:r w:rsidRPr="00D10E3C">
        <w:rPr>
          <w:rStyle w:val="libFootnotenumChar"/>
          <w:rtl/>
        </w:rPr>
        <w:t>(5)</w:t>
      </w:r>
      <w:r>
        <w:rPr>
          <w:rtl/>
          <w:lang w:bidi="fa-IR"/>
        </w:rPr>
        <w:t xml:space="preserve"> فِي أَيْدِيهِمْ ، فَالْإِمَامُ فِيهِ بِالْخِيَارِ ، إِنْ شَاءَ مَنَّ عَلَيْهِمْ فَأَرْسَلَهُمْ ، وَإِنْ شَاءَ فَادَاهُمْ </w:t>
      </w:r>
      <w:r w:rsidRPr="00D10E3C">
        <w:rPr>
          <w:rStyle w:val="libFootnotenumChar"/>
          <w:rtl/>
        </w:rPr>
        <w:t>(6)</w:t>
      </w:r>
      <w:r>
        <w:rPr>
          <w:rtl/>
          <w:lang w:bidi="fa-IR"/>
        </w:rPr>
        <w:t xml:space="preserve"> أَنْفُسَهُمْ ، وَإِنْ شَاءَ اسْتَعْبَدَهُمْ ، فَصَارُوا عَبِيداً ». </w:t>
      </w:r>
      <w:r w:rsidRPr="00D10E3C">
        <w:rPr>
          <w:rStyle w:val="libFootnotenumChar"/>
          <w:rtl/>
        </w:rPr>
        <w:t>(7)</w:t>
      </w:r>
    </w:p>
    <w:p w:rsidR="00144FA6" w:rsidRDefault="00744A1C" w:rsidP="00744A1C">
      <w:pPr>
        <w:pStyle w:val="libNormal"/>
        <w:rPr>
          <w:rtl/>
          <w:lang w:bidi="fa-IR"/>
        </w:rPr>
      </w:pPr>
      <w:r>
        <w:rPr>
          <w:rtl/>
          <w:lang w:bidi="fa-IR"/>
        </w:rPr>
        <w:t xml:space="preserve">8245 / 2. عَلِيُّ بْنُ إِبْرَاهِيمَ ، عَنْ أَبِيهِ ، عَنِ الْقَاسِمِ بْنِ مُحَمَّدٍ ، عَنْ سُلَيْمَانَ الْمِنْقَرِيِّ </w:t>
      </w:r>
      <w:r w:rsidRPr="00D10E3C">
        <w:rPr>
          <w:rStyle w:val="libFootnotenumChar"/>
          <w:rtl/>
        </w:rPr>
        <w:t>(8)</w:t>
      </w:r>
      <w:r>
        <w:rPr>
          <w:rtl/>
          <w:lang w:bidi="fa-IR"/>
        </w:rPr>
        <w:t xml:space="preserve"> ، عَنْ حَفْصِ بْنِ غِيَاثٍ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الطَّائِفَتَيْنِ </w:t>
      </w:r>
      <w:r w:rsidRPr="00D10E3C">
        <w:rPr>
          <w:rStyle w:val="libFootnotenumChar"/>
          <w:rtl/>
        </w:rPr>
        <w:t>(9)</w:t>
      </w:r>
      <w:r>
        <w:rPr>
          <w:rtl/>
          <w:lang w:bidi="fa-IR"/>
        </w:rPr>
        <w:t xml:space="preserve"> مِنَ الْمُؤْمِنِينَ </w:t>
      </w:r>
      <w:r w:rsidRPr="00D10E3C">
        <w:rPr>
          <w:rStyle w:val="libFootnotenumChar"/>
          <w:rtl/>
        </w:rPr>
        <w:t>(10)</w:t>
      </w:r>
      <w:r>
        <w:rPr>
          <w:rtl/>
          <w:lang w:bidi="fa-IR"/>
        </w:rPr>
        <w:t xml:space="preserve"> : إِحْدَاهُمَا بَاغِيَةٌ ، وَالْأُخْرى عَادِلَةٌ ، فَهَزَمَتِ الْعَادِلَةُ الْبَاغِيَةَ؟</w:t>
      </w:r>
    </w:p>
    <w:p w:rsidR="00144FA6" w:rsidRDefault="00744A1C" w:rsidP="00744A1C">
      <w:pPr>
        <w:pStyle w:val="libNormal"/>
        <w:rPr>
          <w:rtl/>
          <w:lang w:bidi="fa-IR"/>
        </w:rPr>
      </w:pPr>
      <w:r>
        <w:rPr>
          <w:rtl/>
          <w:lang w:bidi="fa-IR"/>
        </w:rPr>
        <w:t xml:space="preserve">فَقَالَ : « لَيْسَ لِأَهْلِ الْعَدْلِ أَنْ يَتْبَعُوا </w:t>
      </w:r>
      <w:r w:rsidRPr="00D10E3C">
        <w:rPr>
          <w:rStyle w:val="libFootnotenumChar"/>
          <w:rtl/>
        </w:rPr>
        <w:t>(11)</w:t>
      </w:r>
      <w:r>
        <w:rPr>
          <w:rtl/>
          <w:lang w:bidi="fa-IR"/>
        </w:rPr>
        <w:t xml:space="preserve"> مُدْبِراً ، وَلَا يَقْتُلُوا </w:t>
      </w:r>
      <w:r w:rsidRPr="00D10E3C">
        <w:rPr>
          <w:rStyle w:val="libFootnotenumChar"/>
          <w:rtl/>
        </w:rPr>
        <w:t>(12)</w:t>
      </w:r>
      <w:r>
        <w:rPr>
          <w:rtl/>
          <w:lang w:bidi="fa-IR"/>
        </w:rPr>
        <w:t xml:space="preserve"> أَسِيراً ، وَلَا يُجْهِزُوا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ولعلّ المراد بهذا الخبر عدم تخصيص المحارب باللصّ ، لا تخصيصه بالكافر ؛ لما يأتي من الأخبار في باب حدّ المحارب الدالّة على شمول حكم الآية اللصّ ، وأنّ « أو » فيها للتفصيل والمترتّب على أشياء مختلفة ».</w:t>
      </w:r>
    </w:p>
    <w:p w:rsidR="00744A1C" w:rsidRDefault="00E378DD" w:rsidP="00E378DD">
      <w:pPr>
        <w:pStyle w:val="libFootnote0"/>
        <w:rPr>
          <w:lang w:bidi="fa-IR"/>
        </w:rPr>
      </w:pPr>
      <w:r>
        <w:rPr>
          <w:rtl/>
          <w:lang w:bidi="fa-IR"/>
        </w:rPr>
        <w:t>(2).</w:t>
      </w:r>
      <w:r w:rsidR="00744A1C">
        <w:rPr>
          <w:rtl/>
          <w:lang w:bidi="fa-IR"/>
        </w:rPr>
        <w:t xml:space="preserve"> في « بث » وحاشية « بف » : « فإذا ».</w:t>
      </w:r>
    </w:p>
    <w:p w:rsidR="00744A1C" w:rsidRDefault="00E378DD" w:rsidP="00E378DD">
      <w:pPr>
        <w:pStyle w:val="libFootnote0"/>
        <w:rPr>
          <w:lang w:bidi="fa-IR"/>
        </w:rPr>
      </w:pPr>
      <w:r>
        <w:rPr>
          <w:rtl/>
          <w:lang w:bidi="fa-IR"/>
        </w:rPr>
        <w:t>(3).</w:t>
      </w:r>
      <w:r w:rsidR="00744A1C">
        <w:rPr>
          <w:rtl/>
          <w:lang w:bidi="fa-IR"/>
        </w:rPr>
        <w:t xml:space="preserve"> في « جن » : - « الخيل ».</w:t>
      </w:r>
    </w:p>
    <w:p w:rsidR="00744A1C" w:rsidRDefault="00E378DD" w:rsidP="00E378DD">
      <w:pPr>
        <w:pStyle w:val="libFootnote0"/>
        <w:rPr>
          <w:lang w:bidi="fa-IR"/>
        </w:rPr>
      </w:pPr>
      <w:r>
        <w:rPr>
          <w:rtl/>
          <w:lang w:bidi="fa-IR"/>
        </w:rPr>
        <w:t>(4).</w:t>
      </w:r>
      <w:r w:rsidR="00744A1C">
        <w:rPr>
          <w:rtl/>
          <w:lang w:bidi="fa-IR"/>
        </w:rPr>
        <w:t xml:space="preserve"> في « ى ، بث ، بح ، بس ، بف ، جت ، جد ، جن » </w:t>
      </w:r>
      <w:r w:rsidR="00744A1C" w:rsidRPr="00FC717C">
        <w:rPr>
          <w:rtl/>
        </w:rPr>
        <w:t>والوافي والوسائل والتهذيب</w:t>
      </w:r>
      <w:r w:rsidR="00744A1C">
        <w:rPr>
          <w:rtl/>
          <w:lang w:bidi="fa-IR"/>
        </w:rPr>
        <w:t xml:space="preserve"> : « على ».</w:t>
      </w:r>
    </w:p>
    <w:p w:rsidR="00744A1C" w:rsidRDefault="00E378DD" w:rsidP="00E378DD">
      <w:pPr>
        <w:pStyle w:val="libFootnote0"/>
        <w:rPr>
          <w:lang w:bidi="fa-IR"/>
        </w:rPr>
      </w:pPr>
      <w:r>
        <w:rPr>
          <w:rtl/>
          <w:lang w:bidi="fa-IR"/>
        </w:rPr>
        <w:t>(5).</w:t>
      </w:r>
      <w:r w:rsidR="00744A1C">
        <w:rPr>
          <w:rtl/>
          <w:lang w:bidi="fa-IR"/>
        </w:rPr>
        <w:t xml:space="preserve"> في « بف » </w:t>
      </w:r>
      <w:r w:rsidR="00744A1C" w:rsidRPr="00FC717C">
        <w:rPr>
          <w:rtl/>
        </w:rPr>
        <w:t>والوافي</w:t>
      </w:r>
      <w:r w:rsidR="00744A1C">
        <w:rPr>
          <w:rtl/>
          <w:lang w:bidi="fa-IR"/>
        </w:rPr>
        <w:t xml:space="preserve"> : « وكان ».</w:t>
      </w:r>
    </w:p>
    <w:p w:rsidR="00744A1C" w:rsidRDefault="00E378DD" w:rsidP="00E378DD">
      <w:pPr>
        <w:pStyle w:val="libFootnote0"/>
        <w:rPr>
          <w:lang w:bidi="fa-IR"/>
        </w:rPr>
      </w:pPr>
      <w:r>
        <w:rPr>
          <w:rtl/>
          <w:lang w:bidi="fa-IR"/>
        </w:rPr>
        <w:t>(6).</w:t>
      </w:r>
      <w:r w:rsidR="00744A1C">
        <w:rPr>
          <w:rtl/>
          <w:lang w:bidi="fa-IR"/>
        </w:rPr>
        <w:t xml:space="preserve"> فَداه وفاداهُ ، إذا أعطى فِداءَه فأنقذه. وأفداه الأسير : قَبِل منه فِدْيَتَه. راجع : </w:t>
      </w:r>
      <w:r w:rsidR="00744A1C" w:rsidRPr="00877682">
        <w:rPr>
          <w:rStyle w:val="libFootnoteBoldChar"/>
          <w:rtl/>
        </w:rPr>
        <w:t>لسان العرب</w:t>
      </w:r>
      <w:r w:rsidR="00744A1C">
        <w:rPr>
          <w:rtl/>
          <w:lang w:bidi="fa-IR"/>
        </w:rPr>
        <w:t xml:space="preserve"> ، ج 15 ، ص 150 ( فدى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143 ، ح 245 ، معلّقاً عن أحمد بن محمّد بن عيسى ، عن محمّد بن يحيى ، عن عبد الله بن المغيرة ، عن طلحة بن زيد </w:t>
      </w:r>
      <w:r w:rsidR="00FC717C">
        <w:rPr>
          <w:rFonts w:hint="cs"/>
          <w:rtl/>
          <w:lang w:bidi="fa-IR"/>
        </w:rPr>
        <w:t>.</w:t>
      </w:r>
      <w:r w:rsidR="00744A1C" w:rsidRPr="00C24F9C">
        <w:rPr>
          <w:rStyle w:val="libFootnoteBoldChar"/>
          <w:rtl/>
        </w:rPr>
        <w:t>الوافي</w:t>
      </w:r>
      <w:r w:rsidR="00744A1C">
        <w:rPr>
          <w:rtl/>
          <w:lang w:bidi="fa-IR"/>
        </w:rPr>
        <w:t xml:space="preserve"> ، ج 15 ، ص 131 ، ح 14791 ؛ </w:t>
      </w:r>
      <w:r w:rsidR="00744A1C" w:rsidRPr="00C24F9C">
        <w:rPr>
          <w:rStyle w:val="libFootnoteBoldChar"/>
          <w:rtl/>
        </w:rPr>
        <w:t>الوسائل</w:t>
      </w:r>
      <w:r w:rsidR="00744A1C">
        <w:rPr>
          <w:rtl/>
          <w:lang w:bidi="fa-IR"/>
        </w:rPr>
        <w:t xml:space="preserve"> ، ج 15 ، ص 17 ، ح 20007.</w:t>
      </w:r>
    </w:p>
    <w:p w:rsidR="00744A1C" w:rsidRDefault="00E378DD" w:rsidP="00E378DD">
      <w:pPr>
        <w:pStyle w:val="libFootnote0"/>
        <w:rPr>
          <w:lang w:bidi="fa-IR"/>
        </w:rPr>
      </w:pPr>
      <w:r>
        <w:rPr>
          <w:rtl/>
          <w:lang w:bidi="fa-IR"/>
        </w:rPr>
        <w:t>(8).</w:t>
      </w:r>
      <w:r w:rsidR="00744A1C">
        <w:rPr>
          <w:rtl/>
          <w:lang w:bidi="fa-IR"/>
        </w:rPr>
        <w:t xml:space="preserve"> في </w:t>
      </w:r>
      <w:r w:rsidR="00744A1C" w:rsidRPr="00FC717C">
        <w:rPr>
          <w:rtl/>
        </w:rPr>
        <w:t>الوسائل</w:t>
      </w:r>
      <w:r w:rsidR="00744A1C">
        <w:rPr>
          <w:rtl/>
          <w:lang w:bidi="fa-IR"/>
        </w:rPr>
        <w:t xml:space="preserve"> : « سليمان بن داود المنقري ».</w:t>
      </w:r>
    </w:p>
    <w:p w:rsidR="00744A1C" w:rsidRDefault="00E378DD" w:rsidP="00E378DD">
      <w:pPr>
        <w:pStyle w:val="libFootnote0"/>
        <w:rPr>
          <w:lang w:bidi="fa-IR"/>
        </w:rPr>
      </w:pPr>
      <w:r>
        <w:rPr>
          <w:rtl/>
          <w:lang w:bidi="fa-IR"/>
        </w:rPr>
        <w:t>(9).</w:t>
      </w:r>
      <w:r w:rsidR="00744A1C">
        <w:rPr>
          <w:rtl/>
          <w:lang w:bidi="fa-IR"/>
        </w:rPr>
        <w:t xml:space="preserve"> في « بث ، بف » </w:t>
      </w:r>
      <w:r w:rsidR="00744A1C" w:rsidRPr="00FC717C">
        <w:rPr>
          <w:rtl/>
        </w:rPr>
        <w:t>والوافي</w:t>
      </w:r>
      <w:r w:rsidR="00744A1C">
        <w:rPr>
          <w:rtl/>
          <w:lang w:bidi="fa-IR"/>
        </w:rPr>
        <w:t xml:space="preserve"> : « طائفتين ».</w:t>
      </w:r>
    </w:p>
    <w:tbl>
      <w:tblPr>
        <w:tblStyle w:val="TableGrid"/>
        <w:bidiVisual/>
        <w:tblW w:w="0" w:type="auto"/>
        <w:tblLook w:val="04A0" w:firstRow="1" w:lastRow="0" w:firstColumn="1" w:lastColumn="0" w:noHBand="0" w:noVBand="1"/>
      </w:tblPr>
      <w:tblGrid>
        <w:gridCol w:w="4006"/>
        <w:gridCol w:w="4006"/>
      </w:tblGrid>
      <w:tr w:rsidR="00FC717C" w:rsidTr="00FC717C">
        <w:tc>
          <w:tcPr>
            <w:tcW w:w="4006" w:type="dxa"/>
          </w:tcPr>
          <w:p w:rsidR="00FC717C" w:rsidRDefault="00FC717C" w:rsidP="00E378DD">
            <w:pPr>
              <w:pStyle w:val="libFootnote0"/>
              <w:rPr>
                <w:rtl/>
                <w:lang w:bidi="fa-IR"/>
              </w:rPr>
            </w:pPr>
            <w:r>
              <w:rPr>
                <w:rtl/>
                <w:lang w:bidi="fa-IR"/>
              </w:rPr>
              <w:t xml:space="preserve">(10). في </w:t>
            </w:r>
            <w:r w:rsidRPr="00AE3412">
              <w:rPr>
                <w:rtl/>
              </w:rPr>
              <w:t>الوافي والتهذيب</w:t>
            </w:r>
            <w:r>
              <w:rPr>
                <w:rtl/>
                <w:lang w:bidi="fa-IR"/>
              </w:rPr>
              <w:t xml:space="preserve"> : - « من المؤمنين ».</w:t>
            </w:r>
          </w:p>
        </w:tc>
        <w:tc>
          <w:tcPr>
            <w:tcW w:w="4006" w:type="dxa"/>
          </w:tcPr>
          <w:p w:rsidR="00FC717C" w:rsidRDefault="00FC717C" w:rsidP="00E378DD">
            <w:pPr>
              <w:pStyle w:val="libFootnote0"/>
              <w:rPr>
                <w:rtl/>
                <w:lang w:bidi="fa-IR"/>
              </w:rPr>
            </w:pPr>
            <w:r>
              <w:rPr>
                <w:rtl/>
                <w:lang w:bidi="fa-IR"/>
              </w:rPr>
              <w:t>(11). في « بث » : « أن تتبعوا ».</w:t>
            </w:r>
          </w:p>
        </w:tc>
      </w:tr>
    </w:tbl>
    <w:p w:rsidR="00744A1C" w:rsidRDefault="00E378DD" w:rsidP="00E378DD">
      <w:pPr>
        <w:pStyle w:val="libFootnote0"/>
        <w:rPr>
          <w:lang w:bidi="fa-IR"/>
        </w:rPr>
      </w:pPr>
      <w:r>
        <w:rPr>
          <w:rtl/>
          <w:lang w:bidi="fa-IR"/>
        </w:rPr>
        <w:t>(12).</w:t>
      </w:r>
      <w:r w:rsidR="00744A1C">
        <w:rPr>
          <w:rtl/>
          <w:lang w:bidi="fa-IR"/>
        </w:rPr>
        <w:t xml:space="preserve"> في « بث » : « ولا تقتلوا ».</w:t>
      </w:r>
    </w:p>
    <w:p w:rsidR="00744A1C" w:rsidRDefault="00E378DD" w:rsidP="00E378DD">
      <w:pPr>
        <w:pStyle w:val="libFootnote0"/>
        <w:rPr>
          <w:lang w:bidi="fa-IR"/>
        </w:rPr>
      </w:pPr>
      <w:r>
        <w:rPr>
          <w:rtl/>
          <w:lang w:bidi="fa-IR"/>
        </w:rPr>
        <w:t>(13).</w:t>
      </w:r>
      <w:r w:rsidR="00744A1C">
        <w:rPr>
          <w:rtl/>
          <w:lang w:bidi="fa-IR"/>
        </w:rPr>
        <w:t xml:space="preserve"> في « بث » : « ولا تجيروا ». وفي </w:t>
      </w:r>
      <w:r w:rsidR="00744A1C" w:rsidRPr="00AE3412">
        <w:rPr>
          <w:rtl/>
        </w:rPr>
        <w:t>التهذيب</w:t>
      </w:r>
      <w:r w:rsidR="00744A1C">
        <w:rPr>
          <w:rtl/>
          <w:lang w:bidi="fa-IR"/>
        </w:rPr>
        <w:t xml:space="preserve"> : « ولا يجيزوا ». ويقال : أجهز على الجريح ، إذا أثبت قتله ، أو أسرع قتله وتمّم عليه. والإجازة على الجريح بمعناه. </w:t>
      </w:r>
      <w:r w:rsidR="00744A1C" w:rsidRPr="00877682">
        <w:rPr>
          <w:rStyle w:val="libFootnoteBoldChar"/>
          <w:rtl/>
        </w:rPr>
        <w:t>لسان العرب</w:t>
      </w:r>
      <w:r w:rsidR="00744A1C">
        <w:rPr>
          <w:rtl/>
          <w:lang w:bidi="fa-IR"/>
        </w:rPr>
        <w:t xml:space="preserve"> ، ج 5 ، ص 325 ( جهز ) ؛ </w:t>
      </w:r>
      <w:r w:rsidR="00744A1C" w:rsidRPr="008A57EB">
        <w:rPr>
          <w:rStyle w:val="libFootnoteBoldChar"/>
          <w:rtl/>
        </w:rPr>
        <w:t>القاموس المحيط</w:t>
      </w:r>
      <w:r w:rsidR="00744A1C">
        <w:rPr>
          <w:rtl/>
          <w:lang w:bidi="fa-IR"/>
        </w:rPr>
        <w:t xml:space="preserve"> ، ج 1 ، ص 699 ( جوز ).</w:t>
      </w:r>
    </w:p>
    <w:p w:rsidR="006A5060" w:rsidRDefault="006A5060" w:rsidP="00D10E3C">
      <w:pPr>
        <w:pStyle w:val="libNormal"/>
        <w:rPr>
          <w:rtl/>
          <w:lang w:bidi="fa-IR"/>
        </w:rPr>
      </w:pPr>
      <w:r>
        <w:rPr>
          <w:rtl/>
          <w:lang w:bidi="fa-IR"/>
        </w:rPr>
        <w:br w:type="page"/>
      </w:r>
    </w:p>
    <w:p w:rsidR="00144FA6" w:rsidRDefault="00744A1C" w:rsidP="00EE40F1">
      <w:pPr>
        <w:pStyle w:val="libNormal0"/>
        <w:rPr>
          <w:rtl/>
          <w:lang w:bidi="fa-IR"/>
        </w:rPr>
      </w:pPr>
      <w:r>
        <w:rPr>
          <w:rtl/>
          <w:lang w:bidi="fa-IR"/>
        </w:rPr>
        <w:t xml:space="preserve">عَلى جَرِيحٍ ، وَهذَا إِذَا لَمْ يَبْقَ مِنْ أَهْلِ الْبَغْيِ أَحَدٌ ، وَلَمْ يَكُنْ </w:t>
      </w:r>
      <w:r w:rsidRPr="00D10E3C">
        <w:rPr>
          <w:rStyle w:val="libFootnotenumChar"/>
          <w:rtl/>
        </w:rPr>
        <w:t>(1)</w:t>
      </w:r>
      <w:r>
        <w:rPr>
          <w:rtl/>
          <w:lang w:bidi="fa-IR"/>
        </w:rPr>
        <w:t xml:space="preserve"> لَهُمْ </w:t>
      </w:r>
      <w:r w:rsidRPr="00D10E3C">
        <w:rPr>
          <w:rStyle w:val="libFootnotenumChar"/>
          <w:rtl/>
        </w:rPr>
        <w:t>(2)</w:t>
      </w:r>
      <w:r>
        <w:rPr>
          <w:rtl/>
          <w:lang w:bidi="fa-IR"/>
        </w:rPr>
        <w:t xml:space="preserve"> فِئَةٌ يَرْجِعُونَ إِلَيْهَا ، فَإِذَا كَانَ </w:t>
      </w:r>
      <w:r w:rsidRPr="00D10E3C">
        <w:rPr>
          <w:rStyle w:val="libFootnotenumChar"/>
          <w:rtl/>
        </w:rPr>
        <w:t>(3)</w:t>
      </w:r>
      <w:r>
        <w:rPr>
          <w:rtl/>
          <w:lang w:bidi="fa-IR"/>
        </w:rPr>
        <w:t xml:space="preserve"> لَهُمْ فِئَةٌ يَرْجِعُونَ </w:t>
      </w:r>
      <w:r w:rsidRPr="00D10E3C">
        <w:rPr>
          <w:rStyle w:val="libFootnotenumChar"/>
          <w:rtl/>
        </w:rPr>
        <w:t>(4)</w:t>
      </w:r>
      <w:r>
        <w:rPr>
          <w:rtl/>
          <w:lang w:bidi="fa-IR"/>
        </w:rPr>
        <w:t xml:space="preserve"> إِلَيْهَا ، فَإِنَّ أَسِيرَهُمْ يُقْتَلُ ، وَمُدْبِرَهُمْ يُتْبَعُ ، وَجَرِيحَهُمْ يُجْهَزُ </w:t>
      </w:r>
      <w:r w:rsidRPr="00D10E3C">
        <w:rPr>
          <w:rStyle w:val="libFootnotenumChar"/>
          <w:rtl/>
        </w:rPr>
        <w:t>(5)</w:t>
      </w:r>
      <w:r>
        <w:rPr>
          <w:rtl/>
          <w:lang w:bidi="fa-IR"/>
        </w:rPr>
        <w:t xml:space="preserve"> عَلَيْهِ </w:t>
      </w:r>
      <w:r w:rsidRPr="00D10E3C">
        <w:rPr>
          <w:rStyle w:val="libFootnotenumChar"/>
          <w:rtl/>
        </w:rPr>
        <w:t>(6)</w:t>
      </w:r>
      <w:r>
        <w:rPr>
          <w:rtl/>
          <w:lang w:bidi="fa-IR"/>
        </w:rPr>
        <w:t xml:space="preserve">». </w:t>
      </w:r>
      <w:r w:rsidRPr="00D10E3C">
        <w:rPr>
          <w:rStyle w:val="libFootnotenumChar"/>
          <w:rtl/>
        </w:rPr>
        <w:t>(7)</w:t>
      </w:r>
    </w:p>
    <w:p w:rsidR="00144FA6" w:rsidRDefault="00744A1C" w:rsidP="00744A1C">
      <w:pPr>
        <w:pStyle w:val="libNormal"/>
        <w:rPr>
          <w:rtl/>
          <w:lang w:bidi="fa-IR"/>
        </w:rPr>
      </w:pPr>
      <w:r>
        <w:rPr>
          <w:rtl/>
          <w:lang w:bidi="fa-IR"/>
        </w:rPr>
        <w:t>8246 / 3. الْحُسَيْنُ بْنُ مُحَمَّدٍ الْأَشْعَرِيُّ ، عَنْ مُعَلَّى بْنِ مُحَمَّدٍ ، عَنِ الْوَشَّاءِ ، عَنْ أَبَانِ بْنِ عُثْمَانَ ، عَنْ أَبِي حَمْزَةَ الثُّمَالِيِّ ، قَالَ :</w:t>
      </w:r>
    </w:p>
    <w:p w:rsidR="00744A1C" w:rsidRDefault="00744A1C" w:rsidP="00744A1C">
      <w:pPr>
        <w:pStyle w:val="libNormal"/>
        <w:rPr>
          <w:lang w:bidi="fa-IR"/>
        </w:rPr>
      </w:pPr>
      <w:r>
        <w:rPr>
          <w:rtl/>
          <w:lang w:bidi="fa-IR"/>
        </w:rPr>
        <w:t xml:space="preserve">قُلْتُ لِعَلِيِّ بْنِ الْحُسَيْنِ صَلَوَاتُ اللهِ عَلَيْهِمَا : إِنَّ عَلِيّاً </w:t>
      </w:r>
      <w:r w:rsidR="0061079A" w:rsidRPr="0061079A">
        <w:rPr>
          <w:rStyle w:val="libAlaemChar"/>
          <w:rtl/>
        </w:rPr>
        <w:t>عليه‌السلام</w:t>
      </w:r>
      <w:r w:rsidR="00D10E3C">
        <w:rPr>
          <w:rtl/>
          <w:lang w:bidi="fa-IR"/>
        </w:rPr>
        <w:t xml:space="preserve"> </w:t>
      </w:r>
      <w:r>
        <w:rPr>
          <w:rtl/>
          <w:lang w:bidi="fa-IR"/>
        </w:rPr>
        <w:t xml:space="preserve">سَارَ فِي أَهْلِ الْقِبْلَةِ بِخِلَافِ سِيرَةِ رَسُولِ اللهِ </w:t>
      </w:r>
      <w:r w:rsidR="00712C99" w:rsidRPr="00712C99">
        <w:rPr>
          <w:rStyle w:val="libAlaemChar"/>
          <w:rtl/>
        </w:rPr>
        <w:t>صلى‌الله‌عليه‌وآله</w:t>
      </w:r>
      <w:r w:rsidR="00D10E3C">
        <w:rPr>
          <w:rtl/>
          <w:lang w:bidi="fa-IR"/>
        </w:rPr>
        <w:t xml:space="preserve"> </w:t>
      </w:r>
      <w:r>
        <w:rPr>
          <w:rtl/>
          <w:lang w:bidi="fa-IR"/>
        </w:rPr>
        <w:t>فِي أَهْلِ الشِّرْكِ.</w:t>
      </w:r>
    </w:p>
    <w:p w:rsidR="00144FA6" w:rsidRDefault="00744A1C" w:rsidP="00744A1C">
      <w:pPr>
        <w:pStyle w:val="libNormal"/>
        <w:rPr>
          <w:rtl/>
          <w:lang w:bidi="fa-IR"/>
        </w:rPr>
      </w:pPr>
      <w:r>
        <w:rPr>
          <w:rtl/>
          <w:lang w:bidi="fa-IR"/>
        </w:rPr>
        <w:t xml:space="preserve">قَالَ : فَغَضِبَ </w:t>
      </w:r>
      <w:r w:rsidRPr="00D10E3C">
        <w:rPr>
          <w:rStyle w:val="libFootnotenumChar"/>
          <w:rtl/>
        </w:rPr>
        <w:t>(8)</w:t>
      </w:r>
      <w:r>
        <w:rPr>
          <w:rtl/>
          <w:lang w:bidi="fa-IR"/>
        </w:rPr>
        <w:t xml:space="preserve"> ، ثُمَّ جَلَسَ ، ثُمَّ قَالَ : « سَارَ - وَاللهِ - فِيهِمْ </w:t>
      </w:r>
      <w:r w:rsidRPr="00D10E3C">
        <w:rPr>
          <w:rStyle w:val="libFootnotenumChar"/>
          <w:rtl/>
        </w:rPr>
        <w:t>(9)</w:t>
      </w:r>
      <w:r>
        <w:rPr>
          <w:rtl/>
          <w:lang w:bidi="fa-IR"/>
        </w:rPr>
        <w:t xml:space="preserve"> بِسِيرَةِ </w:t>
      </w:r>
      <w:r w:rsidRPr="00D10E3C">
        <w:rPr>
          <w:rStyle w:val="libFootnotenumChar"/>
          <w:rtl/>
        </w:rPr>
        <w:t>(10)</w:t>
      </w:r>
      <w:r>
        <w:rPr>
          <w:rtl/>
          <w:lang w:bidi="fa-IR"/>
        </w:rPr>
        <w:t xml:space="preserve"> رَسُولِ اللهِ </w:t>
      </w:r>
      <w:r w:rsidR="0017097C" w:rsidRPr="0017097C">
        <w:rPr>
          <w:rStyle w:val="libAlaemChar"/>
          <w:rtl/>
        </w:rPr>
        <w:t>صلى‌الله‌عليه‌وآله</w:t>
      </w:r>
      <w:r>
        <w:rPr>
          <w:rtl/>
          <w:lang w:bidi="fa-IR"/>
        </w:rPr>
        <w:t xml:space="preserve"> يَوْمَ الْفَتْحِ ، إِنَّ عَلِيّاً </w:t>
      </w:r>
      <w:r w:rsidR="0061079A" w:rsidRPr="0061079A">
        <w:rPr>
          <w:rStyle w:val="libAlaemChar"/>
          <w:rtl/>
        </w:rPr>
        <w:t>عليه‌السلام</w:t>
      </w:r>
      <w:r w:rsidR="00D10E3C">
        <w:rPr>
          <w:rtl/>
          <w:lang w:bidi="fa-IR"/>
        </w:rPr>
        <w:t xml:space="preserve"> </w:t>
      </w:r>
      <w:r>
        <w:rPr>
          <w:rtl/>
          <w:lang w:bidi="fa-IR"/>
        </w:rPr>
        <w:t xml:space="preserve">كَتَبَ إِلى مَالِكٍ - وَهُوَ عَلى مُقَدِّمَتِهِ </w:t>
      </w:r>
      <w:r w:rsidRPr="00D10E3C">
        <w:rPr>
          <w:rStyle w:val="libFootnotenumChar"/>
          <w:rtl/>
        </w:rPr>
        <w:t>(11)</w:t>
      </w:r>
      <w:r>
        <w:rPr>
          <w:rtl/>
          <w:lang w:bidi="fa-IR"/>
        </w:rPr>
        <w:t xml:space="preserve"> يَوْمَ الْبَصْرَةِ - بِأَنْ </w:t>
      </w:r>
      <w:r w:rsidRPr="00D10E3C">
        <w:rPr>
          <w:rStyle w:val="libFootnotenumChar"/>
          <w:rtl/>
        </w:rPr>
        <w:t>(12)</w:t>
      </w:r>
      <w:r>
        <w:rPr>
          <w:rtl/>
          <w:lang w:bidi="fa-IR"/>
        </w:rPr>
        <w:t xml:space="preserve"> لَايَطْعُنَ </w:t>
      </w:r>
      <w:r w:rsidRPr="00D10E3C">
        <w:rPr>
          <w:rStyle w:val="libFootnotenumChar"/>
          <w:rtl/>
        </w:rPr>
        <w:t>(13)</w:t>
      </w:r>
      <w:r>
        <w:rPr>
          <w:rtl/>
          <w:lang w:bidi="fa-IR"/>
        </w:rPr>
        <w:t xml:space="preserve"> فِي غَيْرِ مُقْبِلٍ ، وَلَا يَقْتُلَ </w:t>
      </w:r>
      <w:r w:rsidRPr="00D10E3C">
        <w:rPr>
          <w:rStyle w:val="libFootnotenumChar"/>
          <w:rtl/>
        </w:rPr>
        <w:t>(14)</w:t>
      </w:r>
      <w:r>
        <w:rPr>
          <w:rtl/>
          <w:lang w:bidi="fa-IR"/>
        </w:rPr>
        <w:t xml:space="preserve"> مُدْبِراً ، وَلَا يُجِيزَ </w:t>
      </w:r>
      <w:r w:rsidRPr="00D10E3C">
        <w:rPr>
          <w:rStyle w:val="libFootnotenumChar"/>
          <w:rtl/>
        </w:rPr>
        <w:t>(15)</w:t>
      </w:r>
      <w:r>
        <w:rPr>
          <w:rtl/>
          <w:lang w:bidi="fa-IR"/>
        </w:rPr>
        <w:t xml:space="preserve"> عَلى جَرِيحٍ ، وَمَنْ أَغْلَقَ بَابَهُ فَهُوَ آمِنٌ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AE3412" w:rsidTr="00AE3412">
        <w:tc>
          <w:tcPr>
            <w:tcW w:w="4006" w:type="dxa"/>
          </w:tcPr>
          <w:p w:rsidR="00AE3412" w:rsidRDefault="00AE3412" w:rsidP="00D10E3C">
            <w:pPr>
              <w:pStyle w:val="libFootnote0"/>
              <w:rPr>
                <w:rtl/>
                <w:lang w:bidi="fa-IR"/>
              </w:rPr>
            </w:pPr>
            <w:r>
              <w:rPr>
                <w:rtl/>
                <w:lang w:bidi="fa-IR"/>
              </w:rPr>
              <w:t>(1). في « بح » : « ولم تكن ».</w:t>
            </w:r>
          </w:p>
        </w:tc>
        <w:tc>
          <w:tcPr>
            <w:tcW w:w="4006" w:type="dxa"/>
          </w:tcPr>
          <w:p w:rsidR="00AE3412" w:rsidRDefault="00AE3412" w:rsidP="00D10E3C">
            <w:pPr>
              <w:pStyle w:val="libFootnote0"/>
              <w:rPr>
                <w:rtl/>
                <w:lang w:bidi="fa-IR"/>
              </w:rPr>
            </w:pPr>
            <w:r>
              <w:rPr>
                <w:rtl/>
                <w:lang w:bidi="fa-IR"/>
              </w:rPr>
              <w:t xml:space="preserve">(2). في « بح » </w:t>
            </w:r>
            <w:r w:rsidRPr="00AE3412">
              <w:rPr>
                <w:rtl/>
              </w:rPr>
              <w:t>والوسائل</w:t>
            </w:r>
            <w:r>
              <w:rPr>
                <w:rtl/>
                <w:lang w:bidi="fa-IR"/>
              </w:rPr>
              <w:t xml:space="preserve"> : - « لهم ».</w:t>
            </w:r>
          </w:p>
        </w:tc>
      </w:tr>
      <w:tr w:rsidR="00AE3412" w:rsidTr="00AE3412">
        <w:tc>
          <w:tcPr>
            <w:tcW w:w="4006" w:type="dxa"/>
          </w:tcPr>
          <w:p w:rsidR="00AE3412" w:rsidRDefault="00AE3412" w:rsidP="00D10E3C">
            <w:pPr>
              <w:pStyle w:val="libFootnote0"/>
              <w:rPr>
                <w:rtl/>
                <w:lang w:bidi="fa-IR"/>
              </w:rPr>
            </w:pPr>
            <w:r>
              <w:rPr>
                <w:rtl/>
                <w:lang w:bidi="fa-IR"/>
              </w:rPr>
              <w:t xml:space="preserve">(3). في </w:t>
            </w:r>
            <w:r w:rsidRPr="00AE3412">
              <w:rPr>
                <w:rtl/>
              </w:rPr>
              <w:t>الوسائل والتهذيب</w:t>
            </w:r>
            <w:r>
              <w:rPr>
                <w:rtl/>
                <w:lang w:bidi="fa-IR"/>
              </w:rPr>
              <w:t xml:space="preserve"> : « كانت ».</w:t>
            </w:r>
          </w:p>
        </w:tc>
        <w:tc>
          <w:tcPr>
            <w:tcW w:w="4006" w:type="dxa"/>
          </w:tcPr>
          <w:p w:rsidR="00AE3412" w:rsidRDefault="00AE3412" w:rsidP="00D10E3C">
            <w:pPr>
              <w:pStyle w:val="libFootnote0"/>
              <w:rPr>
                <w:rtl/>
                <w:lang w:bidi="fa-IR"/>
              </w:rPr>
            </w:pPr>
            <w:r>
              <w:rPr>
                <w:rtl/>
                <w:lang w:bidi="fa-IR"/>
              </w:rPr>
              <w:t>(4). في « جد » : « ترجعون ».</w:t>
            </w:r>
          </w:p>
        </w:tc>
      </w:tr>
    </w:tbl>
    <w:p w:rsidR="00744A1C" w:rsidRDefault="00E378DD" w:rsidP="00E378DD">
      <w:pPr>
        <w:pStyle w:val="libFootnote0"/>
        <w:rPr>
          <w:lang w:bidi="fa-IR"/>
        </w:rPr>
      </w:pPr>
      <w:r>
        <w:rPr>
          <w:rtl/>
          <w:lang w:bidi="fa-IR"/>
        </w:rPr>
        <w:t>(5).</w:t>
      </w:r>
      <w:r w:rsidR="00744A1C">
        <w:rPr>
          <w:rtl/>
          <w:lang w:bidi="fa-IR"/>
        </w:rPr>
        <w:t xml:space="preserve"> في « ى ، بث » : « يجار ». وفي « بف ، جت ، جن » </w:t>
      </w:r>
      <w:r w:rsidR="00744A1C" w:rsidRPr="00AE3412">
        <w:rPr>
          <w:rtl/>
        </w:rPr>
        <w:t>والوافي والوسائل والتهذيب</w:t>
      </w:r>
      <w:r w:rsidR="00744A1C">
        <w:rPr>
          <w:rtl/>
          <w:lang w:bidi="fa-IR"/>
        </w:rPr>
        <w:t xml:space="preserve"> : « يجاز ».</w:t>
      </w:r>
    </w:p>
    <w:p w:rsidR="00744A1C" w:rsidRDefault="00E378DD" w:rsidP="00E378DD">
      <w:pPr>
        <w:pStyle w:val="libFootnote0"/>
        <w:rPr>
          <w:lang w:bidi="fa-IR"/>
        </w:rPr>
      </w:pPr>
      <w:r>
        <w:rPr>
          <w:rtl/>
          <w:lang w:bidi="fa-IR"/>
        </w:rPr>
        <w:t>(6).</w:t>
      </w:r>
      <w:r w:rsidR="00744A1C">
        <w:rPr>
          <w:rtl/>
          <w:lang w:bidi="fa-IR"/>
        </w:rPr>
        <w:t xml:space="preserve"> هكذا في معظم النسخ التي قوبلت </w:t>
      </w:r>
      <w:r w:rsidR="00744A1C" w:rsidRPr="00AE3412">
        <w:rPr>
          <w:rtl/>
        </w:rPr>
        <w:t>والوافي والوسائل والتهذيب</w:t>
      </w:r>
      <w:r w:rsidR="00744A1C">
        <w:rPr>
          <w:rtl/>
          <w:lang w:bidi="fa-IR"/>
        </w:rPr>
        <w:t>. وفي « بح »</w:t>
      </w:r>
      <w:r w:rsidR="00AE3412">
        <w:rPr>
          <w:rtl/>
          <w:lang w:bidi="fa-IR"/>
        </w:rPr>
        <w:t xml:space="preserve"> : « عليهم ». وفي المطبوع : - «</w:t>
      </w:r>
      <w:r w:rsidR="00744A1C">
        <w:rPr>
          <w:rtl/>
          <w:lang w:bidi="fa-IR"/>
        </w:rPr>
        <w:t>عليه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144 ، ح 246 ، بسنده عن القاسم بن محمّد ، عن سليمان بن داود المنقري </w:t>
      </w:r>
      <w:r w:rsidR="00AE3412">
        <w:rPr>
          <w:rFonts w:hint="cs"/>
          <w:rtl/>
          <w:lang w:bidi="fa-IR"/>
        </w:rPr>
        <w:t>.</w:t>
      </w:r>
      <w:r w:rsidR="00744A1C" w:rsidRPr="00C24F9C">
        <w:rPr>
          <w:rStyle w:val="libFootnoteBoldChar"/>
          <w:rtl/>
        </w:rPr>
        <w:t>الوافي</w:t>
      </w:r>
      <w:r w:rsidR="00744A1C">
        <w:rPr>
          <w:rtl/>
          <w:lang w:bidi="fa-IR"/>
        </w:rPr>
        <w:t xml:space="preserve"> ، ج 15 ، ص 96 ، ح 14745 ؛ </w:t>
      </w:r>
      <w:r w:rsidR="00744A1C" w:rsidRPr="00C24F9C">
        <w:rPr>
          <w:rStyle w:val="libFootnoteBoldChar"/>
          <w:rtl/>
        </w:rPr>
        <w:t>الوسائل</w:t>
      </w:r>
      <w:r w:rsidR="00744A1C">
        <w:rPr>
          <w:rtl/>
          <w:lang w:bidi="fa-IR"/>
        </w:rPr>
        <w:t xml:space="preserve"> ، ج 15 ، ص 73 ، ح 20011.</w:t>
      </w:r>
    </w:p>
    <w:tbl>
      <w:tblPr>
        <w:tblStyle w:val="TableGrid"/>
        <w:bidiVisual/>
        <w:tblW w:w="0" w:type="auto"/>
        <w:tblLook w:val="04A0" w:firstRow="1" w:lastRow="0" w:firstColumn="1" w:lastColumn="0" w:noHBand="0" w:noVBand="1"/>
      </w:tblPr>
      <w:tblGrid>
        <w:gridCol w:w="4006"/>
        <w:gridCol w:w="4006"/>
      </w:tblGrid>
      <w:tr w:rsidR="00AE3412" w:rsidTr="00AE3412">
        <w:tc>
          <w:tcPr>
            <w:tcW w:w="4006" w:type="dxa"/>
          </w:tcPr>
          <w:p w:rsidR="00AE3412" w:rsidRDefault="00AE3412" w:rsidP="00E378DD">
            <w:pPr>
              <w:pStyle w:val="libFootnote0"/>
              <w:rPr>
                <w:rtl/>
                <w:lang w:bidi="fa-IR"/>
              </w:rPr>
            </w:pPr>
            <w:r>
              <w:rPr>
                <w:rtl/>
                <w:lang w:bidi="fa-IR"/>
              </w:rPr>
              <w:t>(8). في « بف » : « فقبض ».</w:t>
            </w:r>
          </w:p>
        </w:tc>
        <w:tc>
          <w:tcPr>
            <w:tcW w:w="4006" w:type="dxa"/>
          </w:tcPr>
          <w:p w:rsidR="00AE3412" w:rsidRDefault="00AE3412" w:rsidP="00E378DD">
            <w:pPr>
              <w:pStyle w:val="libFootnote0"/>
              <w:rPr>
                <w:rtl/>
                <w:lang w:bidi="fa-IR"/>
              </w:rPr>
            </w:pPr>
            <w:r>
              <w:rPr>
                <w:rtl/>
                <w:lang w:bidi="fa-IR"/>
              </w:rPr>
              <w:t xml:space="preserve">(9). في </w:t>
            </w:r>
            <w:r w:rsidRPr="00AE3412">
              <w:rPr>
                <w:rtl/>
              </w:rPr>
              <w:t>الوافي والبحار والتهذيب</w:t>
            </w:r>
            <w:r>
              <w:rPr>
                <w:rtl/>
                <w:lang w:bidi="fa-IR"/>
              </w:rPr>
              <w:t xml:space="preserve"> : « فيهم والله ».</w:t>
            </w:r>
          </w:p>
        </w:tc>
      </w:tr>
    </w:tbl>
    <w:p w:rsidR="00744A1C" w:rsidRDefault="00E378DD" w:rsidP="00E378DD">
      <w:pPr>
        <w:pStyle w:val="libFootnote0"/>
        <w:rPr>
          <w:lang w:bidi="fa-IR"/>
        </w:rPr>
      </w:pPr>
      <w:r>
        <w:rPr>
          <w:rtl/>
          <w:lang w:bidi="fa-IR"/>
        </w:rPr>
        <w:t>(10).</w:t>
      </w:r>
      <w:r w:rsidR="00744A1C">
        <w:rPr>
          <w:rtl/>
          <w:lang w:bidi="fa-IR"/>
        </w:rPr>
        <w:t xml:space="preserve"> في « جت » </w:t>
      </w:r>
      <w:r w:rsidR="00744A1C" w:rsidRPr="00AE3412">
        <w:rPr>
          <w:rtl/>
        </w:rPr>
        <w:t>والوافي</w:t>
      </w:r>
      <w:r w:rsidR="00744A1C">
        <w:rPr>
          <w:rtl/>
          <w:lang w:bidi="fa-IR"/>
        </w:rPr>
        <w:t xml:space="preserve"> : « سيرة ».</w:t>
      </w:r>
    </w:p>
    <w:p w:rsidR="00744A1C" w:rsidRDefault="00E378DD" w:rsidP="00E378DD">
      <w:pPr>
        <w:pStyle w:val="libFootnote0"/>
        <w:rPr>
          <w:lang w:bidi="fa-IR"/>
        </w:rPr>
      </w:pPr>
      <w:r>
        <w:rPr>
          <w:rtl/>
          <w:lang w:bidi="fa-IR"/>
        </w:rPr>
        <w:t>(11).</w:t>
      </w:r>
      <w:r w:rsidR="00744A1C">
        <w:rPr>
          <w:rtl/>
          <w:lang w:bidi="fa-IR"/>
        </w:rPr>
        <w:t xml:space="preserve"> في « بث ، بس ، بف ، جد » وحاشية « بح » </w:t>
      </w:r>
      <w:r w:rsidR="00744A1C" w:rsidRPr="00AE3412">
        <w:rPr>
          <w:rtl/>
        </w:rPr>
        <w:t>والوسائل</w:t>
      </w:r>
      <w:r w:rsidR="00744A1C">
        <w:rPr>
          <w:rtl/>
          <w:lang w:bidi="fa-IR"/>
        </w:rPr>
        <w:t xml:space="preserve"> : + « في ».</w:t>
      </w:r>
    </w:p>
    <w:p w:rsidR="00744A1C" w:rsidRDefault="00E378DD" w:rsidP="00E378DD">
      <w:pPr>
        <w:pStyle w:val="libFootnote0"/>
        <w:rPr>
          <w:lang w:bidi="fa-IR"/>
        </w:rPr>
      </w:pPr>
      <w:r>
        <w:rPr>
          <w:rtl/>
          <w:lang w:bidi="fa-IR"/>
        </w:rPr>
        <w:t>(12).</w:t>
      </w:r>
      <w:r w:rsidR="00744A1C">
        <w:rPr>
          <w:rtl/>
          <w:lang w:bidi="fa-IR"/>
        </w:rPr>
        <w:t xml:space="preserve"> في « بس » : « أن ». وفي </w:t>
      </w:r>
      <w:r w:rsidR="00744A1C" w:rsidRPr="00AE3412">
        <w:rPr>
          <w:rtl/>
        </w:rPr>
        <w:t>الوافي والتهذيب</w:t>
      </w:r>
      <w:r w:rsidR="00744A1C">
        <w:rPr>
          <w:rtl/>
          <w:lang w:bidi="fa-IR"/>
        </w:rPr>
        <w:t xml:space="preserve"> : - « بأن ».</w:t>
      </w:r>
    </w:p>
    <w:p w:rsidR="00744A1C" w:rsidRDefault="00E378DD" w:rsidP="00E378DD">
      <w:pPr>
        <w:pStyle w:val="libFootnote0"/>
        <w:rPr>
          <w:lang w:bidi="fa-IR"/>
        </w:rPr>
      </w:pPr>
      <w:r>
        <w:rPr>
          <w:rtl/>
          <w:lang w:bidi="fa-IR"/>
        </w:rPr>
        <w:t>(13).</w:t>
      </w:r>
      <w:r w:rsidR="00744A1C">
        <w:rPr>
          <w:rtl/>
          <w:lang w:bidi="fa-IR"/>
        </w:rPr>
        <w:t xml:space="preserve"> في « ى ، بث ، بس </w:t>
      </w:r>
      <w:r w:rsidR="00744A1C" w:rsidRPr="00AE3412">
        <w:rPr>
          <w:rtl/>
        </w:rPr>
        <w:t>» والوافي والتهذيب</w:t>
      </w:r>
      <w:r w:rsidR="00744A1C">
        <w:rPr>
          <w:rtl/>
          <w:lang w:bidi="fa-IR"/>
        </w:rPr>
        <w:t xml:space="preserve"> : « لا تطعن ».</w:t>
      </w:r>
    </w:p>
    <w:p w:rsidR="00744A1C" w:rsidRDefault="00E378DD" w:rsidP="00E378DD">
      <w:pPr>
        <w:pStyle w:val="libFootnote0"/>
        <w:rPr>
          <w:lang w:bidi="fa-IR"/>
        </w:rPr>
      </w:pPr>
      <w:r>
        <w:rPr>
          <w:rtl/>
          <w:lang w:bidi="fa-IR"/>
        </w:rPr>
        <w:t>(14).</w:t>
      </w:r>
      <w:r w:rsidR="00744A1C">
        <w:rPr>
          <w:rtl/>
          <w:lang w:bidi="fa-IR"/>
        </w:rPr>
        <w:t xml:space="preserve"> في « ى » </w:t>
      </w:r>
      <w:r w:rsidR="00744A1C" w:rsidRPr="00AE3412">
        <w:rPr>
          <w:rtl/>
        </w:rPr>
        <w:t>والوافي والتهذيب</w:t>
      </w:r>
      <w:r w:rsidR="00744A1C">
        <w:rPr>
          <w:rtl/>
          <w:lang w:bidi="fa-IR"/>
        </w:rPr>
        <w:t xml:space="preserve"> : « ولا تقتل ».</w:t>
      </w:r>
    </w:p>
    <w:p w:rsidR="00144FA6" w:rsidRDefault="00E378DD" w:rsidP="00E378DD">
      <w:pPr>
        <w:pStyle w:val="libFootnote0"/>
        <w:rPr>
          <w:rtl/>
          <w:lang w:bidi="fa-IR"/>
        </w:rPr>
      </w:pPr>
      <w:r>
        <w:rPr>
          <w:rtl/>
          <w:lang w:bidi="fa-IR"/>
        </w:rPr>
        <w:t>(15).</w:t>
      </w:r>
      <w:r w:rsidR="00744A1C">
        <w:rPr>
          <w:rtl/>
          <w:lang w:bidi="fa-IR"/>
        </w:rPr>
        <w:t xml:space="preserve"> في « ى ، بس » </w:t>
      </w:r>
      <w:r w:rsidR="00744A1C" w:rsidRPr="00AE3412">
        <w:rPr>
          <w:rtl/>
        </w:rPr>
        <w:t>والوافي</w:t>
      </w:r>
      <w:r w:rsidR="00744A1C">
        <w:rPr>
          <w:rtl/>
          <w:lang w:bidi="fa-IR"/>
        </w:rPr>
        <w:t xml:space="preserve"> : « ولا تجهز ». وفي « بح ، جت ، جد » </w:t>
      </w:r>
      <w:r w:rsidR="00744A1C" w:rsidRPr="00AE3412">
        <w:rPr>
          <w:rtl/>
        </w:rPr>
        <w:t>والبحار</w:t>
      </w:r>
      <w:r w:rsidR="00744A1C">
        <w:rPr>
          <w:rtl/>
          <w:lang w:bidi="fa-IR"/>
        </w:rPr>
        <w:t xml:space="preserve"> : « ولا يجهز ». وفي </w:t>
      </w:r>
      <w:r w:rsidR="00744A1C" w:rsidRPr="00AE3412">
        <w:rPr>
          <w:rtl/>
        </w:rPr>
        <w:t>التهذيب</w:t>
      </w:r>
      <w:r w:rsidR="00744A1C">
        <w:rPr>
          <w:rtl/>
          <w:lang w:bidi="fa-IR"/>
        </w:rPr>
        <w:t xml:space="preserve"> : « ولا تجز ».</w:t>
      </w:r>
      <w:r w:rsidR="00AE3412">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AE3412">
      <w:pPr>
        <w:pStyle w:val="libNormal0"/>
        <w:rPr>
          <w:rtl/>
          <w:lang w:bidi="fa-IR"/>
        </w:rPr>
      </w:pPr>
      <w:r>
        <w:rPr>
          <w:rtl/>
          <w:lang w:bidi="fa-IR"/>
        </w:rPr>
        <w:t xml:space="preserve">فَأَخَذَ الْكِتَابَ ، فَوَضَعَهُ بَيْنَ يَدَيْهِ عَلَى الْقَرَبُوسِ </w:t>
      </w:r>
      <w:r w:rsidRPr="00D10E3C">
        <w:rPr>
          <w:rStyle w:val="libFootnotenumChar"/>
          <w:rtl/>
        </w:rPr>
        <w:t>(1)</w:t>
      </w:r>
      <w:r>
        <w:rPr>
          <w:rtl/>
          <w:lang w:bidi="fa-IR"/>
        </w:rPr>
        <w:t xml:space="preserve"> مِنْ قَبْلِ أَنْ يَقْرَأَهُ </w:t>
      </w:r>
      <w:r w:rsidRPr="00D10E3C">
        <w:rPr>
          <w:rStyle w:val="libFootnotenumChar"/>
          <w:rtl/>
        </w:rPr>
        <w:t>(2)</w:t>
      </w:r>
      <w:r>
        <w:rPr>
          <w:rtl/>
          <w:lang w:bidi="fa-IR"/>
        </w:rPr>
        <w:t xml:space="preserve"> ، ثُمَّ قَالَ </w:t>
      </w:r>
      <w:r w:rsidRPr="00D10E3C">
        <w:rPr>
          <w:rStyle w:val="libFootnotenumChar"/>
          <w:rtl/>
        </w:rPr>
        <w:t>(3)</w:t>
      </w:r>
      <w:r>
        <w:rPr>
          <w:rtl/>
          <w:lang w:bidi="fa-IR"/>
        </w:rPr>
        <w:t xml:space="preserve"> : اقْتُلُوا ، فَقَتَلَهُمْ </w:t>
      </w:r>
      <w:r w:rsidRPr="00D10E3C">
        <w:rPr>
          <w:rStyle w:val="libFootnotenumChar"/>
          <w:rtl/>
        </w:rPr>
        <w:t>(4)</w:t>
      </w:r>
      <w:r>
        <w:rPr>
          <w:rtl/>
          <w:lang w:bidi="fa-IR"/>
        </w:rPr>
        <w:t xml:space="preserve"> حَتّى أَدْخَلَهُمْ سِكَكَ </w:t>
      </w:r>
      <w:r w:rsidRPr="00D10E3C">
        <w:rPr>
          <w:rStyle w:val="libFootnotenumChar"/>
          <w:rtl/>
        </w:rPr>
        <w:t>(5)</w:t>
      </w:r>
      <w:r>
        <w:rPr>
          <w:rtl/>
          <w:lang w:bidi="fa-IR"/>
        </w:rPr>
        <w:t xml:space="preserve"> الْبَصْرَةِ ، ثُمَّ فَتَحَ الْكِتَابَ </w:t>
      </w:r>
      <w:r w:rsidRPr="00D10E3C">
        <w:rPr>
          <w:rStyle w:val="libFootnotenumChar"/>
          <w:rtl/>
        </w:rPr>
        <w:t>(6)</w:t>
      </w:r>
      <w:r>
        <w:rPr>
          <w:rtl/>
          <w:lang w:bidi="fa-IR"/>
        </w:rPr>
        <w:t xml:space="preserve"> ، فَقَرَأَهُ </w:t>
      </w:r>
      <w:r w:rsidRPr="00D10E3C">
        <w:rPr>
          <w:rStyle w:val="libFootnotenumChar"/>
          <w:rtl/>
        </w:rPr>
        <w:t>(7)</w:t>
      </w:r>
      <w:r>
        <w:rPr>
          <w:rtl/>
          <w:lang w:bidi="fa-IR"/>
        </w:rPr>
        <w:t xml:space="preserve"> ، ثُمَّ أَمَرَ مُنَادِياً ، فَنَادى بِمَا فِي الْكِتَابِ ». </w:t>
      </w:r>
      <w:r w:rsidRPr="00D10E3C">
        <w:rPr>
          <w:rStyle w:val="libFootnotenumChar"/>
          <w:rtl/>
        </w:rPr>
        <w:t>(8)</w:t>
      </w:r>
    </w:p>
    <w:p w:rsidR="00144FA6" w:rsidRDefault="00744A1C" w:rsidP="00744A1C">
      <w:pPr>
        <w:pStyle w:val="libNormal"/>
        <w:rPr>
          <w:rtl/>
          <w:lang w:bidi="fa-IR"/>
        </w:rPr>
      </w:pPr>
      <w:r>
        <w:rPr>
          <w:rtl/>
          <w:lang w:bidi="fa-IR"/>
        </w:rPr>
        <w:t>8247 / 4. عَلِيُّ بْنُ إِبْرَاهِيمَ ، عَنْ أَبِيهِ ، عَنْ إِسْمَاعِيلَ بْنِ مَرَّارٍ ، عَنْ يُونُسَ ، عَنْ أَبِي بَكْرٍ الْحَضْرَمِيِّ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لَسِيرَةُ </w:t>
      </w:r>
      <w:r w:rsidRPr="00D10E3C">
        <w:rPr>
          <w:rStyle w:val="libFootnotenumChar"/>
          <w:rtl/>
        </w:rPr>
        <w:t>(9)</w:t>
      </w:r>
      <w:r>
        <w:rPr>
          <w:rtl/>
          <w:lang w:bidi="fa-IR"/>
        </w:rPr>
        <w:t xml:space="preserve"> عَلِيٍّ </w:t>
      </w:r>
      <w:r w:rsidR="0061079A" w:rsidRPr="0061079A">
        <w:rPr>
          <w:rStyle w:val="libAlaemChar"/>
          <w:rtl/>
        </w:rPr>
        <w:t>عليه‌السلام</w:t>
      </w:r>
      <w:r w:rsidR="00D10E3C">
        <w:rPr>
          <w:rtl/>
          <w:lang w:bidi="fa-IR"/>
        </w:rPr>
        <w:t xml:space="preserve"> </w:t>
      </w:r>
      <w:r>
        <w:rPr>
          <w:rtl/>
          <w:lang w:bidi="fa-IR"/>
        </w:rPr>
        <w:t xml:space="preserve">فِي أَهْلِ </w:t>
      </w:r>
      <w:r w:rsidRPr="00D10E3C">
        <w:rPr>
          <w:rStyle w:val="libFootnotenumChar"/>
          <w:rtl/>
        </w:rPr>
        <w:t>(10)</w:t>
      </w:r>
      <w:r>
        <w:rPr>
          <w:rtl/>
          <w:lang w:bidi="fa-IR"/>
        </w:rPr>
        <w:t xml:space="preserve"> الْبَصْرَةِ كَانَتْ خَيْراً لِشِيعَتِهِ مِمَّا طَلَعَتْ عَلَيْهِ الشَّمْسُ ، إِنَّهُ عَلِمَ أَنَّ لِلْقَوْمِ دَوْلَةً ، فَلَوْ سَبَاهُمْ </w:t>
      </w:r>
      <w:r w:rsidRPr="00D10E3C">
        <w:rPr>
          <w:rStyle w:val="libFootnotenumChar"/>
          <w:rtl/>
        </w:rPr>
        <w:t>(11)</w:t>
      </w:r>
      <w:r>
        <w:rPr>
          <w:rtl/>
          <w:lang w:bidi="fa-IR"/>
        </w:rPr>
        <w:t xml:space="preserve"> لَسُبِيَتْ شِيعَتُهُ ».</w:t>
      </w:r>
    </w:p>
    <w:p w:rsidR="00744A1C" w:rsidRDefault="00744A1C" w:rsidP="00744A1C">
      <w:pPr>
        <w:pStyle w:val="libNormal"/>
        <w:rPr>
          <w:lang w:bidi="fa-IR"/>
        </w:rPr>
      </w:pPr>
      <w:r>
        <w:rPr>
          <w:rtl/>
          <w:lang w:bidi="fa-IR"/>
        </w:rPr>
        <w:t xml:space="preserve">قُلْتُ : فَأَخْبِرْنِي عَنِ الْقَائِمِ </w:t>
      </w:r>
      <w:r w:rsidR="0061079A" w:rsidRPr="0061079A">
        <w:rPr>
          <w:rStyle w:val="libAlaemChar"/>
          <w:rtl/>
        </w:rPr>
        <w:t>عليه‌السلام</w:t>
      </w:r>
      <w:r w:rsidR="00D10E3C">
        <w:rPr>
          <w:rtl/>
          <w:lang w:bidi="fa-IR"/>
        </w:rPr>
        <w:t xml:space="preserve"> </w:t>
      </w:r>
      <w:r>
        <w:rPr>
          <w:rtl/>
          <w:lang w:bidi="fa-IR"/>
        </w:rPr>
        <w:t xml:space="preserve">يَسِيرُ </w:t>
      </w:r>
      <w:r w:rsidRPr="00D10E3C">
        <w:rPr>
          <w:rStyle w:val="libFootnotenumChar"/>
          <w:rtl/>
        </w:rPr>
        <w:t>(12)</w:t>
      </w:r>
      <w:r>
        <w:rPr>
          <w:rtl/>
          <w:lang w:bidi="fa-IR"/>
        </w:rPr>
        <w:t xml:space="preserve"> بِسِيرَتِهِ؟</w:t>
      </w:r>
    </w:p>
    <w:p w:rsidR="00144FA6" w:rsidRDefault="00744A1C" w:rsidP="00744A1C">
      <w:pPr>
        <w:pStyle w:val="libNormal"/>
        <w:rPr>
          <w:rtl/>
          <w:lang w:bidi="fa-IR"/>
        </w:rPr>
      </w:pPr>
      <w:r>
        <w:rPr>
          <w:rtl/>
          <w:lang w:bidi="fa-IR"/>
        </w:rPr>
        <w:t xml:space="preserve">قَالَ : « لَا ، إِنَّ عَلِيّاً - صَلَوَاتُ اللهِ عَلَيْهِ - سَارَ فِيهِمْ بِالْمَنِّ ؛ لِلْعِلْمِ </w:t>
      </w:r>
      <w:r w:rsidRPr="00D10E3C">
        <w:rPr>
          <w:rStyle w:val="libFootnotenumChar"/>
          <w:rtl/>
        </w:rPr>
        <w:t>(13)</w:t>
      </w:r>
      <w:r>
        <w:rPr>
          <w:rtl/>
          <w:lang w:bidi="fa-IR"/>
        </w:rPr>
        <w:t xml:space="preserve"> مِنْ دَوْلَتِهِمْ </w:t>
      </w:r>
      <w:r w:rsidRPr="00D10E3C">
        <w:rPr>
          <w:rStyle w:val="libFootnotenumChar"/>
          <w:rtl/>
        </w:rPr>
        <w:t>(14)</w:t>
      </w:r>
      <w:r>
        <w:rPr>
          <w:rtl/>
          <w:lang w:bidi="fa-IR"/>
        </w:rPr>
        <w:t xml:space="preserve"> ،</w:t>
      </w:r>
    </w:p>
    <w:p w:rsidR="00744A1C" w:rsidRDefault="00744A1C" w:rsidP="00D10E3C">
      <w:pPr>
        <w:pStyle w:val="libLine"/>
        <w:rPr>
          <w:lang w:bidi="fa-IR"/>
        </w:rPr>
      </w:pPr>
      <w:r>
        <w:rPr>
          <w:rtl/>
          <w:lang w:bidi="fa-IR"/>
        </w:rPr>
        <w:t>____________________</w:t>
      </w:r>
    </w:p>
    <w:p w:rsidR="00744A1C" w:rsidRDefault="009A6434" w:rsidP="00D10E3C">
      <w:pPr>
        <w:pStyle w:val="libFootnote0"/>
        <w:rPr>
          <w:lang w:bidi="fa-IR"/>
        </w:rPr>
      </w:pPr>
      <w:r>
        <w:rPr>
          <w:rFonts w:hint="cs"/>
          <w:rtl/>
          <w:lang w:bidi="fa-IR"/>
        </w:rPr>
        <w:t xml:space="preserve">= </w:t>
      </w:r>
      <w:r w:rsidR="00744A1C">
        <w:rPr>
          <w:rtl/>
          <w:lang w:bidi="fa-IR"/>
        </w:rPr>
        <w:t xml:space="preserve">وفي </w:t>
      </w:r>
      <w:r w:rsidR="00744A1C" w:rsidRPr="009A6434">
        <w:rPr>
          <w:rtl/>
        </w:rPr>
        <w:t>الوافي</w:t>
      </w:r>
      <w:r w:rsidR="00744A1C">
        <w:rPr>
          <w:rtl/>
          <w:lang w:bidi="fa-IR"/>
        </w:rPr>
        <w:t xml:space="preserve"> : « الإجازة على الجريح : إثبات قتله والإسراع فيه والإتمام ، كالإجهاز عليه ». راجع : </w:t>
      </w:r>
      <w:r w:rsidR="00744A1C" w:rsidRPr="008A57EB">
        <w:rPr>
          <w:rStyle w:val="libFootnoteBoldChar"/>
          <w:rtl/>
        </w:rPr>
        <w:t>القاموس المحيط</w:t>
      </w:r>
      <w:r w:rsidR="00744A1C">
        <w:rPr>
          <w:rtl/>
          <w:lang w:bidi="fa-IR"/>
        </w:rPr>
        <w:t xml:space="preserve"> ، ج 1 ، ص 699 ( جوز ).</w:t>
      </w:r>
    </w:p>
    <w:p w:rsidR="00744A1C" w:rsidRDefault="00D10E3C" w:rsidP="009A6434">
      <w:pPr>
        <w:pStyle w:val="libFootnote0"/>
        <w:rPr>
          <w:lang w:bidi="fa-IR"/>
        </w:rPr>
      </w:pPr>
      <w:r>
        <w:rPr>
          <w:rtl/>
          <w:lang w:bidi="fa-IR"/>
        </w:rPr>
        <w:t>(1).</w:t>
      </w:r>
      <w:r w:rsidR="00744A1C">
        <w:rPr>
          <w:rtl/>
          <w:lang w:bidi="fa-IR"/>
        </w:rPr>
        <w:t xml:space="preserve"> « القَرَبوس » : حِنْوُ السَّرْج - وهو كلّ عُود معوَّج من عيدانه - وجمعه قَرابيس. راجع : </w:t>
      </w:r>
      <w:r w:rsidR="00744A1C" w:rsidRPr="00877682">
        <w:rPr>
          <w:rStyle w:val="libFootnoteBoldChar"/>
          <w:rtl/>
        </w:rPr>
        <w:t>لسان العرب</w:t>
      </w:r>
      <w:r w:rsidR="00744A1C">
        <w:rPr>
          <w:rtl/>
          <w:lang w:bidi="fa-IR"/>
        </w:rPr>
        <w:t xml:space="preserve"> ، ج 6 ، ص 172 ( قربس ).</w:t>
      </w:r>
      <w:r w:rsidR="009A6434">
        <w:rPr>
          <w:rFonts w:hint="cs"/>
          <w:rtl/>
          <w:lang w:bidi="fa-IR"/>
        </w:rPr>
        <w:t xml:space="preserve">                           </w:t>
      </w:r>
      <w:r w:rsidR="00EE40F1">
        <w:rPr>
          <w:rFonts w:hint="cs"/>
          <w:rtl/>
          <w:lang w:bidi="fa-IR"/>
        </w:rPr>
        <w:t xml:space="preserve">        </w:t>
      </w:r>
      <w:r w:rsidR="009A6434">
        <w:rPr>
          <w:rFonts w:hint="cs"/>
          <w:rtl/>
          <w:lang w:bidi="fa-IR"/>
        </w:rPr>
        <w:t xml:space="preserve">  </w:t>
      </w:r>
      <w:r w:rsidR="00E378DD">
        <w:rPr>
          <w:rtl/>
          <w:lang w:bidi="fa-IR"/>
        </w:rPr>
        <w:t>(2).</w:t>
      </w:r>
      <w:r w:rsidR="00744A1C">
        <w:rPr>
          <w:rtl/>
          <w:lang w:bidi="fa-IR"/>
        </w:rPr>
        <w:t xml:space="preserve"> في « بح » : « أن يقرأ ».</w:t>
      </w:r>
    </w:p>
    <w:p w:rsidR="00744A1C" w:rsidRDefault="00E378DD" w:rsidP="00E378DD">
      <w:pPr>
        <w:pStyle w:val="libFootnote0"/>
        <w:rPr>
          <w:lang w:bidi="fa-IR"/>
        </w:rPr>
      </w:pPr>
      <w:r>
        <w:rPr>
          <w:rtl/>
          <w:lang w:bidi="fa-IR"/>
        </w:rPr>
        <w:t>(3).</w:t>
      </w:r>
      <w:r w:rsidR="00744A1C">
        <w:rPr>
          <w:rtl/>
          <w:lang w:bidi="fa-IR"/>
        </w:rPr>
        <w:t xml:space="preserve"> في </w:t>
      </w:r>
      <w:r w:rsidR="00744A1C" w:rsidRPr="009A6434">
        <w:rPr>
          <w:rtl/>
        </w:rPr>
        <w:t>الوافي والتهذيب</w:t>
      </w:r>
      <w:r w:rsidR="00744A1C">
        <w:rPr>
          <w:rtl/>
          <w:lang w:bidi="fa-IR"/>
        </w:rPr>
        <w:t xml:space="preserve"> : « ثمّ قال قبل أن يقرأه » بدل « من قبل أن يقرأه ، ثمّ قال ».</w:t>
      </w:r>
    </w:p>
    <w:p w:rsidR="00744A1C" w:rsidRDefault="00E378DD" w:rsidP="00E378DD">
      <w:pPr>
        <w:pStyle w:val="libFootnote0"/>
        <w:rPr>
          <w:lang w:bidi="fa-IR"/>
        </w:rPr>
      </w:pPr>
      <w:r>
        <w:rPr>
          <w:rtl/>
          <w:lang w:bidi="fa-IR"/>
        </w:rPr>
        <w:t>(4).</w:t>
      </w:r>
      <w:r w:rsidR="00744A1C">
        <w:rPr>
          <w:rtl/>
          <w:lang w:bidi="fa-IR"/>
        </w:rPr>
        <w:t xml:space="preserve"> في « بث » : « مقبلهم ».</w:t>
      </w:r>
    </w:p>
    <w:p w:rsidR="00744A1C" w:rsidRDefault="00E378DD" w:rsidP="00E378DD">
      <w:pPr>
        <w:pStyle w:val="libFootnote0"/>
        <w:rPr>
          <w:lang w:bidi="fa-IR"/>
        </w:rPr>
      </w:pPr>
      <w:r>
        <w:rPr>
          <w:rtl/>
          <w:lang w:bidi="fa-IR"/>
        </w:rPr>
        <w:t>(5).</w:t>
      </w:r>
      <w:r w:rsidR="00744A1C">
        <w:rPr>
          <w:rtl/>
          <w:lang w:bidi="fa-IR"/>
        </w:rPr>
        <w:t xml:space="preserve"> السِّكَك ، جمع السِّكّة وهي الزقاق ، والطريق المصطفّة من النخل. </w:t>
      </w:r>
      <w:r w:rsidR="00744A1C" w:rsidRPr="00E978C3">
        <w:rPr>
          <w:rStyle w:val="libFootnoteBoldChar"/>
          <w:rtl/>
        </w:rPr>
        <w:t>المصباح المنير</w:t>
      </w:r>
      <w:r w:rsidR="00744A1C">
        <w:rPr>
          <w:rtl/>
          <w:lang w:bidi="fa-IR"/>
        </w:rPr>
        <w:t xml:space="preserve"> ، ص 282 ( سكك ).</w:t>
      </w:r>
    </w:p>
    <w:tbl>
      <w:tblPr>
        <w:tblStyle w:val="TableGrid"/>
        <w:bidiVisual/>
        <w:tblW w:w="0" w:type="auto"/>
        <w:tblLook w:val="04A0" w:firstRow="1" w:lastRow="0" w:firstColumn="1" w:lastColumn="0" w:noHBand="0" w:noVBand="1"/>
      </w:tblPr>
      <w:tblGrid>
        <w:gridCol w:w="4006"/>
        <w:gridCol w:w="4006"/>
      </w:tblGrid>
      <w:tr w:rsidR="009A6434" w:rsidTr="009A6434">
        <w:tc>
          <w:tcPr>
            <w:tcW w:w="4006" w:type="dxa"/>
          </w:tcPr>
          <w:p w:rsidR="009A6434" w:rsidRDefault="009A6434" w:rsidP="00E378DD">
            <w:pPr>
              <w:pStyle w:val="libFootnote0"/>
              <w:rPr>
                <w:rtl/>
                <w:lang w:bidi="fa-IR"/>
              </w:rPr>
            </w:pPr>
            <w:r>
              <w:rPr>
                <w:rtl/>
                <w:lang w:bidi="fa-IR"/>
              </w:rPr>
              <w:t>(6). في « بس » : « الباب ».</w:t>
            </w:r>
          </w:p>
        </w:tc>
        <w:tc>
          <w:tcPr>
            <w:tcW w:w="4006" w:type="dxa"/>
          </w:tcPr>
          <w:p w:rsidR="009A6434" w:rsidRDefault="009A6434" w:rsidP="00E378DD">
            <w:pPr>
              <w:pStyle w:val="libFootnote0"/>
              <w:rPr>
                <w:rtl/>
                <w:lang w:bidi="fa-IR"/>
              </w:rPr>
            </w:pPr>
            <w:r>
              <w:rPr>
                <w:rtl/>
                <w:lang w:bidi="fa-IR"/>
              </w:rPr>
              <w:t xml:space="preserve">(7). في </w:t>
            </w:r>
            <w:r w:rsidRPr="009A6434">
              <w:rPr>
                <w:rtl/>
              </w:rPr>
              <w:t>الوافي</w:t>
            </w:r>
            <w:r>
              <w:rPr>
                <w:rtl/>
                <w:lang w:bidi="fa-IR"/>
              </w:rPr>
              <w:t xml:space="preserve"> : « فقرأ ».</w:t>
            </w:r>
          </w:p>
        </w:tc>
      </w:tr>
    </w:tbl>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155 ، ح 274 ، معلّقاً عن الكليني. وراجع : </w:t>
      </w:r>
      <w:r w:rsidR="00744A1C" w:rsidRPr="0061079A">
        <w:rPr>
          <w:rStyle w:val="libFootnoteBoldChar"/>
          <w:rtl/>
        </w:rPr>
        <w:t>الكافي</w:t>
      </w:r>
      <w:r w:rsidR="00744A1C">
        <w:rPr>
          <w:rtl/>
          <w:lang w:bidi="fa-IR"/>
        </w:rPr>
        <w:t xml:space="preserve"> ، كتاب الجهاد ، باب وجوه الجهاد ، ح 8218 ومصادره </w:t>
      </w:r>
      <w:r w:rsidR="009A6434">
        <w:rPr>
          <w:rFonts w:hint="cs"/>
          <w:rtl/>
          <w:lang w:bidi="fa-IR"/>
        </w:rPr>
        <w:t>.</w:t>
      </w:r>
      <w:r w:rsidR="00744A1C" w:rsidRPr="00C24F9C">
        <w:rPr>
          <w:rStyle w:val="libFootnoteBoldChar"/>
          <w:rtl/>
        </w:rPr>
        <w:t>الوافي</w:t>
      </w:r>
      <w:r w:rsidR="00744A1C">
        <w:rPr>
          <w:rtl/>
          <w:lang w:bidi="fa-IR"/>
        </w:rPr>
        <w:t xml:space="preserve"> ، ج 15 ، ص 143 ، ح 14812 ؛ </w:t>
      </w:r>
      <w:r w:rsidR="00744A1C" w:rsidRPr="00C24F9C">
        <w:rPr>
          <w:rStyle w:val="libFootnoteBoldChar"/>
          <w:rtl/>
        </w:rPr>
        <w:t>الوسائل</w:t>
      </w:r>
      <w:r w:rsidR="00744A1C">
        <w:rPr>
          <w:rtl/>
          <w:lang w:bidi="fa-IR"/>
        </w:rPr>
        <w:t xml:space="preserve"> ، ج 32 ، ص 210 ، ح 164 ؛ </w:t>
      </w:r>
      <w:r w:rsidR="00744A1C" w:rsidRPr="009A6434">
        <w:rPr>
          <w:rStyle w:val="libFootnoteBoldChar"/>
          <w:rtl/>
        </w:rPr>
        <w:t>وفيه</w:t>
      </w:r>
      <w:r w:rsidR="00744A1C">
        <w:rPr>
          <w:rtl/>
          <w:lang w:bidi="fa-IR"/>
        </w:rPr>
        <w:t xml:space="preserve"> ، ج 15 ، ص 74 ، ح 20012 ؛ </w:t>
      </w:r>
      <w:r w:rsidR="00744A1C" w:rsidRPr="0061079A">
        <w:rPr>
          <w:rStyle w:val="libFootnoteBoldChar"/>
          <w:rtl/>
        </w:rPr>
        <w:t>البحار</w:t>
      </w:r>
      <w:r w:rsidR="00744A1C">
        <w:rPr>
          <w:rtl/>
          <w:lang w:bidi="fa-IR"/>
        </w:rPr>
        <w:t xml:space="preserve"> ، ج 32 ، ص 210 ، ح 164 ؛ </w:t>
      </w:r>
      <w:r w:rsidR="00744A1C" w:rsidRPr="009A6434">
        <w:rPr>
          <w:rStyle w:val="libFootnoteBoldChar"/>
          <w:rtl/>
        </w:rPr>
        <w:t>وفيه</w:t>
      </w:r>
      <w:r w:rsidR="00744A1C">
        <w:rPr>
          <w:rtl/>
          <w:lang w:bidi="fa-IR"/>
        </w:rPr>
        <w:t xml:space="preserve"> ، ج 21 ، ص 139 ، ح 34 ، إلى قوله : « من أغلق بابه فهو آمن ».</w:t>
      </w:r>
    </w:p>
    <w:tbl>
      <w:tblPr>
        <w:tblStyle w:val="TableGrid"/>
        <w:bidiVisual/>
        <w:tblW w:w="0" w:type="auto"/>
        <w:tblLook w:val="04A0" w:firstRow="1" w:lastRow="0" w:firstColumn="1" w:lastColumn="0" w:noHBand="0" w:noVBand="1"/>
      </w:tblPr>
      <w:tblGrid>
        <w:gridCol w:w="4006"/>
        <w:gridCol w:w="4006"/>
      </w:tblGrid>
      <w:tr w:rsidR="009A6434" w:rsidTr="009A6434">
        <w:tc>
          <w:tcPr>
            <w:tcW w:w="4006" w:type="dxa"/>
          </w:tcPr>
          <w:p w:rsidR="009A6434" w:rsidRDefault="009A6434" w:rsidP="00E378DD">
            <w:pPr>
              <w:pStyle w:val="libFootnote0"/>
              <w:rPr>
                <w:rtl/>
                <w:lang w:bidi="fa-IR"/>
              </w:rPr>
            </w:pPr>
            <w:r>
              <w:rPr>
                <w:rtl/>
                <w:lang w:bidi="fa-IR"/>
              </w:rPr>
              <w:t>(9). في « بف » : « سيرة ».</w:t>
            </w:r>
          </w:p>
        </w:tc>
        <w:tc>
          <w:tcPr>
            <w:tcW w:w="4006" w:type="dxa"/>
          </w:tcPr>
          <w:p w:rsidR="009A6434" w:rsidRDefault="009A6434" w:rsidP="00E378DD">
            <w:pPr>
              <w:pStyle w:val="libFootnote0"/>
              <w:rPr>
                <w:rtl/>
                <w:lang w:bidi="fa-IR"/>
              </w:rPr>
            </w:pPr>
            <w:r>
              <w:rPr>
                <w:rtl/>
                <w:lang w:bidi="fa-IR"/>
              </w:rPr>
              <w:t xml:space="preserve">(10). في </w:t>
            </w:r>
            <w:r w:rsidRPr="009A6434">
              <w:rPr>
                <w:rtl/>
              </w:rPr>
              <w:t>البحار</w:t>
            </w:r>
            <w:r>
              <w:rPr>
                <w:rtl/>
                <w:lang w:bidi="fa-IR"/>
              </w:rPr>
              <w:t xml:space="preserve"> : « يوم » بدل « في أهل ».</w:t>
            </w:r>
          </w:p>
        </w:tc>
      </w:tr>
    </w:tbl>
    <w:p w:rsidR="00744A1C" w:rsidRDefault="00E378DD" w:rsidP="009A6434">
      <w:pPr>
        <w:pStyle w:val="libFootnote0"/>
        <w:rPr>
          <w:lang w:bidi="fa-IR"/>
        </w:rPr>
      </w:pPr>
      <w:r>
        <w:rPr>
          <w:rtl/>
          <w:lang w:bidi="fa-IR"/>
        </w:rPr>
        <w:t>(11).</w:t>
      </w:r>
      <w:r w:rsidR="00744A1C">
        <w:rPr>
          <w:rtl/>
          <w:lang w:bidi="fa-IR"/>
        </w:rPr>
        <w:t xml:space="preserve"> في </w:t>
      </w:r>
      <w:r w:rsidR="00744A1C" w:rsidRPr="00877682">
        <w:rPr>
          <w:rStyle w:val="libFootnoteBoldChar"/>
          <w:rtl/>
        </w:rPr>
        <w:t>مرآة العقول</w:t>
      </w:r>
      <w:r w:rsidR="00744A1C">
        <w:rPr>
          <w:rtl/>
          <w:lang w:bidi="fa-IR"/>
        </w:rPr>
        <w:t xml:space="preserve"> ، ج 18 ، ص 361 : « يدلّ على أنّه </w:t>
      </w:r>
      <w:r w:rsidR="0061079A" w:rsidRPr="0061079A">
        <w:rPr>
          <w:rStyle w:val="libFootnoteAlaemChar"/>
          <w:rtl/>
        </w:rPr>
        <w:t>عليه‌السلام</w:t>
      </w:r>
      <w:r w:rsidR="00D10E3C">
        <w:rPr>
          <w:rtl/>
          <w:lang w:bidi="fa-IR"/>
        </w:rPr>
        <w:t xml:space="preserve"> </w:t>
      </w:r>
      <w:r w:rsidR="00744A1C">
        <w:rPr>
          <w:rtl/>
          <w:lang w:bidi="fa-IR"/>
        </w:rPr>
        <w:t>إنّما أعرض عن سبيهم لضرب من المصلحة ، والحكم‌</w:t>
      </w:r>
      <w:r w:rsidR="009A6434">
        <w:rPr>
          <w:rFonts w:hint="cs"/>
          <w:rtl/>
          <w:lang w:bidi="fa-IR"/>
        </w:rPr>
        <w:t xml:space="preserve"> </w:t>
      </w:r>
      <w:r w:rsidR="00744A1C">
        <w:rPr>
          <w:rtl/>
          <w:lang w:bidi="fa-IR"/>
        </w:rPr>
        <w:t>فيهم مع عدم المصلحة جواز السبي ».</w:t>
      </w:r>
      <w:r w:rsidR="009A6434">
        <w:rPr>
          <w:rFonts w:hint="cs"/>
          <w:rtl/>
          <w:lang w:bidi="fa-IR"/>
        </w:rPr>
        <w:t xml:space="preserve">          </w:t>
      </w:r>
      <w:r w:rsidR="00EE40F1">
        <w:rPr>
          <w:rFonts w:hint="cs"/>
          <w:rtl/>
          <w:lang w:bidi="fa-IR"/>
        </w:rPr>
        <w:t xml:space="preserve"> </w:t>
      </w:r>
      <w:r w:rsidR="009A6434">
        <w:rPr>
          <w:rFonts w:hint="cs"/>
          <w:rtl/>
          <w:lang w:bidi="fa-IR"/>
        </w:rPr>
        <w:t xml:space="preserve">   </w:t>
      </w:r>
      <w:r>
        <w:rPr>
          <w:rtl/>
          <w:lang w:bidi="fa-IR"/>
        </w:rPr>
        <w:t>(12).</w:t>
      </w:r>
      <w:r w:rsidR="00744A1C">
        <w:rPr>
          <w:rtl/>
          <w:lang w:bidi="fa-IR"/>
        </w:rPr>
        <w:t xml:space="preserve"> في </w:t>
      </w:r>
      <w:r w:rsidR="00744A1C" w:rsidRPr="009A6434">
        <w:rPr>
          <w:rtl/>
        </w:rPr>
        <w:t>الوافي والبحار والتهذيب والمحاسن</w:t>
      </w:r>
      <w:r w:rsidR="00744A1C">
        <w:rPr>
          <w:rtl/>
          <w:lang w:bidi="fa-IR"/>
        </w:rPr>
        <w:t xml:space="preserve"> : « أيسير ».</w:t>
      </w:r>
    </w:p>
    <w:p w:rsidR="00744A1C" w:rsidRDefault="00E378DD" w:rsidP="00E378DD">
      <w:pPr>
        <w:pStyle w:val="libFootnote0"/>
        <w:rPr>
          <w:lang w:bidi="fa-IR"/>
        </w:rPr>
      </w:pPr>
      <w:r>
        <w:rPr>
          <w:rtl/>
          <w:lang w:bidi="fa-IR"/>
        </w:rPr>
        <w:t>(13).</w:t>
      </w:r>
      <w:r w:rsidR="00744A1C">
        <w:rPr>
          <w:rtl/>
          <w:lang w:bidi="fa-IR"/>
        </w:rPr>
        <w:t xml:space="preserve"> في </w:t>
      </w:r>
      <w:r w:rsidR="00744A1C" w:rsidRPr="009A6434">
        <w:rPr>
          <w:rtl/>
        </w:rPr>
        <w:t>الوافي والوسائل والتهذيب</w:t>
      </w:r>
      <w:r w:rsidR="00744A1C">
        <w:rPr>
          <w:rtl/>
          <w:lang w:bidi="fa-IR"/>
        </w:rPr>
        <w:t xml:space="preserve"> </w:t>
      </w:r>
      <w:r w:rsidR="00744A1C" w:rsidRPr="009A6434">
        <w:rPr>
          <w:rtl/>
        </w:rPr>
        <w:t xml:space="preserve">والمحاسن </w:t>
      </w:r>
      <w:r w:rsidR="00744A1C">
        <w:rPr>
          <w:rtl/>
          <w:lang w:bidi="fa-IR"/>
        </w:rPr>
        <w:t>والعلل : « لما علم » بدل « للعلم ».</w:t>
      </w:r>
    </w:p>
    <w:p w:rsidR="00744A1C" w:rsidRDefault="00E378DD" w:rsidP="00E378DD">
      <w:pPr>
        <w:pStyle w:val="libFootnote0"/>
        <w:rPr>
          <w:lang w:bidi="fa-IR"/>
        </w:rPr>
      </w:pPr>
      <w:r>
        <w:rPr>
          <w:rtl/>
          <w:lang w:bidi="fa-IR"/>
        </w:rPr>
        <w:t>(14).</w:t>
      </w:r>
      <w:r w:rsidR="00744A1C">
        <w:rPr>
          <w:rtl/>
          <w:lang w:bidi="fa-IR"/>
        </w:rPr>
        <w:t xml:space="preserve"> الدَّوْلَة : الغلبة ، ومنه الإدالة بمعنى الغلبة. </w:t>
      </w:r>
      <w:r w:rsidR="00744A1C" w:rsidRPr="00877682">
        <w:rPr>
          <w:rStyle w:val="libFootnoteBoldChar"/>
          <w:rtl/>
        </w:rPr>
        <w:t>النهاية</w:t>
      </w:r>
      <w:r w:rsidR="00744A1C">
        <w:rPr>
          <w:rtl/>
          <w:lang w:bidi="fa-IR"/>
        </w:rPr>
        <w:t xml:space="preserve"> ، ج 2 ، ص 141 ( دول ).</w:t>
      </w:r>
    </w:p>
    <w:p w:rsidR="006A5060" w:rsidRDefault="006A5060" w:rsidP="00D10E3C">
      <w:pPr>
        <w:pStyle w:val="libNormal"/>
        <w:rPr>
          <w:rtl/>
          <w:lang w:bidi="fa-IR"/>
        </w:rPr>
      </w:pPr>
      <w:r>
        <w:rPr>
          <w:rtl/>
          <w:lang w:bidi="fa-IR"/>
        </w:rPr>
        <w:br w:type="page"/>
      </w:r>
    </w:p>
    <w:p w:rsidR="00144FA6" w:rsidRDefault="00744A1C" w:rsidP="009A6434">
      <w:pPr>
        <w:pStyle w:val="libNormal0"/>
        <w:rPr>
          <w:rtl/>
          <w:lang w:bidi="fa-IR"/>
        </w:rPr>
      </w:pPr>
      <w:r>
        <w:rPr>
          <w:rtl/>
          <w:lang w:bidi="fa-IR"/>
        </w:rPr>
        <w:t xml:space="preserve">وَإِنَّ الْقَائِمَ - عَجَّلَ اللهُ فَرَجَهُ </w:t>
      </w:r>
      <w:r w:rsidRPr="00D10E3C">
        <w:rPr>
          <w:rStyle w:val="libFootnotenumChar"/>
          <w:rtl/>
        </w:rPr>
        <w:t>(1)</w:t>
      </w:r>
      <w:r>
        <w:rPr>
          <w:rtl/>
          <w:lang w:bidi="fa-IR"/>
        </w:rPr>
        <w:t xml:space="preserve"> - يَسِيرُ فِيهِمْ بِخِلَافِ تِلْكَ السِّيرَةِ ؛ لِأَنَّهُ لَادَوْلَةَ لَهُمْ ». </w:t>
      </w:r>
      <w:r w:rsidRPr="00D10E3C">
        <w:rPr>
          <w:rStyle w:val="libFootnotenumChar"/>
          <w:rtl/>
        </w:rPr>
        <w:t>(2)</w:t>
      </w:r>
    </w:p>
    <w:p w:rsidR="00144FA6" w:rsidRDefault="00744A1C" w:rsidP="00744A1C">
      <w:pPr>
        <w:pStyle w:val="libNormal"/>
        <w:rPr>
          <w:rtl/>
          <w:lang w:bidi="fa-IR"/>
        </w:rPr>
      </w:pPr>
      <w:r>
        <w:rPr>
          <w:rtl/>
          <w:lang w:bidi="fa-IR"/>
        </w:rPr>
        <w:t>8248 / 5. عَلِيُّ بْنُ إِبْرَاهِيمَ ، عَنْ أَبِيهِ ، عَنْ عَمْرِو بْنِ عُثْمَانَ ، عَنْ مُحَمَّدِ بْنِ عُذَافِرٍ ، عَنْ عُقْبَةَ بْنِ بَشِيرٍ ، عَنْ عَبْدِ اللهِ بْنِ شَرِيكٍ ، عَنْ أَبِيهِ ، قَالَ :</w:t>
      </w:r>
    </w:p>
    <w:p w:rsidR="00744A1C" w:rsidRDefault="00744A1C" w:rsidP="00744A1C">
      <w:pPr>
        <w:pStyle w:val="libNormal"/>
        <w:rPr>
          <w:lang w:bidi="fa-IR"/>
        </w:rPr>
      </w:pPr>
      <w:r>
        <w:rPr>
          <w:rtl/>
          <w:lang w:bidi="fa-IR"/>
        </w:rPr>
        <w:t xml:space="preserve">لَمَّا هُزِمَ النَّاسُ يَوْمَ الْجَمَلِ ، قَالَ أَمِيرُ الْمُؤْمِنِينَ </w:t>
      </w:r>
      <w:r w:rsidR="0061079A" w:rsidRPr="0061079A">
        <w:rPr>
          <w:rStyle w:val="libAlaemChar"/>
          <w:rtl/>
        </w:rPr>
        <w:t>عليه‌السلام</w:t>
      </w:r>
      <w:r w:rsidR="00D10E3C">
        <w:rPr>
          <w:rtl/>
          <w:lang w:bidi="fa-IR"/>
        </w:rPr>
        <w:t xml:space="preserve"> </w:t>
      </w:r>
      <w:r>
        <w:rPr>
          <w:rtl/>
          <w:lang w:bidi="fa-IR"/>
        </w:rPr>
        <w:t xml:space="preserve">: « لَا تَتْبَعُوا مُوَلِّياً </w:t>
      </w:r>
      <w:r w:rsidRPr="00D10E3C">
        <w:rPr>
          <w:rStyle w:val="libFootnotenumChar"/>
          <w:rtl/>
        </w:rPr>
        <w:t>(3)</w:t>
      </w:r>
      <w:r>
        <w:rPr>
          <w:rtl/>
          <w:lang w:bidi="fa-IR"/>
        </w:rPr>
        <w:t xml:space="preserve"> ، وَلَا تُجِيزُوا </w:t>
      </w:r>
      <w:r w:rsidRPr="00D10E3C">
        <w:rPr>
          <w:rStyle w:val="libFootnotenumChar"/>
          <w:rtl/>
        </w:rPr>
        <w:t>(4)</w:t>
      </w:r>
      <w:r>
        <w:rPr>
          <w:rtl/>
          <w:lang w:bidi="fa-IR"/>
        </w:rPr>
        <w:t xml:space="preserve"> عَلى جَرِيحٍ ، وَمَنْ أَغْلَقَ بَابَهُ فَهُوَ آمِنٌ ».</w:t>
      </w:r>
    </w:p>
    <w:p w:rsidR="00744A1C" w:rsidRDefault="00744A1C" w:rsidP="00744A1C">
      <w:pPr>
        <w:pStyle w:val="libNormal"/>
        <w:rPr>
          <w:lang w:bidi="fa-IR"/>
        </w:rPr>
      </w:pPr>
      <w:r>
        <w:rPr>
          <w:rtl/>
          <w:lang w:bidi="fa-IR"/>
        </w:rPr>
        <w:t xml:space="preserve">فَلَمَّا كَانَ يَوْمُ صِفِّينَ ، قَتَلَ الْمُقْبِلَ وَالْمُدْبِرَ </w:t>
      </w:r>
      <w:r w:rsidRPr="00D10E3C">
        <w:rPr>
          <w:rStyle w:val="libFootnotenumChar"/>
          <w:rtl/>
        </w:rPr>
        <w:t>(5)</w:t>
      </w:r>
      <w:r>
        <w:rPr>
          <w:rtl/>
          <w:lang w:bidi="fa-IR"/>
        </w:rPr>
        <w:t xml:space="preserve"> ، وَأَجَازَ عَلى جَرِيحٍ </w:t>
      </w:r>
      <w:r w:rsidRPr="00D10E3C">
        <w:rPr>
          <w:rStyle w:val="libFootnotenumChar"/>
          <w:rtl/>
        </w:rPr>
        <w:t>(6)</w:t>
      </w:r>
      <w:r w:rsidR="009A6434" w:rsidRPr="009A6434">
        <w:rPr>
          <w:rFonts w:hint="cs"/>
          <w:rtl/>
        </w:rPr>
        <w:t>.</w:t>
      </w:r>
    </w:p>
    <w:p w:rsidR="00744A1C" w:rsidRDefault="00744A1C" w:rsidP="00744A1C">
      <w:pPr>
        <w:pStyle w:val="libNormal"/>
        <w:rPr>
          <w:lang w:bidi="fa-IR"/>
        </w:rPr>
      </w:pPr>
      <w:r>
        <w:rPr>
          <w:rtl/>
          <w:lang w:bidi="fa-IR"/>
        </w:rPr>
        <w:t>فَقَالَ أَبَانُ بْنُ تَغْلِبَ لِعَبْدِ اللهِ بْنِ شَرِيكٍ : هذِهِ سِيرَتَانِ مُخْتَلِفَتَانِ.</w:t>
      </w:r>
    </w:p>
    <w:p w:rsidR="00144FA6" w:rsidRDefault="00744A1C" w:rsidP="00744A1C">
      <w:pPr>
        <w:pStyle w:val="libNormal"/>
        <w:rPr>
          <w:rtl/>
          <w:lang w:bidi="fa-IR"/>
        </w:rPr>
      </w:pPr>
      <w:r>
        <w:rPr>
          <w:rtl/>
          <w:lang w:bidi="fa-IR"/>
        </w:rPr>
        <w:t xml:space="preserve">فَقَالَ : إِنَّ أَهْلَ الْجَمَلِ قَتَلَ طَلْحَةَ وَالزُّبَيْرَ ، وَإِنَّ مُعَاوِيَةَ كَانَ قَائِماً بِعَيْنِهِ ، وَكَانَ قَائِدَهُمْ. </w:t>
      </w:r>
      <w:r w:rsidRPr="00D10E3C">
        <w:rPr>
          <w:rStyle w:val="libFootnotenumChar"/>
          <w:rtl/>
        </w:rPr>
        <w:t>(7)</w:t>
      </w:r>
    </w:p>
    <w:p w:rsidR="00744A1C" w:rsidRDefault="00744A1C" w:rsidP="009A6434">
      <w:pPr>
        <w:pStyle w:val="Heading2Center"/>
        <w:rPr>
          <w:lang w:bidi="fa-IR"/>
        </w:rPr>
      </w:pPr>
      <w:bookmarkStart w:id="99" w:name="_Toc49261397"/>
      <w:r>
        <w:rPr>
          <w:rtl/>
          <w:lang w:bidi="fa-IR"/>
        </w:rPr>
        <w:t>11 - بَابٌ‌</w:t>
      </w:r>
      <w:bookmarkEnd w:id="99"/>
    </w:p>
    <w:p w:rsidR="00144FA6" w:rsidRDefault="00744A1C" w:rsidP="00744A1C">
      <w:pPr>
        <w:pStyle w:val="libNormal"/>
        <w:rPr>
          <w:rtl/>
          <w:lang w:bidi="fa-IR"/>
        </w:rPr>
      </w:pPr>
      <w:r>
        <w:rPr>
          <w:rtl/>
          <w:lang w:bidi="fa-IR"/>
        </w:rPr>
        <w:t>8249 / 1. مُحَمَّدُ بْنُ يَحْيى ، عَنْ أَحْمَدَ بْنِ مُحَمَّدِ بْنِ عِيسى ، عَنِ ابْنِ مَحْبُوبٍ ، عَنِ الْحَسَنِ بْنِ صَالِحٍ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بح ، جد ، جن » : « صلوات الله عليه ». وفي « بف » : - « عجّل الله فرجه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155 ، ح 275 ، معلّقاً عن عليّ بن إبراهيم. </w:t>
      </w:r>
      <w:r w:rsidR="00744A1C" w:rsidRPr="003A7143">
        <w:rPr>
          <w:rStyle w:val="libFootnoteBoldChar"/>
          <w:rtl/>
        </w:rPr>
        <w:t>المحاسن</w:t>
      </w:r>
      <w:r w:rsidR="00744A1C">
        <w:rPr>
          <w:rtl/>
          <w:lang w:bidi="fa-IR"/>
        </w:rPr>
        <w:t xml:space="preserve"> ، ص 320 ، كتاب العلل ، ح 55 ، عن أبيه ، عن يونس ، عن بكّار بن أبي بكر الحضرمي. </w:t>
      </w:r>
      <w:r w:rsidR="00744A1C" w:rsidRPr="003A7143">
        <w:rPr>
          <w:rStyle w:val="libFootnoteBoldChar"/>
          <w:rtl/>
        </w:rPr>
        <w:t>علل الشرائع</w:t>
      </w:r>
      <w:r w:rsidR="00744A1C">
        <w:rPr>
          <w:rtl/>
          <w:lang w:bidi="fa-IR"/>
        </w:rPr>
        <w:t xml:space="preserve"> ، ص 149 ، ح 9 ، بسنده عن يونس بن عبد الرحمن ، عن بكّار بن أبي بكر الحضرمي. وراجع : الغيبة للنعماني ، ص 231 ، ح 14 </w:t>
      </w:r>
      <w:r w:rsidR="009A6434">
        <w:rPr>
          <w:rFonts w:hint="cs"/>
          <w:rtl/>
          <w:lang w:bidi="fa-IR"/>
        </w:rPr>
        <w:t>.</w:t>
      </w:r>
      <w:r w:rsidR="00744A1C" w:rsidRPr="00C24F9C">
        <w:rPr>
          <w:rStyle w:val="libFootnoteBoldChar"/>
          <w:rtl/>
        </w:rPr>
        <w:t>الوافي</w:t>
      </w:r>
      <w:r w:rsidR="00744A1C">
        <w:rPr>
          <w:rtl/>
          <w:lang w:bidi="fa-IR"/>
        </w:rPr>
        <w:t xml:space="preserve"> ، ج 15 ، ص 143 ، ح 14813 ؛ </w:t>
      </w:r>
      <w:r w:rsidR="00744A1C" w:rsidRPr="00C24F9C">
        <w:rPr>
          <w:rStyle w:val="libFootnoteBoldChar"/>
          <w:rtl/>
        </w:rPr>
        <w:t>الوسائل</w:t>
      </w:r>
      <w:r w:rsidR="00744A1C">
        <w:rPr>
          <w:rtl/>
          <w:lang w:bidi="fa-IR"/>
        </w:rPr>
        <w:t xml:space="preserve"> ، ج 15 ، ص 76 ، ح 20015 ؛ </w:t>
      </w:r>
      <w:r w:rsidR="00744A1C" w:rsidRPr="0061079A">
        <w:rPr>
          <w:rStyle w:val="libFootnoteBoldChar"/>
          <w:rtl/>
        </w:rPr>
        <w:t>البحار</w:t>
      </w:r>
      <w:r w:rsidR="00744A1C">
        <w:rPr>
          <w:rtl/>
          <w:lang w:bidi="fa-IR"/>
        </w:rPr>
        <w:t xml:space="preserve"> ، ج 32 ، ص 330 ، ح 317.</w:t>
      </w:r>
    </w:p>
    <w:p w:rsidR="00744A1C" w:rsidRDefault="00E378DD" w:rsidP="00E378DD">
      <w:pPr>
        <w:pStyle w:val="libFootnote0"/>
        <w:rPr>
          <w:lang w:bidi="fa-IR"/>
        </w:rPr>
      </w:pPr>
      <w:r>
        <w:rPr>
          <w:rtl/>
          <w:lang w:bidi="fa-IR"/>
        </w:rPr>
        <w:t>(3).</w:t>
      </w:r>
      <w:r w:rsidR="00744A1C">
        <w:rPr>
          <w:rtl/>
          <w:lang w:bidi="fa-IR"/>
        </w:rPr>
        <w:t xml:space="preserve"> ولّى الشي‌ء</w:t>
      </w:r>
      <w:r w:rsidR="009A6434">
        <w:rPr>
          <w:rtl/>
          <w:lang w:bidi="fa-IR"/>
        </w:rPr>
        <w:t>ُ وتولّى : أدبر. والمولّي : الم</w:t>
      </w:r>
      <w:r w:rsidR="009A6434">
        <w:rPr>
          <w:rFonts w:hint="cs"/>
          <w:rtl/>
          <w:lang w:bidi="fa-IR"/>
        </w:rPr>
        <w:t>ـُ</w:t>
      </w:r>
      <w:r w:rsidR="00744A1C">
        <w:rPr>
          <w:rtl/>
          <w:lang w:bidi="fa-IR"/>
        </w:rPr>
        <w:t xml:space="preserve">دبِر. راجع : </w:t>
      </w:r>
      <w:r w:rsidR="00744A1C" w:rsidRPr="00877682">
        <w:rPr>
          <w:rStyle w:val="libFootnoteBoldChar"/>
          <w:rtl/>
        </w:rPr>
        <w:t>لسان العرب</w:t>
      </w:r>
      <w:r w:rsidR="00744A1C">
        <w:rPr>
          <w:rtl/>
          <w:lang w:bidi="fa-IR"/>
        </w:rPr>
        <w:t xml:space="preserve"> ، ج 15 ، ص 414 ( ولى ).</w:t>
      </w:r>
    </w:p>
    <w:p w:rsidR="00744A1C" w:rsidRDefault="00E378DD" w:rsidP="00E378DD">
      <w:pPr>
        <w:pStyle w:val="libFootnote0"/>
        <w:rPr>
          <w:lang w:bidi="fa-IR"/>
        </w:rPr>
      </w:pPr>
      <w:r>
        <w:rPr>
          <w:rtl/>
          <w:lang w:bidi="fa-IR"/>
        </w:rPr>
        <w:t>(4).</w:t>
      </w:r>
      <w:r w:rsidR="00744A1C">
        <w:rPr>
          <w:rtl/>
          <w:lang w:bidi="fa-IR"/>
        </w:rPr>
        <w:t xml:space="preserve"> في « بح » وحاشية « ى ، بث ، جت ، جد » </w:t>
      </w:r>
      <w:r w:rsidR="00744A1C" w:rsidRPr="009A6434">
        <w:rPr>
          <w:rtl/>
        </w:rPr>
        <w:t>والوافي والبحار</w:t>
      </w:r>
      <w:r w:rsidR="00744A1C">
        <w:rPr>
          <w:rtl/>
          <w:lang w:bidi="fa-IR"/>
        </w:rPr>
        <w:t xml:space="preserve"> : « ولا تجهزوا ».</w:t>
      </w:r>
    </w:p>
    <w:tbl>
      <w:tblPr>
        <w:tblStyle w:val="TableGrid"/>
        <w:bidiVisual/>
        <w:tblW w:w="0" w:type="auto"/>
        <w:tblLook w:val="04A0" w:firstRow="1" w:lastRow="0" w:firstColumn="1" w:lastColumn="0" w:noHBand="0" w:noVBand="1"/>
      </w:tblPr>
      <w:tblGrid>
        <w:gridCol w:w="4006"/>
        <w:gridCol w:w="4006"/>
      </w:tblGrid>
      <w:tr w:rsidR="00B71E5C" w:rsidTr="00B71E5C">
        <w:tc>
          <w:tcPr>
            <w:tcW w:w="4006" w:type="dxa"/>
          </w:tcPr>
          <w:p w:rsidR="00B71E5C" w:rsidRDefault="00B71E5C" w:rsidP="00E378DD">
            <w:pPr>
              <w:pStyle w:val="libFootnote0"/>
              <w:rPr>
                <w:rtl/>
                <w:lang w:bidi="fa-IR"/>
              </w:rPr>
            </w:pPr>
            <w:r>
              <w:rPr>
                <w:rtl/>
                <w:lang w:bidi="fa-IR"/>
              </w:rPr>
              <w:t>(5). في « بف » : « المدبر والمقبل ».</w:t>
            </w:r>
          </w:p>
        </w:tc>
        <w:tc>
          <w:tcPr>
            <w:tcW w:w="4006" w:type="dxa"/>
          </w:tcPr>
          <w:p w:rsidR="00B71E5C" w:rsidRDefault="00B71E5C" w:rsidP="00E378DD">
            <w:pPr>
              <w:pStyle w:val="libFootnote0"/>
              <w:rPr>
                <w:rtl/>
                <w:lang w:bidi="fa-IR"/>
              </w:rPr>
            </w:pPr>
            <w:r>
              <w:rPr>
                <w:rtl/>
                <w:lang w:bidi="fa-IR"/>
              </w:rPr>
              <w:t xml:space="preserve">(6). في </w:t>
            </w:r>
            <w:r w:rsidRPr="00B71E5C">
              <w:rPr>
                <w:rtl/>
              </w:rPr>
              <w:t>البحار</w:t>
            </w:r>
            <w:r>
              <w:rPr>
                <w:rtl/>
                <w:lang w:bidi="fa-IR"/>
              </w:rPr>
              <w:t xml:space="preserve"> : « الجريح ».</w:t>
            </w:r>
          </w:p>
        </w:tc>
      </w:tr>
    </w:tbl>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155 ، ح 276 ، معلّقاً عن عليّ بن إبراهيم. راجع : </w:t>
      </w:r>
      <w:r w:rsidR="00744A1C" w:rsidRPr="00B71E5C">
        <w:rPr>
          <w:rStyle w:val="libFootnoteBoldChar"/>
          <w:rtl/>
        </w:rPr>
        <w:t>الغيبة للنعماني</w:t>
      </w:r>
      <w:r w:rsidR="00744A1C">
        <w:rPr>
          <w:rtl/>
          <w:lang w:bidi="fa-IR"/>
        </w:rPr>
        <w:t xml:space="preserve"> ، ص 307 ، ح 1 ؛ </w:t>
      </w:r>
      <w:r w:rsidR="00744A1C" w:rsidRPr="00B71E5C">
        <w:rPr>
          <w:rStyle w:val="libFootnoteBoldChar"/>
          <w:rtl/>
        </w:rPr>
        <w:t>والجمل</w:t>
      </w:r>
      <w:r w:rsidR="00744A1C">
        <w:rPr>
          <w:rtl/>
          <w:lang w:bidi="fa-IR"/>
        </w:rPr>
        <w:t xml:space="preserve"> ، ص 382 </w:t>
      </w:r>
      <w:r w:rsidR="00B71E5C">
        <w:rPr>
          <w:rFonts w:hint="cs"/>
          <w:rtl/>
          <w:lang w:bidi="fa-IR"/>
        </w:rPr>
        <w:t>.</w:t>
      </w:r>
      <w:r w:rsidR="00744A1C" w:rsidRPr="00C24F9C">
        <w:rPr>
          <w:rStyle w:val="libFootnoteBoldChar"/>
          <w:rtl/>
        </w:rPr>
        <w:t>الوافي</w:t>
      </w:r>
      <w:r w:rsidR="00744A1C">
        <w:rPr>
          <w:rtl/>
          <w:lang w:bidi="fa-IR"/>
        </w:rPr>
        <w:t xml:space="preserve"> ، ج 15 ، ص 144 ، ح 14814 ؛ </w:t>
      </w:r>
      <w:r w:rsidR="00744A1C" w:rsidRPr="00C24F9C">
        <w:rPr>
          <w:rStyle w:val="libFootnoteBoldChar"/>
          <w:rtl/>
        </w:rPr>
        <w:t>الوسائل</w:t>
      </w:r>
      <w:r w:rsidR="00744A1C">
        <w:rPr>
          <w:rtl/>
          <w:lang w:bidi="fa-IR"/>
        </w:rPr>
        <w:t xml:space="preserve"> ، ج 15 ، ص 74 ، ح 20013 ؛ </w:t>
      </w:r>
      <w:r w:rsidR="00744A1C" w:rsidRPr="0061079A">
        <w:rPr>
          <w:rStyle w:val="libFootnoteBoldChar"/>
          <w:rtl/>
        </w:rPr>
        <w:t>البحار</w:t>
      </w:r>
      <w:r w:rsidR="00744A1C">
        <w:rPr>
          <w:rtl/>
          <w:lang w:bidi="fa-IR"/>
        </w:rPr>
        <w:t xml:space="preserve"> ، ج 33 ، ص 445 ، ح 657.</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كَانَ يَقُولُ : « مَنْ فَرَّ مِنْ رَجُلَيْنِ فِي الْقِتَالِ مِنَ الزَّحْفِ </w:t>
      </w:r>
      <w:r w:rsidRPr="00D10E3C">
        <w:rPr>
          <w:rStyle w:val="libFootnotenumChar"/>
          <w:rtl/>
        </w:rPr>
        <w:t>(1)</w:t>
      </w:r>
      <w:r>
        <w:rPr>
          <w:rtl/>
          <w:lang w:bidi="fa-IR"/>
        </w:rPr>
        <w:t xml:space="preserve"> ، فَقَدْ فَرَّ ؛ وَمَنْ فَرَّ مِنْ ثَلَاثَةٍ فِي الْقِتَالِ مِنَ الزَّحْفِ </w:t>
      </w:r>
      <w:r w:rsidRPr="00D10E3C">
        <w:rPr>
          <w:rStyle w:val="libFootnotenumChar"/>
          <w:rtl/>
        </w:rPr>
        <w:t>(2)</w:t>
      </w:r>
      <w:r>
        <w:rPr>
          <w:rtl/>
          <w:lang w:bidi="fa-IR"/>
        </w:rPr>
        <w:t xml:space="preserve"> ، فَلَمْ يَفِرَّ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8250 / 2. عِدَّةٌ مِنْ أَصْحَابِنَا ، عَنْ سَهْلِ بْنِ زِيَادٍ ، عَنْ مُحَمَّدِ بْنِ الْحَسَنِ بْنِ شَمُّونٍ ، عَنْ عَبْدِ اللهِ بْنِ عَبْدِ الرَّحْمنِ الْأَصَمِّ ، عَنْ مِسْمَعِ بْنِ عَبْدِ الْمَلِكِ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لَمَّا بَعَثَ رَسُولُ اللهِ </w:t>
      </w:r>
      <w:r w:rsidR="005E465D" w:rsidRPr="005E465D">
        <w:rPr>
          <w:rStyle w:val="libAlaemChar"/>
          <w:rtl/>
        </w:rPr>
        <w:t>صلى‌الله‌عليه‌وآله</w:t>
      </w:r>
      <w:r w:rsidR="00D10E3C">
        <w:rPr>
          <w:rtl/>
          <w:lang w:bidi="fa-IR"/>
        </w:rPr>
        <w:t xml:space="preserve"> </w:t>
      </w:r>
      <w:r>
        <w:rPr>
          <w:rtl/>
          <w:lang w:bidi="fa-IR"/>
        </w:rPr>
        <w:t xml:space="preserve">بِبَرَاءَةَ مَعَ عَلِيٍّ </w:t>
      </w:r>
      <w:r w:rsidR="0061079A" w:rsidRPr="0061079A">
        <w:rPr>
          <w:rStyle w:val="libAlaemChar"/>
          <w:rtl/>
        </w:rPr>
        <w:t>عليه‌السلام</w:t>
      </w:r>
      <w:r w:rsidR="00D10E3C">
        <w:rPr>
          <w:rtl/>
          <w:lang w:bidi="fa-IR"/>
        </w:rPr>
        <w:t xml:space="preserve"> </w:t>
      </w:r>
      <w:r>
        <w:rPr>
          <w:rtl/>
          <w:lang w:bidi="fa-IR"/>
        </w:rPr>
        <w:t xml:space="preserve">، بَعَثَ مَعَهُ أُنَاساً ، وَقَالَ رَسُولُ اللهِ </w:t>
      </w:r>
      <w:r w:rsidR="00AE01C7" w:rsidRPr="00AE01C7">
        <w:rPr>
          <w:rStyle w:val="libFootnoteAlaemChar"/>
          <w:rtl/>
        </w:rPr>
        <w:t>صلى‌الله‌عليه‌وآله</w:t>
      </w:r>
      <w:r w:rsidR="00D10E3C">
        <w:rPr>
          <w:rtl/>
          <w:lang w:bidi="fa-IR"/>
        </w:rPr>
        <w:t xml:space="preserve"> </w:t>
      </w:r>
      <w:r w:rsidRPr="00D10E3C">
        <w:rPr>
          <w:rStyle w:val="libFootnotenumChar"/>
          <w:rtl/>
        </w:rPr>
        <w:t>(5)</w:t>
      </w:r>
      <w:r>
        <w:rPr>
          <w:rtl/>
          <w:lang w:bidi="fa-IR"/>
        </w:rPr>
        <w:t xml:space="preserve"> : مَنِ اسْتَأْسَرَ </w:t>
      </w:r>
      <w:r w:rsidRPr="00D10E3C">
        <w:rPr>
          <w:rStyle w:val="libFootnotenumChar"/>
          <w:rtl/>
        </w:rPr>
        <w:t>(6)</w:t>
      </w:r>
      <w:r>
        <w:rPr>
          <w:rtl/>
          <w:lang w:bidi="fa-IR"/>
        </w:rPr>
        <w:t xml:space="preserve"> مِنْ غَيْرِ جِرَاحَةٍ مُثْقِلَةٍ ، فَلَيْسَ مِنَّا ». </w:t>
      </w:r>
      <w:r w:rsidRPr="00D10E3C">
        <w:rPr>
          <w:rStyle w:val="libFootnotenumChar"/>
          <w:rtl/>
        </w:rPr>
        <w:t>(7)</w:t>
      </w:r>
    </w:p>
    <w:p w:rsidR="00144FA6" w:rsidRDefault="00744A1C" w:rsidP="00744A1C">
      <w:pPr>
        <w:pStyle w:val="libNormal"/>
        <w:rPr>
          <w:rtl/>
          <w:lang w:bidi="fa-IR"/>
        </w:rPr>
      </w:pPr>
      <w:r>
        <w:rPr>
          <w:rtl/>
          <w:lang w:bidi="fa-IR"/>
        </w:rPr>
        <w:t>8251 / 3.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 أَنَّ أَمِيرَ الْمُؤْمِنِينَ </w:t>
      </w:r>
      <w:r w:rsidR="0061079A" w:rsidRPr="0061079A">
        <w:rPr>
          <w:rStyle w:val="libAlaemChar"/>
          <w:rtl/>
        </w:rPr>
        <w:t>عليه‌السلام</w:t>
      </w:r>
      <w:r w:rsidR="00D10E3C">
        <w:rPr>
          <w:rtl/>
          <w:lang w:bidi="fa-IR"/>
        </w:rPr>
        <w:t xml:space="preserve"> </w:t>
      </w:r>
      <w:r>
        <w:rPr>
          <w:rtl/>
          <w:lang w:bidi="fa-IR"/>
        </w:rPr>
        <w:t xml:space="preserve">، قَالَ : مَنِ اسْتَأْسَرَ مِنْ غَيْرِ جِرَاحَةٍ مُثْقِلَةٍ </w:t>
      </w:r>
      <w:r w:rsidRPr="00D10E3C">
        <w:rPr>
          <w:rStyle w:val="libFootnotenumChar"/>
          <w:rtl/>
        </w:rPr>
        <w:t>(8)</w:t>
      </w:r>
      <w:r>
        <w:rPr>
          <w:rtl/>
          <w:lang w:bidi="fa-IR"/>
        </w:rPr>
        <w:t xml:space="preserve"> ، فَلَا يُفْدى مِنْ بَيْتِ الْمَالِ </w:t>
      </w:r>
      <w:r w:rsidRPr="00D10E3C">
        <w:rPr>
          <w:rStyle w:val="libFootnotenumChar"/>
          <w:rtl/>
        </w:rPr>
        <w:t>(9)</w:t>
      </w:r>
      <w:r>
        <w:rPr>
          <w:rtl/>
          <w:lang w:bidi="fa-IR"/>
        </w:rPr>
        <w:t xml:space="preserve"> ، وَلكِنْ </w:t>
      </w:r>
      <w:r w:rsidRPr="00D10E3C">
        <w:rPr>
          <w:rStyle w:val="libFootnotenumChar"/>
          <w:rtl/>
        </w:rPr>
        <w:t>(10)</w:t>
      </w:r>
      <w:r>
        <w:rPr>
          <w:rtl/>
          <w:lang w:bidi="fa-IR"/>
        </w:rPr>
        <w:t xml:space="preserve"> يُفْدى مِنْ مَالِهِ إِنْ أَحَبَّ أَهْلُهُ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B71E5C">
      <w:pPr>
        <w:pStyle w:val="libFootnote0"/>
        <w:rPr>
          <w:lang w:bidi="fa-IR"/>
        </w:rPr>
      </w:pPr>
      <w:r>
        <w:rPr>
          <w:rtl/>
          <w:lang w:bidi="fa-IR"/>
        </w:rPr>
        <w:t>(1).</w:t>
      </w:r>
      <w:r w:rsidR="00744A1C">
        <w:rPr>
          <w:rtl/>
          <w:lang w:bidi="fa-IR"/>
        </w:rPr>
        <w:t xml:space="preserve"> أي فرّ من الجهاد ولقاء العدوّ في الحرب. والزَحْف : الجيش يزحفون إلى العدوّ ، أي يمشون. </w:t>
      </w:r>
      <w:r w:rsidR="00744A1C" w:rsidRPr="00877682">
        <w:rPr>
          <w:rStyle w:val="libFootnoteBoldChar"/>
          <w:rtl/>
        </w:rPr>
        <w:t>النهاية</w:t>
      </w:r>
      <w:r w:rsidR="00744A1C">
        <w:rPr>
          <w:rtl/>
          <w:lang w:bidi="fa-IR"/>
        </w:rPr>
        <w:t xml:space="preserve"> ، ج 2 ، ص 297 ( زحف ).</w:t>
      </w:r>
      <w:r w:rsidR="00B71E5C">
        <w:rPr>
          <w:rFonts w:hint="cs"/>
          <w:rtl/>
          <w:lang w:bidi="fa-IR"/>
        </w:rPr>
        <w:t xml:space="preserve">                        </w:t>
      </w:r>
      <w:r w:rsidR="00E378DD">
        <w:rPr>
          <w:rtl/>
          <w:lang w:bidi="fa-IR"/>
        </w:rPr>
        <w:t>(2).</w:t>
      </w:r>
      <w:r w:rsidR="00744A1C">
        <w:rPr>
          <w:rtl/>
          <w:lang w:bidi="fa-IR"/>
        </w:rPr>
        <w:t xml:space="preserve"> في « جن » </w:t>
      </w:r>
      <w:r w:rsidR="00744A1C" w:rsidRPr="00B71E5C">
        <w:rPr>
          <w:rtl/>
        </w:rPr>
        <w:t>والوسائل</w:t>
      </w:r>
      <w:r w:rsidR="00744A1C">
        <w:rPr>
          <w:rtl/>
          <w:lang w:bidi="fa-IR"/>
        </w:rPr>
        <w:t xml:space="preserve"> : - « من الزحف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18 ، ص 362 : « يدلّ على جواز الفرار إذا كان العدوّ أكثر من الضِّعف ، وعدمه إذا كان ضِعْفاً أو أقلّ ، كما هو المذهب ، وعلى عدم الفرق بين الجماعات والآحاد ». وراجع أيضاً : </w:t>
      </w:r>
      <w:r w:rsidR="00744A1C" w:rsidRPr="00877682">
        <w:rPr>
          <w:rStyle w:val="libFootnoteBoldChar"/>
          <w:rtl/>
        </w:rPr>
        <w:t>مختلف الشيعة</w:t>
      </w:r>
      <w:r w:rsidR="00744A1C">
        <w:rPr>
          <w:rtl/>
          <w:lang w:bidi="fa-IR"/>
        </w:rPr>
        <w:t xml:space="preserve"> ، ج 4 ، ص 389 ؛ </w:t>
      </w:r>
      <w:r w:rsidR="00744A1C" w:rsidRPr="00877682">
        <w:rPr>
          <w:rStyle w:val="libFootnoteBoldChar"/>
          <w:rtl/>
        </w:rPr>
        <w:t>مسالك الأفهام</w:t>
      </w:r>
      <w:r w:rsidR="00744A1C">
        <w:rPr>
          <w:rtl/>
          <w:lang w:bidi="fa-IR"/>
        </w:rPr>
        <w:t xml:space="preserve"> ، ج 3 ، ص 25.</w:t>
      </w:r>
    </w:p>
    <w:p w:rsidR="00744A1C" w:rsidRDefault="00E378DD" w:rsidP="00B71E5C">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174 ، ح 342 ، معلّقاً عن أحمد بن محمّد ، عن الحسن بن محبوب. </w:t>
      </w:r>
      <w:r w:rsidR="00744A1C" w:rsidRPr="00A914B5">
        <w:rPr>
          <w:rStyle w:val="libFootnoteBoldChar"/>
          <w:rtl/>
        </w:rPr>
        <w:t>تفسير العيّاشي</w:t>
      </w:r>
      <w:r w:rsidR="00744A1C">
        <w:rPr>
          <w:rtl/>
          <w:lang w:bidi="fa-IR"/>
        </w:rPr>
        <w:t xml:space="preserve"> ، ج 2 ، ص 68 ، ح 78 ، عن حسين بن صالح ، عن أبي عبد الله ، عن عليّ </w:t>
      </w:r>
      <w:r w:rsidR="00F112A7" w:rsidRPr="00CE5A92">
        <w:rPr>
          <w:rStyle w:val="libFootnoteAlaemChar"/>
          <w:rtl/>
        </w:rPr>
        <w:t>عليهما‌السلام</w:t>
      </w:r>
      <w:r w:rsidR="00744A1C">
        <w:rPr>
          <w:rtl/>
          <w:lang w:bidi="fa-IR"/>
        </w:rPr>
        <w:t xml:space="preserve">. </w:t>
      </w:r>
      <w:r w:rsidR="00744A1C" w:rsidRPr="00610FB4">
        <w:rPr>
          <w:rStyle w:val="libFootnoteBoldChar"/>
          <w:rtl/>
        </w:rPr>
        <w:t>تفسير القمّي</w:t>
      </w:r>
      <w:r w:rsidR="00744A1C">
        <w:rPr>
          <w:rtl/>
          <w:lang w:bidi="fa-IR"/>
        </w:rPr>
        <w:t xml:space="preserve"> ، ج 1 ، ص 279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مع اختلاف يسير </w:t>
      </w:r>
      <w:r w:rsidR="00B71E5C">
        <w:rPr>
          <w:rFonts w:hint="cs"/>
          <w:rtl/>
          <w:lang w:bidi="fa-IR"/>
        </w:rPr>
        <w:t>.</w:t>
      </w:r>
      <w:r w:rsidR="00744A1C" w:rsidRPr="00C24F9C">
        <w:rPr>
          <w:rStyle w:val="libFootnoteBoldChar"/>
          <w:rtl/>
        </w:rPr>
        <w:t>الوافي</w:t>
      </w:r>
      <w:r w:rsidR="00744A1C">
        <w:rPr>
          <w:rtl/>
          <w:lang w:bidi="fa-IR"/>
        </w:rPr>
        <w:t xml:space="preserve"> ، ج 15 ، ص 121 ، ح 14771 ؛ </w:t>
      </w:r>
      <w:r w:rsidR="00744A1C" w:rsidRPr="00C24F9C">
        <w:rPr>
          <w:rStyle w:val="libFootnoteBoldChar"/>
          <w:rtl/>
        </w:rPr>
        <w:t>الوسائل</w:t>
      </w:r>
      <w:r w:rsidR="00744A1C">
        <w:rPr>
          <w:rtl/>
          <w:lang w:bidi="fa-IR"/>
        </w:rPr>
        <w:t xml:space="preserve"> ، ج 15 ، ص 84 ، ح 20036.</w:t>
      </w:r>
      <w:r w:rsidR="00B71E5C">
        <w:rPr>
          <w:rFonts w:hint="cs"/>
          <w:rtl/>
          <w:lang w:bidi="fa-IR"/>
        </w:rPr>
        <w:t xml:space="preserve">   </w:t>
      </w:r>
      <w:r>
        <w:rPr>
          <w:rtl/>
          <w:lang w:bidi="fa-IR"/>
        </w:rPr>
        <w:t>(5).</w:t>
      </w:r>
      <w:r w:rsidR="00744A1C">
        <w:rPr>
          <w:rtl/>
          <w:lang w:bidi="fa-IR"/>
        </w:rPr>
        <w:t xml:space="preserve"> في </w:t>
      </w:r>
      <w:r w:rsidR="00744A1C" w:rsidRPr="00B71E5C">
        <w:rPr>
          <w:rtl/>
        </w:rPr>
        <w:t>الوسائل</w:t>
      </w:r>
      <w:r w:rsidR="00744A1C">
        <w:rPr>
          <w:rtl/>
          <w:lang w:bidi="fa-IR"/>
        </w:rPr>
        <w:t xml:space="preserve"> : - « رسول الله </w:t>
      </w:r>
      <w:r w:rsidR="00E45E68" w:rsidRPr="00E45E68">
        <w:rPr>
          <w:rStyle w:val="libAlaemChar"/>
          <w:rtl/>
        </w:rPr>
        <w:t>صلى‌الله‌عليه‌وآله</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أي صار أسيراً ؛ قال الجوهري : « تقول : استأسِرْ : أي كُن أسيراً لي ». وقال المطرزي : « استأسر الرجل للعدوّ ، إذا أعطى بيده وانقاد ، وهو لازم ، </w:t>
      </w:r>
      <w:r w:rsidR="00B71E5C">
        <w:rPr>
          <w:rtl/>
          <w:lang w:bidi="fa-IR"/>
        </w:rPr>
        <w:t>كماترى ، ولم نسمعه متعدّياً إل</w:t>
      </w:r>
      <w:r w:rsidR="00B71E5C">
        <w:rPr>
          <w:rFonts w:hint="cs"/>
          <w:rtl/>
          <w:lang w:bidi="fa-IR"/>
        </w:rPr>
        <w:t>ّ</w:t>
      </w:r>
      <w:r w:rsidR="00B71E5C">
        <w:rPr>
          <w:rtl/>
          <w:lang w:bidi="fa-IR"/>
        </w:rPr>
        <w:t>ا</w:t>
      </w:r>
      <w:r w:rsidR="00B71E5C">
        <w:rPr>
          <w:rFonts w:hint="cs"/>
          <w:rtl/>
          <w:lang w:bidi="fa-IR"/>
        </w:rPr>
        <w:t xml:space="preserve"> </w:t>
      </w:r>
      <w:r w:rsidR="00744A1C">
        <w:rPr>
          <w:rtl/>
          <w:lang w:bidi="fa-IR"/>
        </w:rPr>
        <w:t xml:space="preserve">في حديث عبد الرحمان وصفوان أنّهما استأسرا المرأتين اللتين كانتا عندهما من هوازن ». </w:t>
      </w:r>
      <w:r w:rsidR="00744A1C" w:rsidRPr="00E978C3">
        <w:rPr>
          <w:rStyle w:val="libFootnoteBoldChar"/>
          <w:rtl/>
        </w:rPr>
        <w:t>الصحاح</w:t>
      </w:r>
      <w:r w:rsidR="00744A1C">
        <w:rPr>
          <w:rtl/>
          <w:lang w:bidi="fa-IR"/>
        </w:rPr>
        <w:t xml:space="preserve"> ، ج 2 ، ص 578 ؛ المغرب ، ص 25 ( أسر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172 ، ح 333 ؛ </w:t>
      </w:r>
      <w:r w:rsidR="00744A1C" w:rsidRPr="00877682">
        <w:rPr>
          <w:rStyle w:val="libFootnoteBoldChar"/>
          <w:rtl/>
        </w:rPr>
        <w:t>الجعفريّات</w:t>
      </w:r>
      <w:r w:rsidR="00744A1C">
        <w:rPr>
          <w:rtl/>
          <w:lang w:bidi="fa-IR"/>
        </w:rPr>
        <w:t xml:space="preserve"> ، ص 78 ، بسند آخر ، عن جعفر ، عن أبيه ، عن آبائه </w:t>
      </w:r>
      <w:r w:rsidR="00877682" w:rsidRPr="00877682">
        <w:rPr>
          <w:rStyle w:val="libFootnoteAlaemChar"/>
          <w:rtl/>
        </w:rPr>
        <w:t>عليهم‌السلام</w:t>
      </w:r>
      <w:r w:rsidR="00D10E3C">
        <w:rPr>
          <w:rtl/>
          <w:lang w:bidi="fa-IR"/>
        </w:rPr>
        <w:t xml:space="preserve"> </w:t>
      </w:r>
      <w:r w:rsidR="00B71E5C">
        <w:rPr>
          <w:rFonts w:hint="cs"/>
          <w:rtl/>
          <w:lang w:bidi="fa-IR"/>
        </w:rPr>
        <w:t>.</w:t>
      </w:r>
      <w:r w:rsidR="00744A1C" w:rsidRPr="00C24F9C">
        <w:rPr>
          <w:rStyle w:val="libFootnoteBoldChar"/>
          <w:rtl/>
        </w:rPr>
        <w:t>الوافي</w:t>
      </w:r>
      <w:r w:rsidR="00744A1C">
        <w:rPr>
          <w:rtl/>
          <w:lang w:bidi="fa-IR"/>
        </w:rPr>
        <w:t xml:space="preserve"> ، ج 15 ، ص 121 ، ح 14772 ؛ </w:t>
      </w:r>
      <w:r w:rsidR="00744A1C" w:rsidRPr="00C24F9C">
        <w:rPr>
          <w:rStyle w:val="libFootnoteBoldChar"/>
          <w:rtl/>
        </w:rPr>
        <w:t>الوسائل</w:t>
      </w:r>
      <w:r w:rsidR="00744A1C">
        <w:rPr>
          <w:rtl/>
          <w:lang w:bidi="fa-IR"/>
        </w:rPr>
        <w:t xml:space="preserve"> ، ج 15 ، ص 86 ، ح 20039.</w:t>
      </w:r>
    </w:p>
    <w:p w:rsidR="00744A1C" w:rsidRDefault="00E378DD" w:rsidP="00E378DD">
      <w:pPr>
        <w:pStyle w:val="libFootnote0"/>
        <w:rPr>
          <w:lang w:bidi="fa-IR"/>
        </w:rPr>
      </w:pPr>
      <w:r>
        <w:rPr>
          <w:rtl/>
          <w:lang w:bidi="fa-IR"/>
        </w:rPr>
        <w:t>(8).</w:t>
      </w:r>
      <w:r w:rsidR="00744A1C">
        <w:rPr>
          <w:rtl/>
          <w:lang w:bidi="fa-IR"/>
        </w:rPr>
        <w:t xml:space="preserve"> في </w:t>
      </w:r>
      <w:r w:rsidR="00744A1C" w:rsidRPr="00877682">
        <w:rPr>
          <w:rStyle w:val="libFootnoteBoldChar"/>
          <w:rtl/>
        </w:rPr>
        <w:t>الجعفريّات</w:t>
      </w:r>
      <w:r w:rsidR="00744A1C">
        <w:rPr>
          <w:rtl/>
          <w:lang w:bidi="fa-IR"/>
        </w:rPr>
        <w:t xml:space="preserve"> : « أن يغلب » بدل « جراحة مثقلة ».</w:t>
      </w:r>
    </w:p>
    <w:tbl>
      <w:tblPr>
        <w:tblStyle w:val="TableGrid"/>
        <w:bidiVisual/>
        <w:tblW w:w="0" w:type="auto"/>
        <w:tblLook w:val="04A0" w:firstRow="1" w:lastRow="0" w:firstColumn="1" w:lastColumn="0" w:noHBand="0" w:noVBand="1"/>
      </w:tblPr>
      <w:tblGrid>
        <w:gridCol w:w="4006"/>
        <w:gridCol w:w="4006"/>
      </w:tblGrid>
      <w:tr w:rsidR="00B71E5C" w:rsidTr="00B71E5C">
        <w:tc>
          <w:tcPr>
            <w:tcW w:w="4006" w:type="dxa"/>
          </w:tcPr>
          <w:p w:rsidR="00B71E5C" w:rsidRDefault="00B71E5C" w:rsidP="00E378DD">
            <w:pPr>
              <w:pStyle w:val="libFootnote0"/>
              <w:rPr>
                <w:rtl/>
                <w:lang w:bidi="fa-IR"/>
              </w:rPr>
            </w:pPr>
            <w:r>
              <w:rPr>
                <w:rtl/>
                <w:lang w:bidi="fa-IR"/>
              </w:rPr>
              <w:t>(9). في « بث » : - « من بيت المال ».</w:t>
            </w:r>
          </w:p>
        </w:tc>
        <w:tc>
          <w:tcPr>
            <w:tcW w:w="4006" w:type="dxa"/>
          </w:tcPr>
          <w:p w:rsidR="00B71E5C" w:rsidRDefault="00B71E5C" w:rsidP="00E378DD">
            <w:pPr>
              <w:pStyle w:val="libFootnote0"/>
              <w:rPr>
                <w:rtl/>
                <w:lang w:bidi="fa-IR"/>
              </w:rPr>
            </w:pPr>
            <w:r>
              <w:rPr>
                <w:rtl/>
                <w:lang w:bidi="fa-IR"/>
              </w:rPr>
              <w:t>(10). في « بح » : « لكن » بدون الواو.</w:t>
            </w:r>
          </w:p>
        </w:tc>
      </w:tr>
    </w:tbl>
    <w:p w:rsidR="00144FA6" w:rsidRDefault="00E378DD" w:rsidP="00E378DD">
      <w:pPr>
        <w:pStyle w:val="libFootnote0"/>
        <w:rPr>
          <w:rtl/>
          <w:lang w:bidi="fa-IR"/>
        </w:rPr>
      </w:pPr>
      <w:r>
        <w:rPr>
          <w:rtl/>
          <w:lang w:bidi="fa-IR"/>
        </w:rPr>
        <w:t>(11).</w:t>
      </w:r>
      <w:r w:rsidR="00744A1C">
        <w:rPr>
          <w:rtl/>
          <w:lang w:bidi="fa-IR"/>
        </w:rPr>
        <w:t xml:space="preserve"> </w:t>
      </w:r>
      <w:r w:rsidR="00744A1C" w:rsidRPr="00877682">
        <w:rPr>
          <w:rStyle w:val="libFootnoteBoldChar"/>
          <w:rtl/>
        </w:rPr>
        <w:t>الجعفريّات</w:t>
      </w:r>
      <w:r w:rsidR="00744A1C">
        <w:rPr>
          <w:rtl/>
          <w:lang w:bidi="fa-IR"/>
        </w:rPr>
        <w:t xml:space="preserve"> ، ص 79 ، بسند آخر عن جعفر بن محمّد ، عن آبائه ، عن أمير المؤمنين </w:t>
      </w:r>
      <w:r w:rsidR="00877682" w:rsidRPr="00877682">
        <w:rPr>
          <w:rStyle w:val="libFootnoteAlaemChar"/>
          <w:rtl/>
        </w:rPr>
        <w:t>عليهم‌السلام</w:t>
      </w:r>
      <w:r w:rsidR="00D10E3C">
        <w:rPr>
          <w:rtl/>
          <w:lang w:bidi="fa-IR"/>
        </w:rPr>
        <w:t xml:space="preserve"> </w:t>
      </w:r>
      <w:r w:rsidR="00B71E5C">
        <w:rPr>
          <w:rFonts w:hint="cs"/>
          <w:rtl/>
          <w:lang w:bidi="fa-IR"/>
        </w:rPr>
        <w:t>.</w:t>
      </w:r>
      <w:r w:rsidR="00744A1C" w:rsidRPr="00C24F9C">
        <w:rPr>
          <w:rStyle w:val="libFootnoteBoldChar"/>
          <w:rtl/>
        </w:rPr>
        <w:t>الوافي</w:t>
      </w:r>
      <w:r w:rsidR="00B71E5C">
        <w:rPr>
          <w:rtl/>
          <w:lang w:bidi="fa-IR"/>
        </w:rPr>
        <w:t xml:space="preserve"> ، ج 15</w:t>
      </w:r>
      <w:r w:rsidR="00744A1C">
        <w:rPr>
          <w:rtl/>
          <w:lang w:bidi="fa-IR"/>
        </w:rPr>
        <w:t>،</w:t>
      </w:r>
      <w:r w:rsidR="00B71E5C">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B71E5C">
      <w:pPr>
        <w:pStyle w:val="Heading2Center"/>
        <w:rPr>
          <w:lang w:bidi="fa-IR"/>
        </w:rPr>
      </w:pPr>
      <w:bookmarkStart w:id="100" w:name="_Toc49261398"/>
      <w:r>
        <w:rPr>
          <w:rtl/>
          <w:lang w:bidi="fa-IR"/>
        </w:rPr>
        <w:t>12 - بَابُ طَلَبِ الْمُبَارَزَةِ‌</w:t>
      </w:r>
      <w:bookmarkEnd w:id="100"/>
    </w:p>
    <w:p w:rsidR="00144FA6" w:rsidRDefault="00744A1C" w:rsidP="00744A1C">
      <w:pPr>
        <w:pStyle w:val="libNormal"/>
        <w:rPr>
          <w:rtl/>
          <w:lang w:bidi="fa-IR"/>
        </w:rPr>
      </w:pPr>
      <w:r>
        <w:rPr>
          <w:rtl/>
          <w:lang w:bidi="fa-IR"/>
        </w:rPr>
        <w:t>8252 / 1. حُمَيْدُ بْنُ زِيَادٍ ، عَنِ الْخَشَّابِ ، عَنِ ابْنِ بَقَّاحٍ ، عَنْ مُعَاذِ بْنِ ثَابِتٍ ، عَنْ عَمْرِو بْنِ جُمَيْعٍ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سُئِلَ عَنِ الْمُبَارَزَةِ بَيْنَ الصَّفَّيْنِ بَعْدَ </w:t>
      </w:r>
      <w:r w:rsidRPr="00D10E3C">
        <w:rPr>
          <w:rStyle w:val="libFootnotenumChar"/>
          <w:rtl/>
        </w:rPr>
        <w:t>(1)</w:t>
      </w:r>
      <w:r>
        <w:rPr>
          <w:rtl/>
          <w:lang w:bidi="fa-IR"/>
        </w:rPr>
        <w:t xml:space="preserve"> إِذْنِ الْإِمَامِ </w:t>
      </w:r>
      <w:r w:rsidR="0061079A" w:rsidRPr="0061079A">
        <w:rPr>
          <w:rStyle w:val="libAlaemChar"/>
          <w:rtl/>
        </w:rPr>
        <w:t>عليه‌السلام</w:t>
      </w:r>
      <w:r>
        <w:rPr>
          <w:rtl/>
          <w:lang w:bidi="fa-IR"/>
        </w:rPr>
        <w:t xml:space="preserve"> ؟</w:t>
      </w:r>
    </w:p>
    <w:p w:rsidR="00144FA6" w:rsidRDefault="00744A1C" w:rsidP="00744A1C">
      <w:pPr>
        <w:pStyle w:val="libNormal"/>
        <w:rPr>
          <w:rtl/>
          <w:lang w:bidi="fa-IR"/>
        </w:rPr>
      </w:pPr>
      <w:r>
        <w:rPr>
          <w:rtl/>
          <w:lang w:bidi="fa-IR"/>
        </w:rPr>
        <w:t xml:space="preserve">قَالَ </w:t>
      </w:r>
      <w:r w:rsidRPr="00D10E3C">
        <w:rPr>
          <w:rStyle w:val="libFootnotenumChar"/>
          <w:rtl/>
        </w:rPr>
        <w:t>(2)</w:t>
      </w:r>
      <w:r>
        <w:rPr>
          <w:rtl/>
          <w:lang w:bidi="fa-IR"/>
        </w:rPr>
        <w:t xml:space="preserve"> : « لَا بَأ</w:t>
      </w:r>
      <w:r w:rsidR="00B71E5C">
        <w:rPr>
          <w:rtl/>
          <w:lang w:bidi="fa-IR"/>
        </w:rPr>
        <w:t>ْسَ ، وَلكِنْ لَايُطْلَبُ إِل</w:t>
      </w:r>
      <w:r w:rsidR="00B71E5C">
        <w:rPr>
          <w:rFonts w:hint="cs"/>
          <w:rtl/>
          <w:lang w:bidi="fa-IR"/>
        </w:rPr>
        <w:t>َّ</w:t>
      </w:r>
      <w:r w:rsidR="00B71E5C">
        <w:rPr>
          <w:rtl/>
          <w:lang w:bidi="fa-IR"/>
        </w:rPr>
        <w:t>ا</w:t>
      </w:r>
      <w:r>
        <w:rPr>
          <w:rtl/>
          <w:lang w:bidi="fa-IR"/>
        </w:rPr>
        <w:t xml:space="preserve"> بِإِذْنِ الْإِمَامِ ». </w:t>
      </w:r>
      <w:r w:rsidRPr="00D10E3C">
        <w:rPr>
          <w:rStyle w:val="libFootnotenumChar"/>
          <w:rtl/>
        </w:rPr>
        <w:t>(3)</w:t>
      </w:r>
    </w:p>
    <w:p w:rsidR="00144FA6" w:rsidRDefault="00744A1C" w:rsidP="00744A1C">
      <w:pPr>
        <w:pStyle w:val="libNormal"/>
        <w:rPr>
          <w:rtl/>
          <w:lang w:bidi="fa-IR"/>
        </w:rPr>
      </w:pPr>
      <w:r>
        <w:rPr>
          <w:rtl/>
          <w:lang w:bidi="fa-IR"/>
        </w:rPr>
        <w:t>8253 / 2. عِدَّةٌ مِنْ أَصْحَابِنَا ، عَنْ سَهْلِ بْنِ زِيَادٍ ، عَنْ جَعْفَرِ بْنِ مُحَمَّدٍ الْأَشْعَرِيِّ ، عَنِ ابْنِ الْقَدَّاحِ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دَعَا </w:t>
      </w:r>
      <w:r w:rsidRPr="00D10E3C">
        <w:rPr>
          <w:rStyle w:val="libFootnotenumChar"/>
          <w:rtl/>
        </w:rPr>
        <w:t>(4)</w:t>
      </w:r>
      <w:r>
        <w:rPr>
          <w:rtl/>
          <w:lang w:bidi="fa-IR"/>
        </w:rPr>
        <w:t xml:space="preserve"> رَجُلٌ بَعْضَ </w:t>
      </w:r>
      <w:r w:rsidRPr="00D10E3C">
        <w:rPr>
          <w:rStyle w:val="libFootnotenumChar"/>
          <w:rtl/>
        </w:rPr>
        <w:t>(5)</w:t>
      </w:r>
      <w:r>
        <w:rPr>
          <w:rtl/>
          <w:lang w:bidi="fa-IR"/>
        </w:rPr>
        <w:t xml:space="preserve"> بَنِي هَاشِمٍ إِلَى الْبِرَازِ </w:t>
      </w:r>
      <w:r w:rsidRPr="00D10E3C">
        <w:rPr>
          <w:rStyle w:val="libFootnotenumChar"/>
          <w:rtl/>
        </w:rPr>
        <w:t>(6)</w:t>
      </w:r>
      <w:r>
        <w:rPr>
          <w:rtl/>
          <w:lang w:bidi="fa-IR"/>
        </w:rPr>
        <w:t xml:space="preserve"> ، فَأَبى أَنْ يُبَارِزَهُ ، فَقَالَ لَهُ أَمِيرُ الْمُؤْمِنِينَ </w:t>
      </w:r>
      <w:r w:rsidR="0061079A" w:rsidRPr="0061079A">
        <w:rPr>
          <w:rStyle w:val="libAlaemChar"/>
          <w:rtl/>
        </w:rPr>
        <w:t>عليه‌السلام</w:t>
      </w:r>
      <w:r w:rsidR="00D10E3C">
        <w:rPr>
          <w:rtl/>
          <w:lang w:bidi="fa-IR"/>
        </w:rPr>
        <w:t xml:space="preserve"> </w:t>
      </w:r>
      <w:r>
        <w:rPr>
          <w:rtl/>
          <w:lang w:bidi="fa-IR"/>
        </w:rPr>
        <w:t xml:space="preserve">: مَا مَنَعَكَ </w:t>
      </w:r>
      <w:r w:rsidRPr="00D10E3C">
        <w:rPr>
          <w:rStyle w:val="libFootnotenumChar"/>
          <w:rtl/>
        </w:rPr>
        <w:t>(7)</w:t>
      </w:r>
      <w:r>
        <w:rPr>
          <w:rtl/>
          <w:lang w:bidi="fa-IR"/>
        </w:rPr>
        <w:t xml:space="preserve"> أَنْ تُبَارِزَهُ؟ قَالَ </w:t>
      </w:r>
      <w:r w:rsidRPr="00D10E3C">
        <w:rPr>
          <w:rStyle w:val="libFootnotenumChar"/>
          <w:rtl/>
        </w:rPr>
        <w:t>(8)</w:t>
      </w:r>
      <w:r>
        <w:rPr>
          <w:rtl/>
          <w:lang w:bidi="fa-IR"/>
        </w:rPr>
        <w:t xml:space="preserve"> : كَانَ فَارِسَ الْعَرَبِ ، وَخَشِيتُ أَنْ يَغْلِبَنِي </w:t>
      </w:r>
      <w:r w:rsidRPr="00D10E3C">
        <w:rPr>
          <w:rStyle w:val="libFootnotenumChar"/>
          <w:rtl/>
        </w:rPr>
        <w:t>(9)</w:t>
      </w:r>
      <w:r>
        <w:rPr>
          <w:rtl/>
          <w:lang w:bidi="fa-IR"/>
        </w:rPr>
        <w:t xml:space="preserve"> ، فَقَالَ لَهُ أَمِيرُ الْمُؤْمِنِينَ صَلَوَاتُ اللهِ عَلَيْهِ : فَإِنَّهُ بَغى عَلَيْكَ ، وَلَوْ بَارَزْتَهُ لَغَلَبْتَهُ </w:t>
      </w:r>
      <w:r w:rsidRPr="00D10E3C">
        <w:rPr>
          <w:rStyle w:val="libFootnotenumChar"/>
          <w:rtl/>
        </w:rPr>
        <w:t>(10)</w:t>
      </w:r>
      <w:r>
        <w:rPr>
          <w:rtl/>
          <w:lang w:bidi="fa-IR"/>
        </w:rPr>
        <w:t xml:space="preserve"> ، وَلَوْ بَغى جَبَلٌ عَلى جَبَلٍ لَهُدَّ </w:t>
      </w:r>
      <w:r w:rsidRPr="00D10E3C">
        <w:rPr>
          <w:rStyle w:val="libFootnotenumChar"/>
          <w:rtl/>
        </w:rPr>
        <w:t>(11)</w:t>
      </w:r>
      <w:r>
        <w:rPr>
          <w:rtl/>
          <w:lang w:bidi="fa-IR"/>
        </w:rPr>
        <w:t xml:space="preserve"> الْبَاغِي ».</w:t>
      </w:r>
    </w:p>
    <w:p w:rsidR="00744A1C" w:rsidRDefault="00744A1C" w:rsidP="00744A1C">
      <w:pPr>
        <w:pStyle w:val="libNormal"/>
        <w:rPr>
          <w:lang w:bidi="fa-IR"/>
        </w:rPr>
      </w:pPr>
      <w:r>
        <w:rPr>
          <w:rtl/>
          <w:lang w:bidi="fa-IR"/>
        </w:rPr>
        <w:t xml:space="preserve">وَقَالَ أَبُو عَبْدِ اللهِ </w:t>
      </w:r>
      <w:r w:rsidR="0061079A" w:rsidRPr="0061079A">
        <w:rPr>
          <w:rStyle w:val="libAlaemChar"/>
          <w:rtl/>
        </w:rPr>
        <w:t>عليه‌السلام</w:t>
      </w:r>
      <w:r w:rsidR="00D10E3C">
        <w:rPr>
          <w:rtl/>
          <w:lang w:bidi="fa-IR"/>
        </w:rPr>
        <w:t xml:space="preserve"> </w:t>
      </w:r>
      <w:r>
        <w:rPr>
          <w:rtl/>
          <w:lang w:bidi="fa-IR"/>
        </w:rPr>
        <w:t xml:space="preserve">: « إِنَّ الْحُسَيْنَ بْنَ عَلِيٍّ </w:t>
      </w:r>
      <w:r w:rsidRPr="00D10E3C">
        <w:rPr>
          <w:rStyle w:val="libFootnotenumChar"/>
          <w:rtl/>
        </w:rPr>
        <w:t>(12)</w:t>
      </w:r>
      <w:r>
        <w:rPr>
          <w:rtl/>
          <w:lang w:bidi="fa-IR"/>
        </w:rPr>
        <w:t xml:space="preserve"> </w:t>
      </w:r>
      <w:r w:rsidR="008859AA" w:rsidRPr="008859AA">
        <w:rPr>
          <w:rStyle w:val="libAlaemChar"/>
          <w:rtl/>
        </w:rPr>
        <w:t>عليهما‌السلام</w:t>
      </w:r>
      <w:r>
        <w:rPr>
          <w:rtl/>
          <w:lang w:bidi="fa-IR"/>
        </w:rPr>
        <w:t xml:space="preserve">دَعَا رَجُلاً إِلَى الْمُبَارَزَةِ </w:t>
      </w:r>
      <w:r w:rsidRPr="00D10E3C">
        <w:rPr>
          <w:rStyle w:val="libFootnotenumChar"/>
          <w:rtl/>
        </w:rPr>
        <w:t>(13)</w:t>
      </w:r>
      <w:r>
        <w:rPr>
          <w:rtl/>
          <w:lang w:bidi="fa-IR"/>
        </w:rPr>
        <w:t xml:space="preserve"> ، فَعَلِمَ‌</w:t>
      </w:r>
    </w:p>
    <w:p w:rsidR="00744A1C" w:rsidRDefault="00744A1C" w:rsidP="00D10E3C">
      <w:pPr>
        <w:pStyle w:val="libLine"/>
        <w:rPr>
          <w:lang w:bidi="fa-IR"/>
        </w:rPr>
      </w:pPr>
      <w:r>
        <w:rPr>
          <w:rtl/>
          <w:lang w:bidi="fa-IR"/>
        </w:rPr>
        <w:t>____________________</w:t>
      </w:r>
    </w:p>
    <w:p w:rsidR="00744A1C" w:rsidRDefault="00B71E5C" w:rsidP="00D10E3C">
      <w:pPr>
        <w:pStyle w:val="libFootnote0"/>
        <w:rPr>
          <w:lang w:bidi="fa-IR"/>
        </w:rPr>
      </w:pPr>
      <w:r>
        <w:rPr>
          <w:rFonts w:hint="cs"/>
          <w:rtl/>
          <w:lang w:bidi="fa-IR"/>
        </w:rPr>
        <w:t xml:space="preserve">= </w:t>
      </w:r>
      <w:r w:rsidR="00744A1C">
        <w:rPr>
          <w:rtl/>
          <w:lang w:bidi="fa-IR"/>
        </w:rPr>
        <w:t xml:space="preserve">ص 121 ، ح 14773 ؛ </w:t>
      </w:r>
      <w:r w:rsidR="00744A1C" w:rsidRPr="00C24F9C">
        <w:rPr>
          <w:rStyle w:val="libFootnoteBoldChar"/>
          <w:rtl/>
        </w:rPr>
        <w:t>الوسائل</w:t>
      </w:r>
      <w:r w:rsidR="00744A1C">
        <w:rPr>
          <w:rtl/>
          <w:lang w:bidi="fa-IR"/>
        </w:rPr>
        <w:t xml:space="preserve"> ، ج 15 ، ص 86 ، ح 20040.</w:t>
      </w:r>
    </w:p>
    <w:p w:rsidR="00744A1C" w:rsidRDefault="00D10E3C" w:rsidP="00D10E3C">
      <w:pPr>
        <w:pStyle w:val="libFootnote0"/>
        <w:rPr>
          <w:lang w:bidi="fa-IR"/>
        </w:rPr>
      </w:pPr>
      <w:r>
        <w:rPr>
          <w:rtl/>
          <w:lang w:bidi="fa-IR"/>
        </w:rPr>
        <w:t>(1).</w:t>
      </w:r>
      <w:r w:rsidR="00744A1C">
        <w:rPr>
          <w:rtl/>
          <w:lang w:bidi="fa-IR"/>
        </w:rPr>
        <w:t xml:space="preserve"> في « ى ، بث » </w:t>
      </w:r>
      <w:r w:rsidR="00744A1C" w:rsidRPr="00B71E5C">
        <w:rPr>
          <w:rtl/>
        </w:rPr>
        <w:t>والوافي</w:t>
      </w:r>
      <w:r w:rsidR="00744A1C">
        <w:rPr>
          <w:rtl/>
          <w:lang w:bidi="fa-IR"/>
        </w:rPr>
        <w:t xml:space="preserve"> </w:t>
      </w:r>
      <w:r w:rsidR="00744A1C" w:rsidRPr="00B71E5C">
        <w:rPr>
          <w:rtl/>
        </w:rPr>
        <w:t>والتهذيب</w:t>
      </w:r>
      <w:r w:rsidR="00744A1C">
        <w:rPr>
          <w:rtl/>
          <w:lang w:bidi="fa-IR"/>
        </w:rPr>
        <w:t xml:space="preserve"> : « بغير ». وفي « جد » وحاشية « بح ، جت » : + « أن ».</w:t>
      </w:r>
    </w:p>
    <w:p w:rsidR="00744A1C" w:rsidRDefault="00E378DD" w:rsidP="00E378DD">
      <w:pPr>
        <w:pStyle w:val="libFootnote0"/>
        <w:rPr>
          <w:lang w:bidi="fa-IR"/>
        </w:rPr>
      </w:pPr>
      <w:r>
        <w:rPr>
          <w:rtl/>
          <w:lang w:bidi="fa-IR"/>
        </w:rPr>
        <w:t>(2).</w:t>
      </w:r>
      <w:r w:rsidR="00744A1C">
        <w:rPr>
          <w:rtl/>
          <w:lang w:bidi="fa-IR"/>
        </w:rPr>
        <w:t xml:space="preserve"> في « ى ، بث ، جد » </w:t>
      </w:r>
      <w:r w:rsidR="00744A1C" w:rsidRPr="00B71E5C">
        <w:rPr>
          <w:rtl/>
        </w:rPr>
        <w:t>والوسائل</w:t>
      </w:r>
      <w:r w:rsidR="00744A1C">
        <w:rPr>
          <w:rtl/>
          <w:lang w:bidi="fa-IR"/>
        </w:rPr>
        <w:t xml:space="preserve"> : « فقال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169 ، ح 323 ، بسنده عن الحسن بن عليّ بن يوسف ، عن معاذ بن ثابت ، عن عمرو بن جميع رفعه إلى أمير المؤمنين </w:t>
      </w:r>
      <w:r w:rsidR="0061079A" w:rsidRPr="0061079A">
        <w:rPr>
          <w:rStyle w:val="libFootnoteAlaemChar"/>
          <w:rtl/>
        </w:rPr>
        <w:t>عليه‌السلام</w:t>
      </w:r>
      <w:r w:rsidR="00D10E3C">
        <w:rPr>
          <w:rtl/>
          <w:lang w:bidi="fa-IR"/>
        </w:rPr>
        <w:t xml:space="preserve"> </w:t>
      </w:r>
      <w:r w:rsidR="00B71E5C">
        <w:rPr>
          <w:rFonts w:hint="cs"/>
          <w:rtl/>
          <w:lang w:bidi="fa-IR"/>
        </w:rPr>
        <w:t>.</w:t>
      </w:r>
      <w:r w:rsidR="00744A1C" w:rsidRPr="00C24F9C">
        <w:rPr>
          <w:rStyle w:val="libFootnoteBoldChar"/>
          <w:rtl/>
        </w:rPr>
        <w:t>الوافي</w:t>
      </w:r>
      <w:r w:rsidR="00744A1C">
        <w:rPr>
          <w:rtl/>
          <w:lang w:bidi="fa-IR"/>
        </w:rPr>
        <w:t xml:space="preserve"> ، ج 15 ، ص 119 ، ح 14768 ؛ </w:t>
      </w:r>
      <w:r w:rsidR="00744A1C" w:rsidRPr="00C24F9C">
        <w:rPr>
          <w:rStyle w:val="libFootnoteBoldChar"/>
          <w:rtl/>
        </w:rPr>
        <w:t>الوسائل</w:t>
      </w:r>
      <w:r w:rsidR="00744A1C">
        <w:rPr>
          <w:rtl/>
          <w:lang w:bidi="fa-IR"/>
        </w:rPr>
        <w:t xml:space="preserve"> ، ج 15 ، ص 89 ، ح 20047.</w:t>
      </w:r>
    </w:p>
    <w:tbl>
      <w:tblPr>
        <w:tblStyle w:val="TableGrid"/>
        <w:bidiVisual/>
        <w:tblW w:w="0" w:type="auto"/>
        <w:tblLook w:val="04A0" w:firstRow="1" w:lastRow="0" w:firstColumn="1" w:lastColumn="0" w:noHBand="0" w:noVBand="1"/>
      </w:tblPr>
      <w:tblGrid>
        <w:gridCol w:w="4006"/>
        <w:gridCol w:w="4006"/>
      </w:tblGrid>
      <w:tr w:rsidR="00B71E5C" w:rsidTr="00B71E5C">
        <w:tc>
          <w:tcPr>
            <w:tcW w:w="4006" w:type="dxa"/>
          </w:tcPr>
          <w:p w:rsidR="00B71E5C" w:rsidRDefault="00B71E5C" w:rsidP="00E378DD">
            <w:pPr>
              <w:pStyle w:val="libFootnote0"/>
              <w:rPr>
                <w:rtl/>
                <w:lang w:bidi="fa-IR"/>
              </w:rPr>
            </w:pPr>
            <w:r>
              <w:rPr>
                <w:rtl/>
                <w:lang w:bidi="fa-IR"/>
              </w:rPr>
              <w:t>(4). في « ى » : « دعي ».</w:t>
            </w:r>
          </w:p>
        </w:tc>
        <w:tc>
          <w:tcPr>
            <w:tcW w:w="4006" w:type="dxa"/>
          </w:tcPr>
          <w:p w:rsidR="00B71E5C" w:rsidRDefault="00B71E5C" w:rsidP="00E378DD">
            <w:pPr>
              <w:pStyle w:val="libFootnote0"/>
              <w:rPr>
                <w:rtl/>
                <w:lang w:bidi="fa-IR"/>
              </w:rPr>
            </w:pPr>
            <w:r>
              <w:rPr>
                <w:rtl/>
                <w:lang w:bidi="fa-IR"/>
              </w:rPr>
              <w:t>(5). في « بث » : « من ».</w:t>
            </w:r>
          </w:p>
        </w:tc>
      </w:tr>
    </w:tbl>
    <w:p w:rsidR="00744A1C" w:rsidRDefault="00E378DD" w:rsidP="00E378DD">
      <w:pPr>
        <w:pStyle w:val="libFootnote0"/>
        <w:rPr>
          <w:lang w:bidi="fa-IR"/>
        </w:rPr>
      </w:pPr>
      <w:r>
        <w:rPr>
          <w:rtl/>
          <w:lang w:bidi="fa-IR"/>
        </w:rPr>
        <w:t>(6).</w:t>
      </w:r>
      <w:r w:rsidR="00744A1C">
        <w:rPr>
          <w:rtl/>
          <w:lang w:bidi="fa-IR"/>
        </w:rPr>
        <w:t xml:space="preserve"> « البِراز » : المبارزة في الحرب. </w:t>
      </w:r>
      <w:r w:rsidR="00744A1C" w:rsidRPr="00E978C3">
        <w:rPr>
          <w:rStyle w:val="libFootnoteBoldChar"/>
          <w:rtl/>
        </w:rPr>
        <w:t>الصحاح</w:t>
      </w:r>
      <w:r w:rsidR="00744A1C">
        <w:rPr>
          <w:rtl/>
          <w:lang w:bidi="fa-IR"/>
        </w:rPr>
        <w:t xml:space="preserve"> ، ج 3 ، ص 864 ( برز ).</w:t>
      </w:r>
    </w:p>
    <w:tbl>
      <w:tblPr>
        <w:tblStyle w:val="TableGrid"/>
        <w:bidiVisual/>
        <w:tblW w:w="0" w:type="auto"/>
        <w:tblLook w:val="04A0" w:firstRow="1" w:lastRow="0" w:firstColumn="1" w:lastColumn="0" w:noHBand="0" w:noVBand="1"/>
      </w:tblPr>
      <w:tblGrid>
        <w:gridCol w:w="4006"/>
        <w:gridCol w:w="4006"/>
      </w:tblGrid>
      <w:tr w:rsidR="00B71E5C" w:rsidTr="00B71E5C">
        <w:tc>
          <w:tcPr>
            <w:tcW w:w="4006" w:type="dxa"/>
          </w:tcPr>
          <w:p w:rsidR="00B71E5C" w:rsidRDefault="00B71E5C" w:rsidP="00E378DD">
            <w:pPr>
              <w:pStyle w:val="libFootnote0"/>
              <w:rPr>
                <w:rtl/>
                <w:lang w:bidi="fa-IR"/>
              </w:rPr>
            </w:pPr>
            <w:r>
              <w:rPr>
                <w:rtl/>
                <w:lang w:bidi="fa-IR"/>
              </w:rPr>
              <w:t>(7). في « جد » : « منع ».</w:t>
            </w:r>
          </w:p>
        </w:tc>
        <w:tc>
          <w:tcPr>
            <w:tcW w:w="4006" w:type="dxa"/>
          </w:tcPr>
          <w:p w:rsidR="00B71E5C" w:rsidRDefault="00B71E5C" w:rsidP="00E378DD">
            <w:pPr>
              <w:pStyle w:val="libFootnote0"/>
              <w:rPr>
                <w:rtl/>
                <w:lang w:bidi="fa-IR"/>
              </w:rPr>
            </w:pPr>
            <w:r>
              <w:rPr>
                <w:rtl/>
                <w:lang w:bidi="fa-IR"/>
              </w:rPr>
              <w:t xml:space="preserve">(8). في </w:t>
            </w:r>
            <w:r w:rsidRPr="00B71E5C">
              <w:rPr>
                <w:rtl/>
              </w:rPr>
              <w:t>الوسائل والتهذيب وثواب الأعمال :</w:t>
            </w:r>
            <w:r>
              <w:rPr>
                <w:rtl/>
                <w:lang w:bidi="fa-IR"/>
              </w:rPr>
              <w:t xml:space="preserve"> « فقال ».</w:t>
            </w:r>
          </w:p>
        </w:tc>
      </w:tr>
      <w:tr w:rsidR="00B71E5C" w:rsidTr="00B71E5C">
        <w:tc>
          <w:tcPr>
            <w:tcW w:w="4006" w:type="dxa"/>
          </w:tcPr>
          <w:p w:rsidR="00B71E5C" w:rsidRDefault="00B71E5C" w:rsidP="00E378DD">
            <w:pPr>
              <w:pStyle w:val="libFootnote0"/>
              <w:rPr>
                <w:rtl/>
                <w:lang w:bidi="fa-IR"/>
              </w:rPr>
            </w:pPr>
            <w:r>
              <w:rPr>
                <w:rtl/>
                <w:lang w:bidi="fa-IR"/>
              </w:rPr>
              <w:t xml:space="preserve">(9). في « جن » </w:t>
            </w:r>
            <w:r w:rsidRPr="00B71E5C">
              <w:rPr>
                <w:rtl/>
              </w:rPr>
              <w:t>والتهذيب</w:t>
            </w:r>
            <w:r>
              <w:rPr>
                <w:rtl/>
                <w:lang w:bidi="fa-IR"/>
              </w:rPr>
              <w:t xml:space="preserve"> : « أن يقتلني ».</w:t>
            </w:r>
          </w:p>
        </w:tc>
        <w:tc>
          <w:tcPr>
            <w:tcW w:w="4006" w:type="dxa"/>
          </w:tcPr>
          <w:p w:rsidR="00B71E5C" w:rsidRDefault="00B71E5C" w:rsidP="00E378DD">
            <w:pPr>
              <w:pStyle w:val="libFootnote0"/>
              <w:rPr>
                <w:rtl/>
                <w:lang w:bidi="fa-IR"/>
              </w:rPr>
            </w:pPr>
            <w:r>
              <w:rPr>
                <w:rtl/>
                <w:lang w:bidi="fa-IR"/>
              </w:rPr>
              <w:t xml:space="preserve">(10). في « جن » </w:t>
            </w:r>
            <w:r w:rsidRPr="00B71E5C">
              <w:rPr>
                <w:rtl/>
              </w:rPr>
              <w:t>والتهذيب</w:t>
            </w:r>
            <w:r>
              <w:rPr>
                <w:rtl/>
                <w:lang w:bidi="fa-IR"/>
              </w:rPr>
              <w:t xml:space="preserve"> : « لقتلته ».</w:t>
            </w:r>
          </w:p>
        </w:tc>
      </w:tr>
    </w:tbl>
    <w:p w:rsidR="00744A1C" w:rsidRDefault="00E378DD" w:rsidP="00E378DD">
      <w:pPr>
        <w:pStyle w:val="libFootnote0"/>
        <w:rPr>
          <w:lang w:bidi="fa-IR"/>
        </w:rPr>
      </w:pPr>
      <w:r>
        <w:rPr>
          <w:rtl/>
          <w:lang w:bidi="fa-IR"/>
        </w:rPr>
        <w:t>(11).</w:t>
      </w:r>
      <w:r w:rsidR="00744A1C">
        <w:rPr>
          <w:rtl/>
          <w:lang w:bidi="fa-IR"/>
        </w:rPr>
        <w:t xml:space="preserve"> الهَدّ : الهَدْم الشديد ، والكسر. </w:t>
      </w:r>
      <w:r w:rsidR="00744A1C" w:rsidRPr="008A57EB">
        <w:rPr>
          <w:rStyle w:val="libFootnoteBoldChar"/>
          <w:rtl/>
        </w:rPr>
        <w:t>القاموس المحيط</w:t>
      </w:r>
      <w:r w:rsidR="00744A1C">
        <w:rPr>
          <w:rtl/>
          <w:lang w:bidi="fa-IR"/>
        </w:rPr>
        <w:t xml:space="preserve"> ، ج 1 ، ص 472 ( هدد ). وفي </w:t>
      </w:r>
      <w:r w:rsidR="00744A1C" w:rsidRPr="00C24F9C">
        <w:rPr>
          <w:rStyle w:val="libFootnoteBoldChar"/>
          <w:rtl/>
        </w:rPr>
        <w:t>الوافي</w:t>
      </w:r>
      <w:r w:rsidR="00744A1C">
        <w:rPr>
          <w:rtl/>
          <w:lang w:bidi="fa-IR"/>
        </w:rPr>
        <w:t xml:space="preserve"> : « هدّ : سقط واندكّ ».</w:t>
      </w:r>
    </w:p>
    <w:p w:rsidR="00744A1C" w:rsidRDefault="00E378DD" w:rsidP="00E378DD">
      <w:pPr>
        <w:pStyle w:val="libFootnote0"/>
        <w:rPr>
          <w:lang w:bidi="fa-IR"/>
        </w:rPr>
      </w:pPr>
      <w:r>
        <w:rPr>
          <w:rtl/>
          <w:lang w:bidi="fa-IR"/>
        </w:rPr>
        <w:t>(12).</w:t>
      </w:r>
      <w:r w:rsidR="00744A1C">
        <w:rPr>
          <w:rtl/>
          <w:lang w:bidi="fa-IR"/>
        </w:rPr>
        <w:t xml:space="preserve"> في </w:t>
      </w:r>
      <w:r w:rsidR="00744A1C" w:rsidRPr="00B71E5C">
        <w:rPr>
          <w:rtl/>
        </w:rPr>
        <w:t>الوافي والتهذيب</w:t>
      </w:r>
      <w:r w:rsidR="00744A1C">
        <w:rPr>
          <w:rtl/>
          <w:lang w:bidi="fa-IR"/>
        </w:rPr>
        <w:t xml:space="preserve"> : « الحسن بن عليّ ».</w:t>
      </w:r>
    </w:p>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دعا رجلاً ، كان ترك أولى ، ويحتمل أن يكون تأديبه </w:t>
      </w:r>
      <w:r w:rsidR="0061079A" w:rsidRPr="0061079A">
        <w:rPr>
          <w:rStyle w:val="libFootnoteAlaemChar"/>
          <w:rtl/>
        </w:rPr>
        <w:t>عليه‌السلام</w:t>
      </w:r>
      <w:r w:rsidR="00D10E3C">
        <w:rPr>
          <w:rtl/>
          <w:lang w:bidi="fa-IR"/>
        </w:rPr>
        <w:t xml:space="preserve"> </w:t>
      </w:r>
      <w:r w:rsidR="00744A1C">
        <w:rPr>
          <w:rtl/>
          <w:lang w:bidi="fa-IR"/>
        </w:rPr>
        <w:t>لتعليم غيره ».</w:t>
      </w:r>
    </w:p>
    <w:p w:rsidR="006A5060" w:rsidRDefault="006A5060" w:rsidP="00D10E3C">
      <w:pPr>
        <w:pStyle w:val="libNormal"/>
        <w:rPr>
          <w:rtl/>
          <w:lang w:bidi="fa-IR"/>
        </w:rPr>
      </w:pPr>
      <w:r>
        <w:rPr>
          <w:rtl/>
          <w:lang w:bidi="fa-IR"/>
        </w:rPr>
        <w:br w:type="page"/>
      </w:r>
    </w:p>
    <w:p w:rsidR="00144FA6" w:rsidRDefault="00744A1C" w:rsidP="00B71E5C">
      <w:pPr>
        <w:pStyle w:val="libNormal0"/>
        <w:rPr>
          <w:rtl/>
          <w:lang w:bidi="fa-IR"/>
        </w:rPr>
      </w:pPr>
      <w:r>
        <w:rPr>
          <w:rtl/>
          <w:lang w:bidi="fa-IR"/>
        </w:rPr>
        <w:t xml:space="preserve">بِهِ أَمِيرُ الْمُؤْمِنِينَ </w:t>
      </w:r>
      <w:r w:rsidR="0061079A" w:rsidRPr="0061079A">
        <w:rPr>
          <w:rStyle w:val="libAlaemChar"/>
          <w:rtl/>
        </w:rPr>
        <w:t>عليه‌السلام</w:t>
      </w:r>
      <w:r w:rsidR="00D10E3C">
        <w:rPr>
          <w:rtl/>
          <w:lang w:bidi="fa-IR"/>
        </w:rPr>
        <w:t xml:space="preserve"> </w:t>
      </w:r>
      <w:r>
        <w:rPr>
          <w:rtl/>
          <w:lang w:bidi="fa-IR"/>
        </w:rPr>
        <w:t xml:space="preserve">، فَقَالَ : لَئِنْ عُدْتَ إِلى مِثْلِ هذَا لَأُعَاقِبَنَّكَ </w:t>
      </w:r>
      <w:r w:rsidRPr="00D10E3C">
        <w:rPr>
          <w:rStyle w:val="libFootnotenumChar"/>
          <w:rtl/>
        </w:rPr>
        <w:t>(1)</w:t>
      </w:r>
      <w:r>
        <w:rPr>
          <w:rtl/>
          <w:lang w:bidi="fa-IR"/>
        </w:rPr>
        <w:t xml:space="preserve"> ، وَلَئِنْ دَعَاكَ أَحَدٌ إِلى مِثْلِهَا فَلَمْ تُجِبْهُ ، لَأُعَاقِبَنَّكَ ، أَ</w:t>
      </w:r>
      <w:r w:rsidR="00B71E5C">
        <w:rPr>
          <w:rFonts w:hint="cs"/>
          <w:rtl/>
          <w:lang w:bidi="fa-IR"/>
        </w:rPr>
        <w:t xml:space="preserve"> </w:t>
      </w:r>
      <w:r>
        <w:rPr>
          <w:rtl/>
          <w:lang w:bidi="fa-IR"/>
        </w:rPr>
        <w:t xml:space="preserve">مَا عَلِمْتَ أَنَّهُ بَغْيٌ؟ ». </w:t>
      </w:r>
      <w:r w:rsidRPr="00D10E3C">
        <w:rPr>
          <w:rStyle w:val="libFootnotenumChar"/>
          <w:rtl/>
        </w:rPr>
        <w:t>(2)</w:t>
      </w:r>
    </w:p>
    <w:p w:rsidR="00744A1C" w:rsidRDefault="00744A1C" w:rsidP="00B71E5C">
      <w:pPr>
        <w:pStyle w:val="Heading2Center"/>
        <w:rPr>
          <w:lang w:bidi="fa-IR"/>
        </w:rPr>
      </w:pPr>
      <w:bookmarkStart w:id="101" w:name="_Toc49261399"/>
      <w:r>
        <w:rPr>
          <w:rtl/>
          <w:lang w:bidi="fa-IR"/>
        </w:rPr>
        <w:t>13 - بَابُ الرِّفْقِ بِالْأَسِيرِ وَإِطْعَامِهِ‌</w:t>
      </w:r>
      <w:bookmarkEnd w:id="101"/>
    </w:p>
    <w:p w:rsidR="00144FA6" w:rsidRDefault="00744A1C" w:rsidP="00744A1C">
      <w:pPr>
        <w:pStyle w:val="libNormal"/>
        <w:rPr>
          <w:rtl/>
          <w:lang w:bidi="fa-IR"/>
        </w:rPr>
      </w:pPr>
      <w:r>
        <w:rPr>
          <w:rtl/>
          <w:lang w:bidi="fa-IR"/>
        </w:rPr>
        <w:t xml:space="preserve">8254 / 1. عَلِيُّ بْنُ إِبْرَاهِيمَ ، عَنْ أَبِيهِ ، عَنِ الْقَاسِمِ بْنِ مُحَمَّدٍ ، عَنِ الْمِنْقَرِيِّ ، عَنْ عِيسَى بْنِ يُونُسَ الْأَوْزَاعِيِّ </w:t>
      </w:r>
      <w:r w:rsidRPr="00D10E3C">
        <w:rPr>
          <w:rStyle w:val="libFootnotenumChar"/>
          <w:rtl/>
        </w:rPr>
        <w:t>(3)</w:t>
      </w:r>
      <w:r>
        <w:rPr>
          <w:rtl/>
          <w:lang w:bidi="fa-IR"/>
        </w:rPr>
        <w:t xml:space="preserve"> ، عَنِ الزُّهْرِيِّ :</w:t>
      </w:r>
    </w:p>
    <w:p w:rsidR="00744A1C" w:rsidRDefault="00744A1C" w:rsidP="00744A1C">
      <w:pPr>
        <w:pStyle w:val="libNormal"/>
        <w:rPr>
          <w:lang w:bidi="fa-IR"/>
        </w:rPr>
      </w:pPr>
      <w:r>
        <w:rPr>
          <w:rtl/>
          <w:lang w:bidi="fa-IR"/>
        </w:rPr>
        <w:t>عَنْ عَلِيِّ بْنِ الْحُسَيْنِ صَلَوَاتُ اللهِ عَلَيْهِمَا ، قَالَ : « إِذَا أَخَذْتَ أَسِيراً ، فَعَجَزَ عَنِ الْمَشْيِ ، وَلَيْسَ مَعَكَ مَحْمِلٌ ، فَأَرْسِلْهُ ، وَلَا تَقْتُلْهُ ؛ فَإِنَّكَ لَاتَدْرِي مَا حُكْمُ الْإِمَامِ فِيهِ ».</w:t>
      </w:r>
    </w:p>
    <w:p w:rsidR="00144FA6" w:rsidRDefault="00744A1C" w:rsidP="00744A1C">
      <w:pPr>
        <w:pStyle w:val="libNormal"/>
        <w:rPr>
          <w:rtl/>
          <w:lang w:bidi="fa-IR"/>
        </w:rPr>
      </w:pPr>
      <w:r>
        <w:rPr>
          <w:rtl/>
          <w:lang w:bidi="fa-IR"/>
        </w:rPr>
        <w:t xml:space="preserve">قَالَ : وَقَالَ : « الْأَسِيرُ إِذَا أَسْلَمَ ، فَقَدْ حُقِنَ </w:t>
      </w:r>
      <w:r w:rsidRPr="00D10E3C">
        <w:rPr>
          <w:rStyle w:val="libFootnotenumChar"/>
          <w:rtl/>
        </w:rPr>
        <w:t>(4)</w:t>
      </w:r>
      <w:r>
        <w:rPr>
          <w:rtl/>
          <w:lang w:bidi="fa-IR"/>
        </w:rPr>
        <w:t xml:space="preserve"> دَمُهُ ، وَصَارَ فَيْئاً ». </w:t>
      </w:r>
      <w:r w:rsidRPr="00D10E3C">
        <w:rPr>
          <w:rStyle w:val="libFootnotenumChar"/>
          <w:rtl/>
        </w:rPr>
        <w:t>(5)</w:t>
      </w:r>
    </w:p>
    <w:p w:rsidR="00144FA6" w:rsidRDefault="00744A1C" w:rsidP="00744A1C">
      <w:pPr>
        <w:pStyle w:val="libNormal"/>
        <w:rPr>
          <w:rtl/>
          <w:lang w:bidi="fa-IR"/>
        </w:rPr>
      </w:pPr>
      <w:r>
        <w:rPr>
          <w:rtl/>
          <w:lang w:bidi="fa-IR"/>
        </w:rPr>
        <w:t xml:space="preserve">8255 / 2. عَلِيُّ بْنُ إِبْرَاهِيمَ ، عَنْ أَبِيهِ ، عَنْ حَمَّادٍ </w:t>
      </w:r>
      <w:r w:rsidRPr="00D10E3C">
        <w:rPr>
          <w:rStyle w:val="libFootnotenumChar"/>
          <w:rtl/>
        </w:rPr>
        <w:t>(6)</w:t>
      </w:r>
      <w:r>
        <w:rPr>
          <w:rtl/>
          <w:lang w:bidi="fa-IR"/>
        </w:rPr>
        <w:t xml:space="preserve"> ، عَنْ حَرِيزٍ ، عَنْ زُرَارَةَ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إِطْعَامُ الْأَسِيرِ حَقٌّ عَلى مَنْ أَسَرَهُ وَإِنْ كَانَ يُرَادُ مِنَ‌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 « عاقبتك ». وفي حاشية « جت » : « لا</w:t>
      </w:r>
      <w:r w:rsidR="00B71E5C">
        <w:rPr>
          <w:rFonts w:hint="cs"/>
          <w:rtl/>
          <w:lang w:bidi="fa-IR"/>
        </w:rPr>
        <w:t>ُ</w:t>
      </w:r>
      <w:r w:rsidR="00744A1C">
        <w:rPr>
          <w:rtl/>
          <w:lang w:bidi="fa-IR"/>
        </w:rPr>
        <w:t xml:space="preserve">عاقبك ». وفي </w:t>
      </w:r>
      <w:r w:rsidR="00744A1C" w:rsidRPr="00B71E5C">
        <w:rPr>
          <w:rtl/>
        </w:rPr>
        <w:t>الوافي</w:t>
      </w:r>
      <w:r w:rsidR="00744A1C">
        <w:rPr>
          <w:rtl/>
          <w:lang w:bidi="fa-IR"/>
        </w:rPr>
        <w:t xml:space="preserve"> : « لعاقبتك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169 ، ح 324 ، معلّقاً عن سهل بن زياد. </w:t>
      </w:r>
      <w:r w:rsidR="00744A1C" w:rsidRPr="00E17F60">
        <w:rPr>
          <w:rStyle w:val="libFootnoteBoldChar"/>
          <w:rtl/>
        </w:rPr>
        <w:t>ثواب الأعمال</w:t>
      </w:r>
      <w:r w:rsidR="00744A1C">
        <w:rPr>
          <w:rtl/>
          <w:lang w:bidi="fa-IR"/>
        </w:rPr>
        <w:t xml:space="preserve"> ، ص 325 ، ح 5 ، بسنده عن عبد الله بن ميمون ، عن جعفر بن محمّد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لو بغى جبل على جبل لهدّ الباغي » </w:t>
      </w:r>
      <w:r w:rsidR="00E17F60">
        <w:rPr>
          <w:rFonts w:hint="cs"/>
          <w:rtl/>
          <w:lang w:bidi="fa-IR"/>
        </w:rPr>
        <w:t>.</w:t>
      </w:r>
      <w:r w:rsidR="00744A1C" w:rsidRPr="00C24F9C">
        <w:rPr>
          <w:rStyle w:val="libFootnoteBoldChar"/>
          <w:rtl/>
        </w:rPr>
        <w:t>الوافي</w:t>
      </w:r>
      <w:r w:rsidR="00744A1C">
        <w:rPr>
          <w:rtl/>
          <w:lang w:bidi="fa-IR"/>
        </w:rPr>
        <w:t xml:space="preserve"> ، ج 15 ، ص 119 ، ح 14770 ؛ </w:t>
      </w:r>
      <w:r w:rsidR="00744A1C" w:rsidRPr="00C24F9C">
        <w:rPr>
          <w:rStyle w:val="libFootnoteBoldChar"/>
          <w:rtl/>
        </w:rPr>
        <w:t>الوسائل</w:t>
      </w:r>
      <w:r w:rsidR="00744A1C">
        <w:rPr>
          <w:rtl/>
          <w:lang w:bidi="fa-IR"/>
        </w:rPr>
        <w:t xml:space="preserve"> ، ج 15 ، ص 90 ، ح 20048 ؛ </w:t>
      </w:r>
      <w:r w:rsidR="00744A1C" w:rsidRPr="0061079A">
        <w:rPr>
          <w:rStyle w:val="libFootnoteBoldChar"/>
          <w:rtl/>
        </w:rPr>
        <w:t>البحار</w:t>
      </w:r>
      <w:r w:rsidR="00744A1C">
        <w:rPr>
          <w:rtl/>
          <w:lang w:bidi="fa-IR"/>
        </w:rPr>
        <w:t xml:space="preserve"> ، ج 33 ، ص 446 ، ح 658 ، إلى قوله : « لو بغى جبل على جبل لهدّ الباغي ».</w:t>
      </w:r>
    </w:p>
    <w:p w:rsidR="00744A1C" w:rsidRDefault="00E378DD" w:rsidP="00E378DD">
      <w:pPr>
        <w:pStyle w:val="libFootnote0"/>
        <w:rPr>
          <w:lang w:bidi="fa-IR"/>
        </w:rPr>
      </w:pPr>
      <w:r>
        <w:rPr>
          <w:rtl/>
          <w:lang w:bidi="fa-IR"/>
        </w:rPr>
        <w:t>(3).</w:t>
      </w:r>
      <w:r w:rsidR="00744A1C">
        <w:rPr>
          <w:rtl/>
          <w:lang w:bidi="fa-IR"/>
        </w:rPr>
        <w:t xml:space="preserve"> روى الشيخ الطوسي الخبر - مع زيادة في صدره - في </w:t>
      </w:r>
      <w:r w:rsidR="00744A1C" w:rsidRPr="00C24F9C">
        <w:rPr>
          <w:rStyle w:val="libFootnoteBoldChar"/>
          <w:rtl/>
        </w:rPr>
        <w:t>التهذيب</w:t>
      </w:r>
      <w:r w:rsidR="00744A1C">
        <w:rPr>
          <w:rtl/>
          <w:lang w:bidi="fa-IR"/>
        </w:rPr>
        <w:t xml:space="preserve"> ، ج 6 ، ص 153 ، ح 267 بسنده ، عن سليمان بن داود المنقري ، عن عيسى بن يونس ، عن الأوزاعي ، وهو الصواب. والمراد من الأوزاعي هو عبدالرحمن بن عمرو الأوزاعي ، روى عنه عيسى بن يونس بن أبي إسحاق السبيعي. راجع : </w:t>
      </w:r>
      <w:r w:rsidR="00744A1C" w:rsidRPr="00B7470D">
        <w:rPr>
          <w:rStyle w:val="libFootnoteBoldChar"/>
          <w:rtl/>
        </w:rPr>
        <w:t>تهذيب الكمال</w:t>
      </w:r>
      <w:r w:rsidR="00744A1C">
        <w:rPr>
          <w:rtl/>
          <w:lang w:bidi="fa-IR"/>
        </w:rPr>
        <w:t xml:space="preserve"> ، ج 17 ، ص 307 ، الرقم 3918 ؛ وج 23 ، ص 62 ، الرقم 4673.</w:t>
      </w:r>
    </w:p>
    <w:p w:rsidR="00744A1C" w:rsidRDefault="00E378DD" w:rsidP="00E378DD">
      <w:pPr>
        <w:pStyle w:val="libFootnote0"/>
        <w:rPr>
          <w:lang w:bidi="fa-IR"/>
        </w:rPr>
      </w:pPr>
      <w:r>
        <w:rPr>
          <w:rtl/>
          <w:lang w:bidi="fa-IR"/>
        </w:rPr>
        <w:t>(4).</w:t>
      </w:r>
      <w:r w:rsidR="00744A1C">
        <w:rPr>
          <w:rtl/>
          <w:lang w:bidi="fa-IR"/>
        </w:rPr>
        <w:t xml:space="preserve"> يقال : حَقَنْتُ له دَمَه ، إذا منعت من قتله. </w:t>
      </w:r>
      <w:r w:rsidR="00744A1C" w:rsidRPr="00877682">
        <w:rPr>
          <w:rStyle w:val="libFootnoteBoldChar"/>
          <w:rtl/>
        </w:rPr>
        <w:t>النهاية</w:t>
      </w:r>
      <w:r w:rsidR="00744A1C">
        <w:rPr>
          <w:rtl/>
          <w:lang w:bidi="fa-IR"/>
        </w:rPr>
        <w:t xml:space="preserve"> ، ج 1 ، ص 400 ( حقن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153 ، ح 267 ، مع زيادة في أوّله ؛ </w:t>
      </w:r>
      <w:r w:rsidR="00744A1C" w:rsidRPr="00E17F60">
        <w:rPr>
          <w:rStyle w:val="libFootnoteBoldChar"/>
          <w:rtl/>
        </w:rPr>
        <w:t>وع</w:t>
      </w:r>
      <w:r w:rsidR="00744A1C" w:rsidRPr="003A7143">
        <w:rPr>
          <w:rStyle w:val="libFootnoteBoldChar"/>
          <w:rtl/>
        </w:rPr>
        <w:t>لل الشرائع</w:t>
      </w:r>
      <w:r w:rsidR="00744A1C">
        <w:rPr>
          <w:rtl/>
          <w:lang w:bidi="fa-IR"/>
        </w:rPr>
        <w:t xml:space="preserve"> ، ص 565 ، ح 1 ، بسندهما عن القاسم بن محمّد ، عن سليمان بن داود المنقري ، عن عيسى بن يونس ، عن الأوزاعي ، عن الزهري </w:t>
      </w:r>
      <w:r w:rsidR="00E17F60">
        <w:rPr>
          <w:rFonts w:hint="cs"/>
          <w:rtl/>
          <w:lang w:bidi="fa-IR"/>
        </w:rPr>
        <w:t>.</w:t>
      </w:r>
      <w:r w:rsidR="00744A1C" w:rsidRPr="00C24F9C">
        <w:rPr>
          <w:rStyle w:val="libFootnoteBoldChar"/>
          <w:rtl/>
        </w:rPr>
        <w:t>الوافي</w:t>
      </w:r>
      <w:r w:rsidR="00744A1C">
        <w:rPr>
          <w:rtl/>
          <w:lang w:bidi="fa-IR"/>
        </w:rPr>
        <w:t xml:space="preserve"> ، ج 15 ، ص 133 ، ح 14792 ؛ </w:t>
      </w:r>
      <w:r w:rsidR="00744A1C" w:rsidRPr="00C24F9C">
        <w:rPr>
          <w:rStyle w:val="libFootnoteBoldChar"/>
          <w:rtl/>
        </w:rPr>
        <w:t>الوسائل</w:t>
      </w:r>
      <w:r w:rsidR="00744A1C">
        <w:rPr>
          <w:rtl/>
          <w:lang w:bidi="fa-IR"/>
        </w:rPr>
        <w:t xml:space="preserve"> ، ج 15 ، ص 72 ، ذيل ح 20008.</w:t>
      </w:r>
    </w:p>
    <w:p w:rsidR="00744A1C" w:rsidRDefault="00E378DD" w:rsidP="00E378DD">
      <w:pPr>
        <w:pStyle w:val="libFootnote0"/>
        <w:rPr>
          <w:lang w:bidi="fa-IR"/>
        </w:rPr>
      </w:pPr>
      <w:r>
        <w:rPr>
          <w:rtl/>
          <w:lang w:bidi="fa-IR"/>
        </w:rPr>
        <w:t>(6).</w:t>
      </w:r>
      <w:r w:rsidR="00744A1C">
        <w:rPr>
          <w:rtl/>
          <w:lang w:bidi="fa-IR"/>
        </w:rPr>
        <w:t xml:space="preserve"> في « ى ، بح ، جد » : + « بن عيسى ».</w:t>
      </w:r>
    </w:p>
    <w:p w:rsidR="006A5060" w:rsidRDefault="006A5060" w:rsidP="00D10E3C">
      <w:pPr>
        <w:pStyle w:val="libNormal"/>
        <w:rPr>
          <w:rtl/>
          <w:lang w:bidi="fa-IR"/>
        </w:rPr>
      </w:pPr>
      <w:r>
        <w:rPr>
          <w:rtl/>
          <w:lang w:bidi="fa-IR"/>
        </w:rPr>
        <w:br w:type="page"/>
      </w:r>
    </w:p>
    <w:p w:rsidR="00144FA6" w:rsidRDefault="00744A1C" w:rsidP="00E17F60">
      <w:pPr>
        <w:pStyle w:val="libNormal0"/>
        <w:rPr>
          <w:rtl/>
          <w:lang w:bidi="fa-IR"/>
        </w:rPr>
      </w:pPr>
      <w:r>
        <w:rPr>
          <w:rtl/>
          <w:lang w:bidi="fa-IR"/>
        </w:rPr>
        <w:t xml:space="preserve">الْغَدِ قَتْلُهُ ؛ فَإِنَّهُ يَنْبَغِي أَنْ يُطْعَمَ وَيُسْقى وَيُظَلَّ </w:t>
      </w:r>
      <w:r w:rsidRPr="00D10E3C">
        <w:rPr>
          <w:rStyle w:val="libFootnotenumChar"/>
          <w:rtl/>
        </w:rPr>
        <w:t>(1)</w:t>
      </w:r>
      <w:r>
        <w:rPr>
          <w:rtl/>
          <w:lang w:bidi="fa-IR"/>
        </w:rPr>
        <w:t xml:space="preserve"> وَيُرْفَقَ بِهِ ، كَافِراً كَانَ أَوْ غَيْرَهُ ». </w:t>
      </w:r>
      <w:r w:rsidRPr="00D10E3C">
        <w:rPr>
          <w:rStyle w:val="libFootnotenumChar"/>
          <w:rtl/>
        </w:rPr>
        <w:t>(2)</w:t>
      </w:r>
    </w:p>
    <w:p w:rsidR="00144FA6" w:rsidRDefault="00744A1C" w:rsidP="00744A1C">
      <w:pPr>
        <w:pStyle w:val="libNormal"/>
        <w:rPr>
          <w:rtl/>
          <w:lang w:bidi="fa-IR"/>
        </w:rPr>
      </w:pPr>
      <w:r>
        <w:rPr>
          <w:rtl/>
          <w:lang w:bidi="fa-IR"/>
        </w:rPr>
        <w:t>8256 / 3. أَحْمَدُ بْنُ مُحَمَّدٍ الْكُوفِيُّ ، عَنْ حَمْدَانَ الْقَلَانِسِيِّ ، عَنْ مُحَمَّدِ بْنِ الْوَلِيدِ ، عَنْ أَبَانِ بْنِ عُثْمَانَ ، عَنْ مَنْصُورِ بْنِ حَازِمٍ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الْأَسِيرُ طَعَامُهُ </w:t>
      </w:r>
      <w:r w:rsidRPr="00D10E3C">
        <w:rPr>
          <w:rStyle w:val="libFootnotenumChar"/>
          <w:rtl/>
        </w:rPr>
        <w:t>(3)</w:t>
      </w:r>
      <w:r>
        <w:rPr>
          <w:rtl/>
          <w:lang w:bidi="fa-IR"/>
        </w:rPr>
        <w:t xml:space="preserve"> عَلى مَنْ أَسَرَهُ حَقٌّ عَلَيْهِ وَإِنْ كَانَ كَافِراً يُقْتَلُ مِنَ الْغَدِ ؛ فَإِنَّهُ يَنْبَغِي لَهُ </w:t>
      </w:r>
      <w:r w:rsidRPr="00D10E3C">
        <w:rPr>
          <w:rStyle w:val="libFootnotenumChar"/>
          <w:rtl/>
        </w:rPr>
        <w:t>(4)</w:t>
      </w:r>
      <w:r>
        <w:rPr>
          <w:rtl/>
          <w:lang w:bidi="fa-IR"/>
        </w:rPr>
        <w:t xml:space="preserve"> أَنْ يَرْؤُفَهُ </w:t>
      </w:r>
      <w:r w:rsidRPr="00D10E3C">
        <w:rPr>
          <w:rStyle w:val="libFootnotenumChar"/>
          <w:rtl/>
        </w:rPr>
        <w:t>(5)</w:t>
      </w:r>
      <w:r>
        <w:rPr>
          <w:rtl/>
          <w:lang w:bidi="fa-IR"/>
        </w:rPr>
        <w:t xml:space="preserve"> وَيُطْعِمَهُ وَيَسْقِيَهُ ». </w:t>
      </w:r>
      <w:r w:rsidRPr="00D10E3C">
        <w:rPr>
          <w:rStyle w:val="libFootnotenumChar"/>
          <w:rtl/>
        </w:rPr>
        <w:t>(6)</w:t>
      </w:r>
    </w:p>
    <w:p w:rsidR="00144FA6" w:rsidRDefault="00744A1C" w:rsidP="00744A1C">
      <w:pPr>
        <w:pStyle w:val="libNormal"/>
        <w:rPr>
          <w:rtl/>
          <w:lang w:bidi="fa-IR"/>
        </w:rPr>
      </w:pPr>
      <w:r>
        <w:rPr>
          <w:rtl/>
          <w:lang w:bidi="fa-IR"/>
        </w:rPr>
        <w:t>8257 / 4. عَلِيُّ بْنُ إِبْرَاهِيمَ ، عَنْ أَبِيهِ ، عَنِ النَّضْرِ بْنِ سُوَيْدٍ ، عَنِ الْقَاسِمِ بْنِ سُلَيْمَانَ ، عَنْ جَرَّاحٍ الْمَدَائِنِيِّ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فِي طَعَامِ الْأَسِيرِ ، فَقَالَ : « إِطْعَامُهُ حَقٌّ عَلى مَنْ أَسَرَهُ وَإِنْ كَانَ يُرِيدُ قَتْلَهُ مِنَ الْغَدِ ؛ فَإِنَّهُ يَنْبَغِي </w:t>
      </w:r>
      <w:r w:rsidRPr="00D10E3C">
        <w:rPr>
          <w:rStyle w:val="libFootnotenumChar"/>
          <w:rtl/>
        </w:rPr>
        <w:t>(7)</w:t>
      </w:r>
      <w:r>
        <w:rPr>
          <w:rtl/>
          <w:lang w:bidi="fa-IR"/>
        </w:rPr>
        <w:t xml:space="preserve"> أَنْ يُطْعَمَ وَيُسْقى وَيُظَلَّ وَيُرْفَقَ بِهِ ، كَافِراً كَانَ </w:t>
      </w:r>
      <w:r w:rsidRPr="00D10E3C">
        <w:rPr>
          <w:rStyle w:val="libFootnotenumChar"/>
          <w:rtl/>
        </w:rPr>
        <w:t>(8)</w:t>
      </w:r>
      <w:r>
        <w:rPr>
          <w:rtl/>
          <w:lang w:bidi="fa-IR"/>
        </w:rPr>
        <w:t xml:space="preserve"> أَوْ غَيْرَهُ ». </w:t>
      </w:r>
      <w:r w:rsidRPr="00D10E3C">
        <w:rPr>
          <w:rStyle w:val="libFootnotenumChar"/>
          <w:rtl/>
        </w:rPr>
        <w:t>(9)</w:t>
      </w:r>
    </w:p>
    <w:p w:rsidR="00744A1C" w:rsidRDefault="00744A1C" w:rsidP="00E17F60">
      <w:pPr>
        <w:pStyle w:val="Heading2Center"/>
        <w:rPr>
          <w:lang w:bidi="fa-IR"/>
        </w:rPr>
      </w:pPr>
      <w:bookmarkStart w:id="102" w:name="_Toc49261400"/>
      <w:r>
        <w:rPr>
          <w:rtl/>
          <w:lang w:bidi="fa-IR"/>
        </w:rPr>
        <w:t>14 - بَابُ الدُّعَاءِ إِلَى الْإِسْلَامِ قَبْلَ الْقِتَالِ‌</w:t>
      </w:r>
      <w:bookmarkEnd w:id="102"/>
    </w:p>
    <w:p w:rsidR="00744A1C" w:rsidRDefault="00744A1C" w:rsidP="00744A1C">
      <w:pPr>
        <w:pStyle w:val="libNormal"/>
        <w:rPr>
          <w:lang w:bidi="fa-IR"/>
        </w:rPr>
      </w:pPr>
      <w:r>
        <w:rPr>
          <w:rtl/>
          <w:lang w:bidi="fa-IR"/>
        </w:rPr>
        <w:t>8258 / 1. عَلِيُّ بْنُ إِبْرَاهِيمَ ، عَنْ أَبِيهِ ، عَنِ الْقَاسِمِ بْنِ مُحَمَّدٍ ، عَنِ الْمِنْقَرِيِّ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بح ، بف ، جت ، جد ، جن » </w:t>
      </w:r>
      <w:r w:rsidR="00744A1C" w:rsidRPr="00E17F60">
        <w:rPr>
          <w:rtl/>
        </w:rPr>
        <w:t>والوافي والوسائل</w:t>
      </w:r>
      <w:r w:rsidR="00744A1C">
        <w:rPr>
          <w:rtl/>
          <w:lang w:bidi="fa-IR"/>
        </w:rPr>
        <w:t xml:space="preserve"> : - « ويظلّ ».</w:t>
      </w:r>
    </w:p>
    <w:p w:rsidR="00744A1C" w:rsidRDefault="00E378DD" w:rsidP="007013CD">
      <w:pPr>
        <w:pStyle w:val="libFootnote0"/>
        <w:rPr>
          <w:lang w:bidi="fa-IR"/>
        </w:rPr>
      </w:pPr>
      <w:r>
        <w:rPr>
          <w:rtl/>
          <w:lang w:bidi="fa-IR"/>
        </w:rPr>
        <w:t>(2).</w:t>
      </w:r>
      <w:r w:rsidR="00744A1C">
        <w:rPr>
          <w:rtl/>
          <w:lang w:bidi="fa-IR"/>
        </w:rPr>
        <w:t xml:space="preserve"> </w:t>
      </w:r>
      <w:r w:rsidR="00744A1C" w:rsidRPr="00877682">
        <w:rPr>
          <w:rStyle w:val="libFootnoteBoldChar"/>
          <w:rtl/>
        </w:rPr>
        <w:t>قرب الإسناد</w:t>
      </w:r>
      <w:r w:rsidR="00744A1C">
        <w:rPr>
          <w:rtl/>
          <w:lang w:bidi="fa-IR"/>
        </w:rPr>
        <w:t xml:space="preserve"> ، ص 87 ، ح 289 ، بسند آخر عن جعفر ، عن أبيه ، عن عليّ </w:t>
      </w:r>
      <w:r w:rsidR="00877682" w:rsidRPr="00877682">
        <w:rPr>
          <w:rStyle w:val="libFootnoteAlaemChar"/>
          <w:rtl/>
        </w:rPr>
        <w:t>عليهم‌السلام</w:t>
      </w:r>
      <w:r w:rsidR="00D10E3C">
        <w:rPr>
          <w:rtl/>
          <w:lang w:bidi="fa-IR"/>
        </w:rPr>
        <w:t xml:space="preserve"> </w:t>
      </w:r>
      <w:r w:rsidR="00744A1C">
        <w:rPr>
          <w:rtl/>
          <w:lang w:bidi="fa-IR"/>
        </w:rPr>
        <w:t xml:space="preserve">، إلى قوله : « وإن كان يراد من الغد قتله ». </w:t>
      </w:r>
      <w:r w:rsidR="00744A1C" w:rsidRPr="00C24F9C">
        <w:rPr>
          <w:rStyle w:val="libFootnoteBoldChar"/>
          <w:rtl/>
        </w:rPr>
        <w:t>التهذيب</w:t>
      </w:r>
      <w:r w:rsidR="00744A1C">
        <w:rPr>
          <w:rtl/>
          <w:lang w:bidi="fa-IR"/>
        </w:rPr>
        <w:t xml:space="preserve"> ، ج 6 ، ص 152 ، ح 266 ، بسند آخر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وفيهما مع اختلاف يسير </w:t>
      </w:r>
      <w:r w:rsidR="007013CD">
        <w:rPr>
          <w:rFonts w:hint="cs"/>
          <w:rtl/>
          <w:lang w:bidi="fa-IR"/>
        </w:rPr>
        <w:t>.</w:t>
      </w:r>
      <w:r w:rsidR="00744A1C" w:rsidRPr="00C24F9C">
        <w:rPr>
          <w:rStyle w:val="libFootnoteBoldChar"/>
          <w:rtl/>
        </w:rPr>
        <w:t>الوافي</w:t>
      </w:r>
      <w:r w:rsidR="00744A1C">
        <w:rPr>
          <w:rtl/>
          <w:lang w:bidi="fa-IR"/>
        </w:rPr>
        <w:t xml:space="preserve"> ، ج 15 ، ص 133 ، ح 14793 ؛ </w:t>
      </w:r>
      <w:r w:rsidR="00744A1C" w:rsidRPr="00C24F9C">
        <w:rPr>
          <w:rStyle w:val="libFootnoteBoldChar"/>
          <w:rtl/>
        </w:rPr>
        <w:t>الوسائل</w:t>
      </w:r>
      <w:r w:rsidR="00744A1C">
        <w:rPr>
          <w:rtl/>
          <w:lang w:bidi="fa-IR"/>
        </w:rPr>
        <w:t xml:space="preserve"> ، ج 15 ، ص 91 ، ح 20050 ؛ </w:t>
      </w:r>
      <w:r w:rsidR="00744A1C" w:rsidRPr="0061079A">
        <w:rPr>
          <w:rStyle w:val="libFootnoteBoldChar"/>
          <w:rtl/>
        </w:rPr>
        <w:t>البحار</w:t>
      </w:r>
      <w:r w:rsidR="00744A1C">
        <w:rPr>
          <w:rtl/>
          <w:lang w:bidi="fa-IR"/>
        </w:rPr>
        <w:t xml:space="preserve"> ، ج 100 ، ص 33 ، ح 11.</w:t>
      </w:r>
      <w:r w:rsidR="007013CD">
        <w:rPr>
          <w:rFonts w:hint="cs"/>
          <w:rtl/>
          <w:lang w:bidi="fa-IR"/>
        </w:rPr>
        <w:t xml:space="preserve">       </w:t>
      </w:r>
      <w:r w:rsidR="00EE40F1">
        <w:rPr>
          <w:rFonts w:hint="cs"/>
          <w:rtl/>
          <w:lang w:bidi="fa-IR"/>
        </w:rPr>
        <w:t xml:space="preserve">       </w:t>
      </w:r>
      <w:r w:rsidR="007013CD">
        <w:rPr>
          <w:rFonts w:hint="cs"/>
          <w:rtl/>
          <w:lang w:bidi="fa-IR"/>
        </w:rPr>
        <w:t xml:space="preserve"> </w:t>
      </w:r>
      <w:r>
        <w:rPr>
          <w:rtl/>
          <w:lang w:bidi="fa-IR"/>
        </w:rPr>
        <w:t>(3).</w:t>
      </w:r>
      <w:r w:rsidR="00744A1C">
        <w:rPr>
          <w:rtl/>
          <w:lang w:bidi="fa-IR"/>
        </w:rPr>
        <w:t xml:space="preserve"> في « بح » : « إطعامه ».</w:t>
      </w:r>
    </w:p>
    <w:p w:rsidR="00744A1C" w:rsidRDefault="00E378DD" w:rsidP="00E378DD">
      <w:pPr>
        <w:pStyle w:val="libFootnote0"/>
        <w:rPr>
          <w:lang w:bidi="fa-IR"/>
        </w:rPr>
      </w:pPr>
      <w:r>
        <w:rPr>
          <w:rtl/>
          <w:lang w:bidi="fa-IR"/>
        </w:rPr>
        <w:t>(4).</w:t>
      </w:r>
      <w:r w:rsidR="00744A1C">
        <w:rPr>
          <w:rtl/>
          <w:lang w:bidi="fa-IR"/>
        </w:rPr>
        <w:t xml:space="preserve"> في « جن » : - « له ».</w:t>
      </w:r>
    </w:p>
    <w:p w:rsidR="00744A1C" w:rsidRDefault="00E378DD" w:rsidP="00E378DD">
      <w:pPr>
        <w:pStyle w:val="libFootnote0"/>
        <w:rPr>
          <w:lang w:bidi="fa-IR"/>
        </w:rPr>
      </w:pPr>
      <w:r>
        <w:rPr>
          <w:rtl/>
          <w:lang w:bidi="fa-IR"/>
        </w:rPr>
        <w:t>(5).</w:t>
      </w:r>
      <w:r w:rsidR="00744A1C">
        <w:rPr>
          <w:rtl/>
          <w:lang w:bidi="fa-IR"/>
        </w:rPr>
        <w:t xml:space="preserve"> في حاشية « جت » : « أن يردفه ». وفي </w:t>
      </w:r>
      <w:r w:rsidR="00744A1C" w:rsidRPr="00C24F9C">
        <w:rPr>
          <w:rStyle w:val="libFootnoteBoldChar"/>
          <w:rtl/>
        </w:rPr>
        <w:t>الوافي</w:t>
      </w:r>
      <w:r w:rsidR="00744A1C">
        <w:rPr>
          <w:rtl/>
          <w:lang w:bidi="fa-IR"/>
        </w:rPr>
        <w:t xml:space="preserve"> : « أن يرويه ( يرزقه - خ ل ) ». وفي هامش المطبوع : « في بعض النسخ : يرزقه. وفي بعضها : يرويه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15 ، ص 134 ، ح 14795 ؛ </w:t>
      </w:r>
      <w:r w:rsidR="00744A1C" w:rsidRPr="00C24F9C">
        <w:rPr>
          <w:rStyle w:val="libFootnoteBoldChar"/>
          <w:rtl/>
        </w:rPr>
        <w:t>الوسائل</w:t>
      </w:r>
      <w:r w:rsidR="00744A1C">
        <w:rPr>
          <w:rtl/>
          <w:lang w:bidi="fa-IR"/>
        </w:rPr>
        <w:t xml:space="preserve"> ، ج 15 ، ص 91 ، ذيل ح 20050.</w:t>
      </w:r>
    </w:p>
    <w:tbl>
      <w:tblPr>
        <w:tblStyle w:val="TableGrid"/>
        <w:bidiVisual/>
        <w:tblW w:w="0" w:type="auto"/>
        <w:tblLook w:val="04A0" w:firstRow="1" w:lastRow="0" w:firstColumn="1" w:lastColumn="0" w:noHBand="0" w:noVBand="1"/>
      </w:tblPr>
      <w:tblGrid>
        <w:gridCol w:w="4006"/>
        <w:gridCol w:w="4006"/>
      </w:tblGrid>
      <w:tr w:rsidR="007013CD" w:rsidTr="007013CD">
        <w:tc>
          <w:tcPr>
            <w:tcW w:w="4006" w:type="dxa"/>
          </w:tcPr>
          <w:p w:rsidR="007013CD" w:rsidRDefault="007013CD" w:rsidP="00E378DD">
            <w:pPr>
              <w:pStyle w:val="libFootnote0"/>
              <w:rPr>
                <w:rtl/>
                <w:lang w:bidi="fa-IR"/>
              </w:rPr>
            </w:pPr>
            <w:r>
              <w:rPr>
                <w:rtl/>
                <w:lang w:bidi="fa-IR"/>
              </w:rPr>
              <w:t>(7). في « جن » : « يبتغي ».</w:t>
            </w:r>
          </w:p>
        </w:tc>
        <w:tc>
          <w:tcPr>
            <w:tcW w:w="4006" w:type="dxa"/>
          </w:tcPr>
          <w:p w:rsidR="007013CD" w:rsidRDefault="007013CD" w:rsidP="00E378DD">
            <w:pPr>
              <w:pStyle w:val="libFootnote0"/>
              <w:rPr>
                <w:rtl/>
                <w:lang w:bidi="fa-IR"/>
              </w:rPr>
            </w:pPr>
            <w:r>
              <w:rPr>
                <w:rtl/>
                <w:lang w:bidi="fa-IR"/>
              </w:rPr>
              <w:t>(8). في « بث » : - « كان ».</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15 ، ص 133 ، ح 14794 ؛ </w:t>
      </w:r>
      <w:r w:rsidR="00744A1C" w:rsidRPr="00C24F9C">
        <w:rPr>
          <w:rStyle w:val="libFootnoteBoldChar"/>
          <w:rtl/>
        </w:rPr>
        <w:t>الوسائل</w:t>
      </w:r>
      <w:r w:rsidR="00744A1C">
        <w:rPr>
          <w:rtl/>
          <w:lang w:bidi="fa-IR"/>
        </w:rPr>
        <w:t xml:space="preserve"> ، ج 15 ، ص 91 ، ذيل ح 20050.</w:t>
      </w:r>
    </w:p>
    <w:p w:rsidR="006A5060" w:rsidRDefault="006A5060" w:rsidP="00D10E3C">
      <w:pPr>
        <w:pStyle w:val="libNormal"/>
        <w:rPr>
          <w:rtl/>
          <w:lang w:bidi="fa-IR"/>
        </w:rPr>
      </w:pPr>
      <w:r>
        <w:rPr>
          <w:rtl/>
          <w:lang w:bidi="fa-IR"/>
        </w:rPr>
        <w:br w:type="page"/>
      </w:r>
    </w:p>
    <w:p w:rsidR="00144FA6" w:rsidRDefault="00744A1C" w:rsidP="007013CD">
      <w:pPr>
        <w:pStyle w:val="libNormal0"/>
        <w:rPr>
          <w:rtl/>
          <w:lang w:bidi="fa-IR"/>
        </w:rPr>
      </w:pPr>
      <w:r>
        <w:rPr>
          <w:rtl/>
          <w:lang w:bidi="fa-IR"/>
        </w:rPr>
        <w:t>سُفْيَانَ بْنِ عُيَيْنَةَ ، عَنِ الزُّهْرِيِّ ، قَالَ :</w:t>
      </w:r>
    </w:p>
    <w:p w:rsidR="00744A1C" w:rsidRDefault="00744A1C" w:rsidP="00744A1C">
      <w:pPr>
        <w:pStyle w:val="libNormal"/>
        <w:rPr>
          <w:lang w:bidi="fa-IR"/>
        </w:rPr>
      </w:pPr>
      <w:r>
        <w:rPr>
          <w:rtl/>
          <w:lang w:bidi="fa-IR"/>
        </w:rPr>
        <w:t>دَخَلَ رِجَالٌ مِنْ قُرَيْشٍ عَلى عَلِيِّ بْنِ الْحُسَيْنِ صَلَوَاتُ اللهِ عَلَيْهِمَا ، فَسَأَلُوهُ : كَيْفَ الدَّعْوَةُ إِلَى الدِّينِ؟</w:t>
      </w:r>
    </w:p>
    <w:p w:rsidR="00144FA6" w:rsidRDefault="00744A1C" w:rsidP="00744A1C">
      <w:pPr>
        <w:pStyle w:val="libNormal"/>
        <w:rPr>
          <w:rtl/>
          <w:lang w:bidi="fa-IR"/>
        </w:rPr>
      </w:pPr>
      <w:r>
        <w:rPr>
          <w:rtl/>
          <w:lang w:bidi="fa-IR"/>
        </w:rPr>
        <w:t xml:space="preserve">فَقَالَ </w:t>
      </w:r>
      <w:r w:rsidRPr="00D10E3C">
        <w:rPr>
          <w:rStyle w:val="libFootnotenumChar"/>
          <w:rtl/>
        </w:rPr>
        <w:t>(1)</w:t>
      </w:r>
      <w:r>
        <w:rPr>
          <w:rtl/>
          <w:lang w:bidi="fa-IR"/>
        </w:rPr>
        <w:t xml:space="preserve"> : « تَقُولُ </w:t>
      </w:r>
      <w:r w:rsidRPr="00D10E3C">
        <w:rPr>
          <w:rStyle w:val="libFootnotenumChar"/>
          <w:rtl/>
        </w:rPr>
        <w:t>(2)</w:t>
      </w:r>
      <w:r>
        <w:rPr>
          <w:rtl/>
          <w:lang w:bidi="fa-IR"/>
        </w:rPr>
        <w:t xml:space="preserve"> : بِسْمِ اللهِ الرَّحْمنِ الرَّحِيمِ ، أَدْعُوكُمْ </w:t>
      </w:r>
      <w:r w:rsidRPr="00D10E3C">
        <w:rPr>
          <w:rStyle w:val="libFootnotenumChar"/>
          <w:rtl/>
        </w:rPr>
        <w:t>(3)</w:t>
      </w:r>
      <w:r>
        <w:rPr>
          <w:rtl/>
          <w:lang w:bidi="fa-IR"/>
        </w:rPr>
        <w:t xml:space="preserve"> إِلَى اللهِ عَزَّ وَجَلَّ وَإِلى دِينِهِ ، وَجِمَاعُهُ </w:t>
      </w:r>
      <w:r w:rsidRPr="00D10E3C">
        <w:rPr>
          <w:rStyle w:val="libFootnotenumChar"/>
          <w:rtl/>
        </w:rPr>
        <w:t>(4)</w:t>
      </w:r>
      <w:r>
        <w:rPr>
          <w:rtl/>
          <w:lang w:bidi="fa-IR"/>
        </w:rPr>
        <w:t xml:space="preserve"> أَمْرَانِ : أَحَدُهُمَا مَعْرِفَةُ اللهِ عَزَّ وَجَلَّ ، وَالْآخَرُ الْعَمَلُ بِرِضْوَانِهِ ، وَإِنَّ </w:t>
      </w:r>
      <w:r w:rsidRPr="00D10E3C">
        <w:rPr>
          <w:rStyle w:val="libFootnotenumChar"/>
          <w:rtl/>
        </w:rPr>
        <w:t>(5)</w:t>
      </w:r>
      <w:r>
        <w:rPr>
          <w:rtl/>
          <w:lang w:bidi="fa-IR"/>
        </w:rPr>
        <w:t xml:space="preserve"> مَعْرِفَةَ اللهِ - عَزَّ وَجَلَّ - أَنْ يُعْرَفَ بِالْوَحْدَانِيَّةِ وَالرَّأْفَةِ وَالرَّحْمَةِ وَالْعِزَّةِ وَالْعِلْمِ وَالْقُدْرَةِ وَالْعُلُوِّ عَلى كُلِّ شَيْ‌ءٍ ، وَأَنَّهُ النَّافِعُ الضَّارُّ الْقَاهِرُ لِكُلِّ شَيْ‌ءٍ ، الَّذِي</w:t>
      </w:r>
      <w:r w:rsidR="007013CD">
        <w:rPr>
          <w:rFonts w:hint="cs"/>
          <w:rtl/>
          <w:lang w:bidi="fa-IR"/>
        </w:rPr>
        <w:t xml:space="preserve"> </w:t>
      </w:r>
      <w:r w:rsidRPr="007013CD">
        <w:rPr>
          <w:rStyle w:val="libAlaemChar"/>
          <w:rtl/>
        </w:rPr>
        <w:t>(</w:t>
      </w:r>
      <w:r w:rsidRPr="007013CD">
        <w:rPr>
          <w:rStyle w:val="libAieChar"/>
          <w:rtl/>
        </w:rPr>
        <w:t xml:space="preserve"> لا تُدْرِكُهُ الْأَبْصارُ وَهُوَ يُدْرِكُ الْأَبْصارَ وَهُوَ اللَّطِيفُ الْخَبِيرُ </w:t>
      </w:r>
      <w:r w:rsidRPr="007013CD">
        <w:rPr>
          <w:rStyle w:val="libAlaemChar"/>
          <w:rtl/>
        </w:rPr>
        <w:t>)</w:t>
      </w:r>
      <w:r>
        <w:rPr>
          <w:rtl/>
          <w:lang w:bidi="fa-IR"/>
        </w:rPr>
        <w:t xml:space="preserve"> </w:t>
      </w:r>
      <w:r w:rsidRPr="00D10E3C">
        <w:rPr>
          <w:rStyle w:val="libFootnotenumChar"/>
          <w:rtl/>
        </w:rPr>
        <w:t>(6)</w:t>
      </w:r>
      <w:r>
        <w:rPr>
          <w:rtl/>
          <w:lang w:bidi="fa-IR"/>
        </w:rPr>
        <w:t xml:space="preserve"> وَأَنَّ مُحَمَّداً عَبْدُهُ وَرَسُولُهُ ، وَأَنَّ مَا جَاءَ بِهِ هُوَ الْحَقُّ مِنْ عِنْدِ اللهِ عَزَّ وَجَلَّ ، وَمَا سِوَاهُ هُوَ الْبَاطِلُ ، فَإِذَا أَجَابُوا إِلى ذلِكَ ، فَلَهُمْ مَا لِلْمُسْلِمِينَ </w:t>
      </w:r>
      <w:r w:rsidRPr="00D10E3C">
        <w:rPr>
          <w:rStyle w:val="libFootnotenumChar"/>
          <w:rtl/>
        </w:rPr>
        <w:t>(7)</w:t>
      </w:r>
      <w:r>
        <w:rPr>
          <w:rtl/>
          <w:lang w:bidi="fa-IR"/>
        </w:rPr>
        <w:t xml:space="preserve"> ، وَعَلَيْهِمْ مَا عَلَى الْمُسْلِمِينَ </w:t>
      </w:r>
      <w:r w:rsidRPr="00D10E3C">
        <w:rPr>
          <w:rStyle w:val="libFootnotenumChar"/>
          <w:rtl/>
        </w:rPr>
        <w:t>(8)</w:t>
      </w:r>
      <w:r>
        <w:rPr>
          <w:rtl/>
          <w:lang w:bidi="fa-IR"/>
        </w:rPr>
        <w:t xml:space="preserve"> ». </w:t>
      </w:r>
      <w:r w:rsidRPr="00D10E3C">
        <w:rPr>
          <w:rStyle w:val="libFootnotenumChar"/>
          <w:rtl/>
        </w:rPr>
        <w:t>(9)</w:t>
      </w:r>
    </w:p>
    <w:p w:rsidR="00144FA6" w:rsidRDefault="00744A1C" w:rsidP="00744A1C">
      <w:pPr>
        <w:pStyle w:val="libNormal"/>
        <w:rPr>
          <w:rtl/>
          <w:lang w:bidi="fa-IR"/>
        </w:rPr>
      </w:pPr>
      <w:r>
        <w:rPr>
          <w:rtl/>
          <w:lang w:bidi="fa-IR"/>
        </w:rPr>
        <w:t>8259 / 2. عِدَّةٌ مِنْ أَصْحَابِنَا ، عَنْ سَهْلِ بْنِ زِيَادٍ ، عَنْ مُحَمَّدِ بْنِ الْحَسَنِ بْنِ شَمُّونٍ ، عَنْ عَبْدِ اللهِ بْنِ عَبْدِ الرَّحْمنِ ، عَنْ مِسْمَعِ بْنِ عَبْدِ الْمَلِكِ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w:t>
      </w:r>
      <w:r w:rsidR="0061079A" w:rsidRPr="0061079A">
        <w:rPr>
          <w:rStyle w:val="libAlaemChar"/>
          <w:rtl/>
        </w:rPr>
        <w:t>عليه‌السلام</w:t>
      </w:r>
      <w:r w:rsidR="00D10E3C">
        <w:rPr>
          <w:rtl/>
          <w:lang w:bidi="fa-IR"/>
        </w:rPr>
        <w:t xml:space="preserve"> </w:t>
      </w:r>
      <w:r>
        <w:rPr>
          <w:rtl/>
          <w:lang w:bidi="fa-IR"/>
        </w:rPr>
        <w:t xml:space="preserve">: لَمَّا وَجَّهَنِي رَسُولُ اللهِ </w:t>
      </w:r>
      <w:r w:rsidR="005E465D" w:rsidRPr="005E465D">
        <w:rPr>
          <w:rStyle w:val="libAlaemChar"/>
          <w:rtl/>
        </w:rPr>
        <w:t>صلى‌الله‌عليه‌وآله</w:t>
      </w:r>
      <w:r w:rsidR="00D10E3C">
        <w:rPr>
          <w:rtl/>
          <w:lang w:bidi="fa-IR"/>
        </w:rPr>
        <w:t xml:space="preserve"> </w:t>
      </w:r>
      <w:r>
        <w:rPr>
          <w:rtl/>
          <w:lang w:bidi="fa-IR"/>
        </w:rPr>
        <w:t xml:space="preserve">إِلَى الْيَمَنِ ، قَالَ : يَا عَلِيُّ ، لَاتُقَاتِلْ أَحَداً حَتّى تَدْعُوَهُ إِلَى الْإِسْلَامِ </w:t>
      </w:r>
      <w:r w:rsidRPr="00D10E3C">
        <w:rPr>
          <w:rStyle w:val="libFootnotenumChar"/>
          <w:rtl/>
        </w:rPr>
        <w:t>(10)</w:t>
      </w:r>
      <w:r>
        <w:rPr>
          <w:rtl/>
          <w:lang w:bidi="fa-IR"/>
        </w:rPr>
        <w:t xml:space="preserve"> ، وَايْمُ اللهِ لَأَنْ يَهْدِيَ‌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ى ، بث ، بح ، بف ، جت ، جد » </w:t>
      </w:r>
      <w:r w:rsidR="00744A1C" w:rsidRPr="007013CD">
        <w:rPr>
          <w:rtl/>
        </w:rPr>
        <w:t>والوافي والوسائل والتهذيب</w:t>
      </w:r>
      <w:r w:rsidR="00744A1C">
        <w:rPr>
          <w:rtl/>
          <w:lang w:bidi="fa-IR"/>
        </w:rPr>
        <w:t>. وفي سائر النسخ والمطبوع : « قال ».</w:t>
      </w:r>
    </w:p>
    <w:p w:rsidR="00744A1C" w:rsidRDefault="00E378DD" w:rsidP="00E378DD">
      <w:pPr>
        <w:pStyle w:val="libFootnote0"/>
        <w:rPr>
          <w:lang w:bidi="fa-IR"/>
        </w:rPr>
      </w:pPr>
      <w:r>
        <w:rPr>
          <w:rtl/>
          <w:lang w:bidi="fa-IR"/>
        </w:rPr>
        <w:t>(2).</w:t>
      </w:r>
      <w:r w:rsidR="00744A1C">
        <w:rPr>
          <w:rtl/>
          <w:lang w:bidi="fa-IR"/>
        </w:rPr>
        <w:t xml:space="preserve"> في « بث ، جن » : « يقول ». وفي « جت » بالتاء والياء معاً.</w:t>
      </w:r>
    </w:p>
    <w:p w:rsidR="00744A1C" w:rsidRDefault="00E378DD" w:rsidP="00E378DD">
      <w:pPr>
        <w:pStyle w:val="libFootnote0"/>
        <w:rPr>
          <w:lang w:bidi="fa-IR"/>
        </w:rPr>
      </w:pPr>
      <w:r>
        <w:rPr>
          <w:rtl/>
          <w:lang w:bidi="fa-IR"/>
        </w:rPr>
        <w:t>(3).</w:t>
      </w:r>
      <w:r w:rsidR="00744A1C">
        <w:rPr>
          <w:rtl/>
          <w:lang w:bidi="fa-IR"/>
        </w:rPr>
        <w:t xml:space="preserve"> في « ى ، بث ، بح ، بف ، جن » وحاشة « جت » </w:t>
      </w:r>
      <w:r w:rsidR="00744A1C" w:rsidRPr="007013CD">
        <w:rPr>
          <w:rtl/>
        </w:rPr>
        <w:t>والوافي والوسائل والتهذيب</w:t>
      </w:r>
      <w:r w:rsidR="00744A1C">
        <w:rPr>
          <w:rtl/>
          <w:lang w:bidi="fa-IR"/>
        </w:rPr>
        <w:t xml:space="preserve"> : « أدعوك ».</w:t>
      </w:r>
    </w:p>
    <w:p w:rsidR="00744A1C" w:rsidRDefault="00E378DD" w:rsidP="00E378DD">
      <w:pPr>
        <w:pStyle w:val="libFootnote0"/>
        <w:rPr>
          <w:lang w:bidi="fa-IR"/>
        </w:rPr>
      </w:pPr>
      <w:r>
        <w:rPr>
          <w:rtl/>
          <w:lang w:bidi="fa-IR"/>
        </w:rPr>
        <w:t>(4).</w:t>
      </w:r>
      <w:r w:rsidR="00744A1C">
        <w:rPr>
          <w:rtl/>
          <w:lang w:bidi="fa-IR"/>
        </w:rPr>
        <w:t xml:space="preserve"> في </w:t>
      </w:r>
      <w:r w:rsidR="00744A1C" w:rsidRPr="00877682">
        <w:rPr>
          <w:rStyle w:val="libFootnoteBoldChar"/>
          <w:rtl/>
        </w:rPr>
        <w:t>النهاية</w:t>
      </w:r>
      <w:r w:rsidR="00744A1C">
        <w:rPr>
          <w:rtl/>
          <w:lang w:bidi="fa-IR"/>
        </w:rPr>
        <w:t xml:space="preserve"> ، ج 1 ، ص 295 ( جمع ) : « فيه [ أي : في الحديث ] : حدّثني بكلمة تكون جِماعاً .... الجِماع : ما جمع‌</w:t>
      </w:r>
      <w:r w:rsidR="007013CD">
        <w:rPr>
          <w:rFonts w:hint="cs"/>
          <w:rtl/>
          <w:lang w:bidi="fa-IR"/>
        </w:rPr>
        <w:t xml:space="preserve"> </w:t>
      </w:r>
      <w:r w:rsidR="00744A1C">
        <w:rPr>
          <w:rtl/>
          <w:lang w:bidi="fa-IR"/>
        </w:rPr>
        <w:t xml:space="preserve">عدداً ، أي كلمة تجمع كلمات ». وفي </w:t>
      </w:r>
      <w:r w:rsidR="00744A1C" w:rsidRPr="00C24F9C">
        <w:rPr>
          <w:rStyle w:val="libFootnoteBoldChar"/>
          <w:rtl/>
        </w:rPr>
        <w:t>الوافي</w:t>
      </w:r>
      <w:r w:rsidR="00744A1C">
        <w:rPr>
          <w:rtl/>
          <w:lang w:bidi="fa-IR"/>
        </w:rPr>
        <w:t xml:space="preserve"> : « أي مجمع الدعاء إلى الدين وما يجمعه ».</w:t>
      </w:r>
    </w:p>
    <w:tbl>
      <w:tblPr>
        <w:tblStyle w:val="TableGrid"/>
        <w:bidiVisual/>
        <w:tblW w:w="0" w:type="auto"/>
        <w:tblLook w:val="04A0" w:firstRow="1" w:lastRow="0" w:firstColumn="1" w:lastColumn="0" w:noHBand="0" w:noVBand="1"/>
      </w:tblPr>
      <w:tblGrid>
        <w:gridCol w:w="4006"/>
        <w:gridCol w:w="4006"/>
      </w:tblGrid>
      <w:tr w:rsidR="007013CD" w:rsidTr="007013CD">
        <w:tc>
          <w:tcPr>
            <w:tcW w:w="4006" w:type="dxa"/>
          </w:tcPr>
          <w:p w:rsidR="007013CD" w:rsidRDefault="007013CD" w:rsidP="00E378DD">
            <w:pPr>
              <w:pStyle w:val="libFootnote0"/>
              <w:rPr>
                <w:rtl/>
                <w:lang w:bidi="fa-IR"/>
              </w:rPr>
            </w:pPr>
            <w:r>
              <w:rPr>
                <w:rtl/>
                <w:lang w:bidi="fa-IR"/>
              </w:rPr>
              <w:t xml:space="preserve">(5). في « ى ، جن » </w:t>
            </w:r>
            <w:r w:rsidRPr="00C55CFB">
              <w:rPr>
                <w:rtl/>
              </w:rPr>
              <w:t>والتهذيب</w:t>
            </w:r>
            <w:r>
              <w:rPr>
                <w:rtl/>
                <w:lang w:bidi="fa-IR"/>
              </w:rPr>
              <w:t xml:space="preserve"> : « فإنّ ».</w:t>
            </w:r>
          </w:p>
        </w:tc>
        <w:tc>
          <w:tcPr>
            <w:tcW w:w="4006" w:type="dxa"/>
          </w:tcPr>
          <w:p w:rsidR="007013CD" w:rsidRDefault="007013CD" w:rsidP="00E378DD">
            <w:pPr>
              <w:pStyle w:val="libFootnote0"/>
              <w:rPr>
                <w:rtl/>
                <w:lang w:bidi="fa-IR"/>
              </w:rPr>
            </w:pPr>
            <w:r>
              <w:rPr>
                <w:rtl/>
                <w:lang w:bidi="fa-IR"/>
              </w:rPr>
              <w:t xml:space="preserve">(6). الأنعام </w:t>
            </w:r>
            <w:r w:rsidR="00C55CFB">
              <w:rPr>
                <w:rtl/>
                <w:lang w:bidi="fa-IR"/>
              </w:rPr>
              <w:t>(6)</w:t>
            </w:r>
            <w:r>
              <w:rPr>
                <w:rtl/>
                <w:lang w:bidi="fa-IR"/>
              </w:rPr>
              <w:t xml:space="preserve"> : 103.</w:t>
            </w:r>
          </w:p>
        </w:tc>
      </w:tr>
      <w:tr w:rsidR="007013CD" w:rsidTr="007013CD">
        <w:tc>
          <w:tcPr>
            <w:tcW w:w="4006" w:type="dxa"/>
          </w:tcPr>
          <w:p w:rsidR="007013CD" w:rsidRDefault="007013CD" w:rsidP="00E378DD">
            <w:pPr>
              <w:pStyle w:val="libFootnote0"/>
              <w:rPr>
                <w:rtl/>
                <w:lang w:bidi="fa-IR"/>
              </w:rPr>
            </w:pPr>
            <w:r>
              <w:rPr>
                <w:rtl/>
                <w:lang w:bidi="fa-IR"/>
              </w:rPr>
              <w:t xml:space="preserve">(7). في </w:t>
            </w:r>
            <w:r w:rsidRPr="00C55CFB">
              <w:rPr>
                <w:rtl/>
              </w:rPr>
              <w:t>التهذيب</w:t>
            </w:r>
            <w:r>
              <w:rPr>
                <w:rtl/>
                <w:lang w:bidi="fa-IR"/>
              </w:rPr>
              <w:t xml:space="preserve"> : « للمؤمنين ».</w:t>
            </w:r>
          </w:p>
        </w:tc>
        <w:tc>
          <w:tcPr>
            <w:tcW w:w="4006" w:type="dxa"/>
          </w:tcPr>
          <w:p w:rsidR="007013CD" w:rsidRDefault="007013CD" w:rsidP="00E378DD">
            <w:pPr>
              <w:pStyle w:val="libFootnote0"/>
              <w:rPr>
                <w:rtl/>
                <w:lang w:bidi="fa-IR"/>
              </w:rPr>
            </w:pPr>
            <w:r>
              <w:rPr>
                <w:rtl/>
                <w:lang w:bidi="fa-IR"/>
              </w:rPr>
              <w:t xml:space="preserve">(8). في </w:t>
            </w:r>
            <w:r w:rsidRPr="00C55CFB">
              <w:rPr>
                <w:rtl/>
              </w:rPr>
              <w:t>التهذيب</w:t>
            </w:r>
            <w:r>
              <w:rPr>
                <w:rtl/>
                <w:lang w:bidi="fa-IR"/>
              </w:rPr>
              <w:t xml:space="preserve"> : « على المؤمنين ».</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141 ، ح 239 ، بسنده عن القاسم بن محمّد ، عن سليمان بن داود المنقري </w:t>
      </w:r>
      <w:r w:rsidR="00C55CFB">
        <w:rPr>
          <w:rFonts w:hint="cs"/>
          <w:rtl/>
          <w:lang w:bidi="fa-IR"/>
        </w:rPr>
        <w:t>.</w:t>
      </w:r>
      <w:r w:rsidR="00744A1C" w:rsidRPr="00C24F9C">
        <w:rPr>
          <w:rStyle w:val="libFootnoteBoldChar"/>
          <w:rtl/>
        </w:rPr>
        <w:t>الوافي</w:t>
      </w:r>
      <w:r w:rsidR="00744A1C">
        <w:rPr>
          <w:rtl/>
          <w:lang w:bidi="fa-IR"/>
        </w:rPr>
        <w:t xml:space="preserve"> ، ج 15 ، ص 103 ، ح 14756 ؛ </w:t>
      </w:r>
      <w:r w:rsidR="00744A1C" w:rsidRPr="00C24F9C">
        <w:rPr>
          <w:rStyle w:val="libFootnoteBoldChar"/>
          <w:rtl/>
        </w:rPr>
        <w:t>الوسائل</w:t>
      </w:r>
      <w:r w:rsidR="00744A1C">
        <w:rPr>
          <w:rtl/>
          <w:lang w:bidi="fa-IR"/>
        </w:rPr>
        <w:t xml:space="preserve"> ، ج 15 ، ص 44 ، ح 19953.</w:t>
      </w:r>
    </w:p>
    <w:p w:rsidR="00744A1C" w:rsidRDefault="00E378DD" w:rsidP="00E378DD">
      <w:pPr>
        <w:pStyle w:val="libFootnote0"/>
        <w:rPr>
          <w:lang w:bidi="fa-IR"/>
        </w:rPr>
      </w:pPr>
      <w:r>
        <w:rPr>
          <w:rtl/>
          <w:lang w:bidi="fa-IR"/>
        </w:rPr>
        <w:t>(10).</w:t>
      </w:r>
      <w:r w:rsidR="00744A1C">
        <w:rPr>
          <w:rtl/>
          <w:lang w:bidi="fa-IR"/>
        </w:rPr>
        <w:t xml:space="preserve"> في </w:t>
      </w:r>
      <w:r w:rsidR="00744A1C" w:rsidRPr="0061079A">
        <w:rPr>
          <w:rStyle w:val="libFootnoteBoldChar"/>
          <w:rtl/>
        </w:rPr>
        <w:t>الكافي</w:t>
      </w:r>
      <w:r w:rsidR="00744A1C">
        <w:rPr>
          <w:rtl/>
          <w:lang w:bidi="fa-IR"/>
        </w:rPr>
        <w:t xml:space="preserve"> ، ح 8232 </w:t>
      </w:r>
      <w:r w:rsidR="00744A1C" w:rsidRPr="00C55CFB">
        <w:rPr>
          <w:rtl/>
        </w:rPr>
        <w:t>والتهذيب</w:t>
      </w:r>
      <w:r w:rsidR="00744A1C">
        <w:rPr>
          <w:rtl/>
          <w:lang w:bidi="fa-IR"/>
        </w:rPr>
        <w:t xml:space="preserve"> : - « إلى الإسلام ».</w:t>
      </w:r>
    </w:p>
    <w:p w:rsidR="006A5060" w:rsidRDefault="006A5060" w:rsidP="00D10E3C">
      <w:pPr>
        <w:pStyle w:val="libNormal"/>
        <w:rPr>
          <w:rtl/>
          <w:lang w:bidi="fa-IR"/>
        </w:rPr>
      </w:pPr>
      <w:r>
        <w:rPr>
          <w:rtl/>
          <w:lang w:bidi="fa-IR"/>
        </w:rPr>
        <w:br w:type="page"/>
      </w:r>
    </w:p>
    <w:p w:rsidR="00144FA6" w:rsidRDefault="00744A1C" w:rsidP="00C55CFB">
      <w:pPr>
        <w:pStyle w:val="libNormal0"/>
        <w:rPr>
          <w:rtl/>
          <w:lang w:bidi="fa-IR"/>
        </w:rPr>
      </w:pPr>
      <w:r>
        <w:rPr>
          <w:rtl/>
          <w:lang w:bidi="fa-IR"/>
        </w:rPr>
        <w:t>اللهُ - عَزَّ وَجَلَّ - عَلى يَدَيْكَ رَجُلاً خَيْرٌ لَكَ مِمَّا طَلَعَتْ عَلَيْهِ الشَّمْسُ وَغَرَبَتْ ، وَلَكَ وَلَاؤُهُ</w:t>
      </w:r>
      <w:r w:rsidRPr="00D10E3C">
        <w:rPr>
          <w:rStyle w:val="libFootnotenumChar"/>
          <w:rtl/>
        </w:rPr>
        <w:t>(1)</w:t>
      </w:r>
      <w:r>
        <w:rPr>
          <w:rtl/>
          <w:lang w:bidi="fa-IR"/>
        </w:rPr>
        <w:t>».</w:t>
      </w:r>
      <w:r w:rsidRPr="00D10E3C">
        <w:rPr>
          <w:rStyle w:val="libFootnotenumChar"/>
          <w:rtl/>
        </w:rPr>
        <w:t>(2)</w:t>
      </w:r>
    </w:p>
    <w:p w:rsidR="00744A1C" w:rsidRDefault="00744A1C" w:rsidP="00C55CFB">
      <w:pPr>
        <w:pStyle w:val="Heading2Center"/>
        <w:rPr>
          <w:lang w:bidi="fa-IR"/>
        </w:rPr>
      </w:pPr>
      <w:bookmarkStart w:id="103" w:name="_Toc49261401"/>
      <w:r>
        <w:rPr>
          <w:rtl/>
          <w:lang w:bidi="fa-IR"/>
        </w:rPr>
        <w:t xml:space="preserve">15 - بَابُ مَا كَانَ يُوصِي </w:t>
      </w:r>
      <w:r w:rsidRPr="00D10E3C">
        <w:rPr>
          <w:rStyle w:val="libFootnotenumChar"/>
          <w:rtl/>
        </w:rPr>
        <w:t>(3)</w:t>
      </w:r>
      <w:r>
        <w:rPr>
          <w:rtl/>
          <w:lang w:bidi="fa-IR"/>
        </w:rPr>
        <w:t xml:space="preserve"> أَمِيرُ الْمُؤْمِنِينَ </w:t>
      </w:r>
      <w:r w:rsidR="0061079A" w:rsidRPr="0061079A">
        <w:rPr>
          <w:rStyle w:val="libAlaemChar"/>
          <w:rtl/>
        </w:rPr>
        <w:t>عليه‌السلام</w:t>
      </w:r>
      <w:r w:rsidR="00D10E3C">
        <w:rPr>
          <w:rtl/>
          <w:lang w:bidi="fa-IR"/>
        </w:rPr>
        <w:t xml:space="preserve"> </w:t>
      </w:r>
      <w:r>
        <w:rPr>
          <w:rtl/>
          <w:lang w:bidi="fa-IR"/>
        </w:rPr>
        <w:t xml:space="preserve">بِهِ </w:t>
      </w:r>
      <w:r w:rsidRPr="00D10E3C">
        <w:rPr>
          <w:rStyle w:val="libFootnotenumChar"/>
          <w:rtl/>
        </w:rPr>
        <w:t>(4)</w:t>
      </w:r>
      <w:r>
        <w:rPr>
          <w:rtl/>
          <w:lang w:bidi="fa-IR"/>
        </w:rPr>
        <w:t xml:space="preserve"> عِنْدَ الْقِتَالِ‌</w:t>
      </w:r>
      <w:bookmarkEnd w:id="103"/>
    </w:p>
    <w:p w:rsidR="00144FA6" w:rsidRDefault="00744A1C" w:rsidP="00744A1C">
      <w:pPr>
        <w:pStyle w:val="libNormal"/>
        <w:rPr>
          <w:rtl/>
          <w:lang w:bidi="fa-IR"/>
        </w:rPr>
      </w:pPr>
      <w:r>
        <w:rPr>
          <w:rtl/>
          <w:lang w:bidi="fa-IR"/>
        </w:rPr>
        <w:t xml:space="preserve">8260 / 1. عَلِيُّ بْنُ إِبْرَاهِيمَ ، عَنْ أَبِيهِ ، عَنْ بَعْضِ أَصْحَابِهِ </w:t>
      </w:r>
      <w:r w:rsidRPr="00D10E3C">
        <w:rPr>
          <w:rStyle w:val="libFootnotenumChar"/>
          <w:rtl/>
        </w:rPr>
        <w:t>(5)</w:t>
      </w:r>
      <w:r>
        <w:rPr>
          <w:rtl/>
          <w:lang w:bidi="fa-IR"/>
        </w:rPr>
        <w:t xml:space="preserve"> ، عَنْ أَبِي حَمْزَةَ ، عَنْ عَقِيلٍ الْخُزَاعِيِّ :</w:t>
      </w:r>
    </w:p>
    <w:p w:rsidR="00744A1C" w:rsidRDefault="00744A1C" w:rsidP="00744A1C">
      <w:pPr>
        <w:pStyle w:val="libNormal"/>
        <w:rPr>
          <w:lang w:bidi="fa-IR"/>
        </w:rPr>
      </w:pPr>
      <w:r>
        <w:rPr>
          <w:rtl/>
          <w:lang w:bidi="fa-IR"/>
        </w:rPr>
        <w:t xml:space="preserve">أَنَّ أَمِيرَ الْمُؤْمِنِينَ </w:t>
      </w:r>
      <w:r w:rsidR="0061079A" w:rsidRPr="0061079A">
        <w:rPr>
          <w:rStyle w:val="libAlaemChar"/>
          <w:rtl/>
        </w:rPr>
        <w:t>عليه‌السلام</w:t>
      </w:r>
      <w:r w:rsidR="00D10E3C">
        <w:rPr>
          <w:rtl/>
          <w:lang w:bidi="fa-IR"/>
        </w:rPr>
        <w:t xml:space="preserve"> </w:t>
      </w:r>
      <w:r>
        <w:rPr>
          <w:rtl/>
          <w:lang w:bidi="fa-IR"/>
        </w:rPr>
        <w:t xml:space="preserve">كَانَ إِذَا حَضَرَ الْحَرْبَ يُوصِي لِلْمُسْلِمِينَ </w:t>
      </w:r>
      <w:r w:rsidRPr="00D10E3C">
        <w:rPr>
          <w:rStyle w:val="libFootnotenumChar"/>
          <w:rtl/>
        </w:rPr>
        <w:t>(6)</w:t>
      </w:r>
      <w:r>
        <w:rPr>
          <w:rtl/>
          <w:lang w:bidi="fa-IR"/>
        </w:rPr>
        <w:t xml:space="preserve"> بِكَلِمَاتٍ ، فَيَقُولُ </w:t>
      </w:r>
      <w:r w:rsidRPr="00D10E3C">
        <w:rPr>
          <w:rStyle w:val="libFootnotenumChar"/>
          <w:rtl/>
        </w:rPr>
        <w:t>(7)</w:t>
      </w:r>
      <w:r>
        <w:rPr>
          <w:rtl/>
          <w:lang w:bidi="fa-IR"/>
        </w:rPr>
        <w:t xml:space="preserve"> : « تَعَاهَدُوا الصَّلَاةَ ، وَحَافِظُوا عَلَيْهَا ، وَاسْتَكْثِرُوا مِنْهَا ، وَتَقَرَّبُوا بِهَا ؛ فَإِنَّهَا كانَتْ عَلَى الْمُؤْمِنِينَ كِتاباً مَوْقُوتاً </w:t>
      </w:r>
      <w:r w:rsidRPr="00D10E3C">
        <w:rPr>
          <w:rStyle w:val="libFootnotenumChar"/>
          <w:rtl/>
        </w:rPr>
        <w:t>(8)</w:t>
      </w:r>
      <w:r>
        <w:rPr>
          <w:rtl/>
          <w:lang w:bidi="fa-IR"/>
        </w:rPr>
        <w:t xml:space="preserve"> ، وَقَدْ عَلِمَ ذلِكَ </w:t>
      </w:r>
      <w:r w:rsidRPr="00D10E3C">
        <w:rPr>
          <w:rStyle w:val="libFootnotenumChar"/>
          <w:rtl/>
        </w:rPr>
        <w:t>(9)</w:t>
      </w:r>
      <w:r>
        <w:rPr>
          <w:rtl/>
          <w:lang w:bidi="fa-IR"/>
        </w:rPr>
        <w:t xml:space="preserve"> الْكُفَّارُ حِينَ سُئِلُوا</w:t>
      </w:r>
      <w:r w:rsidR="00C55CFB">
        <w:rPr>
          <w:rFonts w:hint="cs"/>
          <w:rtl/>
          <w:lang w:bidi="fa-IR"/>
        </w:rPr>
        <w:t xml:space="preserve"> </w:t>
      </w:r>
      <w:r w:rsidRPr="00C55CFB">
        <w:rPr>
          <w:rStyle w:val="libAlaemChar"/>
          <w:rtl/>
        </w:rPr>
        <w:t>(</w:t>
      </w:r>
      <w:r w:rsidRPr="00C55CFB">
        <w:rPr>
          <w:rStyle w:val="libAieChar"/>
          <w:rtl/>
        </w:rPr>
        <w:t xml:space="preserve"> ما سَلَكَكُمْ فِي سَقَرَ </w:t>
      </w:r>
      <w:r w:rsidRPr="00D10E3C">
        <w:rPr>
          <w:rStyle w:val="libFootnotenumChar"/>
          <w:rtl/>
        </w:rPr>
        <w:t>(10)</w:t>
      </w:r>
      <w:r w:rsidRPr="00C55CFB">
        <w:rPr>
          <w:rStyle w:val="libAieChar"/>
          <w:rtl/>
        </w:rPr>
        <w:t xml:space="preserve"> ‌قالُوا لَمْ نَكُ مِنَ الْمُصَلِّينَ </w:t>
      </w:r>
      <w:r w:rsidRPr="00C55CFB">
        <w:rPr>
          <w:rStyle w:val="libAlaemChar"/>
          <w:rtl/>
        </w:rPr>
        <w:t>)</w:t>
      </w:r>
      <w:r>
        <w:rPr>
          <w:rtl/>
          <w:lang w:bidi="fa-IR"/>
        </w:rPr>
        <w:t xml:space="preserve"> </w:t>
      </w:r>
      <w:r w:rsidRPr="00D10E3C">
        <w:rPr>
          <w:rStyle w:val="libFootnotenumChar"/>
          <w:rtl/>
        </w:rPr>
        <w:t>(11)</w:t>
      </w:r>
      <w:r>
        <w:rPr>
          <w:rtl/>
          <w:lang w:bidi="fa-IR"/>
        </w:rPr>
        <w:t xml:space="preserve"> وَقَدْ عَرَفَ </w:t>
      </w:r>
      <w:r w:rsidRPr="00D10E3C">
        <w:rPr>
          <w:rStyle w:val="libFootnotenumChar"/>
          <w:rtl/>
        </w:rPr>
        <w:t>(12)</w:t>
      </w:r>
      <w:r>
        <w:rPr>
          <w:rtl/>
          <w:lang w:bidi="fa-IR"/>
        </w:rPr>
        <w:t xml:space="preserve"> حَقَّهَا </w:t>
      </w:r>
      <w:r w:rsidRPr="00D10E3C">
        <w:rPr>
          <w:rStyle w:val="libFootnotenumChar"/>
          <w:rtl/>
        </w:rPr>
        <w:t>(13)</w:t>
      </w:r>
      <w:r>
        <w:rPr>
          <w:rtl/>
          <w:lang w:bidi="fa-IR"/>
        </w:rPr>
        <w:t xml:space="preserve"> مَنْ طَرَقَهَا </w:t>
      </w:r>
      <w:r w:rsidRPr="00D10E3C">
        <w:rPr>
          <w:rStyle w:val="libFootnotenumChar"/>
          <w:rtl/>
        </w:rPr>
        <w:t>(14)</w:t>
      </w:r>
      <w:r>
        <w:rPr>
          <w:rtl/>
          <w:lang w:bidi="fa-IR"/>
        </w:rPr>
        <w:t xml:space="preserve"> ، وَأُكْرِمَ بِهَا‌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أيم الله : اسم وضع للقسم. والولاء : أن يرثه ».</w:t>
      </w:r>
    </w:p>
    <w:p w:rsidR="00744A1C" w:rsidRDefault="00E378DD" w:rsidP="00C55CFB">
      <w:pPr>
        <w:pStyle w:val="libFootnote0"/>
        <w:rPr>
          <w:lang w:bidi="fa-IR"/>
        </w:rPr>
      </w:pPr>
      <w:r>
        <w:rPr>
          <w:rtl/>
          <w:lang w:bidi="fa-IR"/>
        </w:rPr>
        <w:t>(2).</w:t>
      </w:r>
      <w:r w:rsidR="00744A1C">
        <w:rPr>
          <w:rtl/>
          <w:lang w:bidi="fa-IR"/>
        </w:rPr>
        <w:t xml:space="preserve"> </w:t>
      </w:r>
      <w:r w:rsidR="00744A1C" w:rsidRPr="0061079A">
        <w:rPr>
          <w:rStyle w:val="libFootnoteBoldChar"/>
          <w:rtl/>
        </w:rPr>
        <w:t>الكافي</w:t>
      </w:r>
      <w:r w:rsidR="00744A1C">
        <w:rPr>
          <w:rtl/>
          <w:lang w:bidi="fa-IR"/>
        </w:rPr>
        <w:t xml:space="preserve"> ، كتاب الجهاد ، باب وصيّة رسول الله </w:t>
      </w:r>
      <w:r w:rsidR="00E843EA" w:rsidRPr="00E843EA">
        <w:rPr>
          <w:rStyle w:val="libFootnoteAlaemChar"/>
          <w:rtl/>
        </w:rPr>
        <w:t>صلى‌الله‌عليه‌وآله</w:t>
      </w:r>
      <w:r w:rsidR="00D10E3C">
        <w:rPr>
          <w:rtl/>
          <w:lang w:bidi="fa-IR"/>
        </w:rPr>
        <w:t xml:space="preserve"> </w:t>
      </w:r>
      <w:r w:rsidR="00744A1C">
        <w:rPr>
          <w:rtl/>
          <w:lang w:bidi="fa-IR"/>
        </w:rPr>
        <w:t xml:space="preserve">وأمير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في السرايا ، ح 8232 ، بسند آخر. وفي </w:t>
      </w:r>
      <w:r w:rsidR="00744A1C" w:rsidRPr="00C24F9C">
        <w:rPr>
          <w:rStyle w:val="libFootnoteBoldChar"/>
          <w:rtl/>
        </w:rPr>
        <w:t>التهذيب</w:t>
      </w:r>
      <w:r w:rsidR="00744A1C">
        <w:rPr>
          <w:rtl/>
          <w:lang w:bidi="fa-IR"/>
        </w:rPr>
        <w:t xml:space="preserve"> ، ج 6 ، ص 141 ، ح 240 ؛ </w:t>
      </w:r>
      <w:r w:rsidR="00744A1C" w:rsidRPr="00C55CFB">
        <w:rPr>
          <w:rStyle w:val="libFootnoteBoldChar"/>
          <w:rtl/>
        </w:rPr>
        <w:t>وا</w:t>
      </w:r>
      <w:r w:rsidR="00744A1C" w:rsidRPr="00877682">
        <w:rPr>
          <w:rStyle w:val="libFootnoteBoldChar"/>
          <w:rtl/>
        </w:rPr>
        <w:t>لجعفريّات</w:t>
      </w:r>
      <w:r w:rsidR="00744A1C">
        <w:rPr>
          <w:rtl/>
          <w:lang w:bidi="fa-IR"/>
        </w:rPr>
        <w:t xml:space="preserve"> ، ص 77 ، بسند آخر عن جعفر بن محمّد ، عن آبائه ، عن عليّ </w:t>
      </w:r>
      <w:r w:rsidR="00877682" w:rsidRPr="00877682">
        <w:rPr>
          <w:rStyle w:val="libFootnoteAlaemChar"/>
          <w:rtl/>
        </w:rPr>
        <w:t>عليهم‌السلام</w:t>
      </w:r>
      <w:r w:rsidR="00744A1C">
        <w:rPr>
          <w:rtl/>
          <w:lang w:bidi="fa-IR"/>
        </w:rPr>
        <w:t xml:space="preserve"> . </w:t>
      </w:r>
      <w:r w:rsidR="00744A1C" w:rsidRPr="00C55CFB">
        <w:rPr>
          <w:rStyle w:val="libFootnoteBoldChar"/>
          <w:rtl/>
        </w:rPr>
        <w:t>مصباح الشريعة</w:t>
      </w:r>
      <w:r w:rsidR="00744A1C">
        <w:rPr>
          <w:rtl/>
          <w:lang w:bidi="fa-IR"/>
        </w:rPr>
        <w:t xml:space="preserve"> ، ص 198 ، الباب 95 ، مرسلاً عن رسول الله </w:t>
      </w:r>
      <w:r w:rsidR="0061079A" w:rsidRPr="0061079A">
        <w:rPr>
          <w:rStyle w:val="libFootnoteAlaemChar"/>
          <w:rtl/>
        </w:rPr>
        <w:t>صلى‌الله‌عليه‌وآله</w:t>
      </w:r>
      <w:r w:rsidR="00D10E3C">
        <w:rPr>
          <w:rtl/>
          <w:lang w:bidi="fa-IR"/>
        </w:rPr>
        <w:t xml:space="preserve"> </w:t>
      </w:r>
      <w:r w:rsidR="00744A1C">
        <w:rPr>
          <w:rtl/>
          <w:lang w:bidi="fa-IR"/>
        </w:rPr>
        <w:t xml:space="preserve">، من قوله : « لأن يهدي الله عزّ وجلّ » إلى قوله : « ممّا طلعت عليه الشمس وغربت » </w:t>
      </w:r>
      <w:r w:rsidR="00C55CFB">
        <w:rPr>
          <w:rFonts w:hint="cs"/>
          <w:rtl/>
          <w:lang w:bidi="fa-IR"/>
        </w:rPr>
        <w:t>.</w:t>
      </w:r>
      <w:r w:rsidR="00744A1C" w:rsidRPr="00C24F9C">
        <w:rPr>
          <w:rStyle w:val="libFootnoteBoldChar"/>
          <w:rtl/>
        </w:rPr>
        <w:t>الوافي</w:t>
      </w:r>
      <w:r w:rsidR="00744A1C">
        <w:rPr>
          <w:rtl/>
          <w:lang w:bidi="fa-IR"/>
        </w:rPr>
        <w:t xml:space="preserve"> ، ج 15 ، ص 91 ، ح 14734 ؛ </w:t>
      </w:r>
      <w:r w:rsidR="00744A1C" w:rsidRPr="00C24F9C">
        <w:rPr>
          <w:rStyle w:val="libFootnoteBoldChar"/>
          <w:rtl/>
        </w:rPr>
        <w:t>الوسائل</w:t>
      </w:r>
      <w:r w:rsidR="00744A1C">
        <w:rPr>
          <w:rtl/>
          <w:lang w:bidi="fa-IR"/>
        </w:rPr>
        <w:t xml:space="preserve"> ، ج 15 ، ص 42 ، ذيل ح 19951.</w:t>
      </w:r>
      <w:r w:rsidR="00C55CFB">
        <w:rPr>
          <w:rFonts w:hint="cs"/>
          <w:rtl/>
          <w:lang w:bidi="fa-IR"/>
        </w:rPr>
        <w:t xml:space="preserve">     </w:t>
      </w:r>
      <w:r>
        <w:rPr>
          <w:rtl/>
          <w:lang w:bidi="fa-IR"/>
        </w:rPr>
        <w:t>(3).</w:t>
      </w:r>
      <w:r w:rsidR="00744A1C">
        <w:rPr>
          <w:rtl/>
          <w:lang w:bidi="fa-IR"/>
        </w:rPr>
        <w:t xml:space="preserve"> في « بح » : + « له ».</w:t>
      </w:r>
    </w:p>
    <w:tbl>
      <w:tblPr>
        <w:tblStyle w:val="TableGrid"/>
        <w:bidiVisual/>
        <w:tblW w:w="0" w:type="auto"/>
        <w:tblLook w:val="04A0" w:firstRow="1" w:lastRow="0" w:firstColumn="1" w:lastColumn="0" w:noHBand="0" w:noVBand="1"/>
      </w:tblPr>
      <w:tblGrid>
        <w:gridCol w:w="4006"/>
        <w:gridCol w:w="4006"/>
      </w:tblGrid>
      <w:tr w:rsidR="00C55CFB" w:rsidTr="00C55CFB">
        <w:tc>
          <w:tcPr>
            <w:tcW w:w="4006" w:type="dxa"/>
          </w:tcPr>
          <w:p w:rsidR="00C55CFB" w:rsidRDefault="00C55CFB" w:rsidP="00E378DD">
            <w:pPr>
              <w:pStyle w:val="libFootnote0"/>
              <w:rPr>
                <w:rtl/>
                <w:lang w:bidi="fa-IR"/>
              </w:rPr>
            </w:pPr>
            <w:r>
              <w:rPr>
                <w:rtl/>
                <w:lang w:bidi="fa-IR"/>
              </w:rPr>
              <w:t>(4). في « ى ، جت ، جد ، جن » : - « به ».</w:t>
            </w:r>
          </w:p>
        </w:tc>
        <w:tc>
          <w:tcPr>
            <w:tcW w:w="4006" w:type="dxa"/>
          </w:tcPr>
          <w:p w:rsidR="00C55CFB" w:rsidRDefault="00C55CFB" w:rsidP="00E378DD">
            <w:pPr>
              <w:pStyle w:val="libFootnote0"/>
              <w:rPr>
                <w:rtl/>
                <w:lang w:bidi="fa-IR"/>
              </w:rPr>
            </w:pPr>
            <w:r>
              <w:rPr>
                <w:rtl/>
                <w:lang w:bidi="fa-IR"/>
              </w:rPr>
              <w:t>(5). في « بف » : « أصحابنا ».</w:t>
            </w:r>
          </w:p>
        </w:tc>
      </w:tr>
    </w:tbl>
    <w:p w:rsidR="00744A1C" w:rsidRDefault="00E378DD" w:rsidP="00E378DD">
      <w:pPr>
        <w:pStyle w:val="libFootnote0"/>
        <w:rPr>
          <w:lang w:bidi="fa-IR"/>
        </w:rPr>
      </w:pPr>
      <w:r>
        <w:rPr>
          <w:rtl/>
          <w:lang w:bidi="fa-IR"/>
        </w:rPr>
        <w:t>(6).</w:t>
      </w:r>
      <w:r w:rsidR="00744A1C">
        <w:rPr>
          <w:rtl/>
          <w:lang w:bidi="fa-IR"/>
        </w:rPr>
        <w:t xml:space="preserve"> في « بث » </w:t>
      </w:r>
      <w:r w:rsidR="00744A1C" w:rsidRPr="00C55CFB">
        <w:rPr>
          <w:rtl/>
        </w:rPr>
        <w:t>والوافي والوسائل</w:t>
      </w:r>
      <w:r w:rsidR="00744A1C">
        <w:rPr>
          <w:rtl/>
          <w:lang w:bidi="fa-IR"/>
        </w:rPr>
        <w:t xml:space="preserve"> </w:t>
      </w:r>
      <w:r w:rsidR="00744A1C" w:rsidRPr="00C55CFB">
        <w:rPr>
          <w:rtl/>
        </w:rPr>
        <w:t>والبحار</w:t>
      </w:r>
      <w:r w:rsidR="00744A1C">
        <w:rPr>
          <w:rtl/>
          <w:lang w:bidi="fa-IR"/>
        </w:rPr>
        <w:t xml:space="preserve"> : « المسلمين ».</w:t>
      </w:r>
    </w:p>
    <w:p w:rsidR="00744A1C" w:rsidRDefault="00E378DD" w:rsidP="00E378DD">
      <w:pPr>
        <w:pStyle w:val="libFootnote0"/>
        <w:rPr>
          <w:lang w:bidi="fa-IR"/>
        </w:rPr>
      </w:pPr>
      <w:r>
        <w:rPr>
          <w:rtl/>
          <w:lang w:bidi="fa-IR"/>
        </w:rPr>
        <w:t>(7).</w:t>
      </w:r>
      <w:r w:rsidR="00744A1C">
        <w:rPr>
          <w:rtl/>
          <w:lang w:bidi="fa-IR"/>
        </w:rPr>
        <w:t xml:space="preserve"> في « جت ، جن » : « يقول ».</w:t>
      </w:r>
    </w:p>
    <w:p w:rsidR="00744A1C" w:rsidRDefault="00E378DD" w:rsidP="00E378DD">
      <w:pPr>
        <w:pStyle w:val="libFootnote0"/>
        <w:rPr>
          <w:lang w:bidi="fa-IR"/>
        </w:rPr>
      </w:pPr>
      <w:r>
        <w:rPr>
          <w:rtl/>
          <w:lang w:bidi="fa-IR"/>
        </w:rPr>
        <w:t>(8).</w:t>
      </w:r>
      <w:r w:rsidR="00744A1C">
        <w:rPr>
          <w:rtl/>
          <w:lang w:bidi="fa-IR"/>
        </w:rPr>
        <w:t xml:space="preserve"> إشارة إلى الآية 103 من سورة النساء </w:t>
      </w:r>
      <w:r w:rsidR="00C55CFB">
        <w:rPr>
          <w:rtl/>
          <w:lang w:bidi="fa-IR"/>
        </w:rPr>
        <w:t>(4)</w:t>
      </w:r>
      <w:r w:rsidR="00744A1C">
        <w:rPr>
          <w:rtl/>
          <w:lang w:bidi="fa-IR"/>
        </w:rPr>
        <w:t xml:space="preserve"> ، وهي قوله تعالى : </w:t>
      </w:r>
      <w:r w:rsidR="00744A1C" w:rsidRPr="00C55CFB">
        <w:rPr>
          <w:rStyle w:val="libFootnoteAlaemChar"/>
          <w:rtl/>
        </w:rPr>
        <w:t>(</w:t>
      </w:r>
      <w:r w:rsidR="00744A1C" w:rsidRPr="00C55CFB">
        <w:rPr>
          <w:rStyle w:val="libFootnoteAieChar"/>
          <w:rtl/>
        </w:rPr>
        <w:t xml:space="preserve"> إِنَّ الصَّلاةَ كانَتْ عَلَى الْمُؤْمِنِينَ كِتاباً مَوْقُوتاً </w:t>
      </w:r>
      <w:r w:rsidR="00744A1C" w:rsidRPr="00C55CFB">
        <w:rPr>
          <w:rStyle w:val="libFootnoteAlaemChar"/>
          <w:rtl/>
        </w:rPr>
        <w:t>)</w:t>
      </w:r>
      <w:r w:rsidR="00744A1C">
        <w:rPr>
          <w:rtl/>
          <w:lang w:bidi="fa-IR"/>
        </w:rPr>
        <w:t>.</w:t>
      </w:r>
    </w:p>
    <w:p w:rsidR="00744A1C" w:rsidRDefault="00E378DD" w:rsidP="00E378DD">
      <w:pPr>
        <w:pStyle w:val="libFootnote0"/>
        <w:rPr>
          <w:lang w:bidi="fa-IR"/>
        </w:rPr>
      </w:pPr>
      <w:r>
        <w:rPr>
          <w:rtl/>
          <w:lang w:bidi="fa-IR"/>
        </w:rPr>
        <w:t>(9).</w:t>
      </w:r>
      <w:r w:rsidR="00744A1C">
        <w:rPr>
          <w:rtl/>
          <w:lang w:bidi="fa-IR"/>
        </w:rPr>
        <w:t xml:space="preserve"> في « بف » : « بذلك ».</w:t>
      </w:r>
    </w:p>
    <w:p w:rsidR="00744A1C" w:rsidRDefault="00E378DD" w:rsidP="00E378DD">
      <w:pPr>
        <w:pStyle w:val="libFootnote0"/>
        <w:rPr>
          <w:lang w:bidi="fa-IR"/>
        </w:rPr>
      </w:pPr>
      <w:r>
        <w:rPr>
          <w:rtl/>
          <w:lang w:bidi="fa-IR"/>
        </w:rPr>
        <w:t>(10).</w:t>
      </w:r>
      <w:r w:rsidR="00744A1C">
        <w:rPr>
          <w:rtl/>
          <w:lang w:bidi="fa-IR"/>
        </w:rPr>
        <w:t xml:space="preserve"> « سَقَر » : اسم عجميّ عَلَمٌ لنار الآخرة ، لا ينصرف للعجمة والتعريف. وقيل : هو من قولهم : سَقَرَتْهُ الشمس ، إذا أذابته ، فلا ينصرف للتأنيث والتعريف. </w:t>
      </w:r>
      <w:r w:rsidR="00744A1C" w:rsidRPr="00877682">
        <w:rPr>
          <w:rStyle w:val="libFootnoteBoldChar"/>
          <w:rtl/>
        </w:rPr>
        <w:t>النهاية</w:t>
      </w:r>
      <w:r w:rsidR="00744A1C">
        <w:rPr>
          <w:rtl/>
          <w:lang w:bidi="fa-IR"/>
        </w:rPr>
        <w:t xml:space="preserve"> ، ج 2 ، ص 377 ( سقر ).</w:t>
      </w:r>
    </w:p>
    <w:tbl>
      <w:tblPr>
        <w:tblStyle w:val="TableGrid"/>
        <w:bidiVisual/>
        <w:tblW w:w="0" w:type="auto"/>
        <w:tblLook w:val="04A0" w:firstRow="1" w:lastRow="0" w:firstColumn="1" w:lastColumn="0" w:noHBand="0" w:noVBand="1"/>
      </w:tblPr>
      <w:tblGrid>
        <w:gridCol w:w="4006"/>
        <w:gridCol w:w="4006"/>
      </w:tblGrid>
      <w:tr w:rsidR="00C55CFB" w:rsidTr="00C55CFB">
        <w:tc>
          <w:tcPr>
            <w:tcW w:w="4006" w:type="dxa"/>
          </w:tcPr>
          <w:p w:rsidR="00C55CFB" w:rsidRDefault="00C55CFB" w:rsidP="00E378DD">
            <w:pPr>
              <w:pStyle w:val="libFootnote0"/>
              <w:rPr>
                <w:rtl/>
                <w:lang w:bidi="fa-IR"/>
              </w:rPr>
            </w:pPr>
            <w:r>
              <w:rPr>
                <w:rtl/>
                <w:lang w:bidi="fa-IR"/>
              </w:rPr>
              <w:t>(11). المدّثّر (74) : 42 - 43.</w:t>
            </w:r>
          </w:p>
        </w:tc>
        <w:tc>
          <w:tcPr>
            <w:tcW w:w="4006" w:type="dxa"/>
          </w:tcPr>
          <w:p w:rsidR="00C55CFB" w:rsidRDefault="00C55CFB" w:rsidP="00E378DD">
            <w:pPr>
              <w:pStyle w:val="libFootnote0"/>
              <w:rPr>
                <w:rtl/>
                <w:lang w:bidi="fa-IR"/>
              </w:rPr>
            </w:pPr>
            <w:r>
              <w:rPr>
                <w:rtl/>
                <w:lang w:bidi="fa-IR"/>
              </w:rPr>
              <w:t xml:space="preserve">(12). في </w:t>
            </w:r>
            <w:r w:rsidRPr="00C55CFB">
              <w:rPr>
                <w:rtl/>
              </w:rPr>
              <w:t>الوافي والوسائل</w:t>
            </w:r>
            <w:r>
              <w:rPr>
                <w:rtl/>
                <w:lang w:bidi="fa-IR"/>
              </w:rPr>
              <w:t xml:space="preserve"> : « عرفها ».</w:t>
            </w:r>
          </w:p>
        </w:tc>
      </w:tr>
    </w:tbl>
    <w:p w:rsidR="00744A1C" w:rsidRDefault="00E378DD" w:rsidP="00E378DD">
      <w:pPr>
        <w:pStyle w:val="libFootnote0"/>
        <w:rPr>
          <w:lang w:bidi="fa-IR"/>
        </w:rPr>
      </w:pPr>
      <w:r>
        <w:rPr>
          <w:rtl/>
          <w:lang w:bidi="fa-IR"/>
        </w:rPr>
        <w:t>(13).</w:t>
      </w:r>
      <w:r w:rsidR="00744A1C">
        <w:rPr>
          <w:rtl/>
          <w:lang w:bidi="fa-IR"/>
        </w:rPr>
        <w:t xml:space="preserve"> في « جت » : + « وحرمتها ».</w:t>
      </w:r>
    </w:p>
    <w:p w:rsidR="00144FA6" w:rsidRDefault="00E378DD" w:rsidP="00E378DD">
      <w:pPr>
        <w:pStyle w:val="libFootnote0"/>
        <w:rPr>
          <w:rtl/>
          <w:lang w:bidi="fa-IR"/>
        </w:rPr>
      </w:pPr>
      <w:r>
        <w:rPr>
          <w:rtl/>
          <w:lang w:bidi="fa-IR"/>
        </w:rPr>
        <w:t>(14).</w:t>
      </w:r>
      <w:r w:rsidR="00744A1C">
        <w:rPr>
          <w:rtl/>
          <w:lang w:bidi="fa-IR"/>
        </w:rPr>
        <w:t xml:space="preserve"> في </w:t>
      </w:r>
      <w:r w:rsidR="00744A1C" w:rsidRPr="00C24F9C">
        <w:rPr>
          <w:rStyle w:val="libFootnoteBoldChar"/>
          <w:rtl/>
        </w:rPr>
        <w:t>الوافي</w:t>
      </w:r>
      <w:r w:rsidR="00744A1C">
        <w:rPr>
          <w:rtl/>
          <w:lang w:bidi="fa-IR"/>
        </w:rPr>
        <w:t xml:space="preserve"> : « أي جعلها دأبه وصنعته ». وفي </w:t>
      </w:r>
      <w:r w:rsidR="00744A1C" w:rsidRPr="00877682">
        <w:rPr>
          <w:rStyle w:val="libFootnoteBoldChar"/>
          <w:rtl/>
        </w:rPr>
        <w:t>مرآة العقول</w:t>
      </w:r>
      <w:r w:rsidR="00744A1C">
        <w:rPr>
          <w:rtl/>
          <w:lang w:bidi="fa-IR"/>
        </w:rPr>
        <w:t xml:space="preserve"> ، ج 18 ، ص 367 : « لعلّه من الطروق ، بمعنى الإتيان</w:t>
      </w:r>
      <w:r w:rsidR="00C55CFB">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C55CFB">
      <w:pPr>
        <w:pStyle w:val="libNormal0"/>
        <w:rPr>
          <w:lang w:bidi="fa-IR"/>
        </w:rPr>
      </w:pPr>
      <w:r>
        <w:rPr>
          <w:rtl/>
          <w:lang w:bidi="fa-IR"/>
        </w:rPr>
        <w:t xml:space="preserve">مِنَ </w:t>
      </w:r>
      <w:r w:rsidRPr="00D10E3C">
        <w:rPr>
          <w:rStyle w:val="libFootnotenumChar"/>
          <w:rtl/>
        </w:rPr>
        <w:t>(1)</w:t>
      </w:r>
      <w:r>
        <w:rPr>
          <w:rtl/>
          <w:lang w:bidi="fa-IR"/>
        </w:rPr>
        <w:t xml:space="preserve"> الْمُؤْمِنِينَ الَّذِينَ لَايَشْغَلُهُمْ عَنْهَا زَيْنُ مَتَاعٍ ، وَلَا قُرَّةُ عَيْنٍ مِنْ مَالٍ وَلَا وَلَدٍ ، يَقُولُ اللهُ عَزَّ وَجَلَّ : </w:t>
      </w:r>
      <w:r w:rsidRPr="00F965B5">
        <w:rPr>
          <w:rStyle w:val="libAlaemChar"/>
          <w:rtl/>
        </w:rPr>
        <w:t>(</w:t>
      </w:r>
      <w:r w:rsidRPr="00F965B5">
        <w:rPr>
          <w:rStyle w:val="libAieChar"/>
          <w:rtl/>
        </w:rPr>
        <w:t xml:space="preserve"> رِجالٌ لا تُلْهِيهِمْ </w:t>
      </w:r>
      <w:r w:rsidRPr="00D10E3C">
        <w:rPr>
          <w:rStyle w:val="libFootnotenumChar"/>
          <w:rtl/>
        </w:rPr>
        <w:t>(2)</w:t>
      </w:r>
      <w:r w:rsidRPr="00F965B5">
        <w:rPr>
          <w:rStyle w:val="libAieChar"/>
          <w:rtl/>
        </w:rPr>
        <w:t xml:space="preserve"> تِجارَةٌ وَلا بَيْعٌ عَنْ ذِكْرِ اللهِ وَإِقامِ الصَّلاةِ </w:t>
      </w:r>
      <w:r w:rsidRPr="00F965B5">
        <w:rPr>
          <w:rStyle w:val="libAlaemChar"/>
          <w:rtl/>
        </w:rPr>
        <w:t>)</w:t>
      </w:r>
      <w:r>
        <w:rPr>
          <w:rtl/>
          <w:lang w:bidi="fa-IR"/>
        </w:rPr>
        <w:t xml:space="preserve"> </w:t>
      </w:r>
      <w:r w:rsidRPr="00D10E3C">
        <w:rPr>
          <w:rStyle w:val="libFootnotenumChar"/>
          <w:rtl/>
        </w:rPr>
        <w:t>(3)</w:t>
      </w:r>
      <w:r>
        <w:rPr>
          <w:rtl/>
          <w:lang w:bidi="fa-IR"/>
        </w:rPr>
        <w:t xml:space="preserve"> وَكَانَ رَسُولُ اللهِ </w:t>
      </w:r>
      <w:r w:rsidR="0017097C" w:rsidRPr="0017097C">
        <w:rPr>
          <w:rStyle w:val="libAlaemChar"/>
          <w:rtl/>
        </w:rPr>
        <w:t>صلى‌الله‌عليه‌وآله</w:t>
      </w:r>
      <w:r>
        <w:rPr>
          <w:rtl/>
          <w:lang w:bidi="fa-IR"/>
        </w:rPr>
        <w:t xml:space="preserve"> مُنْصِباً </w:t>
      </w:r>
      <w:r w:rsidRPr="00D10E3C">
        <w:rPr>
          <w:rStyle w:val="libFootnotenumChar"/>
          <w:rtl/>
        </w:rPr>
        <w:t>(4)</w:t>
      </w:r>
      <w:r>
        <w:rPr>
          <w:rtl/>
          <w:lang w:bidi="fa-IR"/>
        </w:rPr>
        <w:t xml:space="preserve"> لِنَفْسِهِ بَعْدَ الْبُشْرى لَهُ بِالْجَنَّةِ مِنْ رَبِّهِ ، فَقَالَ عَزَّ وَجَلَّ : </w:t>
      </w:r>
      <w:r w:rsidRPr="00F965B5">
        <w:rPr>
          <w:rStyle w:val="libAlaemChar"/>
          <w:rtl/>
        </w:rPr>
        <w:t>(</w:t>
      </w:r>
      <w:r w:rsidRPr="00F965B5">
        <w:rPr>
          <w:rStyle w:val="libAieChar"/>
          <w:rtl/>
        </w:rPr>
        <w:t xml:space="preserve"> وَأْمُرْ أَهْلَكَ بِالصَّلاةِ وَاصْطَبِرْ </w:t>
      </w:r>
      <w:r w:rsidRPr="00F965B5">
        <w:rPr>
          <w:rStyle w:val="libFootnotenumChar"/>
          <w:rtl/>
        </w:rPr>
        <w:t>(5)</w:t>
      </w:r>
      <w:r w:rsidRPr="00F965B5">
        <w:rPr>
          <w:rStyle w:val="libAieChar"/>
          <w:rtl/>
        </w:rPr>
        <w:t xml:space="preserve"> عَلَيْها </w:t>
      </w:r>
      <w:r w:rsidRPr="00F965B5">
        <w:rPr>
          <w:rStyle w:val="libAlaemChar"/>
          <w:rtl/>
        </w:rPr>
        <w:t>)</w:t>
      </w:r>
      <w:r>
        <w:rPr>
          <w:rtl/>
          <w:lang w:bidi="fa-IR"/>
        </w:rPr>
        <w:t xml:space="preserve"> </w:t>
      </w:r>
      <w:r w:rsidRPr="00D10E3C">
        <w:rPr>
          <w:rStyle w:val="libFootnotenumChar"/>
          <w:rtl/>
        </w:rPr>
        <w:t>(6)</w:t>
      </w:r>
      <w:r>
        <w:rPr>
          <w:rtl/>
          <w:lang w:bidi="fa-IR"/>
        </w:rPr>
        <w:t xml:space="preserve"> الْآيَةَ </w:t>
      </w:r>
      <w:r w:rsidRPr="00D10E3C">
        <w:rPr>
          <w:rStyle w:val="libFootnotenumChar"/>
          <w:rtl/>
        </w:rPr>
        <w:t>(7)</w:t>
      </w:r>
      <w:r>
        <w:rPr>
          <w:rtl/>
          <w:lang w:bidi="fa-IR"/>
        </w:rPr>
        <w:t xml:space="preserve"> ، فَكَانَ </w:t>
      </w:r>
      <w:r w:rsidRPr="00D10E3C">
        <w:rPr>
          <w:rStyle w:val="libFootnotenumChar"/>
          <w:rtl/>
        </w:rPr>
        <w:t>(8)</w:t>
      </w:r>
      <w:r>
        <w:rPr>
          <w:rtl/>
          <w:lang w:bidi="fa-IR"/>
        </w:rPr>
        <w:t xml:space="preserve"> يَأْمُرُ بِهَا أَهْلَهُ ، وَيُصَبِّرُ عَلَيْهَا نَفْسَهُ.</w:t>
      </w:r>
    </w:p>
    <w:p w:rsidR="00744A1C" w:rsidRDefault="00744A1C" w:rsidP="00744A1C">
      <w:pPr>
        <w:pStyle w:val="libNormal"/>
        <w:rPr>
          <w:lang w:bidi="fa-IR"/>
        </w:rPr>
      </w:pPr>
      <w:r>
        <w:rPr>
          <w:rtl/>
          <w:lang w:bidi="fa-IR"/>
        </w:rPr>
        <w:t xml:space="preserve">ثُمَّ إِنَّ الزَّكَاةَ جُعِلَتْ مَعَ الصَّلَاةِ قُرْبَاناً لِأَهْلِ الْإِسْلَامِ عَلى أَهْلِ الْإِسْلَامِ ، وَمَنْ لَمْ يُعْطِهَا طَيِّبَ النَّفْسِ بِهَا ، يَرْجُو بِهَا مِنَ الثَّمَنِ </w:t>
      </w:r>
      <w:r w:rsidRPr="00D10E3C">
        <w:rPr>
          <w:rStyle w:val="libFootnotenumChar"/>
          <w:rtl/>
        </w:rPr>
        <w:t>(9)</w:t>
      </w:r>
      <w:r>
        <w:rPr>
          <w:rtl/>
          <w:lang w:bidi="fa-IR"/>
        </w:rPr>
        <w:t xml:space="preserve"> مَا هُوَ أَفْضَلُ مِنْهَا ، فَإِنَّهُ جَاهِلٌ بِالسُّنَّةِ ، مَغْبُونُ الْأَجْرِ </w:t>
      </w:r>
      <w:r w:rsidRPr="00D10E3C">
        <w:rPr>
          <w:rStyle w:val="libFootnotenumChar"/>
          <w:rtl/>
        </w:rPr>
        <w:t>(10)</w:t>
      </w:r>
      <w:r>
        <w:rPr>
          <w:rtl/>
          <w:lang w:bidi="fa-IR"/>
        </w:rPr>
        <w:t xml:space="preserve"> ، ضَالُّ الْعُمُرِ ، طَوِيلُ النَّدَمِ بِتَرْكِ أَمْرِ اللهِ عَزَّ وَجَلَّ ، وَالرَّغْبَةِ عَمَّا عَلَيْهِ صَالِحُو عِبَادِ اللهِ ، يَقُولُ اللهُ عَزَّ وَجَلَّ : </w:t>
      </w:r>
      <w:r w:rsidRPr="00F965B5">
        <w:rPr>
          <w:rStyle w:val="libAlaemChar"/>
          <w:rtl/>
        </w:rPr>
        <w:t>(</w:t>
      </w:r>
      <w:r w:rsidRPr="00F965B5">
        <w:rPr>
          <w:rStyle w:val="libAieChar"/>
          <w:rtl/>
        </w:rPr>
        <w:t xml:space="preserve"> يَتَّبِعْ </w:t>
      </w:r>
      <w:r w:rsidRPr="00D10E3C">
        <w:rPr>
          <w:rStyle w:val="libFootnotenumChar"/>
          <w:rtl/>
        </w:rPr>
        <w:t>(11)</w:t>
      </w:r>
      <w:r w:rsidRPr="00F965B5">
        <w:rPr>
          <w:rStyle w:val="libAieChar"/>
          <w:rtl/>
        </w:rPr>
        <w:t xml:space="preserve"> غَيْرَ سَبِيلِ الْمُؤْمِنِينَ نُوَلِّهِ ما تَوَلّى </w:t>
      </w:r>
      <w:r w:rsidRPr="00F965B5">
        <w:rPr>
          <w:rStyle w:val="libAlaemChar"/>
          <w:rtl/>
        </w:rPr>
        <w:t>)</w:t>
      </w:r>
      <w:r>
        <w:rPr>
          <w:rtl/>
          <w:lang w:bidi="fa-IR"/>
        </w:rPr>
        <w:t xml:space="preserve"> </w:t>
      </w:r>
      <w:r w:rsidRPr="00D10E3C">
        <w:rPr>
          <w:rStyle w:val="libFootnotenumChar"/>
          <w:rtl/>
        </w:rPr>
        <w:t>(12)</w:t>
      </w:r>
      <w:r>
        <w:rPr>
          <w:rtl/>
          <w:lang w:bidi="fa-IR"/>
        </w:rPr>
        <w:t xml:space="preserve"> مِنَ الْأَمَانَةِ </w:t>
      </w:r>
      <w:r w:rsidRPr="00D10E3C">
        <w:rPr>
          <w:rStyle w:val="libFootnotenumChar"/>
          <w:rtl/>
        </w:rPr>
        <w:t>(13)</w:t>
      </w:r>
      <w:r>
        <w:rPr>
          <w:rtl/>
          <w:lang w:bidi="fa-IR"/>
        </w:rPr>
        <w:t xml:space="preserve"> ، فَقَدْ خَسِرَ مَنْ لَيْسَ مِنْ أَهْلِهَا ، وَضَلَّ عَمَلُهُ ، عُرِضَتْ عَلَى السَّمَاوَاتِ الْمَبْنِيَّةِ‌</w:t>
      </w:r>
    </w:p>
    <w:p w:rsidR="00744A1C" w:rsidRDefault="00744A1C" w:rsidP="00D10E3C">
      <w:pPr>
        <w:pStyle w:val="libLine"/>
        <w:rPr>
          <w:lang w:bidi="fa-IR"/>
        </w:rPr>
      </w:pPr>
      <w:r>
        <w:rPr>
          <w:rtl/>
          <w:lang w:bidi="fa-IR"/>
        </w:rPr>
        <w:t>____________________</w:t>
      </w:r>
    </w:p>
    <w:p w:rsidR="00744A1C" w:rsidRDefault="00F965B5" w:rsidP="00D10E3C">
      <w:pPr>
        <w:pStyle w:val="libFootnote0"/>
        <w:rPr>
          <w:lang w:bidi="fa-IR"/>
        </w:rPr>
      </w:pPr>
      <w:r>
        <w:rPr>
          <w:rFonts w:hint="cs"/>
          <w:rtl/>
          <w:lang w:bidi="fa-IR"/>
        </w:rPr>
        <w:t xml:space="preserve">= </w:t>
      </w:r>
      <w:r w:rsidR="00744A1C">
        <w:rPr>
          <w:rtl/>
          <w:lang w:bidi="fa-IR"/>
        </w:rPr>
        <w:t>بالليل ، أي : واضب عليها في الليالي. وقيل : أي جعلها دأبه وصنعته. من قولهم : هذا طرقة رجل ، أي صنعته. ولا يخفى عدم استقامته. ولا يبعد أن يكون تصحيف « طوّق بها » على المجهول ، أي ألزمها كالطوق ، بقرينة : ا</w:t>
      </w:r>
      <w:r>
        <w:rPr>
          <w:rFonts w:hint="cs"/>
          <w:rtl/>
          <w:lang w:bidi="fa-IR"/>
        </w:rPr>
        <w:t>ُ</w:t>
      </w:r>
      <w:r w:rsidR="00744A1C">
        <w:rPr>
          <w:rtl/>
          <w:lang w:bidi="fa-IR"/>
        </w:rPr>
        <w:t xml:space="preserve">كرم بها ، على بناء المجهول أيضاً ». وراجع : </w:t>
      </w:r>
      <w:r w:rsidR="00744A1C" w:rsidRPr="00877682">
        <w:rPr>
          <w:rStyle w:val="libFootnoteBoldChar"/>
          <w:rtl/>
        </w:rPr>
        <w:t>لسان العرب</w:t>
      </w:r>
      <w:r w:rsidR="00744A1C">
        <w:rPr>
          <w:rtl/>
          <w:lang w:bidi="fa-IR"/>
        </w:rPr>
        <w:t xml:space="preserve"> ، ج 10 ، ص 217 ( طرق ).</w:t>
      </w:r>
    </w:p>
    <w:p w:rsidR="00744A1C" w:rsidRDefault="00D10E3C" w:rsidP="00D10E3C">
      <w:pPr>
        <w:pStyle w:val="libFootnote0"/>
        <w:rPr>
          <w:lang w:bidi="fa-IR"/>
        </w:rPr>
      </w:pPr>
      <w:r>
        <w:rPr>
          <w:rtl/>
          <w:lang w:bidi="fa-IR"/>
        </w:rPr>
        <w:t>(1).</w:t>
      </w:r>
      <w:r w:rsidR="00744A1C">
        <w:rPr>
          <w:rtl/>
          <w:lang w:bidi="fa-IR"/>
        </w:rPr>
        <w:t xml:space="preserve"> في </w:t>
      </w:r>
      <w:r w:rsidR="00744A1C" w:rsidRPr="00F965B5">
        <w:rPr>
          <w:rtl/>
        </w:rPr>
        <w:t>الوسائل</w:t>
      </w:r>
      <w:r w:rsidR="00744A1C">
        <w:rPr>
          <w:rtl/>
          <w:lang w:bidi="fa-IR"/>
        </w:rPr>
        <w:t xml:space="preserve"> : - « من ».</w:t>
      </w:r>
    </w:p>
    <w:p w:rsidR="00744A1C" w:rsidRDefault="00E378DD" w:rsidP="00E378DD">
      <w:pPr>
        <w:pStyle w:val="libFootnote0"/>
        <w:rPr>
          <w:lang w:bidi="fa-IR"/>
        </w:rPr>
      </w:pPr>
      <w:r>
        <w:rPr>
          <w:rtl/>
          <w:lang w:bidi="fa-IR"/>
        </w:rPr>
        <w:t>(2).</w:t>
      </w:r>
      <w:r w:rsidR="00744A1C">
        <w:rPr>
          <w:rtl/>
          <w:lang w:bidi="fa-IR"/>
        </w:rPr>
        <w:t xml:space="preserve"> يقال : ألهاه عن كذا ، أي شغله. </w:t>
      </w:r>
      <w:r w:rsidR="00744A1C" w:rsidRPr="00877682">
        <w:rPr>
          <w:rStyle w:val="libFootnoteBoldChar"/>
          <w:rtl/>
        </w:rPr>
        <w:t>النهاية</w:t>
      </w:r>
      <w:r w:rsidR="00744A1C">
        <w:rPr>
          <w:rtl/>
          <w:lang w:bidi="fa-IR"/>
        </w:rPr>
        <w:t xml:space="preserve"> ، ج 4 ، ص 282 ( لها ).</w:t>
      </w:r>
    </w:p>
    <w:p w:rsidR="00744A1C" w:rsidRDefault="00E378DD" w:rsidP="00E378DD">
      <w:pPr>
        <w:pStyle w:val="libFootnote0"/>
        <w:rPr>
          <w:lang w:bidi="fa-IR"/>
        </w:rPr>
      </w:pPr>
      <w:r>
        <w:rPr>
          <w:rtl/>
          <w:lang w:bidi="fa-IR"/>
        </w:rPr>
        <w:t>(3).</w:t>
      </w:r>
      <w:r w:rsidR="00744A1C">
        <w:rPr>
          <w:rtl/>
          <w:lang w:bidi="fa-IR"/>
        </w:rPr>
        <w:t xml:space="preserve"> النور (24) : 37.</w:t>
      </w:r>
    </w:p>
    <w:p w:rsidR="00744A1C" w:rsidRDefault="00E378DD" w:rsidP="00E378DD">
      <w:pPr>
        <w:pStyle w:val="libFootnote0"/>
        <w:rPr>
          <w:lang w:bidi="fa-IR"/>
        </w:rPr>
      </w:pPr>
      <w:r>
        <w:rPr>
          <w:rtl/>
          <w:lang w:bidi="fa-IR"/>
        </w:rPr>
        <w:t>(4).</w:t>
      </w:r>
      <w:r w:rsidR="00744A1C">
        <w:rPr>
          <w:rtl/>
          <w:lang w:bidi="fa-IR"/>
        </w:rPr>
        <w:t xml:space="preserve"> النَصَب والتَعَب بمعنى واحد ، و « مُنصباً » أي مُتعباً. راجع : </w:t>
      </w:r>
      <w:r w:rsidR="00744A1C" w:rsidRPr="00E978C3">
        <w:rPr>
          <w:rStyle w:val="libFootnoteBoldChar"/>
          <w:rtl/>
        </w:rPr>
        <w:t>الصحاح</w:t>
      </w:r>
      <w:r w:rsidR="00744A1C">
        <w:rPr>
          <w:rtl/>
          <w:lang w:bidi="fa-IR"/>
        </w:rPr>
        <w:t xml:space="preserve"> ، ج 1 ، ص 91 ( نصب ).</w:t>
      </w:r>
    </w:p>
    <w:p w:rsidR="00744A1C" w:rsidRDefault="00E378DD" w:rsidP="00E378DD">
      <w:pPr>
        <w:pStyle w:val="libFootnote0"/>
        <w:rPr>
          <w:lang w:bidi="fa-IR"/>
        </w:rPr>
      </w:pPr>
      <w:r>
        <w:rPr>
          <w:rtl/>
          <w:lang w:bidi="fa-IR"/>
        </w:rPr>
        <w:t>(5).</w:t>
      </w:r>
      <w:r w:rsidR="00744A1C">
        <w:rPr>
          <w:rtl/>
          <w:lang w:bidi="fa-IR"/>
        </w:rPr>
        <w:t xml:space="preserve"> الاصطبار : تحمّل الصبر. راجع : </w:t>
      </w:r>
      <w:r w:rsidR="00744A1C" w:rsidRPr="002D57AD">
        <w:rPr>
          <w:rStyle w:val="libFootnoteBoldChar"/>
          <w:rtl/>
        </w:rPr>
        <w:t>المفردات للراغب</w:t>
      </w:r>
      <w:r w:rsidR="00744A1C">
        <w:rPr>
          <w:rtl/>
          <w:lang w:bidi="fa-IR"/>
        </w:rPr>
        <w:t xml:space="preserve"> ، ص 474 ( صبر ).</w:t>
      </w:r>
    </w:p>
    <w:tbl>
      <w:tblPr>
        <w:tblStyle w:val="TableGrid"/>
        <w:bidiVisual/>
        <w:tblW w:w="0" w:type="auto"/>
        <w:tblLook w:val="04A0" w:firstRow="1" w:lastRow="0" w:firstColumn="1" w:lastColumn="0" w:noHBand="0" w:noVBand="1"/>
      </w:tblPr>
      <w:tblGrid>
        <w:gridCol w:w="4006"/>
        <w:gridCol w:w="4006"/>
      </w:tblGrid>
      <w:tr w:rsidR="00F965B5" w:rsidTr="00F965B5">
        <w:tc>
          <w:tcPr>
            <w:tcW w:w="4006" w:type="dxa"/>
          </w:tcPr>
          <w:p w:rsidR="00F965B5" w:rsidRDefault="00F965B5" w:rsidP="00E378DD">
            <w:pPr>
              <w:pStyle w:val="libFootnote0"/>
              <w:rPr>
                <w:rtl/>
                <w:lang w:bidi="fa-IR"/>
              </w:rPr>
            </w:pPr>
            <w:r>
              <w:rPr>
                <w:rtl/>
                <w:lang w:bidi="fa-IR"/>
              </w:rPr>
              <w:t>(6). طه (20) : 132.</w:t>
            </w:r>
          </w:p>
        </w:tc>
        <w:tc>
          <w:tcPr>
            <w:tcW w:w="4006" w:type="dxa"/>
          </w:tcPr>
          <w:p w:rsidR="00F965B5" w:rsidRDefault="00F965B5" w:rsidP="00E378DD">
            <w:pPr>
              <w:pStyle w:val="libFootnote0"/>
              <w:rPr>
                <w:rtl/>
                <w:lang w:bidi="fa-IR"/>
              </w:rPr>
            </w:pPr>
            <w:r>
              <w:rPr>
                <w:rtl/>
                <w:lang w:bidi="fa-IR"/>
              </w:rPr>
              <w:t>(7). في «بث»:«الآيتين».وفي «جن» : - «الآية».</w:t>
            </w:r>
          </w:p>
        </w:tc>
      </w:tr>
      <w:tr w:rsidR="00F965B5" w:rsidTr="00F965B5">
        <w:tc>
          <w:tcPr>
            <w:tcW w:w="4006" w:type="dxa"/>
          </w:tcPr>
          <w:p w:rsidR="00F965B5" w:rsidRDefault="00F965B5" w:rsidP="00E378DD">
            <w:pPr>
              <w:pStyle w:val="libFootnote0"/>
              <w:rPr>
                <w:rtl/>
                <w:lang w:bidi="fa-IR"/>
              </w:rPr>
            </w:pPr>
            <w:r>
              <w:rPr>
                <w:rtl/>
                <w:lang w:bidi="fa-IR"/>
              </w:rPr>
              <w:t xml:space="preserve">(8). في « بح » </w:t>
            </w:r>
            <w:r w:rsidRPr="00F965B5">
              <w:rPr>
                <w:rtl/>
              </w:rPr>
              <w:t>والبحار</w:t>
            </w:r>
            <w:r>
              <w:rPr>
                <w:rtl/>
                <w:lang w:bidi="fa-IR"/>
              </w:rPr>
              <w:t xml:space="preserve"> : « وكان ».</w:t>
            </w:r>
          </w:p>
        </w:tc>
        <w:tc>
          <w:tcPr>
            <w:tcW w:w="4006" w:type="dxa"/>
          </w:tcPr>
          <w:p w:rsidR="00F965B5" w:rsidRDefault="00F965B5" w:rsidP="00E378DD">
            <w:pPr>
              <w:pStyle w:val="libFootnote0"/>
              <w:rPr>
                <w:rtl/>
                <w:lang w:bidi="fa-IR"/>
              </w:rPr>
            </w:pPr>
            <w:r>
              <w:rPr>
                <w:rtl/>
                <w:lang w:bidi="fa-IR"/>
              </w:rPr>
              <w:t xml:space="preserve">(9). في </w:t>
            </w:r>
            <w:r w:rsidRPr="00F965B5">
              <w:rPr>
                <w:rtl/>
              </w:rPr>
              <w:t>البحار</w:t>
            </w:r>
            <w:r>
              <w:rPr>
                <w:rtl/>
                <w:lang w:bidi="fa-IR"/>
              </w:rPr>
              <w:t xml:space="preserve"> : « الثواب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F965B5">
        <w:rPr>
          <w:rtl/>
        </w:rPr>
        <w:t>الوافي</w:t>
      </w:r>
      <w:r w:rsidR="00744A1C">
        <w:rPr>
          <w:rtl/>
          <w:lang w:bidi="fa-IR"/>
        </w:rPr>
        <w:t xml:space="preserve"> : - « الأجر ».</w:t>
      </w:r>
    </w:p>
    <w:p w:rsidR="00744A1C" w:rsidRDefault="00E378DD" w:rsidP="00E378DD">
      <w:pPr>
        <w:pStyle w:val="libFootnote0"/>
        <w:rPr>
          <w:lang w:bidi="fa-IR"/>
        </w:rPr>
      </w:pPr>
      <w:r>
        <w:rPr>
          <w:rtl/>
          <w:lang w:bidi="fa-IR"/>
        </w:rPr>
        <w:t>(11).</w:t>
      </w:r>
      <w:r w:rsidR="00744A1C">
        <w:rPr>
          <w:rtl/>
          <w:lang w:bidi="fa-IR"/>
        </w:rPr>
        <w:t xml:space="preserve"> هكذا في القرآن و « بذ ». وفي سائر النسخ والمطبوع </w:t>
      </w:r>
      <w:r w:rsidR="00744A1C" w:rsidRPr="00F965B5">
        <w:rPr>
          <w:rtl/>
        </w:rPr>
        <w:t>والوافي</w:t>
      </w:r>
      <w:r w:rsidR="00744A1C">
        <w:rPr>
          <w:rtl/>
          <w:lang w:bidi="fa-IR"/>
        </w:rPr>
        <w:t xml:space="preserve"> : « ومن يتّبع ».</w:t>
      </w:r>
    </w:p>
    <w:p w:rsidR="00744A1C" w:rsidRDefault="00E378DD" w:rsidP="00E378DD">
      <w:pPr>
        <w:pStyle w:val="libFootnote0"/>
        <w:rPr>
          <w:lang w:bidi="fa-IR"/>
        </w:rPr>
      </w:pPr>
      <w:r>
        <w:rPr>
          <w:rtl/>
          <w:lang w:bidi="fa-IR"/>
        </w:rPr>
        <w:t>(12).</w:t>
      </w:r>
      <w:r w:rsidR="00744A1C">
        <w:rPr>
          <w:rtl/>
          <w:lang w:bidi="fa-IR"/>
        </w:rPr>
        <w:t xml:space="preserve"> النساء </w:t>
      </w:r>
      <w:r w:rsidR="00F965B5">
        <w:rPr>
          <w:rtl/>
          <w:lang w:bidi="fa-IR"/>
        </w:rPr>
        <w:t>(4) : 115. وقال العل</w:t>
      </w:r>
      <w:r w:rsidR="00F965B5">
        <w:rPr>
          <w:rFonts w:hint="cs"/>
          <w:rtl/>
          <w:lang w:bidi="fa-IR"/>
        </w:rPr>
        <w:t>ّ</w:t>
      </w:r>
      <w:r w:rsidR="00F965B5">
        <w:rPr>
          <w:rtl/>
          <w:lang w:bidi="fa-IR"/>
        </w:rPr>
        <w:t>ا</w:t>
      </w:r>
      <w:r w:rsidR="00744A1C">
        <w:rPr>
          <w:rtl/>
          <w:lang w:bidi="fa-IR"/>
        </w:rPr>
        <w:t xml:space="preserve">مة المجلسي </w:t>
      </w:r>
      <w:r w:rsidR="00877682" w:rsidRPr="00877682">
        <w:rPr>
          <w:rStyle w:val="libFootnoteAlaemChar"/>
          <w:rtl/>
        </w:rPr>
        <w:t>رحمه‌الله</w:t>
      </w:r>
      <w:r w:rsidR="00F965B5" w:rsidRPr="00F965B5">
        <w:rPr>
          <w:rFonts w:hint="cs"/>
          <w:rtl/>
        </w:rPr>
        <w:t xml:space="preserve"> </w:t>
      </w:r>
      <w:r w:rsidR="00744A1C">
        <w:rPr>
          <w:rtl/>
          <w:lang w:bidi="fa-IR"/>
        </w:rPr>
        <w:t xml:space="preserve">في </w:t>
      </w:r>
      <w:r w:rsidR="00744A1C" w:rsidRPr="0061079A">
        <w:rPr>
          <w:rStyle w:val="libFootnoteBoldChar"/>
          <w:rtl/>
        </w:rPr>
        <w:t>البحار</w:t>
      </w:r>
      <w:r w:rsidR="00744A1C">
        <w:rPr>
          <w:rtl/>
          <w:lang w:bidi="fa-IR"/>
        </w:rPr>
        <w:t xml:space="preserve"> ، ج 22 ، ص 24 : « أي نجعله والياً لما تولّى من الضلالة ، ونخلّي بينه وبين ما اختاره ».</w:t>
      </w:r>
    </w:p>
    <w:p w:rsidR="00144FA6" w:rsidRDefault="00E378DD" w:rsidP="00E378DD">
      <w:pPr>
        <w:pStyle w:val="libFootnote0"/>
        <w:rPr>
          <w:rtl/>
          <w:lang w:bidi="fa-IR"/>
        </w:rPr>
      </w:pPr>
      <w:r>
        <w:rPr>
          <w:rtl/>
          <w:lang w:bidi="fa-IR"/>
        </w:rPr>
        <w:t>(13).</w:t>
      </w:r>
      <w:r w:rsidR="00744A1C">
        <w:rPr>
          <w:rtl/>
          <w:lang w:bidi="fa-IR"/>
        </w:rPr>
        <w:t xml:space="preserve"> في </w:t>
      </w:r>
      <w:r w:rsidR="00744A1C" w:rsidRPr="00C24F9C">
        <w:rPr>
          <w:rStyle w:val="libFootnoteBoldChar"/>
          <w:rtl/>
        </w:rPr>
        <w:t>الوافي</w:t>
      </w:r>
      <w:r w:rsidR="00744A1C">
        <w:rPr>
          <w:rtl/>
          <w:lang w:bidi="fa-IR"/>
        </w:rPr>
        <w:t xml:space="preserve"> : « كذا فيما وجدناه من نسخ </w:t>
      </w:r>
      <w:r w:rsidR="00744A1C" w:rsidRPr="0061079A">
        <w:rPr>
          <w:rStyle w:val="libFootnoteBoldChar"/>
          <w:rtl/>
        </w:rPr>
        <w:t>الكافي</w:t>
      </w:r>
      <w:r w:rsidR="00744A1C">
        <w:rPr>
          <w:rtl/>
          <w:lang w:bidi="fa-IR"/>
        </w:rPr>
        <w:t xml:space="preserve"> ، والصواب : ثمّ الأمانة ، كما يظهر من بعض خطبه في </w:t>
      </w:r>
      <w:r w:rsidR="00744A1C" w:rsidRPr="00F965B5">
        <w:rPr>
          <w:rStyle w:val="libFootnoteBoldChar"/>
          <w:rtl/>
        </w:rPr>
        <w:t>نهج البلاغة</w:t>
      </w:r>
      <w:r w:rsidR="00744A1C">
        <w:rPr>
          <w:rtl/>
          <w:lang w:bidi="fa-IR"/>
        </w:rPr>
        <w:t xml:space="preserve"> وزاد فيه بعد قوله : ولا أعظم ، لفظة : منها ، ثمّ قال : ولو امتنع شي‌ء بطول أو عرض أو قوّة أو عزّ لامتنعن ، وهو</w:t>
      </w:r>
      <w:r w:rsidR="00F965B5">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F965B5">
      <w:pPr>
        <w:pStyle w:val="libNormal0"/>
        <w:rPr>
          <w:lang w:bidi="fa-IR"/>
        </w:rPr>
      </w:pPr>
      <w:r>
        <w:rPr>
          <w:rtl/>
          <w:lang w:bidi="fa-IR"/>
        </w:rPr>
        <w:t xml:space="preserve">وَالْأَرْضِ الْمِهَادِ وَالْجِبَالِ الْمَنْصُوبَةِ ، فَلَا أَطْوَلَ وَلَا أَعْرَضَ وَلَا أَعْلى وَلَا أَعْظَمَ ، لَوِ امْتَنَعْنَ </w:t>
      </w:r>
      <w:r w:rsidRPr="00D10E3C">
        <w:rPr>
          <w:rStyle w:val="libFootnotenumChar"/>
          <w:rtl/>
        </w:rPr>
        <w:t>(1)</w:t>
      </w:r>
      <w:r>
        <w:rPr>
          <w:rtl/>
          <w:lang w:bidi="fa-IR"/>
        </w:rPr>
        <w:t xml:space="preserve"> مِنْ طُولٍ أَوْ عَرْضٍ أَوْ عِظَمٍ أَوْ قُوَّةٍ أَوْ عِزَّةٍ ، امْتَنَعْنَ ، وَلكِنْ أَشْفَقْنَ </w:t>
      </w:r>
      <w:r w:rsidRPr="00D10E3C">
        <w:rPr>
          <w:rStyle w:val="libFootnotenumChar"/>
          <w:rtl/>
        </w:rPr>
        <w:t>(2)</w:t>
      </w:r>
      <w:r>
        <w:rPr>
          <w:rtl/>
          <w:lang w:bidi="fa-IR"/>
        </w:rPr>
        <w:t xml:space="preserve"> مِنَ الْعُقُوبَةِ.</w:t>
      </w:r>
    </w:p>
    <w:p w:rsidR="00744A1C" w:rsidRDefault="00744A1C" w:rsidP="00744A1C">
      <w:pPr>
        <w:pStyle w:val="libNormal"/>
        <w:rPr>
          <w:lang w:bidi="fa-IR"/>
        </w:rPr>
      </w:pPr>
      <w:r>
        <w:rPr>
          <w:rtl/>
          <w:lang w:bidi="fa-IR"/>
        </w:rPr>
        <w:t xml:space="preserve">ثُمَّ إِنَّ الْجِهَادَ أَشْرَفُ الْأَعْمَالِ بَعْدَ الْإِسْلَامِ </w:t>
      </w:r>
      <w:r w:rsidRPr="00D10E3C">
        <w:rPr>
          <w:rStyle w:val="libFootnotenumChar"/>
          <w:rtl/>
        </w:rPr>
        <w:t>(3)</w:t>
      </w:r>
      <w:r>
        <w:rPr>
          <w:rtl/>
          <w:lang w:bidi="fa-IR"/>
        </w:rPr>
        <w:t xml:space="preserve"> ، وَهُوَ قِوَامُ الدِّينِ ، وَالْأَجْرُ فِيهِ عَظِيمٌ مَعَ الْعِزَّةِ وَالْمَنَعَةِ </w:t>
      </w:r>
      <w:r w:rsidRPr="00D10E3C">
        <w:rPr>
          <w:rStyle w:val="libFootnotenumChar"/>
          <w:rtl/>
        </w:rPr>
        <w:t>(4)</w:t>
      </w:r>
      <w:r>
        <w:rPr>
          <w:rtl/>
          <w:lang w:bidi="fa-IR"/>
        </w:rPr>
        <w:t xml:space="preserve"> وَهُوَ الْكَرَّةُ </w:t>
      </w:r>
      <w:r w:rsidRPr="00D10E3C">
        <w:rPr>
          <w:rStyle w:val="libFootnotenumChar"/>
          <w:rtl/>
        </w:rPr>
        <w:t>(5)</w:t>
      </w:r>
      <w:r>
        <w:rPr>
          <w:rtl/>
          <w:lang w:bidi="fa-IR"/>
        </w:rPr>
        <w:t xml:space="preserve"> ، فِيهِ </w:t>
      </w:r>
      <w:r w:rsidRPr="00D10E3C">
        <w:rPr>
          <w:rStyle w:val="libFootnotenumChar"/>
          <w:rtl/>
        </w:rPr>
        <w:t>(6)</w:t>
      </w:r>
      <w:r>
        <w:rPr>
          <w:rtl/>
          <w:lang w:bidi="fa-IR"/>
        </w:rPr>
        <w:t xml:space="preserve"> الْحَسَنَاتُ وَالْبُشْرى بِالْجَنَّةِ بَعْدَ الشَّهَادَةِ ، وَبِالرِّزْقِ‌ غَداً عِنْدَ الرَّبِّ وَالْكَرَامَةِ ، يَقُولُ اللهُ عَزَّ وَجَلَّ : </w:t>
      </w:r>
      <w:r w:rsidRPr="00014662">
        <w:rPr>
          <w:rStyle w:val="libAlaemChar"/>
          <w:rtl/>
        </w:rPr>
        <w:t>(</w:t>
      </w:r>
      <w:r w:rsidRPr="00014662">
        <w:rPr>
          <w:rStyle w:val="libAieChar"/>
          <w:rtl/>
        </w:rPr>
        <w:t xml:space="preserve"> وَلا تَحْسَبَنَّ الَّذِينَ قُتِلُوا فِي سَبِيلِ اللهِ </w:t>
      </w:r>
      <w:r w:rsidRPr="00014662">
        <w:rPr>
          <w:rStyle w:val="libAlaemChar"/>
          <w:rtl/>
        </w:rPr>
        <w:t>)</w:t>
      </w:r>
      <w:r>
        <w:rPr>
          <w:rtl/>
          <w:lang w:bidi="fa-IR"/>
        </w:rPr>
        <w:t xml:space="preserve"> </w:t>
      </w:r>
      <w:r w:rsidRPr="00D10E3C">
        <w:rPr>
          <w:rStyle w:val="libFootnotenumChar"/>
          <w:rtl/>
        </w:rPr>
        <w:t>(7)</w:t>
      </w:r>
      <w:r>
        <w:rPr>
          <w:rtl/>
          <w:lang w:bidi="fa-IR"/>
        </w:rPr>
        <w:t xml:space="preserve"> الْآيَةَ.</w:t>
      </w:r>
    </w:p>
    <w:p w:rsidR="00144FA6" w:rsidRDefault="00744A1C" w:rsidP="00744A1C">
      <w:pPr>
        <w:pStyle w:val="libNormal"/>
        <w:rPr>
          <w:rtl/>
          <w:lang w:bidi="fa-IR"/>
        </w:rPr>
      </w:pPr>
      <w:r>
        <w:rPr>
          <w:rtl/>
          <w:lang w:bidi="fa-IR"/>
        </w:rPr>
        <w:t xml:space="preserve">ثُمَّ إِنَّ الرُّعْبَ وَالْخَوْفَ مِنْ جِهَادِ الْمُسْتَحِقِّ لِلْجِهَادِ ، وَالْمُتَوَازِرِينَ </w:t>
      </w:r>
      <w:r w:rsidRPr="00D10E3C">
        <w:rPr>
          <w:rStyle w:val="libFootnotenumChar"/>
          <w:rtl/>
        </w:rPr>
        <w:t>(8)</w:t>
      </w:r>
      <w:r>
        <w:rPr>
          <w:rtl/>
          <w:lang w:bidi="fa-IR"/>
        </w:rPr>
        <w:t xml:space="preserve"> عَلَى الضَّلَالِ ضَلَالٌ فِي الدِّينِ ، وَسَلْبٌ لِلدُّنْيَا مَعَ الذُّلِّ وَالصَّغَارِ ، وَفِيهِ اسْتِيجَابُ النَّارِ بِالْفِرَارِ مِنَ الزَّحْفِ عِنْدَ حَضْرَةِ الْقِتَالِ ، يَقُولُ </w:t>
      </w:r>
      <w:r w:rsidRPr="00D10E3C">
        <w:rPr>
          <w:rStyle w:val="libFootnotenumChar"/>
          <w:rtl/>
        </w:rPr>
        <w:t>(9)</w:t>
      </w:r>
      <w:r>
        <w:rPr>
          <w:rtl/>
          <w:lang w:bidi="fa-IR"/>
        </w:rPr>
        <w:t xml:space="preserve"> اللهُ عَزَّ وَجَلَّ : </w:t>
      </w:r>
      <w:r w:rsidRPr="00014662">
        <w:rPr>
          <w:rStyle w:val="libAlaemChar"/>
          <w:rtl/>
        </w:rPr>
        <w:t>(</w:t>
      </w:r>
      <w:r w:rsidRPr="00014662">
        <w:rPr>
          <w:rStyle w:val="libAieChar"/>
          <w:rtl/>
        </w:rPr>
        <w:t xml:space="preserve"> يا أَيُّهَا الَّذِينَ آمَنُوا إِذا لَقِيتُمُ الَّذِينَ كَفَرُوا</w:t>
      </w:r>
    </w:p>
    <w:p w:rsidR="00744A1C" w:rsidRDefault="00744A1C" w:rsidP="00D10E3C">
      <w:pPr>
        <w:pStyle w:val="libLine"/>
        <w:rPr>
          <w:lang w:bidi="fa-IR"/>
        </w:rPr>
      </w:pPr>
      <w:r>
        <w:rPr>
          <w:rtl/>
          <w:lang w:bidi="fa-IR"/>
        </w:rPr>
        <w:t>____________________</w:t>
      </w:r>
    </w:p>
    <w:p w:rsidR="00744A1C" w:rsidRDefault="00014662" w:rsidP="00D10E3C">
      <w:pPr>
        <w:pStyle w:val="libFootnote0"/>
        <w:rPr>
          <w:lang w:bidi="fa-IR"/>
        </w:rPr>
      </w:pPr>
      <w:r>
        <w:rPr>
          <w:rFonts w:hint="cs"/>
          <w:rtl/>
          <w:lang w:bidi="fa-IR"/>
        </w:rPr>
        <w:t xml:space="preserve">= </w:t>
      </w:r>
      <w:r w:rsidR="00744A1C">
        <w:rPr>
          <w:rtl/>
          <w:lang w:bidi="fa-IR"/>
        </w:rPr>
        <w:t xml:space="preserve">الصواب ». وفي </w:t>
      </w:r>
      <w:r w:rsidR="00744A1C" w:rsidRPr="00C24F9C">
        <w:rPr>
          <w:rStyle w:val="libFootnoteBoldChar"/>
          <w:rtl/>
        </w:rPr>
        <w:t>المرآة</w:t>
      </w:r>
      <w:r w:rsidR="00744A1C">
        <w:rPr>
          <w:rtl/>
          <w:lang w:bidi="fa-IR"/>
        </w:rPr>
        <w:t xml:space="preserve"> : « لعلّه بيان لسبيل المؤمنين ، أي المراد بسبيل المؤمنين ولاية أهل البيت </w:t>
      </w:r>
      <w:r w:rsidR="00877682" w:rsidRPr="00877682">
        <w:rPr>
          <w:rStyle w:val="libFootnoteAlaemChar"/>
          <w:rtl/>
        </w:rPr>
        <w:t>عليهم‌السلام</w:t>
      </w:r>
      <w:r w:rsidR="00D10E3C">
        <w:rPr>
          <w:rtl/>
          <w:lang w:bidi="fa-IR"/>
        </w:rPr>
        <w:t xml:space="preserve"> </w:t>
      </w:r>
      <w:r w:rsidR="00744A1C">
        <w:rPr>
          <w:rtl/>
          <w:lang w:bidi="fa-IR"/>
        </w:rPr>
        <w:t xml:space="preserve">وهي الأمانة المعروضة ، والصواب ما في النهج ، وفيه هكذا : ثمّ أداء الأمانة ، فقد خاب من ليس من أهلها ، إنّها عُرضت على السماوات المبنيّة والأرضين المدحوّة ... ». وراجع : </w:t>
      </w:r>
      <w:r w:rsidR="00744A1C" w:rsidRPr="00014662">
        <w:rPr>
          <w:rStyle w:val="libFootnoteBoldChar"/>
          <w:rtl/>
        </w:rPr>
        <w:t>نهج البلاغة</w:t>
      </w:r>
      <w:r w:rsidR="00744A1C">
        <w:rPr>
          <w:rtl/>
          <w:lang w:bidi="fa-IR"/>
        </w:rPr>
        <w:t xml:space="preserve"> ، ص 317 ، الخطبة 199.</w:t>
      </w:r>
    </w:p>
    <w:p w:rsidR="00744A1C" w:rsidRDefault="00D10E3C" w:rsidP="00D10E3C">
      <w:pPr>
        <w:pStyle w:val="libFootnote0"/>
        <w:rPr>
          <w:lang w:bidi="fa-IR"/>
        </w:rPr>
      </w:pPr>
      <w:r>
        <w:rPr>
          <w:rtl/>
          <w:lang w:bidi="fa-IR"/>
        </w:rPr>
        <w:t>(1).</w:t>
      </w:r>
      <w:r w:rsidR="00744A1C">
        <w:rPr>
          <w:rtl/>
          <w:lang w:bidi="fa-IR"/>
        </w:rPr>
        <w:t xml:space="preserve"> في « جن » : « امتنعت ».</w:t>
      </w:r>
    </w:p>
    <w:p w:rsidR="00744A1C" w:rsidRDefault="00E378DD" w:rsidP="00E378DD">
      <w:pPr>
        <w:pStyle w:val="libFootnote0"/>
        <w:rPr>
          <w:lang w:bidi="fa-IR"/>
        </w:rPr>
      </w:pPr>
      <w:r>
        <w:rPr>
          <w:rtl/>
          <w:lang w:bidi="fa-IR"/>
        </w:rPr>
        <w:t>(2).</w:t>
      </w:r>
      <w:r w:rsidR="00744A1C">
        <w:rPr>
          <w:rtl/>
          <w:lang w:bidi="fa-IR"/>
        </w:rPr>
        <w:t xml:space="preserve"> الإشفاق : الخوف. يقال : أشفقتُ ا</w:t>
      </w:r>
      <w:r w:rsidR="00014662">
        <w:rPr>
          <w:rFonts w:hint="cs"/>
          <w:rtl/>
          <w:lang w:bidi="fa-IR"/>
        </w:rPr>
        <w:t>ُ</w:t>
      </w:r>
      <w:r w:rsidR="00744A1C">
        <w:rPr>
          <w:rtl/>
          <w:lang w:bidi="fa-IR"/>
        </w:rPr>
        <w:t xml:space="preserve">شفق إشفاقاً ، وهي اللغة العالية. </w:t>
      </w:r>
      <w:r w:rsidR="00744A1C" w:rsidRPr="00877682">
        <w:rPr>
          <w:rStyle w:val="libFootnoteBoldChar"/>
          <w:rtl/>
        </w:rPr>
        <w:t>النهاية</w:t>
      </w:r>
      <w:r w:rsidR="00744A1C">
        <w:rPr>
          <w:rtl/>
          <w:lang w:bidi="fa-IR"/>
        </w:rPr>
        <w:t xml:space="preserve"> ، ج 2 ، ص 487 ( شفق ).</w:t>
      </w:r>
    </w:p>
    <w:p w:rsidR="00744A1C" w:rsidRDefault="00E378DD" w:rsidP="00E378DD">
      <w:pPr>
        <w:pStyle w:val="libFootnote0"/>
        <w:rPr>
          <w:lang w:bidi="fa-IR"/>
        </w:rPr>
      </w:pPr>
      <w:r>
        <w:rPr>
          <w:rtl/>
          <w:lang w:bidi="fa-IR"/>
        </w:rPr>
        <w:t>(3).</w:t>
      </w:r>
      <w:r w:rsidR="00744A1C">
        <w:rPr>
          <w:rtl/>
          <w:lang w:bidi="fa-IR"/>
        </w:rPr>
        <w:t xml:space="preserve"> في « بف » وحاشية « جت » : « الصلاة ».</w:t>
      </w:r>
    </w:p>
    <w:p w:rsidR="00744A1C" w:rsidRDefault="00E378DD" w:rsidP="00E378DD">
      <w:pPr>
        <w:pStyle w:val="libFootnote0"/>
        <w:rPr>
          <w:lang w:bidi="fa-IR"/>
        </w:rPr>
      </w:pPr>
      <w:r>
        <w:rPr>
          <w:rtl/>
          <w:lang w:bidi="fa-IR"/>
        </w:rPr>
        <w:t>(4).</w:t>
      </w:r>
      <w:r w:rsidR="00744A1C">
        <w:rPr>
          <w:rtl/>
          <w:lang w:bidi="fa-IR"/>
        </w:rPr>
        <w:t xml:space="preserve"> يقال : فلان في مَنَعَة ، أي هو في عزّ قومه ، فلا يقدر عليه من يريده. ولهم منعة ، أي قوّة تمنع من يريد هم</w:t>
      </w:r>
      <w:r w:rsidR="00014662">
        <w:rPr>
          <w:rFonts w:hint="cs"/>
          <w:rtl/>
          <w:lang w:bidi="fa-IR"/>
        </w:rPr>
        <w:t xml:space="preserve"> </w:t>
      </w:r>
      <w:r w:rsidR="00744A1C">
        <w:rPr>
          <w:rtl/>
          <w:lang w:bidi="fa-IR"/>
        </w:rPr>
        <w:t xml:space="preserve">‌بسوء. راجع : </w:t>
      </w:r>
      <w:r w:rsidR="00744A1C" w:rsidRPr="00877682">
        <w:rPr>
          <w:rStyle w:val="libFootnoteBoldChar"/>
          <w:rtl/>
        </w:rPr>
        <w:t>النهاية</w:t>
      </w:r>
      <w:r w:rsidR="00744A1C">
        <w:rPr>
          <w:rtl/>
          <w:lang w:bidi="fa-IR"/>
        </w:rPr>
        <w:t xml:space="preserve"> ، ج 4 ، ص 365 ؛ </w:t>
      </w:r>
      <w:r w:rsidR="00744A1C" w:rsidRPr="00E978C3">
        <w:rPr>
          <w:rStyle w:val="libFootnoteBoldChar"/>
          <w:rtl/>
        </w:rPr>
        <w:t>المصباح المنير</w:t>
      </w:r>
      <w:r w:rsidR="00744A1C">
        <w:rPr>
          <w:rtl/>
          <w:lang w:bidi="fa-IR"/>
        </w:rPr>
        <w:t xml:space="preserve"> ، ص 581 ( منع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أي الحملة على العدوّ ، وهي في نفسه</w:t>
      </w:r>
      <w:r w:rsidR="00014662">
        <w:rPr>
          <w:rtl/>
          <w:lang w:bidi="fa-IR"/>
        </w:rPr>
        <w:t>ا أمر مرغوب فيه ، أو ليس هو إل</w:t>
      </w:r>
      <w:r w:rsidR="00014662">
        <w:rPr>
          <w:rFonts w:hint="cs"/>
          <w:rtl/>
          <w:lang w:bidi="fa-IR"/>
        </w:rPr>
        <w:t>ّ</w:t>
      </w:r>
      <w:r w:rsidR="00014662">
        <w:rPr>
          <w:rtl/>
          <w:lang w:bidi="fa-IR"/>
        </w:rPr>
        <w:t>ا</w:t>
      </w:r>
      <w:r w:rsidR="00744A1C">
        <w:rPr>
          <w:rtl/>
          <w:lang w:bidi="fa-IR"/>
        </w:rPr>
        <w:t xml:space="preserve">مرّة واحدة وحملته فيها سعادة الأبد ، ويمكن أن يقرأ بالهاء ، أي هو مكروه عند العباد ، وهو الأصوب ، فيكون إشارة إلى قوله تعالى : </w:t>
      </w:r>
      <w:r w:rsidR="00744A1C" w:rsidRPr="00014662">
        <w:rPr>
          <w:rStyle w:val="libFootnoteAlaemChar"/>
          <w:rtl/>
        </w:rPr>
        <w:t>(</w:t>
      </w:r>
      <w:r w:rsidR="00744A1C">
        <w:rPr>
          <w:rtl/>
          <w:lang w:bidi="fa-IR"/>
        </w:rPr>
        <w:t xml:space="preserve"> </w:t>
      </w:r>
      <w:r w:rsidR="00744A1C" w:rsidRPr="00014662">
        <w:rPr>
          <w:rStyle w:val="libFootnoteAieChar"/>
          <w:rtl/>
        </w:rPr>
        <w:t>كُتِبَ عَلَيْكُمُ الْقِتالُ وَهُوَ كُرْهٌ لَ</w:t>
      </w:r>
      <w:r w:rsidR="00014662" w:rsidRPr="00014662">
        <w:rPr>
          <w:rStyle w:val="libFootnoteAieChar"/>
          <w:rFonts w:hint="cs"/>
          <w:rtl/>
        </w:rPr>
        <w:t>ّ</w:t>
      </w:r>
      <w:r w:rsidR="00744A1C" w:rsidRPr="00014662">
        <w:rPr>
          <w:rStyle w:val="libFootnoteAieChar"/>
          <w:rtl/>
        </w:rPr>
        <w:t xml:space="preserve">كُمْ </w:t>
      </w:r>
      <w:r w:rsidR="00744A1C" w:rsidRPr="00014662">
        <w:rPr>
          <w:rStyle w:val="libFootnoteAlaemChar"/>
          <w:rtl/>
        </w:rPr>
        <w:t>)</w:t>
      </w:r>
      <w:r w:rsidR="00744A1C">
        <w:rPr>
          <w:rtl/>
          <w:lang w:bidi="fa-IR"/>
        </w:rPr>
        <w:t xml:space="preserve"> ».</w:t>
      </w:r>
    </w:p>
    <w:p w:rsidR="00744A1C" w:rsidRDefault="00E378DD" w:rsidP="00E378DD">
      <w:pPr>
        <w:pStyle w:val="libFootnote0"/>
        <w:rPr>
          <w:lang w:bidi="fa-IR"/>
        </w:rPr>
      </w:pPr>
      <w:r>
        <w:rPr>
          <w:rtl/>
          <w:lang w:bidi="fa-IR"/>
        </w:rPr>
        <w:t>(6).</w:t>
      </w:r>
      <w:r w:rsidR="00744A1C">
        <w:rPr>
          <w:rtl/>
          <w:lang w:bidi="fa-IR"/>
        </w:rPr>
        <w:t xml:space="preserve"> في « بف » : « ففيه ».</w:t>
      </w:r>
    </w:p>
    <w:p w:rsidR="00744A1C" w:rsidRDefault="00E378DD" w:rsidP="00014662">
      <w:pPr>
        <w:pStyle w:val="libFootnote0"/>
        <w:rPr>
          <w:lang w:bidi="fa-IR"/>
        </w:rPr>
      </w:pPr>
      <w:r>
        <w:rPr>
          <w:rtl/>
          <w:lang w:bidi="fa-IR"/>
        </w:rPr>
        <w:t>(7).</w:t>
      </w:r>
      <w:r w:rsidR="00744A1C">
        <w:rPr>
          <w:rtl/>
          <w:lang w:bidi="fa-IR"/>
        </w:rPr>
        <w:t xml:space="preserve"> آل عمران </w:t>
      </w:r>
      <w:r w:rsidR="00014662">
        <w:rPr>
          <w:rtl/>
          <w:lang w:bidi="fa-IR"/>
        </w:rPr>
        <w:t>(3)</w:t>
      </w:r>
      <w:r w:rsidR="00744A1C">
        <w:rPr>
          <w:rtl/>
          <w:lang w:bidi="fa-IR"/>
        </w:rPr>
        <w:t xml:space="preserve"> : 169. وفي « بث » : +</w:t>
      </w:r>
      <w:r w:rsidR="00744A1C" w:rsidRPr="00014662">
        <w:rPr>
          <w:rStyle w:val="libFootnoteAlaemChar"/>
          <w:rtl/>
        </w:rPr>
        <w:t>(</w:t>
      </w:r>
      <w:r w:rsidR="00744A1C" w:rsidRPr="00014662">
        <w:rPr>
          <w:rStyle w:val="libFootnoteAieChar"/>
          <w:rtl/>
        </w:rPr>
        <w:t xml:space="preserve"> أَمْواتاً بَلْ أَحْياءٌ عِنْدَ رَبِّهِمْ يُرْزَقُونَ </w:t>
      </w:r>
      <w:r w:rsidR="00744A1C" w:rsidRPr="00014662">
        <w:rPr>
          <w:rStyle w:val="libFootnoteAlaemChar"/>
          <w:rtl/>
        </w:rPr>
        <w:t>)</w:t>
      </w:r>
      <w:r w:rsidR="00744A1C">
        <w:rPr>
          <w:rtl/>
          <w:lang w:bidi="fa-IR"/>
        </w:rPr>
        <w:t>. وفي « بف » : +</w:t>
      </w:r>
      <w:r w:rsidR="00744A1C" w:rsidRPr="00014662">
        <w:rPr>
          <w:rStyle w:val="libFootnoteAlaemChar"/>
          <w:rtl/>
        </w:rPr>
        <w:t>(</w:t>
      </w:r>
      <w:r w:rsidR="00014662" w:rsidRPr="00014662">
        <w:rPr>
          <w:rStyle w:val="libFootnoteAieChar"/>
          <w:rFonts w:hint="cs"/>
          <w:rtl/>
        </w:rPr>
        <w:t xml:space="preserve"> </w:t>
      </w:r>
      <w:r w:rsidR="00744A1C" w:rsidRPr="00014662">
        <w:rPr>
          <w:rStyle w:val="libFootnoteAieChar"/>
          <w:rtl/>
        </w:rPr>
        <w:t>أَمْواتاً بَلْ أَحْياءٌ</w:t>
      </w:r>
      <w:r w:rsidR="00014662" w:rsidRPr="00014662">
        <w:rPr>
          <w:rStyle w:val="libFootnoteAieChar"/>
          <w:rFonts w:hint="cs"/>
          <w:rtl/>
        </w:rPr>
        <w:t xml:space="preserve"> </w:t>
      </w:r>
      <w:r w:rsidR="00744A1C" w:rsidRPr="00014662">
        <w:rPr>
          <w:rStyle w:val="libFootnoteAlaemChar"/>
          <w:rtl/>
        </w:rPr>
        <w:t>)</w:t>
      </w:r>
      <w:r w:rsidR="00744A1C">
        <w:rPr>
          <w:rtl/>
          <w:lang w:bidi="fa-IR"/>
        </w:rPr>
        <w:t>.</w:t>
      </w:r>
    </w:p>
    <w:p w:rsidR="00744A1C" w:rsidRDefault="00E378DD" w:rsidP="00E378DD">
      <w:pPr>
        <w:pStyle w:val="libFootnote0"/>
        <w:rPr>
          <w:lang w:bidi="fa-IR"/>
        </w:rPr>
      </w:pPr>
      <w:r>
        <w:rPr>
          <w:rtl/>
          <w:lang w:bidi="fa-IR"/>
        </w:rPr>
        <w:t>(8).</w:t>
      </w:r>
      <w:r w:rsidR="00744A1C">
        <w:rPr>
          <w:rtl/>
          <w:lang w:bidi="fa-IR"/>
        </w:rPr>
        <w:t xml:space="preserve"> الموازرة على العمل : المعاونة عليه. </w:t>
      </w:r>
      <w:r w:rsidR="00744A1C" w:rsidRPr="00877682">
        <w:rPr>
          <w:rStyle w:val="libFootnoteBoldChar"/>
          <w:rtl/>
        </w:rPr>
        <w:t>لسان العرب</w:t>
      </w:r>
      <w:r w:rsidR="00744A1C">
        <w:rPr>
          <w:rtl/>
          <w:lang w:bidi="fa-IR"/>
        </w:rPr>
        <w:t xml:space="preserve"> ، ج 5 ، ص 282 ( وزر ).</w:t>
      </w:r>
    </w:p>
    <w:p w:rsidR="00744A1C" w:rsidRDefault="00E378DD" w:rsidP="00E378DD">
      <w:pPr>
        <w:pStyle w:val="libFootnote0"/>
        <w:rPr>
          <w:lang w:bidi="fa-IR"/>
        </w:rPr>
      </w:pPr>
      <w:r>
        <w:rPr>
          <w:rtl/>
          <w:lang w:bidi="fa-IR"/>
        </w:rPr>
        <w:t>(9).</w:t>
      </w:r>
      <w:r w:rsidR="00744A1C">
        <w:rPr>
          <w:rtl/>
          <w:lang w:bidi="fa-IR"/>
        </w:rPr>
        <w:t xml:space="preserve"> في « جت » وحاشية « بث » : « لقول ».</w:t>
      </w:r>
    </w:p>
    <w:p w:rsidR="006A5060" w:rsidRDefault="006A5060" w:rsidP="00D10E3C">
      <w:pPr>
        <w:pStyle w:val="libNormal"/>
        <w:rPr>
          <w:rtl/>
          <w:lang w:bidi="fa-IR"/>
        </w:rPr>
      </w:pPr>
      <w:r>
        <w:rPr>
          <w:rtl/>
          <w:lang w:bidi="fa-IR"/>
        </w:rPr>
        <w:br w:type="page"/>
      </w:r>
    </w:p>
    <w:p w:rsidR="00744A1C" w:rsidRDefault="00744A1C" w:rsidP="00EE40F1">
      <w:pPr>
        <w:pStyle w:val="libNormal0"/>
        <w:rPr>
          <w:lang w:bidi="fa-IR"/>
        </w:rPr>
      </w:pPr>
      <w:r w:rsidRPr="00EE40F1">
        <w:rPr>
          <w:rStyle w:val="libAieChar"/>
          <w:rtl/>
        </w:rPr>
        <w:t xml:space="preserve">زَحْفاً </w:t>
      </w:r>
      <w:r w:rsidRPr="00D10E3C">
        <w:rPr>
          <w:rStyle w:val="libFootnotenumChar"/>
          <w:rtl/>
        </w:rPr>
        <w:t>(1)</w:t>
      </w:r>
      <w:r w:rsidRPr="00EE40F1">
        <w:rPr>
          <w:rStyle w:val="libAieChar"/>
          <w:rtl/>
        </w:rPr>
        <w:t xml:space="preserve"> فَلا تُوَلُّوهُمُ الْأَدْبارَ </w:t>
      </w:r>
      <w:r w:rsidRPr="00EE40F1">
        <w:rPr>
          <w:rStyle w:val="libAlaemChar"/>
          <w:rtl/>
        </w:rPr>
        <w:t>)</w:t>
      </w:r>
      <w:r>
        <w:rPr>
          <w:rtl/>
          <w:lang w:bidi="fa-IR"/>
        </w:rPr>
        <w:t xml:space="preserve"> </w:t>
      </w:r>
      <w:r w:rsidRPr="00D10E3C">
        <w:rPr>
          <w:rStyle w:val="libFootnotenumChar"/>
          <w:rtl/>
        </w:rPr>
        <w:t>(2)</w:t>
      </w:r>
    </w:p>
    <w:p w:rsidR="00144FA6" w:rsidRDefault="00744A1C" w:rsidP="008728A7">
      <w:pPr>
        <w:pStyle w:val="libNormal"/>
        <w:rPr>
          <w:rtl/>
          <w:lang w:bidi="fa-IR"/>
        </w:rPr>
      </w:pPr>
      <w:r>
        <w:rPr>
          <w:rtl/>
          <w:lang w:bidi="fa-IR"/>
        </w:rPr>
        <w:t xml:space="preserve">فَحَافِظُوا عَلى أَمْرِ اللهِ - عَزَّ وَجَلَّ - فِي هذِهِ الْمَوَاطِنِ الَّتِي الصَّبْرُ عَلَيْهَا كَرَمٌ وَسَعَادَةٌ وَنَجَاةٌ فِي الدُّنْيَا وَالْآخِرَةِ مِنْ فَظِيعِ </w:t>
      </w:r>
      <w:r w:rsidRPr="00D10E3C">
        <w:rPr>
          <w:rStyle w:val="libFootnotenumChar"/>
          <w:rtl/>
        </w:rPr>
        <w:t>(3)</w:t>
      </w:r>
      <w:r>
        <w:rPr>
          <w:rtl/>
          <w:lang w:bidi="fa-IR"/>
        </w:rPr>
        <w:t xml:space="preserve"> الْهَوْلِ وَالْمَخَافَةِ </w:t>
      </w:r>
      <w:r w:rsidRPr="00D10E3C">
        <w:rPr>
          <w:rStyle w:val="libFootnotenumChar"/>
          <w:rtl/>
        </w:rPr>
        <w:t>(4)</w:t>
      </w:r>
      <w:r>
        <w:rPr>
          <w:rtl/>
          <w:lang w:bidi="fa-IR"/>
        </w:rPr>
        <w:t xml:space="preserve"> ؛ فَإِنَّ اللهَ - عَزَّ وَجَلَّ - لَايَعْبَأُ بِمَا الْعِبَادُ مُقْتَرِفُونَ </w:t>
      </w:r>
      <w:r w:rsidRPr="00D10E3C">
        <w:rPr>
          <w:rStyle w:val="libFootnotenumChar"/>
          <w:rtl/>
        </w:rPr>
        <w:t>(5)</w:t>
      </w:r>
      <w:r>
        <w:rPr>
          <w:rtl/>
          <w:lang w:bidi="fa-IR"/>
        </w:rPr>
        <w:t xml:space="preserve"> لَيْلَهُمْ وَنَهَارَهُمْ ، لَطُفَ بِهِ </w:t>
      </w:r>
      <w:r w:rsidRPr="00D10E3C">
        <w:rPr>
          <w:rStyle w:val="libFootnotenumChar"/>
          <w:rtl/>
        </w:rPr>
        <w:t>(6)</w:t>
      </w:r>
      <w:r>
        <w:rPr>
          <w:rtl/>
          <w:lang w:bidi="fa-IR"/>
        </w:rPr>
        <w:t xml:space="preserve"> عِلْماً ، وَكُلُّ </w:t>
      </w:r>
      <w:r w:rsidRPr="00D10E3C">
        <w:rPr>
          <w:rStyle w:val="libFootnotenumChar"/>
          <w:rtl/>
        </w:rPr>
        <w:t>(7)</w:t>
      </w:r>
      <w:r>
        <w:rPr>
          <w:rtl/>
          <w:lang w:bidi="fa-IR"/>
        </w:rPr>
        <w:t xml:space="preserve"> ذلِكَ فِي كِتابٍ لا يَضِلُّ رَبِّي وَلا يَنْسى </w:t>
      </w:r>
      <w:r w:rsidRPr="00D10E3C">
        <w:rPr>
          <w:rStyle w:val="libFootnotenumChar"/>
          <w:rtl/>
        </w:rPr>
        <w:t>(8)</w:t>
      </w:r>
      <w:r>
        <w:rPr>
          <w:rtl/>
          <w:lang w:bidi="fa-IR"/>
        </w:rPr>
        <w:t xml:space="preserve"> ، فَاصْبِرُوا وَصَابِرُوا ، وَاسْأَلُوا النَّصْرَ ، وَوَطِّنُوا أَنْفُسَكُمْ عَلَى الْقِتَالِ ، وَاتَّقُوا اللهَ عَزَّ وَجَلَّ : فَ</w:t>
      </w:r>
      <w:r w:rsidR="008728A7">
        <w:rPr>
          <w:rFonts w:hint="cs"/>
          <w:rtl/>
          <w:lang w:bidi="fa-IR"/>
        </w:rPr>
        <w:t>ـ</w:t>
      </w:r>
      <w:r>
        <w:rPr>
          <w:rtl/>
          <w:lang w:bidi="fa-IR"/>
        </w:rPr>
        <w:t xml:space="preserve"> </w:t>
      </w:r>
      <w:r w:rsidRPr="008728A7">
        <w:rPr>
          <w:rStyle w:val="libFootnoteAlaemChar"/>
          <w:rtl/>
        </w:rPr>
        <w:t>(</w:t>
      </w:r>
      <w:r w:rsidRPr="008728A7">
        <w:rPr>
          <w:rStyle w:val="libFootnoteAieChar"/>
          <w:rtl/>
        </w:rPr>
        <w:t xml:space="preserve"> إِنَّ اللهَ مَعَ الَّذِينَ اتَّقَوْا وَالَّذِينَ هُمْ مُحْسِنُونَ </w:t>
      </w:r>
      <w:r w:rsidRPr="008728A7">
        <w:rPr>
          <w:rStyle w:val="libFootnoteAlaemChar"/>
          <w:rtl/>
        </w:rPr>
        <w:t>)</w:t>
      </w:r>
      <w:r>
        <w:rPr>
          <w:rtl/>
          <w:lang w:bidi="fa-IR"/>
        </w:rPr>
        <w:t xml:space="preserve"> </w:t>
      </w:r>
      <w:r w:rsidRPr="00D10E3C">
        <w:rPr>
          <w:rStyle w:val="libFootnotenumChar"/>
          <w:rtl/>
        </w:rPr>
        <w:t>(9)</w:t>
      </w:r>
      <w:r>
        <w:rPr>
          <w:rtl/>
          <w:lang w:bidi="fa-IR"/>
        </w:rPr>
        <w:t xml:space="preserve"> ». </w:t>
      </w:r>
      <w:r w:rsidRPr="00D10E3C">
        <w:rPr>
          <w:rStyle w:val="libFootnotenumChar"/>
          <w:rtl/>
        </w:rPr>
        <w:t>(10)</w:t>
      </w:r>
    </w:p>
    <w:p w:rsidR="00144FA6" w:rsidRDefault="00744A1C" w:rsidP="00744A1C">
      <w:pPr>
        <w:pStyle w:val="libNormal"/>
        <w:rPr>
          <w:rtl/>
          <w:lang w:bidi="fa-IR"/>
        </w:rPr>
      </w:pPr>
      <w:r>
        <w:rPr>
          <w:rtl/>
          <w:lang w:bidi="fa-IR"/>
        </w:rPr>
        <w:t xml:space="preserve">8261 / 2. وَفِي حَدِيثِ يَزِيدَ بْنِ إِسْحَاقَ </w:t>
      </w:r>
      <w:r w:rsidRPr="00D10E3C">
        <w:rPr>
          <w:rStyle w:val="libFootnotenumChar"/>
          <w:rtl/>
        </w:rPr>
        <w:t>(11)</w:t>
      </w:r>
      <w:r>
        <w:rPr>
          <w:rtl/>
          <w:lang w:bidi="fa-IR"/>
        </w:rPr>
        <w:t xml:space="preserve"> ، عَنْ أَبِي صَادِقٍ ، قَالَ :</w:t>
      </w:r>
    </w:p>
    <w:p w:rsidR="00144FA6" w:rsidRDefault="00744A1C" w:rsidP="00744A1C">
      <w:pPr>
        <w:pStyle w:val="libNormal"/>
        <w:rPr>
          <w:rtl/>
          <w:lang w:bidi="fa-IR"/>
        </w:rPr>
      </w:pPr>
      <w:r>
        <w:rPr>
          <w:rtl/>
          <w:lang w:bidi="fa-IR"/>
        </w:rPr>
        <w:t xml:space="preserve">سَمِعْتُ عَلِيّاً </w:t>
      </w:r>
      <w:r w:rsidR="0061079A" w:rsidRPr="0061079A">
        <w:rPr>
          <w:rStyle w:val="libAlaemChar"/>
          <w:rtl/>
        </w:rPr>
        <w:t>عليه‌السلام</w:t>
      </w:r>
      <w:r w:rsidR="00D10E3C">
        <w:rPr>
          <w:rtl/>
          <w:lang w:bidi="fa-IR"/>
        </w:rPr>
        <w:t xml:space="preserve"> </w:t>
      </w:r>
      <w:r>
        <w:rPr>
          <w:rtl/>
          <w:lang w:bidi="fa-IR"/>
        </w:rPr>
        <w:t>يُحَرِّضُ النَّاسَ فِي ثَلَاثَةِ مَوَاطِنَ : الْجَمَلِ ، وَصِفِّينَ ، وَيَوْمِ النَّهَرِ ،</w:t>
      </w:r>
    </w:p>
    <w:p w:rsidR="00144FA6" w:rsidRDefault="00744A1C" w:rsidP="00744A1C">
      <w:pPr>
        <w:pStyle w:val="libNormal"/>
        <w:rPr>
          <w:rtl/>
          <w:lang w:bidi="fa-IR"/>
        </w:rPr>
      </w:pPr>
      <w:r>
        <w:rPr>
          <w:rtl/>
          <w:lang w:bidi="fa-IR"/>
        </w:rPr>
        <w:t xml:space="preserve">يَقُولُ : « عِبَادَ اللهِ ، اتَّقُوا اللهَ ، وَغُضُّوا الْأَبْصَارَ ، وَاخْفِضُوا الْأَصْوَاتَ ، وَأَقِلُّوا الْكَلَامَ </w:t>
      </w:r>
      <w:r w:rsidRPr="00D10E3C">
        <w:rPr>
          <w:rStyle w:val="libFootnotenumChar"/>
          <w:rtl/>
        </w:rPr>
        <w:t>(12)</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الزحف » : الجيش الدهم الذي يرى لكثرته كأنّه يزحف ، أي يدبّ دبيباً ، من زحف الصبيّ : إذا ذهب على إسته قليلاً قليلاً ، سمّي بالمصدر. و « زحفاً » نصب على المصدر ، وهو في موضع الحال من « الذين كفروا » ، أو من الفريقين ، أو من المؤمنين ؛ لأنّ معناه : متزاحفين مجتمعين. راجع : الكشّاف ، ج 2 ، ص 148 ؛ </w:t>
      </w:r>
      <w:r w:rsidR="00744A1C" w:rsidRPr="008728A7">
        <w:rPr>
          <w:rStyle w:val="libFootnoteBoldChar"/>
          <w:rtl/>
        </w:rPr>
        <w:t>مجمع البيان</w:t>
      </w:r>
      <w:r w:rsidR="00744A1C">
        <w:rPr>
          <w:rtl/>
          <w:lang w:bidi="fa-IR"/>
        </w:rPr>
        <w:t xml:space="preserve"> ، ج 4 ، ص 444.</w:t>
      </w:r>
    </w:p>
    <w:p w:rsidR="00744A1C" w:rsidRDefault="00E378DD" w:rsidP="00E378DD">
      <w:pPr>
        <w:pStyle w:val="libFootnote0"/>
        <w:rPr>
          <w:lang w:bidi="fa-IR"/>
        </w:rPr>
      </w:pPr>
      <w:r>
        <w:rPr>
          <w:rtl/>
          <w:lang w:bidi="fa-IR"/>
        </w:rPr>
        <w:t>(2).</w:t>
      </w:r>
      <w:r w:rsidR="00744A1C">
        <w:rPr>
          <w:rtl/>
          <w:lang w:bidi="fa-IR"/>
        </w:rPr>
        <w:t xml:space="preserve"> الأنفال </w:t>
      </w:r>
      <w:r w:rsidR="008728A7">
        <w:rPr>
          <w:rtl/>
          <w:lang w:bidi="fa-IR"/>
        </w:rPr>
        <w:t>(8)</w:t>
      </w:r>
      <w:r w:rsidR="00744A1C">
        <w:rPr>
          <w:rtl/>
          <w:lang w:bidi="fa-IR"/>
        </w:rPr>
        <w:t xml:space="preserve"> : 15.</w:t>
      </w:r>
    </w:p>
    <w:p w:rsidR="00744A1C" w:rsidRDefault="00E378DD" w:rsidP="00E378DD">
      <w:pPr>
        <w:pStyle w:val="libFootnote0"/>
        <w:rPr>
          <w:lang w:bidi="fa-IR"/>
        </w:rPr>
      </w:pPr>
      <w:r>
        <w:rPr>
          <w:rtl/>
          <w:lang w:bidi="fa-IR"/>
        </w:rPr>
        <w:t>(3).</w:t>
      </w:r>
      <w:r w:rsidR="00744A1C">
        <w:rPr>
          <w:rtl/>
          <w:lang w:bidi="fa-IR"/>
        </w:rPr>
        <w:t xml:space="preserve"> فَظُعَ الأَمرُ ، يَفْظَعُ فَظاعَةً : اشتدّ ، وشنع. راجع : </w:t>
      </w:r>
      <w:r w:rsidR="00744A1C" w:rsidRPr="00877682">
        <w:rPr>
          <w:rStyle w:val="libFootnoteBoldChar"/>
          <w:rtl/>
        </w:rPr>
        <w:t>لسان العرب</w:t>
      </w:r>
      <w:r w:rsidR="00744A1C">
        <w:rPr>
          <w:rtl/>
          <w:lang w:bidi="fa-IR"/>
        </w:rPr>
        <w:t xml:space="preserve"> ، ج 8 ، ص 254 ( فظع ).</w:t>
      </w:r>
    </w:p>
    <w:p w:rsidR="00744A1C" w:rsidRDefault="00E378DD" w:rsidP="00E378DD">
      <w:pPr>
        <w:pStyle w:val="libFootnote0"/>
        <w:rPr>
          <w:lang w:bidi="fa-IR"/>
        </w:rPr>
      </w:pPr>
      <w:r>
        <w:rPr>
          <w:rtl/>
          <w:lang w:bidi="fa-IR"/>
        </w:rPr>
        <w:t>(4).</w:t>
      </w:r>
      <w:r w:rsidR="00744A1C">
        <w:rPr>
          <w:rtl/>
          <w:lang w:bidi="fa-IR"/>
        </w:rPr>
        <w:t xml:space="preserve"> في </w:t>
      </w:r>
      <w:r w:rsidR="00744A1C" w:rsidRPr="008728A7">
        <w:rPr>
          <w:rtl/>
        </w:rPr>
        <w:t>البحار</w:t>
      </w:r>
      <w:r w:rsidR="00744A1C">
        <w:rPr>
          <w:rtl/>
          <w:lang w:bidi="fa-IR"/>
        </w:rPr>
        <w:t xml:space="preserve"> : « والمخالفة ».</w:t>
      </w:r>
    </w:p>
    <w:p w:rsidR="00744A1C" w:rsidRDefault="00E378DD" w:rsidP="008728A7">
      <w:pPr>
        <w:pStyle w:val="libFootnote0"/>
        <w:rPr>
          <w:lang w:bidi="fa-IR"/>
        </w:rPr>
      </w:pPr>
      <w:r>
        <w:rPr>
          <w:rtl/>
          <w:lang w:bidi="fa-IR"/>
        </w:rPr>
        <w:t>(5).</w:t>
      </w:r>
      <w:r w:rsidR="00744A1C">
        <w:rPr>
          <w:rtl/>
          <w:lang w:bidi="fa-IR"/>
        </w:rPr>
        <w:t xml:space="preserve"> في </w:t>
      </w:r>
      <w:r w:rsidR="00744A1C" w:rsidRPr="008728A7">
        <w:rPr>
          <w:rtl/>
        </w:rPr>
        <w:t>الوسائل</w:t>
      </w:r>
      <w:r w:rsidR="00744A1C">
        <w:rPr>
          <w:rtl/>
          <w:lang w:bidi="fa-IR"/>
        </w:rPr>
        <w:t xml:space="preserve"> : + « في ». والاقتراف : الاكتساب. واقْتَرَفَ ذنباً ، أي أتاه وفعله. راجع : </w:t>
      </w:r>
      <w:r w:rsidR="00744A1C" w:rsidRPr="00877682">
        <w:rPr>
          <w:rStyle w:val="libFootnoteBoldChar"/>
          <w:rtl/>
        </w:rPr>
        <w:t>لسان العرب</w:t>
      </w:r>
      <w:r w:rsidR="00744A1C">
        <w:rPr>
          <w:rtl/>
          <w:lang w:bidi="fa-IR"/>
        </w:rPr>
        <w:t xml:space="preserve"> ، ج 9 ، ص 280 ( قوف ).</w:t>
      </w:r>
      <w:r w:rsidR="008728A7">
        <w:rPr>
          <w:rFonts w:hint="cs"/>
          <w:rtl/>
          <w:lang w:bidi="fa-IR"/>
        </w:rPr>
        <w:t xml:space="preserve">                         </w:t>
      </w:r>
      <w:r>
        <w:rPr>
          <w:rtl/>
          <w:lang w:bidi="fa-IR"/>
        </w:rPr>
        <w:t>(6).</w:t>
      </w:r>
      <w:r w:rsidR="00744A1C">
        <w:rPr>
          <w:rtl/>
          <w:lang w:bidi="fa-IR"/>
        </w:rPr>
        <w:t xml:space="preserve"> في « بف » : « بها ».</w:t>
      </w:r>
    </w:p>
    <w:p w:rsidR="00744A1C" w:rsidRDefault="00E378DD" w:rsidP="00E378DD">
      <w:pPr>
        <w:pStyle w:val="libFootnote0"/>
        <w:rPr>
          <w:lang w:bidi="fa-IR"/>
        </w:rPr>
      </w:pPr>
      <w:r>
        <w:rPr>
          <w:rtl/>
          <w:lang w:bidi="fa-IR"/>
        </w:rPr>
        <w:t>(7).</w:t>
      </w:r>
      <w:r w:rsidR="00744A1C">
        <w:rPr>
          <w:rtl/>
          <w:lang w:bidi="fa-IR"/>
        </w:rPr>
        <w:t xml:space="preserve"> في </w:t>
      </w:r>
      <w:r w:rsidR="00744A1C" w:rsidRPr="008728A7">
        <w:rPr>
          <w:rtl/>
        </w:rPr>
        <w:t>الوسائل</w:t>
      </w:r>
      <w:r w:rsidR="00744A1C">
        <w:rPr>
          <w:rtl/>
          <w:lang w:bidi="fa-IR"/>
        </w:rPr>
        <w:t xml:space="preserve"> : « فكلّ ».</w:t>
      </w:r>
    </w:p>
    <w:p w:rsidR="00744A1C" w:rsidRDefault="00E378DD" w:rsidP="00E378DD">
      <w:pPr>
        <w:pStyle w:val="libFootnote0"/>
        <w:rPr>
          <w:lang w:bidi="fa-IR"/>
        </w:rPr>
      </w:pPr>
      <w:r>
        <w:rPr>
          <w:rtl/>
          <w:lang w:bidi="fa-IR"/>
        </w:rPr>
        <w:t>(8).</w:t>
      </w:r>
      <w:r w:rsidR="00744A1C">
        <w:rPr>
          <w:rtl/>
          <w:lang w:bidi="fa-IR"/>
        </w:rPr>
        <w:t xml:space="preserve"> إشارة إلى الآية 52 من سورة طه (20) حيث قال : </w:t>
      </w:r>
      <w:r w:rsidR="00744A1C" w:rsidRPr="008728A7">
        <w:rPr>
          <w:rStyle w:val="libFootnoteAlaemChar"/>
          <w:rtl/>
        </w:rPr>
        <w:t>(</w:t>
      </w:r>
      <w:r w:rsidR="00744A1C" w:rsidRPr="008728A7">
        <w:rPr>
          <w:rStyle w:val="libFootnoteAieChar"/>
          <w:rtl/>
        </w:rPr>
        <w:t xml:space="preserve"> قالَ عِلْمُها عِنْدَ رَبِّي فِي كِتابٍ ل</w:t>
      </w:r>
      <w:r w:rsidR="008728A7">
        <w:rPr>
          <w:rStyle w:val="libFootnoteAieChar"/>
          <w:rFonts w:hint="cs"/>
          <w:rtl/>
        </w:rPr>
        <w:t>َّ</w:t>
      </w:r>
      <w:r w:rsidR="00744A1C" w:rsidRPr="008728A7">
        <w:rPr>
          <w:rStyle w:val="libFootnoteAieChar"/>
          <w:rtl/>
        </w:rPr>
        <w:t>ا يَضِلُّ رَبِّي وَل</w:t>
      </w:r>
      <w:r w:rsidR="008728A7">
        <w:rPr>
          <w:rStyle w:val="libFootnoteAieChar"/>
          <w:rFonts w:hint="cs"/>
          <w:rtl/>
        </w:rPr>
        <w:t>َ</w:t>
      </w:r>
      <w:r w:rsidR="00744A1C" w:rsidRPr="008728A7">
        <w:rPr>
          <w:rStyle w:val="libFootnoteAieChar"/>
          <w:rtl/>
        </w:rPr>
        <w:t>ا يَنْس</w:t>
      </w:r>
      <w:r w:rsidR="008728A7">
        <w:rPr>
          <w:rStyle w:val="libFootnoteAieChar"/>
          <w:rFonts w:hint="cs"/>
          <w:rtl/>
        </w:rPr>
        <w:t>َ</w:t>
      </w:r>
      <w:r w:rsidR="00744A1C" w:rsidRPr="008728A7">
        <w:rPr>
          <w:rStyle w:val="libFootnoteAieChar"/>
          <w:rtl/>
        </w:rPr>
        <w:t xml:space="preserve">ى </w:t>
      </w:r>
      <w:r w:rsidR="00744A1C" w:rsidRPr="008728A7">
        <w:rPr>
          <w:rStyle w:val="libFootnoteAlaemChar"/>
          <w:rtl/>
        </w:rPr>
        <w:t>)</w:t>
      </w:r>
      <w:r w:rsidR="00744A1C">
        <w:rPr>
          <w:rtl/>
          <w:lang w:bidi="fa-IR"/>
        </w:rPr>
        <w:t>.</w:t>
      </w:r>
    </w:p>
    <w:p w:rsidR="00744A1C" w:rsidRDefault="00E378DD" w:rsidP="00E378DD">
      <w:pPr>
        <w:pStyle w:val="libFootnote0"/>
        <w:rPr>
          <w:lang w:bidi="fa-IR"/>
        </w:rPr>
      </w:pPr>
      <w:r>
        <w:rPr>
          <w:rtl/>
          <w:lang w:bidi="fa-IR"/>
        </w:rPr>
        <w:t>(9).</w:t>
      </w:r>
      <w:r w:rsidR="00744A1C">
        <w:rPr>
          <w:rtl/>
          <w:lang w:bidi="fa-IR"/>
        </w:rPr>
        <w:t xml:space="preserve"> النحل (16) : 128.</w:t>
      </w:r>
    </w:p>
    <w:p w:rsidR="00744A1C" w:rsidRDefault="00E378DD" w:rsidP="00E378DD">
      <w:pPr>
        <w:pStyle w:val="libFootnote0"/>
        <w:rPr>
          <w:lang w:bidi="fa-IR"/>
        </w:rPr>
      </w:pPr>
      <w:r>
        <w:rPr>
          <w:rtl/>
          <w:lang w:bidi="fa-IR"/>
        </w:rPr>
        <w:t>(10).</w:t>
      </w:r>
      <w:r w:rsidR="00744A1C">
        <w:rPr>
          <w:rtl/>
          <w:lang w:bidi="fa-IR"/>
        </w:rPr>
        <w:t xml:space="preserve"> </w:t>
      </w:r>
      <w:r w:rsidR="00744A1C" w:rsidRPr="008728A7">
        <w:rPr>
          <w:rStyle w:val="libFootnoteBoldChar"/>
          <w:rtl/>
        </w:rPr>
        <w:t>نهج البلاغة</w:t>
      </w:r>
      <w:r w:rsidR="00744A1C">
        <w:rPr>
          <w:rtl/>
          <w:lang w:bidi="fa-IR"/>
        </w:rPr>
        <w:t xml:space="preserve"> ، ص 316 ، الخطبة 199 ، من قوله : « تعاهدوا الصلاة وحافظوا عليها » إلى قوله : « ولكن أشفقن من العقوبة » مع اختلاف يسير وزيادة في آخره </w:t>
      </w:r>
      <w:r w:rsidR="007473D5">
        <w:rPr>
          <w:rFonts w:hint="cs"/>
          <w:rtl/>
          <w:lang w:bidi="fa-IR"/>
        </w:rPr>
        <w:t>.</w:t>
      </w:r>
      <w:r w:rsidR="00744A1C" w:rsidRPr="00C24F9C">
        <w:rPr>
          <w:rStyle w:val="libFootnoteBoldChar"/>
          <w:rtl/>
        </w:rPr>
        <w:t>الوافي</w:t>
      </w:r>
      <w:r w:rsidR="00744A1C">
        <w:rPr>
          <w:rtl/>
          <w:lang w:bidi="fa-IR"/>
        </w:rPr>
        <w:t xml:space="preserve"> ، ج 15 ، ص 105 ، ح 14757 ؛ </w:t>
      </w:r>
      <w:r w:rsidR="00744A1C" w:rsidRPr="00C24F9C">
        <w:rPr>
          <w:rStyle w:val="libFootnoteBoldChar"/>
          <w:rtl/>
        </w:rPr>
        <w:t>الوسائل</w:t>
      </w:r>
      <w:r w:rsidR="00744A1C">
        <w:rPr>
          <w:rtl/>
          <w:lang w:bidi="fa-IR"/>
        </w:rPr>
        <w:t xml:space="preserve"> ، ج 15 ، ص 93 ، ح 20055 ؛ </w:t>
      </w:r>
      <w:r w:rsidR="00744A1C" w:rsidRPr="0061079A">
        <w:rPr>
          <w:rStyle w:val="libFootnoteBoldChar"/>
          <w:rtl/>
        </w:rPr>
        <w:t>البحار</w:t>
      </w:r>
      <w:r w:rsidR="00744A1C">
        <w:rPr>
          <w:rtl/>
          <w:lang w:bidi="fa-IR"/>
        </w:rPr>
        <w:t xml:space="preserve"> ، ج 33 ، ص 446 ، ح 659.</w:t>
      </w:r>
    </w:p>
    <w:p w:rsidR="00744A1C" w:rsidRDefault="00E378DD" w:rsidP="00E378DD">
      <w:pPr>
        <w:pStyle w:val="libFootnote0"/>
        <w:rPr>
          <w:lang w:bidi="fa-IR"/>
        </w:rPr>
      </w:pPr>
      <w:r>
        <w:rPr>
          <w:rtl/>
          <w:lang w:bidi="fa-IR"/>
        </w:rPr>
        <w:t>(11).</w:t>
      </w:r>
      <w:r w:rsidR="00744A1C">
        <w:rPr>
          <w:rtl/>
          <w:lang w:bidi="fa-IR"/>
        </w:rPr>
        <w:t xml:space="preserve"> في حاشية « جت » </w:t>
      </w:r>
      <w:r w:rsidR="00744A1C" w:rsidRPr="007473D5">
        <w:rPr>
          <w:rtl/>
        </w:rPr>
        <w:t>والوسائل</w:t>
      </w:r>
      <w:r w:rsidR="00744A1C">
        <w:rPr>
          <w:rtl/>
          <w:lang w:bidi="fa-IR"/>
        </w:rPr>
        <w:t xml:space="preserve"> : « وحدّث يزيد بن إسماعيل » بدل « وفي حديث يزيد بن إسحاق ».</w:t>
      </w:r>
    </w:p>
    <w:p w:rsidR="00744A1C" w:rsidRDefault="00E378DD" w:rsidP="00E378DD">
      <w:pPr>
        <w:pStyle w:val="libFootnote0"/>
        <w:rPr>
          <w:lang w:bidi="fa-IR"/>
        </w:rPr>
      </w:pPr>
      <w:r>
        <w:rPr>
          <w:rtl/>
          <w:lang w:bidi="fa-IR"/>
        </w:rPr>
        <w:t>(12).</w:t>
      </w:r>
      <w:r w:rsidR="00744A1C">
        <w:rPr>
          <w:rtl/>
          <w:lang w:bidi="fa-IR"/>
        </w:rPr>
        <w:t xml:space="preserve"> في </w:t>
      </w:r>
      <w:r w:rsidR="00744A1C" w:rsidRPr="007473D5">
        <w:rPr>
          <w:rtl/>
        </w:rPr>
        <w:t>البحار</w:t>
      </w:r>
      <w:r w:rsidR="00744A1C">
        <w:rPr>
          <w:rtl/>
          <w:lang w:bidi="fa-IR"/>
        </w:rPr>
        <w:t xml:space="preserve"> : - « وأقلّوا الكلام ».</w:t>
      </w:r>
    </w:p>
    <w:p w:rsidR="006A5060" w:rsidRDefault="006A5060" w:rsidP="00D10E3C">
      <w:pPr>
        <w:pStyle w:val="libNormal"/>
        <w:rPr>
          <w:rtl/>
          <w:lang w:bidi="fa-IR"/>
        </w:rPr>
      </w:pPr>
      <w:r>
        <w:rPr>
          <w:rtl/>
          <w:lang w:bidi="fa-IR"/>
        </w:rPr>
        <w:br w:type="page"/>
      </w:r>
    </w:p>
    <w:p w:rsidR="00144FA6" w:rsidRDefault="00744A1C" w:rsidP="007473D5">
      <w:pPr>
        <w:pStyle w:val="libNormal0"/>
        <w:rPr>
          <w:rtl/>
          <w:lang w:bidi="fa-IR"/>
        </w:rPr>
      </w:pPr>
      <w:r>
        <w:rPr>
          <w:rtl/>
          <w:lang w:bidi="fa-IR"/>
        </w:rPr>
        <w:t xml:space="preserve">وَوَطِّنُوا أَنْفُسَكُمْ عَلَى الْمُنَازَلَةِ </w:t>
      </w:r>
      <w:r w:rsidRPr="00D10E3C">
        <w:rPr>
          <w:rStyle w:val="libFootnotenumChar"/>
          <w:rtl/>
        </w:rPr>
        <w:t>(1)</w:t>
      </w:r>
      <w:r>
        <w:rPr>
          <w:rtl/>
          <w:lang w:bidi="fa-IR"/>
        </w:rPr>
        <w:t xml:space="preserve"> وَالْمُجَاوَلَةِ </w:t>
      </w:r>
      <w:r w:rsidRPr="00D10E3C">
        <w:rPr>
          <w:rStyle w:val="libFootnotenumChar"/>
          <w:rtl/>
        </w:rPr>
        <w:t>(2)</w:t>
      </w:r>
      <w:r>
        <w:rPr>
          <w:rtl/>
          <w:lang w:bidi="fa-IR"/>
        </w:rPr>
        <w:t xml:space="preserve"> وَالْمُبَارَزَةِ وَالْمُنَاضَلَةِ </w:t>
      </w:r>
      <w:r w:rsidRPr="00D10E3C">
        <w:rPr>
          <w:rStyle w:val="libFootnotenumChar"/>
          <w:rtl/>
        </w:rPr>
        <w:t>(3)</w:t>
      </w:r>
      <w:r>
        <w:rPr>
          <w:rtl/>
          <w:lang w:bidi="fa-IR"/>
        </w:rPr>
        <w:t xml:space="preserve"> وَالْمُنَابَذَةِ </w:t>
      </w:r>
      <w:r w:rsidRPr="00D10E3C">
        <w:rPr>
          <w:rStyle w:val="libFootnotenumChar"/>
          <w:rtl/>
        </w:rPr>
        <w:t>(4)</w:t>
      </w:r>
      <w:r>
        <w:rPr>
          <w:rtl/>
          <w:lang w:bidi="fa-IR"/>
        </w:rPr>
        <w:t xml:space="preserve"> وَالْمُعَانَقَةِ وَالْمُكَادَمَةِ </w:t>
      </w:r>
      <w:r w:rsidRPr="00D10E3C">
        <w:rPr>
          <w:rStyle w:val="libFootnotenumChar"/>
          <w:rtl/>
        </w:rPr>
        <w:t>(5)</w:t>
      </w:r>
      <w:r>
        <w:rPr>
          <w:rtl/>
          <w:lang w:bidi="fa-IR"/>
        </w:rPr>
        <w:t xml:space="preserve"> ، وَاثْبُتُوا</w:t>
      </w:r>
      <w:r w:rsidR="007473D5">
        <w:rPr>
          <w:rFonts w:hint="cs"/>
          <w:rtl/>
          <w:lang w:bidi="fa-IR"/>
        </w:rPr>
        <w:t xml:space="preserve"> </w:t>
      </w:r>
      <w:r w:rsidRPr="007473D5">
        <w:rPr>
          <w:rStyle w:val="libAlaemChar"/>
          <w:rtl/>
        </w:rPr>
        <w:t>(</w:t>
      </w:r>
      <w:r w:rsidRPr="007473D5">
        <w:rPr>
          <w:rStyle w:val="libAieChar"/>
          <w:rtl/>
        </w:rPr>
        <w:t xml:space="preserve"> وَاذْكُرُوا اللهَ كَثِيراً لَعَلَّكُمْ تُفْلِحُونَ </w:t>
      </w:r>
      <w:r w:rsidRPr="007473D5">
        <w:rPr>
          <w:rStyle w:val="libAlaemChar"/>
          <w:rtl/>
        </w:rPr>
        <w:t>)</w:t>
      </w:r>
      <w:r>
        <w:rPr>
          <w:rtl/>
          <w:lang w:bidi="fa-IR"/>
        </w:rPr>
        <w:t xml:space="preserve"> </w:t>
      </w:r>
      <w:r w:rsidRPr="00D10E3C">
        <w:rPr>
          <w:rStyle w:val="libFootnotenumChar"/>
          <w:rtl/>
        </w:rPr>
        <w:t>(6)</w:t>
      </w:r>
      <w:r>
        <w:rPr>
          <w:rtl/>
          <w:lang w:bidi="fa-IR"/>
        </w:rPr>
        <w:t xml:space="preserve"> ، </w:t>
      </w:r>
      <w:r w:rsidRPr="007473D5">
        <w:rPr>
          <w:rStyle w:val="libAlaemChar"/>
          <w:rtl/>
        </w:rPr>
        <w:t>(</w:t>
      </w:r>
      <w:r w:rsidRPr="007473D5">
        <w:rPr>
          <w:rStyle w:val="libAieChar"/>
          <w:rtl/>
        </w:rPr>
        <w:t xml:space="preserve"> وَلا تَنازَعُوا فَتَفْشَلُوا </w:t>
      </w:r>
      <w:r w:rsidRPr="00D10E3C">
        <w:rPr>
          <w:rStyle w:val="libFootnotenumChar"/>
          <w:rtl/>
        </w:rPr>
        <w:t>(7)</w:t>
      </w:r>
      <w:r w:rsidRPr="007473D5">
        <w:rPr>
          <w:rStyle w:val="libAieChar"/>
          <w:rtl/>
        </w:rPr>
        <w:t xml:space="preserve"> وَتَذْهَبَ رِيحُكُمْ </w:t>
      </w:r>
      <w:r w:rsidRPr="00D10E3C">
        <w:rPr>
          <w:rStyle w:val="libFootnotenumChar"/>
          <w:rtl/>
        </w:rPr>
        <w:t>(8)</w:t>
      </w:r>
      <w:r w:rsidRPr="007473D5">
        <w:rPr>
          <w:rStyle w:val="libAieChar"/>
          <w:rtl/>
        </w:rPr>
        <w:t xml:space="preserve"> وَاصْبِرُوا إِنَّ اللهَ مَعَ الصّابِرِينَ </w:t>
      </w:r>
      <w:r w:rsidRPr="007473D5">
        <w:rPr>
          <w:rStyle w:val="libAlaemChar"/>
          <w:rtl/>
        </w:rPr>
        <w:t>)</w:t>
      </w:r>
      <w:r>
        <w:rPr>
          <w:rtl/>
          <w:lang w:bidi="fa-IR"/>
        </w:rPr>
        <w:t xml:space="preserve"> </w:t>
      </w:r>
      <w:r w:rsidRPr="00D10E3C">
        <w:rPr>
          <w:rStyle w:val="libFootnotenumChar"/>
          <w:rtl/>
        </w:rPr>
        <w:t>(9)</w:t>
      </w:r>
      <w:r>
        <w:rPr>
          <w:rtl/>
          <w:lang w:bidi="fa-IR"/>
        </w:rPr>
        <w:t xml:space="preserve"> ». </w:t>
      </w:r>
      <w:r w:rsidRPr="00D10E3C">
        <w:rPr>
          <w:rStyle w:val="libFootnotenumChar"/>
          <w:rtl/>
        </w:rPr>
        <w:t>(10)</w:t>
      </w:r>
    </w:p>
    <w:p w:rsidR="00144FA6" w:rsidRDefault="00744A1C" w:rsidP="00744A1C">
      <w:pPr>
        <w:pStyle w:val="libNormal"/>
        <w:rPr>
          <w:rtl/>
          <w:lang w:bidi="fa-IR"/>
        </w:rPr>
      </w:pPr>
      <w:r>
        <w:rPr>
          <w:rtl/>
          <w:lang w:bidi="fa-IR"/>
        </w:rPr>
        <w:t xml:space="preserve">8262 / 3. وَفِي حَدِيثِ عَبْدِ الرَّحْمنِ </w:t>
      </w:r>
      <w:r w:rsidRPr="00D10E3C">
        <w:rPr>
          <w:rStyle w:val="libFootnotenumChar"/>
          <w:rtl/>
        </w:rPr>
        <w:t>(11)</w:t>
      </w:r>
      <w:r>
        <w:rPr>
          <w:rtl/>
          <w:lang w:bidi="fa-IR"/>
        </w:rPr>
        <w:t xml:space="preserve"> بْنِ جُنْدَبٍ ، عَنْ أَبِيهِ :</w:t>
      </w:r>
    </w:p>
    <w:p w:rsidR="00744A1C" w:rsidRDefault="00744A1C" w:rsidP="00744A1C">
      <w:pPr>
        <w:pStyle w:val="libNormal"/>
        <w:rPr>
          <w:lang w:bidi="fa-IR"/>
        </w:rPr>
      </w:pPr>
      <w:r>
        <w:rPr>
          <w:rtl/>
          <w:lang w:bidi="fa-IR"/>
        </w:rPr>
        <w:t>أَنَّ أَمِيرَ الْمُؤْمِنِينَ - صَلَوَاتُ اللهِ عَلَيْهِ - كَانَ يَأْمُرُ فِي كُلِّ مَوْطِنٍ لَقِينَا فِيهِ عَدُوَّنَا ، فَي</w:t>
      </w:r>
      <w:r w:rsidR="007473D5">
        <w:rPr>
          <w:rtl/>
          <w:lang w:bidi="fa-IR"/>
        </w:rPr>
        <w:t>َقُولُ : «</w:t>
      </w:r>
      <w:r>
        <w:rPr>
          <w:rtl/>
          <w:lang w:bidi="fa-IR"/>
        </w:rPr>
        <w:t>لَا تُقَاتِلُوا الْقَوْمَ حَتّى يَبْدَؤُوكُمْ ، فَإِنَّكُمْ بِحَمْدِ اللهِ عَلى حُجَّةٍ ، وَتَرْكُكُمْ إِيَّاهُمْ‌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والمنازلة والنِّزال في الحرب أن يتنازل الفريقان من إِبِلهما إلى خيلهما فيتعاركوا ». وراجع : </w:t>
      </w:r>
      <w:r w:rsidR="00744A1C" w:rsidRPr="007473D5">
        <w:rPr>
          <w:rStyle w:val="libFootnoteBoldChar"/>
          <w:rtl/>
        </w:rPr>
        <w:t>لسان‌العرب</w:t>
      </w:r>
      <w:r w:rsidR="00744A1C">
        <w:rPr>
          <w:rtl/>
          <w:lang w:bidi="fa-IR"/>
        </w:rPr>
        <w:t xml:space="preserve"> ، ج 11 ، ص 657 ( نزل ).</w:t>
      </w:r>
    </w:p>
    <w:p w:rsidR="00744A1C" w:rsidRDefault="00E378DD" w:rsidP="00E378DD">
      <w:pPr>
        <w:pStyle w:val="libFootnote0"/>
        <w:rPr>
          <w:lang w:bidi="fa-IR"/>
        </w:rPr>
      </w:pPr>
      <w:r>
        <w:rPr>
          <w:rtl/>
          <w:lang w:bidi="fa-IR"/>
        </w:rPr>
        <w:t>(2).</w:t>
      </w:r>
      <w:r w:rsidR="00744A1C">
        <w:rPr>
          <w:rtl/>
          <w:lang w:bidi="fa-IR"/>
        </w:rPr>
        <w:t xml:space="preserve"> هكذا في « ت ، ر ، غ ، بث ، بح ، بذ ، بز ، بس ، بص ، بف ، جش ، جص ، جن » وحاشية « حت » </w:t>
      </w:r>
      <w:r w:rsidR="00744A1C" w:rsidRPr="007473D5">
        <w:rPr>
          <w:rtl/>
        </w:rPr>
        <w:t>والوافي والوسائل والإرشاد</w:t>
      </w:r>
      <w:r w:rsidR="00744A1C">
        <w:rPr>
          <w:rtl/>
          <w:lang w:bidi="fa-IR"/>
        </w:rPr>
        <w:t xml:space="preserve">. وفي سائر النسخ والمطبوع : « والمجادلة ». والمجاولة في الحرب : جولان بعضهم على بعض. راجع : </w:t>
      </w:r>
      <w:r w:rsidR="00744A1C" w:rsidRPr="00E978C3">
        <w:rPr>
          <w:rStyle w:val="libFootnoteBoldChar"/>
          <w:rtl/>
        </w:rPr>
        <w:t>المصباح المنير</w:t>
      </w:r>
      <w:r w:rsidR="00744A1C">
        <w:rPr>
          <w:rtl/>
          <w:lang w:bidi="fa-IR"/>
        </w:rPr>
        <w:t xml:space="preserve"> ، ص 115 ( جول ).</w:t>
      </w:r>
    </w:p>
    <w:p w:rsidR="00744A1C" w:rsidRDefault="00E378DD" w:rsidP="00E378DD">
      <w:pPr>
        <w:pStyle w:val="libFootnote0"/>
        <w:rPr>
          <w:lang w:bidi="fa-IR"/>
        </w:rPr>
      </w:pPr>
      <w:r>
        <w:rPr>
          <w:rtl/>
          <w:lang w:bidi="fa-IR"/>
        </w:rPr>
        <w:t>(3).</w:t>
      </w:r>
      <w:r w:rsidR="00744A1C">
        <w:rPr>
          <w:rtl/>
          <w:lang w:bidi="fa-IR"/>
        </w:rPr>
        <w:t xml:space="preserve"> في </w:t>
      </w:r>
      <w:r w:rsidR="00744A1C" w:rsidRPr="007473D5">
        <w:rPr>
          <w:rtl/>
        </w:rPr>
        <w:t>الإرشاد</w:t>
      </w:r>
      <w:r w:rsidR="00744A1C">
        <w:rPr>
          <w:rtl/>
          <w:lang w:bidi="fa-IR"/>
        </w:rPr>
        <w:t xml:space="preserve"> : « والمبالطة ». ويقال : ناضَلْتُهُ مناضَلَة ونِضالاً : رامَيتُه ، وناضَلْتُ عنه : حامَيتُ وجادَلْتُ. </w:t>
      </w:r>
      <w:r w:rsidR="00744A1C" w:rsidRPr="00E978C3">
        <w:rPr>
          <w:rStyle w:val="libFootnoteBoldChar"/>
          <w:rtl/>
        </w:rPr>
        <w:t>المصباح المنير</w:t>
      </w:r>
      <w:r w:rsidR="00744A1C">
        <w:rPr>
          <w:rtl/>
          <w:lang w:bidi="fa-IR"/>
        </w:rPr>
        <w:t xml:space="preserve"> ، ص 610 ( نضل ).</w:t>
      </w:r>
    </w:p>
    <w:p w:rsidR="00744A1C" w:rsidRDefault="00E378DD" w:rsidP="00E378DD">
      <w:pPr>
        <w:pStyle w:val="libFootnote0"/>
        <w:rPr>
          <w:lang w:bidi="fa-IR"/>
        </w:rPr>
      </w:pPr>
      <w:r>
        <w:rPr>
          <w:rtl/>
          <w:lang w:bidi="fa-IR"/>
        </w:rPr>
        <w:t>(4).</w:t>
      </w:r>
      <w:r w:rsidR="00744A1C">
        <w:rPr>
          <w:rtl/>
          <w:lang w:bidi="fa-IR"/>
        </w:rPr>
        <w:t xml:space="preserve"> في </w:t>
      </w:r>
      <w:r w:rsidR="00744A1C" w:rsidRPr="002D57AD">
        <w:rPr>
          <w:rStyle w:val="libFootnoteBoldChar"/>
          <w:rtl/>
        </w:rPr>
        <w:t>الإرشاد</w:t>
      </w:r>
      <w:r w:rsidR="00744A1C">
        <w:rPr>
          <w:rtl/>
          <w:lang w:bidi="fa-IR"/>
        </w:rPr>
        <w:t xml:space="preserve"> : « والمبالدة ». و « المنابذة » : تحيّز كلّ واحد من الفريقين في الحرب. كذا في </w:t>
      </w:r>
      <w:r w:rsidR="00744A1C" w:rsidRPr="00877682">
        <w:rPr>
          <w:rStyle w:val="libFootnoteBoldChar"/>
          <w:rtl/>
        </w:rPr>
        <w:t>لسان العرب</w:t>
      </w:r>
      <w:r w:rsidR="00744A1C">
        <w:rPr>
          <w:rtl/>
          <w:lang w:bidi="fa-IR"/>
        </w:rPr>
        <w:t xml:space="preserve"> ، ج 3 ، ص 512 ( نبذ ). وفي </w:t>
      </w:r>
      <w:r w:rsidR="00744A1C" w:rsidRPr="00C24F9C">
        <w:rPr>
          <w:rStyle w:val="libFootnoteBoldChar"/>
          <w:rtl/>
        </w:rPr>
        <w:t>الوافي</w:t>
      </w:r>
      <w:r w:rsidR="00744A1C">
        <w:rPr>
          <w:rtl/>
          <w:lang w:bidi="fa-IR"/>
        </w:rPr>
        <w:t xml:space="preserve"> : « المنابذة : إلقاء أحدهما الآخر ».</w:t>
      </w:r>
    </w:p>
    <w:p w:rsidR="00744A1C" w:rsidRDefault="00E378DD" w:rsidP="00E378DD">
      <w:pPr>
        <w:pStyle w:val="libFootnote0"/>
        <w:rPr>
          <w:lang w:bidi="fa-IR"/>
        </w:rPr>
      </w:pPr>
      <w:r>
        <w:rPr>
          <w:rtl/>
          <w:lang w:bidi="fa-IR"/>
        </w:rPr>
        <w:t>(5).</w:t>
      </w:r>
      <w:r w:rsidR="00744A1C">
        <w:rPr>
          <w:rtl/>
          <w:lang w:bidi="fa-IR"/>
        </w:rPr>
        <w:t xml:space="preserve"> « المكادمة » : أن يعضّ أحدهما الآخر ، أو يؤثّر فيه بحديدة ؛ من الكَدْم ، وهو العضّ بأدنى الضمّ ، كما يكدم‌</w:t>
      </w:r>
      <w:r w:rsidR="007473D5">
        <w:rPr>
          <w:rFonts w:hint="cs"/>
          <w:rtl/>
          <w:lang w:bidi="fa-IR"/>
        </w:rPr>
        <w:t xml:space="preserve"> </w:t>
      </w:r>
      <w:r w:rsidR="00744A1C">
        <w:rPr>
          <w:rtl/>
          <w:lang w:bidi="fa-IR"/>
        </w:rPr>
        <w:t xml:space="preserve">الحمار ، أو هو العضّ عامّة ، وهو التأثير في الشي‌ء بحديدة. ويقال : كدم الصيد ، إذا طرده ، وإذا جدّ في طلبه حتّى يغلبه. </w:t>
      </w:r>
      <w:r w:rsidR="00744A1C" w:rsidRPr="00877682">
        <w:rPr>
          <w:rStyle w:val="libFootnoteBoldChar"/>
          <w:rtl/>
        </w:rPr>
        <w:t>لسان العرب</w:t>
      </w:r>
      <w:r w:rsidR="00744A1C">
        <w:rPr>
          <w:rtl/>
          <w:lang w:bidi="fa-IR"/>
        </w:rPr>
        <w:t xml:space="preserve"> ، ج 12 ، ص 509 ( كدم ).</w:t>
      </w:r>
    </w:p>
    <w:p w:rsidR="00744A1C" w:rsidRDefault="00E378DD" w:rsidP="00E378DD">
      <w:pPr>
        <w:pStyle w:val="libFootnote0"/>
        <w:rPr>
          <w:lang w:bidi="fa-IR"/>
        </w:rPr>
      </w:pPr>
      <w:r>
        <w:rPr>
          <w:rtl/>
          <w:lang w:bidi="fa-IR"/>
        </w:rPr>
        <w:t>(6).</w:t>
      </w:r>
      <w:r w:rsidR="00744A1C">
        <w:rPr>
          <w:rtl/>
          <w:lang w:bidi="fa-IR"/>
        </w:rPr>
        <w:t xml:space="preserve"> الأنفال </w:t>
      </w:r>
      <w:r w:rsidR="007473D5">
        <w:rPr>
          <w:rtl/>
          <w:lang w:bidi="fa-IR"/>
        </w:rPr>
        <w:t>(8)</w:t>
      </w:r>
      <w:r w:rsidR="00744A1C">
        <w:rPr>
          <w:rtl/>
          <w:lang w:bidi="fa-IR"/>
        </w:rPr>
        <w:t xml:space="preserve"> : 15 ؛ الجمعة (62) : 10.</w:t>
      </w:r>
    </w:p>
    <w:p w:rsidR="00744A1C" w:rsidRDefault="00E378DD" w:rsidP="00E378DD">
      <w:pPr>
        <w:pStyle w:val="libFootnote0"/>
        <w:rPr>
          <w:lang w:bidi="fa-IR"/>
        </w:rPr>
      </w:pPr>
      <w:r>
        <w:rPr>
          <w:rtl/>
          <w:lang w:bidi="fa-IR"/>
        </w:rPr>
        <w:t>(7).</w:t>
      </w:r>
      <w:r w:rsidR="00744A1C">
        <w:rPr>
          <w:rtl/>
          <w:lang w:bidi="fa-IR"/>
        </w:rPr>
        <w:t xml:space="preserve"> « فتفشلوا » ، من الفَشَل ، وهو الجَزَع ، والجُبْن ، والضَّعْف. راجع : </w:t>
      </w:r>
      <w:r w:rsidR="00744A1C" w:rsidRPr="00877682">
        <w:rPr>
          <w:rStyle w:val="libFootnoteBoldChar"/>
          <w:rtl/>
        </w:rPr>
        <w:t>النهاية</w:t>
      </w:r>
      <w:r w:rsidR="00744A1C">
        <w:rPr>
          <w:rtl/>
          <w:lang w:bidi="fa-IR"/>
        </w:rPr>
        <w:t xml:space="preserve"> ، ج 3 ، ص 449 ( فشل ).</w:t>
      </w:r>
    </w:p>
    <w:p w:rsidR="00744A1C" w:rsidRDefault="00E378DD" w:rsidP="007473D5">
      <w:pPr>
        <w:pStyle w:val="libFootnote0"/>
        <w:rPr>
          <w:lang w:bidi="fa-IR"/>
        </w:rPr>
      </w:pPr>
      <w:r>
        <w:rPr>
          <w:rtl/>
          <w:lang w:bidi="fa-IR"/>
        </w:rPr>
        <w:t>(8).</w:t>
      </w:r>
      <w:r w:rsidR="00744A1C">
        <w:rPr>
          <w:rtl/>
          <w:lang w:bidi="fa-IR"/>
        </w:rPr>
        <w:t xml:space="preserve"> قال الراغب في </w:t>
      </w:r>
      <w:r w:rsidR="00744A1C" w:rsidRPr="007473D5">
        <w:rPr>
          <w:rStyle w:val="libFootnoteBoldChar"/>
          <w:rtl/>
        </w:rPr>
        <w:t>المفردات</w:t>
      </w:r>
      <w:r w:rsidR="00744A1C">
        <w:rPr>
          <w:rtl/>
          <w:lang w:bidi="fa-IR"/>
        </w:rPr>
        <w:t xml:space="preserve"> ، ص 370 ( روح ) : « وقد يُستعار الريحُ للغلبة في قوله : </w:t>
      </w:r>
      <w:r w:rsidR="00744A1C" w:rsidRPr="007473D5">
        <w:rPr>
          <w:rStyle w:val="libFootnoteAlaemChar"/>
          <w:rtl/>
        </w:rPr>
        <w:t>(</w:t>
      </w:r>
      <w:r w:rsidR="00744A1C" w:rsidRPr="007473D5">
        <w:rPr>
          <w:rStyle w:val="libFootnoteAieChar"/>
          <w:rtl/>
        </w:rPr>
        <w:t xml:space="preserve"> وَتَذْهَبَ رِيحُكُمْ </w:t>
      </w:r>
      <w:r w:rsidR="00744A1C" w:rsidRPr="007473D5">
        <w:rPr>
          <w:rStyle w:val="libFootnoteAlaemChar"/>
          <w:rtl/>
        </w:rPr>
        <w:t>)</w:t>
      </w:r>
      <w:r w:rsidR="00744A1C">
        <w:rPr>
          <w:rtl/>
          <w:lang w:bidi="fa-IR"/>
        </w:rPr>
        <w:t xml:space="preserve"> ». وفي </w:t>
      </w:r>
      <w:r w:rsidR="00744A1C" w:rsidRPr="00C24F9C">
        <w:rPr>
          <w:rStyle w:val="libFootnoteBoldChar"/>
          <w:rtl/>
        </w:rPr>
        <w:t>الوافي</w:t>
      </w:r>
      <w:r w:rsidR="00744A1C">
        <w:rPr>
          <w:rtl/>
          <w:lang w:bidi="fa-IR"/>
        </w:rPr>
        <w:t xml:space="preserve"> : « الريح : القوّة والغلبة والدولة ».</w:t>
      </w:r>
      <w:r w:rsidR="007473D5">
        <w:rPr>
          <w:rFonts w:hint="cs"/>
          <w:rtl/>
          <w:lang w:bidi="fa-IR"/>
        </w:rPr>
        <w:t xml:space="preserve">                       </w:t>
      </w:r>
      <w:r>
        <w:rPr>
          <w:rtl/>
          <w:lang w:bidi="fa-IR"/>
        </w:rPr>
        <w:t>(9).</w:t>
      </w:r>
      <w:r w:rsidR="00744A1C">
        <w:rPr>
          <w:rtl/>
          <w:lang w:bidi="fa-IR"/>
        </w:rPr>
        <w:t xml:space="preserve"> الأنفال </w:t>
      </w:r>
      <w:r w:rsidR="007473D5">
        <w:rPr>
          <w:rtl/>
          <w:lang w:bidi="fa-IR"/>
        </w:rPr>
        <w:t>(8)</w:t>
      </w:r>
      <w:r w:rsidR="00744A1C">
        <w:rPr>
          <w:rtl/>
          <w:lang w:bidi="fa-IR"/>
        </w:rPr>
        <w:t xml:space="preserve"> : 46.</w:t>
      </w:r>
    </w:p>
    <w:p w:rsidR="00744A1C" w:rsidRDefault="00E378DD" w:rsidP="00E378DD">
      <w:pPr>
        <w:pStyle w:val="libFootnote0"/>
        <w:rPr>
          <w:lang w:bidi="fa-IR"/>
        </w:rPr>
      </w:pPr>
      <w:r>
        <w:rPr>
          <w:rtl/>
          <w:lang w:bidi="fa-IR"/>
        </w:rPr>
        <w:t>(10).</w:t>
      </w:r>
      <w:r w:rsidR="00744A1C">
        <w:rPr>
          <w:rtl/>
          <w:lang w:bidi="fa-IR"/>
        </w:rPr>
        <w:t xml:space="preserve"> </w:t>
      </w:r>
      <w:r w:rsidR="00744A1C" w:rsidRPr="002D57AD">
        <w:rPr>
          <w:rStyle w:val="libFootnoteBoldChar"/>
          <w:rtl/>
        </w:rPr>
        <w:t>الإرشاد</w:t>
      </w:r>
      <w:r w:rsidR="00744A1C">
        <w:rPr>
          <w:rtl/>
          <w:lang w:bidi="fa-IR"/>
        </w:rPr>
        <w:t xml:space="preserve"> ، ج 1 ، ص 265 ، مرسلاً عن عليّ </w:t>
      </w:r>
      <w:r w:rsidR="0061079A" w:rsidRPr="0061079A">
        <w:rPr>
          <w:rStyle w:val="libFootnoteAlaemChar"/>
          <w:rtl/>
        </w:rPr>
        <w:t>عليه‌السلام</w:t>
      </w:r>
      <w:r w:rsidR="00D10E3C">
        <w:rPr>
          <w:rtl/>
          <w:lang w:bidi="fa-IR"/>
        </w:rPr>
        <w:t xml:space="preserve"> </w:t>
      </w:r>
      <w:r w:rsidR="00744A1C">
        <w:rPr>
          <w:rtl/>
          <w:lang w:bidi="fa-IR"/>
        </w:rPr>
        <w:t xml:space="preserve">، من قوله : « عباد الله اتّقوا الله » مع زيادة في آخره </w:t>
      </w:r>
      <w:r w:rsidR="007473D5">
        <w:rPr>
          <w:rFonts w:hint="cs"/>
          <w:rtl/>
          <w:lang w:bidi="fa-IR"/>
        </w:rPr>
        <w:t>.</w:t>
      </w:r>
      <w:r w:rsidR="00744A1C" w:rsidRPr="00C24F9C">
        <w:rPr>
          <w:rStyle w:val="libFootnoteBoldChar"/>
          <w:rtl/>
        </w:rPr>
        <w:t>الوافي</w:t>
      </w:r>
      <w:r w:rsidR="00744A1C">
        <w:rPr>
          <w:rtl/>
          <w:lang w:bidi="fa-IR"/>
        </w:rPr>
        <w:t xml:space="preserve"> ، ج 15 ، ص 107 ، ح 14758 ؛ </w:t>
      </w:r>
      <w:r w:rsidR="00744A1C" w:rsidRPr="00C24F9C">
        <w:rPr>
          <w:rStyle w:val="libFootnoteBoldChar"/>
          <w:rtl/>
        </w:rPr>
        <w:t>الوسائل</w:t>
      </w:r>
      <w:r w:rsidR="00744A1C">
        <w:rPr>
          <w:rtl/>
          <w:lang w:bidi="fa-IR"/>
        </w:rPr>
        <w:t xml:space="preserve"> ، ج 15 ، ص 94 ، ح 20056 ؛ </w:t>
      </w:r>
      <w:r w:rsidR="00744A1C" w:rsidRPr="0061079A">
        <w:rPr>
          <w:rStyle w:val="libFootnoteBoldChar"/>
          <w:rtl/>
        </w:rPr>
        <w:t>البحار</w:t>
      </w:r>
      <w:r w:rsidR="00744A1C">
        <w:rPr>
          <w:rtl/>
          <w:lang w:bidi="fa-IR"/>
        </w:rPr>
        <w:t xml:space="preserve"> ، ج 33 ، ص 448 ، ذيل ح 659.</w:t>
      </w:r>
    </w:p>
    <w:p w:rsidR="00744A1C" w:rsidRDefault="00E378DD" w:rsidP="00E378DD">
      <w:pPr>
        <w:pStyle w:val="libFootnote0"/>
        <w:rPr>
          <w:lang w:bidi="fa-IR"/>
        </w:rPr>
      </w:pPr>
      <w:r>
        <w:rPr>
          <w:rtl/>
          <w:lang w:bidi="fa-IR"/>
        </w:rPr>
        <w:t>(11).</w:t>
      </w:r>
      <w:r w:rsidR="00744A1C">
        <w:rPr>
          <w:rtl/>
          <w:lang w:bidi="fa-IR"/>
        </w:rPr>
        <w:t xml:space="preserve"> في </w:t>
      </w:r>
      <w:r w:rsidR="00744A1C" w:rsidRPr="007473D5">
        <w:rPr>
          <w:rtl/>
        </w:rPr>
        <w:t>الوافي</w:t>
      </w:r>
      <w:r w:rsidR="00744A1C">
        <w:rPr>
          <w:rtl/>
          <w:lang w:bidi="fa-IR"/>
        </w:rPr>
        <w:t xml:space="preserve"> : « عبد الله ». والظاهر أنّ ابن جندب هذا ، هو عبدالرحمن بن جندب بن عبدالله الأزدي الذي يروى عن أبيه عن عليّ أميرالمؤمنين </w:t>
      </w:r>
      <w:r w:rsidR="0061079A" w:rsidRPr="0061079A">
        <w:rPr>
          <w:rStyle w:val="libFootnoteAlaemChar"/>
          <w:rtl/>
        </w:rPr>
        <w:t>عليه‌السلام</w:t>
      </w:r>
      <w:r w:rsidR="00744A1C">
        <w:rPr>
          <w:rtl/>
          <w:lang w:bidi="fa-IR"/>
        </w:rPr>
        <w:t xml:space="preserve"> . ا</w:t>
      </w:r>
      <w:r w:rsidR="007473D5">
        <w:rPr>
          <w:rFonts w:hint="cs"/>
          <w:rtl/>
          <w:lang w:bidi="fa-IR"/>
        </w:rPr>
        <w:t>ُ</w:t>
      </w:r>
      <w:r w:rsidR="00744A1C">
        <w:rPr>
          <w:rtl/>
          <w:lang w:bidi="fa-IR"/>
        </w:rPr>
        <w:t xml:space="preserve">نظر على سبيل المثال : </w:t>
      </w:r>
      <w:r w:rsidR="00744A1C" w:rsidRPr="002D57AD">
        <w:rPr>
          <w:rStyle w:val="libFootnoteBoldChar"/>
          <w:rtl/>
        </w:rPr>
        <w:t>الإرشا</w:t>
      </w:r>
      <w:r w:rsidR="00744A1C" w:rsidRPr="00726EA9">
        <w:rPr>
          <w:rStyle w:val="libFootnoteBoldChar"/>
          <w:rtl/>
        </w:rPr>
        <w:t>د للمفيد</w:t>
      </w:r>
      <w:r w:rsidR="00744A1C">
        <w:rPr>
          <w:rtl/>
          <w:lang w:bidi="fa-IR"/>
        </w:rPr>
        <w:t xml:space="preserve"> ، ج 1 ، ص 241 ؛ </w:t>
      </w:r>
      <w:r w:rsidR="00744A1C" w:rsidRPr="00543213">
        <w:rPr>
          <w:rStyle w:val="libFootnoteBoldChar"/>
          <w:rtl/>
        </w:rPr>
        <w:t>تاريخ الطبري</w:t>
      </w:r>
      <w:r w:rsidR="00744A1C">
        <w:rPr>
          <w:rtl/>
          <w:lang w:bidi="fa-IR"/>
        </w:rPr>
        <w:t xml:space="preserve"> ، ج 4 ، ص 6 و 10 و 34.</w:t>
      </w:r>
    </w:p>
    <w:p w:rsidR="006A5060" w:rsidRDefault="006A5060" w:rsidP="00D10E3C">
      <w:pPr>
        <w:pStyle w:val="libNormal"/>
        <w:rPr>
          <w:rtl/>
          <w:lang w:bidi="fa-IR"/>
        </w:rPr>
      </w:pPr>
      <w:r>
        <w:rPr>
          <w:rtl/>
          <w:lang w:bidi="fa-IR"/>
        </w:rPr>
        <w:br w:type="page"/>
      </w:r>
    </w:p>
    <w:p w:rsidR="00144FA6" w:rsidRDefault="00744A1C" w:rsidP="00726EA9">
      <w:pPr>
        <w:pStyle w:val="libNormal0"/>
        <w:rPr>
          <w:rtl/>
          <w:lang w:bidi="fa-IR"/>
        </w:rPr>
      </w:pPr>
      <w:r>
        <w:rPr>
          <w:rtl/>
          <w:lang w:bidi="fa-IR"/>
        </w:rPr>
        <w:t xml:space="preserve">حَتّى يَبْدَؤُوكُمْ حُجَّةٌ لَكُمْ </w:t>
      </w:r>
      <w:r w:rsidRPr="00D10E3C">
        <w:rPr>
          <w:rStyle w:val="libFootnotenumChar"/>
          <w:rtl/>
        </w:rPr>
        <w:t>(1)</w:t>
      </w:r>
      <w:r>
        <w:rPr>
          <w:rtl/>
          <w:lang w:bidi="fa-IR"/>
        </w:rPr>
        <w:t xml:space="preserve"> أُخْرى ، فَإِذَا هَزَمْتُمُوهُمْ </w:t>
      </w:r>
      <w:r w:rsidRPr="00D10E3C">
        <w:rPr>
          <w:rStyle w:val="libFootnotenumChar"/>
          <w:rtl/>
        </w:rPr>
        <w:t>(2)</w:t>
      </w:r>
      <w:r>
        <w:rPr>
          <w:rtl/>
          <w:lang w:bidi="fa-IR"/>
        </w:rPr>
        <w:t xml:space="preserve"> فَلَا تَقْتُلُوا </w:t>
      </w:r>
      <w:r w:rsidRPr="00D10E3C">
        <w:rPr>
          <w:rStyle w:val="libFootnotenumChar"/>
          <w:rtl/>
        </w:rPr>
        <w:t>(3)</w:t>
      </w:r>
      <w:r>
        <w:rPr>
          <w:rtl/>
          <w:lang w:bidi="fa-IR"/>
        </w:rPr>
        <w:t xml:space="preserve"> مُدْبِراً </w:t>
      </w:r>
      <w:r w:rsidRPr="00D10E3C">
        <w:rPr>
          <w:rStyle w:val="libFootnotenumChar"/>
          <w:rtl/>
        </w:rPr>
        <w:t>(4)</w:t>
      </w:r>
      <w:r>
        <w:rPr>
          <w:rtl/>
          <w:lang w:bidi="fa-IR"/>
        </w:rPr>
        <w:t xml:space="preserve"> ، وَلَا تُجْهِزُوا </w:t>
      </w:r>
      <w:r w:rsidRPr="00D10E3C">
        <w:rPr>
          <w:rStyle w:val="libFootnotenumChar"/>
          <w:rtl/>
        </w:rPr>
        <w:t>(5)</w:t>
      </w:r>
      <w:r>
        <w:rPr>
          <w:rtl/>
          <w:lang w:bidi="fa-IR"/>
        </w:rPr>
        <w:t xml:space="preserve"> عَلى جَرِيحٍ ، وَلَا تَكْشِفُوا عَوْرَةً </w:t>
      </w:r>
      <w:r w:rsidRPr="00D10E3C">
        <w:rPr>
          <w:rStyle w:val="libFootnotenumChar"/>
          <w:rtl/>
        </w:rPr>
        <w:t>(6)</w:t>
      </w:r>
      <w:r>
        <w:rPr>
          <w:rtl/>
          <w:lang w:bidi="fa-IR"/>
        </w:rPr>
        <w:t xml:space="preserve"> ، وَلَا تُمَثِّلُوا </w:t>
      </w:r>
      <w:r w:rsidRPr="00D10E3C">
        <w:rPr>
          <w:rStyle w:val="libFootnotenumChar"/>
          <w:rtl/>
        </w:rPr>
        <w:t>(7)</w:t>
      </w:r>
      <w:r>
        <w:rPr>
          <w:rtl/>
          <w:lang w:bidi="fa-IR"/>
        </w:rPr>
        <w:t xml:space="preserve"> بِقَتِيلٍ ». </w:t>
      </w:r>
      <w:r w:rsidRPr="00D10E3C">
        <w:rPr>
          <w:rStyle w:val="libFootnotenumChar"/>
          <w:rtl/>
        </w:rPr>
        <w:t>(8)</w:t>
      </w:r>
    </w:p>
    <w:p w:rsidR="00144FA6" w:rsidRDefault="00744A1C" w:rsidP="00744A1C">
      <w:pPr>
        <w:pStyle w:val="libNormal"/>
        <w:rPr>
          <w:rtl/>
          <w:lang w:bidi="fa-IR"/>
        </w:rPr>
      </w:pPr>
      <w:r>
        <w:rPr>
          <w:rtl/>
          <w:lang w:bidi="fa-IR"/>
        </w:rPr>
        <w:t>8263 / 4. وَفِي حَدِيثِ مَالِكِ بْنِ أَعْيَنَ ، قَالَ :</w:t>
      </w:r>
    </w:p>
    <w:p w:rsidR="00144FA6" w:rsidRDefault="00744A1C" w:rsidP="00402829">
      <w:pPr>
        <w:pStyle w:val="libNormal"/>
        <w:rPr>
          <w:rtl/>
          <w:lang w:bidi="fa-IR"/>
        </w:rPr>
      </w:pPr>
      <w:r>
        <w:rPr>
          <w:rtl/>
          <w:lang w:bidi="fa-IR"/>
        </w:rPr>
        <w:t xml:space="preserve">حَرَّضَ أَمِيرُ الْمُؤْمِنِينَ - صَلَوَاتُ اللهِ عَلَيْهِ - النَّاسَ بِصِفِّينَ ، فَقَالَ : « إِنَّ اللهَ - عَزَّ وَجَلَّ - دَلَّكُمْ </w:t>
      </w:r>
      <w:r w:rsidRPr="00D10E3C">
        <w:rPr>
          <w:rStyle w:val="libFootnotenumChar"/>
          <w:rtl/>
        </w:rPr>
        <w:t>(9)</w:t>
      </w:r>
      <w:r>
        <w:rPr>
          <w:rtl/>
          <w:lang w:bidi="fa-IR"/>
        </w:rPr>
        <w:t xml:space="preserve"> عَلى تِجارَةٍ تُنْجِيكُمْ مِنْ عَذابٍ أَلِيمٍ ، وَتُشْفِي </w:t>
      </w:r>
      <w:r w:rsidRPr="00D10E3C">
        <w:rPr>
          <w:rStyle w:val="libFootnotenumChar"/>
          <w:rtl/>
        </w:rPr>
        <w:t>(10)</w:t>
      </w:r>
      <w:r>
        <w:rPr>
          <w:rtl/>
          <w:lang w:bidi="fa-IR"/>
        </w:rPr>
        <w:t xml:space="preserve"> بِكُمْ عَلَى الْخَيْرِ : الْإِيمَانِ </w:t>
      </w:r>
      <w:r w:rsidRPr="00D10E3C">
        <w:rPr>
          <w:rStyle w:val="libFootnotenumChar"/>
          <w:rtl/>
        </w:rPr>
        <w:t>(11)</w:t>
      </w:r>
      <w:r>
        <w:rPr>
          <w:rtl/>
          <w:lang w:bidi="fa-IR"/>
        </w:rPr>
        <w:t xml:space="preserve"> بِاللهِ ، وَالْجِهَادِ فِي سَبِيلِ اللهِ ، وَجَعَلَ </w:t>
      </w:r>
      <w:r w:rsidRPr="00D10E3C">
        <w:rPr>
          <w:rStyle w:val="libFootnotenumChar"/>
          <w:rtl/>
        </w:rPr>
        <w:t>(12)</w:t>
      </w:r>
      <w:r>
        <w:rPr>
          <w:rtl/>
          <w:lang w:bidi="fa-IR"/>
        </w:rPr>
        <w:t xml:space="preserve"> ثَوَابَهُ مَغْفِرَةً لِلذَّنْبِ ، وَمَساكِنَ طَيِّبَةً فِي جَنّاتِ عَدْنٍ </w:t>
      </w:r>
      <w:r w:rsidRPr="00D10E3C">
        <w:rPr>
          <w:rStyle w:val="libFootnotenumChar"/>
          <w:rtl/>
        </w:rPr>
        <w:t>(13)</w:t>
      </w:r>
      <w:r>
        <w:rPr>
          <w:rtl/>
          <w:lang w:bidi="fa-IR"/>
        </w:rPr>
        <w:t xml:space="preserve"> ، وَقَالَ عَزَّ وَجَلَّ : </w:t>
      </w:r>
      <w:r w:rsidRPr="00726EA9">
        <w:rPr>
          <w:rStyle w:val="libAlaemChar"/>
          <w:rtl/>
        </w:rPr>
        <w:t>(</w:t>
      </w:r>
      <w:r w:rsidRPr="00726EA9">
        <w:rPr>
          <w:rStyle w:val="libAieChar"/>
          <w:rtl/>
        </w:rPr>
        <w:t xml:space="preserve"> إِنَّ اللهَ يُحِبُّ الَّذِينَ يُقاتِلُونَ فِي سَبِيلِهِ صَفًّا كَأَنَّهُمْ بُنْيانٌ مَرْصُوصٌ</w:t>
      </w:r>
      <w:r>
        <w:rPr>
          <w:rtl/>
          <w:lang w:bidi="fa-IR"/>
        </w:rPr>
        <w:t xml:space="preserve"> </w:t>
      </w:r>
      <w:r w:rsidRPr="00726EA9">
        <w:rPr>
          <w:rStyle w:val="libAlaemChar"/>
          <w:rtl/>
        </w:rPr>
        <w:t>)</w:t>
      </w:r>
      <w:r>
        <w:rPr>
          <w:rtl/>
          <w:lang w:bidi="fa-IR"/>
        </w:rPr>
        <w:t xml:space="preserve"> </w:t>
      </w:r>
      <w:r w:rsidRPr="00D10E3C">
        <w:rPr>
          <w:rStyle w:val="libFootnotenumChar"/>
          <w:rtl/>
        </w:rPr>
        <w:t>(14)</w:t>
      </w:r>
      <w:r w:rsidR="00402829">
        <w:rPr>
          <w:rFonts w:hint="cs"/>
          <w:rtl/>
          <w:lang w:bidi="fa-IR"/>
        </w:rPr>
        <w:t>.</w:t>
      </w:r>
      <w:r w:rsidRPr="00D10E3C">
        <w:rPr>
          <w:rStyle w:val="libFootnotenumChar"/>
          <w:rtl/>
        </w:rPr>
        <w:t>(15)</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 - « لكم ».</w:t>
      </w:r>
    </w:p>
    <w:p w:rsidR="00744A1C" w:rsidRDefault="00E378DD" w:rsidP="00E378DD">
      <w:pPr>
        <w:pStyle w:val="libFootnote0"/>
        <w:rPr>
          <w:lang w:bidi="fa-IR"/>
        </w:rPr>
      </w:pPr>
      <w:r>
        <w:rPr>
          <w:rtl/>
          <w:lang w:bidi="fa-IR"/>
        </w:rPr>
        <w:t>(2).</w:t>
      </w:r>
      <w:r w:rsidR="00744A1C">
        <w:rPr>
          <w:rtl/>
          <w:lang w:bidi="fa-IR"/>
        </w:rPr>
        <w:t xml:space="preserve"> في نهج البلاغة : « فإذا كانت الهزيمة بإذن الله » بدل « فإذا هزمتموهم ». وهَزَمْتُ الجَيْشَ هَزْماً - من باب ضَرَبَ - كَسَرْتُه ، والاسم : الهَزيمة. </w:t>
      </w:r>
      <w:r w:rsidR="00744A1C" w:rsidRPr="00E978C3">
        <w:rPr>
          <w:rStyle w:val="libFootnoteBoldChar"/>
          <w:rtl/>
        </w:rPr>
        <w:t>المصباح المنير</w:t>
      </w:r>
      <w:r w:rsidR="00744A1C">
        <w:rPr>
          <w:rtl/>
          <w:lang w:bidi="fa-IR"/>
        </w:rPr>
        <w:t xml:space="preserve"> ، ص 638 ( هزم ).</w:t>
      </w:r>
    </w:p>
    <w:p w:rsidR="00744A1C" w:rsidRDefault="00E378DD" w:rsidP="00E378DD">
      <w:pPr>
        <w:pStyle w:val="libFootnote0"/>
        <w:rPr>
          <w:lang w:bidi="fa-IR"/>
        </w:rPr>
      </w:pPr>
      <w:r>
        <w:rPr>
          <w:rtl/>
          <w:lang w:bidi="fa-IR"/>
        </w:rPr>
        <w:t>(3).</w:t>
      </w:r>
      <w:r w:rsidR="00744A1C">
        <w:rPr>
          <w:rtl/>
          <w:lang w:bidi="fa-IR"/>
        </w:rPr>
        <w:t xml:space="preserve"> في « بح » </w:t>
      </w:r>
      <w:r w:rsidR="00744A1C" w:rsidRPr="00726EA9">
        <w:rPr>
          <w:rtl/>
        </w:rPr>
        <w:t>والبحار</w:t>
      </w:r>
      <w:r w:rsidR="00744A1C">
        <w:rPr>
          <w:rtl/>
          <w:lang w:bidi="fa-IR"/>
        </w:rPr>
        <w:t xml:space="preserve"> : + « لهم ».</w:t>
      </w:r>
    </w:p>
    <w:p w:rsidR="00744A1C" w:rsidRDefault="00E378DD" w:rsidP="00E378DD">
      <w:pPr>
        <w:pStyle w:val="libFootnote0"/>
        <w:rPr>
          <w:lang w:bidi="fa-IR"/>
        </w:rPr>
      </w:pPr>
      <w:r>
        <w:rPr>
          <w:rtl/>
          <w:lang w:bidi="fa-IR"/>
        </w:rPr>
        <w:t>(4).</w:t>
      </w:r>
      <w:r w:rsidR="00744A1C">
        <w:rPr>
          <w:rtl/>
          <w:lang w:bidi="fa-IR"/>
        </w:rPr>
        <w:t xml:space="preserve"> في نهج البلاغة : + « ولا تصيبوا معوراً ».</w:t>
      </w:r>
    </w:p>
    <w:p w:rsidR="00744A1C" w:rsidRDefault="00E378DD" w:rsidP="00E378DD">
      <w:pPr>
        <w:pStyle w:val="libFootnote0"/>
        <w:rPr>
          <w:lang w:bidi="fa-IR"/>
        </w:rPr>
      </w:pPr>
      <w:r>
        <w:rPr>
          <w:rtl/>
          <w:lang w:bidi="fa-IR"/>
        </w:rPr>
        <w:t>(5).</w:t>
      </w:r>
      <w:r w:rsidR="00744A1C">
        <w:rPr>
          <w:rtl/>
          <w:lang w:bidi="fa-IR"/>
        </w:rPr>
        <w:t xml:space="preserve"> في « ى ، جت ، جد ، جن » وحاشية « بح » </w:t>
      </w:r>
      <w:r w:rsidR="00744A1C" w:rsidRPr="00726EA9">
        <w:rPr>
          <w:rtl/>
        </w:rPr>
        <w:t>والوافي والوسائل</w:t>
      </w:r>
      <w:r w:rsidR="00744A1C">
        <w:rPr>
          <w:rtl/>
          <w:lang w:bidi="fa-IR"/>
        </w:rPr>
        <w:t xml:space="preserve"> : « ولا تجيزوا ».</w:t>
      </w:r>
    </w:p>
    <w:p w:rsidR="00744A1C" w:rsidRDefault="00E378DD" w:rsidP="00E378DD">
      <w:pPr>
        <w:pStyle w:val="libFootnote0"/>
        <w:rPr>
          <w:lang w:bidi="fa-IR"/>
        </w:rPr>
      </w:pPr>
      <w:r>
        <w:rPr>
          <w:rtl/>
          <w:lang w:bidi="fa-IR"/>
        </w:rPr>
        <w:t>(6).</w:t>
      </w:r>
      <w:r w:rsidR="00744A1C">
        <w:rPr>
          <w:rtl/>
          <w:lang w:bidi="fa-IR"/>
        </w:rPr>
        <w:t xml:space="preserve"> في الجمل : + « ولا تهيّجوا امرأة ».</w:t>
      </w:r>
    </w:p>
    <w:p w:rsidR="00744A1C" w:rsidRDefault="00E378DD" w:rsidP="00E378DD">
      <w:pPr>
        <w:pStyle w:val="libFootnote0"/>
        <w:rPr>
          <w:lang w:bidi="fa-IR"/>
        </w:rPr>
      </w:pPr>
      <w:r>
        <w:rPr>
          <w:rtl/>
          <w:lang w:bidi="fa-IR"/>
        </w:rPr>
        <w:t>(7).</w:t>
      </w:r>
      <w:r w:rsidR="00744A1C">
        <w:rPr>
          <w:rtl/>
          <w:lang w:bidi="fa-IR"/>
        </w:rPr>
        <w:t xml:space="preserve"> التمثيل : قطع الأعضاء والجوارح ، كالأنف والا</w:t>
      </w:r>
      <w:r w:rsidR="00726EA9">
        <w:rPr>
          <w:rFonts w:hint="cs"/>
          <w:rtl/>
          <w:lang w:bidi="fa-IR"/>
        </w:rPr>
        <w:t>ُ</w:t>
      </w:r>
      <w:r w:rsidR="00744A1C">
        <w:rPr>
          <w:rtl/>
          <w:lang w:bidi="fa-IR"/>
        </w:rPr>
        <w:t xml:space="preserve">ذُن والمذاكير وغيرها. راجع : </w:t>
      </w:r>
      <w:r w:rsidR="00744A1C" w:rsidRPr="00877682">
        <w:rPr>
          <w:rStyle w:val="libFootnoteBoldChar"/>
          <w:rtl/>
        </w:rPr>
        <w:t>النهاية</w:t>
      </w:r>
      <w:r w:rsidR="00726EA9">
        <w:rPr>
          <w:rtl/>
          <w:lang w:bidi="fa-IR"/>
        </w:rPr>
        <w:t xml:space="preserve"> ، ج 4 ، ص 294 (مثل</w:t>
      </w:r>
      <w:r w:rsidR="00744A1C">
        <w:rPr>
          <w:rtl/>
          <w:lang w:bidi="fa-IR"/>
        </w:rPr>
        <w:t>).</w:t>
      </w:r>
    </w:p>
    <w:p w:rsidR="00744A1C" w:rsidRDefault="00E378DD" w:rsidP="00E378DD">
      <w:pPr>
        <w:pStyle w:val="libFootnote0"/>
        <w:rPr>
          <w:lang w:bidi="fa-IR"/>
        </w:rPr>
      </w:pPr>
      <w:r>
        <w:rPr>
          <w:rtl/>
          <w:lang w:bidi="fa-IR"/>
        </w:rPr>
        <w:t>(8).</w:t>
      </w:r>
      <w:r w:rsidR="00744A1C">
        <w:rPr>
          <w:rtl/>
          <w:lang w:bidi="fa-IR"/>
        </w:rPr>
        <w:t xml:space="preserve"> </w:t>
      </w:r>
      <w:r w:rsidR="00744A1C" w:rsidRPr="00726EA9">
        <w:rPr>
          <w:rStyle w:val="libFootnoteBoldChar"/>
          <w:rtl/>
        </w:rPr>
        <w:t>نهج البلاغة</w:t>
      </w:r>
      <w:r w:rsidR="00744A1C">
        <w:rPr>
          <w:rtl/>
          <w:lang w:bidi="fa-IR"/>
        </w:rPr>
        <w:t xml:space="preserve"> ، ص 373 ، الرسالة 14 ، من قوله : « لا تقاتلوا القوم » إلى قوله : « ولا تجهزوا على جريح » مع زيادة في آخره. الجمل ، ص 341 ، مرسلاً ، من قوله : « فلا تقتلوا مدبراً » مع اختلاف يسير </w:t>
      </w:r>
      <w:r w:rsidR="00726EA9">
        <w:rPr>
          <w:rFonts w:hint="cs"/>
          <w:rtl/>
          <w:lang w:bidi="fa-IR"/>
        </w:rPr>
        <w:t>.</w:t>
      </w:r>
      <w:r w:rsidR="00744A1C" w:rsidRPr="00C24F9C">
        <w:rPr>
          <w:rStyle w:val="libFootnoteBoldChar"/>
          <w:rtl/>
        </w:rPr>
        <w:t>الوافي</w:t>
      </w:r>
      <w:r w:rsidR="00744A1C">
        <w:rPr>
          <w:rtl/>
          <w:lang w:bidi="fa-IR"/>
        </w:rPr>
        <w:t xml:space="preserve"> ، ج 15 ، ص 108 ، ح 14759 ؛ </w:t>
      </w:r>
      <w:r w:rsidR="00744A1C" w:rsidRPr="00C24F9C">
        <w:rPr>
          <w:rStyle w:val="libFootnoteBoldChar"/>
          <w:rtl/>
        </w:rPr>
        <w:t>الوسائل</w:t>
      </w:r>
      <w:r w:rsidR="00744A1C">
        <w:rPr>
          <w:rtl/>
          <w:lang w:bidi="fa-IR"/>
        </w:rPr>
        <w:t xml:space="preserve"> ، ج 15 ، ص 92 ، ح 20053 ؛ </w:t>
      </w:r>
      <w:r w:rsidR="00744A1C" w:rsidRPr="0061079A">
        <w:rPr>
          <w:rStyle w:val="libFootnoteBoldChar"/>
          <w:rtl/>
        </w:rPr>
        <w:t>البحار</w:t>
      </w:r>
      <w:r w:rsidR="00744A1C">
        <w:rPr>
          <w:rtl/>
          <w:lang w:bidi="fa-IR"/>
        </w:rPr>
        <w:t xml:space="preserve"> ، ج 33 ، ص 448 ، ح 661.</w:t>
      </w:r>
    </w:p>
    <w:p w:rsidR="00744A1C" w:rsidRDefault="00E378DD" w:rsidP="00E378DD">
      <w:pPr>
        <w:pStyle w:val="libFootnote0"/>
        <w:rPr>
          <w:lang w:bidi="fa-IR"/>
        </w:rPr>
      </w:pPr>
      <w:r>
        <w:rPr>
          <w:rtl/>
          <w:lang w:bidi="fa-IR"/>
        </w:rPr>
        <w:t>(9).</w:t>
      </w:r>
      <w:r w:rsidR="00744A1C">
        <w:rPr>
          <w:rtl/>
          <w:lang w:bidi="fa-IR"/>
        </w:rPr>
        <w:t xml:space="preserve"> في « بث ، بح ، بف ، جن » </w:t>
      </w:r>
      <w:r w:rsidR="00744A1C" w:rsidRPr="00726EA9">
        <w:rPr>
          <w:rtl/>
        </w:rPr>
        <w:t>والوافي والوسائل والبحار</w:t>
      </w:r>
      <w:r w:rsidR="00744A1C">
        <w:rPr>
          <w:rtl/>
          <w:lang w:bidi="fa-IR"/>
        </w:rPr>
        <w:t xml:space="preserve"> : « قد دلّكم ».</w:t>
      </w:r>
    </w:p>
    <w:p w:rsidR="00744A1C" w:rsidRDefault="00E378DD" w:rsidP="00E378DD">
      <w:pPr>
        <w:pStyle w:val="libFootnote0"/>
        <w:rPr>
          <w:lang w:bidi="fa-IR"/>
        </w:rPr>
      </w:pPr>
      <w:r>
        <w:rPr>
          <w:rtl/>
          <w:lang w:bidi="fa-IR"/>
        </w:rPr>
        <w:t>(10).</w:t>
      </w:r>
      <w:r w:rsidR="00744A1C">
        <w:rPr>
          <w:rtl/>
          <w:lang w:bidi="fa-IR"/>
        </w:rPr>
        <w:t xml:space="preserve"> في « بث » : « ويشفي ». وفي « بف » بالتاء والياء معاً. وأشفى على الشي‌ء : أشرف عليه. </w:t>
      </w:r>
      <w:r w:rsidR="00744A1C" w:rsidRPr="00E978C3">
        <w:rPr>
          <w:rStyle w:val="libFootnoteBoldChar"/>
          <w:rtl/>
        </w:rPr>
        <w:t>الصحاح</w:t>
      </w:r>
      <w:r w:rsidR="00744A1C">
        <w:rPr>
          <w:rtl/>
          <w:lang w:bidi="fa-IR"/>
        </w:rPr>
        <w:t xml:space="preserve"> ، ج 6 ، ص 2394 ( شفى ).</w:t>
      </w:r>
    </w:p>
    <w:p w:rsidR="00744A1C" w:rsidRDefault="00E378DD" w:rsidP="00E378DD">
      <w:pPr>
        <w:pStyle w:val="libFootnote0"/>
        <w:rPr>
          <w:lang w:bidi="fa-IR"/>
        </w:rPr>
      </w:pPr>
      <w:r>
        <w:rPr>
          <w:rtl/>
          <w:lang w:bidi="fa-IR"/>
        </w:rPr>
        <w:t>(11).</w:t>
      </w:r>
      <w:r w:rsidR="00744A1C">
        <w:rPr>
          <w:rtl/>
          <w:lang w:bidi="fa-IR"/>
        </w:rPr>
        <w:t xml:space="preserve"> في « ى ، جد ، جن » وحاشية « بح » </w:t>
      </w:r>
      <w:r w:rsidR="00744A1C" w:rsidRPr="00726EA9">
        <w:rPr>
          <w:rtl/>
        </w:rPr>
        <w:t>والبحار</w:t>
      </w:r>
      <w:r w:rsidR="00744A1C">
        <w:rPr>
          <w:rtl/>
          <w:lang w:bidi="fa-IR"/>
        </w:rPr>
        <w:t xml:space="preserve"> : « والإيمان ».</w:t>
      </w:r>
    </w:p>
    <w:p w:rsidR="00744A1C" w:rsidRDefault="00E378DD" w:rsidP="00E378DD">
      <w:pPr>
        <w:pStyle w:val="libFootnote0"/>
        <w:rPr>
          <w:lang w:bidi="fa-IR"/>
        </w:rPr>
      </w:pPr>
      <w:r>
        <w:rPr>
          <w:rtl/>
          <w:lang w:bidi="fa-IR"/>
        </w:rPr>
        <w:t>(12).</w:t>
      </w:r>
      <w:r w:rsidR="00744A1C">
        <w:rPr>
          <w:rtl/>
          <w:lang w:bidi="fa-IR"/>
        </w:rPr>
        <w:t xml:space="preserve"> في « ى » : « جعل » بدون الواو.</w:t>
      </w:r>
    </w:p>
    <w:p w:rsidR="00744A1C" w:rsidRDefault="00E378DD" w:rsidP="00E378DD">
      <w:pPr>
        <w:pStyle w:val="libFootnote0"/>
        <w:rPr>
          <w:lang w:bidi="fa-IR"/>
        </w:rPr>
      </w:pPr>
      <w:r>
        <w:rPr>
          <w:rtl/>
          <w:lang w:bidi="fa-IR"/>
        </w:rPr>
        <w:t>(13).</w:t>
      </w:r>
      <w:r w:rsidR="00744A1C">
        <w:rPr>
          <w:rtl/>
          <w:lang w:bidi="fa-IR"/>
        </w:rPr>
        <w:t xml:space="preserve"> « في جنّات عَدْن » أي استقرار وثبات. وعَدَنَ بمكان كذا : استقرّ ، ومنه المعدن لمستقرّ الجواهر. </w:t>
      </w:r>
      <w:r w:rsidR="00744A1C" w:rsidRPr="002D57AD">
        <w:rPr>
          <w:rStyle w:val="libFootnoteBoldChar"/>
          <w:rtl/>
        </w:rPr>
        <w:t>المفردات للراغب</w:t>
      </w:r>
      <w:r w:rsidR="00744A1C">
        <w:rPr>
          <w:rtl/>
          <w:lang w:bidi="fa-IR"/>
        </w:rPr>
        <w:t xml:space="preserve"> ، ص 553 ( عدن ).</w:t>
      </w:r>
    </w:p>
    <w:p w:rsidR="00744A1C" w:rsidRDefault="00E378DD" w:rsidP="00E378DD">
      <w:pPr>
        <w:pStyle w:val="libFootnote0"/>
        <w:rPr>
          <w:lang w:bidi="fa-IR"/>
        </w:rPr>
      </w:pPr>
      <w:r>
        <w:rPr>
          <w:rtl/>
          <w:lang w:bidi="fa-IR"/>
        </w:rPr>
        <w:t>(14).</w:t>
      </w:r>
      <w:r w:rsidR="00744A1C">
        <w:rPr>
          <w:rtl/>
          <w:lang w:bidi="fa-IR"/>
        </w:rPr>
        <w:t xml:space="preserve"> أي محكم ، كأنّما بني بالرَّصاص. </w:t>
      </w:r>
      <w:r w:rsidR="00744A1C" w:rsidRPr="002D57AD">
        <w:rPr>
          <w:rStyle w:val="libFootnoteBoldChar"/>
          <w:rtl/>
        </w:rPr>
        <w:t>المفردات للراغب</w:t>
      </w:r>
      <w:r w:rsidR="00744A1C">
        <w:rPr>
          <w:rtl/>
          <w:lang w:bidi="fa-IR"/>
        </w:rPr>
        <w:t xml:space="preserve"> ، ص 355 ( رصص ).</w:t>
      </w:r>
    </w:p>
    <w:p w:rsidR="00744A1C" w:rsidRDefault="00E378DD" w:rsidP="00E378DD">
      <w:pPr>
        <w:pStyle w:val="libFootnote0"/>
        <w:rPr>
          <w:lang w:bidi="fa-IR"/>
        </w:rPr>
      </w:pPr>
      <w:r>
        <w:rPr>
          <w:rtl/>
          <w:lang w:bidi="fa-IR"/>
        </w:rPr>
        <w:t>(15).</w:t>
      </w:r>
      <w:r w:rsidR="00744A1C">
        <w:rPr>
          <w:rtl/>
          <w:lang w:bidi="fa-IR"/>
        </w:rPr>
        <w:t xml:space="preserve"> الصفّ (61) : 4.</w:t>
      </w:r>
    </w:p>
    <w:p w:rsidR="006A5060" w:rsidRDefault="006A5060" w:rsidP="00D10E3C">
      <w:pPr>
        <w:pStyle w:val="libNormal"/>
        <w:rPr>
          <w:rtl/>
          <w:lang w:bidi="fa-IR"/>
        </w:rPr>
      </w:pPr>
      <w:r>
        <w:rPr>
          <w:rtl/>
          <w:lang w:bidi="fa-IR"/>
        </w:rPr>
        <w:br w:type="page"/>
      </w:r>
    </w:p>
    <w:p w:rsidR="00744A1C" w:rsidRDefault="00744A1C" w:rsidP="00726EA9">
      <w:pPr>
        <w:pStyle w:val="libNormal0"/>
        <w:rPr>
          <w:lang w:bidi="fa-IR"/>
        </w:rPr>
      </w:pPr>
      <w:r>
        <w:rPr>
          <w:rtl/>
          <w:lang w:bidi="fa-IR"/>
        </w:rPr>
        <w:t xml:space="preserve">فَسَوُّوا صُفُوفَكُمْ كَالْبُنْيَانِ الْمَرْصُوصِ ، فَقَدِّمُوا الدَّارِعَ </w:t>
      </w:r>
      <w:r w:rsidRPr="00D10E3C">
        <w:rPr>
          <w:rStyle w:val="libFootnotenumChar"/>
          <w:rtl/>
        </w:rPr>
        <w:t>(1)</w:t>
      </w:r>
      <w:r>
        <w:rPr>
          <w:rtl/>
          <w:lang w:bidi="fa-IR"/>
        </w:rPr>
        <w:t xml:space="preserve"> ، وَأَخِّرُوا الْحَاسِرَ ، وَعَضُّوا عَلَى النَّوَاجِدِ </w:t>
      </w:r>
      <w:r w:rsidRPr="00D10E3C">
        <w:rPr>
          <w:rStyle w:val="libFootnotenumChar"/>
          <w:rtl/>
        </w:rPr>
        <w:t>(2)</w:t>
      </w:r>
      <w:r>
        <w:rPr>
          <w:rtl/>
          <w:lang w:bidi="fa-IR"/>
        </w:rPr>
        <w:t xml:space="preserve"> ؛ فَإِنَّهُ أَنْبَأُ </w:t>
      </w:r>
      <w:r w:rsidRPr="00D10E3C">
        <w:rPr>
          <w:rStyle w:val="libFootnotenumChar"/>
          <w:rtl/>
        </w:rPr>
        <w:t>(3)</w:t>
      </w:r>
      <w:r>
        <w:rPr>
          <w:rtl/>
          <w:lang w:bidi="fa-IR"/>
        </w:rPr>
        <w:t xml:space="preserve"> لِلسُّيُوفِ عَلَى </w:t>
      </w:r>
      <w:r w:rsidRPr="00D10E3C">
        <w:rPr>
          <w:rStyle w:val="libFootnotenumChar"/>
          <w:rtl/>
        </w:rPr>
        <w:t>(4)</w:t>
      </w:r>
      <w:r>
        <w:rPr>
          <w:rtl/>
          <w:lang w:bidi="fa-IR"/>
        </w:rPr>
        <w:t xml:space="preserve"> الْهَامِ </w:t>
      </w:r>
      <w:r w:rsidRPr="00D10E3C">
        <w:rPr>
          <w:rStyle w:val="libFootnotenumChar"/>
          <w:rtl/>
        </w:rPr>
        <w:t>(5)</w:t>
      </w:r>
      <w:r>
        <w:rPr>
          <w:rtl/>
          <w:lang w:bidi="fa-IR"/>
        </w:rPr>
        <w:t xml:space="preserve"> ، وَالْتَوُوا </w:t>
      </w:r>
      <w:r w:rsidRPr="00D10E3C">
        <w:rPr>
          <w:rStyle w:val="libFootnotenumChar"/>
          <w:rtl/>
        </w:rPr>
        <w:t>(6)</w:t>
      </w:r>
      <w:r>
        <w:rPr>
          <w:rtl/>
          <w:lang w:bidi="fa-IR"/>
        </w:rPr>
        <w:t xml:space="preserve"> عَلى أَطْرَافِ الرِّمَاحِ ؛ فَإِنَّهُ أَمْوَرُ </w:t>
      </w:r>
      <w:r w:rsidRPr="00D10E3C">
        <w:rPr>
          <w:rStyle w:val="libFootnotenumChar"/>
          <w:rtl/>
        </w:rPr>
        <w:t>(7)</w:t>
      </w:r>
      <w:r>
        <w:rPr>
          <w:rtl/>
          <w:lang w:bidi="fa-IR"/>
        </w:rPr>
        <w:t xml:space="preserve"> لِلْأَسِنَّةِ </w:t>
      </w:r>
      <w:r w:rsidRPr="00D10E3C">
        <w:rPr>
          <w:rStyle w:val="libFootnotenumChar"/>
          <w:rtl/>
        </w:rPr>
        <w:t>(8)</w:t>
      </w:r>
      <w:r>
        <w:rPr>
          <w:rtl/>
          <w:lang w:bidi="fa-IR"/>
        </w:rPr>
        <w:t xml:space="preserve"> ، وَغُضُّوا الْأَبْصَارَ ؛ فَإِنَّهُ أَرْبَطُ‌</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جت ، جن » : « الدراع ». والدارع : لابس الدِّرع. والدرع : لَبُوس الحديد يلبس في الحرب. والحاسر : خلاف الدارع ، الذي لا مِغْفَر عليه ولا دِرْع. راجع : </w:t>
      </w:r>
      <w:r w:rsidR="00744A1C" w:rsidRPr="00877682">
        <w:rPr>
          <w:rStyle w:val="libFootnoteBoldChar"/>
          <w:rtl/>
        </w:rPr>
        <w:t>لسان العرب</w:t>
      </w:r>
      <w:r w:rsidR="00744A1C">
        <w:rPr>
          <w:rtl/>
          <w:lang w:bidi="fa-IR"/>
        </w:rPr>
        <w:t xml:space="preserve"> ، ج 4 ، ص 187 ( حسر ) ؛ وج 8 ، ص 81 ( درع ).</w:t>
      </w:r>
    </w:p>
    <w:p w:rsidR="00744A1C" w:rsidRDefault="00E378DD" w:rsidP="00E378DD">
      <w:pPr>
        <w:pStyle w:val="libFootnote0"/>
        <w:rPr>
          <w:lang w:bidi="fa-IR"/>
        </w:rPr>
      </w:pPr>
      <w:r>
        <w:rPr>
          <w:rtl/>
          <w:lang w:bidi="fa-IR"/>
        </w:rPr>
        <w:t>(2).</w:t>
      </w:r>
      <w:r w:rsidR="00744A1C">
        <w:rPr>
          <w:rtl/>
          <w:lang w:bidi="fa-IR"/>
        </w:rPr>
        <w:t xml:space="preserve"> في </w:t>
      </w:r>
      <w:r w:rsidR="00744A1C" w:rsidRPr="005E553F">
        <w:rPr>
          <w:rtl/>
        </w:rPr>
        <w:t>البحار</w:t>
      </w:r>
      <w:r w:rsidR="00744A1C">
        <w:rPr>
          <w:rtl/>
          <w:lang w:bidi="fa-IR"/>
        </w:rPr>
        <w:t xml:space="preserve"> : « النواجذ ». وفي </w:t>
      </w:r>
      <w:r w:rsidR="00744A1C" w:rsidRPr="00C24F9C">
        <w:rPr>
          <w:rStyle w:val="libFootnoteBoldChar"/>
          <w:rtl/>
        </w:rPr>
        <w:t>الوافي</w:t>
      </w:r>
      <w:r w:rsidR="00744A1C">
        <w:rPr>
          <w:rtl/>
          <w:lang w:bidi="fa-IR"/>
        </w:rPr>
        <w:t xml:space="preserve"> : « النواجد : أقصى الأسنان ، أو الضواحك منها ». وفي </w:t>
      </w:r>
      <w:r w:rsidR="00744A1C" w:rsidRPr="00C24F9C">
        <w:rPr>
          <w:rStyle w:val="libFootnoteBoldChar"/>
          <w:rtl/>
        </w:rPr>
        <w:t>المرآة</w:t>
      </w:r>
      <w:r w:rsidR="00744A1C">
        <w:rPr>
          <w:rtl/>
          <w:lang w:bidi="fa-IR"/>
        </w:rPr>
        <w:t xml:space="preserve"> : « قال ابن‌</w:t>
      </w:r>
      <w:r w:rsidR="005E553F">
        <w:rPr>
          <w:rFonts w:hint="cs"/>
          <w:rtl/>
          <w:lang w:bidi="fa-IR"/>
        </w:rPr>
        <w:t xml:space="preserve"> </w:t>
      </w:r>
      <w:r w:rsidR="00744A1C">
        <w:rPr>
          <w:rtl/>
          <w:lang w:bidi="fa-IR"/>
        </w:rPr>
        <w:t xml:space="preserve">ميثم </w:t>
      </w:r>
      <w:r w:rsidR="00877682" w:rsidRPr="00877682">
        <w:rPr>
          <w:rStyle w:val="libFootnoteAlaemChar"/>
          <w:rtl/>
        </w:rPr>
        <w:t>رحمه‌الله</w:t>
      </w:r>
      <w:r w:rsidR="00744A1C">
        <w:rPr>
          <w:rtl/>
          <w:lang w:bidi="fa-IR"/>
        </w:rPr>
        <w:t xml:space="preserve">: النواجد : أقاصي الأضراس » ، وهذا لا تساعده اللغة ؛ فإنّ الموجود فيها النواجذ - بالذال المعجمة - بهذا المعنى ، لا النواجد بالدال المهملة ؛ فإنّ لها معنى آخر. راجع : </w:t>
      </w:r>
      <w:r w:rsidR="00744A1C" w:rsidRPr="00877682">
        <w:rPr>
          <w:rStyle w:val="libFootnoteBoldChar"/>
          <w:rtl/>
        </w:rPr>
        <w:t>لسان العرب</w:t>
      </w:r>
      <w:r w:rsidR="00744A1C">
        <w:rPr>
          <w:rtl/>
          <w:lang w:bidi="fa-IR"/>
        </w:rPr>
        <w:t xml:space="preserve"> ، ج 3 ، ص 513 ( نجذ ).</w:t>
      </w:r>
    </w:p>
    <w:p w:rsidR="00744A1C" w:rsidRDefault="00E378DD" w:rsidP="005E553F">
      <w:pPr>
        <w:pStyle w:val="libFootnote0"/>
        <w:rPr>
          <w:lang w:bidi="fa-IR"/>
        </w:rPr>
      </w:pPr>
      <w:r>
        <w:rPr>
          <w:rtl/>
          <w:lang w:bidi="fa-IR"/>
        </w:rPr>
        <w:t>(3).</w:t>
      </w:r>
      <w:r w:rsidR="00744A1C">
        <w:rPr>
          <w:rtl/>
          <w:lang w:bidi="fa-IR"/>
        </w:rPr>
        <w:t xml:space="preserve"> قال الجوهري : « نَبا السيف ، إذا لم يعمل في الضريبة ». وفي </w:t>
      </w:r>
      <w:r w:rsidR="00744A1C" w:rsidRPr="00C24F9C">
        <w:rPr>
          <w:rStyle w:val="libFootnoteBoldChar"/>
          <w:rtl/>
        </w:rPr>
        <w:t>الوافي</w:t>
      </w:r>
      <w:r w:rsidR="00744A1C">
        <w:rPr>
          <w:rtl/>
          <w:lang w:bidi="fa-IR"/>
        </w:rPr>
        <w:t xml:space="preserve"> : « أي أبعد وأشدّ دفعاً ». </w:t>
      </w:r>
      <w:r w:rsidR="00744A1C" w:rsidRPr="00E978C3">
        <w:rPr>
          <w:rStyle w:val="libFootnoteBoldChar"/>
          <w:rtl/>
        </w:rPr>
        <w:t>الصحاح</w:t>
      </w:r>
      <w:r w:rsidR="00744A1C">
        <w:rPr>
          <w:rtl/>
          <w:lang w:bidi="fa-IR"/>
        </w:rPr>
        <w:t xml:space="preserve"> ، ج 6 ، ص 2500 ( نبا ).</w:t>
      </w:r>
      <w:r w:rsidR="005E553F">
        <w:rPr>
          <w:rFonts w:hint="cs"/>
          <w:rtl/>
          <w:lang w:bidi="fa-IR"/>
        </w:rPr>
        <w:t xml:space="preserve">                        </w:t>
      </w:r>
      <w:r>
        <w:rPr>
          <w:rtl/>
          <w:lang w:bidi="fa-IR"/>
        </w:rPr>
        <w:t>(4).</w:t>
      </w:r>
      <w:r w:rsidR="00744A1C">
        <w:rPr>
          <w:rtl/>
          <w:lang w:bidi="fa-IR"/>
        </w:rPr>
        <w:t xml:space="preserve"> في « ى ، بث ، بح ، بف ، جت ، جد ، جن » : « عن ».</w:t>
      </w:r>
    </w:p>
    <w:p w:rsidR="00744A1C" w:rsidRDefault="00E378DD" w:rsidP="00E378DD">
      <w:pPr>
        <w:pStyle w:val="libFootnote0"/>
        <w:rPr>
          <w:lang w:bidi="fa-IR"/>
        </w:rPr>
      </w:pPr>
      <w:r>
        <w:rPr>
          <w:rtl/>
          <w:lang w:bidi="fa-IR"/>
        </w:rPr>
        <w:t>(5).</w:t>
      </w:r>
      <w:r w:rsidR="00744A1C">
        <w:rPr>
          <w:rtl/>
          <w:lang w:bidi="fa-IR"/>
        </w:rPr>
        <w:t xml:space="preserve"> الهامَة : الرأس. والجمع : هام. </w:t>
      </w:r>
      <w:r w:rsidR="00744A1C" w:rsidRPr="00E978C3">
        <w:rPr>
          <w:rStyle w:val="libFootnoteBoldChar"/>
          <w:rtl/>
        </w:rPr>
        <w:t>الصحاح</w:t>
      </w:r>
      <w:r w:rsidR="00744A1C">
        <w:rPr>
          <w:rtl/>
          <w:lang w:bidi="fa-IR"/>
        </w:rPr>
        <w:t xml:space="preserve"> ، ج 5 ، ص 2063 ( هوم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قيل : الوجه في ذلك أنّ العضّ على الأضراس يشدّ شؤون الدماغ ورباطاته ، فلا يبلغ السيف منه مبلغه ». وفي </w:t>
      </w:r>
      <w:r w:rsidRPr="00C24F9C">
        <w:rPr>
          <w:rStyle w:val="libFootnoteBoldChar"/>
          <w:rtl/>
        </w:rPr>
        <w:t>المرآة</w:t>
      </w:r>
      <w:r>
        <w:rPr>
          <w:rtl/>
          <w:lang w:bidi="fa-IR"/>
        </w:rPr>
        <w:t xml:space="preserve"> : « وفائدة الأمر بالعضّ على النواجد ما ذكر ، وهو أن ينبو السيف عن الهامة ، وعلّته أنّ العضّ على الناجد يستلزم تصلّب العضلات والأعصاب المتّصلة بالدماغ ، فيقادم ضربة السيف ، ويكون نكايته فيه أقلّ. والضمير في قوله : فإنّه ، يعود إلى المصدر الذي دلّ عليه عضواً كقولك : من أحسن كان خيراً له ». ثمّ قال : « وقال بعض الشارحين : عضّ الناجد ، كناية عن تسكين القلب وطرد الرعدة ، وليس المراد حقيقته. قلت : هذا وإن كان محتم</w:t>
      </w:r>
      <w:r w:rsidR="005E553F">
        <w:rPr>
          <w:rtl/>
          <w:lang w:bidi="fa-IR"/>
        </w:rPr>
        <w:t>لاً لو قطع النظر عن التعليل إل</w:t>
      </w:r>
      <w:r w:rsidR="005E553F">
        <w:rPr>
          <w:rFonts w:hint="cs"/>
          <w:rtl/>
          <w:lang w:bidi="fa-IR"/>
        </w:rPr>
        <w:t>ّ</w:t>
      </w:r>
      <w:r w:rsidR="005E553F">
        <w:rPr>
          <w:rtl/>
          <w:lang w:bidi="fa-IR"/>
        </w:rPr>
        <w:t>ا</w:t>
      </w:r>
      <w:r>
        <w:rPr>
          <w:rtl/>
          <w:lang w:bidi="fa-IR"/>
        </w:rPr>
        <w:t xml:space="preserve"> أنّه غير مراد هنا ؛ لأنّه يضيع تعليله بكونه أنبأ للسيوف عن الهام. انتهى. والقائل القطب الراوندي </w:t>
      </w:r>
      <w:r w:rsidR="00877682" w:rsidRPr="00877682">
        <w:rPr>
          <w:rStyle w:val="libFootnoteAlaemChar"/>
          <w:rtl/>
        </w:rPr>
        <w:t>رحمه‌الله</w:t>
      </w:r>
      <w:r>
        <w:rPr>
          <w:rtl/>
          <w:lang w:bidi="fa-IR"/>
        </w:rPr>
        <w:t>، ويمكن توجيه التعليل على تأويله ؛ فإنّ الجرأة وثبات القدم وعدم التزلزل سبب للغلبة على العدوّ وعدم تأثير حربته في البدن ، فيكون ذكر الهام على سبيل المثال لكون الغالب وقوع السيف عليه ».</w:t>
      </w:r>
    </w:p>
    <w:p w:rsidR="00744A1C" w:rsidRDefault="00E378DD" w:rsidP="00E378DD">
      <w:pPr>
        <w:pStyle w:val="libFootnote0"/>
        <w:rPr>
          <w:lang w:bidi="fa-IR"/>
        </w:rPr>
      </w:pPr>
      <w:r>
        <w:rPr>
          <w:rtl/>
          <w:lang w:bidi="fa-IR"/>
        </w:rPr>
        <w:t>(6).</w:t>
      </w:r>
      <w:r w:rsidR="00744A1C">
        <w:rPr>
          <w:rtl/>
          <w:lang w:bidi="fa-IR"/>
        </w:rPr>
        <w:t xml:space="preserve"> يقال : التَوَى الماءُ في مَجراه وتَلَوّى : انعطف ولم يجر على الاستقامة ، وتَلوّت الحيّة كذلك. </w:t>
      </w:r>
      <w:r w:rsidR="00744A1C" w:rsidRPr="00877682">
        <w:rPr>
          <w:rStyle w:val="libFootnoteBoldChar"/>
          <w:rtl/>
        </w:rPr>
        <w:t>لسان العرب</w:t>
      </w:r>
      <w:r w:rsidR="00744A1C">
        <w:rPr>
          <w:rtl/>
          <w:lang w:bidi="fa-IR"/>
        </w:rPr>
        <w:t xml:space="preserve"> ، ج 15 ، ص 263 ( لوى ).</w:t>
      </w:r>
    </w:p>
    <w:p w:rsidR="00744A1C" w:rsidRDefault="00E378DD" w:rsidP="00E378DD">
      <w:pPr>
        <w:pStyle w:val="libFootnote0"/>
        <w:rPr>
          <w:lang w:bidi="fa-IR"/>
        </w:rPr>
      </w:pPr>
      <w:r>
        <w:rPr>
          <w:rtl/>
          <w:lang w:bidi="fa-IR"/>
        </w:rPr>
        <w:t>(7).</w:t>
      </w:r>
      <w:r w:rsidR="00744A1C">
        <w:rPr>
          <w:rtl/>
          <w:lang w:bidi="fa-IR"/>
        </w:rPr>
        <w:t xml:space="preserve"> مارَ يمورُ مَوراً : إذا جعل يذهَب ويجي‌ء ويتردّد. ومارَ يمور ، أي جَرى. يقال : الدِماء تمُور على وجه</w:t>
      </w:r>
      <w:r w:rsidR="005E553F">
        <w:rPr>
          <w:rFonts w:hint="cs"/>
          <w:rtl/>
          <w:lang w:bidi="fa-IR"/>
        </w:rPr>
        <w:t xml:space="preserve"> </w:t>
      </w:r>
      <w:r w:rsidR="00744A1C">
        <w:rPr>
          <w:rtl/>
          <w:lang w:bidi="fa-IR"/>
        </w:rPr>
        <w:t xml:space="preserve">‌الأرض ، إذا انصبّت فتردّدت. وفي المصحف الشريف : </w:t>
      </w:r>
      <w:r w:rsidR="00744A1C" w:rsidRPr="005E553F">
        <w:rPr>
          <w:rStyle w:val="libFootnoteAlaemChar"/>
          <w:rtl/>
        </w:rPr>
        <w:t>(</w:t>
      </w:r>
      <w:r w:rsidR="00744A1C" w:rsidRPr="005E553F">
        <w:rPr>
          <w:rStyle w:val="libFootnoteAieChar"/>
          <w:rtl/>
        </w:rPr>
        <w:t xml:space="preserve"> يَوْمَ تَمُورُ السَّماءُ مَوْراً </w:t>
      </w:r>
      <w:r w:rsidR="00744A1C" w:rsidRPr="005E553F">
        <w:rPr>
          <w:rStyle w:val="libFootnoteAlaemChar"/>
          <w:rtl/>
        </w:rPr>
        <w:t>)</w:t>
      </w:r>
      <w:r w:rsidR="00744A1C">
        <w:rPr>
          <w:rtl/>
          <w:lang w:bidi="fa-IR"/>
        </w:rPr>
        <w:t xml:space="preserve"> أي تدور فيها وتموج موجاً. راجع : </w:t>
      </w:r>
      <w:r w:rsidR="00744A1C" w:rsidRPr="00877682">
        <w:rPr>
          <w:rStyle w:val="libFootnoteBoldChar"/>
          <w:rtl/>
        </w:rPr>
        <w:t>لسان العرب</w:t>
      </w:r>
      <w:r w:rsidR="00744A1C">
        <w:rPr>
          <w:rtl/>
          <w:lang w:bidi="fa-IR"/>
        </w:rPr>
        <w:t xml:space="preserve"> ، ج 5 ، ص 186 ؛ </w:t>
      </w:r>
      <w:r w:rsidR="00744A1C" w:rsidRPr="008A57EB">
        <w:rPr>
          <w:rStyle w:val="libFootnoteBoldChar"/>
          <w:rtl/>
        </w:rPr>
        <w:t>مجمع البحرين</w:t>
      </w:r>
      <w:r w:rsidR="00744A1C">
        <w:rPr>
          <w:rtl/>
          <w:lang w:bidi="fa-IR"/>
        </w:rPr>
        <w:t xml:space="preserve"> ، ج 3 ، ص 485 ( مور ).</w:t>
      </w:r>
    </w:p>
    <w:p w:rsidR="00744A1C" w:rsidRDefault="00E378DD" w:rsidP="00E378DD">
      <w:pPr>
        <w:pStyle w:val="libFootnote0"/>
        <w:rPr>
          <w:lang w:bidi="fa-IR"/>
        </w:rPr>
      </w:pPr>
      <w:r>
        <w:rPr>
          <w:rtl/>
          <w:lang w:bidi="fa-IR"/>
        </w:rPr>
        <w:t>(8).</w:t>
      </w:r>
      <w:r w:rsidR="00744A1C">
        <w:rPr>
          <w:rtl/>
          <w:lang w:bidi="fa-IR"/>
        </w:rPr>
        <w:t xml:space="preserve"> الأسنّة : جمع السِنان ، وهو نَصْلُ الرمح. راجع : </w:t>
      </w:r>
      <w:r w:rsidR="00744A1C" w:rsidRPr="00877682">
        <w:rPr>
          <w:rStyle w:val="libFootnoteBoldChar"/>
          <w:rtl/>
        </w:rPr>
        <w:t>لسان العرب</w:t>
      </w:r>
      <w:r w:rsidR="00744A1C">
        <w:rPr>
          <w:rtl/>
          <w:lang w:bidi="fa-IR"/>
        </w:rPr>
        <w:t xml:space="preserve"> ، ج 9 ، ص 82 ( سنن ).</w:t>
      </w:r>
    </w:p>
    <w:p w:rsidR="00144FA6" w:rsidRDefault="00744A1C" w:rsidP="00D10E3C">
      <w:pPr>
        <w:pStyle w:val="libFootnote0"/>
        <w:rPr>
          <w:rtl/>
          <w:lang w:bidi="fa-IR"/>
        </w:rPr>
      </w:pPr>
      <w:r>
        <w:rPr>
          <w:rtl/>
          <w:lang w:bidi="fa-IR"/>
        </w:rPr>
        <w:t xml:space="preserve">وفي </w:t>
      </w:r>
      <w:r w:rsidRPr="00C24F9C">
        <w:rPr>
          <w:rStyle w:val="libFootnoteBoldChar"/>
          <w:rtl/>
        </w:rPr>
        <w:t>الوافي</w:t>
      </w:r>
      <w:r>
        <w:rPr>
          <w:rtl/>
          <w:lang w:bidi="fa-IR"/>
        </w:rPr>
        <w:t xml:space="preserve"> : « قيل : أمرهم بأن يلتووا إذا طعنوا ؛ لأنّهم إذا فعلوا ذلك فبالحريّ أن يمور السنان ، أي يتحرّك عن</w:t>
      </w:r>
      <w:r w:rsidR="005E553F">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5E553F">
      <w:pPr>
        <w:pStyle w:val="libNormal0"/>
        <w:rPr>
          <w:lang w:bidi="fa-IR"/>
        </w:rPr>
      </w:pPr>
      <w:r>
        <w:rPr>
          <w:rtl/>
          <w:lang w:bidi="fa-IR"/>
        </w:rPr>
        <w:t xml:space="preserve">لِلْجَأْشِ </w:t>
      </w:r>
      <w:r w:rsidRPr="00D10E3C">
        <w:rPr>
          <w:rStyle w:val="libFootnotenumChar"/>
          <w:rtl/>
        </w:rPr>
        <w:t>(1)</w:t>
      </w:r>
      <w:r>
        <w:rPr>
          <w:rtl/>
          <w:lang w:bidi="fa-IR"/>
        </w:rPr>
        <w:t xml:space="preserve"> وَأَسْكَنُ لِلْقُلُوبِ ، وَأَمِيتُوا الْأَصْوَاتَ ؛ فَإِنَّهُ أَطْرَدُ لِلْفَشَلِ </w:t>
      </w:r>
      <w:r w:rsidRPr="00D10E3C">
        <w:rPr>
          <w:rStyle w:val="libFootnotenumChar"/>
          <w:rtl/>
        </w:rPr>
        <w:t>(2)</w:t>
      </w:r>
      <w:r>
        <w:rPr>
          <w:rtl/>
          <w:lang w:bidi="fa-IR"/>
        </w:rPr>
        <w:t xml:space="preserve"> وَأَوْلى بِالْوَقَارِ ، وَلَا تَمِيلُوا بِرَايَاتِكُمْ </w:t>
      </w:r>
      <w:r w:rsidRPr="00D10E3C">
        <w:rPr>
          <w:rStyle w:val="libFootnotenumChar"/>
          <w:rtl/>
        </w:rPr>
        <w:t>(3)</w:t>
      </w:r>
      <w:r>
        <w:rPr>
          <w:rtl/>
          <w:lang w:bidi="fa-IR"/>
        </w:rPr>
        <w:t xml:space="preserve"> ، وَلَا تُزِيلُ</w:t>
      </w:r>
      <w:r w:rsidR="005E553F">
        <w:rPr>
          <w:rtl/>
          <w:lang w:bidi="fa-IR"/>
        </w:rPr>
        <w:t>وهَا ، وَلَا تَجْعَلُوهَا إِل</w:t>
      </w:r>
      <w:r w:rsidR="005E553F">
        <w:rPr>
          <w:rFonts w:hint="cs"/>
          <w:rtl/>
          <w:lang w:bidi="fa-IR"/>
        </w:rPr>
        <w:t>َّ</w:t>
      </w:r>
      <w:r w:rsidR="005E553F">
        <w:rPr>
          <w:rtl/>
          <w:lang w:bidi="fa-IR"/>
        </w:rPr>
        <w:t>ا</w:t>
      </w:r>
      <w:r>
        <w:rPr>
          <w:rtl/>
          <w:lang w:bidi="fa-IR"/>
        </w:rPr>
        <w:t xml:space="preserve"> مَعَ شُجْعَانِكُمْ ؛ فَإِنَّ الْمَانِعَ لِلذِّمَارِ </w:t>
      </w:r>
      <w:r w:rsidRPr="00D10E3C">
        <w:rPr>
          <w:rStyle w:val="libFootnotenumChar"/>
          <w:rtl/>
        </w:rPr>
        <w:t>(4)</w:t>
      </w:r>
      <w:r>
        <w:rPr>
          <w:rtl/>
          <w:lang w:bidi="fa-IR"/>
        </w:rPr>
        <w:t xml:space="preserve"> وَالصَّابِرَ عِنْدَ نُزُولِ الْحَقَائِقِ </w:t>
      </w:r>
      <w:r w:rsidRPr="00D10E3C">
        <w:rPr>
          <w:rStyle w:val="libFootnotenumChar"/>
          <w:rtl/>
        </w:rPr>
        <w:t>(5)</w:t>
      </w:r>
      <w:r>
        <w:rPr>
          <w:rtl/>
          <w:lang w:bidi="fa-IR"/>
        </w:rPr>
        <w:t xml:space="preserve"> هُمْ أَهْلُ الْحِفَاظِ.</w:t>
      </w:r>
    </w:p>
    <w:p w:rsidR="00744A1C" w:rsidRDefault="00744A1C" w:rsidP="00744A1C">
      <w:pPr>
        <w:pStyle w:val="libNormal"/>
        <w:rPr>
          <w:lang w:bidi="fa-IR"/>
        </w:rPr>
      </w:pPr>
      <w:r>
        <w:rPr>
          <w:rtl/>
          <w:lang w:bidi="fa-IR"/>
        </w:rPr>
        <w:t xml:space="preserve">وَلَا تُمَثِّلُوا بِقَتِيلٍ ، وَإِذَا </w:t>
      </w:r>
      <w:r w:rsidRPr="00D10E3C">
        <w:rPr>
          <w:rStyle w:val="libFootnotenumChar"/>
          <w:rtl/>
        </w:rPr>
        <w:t>(6)</w:t>
      </w:r>
      <w:r>
        <w:rPr>
          <w:rtl/>
          <w:lang w:bidi="fa-IR"/>
        </w:rPr>
        <w:t xml:space="preserve"> وَصَلْتُمْ إِلى رِحَالِ </w:t>
      </w:r>
      <w:r w:rsidRPr="00D10E3C">
        <w:rPr>
          <w:rStyle w:val="libFootnotenumChar"/>
          <w:rtl/>
        </w:rPr>
        <w:t>(7)</w:t>
      </w:r>
      <w:r>
        <w:rPr>
          <w:rtl/>
          <w:lang w:bidi="fa-IR"/>
        </w:rPr>
        <w:t xml:space="preserve"> الْقَوْمِ فَلَا تَهْتِكُوا سِتْراً ، وَلَا تَدْخُلُوا‌</w:t>
      </w:r>
    </w:p>
    <w:p w:rsidR="00744A1C" w:rsidRDefault="00744A1C" w:rsidP="00D10E3C">
      <w:pPr>
        <w:pStyle w:val="libLine"/>
        <w:rPr>
          <w:lang w:bidi="fa-IR"/>
        </w:rPr>
      </w:pPr>
      <w:r>
        <w:rPr>
          <w:rtl/>
          <w:lang w:bidi="fa-IR"/>
        </w:rPr>
        <w:t>____________________</w:t>
      </w:r>
    </w:p>
    <w:p w:rsidR="00744A1C" w:rsidRDefault="005E553F" w:rsidP="00D10E3C">
      <w:pPr>
        <w:pStyle w:val="libFootnote0"/>
        <w:rPr>
          <w:lang w:bidi="fa-IR"/>
        </w:rPr>
      </w:pPr>
      <w:r>
        <w:rPr>
          <w:rFonts w:hint="cs"/>
          <w:rtl/>
          <w:lang w:bidi="fa-IR"/>
        </w:rPr>
        <w:t xml:space="preserve">= </w:t>
      </w:r>
      <w:r w:rsidR="00744A1C">
        <w:rPr>
          <w:rtl/>
          <w:lang w:bidi="fa-IR"/>
        </w:rPr>
        <w:t>موضعه ، فيخرج زالقاً ، وإذا لم يلتووا لم يمر السنان ولم يتحرّك عن موضعه ، فيخرق وينفذ ويقتل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أي إذا وصلت إليكم أطراف الرماح ، فانعطفوا ؛ ليزلق ويتحرّك فلا ينفذ. وحمله ابن ميثم </w:t>
      </w:r>
      <w:r w:rsidR="00877682" w:rsidRPr="00877682">
        <w:rPr>
          <w:rStyle w:val="libFootnoteAlaemChar"/>
          <w:rtl/>
        </w:rPr>
        <w:t>رحمه‌الله</w:t>
      </w:r>
      <w:r w:rsidR="005E553F" w:rsidRPr="005E553F">
        <w:rPr>
          <w:rFonts w:hint="cs"/>
          <w:rtl/>
        </w:rPr>
        <w:t xml:space="preserve"> </w:t>
      </w:r>
      <w:r>
        <w:rPr>
          <w:rtl/>
          <w:lang w:bidi="fa-IR"/>
        </w:rPr>
        <w:t>على الالتواء عند إرسال الرَمح إلى العدوّ بأن يميل صدره ويده ؛ فإنّ ذلك أنفذ ، وهو بعيد ».</w:t>
      </w:r>
    </w:p>
    <w:p w:rsidR="00744A1C" w:rsidRDefault="00D10E3C" w:rsidP="00D10E3C">
      <w:pPr>
        <w:pStyle w:val="libFootnote0"/>
        <w:rPr>
          <w:lang w:bidi="fa-IR"/>
        </w:rPr>
      </w:pPr>
      <w:r>
        <w:rPr>
          <w:rtl/>
          <w:lang w:bidi="fa-IR"/>
        </w:rPr>
        <w:t>(1).</w:t>
      </w:r>
      <w:r w:rsidR="00744A1C">
        <w:rPr>
          <w:rtl/>
          <w:lang w:bidi="fa-IR"/>
        </w:rPr>
        <w:t xml:space="preserve"> الجأش : القلب ، أو النفس ، أو رباطه وشدّته عند الشي‌ء تسمعه لاتدري ما هو ، ورجل رابط الجأش : شديدالقلب كأنّه يربط نفسه ويكفّها لجرأته وشجاعته ، أو لشناعة الفرار. وفي </w:t>
      </w:r>
      <w:r w:rsidR="00744A1C" w:rsidRPr="00C24F9C">
        <w:rPr>
          <w:rStyle w:val="libFootnoteBoldChar"/>
          <w:rtl/>
        </w:rPr>
        <w:t>الوافي</w:t>
      </w:r>
      <w:r w:rsidR="00744A1C">
        <w:rPr>
          <w:rtl/>
          <w:lang w:bidi="fa-IR"/>
        </w:rPr>
        <w:t xml:space="preserve"> : « أمرهم بغضّ الأبصار في الحرب ؛ لأنّه أربط للجأش ، أي أثبت للقلب ؛ لأنّ الغاضّ بصره في الحرب أحرى أن</w:t>
      </w:r>
      <w:r w:rsidR="005E553F">
        <w:rPr>
          <w:rtl/>
          <w:lang w:bidi="fa-IR"/>
        </w:rPr>
        <w:t xml:space="preserve"> لا يدهش ولا يرتاع لهول ما ينظر</w:t>
      </w:r>
      <w:r w:rsidR="00744A1C">
        <w:rPr>
          <w:rtl/>
          <w:lang w:bidi="fa-IR"/>
        </w:rPr>
        <w:t xml:space="preserve">». </w:t>
      </w:r>
      <w:r w:rsidR="00744A1C" w:rsidRPr="00877682">
        <w:rPr>
          <w:rStyle w:val="libFootnoteBoldChar"/>
          <w:rtl/>
        </w:rPr>
        <w:t>لسان العرب</w:t>
      </w:r>
      <w:r w:rsidR="00744A1C">
        <w:rPr>
          <w:rtl/>
          <w:lang w:bidi="fa-IR"/>
        </w:rPr>
        <w:t xml:space="preserve"> ، ج 6 ، ص 269 ( جأش ) ؛ وج 7 ، ص 303 ( ربط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وأمرهم بإماتة الأصوات وإخفائها ؛ لأنّه أطرد للفَشَل ، وهو الجُبْن والخَوف ، وذلك لأنّ الجبان يرعد ويبرق ، والشجاع صامت ». وراجع أيضاً : </w:t>
      </w:r>
      <w:r w:rsidR="00744A1C" w:rsidRPr="00877682">
        <w:rPr>
          <w:rStyle w:val="libFootnoteBoldChar"/>
          <w:rtl/>
        </w:rPr>
        <w:t>لسان العرب</w:t>
      </w:r>
      <w:r w:rsidR="00744A1C">
        <w:rPr>
          <w:rtl/>
          <w:lang w:bidi="fa-IR"/>
        </w:rPr>
        <w:t xml:space="preserve"> ، ج 11 ، ص 520 ( فشل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وأمرهم بحفظ راياتهم أن لا يميلوها ؛ لأنّها إذا مالت انكسر العسكر ؛ لأنّهم ينظرون إليها ، وأن لايُخلوها عن مُحام عنها ، وأن لا يجعلوها بأيدي الجُبناء وذوي الهلع منهم ؛ كيلا يجبنوا عن إمساكها ».</w:t>
      </w:r>
    </w:p>
    <w:p w:rsidR="00744A1C" w:rsidRDefault="00E378DD" w:rsidP="00E378DD">
      <w:pPr>
        <w:pStyle w:val="libFootnote0"/>
        <w:rPr>
          <w:lang w:bidi="fa-IR"/>
        </w:rPr>
      </w:pPr>
      <w:r>
        <w:rPr>
          <w:rtl/>
          <w:lang w:bidi="fa-IR"/>
        </w:rPr>
        <w:t>(4).</w:t>
      </w:r>
      <w:r w:rsidR="00744A1C">
        <w:rPr>
          <w:rtl/>
          <w:lang w:bidi="fa-IR"/>
        </w:rPr>
        <w:t xml:space="preserve"> في « بث » : « للدمار ». وقال الجوهري : « قولهم : فلان حامي الذِّمار ، أي إذا ذمّر وغضب حماً. ويقال : الذمار : ماوراء الرجل ممّا يحقّ عليه أن يحميه ؛ لأنّهم قالوا : حامي الذمار ، كما قالوا : حامي الحقيقة ، وسمّي ذِماراً ؛ لأنّه يجب على أهله التذمّر له ، وسمّيت حقيقة ؛ لأنّه يحقّ على أهله الدفع عنها ». وفي </w:t>
      </w:r>
      <w:r w:rsidR="00744A1C" w:rsidRPr="00C24F9C">
        <w:rPr>
          <w:rStyle w:val="libFootnoteBoldChar"/>
          <w:rtl/>
        </w:rPr>
        <w:t>الوافي</w:t>
      </w:r>
      <w:r w:rsidR="00744A1C">
        <w:rPr>
          <w:rtl/>
          <w:lang w:bidi="fa-IR"/>
        </w:rPr>
        <w:t xml:space="preserve"> : « الذمار ، بالكسر : ما يلزم حفظه وحمايته ، سمّي ذِماراً لأنّه يجب على أهله التذمّر له ، أي الغضب ». </w:t>
      </w:r>
      <w:r w:rsidR="00744A1C" w:rsidRPr="00E978C3">
        <w:rPr>
          <w:rStyle w:val="libFootnoteBoldChar"/>
          <w:rtl/>
        </w:rPr>
        <w:t>الصحاح</w:t>
      </w:r>
      <w:r w:rsidR="00744A1C">
        <w:rPr>
          <w:rtl/>
          <w:lang w:bidi="fa-IR"/>
        </w:rPr>
        <w:t xml:space="preserve"> ، ج 6 ، ص 2320 ( ذمر ). وراجع أيضاً : </w:t>
      </w:r>
      <w:r w:rsidR="00744A1C" w:rsidRPr="00FA4E86">
        <w:rPr>
          <w:rStyle w:val="libFootnoteBoldChar"/>
          <w:rtl/>
        </w:rPr>
        <w:t>شرح نهج البلاغة</w:t>
      </w:r>
      <w:r w:rsidR="00744A1C">
        <w:rPr>
          <w:rtl/>
          <w:lang w:bidi="fa-IR"/>
        </w:rPr>
        <w:t xml:space="preserve"> لابن أبي الحديد ، ج 8 ، ص 3.</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الحقائق جمع الحاقّة ، وهي الأمر الصعب الشديد ، ومنه قوله تعالى : </w:t>
      </w:r>
      <w:r w:rsidR="00744A1C" w:rsidRPr="00FA4E86">
        <w:rPr>
          <w:rStyle w:val="libFootnoteAlaemChar"/>
          <w:rtl/>
        </w:rPr>
        <w:t>(</w:t>
      </w:r>
      <w:r w:rsidR="00744A1C" w:rsidRPr="00FA4E86">
        <w:rPr>
          <w:rStyle w:val="libFootnoteAieChar"/>
          <w:rtl/>
        </w:rPr>
        <w:t xml:space="preserve"> الْحَاقَّةُ </w:t>
      </w:r>
      <w:r w:rsidR="00FA4E86">
        <w:rPr>
          <w:rStyle w:val="libFootnoteAieChar"/>
          <w:rFonts w:hint="cs"/>
          <w:rtl/>
        </w:rPr>
        <w:t xml:space="preserve">* </w:t>
      </w:r>
      <w:r w:rsidR="00744A1C" w:rsidRPr="00FA4E86">
        <w:rPr>
          <w:rStyle w:val="libFootnoteAieChar"/>
          <w:rtl/>
        </w:rPr>
        <w:t xml:space="preserve">مَا الْحَاقَّةُ </w:t>
      </w:r>
      <w:r w:rsidR="00744A1C" w:rsidRPr="00FA4E86">
        <w:rPr>
          <w:rStyle w:val="libFootnoteAlaemChar"/>
          <w:rtl/>
        </w:rPr>
        <w:t>)</w:t>
      </w:r>
      <w:r w:rsidR="00744A1C">
        <w:rPr>
          <w:rtl/>
          <w:lang w:bidi="fa-IR"/>
        </w:rPr>
        <w:t xml:space="preserve"> ، يعني : الساعة ». وفي </w:t>
      </w:r>
      <w:r w:rsidR="00744A1C" w:rsidRPr="00C24F9C">
        <w:rPr>
          <w:rStyle w:val="libFootnoteBoldChar"/>
          <w:rtl/>
        </w:rPr>
        <w:t>المرآة</w:t>
      </w:r>
      <w:r w:rsidR="00744A1C">
        <w:rPr>
          <w:rtl/>
          <w:lang w:bidi="fa-IR"/>
        </w:rPr>
        <w:t xml:space="preserve"> : « فالأظهر أنّ الحقائق هنا جمع الحقيقة بمعنى ما يحقّ للرجل أن يحميه ، والمراد بنزول الحقائق نزولها به ، أو نزوله بها ، وما يعرض للإنسان في الحرب ، وهي حالة يحقّ أن يحمى عنها ، وقال ابن ميثم : أي الشدائد الحقّة المتيقّنة. انتهى. ويحتمل أن يكون جمع الحقيقة ، بمعنى الراية ، كما ذكره الجوهري والفيروزآبادي. وأمّا ما ذكره ابن أبي الحديد وتبعه غيره من أنّ الحقائق جمع حاقّة ، وهي الأمر الحقّ الشديد ، ففى كونها جمعاً لها نظر ». وراجع : </w:t>
      </w:r>
      <w:r w:rsidR="00744A1C" w:rsidRPr="00877682">
        <w:rPr>
          <w:rStyle w:val="libFootnoteBoldChar"/>
          <w:rtl/>
        </w:rPr>
        <w:t>لسان العرب</w:t>
      </w:r>
      <w:r w:rsidR="00744A1C">
        <w:rPr>
          <w:rtl/>
          <w:lang w:bidi="fa-IR"/>
        </w:rPr>
        <w:t xml:space="preserve"> ، ج 10 ، ص 49 ( حقق ) ؛ </w:t>
      </w:r>
      <w:r w:rsidR="00744A1C" w:rsidRPr="00FA4E86">
        <w:rPr>
          <w:rStyle w:val="libFootnoteBoldChar"/>
          <w:rtl/>
        </w:rPr>
        <w:t>شرح نهج البلاغة</w:t>
      </w:r>
      <w:r w:rsidR="00744A1C">
        <w:rPr>
          <w:rtl/>
          <w:lang w:bidi="fa-IR"/>
        </w:rPr>
        <w:t xml:space="preserve"> لابن أبي الحديد ، ج 8 ، ص 3.</w:t>
      </w:r>
    </w:p>
    <w:p w:rsidR="00744A1C" w:rsidRDefault="00E378DD" w:rsidP="00E378DD">
      <w:pPr>
        <w:pStyle w:val="libFootnote0"/>
        <w:rPr>
          <w:lang w:bidi="fa-IR"/>
        </w:rPr>
      </w:pPr>
      <w:r>
        <w:rPr>
          <w:rtl/>
          <w:lang w:bidi="fa-IR"/>
        </w:rPr>
        <w:t>(6).</w:t>
      </w:r>
      <w:r w:rsidR="00744A1C">
        <w:rPr>
          <w:rtl/>
          <w:lang w:bidi="fa-IR"/>
        </w:rPr>
        <w:t xml:space="preserve"> في « بس ، جن » : « فإذا ».</w:t>
      </w:r>
    </w:p>
    <w:p w:rsidR="00744A1C" w:rsidRDefault="00E378DD" w:rsidP="00E378DD">
      <w:pPr>
        <w:pStyle w:val="libFootnote0"/>
        <w:rPr>
          <w:lang w:bidi="fa-IR"/>
        </w:rPr>
      </w:pPr>
      <w:r>
        <w:rPr>
          <w:rtl/>
          <w:lang w:bidi="fa-IR"/>
        </w:rPr>
        <w:t>(7).</w:t>
      </w:r>
      <w:r w:rsidR="00744A1C">
        <w:rPr>
          <w:rtl/>
          <w:lang w:bidi="fa-IR"/>
        </w:rPr>
        <w:t xml:space="preserve"> هكذا في « ى ، بث ، بح ، بس ، جت ، جد » </w:t>
      </w:r>
      <w:r w:rsidR="00744A1C" w:rsidRPr="00FA4E86">
        <w:rPr>
          <w:rtl/>
        </w:rPr>
        <w:t>والوافي والوسائل والبحار</w:t>
      </w:r>
      <w:r w:rsidR="00744A1C">
        <w:rPr>
          <w:rtl/>
          <w:lang w:bidi="fa-IR"/>
        </w:rPr>
        <w:t>. و</w:t>
      </w:r>
      <w:r w:rsidR="00FA4E86">
        <w:rPr>
          <w:rtl/>
          <w:lang w:bidi="fa-IR"/>
        </w:rPr>
        <w:t>في سائر النسخ والمطبوع : « رجال</w:t>
      </w:r>
      <w:r w:rsidR="00744A1C">
        <w:rPr>
          <w:rtl/>
          <w:lang w:bidi="fa-IR"/>
        </w:rPr>
        <w:t>».</w:t>
      </w:r>
    </w:p>
    <w:p w:rsidR="006A5060" w:rsidRDefault="006A5060" w:rsidP="00D10E3C">
      <w:pPr>
        <w:pStyle w:val="libNormal"/>
        <w:rPr>
          <w:rtl/>
          <w:lang w:bidi="fa-IR"/>
        </w:rPr>
      </w:pPr>
      <w:r>
        <w:rPr>
          <w:rtl/>
          <w:lang w:bidi="fa-IR"/>
        </w:rPr>
        <w:br w:type="page"/>
      </w:r>
    </w:p>
    <w:p w:rsidR="00744A1C" w:rsidRDefault="00744A1C" w:rsidP="00FA4E86">
      <w:pPr>
        <w:pStyle w:val="libNormal0"/>
        <w:rPr>
          <w:lang w:bidi="fa-IR"/>
        </w:rPr>
      </w:pPr>
      <w:r>
        <w:rPr>
          <w:rtl/>
          <w:lang w:bidi="fa-IR"/>
        </w:rPr>
        <w:t>دَاراً ، وَلَا تَأْخُذُوا ش</w:t>
      </w:r>
      <w:r w:rsidR="00FA4E86">
        <w:rPr>
          <w:rtl/>
          <w:lang w:bidi="fa-IR"/>
        </w:rPr>
        <w:t>َيْئاً مِنْ أَمْوَالِهِمْ إِل</w:t>
      </w:r>
      <w:r w:rsidR="00FA4E86">
        <w:rPr>
          <w:rFonts w:hint="cs"/>
          <w:rtl/>
          <w:lang w:bidi="fa-IR"/>
        </w:rPr>
        <w:t>َّ</w:t>
      </w:r>
      <w:r w:rsidR="00FA4E86">
        <w:rPr>
          <w:rtl/>
          <w:lang w:bidi="fa-IR"/>
        </w:rPr>
        <w:t>ا</w:t>
      </w:r>
      <w:r>
        <w:rPr>
          <w:rtl/>
          <w:lang w:bidi="fa-IR"/>
        </w:rPr>
        <w:t xml:space="preserve"> مَا وَجَدْتُمْ فِي عَسْكَرِهِمْ ، وَلَا تُهَيِّجُوا امْرَأَةً بِأَذًى وَإِنْ شَتَمْنَ أَعْرَاضَكُمْ ، وَسَبَبْنَ أُمَرَاءَكُمْ وَصُلَحَاءَكُمْ ؛ فَإِنَّهُنَّ ضِعَافُ </w:t>
      </w:r>
      <w:r w:rsidRPr="00D10E3C">
        <w:rPr>
          <w:rStyle w:val="libFootnotenumChar"/>
          <w:rtl/>
        </w:rPr>
        <w:t>(1)</w:t>
      </w:r>
      <w:r>
        <w:rPr>
          <w:rtl/>
          <w:lang w:bidi="fa-IR"/>
        </w:rPr>
        <w:t xml:space="preserve"> الْقُوى وَالْأَنْفُسِ وَالْعُقُولِ ، وَقَدْ كُنَّا نُؤْمَرُ بِالْكَفِّ عَنْهُنَّ وَهُنَّ مُشْرِكَاتٌ ، وَإِنْ كَانَ الرَّجُلُ لَيَتَنَاوَلُ الْمَرْأَةَ فَيُعَيَّرُ بِهَا وَعَقِبُهُ </w:t>
      </w:r>
      <w:r w:rsidRPr="00D10E3C">
        <w:rPr>
          <w:rStyle w:val="libFootnotenumChar"/>
          <w:rtl/>
        </w:rPr>
        <w:t>(2)</w:t>
      </w:r>
      <w:r>
        <w:rPr>
          <w:rtl/>
          <w:lang w:bidi="fa-IR"/>
        </w:rPr>
        <w:t xml:space="preserve"> مِنْ بَعْدِهِ.</w:t>
      </w:r>
    </w:p>
    <w:p w:rsidR="00744A1C" w:rsidRDefault="00744A1C" w:rsidP="00744A1C">
      <w:pPr>
        <w:pStyle w:val="libNormal"/>
        <w:rPr>
          <w:lang w:bidi="fa-IR"/>
        </w:rPr>
      </w:pPr>
      <w:r>
        <w:rPr>
          <w:rtl/>
          <w:lang w:bidi="fa-IR"/>
        </w:rPr>
        <w:t xml:space="preserve">وَاعْلَمُوا أَنَّ أَهْلَ الْحِفَاظِ هُمُ الَّذِينَ يَحُفُّونَ بِرَايَاتِهِمْ </w:t>
      </w:r>
      <w:r w:rsidRPr="00D10E3C">
        <w:rPr>
          <w:rStyle w:val="libFootnotenumChar"/>
          <w:rtl/>
        </w:rPr>
        <w:t>(3)</w:t>
      </w:r>
      <w:r>
        <w:rPr>
          <w:rtl/>
          <w:lang w:bidi="fa-IR"/>
        </w:rPr>
        <w:t xml:space="preserve"> ، وَيَكْتَنِفُونَهَا </w:t>
      </w:r>
      <w:r w:rsidRPr="00D10E3C">
        <w:rPr>
          <w:rStyle w:val="libFootnotenumChar"/>
          <w:rtl/>
        </w:rPr>
        <w:t>(4)</w:t>
      </w:r>
      <w:r>
        <w:rPr>
          <w:rtl/>
          <w:lang w:bidi="fa-IR"/>
        </w:rPr>
        <w:t xml:space="preserve"> ، وَيَصِيرُونَ‌ حِفَافَيْهَا </w:t>
      </w:r>
      <w:r w:rsidRPr="00D10E3C">
        <w:rPr>
          <w:rStyle w:val="libFootnotenumChar"/>
          <w:rtl/>
        </w:rPr>
        <w:t>(5)</w:t>
      </w:r>
      <w:r>
        <w:rPr>
          <w:rtl/>
          <w:lang w:bidi="fa-IR"/>
        </w:rPr>
        <w:t xml:space="preserve"> وَوَرَاءَهَا وَأَمَامَهَا وَلَا يُضَيِّعُونَهَا </w:t>
      </w:r>
      <w:r w:rsidRPr="00D10E3C">
        <w:rPr>
          <w:rStyle w:val="libFootnotenumChar"/>
          <w:rtl/>
        </w:rPr>
        <w:t>(6)</w:t>
      </w:r>
      <w:r>
        <w:rPr>
          <w:rtl/>
          <w:lang w:bidi="fa-IR"/>
        </w:rPr>
        <w:t xml:space="preserve"> ، لَايَتَأَخَّرُونَ </w:t>
      </w:r>
      <w:r w:rsidRPr="00D10E3C">
        <w:rPr>
          <w:rStyle w:val="libFootnotenumChar"/>
          <w:rtl/>
        </w:rPr>
        <w:t>(7)</w:t>
      </w:r>
      <w:r>
        <w:rPr>
          <w:rtl/>
          <w:lang w:bidi="fa-IR"/>
        </w:rPr>
        <w:t xml:space="preserve"> عَنْهَا فَيُسَلِّمُوهَا ، وَلَا يَتَقَدَّمُونَ عَلَيْهَا فَيُفْرِدُوهَا</w:t>
      </w:r>
      <w:r w:rsidRPr="00D10E3C">
        <w:rPr>
          <w:rStyle w:val="libFootnotenumChar"/>
          <w:rtl/>
        </w:rPr>
        <w:t>(8)</w:t>
      </w:r>
      <w:r w:rsidR="00FA4E86" w:rsidRPr="00FA4E86">
        <w:rPr>
          <w:rFonts w:hint="cs"/>
          <w:rtl/>
        </w:rPr>
        <w:t>.</w:t>
      </w:r>
    </w:p>
    <w:p w:rsidR="00744A1C" w:rsidRDefault="00744A1C" w:rsidP="00744A1C">
      <w:pPr>
        <w:pStyle w:val="libNormal"/>
        <w:rPr>
          <w:lang w:bidi="fa-IR"/>
        </w:rPr>
      </w:pPr>
      <w:r>
        <w:rPr>
          <w:rtl/>
          <w:lang w:bidi="fa-IR"/>
        </w:rPr>
        <w:t xml:space="preserve">رَحِمَ اللهُ امْرَأً وَاسى </w:t>
      </w:r>
      <w:r w:rsidRPr="00D10E3C">
        <w:rPr>
          <w:rStyle w:val="libFootnotenumChar"/>
          <w:rtl/>
        </w:rPr>
        <w:t>(9)</w:t>
      </w:r>
      <w:r>
        <w:rPr>
          <w:rtl/>
          <w:lang w:bidi="fa-IR"/>
        </w:rPr>
        <w:t xml:space="preserve"> أَخَاهُ بِنَفْسِهِ ، وَلَمْ يَكِلْ قِرْنَهُ </w:t>
      </w:r>
      <w:r w:rsidRPr="00D10E3C">
        <w:rPr>
          <w:rStyle w:val="libFootnotenumChar"/>
          <w:rtl/>
        </w:rPr>
        <w:t>(10)</w:t>
      </w:r>
      <w:r>
        <w:rPr>
          <w:rtl/>
          <w:lang w:bidi="fa-IR"/>
        </w:rPr>
        <w:t xml:space="preserve"> إِلى أَخِيهِ ، فَيَجْتَمِعَ </w:t>
      </w:r>
      <w:r w:rsidRPr="00D10E3C">
        <w:rPr>
          <w:rStyle w:val="libFootnotenumChar"/>
          <w:rtl/>
        </w:rPr>
        <w:t>(11)</w:t>
      </w:r>
      <w:r>
        <w:rPr>
          <w:rtl/>
          <w:lang w:bidi="fa-IR"/>
        </w:rPr>
        <w:t xml:space="preserve"> عَلَيْهِ </w:t>
      </w:r>
      <w:r w:rsidRPr="00D10E3C">
        <w:rPr>
          <w:rStyle w:val="libFootnotenumChar"/>
          <w:rtl/>
        </w:rPr>
        <w:t>(12)</w:t>
      </w:r>
      <w:r>
        <w:rPr>
          <w:rtl/>
          <w:lang w:bidi="fa-IR"/>
        </w:rPr>
        <w:t xml:space="preserve"> قِرْنُهُ وَقِرْنُ أَخِيهِ ، فَيَكْتَسِبَ </w:t>
      </w:r>
      <w:r w:rsidRPr="00D10E3C">
        <w:rPr>
          <w:rStyle w:val="libFootnotenumChar"/>
          <w:rtl/>
        </w:rPr>
        <w:t>(13)</w:t>
      </w:r>
      <w:r w:rsidR="00FA4E86">
        <w:rPr>
          <w:rtl/>
          <w:lang w:bidi="fa-IR"/>
        </w:rPr>
        <w:t xml:space="preserve"> بِذلِكَ الل</w:t>
      </w:r>
      <w:r w:rsidR="00FA4E86">
        <w:rPr>
          <w:rFonts w:hint="cs"/>
          <w:rtl/>
          <w:lang w:bidi="fa-IR"/>
        </w:rPr>
        <w:t>َّ</w:t>
      </w:r>
      <w:r w:rsidR="00FA4E86">
        <w:rPr>
          <w:rtl/>
          <w:lang w:bidi="fa-IR"/>
        </w:rPr>
        <w:t>ا</w:t>
      </w:r>
      <w:r>
        <w:rPr>
          <w:rtl/>
          <w:lang w:bidi="fa-IR"/>
        </w:rPr>
        <w:t xml:space="preserve">ئِمَةَ وَيَأْتِيَ بِدَنَاءَةٍ ، وَكَيْفَ لَايَكُونُ كَذلِكَ وَهُوَ يُقَاتِلُ الِاثْنَيْنِ </w:t>
      </w:r>
      <w:r w:rsidRPr="00D10E3C">
        <w:rPr>
          <w:rStyle w:val="libFootnotenumChar"/>
          <w:rtl/>
        </w:rPr>
        <w:t>(14)</w:t>
      </w:r>
      <w:r>
        <w:rPr>
          <w:rtl/>
          <w:lang w:bidi="fa-IR"/>
        </w:rPr>
        <w:t xml:space="preserve"> ، وَهذَا مُمْسِكٌ يَدَهُ قَدْ خَلّى قِرْنَهُ عَلى أَخِيهِ هَارِباً مِنْهُ </w:t>
      </w:r>
      <w:r w:rsidRPr="00D10E3C">
        <w:rPr>
          <w:rStyle w:val="libFootnotenumChar"/>
          <w:rtl/>
        </w:rPr>
        <w:t>(15)</w:t>
      </w:r>
      <w:r>
        <w:rPr>
          <w:rtl/>
          <w:lang w:bidi="fa-IR"/>
        </w:rPr>
        <w:t xml:space="preserve"> يَنْظُرُ إِلَيْهِ‌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FA4E86">
        <w:rPr>
          <w:rtl/>
        </w:rPr>
        <w:t>الوسائل</w:t>
      </w:r>
      <w:r w:rsidR="00744A1C">
        <w:rPr>
          <w:rtl/>
          <w:lang w:bidi="fa-IR"/>
        </w:rPr>
        <w:t xml:space="preserve"> : « ناقصات ».</w:t>
      </w:r>
    </w:p>
    <w:p w:rsidR="00744A1C" w:rsidRDefault="00E378DD" w:rsidP="00576B0E">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عقبه ، معطوف على المستكنّ المرفوع في يعيّر ، وترك التأكيد للفصل بقوله : بها ، كقوله تعالى : </w:t>
      </w:r>
      <w:r w:rsidR="00744A1C" w:rsidRPr="00FA4E86">
        <w:rPr>
          <w:rStyle w:val="libFootnoteAlaemChar"/>
          <w:rtl/>
        </w:rPr>
        <w:t>(</w:t>
      </w:r>
      <w:r w:rsidR="00744A1C" w:rsidRPr="00576B0E">
        <w:rPr>
          <w:rStyle w:val="libFootnoteAieChar"/>
          <w:rtl/>
        </w:rPr>
        <w:t xml:space="preserve"> م</w:t>
      </w:r>
      <w:r w:rsidR="00FA4E86" w:rsidRPr="00576B0E">
        <w:rPr>
          <w:rStyle w:val="libFootnoteAieChar"/>
          <w:rFonts w:hint="cs"/>
          <w:rtl/>
        </w:rPr>
        <w:t>َآ</w:t>
      </w:r>
      <w:r w:rsidR="00744A1C" w:rsidRPr="00576B0E">
        <w:rPr>
          <w:rStyle w:val="libFootnoteAieChar"/>
          <w:rtl/>
        </w:rPr>
        <w:t xml:space="preserve"> أَشْرَكْن</w:t>
      </w:r>
      <w:r w:rsidR="00FA4E86" w:rsidRPr="00576B0E">
        <w:rPr>
          <w:rStyle w:val="libFootnoteAieChar"/>
          <w:rFonts w:hint="cs"/>
          <w:rtl/>
        </w:rPr>
        <w:t>َ</w:t>
      </w:r>
      <w:r w:rsidR="00744A1C" w:rsidRPr="00576B0E">
        <w:rPr>
          <w:rStyle w:val="libFootnoteAieChar"/>
          <w:rtl/>
        </w:rPr>
        <w:t>ا وَل</w:t>
      </w:r>
      <w:r w:rsidR="00FA4E86" w:rsidRPr="00576B0E">
        <w:rPr>
          <w:rStyle w:val="libFootnoteAieChar"/>
          <w:rFonts w:hint="cs"/>
          <w:rtl/>
        </w:rPr>
        <w:t>آ</w:t>
      </w:r>
      <w:r w:rsidR="00FA4E86" w:rsidRPr="00576B0E">
        <w:rPr>
          <w:rStyle w:val="libFootnoteAieChar"/>
          <w:rtl/>
        </w:rPr>
        <w:t xml:space="preserve"> </w:t>
      </w:r>
      <w:r w:rsidR="00FA4E86" w:rsidRPr="00576B0E">
        <w:rPr>
          <w:rStyle w:val="libFootnoteAieChar"/>
          <w:rFonts w:hint="cs"/>
          <w:rtl/>
        </w:rPr>
        <w:t>ءَا</w:t>
      </w:r>
      <w:r w:rsidR="00744A1C" w:rsidRPr="00576B0E">
        <w:rPr>
          <w:rStyle w:val="libFootnoteAieChar"/>
          <w:rtl/>
        </w:rPr>
        <w:t>ب</w:t>
      </w:r>
      <w:r w:rsidR="00FA4E86" w:rsidRPr="00576B0E">
        <w:rPr>
          <w:rStyle w:val="libFootnoteAieChar"/>
          <w:rFonts w:hint="cs"/>
          <w:rtl/>
        </w:rPr>
        <w:t>َ</w:t>
      </w:r>
      <w:r w:rsidR="00576B0E" w:rsidRPr="00576B0E">
        <w:rPr>
          <w:rStyle w:val="libFootnoteAieChar"/>
          <w:rFonts w:hint="cs"/>
          <w:rtl/>
        </w:rPr>
        <w:t>آ</w:t>
      </w:r>
      <w:r w:rsidR="00744A1C" w:rsidRPr="00576B0E">
        <w:rPr>
          <w:rStyle w:val="libFootnoteAieChar"/>
          <w:rtl/>
        </w:rPr>
        <w:t>ؤُن</w:t>
      </w:r>
      <w:r w:rsidR="00576B0E" w:rsidRPr="00576B0E">
        <w:rPr>
          <w:rStyle w:val="libFootnoteAieChar"/>
          <w:rFonts w:hint="cs"/>
          <w:rtl/>
        </w:rPr>
        <w:t>َ</w:t>
      </w:r>
      <w:r w:rsidR="00744A1C" w:rsidRPr="00576B0E">
        <w:rPr>
          <w:rStyle w:val="libFootnoteAieChar"/>
          <w:rtl/>
        </w:rPr>
        <w:t xml:space="preserve">ا </w:t>
      </w:r>
      <w:r w:rsidR="00744A1C" w:rsidRPr="00FA4E86">
        <w:rPr>
          <w:rStyle w:val="libFootnoteAlaemChar"/>
          <w:rtl/>
        </w:rPr>
        <w:t>)</w:t>
      </w:r>
      <w:r w:rsidR="00744A1C">
        <w:rPr>
          <w:rtl/>
          <w:lang w:bidi="fa-IR"/>
        </w:rPr>
        <w:t xml:space="preserve"> ».</w:t>
      </w:r>
      <w:r w:rsidR="00576B0E">
        <w:rPr>
          <w:rFonts w:hint="cs"/>
          <w:rtl/>
          <w:lang w:bidi="fa-IR"/>
        </w:rPr>
        <w:t xml:space="preserve">   </w:t>
      </w:r>
      <w:r>
        <w:rPr>
          <w:rtl/>
          <w:lang w:bidi="fa-IR"/>
        </w:rPr>
        <w:t>(3).</w:t>
      </w:r>
      <w:r w:rsidR="00744A1C">
        <w:rPr>
          <w:rtl/>
          <w:lang w:bidi="fa-IR"/>
        </w:rPr>
        <w:t xml:space="preserve"> في « جت » وحاشية « بث » : « براياتكم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يحفّون براياتهم ويكتنفونها ، أي يحيطون بها ».</w:t>
      </w:r>
    </w:p>
    <w:p w:rsidR="00744A1C" w:rsidRDefault="00E378DD" w:rsidP="00E378DD">
      <w:pPr>
        <w:pStyle w:val="libFootnote0"/>
        <w:rPr>
          <w:lang w:bidi="fa-IR"/>
        </w:rPr>
      </w:pPr>
      <w:r>
        <w:rPr>
          <w:rtl/>
          <w:lang w:bidi="fa-IR"/>
        </w:rPr>
        <w:t>(5).</w:t>
      </w:r>
      <w:r w:rsidR="00744A1C">
        <w:rPr>
          <w:rtl/>
          <w:lang w:bidi="fa-IR"/>
        </w:rPr>
        <w:t xml:space="preserve"> في « بف ، جت » : « حفافها ». وفي « بث » : « حفائفها ». وحِفافا كلّ شي‌ء : جانباه. </w:t>
      </w:r>
      <w:r w:rsidR="00744A1C" w:rsidRPr="00877682">
        <w:rPr>
          <w:rStyle w:val="libFootnoteBoldChar"/>
          <w:rtl/>
        </w:rPr>
        <w:t>لسان العرب</w:t>
      </w:r>
      <w:r w:rsidR="00744A1C">
        <w:rPr>
          <w:rtl/>
          <w:lang w:bidi="fa-IR"/>
        </w:rPr>
        <w:t xml:space="preserve"> ، ج 9 ، ص 50 ( حفف ). وفي </w:t>
      </w:r>
      <w:r w:rsidR="00744A1C" w:rsidRPr="00C24F9C">
        <w:rPr>
          <w:rStyle w:val="libFootnoteBoldChar"/>
          <w:rtl/>
        </w:rPr>
        <w:t>المرآة</w:t>
      </w:r>
      <w:r w:rsidR="00744A1C">
        <w:rPr>
          <w:rtl/>
          <w:lang w:bidi="fa-IR"/>
        </w:rPr>
        <w:t xml:space="preserve"> : « المراد هنا اليمين واليسار ».</w:t>
      </w:r>
    </w:p>
    <w:tbl>
      <w:tblPr>
        <w:tblStyle w:val="TableGrid"/>
        <w:bidiVisual/>
        <w:tblW w:w="0" w:type="auto"/>
        <w:tblLook w:val="04A0" w:firstRow="1" w:lastRow="0" w:firstColumn="1" w:lastColumn="0" w:noHBand="0" w:noVBand="1"/>
      </w:tblPr>
      <w:tblGrid>
        <w:gridCol w:w="4006"/>
        <w:gridCol w:w="4006"/>
      </w:tblGrid>
      <w:tr w:rsidR="00576B0E" w:rsidTr="00576B0E">
        <w:tc>
          <w:tcPr>
            <w:tcW w:w="4006" w:type="dxa"/>
          </w:tcPr>
          <w:p w:rsidR="00576B0E" w:rsidRDefault="00576B0E" w:rsidP="00E378DD">
            <w:pPr>
              <w:pStyle w:val="libFootnote0"/>
              <w:rPr>
                <w:rtl/>
                <w:lang w:bidi="fa-IR"/>
              </w:rPr>
            </w:pPr>
            <w:r>
              <w:rPr>
                <w:rtl/>
                <w:lang w:bidi="fa-IR"/>
              </w:rPr>
              <w:t>(6). في « جت ، جن » : - « ولا يضيّعونها ».</w:t>
            </w:r>
          </w:p>
        </w:tc>
        <w:tc>
          <w:tcPr>
            <w:tcW w:w="4006" w:type="dxa"/>
          </w:tcPr>
          <w:p w:rsidR="00576B0E" w:rsidRDefault="00576B0E" w:rsidP="00E378DD">
            <w:pPr>
              <w:pStyle w:val="libFootnote0"/>
              <w:rPr>
                <w:rtl/>
                <w:lang w:bidi="fa-IR"/>
              </w:rPr>
            </w:pPr>
            <w:r>
              <w:rPr>
                <w:rtl/>
                <w:lang w:bidi="fa-IR"/>
              </w:rPr>
              <w:t>(7). في « بس ، جن » : « ولا يتأخّرون ».</w:t>
            </w:r>
          </w:p>
        </w:tc>
      </w:tr>
    </w:tbl>
    <w:p w:rsidR="00744A1C" w:rsidRDefault="00E378DD" w:rsidP="00E378DD">
      <w:pPr>
        <w:pStyle w:val="libFootnote0"/>
        <w:rPr>
          <w:lang w:bidi="fa-IR"/>
        </w:rPr>
      </w:pPr>
      <w:r>
        <w:rPr>
          <w:rtl/>
          <w:lang w:bidi="fa-IR"/>
        </w:rPr>
        <w:t>(8).</w:t>
      </w:r>
      <w:r w:rsidR="00744A1C">
        <w:rPr>
          <w:rtl/>
          <w:lang w:bidi="fa-IR"/>
        </w:rPr>
        <w:t xml:space="preserve"> في « بث » : « فتفردوها ». وفي « ى ، بف » : - « لا يتأخّرون عنها - إلى - فيفردوها ».</w:t>
      </w:r>
    </w:p>
    <w:p w:rsidR="00744A1C" w:rsidRDefault="00E378DD" w:rsidP="00E378DD">
      <w:pPr>
        <w:pStyle w:val="libFootnote0"/>
        <w:rPr>
          <w:lang w:bidi="fa-IR"/>
        </w:rPr>
      </w:pPr>
      <w:r>
        <w:rPr>
          <w:rtl/>
          <w:lang w:bidi="fa-IR"/>
        </w:rPr>
        <w:t>(9).</w:t>
      </w:r>
      <w:r w:rsidR="00744A1C">
        <w:rPr>
          <w:rtl/>
          <w:lang w:bidi="fa-IR"/>
        </w:rPr>
        <w:t xml:space="preserve"> المواساة : المشاركة والمساهمة في المعاش والرزق ، وأصلها الهمزة فقلبت واواً تخفيفاً. وفي </w:t>
      </w:r>
      <w:r w:rsidR="00744A1C" w:rsidRPr="00C24F9C">
        <w:rPr>
          <w:rStyle w:val="libFootnoteBoldChar"/>
          <w:rtl/>
        </w:rPr>
        <w:t>الوافي</w:t>
      </w:r>
      <w:r w:rsidR="00744A1C">
        <w:rPr>
          <w:rtl/>
          <w:lang w:bidi="fa-IR"/>
        </w:rPr>
        <w:t xml:space="preserve"> : « المواساة : الإعانة بالنفس والمال ». راجع : </w:t>
      </w:r>
      <w:r w:rsidR="00744A1C" w:rsidRPr="00877682">
        <w:rPr>
          <w:rStyle w:val="libFootnoteBoldChar"/>
          <w:rtl/>
        </w:rPr>
        <w:t>لسان العرب</w:t>
      </w:r>
      <w:r w:rsidR="00744A1C">
        <w:rPr>
          <w:rtl/>
          <w:lang w:bidi="fa-IR"/>
        </w:rPr>
        <w:t xml:space="preserve"> ، ج 14 ، ص 35 ( أسو ) ؛ وج 15 ، ص 392 ( وسى ).</w:t>
      </w:r>
    </w:p>
    <w:p w:rsidR="00744A1C" w:rsidRDefault="00E378DD" w:rsidP="00830FD9">
      <w:pPr>
        <w:pStyle w:val="libFootnote0"/>
        <w:rPr>
          <w:lang w:bidi="fa-IR"/>
        </w:rPr>
      </w:pPr>
      <w:r>
        <w:rPr>
          <w:rtl/>
          <w:lang w:bidi="fa-IR"/>
        </w:rPr>
        <w:t>(10).</w:t>
      </w:r>
      <w:r w:rsidR="00744A1C">
        <w:rPr>
          <w:rtl/>
          <w:lang w:bidi="fa-IR"/>
        </w:rPr>
        <w:t xml:space="preserve"> القِرْن ، بالكسر : الكفو والنظير في الشجاعة والحرب ، ومن يقاومك في علم أو قتال. راجع : </w:t>
      </w:r>
      <w:r w:rsidR="00744A1C" w:rsidRPr="00877682">
        <w:rPr>
          <w:rStyle w:val="libFootnoteBoldChar"/>
          <w:rtl/>
        </w:rPr>
        <w:t>النهاية</w:t>
      </w:r>
      <w:r w:rsidR="00744A1C">
        <w:rPr>
          <w:rtl/>
          <w:lang w:bidi="fa-IR"/>
        </w:rPr>
        <w:t xml:space="preserve"> ، ج 4 ، ص 55 ؛ </w:t>
      </w:r>
      <w:r w:rsidR="00744A1C" w:rsidRPr="00E978C3">
        <w:rPr>
          <w:rStyle w:val="libFootnoteBoldChar"/>
          <w:rtl/>
        </w:rPr>
        <w:t>المصباح المنير</w:t>
      </w:r>
      <w:r w:rsidR="00744A1C">
        <w:rPr>
          <w:rtl/>
          <w:lang w:bidi="fa-IR"/>
        </w:rPr>
        <w:t xml:space="preserve"> ، ص 501 ( قرن ).</w:t>
      </w:r>
      <w:r w:rsidR="00402829">
        <w:rPr>
          <w:rFonts w:hint="cs"/>
          <w:rtl/>
        </w:rPr>
        <w:t xml:space="preserve">   </w:t>
      </w:r>
      <w:r w:rsidR="00830FD9">
        <w:rPr>
          <w:rFonts w:hint="cs"/>
          <w:rtl/>
        </w:rPr>
        <w:t xml:space="preserve">      </w:t>
      </w:r>
      <w:r w:rsidR="00362A4E">
        <w:rPr>
          <w:rFonts w:hint="cs"/>
          <w:rtl/>
        </w:rPr>
        <w:t xml:space="preserve"> </w:t>
      </w:r>
      <w:r w:rsidR="00830FD9">
        <w:rPr>
          <w:rFonts w:hint="cs"/>
          <w:rtl/>
        </w:rPr>
        <w:t xml:space="preserve"> </w:t>
      </w:r>
      <w:r>
        <w:rPr>
          <w:rtl/>
          <w:lang w:bidi="fa-IR"/>
        </w:rPr>
        <w:t>(11).</w:t>
      </w:r>
      <w:r w:rsidR="00744A1C">
        <w:rPr>
          <w:rtl/>
          <w:lang w:bidi="fa-IR"/>
        </w:rPr>
        <w:t xml:space="preserve"> في « بث » : « فتجتمع ».</w:t>
      </w:r>
    </w:p>
    <w:p w:rsidR="00744A1C" w:rsidRDefault="00E378DD" w:rsidP="00E378DD">
      <w:pPr>
        <w:pStyle w:val="libFootnote0"/>
        <w:rPr>
          <w:lang w:bidi="fa-IR"/>
        </w:rPr>
      </w:pPr>
      <w:r>
        <w:rPr>
          <w:rtl/>
          <w:lang w:bidi="fa-IR"/>
        </w:rPr>
        <w:t>(12).</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المطبوع : - « عليه ».</w:t>
      </w:r>
    </w:p>
    <w:tbl>
      <w:tblPr>
        <w:tblStyle w:val="TableGrid"/>
        <w:bidiVisual/>
        <w:tblW w:w="0" w:type="auto"/>
        <w:tblLook w:val="04A0" w:firstRow="1" w:lastRow="0" w:firstColumn="1" w:lastColumn="0" w:noHBand="0" w:noVBand="1"/>
      </w:tblPr>
      <w:tblGrid>
        <w:gridCol w:w="4006"/>
        <w:gridCol w:w="4006"/>
      </w:tblGrid>
      <w:tr w:rsidR="00362A4E" w:rsidTr="00362A4E">
        <w:tc>
          <w:tcPr>
            <w:tcW w:w="4006" w:type="dxa"/>
          </w:tcPr>
          <w:p w:rsidR="00362A4E" w:rsidRDefault="00362A4E" w:rsidP="00E378DD">
            <w:pPr>
              <w:pStyle w:val="libFootnote0"/>
              <w:rPr>
                <w:rtl/>
                <w:lang w:bidi="fa-IR"/>
              </w:rPr>
            </w:pPr>
            <w:r>
              <w:rPr>
                <w:rtl/>
                <w:lang w:bidi="fa-IR"/>
              </w:rPr>
              <w:t>(13). في « بث » : « فتكتسب ».</w:t>
            </w:r>
          </w:p>
        </w:tc>
        <w:tc>
          <w:tcPr>
            <w:tcW w:w="4006" w:type="dxa"/>
          </w:tcPr>
          <w:p w:rsidR="00362A4E" w:rsidRDefault="00362A4E" w:rsidP="00E378DD">
            <w:pPr>
              <w:pStyle w:val="libFootnote0"/>
              <w:rPr>
                <w:rtl/>
                <w:lang w:bidi="fa-IR"/>
              </w:rPr>
            </w:pPr>
            <w:r>
              <w:rPr>
                <w:rtl/>
                <w:lang w:bidi="fa-IR"/>
              </w:rPr>
              <w:t>(14). في « بث » و</w:t>
            </w:r>
            <w:r w:rsidRPr="00C24F9C">
              <w:rPr>
                <w:rStyle w:val="libFootnoteBoldChar"/>
                <w:rtl/>
              </w:rPr>
              <w:t>الوافي</w:t>
            </w:r>
            <w:r>
              <w:rPr>
                <w:rtl/>
                <w:lang w:bidi="fa-IR"/>
              </w:rPr>
              <w:t xml:space="preserve"> : « اثنين ».</w:t>
            </w:r>
          </w:p>
        </w:tc>
      </w:tr>
    </w:tbl>
    <w:p w:rsidR="00744A1C" w:rsidRDefault="00E378DD" w:rsidP="00E378DD">
      <w:pPr>
        <w:pStyle w:val="libFootnote0"/>
        <w:rPr>
          <w:lang w:bidi="fa-IR"/>
        </w:rPr>
      </w:pPr>
      <w:r>
        <w:rPr>
          <w:rtl/>
          <w:lang w:bidi="fa-IR"/>
        </w:rPr>
        <w:t>(15).</w:t>
      </w:r>
      <w:r w:rsidR="00744A1C">
        <w:rPr>
          <w:rtl/>
          <w:lang w:bidi="fa-IR"/>
        </w:rPr>
        <w:t xml:space="preserve"> في </w:t>
      </w:r>
      <w:r w:rsidR="00744A1C" w:rsidRPr="0061079A">
        <w:rPr>
          <w:rStyle w:val="libFootnoteBoldChar"/>
          <w:rtl/>
        </w:rPr>
        <w:t>البحار</w:t>
      </w:r>
      <w:r w:rsidR="00744A1C">
        <w:rPr>
          <w:rtl/>
          <w:lang w:bidi="fa-IR"/>
        </w:rPr>
        <w:t xml:space="preserve"> : - « منه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وَ</w:t>
      </w:r>
      <w:r w:rsidR="00B13812">
        <w:rPr>
          <w:rFonts w:hint="cs"/>
          <w:rtl/>
          <w:lang w:bidi="fa-IR"/>
        </w:rPr>
        <w:t xml:space="preserve"> </w:t>
      </w:r>
      <w:r>
        <w:rPr>
          <w:rtl/>
          <w:lang w:bidi="fa-IR"/>
        </w:rPr>
        <w:t xml:space="preserve">هذَا ، فَمَنْ يَفْعَلْهُ يَمْقُتْهُ اللهُ ، فَلَا تَعَرَّضُوا </w:t>
      </w:r>
      <w:r w:rsidRPr="00D10E3C">
        <w:rPr>
          <w:rStyle w:val="libFootnotenumChar"/>
          <w:rtl/>
        </w:rPr>
        <w:t>(1)</w:t>
      </w:r>
      <w:r>
        <w:rPr>
          <w:rtl/>
          <w:lang w:bidi="fa-IR"/>
        </w:rPr>
        <w:t xml:space="preserve"> لِمَقْتِ </w:t>
      </w:r>
      <w:r w:rsidRPr="00D10E3C">
        <w:rPr>
          <w:rStyle w:val="libFootnotenumChar"/>
          <w:rtl/>
        </w:rPr>
        <w:t>(2)</w:t>
      </w:r>
      <w:r>
        <w:rPr>
          <w:rtl/>
          <w:lang w:bidi="fa-IR"/>
        </w:rPr>
        <w:t xml:space="preserve"> اللهِ عَزَّ وَجَلَّ ، فَإِنَّمَا </w:t>
      </w:r>
      <w:r w:rsidRPr="00D10E3C">
        <w:rPr>
          <w:rStyle w:val="libFootnotenumChar"/>
          <w:rtl/>
        </w:rPr>
        <w:t>(3)</w:t>
      </w:r>
      <w:r>
        <w:rPr>
          <w:rtl/>
          <w:lang w:bidi="fa-IR"/>
        </w:rPr>
        <w:t xml:space="preserve"> مَمَرُّكُمْ إِلَى اللهِ ، وَقَدْ قَالَ اللهُ عَزَّ وَجَلَّ : </w:t>
      </w:r>
      <w:r w:rsidRPr="00D10E3C">
        <w:rPr>
          <w:rStyle w:val="libFootnotenumChar"/>
          <w:rtl/>
        </w:rPr>
        <w:t>(4)</w:t>
      </w:r>
      <w:r>
        <w:rPr>
          <w:rtl/>
          <w:lang w:bidi="fa-IR"/>
        </w:rPr>
        <w:t xml:space="preserve"> </w:t>
      </w:r>
      <w:r w:rsidRPr="007A0C3B">
        <w:rPr>
          <w:rStyle w:val="libAlaemChar"/>
          <w:rtl/>
        </w:rPr>
        <w:t>(</w:t>
      </w:r>
      <w:r w:rsidRPr="007A0C3B">
        <w:rPr>
          <w:rStyle w:val="libAieChar"/>
          <w:rtl/>
        </w:rPr>
        <w:t xml:space="preserve"> لَنْ يَنْفَعَكُمُ الْفِرارُ إِنْ فَرَرْتُمْ مِنَ الْمَوْتِ أَوِ الْقَتْ</w:t>
      </w:r>
      <w:r w:rsidR="00D17CC7">
        <w:rPr>
          <w:rStyle w:val="libAieChar"/>
          <w:rtl/>
        </w:rPr>
        <w:t>لِ وَإِذاً لا تُمَتَّعُونَ إِل</w:t>
      </w:r>
      <w:r w:rsidR="00D17CC7">
        <w:rPr>
          <w:rStyle w:val="libAieChar"/>
          <w:rFonts w:hint="cs"/>
          <w:rtl/>
        </w:rPr>
        <w:t>َّ</w:t>
      </w:r>
      <w:r w:rsidR="00D17CC7">
        <w:rPr>
          <w:rStyle w:val="libAieChar"/>
          <w:rtl/>
        </w:rPr>
        <w:t>ا</w:t>
      </w:r>
      <w:r w:rsidRPr="007A0C3B">
        <w:rPr>
          <w:rStyle w:val="libAieChar"/>
          <w:rtl/>
        </w:rPr>
        <w:t xml:space="preserve"> قَلِيلاً </w:t>
      </w:r>
      <w:r w:rsidRPr="007A0C3B">
        <w:rPr>
          <w:rStyle w:val="libAlaemChar"/>
          <w:rtl/>
        </w:rPr>
        <w:t>)</w:t>
      </w:r>
      <w:r>
        <w:rPr>
          <w:rtl/>
          <w:lang w:bidi="fa-IR"/>
        </w:rPr>
        <w:t xml:space="preserve"> </w:t>
      </w:r>
      <w:r w:rsidRPr="00D10E3C">
        <w:rPr>
          <w:rStyle w:val="libFootnotenumChar"/>
          <w:rtl/>
        </w:rPr>
        <w:t>(5)</w:t>
      </w:r>
    </w:p>
    <w:p w:rsidR="00144FA6" w:rsidRDefault="00744A1C" w:rsidP="00744A1C">
      <w:pPr>
        <w:pStyle w:val="libNormal"/>
        <w:rPr>
          <w:rtl/>
          <w:lang w:bidi="fa-IR"/>
        </w:rPr>
      </w:pPr>
      <w:r>
        <w:rPr>
          <w:rtl/>
          <w:lang w:bidi="fa-IR"/>
        </w:rPr>
        <w:t xml:space="preserve">وَايْمُ اللهِ ، لَئِنْ فَرَرْتُمْ مِنْ سُيُوفِ الْعَاجِلَةِ ، لَاتَسْلَمُونَ مِنْ سُيُوفِ </w:t>
      </w:r>
      <w:r w:rsidRPr="00D10E3C">
        <w:rPr>
          <w:rStyle w:val="libFootnotenumChar"/>
          <w:rtl/>
        </w:rPr>
        <w:t>(6)</w:t>
      </w:r>
      <w:r>
        <w:rPr>
          <w:rtl/>
          <w:lang w:bidi="fa-IR"/>
        </w:rPr>
        <w:t xml:space="preserve"> الْآجِلَةِ </w:t>
      </w:r>
      <w:r w:rsidRPr="00D10E3C">
        <w:rPr>
          <w:rStyle w:val="libFootnotenumChar"/>
          <w:rtl/>
        </w:rPr>
        <w:t>(7)</w:t>
      </w:r>
      <w:r>
        <w:rPr>
          <w:rtl/>
          <w:lang w:bidi="fa-IR"/>
        </w:rPr>
        <w:t xml:space="preserve"> ، فَاسْتَعِينُوا بِالصَّبْرِ وَالصِّدْقِ </w:t>
      </w:r>
      <w:r w:rsidRPr="00D10E3C">
        <w:rPr>
          <w:rStyle w:val="libFootnotenumChar"/>
          <w:rtl/>
        </w:rPr>
        <w:t>(8)</w:t>
      </w:r>
      <w:r>
        <w:rPr>
          <w:rtl/>
          <w:lang w:bidi="fa-IR"/>
        </w:rPr>
        <w:t xml:space="preserve"> ؛ فَإِنَّمَا يَنْزِلُ النَّصْرُ بَعْدَ الصَّبْرِ ، فَجَاهِدُوا فِي اللهِ حَقَّ </w:t>
      </w:r>
      <w:r w:rsidR="001C4D5F">
        <w:rPr>
          <w:rtl/>
          <w:lang w:bidi="fa-IR"/>
        </w:rPr>
        <w:t>جِهَادِهِ ، وَلَا قُوَّةَ إِل</w:t>
      </w:r>
      <w:r w:rsidR="001C4D5F">
        <w:rPr>
          <w:rFonts w:hint="cs"/>
          <w:rtl/>
          <w:lang w:bidi="fa-IR"/>
        </w:rPr>
        <w:t>َّ</w:t>
      </w:r>
      <w:r w:rsidR="001C4D5F">
        <w:rPr>
          <w:rtl/>
          <w:lang w:bidi="fa-IR"/>
        </w:rPr>
        <w:t>ا</w:t>
      </w:r>
      <w:r w:rsidR="00402829">
        <w:rPr>
          <w:rtl/>
          <w:lang w:bidi="fa-IR"/>
        </w:rPr>
        <w:t xml:space="preserve"> بِاللهِ</w:t>
      </w:r>
      <w:r>
        <w:rPr>
          <w:rtl/>
          <w:lang w:bidi="fa-IR"/>
        </w:rPr>
        <w:t xml:space="preserve">». </w:t>
      </w:r>
      <w:r w:rsidRPr="00D10E3C">
        <w:rPr>
          <w:rStyle w:val="libFootnotenumChar"/>
          <w:rtl/>
        </w:rPr>
        <w:t>(9)</w:t>
      </w:r>
    </w:p>
    <w:p w:rsidR="00744A1C" w:rsidRDefault="00744A1C" w:rsidP="00744A1C">
      <w:pPr>
        <w:pStyle w:val="libNormal"/>
        <w:rPr>
          <w:lang w:bidi="fa-IR"/>
        </w:rPr>
      </w:pPr>
      <w:r>
        <w:rPr>
          <w:rtl/>
          <w:lang w:bidi="fa-IR"/>
        </w:rPr>
        <w:t>وَ</w:t>
      </w:r>
      <w:r w:rsidR="00164A81">
        <w:rPr>
          <w:rFonts w:hint="cs"/>
          <w:rtl/>
          <w:lang w:bidi="fa-IR"/>
        </w:rPr>
        <w:t xml:space="preserve"> </w:t>
      </w:r>
      <w:r>
        <w:rPr>
          <w:rtl/>
          <w:lang w:bidi="fa-IR"/>
        </w:rPr>
        <w:t xml:space="preserve">قَالَ </w:t>
      </w:r>
      <w:r w:rsidR="0061079A" w:rsidRPr="0061079A">
        <w:rPr>
          <w:rStyle w:val="libAlaemChar"/>
          <w:rtl/>
        </w:rPr>
        <w:t>عليه‌السلام</w:t>
      </w:r>
      <w:r>
        <w:rPr>
          <w:rtl/>
          <w:lang w:bidi="fa-IR"/>
        </w:rPr>
        <w:t xml:space="preserve"> حِينَ مَرَّ بِرَايَةٍ لِأَهْلِ الشَّامِ أَصْحَابُهَا لَايَزُولُونَ </w:t>
      </w:r>
      <w:r w:rsidRPr="00D10E3C">
        <w:rPr>
          <w:rStyle w:val="libFootnotenumChar"/>
          <w:rtl/>
        </w:rPr>
        <w:t>(10)</w:t>
      </w:r>
      <w:r>
        <w:rPr>
          <w:rtl/>
          <w:lang w:bidi="fa-IR"/>
        </w:rPr>
        <w:t xml:space="preserve"> عَنْ مَوَاضِعِهِمْ ، فَقَالَ </w:t>
      </w:r>
      <w:r w:rsidR="0061079A" w:rsidRPr="0061079A">
        <w:rPr>
          <w:rStyle w:val="libAlaemChar"/>
          <w:rtl/>
        </w:rPr>
        <w:t>عليه‌السلام</w:t>
      </w:r>
      <w:r w:rsidR="00D10E3C">
        <w:rPr>
          <w:rtl/>
          <w:lang w:bidi="fa-IR"/>
        </w:rPr>
        <w:t xml:space="preserve"> </w:t>
      </w:r>
      <w:r>
        <w:rPr>
          <w:rtl/>
          <w:lang w:bidi="fa-IR"/>
        </w:rPr>
        <w:t xml:space="preserve">: « إِنَّهُمْ لَنْ يَزُولُوا </w:t>
      </w:r>
      <w:r w:rsidRPr="00D10E3C">
        <w:rPr>
          <w:rStyle w:val="libFootnotenumChar"/>
          <w:rtl/>
        </w:rPr>
        <w:t>(11)</w:t>
      </w:r>
      <w:r>
        <w:rPr>
          <w:rtl/>
          <w:lang w:bidi="fa-IR"/>
        </w:rPr>
        <w:t xml:space="preserve"> عَنْ مَوَاقِفِهِمْ </w:t>
      </w:r>
      <w:r w:rsidRPr="00D10E3C">
        <w:rPr>
          <w:rStyle w:val="libFootnotenumChar"/>
          <w:rtl/>
        </w:rPr>
        <w:t>(12)</w:t>
      </w:r>
      <w:r>
        <w:rPr>
          <w:rtl/>
          <w:lang w:bidi="fa-IR"/>
        </w:rPr>
        <w:t xml:space="preserve"> دُونَ طَعْنٍ دِرَاكٍ </w:t>
      </w:r>
      <w:r w:rsidRPr="00D10E3C">
        <w:rPr>
          <w:rStyle w:val="libFootnotenumChar"/>
          <w:rtl/>
        </w:rPr>
        <w:t>(13)</w:t>
      </w:r>
      <w:r>
        <w:rPr>
          <w:rtl/>
          <w:lang w:bidi="fa-IR"/>
        </w:rPr>
        <w:t xml:space="preserve"> يَخْرُجُ مِنْهُ النَّسِيمُ </w:t>
      </w:r>
      <w:r w:rsidRPr="00D10E3C">
        <w:rPr>
          <w:rStyle w:val="libFootnotenumChar"/>
          <w:rtl/>
        </w:rPr>
        <w:t>(14)</w:t>
      </w:r>
      <w:r>
        <w:rPr>
          <w:rtl/>
          <w:lang w:bidi="fa-IR"/>
        </w:rPr>
        <w:t xml:space="preserve"> ، وَضَرْبٍ‌</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164A81" w:rsidTr="00164A81">
        <w:tc>
          <w:tcPr>
            <w:tcW w:w="4006" w:type="dxa"/>
          </w:tcPr>
          <w:p w:rsidR="00164A81" w:rsidRDefault="00164A81" w:rsidP="00D10E3C">
            <w:pPr>
              <w:pStyle w:val="libFootnote0"/>
              <w:rPr>
                <w:rtl/>
                <w:lang w:bidi="fa-IR"/>
              </w:rPr>
            </w:pPr>
            <w:r>
              <w:rPr>
                <w:rtl/>
                <w:lang w:bidi="fa-IR"/>
              </w:rPr>
              <w:t>(1). في « بث » : « فلا يعرضوا ».</w:t>
            </w:r>
          </w:p>
        </w:tc>
        <w:tc>
          <w:tcPr>
            <w:tcW w:w="4006" w:type="dxa"/>
          </w:tcPr>
          <w:p w:rsidR="00164A81" w:rsidRDefault="00164A81" w:rsidP="00D10E3C">
            <w:pPr>
              <w:pStyle w:val="libFootnote0"/>
              <w:rPr>
                <w:rtl/>
                <w:lang w:bidi="fa-IR"/>
              </w:rPr>
            </w:pPr>
            <w:r>
              <w:rPr>
                <w:rtl/>
                <w:lang w:bidi="fa-IR"/>
              </w:rPr>
              <w:t>(2). في « بف » : « بمقت ».</w:t>
            </w:r>
          </w:p>
        </w:tc>
      </w:tr>
      <w:tr w:rsidR="00164A81" w:rsidTr="00164A81">
        <w:tc>
          <w:tcPr>
            <w:tcW w:w="4006" w:type="dxa"/>
          </w:tcPr>
          <w:p w:rsidR="00164A81" w:rsidRDefault="00164A81" w:rsidP="00D10E3C">
            <w:pPr>
              <w:pStyle w:val="libFootnote0"/>
              <w:rPr>
                <w:rtl/>
                <w:lang w:bidi="fa-IR"/>
              </w:rPr>
            </w:pPr>
            <w:r>
              <w:rPr>
                <w:rtl/>
                <w:lang w:bidi="fa-IR"/>
              </w:rPr>
              <w:t xml:space="preserve">(3). في </w:t>
            </w:r>
            <w:r w:rsidRPr="00C24F9C">
              <w:rPr>
                <w:rStyle w:val="libFootnoteBoldChar"/>
                <w:rtl/>
              </w:rPr>
              <w:t>الوسائل</w:t>
            </w:r>
            <w:r>
              <w:rPr>
                <w:rtl/>
                <w:lang w:bidi="fa-IR"/>
              </w:rPr>
              <w:t xml:space="preserve"> : « فإنّ ».</w:t>
            </w:r>
          </w:p>
        </w:tc>
        <w:tc>
          <w:tcPr>
            <w:tcW w:w="4006" w:type="dxa"/>
          </w:tcPr>
          <w:p w:rsidR="00164A81" w:rsidRDefault="00AF2766" w:rsidP="00D10E3C">
            <w:pPr>
              <w:pStyle w:val="libFootnote0"/>
              <w:rPr>
                <w:rtl/>
                <w:lang w:bidi="fa-IR"/>
              </w:rPr>
            </w:pPr>
            <w:r>
              <w:rPr>
                <w:rtl/>
                <w:lang w:bidi="fa-IR"/>
              </w:rPr>
              <w:t>(4). في « بس » و</w:t>
            </w:r>
            <w:r w:rsidRPr="00C24F9C">
              <w:rPr>
                <w:rStyle w:val="libFootnoteBoldChar"/>
                <w:rtl/>
              </w:rPr>
              <w:t>الوسائل</w:t>
            </w:r>
            <w:r>
              <w:rPr>
                <w:rtl/>
                <w:lang w:bidi="fa-IR"/>
              </w:rPr>
              <w:t xml:space="preserve"> : + « قل ».</w:t>
            </w:r>
          </w:p>
        </w:tc>
      </w:tr>
      <w:tr w:rsidR="00164A81" w:rsidTr="00164A81">
        <w:tc>
          <w:tcPr>
            <w:tcW w:w="4006" w:type="dxa"/>
          </w:tcPr>
          <w:p w:rsidR="00164A81" w:rsidRDefault="00AF2766" w:rsidP="00D10E3C">
            <w:pPr>
              <w:pStyle w:val="libFootnote0"/>
              <w:rPr>
                <w:rtl/>
                <w:lang w:bidi="fa-IR"/>
              </w:rPr>
            </w:pPr>
            <w:r>
              <w:rPr>
                <w:rtl/>
                <w:lang w:bidi="fa-IR"/>
              </w:rPr>
              <w:t>(5). الأحزاب (33) : 16.</w:t>
            </w:r>
          </w:p>
        </w:tc>
        <w:tc>
          <w:tcPr>
            <w:tcW w:w="4006" w:type="dxa"/>
          </w:tcPr>
          <w:p w:rsidR="00164A81" w:rsidRDefault="00AF2766" w:rsidP="00D10E3C">
            <w:pPr>
              <w:pStyle w:val="libFootnote0"/>
              <w:rPr>
                <w:rtl/>
                <w:lang w:bidi="fa-IR"/>
              </w:rPr>
            </w:pPr>
            <w:r>
              <w:rPr>
                <w:rtl/>
                <w:lang w:bidi="fa-IR"/>
              </w:rPr>
              <w:t>(6). في«بث»وحاشية«جت» و</w:t>
            </w:r>
            <w:r w:rsidRPr="00C24F9C">
              <w:rPr>
                <w:rStyle w:val="libFootnoteBoldChar"/>
                <w:rtl/>
              </w:rPr>
              <w:t>الوسائل</w:t>
            </w:r>
            <w:r>
              <w:rPr>
                <w:rtl/>
                <w:lang w:bidi="fa-IR"/>
              </w:rPr>
              <w:t xml:space="preserve"> : « سيف ».</w:t>
            </w:r>
          </w:p>
        </w:tc>
      </w:tr>
    </w:tbl>
    <w:p w:rsidR="00744A1C" w:rsidRDefault="00E378DD" w:rsidP="00E378DD">
      <w:pPr>
        <w:pStyle w:val="libFootnote0"/>
        <w:rPr>
          <w:lang w:bidi="fa-IR"/>
        </w:rPr>
      </w:pPr>
      <w:r>
        <w:rPr>
          <w:rtl/>
          <w:lang w:bidi="fa-IR"/>
        </w:rPr>
        <w:t>(7).</w:t>
      </w:r>
      <w:r w:rsidR="00744A1C">
        <w:rPr>
          <w:rtl/>
          <w:lang w:bidi="fa-IR"/>
        </w:rPr>
        <w:t xml:space="preserve"> في « بث » : « الآجل ». وفي </w:t>
      </w:r>
      <w:r w:rsidR="00744A1C" w:rsidRPr="00C24F9C">
        <w:rPr>
          <w:rStyle w:val="libFootnoteBoldChar"/>
          <w:rtl/>
        </w:rPr>
        <w:t>الوافي</w:t>
      </w:r>
      <w:r w:rsidR="00744A1C">
        <w:rPr>
          <w:rtl/>
          <w:lang w:bidi="fa-IR"/>
        </w:rPr>
        <w:t xml:space="preserve"> : « سمّى </w:t>
      </w:r>
      <w:r w:rsidR="0061079A" w:rsidRPr="0061079A">
        <w:rPr>
          <w:rStyle w:val="libFootnoteAlaemChar"/>
          <w:rtl/>
        </w:rPr>
        <w:t>عليه‌السلام</w:t>
      </w:r>
      <w:r w:rsidR="00D10E3C">
        <w:rPr>
          <w:rtl/>
          <w:lang w:bidi="fa-IR"/>
        </w:rPr>
        <w:t xml:space="preserve"> </w:t>
      </w:r>
      <w:r w:rsidR="00744A1C">
        <w:rPr>
          <w:rtl/>
          <w:lang w:bidi="fa-IR"/>
        </w:rPr>
        <w:t>عقاب الله تعالى في الآخرة على فرارهم وتخاذلهم سيفاً على وجه الاستعارة وصناعة الكلام ؛ لأنّه قد ذكر سيف الدنيا فجعل ذلك في مقابلته ».</w:t>
      </w:r>
    </w:p>
    <w:p w:rsidR="00744A1C" w:rsidRDefault="00E378DD" w:rsidP="00E378DD">
      <w:pPr>
        <w:pStyle w:val="libFootnote0"/>
        <w:rPr>
          <w:lang w:bidi="fa-IR"/>
        </w:rPr>
      </w:pPr>
      <w:r>
        <w:rPr>
          <w:rtl/>
          <w:lang w:bidi="fa-IR"/>
        </w:rPr>
        <w:t>(8).</w:t>
      </w:r>
      <w:r w:rsidR="00744A1C">
        <w:rPr>
          <w:rtl/>
          <w:lang w:bidi="fa-IR"/>
        </w:rPr>
        <w:t xml:space="preserve"> في « ى » : « والصدقة ».</w:t>
      </w:r>
    </w:p>
    <w:p w:rsidR="00744A1C" w:rsidRDefault="00E378DD" w:rsidP="00967D51">
      <w:pPr>
        <w:pStyle w:val="libFootnote0"/>
        <w:rPr>
          <w:lang w:bidi="fa-IR"/>
        </w:rPr>
      </w:pPr>
      <w:r>
        <w:rPr>
          <w:rtl/>
          <w:lang w:bidi="fa-IR"/>
        </w:rPr>
        <w:t>(9).</w:t>
      </w:r>
      <w:r w:rsidR="00744A1C">
        <w:rPr>
          <w:rtl/>
          <w:lang w:bidi="fa-IR"/>
        </w:rPr>
        <w:t xml:space="preserve"> نهج البلاغة ، ص 180 ، صدر الخطبة 124 ، من قوله : « فقدّموا الدارع وأخّروا الحاسر » إلى قوله : « فيجتمع عليه قرنه وقرن أخيه » مع اختلاف. نهج البلاغة ، ص 373 ، ذيل الرسالة 14 ، من قوله : « ولا تهيّجوا امرأة بأذى » إلى قوله : « فيعيربها وعقبه من بعده » مع اختلاف يسير. </w:t>
      </w:r>
      <w:r w:rsidR="00744A1C" w:rsidRPr="002D57AD">
        <w:rPr>
          <w:rStyle w:val="libFootnoteBoldChar"/>
          <w:rtl/>
        </w:rPr>
        <w:t>الإرشاد</w:t>
      </w:r>
      <w:r w:rsidR="00744A1C">
        <w:rPr>
          <w:rtl/>
          <w:lang w:bidi="fa-IR"/>
        </w:rPr>
        <w:t xml:space="preserve"> ، ج 1 ، ص 265 ، مرسلاً عن عليّ </w:t>
      </w:r>
      <w:r w:rsidR="0061079A" w:rsidRPr="0061079A">
        <w:rPr>
          <w:rStyle w:val="libFootnoteAlaemChar"/>
          <w:rtl/>
        </w:rPr>
        <w:t>عليه‌السلام</w:t>
      </w:r>
      <w:r w:rsidR="00744A1C">
        <w:rPr>
          <w:rtl/>
          <w:lang w:bidi="fa-IR"/>
        </w:rPr>
        <w:t xml:space="preserve"> . وراجع : نهج البلاغة ، ص 246 ، الخطبة 174 </w:t>
      </w:r>
      <w:r w:rsidR="00967D51">
        <w:rPr>
          <w:rFonts w:hint="cs"/>
          <w:rtl/>
          <w:lang w:bidi="fa-IR"/>
        </w:rPr>
        <w:t>.</w:t>
      </w:r>
      <w:r w:rsidR="00744A1C" w:rsidRPr="00C24F9C">
        <w:rPr>
          <w:rStyle w:val="libFootnoteBoldChar"/>
          <w:rtl/>
        </w:rPr>
        <w:t>الوافي</w:t>
      </w:r>
      <w:r w:rsidR="00744A1C">
        <w:rPr>
          <w:rtl/>
          <w:lang w:bidi="fa-IR"/>
        </w:rPr>
        <w:t xml:space="preserve"> ، ج 15 ، ص 108 ، ح 14760 ؛ </w:t>
      </w:r>
      <w:r w:rsidR="00744A1C" w:rsidRPr="00C24F9C">
        <w:rPr>
          <w:rStyle w:val="libFootnoteBoldChar"/>
          <w:rtl/>
        </w:rPr>
        <w:t>الوسائل</w:t>
      </w:r>
      <w:r w:rsidR="00744A1C">
        <w:rPr>
          <w:rtl/>
          <w:lang w:bidi="fa-IR"/>
        </w:rPr>
        <w:t xml:space="preserve"> ، ج 15 ، ص 95 ، ح 20057 ؛ </w:t>
      </w:r>
      <w:r w:rsidR="00744A1C" w:rsidRPr="0061079A">
        <w:rPr>
          <w:rStyle w:val="libFootnoteBoldChar"/>
          <w:rtl/>
        </w:rPr>
        <w:t>البحار</w:t>
      </w:r>
      <w:r w:rsidR="00744A1C">
        <w:rPr>
          <w:rtl/>
          <w:lang w:bidi="fa-IR"/>
        </w:rPr>
        <w:t xml:space="preserve"> ، ج 32 ، ص 562 ، ح 468.</w:t>
      </w:r>
      <w:r w:rsidR="00967D51">
        <w:rPr>
          <w:rFonts w:hint="cs"/>
          <w:rtl/>
          <w:lang w:bidi="fa-IR"/>
        </w:rPr>
        <w:t xml:space="preserve">   </w:t>
      </w:r>
      <w:r>
        <w:rPr>
          <w:rtl/>
          <w:lang w:bidi="fa-IR"/>
        </w:rPr>
        <w:t>(10).</w:t>
      </w:r>
      <w:r w:rsidR="00744A1C">
        <w:rPr>
          <w:rtl/>
          <w:lang w:bidi="fa-IR"/>
        </w:rPr>
        <w:t xml:space="preserve"> في </w:t>
      </w:r>
      <w:r w:rsidR="00744A1C" w:rsidRPr="0061079A">
        <w:rPr>
          <w:rStyle w:val="libFootnoteBoldChar"/>
          <w:rtl/>
        </w:rPr>
        <w:t>البحار</w:t>
      </w:r>
      <w:r w:rsidR="00744A1C">
        <w:rPr>
          <w:rtl/>
          <w:lang w:bidi="fa-IR"/>
        </w:rPr>
        <w:t xml:space="preserve"> : « لا يزالون ».</w:t>
      </w:r>
    </w:p>
    <w:p w:rsidR="00744A1C" w:rsidRDefault="00E378DD" w:rsidP="00E378DD">
      <w:pPr>
        <w:pStyle w:val="libFootnote0"/>
        <w:rPr>
          <w:lang w:bidi="fa-IR"/>
        </w:rPr>
      </w:pPr>
      <w:r>
        <w:rPr>
          <w:rtl/>
          <w:lang w:bidi="fa-IR"/>
        </w:rPr>
        <w:t>(11).</w:t>
      </w:r>
      <w:r w:rsidR="00744A1C">
        <w:rPr>
          <w:rtl/>
          <w:lang w:bidi="fa-IR"/>
        </w:rPr>
        <w:t xml:space="preserve"> في « بث ، جن » وحاشية « جت » : « لم يزولوا ». وفي </w:t>
      </w:r>
      <w:r w:rsidR="00744A1C" w:rsidRPr="0061079A">
        <w:rPr>
          <w:rStyle w:val="libFootnoteBoldChar"/>
          <w:rtl/>
        </w:rPr>
        <w:t>البحار</w:t>
      </w:r>
      <w:r w:rsidR="00744A1C">
        <w:rPr>
          <w:rtl/>
          <w:lang w:bidi="fa-IR"/>
        </w:rPr>
        <w:t xml:space="preserve"> : « لن يزالوا ».</w:t>
      </w:r>
    </w:p>
    <w:p w:rsidR="00744A1C" w:rsidRDefault="00E378DD" w:rsidP="00E378DD">
      <w:pPr>
        <w:pStyle w:val="libFootnote0"/>
        <w:rPr>
          <w:lang w:bidi="fa-IR"/>
        </w:rPr>
      </w:pPr>
      <w:r>
        <w:rPr>
          <w:rtl/>
          <w:lang w:bidi="fa-IR"/>
        </w:rPr>
        <w:t>(12).</w:t>
      </w:r>
      <w:r w:rsidR="00744A1C">
        <w:rPr>
          <w:rtl/>
          <w:lang w:bidi="fa-IR"/>
        </w:rPr>
        <w:t xml:space="preserve"> في « ى » : « موقفهم ».</w:t>
      </w:r>
    </w:p>
    <w:p w:rsidR="00744A1C" w:rsidRDefault="00E378DD" w:rsidP="00E378DD">
      <w:pPr>
        <w:pStyle w:val="libFootnote0"/>
        <w:rPr>
          <w:lang w:bidi="fa-IR"/>
        </w:rPr>
      </w:pPr>
      <w:r>
        <w:rPr>
          <w:rtl/>
          <w:lang w:bidi="fa-IR"/>
        </w:rPr>
        <w:t>(13).</w:t>
      </w:r>
      <w:r w:rsidR="00744A1C">
        <w:rPr>
          <w:rtl/>
          <w:lang w:bidi="fa-IR"/>
        </w:rPr>
        <w:t xml:space="preserve"> الدِّراك ، ككتاب : اتّباع الشي‌ء بعضه على بعض ، ويقال : ضربٌ دِراك ، أي متتابع. راجع : </w:t>
      </w:r>
      <w:r w:rsidR="00744A1C" w:rsidRPr="00877682">
        <w:rPr>
          <w:rStyle w:val="libFootnoteBoldChar"/>
          <w:rtl/>
        </w:rPr>
        <w:t>لسان العرب</w:t>
      </w:r>
      <w:r w:rsidR="00744A1C">
        <w:rPr>
          <w:rtl/>
          <w:lang w:bidi="fa-IR"/>
        </w:rPr>
        <w:t xml:space="preserve"> ، ج 10 ، ص 420 ؛ </w:t>
      </w:r>
      <w:r w:rsidR="00744A1C" w:rsidRPr="008A57EB">
        <w:rPr>
          <w:rStyle w:val="libFootnoteBoldChar"/>
          <w:rtl/>
        </w:rPr>
        <w:t>القاموس المحيط</w:t>
      </w:r>
      <w:r w:rsidR="00744A1C">
        <w:rPr>
          <w:rtl/>
          <w:lang w:bidi="fa-IR"/>
        </w:rPr>
        <w:t xml:space="preserve"> ، ج 2 ، ص 1243 ( درك ).</w:t>
      </w:r>
    </w:p>
    <w:p w:rsidR="00744A1C" w:rsidRDefault="00E378DD" w:rsidP="00E378DD">
      <w:pPr>
        <w:pStyle w:val="libFootnote0"/>
        <w:rPr>
          <w:lang w:bidi="fa-IR"/>
        </w:rPr>
      </w:pPr>
      <w:r>
        <w:rPr>
          <w:rtl/>
          <w:lang w:bidi="fa-IR"/>
        </w:rPr>
        <w:t>(14).</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دِراك ، قال ابن ميثم : أي متتابع يتلو بعضه بعضاً ، وقال : يخرج منه النسيم ، أي لسعته. وروي : يخرج منه النسم ، أي طعن يخرق الجوف بحيث يتنفّس المطعون من الطعنة. وروي : القشم ، بالقاف والسين المعجمة ، وهو اللحم والشحم ، وهو بعيد ». وراجع : شرح نهج البلاغة لابن ميثم ، ج 3 ، ص 126.</w:t>
      </w:r>
    </w:p>
    <w:p w:rsidR="006A5060" w:rsidRDefault="006A5060" w:rsidP="00D10E3C">
      <w:pPr>
        <w:pStyle w:val="libNormal"/>
        <w:rPr>
          <w:rtl/>
          <w:lang w:bidi="fa-IR"/>
        </w:rPr>
      </w:pPr>
      <w:r>
        <w:rPr>
          <w:rtl/>
          <w:lang w:bidi="fa-IR"/>
        </w:rPr>
        <w:br w:type="page"/>
      </w:r>
    </w:p>
    <w:p w:rsidR="00744A1C" w:rsidRDefault="00744A1C" w:rsidP="00402829">
      <w:pPr>
        <w:pStyle w:val="libNormal0"/>
        <w:rPr>
          <w:lang w:bidi="fa-IR"/>
        </w:rPr>
      </w:pPr>
      <w:r>
        <w:rPr>
          <w:rtl/>
          <w:lang w:bidi="fa-IR"/>
        </w:rPr>
        <w:t xml:space="preserve">يَفْلِقُ </w:t>
      </w:r>
      <w:r w:rsidRPr="00D10E3C">
        <w:rPr>
          <w:rStyle w:val="libFootnotenumChar"/>
          <w:rtl/>
        </w:rPr>
        <w:t>(1)</w:t>
      </w:r>
      <w:r>
        <w:rPr>
          <w:rtl/>
          <w:lang w:bidi="fa-IR"/>
        </w:rPr>
        <w:t xml:space="preserve"> الْهَامَ </w:t>
      </w:r>
      <w:r w:rsidRPr="00D10E3C">
        <w:rPr>
          <w:rStyle w:val="libFootnotenumChar"/>
          <w:rtl/>
        </w:rPr>
        <w:t>(2)</w:t>
      </w:r>
      <w:r>
        <w:rPr>
          <w:rtl/>
          <w:lang w:bidi="fa-IR"/>
        </w:rPr>
        <w:t xml:space="preserve"> ، وَيُطِيحُ </w:t>
      </w:r>
      <w:r w:rsidRPr="00D10E3C">
        <w:rPr>
          <w:rStyle w:val="libFootnotenumChar"/>
          <w:rtl/>
        </w:rPr>
        <w:t>(3)</w:t>
      </w:r>
      <w:r>
        <w:rPr>
          <w:rtl/>
          <w:lang w:bidi="fa-IR"/>
        </w:rPr>
        <w:t xml:space="preserve"> الْعِظَامَ ، وَيَسْقُطُ </w:t>
      </w:r>
      <w:r w:rsidRPr="00D10E3C">
        <w:rPr>
          <w:rStyle w:val="libFootnotenumChar"/>
          <w:rtl/>
        </w:rPr>
        <w:t>(4)</w:t>
      </w:r>
      <w:r>
        <w:rPr>
          <w:rtl/>
          <w:lang w:bidi="fa-IR"/>
        </w:rPr>
        <w:t xml:space="preserve"> مِنْهُ الْمَعَاصِمُ </w:t>
      </w:r>
      <w:r w:rsidRPr="00D10E3C">
        <w:rPr>
          <w:rStyle w:val="libFootnotenumChar"/>
          <w:rtl/>
        </w:rPr>
        <w:t>(5)</w:t>
      </w:r>
      <w:r>
        <w:rPr>
          <w:rtl/>
          <w:lang w:bidi="fa-IR"/>
        </w:rPr>
        <w:t xml:space="preserve"> وَالْأَكُفُّ حَتّى </w:t>
      </w:r>
      <w:r w:rsidRPr="00D10E3C">
        <w:rPr>
          <w:rStyle w:val="libFootnotenumChar"/>
          <w:rtl/>
        </w:rPr>
        <w:t>(6)</w:t>
      </w:r>
      <w:r>
        <w:rPr>
          <w:rtl/>
          <w:lang w:bidi="fa-IR"/>
        </w:rPr>
        <w:t xml:space="preserve"> تَصَدَّعَ </w:t>
      </w:r>
      <w:r w:rsidRPr="00D10E3C">
        <w:rPr>
          <w:rStyle w:val="libFootnotenumChar"/>
          <w:rtl/>
        </w:rPr>
        <w:t>(7)</w:t>
      </w:r>
      <w:r>
        <w:rPr>
          <w:rtl/>
          <w:lang w:bidi="fa-IR"/>
        </w:rPr>
        <w:t xml:space="preserve"> جِبَاهُهُمْ </w:t>
      </w:r>
      <w:r w:rsidRPr="00D10E3C">
        <w:rPr>
          <w:rStyle w:val="libFootnotenumChar"/>
          <w:rtl/>
        </w:rPr>
        <w:t>(8)</w:t>
      </w:r>
      <w:r>
        <w:rPr>
          <w:rtl/>
          <w:lang w:bidi="fa-IR"/>
        </w:rPr>
        <w:t xml:space="preserve"> بِعَمْدِ الْحَدِيدِ ، وَتَنَثَّرَ حَوَاجِبُهُمْ </w:t>
      </w:r>
      <w:r w:rsidRPr="00D10E3C">
        <w:rPr>
          <w:rStyle w:val="libFootnotenumChar"/>
          <w:rtl/>
        </w:rPr>
        <w:t>(9)</w:t>
      </w:r>
      <w:r>
        <w:rPr>
          <w:rtl/>
          <w:lang w:bidi="fa-IR"/>
        </w:rPr>
        <w:t xml:space="preserve"> عَلَى الصُّدُورِ وَالْأَذْقَانِ </w:t>
      </w:r>
      <w:r w:rsidRPr="00D10E3C">
        <w:rPr>
          <w:rStyle w:val="libFootnotenumChar"/>
          <w:rtl/>
        </w:rPr>
        <w:t>(10)</w:t>
      </w:r>
      <w:r>
        <w:rPr>
          <w:rtl/>
          <w:lang w:bidi="fa-IR"/>
        </w:rPr>
        <w:t xml:space="preserve"> ، </w:t>
      </w:r>
      <w:r w:rsidR="00967D51">
        <w:rPr>
          <w:rtl/>
          <w:lang w:bidi="fa-IR"/>
        </w:rPr>
        <w:t>أَيْنَ أَهْلُ الصَّبْرِ وَطُل</w:t>
      </w:r>
      <w:r w:rsidR="00967D51">
        <w:rPr>
          <w:rFonts w:hint="cs"/>
          <w:rtl/>
          <w:lang w:bidi="fa-IR"/>
        </w:rPr>
        <w:t>َّ</w:t>
      </w:r>
      <w:r w:rsidR="00967D51">
        <w:rPr>
          <w:rtl/>
          <w:lang w:bidi="fa-IR"/>
        </w:rPr>
        <w:t>ا</w:t>
      </w:r>
      <w:r>
        <w:rPr>
          <w:rtl/>
          <w:lang w:bidi="fa-IR"/>
        </w:rPr>
        <w:t>بُ الْأَجْرِ؟ ».</w:t>
      </w:r>
    </w:p>
    <w:p w:rsidR="00744A1C" w:rsidRDefault="00744A1C" w:rsidP="00744A1C">
      <w:pPr>
        <w:pStyle w:val="libNormal"/>
        <w:rPr>
          <w:lang w:bidi="fa-IR"/>
        </w:rPr>
      </w:pPr>
      <w:r>
        <w:rPr>
          <w:rtl/>
          <w:lang w:bidi="fa-IR"/>
        </w:rPr>
        <w:t xml:space="preserve">فَسَارَتْ </w:t>
      </w:r>
      <w:r w:rsidRPr="00D10E3C">
        <w:rPr>
          <w:rStyle w:val="libFootnotenumChar"/>
          <w:rtl/>
        </w:rPr>
        <w:t>(11)</w:t>
      </w:r>
      <w:r>
        <w:rPr>
          <w:rtl/>
          <w:lang w:bidi="fa-IR"/>
        </w:rPr>
        <w:t xml:space="preserve"> إِلَيْهِ عِصَابَةٌ مِنَ الْمُسْلِمِينَ ، فَعَادَتْ مَيْمَنَتُهُ </w:t>
      </w:r>
      <w:r w:rsidRPr="00D10E3C">
        <w:rPr>
          <w:rStyle w:val="libFootnotenumChar"/>
          <w:rtl/>
        </w:rPr>
        <w:t>(12)</w:t>
      </w:r>
      <w:r>
        <w:rPr>
          <w:rtl/>
          <w:lang w:bidi="fa-IR"/>
        </w:rPr>
        <w:t xml:space="preserve"> إِلى مَوْقِفِهَا وَمَصَافِّهَا </w:t>
      </w:r>
      <w:r w:rsidRPr="00D10E3C">
        <w:rPr>
          <w:rStyle w:val="libFootnotenumChar"/>
          <w:rtl/>
        </w:rPr>
        <w:t>(13)</w:t>
      </w:r>
      <w:r>
        <w:rPr>
          <w:rtl/>
          <w:lang w:bidi="fa-IR"/>
        </w:rPr>
        <w:t xml:space="preserve"> ، وَكَشَفَتْ </w:t>
      </w:r>
      <w:r w:rsidRPr="00D10E3C">
        <w:rPr>
          <w:rStyle w:val="libFootnotenumChar"/>
          <w:rtl/>
        </w:rPr>
        <w:t>(14)</w:t>
      </w:r>
      <w:r>
        <w:rPr>
          <w:rtl/>
          <w:lang w:bidi="fa-IR"/>
        </w:rPr>
        <w:t xml:space="preserve"> مَنْ بِإِزَائِهَا </w:t>
      </w:r>
      <w:r w:rsidRPr="00D10E3C">
        <w:rPr>
          <w:rStyle w:val="libFootnotenumChar"/>
          <w:rtl/>
        </w:rPr>
        <w:t>(15)</w:t>
      </w:r>
      <w:r>
        <w:rPr>
          <w:rtl/>
          <w:lang w:bidi="fa-IR"/>
        </w:rPr>
        <w:t xml:space="preserve"> ، فَأَقْبَلَ حَتّى انْتَهى إِلَيْهِمْ ، وَقَالَ </w:t>
      </w:r>
      <w:r w:rsidRPr="00D10E3C">
        <w:rPr>
          <w:rStyle w:val="libFootnotenumChar"/>
          <w:rtl/>
        </w:rPr>
        <w:t>(16)</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 إِنِّي قَدْ </w:t>
      </w:r>
      <w:r w:rsidRPr="00D10E3C">
        <w:rPr>
          <w:rStyle w:val="libFootnotenumChar"/>
          <w:rtl/>
        </w:rPr>
        <w:t>(17)</w:t>
      </w:r>
      <w:r>
        <w:rPr>
          <w:rtl/>
          <w:lang w:bidi="fa-IR"/>
        </w:rPr>
        <w:t xml:space="preserve"> رَأَيْتُ جَوْلَتَكُمْ </w:t>
      </w:r>
      <w:r w:rsidRPr="00D10E3C">
        <w:rPr>
          <w:rStyle w:val="libFootnotenumChar"/>
          <w:rtl/>
        </w:rPr>
        <w:t>(18)</w:t>
      </w:r>
      <w:r>
        <w:rPr>
          <w:rtl/>
          <w:lang w:bidi="fa-IR"/>
        </w:rPr>
        <w:t xml:space="preserve"> وَانْحِيَازَكُمْ </w:t>
      </w:r>
      <w:r w:rsidRPr="00D10E3C">
        <w:rPr>
          <w:rStyle w:val="libFootnotenumChar"/>
          <w:rtl/>
        </w:rPr>
        <w:t>(19)</w:t>
      </w:r>
      <w:r>
        <w:rPr>
          <w:rtl/>
          <w:lang w:bidi="fa-IR"/>
        </w:rPr>
        <w:t xml:space="preserve"> عَنْ صُفُوفِكُمْ‌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الفَلْق : الشقّ. </w:t>
      </w:r>
      <w:r w:rsidR="00744A1C" w:rsidRPr="00877682">
        <w:rPr>
          <w:rStyle w:val="libFootnoteBoldChar"/>
          <w:rtl/>
        </w:rPr>
        <w:t>لسان العرب</w:t>
      </w:r>
      <w:r w:rsidR="00744A1C">
        <w:rPr>
          <w:rtl/>
          <w:lang w:bidi="fa-IR"/>
        </w:rPr>
        <w:t xml:space="preserve"> ، ج 10 ، ص 309 ( فلق ).</w:t>
      </w:r>
    </w:p>
    <w:p w:rsidR="00744A1C" w:rsidRDefault="00E378DD" w:rsidP="00E378DD">
      <w:pPr>
        <w:pStyle w:val="libFootnote0"/>
        <w:rPr>
          <w:lang w:bidi="fa-IR"/>
        </w:rPr>
      </w:pPr>
      <w:r>
        <w:rPr>
          <w:rtl/>
          <w:lang w:bidi="fa-IR"/>
        </w:rPr>
        <w:t>(2).</w:t>
      </w:r>
      <w:r w:rsidR="00744A1C">
        <w:rPr>
          <w:rtl/>
          <w:lang w:bidi="fa-IR"/>
        </w:rPr>
        <w:t xml:space="preserve"> « الهام » جمع الهامة : الرأس. راجع : </w:t>
      </w:r>
      <w:r w:rsidR="00744A1C" w:rsidRPr="00E978C3">
        <w:rPr>
          <w:rStyle w:val="libFootnoteBoldChar"/>
          <w:rtl/>
        </w:rPr>
        <w:t>الصحاح</w:t>
      </w:r>
      <w:r w:rsidR="00744A1C">
        <w:rPr>
          <w:rtl/>
          <w:lang w:bidi="fa-IR"/>
        </w:rPr>
        <w:t xml:space="preserve"> ، ج 5 ، ص 2063 ( هوم ).</w:t>
      </w:r>
    </w:p>
    <w:p w:rsidR="00744A1C" w:rsidRDefault="00E378DD" w:rsidP="00E378DD">
      <w:pPr>
        <w:pStyle w:val="libFootnote0"/>
        <w:rPr>
          <w:lang w:bidi="fa-IR"/>
        </w:rPr>
      </w:pPr>
      <w:r>
        <w:rPr>
          <w:rtl/>
          <w:lang w:bidi="fa-IR"/>
        </w:rPr>
        <w:t>(3).</w:t>
      </w:r>
      <w:r w:rsidR="00744A1C">
        <w:rPr>
          <w:rtl/>
          <w:lang w:bidi="fa-IR"/>
        </w:rPr>
        <w:t xml:space="preserve"> في « بس » : « ويطحن ». ويقال : أطاح شَعْرَه ، أي أسقطه ، والشي‌ءَ ، أي أفناه ، وأذهبه. </w:t>
      </w:r>
      <w:r w:rsidR="00744A1C" w:rsidRPr="008A57EB">
        <w:rPr>
          <w:rStyle w:val="libFootnoteBoldChar"/>
          <w:rtl/>
        </w:rPr>
        <w:t>القاموس المحيط</w:t>
      </w:r>
      <w:r w:rsidR="00744A1C">
        <w:rPr>
          <w:rtl/>
          <w:lang w:bidi="fa-IR"/>
        </w:rPr>
        <w:t xml:space="preserve"> ، ج 1 ، ص 350 ( طوح ).</w:t>
      </w:r>
    </w:p>
    <w:p w:rsidR="00744A1C" w:rsidRDefault="00E378DD" w:rsidP="00E378DD">
      <w:pPr>
        <w:pStyle w:val="libFootnote0"/>
        <w:rPr>
          <w:lang w:bidi="fa-IR"/>
        </w:rPr>
      </w:pPr>
      <w:r>
        <w:rPr>
          <w:rtl/>
          <w:lang w:bidi="fa-IR"/>
        </w:rPr>
        <w:t>(4).</w:t>
      </w:r>
      <w:r w:rsidR="00744A1C">
        <w:rPr>
          <w:rtl/>
          <w:lang w:bidi="fa-IR"/>
        </w:rPr>
        <w:t xml:space="preserve"> في « بث ، بس ، جد » و</w:t>
      </w:r>
      <w:r w:rsidR="00744A1C" w:rsidRPr="0061079A">
        <w:rPr>
          <w:rStyle w:val="libFootnoteBoldChar"/>
          <w:rtl/>
        </w:rPr>
        <w:t>البحار</w:t>
      </w:r>
      <w:r w:rsidR="00744A1C">
        <w:rPr>
          <w:rtl/>
          <w:lang w:bidi="fa-IR"/>
        </w:rPr>
        <w:t xml:space="preserve"> : « وتسقط ». وفي « جت » بالتاء والياء معاً.</w:t>
      </w:r>
    </w:p>
    <w:p w:rsidR="00744A1C" w:rsidRDefault="00E378DD" w:rsidP="00E378DD">
      <w:pPr>
        <w:pStyle w:val="libFootnote0"/>
        <w:rPr>
          <w:lang w:bidi="fa-IR"/>
        </w:rPr>
      </w:pPr>
      <w:r>
        <w:rPr>
          <w:rtl/>
          <w:lang w:bidi="fa-IR"/>
        </w:rPr>
        <w:t>(5).</w:t>
      </w:r>
      <w:r w:rsidR="00744A1C">
        <w:rPr>
          <w:rtl/>
          <w:lang w:bidi="fa-IR"/>
        </w:rPr>
        <w:t xml:space="preserve"> « ال</w:t>
      </w:r>
      <w:r w:rsidR="00692AB1">
        <w:rPr>
          <w:rFonts w:hint="cs"/>
          <w:rtl/>
          <w:lang w:bidi="fa-IR"/>
        </w:rPr>
        <w:t>ـ</w:t>
      </w:r>
      <w:r w:rsidR="00744A1C">
        <w:rPr>
          <w:rtl/>
          <w:lang w:bidi="fa-IR"/>
        </w:rPr>
        <w:t xml:space="preserve">مَعاصم » جمع المِعْصَم : موضع السِّوار من الساعد. راجع : </w:t>
      </w:r>
      <w:r w:rsidR="00744A1C" w:rsidRPr="00E978C3">
        <w:rPr>
          <w:rStyle w:val="libFootnoteBoldChar"/>
          <w:rtl/>
        </w:rPr>
        <w:t>الصحاح</w:t>
      </w:r>
      <w:r w:rsidR="00744A1C">
        <w:rPr>
          <w:rtl/>
          <w:lang w:bidi="fa-IR"/>
        </w:rPr>
        <w:t xml:space="preserve"> ، ج 5 ، ص 1986 ( عصم ).</w:t>
      </w:r>
    </w:p>
    <w:p w:rsidR="00744A1C" w:rsidRDefault="00E378DD" w:rsidP="00E378DD">
      <w:pPr>
        <w:pStyle w:val="libFootnote0"/>
        <w:rPr>
          <w:lang w:bidi="fa-IR"/>
        </w:rPr>
      </w:pPr>
      <w:r>
        <w:rPr>
          <w:rtl/>
          <w:lang w:bidi="fa-IR"/>
        </w:rPr>
        <w:t>(6).</w:t>
      </w:r>
      <w:r w:rsidR="00744A1C">
        <w:rPr>
          <w:rtl/>
          <w:lang w:bidi="fa-IR"/>
        </w:rPr>
        <w:t xml:space="preserve"> في « ى ، بث ، بح ، جت » </w:t>
      </w:r>
      <w:r w:rsidR="00744A1C" w:rsidRPr="00692AB1">
        <w:rPr>
          <w:rtl/>
        </w:rPr>
        <w:t>والبحار</w:t>
      </w:r>
      <w:r w:rsidR="00744A1C">
        <w:rPr>
          <w:rtl/>
          <w:lang w:bidi="fa-IR"/>
        </w:rPr>
        <w:t xml:space="preserve"> : « وحتّى ».</w:t>
      </w:r>
    </w:p>
    <w:p w:rsidR="00744A1C" w:rsidRDefault="00E378DD" w:rsidP="00E378DD">
      <w:pPr>
        <w:pStyle w:val="libFootnote0"/>
        <w:rPr>
          <w:lang w:bidi="fa-IR"/>
        </w:rPr>
      </w:pPr>
      <w:r>
        <w:rPr>
          <w:rtl/>
          <w:lang w:bidi="fa-IR"/>
        </w:rPr>
        <w:t>(7).</w:t>
      </w:r>
      <w:r w:rsidR="00744A1C">
        <w:rPr>
          <w:rtl/>
          <w:lang w:bidi="fa-IR"/>
        </w:rPr>
        <w:t xml:space="preserve"> في « بث ، بح ، بف ، جت ، جن » : « يصدّع ». « وتصدّع » : تشقّق ، من الصدع بمعنى الشقّ. راجع : </w:t>
      </w:r>
      <w:r w:rsidR="00744A1C" w:rsidRPr="00877682">
        <w:rPr>
          <w:rStyle w:val="libFootnoteBoldChar"/>
          <w:rtl/>
        </w:rPr>
        <w:t>لسان العرب</w:t>
      </w:r>
      <w:r w:rsidR="00744A1C">
        <w:rPr>
          <w:rtl/>
          <w:lang w:bidi="fa-IR"/>
        </w:rPr>
        <w:t xml:space="preserve"> ، ج 8 ، ص 194 ( صدع ).</w:t>
      </w:r>
    </w:p>
    <w:p w:rsidR="00744A1C" w:rsidRDefault="00E378DD" w:rsidP="00E378DD">
      <w:pPr>
        <w:pStyle w:val="libFootnote0"/>
        <w:rPr>
          <w:lang w:bidi="fa-IR"/>
        </w:rPr>
      </w:pPr>
      <w:r>
        <w:rPr>
          <w:rtl/>
          <w:lang w:bidi="fa-IR"/>
        </w:rPr>
        <w:t>(8).</w:t>
      </w:r>
      <w:r w:rsidR="00744A1C">
        <w:rPr>
          <w:rtl/>
          <w:lang w:bidi="fa-IR"/>
        </w:rPr>
        <w:t xml:space="preserve"> جِباه ، جمع الجَبهة : موضع السجود. قال الخليل : « هي مستوى ما بين الحاجبين إلى الناصية ». ترتيب كتاب‌العين ، ج 1 ، ص 261 ؛ </w:t>
      </w:r>
      <w:r w:rsidR="00744A1C" w:rsidRPr="00877682">
        <w:rPr>
          <w:rStyle w:val="libFootnoteBoldChar"/>
          <w:rtl/>
        </w:rPr>
        <w:t>لسان العرب</w:t>
      </w:r>
      <w:r w:rsidR="00744A1C">
        <w:rPr>
          <w:rtl/>
          <w:lang w:bidi="fa-IR"/>
        </w:rPr>
        <w:t xml:space="preserve"> ، ج 13 ، ص 483 ( جبه ).</w:t>
      </w:r>
    </w:p>
    <w:p w:rsidR="00744A1C" w:rsidRDefault="00E378DD" w:rsidP="00E378DD">
      <w:pPr>
        <w:pStyle w:val="libFootnote0"/>
        <w:rPr>
          <w:lang w:bidi="fa-IR"/>
        </w:rPr>
      </w:pPr>
      <w:r>
        <w:rPr>
          <w:rtl/>
          <w:lang w:bidi="fa-IR"/>
        </w:rPr>
        <w:t>(9).</w:t>
      </w:r>
      <w:r w:rsidR="00744A1C">
        <w:rPr>
          <w:rtl/>
          <w:lang w:bidi="fa-IR"/>
        </w:rPr>
        <w:t xml:space="preserve"> الحاجِبان : العَظْمان فوقَ العَيْنَين بالشَّعر واللحم. والجمع : الحواجب. </w:t>
      </w:r>
      <w:r w:rsidR="00744A1C" w:rsidRPr="00E978C3">
        <w:rPr>
          <w:rStyle w:val="libFootnoteBoldChar"/>
          <w:rtl/>
        </w:rPr>
        <w:t>المصباح المنير</w:t>
      </w:r>
      <w:r w:rsidR="00744A1C">
        <w:rPr>
          <w:rtl/>
          <w:lang w:bidi="fa-IR"/>
        </w:rPr>
        <w:t xml:space="preserve"> ، ص 121 ( حجب ).</w:t>
      </w:r>
    </w:p>
    <w:p w:rsidR="00744A1C" w:rsidRDefault="00E378DD" w:rsidP="00E378DD">
      <w:pPr>
        <w:pStyle w:val="libFootnote0"/>
        <w:rPr>
          <w:lang w:bidi="fa-IR"/>
        </w:rPr>
      </w:pPr>
      <w:r>
        <w:rPr>
          <w:rtl/>
          <w:lang w:bidi="fa-IR"/>
        </w:rPr>
        <w:t>(10).</w:t>
      </w:r>
      <w:r w:rsidR="00744A1C">
        <w:rPr>
          <w:rtl/>
          <w:lang w:bidi="fa-IR"/>
        </w:rPr>
        <w:t xml:space="preserve"> الذَّقَن والذِّقْن : مجتمع اللحيين من أسفلها. والجمع : أذقان. </w:t>
      </w:r>
      <w:r w:rsidR="00744A1C" w:rsidRPr="00877682">
        <w:rPr>
          <w:rStyle w:val="libFootnoteBoldChar"/>
          <w:rtl/>
        </w:rPr>
        <w:t>لسان العرب</w:t>
      </w:r>
      <w:r w:rsidR="00744A1C">
        <w:rPr>
          <w:rtl/>
          <w:lang w:bidi="fa-IR"/>
        </w:rPr>
        <w:t xml:space="preserve"> ، ج 13 ، ص 173 ( ذقن ).</w:t>
      </w:r>
    </w:p>
    <w:p w:rsidR="00744A1C" w:rsidRDefault="00E378DD" w:rsidP="00E378DD">
      <w:pPr>
        <w:pStyle w:val="libFootnote0"/>
        <w:rPr>
          <w:lang w:bidi="fa-IR"/>
        </w:rPr>
      </w:pPr>
      <w:r>
        <w:rPr>
          <w:rtl/>
          <w:lang w:bidi="fa-IR"/>
        </w:rPr>
        <w:t>(11).</w:t>
      </w:r>
      <w:r w:rsidR="00744A1C">
        <w:rPr>
          <w:rtl/>
          <w:lang w:bidi="fa-IR"/>
        </w:rPr>
        <w:t xml:space="preserve"> في « جت » : « فصارت ». وفي </w:t>
      </w:r>
      <w:r w:rsidR="00744A1C" w:rsidRPr="0061079A">
        <w:rPr>
          <w:rStyle w:val="libFootnoteBoldChar"/>
          <w:rtl/>
        </w:rPr>
        <w:t>البحار</w:t>
      </w:r>
      <w:r w:rsidR="00744A1C">
        <w:rPr>
          <w:rtl/>
          <w:lang w:bidi="fa-IR"/>
        </w:rPr>
        <w:t xml:space="preserve"> : « وصارت ».</w:t>
      </w:r>
    </w:p>
    <w:p w:rsidR="00744A1C" w:rsidRDefault="00E378DD" w:rsidP="00E378DD">
      <w:pPr>
        <w:pStyle w:val="libFootnote0"/>
        <w:rPr>
          <w:lang w:bidi="fa-IR"/>
        </w:rPr>
      </w:pPr>
      <w:r>
        <w:rPr>
          <w:rtl/>
          <w:lang w:bidi="fa-IR"/>
        </w:rPr>
        <w:t>(12).</w:t>
      </w:r>
      <w:r w:rsidR="00744A1C">
        <w:rPr>
          <w:rtl/>
          <w:lang w:bidi="fa-IR"/>
        </w:rPr>
        <w:t xml:space="preserve"> في « بث ، بف » : « فقال </w:t>
      </w:r>
      <w:r w:rsidR="0061079A" w:rsidRPr="0061079A">
        <w:rPr>
          <w:rStyle w:val="libFootnoteAlaemChar"/>
          <w:rtl/>
        </w:rPr>
        <w:t>عليه‌السلام</w:t>
      </w:r>
      <w:r w:rsidR="00D10E3C">
        <w:rPr>
          <w:rtl/>
          <w:lang w:bidi="fa-IR"/>
        </w:rPr>
        <w:t xml:space="preserve"> </w:t>
      </w:r>
      <w:r w:rsidR="00744A1C">
        <w:rPr>
          <w:rtl/>
          <w:lang w:bidi="fa-IR"/>
        </w:rPr>
        <w:t>حين رأى ميمنته قد عادت » بدل « فعادت ميمنته ».</w:t>
      </w:r>
    </w:p>
    <w:p w:rsidR="00744A1C" w:rsidRDefault="00E378DD" w:rsidP="00E378DD">
      <w:pPr>
        <w:pStyle w:val="libFootnote0"/>
        <w:rPr>
          <w:lang w:bidi="fa-IR"/>
        </w:rPr>
      </w:pPr>
      <w:r>
        <w:rPr>
          <w:rtl/>
          <w:lang w:bidi="fa-IR"/>
        </w:rPr>
        <w:t>(13).</w:t>
      </w:r>
      <w:r w:rsidR="00744A1C">
        <w:rPr>
          <w:rtl/>
          <w:lang w:bidi="fa-IR"/>
        </w:rPr>
        <w:t xml:space="preserve"> ال</w:t>
      </w:r>
      <w:r w:rsidR="00EB2193">
        <w:rPr>
          <w:rFonts w:hint="cs"/>
          <w:rtl/>
          <w:lang w:bidi="fa-IR"/>
        </w:rPr>
        <w:t>ـ</w:t>
      </w:r>
      <w:r w:rsidR="00744A1C">
        <w:rPr>
          <w:rtl/>
          <w:lang w:bidi="fa-IR"/>
        </w:rPr>
        <w:t xml:space="preserve">مَصَفّ ، بفتح الميم : موقف الحرب. والجمع : المصافّ. </w:t>
      </w:r>
      <w:r w:rsidR="00744A1C" w:rsidRPr="00E978C3">
        <w:rPr>
          <w:rStyle w:val="libFootnoteBoldChar"/>
          <w:rtl/>
        </w:rPr>
        <w:t>المصباح المنير</w:t>
      </w:r>
      <w:r w:rsidR="00744A1C">
        <w:rPr>
          <w:rtl/>
          <w:lang w:bidi="fa-IR"/>
        </w:rPr>
        <w:t xml:space="preserve"> ، ص 343 ( صفف ).</w:t>
      </w:r>
    </w:p>
    <w:tbl>
      <w:tblPr>
        <w:tblStyle w:val="TableGrid"/>
        <w:bidiVisual/>
        <w:tblW w:w="0" w:type="auto"/>
        <w:tblLook w:val="04A0" w:firstRow="1" w:lastRow="0" w:firstColumn="1" w:lastColumn="0" w:noHBand="0" w:noVBand="1"/>
      </w:tblPr>
      <w:tblGrid>
        <w:gridCol w:w="4006"/>
        <w:gridCol w:w="4006"/>
      </w:tblGrid>
      <w:tr w:rsidR="00EB2193" w:rsidTr="00EB2193">
        <w:tc>
          <w:tcPr>
            <w:tcW w:w="4006" w:type="dxa"/>
          </w:tcPr>
          <w:p w:rsidR="00EB2193" w:rsidRDefault="00EB2193" w:rsidP="00E378DD">
            <w:pPr>
              <w:pStyle w:val="libFootnote0"/>
              <w:rPr>
                <w:rtl/>
                <w:lang w:bidi="fa-IR"/>
              </w:rPr>
            </w:pPr>
            <w:r>
              <w:rPr>
                <w:rtl/>
                <w:lang w:bidi="fa-IR"/>
              </w:rPr>
              <w:t>(14). في«جد»وحاشية«جت ، جد » : « وكشف ».</w:t>
            </w:r>
          </w:p>
        </w:tc>
        <w:tc>
          <w:tcPr>
            <w:tcW w:w="4006" w:type="dxa"/>
          </w:tcPr>
          <w:p w:rsidR="00EB2193" w:rsidRDefault="00EB2193" w:rsidP="00E378DD">
            <w:pPr>
              <w:pStyle w:val="libFootnote0"/>
              <w:rPr>
                <w:rtl/>
                <w:lang w:bidi="fa-IR"/>
              </w:rPr>
            </w:pPr>
            <w:r>
              <w:rPr>
                <w:rtl/>
                <w:lang w:bidi="fa-IR"/>
              </w:rPr>
              <w:t>(15). في حاشية « بث » : « من آرائها ».</w:t>
            </w:r>
          </w:p>
        </w:tc>
      </w:tr>
      <w:tr w:rsidR="00EB2193" w:rsidTr="00EB2193">
        <w:tc>
          <w:tcPr>
            <w:tcW w:w="4006" w:type="dxa"/>
          </w:tcPr>
          <w:p w:rsidR="00EB2193" w:rsidRDefault="00EB2193" w:rsidP="00E378DD">
            <w:pPr>
              <w:pStyle w:val="libFootnote0"/>
              <w:rPr>
                <w:rtl/>
                <w:lang w:bidi="fa-IR"/>
              </w:rPr>
            </w:pPr>
            <w:r>
              <w:rPr>
                <w:rtl/>
                <w:lang w:bidi="fa-IR"/>
              </w:rPr>
              <w:t>(16) في « بح » : « فقال ».</w:t>
            </w:r>
          </w:p>
        </w:tc>
        <w:tc>
          <w:tcPr>
            <w:tcW w:w="4006" w:type="dxa"/>
          </w:tcPr>
          <w:p w:rsidR="00EB2193" w:rsidRDefault="00EB2193" w:rsidP="00E378DD">
            <w:pPr>
              <w:pStyle w:val="libFootnote0"/>
              <w:rPr>
                <w:rtl/>
                <w:lang w:bidi="fa-IR"/>
              </w:rPr>
            </w:pPr>
            <w:r>
              <w:rPr>
                <w:rtl/>
                <w:lang w:bidi="fa-IR"/>
              </w:rPr>
              <w:t>(17) في « جت ، جد ، جن » و</w:t>
            </w:r>
            <w:r w:rsidRPr="0061079A">
              <w:rPr>
                <w:rStyle w:val="libFootnoteBoldChar"/>
                <w:rtl/>
              </w:rPr>
              <w:t>البحار</w:t>
            </w:r>
            <w:r>
              <w:rPr>
                <w:rtl/>
                <w:lang w:bidi="fa-IR"/>
              </w:rPr>
              <w:t xml:space="preserve"> : - « قد ».</w:t>
            </w:r>
          </w:p>
        </w:tc>
      </w:tr>
    </w:tbl>
    <w:p w:rsidR="00744A1C" w:rsidRDefault="00744A1C" w:rsidP="00D10E3C">
      <w:pPr>
        <w:pStyle w:val="libFootnote0"/>
        <w:rPr>
          <w:lang w:bidi="fa-IR"/>
        </w:rPr>
      </w:pPr>
      <w:r>
        <w:rPr>
          <w:rtl/>
          <w:lang w:bidi="fa-IR"/>
        </w:rPr>
        <w:t xml:space="preserve">(18) في </w:t>
      </w:r>
      <w:r w:rsidRPr="00C24F9C">
        <w:rPr>
          <w:rStyle w:val="libFootnoteBoldChar"/>
          <w:rtl/>
        </w:rPr>
        <w:t>الوافي</w:t>
      </w:r>
      <w:r>
        <w:rPr>
          <w:rtl/>
          <w:lang w:bidi="fa-IR"/>
        </w:rPr>
        <w:t xml:space="preserve"> : « جَوْلَتَكم ؛ يعني هزيمتكم ، فأجمل في اللفظ وكنّى عن اللفظ المنفّر عادة منه إلى لفظ لا تنفير فيه ، كما قال تعالى : </w:t>
      </w:r>
      <w:r w:rsidRPr="00A8452F">
        <w:rPr>
          <w:rStyle w:val="libFootnoteAlaemChar"/>
          <w:rtl/>
        </w:rPr>
        <w:t>(</w:t>
      </w:r>
      <w:r w:rsidRPr="00A8452F">
        <w:rPr>
          <w:rStyle w:val="libFootnoteAieChar"/>
          <w:rtl/>
        </w:rPr>
        <w:t xml:space="preserve"> ك</w:t>
      </w:r>
      <w:r w:rsidR="00A8452F" w:rsidRPr="00A8452F">
        <w:rPr>
          <w:rStyle w:val="libFootnoteAieChar"/>
          <w:rFonts w:hint="cs"/>
          <w:rtl/>
        </w:rPr>
        <w:t>َ</w:t>
      </w:r>
      <w:r w:rsidRPr="00A8452F">
        <w:rPr>
          <w:rStyle w:val="libFootnoteAieChar"/>
          <w:rtl/>
        </w:rPr>
        <w:t>ان</w:t>
      </w:r>
      <w:r w:rsidR="00A8452F" w:rsidRPr="00A8452F">
        <w:rPr>
          <w:rStyle w:val="libFootnoteAieChar"/>
          <w:rFonts w:hint="cs"/>
          <w:rtl/>
        </w:rPr>
        <w:t>َ</w:t>
      </w:r>
      <w:r w:rsidRPr="00A8452F">
        <w:rPr>
          <w:rStyle w:val="libFootnoteAieChar"/>
          <w:rtl/>
        </w:rPr>
        <w:t>ا يَأْكُل</w:t>
      </w:r>
      <w:r w:rsidR="00A8452F">
        <w:rPr>
          <w:rStyle w:val="libFootnoteAieChar"/>
          <w:rFonts w:hint="cs"/>
          <w:rtl/>
        </w:rPr>
        <w:t>َ</w:t>
      </w:r>
      <w:r w:rsidRPr="00A8452F">
        <w:rPr>
          <w:rStyle w:val="libFootnoteAieChar"/>
          <w:rtl/>
        </w:rPr>
        <w:t>انِ الطَّع</w:t>
      </w:r>
      <w:r w:rsidR="00A8452F">
        <w:rPr>
          <w:rStyle w:val="libFootnoteAieChar"/>
          <w:rFonts w:hint="cs"/>
          <w:rtl/>
        </w:rPr>
        <w:t>َ</w:t>
      </w:r>
      <w:r w:rsidRPr="00A8452F">
        <w:rPr>
          <w:rStyle w:val="libFootnoteAieChar"/>
          <w:rtl/>
        </w:rPr>
        <w:t xml:space="preserve">امَ </w:t>
      </w:r>
      <w:r w:rsidRPr="00A8452F">
        <w:rPr>
          <w:rStyle w:val="libFootnoteAlaemChar"/>
          <w:rtl/>
        </w:rPr>
        <w:t>)</w:t>
      </w:r>
      <w:r>
        <w:rPr>
          <w:rtl/>
          <w:lang w:bidi="fa-IR"/>
        </w:rPr>
        <w:t xml:space="preserve"> ، قالوا : هو كناية عن إتيان الغائط ». وفي </w:t>
      </w:r>
      <w:r w:rsidRPr="00C24F9C">
        <w:rPr>
          <w:rStyle w:val="libFootnoteBoldChar"/>
          <w:rtl/>
        </w:rPr>
        <w:t>المرآة</w:t>
      </w:r>
      <w:r>
        <w:rPr>
          <w:rtl/>
          <w:lang w:bidi="fa-IR"/>
        </w:rPr>
        <w:t xml:space="preserve"> : « إنّما عبّر </w:t>
      </w:r>
      <w:r w:rsidR="0061079A" w:rsidRPr="0061079A">
        <w:rPr>
          <w:rStyle w:val="libFootnoteAlaemChar"/>
          <w:rtl/>
        </w:rPr>
        <w:t>عليه‌السلام</w:t>
      </w:r>
      <w:r w:rsidR="00D10E3C">
        <w:rPr>
          <w:rtl/>
          <w:lang w:bidi="fa-IR"/>
        </w:rPr>
        <w:t xml:space="preserve"> </w:t>
      </w:r>
      <w:r>
        <w:rPr>
          <w:rtl/>
          <w:lang w:bidi="fa-IR"/>
        </w:rPr>
        <w:t>عن هزيمتهم بهذه الألفاظ تكرّماً وحياء ».</w:t>
      </w:r>
    </w:p>
    <w:p w:rsidR="00144FA6" w:rsidRDefault="00744A1C" w:rsidP="00D10E3C">
      <w:pPr>
        <w:pStyle w:val="libFootnote0"/>
        <w:rPr>
          <w:rtl/>
          <w:lang w:bidi="fa-IR"/>
        </w:rPr>
      </w:pPr>
      <w:r>
        <w:rPr>
          <w:rtl/>
          <w:lang w:bidi="fa-IR"/>
        </w:rPr>
        <w:t xml:space="preserve">(19) انحازَ عنه : عدل. وانحاز القوم : تركوا مركزهم إلى آخر. </w:t>
      </w:r>
      <w:r w:rsidRPr="00E978C3">
        <w:rPr>
          <w:rStyle w:val="libFootnoteBoldChar"/>
          <w:rtl/>
        </w:rPr>
        <w:t>الصحاح</w:t>
      </w:r>
      <w:r>
        <w:rPr>
          <w:rtl/>
          <w:lang w:bidi="fa-IR"/>
        </w:rPr>
        <w:t xml:space="preserve"> ، ج 3 ، ص 876 ( حوز ). وفي </w:t>
      </w:r>
      <w:r w:rsidRPr="00C24F9C">
        <w:rPr>
          <w:rStyle w:val="libFootnoteBoldChar"/>
          <w:rtl/>
        </w:rPr>
        <w:t>الوافي</w:t>
      </w:r>
      <w:r>
        <w:rPr>
          <w:rtl/>
          <w:lang w:bidi="fa-IR"/>
        </w:rPr>
        <w:t xml:space="preserve"> :</w:t>
      </w:r>
      <w:r w:rsidR="00DA6F74">
        <w:rPr>
          <w:rFonts w:hint="cs"/>
          <w:rtl/>
          <w:lang w:bidi="fa-IR"/>
        </w:rPr>
        <w:t xml:space="preserve"> =</w:t>
      </w:r>
    </w:p>
    <w:p w:rsidR="00867BF8" w:rsidRDefault="00867BF8" w:rsidP="00867BF8">
      <w:pPr>
        <w:pStyle w:val="libNormal"/>
        <w:rPr>
          <w:rtl/>
          <w:lang w:bidi="fa-IR"/>
        </w:rPr>
      </w:pPr>
      <w:r>
        <w:rPr>
          <w:rtl/>
          <w:lang w:bidi="fa-IR"/>
        </w:rPr>
        <w:br w:type="page"/>
      </w:r>
    </w:p>
    <w:p w:rsidR="00744A1C" w:rsidRDefault="00744A1C" w:rsidP="00867BF8">
      <w:pPr>
        <w:pStyle w:val="libNormal0"/>
        <w:rPr>
          <w:lang w:bidi="fa-IR"/>
        </w:rPr>
      </w:pPr>
      <w:r>
        <w:rPr>
          <w:rtl/>
          <w:lang w:bidi="fa-IR"/>
        </w:rPr>
        <w:t xml:space="preserve">تَحُوزُكُمُ </w:t>
      </w:r>
      <w:r w:rsidR="00D10E3C" w:rsidRPr="00867BF8">
        <w:rPr>
          <w:rStyle w:val="libFootnotenumChar"/>
          <w:rtl/>
        </w:rPr>
        <w:t>(1)</w:t>
      </w:r>
      <w:r w:rsidR="00D10E3C">
        <w:rPr>
          <w:rtl/>
          <w:lang w:bidi="fa-IR"/>
        </w:rPr>
        <w:t>.</w:t>
      </w:r>
      <w:r>
        <w:rPr>
          <w:rtl/>
          <w:lang w:bidi="fa-IR"/>
        </w:rPr>
        <w:t xml:space="preserve"> الْجُفَاةُ </w:t>
      </w:r>
      <w:r w:rsidR="00E378DD" w:rsidRPr="00867BF8">
        <w:rPr>
          <w:rStyle w:val="libFootnotenumChar"/>
          <w:rtl/>
        </w:rPr>
        <w:t>(2)</w:t>
      </w:r>
      <w:r w:rsidR="00E378DD">
        <w:rPr>
          <w:rtl/>
          <w:lang w:bidi="fa-IR"/>
        </w:rPr>
        <w:t>.</w:t>
      </w:r>
      <w:r>
        <w:rPr>
          <w:rtl/>
          <w:lang w:bidi="fa-IR"/>
        </w:rPr>
        <w:t xml:space="preserve"> الطُّغَاةُ </w:t>
      </w:r>
      <w:r w:rsidR="00E378DD" w:rsidRPr="00867BF8">
        <w:rPr>
          <w:rStyle w:val="libFootnotenumChar"/>
          <w:rtl/>
        </w:rPr>
        <w:t>(3)</w:t>
      </w:r>
      <w:r w:rsidR="00E378DD">
        <w:rPr>
          <w:rtl/>
          <w:lang w:bidi="fa-IR"/>
        </w:rPr>
        <w:t>.</w:t>
      </w:r>
      <w:r>
        <w:rPr>
          <w:rtl/>
          <w:lang w:bidi="fa-IR"/>
        </w:rPr>
        <w:t xml:space="preserve"> وَأَعْرَابُ أَهْلِ الشَّامِ وَأَنْتُمْ لَهَامِيمُ </w:t>
      </w:r>
      <w:r w:rsidR="00E378DD" w:rsidRPr="00867BF8">
        <w:rPr>
          <w:rStyle w:val="libFootnotenumChar"/>
          <w:rtl/>
        </w:rPr>
        <w:t>(4)</w:t>
      </w:r>
      <w:r w:rsidR="00E378DD">
        <w:rPr>
          <w:rtl/>
          <w:lang w:bidi="fa-IR"/>
        </w:rPr>
        <w:t>.</w:t>
      </w:r>
      <w:r>
        <w:rPr>
          <w:rtl/>
          <w:lang w:bidi="fa-IR"/>
        </w:rPr>
        <w:t xml:space="preserve"> الْعَرَبِ وَالسَّنَامُ الْأَعْظَمُ </w:t>
      </w:r>
      <w:r w:rsidR="00E378DD" w:rsidRPr="00867BF8">
        <w:rPr>
          <w:rStyle w:val="libFootnotenumChar"/>
          <w:rtl/>
        </w:rPr>
        <w:t>(5)</w:t>
      </w:r>
      <w:r w:rsidR="00E378DD">
        <w:rPr>
          <w:rtl/>
          <w:lang w:bidi="fa-IR"/>
        </w:rPr>
        <w:t>.</w:t>
      </w:r>
      <w:r>
        <w:rPr>
          <w:rtl/>
          <w:lang w:bidi="fa-IR"/>
        </w:rPr>
        <w:t xml:space="preserve"> وَعُمَّارُ اللَّيْلِ بِتِلَاوَةِ الْقُرْآنِ وَدَعْوَةِ أَهْلِ الْحَقِّ إِذْ ضَلَّ الْخَاطِئُونَ ، فَلَوْلَا إِقْبَالُكُمْ بَعْدَ إِدْبَارِكُمْ ، وَكَرُّكُمْ </w:t>
      </w:r>
      <w:r w:rsidR="00E378DD" w:rsidRPr="00867BF8">
        <w:rPr>
          <w:rStyle w:val="libFootnotenumChar"/>
          <w:rtl/>
        </w:rPr>
        <w:t>(6)</w:t>
      </w:r>
      <w:r w:rsidR="00E378DD">
        <w:rPr>
          <w:rtl/>
          <w:lang w:bidi="fa-IR"/>
        </w:rPr>
        <w:t>.</w:t>
      </w:r>
      <w:r>
        <w:rPr>
          <w:rtl/>
          <w:lang w:bidi="fa-IR"/>
        </w:rPr>
        <w:t xml:space="preserve"> بَعْدَ انْحِيَازِكُمْ ، لَوَجَبَ </w:t>
      </w:r>
      <w:r w:rsidR="00E378DD" w:rsidRPr="00867BF8">
        <w:rPr>
          <w:rStyle w:val="libFootnotenumChar"/>
          <w:rtl/>
        </w:rPr>
        <w:t>(7)</w:t>
      </w:r>
      <w:r w:rsidR="00E378DD">
        <w:rPr>
          <w:rtl/>
          <w:lang w:bidi="fa-IR"/>
        </w:rPr>
        <w:t>.</w:t>
      </w:r>
      <w:r>
        <w:rPr>
          <w:rtl/>
          <w:lang w:bidi="fa-IR"/>
        </w:rPr>
        <w:t xml:space="preserve"> عَلَيْكُمْ مَا يَجِبُ عَلَى الْمُوَلِّي يَوْمَ الزَّحْفِ </w:t>
      </w:r>
      <w:r w:rsidR="00E378DD" w:rsidRPr="00867BF8">
        <w:rPr>
          <w:rStyle w:val="libFootnotenumChar"/>
          <w:rtl/>
        </w:rPr>
        <w:t>(8)</w:t>
      </w:r>
      <w:r w:rsidR="00E378DD">
        <w:rPr>
          <w:rtl/>
          <w:lang w:bidi="fa-IR"/>
        </w:rPr>
        <w:t>.</w:t>
      </w:r>
      <w:r>
        <w:rPr>
          <w:rtl/>
          <w:lang w:bidi="fa-IR"/>
        </w:rPr>
        <w:t xml:space="preserve"> دُبُرَهُ ، وَكُنْتُمْ فِيمَا أَرى مِنَ الْهَالِكِينَ ، وَلَقَدْ </w:t>
      </w:r>
      <w:r w:rsidR="00E378DD" w:rsidRPr="00867BF8">
        <w:rPr>
          <w:rStyle w:val="libFootnotenumChar"/>
          <w:rtl/>
        </w:rPr>
        <w:t>(9)</w:t>
      </w:r>
      <w:r w:rsidR="00E378DD">
        <w:rPr>
          <w:rtl/>
          <w:lang w:bidi="fa-IR"/>
        </w:rPr>
        <w:t>.</w:t>
      </w:r>
      <w:r>
        <w:rPr>
          <w:rtl/>
          <w:lang w:bidi="fa-IR"/>
        </w:rPr>
        <w:t xml:space="preserve"> هَوَّنَ عَلَيَّ بَعْضَ وَجْدِي </w:t>
      </w:r>
      <w:r w:rsidR="00E378DD" w:rsidRPr="00867BF8">
        <w:rPr>
          <w:rStyle w:val="libFootnotenumChar"/>
          <w:rtl/>
        </w:rPr>
        <w:t>(10)</w:t>
      </w:r>
      <w:r w:rsidR="00E378DD">
        <w:rPr>
          <w:rtl/>
          <w:lang w:bidi="fa-IR"/>
        </w:rPr>
        <w:t>.</w:t>
      </w:r>
      <w:r>
        <w:rPr>
          <w:rtl/>
          <w:lang w:bidi="fa-IR"/>
        </w:rPr>
        <w:t xml:space="preserve"> ، وَشَفى بَعْضَ حَاجِ صَدْرِي </w:t>
      </w:r>
      <w:r w:rsidR="00E378DD" w:rsidRPr="00867BF8">
        <w:rPr>
          <w:rStyle w:val="libFootnotenumChar"/>
          <w:rtl/>
        </w:rPr>
        <w:t>(11)</w:t>
      </w:r>
      <w:r w:rsidR="00E378DD">
        <w:rPr>
          <w:rtl/>
          <w:lang w:bidi="fa-IR"/>
        </w:rPr>
        <w:t>.</w:t>
      </w:r>
      <w:r>
        <w:rPr>
          <w:rtl/>
          <w:lang w:bidi="fa-IR"/>
        </w:rPr>
        <w:t xml:space="preserve"> ، إِذَا </w:t>
      </w:r>
      <w:r w:rsidR="00E378DD" w:rsidRPr="00867BF8">
        <w:rPr>
          <w:rStyle w:val="libFootnotenumChar"/>
          <w:rtl/>
        </w:rPr>
        <w:t>(12)</w:t>
      </w:r>
      <w:r w:rsidR="00E378DD">
        <w:rPr>
          <w:rtl/>
          <w:lang w:bidi="fa-IR"/>
        </w:rPr>
        <w:t>.</w:t>
      </w:r>
      <w:r>
        <w:rPr>
          <w:rtl/>
          <w:lang w:bidi="fa-IR"/>
        </w:rPr>
        <w:t xml:space="preserve"> رَأَيْتُكُمْ حُزْتُمُوهُمْ </w:t>
      </w:r>
      <w:r w:rsidR="00E378DD" w:rsidRPr="00867BF8">
        <w:rPr>
          <w:rStyle w:val="libFootnotenumChar"/>
          <w:rtl/>
        </w:rPr>
        <w:t>(13)</w:t>
      </w:r>
      <w:r w:rsidR="00E378DD">
        <w:rPr>
          <w:rtl/>
          <w:lang w:bidi="fa-IR"/>
        </w:rPr>
        <w:t>.</w:t>
      </w:r>
      <w:r>
        <w:rPr>
          <w:rtl/>
          <w:lang w:bidi="fa-IR"/>
        </w:rPr>
        <w:t xml:space="preserve"> كَمَا حَازُوكُمْ </w:t>
      </w:r>
      <w:r w:rsidR="00E378DD" w:rsidRPr="00867BF8">
        <w:rPr>
          <w:rStyle w:val="libFootnotenumChar"/>
          <w:rtl/>
        </w:rPr>
        <w:t>(14)</w:t>
      </w:r>
      <w:r w:rsidR="00E378DD">
        <w:rPr>
          <w:rtl/>
          <w:lang w:bidi="fa-IR"/>
        </w:rPr>
        <w:t>.</w:t>
      </w:r>
      <w:r>
        <w:rPr>
          <w:rtl/>
          <w:lang w:bidi="fa-IR"/>
        </w:rPr>
        <w:t xml:space="preserve"> ، فَأَزَلْتُمُوهُمْ عَنْ مَصَافِّهِمْ كَمَا ‌أَزَالُوكُمْ ، وَأَنْتُمْ </w:t>
      </w:r>
      <w:r w:rsidR="00E378DD" w:rsidRPr="00867BF8">
        <w:rPr>
          <w:rStyle w:val="libFootnotenumChar"/>
          <w:rtl/>
        </w:rPr>
        <w:t>(15)</w:t>
      </w:r>
      <w:r w:rsidR="00E378DD">
        <w:rPr>
          <w:rtl/>
          <w:lang w:bidi="fa-IR"/>
        </w:rPr>
        <w:t>.</w:t>
      </w:r>
      <w:r>
        <w:rPr>
          <w:rtl/>
          <w:lang w:bidi="fa-IR"/>
        </w:rPr>
        <w:t xml:space="preserve"> تَضْرِبُونَهُمْ بِالسُّيُوفِ </w:t>
      </w:r>
      <w:r w:rsidRPr="00867BF8">
        <w:rPr>
          <w:rStyle w:val="libFootnotenumChar"/>
          <w:rtl/>
        </w:rPr>
        <w:t>(16)</w:t>
      </w:r>
      <w:r>
        <w:rPr>
          <w:rtl/>
          <w:lang w:bidi="fa-IR"/>
        </w:rPr>
        <w:t xml:space="preserve"> حَتّى رَكِبَ </w:t>
      </w:r>
      <w:r w:rsidRPr="00867BF8">
        <w:rPr>
          <w:rStyle w:val="libFootnotenumChar"/>
          <w:rtl/>
        </w:rPr>
        <w:t>(17)</w:t>
      </w:r>
      <w:r>
        <w:rPr>
          <w:rtl/>
          <w:lang w:bidi="fa-IR"/>
        </w:rPr>
        <w:t xml:space="preserve"> أَوَّلُهُمْ آخِرَهُمْ كَالْإِبِلِ الْمَطْرُودَةِ‌</w:t>
      </w:r>
    </w:p>
    <w:p w:rsidR="00744A1C" w:rsidRDefault="00744A1C" w:rsidP="00D10E3C">
      <w:pPr>
        <w:pStyle w:val="libLine"/>
        <w:rPr>
          <w:lang w:bidi="fa-IR"/>
        </w:rPr>
      </w:pPr>
      <w:r>
        <w:rPr>
          <w:rtl/>
          <w:lang w:bidi="fa-IR"/>
        </w:rPr>
        <w:t>____________________</w:t>
      </w:r>
    </w:p>
    <w:p w:rsidR="00744A1C" w:rsidRDefault="00867BF8" w:rsidP="00D10E3C">
      <w:pPr>
        <w:pStyle w:val="libFootnote0"/>
        <w:rPr>
          <w:lang w:bidi="fa-IR"/>
        </w:rPr>
      </w:pPr>
      <w:r>
        <w:rPr>
          <w:rFonts w:hint="cs"/>
          <w:rtl/>
          <w:lang w:bidi="fa-IR"/>
        </w:rPr>
        <w:t xml:space="preserve">= </w:t>
      </w:r>
      <w:r w:rsidR="00744A1C">
        <w:rPr>
          <w:rtl/>
          <w:lang w:bidi="fa-IR"/>
        </w:rPr>
        <w:t>« قوله : وانحيازكم عن صفوفكم ، كناية عن الهرب أيضاً ، وهو من قو</w:t>
      </w:r>
      <w:r w:rsidR="007B0630">
        <w:rPr>
          <w:rtl/>
          <w:lang w:bidi="fa-IR"/>
        </w:rPr>
        <w:t xml:space="preserve">له تعالى : </w:t>
      </w:r>
      <w:r w:rsidR="007B0630" w:rsidRPr="00EB2EEE">
        <w:rPr>
          <w:rStyle w:val="libFootnoteAlaemChar"/>
          <w:rtl/>
        </w:rPr>
        <w:t>(</w:t>
      </w:r>
      <w:r w:rsidR="007B0630" w:rsidRPr="00EB2EEE">
        <w:rPr>
          <w:rStyle w:val="libFootnoteAieChar"/>
          <w:rtl/>
        </w:rPr>
        <w:t xml:space="preserve"> إِل</w:t>
      </w:r>
      <w:r w:rsidR="007B0630" w:rsidRPr="00EB2EEE">
        <w:rPr>
          <w:rStyle w:val="libFootnoteAieChar"/>
          <w:rFonts w:hint="cs"/>
          <w:rtl/>
        </w:rPr>
        <w:t>َّ</w:t>
      </w:r>
      <w:r w:rsidR="007B0630" w:rsidRPr="00EB2EEE">
        <w:rPr>
          <w:rStyle w:val="libFootnoteAieChar"/>
          <w:rtl/>
        </w:rPr>
        <w:t>ا</w:t>
      </w:r>
      <w:r w:rsidR="00744A1C" w:rsidRPr="00EB2EEE">
        <w:rPr>
          <w:rStyle w:val="libFootnoteAieChar"/>
          <w:rtl/>
        </w:rPr>
        <w:t xml:space="preserve"> مُتَحَرِّفاً لِقِتالٍ أَوْ مُتَحَيِّزاً إِلى فِئَةٍ </w:t>
      </w:r>
      <w:r w:rsidR="00744A1C" w:rsidRPr="00EB2EEE">
        <w:rPr>
          <w:rStyle w:val="libFootnoteAlaemChar"/>
          <w:rtl/>
        </w:rPr>
        <w:t>)</w:t>
      </w:r>
      <w:r w:rsidR="00744A1C">
        <w:rPr>
          <w:rtl/>
          <w:lang w:bidi="fa-IR"/>
        </w:rPr>
        <w:t xml:space="preserve"> ، وهذا باب من أبواب البيان لطيف ، وهو حسن التوصّل بإيراد كلام غير مزعج عوضاً عن لفظ يتضمّن جبناً وتقريعاً.</w:t>
      </w:r>
    </w:p>
    <w:p w:rsidR="00744A1C" w:rsidRDefault="00D10E3C" w:rsidP="00D10E3C">
      <w:pPr>
        <w:pStyle w:val="libFootnote0"/>
        <w:rPr>
          <w:lang w:bidi="fa-IR"/>
        </w:rPr>
      </w:pPr>
      <w:r>
        <w:rPr>
          <w:rtl/>
          <w:lang w:bidi="fa-IR"/>
        </w:rPr>
        <w:t>(1).</w:t>
      </w:r>
      <w:r w:rsidR="00744A1C">
        <w:rPr>
          <w:rtl/>
          <w:lang w:bidi="fa-IR"/>
        </w:rPr>
        <w:t xml:space="preserve"> في « بف » : « يحوزكم ». وفي </w:t>
      </w:r>
      <w:r w:rsidR="00744A1C" w:rsidRPr="00C24F9C">
        <w:rPr>
          <w:rStyle w:val="libFootnoteBoldChar"/>
          <w:rtl/>
        </w:rPr>
        <w:t>الوافي</w:t>
      </w:r>
      <w:r w:rsidR="00744A1C">
        <w:rPr>
          <w:rtl/>
          <w:lang w:bidi="fa-IR"/>
        </w:rPr>
        <w:t xml:space="preserve"> : « تحوزكم : تعدل بكم عن مراكزكم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الجُفاة ، جمع جاف ، وهو الفظّ الغليظ ». وراجع : </w:t>
      </w:r>
      <w:r w:rsidR="00744A1C" w:rsidRPr="00E978C3">
        <w:rPr>
          <w:rStyle w:val="libFootnoteBoldChar"/>
          <w:rtl/>
        </w:rPr>
        <w:t>المصباح المنير</w:t>
      </w:r>
      <w:r w:rsidR="00744A1C">
        <w:rPr>
          <w:rtl/>
          <w:lang w:bidi="fa-IR"/>
        </w:rPr>
        <w:t xml:space="preserve"> ، ص 104 ( جفا ).</w:t>
      </w:r>
    </w:p>
    <w:p w:rsidR="00744A1C" w:rsidRDefault="00E378DD" w:rsidP="00E378DD">
      <w:pPr>
        <w:pStyle w:val="libFootnote0"/>
        <w:rPr>
          <w:lang w:bidi="fa-IR"/>
        </w:rPr>
      </w:pPr>
      <w:r>
        <w:rPr>
          <w:rtl/>
          <w:lang w:bidi="fa-IR"/>
        </w:rPr>
        <w:t>(3).</w:t>
      </w:r>
      <w:r w:rsidR="00744A1C">
        <w:rPr>
          <w:rtl/>
          <w:lang w:bidi="fa-IR"/>
        </w:rPr>
        <w:t xml:space="preserve"> هكذا في « ى ، بس ، بف ، جت ، جد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المرآة</w:t>
      </w:r>
      <w:r w:rsidR="00744A1C">
        <w:rPr>
          <w:rtl/>
          <w:lang w:bidi="fa-IR"/>
        </w:rPr>
        <w:t>. وفي « بح » وحاشية « بث ، جت » : « والطغام » ، أي الأوغاد من الناس والأراذل. وفي « بث » والمطبوع : « والطغاة » مع الواو.</w:t>
      </w:r>
    </w:p>
    <w:p w:rsidR="00744A1C" w:rsidRDefault="00E378DD" w:rsidP="00E378DD">
      <w:pPr>
        <w:pStyle w:val="libFootnote0"/>
        <w:rPr>
          <w:lang w:bidi="fa-IR"/>
        </w:rPr>
      </w:pPr>
      <w:r>
        <w:rPr>
          <w:rtl/>
          <w:lang w:bidi="fa-IR"/>
        </w:rPr>
        <w:t>(4).</w:t>
      </w:r>
      <w:r w:rsidR="00744A1C">
        <w:rPr>
          <w:rtl/>
          <w:lang w:bidi="fa-IR"/>
        </w:rPr>
        <w:t xml:space="preserve"> اللَهاميم ، جمع لُهْموم : الجواد من الناس والخيل. </w:t>
      </w:r>
      <w:r w:rsidR="00744A1C" w:rsidRPr="00E978C3">
        <w:rPr>
          <w:rStyle w:val="libFootnoteBoldChar"/>
          <w:rtl/>
        </w:rPr>
        <w:t>الصحاح</w:t>
      </w:r>
      <w:r w:rsidR="00744A1C">
        <w:rPr>
          <w:rtl/>
          <w:lang w:bidi="fa-IR"/>
        </w:rPr>
        <w:t xml:space="preserve"> ، ج 5 ، ص 2036 ( لهم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أراد بالسنام الأعظم شرفهم وعلوّ أنسابهم ؛ لأنّ السنام أعلى أعضاء البعير ». وفي </w:t>
      </w:r>
      <w:r w:rsidR="00744A1C" w:rsidRPr="00C24F9C">
        <w:rPr>
          <w:rStyle w:val="libFootnoteBoldChar"/>
          <w:rtl/>
        </w:rPr>
        <w:t>المرآة</w:t>
      </w:r>
      <w:r w:rsidR="00744A1C">
        <w:rPr>
          <w:rtl/>
          <w:lang w:bidi="fa-IR"/>
        </w:rPr>
        <w:t xml:space="preserve"> : « استعارلهم لفظ السنام لمشاركتهم إيّاه في العلوّ والرفعة ».</w:t>
      </w:r>
    </w:p>
    <w:p w:rsidR="00744A1C" w:rsidRDefault="00E378DD" w:rsidP="00E378DD">
      <w:pPr>
        <w:pStyle w:val="libFootnote0"/>
        <w:rPr>
          <w:lang w:bidi="fa-IR"/>
        </w:rPr>
      </w:pPr>
      <w:r>
        <w:rPr>
          <w:rtl/>
          <w:lang w:bidi="fa-IR"/>
        </w:rPr>
        <w:t>(6).</w:t>
      </w:r>
      <w:r w:rsidR="00744A1C">
        <w:rPr>
          <w:rtl/>
          <w:lang w:bidi="fa-IR"/>
        </w:rPr>
        <w:t xml:space="preserve"> الكَرّ : الرجوع. يقال : كرّ الفارس كَرّاً من باب قتل ، إذا فرّ للجولان ، ثمّ عاد للقتال. راجع : </w:t>
      </w:r>
      <w:r w:rsidR="00744A1C" w:rsidRPr="00E978C3">
        <w:rPr>
          <w:rStyle w:val="libFootnoteBoldChar"/>
          <w:rtl/>
        </w:rPr>
        <w:t>الصحاح</w:t>
      </w:r>
      <w:r w:rsidR="00744A1C">
        <w:rPr>
          <w:rtl/>
          <w:lang w:bidi="fa-IR"/>
        </w:rPr>
        <w:t xml:space="preserve"> ، ج 2 ، ص 805 ؛ </w:t>
      </w:r>
      <w:r w:rsidR="00744A1C" w:rsidRPr="00E978C3">
        <w:rPr>
          <w:rStyle w:val="libFootnoteBoldChar"/>
          <w:rtl/>
        </w:rPr>
        <w:t>المصباح المنير</w:t>
      </w:r>
      <w:r w:rsidR="00744A1C">
        <w:rPr>
          <w:rtl/>
          <w:lang w:bidi="fa-IR"/>
        </w:rPr>
        <w:t xml:space="preserve"> ، ص 530 ( كرر ). </w:t>
      </w:r>
      <w:r w:rsidR="00EB2EEE">
        <w:rPr>
          <w:rFonts w:hint="cs"/>
          <w:rtl/>
          <w:lang w:bidi="fa-IR"/>
        </w:rPr>
        <w:t xml:space="preserve">          </w:t>
      </w:r>
      <w:r>
        <w:rPr>
          <w:rtl/>
          <w:lang w:bidi="fa-IR"/>
        </w:rPr>
        <w:t>(7).</w:t>
      </w:r>
      <w:r w:rsidR="00744A1C">
        <w:rPr>
          <w:rtl/>
          <w:lang w:bidi="fa-IR"/>
        </w:rPr>
        <w:t xml:space="preserve"> في « بف » : « وجب ».</w:t>
      </w:r>
    </w:p>
    <w:p w:rsidR="00744A1C" w:rsidRDefault="00E378DD" w:rsidP="00E378DD">
      <w:pPr>
        <w:pStyle w:val="libFootnote0"/>
        <w:rPr>
          <w:lang w:bidi="fa-IR"/>
        </w:rPr>
      </w:pPr>
      <w:r>
        <w:rPr>
          <w:rtl/>
          <w:lang w:bidi="fa-IR"/>
        </w:rPr>
        <w:t>(8).</w:t>
      </w:r>
      <w:r w:rsidR="00744A1C">
        <w:rPr>
          <w:rtl/>
          <w:lang w:bidi="fa-IR"/>
        </w:rPr>
        <w:t xml:space="preserve"> « يومُ الزحف » : يوم الجهاد ، أو يوم الحرب. يقال : فرّ من الزحف ، أي من الجهاد ولقاء العدوّ في الحرب. راجع : </w:t>
      </w:r>
      <w:r w:rsidR="00744A1C" w:rsidRPr="00877682">
        <w:rPr>
          <w:rStyle w:val="libFootnoteBoldChar"/>
          <w:rtl/>
        </w:rPr>
        <w:t>النهاية</w:t>
      </w:r>
      <w:r w:rsidR="00744A1C">
        <w:rPr>
          <w:rtl/>
          <w:lang w:bidi="fa-IR"/>
        </w:rPr>
        <w:t xml:space="preserve"> ، ج 2 ، ص 297 ( زحف ). </w:t>
      </w:r>
      <w:r w:rsidR="00EB2EEE">
        <w:rPr>
          <w:rFonts w:hint="cs"/>
          <w:rtl/>
          <w:lang w:bidi="fa-IR"/>
        </w:rPr>
        <w:t xml:space="preserve">                 </w:t>
      </w: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 « وقد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الوَجْد : تغيّر الحال من غضب أو حُبّ أو حزن ». وراجع : </w:t>
      </w:r>
      <w:r w:rsidR="00744A1C" w:rsidRPr="00877682">
        <w:rPr>
          <w:rStyle w:val="libFootnoteBoldChar"/>
          <w:rtl/>
        </w:rPr>
        <w:t>لسان العرب</w:t>
      </w:r>
      <w:r w:rsidR="00744A1C">
        <w:rPr>
          <w:rtl/>
          <w:lang w:bidi="fa-IR"/>
        </w:rPr>
        <w:t xml:space="preserve"> ، ج 3 ، ص 445 ( وجد ).</w:t>
      </w:r>
    </w:p>
    <w:p w:rsidR="00744A1C" w:rsidRDefault="00E378DD" w:rsidP="00E378DD">
      <w:pPr>
        <w:pStyle w:val="libFootnote0"/>
        <w:rPr>
          <w:lang w:bidi="fa-IR"/>
        </w:rPr>
      </w:pPr>
      <w:r>
        <w:rPr>
          <w:rtl/>
          <w:lang w:bidi="fa-IR"/>
        </w:rPr>
        <w:t>(11).</w:t>
      </w:r>
      <w:r w:rsidR="00744A1C">
        <w:rPr>
          <w:rtl/>
          <w:lang w:bidi="fa-IR"/>
        </w:rPr>
        <w:t xml:space="preserve"> الحاج : ضرب من الشوك. يقال : ما في صدري حوجاء ولا لوجاء ، أي لا مرية ولا شكّ. وقد نقل في </w:t>
      </w:r>
      <w:r w:rsidR="00744A1C" w:rsidRPr="00C24F9C">
        <w:rPr>
          <w:rStyle w:val="libFootnoteBoldChar"/>
          <w:rtl/>
        </w:rPr>
        <w:t>الوافي</w:t>
      </w:r>
      <w:r w:rsidR="00744A1C">
        <w:rPr>
          <w:rtl/>
          <w:lang w:bidi="fa-IR"/>
        </w:rPr>
        <w:t xml:space="preserve"> ‌و</w:t>
      </w:r>
      <w:r w:rsidR="00744A1C" w:rsidRPr="00C24F9C">
        <w:rPr>
          <w:rStyle w:val="libFootnoteBoldChar"/>
          <w:rtl/>
        </w:rPr>
        <w:t>المرآة</w:t>
      </w:r>
      <w:r w:rsidR="00744A1C">
        <w:rPr>
          <w:rtl/>
          <w:lang w:bidi="fa-IR"/>
        </w:rPr>
        <w:t xml:space="preserve"> عن نهج البلاغة : « وحاوح صدري » أي حرقها وحرارتها. وراجع : </w:t>
      </w:r>
      <w:r w:rsidR="00744A1C" w:rsidRPr="00E978C3">
        <w:rPr>
          <w:rStyle w:val="libFootnoteBoldChar"/>
          <w:rtl/>
        </w:rPr>
        <w:t>الصحاح</w:t>
      </w:r>
      <w:r w:rsidR="00744A1C">
        <w:rPr>
          <w:rtl/>
          <w:lang w:bidi="fa-IR"/>
        </w:rPr>
        <w:t xml:space="preserve"> ، ج 1 ، ص 308 ( حوج ).</w:t>
      </w:r>
    </w:p>
    <w:p w:rsidR="00744A1C" w:rsidRDefault="00E378DD" w:rsidP="00E378DD">
      <w:pPr>
        <w:pStyle w:val="libFootnote0"/>
        <w:rPr>
          <w:lang w:bidi="fa-IR"/>
        </w:rPr>
      </w:pPr>
      <w:r>
        <w:rPr>
          <w:rtl/>
          <w:lang w:bidi="fa-IR"/>
        </w:rPr>
        <w:t>(12).</w:t>
      </w:r>
      <w:r w:rsidR="00744A1C">
        <w:rPr>
          <w:rtl/>
          <w:lang w:bidi="fa-IR"/>
        </w:rPr>
        <w:t xml:space="preserve"> في « بح ، بس ، بف ، جت ، جد » : « إذ ».</w:t>
      </w:r>
    </w:p>
    <w:p w:rsidR="00744A1C" w:rsidRDefault="00E378DD" w:rsidP="00E378DD">
      <w:pPr>
        <w:pStyle w:val="libFootnote0"/>
        <w:rPr>
          <w:lang w:bidi="fa-IR"/>
        </w:rPr>
      </w:pPr>
      <w:r>
        <w:rPr>
          <w:rtl/>
          <w:lang w:bidi="fa-IR"/>
        </w:rPr>
        <w:t>(13).</w:t>
      </w:r>
      <w:r w:rsidR="00744A1C">
        <w:rPr>
          <w:rtl/>
          <w:lang w:bidi="fa-IR"/>
        </w:rPr>
        <w:t xml:space="preserve"> الحَوْز : الجمع ، وكلّ من ضمّ إلى نفسه شيئاً فقد حازه حَوْزاً وحيازة واحتازه أيضاً. والحَوْز والحيز : السوق الليّن. </w:t>
      </w:r>
      <w:r w:rsidR="00744A1C" w:rsidRPr="00E978C3">
        <w:rPr>
          <w:rStyle w:val="libFootnoteBoldChar"/>
          <w:rtl/>
        </w:rPr>
        <w:t>الصحاح</w:t>
      </w:r>
      <w:r w:rsidR="00744A1C">
        <w:rPr>
          <w:rtl/>
          <w:lang w:bidi="fa-IR"/>
        </w:rPr>
        <w:t xml:space="preserve"> ، ج 3 ، ص 875 ( حوز ). </w:t>
      </w:r>
      <w:r w:rsidR="005D07EC">
        <w:rPr>
          <w:rFonts w:hint="cs"/>
          <w:rtl/>
          <w:lang w:bidi="fa-IR"/>
        </w:rPr>
        <w:t xml:space="preserve">                     </w:t>
      </w:r>
      <w:r>
        <w:rPr>
          <w:rtl/>
          <w:lang w:bidi="fa-IR"/>
        </w:rPr>
        <w:t>(14).</w:t>
      </w:r>
      <w:r w:rsidR="00744A1C">
        <w:rPr>
          <w:rtl/>
          <w:lang w:bidi="fa-IR"/>
        </w:rPr>
        <w:t xml:space="preserve"> في « بث » : « جزتموهم كما جاوزوكم ».</w:t>
      </w:r>
    </w:p>
    <w:tbl>
      <w:tblPr>
        <w:tblStyle w:val="TableGrid"/>
        <w:bidiVisual/>
        <w:tblW w:w="0" w:type="auto"/>
        <w:tblLook w:val="04A0" w:firstRow="1" w:lastRow="0" w:firstColumn="1" w:lastColumn="0" w:noHBand="0" w:noVBand="1"/>
      </w:tblPr>
      <w:tblGrid>
        <w:gridCol w:w="4006"/>
        <w:gridCol w:w="4006"/>
      </w:tblGrid>
      <w:tr w:rsidR="005D07EC" w:rsidTr="005D07EC">
        <w:tc>
          <w:tcPr>
            <w:tcW w:w="4006" w:type="dxa"/>
          </w:tcPr>
          <w:p w:rsidR="005D07EC" w:rsidRDefault="005D07EC" w:rsidP="00E378DD">
            <w:pPr>
              <w:pStyle w:val="libFootnote0"/>
              <w:rPr>
                <w:rtl/>
                <w:lang w:bidi="fa-IR"/>
              </w:rPr>
            </w:pPr>
            <w:r>
              <w:rPr>
                <w:rtl/>
                <w:lang w:bidi="fa-IR"/>
              </w:rPr>
              <w:t>(15). في « بف » : - « وأنتم ».</w:t>
            </w:r>
          </w:p>
        </w:tc>
        <w:tc>
          <w:tcPr>
            <w:tcW w:w="4006" w:type="dxa"/>
          </w:tcPr>
          <w:p w:rsidR="005D07EC" w:rsidRDefault="005D07EC" w:rsidP="00E378DD">
            <w:pPr>
              <w:pStyle w:val="libFootnote0"/>
              <w:rPr>
                <w:rtl/>
                <w:lang w:bidi="fa-IR"/>
              </w:rPr>
            </w:pPr>
            <w:r>
              <w:rPr>
                <w:rtl/>
                <w:lang w:bidi="fa-IR"/>
              </w:rPr>
              <w:t>(16) في « جن » : « بالسيف ».</w:t>
            </w:r>
          </w:p>
        </w:tc>
      </w:tr>
    </w:tbl>
    <w:p w:rsidR="00744A1C" w:rsidRDefault="00744A1C" w:rsidP="00D10E3C">
      <w:pPr>
        <w:pStyle w:val="libFootnote0"/>
        <w:rPr>
          <w:lang w:bidi="fa-IR"/>
        </w:rPr>
      </w:pPr>
      <w:r>
        <w:rPr>
          <w:rtl/>
          <w:lang w:bidi="fa-IR"/>
        </w:rPr>
        <w:t xml:space="preserve">(17) في </w:t>
      </w:r>
      <w:r w:rsidRPr="00C24F9C">
        <w:rPr>
          <w:rStyle w:val="libFootnoteBoldChar"/>
          <w:rtl/>
        </w:rPr>
        <w:t>الوافي</w:t>
      </w:r>
      <w:r>
        <w:rPr>
          <w:rtl/>
          <w:lang w:bidi="fa-IR"/>
        </w:rPr>
        <w:t xml:space="preserve"> : « ليركب » بدل « حتّى ركب ».</w:t>
      </w:r>
    </w:p>
    <w:p w:rsidR="006A5060" w:rsidRDefault="006A5060" w:rsidP="00D10E3C">
      <w:pPr>
        <w:pStyle w:val="libNormal"/>
        <w:rPr>
          <w:rtl/>
          <w:lang w:bidi="fa-IR"/>
        </w:rPr>
      </w:pPr>
      <w:r>
        <w:rPr>
          <w:rtl/>
          <w:lang w:bidi="fa-IR"/>
        </w:rPr>
        <w:br w:type="page"/>
      </w:r>
    </w:p>
    <w:p w:rsidR="00144FA6" w:rsidRDefault="00744A1C" w:rsidP="00402829">
      <w:pPr>
        <w:pStyle w:val="libNormal0"/>
        <w:rPr>
          <w:rtl/>
          <w:lang w:bidi="fa-IR"/>
        </w:rPr>
      </w:pPr>
      <w:r>
        <w:rPr>
          <w:rtl/>
          <w:lang w:bidi="fa-IR"/>
        </w:rPr>
        <w:t xml:space="preserve">الْهِيمِ </w:t>
      </w:r>
      <w:r w:rsidRPr="00D10E3C">
        <w:rPr>
          <w:rStyle w:val="libFootnotenumChar"/>
          <w:rtl/>
        </w:rPr>
        <w:t>(1)</w:t>
      </w:r>
      <w:r>
        <w:rPr>
          <w:rtl/>
          <w:lang w:bidi="fa-IR"/>
        </w:rPr>
        <w:t xml:space="preserve"> الْآنِّ </w:t>
      </w:r>
      <w:r w:rsidRPr="00D10E3C">
        <w:rPr>
          <w:rStyle w:val="libFootnotenumChar"/>
          <w:rtl/>
        </w:rPr>
        <w:t>(2)</w:t>
      </w:r>
      <w:r>
        <w:rPr>
          <w:rtl/>
          <w:lang w:bidi="fa-IR"/>
        </w:rPr>
        <w:t xml:space="preserve"> ، فَاصْبِرُوا نَزَلَتْ </w:t>
      </w:r>
      <w:r w:rsidRPr="00D10E3C">
        <w:rPr>
          <w:rStyle w:val="libFootnotenumChar"/>
          <w:rtl/>
        </w:rPr>
        <w:t>(3)</w:t>
      </w:r>
      <w:r>
        <w:rPr>
          <w:rtl/>
          <w:lang w:bidi="fa-IR"/>
        </w:rPr>
        <w:t xml:space="preserve"> عَلَيْكُمُ السَّكِينَةُ ، وَثَبَّتَكُمُ </w:t>
      </w:r>
      <w:r w:rsidRPr="00D10E3C">
        <w:rPr>
          <w:rStyle w:val="libFootnotenumChar"/>
          <w:rtl/>
        </w:rPr>
        <w:t>(4)</w:t>
      </w:r>
      <w:r>
        <w:rPr>
          <w:rtl/>
          <w:lang w:bidi="fa-IR"/>
        </w:rPr>
        <w:t xml:space="preserve"> اللهُ بِالْيَقِينِ ، وَلْيَعْلَمِ الْمُنْهَزِمُ بِأَنَّهُ مُسْخِطُ رَبِّهِ ، وَمُوبِقُ </w:t>
      </w:r>
      <w:r w:rsidRPr="00D10E3C">
        <w:rPr>
          <w:rStyle w:val="libFootnotenumChar"/>
          <w:rtl/>
        </w:rPr>
        <w:t>(5)</w:t>
      </w:r>
      <w:r>
        <w:rPr>
          <w:rtl/>
          <w:lang w:bidi="fa-IR"/>
        </w:rPr>
        <w:t xml:space="preserve"> نَفْسِهِ ؛ إِنَّ </w:t>
      </w:r>
      <w:r w:rsidRPr="00D10E3C">
        <w:rPr>
          <w:rStyle w:val="libFootnotenumChar"/>
          <w:rtl/>
        </w:rPr>
        <w:t>(6)</w:t>
      </w:r>
      <w:r>
        <w:rPr>
          <w:rtl/>
          <w:lang w:bidi="fa-IR"/>
        </w:rPr>
        <w:t xml:space="preserve"> فِي الْفِرَارِ مَوْجِدَةَ </w:t>
      </w:r>
      <w:r w:rsidRPr="00D10E3C">
        <w:rPr>
          <w:rStyle w:val="libFootnotenumChar"/>
          <w:rtl/>
        </w:rPr>
        <w:t>(7)</w:t>
      </w:r>
      <w:r>
        <w:rPr>
          <w:rtl/>
          <w:lang w:bidi="fa-IR"/>
        </w:rPr>
        <w:t xml:space="preserve"> اللهِ </w:t>
      </w:r>
      <w:r w:rsidRPr="00D10E3C">
        <w:rPr>
          <w:rStyle w:val="libFootnotenumChar"/>
          <w:rtl/>
        </w:rPr>
        <w:t>(8)</w:t>
      </w:r>
      <w:r>
        <w:rPr>
          <w:rtl/>
          <w:lang w:bidi="fa-IR"/>
        </w:rPr>
        <w:t xml:space="preserve"> و</w:t>
      </w:r>
      <w:r w:rsidR="009F5E58">
        <w:rPr>
          <w:rtl/>
          <w:lang w:bidi="fa-IR"/>
        </w:rPr>
        <w:t>َالذُّلَّ الل</w:t>
      </w:r>
      <w:r w:rsidR="009F5E58">
        <w:rPr>
          <w:rFonts w:hint="cs"/>
          <w:rtl/>
          <w:lang w:bidi="fa-IR"/>
        </w:rPr>
        <w:t>َّ</w:t>
      </w:r>
      <w:r w:rsidR="009F5E58">
        <w:rPr>
          <w:rtl/>
          <w:lang w:bidi="fa-IR"/>
        </w:rPr>
        <w:t>ا</w:t>
      </w:r>
      <w:r>
        <w:rPr>
          <w:rtl/>
          <w:lang w:bidi="fa-IR"/>
        </w:rPr>
        <w:t xml:space="preserve">زِمَ </w:t>
      </w:r>
      <w:r w:rsidRPr="00D10E3C">
        <w:rPr>
          <w:rStyle w:val="libFootnotenumChar"/>
          <w:rtl/>
        </w:rPr>
        <w:t>(9)</w:t>
      </w:r>
      <w:r>
        <w:rPr>
          <w:rtl/>
          <w:lang w:bidi="fa-IR"/>
        </w:rPr>
        <w:t xml:space="preserve"> وَالْعَارَ الْبَاقِيَ </w:t>
      </w:r>
      <w:r w:rsidRPr="00D10E3C">
        <w:rPr>
          <w:rStyle w:val="libFootnotenumChar"/>
          <w:rtl/>
        </w:rPr>
        <w:t>(10)</w:t>
      </w:r>
      <w:r>
        <w:rPr>
          <w:rtl/>
          <w:lang w:bidi="fa-IR"/>
        </w:rPr>
        <w:t xml:space="preserve"> وَفَسَادَ الْعَيْشِ عَلَيْهِ </w:t>
      </w:r>
      <w:r w:rsidRPr="00D10E3C">
        <w:rPr>
          <w:rStyle w:val="libFootnotenumChar"/>
          <w:rtl/>
        </w:rPr>
        <w:t>(11)</w:t>
      </w:r>
      <w:r>
        <w:rPr>
          <w:rtl/>
          <w:lang w:bidi="fa-IR"/>
        </w:rPr>
        <w:t xml:space="preserve"> ، وَإِنَّ الْفَارَّ </w:t>
      </w:r>
      <w:r w:rsidRPr="00D10E3C">
        <w:rPr>
          <w:rStyle w:val="libFootnotenumChar"/>
          <w:rtl/>
        </w:rPr>
        <w:t>(12)</w:t>
      </w:r>
      <w:r>
        <w:rPr>
          <w:rtl/>
          <w:lang w:bidi="fa-IR"/>
        </w:rPr>
        <w:t xml:space="preserve"> لَغَيْرُ مَزِيدٍ </w:t>
      </w:r>
      <w:r w:rsidRPr="00D10E3C">
        <w:rPr>
          <w:rStyle w:val="libFootnotenumChar"/>
          <w:rtl/>
        </w:rPr>
        <w:t>(13)</w:t>
      </w:r>
      <w:r>
        <w:rPr>
          <w:rtl/>
          <w:lang w:bidi="fa-IR"/>
        </w:rPr>
        <w:t xml:space="preserve"> فِي عُمُرِهِ ، وَلَا مَحْجُوزٍ </w:t>
      </w:r>
      <w:r w:rsidRPr="00D10E3C">
        <w:rPr>
          <w:rStyle w:val="libFootnotenumChar"/>
          <w:rtl/>
        </w:rPr>
        <w:t>(14)</w:t>
      </w:r>
      <w:r>
        <w:rPr>
          <w:rtl/>
          <w:lang w:bidi="fa-IR"/>
        </w:rPr>
        <w:t xml:space="preserve"> بَيْنَهُ وَبَيْنَ يَوْمِهِ </w:t>
      </w:r>
      <w:r w:rsidRPr="00D10E3C">
        <w:rPr>
          <w:rStyle w:val="libFootnotenumChar"/>
          <w:rtl/>
        </w:rPr>
        <w:t>(15)</w:t>
      </w:r>
      <w:r>
        <w:rPr>
          <w:rtl/>
          <w:lang w:bidi="fa-IR"/>
        </w:rPr>
        <w:t xml:space="preserve"> ، وَلَا يَرْضى رَبُّهُ ، وَلَمَوْتُ </w:t>
      </w:r>
      <w:r w:rsidRPr="00D10E3C">
        <w:rPr>
          <w:rStyle w:val="libFootnotenumChar"/>
          <w:rtl/>
        </w:rPr>
        <w:t>(16)</w:t>
      </w:r>
      <w:r>
        <w:rPr>
          <w:rtl/>
          <w:lang w:bidi="fa-IR"/>
        </w:rPr>
        <w:t xml:space="preserve"> الرَّجُلِ مَحْقاً </w:t>
      </w:r>
      <w:r w:rsidRPr="00D10E3C">
        <w:rPr>
          <w:rStyle w:val="libFootnotenumChar"/>
          <w:rtl/>
        </w:rPr>
        <w:t>(17)</w:t>
      </w:r>
      <w:r>
        <w:rPr>
          <w:rtl/>
          <w:lang w:bidi="fa-IR"/>
        </w:rPr>
        <w:t xml:space="preserve"> قَبْلَ إِتْيَانِ هذِهِ الْخِصَالِ خَيْرٌ مِنَ الرِّضَا بِالتَّلَبُّسِ </w:t>
      </w:r>
      <w:r w:rsidRPr="00D10E3C">
        <w:rPr>
          <w:rStyle w:val="libFootnotenumChar"/>
          <w:rtl/>
        </w:rPr>
        <w:t>(18)</w:t>
      </w:r>
      <w:r>
        <w:rPr>
          <w:rtl/>
          <w:lang w:bidi="fa-IR"/>
        </w:rPr>
        <w:t xml:space="preserve"> بِهَا وَالْإِقْرَارِ عَلَيْهَا ». </w:t>
      </w:r>
      <w:r w:rsidRPr="00D10E3C">
        <w:rPr>
          <w:rStyle w:val="libFootnotenumChar"/>
          <w:rtl/>
        </w:rPr>
        <w:t>(19)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الهِيم » : العِطاش. والهَيْمان : العَطشان. وفي القرآن : </w:t>
      </w:r>
      <w:r w:rsidR="00744A1C" w:rsidRPr="005C042F">
        <w:rPr>
          <w:rStyle w:val="libFootnoteAlaemChar"/>
          <w:rtl/>
        </w:rPr>
        <w:t>(</w:t>
      </w:r>
      <w:r w:rsidR="00744A1C" w:rsidRPr="005C042F">
        <w:rPr>
          <w:rStyle w:val="libFootnoteAieChar"/>
          <w:rtl/>
        </w:rPr>
        <w:t xml:space="preserve"> فَش</w:t>
      </w:r>
      <w:r w:rsidR="005C042F" w:rsidRPr="005C042F">
        <w:rPr>
          <w:rStyle w:val="libFootnoteAieChar"/>
          <w:rFonts w:hint="cs"/>
          <w:rtl/>
        </w:rPr>
        <w:t>َ</w:t>
      </w:r>
      <w:r w:rsidR="00744A1C" w:rsidRPr="005C042F">
        <w:rPr>
          <w:rStyle w:val="libFootnoteAieChar"/>
          <w:rtl/>
        </w:rPr>
        <w:t xml:space="preserve">ارِبُونَ شُرْبَ الْهِيمِ </w:t>
      </w:r>
      <w:r w:rsidR="00744A1C" w:rsidRPr="005C042F">
        <w:rPr>
          <w:rStyle w:val="libFootnoteAlaemChar"/>
          <w:rtl/>
        </w:rPr>
        <w:t>)</w:t>
      </w:r>
      <w:r w:rsidR="00744A1C">
        <w:rPr>
          <w:rtl/>
          <w:lang w:bidi="fa-IR"/>
        </w:rPr>
        <w:t xml:space="preserve"> ، وهي الإبل العطاش. راجع : </w:t>
      </w:r>
      <w:r w:rsidR="00744A1C" w:rsidRPr="00E978C3">
        <w:rPr>
          <w:rStyle w:val="libFootnoteBoldChar"/>
          <w:rtl/>
        </w:rPr>
        <w:t>الصحاح</w:t>
      </w:r>
      <w:r w:rsidR="00744A1C">
        <w:rPr>
          <w:rtl/>
          <w:lang w:bidi="fa-IR"/>
        </w:rPr>
        <w:t xml:space="preserve"> ، ج 5 ، ص 2063 ( هيم ).</w:t>
      </w:r>
    </w:p>
    <w:p w:rsidR="00744A1C" w:rsidRDefault="00E378DD" w:rsidP="00E378DD">
      <w:pPr>
        <w:pStyle w:val="libFootnote0"/>
        <w:rPr>
          <w:lang w:bidi="fa-IR"/>
        </w:rPr>
      </w:pPr>
      <w:r>
        <w:rPr>
          <w:rtl/>
          <w:lang w:bidi="fa-IR"/>
        </w:rPr>
        <w:t>(2).</w:t>
      </w:r>
      <w:r w:rsidR="00744A1C">
        <w:rPr>
          <w:rtl/>
          <w:lang w:bidi="fa-IR"/>
        </w:rPr>
        <w:t xml:space="preserve"> « الآنّ » من الأنين والأنان. يقال : أَنَّ الرجلُ من الوجع يَئِنُّ أنيناً. راجع : </w:t>
      </w:r>
      <w:r w:rsidR="00744A1C" w:rsidRPr="00877682">
        <w:rPr>
          <w:rStyle w:val="libFootnoteBoldChar"/>
          <w:rtl/>
        </w:rPr>
        <w:t>لسان العرب</w:t>
      </w:r>
      <w:r w:rsidR="00744A1C">
        <w:rPr>
          <w:rtl/>
          <w:lang w:bidi="fa-IR"/>
        </w:rPr>
        <w:t xml:space="preserve"> ، ج 13 ، ص 38 ( أنن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كالإبل المطرودة ، شبّههم في ركوب بعضهم لبعض مُولّين بالإبل العِطاش ، التي اجتمعت على الحياض لتشرب ، ثمّ طردت ورميت عنها بالسهام ؛ فإنّ طردها على ذلك الاجتماع يوجب لها أن يركب بعضها بعضاً ويقع بعضها على بعض ».</w:t>
      </w:r>
    </w:p>
    <w:tbl>
      <w:tblPr>
        <w:tblStyle w:val="TableGrid"/>
        <w:bidiVisual/>
        <w:tblW w:w="0" w:type="auto"/>
        <w:tblLook w:val="04A0" w:firstRow="1" w:lastRow="0" w:firstColumn="1" w:lastColumn="0" w:noHBand="0" w:noVBand="1"/>
      </w:tblPr>
      <w:tblGrid>
        <w:gridCol w:w="4006"/>
        <w:gridCol w:w="4006"/>
      </w:tblGrid>
      <w:tr w:rsidR="00F9629E" w:rsidTr="00F9629E">
        <w:tc>
          <w:tcPr>
            <w:tcW w:w="4006" w:type="dxa"/>
          </w:tcPr>
          <w:p w:rsidR="00F9629E" w:rsidRDefault="00F9629E" w:rsidP="00E378DD">
            <w:pPr>
              <w:pStyle w:val="libFootnote0"/>
              <w:rPr>
                <w:rtl/>
                <w:lang w:bidi="fa-IR"/>
              </w:rPr>
            </w:pPr>
            <w:r>
              <w:rPr>
                <w:rtl/>
                <w:lang w:bidi="fa-IR"/>
              </w:rPr>
              <w:t>(3). في « بف » : « وا</w:t>
            </w:r>
            <w:r>
              <w:rPr>
                <w:rFonts w:hint="cs"/>
                <w:rtl/>
                <w:lang w:bidi="fa-IR"/>
              </w:rPr>
              <w:t>ُ</w:t>
            </w:r>
            <w:r>
              <w:rPr>
                <w:rtl/>
                <w:lang w:bidi="fa-IR"/>
              </w:rPr>
              <w:t>نزلت ».</w:t>
            </w:r>
          </w:p>
        </w:tc>
        <w:tc>
          <w:tcPr>
            <w:tcW w:w="4006" w:type="dxa"/>
          </w:tcPr>
          <w:p w:rsidR="00F9629E" w:rsidRDefault="00F9629E" w:rsidP="00E378DD">
            <w:pPr>
              <w:pStyle w:val="libFootnote0"/>
              <w:rPr>
                <w:rtl/>
                <w:lang w:bidi="fa-IR"/>
              </w:rPr>
            </w:pPr>
            <w:r>
              <w:rPr>
                <w:rtl/>
                <w:lang w:bidi="fa-IR"/>
              </w:rPr>
              <w:t>(4). في « جت » : « ثبّتكم » بدون الواو.</w:t>
            </w:r>
          </w:p>
        </w:tc>
      </w:tr>
      <w:tr w:rsidR="00F9629E" w:rsidTr="00F9629E">
        <w:tc>
          <w:tcPr>
            <w:tcW w:w="4006" w:type="dxa"/>
          </w:tcPr>
          <w:p w:rsidR="00F9629E" w:rsidRDefault="00F9629E" w:rsidP="00E378DD">
            <w:pPr>
              <w:pStyle w:val="libFootnote0"/>
              <w:rPr>
                <w:rtl/>
                <w:lang w:bidi="fa-IR"/>
              </w:rPr>
            </w:pPr>
            <w:r>
              <w:rPr>
                <w:rtl/>
                <w:lang w:bidi="fa-IR"/>
              </w:rPr>
              <w:t>(5). في « بث » : « وموثق ».</w:t>
            </w:r>
          </w:p>
        </w:tc>
        <w:tc>
          <w:tcPr>
            <w:tcW w:w="4006" w:type="dxa"/>
          </w:tcPr>
          <w:p w:rsidR="00F9629E" w:rsidRDefault="00F9629E" w:rsidP="00E378DD">
            <w:pPr>
              <w:pStyle w:val="libFootnote0"/>
              <w:rPr>
                <w:rtl/>
                <w:lang w:bidi="fa-IR"/>
              </w:rPr>
            </w:pPr>
            <w:r>
              <w:rPr>
                <w:rtl/>
                <w:lang w:bidi="fa-IR"/>
              </w:rPr>
              <w:t>(6). في « بث ، بف » و</w:t>
            </w:r>
            <w:r w:rsidRPr="00C24F9C">
              <w:rPr>
                <w:rStyle w:val="libFootnoteBoldChar"/>
                <w:rtl/>
              </w:rPr>
              <w:t>الوافي</w:t>
            </w:r>
            <w:r>
              <w:rPr>
                <w:rtl/>
                <w:lang w:bidi="fa-IR"/>
              </w:rPr>
              <w:t xml:space="preserve"> : « وإنّ ».</w:t>
            </w:r>
          </w:p>
        </w:tc>
      </w:tr>
    </w:tbl>
    <w:p w:rsidR="00744A1C" w:rsidRDefault="00E378DD" w:rsidP="00E378DD">
      <w:pPr>
        <w:pStyle w:val="libFootnote0"/>
        <w:rPr>
          <w:lang w:bidi="fa-IR"/>
        </w:rPr>
      </w:pPr>
      <w:r>
        <w:rPr>
          <w:rtl/>
          <w:lang w:bidi="fa-IR"/>
        </w:rPr>
        <w:t>(7).</w:t>
      </w:r>
      <w:r w:rsidR="00744A1C">
        <w:rPr>
          <w:rtl/>
          <w:lang w:bidi="fa-IR"/>
        </w:rPr>
        <w:t xml:space="preserve"> ال</w:t>
      </w:r>
      <w:r w:rsidR="00483370">
        <w:rPr>
          <w:rFonts w:hint="cs"/>
          <w:rtl/>
          <w:lang w:bidi="fa-IR"/>
        </w:rPr>
        <w:t>ـ</w:t>
      </w:r>
      <w:r w:rsidR="00744A1C">
        <w:rPr>
          <w:rtl/>
          <w:lang w:bidi="fa-IR"/>
        </w:rPr>
        <w:t xml:space="preserve">مَوْجِدَةُ : الغضب ؛ يقال : وَجَدْتُ عليه ، أي غَضِبْتُ. راجع : </w:t>
      </w:r>
      <w:r w:rsidR="00744A1C" w:rsidRPr="00877682">
        <w:rPr>
          <w:rStyle w:val="libFootnoteBoldChar"/>
          <w:rtl/>
        </w:rPr>
        <w:t>لسان العرب</w:t>
      </w:r>
      <w:r w:rsidR="00744A1C">
        <w:rPr>
          <w:rtl/>
          <w:lang w:bidi="fa-IR"/>
        </w:rPr>
        <w:t xml:space="preserve"> ، ج 3 ، ص 446 ( وجد ).</w:t>
      </w:r>
    </w:p>
    <w:p w:rsidR="00744A1C" w:rsidRDefault="00E378DD" w:rsidP="00E378DD">
      <w:pPr>
        <w:pStyle w:val="libFootnote0"/>
        <w:rPr>
          <w:lang w:bidi="fa-IR"/>
        </w:rPr>
      </w:pPr>
      <w:r>
        <w:rPr>
          <w:rtl/>
          <w:lang w:bidi="fa-IR"/>
        </w:rPr>
        <w:t>(8).</w:t>
      </w:r>
      <w:r w:rsidR="00744A1C">
        <w:rPr>
          <w:rtl/>
          <w:lang w:bidi="fa-IR"/>
        </w:rPr>
        <w:t xml:space="preserve"> في « بث ، بس » و</w:t>
      </w:r>
      <w:r w:rsidR="00744A1C" w:rsidRPr="00C24F9C">
        <w:rPr>
          <w:rStyle w:val="libFootnoteBoldChar"/>
          <w:rtl/>
        </w:rPr>
        <w:t>الوافي</w:t>
      </w:r>
      <w:r w:rsidR="00744A1C">
        <w:rPr>
          <w:rtl/>
          <w:lang w:bidi="fa-IR"/>
        </w:rPr>
        <w:t xml:space="preserve"> : + « عليه ».</w:t>
      </w:r>
    </w:p>
    <w:p w:rsidR="00744A1C" w:rsidRDefault="00E378DD" w:rsidP="00E378DD">
      <w:pPr>
        <w:pStyle w:val="libFootnote0"/>
        <w:rPr>
          <w:lang w:bidi="fa-IR"/>
        </w:rPr>
      </w:pPr>
      <w:r>
        <w:rPr>
          <w:rtl/>
          <w:lang w:bidi="fa-IR"/>
        </w:rPr>
        <w:t>(9).</w:t>
      </w:r>
      <w:r w:rsidR="00744A1C">
        <w:rPr>
          <w:rtl/>
          <w:lang w:bidi="fa-IR"/>
        </w:rPr>
        <w:t xml:space="preserve"> في « بف » : + « وفساد العيش عليه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 والعار الباقي ». وفي </w:t>
      </w:r>
      <w:r w:rsidR="00744A1C" w:rsidRPr="00C24F9C">
        <w:rPr>
          <w:rStyle w:val="libFootnoteBoldChar"/>
          <w:rtl/>
        </w:rPr>
        <w:t>المرآة</w:t>
      </w:r>
      <w:r w:rsidR="00744A1C">
        <w:rPr>
          <w:rtl/>
          <w:lang w:bidi="fa-IR"/>
        </w:rPr>
        <w:t xml:space="preserve"> : « أي في الأعقاب ، أو له بين الناس ، ويوم أجله المقدّر لموته ».</w:t>
      </w:r>
    </w:p>
    <w:p w:rsidR="00744A1C" w:rsidRDefault="00E378DD" w:rsidP="00E378DD">
      <w:pPr>
        <w:pStyle w:val="libFootnote0"/>
        <w:rPr>
          <w:lang w:bidi="fa-IR"/>
        </w:rPr>
      </w:pPr>
      <w:r>
        <w:rPr>
          <w:rtl/>
          <w:lang w:bidi="fa-IR"/>
        </w:rPr>
        <w:t>(11).</w:t>
      </w:r>
      <w:r w:rsidR="00744A1C">
        <w:rPr>
          <w:rtl/>
          <w:lang w:bidi="fa-IR"/>
        </w:rPr>
        <w:t xml:space="preserve"> في « ى ، بح ، بس ، بف ، جت ، جد ، جن » و</w:t>
      </w:r>
      <w:r w:rsidR="00744A1C" w:rsidRPr="0061079A">
        <w:rPr>
          <w:rStyle w:val="libFootnoteBoldChar"/>
          <w:rtl/>
        </w:rPr>
        <w:t>البحار</w:t>
      </w:r>
      <w:r w:rsidR="00744A1C">
        <w:rPr>
          <w:rtl/>
          <w:lang w:bidi="fa-IR"/>
        </w:rPr>
        <w:t xml:space="preserve"> : - « وفساد العيش عليه ».</w:t>
      </w:r>
    </w:p>
    <w:tbl>
      <w:tblPr>
        <w:tblStyle w:val="TableGrid"/>
        <w:bidiVisual/>
        <w:tblW w:w="0" w:type="auto"/>
        <w:tblLook w:val="04A0" w:firstRow="1" w:lastRow="0" w:firstColumn="1" w:lastColumn="0" w:noHBand="0" w:noVBand="1"/>
      </w:tblPr>
      <w:tblGrid>
        <w:gridCol w:w="4006"/>
        <w:gridCol w:w="4006"/>
      </w:tblGrid>
      <w:tr w:rsidR="00483370" w:rsidTr="00483370">
        <w:tc>
          <w:tcPr>
            <w:tcW w:w="4006" w:type="dxa"/>
          </w:tcPr>
          <w:p w:rsidR="00483370" w:rsidRDefault="00483370" w:rsidP="00E378DD">
            <w:pPr>
              <w:pStyle w:val="libFootnote0"/>
              <w:rPr>
                <w:rtl/>
                <w:lang w:bidi="fa-IR"/>
              </w:rPr>
            </w:pPr>
            <w:r>
              <w:rPr>
                <w:rtl/>
                <w:lang w:bidi="fa-IR"/>
              </w:rPr>
              <w:t>(12). في « بس » : « الفرار ».</w:t>
            </w:r>
          </w:p>
        </w:tc>
        <w:tc>
          <w:tcPr>
            <w:tcW w:w="4006" w:type="dxa"/>
          </w:tcPr>
          <w:p w:rsidR="00483370" w:rsidRDefault="00483370" w:rsidP="00E378DD">
            <w:pPr>
              <w:pStyle w:val="libFootnote0"/>
              <w:rPr>
                <w:rtl/>
                <w:lang w:bidi="fa-IR"/>
              </w:rPr>
            </w:pPr>
            <w:r>
              <w:rPr>
                <w:rtl/>
                <w:lang w:bidi="fa-IR"/>
              </w:rPr>
              <w:t>(13). في«بث،بف»و</w:t>
            </w:r>
            <w:r>
              <w:rPr>
                <w:rFonts w:hint="cs"/>
                <w:rtl/>
                <w:lang w:bidi="fa-IR"/>
              </w:rPr>
              <w:t xml:space="preserve"> </w:t>
            </w:r>
            <w:r w:rsidRPr="00C24F9C">
              <w:rPr>
                <w:rStyle w:val="libFootnoteBoldChar"/>
                <w:rtl/>
              </w:rPr>
              <w:t>الوافي</w:t>
            </w:r>
            <w:r>
              <w:rPr>
                <w:rtl/>
                <w:lang w:bidi="fa-IR"/>
              </w:rPr>
              <w:t>:«وإنّ الفارّ منه لا يزيد».</w:t>
            </w:r>
          </w:p>
        </w:tc>
      </w:tr>
      <w:tr w:rsidR="00483370" w:rsidTr="00483370">
        <w:tc>
          <w:tcPr>
            <w:tcW w:w="4006" w:type="dxa"/>
          </w:tcPr>
          <w:p w:rsidR="00483370" w:rsidRDefault="00CD58C3" w:rsidP="00E378DD">
            <w:pPr>
              <w:pStyle w:val="libFootnote0"/>
              <w:rPr>
                <w:rtl/>
                <w:lang w:bidi="fa-IR"/>
              </w:rPr>
            </w:pPr>
            <w:r>
              <w:rPr>
                <w:rtl/>
                <w:lang w:bidi="fa-IR"/>
              </w:rPr>
              <w:t>(14). في « جت » : « محجوب ».</w:t>
            </w:r>
          </w:p>
        </w:tc>
        <w:tc>
          <w:tcPr>
            <w:tcW w:w="4006" w:type="dxa"/>
          </w:tcPr>
          <w:p w:rsidR="00483370" w:rsidRDefault="00CD58C3" w:rsidP="00E378DD">
            <w:pPr>
              <w:pStyle w:val="libFootnote0"/>
              <w:rPr>
                <w:rtl/>
                <w:lang w:bidi="fa-IR"/>
              </w:rPr>
            </w:pPr>
            <w:r>
              <w:rPr>
                <w:rtl/>
                <w:lang w:bidi="fa-IR"/>
              </w:rPr>
              <w:t xml:space="preserve">(15). في </w:t>
            </w:r>
            <w:r w:rsidRPr="00C24F9C">
              <w:rPr>
                <w:rStyle w:val="libFootnoteBoldChar"/>
                <w:rtl/>
              </w:rPr>
              <w:t>الوافي</w:t>
            </w:r>
            <w:r>
              <w:rPr>
                <w:rtl/>
                <w:lang w:bidi="fa-IR"/>
              </w:rPr>
              <w:t xml:space="preserve"> : - « ولا محجوز بينه وبين يومه ».</w:t>
            </w:r>
          </w:p>
        </w:tc>
      </w:tr>
    </w:tbl>
    <w:p w:rsidR="00744A1C" w:rsidRDefault="00744A1C" w:rsidP="00D10E3C">
      <w:pPr>
        <w:pStyle w:val="libFootnote0"/>
        <w:rPr>
          <w:lang w:bidi="fa-IR"/>
        </w:rPr>
      </w:pPr>
      <w:r>
        <w:rPr>
          <w:rtl/>
          <w:lang w:bidi="fa-IR"/>
        </w:rPr>
        <w:t xml:space="preserve">(16) في « بث » </w:t>
      </w:r>
      <w:r w:rsidRPr="00A058BD">
        <w:rPr>
          <w:rtl/>
        </w:rPr>
        <w:t>والوافي</w:t>
      </w:r>
      <w:r>
        <w:rPr>
          <w:rtl/>
          <w:lang w:bidi="fa-IR"/>
        </w:rPr>
        <w:t xml:space="preserve"> : « فلموت ».</w:t>
      </w:r>
    </w:p>
    <w:p w:rsidR="00744A1C" w:rsidRDefault="00744A1C" w:rsidP="00D10E3C">
      <w:pPr>
        <w:pStyle w:val="libFootnote0"/>
        <w:rPr>
          <w:lang w:bidi="fa-IR"/>
        </w:rPr>
      </w:pPr>
      <w:r>
        <w:rPr>
          <w:rtl/>
          <w:lang w:bidi="fa-IR"/>
        </w:rPr>
        <w:t>(17) ال</w:t>
      </w:r>
      <w:r w:rsidR="00F334FE">
        <w:rPr>
          <w:rFonts w:hint="cs"/>
          <w:rtl/>
          <w:lang w:bidi="fa-IR"/>
        </w:rPr>
        <w:t>ـ</w:t>
      </w:r>
      <w:r>
        <w:rPr>
          <w:rtl/>
          <w:lang w:bidi="fa-IR"/>
        </w:rPr>
        <w:t>مَحْق : النَقص ، وال</w:t>
      </w:r>
      <w:r w:rsidR="00F334FE">
        <w:rPr>
          <w:rFonts w:hint="cs"/>
          <w:rtl/>
          <w:lang w:bidi="fa-IR"/>
        </w:rPr>
        <w:t>ـ</w:t>
      </w:r>
      <w:r>
        <w:rPr>
          <w:rtl/>
          <w:lang w:bidi="fa-IR"/>
        </w:rPr>
        <w:t xml:space="preserve">مَحو ، والإبطال ، وذهاب البركة. راجع : </w:t>
      </w:r>
      <w:r w:rsidRPr="00877682">
        <w:rPr>
          <w:rStyle w:val="libFootnoteBoldChar"/>
          <w:rtl/>
        </w:rPr>
        <w:t>النهاية</w:t>
      </w:r>
      <w:r>
        <w:rPr>
          <w:rtl/>
          <w:lang w:bidi="fa-IR"/>
        </w:rPr>
        <w:t xml:space="preserve"> ، ج 4 ، ص 303 ( محق ).</w:t>
      </w:r>
    </w:p>
    <w:p w:rsidR="00744A1C" w:rsidRDefault="00744A1C" w:rsidP="00D10E3C">
      <w:pPr>
        <w:pStyle w:val="libFootnote0"/>
        <w:rPr>
          <w:lang w:bidi="fa-IR"/>
        </w:rPr>
      </w:pPr>
      <w:r>
        <w:rPr>
          <w:rtl/>
          <w:lang w:bidi="fa-IR"/>
        </w:rPr>
        <w:t>(18) هكذا في « ى ، بس ، جد » وحاشية « بث » و</w:t>
      </w:r>
      <w:r w:rsidRPr="00C24F9C">
        <w:rPr>
          <w:rStyle w:val="libFootnoteBoldChar"/>
          <w:rtl/>
        </w:rPr>
        <w:t>الوافي</w:t>
      </w:r>
      <w:r>
        <w:rPr>
          <w:rtl/>
          <w:lang w:bidi="fa-IR"/>
        </w:rPr>
        <w:t xml:space="preserve"> و</w:t>
      </w:r>
      <w:r w:rsidRPr="0061079A">
        <w:rPr>
          <w:rStyle w:val="libFootnoteBoldChar"/>
          <w:rtl/>
        </w:rPr>
        <w:t>البحار</w:t>
      </w:r>
      <w:r>
        <w:rPr>
          <w:rtl/>
          <w:lang w:bidi="fa-IR"/>
        </w:rPr>
        <w:t>. وفي حاشية « ى » : « التلبيس ». وفي سائر النسخ والمطبوع : « بالتلبيس ».</w:t>
      </w:r>
    </w:p>
    <w:p w:rsidR="00744A1C" w:rsidRDefault="00744A1C" w:rsidP="00D10E3C">
      <w:pPr>
        <w:pStyle w:val="libFootnote0"/>
        <w:rPr>
          <w:lang w:bidi="fa-IR"/>
        </w:rPr>
      </w:pPr>
      <w:r>
        <w:rPr>
          <w:rtl/>
          <w:lang w:bidi="fa-IR"/>
        </w:rPr>
        <w:t xml:space="preserve">(19) نهج البلاغة : ص 155 ، الخطبة 107 ، من قوله : « إنّي قد رأيت جولتكم وانحيازكم » إلى قوله : « كالإبل المطرودة الهيم » مع اختلاف. </w:t>
      </w:r>
      <w:r w:rsidRPr="002D57AD">
        <w:rPr>
          <w:rStyle w:val="libFootnoteBoldChar"/>
          <w:rtl/>
        </w:rPr>
        <w:t>الإرشاد</w:t>
      </w:r>
      <w:r>
        <w:rPr>
          <w:rtl/>
          <w:lang w:bidi="fa-IR"/>
        </w:rPr>
        <w:t xml:space="preserve"> ، ج 1 ، ص 265 ، مرسلاً عن عليّ </w:t>
      </w:r>
      <w:r w:rsidR="0061079A" w:rsidRPr="0061079A">
        <w:rPr>
          <w:rStyle w:val="libFootnoteAlaemChar"/>
          <w:rtl/>
        </w:rPr>
        <w:t>عليه‌السلام</w:t>
      </w:r>
      <w:r w:rsidR="00D10E3C">
        <w:rPr>
          <w:rtl/>
          <w:lang w:bidi="fa-IR"/>
        </w:rPr>
        <w:t xml:space="preserve"> </w:t>
      </w:r>
      <w:r>
        <w:rPr>
          <w:rtl/>
          <w:lang w:bidi="fa-IR"/>
        </w:rPr>
        <w:t xml:space="preserve">، إلى قوله : « فعادت ميمنته إلى موقفها ومصافّها وكشفت من بإزائها » مع اختلاف يسير. راجع : نهج البلاغة ، ص 181 ، الخطبة 124 </w:t>
      </w:r>
      <w:r w:rsidR="00D72433">
        <w:rPr>
          <w:rFonts w:hint="cs"/>
          <w:rtl/>
          <w:lang w:bidi="fa-IR"/>
        </w:rPr>
        <w:t>.</w:t>
      </w:r>
      <w:r w:rsidRPr="00C24F9C">
        <w:rPr>
          <w:rStyle w:val="libFootnoteBoldChar"/>
          <w:rtl/>
        </w:rPr>
        <w:t>الوافي</w:t>
      </w:r>
      <w:r>
        <w:rPr>
          <w:rtl/>
          <w:lang w:bidi="fa-IR"/>
        </w:rPr>
        <w:t xml:space="preserve"> ، ج 15 ، ص 111 ، ح 14761 ؛ </w:t>
      </w:r>
      <w:r w:rsidRPr="0061079A">
        <w:rPr>
          <w:rStyle w:val="libFootnoteBoldChar"/>
          <w:rtl/>
        </w:rPr>
        <w:t>البحار</w:t>
      </w:r>
      <w:r>
        <w:rPr>
          <w:rtl/>
          <w:lang w:bidi="fa-IR"/>
        </w:rPr>
        <w:t xml:space="preserve"> ، ج 32 ، ص 494 ، ح 426.</w:t>
      </w:r>
    </w:p>
    <w:p w:rsidR="006A5060" w:rsidRDefault="006A5060" w:rsidP="00D10E3C">
      <w:pPr>
        <w:pStyle w:val="libNormal"/>
        <w:rPr>
          <w:rtl/>
          <w:lang w:bidi="fa-IR"/>
        </w:rPr>
      </w:pPr>
      <w:r>
        <w:rPr>
          <w:rtl/>
          <w:lang w:bidi="fa-IR"/>
        </w:rPr>
        <w:br w:type="page"/>
      </w:r>
    </w:p>
    <w:p w:rsidR="00144FA6" w:rsidRDefault="00D72433" w:rsidP="00744A1C">
      <w:pPr>
        <w:pStyle w:val="libNormal"/>
        <w:rPr>
          <w:rtl/>
          <w:lang w:bidi="fa-IR"/>
        </w:rPr>
      </w:pPr>
      <w:r>
        <w:rPr>
          <w:rFonts w:hint="cs"/>
          <w:rtl/>
          <w:lang w:bidi="fa-IR"/>
        </w:rPr>
        <w:t xml:space="preserve">* </w:t>
      </w:r>
      <w:r w:rsidR="00744A1C">
        <w:rPr>
          <w:rtl/>
          <w:lang w:bidi="fa-IR"/>
        </w:rPr>
        <w:t xml:space="preserve">وَفِي كَلَامٍ لَهُ </w:t>
      </w:r>
      <w:r w:rsidR="00744A1C" w:rsidRPr="00D10E3C">
        <w:rPr>
          <w:rStyle w:val="libFootnotenumChar"/>
          <w:rtl/>
        </w:rPr>
        <w:t>(1)</w:t>
      </w:r>
      <w:r w:rsidR="00744A1C">
        <w:rPr>
          <w:rtl/>
          <w:lang w:bidi="fa-IR"/>
        </w:rPr>
        <w:t xml:space="preserve"> آخَرَ </w:t>
      </w:r>
      <w:r w:rsidR="00744A1C" w:rsidRPr="00D10E3C">
        <w:rPr>
          <w:rStyle w:val="libFootnotenumChar"/>
          <w:rtl/>
        </w:rPr>
        <w:t>(2)</w:t>
      </w:r>
      <w:r w:rsidR="00744A1C">
        <w:rPr>
          <w:rtl/>
          <w:lang w:bidi="fa-IR"/>
        </w:rPr>
        <w:t xml:space="preserve"> : « وَإِذَا لَقِيتُمْ هؤُلَاءِ الْقَوْمَ غَداً ، فَلَا تُقَاتِلُوهُمْ حَتّى يُقَاتِلُوكُمْ ، فَإِذَا بَدَؤُوا بِكُمْ </w:t>
      </w:r>
      <w:r w:rsidR="00744A1C" w:rsidRPr="00D10E3C">
        <w:rPr>
          <w:rStyle w:val="libFootnotenumChar"/>
          <w:rtl/>
        </w:rPr>
        <w:t>(3)</w:t>
      </w:r>
      <w:r w:rsidR="00744A1C">
        <w:rPr>
          <w:rtl/>
          <w:lang w:bidi="fa-IR"/>
        </w:rPr>
        <w:t xml:space="preserve"> فَانْهُدُوا </w:t>
      </w:r>
      <w:r w:rsidR="00744A1C" w:rsidRPr="00D10E3C">
        <w:rPr>
          <w:rStyle w:val="libFootnotenumChar"/>
          <w:rtl/>
        </w:rPr>
        <w:t>(4)</w:t>
      </w:r>
      <w:r w:rsidR="00744A1C">
        <w:rPr>
          <w:rtl/>
          <w:lang w:bidi="fa-IR"/>
        </w:rPr>
        <w:t xml:space="preserve"> إِلَيْهِمْ ، وَعَلَيْكُمُ السَّكِينَةَ وَالْوَقَارَ ، وَعَضُّوا </w:t>
      </w:r>
      <w:r w:rsidR="00744A1C" w:rsidRPr="00D10E3C">
        <w:rPr>
          <w:rStyle w:val="libFootnotenumChar"/>
          <w:rtl/>
        </w:rPr>
        <w:t>(5)</w:t>
      </w:r>
      <w:r w:rsidR="00744A1C">
        <w:rPr>
          <w:rtl/>
          <w:lang w:bidi="fa-IR"/>
        </w:rPr>
        <w:t xml:space="preserve"> عَلَى الْأَضْرَاسِ ؛ فَإِنَّهُ أَنْبَأُ لِلسُّيُوفِ عَنِ الْهَامِ ، وَغُضُّوا الْأَبْصَارَ ، وَمُدُّوا جِبَاهَ الْخُيُولِ وَوُجُوهَ الرِّجَالِ </w:t>
      </w:r>
      <w:r w:rsidR="00744A1C" w:rsidRPr="00D10E3C">
        <w:rPr>
          <w:rStyle w:val="libFootnotenumChar"/>
          <w:rtl/>
        </w:rPr>
        <w:t>(6)</w:t>
      </w:r>
      <w:r w:rsidR="00744A1C">
        <w:rPr>
          <w:rtl/>
          <w:lang w:bidi="fa-IR"/>
        </w:rPr>
        <w:t xml:space="preserve"> ، وَأَقِلُّوا الْكَلَامَ ؛ فَإِنَّهُ أَطْرَدُ لِلْفَشَلِ ، وَأَذْهَبُ بِالْوَهَلِ </w:t>
      </w:r>
      <w:r w:rsidR="00744A1C" w:rsidRPr="00D10E3C">
        <w:rPr>
          <w:rStyle w:val="libFootnotenumChar"/>
          <w:rtl/>
        </w:rPr>
        <w:t>(7)</w:t>
      </w:r>
      <w:r w:rsidR="00744A1C">
        <w:rPr>
          <w:rtl/>
          <w:lang w:bidi="fa-IR"/>
        </w:rPr>
        <w:t xml:space="preserve"> ، وَ</w:t>
      </w:r>
      <w:r w:rsidR="005F663B">
        <w:rPr>
          <w:rFonts w:hint="cs"/>
          <w:rtl/>
          <w:lang w:bidi="fa-IR"/>
        </w:rPr>
        <w:t xml:space="preserve"> </w:t>
      </w:r>
      <w:r w:rsidR="00744A1C">
        <w:rPr>
          <w:rtl/>
          <w:lang w:bidi="fa-IR"/>
        </w:rPr>
        <w:t xml:space="preserve">وَطِّنُوا أَنْفُسَكُمْ عَلَى الْمُبَارَزَةِ وَالْمُنَازَلَةِ </w:t>
      </w:r>
      <w:r w:rsidR="00744A1C" w:rsidRPr="00D10E3C">
        <w:rPr>
          <w:rStyle w:val="libFootnotenumChar"/>
          <w:rtl/>
        </w:rPr>
        <w:t>(8)</w:t>
      </w:r>
      <w:r w:rsidR="00744A1C">
        <w:rPr>
          <w:rtl/>
          <w:lang w:bidi="fa-IR"/>
        </w:rPr>
        <w:t xml:space="preserve"> وَالْمُجَاوَلَةِ </w:t>
      </w:r>
      <w:r w:rsidR="00744A1C" w:rsidRPr="00D10E3C">
        <w:rPr>
          <w:rStyle w:val="libFootnotenumChar"/>
          <w:rtl/>
        </w:rPr>
        <w:t>(9)</w:t>
      </w:r>
      <w:r w:rsidR="00744A1C">
        <w:rPr>
          <w:rtl/>
          <w:lang w:bidi="fa-IR"/>
        </w:rPr>
        <w:t xml:space="preserve"> ، وَاثْبُتُوا </w:t>
      </w:r>
      <w:r w:rsidR="00744A1C" w:rsidRPr="00D10E3C">
        <w:rPr>
          <w:rStyle w:val="libFootnotenumChar"/>
          <w:rtl/>
        </w:rPr>
        <w:t>(10)</w:t>
      </w:r>
      <w:r w:rsidR="00744A1C">
        <w:rPr>
          <w:rtl/>
          <w:lang w:bidi="fa-IR"/>
        </w:rPr>
        <w:t xml:space="preserve"> ، وَاذْكُرُوا اللهَ - عَزَّ وَجَلَّ - كَثِيراً ؛ فَإِنَّ الْمَانِعَ لِلذِّمَارِ عِنْدَ نُزُولِ الْحَقَائِقِ هُمْ أَهْلُ الْحِفَاظِ الَّذِينَ يَحُفُّونَ بِرَايَاتِهِمْ ، وَيَضْرِبُونَ حَافَتَيْهَا </w:t>
      </w:r>
      <w:r w:rsidR="00744A1C" w:rsidRPr="00D10E3C">
        <w:rPr>
          <w:rStyle w:val="libFootnotenumChar"/>
          <w:rtl/>
        </w:rPr>
        <w:t>(11)</w:t>
      </w:r>
      <w:r w:rsidR="00744A1C">
        <w:rPr>
          <w:rtl/>
          <w:lang w:bidi="fa-IR"/>
        </w:rPr>
        <w:t xml:space="preserve"> وَأَمَامَهَا ، وَإِذَا </w:t>
      </w:r>
      <w:r w:rsidR="00744A1C" w:rsidRPr="00D10E3C">
        <w:rPr>
          <w:rStyle w:val="libFootnotenumChar"/>
          <w:rtl/>
        </w:rPr>
        <w:t>(12)</w:t>
      </w:r>
      <w:r w:rsidR="00744A1C">
        <w:rPr>
          <w:rtl/>
          <w:lang w:bidi="fa-IR"/>
        </w:rPr>
        <w:t xml:space="preserve"> حَمَلْتُمْ فَافْعَلُوا فِعْلَ رَجُلٍ وَاحِدٍ </w:t>
      </w:r>
      <w:r w:rsidR="00744A1C" w:rsidRPr="00D10E3C">
        <w:rPr>
          <w:rStyle w:val="libFootnotenumChar"/>
          <w:rtl/>
        </w:rPr>
        <w:t>(13)</w:t>
      </w:r>
      <w:r w:rsidR="00744A1C">
        <w:rPr>
          <w:rtl/>
          <w:lang w:bidi="fa-IR"/>
        </w:rPr>
        <w:t xml:space="preserve"> ، وَعَلَيْكُمْ بِالتَّحَامِي ؛ فَإِنَّ الْحَرْبَ سِجَالٌ </w:t>
      </w:r>
      <w:r w:rsidR="00744A1C" w:rsidRPr="00D10E3C">
        <w:rPr>
          <w:rStyle w:val="libFootnotenumChar"/>
          <w:rtl/>
        </w:rPr>
        <w:t>(14)</w:t>
      </w:r>
      <w:r w:rsidR="00744A1C">
        <w:rPr>
          <w:rtl/>
          <w:lang w:bidi="fa-IR"/>
        </w:rPr>
        <w:t xml:space="preserve"> لَايَشُدُّونَ </w:t>
      </w:r>
      <w:r w:rsidR="00744A1C" w:rsidRPr="00D10E3C">
        <w:rPr>
          <w:rStyle w:val="libFootnotenumChar"/>
          <w:rtl/>
        </w:rPr>
        <w:t>(15)</w:t>
      </w:r>
      <w:r w:rsidR="00744A1C">
        <w:rPr>
          <w:rtl/>
          <w:lang w:bidi="fa-IR"/>
        </w:rPr>
        <w:t xml:space="preserve"> عَلَيْكُمْ كَرَّةً بَعْدَ فَرَّةٍ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 - « له ».</w:t>
      </w:r>
    </w:p>
    <w:p w:rsidR="00744A1C" w:rsidRDefault="00E378DD" w:rsidP="00E378DD">
      <w:pPr>
        <w:pStyle w:val="libFootnote0"/>
        <w:rPr>
          <w:lang w:bidi="fa-IR"/>
        </w:rPr>
      </w:pPr>
      <w:r>
        <w:rPr>
          <w:rtl/>
          <w:lang w:bidi="fa-IR"/>
        </w:rPr>
        <w:t>(2).</w:t>
      </w:r>
      <w:r w:rsidR="00744A1C">
        <w:rPr>
          <w:rtl/>
          <w:lang w:bidi="fa-IR"/>
        </w:rPr>
        <w:t xml:space="preserve"> في </w:t>
      </w:r>
      <w:r w:rsidR="00744A1C" w:rsidRPr="005F663B">
        <w:rPr>
          <w:rtl/>
        </w:rPr>
        <w:t>الوسائل</w:t>
      </w:r>
      <w:r w:rsidR="00744A1C">
        <w:rPr>
          <w:rtl/>
          <w:lang w:bidi="fa-IR"/>
        </w:rPr>
        <w:t xml:space="preserve"> : « في كلام آخر له ». وفي </w:t>
      </w:r>
      <w:r w:rsidR="00744A1C" w:rsidRPr="005F663B">
        <w:rPr>
          <w:rtl/>
        </w:rPr>
        <w:t>البحار</w:t>
      </w:r>
      <w:r w:rsidR="00744A1C">
        <w:rPr>
          <w:rtl/>
          <w:lang w:bidi="fa-IR"/>
        </w:rPr>
        <w:t xml:space="preserve"> : « وفي كلام آخر له قال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في </w:t>
      </w:r>
      <w:r w:rsidR="00744A1C" w:rsidRPr="005F663B">
        <w:rPr>
          <w:rtl/>
        </w:rPr>
        <w:t>الوافي</w:t>
      </w:r>
      <w:r w:rsidR="00744A1C">
        <w:rPr>
          <w:rtl/>
          <w:lang w:bidi="fa-IR"/>
        </w:rPr>
        <w:t xml:space="preserve"> : « فإذا بدؤوكم ». وفي </w:t>
      </w:r>
      <w:r w:rsidR="00744A1C" w:rsidRPr="00C24F9C">
        <w:rPr>
          <w:rStyle w:val="libFootnoteBoldChar"/>
          <w:rtl/>
        </w:rPr>
        <w:t>الوسائل</w:t>
      </w:r>
      <w:r w:rsidR="00744A1C">
        <w:rPr>
          <w:rtl/>
          <w:lang w:bidi="fa-IR"/>
        </w:rPr>
        <w:t xml:space="preserve"> : « فإن بدؤوكم » كلاهما بدل « فإذا بدؤوا بكم ».</w:t>
      </w:r>
    </w:p>
    <w:p w:rsidR="00744A1C" w:rsidRDefault="00E378DD" w:rsidP="00E378DD">
      <w:pPr>
        <w:pStyle w:val="libFootnote0"/>
        <w:rPr>
          <w:lang w:bidi="fa-IR"/>
        </w:rPr>
      </w:pPr>
      <w:r>
        <w:rPr>
          <w:rtl/>
          <w:lang w:bidi="fa-IR"/>
        </w:rPr>
        <w:t>(4).</w:t>
      </w:r>
      <w:r w:rsidR="00744A1C">
        <w:rPr>
          <w:rtl/>
          <w:lang w:bidi="fa-IR"/>
        </w:rPr>
        <w:t xml:space="preserve"> نَهَدَ القومُ لعدوّهم ، إذا صمدوا له وشرعوا في قتاله ، ونَهَدَ الرجل لعدوّه ، أي نهض وصمد له. وفي </w:t>
      </w:r>
      <w:r w:rsidR="00744A1C" w:rsidRPr="00C24F9C">
        <w:rPr>
          <w:rStyle w:val="libFootnoteBoldChar"/>
          <w:rtl/>
        </w:rPr>
        <w:t>الوافي</w:t>
      </w:r>
      <w:r w:rsidR="00744A1C">
        <w:rPr>
          <w:rtl/>
          <w:lang w:bidi="fa-IR"/>
        </w:rPr>
        <w:t xml:space="preserve"> : « فانهدوا إليهم ، أي انهضوا واقصدوا واصمدوا واشرعوا في قتالهم ». وراجع : </w:t>
      </w:r>
      <w:r w:rsidR="00744A1C" w:rsidRPr="00877682">
        <w:rPr>
          <w:rStyle w:val="libFootnoteBoldChar"/>
          <w:rtl/>
        </w:rPr>
        <w:t>لسان العرب</w:t>
      </w:r>
      <w:r w:rsidR="00744A1C">
        <w:rPr>
          <w:rtl/>
          <w:lang w:bidi="fa-IR"/>
        </w:rPr>
        <w:t xml:space="preserve"> ، ج 3 ، ص 430 ( نهد ).</w:t>
      </w:r>
    </w:p>
    <w:p w:rsidR="00744A1C" w:rsidRDefault="00E378DD" w:rsidP="00E378DD">
      <w:pPr>
        <w:pStyle w:val="libFootnote0"/>
        <w:rPr>
          <w:lang w:bidi="fa-IR"/>
        </w:rPr>
      </w:pPr>
      <w:r>
        <w:rPr>
          <w:rtl/>
          <w:lang w:bidi="fa-IR"/>
        </w:rPr>
        <w:t>(5).</w:t>
      </w:r>
      <w:r w:rsidR="00744A1C">
        <w:rPr>
          <w:rtl/>
          <w:lang w:bidi="fa-IR"/>
        </w:rPr>
        <w:t xml:space="preserve"> في « بح » : « وسنّوا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لعلّ المراد بمدّ جباه الخيول ووجوه الرجال إقامة الصفّ وتسويته ركباناً ورجالاً ». وفي </w:t>
      </w:r>
      <w:r w:rsidR="00744A1C" w:rsidRPr="00C24F9C">
        <w:rPr>
          <w:rStyle w:val="libFootnoteBoldChar"/>
          <w:rtl/>
        </w:rPr>
        <w:t>المرآة</w:t>
      </w:r>
      <w:r w:rsidR="00744A1C">
        <w:rPr>
          <w:rtl/>
          <w:lang w:bidi="fa-IR"/>
        </w:rPr>
        <w:t xml:space="preserve"> : « لعلّ المراد بهما تسوية الصفوف وإقامتها راكبين وراجلين ، أو كناية عن تحريكها وتوجيهها إلى جانب العدوّ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الوسائل</w:t>
      </w:r>
      <w:r w:rsidR="00744A1C">
        <w:rPr>
          <w:rtl/>
          <w:lang w:bidi="fa-IR"/>
        </w:rPr>
        <w:t xml:space="preserve"> : « للويل ». والوَهَل : الضعف ، والفزع ، والجبن. راجع : </w:t>
      </w:r>
      <w:r w:rsidR="00744A1C" w:rsidRPr="00877682">
        <w:rPr>
          <w:rStyle w:val="libFootnoteBoldChar"/>
          <w:rtl/>
        </w:rPr>
        <w:t>لسان العرب</w:t>
      </w:r>
      <w:r w:rsidR="00744A1C">
        <w:rPr>
          <w:rtl/>
          <w:lang w:bidi="fa-IR"/>
        </w:rPr>
        <w:t xml:space="preserve"> ، ج 11 ، ص 737 ( وهل ).</w:t>
      </w:r>
    </w:p>
    <w:p w:rsidR="00744A1C" w:rsidRDefault="00E378DD" w:rsidP="00E378DD">
      <w:pPr>
        <w:pStyle w:val="libFootnote0"/>
        <w:rPr>
          <w:lang w:bidi="fa-IR"/>
        </w:rPr>
      </w:pPr>
      <w:r>
        <w:rPr>
          <w:rtl/>
          <w:lang w:bidi="fa-IR"/>
        </w:rPr>
        <w:t>(8).</w:t>
      </w:r>
      <w:r w:rsidR="00744A1C">
        <w:rPr>
          <w:rtl/>
          <w:lang w:bidi="fa-IR"/>
        </w:rPr>
        <w:t xml:space="preserve"> المنازلة والنِّزال في الحرب ، أن يتنازل الفريقان من إبلهما إلى خيلهما فيتعاركوا. راجع : </w:t>
      </w:r>
      <w:r w:rsidR="00744A1C" w:rsidRPr="00877682">
        <w:rPr>
          <w:rStyle w:val="libFootnoteBoldChar"/>
          <w:rtl/>
        </w:rPr>
        <w:t>لسان العرب</w:t>
      </w:r>
      <w:r w:rsidR="00744A1C">
        <w:rPr>
          <w:rtl/>
          <w:lang w:bidi="fa-IR"/>
        </w:rPr>
        <w:t xml:space="preserve"> ، ج 11 ، ص 657 ( نزل ).</w:t>
      </w:r>
    </w:p>
    <w:p w:rsidR="00744A1C" w:rsidRDefault="00E378DD" w:rsidP="00E378DD">
      <w:pPr>
        <w:pStyle w:val="libFootnote0"/>
        <w:rPr>
          <w:lang w:bidi="fa-IR"/>
        </w:rPr>
      </w:pPr>
      <w:r>
        <w:rPr>
          <w:rtl/>
          <w:lang w:bidi="fa-IR"/>
        </w:rPr>
        <w:t>(9).</w:t>
      </w:r>
      <w:r w:rsidR="00744A1C">
        <w:rPr>
          <w:rtl/>
          <w:lang w:bidi="fa-IR"/>
        </w:rPr>
        <w:t xml:space="preserve"> هكذا في « ى ، بث ، بس ، بف ، جن » وحاشية « جت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سائر النسخ والمطبوع : « والمجادلة ». وقد تقدّم معنى المجاولة ذيل ح 8261.</w:t>
      </w:r>
    </w:p>
    <w:tbl>
      <w:tblPr>
        <w:tblStyle w:val="TableGrid"/>
        <w:bidiVisual/>
        <w:tblW w:w="0" w:type="auto"/>
        <w:tblLook w:val="04A0" w:firstRow="1" w:lastRow="0" w:firstColumn="1" w:lastColumn="0" w:noHBand="0" w:noVBand="1"/>
      </w:tblPr>
      <w:tblGrid>
        <w:gridCol w:w="4006"/>
        <w:gridCol w:w="4006"/>
      </w:tblGrid>
      <w:tr w:rsidR="005F663B" w:rsidTr="005F663B">
        <w:tc>
          <w:tcPr>
            <w:tcW w:w="4006" w:type="dxa"/>
          </w:tcPr>
          <w:p w:rsidR="005F663B" w:rsidRDefault="005F663B" w:rsidP="00E378DD">
            <w:pPr>
              <w:pStyle w:val="libFootnote0"/>
              <w:rPr>
                <w:rtl/>
                <w:lang w:bidi="fa-IR"/>
              </w:rPr>
            </w:pPr>
            <w:r>
              <w:rPr>
                <w:rtl/>
                <w:lang w:bidi="fa-IR"/>
              </w:rPr>
              <w:t>(10). في « جد » : « فاثبتوا ».</w:t>
            </w:r>
          </w:p>
        </w:tc>
        <w:tc>
          <w:tcPr>
            <w:tcW w:w="4006" w:type="dxa"/>
          </w:tcPr>
          <w:p w:rsidR="005F663B" w:rsidRDefault="005F663B" w:rsidP="00E378DD">
            <w:pPr>
              <w:pStyle w:val="libFootnote0"/>
              <w:rPr>
                <w:rtl/>
                <w:lang w:bidi="fa-IR"/>
              </w:rPr>
            </w:pPr>
            <w:r>
              <w:rPr>
                <w:rtl/>
                <w:lang w:bidi="fa-IR"/>
              </w:rPr>
              <w:t>(11). في حاشية « بث » : « حفائفها ».</w:t>
            </w:r>
          </w:p>
        </w:tc>
      </w:tr>
      <w:tr w:rsidR="005F663B" w:rsidTr="005F663B">
        <w:tc>
          <w:tcPr>
            <w:tcW w:w="4006" w:type="dxa"/>
          </w:tcPr>
          <w:p w:rsidR="005F663B" w:rsidRDefault="00D17D34" w:rsidP="00E378DD">
            <w:pPr>
              <w:pStyle w:val="libFootnote0"/>
              <w:rPr>
                <w:rtl/>
                <w:lang w:bidi="fa-IR"/>
              </w:rPr>
            </w:pPr>
            <w:r>
              <w:rPr>
                <w:rtl/>
                <w:lang w:bidi="fa-IR"/>
              </w:rPr>
              <w:t>(12). في « بس » و</w:t>
            </w:r>
            <w:r w:rsidRPr="00C24F9C">
              <w:rPr>
                <w:rStyle w:val="libFootnoteBoldChar"/>
                <w:rtl/>
              </w:rPr>
              <w:t>الوافي</w:t>
            </w:r>
            <w:r>
              <w:rPr>
                <w:rtl/>
                <w:lang w:bidi="fa-IR"/>
              </w:rPr>
              <w:t xml:space="preserve"> : « فإذا ».</w:t>
            </w:r>
          </w:p>
        </w:tc>
        <w:tc>
          <w:tcPr>
            <w:tcW w:w="4006" w:type="dxa"/>
          </w:tcPr>
          <w:p w:rsidR="005F663B" w:rsidRDefault="00D17D34" w:rsidP="00E378DD">
            <w:pPr>
              <w:pStyle w:val="libFootnote0"/>
              <w:rPr>
                <w:rtl/>
                <w:lang w:bidi="fa-IR"/>
              </w:rPr>
            </w:pPr>
            <w:r>
              <w:rPr>
                <w:rtl/>
                <w:lang w:bidi="fa-IR"/>
              </w:rPr>
              <w:t>(13). في « ى » : + « واحذروا ».</w:t>
            </w:r>
          </w:p>
        </w:tc>
      </w:tr>
    </w:tbl>
    <w:p w:rsidR="00744A1C" w:rsidRDefault="00E378DD" w:rsidP="00CF4693">
      <w:pPr>
        <w:pStyle w:val="libFootnote0"/>
        <w:rPr>
          <w:lang w:bidi="fa-IR"/>
        </w:rPr>
      </w:pPr>
      <w:r>
        <w:rPr>
          <w:rtl/>
          <w:lang w:bidi="fa-IR"/>
        </w:rPr>
        <w:t>(14).</w:t>
      </w:r>
      <w:r w:rsidR="00744A1C">
        <w:rPr>
          <w:rtl/>
          <w:lang w:bidi="fa-IR"/>
        </w:rPr>
        <w:t xml:space="preserve"> « السجال » : جمع السَّجْل ، وهي الدلو الضخمة المملوءة ماء ، والمعنى أنّ الحرب مرّة لكم ومرّة عليكم ، وأصله أنّ المستقين بالسجل يكون لكلّ واحد منهم سجل. راجع : </w:t>
      </w:r>
      <w:r w:rsidR="00744A1C" w:rsidRPr="00877682">
        <w:rPr>
          <w:rStyle w:val="libFootnoteBoldChar"/>
          <w:rtl/>
        </w:rPr>
        <w:t>النهاية</w:t>
      </w:r>
      <w:r w:rsidR="00744A1C">
        <w:rPr>
          <w:rtl/>
          <w:lang w:bidi="fa-IR"/>
        </w:rPr>
        <w:t xml:space="preserve"> ، ج 2 ، ص 344 ؛ </w:t>
      </w:r>
      <w:r w:rsidR="00744A1C" w:rsidRPr="00877682">
        <w:rPr>
          <w:rStyle w:val="libFootnoteBoldChar"/>
          <w:rtl/>
        </w:rPr>
        <w:t>لسان العرب</w:t>
      </w:r>
      <w:r w:rsidR="00744A1C">
        <w:rPr>
          <w:rtl/>
          <w:lang w:bidi="fa-IR"/>
        </w:rPr>
        <w:t xml:space="preserve"> ، ج 11 ، ص 325 ( سجل ).</w:t>
      </w:r>
      <w:r w:rsidR="00CF4693">
        <w:rPr>
          <w:rFonts w:hint="cs"/>
          <w:rtl/>
          <w:lang w:bidi="fa-IR"/>
        </w:rPr>
        <w:t xml:space="preserve">                                 </w:t>
      </w:r>
      <w:r>
        <w:rPr>
          <w:rtl/>
          <w:lang w:bidi="fa-IR"/>
        </w:rPr>
        <w:t>(15).</w:t>
      </w:r>
      <w:r w:rsidR="00744A1C">
        <w:rPr>
          <w:rtl/>
          <w:lang w:bidi="fa-IR"/>
        </w:rPr>
        <w:t xml:space="preserve"> في </w:t>
      </w:r>
      <w:r w:rsidR="00744A1C" w:rsidRPr="00CF4693">
        <w:rPr>
          <w:rtl/>
        </w:rPr>
        <w:t>الوسائل والبحار</w:t>
      </w:r>
      <w:r w:rsidR="00744A1C">
        <w:rPr>
          <w:rtl/>
          <w:lang w:bidi="fa-IR"/>
        </w:rPr>
        <w:t xml:space="preserve"> : « لا يشتدنّ ».</w:t>
      </w:r>
    </w:p>
    <w:p w:rsidR="006A5060" w:rsidRDefault="006A5060" w:rsidP="00D10E3C">
      <w:pPr>
        <w:pStyle w:val="libNormal"/>
        <w:rPr>
          <w:rtl/>
          <w:lang w:bidi="fa-IR"/>
        </w:rPr>
      </w:pPr>
      <w:r>
        <w:rPr>
          <w:rtl/>
          <w:lang w:bidi="fa-IR"/>
        </w:rPr>
        <w:br w:type="page"/>
      </w:r>
    </w:p>
    <w:p w:rsidR="00144FA6" w:rsidRDefault="00744A1C" w:rsidP="00402829">
      <w:pPr>
        <w:pStyle w:val="libNormal0"/>
        <w:rPr>
          <w:rtl/>
          <w:lang w:bidi="fa-IR"/>
        </w:rPr>
      </w:pPr>
      <w:r>
        <w:rPr>
          <w:rtl/>
          <w:lang w:bidi="fa-IR"/>
        </w:rPr>
        <w:t>وَ</w:t>
      </w:r>
      <w:r w:rsidR="00CF4693">
        <w:rPr>
          <w:rFonts w:hint="cs"/>
          <w:rtl/>
          <w:lang w:bidi="fa-IR"/>
        </w:rPr>
        <w:t xml:space="preserve"> </w:t>
      </w:r>
      <w:r>
        <w:rPr>
          <w:rtl/>
          <w:lang w:bidi="fa-IR"/>
        </w:rPr>
        <w:t xml:space="preserve">لَا حَمْلَةً بَعْدَ جَوْلَةٍ ، وَمَنْ أَلْقى إِلَيْكُمُ السَّلَمَ </w:t>
      </w:r>
      <w:r w:rsidRPr="00D10E3C">
        <w:rPr>
          <w:rStyle w:val="libFootnotenumChar"/>
          <w:rtl/>
        </w:rPr>
        <w:t>(1)</w:t>
      </w:r>
      <w:r>
        <w:rPr>
          <w:rtl/>
          <w:lang w:bidi="fa-IR"/>
        </w:rPr>
        <w:t xml:space="preserve"> ، فَاقْبَلُوا مِنْهُ ، وَاسْتَعِينُوا بِالصَّبْرِ ؛ فَإِنَّ بَعْدَ‌ الصَّبْرِ النَّصْرَ مِنَ اللهِ عَزَّ وَجَلَّ </w:t>
      </w:r>
      <w:r w:rsidRPr="00A80E75">
        <w:rPr>
          <w:rStyle w:val="libAlaemChar"/>
          <w:rtl/>
        </w:rPr>
        <w:t>(</w:t>
      </w:r>
      <w:r w:rsidRPr="00A80E75">
        <w:rPr>
          <w:rStyle w:val="libAieChar"/>
          <w:rtl/>
        </w:rPr>
        <w:t xml:space="preserve"> إِنَّ الْأَرْضَ لِلّهِ يُورِثُها مَنْ يَشاءُ مِنْ عِبادِهِ وَالْعاقِبَةُ لِلْمُتَّقِينَ </w:t>
      </w:r>
      <w:r w:rsidRPr="00A80E75">
        <w:rPr>
          <w:rStyle w:val="libAlaemChar"/>
          <w:rtl/>
        </w:rPr>
        <w:t>)</w:t>
      </w:r>
      <w:r>
        <w:rPr>
          <w:rtl/>
          <w:lang w:bidi="fa-IR"/>
        </w:rPr>
        <w:t xml:space="preserve">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8264 / 5. أَحْمَدُ بْنُ مُحَمَّدٍ الْكُوفِيُّ ، عَنِ ابْنِ جُمْهُورٍ </w:t>
      </w:r>
      <w:r w:rsidRPr="00D10E3C">
        <w:rPr>
          <w:rStyle w:val="libFootnotenumChar"/>
          <w:rtl/>
        </w:rPr>
        <w:t>(4)</w:t>
      </w:r>
      <w:r>
        <w:rPr>
          <w:rtl/>
          <w:lang w:bidi="fa-IR"/>
        </w:rPr>
        <w:t xml:space="preserve"> ، عَنْ أَبِيهِ ، عَنْ مُحَمَّدِ بْنِ سِنَانٍ ، عَنْ مُفَضَّلِ بْنِ عُمَرَ ، عَنْ أَبِي عَبْدِ اللهِ </w:t>
      </w:r>
      <w:r w:rsidR="0061079A" w:rsidRPr="0061079A">
        <w:rPr>
          <w:rStyle w:val="libAlaemChar"/>
          <w:rtl/>
        </w:rPr>
        <w:t>عليه‌السلام</w:t>
      </w:r>
      <w:r w:rsidR="00D10E3C">
        <w:rPr>
          <w:rtl/>
          <w:lang w:bidi="fa-IR"/>
        </w:rPr>
        <w:t xml:space="preserve"> </w:t>
      </w:r>
      <w:r>
        <w:rPr>
          <w:rtl/>
          <w:lang w:bidi="fa-IR"/>
        </w:rPr>
        <w:t xml:space="preserve">؛ وَ </w:t>
      </w:r>
      <w:r w:rsidRPr="00D10E3C">
        <w:rPr>
          <w:rStyle w:val="libFootnotenumChar"/>
          <w:rtl/>
        </w:rPr>
        <w:t>(5)</w:t>
      </w:r>
      <w:r>
        <w:rPr>
          <w:rtl/>
          <w:lang w:bidi="fa-IR"/>
        </w:rPr>
        <w:t xml:space="preserve"> عَنْ عَبْدِ اللهِ بْنِ عَبْدِ الرَّحْمنِ الْأَصَمِّ ، عَنْ حَرِيزٍ ، عَنْ مُحَمَّدِ بْنِ مُسْلِمٍ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 صَلَوَاتُ اللهِ عَلَيْهِ - لِأَصْحَابِهِ : إِذَا لَقِيتُمْ عَدُوَّكُمْ فِي الْحَرْبِ ، فَأَقِلُّوا الْكَلَامَ ، وَاذْكُرُوا اللهَ </w:t>
      </w:r>
      <w:r w:rsidRPr="00D10E3C">
        <w:rPr>
          <w:rStyle w:val="libFootnotenumChar"/>
          <w:rtl/>
        </w:rPr>
        <w:t>(6)</w:t>
      </w:r>
      <w:r>
        <w:rPr>
          <w:rtl/>
          <w:lang w:bidi="fa-IR"/>
        </w:rPr>
        <w:t xml:space="preserve"> عَزَّ وَجَلَّ ، وَلَا تُوَلُّوهُمُ الْأَدْبَارَ ، فَتُسْخِطُوا </w:t>
      </w:r>
      <w:r w:rsidRPr="00D10E3C">
        <w:rPr>
          <w:rStyle w:val="libFootnotenumChar"/>
          <w:rtl/>
        </w:rPr>
        <w:t>(7)</w:t>
      </w:r>
      <w:r>
        <w:rPr>
          <w:rtl/>
          <w:lang w:bidi="fa-IR"/>
        </w:rPr>
        <w:t xml:space="preserve"> اللهَ تَبَارَكَ وَتَعَالى ، وَتَسْتَوْجِبُوا غَضَبَهُ ، وَإِذَا رَأَيْتُمْ مِنْ إِخْوَانِكُمُ الْمَجْرُوحَ ، وَمَنْ قَدْ نُكِّلَ بِهِ </w:t>
      </w:r>
      <w:r w:rsidRPr="00D10E3C">
        <w:rPr>
          <w:rStyle w:val="libFootnotenumChar"/>
          <w:rtl/>
        </w:rPr>
        <w:t>(8)</w:t>
      </w:r>
      <w:r>
        <w:rPr>
          <w:rtl/>
          <w:lang w:bidi="fa-IR"/>
        </w:rPr>
        <w:t xml:space="preserve"> ، أَوْ مَنْ </w:t>
      </w:r>
      <w:r w:rsidRPr="00D10E3C">
        <w:rPr>
          <w:rStyle w:val="libFootnotenumChar"/>
          <w:rtl/>
        </w:rPr>
        <w:t>(9)</w:t>
      </w:r>
      <w:r>
        <w:rPr>
          <w:rtl/>
          <w:lang w:bidi="fa-IR"/>
        </w:rPr>
        <w:t xml:space="preserve"> قَدْ طَمِعَ عَدُوُّكُمْ فِيهِ </w:t>
      </w:r>
      <w:r w:rsidRPr="00D10E3C">
        <w:rPr>
          <w:rStyle w:val="libFootnotenumChar"/>
          <w:rtl/>
        </w:rPr>
        <w:t>(10)</w:t>
      </w:r>
      <w:r>
        <w:rPr>
          <w:rtl/>
          <w:lang w:bidi="fa-IR"/>
        </w:rPr>
        <w:t xml:space="preserve"> ، فَقُوهُ بِأَنْفُسِكُمْ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506B63">
        <w:rPr>
          <w:rtl/>
        </w:rPr>
        <w:t>في الوافي</w:t>
      </w:r>
      <w:r w:rsidR="00744A1C">
        <w:rPr>
          <w:rtl/>
          <w:lang w:bidi="fa-IR"/>
        </w:rPr>
        <w:t xml:space="preserve"> عن بعض النسخ و</w:t>
      </w:r>
      <w:r w:rsidR="00744A1C" w:rsidRPr="0061079A">
        <w:rPr>
          <w:rStyle w:val="libFootnoteBoldChar"/>
          <w:rtl/>
        </w:rPr>
        <w:t>البحار</w:t>
      </w:r>
      <w:r w:rsidR="00744A1C">
        <w:rPr>
          <w:rtl/>
          <w:lang w:bidi="fa-IR"/>
        </w:rPr>
        <w:t xml:space="preserve"> : « السلام ». وفي </w:t>
      </w:r>
      <w:r w:rsidR="00744A1C" w:rsidRPr="00C24F9C">
        <w:rPr>
          <w:rStyle w:val="libFootnoteBoldChar"/>
          <w:rtl/>
        </w:rPr>
        <w:t>المرآة</w:t>
      </w:r>
      <w:r w:rsidR="00744A1C">
        <w:rPr>
          <w:rtl/>
          <w:lang w:bidi="fa-IR"/>
        </w:rPr>
        <w:t xml:space="preserve"> : « أي الاستسلام والانقياد ».</w:t>
      </w:r>
    </w:p>
    <w:p w:rsidR="00744A1C" w:rsidRDefault="00E378DD" w:rsidP="00E378DD">
      <w:pPr>
        <w:pStyle w:val="libFootnote0"/>
        <w:rPr>
          <w:lang w:bidi="fa-IR"/>
        </w:rPr>
      </w:pPr>
      <w:r>
        <w:rPr>
          <w:rtl/>
          <w:lang w:bidi="fa-IR"/>
        </w:rPr>
        <w:t>(2).</w:t>
      </w:r>
      <w:r w:rsidR="00744A1C">
        <w:rPr>
          <w:rtl/>
          <w:lang w:bidi="fa-IR"/>
        </w:rPr>
        <w:t xml:space="preserve"> الأعراف </w:t>
      </w:r>
      <w:r w:rsidR="00506B63">
        <w:rPr>
          <w:rtl/>
          <w:lang w:bidi="fa-IR"/>
        </w:rPr>
        <w:t>(7)</w:t>
      </w:r>
      <w:r w:rsidR="00744A1C">
        <w:rPr>
          <w:rtl/>
          <w:lang w:bidi="fa-IR"/>
        </w:rPr>
        <w:t xml:space="preserve"> : 128.</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15 ، ص 112 ، ح 14762 ؛ </w:t>
      </w:r>
      <w:r w:rsidR="00744A1C" w:rsidRPr="00C24F9C">
        <w:rPr>
          <w:rStyle w:val="libFootnoteBoldChar"/>
          <w:rtl/>
        </w:rPr>
        <w:t>الوسائل</w:t>
      </w:r>
      <w:r w:rsidR="00744A1C">
        <w:rPr>
          <w:rtl/>
          <w:lang w:bidi="fa-IR"/>
        </w:rPr>
        <w:t xml:space="preserve"> ، ج 15 ، ص 96 ، ح 20058 ؛ </w:t>
      </w:r>
      <w:r w:rsidR="00744A1C" w:rsidRPr="0061079A">
        <w:rPr>
          <w:rStyle w:val="libFootnoteBoldChar"/>
          <w:rtl/>
        </w:rPr>
        <w:t>البحار</w:t>
      </w:r>
      <w:r w:rsidR="00744A1C">
        <w:rPr>
          <w:rtl/>
          <w:lang w:bidi="fa-IR"/>
        </w:rPr>
        <w:t xml:space="preserve"> ، ج 32 ، ص 562 ، ح 469.</w:t>
      </w:r>
    </w:p>
    <w:p w:rsidR="00744A1C" w:rsidRDefault="00E378DD" w:rsidP="00E378DD">
      <w:pPr>
        <w:pStyle w:val="libFootnote0"/>
        <w:rPr>
          <w:lang w:bidi="fa-IR"/>
        </w:rPr>
      </w:pPr>
      <w:r>
        <w:rPr>
          <w:rtl/>
          <w:lang w:bidi="fa-IR"/>
        </w:rPr>
        <w:t>(4).</w:t>
      </w:r>
      <w:r w:rsidR="00744A1C">
        <w:rPr>
          <w:rtl/>
          <w:lang w:bidi="fa-IR"/>
        </w:rPr>
        <w:t xml:space="preserve"> </w:t>
      </w:r>
      <w:r w:rsidR="00744A1C" w:rsidRPr="00506B63">
        <w:rPr>
          <w:rtl/>
        </w:rPr>
        <w:t>في الوافي</w:t>
      </w:r>
      <w:r w:rsidR="00744A1C">
        <w:rPr>
          <w:rtl/>
          <w:lang w:bidi="fa-IR"/>
        </w:rPr>
        <w:t xml:space="preserve"> : « بن جعفر ». وهو سهو ؛ فقد ورد في </w:t>
      </w:r>
      <w:r w:rsidR="00744A1C" w:rsidRPr="0061079A">
        <w:rPr>
          <w:rStyle w:val="libFootnoteBoldChar"/>
          <w:rtl/>
        </w:rPr>
        <w:t>الكافي</w:t>
      </w:r>
      <w:r w:rsidR="00744A1C">
        <w:rPr>
          <w:rtl/>
          <w:lang w:bidi="fa-IR"/>
        </w:rPr>
        <w:t xml:space="preserve"> ، ح 4359 و 4637 و 4685 رواية أحمد بن محمّدالكوفي ، عن ابن جمهور ، عن أبيه ، عن محمّد بن سنان ، عن مفضّل بن عمر.</w:t>
      </w:r>
    </w:p>
    <w:p w:rsidR="00744A1C" w:rsidRDefault="00E378DD" w:rsidP="00E378DD">
      <w:pPr>
        <w:pStyle w:val="libFootnote0"/>
        <w:rPr>
          <w:lang w:bidi="fa-IR"/>
        </w:rPr>
      </w:pPr>
      <w:r>
        <w:rPr>
          <w:rtl/>
          <w:lang w:bidi="fa-IR"/>
        </w:rPr>
        <w:t>(5).</w:t>
      </w:r>
      <w:r w:rsidR="00744A1C">
        <w:rPr>
          <w:rtl/>
          <w:lang w:bidi="fa-IR"/>
        </w:rPr>
        <w:t xml:space="preserve"> في السند تحويل بعطف « عبد الله بن عبد الرحمن الأصمّ ، عن حريز ، عن محمّد بن مسلم ، عن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على « محمّد بن سنان ، عن مفضّل بن عمر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فيكون الراوي عن عبد الله بن عبد الرحمن الأصمّ هو والد ابن جمهور كما أوضحناه في </w:t>
      </w:r>
      <w:r w:rsidR="00744A1C" w:rsidRPr="0061079A">
        <w:rPr>
          <w:rStyle w:val="libFootnoteBoldChar"/>
          <w:rtl/>
        </w:rPr>
        <w:t>الكافي</w:t>
      </w:r>
      <w:r w:rsidR="00744A1C">
        <w:rPr>
          <w:rtl/>
          <w:lang w:bidi="fa-IR"/>
        </w:rPr>
        <w:t xml:space="preserve"> ، ذيل ح 4359 ، فلاحظ.</w:t>
      </w:r>
    </w:p>
    <w:p w:rsidR="00744A1C" w:rsidRDefault="00E378DD" w:rsidP="00E378DD">
      <w:pPr>
        <w:pStyle w:val="libFootnote0"/>
        <w:rPr>
          <w:lang w:bidi="fa-IR"/>
        </w:rPr>
      </w:pPr>
      <w:r>
        <w:rPr>
          <w:rtl/>
          <w:lang w:bidi="fa-IR"/>
        </w:rPr>
        <w:t>(6).</w:t>
      </w:r>
      <w:r w:rsidR="00744A1C">
        <w:rPr>
          <w:rtl/>
          <w:lang w:bidi="fa-IR"/>
        </w:rPr>
        <w:t xml:space="preserve"> في الخصال والتحف : « وأكثروا ذكر الله ».</w:t>
      </w:r>
    </w:p>
    <w:p w:rsidR="00744A1C" w:rsidRDefault="00E378DD" w:rsidP="00E378DD">
      <w:pPr>
        <w:pStyle w:val="libFootnote0"/>
        <w:rPr>
          <w:lang w:bidi="fa-IR"/>
        </w:rPr>
      </w:pPr>
      <w:r>
        <w:rPr>
          <w:rtl/>
          <w:lang w:bidi="fa-IR"/>
        </w:rPr>
        <w:t>(7).</w:t>
      </w:r>
      <w:r w:rsidR="00744A1C">
        <w:rPr>
          <w:rtl/>
          <w:lang w:bidi="fa-IR"/>
        </w:rPr>
        <w:t xml:space="preserve"> في « بث » : « فيسخطوا ».</w:t>
      </w:r>
    </w:p>
    <w:p w:rsidR="00744A1C" w:rsidRDefault="00E378DD" w:rsidP="00506B63">
      <w:pPr>
        <w:pStyle w:val="libFootnote0"/>
        <w:rPr>
          <w:lang w:bidi="fa-IR"/>
        </w:rPr>
      </w:pPr>
      <w:r>
        <w:rPr>
          <w:rtl/>
          <w:lang w:bidi="fa-IR"/>
        </w:rPr>
        <w:t>(8).</w:t>
      </w:r>
      <w:r w:rsidR="00744A1C">
        <w:rPr>
          <w:rtl/>
          <w:lang w:bidi="fa-IR"/>
        </w:rPr>
        <w:t xml:space="preserve"> التنكيل : المنع ، والتحنية عمّا يريد. ويقال : نكّل به ، مبالغة في نكل به ، أي أصابه بنازلة. راجع : </w:t>
      </w:r>
      <w:r w:rsidR="00744A1C" w:rsidRPr="00877682">
        <w:rPr>
          <w:rStyle w:val="libFootnoteBoldChar"/>
          <w:rtl/>
        </w:rPr>
        <w:t>النهاية</w:t>
      </w:r>
      <w:r w:rsidR="00744A1C">
        <w:rPr>
          <w:rtl/>
          <w:lang w:bidi="fa-IR"/>
        </w:rPr>
        <w:t xml:space="preserve"> ، ج 5 ، ص 116 ؛ </w:t>
      </w:r>
      <w:r w:rsidR="00744A1C" w:rsidRPr="00E978C3">
        <w:rPr>
          <w:rStyle w:val="libFootnoteBoldChar"/>
          <w:rtl/>
        </w:rPr>
        <w:t>المصباح المنير</w:t>
      </w:r>
      <w:r w:rsidR="00744A1C">
        <w:rPr>
          <w:rtl/>
          <w:lang w:bidi="fa-IR"/>
        </w:rPr>
        <w:t xml:space="preserve"> ، ص 625 ( نكل ).</w:t>
      </w:r>
      <w:r w:rsidR="00506B63">
        <w:rPr>
          <w:rFonts w:hint="cs"/>
          <w:rtl/>
          <w:lang w:bidi="fa-IR"/>
        </w:rPr>
        <w:t xml:space="preserve">                </w:t>
      </w: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 « ومن ».</w:t>
      </w:r>
    </w:p>
    <w:p w:rsidR="00744A1C" w:rsidRDefault="00E378DD" w:rsidP="00E378DD">
      <w:pPr>
        <w:pStyle w:val="libFootnote0"/>
        <w:rPr>
          <w:lang w:bidi="fa-IR"/>
        </w:rPr>
      </w:pPr>
      <w:r>
        <w:rPr>
          <w:rtl/>
          <w:lang w:bidi="fa-IR"/>
        </w:rPr>
        <w:t>(10).</w:t>
      </w:r>
      <w:r w:rsidR="00744A1C">
        <w:rPr>
          <w:rtl/>
          <w:lang w:bidi="fa-IR"/>
        </w:rPr>
        <w:t xml:space="preserve"> في </w:t>
      </w:r>
      <w:r w:rsidR="00744A1C" w:rsidRPr="00BD18CA">
        <w:rPr>
          <w:rtl/>
        </w:rPr>
        <w:t>الوسائل</w:t>
      </w:r>
      <w:r w:rsidR="00744A1C">
        <w:rPr>
          <w:rtl/>
          <w:lang w:bidi="fa-IR"/>
        </w:rPr>
        <w:t xml:space="preserve"> : « فيه عدوّكم ».</w:t>
      </w:r>
    </w:p>
    <w:p w:rsidR="00144FA6" w:rsidRDefault="00E378DD" w:rsidP="00E378DD">
      <w:pPr>
        <w:pStyle w:val="libFootnote0"/>
        <w:rPr>
          <w:rtl/>
          <w:lang w:bidi="fa-IR"/>
        </w:rPr>
      </w:pPr>
      <w:r>
        <w:rPr>
          <w:rtl/>
          <w:lang w:bidi="fa-IR"/>
        </w:rPr>
        <w:t>(11).</w:t>
      </w:r>
      <w:r w:rsidR="00744A1C">
        <w:rPr>
          <w:rtl/>
          <w:lang w:bidi="fa-IR"/>
        </w:rPr>
        <w:t xml:space="preserve"> </w:t>
      </w:r>
      <w:r w:rsidR="00744A1C" w:rsidRPr="00BD18CA">
        <w:rPr>
          <w:rStyle w:val="libFootnoteBoldChar"/>
          <w:rtl/>
        </w:rPr>
        <w:t>الخصال</w:t>
      </w:r>
      <w:r w:rsidR="00744A1C">
        <w:rPr>
          <w:rtl/>
          <w:lang w:bidi="fa-IR"/>
        </w:rPr>
        <w:t xml:space="preserve"> ، ص 616 ، أبواب الثمانين وما فوقه ، ضمن الحديث الطويل 10 ، بسنده عن أبي بصير ومحمّد بن مسلم ، عن أبي عبد الله ، عن آبائه ، عن أمير المؤمنين </w:t>
      </w:r>
      <w:r w:rsidR="00877682" w:rsidRPr="00877682">
        <w:rPr>
          <w:rStyle w:val="libFootnoteAlaemChar"/>
          <w:rtl/>
        </w:rPr>
        <w:t>عليهم‌السلام</w:t>
      </w:r>
      <w:r w:rsidR="00744A1C">
        <w:rPr>
          <w:rtl/>
          <w:lang w:bidi="fa-IR"/>
        </w:rPr>
        <w:t xml:space="preserve"> . </w:t>
      </w:r>
      <w:r w:rsidR="00744A1C" w:rsidRPr="007D61A8">
        <w:rPr>
          <w:rStyle w:val="libFootnoteBoldChar"/>
          <w:rtl/>
        </w:rPr>
        <w:t>تحف العقول</w:t>
      </w:r>
      <w:r w:rsidR="00744A1C">
        <w:rPr>
          <w:rtl/>
          <w:lang w:bidi="fa-IR"/>
        </w:rPr>
        <w:t xml:space="preserve"> ، ص 107 ، ضمن الحديث الطويل ، عن</w:t>
      </w:r>
      <w:r w:rsidR="00BD18CA">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4A7A63">
      <w:pPr>
        <w:pStyle w:val="Heading2Center"/>
        <w:rPr>
          <w:lang w:bidi="fa-IR"/>
        </w:rPr>
      </w:pPr>
      <w:bookmarkStart w:id="104" w:name="_Toc49261402"/>
      <w:r>
        <w:rPr>
          <w:rtl/>
          <w:lang w:bidi="fa-IR"/>
        </w:rPr>
        <w:t>16 - بَابٌ‌</w:t>
      </w:r>
      <w:bookmarkEnd w:id="104"/>
    </w:p>
    <w:p w:rsidR="00144FA6" w:rsidRDefault="00744A1C" w:rsidP="00744A1C">
      <w:pPr>
        <w:pStyle w:val="libNormal"/>
        <w:rPr>
          <w:rtl/>
          <w:lang w:bidi="fa-IR"/>
        </w:rPr>
      </w:pPr>
      <w:r>
        <w:rPr>
          <w:rtl/>
          <w:lang w:bidi="fa-IR"/>
        </w:rPr>
        <w:t xml:space="preserve">8265 / 1. مُحَمَّدُ بْنُ يَحْيى ، عَنْ أَحْمَدَ بْنِ مُحَمَّدِ بْنِ </w:t>
      </w:r>
      <w:r w:rsidRPr="00D10E3C">
        <w:rPr>
          <w:rStyle w:val="libFootnotenumChar"/>
          <w:rtl/>
        </w:rPr>
        <w:t>(1)</w:t>
      </w:r>
      <w:r>
        <w:rPr>
          <w:rtl/>
          <w:lang w:bidi="fa-IR"/>
        </w:rPr>
        <w:t xml:space="preserve"> عِيسى ، عَنِ الْحَسَنِ بْنِ مَحْبُوبٍ ، عَنْ هِشَامِ بْنِ سَالِمٍ :</w:t>
      </w:r>
    </w:p>
    <w:p w:rsidR="00744A1C" w:rsidRDefault="00744A1C" w:rsidP="00744A1C">
      <w:pPr>
        <w:pStyle w:val="libNormal"/>
        <w:rPr>
          <w:lang w:bidi="fa-IR"/>
        </w:rPr>
      </w:pPr>
      <w:r>
        <w:rPr>
          <w:rtl/>
          <w:lang w:bidi="fa-IR"/>
        </w:rPr>
        <w:t xml:space="preserve">عَنْ بَعْضِ أَصْحَابِ أَبِي عَبْدِ اللهِ </w:t>
      </w:r>
      <w:r w:rsidR="0061079A" w:rsidRPr="0061079A">
        <w:rPr>
          <w:rStyle w:val="libAlaemChar"/>
          <w:rtl/>
        </w:rPr>
        <w:t>عليه‌السلام</w:t>
      </w:r>
      <w:r w:rsidR="00D10E3C">
        <w:rPr>
          <w:rtl/>
          <w:lang w:bidi="fa-IR"/>
        </w:rPr>
        <w:t xml:space="preserve"> </w:t>
      </w:r>
      <w:r>
        <w:rPr>
          <w:rtl/>
          <w:lang w:bidi="fa-IR"/>
        </w:rPr>
        <w:t xml:space="preserve">: عَنْ أَبِي عَبْدِ اللهِ </w:t>
      </w:r>
      <w:r w:rsidR="0061079A" w:rsidRPr="0061079A">
        <w:rPr>
          <w:rStyle w:val="libAlaemChar"/>
          <w:rtl/>
        </w:rPr>
        <w:t>عليه‌السلام</w:t>
      </w:r>
      <w:r w:rsidR="00D10E3C">
        <w:rPr>
          <w:rtl/>
          <w:lang w:bidi="fa-IR"/>
        </w:rPr>
        <w:t xml:space="preserve"> </w:t>
      </w:r>
      <w:r>
        <w:rPr>
          <w:rtl/>
          <w:lang w:bidi="fa-IR"/>
        </w:rPr>
        <w:t xml:space="preserve">فِي السَّبِيِّ يَأْخُذُهُ </w:t>
      </w:r>
      <w:r w:rsidRPr="00D10E3C">
        <w:rPr>
          <w:rStyle w:val="libFootnotenumChar"/>
          <w:rtl/>
        </w:rPr>
        <w:t>(2)</w:t>
      </w:r>
      <w:r>
        <w:rPr>
          <w:rtl/>
          <w:lang w:bidi="fa-IR"/>
        </w:rPr>
        <w:t xml:space="preserve"> الْعَدُوُّ مِنَ الْمُسْلِمِينَ فِي الْقِتَالِ مِنْ أَوْلَادِ الْمُسْلِمِينَ ، أَوْ مِنْ مَمَالِيكِهِمْ فَيَحُوزُونَهُمْ </w:t>
      </w:r>
      <w:r w:rsidRPr="00D10E3C">
        <w:rPr>
          <w:rStyle w:val="libFootnotenumChar"/>
          <w:rtl/>
        </w:rPr>
        <w:t>(3)</w:t>
      </w:r>
      <w:r>
        <w:rPr>
          <w:rtl/>
          <w:lang w:bidi="fa-IR"/>
        </w:rPr>
        <w:t xml:space="preserve"> ، ثُمَّ إِنَّ الْمُسْلِمِينَ بَعْدُ قَاتَلُوهُمْ </w:t>
      </w:r>
      <w:r w:rsidRPr="00D10E3C">
        <w:rPr>
          <w:rStyle w:val="libFootnotenumChar"/>
          <w:rtl/>
        </w:rPr>
        <w:t>(4)</w:t>
      </w:r>
      <w:r>
        <w:rPr>
          <w:rtl/>
          <w:lang w:bidi="fa-IR"/>
        </w:rPr>
        <w:t xml:space="preserve"> ، فَظَفِرُوا بِهِمْ وَسَبَوْهُمْ ، وَأَخَذُوا مِنْهُمْ </w:t>
      </w:r>
      <w:r w:rsidRPr="00D10E3C">
        <w:rPr>
          <w:rStyle w:val="libFootnotenumChar"/>
          <w:rtl/>
        </w:rPr>
        <w:t>(5)</w:t>
      </w:r>
      <w:r>
        <w:rPr>
          <w:rtl/>
          <w:lang w:bidi="fa-IR"/>
        </w:rPr>
        <w:t xml:space="preserve"> مَا أَخَذُوا مِنْ مَمَالِيكِ الْمُسْلِمِينَ وَأَوْلَادِهِمُ الَّذِينَ كَانُوا أَخَذُوهُ </w:t>
      </w:r>
      <w:r w:rsidRPr="00D10E3C">
        <w:rPr>
          <w:rStyle w:val="libFootnotenumChar"/>
          <w:rtl/>
        </w:rPr>
        <w:t>(6)</w:t>
      </w:r>
      <w:r>
        <w:rPr>
          <w:rtl/>
          <w:lang w:bidi="fa-IR"/>
        </w:rPr>
        <w:t xml:space="preserve"> مِنَ </w:t>
      </w:r>
      <w:r w:rsidRPr="00D10E3C">
        <w:rPr>
          <w:rStyle w:val="libFootnotenumChar"/>
          <w:rtl/>
        </w:rPr>
        <w:t>(7)</w:t>
      </w:r>
      <w:r>
        <w:rPr>
          <w:rtl/>
          <w:lang w:bidi="fa-IR"/>
        </w:rPr>
        <w:t xml:space="preserve"> الْمُسْلِمِينَ ، كَيْفَ يُصْنَعُ بِمَا كَانُوا أَخَذُوهُ مِنْ أَوْلَادِ الْمُسْلِمِينَ </w:t>
      </w:r>
      <w:r w:rsidRPr="00D10E3C">
        <w:rPr>
          <w:rStyle w:val="libFootnotenumChar"/>
          <w:rtl/>
        </w:rPr>
        <w:t>(8)</w:t>
      </w:r>
      <w:r>
        <w:rPr>
          <w:rtl/>
          <w:lang w:bidi="fa-IR"/>
        </w:rPr>
        <w:t xml:space="preserve"> وَ</w:t>
      </w:r>
      <w:r w:rsidR="004A7A63">
        <w:rPr>
          <w:rFonts w:hint="cs"/>
          <w:rtl/>
          <w:lang w:bidi="fa-IR"/>
        </w:rPr>
        <w:t xml:space="preserve"> </w:t>
      </w:r>
      <w:r>
        <w:rPr>
          <w:rtl/>
          <w:lang w:bidi="fa-IR"/>
        </w:rPr>
        <w:t>مَمَالِيكِهِمْ؟</w:t>
      </w:r>
    </w:p>
    <w:p w:rsidR="00744A1C" w:rsidRDefault="00744A1C" w:rsidP="00744A1C">
      <w:pPr>
        <w:pStyle w:val="libNormal"/>
        <w:rPr>
          <w:lang w:bidi="fa-IR"/>
        </w:rPr>
      </w:pPr>
      <w:r>
        <w:rPr>
          <w:rtl/>
          <w:lang w:bidi="fa-IR"/>
        </w:rPr>
        <w:t xml:space="preserve">قَالَ : فَقَالَ : « أَمَّا أَوْلَادُ الْمُسْلِمِينَ ، فَلَا يُقَامُونَ </w:t>
      </w:r>
      <w:r w:rsidRPr="00D10E3C">
        <w:rPr>
          <w:rStyle w:val="libFootnotenumChar"/>
          <w:rtl/>
        </w:rPr>
        <w:t>(9)</w:t>
      </w:r>
      <w:r>
        <w:rPr>
          <w:rtl/>
          <w:lang w:bidi="fa-IR"/>
        </w:rPr>
        <w:t xml:space="preserve"> فِي سِهَامِ الْمُسْلِمِينَ ، وَلكِنْ‌</w:t>
      </w:r>
    </w:p>
    <w:p w:rsidR="00744A1C" w:rsidRDefault="00744A1C" w:rsidP="00D10E3C">
      <w:pPr>
        <w:pStyle w:val="libLine"/>
        <w:rPr>
          <w:lang w:bidi="fa-IR"/>
        </w:rPr>
      </w:pPr>
      <w:r>
        <w:rPr>
          <w:rtl/>
          <w:lang w:bidi="fa-IR"/>
        </w:rPr>
        <w:t>____________________</w:t>
      </w:r>
    </w:p>
    <w:p w:rsidR="00744A1C" w:rsidRDefault="004A7A63" w:rsidP="00D10E3C">
      <w:pPr>
        <w:pStyle w:val="libFootnote0"/>
        <w:rPr>
          <w:lang w:bidi="fa-IR"/>
        </w:rPr>
      </w:pPr>
      <w:r>
        <w:rPr>
          <w:rFonts w:hint="cs"/>
          <w:rtl/>
          <w:lang w:bidi="fa-IR"/>
        </w:rPr>
        <w:t xml:space="preserve">= </w:t>
      </w:r>
      <w:r w:rsidR="00744A1C">
        <w:rPr>
          <w:rtl/>
          <w:lang w:bidi="fa-IR"/>
        </w:rPr>
        <w:t xml:space="preserve">أمير المؤمنين </w:t>
      </w:r>
      <w:r w:rsidR="0061079A" w:rsidRPr="0061079A">
        <w:rPr>
          <w:rStyle w:val="libFootnoteAlaemChar"/>
          <w:rtl/>
        </w:rPr>
        <w:t>عليه‌السلام</w:t>
      </w:r>
      <w:r w:rsidR="00D10E3C">
        <w:rPr>
          <w:rtl/>
          <w:lang w:bidi="fa-IR"/>
        </w:rPr>
        <w:t xml:space="preserve"> </w:t>
      </w:r>
      <w:r w:rsidR="00431426">
        <w:rPr>
          <w:rFonts w:hint="cs"/>
          <w:rtl/>
          <w:lang w:bidi="fa-IR"/>
        </w:rPr>
        <w:t>.</w:t>
      </w:r>
      <w:r w:rsidR="00744A1C" w:rsidRPr="00C24F9C">
        <w:rPr>
          <w:rStyle w:val="libFootnoteBoldChar"/>
          <w:rtl/>
        </w:rPr>
        <w:t>الوافي</w:t>
      </w:r>
      <w:r w:rsidR="00744A1C">
        <w:rPr>
          <w:rtl/>
          <w:lang w:bidi="fa-IR"/>
        </w:rPr>
        <w:t xml:space="preserve"> ، ج 15 ، ص 113 ، ح 14763 ؛ </w:t>
      </w:r>
      <w:r w:rsidR="00744A1C" w:rsidRPr="00C24F9C">
        <w:rPr>
          <w:rStyle w:val="libFootnoteBoldChar"/>
          <w:rtl/>
        </w:rPr>
        <w:t>الوسائل</w:t>
      </w:r>
      <w:r w:rsidR="00744A1C">
        <w:rPr>
          <w:rtl/>
          <w:lang w:bidi="fa-IR"/>
        </w:rPr>
        <w:t xml:space="preserve"> ، ج 15 ، ص 97 ، ح 20059 ؛ </w:t>
      </w:r>
      <w:r w:rsidR="00744A1C" w:rsidRPr="0061079A">
        <w:rPr>
          <w:rStyle w:val="libFootnoteBoldChar"/>
          <w:rtl/>
        </w:rPr>
        <w:t>البحار</w:t>
      </w:r>
      <w:r w:rsidR="00744A1C">
        <w:rPr>
          <w:rtl/>
          <w:lang w:bidi="fa-IR"/>
        </w:rPr>
        <w:t xml:space="preserve"> ، ج 33 ، ص 452 ، ح 663.</w:t>
      </w:r>
    </w:p>
    <w:p w:rsidR="00744A1C" w:rsidRDefault="00D10E3C" w:rsidP="00D10E3C">
      <w:pPr>
        <w:pStyle w:val="libFootnote0"/>
        <w:rPr>
          <w:lang w:bidi="fa-IR"/>
        </w:rPr>
      </w:pPr>
      <w:r>
        <w:rPr>
          <w:rtl/>
          <w:lang w:bidi="fa-IR"/>
        </w:rPr>
        <w:t>(1).</w:t>
      </w:r>
      <w:r w:rsidR="00744A1C">
        <w:rPr>
          <w:rtl/>
          <w:lang w:bidi="fa-IR"/>
        </w:rPr>
        <w:t xml:space="preserve"> في « بث » : - « محمّد بن ».</w:t>
      </w:r>
    </w:p>
    <w:p w:rsidR="00744A1C" w:rsidRDefault="00E378DD" w:rsidP="00E378DD">
      <w:pPr>
        <w:pStyle w:val="libFootnote0"/>
        <w:rPr>
          <w:lang w:bidi="fa-IR"/>
        </w:rPr>
      </w:pPr>
      <w:r>
        <w:rPr>
          <w:rtl/>
          <w:lang w:bidi="fa-IR"/>
        </w:rPr>
        <w:t>(2).</w:t>
      </w:r>
      <w:r w:rsidR="00744A1C">
        <w:rPr>
          <w:rtl/>
          <w:lang w:bidi="fa-IR"/>
        </w:rPr>
        <w:t xml:space="preserve"> في « ى ، بث ، بح </w:t>
      </w:r>
      <w:r w:rsidR="00744A1C" w:rsidRPr="00CE19DB">
        <w:rPr>
          <w:rtl/>
        </w:rPr>
        <w:t xml:space="preserve">، بس ، بف ، جت » والمرآة والوسائل والتهذيب والاستبصار </w:t>
      </w:r>
      <w:r w:rsidR="00744A1C">
        <w:rPr>
          <w:rtl/>
          <w:lang w:bidi="fa-IR"/>
        </w:rPr>
        <w:t>: « يأخذ ».</w:t>
      </w:r>
    </w:p>
    <w:p w:rsidR="00744A1C" w:rsidRDefault="00E378DD" w:rsidP="00E378DD">
      <w:pPr>
        <w:pStyle w:val="libFootnote0"/>
        <w:rPr>
          <w:lang w:bidi="fa-IR"/>
        </w:rPr>
      </w:pPr>
      <w:r>
        <w:rPr>
          <w:rtl/>
          <w:lang w:bidi="fa-IR"/>
        </w:rPr>
        <w:t>(3).</w:t>
      </w:r>
      <w:r w:rsidR="00744A1C">
        <w:rPr>
          <w:rtl/>
          <w:lang w:bidi="fa-IR"/>
        </w:rPr>
        <w:t xml:space="preserve"> في « ى ، بس</w:t>
      </w:r>
      <w:r w:rsidR="00744A1C" w:rsidRPr="00CE19DB">
        <w:rPr>
          <w:rtl/>
        </w:rPr>
        <w:t xml:space="preserve"> ، بف » والوافي والوسائل والتهذيب والاستبصار </w:t>
      </w:r>
      <w:r w:rsidR="00744A1C">
        <w:rPr>
          <w:rtl/>
          <w:lang w:bidi="fa-IR"/>
        </w:rPr>
        <w:t>: « فيحوزونه ». وفي « جن » : « فيجوزونهم ». وفي « بث ، بح » : « فيجوزونه ».</w:t>
      </w:r>
    </w:p>
    <w:p w:rsidR="00744A1C" w:rsidRDefault="00E378DD" w:rsidP="00E378DD">
      <w:pPr>
        <w:pStyle w:val="libFootnote0"/>
        <w:rPr>
          <w:lang w:bidi="fa-IR"/>
        </w:rPr>
      </w:pPr>
      <w:r>
        <w:rPr>
          <w:rtl/>
          <w:lang w:bidi="fa-IR"/>
        </w:rPr>
        <w:t>(4).</w:t>
      </w:r>
      <w:r w:rsidR="00744A1C">
        <w:rPr>
          <w:rtl/>
          <w:lang w:bidi="fa-IR"/>
        </w:rPr>
        <w:t xml:space="preserve"> في « بح » </w:t>
      </w:r>
      <w:r w:rsidR="00744A1C" w:rsidRPr="00CE19DB">
        <w:rPr>
          <w:rtl/>
        </w:rPr>
        <w:t>و</w:t>
      </w:r>
      <w:r w:rsidR="00CE19DB">
        <w:rPr>
          <w:rFonts w:hint="cs"/>
          <w:rtl/>
        </w:rPr>
        <w:t xml:space="preserve"> </w:t>
      </w:r>
      <w:r w:rsidR="00744A1C" w:rsidRPr="00CE19DB">
        <w:rPr>
          <w:rtl/>
        </w:rPr>
        <w:t>الاستبصار</w:t>
      </w:r>
      <w:r w:rsidR="00744A1C">
        <w:rPr>
          <w:rtl/>
          <w:lang w:bidi="fa-IR"/>
        </w:rPr>
        <w:t xml:space="preserve"> : « بعد أن قاتلوهم ». وفي « جن » : « بعد ما قتلوهم ».</w:t>
      </w:r>
    </w:p>
    <w:p w:rsidR="00744A1C" w:rsidRDefault="00E378DD" w:rsidP="00E378DD">
      <w:pPr>
        <w:pStyle w:val="libFootnote0"/>
        <w:rPr>
          <w:lang w:bidi="fa-IR"/>
        </w:rPr>
      </w:pPr>
      <w:r>
        <w:rPr>
          <w:rtl/>
          <w:lang w:bidi="fa-IR"/>
        </w:rPr>
        <w:t>(5).</w:t>
      </w:r>
      <w:r w:rsidR="00744A1C">
        <w:rPr>
          <w:rtl/>
          <w:lang w:bidi="fa-IR"/>
        </w:rPr>
        <w:t xml:space="preserve"> في « بف » : - « منهم ».</w:t>
      </w:r>
    </w:p>
    <w:p w:rsidR="00744A1C" w:rsidRDefault="00E378DD" w:rsidP="00E378DD">
      <w:pPr>
        <w:pStyle w:val="libFootnote0"/>
        <w:rPr>
          <w:lang w:bidi="fa-IR"/>
        </w:rPr>
      </w:pPr>
      <w:r>
        <w:rPr>
          <w:rtl/>
          <w:lang w:bidi="fa-IR"/>
        </w:rPr>
        <w:t>(6).</w:t>
      </w:r>
      <w:r w:rsidR="00744A1C">
        <w:rPr>
          <w:rtl/>
          <w:lang w:bidi="fa-IR"/>
        </w:rPr>
        <w:t xml:space="preserve"> ف</w:t>
      </w:r>
      <w:r w:rsidR="00744A1C" w:rsidRPr="00CE19DB">
        <w:rPr>
          <w:rtl/>
        </w:rPr>
        <w:t xml:space="preserve">ي الوافي والوسائل والتهذيب والاستبصار </w:t>
      </w:r>
      <w:r w:rsidR="00744A1C">
        <w:rPr>
          <w:rtl/>
          <w:lang w:bidi="fa-IR"/>
        </w:rPr>
        <w:t>: « أخذوهم ».</w:t>
      </w:r>
    </w:p>
    <w:p w:rsidR="00744A1C" w:rsidRDefault="00E378DD" w:rsidP="00E378DD">
      <w:pPr>
        <w:pStyle w:val="libFootnote0"/>
        <w:rPr>
          <w:lang w:bidi="fa-IR"/>
        </w:rPr>
      </w:pPr>
      <w:r>
        <w:rPr>
          <w:rtl/>
          <w:lang w:bidi="fa-IR"/>
        </w:rPr>
        <w:t>(7).</w:t>
      </w:r>
      <w:r w:rsidR="00744A1C">
        <w:rPr>
          <w:rtl/>
          <w:lang w:bidi="fa-IR"/>
        </w:rPr>
        <w:t xml:space="preserve"> في « بح ، بف » : + « أولاد ».</w:t>
      </w:r>
    </w:p>
    <w:p w:rsidR="00744A1C" w:rsidRDefault="00E378DD" w:rsidP="00E378DD">
      <w:pPr>
        <w:pStyle w:val="libFootnote0"/>
        <w:rPr>
          <w:lang w:bidi="fa-IR"/>
        </w:rPr>
      </w:pPr>
      <w:r>
        <w:rPr>
          <w:rtl/>
          <w:lang w:bidi="fa-IR"/>
        </w:rPr>
        <w:t>(8).</w:t>
      </w:r>
      <w:r w:rsidR="00744A1C">
        <w:rPr>
          <w:rtl/>
          <w:lang w:bidi="fa-IR"/>
        </w:rPr>
        <w:t xml:space="preserve"> في « بف ، جن » : - « كيف يصنع بما كانوا أخذوه من أولاد المسلمين ».</w:t>
      </w:r>
    </w:p>
    <w:p w:rsidR="00744A1C" w:rsidRDefault="00E378DD" w:rsidP="00E378DD">
      <w:pPr>
        <w:pStyle w:val="libFootnote0"/>
        <w:rPr>
          <w:lang w:bidi="fa-IR"/>
        </w:rPr>
      </w:pPr>
      <w:r>
        <w:rPr>
          <w:rtl/>
          <w:lang w:bidi="fa-IR"/>
        </w:rPr>
        <w:t>(9).</w:t>
      </w:r>
      <w:r w:rsidR="00744A1C">
        <w:rPr>
          <w:rtl/>
          <w:lang w:bidi="fa-IR"/>
        </w:rPr>
        <w:t xml:space="preserve"> في « جن » : « فلا يقومون ».</w:t>
      </w:r>
    </w:p>
    <w:p w:rsidR="00744A1C" w:rsidRDefault="00744A1C" w:rsidP="00CE19DB">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378 : « قوله </w:t>
      </w:r>
      <w:r w:rsidR="0061079A" w:rsidRPr="0061079A">
        <w:rPr>
          <w:rStyle w:val="libFootnoteAlaemChar"/>
          <w:rtl/>
        </w:rPr>
        <w:t>عليه‌السلام</w:t>
      </w:r>
      <w:r w:rsidR="00D10E3C">
        <w:rPr>
          <w:rtl/>
          <w:lang w:bidi="fa-IR"/>
        </w:rPr>
        <w:t xml:space="preserve"> </w:t>
      </w:r>
      <w:r>
        <w:rPr>
          <w:rtl/>
          <w:lang w:bidi="fa-IR"/>
        </w:rPr>
        <w:t xml:space="preserve">: فلا يُقامون ، لعلّه محمول على ما بعد القسمة ، والمراد بالإقامة في سهامهم إبقاؤها على القسمة ، والمراد بالبيع : التقويم ، أي يقوّمون ويعطى مواليهم قيمتهم من بيت المال ولا ينقص القسمة. ويمكن حمله على ما قبل القسمة ، فالمراد بالموالي أرباب الغنيمة. وعلى المشهور حمل </w:t>
      </w:r>
      <w:r w:rsidR="00CE19DB">
        <w:rPr>
          <w:rFonts w:hint="cs"/>
          <w:rtl/>
          <w:lang w:bidi="fa-IR"/>
        </w:rPr>
        <w:t>=</w:t>
      </w:r>
    </w:p>
    <w:p w:rsidR="00402829" w:rsidRDefault="00402829" w:rsidP="00402829">
      <w:pPr>
        <w:pStyle w:val="libNormal"/>
        <w:rPr>
          <w:rtl/>
          <w:lang w:bidi="fa-IR"/>
        </w:rPr>
      </w:pPr>
      <w:r>
        <w:rPr>
          <w:rtl/>
          <w:lang w:bidi="fa-IR"/>
        </w:rPr>
        <w:br w:type="page"/>
      </w:r>
    </w:p>
    <w:p w:rsidR="00144FA6" w:rsidRDefault="00744A1C" w:rsidP="00083953">
      <w:pPr>
        <w:pStyle w:val="libNormal0"/>
        <w:rPr>
          <w:rtl/>
          <w:lang w:bidi="fa-IR"/>
        </w:rPr>
      </w:pPr>
      <w:r>
        <w:rPr>
          <w:rtl/>
          <w:lang w:bidi="fa-IR"/>
        </w:rPr>
        <w:t xml:space="preserve">يُرَدُّونَ إِلى أَبِيهِمْ ، أَوْ أَخِيهِمْ </w:t>
      </w:r>
      <w:r w:rsidRPr="00D10E3C">
        <w:rPr>
          <w:rStyle w:val="libFootnotenumChar"/>
          <w:rtl/>
        </w:rPr>
        <w:t>(1)</w:t>
      </w:r>
      <w:r>
        <w:rPr>
          <w:rtl/>
          <w:lang w:bidi="fa-IR"/>
        </w:rPr>
        <w:t xml:space="preserve"> ، أَوْ إِلى وَلِيِّهِمْ </w:t>
      </w:r>
      <w:r w:rsidRPr="00D10E3C">
        <w:rPr>
          <w:rStyle w:val="libFootnotenumChar"/>
          <w:rtl/>
        </w:rPr>
        <w:t>(2)</w:t>
      </w:r>
      <w:r>
        <w:rPr>
          <w:rtl/>
          <w:lang w:bidi="fa-IR"/>
        </w:rPr>
        <w:t xml:space="preserve"> بِشُهُودٍ </w:t>
      </w:r>
      <w:r w:rsidRPr="00D10E3C">
        <w:rPr>
          <w:rStyle w:val="libFootnotenumChar"/>
          <w:rtl/>
        </w:rPr>
        <w:t>(3)</w:t>
      </w:r>
      <w:r>
        <w:rPr>
          <w:rtl/>
          <w:lang w:bidi="fa-IR"/>
        </w:rPr>
        <w:t xml:space="preserve"> ، وَأَمَّا الْمَمَالِيكُ ، فَإِنَّهُمْ يُقَامُونَ فِي سِهَامِ الْمُسْلِمِينَ ، فَيُبَاعُونَ ، وَيُعْطى </w:t>
      </w:r>
      <w:r w:rsidRPr="00D10E3C">
        <w:rPr>
          <w:rStyle w:val="libFootnotenumChar"/>
          <w:rtl/>
        </w:rPr>
        <w:t>(4)</w:t>
      </w:r>
      <w:r>
        <w:rPr>
          <w:rtl/>
          <w:lang w:bidi="fa-IR"/>
        </w:rPr>
        <w:t xml:space="preserve"> مَوَالِيهِمْ قِيمَةَ أَثْمَانِهِمْ مِنْ بَيْتِ مَالِ الْمُسْلِمِينَ ». </w:t>
      </w:r>
      <w:r w:rsidRPr="00D10E3C">
        <w:rPr>
          <w:rStyle w:val="libFootnotenumChar"/>
          <w:rtl/>
        </w:rPr>
        <w:t>(5)</w:t>
      </w:r>
    </w:p>
    <w:p w:rsidR="00144FA6" w:rsidRDefault="00744A1C" w:rsidP="00744A1C">
      <w:pPr>
        <w:pStyle w:val="libNormal"/>
        <w:rPr>
          <w:rtl/>
          <w:lang w:bidi="fa-IR"/>
        </w:rPr>
      </w:pPr>
      <w:r>
        <w:rPr>
          <w:rtl/>
          <w:lang w:bidi="fa-IR"/>
        </w:rPr>
        <w:t>8266 / 2. عَلِيُّ بْنُ إِبْرَاهِيمَ ، عَنْ أَبِيهِ ، عَنِ ابْنِ أَبِي عُمَيْرٍ ، عَنْ حَمَّادٍ ، عَنِ الْحَلَبِيِّ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سَأَلْتُهُ عَنْ رَجُلٍ لَقِيَهُ الْعَدُوُّ ، وَأَصَابَ مِنْهُ مَالاً ، أَوْ مَتَاعاً ، ثُمَّ إِنَّ الْمُسْلِمِينَ أَصَابُوا ذلِكَ ، كَيْفَ يُصْنَعُ بِمَتَاعِ الرَّجُلِ؟</w:t>
      </w:r>
    </w:p>
    <w:p w:rsidR="00144FA6" w:rsidRDefault="00744A1C" w:rsidP="00744A1C">
      <w:pPr>
        <w:pStyle w:val="libNormal"/>
        <w:rPr>
          <w:rtl/>
          <w:lang w:bidi="fa-IR"/>
        </w:rPr>
      </w:pPr>
      <w:r>
        <w:rPr>
          <w:rtl/>
          <w:lang w:bidi="fa-IR"/>
        </w:rPr>
        <w:t xml:space="preserve">فَقَالَ : « إِذَا كَانَ </w:t>
      </w:r>
      <w:r w:rsidRPr="00D10E3C">
        <w:rPr>
          <w:rStyle w:val="libFootnotenumChar"/>
          <w:rtl/>
        </w:rPr>
        <w:t>(6)</w:t>
      </w:r>
      <w:r>
        <w:rPr>
          <w:rtl/>
          <w:lang w:bidi="fa-IR"/>
        </w:rPr>
        <w:t xml:space="preserve"> أَصَابُوهُ قَبْلَ أَنْ يَحُوزُوا </w:t>
      </w:r>
      <w:r w:rsidRPr="00D10E3C">
        <w:rPr>
          <w:rStyle w:val="libFootnotenumChar"/>
          <w:rtl/>
        </w:rPr>
        <w:t>(7)</w:t>
      </w:r>
      <w:r>
        <w:rPr>
          <w:rtl/>
          <w:lang w:bidi="fa-IR"/>
        </w:rPr>
        <w:t xml:space="preserve"> مَتَاعَ الرَّجُلِ ، رُدَّ عَلَيْهِ ؛ وَإِنْ كَانَ </w:t>
      </w:r>
      <w:r w:rsidRPr="00D10E3C">
        <w:rPr>
          <w:rStyle w:val="libFootnotenumChar"/>
          <w:rtl/>
        </w:rPr>
        <w:t>(8)</w:t>
      </w:r>
      <w:r>
        <w:rPr>
          <w:rtl/>
          <w:lang w:bidi="fa-IR"/>
        </w:rPr>
        <w:t xml:space="preserve"> أَصَابُوهُ بَعْدَ مَا حَازُوهُ ، فَهُوَ فَيْ‌ءٌ لِلْمُسْلِمِينَ </w:t>
      </w:r>
      <w:r w:rsidRPr="00D10E3C">
        <w:rPr>
          <w:rStyle w:val="libFootnotenumChar"/>
          <w:rtl/>
        </w:rPr>
        <w:t>(9)</w:t>
      </w:r>
      <w:r>
        <w:rPr>
          <w:rtl/>
          <w:lang w:bidi="fa-IR"/>
        </w:rPr>
        <w:t xml:space="preserve"> ، وَهُوَ </w:t>
      </w:r>
      <w:r w:rsidRPr="00D10E3C">
        <w:rPr>
          <w:rStyle w:val="libFootnotenumChar"/>
          <w:rtl/>
        </w:rPr>
        <w:t>(10)</w:t>
      </w:r>
      <w:r>
        <w:rPr>
          <w:rtl/>
          <w:lang w:bidi="fa-IR"/>
        </w:rPr>
        <w:t xml:space="preserve"> أَحَقُّ بِالشُّفْعَةِ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083953" w:rsidRDefault="00083953" w:rsidP="00083953">
      <w:pPr>
        <w:pStyle w:val="libFootnote0"/>
        <w:rPr>
          <w:lang w:bidi="fa-IR"/>
        </w:rPr>
      </w:pPr>
      <w:r>
        <w:rPr>
          <w:rFonts w:hint="cs"/>
          <w:rtl/>
          <w:lang w:bidi="fa-IR"/>
        </w:rPr>
        <w:t xml:space="preserve">= </w:t>
      </w:r>
      <w:r>
        <w:rPr>
          <w:rtl/>
          <w:lang w:bidi="fa-IR"/>
        </w:rPr>
        <w:t>ما بعد القسمة عليه ، بأن يكون المراد ردّ العبيد على الموالي السابقة وإعطاء الثمن الموالي اللاحقة ، ولو كان المراد بالموالي الموالي السابقة يمكن أن يقرأ يعطي ، على بناء المعلوم ، فلا ينافي خبر الحلبي ».</w:t>
      </w:r>
    </w:p>
    <w:p w:rsidR="00744A1C" w:rsidRDefault="00D10E3C" w:rsidP="00D10E3C">
      <w:pPr>
        <w:pStyle w:val="libFootnote0"/>
        <w:rPr>
          <w:lang w:bidi="fa-IR"/>
        </w:rPr>
      </w:pPr>
      <w:r>
        <w:rPr>
          <w:rtl/>
          <w:lang w:bidi="fa-IR"/>
        </w:rPr>
        <w:t>(1).</w:t>
      </w:r>
      <w:r w:rsidR="00744A1C">
        <w:rPr>
          <w:rtl/>
          <w:lang w:bidi="fa-IR"/>
        </w:rPr>
        <w:t xml:space="preserve"> في « ى ، جن » </w:t>
      </w:r>
      <w:r w:rsidR="00744A1C" w:rsidRPr="003D30E1">
        <w:rPr>
          <w:rtl/>
        </w:rPr>
        <w:t>والوسائل</w:t>
      </w:r>
      <w:r w:rsidR="00744A1C">
        <w:rPr>
          <w:rtl/>
          <w:lang w:bidi="fa-IR"/>
        </w:rPr>
        <w:t xml:space="preserve"> : « وأخيهم ». وفي « بح ، بس » </w:t>
      </w:r>
      <w:r w:rsidR="00744A1C" w:rsidRPr="003D30E1">
        <w:rPr>
          <w:rtl/>
        </w:rPr>
        <w:t>والوافي</w:t>
      </w:r>
      <w:r w:rsidR="00744A1C">
        <w:rPr>
          <w:rtl/>
          <w:lang w:bidi="fa-IR"/>
        </w:rPr>
        <w:t xml:space="preserve"> : « أو إلى أخيهم ».</w:t>
      </w:r>
    </w:p>
    <w:p w:rsidR="00744A1C" w:rsidRDefault="00E378DD" w:rsidP="00E378DD">
      <w:pPr>
        <w:pStyle w:val="libFootnote0"/>
        <w:rPr>
          <w:lang w:bidi="fa-IR"/>
        </w:rPr>
      </w:pPr>
      <w:r>
        <w:rPr>
          <w:rtl/>
          <w:lang w:bidi="fa-IR"/>
        </w:rPr>
        <w:t>(2).</w:t>
      </w:r>
      <w:r w:rsidR="00744A1C">
        <w:rPr>
          <w:rtl/>
          <w:lang w:bidi="fa-IR"/>
        </w:rPr>
        <w:t xml:space="preserve"> في </w:t>
      </w:r>
      <w:r w:rsidR="00744A1C" w:rsidRPr="003D30E1">
        <w:rPr>
          <w:rtl/>
        </w:rPr>
        <w:t>الوسائل</w:t>
      </w:r>
      <w:r w:rsidR="00744A1C">
        <w:rPr>
          <w:rtl/>
          <w:lang w:bidi="fa-IR"/>
        </w:rPr>
        <w:t xml:space="preserve"> : « وإلى وليّهم ».</w:t>
      </w:r>
    </w:p>
    <w:p w:rsidR="00744A1C" w:rsidRDefault="00E378DD" w:rsidP="00663A1B">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أي مع ثبوت كونهم أحراراً بالشهود ؛ لأنّها في أ</w:t>
      </w:r>
      <w:r w:rsidR="003D30E1">
        <w:rPr>
          <w:rtl/>
          <w:lang w:bidi="fa-IR"/>
        </w:rPr>
        <w:t>يدي الغانمين ، لا يؤخذ منهم إل</w:t>
      </w:r>
      <w:r w:rsidR="003D30E1">
        <w:rPr>
          <w:rFonts w:hint="cs"/>
          <w:rtl/>
          <w:lang w:bidi="fa-IR"/>
        </w:rPr>
        <w:t>ّ</w:t>
      </w:r>
      <w:r w:rsidR="003D30E1">
        <w:rPr>
          <w:rtl/>
          <w:lang w:bidi="fa-IR"/>
        </w:rPr>
        <w:t>ا</w:t>
      </w:r>
      <w:r w:rsidR="00744A1C">
        <w:rPr>
          <w:rtl/>
          <w:lang w:bidi="fa-IR"/>
        </w:rPr>
        <w:t>بعد الثبوت ، أو المرا</w:t>
      </w:r>
      <w:r w:rsidR="00297310">
        <w:rPr>
          <w:rtl/>
          <w:lang w:bidi="fa-IR"/>
        </w:rPr>
        <w:t>د أنّه لا يردّون إلى وليّهم إل</w:t>
      </w:r>
      <w:r w:rsidR="00297310">
        <w:rPr>
          <w:rFonts w:hint="cs"/>
          <w:rtl/>
          <w:lang w:bidi="fa-IR"/>
        </w:rPr>
        <w:t>ّ</w:t>
      </w:r>
      <w:r w:rsidR="00297310">
        <w:rPr>
          <w:rtl/>
          <w:lang w:bidi="fa-IR"/>
        </w:rPr>
        <w:t>ا</w:t>
      </w:r>
      <w:r w:rsidR="00663A1B">
        <w:rPr>
          <w:rtl/>
          <w:lang w:bidi="fa-IR"/>
        </w:rPr>
        <w:t>بعد الإشهاد عليهم ؛ لئل</w:t>
      </w:r>
      <w:r w:rsidR="00663A1B">
        <w:rPr>
          <w:rFonts w:hint="cs"/>
          <w:rtl/>
          <w:lang w:bidi="fa-IR"/>
        </w:rPr>
        <w:t>ّ</w:t>
      </w:r>
      <w:r w:rsidR="00663A1B">
        <w:rPr>
          <w:rtl/>
          <w:lang w:bidi="fa-IR"/>
        </w:rPr>
        <w:t>ا</w:t>
      </w:r>
      <w:r w:rsidR="00744A1C">
        <w:rPr>
          <w:rtl/>
          <w:lang w:bidi="fa-IR"/>
        </w:rPr>
        <w:t xml:space="preserve"> يبيعوهم ».</w:t>
      </w:r>
    </w:p>
    <w:p w:rsidR="00744A1C" w:rsidRDefault="00E378DD" w:rsidP="00054EEF">
      <w:pPr>
        <w:pStyle w:val="libFootnote0"/>
        <w:rPr>
          <w:lang w:bidi="fa-IR"/>
        </w:rPr>
      </w:pPr>
      <w:r>
        <w:rPr>
          <w:rtl/>
          <w:lang w:bidi="fa-IR"/>
        </w:rPr>
        <w:t>(4).</w:t>
      </w:r>
      <w:r w:rsidR="00744A1C">
        <w:rPr>
          <w:rtl/>
          <w:lang w:bidi="fa-IR"/>
        </w:rPr>
        <w:t xml:space="preserve"> في « بث » وحاشية « بح » : « ويعطون ». وفي </w:t>
      </w:r>
      <w:r w:rsidR="00744A1C" w:rsidRPr="00C24F9C">
        <w:rPr>
          <w:rStyle w:val="libFootnoteBoldChar"/>
          <w:rtl/>
        </w:rPr>
        <w:t>الوافي</w:t>
      </w:r>
      <w:r w:rsidR="00744A1C">
        <w:rPr>
          <w:rtl/>
          <w:lang w:bidi="fa-IR"/>
        </w:rPr>
        <w:t xml:space="preserve"> : « فيعطى ». وفي </w:t>
      </w:r>
      <w:r w:rsidR="00744A1C" w:rsidRPr="00C24F9C">
        <w:rPr>
          <w:rStyle w:val="libFootnoteBoldChar"/>
          <w:rtl/>
        </w:rPr>
        <w:t>الوسائل</w:t>
      </w:r>
      <w:r w:rsidR="00744A1C">
        <w:rPr>
          <w:rtl/>
          <w:lang w:bidi="fa-IR"/>
        </w:rPr>
        <w:t xml:space="preserve"> : « وتعطى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159 ، ح 287 ؛ </w:t>
      </w:r>
      <w:r w:rsidR="00744A1C" w:rsidRPr="00C24F9C">
        <w:rPr>
          <w:rStyle w:val="libFootnoteBoldChar"/>
          <w:rtl/>
        </w:rPr>
        <w:t>والاستبصار</w:t>
      </w:r>
      <w:r w:rsidR="00744A1C">
        <w:rPr>
          <w:rtl/>
          <w:lang w:bidi="fa-IR"/>
        </w:rPr>
        <w:t xml:space="preserve"> ، ج 3 ، ص 4 ، ح 8 ، بسندهما عن أحمد بن محمّد ، عن ابن محبوب </w:t>
      </w:r>
      <w:r w:rsidR="0089149B">
        <w:rPr>
          <w:rFonts w:hint="cs"/>
          <w:rtl/>
          <w:lang w:bidi="fa-IR"/>
        </w:rPr>
        <w:t>.</w:t>
      </w:r>
      <w:r w:rsidR="00744A1C" w:rsidRPr="00C24F9C">
        <w:rPr>
          <w:rStyle w:val="libFootnoteBoldChar"/>
          <w:rtl/>
        </w:rPr>
        <w:t>الوافي</w:t>
      </w:r>
      <w:r w:rsidR="00744A1C">
        <w:rPr>
          <w:rtl/>
          <w:lang w:bidi="fa-IR"/>
        </w:rPr>
        <w:t xml:space="preserve"> ، ج 15 ، ص 137 ، ح 14801 ؛ </w:t>
      </w:r>
      <w:r w:rsidR="00744A1C" w:rsidRPr="00C24F9C">
        <w:rPr>
          <w:rStyle w:val="libFootnoteBoldChar"/>
          <w:rtl/>
        </w:rPr>
        <w:t>الوسائل</w:t>
      </w:r>
      <w:r w:rsidR="00744A1C">
        <w:rPr>
          <w:rtl/>
          <w:lang w:bidi="fa-IR"/>
        </w:rPr>
        <w:t xml:space="preserve"> ، ج 15 ، ص 97 ، ح 20060.</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كانوا ».</w:t>
      </w:r>
    </w:p>
    <w:p w:rsidR="00744A1C" w:rsidRDefault="00E378DD" w:rsidP="00410569">
      <w:pPr>
        <w:pStyle w:val="libFootnote0"/>
        <w:rPr>
          <w:lang w:bidi="fa-IR"/>
        </w:rPr>
      </w:pPr>
      <w:r>
        <w:rPr>
          <w:rtl/>
          <w:lang w:bidi="fa-IR"/>
        </w:rPr>
        <w:t>(7).</w:t>
      </w:r>
      <w:r w:rsidR="00744A1C">
        <w:rPr>
          <w:rtl/>
          <w:lang w:bidi="fa-IR"/>
        </w:rPr>
        <w:t xml:space="preserve"> في « بح » : « أن يجوزوا ». والحَوْز : الجمع ، وكلّ من ضمّ إلى نفسه شيئاً فقد حازه حَوزاً وحيازة واحتازه أيضاً. </w:t>
      </w:r>
      <w:r w:rsidR="00744A1C" w:rsidRPr="00E978C3">
        <w:rPr>
          <w:rStyle w:val="libFootnoteBoldChar"/>
          <w:rtl/>
        </w:rPr>
        <w:t>الصحاح</w:t>
      </w:r>
      <w:r w:rsidR="00744A1C">
        <w:rPr>
          <w:rtl/>
          <w:lang w:bidi="fa-IR"/>
        </w:rPr>
        <w:t xml:space="preserve"> ، ج 3 ، ص 875 ( حوز ).</w:t>
      </w:r>
      <w:r w:rsidR="00410569">
        <w:rPr>
          <w:rFonts w:hint="cs"/>
          <w:rtl/>
          <w:lang w:bidi="fa-IR"/>
        </w:rPr>
        <w:t xml:space="preserve">                       </w:t>
      </w:r>
      <w:r>
        <w:rPr>
          <w:rtl/>
          <w:lang w:bidi="fa-IR"/>
        </w:rPr>
        <w:t>(8).</w:t>
      </w:r>
      <w:r w:rsidR="00744A1C">
        <w:rPr>
          <w:rtl/>
          <w:lang w:bidi="fa-IR"/>
        </w:rPr>
        <w:t xml:space="preserve"> في </w:t>
      </w:r>
      <w:r w:rsidR="00744A1C" w:rsidRPr="00C24F9C">
        <w:rPr>
          <w:rStyle w:val="libFootnoteBoldChar"/>
          <w:rtl/>
        </w:rPr>
        <w:t>الوسائل</w:t>
      </w:r>
      <w:r w:rsidR="00744A1C">
        <w:rPr>
          <w:rtl/>
          <w:lang w:bidi="fa-IR"/>
        </w:rPr>
        <w:t xml:space="preserve"> : « كانوا ».</w:t>
      </w:r>
    </w:p>
    <w:p w:rsidR="00744A1C" w:rsidRDefault="00E378DD" w:rsidP="00410569">
      <w:pPr>
        <w:pStyle w:val="libFootnote0"/>
        <w:rPr>
          <w:lang w:bidi="fa-IR"/>
        </w:rPr>
      </w:pPr>
      <w:r>
        <w:rPr>
          <w:rtl/>
          <w:lang w:bidi="fa-IR"/>
        </w:rPr>
        <w:t>(9).</w:t>
      </w:r>
      <w:r w:rsidR="00744A1C">
        <w:rPr>
          <w:rtl/>
          <w:lang w:bidi="fa-IR"/>
        </w:rPr>
        <w:t xml:space="preserve"> في « بح ، جت ، جد » : « المسلمين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ف</w:t>
      </w:r>
      <w:r w:rsidR="00410569">
        <w:rPr>
          <w:rtl/>
          <w:lang w:bidi="fa-IR"/>
        </w:rPr>
        <w:t>ي‌ء للمسلمين ، قال الوالد العل</w:t>
      </w:r>
      <w:r w:rsidR="00410569">
        <w:rPr>
          <w:rFonts w:hint="cs"/>
          <w:rtl/>
          <w:lang w:bidi="fa-IR"/>
        </w:rPr>
        <w:t>ّ</w:t>
      </w:r>
      <w:r w:rsidR="00410569">
        <w:rPr>
          <w:rtl/>
          <w:lang w:bidi="fa-IR"/>
        </w:rPr>
        <w:t>ا</w:t>
      </w:r>
      <w:r w:rsidR="00744A1C">
        <w:rPr>
          <w:rtl/>
          <w:lang w:bidi="fa-IR"/>
        </w:rPr>
        <w:t xml:space="preserve">مة </w:t>
      </w:r>
      <w:r w:rsidR="00410569" w:rsidRPr="00410569">
        <w:rPr>
          <w:rStyle w:val="libFootnoteAlaemChar"/>
          <w:rtl/>
        </w:rPr>
        <w:t>قدس‌سره</w:t>
      </w:r>
      <w:r w:rsidR="00744A1C">
        <w:rPr>
          <w:rtl/>
          <w:lang w:bidi="fa-IR"/>
        </w:rPr>
        <w:t>: أي لو باعه الغانم ، فيأخذه بالثمن ، ويرجع بالثمن على بيت المال ، وإن أراد أن يأخذ العين أخذها ، ورجع الغانم بقيمتها على بيت المال ، وإن شاء أخذ قيمتها من بيت المال ».</w:t>
      </w:r>
    </w:p>
    <w:p w:rsidR="00744A1C" w:rsidRDefault="00E378DD" w:rsidP="00E378DD">
      <w:pPr>
        <w:pStyle w:val="libFootnote0"/>
        <w:rPr>
          <w:lang w:bidi="fa-IR"/>
        </w:rPr>
      </w:pPr>
      <w:r>
        <w:rPr>
          <w:rtl/>
          <w:lang w:bidi="fa-IR"/>
        </w:rPr>
        <w:t>(10).</w:t>
      </w:r>
      <w:r w:rsidR="00744A1C">
        <w:rPr>
          <w:rtl/>
          <w:lang w:bidi="fa-IR"/>
        </w:rPr>
        <w:t xml:space="preserve"> في « بف » </w:t>
      </w:r>
      <w:r w:rsidR="00744A1C" w:rsidRPr="00410569">
        <w:rPr>
          <w:rtl/>
        </w:rPr>
        <w:t>والوسائل</w:t>
      </w:r>
      <w:r w:rsidR="00744A1C">
        <w:rPr>
          <w:rtl/>
          <w:lang w:bidi="fa-IR"/>
        </w:rPr>
        <w:t xml:space="preserve"> : « فهو ».</w:t>
      </w:r>
    </w:p>
    <w:p w:rsidR="00744A1C" w:rsidRDefault="00E378DD" w:rsidP="00E378DD">
      <w:pPr>
        <w:pStyle w:val="libFootnote0"/>
        <w:rPr>
          <w:lang w:bidi="fa-IR"/>
        </w:rPr>
      </w:pPr>
      <w:r>
        <w:rPr>
          <w:rtl/>
          <w:lang w:bidi="fa-IR"/>
        </w:rPr>
        <w:t>(11).</w:t>
      </w:r>
      <w:r w:rsidR="00744A1C">
        <w:rPr>
          <w:rtl/>
          <w:lang w:bidi="fa-IR"/>
        </w:rPr>
        <w:t xml:space="preserve"> في حاشية « ى » : « بالشفقة ». وفي حاشية ا</w:t>
      </w:r>
      <w:r w:rsidR="00410569">
        <w:rPr>
          <w:rFonts w:hint="cs"/>
          <w:rtl/>
          <w:lang w:bidi="fa-IR"/>
        </w:rPr>
        <w:t>ُ</w:t>
      </w:r>
      <w:r w:rsidR="00744A1C">
        <w:rPr>
          <w:rtl/>
          <w:lang w:bidi="fa-IR"/>
        </w:rPr>
        <w:t xml:space="preserve">خرى لها : « بالسبقة ». وفي </w:t>
      </w:r>
      <w:r w:rsidR="00744A1C" w:rsidRPr="00C24F9C">
        <w:rPr>
          <w:rStyle w:val="libFootnoteBoldChar"/>
          <w:rtl/>
        </w:rPr>
        <w:t>الوافي</w:t>
      </w:r>
      <w:r w:rsidR="00744A1C">
        <w:rPr>
          <w:rtl/>
          <w:lang w:bidi="fa-IR"/>
        </w:rPr>
        <w:t xml:space="preserve"> : « يعني : أحقّ بتملّك ما له بشرط أن يعطي ثمنه من أصابه ».</w:t>
      </w:r>
    </w:p>
    <w:p w:rsidR="00144FA6" w:rsidRDefault="00E378DD" w:rsidP="00E378DD">
      <w:pPr>
        <w:pStyle w:val="libFootnote0"/>
        <w:rPr>
          <w:rtl/>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160 ، ح 289 ؛ </w:t>
      </w:r>
      <w:r w:rsidR="00744A1C" w:rsidRPr="00C24F9C">
        <w:rPr>
          <w:rStyle w:val="libFootnoteBoldChar"/>
          <w:rtl/>
        </w:rPr>
        <w:t>والاستبصار</w:t>
      </w:r>
      <w:r w:rsidR="00744A1C">
        <w:rPr>
          <w:rtl/>
          <w:lang w:bidi="fa-IR"/>
        </w:rPr>
        <w:t xml:space="preserve"> ، ج 3 ، ص 5 ، ح 10 ، معلّقاً عن عليّ بن إبراهيم </w:t>
      </w:r>
      <w:r w:rsidR="00410569">
        <w:rPr>
          <w:rFonts w:hint="cs"/>
          <w:rtl/>
          <w:lang w:bidi="fa-IR"/>
        </w:rPr>
        <w:t>.</w:t>
      </w:r>
      <w:r w:rsidR="00744A1C" w:rsidRPr="00C24F9C">
        <w:rPr>
          <w:rStyle w:val="libFootnoteBoldChar"/>
          <w:rtl/>
        </w:rPr>
        <w:t>الوافي</w:t>
      </w:r>
      <w:r w:rsidR="00744A1C">
        <w:rPr>
          <w:rtl/>
          <w:lang w:bidi="fa-IR"/>
        </w:rPr>
        <w:t xml:space="preserve"> ،</w:t>
      </w:r>
      <w:r w:rsidR="00F16CFE">
        <w:rPr>
          <w:rFonts w:hint="cs"/>
          <w:rtl/>
          <w:lang w:bidi="fa-IR"/>
        </w:rPr>
        <w:t>=</w:t>
      </w:r>
    </w:p>
    <w:p w:rsidR="006A5060" w:rsidRDefault="006A5060" w:rsidP="00D10E3C">
      <w:pPr>
        <w:pStyle w:val="libNormal"/>
        <w:rPr>
          <w:rtl/>
          <w:lang w:bidi="fa-IR"/>
        </w:rPr>
      </w:pPr>
      <w:r>
        <w:rPr>
          <w:rtl/>
          <w:lang w:bidi="fa-IR"/>
        </w:rPr>
        <w:br w:type="page"/>
      </w:r>
    </w:p>
    <w:p w:rsidR="00744A1C" w:rsidRDefault="00744A1C" w:rsidP="001B7F34">
      <w:pPr>
        <w:pStyle w:val="Heading2Center"/>
        <w:rPr>
          <w:lang w:bidi="fa-IR"/>
        </w:rPr>
      </w:pPr>
      <w:bookmarkStart w:id="105" w:name="_Toc49261403"/>
      <w:r>
        <w:rPr>
          <w:rtl/>
          <w:lang w:bidi="fa-IR"/>
        </w:rPr>
        <w:t>17 - بَابُ أَنَّهُ لَايَحِلُّ لِلْمُسْلِمِ أَنْ يَنْزِلَ دَارَ الْحَرْبِ‌</w:t>
      </w:r>
      <w:bookmarkEnd w:id="105"/>
    </w:p>
    <w:p w:rsidR="00144FA6" w:rsidRDefault="00744A1C" w:rsidP="00744A1C">
      <w:pPr>
        <w:pStyle w:val="libNormal"/>
        <w:rPr>
          <w:rtl/>
          <w:lang w:bidi="fa-IR"/>
        </w:rPr>
      </w:pPr>
      <w:r>
        <w:rPr>
          <w:rtl/>
          <w:lang w:bidi="fa-IR"/>
        </w:rPr>
        <w:t>8267 / 1.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بَعَثَ رَسُولُ اللهِ </w:t>
      </w:r>
      <w:r w:rsidR="0017097C" w:rsidRPr="0017097C">
        <w:rPr>
          <w:rStyle w:val="libAlaemChar"/>
          <w:rtl/>
        </w:rPr>
        <w:t>صلى‌الله‌عليه‌وآله</w:t>
      </w:r>
      <w:r w:rsidR="00D10E3C">
        <w:rPr>
          <w:rtl/>
          <w:lang w:bidi="fa-IR"/>
        </w:rPr>
        <w:t xml:space="preserve"> </w:t>
      </w:r>
      <w:r>
        <w:rPr>
          <w:rtl/>
          <w:lang w:bidi="fa-IR"/>
        </w:rPr>
        <w:t xml:space="preserve">جَيْشاً إِلى خَثْعَمٍ </w:t>
      </w:r>
      <w:r w:rsidRPr="00D10E3C">
        <w:rPr>
          <w:rStyle w:val="libFootnotenumChar"/>
          <w:rtl/>
        </w:rPr>
        <w:t>(1)</w:t>
      </w:r>
      <w:r>
        <w:rPr>
          <w:rtl/>
          <w:lang w:bidi="fa-IR"/>
        </w:rPr>
        <w:t xml:space="preserve"> ، فَلَمَّا غَشِيَهُمُ ، اسْتَعْصَمُوا بِالسُّجُودِ </w:t>
      </w:r>
      <w:r w:rsidRPr="00D10E3C">
        <w:rPr>
          <w:rStyle w:val="libFootnotenumChar"/>
          <w:rtl/>
        </w:rPr>
        <w:t>(2)</w:t>
      </w:r>
      <w:r>
        <w:rPr>
          <w:rtl/>
          <w:lang w:bidi="fa-IR"/>
        </w:rPr>
        <w:t xml:space="preserve"> ، فَقُتِلَ بَعْضُهُمْ </w:t>
      </w:r>
      <w:r w:rsidRPr="00D10E3C">
        <w:rPr>
          <w:rStyle w:val="libFootnotenumChar"/>
          <w:rtl/>
        </w:rPr>
        <w:t>(3)</w:t>
      </w:r>
      <w:r>
        <w:rPr>
          <w:rtl/>
          <w:lang w:bidi="fa-IR"/>
        </w:rPr>
        <w:t xml:space="preserve"> ، فَبَلَغَ ذلِكَ النَّبِيَّ </w:t>
      </w:r>
      <w:r w:rsidR="005E465D" w:rsidRPr="005E465D">
        <w:rPr>
          <w:rStyle w:val="libAlaemChar"/>
          <w:rtl/>
        </w:rPr>
        <w:t>صلى‌الله‌عليه‌وآله</w:t>
      </w:r>
      <w:r w:rsidR="00D10E3C">
        <w:rPr>
          <w:rtl/>
          <w:lang w:bidi="fa-IR"/>
        </w:rPr>
        <w:t xml:space="preserve"> </w:t>
      </w:r>
      <w:r>
        <w:rPr>
          <w:rtl/>
          <w:lang w:bidi="fa-IR"/>
        </w:rPr>
        <w:t xml:space="preserve">، فَقَالَ </w:t>
      </w:r>
      <w:r w:rsidRPr="00D10E3C">
        <w:rPr>
          <w:rStyle w:val="libFootnotenumChar"/>
          <w:rtl/>
        </w:rPr>
        <w:t>(4)</w:t>
      </w:r>
      <w:r>
        <w:rPr>
          <w:rtl/>
          <w:lang w:bidi="fa-IR"/>
        </w:rPr>
        <w:t xml:space="preserve"> : أَعْطُوا الْوَرَثَةَ نِصْفَ الْعَقْلِ </w:t>
      </w:r>
      <w:r w:rsidRPr="00D10E3C">
        <w:rPr>
          <w:rStyle w:val="libFootnotenumChar"/>
          <w:rtl/>
        </w:rPr>
        <w:t>(5)</w:t>
      </w:r>
      <w:r>
        <w:rPr>
          <w:rtl/>
          <w:lang w:bidi="fa-IR"/>
        </w:rPr>
        <w:t xml:space="preserve"> بِصَلَاتِهِمْ </w:t>
      </w:r>
      <w:r w:rsidRPr="00D10E3C">
        <w:rPr>
          <w:rStyle w:val="libFootnotenumChar"/>
          <w:rtl/>
        </w:rPr>
        <w:t>(6)</w:t>
      </w:r>
      <w:r>
        <w:rPr>
          <w:rtl/>
          <w:lang w:bidi="fa-IR"/>
        </w:rPr>
        <w:t xml:space="preserve"> ، وَقَالَ النَّبِيُّ </w:t>
      </w:r>
      <w:r w:rsidR="0017097C" w:rsidRPr="0017097C">
        <w:rPr>
          <w:rStyle w:val="libAlaemChar"/>
          <w:rtl/>
        </w:rPr>
        <w:t>صلى‌الله‌عليه‌وآله</w:t>
      </w:r>
      <w:r w:rsidR="00D10E3C">
        <w:rPr>
          <w:rtl/>
          <w:lang w:bidi="fa-IR"/>
        </w:rPr>
        <w:t xml:space="preserve"> </w:t>
      </w:r>
      <w:r>
        <w:rPr>
          <w:rtl/>
          <w:lang w:bidi="fa-IR"/>
        </w:rPr>
        <w:t xml:space="preserve">: أَلَا إِنِّي بَرِي‌ءٌ مِنْ كُلِّ مُسْلِمٍ نَزَلَ مَعَ مُشْرِكٍ فِي دَارِ الْحَرْبِ ». </w:t>
      </w:r>
      <w:r w:rsidRPr="00D10E3C">
        <w:rPr>
          <w:rStyle w:val="libFootnotenumChar"/>
          <w:rtl/>
        </w:rPr>
        <w:t>(7)</w:t>
      </w:r>
    </w:p>
    <w:p w:rsidR="00744A1C" w:rsidRDefault="00744A1C" w:rsidP="001B7F34">
      <w:pPr>
        <w:pStyle w:val="Heading2Center"/>
        <w:rPr>
          <w:lang w:bidi="fa-IR"/>
        </w:rPr>
      </w:pPr>
      <w:bookmarkStart w:id="106" w:name="_Toc49261404"/>
      <w:r>
        <w:rPr>
          <w:rtl/>
          <w:lang w:bidi="fa-IR"/>
        </w:rPr>
        <w:t>18 - بَابُ قِسْمَةِ الْغَنِيمَةِ‌</w:t>
      </w:r>
      <w:bookmarkEnd w:id="106"/>
    </w:p>
    <w:p w:rsidR="00144FA6" w:rsidRDefault="00744A1C" w:rsidP="00744A1C">
      <w:pPr>
        <w:pStyle w:val="libNormal"/>
        <w:rPr>
          <w:rtl/>
          <w:lang w:bidi="fa-IR"/>
        </w:rPr>
      </w:pPr>
      <w:r>
        <w:rPr>
          <w:rtl/>
          <w:lang w:bidi="fa-IR"/>
        </w:rPr>
        <w:t>8268 / 1. عَلِيُّ بْنُ إِبْرَاهِيمَ ، عَنْ أَبِيهِ ، عَنِ ابْنِ مَحْبُوبٍ ، عَنْ مُعَاوِيَةَ بْنِ وَهْبٍ ، قَالَ :</w:t>
      </w:r>
    </w:p>
    <w:p w:rsidR="00744A1C" w:rsidRDefault="00744A1C" w:rsidP="00D10E3C">
      <w:pPr>
        <w:pStyle w:val="libLine"/>
        <w:rPr>
          <w:lang w:bidi="fa-IR"/>
        </w:rPr>
      </w:pPr>
      <w:r>
        <w:rPr>
          <w:rtl/>
          <w:lang w:bidi="fa-IR"/>
        </w:rPr>
        <w:t>____________________</w:t>
      </w:r>
    </w:p>
    <w:p w:rsidR="00744A1C" w:rsidRDefault="001B7F34" w:rsidP="00D10E3C">
      <w:pPr>
        <w:pStyle w:val="libFootnote0"/>
        <w:rPr>
          <w:lang w:bidi="fa-IR"/>
        </w:rPr>
      </w:pPr>
      <w:r>
        <w:rPr>
          <w:rFonts w:hint="cs"/>
          <w:rtl/>
          <w:lang w:bidi="fa-IR"/>
        </w:rPr>
        <w:t xml:space="preserve">= </w:t>
      </w:r>
      <w:r w:rsidR="00744A1C">
        <w:rPr>
          <w:rtl/>
          <w:lang w:bidi="fa-IR"/>
        </w:rPr>
        <w:t xml:space="preserve">ج 15 ، ص 137 ، ح 14802 ؛ </w:t>
      </w:r>
      <w:r w:rsidR="00744A1C" w:rsidRPr="00C24F9C">
        <w:rPr>
          <w:rStyle w:val="libFootnoteBoldChar"/>
          <w:rtl/>
        </w:rPr>
        <w:t>الوسائل</w:t>
      </w:r>
      <w:r w:rsidR="00744A1C">
        <w:rPr>
          <w:rtl/>
          <w:lang w:bidi="fa-IR"/>
        </w:rPr>
        <w:t xml:space="preserve"> ، ج 15 ، ص 98 ، ح 20061.</w:t>
      </w:r>
    </w:p>
    <w:p w:rsidR="00744A1C" w:rsidRDefault="00D10E3C" w:rsidP="00D10E3C">
      <w:pPr>
        <w:pStyle w:val="libFootnote0"/>
        <w:rPr>
          <w:lang w:bidi="fa-IR"/>
        </w:rPr>
      </w:pPr>
      <w:r>
        <w:rPr>
          <w:rtl/>
          <w:lang w:bidi="fa-IR"/>
        </w:rPr>
        <w:t>(1).</w:t>
      </w:r>
      <w:r w:rsidR="00744A1C">
        <w:rPr>
          <w:rtl/>
          <w:lang w:bidi="fa-IR"/>
        </w:rPr>
        <w:t xml:space="preserve"> قال الجوهرى : « خَثْعَم : أبو قبيلة ، وهو خثعم بن أنمار من اليمن ، ويقال : هم من معد ، وصاروا باليمن ». </w:t>
      </w:r>
      <w:r w:rsidR="00744A1C" w:rsidRPr="00E978C3">
        <w:rPr>
          <w:rStyle w:val="libFootnoteBoldChar"/>
          <w:rtl/>
        </w:rPr>
        <w:t>الصحاح</w:t>
      </w:r>
      <w:r w:rsidR="00744A1C">
        <w:rPr>
          <w:rtl/>
          <w:lang w:bidi="fa-IR"/>
        </w:rPr>
        <w:t xml:space="preserve"> ، ج 5 ، ص 1909. وراجع أيضاً : </w:t>
      </w:r>
      <w:r w:rsidR="00744A1C" w:rsidRPr="00877682">
        <w:rPr>
          <w:rStyle w:val="libFootnoteBoldChar"/>
          <w:rtl/>
        </w:rPr>
        <w:t>لسان العرب</w:t>
      </w:r>
      <w:r w:rsidR="00744A1C">
        <w:rPr>
          <w:rtl/>
          <w:lang w:bidi="fa-IR"/>
        </w:rPr>
        <w:t xml:space="preserve"> ، ج 12 ، ص 166 ( خثعم ).</w:t>
      </w:r>
    </w:p>
    <w:p w:rsidR="00744A1C" w:rsidRDefault="00E378DD" w:rsidP="00521ACE">
      <w:pPr>
        <w:pStyle w:val="libFootnote0"/>
        <w:rPr>
          <w:lang w:bidi="fa-IR"/>
        </w:rPr>
      </w:pPr>
      <w:r>
        <w:rPr>
          <w:rtl/>
          <w:lang w:bidi="fa-IR"/>
        </w:rPr>
        <w:t>(2).</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استعصموا بالسجود ، أي سجدوا ليعلم الغزاة أنّهم مسلمون ، فقتل‌بعضهم ؛ لأنّ بعض الغزاة غفل ، أو لم يعبأوا بسجودهم. وهذا الحديث مرويّ عن طريق العامّة أيضاً ، رواه أبو داود والترمذي ».</w:t>
      </w:r>
      <w:r w:rsidR="00521ACE">
        <w:rPr>
          <w:rFonts w:hint="cs"/>
          <w:rtl/>
          <w:lang w:bidi="fa-IR"/>
        </w:rPr>
        <w:t xml:space="preserve">                                      </w:t>
      </w:r>
      <w:r>
        <w:rPr>
          <w:rtl/>
          <w:lang w:bidi="fa-IR"/>
        </w:rPr>
        <w:t>(3).</w:t>
      </w:r>
      <w:r w:rsidR="00744A1C">
        <w:rPr>
          <w:rtl/>
          <w:lang w:bidi="fa-IR"/>
        </w:rPr>
        <w:t xml:space="preserve"> في </w:t>
      </w:r>
      <w:r w:rsidR="00744A1C" w:rsidRPr="00877682">
        <w:rPr>
          <w:rStyle w:val="libFootnoteBoldChar"/>
          <w:rtl/>
        </w:rPr>
        <w:t>الجعفريّات</w:t>
      </w:r>
      <w:r w:rsidR="00744A1C">
        <w:rPr>
          <w:rtl/>
          <w:lang w:bidi="fa-IR"/>
        </w:rPr>
        <w:t xml:space="preserve"> ، ص 79 : + « بعضاً ».</w:t>
      </w:r>
    </w:p>
    <w:p w:rsidR="00744A1C" w:rsidRDefault="00E378DD" w:rsidP="00E378DD">
      <w:pPr>
        <w:pStyle w:val="libFootnote0"/>
        <w:rPr>
          <w:lang w:bidi="fa-IR"/>
        </w:rPr>
      </w:pPr>
      <w:r>
        <w:rPr>
          <w:rtl/>
          <w:lang w:bidi="fa-IR"/>
        </w:rPr>
        <w:t>(4).</w:t>
      </w:r>
      <w:r w:rsidR="00744A1C">
        <w:rPr>
          <w:rtl/>
          <w:lang w:bidi="fa-IR"/>
        </w:rPr>
        <w:t xml:space="preserve"> في « بف » : « فقالوا ».</w:t>
      </w:r>
    </w:p>
    <w:p w:rsidR="00744A1C" w:rsidRDefault="00E378DD" w:rsidP="00E378DD">
      <w:pPr>
        <w:pStyle w:val="libFootnote0"/>
        <w:rPr>
          <w:lang w:bidi="fa-IR"/>
        </w:rPr>
      </w:pPr>
      <w:r>
        <w:rPr>
          <w:rtl/>
          <w:lang w:bidi="fa-IR"/>
        </w:rPr>
        <w:t>(5).</w:t>
      </w:r>
      <w:r w:rsidR="00744A1C">
        <w:rPr>
          <w:rtl/>
          <w:lang w:bidi="fa-IR"/>
        </w:rPr>
        <w:t xml:space="preserve"> « العَقْل » : الدية. قال الأصمعي : وإنّما سمّيت بذلك لأنّ الإبل كانت تعقل بفناء وليّ المقتول ، ثمّ كثر استعمالهم‌</w:t>
      </w:r>
      <w:r w:rsidR="00521ACE">
        <w:rPr>
          <w:rFonts w:hint="cs"/>
          <w:rtl/>
          <w:lang w:bidi="fa-IR"/>
        </w:rPr>
        <w:t xml:space="preserve"> </w:t>
      </w:r>
      <w:r w:rsidR="00744A1C">
        <w:rPr>
          <w:rtl/>
          <w:lang w:bidi="fa-IR"/>
        </w:rPr>
        <w:t xml:space="preserve">هذا الحرف ، حتّى قالوا : عقلت المقتول ، إذا أعطيت ديته دراهم أو دنانير. </w:t>
      </w:r>
      <w:r w:rsidR="00744A1C" w:rsidRPr="00E978C3">
        <w:rPr>
          <w:rStyle w:val="libFootnoteBoldChar"/>
          <w:rtl/>
        </w:rPr>
        <w:t>الصحاح</w:t>
      </w:r>
      <w:r w:rsidR="00744A1C">
        <w:rPr>
          <w:rtl/>
          <w:lang w:bidi="fa-IR"/>
        </w:rPr>
        <w:t xml:space="preserve"> ، ج 5 ، ص 1769 ( عقل ).</w:t>
      </w:r>
    </w:p>
    <w:p w:rsidR="00744A1C" w:rsidRDefault="00E378DD" w:rsidP="00E378DD">
      <w:pPr>
        <w:pStyle w:val="libFootnote0"/>
        <w:rPr>
          <w:lang w:bidi="fa-IR"/>
        </w:rPr>
      </w:pPr>
      <w:r>
        <w:rPr>
          <w:rtl/>
          <w:lang w:bidi="fa-IR"/>
        </w:rPr>
        <w:t>(6).</w:t>
      </w:r>
      <w:r w:rsidR="00744A1C">
        <w:rPr>
          <w:rtl/>
          <w:lang w:bidi="fa-IR"/>
        </w:rPr>
        <w:t xml:space="preserve"> في </w:t>
      </w:r>
      <w:r w:rsidR="00744A1C" w:rsidRPr="00877682">
        <w:rPr>
          <w:rStyle w:val="libFootnoteBoldChar"/>
          <w:rtl/>
        </w:rPr>
        <w:t>مرآة العقول</w:t>
      </w:r>
      <w:r w:rsidR="00744A1C">
        <w:rPr>
          <w:rtl/>
          <w:lang w:bidi="fa-IR"/>
        </w:rPr>
        <w:t xml:space="preserve"> ، ج 18 ، ص 379 : « لم أر من أصحابنا من تعرّض لهذا الحكم ، وهذا الخبر مرويّ من طرق المخالفين ». ثمّ قال : « فبلغ ذلك النبيّ </w:t>
      </w:r>
      <w:r w:rsidR="00E843EA" w:rsidRPr="00E843EA">
        <w:rPr>
          <w:rStyle w:val="libFootnoteAlaemChar"/>
          <w:rtl/>
        </w:rPr>
        <w:t>صلى‌الله‌عليه‌وآله</w:t>
      </w:r>
      <w:r w:rsidR="00D10E3C">
        <w:rPr>
          <w:rtl/>
          <w:lang w:bidi="fa-IR"/>
        </w:rPr>
        <w:t xml:space="preserve"> </w:t>
      </w:r>
      <w:r w:rsidR="00744A1C">
        <w:rPr>
          <w:rtl/>
          <w:lang w:bidi="fa-IR"/>
        </w:rPr>
        <w:t>فأمر لهم بنصف العقل ، وإنّما أمر لهم بالنصف بعد علمه بإسلامهم ؛ لأنّهم قد أعانوا على أنفسهم بمقامهم بين ظهراني الكفّار ، فكانوا كمن هلك بجناية نفسه وجناية غيره ، فتسقط حصّة جنايته من الدية ».</w:t>
      </w:r>
    </w:p>
    <w:p w:rsidR="00744A1C" w:rsidRDefault="00E378DD" w:rsidP="00402829">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152 ، ح 263 ، معلّقاً عن الكليني. </w:t>
      </w:r>
      <w:r w:rsidR="00744A1C" w:rsidRPr="00877682">
        <w:rPr>
          <w:rStyle w:val="libFootnoteBoldChar"/>
          <w:rtl/>
        </w:rPr>
        <w:t>الجعفريّات</w:t>
      </w:r>
      <w:r w:rsidR="00744A1C">
        <w:rPr>
          <w:rtl/>
          <w:lang w:bidi="fa-IR"/>
        </w:rPr>
        <w:t xml:space="preserve"> ، ص 79 ، بسند آخر عن جعفر بن محمّد ، عن آبائه ، عن أمير المؤمنين </w:t>
      </w:r>
      <w:r w:rsidR="00877682" w:rsidRPr="00877682">
        <w:rPr>
          <w:rStyle w:val="libFootnoteAlaemChar"/>
          <w:rtl/>
        </w:rPr>
        <w:t>عليهم‌السلام</w:t>
      </w:r>
      <w:r w:rsidR="00744A1C">
        <w:rPr>
          <w:rtl/>
          <w:lang w:bidi="fa-IR"/>
        </w:rPr>
        <w:t xml:space="preserve"> . </w:t>
      </w:r>
      <w:r w:rsidR="00744A1C" w:rsidRPr="00877682">
        <w:rPr>
          <w:rStyle w:val="libFootnoteBoldChar"/>
          <w:rtl/>
        </w:rPr>
        <w:t>الجعفريّات</w:t>
      </w:r>
      <w:r w:rsidR="00744A1C">
        <w:rPr>
          <w:rtl/>
          <w:lang w:bidi="fa-IR"/>
        </w:rPr>
        <w:t xml:space="preserve"> ، ص 82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402829" w:rsidRPr="00E843EA">
        <w:rPr>
          <w:rStyle w:val="libFootnoteAlaemChar"/>
          <w:rtl/>
        </w:rPr>
        <w:t>صلى‌الله‌عليه‌وآله</w:t>
      </w:r>
      <w:r w:rsidR="00402829">
        <w:rPr>
          <w:rtl/>
          <w:lang w:bidi="fa-IR"/>
        </w:rPr>
        <w:t xml:space="preserve"> </w:t>
      </w:r>
      <w:r w:rsidR="00744A1C">
        <w:rPr>
          <w:rtl/>
          <w:lang w:bidi="fa-IR"/>
        </w:rPr>
        <w:t xml:space="preserve">، من قوله : « ألا إنّي بري‌ء » </w:t>
      </w:r>
      <w:r w:rsidR="00AA000A">
        <w:rPr>
          <w:rFonts w:hint="cs"/>
          <w:rtl/>
          <w:lang w:bidi="fa-IR"/>
        </w:rPr>
        <w:t>.</w:t>
      </w:r>
      <w:r w:rsidR="00744A1C" w:rsidRPr="00C24F9C">
        <w:rPr>
          <w:rStyle w:val="libFootnoteBoldChar"/>
          <w:rtl/>
        </w:rPr>
        <w:t>الوافي</w:t>
      </w:r>
      <w:r w:rsidR="00744A1C">
        <w:rPr>
          <w:rtl/>
          <w:lang w:bidi="fa-IR"/>
        </w:rPr>
        <w:t xml:space="preserve"> ، ج 15 ، ص 157 ، ح 14834 ؛ </w:t>
      </w:r>
      <w:r w:rsidR="00744A1C" w:rsidRPr="00C24F9C">
        <w:rPr>
          <w:rStyle w:val="libFootnoteBoldChar"/>
          <w:rtl/>
        </w:rPr>
        <w:t>الوسائل</w:t>
      </w:r>
      <w:r w:rsidR="00744A1C">
        <w:rPr>
          <w:rtl/>
          <w:lang w:bidi="fa-IR"/>
        </w:rPr>
        <w:t xml:space="preserve"> ، ج 15 ، ص 100 ، ح 20068 ؛ </w:t>
      </w:r>
      <w:r w:rsidR="00744A1C" w:rsidRPr="0061079A">
        <w:rPr>
          <w:rStyle w:val="libFootnoteBoldChar"/>
          <w:rtl/>
        </w:rPr>
        <w:t>البحار</w:t>
      </w:r>
      <w:r w:rsidR="00744A1C">
        <w:rPr>
          <w:rtl/>
          <w:lang w:bidi="fa-IR"/>
        </w:rPr>
        <w:t xml:space="preserve"> ، ج 19 ، ص 166 ، ح 10.</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السَّرِيَّةُ يَبْعَثُهَا الْإِمَامُ ، فَيُصِيبُونَ غَنَائِمَ ، كَيْفَ تُقْسَمُ؟</w:t>
      </w:r>
    </w:p>
    <w:p w:rsidR="00144FA6" w:rsidRDefault="00744A1C" w:rsidP="00744A1C">
      <w:pPr>
        <w:pStyle w:val="libNormal"/>
        <w:rPr>
          <w:rtl/>
          <w:lang w:bidi="fa-IR"/>
        </w:rPr>
      </w:pPr>
      <w:r>
        <w:rPr>
          <w:rtl/>
          <w:lang w:bidi="fa-IR"/>
        </w:rPr>
        <w:t xml:space="preserve">قَالَ : « إِنْ قَاتَلُوا عَلَيْهَا مَعَ أَمِيرٍ أَمَّرَهُ الْإِمَامُ عَلَيْهِمْ ، أُخْرِجَ </w:t>
      </w:r>
      <w:r w:rsidRPr="00D10E3C">
        <w:rPr>
          <w:rStyle w:val="libFootnotenumChar"/>
          <w:rtl/>
        </w:rPr>
        <w:t>(1)</w:t>
      </w:r>
      <w:r>
        <w:rPr>
          <w:rtl/>
          <w:lang w:bidi="fa-IR"/>
        </w:rPr>
        <w:t xml:space="preserve"> مِنْهَا </w:t>
      </w:r>
      <w:r w:rsidRPr="00D10E3C">
        <w:rPr>
          <w:rStyle w:val="libFootnotenumChar"/>
          <w:rtl/>
        </w:rPr>
        <w:t>(2)</w:t>
      </w:r>
      <w:r>
        <w:rPr>
          <w:rtl/>
          <w:lang w:bidi="fa-IR"/>
        </w:rPr>
        <w:t xml:space="preserve"> الْخُمُسُ لِلّهِ‌ وَلِلرَّسُولِ </w:t>
      </w:r>
      <w:r w:rsidRPr="00D10E3C">
        <w:rPr>
          <w:rStyle w:val="libFootnotenumChar"/>
          <w:rtl/>
        </w:rPr>
        <w:t>(3)</w:t>
      </w:r>
      <w:r>
        <w:rPr>
          <w:rtl/>
          <w:lang w:bidi="fa-IR"/>
        </w:rPr>
        <w:t xml:space="preserve"> ، وَقُسِمَ بَيْنَهُمْ ثَلَاثَةَ أَخْمَاسٍ </w:t>
      </w:r>
      <w:r w:rsidRPr="00D10E3C">
        <w:rPr>
          <w:rStyle w:val="libFootnotenumChar"/>
          <w:rtl/>
        </w:rPr>
        <w:t>(4)</w:t>
      </w:r>
      <w:r>
        <w:rPr>
          <w:rtl/>
          <w:lang w:bidi="fa-IR"/>
        </w:rPr>
        <w:t xml:space="preserve"> ؛ وَإِنْ لَمْ يَكُونُوا </w:t>
      </w:r>
      <w:r w:rsidRPr="00D10E3C">
        <w:rPr>
          <w:rStyle w:val="libFootnotenumChar"/>
          <w:rtl/>
        </w:rPr>
        <w:t>(5)</w:t>
      </w:r>
      <w:r>
        <w:rPr>
          <w:rtl/>
          <w:lang w:bidi="fa-IR"/>
        </w:rPr>
        <w:t xml:space="preserve"> قَاتَلُوا عَلَيْهَا الْمُشْرِكِينَ ، كَانَ كُلُّ مَا غَنِمُوا لِلْإِمَامِ يَجْعَلُهُ حَيْثُ أَحَبَّ ». </w:t>
      </w:r>
      <w:r w:rsidRPr="00D10E3C">
        <w:rPr>
          <w:rStyle w:val="libFootnotenumChar"/>
          <w:rtl/>
        </w:rPr>
        <w:t>(6)</w:t>
      </w:r>
    </w:p>
    <w:p w:rsidR="00144FA6" w:rsidRDefault="00744A1C" w:rsidP="00744A1C">
      <w:pPr>
        <w:pStyle w:val="libNormal"/>
        <w:rPr>
          <w:rtl/>
          <w:lang w:bidi="fa-IR"/>
        </w:rPr>
      </w:pPr>
      <w:r>
        <w:rPr>
          <w:rtl/>
          <w:lang w:bidi="fa-IR"/>
        </w:rPr>
        <w:t>8269 / 2. عَلِيُّ بْنُ إِبْرَاهِيمَ ، عَنْ أَبِيهِ وَعَلِيِّ بْنِ مُحَمَّدٍ جَمِيعاً ، عَنِ الْقَاسِمِ بْنِ مُحَمَّدٍ ، عَنْ سُلَيْمَانَ بْنِ دَاوُدَ ، عَنْ حَفْصِ بْنِ غِيَاثٍ ، قَالَ :</w:t>
      </w:r>
    </w:p>
    <w:p w:rsidR="00744A1C" w:rsidRDefault="00744A1C" w:rsidP="00744A1C">
      <w:pPr>
        <w:pStyle w:val="libNormal"/>
        <w:rPr>
          <w:lang w:bidi="fa-IR"/>
        </w:rPr>
      </w:pPr>
      <w:r>
        <w:rPr>
          <w:rtl/>
          <w:lang w:bidi="fa-IR"/>
        </w:rPr>
        <w:t xml:space="preserve">كَتَبَ إِلَيَّ بَعْضُ إِخْوَانِي أَنْ أَسْأَلَ أَبَا عَبْدِ اللهِ </w:t>
      </w:r>
      <w:r w:rsidR="0061079A" w:rsidRPr="0061079A">
        <w:rPr>
          <w:rStyle w:val="libAlaemChar"/>
          <w:rtl/>
        </w:rPr>
        <w:t>عليه‌السلام</w:t>
      </w:r>
      <w:r w:rsidR="00D10E3C">
        <w:rPr>
          <w:rtl/>
          <w:lang w:bidi="fa-IR"/>
        </w:rPr>
        <w:t xml:space="preserve"> </w:t>
      </w:r>
      <w:r>
        <w:rPr>
          <w:rtl/>
          <w:lang w:bidi="fa-IR"/>
        </w:rPr>
        <w:t xml:space="preserve">عَنْ مَسَائِلَ مِنَ السُّنَنِ </w:t>
      </w:r>
      <w:r w:rsidRPr="00D10E3C">
        <w:rPr>
          <w:rStyle w:val="libFootnotenumChar"/>
          <w:rtl/>
        </w:rPr>
        <w:t>(7)</w:t>
      </w:r>
      <w:r>
        <w:rPr>
          <w:rtl/>
          <w:lang w:bidi="fa-IR"/>
        </w:rPr>
        <w:t xml:space="preserve"> ، فَسَأَلْتُهُ ، أَوْ كَتَبْتُ </w:t>
      </w:r>
      <w:r w:rsidRPr="00D10E3C">
        <w:rPr>
          <w:rStyle w:val="libFootnotenumChar"/>
          <w:rtl/>
        </w:rPr>
        <w:t>(8)</w:t>
      </w:r>
      <w:r>
        <w:rPr>
          <w:rtl/>
          <w:lang w:bidi="fa-IR"/>
        </w:rPr>
        <w:t xml:space="preserve"> بِهَا إِلَيْهِ ، فَكَانَ </w:t>
      </w:r>
      <w:r w:rsidRPr="00D10E3C">
        <w:rPr>
          <w:rStyle w:val="libFootnotenumChar"/>
          <w:rtl/>
        </w:rPr>
        <w:t>(9)</w:t>
      </w:r>
      <w:r>
        <w:rPr>
          <w:rtl/>
          <w:lang w:bidi="fa-IR"/>
        </w:rPr>
        <w:t xml:space="preserve"> فِيمَا سَأَلْتُهُ </w:t>
      </w:r>
      <w:r w:rsidRPr="00D10E3C">
        <w:rPr>
          <w:rStyle w:val="libFootnotenumChar"/>
          <w:rtl/>
        </w:rPr>
        <w:t>(10)</w:t>
      </w:r>
      <w:r>
        <w:rPr>
          <w:rtl/>
          <w:lang w:bidi="fa-IR"/>
        </w:rPr>
        <w:t xml:space="preserve"> : أَخْبِرْنِي عَنِ الْجَيْشِ إِذَا غَزَا </w:t>
      </w:r>
      <w:r w:rsidRPr="00D10E3C">
        <w:rPr>
          <w:rStyle w:val="libFootnotenumChar"/>
          <w:rtl/>
        </w:rPr>
        <w:t>(11)</w:t>
      </w:r>
      <w:r>
        <w:rPr>
          <w:rtl/>
          <w:lang w:bidi="fa-IR"/>
        </w:rPr>
        <w:t xml:space="preserve"> أَرْضَ الْحَرْبِ فَغَنِمُوا </w:t>
      </w:r>
      <w:r w:rsidRPr="00D10E3C">
        <w:rPr>
          <w:rStyle w:val="libFootnotenumChar"/>
          <w:rtl/>
        </w:rPr>
        <w:t>(12)</w:t>
      </w:r>
      <w:r>
        <w:rPr>
          <w:rtl/>
          <w:lang w:bidi="fa-IR"/>
        </w:rPr>
        <w:t xml:space="preserve"> غَنِيمَةً ، ثُمَّ لَحِقَهُمْ جَيْشٌ آخَرُ قَبْلَ أَنْ يَخْرُجُوا إِلى دَارِ الإِسْلَامِ </w:t>
      </w:r>
      <w:r w:rsidRPr="00D10E3C">
        <w:rPr>
          <w:rStyle w:val="libFootnotenumChar"/>
          <w:rtl/>
        </w:rPr>
        <w:t>(13)</w:t>
      </w:r>
      <w:r>
        <w:rPr>
          <w:rtl/>
          <w:lang w:bidi="fa-IR"/>
        </w:rPr>
        <w:t xml:space="preserve"> وَلَمْ يَلْقَوْا عَدُوّاً حَتّى خَرَجُوا إِلى دَارِ الإِسْلَامِ </w:t>
      </w:r>
      <w:r w:rsidRPr="00D10E3C">
        <w:rPr>
          <w:rStyle w:val="libFootnotenumChar"/>
          <w:rtl/>
        </w:rPr>
        <w:t>(14)</w:t>
      </w:r>
      <w:r>
        <w:rPr>
          <w:rtl/>
          <w:lang w:bidi="fa-IR"/>
        </w:rPr>
        <w:t xml:space="preserve"> ، هَلْ </w:t>
      </w:r>
      <w:r w:rsidRPr="00D10E3C">
        <w:rPr>
          <w:rStyle w:val="libFootnotenumChar"/>
          <w:rtl/>
        </w:rPr>
        <w:t>(15)</w:t>
      </w:r>
      <w:r>
        <w:rPr>
          <w:rtl/>
          <w:lang w:bidi="fa-IR"/>
        </w:rPr>
        <w:t xml:space="preserve"> يُشَارِكُونَهُمْ </w:t>
      </w:r>
      <w:r w:rsidRPr="00D10E3C">
        <w:rPr>
          <w:rStyle w:val="libFootnotenumChar"/>
          <w:rtl/>
        </w:rPr>
        <w:t>(16)</w:t>
      </w:r>
      <w:r>
        <w:rPr>
          <w:rtl/>
          <w:lang w:bidi="fa-IR"/>
        </w:rPr>
        <w:t>؟</w:t>
      </w:r>
    </w:p>
    <w:p w:rsidR="00744A1C" w:rsidRDefault="00744A1C" w:rsidP="00744A1C">
      <w:pPr>
        <w:pStyle w:val="libNormal"/>
        <w:rPr>
          <w:lang w:bidi="fa-IR"/>
        </w:rPr>
      </w:pPr>
      <w:r>
        <w:rPr>
          <w:rtl/>
          <w:lang w:bidi="fa-IR"/>
        </w:rPr>
        <w:t>فَقَالَ : « نَعَمْ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خرج ».</w:t>
      </w:r>
    </w:p>
    <w:p w:rsidR="00744A1C" w:rsidRDefault="00E378DD" w:rsidP="00E378DD">
      <w:pPr>
        <w:pStyle w:val="libFootnote0"/>
        <w:rPr>
          <w:lang w:bidi="fa-IR"/>
        </w:rPr>
      </w:pPr>
      <w:r>
        <w:rPr>
          <w:rtl/>
          <w:lang w:bidi="fa-IR"/>
        </w:rPr>
        <w:t>(2).</w:t>
      </w:r>
      <w:r w:rsidR="00744A1C">
        <w:rPr>
          <w:rtl/>
          <w:lang w:bidi="fa-IR"/>
        </w:rPr>
        <w:t xml:space="preserve"> في « بس » : « منهم ».</w:t>
      </w:r>
    </w:p>
    <w:p w:rsidR="00744A1C" w:rsidRDefault="00E378DD" w:rsidP="00E378DD">
      <w:pPr>
        <w:pStyle w:val="libFootnote0"/>
        <w:rPr>
          <w:lang w:bidi="fa-IR"/>
        </w:rPr>
      </w:pPr>
      <w:r>
        <w:rPr>
          <w:rtl/>
          <w:lang w:bidi="fa-IR"/>
        </w:rPr>
        <w:t>(3).</w:t>
      </w:r>
      <w:r w:rsidR="00744A1C">
        <w:rPr>
          <w:rtl/>
          <w:lang w:bidi="fa-IR"/>
        </w:rPr>
        <w:t xml:space="preserve"> في « جن » : « الرسول ».</w:t>
      </w:r>
    </w:p>
    <w:p w:rsidR="00744A1C" w:rsidRDefault="00E378DD" w:rsidP="004D7A78">
      <w:pPr>
        <w:pStyle w:val="libFootnote0"/>
        <w:rPr>
          <w:lang w:bidi="fa-IR"/>
        </w:rPr>
      </w:pPr>
      <w:r>
        <w:rPr>
          <w:rtl/>
          <w:lang w:bidi="fa-IR"/>
        </w:rPr>
        <w:t>(4).</w:t>
      </w:r>
      <w:r w:rsidR="00744A1C">
        <w:rPr>
          <w:rtl/>
          <w:lang w:bidi="fa-IR"/>
        </w:rPr>
        <w:t xml:space="preserve"> هكذا في جميع النسخ التي قوبلت </w:t>
      </w:r>
      <w:r w:rsidR="00744A1C" w:rsidRPr="00143DF9">
        <w:rPr>
          <w:rtl/>
        </w:rPr>
        <w:t>والوافي والمرآة والوسائل ، ح 12627. وفي المطبوع :</w:t>
      </w:r>
      <w:r w:rsidR="00744A1C">
        <w:rPr>
          <w:rtl/>
          <w:lang w:bidi="fa-IR"/>
        </w:rPr>
        <w:t xml:space="preserve"> « أربعة أخماس ». وفي </w:t>
      </w:r>
      <w:r w:rsidR="00744A1C" w:rsidRPr="00877682">
        <w:rPr>
          <w:rStyle w:val="libFootnoteBoldChar"/>
          <w:rtl/>
        </w:rPr>
        <w:t>مرآة العقول</w:t>
      </w:r>
      <w:r w:rsidR="00744A1C">
        <w:rPr>
          <w:rtl/>
          <w:lang w:bidi="fa-IR"/>
        </w:rPr>
        <w:t xml:space="preserve"> ، ج 18 ، ص 380 ، قال : « هذا نادر لم يقل به أحد ، ولعلّه كان مذهب بعض المخالفين صدر ذلك تقيّة منهم ، ورواية الكليني له غريب ».</w:t>
      </w:r>
      <w:r w:rsidR="004D7A78">
        <w:rPr>
          <w:rFonts w:hint="cs"/>
          <w:rtl/>
          <w:lang w:bidi="fa-IR"/>
        </w:rPr>
        <w:t xml:space="preserve">       </w:t>
      </w:r>
      <w:r>
        <w:rPr>
          <w:rtl/>
          <w:lang w:bidi="fa-IR"/>
        </w:rPr>
        <w:t>(5).</w:t>
      </w:r>
      <w:r w:rsidR="00744A1C">
        <w:rPr>
          <w:rtl/>
          <w:lang w:bidi="fa-IR"/>
        </w:rPr>
        <w:t xml:space="preserve"> في « جن » : « لم يكن ». وفي « جت » : « لم تكن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15 ، ص 126 ، ح 14780 ؛ </w:t>
      </w:r>
      <w:r w:rsidR="00744A1C" w:rsidRPr="00C24F9C">
        <w:rPr>
          <w:rStyle w:val="libFootnoteBoldChar"/>
          <w:rtl/>
        </w:rPr>
        <w:t>الوسائل</w:t>
      </w:r>
      <w:r w:rsidR="00744A1C">
        <w:rPr>
          <w:rtl/>
          <w:lang w:bidi="fa-IR"/>
        </w:rPr>
        <w:t xml:space="preserve"> ، ج 9 ، ص 524 ، ح 12627 ؛ وج 15 ، ص 110 ، ح 20088.</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التهذيب</w:t>
      </w:r>
      <w:r w:rsidR="00744A1C">
        <w:rPr>
          <w:rtl/>
          <w:lang w:bidi="fa-IR"/>
        </w:rPr>
        <w:t xml:space="preserve"> : « السيرة ». وفي </w:t>
      </w:r>
      <w:r w:rsidR="00744A1C" w:rsidRPr="00C24F9C">
        <w:rPr>
          <w:rStyle w:val="libFootnoteBoldChar"/>
          <w:rtl/>
        </w:rPr>
        <w:t>الوافي</w:t>
      </w:r>
      <w:r w:rsidR="00744A1C">
        <w:rPr>
          <w:rtl/>
          <w:lang w:bidi="fa-IR"/>
        </w:rPr>
        <w:t xml:space="preserve"> عن نسخة </w:t>
      </w:r>
      <w:r w:rsidR="00744A1C" w:rsidRPr="00C24F9C">
        <w:rPr>
          <w:rStyle w:val="libFootnoteBoldChar"/>
          <w:rtl/>
        </w:rPr>
        <w:t>والاستبصار</w:t>
      </w:r>
      <w:r w:rsidR="00744A1C">
        <w:rPr>
          <w:rtl/>
          <w:lang w:bidi="fa-IR"/>
        </w:rPr>
        <w:t xml:space="preserve"> : « السير ».</w:t>
      </w:r>
    </w:p>
    <w:p w:rsidR="00744A1C" w:rsidRDefault="00E378DD" w:rsidP="00E378DD">
      <w:pPr>
        <w:pStyle w:val="libFootnote0"/>
        <w:rPr>
          <w:lang w:bidi="fa-IR"/>
        </w:rPr>
      </w:pPr>
      <w:r>
        <w:rPr>
          <w:rtl/>
          <w:lang w:bidi="fa-IR"/>
        </w:rPr>
        <w:t>(8).</w:t>
      </w:r>
      <w:r w:rsidR="00744A1C">
        <w:rPr>
          <w:rtl/>
          <w:lang w:bidi="fa-IR"/>
        </w:rPr>
        <w:t xml:space="preserve"> في « بث ، بس ، بف ، جت ، جد » و</w:t>
      </w:r>
      <w:r w:rsidR="00744A1C" w:rsidRPr="00C24F9C">
        <w:rPr>
          <w:rStyle w:val="libFootnoteBoldChar"/>
          <w:rtl/>
        </w:rPr>
        <w:t>الوافي</w:t>
      </w:r>
      <w:r w:rsidR="00744A1C">
        <w:rPr>
          <w:rtl/>
          <w:lang w:bidi="fa-IR"/>
        </w:rPr>
        <w:t xml:space="preserve"> : « وكتبت ».</w:t>
      </w:r>
    </w:p>
    <w:tbl>
      <w:tblPr>
        <w:tblStyle w:val="TableGrid"/>
        <w:bidiVisual/>
        <w:tblW w:w="0" w:type="auto"/>
        <w:tblLook w:val="04A0" w:firstRow="1" w:lastRow="0" w:firstColumn="1" w:lastColumn="0" w:noHBand="0" w:noVBand="1"/>
      </w:tblPr>
      <w:tblGrid>
        <w:gridCol w:w="4006"/>
        <w:gridCol w:w="4006"/>
      </w:tblGrid>
      <w:tr w:rsidR="00143DF9" w:rsidTr="00143DF9">
        <w:tc>
          <w:tcPr>
            <w:tcW w:w="4006" w:type="dxa"/>
          </w:tcPr>
          <w:p w:rsidR="00143DF9" w:rsidRDefault="00143DF9" w:rsidP="00E378DD">
            <w:pPr>
              <w:pStyle w:val="libFootnote0"/>
              <w:rPr>
                <w:rtl/>
                <w:lang w:bidi="fa-IR"/>
              </w:rPr>
            </w:pPr>
            <w:r>
              <w:rPr>
                <w:rtl/>
                <w:lang w:bidi="fa-IR"/>
              </w:rPr>
              <w:t xml:space="preserve">(9). في </w:t>
            </w:r>
            <w:r w:rsidRPr="00143DF9">
              <w:rPr>
                <w:rtl/>
              </w:rPr>
              <w:t>الوافي</w:t>
            </w:r>
            <w:r>
              <w:rPr>
                <w:rtl/>
                <w:lang w:bidi="fa-IR"/>
              </w:rPr>
              <w:t xml:space="preserve"> : « وكان ».</w:t>
            </w:r>
          </w:p>
        </w:tc>
        <w:tc>
          <w:tcPr>
            <w:tcW w:w="4006" w:type="dxa"/>
          </w:tcPr>
          <w:p w:rsidR="00143DF9" w:rsidRDefault="00143DF9" w:rsidP="00E378DD">
            <w:pPr>
              <w:pStyle w:val="libFootnote0"/>
              <w:rPr>
                <w:rtl/>
                <w:lang w:bidi="fa-IR"/>
              </w:rPr>
            </w:pPr>
            <w:r>
              <w:rPr>
                <w:rtl/>
                <w:lang w:bidi="fa-IR"/>
              </w:rPr>
              <w:t xml:space="preserve">(10). </w:t>
            </w:r>
            <w:r w:rsidRPr="00143DF9">
              <w:rPr>
                <w:rtl/>
              </w:rPr>
              <w:t>في الوافي</w:t>
            </w:r>
            <w:r>
              <w:rPr>
                <w:rtl/>
                <w:lang w:bidi="fa-IR"/>
              </w:rPr>
              <w:t xml:space="preserve"> : « سألت ».</w:t>
            </w:r>
          </w:p>
        </w:tc>
      </w:tr>
      <w:tr w:rsidR="00143DF9" w:rsidTr="00143DF9">
        <w:tc>
          <w:tcPr>
            <w:tcW w:w="4006" w:type="dxa"/>
          </w:tcPr>
          <w:p w:rsidR="00143DF9" w:rsidRDefault="00143DF9" w:rsidP="00E378DD">
            <w:pPr>
              <w:pStyle w:val="libFootnote0"/>
              <w:rPr>
                <w:rtl/>
                <w:lang w:bidi="fa-IR"/>
              </w:rPr>
            </w:pPr>
            <w:r>
              <w:rPr>
                <w:rtl/>
                <w:lang w:bidi="fa-IR"/>
              </w:rPr>
              <w:t xml:space="preserve">(11). </w:t>
            </w:r>
            <w:r w:rsidRPr="00143DF9">
              <w:rPr>
                <w:rtl/>
              </w:rPr>
              <w:t>في الوافي :</w:t>
            </w:r>
            <w:r>
              <w:rPr>
                <w:rtl/>
                <w:lang w:bidi="fa-IR"/>
              </w:rPr>
              <w:t xml:space="preserve"> « غزوا ».</w:t>
            </w:r>
          </w:p>
        </w:tc>
        <w:tc>
          <w:tcPr>
            <w:tcW w:w="4006" w:type="dxa"/>
          </w:tcPr>
          <w:p w:rsidR="00143DF9" w:rsidRDefault="00143DF9" w:rsidP="00E378DD">
            <w:pPr>
              <w:pStyle w:val="libFootnote0"/>
              <w:rPr>
                <w:rtl/>
                <w:lang w:bidi="fa-IR"/>
              </w:rPr>
            </w:pPr>
            <w:r>
              <w:rPr>
                <w:rtl/>
                <w:lang w:bidi="fa-IR"/>
              </w:rPr>
              <w:t>(12). في « بف » : « وغنموا ».</w:t>
            </w:r>
          </w:p>
        </w:tc>
      </w:tr>
    </w:tbl>
    <w:p w:rsidR="00744A1C" w:rsidRDefault="00E378DD" w:rsidP="00E378DD">
      <w:pPr>
        <w:pStyle w:val="libFootnote0"/>
        <w:rPr>
          <w:lang w:bidi="fa-IR"/>
        </w:rPr>
      </w:pPr>
      <w:r>
        <w:rPr>
          <w:rtl/>
          <w:lang w:bidi="fa-IR"/>
        </w:rPr>
        <w:t>(13).</w:t>
      </w:r>
      <w:r w:rsidR="00744A1C">
        <w:rPr>
          <w:rtl/>
          <w:lang w:bidi="fa-IR"/>
        </w:rPr>
        <w:t xml:space="preserve"> هكذا في جميع النسخ التي قوبلت </w:t>
      </w:r>
      <w:r w:rsidR="00744A1C" w:rsidRPr="002754E9">
        <w:rPr>
          <w:rtl/>
        </w:rPr>
        <w:t>والوافي والتهذيب والاستبصار.</w:t>
      </w:r>
      <w:r w:rsidR="00744A1C">
        <w:rPr>
          <w:rtl/>
          <w:lang w:bidi="fa-IR"/>
        </w:rPr>
        <w:t xml:space="preserve"> وفي المطبوع : « السلام ».</w:t>
      </w:r>
    </w:p>
    <w:p w:rsidR="00744A1C" w:rsidRDefault="00E378DD" w:rsidP="00E378DD">
      <w:pPr>
        <w:pStyle w:val="libFootnote0"/>
        <w:rPr>
          <w:lang w:bidi="fa-IR"/>
        </w:rPr>
      </w:pPr>
      <w:r>
        <w:rPr>
          <w:rtl/>
          <w:lang w:bidi="fa-IR"/>
        </w:rPr>
        <w:t>(14).</w:t>
      </w:r>
      <w:r w:rsidR="00744A1C">
        <w:rPr>
          <w:rtl/>
          <w:lang w:bidi="fa-IR"/>
        </w:rPr>
        <w:t xml:space="preserve"> هكذا في جمي</w:t>
      </w:r>
      <w:r w:rsidR="00744A1C" w:rsidRPr="002754E9">
        <w:rPr>
          <w:rtl/>
        </w:rPr>
        <w:t xml:space="preserve">ع النسخ التي قوبلت والوافي والتهذيب والاستبصار. وفي </w:t>
      </w:r>
      <w:r w:rsidR="00744A1C">
        <w:rPr>
          <w:rtl/>
          <w:lang w:bidi="fa-IR"/>
        </w:rPr>
        <w:t>المطبوع : « السلام ».</w:t>
      </w:r>
    </w:p>
    <w:tbl>
      <w:tblPr>
        <w:tblStyle w:val="TableGrid"/>
        <w:bidiVisual/>
        <w:tblW w:w="0" w:type="auto"/>
        <w:tblLook w:val="04A0" w:firstRow="1" w:lastRow="0" w:firstColumn="1" w:lastColumn="0" w:noHBand="0" w:noVBand="1"/>
      </w:tblPr>
      <w:tblGrid>
        <w:gridCol w:w="4006"/>
        <w:gridCol w:w="4006"/>
      </w:tblGrid>
      <w:tr w:rsidR="00A732FE" w:rsidTr="00A732FE">
        <w:tc>
          <w:tcPr>
            <w:tcW w:w="4006" w:type="dxa"/>
          </w:tcPr>
          <w:p w:rsidR="00A732FE" w:rsidRDefault="00A732FE" w:rsidP="00E378DD">
            <w:pPr>
              <w:pStyle w:val="libFootnote0"/>
              <w:rPr>
                <w:rtl/>
                <w:lang w:bidi="fa-IR"/>
              </w:rPr>
            </w:pPr>
            <w:r>
              <w:rPr>
                <w:rtl/>
                <w:lang w:bidi="fa-IR"/>
              </w:rPr>
              <w:t>(15). في « بث ، بف » : « فهل ».</w:t>
            </w:r>
          </w:p>
        </w:tc>
        <w:tc>
          <w:tcPr>
            <w:tcW w:w="4006" w:type="dxa"/>
          </w:tcPr>
          <w:p w:rsidR="00A732FE" w:rsidRDefault="00A732FE" w:rsidP="00E378DD">
            <w:pPr>
              <w:pStyle w:val="libFootnote0"/>
              <w:rPr>
                <w:rtl/>
                <w:lang w:bidi="fa-IR"/>
              </w:rPr>
            </w:pPr>
            <w:r>
              <w:rPr>
                <w:rtl/>
                <w:lang w:bidi="fa-IR"/>
              </w:rPr>
              <w:t xml:space="preserve">(16) في </w:t>
            </w:r>
            <w:r w:rsidRPr="002754E9">
              <w:rPr>
                <w:rtl/>
              </w:rPr>
              <w:t>الوافي :</w:t>
            </w:r>
            <w:r>
              <w:rPr>
                <w:rtl/>
                <w:lang w:bidi="fa-IR"/>
              </w:rPr>
              <w:t xml:space="preserve"> + « فيها ».</w:t>
            </w:r>
          </w:p>
        </w:tc>
      </w:tr>
    </w:tbl>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وَ</w:t>
      </w:r>
      <w:r w:rsidR="007D6470">
        <w:rPr>
          <w:rFonts w:hint="cs"/>
          <w:rtl/>
          <w:lang w:bidi="fa-IR"/>
        </w:rPr>
        <w:t xml:space="preserve"> </w:t>
      </w:r>
      <w:r>
        <w:rPr>
          <w:rtl/>
          <w:lang w:bidi="fa-IR"/>
        </w:rPr>
        <w:t xml:space="preserve">عَنْ سَرِيَّةٍ كَانُوا فِي سَفِينَةٍ </w:t>
      </w:r>
      <w:r w:rsidRPr="00D10E3C">
        <w:rPr>
          <w:rStyle w:val="libFootnotenumChar"/>
          <w:rtl/>
        </w:rPr>
        <w:t>(1)</w:t>
      </w:r>
      <w:r>
        <w:rPr>
          <w:rtl/>
          <w:lang w:bidi="fa-IR"/>
        </w:rPr>
        <w:t xml:space="preserve"> ، وَلَمْ يَرْكَبْ صَاحِبُ الْفَرَسِ فَرَسَهُ ، كَيْفَ تُقْسَمُ </w:t>
      </w:r>
      <w:r w:rsidRPr="00D10E3C">
        <w:rPr>
          <w:rStyle w:val="libFootnotenumChar"/>
          <w:rtl/>
        </w:rPr>
        <w:t>(2)</w:t>
      </w:r>
      <w:r>
        <w:rPr>
          <w:rtl/>
          <w:lang w:bidi="fa-IR"/>
        </w:rPr>
        <w:t xml:space="preserve"> الْغَنِيمَةُ </w:t>
      </w:r>
      <w:r w:rsidRPr="00D10E3C">
        <w:rPr>
          <w:rStyle w:val="libFootnotenumChar"/>
          <w:rtl/>
        </w:rPr>
        <w:t>(3)</w:t>
      </w:r>
      <w:r>
        <w:rPr>
          <w:rtl/>
          <w:lang w:bidi="fa-IR"/>
        </w:rPr>
        <w:t xml:space="preserve"> بَيْنَهُمْ؟</w:t>
      </w:r>
    </w:p>
    <w:p w:rsidR="00744A1C" w:rsidRDefault="00744A1C" w:rsidP="00744A1C">
      <w:pPr>
        <w:pStyle w:val="libNormal"/>
        <w:rPr>
          <w:lang w:bidi="fa-IR"/>
        </w:rPr>
      </w:pPr>
      <w:r>
        <w:rPr>
          <w:rtl/>
          <w:lang w:bidi="fa-IR"/>
        </w:rPr>
        <w:t>فَقَالَ : « لِلْفَارِسِ سَهْمَانِ ، وَلِلرَّاجِلِ سَهْمٌ ».</w:t>
      </w:r>
    </w:p>
    <w:p w:rsidR="00744A1C" w:rsidRDefault="00744A1C" w:rsidP="00744A1C">
      <w:pPr>
        <w:pStyle w:val="libNormal"/>
        <w:rPr>
          <w:lang w:bidi="fa-IR"/>
        </w:rPr>
      </w:pPr>
      <w:r>
        <w:rPr>
          <w:rtl/>
          <w:lang w:bidi="fa-IR"/>
        </w:rPr>
        <w:t>فَقُلْتُ : وَإِنْ لَمْ يَرْكَبُوا ، وَلَمْ يُقَاتِلُوا عَلى أَفْرَاسِهِمْ؟</w:t>
      </w:r>
    </w:p>
    <w:p w:rsidR="00144FA6" w:rsidRDefault="00744A1C" w:rsidP="00744A1C">
      <w:pPr>
        <w:pStyle w:val="libNormal"/>
        <w:rPr>
          <w:rtl/>
          <w:lang w:bidi="fa-IR"/>
        </w:rPr>
      </w:pPr>
      <w:r>
        <w:rPr>
          <w:rtl/>
          <w:lang w:bidi="fa-IR"/>
        </w:rPr>
        <w:t xml:space="preserve">فَقَالَ : « أَرَأَيْتَ ، لَوْ كَانُوا فِي عَسْكَرٍ ، فَتُقَدَّمُ </w:t>
      </w:r>
      <w:r w:rsidRPr="00D10E3C">
        <w:rPr>
          <w:rStyle w:val="libFootnotenumChar"/>
          <w:rtl/>
        </w:rPr>
        <w:t>(4)</w:t>
      </w:r>
      <w:r>
        <w:rPr>
          <w:rtl/>
          <w:lang w:bidi="fa-IR"/>
        </w:rPr>
        <w:t xml:space="preserve"> الرُّجَّالُ </w:t>
      </w:r>
      <w:r w:rsidRPr="00D10E3C">
        <w:rPr>
          <w:rStyle w:val="libFootnotenumChar"/>
          <w:rtl/>
        </w:rPr>
        <w:t>(5)</w:t>
      </w:r>
      <w:r>
        <w:rPr>
          <w:rtl/>
          <w:lang w:bidi="fa-IR"/>
        </w:rPr>
        <w:t xml:space="preserve"> فَقَاتَلُوا وَغَنِمُوا </w:t>
      </w:r>
      <w:r w:rsidRPr="00D10E3C">
        <w:rPr>
          <w:rStyle w:val="libFootnotenumChar"/>
          <w:rtl/>
        </w:rPr>
        <w:t>(6)</w:t>
      </w:r>
      <w:r>
        <w:rPr>
          <w:rtl/>
          <w:lang w:bidi="fa-IR"/>
        </w:rPr>
        <w:t xml:space="preserve"> ، كَيْفَ كَانَ يُقْسَمُ </w:t>
      </w:r>
      <w:r w:rsidRPr="00D10E3C">
        <w:rPr>
          <w:rStyle w:val="libFootnotenumChar"/>
          <w:rtl/>
        </w:rPr>
        <w:t>(7)</w:t>
      </w:r>
      <w:r>
        <w:rPr>
          <w:rtl/>
          <w:lang w:bidi="fa-IR"/>
        </w:rPr>
        <w:t xml:space="preserve"> بَيْنَهُمْ؟ أَلَمْ أَجْعَلْ لِلْفَارِسِ سَهْمَيْنِ وَلِلرَّاجِلِ سَهْماً؟ وَهُمُ الَّذِينَ غَنِمُوا دُونَ الْفُرْسَانِ ».</w:t>
      </w:r>
      <w:r w:rsidRPr="00D10E3C">
        <w:rPr>
          <w:rStyle w:val="libFootnotenumChar"/>
          <w:rtl/>
        </w:rPr>
        <w:t>(8)</w:t>
      </w:r>
    </w:p>
    <w:p w:rsidR="00144FA6" w:rsidRDefault="00744A1C" w:rsidP="00744A1C">
      <w:pPr>
        <w:pStyle w:val="libNormal"/>
        <w:rPr>
          <w:rtl/>
          <w:lang w:bidi="fa-IR"/>
        </w:rPr>
      </w:pPr>
      <w:r>
        <w:rPr>
          <w:rtl/>
          <w:lang w:bidi="fa-IR"/>
        </w:rPr>
        <w:t>8270 / 3. أَبُو عَلِيٍّ الْأَشْعَرِيُّ ، عَنْ مُحَمَّدِ بْنِ سَالِمٍ ، عَنْ أَحْمَدَ بْنِ النَّضْرِ ، عَنْ حُسَيْنِ بْنِ عَبْدِ اللهِ ، عَنْ أَبِيهِ ، عَنْ جَدِّهِ ، قَالَ :</w:t>
      </w:r>
    </w:p>
    <w:p w:rsidR="00144FA6" w:rsidRDefault="00744A1C" w:rsidP="00744A1C">
      <w:pPr>
        <w:pStyle w:val="libNormal"/>
        <w:rPr>
          <w:rtl/>
          <w:lang w:bidi="fa-IR"/>
        </w:rPr>
      </w:pPr>
      <w:r>
        <w:rPr>
          <w:rtl/>
          <w:lang w:bidi="fa-IR"/>
        </w:rPr>
        <w:t xml:space="preserve">قَالَ أَمِيرُ الْمُؤْمِنِينَ </w:t>
      </w:r>
      <w:r w:rsidR="0061079A" w:rsidRPr="0061079A">
        <w:rPr>
          <w:rStyle w:val="libAlaemChar"/>
          <w:rtl/>
        </w:rPr>
        <w:t>عليه‌السلام</w:t>
      </w:r>
      <w:r w:rsidR="00D10E3C">
        <w:rPr>
          <w:rtl/>
          <w:lang w:bidi="fa-IR"/>
        </w:rPr>
        <w:t xml:space="preserve"> </w:t>
      </w:r>
      <w:r>
        <w:rPr>
          <w:rtl/>
          <w:lang w:bidi="fa-IR"/>
        </w:rPr>
        <w:t xml:space="preserve">: « إِذَا كَانَ مَعَ الرَّجُلِ أَفْرَاسٌ فِي الْغَزْوِ </w:t>
      </w:r>
      <w:r w:rsidRPr="00D10E3C">
        <w:rPr>
          <w:rStyle w:val="libFootnotenumChar"/>
          <w:rtl/>
        </w:rPr>
        <w:t>(9)</w:t>
      </w:r>
      <w:r>
        <w:rPr>
          <w:rtl/>
          <w:lang w:bidi="fa-IR"/>
        </w:rPr>
        <w:t xml:space="preserve"> ، لَمْ يُسْهَمْ لَهُ </w:t>
      </w:r>
      <w:r w:rsidRPr="00D10E3C">
        <w:rPr>
          <w:rStyle w:val="libFootnotenumChar"/>
          <w:rtl/>
        </w:rPr>
        <w:t>(10)</w:t>
      </w:r>
      <w:r w:rsidR="007D6470">
        <w:rPr>
          <w:rtl/>
          <w:lang w:bidi="fa-IR"/>
        </w:rPr>
        <w:t xml:space="preserve"> إِل</w:t>
      </w:r>
      <w:r w:rsidR="007D6470">
        <w:rPr>
          <w:rFonts w:hint="cs"/>
          <w:rtl/>
          <w:lang w:bidi="fa-IR"/>
        </w:rPr>
        <w:t>َّ</w:t>
      </w:r>
      <w:r w:rsidR="007D6470">
        <w:rPr>
          <w:rtl/>
          <w:lang w:bidi="fa-IR"/>
        </w:rPr>
        <w:t>ا</w:t>
      </w:r>
      <w:r>
        <w:rPr>
          <w:rtl/>
          <w:lang w:bidi="fa-IR"/>
        </w:rPr>
        <w:t xml:space="preserve"> لِفَرَسَيْنِ مِنْهَا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A1230F">
        <w:rPr>
          <w:rtl/>
        </w:rPr>
        <w:t>الوافي والتهذيب</w:t>
      </w:r>
      <w:r w:rsidR="00744A1C">
        <w:rPr>
          <w:rtl/>
          <w:lang w:bidi="fa-IR"/>
        </w:rPr>
        <w:t xml:space="preserve"> : + « فقاتلوا ، وغنموا ، وفيهم من معه الفرس ، وإنّما قاتلوهم في السفينة ».</w:t>
      </w:r>
    </w:p>
    <w:p w:rsidR="00744A1C" w:rsidRDefault="00E378DD" w:rsidP="00A1230F">
      <w:pPr>
        <w:pStyle w:val="libFootnote0"/>
        <w:rPr>
          <w:lang w:bidi="fa-IR"/>
        </w:rPr>
      </w:pPr>
      <w:r>
        <w:rPr>
          <w:rtl/>
          <w:lang w:bidi="fa-IR"/>
        </w:rPr>
        <w:t>(2).</w:t>
      </w:r>
      <w:r w:rsidR="00744A1C">
        <w:rPr>
          <w:rtl/>
          <w:lang w:bidi="fa-IR"/>
        </w:rPr>
        <w:t xml:space="preserve"> في « ى ، بث ، بف » : « يقسم ». وفي « جن » : « تقسيم ». وفي المطبوع : « تقسّم » بتضعيف السين. ويجوز فيه التضعيف والتخفيف.</w:t>
      </w:r>
      <w:r w:rsidR="00402829">
        <w:rPr>
          <w:rFonts w:hint="cs"/>
          <w:rtl/>
          <w:lang w:bidi="fa-IR"/>
        </w:rPr>
        <w:t xml:space="preserve">                       </w:t>
      </w:r>
      <w:r w:rsidR="00C11F6F">
        <w:rPr>
          <w:rFonts w:hint="cs"/>
          <w:rtl/>
          <w:lang w:bidi="fa-IR"/>
        </w:rPr>
        <w:t xml:space="preserve">     </w:t>
      </w:r>
      <w:r w:rsidR="00A1230F">
        <w:rPr>
          <w:rFonts w:hint="cs"/>
          <w:rtl/>
          <w:lang w:bidi="fa-IR"/>
        </w:rPr>
        <w:t xml:space="preserve"> </w:t>
      </w:r>
      <w:r>
        <w:rPr>
          <w:rtl/>
          <w:lang w:bidi="fa-IR"/>
        </w:rPr>
        <w:t>(3).</w:t>
      </w:r>
      <w:r w:rsidR="00744A1C">
        <w:rPr>
          <w:rtl/>
          <w:lang w:bidi="fa-IR"/>
        </w:rPr>
        <w:t xml:space="preserve"> في « بف » : « القسمة ».</w:t>
      </w:r>
    </w:p>
    <w:tbl>
      <w:tblPr>
        <w:tblStyle w:val="TableGrid"/>
        <w:bidiVisual/>
        <w:tblW w:w="0" w:type="auto"/>
        <w:tblLook w:val="04A0" w:firstRow="1" w:lastRow="0" w:firstColumn="1" w:lastColumn="0" w:noHBand="0" w:noVBand="1"/>
      </w:tblPr>
      <w:tblGrid>
        <w:gridCol w:w="4006"/>
        <w:gridCol w:w="4006"/>
      </w:tblGrid>
      <w:tr w:rsidR="00A1230F" w:rsidTr="00A1230F">
        <w:tc>
          <w:tcPr>
            <w:tcW w:w="4006" w:type="dxa"/>
          </w:tcPr>
          <w:p w:rsidR="00A1230F" w:rsidRDefault="00C11F6F" w:rsidP="00E378DD">
            <w:pPr>
              <w:pStyle w:val="libFootnote0"/>
              <w:rPr>
                <w:rtl/>
                <w:lang w:bidi="fa-IR"/>
              </w:rPr>
            </w:pPr>
            <w:r>
              <w:rPr>
                <w:rtl/>
                <w:lang w:bidi="fa-IR"/>
              </w:rPr>
              <w:t>(4). في « بس » : « فيقدّم ».</w:t>
            </w:r>
          </w:p>
        </w:tc>
        <w:tc>
          <w:tcPr>
            <w:tcW w:w="4006" w:type="dxa"/>
          </w:tcPr>
          <w:p w:rsidR="00A1230F" w:rsidRDefault="00C11F6F" w:rsidP="00E378DD">
            <w:pPr>
              <w:pStyle w:val="libFootnote0"/>
              <w:rPr>
                <w:rtl/>
                <w:lang w:bidi="fa-IR"/>
              </w:rPr>
            </w:pPr>
            <w:r>
              <w:rPr>
                <w:rtl/>
                <w:lang w:bidi="fa-IR"/>
              </w:rPr>
              <w:t xml:space="preserve">(5). في </w:t>
            </w:r>
            <w:r w:rsidRPr="002102F7">
              <w:rPr>
                <w:rtl/>
              </w:rPr>
              <w:t>الوافي</w:t>
            </w:r>
            <w:r>
              <w:rPr>
                <w:rtl/>
                <w:lang w:bidi="fa-IR"/>
              </w:rPr>
              <w:t xml:space="preserve"> عن نسخة : « الرجالة ».</w:t>
            </w:r>
          </w:p>
        </w:tc>
      </w:tr>
    </w:tbl>
    <w:p w:rsidR="00744A1C" w:rsidRDefault="00E378DD" w:rsidP="00E378DD">
      <w:pPr>
        <w:pStyle w:val="libFootnote0"/>
        <w:rPr>
          <w:lang w:bidi="fa-IR"/>
        </w:rPr>
      </w:pPr>
      <w:r>
        <w:rPr>
          <w:rtl/>
          <w:lang w:bidi="fa-IR"/>
        </w:rPr>
        <w:t>(6).</w:t>
      </w:r>
      <w:r w:rsidR="00744A1C">
        <w:rPr>
          <w:rtl/>
          <w:lang w:bidi="fa-IR"/>
        </w:rPr>
        <w:t xml:space="preserve"> في « بف » : « أو غنموا ». وفي </w:t>
      </w:r>
      <w:r w:rsidR="00744A1C" w:rsidRPr="00C24F9C">
        <w:rPr>
          <w:rStyle w:val="libFootnoteBoldChar"/>
          <w:rtl/>
        </w:rPr>
        <w:t>الوافي</w:t>
      </w:r>
      <w:r w:rsidR="00744A1C">
        <w:rPr>
          <w:rtl/>
          <w:lang w:bidi="fa-IR"/>
        </w:rPr>
        <w:t xml:space="preserve"> : « فغنموا ».</w:t>
      </w:r>
    </w:p>
    <w:p w:rsidR="00744A1C" w:rsidRDefault="00E378DD" w:rsidP="00E378DD">
      <w:pPr>
        <w:pStyle w:val="libFootnote0"/>
        <w:rPr>
          <w:lang w:bidi="fa-IR"/>
        </w:rPr>
      </w:pPr>
      <w:r>
        <w:rPr>
          <w:rtl/>
          <w:lang w:bidi="fa-IR"/>
        </w:rPr>
        <w:t>(7).</w:t>
      </w:r>
      <w:r w:rsidR="00744A1C">
        <w:rPr>
          <w:rtl/>
          <w:lang w:bidi="fa-IR"/>
        </w:rPr>
        <w:t xml:space="preserve"> في </w:t>
      </w:r>
      <w:r w:rsidR="00744A1C" w:rsidRPr="002102F7">
        <w:rPr>
          <w:rtl/>
        </w:rPr>
        <w:t>الوافي</w:t>
      </w:r>
      <w:r w:rsidR="00744A1C">
        <w:rPr>
          <w:rtl/>
          <w:lang w:bidi="fa-IR"/>
        </w:rPr>
        <w:t xml:space="preserve"> : « أقسمه ».</w:t>
      </w:r>
    </w:p>
    <w:p w:rsidR="00744A1C" w:rsidRDefault="00E378DD" w:rsidP="00AF51B4">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145 ، ح 253 ؛ الاستبصار ، ج 3 ، ص 3 ، ح 3 ، من قوله : « وعن سريّة كانوا في سفينة » وفيهما بسند آخر ، عن عليّ بن محمّد ، عن القاسم بن محمّد ، عن سليمان بن داود المنقري ، عن أبي أيّوب ، عن حفص بن غياث ، مع زيادة في آخره. الاستبصار ، ج 3 ، ص 2 ، ح 1 ، بسنده عن عليّ بن محمّد ، عن القاسم بن محمّد ، عن سليمان بن داود المنقري أبي أيّوب ، عن حفص بن غياث ، إلى قوله : « هل يشاركونهم؟ فقال : نعم ». وراجع : </w:t>
      </w:r>
      <w:r w:rsidR="00744A1C" w:rsidRPr="00877682">
        <w:rPr>
          <w:rStyle w:val="libFootnoteBoldChar"/>
          <w:rtl/>
        </w:rPr>
        <w:t>قرب الإسناد</w:t>
      </w:r>
      <w:r w:rsidR="00744A1C">
        <w:rPr>
          <w:rtl/>
          <w:lang w:bidi="fa-IR"/>
        </w:rPr>
        <w:t xml:space="preserve"> ، ص 87 ، ح 288 </w:t>
      </w:r>
      <w:r w:rsidR="00336FDB">
        <w:rPr>
          <w:rFonts w:hint="cs"/>
          <w:rtl/>
          <w:lang w:bidi="fa-IR"/>
        </w:rPr>
        <w:t>.</w:t>
      </w:r>
      <w:r w:rsidR="00744A1C" w:rsidRPr="00C24F9C">
        <w:rPr>
          <w:rStyle w:val="libFootnoteBoldChar"/>
          <w:rtl/>
        </w:rPr>
        <w:t>الوافي</w:t>
      </w:r>
      <w:r w:rsidR="00744A1C">
        <w:rPr>
          <w:rtl/>
          <w:lang w:bidi="fa-IR"/>
        </w:rPr>
        <w:t xml:space="preserve"> ، ج 15 ، ص 128 ، ح 14785 ؛ </w:t>
      </w:r>
      <w:r w:rsidR="00744A1C" w:rsidRPr="00C24F9C">
        <w:rPr>
          <w:rStyle w:val="libFootnoteBoldChar"/>
          <w:rtl/>
        </w:rPr>
        <w:t>الوسائل</w:t>
      </w:r>
      <w:r w:rsidR="00744A1C">
        <w:rPr>
          <w:rtl/>
          <w:lang w:bidi="fa-IR"/>
        </w:rPr>
        <w:t xml:space="preserve"> ، ج 15 ، ص 102 ، ذيل ح 20072 ؛ وص 103 ، ذيل ح 20074.</w:t>
      </w:r>
      <w:r w:rsidR="00AF51B4">
        <w:rPr>
          <w:rFonts w:hint="cs"/>
          <w:rtl/>
          <w:lang w:bidi="fa-IR"/>
        </w:rPr>
        <w:t xml:space="preserve">     </w:t>
      </w:r>
      <w:r>
        <w:rPr>
          <w:rtl/>
          <w:lang w:bidi="fa-IR"/>
        </w:rPr>
        <w:t>(9).</w:t>
      </w:r>
      <w:r w:rsidR="00744A1C">
        <w:rPr>
          <w:rtl/>
          <w:lang w:bidi="fa-IR"/>
        </w:rPr>
        <w:t xml:space="preserve"> في « جن » : « غزو ».</w:t>
      </w:r>
    </w:p>
    <w:p w:rsidR="00744A1C" w:rsidRDefault="00E378DD" w:rsidP="00E378DD">
      <w:pPr>
        <w:pStyle w:val="libFootnote0"/>
        <w:rPr>
          <w:lang w:bidi="fa-IR"/>
        </w:rPr>
      </w:pPr>
      <w:r>
        <w:rPr>
          <w:rtl/>
          <w:lang w:bidi="fa-IR"/>
        </w:rPr>
        <w:t>(10).</w:t>
      </w:r>
      <w:r w:rsidR="00744A1C">
        <w:rPr>
          <w:rtl/>
          <w:lang w:bidi="fa-IR"/>
        </w:rPr>
        <w:t xml:space="preserve"> في « ى ، بح ، بس ، بف ، جد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 - « له ».</w:t>
      </w:r>
    </w:p>
    <w:p w:rsidR="00144FA6" w:rsidRDefault="00E378DD" w:rsidP="00E378DD">
      <w:pPr>
        <w:pStyle w:val="libFootnote0"/>
        <w:rPr>
          <w:rtl/>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147 ، ح 256 ؛ </w:t>
      </w:r>
      <w:r w:rsidR="00744A1C" w:rsidRPr="00C24F9C">
        <w:rPr>
          <w:rStyle w:val="libFootnoteBoldChar"/>
          <w:rtl/>
        </w:rPr>
        <w:t>والاستبصار</w:t>
      </w:r>
      <w:r w:rsidR="00744A1C">
        <w:rPr>
          <w:rtl/>
          <w:lang w:bidi="fa-IR"/>
        </w:rPr>
        <w:t xml:space="preserve"> ، ج 3 ، ص 4 ، ح 6 ، بسندهما عن أحمد بن النضر </w:t>
      </w:r>
      <w:r w:rsidR="00AF51B4">
        <w:rPr>
          <w:rFonts w:hint="cs"/>
          <w:rtl/>
          <w:lang w:bidi="fa-IR"/>
        </w:rPr>
        <w:t>.</w:t>
      </w:r>
      <w:r w:rsidR="00744A1C" w:rsidRPr="00C24F9C">
        <w:rPr>
          <w:rStyle w:val="libFootnoteBoldChar"/>
          <w:rtl/>
        </w:rPr>
        <w:t>الوافي</w:t>
      </w:r>
      <w:r w:rsidR="00744A1C">
        <w:rPr>
          <w:rtl/>
          <w:lang w:bidi="fa-IR"/>
        </w:rPr>
        <w:t xml:space="preserve"> ،</w:t>
      </w:r>
      <w:r w:rsidR="00AF51B4">
        <w:rPr>
          <w:rFonts w:hint="cs"/>
          <w:rtl/>
          <w:lang w:bidi="fa-IR"/>
        </w:rPr>
        <w:t>=</w:t>
      </w:r>
    </w:p>
    <w:p w:rsidR="009708B0" w:rsidRDefault="009708B0" w:rsidP="009708B0">
      <w:pPr>
        <w:pStyle w:val="libNormal"/>
        <w:rPr>
          <w:rtl/>
          <w:lang w:bidi="fa-IR"/>
        </w:rPr>
      </w:pPr>
      <w:r>
        <w:rPr>
          <w:rtl/>
          <w:lang w:bidi="fa-IR"/>
        </w:rPr>
        <w:br w:type="page"/>
      </w:r>
    </w:p>
    <w:p w:rsidR="00144FA6" w:rsidRDefault="00744A1C" w:rsidP="007F091A">
      <w:pPr>
        <w:pStyle w:val="libNormal"/>
        <w:rPr>
          <w:rtl/>
          <w:lang w:bidi="fa-IR"/>
        </w:rPr>
      </w:pPr>
      <w:r>
        <w:rPr>
          <w:rtl/>
          <w:lang w:bidi="fa-IR"/>
        </w:rPr>
        <w:t>8271 / 4. عَلِيُّ بْنُ إِبْرَاهِيمَ ، عَنْ أَبِيهِ ، عَنْ حَمَّادٍ ، عَنْ بَعْضِ أَصْحَابِهِ :</w:t>
      </w:r>
    </w:p>
    <w:p w:rsidR="00744A1C" w:rsidRDefault="00744A1C" w:rsidP="007F091A">
      <w:pPr>
        <w:pStyle w:val="libNormal"/>
        <w:rPr>
          <w:lang w:bidi="fa-IR"/>
        </w:rPr>
      </w:pPr>
      <w:r>
        <w:rPr>
          <w:rtl/>
          <w:lang w:bidi="fa-IR"/>
        </w:rPr>
        <w:t xml:space="preserve">عَنْ أَبِي الْحَسَنِ </w:t>
      </w:r>
      <w:r w:rsidR="0061079A" w:rsidRPr="0061079A">
        <w:rPr>
          <w:rStyle w:val="libFootnoteAlaemChar"/>
          <w:rtl/>
        </w:rPr>
        <w:t>عليه‌السلام</w:t>
      </w:r>
      <w:r w:rsidR="00D10E3C">
        <w:rPr>
          <w:rtl/>
          <w:lang w:bidi="fa-IR"/>
        </w:rPr>
        <w:t xml:space="preserve"> </w:t>
      </w:r>
      <w:r w:rsidR="00D10E3C" w:rsidRPr="007F091A">
        <w:rPr>
          <w:rStyle w:val="libFootnotenumChar"/>
          <w:rtl/>
        </w:rPr>
        <w:t>(1)</w:t>
      </w:r>
      <w:r w:rsidR="00D10E3C">
        <w:rPr>
          <w:rtl/>
          <w:lang w:bidi="fa-IR"/>
        </w:rPr>
        <w:t>.</w:t>
      </w:r>
      <w:r>
        <w:rPr>
          <w:rtl/>
          <w:lang w:bidi="fa-IR"/>
        </w:rPr>
        <w:t xml:space="preserve"> ، قَالَ : « يُؤْخَذُ الْخُمُسُ مِنَ الْغَنَائِمِ ، فَيُجْعَلُ لِمَنْ جَعَلَهُ </w:t>
      </w:r>
      <w:r w:rsidR="00E378DD" w:rsidRPr="007F091A">
        <w:rPr>
          <w:rStyle w:val="libFootnotenumChar"/>
          <w:rtl/>
        </w:rPr>
        <w:t>(2)</w:t>
      </w:r>
      <w:r w:rsidR="00E378DD">
        <w:rPr>
          <w:rtl/>
          <w:lang w:bidi="fa-IR"/>
        </w:rPr>
        <w:t>.</w:t>
      </w:r>
      <w:r>
        <w:rPr>
          <w:rtl/>
          <w:lang w:bidi="fa-IR"/>
        </w:rPr>
        <w:t xml:space="preserve"> اللهُ عَزَّ وَجَلَّ </w:t>
      </w:r>
      <w:r w:rsidR="00E378DD" w:rsidRPr="007F091A">
        <w:rPr>
          <w:rStyle w:val="libFootnotenumChar"/>
          <w:rtl/>
        </w:rPr>
        <w:t>(3)</w:t>
      </w:r>
      <w:r w:rsidR="00E378DD">
        <w:rPr>
          <w:rtl/>
          <w:lang w:bidi="fa-IR"/>
        </w:rPr>
        <w:t>.</w:t>
      </w:r>
      <w:r>
        <w:rPr>
          <w:rtl/>
          <w:lang w:bidi="fa-IR"/>
        </w:rPr>
        <w:t xml:space="preserve"> ، وَيُقْسَمُ </w:t>
      </w:r>
      <w:r w:rsidR="00E378DD" w:rsidRPr="007F091A">
        <w:rPr>
          <w:rStyle w:val="libFootnotenumChar"/>
          <w:rtl/>
        </w:rPr>
        <w:t>(4)</w:t>
      </w:r>
      <w:r w:rsidR="00E378DD">
        <w:rPr>
          <w:rtl/>
          <w:lang w:bidi="fa-IR"/>
        </w:rPr>
        <w:t>.</w:t>
      </w:r>
      <w:r>
        <w:rPr>
          <w:rtl/>
          <w:lang w:bidi="fa-IR"/>
        </w:rPr>
        <w:t xml:space="preserve"> أَرْبَعَةَ أَخْمَاسٍ بَيْنَ مَنْ قَاتَلَ عَلَيْهِ </w:t>
      </w:r>
      <w:r w:rsidR="00E378DD" w:rsidRPr="007F091A">
        <w:rPr>
          <w:rStyle w:val="libFootnotenumChar"/>
          <w:rtl/>
        </w:rPr>
        <w:t>(5)</w:t>
      </w:r>
      <w:r w:rsidR="00E378DD">
        <w:rPr>
          <w:rtl/>
          <w:lang w:bidi="fa-IR"/>
        </w:rPr>
        <w:t>.</w:t>
      </w:r>
      <w:r>
        <w:rPr>
          <w:rtl/>
          <w:lang w:bidi="fa-IR"/>
        </w:rPr>
        <w:t xml:space="preserve"> وَوَلِيَ ذلِكَ ».</w:t>
      </w:r>
    </w:p>
    <w:p w:rsidR="00744A1C" w:rsidRDefault="00744A1C" w:rsidP="007F091A">
      <w:pPr>
        <w:pStyle w:val="libNormal"/>
        <w:rPr>
          <w:lang w:bidi="fa-IR"/>
        </w:rPr>
      </w:pPr>
      <w:r>
        <w:rPr>
          <w:rtl/>
          <w:lang w:bidi="fa-IR"/>
        </w:rPr>
        <w:t xml:space="preserve">قَالَ : « وَلِلْإِمَامِ صَفْوُ الْمَالِ </w:t>
      </w:r>
      <w:r w:rsidR="00E378DD" w:rsidRPr="007F091A">
        <w:rPr>
          <w:rStyle w:val="libFootnotenumChar"/>
          <w:rtl/>
        </w:rPr>
        <w:t>(6)</w:t>
      </w:r>
      <w:r w:rsidR="00E378DD">
        <w:rPr>
          <w:rtl/>
          <w:lang w:bidi="fa-IR"/>
        </w:rPr>
        <w:t>.</w:t>
      </w:r>
      <w:r>
        <w:rPr>
          <w:rtl/>
          <w:lang w:bidi="fa-IR"/>
        </w:rPr>
        <w:t xml:space="preserve"> أَنْ يَأْخُذَ </w:t>
      </w:r>
      <w:r w:rsidR="00E378DD" w:rsidRPr="007F091A">
        <w:rPr>
          <w:rStyle w:val="libFootnotenumChar"/>
          <w:rtl/>
        </w:rPr>
        <w:t>(7)</w:t>
      </w:r>
      <w:r w:rsidR="00E378DD">
        <w:rPr>
          <w:rtl/>
          <w:lang w:bidi="fa-IR"/>
        </w:rPr>
        <w:t>.</w:t>
      </w:r>
      <w:r>
        <w:rPr>
          <w:rtl/>
          <w:lang w:bidi="fa-IR"/>
        </w:rPr>
        <w:t xml:space="preserve"> الْجَارِيَةَ الْفَارِهَةَ </w:t>
      </w:r>
      <w:r w:rsidR="00E378DD" w:rsidRPr="007F091A">
        <w:rPr>
          <w:rStyle w:val="libFootnotenumChar"/>
          <w:rtl/>
        </w:rPr>
        <w:t>(8)</w:t>
      </w:r>
      <w:r w:rsidR="00E378DD">
        <w:rPr>
          <w:rtl/>
          <w:lang w:bidi="fa-IR"/>
        </w:rPr>
        <w:t>.</w:t>
      </w:r>
      <w:r>
        <w:rPr>
          <w:rtl/>
          <w:lang w:bidi="fa-IR"/>
        </w:rPr>
        <w:t xml:space="preserve"> ، وَالدَّابَّةَ الْفَارِهَةَ ، وَالثَّوْبَ ، وَالْمَتَاعَ </w:t>
      </w:r>
      <w:r w:rsidR="00E378DD" w:rsidRPr="007F091A">
        <w:rPr>
          <w:rStyle w:val="libFootnotenumChar"/>
          <w:rtl/>
        </w:rPr>
        <w:t>(9)</w:t>
      </w:r>
      <w:r w:rsidR="00E378DD">
        <w:rPr>
          <w:rtl/>
          <w:lang w:bidi="fa-IR"/>
        </w:rPr>
        <w:t>.</w:t>
      </w:r>
      <w:r>
        <w:rPr>
          <w:rtl/>
          <w:lang w:bidi="fa-IR"/>
        </w:rPr>
        <w:t xml:space="preserve"> مِمَّا </w:t>
      </w:r>
      <w:r w:rsidR="00E378DD" w:rsidRPr="007F091A">
        <w:rPr>
          <w:rStyle w:val="libFootnotenumChar"/>
          <w:rtl/>
        </w:rPr>
        <w:t>(10)</w:t>
      </w:r>
      <w:r w:rsidR="00E378DD">
        <w:rPr>
          <w:rtl/>
          <w:lang w:bidi="fa-IR"/>
        </w:rPr>
        <w:t>.</w:t>
      </w:r>
      <w:r>
        <w:rPr>
          <w:rtl/>
          <w:lang w:bidi="fa-IR"/>
        </w:rPr>
        <w:t xml:space="preserve"> يُحِبُّ وَيَشْتَهِي </w:t>
      </w:r>
      <w:r w:rsidR="00E378DD" w:rsidRPr="007F091A">
        <w:rPr>
          <w:rStyle w:val="libFootnotenumChar"/>
          <w:rtl/>
        </w:rPr>
        <w:t>(11)</w:t>
      </w:r>
      <w:r w:rsidR="00E378DD">
        <w:rPr>
          <w:rtl/>
          <w:lang w:bidi="fa-IR"/>
        </w:rPr>
        <w:t>.</w:t>
      </w:r>
      <w:r>
        <w:rPr>
          <w:rtl/>
          <w:lang w:bidi="fa-IR"/>
        </w:rPr>
        <w:t xml:space="preserve"> ؛ فَذلِكَ لَهُ قَبْلَ قِسْمَةِ الْمَالِ </w:t>
      </w:r>
      <w:r w:rsidR="00E378DD" w:rsidRPr="007F091A">
        <w:rPr>
          <w:rStyle w:val="libFootnotenumChar"/>
          <w:rtl/>
        </w:rPr>
        <w:t>(12)</w:t>
      </w:r>
      <w:r w:rsidR="00E378DD">
        <w:rPr>
          <w:rtl/>
          <w:lang w:bidi="fa-IR"/>
        </w:rPr>
        <w:t>.</w:t>
      </w:r>
      <w:r>
        <w:rPr>
          <w:rtl/>
          <w:lang w:bidi="fa-IR"/>
        </w:rPr>
        <w:t xml:space="preserve"> وَقَبْلَ إِخْرَاجِ الْخُمُسِ </w:t>
      </w:r>
      <w:r w:rsidR="00E378DD" w:rsidRPr="007F091A">
        <w:rPr>
          <w:rStyle w:val="libFootnotenumChar"/>
          <w:rtl/>
        </w:rPr>
        <w:t>(13)</w:t>
      </w:r>
      <w:r w:rsidR="00E378DD">
        <w:rPr>
          <w:rtl/>
          <w:lang w:bidi="fa-IR"/>
        </w:rPr>
        <w:t>.</w:t>
      </w:r>
      <w:r>
        <w:rPr>
          <w:rtl/>
          <w:lang w:bidi="fa-IR"/>
        </w:rPr>
        <w:t xml:space="preserve"> ».</w:t>
      </w:r>
    </w:p>
    <w:p w:rsidR="00744A1C" w:rsidRDefault="00744A1C" w:rsidP="007F091A">
      <w:pPr>
        <w:pStyle w:val="libNormal"/>
        <w:rPr>
          <w:lang w:bidi="fa-IR"/>
        </w:rPr>
      </w:pPr>
      <w:r>
        <w:rPr>
          <w:rtl/>
          <w:lang w:bidi="fa-IR"/>
        </w:rPr>
        <w:t xml:space="preserve">قَالَ </w:t>
      </w:r>
      <w:r w:rsidR="00E378DD" w:rsidRPr="007F091A">
        <w:rPr>
          <w:rStyle w:val="libFootnotenumChar"/>
          <w:rtl/>
        </w:rPr>
        <w:t>(14)</w:t>
      </w:r>
      <w:r w:rsidR="00E378DD">
        <w:rPr>
          <w:rtl/>
          <w:lang w:bidi="fa-IR"/>
        </w:rPr>
        <w:t>.</w:t>
      </w:r>
      <w:r>
        <w:rPr>
          <w:rtl/>
          <w:lang w:bidi="fa-IR"/>
        </w:rPr>
        <w:t xml:space="preserve"> : « وَلَيْسَ لِمَنْ قَاتَلَ شَيْ‌ءٌ مِنَ الْأَرَضِينَ ، وَ</w:t>
      </w:r>
      <w:r w:rsidR="007F091A">
        <w:rPr>
          <w:rtl/>
          <w:lang w:bidi="fa-IR"/>
        </w:rPr>
        <w:t>لَا مَا غَلَبُوا عَلَيْهِ إِل</w:t>
      </w:r>
      <w:r w:rsidR="007F091A">
        <w:rPr>
          <w:rFonts w:hint="cs"/>
          <w:rtl/>
          <w:lang w:bidi="fa-IR"/>
        </w:rPr>
        <w:t>َّ</w:t>
      </w:r>
      <w:r w:rsidR="007F091A">
        <w:rPr>
          <w:rtl/>
          <w:lang w:bidi="fa-IR"/>
        </w:rPr>
        <w:t>ا</w:t>
      </w:r>
      <w:r>
        <w:rPr>
          <w:rtl/>
          <w:lang w:bidi="fa-IR"/>
        </w:rPr>
        <w:t xml:space="preserve"> مَا احْتَوى عَلَيْهِ الْعَسْكَرُ ، وَلَيْسَ لِلْأَعْرَابِ مِنَ الْغَنِيمَةِ </w:t>
      </w:r>
      <w:r w:rsidR="00E378DD" w:rsidRPr="007F091A">
        <w:rPr>
          <w:rStyle w:val="libFootnotenumChar"/>
          <w:rtl/>
        </w:rPr>
        <w:t>(15)</w:t>
      </w:r>
      <w:r w:rsidR="00E378DD">
        <w:rPr>
          <w:rtl/>
          <w:lang w:bidi="fa-IR"/>
        </w:rPr>
        <w:t>.</w:t>
      </w:r>
      <w:r>
        <w:rPr>
          <w:rtl/>
          <w:lang w:bidi="fa-IR"/>
        </w:rPr>
        <w:t xml:space="preserve"> شَيْ‌ءٌ وَإِنْ قَاتَلُوا مَعَ الْإِمَامِ </w:t>
      </w:r>
      <w:r w:rsidRPr="007F091A">
        <w:rPr>
          <w:rStyle w:val="libFootnotenumChar"/>
          <w:rtl/>
        </w:rPr>
        <w:t>(16)</w:t>
      </w:r>
      <w:r>
        <w:rPr>
          <w:rtl/>
          <w:lang w:bidi="fa-IR"/>
        </w:rPr>
        <w:t xml:space="preserve"> ؛ لِأَنَّ‌</w:t>
      </w:r>
    </w:p>
    <w:p w:rsidR="00744A1C" w:rsidRDefault="00744A1C" w:rsidP="00D10E3C">
      <w:pPr>
        <w:pStyle w:val="libLine"/>
        <w:rPr>
          <w:lang w:bidi="fa-IR"/>
        </w:rPr>
      </w:pPr>
      <w:r>
        <w:rPr>
          <w:rtl/>
          <w:lang w:bidi="fa-IR"/>
        </w:rPr>
        <w:t>____________________</w:t>
      </w:r>
    </w:p>
    <w:p w:rsidR="00744A1C" w:rsidRDefault="00E63622" w:rsidP="00D10E3C">
      <w:pPr>
        <w:pStyle w:val="libFootnote0"/>
        <w:rPr>
          <w:lang w:bidi="fa-IR"/>
        </w:rPr>
      </w:pPr>
      <w:r>
        <w:rPr>
          <w:rFonts w:hint="cs"/>
          <w:rtl/>
          <w:lang w:bidi="fa-IR"/>
        </w:rPr>
        <w:t xml:space="preserve">= </w:t>
      </w:r>
      <w:r w:rsidR="00744A1C">
        <w:rPr>
          <w:rtl/>
          <w:lang w:bidi="fa-IR"/>
        </w:rPr>
        <w:t xml:space="preserve">ج 15 ، ص 129 ، ح 14786 ؛ </w:t>
      </w:r>
      <w:r w:rsidR="00744A1C" w:rsidRPr="00C24F9C">
        <w:rPr>
          <w:rStyle w:val="libFootnoteBoldChar"/>
          <w:rtl/>
        </w:rPr>
        <w:t>الوسائل</w:t>
      </w:r>
      <w:r w:rsidR="00744A1C">
        <w:rPr>
          <w:rtl/>
          <w:lang w:bidi="fa-IR"/>
        </w:rPr>
        <w:t xml:space="preserve"> ، ج 15 ، ص 115 ، ح 20102.</w:t>
      </w:r>
    </w:p>
    <w:p w:rsidR="00744A1C" w:rsidRDefault="00D10E3C" w:rsidP="00D10E3C">
      <w:pPr>
        <w:pStyle w:val="libFootnote0"/>
        <w:rPr>
          <w:lang w:bidi="fa-IR"/>
        </w:rPr>
      </w:pPr>
      <w:r>
        <w:rPr>
          <w:rtl/>
          <w:lang w:bidi="fa-IR"/>
        </w:rPr>
        <w:t>(1).</w:t>
      </w:r>
      <w:r w:rsidR="00744A1C">
        <w:rPr>
          <w:rtl/>
          <w:lang w:bidi="fa-IR"/>
        </w:rPr>
        <w:t xml:space="preserve"> في </w:t>
      </w:r>
      <w:r w:rsidR="00744A1C" w:rsidRPr="0061079A">
        <w:rPr>
          <w:rStyle w:val="libFootnoteBoldChar"/>
          <w:rtl/>
        </w:rPr>
        <w:t>الكافي</w:t>
      </w:r>
      <w:r w:rsidR="00744A1C">
        <w:rPr>
          <w:rtl/>
          <w:lang w:bidi="fa-IR"/>
        </w:rPr>
        <w:t xml:space="preserve"> ، ح 1424 : « عن بعض أصحابنا عن العبد الصالح </w:t>
      </w:r>
      <w:r w:rsidR="0061079A" w:rsidRPr="0061079A">
        <w:rPr>
          <w:rStyle w:val="libFootnoteAlaemChar"/>
          <w:rtl/>
        </w:rPr>
        <w:t>عليه‌السلام</w:t>
      </w:r>
      <w:r>
        <w:rPr>
          <w:rtl/>
          <w:lang w:bidi="fa-IR"/>
        </w:rPr>
        <w:t xml:space="preserve"> </w:t>
      </w:r>
      <w:r w:rsidR="00744A1C">
        <w:rPr>
          <w:rtl/>
          <w:lang w:bidi="fa-IR"/>
        </w:rPr>
        <w:t xml:space="preserve">» بدل « عن بعض أصحابه عن أبي الحسن </w:t>
      </w:r>
      <w:r w:rsidR="0061079A" w:rsidRPr="0061079A">
        <w:rPr>
          <w:rStyle w:val="libFootnoteAlaemChar"/>
          <w:rtl/>
        </w:rPr>
        <w:t>عليه‌السلام</w:t>
      </w:r>
      <w:r>
        <w:rPr>
          <w:rtl/>
          <w:lang w:bidi="fa-IR"/>
        </w:rPr>
        <w:t xml:space="preserve"> </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 بس » : « جعل ».</w:t>
      </w:r>
    </w:p>
    <w:p w:rsidR="00744A1C" w:rsidRDefault="00E378DD" w:rsidP="00E378DD">
      <w:pPr>
        <w:pStyle w:val="libFootnote0"/>
        <w:rPr>
          <w:lang w:bidi="fa-IR"/>
        </w:rPr>
      </w:pPr>
      <w:r>
        <w:rPr>
          <w:rtl/>
          <w:lang w:bidi="fa-IR"/>
        </w:rPr>
        <w:t>(3).</w:t>
      </w:r>
      <w:r w:rsidR="00744A1C">
        <w:rPr>
          <w:rtl/>
          <w:lang w:bidi="fa-IR"/>
        </w:rPr>
        <w:t xml:space="preserve"> في « ى ، بث ، بح ، بف ، جد » </w:t>
      </w:r>
      <w:r w:rsidR="00744A1C" w:rsidRPr="00E63622">
        <w:rPr>
          <w:rtl/>
        </w:rPr>
        <w:t>والوافي والوسائل</w:t>
      </w:r>
      <w:r w:rsidR="00744A1C">
        <w:rPr>
          <w:rtl/>
          <w:lang w:bidi="fa-IR"/>
        </w:rPr>
        <w:t xml:space="preserve"> : + « له ».</w:t>
      </w:r>
    </w:p>
    <w:tbl>
      <w:tblPr>
        <w:tblStyle w:val="TableGrid"/>
        <w:bidiVisual/>
        <w:tblW w:w="0" w:type="auto"/>
        <w:tblLook w:val="04A0" w:firstRow="1" w:lastRow="0" w:firstColumn="1" w:lastColumn="0" w:noHBand="0" w:noVBand="1"/>
      </w:tblPr>
      <w:tblGrid>
        <w:gridCol w:w="4006"/>
        <w:gridCol w:w="4006"/>
      </w:tblGrid>
      <w:tr w:rsidR="00E63622" w:rsidTr="00E63622">
        <w:tc>
          <w:tcPr>
            <w:tcW w:w="4006" w:type="dxa"/>
          </w:tcPr>
          <w:p w:rsidR="00E63622" w:rsidRDefault="00E63622" w:rsidP="00E378DD">
            <w:pPr>
              <w:pStyle w:val="libFootnote0"/>
              <w:rPr>
                <w:rtl/>
                <w:lang w:bidi="fa-IR"/>
              </w:rPr>
            </w:pPr>
            <w:r>
              <w:rPr>
                <w:rtl/>
                <w:lang w:bidi="fa-IR"/>
              </w:rPr>
              <w:t>(4). في « بف » : « وتقسم ».</w:t>
            </w:r>
          </w:p>
        </w:tc>
        <w:tc>
          <w:tcPr>
            <w:tcW w:w="4006" w:type="dxa"/>
          </w:tcPr>
          <w:p w:rsidR="00E63622" w:rsidRDefault="00E63622" w:rsidP="00E378DD">
            <w:pPr>
              <w:pStyle w:val="libFootnote0"/>
              <w:rPr>
                <w:rtl/>
                <w:lang w:bidi="fa-IR"/>
              </w:rPr>
            </w:pPr>
            <w:r>
              <w:rPr>
                <w:rtl/>
                <w:lang w:bidi="fa-IR"/>
              </w:rPr>
              <w:t>(5). في « بف » : + « من بين من قاتل عليه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لا خلاف في أنّ للإمام أن يصطفي من الغنيمة ما شاء ، وإنّما الخلاف في أنّه قبل الحكم وهذا الخبريدلّ على الأوّل ».</w:t>
      </w:r>
    </w:p>
    <w:p w:rsidR="00744A1C" w:rsidRDefault="00E378DD" w:rsidP="00E378DD">
      <w:pPr>
        <w:pStyle w:val="libFootnote0"/>
        <w:rPr>
          <w:lang w:bidi="fa-IR"/>
        </w:rPr>
      </w:pPr>
      <w:r>
        <w:rPr>
          <w:rtl/>
          <w:lang w:bidi="fa-IR"/>
        </w:rPr>
        <w:t>(7).</w:t>
      </w:r>
      <w:r w:rsidR="00744A1C">
        <w:rPr>
          <w:rtl/>
          <w:lang w:bidi="fa-IR"/>
        </w:rPr>
        <w:t xml:space="preserve"> في </w:t>
      </w:r>
      <w:r w:rsidR="00744A1C" w:rsidRPr="00E63622">
        <w:rPr>
          <w:rtl/>
        </w:rPr>
        <w:t>الكافي</w:t>
      </w:r>
      <w:r w:rsidR="00744A1C">
        <w:rPr>
          <w:rtl/>
          <w:lang w:bidi="fa-IR"/>
        </w:rPr>
        <w:t xml:space="preserve"> ، ح 1424 </w:t>
      </w:r>
      <w:r w:rsidR="00744A1C" w:rsidRPr="00E63622">
        <w:rPr>
          <w:rtl/>
        </w:rPr>
        <w:t>والتهذيب</w:t>
      </w:r>
      <w:r w:rsidR="00744A1C">
        <w:rPr>
          <w:rtl/>
          <w:lang w:bidi="fa-IR"/>
        </w:rPr>
        <w:t xml:space="preserve"> : + « من هذه الأموال صفوها ».</w:t>
      </w:r>
    </w:p>
    <w:p w:rsidR="00744A1C" w:rsidRDefault="00E378DD" w:rsidP="00E63622">
      <w:pPr>
        <w:pStyle w:val="libFootnote0"/>
        <w:rPr>
          <w:lang w:bidi="fa-IR"/>
        </w:rPr>
      </w:pPr>
      <w:r>
        <w:rPr>
          <w:rtl/>
          <w:lang w:bidi="fa-IR"/>
        </w:rPr>
        <w:t>(8).</w:t>
      </w:r>
      <w:r w:rsidR="00744A1C">
        <w:rPr>
          <w:rtl/>
          <w:lang w:bidi="fa-IR"/>
        </w:rPr>
        <w:t xml:space="preserve"> « الفارهة » من الجارية ، أي الحسناء. ومن الدوابّ ، أي نشيطة حادّة قويّة. راجع : </w:t>
      </w:r>
      <w:r w:rsidR="00744A1C" w:rsidRPr="00877682">
        <w:rPr>
          <w:rStyle w:val="libFootnoteBoldChar"/>
          <w:rtl/>
        </w:rPr>
        <w:t>النهاية</w:t>
      </w:r>
      <w:r w:rsidR="00744A1C">
        <w:rPr>
          <w:rtl/>
          <w:lang w:bidi="fa-IR"/>
        </w:rPr>
        <w:t xml:space="preserve"> ، ج 3 ، ص 441 ( فره ).</w:t>
      </w:r>
      <w:r w:rsidR="00E63622">
        <w:rPr>
          <w:rFonts w:hint="cs"/>
          <w:rtl/>
          <w:lang w:bidi="fa-IR"/>
        </w:rPr>
        <w:t xml:space="preserve">                </w:t>
      </w:r>
      <w:r w:rsidR="00402829">
        <w:rPr>
          <w:rFonts w:hint="cs"/>
          <w:rtl/>
          <w:lang w:bidi="fa-IR"/>
        </w:rPr>
        <w:t xml:space="preserve">                             </w:t>
      </w:r>
      <w:r w:rsidR="00E63622">
        <w:rPr>
          <w:rFonts w:hint="cs"/>
          <w:rtl/>
          <w:lang w:bidi="fa-IR"/>
        </w:rPr>
        <w:t xml:space="preserve">        </w:t>
      </w:r>
      <w:r>
        <w:rPr>
          <w:rtl/>
          <w:lang w:bidi="fa-IR"/>
        </w:rPr>
        <w:t>(9).</w:t>
      </w:r>
      <w:r w:rsidR="00744A1C">
        <w:rPr>
          <w:rtl/>
          <w:lang w:bidi="fa-IR"/>
        </w:rPr>
        <w:t xml:space="preserve"> في « بث ، بف » : « أو المتاع ».</w:t>
      </w:r>
    </w:p>
    <w:p w:rsidR="00744A1C" w:rsidRDefault="00E378DD" w:rsidP="00E378DD">
      <w:pPr>
        <w:pStyle w:val="libFootnote0"/>
        <w:rPr>
          <w:lang w:bidi="fa-IR"/>
        </w:rPr>
      </w:pPr>
      <w:r>
        <w:rPr>
          <w:rtl/>
          <w:lang w:bidi="fa-IR"/>
        </w:rPr>
        <w:t>(10).</w:t>
      </w:r>
      <w:r w:rsidR="00744A1C">
        <w:rPr>
          <w:rtl/>
          <w:lang w:bidi="fa-IR"/>
        </w:rPr>
        <w:t xml:space="preserve"> في </w:t>
      </w:r>
      <w:r w:rsidR="00744A1C" w:rsidRPr="00E63622">
        <w:rPr>
          <w:rtl/>
        </w:rPr>
        <w:t>الكافي</w:t>
      </w:r>
      <w:r w:rsidR="00744A1C">
        <w:rPr>
          <w:rtl/>
          <w:lang w:bidi="fa-IR"/>
        </w:rPr>
        <w:t xml:space="preserve"> ، ح 1424 ؛ « بما ».</w:t>
      </w:r>
    </w:p>
    <w:p w:rsidR="00744A1C" w:rsidRDefault="00E378DD" w:rsidP="00E378DD">
      <w:pPr>
        <w:pStyle w:val="libFootnote0"/>
        <w:rPr>
          <w:lang w:bidi="fa-IR"/>
        </w:rPr>
      </w:pPr>
      <w:r>
        <w:rPr>
          <w:rtl/>
          <w:lang w:bidi="fa-IR"/>
        </w:rPr>
        <w:t>(11).</w:t>
      </w:r>
      <w:r w:rsidR="00744A1C">
        <w:rPr>
          <w:rtl/>
          <w:lang w:bidi="fa-IR"/>
        </w:rPr>
        <w:t xml:space="preserve"> في « بث ، بف ، جت » </w:t>
      </w:r>
      <w:r w:rsidR="00744A1C" w:rsidRPr="00E63622">
        <w:rPr>
          <w:rtl/>
        </w:rPr>
        <w:t>والوسائل والكافي</w:t>
      </w:r>
      <w:r w:rsidR="00744A1C">
        <w:rPr>
          <w:rtl/>
          <w:lang w:bidi="fa-IR"/>
        </w:rPr>
        <w:t xml:space="preserve"> ، ح 1424 </w:t>
      </w:r>
      <w:r w:rsidR="00744A1C" w:rsidRPr="00E63622">
        <w:rPr>
          <w:rtl/>
        </w:rPr>
        <w:t>والتهذيب</w:t>
      </w:r>
      <w:r w:rsidR="00744A1C">
        <w:rPr>
          <w:rtl/>
          <w:lang w:bidi="fa-IR"/>
        </w:rPr>
        <w:t xml:space="preserve"> : « أو يشتهي ».</w:t>
      </w:r>
    </w:p>
    <w:p w:rsidR="00744A1C" w:rsidRDefault="00E378DD" w:rsidP="00E378DD">
      <w:pPr>
        <w:pStyle w:val="libFootnote0"/>
        <w:rPr>
          <w:lang w:bidi="fa-IR"/>
        </w:rPr>
      </w:pPr>
      <w:r>
        <w:rPr>
          <w:rtl/>
          <w:lang w:bidi="fa-IR"/>
        </w:rPr>
        <w:t>(12).</w:t>
      </w:r>
      <w:r w:rsidR="00744A1C">
        <w:rPr>
          <w:rtl/>
          <w:lang w:bidi="fa-IR"/>
        </w:rPr>
        <w:t xml:space="preserve"> في </w:t>
      </w:r>
      <w:r w:rsidR="00744A1C" w:rsidRPr="00E63622">
        <w:rPr>
          <w:rtl/>
        </w:rPr>
        <w:t>الكافي</w:t>
      </w:r>
      <w:r w:rsidR="00744A1C">
        <w:rPr>
          <w:rtl/>
          <w:lang w:bidi="fa-IR"/>
        </w:rPr>
        <w:t xml:space="preserve"> ، ح 1424 </w:t>
      </w:r>
      <w:r w:rsidR="00744A1C" w:rsidRPr="00E63622">
        <w:rPr>
          <w:rtl/>
        </w:rPr>
        <w:t>والتهذيب</w:t>
      </w:r>
      <w:r w:rsidR="00744A1C">
        <w:rPr>
          <w:rtl/>
          <w:lang w:bidi="fa-IR"/>
        </w:rPr>
        <w:t xml:space="preserve"> : « القسمة » بدل « قسمة المال ».</w:t>
      </w:r>
    </w:p>
    <w:p w:rsidR="00744A1C" w:rsidRDefault="00E378DD" w:rsidP="00E63622">
      <w:pPr>
        <w:pStyle w:val="libFootnote0"/>
        <w:rPr>
          <w:lang w:bidi="fa-IR"/>
        </w:rPr>
      </w:pPr>
      <w:r>
        <w:rPr>
          <w:rtl/>
          <w:lang w:bidi="fa-IR"/>
        </w:rPr>
        <w:t>(13).</w:t>
      </w:r>
      <w:r w:rsidR="00744A1C">
        <w:rPr>
          <w:rtl/>
          <w:lang w:bidi="fa-IR"/>
        </w:rPr>
        <w:t xml:space="preserve"> في </w:t>
      </w:r>
      <w:r w:rsidR="00744A1C" w:rsidRPr="00E63622">
        <w:rPr>
          <w:rtl/>
        </w:rPr>
        <w:t>الكافي</w:t>
      </w:r>
      <w:r w:rsidR="00744A1C">
        <w:rPr>
          <w:rtl/>
          <w:lang w:bidi="fa-IR"/>
        </w:rPr>
        <w:t xml:space="preserve"> ، ح 1424 </w:t>
      </w:r>
      <w:r w:rsidR="00744A1C" w:rsidRPr="00E63622">
        <w:rPr>
          <w:rtl/>
        </w:rPr>
        <w:t>والتهذيب</w:t>
      </w:r>
      <w:r w:rsidR="00744A1C">
        <w:rPr>
          <w:rtl/>
          <w:lang w:bidi="fa-IR"/>
        </w:rPr>
        <w:t xml:space="preserve"> : + « وله أن يسدّ بذلك المال جميع ما ينوبه من مثل ( </w:t>
      </w:r>
      <w:r w:rsidR="00744A1C" w:rsidRPr="00E63622">
        <w:rPr>
          <w:rtl/>
        </w:rPr>
        <w:t>التهذيب</w:t>
      </w:r>
      <w:r w:rsidR="00744A1C">
        <w:rPr>
          <w:rtl/>
          <w:lang w:bidi="fa-IR"/>
        </w:rPr>
        <w:t xml:space="preserve"> : قبل ) إعطاء المؤلّفة قلوبهم وغير ذلك ممّا ( </w:t>
      </w:r>
      <w:r w:rsidR="00744A1C" w:rsidRPr="00C24F9C">
        <w:rPr>
          <w:rStyle w:val="libFootnoteBoldChar"/>
          <w:rtl/>
        </w:rPr>
        <w:t>التهذيب</w:t>
      </w:r>
      <w:r w:rsidR="00744A1C">
        <w:rPr>
          <w:rtl/>
          <w:lang w:bidi="fa-IR"/>
        </w:rPr>
        <w:t xml:space="preserve"> : من صنوف ما ) ينوبه ، فإن بقي بعد ذلك شي‌ء أخرج الخمس منه ، فقسّمه في أهله ، وقسّم الباقي على من ولي ذلك ، وإن ( </w:t>
      </w:r>
      <w:r w:rsidR="00744A1C" w:rsidRPr="00C24F9C">
        <w:rPr>
          <w:rStyle w:val="libFootnoteBoldChar"/>
          <w:rtl/>
        </w:rPr>
        <w:t>التهذيب</w:t>
      </w:r>
      <w:r w:rsidR="00744A1C">
        <w:rPr>
          <w:rtl/>
          <w:lang w:bidi="fa-IR"/>
        </w:rPr>
        <w:t xml:space="preserve"> : فإن ) لم يبق بعد سدّ النوائب شي‌ء فلا شي‌ء لهم ».</w:t>
      </w:r>
      <w:r w:rsidR="00E63622">
        <w:rPr>
          <w:rFonts w:hint="cs"/>
          <w:rtl/>
          <w:lang w:bidi="fa-IR"/>
        </w:rPr>
        <w:t xml:space="preserve">                                         </w:t>
      </w:r>
      <w:r w:rsidR="00402829">
        <w:rPr>
          <w:rFonts w:hint="cs"/>
          <w:rtl/>
          <w:lang w:bidi="fa-IR"/>
        </w:rPr>
        <w:t xml:space="preserve">       </w:t>
      </w:r>
      <w:r w:rsidR="00E63622">
        <w:rPr>
          <w:rFonts w:hint="cs"/>
          <w:rtl/>
          <w:lang w:bidi="fa-IR"/>
        </w:rPr>
        <w:t xml:space="preserve">  </w:t>
      </w:r>
      <w:r>
        <w:rPr>
          <w:rtl/>
          <w:lang w:bidi="fa-IR"/>
        </w:rPr>
        <w:t>(14).</w:t>
      </w:r>
      <w:r w:rsidR="00744A1C">
        <w:rPr>
          <w:rtl/>
          <w:lang w:bidi="fa-IR"/>
        </w:rPr>
        <w:t xml:space="preserve"> في </w:t>
      </w:r>
      <w:r w:rsidR="00744A1C" w:rsidRPr="00E63622">
        <w:rPr>
          <w:rtl/>
        </w:rPr>
        <w:t>الكافي</w:t>
      </w:r>
      <w:r w:rsidR="00744A1C">
        <w:rPr>
          <w:rtl/>
          <w:lang w:bidi="fa-IR"/>
        </w:rPr>
        <w:t xml:space="preserve"> ، ح 1424 </w:t>
      </w:r>
      <w:r w:rsidR="00744A1C" w:rsidRPr="00E63622">
        <w:rPr>
          <w:rtl/>
        </w:rPr>
        <w:t>والتهذيب</w:t>
      </w:r>
      <w:r w:rsidR="00744A1C">
        <w:rPr>
          <w:rtl/>
          <w:lang w:bidi="fa-IR"/>
        </w:rPr>
        <w:t xml:space="preserve"> : - « قال ».</w:t>
      </w:r>
    </w:p>
    <w:p w:rsidR="00744A1C" w:rsidRDefault="00E378DD" w:rsidP="00E378DD">
      <w:pPr>
        <w:pStyle w:val="libFootnote0"/>
        <w:rPr>
          <w:lang w:bidi="fa-IR"/>
        </w:rPr>
      </w:pPr>
      <w:r>
        <w:rPr>
          <w:rtl/>
          <w:lang w:bidi="fa-IR"/>
        </w:rPr>
        <w:t>(15).</w:t>
      </w:r>
      <w:r w:rsidR="00744A1C">
        <w:rPr>
          <w:rtl/>
          <w:lang w:bidi="fa-IR"/>
        </w:rPr>
        <w:t xml:space="preserve"> في </w:t>
      </w:r>
      <w:r w:rsidR="00744A1C" w:rsidRPr="00E63622">
        <w:rPr>
          <w:rtl/>
        </w:rPr>
        <w:t>الكافي</w:t>
      </w:r>
      <w:r w:rsidR="00744A1C">
        <w:rPr>
          <w:rtl/>
          <w:lang w:bidi="fa-IR"/>
        </w:rPr>
        <w:t xml:space="preserve"> ، ح 1424 </w:t>
      </w:r>
      <w:r w:rsidR="00744A1C" w:rsidRPr="00E63622">
        <w:rPr>
          <w:rtl/>
        </w:rPr>
        <w:t>والتهذيب</w:t>
      </w:r>
      <w:r w:rsidR="00744A1C">
        <w:rPr>
          <w:rtl/>
          <w:lang w:bidi="fa-IR"/>
        </w:rPr>
        <w:t xml:space="preserve"> : « القسمة ».</w:t>
      </w:r>
    </w:p>
    <w:p w:rsidR="00144FA6" w:rsidRDefault="00744A1C" w:rsidP="00D10E3C">
      <w:pPr>
        <w:pStyle w:val="libFootnote0"/>
        <w:rPr>
          <w:rtl/>
          <w:lang w:bidi="fa-IR"/>
        </w:rPr>
      </w:pPr>
      <w:r>
        <w:rPr>
          <w:rtl/>
          <w:lang w:bidi="fa-IR"/>
        </w:rPr>
        <w:t xml:space="preserve">(16) في </w:t>
      </w:r>
      <w:r w:rsidRPr="00E63622">
        <w:rPr>
          <w:rtl/>
        </w:rPr>
        <w:t>الكافي</w:t>
      </w:r>
      <w:r>
        <w:rPr>
          <w:rtl/>
          <w:lang w:bidi="fa-IR"/>
        </w:rPr>
        <w:t xml:space="preserve"> ، ح 1424 </w:t>
      </w:r>
      <w:r w:rsidRPr="00E63622">
        <w:rPr>
          <w:rtl/>
        </w:rPr>
        <w:t>والتهذيب</w:t>
      </w:r>
      <w:r>
        <w:rPr>
          <w:rtl/>
          <w:lang w:bidi="fa-IR"/>
        </w:rPr>
        <w:t xml:space="preserve"> : «</w:t>
      </w:r>
      <w:r w:rsidR="00E63622">
        <w:rPr>
          <w:rtl/>
          <w:lang w:bidi="fa-IR"/>
        </w:rPr>
        <w:t xml:space="preserve"> الوالي ». والحكم كما قال العل</w:t>
      </w:r>
      <w:r w:rsidR="00E63622">
        <w:rPr>
          <w:rFonts w:hint="cs"/>
          <w:rtl/>
          <w:lang w:bidi="fa-IR"/>
        </w:rPr>
        <w:t>ّ</w:t>
      </w:r>
      <w:r w:rsidR="00E63622">
        <w:rPr>
          <w:rtl/>
          <w:lang w:bidi="fa-IR"/>
        </w:rPr>
        <w:t>ا</w:t>
      </w:r>
      <w:r>
        <w:rPr>
          <w:rtl/>
          <w:lang w:bidi="fa-IR"/>
        </w:rPr>
        <w:t xml:space="preserve">مة المجلسي </w:t>
      </w:r>
      <w:r w:rsidR="00877682" w:rsidRPr="00877682">
        <w:rPr>
          <w:rStyle w:val="libFootnoteAlaemChar"/>
          <w:rtl/>
        </w:rPr>
        <w:t>رحمه‌الله</w:t>
      </w:r>
      <w:r w:rsidR="00E63622" w:rsidRPr="00E63622">
        <w:rPr>
          <w:rFonts w:hint="cs"/>
          <w:rtl/>
        </w:rPr>
        <w:t xml:space="preserve"> </w:t>
      </w:r>
      <w:r>
        <w:rPr>
          <w:rtl/>
          <w:lang w:bidi="fa-IR"/>
        </w:rPr>
        <w:t xml:space="preserve">في </w:t>
      </w:r>
      <w:r w:rsidRPr="00C24F9C">
        <w:rPr>
          <w:rStyle w:val="libFootnoteBoldChar"/>
          <w:rtl/>
        </w:rPr>
        <w:t>المرآة</w:t>
      </w:r>
      <w:r>
        <w:rPr>
          <w:rtl/>
          <w:lang w:bidi="fa-IR"/>
        </w:rPr>
        <w:t xml:space="preserve"> ، مشهور بين</w:t>
      </w:r>
      <w:r w:rsidR="00E63622">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402829">
      <w:pPr>
        <w:pStyle w:val="libNormal0"/>
        <w:rPr>
          <w:lang w:bidi="fa-IR"/>
        </w:rPr>
      </w:pPr>
      <w:r>
        <w:rPr>
          <w:rtl/>
          <w:lang w:bidi="fa-IR"/>
        </w:rPr>
        <w:t xml:space="preserve">رَسُولَ اللهِ </w:t>
      </w:r>
      <w:r w:rsidR="001959EB" w:rsidRPr="001959EB">
        <w:rPr>
          <w:rStyle w:val="libAlaemChar"/>
          <w:rtl/>
        </w:rPr>
        <w:t>صلى‌الله‌عليه‌وآله</w:t>
      </w:r>
      <w:r w:rsidR="00D10E3C">
        <w:rPr>
          <w:rtl/>
          <w:lang w:bidi="fa-IR"/>
        </w:rPr>
        <w:t xml:space="preserve"> </w:t>
      </w:r>
      <w:r>
        <w:rPr>
          <w:rtl/>
          <w:lang w:bidi="fa-IR"/>
        </w:rPr>
        <w:t xml:space="preserve">صَالَحَ الْأَعْرَابَ أَنْ يَدَعَهُمْ فِي دِيَارِهِمْ ، وَلَا يُهَاجِرُوا </w:t>
      </w:r>
      <w:r w:rsidRPr="00D10E3C">
        <w:rPr>
          <w:rStyle w:val="libFootnotenumChar"/>
          <w:rtl/>
        </w:rPr>
        <w:t>(1)</w:t>
      </w:r>
      <w:r>
        <w:rPr>
          <w:rtl/>
          <w:lang w:bidi="fa-IR"/>
        </w:rPr>
        <w:t xml:space="preserve"> ، عَلى أَنَّهُ </w:t>
      </w:r>
      <w:r w:rsidRPr="00D10E3C">
        <w:rPr>
          <w:rStyle w:val="libFootnotenumChar"/>
          <w:rtl/>
        </w:rPr>
        <w:t>(2)</w:t>
      </w:r>
      <w:r>
        <w:rPr>
          <w:rtl/>
          <w:lang w:bidi="fa-IR"/>
        </w:rPr>
        <w:t xml:space="preserve"> إِنْ دَهِمَ </w:t>
      </w:r>
      <w:r w:rsidRPr="00D10E3C">
        <w:rPr>
          <w:rStyle w:val="libFootnotenumChar"/>
          <w:rtl/>
        </w:rPr>
        <w:t>(3)</w:t>
      </w:r>
      <w:r>
        <w:rPr>
          <w:rtl/>
          <w:lang w:bidi="fa-IR"/>
        </w:rPr>
        <w:t xml:space="preserve"> رَسُولَ اللهِ </w:t>
      </w:r>
      <w:r w:rsidR="001959EB" w:rsidRPr="001959EB">
        <w:rPr>
          <w:rStyle w:val="libAlaemChar"/>
          <w:rtl/>
        </w:rPr>
        <w:t>صلى‌الله‌عليه‌وآله</w:t>
      </w:r>
      <w:r w:rsidR="00D10E3C">
        <w:rPr>
          <w:rtl/>
          <w:lang w:bidi="fa-IR"/>
        </w:rPr>
        <w:t xml:space="preserve"> </w:t>
      </w:r>
      <w:r>
        <w:rPr>
          <w:rtl/>
          <w:lang w:bidi="fa-IR"/>
        </w:rPr>
        <w:t xml:space="preserve">مِنْ عَدُوِّهِ دَهْمٌ أَنْ يَسْتَفِزَّهُمْ </w:t>
      </w:r>
      <w:r w:rsidRPr="00D10E3C">
        <w:rPr>
          <w:rStyle w:val="libFootnotenumChar"/>
          <w:rtl/>
        </w:rPr>
        <w:t>(4)</w:t>
      </w:r>
      <w:r>
        <w:rPr>
          <w:rtl/>
          <w:lang w:bidi="fa-IR"/>
        </w:rPr>
        <w:t xml:space="preserve"> ، فَيُقَاتِلَ بِهِمْ ، وَلَيْسَ لَهُمْ فِي الْغَنِيمَةِ نَصِيبٌ ، وَسُنَّةٌ </w:t>
      </w:r>
      <w:r w:rsidRPr="00D10E3C">
        <w:rPr>
          <w:rStyle w:val="libFootnotenumChar"/>
          <w:rtl/>
        </w:rPr>
        <w:t>(5)</w:t>
      </w:r>
      <w:r>
        <w:rPr>
          <w:rtl/>
          <w:lang w:bidi="fa-IR"/>
        </w:rPr>
        <w:t xml:space="preserve"> جَارِيَةٌ </w:t>
      </w:r>
      <w:r w:rsidRPr="00D10E3C">
        <w:rPr>
          <w:rStyle w:val="libFootnotenumChar"/>
          <w:rtl/>
        </w:rPr>
        <w:t>(6)</w:t>
      </w:r>
      <w:r>
        <w:rPr>
          <w:rtl/>
          <w:lang w:bidi="fa-IR"/>
        </w:rPr>
        <w:t xml:space="preserve"> فِيهِمْ وَفِي غَيْرِهِمْ.</w:t>
      </w:r>
    </w:p>
    <w:p w:rsidR="00144FA6" w:rsidRDefault="00744A1C" w:rsidP="00744A1C">
      <w:pPr>
        <w:pStyle w:val="libNormal"/>
        <w:rPr>
          <w:rtl/>
          <w:lang w:bidi="fa-IR"/>
        </w:rPr>
      </w:pPr>
      <w:r>
        <w:rPr>
          <w:rtl/>
          <w:lang w:bidi="fa-IR"/>
        </w:rPr>
        <w:t xml:space="preserve">وَالْأَرْضُ </w:t>
      </w:r>
      <w:r w:rsidRPr="00D10E3C">
        <w:rPr>
          <w:rStyle w:val="libFootnotenumChar"/>
          <w:rtl/>
        </w:rPr>
        <w:t>(7)</w:t>
      </w:r>
      <w:r>
        <w:rPr>
          <w:rtl/>
          <w:lang w:bidi="fa-IR"/>
        </w:rPr>
        <w:t xml:space="preserve"> الَّتِي أُخِذَتْ عَنْوَةً </w:t>
      </w:r>
      <w:r w:rsidRPr="00D10E3C">
        <w:rPr>
          <w:rStyle w:val="libFootnotenumChar"/>
          <w:rtl/>
        </w:rPr>
        <w:t>(8)</w:t>
      </w:r>
      <w:r>
        <w:rPr>
          <w:rtl/>
          <w:lang w:bidi="fa-IR"/>
        </w:rPr>
        <w:t xml:space="preserve"> بِخَيْلٍ أَوْ رِكَابٍ </w:t>
      </w:r>
      <w:r w:rsidRPr="00D10E3C">
        <w:rPr>
          <w:rStyle w:val="libFootnotenumChar"/>
          <w:rtl/>
        </w:rPr>
        <w:t>(9)</w:t>
      </w:r>
      <w:r>
        <w:rPr>
          <w:rtl/>
          <w:lang w:bidi="fa-IR"/>
        </w:rPr>
        <w:t xml:space="preserve"> ، فَهِيَ مَوْقُوفَةٌ </w:t>
      </w:r>
      <w:r w:rsidRPr="00D10E3C">
        <w:rPr>
          <w:rStyle w:val="libFootnotenumChar"/>
          <w:rtl/>
        </w:rPr>
        <w:t>(10)</w:t>
      </w:r>
      <w:r>
        <w:rPr>
          <w:rtl/>
          <w:lang w:bidi="fa-IR"/>
        </w:rPr>
        <w:t xml:space="preserve"> مَتْرُوكَةٌ فِي يَدَيْ </w:t>
      </w:r>
      <w:r w:rsidRPr="00D10E3C">
        <w:rPr>
          <w:rStyle w:val="libFootnotenumChar"/>
          <w:rtl/>
        </w:rPr>
        <w:t>(11)</w:t>
      </w:r>
      <w:r>
        <w:rPr>
          <w:rtl/>
          <w:lang w:bidi="fa-IR"/>
        </w:rPr>
        <w:t xml:space="preserve"> ‌مَنْ يَعْمُرُهَا وَيُحْيِيهَا </w:t>
      </w:r>
      <w:r w:rsidRPr="00D10E3C">
        <w:rPr>
          <w:rStyle w:val="libFootnotenumChar"/>
          <w:rtl/>
        </w:rPr>
        <w:t>(12)</w:t>
      </w:r>
      <w:r>
        <w:rPr>
          <w:rtl/>
          <w:lang w:bidi="fa-IR"/>
        </w:rPr>
        <w:t xml:space="preserve"> ، وَيَقُومُ عَلَيْهَا عَلى مَا يُصَالِحُهُمُ </w:t>
      </w:r>
      <w:r w:rsidRPr="00D10E3C">
        <w:rPr>
          <w:rStyle w:val="libFootnotenumChar"/>
          <w:rtl/>
        </w:rPr>
        <w:t>(13)</w:t>
      </w:r>
      <w:r>
        <w:rPr>
          <w:rtl/>
          <w:lang w:bidi="fa-IR"/>
        </w:rPr>
        <w:t xml:space="preserve"> الْوَالِي عَلى قَدْرِ طَاقَتِهِمْ مِنَ الْحَقِّ </w:t>
      </w:r>
      <w:r w:rsidRPr="00D10E3C">
        <w:rPr>
          <w:rStyle w:val="libFootnotenumChar"/>
          <w:rtl/>
        </w:rPr>
        <w:t>(14)</w:t>
      </w:r>
      <w:r>
        <w:rPr>
          <w:rtl/>
          <w:lang w:bidi="fa-IR"/>
        </w:rPr>
        <w:t xml:space="preserve"> : النِّصْفِ ، وَالثُّلُثِ </w:t>
      </w:r>
      <w:r w:rsidRPr="00D10E3C">
        <w:rPr>
          <w:rStyle w:val="libFootnotenumChar"/>
          <w:rtl/>
        </w:rPr>
        <w:t>(15)</w:t>
      </w:r>
      <w:r>
        <w:rPr>
          <w:rtl/>
          <w:lang w:bidi="fa-IR"/>
        </w:rPr>
        <w:t xml:space="preserve"> ، وَالثُّلُثَيْنِ </w:t>
      </w:r>
      <w:r w:rsidRPr="00D10E3C">
        <w:rPr>
          <w:rStyle w:val="libFootnotenumChar"/>
          <w:rtl/>
        </w:rPr>
        <w:t>(16)</w:t>
      </w:r>
      <w:r>
        <w:rPr>
          <w:rtl/>
          <w:lang w:bidi="fa-IR"/>
        </w:rPr>
        <w:t xml:space="preserve"> ، عَلى </w:t>
      </w:r>
      <w:r w:rsidRPr="00D10E3C">
        <w:rPr>
          <w:rStyle w:val="libFootnotenumChar"/>
          <w:rtl/>
        </w:rPr>
        <w:t>(17)</w:t>
      </w:r>
      <w:r>
        <w:rPr>
          <w:rtl/>
          <w:lang w:bidi="fa-IR"/>
        </w:rPr>
        <w:t xml:space="preserve"> قَدْرِ مَا يَكُونُ لَهُمْ صَالِحاً </w:t>
      </w:r>
      <w:r w:rsidRPr="00D10E3C">
        <w:rPr>
          <w:rStyle w:val="libFootnotenumChar"/>
          <w:rtl/>
        </w:rPr>
        <w:t>(18)</w:t>
      </w:r>
    </w:p>
    <w:p w:rsidR="00744A1C" w:rsidRDefault="00744A1C" w:rsidP="00D10E3C">
      <w:pPr>
        <w:pStyle w:val="libLine"/>
        <w:rPr>
          <w:lang w:bidi="fa-IR"/>
        </w:rPr>
      </w:pPr>
      <w:r>
        <w:rPr>
          <w:rtl/>
          <w:lang w:bidi="fa-IR"/>
        </w:rPr>
        <w:t>____________________</w:t>
      </w:r>
    </w:p>
    <w:p w:rsidR="00744A1C" w:rsidRDefault="007771C5" w:rsidP="00D10E3C">
      <w:pPr>
        <w:pStyle w:val="libFootnote0"/>
        <w:rPr>
          <w:lang w:bidi="fa-IR"/>
        </w:rPr>
      </w:pPr>
      <w:r>
        <w:rPr>
          <w:rFonts w:hint="cs"/>
          <w:rtl/>
          <w:lang w:bidi="fa-IR"/>
        </w:rPr>
        <w:t xml:space="preserve">= </w:t>
      </w:r>
      <w:r w:rsidR="00744A1C">
        <w:rPr>
          <w:rtl/>
          <w:lang w:bidi="fa-IR"/>
        </w:rPr>
        <w:t xml:space="preserve">الأصحاب ، وخالف فيه ابن إدريس. راجع : </w:t>
      </w:r>
      <w:r w:rsidR="00744A1C" w:rsidRPr="00877682">
        <w:rPr>
          <w:rStyle w:val="libFootnoteBoldChar"/>
          <w:rtl/>
        </w:rPr>
        <w:t>النهاية</w:t>
      </w:r>
      <w:r w:rsidR="00744A1C">
        <w:rPr>
          <w:rtl/>
          <w:lang w:bidi="fa-IR"/>
        </w:rPr>
        <w:t xml:space="preserve"> ، ص 299 ؛ </w:t>
      </w:r>
      <w:r w:rsidR="00744A1C" w:rsidRPr="00877682">
        <w:rPr>
          <w:rStyle w:val="libFootnoteBoldChar"/>
          <w:rtl/>
        </w:rPr>
        <w:t>السرائر</w:t>
      </w:r>
      <w:r w:rsidR="00744A1C">
        <w:rPr>
          <w:rtl/>
          <w:lang w:bidi="fa-IR"/>
        </w:rPr>
        <w:t xml:space="preserve"> ، ج 1 ، ص 21 ؛ </w:t>
      </w:r>
      <w:r w:rsidR="00744A1C" w:rsidRPr="00877682">
        <w:rPr>
          <w:rStyle w:val="libFootnoteBoldChar"/>
          <w:rtl/>
        </w:rPr>
        <w:t>مختلف الشيعة</w:t>
      </w:r>
      <w:r w:rsidR="00744A1C">
        <w:rPr>
          <w:rtl/>
          <w:lang w:bidi="fa-IR"/>
        </w:rPr>
        <w:t xml:space="preserve"> ، ج 4 ، ص 409 ؛ </w:t>
      </w:r>
      <w:r w:rsidR="00744A1C" w:rsidRPr="00877682">
        <w:rPr>
          <w:rStyle w:val="libFootnoteBoldChar"/>
          <w:rtl/>
        </w:rPr>
        <w:t>مسالك الأفهام</w:t>
      </w:r>
      <w:r w:rsidR="00744A1C">
        <w:rPr>
          <w:rtl/>
          <w:lang w:bidi="fa-IR"/>
        </w:rPr>
        <w:t xml:space="preserve"> ، ج 3 ، ص 65.</w:t>
      </w:r>
    </w:p>
    <w:p w:rsidR="00744A1C" w:rsidRDefault="00D10E3C" w:rsidP="00D10E3C">
      <w:pPr>
        <w:pStyle w:val="libFootnote0"/>
        <w:rPr>
          <w:lang w:bidi="fa-IR"/>
        </w:rPr>
      </w:pPr>
      <w:r>
        <w:rPr>
          <w:rtl/>
          <w:lang w:bidi="fa-IR"/>
        </w:rPr>
        <w:t>(1).</w:t>
      </w:r>
      <w:r w:rsidR="00744A1C">
        <w:rPr>
          <w:rtl/>
          <w:lang w:bidi="fa-IR"/>
        </w:rPr>
        <w:t xml:space="preserve"> في « ى » : + « معهم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 أنّه ».</w:t>
      </w:r>
    </w:p>
    <w:p w:rsidR="00744A1C" w:rsidRDefault="00E378DD" w:rsidP="00E378DD">
      <w:pPr>
        <w:pStyle w:val="libFootnote0"/>
        <w:rPr>
          <w:lang w:bidi="fa-IR"/>
        </w:rPr>
      </w:pPr>
      <w:r>
        <w:rPr>
          <w:rtl/>
          <w:lang w:bidi="fa-IR"/>
        </w:rPr>
        <w:t>(3).</w:t>
      </w:r>
      <w:r w:rsidR="00744A1C">
        <w:rPr>
          <w:rtl/>
          <w:lang w:bidi="fa-IR"/>
        </w:rPr>
        <w:t xml:space="preserve"> « دَهِمَ » أي غشي. </w:t>
      </w:r>
      <w:r w:rsidR="00744A1C" w:rsidRPr="008A57EB">
        <w:rPr>
          <w:rStyle w:val="libFootnoteBoldChar"/>
          <w:rtl/>
        </w:rPr>
        <w:t>القاموس المحيط</w:t>
      </w:r>
      <w:r w:rsidR="00744A1C">
        <w:rPr>
          <w:rtl/>
          <w:lang w:bidi="fa-IR"/>
        </w:rPr>
        <w:t xml:space="preserve"> ، ج 2 ، ص 1462 ( دهم ).</w:t>
      </w:r>
    </w:p>
    <w:p w:rsidR="00744A1C" w:rsidRDefault="00E378DD" w:rsidP="00E378DD">
      <w:pPr>
        <w:pStyle w:val="libFootnote0"/>
        <w:rPr>
          <w:lang w:bidi="fa-IR"/>
        </w:rPr>
      </w:pPr>
      <w:r>
        <w:rPr>
          <w:rtl/>
          <w:lang w:bidi="fa-IR"/>
        </w:rPr>
        <w:t>(4).</w:t>
      </w:r>
      <w:r w:rsidR="00744A1C">
        <w:rPr>
          <w:rtl/>
          <w:lang w:bidi="fa-IR"/>
        </w:rPr>
        <w:t xml:space="preserve"> في « بح ، بف ، جت » و</w:t>
      </w:r>
      <w:r w:rsidR="00744A1C" w:rsidRPr="00C24F9C">
        <w:rPr>
          <w:rStyle w:val="libFootnoteBoldChar"/>
          <w:rtl/>
        </w:rPr>
        <w:t>الوسائل</w:t>
      </w:r>
      <w:r w:rsidR="00744A1C">
        <w:rPr>
          <w:rtl/>
          <w:lang w:bidi="fa-IR"/>
        </w:rPr>
        <w:t xml:space="preserve"> و</w:t>
      </w:r>
      <w:r w:rsidR="00744A1C" w:rsidRPr="0061079A">
        <w:rPr>
          <w:rStyle w:val="libFootnoteBoldChar"/>
          <w:rtl/>
        </w:rPr>
        <w:t>الكافي</w:t>
      </w:r>
      <w:r w:rsidR="00744A1C">
        <w:rPr>
          <w:rtl/>
          <w:lang w:bidi="fa-IR"/>
        </w:rPr>
        <w:t xml:space="preserve"> ، ح 1424 : « أن يستنفرهم ». و « يستفزّهم » ، أي يستخفّهم ويزعجهم</w:t>
      </w:r>
      <w:r w:rsidR="007771C5">
        <w:rPr>
          <w:rFonts w:hint="cs"/>
          <w:rtl/>
          <w:lang w:bidi="fa-IR"/>
        </w:rPr>
        <w:t xml:space="preserve"> </w:t>
      </w:r>
      <w:r w:rsidR="00744A1C">
        <w:rPr>
          <w:rtl/>
          <w:lang w:bidi="fa-IR"/>
        </w:rPr>
        <w:t xml:space="preserve">‌ويخرجهم عن مقرّهم وديارهم. راجع : </w:t>
      </w:r>
      <w:r w:rsidR="00744A1C" w:rsidRPr="008A57EB">
        <w:rPr>
          <w:rStyle w:val="libFootnoteBoldChar"/>
          <w:rtl/>
        </w:rPr>
        <w:t>القاموس المحيط</w:t>
      </w:r>
      <w:r w:rsidR="00744A1C">
        <w:rPr>
          <w:rtl/>
          <w:lang w:bidi="fa-IR"/>
        </w:rPr>
        <w:t xml:space="preserve"> ، ج 1 ، ص 716 ( فزز ).</w:t>
      </w:r>
    </w:p>
    <w:p w:rsidR="00744A1C" w:rsidRDefault="00E378DD" w:rsidP="00E378DD">
      <w:pPr>
        <w:pStyle w:val="libFootnote0"/>
        <w:rPr>
          <w:lang w:bidi="fa-IR"/>
        </w:rPr>
      </w:pPr>
      <w:r>
        <w:rPr>
          <w:rtl/>
          <w:lang w:bidi="fa-IR"/>
        </w:rPr>
        <w:t>(5).</w:t>
      </w:r>
      <w:r w:rsidR="00744A1C">
        <w:rPr>
          <w:rtl/>
          <w:lang w:bidi="fa-IR"/>
        </w:rPr>
        <w:t xml:space="preserve"> في </w:t>
      </w:r>
      <w:r w:rsidR="00744A1C" w:rsidRPr="007771C5">
        <w:rPr>
          <w:rtl/>
        </w:rPr>
        <w:t>الوسائل والكافي</w:t>
      </w:r>
      <w:r w:rsidR="00744A1C">
        <w:rPr>
          <w:rtl/>
          <w:lang w:bidi="fa-IR"/>
        </w:rPr>
        <w:t xml:space="preserve"> ، ح 1424 </w:t>
      </w:r>
      <w:r w:rsidR="00744A1C" w:rsidRPr="0061079A">
        <w:rPr>
          <w:rStyle w:val="libFootnoteBoldChar"/>
          <w:rtl/>
        </w:rPr>
        <w:t>والتهذيب</w:t>
      </w:r>
      <w:r w:rsidR="00744A1C">
        <w:rPr>
          <w:rtl/>
          <w:lang w:bidi="fa-IR"/>
        </w:rPr>
        <w:t xml:space="preserve"> : « وسنّته ».</w:t>
      </w:r>
    </w:p>
    <w:tbl>
      <w:tblPr>
        <w:tblStyle w:val="TableGrid"/>
        <w:bidiVisual/>
        <w:tblW w:w="0" w:type="auto"/>
        <w:tblLook w:val="04A0" w:firstRow="1" w:lastRow="0" w:firstColumn="1" w:lastColumn="0" w:noHBand="0" w:noVBand="1"/>
      </w:tblPr>
      <w:tblGrid>
        <w:gridCol w:w="4006"/>
        <w:gridCol w:w="4006"/>
      </w:tblGrid>
      <w:tr w:rsidR="007771C5" w:rsidTr="007771C5">
        <w:tc>
          <w:tcPr>
            <w:tcW w:w="4006" w:type="dxa"/>
          </w:tcPr>
          <w:p w:rsidR="007771C5" w:rsidRDefault="007771C5" w:rsidP="00E378DD">
            <w:pPr>
              <w:pStyle w:val="libFootnote0"/>
              <w:rPr>
                <w:rtl/>
                <w:lang w:bidi="fa-IR"/>
              </w:rPr>
            </w:pPr>
            <w:r>
              <w:rPr>
                <w:rtl/>
                <w:lang w:bidi="fa-IR"/>
              </w:rPr>
              <w:t>(6). في « جن » : « وجارية ».</w:t>
            </w:r>
          </w:p>
        </w:tc>
        <w:tc>
          <w:tcPr>
            <w:tcW w:w="4006" w:type="dxa"/>
          </w:tcPr>
          <w:p w:rsidR="007771C5" w:rsidRDefault="007771C5" w:rsidP="00E378DD">
            <w:pPr>
              <w:pStyle w:val="libFootnote0"/>
              <w:rPr>
                <w:rtl/>
                <w:lang w:bidi="fa-IR"/>
              </w:rPr>
            </w:pPr>
            <w:r>
              <w:rPr>
                <w:rtl/>
                <w:lang w:bidi="fa-IR"/>
              </w:rPr>
              <w:t xml:space="preserve">(7). في </w:t>
            </w:r>
            <w:r w:rsidRPr="007771C5">
              <w:rPr>
                <w:rtl/>
              </w:rPr>
              <w:t>الوسائل والكافي ، ح</w:t>
            </w:r>
            <w:r>
              <w:rPr>
                <w:rtl/>
                <w:lang w:bidi="fa-IR"/>
              </w:rPr>
              <w:t xml:space="preserve"> 1424 : « والأرضون ».</w:t>
            </w:r>
          </w:p>
        </w:tc>
      </w:tr>
    </w:tbl>
    <w:p w:rsidR="00744A1C" w:rsidRDefault="00E378DD" w:rsidP="00E378DD">
      <w:pPr>
        <w:pStyle w:val="libFootnote0"/>
        <w:rPr>
          <w:lang w:bidi="fa-IR"/>
        </w:rPr>
      </w:pPr>
      <w:r>
        <w:rPr>
          <w:rtl/>
          <w:lang w:bidi="fa-IR"/>
        </w:rPr>
        <w:t>(8).</w:t>
      </w:r>
      <w:r w:rsidR="00744A1C">
        <w:rPr>
          <w:rtl/>
          <w:lang w:bidi="fa-IR"/>
        </w:rPr>
        <w:t xml:space="preserve"> « عَنْوَةً » ، أي قهراً وغلبة ، وهو من عَنا يَعْنو : إذا ذلّ وخضع. والعنوة : المرّة الواحدة منه ، كأنّ المأخوذ بها يخضع ويذلّ. راجع : </w:t>
      </w:r>
      <w:r w:rsidR="00744A1C" w:rsidRPr="00877682">
        <w:rPr>
          <w:rStyle w:val="libFootnoteBoldChar"/>
          <w:rtl/>
        </w:rPr>
        <w:t>النهاية</w:t>
      </w:r>
      <w:r w:rsidR="00744A1C">
        <w:rPr>
          <w:rtl/>
          <w:lang w:bidi="fa-IR"/>
        </w:rPr>
        <w:t xml:space="preserve"> ، ج 3 ، ص 315 ( عنا ).</w:t>
      </w:r>
    </w:p>
    <w:p w:rsidR="00744A1C" w:rsidRDefault="00E378DD" w:rsidP="00E378DD">
      <w:pPr>
        <w:pStyle w:val="libFootnote0"/>
        <w:rPr>
          <w:lang w:bidi="fa-IR"/>
        </w:rPr>
      </w:pPr>
      <w:r>
        <w:rPr>
          <w:rtl/>
          <w:lang w:bidi="fa-IR"/>
        </w:rPr>
        <w:t>(9).</w:t>
      </w:r>
      <w:r w:rsidR="00744A1C">
        <w:rPr>
          <w:rtl/>
          <w:lang w:bidi="fa-IR"/>
        </w:rPr>
        <w:t xml:space="preserve"> في </w:t>
      </w:r>
      <w:r w:rsidR="00744A1C" w:rsidRPr="007771C5">
        <w:rPr>
          <w:rtl/>
        </w:rPr>
        <w:t>الكافي</w:t>
      </w:r>
      <w:r w:rsidR="00744A1C">
        <w:rPr>
          <w:rtl/>
          <w:lang w:bidi="fa-IR"/>
        </w:rPr>
        <w:t xml:space="preserve"> ، ح 1424 : « ورجال » بدل « أو ركاب ».</w:t>
      </w:r>
    </w:p>
    <w:p w:rsidR="00744A1C" w:rsidRDefault="00E378DD" w:rsidP="00E378DD">
      <w:pPr>
        <w:pStyle w:val="libFootnote0"/>
        <w:rPr>
          <w:lang w:bidi="fa-IR"/>
        </w:rPr>
      </w:pPr>
      <w:r>
        <w:rPr>
          <w:rtl/>
          <w:lang w:bidi="fa-IR"/>
        </w:rPr>
        <w:t>(10).</w:t>
      </w:r>
      <w:r w:rsidR="00744A1C">
        <w:rPr>
          <w:rtl/>
          <w:lang w:bidi="fa-IR"/>
        </w:rPr>
        <w:t xml:space="preserve"> في حاشية « بث ، بح » : « موقفة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موقوفة ، لا خلاف فيه بين الأصحاب ، لكنّهم قيّدوها بما كانت محياة وقت الفتح ، وما كانت مواتاً فهو للإمام </w:t>
      </w:r>
      <w:r w:rsidR="0061079A" w:rsidRPr="0061079A">
        <w:rPr>
          <w:rStyle w:val="libFootnoteAlaemChar"/>
          <w:rtl/>
        </w:rPr>
        <w:t>عليه‌السلام</w:t>
      </w:r>
      <w:r w:rsidR="00D10E3C">
        <w:rPr>
          <w:rtl/>
          <w:lang w:bidi="fa-IR"/>
        </w:rPr>
        <w:t xml:space="preserve"> </w:t>
      </w:r>
      <w:r w:rsidR="00744A1C">
        <w:rPr>
          <w:rtl/>
          <w:lang w:bidi="fa-IR"/>
        </w:rPr>
        <w:t xml:space="preserve">». وراجع : المختصر النافع ، ص 114 ؛ شرائع الإسلام ، ج 1 ، ص 246 ؛ كشف الرموز ، ج 1 ، ص 431 ؛ </w:t>
      </w:r>
      <w:r w:rsidR="00744A1C" w:rsidRPr="00877682">
        <w:rPr>
          <w:rStyle w:val="libFootnoteBoldChar"/>
          <w:rtl/>
        </w:rPr>
        <w:t>مسالك الأفهام</w:t>
      </w:r>
      <w:r w:rsidR="00744A1C">
        <w:rPr>
          <w:rtl/>
          <w:lang w:bidi="fa-IR"/>
        </w:rPr>
        <w:t xml:space="preserve"> ، ج 12 ، ص 393.</w:t>
      </w:r>
    </w:p>
    <w:p w:rsidR="00744A1C" w:rsidRDefault="00E378DD" w:rsidP="00E378DD">
      <w:pPr>
        <w:pStyle w:val="libFootnote0"/>
        <w:rPr>
          <w:lang w:bidi="fa-IR"/>
        </w:rPr>
      </w:pPr>
      <w:r>
        <w:rPr>
          <w:rtl/>
          <w:lang w:bidi="fa-IR"/>
        </w:rPr>
        <w:t>(11).</w:t>
      </w:r>
      <w:r w:rsidR="00744A1C">
        <w:rPr>
          <w:rtl/>
          <w:lang w:bidi="fa-IR"/>
        </w:rPr>
        <w:t xml:space="preserve"> في « جت » : « أيدي ». وفي حاشية « جت » </w:t>
      </w:r>
      <w:r w:rsidR="00744A1C" w:rsidRPr="007771C5">
        <w:rPr>
          <w:rtl/>
        </w:rPr>
        <w:t>والكافي</w:t>
      </w:r>
      <w:r w:rsidR="00744A1C">
        <w:rPr>
          <w:rtl/>
          <w:lang w:bidi="fa-IR"/>
        </w:rPr>
        <w:t xml:space="preserve"> ، ح 1424 </w:t>
      </w:r>
      <w:r w:rsidR="00744A1C" w:rsidRPr="007771C5">
        <w:rPr>
          <w:rtl/>
        </w:rPr>
        <w:t>والتهذيب</w:t>
      </w:r>
      <w:r w:rsidR="00744A1C">
        <w:rPr>
          <w:rtl/>
          <w:lang w:bidi="fa-IR"/>
        </w:rPr>
        <w:t xml:space="preserve"> : « يد ».</w:t>
      </w:r>
    </w:p>
    <w:tbl>
      <w:tblPr>
        <w:tblStyle w:val="TableGrid"/>
        <w:bidiVisual/>
        <w:tblW w:w="0" w:type="auto"/>
        <w:tblLook w:val="04A0" w:firstRow="1" w:lastRow="0" w:firstColumn="1" w:lastColumn="0" w:noHBand="0" w:noVBand="1"/>
      </w:tblPr>
      <w:tblGrid>
        <w:gridCol w:w="4006"/>
        <w:gridCol w:w="4006"/>
      </w:tblGrid>
      <w:tr w:rsidR="007771C5" w:rsidTr="007771C5">
        <w:tc>
          <w:tcPr>
            <w:tcW w:w="4006" w:type="dxa"/>
          </w:tcPr>
          <w:p w:rsidR="007771C5" w:rsidRDefault="007771C5" w:rsidP="00E378DD">
            <w:pPr>
              <w:pStyle w:val="libFootnote0"/>
              <w:rPr>
                <w:rtl/>
                <w:lang w:bidi="fa-IR"/>
              </w:rPr>
            </w:pPr>
            <w:r>
              <w:rPr>
                <w:rtl/>
                <w:lang w:bidi="fa-IR"/>
              </w:rPr>
              <w:t>(12). في « بس » : « أو يحييها ».</w:t>
            </w:r>
          </w:p>
        </w:tc>
        <w:tc>
          <w:tcPr>
            <w:tcW w:w="4006" w:type="dxa"/>
          </w:tcPr>
          <w:p w:rsidR="007771C5" w:rsidRDefault="007771C5" w:rsidP="00E378DD">
            <w:pPr>
              <w:pStyle w:val="libFootnote0"/>
              <w:rPr>
                <w:rtl/>
                <w:lang w:bidi="fa-IR"/>
              </w:rPr>
            </w:pPr>
            <w:r>
              <w:rPr>
                <w:rtl/>
                <w:lang w:bidi="fa-IR"/>
              </w:rPr>
              <w:t xml:space="preserve">(13). في </w:t>
            </w:r>
            <w:r w:rsidRPr="00C24F9C">
              <w:rPr>
                <w:rStyle w:val="libFootnoteBoldChar"/>
                <w:rtl/>
              </w:rPr>
              <w:t>الوسائل</w:t>
            </w:r>
            <w:r>
              <w:rPr>
                <w:rtl/>
                <w:lang w:bidi="fa-IR"/>
              </w:rPr>
              <w:t xml:space="preserve"> : « صالحهم ».</w:t>
            </w:r>
          </w:p>
        </w:tc>
      </w:tr>
    </w:tbl>
    <w:p w:rsidR="00744A1C" w:rsidRDefault="00E378DD" w:rsidP="00E378DD">
      <w:pPr>
        <w:pStyle w:val="libFootnote0"/>
        <w:rPr>
          <w:lang w:bidi="fa-IR"/>
        </w:rPr>
      </w:pPr>
      <w:r>
        <w:rPr>
          <w:rtl/>
          <w:lang w:bidi="fa-IR"/>
        </w:rPr>
        <w:t>(14).</w:t>
      </w:r>
      <w:r w:rsidR="00744A1C">
        <w:rPr>
          <w:rtl/>
          <w:lang w:bidi="fa-IR"/>
        </w:rPr>
        <w:t xml:space="preserve"> في </w:t>
      </w:r>
      <w:r w:rsidR="00744A1C" w:rsidRPr="007771C5">
        <w:rPr>
          <w:rtl/>
        </w:rPr>
        <w:t>التهذيب</w:t>
      </w:r>
      <w:r w:rsidR="00744A1C">
        <w:rPr>
          <w:rtl/>
          <w:lang w:bidi="fa-IR"/>
        </w:rPr>
        <w:t xml:space="preserve"> : « الخراج ».</w:t>
      </w:r>
    </w:p>
    <w:p w:rsidR="00744A1C" w:rsidRDefault="00E378DD" w:rsidP="00E378DD">
      <w:pPr>
        <w:pStyle w:val="libFootnote0"/>
        <w:rPr>
          <w:lang w:bidi="fa-IR"/>
        </w:rPr>
      </w:pPr>
      <w:r>
        <w:rPr>
          <w:rtl/>
          <w:lang w:bidi="fa-IR"/>
        </w:rPr>
        <w:t>(15).</w:t>
      </w:r>
      <w:r w:rsidR="00744A1C">
        <w:rPr>
          <w:rtl/>
          <w:lang w:bidi="fa-IR"/>
        </w:rPr>
        <w:t xml:space="preserve"> في « بث » </w:t>
      </w:r>
      <w:r w:rsidR="00744A1C" w:rsidRPr="007771C5">
        <w:rPr>
          <w:rtl/>
        </w:rPr>
        <w:t>والوسائل والكافي</w:t>
      </w:r>
      <w:r w:rsidR="00744A1C">
        <w:rPr>
          <w:rtl/>
          <w:lang w:bidi="fa-IR"/>
        </w:rPr>
        <w:t xml:space="preserve"> ، ح 1424 </w:t>
      </w:r>
      <w:r w:rsidR="00744A1C" w:rsidRPr="007771C5">
        <w:rPr>
          <w:rtl/>
        </w:rPr>
        <w:t>والتهذيب</w:t>
      </w:r>
      <w:r w:rsidR="00744A1C">
        <w:rPr>
          <w:rtl/>
          <w:lang w:bidi="fa-IR"/>
        </w:rPr>
        <w:t xml:space="preserve"> : « أو الثلث ».</w:t>
      </w:r>
    </w:p>
    <w:p w:rsidR="00744A1C" w:rsidRDefault="00744A1C" w:rsidP="00D10E3C">
      <w:pPr>
        <w:pStyle w:val="libFootnote0"/>
        <w:rPr>
          <w:lang w:bidi="fa-IR"/>
        </w:rPr>
      </w:pPr>
      <w:r>
        <w:rPr>
          <w:rtl/>
          <w:lang w:bidi="fa-IR"/>
        </w:rPr>
        <w:t xml:space="preserve">(16) في « بث ، بح » </w:t>
      </w:r>
      <w:r w:rsidRPr="007771C5">
        <w:rPr>
          <w:rtl/>
        </w:rPr>
        <w:t>والوسائل والكافي</w:t>
      </w:r>
      <w:r>
        <w:rPr>
          <w:rtl/>
          <w:lang w:bidi="fa-IR"/>
        </w:rPr>
        <w:t xml:space="preserve"> ، ح 1424 : « أو الثلثين ». وفي </w:t>
      </w:r>
      <w:r w:rsidRPr="007771C5">
        <w:rPr>
          <w:rtl/>
        </w:rPr>
        <w:t>التهذيب</w:t>
      </w:r>
      <w:r>
        <w:rPr>
          <w:rtl/>
          <w:lang w:bidi="fa-IR"/>
        </w:rPr>
        <w:t xml:space="preserve"> « أو الثلثان ».</w:t>
      </w:r>
    </w:p>
    <w:tbl>
      <w:tblPr>
        <w:tblStyle w:val="TableGrid"/>
        <w:bidiVisual/>
        <w:tblW w:w="0" w:type="auto"/>
        <w:tblLook w:val="04A0" w:firstRow="1" w:lastRow="0" w:firstColumn="1" w:lastColumn="0" w:noHBand="0" w:noVBand="1"/>
      </w:tblPr>
      <w:tblGrid>
        <w:gridCol w:w="4006"/>
        <w:gridCol w:w="4006"/>
      </w:tblGrid>
      <w:tr w:rsidR="007771C5" w:rsidTr="007771C5">
        <w:tc>
          <w:tcPr>
            <w:tcW w:w="4006" w:type="dxa"/>
          </w:tcPr>
          <w:p w:rsidR="007771C5" w:rsidRDefault="007771C5" w:rsidP="00D10E3C">
            <w:pPr>
              <w:pStyle w:val="libFootnote0"/>
              <w:rPr>
                <w:rtl/>
                <w:lang w:bidi="fa-IR"/>
              </w:rPr>
            </w:pPr>
            <w:r>
              <w:rPr>
                <w:rtl/>
                <w:lang w:bidi="fa-IR"/>
              </w:rPr>
              <w:t xml:space="preserve">(17) في </w:t>
            </w:r>
            <w:r w:rsidRPr="007771C5">
              <w:rPr>
                <w:rtl/>
              </w:rPr>
              <w:t>الكافي</w:t>
            </w:r>
            <w:r>
              <w:rPr>
                <w:rtl/>
                <w:lang w:bidi="fa-IR"/>
              </w:rPr>
              <w:t xml:space="preserve"> ، ح 1424 </w:t>
            </w:r>
            <w:r w:rsidRPr="007771C5">
              <w:rPr>
                <w:rtl/>
              </w:rPr>
              <w:t>والتهذيب</w:t>
            </w:r>
            <w:r>
              <w:rPr>
                <w:rtl/>
                <w:lang w:bidi="fa-IR"/>
              </w:rPr>
              <w:t xml:space="preserve"> : « وعلى ».</w:t>
            </w:r>
          </w:p>
        </w:tc>
        <w:tc>
          <w:tcPr>
            <w:tcW w:w="4006" w:type="dxa"/>
          </w:tcPr>
          <w:p w:rsidR="007771C5" w:rsidRDefault="007771C5" w:rsidP="00D10E3C">
            <w:pPr>
              <w:pStyle w:val="libFootnote0"/>
              <w:rPr>
                <w:rtl/>
                <w:lang w:bidi="fa-IR"/>
              </w:rPr>
            </w:pPr>
            <w:r>
              <w:rPr>
                <w:rtl/>
                <w:lang w:bidi="fa-IR"/>
              </w:rPr>
              <w:t xml:space="preserve">(18) في </w:t>
            </w:r>
            <w:r w:rsidRPr="007771C5">
              <w:rPr>
                <w:rtl/>
              </w:rPr>
              <w:t>الكافي</w:t>
            </w:r>
            <w:r>
              <w:rPr>
                <w:rtl/>
                <w:lang w:bidi="fa-IR"/>
              </w:rPr>
              <w:t xml:space="preserve"> ، ح 1424 </w:t>
            </w:r>
            <w:r w:rsidRPr="007771C5">
              <w:rPr>
                <w:rtl/>
              </w:rPr>
              <w:t>والوسائل</w:t>
            </w:r>
            <w:r>
              <w:rPr>
                <w:rtl/>
                <w:lang w:bidi="fa-IR"/>
              </w:rPr>
              <w:t xml:space="preserve"> : « صلاحاً ».</w:t>
            </w:r>
          </w:p>
        </w:tc>
      </w:tr>
    </w:tbl>
    <w:p w:rsidR="004872EA" w:rsidRDefault="004872EA" w:rsidP="004872EA">
      <w:pPr>
        <w:pStyle w:val="libNormal"/>
        <w:rPr>
          <w:rtl/>
          <w:lang w:bidi="fa-IR"/>
        </w:rPr>
      </w:pPr>
      <w:r>
        <w:rPr>
          <w:rtl/>
          <w:lang w:bidi="fa-IR"/>
        </w:rPr>
        <w:br w:type="page"/>
      </w:r>
    </w:p>
    <w:p w:rsidR="00144FA6" w:rsidRDefault="00744A1C" w:rsidP="00402829">
      <w:pPr>
        <w:pStyle w:val="libNormal0"/>
        <w:rPr>
          <w:rtl/>
          <w:lang w:bidi="fa-IR"/>
        </w:rPr>
      </w:pPr>
      <w:r>
        <w:rPr>
          <w:rtl/>
          <w:lang w:bidi="fa-IR"/>
        </w:rPr>
        <w:t xml:space="preserve">وَلَا يَضُرُّهُمْ ». </w:t>
      </w:r>
      <w:r w:rsidR="00D10E3C" w:rsidRPr="004872EA">
        <w:rPr>
          <w:rStyle w:val="libFootnotenumChar"/>
          <w:rtl/>
        </w:rPr>
        <w:t>(1)</w:t>
      </w:r>
      <w:r w:rsidR="00D10E3C">
        <w:rPr>
          <w:rtl/>
          <w:lang w:bidi="fa-IR"/>
        </w:rPr>
        <w:t>.</w:t>
      </w:r>
    </w:p>
    <w:p w:rsidR="00144FA6" w:rsidRDefault="00744A1C" w:rsidP="004872EA">
      <w:pPr>
        <w:pStyle w:val="libNormal"/>
        <w:rPr>
          <w:rtl/>
          <w:lang w:bidi="fa-IR"/>
        </w:rPr>
      </w:pPr>
      <w:r>
        <w:rPr>
          <w:rtl/>
          <w:lang w:bidi="fa-IR"/>
        </w:rPr>
        <w:t xml:space="preserve">8272 / 5. مُحَمَّدُ بْنُ يَحْيى ، عَنْ أَحْمَدَ بْنِ مُحَمَّدِ بْنِ عِيسى </w:t>
      </w:r>
      <w:r w:rsidR="00E378DD" w:rsidRPr="004872EA">
        <w:rPr>
          <w:rStyle w:val="libFootnotenumChar"/>
          <w:rtl/>
        </w:rPr>
        <w:t>(2)</w:t>
      </w:r>
      <w:r w:rsidR="00E378DD">
        <w:rPr>
          <w:rtl/>
          <w:lang w:bidi="fa-IR"/>
        </w:rPr>
        <w:t>.</w:t>
      </w:r>
      <w:r>
        <w:rPr>
          <w:rtl/>
          <w:lang w:bidi="fa-IR"/>
        </w:rPr>
        <w:t xml:space="preserve"> ، عَنْ مُحَمَّدِ بْنِ عِيسى </w:t>
      </w:r>
      <w:r w:rsidR="00E378DD" w:rsidRPr="004872EA">
        <w:rPr>
          <w:rStyle w:val="libFootnotenumChar"/>
          <w:rtl/>
        </w:rPr>
        <w:t>(3)</w:t>
      </w:r>
      <w:r w:rsidR="00E378DD">
        <w:rPr>
          <w:rtl/>
          <w:lang w:bidi="fa-IR"/>
        </w:rPr>
        <w:t>.</w:t>
      </w:r>
      <w:r>
        <w:rPr>
          <w:rtl/>
          <w:lang w:bidi="fa-IR"/>
        </w:rPr>
        <w:t xml:space="preserve"> ، عَنْ مَنْصُورٍ </w:t>
      </w:r>
      <w:r w:rsidR="00E378DD" w:rsidRPr="004872EA">
        <w:rPr>
          <w:rStyle w:val="libFootnotenumChar"/>
          <w:rtl/>
        </w:rPr>
        <w:t>(4)</w:t>
      </w:r>
      <w:r w:rsidR="00E378DD">
        <w:rPr>
          <w:rtl/>
          <w:lang w:bidi="fa-IR"/>
        </w:rPr>
        <w:t>.</w:t>
      </w:r>
      <w:r>
        <w:rPr>
          <w:rtl/>
          <w:lang w:bidi="fa-IR"/>
        </w:rPr>
        <w:t xml:space="preserve"> ، عَنْ هِشَامِ بْنِ سَالِمٍ :</w:t>
      </w:r>
    </w:p>
    <w:p w:rsidR="00744A1C" w:rsidRDefault="00744A1C" w:rsidP="004872EA">
      <w:pPr>
        <w:pStyle w:val="libNormal"/>
        <w:rPr>
          <w:lang w:bidi="fa-IR"/>
        </w:rPr>
      </w:pPr>
      <w:r>
        <w:rPr>
          <w:rtl/>
          <w:lang w:bidi="fa-IR"/>
        </w:rPr>
        <w:t xml:space="preserve">عَنْ أَبِي عَبْدِ اللهِ </w:t>
      </w:r>
      <w:r w:rsidR="0061079A" w:rsidRPr="0061079A">
        <w:rPr>
          <w:rStyle w:val="libFootnoteAlaemChar"/>
          <w:rtl/>
        </w:rPr>
        <w:t>عليه‌السلام</w:t>
      </w:r>
      <w:r w:rsidR="00D10E3C">
        <w:rPr>
          <w:rtl/>
          <w:lang w:bidi="fa-IR"/>
        </w:rPr>
        <w:t xml:space="preserve"> </w:t>
      </w:r>
      <w:r>
        <w:rPr>
          <w:rtl/>
          <w:lang w:bidi="fa-IR"/>
        </w:rPr>
        <w:t xml:space="preserve">، قَالَ : سَأَلْتُهُ عَنِ الْأَعْرَابِ : </w:t>
      </w:r>
      <w:r w:rsidR="00E378DD" w:rsidRPr="004872EA">
        <w:rPr>
          <w:rStyle w:val="libFootnotenumChar"/>
          <w:rtl/>
        </w:rPr>
        <w:t>(5)</w:t>
      </w:r>
      <w:r w:rsidR="00E378DD">
        <w:rPr>
          <w:rtl/>
          <w:lang w:bidi="fa-IR"/>
        </w:rPr>
        <w:t>.</w:t>
      </w:r>
      <w:r>
        <w:rPr>
          <w:rtl/>
          <w:lang w:bidi="fa-IR"/>
        </w:rPr>
        <w:t xml:space="preserve"> عَلَيْهِمْ جِهَادٌ؟</w:t>
      </w:r>
    </w:p>
    <w:p w:rsidR="00744A1C" w:rsidRDefault="004872EA" w:rsidP="004872EA">
      <w:pPr>
        <w:pStyle w:val="libNormal"/>
        <w:rPr>
          <w:lang w:bidi="fa-IR"/>
        </w:rPr>
      </w:pPr>
      <w:r>
        <w:rPr>
          <w:rtl/>
          <w:lang w:bidi="fa-IR"/>
        </w:rPr>
        <w:t>قَالَ : « لَا ، إِل</w:t>
      </w:r>
      <w:r>
        <w:rPr>
          <w:rFonts w:hint="cs"/>
          <w:rtl/>
          <w:lang w:bidi="fa-IR"/>
        </w:rPr>
        <w:t>َّ</w:t>
      </w:r>
      <w:r>
        <w:rPr>
          <w:rtl/>
          <w:lang w:bidi="fa-IR"/>
        </w:rPr>
        <w:t>ا</w:t>
      </w:r>
      <w:r w:rsidR="00744A1C">
        <w:rPr>
          <w:rtl/>
          <w:lang w:bidi="fa-IR"/>
        </w:rPr>
        <w:t xml:space="preserve"> أَنْ يُخَافَ عَلَى الْإِسْلَامِ ، فَيُسْتَعَانَ بِهِمْ ».</w:t>
      </w:r>
    </w:p>
    <w:p w:rsidR="00144FA6" w:rsidRDefault="00744A1C" w:rsidP="004872EA">
      <w:pPr>
        <w:pStyle w:val="libNormal"/>
        <w:rPr>
          <w:rtl/>
          <w:lang w:bidi="fa-IR"/>
        </w:rPr>
      </w:pPr>
      <w:r>
        <w:rPr>
          <w:rtl/>
          <w:lang w:bidi="fa-IR"/>
        </w:rPr>
        <w:t xml:space="preserve">قُلْتُ : فَلَهُمْ مِنَ الْجِزْيَةِ شَيْ‌ءٌ؟ قَالَ : « لَا </w:t>
      </w:r>
      <w:r w:rsidR="00E378DD" w:rsidRPr="004872EA">
        <w:rPr>
          <w:rStyle w:val="libFootnotenumChar"/>
          <w:rtl/>
        </w:rPr>
        <w:t>(6)</w:t>
      </w:r>
      <w:r w:rsidR="00E378DD">
        <w:rPr>
          <w:rtl/>
          <w:lang w:bidi="fa-IR"/>
        </w:rPr>
        <w:t>.</w:t>
      </w:r>
      <w:r>
        <w:rPr>
          <w:rtl/>
          <w:lang w:bidi="fa-IR"/>
        </w:rPr>
        <w:t xml:space="preserve"> ». </w:t>
      </w:r>
      <w:r w:rsidR="00E378DD" w:rsidRPr="004872EA">
        <w:rPr>
          <w:rStyle w:val="libFootnotenumChar"/>
          <w:rtl/>
        </w:rPr>
        <w:t>(7)</w:t>
      </w:r>
      <w:r w:rsidR="00E378DD">
        <w:rPr>
          <w:rtl/>
          <w:lang w:bidi="fa-IR"/>
        </w:rPr>
        <w:t>.</w:t>
      </w:r>
    </w:p>
    <w:p w:rsidR="00144FA6" w:rsidRDefault="00744A1C" w:rsidP="004872EA">
      <w:pPr>
        <w:pStyle w:val="libNormal"/>
        <w:rPr>
          <w:rtl/>
          <w:lang w:bidi="fa-IR"/>
        </w:rPr>
      </w:pPr>
      <w:r>
        <w:rPr>
          <w:rtl/>
          <w:lang w:bidi="fa-IR"/>
        </w:rPr>
        <w:t xml:space="preserve">8273 / 6. عَنْهُ ، عَنْ أَحْمَدَ بْنِ مُحَمَّدٍ </w:t>
      </w:r>
      <w:r w:rsidR="00E378DD" w:rsidRPr="004872EA">
        <w:rPr>
          <w:rStyle w:val="libFootnotenumChar"/>
          <w:rtl/>
        </w:rPr>
        <w:t>(8)</w:t>
      </w:r>
      <w:r w:rsidR="00E378DD">
        <w:rPr>
          <w:rtl/>
          <w:lang w:bidi="fa-IR"/>
        </w:rPr>
        <w:t>.</w:t>
      </w:r>
      <w:r>
        <w:rPr>
          <w:rtl/>
          <w:lang w:bidi="fa-IR"/>
        </w:rPr>
        <w:t xml:space="preserve"> ، عَنْ مُحَمَّدِ بْنِ يَحْيى </w:t>
      </w:r>
      <w:r w:rsidR="00E378DD" w:rsidRPr="004872EA">
        <w:rPr>
          <w:rStyle w:val="libFootnotenumChar"/>
          <w:rtl/>
        </w:rPr>
        <w:t>(9)</w:t>
      </w:r>
      <w:r w:rsidR="00E378DD">
        <w:rPr>
          <w:rtl/>
          <w:lang w:bidi="fa-IR"/>
        </w:rPr>
        <w:t>.</w:t>
      </w:r>
      <w:r>
        <w:rPr>
          <w:rtl/>
          <w:lang w:bidi="fa-IR"/>
        </w:rPr>
        <w:t xml:space="preserve"> ، عَنْ طَلْحَةَ بْنِ زَيْدٍ :</w:t>
      </w:r>
    </w:p>
    <w:p w:rsidR="00144FA6" w:rsidRDefault="00744A1C" w:rsidP="004872EA">
      <w:pPr>
        <w:pStyle w:val="libNormal"/>
        <w:rPr>
          <w:rtl/>
          <w:lang w:bidi="fa-IR"/>
        </w:rPr>
      </w:pPr>
      <w:r>
        <w:rPr>
          <w:rtl/>
          <w:lang w:bidi="fa-IR"/>
        </w:rPr>
        <w:t xml:space="preserve">عَنْ أَبِي عَبْدِ اللهِ ، عَنْ آبَائِهِ </w:t>
      </w:r>
      <w:r w:rsidR="00877682" w:rsidRPr="00877682">
        <w:rPr>
          <w:rStyle w:val="libFootnoteAlaemChar"/>
          <w:rtl/>
        </w:rPr>
        <w:t>عليهم‌السلام</w:t>
      </w:r>
      <w:r w:rsidR="00D10E3C">
        <w:rPr>
          <w:rtl/>
          <w:lang w:bidi="fa-IR"/>
        </w:rPr>
        <w:t xml:space="preserve"> </w:t>
      </w:r>
      <w:r>
        <w:rPr>
          <w:rtl/>
          <w:lang w:bidi="fa-IR"/>
        </w:rPr>
        <w:t xml:space="preserve">، عَنْ عَلِيٍّ </w:t>
      </w:r>
      <w:r w:rsidR="0061079A" w:rsidRPr="0061079A">
        <w:rPr>
          <w:rStyle w:val="libFootnoteAlaemChar"/>
          <w:rtl/>
        </w:rPr>
        <w:t>عليه‌السلام</w:t>
      </w:r>
      <w:r w:rsidR="00D10E3C">
        <w:rPr>
          <w:rtl/>
          <w:lang w:bidi="fa-IR"/>
        </w:rPr>
        <w:t xml:space="preserve"> </w:t>
      </w:r>
      <w:r>
        <w:rPr>
          <w:rtl/>
          <w:lang w:bidi="fa-IR"/>
        </w:rPr>
        <w:t>فِي الرَّجُلِ يَأْتِي الْقَوْمَ وَقَدْ غَنِمُوا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61079A">
        <w:rPr>
          <w:rStyle w:val="libFootnoteBoldChar"/>
          <w:rtl/>
        </w:rPr>
        <w:t>الكافي</w:t>
      </w:r>
      <w:r w:rsidR="00744A1C">
        <w:rPr>
          <w:rtl/>
          <w:lang w:bidi="fa-IR"/>
        </w:rPr>
        <w:t xml:space="preserve"> ، كتاب الحجّة ، باب الفي‌ء والأنفال ... ، ضمن الحديث الطويل 1424. وفي </w:t>
      </w:r>
      <w:r w:rsidR="00744A1C" w:rsidRPr="00C24F9C">
        <w:rPr>
          <w:rStyle w:val="libFootnoteBoldChar"/>
          <w:rtl/>
        </w:rPr>
        <w:t>التهذيب</w:t>
      </w:r>
      <w:r w:rsidR="00744A1C">
        <w:rPr>
          <w:rtl/>
          <w:lang w:bidi="fa-IR"/>
        </w:rPr>
        <w:t xml:space="preserve"> ، ج 4 ، ص 128 ، ضمن الحديث الطويل 366 ، بسنده عن حمّاد بن عيسى ، عن بعض أصحابنا ، عن العبد الصالح أبي الحسن الأوّل </w:t>
      </w:r>
      <w:r w:rsidR="0061079A" w:rsidRPr="0061079A">
        <w:rPr>
          <w:rStyle w:val="libFootnoteAlaemChar"/>
          <w:rtl/>
        </w:rPr>
        <w:t>عليه‌السلام</w:t>
      </w:r>
      <w:r>
        <w:rPr>
          <w:rtl/>
          <w:lang w:bidi="fa-IR"/>
        </w:rPr>
        <w:t xml:space="preserve"> </w:t>
      </w:r>
      <w:r w:rsidR="00744A1C">
        <w:rPr>
          <w:rtl/>
          <w:lang w:bidi="fa-IR"/>
        </w:rPr>
        <w:t xml:space="preserve">، وفيهما مع زيادة </w:t>
      </w:r>
      <w:r w:rsidR="00633E4E">
        <w:rPr>
          <w:rFonts w:hint="cs"/>
          <w:rtl/>
          <w:lang w:bidi="fa-IR"/>
        </w:rPr>
        <w:t>.</w:t>
      </w:r>
      <w:r w:rsidR="00744A1C" w:rsidRPr="00C24F9C">
        <w:rPr>
          <w:rStyle w:val="libFootnoteBoldChar"/>
          <w:rtl/>
        </w:rPr>
        <w:t>الوافي</w:t>
      </w:r>
      <w:r w:rsidR="00744A1C">
        <w:rPr>
          <w:rtl/>
          <w:lang w:bidi="fa-IR"/>
        </w:rPr>
        <w:t xml:space="preserve"> ، ج 15 ، ص 125 ، ح 14777 ؛ </w:t>
      </w:r>
      <w:r w:rsidR="00744A1C" w:rsidRPr="00C24F9C">
        <w:rPr>
          <w:rStyle w:val="libFootnoteBoldChar"/>
          <w:rtl/>
        </w:rPr>
        <w:t>الوسائل</w:t>
      </w:r>
      <w:r w:rsidR="00744A1C">
        <w:rPr>
          <w:rtl/>
          <w:lang w:bidi="fa-IR"/>
        </w:rPr>
        <w:t xml:space="preserve"> ، ج 15 ، ص 110 ، صدر ح 20089.</w:t>
      </w:r>
    </w:p>
    <w:p w:rsidR="00744A1C" w:rsidRDefault="00E378DD" w:rsidP="00E378DD">
      <w:pPr>
        <w:pStyle w:val="libFootnote0"/>
        <w:rPr>
          <w:lang w:bidi="fa-IR"/>
        </w:rPr>
      </w:pPr>
      <w:r>
        <w:rPr>
          <w:rtl/>
          <w:lang w:bidi="fa-IR"/>
        </w:rPr>
        <w:t>(2).</w:t>
      </w:r>
      <w:r w:rsidR="00744A1C">
        <w:rPr>
          <w:rtl/>
          <w:lang w:bidi="fa-IR"/>
        </w:rPr>
        <w:t xml:space="preserve"> في « بح » وحاشية « جت » : - « بن عيسى ».</w:t>
      </w:r>
    </w:p>
    <w:p w:rsidR="00744A1C" w:rsidRDefault="00E378DD" w:rsidP="00E378DD">
      <w:pPr>
        <w:pStyle w:val="libFootnote0"/>
        <w:rPr>
          <w:lang w:bidi="fa-IR"/>
        </w:rPr>
      </w:pPr>
      <w:r>
        <w:rPr>
          <w:rtl/>
          <w:lang w:bidi="fa-IR"/>
        </w:rPr>
        <w:t>(3).</w:t>
      </w:r>
      <w:r w:rsidR="00744A1C">
        <w:rPr>
          <w:rtl/>
          <w:lang w:bidi="fa-IR"/>
        </w:rPr>
        <w:t xml:space="preserve"> في </w:t>
      </w:r>
      <w:r w:rsidR="00744A1C" w:rsidRPr="00633E4E">
        <w:rPr>
          <w:rtl/>
        </w:rPr>
        <w:t>الوافي</w:t>
      </w:r>
      <w:r w:rsidR="00744A1C">
        <w:rPr>
          <w:rtl/>
          <w:lang w:bidi="fa-IR"/>
        </w:rPr>
        <w:t xml:space="preserve"> : - « عن محمّد بن عيسى ». وهو سهو أوجبه جواز النظر من « محمّد بن عيسى » في « أحمد بن محمّد بن عيسى » إلى « محمّد بن عيسى » قبل « عن منصور » ؛ فإنّ عمدة رواة منصور - وهو ابن حازم - إمّا في طبقة مشايخ أحمد بن محمّد بن عيسى كصفوان بن يحيى ، أو في طبقة مشايخ مشايخه كسيف بن عميرة.</w:t>
      </w:r>
    </w:p>
    <w:p w:rsidR="00744A1C" w:rsidRDefault="00744A1C" w:rsidP="00D10E3C">
      <w:pPr>
        <w:pStyle w:val="libFootnote0"/>
        <w:rPr>
          <w:lang w:bidi="fa-IR"/>
        </w:rPr>
      </w:pPr>
      <w:r>
        <w:rPr>
          <w:rtl/>
          <w:lang w:bidi="fa-IR"/>
        </w:rPr>
        <w:t xml:space="preserve">ويؤيّد ذلك ما ورد في بعض الأسناد من رواية أحمد بن محمّد [ بن عيسى ] عن محمّد بن عيسى ، عن منصور [ بن حازم ]. راجع : </w:t>
      </w:r>
      <w:r w:rsidRPr="0061079A">
        <w:rPr>
          <w:rStyle w:val="libFootnoteBoldChar"/>
          <w:rtl/>
        </w:rPr>
        <w:t>معجم رجال الحديث</w:t>
      </w:r>
      <w:r>
        <w:rPr>
          <w:rtl/>
          <w:lang w:bidi="fa-IR"/>
        </w:rPr>
        <w:t xml:space="preserve"> ، ج 17 ، ص 378 - 379.</w:t>
      </w:r>
    </w:p>
    <w:p w:rsidR="00744A1C" w:rsidRDefault="00E378DD" w:rsidP="00E378DD">
      <w:pPr>
        <w:pStyle w:val="libFootnote0"/>
        <w:rPr>
          <w:lang w:bidi="fa-IR"/>
        </w:rPr>
      </w:pPr>
      <w:r>
        <w:rPr>
          <w:rtl/>
          <w:lang w:bidi="fa-IR"/>
        </w:rPr>
        <w:t>(4).</w:t>
      </w:r>
      <w:r w:rsidR="00744A1C">
        <w:rPr>
          <w:rtl/>
          <w:lang w:bidi="fa-IR"/>
        </w:rPr>
        <w:t xml:space="preserve"> في « بس » : + « بن حازم ».</w:t>
      </w:r>
    </w:p>
    <w:p w:rsidR="00744A1C" w:rsidRDefault="00E378DD" w:rsidP="00E378DD">
      <w:pPr>
        <w:pStyle w:val="libFootnote0"/>
        <w:rPr>
          <w:lang w:bidi="fa-IR"/>
        </w:rPr>
      </w:pPr>
      <w:r>
        <w:rPr>
          <w:rtl/>
          <w:lang w:bidi="fa-IR"/>
        </w:rPr>
        <w:t>(5).</w:t>
      </w:r>
      <w:r w:rsidR="00744A1C">
        <w:rPr>
          <w:rtl/>
          <w:lang w:bidi="fa-IR"/>
        </w:rPr>
        <w:t xml:space="preserve"> في « بس » : + « هل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يدلّ أنّ الجزية للمجاهدين الذين لهم نصيب في الغنيمة ، كما هو ظاهر التحرير ». وراجع : تحرير الأحكام ، ج 1 ، ص 146.</w:t>
      </w:r>
    </w:p>
    <w:p w:rsidR="00744A1C" w:rsidRDefault="00E378DD" w:rsidP="00633E4E">
      <w:pPr>
        <w:pStyle w:val="libFootnote0"/>
        <w:rPr>
          <w:lang w:bidi="fa-IR"/>
        </w:rPr>
      </w:pPr>
      <w:r>
        <w:rPr>
          <w:rtl/>
          <w:lang w:bidi="fa-IR"/>
        </w:rPr>
        <w:t>(7).</w:t>
      </w:r>
      <w:r w:rsidR="00744A1C">
        <w:rPr>
          <w:rtl/>
          <w:lang w:bidi="fa-IR"/>
        </w:rPr>
        <w:t xml:space="preserve"> </w:t>
      </w:r>
      <w:r w:rsidR="00744A1C" w:rsidRPr="00C24F9C">
        <w:rPr>
          <w:rStyle w:val="libFootnoteBoldChar"/>
          <w:rtl/>
        </w:rPr>
        <w:t>الفقيه</w:t>
      </w:r>
      <w:r w:rsidR="00744A1C">
        <w:rPr>
          <w:rtl/>
          <w:lang w:bidi="fa-IR"/>
        </w:rPr>
        <w:t xml:space="preserve"> ، ج 2 ، ص 53 ، ح 1676 ، بسند آخر </w:t>
      </w:r>
      <w:r w:rsidR="00633E4E">
        <w:rPr>
          <w:rFonts w:hint="cs"/>
          <w:rtl/>
          <w:lang w:bidi="fa-IR"/>
        </w:rPr>
        <w:t>.</w:t>
      </w:r>
      <w:r w:rsidR="00744A1C" w:rsidRPr="00C24F9C">
        <w:rPr>
          <w:rStyle w:val="libFootnoteBoldChar"/>
          <w:rtl/>
        </w:rPr>
        <w:t>الوافي</w:t>
      </w:r>
      <w:r w:rsidR="00744A1C">
        <w:rPr>
          <w:rtl/>
          <w:lang w:bidi="fa-IR"/>
        </w:rPr>
        <w:t xml:space="preserve"> ، ج 15 ، ص 75 ، ح 14719 ؛ </w:t>
      </w:r>
      <w:r w:rsidR="00744A1C" w:rsidRPr="00C24F9C">
        <w:rPr>
          <w:rStyle w:val="libFootnoteBoldChar"/>
          <w:rtl/>
        </w:rPr>
        <w:t>الوسائل</w:t>
      </w:r>
      <w:r w:rsidR="00744A1C">
        <w:rPr>
          <w:rtl/>
          <w:lang w:bidi="fa-IR"/>
        </w:rPr>
        <w:t xml:space="preserve"> ، ج 15 ، ص 112 ، ح 20091.</w:t>
      </w:r>
      <w:r w:rsidR="00633E4E">
        <w:rPr>
          <w:rFonts w:hint="cs"/>
          <w:rtl/>
          <w:lang w:bidi="fa-IR"/>
        </w:rPr>
        <w:t xml:space="preserve">                                </w:t>
      </w:r>
      <w:r>
        <w:rPr>
          <w:rtl/>
          <w:lang w:bidi="fa-IR"/>
        </w:rPr>
        <w:t>(8).</w:t>
      </w:r>
      <w:r w:rsidR="00744A1C">
        <w:rPr>
          <w:rtl/>
          <w:lang w:bidi="fa-IR"/>
        </w:rPr>
        <w:t xml:space="preserve"> في « بس » : - « بن محمّد ».</w:t>
      </w:r>
    </w:p>
    <w:p w:rsidR="00744A1C" w:rsidRDefault="00E378DD" w:rsidP="00E378DD">
      <w:pPr>
        <w:pStyle w:val="libFootnote0"/>
        <w:rPr>
          <w:lang w:bidi="fa-IR"/>
        </w:rPr>
      </w:pPr>
      <w:r>
        <w:rPr>
          <w:rtl/>
          <w:lang w:bidi="fa-IR"/>
        </w:rPr>
        <w:t>(9).</w:t>
      </w:r>
      <w:r w:rsidR="00744A1C">
        <w:rPr>
          <w:rtl/>
          <w:lang w:bidi="fa-IR"/>
        </w:rPr>
        <w:t xml:space="preserve"> في « ى ، بث ، بف » : « أحمد بن محمّد بن يحيى » بدل « أحمد بن محمّد ، عن محمّد بن يحيى » وهو سهو ناشٍ إمّا من جواز النظر من « محمّد » في « أحمد بن محمّد » إلى « محمّد » في « محمّد </w:t>
      </w:r>
      <w:r w:rsidR="00633E4E">
        <w:rPr>
          <w:rtl/>
          <w:lang w:bidi="fa-IR"/>
        </w:rPr>
        <w:t>بن يحيى ». أو من تبديل « عن » ب</w:t>
      </w:r>
      <w:r w:rsidR="00633E4E">
        <w:rPr>
          <w:rFonts w:hint="cs"/>
          <w:rtl/>
          <w:lang w:bidi="fa-IR"/>
        </w:rPr>
        <w:t>ـ</w:t>
      </w:r>
      <w:r w:rsidR="00744A1C">
        <w:rPr>
          <w:rtl/>
          <w:lang w:bidi="fa-IR"/>
        </w:rPr>
        <w:t xml:space="preserve"> « بن » بناءً على نسخة « أحمد عن محمّد بن يحيى ». ولعلّ الاحتمال الأوّل أولى.</w:t>
      </w:r>
    </w:p>
    <w:p w:rsidR="006A5060" w:rsidRDefault="006A5060" w:rsidP="00D10E3C">
      <w:pPr>
        <w:pStyle w:val="libNormal"/>
        <w:rPr>
          <w:rtl/>
          <w:lang w:bidi="fa-IR"/>
        </w:rPr>
      </w:pPr>
      <w:r>
        <w:rPr>
          <w:rtl/>
          <w:lang w:bidi="fa-IR"/>
        </w:rPr>
        <w:br w:type="page"/>
      </w:r>
    </w:p>
    <w:p w:rsidR="00144FA6" w:rsidRDefault="00744A1C" w:rsidP="00402829">
      <w:pPr>
        <w:pStyle w:val="libNormal0"/>
        <w:rPr>
          <w:rtl/>
          <w:lang w:bidi="fa-IR"/>
        </w:rPr>
      </w:pPr>
      <w:r>
        <w:rPr>
          <w:rtl/>
          <w:lang w:bidi="fa-IR"/>
        </w:rPr>
        <w:t xml:space="preserve">وَلَمْ يَكُنْ </w:t>
      </w:r>
      <w:r w:rsidRPr="00D10E3C">
        <w:rPr>
          <w:rStyle w:val="libFootnotenumChar"/>
          <w:rtl/>
        </w:rPr>
        <w:t>(1)</w:t>
      </w:r>
      <w:r>
        <w:rPr>
          <w:rtl/>
          <w:lang w:bidi="fa-IR"/>
        </w:rPr>
        <w:t xml:space="preserve"> شَهِدَ الْقِتَالَ ، فَقَالَ أَمِيرُ الْمُؤْمِنِينَ </w:t>
      </w:r>
      <w:r w:rsidR="0061079A" w:rsidRPr="0061079A">
        <w:rPr>
          <w:rStyle w:val="libAlaemChar"/>
          <w:rtl/>
        </w:rPr>
        <w:t>عليه‌السلام</w:t>
      </w:r>
      <w:r w:rsidR="00D10E3C">
        <w:rPr>
          <w:rtl/>
          <w:lang w:bidi="fa-IR"/>
        </w:rPr>
        <w:t xml:space="preserve"> </w:t>
      </w:r>
      <w:r w:rsidRPr="00D10E3C">
        <w:rPr>
          <w:rStyle w:val="libFootnotenumChar"/>
          <w:rtl/>
        </w:rPr>
        <w:t>(2)</w:t>
      </w:r>
      <w:r>
        <w:rPr>
          <w:rtl/>
          <w:lang w:bidi="fa-IR"/>
        </w:rPr>
        <w:t xml:space="preserve"> : « هؤُلَاءِ الْمَحْرُومُونَ </w:t>
      </w:r>
      <w:r w:rsidRPr="00D10E3C">
        <w:rPr>
          <w:rStyle w:val="libFootnotenumChar"/>
          <w:rtl/>
        </w:rPr>
        <w:t>(3)</w:t>
      </w:r>
      <w:r>
        <w:rPr>
          <w:rtl/>
          <w:lang w:bidi="fa-IR"/>
        </w:rPr>
        <w:t xml:space="preserve"> » وَأَمَرَ </w:t>
      </w:r>
      <w:r w:rsidRPr="00D10E3C">
        <w:rPr>
          <w:rStyle w:val="libFootnotenumChar"/>
          <w:rtl/>
        </w:rPr>
        <w:t>(4)</w:t>
      </w:r>
      <w:r>
        <w:rPr>
          <w:rtl/>
          <w:lang w:bidi="fa-IR"/>
        </w:rPr>
        <w:t xml:space="preserve"> أَنْ يُقْسَمَ لَهُمْ. </w:t>
      </w:r>
      <w:r w:rsidRPr="00D10E3C">
        <w:rPr>
          <w:rStyle w:val="libFootnotenumChar"/>
          <w:rtl/>
        </w:rPr>
        <w:t>(5)</w:t>
      </w:r>
    </w:p>
    <w:p w:rsidR="00144FA6" w:rsidRDefault="00744A1C" w:rsidP="00744A1C">
      <w:pPr>
        <w:pStyle w:val="libNormal"/>
        <w:rPr>
          <w:rtl/>
          <w:lang w:bidi="fa-IR"/>
        </w:rPr>
      </w:pPr>
      <w:r>
        <w:rPr>
          <w:rtl/>
          <w:lang w:bidi="fa-IR"/>
        </w:rPr>
        <w:t xml:space="preserve">8274 / 7. مُحَمَّدٌ ، عَنْ أَحْمَدَ بْنِ مُحَمَّدِ بْنِ عِيسى </w:t>
      </w:r>
      <w:r w:rsidRPr="00D10E3C">
        <w:rPr>
          <w:rStyle w:val="libFootnotenumChar"/>
          <w:rtl/>
        </w:rPr>
        <w:t>(6)</w:t>
      </w:r>
      <w:r>
        <w:rPr>
          <w:rtl/>
          <w:lang w:bidi="fa-IR"/>
        </w:rPr>
        <w:t xml:space="preserve"> ، عَنْ مَنْصُورٍ </w:t>
      </w:r>
      <w:r w:rsidRPr="00D10E3C">
        <w:rPr>
          <w:rStyle w:val="libFootnotenumChar"/>
          <w:rtl/>
        </w:rPr>
        <w:t>(7)</w:t>
      </w:r>
      <w:r w:rsidR="00633E4E">
        <w:rPr>
          <w:rtl/>
          <w:lang w:bidi="fa-IR"/>
        </w:rPr>
        <w:t xml:space="preserve"> ، عَنْ هِشَامِ بْنِ سَالِمٍ</w:t>
      </w:r>
      <w:r>
        <w:rPr>
          <w:rtl/>
          <w:lang w:bidi="fa-IR"/>
        </w:rPr>
        <w:t>:</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سَأَلْتُهُ عَنِ الْغَنِيمَةِ؟</w:t>
      </w:r>
    </w:p>
    <w:p w:rsidR="00144FA6" w:rsidRDefault="00744A1C" w:rsidP="00744A1C">
      <w:pPr>
        <w:pStyle w:val="libNormal"/>
        <w:rPr>
          <w:rtl/>
          <w:lang w:bidi="fa-IR"/>
        </w:rPr>
      </w:pPr>
      <w:r>
        <w:rPr>
          <w:rtl/>
          <w:lang w:bidi="fa-IR"/>
        </w:rPr>
        <w:t>فَقَالَ : « يُخْرَجُ مِنْهَا خُمُسٌ لِلّهِ ، وَخُمُسٌ لِلرَّسُولِ ، وَمَا بَقِيَ قُسِمَ بَيْنَ مَنْ قَاتَلَ عَلَيْهِ وَ</w:t>
      </w:r>
      <w:r w:rsidR="00633E4E">
        <w:rPr>
          <w:rFonts w:hint="cs"/>
          <w:rtl/>
          <w:lang w:bidi="fa-IR"/>
        </w:rPr>
        <w:t xml:space="preserve"> </w:t>
      </w:r>
      <w:r>
        <w:rPr>
          <w:rtl/>
          <w:lang w:bidi="fa-IR"/>
        </w:rPr>
        <w:t xml:space="preserve">وَلِيَ ذلِكَ ». </w:t>
      </w:r>
      <w:r w:rsidRPr="00D10E3C">
        <w:rPr>
          <w:rStyle w:val="libFootnotenumChar"/>
          <w:rtl/>
        </w:rPr>
        <w:t>(8)</w:t>
      </w:r>
    </w:p>
    <w:p w:rsidR="00633E4E" w:rsidRDefault="00744A1C" w:rsidP="00633E4E">
      <w:pPr>
        <w:pStyle w:val="libNormal"/>
        <w:rPr>
          <w:rtl/>
          <w:lang w:bidi="fa-IR"/>
        </w:rPr>
      </w:pPr>
      <w:r>
        <w:rPr>
          <w:rtl/>
          <w:lang w:bidi="fa-IR"/>
        </w:rPr>
        <w:t>8275 / 8. عَلِيُّ بْنُ إِبْرَاهِيمَ ، عَنْ أَبِيهِ ؛</w:t>
      </w:r>
    </w:p>
    <w:p w:rsidR="00144FA6" w:rsidRDefault="00633E4E" w:rsidP="00633E4E">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مُحَمَّدُ بْنُ يَحْيى ، عَنْ مُحَمَّدِ بْنِ الْحُسَيْنِ جَمِيعاً ، عَنْ عُثْمَانَ بْنِ عِيسى ، عَنْ سَمَاعَةَ :</w:t>
      </w:r>
    </w:p>
    <w:p w:rsidR="00744A1C" w:rsidRDefault="00744A1C" w:rsidP="00744A1C">
      <w:pPr>
        <w:pStyle w:val="libNormal"/>
        <w:rPr>
          <w:lang w:bidi="fa-IR"/>
        </w:rPr>
      </w:pPr>
      <w:r>
        <w:rPr>
          <w:rtl/>
          <w:lang w:bidi="fa-IR"/>
        </w:rPr>
        <w:t xml:space="preserve">عَنْ أَحَدِهِمَا </w:t>
      </w:r>
      <w:r w:rsidR="008859AA" w:rsidRPr="008859AA">
        <w:rPr>
          <w:rStyle w:val="libAlaemChar"/>
          <w:rtl/>
        </w:rPr>
        <w:t>عليهما‌السلام</w:t>
      </w:r>
      <w:r>
        <w:rPr>
          <w:rtl/>
          <w:lang w:bidi="fa-IR"/>
        </w:rPr>
        <w:t xml:space="preserve">، قَالَ : « إِنَّ رَسُولَ اللهِ </w:t>
      </w:r>
      <w:r w:rsidR="0017097C" w:rsidRPr="0017097C">
        <w:rPr>
          <w:rStyle w:val="libAlaemChar"/>
          <w:rtl/>
        </w:rPr>
        <w:t>صلى‌الله‌عليه‌وآله</w:t>
      </w:r>
      <w:r w:rsidR="00D10E3C">
        <w:rPr>
          <w:rtl/>
          <w:lang w:bidi="fa-IR"/>
        </w:rPr>
        <w:t xml:space="preserve"> </w:t>
      </w:r>
      <w:r>
        <w:rPr>
          <w:rtl/>
          <w:lang w:bidi="fa-IR"/>
        </w:rPr>
        <w:t xml:space="preserve">خَرَجَ بِالنِّسَاءِ فِي الْحَرْبِ حَتّى </w:t>
      </w:r>
      <w:r w:rsidRPr="00D10E3C">
        <w:rPr>
          <w:rStyle w:val="libFootnotenumChar"/>
          <w:rtl/>
        </w:rPr>
        <w:t>(9)</w:t>
      </w:r>
      <w:r>
        <w:rPr>
          <w:rtl/>
          <w:lang w:bidi="fa-IR"/>
        </w:rPr>
        <w:t xml:space="preserve"> يُدَاوِينَ‌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3891"/>
        <w:gridCol w:w="4121"/>
      </w:tblGrid>
      <w:tr w:rsidR="00362BA1" w:rsidTr="002B4A31">
        <w:tc>
          <w:tcPr>
            <w:tcW w:w="3891" w:type="dxa"/>
          </w:tcPr>
          <w:p w:rsidR="00362BA1" w:rsidRDefault="00362BA1" w:rsidP="00D10E3C">
            <w:pPr>
              <w:pStyle w:val="libFootnote0"/>
              <w:rPr>
                <w:rtl/>
                <w:lang w:bidi="fa-IR"/>
              </w:rPr>
            </w:pPr>
            <w:r>
              <w:rPr>
                <w:rtl/>
                <w:lang w:bidi="fa-IR"/>
              </w:rPr>
              <w:t xml:space="preserve">(1). في </w:t>
            </w:r>
            <w:r w:rsidRPr="00362BA1">
              <w:rPr>
                <w:rtl/>
              </w:rPr>
              <w:t>الوافي</w:t>
            </w:r>
            <w:r>
              <w:rPr>
                <w:rtl/>
                <w:lang w:bidi="fa-IR"/>
              </w:rPr>
              <w:t xml:space="preserve"> : + « ممنّ ».</w:t>
            </w:r>
          </w:p>
        </w:tc>
        <w:tc>
          <w:tcPr>
            <w:tcW w:w="4121" w:type="dxa"/>
          </w:tcPr>
          <w:p w:rsidR="00362BA1" w:rsidRDefault="00362BA1" w:rsidP="00D10E3C">
            <w:pPr>
              <w:pStyle w:val="libFootnote0"/>
              <w:rPr>
                <w:rtl/>
                <w:lang w:bidi="fa-IR"/>
              </w:rPr>
            </w:pPr>
            <w:r>
              <w:rPr>
                <w:rtl/>
                <w:lang w:bidi="fa-IR"/>
              </w:rPr>
              <w:t xml:space="preserve">(2).في </w:t>
            </w:r>
            <w:r w:rsidRPr="00362BA1">
              <w:rPr>
                <w:rtl/>
              </w:rPr>
              <w:t>الوافي</w:t>
            </w:r>
            <w:r>
              <w:rPr>
                <w:rtl/>
                <w:lang w:bidi="fa-IR"/>
              </w:rPr>
              <w:t>:«قال</w:t>
            </w:r>
            <w:r w:rsidR="00505CC6">
              <w:rPr>
                <w:rtl/>
                <w:lang w:bidi="fa-IR"/>
              </w:rPr>
              <w:t>:</w:t>
            </w:r>
            <w:r>
              <w:rPr>
                <w:rtl/>
                <w:lang w:bidi="fa-IR"/>
              </w:rPr>
              <w:t>فقال»بدل«فقال</w:t>
            </w:r>
            <w:r>
              <w:rPr>
                <w:rFonts w:hint="cs"/>
                <w:rtl/>
                <w:lang w:bidi="fa-IR"/>
              </w:rPr>
              <w:t xml:space="preserve"> </w:t>
            </w:r>
            <w:r>
              <w:rPr>
                <w:rtl/>
                <w:lang w:bidi="fa-IR"/>
              </w:rPr>
              <w:t xml:space="preserve">أميرالمؤمنين </w:t>
            </w:r>
            <w:r w:rsidRPr="0061079A">
              <w:rPr>
                <w:rStyle w:val="libFootnoteAlaemChar"/>
                <w:rtl/>
              </w:rPr>
              <w:t>عليه‌السلام</w:t>
            </w:r>
            <w:r>
              <w:rPr>
                <w:rtl/>
                <w:lang w:bidi="fa-IR"/>
              </w:rPr>
              <w:t>».</w:t>
            </w:r>
          </w:p>
        </w:tc>
      </w:tr>
      <w:tr w:rsidR="00362BA1" w:rsidTr="002B4A31">
        <w:tc>
          <w:tcPr>
            <w:tcW w:w="3891" w:type="dxa"/>
          </w:tcPr>
          <w:p w:rsidR="00362BA1" w:rsidRDefault="002B4A31" w:rsidP="00D10E3C">
            <w:pPr>
              <w:pStyle w:val="libFootnote0"/>
              <w:rPr>
                <w:rtl/>
                <w:lang w:bidi="fa-IR"/>
              </w:rPr>
            </w:pPr>
            <w:r>
              <w:rPr>
                <w:rtl/>
                <w:lang w:bidi="fa-IR"/>
              </w:rPr>
              <w:t xml:space="preserve">(3). في </w:t>
            </w:r>
            <w:r w:rsidRPr="00C24F9C">
              <w:rPr>
                <w:rStyle w:val="libFootnoteBoldChar"/>
                <w:rtl/>
              </w:rPr>
              <w:t>المرآة</w:t>
            </w:r>
            <w:r>
              <w:rPr>
                <w:rtl/>
                <w:lang w:bidi="fa-IR"/>
              </w:rPr>
              <w:t xml:space="preserve"> : « أي من الثواب ».</w:t>
            </w:r>
          </w:p>
        </w:tc>
        <w:tc>
          <w:tcPr>
            <w:tcW w:w="4121" w:type="dxa"/>
          </w:tcPr>
          <w:p w:rsidR="00362BA1" w:rsidRDefault="002B4A31" w:rsidP="00D10E3C">
            <w:pPr>
              <w:pStyle w:val="libFootnote0"/>
              <w:rPr>
                <w:rtl/>
                <w:lang w:bidi="fa-IR"/>
              </w:rPr>
            </w:pPr>
            <w:r>
              <w:rPr>
                <w:rtl/>
                <w:lang w:bidi="fa-IR"/>
              </w:rPr>
              <w:t xml:space="preserve">(4). في </w:t>
            </w:r>
            <w:r w:rsidRPr="002B4A31">
              <w:rPr>
                <w:rtl/>
              </w:rPr>
              <w:t>الوافي</w:t>
            </w:r>
            <w:r>
              <w:rPr>
                <w:rtl/>
                <w:lang w:bidi="fa-IR"/>
              </w:rPr>
              <w:t xml:space="preserve"> : « فأمر ».</w:t>
            </w:r>
          </w:p>
        </w:tc>
      </w:tr>
    </w:tbl>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146 ، ح 254 ؛ </w:t>
      </w:r>
      <w:r w:rsidR="00744A1C" w:rsidRPr="00C24F9C">
        <w:rPr>
          <w:rStyle w:val="libFootnoteBoldChar"/>
          <w:rtl/>
        </w:rPr>
        <w:t>والاستبصار</w:t>
      </w:r>
      <w:r w:rsidR="00744A1C">
        <w:rPr>
          <w:rtl/>
          <w:lang w:bidi="fa-IR"/>
        </w:rPr>
        <w:t xml:space="preserve"> ، ج 3 ، ص 2 ، ح 2 ، معلّقاً عن أحمد بن محمّد </w:t>
      </w:r>
      <w:r w:rsidR="006A2405">
        <w:rPr>
          <w:rFonts w:hint="cs"/>
          <w:rtl/>
          <w:lang w:bidi="fa-IR"/>
        </w:rPr>
        <w:t>.</w:t>
      </w:r>
      <w:r w:rsidR="00744A1C" w:rsidRPr="00C24F9C">
        <w:rPr>
          <w:rStyle w:val="libFootnoteBoldChar"/>
          <w:rtl/>
        </w:rPr>
        <w:t>الوافي</w:t>
      </w:r>
      <w:r w:rsidR="00744A1C">
        <w:rPr>
          <w:rtl/>
          <w:lang w:bidi="fa-IR"/>
        </w:rPr>
        <w:t xml:space="preserve"> ، ج 15 ، ص 127 ، ح 14781 ؛ </w:t>
      </w:r>
      <w:r w:rsidR="00744A1C" w:rsidRPr="00C24F9C">
        <w:rPr>
          <w:rStyle w:val="libFootnoteBoldChar"/>
          <w:rtl/>
        </w:rPr>
        <w:t>الوسائل</w:t>
      </w:r>
      <w:r w:rsidR="00744A1C">
        <w:rPr>
          <w:rtl/>
          <w:lang w:bidi="fa-IR"/>
        </w:rPr>
        <w:t xml:space="preserve"> ، ج 15 ، ص 103 ، ذيل ح 20073.</w:t>
      </w:r>
    </w:p>
    <w:p w:rsidR="00744A1C" w:rsidRDefault="00E378DD" w:rsidP="00E378DD">
      <w:pPr>
        <w:pStyle w:val="libFootnote0"/>
        <w:rPr>
          <w:lang w:bidi="fa-IR"/>
        </w:rPr>
      </w:pPr>
      <w:r>
        <w:rPr>
          <w:rtl/>
          <w:lang w:bidi="fa-IR"/>
        </w:rPr>
        <w:t>(6).</w:t>
      </w:r>
      <w:r w:rsidR="00744A1C">
        <w:rPr>
          <w:rtl/>
          <w:lang w:bidi="fa-IR"/>
        </w:rPr>
        <w:t xml:space="preserve"> روى أحمد بن محمّد [ بن عيسى ] عن محمّد بن عيسى عن منصور [ بن حازم ] في بعض الأسناد ، كما تقدّم في ذيل الحديث الخامس من الباب. والظاهر وقوع السقط في سندنا هذا.</w:t>
      </w:r>
    </w:p>
    <w:p w:rsidR="00744A1C" w:rsidRDefault="00744A1C" w:rsidP="00D10E3C">
      <w:pPr>
        <w:pStyle w:val="libFootnote0"/>
        <w:rPr>
          <w:lang w:bidi="fa-IR"/>
        </w:rPr>
      </w:pPr>
      <w:r>
        <w:rPr>
          <w:rtl/>
          <w:lang w:bidi="fa-IR"/>
        </w:rPr>
        <w:t xml:space="preserve">ويؤيّد ذلك ما ورد في </w:t>
      </w:r>
      <w:r w:rsidRPr="00C24F9C">
        <w:rPr>
          <w:rStyle w:val="libFootnoteBoldChar"/>
          <w:rtl/>
        </w:rPr>
        <w:t>الوسائل</w:t>
      </w:r>
      <w:r>
        <w:rPr>
          <w:rtl/>
          <w:lang w:bidi="fa-IR"/>
        </w:rPr>
        <w:t xml:space="preserve"> ، ح 20092 ، بعد نقل الحديث الخامس من الباب ؛ حيث قال : « وبهذا الإسناد عن أبي عبد الله </w:t>
      </w:r>
      <w:r w:rsidR="0061079A" w:rsidRPr="0061079A">
        <w:rPr>
          <w:rStyle w:val="libFootnoteAlaemChar"/>
          <w:rtl/>
        </w:rPr>
        <w:t>عليه‌السلام</w:t>
      </w:r>
      <w:r w:rsidR="00D10E3C">
        <w:rPr>
          <w:rtl/>
          <w:lang w:bidi="fa-IR"/>
        </w:rPr>
        <w:t xml:space="preserve"> </w:t>
      </w:r>
      <w:r>
        <w:rPr>
          <w:rtl/>
          <w:lang w:bidi="fa-IR"/>
        </w:rPr>
        <w:t>».</w:t>
      </w:r>
    </w:p>
    <w:p w:rsidR="00744A1C" w:rsidRDefault="00E378DD" w:rsidP="00E378DD">
      <w:pPr>
        <w:pStyle w:val="libFootnote0"/>
        <w:rPr>
          <w:lang w:bidi="fa-IR"/>
        </w:rPr>
      </w:pPr>
      <w:r>
        <w:rPr>
          <w:rtl/>
          <w:lang w:bidi="fa-IR"/>
        </w:rPr>
        <w:t>(7).</w:t>
      </w:r>
      <w:r w:rsidR="00744A1C">
        <w:rPr>
          <w:rtl/>
          <w:lang w:bidi="fa-IR"/>
        </w:rPr>
        <w:t xml:space="preserve"> هكذا في « ى ، بث ، بح ، بس ، بف ، جت ، جد ، جن ». وفي المطبوع : + « بن حازم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4 ، ص 132 ، ح 369 ، بسند آخر ، مع زيادة في آخره. </w:t>
      </w:r>
      <w:r w:rsidR="00744A1C" w:rsidRPr="006A2405">
        <w:rPr>
          <w:rtl/>
        </w:rPr>
        <w:t>الكافي</w:t>
      </w:r>
      <w:r w:rsidR="00744A1C">
        <w:rPr>
          <w:rtl/>
          <w:lang w:bidi="fa-IR"/>
        </w:rPr>
        <w:t xml:space="preserve"> ، كتاب الحجّة ، باب الفي‌ء والأنفال ... ، ضمن الحديث الطويل 1424 ، بسند آخر عن العبد الصالح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C24F9C">
        <w:rPr>
          <w:rStyle w:val="libFootnoteBoldChar"/>
          <w:rtl/>
        </w:rPr>
        <w:t>التهذيب</w:t>
      </w:r>
      <w:r w:rsidR="00744A1C">
        <w:rPr>
          <w:rtl/>
          <w:lang w:bidi="fa-IR"/>
        </w:rPr>
        <w:t xml:space="preserve"> ، ج 3 ، ص 128 ، ضمن الحديث الطويل 366 ، بسند آخر عن العبد الصالح أبي الحسن الأوّل </w:t>
      </w:r>
      <w:r w:rsidR="0061079A" w:rsidRPr="0061079A">
        <w:rPr>
          <w:rStyle w:val="libFootnoteAlaemChar"/>
          <w:rtl/>
        </w:rPr>
        <w:t>عليه‌السلام</w:t>
      </w:r>
      <w:r w:rsidR="00744A1C">
        <w:rPr>
          <w:rtl/>
          <w:lang w:bidi="fa-IR"/>
        </w:rPr>
        <w:t xml:space="preserve"> . </w:t>
      </w:r>
      <w:r w:rsidR="00744A1C" w:rsidRPr="00A914B5">
        <w:rPr>
          <w:rStyle w:val="libFootnoteBoldChar"/>
          <w:rtl/>
        </w:rPr>
        <w:t>تفسير العيّاشي</w:t>
      </w:r>
      <w:r w:rsidR="00744A1C">
        <w:rPr>
          <w:rtl/>
          <w:lang w:bidi="fa-IR"/>
        </w:rPr>
        <w:t xml:space="preserve"> ، ج 2 ، ص 61 ، ح 51 ، عن ابن سنان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مع زيادة في آخره ، وفي كلّ المصادر مع اختلاف </w:t>
      </w:r>
      <w:r w:rsidR="006A2405">
        <w:rPr>
          <w:rFonts w:hint="cs"/>
          <w:rtl/>
          <w:lang w:bidi="fa-IR"/>
        </w:rPr>
        <w:t>.</w:t>
      </w:r>
      <w:r w:rsidR="00744A1C" w:rsidRPr="00C24F9C">
        <w:rPr>
          <w:rStyle w:val="libFootnoteBoldChar"/>
          <w:rtl/>
        </w:rPr>
        <w:t>الوافي</w:t>
      </w:r>
      <w:r w:rsidR="00744A1C">
        <w:rPr>
          <w:rtl/>
          <w:lang w:bidi="fa-IR"/>
        </w:rPr>
        <w:t xml:space="preserve"> ، ج 15 ، ص 126 ، ح 14779 ؛ </w:t>
      </w:r>
      <w:r w:rsidR="00744A1C" w:rsidRPr="00C24F9C">
        <w:rPr>
          <w:rStyle w:val="libFootnoteBoldChar"/>
          <w:rtl/>
        </w:rPr>
        <w:t>الوسائل</w:t>
      </w:r>
      <w:r w:rsidR="00744A1C">
        <w:rPr>
          <w:rtl/>
          <w:lang w:bidi="fa-IR"/>
        </w:rPr>
        <w:t xml:space="preserve"> ، ج 15 ، ص 112 ، ح 20092.</w:t>
      </w:r>
    </w:p>
    <w:p w:rsidR="00744A1C" w:rsidRDefault="00E378DD" w:rsidP="00E378DD">
      <w:pPr>
        <w:pStyle w:val="libFootnote0"/>
        <w:rPr>
          <w:lang w:bidi="fa-IR"/>
        </w:rPr>
      </w:pPr>
      <w:r>
        <w:rPr>
          <w:rtl/>
          <w:lang w:bidi="fa-IR"/>
        </w:rPr>
        <w:t>(9).</w:t>
      </w:r>
      <w:r w:rsidR="00744A1C">
        <w:rPr>
          <w:rtl/>
          <w:lang w:bidi="fa-IR"/>
        </w:rPr>
        <w:t xml:space="preserve"> في « بث ، بس ، بف ، جت ، جد ، جن » </w:t>
      </w:r>
      <w:r w:rsidR="00744A1C" w:rsidRPr="006A2405">
        <w:rPr>
          <w:rtl/>
        </w:rPr>
        <w:t>والوافي والوسائل والتهذيب :</w:t>
      </w:r>
      <w:r w:rsidR="00744A1C">
        <w:rPr>
          <w:rtl/>
          <w:lang w:bidi="fa-IR"/>
        </w:rPr>
        <w:t xml:space="preserve"> - « حتّى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الْجَرْحى ، وَلَمْ يَقْسِمْ لَهُنَّ مِنَ الْفَيْ‌ءِ شَيْئاً </w:t>
      </w:r>
      <w:r w:rsidRPr="00D10E3C">
        <w:rPr>
          <w:rStyle w:val="libFootnotenumChar"/>
          <w:rtl/>
        </w:rPr>
        <w:t>(1)</w:t>
      </w:r>
      <w:r>
        <w:rPr>
          <w:rtl/>
          <w:lang w:bidi="fa-IR"/>
        </w:rPr>
        <w:t xml:space="preserve"> ، وَلكِنَّهُ </w:t>
      </w:r>
      <w:r w:rsidRPr="00D10E3C">
        <w:rPr>
          <w:rStyle w:val="libFootnotenumChar"/>
          <w:rtl/>
        </w:rPr>
        <w:t>(2)</w:t>
      </w:r>
      <w:r>
        <w:rPr>
          <w:rtl/>
          <w:lang w:bidi="fa-IR"/>
        </w:rPr>
        <w:t xml:space="preserve"> نَفَّلَهُنَّ </w:t>
      </w:r>
      <w:r w:rsidRPr="00D10E3C">
        <w:rPr>
          <w:rStyle w:val="libFootnotenumChar"/>
          <w:rtl/>
        </w:rPr>
        <w:t>(3)</w:t>
      </w:r>
      <w:r>
        <w:rPr>
          <w:rtl/>
          <w:lang w:bidi="fa-IR"/>
        </w:rPr>
        <w:t xml:space="preserve"> ». </w:t>
      </w:r>
      <w:r w:rsidRPr="00D10E3C">
        <w:rPr>
          <w:rStyle w:val="libFootnotenumChar"/>
          <w:rtl/>
        </w:rPr>
        <w:t>(4)</w:t>
      </w:r>
    </w:p>
    <w:p w:rsidR="00744A1C" w:rsidRDefault="00744A1C" w:rsidP="006A2405">
      <w:pPr>
        <w:pStyle w:val="Heading2Center"/>
        <w:rPr>
          <w:lang w:bidi="fa-IR"/>
        </w:rPr>
      </w:pPr>
      <w:bookmarkStart w:id="107" w:name="_Toc49261405"/>
      <w:r>
        <w:rPr>
          <w:rtl/>
          <w:lang w:bidi="fa-IR"/>
        </w:rPr>
        <w:t>19 - بَابٌ‌</w:t>
      </w:r>
      <w:bookmarkEnd w:id="107"/>
    </w:p>
    <w:p w:rsidR="00144FA6" w:rsidRDefault="00744A1C" w:rsidP="00744A1C">
      <w:pPr>
        <w:pStyle w:val="libNormal"/>
        <w:rPr>
          <w:rtl/>
          <w:lang w:bidi="fa-IR"/>
        </w:rPr>
      </w:pPr>
      <w:r>
        <w:rPr>
          <w:rtl/>
          <w:lang w:bidi="fa-IR"/>
        </w:rPr>
        <w:t xml:space="preserve">8276 / 1. مُحَمَّدُ بْنُ يَحْيى ، عَنْ أَحْمَدَ بْنِ مُحَمَّدِ بْنِ عِيسى ، عَنْ مِهْرَانَ بْنِ مُحَمَّدٍ </w:t>
      </w:r>
      <w:r w:rsidRPr="00D10E3C">
        <w:rPr>
          <w:rStyle w:val="libFootnotenumChar"/>
          <w:rtl/>
        </w:rPr>
        <w:t>(5)</w:t>
      </w:r>
      <w:r>
        <w:rPr>
          <w:rtl/>
          <w:lang w:bidi="fa-IR"/>
        </w:rPr>
        <w:t xml:space="preserve"> ، عَنْ عَمْرِو بْنِ أَبِي نَصْرٍ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خَيْرُ الرُّفَقَاءِ أَرْبَعَةٌ ، وَخَيْرُ السَّرَايَا أَرْبَعُمِائَةٍ ، وَخَيْرُ الْعَسَاكِرِ </w:t>
      </w:r>
      <w:r w:rsidRPr="00D10E3C">
        <w:rPr>
          <w:rStyle w:val="libFootnotenumChar"/>
          <w:rtl/>
        </w:rPr>
        <w:t>(6)</w:t>
      </w:r>
      <w:r>
        <w:rPr>
          <w:rtl/>
          <w:lang w:bidi="fa-IR"/>
        </w:rPr>
        <w:t xml:space="preserve"> أَرْبَعَةُ آلَافٍ ، وَلَا يُغْلَبُ </w:t>
      </w:r>
      <w:r w:rsidRPr="00D10E3C">
        <w:rPr>
          <w:rStyle w:val="libFootnotenumChar"/>
          <w:rtl/>
        </w:rPr>
        <w:t>(7)</w:t>
      </w:r>
      <w:r>
        <w:rPr>
          <w:rtl/>
          <w:lang w:bidi="fa-IR"/>
        </w:rPr>
        <w:t xml:space="preserve"> عَشَرَةُ </w:t>
      </w:r>
      <w:r w:rsidRPr="00D10E3C">
        <w:rPr>
          <w:rStyle w:val="libFootnotenumChar"/>
          <w:rtl/>
        </w:rPr>
        <w:t>(8)</w:t>
      </w:r>
      <w:r>
        <w:rPr>
          <w:rtl/>
          <w:lang w:bidi="fa-IR"/>
        </w:rPr>
        <w:t xml:space="preserve"> آلَافٍ مِنْ قِلَّةٍ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6A2405">
        <w:rPr>
          <w:rtl/>
        </w:rPr>
        <w:t>البحار</w:t>
      </w:r>
      <w:r w:rsidR="00744A1C">
        <w:rPr>
          <w:rtl/>
          <w:lang w:bidi="fa-IR"/>
        </w:rPr>
        <w:t xml:space="preserve"> : - « شيئاً ».</w:t>
      </w:r>
    </w:p>
    <w:p w:rsidR="00744A1C" w:rsidRDefault="00E378DD" w:rsidP="00E378DD">
      <w:pPr>
        <w:pStyle w:val="libFootnote0"/>
        <w:rPr>
          <w:lang w:bidi="fa-IR"/>
        </w:rPr>
      </w:pPr>
      <w:r>
        <w:rPr>
          <w:rtl/>
          <w:lang w:bidi="fa-IR"/>
        </w:rPr>
        <w:t>(2).</w:t>
      </w:r>
      <w:r w:rsidR="00744A1C">
        <w:rPr>
          <w:rtl/>
          <w:lang w:bidi="fa-IR"/>
        </w:rPr>
        <w:t xml:space="preserve"> في « ى ، بف » </w:t>
      </w:r>
      <w:r w:rsidR="00744A1C" w:rsidRPr="006A2405">
        <w:rPr>
          <w:rtl/>
        </w:rPr>
        <w:t>والتهذيب</w:t>
      </w:r>
      <w:r w:rsidR="00744A1C">
        <w:rPr>
          <w:rtl/>
          <w:lang w:bidi="fa-IR"/>
        </w:rPr>
        <w:t xml:space="preserve"> : « ولكن ».</w:t>
      </w:r>
    </w:p>
    <w:p w:rsidR="00744A1C" w:rsidRDefault="00E378DD" w:rsidP="00E378DD">
      <w:pPr>
        <w:pStyle w:val="libFootnote0"/>
        <w:rPr>
          <w:lang w:bidi="fa-IR"/>
        </w:rPr>
      </w:pPr>
      <w:r>
        <w:rPr>
          <w:rtl/>
          <w:lang w:bidi="fa-IR"/>
        </w:rPr>
        <w:t>(3).</w:t>
      </w:r>
      <w:r w:rsidR="00744A1C">
        <w:rPr>
          <w:rtl/>
          <w:lang w:bidi="fa-IR"/>
        </w:rPr>
        <w:t xml:space="preserve"> « نفّلهنّ » أي أعطاهنّ نَفَلاً وغُنْماً. والنَفَل - بالتحريك - : الغنيمة والهبة. أو سوّغ وجعل لهنّ ما غنمن ؛ يقال : نفّلته ، أي سوّلت له ما غنم. ونفّل الإمام الجند ، أي جعل لهم ما غنموا. راجع : </w:t>
      </w:r>
      <w:r w:rsidR="00744A1C" w:rsidRPr="00877682">
        <w:rPr>
          <w:rStyle w:val="libFootnoteBoldChar"/>
          <w:rtl/>
        </w:rPr>
        <w:t>لسان العرب</w:t>
      </w:r>
      <w:r w:rsidR="00744A1C">
        <w:rPr>
          <w:rtl/>
          <w:lang w:bidi="fa-IR"/>
        </w:rPr>
        <w:t xml:space="preserve"> ، ج 11 ، ص 670 - 671 ( نفل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148 ، ح 260 ، بسنده عن عثمان بن عيسى </w:t>
      </w:r>
      <w:r w:rsidR="006A2405">
        <w:rPr>
          <w:rFonts w:hint="cs"/>
          <w:rtl/>
          <w:lang w:bidi="fa-IR"/>
        </w:rPr>
        <w:t>.</w:t>
      </w:r>
      <w:r w:rsidR="00744A1C" w:rsidRPr="00C24F9C">
        <w:rPr>
          <w:rStyle w:val="libFootnoteBoldChar"/>
          <w:rtl/>
        </w:rPr>
        <w:t>الوافي</w:t>
      </w:r>
      <w:r w:rsidR="00744A1C">
        <w:rPr>
          <w:rtl/>
          <w:lang w:bidi="fa-IR"/>
        </w:rPr>
        <w:t xml:space="preserve"> ، ج 15 ، ص 127 ، ح 14782 ؛ </w:t>
      </w:r>
      <w:r w:rsidR="00744A1C" w:rsidRPr="00C24F9C">
        <w:rPr>
          <w:rStyle w:val="libFootnoteBoldChar"/>
          <w:rtl/>
        </w:rPr>
        <w:t>الوسائل</w:t>
      </w:r>
      <w:r w:rsidR="00744A1C">
        <w:rPr>
          <w:rtl/>
          <w:lang w:bidi="fa-IR"/>
        </w:rPr>
        <w:t xml:space="preserve"> ، ج 15 ، ص 112 ، ح 20093 ؛ </w:t>
      </w:r>
      <w:r w:rsidR="00744A1C" w:rsidRPr="0061079A">
        <w:rPr>
          <w:rStyle w:val="libFootnoteBoldChar"/>
          <w:rtl/>
        </w:rPr>
        <w:t>البحار</w:t>
      </w:r>
      <w:r w:rsidR="00744A1C">
        <w:rPr>
          <w:rtl/>
          <w:lang w:bidi="fa-IR"/>
        </w:rPr>
        <w:t xml:space="preserve"> ، ج 19 ، ص 184 ، ح 37.</w:t>
      </w:r>
    </w:p>
    <w:p w:rsidR="00744A1C" w:rsidRDefault="00E378DD" w:rsidP="00E378DD">
      <w:pPr>
        <w:pStyle w:val="libFootnote0"/>
        <w:rPr>
          <w:lang w:bidi="fa-IR"/>
        </w:rPr>
      </w:pPr>
      <w:r>
        <w:rPr>
          <w:rtl/>
          <w:lang w:bidi="fa-IR"/>
        </w:rPr>
        <w:t>(5).</w:t>
      </w:r>
      <w:r w:rsidR="00744A1C">
        <w:rPr>
          <w:rtl/>
          <w:lang w:bidi="fa-IR"/>
        </w:rPr>
        <w:t xml:space="preserve"> مهران بن محمّد في رواتنا هو مهران بن محمّد بن أبي نصر السكوني ، وله كتاب رواه أحمد بن محمّد بن‌عيسى عن محمّد بن أبي عمير عنه. وقد روى ابن أبي عمير - وهو من مشايخ أحمد بن محمّد بن عيسى - عن مهران بن محمّد في بعض الأسناد. راجع : </w:t>
      </w:r>
      <w:r w:rsidR="00744A1C" w:rsidRPr="003A7143">
        <w:rPr>
          <w:rStyle w:val="libFootnoteBoldChar"/>
          <w:rtl/>
        </w:rPr>
        <w:t>رجال النجاشي</w:t>
      </w:r>
      <w:r w:rsidR="00744A1C">
        <w:rPr>
          <w:rtl/>
          <w:lang w:bidi="fa-IR"/>
        </w:rPr>
        <w:t xml:space="preserve"> ، ص 423 ، الرقم 1135 ؛ </w:t>
      </w:r>
      <w:r w:rsidR="00744A1C" w:rsidRPr="0061079A">
        <w:rPr>
          <w:rStyle w:val="libFootnoteBoldChar"/>
          <w:rtl/>
        </w:rPr>
        <w:t>معجم رجال الحديث</w:t>
      </w:r>
      <w:r w:rsidR="00744A1C">
        <w:rPr>
          <w:rtl/>
          <w:lang w:bidi="fa-IR"/>
        </w:rPr>
        <w:t xml:space="preserve"> ، ج 19 ، ص 372.</w:t>
      </w:r>
    </w:p>
    <w:p w:rsidR="00744A1C" w:rsidRDefault="00744A1C" w:rsidP="00D10E3C">
      <w:pPr>
        <w:pStyle w:val="libFootnote0"/>
        <w:rPr>
          <w:lang w:bidi="fa-IR"/>
        </w:rPr>
      </w:pPr>
      <w:r>
        <w:rPr>
          <w:rtl/>
          <w:lang w:bidi="fa-IR"/>
        </w:rPr>
        <w:t>فعليه ، المظنون سقوط الواسطة بين أحمد بن محمّد بن عيسى ومهران بن محمّد.</w:t>
      </w:r>
    </w:p>
    <w:p w:rsidR="00744A1C" w:rsidRDefault="00744A1C" w:rsidP="00D10E3C">
      <w:pPr>
        <w:pStyle w:val="libFootnote0"/>
        <w:rPr>
          <w:lang w:bidi="fa-IR"/>
        </w:rPr>
      </w:pPr>
      <w:r>
        <w:rPr>
          <w:rtl/>
          <w:lang w:bidi="fa-IR"/>
        </w:rPr>
        <w:t xml:space="preserve">ويؤيّد ذلك ما ورد في </w:t>
      </w:r>
      <w:r w:rsidRPr="0061079A">
        <w:rPr>
          <w:rStyle w:val="libFootnoteBoldChar"/>
          <w:rtl/>
        </w:rPr>
        <w:t>الكافي</w:t>
      </w:r>
      <w:r>
        <w:rPr>
          <w:rtl/>
          <w:lang w:bidi="fa-IR"/>
        </w:rPr>
        <w:t xml:space="preserve"> ، ح 4673 من رواية عدّة من أصحابنا ، عن أحمد بن محمّد ، عن عثمان بن عيسى ، عن مهران بن محمّد.</w:t>
      </w:r>
    </w:p>
    <w:p w:rsidR="00744A1C" w:rsidRDefault="00E378DD" w:rsidP="00E378DD">
      <w:pPr>
        <w:pStyle w:val="libFootnote0"/>
        <w:rPr>
          <w:lang w:bidi="fa-IR"/>
        </w:rPr>
      </w:pPr>
      <w:r>
        <w:rPr>
          <w:rtl/>
          <w:lang w:bidi="fa-IR"/>
        </w:rPr>
        <w:t>(6).</w:t>
      </w:r>
      <w:r w:rsidR="00744A1C">
        <w:rPr>
          <w:rtl/>
          <w:lang w:bidi="fa-IR"/>
        </w:rPr>
        <w:t xml:space="preserve"> في « بح » وحاشية « جت » : « العسكر ».</w:t>
      </w:r>
    </w:p>
    <w:p w:rsidR="00744A1C" w:rsidRDefault="00E378DD" w:rsidP="00E378DD">
      <w:pPr>
        <w:pStyle w:val="libFootnote0"/>
        <w:rPr>
          <w:lang w:bidi="fa-IR"/>
        </w:rPr>
      </w:pPr>
      <w:r>
        <w:rPr>
          <w:rtl/>
          <w:lang w:bidi="fa-IR"/>
        </w:rPr>
        <w:t>(7).</w:t>
      </w:r>
      <w:r w:rsidR="00744A1C">
        <w:rPr>
          <w:rtl/>
          <w:lang w:bidi="fa-IR"/>
        </w:rPr>
        <w:t xml:space="preserve"> في « ى ، بث ، بف » </w:t>
      </w:r>
      <w:r w:rsidR="00744A1C" w:rsidRPr="00F53ACC">
        <w:rPr>
          <w:rtl/>
        </w:rPr>
        <w:t>والوافي والتهذيب</w:t>
      </w:r>
      <w:r w:rsidR="00744A1C">
        <w:rPr>
          <w:rtl/>
          <w:lang w:bidi="fa-IR"/>
        </w:rPr>
        <w:t xml:space="preserve"> : « ولا تغلب ». وفي </w:t>
      </w:r>
      <w:r w:rsidR="00744A1C" w:rsidRPr="00F53ACC">
        <w:rPr>
          <w:rtl/>
        </w:rPr>
        <w:t>الوسائل</w:t>
      </w:r>
      <w:r w:rsidR="00744A1C">
        <w:rPr>
          <w:rtl/>
          <w:lang w:bidi="fa-IR"/>
        </w:rPr>
        <w:t xml:space="preserve"> ، ح 20154 : « ولن تغلب ».</w:t>
      </w:r>
    </w:p>
    <w:p w:rsidR="00744A1C" w:rsidRDefault="00E378DD" w:rsidP="00E378DD">
      <w:pPr>
        <w:pStyle w:val="libFootnote0"/>
        <w:rPr>
          <w:lang w:bidi="fa-IR"/>
        </w:rPr>
      </w:pPr>
      <w:r>
        <w:rPr>
          <w:rtl/>
          <w:lang w:bidi="fa-IR"/>
        </w:rPr>
        <w:t>(8).</w:t>
      </w:r>
      <w:r w:rsidR="00744A1C">
        <w:rPr>
          <w:rtl/>
          <w:lang w:bidi="fa-IR"/>
        </w:rPr>
        <w:t xml:space="preserve"> هكذا في جميع النسخ التي قوبلت </w:t>
      </w:r>
      <w:r w:rsidR="00744A1C" w:rsidRPr="00F53ACC">
        <w:rPr>
          <w:rtl/>
        </w:rPr>
        <w:t>والوافي والوسائل</w:t>
      </w:r>
      <w:r w:rsidR="00744A1C">
        <w:rPr>
          <w:rtl/>
          <w:lang w:bidi="fa-IR"/>
        </w:rPr>
        <w:t xml:space="preserve"> ، ح 20154 </w:t>
      </w:r>
      <w:r w:rsidR="00744A1C" w:rsidRPr="00F53ACC">
        <w:rPr>
          <w:rtl/>
        </w:rPr>
        <w:t>والتهذيب</w:t>
      </w:r>
      <w:r w:rsidR="00744A1C">
        <w:rPr>
          <w:rtl/>
          <w:lang w:bidi="fa-IR"/>
        </w:rPr>
        <w:t>. وفي المطبوع : « عشر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174 ، ح 346 ، معلّقاً عن أحمد بن محمّد ، عن مهران بن محمّد. الخصال ، ص 201 ، باب الأربعة ، ح 15 ، بسند آخر عن رسول الله </w:t>
      </w:r>
      <w:r w:rsidR="005E465D" w:rsidRPr="005E465D">
        <w:rPr>
          <w:rStyle w:val="libFootnoteAlaemChar"/>
          <w:rtl/>
        </w:rPr>
        <w:t>صلى‌الله‌عليه‌وآله</w:t>
      </w:r>
      <w:r w:rsidR="00D10E3C">
        <w:rPr>
          <w:rtl/>
          <w:lang w:bidi="fa-IR"/>
        </w:rPr>
        <w:t xml:space="preserve"> </w:t>
      </w:r>
      <w:r w:rsidR="00744A1C">
        <w:rPr>
          <w:rtl/>
          <w:lang w:bidi="fa-IR"/>
        </w:rPr>
        <w:t xml:space="preserve">، مع اختلاف </w:t>
      </w:r>
      <w:r w:rsidR="00F53ACC">
        <w:rPr>
          <w:rFonts w:hint="cs"/>
          <w:rtl/>
          <w:lang w:bidi="fa-IR"/>
        </w:rPr>
        <w:t>.</w:t>
      </w:r>
      <w:r w:rsidR="00744A1C" w:rsidRPr="00C24F9C">
        <w:rPr>
          <w:rStyle w:val="libFootnoteBoldChar"/>
          <w:rtl/>
        </w:rPr>
        <w:t>الوافي</w:t>
      </w:r>
      <w:r w:rsidR="00744A1C">
        <w:rPr>
          <w:rtl/>
          <w:lang w:bidi="fa-IR"/>
        </w:rPr>
        <w:t xml:space="preserve"> ، ج 15 ، ص 159 ، ح 14838 ؛ </w:t>
      </w:r>
      <w:r w:rsidR="00744A1C" w:rsidRPr="00C24F9C">
        <w:rPr>
          <w:rStyle w:val="libFootnoteBoldChar"/>
          <w:rtl/>
        </w:rPr>
        <w:t>الوسائل</w:t>
      </w:r>
      <w:r w:rsidR="00744A1C">
        <w:rPr>
          <w:rtl/>
          <w:lang w:bidi="fa-IR"/>
        </w:rPr>
        <w:t xml:space="preserve"> ، ج 11 ، ص 416 ، ح 15144 ، وتمام الرواية فيه : « خير الرفقاء أربعة » ؛ وج 15 ، ص 135 ، ح 20154.</w:t>
      </w:r>
    </w:p>
    <w:p w:rsidR="00F53ACC" w:rsidRDefault="00F53ACC" w:rsidP="00F53ACC">
      <w:pPr>
        <w:pStyle w:val="libNormal"/>
        <w:rPr>
          <w:rtl/>
          <w:lang w:bidi="fa-IR"/>
        </w:rPr>
      </w:pPr>
      <w:r>
        <w:rPr>
          <w:rtl/>
          <w:lang w:bidi="fa-IR"/>
        </w:rPr>
        <w:br w:type="page"/>
      </w:r>
    </w:p>
    <w:p w:rsidR="00144FA6" w:rsidRPr="00F53ACC" w:rsidRDefault="00744A1C" w:rsidP="00F53ACC">
      <w:pPr>
        <w:pStyle w:val="libNormal"/>
        <w:rPr>
          <w:rtl/>
        </w:rPr>
      </w:pPr>
      <w:r w:rsidRPr="00F53ACC">
        <w:rPr>
          <w:rtl/>
        </w:rPr>
        <w:t xml:space="preserve">8277 / 2. مُحَمَّدٌ </w:t>
      </w:r>
      <w:r w:rsidR="00D10E3C" w:rsidRPr="00F53ACC">
        <w:rPr>
          <w:rStyle w:val="libFootnotenumChar"/>
          <w:rtl/>
        </w:rPr>
        <w:t>(1)</w:t>
      </w:r>
      <w:r w:rsidRPr="00F53ACC">
        <w:rPr>
          <w:rtl/>
        </w:rPr>
        <w:t xml:space="preserve"> ، عَنْ أَحْمَدَ بْنِ مُحَمَّدٍ ، عَنْ عَلِيِّ بْنِ الْحَكَمِ ، عَنْ فُضَيْلِ بْنِ خَيْثَمٍ </w:t>
      </w:r>
      <w:r w:rsidR="00E378DD" w:rsidRPr="00F53ACC">
        <w:rPr>
          <w:rStyle w:val="libFootnotenumChar"/>
          <w:rtl/>
        </w:rPr>
        <w:t>(2)</w:t>
      </w:r>
      <w:r w:rsidRPr="00F53ACC">
        <w:rPr>
          <w:rtl/>
        </w:rPr>
        <w:t xml:space="preserve"> :</w:t>
      </w:r>
    </w:p>
    <w:p w:rsidR="00144FA6" w:rsidRPr="00F53ACC" w:rsidRDefault="00744A1C" w:rsidP="00F53ACC">
      <w:pPr>
        <w:pStyle w:val="libNormal"/>
        <w:rPr>
          <w:rtl/>
        </w:rPr>
      </w:pPr>
      <w:r w:rsidRPr="00F53ACC">
        <w:rPr>
          <w:rtl/>
        </w:rPr>
        <w:t xml:space="preserve">عَنْ أَبِي جَعْفَرٍ </w:t>
      </w:r>
      <w:r w:rsidR="00F53ACC" w:rsidRPr="0061079A">
        <w:rPr>
          <w:rStyle w:val="libAlaemChar"/>
          <w:rtl/>
        </w:rPr>
        <w:t>عليه‌السلام</w:t>
      </w:r>
      <w:r w:rsidR="00F53ACC">
        <w:rPr>
          <w:rtl/>
          <w:lang w:bidi="fa-IR"/>
        </w:rPr>
        <w:t xml:space="preserve"> </w:t>
      </w:r>
      <w:r w:rsidRPr="00F53ACC">
        <w:rPr>
          <w:rtl/>
        </w:rPr>
        <w:t xml:space="preserve">، قَالَ : « قَالَ رَسُولُ اللهِ </w:t>
      </w:r>
      <w:r w:rsidR="00F53ACC" w:rsidRPr="00F53ACC">
        <w:rPr>
          <w:rStyle w:val="libAlaemChar"/>
          <w:rFonts w:eastAsiaTheme="minorHAnsi"/>
          <w:rtl/>
        </w:rPr>
        <w:t>صلى‌الله‌عليه‌وآله</w:t>
      </w:r>
      <w:r w:rsidRPr="00F53ACC">
        <w:rPr>
          <w:rtl/>
        </w:rPr>
        <w:t xml:space="preserve">: لَايُهْزَمُ </w:t>
      </w:r>
      <w:r w:rsidR="00F53ACC" w:rsidRPr="00384046">
        <w:rPr>
          <w:rStyle w:val="libFootnotenumChar"/>
          <w:rtl/>
        </w:rPr>
        <w:t>(3)</w:t>
      </w:r>
      <w:r w:rsidRPr="00F53ACC">
        <w:rPr>
          <w:rtl/>
        </w:rPr>
        <w:t xml:space="preserve"> جَيْشُ عَشَرَةِ آ</w:t>
      </w:r>
      <w:r w:rsidR="00402829">
        <w:rPr>
          <w:rtl/>
        </w:rPr>
        <w:t>لَافٍ مِنْ قِلَّةٍ</w:t>
      </w:r>
      <w:r w:rsidRPr="00F53ACC">
        <w:rPr>
          <w:rtl/>
        </w:rPr>
        <w:t xml:space="preserve">». </w:t>
      </w:r>
      <w:r w:rsidR="00E378DD" w:rsidRPr="00F53ACC">
        <w:rPr>
          <w:rStyle w:val="libFootnotenumChar"/>
          <w:rtl/>
        </w:rPr>
        <w:t>(4)</w:t>
      </w:r>
      <w:r w:rsidR="00E378DD" w:rsidRPr="00F53ACC">
        <w:rPr>
          <w:rtl/>
        </w:rPr>
        <w:t>.</w:t>
      </w:r>
    </w:p>
    <w:p w:rsidR="00144FA6" w:rsidRPr="00F53ACC" w:rsidRDefault="00744A1C" w:rsidP="00F53ACC">
      <w:pPr>
        <w:pStyle w:val="libNormal"/>
        <w:rPr>
          <w:rtl/>
        </w:rPr>
      </w:pPr>
      <w:r w:rsidRPr="00F53ACC">
        <w:rPr>
          <w:rtl/>
        </w:rPr>
        <w:t xml:space="preserve">8278 / 3. عَلِيُّ بْنُ إِبْرَاهِيمَ ، عَنْ أَبِيهِ وَعَلِيِّ بْنِ مُحَمَّدٍ ، عَنِ الْقَاسِمِ بْنِ مُحَمَّدٍ ، عَنْ سُلَيْمَانَ بْنِ دَاوُدَ الْمِنْقَرِيِّ ، قَالَ : أَخْبَرَنِي النَّضْرُ بْنُ إِسْمَاعِيلَ الْبَلْخِيُّ </w:t>
      </w:r>
      <w:r w:rsidR="00F53ACC" w:rsidRPr="00F53ACC">
        <w:rPr>
          <w:rStyle w:val="libFootnotenumChar"/>
          <w:rtl/>
        </w:rPr>
        <w:t>(5)</w:t>
      </w:r>
      <w:r w:rsidRPr="00F53ACC">
        <w:rPr>
          <w:rtl/>
        </w:rPr>
        <w:t xml:space="preserve"> ، عَنْ أَبِي حَمْزَةَ‌ الثُّمَالِيِّ ، عَنْ شَهْرِ بْنِ حَوْشَبٍ ، قَالَ :</w:t>
      </w:r>
    </w:p>
    <w:p w:rsidR="00744A1C" w:rsidRPr="00F53ACC" w:rsidRDefault="00744A1C" w:rsidP="00F53ACC">
      <w:pPr>
        <w:pStyle w:val="libNormal"/>
      </w:pPr>
      <w:r w:rsidRPr="00F53ACC">
        <w:rPr>
          <w:rtl/>
        </w:rPr>
        <w:t xml:space="preserve">قَالَ لِيَ الْحَجَّاجُ </w:t>
      </w:r>
      <w:r w:rsidR="00F53ACC" w:rsidRPr="00F53ACC">
        <w:rPr>
          <w:rStyle w:val="libFootnotenumChar"/>
          <w:rtl/>
        </w:rPr>
        <w:t>(6)</w:t>
      </w:r>
      <w:r w:rsidRPr="00F53ACC">
        <w:rPr>
          <w:rtl/>
        </w:rPr>
        <w:t xml:space="preserve"> ، وَسَأَلَنِي عَنْ خُرُوجِ النَّبِيِّ </w:t>
      </w:r>
      <w:r w:rsidR="00F90866" w:rsidRPr="007D61A8">
        <w:rPr>
          <w:rStyle w:val="libAlaemChar"/>
          <w:rtl/>
        </w:rPr>
        <w:t>صلى‌الله‌عليه‌وآله</w:t>
      </w:r>
      <w:r w:rsidRPr="00F53ACC">
        <w:rPr>
          <w:rtl/>
        </w:rPr>
        <w:t xml:space="preserve"> إِلى مَشَاهِدِهِ ، فَقُلْتُ : شَهِدَ رَسُولُ اللهِ </w:t>
      </w:r>
      <w:r w:rsidR="00F53ACC" w:rsidRPr="00F53ACC">
        <w:rPr>
          <w:rStyle w:val="libAlaemChar"/>
          <w:rFonts w:eastAsiaTheme="minorHAnsi"/>
          <w:rtl/>
        </w:rPr>
        <w:t>صلى‌الله‌عليه‌وآله</w:t>
      </w:r>
      <w:r w:rsidR="00F53ACC" w:rsidRPr="00F53ACC">
        <w:rPr>
          <w:rFonts w:eastAsiaTheme="minorHAnsi"/>
          <w:rtl/>
        </w:rPr>
        <w:t xml:space="preserve"> </w:t>
      </w:r>
      <w:r w:rsidRPr="00F53ACC">
        <w:rPr>
          <w:rtl/>
        </w:rPr>
        <w:t>بَدْراً فِي ثَلَاثِمِائَةٍ وَثَلَاثَةَ عَشَرَ ، وَشَهِدَ أُحُداً فِي سِتِّمِائَةٍ ، وَشَهِدَ الْخَنْدَقَ فِي تِسْعِمِائَةٍ.</w:t>
      </w:r>
    </w:p>
    <w:p w:rsidR="00744A1C" w:rsidRPr="00F53ACC" w:rsidRDefault="00744A1C" w:rsidP="00F53ACC">
      <w:pPr>
        <w:pStyle w:val="libNormal"/>
      </w:pPr>
      <w:r w:rsidRPr="00F53ACC">
        <w:rPr>
          <w:rtl/>
        </w:rPr>
        <w:t xml:space="preserve">فَقَالَ : عَمَّنْ </w:t>
      </w:r>
      <w:r w:rsidR="00F53ACC" w:rsidRPr="00F53ACC">
        <w:rPr>
          <w:rStyle w:val="libFootnotenumChar"/>
          <w:rtl/>
        </w:rPr>
        <w:t>(7)</w:t>
      </w:r>
      <w:r w:rsidRPr="00F53ACC">
        <w:rPr>
          <w:rtl/>
        </w:rPr>
        <w:t>؟</w:t>
      </w:r>
    </w:p>
    <w:p w:rsidR="00144FA6" w:rsidRPr="00F53ACC" w:rsidRDefault="00744A1C" w:rsidP="00F53ACC">
      <w:pPr>
        <w:pStyle w:val="libNormal"/>
        <w:rPr>
          <w:rtl/>
        </w:rPr>
      </w:pPr>
      <w:r w:rsidRPr="00F53ACC">
        <w:rPr>
          <w:rtl/>
        </w:rPr>
        <w:t xml:space="preserve">قُلْتُ : عَنْ جَعْفَرِ بْنِ مُحَمَّدٍ </w:t>
      </w:r>
      <w:r w:rsidR="00F112A7" w:rsidRPr="007D61A8">
        <w:rPr>
          <w:rStyle w:val="libAlaemChar"/>
          <w:rtl/>
        </w:rPr>
        <w:t>عليهما‌السلام</w:t>
      </w:r>
      <w:r w:rsidRPr="00F53ACC">
        <w:rPr>
          <w:rtl/>
        </w:rPr>
        <w:t xml:space="preserve">، فَقَالَ : ضَلَّ - وَاللهِ - مَنْ سَلَكَ غَيْرَ سَبِيلِهِ. </w:t>
      </w:r>
      <w:r w:rsidR="00E378DD" w:rsidRPr="00F53ACC">
        <w:rPr>
          <w:rStyle w:val="libFootnotenumChar"/>
          <w:rtl/>
        </w:rPr>
        <w:t>(8)</w:t>
      </w:r>
      <w:r w:rsidR="00E378DD" w:rsidRPr="00F53ACC">
        <w:rPr>
          <w:rtl/>
        </w:rPr>
        <w:t>.</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384046" w:rsidTr="00384046">
        <w:tc>
          <w:tcPr>
            <w:tcW w:w="4006" w:type="dxa"/>
          </w:tcPr>
          <w:p w:rsidR="00384046" w:rsidRDefault="00384046" w:rsidP="00D10E3C">
            <w:pPr>
              <w:pStyle w:val="libFootnote0"/>
              <w:rPr>
                <w:rtl/>
                <w:lang w:bidi="fa-IR"/>
              </w:rPr>
            </w:pPr>
            <w:r>
              <w:rPr>
                <w:rtl/>
                <w:lang w:bidi="fa-IR"/>
              </w:rPr>
              <w:t>(1). في حاشية « بح » : + « بن يحيى ».</w:t>
            </w:r>
          </w:p>
        </w:tc>
        <w:tc>
          <w:tcPr>
            <w:tcW w:w="4006" w:type="dxa"/>
          </w:tcPr>
          <w:p w:rsidR="00384046" w:rsidRDefault="00384046" w:rsidP="00D10E3C">
            <w:pPr>
              <w:pStyle w:val="libFootnote0"/>
              <w:rPr>
                <w:rtl/>
                <w:lang w:bidi="fa-IR"/>
              </w:rPr>
            </w:pPr>
            <w:r>
              <w:rPr>
                <w:rtl/>
                <w:lang w:bidi="fa-IR"/>
              </w:rPr>
              <w:t xml:space="preserve">(2). في </w:t>
            </w:r>
            <w:r w:rsidRPr="00C24F9C">
              <w:rPr>
                <w:rStyle w:val="libFootnoteBoldChar"/>
                <w:rtl/>
              </w:rPr>
              <w:t>الوافي</w:t>
            </w:r>
            <w:r>
              <w:rPr>
                <w:rtl/>
                <w:lang w:bidi="fa-IR"/>
              </w:rPr>
              <w:t xml:space="preserve"> : « هيم ».</w:t>
            </w:r>
          </w:p>
        </w:tc>
      </w:tr>
    </w:tbl>
    <w:p w:rsidR="00744A1C" w:rsidRDefault="00E378DD" w:rsidP="00E378DD">
      <w:pPr>
        <w:pStyle w:val="libFootnote0"/>
        <w:rPr>
          <w:lang w:bidi="fa-IR"/>
        </w:rPr>
      </w:pPr>
      <w:r>
        <w:rPr>
          <w:rtl/>
          <w:lang w:bidi="fa-IR"/>
        </w:rPr>
        <w:t>(3).</w:t>
      </w:r>
      <w:r w:rsidR="00744A1C">
        <w:rPr>
          <w:rtl/>
          <w:lang w:bidi="fa-IR"/>
        </w:rPr>
        <w:t xml:space="preserve"> في « جد » : « لا يلزم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15 ، ص 159 ، ح 14839 ؛ </w:t>
      </w:r>
      <w:r w:rsidR="00744A1C" w:rsidRPr="00C24F9C">
        <w:rPr>
          <w:rStyle w:val="libFootnoteBoldChar"/>
          <w:rtl/>
        </w:rPr>
        <w:t>الوسائل</w:t>
      </w:r>
      <w:r w:rsidR="00744A1C">
        <w:rPr>
          <w:rtl/>
          <w:lang w:bidi="fa-IR"/>
        </w:rPr>
        <w:t xml:space="preserve"> ، ج 15 ، ص 135 ، ح 20155.</w:t>
      </w:r>
    </w:p>
    <w:p w:rsidR="00744A1C" w:rsidRDefault="00E378DD" w:rsidP="00E378DD">
      <w:pPr>
        <w:pStyle w:val="libFootnote0"/>
        <w:rPr>
          <w:lang w:bidi="fa-IR"/>
        </w:rPr>
      </w:pPr>
      <w:r>
        <w:rPr>
          <w:rtl/>
          <w:lang w:bidi="fa-IR"/>
        </w:rPr>
        <w:t>(5).</w:t>
      </w:r>
      <w:r w:rsidR="00744A1C">
        <w:rPr>
          <w:rtl/>
          <w:lang w:bidi="fa-IR"/>
        </w:rPr>
        <w:t xml:space="preserve"> عدّ في </w:t>
      </w:r>
      <w:r w:rsidR="00744A1C" w:rsidRPr="00B7470D">
        <w:rPr>
          <w:rStyle w:val="libFootnoteBoldChar"/>
          <w:rtl/>
        </w:rPr>
        <w:t>تهذيب الكمال</w:t>
      </w:r>
      <w:r w:rsidR="00744A1C">
        <w:rPr>
          <w:rtl/>
          <w:lang w:bidi="fa-IR"/>
        </w:rPr>
        <w:t xml:space="preserve"> ، ج 4 ، ص 358 النضر بن إسماعيل البجلي من رواة أبي حمزة الثمالي. والنضر هذا هوالنضر بن إسماعيل بن حازم أبو المغيرة البجلي المترجم في </w:t>
      </w:r>
      <w:r w:rsidR="00744A1C" w:rsidRPr="00B7470D">
        <w:rPr>
          <w:rStyle w:val="libFootnoteBoldChar"/>
          <w:rtl/>
        </w:rPr>
        <w:t>تهذيب الكمال</w:t>
      </w:r>
      <w:r w:rsidR="00744A1C">
        <w:rPr>
          <w:rtl/>
          <w:lang w:bidi="fa-IR"/>
        </w:rPr>
        <w:t xml:space="preserve"> ، ج 29 ، ص 372 ، الرقم 6416. فعليه ، الظاهر أنّ الصواب في لقبه هو البجلي لا البلخي.</w:t>
      </w:r>
    </w:p>
    <w:p w:rsidR="00744A1C" w:rsidRDefault="00E378DD" w:rsidP="00384046">
      <w:pPr>
        <w:pStyle w:val="libFootnote0"/>
        <w:rPr>
          <w:lang w:bidi="fa-IR"/>
        </w:rPr>
      </w:pPr>
      <w:r>
        <w:rPr>
          <w:rtl/>
          <w:lang w:bidi="fa-IR"/>
        </w:rPr>
        <w:t>(6).</w:t>
      </w:r>
      <w:r w:rsidR="00744A1C">
        <w:rPr>
          <w:rtl/>
          <w:lang w:bidi="fa-IR"/>
        </w:rPr>
        <w:t xml:space="preserve"> في </w:t>
      </w:r>
      <w:r w:rsidR="00744A1C" w:rsidRPr="00877682">
        <w:rPr>
          <w:rStyle w:val="libFootnoteBoldChar"/>
          <w:rtl/>
        </w:rPr>
        <w:t>مرآة العقول</w:t>
      </w:r>
      <w:r w:rsidR="00744A1C">
        <w:rPr>
          <w:rtl/>
          <w:lang w:bidi="fa-IR"/>
        </w:rPr>
        <w:t xml:space="preserve"> ، ج 18 ، ص 383 : « وفيه إشكال من جهة التاريخ ؛ إذ المشهور في التواريخ هو أنّ الحجّاج - لعنه الله - مات سنة خمس وتسعين من الهجرة ، وفي هذه السنة توفّي سيّد الساجدين - صلوات الله عليه - وكان ولادة الصادق - صلوات الله عليه - سنة ثلاث وثمانين ، وكان بدء إمامته سنة أربع عشرة ومائة ، وكان وفاة شهر بن حوشب أيضاً قبل إمامته ؛ لأنّه مات سنة مائة أو قبلها بسنة ، ويحتمل على بعد أن يكون سمع ذلك منه </w:t>
      </w:r>
      <w:r w:rsidR="0061079A" w:rsidRPr="0061079A">
        <w:rPr>
          <w:rStyle w:val="libFootnoteAlaemChar"/>
          <w:rtl/>
        </w:rPr>
        <w:t>عليه‌السلام</w:t>
      </w:r>
      <w:r w:rsidR="00D10E3C">
        <w:rPr>
          <w:rtl/>
          <w:lang w:bidi="fa-IR"/>
        </w:rPr>
        <w:t xml:space="preserve"> </w:t>
      </w:r>
      <w:r w:rsidR="00744A1C">
        <w:rPr>
          <w:rtl/>
          <w:lang w:bidi="fa-IR"/>
        </w:rPr>
        <w:t xml:space="preserve">في صغره في زمان جدّه </w:t>
      </w:r>
      <w:r w:rsidR="00F112A7" w:rsidRPr="00CE5A92">
        <w:rPr>
          <w:rStyle w:val="libFootnoteAlaemChar"/>
          <w:rtl/>
        </w:rPr>
        <w:t>عليهما‌السلام</w:t>
      </w:r>
      <w:r w:rsidR="00744A1C">
        <w:rPr>
          <w:rtl/>
          <w:lang w:bidi="fa-IR"/>
        </w:rPr>
        <w:t xml:space="preserve">، والأظهر أنّه كان جدّه أو أباه </w:t>
      </w:r>
      <w:r w:rsidR="00877682" w:rsidRPr="00877682">
        <w:rPr>
          <w:rStyle w:val="libFootnoteAlaemChar"/>
          <w:rtl/>
        </w:rPr>
        <w:t>عليهم‌السلام</w:t>
      </w:r>
      <w:r w:rsidR="00D10E3C">
        <w:rPr>
          <w:rtl/>
          <w:lang w:bidi="fa-IR"/>
        </w:rPr>
        <w:t xml:space="preserve"> </w:t>
      </w:r>
      <w:r w:rsidR="00744A1C">
        <w:rPr>
          <w:rtl/>
          <w:lang w:bidi="fa-IR"/>
        </w:rPr>
        <w:t xml:space="preserve">، فاشتبه على أحد الرواة ». ونحوه عن المحقّق الشعراني في هامش </w:t>
      </w:r>
      <w:r w:rsidR="00744A1C" w:rsidRPr="00C24F9C">
        <w:rPr>
          <w:rStyle w:val="libFootnoteBoldChar"/>
          <w:rtl/>
        </w:rPr>
        <w:t>الوافي</w:t>
      </w:r>
      <w:r w:rsidR="00744A1C">
        <w:rPr>
          <w:rtl/>
          <w:lang w:bidi="fa-IR"/>
        </w:rPr>
        <w:t>.</w:t>
      </w:r>
      <w:r w:rsidR="00384046">
        <w:rPr>
          <w:rFonts w:hint="cs"/>
          <w:rtl/>
          <w:lang w:bidi="fa-IR"/>
        </w:rPr>
        <w:t xml:space="preserve">                               </w:t>
      </w:r>
      <w:r>
        <w:rPr>
          <w:rtl/>
          <w:lang w:bidi="fa-IR"/>
        </w:rPr>
        <w:t>(7).</w:t>
      </w:r>
      <w:r w:rsidR="00744A1C">
        <w:rPr>
          <w:rtl/>
          <w:lang w:bidi="fa-IR"/>
        </w:rPr>
        <w:t xml:space="preserve"> في « بف ، جت » و</w:t>
      </w:r>
      <w:r w:rsidR="00744A1C" w:rsidRPr="00C24F9C">
        <w:rPr>
          <w:rStyle w:val="libFootnoteBoldChar"/>
          <w:rtl/>
        </w:rPr>
        <w:t>الوافي</w:t>
      </w:r>
      <w:r w:rsidR="00744A1C">
        <w:rPr>
          <w:rtl/>
          <w:lang w:bidi="fa-IR"/>
        </w:rPr>
        <w:t xml:space="preserve"> : + « قلت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15 ، ص 159 ، ح 14840 ؛ </w:t>
      </w:r>
      <w:r w:rsidR="00744A1C" w:rsidRPr="00C24F9C">
        <w:rPr>
          <w:rStyle w:val="libFootnoteBoldChar"/>
          <w:rtl/>
        </w:rPr>
        <w:t>الوسائل</w:t>
      </w:r>
      <w:r w:rsidR="00744A1C">
        <w:rPr>
          <w:rtl/>
          <w:lang w:bidi="fa-IR"/>
        </w:rPr>
        <w:t xml:space="preserve"> ، ج 15 ، ص 135 ، ح 20156 ؛ </w:t>
      </w:r>
      <w:r w:rsidR="00744A1C" w:rsidRPr="0061079A">
        <w:rPr>
          <w:rStyle w:val="libFootnoteBoldChar"/>
          <w:rtl/>
        </w:rPr>
        <w:t>البحار</w:t>
      </w:r>
      <w:r w:rsidR="00744A1C">
        <w:rPr>
          <w:rtl/>
          <w:lang w:bidi="fa-IR"/>
        </w:rPr>
        <w:t xml:space="preserve"> ، ج 19 ، ص 180 ، ح 28 ؛ وج 20 ، ص 112 ، ح 40.</w:t>
      </w:r>
    </w:p>
    <w:p w:rsidR="006A5060" w:rsidRDefault="006A5060" w:rsidP="00D10E3C">
      <w:pPr>
        <w:pStyle w:val="libNormal"/>
        <w:rPr>
          <w:rtl/>
          <w:lang w:bidi="fa-IR"/>
        </w:rPr>
      </w:pPr>
      <w:r>
        <w:rPr>
          <w:rtl/>
          <w:lang w:bidi="fa-IR"/>
        </w:rPr>
        <w:br w:type="page"/>
      </w:r>
    </w:p>
    <w:p w:rsidR="00144FA6" w:rsidRDefault="00744A1C" w:rsidP="00384046">
      <w:pPr>
        <w:pStyle w:val="Heading2Center"/>
        <w:rPr>
          <w:rtl/>
          <w:lang w:bidi="fa-IR"/>
        </w:rPr>
      </w:pPr>
      <w:bookmarkStart w:id="108" w:name="_Toc49261406"/>
      <w:r>
        <w:rPr>
          <w:rtl/>
          <w:lang w:bidi="fa-IR"/>
        </w:rPr>
        <w:t xml:space="preserve">20 - بَابٌ </w:t>
      </w:r>
      <w:r w:rsidRPr="00D10E3C">
        <w:rPr>
          <w:rStyle w:val="libFootnotenumChar"/>
          <w:rtl/>
        </w:rPr>
        <w:t>(1)</w:t>
      </w:r>
      <w:bookmarkEnd w:id="108"/>
    </w:p>
    <w:p w:rsidR="00144FA6" w:rsidRDefault="00744A1C" w:rsidP="00744A1C">
      <w:pPr>
        <w:pStyle w:val="libNormal"/>
        <w:rPr>
          <w:rtl/>
          <w:lang w:bidi="fa-IR"/>
        </w:rPr>
      </w:pPr>
      <w:r>
        <w:rPr>
          <w:rtl/>
          <w:lang w:bidi="fa-IR"/>
        </w:rPr>
        <w:t xml:space="preserve">8279 / 1. عِدَّةٌ مِنْ أَصْحَابِنَا ، عَنْ سَهْلِ بْنِ زِيَادٍ ، عَنْ جَعْفَرِ بْنِ مُحَمَّدٍ ، عَنِ ابْنِ الْقَدَّاحِ ، عَنْ أَبِيهِ مَيْمُونٍ </w:t>
      </w:r>
      <w:r w:rsidRPr="00D10E3C">
        <w:rPr>
          <w:rStyle w:val="libFootnotenumChar"/>
          <w:rtl/>
        </w:rPr>
        <w:t>(2)</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 أَنَّ أَمِيرَ الْمُؤْمِنِينَ </w:t>
      </w:r>
      <w:r w:rsidR="0061079A" w:rsidRPr="0061079A">
        <w:rPr>
          <w:rStyle w:val="libAlaemChar"/>
          <w:rtl/>
        </w:rPr>
        <w:t>عليه‌السلام</w:t>
      </w:r>
      <w:r w:rsidR="00D10E3C">
        <w:rPr>
          <w:rtl/>
          <w:lang w:bidi="fa-IR"/>
        </w:rPr>
        <w:t xml:space="preserve"> </w:t>
      </w:r>
      <w:r>
        <w:rPr>
          <w:rtl/>
          <w:lang w:bidi="fa-IR"/>
        </w:rPr>
        <w:t>كَانَ إِذَا أَرَادَ الْقِتَالَ قَالَ هذِهِ الدَّعَوَاتِ : الل</w:t>
      </w:r>
      <w:r w:rsidR="00E012C8">
        <w:rPr>
          <w:rFonts w:hint="cs"/>
          <w:rtl/>
          <w:lang w:bidi="fa-IR"/>
        </w:rPr>
        <w:t>ّ</w:t>
      </w:r>
      <w:r>
        <w:rPr>
          <w:rtl/>
          <w:lang w:bidi="fa-IR"/>
        </w:rPr>
        <w:t xml:space="preserve">هُمَّ إِنَّكَ أَعْلَمْتَ </w:t>
      </w:r>
      <w:r w:rsidRPr="00D10E3C">
        <w:rPr>
          <w:rStyle w:val="libFootnotenumChar"/>
          <w:rtl/>
        </w:rPr>
        <w:t>(3)</w:t>
      </w:r>
      <w:r>
        <w:rPr>
          <w:rtl/>
          <w:lang w:bidi="fa-IR"/>
        </w:rPr>
        <w:t xml:space="preserve"> سَبِيلاً مِنْ سُبُلِكَ </w:t>
      </w:r>
      <w:r w:rsidRPr="00D10E3C">
        <w:rPr>
          <w:rStyle w:val="libFootnotenumChar"/>
          <w:rtl/>
        </w:rPr>
        <w:t>(4)</w:t>
      </w:r>
      <w:r>
        <w:rPr>
          <w:rtl/>
          <w:lang w:bidi="fa-IR"/>
        </w:rPr>
        <w:t xml:space="preserve"> ، جَعَلْتَ فِيهِ رِضَاكَ ، وَنَدَبْتَ إِلَيْهِ أَوْلِيَاءَكَ ، وَجَعَلْتَهُ أَشْرَفَ سُبُلِكَ عِنْدَكَ ثَوَاباً ، وَأَكْرَمَهَا لَدَيْكَ </w:t>
      </w:r>
      <w:r w:rsidRPr="00D10E3C">
        <w:rPr>
          <w:rStyle w:val="libFootnotenumChar"/>
          <w:rtl/>
        </w:rPr>
        <w:t>(5)</w:t>
      </w:r>
      <w:r>
        <w:rPr>
          <w:rtl/>
          <w:lang w:bidi="fa-IR"/>
        </w:rPr>
        <w:t xml:space="preserve"> مَآباً ، وَأَحَبَّهَا إِلَيْكَ </w:t>
      </w:r>
      <w:r w:rsidRPr="00D10E3C">
        <w:rPr>
          <w:rStyle w:val="libFootnotenumChar"/>
          <w:rtl/>
        </w:rPr>
        <w:t>(6)</w:t>
      </w:r>
      <w:r>
        <w:rPr>
          <w:rtl/>
          <w:lang w:bidi="fa-IR"/>
        </w:rPr>
        <w:t xml:space="preserve"> مَسْلَكاً ، ثُمَّ اشْتَرَيْتَ فِيهِ </w:t>
      </w:r>
      <w:r w:rsidRPr="00D10E3C">
        <w:rPr>
          <w:rStyle w:val="libFootnotenumChar"/>
          <w:rtl/>
        </w:rPr>
        <w:t>(7)</w:t>
      </w:r>
      <w:r>
        <w:rPr>
          <w:rtl/>
          <w:lang w:bidi="fa-IR"/>
        </w:rPr>
        <w:t xml:space="preserve"> </w:t>
      </w:r>
      <w:r w:rsidRPr="00E012C8">
        <w:rPr>
          <w:rStyle w:val="libAlaemChar"/>
          <w:rtl/>
        </w:rPr>
        <w:t>(</w:t>
      </w:r>
      <w:r w:rsidRPr="00E012C8">
        <w:rPr>
          <w:rStyle w:val="libAieChar"/>
          <w:rtl/>
        </w:rPr>
        <w:t xml:space="preserve"> مِنَ الْمُؤْمِنِينَ أَنْفُسَهُمْ وَأَمْوالَهُمْ بِأَنَّ لَهُمُ الْجَنَّةَ يُقاتِلُونَ فِي سَبِيلِ اللهِ فَيَقْتُلُونَ وَيُقْتَلُونَ </w:t>
      </w:r>
      <w:r w:rsidRPr="00E012C8">
        <w:rPr>
          <w:rStyle w:val="libAlaemChar"/>
          <w:rtl/>
        </w:rPr>
        <w:t>)</w:t>
      </w:r>
      <w:r>
        <w:rPr>
          <w:rtl/>
          <w:lang w:bidi="fa-IR"/>
        </w:rPr>
        <w:t xml:space="preserve"> </w:t>
      </w:r>
      <w:r w:rsidRPr="00D10E3C">
        <w:rPr>
          <w:rStyle w:val="libFootnotenumChar"/>
          <w:rtl/>
        </w:rPr>
        <w:t>(8)</w:t>
      </w:r>
      <w:r>
        <w:rPr>
          <w:rtl/>
          <w:lang w:bidi="fa-IR"/>
        </w:rPr>
        <w:t xml:space="preserve"> وَعْداً عَلَيْكَ </w:t>
      </w:r>
      <w:r w:rsidRPr="00D10E3C">
        <w:rPr>
          <w:rStyle w:val="libFootnotenumChar"/>
          <w:rtl/>
        </w:rPr>
        <w:t>(9)</w:t>
      </w:r>
      <w:r>
        <w:rPr>
          <w:rtl/>
          <w:lang w:bidi="fa-IR"/>
        </w:rPr>
        <w:t xml:space="preserve"> حَقّاً ، فَاجْعَلْنِي مِمَّنْ اشْتَرى </w:t>
      </w:r>
      <w:r w:rsidRPr="00D10E3C">
        <w:rPr>
          <w:rStyle w:val="libFootnotenumChar"/>
          <w:rtl/>
        </w:rPr>
        <w:t>(10)</w:t>
      </w:r>
      <w:r>
        <w:rPr>
          <w:rtl/>
          <w:lang w:bidi="fa-IR"/>
        </w:rPr>
        <w:t xml:space="preserve"> فِيهِ مِنْكَ نَفْسَهُ ، ثُمَّ وَفى لَكَ بِبَيْعِهِ </w:t>
      </w:r>
      <w:r w:rsidRPr="00D10E3C">
        <w:rPr>
          <w:rStyle w:val="libFootnotenumChar"/>
          <w:rtl/>
        </w:rPr>
        <w:t>(11)</w:t>
      </w:r>
      <w:r>
        <w:rPr>
          <w:rtl/>
          <w:lang w:bidi="fa-IR"/>
        </w:rPr>
        <w:t xml:space="preserve"> الَّذِي بَايَعَكَ عَلَيْهِ غَيْرَ نَاكِثٍ وَلَا نَاقِضٍ عَهْداً </w:t>
      </w:r>
      <w:r w:rsidRPr="00D10E3C">
        <w:rPr>
          <w:rStyle w:val="libFootnotenumChar"/>
          <w:rtl/>
        </w:rPr>
        <w:t>(12)</w:t>
      </w:r>
      <w:r>
        <w:rPr>
          <w:rtl/>
          <w:lang w:bidi="fa-IR"/>
        </w:rPr>
        <w:t xml:space="preserve"> ، وَلَا مُبَدِّلاً </w:t>
      </w:r>
      <w:r w:rsidRPr="00D10E3C">
        <w:rPr>
          <w:rStyle w:val="libFootnotenumChar"/>
          <w:rtl/>
        </w:rPr>
        <w:t>(13)</w:t>
      </w:r>
      <w:r>
        <w:rPr>
          <w:rtl/>
          <w:lang w:bidi="fa-IR"/>
        </w:rPr>
        <w:t xml:space="preserve"> تَبْدِيلاً ، بَلِ </w:t>
      </w:r>
      <w:r w:rsidRPr="00D10E3C">
        <w:rPr>
          <w:rStyle w:val="libFootnotenumChar"/>
          <w:rtl/>
        </w:rPr>
        <w:t>(14)</w:t>
      </w:r>
      <w:r>
        <w:rPr>
          <w:rtl/>
          <w:lang w:bidi="fa-IR"/>
        </w:rPr>
        <w:t xml:space="preserve"> اسْتِيجَاباً لِمَحَبَّتِكَ ، وَتَقَرُّباً بِهِ إِلَيْكَ </w:t>
      </w:r>
      <w:r w:rsidRPr="00D10E3C">
        <w:rPr>
          <w:rStyle w:val="libFootnotenumChar"/>
          <w:rtl/>
        </w:rPr>
        <w:t>(15)</w:t>
      </w:r>
      <w:r>
        <w:rPr>
          <w:rtl/>
          <w:lang w:bidi="fa-IR"/>
        </w:rPr>
        <w:t xml:space="preserve"> ، فَاجْعَلْهُ خَاتِمَةَ عَمَلِي ، وَصَيِّرْ فِيهِ فَنَاءَ عُمُرِي ، وَارْزُقْنِي فِيهِ </w:t>
      </w:r>
      <w:r w:rsidRPr="00D10E3C">
        <w:rPr>
          <w:rStyle w:val="libFootnotenumChar"/>
          <w:rtl/>
        </w:rPr>
        <w:t>(16)</w:t>
      </w:r>
      <w:r>
        <w:rPr>
          <w:rtl/>
          <w:lang w:bidi="fa-IR"/>
        </w:rPr>
        <w:t xml:space="preserve"> لَكَ وَبِهِ مَشْهَداً </w:t>
      </w:r>
      <w:r w:rsidRPr="00D10E3C">
        <w:rPr>
          <w:rStyle w:val="libFootnotenumChar"/>
          <w:rtl/>
        </w:rPr>
        <w:t>(17)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 الدعاء عند القتال ».</w:t>
      </w:r>
    </w:p>
    <w:p w:rsidR="00744A1C" w:rsidRDefault="00E378DD" w:rsidP="00E378DD">
      <w:pPr>
        <w:pStyle w:val="libFootnote0"/>
        <w:rPr>
          <w:lang w:bidi="fa-IR"/>
        </w:rPr>
      </w:pPr>
      <w:r>
        <w:rPr>
          <w:rtl/>
          <w:lang w:bidi="fa-IR"/>
        </w:rPr>
        <w:t>(2).</w:t>
      </w:r>
      <w:r w:rsidR="00744A1C">
        <w:rPr>
          <w:rtl/>
          <w:lang w:bidi="fa-IR"/>
        </w:rPr>
        <w:t xml:space="preserve"> في « ى ، بح ، بس ، جت ، جد ، جن »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xml:space="preserve"> : « الميمون ». واستعمال ميمون بالألف واللام غريب.</w:t>
      </w:r>
    </w:p>
    <w:p w:rsidR="00744A1C" w:rsidRDefault="00E378DD" w:rsidP="00E378DD">
      <w:pPr>
        <w:pStyle w:val="libFootnote0"/>
        <w:rPr>
          <w:lang w:bidi="fa-IR"/>
        </w:rPr>
      </w:pPr>
      <w:r>
        <w:rPr>
          <w:rtl/>
          <w:lang w:bidi="fa-IR"/>
        </w:rPr>
        <w:t>(3).</w:t>
      </w:r>
      <w:r w:rsidR="00744A1C">
        <w:rPr>
          <w:rtl/>
          <w:lang w:bidi="fa-IR"/>
        </w:rPr>
        <w:t xml:space="preserve"> في « بف » : « علمت ».</w:t>
      </w:r>
    </w:p>
    <w:p w:rsidR="00744A1C" w:rsidRDefault="00E378DD" w:rsidP="00E378DD">
      <w:pPr>
        <w:pStyle w:val="libFootnote0"/>
        <w:rPr>
          <w:lang w:bidi="fa-IR"/>
        </w:rPr>
      </w:pPr>
      <w:r>
        <w:rPr>
          <w:rtl/>
          <w:lang w:bidi="fa-IR"/>
        </w:rPr>
        <w:t>(4).</w:t>
      </w:r>
      <w:r w:rsidR="00744A1C">
        <w:rPr>
          <w:rtl/>
          <w:lang w:bidi="fa-IR"/>
        </w:rPr>
        <w:t xml:space="preserve"> في </w:t>
      </w:r>
      <w:r w:rsidR="00744A1C" w:rsidRPr="00E012C8">
        <w:rPr>
          <w:rtl/>
        </w:rPr>
        <w:t>الوسائل</w:t>
      </w:r>
      <w:r w:rsidR="00744A1C">
        <w:rPr>
          <w:rtl/>
          <w:lang w:bidi="fa-IR"/>
        </w:rPr>
        <w:t xml:space="preserve"> : « سبيلك ».</w:t>
      </w:r>
    </w:p>
    <w:tbl>
      <w:tblPr>
        <w:tblStyle w:val="TableGrid"/>
        <w:bidiVisual/>
        <w:tblW w:w="0" w:type="auto"/>
        <w:tblLook w:val="04A0" w:firstRow="1" w:lastRow="0" w:firstColumn="1" w:lastColumn="0" w:noHBand="0" w:noVBand="1"/>
      </w:tblPr>
      <w:tblGrid>
        <w:gridCol w:w="4006"/>
        <w:gridCol w:w="4006"/>
      </w:tblGrid>
      <w:tr w:rsidR="00E012C8" w:rsidTr="00E012C8">
        <w:tc>
          <w:tcPr>
            <w:tcW w:w="4006" w:type="dxa"/>
          </w:tcPr>
          <w:p w:rsidR="00E012C8" w:rsidRDefault="00E012C8" w:rsidP="00E378DD">
            <w:pPr>
              <w:pStyle w:val="libFootnote0"/>
              <w:rPr>
                <w:rtl/>
                <w:lang w:bidi="fa-IR"/>
              </w:rPr>
            </w:pPr>
            <w:r>
              <w:rPr>
                <w:rtl/>
                <w:lang w:bidi="fa-IR"/>
              </w:rPr>
              <w:t xml:space="preserve">(5). </w:t>
            </w:r>
            <w:r w:rsidRPr="00E012C8">
              <w:rPr>
                <w:rtl/>
              </w:rPr>
              <w:t>في تفسير العيّاشي</w:t>
            </w:r>
            <w:r>
              <w:rPr>
                <w:rtl/>
                <w:lang w:bidi="fa-IR"/>
              </w:rPr>
              <w:t xml:space="preserve"> : « إليك ».</w:t>
            </w:r>
          </w:p>
        </w:tc>
        <w:tc>
          <w:tcPr>
            <w:tcW w:w="4006" w:type="dxa"/>
          </w:tcPr>
          <w:p w:rsidR="00E012C8" w:rsidRDefault="00E012C8" w:rsidP="00E378DD">
            <w:pPr>
              <w:pStyle w:val="libFootnote0"/>
              <w:rPr>
                <w:rtl/>
                <w:lang w:bidi="fa-IR"/>
              </w:rPr>
            </w:pPr>
            <w:r>
              <w:rPr>
                <w:rtl/>
                <w:lang w:bidi="fa-IR"/>
              </w:rPr>
              <w:t>(6). في « بس » : « لديك ».</w:t>
            </w:r>
          </w:p>
        </w:tc>
      </w:tr>
      <w:tr w:rsidR="00E012C8" w:rsidTr="00E012C8">
        <w:tc>
          <w:tcPr>
            <w:tcW w:w="4006" w:type="dxa"/>
          </w:tcPr>
          <w:p w:rsidR="00E012C8" w:rsidRDefault="00E012C8" w:rsidP="00E378DD">
            <w:pPr>
              <w:pStyle w:val="libFootnote0"/>
              <w:rPr>
                <w:rtl/>
                <w:lang w:bidi="fa-IR"/>
              </w:rPr>
            </w:pPr>
            <w:r>
              <w:rPr>
                <w:rtl/>
                <w:lang w:bidi="fa-IR"/>
              </w:rPr>
              <w:t>(7). في « بس » : - « فيه ».</w:t>
            </w:r>
          </w:p>
        </w:tc>
        <w:tc>
          <w:tcPr>
            <w:tcW w:w="4006" w:type="dxa"/>
          </w:tcPr>
          <w:p w:rsidR="00E012C8" w:rsidRDefault="00E012C8" w:rsidP="00E378DD">
            <w:pPr>
              <w:pStyle w:val="libFootnote0"/>
              <w:rPr>
                <w:rtl/>
                <w:lang w:bidi="fa-IR"/>
              </w:rPr>
            </w:pPr>
            <w:r>
              <w:rPr>
                <w:rtl/>
                <w:lang w:bidi="fa-IR"/>
              </w:rPr>
              <w:t>(8). التوبة (9) : 111.</w:t>
            </w:r>
          </w:p>
        </w:tc>
      </w:tr>
      <w:tr w:rsidR="00E012C8" w:rsidTr="00E012C8">
        <w:tc>
          <w:tcPr>
            <w:tcW w:w="4006" w:type="dxa"/>
          </w:tcPr>
          <w:p w:rsidR="00E012C8" w:rsidRDefault="00E012C8" w:rsidP="00E378DD">
            <w:pPr>
              <w:pStyle w:val="libFootnote0"/>
              <w:rPr>
                <w:rtl/>
                <w:lang w:bidi="fa-IR"/>
              </w:rPr>
            </w:pPr>
            <w:r>
              <w:rPr>
                <w:rtl/>
                <w:lang w:bidi="fa-IR"/>
              </w:rPr>
              <w:t>(9). في « بف ، جت » : « عليه ».</w:t>
            </w:r>
          </w:p>
        </w:tc>
        <w:tc>
          <w:tcPr>
            <w:tcW w:w="4006" w:type="dxa"/>
          </w:tcPr>
          <w:p w:rsidR="00E012C8" w:rsidRDefault="00E012C8" w:rsidP="00E378DD">
            <w:pPr>
              <w:pStyle w:val="libFootnote0"/>
              <w:rPr>
                <w:rtl/>
                <w:lang w:bidi="fa-IR"/>
              </w:rPr>
            </w:pPr>
            <w:r>
              <w:rPr>
                <w:rtl/>
                <w:lang w:bidi="fa-IR"/>
              </w:rPr>
              <w:t xml:space="preserve">(10). في </w:t>
            </w:r>
            <w:r w:rsidRPr="00E012C8">
              <w:rPr>
                <w:rtl/>
              </w:rPr>
              <w:t>الوسائل</w:t>
            </w:r>
            <w:r>
              <w:rPr>
                <w:rtl/>
                <w:lang w:bidi="fa-IR"/>
              </w:rPr>
              <w:t xml:space="preserve"> : « يشتري ».</w:t>
            </w:r>
          </w:p>
        </w:tc>
      </w:tr>
    </w:tbl>
    <w:p w:rsidR="00744A1C" w:rsidRDefault="00E378DD" w:rsidP="00E378DD">
      <w:pPr>
        <w:pStyle w:val="libFootnote0"/>
        <w:rPr>
          <w:lang w:bidi="fa-IR"/>
        </w:rPr>
      </w:pPr>
      <w:r>
        <w:rPr>
          <w:rtl/>
          <w:lang w:bidi="fa-IR"/>
        </w:rPr>
        <w:t>(11).</w:t>
      </w:r>
      <w:r w:rsidR="00744A1C">
        <w:rPr>
          <w:rtl/>
          <w:lang w:bidi="fa-IR"/>
        </w:rPr>
        <w:t xml:space="preserve"> في « بث ، جت » و</w:t>
      </w:r>
      <w:r w:rsidR="00744A1C" w:rsidRPr="00A914B5">
        <w:rPr>
          <w:rStyle w:val="libFootnoteBoldChar"/>
          <w:rtl/>
        </w:rPr>
        <w:t>تفسير العيّاشي</w:t>
      </w:r>
      <w:r w:rsidR="00744A1C">
        <w:rPr>
          <w:rtl/>
          <w:lang w:bidi="fa-IR"/>
        </w:rPr>
        <w:t xml:space="preserve"> : « ببيعته ». وفي « بس » : « ببيعة ».</w:t>
      </w:r>
    </w:p>
    <w:p w:rsidR="00744A1C" w:rsidRDefault="00E378DD" w:rsidP="00E378DD">
      <w:pPr>
        <w:pStyle w:val="libFootnote0"/>
        <w:rPr>
          <w:lang w:bidi="fa-IR"/>
        </w:rPr>
      </w:pPr>
      <w:r>
        <w:rPr>
          <w:rtl/>
          <w:lang w:bidi="fa-IR"/>
        </w:rPr>
        <w:t>(12).</w:t>
      </w:r>
      <w:r w:rsidR="00744A1C">
        <w:rPr>
          <w:rtl/>
          <w:lang w:bidi="fa-IR"/>
        </w:rPr>
        <w:t xml:space="preserve"> في </w:t>
      </w:r>
      <w:r w:rsidR="00744A1C" w:rsidRPr="00E012C8">
        <w:rPr>
          <w:rtl/>
        </w:rPr>
        <w:t>البحار</w:t>
      </w:r>
      <w:r w:rsidR="00744A1C">
        <w:rPr>
          <w:rtl/>
          <w:lang w:bidi="fa-IR"/>
        </w:rPr>
        <w:t xml:space="preserve"> : « عهد ».</w:t>
      </w:r>
    </w:p>
    <w:p w:rsidR="00744A1C" w:rsidRDefault="00E378DD" w:rsidP="00E378DD">
      <w:pPr>
        <w:pStyle w:val="libFootnote0"/>
        <w:rPr>
          <w:lang w:bidi="fa-IR"/>
        </w:rPr>
      </w:pPr>
      <w:r>
        <w:rPr>
          <w:rtl/>
          <w:lang w:bidi="fa-IR"/>
        </w:rPr>
        <w:t>(13).</w:t>
      </w:r>
      <w:r w:rsidR="00744A1C">
        <w:rPr>
          <w:rtl/>
          <w:lang w:bidi="fa-IR"/>
        </w:rPr>
        <w:t xml:space="preserve"> في « بح » وحاشية « جت </w:t>
      </w:r>
      <w:r w:rsidR="00744A1C" w:rsidRPr="00E012C8">
        <w:rPr>
          <w:rtl/>
        </w:rPr>
        <w:t>» والوافي والوسائل والبحار والتهذيب وتفسير العيّاشي :</w:t>
      </w:r>
      <w:r w:rsidR="00744A1C">
        <w:rPr>
          <w:rtl/>
          <w:lang w:bidi="fa-IR"/>
        </w:rPr>
        <w:t xml:space="preserve"> « ولا مبدّل ».</w:t>
      </w:r>
    </w:p>
    <w:tbl>
      <w:tblPr>
        <w:tblStyle w:val="TableGrid"/>
        <w:bidiVisual/>
        <w:tblW w:w="0" w:type="auto"/>
        <w:tblLook w:val="04A0" w:firstRow="1" w:lastRow="0" w:firstColumn="1" w:lastColumn="0" w:noHBand="0" w:noVBand="1"/>
      </w:tblPr>
      <w:tblGrid>
        <w:gridCol w:w="4006"/>
        <w:gridCol w:w="4006"/>
      </w:tblGrid>
      <w:tr w:rsidR="00E012C8" w:rsidTr="00E012C8">
        <w:tc>
          <w:tcPr>
            <w:tcW w:w="4006" w:type="dxa"/>
          </w:tcPr>
          <w:p w:rsidR="00E012C8" w:rsidRDefault="00E012C8" w:rsidP="00E378DD">
            <w:pPr>
              <w:pStyle w:val="libFootnote0"/>
              <w:rPr>
                <w:rtl/>
                <w:lang w:bidi="fa-IR"/>
              </w:rPr>
            </w:pPr>
            <w:r>
              <w:rPr>
                <w:rtl/>
                <w:lang w:bidi="fa-IR"/>
              </w:rPr>
              <w:t xml:space="preserve">(14). في </w:t>
            </w:r>
            <w:r w:rsidRPr="00E012C8">
              <w:rPr>
                <w:rtl/>
              </w:rPr>
              <w:t xml:space="preserve">التهذيب : </w:t>
            </w:r>
            <w:r>
              <w:rPr>
                <w:rtl/>
                <w:lang w:bidi="fa-IR"/>
              </w:rPr>
              <w:t>+ « إل</w:t>
            </w:r>
            <w:r>
              <w:rPr>
                <w:rFonts w:hint="cs"/>
                <w:rtl/>
                <w:lang w:bidi="fa-IR"/>
              </w:rPr>
              <w:t>ّ</w:t>
            </w:r>
            <w:r>
              <w:rPr>
                <w:rtl/>
                <w:lang w:bidi="fa-IR"/>
              </w:rPr>
              <w:t>ا استنجازاً لموعودك و».</w:t>
            </w:r>
          </w:p>
        </w:tc>
        <w:tc>
          <w:tcPr>
            <w:tcW w:w="4006" w:type="dxa"/>
          </w:tcPr>
          <w:p w:rsidR="00E012C8" w:rsidRDefault="00635ED9" w:rsidP="00E378DD">
            <w:pPr>
              <w:pStyle w:val="libFootnote0"/>
              <w:rPr>
                <w:rtl/>
                <w:lang w:bidi="fa-IR"/>
              </w:rPr>
            </w:pPr>
            <w:r>
              <w:rPr>
                <w:rtl/>
                <w:lang w:bidi="fa-IR"/>
              </w:rPr>
              <w:t>(15). في</w:t>
            </w:r>
            <w:r w:rsidRPr="00E012C8">
              <w:rPr>
                <w:rtl/>
              </w:rPr>
              <w:t xml:space="preserve"> التهذيب </w:t>
            </w:r>
            <w:r>
              <w:rPr>
                <w:rtl/>
                <w:lang w:bidi="fa-IR"/>
              </w:rPr>
              <w:t>: + « فصلّ على محمّد وآله ».</w:t>
            </w:r>
          </w:p>
        </w:tc>
      </w:tr>
    </w:tbl>
    <w:p w:rsidR="00744A1C" w:rsidRDefault="00744A1C" w:rsidP="00D10E3C">
      <w:pPr>
        <w:pStyle w:val="libFootnote0"/>
        <w:rPr>
          <w:lang w:bidi="fa-IR"/>
        </w:rPr>
      </w:pPr>
      <w:r>
        <w:rPr>
          <w:rtl/>
          <w:lang w:bidi="fa-IR"/>
        </w:rPr>
        <w:t>(16) في « جن » : « منه ».</w:t>
      </w:r>
    </w:p>
    <w:p w:rsidR="00744A1C" w:rsidRDefault="00744A1C" w:rsidP="00D10E3C">
      <w:pPr>
        <w:pStyle w:val="libFootnote0"/>
        <w:rPr>
          <w:lang w:bidi="fa-IR"/>
        </w:rPr>
      </w:pPr>
      <w:r>
        <w:rPr>
          <w:rtl/>
          <w:lang w:bidi="fa-IR"/>
        </w:rPr>
        <w:t xml:space="preserve">(17) في </w:t>
      </w:r>
      <w:r w:rsidRPr="00877682">
        <w:rPr>
          <w:rStyle w:val="libFootnoteBoldChar"/>
          <w:rtl/>
        </w:rPr>
        <w:t>مرآة العقول</w:t>
      </w:r>
      <w:r>
        <w:rPr>
          <w:rtl/>
          <w:lang w:bidi="fa-IR"/>
        </w:rPr>
        <w:t xml:space="preserve"> ، ج 18 ، ص 384 : « قوله </w:t>
      </w:r>
      <w:r w:rsidR="0061079A" w:rsidRPr="0061079A">
        <w:rPr>
          <w:rStyle w:val="libFootnoteAlaemChar"/>
          <w:rtl/>
        </w:rPr>
        <w:t>عليه‌السلام</w:t>
      </w:r>
      <w:r w:rsidR="00D10E3C">
        <w:rPr>
          <w:rtl/>
          <w:lang w:bidi="fa-IR"/>
        </w:rPr>
        <w:t xml:space="preserve"> </w:t>
      </w:r>
      <w:r>
        <w:rPr>
          <w:rtl/>
          <w:lang w:bidi="fa-IR"/>
        </w:rPr>
        <w:t>: وبه مشهداً ، عطف على « فيه » ، ولعلّه زيد من النسّاخ ، أو صحّف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تُوجِبُ </w:t>
      </w:r>
      <w:r w:rsidRPr="00D10E3C">
        <w:rPr>
          <w:rStyle w:val="libFootnotenumChar"/>
          <w:rtl/>
        </w:rPr>
        <w:t>(1)</w:t>
      </w:r>
      <w:r>
        <w:rPr>
          <w:rtl/>
          <w:lang w:bidi="fa-IR"/>
        </w:rPr>
        <w:t xml:space="preserve"> لِي بِهِ مِنْكَ الرِّضَا ، وَتَحُطُّ </w:t>
      </w:r>
      <w:r w:rsidRPr="00D10E3C">
        <w:rPr>
          <w:rStyle w:val="libFootnotenumChar"/>
          <w:rtl/>
        </w:rPr>
        <w:t>(2)</w:t>
      </w:r>
      <w:r>
        <w:rPr>
          <w:rtl/>
          <w:lang w:bidi="fa-IR"/>
        </w:rPr>
        <w:t xml:space="preserve"> بِهِ </w:t>
      </w:r>
      <w:r w:rsidRPr="00D10E3C">
        <w:rPr>
          <w:rStyle w:val="libFootnotenumChar"/>
          <w:rtl/>
        </w:rPr>
        <w:t>(3)</w:t>
      </w:r>
      <w:r>
        <w:rPr>
          <w:rtl/>
          <w:lang w:bidi="fa-IR"/>
        </w:rPr>
        <w:t xml:space="preserve"> عَنِّي الْخَطَايَا ، وَتَجْعَلُنِي فِي الْأَحْيَاءِ الْمَرْزُوقِينَ بِأَيْدِي الْعُدَاةِ وَالْعُصَاةِ تَحْتَ لِوَاءِ الْحَقِّ وَرَايَةِ الْهُدى ، مَاضِياً عَلى نُصْرَتِهِمْ قُدُماً </w:t>
      </w:r>
      <w:r w:rsidRPr="00D10E3C">
        <w:rPr>
          <w:rStyle w:val="libFootnotenumChar"/>
          <w:rtl/>
        </w:rPr>
        <w:t>(4)</w:t>
      </w:r>
      <w:r>
        <w:rPr>
          <w:rtl/>
          <w:lang w:bidi="fa-IR"/>
        </w:rPr>
        <w:t xml:space="preserve"> ، غَيْرَ مُوَلٍّ </w:t>
      </w:r>
      <w:r w:rsidRPr="00D10E3C">
        <w:rPr>
          <w:rStyle w:val="libFootnotenumChar"/>
          <w:rtl/>
        </w:rPr>
        <w:t>(5)</w:t>
      </w:r>
      <w:r>
        <w:rPr>
          <w:rtl/>
          <w:lang w:bidi="fa-IR"/>
        </w:rPr>
        <w:t xml:space="preserve"> دُبُراً ، وَلَا مُحْدِثٍ شَكّاً ، الل</w:t>
      </w:r>
      <w:r w:rsidR="005D3985">
        <w:rPr>
          <w:rFonts w:hint="cs"/>
          <w:rtl/>
          <w:lang w:bidi="fa-IR"/>
        </w:rPr>
        <w:t>ّ</w:t>
      </w:r>
      <w:r>
        <w:rPr>
          <w:rtl/>
          <w:lang w:bidi="fa-IR"/>
        </w:rPr>
        <w:t xml:space="preserve">هُمَّ وَ </w:t>
      </w:r>
      <w:r w:rsidRPr="00D10E3C">
        <w:rPr>
          <w:rStyle w:val="libFootnotenumChar"/>
          <w:rtl/>
        </w:rPr>
        <w:t>(6)</w:t>
      </w:r>
      <w:r>
        <w:rPr>
          <w:rtl/>
          <w:lang w:bidi="fa-IR"/>
        </w:rPr>
        <w:t xml:space="preserve"> أَعُوذُ بِكَ عِنْدَ ذلِكَ مِنَ الْجُبْنِ عِنْدَ مَوَارِدِ الْأَهْوَالِ ، وَمِنَ الضَّعْفِ عِنْدَ مُسَاوَرَةِ </w:t>
      </w:r>
      <w:r w:rsidRPr="00D10E3C">
        <w:rPr>
          <w:rStyle w:val="libFootnotenumChar"/>
          <w:rtl/>
        </w:rPr>
        <w:t>(7)</w:t>
      </w:r>
      <w:r>
        <w:rPr>
          <w:rtl/>
          <w:lang w:bidi="fa-IR"/>
        </w:rPr>
        <w:t xml:space="preserve"> الْأَبْطَالِ </w:t>
      </w:r>
      <w:r w:rsidRPr="00D10E3C">
        <w:rPr>
          <w:rStyle w:val="libFootnotenumChar"/>
          <w:rtl/>
        </w:rPr>
        <w:t>(8)</w:t>
      </w:r>
      <w:r>
        <w:rPr>
          <w:rtl/>
          <w:lang w:bidi="fa-IR"/>
        </w:rPr>
        <w:t xml:space="preserve"> ، وَ </w:t>
      </w:r>
      <w:r w:rsidRPr="00D10E3C">
        <w:rPr>
          <w:rStyle w:val="libFootnotenumChar"/>
          <w:rtl/>
        </w:rPr>
        <w:t>(9)</w:t>
      </w:r>
      <w:r>
        <w:rPr>
          <w:rtl/>
          <w:lang w:bidi="fa-IR"/>
        </w:rPr>
        <w:t xml:space="preserve"> مِنَ الذَّنْبِ الْمُحْبِطِ لِلْأَعْمَالِ ، فَأَحْجُمَ </w:t>
      </w:r>
      <w:r w:rsidRPr="00D10E3C">
        <w:rPr>
          <w:rStyle w:val="libFootnotenumChar"/>
          <w:rtl/>
        </w:rPr>
        <w:t>(10)</w:t>
      </w:r>
      <w:r>
        <w:rPr>
          <w:rtl/>
          <w:lang w:bidi="fa-IR"/>
        </w:rPr>
        <w:t xml:space="preserve"> مَنْ شَكَّ أَوْ أَمْضِي </w:t>
      </w:r>
      <w:r w:rsidRPr="00D10E3C">
        <w:rPr>
          <w:rStyle w:val="libFootnotenumChar"/>
          <w:rtl/>
        </w:rPr>
        <w:t>(11)</w:t>
      </w:r>
      <w:r>
        <w:rPr>
          <w:rtl/>
          <w:lang w:bidi="fa-IR"/>
        </w:rPr>
        <w:t xml:space="preserve"> بِغَيْرِ يَقِينٍ ، فَيَكُونَ سَعْيِي فِي تَبَابٍ </w:t>
      </w:r>
      <w:r w:rsidRPr="00D10E3C">
        <w:rPr>
          <w:rStyle w:val="libFootnotenumChar"/>
          <w:rtl/>
        </w:rPr>
        <w:t>(12)</w:t>
      </w:r>
      <w:r>
        <w:rPr>
          <w:rtl/>
          <w:lang w:bidi="fa-IR"/>
        </w:rPr>
        <w:t xml:space="preserve"> ، وَعَمَلِي غَيْرَ مَقْبُولٍ ».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جن » : « يوجب ». وفي « جت » بالتاء والياء معاً.</w:t>
      </w:r>
    </w:p>
    <w:p w:rsidR="00744A1C" w:rsidRDefault="00E378DD" w:rsidP="00E378DD">
      <w:pPr>
        <w:pStyle w:val="libFootnote0"/>
        <w:rPr>
          <w:lang w:bidi="fa-IR"/>
        </w:rPr>
      </w:pPr>
      <w:r>
        <w:rPr>
          <w:rtl/>
          <w:lang w:bidi="fa-IR"/>
        </w:rPr>
        <w:t>(2).</w:t>
      </w:r>
      <w:r w:rsidR="00744A1C">
        <w:rPr>
          <w:rtl/>
          <w:lang w:bidi="fa-IR"/>
        </w:rPr>
        <w:t xml:space="preserve"> في « جن » بالتاء والياء معاً.</w:t>
      </w:r>
    </w:p>
    <w:p w:rsidR="00744A1C" w:rsidRDefault="00E378DD" w:rsidP="00E378DD">
      <w:pPr>
        <w:pStyle w:val="libFootnote0"/>
        <w:rPr>
          <w:lang w:bidi="fa-IR"/>
        </w:rPr>
      </w:pPr>
      <w:r>
        <w:rPr>
          <w:rtl/>
          <w:lang w:bidi="fa-IR"/>
        </w:rPr>
        <w:t>(3).</w:t>
      </w:r>
      <w:r w:rsidR="00744A1C">
        <w:rPr>
          <w:rtl/>
          <w:lang w:bidi="fa-IR"/>
        </w:rPr>
        <w:t xml:space="preserve"> في « جن » : « الله ».</w:t>
      </w:r>
    </w:p>
    <w:p w:rsidR="00744A1C" w:rsidRDefault="00E378DD" w:rsidP="00E378DD">
      <w:pPr>
        <w:pStyle w:val="libFootnote0"/>
        <w:rPr>
          <w:lang w:bidi="fa-IR"/>
        </w:rPr>
      </w:pPr>
      <w:r>
        <w:rPr>
          <w:rtl/>
          <w:lang w:bidi="fa-IR"/>
        </w:rPr>
        <w:t>(4).</w:t>
      </w:r>
      <w:r w:rsidR="00744A1C">
        <w:rPr>
          <w:rtl/>
          <w:lang w:bidi="fa-IR"/>
        </w:rPr>
        <w:t xml:space="preserve"> قال الجوهري : « مضى قُدُماً - بضمّ الدال - : لم يعرّج ولم ينثن ». وقال ابن منظور : « القُدُم : ال</w:t>
      </w:r>
      <w:r w:rsidR="000A61F4">
        <w:rPr>
          <w:rFonts w:hint="cs"/>
          <w:rtl/>
          <w:lang w:bidi="fa-IR"/>
        </w:rPr>
        <w:t>ـ</w:t>
      </w:r>
      <w:r w:rsidR="00744A1C">
        <w:rPr>
          <w:rtl/>
          <w:lang w:bidi="fa-IR"/>
        </w:rPr>
        <w:t>مُضيّ أمامَ أمامَ ، وهو يمشي القُدُم والقُدَميّة واليَقْدُميّة والتقدّميّة ، إذا مضى في الحرب. ورجل قُدُم وقَدَم : شجاع. والا</w:t>
      </w:r>
      <w:r w:rsidR="000A61F4">
        <w:rPr>
          <w:rFonts w:hint="cs"/>
          <w:rtl/>
          <w:lang w:bidi="fa-IR"/>
        </w:rPr>
        <w:t>ُ</w:t>
      </w:r>
      <w:r w:rsidR="00744A1C">
        <w:rPr>
          <w:rtl/>
          <w:lang w:bidi="fa-IR"/>
        </w:rPr>
        <w:t xml:space="preserve">نثى : قَدَمة. ورجل قُدُم : مقتحم للأشياء يتقدّم الناس ويمضي في الحرب قدماً ». </w:t>
      </w:r>
      <w:r w:rsidR="00744A1C" w:rsidRPr="00E978C3">
        <w:rPr>
          <w:rStyle w:val="libFootnoteBoldChar"/>
          <w:rtl/>
        </w:rPr>
        <w:t>الصحاح</w:t>
      </w:r>
      <w:r w:rsidR="00744A1C">
        <w:rPr>
          <w:rtl/>
          <w:lang w:bidi="fa-IR"/>
        </w:rPr>
        <w:t xml:space="preserve"> ، ج 5 ، ص 2007 ؛ </w:t>
      </w:r>
      <w:r w:rsidR="00744A1C" w:rsidRPr="00877682">
        <w:rPr>
          <w:rStyle w:val="libFootnoteBoldChar"/>
          <w:rtl/>
        </w:rPr>
        <w:t>لسان العرب</w:t>
      </w:r>
      <w:r w:rsidR="00744A1C">
        <w:rPr>
          <w:rtl/>
          <w:lang w:bidi="fa-IR"/>
        </w:rPr>
        <w:t xml:space="preserve"> ، ج 12 ، ص 466 ( قدم ).</w:t>
      </w:r>
    </w:p>
    <w:p w:rsidR="00744A1C" w:rsidRDefault="00E378DD" w:rsidP="00E378DD">
      <w:pPr>
        <w:pStyle w:val="libFootnote0"/>
        <w:rPr>
          <w:lang w:bidi="fa-IR"/>
        </w:rPr>
      </w:pPr>
      <w:r>
        <w:rPr>
          <w:rtl/>
          <w:lang w:bidi="fa-IR"/>
        </w:rPr>
        <w:t>(5).</w:t>
      </w:r>
      <w:r w:rsidR="00744A1C">
        <w:rPr>
          <w:rtl/>
          <w:lang w:bidi="fa-IR"/>
        </w:rPr>
        <w:t xml:space="preserve"> </w:t>
      </w:r>
      <w:r w:rsidR="00744A1C" w:rsidRPr="000A61F4">
        <w:rPr>
          <w:rtl/>
        </w:rPr>
        <w:t>في الوافي</w:t>
      </w:r>
      <w:r w:rsidR="00744A1C">
        <w:rPr>
          <w:rtl/>
          <w:lang w:bidi="fa-IR"/>
        </w:rPr>
        <w:t xml:space="preserve"> : « مولّى ».</w:t>
      </w:r>
    </w:p>
    <w:p w:rsidR="00744A1C" w:rsidRDefault="00E378DD" w:rsidP="00E378DD">
      <w:pPr>
        <w:pStyle w:val="libFootnote0"/>
        <w:rPr>
          <w:lang w:bidi="fa-IR"/>
        </w:rPr>
      </w:pPr>
      <w:r>
        <w:rPr>
          <w:rtl/>
          <w:lang w:bidi="fa-IR"/>
        </w:rPr>
        <w:t>(6).</w:t>
      </w:r>
      <w:r w:rsidR="00744A1C">
        <w:rPr>
          <w:rtl/>
          <w:lang w:bidi="fa-IR"/>
        </w:rPr>
        <w:t xml:space="preserve"> في « جت » : « إنّي » بدل « و».</w:t>
      </w:r>
    </w:p>
    <w:p w:rsidR="00744A1C" w:rsidRDefault="00E378DD" w:rsidP="00E378DD">
      <w:pPr>
        <w:pStyle w:val="libFootnote0"/>
        <w:rPr>
          <w:lang w:bidi="fa-IR"/>
        </w:rPr>
      </w:pPr>
      <w:r>
        <w:rPr>
          <w:rtl/>
          <w:lang w:bidi="fa-IR"/>
        </w:rPr>
        <w:t>(7).</w:t>
      </w:r>
      <w:r w:rsidR="00744A1C">
        <w:rPr>
          <w:rtl/>
          <w:lang w:bidi="fa-IR"/>
        </w:rPr>
        <w:t xml:space="preserve"> في « جن » : « مساواة ». وال</w:t>
      </w:r>
      <w:r w:rsidR="000A61F4">
        <w:rPr>
          <w:rFonts w:hint="cs"/>
          <w:rtl/>
          <w:lang w:bidi="fa-IR"/>
        </w:rPr>
        <w:t>ـ</w:t>
      </w:r>
      <w:r w:rsidR="00744A1C">
        <w:rPr>
          <w:rtl/>
          <w:lang w:bidi="fa-IR"/>
        </w:rPr>
        <w:t xml:space="preserve">مُساورة : المواثبة والمغالبة. يقال : ساوَرَه ، أي واثبه وأخذ برأسه. راجع : </w:t>
      </w:r>
      <w:r w:rsidR="00744A1C" w:rsidRPr="00E978C3">
        <w:rPr>
          <w:rStyle w:val="libFootnoteBoldChar"/>
          <w:rtl/>
        </w:rPr>
        <w:t>الصحاح</w:t>
      </w:r>
      <w:r w:rsidR="00744A1C">
        <w:rPr>
          <w:rtl/>
          <w:lang w:bidi="fa-IR"/>
        </w:rPr>
        <w:t xml:space="preserve"> ، ج 2 ، ص 690 ؛ </w:t>
      </w:r>
      <w:r w:rsidR="00744A1C" w:rsidRPr="008A57EB">
        <w:rPr>
          <w:rStyle w:val="libFootnoteBoldChar"/>
          <w:rtl/>
        </w:rPr>
        <w:t>القاموس المحيط</w:t>
      </w:r>
      <w:r w:rsidR="00744A1C">
        <w:rPr>
          <w:rtl/>
          <w:lang w:bidi="fa-IR"/>
        </w:rPr>
        <w:t xml:space="preserve"> ، ج 1 ، ص 578 ؛ </w:t>
      </w:r>
      <w:r w:rsidR="00744A1C" w:rsidRPr="00E978C3">
        <w:rPr>
          <w:rStyle w:val="libFootnoteBoldChar"/>
          <w:rtl/>
        </w:rPr>
        <w:t>المصباح المنير</w:t>
      </w:r>
      <w:r w:rsidR="00744A1C">
        <w:rPr>
          <w:rtl/>
          <w:lang w:bidi="fa-IR"/>
        </w:rPr>
        <w:t xml:space="preserve"> ، ص 294 ( سور ).</w:t>
      </w:r>
    </w:p>
    <w:p w:rsidR="00744A1C" w:rsidRDefault="00E378DD" w:rsidP="00E378DD">
      <w:pPr>
        <w:pStyle w:val="libFootnote0"/>
        <w:rPr>
          <w:lang w:bidi="fa-IR"/>
        </w:rPr>
      </w:pPr>
      <w:r>
        <w:rPr>
          <w:rtl/>
          <w:lang w:bidi="fa-IR"/>
        </w:rPr>
        <w:t>(8).</w:t>
      </w:r>
      <w:r w:rsidR="00744A1C">
        <w:rPr>
          <w:rtl/>
          <w:lang w:bidi="fa-IR"/>
        </w:rPr>
        <w:t xml:space="preserve"> في « </w:t>
      </w:r>
      <w:r w:rsidR="00744A1C" w:rsidRPr="000A61F4">
        <w:rPr>
          <w:rtl/>
        </w:rPr>
        <w:t>بف</w:t>
      </w:r>
      <w:r w:rsidR="00744A1C">
        <w:rPr>
          <w:rtl/>
          <w:lang w:bidi="fa-IR"/>
        </w:rPr>
        <w:t xml:space="preserve"> » </w:t>
      </w:r>
      <w:r w:rsidR="00744A1C" w:rsidRPr="000A61F4">
        <w:rPr>
          <w:rtl/>
        </w:rPr>
        <w:t>والوافي</w:t>
      </w:r>
      <w:r w:rsidR="00744A1C">
        <w:rPr>
          <w:rtl/>
          <w:lang w:bidi="fa-IR"/>
        </w:rPr>
        <w:t xml:space="preserve"> : « الأقران ».</w:t>
      </w:r>
    </w:p>
    <w:p w:rsidR="00744A1C" w:rsidRDefault="00E378DD" w:rsidP="00E378DD">
      <w:pPr>
        <w:pStyle w:val="libFootnote0"/>
        <w:rPr>
          <w:lang w:bidi="fa-IR"/>
        </w:rPr>
      </w:pPr>
      <w:r>
        <w:rPr>
          <w:rtl/>
          <w:lang w:bidi="fa-IR"/>
        </w:rPr>
        <w:t>(9).</w:t>
      </w:r>
      <w:r w:rsidR="00744A1C">
        <w:rPr>
          <w:rtl/>
          <w:lang w:bidi="fa-IR"/>
        </w:rPr>
        <w:t xml:space="preserve"> في </w:t>
      </w:r>
      <w:r w:rsidR="00744A1C" w:rsidRPr="000A61F4">
        <w:rPr>
          <w:rtl/>
        </w:rPr>
        <w:t>التهذيب</w:t>
      </w:r>
      <w:r w:rsidR="00744A1C">
        <w:rPr>
          <w:rtl/>
          <w:lang w:bidi="fa-IR"/>
        </w:rPr>
        <w:t xml:space="preserve"> : - « من الجبن عند موارد الأهوال ومن الضعف عند مساورة الأبطال و».</w:t>
      </w:r>
    </w:p>
    <w:p w:rsidR="00744A1C" w:rsidRDefault="00E378DD" w:rsidP="00E378DD">
      <w:pPr>
        <w:pStyle w:val="libFootnote0"/>
        <w:rPr>
          <w:lang w:bidi="fa-IR"/>
        </w:rPr>
      </w:pPr>
      <w:r>
        <w:rPr>
          <w:rtl/>
          <w:lang w:bidi="fa-IR"/>
        </w:rPr>
        <w:t>(10).</w:t>
      </w:r>
      <w:r w:rsidR="00744A1C">
        <w:rPr>
          <w:rtl/>
          <w:lang w:bidi="fa-IR"/>
        </w:rPr>
        <w:t xml:space="preserve"> « فأحجم » أي أكفّ. يقال : حجمته عن الشي‌ء فأحجم</w:t>
      </w:r>
      <w:r w:rsidR="000A61F4">
        <w:rPr>
          <w:rtl/>
          <w:lang w:bidi="fa-IR"/>
        </w:rPr>
        <w:t xml:space="preserve"> ، وهذا من النوادر. وقرأه العل</w:t>
      </w:r>
      <w:r w:rsidR="000A61F4">
        <w:rPr>
          <w:rFonts w:hint="cs"/>
          <w:rtl/>
          <w:lang w:bidi="fa-IR"/>
        </w:rPr>
        <w:t>ّ</w:t>
      </w:r>
      <w:r w:rsidR="000A61F4">
        <w:rPr>
          <w:rtl/>
          <w:lang w:bidi="fa-IR"/>
        </w:rPr>
        <w:t>ا</w:t>
      </w:r>
      <w:r w:rsidR="00744A1C">
        <w:rPr>
          <w:rtl/>
          <w:lang w:bidi="fa-IR"/>
        </w:rPr>
        <w:t xml:space="preserve">مة الفيض بضمّ الهمزةمن الإحجام ، حيث قال في </w:t>
      </w:r>
      <w:r w:rsidR="00744A1C" w:rsidRPr="00C24F9C">
        <w:rPr>
          <w:rStyle w:val="libFootnoteBoldChar"/>
          <w:rtl/>
        </w:rPr>
        <w:t>الوافي</w:t>
      </w:r>
      <w:r w:rsidR="00744A1C">
        <w:rPr>
          <w:rtl/>
          <w:lang w:bidi="fa-IR"/>
        </w:rPr>
        <w:t xml:space="preserve"> : « الإحجام ، بتقديم المهملة على الجيم : ضدّ الإقدام ». وراجع : </w:t>
      </w:r>
      <w:r w:rsidR="00744A1C" w:rsidRPr="00877682">
        <w:rPr>
          <w:rStyle w:val="libFootnoteBoldChar"/>
          <w:rtl/>
        </w:rPr>
        <w:t>لسان العرب</w:t>
      </w:r>
      <w:r w:rsidR="00744A1C">
        <w:rPr>
          <w:rtl/>
          <w:lang w:bidi="fa-IR"/>
        </w:rPr>
        <w:t xml:space="preserve"> ، ج 12 ، ص 116 ( حجم ).</w:t>
      </w:r>
    </w:p>
    <w:p w:rsidR="00744A1C" w:rsidRDefault="00E378DD" w:rsidP="00E378DD">
      <w:pPr>
        <w:pStyle w:val="libFootnote0"/>
        <w:rPr>
          <w:lang w:bidi="fa-IR"/>
        </w:rPr>
      </w:pPr>
      <w:r>
        <w:rPr>
          <w:rtl/>
          <w:lang w:bidi="fa-IR"/>
        </w:rPr>
        <w:t>(11).</w:t>
      </w:r>
      <w:r w:rsidR="00744A1C">
        <w:rPr>
          <w:rtl/>
          <w:lang w:bidi="fa-IR"/>
        </w:rPr>
        <w:t xml:space="preserve"> هكذا في جميع النسخ التي قوبلت </w:t>
      </w:r>
      <w:r w:rsidR="00744A1C" w:rsidRPr="00CA02D1">
        <w:rPr>
          <w:rtl/>
        </w:rPr>
        <w:t>والوافي والبحار</w:t>
      </w:r>
      <w:r w:rsidR="00744A1C">
        <w:rPr>
          <w:rtl/>
          <w:lang w:bidi="fa-IR"/>
        </w:rPr>
        <w:t>. وفي المطبوع : « أو مضى ».</w:t>
      </w:r>
    </w:p>
    <w:p w:rsidR="00744A1C" w:rsidRDefault="00E378DD" w:rsidP="00E378DD">
      <w:pPr>
        <w:pStyle w:val="libFootnote0"/>
        <w:rPr>
          <w:lang w:bidi="fa-IR"/>
        </w:rPr>
      </w:pPr>
      <w:r>
        <w:rPr>
          <w:rtl/>
          <w:lang w:bidi="fa-IR"/>
        </w:rPr>
        <w:t>(12).</w:t>
      </w:r>
      <w:r w:rsidR="00744A1C">
        <w:rPr>
          <w:rtl/>
          <w:lang w:bidi="fa-IR"/>
        </w:rPr>
        <w:t xml:space="preserve"> التَّباب : الخُسران ، والهلاك. تقول منه : تبّ تَباباً ، وتبّت يداه. </w:t>
      </w:r>
      <w:r w:rsidR="00744A1C" w:rsidRPr="00E978C3">
        <w:rPr>
          <w:rStyle w:val="libFootnoteBoldChar"/>
          <w:rtl/>
        </w:rPr>
        <w:t>الصحاح</w:t>
      </w:r>
      <w:r w:rsidR="00744A1C">
        <w:rPr>
          <w:rtl/>
          <w:lang w:bidi="fa-IR"/>
        </w:rPr>
        <w:t xml:space="preserve"> ، ج 1 ، ص 90 ( تبب ).</w:t>
      </w:r>
    </w:p>
    <w:p w:rsidR="00144FA6" w:rsidRDefault="00E378DD" w:rsidP="00E378DD">
      <w:pPr>
        <w:pStyle w:val="libFootnote0"/>
        <w:rPr>
          <w:rtl/>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3 ، ص 81 ، ح 237 ، بسنده عن عبد الله بن ميمون ، عن جعفر بن محمّد ، عن أبيه ، عن عليّ بن الحسين ، عن أمير المؤمنين </w:t>
      </w:r>
      <w:r w:rsidR="00877682" w:rsidRPr="00877682">
        <w:rPr>
          <w:rStyle w:val="libFootnoteAlaemChar"/>
          <w:rtl/>
        </w:rPr>
        <w:t>عليهم‌السلام</w:t>
      </w:r>
      <w:r w:rsidR="00D10E3C">
        <w:rPr>
          <w:rtl/>
          <w:lang w:bidi="fa-IR"/>
        </w:rPr>
        <w:t xml:space="preserve"> </w:t>
      </w:r>
      <w:r w:rsidR="00744A1C">
        <w:rPr>
          <w:rtl/>
          <w:lang w:bidi="fa-IR"/>
        </w:rPr>
        <w:t>، ضمن أدعية شهر رمضان ، من قوله : « الل</w:t>
      </w:r>
      <w:r w:rsidR="00CA02D1">
        <w:rPr>
          <w:rFonts w:hint="cs"/>
          <w:rtl/>
          <w:lang w:bidi="fa-IR"/>
        </w:rPr>
        <w:t>ّ</w:t>
      </w:r>
      <w:r w:rsidR="00744A1C">
        <w:rPr>
          <w:rtl/>
          <w:lang w:bidi="fa-IR"/>
        </w:rPr>
        <w:t>همّ إنّك أعلمت سبيلاً ». تفسير</w:t>
      </w:r>
      <w:r w:rsidR="00CA02D1">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66392A">
      <w:pPr>
        <w:pStyle w:val="Heading2Center"/>
        <w:rPr>
          <w:rtl/>
          <w:lang w:bidi="fa-IR"/>
        </w:rPr>
      </w:pPr>
      <w:bookmarkStart w:id="109" w:name="_Toc49261407"/>
      <w:r>
        <w:rPr>
          <w:rtl/>
          <w:lang w:bidi="fa-IR"/>
        </w:rPr>
        <w:t xml:space="preserve">21 - بَابُ الشِّعَارِ </w:t>
      </w:r>
      <w:r w:rsidRPr="00D10E3C">
        <w:rPr>
          <w:rStyle w:val="libFootnotenumChar"/>
          <w:rtl/>
        </w:rPr>
        <w:t>(1)</w:t>
      </w:r>
      <w:bookmarkEnd w:id="109"/>
    </w:p>
    <w:p w:rsidR="00144FA6" w:rsidRDefault="00744A1C" w:rsidP="00744A1C">
      <w:pPr>
        <w:pStyle w:val="libNormal"/>
        <w:rPr>
          <w:rtl/>
          <w:lang w:bidi="fa-IR"/>
        </w:rPr>
      </w:pPr>
      <w:r>
        <w:rPr>
          <w:rtl/>
          <w:lang w:bidi="fa-IR"/>
        </w:rPr>
        <w:t>8280 / 1. عَلِيُّ بْنُ إِبْرَاهِيمَ ، عَنْ أَبِيهِ ، عَنْ أَحْمَدَ بْنِ مُحَمَّدِ بْنِ أَبِي نَصْرٍ ، عَنْ مُعَاوِيَةَ بْنِ عَمَّارٍ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شِعَارُنَا : يَا مُحَمَّدُ يَا مُحَمَّدُ </w:t>
      </w:r>
      <w:r w:rsidRPr="00D10E3C">
        <w:rPr>
          <w:rStyle w:val="libFootnotenumChar"/>
          <w:rtl/>
        </w:rPr>
        <w:t>(2)</w:t>
      </w:r>
      <w:r>
        <w:rPr>
          <w:rtl/>
          <w:lang w:bidi="fa-IR"/>
        </w:rPr>
        <w:t xml:space="preserve"> ؛ وَشِعَارُنَا يَوْمَ بَدْرٍ : يَا نَصْرَ اللهِ اقْتَرِبْ اقْتَرِبْ </w:t>
      </w:r>
      <w:r w:rsidRPr="00D10E3C">
        <w:rPr>
          <w:rStyle w:val="libFootnotenumChar"/>
          <w:rtl/>
        </w:rPr>
        <w:t>(3)</w:t>
      </w:r>
      <w:r>
        <w:rPr>
          <w:rtl/>
          <w:lang w:bidi="fa-IR"/>
        </w:rPr>
        <w:t xml:space="preserve"> ؛ وَشِعَارُ الْمُسْلِمِينَ يَوْمَ أُحُدٍ : يَا نَصْرَ اللهِ اقْتَرِبْ </w:t>
      </w:r>
      <w:r w:rsidRPr="00D10E3C">
        <w:rPr>
          <w:rStyle w:val="libFootnotenumChar"/>
          <w:rtl/>
        </w:rPr>
        <w:t>(4)</w:t>
      </w:r>
      <w:r>
        <w:rPr>
          <w:rtl/>
          <w:lang w:bidi="fa-IR"/>
        </w:rPr>
        <w:t xml:space="preserve"> ؛ وَيَوْمَ بَنِي النَّضِيرِ </w:t>
      </w:r>
      <w:r w:rsidRPr="00D10E3C">
        <w:rPr>
          <w:rStyle w:val="libFootnotenumChar"/>
          <w:rtl/>
        </w:rPr>
        <w:t>(5)</w:t>
      </w:r>
      <w:r>
        <w:rPr>
          <w:rtl/>
          <w:lang w:bidi="fa-IR"/>
        </w:rPr>
        <w:t xml:space="preserve"> : يَا رُوحَ الْقُدُسِ أَرِحْ ؛ وَيَوْمَ بَنِي قَيْنُقَاعَ : يَا رَبَّنَا لَايَغْلِبَنَّكَ ؛ وَيَوْمَ الطَّائِفِ : يَا رِضْوَانُ ؛ وَشِعَارُ يَوْمِ حُنَيْنٍ : يَا بَنِي عَبْدِ اللهِ يَا بَنِي عَبْدِ اللهِ ؛ وَيَوْمِ الْأَحْزَابِ : حم لَا يُبْصِرُونَ ؛ وَيَوْمِ بَنِي قُرَيْظَةَ : يَا سَلَامُ أَسْلِمْهُمْ ؛ وَيَوْمِ الْمُرَيْسِيعِ </w:t>
      </w:r>
      <w:r w:rsidRPr="00D10E3C">
        <w:rPr>
          <w:rStyle w:val="libFootnotenumChar"/>
          <w:rtl/>
        </w:rPr>
        <w:t>(6)</w:t>
      </w:r>
      <w:r>
        <w:rPr>
          <w:rtl/>
          <w:lang w:bidi="fa-IR"/>
        </w:rPr>
        <w:t xml:space="preserve"> - وَهُوَ يَوْمُ </w:t>
      </w:r>
      <w:r w:rsidRPr="00D10E3C">
        <w:rPr>
          <w:rStyle w:val="libFootnotenumChar"/>
          <w:rtl/>
        </w:rPr>
        <w:t>(7)</w:t>
      </w:r>
      <w:r>
        <w:rPr>
          <w:rtl/>
          <w:lang w:bidi="fa-IR"/>
        </w:rPr>
        <w:t xml:space="preserve"> بَنِي الْمُصْطَلِقِ - : أَلَا إِلَى اللهِ الْأَمْرُ ؛ وَيَوْمِ الْحُدَيْبِيَةِ : أَلَا لَعْنَةُ اللهِ عَلَى الظَّالِمِينَ ؛ وَيَوْمِ خَيْبَرَ يَوْمِ الْقَمُوصِ </w:t>
      </w:r>
      <w:r w:rsidRPr="00D10E3C">
        <w:rPr>
          <w:rStyle w:val="libFootnotenumChar"/>
          <w:rtl/>
        </w:rPr>
        <w:t>(8)</w:t>
      </w:r>
      <w:r>
        <w:rPr>
          <w:rtl/>
          <w:lang w:bidi="fa-IR"/>
        </w:rPr>
        <w:t xml:space="preserve"> : يَا عَلِيُّ ، آتِهِمْ مِنْ عَلُ </w:t>
      </w:r>
      <w:r w:rsidRPr="00D10E3C">
        <w:rPr>
          <w:rStyle w:val="libFootnotenumChar"/>
          <w:rtl/>
        </w:rPr>
        <w:t>(9)</w:t>
      </w:r>
      <w:r>
        <w:rPr>
          <w:rtl/>
          <w:lang w:bidi="fa-IR"/>
        </w:rPr>
        <w:t xml:space="preserve"> ؛ وَيَوْمِ الْفَتْحِ : نَحْنُ عِبَادُ اللهِ حَقّاً حَقّاً ؛</w:t>
      </w:r>
    </w:p>
    <w:p w:rsidR="00744A1C" w:rsidRDefault="00744A1C" w:rsidP="00D10E3C">
      <w:pPr>
        <w:pStyle w:val="libLine"/>
        <w:rPr>
          <w:lang w:bidi="fa-IR"/>
        </w:rPr>
      </w:pPr>
      <w:r>
        <w:rPr>
          <w:rtl/>
          <w:lang w:bidi="fa-IR"/>
        </w:rPr>
        <w:t>____________________</w:t>
      </w:r>
    </w:p>
    <w:p w:rsidR="00744A1C" w:rsidRDefault="0066392A" w:rsidP="00D10E3C">
      <w:pPr>
        <w:pStyle w:val="libFootnote0"/>
        <w:rPr>
          <w:lang w:bidi="fa-IR"/>
        </w:rPr>
      </w:pPr>
      <w:r>
        <w:rPr>
          <w:rFonts w:hint="cs"/>
          <w:rtl/>
          <w:lang w:bidi="fa-IR"/>
        </w:rPr>
        <w:t xml:space="preserve">= </w:t>
      </w:r>
      <w:r w:rsidR="00744A1C">
        <w:rPr>
          <w:rtl/>
          <w:lang w:bidi="fa-IR"/>
        </w:rPr>
        <w:t xml:space="preserve">العيّاشي ، ج 2 ، ص 113 ، ح 143 ، عن عبد الله بن ميمون القدّاح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ولا مبدّلاً تبديلاً » </w:t>
      </w:r>
      <w:r>
        <w:rPr>
          <w:rFonts w:hint="cs"/>
          <w:rtl/>
          <w:lang w:bidi="fa-IR"/>
        </w:rPr>
        <w:t>.</w:t>
      </w:r>
      <w:r w:rsidR="00744A1C" w:rsidRPr="00C24F9C">
        <w:rPr>
          <w:rStyle w:val="libFootnoteBoldChar"/>
          <w:rtl/>
        </w:rPr>
        <w:t>الوافي</w:t>
      </w:r>
      <w:r w:rsidR="00744A1C">
        <w:rPr>
          <w:rtl/>
          <w:lang w:bidi="fa-IR"/>
        </w:rPr>
        <w:t xml:space="preserve"> ، ج 15 ، ص 115 ، ح 14764 ؛ </w:t>
      </w:r>
      <w:r w:rsidR="00744A1C" w:rsidRPr="0066392A">
        <w:rPr>
          <w:rtl/>
        </w:rPr>
        <w:t>الوسائل</w:t>
      </w:r>
      <w:r w:rsidR="00744A1C">
        <w:rPr>
          <w:rtl/>
          <w:lang w:bidi="fa-IR"/>
        </w:rPr>
        <w:t xml:space="preserve"> ، ج 15 ، ص 136 ، ح 20158 ؛ </w:t>
      </w:r>
      <w:r w:rsidR="00744A1C" w:rsidRPr="0061079A">
        <w:rPr>
          <w:rStyle w:val="libFootnoteBoldChar"/>
          <w:rtl/>
        </w:rPr>
        <w:t>البحار</w:t>
      </w:r>
      <w:r w:rsidR="00744A1C">
        <w:rPr>
          <w:rtl/>
          <w:lang w:bidi="fa-IR"/>
        </w:rPr>
        <w:t xml:space="preserve"> ، ج 33 ، ص 452 ، ح 664.</w:t>
      </w:r>
    </w:p>
    <w:p w:rsidR="00744A1C" w:rsidRDefault="00D10E3C" w:rsidP="00D10E3C">
      <w:pPr>
        <w:pStyle w:val="libFootnote0"/>
        <w:rPr>
          <w:lang w:bidi="fa-IR"/>
        </w:rPr>
      </w:pPr>
      <w:r>
        <w:rPr>
          <w:rtl/>
          <w:lang w:bidi="fa-IR"/>
        </w:rPr>
        <w:t>(1).</w:t>
      </w:r>
      <w:r w:rsidR="00744A1C">
        <w:rPr>
          <w:rtl/>
          <w:lang w:bidi="fa-IR"/>
        </w:rPr>
        <w:t xml:space="preserve"> في « بث ، بح ، جد » : - « الشعار ». وفي « بف » : « باب شعار الغزاة ». وشِعار الناس في الحرب : علامتهم ؛ ليعرف بعضهم بعضاً. </w:t>
      </w:r>
      <w:r w:rsidR="00744A1C" w:rsidRPr="00E978C3">
        <w:rPr>
          <w:rStyle w:val="libFootnoteBoldChar"/>
          <w:rtl/>
        </w:rPr>
        <w:t>الصحاح</w:t>
      </w:r>
      <w:r w:rsidR="00744A1C">
        <w:rPr>
          <w:rtl/>
          <w:lang w:bidi="fa-IR"/>
        </w:rPr>
        <w:t xml:space="preserve"> ، ج 2 ، ص 699 ( شعر ).</w:t>
      </w:r>
    </w:p>
    <w:tbl>
      <w:tblPr>
        <w:tblStyle w:val="TableGrid"/>
        <w:bidiVisual/>
        <w:tblW w:w="0" w:type="auto"/>
        <w:tblLook w:val="04A0" w:firstRow="1" w:lastRow="0" w:firstColumn="1" w:lastColumn="0" w:noHBand="0" w:noVBand="1"/>
      </w:tblPr>
      <w:tblGrid>
        <w:gridCol w:w="4006"/>
        <w:gridCol w:w="4006"/>
      </w:tblGrid>
      <w:tr w:rsidR="0066392A" w:rsidTr="0066392A">
        <w:tc>
          <w:tcPr>
            <w:tcW w:w="4006" w:type="dxa"/>
          </w:tcPr>
          <w:p w:rsidR="0066392A" w:rsidRDefault="0066392A" w:rsidP="00E378DD">
            <w:pPr>
              <w:pStyle w:val="libFootnote0"/>
              <w:rPr>
                <w:rtl/>
                <w:lang w:bidi="fa-IR"/>
              </w:rPr>
            </w:pPr>
            <w:r>
              <w:rPr>
                <w:rtl/>
                <w:lang w:bidi="fa-IR"/>
              </w:rPr>
              <w:t>(2). في « جن » : + « يا محمّد ».</w:t>
            </w:r>
          </w:p>
        </w:tc>
        <w:tc>
          <w:tcPr>
            <w:tcW w:w="4006" w:type="dxa"/>
          </w:tcPr>
          <w:p w:rsidR="0066392A" w:rsidRDefault="0066392A" w:rsidP="00E378DD">
            <w:pPr>
              <w:pStyle w:val="libFootnote0"/>
              <w:rPr>
                <w:rtl/>
                <w:lang w:bidi="fa-IR"/>
              </w:rPr>
            </w:pPr>
            <w:r>
              <w:rPr>
                <w:rtl/>
                <w:lang w:bidi="fa-IR"/>
              </w:rPr>
              <w:t>(3). في « بف » و</w:t>
            </w:r>
            <w:r w:rsidRPr="00C24F9C">
              <w:rPr>
                <w:rStyle w:val="libFootnoteBoldChar"/>
                <w:rtl/>
              </w:rPr>
              <w:t>الوسائل</w:t>
            </w:r>
            <w:r>
              <w:rPr>
                <w:rtl/>
                <w:lang w:bidi="fa-IR"/>
              </w:rPr>
              <w:t xml:space="preserve"> : - « اقترب ».</w:t>
            </w:r>
          </w:p>
        </w:tc>
      </w:tr>
    </w:tbl>
    <w:p w:rsidR="00744A1C" w:rsidRDefault="00E378DD" w:rsidP="00E378DD">
      <w:pPr>
        <w:pStyle w:val="libFootnote0"/>
        <w:rPr>
          <w:lang w:bidi="fa-IR"/>
        </w:rPr>
      </w:pPr>
      <w:r>
        <w:rPr>
          <w:rtl/>
          <w:lang w:bidi="fa-IR"/>
        </w:rPr>
        <w:t>(4).</w:t>
      </w:r>
      <w:r w:rsidR="00744A1C">
        <w:rPr>
          <w:rtl/>
          <w:lang w:bidi="fa-IR"/>
        </w:rPr>
        <w:t xml:space="preserve"> في « بح » : + « اقترب ».</w:t>
      </w:r>
    </w:p>
    <w:p w:rsidR="00744A1C" w:rsidRDefault="00E378DD" w:rsidP="00E378DD">
      <w:pPr>
        <w:pStyle w:val="libFootnote0"/>
        <w:rPr>
          <w:lang w:bidi="fa-IR"/>
        </w:rPr>
      </w:pPr>
      <w:r>
        <w:rPr>
          <w:rtl/>
          <w:lang w:bidi="fa-IR"/>
        </w:rPr>
        <w:t>(5).</w:t>
      </w:r>
      <w:r w:rsidR="00744A1C">
        <w:rPr>
          <w:rtl/>
          <w:lang w:bidi="fa-IR"/>
        </w:rPr>
        <w:t xml:space="preserve"> بنو نضير وبنو قَينُقاع ، بَطنان من يهود المدينة. راجع : </w:t>
      </w:r>
      <w:r w:rsidR="00744A1C" w:rsidRPr="00877682">
        <w:rPr>
          <w:rStyle w:val="libFootnoteBoldChar"/>
          <w:rtl/>
        </w:rPr>
        <w:t>النهاية</w:t>
      </w:r>
      <w:r w:rsidR="00744A1C">
        <w:rPr>
          <w:rtl/>
          <w:lang w:bidi="fa-IR"/>
        </w:rPr>
        <w:t xml:space="preserve"> ، ج 4 ، ص 136 ( قينقاع ) ؛ </w:t>
      </w:r>
      <w:r w:rsidR="00744A1C" w:rsidRPr="00877682">
        <w:rPr>
          <w:rStyle w:val="libFootnoteBoldChar"/>
          <w:rtl/>
        </w:rPr>
        <w:t>لسان العرب</w:t>
      </w:r>
      <w:r w:rsidR="00744A1C">
        <w:rPr>
          <w:rtl/>
          <w:lang w:bidi="fa-IR"/>
        </w:rPr>
        <w:t xml:space="preserve"> ، ج 5 ، ص 214 ( نضر ).</w:t>
      </w:r>
    </w:p>
    <w:p w:rsidR="00744A1C" w:rsidRDefault="00E378DD" w:rsidP="00E378DD">
      <w:pPr>
        <w:pStyle w:val="libFootnote0"/>
        <w:rPr>
          <w:lang w:bidi="fa-IR"/>
        </w:rPr>
      </w:pPr>
      <w:r>
        <w:rPr>
          <w:rtl/>
          <w:lang w:bidi="fa-IR"/>
        </w:rPr>
        <w:t>(6).</w:t>
      </w:r>
      <w:r w:rsidR="00744A1C">
        <w:rPr>
          <w:rtl/>
          <w:lang w:bidi="fa-IR"/>
        </w:rPr>
        <w:t xml:space="preserve"> في </w:t>
      </w:r>
      <w:r w:rsidR="00744A1C" w:rsidRPr="00000BDF">
        <w:rPr>
          <w:rtl/>
        </w:rPr>
        <w:t>الوافي</w:t>
      </w:r>
      <w:r w:rsidR="00744A1C">
        <w:rPr>
          <w:rtl/>
          <w:lang w:bidi="fa-IR"/>
        </w:rPr>
        <w:t xml:space="preserve"> : « المريسع ». و « المُرَيْسيع » مصغّر مرسوع : بئر أو ماء لخزاعة على يوم من الفرع ، وإليه تضاف‌غزوة بني المصطلق. </w:t>
      </w:r>
      <w:r w:rsidR="00744A1C" w:rsidRPr="008A57EB">
        <w:rPr>
          <w:rStyle w:val="libFootnoteBoldChar"/>
          <w:rtl/>
        </w:rPr>
        <w:t>القاموس المحيط</w:t>
      </w:r>
      <w:r w:rsidR="00744A1C">
        <w:rPr>
          <w:rtl/>
          <w:lang w:bidi="fa-IR"/>
        </w:rPr>
        <w:t xml:space="preserve"> ، ج 2 ، ص 968 ( رسع ).</w:t>
      </w:r>
    </w:p>
    <w:p w:rsidR="00744A1C" w:rsidRDefault="00E378DD" w:rsidP="00E378DD">
      <w:pPr>
        <w:pStyle w:val="libFootnote0"/>
        <w:rPr>
          <w:lang w:bidi="fa-IR"/>
        </w:rPr>
      </w:pPr>
      <w:r>
        <w:rPr>
          <w:rtl/>
          <w:lang w:bidi="fa-IR"/>
        </w:rPr>
        <w:t>(7).</w:t>
      </w:r>
      <w:r w:rsidR="00744A1C">
        <w:rPr>
          <w:rtl/>
          <w:lang w:bidi="fa-IR"/>
        </w:rPr>
        <w:t xml:space="preserve"> في « بف » : + « على ».</w:t>
      </w:r>
    </w:p>
    <w:p w:rsidR="00744A1C" w:rsidRDefault="00E378DD" w:rsidP="00E378DD">
      <w:pPr>
        <w:pStyle w:val="libFootnote0"/>
        <w:rPr>
          <w:lang w:bidi="fa-IR"/>
        </w:rPr>
      </w:pPr>
      <w:r>
        <w:rPr>
          <w:rtl/>
          <w:lang w:bidi="fa-IR"/>
        </w:rPr>
        <w:t>(8).</w:t>
      </w:r>
      <w:r w:rsidR="00744A1C">
        <w:rPr>
          <w:rtl/>
          <w:lang w:bidi="fa-IR"/>
        </w:rPr>
        <w:t xml:space="preserve"> « القَموص » : جبل بخيبر ، عليه حصن أبي الحقيق اليهودي. </w:t>
      </w:r>
      <w:r w:rsidR="00744A1C" w:rsidRPr="008A57EB">
        <w:rPr>
          <w:rStyle w:val="libFootnoteBoldChar"/>
          <w:rtl/>
        </w:rPr>
        <w:t>القاموس المحيط</w:t>
      </w:r>
      <w:r w:rsidR="00402829">
        <w:rPr>
          <w:rtl/>
          <w:lang w:bidi="fa-IR"/>
        </w:rPr>
        <w:t xml:space="preserve"> ، ج 1 ، ص 852 ( قمص</w:t>
      </w:r>
      <w:r w:rsidR="00744A1C">
        <w:rPr>
          <w:rtl/>
          <w:lang w:bidi="fa-IR"/>
        </w:rPr>
        <w:t>).</w:t>
      </w:r>
    </w:p>
    <w:p w:rsidR="00744A1C" w:rsidRDefault="00E378DD" w:rsidP="00E378DD">
      <w:pPr>
        <w:pStyle w:val="libFootnote0"/>
        <w:rPr>
          <w:lang w:bidi="fa-IR"/>
        </w:rPr>
      </w:pPr>
      <w:r>
        <w:rPr>
          <w:rtl/>
          <w:lang w:bidi="fa-IR"/>
        </w:rPr>
        <w:t>(9).</w:t>
      </w:r>
      <w:r w:rsidR="00744A1C">
        <w:rPr>
          <w:rtl/>
          <w:lang w:bidi="fa-IR"/>
        </w:rPr>
        <w:t xml:space="preserve"> يقال : أتَيْتُه من عل - بكسر اللام وضمّها - أي من عال وفوق. راجع : </w:t>
      </w:r>
      <w:r w:rsidR="00744A1C" w:rsidRPr="008A57EB">
        <w:rPr>
          <w:rStyle w:val="libFootnoteBoldChar"/>
          <w:rtl/>
        </w:rPr>
        <w:t>القاموس المحيط</w:t>
      </w:r>
      <w:r w:rsidR="00744A1C">
        <w:rPr>
          <w:rtl/>
          <w:lang w:bidi="fa-IR"/>
        </w:rPr>
        <w:t xml:space="preserve"> ، ج 2 ، ص 1723 ( علو ).</w:t>
      </w:r>
    </w:p>
    <w:p w:rsidR="006A5060" w:rsidRDefault="006A5060" w:rsidP="00D10E3C">
      <w:pPr>
        <w:pStyle w:val="libNormal"/>
        <w:rPr>
          <w:rtl/>
          <w:lang w:bidi="fa-IR"/>
        </w:rPr>
      </w:pPr>
      <w:r>
        <w:rPr>
          <w:rtl/>
          <w:lang w:bidi="fa-IR"/>
        </w:rPr>
        <w:br w:type="page"/>
      </w:r>
    </w:p>
    <w:p w:rsidR="00144FA6" w:rsidRDefault="00744A1C" w:rsidP="00402829">
      <w:pPr>
        <w:pStyle w:val="libNormal0"/>
        <w:rPr>
          <w:rtl/>
          <w:lang w:bidi="fa-IR"/>
        </w:rPr>
      </w:pPr>
      <w:r>
        <w:rPr>
          <w:rtl/>
          <w:lang w:bidi="fa-IR"/>
        </w:rPr>
        <w:t xml:space="preserve">وَيَوْمِ تَبُوكَ : يَا أَحَدُ يَا صَمَدُ ؛ وَيَوْمِ بَنِي الْمَلُوحِ : أَمِتْ أَمِتْ ؛ وَيَوْمِ صِفِّينَ : يَا نَصْرَ اللهِ ؛ وَشِعَارُ الْحُسَيْنِ </w:t>
      </w:r>
      <w:r w:rsidR="0061079A" w:rsidRPr="0061079A">
        <w:rPr>
          <w:rStyle w:val="libAlaemChar"/>
          <w:rtl/>
        </w:rPr>
        <w:t>عليه‌السلام</w:t>
      </w:r>
      <w:r w:rsidR="00D10E3C">
        <w:rPr>
          <w:rtl/>
          <w:lang w:bidi="fa-IR"/>
        </w:rPr>
        <w:t xml:space="preserve"> </w:t>
      </w:r>
      <w:r>
        <w:rPr>
          <w:rtl/>
          <w:lang w:bidi="fa-IR"/>
        </w:rPr>
        <w:t xml:space="preserve">: يَا مُحَمَّدُ ؛ وَشِعَارُنَا </w:t>
      </w:r>
      <w:r w:rsidRPr="00D10E3C">
        <w:rPr>
          <w:rStyle w:val="libFootnotenumChar"/>
          <w:rtl/>
        </w:rPr>
        <w:t>(1)</w:t>
      </w:r>
      <w:r>
        <w:rPr>
          <w:rtl/>
          <w:lang w:bidi="fa-IR"/>
        </w:rPr>
        <w:t xml:space="preserve"> : يَا مُحَمَّدُ ». </w:t>
      </w:r>
      <w:r w:rsidRPr="00D10E3C">
        <w:rPr>
          <w:rStyle w:val="libFootnotenumChar"/>
          <w:rtl/>
        </w:rPr>
        <w:t>(2)</w:t>
      </w:r>
    </w:p>
    <w:p w:rsidR="00144FA6" w:rsidRDefault="00744A1C" w:rsidP="00744A1C">
      <w:pPr>
        <w:pStyle w:val="libNormal"/>
        <w:rPr>
          <w:rtl/>
          <w:lang w:bidi="fa-IR"/>
        </w:rPr>
      </w:pPr>
      <w:r>
        <w:rPr>
          <w:rtl/>
          <w:lang w:bidi="fa-IR"/>
        </w:rPr>
        <w:t>8281 / 2. عَلِيٌّ ، عَنْ أَبِيهِ ، عَنْ بَعْضِ أَصْحَابِهِ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قَدِمَ أُنَاسٌ </w:t>
      </w:r>
      <w:r w:rsidRPr="00D10E3C">
        <w:rPr>
          <w:rStyle w:val="libFootnotenumChar"/>
          <w:rtl/>
        </w:rPr>
        <w:t>(3)</w:t>
      </w:r>
      <w:r>
        <w:rPr>
          <w:rtl/>
          <w:lang w:bidi="fa-IR"/>
        </w:rPr>
        <w:t xml:space="preserve"> مِنْ مُزَيْنَةَ </w:t>
      </w:r>
      <w:r w:rsidRPr="00D10E3C">
        <w:rPr>
          <w:rStyle w:val="libFootnotenumChar"/>
          <w:rtl/>
        </w:rPr>
        <w:t>(4)</w:t>
      </w:r>
      <w:r>
        <w:rPr>
          <w:rtl/>
          <w:lang w:bidi="fa-IR"/>
        </w:rPr>
        <w:t xml:space="preserve"> عَلَى النَّبِيِّ </w:t>
      </w:r>
      <w:r w:rsidR="0017097C" w:rsidRPr="0017097C">
        <w:rPr>
          <w:rStyle w:val="libAlaemChar"/>
          <w:rtl/>
        </w:rPr>
        <w:t>صلى‌الله‌عليه‌وآله</w:t>
      </w:r>
      <w:r w:rsidR="00D10E3C">
        <w:rPr>
          <w:rtl/>
          <w:lang w:bidi="fa-IR"/>
        </w:rPr>
        <w:t xml:space="preserve"> </w:t>
      </w:r>
      <w:r>
        <w:rPr>
          <w:rtl/>
          <w:lang w:bidi="fa-IR"/>
        </w:rPr>
        <w:t xml:space="preserve"> ، فَقَالَ : مَا شِعَارُكُمْ؟ قَالُوا : حَرَامٌ ، قَالَ : بَلْ شِعَارُكُمْ : حَلَالٌ ». </w:t>
      </w:r>
      <w:r w:rsidRPr="00D10E3C">
        <w:rPr>
          <w:rStyle w:val="libFootnotenumChar"/>
          <w:rtl/>
        </w:rPr>
        <w:t>(5)</w:t>
      </w:r>
    </w:p>
    <w:p w:rsidR="00144FA6" w:rsidRDefault="00744A1C" w:rsidP="00744A1C">
      <w:pPr>
        <w:pStyle w:val="libNormal"/>
        <w:rPr>
          <w:rtl/>
          <w:lang w:bidi="fa-IR"/>
        </w:rPr>
      </w:pPr>
      <w:r>
        <w:rPr>
          <w:rtl/>
          <w:lang w:bidi="fa-IR"/>
        </w:rPr>
        <w:t xml:space="preserve">8282 / 3. وَرُوِيَ أَيْضاً : أَنَّ شِعَارَ الْمُسْلِمِينَ يَوْمَ بَدْرٍ : يَا مَنْصُورُ أَمِتْ ؛ وَشِعَارَ </w:t>
      </w:r>
      <w:r w:rsidRPr="00D10E3C">
        <w:rPr>
          <w:rStyle w:val="libFootnotenumChar"/>
          <w:rtl/>
        </w:rPr>
        <w:t>(6)</w:t>
      </w:r>
      <w:r>
        <w:rPr>
          <w:rtl/>
          <w:lang w:bidi="fa-IR"/>
        </w:rPr>
        <w:t xml:space="preserve"> يَوْمِ </w:t>
      </w:r>
      <w:r w:rsidRPr="00D10E3C">
        <w:rPr>
          <w:rStyle w:val="libFootnotenumChar"/>
          <w:rtl/>
        </w:rPr>
        <w:t>(7)</w:t>
      </w:r>
      <w:r>
        <w:rPr>
          <w:rtl/>
          <w:lang w:bidi="fa-IR"/>
        </w:rPr>
        <w:t xml:space="preserve"> أُحُدٍ لِلْمُهَاجِرِينَ </w:t>
      </w:r>
      <w:r w:rsidRPr="00D10E3C">
        <w:rPr>
          <w:rStyle w:val="libFootnotenumChar"/>
          <w:rtl/>
        </w:rPr>
        <w:t>(8)</w:t>
      </w:r>
      <w:r>
        <w:rPr>
          <w:rtl/>
          <w:lang w:bidi="fa-IR"/>
        </w:rPr>
        <w:t xml:space="preserve"> : يَا بَنِي عَبْدِ اللهِ يَا بَنِي عَبْدِ الرَّحْمنِ ؛ وَلِلْأَوْسِ </w:t>
      </w:r>
      <w:r w:rsidRPr="00D10E3C">
        <w:rPr>
          <w:rStyle w:val="libFootnotenumChar"/>
          <w:rtl/>
        </w:rPr>
        <w:t>(9)</w:t>
      </w:r>
      <w:r>
        <w:rPr>
          <w:rtl/>
          <w:lang w:bidi="fa-IR"/>
        </w:rPr>
        <w:t xml:space="preserve"> : يَا بَنِي عَبْدِ اللهِ. </w:t>
      </w:r>
      <w:r w:rsidRPr="00D10E3C">
        <w:rPr>
          <w:rStyle w:val="libFootnotenumChar"/>
          <w:rtl/>
        </w:rPr>
        <w:t>(10)</w:t>
      </w:r>
    </w:p>
    <w:p w:rsidR="00744A1C" w:rsidRDefault="00744A1C" w:rsidP="00000BDF">
      <w:pPr>
        <w:pStyle w:val="Heading2Center"/>
        <w:rPr>
          <w:lang w:bidi="fa-IR"/>
        </w:rPr>
      </w:pPr>
      <w:bookmarkStart w:id="110" w:name="_Toc49261408"/>
      <w:r>
        <w:rPr>
          <w:rtl/>
          <w:lang w:bidi="fa-IR"/>
        </w:rPr>
        <w:t>22 - بَابُ فَضْلِ ارْتِبَاطِ الْخَيْلِ وَإِجْرَائِهَا وَالرَّمْيِ‌</w:t>
      </w:r>
      <w:bookmarkEnd w:id="110"/>
    </w:p>
    <w:p w:rsidR="00144FA6" w:rsidRDefault="00744A1C" w:rsidP="00744A1C">
      <w:pPr>
        <w:pStyle w:val="libNormal"/>
        <w:rPr>
          <w:rtl/>
          <w:lang w:bidi="fa-IR"/>
        </w:rPr>
      </w:pPr>
      <w:r>
        <w:rPr>
          <w:rtl/>
          <w:lang w:bidi="fa-IR"/>
        </w:rPr>
        <w:t xml:space="preserve">8283 / 1. عِدَّةٌ مِنْ أَصْحَابِنَا ، عَنْ أَحْمَدَ بْنِ مُحَمَّدٍ ، عَنْ غَيْرِ وَاحِدٍ </w:t>
      </w:r>
      <w:r w:rsidR="00000BDF">
        <w:rPr>
          <w:rtl/>
          <w:lang w:bidi="fa-IR"/>
        </w:rPr>
        <w:t>، عَنْ أَبَانٍ ، عَنْ زُرَارَةَ</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 « وشعار ».</w:t>
      </w:r>
    </w:p>
    <w:p w:rsidR="00744A1C" w:rsidRDefault="00E378DD" w:rsidP="00000BDF">
      <w:pPr>
        <w:pStyle w:val="libFootnote0"/>
        <w:rPr>
          <w:lang w:bidi="fa-IR"/>
        </w:rPr>
      </w:pPr>
      <w:r>
        <w:rPr>
          <w:rtl/>
          <w:lang w:bidi="fa-IR"/>
        </w:rPr>
        <w:t>(2).</w:t>
      </w:r>
      <w:r w:rsidR="00744A1C">
        <w:rPr>
          <w:rtl/>
          <w:lang w:bidi="fa-IR"/>
        </w:rPr>
        <w:t xml:space="preserve"> راجع : </w:t>
      </w:r>
      <w:r w:rsidR="00744A1C" w:rsidRPr="00877682">
        <w:rPr>
          <w:rStyle w:val="libFootnoteBoldChar"/>
          <w:rtl/>
        </w:rPr>
        <w:t>الجعفريّات</w:t>
      </w:r>
      <w:r w:rsidR="00744A1C">
        <w:rPr>
          <w:rtl/>
          <w:lang w:bidi="fa-IR"/>
        </w:rPr>
        <w:t xml:space="preserve"> ، ص 84 </w:t>
      </w:r>
      <w:r w:rsidR="00000BDF">
        <w:rPr>
          <w:rFonts w:hint="cs"/>
          <w:rtl/>
          <w:lang w:bidi="fa-IR"/>
        </w:rPr>
        <w:t>.</w:t>
      </w:r>
      <w:r w:rsidR="00744A1C" w:rsidRPr="00C24F9C">
        <w:rPr>
          <w:rStyle w:val="libFootnoteBoldChar"/>
          <w:rtl/>
        </w:rPr>
        <w:t>الوافي</w:t>
      </w:r>
      <w:r w:rsidR="00744A1C">
        <w:rPr>
          <w:rtl/>
          <w:lang w:bidi="fa-IR"/>
        </w:rPr>
        <w:t xml:space="preserve"> ، ج 15 ، ص 117 ، ح 14765 ؛ </w:t>
      </w:r>
      <w:r w:rsidR="00744A1C" w:rsidRPr="00C24F9C">
        <w:rPr>
          <w:rStyle w:val="libFootnoteBoldChar"/>
          <w:rtl/>
        </w:rPr>
        <w:t>الوسائل</w:t>
      </w:r>
      <w:r w:rsidR="00744A1C">
        <w:rPr>
          <w:rtl/>
          <w:lang w:bidi="fa-IR"/>
        </w:rPr>
        <w:t xml:space="preserve"> ، ج 15 ، ص 138 ، ح 20160 ؛ </w:t>
      </w:r>
      <w:r w:rsidR="00744A1C" w:rsidRPr="0061079A">
        <w:rPr>
          <w:rStyle w:val="libFootnoteBoldChar"/>
          <w:rtl/>
        </w:rPr>
        <w:t>البحار</w:t>
      </w:r>
      <w:r w:rsidR="00744A1C">
        <w:rPr>
          <w:rtl/>
          <w:lang w:bidi="fa-IR"/>
        </w:rPr>
        <w:t xml:space="preserve"> ، ج 19 ، ص 163 ، ح 1. وفيه ، ج 33 ، ص 453 ، ح 665 ، تمام الرواية هكذا : « قال : كان شعارنا يوم صفّين يا نصر الله ».</w:t>
      </w:r>
      <w:r w:rsidR="00402829">
        <w:rPr>
          <w:rFonts w:hint="cs"/>
          <w:rtl/>
          <w:lang w:bidi="fa-IR"/>
        </w:rPr>
        <w:t xml:space="preserve">           </w:t>
      </w:r>
      <w:r w:rsidR="00000BDF">
        <w:rPr>
          <w:rFonts w:hint="cs"/>
          <w:rtl/>
          <w:lang w:bidi="fa-IR"/>
        </w:rPr>
        <w:t xml:space="preserve">     </w:t>
      </w:r>
      <w:r>
        <w:rPr>
          <w:rtl/>
          <w:lang w:bidi="fa-IR"/>
        </w:rPr>
        <w:t>(3).</w:t>
      </w:r>
      <w:r w:rsidR="00744A1C">
        <w:rPr>
          <w:rtl/>
          <w:lang w:bidi="fa-IR"/>
        </w:rPr>
        <w:t xml:space="preserve"> في </w:t>
      </w:r>
      <w:r w:rsidR="00744A1C" w:rsidRPr="00000BDF">
        <w:rPr>
          <w:rtl/>
        </w:rPr>
        <w:t>الوسائل والجعفريّات</w:t>
      </w:r>
      <w:r w:rsidR="00744A1C">
        <w:rPr>
          <w:rtl/>
          <w:lang w:bidi="fa-IR"/>
        </w:rPr>
        <w:t xml:space="preserve"> : « ناس ».</w:t>
      </w:r>
    </w:p>
    <w:p w:rsidR="00744A1C" w:rsidRDefault="00E378DD" w:rsidP="00E378DD">
      <w:pPr>
        <w:pStyle w:val="libFootnote0"/>
        <w:rPr>
          <w:lang w:bidi="fa-IR"/>
        </w:rPr>
      </w:pPr>
      <w:r>
        <w:rPr>
          <w:rtl/>
          <w:lang w:bidi="fa-IR"/>
        </w:rPr>
        <w:t>(4).</w:t>
      </w:r>
      <w:r w:rsidR="00744A1C">
        <w:rPr>
          <w:rtl/>
          <w:lang w:bidi="fa-IR"/>
        </w:rPr>
        <w:t xml:space="preserve"> « مزينة » : قبيلة من مضر ، وهو مزينة بن أد بن طابخة بن إلياس بن مضر ، والنسبة إليهم مُزَني. </w:t>
      </w:r>
      <w:r w:rsidR="00744A1C" w:rsidRPr="00E978C3">
        <w:rPr>
          <w:rStyle w:val="libFootnoteBoldChar"/>
          <w:rtl/>
        </w:rPr>
        <w:t>الصحاح</w:t>
      </w:r>
      <w:r w:rsidR="00744A1C">
        <w:rPr>
          <w:rtl/>
          <w:lang w:bidi="fa-IR"/>
        </w:rPr>
        <w:t xml:space="preserve"> ، ج 6 ، ص 2204 ( مزن ).</w:t>
      </w:r>
    </w:p>
    <w:p w:rsidR="00744A1C" w:rsidRDefault="00E378DD" w:rsidP="00E378DD">
      <w:pPr>
        <w:pStyle w:val="libFootnote0"/>
        <w:rPr>
          <w:lang w:bidi="fa-IR"/>
        </w:rPr>
      </w:pPr>
      <w:r>
        <w:rPr>
          <w:rtl/>
          <w:lang w:bidi="fa-IR"/>
        </w:rPr>
        <w:t>(5).</w:t>
      </w:r>
      <w:r w:rsidR="00744A1C">
        <w:rPr>
          <w:rtl/>
          <w:lang w:bidi="fa-IR"/>
        </w:rPr>
        <w:t xml:space="preserve"> </w:t>
      </w:r>
      <w:r w:rsidR="00744A1C" w:rsidRPr="00877682">
        <w:rPr>
          <w:rStyle w:val="libFootnoteBoldChar"/>
          <w:rtl/>
        </w:rPr>
        <w:t>الجعفريّات</w:t>
      </w:r>
      <w:r w:rsidR="00744A1C">
        <w:rPr>
          <w:rtl/>
          <w:lang w:bidi="fa-IR"/>
        </w:rPr>
        <w:t xml:space="preserve"> ، ص 84 ، بسند آخر عن جعفر بن محمّد ، عن آبائه ، عن عليّ </w:t>
      </w:r>
      <w:r w:rsidR="00877682" w:rsidRPr="00877682">
        <w:rPr>
          <w:rStyle w:val="libFootnoteAlaemChar"/>
          <w:rtl/>
        </w:rPr>
        <w:t>عليهم‌السلام</w:t>
      </w:r>
      <w:r w:rsidR="00D10E3C">
        <w:rPr>
          <w:rtl/>
          <w:lang w:bidi="fa-IR"/>
        </w:rPr>
        <w:t xml:space="preserve"> </w:t>
      </w:r>
      <w:r w:rsidR="00000BDF">
        <w:rPr>
          <w:rFonts w:hint="cs"/>
          <w:rtl/>
          <w:lang w:bidi="fa-IR"/>
        </w:rPr>
        <w:t>.</w:t>
      </w:r>
      <w:r w:rsidR="00744A1C" w:rsidRPr="00C24F9C">
        <w:rPr>
          <w:rStyle w:val="libFootnoteBoldChar"/>
          <w:rtl/>
        </w:rPr>
        <w:t>الوافي</w:t>
      </w:r>
      <w:r w:rsidR="00744A1C">
        <w:rPr>
          <w:rtl/>
          <w:lang w:bidi="fa-IR"/>
        </w:rPr>
        <w:t xml:space="preserve"> ، ج 15 ، ص 118 ، ح 14767 ؛ </w:t>
      </w:r>
      <w:r w:rsidR="00744A1C" w:rsidRPr="00C24F9C">
        <w:rPr>
          <w:rStyle w:val="libFootnoteBoldChar"/>
          <w:rtl/>
        </w:rPr>
        <w:t>الوسائل</w:t>
      </w:r>
      <w:r w:rsidR="00744A1C">
        <w:rPr>
          <w:rtl/>
          <w:lang w:bidi="fa-IR"/>
        </w:rPr>
        <w:t xml:space="preserve"> ، ج 15 ، ص 138 ، ح 20161 ؛ </w:t>
      </w:r>
      <w:r w:rsidR="00744A1C" w:rsidRPr="0061079A">
        <w:rPr>
          <w:rStyle w:val="libFootnoteBoldChar"/>
          <w:rtl/>
        </w:rPr>
        <w:t>البحار</w:t>
      </w:r>
      <w:r w:rsidR="00744A1C">
        <w:rPr>
          <w:rtl/>
          <w:lang w:bidi="fa-IR"/>
        </w:rPr>
        <w:t xml:space="preserve"> ، ج 19 ، ص 164 ، ح 2.</w:t>
      </w:r>
    </w:p>
    <w:tbl>
      <w:tblPr>
        <w:tblStyle w:val="TableGrid"/>
        <w:bidiVisual/>
        <w:tblW w:w="0" w:type="auto"/>
        <w:tblLook w:val="04A0" w:firstRow="1" w:lastRow="0" w:firstColumn="1" w:lastColumn="0" w:noHBand="0" w:noVBand="1"/>
      </w:tblPr>
      <w:tblGrid>
        <w:gridCol w:w="4006"/>
        <w:gridCol w:w="4006"/>
      </w:tblGrid>
      <w:tr w:rsidR="00000BDF" w:rsidTr="00000BDF">
        <w:tc>
          <w:tcPr>
            <w:tcW w:w="4006" w:type="dxa"/>
          </w:tcPr>
          <w:p w:rsidR="00000BDF" w:rsidRDefault="00000BDF" w:rsidP="00E378DD">
            <w:pPr>
              <w:pStyle w:val="libFootnote0"/>
              <w:rPr>
                <w:rtl/>
                <w:lang w:bidi="fa-IR"/>
              </w:rPr>
            </w:pPr>
            <w:r>
              <w:rPr>
                <w:rtl/>
                <w:lang w:bidi="fa-IR"/>
              </w:rPr>
              <w:t xml:space="preserve">(6). في </w:t>
            </w:r>
            <w:r w:rsidRPr="00000BDF">
              <w:rPr>
                <w:rtl/>
              </w:rPr>
              <w:t>الوافي :</w:t>
            </w:r>
            <w:r>
              <w:rPr>
                <w:rtl/>
                <w:lang w:bidi="fa-IR"/>
              </w:rPr>
              <w:t xml:space="preserve"> - « شعار ».</w:t>
            </w:r>
          </w:p>
        </w:tc>
        <w:tc>
          <w:tcPr>
            <w:tcW w:w="4006" w:type="dxa"/>
          </w:tcPr>
          <w:p w:rsidR="00000BDF" w:rsidRDefault="00000BDF" w:rsidP="00E378DD">
            <w:pPr>
              <w:pStyle w:val="libFootnote0"/>
              <w:rPr>
                <w:rtl/>
                <w:lang w:bidi="fa-IR"/>
              </w:rPr>
            </w:pPr>
            <w:r>
              <w:rPr>
                <w:rtl/>
                <w:lang w:bidi="fa-IR"/>
              </w:rPr>
              <w:t>(7). في « جد ، جن » : - « يوم ».</w:t>
            </w:r>
          </w:p>
        </w:tc>
      </w:tr>
    </w:tbl>
    <w:p w:rsidR="00744A1C" w:rsidRDefault="00E378DD" w:rsidP="00E378DD">
      <w:pPr>
        <w:pStyle w:val="libFootnote0"/>
        <w:rPr>
          <w:lang w:bidi="fa-IR"/>
        </w:rPr>
      </w:pPr>
      <w:r>
        <w:rPr>
          <w:rtl/>
          <w:lang w:bidi="fa-IR"/>
        </w:rPr>
        <w:t>(8).</w:t>
      </w:r>
      <w:r w:rsidR="00744A1C">
        <w:rPr>
          <w:rtl/>
          <w:lang w:bidi="fa-IR"/>
        </w:rPr>
        <w:t xml:space="preserve"> في « ى ، بف » : « المهاجرين ».</w:t>
      </w:r>
    </w:p>
    <w:p w:rsidR="00744A1C" w:rsidRDefault="00E378DD" w:rsidP="00E378DD">
      <w:pPr>
        <w:pStyle w:val="libFootnote0"/>
        <w:rPr>
          <w:lang w:bidi="fa-IR"/>
        </w:rPr>
      </w:pPr>
      <w:r>
        <w:rPr>
          <w:rtl/>
          <w:lang w:bidi="fa-IR"/>
        </w:rPr>
        <w:t>(9).</w:t>
      </w:r>
      <w:r w:rsidR="00744A1C">
        <w:rPr>
          <w:rtl/>
          <w:lang w:bidi="fa-IR"/>
        </w:rPr>
        <w:t xml:space="preserve"> في « ى ، بث ، بف » </w:t>
      </w:r>
      <w:r w:rsidR="00744A1C" w:rsidRPr="00000BDF">
        <w:rPr>
          <w:rtl/>
        </w:rPr>
        <w:t>والوسائل والجعفريّات</w:t>
      </w:r>
      <w:r w:rsidR="00744A1C">
        <w:rPr>
          <w:rtl/>
          <w:lang w:bidi="fa-IR"/>
        </w:rPr>
        <w:t xml:space="preserve"> : « والأوس ».</w:t>
      </w:r>
    </w:p>
    <w:p w:rsidR="00744A1C" w:rsidRDefault="00E378DD" w:rsidP="00E378DD">
      <w:pPr>
        <w:pStyle w:val="libFootnote0"/>
        <w:rPr>
          <w:lang w:bidi="fa-IR"/>
        </w:rPr>
      </w:pPr>
      <w:r>
        <w:rPr>
          <w:rtl/>
          <w:lang w:bidi="fa-IR"/>
        </w:rPr>
        <w:t>(10).</w:t>
      </w:r>
      <w:r w:rsidR="00744A1C">
        <w:rPr>
          <w:rtl/>
          <w:lang w:bidi="fa-IR"/>
        </w:rPr>
        <w:t xml:space="preserve"> </w:t>
      </w:r>
      <w:r w:rsidR="00744A1C" w:rsidRPr="00877682">
        <w:rPr>
          <w:rStyle w:val="libFootnoteBoldChar"/>
          <w:rtl/>
        </w:rPr>
        <w:t>الجعفريّات</w:t>
      </w:r>
      <w:r w:rsidR="00744A1C">
        <w:rPr>
          <w:rtl/>
          <w:lang w:bidi="fa-IR"/>
        </w:rPr>
        <w:t xml:space="preserve"> ، ص 84 ، بسند آخر عن جعفر بن محمّد ، عن آبائه ، عن عليّ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يسير </w:t>
      </w:r>
      <w:r w:rsidR="00000BDF">
        <w:rPr>
          <w:rFonts w:hint="cs"/>
          <w:rtl/>
          <w:lang w:bidi="fa-IR"/>
        </w:rPr>
        <w:t>.</w:t>
      </w:r>
      <w:r w:rsidR="00744A1C" w:rsidRPr="00C24F9C">
        <w:rPr>
          <w:rStyle w:val="libFootnoteBoldChar"/>
          <w:rtl/>
        </w:rPr>
        <w:t>الوافي</w:t>
      </w:r>
      <w:r w:rsidR="00744A1C">
        <w:rPr>
          <w:rtl/>
          <w:lang w:bidi="fa-IR"/>
        </w:rPr>
        <w:t xml:space="preserve"> ، ج 15 ، ص 118 ، ح 14766 ؛ </w:t>
      </w:r>
      <w:r w:rsidR="00744A1C" w:rsidRPr="00C24F9C">
        <w:rPr>
          <w:rStyle w:val="libFootnoteBoldChar"/>
          <w:rtl/>
        </w:rPr>
        <w:t>الوسائل</w:t>
      </w:r>
      <w:r w:rsidR="00744A1C">
        <w:rPr>
          <w:rtl/>
          <w:lang w:bidi="fa-IR"/>
        </w:rPr>
        <w:t xml:space="preserve"> ، ج 15 ، ص 138 ، ح 20162 ؛ </w:t>
      </w:r>
      <w:r w:rsidR="00744A1C" w:rsidRPr="0061079A">
        <w:rPr>
          <w:rStyle w:val="libFootnoteBoldChar"/>
          <w:rtl/>
        </w:rPr>
        <w:t>البحار</w:t>
      </w:r>
      <w:r w:rsidR="00744A1C">
        <w:rPr>
          <w:rtl/>
          <w:lang w:bidi="fa-IR"/>
        </w:rPr>
        <w:t xml:space="preserve"> ، ج 19 ، ص 164 ، ح 3.</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w:t>
      </w:r>
      <w:r w:rsidRPr="00D10E3C">
        <w:rPr>
          <w:rStyle w:val="libFootnotenumChar"/>
          <w:rtl/>
        </w:rPr>
        <w:t>(1)</w:t>
      </w:r>
      <w:r>
        <w:rPr>
          <w:rtl/>
          <w:lang w:bidi="fa-IR"/>
        </w:rPr>
        <w:t xml:space="preserve"> أَبِي عَبْدِ اللهِ </w:t>
      </w:r>
      <w:r w:rsidR="0061079A" w:rsidRPr="0061079A">
        <w:rPr>
          <w:rStyle w:val="libAlaemChar"/>
          <w:rtl/>
        </w:rPr>
        <w:t>عليه‌السلام</w:t>
      </w:r>
      <w:r w:rsidR="00D10E3C">
        <w:rPr>
          <w:rtl/>
          <w:lang w:bidi="fa-IR"/>
        </w:rPr>
        <w:t xml:space="preserve"> </w:t>
      </w:r>
      <w:r>
        <w:rPr>
          <w:rtl/>
          <w:lang w:bidi="fa-IR"/>
        </w:rPr>
        <w:t xml:space="preserve">، قَالَ : « إِنَّ </w:t>
      </w:r>
      <w:r w:rsidRPr="00D10E3C">
        <w:rPr>
          <w:rStyle w:val="libFootnotenumChar"/>
          <w:rtl/>
        </w:rPr>
        <w:t>(2)</w:t>
      </w:r>
      <w:r>
        <w:rPr>
          <w:rtl/>
          <w:lang w:bidi="fa-IR"/>
        </w:rPr>
        <w:t xml:space="preserve"> الْخَيْلَ كَانَتْ </w:t>
      </w:r>
      <w:r w:rsidRPr="00D10E3C">
        <w:rPr>
          <w:rStyle w:val="libFootnotenumChar"/>
          <w:rtl/>
        </w:rPr>
        <w:t>(3)</w:t>
      </w:r>
      <w:r>
        <w:rPr>
          <w:rtl/>
          <w:lang w:bidi="fa-IR"/>
        </w:rPr>
        <w:t xml:space="preserve"> وُحُوشاً فِي بِلَادِ الْعَرَبِ ، فَصَعِدَ إِبْرَاهِيمُ وَإِسْمَاعِيلُ </w:t>
      </w:r>
      <w:r w:rsidR="008859AA" w:rsidRPr="008859AA">
        <w:rPr>
          <w:rStyle w:val="libAlaemChar"/>
          <w:rtl/>
        </w:rPr>
        <w:t>عليهما‌السلام</w:t>
      </w:r>
      <w:r>
        <w:rPr>
          <w:rtl/>
          <w:lang w:bidi="fa-IR"/>
        </w:rPr>
        <w:t xml:space="preserve">عَلى جَبَلِ </w:t>
      </w:r>
      <w:r w:rsidRPr="00D10E3C">
        <w:rPr>
          <w:rStyle w:val="libFootnotenumChar"/>
          <w:rtl/>
        </w:rPr>
        <w:t>(4)</w:t>
      </w:r>
      <w:r>
        <w:rPr>
          <w:rtl/>
          <w:lang w:bidi="fa-IR"/>
        </w:rPr>
        <w:t xml:space="preserve"> جِيَادٍ </w:t>
      </w:r>
      <w:r w:rsidRPr="00D10E3C">
        <w:rPr>
          <w:rStyle w:val="libFootnotenumChar"/>
          <w:rtl/>
        </w:rPr>
        <w:t>(5)</w:t>
      </w:r>
      <w:r>
        <w:rPr>
          <w:rtl/>
          <w:lang w:bidi="fa-IR"/>
        </w:rPr>
        <w:t xml:space="preserve"> ، ثُمَّ صَاحَا </w:t>
      </w:r>
      <w:r w:rsidRPr="00D10E3C">
        <w:rPr>
          <w:rStyle w:val="libFootnotenumChar"/>
          <w:rtl/>
        </w:rPr>
        <w:t>(6)</w:t>
      </w:r>
      <w:r>
        <w:rPr>
          <w:rtl/>
          <w:lang w:bidi="fa-IR"/>
        </w:rPr>
        <w:t xml:space="preserve"> : أَلَا هَلَا </w:t>
      </w:r>
      <w:r w:rsidRPr="00D10E3C">
        <w:rPr>
          <w:rStyle w:val="libFootnotenumChar"/>
          <w:rtl/>
        </w:rPr>
        <w:t>(7)</w:t>
      </w:r>
      <w:r>
        <w:rPr>
          <w:rtl/>
          <w:lang w:bidi="fa-IR"/>
        </w:rPr>
        <w:t xml:space="preserve"> ، أَلَا هَلْ </w:t>
      </w:r>
      <w:r w:rsidRPr="00D10E3C">
        <w:rPr>
          <w:rStyle w:val="libFootnotenumChar"/>
          <w:rtl/>
        </w:rPr>
        <w:t>(8)</w:t>
      </w:r>
      <w:r>
        <w:rPr>
          <w:rtl/>
          <w:lang w:bidi="fa-IR"/>
        </w:rPr>
        <w:t xml:space="preserve"> » قَالَ </w:t>
      </w:r>
      <w:r w:rsidRPr="00D10E3C">
        <w:rPr>
          <w:rStyle w:val="libFootnotenumChar"/>
          <w:rtl/>
        </w:rPr>
        <w:t>(9)</w:t>
      </w:r>
      <w:r>
        <w:rPr>
          <w:rtl/>
          <w:lang w:bidi="fa-IR"/>
        </w:rPr>
        <w:t xml:space="preserve"> : « فَمَا بَقِيَ </w:t>
      </w:r>
      <w:r w:rsidRPr="00D10E3C">
        <w:rPr>
          <w:rStyle w:val="libFootnotenumChar"/>
          <w:rtl/>
        </w:rPr>
        <w:t>(10)</w:t>
      </w:r>
      <w:r w:rsidR="00000BDF">
        <w:rPr>
          <w:rtl/>
          <w:lang w:bidi="fa-IR"/>
        </w:rPr>
        <w:t xml:space="preserve"> فَرَسٌ إِل</w:t>
      </w:r>
      <w:r w:rsidR="00000BDF">
        <w:rPr>
          <w:rFonts w:hint="cs"/>
          <w:rtl/>
          <w:lang w:bidi="fa-IR"/>
        </w:rPr>
        <w:t>َّ</w:t>
      </w:r>
      <w:r w:rsidR="00000BDF">
        <w:rPr>
          <w:rtl/>
          <w:lang w:bidi="fa-IR"/>
        </w:rPr>
        <w:t>ا</w:t>
      </w:r>
      <w:r>
        <w:rPr>
          <w:rtl/>
          <w:lang w:bidi="fa-IR"/>
        </w:rPr>
        <w:t xml:space="preserve"> أَعْطَاهُمَا </w:t>
      </w:r>
      <w:r w:rsidRPr="00D10E3C">
        <w:rPr>
          <w:rStyle w:val="libFootnotenumChar"/>
          <w:rtl/>
        </w:rPr>
        <w:t>(11)</w:t>
      </w:r>
      <w:r>
        <w:rPr>
          <w:rtl/>
          <w:lang w:bidi="fa-IR"/>
        </w:rPr>
        <w:t xml:space="preserve"> بِيَدِهِ ، وَأَمْكَنَ مِنْ نَاصِيَتِهِ ». </w:t>
      </w:r>
      <w:r w:rsidRPr="00D10E3C">
        <w:rPr>
          <w:rStyle w:val="libFootnotenumChar"/>
          <w:rtl/>
        </w:rPr>
        <w:t>(12)</w:t>
      </w:r>
    </w:p>
    <w:p w:rsidR="00144FA6" w:rsidRDefault="00744A1C" w:rsidP="00744A1C">
      <w:pPr>
        <w:pStyle w:val="libNormal"/>
        <w:rPr>
          <w:rtl/>
          <w:lang w:bidi="fa-IR"/>
        </w:rPr>
      </w:pPr>
      <w:r>
        <w:rPr>
          <w:rtl/>
          <w:lang w:bidi="fa-IR"/>
        </w:rPr>
        <w:t xml:space="preserve">8284 / 2. عَنْهُ </w:t>
      </w:r>
      <w:r w:rsidRPr="00D10E3C">
        <w:rPr>
          <w:rStyle w:val="libFootnotenumChar"/>
          <w:rtl/>
        </w:rPr>
        <w:t>(13)</w:t>
      </w:r>
      <w:r>
        <w:rPr>
          <w:rtl/>
          <w:lang w:bidi="fa-IR"/>
        </w:rPr>
        <w:t xml:space="preserve"> ، عَنْ عَلِيِّ بْنِ الْحَكَمِ ، عَنْ عُمَرَ بْنِ أَبَانٍ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AE01C7" w:rsidRPr="00AE01C7">
        <w:rPr>
          <w:rStyle w:val="libFootnoteAlaemChar"/>
          <w:rtl/>
        </w:rPr>
        <w:t>صلى‌الله‌عليه‌وآله</w:t>
      </w:r>
      <w:r w:rsidR="00D10E3C">
        <w:rPr>
          <w:rtl/>
          <w:lang w:bidi="fa-IR"/>
        </w:rPr>
        <w:t xml:space="preserve"> </w:t>
      </w:r>
      <w:r>
        <w:rPr>
          <w:rtl/>
          <w:lang w:bidi="fa-IR"/>
        </w:rPr>
        <w:t xml:space="preserve">: الْخَيْلُ مَعْقُودٌ </w:t>
      </w:r>
      <w:r w:rsidRPr="00D10E3C">
        <w:rPr>
          <w:rStyle w:val="libFootnotenumChar"/>
          <w:rtl/>
        </w:rPr>
        <w:t>(14)</w:t>
      </w:r>
      <w:r>
        <w:rPr>
          <w:rtl/>
          <w:lang w:bidi="fa-IR"/>
        </w:rPr>
        <w:t xml:space="preserve"> فِي نَوَاصِيهَا </w:t>
      </w:r>
      <w:r w:rsidRPr="00D10E3C">
        <w:rPr>
          <w:rStyle w:val="libFootnotenumChar"/>
          <w:rtl/>
        </w:rPr>
        <w:t>(15)</w:t>
      </w:r>
      <w:r>
        <w:rPr>
          <w:rtl/>
          <w:lang w:bidi="fa-IR"/>
        </w:rPr>
        <w:t xml:space="preserve"> الْخَيْرُ إِلى يَوْمِ الْقِيَامَةِ ». </w:t>
      </w:r>
      <w:r w:rsidRPr="00D10E3C">
        <w:rPr>
          <w:rStyle w:val="libFootnotenumChar"/>
          <w:rtl/>
        </w:rPr>
        <w:t>(16)</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2821D3">
        <w:rPr>
          <w:rtl/>
        </w:rPr>
        <w:t xml:space="preserve">المحاسن </w:t>
      </w:r>
      <w:r w:rsidR="00744A1C">
        <w:rPr>
          <w:rtl/>
          <w:lang w:bidi="fa-IR"/>
        </w:rPr>
        <w:t>: « رفعه إلى » بدل « عن زرارة عن ».</w:t>
      </w:r>
    </w:p>
    <w:tbl>
      <w:tblPr>
        <w:tblStyle w:val="TableGrid"/>
        <w:bidiVisual/>
        <w:tblW w:w="0" w:type="auto"/>
        <w:tblLook w:val="04A0" w:firstRow="1" w:lastRow="0" w:firstColumn="1" w:lastColumn="0" w:noHBand="0" w:noVBand="1"/>
      </w:tblPr>
      <w:tblGrid>
        <w:gridCol w:w="4006"/>
        <w:gridCol w:w="4006"/>
      </w:tblGrid>
      <w:tr w:rsidR="002821D3" w:rsidTr="002821D3">
        <w:tc>
          <w:tcPr>
            <w:tcW w:w="4006" w:type="dxa"/>
          </w:tcPr>
          <w:p w:rsidR="002821D3" w:rsidRDefault="002821D3" w:rsidP="00E378DD">
            <w:pPr>
              <w:pStyle w:val="libFootnote0"/>
              <w:rPr>
                <w:rtl/>
                <w:lang w:bidi="fa-IR"/>
              </w:rPr>
            </w:pPr>
            <w:r>
              <w:rPr>
                <w:rtl/>
                <w:lang w:bidi="fa-IR"/>
              </w:rPr>
              <w:t>(2). في « بث » : - « إنّ ».</w:t>
            </w:r>
          </w:p>
        </w:tc>
        <w:tc>
          <w:tcPr>
            <w:tcW w:w="4006" w:type="dxa"/>
          </w:tcPr>
          <w:p w:rsidR="002821D3" w:rsidRDefault="002821D3" w:rsidP="00E378DD">
            <w:pPr>
              <w:pStyle w:val="libFootnote0"/>
              <w:rPr>
                <w:rtl/>
                <w:lang w:bidi="fa-IR"/>
              </w:rPr>
            </w:pPr>
            <w:r>
              <w:rPr>
                <w:rtl/>
                <w:lang w:bidi="fa-IR"/>
              </w:rPr>
              <w:t>(3). في</w:t>
            </w:r>
            <w:r w:rsidRPr="002821D3">
              <w:rPr>
                <w:rtl/>
              </w:rPr>
              <w:t xml:space="preserve"> البحار</w:t>
            </w:r>
            <w:r>
              <w:rPr>
                <w:rtl/>
                <w:lang w:bidi="fa-IR"/>
              </w:rPr>
              <w:t xml:space="preserve"> : « كانوا ».</w:t>
            </w:r>
          </w:p>
        </w:tc>
      </w:tr>
    </w:tbl>
    <w:p w:rsidR="00744A1C" w:rsidRDefault="00E378DD" w:rsidP="00E378DD">
      <w:pPr>
        <w:pStyle w:val="libFootnote0"/>
        <w:rPr>
          <w:lang w:bidi="fa-IR"/>
        </w:rPr>
      </w:pPr>
      <w:r>
        <w:rPr>
          <w:rtl/>
          <w:lang w:bidi="fa-IR"/>
        </w:rPr>
        <w:t>(4).</w:t>
      </w:r>
      <w:r w:rsidR="00744A1C">
        <w:rPr>
          <w:rtl/>
          <w:lang w:bidi="fa-IR"/>
        </w:rPr>
        <w:t xml:space="preserve"> في</w:t>
      </w:r>
      <w:r w:rsidR="00744A1C" w:rsidRPr="002821D3">
        <w:rPr>
          <w:rtl/>
        </w:rPr>
        <w:t xml:space="preserve"> المحاسن :</w:t>
      </w:r>
      <w:r w:rsidR="00744A1C">
        <w:rPr>
          <w:rtl/>
          <w:lang w:bidi="fa-IR"/>
        </w:rPr>
        <w:t xml:space="preserve"> - « جبل ».</w:t>
      </w:r>
    </w:p>
    <w:p w:rsidR="00744A1C" w:rsidRDefault="00E378DD" w:rsidP="00E378DD">
      <w:pPr>
        <w:pStyle w:val="libFootnote0"/>
        <w:rPr>
          <w:lang w:bidi="fa-IR"/>
        </w:rPr>
      </w:pPr>
      <w:r>
        <w:rPr>
          <w:rtl/>
          <w:lang w:bidi="fa-IR"/>
        </w:rPr>
        <w:t>(5).</w:t>
      </w:r>
      <w:r w:rsidR="00744A1C">
        <w:rPr>
          <w:rtl/>
          <w:lang w:bidi="fa-IR"/>
        </w:rPr>
        <w:t xml:space="preserve"> ما هو المعروف في اللغة : الأجياد : جبل بمكّة ، سمّي بذلك لموضع خيل تبّع ، قال ابن الأثير : « وأكثر الناس يقولونه : جِياد بحذف الهمزة وكسر الجيم ». راجع : </w:t>
      </w:r>
      <w:r w:rsidR="00744A1C" w:rsidRPr="00E978C3">
        <w:rPr>
          <w:rStyle w:val="libFootnoteBoldChar"/>
          <w:rtl/>
        </w:rPr>
        <w:t>الصحاح</w:t>
      </w:r>
      <w:r w:rsidR="00744A1C">
        <w:rPr>
          <w:rtl/>
          <w:lang w:bidi="fa-IR"/>
        </w:rPr>
        <w:t xml:space="preserve"> ، ج 2 ، ص 461 ؛ </w:t>
      </w:r>
      <w:r w:rsidR="00744A1C" w:rsidRPr="00877682">
        <w:rPr>
          <w:rStyle w:val="libFootnoteBoldChar"/>
          <w:rtl/>
        </w:rPr>
        <w:t>النهاية</w:t>
      </w:r>
      <w:r w:rsidR="00402829">
        <w:rPr>
          <w:rtl/>
          <w:lang w:bidi="fa-IR"/>
        </w:rPr>
        <w:t xml:space="preserve"> ، ج 1 ، ص 27 ( جود</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في </w:t>
      </w:r>
      <w:r w:rsidR="00744A1C" w:rsidRPr="002821D3">
        <w:rPr>
          <w:rtl/>
        </w:rPr>
        <w:t xml:space="preserve">المحاسن </w:t>
      </w:r>
      <w:r w:rsidR="00744A1C">
        <w:rPr>
          <w:rtl/>
          <w:lang w:bidi="fa-IR"/>
        </w:rPr>
        <w:t xml:space="preserve">: « فصاحا ». وفي </w:t>
      </w:r>
      <w:r w:rsidR="00744A1C" w:rsidRPr="00C24F9C">
        <w:rPr>
          <w:rStyle w:val="libFootnoteBoldChar"/>
          <w:rtl/>
        </w:rPr>
        <w:t>الفقيه</w:t>
      </w:r>
      <w:r w:rsidR="00744A1C">
        <w:rPr>
          <w:rtl/>
          <w:lang w:bidi="fa-IR"/>
        </w:rPr>
        <w:t xml:space="preserve"> : « على أبي قبيس فناديا » بدل « على جبل جياد ثمّ صاحا ».</w:t>
      </w:r>
    </w:p>
    <w:p w:rsidR="00744A1C" w:rsidRDefault="00E378DD" w:rsidP="00E378DD">
      <w:pPr>
        <w:pStyle w:val="libFootnote0"/>
        <w:rPr>
          <w:lang w:bidi="fa-IR"/>
        </w:rPr>
      </w:pPr>
      <w:r>
        <w:rPr>
          <w:rtl/>
          <w:lang w:bidi="fa-IR"/>
        </w:rPr>
        <w:t>(7).</w:t>
      </w:r>
      <w:r w:rsidR="00744A1C">
        <w:rPr>
          <w:rtl/>
          <w:lang w:bidi="fa-IR"/>
        </w:rPr>
        <w:t xml:space="preserve"> في</w:t>
      </w:r>
      <w:r w:rsidR="00744A1C" w:rsidRPr="002821D3">
        <w:rPr>
          <w:rtl/>
        </w:rPr>
        <w:t xml:space="preserve"> الوسائل</w:t>
      </w:r>
      <w:r w:rsidR="00744A1C">
        <w:rPr>
          <w:rtl/>
          <w:lang w:bidi="fa-IR"/>
        </w:rPr>
        <w:t xml:space="preserve"> : « هل ».</w:t>
      </w:r>
    </w:p>
    <w:p w:rsidR="00744A1C" w:rsidRDefault="00E378DD" w:rsidP="002821D3">
      <w:pPr>
        <w:pStyle w:val="libFootnote0"/>
        <w:rPr>
          <w:lang w:bidi="fa-IR"/>
        </w:rPr>
      </w:pPr>
      <w:r>
        <w:rPr>
          <w:rtl/>
          <w:lang w:bidi="fa-IR"/>
        </w:rPr>
        <w:t>(8).</w:t>
      </w:r>
      <w:r w:rsidR="00744A1C">
        <w:rPr>
          <w:rtl/>
          <w:lang w:bidi="fa-IR"/>
        </w:rPr>
        <w:t xml:space="preserve"> في « ى » وحاشية « بح ، جت » </w:t>
      </w:r>
      <w:r w:rsidR="00744A1C" w:rsidRPr="002821D3">
        <w:rPr>
          <w:rtl/>
        </w:rPr>
        <w:t>والبحار والفقيه والمحاسن</w:t>
      </w:r>
      <w:r w:rsidR="00744A1C">
        <w:rPr>
          <w:rtl/>
          <w:lang w:bidi="fa-IR"/>
        </w:rPr>
        <w:t xml:space="preserve"> : « هلمّ ». وهَلا وهَل ، رجزان للخيل ، أي اقربي. </w:t>
      </w:r>
      <w:r w:rsidR="00744A1C" w:rsidRPr="008A57EB">
        <w:rPr>
          <w:rStyle w:val="libFootnoteBoldChar"/>
          <w:rtl/>
        </w:rPr>
        <w:t>القاموس المحيط</w:t>
      </w:r>
      <w:r w:rsidR="00744A1C">
        <w:rPr>
          <w:rtl/>
          <w:lang w:bidi="fa-IR"/>
        </w:rPr>
        <w:t xml:space="preserve"> ، ج 2 ، ص 1415 ( هل ).</w:t>
      </w:r>
      <w:r w:rsidR="002821D3">
        <w:rPr>
          <w:rFonts w:hint="cs"/>
          <w:rtl/>
          <w:lang w:bidi="fa-IR"/>
        </w:rPr>
        <w:t xml:space="preserve">           </w:t>
      </w:r>
      <w:r>
        <w:rPr>
          <w:rtl/>
          <w:lang w:bidi="fa-IR"/>
        </w:rPr>
        <w:t>(9).</w:t>
      </w:r>
      <w:r w:rsidR="00744A1C">
        <w:rPr>
          <w:rtl/>
          <w:lang w:bidi="fa-IR"/>
        </w:rPr>
        <w:t xml:space="preserve"> في </w:t>
      </w:r>
      <w:r w:rsidR="00744A1C" w:rsidRPr="002821D3">
        <w:rPr>
          <w:rtl/>
        </w:rPr>
        <w:t>الفقيه والمحاسن</w:t>
      </w:r>
      <w:r w:rsidR="00744A1C">
        <w:rPr>
          <w:rtl/>
          <w:lang w:bidi="fa-IR"/>
        </w:rPr>
        <w:t xml:space="preserve"> : - « قال ».</w:t>
      </w:r>
    </w:p>
    <w:tbl>
      <w:tblPr>
        <w:tblStyle w:val="TableGrid"/>
        <w:bidiVisual/>
        <w:tblW w:w="0" w:type="auto"/>
        <w:tblLook w:val="04A0" w:firstRow="1" w:lastRow="0" w:firstColumn="1" w:lastColumn="0" w:noHBand="0" w:noVBand="1"/>
      </w:tblPr>
      <w:tblGrid>
        <w:gridCol w:w="4006"/>
        <w:gridCol w:w="4006"/>
      </w:tblGrid>
      <w:tr w:rsidR="002821D3" w:rsidTr="002821D3">
        <w:tc>
          <w:tcPr>
            <w:tcW w:w="4006" w:type="dxa"/>
          </w:tcPr>
          <w:p w:rsidR="002821D3" w:rsidRDefault="003436DA" w:rsidP="00E378DD">
            <w:pPr>
              <w:pStyle w:val="libFootnote0"/>
              <w:rPr>
                <w:rtl/>
                <w:lang w:bidi="fa-IR"/>
              </w:rPr>
            </w:pPr>
            <w:r>
              <w:rPr>
                <w:rtl/>
                <w:lang w:bidi="fa-IR"/>
              </w:rPr>
              <w:t xml:space="preserve">(10). في «بح» : + «من». وفي </w:t>
            </w:r>
            <w:r w:rsidRPr="003A7143">
              <w:rPr>
                <w:rStyle w:val="libFootnoteBoldChar"/>
                <w:rtl/>
              </w:rPr>
              <w:t>المحاسن</w:t>
            </w:r>
            <w:r>
              <w:rPr>
                <w:rtl/>
                <w:lang w:bidi="fa-IR"/>
              </w:rPr>
              <w:t>:- «بقي».</w:t>
            </w:r>
          </w:p>
        </w:tc>
        <w:tc>
          <w:tcPr>
            <w:tcW w:w="4006" w:type="dxa"/>
          </w:tcPr>
          <w:p w:rsidR="002821D3" w:rsidRDefault="003436DA" w:rsidP="00E378DD">
            <w:pPr>
              <w:pStyle w:val="libFootnote0"/>
              <w:rPr>
                <w:rtl/>
                <w:lang w:bidi="fa-IR"/>
              </w:rPr>
            </w:pPr>
            <w:r>
              <w:rPr>
                <w:rtl/>
                <w:lang w:bidi="fa-IR"/>
              </w:rPr>
              <w:t xml:space="preserve">(11). في </w:t>
            </w:r>
            <w:r w:rsidRPr="003A7143">
              <w:rPr>
                <w:rStyle w:val="libFootnoteBoldChar"/>
                <w:rtl/>
              </w:rPr>
              <w:t>المحاسن</w:t>
            </w:r>
            <w:r>
              <w:rPr>
                <w:rtl/>
                <w:lang w:bidi="fa-IR"/>
              </w:rPr>
              <w:t xml:space="preserve"> : « أعطى ».</w:t>
            </w:r>
          </w:p>
        </w:tc>
      </w:tr>
    </w:tbl>
    <w:p w:rsidR="00744A1C" w:rsidRDefault="00E378DD" w:rsidP="00E378DD">
      <w:pPr>
        <w:pStyle w:val="libFootnote0"/>
        <w:rPr>
          <w:lang w:bidi="fa-IR"/>
        </w:rPr>
      </w:pPr>
      <w:r>
        <w:rPr>
          <w:rtl/>
          <w:lang w:bidi="fa-IR"/>
        </w:rPr>
        <w:t>(12).</w:t>
      </w:r>
      <w:r w:rsidR="00744A1C">
        <w:rPr>
          <w:rtl/>
          <w:lang w:bidi="fa-IR"/>
        </w:rPr>
        <w:t xml:space="preserve"> </w:t>
      </w:r>
      <w:r w:rsidR="00744A1C" w:rsidRPr="003A7143">
        <w:rPr>
          <w:rStyle w:val="libFootnoteBoldChar"/>
          <w:rtl/>
        </w:rPr>
        <w:t>المحاسن</w:t>
      </w:r>
      <w:r w:rsidR="00744A1C">
        <w:rPr>
          <w:rtl/>
          <w:lang w:bidi="fa-IR"/>
        </w:rPr>
        <w:t xml:space="preserve"> ، ص 630 ، كتاب المرافق ، ح 109. وفي </w:t>
      </w:r>
      <w:r w:rsidR="00744A1C" w:rsidRPr="00877682">
        <w:rPr>
          <w:rStyle w:val="libFootnoteBoldChar"/>
          <w:rtl/>
        </w:rPr>
        <w:t>قرب الإسناد</w:t>
      </w:r>
      <w:r w:rsidR="00744A1C">
        <w:rPr>
          <w:rtl/>
          <w:lang w:bidi="fa-IR"/>
        </w:rPr>
        <w:t xml:space="preserve"> ، ص 238 ، ح 935 ، بسند آخر عن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w:t>
      </w:r>
      <w:r w:rsidR="00744A1C" w:rsidRPr="003A7143">
        <w:rPr>
          <w:rStyle w:val="libFootnoteBoldChar"/>
          <w:rtl/>
        </w:rPr>
        <w:t>علل الشرائع</w:t>
      </w:r>
      <w:r w:rsidR="00744A1C">
        <w:rPr>
          <w:rtl/>
          <w:lang w:bidi="fa-IR"/>
        </w:rPr>
        <w:t xml:space="preserve"> ، ص 37 ، ح 1 ، بسند آخر عن ابن عبّاس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وزيادة في آخره. </w:t>
      </w:r>
      <w:r w:rsidR="00744A1C" w:rsidRPr="00C24F9C">
        <w:rPr>
          <w:rStyle w:val="libFootnoteBoldChar"/>
          <w:rtl/>
        </w:rPr>
        <w:t>الفقيه</w:t>
      </w:r>
      <w:r w:rsidR="00744A1C">
        <w:rPr>
          <w:rtl/>
          <w:lang w:bidi="fa-IR"/>
        </w:rPr>
        <w:t xml:space="preserve"> ، ج 2 ، ص 286 ، ح 2464 ، مرسلاً </w:t>
      </w:r>
      <w:r w:rsidR="003436DA">
        <w:rPr>
          <w:rFonts w:hint="cs"/>
          <w:rtl/>
          <w:lang w:bidi="fa-IR"/>
        </w:rPr>
        <w:t>.</w:t>
      </w:r>
      <w:r w:rsidR="00744A1C" w:rsidRPr="00C24F9C">
        <w:rPr>
          <w:rStyle w:val="libFootnoteBoldChar"/>
          <w:rtl/>
        </w:rPr>
        <w:t>الوافي</w:t>
      </w:r>
      <w:r w:rsidR="00744A1C">
        <w:rPr>
          <w:rtl/>
          <w:lang w:bidi="fa-IR"/>
        </w:rPr>
        <w:t xml:space="preserve"> ، ج 20 ، ص 819 ، ح 20577 ؛ </w:t>
      </w:r>
      <w:r w:rsidR="00744A1C" w:rsidRPr="00C24F9C">
        <w:rPr>
          <w:rStyle w:val="libFootnoteBoldChar"/>
          <w:rtl/>
        </w:rPr>
        <w:t>الوسائل</w:t>
      </w:r>
      <w:r w:rsidR="00744A1C">
        <w:rPr>
          <w:rtl/>
          <w:lang w:bidi="fa-IR"/>
        </w:rPr>
        <w:t xml:space="preserve"> ، ج 11 ، ص 466 ، ح 15273 ؛ </w:t>
      </w:r>
      <w:r w:rsidR="00744A1C" w:rsidRPr="0061079A">
        <w:rPr>
          <w:rStyle w:val="libFootnoteBoldChar"/>
          <w:rtl/>
        </w:rPr>
        <w:t>البحار</w:t>
      </w:r>
      <w:r w:rsidR="00744A1C">
        <w:rPr>
          <w:rtl/>
          <w:lang w:bidi="fa-IR"/>
        </w:rPr>
        <w:t xml:space="preserve"> ، ج 64 ، ص 155 ، ح 6.</w:t>
      </w:r>
    </w:p>
    <w:p w:rsidR="00744A1C" w:rsidRDefault="00E378DD" w:rsidP="00E378DD">
      <w:pPr>
        <w:pStyle w:val="libFootnote0"/>
        <w:rPr>
          <w:lang w:bidi="fa-IR"/>
        </w:rPr>
      </w:pPr>
      <w:r>
        <w:rPr>
          <w:rtl/>
          <w:lang w:bidi="fa-IR"/>
        </w:rPr>
        <w:t>(13).</w:t>
      </w:r>
      <w:r w:rsidR="00744A1C">
        <w:rPr>
          <w:rtl/>
          <w:lang w:bidi="fa-IR"/>
        </w:rPr>
        <w:t xml:space="preserve"> الضمير راجع إلى أحمد بن محمّد المذكور في السند السابق ، فيكون السند معلّقاً.</w:t>
      </w:r>
    </w:p>
    <w:p w:rsidR="00744A1C" w:rsidRDefault="00E378DD" w:rsidP="00E378DD">
      <w:pPr>
        <w:pStyle w:val="libFootnote0"/>
        <w:rPr>
          <w:lang w:bidi="fa-IR"/>
        </w:rPr>
      </w:pPr>
      <w:r>
        <w:rPr>
          <w:rtl/>
          <w:lang w:bidi="fa-IR"/>
        </w:rPr>
        <w:t>(14).</w:t>
      </w:r>
      <w:r w:rsidR="00744A1C">
        <w:rPr>
          <w:rtl/>
          <w:lang w:bidi="fa-IR"/>
        </w:rPr>
        <w:t xml:space="preserve"> قال ابن الأثير : « الخيل معقود في نواصيها الخير ، أي ملازم لها ، كأنّه معقود فيها ». </w:t>
      </w:r>
      <w:r w:rsidR="00744A1C" w:rsidRPr="00877682">
        <w:rPr>
          <w:rStyle w:val="libFootnoteBoldChar"/>
          <w:rtl/>
        </w:rPr>
        <w:t>النهاية</w:t>
      </w:r>
      <w:r w:rsidR="00744A1C">
        <w:rPr>
          <w:rtl/>
          <w:lang w:bidi="fa-IR"/>
        </w:rPr>
        <w:t xml:space="preserve"> ، ج 3 ، ص 271 ( عقد ).</w:t>
      </w:r>
    </w:p>
    <w:p w:rsidR="00744A1C" w:rsidRDefault="00E378DD" w:rsidP="00E378DD">
      <w:pPr>
        <w:pStyle w:val="libFootnote0"/>
        <w:rPr>
          <w:lang w:bidi="fa-IR"/>
        </w:rPr>
      </w:pPr>
      <w:r>
        <w:rPr>
          <w:rtl/>
          <w:lang w:bidi="fa-IR"/>
        </w:rPr>
        <w:t>(15).</w:t>
      </w:r>
      <w:r w:rsidR="00744A1C">
        <w:rPr>
          <w:rtl/>
          <w:lang w:bidi="fa-IR"/>
        </w:rPr>
        <w:t xml:space="preserve"> النواصي جمع الناصية : قُصاص الشَّعْر في مقدّم الرأس. راجع : </w:t>
      </w:r>
      <w:r w:rsidR="00744A1C" w:rsidRPr="00877682">
        <w:rPr>
          <w:rStyle w:val="libFootnoteBoldChar"/>
          <w:rtl/>
        </w:rPr>
        <w:t>لسان العرب</w:t>
      </w:r>
      <w:r w:rsidR="00744A1C">
        <w:rPr>
          <w:rtl/>
          <w:lang w:bidi="fa-IR"/>
        </w:rPr>
        <w:t xml:space="preserve"> ، ج 15 ، ص 327 ( نصو ).</w:t>
      </w:r>
    </w:p>
    <w:p w:rsidR="00144FA6" w:rsidRDefault="00744A1C" w:rsidP="00D10E3C">
      <w:pPr>
        <w:pStyle w:val="libFootnote0"/>
        <w:rPr>
          <w:rtl/>
          <w:lang w:bidi="fa-IR"/>
        </w:rPr>
      </w:pPr>
      <w:r>
        <w:rPr>
          <w:rtl/>
          <w:lang w:bidi="fa-IR"/>
        </w:rPr>
        <w:t xml:space="preserve">(16) </w:t>
      </w:r>
      <w:r w:rsidRPr="003A7143">
        <w:rPr>
          <w:rStyle w:val="libFootnoteBoldChar"/>
          <w:rtl/>
        </w:rPr>
        <w:t>المحاسن</w:t>
      </w:r>
      <w:r>
        <w:rPr>
          <w:rtl/>
          <w:lang w:bidi="fa-IR"/>
        </w:rPr>
        <w:t xml:space="preserve"> ، ص 631 ، كتاب المرافق ، ح 112 ، عن عليّ بن الحكم. </w:t>
      </w:r>
      <w:r w:rsidRPr="003436DA">
        <w:rPr>
          <w:rStyle w:val="libFootnoteBoldChar"/>
          <w:rtl/>
        </w:rPr>
        <w:t>ثواب الأعمال</w:t>
      </w:r>
      <w:r>
        <w:rPr>
          <w:rtl/>
          <w:lang w:bidi="fa-IR"/>
        </w:rPr>
        <w:t xml:space="preserve"> ، ص 226 ، ح 2 ، بسنده عن أحمد بن أبي عبد الله البرقي ، عن عليّ بن الحكم ، عن عمرو بن أبان. وفي </w:t>
      </w:r>
      <w:r w:rsidRPr="003A7143">
        <w:rPr>
          <w:rStyle w:val="libFootnoteBoldChar"/>
          <w:rtl/>
        </w:rPr>
        <w:t>المحاسن</w:t>
      </w:r>
      <w:r w:rsidR="00FC6BC2">
        <w:rPr>
          <w:rtl/>
          <w:lang w:bidi="fa-IR"/>
        </w:rPr>
        <w:t xml:space="preserve"> ،ص 630</w:t>
      </w:r>
      <w:r>
        <w:rPr>
          <w:rtl/>
          <w:lang w:bidi="fa-IR"/>
        </w:rPr>
        <w:t>، كتاب</w:t>
      </w:r>
      <w:r w:rsidR="003436DA">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8285 / 3. عَنْهُ </w:t>
      </w:r>
      <w:r w:rsidRPr="00D10E3C">
        <w:rPr>
          <w:rStyle w:val="libFootnotenumChar"/>
          <w:rtl/>
        </w:rPr>
        <w:t>(1)</w:t>
      </w:r>
      <w:r>
        <w:rPr>
          <w:rtl/>
          <w:lang w:bidi="fa-IR"/>
        </w:rPr>
        <w:t xml:space="preserve"> ، عَنِ ابْنِ فَضَّالٍ ، عَنْ ثَعْلَبَةَ </w:t>
      </w:r>
      <w:r w:rsidRPr="00D10E3C">
        <w:rPr>
          <w:rStyle w:val="libFootnotenumChar"/>
          <w:rtl/>
        </w:rPr>
        <w:t>(2)</w:t>
      </w:r>
      <w:r>
        <w:rPr>
          <w:rtl/>
          <w:lang w:bidi="fa-IR"/>
        </w:rPr>
        <w:t xml:space="preserve"> ، عَنْ مَعْمَرٍ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سَمِعْتُهُ يَقُولُ : « الْخَيْرُ كُلُّهُ مَعْقُودٌ </w:t>
      </w:r>
      <w:r w:rsidRPr="00D10E3C">
        <w:rPr>
          <w:rStyle w:val="libFootnotenumChar"/>
          <w:rtl/>
        </w:rPr>
        <w:t>(3)</w:t>
      </w:r>
      <w:r>
        <w:rPr>
          <w:rtl/>
          <w:lang w:bidi="fa-IR"/>
        </w:rPr>
        <w:t xml:space="preserve"> فِي نَوَاصِي الْخَيْلِ إِلى يَوْمِ الْقِيَامَةِ ». </w:t>
      </w:r>
      <w:r w:rsidRPr="00D10E3C">
        <w:rPr>
          <w:rStyle w:val="libFootnotenumChar"/>
          <w:rtl/>
        </w:rPr>
        <w:t>(4)</w:t>
      </w:r>
    </w:p>
    <w:p w:rsidR="00144FA6" w:rsidRDefault="00744A1C" w:rsidP="00744A1C">
      <w:pPr>
        <w:pStyle w:val="libNormal"/>
        <w:rPr>
          <w:rtl/>
          <w:lang w:bidi="fa-IR"/>
        </w:rPr>
      </w:pPr>
      <w:r>
        <w:rPr>
          <w:rtl/>
          <w:lang w:bidi="fa-IR"/>
        </w:rPr>
        <w:t xml:space="preserve">8286 / 4. عَنْهُ </w:t>
      </w:r>
      <w:r w:rsidRPr="00D10E3C">
        <w:rPr>
          <w:rStyle w:val="libFootnotenumChar"/>
          <w:rtl/>
        </w:rPr>
        <w:t>(5)</w:t>
      </w:r>
      <w:r>
        <w:rPr>
          <w:rtl/>
          <w:lang w:bidi="fa-IR"/>
        </w:rPr>
        <w:t xml:space="preserve"> ، عَنِ الْقَاسِمِ بْنِ يَحْيى ، عَنْ جَدِّهِ الْحَسَنِ بْنِ رَاشِدٍ ، عَنْ يَعْقُوبَ بْنِ جَعْفَرِ بْنِ </w:t>
      </w:r>
      <w:r w:rsidRPr="00D10E3C">
        <w:rPr>
          <w:rStyle w:val="libFootnotenumChar"/>
          <w:rtl/>
        </w:rPr>
        <w:t>(6)</w:t>
      </w:r>
      <w:r>
        <w:rPr>
          <w:rtl/>
          <w:lang w:bidi="fa-IR"/>
        </w:rPr>
        <w:t xml:space="preserve"> إِبْرَاهِيمَ الْجَعْفَرِيِّ ، قَالَ :</w:t>
      </w:r>
    </w:p>
    <w:p w:rsidR="00744A1C" w:rsidRDefault="00744A1C" w:rsidP="00744A1C">
      <w:pPr>
        <w:pStyle w:val="libNormal"/>
        <w:rPr>
          <w:lang w:bidi="fa-IR"/>
        </w:rPr>
      </w:pPr>
      <w:r>
        <w:rPr>
          <w:rtl/>
          <w:lang w:bidi="fa-IR"/>
        </w:rPr>
        <w:t xml:space="preserve">سَمِعْتُ أَبَا الْحَسَنِ </w:t>
      </w:r>
      <w:r w:rsidR="0061079A" w:rsidRPr="0061079A">
        <w:rPr>
          <w:rStyle w:val="libAlaemChar"/>
          <w:rtl/>
        </w:rPr>
        <w:t>عليه‌السلام</w:t>
      </w:r>
      <w:r w:rsidR="00D10E3C">
        <w:rPr>
          <w:rtl/>
          <w:lang w:bidi="fa-IR"/>
        </w:rPr>
        <w:t xml:space="preserve"> </w:t>
      </w:r>
      <w:r>
        <w:rPr>
          <w:rtl/>
          <w:lang w:bidi="fa-IR"/>
        </w:rPr>
        <w:t xml:space="preserve">يَقُولُ : « مَنْ رَبَطَ </w:t>
      </w:r>
      <w:r w:rsidRPr="00D10E3C">
        <w:rPr>
          <w:rStyle w:val="libFootnotenumChar"/>
          <w:rtl/>
        </w:rPr>
        <w:t>(7)</w:t>
      </w:r>
      <w:r>
        <w:rPr>
          <w:rtl/>
          <w:lang w:bidi="fa-IR"/>
        </w:rPr>
        <w:t xml:space="preserve"> فَرَساً عَتِيقاً </w:t>
      </w:r>
      <w:r w:rsidRPr="00D10E3C">
        <w:rPr>
          <w:rStyle w:val="libFootnotenumChar"/>
          <w:rtl/>
        </w:rPr>
        <w:t>(8)</w:t>
      </w:r>
      <w:r>
        <w:rPr>
          <w:rtl/>
          <w:lang w:bidi="fa-IR"/>
        </w:rPr>
        <w:t xml:space="preserve"> ، مُحِيَتْ عَنْهُ ثَلَاثُ </w:t>
      </w:r>
      <w:r w:rsidRPr="00D10E3C">
        <w:rPr>
          <w:rStyle w:val="libFootnotenumChar"/>
          <w:rtl/>
        </w:rPr>
        <w:t>(9)</w:t>
      </w:r>
      <w:r>
        <w:rPr>
          <w:rtl/>
          <w:lang w:bidi="fa-IR"/>
        </w:rPr>
        <w:t xml:space="preserve"> سَيِّئَاتٍ فِي كُلِّ يَوْمٍ ، وَكُتِبَ </w:t>
      </w:r>
      <w:r w:rsidRPr="00D10E3C">
        <w:rPr>
          <w:rStyle w:val="libFootnotenumChar"/>
          <w:rtl/>
        </w:rPr>
        <w:t>(10)</w:t>
      </w:r>
      <w:r>
        <w:rPr>
          <w:rtl/>
          <w:lang w:bidi="fa-IR"/>
        </w:rPr>
        <w:t xml:space="preserve"> لَهُ إِحْدى عَشْرَةَ </w:t>
      </w:r>
      <w:r w:rsidRPr="00D10E3C">
        <w:rPr>
          <w:rStyle w:val="libFootnotenumChar"/>
          <w:rtl/>
        </w:rPr>
        <w:t>(11)</w:t>
      </w:r>
      <w:r>
        <w:rPr>
          <w:rtl/>
          <w:lang w:bidi="fa-IR"/>
        </w:rPr>
        <w:t xml:space="preserve"> حَسَنَةً ؛ وَمَنِ ارْتَبَطَ هَجِيناً </w:t>
      </w:r>
      <w:r w:rsidRPr="00D10E3C">
        <w:rPr>
          <w:rStyle w:val="libFootnotenumChar"/>
          <w:rtl/>
        </w:rPr>
        <w:t>(12)</w:t>
      </w:r>
      <w:r>
        <w:rPr>
          <w:rtl/>
          <w:lang w:bidi="fa-IR"/>
        </w:rPr>
        <w:t xml:space="preserve"> ، مُحِيَتْ عَنْهُ‌</w:t>
      </w:r>
    </w:p>
    <w:p w:rsidR="00744A1C" w:rsidRDefault="00744A1C" w:rsidP="00D10E3C">
      <w:pPr>
        <w:pStyle w:val="libLine"/>
        <w:rPr>
          <w:lang w:bidi="fa-IR"/>
        </w:rPr>
      </w:pPr>
      <w:r>
        <w:rPr>
          <w:rtl/>
          <w:lang w:bidi="fa-IR"/>
        </w:rPr>
        <w:t>____________________</w:t>
      </w:r>
    </w:p>
    <w:p w:rsidR="00744A1C" w:rsidRDefault="00FC6BC2" w:rsidP="00D10E3C">
      <w:pPr>
        <w:pStyle w:val="libFootnote0"/>
        <w:rPr>
          <w:lang w:bidi="fa-IR"/>
        </w:rPr>
      </w:pPr>
      <w:r>
        <w:rPr>
          <w:rFonts w:hint="cs"/>
          <w:rtl/>
          <w:lang w:bidi="fa-IR"/>
        </w:rPr>
        <w:t xml:space="preserve">= </w:t>
      </w:r>
      <w:r w:rsidR="00744A1C">
        <w:rPr>
          <w:rtl/>
          <w:lang w:bidi="fa-IR"/>
        </w:rPr>
        <w:t xml:space="preserve">المرافق ، ح 110 ، بسند آخر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 وبسند آخر أيضاً عن أبي جعفر </w:t>
      </w:r>
      <w:r w:rsidR="0061079A" w:rsidRPr="0061079A">
        <w:rPr>
          <w:rStyle w:val="libFootnoteAlaemChar"/>
          <w:rtl/>
        </w:rPr>
        <w:t>عليه‌السلام</w:t>
      </w:r>
      <w:r w:rsidR="00744A1C">
        <w:rPr>
          <w:rtl/>
          <w:lang w:bidi="fa-IR"/>
        </w:rPr>
        <w:t xml:space="preserve"> . </w:t>
      </w:r>
      <w:r w:rsidR="00744A1C" w:rsidRPr="00877682">
        <w:rPr>
          <w:rStyle w:val="libFootnoteBoldChar"/>
          <w:rtl/>
        </w:rPr>
        <w:t>الجعفريّات</w:t>
      </w:r>
      <w:r w:rsidR="00744A1C">
        <w:rPr>
          <w:rtl/>
          <w:lang w:bidi="fa-IR"/>
        </w:rPr>
        <w:t xml:space="preserve"> ، ص 87 ، ضمن الحديث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w:t>
      </w:r>
      <w:r w:rsidR="00744A1C" w:rsidRPr="000B1C3F">
        <w:rPr>
          <w:rStyle w:val="libFootnoteBoldChar"/>
          <w:rtl/>
        </w:rPr>
        <w:t>الأمالي للطوسي</w:t>
      </w:r>
      <w:r w:rsidR="00744A1C">
        <w:rPr>
          <w:rtl/>
          <w:lang w:bidi="fa-IR"/>
        </w:rPr>
        <w:t xml:space="preserve"> ، ص 383 ، المجلس 13 ، ح 81 ، بسند آخر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مع زيادة في آخره. </w:t>
      </w:r>
      <w:r w:rsidR="00744A1C" w:rsidRPr="00C24F9C">
        <w:rPr>
          <w:rStyle w:val="libFootnoteBoldChar"/>
          <w:rtl/>
        </w:rPr>
        <w:t>الفقيه</w:t>
      </w:r>
      <w:r w:rsidR="00744A1C">
        <w:rPr>
          <w:rtl/>
          <w:lang w:bidi="fa-IR"/>
        </w:rPr>
        <w:t xml:space="preserve"> ، ج 2 ، ص 283 ، ح 2459 ، مرسلاً عن رسول الله </w:t>
      </w:r>
      <w:r w:rsidR="00E843EA" w:rsidRPr="00E843EA">
        <w:rPr>
          <w:rStyle w:val="libFootnoteAlaemChar"/>
          <w:rtl/>
        </w:rPr>
        <w:t>صلى‌الله‌عليه‌وآله</w:t>
      </w:r>
      <w:r w:rsidR="00D10E3C">
        <w:rPr>
          <w:rtl/>
          <w:lang w:bidi="fa-IR"/>
        </w:rPr>
        <w:t xml:space="preserve"> </w:t>
      </w:r>
      <w:r w:rsidR="00744A1C">
        <w:rPr>
          <w:rtl/>
          <w:lang w:bidi="fa-IR"/>
        </w:rPr>
        <w:t xml:space="preserve">، مع زيادة في آخره </w:t>
      </w:r>
      <w:r>
        <w:rPr>
          <w:rFonts w:hint="cs"/>
          <w:rtl/>
          <w:lang w:bidi="fa-IR"/>
        </w:rPr>
        <w:t>.</w:t>
      </w:r>
      <w:r w:rsidR="00744A1C" w:rsidRPr="00C24F9C">
        <w:rPr>
          <w:rStyle w:val="libFootnoteBoldChar"/>
          <w:rtl/>
        </w:rPr>
        <w:t>الوافي</w:t>
      </w:r>
      <w:r w:rsidR="00744A1C">
        <w:rPr>
          <w:rtl/>
          <w:lang w:bidi="fa-IR"/>
        </w:rPr>
        <w:t xml:space="preserve"> ، ج 20 ، ص 820 ، ح 20579 ؛ </w:t>
      </w:r>
      <w:r w:rsidR="00744A1C" w:rsidRPr="00C24F9C">
        <w:rPr>
          <w:rStyle w:val="libFootnoteBoldChar"/>
          <w:rtl/>
        </w:rPr>
        <w:t>الوسائل</w:t>
      </w:r>
      <w:r w:rsidR="00744A1C">
        <w:rPr>
          <w:rtl/>
          <w:lang w:bidi="fa-IR"/>
        </w:rPr>
        <w:t xml:space="preserve"> ، ج 11 ، ص 467 ، ح 15274.</w:t>
      </w:r>
    </w:p>
    <w:tbl>
      <w:tblPr>
        <w:tblStyle w:val="TableGrid"/>
        <w:bidiVisual/>
        <w:tblW w:w="0" w:type="auto"/>
        <w:tblLook w:val="04A0" w:firstRow="1" w:lastRow="0" w:firstColumn="1" w:lastColumn="0" w:noHBand="0" w:noVBand="1"/>
      </w:tblPr>
      <w:tblGrid>
        <w:gridCol w:w="4006"/>
        <w:gridCol w:w="4006"/>
      </w:tblGrid>
      <w:tr w:rsidR="00FC6BC2" w:rsidTr="00FC6BC2">
        <w:tc>
          <w:tcPr>
            <w:tcW w:w="4006" w:type="dxa"/>
          </w:tcPr>
          <w:p w:rsidR="00FC6BC2" w:rsidRDefault="00FC6BC2" w:rsidP="00D10E3C">
            <w:pPr>
              <w:pStyle w:val="libFootnote0"/>
              <w:rPr>
                <w:rtl/>
                <w:lang w:bidi="fa-IR"/>
              </w:rPr>
            </w:pPr>
            <w:r>
              <w:rPr>
                <w:rtl/>
                <w:lang w:bidi="fa-IR"/>
              </w:rPr>
              <w:t>(1). مرجع الضمير هو أحمد بن محمّد.</w:t>
            </w:r>
          </w:p>
        </w:tc>
        <w:tc>
          <w:tcPr>
            <w:tcW w:w="4006" w:type="dxa"/>
          </w:tcPr>
          <w:p w:rsidR="00FC6BC2" w:rsidRDefault="00FC6BC2" w:rsidP="00D10E3C">
            <w:pPr>
              <w:pStyle w:val="libFootnote0"/>
              <w:rPr>
                <w:rtl/>
                <w:lang w:bidi="fa-IR"/>
              </w:rPr>
            </w:pPr>
            <w:r>
              <w:rPr>
                <w:rtl/>
                <w:lang w:bidi="fa-IR"/>
              </w:rPr>
              <w:t>(2). في « بس » و</w:t>
            </w:r>
            <w:r w:rsidRPr="0061079A">
              <w:rPr>
                <w:rStyle w:val="libFootnoteBoldChar"/>
                <w:rtl/>
              </w:rPr>
              <w:t>البحار</w:t>
            </w:r>
            <w:r>
              <w:rPr>
                <w:rtl/>
                <w:lang w:bidi="fa-IR"/>
              </w:rPr>
              <w:t xml:space="preserve"> : + « بن ميمون ».</w:t>
            </w:r>
          </w:p>
        </w:tc>
      </w:tr>
    </w:tbl>
    <w:p w:rsidR="00744A1C" w:rsidRDefault="00E378DD" w:rsidP="00E378DD">
      <w:pPr>
        <w:pStyle w:val="libFootnote0"/>
        <w:rPr>
          <w:lang w:bidi="fa-IR"/>
        </w:rPr>
      </w:pPr>
      <w:r>
        <w:rPr>
          <w:rtl/>
          <w:lang w:bidi="fa-IR"/>
        </w:rPr>
        <w:t>(3).</w:t>
      </w:r>
      <w:r w:rsidR="00744A1C">
        <w:rPr>
          <w:rtl/>
          <w:lang w:bidi="fa-IR"/>
        </w:rPr>
        <w:t xml:space="preserve"> في حاشية « جت » : « الخير معقود كلّه ». وفي </w:t>
      </w:r>
      <w:r w:rsidR="00744A1C" w:rsidRPr="003A7143">
        <w:rPr>
          <w:rStyle w:val="libFootnoteBoldChar"/>
          <w:rtl/>
        </w:rPr>
        <w:t>المحاسن</w:t>
      </w:r>
      <w:r w:rsidR="00744A1C">
        <w:rPr>
          <w:rtl/>
          <w:lang w:bidi="fa-IR"/>
        </w:rPr>
        <w:t xml:space="preserve"> : « إنّ كلّ الخير » كلاهما بدل « الخير كلّه معقود ».</w:t>
      </w:r>
    </w:p>
    <w:p w:rsidR="00744A1C" w:rsidRDefault="00E378DD" w:rsidP="00FC6BC2">
      <w:pPr>
        <w:pStyle w:val="libFootnote0"/>
        <w:rPr>
          <w:lang w:bidi="fa-IR"/>
        </w:rPr>
      </w:pPr>
      <w:r>
        <w:rPr>
          <w:rtl/>
          <w:lang w:bidi="fa-IR"/>
        </w:rPr>
        <w:t>(4).</w:t>
      </w:r>
      <w:r w:rsidR="00744A1C">
        <w:rPr>
          <w:rtl/>
          <w:lang w:bidi="fa-IR"/>
        </w:rPr>
        <w:t xml:space="preserve"> </w:t>
      </w:r>
      <w:r w:rsidR="00744A1C" w:rsidRPr="003A7143">
        <w:rPr>
          <w:rStyle w:val="libFootnoteBoldChar"/>
          <w:rtl/>
        </w:rPr>
        <w:t>المحاسن</w:t>
      </w:r>
      <w:r w:rsidR="00744A1C">
        <w:rPr>
          <w:rtl/>
          <w:lang w:bidi="fa-IR"/>
        </w:rPr>
        <w:t xml:space="preserve"> ، ص 630 ، كتاب المرافق ، ح 111 ، عن ابن فضّال ، عن ثعلبة بن ميمون ، عن معمر. </w:t>
      </w:r>
      <w:r w:rsidR="00744A1C" w:rsidRPr="0061079A">
        <w:rPr>
          <w:rStyle w:val="libFootnoteBoldChar"/>
          <w:rtl/>
        </w:rPr>
        <w:t>الكافي</w:t>
      </w:r>
      <w:r w:rsidR="00744A1C">
        <w:rPr>
          <w:rtl/>
          <w:lang w:bidi="fa-IR"/>
        </w:rPr>
        <w:t xml:space="preserve"> ، كتاب الجهاد ، باب فضل الجهاد ، ذيل ح 8214 ، بسنده عن ثعلبة </w:t>
      </w:r>
      <w:r w:rsidR="00FC6BC2">
        <w:rPr>
          <w:rFonts w:hint="cs"/>
          <w:rtl/>
          <w:lang w:bidi="fa-IR"/>
        </w:rPr>
        <w:t>.</w:t>
      </w:r>
      <w:r w:rsidR="00744A1C" w:rsidRPr="00C24F9C">
        <w:rPr>
          <w:rStyle w:val="libFootnoteBoldChar"/>
          <w:rtl/>
        </w:rPr>
        <w:t>الوافي</w:t>
      </w:r>
      <w:r w:rsidR="00744A1C">
        <w:rPr>
          <w:rtl/>
          <w:lang w:bidi="fa-IR"/>
        </w:rPr>
        <w:t xml:space="preserve"> ، ج 20 ، ص 820 ، ح 20580 ؛ </w:t>
      </w:r>
      <w:r w:rsidR="00744A1C" w:rsidRPr="00C24F9C">
        <w:rPr>
          <w:rStyle w:val="libFootnoteBoldChar"/>
          <w:rtl/>
        </w:rPr>
        <w:t>الوسائل</w:t>
      </w:r>
      <w:r w:rsidR="00744A1C">
        <w:rPr>
          <w:rtl/>
          <w:lang w:bidi="fa-IR"/>
        </w:rPr>
        <w:t xml:space="preserve"> ، ج 11 ، ص 467 ، ح 15275.</w:t>
      </w:r>
      <w:r w:rsidR="00FC6BC2">
        <w:rPr>
          <w:rFonts w:hint="cs"/>
          <w:rtl/>
          <w:lang w:bidi="fa-IR"/>
        </w:rPr>
        <w:t xml:space="preserve">                 </w:t>
      </w:r>
      <w:r>
        <w:rPr>
          <w:rtl/>
          <w:lang w:bidi="fa-IR"/>
        </w:rPr>
        <w:t>(5).</w:t>
      </w:r>
      <w:r w:rsidR="00744A1C">
        <w:rPr>
          <w:rtl/>
          <w:lang w:bidi="fa-IR"/>
        </w:rPr>
        <w:t xml:space="preserve"> هذا الضمير أيضاً راجع إلى أحمد بن محمّد.</w:t>
      </w:r>
    </w:p>
    <w:p w:rsidR="00744A1C" w:rsidRDefault="00E378DD" w:rsidP="00E378DD">
      <w:pPr>
        <w:pStyle w:val="libFootnote0"/>
        <w:rPr>
          <w:lang w:bidi="fa-IR"/>
        </w:rPr>
      </w:pPr>
      <w:r>
        <w:rPr>
          <w:rtl/>
          <w:lang w:bidi="fa-IR"/>
        </w:rPr>
        <w:t>(6).</w:t>
      </w:r>
      <w:r w:rsidR="00744A1C">
        <w:rPr>
          <w:rtl/>
          <w:lang w:bidi="fa-IR"/>
        </w:rPr>
        <w:t xml:space="preserve"> في </w:t>
      </w:r>
      <w:r w:rsidR="00744A1C" w:rsidRPr="00756F9A">
        <w:rPr>
          <w:rtl/>
        </w:rPr>
        <w:t>الوسائل</w:t>
      </w:r>
      <w:r w:rsidR="00744A1C">
        <w:rPr>
          <w:rtl/>
          <w:lang w:bidi="fa-IR"/>
        </w:rPr>
        <w:t xml:space="preserve"> : « عن » بدل « بن ». وهو سهو ؛ فقد روى البرقي الخبر في </w:t>
      </w:r>
      <w:r w:rsidR="00744A1C" w:rsidRPr="003A7143">
        <w:rPr>
          <w:rStyle w:val="libFootnoteBoldChar"/>
          <w:rtl/>
        </w:rPr>
        <w:t>المحاسن</w:t>
      </w:r>
      <w:r w:rsidR="00744A1C">
        <w:rPr>
          <w:rtl/>
          <w:lang w:bidi="fa-IR"/>
        </w:rPr>
        <w:t xml:space="preserve"> ، ص 631 ، ح 113 عن القاسم بن يحيى عن جدّه الحسن بن راشد عن يعقوب بن جعفر بن إبراهيم بن محمّد الجعفري ، ووردت في </w:t>
      </w:r>
      <w:r w:rsidR="00744A1C" w:rsidRPr="0061079A">
        <w:rPr>
          <w:rStyle w:val="libFootnoteBoldChar"/>
          <w:rtl/>
        </w:rPr>
        <w:t>الكافي</w:t>
      </w:r>
      <w:r w:rsidR="00744A1C">
        <w:rPr>
          <w:rtl/>
          <w:lang w:bidi="fa-IR"/>
        </w:rPr>
        <w:t xml:space="preserve"> ، ح 1292 و 13067 رواية الحسن بن راشد عن يعقوب بن جعفر بن إبراهيم [ الجعفري ]. ويعقوب بن جعفر هذا من ولد جعفر الطيّار مذكور في تهذيب الأنساب ، ص 329 ، فلاحظ.</w:t>
      </w:r>
    </w:p>
    <w:p w:rsidR="00744A1C" w:rsidRDefault="00E378DD" w:rsidP="00E378DD">
      <w:pPr>
        <w:pStyle w:val="libFootnote0"/>
        <w:rPr>
          <w:lang w:bidi="fa-IR"/>
        </w:rPr>
      </w:pPr>
      <w:r>
        <w:rPr>
          <w:rtl/>
          <w:lang w:bidi="fa-IR"/>
        </w:rPr>
        <w:t>(7).</w:t>
      </w:r>
      <w:r w:rsidR="00744A1C">
        <w:rPr>
          <w:rtl/>
          <w:lang w:bidi="fa-IR"/>
        </w:rPr>
        <w:t xml:space="preserve"> </w:t>
      </w:r>
      <w:r w:rsidR="00744A1C" w:rsidRPr="00756F9A">
        <w:rPr>
          <w:rtl/>
        </w:rPr>
        <w:t>في المحاسن وثواب الأعمال : « ارتبط ».</w:t>
      </w:r>
      <w:r w:rsidR="00744A1C">
        <w:rPr>
          <w:rtl/>
          <w:lang w:bidi="fa-IR"/>
        </w:rPr>
        <w:t xml:space="preserve"> ورَبْطُ الفَرَس : شدّه بال</w:t>
      </w:r>
      <w:r w:rsidR="00756F9A">
        <w:rPr>
          <w:rFonts w:hint="cs"/>
          <w:rtl/>
          <w:lang w:bidi="fa-IR"/>
        </w:rPr>
        <w:t>ـ</w:t>
      </w:r>
      <w:r w:rsidR="00744A1C">
        <w:rPr>
          <w:rtl/>
          <w:lang w:bidi="fa-IR"/>
        </w:rPr>
        <w:t xml:space="preserve">مَكان للحفظ. </w:t>
      </w:r>
      <w:r w:rsidR="00744A1C" w:rsidRPr="002D57AD">
        <w:rPr>
          <w:rStyle w:val="libFootnoteBoldChar"/>
          <w:rtl/>
        </w:rPr>
        <w:t>المفردات للراغب</w:t>
      </w:r>
      <w:r w:rsidR="00744A1C">
        <w:rPr>
          <w:rtl/>
          <w:lang w:bidi="fa-IR"/>
        </w:rPr>
        <w:t xml:space="preserve"> ، ص 338 ( ربط ).</w:t>
      </w:r>
    </w:p>
    <w:p w:rsidR="00744A1C" w:rsidRDefault="00E378DD" w:rsidP="00E378DD">
      <w:pPr>
        <w:pStyle w:val="libFootnote0"/>
        <w:rPr>
          <w:lang w:bidi="fa-IR"/>
        </w:rPr>
      </w:pPr>
      <w:r>
        <w:rPr>
          <w:rtl/>
          <w:lang w:bidi="fa-IR"/>
        </w:rPr>
        <w:t>(8).</w:t>
      </w:r>
      <w:r w:rsidR="00744A1C">
        <w:rPr>
          <w:rtl/>
          <w:lang w:bidi="fa-IR"/>
        </w:rPr>
        <w:t xml:space="preserve"> العَتيق : الكريم الرائع من كلّ شي‌ء ، والخيار من كلّ شي‌ء. </w:t>
      </w:r>
      <w:r w:rsidR="00744A1C" w:rsidRPr="00877682">
        <w:rPr>
          <w:rStyle w:val="libFootnoteBoldChar"/>
          <w:rtl/>
        </w:rPr>
        <w:t>لسان العرب</w:t>
      </w:r>
      <w:r w:rsidR="00744A1C">
        <w:rPr>
          <w:rtl/>
          <w:lang w:bidi="fa-IR"/>
        </w:rPr>
        <w:t xml:space="preserve"> ، ج 10 ، ص 236 ( عتق ).</w:t>
      </w:r>
    </w:p>
    <w:p w:rsidR="00744A1C" w:rsidRDefault="00E378DD" w:rsidP="00756F9A">
      <w:pPr>
        <w:pStyle w:val="libFootnote0"/>
        <w:rPr>
          <w:lang w:bidi="fa-IR"/>
        </w:rPr>
      </w:pPr>
      <w:r>
        <w:rPr>
          <w:rtl/>
          <w:lang w:bidi="fa-IR"/>
        </w:rPr>
        <w:t>(9).</w:t>
      </w:r>
      <w:r w:rsidR="00744A1C">
        <w:rPr>
          <w:rtl/>
          <w:lang w:bidi="fa-IR"/>
        </w:rPr>
        <w:t xml:space="preserve"> في </w:t>
      </w:r>
      <w:r w:rsidR="00744A1C" w:rsidRPr="00756F9A">
        <w:rPr>
          <w:rtl/>
        </w:rPr>
        <w:t>الفقيه :</w:t>
      </w:r>
      <w:r w:rsidR="00744A1C">
        <w:rPr>
          <w:rtl/>
          <w:lang w:bidi="fa-IR"/>
        </w:rPr>
        <w:t xml:space="preserve"> « عشر ».</w:t>
      </w:r>
      <w:r w:rsidR="00756F9A">
        <w:rPr>
          <w:rFonts w:hint="cs"/>
          <w:rtl/>
          <w:lang w:bidi="fa-IR"/>
        </w:rPr>
        <w:t xml:space="preserve">   </w:t>
      </w: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ح 14832 و</w:t>
      </w:r>
      <w:r w:rsidR="00744A1C" w:rsidRPr="00C24F9C">
        <w:rPr>
          <w:rStyle w:val="libFootnoteBoldChar"/>
          <w:rtl/>
        </w:rPr>
        <w:t>الفقيه</w:t>
      </w:r>
      <w:r w:rsidR="00744A1C">
        <w:rPr>
          <w:rtl/>
          <w:lang w:bidi="fa-IR"/>
        </w:rPr>
        <w:t xml:space="preserve"> و</w:t>
      </w:r>
      <w:r w:rsidR="00744A1C" w:rsidRPr="003A7143">
        <w:rPr>
          <w:rStyle w:val="libFootnoteBoldChar"/>
          <w:rtl/>
        </w:rPr>
        <w:t>المحاسن</w:t>
      </w:r>
      <w:r w:rsidR="00744A1C">
        <w:rPr>
          <w:rtl/>
          <w:lang w:bidi="fa-IR"/>
        </w:rPr>
        <w:t xml:space="preserve"> </w:t>
      </w:r>
      <w:r w:rsidR="00744A1C" w:rsidRPr="004D054E">
        <w:rPr>
          <w:rStyle w:val="libFootnoteBoldChar"/>
          <w:rtl/>
        </w:rPr>
        <w:t>وثواب الأعمال</w:t>
      </w:r>
      <w:r w:rsidR="00744A1C">
        <w:rPr>
          <w:rtl/>
          <w:lang w:bidi="fa-IR"/>
        </w:rPr>
        <w:t xml:space="preserve"> : « وكتبت ».</w:t>
      </w:r>
    </w:p>
    <w:p w:rsidR="00744A1C" w:rsidRDefault="00E378DD" w:rsidP="00E378DD">
      <w:pPr>
        <w:pStyle w:val="libFootnote0"/>
        <w:rPr>
          <w:lang w:bidi="fa-IR"/>
        </w:rPr>
      </w:pPr>
      <w:r>
        <w:rPr>
          <w:rtl/>
          <w:lang w:bidi="fa-IR"/>
        </w:rPr>
        <w:t>(11).</w:t>
      </w:r>
      <w:r w:rsidR="00744A1C">
        <w:rPr>
          <w:rtl/>
          <w:lang w:bidi="fa-IR"/>
        </w:rPr>
        <w:t xml:space="preserve"> في ثواب الأعمال : « إحدى وعشرون ».</w:t>
      </w:r>
    </w:p>
    <w:p w:rsidR="00144FA6" w:rsidRDefault="00E378DD" w:rsidP="00E378DD">
      <w:pPr>
        <w:pStyle w:val="libFootnote0"/>
        <w:rPr>
          <w:rtl/>
          <w:lang w:bidi="fa-IR"/>
        </w:rPr>
      </w:pPr>
      <w:r>
        <w:rPr>
          <w:rtl/>
          <w:lang w:bidi="fa-IR"/>
        </w:rPr>
        <w:t>(12).</w:t>
      </w:r>
      <w:r w:rsidR="00744A1C">
        <w:rPr>
          <w:rtl/>
          <w:lang w:bidi="fa-IR"/>
        </w:rPr>
        <w:t xml:space="preserve"> الهَجين من الدوابّ : ما لم يكن عتيقاً ، أي كريماً. والهجين من الخيل : الذي ولدته برذونة من حِصان</w:t>
      </w:r>
      <w:r w:rsidR="0068515F">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فِي كُلِّ يَوْمٍ سَيِّئَتَانِ </w:t>
      </w:r>
      <w:r w:rsidRPr="00D10E3C">
        <w:rPr>
          <w:rStyle w:val="libFootnotenumChar"/>
          <w:rtl/>
        </w:rPr>
        <w:t>(1)</w:t>
      </w:r>
      <w:r>
        <w:rPr>
          <w:rtl/>
          <w:lang w:bidi="fa-IR"/>
        </w:rPr>
        <w:t xml:space="preserve"> ، وَكُتِبَ </w:t>
      </w:r>
      <w:r w:rsidRPr="00D10E3C">
        <w:rPr>
          <w:rStyle w:val="libFootnotenumChar"/>
          <w:rtl/>
        </w:rPr>
        <w:t>(2)</w:t>
      </w:r>
      <w:r>
        <w:rPr>
          <w:rtl/>
          <w:lang w:bidi="fa-IR"/>
        </w:rPr>
        <w:t xml:space="preserve"> لَهُ سَبْعُ </w:t>
      </w:r>
      <w:r w:rsidRPr="00D10E3C">
        <w:rPr>
          <w:rStyle w:val="libFootnotenumChar"/>
          <w:rtl/>
        </w:rPr>
        <w:t>(3)</w:t>
      </w:r>
      <w:r>
        <w:rPr>
          <w:rtl/>
          <w:lang w:bidi="fa-IR"/>
        </w:rPr>
        <w:t xml:space="preserve"> حَسَنَاتٍ ؛ وَمَنِ ارْتَبَطَ بِرْذَوْناً </w:t>
      </w:r>
      <w:r w:rsidRPr="00D10E3C">
        <w:rPr>
          <w:rStyle w:val="libFootnotenumChar"/>
          <w:rtl/>
        </w:rPr>
        <w:t>(4)</w:t>
      </w:r>
      <w:r>
        <w:rPr>
          <w:rtl/>
          <w:lang w:bidi="fa-IR"/>
        </w:rPr>
        <w:t xml:space="preserve"> يُرِيدُ بِهِ جَمَالاً ، أَوْ قَضَاءَ حَوَائِجَ </w:t>
      </w:r>
      <w:r w:rsidRPr="00D10E3C">
        <w:rPr>
          <w:rStyle w:val="libFootnotenumChar"/>
          <w:rtl/>
        </w:rPr>
        <w:t>(5)</w:t>
      </w:r>
      <w:r>
        <w:rPr>
          <w:rtl/>
          <w:lang w:bidi="fa-IR"/>
        </w:rPr>
        <w:t xml:space="preserve"> ، أَوْ دَفْعَ عَدُوٍّ عَنْهُ </w:t>
      </w:r>
      <w:r w:rsidRPr="00D10E3C">
        <w:rPr>
          <w:rStyle w:val="libFootnotenumChar"/>
          <w:rtl/>
        </w:rPr>
        <w:t>(6)</w:t>
      </w:r>
      <w:r>
        <w:rPr>
          <w:rtl/>
          <w:lang w:bidi="fa-IR"/>
        </w:rPr>
        <w:t xml:space="preserve"> ، مُحِيَتْ عَنْهُ </w:t>
      </w:r>
      <w:r w:rsidRPr="00D10E3C">
        <w:rPr>
          <w:rStyle w:val="libFootnotenumChar"/>
          <w:rtl/>
        </w:rPr>
        <w:t>(7)</w:t>
      </w:r>
      <w:r>
        <w:rPr>
          <w:rtl/>
          <w:lang w:bidi="fa-IR"/>
        </w:rPr>
        <w:t xml:space="preserve"> كُلَّ يَوْمٍ سَيِّئَةٌ وَاحِدَةٌ </w:t>
      </w:r>
      <w:r w:rsidRPr="00D10E3C">
        <w:rPr>
          <w:rStyle w:val="libFootnotenumChar"/>
          <w:rtl/>
        </w:rPr>
        <w:t>(8)</w:t>
      </w:r>
      <w:r>
        <w:rPr>
          <w:rtl/>
          <w:lang w:bidi="fa-IR"/>
        </w:rPr>
        <w:t xml:space="preserve"> ، وَكُتِبَ </w:t>
      </w:r>
      <w:r w:rsidRPr="00D10E3C">
        <w:rPr>
          <w:rStyle w:val="libFootnotenumChar"/>
          <w:rtl/>
        </w:rPr>
        <w:t>(9)</w:t>
      </w:r>
      <w:r>
        <w:rPr>
          <w:rtl/>
          <w:lang w:bidi="fa-IR"/>
        </w:rPr>
        <w:t xml:space="preserve"> لَهُ سِتُّ حَسَنَاتٍ ». </w:t>
      </w:r>
      <w:r w:rsidRPr="00D10E3C">
        <w:rPr>
          <w:rStyle w:val="libFootnotenumChar"/>
          <w:rtl/>
        </w:rPr>
        <w:t>(10)</w:t>
      </w:r>
    </w:p>
    <w:p w:rsidR="00144FA6" w:rsidRDefault="00744A1C" w:rsidP="00744A1C">
      <w:pPr>
        <w:pStyle w:val="libNormal"/>
        <w:rPr>
          <w:rtl/>
          <w:lang w:bidi="fa-IR"/>
        </w:rPr>
      </w:pPr>
      <w:r>
        <w:rPr>
          <w:rtl/>
          <w:lang w:bidi="fa-IR"/>
        </w:rPr>
        <w:t>8287 / 5. مُحَمَّدُ بْنُ يَحْيى ، عَنْ أَحْمَدَ بْنِ مُحَمَّدِ بْنِ عِيسى ، عَنْ مُحَمَّدِ بْنِ يَحْيى ، عَنْ طَلْحَةَ بْنِ زَيْدٍ :</w:t>
      </w:r>
    </w:p>
    <w:p w:rsidR="00144FA6" w:rsidRDefault="00744A1C" w:rsidP="00744A1C">
      <w:pPr>
        <w:pStyle w:val="libNormal"/>
        <w:rPr>
          <w:rtl/>
          <w:lang w:bidi="fa-IR"/>
        </w:rPr>
      </w:pPr>
      <w:r>
        <w:rPr>
          <w:rtl/>
          <w:lang w:bidi="fa-IR"/>
        </w:rPr>
        <w:t xml:space="preserve">عَنْ أَبِي عَبْدِ اللهِ ، عَنْ أَبِيهِ </w:t>
      </w:r>
      <w:r w:rsidRPr="00D10E3C">
        <w:rPr>
          <w:rStyle w:val="libFootnotenumChar"/>
          <w:rtl/>
        </w:rPr>
        <w:t>(11)</w:t>
      </w:r>
      <w:r>
        <w:rPr>
          <w:rtl/>
          <w:lang w:bidi="fa-IR"/>
        </w:rPr>
        <w:t xml:space="preserve"> </w:t>
      </w:r>
      <w:r w:rsidR="008859AA" w:rsidRPr="008859AA">
        <w:rPr>
          <w:rStyle w:val="libAlaemChar"/>
          <w:rtl/>
        </w:rPr>
        <w:t>عليهما‌السلام</w:t>
      </w:r>
      <w:r>
        <w:rPr>
          <w:rtl/>
          <w:lang w:bidi="fa-IR"/>
        </w:rPr>
        <w:t xml:space="preserve">: « أَنَّ رَسُولَ اللهِ </w:t>
      </w:r>
      <w:r w:rsidR="0017097C" w:rsidRPr="0017097C">
        <w:rPr>
          <w:rStyle w:val="libAlaemChar"/>
          <w:rtl/>
        </w:rPr>
        <w:t>صلى‌الله‌عليه‌وآله</w:t>
      </w:r>
      <w:r w:rsidR="00D10E3C">
        <w:rPr>
          <w:rtl/>
          <w:lang w:bidi="fa-IR"/>
        </w:rPr>
        <w:t xml:space="preserve"> </w:t>
      </w:r>
      <w:r>
        <w:rPr>
          <w:rtl/>
          <w:lang w:bidi="fa-IR"/>
        </w:rPr>
        <w:t xml:space="preserve">أجْرَى الْخَيْلَ الَّتِي أُضْمِرَتْ </w:t>
      </w:r>
      <w:r w:rsidRPr="00D10E3C">
        <w:rPr>
          <w:rStyle w:val="libFootnotenumChar"/>
          <w:rtl/>
        </w:rPr>
        <w:t>(12)</w:t>
      </w:r>
      <w:r>
        <w:rPr>
          <w:rtl/>
          <w:lang w:bidi="fa-IR"/>
        </w:rPr>
        <w:t xml:space="preserve"> مِنَ الْحَفْيَاءِ </w:t>
      </w:r>
      <w:r w:rsidRPr="00D10E3C">
        <w:rPr>
          <w:rStyle w:val="libFootnotenumChar"/>
          <w:rtl/>
        </w:rPr>
        <w:t>(13)</w:t>
      </w:r>
      <w:r>
        <w:rPr>
          <w:rtl/>
          <w:lang w:bidi="fa-IR"/>
        </w:rPr>
        <w:t xml:space="preserve"> إِلى مَسْجِدِ بَنِي زُرَيْقٍ </w:t>
      </w:r>
      <w:r w:rsidRPr="00D10E3C">
        <w:rPr>
          <w:rStyle w:val="libFootnotenumChar"/>
          <w:rtl/>
        </w:rPr>
        <w:t>(14)</w:t>
      </w:r>
      <w:r>
        <w:rPr>
          <w:rtl/>
          <w:lang w:bidi="fa-IR"/>
        </w:rPr>
        <w:t xml:space="preserve"> ، وَسَبَّقَهَا </w:t>
      </w:r>
      <w:r w:rsidRPr="00D10E3C">
        <w:rPr>
          <w:rStyle w:val="libFootnotenumChar"/>
          <w:rtl/>
        </w:rPr>
        <w:t>(15)</w:t>
      </w:r>
      <w:r>
        <w:rPr>
          <w:rtl/>
          <w:lang w:bidi="fa-IR"/>
        </w:rPr>
        <w:t xml:space="preserve"> مِنْ ثَلَاثِ نَخَلَاتٍ ،</w:t>
      </w:r>
    </w:p>
    <w:p w:rsidR="00744A1C" w:rsidRDefault="00744A1C" w:rsidP="00D10E3C">
      <w:pPr>
        <w:pStyle w:val="libLine"/>
        <w:rPr>
          <w:lang w:bidi="fa-IR"/>
        </w:rPr>
      </w:pPr>
      <w:r>
        <w:rPr>
          <w:rtl/>
          <w:lang w:bidi="fa-IR"/>
        </w:rPr>
        <w:t>____________________</w:t>
      </w:r>
    </w:p>
    <w:p w:rsidR="00744A1C" w:rsidRDefault="0098508F" w:rsidP="00D10E3C">
      <w:pPr>
        <w:pStyle w:val="libFootnote0"/>
        <w:rPr>
          <w:lang w:bidi="fa-IR"/>
        </w:rPr>
      </w:pPr>
      <w:r>
        <w:rPr>
          <w:rFonts w:hint="cs"/>
          <w:rtl/>
          <w:lang w:bidi="fa-IR"/>
        </w:rPr>
        <w:t xml:space="preserve">= </w:t>
      </w:r>
      <w:r w:rsidR="00744A1C">
        <w:rPr>
          <w:rtl/>
          <w:lang w:bidi="fa-IR"/>
        </w:rPr>
        <w:t xml:space="preserve">- وهو الفرس العتيق - عربيّ. راجع : </w:t>
      </w:r>
      <w:r w:rsidR="00744A1C" w:rsidRPr="00877682">
        <w:rPr>
          <w:rStyle w:val="libFootnoteBoldChar"/>
          <w:rtl/>
        </w:rPr>
        <w:t>لسان العرب</w:t>
      </w:r>
      <w:r w:rsidR="00744A1C">
        <w:rPr>
          <w:rtl/>
          <w:lang w:bidi="fa-IR"/>
        </w:rPr>
        <w:t xml:space="preserve"> ، ج 13 ، ص 431 ؛ </w:t>
      </w:r>
      <w:r w:rsidR="00744A1C" w:rsidRPr="00E978C3">
        <w:rPr>
          <w:rStyle w:val="libFootnoteBoldChar"/>
          <w:rtl/>
        </w:rPr>
        <w:t>المصباح المنير</w:t>
      </w:r>
      <w:r w:rsidR="0000378D">
        <w:rPr>
          <w:rtl/>
          <w:lang w:bidi="fa-IR"/>
        </w:rPr>
        <w:t xml:space="preserve"> ، ص 635 (هجن</w:t>
      </w:r>
      <w:r w:rsidR="00744A1C">
        <w:rPr>
          <w:rtl/>
          <w:lang w:bidi="fa-IR"/>
        </w:rPr>
        <w:t>).</w:t>
      </w:r>
    </w:p>
    <w:p w:rsidR="00744A1C" w:rsidRDefault="00D10E3C" w:rsidP="0000378D">
      <w:pPr>
        <w:pStyle w:val="libFootnote0"/>
        <w:rPr>
          <w:lang w:bidi="fa-IR"/>
        </w:rPr>
      </w:pPr>
      <w:r>
        <w:rPr>
          <w:rtl/>
          <w:lang w:bidi="fa-IR"/>
        </w:rPr>
        <w:t>(1).</w:t>
      </w:r>
      <w:r w:rsidR="00744A1C">
        <w:rPr>
          <w:rtl/>
          <w:lang w:bidi="fa-IR"/>
        </w:rPr>
        <w:t xml:space="preserve"> في « بح » : « سيّئات ».</w:t>
      </w:r>
      <w:r w:rsidR="0000378D">
        <w:rPr>
          <w:rFonts w:hint="cs"/>
          <w:rtl/>
          <w:lang w:bidi="fa-IR"/>
        </w:rPr>
        <w:t xml:space="preserve">     </w:t>
      </w:r>
      <w:r w:rsidR="00E378DD">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ح 20596 </w:t>
      </w:r>
      <w:r w:rsidR="00744A1C" w:rsidRPr="0000378D">
        <w:rPr>
          <w:rtl/>
        </w:rPr>
        <w:t>والفقيه والمحاسن وثواب الأعمال</w:t>
      </w:r>
      <w:r w:rsidR="00744A1C">
        <w:rPr>
          <w:rtl/>
          <w:lang w:bidi="fa-IR"/>
        </w:rPr>
        <w:t xml:space="preserve"> : « وكتبت ».</w:t>
      </w:r>
    </w:p>
    <w:p w:rsidR="00744A1C" w:rsidRDefault="00E378DD" w:rsidP="00E378DD">
      <w:pPr>
        <w:pStyle w:val="libFootnote0"/>
        <w:rPr>
          <w:lang w:bidi="fa-IR"/>
        </w:rPr>
      </w:pPr>
      <w:r>
        <w:rPr>
          <w:rtl/>
          <w:lang w:bidi="fa-IR"/>
        </w:rPr>
        <w:t>(3).</w:t>
      </w:r>
      <w:r w:rsidR="00744A1C">
        <w:rPr>
          <w:rtl/>
          <w:lang w:bidi="fa-IR"/>
        </w:rPr>
        <w:t xml:space="preserve"> في </w:t>
      </w:r>
      <w:r w:rsidR="00744A1C" w:rsidRPr="0000378D">
        <w:rPr>
          <w:rtl/>
        </w:rPr>
        <w:t>الفقيه</w:t>
      </w:r>
      <w:r w:rsidR="00744A1C">
        <w:rPr>
          <w:rtl/>
          <w:lang w:bidi="fa-IR"/>
        </w:rPr>
        <w:t xml:space="preserve"> : « تسع ».</w:t>
      </w:r>
    </w:p>
    <w:p w:rsidR="00744A1C" w:rsidRDefault="00E378DD" w:rsidP="0000378D">
      <w:pPr>
        <w:pStyle w:val="libFootnote0"/>
        <w:rPr>
          <w:lang w:bidi="fa-IR"/>
        </w:rPr>
      </w:pPr>
      <w:r>
        <w:rPr>
          <w:rtl/>
          <w:lang w:bidi="fa-IR"/>
        </w:rPr>
        <w:t>(4).</w:t>
      </w:r>
      <w:r w:rsidR="00744A1C">
        <w:rPr>
          <w:rtl/>
          <w:lang w:bidi="fa-IR"/>
        </w:rPr>
        <w:t xml:space="preserve"> البِرْذَوْن : نوع من الدابّة ، وهو ما كان من غير تناج العِراب. راجع : </w:t>
      </w:r>
      <w:r w:rsidR="00744A1C" w:rsidRPr="00877682">
        <w:rPr>
          <w:rStyle w:val="libFootnoteBoldChar"/>
          <w:rtl/>
        </w:rPr>
        <w:t>لسان العرب</w:t>
      </w:r>
      <w:r w:rsidR="00744A1C">
        <w:rPr>
          <w:rtl/>
          <w:lang w:bidi="fa-IR"/>
        </w:rPr>
        <w:t xml:space="preserve"> ، ج 13 ، ص 51 ؛ تاج العروس ، ج 18 ، ص 54 ( برذن ).</w:t>
      </w:r>
      <w:r w:rsidR="00402829">
        <w:rPr>
          <w:rFonts w:hint="cs"/>
          <w:rtl/>
          <w:lang w:bidi="fa-IR"/>
        </w:rPr>
        <w:t xml:space="preserve">                </w:t>
      </w:r>
      <w:r w:rsidR="0000378D">
        <w:rPr>
          <w:rFonts w:hint="cs"/>
          <w:rtl/>
          <w:lang w:bidi="fa-IR"/>
        </w:rPr>
        <w:t xml:space="preserve">      </w:t>
      </w:r>
      <w:r>
        <w:rPr>
          <w:rtl/>
          <w:lang w:bidi="fa-IR"/>
        </w:rPr>
        <w:t>(5).</w:t>
      </w:r>
      <w:r w:rsidR="00744A1C">
        <w:rPr>
          <w:rtl/>
          <w:lang w:bidi="fa-IR"/>
        </w:rPr>
        <w:t xml:space="preserve"> في </w:t>
      </w:r>
      <w:r w:rsidR="00744A1C" w:rsidRPr="0000378D">
        <w:rPr>
          <w:rtl/>
        </w:rPr>
        <w:t>الوافي ، ح</w:t>
      </w:r>
      <w:r w:rsidR="00744A1C">
        <w:rPr>
          <w:rtl/>
          <w:lang w:bidi="fa-IR"/>
        </w:rPr>
        <w:t xml:space="preserve"> 20596 : « حاجة ».</w:t>
      </w:r>
    </w:p>
    <w:tbl>
      <w:tblPr>
        <w:tblStyle w:val="TableGrid"/>
        <w:bidiVisual/>
        <w:tblW w:w="0" w:type="auto"/>
        <w:tblLook w:val="04A0" w:firstRow="1" w:lastRow="0" w:firstColumn="1" w:lastColumn="0" w:noHBand="0" w:noVBand="1"/>
      </w:tblPr>
      <w:tblGrid>
        <w:gridCol w:w="4006"/>
        <w:gridCol w:w="4006"/>
      </w:tblGrid>
      <w:tr w:rsidR="0000378D" w:rsidTr="0000378D">
        <w:tc>
          <w:tcPr>
            <w:tcW w:w="4006" w:type="dxa"/>
          </w:tcPr>
          <w:p w:rsidR="0000378D" w:rsidRDefault="0000378D" w:rsidP="00E378DD">
            <w:pPr>
              <w:pStyle w:val="libFootnote0"/>
              <w:rPr>
                <w:rtl/>
                <w:lang w:bidi="fa-IR"/>
              </w:rPr>
            </w:pPr>
            <w:r>
              <w:rPr>
                <w:rtl/>
                <w:lang w:bidi="fa-IR"/>
              </w:rPr>
              <w:t xml:space="preserve">(6). في </w:t>
            </w:r>
            <w:r w:rsidRPr="0000378D">
              <w:rPr>
                <w:rtl/>
              </w:rPr>
              <w:t>الوافي ،</w:t>
            </w:r>
            <w:r>
              <w:rPr>
                <w:rtl/>
                <w:lang w:bidi="fa-IR"/>
              </w:rPr>
              <w:t xml:space="preserve"> ح 20596 : - « عنه ».</w:t>
            </w:r>
          </w:p>
        </w:tc>
        <w:tc>
          <w:tcPr>
            <w:tcW w:w="4006" w:type="dxa"/>
          </w:tcPr>
          <w:p w:rsidR="0000378D" w:rsidRDefault="0000378D" w:rsidP="00E378DD">
            <w:pPr>
              <w:pStyle w:val="libFootnote0"/>
              <w:rPr>
                <w:rtl/>
                <w:lang w:bidi="fa-IR"/>
              </w:rPr>
            </w:pPr>
            <w:r>
              <w:rPr>
                <w:rtl/>
                <w:lang w:bidi="fa-IR"/>
              </w:rPr>
              <w:t xml:space="preserve">(7). في </w:t>
            </w:r>
            <w:r w:rsidRPr="0000378D">
              <w:rPr>
                <w:rtl/>
              </w:rPr>
              <w:t>الوافي</w:t>
            </w:r>
            <w:r>
              <w:rPr>
                <w:rtl/>
                <w:lang w:bidi="fa-IR"/>
              </w:rPr>
              <w:t>،ح 20596</w:t>
            </w:r>
            <w:r w:rsidRPr="0000378D">
              <w:rPr>
                <w:rtl/>
              </w:rPr>
              <w:t>والفقيه والمحاسن : + « في »</w:t>
            </w:r>
            <w:r>
              <w:rPr>
                <w:rtl/>
                <w:lang w:bidi="fa-IR"/>
              </w:rPr>
              <w:t>.</w:t>
            </w:r>
          </w:p>
        </w:tc>
      </w:tr>
    </w:tbl>
    <w:p w:rsidR="00744A1C" w:rsidRDefault="00E378DD" w:rsidP="00E378DD">
      <w:pPr>
        <w:pStyle w:val="libFootnote0"/>
        <w:rPr>
          <w:lang w:bidi="fa-IR"/>
        </w:rPr>
      </w:pPr>
      <w:r>
        <w:rPr>
          <w:rtl/>
          <w:lang w:bidi="fa-IR"/>
        </w:rPr>
        <w:t>(8).</w:t>
      </w:r>
      <w:r w:rsidR="00744A1C">
        <w:rPr>
          <w:rtl/>
          <w:lang w:bidi="fa-IR"/>
        </w:rPr>
        <w:t xml:space="preserve"> </w:t>
      </w:r>
      <w:r w:rsidR="00744A1C" w:rsidRPr="0000378D">
        <w:rPr>
          <w:rtl/>
        </w:rPr>
        <w:t>في الفقيه والمحاسن وثواب الأعمال : - « واحد</w:t>
      </w:r>
      <w:r w:rsidR="00744A1C">
        <w:rPr>
          <w:rtl/>
          <w:lang w:bidi="fa-IR"/>
        </w:rPr>
        <w:t>ة ».</w:t>
      </w:r>
    </w:p>
    <w:p w:rsidR="00744A1C" w:rsidRDefault="00E378DD" w:rsidP="00E378DD">
      <w:pPr>
        <w:pStyle w:val="libFootnote0"/>
        <w:rPr>
          <w:lang w:bidi="fa-IR"/>
        </w:rPr>
      </w:pPr>
      <w:r>
        <w:rPr>
          <w:rtl/>
          <w:lang w:bidi="fa-IR"/>
        </w:rPr>
        <w:t>(9).</w:t>
      </w:r>
      <w:r w:rsidR="00744A1C">
        <w:rPr>
          <w:rtl/>
          <w:lang w:bidi="fa-IR"/>
        </w:rPr>
        <w:t xml:space="preserve"> في </w:t>
      </w:r>
      <w:r w:rsidR="00744A1C" w:rsidRPr="0000378D">
        <w:rPr>
          <w:rtl/>
        </w:rPr>
        <w:t>الوافي</w:t>
      </w:r>
      <w:r w:rsidR="00744A1C">
        <w:rPr>
          <w:rtl/>
          <w:lang w:bidi="fa-IR"/>
        </w:rPr>
        <w:t xml:space="preserve"> ، ح 20596 </w:t>
      </w:r>
      <w:r w:rsidR="00744A1C" w:rsidRPr="0000378D">
        <w:rPr>
          <w:rtl/>
        </w:rPr>
        <w:t>والفقيه والمحاسن وثواب الأعمال</w:t>
      </w:r>
      <w:r w:rsidR="00744A1C">
        <w:rPr>
          <w:rtl/>
          <w:lang w:bidi="fa-IR"/>
        </w:rPr>
        <w:t xml:space="preserve"> : « وكتبت ».</w:t>
      </w:r>
    </w:p>
    <w:p w:rsidR="00744A1C" w:rsidRDefault="00E378DD" w:rsidP="00E378DD">
      <w:pPr>
        <w:pStyle w:val="libFootnote0"/>
        <w:rPr>
          <w:lang w:bidi="fa-IR"/>
        </w:rPr>
      </w:pPr>
      <w:r>
        <w:rPr>
          <w:rtl/>
          <w:lang w:bidi="fa-IR"/>
        </w:rPr>
        <w:t>(10).</w:t>
      </w:r>
      <w:r w:rsidR="00744A1C">
        <w:rPr>
          <w:rtl/>
          <w:lang w:bidi="fa-IR"/>
        </w:rPr>
        <w:t xml:space="preserve"> </w:t>
      </w:r>
      <w:r w:rsidR="00744A1C" w:rsidRPr="003A7143">
        <w:rPr>
          <w:rStyle w:val="libFootnoteBoldChar"/>
          <w:rtl/>
        </w:rPr>
        <w:t>المحاسن</w:t>
      </w:r>
      <w:r w:rsidR="00744A1C">
        <w:rPr>
          <w:rtl/>
          <w:lang w:bidi="fa-IR"/>
        </w:rPr>
        <w:t xml:space="preserve"> ، ص 631 ، كتاب المرافق ، ح 113 ، عن القاسم بن يحيى. </w:t>
      </w:r>
      <w:r w:rsidR="00744A1C" w:rsidRPr="0000378D">
        <w:rPr>
          <w:rStyle w:val="libFootnoteBoldChar"/>
          <w:rtl/>
        </w:rPr>
        <w:t>ثواب الأعمال</w:t>
      </w:r>
      <w:r w:rsidR="00744A1C">
        <w:rPr>
          <w:rtl/>
          <w:lang w:bidi="fa-IR"/>
        </w:rPr>
        <w:t xml:space="preserve"> ، ص 226 ، ح 1 ، بسنده عن أحمد بن أبي عبد الله ، عن القاسم بن يحيى. </w:t>
      </w:r>
      <w:r w:rsidR="00744A1C" w:rsidRPr="00C24F9C">
        <w:rPr>
          <w:rStyle w:val="libFootnoteBoldChar"/>
          <w:rtl/>
        </w:rPr>
        <w:t>الفقيه</w:t>
      </w:r>
      <w:r w:rsidR="00744A1C">
        <w:rPr>
          <w:rtl/>
          <w:lang w:bidi="fa-IR"/>
        </w:rPr>
        <w:t xml:space="preserve"> ، ج 2 ، ص 284 ، صدر ح 2461 ، بسنده عن سليمان بن جعفر الجعفري ، عن أبي الحسن </w:t>
      </w:r>
      <w:r w:rsidR="0061079A" w:rsidRPr="0061079A">
        <w:rPr>
          <w:rStyle w:val="libFootnoteAlaemChar"/>
          <w:rtl/>
        </w:rPr>
        <w:t>عليه‌السلام</w:t>
      </w:r>
      <w:r w:rsidR="00D10E3C">
        <w:rPr>
          <w:rtl/>
          <w:lang w:bidi="fa-IR"/>
        </w:rPr>
        <w:t xml:space="preserve"> </w:t>
      </w:r>
      <w:r w:rsidR="0000378D">
        <w:rPr>
          <w:rFonts w:hint="cs"/>
          <w:rtl/>
          <w:lang w:bidi="fa-IR"/>
        </w:rPr>
        <w:t>.</w:t>
      </w:r>
      <w:r w:rsidR="00744A1C" w:rsidRPr="00C24F9C">
        <w:rPr>
          <w:rStyle w:val="libFootnoteBoldChar"/>
          <w:rtl/>
        </w:rPr>
        <w:t>الوافي</w:t>
      </w:r>
      <w:r w:rsidR="00744A1C">
        <w:rPr>
          <w:rtl/>
          <w:lang w:bidi="fa-IR"/>
        </w:rPr>
        <w:t xml:space="preserve"> ، ج 15 ، ص 156 ، ح 14832 ؛ وج 20 ، ص 827 ، ح 20596 ؛ </w:t>
      </w:r>
      <w:r w:rsidR="00744A1C" w:rsidRPr="00C24F9C">
        <w:rPr>
          <w:rStyle w:val="libFootnoteBoldChar"/>
          <w:rtl/>
        </w:rPr>
        <w:t>الوسائل</w:t>
      </w:r>
      <w:r w:rsidR="00744A1C">
        <w:rPr>
          <w:rtl/>
          <w:lang w:bidi="fa-IR"/>
        </w:rPr>
        <w:t xml:space="preserve"> ، ج 11 ، ص 471 ، ح 15288 ؛ </w:t>
      </w:r>
      <w:r w:rsidR="00744A1C" w:rsidRPr="0061079A">
        <w:rPr>
          <w:rStyle w:val="libFootnoteBoldChar"/>
          <w:rtl/>
        </w:rPr>
        <w:t>البحار</w:t>
      </w:r>
      <w:r w:rsidR="00744A1C">
        <w:rPr>
          <w:rtl/>
          <w:lang w:bidi="fa-IR"/>
        </w:rPr>
        <w:t xml:space="preserve"> ، ج 64 ، ص 165 ، ذيل ح 10.</w:t>
      </w:r>
    </w:p>
    <w:p w:rsidR="00744A1C" w:rsidRDefault="00E378DD" w:rsidP="00E378DD">
      <w:pPr>
        <w:pStyle w:val="libFootnote0"/>
        <w:rPr>
          <w:lang w:bidi="fa-IR"/>
        </w:rPr>
      </w:pPr>
      <w:r>
        <w:rPr>
          <w:rtl/>
          <w:lang w:bidi="fa-IR"/>
        </w:rPr>
        <w:t>(11).</w:t>
      </w:r>
      <w:r w:rsidR="00744A1C">
        <w:rPr>
          <w:rtl/>
          <w:lang w:bidi="fa-IR"/>
        </w:rPr>
        <w:t xml:space="preserve"> في </w:t>
      </w:r>
      <w:r w:rsidR="00744A1C" w:rsidRPr="0000378D">
        <w:rPr>
          <w:rtl/>
        </w:rPr>
        <w:t>الوافي والوسائل</w:t>
      </w:r>
      <w:r w:rsidR="00744A1C">
        <w:rPr>
          <w:rtl/>
          <w:lang w:bidi="fa-IR"/>
        </w:rPr>
        <w:t xml:space="preserve"> ح 24521 : - « عن أبيه ».</w:t>
      </w:r>
    </w:p>
    <w:p w:rsidR="00744A1C" w:rsidRDefault="00E378DD" w:rsidP="00E378DD">
      <w:pPr>
        <w:pStyle w:val="libFootnote0"/>
        <w:rPr>
          <w:lang w:bidi="fa-IR"/>
        </w:rPr>
      </w:pPr>
      <w:r>
        <w:rPr>
          <w:rtl/>
          <w:lang w:bidi="fa-IR"/>
        </w:rPr>
        <w:t>(12).</w:t>
      </w:r>
      <w:r w:rsidR="00744A1C">
        <w:rPr>
          <w:rtl/>
          <w:lang w:bidi="fa-IR"/>
        </w:rPr>
        <w:t xml:space="preserve"> تَضمير الفَرَس وإضماره : أن تَعلفه حتّى يسمن ، ثمّ تردّه إلى القوت. </w:t>
      </w:r>
      <w:r w:rsidR="00744A1C" w:rsidRPr="00E978C3">
        <w:rPr>
          <w:rStyle w:val="libFootnoteBoldChar"/>
          <w:rtl/>
        </w:rPr>
        <w:t>الصحاح</w:t>
      </w:r>
      <w:r w:rsidR="00744A1C">
        <w:rPr>
          <w:rtl/>
          <w:lang w:bidi="fa-IR"/>
        </w:rPr>
        <w:t xml:space="preserve"> ، ج 2 ، ص 722 ؛ المصباح‌المنير ، ص 364 ( ضمر ).</w:t>
      </w:r>
    </w:p>
    <w:p w:rsidR="00744A1C" w:rsidRDefault="00E378DD" w:rsidP="00E378DD">
      <w:pPr>
        <w:pStyle w:val="libFootnote0"/>
        <w:rPr>
          <w:lang w:bidi="fa-IR"/>
        </w:rPr>
      </w:pPr>
      <w:r>
        <w:rPr>
          <w:rtl/>
          <w:lang w:bidi="fa-IR"/>
        </w:rPr>
        <w:t>(13).</w:t>
      </w:r>
      <w:r w:rsidR="00744A1C">
        <w:rPr>
          <w:rtl/>
          <w:lang w:bidi="fa-IR"/>
        </w:rPr>
        <w:t xml:space="preserve"> في « بح » وحاشية « جت » : « الحصباء ». وفي « ى ، بس ، جد » وحاشية « بث » : « الحصا ». وفي « بث » : « الحفنا ». وفي « جن » : « الحصبار ». وفي حاشية « جت » و</w:t>
      </w:r>
      <w:r w:rsidR="00744A1C" w:rsidRPr="00C24F9C">
        <w:rPr>
          <w:rStyle w:val="libFootnoteBoldChar"/>
          <w:rtl/>
        </w:rPr>
        <w:t>الوسائل</w:t>
      </w:r>
      <w:r w:rsidR="00744A1C">
        <w:rPr>
          <w:rtl/>
          <w:lang w:bidi="fa-IR"/>
        </w:rPr>
        <w:t xml:space="preserve"> ، ح 24521 : « الحصى ». وفي </w:t>
      </w:r>
      <w:r w:rsidR="00744A1C" w:rsidRPr="0061079A">
        <w:rPr>
          <w:rStyle w:val="libFootnoteBoldChar"/>
          <w:rtl/>
        </w:rPr>
        <w:t>البحار</w:t>
      </w:r>
      <w:r w:rsidR="00744A1C">
        <w:rPr>
          <w:rtl/>
          <w:lang w:bidi="fa-IR"/>
        </w:rPr>
        <w:t xml:space="preserve"> ، ج 16 و 19 : « الحصباء ». و « الحَفْياء » بالمدّ والقصر : موضع بالمدينة على أميال ، وبعضهم يقدّم الياء على الفاء. </w:t>
      </w:r>
      <w:r w:rsidR="00744A1C" w:rsidRPr="00877682">
        <w:rPr>
          <w:rStyle w:val="libFootnoteBoldChar"/>
          <w:rtl/>
        </w:rPr>
        <w:t>النهاية</w:t>
      </w:r>
      <w:r w:rsidR="00744A1C">
        <w:rPr>
          <w:rtl/>
          <w:lang w:bidi="fa-IR"/>
        </w:rPr>
        <w:t xml:space="preserve"> ، ج 1 ، ص 411 ( حفى ).</w:t>
      </w:r>
    </w:p>
    <w:p w:rsidR="00744A1C" w:rsidRDefault="00E378DD" w:rsidP="00E378DD">
      <w:pPr>
        <w:pStyle w:val="libFootnote0"/>
        <w:rPr>
          <w:lang w:bidi="fa-IR"/>
        </w:rPr>
      </w:pPr>
      <w:r>
        <w:rPr>
          <w:rtl/>
          <w:lang w:bidi="fa-IR"/>
        </w:rPr>
        <w:t>(14).</w:t>
      </w:r>
      <w:r w:rsidR="00744A1C">
        <w:rPr>
          <w:rtl/>
          <w:lang w:bidi="fa-IR"/>
        </w:rPr>
        <w:t xml:space="preserve"> بَنو زُرَيق : خلق من الأنصار ، والنسبة كجُهَني. </w:t>
      </w:r>
      <w:r w:rsidR="00744A1C" w:rsidRPr="008A57EB">
        <w:rPr>
          <w:rStyle w:val="libFootnoteBoldChar"/>
          <w:rtl/>
        </w:rPr>
        <w:t>القاموس المحيط</w:t>
      </w:r>
      <w:r w:rsidR="00744A1C">
        <w:rPr>
          <w:rtl/>
          <w:lang w:bidi="fa-IR"/>
        </w:rPr>
        <w:t xml:space="preserve"> ، ج 3 ، ص 241 ( زرق ).</w:t>
      </w:r>
    </w:p>
    <w:p w:rsidR="00144FA6" w:rsidRDefault="00E378DD" w:rsidP="00E378DD">
      <w:pPr>
        <w:pStyle w:val="libFootnote0"/>
        <w:rPr>
          <w:rtl/>
          <w:lang w:bidi="fa-IR"/>
        </w:rPr>
      </w:pPr>
      <w:r>
        <w:rPr>
          <w:rtl/>
          <w:lang w:bidi="fa-IR"/>
        </w:rPr>
        <w:t>(15).</w:t>
      </w:r>
      <w:r w:rsidR="00744A1C">
        <w:rPr>
          <w:rtl/>
          <w:lang w:bidi="fa-IR"/>
        </w:rPr>
        <w:t xml:space="preserve"> السَّبَق - محرّكة - : الخَطَرُ الذي يوضع بين أهل السِّباق ويُراهَنُ عليه. والجمع : الأسباق. والتسبيق : إعطاء</w:t>
      </w:r>
      <w:r w:rsidR="0000378D">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فَأَعْطَى </w:t>
      </w:r>
      <w:r w:rsidRPr="00D10E3C">
        <w:rPr>
          <w:rStyle w:val="libFootnotenumChar"/>
          <w:rtl/>
        </w:rPr>
        <w:t>(1)</w:t>
      </w:r>
      <w:r>
        <w:rPr>
          <w:rtl/>
          <w:lang w:bidi="fa-IR"/>
        </w:rPr>
        <w:t xml:space="preserve"> السَّابِقَ عَذْقاً </w:t>
      </w:r>
      <w:r w:rsidRPr="00D10E3C">
        <w:rPr>
          <w:rStyle w:val="libFootnotenumChar"/>
          <w:rtl/>
        </w:rPr>
        <w:t>(2)</w:t>
      </w:r>
      <w:r>
        <w:rPr>
          <w:rtl/>
          <w:lang w:bidi="fa-IR"/>
        </w:rPr>
        <w:t xml:space="preserve"> ، وَأَعْطَى الْمُصَلِّيَ </w:t>
      </w:r>
      <w:r w:rsidRPr="00D10E3C">
        <w:rPr>
          <w:rStyle w:val="libFootnotenumChar"/>
          <w:rtl/>
        </w:rPr>
        <w:t>(3)</w:t>
      </w:r>
      <w:r>
        <w:rPr>
          <w:rtl/>
          <w:lang w:bidi="fa-IR"/>
        </w:rPr>
        <w:t xml:space="preserve"> عَذْقاً </w:t>
      </w:r>
      <w:r w:rsidRPr="00D10E3C">
        <w:rPr>
          <w:rStyle w:val="libFootnotenumChar"/>
          <w:rtl/>
        </w:rPr>
        <w:t>(4)</w:t>
      </w:r>
      <w:r>
        <w:rPr>
          <w:rtl/>
          <w:lang w:bidi="fa-IR"/>
        </w:rPr>
        <w:t xml:space="preserve"> ، وَأَعْطَى الثَّالِثَ عَذْقاً ».</w:t>
      </w:r>
    </w:p>
    <w:p w:rsidR="00144FA6" w:rsidRDefault="00AE5D28" w:rsidP="00AE5D28">
      <w:pPr>
        <w:pStyle w:val="libNormal"/>
        <w:rPr>
          <w:rtl/>
          <w:lang w:bidi="fa-IR"/>
        </w:rPr>
      </w:pPr>
      <w:r>
        <w:rPr>
          <w:rFonts w:hint="cs"/>
          <w:rtl/>
          <w:lang w:bidi="fa-IR"/>
        </w:rPr>
        <w:t xml:space="preserve">* </w:t>
      </w:r>
      <w:r w:rsidR="00744A1C">
        <w:rPr>
          <w:rtl/>
          <w:lang w:bidi="fa-IR"/>
        </w:rPr>
        <w:t xml:space="preserve">عَلِيُّ بْنُ إِبْرَاهِيمَ ، عَنْ أَبِيهِ ، عَنْ مُحَمَّدِ بْنِ يَحْيى ، عَنْ طَلْحَةَ بْنِ زَيْدٍ </w:t>
      </w:r>
      <w:r w:rsidR="00744A1C" w:rsidRPr="00D10E3C">
        <w:rPr>
          <w:rStyle w:val="libFootnotenumChar"/>
          <w:rtl/>
        </w:rPr>
        <w:t>(5)</w:t>
      </w:r>
      <w:r w:rsidR="00744A1C">
        <w:rPr>
          <w:rtl/>
          <w:lang w:bidi="fa-IR"/>
        </w:rPr>
        <w:t xml:space="preserve"> ، عَنْ أَبِي عَبْدِ اللهِ </w:t>
      </w:r>
      <w:r w:rsidR="0061079A" w:rsidRPr="0061079A">
        <w:rPr>
          <w:rStyle w:val="libAlaemChar"/>
          <w:rtl/>
        </w:rPr>
        <w:t>عليه‌السلام</w:t>
      </w:r>
      <w:r w:rsidR="00D10E3C">
        <w:rPr>
          <w:rtl/>
          <w:lang w:bidi="fa-IR"/>
        </w:rPr>
        <w:t xml:space="preserve"> </w:t>
      </w:r>
      <w:r w:rsidR="00744A1C">
        <w:rPr>
          <w:rtl/>
          <w:lang w:bidi="fa-IR"/>
        </w:rPr>
        <w:t xml:space="preserve">مِثْلَهُ سَوَاءً </w:t>
      </w:r>
      <w:r w:rsidR="00744A1C" w:rsidRPr="00D10E3C">
        <w:rPr>
          <w:rStyle w:val="libFootnotenumChar"/>
          <w:rtl/>
        </w:rPr>
        <w:t>(6)</w:t>
      </w:r>
      <w:r>
        <w:rPr>
          <w:rFonts w:hint="cs"/>
          <w:rtl/>
          <w:lang w:bidi="fa-IR"/>
        </w:rPr>
        <w:t>.</w:t>
      </w:r>
      <w:r w:rsidR="00744A1C" w:rsidRPr="00D10E3C">
        <w:rPr>
          <w:rStyle w:val="libFootnotenumChar"/>
          <w:rtl/>
        </w:rPr>
        <w:t>(7)</w:t>
      </w:r>
    </w:p>
    <w:p w:rsidR="00144FA6" w:rsidRDefault="00744A1C" w:rsidP="00744A1C">
      <w:pPr>
        <w:pStyle w:val="libNormal"/>
        <w:rPr>
          <w:rtl/>
          <w:lang w:bidi="fa-IR"/>
        </w:rPr>
      </w:pPr>
      <w:r>
        <w:rPr>
          <w:rtl/>
          <w:lang w:bidi="fa-IR"/>
        </w:rPr>
        <w:t>8288 / 6. الْحُسَيْنُ بْنُ مُحَمَّدٍ الْأَشْعَرِيُّ ، عَنْ مُعَلَّى بْنِ مُحَمَّدٍ ، عَنِ الْوَشَّاءِ ، عَنْ عَبْدِ اللهِ بْنِ سِنَانٍ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سَمِعْتُهُ يَقُولُ : « لَا سَبَقَ </w:t>
      </w:r>
      <w:r w:rsidRPr="00D10E3C">
        <w:rPr>
          <w:rStyle w:val="libFootnotenumChar"/>
          <w:rtl/>
        </w:rPr>
        <w:t>(8)</w:t>
      </w:r>
      <w:r w:rsidR="003F40B4">
        <w:rPr>
          <w:rtl/>
          <w:lang w:bidi="fa-IR"/>
        </w:rPr>
        <w:t xml:space="preserve"> إِل</w:t>
      </w:r>
      <w:r w:rsidR="003F40B4">
        <w:rPr>
          <w:rFonts w:hint="cs"/>
          <w:rtl/>
          <w:lang w:bidi="fa-IR"/>
        </w:rPr>
        <w:t>َّ</w:t>
      </w:r>
      <w:r w:rsidR="003F40B4">
        <w:rPr>
          <w:rtl/>
          <w:lang w:bidi="fa-IR"/>
        </w:rPr>
        <w:t>ا</w:t>
      </w:r>
      <w:r>
        <w:rPr>
          <w:rtl/>
          <w:lang w:bidi="fa-IR"/>
        </w:rPr>
        <w:t xml:space="preserve"> فِي خُفٍّ ، أَوْ حَافِرٍ ، أَوْ‌</w:t>
      </w:r>
    </w:p>
    <w:p w:rsidR="00744A1C" w:rsidRDefault="00744A1C" w:rsidP="00D10E3C">
      <w:pPr>
        <w:pStyle w:val="libLine"/>
        <w:rPr>
          <w:lang w:bidi="fa-IR"/>
        </w:rPr>
      </w:pPr>
      <w:r>
        <w:rPr>
          <w:rtl/>
          <w:lang w:bidi="fa-IR"/>
        </w:rPr>
        <w:t>____________________</w:t>
      </w:r>
    </w:p>
    <w:p w:rsidR="00744A1C" w:rsidRDefault="004D7F1A" w:rsidP="00D10E3C">
      <w:pPr>
        <w:pStyle w:val="libFootnote0"/>
        <w:rPr>
          <w:lang w:bidi="fa-IR"/>
        </w:rPr>
      </w:pPr>
      <w:r>
        <w:rPr>
          <w:rFonts w:hint="cs"/>
          <w:rtl/>
          <w:lang w:bidi="fa-IR"/>
        </w:rPr>
        <w:t xml:space="preserve">= </w:t>
      </w:r>
      <w:r w:rsidR="00744A1C">
        <w:rPr>
          <w:rtl/>
          <w:lang w:bidi="fa-IR"/>
        </w:rPr>
        <w:t xml:space="preserve">السَبَق وأخذه ، من الأضداد. وقال في </w:t>
      </w:r>
      <w:r w:rsidR="00744A1C" w:rsidRPr="00C24F9C">
        <w:rPr>
          <w:rStyle w:val="libFootnoteBoldChar"/>
          <w:rtl/>
        </w:rPr>
        <w:t>الوافي</w:t>
      </w:r>
      <w:r w:rsidR="00744A1C">
        <w:rPr>
          <w:rtl/>
          <w:lang w:bidi="fa-IR"/>
        </w:rPr>
        <w:t xml:space="preserve"> : « البارز في : « سبّقها » إن أرجعناه إلى الرهانة أو الجماعة فَمِن بمعنى الباء ، وإن أب</w:t>
      </w:r>
      <w:r>
        <w:rPr>
          <w:rtl/>
          <w:lang w:bidi="fa-IR"/>
        </w:rPr>
        <w:t>همناه فمن بيانيّة ». وقال العل</w:t>
      </w:r>
      <w:r>
        <w:rPr>
          <w:rFonts w:hint="cs"/>
          <w:rtl/>
          <w:lang w:bidi="fa-IR"/>
        </w:rPr>
        <w:t>ّ</w:t>
      </w:r>
      <w:r>
        <w:rPr>
          <w:rtl/>
          <w:lang w:bidi="fa-IR"/>
        </w:rPr>
        <w:t>ا</w:t>
      </w:r>
      <w:r w:rsidR="00744A1C">
        <w:rPr>
          <w:rtl/>
          <w:lang w:bidi="fa-IR"/>
        </w:rPr>
        <w:t xml:space="preserve">مة المجلسي </w:t>
      </w:r>
      <w:r w:rsidR="00877682" w:rsidRPr="00877682">
        <w:rPr>
          <w:rStyle w:val="libFootnoteAlaemChar"/>
          <w:rtl/>
        </w:rPr>
        <w:t>رحمه‌الله</w:t>
      </w:r>
      <w:r w:rsidR="00946A46" w:rsidRPr="00946A46">
        <w:rPr>
          <w:rFonts w:hint="cs"/>
          <w:rtl/>
        </w:rPr>
        <w:t xml:space="preserve"> </w:t>
      </w:r>
      <w:r w:rsidR="00744A1C">
        <w:rPr>
          <w:rtl/>
          <w:lang w:bidi="fa-IR"/>
        </w:rPr>
        <w:t xml:space="preserve">في </w:t>
      </w:r>
      <w:r w:rsidR="00744A1C" w:rsidRPr="00C24F9C">
        <w:rPr>
          <w:rStyle w:val="libFootnoteBoldChar"/>
          <w:rtl/>
        </w:rPr>
        <w:t>المرآة</w:t>
      </w:r>
      <w:r w:rsidR="00744A1C">
        <w:rPr>
          <w:rtl/>
          <w:lang w:bidi="fa-IR"/>
        </w:rPr>
        <w:t xml:space="preserve"> نحوه ، ثمّ استبعد الثاني. وراجع : </w:t>
      </w:r>
      <w:r w:rsidR="00744A1C" w:rsidRPr="00877682">
        <w:rPr>
          <w:rStyle w:val="libFootnoteBoldChar"/>
          <w:rtl/>
        </w:rPr>
        <w:t>لسان العرب</w:t>
      </w:r>
      <w:r w:rsidR="00744A1C">
        <w:rPr>
          <w:rtl/>
          <w:lang w:bidi="fa-IR"/>
        </w:rPr>
        <w:t xml:space="preserve"> ، ج 10 ، ص 151 ( سبق ).</w:t>
      </w:r>
    </w:p>
    <w:p w:rsidR="00744A1C" w:rsidRDefault="00D10E3C" w:rsidP="00D10E3C">
      <w:pPr>
        <w:pStyle w:val="libFootnote0"/>
        <w:rPr>
          <w:lang w:bidi="fa-IR"/>
        </w:rPr>
      </w:pPr>
      <w:r>
        <w:rPr>
          <w:rtl/>
          <w:lang w:bidi="fa-IR"/>
        </w:rPr>
        <w:t>(1).</w:t>
      </w:r>
      <w:r w:rsidR="00744A1C">
        <w:rPr>
          <w:rtl/>
          <w:lang w:bidi="fa-IR"/>
        </w:rPr>
        <w:t xml:space="preserve"> في « بس » : « وأعطى ».</w:t>
      </w:r>
    </w:p>
    <w:p w:rsidR="00744A1C" w:rsidRDefault="00E378DD" w:rsidP="00E378DD">
      <w:pPr>
        <w:pStyle w:val="libFootnote0"/>
        <w:rPr>
          <w:lang w:bidi="fa-IR"/>
        </w:rPr>
      </w:pPr>
      <w:r>
        <w:rPr>
          <w:rtl/>
          <w:lang w:bidi="fa-IR"/>
        </w:rPr>
        <w:t>(2).</w:t>
      </w:r>
      <w:r w:rsidR="00744A1C">
        <w:rPr>
          <w:rtl/>
          <w:lang w:bidi="fa-IR"/>
        </w:rPr>
        <w:t xml:space="preserve"> العَذْق : النخلة بحملها. </w:t>
      </w:r>
      <w:r w:rsidR="00744A1C" w:rsidRPr="00E978C3">
        <w:rPr>
          <w:rStyle w:val="libFootnoteBoldChar"/>
          <w:rtl/>
        </w:rPr>
        <w:t>الصحاح</w:t>
      </w:r>
      <w:r w:rsidR="00744A1C">
        <w:rPr>
          <w:rtl/>
          <w:lang w:bidi="fa-IR"/>
        </w:rPr>
        <w:t xml:space="preserve"> ، ج 4 ، ص 1522 ( عذق ).</w:t>
      </w:r>
    </w:p>
    <w:p w:rsidR="00744A1C" w:rsidRDefault="00E378DD" w:rsidP="00E378DD">
      <w:pPr>
        <w:pStyle w:val="libFootnote0"/>
        <w:rPr>
          <w:lang w:bidi="fa-IR"/>
        </w:rPr>
      </w:pPr>
      <w:r>
        <w:rPr>
          <w:rtl/>
          <w:lang w:bidi="fa-IR"/>
        </w:rPr>
        <w:t>(3).</w:t>
      </w:r>
      <w:r w:rsidR="00744A1C">
        <w:rPr>
          <w:rtl/>
          <w:lang w:bidi="fa-IR"/>
        </w:rPr>
        <w:t xml:space="preserve"> إذا أتى الفَرَس على أثر الفرس السابق قيل : قد صلّى وجاء مصلّياً ؛ لأنّ رأسه يتلو الصَّلا الذي بين يديه. والصَّلا : وَسَطُ الظَّهر لكلّ ذي أربع وللناس. </w:t>
      </w:r>
      <w:r w:rsidR="00744A1C" w:rsidRPr="00E978C3">
        <w:rPr>
          <w:rStyle w:val="libFootnoteBoldChar"/>
          <w:rtl/>
        </w:rPr>
        <w:t>ترتيب كتاب العين</w:t>
      </w:r>
      <w:r w:rsidR="00744A1C">
        <w:rPr>
          <w:rtl/>
          <w:lang w:bidi="fa-IR"/>
        </w:rPr>
        <w:t xml:space="preserve"> ، ج 2 ، ص 1006 ( صلو ).</w:t>
      </w:r>
    </w:p>
    <w:p w:rsidR="00744A1C" w:rsidRDefault="00E378DD" w:rsidP="00E378DD">
      <w:pPr>
        <w:pStyle w:val="libFootnote0"/>
        <w:rPr>
          <w:lang w:bidi="fa-IR"/>
        </w:rPr>
      </w:pPr>
      <w:r>
        <w:rPr>
          <w:rtl/>
          <w:lang w:bidi="fa-IR"/>
        </w:rPr>
        <w:t>(4).</w:t>
      </w:r>
      <w:r w:rsidR="00744A1C">
        <w:rPr>
          <w:rtl/>
          <w:lang w:bidi="fa-IR"/>
        </w:rPr>
        <w:t xml:space="preserve"> في « جن » : - « وأعطى المصلّي عذقاً ».</w:t>
      </w:r>
    </w:p>
    <w:p w:rsidR="00744A1C" w:rsidRDefault="00E378DD" w:rsidP="00E378DD">
      <w:pPr>
        <w:pStyle w:val="libFootnote0"/>
        <w:rPr>
          <w:lang w:bidi="fa-IR"/>
        </w:rPr>
      </w:pPr>
      <w:r>
        <w:rPr>
          <w:rtl/>
          <w:lang w:bidi="fa-IR"/>
        </w:rPr>
        <w:t>(5).</w:t>
      </w:r>
      <w:r w:rsidR="00744A1C">
        <w:rPr>
          <w:rtl/>
          <w:lang w:bidi="fa-IR"/>
        </w:rPr>
        <w:t xml:space="preserve"> </w:t>
      </w:r>
      <w:r w:rsidR="00744A1C" w:rsidRPr="00946A46">
        <w:rPr>
          <w:rtl/>
        </w:rPr>
        <w:t>في الوسائل ،</w:t>
      </w:r>
      <w:r w:rsidR="00744A1C">
        <w:rPr>
          <w:rtl/>
          <w:lang w:bidi="fa-IR"/>
        </w:rPr>
        <w:t xml:space="preserve"> ح 24521 : « ابن أبي عمير عن حفص بن البختري » بدل</w:t>
      </w:r>
      <w:r w:rsidR="00402829">
        <w:rPr>
          <w:rtl/>
          <w:lang w:bidi="fa-IR"/>
        </w:rPr>
        <w:t xml:space="preserve"> « محمّد بن يحيى عن طلحة بن زيد</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في </w:t>
      </w:r>
      <w:r w:rsidR="00744A1C" w:rsidRPr="00946A46">
        <w:rPr>
          <w:rtl/>
        </w:rPr>
        <w:t>الوسائل ،</w:t>
      </w:r>
      <w:r w:rsidR="00744A1C">
        <w:rPr>
          <w:rtl/>
          <w:lang w:bidi="fa-IR"/>
        </w:rPr>
        <w:t xml:space="preserve"> ح 24521 : - « سواء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15 ، ص 147 ، ح 14817 ؛ </w:t>
      </w:r>
      <w:r w:rsidR="00744A1C" w:rsidRPr="00C24F9C">
        <w:rPr>
          <w:rStyle w:val="libFootnoteBoldChar"/>
          <w:rtl/>
        </w:rPr>
        <w:t>الوسائل</w:t>
      </w:r>
      <w:r w:rsidR="00744A1C">
        <w:rPr>
          <w:rtl/>
          <w:lang w:bidi="fa-IR"/>
        </w:rPr>
        <w:t xml:space="preserve"> ، ج 19 ، ص 250 ، ح 24521 ، إلى قوله : « مسجد نبي زريق » ؛ وص 254 ، ح 24535 ؛ </w:t>
      </w:r>
      <w:r w:rsidR="00744A1C" w:rsidRPr="0061079A">
        <w:rPr>
          <w:rStyle w:val="libFootnoteBoldChar"/>
          <w:rtl/>
        </w:rPr>
        <w:t>البحار</w:t>
      </w:r>
      <w:r w:rsidR="00744A1C">
        <w:rPr>
          <w:rtl/>
          <w:lang w:bidi="fa-IR"/>
        </w:rPr>
        <w:t xml:space="preserve"> ، ج 16 ، ص 266 ، ح 68 ؛ وفيه ، ج 19 ، ص 184 ، ح 38 ، بالسند الأوّل فقط.</w:t>
      </w:r>
    </w:p>
    <w:p w:rsidR="00144FA6" w:rsidRDefault="00E378DD" w:rsidP="00E378DD">
      <w:pPr>
        <w:pStyle w:val="libFootnote0"/>
        <w:rPr>
          <w:rtl/>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السبق ، إن قرئ بتسكين الباء أفاد الحديث المنع من الرهان في غير الثلاثة </w:t>
      </w:r>
      <w:r w:rsidR="00946A46">
        <w:rPr>
          <w:rtl/>
          <w:lang w:bidi="fa-IR"/>
        </w:rPr>
        <w:t>، وإن قرئ بالتحريك‌فلا يفيد إل</w:t>
      </w:r>
      <w:r w:rsidR="00946A46">
        <w:rPr>
          <w:rFonts w:hint="cs"/>
          <w:rtl/>
          <w:lang w:bidi="fa-IR"/>
        </w:rPr>
        <w:t>ّ</w:t>
      </w:r>
      <w:r w:rsidR="00946A46">
        <w:rPr>
          <w:rtl/>
          <w:lang w:bidi="fa-IR"/>
        </w:rPr>
        <w:t>ا</w:t>
      </w:r>
      <w:r w:rsidR="00744A1C">
        <w:rPr>
          <w:rtl/>
          <w:lang w:bidi="fa-IR"/>
        </w:rPr>
        <w:t xml:space="preserve"> المنع من الأخذ والإعطاء في غيرها ، دون أصل المسابقة ». وقال المحقّق الشعراني في هامشه : « قوله : دون أصل المسابقة ، اختلف علماؤنا في المسابقة بغير عوض كالمسارعة واللعب بالكرة والصولجان ورمي البنادق باليد والجلاهق واللبث في الماء والوقوف على رجل واحدة والوثبة وأمثال ذلك ، فحرّم جميع ذلك بعضهم ، وادّعى عليه الإجماع ، وجوّزها الشهيد </w:t>
      </w:r>
      <w:r w:rsidR="00877682" w:rsidRPr="00877682">
        <w:rPr>
          <w:rStyle w:val="libFootnoteAlaemChar"/>
          <w:rtl/>
        </w:rPr>
        <w:t>رحمه‌الله</w:t>
      </w:r>
      <w:r w:rsidR="00D8633B" w:rsidRPr="00D8633B">
        <w:rPr>
          <w:rFonts w:hint="cs"/>
          <w:rtl/>
        </w:rPr>
        <w:t xml:space="preserve"> </w:t>
      </w:r>
      <w:r w:rsidR="00744A1C">
        <w:rPr>
          <w:rtl/>
          <w:lang w:bidi="fa-IR"/>
        </w:rPr>
        <w:t xml:space="preserve">في الروضة وصاحب الكفاية وبعض من تأخّر ؛ لعدم ثبوت الإجماع وعدم الدليل ، والنهي في الحديث منصرف إلى ما فيه العوض ، وأنّه باطل لا يستحقّ به شي‌ء ، لا أنّه حرام تكليفي. ومال الشيخ المحقّق الأنصاري </w:t>
      </w:r>
      <w:r w:rsidR="00877682" w:rsidRPr="00877682">
        <w:rPr>
          <w:rStyle w:val="libFootnoteAlaemChar"/>
          <w:rtl/>
        </w:rPr>
        <w:t>رحمه‌الله</w:t>
      </w:r>
      <w:r w:rsidR="00D8633B">
        <w:rPr>
          <w:rStyle w:val="libFootnoteAlaemChar"/>
          <w:rFonts w:hint="cs"/>
          <w:rtl/>
        </w:rPr>
        <w:t xml:space="preserve"> </w:t>
      </w:r>
      <w:r w:rsidR="00744A1C">
        <w:rPr>
          <w:rtl/>
          <w:lang w:bidi="fa-IR"/>
        </w:rPr>
        <w:t xml:space="preserve">إلى التحريم. وهو بعيد ، وادّعاء الإجماع عليه أبعد. وربّما يستفاد من بعض الأحاديث وقوعه بحضرة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وبعض الأئمّة </w:t>
      </w:r>
      <w:r w:rsidR="00877682" w:rsidRPr="00877682">
        <w:rPr>
          <w:rStyle w:val="libFootnoteAlaemChar"/>
          <w:rtl/>
        </w:rPr>
        <w:t>عليهم‌السلام</w:t>
      </w:r>
      <w:r w:rsidR="00D10E3C">
        <w:rPr>
          <w:rtl/>
          <w:lang w:bidi="fa-IR"/>
        </w:rPr>
        <w:t xml:space="preserve"> </w:t>
      </w:r>
      <w:r w:rsidR="00744A1C">
        <w:rPr>
          <w:rtl/>
          <w:lang w:bidi="fa-IR"/>
        </w:rPr>
        <w:t>، وإن قصرت عن درجة الصحّة ، مع أنّ</w:t>
      </w:r>
      <w:r w:rsidR="00D8633B">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3F71CA">
      <w:pPr>
        <w:pStyle w:val="libNormal"/>
        <w:rPr>
          <w:rtl/>
          <w:lang w:bidi="fa-IR"/>
        </w:rPr>
      </w:pPr>
      <w:r>
        <w:rPr>
          <w:rtl/>
          <w:lang w:bidi="fa-IR"/>
        </w:rPr>
        <w:t xml:space="preserve">نَصْلٍ </w:t>
      </w:r>
      <w:r w:rsidRPr="00D10E3C">
        <w:rPr>
          <w:rStyle w:val="libFootnotenumChar"/>
          <w:rtl/>
        </w:rPr>
        <w:t>(1)</w:t>
      </w:r>
      <w:r>
        <w:rPr>
          <w:rtl/>
          <w:lang w:bidi="fa-IR"/>
        </w:rPr>
        <w:t xml:space="preserve"> » يَعْنِي النِّضَالَ </w:t>
      </w:r>
      <w:r w:rsidRPr="00D10E3C">
        <w:rPr>
          <w:rStyle w:val="libFootnotenumChar"/>
          <w:rtl/>
        </w:rPr>
        <w:t>(2)</w:t>
      </w:r>
      <w:r w:rsidR="003F71CA">
        <w:rPr>
          <w:rFonts w:hint="cs"/>
          <w:rtl/>
          <w:lang w:bidi="fa-IR"/>
        </w:rPr>
        <w:t>.</w:t>
      </w:r>
      <w:r w:rsidRPr="00D10E3C">
        <w:rPr>
          <w:rStyle w:val="libFootnotenumChar"/>
          <w:rtl/>
        </w:rPr>
        <w:t>(3)</w:t>
      </w:r>
    </w:p>
    <w:p w:rsidR="00144FA6" w:rsidRDefault="00744A1C" w:rsidP="00744A1C">
      <w:pPr>
        <w:pStyle w:val="libNormal"/>
        <w:rPr>
          <w:rtl/>
          <w:lang w:bidi="fa-IR"/>
        </w:rPr>
      </w:pPr>
      <w:r>
        <w:rPr>
          <w:rtl/>
          <w:lang w:bidi="fa-IR"/>
        </w:rPr>
        <w:t xml:space="preserve">8289 / 7. مُحَمَّدُ بْنُ يَحْيى </w:t>
      </w:r>
      <w:r w:rsidRPr="00D10E3C">
        <w:rPr>
          <w:rStyle w:val="libFootnotenumChar"/>
          <w:rtl/>
        </w:rPr>
        <w:t>(4)</w:t>
      </w:r>
      <w:r>
        <w:rPr>
          <w:rtl/>
          <w:lang w:bidi="fa-IR"/>
        </w:rPr>
        <w:t xml:space="preserve"> ، عَنْ غِيَاثِ بْنِ إِبْرَاهِيمَ :</w:t>
      </w:r>
    </w:p>
    <w:p w:rsidR="00744A1C" w:rsidRDefault="00744A1C" w:rsidP="00D10E3C">
      <w:pPr>
        <w:pStyle w:val="libLine"/>
        <w:rPr>
          <w:lang w:bidi="fa-IR"/>
        </w:rPr>
      </w:pPr>
      <w:r>
        <w:rPr>
          <w:rtl/>
          <w:lang w:bidi="fa-IR"/>
        </w:rPr>
        <w:t>____________________</w:t>
      </w:r>
    </w:p>
    <w:p w:rsidR="00744A1C" w:rsidRDefault="003F71CA" w:rsidP="00D10E3C">
      <w:pPr>
        <w:pStyle w:val="libFootnote0"/>
        <w:rPr>
          <w:lang w:bidi="fa-IR"/>
        </w:rPr>
      </w:pPr>
      <w:r>
        <w:rPr>
          <w:rFonts w:hint="cs"/>
          <w:rtl/>
          <w:lang w:bidi="fa-IR"/>
        </w:rPr>
        <w:t xml:space="preserve">= </w:t>
      </w:r>
      <w:r w:rsidR="00744A1C">
        <w:rPr>
          <w:rtl/>
          <w:lang w:bidi="fa-IR"/>
        </w:rPr>
        <w:t>المسابقة في كثير من الا</w:t>
      </w:r>
      <w:r w:rsidR="004B2C2D">
        <w:rPr>
          <w:rFonts w:hint="cs"/>
          <w:rtl/>
          <w:lang w:bidi="fa-IR"/>
        </w:rPr>
        <w:t>ُ</w:t>
      </w:r>
      <w:r w:rsidR="00744A1C">
        <w:rPr>
          <w:rtl/>
          <w:lang w:bidi="fa-IR"/>
        </w:rPr>
        <w:t xml:space="preserve">مور تشتمل على فوائد ومصالح كالسرعة في الحساب والكتابة وحسن الخطّ وحفظ القرآن والأحاديث والفنون والحرف والمشاعرة وتجويد الصنعة ، والالتزام بحرمة جميع ذلك عجيب. وتخصيص التحريم بما كان منه لهواً رجوع عن حرمة المسابقة إلى حرمة اللهو ، وهو خارج عمّا نحن فيه ، وغرضنا حكم المسابقة من حيث هي مسابقة ، وكأنّ المسابقة إلى الحجّ عادة وأبوحنيفة سابق الحاجّ معروف ، وإن ورد فيها ذمّ ونهي ، فهو محمول على التنزيه ، لا من حيث إنّها مسابقة ، بل من جهة إيذاء الدابّة ». وراجع للمزيد : الخلاف ، ج 6 ، ص 101 ؛ المبسوط ، ج 6 ، ص 289 ؛ المهذّب ، ج 1 ، ص 330 ؛ </w:t>
      </w:r>
      <w:r w:rsidR="00744A1C" w:rsidRPr="00877682">
        <w:rPr>
          <w:rStyle w:val="libFootnoteBoldChar"/>
          <w:rtl/>
        </w:rPr>
        <w:t>السرائر</w:t>
      </w:r>
      <w:r w:rsidR="00744A1C">
        <w:rPr>
          <w:rtl/>
          <w:lang w:bidi="fa-IR"/>
        </w:rPr>
        <w:t xml:space="preserve"> ، ج 2 ، ص 124 ؛ وج 3 ، ص 147 ؛ شرائع الإسلام ، ج 2 ، ص 463 ؛ تحرير الأحكام ، ج 3 ، ص 163 ؛ </w:t>
      </w:r>
      <w:r w:rsidR="00744A1C" w:rsidRPr="00877682">
        <w:rPr>
          <w:rStyle w:val="libFootnoteBoldChar"/>
          <w:rtl/>
        </w:rPr>
        <w:t>مختلف الشيعة</w:t>
      </w:r>
      <w:r w:rsidR="00744A1C">
        <w:rPr>
          <w:rtl/>
          <w:lang w:bidi="fa-IR"/>
        </w:rPr>
        <w:t xml:space="preserve"> ، ج 6 ، ص 256 ؛ جامع المقاصد ، ج 8 ، ص 334 ؛ </w:t>
      </w:r>
      <w:r w:rsidR="00744A1C" w:rsidRPr="00877682">
        <w:rPr>
          <w:rStyle w:val="libFootnoteBoldChar"/>
          <w:rtl/>
        </w:rPr>
        <w:t>مسالك الأفهام</w:t>
      </w:r>
      <w:r w:rsidR="00744A1C">
        <w:rPr>
          <w:rtl/>
          <w:lang w:bidi="fa-IR"/>
        </w:rPr>
        <w:t xml:space="preserve"> ، ج 6 ، ص 74 ؛ كفاية الأحكام ، ج 1 ، ص 718.</w:t>
      </w:r>
    </w:p>
    <w:p w:rsidR="00744A1C" w:rsidRDefault="00D10E3C" w:rsidP="00D10E3C">
      <w:pPr>
        <w:pStyle w:val="libFootnote0"/>
        <w:rPr>
          <w:lang w:bidi="fa-IR"/>
        </w:rPr>
      </w:pPr>
      <w:r>
        <w:rPr>
          <w:rtl/>
          <w:lang w:bidi="fa-IR"/>
        </w:rPr>
        <w:t>(1).</w:t>
      </w:r>
      <w:r w:rsidR="00744A1C">
        <w:rPr>
          <w:rtl/>
          <w:lang w:bidi="fa-IR"/>
        </w:rPr>
        <w:t xml:space="preserve"> النَّصْل : حديدة السهم والرمح والسيف والسكّين ما لم يكن له مقبض. </w:t>
      </w:r>
      <w:r w:rsidR="00744A1C" w:rsidRPr="008A57EB">
        <w:rPr>
          <w:rStyle w:val="libFootnoteBoldChar"/>
          <w:rtl/>
        </w:rPr>
        <w:t>القاموس المحيط</w:t>
      </w:r>
      <w:r w:rsidR="00744A1C">
        <w:rPr>
          <w:rtl/>
          <w:lang w:bidi="fa-IR"/>
        </w:rPr>
        <w:t xml:space="preserve"> ، ج 2 ، ص 1402 ( نصل ).</w:t>
      </w:r>
    </w:p>
    <w:p w:rsidR="00744A1C" w:rsidRDefault="00E378DD" w:rsidP="00E378DD">
      <w:pPr>
        <w:pStyle w:val="libFootnote0"/>
        <w:rPr>
          <w:lang w:bidi="fa-IR"/>
        </w:rPr>
      </w:pPr>
      <w:r>
        <w:rPr>
          <w:rtl/>
          <w:lang w:bidi="fa-IR"/>
        </w:rPr>
        <w:t>(2).</w:t>
      </w:r>
      <w:r w:rsidR="00744A1C">
        <w:rPr>
          <w:rtl/>
          <w:lang w:bidi="fa-IR"/>
        </w:rPr>
        <w:t xml:space="preserve"> النِّضال والمناضلة : المراماة. وفي </w:t>
      </w:r>
      <w:r w:rsidR="00744A1C" w:rsidRPr="00C24F9C">
        <w:rPr>
          <w:rStyle w:val="libFootnoteBoldChar"/>
          <w:rtl/>
        </w:rPr>
        <w:t>المرآة</w:t>
      </w:r>
      <w:r w:rsidR="00744A1C">
        <w:rPr>
          <w:rtl/>
          <w:lang w:bidi="fa-IR"/>
        </w:rPr>
        <w:t xml:space="preserve"> : « الظاهر أنّ التفسير من الراوي ، ولعلّه على سبيل المثال لبيان الفرد الخفيّ ». وراجع : </w:t>
      </w:r>
      <w:r w:rsidR="00744A1C" w:rsidRPr="00E978C3">
        <w:rPr>
          <w:rStyle w:val="libFootnoteBoldChar"/>
          <w:rtl/>
        </w:rPr>
        <w:t>المصباح المنير</w:t>
      </w:r>
      <w:r w:rsidR="00744A1C">
        <w:rPr>
          <w:rtl/>
          <w:lang w:bidi="fa-IR"/>
        </w:rPr>
        <w:t xml:space="preserve"> ، ص 610 ( نضل ).</w:t>
      </w:r>
    </w:p>
    <w:p w:rsidR="00744A1C" w:rsidRDefault="00E378DD" w:rsidP="00E378DD">
      <w:pPr>
        <w:pStyle w:val="libFootnote0"/>
        <w:rPr>
          <w:lang w:bidi="fa-IR"/>
        </w:rPr>
      </w:pPr>
      <w:r>
        <w:rPr>
          <w:rtl/>
          <w:lang w:bidi="fa-IR"/>
        </w:rPr>
        <w:t>(3).</w:t>
      </w:r>
      <w:r w:rsidR="00744A1C">
        <w:rPr>
          <w:rtl/>
          <w:lang w:bidi="fa-IR"/>
        </w:rPr>
        <w:t xml:space="preserve"> </w:t>
      </w:r>
      <w:r w:rsidR="00744A1C" w:rsidRPr="00877682">
        <w:rPr>
          <w:rStyle w:val="libFootnoteBoldChar"/>
          <w:rtl/>
        </w:rPr>
        <w:t>قرب الإسناد</w:t>
      </w:r>
      <w:r w:rsidR="00744A1C">
        <w:rPr>
          <w:rtl/>
          <w:lang w:bidi="fa-IR"/>
        </w:rPr>
        <w:t xml:space="preserve"> ، ص 88 ، ح 291 ، بسند آخر عن جعفر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744A1C">
        <w:rPr>
          <w:rtl/>
          <w:lang w:bidi="fa-IR"/>
        </w:rPr>
        <w:t xml:space="preserve">، مع اختلاف يسير </w:t>
      </w:r>
      <w:r w:rsidR="003A4A7B">
        <w:rPr>
          <w:rFonts w:hint="cs"/>
          <w:rtl/>
          <w:lang w:bidi="fa-IR"/>
        </w:rPr>
        <w:t>.</w:t>
      </w:r>
      <w:r w:rsidR="00744A1C" w:rsidRPr="00C24F9C">
        <w:rPr>
          <w:rStyle w:val="libFootnoteBoldChar"/>
          <w:rtl/>
        </w:rPr>
        <w:t>الوافي</w:t>
      </w:r>
      <w:r w:rsidR="00744A1C">
        <w:rPr>
          <w:rtl/>
          <w:lang w:bidi="fa-IR"/>
        </w:rPr>
        <w:t xml:space="preserve"> ، ج 15 ، ص 152 ، ح 14828 ؛ </w:t>
      </w:r>
      <w:r w:rsidR="00744A1C" w:rsidRPr="00C24F9C">
        <w:rPr>
          <w:rStyle w:val="libFootnoteBoldChar"/>
          <w:rtl/>
        </w:rPr>
        <w:t>الوسائل</w:t>
      </w:r>
      <w:r w:rsidR="00744A1C">
        <w:rPr>
          <w:rtl/>
          <w:lang w:bidi="fa-IR"/>
        </w:rPr>
        <w:t xml:space="preserve"> ، ج 19 ، ص 253 ، ح 24530.</w:t>
      </w:r>
    </w:p>
    <w:p w:rsidR="00744A1C" w:rsidRDefault="00E378DD" w:rsidP="00E378DD">
      <w:pPr>
        <w:pStyle w:val="libFootnote0"/>
        <w:rPr>
          <w:lang w:bidi="fa-IR"/>
        </w:rPr>
      </w:pPr>
      <w:r>
        <w:rPr>
          <w:rtl/>
          <w:lang w:bidi="fa-IR"/>
        </w:rPr>
        <w:t>(4).</w:t>
      </w:r>
      <w:r w:rsidR="00744A1C">
        <w:rPr>
          <w:rtl/>
          <w:lang w:bidi="fa-IR"/>
        </w:rPr>
        <w:t xml:space="preserve"> قد تكرّرت في أسناد </w:t>
      </w:r>
      <w:r w:rsidR="00744A1C" w:rsidRPr="0061079A">
        <w:rPr>
          <w:rStyle w:val="libFootnoteBoldChar"/>
          <w:rtl/>
        </w:rPr>
        <w:t>الكافي</w:t>
      </w:r>
      <w:r w:rsidR="00744A1C">
        <w:rPr>
          <w:rtl/>
          <w:lang w:bidi="fa-IR"/>
        </w:rPr>
        <w:t xml:space="preserve"> رواية محمّد بن يحيى عن أحمد بن محمّد [ بن عيسى ] عن محمّد بن يحيى عن غياث بن إبراهيم ، منها ما يأتي في ح 8330 و 8497 و 8754 و 8810 و 8837 و 8873 و ....</w:t>
      </w:r>
    </w:p>
    <w:p w:rsidR="00744A1C" w:rsidRDefault="00744A1C" w:rsidP="00D10E3C">
      <w:pPr>
        <w:pStyle w:val="libFootnote0"/>
        <w:rPr>
          <w:lang w:bidi="fa-IR"/>
        </w:rPr>
      </w:pPr>
      <w:r>
        <w:rPr>
          <w:rtl/>
          <w:lang w:bidi="fa-IR"/>
        </w:rPr>
        <w:t>ثمّ إنّ محمّد بن يحيى الراوي عن غياث بن إبراهيم متّحد مع محمّد بن يحيى الراوي عن طلحة بن زيد ، وقد تقدّمت في الرقم الخامس رواية محمّد بن يحيى عن أحمد بن محمّد بن عيسى عن محمّد بن يحيى عن طلحة بن زيد.</w:t>
      </w:r>
    </w:p>
    <w:p w:rsidR="00744A1C" w:rsidRDefault="00744A1C" w:rsidP="00D10E3C">
      <w:pPr>
        <w:pStyle w:val="libFootnote0"/>
        <w:rPr>
          <w:lang w:bidi="fa-IR"/>
        </w:rPr>
      </w:pPr>
      <w:r>
        <w:rPr>
          <w:rtl/>
          <w:lang w:bidi="fa-IR"/>
        </w:rPr>
        <w:t>إذا تبيّن هذا فنقول : في سندنا هذا احتمالان : الأوّل : كونه معلّقاً على سند الحديث الخامس ، فيكون المراد من محمّد بن يحيى ، غير محمّد بن يحيى شيخ المصنّف. والاحتمال الثاني : وقوع السقط في السند بجواز النظر من محمّد بن يحيى شيخ المصنّف إلى محمّد بن يحيى شيخ أحمد بن محمّد ، فسقط من السند « عن أحمد بن محمّد [ بن عيسى ] عن محمّد بن يحيى ».</w:t>
      </w:r>
    </w:p>
    <w:p w:rsidR="00144FA6" w:rsidRDefault="00744A1C" w:rsidP="00D10E3C">
      <w:pPr>
        <w:pStyle w:val="libFootnote0"/>
        <w:rPr>
          <w:rtl/>
          <w:lang w:bidi="fa-IR"/>
        </w:rPr>
      </w:pPr>
      <w:r>
        <w:rPr>
          <w:rtl/>
          <w:lang w:bidi="fa-IR"/>
        </w:rPr>
        <w:t xml:space="preserve">لا يقال : إنّ الخبر أورده الشيخ الحرّ في </w:t>
      </w:r>
      <w:r w:rsidRPr="00C24F9C">
        <w:rPr>
          <w:rStyle w:val="libFootnoteBoldChar"/>
          <w:rtl/>
        </w:rPr>
        <w:t>الوسائل</w:t>
      </w:r>
      <w:r>
        <w:rPr>
          <w:rtl/>
          <w:lang w:bidi="fa-IR"/>
        </w:rPr>
        <w:t xml:space="preserve"> ، ج 11 ، ص 494 ، ح 15354 وسنده هكذا : « وعنه - والضمير راجع إلى محمّد بن يحيى - عن أحمد بن محمّد عن محمّد بن يحيى عن غياث بن إبراهيم » وكذا أورده في ج 19 ، ص 249 ، ح 24519 بهذا السند : محمّد بن يعقوب عن محمّد بن يحيى عن أحمد بن محمّد عن محمّد</w:t>
      </w:r>
      <w:r w:rsidR="003A4A7B">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3A4A7B">
      <w:pPr>
        <w:pStyle w:val="libNormal0"/>
        <w:rPr>
          <w:rtl/>
          <w:lang w:bidi="fa-IR"/>
        </w:rPr>
      </w:pPr>
      <w:r>
        <w:rPr>
          <w:rtl/>
          <w:lang w:bidi="fa-IR"/>
        </w:rPr>
        <w:t xml:space="preserve">عَنْ أَبِي عَبْدِ اللهِ ، عَنْ أَبِيهِ ، عَنْ عَلِيِّ بْنِ الْحُسَيْنِ </w:t>
      </w:r>
      <w:r w:rsidRPr="00D10E3C">
        <w:rPr>
          <w:rStyle w:val="libFootnotenumChar"/>
          <w:rtl/>
        </w:rPr>
        <w:t>(1)</w:t>
      </w:r>
      <w:r>
        <w:rPr>
          <w:rtl/>
          <w:lang w:bidi="fa-IR"/>
        </w:rPr>
        <w:t xml:space="preserve"> </w:t>
      </w:r>
      <w:r w:rsidR="008859AA" w:rsidRPr="008859AA">
        <w:rPr>
          <w:rStyle w:val="libAlaemChar"/>
          <w:rtl/>
        </w:rPr>
        <w:t>عليهما‌السلام</w:t>
      </w:r>
      <w:r>
        <w:rPr>
          <w:rtl/>
          <w:lang w:bidi="fa-IR"/>
        </w:rPr>
        <w:t xml:space="preserve">: « أَنَّ رَسُولَ اللهِ </w:t>
      </w:r>
      <w:r w:rsidR="005E465D" w:rsidRPr="005E465D">
        <w:rPr>
          <w:rStyle w:val="libAlaemChar"/>
          <w:rtl/>
        </w:rPr>
        <w:t>صلى‌الله‌عليه‌وآله</w:t>
      </w:r>
      <w:r w:rsidR="00D10E3C">
        <w:rPr>
          <w:rtl/>
          <w:lang w:bidi="fa-IR"/>
        </w:rPr>
        <w:t xml:space="preserve"> </w:t>
      </w:r>
      <w:r>
        <w:rPr>
          <w:rtl/>
          <w:lang w:bidi="fa-IR"/>
        </w:rPr>
        <w:t xml:space="preserve">أَجْرَى </w:t>
      </w:r>
      <w:r w:rsidRPr="00D10E3C">
        <w:rPr>
          <w:rStyle w:val="libFootnotenumChar"/>
          <w:rtl/>
        </w:rPr>
        <w:t>(2)</w:t>
      </w:r>
      <w:r>
        <w:rPr>
          <w:rtl/>
          <w:lang w:bidi="fa-IR"/>
        </w:rPr>
        <w:t xml:space="preserve"> الْخَيْلَ ، وَجَعَلَ سَبَقَهَا أَوَاقِيَّ </w:t>
      </w:r>
      <w:r w:rsidRPr="00D10E3C">
        <w:rPr>
          <w:rStyle w:val="libFootnotenumChar"/>
          <w:rtl/>
        </w:rPr>
        <w:t>(3)</w:t>
      </w:r>
      <w:r>
        <w:rPr>
          <w:rtl/>
          <w:lang w:bidi="fa-IR"/>
        </w:rPr>
        <w:t xml:space="preserve"> مِنْ فِضَّةٍ ». </w:t>
      </w:r>
      <w:r w:rsidRPr="00D10E3C">
        <w:rPr>
          <w:rStyle w:val="libFootnotenumChar"/>
          <w:rtl/>
        </w:rPr>
        <w:t>(4)</w:t>
      </w:r>
    </w:p>
    <w:p w:rsidR="00144FA6" w:rsidRDefault="00744A1C" w:rsidP="00744A1C">
      <w:pPr>
        <w:pStyle w:val="libNormal"/>
        <w:rPr>
          <w:rtl/>
          <w:lang w:bidi="fa-IR"/>
        </w:rPr>
      </w:pPr>
      <w:r>
        <w:rPr>
          <w:rtl/>
          <w:lang w:bidi="fa-IR"/>
        </w:rPr>
        <w:t>8290 / 8.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sidRPr="00D10E3C">
        <w:rPr>
          <w:rStyle w:val="libFootnotenumChar"/>
          <w:rtl/>
        </w:rPr>
        <w:t>(5)</w:t>
      </w:r>
      <w:r>
        <w:rPr>
          <w:rtl/>
          <w:lang w:bidi="fa-IR"/>
        </w:rPr>
        <w:t xml:space="preserve"> ، قَالَ : « قَالَ رَسُولُ اللهِ </w:t>
      </w:r>
      <w:r w:rsidR="00B7470D" w:rsidRPr="00B7470D">
        <w:rPr>
          <w:rStyle w:val="libAlaemChar"/>
          <w:rtl/>
        </w:rPr>
        <w:t>صلى‌الله‌عليه‌وآله</w:t>
      </w:r>
      <w:r w:rsidR="00D10E3C">
        <w:rPr>
          <w:rtl/>
          <w:lang w:bidi="fa-IR"/>
        </w:rPr>
        <w:t xml:space="preserve"> </w:t>
      </w:r>
      <w:r>
        <w:rPr>
          <w:rtl/>
          <w:lang w:bidi="fa-IR"/>
        </w:rPr>
        <w:t xml:space="preserve">: إِذَا حَرَنَتْ </w:t>
      </w:r>
      <w:r w:rsidRPr="00D10E3C">
        <w:rPr>
          <w:rStyle w:val="libFootnotenumChar"/>
          <w:rtl/>
        </w:rPr>
        <w:t>(6)</w:t>
      </w:r>
      <w:r>
        <w:rPr>
          <w:rtl/>
          <w:lang w:bidi="fa-IR"/>
        </w:rPr>
        <w:t xml:space="preserve"> عَلى أَحَدِكُمْ دَابَّةٌ </w:t>
      </w:r>
      <w:r w:rsidRPr="00D10E3C">
        <w:rPr>
          <w:rStyle w:val="libFootnotenumChar"/>
          <w:rtl/>
        </w:rPr>
        <w:t>(7)</w:t>
      </w:r>
      <w:r>
        <w:rPr>
          <w:rtl/>
          <w:lang w:bidi="fa-IR"/>
        </w:rPr>
        <w:t xml:space="preserve"> - يَعْنِي أَقَامَتْ </w:t>
      </w:r>
      <w:r w:rsidRPr="00D10E3C">
        <w:rPr>
          <w:rStyle w:val="libFootnotenumChar"/>
          <w:rtl/>
        </w:rPr>
        <w:t>(8)</w:t>
      </w:r>
      <w:r>
        <w:rPr>
          <w:rtl/>
          <w:lang w:bidi="fa-IR"/>
        </w:rPr>
        <w:t xml:space="preserve"> - فِي أَرْضِ الْعَدُوِّ ، أَوْ فِي </w:t>
      </w:r>
      <w:r w:rsidRPr="00D10E3C">
        <w:rPr>
          <w:rStyle w:val="libFootnotenumChar"/>
          <w:rtl/>
        </w:rPr>
        <w:t>(9)</w:t>
      </w:r>
      <w:r>
        <w:rPr>
          <w:rtl/>
          <w:lang w:bidi="fa-IR"/>
        </w:rPr>
        <w:t xml:space="preserve"> سَبِيلِ اللهِ </w:t>
      </w:r>
      <w:r w:rsidRPr="00D10E3C">
        <w:rPr>
          <w:rStyle w:val="libFootnotenumChar"/>
          <w:rtl/>
        </w:rPr>
        <w:t>(10)</w:t>
      </w:r>
      <w:r>
        <w:rPr>
          <w:rtl/>
          <w:lang w:bidi="fa-IR"/>
        </w:rPr>
        <w:t xml:space="preserve"> ، فَلْيَذْبَحْهَا ، وَلَا يُعَرْقِبْهَا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3A4A7B" w:rsidP="00D10E3C">
      <w:pPr>
        <w:pStyle w:val="libFootnote0"/>
        <w:rPr>
          <w:lang w:bidi="fa-IR"/>
        </w:rPr>
      </w:pPr>
      <w:r>
        <w:rPr>
          <w:rFonts w:hint="cs"/>
          <w:rtl/>
          <w:lang w:bidi="fa-IR"/>
        </w:rPr>
        <w:t xml:space="preserve">= </w:t>
      </w:r>
      <w:r w:rsidR="00744A1C">
        <w:rPr>
          <w:rtl/>
          <w:lang w:bidi="fa-IR"/>
        </w:rPr>
        <w:t>بن يحيى عن غياث بن إبراهيم. فلعلّه وجد نسخةً ذُكِر السندُ فيها كاملاً واضحاً ، فيمكن تصحيح السند بهذا الاعتبار.</w:t>
      </w:r>
    </w:p>
    <w:p w:rsidR="00744A1C" w:rsidRDefault="00744A1C" w:rsidP="00D10E3C">
      <w:pPr>
        <w:pStyle w:val="libFootnote0"/>
        <w:rPr>
          <w:lang w:bidi="fa-IR"/>
        </w:rPr>
      </w:pPr>
      <w:r>
        <w:rPr>
          <w:rtl/>
          <w:lang w:bidi="fa-IR"/>
        </w:rPr>
        <w:t>فإنّه يقال : احتمال وجدان نسخة من قِبَلِ الشيخ الحرّ بعيد جدّاً ، بعد خلوّ جميع النسخ من هذه الزيادة ، واحتمال فهم الشيخ الحرّ كون السند معلّقاً وإضافة القسم المحذوف إلى السند أقوى من هذا الاحتمال.</w:t>
      </w:r>
    </w:p>
    <w:p w:rsidR="00744A1C" w:rsidRDefault="00744A1C" w:rsidP="00D10E3C">
      <w:pPr>
        <w:pStyle w:val="libFootnote0"/>
        <w:rPr>
          <w:lang w:bidi="fa-IR"/>
        </w:rPr>
      </w:pPr>
      <w:r>
        <w:rPr>
          <w:rtl/>
          <w:lang w:bidi="fa-IR"/>
        </w:rPr>
        <w:t xml:space="preserve">ويؤيّد ذلك أنّ الخبر ورد في </w:t>
      </w:r>
      <w:r w:rsidRPr="00C24F9C">
        <w:rPr>
          <w:rStyle w:val="libFootnoteBoldChar"/>
          <w:rtl/>
        </w:rPr>
        <w:t>الوسائل</w:t>
      </w:r>
      <w:r>
        <w:rPr>
          <w:rtl/>
          <w:lang w:bidi="fa-IR"/>
        </w:rPr>
        <w:t xml:space="preserve"> ، ج 19 ، ص 255 ، ح 24536 ، وسنده هكذا : « وعن محمّد بن يحيى عن غياث بن إبراهيم ». وقد سبقه برقمٍ هذا السند : محمّد بن يعقوب عن محمّد بن يحيى عن أحمد بن محمّد بن عيسى عن محمّد بن يحيى عن طلحة بن زيد. وهذا يقوّي احتمال فهم الشيخ الحرّ وقوع التعليق في السند.</w:t>
      </w:r>
    </w:p>
    <w:p w:rsidR="00744A1C" w:rsidRDefault="00D10E3C" w:rsidP="00D10E3C">
      <w:pPr>
        <w:pStyle w:val="libFootnote0"/>
        <w:rPr>
          <w:lang w:bidi="fa-IR"/>
        </w:rPr>
      </w:pPr>
      <w:r>
        <w:rPr>
          <w:rtl/>
          <w:lang w:bidi="fa-IR"/>
        </w:rPr>
        <w:t>(1).</w:t>
      </w:r>
      <w:r w:rsidR="00744A1C">
        <w:rPr>
          <w:rtl/>
          <w:lang w:bidi="fa-IR"/>
        </w:rPr>
        <w:t xml:space="preserve"> في </w:t>
      </w:r>
      <w:r w:rsidR="00744A1C" w:rsidRPr="003A4A7B">
        <w:rPr>
          <w:rtl/>
        </w:rPr>
        <w:t>الوسائل ،</w:t>
      </w:r>
      <w:r w:rsidR="00744A1C">
        <w:rPr>
          <w:rtl/>
          <w:lang w:bidi="fa-IR"/>
        </w:rPr>
        <w:t xml:space="preserve"> ح 15354 : - « عن أبيه ، عن عليّ بن الحسين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الجعفريّات</w:t>
      </w:r>
      <w:r w:rsidR="00744A1C">
        <w:rPr>
          <w:rtl/>
          <w:lang w:bidi="fa-IR"/>
        </w:rPr>
        <w:t xml:space="preserve"> : « سبق بين » بدل « أجرى ».</w:t>
      </w:r>
    </w:p>
    <w:p w:rsidR="00744A1C" w:rsidRDefault="00E378DD" w:rsidP="00E378DD">
      <w:pPr>
        <w:pStyle w:val="libFootnote0"/>
        <w:rPr>
          <w:lang w:bidi="fa-IR"/>
        </w:rPr>
      </w:pPr>
      <w:r>
        <w:rPr>
          <w:rtl/>
          <w:lang w:bidi="fa-IR"/>
        </w:rPr>
        <w:t>(3).</w:t>
      </w:r>
      <w:r w:rsidR="00744A1C">
        <w:rPr>
          <w:rtl/>
          <w:lang w:bidi="fa-IR"/>
        </w:rPr>
        <w:t xml:space="preserve"> </w:t>
      </w:r>
      <w:r w:rsidR="00744A1C" w:rsidRPr="003A4A7B">
        <w:rPr>
          <w:rtl/>
        </w:rPr>
        <w:t>في قرب الإسناد :</w:t>
      </w:r>
      <w:r w:rsidR="00744A1C">
        <w:rPr>
          <w:rtl/>
          <w:lang w:bidi="fa-IR"/>
        </w:rPr>
        <w:t xml:space="preserve"> « فيها سبع أواق » بدل « سبقها أواقي ». والأَواقي جمع الاوقيّة وهي زنة سبعة مثاقيل ، وزنة أربعين درهماً. </w:t>
      </w:r>
      <w:r w:rsidR="00744A1C" w:rsidRPr="00877682">
        <w:rPr>
          <w:rStyle w:val="libFootnoteBoldChar"/>
          <w:rtl/>
        </w:rPr>
        <w:t>لسان العرب</w:t>
      </w:r>
      <w:r w:rsidR="00744A1C">
        <w:rPr>
          <w:rtl/>
          <w:lang w:bidi="fa-IR"/>
        </w:rPr>
        <w:t xml:space="preserve"> ، ج 15 ، ص 404 ( وقى ).</w:t>
      </w:r>
    </w:p>
    <w:p w:rsidR="00744A1C" w:rsidRDefault="00E378DD" w:rsidP="003A4A7B">
      <w:pPr>
        <w:pStyle w:val="libFootnote0"/>
        <w:rPr>
          <w:lang w:bidi="fa-IR"/>
        </w:rPr>
      </w:pPr>
      <w:r>
        <w:rPr>
          <w:rtl/>
          <w:lang w:bidi="fa-IR"/>
        </w:rPr>
        <w:t>(4).</w:t>
      </w:r>
      <w:r w:rsidR="00744A1C">
        <w:rPr>
          <w:rtl/>
          <w:lang w:bidi="fa-IR"/>
        </w:rPr>
        <w:t xml:space="preserve"> </w:t>
      </w:r>
      <w:r w:rsidR="00744A1C" w:rsidRPr="00877682">
        <w:rPr>
          <w:rStyle w:val="libFootnoteBoldChar"/>
          <w:rtl/>
        </w:rPr>
        <w:t>قرب الإسناد</w:t>
      </w:r>
      <w:r w:rsidR="00744A1C">
        <w:rPr>
          <w:rtl/>
          <w:lang w:bidi="fa-IR"/>
        </w:rPr>
        <w:t xml:space="preserve"> ، ص 134 ، صدر ح 468 ؛ و</w:t>
      </w:r>
      <w:r w:rsidR="00744A1C" w:rsidRPr="00877682">
        <w:rPr>
          <w:rStyle w:val="libFootnoteBoldChar"/>
          <w:rtl/>
        </w:rPr>
        <w:t>الجعفريّات</w:t>
      </w:r>
      <w:r w:rsidR="00744A1C">
        <w:rPr>
          <w:rtl/>
          <w:lang w:bidi="fa-IR"/>
        </w:rPr>
        <w:t xml:space="preserve"> ، ص 84 ، بسند آخر </w:t>
      </w:r>
      <w:r w:rsidR="003A4A7B">
        <w:rPr>
          <w:rFonts w:hint="cs"/>
          <w:rtl/>
          <w:lang w:bidi="fa-IR"/>
        </w:rPr>
        <w:t>.</w:t>
      </w:r>
      <w:r w:rsidR="00744A1C" w:rsidRPr="00C24F9C">
        <w:rPr>
          <w:rStyle w:val="libFootnoteBoldChar"/>
          <w:rtl/>
        </w:rPr>
        <w:t>الوافي</w:t>
      </w:r>
      <w:r w:rsidR="00744A1C">
        <w:rPr>
          <w:rtl/>
          <w:lang w:bidi="fa-IR"/>
        </w:rPr>
        <w:t xml:space="preserve"> ، ج 15 ، ص 148 ، ح 14818 ؛ </w:t>
      </w:r>
      <w:r w:rsidR="00744A1C" w:rsidRPr="00C24F9C">
        <w:rPr>
          <w:rStyle w:val="libFootnoteBoldChar"/>
          <w:rtl/>
        </w:rPr>
        <w:t>الوسائل</w:t>
      </w:r>
      <w:r w:rsidR="00744A1C">
        <w:rPr>
          <w:rtl/>
          <w:lang w:bidi="fa-IR"/>
        </w:rPr>
        <w:t xml:space="preserve"> ، ج 11 ، ص 494 ، ح 15354 ؛ وج 19 ، ص 249 ، ح 24519 ؛ وص 255 ، ح 24536 ؛ </w:t>
      </w:r>
      <w:r w:rsidR="00744A1C" w:rsidRPr="0061079A">
        <w:rPr>
          <w:rStyle w:val="libFootnoteBoldChar"/>
          <w:rtl/>
        </w:rPr>
        <w:t>البحار</w:t>
      </w:r>
      <w:r w:rsidR="00744A1C">
        <w:rPr>
          <w:rtl/>
          <w:lang w:bidi="fa-IR"/>
        </w:rPr>
        <w:t xml:space="preserve"> ، ج 19 ، ص 184 ، ح 39.</w:t>
      </w:r>
      <w:r w:rsidR="003A4A7B">
        <w:rPr>
          <w:rFonts w:hint="cs"/>
          <w:rtl/>
          <w:lang w:bidi="fa-IR"/>
        </w:rPr>
        <w:t xml:space="preserve">       </w:t>
      </w: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 عن أبيه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في </w:t>
      </w:r>
      <w:r w:rsidR="00744A1C" w:rsidRPr="003A4A7B">
        <w:rPr>
          <w:rtl/>
        </w:rPr>
        <w:t>الجعفريّات :</w:t>
      </w:r>
      <w:r w:rsidR="00744A1C">
        <w:rPr>
          <w:rtl/>
          <w:lang w:bidi="fa-IR"/>
        </w:rPr>
        <w:t xml:space="preserve"> « حسمت ». وحَرَنَت الدابّةُ تَحْرُنُ حِراناً وهي حَرونٌ ، إذا استُدِرَّجَرْيُها وَقَفَتْ ولايَنْقاد وفرس حرون : لاينقاد ، وإذا اشتدّ به الجري وقف. </w:t>
      </w:r>
      <w:r w:rsidR="00744A1C" w:rsidRPr="00877682">
        <w:rPr>
          <w:rStyle w:val="libFootnoteBoldChar"/>
          <w:rtl/>
        </w:rPr>
        <w:t>لسان العرب</w:t>
      </w:r>
      <w:r w:rsidR="00744A1C">
        <w:rPr>
          <w:rtl/>
          <w:lang w:bidi="fa-IR"/>
        </w:rPr>
        <w:t xml:space="preserve"> ، ج 13 ، ص 110 ( حرن ).</w:t>
      </w:r>
    </w:p>
    <w:p w:rsidR="00744A1C" w:rsidRDefault="00E378DD" w:rsidP="00E378DD">
      <w:pPr>
        <w:pStyle w:val="libFootnote0"/>
        <w:rPr>
          <w:lang w:bidi="fa-IR"/>
        </w:rPr>
      </w:pPr>
      <w:r>
        <w:rPr>
          <w:rtl/>
          <w:lang w:bidi="fa-IR"/>
        </w:rPr>
        <w:t>(7).</w:t>
      </w:r>
      <w:r w:rsidR="00744A1C">
        <w:rPr>
          <w:rtl/>
          <w:lang w:bidi="fa-IR"/>
        </w:rPr>
        <w:t xml:space="preserve"> في « ى ، بث ، بف » </w:t>
      </w:r>
      <w:r w:rsidR="00744A1C" w:rsidRPr="003A4A7B">
        <w:rPr>
          <w:rtl/>
        </w:rPr>
        <w:t>والوافي والوسائل والتهذيب</w:t>
      </w:r>
      <w:r w:rsidR="00744A1C">
        <w:rPr>
          <w:rtl/>
          <w:lang w:bidi="fa-IR"/>
        </w:rPr>
        <w:t xml:space="preserve"> ، ج 6 و 9 : « دابّته ».</w:t>
      </w:r>
    </w:p>
    <w:p w:rsidR="00744A1C" w:rsidRDefault="00E378DD" w:rsidP="00E378DD">
      <w:pPr>
        <w:pStyle w:val="libFootnote0"/>
        <w:rPr>
          <w:lang w:bidi="fa-IR"/>
        </w:rPr>
      </w:pPr>
      <w:r>
        <w:rPr>
          <w:rtl/>
          <w:lang w:bidi="fa-IR"/>
        </w:rPr>
        <w:t>(8).</w:t>
      </w:r>
      <w:r w:rsidR="00744A1C">
        <w:rPr>
          <w:rtl/>
          <w:lang w:bidi="fa-IR"/>
        </w:rPr>
        <w:t xml:space="preserve"> في </w:t>
      </w:r>
      <w:r w:rsidR="00744A1C" w:rsidRPr="003A4A7B">
        <w:rPr>
          <w:rtl/>
        </w:rPr>
        <w:t>الوسائل والبحار : -</w:t>
      </w:r>
      <w:r w:rsidR="00744A1C">
        <w:rPr>
          <w:rtl/>
          <w:lang w:bidi="fa-IR"/>
        </w:rPr>
        <w:t xml:space="preserve"> « يعني أقامت ».</w:t>
      </w:r>
    </w:p>
    <w:p w:rsidR="00744A1C" w:rsidRDefault="00E378DD" w:rsidP="00E378DD">
      <w:pPr>
        <w:pStyle w:val="libFootnote0"/>
        <w:rPr>
          <w:lang w:bidi="fa-IR"/>
        </w:rPr>
      </w:pPr>
      <w:r>
        <w:rPr>
          <w:rtl/>
          <w:lang w:bidi="fa-IR"/>
        </w:rPr>
        <w:t>(9).</w:t>
      </w:r>
      <w:r w:rsidR="00744A1C">
        <w:rPr>
          <w:rtl/>
          <w:lang w:bidi="fa-IR"/>
        </w:rPr>
        <w:t xml:space="preserve"> في « بث ، بح ، بف ، جت ، جن » : « وفي ». وفي </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ج 6 و 9 و</w:t>
      </w:r>
      <w:r w:rsidR="00744A1C" w:rsidRPr="003A7143">
        <w:rPr>
          <w:rStyle w:val="libFootnoteBoldChar"/>
          <w:rtl/>
        </w:rPr>
        <w:t>المحاسن</w:t>
      </w:r>
      <w:r w:rsidR="00744A1C">
        <w:rPr>
          <w:rtl/>
          <w:lang w:bidi="fa-IR"/>
        </w:rPr>
        <w:t xml:space="preserve"> : « في » بدون « أو ».</w:t>
      </w:r>
    </w:p>
    <w:p w:rsidR="00144FA6" w:rsidRDefault="00E378DD" w:rsidP="00E378DD">
      <w:pPr>
        <w:pStyle w:val="libFootnote0"/>
        <w:rPr>
          <w:rtl/>
          <w:lang w:bidi="fa-IR"/>
        </w:rPr>
      </w:pPr>
      <w:r>
        <w:rPr>
          <w:rtl/>
          <w:lang w:bidi="fa-IR"/>
        </w:rPr>
        <w:t>(10).</w:t>
      </w:r>
      <w:r w:rsidR="009236D8">
        <w:rPr>
          <w:rFonts w:hint="cs"/>
          <w:rtl/>
          <w:lang w:bidi="fa-IR"/>
        </w:rPr>
        <w:t xml:space="preserve">في البحار : - </w:t>
      </w:r>
      <w:r w:rsidR="009236D8">
        <w:rPr>
          <w:rtl/>
          <w:lang w:bidi="fa-IR"/>
        </w:rPr>
        <w:t>«</w:t>
      </w:r>
      <w:r w:rsidR="009236D8">
        <w:rPr>
          <w:rFonts w:hint="cs"/>
          <w:rtl/>
          <w:lang w:bidi="fa-IR"/>
        </w:rPr>
        <w:t xml:space="preserve"> أو في سبيل الله </w:t>
      </w:r>
      <w:r w:rsidR="009236D8">
        <w:rPr>
          <w:rtl/>
          <w:lang w:bidi="fa-IR"/>
        </w:rPr>
        <w:t>»</w:t>
      </w:r>
      <w:r w:rsidR="009236D8">
        <w:rPr>
          <w:rFonts w:hint="cs"/>
          <w:rtl/>
          <w:lang w:bidi="fa-IR"/>
        </w:rPr>
        <w:t>.</w:t>
      </w:r>
    </w:p>
    <w:p w:rsidR="00744A1C" w:rsidRDefault="00E378DD" w:rsidP="00E378DD">
      <w:pPr>
        <w:pStyle w:val="libFootnote0"/>
        <w:rPr>
          <w:lang w:bidi="fa-IR"/>
        </w:rPr>
      </w:pPr>
      <w:r>
        <w:rPr>
          <w:rtl/>
          <w:lang w:bidi="fa-IR"/>
        </w:rPr>
        <w:t>(11).</w:t>
      </w:r>
      <w:r w:rsidR="00744A1C">
        <w:rPr>
          <w:rtl/>
          <w:lang w:bidi="fa-IR"/>
        </w:rPr>
        <w:t xml:space="preserve"> تَعَرقُبُ الدابّة : قطعُ عُرْقُوبها. والعُرْقوب : العَصَب الغليظ المُوَتّرُ فوق عقب الإنسان. وعُرقُوب الدابّة في رجلها بمنزلة الركبة في يدها. </w:t>
      </w:r>
      <w:r w:rsidR="00744A1C" w:rsidRPr="00E978C3">
        <w:rPr>
          <w:rStyle w:val="libFootnoteBoldChar"/>
          <w:rtl/>
        </w:rPr>
        <w:t>الصحاح</w:t>
      </w:r>
      <w:r w:rsidR="00744A1C">
        <w:rPr>
          <w:rtl/>
          <w:lang w:bidi="fa-IR"/>
        </w:rPr>
        <w:t xml:space="preserve"> ، ج 1 ، ص 180 ( عرقب ).</w:t>
      </w:r>
    </w:p>
    <w:p w:rsidR="00144FA6" w:rsidRDefault="00E378DD" w:rsidP="00E378DD">
      <w:pPr>
        <w:pStyle w:val="libFootnote0"/>
        <w:rPr>
          <w:rtl/>
          <w:lang w:bidi="fa-IR"/>
        </w:rPr>
      </w:pPr>
      <w:r>
        <w:rPr>
          <w:rtl/>
          <w:lang w:bidi="fa-IR"/>
        </w:rPr>
        <w:t>(12).</w:t>
      </w:r>
      <w:r w:rsidR="00744A1C">
        <w:rPr>
          <w:rtl/>
          <w:lang w:bidi="fa-IR"/>
        </w:rPr>
        <w:t xml:space="preserve"> </w:t>
      </w:r>
      <w:r w:rsidR="00744A1C" w:rsidRPr="003A7143">
        <w:rPr>
          <w:rStyle w:val="libFootnoteBoldChar"/>
          <w:rtl/>
        </w:rPr>
        <w:t>المحاسن</w:t>
      </w:r>
      <w:r w:rsidR="00744A1C">
        <w:rPr>
          <w:rtl/>
          <w:lang w:bidi="fa-IR"/>
        </w:rPr>
        <w:t xml:space="preserve"> ، ص 634 ، كتاب المرافق ، ح 126 ، عن النوفلي. </w:t>
      </w:r>
      <w:r w:rsidR="00744A1C" w:rsidRPr="00C24F9C">
        <w:rPr>
          <w:rStyle w:val="libFootnoteBoldChar"/>
          <w:rtl/>
        </w:rPr>
        <w:t>التهذيب</w:t>
      </w:r>
      <w:r w:rsidR="00744A1C">
        <w:rPr>
          <w:rtl/>
          <w:lang w:bidi="fa-IR"/>
        </w:rPr>
        <w:t xml:space="preserve"> ، ج 6 ، ص 173 ، ح 337 ، بسنده</w:t>
      </w:r>
      <w:r w:rsidR="00B25C68">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8291 / 9. وَبِإِسْنَادِهِ </w:t>
      </w:r>
      <w:r w:rsidRPr="00D10E3C">
        <w:rPr>
          <w:rStyle w:val="libFootnotenumChar"/>
          <w:rtl/>
        </w:rPr>
        <w:t>(1)</w:t>
      </w:r>
      <w:r>
        <w:rPr>
          <w:rtl/>
          <w:lang w:bidi="fa-IR"/>
        </w:rPr>
        <w:t xml:space="preserve">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sidRPr="00D10E3C">
        <w:rPr>
          <w:rStyle w:val="libFootnotenumChar"/>
          <w:rtl/>
        </w:rPr>
        <w:t>(2)</w:t>
      </w:r>
      <w:r>
        <w:rPr>
          <w:rtl/>
          <w:lang w:bidi="fa-IR"/>
        </w:rPr>
        <w:t xml:space="preserve"> : « لَمَّا كَانَ يَوْمُ مُؤْتَةَ </w:t>
      </w:r>
      <w:r w:rsidRPr="00D10E3C">
        <w:rPr>
          <w:rStyle w:val="libFootnotenumChar"/>
          <w:rtl/>
        </w:rPr>
        <w:t>(3)</w:t>
      </w:r>
      <w:r>
        <w:rPr>
          <w:rtl/>
          <w:lang w:bidi="fa-IR"/>
        </w:rPr>
        <w:t xml:space="preserve"> ، كَانَ جَعْفَرُ بْنُ أَبِي طَالِبٍ عَلى فَرَسٍ </w:t>
      </w:r>
      <w:r w:rsidRPr="00D10E3C">
        <w:rPr>
          <w:rStyle w:val="libFootnotenumChar"/>
          <w:rtl/>
        </w:rPr>
        <w:t>(4)</w:t>
      </w:r>
      <w:r>
        <w:rPr>
          <w:rtl/>
          <w:lang w:bidi="fa-IR"/>
        </w:rPr>
        <w:t xml:space="preserve"> ، فَلَمَّا الْتَقَوْا نَزَلَ عَنْ فَرَسِهِ ، فَعَرْقَبَهَا بِالسَّيْفِ ، فَكَانَ أَوَّلَ مَنْ عَرْقَبَ فِي الْإِسْلَامِ ». </w:t>
      </w:r>
      <w:r w:rsidRPr="00D10E3C">
        <w:rPr>
          <w:rStyle w:val="libFootnotenumChar"/>
          <w:rtl/>
        </w:rPr>
        <w:t>(5)</w:t>
      </w:r>
    </w:p>
    <w:p w:rsidR="00144FA6" w:rsidRDefault="00744A1C" w:rsidP="00744A1C">
      <w:pPr>
        <w:pStyle w:val="libNormal"/>
        <w:rPr>
          <w:rtl/>
          <w:lang w:bidi="fa-IR"/>
        </w:rPr>
      </w:pPr>
      <w:r>
        <w:rPr>
          <w:rtl/>
          <w:lang w:bidi="fa-IR"/>
        </w:rPr>
        <w:t>8292 / 10. الْحُسَيْنُ بْنُ مُحَمَّدٍ ، عَنْ أَحْمَدَ بْنِ إِسْحَاقَ ، عَنْ سَعْدَانَ ، عَنْ أَبِي بَصِيرٍ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لَيْسَ شَيْ‌ءٌ </w:t>
      </w:r>
      <w:r w:rsidRPr="00D10E3C">
        <w:rPr>
          <w:rStyle w:val="libFootnotenumChar"/>
          <w:rtl/>
        </w:rPr>
        <w:t>(6)</w:t>
      </w:r>
      <w:r>
        <w:rPr>
          <w:rtl/>
          <w:lang w:bidi="fa-IR"/>
        </w:rPr>
        <w:t xml:space="preserve"> </w:t>
      </w:r>
      <w:r w:rsidR="00C23F85">
        <w:rPr>
          <w:rtl/>
          <w:lang w:bidi="fa-IR"/>
        </w:rPr>
        <w:t>تَحْضُرُهُ الْمَلَائِكَةُ إِل</w:t>
      </w:r>
      <w:r w:rsidR="00C23F85">
        <w:rPr>
          <w:rFonts w:hint="cs"/>
          <w:rtl/>
          <w:lang w:bidi="fa-IR"/>
        </w:rPr>
        <w:t>َّ</w:t>
      </w:r>
      <w:r w:rsidR="00C23F85">
        <w:rPr>
          <w:rtl/>
          <w:lang w:bidi="fa-IR"/>
        </w:rPr>
        <w:t>ا</w:t>
      </w:r>
      <w:r>
        <w:rPr>
          <w:rtl/>
          <w:lang w:bidi="fa-IR"/>
        </w:rPr>
        <w:t xml:space="preserve"> الرِّهَانَ </w:t>
      </w:r>
      <w:r w:rsidRPr="00D10E3C">
        <w:rPr>
          <w:rStyle w:val="libFootnotenumChar"/>
          <w:rtl/>
        </w:rPr>
        <w:t>(7)</w:t>
      </w:r>
      <w:r>
        <w:rPr>
          <w:rtl/>
          <w:lang w:bidi="fa-IR"/>
        </w:rPr>
        <w:t xml:space="preserve"> ، وَمُلَاعَبَةَ الرَّجُلِ أَهْلَهُ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6E4069" w:rsidP="00D10E3C">
      <w:pPr>
        <w:pStyle w:val="libFootnote0"/>
        <w:rPr>
          <w:lang w:bidi="fa-IR"/>
        </w:rPr>
      </w:pPr>
      <w:r>
        <w:rPr>
          <w:rFonts w:hint="cs"/>
          <w:rtl/>
          <w:lang w:bidi="fa-IR"/>
        </w:rPr>
        <w:t xml:space="preserve">= </w:t>
      </w:r>
      <w:r w:rsidR="00744A1C">
        <w:rPr>
          <w:rtl/>
          <w:lang w:bidi="fa-IR"/>
        </w:rPr>
        <w:t xml:space="preserve">عن السكوني ، عن جعفر ، عن أبيه </w:t>
      </w:r>
      <w:r w:rsidR="00F112A7" w:rsidRPr="00CE5A92">
        <w:rPr>
          <w:rStyle w:val="libFootnoteAlaemChar"/>
          <w:rtl/>
        </w:rPr>
        <w:t>عليهما‌السلام</w:t>
      </w:r>
      <w:r w:rsidR="000C7996" w:rsidRPr="000C7996">
        <w:rPr>
          <w:rFonts w:hint="cs"/>
          <w:rtl/>
        </w:rPr>
        <w:t xml:space="preserve"> </w:t>
      </w:r>
      <w:r w:rsidR="00744A1C">
        <w:rPr>
          <w:rtl/>
          <w:lang w:bidi="fa-IR"/>
        </w:rPr>
        <w:t xml:space="preserve">عن رسول الله </w:t>
      </w:r>
      <w:r w:rsidR="005E465D" w:rsidRPr="00402829">
        <w:rPr>
          <w:rStyle w:val="libFootnoteAlaemChar"/>
          <w:rtl/>
        </w:rPr>
        <w:t>صلى‌الله‌عليه‌وآله</w:t>
      </w:r>
      <w:r w:rsidR="00744A1C">
        <w:rPr>
          <w:rtl/>
          <w:lang w:bidi="fa-IR"/>
        </w:rPr>
        <w:t xml:space="preserve"> . وفي </w:t>
      </w:r>
      <w:r w:rsidR="00744A1C" w:rsidRPr="00C24F9C">
        <w:rPr>
          <w:rStyle w:val="libFootnoteBoldChar"/>
          <w:rtl/>
        </w:rPr>
        <w:t>التهذيب</w:t>
      </w:r>
      <w:r w:rsidR="00744A1C">
        <w:rPr>
          <w:rtl/>
          <w:lang w:bidi="fa-IR"/>
        </w:rPr>
        <w:t xml:space="preserve"> ، ج 9 ، ص 82 ، ح 351 ؛ و</w:t>
      </w:r>
      <w:r w:rsidR="00744A1C" w:rsidRPr="00877682">
        <w:rPr>
          <w:rStyle w:val="libFootnoteBoldChar"/>
          <w:rtl/>
        </w:rPr>
        <w:t>الجعفريّات</w:t>
      </w:r>
      <w:r w:rsidR="00744A1C">
        <w:rPr>
          <w:rtl/>
          <w:lang w:bidi="fa-IR"/>
        </w:rPr>
        <w:t xml:space="preserve"> ، ص 85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4D054E" w:rsidRPr="00402829">
        <w:rPr>
          <w:rStyle w:val="libFootnoteAlaemChar"/>
          <w:rtl/>
        </w:rPr>
        <w:t>صلى‌الله‌عليه‌وآله</w:t>
      </w:r>
      <w:r w:rsidR="00D10E3C">
        <w:rPr>
          <w:rtl/>
          <w:lang w:bidi="fa-IR"/>
        </w:rPr>
        <w:t xml:space="preserve"> </w:t>
      </w:r>
      <w:r w:rsidR="00744A1C">
        <w:rPr>
          <w:rtl/>
          <w:lang w:bidi="fa-IR"/>
        </w:rPr>
        <w:t xml:space="preserve">، وفي الأخيرة مع اختلاف يسير </w:t>
      </w:r>
      <w:r w:rsidR="000C7996">
        <w:rPr>
          <w:rFonts w:hint="cs"/>
          <w:rtl/>
          <w:lang w:bidi="fa-IR"/>
        </w:rPr>
        <w:t>.</w:t>
      </w:r>
      <w:r w:rsidR="00744A1C" w:rsidRPr="00C24F9C">
        <w:rPr>
          <w:rStyle w:val="libFootnoteBoldChar"/>
          <w:rtl/>
        </w:rPr>
        <w:t>الوافي</w:t>
      </w:r>
      <w:r w:rsidR="00744A1C">
        <w:rPr>
          <w:rtl/>
          <w:lang w:bidi="fa-IR"/>
        </w:rPr>
        <w:t xml:space="preserve"> ، ج 15 ، ص 160 ، ح 14841 ؛ </w:t>
      </w:r>
      <w:r w:rsidR="00744A1C" w:rsidRPr="00C24F9C">
        <w:rPr>
          <w:rStyle w:val="libFootnoteBoldChar"/>
          <w:rtl/>
        </w:rPr>
        <w:t>الوسائل</w:t>
      </w:r>
      <w:r w:rsidR="00744A1C">
        <w:rPr>
          <w:rtl/>
          <w:lang w:bidi="fa-IR"/>
        </w:rPr>
        <w:t xml:space="preserve"> ، ج 11 ، ص 543 ، ح 15491 ؛ </w:t>
      </w:r>
      <w:r w:rsidR="00744A1C" w:rsidRPr="0061079A">
        <w:rPr>
          <w:rStyle w:val="libFootnoteBoldChar"/>
          <w:rtl/>
        </w:rPr>
        <w:t>البحار</w:t>
      </w:r>
      <w:r w:rsidR="00744A1C">
        <w:rPr>
          <w:rtl/>
          <w:lang w:bidi="fa-IR"/>
        </w:rPr>
        <w:t xml:space="preserve"> ، ج 64 ، ص 222 ، ح 3.</w:t>
      </w:r>
    </w:p>
    <w:p w:rsidR="00744A1C" w:rsidRDefault="00D10E3C" w:rsidP="00D10E3C">
      <w:pPr>
        <w:pStyle w:val="libFootnote0"/>
        <w:rPr>
          <w:lang w:bidi="fa-IR"/>
        </w:rPr>
      </w:pPr>
      <w:r>
        <w:rPr>
          <w:rtl/>
          <w:lang w:bidi="fa-IR"/>
        </w:rPr>
        <w:t>(1).</w:t>
      </w:r>
      <w:r w:rsidR="00744A1C">
        <w:rPr>
          <w:rtl/>
          <w:lang w:bidi="fa-IR"/>
        </w:rPr>
        <w:t xml:space="preserve"> المراد من « بإسناده » هو السند المتقدّم إلى أبي عبد الله </w:t>
      </w:r>
      <w:r w:rsidR="0061079A" w:rsidRPr="0061079A">
        <w:rPr>
          <w:rStyle w:val="libFootnoteAlaemChar"/>
          <w:rtl/>
        </w:rPr>
        <w:t>عليه‌السلام</w:t>
      </w:r>
      <w:r>
        <w:rPr>
          <w:rtl/>
          <w:lang w:bidi="fa-IR"/>
        </w:rPr>
        <w:t xml:space="preserve"> </w:t>
      </w:r>
      <w:r w:rsidR="00744A1C">
        <w:rPr>
          <w:rtl/>
          <w:lang w:bidi="fa-IR"/>
        </w:rPr>
        <w:t xml:space="preserve">في الرقم السابق ؛ فقد روى البرقي الخبر السابق في </w:t>
      </w:r>
      <w:r w:rsidR="00744A1C" w:rsidRPr="003A7143">
        <w:rPr>
          <w:rStyle w:val="libFootnoteBoldChar"/>
          <w:rtl/>
        </w:rPr>
        <w:t>المحاسن</w:t>
      </w:r>
      <w:r w:rsidR="00744A1C">
        <w:rPr>
          <w:rtl/>
          <w:lang w:bidi="fa-IR"/>
        </w:rPr>
        <w:t xml:space="preserve"> ، ص 634 ، ح 126 عن النوفلي عن السكوني عن أبي عبد الله </w:t>
      </w:r>
      <w:r w:rsidR="0061079A" w:rsidRPr="0061079A">
        <w:rPr>
          <w:rStyle w:val="libFootnoteAlaemChar"/>
          <w:rtl/>
        </w:rPr>
        <w:t>عليه‌السلام</w:t>
      </w:r>
      <w:r>
        <w:rPr>
          <w:rtl/>
          <w:lang w:bidi="fa-IR"/>
        </w:rPr>
        <w:t xml:space="preserve"> </w:t>
      </w:r>
      <w:r w:rsidR="00744A1C">
        <w:rPr>
          <w:rtl/>
          <w:lang w:bidi="fa-IR"/>
        </w:rPr>
        <w:t xml:space="preserve">عن آبائه </w:t>
      </w:r>
      <w:r w:rsidR="00877682" w:rsidRPr="00877682">
        <w:rPr>
          <w:rStyle w:val="libFootnoteAlaemChar"/>
          <w:rtl/>
        </w:rPr>
        <w:t>عليهم‌السلام</w:t>
      </w:r>
      <w:r>
        <w:rPr>
          <w:rtl/>
          <w:lang w:bidi="fa-IR"/>
        </w:rPr>
        <w:t xml:space="preserve"> </w:t>
      </w:r>
      <w:r w:rsidR="00744A1C">
        <w:rPr>
          <w:rtl/>
          <w:lang w:bidi="fa-IR"/>
        </w:rPr>
        <w:t xml:space="preserve">عن رسول الله </w:t>
      </w:r>
      <w:r w:rsidR="00B7470D" w:rsidRPr="00402829">
        <w:rPr>
          <w:rStyle w:val="libFootnoteAlaemChar"/>
          <w:rtl/>
        </w:rPr>
        <w:t>صلى‌الله‌عليه‌وآله</w:t>
      </w:r>
      <w:r>
        <w:rPr>
          <w:rtl/>
          <w:lang w:bidi="fa-IR"/>
        </w:rPr>
        <w:t xml:space="preserve"> </w:t>
      </w:r>
      <w:r w:rsidR="00744A1C">
        <w:rPr>
          <w:rtl/>
          <w:lang w:bidi="fa-IR"/>
        </w:rPr>
        <w:t>وقال في ح 127 : « عنه - والضمير راجع الى السكوني - عن جعفر عن أبيه » ، وذكر خبرنا هذا.</w:t>
      </w:r>
    </w:p>
    <w:p w:rsidR="00744A1C" w:rsidRDefault="00E378DD" w:rsidP="00E378DD">
      <w:pPr>
        <w:pStyle w:val="libFootnote0"/>
        <w:rPr>
          <w:lang w:bidi="fa-IR"/>
        </w:rPr>
      </w:pPr>
      <w:r>
        <w:rPr>
          <w:rtl/>
          <w:lang w:bidi="fa-IR"/>
        </w:rPr>
        <w:t>(2).</w:t>
      </w:r>
      <w:r w:rsidR="00744A1C">
        <w:rPr>
          <w:rtl/>
          <w:lang w:bidi="fa-IR"/>
        </w:rPr>
        <w:t xml:space="preserve"> في </w:t>
      </w:r>
      <w:r w:rsidR="00744A1C" w:rsidRPr="000C7996">
        <w:rPr>
          <w:rtl/>
        </w:rPr>
        <w:t>البحار</w:t>
      </w:r>
      <w:r w:rsidR="00744A1C">
        <w:rPr>
          <w:rtl/>
          <w:lang w:bidi="fa-IR"/>
        </w:rPr>
        <w:t xml:space="preserve"> : « كان أبو عبد الله </w:t>
      </w:r>
      <w:r w:rsidR="0061079A" w:rsidRPr="0061079A">
        <w:rPr>
          <w:rStyle w:val="libFootnoteAlaemChar"/>
          <w:rtl/>
        </w:rPr>
        <w:t>عليه‌السلام</w:t>
      </w:r>
      <w:r w:rsidR="00D10E3C">
        <w:rPr>
          <w:rtl/>
          <w:lang w:bidi="fa-IR"/>
        </w:rPr>
        <w:t xml:space="preserve"> </w:t>
      </w:r>
      <w:r w:rsidR="00744A1C">
        <w:rPr>
          <w:rtl/>
          <w:lang w:bidi="fa-IR"/>
        </w:rPr>
        <w:t xml:space="preserve">يقول » بدل « قال : قال أبو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المؤتة - بالهمزة - : موضع بمشارق الشام قتل فيه جعفر بن أبي‌طالب </w:t>
      </w:r>
      <w:r w:rsidR="00F112A7" w:rsidRPr="00CE5A92">
        <w:rPr>
          <w:rStyle w:val="libFootnoteAlaemChar"/>
          <w:rtl/>
        </w:rPr>
        <w:t>عليهما‌السلام</w:t>
      </w:r>
      <w:r w:rsidR="00744A1C">
        <w:rPr>
          <w:rtl/>
          <w:lang w:bidi="fa-IR"/>
        </w:rPr>
        <w:t>. راجع : معجم ما استعجم ، ج 4 ، ص 1172 ( مأت ) ؛ معجم البلدان ، ج 5 ، ص 219.</w:t>
      </w:r>
    </w:p>
    <w:p w:rsidR="00744A1C" w:rsidRDefault="00E378DD" w:rsidP="00E378DD">
      <w:pPr>
        <w:pStyle w:val="libFootnote0"/>
        <w:rPr>
          <w:lang w:bidi="fa-IR"/>
        </w:rPr>
      </w:pPr>
      <w:r>
        <w:rPr>
          <w:rtl/>
          <w:lang w:bidi="fa-IR"/>
        </w:rPr>
        <w:t>(4).</w:t>
      </w:r>
      <w:r w:rsidR="00744A1C">
        <w:rPr>
          <w:rtl/>
          <w:lang w:bidi="fa-IR"/>
        </w:rPr>
        <w:t xml:space="preserve"> في </w:t>
      </w:r>
      <w:r w:rsidR="00744A1C" w:rsidRPr="000C7996">
        <w:rPr>
          <w:rtl/>
        </w:rPr>
        <w:t>الوسائل والبحار</w:t>
      </w:r>
      <w:r w:rsidR="00744A1C">
        <w:rPr>
          <w:rtl/>
          <w:lang w:bidi="fa-IR"/>
        </w:rPr>
        <w:t xml:space="preserve"> : + « له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170 ، ضمن ح 328 ، بسنده عن إبراهيم بن هاشم ، عن النوفلي ، عن السكوني ، عن جعفر ، عن أبيه </w:t>
      </w:r>
      <w:r w:rsidR="00F112A7" w:rsidRPr="00CE5A92">
        <w:rPr>
          <w:rStyle w:val="libFootnoteAlaemChar"/>
          <w:rtl/>
        </w:rPr>
        <w:t>عليهما‌السلام</w:t>
      </w:r>
      <w:r w:rsidR="00744A1C">
        <w:rPr>
          <w:rtl/>
          <w:lang w:bidi="fa-IR"/>
        </w:rPr>
        <w:t xml:space="preserve">، مع اختلاف يسير. </w:t>
      </w:r>
      <w:r w:rsidR="00744A1C" w:rsidRPr="003A7143">
        <w:rPr>
          <w:rStyle w:val="libFootnoteBoldChar"/>
          <w:rtl/>
        </w:rPr>
        <w:t>المحاسن</w:t>
      </w:r>
      <w:r w:rsidR="00744A1C">
        <w:rPr>
          <w:rtl/>
          <w:lang w:bidi="fa-IR"/>
        </w:rPr>
        <w:t xml:space="preserve"> ، ص 634 ، كتاب المرافق ، ح 127 ، عن السكوني ، عن جعفر ، عن أبيه </w:t>
      </w:r>
      <w:r w:rsidR="00F112A7" w:rsidRPr="00CE5A92">
        <w:rPr>
          <w:rStyle w:val="libFootnoteAlaemChar"/>
          <w:rtl/>
        </w:rPr>
        <w:t>عليهما‌السلام</w:t>
      </w:r>
      <w:r w:rsidR="00744A1C">
        <w:rPr>
          <w:rtl/>
          <w:lang w:bidi="fa-IR"/>
        </w:rPr>
        <w:t xml:space="preserve">. </w:t>
      </w:r>
      <w:r w:rsidR="00744A1C" w:rsidRPr="00877682">
        <w:rPr>
          <w:rStyle w:val="libFootnoteBoldChar"/>
          <w:rtl/>
        </w:rPr>
        <w:t>الجعفريّات</w:t>
      </w:r>
      <w:r w:rsidR="00744A1C">
        <w:rPr>
          <w:rtl/>
          <w:lang w:bidi="fa-IR"/>
        </w:rPr>
        <w:t xml:space="preserve"> ، ص 240 ، ضمن الحديث ، بسند آخر عن جعفر ، عن آبائه ، عن عليّ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يسير </w:t>
      </w:r>
      <w:r w:rsidR="000C7996">
        <w:rPr>
          <w:rFonts w:hint="cs"/>
          <w:rtl/>
          <w:lang w:bidi="fa-IR"/>
        </w:rPr>
        <w:t>.</w:t>
      </w:r>
      <w:r w:rsidR="00744A1C" w:rsidRPr="00C24F9C">
        <w:rPr>
          <w:rStyle w:val="libFootnoteBoldChar"/>
          <w:rtl/>
        </w:rPr>
        <w:t>الوافي</w:t>
      </w:r>
      <w:r w:rsidR="00744A1C">
        <w:rPr>
          <w:rtl/>
          <w:lang w:bidi="fa-IR"/>
        </w:rPr>
        <w:t xml:space="preserve"> ، ج 15 ، ص 161 ، ح 14842 ؛ </w:t>
      </w:r>
      <w:r w:rsidR="00744A1C" w:rsidRPr="00C24F9C">
        <w:rPr>
          <w:rStyle w:val="libFootnoteBoldChar"/>
          <w:rtl/>
        </w:rPr>
        <w:t>الوسائل</w:t>
      </w:r>
      <w:r w:rsidR="00744A1C">
        <w:rPr>
          <w:rtl/>
          <w:lang w:bidi="fa-IR"/>
        </w:rPr>
        <w:t xml:space="preserve"> ، ج 11 ، ص 543 ، ح 15492 ؛ </w:t>
      </w:r>
      <w:r w:rsidR="00744A1C" w:rsidRPr="0061079A">
        <w:rPr>
          <w:rStyle w:val="libFootnoteBoldChar"/>
          <w:rtl/>
        </w:rPr>
        <w:t>البحار</w:t>
      </w:r>
      <w:r w:rsidR="00744A1C">
        <w:rPr>
          <w:rtl/>
          <w:lang w:bidi="fa-IR"/>
        </w:rPr>
        <w:t xml:space="preserve"> ، ج 64 ، ص 223 ، ح 4.</w:t>
      </w:r>
    </w:p>
    <w:p w:rsidR="00744A1C" w:rsidRDefault="00E378DD" w:rsidP="00E378DD">
      <w:pPr>
        <w:pStyle w:val="libFootnote0"/>
        <w:rPr>
          <w:lang w:bidi="fa-IR"/>
        </w:rPr>
      </w:pPr>
      <w:r>
        <w:rPr>
          <w:rtl/>
          <w:lang w:bidi="fa-IR"/>
        </w:rPr>
        <w:t>(6).</w:t>
      </w:r>
      <w:r w:rsidR="00744A1C">
        <w:rPr>
          <w:rtl/>
          <w:lang w:bidi="fa-IR"/>
        </w:rPr>
        <w:t xml:space="preserve"> وفي </w:t>
      </w:r>
      <w:r w:rsidR="00744A1C" w:rsidRPr="00C24F9C">
        <w:rPr>
          <w:rStyle w:val="libFootnoteBoldChar"/>
          <w:rtl/>
        </w:rPr>
        <w:t>الوافي</w:t>
      </w:r>
      <w:r w:rsidR="00744A1C">
        <w:rPr>
          <w:rtl/>
          <w:lang w:bidi="fa-IR"/>
        </w:rPr>
        <w:t xml:space="preserve"> : « المراد بالشي‌ء الأمر المباح الذي فيه تفريح ولذّة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ليس شي‌ء ، أي من‌الملاعبات وما يلتذّ الإنسان به ».</w:t>
      </w:r>
    </w:p>
    <w:p w:rsidR="00744A1C" w:rsidRDefault="00E378DD" w:rsidP="00E378DD">
      <w:pPr>
        <w:pStyle w:val="libFootnote0"/>
        <w:rPr>
          <w:lang w:bidi="fa-IR"/>
        </w:rPr>
      </w:pPr>
      <w:r>
        <w:rPr>
          <w:rtl/>
          <w:lang w:bidi="fa-IR"/>
        </w:rPr>
        <w:t>(7).</w:t>
      </w:r>
      <w:r w:rsidR="00744A1C">
        <w:rPr>
          <w:rtl/>
          <w:lang w:bidi="fa-IR"/>
        </w:rPr>
        <w:t xml:space="preserve"> ال</w:t>
      </w:r>
      <w:r w:rsidR="000C7996">
        <w:rPr>
          <w:rFonts w:hint="cs"/>
          <w:rtl/>
          <w:lang w:bidi="fa-IR"/>
        </w:rPr>
        <w:t>ـ</w:t>
      </w:r>
      <w:r w:rsidR="00744A1C">
        <w:rPr>
          <w:rtl/>
          <w:lang w:bidi="fa-IR"/>
        </w:rPr>
        <w:t xml:space="preserve">مُراهنة والرِّهان : أن يُراهن القوم على سِباق الخيل وغيره. </w:t>
      </w:r>
      <w:r w:rsidR="00744A1C" w:rsidRPr="00E978C3">
        <w:rPr>
          <w:rStyle w:val="libFootnoteBoldChar"/>
          <w:rtl/>
        </w:rPr>
        <w:t>ترتيب كتاب العين</w:t>
      </w:r>
      <w:r w:rsidR="00744A1C">
        <w:rPr>
          <w:rtl/>
          <w:lang w:bidi="fa-IR"/>
        </w:rPr>
        <w:t xml:space="preserve"> ، ج 1 ، ص 723 ( رهن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ح 14820 : « بأهله ».</w:t>
      </w:r>
    </w:p>
    <w:p w:rsidR="00144FA6" w:rsidRDefault="00E378DD" w:rsidP="00E378DD">
      <w:pPr>
        <w:pStyle w:val="libFootnote0"/>
        <w:rPr>
          <w:rtl/>
          <w:lang w:bidi="fa-IR"/>
        </w:rPr>
      </w:pPr>
      <w:r>
        <w:rPr>
          <w:rtl/>
          <w:lang w:bidi="fa-IR"/>
        </w:rPr>
        <w:t>(9).</w:t>
      </w:r>
      <w:r w:rsidR="00744A1C">
        <w:rPr>
          <w:rtl/>
          <w:lang w:bidi="fa-IR"/>
        </w:rPr>
        <w:t xml:space="preserve"> </w:t>
      </w:r>
      <w:r w:rsidR="00744A1C" w:rsidRPr="0061079A">
        <w:rPr>
          <w:rStyle w:val="libFootnoteBoldChar"/>
          <w:rtl/>
        </w:rPr>
        <w:t>الكافي</w:t>
      </w:r>
      <w:r w:rsidR="00744A1C">
        <w:rPr>
          <w:rtl/>
          <w:lang w:bidi="fa-IR"/>
        </w:rPr>
        <w:t xml:space="preserve"> ، كتاب النكاح ، باب نوادر ، ح 10350 ، عن أبي عليّ الأشعري ، عن أحمد بن إسحاق ، عن</w:t>
      </w:r>
      <w:r w:rsidR="000C7996">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8293 / 11. مُحَمَّدُ بْنُ يَحْيى ، عَنْ أَحْمَدَ بْنِ مُحَمَّدٍ ، عَنْ مُحَمَّدِ بْنِ يَحْيى ، عَنْ طَلْحَةَ بْنِ ز</w:t>
      </w:r>
      <w:r w:rsidR="00384735">
        <w:rPr>
          <w:rtl/>
          <w:lang w:bidi="fa-IR"/>
        </w:rPr>
        <w:t>َيْدٍ</w:t>
      </w:r>
      <w:r>
        <w:rPr>
          <w:rtl/>
          <w:lang w:bidi="fa-IR"/>
        </w:rPr>
        <w:t>:</w:t>
      </w:r>
    </w:p>
    <w:p w:rsidR="00144FA6" w:rsidRDefault="00744A1C" w:rsidP="00744A1C">
      <w:pPr>
        <w:pStyle w:val="libNormal"/>
        <w:rPr>
          <w:rtl/>
          <w:lang w:bidi="fa-IR"/>
        </w:rPr>
      </w:pPr>
      <w:r>
        <w:rPr>
          <w:rtl/>
          <w:lang w:bidi="fa-IR"/>
        </w:rPr>
        <w:t xml:space="preserve">عَنْ أَبِي عَبْدِ اللهِ ، عَنْ آبَائِهِ </w:t>
      </w:r>
      <w:r w:rsidRPr="00D10E3C">
        <w:rPr>
          <w:rStyle w:val="libFootnotenumChar"/>
          <w:rtl/>
        </w:rPr>
        <w:t>(1)</w:t>
      </w:r>
      <w:r>
        <w:rPr>
          <w:rtl/>
          <w:lang w:bidi="fa-IR"/>
        </w:rPr>
        <w:t xml:space="preserve"> </w:t>
      </w:r>
      <w:r w:rsidR="008859AA" w:rsidRPr="008859AA">
        <w:rPr>
          <w:rStyle w:val="libAlaemChar"/>
          <w:rtl/>
        </w:rPr>
        <w:t>عليهما‌السلام</w:t>
      </w:r>
      <w:r w:rsidR="00384735" w:rsidRPr="00384735">
        <w:rPr>
          <w:rStyle w:val="libFootnote0Char"/>
          <w:rFonts w:hint="cs"/>
          <w:rtl/>
        </w:rPr>
        <w:t xml:space="preserve"> </w:t>
      </w:r>
      <w:r>
        <w:rPr>
          <w:rtl/>
          <w:lang w:bidi="fa-IR"/>
        </w:rPr>
        <w:t xml:space="preserve">قَالَ : «الرَّمْيُ سَهْمٌ </w:t>
      </w:r>
      <w:r w:rsidRPr="00D10E3C">
        <w:rPr>
          <w:rStyle w:val="libFootnotenumChar"/>
          <w:rtl/>
        </w:rPr>
        <w:t>(2)</w:t>
      </w:r>
      <w:r>
        <w:rPr>
          <w:rtl/>
          <w:lang w:bidi="fa-IR"/>
        </w:rPr>
        <w:t xml:space="preserve"> مِنْ سِهَامِ الْإِسْلَامِ».</w:t>
      </w:r>
      <w:r w:rsidRPr="00D10E3C">
        <w:rPr>
          <w:rStyle w:val="libFootnotenumChar"/>
          <w:rtl/>
        </w:rPr>
        <w:t>(3)</w:t>
      </w:r>
    </w:p>
    <w:p w:rsidR="00144FA6" w:rsidRDefault="00744A1C" w:rsidP="00744A1C">
      <w:pPr>
        <w:pStyle w:val="libNormal"/>
        <w:rPr>
          <w:rtl/>
          <w:lang w:bidi="fa-IR"/>
        </w:rPr>
      </w:pPr>
      <w:r>
        <w:rPr>
          <w:rtl/>
          <w:lang w:bidi="fa-IR"/>
        </w:rPr>
        <w:t xml:space="preserve">8294 / 12. مُحَمَّدُ بْنُ يَحْيى ، عَنْ عِمْرَانَ بْنِ مُوسى ، عَنِ الْحَسَنِ بْنِ ظَرِيفٍ </w:t>
      </w:r>
      <w:r w:rsidRPr="00D10E3C">
        <w:rPr>
          <w:rStyle w:val="libFootnotenumChar"/>
          <w:rtl/>
        </w:rPr>
        <w:t>(4)</w:t>
      </w:r>
      <w:r>
        <w:rPr>
          <w:rtl/>
          <w:lang w:bidi="fa-IR"/>
        </w:rPr>
        <w:t xml:space="preserve"> ، عَنْ عَبْدِ اللهِ بْنِ الْمُغِيرَةِ رَفَعَهُ ، قَالَ :</w:t>
      </w:r>
    </w:p>
    <w:p w:rsidR="00144FA6" w:rsidRDefault="00744A1C" w:rsidP="00744A1C">
      <w:pPr>
        <w:pStyle w:val="libNormal"/>
        <w:rPr>
          <w:rtl/>
          <w:lang w:bidi="fa-IR"/>
        </w:rPr>
      </w:pPr>
      <w:r>
        <w:rPr>
          <w:rtl/>
          <w:lang w:bidi="fa-IR"/>
        </w:rPr>
        <w:t xml:space="preserve">قَالَ رَسُولُ اللهِ </w:t>
      </w:r>
      <w:r w:rsidR="0061079A" w:rsidRPr="0061079A">
        <w:rPr>
          <w:rStyle w:val="libAlaemChar"/>
          <w:rtl/>
        </w:rPr>
        <w:t>صلى‌الله‌عليه‌وآله</w:t>
      </w:r>
      <w:r w:rsidR="00D10E3C">
        <w:rPr>
          <w:rtl/>
          <w:lang w:bidi="fa-IR"/>
        </w:rPr>
        <w:t xml:space="preserve"> </w:t>
      </w:r>
      <w:r>
        <w:rPr>
          <w:rtl/>
          <w:lang w:bidi="fa-IR"/>
        </w:rPr>
        <w:t xml:space="preserve">فِي قَوْلِ اللهِ عَزَّ وَجَلَّ : </w:t>
      </w:r>
      <w:r w:rsidRPr="00384735">
        <w:rPr>
          <w:rStyle w:val="libAlaemChar"/>
          <w:rtl/>
        </w:rPr>
        <w:t>(</w:t>
      </w:r>
      <w:r w:rsidRPr="00384735">
        <w:rPr>
          <w:rStyle w:val="libAieChar"/>
          <w:rtl/>
        </w:rPr>
        <w:t xml:space="preserve"> وَأَعِدُّوا لَهُمْ مَا اسْتَطَعْتُمْ مِنْ قُوَّةٍ وَمِنْ رِباطِ الْخَيْلِ </w:t>
      </w:r>
      <w:r w:rsidRPr="00384735">
        <w:rPr>
          <w:rStyle w:val="libAlaemChar"/>
          <w:rtl/>
        </w:rPr>
        <w:t>)</w:t>
      </w:r>
      <w:r>
        <w:rPr>
          <w:rtl/>
          <w:lang w:bidi="fa-IR"/>
        </w:rPr>
        <w:t xml:space="preserve"> </w:t>
      </w:r>
      <w:r w:rsidRPr="00D10E3C">
        <w:rPr>
          <w:rStyle w:val="libFootnotenumChar"/>
          <w:rtl/>
        </w:rPr>
        <w:t>(5)</w:t>
      </w:r>
      <w:r>
        <w:rPr>
          <w:rtl/>
          <w:lang w:bidi="fa-IR"/>
        </w:rPr>
        <w:t xml:space="preserve"> قَالَ : « الرَّمْيُ </w:t>
      </w:r>
      <w:r w:rsidRPr="00D10E3C">
        <w:rPr>
          <w:rStyle w:val="libFootnotenumChar"/>
          <w:rtl/>
        </w:rPr>
        <w:t>(6)</w:t>
      </w:r>
      <w:r>
        <w:rPr>
          <w:rtl/>
          <w:lang w:bidi="fa-IR"/>
        </w:rPr>
        <w:t xml:space="preserve"> ». </w:t>
      </w:r>
      <w:r w:rsidRPr="00D10E3C">
        <w:rPr>
          <w:rStyle w:val="libFootnotenumChar"/>
          <w:rtl/>
        </w:rPr>
        <w:t>(7)</w:t>
      </w:r>
    </w:p>
    <w:p w:rsidR="00144FA6" w:rsidRDefault="00744A1C" w:rsidP="00744A1C">
      <w:pPr>
        <w:pStyle w:val="libNormal"/>
        <w:rPr>
          <w:rtl/>
          <w:lang w:bidi="fa-IR"/>
        </w:rPr>
      </w:pPr>
      <w:r>
        <w:rPr>
          <w:rtl/>
          <w:lang w:bidi="fa-IR"/>
        </w:rPr>
        <w:t>8295 / 13. مُحَمَّدُ بْنُ يَحْيى ، عَنْ مُحَمَّدِ بْنِ أَحْمَدَ ، عَنْ عَلِيِّ بْنِ إِسْمَاعِيلَ رَفَعَهُ ، قَالَ :</w:t>
      </w:r>
    </w:p>
    <w:p w:rsidR="00744A1C" w:rsidRDefault="00744A1C" w:rsidP="00744A1C">
      <w:pPr>
        <w:pStyle w:val="libNormal"/>
        <w:rPr>
          <w:lang w:bidi="fa-IR"/>
        </w:rPr>
      </w:pPr>
      <w:r>
        <w:rPr>
          <w:rtl/>
          <w:lang w:bidi="fa-IR"/>
        </w:rPr>
        <w:t xml:space="preserve">قَالَ رَسُولُ اللهِ </w:t>
      </w:r>
      <w:r w:rsidR="0061079A" w:rsidRPr="0061079A">
        <w:rPr>
          <w:rStyle w:val="libAlaemChar"/>
          <w:rtl/>
        </w:rPr>
        <w:t>صلى‌الله‌عليه‌وآله</w:t>
      </w:r>
      <w:r w:rsidR="00D10E3C">
        <w:rPr>
          <w:rtl/>
          <w:lang w:bidi="fa-IR"/>
        </w:rPr>
        <w:t xml:space="preserve"> </w:t>
      </w:r>
      <w:r>
        <w:rPr>
          <w:rtl/>
          <w:lang w:bidi="fa-IR"/>
        </w:rPr>
        <w:t xml:space="preserve">: «ارْكَبُوا وَارْمُوا </w:t>
      </w:r>
      <w:r w:rsidRPr="00D10E3C">
        <w:rPr>
          <w:rStyle w:val="libFootnotenumChar"/>
          <w:rtl/>
        </w:rPr>
        <w:t>(8)</w:t>
      </w:r>
      <w:r>
        <w:rPr>
          <w:rtl/>
          <w:lang w:bidi="fa-IR"/>
        </w:rPr>
        <w:t xml:space="preserve"> ، وَأَنْ تَرْمُوا أَحَبُّ إِلَيَّ مِنْ أَنْ تَرْكَبُوا».</w:t>
      </w:r>
    </w:p>
    <w:p w:rsidR="00744A1C" w:rsidRDefault="00744A1C" w:rsidP="00744A1C">
      <w:pPr>
        <w:pStyle w:val="libNormal"/>
        <w:rPr>
          <w:lang w:bidi="fa-IR"/>
        </w:rPr>
      </w:pPr>
      <w:r>
        <w:rPr>
          <w:rtl/>
          <w:lang w:bidi="fa-IR"/>
        </w:rPr>
        <w:t xml:space="preserve">ثُمَّ قَالَ : « كُلُّ لَهْوِ الْمُؤْمِنِ </w:t>
      </w:r>
      <w:r w:rsidRPr="00D10E3C">
        <w:rPr>
          <w:rStyle w:val="libFootnotenumChar"/>
          <w:rtl/>
        </w:rPr>
        <w:t>(9)</w:t>
      </w:r>
      <w:r w:rsidR="00384735">
        <w:rPr>
          <w:rtl/>
          <w:lang w:bidi="fa-IR"/>
        </w:rPr>
        <w:t xml:space="preserve"> بَاطِلٌ إِل</w:t>
      </w:r>
      <w:r w:rsidR="00384735">
        <w:rPr>
          <w:rFonts w:hint="cs"/>
          <w:rtl/>
          <w:lang w:bidi="fa-IR"/>
        </w:rPr>
        <w:t>َّ</w:t>
      </w:r>
      <w:r w:rsidR="00384735">
        <w:rPr>
          <w:rtl/>
          <w:lang w:bidi="fa-IR"/>
        </w:rPr>
        <w:t>ا</w:t>
      </w:r>
      <w:r>
        <w:rPr>
          <w:rtl/>
          <w:lang w:bidi="fa-IR"/>
        </w:rPr>
        <w:t xml:space="preserve"> فِي </w:t>
      </w:r>
      <w:r w:rsidRPr="00D10E3C">
        <w:rPr>
          <w:rStyle w:val="libFootnotenumChar"/>
          <w:rtl/>
        </w:rPr>
        <w:t>(10)</w:t>
      </w:r>
      <w:r>
        <w:rPr>
          <w:rtl/>
          <w:lang w:bidi="fa-IR"/>
        </w:rPr>
        <w:t xml:space="preserve"> ثَلَاثٍ </w:t>
      </w:r>
      <w:r w:rsidRPr="00D10E3C">
        <w:rPr>
          <w:rStyle w:val="libFootnotenumChar"/>
          <w:rtl/>
        </w:rPr>
        <w:t>(11)</w:t>
      </w:r>
      <w:r>
        <w:rPr>
          <w:rtl/>
          <w:lang w:bidi="fa-IR"/>
        </w:rPr>
        <w:t xml:space="preserve"> : فِي </w:t>
      </w:r>
      <w:r w:rsidRPr="00D10E3C">
        <w:rPr>
          <w:rStyle w:val="libFootnotenumChar"/>
          <w:rtl/>
        </w:rPr>
        <w:t>(12)</w:t>
      </w:r>
      <w:r>
        <w:rPr>
          <w:rtl/>
          <w:lang w:bidi="fa-IR"/>
        </w:rPr>
        <w:t xml:space="preserve"> تَأْدِيبِهِ الْفَرَسَ </w:t>
      </w:r>
      <w:r w:rsidRPr="00D10E3C">
        <w:rPr>
          <w:rStyle w:val="libFootnotenumChar"/>
          <w:rtl/>
        </w:rPr>
        <w:t>(13)</w:t>
      </w:r>
      <w:r>
        <w:rPr>
          <w:rtl/>
          <w:lang w:bidi="fa-IR"/>
        </w:rPr>
        <w:t xml:space="preserve"> ، وَرَمْيِهِ‌</w:t>
      </w:r>
    </w:p>
    <w:p w:rsidR="00744A1C" w:rsidRDefault="00744A1C" w:rsidP="00D10E3C">
      <w:pPr>
        <w:pStyle w:val="libLine"/>
        <w:rPr>
          <w:lang w:bidi="fa-IR"/>
        </w:rPr>
      </w:pPr>
      <w:r>
        <w:rPr>
          <w:rtl/>
          <w:lang w:bidi="fa-IR"/>
        </w:rPr>
        <w:t>____________________</w:t>
      </w:r>
    </w:p>
    <w:p w:rsidR="00744A1C" w:rsidRDefault="00875E10" w:rsidP="00D10E3C">
      <w:pPr>
        <w:pStyle w:val="libFootnote0"/>
        <w:rPr>
          <w:lang w:bidi="fa-IR"/>
        </w:rPr>
      </w:pPr>
      <w:r>
        <w:rPr>
          <w:rFonts w:hint="cs"/>
          <w:rtl/>
          <w:lang w:bidi="fa-IR"/>
        </w:rPr>
        <w:t xml:space="preserve">= </w:t>
      </w:r>
      <w:r w:rsidR="00744A1C">
        <w:rPr>
          <w:rtl/>
          <w:lang w:bidi="fa-IR"/>
        </w:rPr>
        <w:t xml:space="preserve">سعدان بن مسلم. راجع : </w:t>
      </w:r>
      <w:r w:rsidR="00744A1C" w:rsidRPr="00C24F9C">
        <w:rPr>
          <w:rStyle w:val="libFootnoteBoldChar"/>
          <w:rtl/>
        </w:rPr>
        <w:t>الفقيه</w:t>
      </w:r>
      <w:r w:rsidR="00744A1C">
        <w:rPr>
          <w:rtl/>
          <w:lang w:bidi="fa-IR"/>
        </w:rPr>
        <w:t xml:space="preserve"> ، ج 3 ، ص 48 ، ح 3303 ؛ وج 4 ، ص 59 ، ح 5094 ؛ </w:t>
      </w:r>
      <w:r w:rsidR="00744A1C" w:rsidRPr="0061079A">
        <w:rPr>
          <w:rStyle w:val="libFootnoteBoldChar"/>
          <w:rtl/>
        </w:rPr>
        <w:t>والتهذيب</w:t>
      </w:r>
      <w:r w:rsidR="00744A1C">
        <w:rPr>
          <w:rtl/>
          <w:lang w:bidi="fa-IR"/>
        </w:rPr>
        <w:t xml:space="preserve"> ، ج 6 ، ص 284 ، ح 785 </w:t>
      </w:r>
      <w:r w:rsidR="000B1D34">
        <w:rPr>
          <w:rFonts w:hint="cs"/>
          <w:rtl/>
          <w:lang w:bidi="fa-IR"/>
        </w:rPr>
        <w:t>.</w:t>
      </w:r>
      <w:r w:rsidR="00744A1C" w:rsidRPr="00C24F9C">
        <w:rPr>
          <w:rStyle w:val="libFootnoteBoldChar"/>
          <w:rtl/>
        </w:rPr>
        <w:t>الوافي</w:t>
      </w:r>
      <w:r w:rsidR="00744A1C">
        <w:rPr>
          <w:rtl/>
          <w:lang w:bidi="fa-IR"/>
        </w:rPr>
        <w:t xml:space="preserve"> ، ج 15 ، ص 149 ، ح 14820 ؛ وج 22 ، ص 706 ، ح 21983 ؛ </w:t>
      </w:r>
      <w:r w:rsidR="00744A1C" w:rsidRPr="00C24F9C">
        <w:rPr>
          <w:rStyle w:val="libFootnoteBoldChar"/>
          <w:rtl/>
        </w:rPr>
        <w:t>الوسائل</w:t>
      </w:r>
      <w:r w:rsidR="00744A1C">
        <w:rPr>
          <w:rtl/>
          <w:lang w:bidi="fa-IR"/>
        </w:rPr>
        <w:t xml:space="preserve"> ، ج 19 ، ص 250 ، ح 24522.</w:t>
      </w:r>
    </w:p>
    <w:p w:rsidR="00744A1C" w:rsidRDefault="00D10E3C" w:rsidP="00D10E3C">
      <w:pPr>
        <w:pStyle w:val="libFootnote0"/>
        <w:rPr>
          <w:lang w:bidi="fa-IR"/>
        </w:rPr>
      </w:pPr>
      <w:r>
        <w:rPr>
          <w:rtl/>
          <w:lang w:bidi="fa-IR"/>
        </w:rPr>
        <w:t>(1).</w:t>
      </w:r>
      <w:r w:rsidR="00744A1C">
        <w:rPr>
          <w:rtl/>
          <w:lang w:bidi="fa-IR"/>
        </w:rPr>
        <w:t xml:space="preserve"> في </w:t>
      </w:r>
      <w:r w:rsidR="00744A1C" w:rsidRPr="00316480">
        <w:rPr>
          <w:rtl/>
        </w:rPr>
        <w:t>الوسائل</w:t>
      </w:r>
      <w:r w:rsidR="00744A1C">
        <w:rPr>
          <w:rtl/>
          <w:lang w:bidi="fa-IR"/>
        </w:rPr>
        <w:t xml:space="preserve"> ، ح 20166 و 24526 : - « عن آبائه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لعلّ المراد به هنا النصيب ، ولا يخفى لطفه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15 ، ص 150 ، ح 14825 ؛ </w:t>
      </w:r>
      <w:r w:rsidR="00744A1C" w:rsidRPr="00C24F9C">
        <w:rPr>
          <w:rStyle w:val="libFootnoteBoldChar"/>
          <w:rtl/>
        </w:rPr>
        <w:t>الوسائل</w:t>
      </w:r>
      <w:r w:rsidR="00744A1C">
        <w:rPr>
          <w:rtl/>
          <w:lang w:bidi="fa-IR"/>
        </w:rPr>
        <w:t xml:space="preserve"> ، ج 15 ، ص 140 ، ح 20166 ؛ وج 19 ، ص 251 ، ح 24526.</w:t>
      </w:r>
    </w:p>
    <w:p w:rsidR="00744A1C" w:rsidRDefault="00E378DD" w:rsidP="00E378DD">
      <w:pPr>
        <w:pStyle w:val="libFootnote0"/>
        <w:rPr>
          <w:lang w:bidi="fa-IR"/>
        </w:rPr>
      </w:pPr>
      <w:r>
        <w:rPr>
          <w:rtl/>
          <w:lang w:bidi="fa-IR"/>
        </w:rPr>
        <w:t>(4).</w:t>
      </w:r>
      <w:r w:rsidR="00744A1C">
        <w:rPr>
          <w:rtl/>
          <w:lang w:bidi="fa-IR"/>
        </w:rPr>
        <w:t xml:space="preserve"> هكذا في « بث ، جت ، جد ، جن »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وفي « ى ، بح ، بس ، بف » والمطبوع : «طريف».</w:t>
      </w:r>
    </w:p>
    <w:p w:rsidR="00744A1C" w:rsidRDefault="00744A1C" w:rsidP="00E378DD">
      <w:pPr>
        <w:pStyle w:val="libFootnote0"/>
        <w:rPr>
          <w:lang w:bidi="fa-IR"/>
        </w:rPr>
      </w:pPr>
      <w:r>
        <w:rPr>
          <w:rtl/>
          <w:lang w:bidi="fa-IR"/>
        </w:rPr>
        <w:t xml:space="preserve">والحسن هذا ، هو الحسن بن ظريف بن ناصح. راجع : </w:t>
      </w:r>
      <w:r w:rsidRPr="003A7143">
        <w:rPr>
          <w:rStyle w:val="libFootnoteBoldChar"/>
          <w:rtl/>
        </w:rPr>
        <w:t>رجال النجاشي</w:t>
      </w:r>
      <w:r>
        <w:rPr>
          <w:rtl/>
          <w:lang w:bidi="fa-IR"/>
        </w:rPr>
        <w:t xml:space="preserve"> ، ص 61 ، الرقم 140 ؛ </w:t>
      </w:r>
      <w:r w:rsidRPr="003A7143">
        <w:rPr>
          <w:rStyle w:val="libFootnoteBoldChar"/>
          <w:rtl/>
        </w:rPr>
        <w:t>الفهرست للطوسي</w:t>
      </w:r>
      <w:r>
        <w:rPr>
          <w:rtl/>
          <w:lang w:bidi="fa-IR"/>
        </w:rPr>
        <w:t xml:space="preserve"> ، ص 125 ، الرقم 167. </w:t>
      </w:r>
      <w:r w:rsidR="00316480">
        <w:rPr>
          <w:rFonts w:hint="cs"/>
          <w:rtl/>
          <w:lang w:bidi="fa-IR"/>
        </w:rPr>
        <w:t xml:space="preserve">             </w:t>
      </w:r>
      <w:r w:rsidR="00402829">
        <w:rPr>
          <w:rFonts w:hint="cs"/>
          <w:rtl/>
          <w:lang w:bidi="fa-IR"/>
        </w:rPr>
        <w:t xml:space="preserve">           </w:t>
      </w:r>
      <w:r w:rsidR="00316480">
        <w:rPr>
          <w:rFonts w:hint="cs"/>
          <w:rtl/>
          <w:lang w:bidi="fa-IR"/>
        </w:rPr>
        <w:t xml:space="preserve">      </w:t>
      </w:r>
      <w:r w:rsidR="00E378DD">
        <w:rPr>
          <w:rtl/>
          <w:lang w:bidi="fa-IR"/>
        </w:rPr>
        <w:t>(5).</w:t>
      </w:r>
      <w:r>
        <w:rPr>
          <w:rtl/>
          <w:lang w:bidi="fa-IR"/>
        </w:rPr>
        <w:t xml:space="preserve"> الأنفال </w:t>
      </w:r>
      <w:r w:rsidR="00316480">
        <w:rPr>
          <w:rtl/>
          <w:lang w:bidi="fa-IR"/>
        </w:rPr>
        <w:t>(8)</w:t>
      </w:r>
      <w:r>
        <w:rPr>
          <w:rtl/>
          <w:lang w:bidi="fa-IR"/>
        </w:rPr>
        <w:t xml:space="preserve"> : 60.</w:t>
      </w:r>
    </w:p>
    <w:p w:rsidR="00744A1C" w:rsidRDefault="00E378DD" w:rsidP="00E378DD">
      <w:pPr>
        <w:pStyle w:val="libFootnote0"/>
        <w:rPr>
          <w:lang w:bidi="fa-IR"/>
        </w:rPr>
      </w:pPr>
      <w:r>
        <w:rPr>
          <w:rtl/>
          <w:lang w:bidi="fa-IR"/>
        </w:rPr>
        <w:t>(6).</w:t>
      </w:r>
      <w:r w:rsidR="00744A1C">
        <w:rPr>
          <w:rtl/>
          <w:lang w:bidi="fa-IR"/>
        </w:rPr>
        <w:t xml:space="preserve"> في هامش المطبوع : « قوله : الرمي ، من باب تعيين أحد المصاديق ، كما لا يخفى ».</w:t>
      </w:r>
    </w:p>
    <w:p w:rsidR="00744A1C" w:rsidRDefault="00E378DD" w:rsidP="00E378DD">
      <w:pPr>
        <w:pStyle w:val="libFootnote0"/>
        <w:rPr>
          <w:lang w:bidi="fa-IR"/>
        </w:rPr>
      </w:pPr>
      <w:r>
        <w:rPr>
          <w:rtl/>
          <w:lang w:bidi="fa-IR"/>
        </w:rPr>
        <w:t>(7).</w:t>
      </w:r>
      <w:r w:rsidR="00744A1C">
        <w:rPr>
          <w:rtl/>
          <w:lang w:bidi="fa-IR"/>
        </w:rPr>
        <w:t xml:space="preserve"> </w:t>
      </w:r>
      <w:r w:rsidR="00744A1C" w:rsidRPr="00A914B5">
        <w:rPr>
          <w:rStyle w:val="libFootnoteBoldChar"/>
          <w:rtl/>
        </w:rPr>
        <w:t>تفسير العيّاشي</w:t>
      </w:r>
      <w:r w:rsidR="00744A1C">
        <w:rPr>
          <w:rtl/>
          <w:lang w:bidi="fa-IR"/>
        </w:rPr>
        <w:t xml:space="preserve"> ، ج 2 ، ص 66 ، ح 74 ، عن عبد الله بن المغيرة </w:t>
      </w:r>
      <w:r w:rsidR="00DD1B51">
        <w:rPr>
          <w:rFonts w:hint="cs"/>
          <w:rtl/>
          <w:lang w:bidi="fa-IR"/>
        </w:rPr>
        <w:t>.</w:t>
      </w:r>
      <w:r w:rsidR="00744A1C" w:rsidRPr="00C24F9C">
        <w:rPr>
          <w:rStyle w:val="libFootnoteBoldChar"/>
          <w:rtl/>
        </w:rPr>
        <w:t>الوافي</w:t>
      </w:r>
      <w:r w:rsidR="00744A1C">
        <w:rPr>
          <w:rtl/>
          <w:lang w:bidi="fa-IR"/>
        </w:rPr>
        <w:t xml:space="preserve"> ، ج 15 ، ص 150 ، ح 14824 ؛ </w:t>
      </w:r>
      <w:r w:rsidR="00744A1C" w:rsidRPr="00C24F9C">
        <w:rPr>
          <w:rStyle w:val="libFootnoteBoldChar"/>
          <w:rtl/>
        </w:rPr>
        <w:t>الوسائل</w:t>
      </w:r>
      <w:r w:rsidR="00744A1C">
        <w:rPr>
          <w:rtl/>
          <w:lang w:bidi="fa-IR"/>
        </w:rPr>
        <w:t xml:space="preserve"> ، ج 15 ، ص 140 ، ح 20167 ؛ وج 19 ، ص 252 ، ح 24527 ؛ </w:t>
      </w:r>
      <w:r w:rsidR="00744A1C" w:rsidRPr="0061079A">
        <w:rPr>
          <w:rStyle w:val="libFootnoteBoldChar"/>
          <w:rtl/>
        </w:rPr>
        <w:t>البحار</w:t>
      </w:r>
      <w:r w:rsidR="00744A1C">
        <w:rPr>
          <w:rtl/>
          <w:lang w:bidi="fa-IR"/>
        </w:rPr>
        <w:t xml:space="preserve"> ، ج 19 ، ص 185 ، ح 40.</w:t>
      </w:r>
    </w:p>
    <w:p w:rsidR="00744A1C" w:rsidRDefault="00E378DD" w:rsidP="00E378DD">
      <w:pPr>
        <w:pStyle w:val="libFootnote0"/>
        <w:rPr>
          <w:lang w:bidi="fa-IR"/>
        </w:rPr>
      </w:pPr>
      <w:r>
        <w:rPr>
          <w:rtl/>
          <w:lang w:bidi="fa-IR"/>
        </w:rPr>
        <w:t>(8).</w:t>
      </w:r>
      <w:r w:rsidR="00744A1C">
        <w:rPr>
          <w:rtl/>
          <w:lang w:bidi="fa-IR"/>
        </w:rPr>
        <w:t xml:space="preserve"> في « بس » : « أو ارموا ». وفي </w:t>
      </w:r>
      <w:r w:rsidR="00744A1C" w:rsidRPr="00C24F9C">
        <w:rPr>
          <w:rStyle w:val="libFootnoteBoldChar"/>
          <w:rtl/>
        </w:rPr>
        <w:t>الوسائل</w:t>
      </w:r>
      <w:r w:rsidR="00744A1C">
        <w:rPr>
          <w:rtl/>
          <w:lang w:bidi="fa-IR"/>
        </w:rPr>
        <w:t xml:space="preserve"> : « ارموا واركبوا » بدل « اركبوا وارموا ».</w:t>
      </w:r>
    </w:p>
    <w:p w:rsidR="00744A1C" w:rsidRDefault="00E378DD" w:rsidP="00E378DD">
      <w:pPr>
        <w:pStyle w:val="libFootnote0"/>
        <w:rPr>
          <w:lang w:bidi="fa-IR"/>
        </w:rPr>
      </w:pPr>
      <w:r>
        <w:rPr>
          <w:rtl/>
          <w:lang w:bidi="fa-IR"/>
        </w:rPr>
        <w:t>(9).</w:t>
      </w:r>
      <w:r w:rsidR="00744A1C">
        <w:rPr>
          <w:rtl/>
          <w:lang w:bidi="fa-IR"/>
        </w:rPr>
        <w:t xml:space="preserve"> في </w:t>
      </w:r>
      <w:r w:rsidR="00744A1C" w:rsidRPr="00DD1B51">
        <w:rPr>
          <w:rtl/>
        </w:rPr>
        <w:t>التهذيب</w:t>
      </w:r>
      <w:r w:rsidR="00744A1C">
        <w:rPr>
          <w:rtl/>
          <w:lang w:bidi="fa-IR"/>
        </w:rPr>
        <w:t xml:space="preserve"> : « أمر للمؤمن » بدل « لهو المؤمن ».</w:t>
      </w:r>
    </w:p>
    <w:tbl>
      <w:tblPr>
        <w:tblStyle w:val="TableGrid"/>
        <w:bidiVisual/>
        <w:tblW w:w="0" w:type="auto"/>
        <w:tblLook w:val="04A0" w:firstRow="1" w:lastRow="0" w:firstColumn="1" w:lastColumn="0" w:noHBand="0" w:noVBand="1"/>
      </w:tblPr>
      <w:tblGrid>
        <w:gridCol w:w="4006"/>
        <w:gridCol w:w="4006"/>
      </w:tblGrid>
      <w:tr w:rsidR="00DD1B51" w:rsidTr="00DD1B51">
        <w:tc>
          <w:tcPr>
            <w:tcW w:w="4006" w:type="dxa"/>
          </w:tcPr>
          <w:p w:rsidR="00DD1B51" w:rsidRDefault="00DD1B51" w:rsidP="00E378DD">
            <w:pPr>
              <w:pStyle w:val="libFootnote0"/>
              <w:rPr>
                <w:rtl/>
                <w:lang w:bidi="fa-IR"/>
              </w:rPr>
            </w:pPr>
            <w:r>
              <w:rPr>
                <w:rtl/>
                <w:lang w:bidi="fa-IR"/>
              </w:rPr>
              <w:t>(10). في « جن » : - « في ».</w:t>
            </w:r>
          </w:p>
        </w:tc>
        <w:tc>
          <w:tcPr>
            <w:tcW w:w="4006" w:type="dxa"/>
          </w:tcPr>
          <w:p w:rsidR="00DD1B51" w:rsidRDefault="00DD1B51" w:rsidP="00E378DD">
            <w:pPr>
              <w:pStyle w:val="libFootnote0"/>
              <w:rPr>
                <w:rtl/>
                <w:lang w:bidi="fa-IR"/>
              </w:rPr>
            </w:pPr>
            <w:r>
              <w:rPr>
                <w:rtl/>
                <w:lang w:bidi="fa-IR"/>
              </w:rPr>
              <w:t xml:space="preserve">(11). في </w:t>
            </w:r>
            <w:r w:rsidRPr="000742CA">
              <w:rPr>
                <w:rtl/>
              </w:rPr>
              <w:t>الوافي</w:t>
            </w:r>
            <w:r>
              <w:rPr>
                <w:rtl/>
                <w:lang w:bidi="fa-IR"/>
              </w:rPr>
              <w:t xml:space="preserve"> : « ثلاثة ».</w:t>
            </w:r>
          </w:p>
        </w:tc>
      </w:tr>
      <w:tr w:rsidR="00DD1B51" w:rsidTr="00DD1B51">
        <w:tc>
          <w:tcPr>
            <w:tcW w:w="4006" w:type="dxa"/>
          </w:tcPr>
          <w:p w:rsidR="00DD1B51" w:rsidRDefault="000742CA" w:rsidP="00E378DD">
            <w:pPr>
              <w:pStyle w:val="libFootnote0"/>
              <w:rPr>
                <w:rtl/>
                <w:lang w:bidi="fa-IR"/>
              </w:rPr>
            </w:pPr>
            <w:r>
              <w:rPr>
                <w:rtl/>
                <w:lang w:bidi="fa-IR"/>
              </w:rPr>
              <w:t>(12). في « بس » : - « في ».</w:t>
            </w:r>
          </w:p>
        </w:tc>
        <w:tc>
          <w:tcPr>
            <w:tcW w:w="4006" w:type="dxa"/>
          </w:tcPr>
          <w:p w:rsidR="00DD1B51" w:rsidRDefault="000742CA" w:rsidP="00E378DD">
            <w:pPr>
              <w:pStyle w:val="libFootnote0"/>
              <w:rPr>
                <w:rtl/>
                <w:lang w:bidi="fa-IR"/>
              </w:rPr>
            </w:pPr>
            <w:r>
              <w:rPr>
                <w:rtl/>
                <w:lang w:bidi="fa-IR"/>
              </w:rPr>
              <w:t>(13). في حاشية « بث ، بح ، جت » : « فرسه ».</w:t>
            </w:r>
          </w:p>
        </w:tc>
      </w:tr>
    </w:tbl>
    <w:p w:rsidR="006A5060" w:rsidRDefault="006A5060" w:rsidP="00D10E3C">
      <w:pPr>
        <w:pStyle w:val="libNormal"/>
        <w:rPr>
          <w:rtl/>
          <w:lang w:bidi="fa-IR"/>
        </w:rPr>
      </w:pPr>
      <w:r>
        <w:rPr>
          <w:rtl/>
          <w:lang w:bidi="fa-IR"/>
        </w:rPr>
        <w:br w:type="page"/>
      </w:r>
    </w:p>
    <w:p w:rsidR="00144FA6" w:rsidRDefault="00744A1C" w:rsidP="00D722C0">
      <w:pPr>
        <w:pStyle w:val="libNormal0"/>
        <w:rPr>
          <w:rtl/>
          <w:lang w:bidi="fa-IR"/>
        </w:rPr>
      </w:pPr>
      <w:r>
        <w:rPr>
          <w:rtl/>
          <w:lang w:bidi="fa-IR"/>
        </w:rPr>
        <w:t xml:space="preserve">عَنْ قَوْسِهِ </w:t>
      </w:r>
      <w:r w:rsidRPr="00D10E3C">
        <w:rPr>
          <w:rStyle w:val="libFootnotenumChar"/>
          <w:rtl/>
        </w:rPr>
        <w:t>(1)</w:t>
      </w:r>
      <w:r>
        <w:rPr>
          <w:rtl/>
          <w:lang w:bidi="fa-IR"/>
        </w:rPr>
        <w:t xml:space="preserve"> ، وَمُلَاعَبَتِهِ </w:t>
      </w:r>
      <w:r w:rsidRPr="00D10E3C">
        <w:rPr>
          <w:rStyle w:val="libFootnotenumChar"/>
          <w:rtl/>
        </w:rPr>
        <w:t>(2)</w:t>
      </w:r>
      <w:r>
        <w:rPr>
          <w:rtl/>
          <w:lang w:bidi="fa-IR"/>
        </w:rPr>
        <w:t xml:space="preserve"> امْرَأَتَهُ ، فَإِنَّهُنَّ حَقٌّ ؛ أَلَا إِنَّ اللهَ - عَزَّ وَجَلَّ - لَيُدْخِلُ فِي السَّهْمِ </w:t>
      </w:r>
      <w:r w:rsidRPr="00D10E3C">
        <w:rPr>
          <w:rStyle w:val="libFootnotenumChar"/>
          <w:rtl/>
        </w:rPr>
        <w:t>(3)</w:t>
      </w:r>
      <w:r>
        <w:rPr>
          <w:rtl/>
          <w:lang w:bidi="fa-IR"/>
        </w:rPr>
        <w:t xml:space="preserve"> الْوَاحِدِ الثَّلَاثَةَ الْجَنَّةَ : عَامِلَ الْخَشَبَةِ ، وَالْمُقَوِّيَ بِهِ </w:t>
      </w:r>
      <w:r w:rsidRPr="00D10E3C">
        <w:rPr>
          <w:rStyle w:val="libFootnotenumChar"/>
          <w:rtl/>
        </w:rPr>
        <w:t>(4)</w:t>
      </w:r>
      <w:r>
        <w:rPr>
          <w:rtl/>
          <w:lang w:bidi="fa-IR"/>
        </w:rPr>
        <w:t xml:space="preserve"> فِي سَبِيلِ اللهِ ، وَالرَّامِيَ بِهِ فِي سَبِيلِ اللهِ ». </w:t>
      </w:r>
      <w:r w:rsidRPr="00D10E3C">
        <w:rPr>
          <w:rStyle w:val="libFootnotenumChar"/>
          <w:rtl/>
        </w:rPr>
        <w:t>(5)</w:t>
      </w:r>
    </w:p>
    <w:p w:rsidR="00144FA6" w:rsidRDefault="00744A1C" w:rsidP="00744A1C">
      <w:pPr>
        <w:pStyle w:val="libNormal"/>
        <w:rPr>
          <w:rtl/>
          <w:lang w:bidi="fa-IR"/>
        </w:rPr>
      </w:pPr>
      <w:r>
        <w:rPr>
          <w:rtl/>
          <w:lang w:bidi="fa-IR"/>
        </w:rPr>
        <w:t>8296 / 14. عَلِيُّ بْنُ إِبْرَاهِيمَ ، عَنْ أَبِيهِ ، عَنِ ابْنِ أَبِي عُمَيْرٍ ، عَنْ حَفْصٍ :</w:t>
      </w:r>
    </w:p>
    <w:p w:rsidR="00144FA6" w:rsidRDefault="00744A1C" w:rsidP="00FE580A">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سَبَقَ </w:t>
      </w:r>
      <w:r w:rsidRPr="00D10E3C">
        <w:rPr>
          <w:rStyle w:val="libFootnotenumChar"/>
          <w:rtl/>
        </w:rPr>
        <w:t>(6)</w:t>
      </w:r>
      <w:r w:rsidR="00D722C0">
        <w:rPr>
          <w:rtl/>
          <w:lang w:bidi="fa-IR"/>
        </w:rPr>
        <w:t xml:space="preserve"> إِل</w:t>
      </w:r>
      <w:r w:rsidR="00D722C0">
        <w:rPr>
          <w:rFonts w:hint="cs"/>
          <w:rtl/>
          <w:lang w:bidi="fa-IR"/>
        </w:rPr>
        <w:t>َّ</w:t>
      </w:r>
      <w:r w:rsidR="00D722C0">
        <w:rPr>
          <w:rtl/>
          <w:lang w:bidi="fa-IR"/>
        </w:rPr>
        <w:t>ا</w:t>
      </w:r>
      <w:r>
        <w:rPr>
          <w:rtl/>
          <w:lang w:bidi="fa-IR"/>
        </w:rPr>
        <w:t xml:space="preserve"> فِي خُفٍّ ، أَوْ حَافِرٍ ، أَوْ نَصْلٍ » يَعْنِي النِّضَالَ </w:t>
      </w:r>
      <w:r w:rsidRPr="00D10E3C">
        <w:rPr>
          <w:rStyle w:val="libFootnotenumChar"/>
          <w:rtl/>
        </w:rPr>
        <w:t>(7)</w:t>
      </w:r>
      <w:r w:rsidR="00FE580A">
        <w:rPr>
          <w:rFonts w:hint="cs"/>
          <w:rtl/>
          <w:lang w:bidi="fa-IR"/>
        </w:rPr>
        <w:t>.</w:t>
      </w:r>
      <w:r w:rsidRPr="00D10E3C">
        <w:rPr>
          <w:rStyle w:val="libFootnotenumChar"/>
          <w:rtl/>
        </w:rPr>
        <w:t>(8)</w:t>
      </w:r>
    </w:p>
    <w:p w:rsidR="00144FA6" w:rsidRDefault="00744A1C" w:rsidP="00744A1C">
      <w:pPr>
        <w:pStyle w:val="libNormal"/>
        <w:rPr>
          <w:rtl/>
          <w:lang w:bidi="fa-IR"/>
        </w:rPr>
      </w:pPr>
      <w:r>
        <w:rPr>
          <w:rtl/>
          <w:lang w:bidi="fa-IR"/>
        </w:rPr>
        <w:t>8297 / 15. عَلِيُّ بْنُ إِبْرَاهِيمَ ، عَنْ أَبِيهِ ، عَنِ ابْنِ أَبِي عُمَيْرٍ ، عَنْ حَفْصِ بْنِ الْبَخْتَرِيِّ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أَنَّهُ </w:t>
      </w:r>
      <w:r w:rsidRPr="00D10E3C">
        <w:rPr>
          <w:rStyle w:val="libFootnotenumChar"/>
          <w:rtl/>
        </w:rPr>
        <w:t>(9)</w:t>
      </w:r>
      <w:r>
        <w:rPr>
          <w:rtl/>
          <w:lang w:bidi="fa-IR"/>
        </w:rPr>
        <w:t xml:space="preserve"> كَانَ </w:t>
      </w:r>
      <w:r w:rsidRPr="00D10E3C">
        <w:rPr>
          <w:rStyle w:val="libFootnotenumChar"/>
          <w:rtl/>
        </w:rPr>
        <w:t>(10)</w:t>
      </w:r>
      <w:r>
        <w:rPr>
          <w:rtl/>
          <w:lang w:bidi="fa-IR"/>
        </w:rPr>
        <w:t xml:space="preserve"> يَحْضُرُ الرَّمْيَ وَالرِّهَانَ. </w:t>
      </w:r>
      <w:r w:rsidRPr="00D10E3C">
        <w:rPr>
          <w:rStyle w:val="libFootnotenumChar"/>
          <w:rtl/>
        </w:rPr>
        <w:t>(11)</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2F078E" w:rsidTr="002F078E">
        <w:tc>
          <w:tcPr>
            <w:tcW w:w="4006" w:type="dxa"/>
          </w:tcPr>
          <w:p w:rsidR="002F078E" w:rsidRDefault="002F078E" w:rsidP="00D10E3C">
            <w:pPr>
              <w:pStyle w:val="libFootnote0"/>
              <w:rPr>
                <w:rtl/>
                <w:lang w:bidi="fa-IR"/>
              </w:rPr>
            </w:pPr>
            <w:r>
              <w:rPr>
                <w:rtl/>
                <w:lang w:bidi="fa-IR"/>
              </w:rPr>
              <w:t xml:space="preserve">(1). في </w:t>
            </w:r>
            <w:r w:rsidRPr="002F078E">
              <w:rPr>
                <w:rtl/>
              </w:rPr>
              <w:t>الوسائل</w:t>
            </w:r>
            <w:r>
              <w:rPr>
                <w:rtl/>
                <w:lang w:bidi="fa-IR"/>
              </w:rPr>
              <w:t xml:space="preserve"> ، ح 25186 : « القوس ».</w:t>
            </w:r>
          </w:p>
        </w:tc>
        <w:tc>
          <w:tcPr>
            <w:tcW w:w="4006" w:type="dxa"/>
          </w:tcPr>
          <w:p w:rsidR="002F078E" w:rsidRDefault="002F078E" w:rsidP="00D10E3C">
            <w:pPr>
              <w:pStyle w:val="libFootnote0"/>
              <w:rPr>
                <w:rtl/>
                <w:lang w:bidi="fa-IR"/>
              </w:rPr>
            </w:pPr>
            <w:r>
              <w:rPr>
                <w:rtl/>
                <w:lang w:bidi="fa-IR"/>
              </w:rPr>
              <w:t>(2). في « ى ، جد » : « وملاعبة ».</w:t>
            </w:r>
          </w:p>
        </w:tc>
      </w:tr>
    </w:tbl>
    <w:p w:rsidR="00744A1C" w:rsidRDefault="00E378DD" w:rsidP="00E378DD">
      <w:pPr>
        <w:pStyle w:val="libFootnote0"/>
        <w:rPr>
          <w:lang w:bidi="fa-IR"/>
        </w:rPr>
      </w:pPr>
      <w:r>
        <w:rPr>
          <w:rtl/>
          <w:lang w:bidi="fa-IR"/>
        </w:rPr>
        <w:t>(3).</w:t>
      </w:r>
      <w:r w:rsidR="00744A1C">
        <w:rPr>
          <w:rtl/>
          <w:lang w:bidi="fa-IR"/>
        </w:rPr>
        <w:t xml:space="preserve"> في « ى ، بث ، بس ، جت ، جد » وحاشية « بح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20168 </w:t>
      </w:r>
      <w:r w:rsidR="00744A1C" w:rsidRPr="0061079A">
        <w:rPr>
          <w:rStyle w:val="libFootnoteBoldChar"/>
          <w:rtl/>
        </w:rPr>
        <w:t>والتهذيب</w:t>
      </w:r>
      <w:r w:rsidR="00744A1C">
        <w:rPr>
          <w:rtl/>
          <w:lang w:bidi="fa-IR"/>
        </w:rPr>
        <w:t xml:space="preserve"> : « بالسهم ».</w:t>
      </w:r>
    </w:p>
    <w:p w:rsidR="00744A1C" w:rsidRDefault="00E378DD" w:rsidP="00E378DD">
      <w:pPr>
        <w:pStyle w:val="libFootnote0"/>
        <w:rPr>
          <w:lang w:bidi="fa-IR"/>
        </w:rPr>
      </w:pPr>
      <w:r>
        <w:rPr>
          <w:rtl/>
          <w:lang w:bidi="fa-IR"/>
        </w:rPr>
        <w:t>(4).</w:t>
      </w:r>
      <w:r w:rsidR="00744A1C">
        <w:rPr>
          <w:rtl/>
          <w:lang w:bidi="fa-IR"/>
        </w:rPr>
        <w:t xml:space="preserve"> في هامش المطبوع : « المقوّي به ، كمن يشتري السهام ويعطيها غيره ليرميها في سبيل الله ».</w:t>
      </w:r>
    </w:p>
    <w:p w:rsidR="00744A1C" w:rsidRDefault="00E378DD" w:rsidP="00402829">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175 ، ح 348 ، معلّقاً عن محمّد بن أحمد بن يحيى ، عن عليّ بن إسماعيل ، عن عبد الله بن الصلت ، عن أبي ضمرة ، عن ابن عجلان ، عن عبد الله بن عبد الرحمن ، عن أبي الحسن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402829" w:rsidRPr="0061079A">
        <w:rPr>
          <w:rStyle w:val="libFootnoteAlaemChar"/>
          <w:rtl/>
        </w:rPr>
        <w:t>صلى‌الله‌عليه‌وآله</w:t>
      </w:r>
      <w:r w:rsidR="00C73B5B">
        <w:rPr>
          <w:rFonts w:eastAsiaTheme="minorHAnsi" w:hint="cs"/>
          <w:rtl/>
        </w:rPr>
        <w:t>.</w:t>
      </w:r>
      <w:r w:rsidR="00744A1C" w:rsidRPr="00C24F9C">
        <w:rPr>
          <w:rStyle w:val="libFootnoteBoldChar"/>
          <w:rtl/>
        </w:rPr>
        <w:t>الوافي</w:t>
      </w:r>
      <w:r w:rsidR="00744A1C">
        <w:rPr>
          <w:rtl/>
          <w:lang w:bidi="fa-IR"/>
        </w:rPr>
        <w:t xml:space="preserve"> ، ج 15 ، ص 150 ، ح 14823 ؛ </w:t>
      </w:r>
      <w:r w:rsidR="00744A1C" w:rsidRPr="00C24F9C">
        <w:rPr>
          <w:rStyle w:val="libFootnoteBoldChar"/>
          <w:rtl/>
        </w:rPr>
        <w:t>الوسائل</w:t>
      </w:r>
      <w:r w:rsidR="00744A1C">
        <w:rPr>
          <w:rtl/>
          <w:lang w:bidi="fa-IR"/>
        </w:rPr>
        <w:t xml:space="preserve"> ، ج 15 ، ص 140 ، ح 20168 ؛ وج 11 ، ص 493 ، ح 15353. وفيه ، ج 19 ، ص 250 ، ح 24523 ، عن الكليني ، عن محمّد بن يحيى ، عن عمران بن موسى ، عن الحسن بن ظريف ، عن عبد الله بن المغيرة ، رفعه قال : قال رسول الله </w:t>
      </w:r>
      <w:r w:rsidR="0061079A" w:rsidRPr="0061079A">
        <w:rPr>
          <w:rStyle w:val="libFootnoteAlaemChar"/>
          <w:rtl/>
        </w:rPr>
        <w:t>صلى‌الله‌عليه‌وآله</w:t>
      </w:r>
      <w:r w:rsidR="00D10E3C">
        <w:rPr>
          <w:rtl/>
          <w:lang w:bidi="fa-IR"/>
        </w:rPr>
        <w:t xml:space="preserve"> </w:t>
      </w:r>
      <w:r w:rsidR="00744A1C">
        <w:rPr>
          <w:rtl/>
          <w:lang w:bidi="fa-IR"/>
        </w:rPr>
        <w:t xml:space="preserve">، وفي الأخيرين من قوله : « كلّ لهو المؤمن باطل » ؛ وفيه ، ج 20 ، ص 118 ، ح 25186 ، وفي الثلاثة الأخيرة إلى قوله : « فإنّهنّ حقّ » ؛ </w:t>
      </w:r>
      <w:r w:rsidR="00744A1C" w:rsidRPr="0061079A">
        <w:rPr>
          <w:rStyle w:val="libFootnoteBoldChar"/>
          <w:rtl/>
        </w:rPr>
        <w:t>البحار</w:t>
      </w:r>
      <w:r w:rsidR="00744A1C">
        <w:rPr>
          <w:rtl/>
          <w:lang w:bidi="fa-IR"/>
        </w:rPr>
        <w:t xml:space="preserve"> ، ج 64 ، ص 216 ، ح 30 ، من قوله : « كلّ لهو المؤمن باطل » إلى قوله : « فإنّهنّ حقّ ».</w:t>
      </w:r>
    </w:p>
    <w:p w:rsidR="00744A1C" w:rsidRDefault="00E378DD" w:rsidP="00E378DD">
      <w:pPr>
        <w:pStyle w:val="libFootnote0"/>
        <w:rPr>
          <w:lang w:bidi="fa-IR"/>
        </w:rPr>
      </w:pPr>
      <w:r>
        <w:rPr>
          <w:rtl/>
          <w:lang w:bidi="fa-IR"/>
        </w:rPr>
        <w:t>(6).</w:t>
      </w:r>
      <w:r w:rsidR="00744A1C">
        <w:rPr>
          <w:rtl/>
          <w:lang w:bidi="fa-IR"/>
        </w:rPr>
        <w:t xml:space="preserve"> في هامش المطبوع : « اختلف المحدّثون في أنّ السبق في هذا الحديث هل هو بسكون الباء ، ليكون مصدراًبمعنى المسابقة ؛ أو بفتحها بمعنى المال المبذول للسابق. فعلى الأوّل لاتصحّ المسابقة في غير هذه الثلاثة ، وعلى الثاني - وهو الأصحّ رواية على ما نقله بعض العلماء - تصحّ. والنصل ، بالمهملة : حديدة السهم والرمح والسيف ما لم يكن له مقبض ، والمراد به هاهنا المراماة ، كما فسّره بقوله : يعني النضال ».</w:t>
      </w:r>
    </w:p>
    <w:p w:rsidR="00744A1C" w:rsidRDefault="00E378DD" w:rsidP="00E378DD">
      <w:pPr>
        <w:pStyle w:val="libFootnote0"/>
        <w:rPr>
          <w:lang w:bidi="fa-IR"/>
        </w:rPr>
      </w:pPr>
      <w:r>
        <w:rPr>
          <w:rtl/>
          <w:lang w:bidi="fa-IR"/>
        </w:rPr>
        <w:t>(7).</w:t>
      </w:r>
      <w:r w:rsidR="00744A1C">
        <w:rPr>
          <w:rtl/>
          <w:lang w:bidi="fa-IR"/>
        </w:rPr>
        <w:t xml:space="preserve"> في توضيح المفردات راجع الحديث السادس من هذا الباب.</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15 ، ص 151 ، ح 14827 ؛ </w:t>
      </w:r>
      <w:r w:rsidR="00744A1C" w:rsidRPr="00C24F9C">
        <w:rPr>
          <w:rStyle w:val="libFootnoteBoldChar"/>
          <w:rtl/>
        </w:rPr>
        <w:t>الوسائل</w:t>
      </w:r>
      <w:r w:rsidR="00744A1C">
        <w:rPr>
          <w:rtl/>
          <w:lang w:bidi="fa-IR"/>
        </w:rPr>
        <w:t xml:space="preserve"> ، ج 11 ، ص 493 ، ح 15352 ؛ وج 19 ، ص 252 ، ح 24529.</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الضمير راجع إلى الصادق </w:t>
      </w:r>
      <w:r w:rsidR="0061079A" w:rsidRPr="0061079A">
        <w:rPr>
          <w:rStyle w:val="libFootnoteAlaemChar"/>
          <w:rtl/>
        </w:rPr>
        <w:t>عليه‌السلام</w:t>
      </w:r>
      <w:r w:rsidR="00D10E3C">
        <w:rPr>
          <w:rtl/>
          <w:lang w:bidi="fa-IR"/>
        </w:rPr>
        <w:t xml:space="preserve"> </w:t>
      </w:r>
      <w:r w:rsidR="00744A1C">
        <w:rPr>
          <w:rtl/>
          <w:lang w:bidi="fa-IR"/>
        </w:rPr>
        <w:t xml:space="preserve">، وإرجاعه إلى النبيّ </w:t>
      </w:r>
      <w:r w:rsidR="00F90866" w:rsidRPr="00F90866">
        <w:rPr>
          <w:rStyle w:val="libFootnoteAlaemChar"/>
          <w:rtl/>
        </w:rPr>
        <w:t>صلى‌الله‌عليه‌وآله</w:t>
      </w:r>
      <w:r w:rsidR="00744A1C">
        <w:rPr>
          <w:rtl/>
          <w:lang w:bidi="fa-IR"/>
        </w:rPr>
        <w:t xml:space="preserve"> بعيد ».</w:t>
      </w:r>
    </w:p>
    <w:p w:rsidR="00744A1C" w:rsidRDefault="00E378DD" w:rsidP="00E378DD">
      <w:pPr>
        <w:pStyle w:val="libFootnote0"/>
        <w:rPr>
          <w:lang w:bidi="fa-IR"/>
        </w:rPr>
      </w:pPr>
      <w:r>
        <w:rPr>
          <w:rtl/>
          <w:lang w:bidi="fa-IR"/>
        </w:rPr>
        <w:t>(10).</w:t>
      </w:r>
      <w:r w:rsidR="00744A1C">
        <w:rPr>
          <w:rtl/>
          <w:lang w:bidi="fa-IR"/>
        </w:rPr>
        <w:t xml:space="preserve"> في « ى » : - « كان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الوافي</w:t>
      </w:r>
      <w:r w:rsidR="00744A1C">
        <w:rPr>
          <w:rtl/>
          <w:lang w:bidi="fa-IR"/>
        </w:rPr>
        <w:t xml:space="preserve"> ، ج 15 ، ص 151 ، ح 14826 ؛ </w:t>
      </w:r>
      <w:r w:rsidR="00744A1C" w:rsidRPr="00C24F9C">
        <w:rPr>
          <w:rStyle w:val="libFootnoteBoldChar"/>
          <w:rtl/>
        </w:rPr>
        <w:t>الوسائل</w:t>
      </w:r>
      <w:r w:rsidR="00744A1C">
        <w:rPr>
          <w:rtl/>
          <w:lang w:bidi="fa-IR"/>
        </w:rPr>
        <w:t xml:space="preserve"> ، ج 19 ، ص 252 ، ح 24528.</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8298 / 16. عَلِيُّ بْنُ إِبْرَاهِيمَ ، عَنْ أَبِيهِ ، عَنْ مُحَمَّدُ بْنُ يَحْيى </w:t>
      </w:r>
      <w:r w:rsidRPr="00D10E3C">
        <w:rPr>
          <w:rStyle w:val="libFootnotenumChar"/>
          <w:rtl/>
        </w:rPr>
        <w:t>(1)</w:t>
      </w:r>
      <w:r>
        <w:rPr>
          <w:rtl/>
          <w:lang w:bidi="fa-IR"/>
        </w:rPr>
        <w:t xml:space="preserve"> ، عَنْ طَلْحَةَ بْنِ زَيْدٍ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أَغَارَ </w:t>
      </w:r>
      <w:r w:rsidRPr="00D10E3C">
        <w:rPr>
          <w:rStyle w:val="libFootnotenumChar"/>
          <w:rtl/>
        </w:rPr>
        <w:t>(2)</w:t>
      </w:r>
      <w:r>
        <w:rPr>
          <w:rtl/>
          <w:lang w:bidi="fa-IR"/>
        </w:rPr>
        <w:t xml:space="preserve"> الْمُشْرِكُونَ عَلى سَرْحِ </w:t>
      </w:r>
      <w:r w:rsidRPr="00D10E3C">
        <w:rPr>
          <w:rStyle w:val="libFootnotenumChar"/>
          <w:rtl/>
        </w:rPr>
        <w:t>(3)</w:t>
      </w:r>
      <w:r>
        <w:rPr>
          <w:rtl/>
          <w:lang w:bidi="fa-IR"/>
        </w:rPr>
        <w:t xml:space="preserve"> الْمَدِينَةِ ، فَنَادى فِيهَا مُنَادٍ : يَا سُوءَ صَبَاحَاهْ </w:t>
      </w:r>
      <w:r w:rsidRPr="00D10E3C">
        <w:rPr>
          <w:rStyle w:val="libFootnotenumChar"/>
          <w:rtl/>
        </w:rPr>
        <w:t>(4)</w:t>
      </w:r>
      <w:r>
        <w:rPr>
          <w:rtl/>
          <w:lang w:bidi="fa-IR"/>
        </w:rPr>
        <w:t xml:space="preserve"> ، فَسَمِعَهَا رَسُولُ اللهِ </w:t>
      </w:r>
      <w:r w:rsidR="0061079A" w:rsidRPr="0061079A">
        <w:rPr>
          <w:rStyle w:val="libAlaemChar"/>
          <w:rtl/>
        </w:rPr>
        <w:t>صلى‌الله‌عليه‌وآله</w:t>
      </w:r>
      <w:r w:rsidR="00D10E3C">
        <w:rPr>
          <w:rtl/>
          <w:lang w:bidi="fa-IR"/>
        </w:rPr>
        <w:t xml:space="preserve"> </w:t>
      </w:r>
      <w:r>
        <w:rPr>
          <w:rtl/>
          <w:lang w:bidi="fa-IR"/>
        </w:rPr>
        <w:t xml:space="preserve">فِي الْخَيْلِ </w:t>
      </w:r>
      <w:r w:rsidRPr="00D10E3C">
        <w:rPr>
          <w:rStyle w:val="libFootnotenumChar"/>
          <w:rtl/>
        </w:rPr>
        <w:t>(5)</w:t>
      </w:r>
      <w:r>
        <w:rPr>
          <w:rtl/>
          <w:lang w:bidi="fa-IR"/>
        </w:rPr>
        <w:t xml:space="preserve"> ، فَرَكِبَ </w:t>
      </w:r>
      <w:r w:rsidRPr="00D10E3C">
        <w:rPr>
          <w:rStyle w:val="libFootnotenumChar"/>
          <w:rtl/>
        </w:rPr>
        <w:t>(6)</w:t>
      </w:r>
      <w:r>
        <w:rPr>
          <w:rtl/>
          <w:lang w:bidi="fa-IR"/>
        </w:rPr>
        <w:t xml:space="preserve"> فَرَسَهُ فِي طَلَبِ الْعَدُوِّ ، وَكَانَ أَوَّلَ أَصْحَابِهِ لَحِقَهُ أَبُو قَتَادَةَ عَلى فَرَسٍ لَهُ ، وَكَانَ تَحْتَ رَسُولِ اللهِ </w:t>
      </w:r>
      <w:r w:rsidR="0017097C" w:rsidRPr="0017097C">
        <w:rPr>
          <w:rStyle w:val="libAlaemChar"/>
          <w:rtl/>
        </w:rPr>
        <w:t>صلى‌الله‌عليه‌وآله</w:t>
      </w:r>
      <w:r w:rsidR="00D10E3C">
        <w:rPr>
          <w:rtl/>
          <w:lang w:bidi="fa-IR"/>
        </w:rPr>
        <w:t xml:space="preserve"> </w:t>
      </w:r>
      <w:r>
        <w:rPr>
          <w:rtl/>
          <w:lang w:bidi="fa-IR"/>
        </w:rPr>
        <w:t xml:space="preserve">سَرْجٌ‌ دَفَّتَاهُ </w:t>
      </w:r>
      <w:r w:rsidRPr="00D10E3C">
        <w:rPr>
          <w:rStyle w:val="libFootnotenumChar"/>
          <w:rtl/>
        </w:rPr>
        <w:t>(7)</w:t>
      </w:r>
      <w:r>
        <w:rPr>
          <w:rtl/>
          <w:lang w:bidi="fa-IR"/>
        </w:rPr>
        <w:t xml:space="preserve"> لِيفٌ ، لَيْسَ فِيهِ أَشَرٌ </w:t>
      </w:r>
      <w:r w:rsidRPr="00D10E3C">
        <w:rPr>
          <w:rStyle w:val="libFootnotenumChar"/>
          <w:rtl/>
        </w:rPr>
        <w:t>(8)</w:t>
      </w:r>
      <w:r>
        <w:rPr>
          <w:rtl/>
          <w:lang w:bidi="fa-IR"/>
        </w:rPr>
        <w:t xml:space="preserve"> وَلَا بَطَرٌ </w:t>
      </w:r>
      <w:r w:rsidRPr="00D10E3C">
        <w:rPr>
          <w:rStyle w:val="libFootnotenumChar"/>
          <w:rtl/>
        </w:rPr>
        <w:t>(9)</w:t>
      </w:r>
      <w:r>
        <w:rPr>
          <w:rtl/>
          <w:lang w:bidi="fa-IR"/>
        </w:rPr>
        <w:t xml:space="preserve"> ، فَطَلَبَ الْعَدُوَّ ، فَلَمْ يَلْقَوْا أَحَداً ، وَتَتَابَعَتِ الْخَيْلُ ، فَقَالَ أَبُو قَتَادَةَ : يَا رَسُولَ اللهِ ، إِنَّ الْعَدُوَّ قَدِ انْصَرَفَ ، فَإِنْ رَأَيْتَ أَنْ نَسْتَبِقَ </w:t>
      </w:r>
      <w:r w:rsidRPr="00D10E3C">
        <w:rPr>
          <w:rStyle w:val="libFootnotenumChar"/>
          <w:rtl/>
        </w:rPr>
        <w:t>(10)</w:t>
      </w:r>
      <w:r>
        <w:rPr>
          <w:rtl/>
          <w:lang w:bidi="fa-IR"/>
        </w:rPr>
        <w:t>؟ فَقَالَ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ى ، جد » وحاشية « بس ، جت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24520. وفي « بث ، بح ، بس ، بف ، جت ، جن » والمطبوع </w:t>
      </w:r>
      <w:r w:rsidR="00744A1C" w:rsidRPr="00C73B5B">
        <w:rPr>
          <w:rtl/>
        </w:rPr>
        <w:t>والبحار :</w:t>
      </w:r>
      <w:r w:rsidR="00744A1C">
        <w:rPr>
          <w:rtl/>
          <w:lang w:bidi="fa-IR"/>
        </w:rPr>
        <w:t xml:space="preserve"> « ومحمّد بن يحيى ».</w:t>
      </w:r>
    </w:p>
    <w:p w:rsidR="00744A1C" w:rsidRDefault="00744A1C" w:rsidP="00D10E3C">
      <w:pPr>
        <w:pStyle w:val="libFootnote0"/>
        <w:rPr>
          <w:lang w:bidi="fa-IR"/>
        </w:rPr>
      </w:pPr>
      <w:r>
        <w:rPr>
          <w:rtl/>
          <w:lang w:bidi="fa-IR"/>
        </w:rPr>
        <w:t xml:space="preserve">وما أثبتناه هو الظاهر ؛ فقد روى عليّ بن إبراهيم ، عن أبيه ، عن محمّد بن يحيى ، عن طلحة بن زيد في </w:t>
      </w:r>
      <w:r w:rsidRPr="0061079A">
        <w:rPr>
          <w:rStyle w:val="libFootnoteBoldChar"/>
          <w:rtl/>
        </w:rPr>
        <w:t>الكافي</w:t>
      </w:r>
      <w:r>
        <w:rPr>
          <w:rtl/>
          <w:lang w:bidi="fa-IR"/>
        </w:rPr>
        <w:t xml:space="preserve"> ، ح 133 و 4485 وذيل ح 8287 و 12844 و 14687 ، كما وردت رواية عليّ بن إبراهيم بن هاشم ، عن أبيه ، عن محمّد بن يحيى الخزّاز عن طلحة بن زيد في الخصال ، ص 242 ، ح 93 ، ولم نجد رواية عليّ بن إبراهيم عن محمّد بن يحيى عن طلحة بن زيد في موضع.</w:t>
      </w:r>
    </w:p>
    <w:p w:rsidR="00744A1C" w:rsidRDefault="00744A1C" w:rsidP="00D10E3C">
      <w:pPr>
        <w:pStyle w:val="libFootnote0"/>
        <w:rPr>
          <w:lang w:bidi="fa-IR"/>
        </w:rPr>
      </w:pPr>
      <w:r>
        <w:rPr>
          <w:rtl/>
          <w:lang w:bidi="fa-IR"/>
        </w:rPr>
        <w:t xml:space="preserve">ويؤكّد ذلك ما ورد في كثيرٍ من الأسناد من رواية أحمد بن محمّد [ بن عيسى ] - وهو في طبقة إبراهيم بن هاشم والد عليّ - عن محمّد بن يحيى عن طلحة بن زيد. راجع : </w:t>
      </w:r>
      <w:r w:rsidRPr="0061079A">
        <w:rPr>
          <w:rStyle w:val="libFootnoteBoldChar"/>
          <w:rtl/>
        </w:rPr>
        <w:t>معجم رجال الحديث</w:t>
      </w:r>
      <w:r>
        <w:rPr>
          <w:rtl/>
          <w:lang w:bidi="fa-IR"/>
        </w:rPr>
        <w:t xml:space="preserve"> ، ج 18 ، ص 387 - 388.</w:t>
      </w:r>
    </w:p>
    <w:p w:rsidR="00744A1C" w:rsidRDefault="00E378DD" w:rsidP="00E378DD">
      <w:pPr>
        <w:pStyle w:val="libFootnote0"/>
        <w:rPr>
          <w:lang w:bidi="fa-IR"/>
        </w:rPr>
      </w:pPr>
      <w:r>
        <w:rPr>
          <w:rtl/>
          <w:lang w:bidi="fa-IR"/>
        </w:rPr>
        <w:t>(2).</w:t>
      </w:r>
      <w:r w:rsidR="00744A1C">
        <w:rPr>
          <w:rtl/>
          <w:lang w:bidi="fa-IR"/>
        </w:rPr>
        <w:t xml:space="preserve"> في « بث » : « غار ». وأغار على القوم إغارة وغارة : دفع عليهم الخيل. وأغار على العدوّ هجم عليهم ديارَهم‌وأوقع بهم. راجع : </w:t>
      </w:r>
      <w:r w:rsidR="00744A1C" w:rsidRPr="00877682">
        <w:rPr>
          <w:rStyle w:val="libFootnoteBoldChar"/>
          <w:rtl/>
        </w:rPr>
        <w:t>لسان العرب</w:t>
      </w:r>
      <w:r w:rsidR="00744A1C">
        <w:rPr>
          <w:rtl/>
          <w:lang w:bidi="fa-IR"/>
        </w:rPr>
        <w:t xml:space="preserve"> ، ج 5 ، ص 33 ؛ </w:t>
      </w:r>
      <w:r w:rsidR="00744A1C" w:rsidRPr="00E978C3">
        <w:rPr>
          <w:rStyle w:val="libFootnoteBoldChar"/>
          <w:rtl/>
        </w:rPr>
        <w:t>المصباح المنير</w:t>
      </w:r>
      <w:r w:rsidR="00744A1C">
        <w:rPr>
          <w:rtl/>
          <w:lang w:bidi="fa-IR"/>
        </w:rPr>
        <w:t xml:space="preserve"> ، ص 456 ( غور ).</w:t>
      </w:r>
    </w:p>
    <w:p w:rsidR="00744A1C" w:rsidRDefault="00E378DD" w:rsidP="00E378DD">
      <w:pPr>
        <w:pStyle w:val="libFootnote0"/>
        <w:rPr>
          <w:lang w:bidi="fa-IR"/>
        </w:rPr>
      </w:pPr>
      <w:r>
        <w:rPr>
          <w:rtl/>
          <w:lang w:bidi="fa-IR"/>
        </w:rPr>
        <w:t>(3).</w:t>
      </w:r>
      <w:r w:rsidR="00744A1C">
        <w:rPr>
          <w:rtl/>
          <w:lang w:bidi="fa-IR"/>
        </w:rPr>
        <w:t xml:space="preserve"> السَّرح : المال السائم. </w:t>
      </w:r>
      <w:r w:rsidR="00744A1C" w:rsidRPr="00E978C3">
        <w:rPr>
          <w:rStyle w:val="libFootnoteBoldChar"/>
          <w:rtl/>
        </w:rPr>
        <w:t>الصحاح</w:t>
      </w:r>
      <w:r w:rsidR="00744A1C">
        <w:rPr>
          <w:rtl/>
          <w:lang w:bidi="fa-IR"/>
        </w:rPr>
        <w:t xml:space="preserve"> ، ج 1 ، ص 374 ( سرح ).</w:t>
      </w:r>
    </w:p>
    <w:p w:rsidR="00744A1C" w:rsidRDefault="00E378DD" w:rsidP="00E378DD">
      <w:pPr>
        <w:pStyle w:val="libFootnote0"/>
        <w:rPr>
          <w:lang w:bidi="fa-IR"/>
        </w:rPr>
      </w:pPr>
      <w:r>
        <w:rPr>
          <w:rtl/>
          <w:lang w:bidi="fa-IR"/>
        </w:rPr>
        <w:t>(4).</w:t>
      </w:r>
      <w:r w:rsidR="00744A1C">
        <w:rPr>
          <w:rtl/>
          <w:lang w:bidi="fa-IR"/>
        </w:rPr>
        <w:t xml:space="preserve"> في « ى » : « صباحاً ». وفي </w:t>
      </w:r>
      <w:r w:rsidR="00744A1C" w:rsidRPr="00C24F9C">
        <w:rPr>
          <w:rStyle w:val="libFootnoteBoldChar"/>
          <w:rtl/>
        </w:rPr>
        <w:t>الوافي</w:t>
      </w:r>
      <w:r w:rsidR="00744A1C">
        <w:rPr>
          <w:rtl/>
          <w:lang w:bidi="fa-IR"/>
        </w:rPr>
        <w:t xml:space="preserve"> : « يعني : تعال فهذا أوانك ، ينادى بمثله في محلّ الندبة. وفي بعض النسخ : صباحياه ، بزيادة الياء التحتانيّة بعد الحاء ، وهو من الزيادات التي تكون في الندبات ».</w:t>
      </w:r>
    </w:p>
    <w:p w:rsidR="00744A1C" w:rsidRDefault="00E378DD" w:rsidP="00E378DD">
      <w:pPr>
        <w:pStyle w:val="libFootnote0"/>
        <w:rPr>
          <w:lang w:bidi="fa-IR"/>
        </w:rPr>
      </w:pPr>
      <w:r>
        <w:rPr>
          <w:rtl/>
          <w:lang w:bidi="fa-IR"/>
        </w:rPr>
        <w:t>(5).</w:t>
      </w:r>
      <w:r w:rsidR="00744A1C">
        <w:rPr>
          <w:rtl/>
          <w:lang w:bidi="fa-IR"/>
        </w:rPr>
        <w:t xml:space="preserve"> في « بح ، جت ، جن » وحاشية « بث » و</w:t>
      </w:r>
      <w:r w:rsidR="00744A1C" w:rsidRPr="00C24F9C">
        <w:rPr>
          <w:rStyle w:val="libFootnoteBoldChar"/>
          <w:rtl/>
        </w:rPr>
        <w:t>الوسائل</w:t>
      </w:r>
      <w:r w:rsidR="00744A1C">
        <w:rPr>
          <w:rtl/>
          <w:lang w:bidi="fa-IR"/>
        </w:rPr>
        <w:t xml:space="preserve"> ، ح 24520 و</w:t>
      </w:r>
      <w:r w:rsidR="00744A1C" w:rsidRPr="0061079A">
        <w:rPr>
          <w:rStyle w:val="libFootnoteBoldChar"/>
          <w:rtl/>
        </w:rPr>
        <w:t>البحار</w:t>
      </w:r>
      <w:r w:rsidR="00744A1C">
        <w:rPr>
          <w:rtl/>
          <w:lang w:bidi="fa-IR"/>
        </w:rPr>
        <w:t xml:space="preserve"> : « الجيل ».</w:t>
      </w:r>
    </w:p>
    <w:p w:rsidR="00744A1C" w:rsidRDefault="00E378DD" w:rsidP="00E378DD">
      <w:pPr>
        <w:pStyle w:val="libFootnote0"/>
        <w:rPr>
          <w:lang w:bidi="fa-IR"/>
        </w:rPr>
      </w:pPr>
      <w:r>
        <w:rPr>
          <w:rtl/>
          <w:lang w:bidi="fa-IR"/>
        </w:rPr>
        <w:t>(6).</w:t>
      </w:r>
      <w:r w:rsidR="00744A1C">
        <w:rPr>
          <w:rtl/>
          <w:lang w:bidi="fa-IR"/>
        </w:rPr>
        <w:t xml:space="preserve"> ف</w:t>
      </w:r>
      <w:r w:rsidR="00744A1C" w:rsidRPr="00C73B5B">
        <w:rPr>
          <w:rtl/>
        </w:rPr>
        <w:t xml:space="preserve">ي الوافي </w:t>
      </w:r>
      <w:r w:rsidR="00744A1C">
        <w:rPr>
          <w:rtl/>
          <w:lang w:bidi="fa-IR"/>
        </w:rPr>
        <w:t>: « وركب ».</w:t>
      </w:r>
    </w:p>
    <w:p w:rsidR="00744A1C" w:rsidRDefault="00E378DD" w:rsidP="00E378DD">
      <w:pPr>
        <w:pStyle w:val="libFootnote0"/>
        <w:rPr>
          <w:lang w:bidi="fa-IR"/>
        </w:rPr>
      </w:pPr>
      <w:r>
        <w:rPr>
          <w:rtl/>
          <w:lang w:bidi="fa-IR"/>
        </w:rPr>
        <w:t>(7).</w:t>
      </w:r>
      <w:r w:rsidR="00744A1C">
        <w:rPr>
          <w:rtl/>
          <w:lang w:bidi="fa-IR"/>
        </w:rPr>
        <w:t xml:space="preserve"> الدَّفُّ والدَّفَّةُ : الجَنْبُ لكلّ شي‌ء. ودَفَّتاهُ ، أي جانباه. راجع : </w:t>
      </w:r>
      <w:r w:rsidR="00744A1C" w:rsidRPr="00E978C3">
        <w:rPr>
          <w:rStyle w:val="libFootnoteBoldChar"/>
          <w:rtl/>
        </w:rPr>
        <w:t>ترتيب كتاب العين</w:t>
      </w:r>
      <w:r w:rsidR="00402829">
        <w:rPr>
          <w:rtl/>
          <w:lang w:bidi="fa-IR"/>
        </w:rPr>
        <w:t xml:space="preserve"> ، ج 1 ، ص 582 ( دفف</w:t>
      </w:r>
      <w:r w:rsidR="00744A1C">
        <w:rPr>
          <w:rtl/>
          <w:lang w:bidi="fa-IR"/>
        </w:rPr>
        <w:t>).</w:t>
      </w:r>
    </w:p>
    <w:p w:rsidR="00744A1C" w:rsidRDefault="00E378DD" w:rsidP="00E378DD">
      <w:pPr>
        <w:pStyle w:val="libFootnote0"/>
        <w:rPr>
          <w:lang w:bidi="fa-IR"/>
        </w:rPr>
      </w:pPr>
      <w:r>
        <w:rPr>
          <w:rtl/>
          <w:lang w:bidi="fa-IR"/>
        </w:rPr>
        <w:t>(8).</w:t>
      </w:r>
      <w:r w:rsidR="00744A1C">
        <w:rPr>
          <w:rtl/>
          <w:lang w:bidi="fa-IR"/>
        </w:rPr>
        <w:t xml:space="preserve"> الأَشَر : المَرَح ، وهو شدّة الفَرَح. </w:t>
      </w:r>
      <w:r w:rsidR="00744A1C" w:rsidRPr="00877682">
        <w:rPr>
          <w:rStyle w:val="libFootnoteBoldChar"/>
          <w:rtl/>
        </w:rPr>
        <w:t>لسان العرب</w:t>
      </w:r>
      <w:r w:rsidR="00744A1C">
        <w:rPr>
          <w:rtl/>
          <w:lang w:bidi="fa-IR"/>
        </w:rPr>
        <w:t xml:space="preserve"> ، ج 4 ، ص 20 ( أشر ).</w:t>
      </w:r>
    </w:p>
    <w:p w:rsidR="00744A1C" w:rsidRDefault="00E378DD" w:rsidP="00E378DD">
      <w:pPr>
        <w:pStyle w:val="libFootnote0"/>
        <w:rPr>
          <w:lang w:bidi="fa-IR"/>
        </w:rPr>
      </w:pPr>
      <w:r>
        <w:rPr>
          <w:rtl/>
          <w:lang w:bidi="fa-IR"/>
        </w:rPr>
        <w:t>(9).</w:t>
      </w:r>
      <w:r w:rsidR="00744A1C">
        <w:rPr>
          <w:rtl/>
          <w:lang w:bidi="fa-IR"/>
        </w:rPr>
        <w:t xml:space="preserve"> البَطَر : الطغيان عند النعمة وطول الغنى ، وقيل غير ذلك. راجع : </w:t>
      </w:r>
      <w:r w:rsidR="00744A1C" w:rsidRPr="00877682">
        <w:rPr>
          <w:rStyle w:val="libFootnoteBoldChar"/>
          <w:rtl/>
        </w:rPr>
        <w:t>لسان العرب</w:t>
      </w:r>
      <w:r w:rsidR="00744A1C">
        <w:rPr>
          <w:rtl/>
          <w:lang w:bidi="fa-IR"/>
        </w:rPr>
        <w:t xml:space="preserve"> ، ج 4 ، ص 68 ( بطر ).</w:t>
      </w:r>
    </w:p>
    <w:p w:rsidR="00744A1C" w:rsidRDefault="00744A1C" w:rsidP="00D10E3C">
      <w:pPr>
        <w:pStyle w:val="libFootnote0"/>
        <w:rPr>
          <w:lang w:bidi="fa-IR"/>
        </w:rPr>
      </w:pPr>
      <w:r>
        <w:rPr>
          <w:rtl/>
          <w:lang w:bidi="fa-IR"/>
        </w:rPr>
        <w:t xml:space="preserve">وقال المحقّق الفيض في </w:t>
      </w:r>
      <w:r w:rsidRPr="00C24F9C">
        <w:rPr>
          <w:rStyle w:val="libFootnoteBoldChar"/>
          <w:rtl/>
        </w:rPr>
        <w:t>الوافي</w:t>
      </w:r>
      <w:r>
        <w:rPr>
          <w:rtl/>
          <w:lang w:bidi="fa-IR"/>
        </w:rPr>
        <w:t xml:space="preserve"> : « أراد أنّه </w:t>
      </w:r>
      <w:r w:rsidR="00F90866" w:rsidRPr="00F90866">
        <w:rPr>
          <w:rStyle w:val="libFootnoteAlaemChar"/>
          <w:rtl/>
        </w:rPr>
        <w:t>صلى‌الله‌عليه‌وآله</w:t>
      </w:r>
      <w:r>
        <w:rPr>
          <w:rtl/>
          <w:lang w:bidi="fa-IR"/>
        </w:rPr>
        <w:t xml:space="preserve"> كان متواضعاً في مركبه وركوبه ». وفي هامش المطبوع ، عن رفيع الدين : « لعلّ المراد بعدم الأشر والبطر في سَرجه </w:t>
      </w:r>
      <w:r w:rsidR="0061079A" w:rsidRPr="0061079A">
        <w:rPr>
          <w:rStyle w:val="libFootnoteAlaemChar"/>
          <w:rtl/>
        </w:rPr>
        <w:t>عليه‌السلام</w:t>
      </w:r>
      <w:r w:rsidR="00D10E3C">
        <w:rPr>
          <w:rtl/>
          <w:lang w:bidi="fa-IR"/>
        </w:rPr>
        <w:t xml:space="preserve"> </w:t>
      </w:r>
      <w:r>
        <w:rPr>
          <w:rtl/>
          <w:lang w:bidi="fa-IR"/>
        </w:rPr>
        <w:t>الكناية عن عدم الزينة فيه ؛ فإنّ ما يكون فيه الزينة يحصل من رؤيته الأشر والبطر ، وهو شدّة الفرح ».</w:t>
      </w:r>
    </w:p>
    <w:p w:rsidR="00744A1C" w:rsidRDefault="00E378DD" w:rsidP="00E378DD">
      <w:pPr>
        <w:pStyle w:val="libFootnote0"/>
        <w:rPr>
          <w:lang w:bidi="fa-IR"/>
        </w:rPr>
      </w:pPr>
      <w:r>
        <w:rPr>
          <w:rtl/>
          <w:lang w:bidi="fa-IR"/>
        </w:rPr>
        <w:t>(10).</w:t>
      </w:r>
      <w:r w:rsidR="00744A1C">
        <w:rPr>
          <w:rtl/>
          <w:lang w:bidi="fa-IR"/>
        </w:rPr>
        <w:t xml:space="preserve"> في « بح » : « أن تستبق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نَعَمْ ، فَاسْتَبَقُوا ، فَخَرَجَ رَسُولُ اللهِ </w:t>
      </w:r>
      <w:r w:rsidR="0017097C" w:rsidRPr="0017097C">
        <w:rPr>
          <w:rStyle w:val="libAlaemChar"/>
          <w:rtl/>
        </w:rPr>
        <w:t>صلى‌الله‌عليه‌وآله</w:t>
      </w:r>
      <w:r w:rsidR="00D10E3C">
        <w:rPr>
          <w:rtl/>
          <w:lang w:bidi="fa-IR"/>
        </w:rPr>
        <w:t xml:space="preserve"> </w:t>
      </w:r>
      <w:r>
        <w:rPr>
          <w:rtl/>
          <w:lang w:bidi="fa-IR"/>
        </w:rPr>
        <w:t xml:space="preserve">سَابِقاً عَلَيْهِمْ ، ثُمَّ أَقْبَلَ عَلَيْهِمْ ، فَقَالَ : أَنَا ابْنُ الْعَوَاتِكِ </w:t>
      </w:r>
      <w:r w:rsidRPr="00D10E3C">
        <w:rPr>
          <w:rStyle w:val="libFootnotenumChar"/>
          <w:rtl/>
        </w:rPr>
        <w:t>(1)</w:t>
      </w:r>
      <w:r>
        <w:rPr>
          <w:rtl/>
          <w:lang w:bidi="fa-IR"/>
        </w:rPr>
        <w:t xml:space="preserve"> مِنْ قُرَيْشٍ ، إِنَّهُ لَهُوَ الْجَوَادُ الْبَحْرُ </w:t>
      </w:r>
      <w:r w:rsidRPr="00D10E3C">
        <w:rPr>
          <w:rStyle w:val="libFootnotenumChar"/>
          <w:rtl/>
        </w:rPr>
        <w:t>(2)</w:t>
      </w:r>
      <w:r>
        <w:rPr>
          <w:rtl/>
          <w:lang w:bidi="fa-IR"/>
        </w:rPr>
        <w:t xml:space="preserve"> » يَعْنِي فَرَسَهُ. </w:t>
      </w:r>
      <w:r w:rsidRPr="00D10E3C">
        <w:rPr>
          <w:rStyle w:val="libFootnotenumChar"/>
          <w:rtl/>
        </w:rPr>
        <w:t>(3)</w:t>
      </w:r>
    </w:p>
    <w:p w:rsidR="00744A1C" w:rsidRDefault="00744A1C" w:rsidP="00C73B5B">
      <w:pPr>
        <w:pStyle w:val="Heading2Center"/>
        <w:rPr>
          <w:lang w:bidi="fa-IR"/>
        </w:rPr>
      </w:pPr>
      <w:bookmarkStart w:id="111" w:name="_Toc49261409"/>
      <w:r>
        <w:rPr>
          <w:rtl/>
          <w:lang w:bidi="fa-IR"/>
        </w:rPr>
        <w:t>23 - بَابُ الرَّجُلِ يَدْفَعُ عَنْ نَفْسِهِ اللِّصَّ‌</w:t>
      </w:r>
      <w:bookmarkEnd w:id="111"/>
    </w:p>
    <w:p w:rsidR="00144FA6" w:rsidRDefault="00744A1C" w:rsidP="00744A1C">
      <w:pPr>
        <w:pStyle w:val="libNormal"/>
        <w:rPr>
          <w:rtl/>
          <w:lang w:bidi="fa-IR"/>
        </w:rPr>
      </w:pPr>
      <w:r>
        <w:rPr>
          <w:rtl/>
          <w:lang w:bidi="fa-IR"/>
        </w:rPr>
        <w:t xml:space="preserve">8299 / 1. أَحْمَدُ بْنُ مُحَمَّدٍ الْكُوفِيُّ ، عَنْ مُحَمَّدِ بْنِ أَحْمَدَ الْقَلَانِسِيِّ ، عَنْ أَحْمَدَ بْنِ الْفَضْلِ ، عَنْ عَبْدِ اللهِ بْنِ جَبَلَةَ ، عَنْ فَزَارَةَ ، عَنْ أَنَسٍ ، أَوْ هَيْثَمِ بْنِ الْبَرَاءِ </w:t>
      </w:r>
      <w:r w:rsidRPr="00D10E3C">
        <w:rPr>
          <w:rStyle w:val="libFootnotenumChar"/>
          <w:rtl/>
        </w:rPr>
        <w:t>(4)</w:t>
      </w:r>
      <w:r>
        <w:rPr>
          <w:rtl/>
          <w:lang w:bidi="fa-IR"/>
        </w:rPr>
        <w:t xml:space="preserve"> ، قَالَ :</w:t>
      </w:r>
    </w:p>
    <w:p w:rsidR="00744A1C" w:rsidRDefault="00744A1C" w:rsidP="00744A1C">
      <w:pPr>
        <w:pStyle w:val="libNormal"/>
        <w:rPr>
          <w:lang w:bidi="fa-IR"/>
        </w:rPr>
      </w:pPr>
      <w:r>
        <w:rPr>
          <w:rtl/>
          <w:lang w:bidi="fa-IR"/>
        </w:rPr>
        <w:t xml:space="preserve">قُلْتُ لِأَبِي جَعْفَرٍ </w:t>
      </w:r>
      <w:r w:rsidR="0061079A" w:rsidRPr="0061079A">
        <w:rPr>
          <w:rStyle w:val="libAlaemChar"/>
          <w:rtl/>
        </w:rPr>
        <w:t>عليه‌السلام</w:t>
      </w:r>
      <w:r w:rsidR="00D10E3C">
        <w:rPr>
          <w:rtl/>
          <w:lang w:bidi="fa-IR"/>
        </w:rPr>
        <w:t xml:space="preserve"> </w:t>
      </w:r>
      <w:r>
        <w:rPr>
          <w:rtl/>
          <w:lang w:bidi="fa-IR"/>
        </w:rPr>
        <w:t xml:space="preserve">: اللِّصُّ يَدْخُلُ </w:t>
      </w:r>
      <w:r w:rsidRPr="00D10E3C">
        <w:rPr>
          <w:rStyle w:val="libFootnotenumChar"/>
          <w:rtl/>
        </w:rPr>
        <w:t>(5)</w:t>
      </w:r>
      <w:r>
        <w:rPr>
          <w:rtl/>
          <w:lang w:bidi="fa-IR"/>
        </w:rPr>
        <w:t xml:space="preserve"> فِي </w:t>
      </w:r>
      <w:r w:rsidRPr="00D10E3C">
        <w:rPr>
          <w:rStyle w:val="libFootnotenumChar"/>
          <w:rtl/>
        </w:rPr>
        <w:t>(6)</w:t>
      </w:r>
      <w:r>
        <w:rPr>
          <w:rtl/>
          <w:lang w:bidi="fa-IR"/>
        </w:rPr>
        <w:t xml:space="preserve"> بَيْتِي يُرِيدُ نَفْسِي وَمَالِي؟</w:t>
      </w:r>
    </w:p>
    <w:p w:rsidR="00144FA6" w:rsidRDefault="00744A1C" w:rsidP="00744A1C">
      <w:pPr>
        <w:pStyle w:val="libNormal"/>
        <w:rPr>
          <w:rtl/>
          <w:lang w:bidi="fa-IR"/>
        </w:rPr>
      </w:pPr>
      <w:r>
        <w:rPr>
          <w:rtl/>
          <w:lang w:bidi="fa-IR"/>
        </w:rPr>
        <w:t xml:space="preserve">قَالَ : « اقْتُلْ </w:t>
      </w:r>
      <w:r w:rsidRPr="00D10E3C">
        <w:rPr>
          <w:rStyle w:val="libFootnotenumChar"/>
          <w:rtl/>
        </w:rPr>
        <w:t>(7)</w:t>
      </w:r>
      <w:r>
        <w:rPr>
          <w:rtl/>
          <w:lang w:bidi="fa-IR"/>
        </w:rPr>
        <w:t xml:space="preserve"> ، فَأُشْهِدُ اللهَ وَمَنْ سَمِعَ أَنَّ دَمَهُ فِي عُنُقِي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p w:rsidR="00144FA6" w:rsidRDefault="00D10E3C" w:rsidP="00D10E3C">
      <w:pPr>
        <w:pStyle w:val="libFootnote0"/>
        <w:rPr>
          <w:rtl/>
          <w:lang w:bidi="fa-IR"/>
        </w:rPr>
      </w:pPr>
      <w:r>
        <w:rPr>
          <w:rtl/>
          <w:lang w:bidi="fa-IR"/>
        </w:rPr>
        <w:t>(1).</w:t>
      </w:r>
      <w:r w:rsidR="00744A1C">
        <w:rPr>
          <w:rtl/>
          <w:lang w:bidi="fa-IR"/>
        </w:rPr>
        <w:t xml:space="preserve"> في </w:t>
      </w:r>
      <w:r w:rsidR="00744A1C" w:rsidRPr="00877682">
        <w:rPr>
          <w:rStyle w:val="libFootnoteBoldChar"/>
          <w:rtl/>
        </w:rPr>
        <w:t>النهاية</w:t>
      </w:r>
      <w:r w:rsidR="00744A1C">
        <w:rPr>
          <w:rtl/>
          <w:lang w:bidi="fa-IR"/>
        </w:rPr>
        <w:t xml:space="preserve"> ، ج 3 ، ص 179 ( عتك ) : « العَواتك ، جمع عاتكة. وأصل العاتكة : المتصمّخة بالطيب. ونخلة عاتكة : لا تأتبر. والعَواتك : ثلاث نسوة كنّ من ا</w:t>
      </w:r>
      <w:r w:rsidR="00C73B5B">
        <w:rPr>
          <w:rFonts w:hint="cs"/>
          <w:rtl/>
          <w:lang w:bidi="fa-IR"/>
        </w:rPr>
        <w:t>ُ</w:t>
      </w:r>
      <w:r w:rsidR="00744A1C">
        <w:rPr>
          <w:rtl/>
          <w:lang w:bidi="fa-IR"/>
        </w:rPr>
        <w:t xml:space="preserve">مّهات النبيّ </w:t>
      </w:r>
      <w:r w:rsidR="00F90866" w:rsidRPr="00F90866">
        <w:rPr>
          <w:rStyle w:val="libFootnoteAlaemChar"/>
          <w:rtl/>
        </w:rPr>
        <w:t>صلى‌الله‌عليه‌وآله</w:t>
      </w:r>
      <w:r w:rsidR="00744A1C">
        <w:rPr>
          <w:rtl/>
          <w:lang w:bidi="fa-IR"/>
        </w:rPr>
        <w:t xml:space="preserve"> :</w:t>
      </w:r>
    </w:p>
    <w:p w:rsidR="00744A1C" w:rsidRDefault="00744A1C" w:rsidP="00D10E3C">
      <w:pPr>
        <w:pStyle w:val="libFootnote0"/>
        <w:rPr>
          <w:lang w:bidi="fa-IR"/>
        </w:rPr>
      </w:pPr>
      <w:r>
        <w:rPr>
          <w:rtl/>
          <w:lang w:bidi="fa-IR"/>
        </w:rPr>
        <w:t>إحداهنّ : عاتكة بنت هلال بن فالج بن ذكوان ، وهي ا</w:t>
      </w:r>
      <w:r w:rsidR="00C73B5B">
        <w:rPr>
          <w:rFonts w:hint="cs"/>
          <w:rtl/>
          <w:lang w:bidi="fa-IR"/>
        </w:rPr>
        <w:t>ُ</w:t>
      </w:r>
      <w:r>
        <w:rPr>
          <w:rtl/>
          <w:lang w:bidi="fa-IR"/>
        </w:rPr>
        <w:t>مّ عبد مناف من قصيّ.</w:t>
      </w:r>
    </w:p>
    <w:p w:rsidR="00744A1C" w:rsidRDefault="00744A1C" w:rsidP="00D10E3C">
      <w:pPr>
        <w:pStyle w:val="libFootnote0"/>
        <w:rPr>
          <w:lang w:bidi="fa-IR"/>
        </w:rPr>
      </w:pPr>
      <w:r>
        <w:rPr>
          <w:rtl/>
          <w:lang w:bidi="fa-IR"/>
        </w:rPr>
        <w:t>والثانية : عاتكة بنت مرّة بن هلال بن فالج بن ذكوان ، وهي امّ هاشم بن عبد مناف.</w:t>
      </w:r>
    </w:p>
    <w:p w:rsidR="00744A1C" w:rsidRDefault="00744A1C" w:rsidP="00D10E3C">
      <w:pPr>
        <w:pStyle w:val="libFootnote0"/>
        <w:rPr>
          <w:lang w:bidi="fa-IR"/>
        </w:rPr>
      </w:pPr>
      <w:r>
        <w:rPr>
          <w:rtl/>
          <w:lang w:bidi="fa-IR"/>
        </w:rPr>
        <w:t>والثالثة : عاتكة بنت الأوقص بن مرّة بن هلال ، وهي ا</w:t>
      </w:r>
      <w:r w:rsidR="00C73B5B">
        <w:rPr>
          <w:rFonts w:hint="cs"/>
          <w:rtl/>
          <w:lang w:bidi="fa-IR"/>
        </w:rPr>
        <w:t>ُ</w:t>
      </w:r>
      <w:r>
        <w:rPr>
          <w:rtl/>
          <w:lang w:bidi="fa-IR"/>
        </w:rPr>
        <w:t>مّ وهب أبي آمنة ا</w:t>
      </w:r>
      <w:r w:rsidR="00C73B5B">
        <w:rPr>
          <w:rFonts w:hint="cs"/>
          <w:rtl/>
          <w:lang w:bidi="fa-IR"/>
        </w:rPr>
        <w:t>ُ</w:t>
      </w:r>
      <w:r>
        <w:rPr>
          <w:rtl/>
          <w:lang w:bidi="fa-IR"/>
        </w:rPr>
        <w:t xml:space="preserve">مّ النبيّ </w:t>
      </w:r>
      <w:r w:rsidR="00F90866" w:rsidRPr="00F90866">
        <w:rPr>
          <w:rStyle w:val="libFootnoteAlaemChar"/>
          <w:rtl/>
        </w:rPr>
        <w:t>صلى‌الله‌عليه‌وآله</w:t>
      </w:r>
      <w:r>
        <w:rPr>
          <w:rtl/>
          <w:lang w:bidi="fa-IR"/>
        </w:rPr>
        <w:t>.</w:t>
      </w:r>
    </w:p>
    <w:p w:rsidR="00744A1C" w:rsidRDefault="00744A1C" w:rsidP="00D10E3C">
      <w:pPr>
        <w:pStyle w:val="libFootnote0"/>
        <w:rPr>
          <w:lang w:bidi="fa-IR"/>
        </w:rPr>
      </w:pPr>
      <w:r>
        <w:rPr>
          <w:rtl/>
          <w:lang w:bidi="fa-IR"/>
        </w:rPr>
        <w:t>فالا</w:t>
      </w:r>
      <w:r w:rsidR="00C73B5B">
        <w:rPr>
          <w:rFonts w:hint="cs"/>
          <w:rtl/>
          <w:lang w:bidi="fa-IR"/>
        </w:rPr>
        <w:t>ُ</w:t>
      </w:r>
      <w:r>
        <w:rPr>
          <w:rtl/>
          <w:lang w:bidi="fa-IR"/>
        </w:rPr>
        <w:t xml:space="preserve">ولى من العواتك عمّة الثانية ، والثانية عمّة الثالثة. وبنو سليم تفخر بهذه الولادة ». وفي </w:t>
      </w:r>
      <w:r w:rsidRPr="00C24F9C">
        <w:rPr>
          <w:rStyle w:val="libFootnoteBoldChar"/>
          <w:rtl/>
        </w:rPr>
        <w:t>الوافي</w:t>
      </w:r>
      <w:r>
        <w:rPr>
          <w:rtl/>
          <w:lang w:bidi="fa-IR"/>
        </w:rPr>
        <w:t xml:space="preserve"> بعد نقل هذا : « وقيل : العواتك في جدّات النبيّ </w:t>
      </w:r>
      <w:r w:rsidR="00E843EA" w:rsidRPr="00E843EA">
        <w:rPr>
          <w:rStyle w:val="libFootnoteAlaemChar"/>
          <w:rtl/>
        </w:rPr>
        <w:t>صلى‌الله‌عليه‌وآله</w:t>
      </w:r>
      <w:r w:rsidR="00D10E3C">
        <w:rPr>
          <w:rtl/>
          <w:lang w:bidi="fa-IR"/>
        </w:rPr>
        <w:t xml:space="preserve"> </w:t>
      </w:r>
      <w:r>
        <w:rPr>
          <w:rtl/>
          <w:lang w:bidi="fa-IR"/>
        </w:rPr>
        <w:t xml:space="preserve">تسع : ثلاث من بني سليم وهي المذكورات ، والبواقي من غيرهم ». والقائل هو الفيروزآبادي في </w:t>
      </w:r>
      <w:r w:rsidRPr="008A57EB">
        <w:rPr>
          <w:rStyle w:val="libFootnoteBoldChar"/>
          <w:rtl/>
        </w:rPr>
        <w:t>القاموس المحيط</w:t>
      </w:r>
      <w:r>
        <w:rPr>
          <w:rtl/>
          <w:lang w:bidi="fa-IR"/>
        </w:rPr>
        <w:t xml:space="preserve"> ، ج 2 ، ص 1255 ( عتك ).</w:t>
      </w:r>
    </w:p>
    <w:p w:rsidR="00744A1C" w:rsidRDefault="00E378DD" w:rsidP="00E378DD">
      <w:pPr>
        <w:pStyle w:val="libFootnote0"/>
        <w:rPr>
          <w:lang w:bidi="fa-IR"/>
        </w:rPr>
      </w:pPr>
      <w:r>
        <w:rPr>
          <w:rtl/>
          <w:lang w:bidi="fa-IR"/>
        </w:rPr>
        <w:t>(2).</w:t>
      </w:r>
      <w:r w:rsidR="00744A1C">
        <w:rPr>
          <w:rtl/>
          <w:lang w:bidi="fa-IR"/>
        </w:rPr>
        <w:t xml:space="preserve"> البَحْر من الدوابّ ، أي واسع الجري ، وسمّي البحر بحراً لسعته. راجع : </w:t>
      </w:r>
      <w:r w:rsidR="00744A1C" w:rsidRPr="00877682">
        <w:rPr>
          <w:rStyle w:val="libFootnoteBoldChar"/>
          <w:rtl/>
        </w:rPr>
        <w:t>النهاية</w:t>
      </w:r>
      <w:r w:rsidR="00744A1C">
        <w:rPr>
          <w:rtl/>
          <w:lang w:bidi="fa-IR"/>
        </w:rPr>
        <w:t xml:space="preserve"> ، ج 1 ، ص 99 ( بحر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15 ، ص 152 ، ح 14829 ؛ </w:t>
      </w:r>
      <w:r w:rsidR="00744A1C" w:rsidRPr="00C24F9C">
        <w:rPr>
          <w:rStyle w:val="libFootnoteBoldChar"/>
          <w:rtl/>
        </w:rPr>
        <w:t>الوسائل</w:t>
      </w:r>
      <w:r w:rsidR="00744A1C">
        <w:rPr>
          <w:rtl/>
          <w:lang w:bidi="fa-IR"/>
        </w:rPr>
        <w:t xml:space="preserve"> ، ج 19 ، ص 249 ، ح 24520 ؛ وفيه ، ج 11 ، ص 493 ، ح 15351 ، عن الكليني ، عن عليّ بن إبراهيم ، عن أبيه ، عن ابن أبي عمير ، عن حفص بن البختري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ملخّصاً ؛ </w:t>
      </w:r>
      <w:r w:rsidR="00744A1C" w:rsidRPr="0061079A">
        <w:rPr>
          <w:rStyle w:val="libFootnoteBoldChar"/>
          <w:rtl/>
        </w:rPr>
        <w:t>البحار</w:t>
      </w:r>
      <w:r w:rsidR="00744A1C">
        <w:rPr>
          <w:rtl/>
          <w:lang w:bidi="fa-IR"/>
        </w:rPr>
        <w:t xml:space="preserve"> ، ج 19 ، ص 170 ، ح 16.</w:t>
      </w:r>
    </w:p>
    <w:p w:rsidR="00744A1C" w:rsidRDefault="00E378DD" w:rsidP="00E378DD">
      <w:pPr>
        <w:pStyle w:val="libFootnote0"/>
        <w:rPr>
          <w:lang w:bidi="fa-IR"/>
        </w:rPr>
      </w:pPr>
      <w:r>
        <w:rPr>
          <w:rtl/>
          <w:lang w:bidi="fa-IR"/>
        </w:rPr>
        <w:t>(4).</w:t>
      </w:r>
      <w:r w:rsidR="00744A1C">
        <w:rPr>
          <w:rtl/>
          <w:lang w:bidi="fa-IR"/>
        </w:rPr>
        <w:t xml:space="preserve"> في « جد » وحاشية « جت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ج 6 : « براء ». وفي « بث ، بح » : « برا ».</w:t>
      </w:r>
    </w:p>
    <w:p w:rsidR="00744A1C" w:rsidRDefault="00E378DD" w:rsidP="00E378DD">
      <w:pPr>
        <w:pStyle w:val="libFootnote0"/>
        <w:rPr>
          <w:lang w:bidi="fa-IR"/>
        </w:rPr>
      </w:pPr>
      <w:r>
        <w:rPr>
          <w:rtl/>
          <w:lang w:bidi="fa-IR"/>
        </w:rPr>
        <w:t>(5).</w:t>
      </w:r>
      <w:r w:rsidR="00744A1C">
        <w:rPr>
          <w:rtl/>
          <w:lang w:bidi="fa-IR"/>
        </w:rPr>
        <w:t xml:space="preserve"> في « بس » و</w:t>
      </w:r>
      <w:r w:rsidR="00744A1C" w:rsidRPr="0061079A">
        <w:rPr>
          <w:rStyle w:val="libFootnoteBoldChar"/>
          <w:rtl/>
        </w:rPr>
        <w:t>الكافي</w:t>
      </w:r>
      <w:r w:rsidR="00744A1C">
        <w:rPr>
          <w:rtl/>
          <w:lang w:bidi="fa-IR"/>
        </w:rPr>
        <w:t xml:space="preserve"> ، ح 14195 </w:t>
      </w:r>
      <w:r w:rsidR="00744A1C" w:rsidRPr="0061079A">
        <w:rPr>
          <w:rStyle w:val="libFootnoteBoldChar"/>
          <w:rtl/>
        </w:rPr>
        <w:t>والتهذيب</w:t>
      </w:r>
      <w:r w:rsidR="00744A1C">
        <w:rPr>
          <w:rtl/>
          <w:lang w:bidi="fa-IR"/>
        </w:rPr>
        <w:t xml:space="preserve"> ، ج 6 : + « عليّ ».</w:t>
      </w:r>
    </w:p>
    <w:p w:rsidR="00744A1C" w:rsidRDefault="00E378DD" w:rsidP="00E378DD">
      <w:pPr>
        <w:pStyle w:val="libFootnote0"/>
        <w:rPr>
          <w:lang w:bidi="fa-IR"/>
        </w:rPr>
      </w:pPr>
      <w:r>
        <w:rPr>
          <w:rtl/>
          <w:lang w:bidi="fa-IR"/>
        </w:rPr>
        <w:t>(6).</w:t>
      </w:r>
      <w:r w:rsidR="00744A1C">
        <w:rPr>
          <w:rtl/>
          <w:lang w:bidi="fa-IR"/>
        </w:rPr>
        <w:t xml:space="preserve"> في « بف » : - « في ».</w:t>
      </w:r>
    </w:p>
    <w:p w:rsidR="00744A1C" w:rsidRDefault="00E378DD" w:rsidP="00E378DD">
      <w:pPr>
        <w:pStyle w:val="libFootnote0"/>
        <w:rPr>
          <w:lang w:bidi="fa-IR"/>
        </w:rPr>
      </w:pPr>
      <w:r>
        <w:rPr>
          <w:rtl/>
          <w:lang w:bidi="fa-IR"/>
        </w:rPr>
        <w:t>(7).</w:t>
      </w:r>
      <w:r w:rsidR="00744A1C">
        <w:rPr>
          <w:rtl/>
          <w:lang w:bidi="fa-IR"/>
        </w:rPr>
        <w:t xml:space="preserve"> في « بس » </w:t>
      </w:r>
      <w:r w:rsidR="00744A1C" w:rsidRPr="00052F40">
        <w:rPr>
          <w:rtl/>
        </w:rPr>
        <w:t>والوافي والكافي</w:t>
      </w:r>
      <w:r w:rsidR="00744A1C">
        <w:rPr>
          <w:rtl/>
          <w:lang w:bidi="fa-IR"/>
        </w:rPr>
        <w:t xml:space="preserve"> ، ح 14195 </w:t>
      </w:r>
      <w:r w:rsidR="00744A1C" w:rsidRPr="00052F40">
        <w:rPr>
          <w:rtl/>
        </w:rPr>
        <w:t>والتهذيب</w:t>
      </w:r>
      <w:r w:rsidR="00744A1C">
        <w:rPr>
          <w:rtl/>
          <w:lang w:bidi="fa-IR"/>
        </w:rPr>
        <w:t xml:space="preserve"> ، ج 6 : « اقتله ».</w:t>
      </w:r>
    </w:p>
    <w:p w:rsidR="00144FA6" w:rsidRDefault="00E378DD" w:rsidP="00E378DD">
      <w:pPr>
        <w:pStyle w:val="libFootnote0"/>
        <w:rPr>
          <w:rtl/>
          <w:lang w:bidi="fa-IR"/>
        </w:rPr>
      </w:pPr>
      <w:r>
        <w:rPr>
          <w:rtl/>
          <w:lang w:bidi="fa-IR"/>
        </w:rPr>
        <w:t>(8).</w:t>
      </w:r>
      <w:r w:rsidR="00744A1C">
        <w:rPr>
          <w:rtl/>
          <w:lang w:bidi="fa-IR"/>
        </w:rPr>
        <w:t xml:space="preserve"> في </w:t>
      </w:r>
      <w:r w:rsidR="00744A1C" w:rsidRPr="00877682">
        <w:rPr>
          <w:rStyle w:val="libFootnoteBoldChar"/>
          <w:rtl/>
        </w:rPr>
        <w:t>مرآة العقول</w:t>
      </w:r>
      <w:r w:rsidR="00744A1C">
        <w:rPr>
          <w:rtl/>
          <w:lang w:bidi="fa-IR"/>
        </w:rPr>
        <w:t xml:space="preserve"> ، ج 18 ، ص 392 : « يدلّ على جواز قتل اللصّ للدفع عن النفس أو المال كما هو المذهب.</w:t>
      </w:r>
      <w:r w:rsidR="00052F40">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8300 / 2.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صَلَوَاتُ اللهِ عَلَيْهِ : إِنَّ اللهَ - عَزَّ وَجَلَّ - لَيَمْقُتُ الرَّجُلَ يَدْخُلُ </w:t>
      </w:r>
      <w:r w:rsidRPr="00D10E3C">
        <w:rPr>
          <w:rStyle w:val="libFootnotenumChar"/>
          <w:rtl/>
        </w:rPr>
        <w:t>(1)</w:t>
      </w:r>
      <w:r>
        <w:rPr>
          <w:rtl/>
          <w:lang w:bidi="fa-IR"/>
        </w:rPr>
        <w:t xml:space="preserve"> عَلَيْهِ اللِّصُّ </w:t>
      </w:r>
      <w:r w:rsidRPr="00D10E3C">
        <w:rPr>
          <w:rStyle w:val="libFootnotenumChar"/>
          <w:rtl/>
        </w:rPr>
        <w:t>(2)</w:t>
      </w:r>
      <w:r>
        <w:rPr>
          <w:rtl/>
          <w:lang w:bidi="fa-IR"/>
        </w:rPr>
        <w:t xml:space="preserve"> فِي بَيْتِهِ ، فَلَا يُحَارِبُ ». </w:t>
      </w:r>
      <w:r w:rsidRPr="00D10E3C">
        <w:rPr>
          <w:rStyle w:val="libFootnotenumChar"/>
          <w:rtl/>
        </w:rPr>
        <w:t>(3)</w:t>
      </w:r>
    </w:p>
    <w:p w:rsidR="00144FA6" w:rsidRDefault="00744A1C" w:rsidP="00744A1C">
      <w:pPr>
        <w:pStyle w:val="libNormal"/>
        <w:rPr>
          <w:rtl/>
          <w:lang w:bidi="fa-IR"/>
        </w:rPr>
      </w:pPr>
      <w:r>
        <w:rPr>
          <w:rtl/>
          <w:lang w:bidi="fa-IR"/>
        </w:rPr>
        <w:t xml:space="preserve">8301 / 3. وَبِإِسْنَادِهِ </w:t>
      </w:r>
      <w:r w:rsidRPr="00D10E3C">
        <w:rPr>
          <w:rStyle w:val="libFootnotenumChar"/>
          <w:rtl/>
        </w:rPr>
        <w:t>(4)</w:t>
      </w:r>
      <w:r>
        <w:rPr>
          <w:rtl/>
          <w:lang w:bidi="fa-IR"/>
        </w:rPr>
        <w:t xml:space="preserve"> :</w:t>
      </w:r>
    </w:p>
    <w:p w:rsidR="00744A1C" w:rsidRDefault="00744A1C" w:rsidP="00744A1C">
      <w:pPr>
        <w:pStyle w:val="libNormal"/>
        <w:rPr>
          <w:lang w:bidi="fa-IR"/>
        </w:rPr>
      </w:pPr>
      <w:r>
        <w:rPr>
          <w:rtl/>
          <w:lang w:bidi="fa-IR"/>
        </w:rPr>
        <w:t xml:space="preserve">« أَنَّ أَمِيرَ الْمُؤْمِنِينَ </w:t>
      </w:r>
      <w:r w:rsidR="0061079A" w:rsidRPr="0061079A">
        <w:rPr>
          <w:rStyle w:val="libAlaemChar"/>
          <w:rtl/>
        </w:rPr>
        <w:t>عليه‌السلام</w:t>
      </w:r>
      <w:r w:rsidR="00D10E3C">
        <w:rPr>
          <w:rtl/>
          <w:lang w:bidi="fa-IR"/>
        </w:rPr>
        <w:t xml:space="preserve"> </w:t>
      </w:r>
      <w:r>
        <w:rPr>
          <w:rtl/>
          <w:lang w:bidi="fa-IR"/>
        </w:rPr>
        <w:t xml:space="preserve">أَتَاهُ رَجُلٌ ، فَقَالَ </w:t>
      </w:r>
      <w:r w:rsidRPr="00D10E3C">
        <w:rPr>
          <w:rStyle w:val="libFootnotenumChar"/>
          <w:rtl/>
        </w:rPr>
        <w:t>(5)</w:t>
      </w:r>
      <w:r>
        <w:rPr>
          <w:rtl/>
          <w:lang w:bidi="fa-IR"/>
        </w:rPr>
        <w:t xml:space="preserve"> : يَا أَمِيرَ الْمُؤْمِنِينَ ، إِنَّ لِصّاً دَخَلَ عَلَى </w:t>
      </w:r>
      <w:r w:rsidRPr="00D10E3C">
        <w:rPr>
          <w:rStyle w:val="libFootnotenumChar"/>
          <w:rtl/>
        </w:rPr>
        <w:t>(6)</w:t>
      </w:r>
      <w:r>
        <w:rPr>
          <w:rtl/>
          <w:lang w:bidi="fa-IR"/>
        </w:rPr>
        <w:t xml:space="preserve"> امْرَأَتِي ، فَسَرَقَ حُلِيَّهَا.</w:t>
      </w:r>
    </w:p>
    <w:p w:rsidR="00144FA6" w:rsidRDefault="00744A1C" w:rsidP="00744A1C">
      <w:pPr>
        <w:pStyle w:val="libNormal"/>
        <w:rPr>
          <w:rtl/>
          <w:lang w:bidi="fa-IR"/>
        </w:rPr>
      </w:pPr>
      <w:r>
        <w:rPr>
          <w:rtl/>
          <w:lang w:bidi="fa-IR"/>
        </w:rPr>
        <w:t xml:space="preserve">فَقَالَ أَمِيرُ الْمُؤْمِنِينَ </w:t>
      </w:r>
      <w:r w:rsidRPr="00D10E3C">
        <w:rPr>
          <w:rStyle w:val="libFootnotenumChar"/>
          <w:rtl/>
        </w:rPr>
        <w:t>(7)</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أَمَا إِنَّهُ لَوْ دَخَلَ عَلَى ابْنِ صَفِيَّةَ </w:t>
      </w:r>
      <w:r w:rsidRPr="00D10E3C">
        <w:rPr>
          <w:rStyle w:val="libFootnotenumChar"/>
          <w:rtl/>
        </w:rPr>
        <w:t>(8)</w:t>
      </w:r>
      <w:r>
        <w:rPr>
          <w:rtl/>
          <w:lang w:bidi="fa-IR"/>
        </w:rPr>
        <w:t xml:space="preserve"> ، لَمَا رَضِيَ بِذلِكَ حَتّى يَعُمَّهُ </w:t>
      </w:r>
      <w:r w:rsidRPr="00D10E3C">
        <w:rPr>
          <w:rStyle w:val="libFootnotenumChar"/>
          <w:rtl/>
        </w:rPr>
        <w:t>(9)</w:t>
      </w:r>
      <w:r>
        <w:rPr>
          <w:rtl/>
          <w:lang w:bidi="fa-IR"/>
        </w:rPr>
        <w:t xml:space="preserve"> بِالسَّيْفِ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CE3A24" w:rsidP="00D10E3C">
      <w:pPr>
        <w:pStyle w:val="libFootnote0"/>
        <w:rPr>
          <w:lang w:bidi="fa-IR"/>
        </w:rPr>
      </w:pPr>
      <w:r>
        <w:rPr>
          <w:rFonts w:hint="cs"/>
          <w:rtl/>
          <w:lang w:bidi="fa-IR"/>
        </w:rPr>
        <w:t xml:space="preserve">= </w:t>
      </w:r>
      <w:r w:rsidR="00744A1C">
        <w:rPr>
          <w:rtl/>
          <w:lang w:bidi="fa-IR"/>
        </w:rPr>
        <w:t xml:space="preserve">وقال الشهيد الثاني </w:t>
      </w:r>
      <w:r w:rsidR="00877682" w:rsidRPr="00877682">
        <w:rPr>
          <w:rStyle w:val="libFootnoteAlaemChar"/>
          <w:rtl/>
        </w:rPr>
        <w:t>رحمه‌الله</w:t>
      </w:r>
      <w:r w:rsidR="00744A1C">
        <w:rPr>
          <w:rtl/>
          <w:lang w:bidi="fa-IR"/>
        </w:rPr>
        <w:t>: لا إشكال في أصل الجواز مع القدرة وعدم لحوق ضرر ، والأقوى وجوب الدفع عن النفس والحريم مع الإمكان ، ولا يحوز الاستسلام ، فإن عجز ورجا السلامة بالكفّ أو الهرب وجب ، أمّا المدافعة عن المال ، فإن كان مضطرّاً إليه و</w:t>
      </w:r>
      <w:r w:rsidR="0054336B">
        <w:rPr>
          <w:rtl/>
          <w:lang w:bidi="fa-IR"/>
        </w:rPr>
        <w:t>غلب على ظنّه السلامة وجب ، وإل</w:t>
      </w:r>
      <w:r w:rsidR="0054336B">
        <w:rPr>
          <w:rFonts w:hint="cs"/>
          <w:rtl/>
          <w:lang w:bidi="fa-IR"/>
        </w:rPr>
        <w:t>ّ</w:t>
      </w:r>
      <w:r w:rsidR="0054336B">
        <w:rPr>
          <w:rtl/>
          <w:lang w:bidi="fa-IR"/>
        </w:rPr>
        <w:t>ا</w:t>
      </w:r>
      <w:r w:rsidR="00744A1C">
        <w:rPr>
          <w:rtl/>
          <w:lang w:bidi="fa-IR"/>
        </w:rPr>
        <w:t xml:space="preserve"> فلا ». وراجع : </w:t>
      </w:r>
      <w:r w:rsidR="00744A1C" w:rsidRPr="00877682">
        <w:rPr>
          <w:rStyle w:val="libFootnoteBoldChar"/>
          <w:rtl/>
        </w:rPr>
        <w:t>مسالك الأفهام</w:t>
      </w:r>
      <w:r w:rsidR="00744A1C">
        <w:rPr>
          <w:rtl/>
          <w:lang w:bidi="fa-IR"/>
        </w:rPr>
        <w:t xml:space="preserve"> ، ج 15 ، ص 50.</w:t>
      </w:r>
    </w:p>
    <w:p w:rsidR="00744A1C" w:rsidRDefault="00E378DD" w:rsidP="00E378DD">
      <w:pPr>
        <w:pStyle w:val="libFootnote0"/>
        <w:rPr>
          <w:lang w:bidi="fa-IR"/>
        </w:rPr>
      </w:pPr>
      <w:r>
        <w:rPr>
          <w:rtl/>
          <w:lang w:bidi="fa-IR"/>
        </w:rPr>
        <w:t>(9).</w:t>
      </w:r>
      <w:r w:rsidR="00744A1C">
        <w:rPr>
          <w:rtl/>
          <w:lang w:bidi="fa-IR"/>
        </w:rPr>
        <w:t xml:space="preserve"> </w:t>
      </w:r>
      <w:r w:rsidR="00744A1C" w:rsidRPr="0061079A">
        <w:rPr>
          <w:rStyle w:val="libFootnoteBoldChar"/>
          <w:rtl/>
        </w:rPr>
        <w:t>الكافي</w:t>
      </w:r>
      <w:r w:rsidR="00744A1C">
        <w:rPr>
          <w:rtl/>
          <w:lang w:bidi="fa-IR"/>
        </w:rPr>
        <w:t xml:space="preserve"> ، كتاب الديات ، باب قتل اللصّ ، صدر ح 14195. وفي </w:t>
      </w:r>
      <w:r w:rsidR="00744A1C" w:rsidRPr="00C24F9C">
        <w:rPr>
          <w:rStyle w:val="libFootnoteBoldChar"/>
          <w:rtl/>
        </w:rPr>
        <w:t>التهذيب</w:t>
      </w:r>
      <w:r w:rsidR="00744A1C">
        <w:rPr>
          <w:rtl/>
          <w:lang w:bidi="fa-IR"/>
        </w:rPr>
        <w:t xml:space="preserve"> ، ج 6 ، ص 158 ، ح 283 ، معلّقاً عن أحمد بن محمّد الكوفي. </w:t>
      </w:r>
      <w:r w:rsidR="00744A1C" w:rsidRPr="00C24F9C">
        <w:rPr>
          <w:rStyle w:val="libFootnoteBoldChar"/>
          <w:rtl/>
        </w:rPr>
        <w:t>التهذيب</w:t>
      </w:r>
      <w:r w:rsidR="00744A1C">
        <w:rPr>
          <w:rtl/>
          <w:lang w:bidi="fa-IR"/>
        </w:rPr>
        <w:t xml:space="preserve"> ، ج 10 ، ص 210 ، ص 829 ، معلّقاً عن أحمد بن محمّد ، عن محمّد بن أحمد القلانسي </w:t>
      </w:r>
      <w:r w:rsidR="0054336B">
        <w:rPr>
          <w:rFonts w:hint="cs"/>
          <w:rtl/>
          <w:lang w:bidi="fa-IR"/>
        </w:rPr>
        <w:t>.</w:t>
      </w:r>
      <w:r w:rsidR="00744A1C" w:rsidRPr="00C24F9C">
        <w:rPr>
          <w:rStyle w:val="libFootnoteBoldChar"/>
          <w:rtl/>
        </w:rPr>
        <w:t>الوافي</w:t>
      </w:r>
      <w:r w:rsidR="00744A1C">
        <w:rPr>
          <w:rtl/>
          <w:lang w:bidi="fa-IR"/>
        </w:rPr>
        <w:t xml:space="preserve"> ، ج 15 ، ص 187 ، ح 14877 ؛ </w:t>
      </w:r>
      <w:r w:rsidR="00744A1C" w:rsidRPr="00C24F9C">
        <w:rPr>
          <w:rStyle w:val="libFootnoteBoldChar"/>
          <w:rtl/>
        </w:rPr>
        <w:t>الوسائل</w:t>
      </w:r>
      <w:r w:rsidR="00744A1C">
        <w:rPr>
          <w:rtl/>
          <w:lang w:bidi="fa-IR"/>
        </w:rPr>
        <w:t xml:space="preserve"> ، ج 15 ، ص 120 ، ذيل ح 20115.</w:t>
      </w:r>
    </w:p>
    <w:tbl>
      <w:tblPr>
        <w:tblStyle w:val="TableGrid"/>
        <w:bidiVisual/>
        <w:tblW w:w="0" w:type="auto"/>
        <w:tblLook w:val="04A0" w:firstRow="1" w:lastRow="0" w:firstColumn="1" w:lastColumn="0" w:noHBand="0" w:noVBand="1"/>
      </w:tblPr>
      <w:tblGrid>
        <w:gridCol w:w="4006"/>
        <w:gridCol w:w="4006"/>
      </w:tblGrid>
      <w:tr w:rsidR="0054336B" w:rsidTr="0054336B">
        <w:tc>
          <w:tcPr>
            <w:tcW w:w="4006" w:type="dxa"/>
          </w:tcPr>
          <w:p w:rsidR="0054336B" w:rsidRDefault="0054336B" w:rsidP="00D10E3C">
            <w:pPr>
              <w:pStyle w:val="libFootnote0"/>
              <w:rPr>
                <w:rtl/>
                <w:lang w:bidi="fa-IR"/>
              </w:rPr>
            </w:pPr>
            <w:r>
              <w:rPr>
                <w:rtl/>
                <w:lang w:bidi="fa-IR"/>
              </w:rPr>
              <w:t>(1). في«بس»:«دخل».وفي«جن»:«ليدخل».</w:t>
            </w:r>
          </w:p>
        </w:tc>
        <w:tc>
          <w:tcPr>
            <w:tcW w:w="4006" w:type="dxa"/>
          </w:tcPr>
          <w:p w:rsidR="0054336B" w:rsidRDefault="0054336B" w:rsidP="00D10E3C">
            <w:pPr>
              <w:pStyle w:val="libFootnote0"/>
              <w:rPr>
                <w:rtl/>
                <w:lang w:bidi="fa-IR"/>
              </w:rPr>
            </w:pPr>
            <w:r>
              <w:rPr>
                <w:rtl/>
                <w:lang w:bidi="fa-IR"/>
              </w:rPr>
              <w:t xml:space="preserve">(2). في </w:t>
            </w:r>
            <w:r w:rsidRPr="0054336B">
              <w:rPr>
                <w:rtl/>
              </w:rPr>
              <w:t>التهذيب وصحيفة</w:t>
            </w:r>
            <w:r>
              <w:rPr>
                <w:rtl/>
                <w:lang w:bidi="fa-IR"/>
              </w:rPr>
              <w:t xml:space="preserve"> الرضا والعيون:- « اللصّ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157 ، ح 280 ، بسنده عن السكوني ، عن جعفر ، عن أبيه </w:t>
      </w:r>
      <w:r w:rsidR="00F112A7" w:rsidRPr="00CE5A92">
        <w:rPr>
          <w:rStyle w:val="libFootnoteAlaemChar"/>
          <w:rtl/>
        </w:rPr>
        <w:t>عليهما‌السلام</w:t>
      </w:r>
      <w:r w:rsidR="00744A1C">
        <w:rPr>
          <w:rtl/>
          <w:lang w:bidi="fa-IR"/>
        </w:rPr>
        <w:t xml:space="preserve">. وفي صحيفة الرضا </w:t>
      </w:r>
      <w:r w:rsidR="0061079A" w:rsidRPr="0061079A">
        <w:rPr>
          <w:rStyle w:val="libFootnoteAlaemChar"/>
          <w:rtl/>
        </w:rPr>
        <w:t>عليه‌السلام</w:t>
      </w:r>
      <w:r w:rsidR="00D10E3C">
        <w:rPr>
          <w:rtl/>
          <w:lang w:bidi="fa-IR"/>
        </w:rPr>
        <w:t xml:space="preserve"> </w:t>
      </w:r>
      <w:r w:rsidR="00744A1C">
        <w:rPr>
          <w:rtl/>
          <w:lang w:bidi="fa-IR"/>
        </w:rPr>
        <w:t>، ص 88 ، ح 1 ؛ و</w:t>
      </w:r>
      <w:r w:rsidR="00744A1C" w:rsidRPr="00877682">
        <w:rPr>
          <w:rStyle w:val="libFootnoteBoldChar"/>
          <w:rtl/>
        </w:rPr>
        <w:t>عيون الأخبار</w:t>
      </w:r>
      <w:r w:rsidR="00744A1C">
        <w:rPr>
          <w:rtl/>
          <w:lang w:bidi="fa-IR"/>
        </w:rPr>
        <w:t xml:space="preserve"> ، ج 2 ، ص 28 ، ح 24 ، بسند آخر عن الرضا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3967C2">
        <w:rPr>
          <w:rFonts w:hint="cs"/>
          <w:rtl/>
          <w:lang w:bidi="fa-IR"/>
        </w:rPr>
        <w:t>.</w:t>
      </w:r>
      <w:r w:rsidR="00744A1C" w:rsidRPr="00C24F9C">
        <w:rPr>
          <w:rStyle w:val="libFootnoteBoldChar"/>
          <w:rtl/>
        </w:rPr>
        <w:t>الوافي</w:t>
      </w:r>
      <w:r w:rsidR="00744A1C">
        <w:rPr>
          <w:rtl/>
          <w:lang w:bidi="fa-IR"/>
        </w:rPr>
        <w:t xml:space="preserve"> ، ج 15 ، ص 188 ، ح 14882 ؛ </w:t>
      </w:r>
      <w:r w:rsidR="00744A1C" w:rsidRPr="00C24F9C">
        <w:rPr>
          <w:rStyle w:val="libFootnoteBoldChar"/>
          <w:rtl/>
        </w:rPr>
        <w:t>الوسائل</w:t>
      </w:r>
      <w:r w:rsidR="00744A1C">
        <w:rPr>
          <w:rtl/>
          <w:lang w:bidi="fa-IR"/>
        </w:rPr>
        <w:t xml:space="preserve"> ، ج 15 ، ص 119 ، ذيل ح 20111.</w:t>
      </w:r>
    </w:p>
    <w:p w:rsidR="00744A1C" w:rsidRDefault="00E378DD" w:rsidP="00E378DD">
      <w:pPr>
        <w:pStyle w:val="libFootnote0"/>
        <w:rPr>
          <w:lang w:bidi="fa-IR"/>
        </w:rPr>
      </w:pPr>
      <w:r>
        <w:rPr>
          <w:rtl/>
          <w:lang w:bidi="fa-IR"/>
        </w:rPr>
        <w:t>(4).</w:t>
      </w:r>
      <w:r w:rsidR="00744A1C">
        <w:rPr>
          <w:rtl/>
          <w:lang w:bidi="fa-IR"/>
        </w:rPr>
        <w:t xml:space="preserve"> المراد من « بإسناده » هو السند المتقدّم إلى أمير المؤمنين </w:t>
      </w:r>
      <w:r w:rsidR="0061079A" w:rsidRPr="0061079A">
        <w:rPr>
          <w:rStyle w:val="libFootnoteAlaemChar"/>
          <w:rtl/>
        </w:rPr>
        <w:t>عليه‌السلام</w:t>
      </w:r>
      <w:r w:rsidR="00D10E3C">
        <w:rPr>
          <w:rtl/>
          <w:lang w:bidi="fa-IR"/>
        </w:rPr>
        <w:t xml:space="preserve"> </w:t>
      </w:r>
      <w:r w:rsidR="00744A1C">
        <w:rPr>
          <w:rtl/>
          <w:lang w:bidi="fa-IR"/>
        </w:rPr>
        <w:t>في الرقم السابق.</w:t>
      </w:r>
    </w:p>
    <w:p w:rsidR="00744A1C" w:rsidRDefault="00744A1C" w:rsidP="003967C2">
      <w:pPr>
        <w:pStyle w:val="libFootnote0"/>
        <w:rPr>
          <w:lang w:bidi="fa-IR"/>
        </w:rPr>
      </w:pPr>
      <w:r>
        <w:rPr>
          <w:rtl/>
          <w:lang w:bidi="fa-IR"/>
        </w:rPr>
        <w:t xml:space="preserve">ويؤيّد ذلك أنّ الخبر رواه الشيخ الطوسي في </w:t>
      </w:r>
      <w:r w:rsidRPr="00C24F9C">
        <w:rPr>
          <w:rStyle w:val="libFootnoteBoldChar"/>
          <w:rtl/>
        </w:rPr>
        <w:t>التهذيب</w:t>
      </w:r>
      <w:r>
        <w:rPr>
          <w:rtl/>
          <w:lang w:bidi="fa-IR"/>
        </w:rPr>
        <w:t xml:space="preserve"> ، ج 6 ، ص 157 ، ح 278 بسنده عن ابن المغيرة عن السكوني عن جعفر عن أبيه عن عليّ </w:t>
      </w:r>
      <w:r w:rsidR="0061079A" w:rsidRPr="0061079A">
        <w:rPr>
          <w:rStyle w:val="libFootnoteAlaemChar"/>
          <w:rtl/>
        </w:rPr>
        <w:t>عليه‌السلام</w:t>
      </w:r>
      <w:r>
        <w:rPr>
          <w:rtl/>
          <w:lang w:bidi="fa-IR"/>
        </w:rPr>
        <w:t xml:space="preserve"> .</w:t>
      </w:r>
      <w:r w:rsidR="003967C2">
        <w:rPr>
          <w:rFonts w:hint="cs"/>
          <w:rtl/>
          <w:lang w:bidi="fa-IR"/>
        </w:rPr>
        <w:t xml:space="preserve">                </w:t>
      </w:r>
      <w:r w:rsidR="00E378DD">
        <w:rPr>
          <w:rtl/>
          <w:lang w:bidi="fa-IR"/>
        </w:rPr>
        <w:t>(5).</w:t>
      </w:r>
      <w:r>
        <w:rPr>
          <w:rtl/>
          <w:lang w:bidi="fa-IR"/>
        </w:rPr>
        <w:t xml:space="preserve"> في « بف » : + « له ».</w:t>
      </w:r>
    </w:p>
    <w:tbl>
      <w:tblPr>
        <w:tblStyle w:val="TableGrid"/>
        <w:bidiVisual/>
        <w:tblW w:w="0" w:type="auto"/>
        <w:tblLook w:val="04A0" w:firstRow="1" w:lastRow="0" w:firstColumn="1" w:lastColumn="0" w:noHBand="0" w:noVBand="1"/>
      </w:tblPr>
      <w:tblGrid>
        <w:gridCol w:w="4006"/>
        <w:gridCol w:w="4006"/>
      </w:tblGrid>
      <w:tr w:rsidR="003967C2" w:rsidTr="003967C2">
        <w:tc>
          <w:tcPr>
            <w:tcW w:w="4006" w:type="dxa"/>
          </w:tcPr>
          <w:p w:rsidR="003967C2" w:rsidRDefault="003967C2" w:rsidP="00E378DD">
            <w:pPr>
              <w:pStyle w:val="libFootnote0"/>
              <w:rPr>
                <w:rtl/>
                <w:lang w:bidi="fa-IR"/>
              </w:rPr>
            </w:pPr>
            <w:r>
              <w:rPr>
                <w:rtl/>
                <w:lang w:bidi="fa-IR"/>
              </w:rPr>
              <w:t>(6). في « بث » : - « على ».</w:t>
            </w:r>
          </w:p>
        </w:tc>
        <w:tc>
          <w:tcPr>
            <w:tcW w:w="4006" w:type="dxa"/>
          </w:tcPr>
          <w:p w:rsidR="003967C2" w:rsidRDefault="003967C2" w:rsidP="00E378DD">
            <w:pPr>
              <w:pStyle w:val="libFootnote0"/>
              <w:rPr>
                <w:rtl/>
                <w:lang w:bidi="fa-IR"/>
              </w:rPr>
            </w:pPr>
            <w:r>
              <w:rPr>
                <w:rtl/>
                <w:lang w:bidi="fa-IR"/>
              </w:rPr>
              <w:t xml:space="preserve">(7). في </w:t>
            </w:r>
            <w:r w:rsidRPr="003967C2">
              <w:rPr>
                <w:rtl/>
              </w:rPr>
              <w:t>الوافي :</w:t>
            </w:r>
            <w:r>
              <w:rPr>
                <w:rtl/>
                <w:lang w:bidi="fa-IR"/>
              </w:rPr>
              <w:t xml:space="preserve"> - « أمير المؤمنين ».</w:t>
            </w:r>
          </w:p>
        </w:tc>
      </w:tr>
    </w:tbl>
    <w:p w:rsidR="00744A1C" w:rsidRDefault="00E378DD" w:rsidP="00E378DD">
      <w:pPr>
        <w:pStyle w:val="libFootnote0"/>
        <w:rPr>
          <w:lang w:bidi="fa-IR"/>
        </w:rPr>
      </w:pPr>
      <w:r>
        <w:rPr>
          <w:rtl/>
          <w:lang w:bidi="fa-IR"/>
        </w:rPr>
        <w:t>(8).</w:t>
      </w:r>
      <w:r w:rsidR="00744A1C">
        <w:rPr>
          <w:rtl/>
          <w:lang w:bidi="fa-IR"/>
        </w:rPr>
        <w:t xml:space="preserve"> في </w:t>
      </w:r>
      <w:r w:rsidR="00744A1C" w:rsidRPr="005C0882">
        <w:rPr>
          <w:rtl/>
        </w:rPr>
        <w:t>الوافي :</w:t>
      </w:r>
      <w:r w:rsidR="00744A1C">
        <w:rPr>
          <w:rtl/>
          <w:lang w:bidi="fa-IR"/>
        </w:rPr>
        <w:t xml:space="preserve"> « ابن حنفيّة ( ابن صفيّة - خ ل ) ». وفي </w:t>
      </w:r>
      <w:r w:rsidR="00744A1C" w:rsidRPr="00C24F9C">
        <w:rPr>
          <w:rStyle w:val="libFootnoteBoldChar"/>
          <w:rtl/>
        </w:rPr>
        <w:t>المرآة</w:t>
      </w:r>
      <w:r w:rsidR="00744A1C">
        <w:rPr>
          <w:rtl/>
          <w:lang w:bidi="fa-IR"/>
        </w:rPr>
        <w:t xml:space="preserve"> : « الظاهر أنّ المراد به الزبير ».</w:t>
      </w:r>
    </w:p>
    <w:p w:rsidR="00144FA6" w:rsidRDefault="00E378DD" w:rsidP="00E378DD">
      <w:pPr>
        <w:pStyle w:val="libFootnote0"/>
        <w:rPr>
          <w:rtl/>
          <w:lang w:bidi="fa-IR"/>
        </w:rPr>
      </w:pPr>
      <w:r>
        <w:rPr>
          <w:rtl/>
          <w:lang w:bidi="fa-IR"/>
        </w:rPr>
        <w:t>(9).</w:t>
      </w:r>
      <w:r w:rsidR="00744A1C">
        <w:rPr>
          <w:rtl/>
          <w:lang w:bidi="fa-IR"/>
        </w:rPr>
        <w:t xml:space="preserve"> في </w:t>
      </w:r>
      <w:r w:rsidR="00744A1C" w:rsidRPr="00877682">
        <w:rPr>
          <w:rStyle w:val="libFootnoteBoldChar"/>
          <w:rtl/>
        </w:rPr>
        <w:t>الجعفريّات</w:t>
      </w:r>
      <w:r w:rsidR="00744A1C">
        <w:rPr>
          <w:rtl/>
          <w:lang w:bidi="fa-IR"/>
        </w:rPr>
        <w:t xml:space="preserve"> : « تعمد ». وفي </w:t>
      </w:r>
      <w:r w:rsidR="00744A1C" w:rsidRPr="00C24F9C">
        <w:rPr>
          <w:rStyle w:val="libFootnoteBoldChar"/>
          <w:rtl/>
        </w:rPr>
        <w:t>التهذيب</w:t>
      </w:r>
      <w:r w:rsidR="00744A1C">
        <w:rPr>
          <w:rtl/>
          <w:lang w:bidi="fa-IR"/>
        </w:rPr>
        <w:t xml:space="preserve"> : « يعمّمه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حتّى يعمّه ؛ في بعض النسخ</w:t>
      </w:r>
      <w:r w:rsidR="005C0882">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8302 / 4. عَلِيُّ بْنُ إِبْرَاهِيمَ ، عَنْ أَبِيهِ ، عَنِ ابْنِ أَبِي عُمَيْرٍ ، عَنْ أَبَانِ بْنِ عُثْمَانَ ، عَنْ رَجُلٍ ، عَنِ الْحَلَبِيِّ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w:t>
      </w:r>
      <w:r w:rsidR="0061079A" w:rsidRPr="0061079A">
        <w:rPr>
          <w:rStyle w:val="libAlaemChar"/>
          <w:rtl/>
        </w:rPr>
        <w:t>عليه‌السلام</w:t>
      </w:r>
      <w:r w:rsidR="00D10E3C">
        <w:rPr>
          <w:rtl/>
          <w:lang w:bidi="fa-IR"/>
        </w:rPr>
        <w:t xml:space="preserve"> </w:t>
      </w:r>
      <w:r>
        <w:rPr>
          <w:rtl/>
          <w:lang w:bidi="fa-IR"/>
        </w:rPr>
        <w:t xml:space="preserve">: إِذَا دَخَلَ عَلَيْكَ </w:t>
      </w:r>
      <w:r w:rsidRPr="00D10E3C">
        <w:rPr>
          <w:rStyle w:val="libFootnotenumChar"/>
          <w:rtl/>
        </w:rPr>
        <w:t>(1)</w:t>
      </w:r>
      <w:r>
        <w:rPr>
          <w:rtl/>
          <w:lang w:bidi="fa-IR"/>
        </w:rPr>
        <w:t xml:space="preserve"> اللِّصُّ الْمُحَارِبُ فَاقْتُلْهُ ، فَمَا أَصَابَكَ </w:t>
      </w:r>
      <w:r w:rsidRPr="00D10E3C">
        <w:rPr>
          <w:rStyle w:val="libFootnotenumChar"/>
          <w:rtl/>
        </w:rPr>
        <w:t>(2)</w:t>
      </w:r>
      <w:r>
        <w:rPr>
          <w:rtl/>
          <w:lang w:bidi="fa-IR"/>
        </w:rPr>
        <w:t xml:space="preserve"> فَدَمُهُ فِي عُنُقِي ». </w:t>
      </w:r>
      <w:r w:rsidRPr="00D10E3C">
        <w:rPr>
          <w:rStyle w:val="libFootnotenumChar"/>
          <w:rtl/>
        </w:rPr>
        <w:t>(3)</w:t>
      </w:r>
    </w:p>
    <w:p w:rsidR="00144FA6" w:rsidRDefault="00744A1C" w:rsidP="001A0F3E">
      <w:pPr>
        <w:pStyle w:val="Heading2Center"/>
        <w:rPr>
          <w:rtl/>
          <w:lang w:bidi="fa-IR"/>
        </w:rPr>
      </w:pPr>
      <w:bookmarkStart w:id="112" w:name="_Toc49261410"/>
      <w:r>
        <w:rPr>
          <w:rtl/>
          <w:lang w:bidi="fa-IR"/>
        </w:rPr>
        <w:t xml:space="preserve">24 - بَابُ مَنْ قُتِلَ دُونَ مَظْلِمَتِهِ </w:t>
      </w:r>
      <w:r w:rsidRPr="00D10E3C">
        <w:rPr>
          <w:rStyle w:val="libFootnotenumChar"/>
          <w:rtl/>
        </w:rPr>
        <w:t>(4)</w:t>
      </w:r>
      <w:bookmarkEnd w:id="112"/>
    </w:p>
    <w:p w:rsidR="00144FA6" w:rsidRDefault="00744A1C" w:rsidP="00744A1C">
      <w:pPr>
        <w:pStyle w:val="libNormal"/>
        <w:rPr>
          <w:rtl/>
          <w:lang w:bidi="fa-IR"/>
        </w:rPr>
      </w:pPr>
      <w:r>
        <w:rPr>
          <w:rtl/>
          <w:lang w:bidi="fa-IR"/>
        </w:rPr>
        <w:t>8303 / 1. مُحَمَّدُ بْنُ يَحْيى ، عَنْ أَحْمَدَ بْنِ مُحَمَّدِ بْنِ عِيسى ، عَنْ عَبْدِ الرَّحْمنِ بْنِ أَبِي نَجْرَانَ ، عَنْ عَبْدِ اللهِ بْنِ سِنَانٍ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5E465D" w:rsidRPr="005E465D">
        <w:rPr>
          <w:rStyle w:val="libAlaemChar"/>
          <w:rtl/>
        </w:rPr>
        <w:t>صلى‌الله‌عليه‌وآله</w:t>
      </w:r>
      <w:r w:rsidR="00D10E3C">
        <w:rPr>
          <w:rtl/>
          <w:lang w:bidi="fa-IR"/>
        </w:rPr>
        <w:t xml:space="preserve"> </w:t>
      </w:r>
      <w:r>
        <w:rPr>
          <w:rtl/>
          <w:lang w:bidi="fa-IR"/>
        </w:rPr>
        <w:t xml:space="preserve">: مَنْ قُتِلَ دُونَ مَظْلِمَتِهِ </w:t>
      </w:r>
      <w:r w:rsidRPr="00D10E3C">
        <w:rPr>
          <w:rStyle w:val="libFootnotenumChar"/>
          <w:rtl/>
        </w:rPr>
        <w:t>(5)</w:t>
      </w:r>
      <w:r>
        <w:rPr>
          <w:rtl/>
          <w:lang w:bidi="fa-IR"/>
        </w:rPr>
        <w:t xml:space="preserve"> ، فَهُوَ شَهِيدٌ ». </w:t>
      </w:r>
      <w:r w:rsidRPr="00D10E3C">
        <w:rPr>
          <w:rStyle w:val="libFootnotenumChar"/>
          <w:rtl/>
        </w:rPr>
        <w:t>(6)</w:t>
      </w:r>
    </w:p>
    <w:p w:rsidR="00744A1C" w:rsidRDefault="00744A1C" w:rsidP="00D10E3C">
      <w:pPr>
        <w:pStyle w:val="libLine"/>
        <w:rPr>
          <w:lang w:bidi="fa-IR"/>
        </w:rPr>
      </w:pPr>
      <w:r>
        <w:rPr>
          <w:rtl/>
          <w:lang w:bidi="fa-IR"/>
        </w:rPr>
        <w:t>____________________</w:t>
      </w:r>
    </w:p>
    <w:p w:rsidR="00744A1C" w:rsidRDefault="001A0F3E" w:rsidP="00D10E3C">
      <w:pPr>
        <w:pStyle w:val="libFootnote0"/>
        <w:rPr>
          <w:lang w:bidi="fa-IR"/>
        </w:rPr>
      </w:pPr>
      <w:r>
        <w:rPr>
          <w:rFonts w:hint="cs"/>
          <w:rtl/>
          <w:lang w:bidi="fa-IR"/>
        </w:rPr>
        <w:t xml:space="preserve">= </w:t>
      </w:r>
      <w:r w:rsidR="00744A1C">
        <w:rPr>
          <w:rtl/>
          <w:lang w:bidi="fa-IR"/>
        </w:rPr>
        <w:t>بالعين المهملة ، أي حتّى يعمّ جميع أعضائه بالسيف ، وفي بعضها بالغين المعجمة من قولهم : غممته ، أي غطّيته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157 ، ح 278 ، بسنده عن السكوني ، عن جعفر ، عن آبائه ، عن عليّ </w:t>
      </w:r>
      <w:r w:rsidR="00877682" w:rsidRPr="00877682">
        <w:rPr>
          <w:rStyle w:val="libFootnoteAlaemChar"/>
          <w:rtl/>
        </w:rPr>
        <w:t>عليهم‌السلام</w:t>
      </w:r>
      <w:r w:rsidR="00744A1C">
        <w:rPr>
          <w:rtl/>
          <w:lang w:bidi="fa-IR"/>
        </w:rPr>
        <w:t xml:space="preserve"> . </w:t>
      </w:r>
      <w:r w:rsidR="00744A1C" w:rsidRPr="00877682">
        <w:rPr>
          <w:rStyle w:val="libFootnoteBoldChar"/>
          <w:rtl/>
        </w:rPr>
        <w:t>الجعفريّات</w:t>
      </w:r>
      <w:r w:rsidR="00744A1C">
        <w:rPr>
          <w:rtl/>
          <w:lang w:bidi="fa-IR"/>
        </w:rPr>
        <w:t xml:space="preserve"> ، ص 140 ، بسند آخر عن جعفر بن محمّد ، عن آبائه ، عن عليّ </w:t>
      </w:r>
      <w:r w:rsidR="00877682" w:rsidRPr="00877682">
        <w:rPr>
          <w:rStyle w:val="libFootnoteAlaemChar"/>
          <w:rtl/>
        </w:rPr>
        <w:t>عليهم‌السلام</w:t>
      </w:r>
      <w:r w:rsidR="00D10E3C">
        <w:rPr>
          <w:rtl/>
          <w:lang w:bidi="fa-IR"/>
        </w:rPr>
        <w:t xml:space="preserve"> </w:t>
      </w:r>
      <w:r w:rsidR="00FB4466">
        <w:rPr>
          <w:rFonts w:hint="cs"/>
          <w:rtl/>
          <w:lang w:bidi="fa-IR"/>
        </w:rPr>
        <w:t>.</w:t>
      </w:r>
      <w:r w:rsidR="00744A1C" w:rsidRPr="00C24F9C">
        <w:rPr>
          <w:rStyle w:val="libFootnoteBoldChar"/>
          <w:rtl/>
        </w:rPr>
        <w:t>الوافي</w:t>
      </w:r>
      <w:r w:rsidR="00744A1C">
        <w:rPr>
          <w:rtl/>
          <w:lang w:bidi="fa-IR"/>
        </w:rPr>
        <w:t xml:space="preserve"> ، ج 15 ، ص 188 ، ح 14881 ؛ </w:t>
      </w:r>
      <w:r w:rsidR="00744A1C" w:rsidRPr="00C24F9C">
        <w:rPr>
          <w:rStyle w:val="libFootnoteBoldChar"/>
          <w:rtl/>
        </w:rPr>
        <w:t>الوسائل</w:t>
      </w:r>
      <w:r w:rsidR="00744A1C">
        <w:rPr>
          <w:rtl/>
          <w:lang w:bidi="fa-IR"/>
        </w:rPr>
        <w:t xml:space="preserve"> ، ج 15 ، ص 119 ، ح 20110.</w:t>
      </w:r>
    </w:p>
    <w:p w:rsidR="00744A1C" w:rsidRDefault="00D10E3C" w:rsidP="00D10E3C">
      <w:pPr>
        <w:pStyle w:val="libFootnote0"/>
        <w:rPr>
          <w:lang w:bidi="fa-IR"/>
        </w:rPr>
      </w:pPr>
      <w:r>
        <w:rPr>
          <w:rtl/>
          <w:lang w:bidi="fa-IR"/>
        </w:rPr>
        <w:t>(1).</w:t>
      </w:r>
      <w:r w:rsidR="00744A1C">
        <w:rPr>
          <w:rtl/>
          <w:lang w:bidi="fa-IR"/>
        </w:rPr>
        <w:t xml:space="preserve"> في </w:t>
      </w:r>
      <w:r w:rsidR="00744A1C" w:rsidRPr="00167895">
        <w:rPr>
          <w:rtl/>
        </w:rPr>
        <w:t>الوسائل ،</w:t>
      </w:r>
      <w:r w:rsidR="00744A1C">
        <w:rPr>
          <w:rtl/>
          <w:lang w:bidi="fa-IR"/>
        </w:rPr>
        <w:t xml:space="preserve"> </w:t>
      </w:r>
      <w:r w:rsidR="00744A1C" w:rsidRPr="00167895">
        <w:rPr>
          <w:rtl/>
        </w:rPr>
        <w:t xml:space="preserve">ح 15166 والمحاسن </w:t>
      </w:r>
      <w:r w:rsidR="00744A1C">
        <w:rPr>
          <w:rtl/>
          <w:lang w:bidi="fa-IR"/>
        </w:rPr>
        <w:t>: - « إذا دخل عليك ».</w:t>
      </w:r>
    </w:p>
    <w:p w:rsidR="00744A1C" w:rsidRDefault="00E378DD" w:rsidP="00E378DD">
      <w:pPr>
        <w:pStyle w:val="libFootnote0"/>
        <w:rPr>
          <w:lang w:bidi="fa-IR"/>
        </w:rPr>
      </w:pPr>
      <w:r>
        <w:rPr>
          <w:rtl/>
          <w:lang w:bidi="fa-IR"/>
        </w:rPr>
        <w:t>(2).</w:t>
      </w:r>
      <w:r w:rsidR="00744A1C">
        <w:rPr>
          <w:rtl/>
          <w:lang w:bidi="fa-IR"/>
        </w:rPr>
        <w:t xml:space="preserve"> في حاشية « بح » : « أصابه ».</w:t>
      </w:r>
    </w:p>
    <w:p w:rsidR="00744A1C" w:rsidRDefault="00E378DD" w:rsidP="00E378DD">
      <w:pPr>
        <w:pStyle w:val="libFootnote0"/>
        <w:rPr>
          <w:lang w:bidi="fa-IR"/>
        </w:rPr>
      </w:pPr>
      <w:r>
        <w:rPr>
          <w:rtl/>
          <w:lang w:bidi="fa-IR"/>
        </w:rPr>
        <w:t>(3).</w:t>
      </w:r>
      <w:r w:rsidR="00744A1C">
        <w:rPr>
          <w:rtl/>
          <w:lang w:bidi="fa-IR"/>
        </w:rPr>
        <w:t xml:space="preserve"> </w:t>
      </w:r>
      <w:r w:rsidR="00744A1C" w:rsidRPr="003A7143">
        <w:rPr>
          <w:rStyle w:val="libFootnoteBoldChar"/>
          <w:rtl/>
        </w:rPr>
        <w:t>المحاسن</w:t>
      </w:r>
      <w:r w:rsidR="00744A1C">
        <w:rPr>
          <w:rtl/>
          <w:lang w:bidi="fa-IR"/>
        </w:rPr>
        <w:t xml:space="preserve"> ، ص 360 ، كتاب المرافق ، ح 86 ، عن أبيه ، عن ابن أبي عمير. </w:t>
      </w:r>
      <w:r w:rsidR="00744A1C" w:rsidRPr="00C24F9C">
        <w:rPr>
          <w:rStyle w:val="libFootnoteBoldChar"/>
          <w:rtl/>
        </w:rPr>
        <w:t>التهذيب</w:t>
      </w:r>
      <w:r w:rsidR="00744A1C">
        <w:rPr>
          <w:rtl/>
          <w:lang w:bidi="fa-IR"/>
        </w:rPr>
        <w:t xml:space="preserve"> ، ج 6 ، ص 157 ، ح 279 ، بسند آخر عن جعفر ، عن أبيه </w:t>
      </w:r>
      <w:r w:rsidR="00F112A7" w:rsidRPr="00CE5A92">
        <w:rPr>
          <w:rStyle w:val="libFootnoteAlaemChar"/>
          <w:rtl/>
        </w:rPr>
        <w:t>عليهما‌السلام</w:t>
      </w:r>
      <w:r w:rsidR="00744A1C">
        <w:rPr>
          <w:rtl/>
          <w:lang w:bidi="fa-IR"/>
        </w:rPr>
        <w:t xml:space="preserve">، مع زيادة ؛ </w:t>
      </w:r>
      <w:r w:rsidR="00744A1C" w:rsidRPr="000B1C3F">
        <w:rPr>
          <w:rStyle w:val="libFootnoteBoldChar"/>
          <w:rtl/>
        </w:rPr>
        <w:t>الأمالي للطوسي</w:t>
      </w:r>
      <w:r w:rsidR="00744A1C">
        <w:rPr>
          <w:rtl/>
          <w:lang w:bidi="fa-IR"/>
        </w:rPr>
        <w:t xml:space="preserve"> ، ص 670 ، المجلس 36 ، ح 16 ، بسند آخر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وفيهما من دون الإسناد إلى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167895">
        <w:rPr>
          <w:rFonts w:hint="cs"/>
          <w:rtl/>
          <w:lang w:bidi="fa-IR"/>
        </w:rPr>
        <w:t>.</w:t>
      </w:r>
      <w:r w:rsidR="00744A1C" w:rsidRPr="00C24F9C">
        <w:rPr>
          <w:rStyle w:val="libFootnoteBoldChar"/>
          <w:rtl/>
        </w:rPr>
        <w:t>الوافي</w:t>
      </w:r>
      <w:r w:rsidR="00744A1C">
        <w:rPr>
          <w:rtl/>
          <w:lang w:bidi="fa-IR"/>
        </w:rPr>
        <w:t xml:space="preserve"> ، ج 15 ، ص 187 ، ح 14878 ؛ </w:t>
      </w:r>
      <w:r w:rsidR="00744A1C" w:rsidRPr="00C24F9C">
        <w:rPr>
          <w:rStyle w:val="libFootnoteBoldChar"/>
          <w:rtl/>
        </w:rPr>
        <w:t>الوسائل</w:t>
      </w:r>
      <w:r w:rsidR="00744A1C">
        <w:rPr>
          <w:rtl/>
          <w:lang w:bidi="fa-IR"/>
        </w:rPr>
        <w:t xml:space="preserve"> ، ج 11 ، ص 425 ، ح 15166 ؛ وج 15 ، ص 121 ، ح 20116.</w:t>
      </w:r>
    </w:p>
    <w:p w:rsidR="00744A1C" w:rsidRDefault="00E378DD" w:rsidP="00E378DD">
      <w:pPr>
        <w:pStyle w:val="libFootnote0"/>
        <w:rPr>
          <w:lang w:bidi="fa-IR"/>
        </w:rPr>
      </w:pPr>
      <w:r>
        <w:rPr>
          <w:rtl/>
          <w:lang w:bidi="fa-IR"/>
        </w:rPr>
        <w:t>(4).</w:t>
      </w:r>
      <w:r w:rsidR="00744A1C">
        <w:rPr>
          <w:rtl/>
          <w:lang w:bidi="fa-IR"/>
        </w:rPr>
        <w:t xml:space="preserve"> في « بث » : « مظلمة ». والمظلمة : ما تطلبه عند الظالم ، وهو اسم ما ا</w:t>
      </w:r>
      <w:r w:rsidR="00167895">
        <w:rPr>
          <w:rFonts w:hint="cs"/>
          <w:rtl/>
          <w:lang w:bidi="fa-IR"/>
        </w:rPr>
        <w:t>ُ</w:t>
      </w:r>
      <w:r w:rsidR="00744A1C">
        <w:rPr>
          <w:rtl/>
          <w:lang w:bidi="fa-IR"/>
        </w:rPr>
        <w:t xml:space="preserve">خذ منك. </w:t>
      </w:r>
      <w:r w:rsidR="00744A1C" w:rsidRPr="00E978C3">
        <w:rPr>
          <w:rStyle w:val="libFootnoteBoldChar"/>
          <w:rtl/>
        </w:rPr>
        <w:t>الصحاح</w:t>
      </w:r>
      <w:r w:rsidR="00744A1C">
        <w:rPr>
          <w:rtl/>
          <w:lang w:bidi="fa-IR"/>
        </w:rPr>
        <w:t xml:space="preserve"> ، ج 5 ، ص 1977 ( ظلم ).</w:t>
      </w:r>
    </w:p>
    <w:p w:rsidR="00744A1C" w:rsidRDefault="00E378DD" w:rsidP="00E378DD">
      <w:pPr>
        <w:pStyle w:val="libFootnote0"/>
        <w:rPr>
          <w:lang w:bidi="fa-IR"/>
        </w:rPr>
      </w:pPr>
      <w:r>
        <w:rPr>
          <w:rtl/>
          <w:lang w:bidi="fa-IR"/>
        </w:rPr>
        <w:t>(5).</w:t>
      </w:r>
      <w:r w:rsidR="00744A1C">
        <w:rPr>
          <w:rtl/>
          <w:lang w:bidi="fa-IR"/>
        </w:rPr>
        <w:t xml:space="preserve"> في </w:t>
      </w:r>
      <w:r w:rsidR="00744A1C" w:rsidRPr="00167895">
        <w:rPr>
          <w:rtl/>
        </w:rPr>
        <w:t>التهذيب ،</w:t>
      </w:r>
      <w:r w:rsidR="00744A1C">
        <w:rPr>
          <w:rtl/>
          <w:lang w:bidi="fa-IR"/>
        </w:rPr>
        <w:t xml:space="preserve"> ج 6 ، ص 157 : « عياله ».</w:t>
      </w:r>
    </w:p>
    <w:p w:rsidR="00144FA6" w:rsidRDefault="00E378DD" w:rsidP="00E378DD">
      <w:pPr>
        <w:pStyle w:val="libFootnote0"/>
        <w:rPr>
          <w:rtl/>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167 ، ح 316 ، معلّقاً عن أحمد بن محمّد بن عيسى. </w:t>
      </w:r>
      <w:r w:rsidR="00744A1C" w:rsidRPr="00C24F9C">
        <w:rPr>
          <w:rStyle w:val="libFootnoteBoldChar"/>
          <w:rtl/>
        </w:rPr>
        <w:t>التهذيب</w:t>
      </w:r>
      <w:r w:rsidR="00744A1C">
        <w:rPr>
          <w:rtl/>
          <w:lang w:bidi="fa-IR"/>
        </w:rPr>
        <w:t xml:space="preserve"> ، ج 6 ، ص 157 ، ح 282 ،</w:t>
      </w:r>
      <w:r w:rsidR="00167895">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8304 / 2. وَبِهذَا الْإِسْنَادِ ، عَنْ أَبِي مَرْيَمَ </w:t>
      </w:r>
      <w:r w:rsidRPr="00D10E3C">
        <w:rPr>
          <w:rStyle w:val="libFootnotenumChar"/>
          <w:rtl/>
        </w:rPr>
        <w:t>(1)</w:t>
      </w:r>
      <w:r>
        <w:rPr>
          <w:rtl/>
          <w:lang w:bidi="fa-IR"/>
        </w:rPr>
        <w:t xml:space="preserve">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5E465D" w:rsidRPr="005E465D">
        <w:rPr>
          <w:rStyle w:val="libAlaemChar"/>
          <w:rtl/>
        </w:rPr>
        <w:t>صلى‌الله‌عليه‌وآله</w:t>
      </w:r>
      <w:r w:rsidR="00D10E3C">
        <w:rPr>
          <w:rtl/>
          <w:lang w:bidi="fa-IR"/>
        </w:rPr>
        <w:t xml:space="preserve"> </w:t>
      </w:r>
      <w:r>
        <w:rPr>
          <w:rtl/>
          <w:lang w:bidi="fa-IR"/>
        </w:rPr>
        <w:t>: مَنْ قُتِلَ دُونَ مَظْلِمَتِهِ ، فَهُوَ شَهِيدٌ ».</w:t>
      </w:r>
    </w:p>
    <w:p w:rsidR="00744A1C" w:rsidRDefault="00744A1C" w:rsidP="00744A1C">
      <w:pPr>
        <w:pStyle w:val="libNormal"/>
        <w:rPr>
          <w:lang w:bidi="fa-IR"/>
        </w:rPr>
      </w:pPr>
      <w:r>
        <w:rPr>
          <w:rtl/>
          <w:lang w:bidi="fa-IR"/>
        </w:rPr>
        <w:t>ثُمَّ قَالَ : « يَا بَا مَرْيَمَ 2 ، هَلْ تَدْرِي مَا دُونَ مَظْلِمَتِهِ؟ ».</w:t>
      </w:r>
    </w:p>
    <w:p w:rsidR="00744A1C" w:rsidRDefault="00744A1C" w:rsidP="00744A1C">
      <w:pPr>
        <w:pStyle w:val="libNormal"/>
        <w:rPr>
          <w:lang w:bidi="fa-IR"/>
        </w:rPr>
      </w:pPr>
      <w:r>
        <w:rPr>
          <w:rtl/>
          <w:lang w:bidi="fa-IR"/>
        </w:rPr>
        <w:t>قُلْتُ : جُعِلْتُ فِدَاكَ ، الرَّجُلُ يُقْتَلُ دُونَ أَهْلِهِ وَدُونَ مَالِهِ وَأَشْبَاهِ ذلِكَ.</w:t>
      </w:r>
    </w:p>
    <w:p w:rsidR="00144FA6" w:rsidRDefault="00744A1C" w:rsidP="00744A1C">
      <w:pPr>
        <w:pStyle w:val="libNormal"/>
        <w:rPr>
          <w:rtl/>
          <w:lang w:bidi="fa-IR"/>
        </w:rPr>
      </w:pPr>
      <w:r>
        <w:rPr>
          <w:rtl/>
          <w:lang w:bidi="fa-IR"/>
        </w:rPr>
        <w:t xml:space="preserve">فَقَالَ : « يَا بَا مَرْيَمَ 3 ، إِنَّ مِنَ الْفِقْهِ عِرْفَانَ الْحَقِّ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 xml:space="preserve">8305 / 3. عَنْهُ </w:t>
      </w:r>
      <w:r w:rsidRPr="00D10E3C">
        <w:rPr>
          <w:rStyle w:val="libFootnotenumChar"/>
          <w:rtl/>
        </w:rPr>
        <w:t>(6)</w:t>
      </w:r>
      <w:r>
        <w:rPr>
          <w:rtl/>
          <w:lang w:bidi="fa-IR"/>
        </w:rPr>
        <w:t xml:space="preserve"> ، عَنْ أَحْمَدَ بْنِ مُحَمَّدٍ ، عَنْ عَلِيِّ بْنِ الْحَكَمِ ، عَنِ الْحُسَيْنِ بْنِ أَبِي الْعَلَاءِ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الرَّجُلِ يُقَاتِلُ دُونَ مَالِهِ؟</w:t>
      </w:r>
    </w:p>
    <w:p w:rsidR="00744A1C" w:rsidRDefault="00744A1C" w:rsidP="00744A1C">
      <w:pPr>
        <w:pStyle w:val="libNormal"/>
        <w:rPr>
          <w:lang w:bidi="fa-IR"/>
        </w:rPr>
      </w:pPr>
      <w:r>
        <w:rPr>
          <w:rtl/>
          <w:lang w:bidi="fa-IR"/>
        </w:rPr>
        <w:t xml:space="preserve">فَقَالَ : « قَالَ رَسُولُ اللهِ </w:t>
      </w:r>
      <w:r w:rsidR="0061079A" w:rsidRPr="0061079A">
        <w:rPr>
          <w:rStyle w:val="libAlaemChar"/>
          <w:rtl/>
        </w:rPr>
        <w:t>صلى‌الله‌عليه‌وآله</w:t>
      </w:r>
      <w:r w:rsidR="00D10E3C">
        <w:rPr>
          <w:rtl/>
          <w:lang w:bidi="fa-IR"/>
        </w:rPr>
        <w:t xml:space="preserve"> </w:t>
      </w:r>
      <w:r>
        <w:rPr>
          <w:rtl/>
          <w:lang w:bidi="fa-IR"/>
        </w:rPr>
        <w:t>: مَنْ قُتِلَ دُونَ مَالِهِ ، فَهُوَ بِمَنْزِلَةِ الشَّهِيدِ ».</w:t>
      </w:r>
    </w:p>
    <w:p w:rsidR="00744A1C" w:rsidRDefault="00744A1C" w:rsidP="00D10E3C">
      <w:pPr>
        <w:pStyle w:val="libLine"/>
        <w:rPr>
          <w:lang w:bidi="fa-IR"/>
        </w:rPr>
      </w:pPr>
      <w:r>
        <w:rPr>
          <w:rtl/>
          <w:lang w:bidi="fa-IR"/>
        </w:rPr>
        <w:t>____________________</w:t>
      </w:r>
    </w:p>
    <w:p w:rsidR="00744A1C" w:rsidRDefault="006E6B64" w:rsidP="00D10E3C">
      <w:pPr>
        <w:pStyle w:val="libFootnote0"/>
        <w:rPr>
          <w:lang w:bidi="fa-IR"/>
        </w:rPr>
      </w:pPr>
      <w:r>
        <w:rPr>
          <w:rFonts w:hint="cs"/>
          <w:rtl/>
          <w:lang w:bidi="fa-IR"/>
        </w:rPr>
        <w:t xml:space="preserve">= </w:t>
      </w:r>
      <w:r w:rsidR="00744A1C">
        <w:rPr>
          <w:rtl/>
          <w:lang w:bidi="fa-IR"/>
        </w:rPr>
        <w:t xml:space="preserve">بسند آخر. </w:t>
      </w:r>
      <w:r w:rsidR="00744A1C" w:rsidRPr="00227DC6">
        <w:rPr>
          <w:rStyle w:val="libFootnoteBoldChar"/>
          <w:rtl/>
        </w:rPr>
        <w:t>الخصال</w:t>
      </w:r>
      <w:r w:rsidR="00744A1C">
        <w:rPr>
          <w:rtl/>
          <w:lang w:bidi="fa-IR"/>
        </w:rPr>
        <w:t xml:space="preserve"> ، ص 607 ، أبواب الثمانين وما فوقه ، ضمن الحديث الطويل 9 ، بسند آخر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من دون الإسناد إلى النبيّ </w:t>
      </w:r>
      <w:r w:rsidR="00E843EA" w:rsidRPr="00E843EA">
        <w:rPr>
          <w:rStyle w:val="libFootnoteAlaemChar"/>
          <w:rtl/>
        </w:rPr>
        <w:t>صلى‌الله‌عليه‌وآله</w:t>
      </w:r>
      <w:r w:rsidR="00744A1C">
        <w:rPr>
          <w:rtl/>
          <w:lang w:bidi="fa-IR"/>
        </w:rPr>
        <w:t xml:space="preserve"> . </w:t>
      </w:r>
      <w:r w:rsidR="00744A1C" w:rsidRPr="00877682">
        <w:rPr>
          <w:rStyle w:val="libFootnoteBoldChar"/>
          <w:rtl/>
        </w:rPr>
        <w:t>عيون الأخبار</w:t>
      </w:r>
      <w:r w:rsidR="00744A1C">
        <w:rPr>
          <w:rtl/>
          <w:lang w:bidi="fa-IR"/>
        </w:rPr>
        <w:t xml:space="preserve"> ، ج 2 ، ص 124 ، ضمن الحديث الطويل 1 ، بسند آخر عن الرضا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4 ، ص 380 ، ح 5807 ، مرسلاً عن رسول الله </w:t>
      </w:r>
      <w:r w:rsidR="00F90866" w:rsidRPr="00F90866">
        <w:rPr>
          <w:rStyle w:val="libFootnoteAlaemChar"/>
          <w:rtl/>
        </w:rPr>
        <w:t>صلى‌الله‌عليه‌وآله</w:t>
      </w:r>
      <w:r w:rsidR="00744A1C">
        <w:rPr>
          <w:rtl/>
          <w:lang w:bidi="fa-IR"/>
        </w:rPr>
        <w:t xml:space="preserve"> ، وتمام الرواية في الثلاثة الأخيرة : « من قتل دون ماله فهو شهيد » </w:t>
      </w:r>
      <w:r w:rsidR="00744A1C" w:rsidRPr="00C24F9C">
        <w:rPr>
          <w:rStyle w:val="libFootnoteBoldChar"/>
          <w:rtl/>
        </w:rPr>
        <w:t>الوافي</w:t>
      </w:r>
      <w:r w:rsidR="00744A1C">
        <w:rPr>
          <w:rtl/>
          <w:lang w:bidi="fa-IR"/>
        </w:rPr>
        <w:t xml:space="preserve"> ، ج 15 ، ص 191 ، ح 14887 ؛ </w:t>
      </w:r>
      <w:r w:rsidR="00744A1C" w:rsidRPr="00C24F9C">
        <w:rPr>
          <w:rStyle w:val="libFootnoteBoldChar"/>
          <w:rtl/>
        </w:rPr>
        <w:t>الوسائل</w:t>
      </w:r>
      <w:r w:rsidR="00744A1C">
        <w:rPr>
          <w:rtl/>
          <w:lang w:bidi="fa-IR"/>
        </w:rPr>
        <w:t xml:space="preserve"> ، ج 15 ، ص 121 ، ح 20117.</w:t>
      </w:r>
    </w:p>
    <w:p w:rsidR="00744A1C" w:rsidRDefault="00D10E3C" w:rsidP="00D10E3C">
      <w:pPr>
        <w:pStyle w:val="libFootnote0"/>
        <w:rPr>
          <w:lang w:bidi="fa-IR"/>
        </w:rPr>
      </w:pPr>
      <w:r>
        <w:rPr>
          <w:rtl/>
          <w:lang w:bidi="fa-IR"/>
        </w:rPr>
        <w:t>(1).</w:t>
      </w:r>
      <w:r w:rsidR="00744A1C">
        <w:rPr>
          <w:rtl/>
          <w:lang w:bidi="fa-IR"/>
        </w:rPr>
        <w:t xml:space="preserve"> الظاهر أنّ أبا مريم هذا ، هو أبو مريم الأنصاري ، وعمدة رواته في طبقة عبد الله بن سنان ، فيكون المراد من « بهذا الإسناد » السند المتقدّم إلى أبي عبد الله </w:t>
      </w:r>
      <w:r w:rsidR="0061079A" w:rsidRPr="0061079A">
        <w:rPr>
          <w:rStyle w:val="libFootnoteAlaemChar"/>
          <w:rtl/>
        </w:rPr>
        <w:t>عليه‌السلام</w:t>
      </w:r>
      <w:r>
        <w:rPr>
          <w:rtl/>
          <w:lang w:bidi="fa-IR"/>
        </w:rPr>
        <w:t xml:space="preserve"> </w:t>
      </w:r>
      <w:r w:rsidR="00744A1C">
        <w:rPr>
          <w:rtl/>
          <w:lang w:bidi="fa-IR"/>
        </w:rPr>
        <w:t xml:space="preserve">، والراوي عن أبي مريم هو عبد الله بن سنان. راجع : </w:t>
      </w:r>
      <w:r w:rsidR="00744A1C" w:rsidRPr="0061079A">
        <w:rPr>
          <w:rStyle w:val="libFootnoteBoldChar"/>
          <w:rtl/>
        </w:rPr>
        <w:t>معجم رجال الحديث</w:t>
      </w:r>
      <w:r w:rsidR="00744A1C">
        <w:rPr>
          <w:rtl/>
          <w:lang w:bidi="fa-IR"/>
        </w:rPr>
        <w:t xml:space="preserve"> ، ج 22 ، ص 48 - 49 ، الرقم 14808 و 14809.</w:t>
      </w:r>
    </w:p>
    <w:p w:rsidR="00744A1C" w:rsidRDefault="00E378DD" w:rsidP="00E378DD">
      <w:pPr>
        <w:pStyle w:val="libFootnote0"/>
        <w:rPr>
          <w:lang w:bidi="fa-IR"/>
        </w:rPr>
      </w:pPr>
      <w:r>
        <w:rPr>
          <w:rtl/>
          <w:lang w:bidi="fa-IR"/>
        </w:rPr>
        <w:t>(2).</w:t>
      </w:r>
      <w:r w:rsidR="00744A1C">
        <w:rPr>
          <w:rtl/>
          <w:lang w:bidi="fa-IR"/>
        </w:rPr>
        <w:t xml:space="preserve"> ( 2 و 3 ). هكذا في جميع النسخ التي قوبلت. وفي المطبوع : « يا أبا مريم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لعلّ المراد أنّ </w:t>
      </w:r>
      <w:r w:rsidR="00744A1C" w:rsidRPr="00C24F9C">
        <w:rPr>
          <w:rStyle w:val="libFootnoteBoldChar"/>
          <w:rtl/>
        </w:rPr>
        <w:t>الفقيه</w:t>
      </w:r>
      <w:r w:rsidR="00744A1C">
        <w:rPr>
          <w:rtl/>
          <w:lang w:bidi="fa-IR"/>
        </w:rPr>
        <w:t xml:space="preserve"> من عرف مواضع القتال في أمثال هذه حتّى يحقّ له أن يتعرّض لذلك ، فربّماكان ترك التعرّض أولى وأليق ، كما إذا تعرّض المحارب للمال فحسب دون النفس والعِرض ، كما يُستفاد من الحديث الآتي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18 ، ص 394 : « لعلّ المراد به أنّه ليس الفقه منحصراً في عرفان مسائل الصلاة والصوم مثلاً ، بل عرفان الحقّ في أيّ شي‌ء كان هو من الفقه ، واريد به طلب عرفان الحقّ تأديباً له ، أي كان ينبغي لك أن تسأل عن ذلك حتّى تعرفه ولا تدّعي العلم ، وعلى الأوّل الظاهر أنّه تصديق وتحسين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167 ، ح 317 ، معلّقاً عن أحمد بن محمّد بن عيسى ، عن عبد الرحمن بن أبي نجران ، عن عبد الله بن سنان ، عن أبي مريم </w:t>
      </w:r>
      <w:r w:rsidR="00227DC6">
        <w:rPr>
          <w:rFonts w:hint="cs"/>
          <w:rtl/>
          <w:lang w:bidi="fa-IR"/>
        </w:rPr>
        <w:t>.</w:t>
      </w:r>
      <w:r w:rsidR="00744A1C" w:rsidRPr="00C24F9C">
        <w:rPr>
          <w:rStyle w:val="libFootnoteBoldChar"/>
          <w:rtl/>
        </w:rPr>
        <w:t>الوافي</w:t>
      </w:r>
      <w:r w:rsidR="00744A1C">
        <w:rPr>
          <w:rtl/>
          <w:lang w:bidi="fa-IR"/>
        </w:rPr>
        <w:t xml:space="preserve"> ، ج 15 ، ص 191 ، ح 14888 ؛ </w:t>
      </w:r>
      <w:r w:rsidR="00744A1C" w:rsidRPr="00C24F9C">
        <w:rPr>
          <w:rStyle w:val="libFootnoteBoldChar"/>
          <w:rtl/>
        </w:rPr>
        <w:t>الوسائل</w:t>
      </w:r>
      <w:r w:rsidR="00744A1C">
        <w:rPr>
          <w:rtl/>
          <w:lang w:bidi="fa-IR"/>
        </w:rPr>
        <w:t xml:space="preserve"> ، ج 15 ، ص 121 ، ح 20118.</w:t>
      </w:r>
    </w:p>
    <w:p w:rsidR="00744A1C" w:rsidRDefault="00E378DD" w:rsidP="00E378DD">
      <w:pPr>
        <w:pStyle w:val="libFootnote0"/>
        <w:rPr>
          <w:lang w:bidi="fa-IR"/>
        </w:rPr>
      </w:pPr>
      <w:r>
        <w:rPr>
          <w:rtl/>
          <w:lang w:bidi="fa-IR"/>
        </w:rPr>
        <w:t>(6).</w:t>
      </w:r>
      <w:r w:rsidR="00744A1C">
        <w:rPr>
          <w:rtl/>
          <w:lang w:bidi="fa-IR"/>
        </w:rPr>
        <w:t xml:space="preserve"> الضمير راجع إلى محمّد بن يحيى.</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قُلْتُ : أَيُقَاتِلُ أَفْضَلُ ، أَوْ لَمْ يُقَاتِلْ </w:t>
      </w:r>
      <w:r w:rsidRPr="00D10E3C">
        <w:rPr>
          <w:rStyle w:val="libFootnotenumChar"/>
          <w:rtl/>
        </w:rPr>
        <w:t>(1)</w:t>
      </w:r>
      <w:r>
        <w:rPr>
          <w:rtl/>
          <w:lang w:bidi="fa-IR"/>
        </w:rPr>
        <w:t>؟</w:t>
      </w:r>
    </w:p>
    <w:p w:rsidR="00144FA6" w:rsidRDefault="00744A1C" w:rsidP="00744A1C">
      <w:pPr>
        <w:pStyle w:val="libNormal"/>
        <w:rPr>
          <w:rtl/>
          <w:lang w:bidi="fa-IR"/>
        </w:rPr>
      </w:pPr>
      <w:r>
        <w:rPr>
          <w:rtl/>
          <w:lang w:bidi="fa-IR"/>
        </w:rPr>
        <w:t xml:space="preserve">فَقَالَ </w:t>
      </w:r>
      <w:r w:rsidRPr="00D10E3C">
        <w:rPr>
          <w:rStyle w:val="libFootnotenumChar"/>
          <w:rtl/>
        </w:rPr>
        <w:t>(2)</w:t>
      </w:r>
      <w:r>
        <w:rPr>
          <w:rtl/>
          <w:lang w:bidi="fa-IR"/>
        </w:rPr>
        <w:t xml:space="preserve"> : « أَمَّا أَنَا ، لَوْ كُنْتُ لَمْ أُقَاتِلْ وَتَرَكْتُهُ ». </w:t>
      </w:r>
      <w:r w:rsidRPr="00D10E3C">
        <w:rPr>
          <w:rStyle w:val="libFootnotenumChar"/>
          <w:rtl/>
        </w:rPr>
        <w:t>(3)</w:t>
      </w:r>
    </w:p>
    <w:p w:rsidR="00144FA6" w:rsidRDefault="00744A1C" w:rsidP="00744A1C">
      <w:pPr>
        <w:pStyle w:val="libNormal"/>
        <w:rPr>
          <w:rtl/>
          <w:lang w:bidi="fa-IR"/>
        </w:rPr>
      </w:pPr>
      <w:r>
        <w:rPr>
          <w:rtl/>
          <w:lang w:bidi="fa-IR"/>
        </w:rPr>
        <w:t xml:space="preserve">8306 / 4. عَنْهُ </w:t>
      </w:r>
      <w:r w:rsidRPr="00D10E3C">
        <w:rPr>
          <w:rStyle w:val="libFootnotenumChar"/>
          <w:rtl/>
        </w:rPr>
        <w:t>(4)</w:t>
      </w:r>
      <w:r>
        <w:rPr>
          <w:rtl/>
          <w:lang w:bidi="fa-IR"/>
        </w:rPr>
        <w:t xml:space="preserve"> ، عَنْ أَحْمَدَ </w:t>
      </w:r>
      <w:r w:rsidRPr="00D10E3C">
        <w:rPr>
          <w:rStyle w:val="libFootnotenumChar"/>
          <w:rtl/>
        </w:rPr>
        <w:t>(5)</w:t>
      </w:r>
      <w:r>
        <w:rPr>
          <w:rtl/>
          <w:lang w:bidi="fa-IR"/>
        </w:rPr>
        <w:t xml:space="preserve"> ، عَنِ الْوَشَّاءِ ، عَنْ صَفْوَانَ بْنِ يَحْيى ، عَنْ أَرْطَاةَ بْنِ حَبِيبٍ الْأَسَدِيِّ ، عَنْ رَجُلٍ :</w:t>
      </w:r>
    </w:p>
    <w:p w:rsidR="00144FA6" w:rsidRDefault="00744A1C" w:rsidP="00744A1C">
      <w:pPr>
        <w:pStyle w:val="libNormal"/>
        <w:rPr>
          <w:rtl/>
          <w:lang w:bidi="fa-IR"/>
        </w:rPr>
      </w:pPr>
      <w:r>
        <w:rPr>
          <w:rtl/>
          <w:lang w:bidi="fa-IR"/>
        </w:rPr>
        <w:t xml:space="preserve">عَنْ عَلِيِّ بْنِ الْحُسَيْنِ </w:t>
      </w:r>
      <w:r w:rsidR="008859AA" w:rsidRPr="008859AA">
        <w:rPr>
          <w:rStyle w:val="libAlaemChar"/>
          <w:rtl/>
        </w:rPr>
        <w:t>عليهما‌السلام</w:t>
      </w:r>
      <w:r>
        <w:rPr>
          <w:rtl/>
          <w:lang w:bidi="fa-IR"/>
        </w:rPr>
        <w:t xml:space="preserve">، قَالَ : « مَنِ اعْتُدِيَ عَلَيْهِ فِي صَدَقَةِ مَالِهِ </w:t>
      </w:r>
      <w:r w:rsidRPr="00D10E3C">
        <w:rPr>
          <w:rStyle w:val="libFootnotenumChar"/>
          <w:rtl/>
        </w:rPr>
        <w:t>(6)</w:t>
      </w:r>
      <w:r>
        <w:rPr>
          <w:rtl/>
          <w:lang w:bidi="fa-IR"/>
        </w:rPr>
        <w:t xml:space="preserve"> ، فَقَاتَلَ فَقُتِلَ ، فَهُوَ شَهِيدٌ ». </w:t>
      </w:r>
      <w:r w:rsidRPr="00D10E3C">
        <w:rPr>
          <w:rStyle w:val="libFootnotenumChar"/>
          <w:rtl/>
        </w:rPr>
        <w:t>(7)</w:t>
      </w:r>
    </w:p>
    <w:p w:rsidR="00144FA6" w:rsidRDefault="00744A1C" w:rsidP="00744A1C">
      <w:pPr>
        <w:pStyle w:val="libNormal"/>
        <w:rPr>
          <w:rtl/>
          <w:lang w:bidi="fa-IR"/>
        </w:rPr>
      </w:pPr>
      <w:r>
        <w:rPr>
          <w:rtl/>
          <w:lang w:bidi="fa-IR"/>
        </w:rPr>
        <w:t>8307 / 5. عِدَّةٌ مِنْ أَصْحَابِنَا ، عَنْ أَحْمَدَ بْنِ مُحَمَّدِ بْنِ خَالِدٍ ، عَنْ أَبِيهِ ، عَمَّنْ ذَكَرَهُ :</w:t>
      </w:r>
    </w:p>
    <w:p w:rsidR="00744A1C" w:rsidRDefault="00744A1C" w:rsidP="00744A1C">
      <w:pPr>
        <w:pStyle w:val="libNormal"/>
        <w:rPr>
          <w:lang w:bidi="fa-IR"/>
        </w:rPr>
      </w:pPr>
      <w:r>
        <w:rPr>
          <w:rtl/>
          <w:lang w:bidi="fa-IR"/>
        </w:rPr>
        <w:t xml:space="preserve">عَنِ الرِّضَا </w:t>
      </w:r>
      <w:r w:rsidR="0061079A" w:rsidRPr="0061079A">
        <w:rPr>
          <w:rStyle w:val="libAlaemChar"/>
          <w:rtl/>
        </w:rPr>
        <w:t>عليه‌السلام</w:t>
      </w:r>
      <w:r w:rsidR="00D10E3C">
        <w:rPr>
          <w:rtl/>
          <w:lang w:bidi="fa-IR"/>
        </w:rPr>
        <w:t xml:space="preserve"> </w:t>
      </w:r>
      <w:r>
        <w:rPr>
          <w:rtl/>
          <w:lang w:bidi="fa-IR"/>
        </w:rPr>
        <w:t xml:space="preserve">عَنِ الرَّجُلِ يَكُونُ فِي السَّفَرِ وَمَعَهُ جَارِيَةٌ لَهُ ، فَيَجِي‌ءُ قَوْمٌ يُرِيدُونَ </w:t>
      </w:r>
      <w:r w:rsidRPr="00D10E3C">
        <w:rPr>
          <w:rStyle w:val="libFootnotenumChar"/>
          <w:rtl/>
        </w:rPr>
        <w:t>(8)</w:t>
      </w:r>
      <w:r>
        <w:rPr>
          <w:rtl/>
          <w:lang w:bidi="fa-IR"/>
        </w:rPr>
        <w:t xml:space="preserve"> أَخْذَ جَارِيَتِهِ ، أَيَمْنَعُ جَارِيَتَهُ مِنْ أَنْ تُؤْخَذَ </w:t>
      </w:r>
      <w:r w:rsidRPr="00D10E3C">
        <w:rPr>
          <w:rStyle w:val="libFootnotenumChar"/>
          <w:rtl/>
        </w:rPr>
        <w:t>(9)</w:t>
      </w:r>
      <w:r>
        <w:rPr>
          <w:rtl/>
          <w:lang w:bidi="fa-IR"/>
        </w:rPr>
        <w:t xml:space="preserve"> وَإِنْ خَافَ عَلى نَفْسِهِ الْقَتْلَ؟ قَالَ : « نَعَمْ ».</w:t>
      </w:r>
    </w:p>
    <w:p w:rsidR="00744A1C" w:rsidRDefault="00744A1C" w:rsidP="00744A1C">
      <w:pPr>
        <w:pStyle w:val="libNormal"/>
        <w:rPr>
          <w:lang w:bidi="fa-IR"/>
        </w:rPr>
      </w:pPr>
      <w:r>
        <w:rPr>
          <w:rtl/>
          <w:lang w:bidi="fa-IR"/>
        </w:rPr>
        <w:t xml:space="preserve">قُلْتُ : وَكَذلِكَ إِنْ </w:t>
      </w:r>
      <w:r w:rsidRPr="00D10E3C">
        <w:rPr>
          <w:rStyle w:val="libFootnotenumChar"/>
          <w:rtl/>
        </w:rPr>
        <w:t>(10)</w:t>
      </w:r>
      <w:r>
        <w:rPr>
          <w:rtl/>
          <w:lang w:bidi="fa-IR"/>
        </w:rPr>
        <w:t xml:space="preserve"> كَانَتْ مَعَهُ امْرَأَةٌ </w:t>
      </w:r>
      <w:r w:rsidRPr="00D10E3C">
        <w:rPr>
          <w:rStyle w:val="libFootnotenumChar"/>
          <w:rtl/>
        </w:rPr>
        <w:t>(11)</w:t>
      </w:r>
      <w:r>
        <w:rPr>
          <w:rtl/>
          <w:lang w:bidi="fa-IR"/>
        </w:rPr>
        <w:t>؟ قَالَ : « نَعَمْ ».</w:t>
      </w:r>
    </w:p>
    <w:p w:rsidR="00744A1C" w:rsidRDefault="00744A1C" w:rsidP="00744A1C">
      <w:pPr>
        <w:pStyle w:val="libNormal"/>
        <w:rPr>
          <w:lang w:bidi="fa-IR"/>
        </w:rPr>
      </w:pPr>
      <w:r>
        <w:rPr>
          <w:rtl/>
          <w:lang w:bidi="fa-IR"/>
        </w:rPr>
        <w:t xml:space="preserve">قُلْتُ </w:t>
      </w:r>
      <w:r w:rsidRPr="00D10E3C">
        <w:rPr>
          <w:rStyle w:val="libFootnotenumChar"/>
          <w:rtl/>
        </w:rPr>
        <w:t>(12)</w:t>
      </w:r>
      <w:r>
        <w:rPr>
          <w:rtl/>
          <w:lang w:bidi="fa-IR"/>
        </w:rPr>
        <w:t xml:space="preserve"> : وَكَذلِكَ الْأُمُّ وَالْبِنْتُ وَابْنَةُ الْعَمِّ </w:t>
      </w:r>
      <w:r w:rsidRPr="00D10E3C">
        <w:rPr>
          <w:rStyle w:val="libFootnotenumChar"/>
          <w:rtl/>
        </w:rPr>
        <w:t>(13)</w:t>
      </w:r>
      <w:r>
        <w:rPr>
          <w:rtl/>
          <w:lang w:bidi="fa-IR"/>
        </w:rPr>
        <w:t xml:space="preserve"> وَالْقَرَابَةُ يَمْنَعُهُنَّ وَإِنْ خَافَ عَلى نَفْسِهِ‌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227DC6">
        <w:rPr>
          <w:rtl/>
        </w:rPr>
        <w:t xml:space="preserve">الوسائل </w:t>
      </w:r>
      <w:r w:rsidR="00744A1C">
        <w:rPr>
          <w:rtl/>
          <w:lang w:bidi="fa-IR"/>
        </w:rPr>
        <w:t>: « لا يقاتل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المطبوع : « قال ».</w:t>
      </w:r>
    </w:p>
    <w:p w:rsidR="00744A1C" w:rsidRDefault="00E378DD" w:rsidP="00E378DD">
      <w:pPr>
        <w:pStyle w:val="libFootnote0"/>
        <w:rPr>
          <w:lang w:bidi="fa-IR"/>
        </w:rPr>
      </w:pPr>
      <w:r>
        <w:rPr>
          <w:rtl/>
          <w:lang w:bidi="fa-IR"/>
        </w:rPr>
        <w:t>(3).</w:t>
      </w:r>
      <w:r w:rsidR="00744A1C">
        <w:rPr>
          <w:rtl/>
          <w:lang w:bidi="fa-IR"/>
        </w:rPr>
        <w:t xml:space="preserve"> </w:t>
      </w:r>
      <w:r w:rsidR="00744A1C" w:rsidRPr="0061079A">
        <w:rPr>
          <w:rStyle w:val="libFootnoteBoldChar"/>
          <w:rtl/>
        </w:rPr>
        <w:t>الكافي</w:t>
      </w:r>
      <w:r w:rsidR="00744A1C">
        <w:rPr>
          <w:rtl/>
          <w:lang w:bidi="fa-IR"/>
        </w:rPr>
        <w:t xml:space="preserve"> ، كتاب الديات ، باب قتل اللصّ ، ح 14192. وفي </w:t>
      </w:r>
      <w:r w:rsidR="00744A1C" w:rsidRPr="00C24F9C">
        <w:rPr>
          <w:rStyle w:val="libFootnoteBoldChar"/>
          <w:rtl/>
        </w:rPr>
        <w:t>التهذيب</w:t>
      </w:r>
      <w:r w:rsidR="00744A1C">
        <w:rPr>
          <w:rtl/>
          <w:lang w:bidi="fa-IR"/>
        </w:rPr>
        <w:t xml:space="preserve"> ، ج 6 ، ص 167 ، ح 319 ؛ وج 10 ، ص 210 ، ح 830 ، معلّقاً عن أحمد بن محمّد [ في ج 6 : + « بن عيسى » ] ، عن عليّ بن الحكم ، وفيهما مع اختلاف يسير </w:t>
      </w:r>
      <w:r w:rsidR="00227DC6">
        <w:rPr>
          <w:rFonts w:hint="cs"/>
          <w:rtl/>
          <w:lang w:bidi="fa-IR"/>
        </w:rPr>
        <w:t>.</w:t>
      </w:r>
      <w:r w:rsidR="00744A1C" w:rsidRPr="00C24F9C">
        <w:rPr>
          <w:rStyle w:val="libFootnoteBoldChar"/>
          <w:rtl/>
        </w:rPr>
        <w:t>الوافي</w:t>
      </w:r>
      <w:r w:rsidR="00744A1C">
        <w:rPr>
          <w:rtl/>
          <w:lang w:bidi="fa-IR"/>
        </w:rPr>
        <w:t xml:space="preserve"> ، ج 15 ، ص 192 ، ح 14889 ؛ </w:t>
      </w:r>
      <w:r w:rsidR="00744A1C" w:rsidRPr="00C24F9C">
        <w:rPr>
          <w:rStyle w:val="libFootnoteBoldChar"/>
          <w:rtl/>
        </w:rPr>
        <w:t>الوسائل</w:t>
      </w:r>
      <w:r w:rsidR="00744A1C">
        <w:rPr>
          <w:rtl/>
          <w:lang w:bidi="fa-IR"/>
        </w:rPr>
        <w:t xml:space="preserve"> ، ج 15 ، ص 121 ، ح 20119.</w:t>
      </w:r>
    </w:p>
    <w:tbl>
      <w:tblPr>
        <w:tblStyle w:val="TableGrid"/>
        <w:bidiVisual/>
        <w:tblW w:w="0" w:type="auto"/>
        <w:tblLook w:val="04A0" w:firstRow="1" w:lastRow="0" w:firstColumn="1" w:lastColumn="0" w:noHBand="0" w:noVBand="1"/>
      </w:tblPr>
      <w:tblGrid>
        <w:gridCol w:w="4006"/>
        <w:gridCol w:w="4006"/>
      </w:tblGrid>
      <w:tr w:rsidR="00227DC6" w:rsidTr="00227DC6">
        <w:tc>
          <w:tcPr>
            <w:tcW w:w="4006" w:type="dxa"/>
          </w:tcPr>
          <w:p w:rsidR="00227DC6" w:rsidRDefault="00227DC6" w:rsidP="00E378DD">
            <w:pPr>
              <w:pStyle w:val="libFootnote0"/>
              <w:rPr>
                <w:rtl/>
                <w:lang w:bidi="fa-IR"/>
              </w:rPr>
            </w:pPr>
            <w:r>
              <w:rPr>
                <w:rtl/>
                <w:lang w:bidi="fa-IR"/>
              </w:rPr>
              <w:t>(4). مرجع الضمير هو محمّد بن يحيى.</w:t>
            </w:r>
          </w:p>
        </w:tc>
        <w:tc>
          <w:tcPr>
            <w:tcW w:w="4006" w:type="dxa"/>
          </w:tcPr>
          <w:p w:rsidR="00227DC6" w:rsidRDefault="00227DC6" w:rsidP="00E378DD">
            <w:pPr>
              <w:pStyle w:val="libFootnote0"/>
              <w:rPr>
                <w:rtl/>
                <w:lang w:bidi="fa-IR"/>
              </w:rPr>
            </w:pPr>
            <w:r>
              <w:rPr>
                <w:rtl/>
                <w:lang w:bidi="fa-IR"/>
              </w:rPr>
              <w:t xml:space="preserve">(5). في </w:t>
            </w:r>
            <w:r w:rsidRPr="00227DC6">
              <w:rPr>
                <w:rtl/>
              </w:rPr>
              <w:t>الوسائل</w:t>
            </w:r>
            <w:r>
              <w:rPr>
                <w:rtl/>
                <w:lang w:bidi="fa-IR"/>
              </w:rPr>
              <w:t xml:space="preserve"> : + « بن محمّد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يعني زكاة ماله يريدون أخذها من غير استحقاق ، وزعم أنّه يغلبهم ، فتعرّض لهم ، فَقُتِلَ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166 ، ح 315 ، معلّقاً عن أحمد بن محمّد بن عيسى ، عن الحسن بن عليّ الوشّاء </w:t>
      </w:r>
      <w:r w:rsidR="00227DC6">
        <w:rPr>
          <w:rFonts w:hint="cs"/>
          <w:rtl/>
          <w:lang w:bidi="fa-IR"/>
        </w:rPr>
        <w:t>.</w:t>
      </w:r>
      <w:r w:rsidR="00744A1C" w:rsidRPr="00C24F9C">
        <w:rPr>
          <w:rStyle w:val="libFootnoteBoldChar"/>
          <w:rtl/>
        </w:rPr>
        <w:t>الوافي</w:t>
      </w:r>
      <w:r w:rsidR="00744A1C">
        <w:rPr>
          <w:rtl/>
          <w:lang w:bidi="fa-IR"/>
        </w:rPr>
        <w:t xml:space="preserve"> ، ج 15 ، ص 193 ، ح 14892 ؛ </w:t>
      </w:r>
      <w:r w:rsidR="00744A1C" w:rsidRPr="00C24F9C">
        <w:rPr>
          <w:rStyle w:val="libFootnoteBoldChar"/>
          <w:rtl/>
        </w:rPr>
        <w:t>الوسائل</w:t>
      </w:r>
      <w:r w:rsidR="00744A1C">
        <w:rPr>
          <w:rtl/>
          <w:lang w:bidi="fa-IR"/>
        </w:rPr>
        <w:t xml:space="preserve"> ، ج 15 ، ص 122 ، ح 20120.</w:t>
      </w:r>
    </w:p>
    <w:p w:rsidR="00744A1C" w:rsidRDefault="00E378DD" w:rsidP="00E378DD">
      <w:pPr>
        <w:pStyle w:val="libFootnote0"/>
        <w:rPr>
          <w:lang w:bidi="fa-IR"/>
        </w:rPr>
      </w:pPr>
      <w:r>
        <w:rPr>
          <w:rtl/>
          <w:lang w:bidi="fa-IR"/>
        </w:rPr>
        <w:t>(8).</w:t>
      </w:r>
      <w:r w:rsidR="00744A1C">
        <w:rPr>
          <w:rtl/>
          <w:lang w:bidi="fa-IR"/>
        </w:rPr>
        <w:t xml:space="preserve"> في « جد » : « فيريدون ».</w:t>
      </w:r>
    </w:p>
    <w:p w:rsidR="00744A1C" w:rsidRDefault="00E378DD" w:rsidP="00E378DD">
      <w:pPr>
        <w:pStyle w:val="libFootnote0"/>
        <w:rPr>
          <w:lang w:bidi="fa-IR"/>
        </w:rPr>
      </w:pPr>
      <w:r>
        <w:rPr>
          <w:rtl/>
          <w:lang w:bidi="fa-IR"/>
        </w:rPr>
        <w:t>(9).</w:t>
      </w:r>
      <w:r w:rsidR="00744A1C">
        <w:rPr>
          <w:rtl/>
          <w:lang w:bidi="fa-IR"/>
        </w:rPr>
        <w:t xml:space="preserve"> في « ى ، بث » : « أن يؤخذ ».</w:t>
      </w:r>
    </w:p>
    <w:p w:rsidR="00744A1C" w:rsidRDefault="00E378DD" w:rsidP="00E378DD">
      <w:pPr>
        <w:pStyle w:val="libFootnote0"/>
        <w:rPr>
          <w:lang w:bidi="fa-IR"/>
        </w:rPr>
      </w:pPr>
      <w:r>
        <w:rPr>
          <w:rtl/>
          <w:lang w:bidi="fa-IR"/>
        </w:rPr>
        <w:t>(10).</w:t>
      </w:r>
      <w:r w:rsidR="00744A1C">
        <w:rPr>
          <w:rtl/>
          <w:lang w:bidi="fa-IR"/>
        </w:rPr>
        <w:t xml:space="preserve"> في </w:t>
      </w:r>
      <w:r w:rsidR="00744A1C" w:rsidRPr="00227DC6">
        <w:rPr>
          <w:rtl/>
        </w:rPr>
        <w:t>الوسائل</w:t>
      </w:r>
      <w:r w:rsidR="00744A1C">
        <w:rPr>
          <w:rtl/>
          <w:lang w:bidi="fa-IR"/>
        </w:rPr>
        <w:t xml:space="preserve"> : « إذا ».</w:t>
      </w:r>
    </w:p>
    <w:tbl>
      <w:tblPr>
        <w:tblStyle w:val="TableGrid"/>
        <w:bidiVisual/>
        <w:tblW w:w="0" w:type="auto"/>
        <w:tblLook w:val="04A0" w:firstRow="1" w:lastRow="0" w:firstColumn="1" w:lastColumn="0" w:noHBand="0" w:noVBand="1"/>
      </w:tblPr>
      <w:tblGrid>
        <w:gridCol w:w="4006"/>
        <w:gridCol w:w="4006"/>
      </w:tblGrid>
      <w:tr w:rsidR="00227DC6" w:rsidTr="00227DC6">
        <w:tc>
          <w:tcPr>
            <w:tcW w:w="4006" w:type="dxa"/>
          </w:tcPr>
          <w:p w:rsidR="00227DC6" w:rsidRDefault="00227DC6" w:rsidP="00E378DD">
            <w:pPr>
              <w:pStyle w:val="libFootnote0"/>
              <w:rPr>
                <w:rtl/>
                <w:lang w:bidi="fa-IR"/>
              </w:rPr>
            </w:pPr>
            <w:r>
              <w:rPr>
                <w:rtl/>
                <w:lang w:bidi="fa-IR"/>
              </w:rPr>
              <w:t>(11). في حاشية « بث » : « امرأته ».</w:t>
            </w:r>
          </w:p>
        </w:tc>
        <w:tc>
          <w:tcPr>
            <w:tcW w:w="4006" w:type="dxa"/>
          </w:tcPr>
          <w:p w:rsidR="00227DC6" w:rsidRDefault="00227DC6" w:rsidP="00E378DD">
            <w:pPr>
              <w:pStyle w:val="libFootnote0"/>
              <w:rPr>
                <w:rtl/>
                <w:lang w:bidi="fa-IR"/>
              </w:rPr>
            </w:pPr>
            <w:r>
              <w:rPr>
                <w:rtl/>
                <w:lang w:bidi="fa-IR"/>
              </w:rPr>
              <w:t>(12). في « بف ، جن » : - « قلت ».</w:t>
            </w:r>
          </w:p>
        </w:tc>
      </w:tr>
    </w:tbl>
    <w:p w:rsidR="00744A1C" w:rsidRDefault="00E378DD" w:rsidP="00E378DD">
      <w:pPr>
        <w:pStyle w:val="libFootnote0"/>
        <w:rPr>
          <w:lang w:bidi="fa-IR"/>
        </w:rPr>
      </w:pPr>
      <w:r>
        <w:rPr>
          <w:rtl/>
          <w:lang w:bidi="fa-IR"/>
        </w:rPr>
        <w:t>(13).</w:t>
      </w:r>
      <w:r w:rsidR="00744A1C">
        <w:rPr>
          <w:rtl/>
          <w:lang w:bidi="fa-IR"/>
        </w:rPr>
        <w:t xml:space="preserve"> في « بس » : - « وابنة العمّ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الْقَتْلَ؟ قَالَ : « نَعَمْ ».</w:t>
      </w:r>
    </w:p>
    <w:p w:rsidR="00144FA6" w:rsidRDefault="00744A1C" w:rsidP="00744A1C">
      <w:pPr>
        <w:pStyle w:val="libNormal"/>
        <w:rPr>
          <w:rtl/>
          <w:lang w:bidi="fa-IR"/>
        </w:rPr>
      </w:pPr>
      <w:r>
        <w:rPr>
          <w:rtl/>
          <w:lang w:bidi="fa-IR"/>
        </w:rPr>
        <w:t xml:space="preserve">قُلْتُ </w:t>
      </w:r>
      <w:r w:rsidRPr="00D10E3C">
        <w:rPr>
          <w:rStyle w:val="libFootnotenumChar"/>
          <w:rtl/>
        </w:rPr>
        <w:t>(1)</w:t>
      </w:r>
      <w:r>
        <w:rPr>
          <w:rtl/>
          <w:lang w:bidi="fa-IR"/>
        </w:rPr>
        <w:t xml:space="preserve"> : وَكَذلِكَ الْمَالُ يُرِيدُونَ أَخْذَهُ فِي سَفَرٍ </w:t>
      </w:r>
      <w:r w:rsidRPr="00D10E3C">
        <w:rPr>
          <w:rStyle w:val="libFootnotenumChar"/>
          <w:rtl/>
        </w:rPr>
        <w:t>(2)</w:t>
      </w:r>
      <w:r>
        <w:rPr>
          <w:rtl/>
          <w:lang w:bidi="fa-IR"/>
        </w:rPr>
        <w:t xml:space="preserve"> ، فَيَمْنَعُهُ وَإِنْ خَافَ الْقَتْلَ؟ قَالَ </w:t>
      </w:r>
      <w:r w:rsidRPr="00D10E3C">
        <w:rPr>
          <w:rStyle w:val="libFootnotenumChar"/>
          <w:rtl/>
        </w:rPr>
        <w:t>(3)</w:t>
      </w:r>
      <w:r>
        <w:rPr>
          <w:rtl/>
          <w:lang w:bidi="fa-IR"/>
        </w:rPr>
        <w:t xml:space="preserve"> : « نَعَمْ ». </w:t>
      </w:r>
      <w:r w:rsidRPr="00D10E3C">
        <w:rPr>
          <w:rStyle w:val="libFootnotenumChar"/>
          <w:rtl/>
        </w:rPr>
        <w:t>(4)</w:t>
      </w:r>
    </w:p>
    <w:p w:rsidR="00744A1C" w:rsidRDefault="00744A1C" w:rsidP="00227DC6">
      <w:pPr>
        <w:pStyle w:val="Heading2Center"/>
        <w:rPr>
          <w:lang w:bidi="fa-IR"/>
        </w:rPr>
      </w:pPr>
      <w:bookmarkStart w:id="113" w:name="_Toc49261411"/>
      <w:r>
        <w:rPr>
          <w:rtl/>
          <w:lang w:bidi="fa-IR"/>
        </w:rPr>
        <w:t>25 - بَابُ فَضْلِ الشَّهَادَةِ‌</w:t>
      </w:r>
      <w:bookmarkEnd w:id="113"/>
    </w:p>
    <w:p w:rsidR="00144FA6" w:rsidRDefault="00744A1C" w:rsidP="00744A1C">
      <w:pPr>
        <w:pStyle w:val="libNormal"/>
        <w:rPr>
          <w:rtl/>
          <w:lang w:bidi="fa-IR"/>
        </w:rPr>
      </w:pPr>
      <w:r>
        <w:rPr>
          <w:rtl/>
          <w:lang w:bidi="fa-IR"/>
        </w:rPr>
        <w:t>8308 / 1. مُحَمَّدُ بْنُ يَحْيى ، عَنْ أَحْمَدَ بْنِ مُحَمَّدٍ ، عَنْ مُحَمَّدِ بْنِ خَ</w:t>
      </w:r>
      <w:r w:rsidR="00227DC6">
        <w:rPr>
          <w:rtl/>
          <w:lang w:bidi="fa-IR"/>
        </w:rPr>
        <w:t>الِدٍ ، عَنْ سَعْدِ بْنِ سَعْدٍ</w:t>
      </w:r>
      <w:r>
        <w:rPr>
          <w:rtl/>
          <w:lang w:bidi="fa-IR"/>
        </w:rPr>
        <w:t>:</w:t>
      </w:r>
    </w:p>
    <w:p w:rsidR="00744A1C" w:rsidRDefault="00744A1C" w:rsidP="00744A1C">
      <w:pPr>
        <w:pStyle w:val="libNormal"/>
        <w:rPr>
          <w:lang w:bidi="fa-IR"/>
        </w:rPr>
      </w:pPr>
      <w:r>
        <w:rPr>
          <w:rtl/>
          <w:lang w:bidi="fa-IR"/>
        </w:rPr>
        <w:t xml:space="preserve">عَنْ أَبِي الْحَسَنِ الرِّضَا </w:t>
      </w:r>
      <w:r w:rsidR="0061079A" w:rsidRPr="0061079A">
        <w:rPr>
          <w:rStyle w:val="libAlaemChar"/>
          <w:rtl/>
        </w:rPr>
        <w:t>عليه‌السلام</w:t>
      </w:r>
      <w:r w:rsidR="00D10E3C">
        <w:rPr>
          <w:rtl/>
          <w:lang w:bidi="fa-IR"/>
        </w:rPr>
        <w:t xml:space="preserve"> </w:t>
      </w:r>
      <w:r>
        <w:rPr>
          <w:rtl/>
          <w:lang w:bidi="fa-IR"/>
        </w:rPr>
        <w:t xml:space="preserve">، قَالَ : سَأَلْتُهُ عَنْ قَوْلِ أَمِيرِ الْمُؤْمِنِينَ صَلَوَاتُ اللهِ عَلَيْهِ : « وَاللهِ ، لَأَلْفُ ضَرْبَةٍ بِالسَّيْفِ أَهْوَنُ مِنْ مَوْتٍ </w:t>
      </w:r>
      <w:r w:rsidRPr="00D10E3C">
        <w:rPr>
          <w:rStyle w:val="libFootnotenumChar"/>
          <w:rtl/>
        </w:rPr>
        <w:t>(5)</w:t>
      </w:r>
      <w:r>
        <w:rPr>
          <w:rtl/>
          <w:lang w:bidi="fa-IR"/>
        </w:rPr>
        <w:t xml:space="preserve"> عَلى فِرَاشٍ »؟</w:t>
      </w:r>
    </w:p>
    <w:p w:rsidR="00144FA6" w:rsidRDefault="00744A1C" w:rsidP="00744A1C">
      <w:pPr>
        <w:pStyle w:val="libNormal"/>
        <w:rPr>
          <w:rtl/>
          <w:lang w:bidi="fa-IR"/>
        </w:rPr>
      </w:pPr>
      <w:r>
        <w:rPr>
          <w:rtl/>
          <w:lang w:bidi="fa-IR"/>
        </w:rPr>
        <w:t xml:space="preserve">قَالَ </w:t>
      </w:r>
      <w:r w:rsidRPr="00D10E3C">
        <w:rPr>
          <w:rStyle w:val="libFootnotenumChar"/>
          <w:rtl/>
        </w:rPr>
        <w:t>(6)</w:t>
      </w:r>
      <w:r>
        <w:rPr>
          <w:rtl/>
          <w:lang w:bidi="fa-IR"/>
        </w:rPr>
        <w:t xml:space="preserve"> : « فِي سَبِيلِ اللهِ ». </w:t>
      </w:r>
      <w:r w:rsidRPr="00D10E3C">
        <w:rPr>
          <w:rStyle w:val="libFootnotenumChar"/>
          <w:rtl/>
        </w:rPr>
        <w:t>(7)</w:t>
      </w:r>
    </w:p>
    <w:p w:rsidR="00144FA6" w:rsidRDefault="00744A1C" w:rsidP="00744A1C">
      <w:pPr>
        <w:pStyle w:val="libNormal"/>
        <w:rPr>
          <w:rtl/>
          <w:lang w:bidi="fa-IR"/>
        </w:rPr>
      </w:pPr>
      <w:r>
        <w:rPr>
          <w:rtl/>
          <w:lang w:bidi="fa-IR"/>
        </w:rPr>
        <w:t>8309 / 2.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17097C" w:rsidRPr="0017097C">
        <w:rPr>
          <w:rStyle w:val="libAlaemChar"/>
          <w:rtl/>
        </w:rPr>
        <w:t>صلى‌الله‌عليه‌وآله</w:t>
      </w:r>
      <w:r w:rsidR="00D10E3C">
        <w:rPr>
          <w:rtl/>
          <w:lang w:bidi="fa-IR"/>
        </w:rPr>
        <w:t xml:space="preserve"> </w:t>
      </w:r>
      <w:r>
        <w:rPr>
          <w:rtl/>
          <w:lang w:bidi="fa-IR"/>
        </w:rPr>
        <w:t xml:space="preserve"> : فَوْقَ كُلِّ ذِي بِرٍّ بِرٌّ حَتّى يُقْتَلَ </w:t>
      </w:r>
      <w:r w:rsidRPr="00D10E3C">
        <w:rPr>
          <w:rStyle w:val="libFootnotenumChar"/>
          <w:rtl/>
        </w:rPr>
        <w:t>(8)</w:t>
      </w:r>
      <w:r>
        <w:rPr>
          <w:rtl/>
          <w:lang w:bidi="fa-IR"/>
        </w:rPr>
        <w:t xml:space="preserve"> فِي سَبِيلِ اللهِ ، فَإِذَا </w:t>
      </w:r>
      <w:r w:rsidRPr="00D10E3C">
        <w:rPr>
          <w:rStyle w:val="libFootnotenumChar"/>
          <w:rtl/>
        </w:rPr>
        <w:t>(9)</w:t>
      </w:r>
      <w:r>
        <w:rPr>
          <w:rtl/>
          <w:lang w:bidi="fa-IR"/>
        </w:rPr>
        <w:t xml:space="preserve"> قُتِلَ فِي سَبِيلِ اللهِ ، فَلَيْسَ فَوْقَهُ بِرٌّ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بث ، بس ، بف ، جد ، جن » </w:t>
      </w:r>
      <w:r w:rsidR="00744A1C" w:rsidRPr="00227DC6">
        <w:rPr>
          <w:rtl/>
        </w:rPr>
        <w:t>والوافي</w:t>
      </w:r>
      <w:r w:rsidR="00744A1C">
        <w:rPr>
          <w:rtl/>
          <w:lang w:bidi="fa-IR"/>
        </w:rPr>
        <w:t xml:space="preserve"> : - « قلت ».</w:t>
      </w:r>
    </w:p>
    <w:tbl>
      <w:tblPr>
        <w:tblStyle w:val="TableGrid"/>
        <w:bidiVisual/>
        <w:tblW w:w="0" w:type="auto"/>
        <w:tblLook w:val="04A0" w:firstRow="1" w:lastRow="0" w:firstColumn="1" w:lastColumn="0" w:noHBand="0" w:noVBand="1"/>
      </w:tblPr>
      <w:tblGrid>
        <w:gridCol w:w="4006"/>
        <w:gridCol w:w="4006"/>
      </w:tblGrid>
      <w:tr w:rsidR="00227DC6" w:rsidTr="00227DC6">
        <w:tc>
          <w:tcPr>
            <w:tcW w:w="4006" w:type="dxa"/>
          </w:tcPr>
          <w:p w:rsidR="00227DC6" w:rsidRDefault="00227DC6" w:rsidP="00E378DD">
            <w:pPr>
              <w:pStyle w:val="libFootnote0"/>
              <w:rPr>
                <w:rtl/>
                <w:lang w:bidi="fa-IR"/>
              </w:rPr>
            </w:pPr>
            <w:r>
              <w:rPr>
                <w:rtl/>
                <w:lang w:bidi="fa-IR"/>
              </w:rPr>
              <w:t>(2). في « بح » : « سفره ».</w:t>
            </w:r>
          </w:p>
        </w:tc>
        <w:tc>
          <w:tcPr>
            <w:tcW w:w="4006" w:type="dxa"/>
          </w:tcPr>
          <w:p w:rsidR="00227DC6" w:rsidRDefault="00227DC6" w:rsidP="00E378DD">
            <w:pPr>
              <w:pStyle w:val="libFootnote0"/>
              <w:rPr>
                <w:rtl/>
                <w:lang w:bidi="fa-IR"/>
              </w:rPr>
            </w:pPr>
            <w:r>
              <w:rPr>
                <w:rtl/>
                <w:lang w:bidi="fa-IR"/>
              </w:rPr>
              <w:t>(3). في « جت ، جن » : « فقال ».</w:t>
            </w:r>
          </w:p>
        </w:tc>
      </w:tr>
    </w:tbl>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15 ، ص 193 ، ح 14893 ؛ </w:t>
      </w:r>
      <w:r w:rsidR="00744A1C" w:rsidRPr="00C24F9C">
        <w:rPr>
          <w:rStyle w:val="libFootnoteBoldChar"/>
          <w:rtl/>
        </w:rPr>
        <w:t>الوسائل</w:t>
      </w:r>
      <w:r w:rsidR="00744A1C">
        <w:rPr>
          <w:rtl/>
          <w:lang w:bidi="fa-IR"/>
        </w:rPr>
        <w:t xml:space="preserve"> ، ج 15 ، ص 122 ، ح 20121.</w:t>
      </w:r>
    </w:p>
    <w:tbl>
      <w:tblPr>
        <w:tblStyle w:val="TableGrid"/>
        <w:bidiVisual/>
        <w:tblW w:w="0" w:type="auto"/>
        <w:tblLook w:val="04A0" w:firstRow="1" w:lastRow="0" w:firstColumn="1" w:lastColumn="0" w:noHBand="0" w:noVBand="1"/>
      </w:tblPr>
      <w:tblGrid>
        <w:gridCol w:w="4006"/>
        <w:gridCol w:w="4006"/>
      </w:tblGrid>
      <w:tr w:rsidR="00227DC6" w:rsidTr="00227DC6">
        <w:tc>
          <w:tcPr>
            <w:tcW w:w="4006" w:type="dxa"/>
          </w:tcPr>
          <w:p w:rsidR="00227DC6" w:rsidRDefault="00227DC6" w:rsidP="00E378DD">
            <w:pPr>
              <w:pStyle w:val="libFootnote0"/>
              <w:rPr>
                <w:rtl/>
                <w:lang w:bidi="fa-IR"/>
              </w:rPr>
            </w:pPr>
            <w:r>
              <w:rPr>
                <w:rtl/>
                <w:lang w:bidi="fa-IR"/>
              </w:rPr>
              <w:t>(5). في « بس » : + « الإنسان ».</w:t>
            </w:r>
          </w:p>
        </w:tc>
        <w:tc>
          <w:tcPr>
            <w:tcW w:w="4006" w:type="dxa"/>
          </w:tcPr>
          <w:p w:rsidR="00227DC6" w:rsidRDefault="00227DC6" w:rsidP="00E378DD">
            <w:pPr>
              <w:pStyle w:val="libFootnote0"/>
              <w:rPr>
                <w:rtl/>
                <w:lang w:bidi="fa-IR"/>
              </w:rPr>
            </w:pPr>
            <w:r>
              <w:rPr>
                <w:rtl/>
                <w:lang w:bidi="fa-IR"/>
              </w:rPr>
              <w:t xml:space="preserve">(6). في </w:t>
            </w:r>
            <w:r w:rsidRPr="00227DC6">
              <w:rPr>
                <w:rtl/>
              </w:rPr>
              <w:t>الوافي</w:t>
            </w:r>
            <w:r>
              <w:rPr>
                <w:rtl/>
                <w:lang w:bidi="fa-IR"/>
              </w:rPr>
              <w:t xml:space="preserve"> : « فقال ».</w:t>
            </w:r>
          </w:p>
        </w:tc>
      </w:tr>
    </w:tbl>
    <w:p w:rsidR="00744A1C" w:rsidRDefault="00E378DD" w:rsidP="00227DC6">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123 ، ح 215 ، معلّقاً عن البرقي ، عن سعد بن سعد الأشعري. راجع : </w:t>
      </w:r>
      <w:r w:rsidR="00744A1C" w:rsidRPr="00227DC6">
        <w:rPr>
          <w:rStyle w:val="libFootnoteBoldChar"/>
          <w:rtl/>
        </w:rPr>
        <w:t>نهج البلاغة</w:t>
      </w:r>
      <w:r w:rsidR="00744A1C">
        <w:rPr>
          <w:rtl/>
          <w:lang w:bidi="fa-IR"/>
        </w:rPr>
        <w:t xml:space="preserve"> ، ص 179 ، الخطبة 123 ؛ و</w:t>
      </w:r>
      <w:r w:rsidR="00227DC6">
        <w:rPr>
          <w:rFonts w:hint="cs"/>
          <w:rtl/>
          <w:lang w:bidi="fa-IR"/>
        </w:rPr>
        <w:t xml:space="preserve"> </w:t>
      </w:r>
      <w:r w:rsidR="00744A1C" w:rsidRPr="00227DC6">
        <w:rPr>
          <w:rStyle w:val="libFootnoteBoldChar"/>
          <w:rtl/>
        </w:rPr>
        <w:t>الجمل</w:t>
      </w:r>
      <w:r w:rsidR="00744A1C">
        <w:rPr>
          <w:rtl/>
          <w:lang w:bidi="fa-IR"/>
        </w:rPr>
        <w:t xml:space="preserve"> ، ص 358 </w:t>
      </w:r>
      <w:r w:rsidR="00227DC6">
        <w:rPr>
          <w:rFonts w:hint="cs"/>
          <w:rtl/>
          <w:lang w:bidi="fa-IR"/>
        </w:rPr>
        <w:t>.</w:t>
      </w:r>
      <w:r w:rsidR="00744A1C" w:rsidRPr="00C24F9C">
        <w:rPr>
          <w:rStyle w:val="libFootnoteBoldChar"/>
          <w:rtl/>
        </w:rPr>
        <w:t>الوافي</w:t>
      </w:r>
      <w:r w:rsidR="00744A1C">
        <w:rPr>
          <w:rtl/>
          <w:lang w:bidi="fa-IR"/>
        </w:rPr>
        <w:t xml:space="preserve"> ، ج 15 ، ص 55 ، ح 14702 ؛ </w:t>
      </w:r>
      <w:r w:rsidR="00744A1C" w:rsidRPr="00C24F9C">
        <w:rPr>
          <w:rStyle w:val="libFootnoteBoldChar"/>
          <w:rtl/>
        </w:rPr>
        <w:t>الوسائل</w:t>
      </w:r>
      <w:r w:rsidR="00744A1C">
        <w:rPr>
          <w:rtl/>
          <w:lang w:bidi="fa-IR"/>
        </w:rPr>
        <w:t xml:space="preserve"> ، ج 15 ، ص 17 ، ذيل ح 19923.</w:t>
      </w:r>
      <w:r w:rsidR="00227DC6">
        <w:rPr>
          <w:rFonts w:hint="cs"/>
          <w:rtl/>
          <w:lang w:bidi="fa-IR"/>
        </w:rPr>
        <w:t xml:space="preserve">                       </w:t>
      </w:r>
      <w:r w:rsidR="00402829">
        <w:rPr>
          <w:rFonts w:hint="cs"/>
          <w:rtl/>
          <w:lang w:bidi="fa-IR"/>
        </w:rPr>
        <w:t xml:space="preserve"> </w:t>
      </w:r>
      <w:r w:rsidR="00227DC6">
        <w:rPr>
          <w:rFonts w:hint="cs"/>
          <w:rtl/>
          <w:lang w:bidi="fa-IR"/>
        </w:rPr>
        <w:t xml:space="preserve">   </w:t>
      </w:r>
      <w:r>
        <w:rPr>
          <w:rtl/>
          <w:lang w:bidi="fa-IR"/>
        </w:rPr>
        <w:t>(8).</w:t>
      </w:r>
      <w:r w:rsidR="00744A1C">
        <w:rPr>
          <w:rtl/>
          <w:lang w:bidi="fa-IR"/>
        </w:rPr>
        <w:t xml:space="preserve"> في </w:t>
      </w:r>
      <w:r w:rsidR="00744A1C" w:rsidRPr="00227DC6">
        <w:rPr>
          <w:rtl/>
        </w:rPr>
        <w:t>الكافي</w:t>
      </w:r>
      <w:r w:rsidR="00744A1C">
        <w:rPr>
          <w:rtl/>
          <w:lang w:bidi="fa-IR"/>
        </w:rPr>
        <w:t xml:space="preserve"> ، ح 2718 والخصال : + « الرجل ».</w:t>
      </w:r>
    </w:p>
    <w:p w:rsidR="00744A1C" w:rsidRDefault="00E378DD" w:rsidP="00E378DD">
      <w:pPr>
        <w:pStyle w:val="libFootnote0"/>
        <w:rPr>
          <w:lang w:bidi="fa-IR"/>
        </w:rPr>
      </w:pPr>
      <w:r>
        <w:rPr>
          <w:rtl/>
          <w:lang w:bidi="fa-IR"/>
        </w:rPr>
        <w:t>(9).</w:t>
      </w:r>
      <w:r w:rsidR="00744A1C">
        <w:rPr>
          <w:rtl/>
          <w:lang w:bidi="fa-IR"/>
        </w:rPr>
        <w:t xml:space="preserve"> في « بف » : « وإذا ».</w:t>
      </w:r>
    </w:p>
    <w:p w:rsidR="00144FA6" w:rsidRDefault="00E378DD" w:rsidP="00E378DD">
      <w:pPr>
        <w:pStyle w:val="libFootnote0"/>
        <w:rPr>
          <w:rtl/>
          <w:lang w:bidi="fa-IR"/>
        </w:rPr>
      </w:pPr>
      <w:r>
        <w:rPr>
          <w:rtl/>
          <w:lang w:bidi="fa-IR"/>
        </w:rPr>
        <w:t>(10).</w:t>
      </w:r>
      <w:r w:rsidR="00744A1C">
        <w:rPr>
          <w:rtl/>
          <w:lang w:bidi="fa-IR"/>
        </w:rPr>
        <w:t xml:space="preserve"> </w:t>
      </w:r>
      <w:r w:rsidR="00744A1C" w:rsidRPr="0061079A">
        <w:rPr>
          <w:rStyle w:val="libFootnoteBoldChar"/>
          <w:rtl/>
        </w:rPr>
        <w:t>الكافي</w:t>
      </w:r>
      <w:r w:rsidR="00744A1C">
        <w:rPr>
          <w:rtl/>
          <w:lang w:bidi="fa-IR"/>
        </w:rPr>
        <w:t xml:space="preserve"> ، كتاب الإيمان والكفر ، باب العقوق ، ح 2718. وفي </w:t>
      </w:r>
      <w:r w:rsidR="00744A1C" w:rsidRPr="00C24F9C">
        <w:rPr>
          <w:rStyle w:val="libFootnoteBoldChar"/>
          <w:rtl/>
        </w:rPr>
        <w:t>التهذيب</w:t>
      </w:r>
      <w:r w:rsidR="00744A1C">
        <w:rPr>
          <w:rtl/>
          <w:lang w:bidi="fa-IR"/>
        </w:rPr>
        <w:t xml:space="preserve"> ، ج 6 ، ص 122 ، ح 209 ؛ والخصال ، ص 9 ، باب الواحد ، ح 31 ، بسندهما عن السكوني ،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E843EA" w:rsidRPr="00E843EA">
        <w:rPr>
          <w:rStyle w:val="libFootnoteAlaemChar"/>
          <w:rtl/>
        </w:rPr>
        <w:t>صلى‌الله‌عليه‌وآله</w:t>
      </w:r>
      <w:r w:rsidR="00744A1C">
        <w:rPr>
          <w:rtl/>
          <w:lang w:bidi="fa-IR"/>
        </w:rPr>
        <w:t xml:space="preserve"> .</w:t>
      </w:r>
      <w:r w:rsidR="00227DC6">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8310 / 3. عِدَّةٌ مِنْ أَصْحَابِنَا ، عَنْ أَحْمَدَ بْنِ مُحَمَّدِ بْنِ خَالِدٍ ، عَنْ عُثْمَانَ بْنِ عِيسى ، عَنْ عَنْبَسَةَ ، عَنْ أَبِي حَمْزَةَ ، قَالَ :</w:t>
      </w:r>
    </w:p>
    <w:p w:rsidR="00144FA6" w:rsidRDefault="00744A1C" w:rsidP="00744A1C">
      <w:pPr>
        <w:pStyle w:val="libNormal"/>
        <w:rPr>
          <w:rtl/>
          <w:lang w:bidi="fa-IR"/>
        </w:rPr>
      </w:pPr>
      <w:r>
        <w:rPr>
          <w:rtl/>
          <w:lang w:bidi="fa-IR"/>
        </w:rPr>
        <w:t xml:space="preserve">سَمِعْتُ أَبَا جَعْفَرٍ </w:t>
      </w:r>
      <w:r w:rsidR="0061079A" w:rsidRPr="0061079A">
        <w:rPr>
          <w:rStyle w:val="libAlaemChar"/>
          <w:rtl/>
        </w:rPr>
        <w:t>عليه‌السلام</w:t>
      </w:r>
      <w:r w:rsidR="00D10E3C">
        <w:rPr>
          <w:rtl/>
          <w:lang w:bidi="fa-IR"/>
        </w:rPr>
        <w:t xml:space="preserve"> </w:t>
      </w:r>
      <w:r>
        <w:rPr>
          <w:rtl/>
          <w:lang w:bidi="fa-IR"/>
        </w:rPr>
        <w:t xml:space="preserve">يَقُولُ : « إِنَّ عَلِيَّ بْنَ الْحُسَيْنِ </w:t>
      </w:r>
      <w:r w:rsidR="008859AA" w:rsidRPr="008859AA">
        <w:rPr>
          <w:rStyle w:val="libAlaemChar"/>
          <w:rtl/>
        </w:rPr>
        <w:t>عليهما‌السلام</w:t>
      </w:r>
      <w:r>
        <w:rPr>
          <w:rtl/>
          <w:lang w:bidi="fa-IR"/>
        </w:rPr>
        <w:t xml:space="preserve">كَانَ يَقُولُ : قَالَ رَسُولُ اللهِ </w:t>
      </w:r>
      <w:r w:rsidR="0017097C" w:rsidRPr="0017097C">
        <w:rPr>
          <w:rStyle w:val="libAlaemChar"/>
          <w:rtl/>
        </w:rPr>
        <w:t>صلى‌الله‌عليه‌وآله</w:t>
      </w:r>
      <w:r w:rsidR="00D10E3C">
        <w:rPr>
          <w:rtl/>
          <w:lang w:bidi="fa-IR"/>
        </w:rPr>
        <w:t xml:space="preserve"> </w:t>
      </w:r>
      <w:r>
        <w:rPr>
          <w:rtl/>
          <w:lang w:bidi="fa-IR"/>
        </w:rPr>
        <w:t xml:space="preserve">: مَا مِنْ قَطْرَةٍ أَحَبَّ إِلَى اللهِ عَزَّ وَجَلَّ مِنْ قَطْرَةِ دَمٍ فِي سَبِيلِ اللهِ ». </w:t>
      </w:r>
      <w:r w:rsidRPr="00D10E3C">
        <w:rPr>
          <w:rStyle w:val="libFootnotenumChar"/>
          <w:rtl/>
        </w:rPr>
        <w:t>(1)</w:t>
      </w:r>
    </w:p>
    <w:p w:rsidR="00144FA6" w:rsidRDefault="00744A1C" w:rsidP="00744A1C">
      <w:pPr>
        <w:pStyle w:val="libNormal"/>
        <w:rPr>
          <w:rtl/>
          <w:lang w:bidi="fa-IR"/>
        </w:rPr>
      </w:pPr>
      <w:r>
        <w:rPr>
          <w:rtl/>
          <w:lang w:bidi="fa-IR"/>
        </w:rPr>
        <w:t xml:space="preserve">8311 / 4. عَلِيُّ بْنُ إِبْرَاهِيمَ ، عَنْ أَبِيهِ ، عَنِ ابْنِ مَحْبُوبٍ رَفَعَهُ </w:t>
      </w:r>
      <w:r w:rsidRPr="00D10E3C">
        <w:rPr>
          <w:rStyle w:val="libFootnotenumChar"/>
          <w:rtl/>
        </w:rPr>
        <w:t>(2)</w:t>
      </w:r>
      <w:r>
        <w:rPr>
          <w:rtl/>
          <w:lang w:bidi="fa-IR"/>
        </w:rPr>
        <w:t xml:space="preserve"> :</w:t>
      </w:r>
    </w:p>
    <w:p w:rsidR="00744A1C" w:rsidRDefault="00744A1C" w:rsidP="00744A1C">
      <w:pPr>
        <w:pStyle w:val="libNormal"/>
        <w:rPr>
          <w:lang w:bidi="fa-IR"/>
        </w:rPr>
      </w:pPr>
      <w:r>
        <w:rPr>
          <w:rtl/>
          <w:lang w:bidi="fa-IR"/>
        </w:rPr>
        <w:t xml:space="preserve">أَنَّ أَمِيرَ الْمُؤْمِنِينَ </w:t>
      </w:r>
      <w:r w:rsidR="0061079A" w:rsidRPr="0061079A">
        <w:rPr>
          <w:rStyle w:val="libAlaemChar"/>
          <w:rtl/>
        </w:rPr>
        <w:t>عليه‌السلام</w:t>
      </w:r>
      <w:r w:rsidR="00D10E3C">
        <w:rPr>
          <w:rtl/>
          <w:lang w:bidi="fa-IR"/>
        </w:rPr>
        <w:t xml:space="preserve"> </w:t>
      </w:r>
      <w:r>
        <w:rPr>
          <w:rtl/>
          <w:lang w:bidi="fa-IR"/>
        </w:rPr>
        <w:t xml:space="preserve">خَطَبَ يَوْمَ الْجَمَلِ ، فَحَمِدَ اللهَ وَأَثْنى عَلَيْهِ ، ثُمَّ قَالَ : « أَيُّهَا النَّاسُ ، إِنِّي أَتَيْتُ هؤُلَاءِ الْقَوْمَ وَدَعَوْتُهُمْ ، وَاحْتَجَجْتُ عَلَيْهِمْ ، فَدَعَوْنِي إِلى أَنْ أَصْبِرَ لِلْجِلَادِ </w:t>
      </w:r>
      <w:r w:rsidRPr="00D10E3C">
        <w:rPr>
          <w:rStyle w:val="libFootnotenumChar"/>
          <w:rtl/>
        </w:rPr>
        <w:t>(3)</w:t>
      </w:r>
      <w:r>
        <w:rPr>
          <w:rtl/>
          <w:lang w:bidi="fa-IR"/>
        </w:rPr>
        <w:t xml:space="preserve"> ، وَأَبْرُزَ لِلطِّعَانِ </w:t>
      </w:r>
      <w:r w:rsidRPr="00D10E3C">
        <w:rPr>
          <w:rStyle w:val="libFootnotenumChar"/>
          <w:rtl/>
        </w:rPr>
        <w:t>(4)</w:t>
      </w:r>
      <w:r>
        <w:rPr>
          <w:rtl/>
          <w:lang w:bidi="fa-IR"/>
        </w:rPr>
        <w:t xml:space="preserve"> ، فَلِأُمِّهِمُ الْهَبَلُ </w:t>
      </w:r>
      <w:r w:rsidRPr="00D10E3C">
        <w:rPr>
          <w:rStyle w:val="libFootnotenumChar"/>
          <w:rtl/>
        </w:rPr>
        <w:t>(5)</w:t>
      </w:r>
      <w:r>
        <w:rPr>
          <w:rtl/>
          <w:lang w:bidi="fa-IR"/>
        </w:rPr>
        <w:t xml:space="preserve"> ، وَقَدْ </w:t>
      </w:r>
      <w:r w:rsidRPr="00D10E3C">
        <w:rPr>
          <w:rStyle w:val="libFootnotenumChar"/>
          <w:rtl/>
        </w:rPr>
        <w:t>(6)</w:t>
      </w:r>
      <w:r>
        <w:rPr>
          <w:rtl/>
          <w:lang w:bidi="fa-IR"/>
        </w:rPr>
        <w:t xml:space="preserve"> كُنْتُ وَمَا أُهَدَّدُ بِالْحَرْبِ ، وَلَا أُرْهَبُ بِالضَّرْبِ ، أَنْصَفَ الْقَارَةَ </w:t>
      </w:r>
      <w:r w:rsidRPr="00D10E3C">
        <w:rPr>
          <w:rStyle w:val="libFootnotenumChar"/>
          <w:rtl/>
        </w:rPr>
        <w:t>(7)</w:t>
      </w:r>
      <w:r>
        <w:rPr>
          <w:rtl/>
          <w:lang w:bidi="fa-IR"/>
        </w:rPr>
        <w:t xml:space="preserve"> مَنْ رَامَاهَا ، فَلِغَيْرِي فَلْيُبْرِقُوا‌</w:t>
      </w:r>
    </w:p>
    <w:p w:rsidR="00744A1C" w:rsidRDefault="00744A1C" w:rsidP="00D10E3C">
      <w:pPr>
        <w:pStyle w:val="libLine"/>
        <w:rPr>
          <w:lang w:bidi="fa-IR"/>
        </w:rPr>
      </w:pPr>
      <w:r>
        <w:rPr>
          <w:rtl/>
          <w:lang w:bidi="fa-IR"/>
        </w:rPr>
        <w:t>____________________</w:t>
      </w:r>
    </w:p>
    <w:p w:rsidR="00744A1C" w:rsidRDefault="00D44233" w:rsidP="00D10E3C">
      <w:pPr>
        <w:pStyle w:val="libFootnote0"/>
        <w:rPr>
          <w:lang w:bidi="fa-IR"/>
        </w:rPr>
      </w:pPr>
      <w:r w:rsidRPr="00D44233">
        <w:rPr>
          <w:rFonts w:hint="cs"/>
          <w:rtl/>
        </w:rPr>
        <w:t xml:space="preserve">= </w:t>
      </w:r>
      <w:r w:rsidR="00744A1C" w:rsidRPr="00877682">
        <w:rPr>
          <w:rStyle w:val="libFootnoteBoldChar"/>
          <w:rtl/>
        </w:rPr>
        <w:t>الجعفريّات</w:t>
      </w:r>
      <w:r w:rsidR="00744A1C">
        <w:rPr>
          <w:rtl/>
          <w:lang w:bidi="fa-IR"/>
        </w:rPr>
        <w:t xml:space="preserve"> ، ص 186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712C99" w:rsidRPr="00402829">
        <w:rPr>
          <w:rStyle w:val="libFootnoteAlaemChar"/>
          <w:rtl/>
        </w:rPr>
        <w:t>صلى‌الله‌عليه‌وآله</w:t>
      </w:r>
      <w:r w:rsidR="00D10E3C">
        <w:rPr>
          <w:rtl/>
          <w:lang w:bidi="fa-IR"/>
        </w:rPr>
        <w:t xml:space="preserve"> </w:t>
      </w:r>
      <w:r w:rsidR="00744A1C">
        <w:rPr>
          <w:rtl/>
          <w:lang w:bidi="fa-IR"/>
        </w:rPr>
        <w:t xml:space="preserve">، وفي كلّ المصادر مع زيادة في آخره </w:t>
      </w:r>
      <w:r w:rsidR="00BE3703">
        <w:rPr>
          <w:rFonts w:hint="cs"/>
          <w:rtl/>
          <w:lang w:bidi="fa-IR"/>
        </w:rPr>
        <w:t>.</w:t>
      </w:r>
      <w:r w:rsidR="00744A1C" w:rsidRPr="00C24F9C">
        <w:rPr>
          <w:rStyle w:val="libFootnoteBoldChar"/>
          <w:rtl/>
        </w:rPr>
        <w:t>الوافي</w:t>
      </w:r>
      <w:r w:rsidR="00744A1C">
        <w:rPr>
          <w:rtl/>
          <w:lang w:bidi="fa-IR"/>
        </w:rPr>
        <w:t xml:space="preserve"> ، ج 15 ، ص 53 ، ح 14696 ؛ </w:t>
      </w:r>
      <w:r w:rsidR="00744A1C" w:rsidRPr="00C24F9C">
        <w:rPr>
          <w:rStyle w:val="libFootnoteBoldChar"/>
          <w:rtl/>
        </w:rPr>
        <w:t>الوسائل</w:t>
      </w:r>
      <w:r w:rsidR="00744A1C">
        <w:rPr>
          <w:rtl/>
          <w:lang w:bidi="fa-IR"/>
        </w:rPr>
        <w:t xml:space="preserve"> ، ج 15 ، ص 16 ، ذيل ح 19921.</w:t>
      </w:r>
    </w:p>
    <w:p w:rsidR="00744A1C" w:rsidRDefault="00D10E3C" w:rsidP="00D10E3C">
      <w:pPr>
        <w:pStyle w:val="libFootnote0"/>
        <w:rPr>
          <w:lang w:bidi="fa-IR"/>
        </w:rPr>
      </w:pPr>
      <w:r>
        <w:rPr>
          <w:rtl/>
          <w:lang w:bidi="fa-IR"/>
        </w:rPr>
        <w:t>(1).</w:t>
      </w:r>
      <w:r w:rsidR="00744A1C">
        <w:rPr>
          <w:rtl/>
          <w:lang w:bidi="fa-IR"/>
        </w:rPr>
        <w:t xml:space="preserve"> الزهد ، ص 146 ، صدر ح 208 ، بسنده عن أبي حمزة ، عن أبي جعفر </w:t>
      </w:r>
      <w:r w:rsidR="0061079A" w:rsidRPr="0061079A">
        <w:rPr>
          <w:rStyle w:val="libFootnoteAlaemChar"/>
          <w:rtl/>
        </w:rPr>
        <w:t>عليه‌السلام</w:t>
      </w:r>
      <w:r>
        <w:rPr>
          <w:rtl/>
          <w:lang w:bidi="fa-IR"/>
        </w:rPr>
        <w:t xml:space="preserve"> </w:t>
      </w:r>
      <w:r w:rsidR="00744A1C">
        <w:rPr>
          <w:rtl/>
          <w:lang w:bidi="fa-IR"/>
        </w:rPr>
        <w:t xml:space="preserve">، من دون الإسناد إلى عليّ بن الحسين </w:t>
      </w:r>
      <w:r w:rsidR="0061079A" w:rsidRPr="0061079A">
        <w:rPr>
          <w:rStyle w:val="libFootnoteAlaemChar"/>
          <w:rtl/>
        </w:rPr>
        <w:t>عليه‌السلام</w:t>
      </w:r>
      <w:r w:rsidR="00744A1C">
        <w:rPr>
          <w:rtl/>
          <w:lang w:bidi="fa-IR"/>
        </w:rPr>
        <w:t xml:space="preserve"> . </w:t>
      </w:r>
      <w:r w:rsidR="00744A1C" w:rsidRPr="00BE3703">
        <w:rPr>
          <w:rStyle w:val="libFootnoteBoldChar"/>
          <w:rtl/>
        </w:rPr>
        <w:t>الخصال</w:t>
      </w:r>
      <w:r w:rsidR="00744A1C">
        <w:rPr>
          <w:rtl/>
          <w:lang w:bidi="fa-IR"/>
        </w:rPr>
        <w:t xml:space="preserve"> ، ص 50 ، باب الاثنين ، ضمن ح 60 ، بسند آخر عن أبي حمزة الثمالي ، عن زين العابدين </w:t>
      </w:r>
      <w:r w:rsidR="0061079A" w:rsidRPr="0061079A">
        <w:rPr>
          <w:rStyle w:val="libFootnoteAlaemChar"/>
          <w:rtl/>
        </w:rPr>
        <w:t>عليه‌السلام</w:t>
      </w:r>
      <w:r w:rsidR="00744A1C">
        <w:rPr>
          <w:rtl/>
          <w:lang w:bidi="fa-IR"/>
        </w:rPr>
        <w:t xml:space="preserve"> . </w:t>
      </w:r>
      <w:r w:rsidR="00744A1C" w:rsidRPr="006368D2">
        <w:rPr>
          <w:rStyle w:val="libFootnoteBoldChar"/>
          <w:rtl/>
        </w:rPr>
        <w:t>الأمالي للمفيد</w:t>
      </w:r>
      <w:r w:rsidR="00744A1C">
        <w:rPr>
          <w:rtl/>
          <w:lang w:bidi="fa-IR"/>
        </w:rPr>
        <w:t xml:space="preserve"> ، ص 11 ، المجلس 1 ، ضمن ح 8 ، بسنده عن أبي حمزة ، عن عليّ بن الحسين </w:t>
      </w:r>
      <w:r w:rsidR="0061079A" w:rsidRPr="0061079A">
        <w:rPr>
          <w:rStyle w:val="libFootnoteAlaemChar"/>
          <w:rtl/>
        </w:rPr>
        <w:t>عليه‌السلام</w:t>
      </w:r>
      <w:r>
        <w:rPr>
          <w:rtl/>
          <w:lang w:bidi="fa-IR"/>
        </w:rPr>
        <w:t xml:space="preserve"> </w:t>
      </w:r>
      <w:r w:rsidR="00744A1C">
        <w:rPr>
          <w:rtl/>
          <w:lang w:bidi="fa-IR"/>
        </w:rPr>
        <w:t xml:space="preserve">عن رسول الله </w:t>
      </w:r>
      <w:r w:rsidR="00E843EA" w:rsidRPr="00E843EA">
        <w:rPr>
          <w:rStyle w:val="libFootnoteAlaemChar"/>
          <w:rtl/>
        </w:rPr>
        <w:t>صلى‌الله‌عليه‌وآله</w:t>
      </w:r>
      <w:r w:rsidR="00744A1C">
        <w:rPr>
          <w:rtl/>
          <w:lang w:bidi="fa-IR"/>
        </w:rPr>
        <w:t xml:space="preserve"> . </w:t>
      </w:r>
      <w:r w:rsidR="00744A1C" w:rsidRPr="007D61A8">
        <w:rPr>
          <w:rStyle w:val="libFootnoteBoldChar"/>
          <w:rtl/>
        </w:rPr>
        <w:t>تحف العقول</w:t>
      </w:r>
      <w:r w:rsidR="00744A1C">
        <w:rPr>
          <w:rtl/>
          <w:lang w:bidi="fa-IR"/>
        </w:rPr>
        <w:t xml:space="preserve"> ، ص 219 ، ضمن الحديث ، عن أمير المؤمنين </w:t>
      </w:r>
      <w:r w:rsidR="0061079A" w:rsidRPr="0061079A">
        <w:rPr>
          <w:rStyle w:val="libFootnoteAlaemChar"/>
          <w:rtl/>
        </w:rPr>
        <w:t>عليه‌السلام</w:t>
      </w:r>
      <w:r>
        <w:rPr>
          <w:rtl/>
          <w:lang w:bidi="fa-IR"/>
        </w:rPr>
        <w:t xml:space="preserve"> </w:t>
      </w:r>
      <w:r w:rsidR="00744A1C">
        <w:rPr>
          <w:rtl/>
          <w:lang w:bidi="fa-IR"/>
        </w:rPr>
        <w:t xml:space="preserve">، وفي الثلاثة الأخيرة مع اختلاف يسير </w:t>
      </w:r>
      <w:r w:rsidR="00BE3703">
        <w:rPr>
          <w:rFonts w:hint="cs"/>
          <w:rtl/>
          <w:lang w:bidi="fa-IR"/>
        </w:rPr>
        <w:t>.</w:t>
      </w:r>
      <w:r w:rsidR="00744A1C" w:rsidRPr="00C24F9C">
        <w:rPr>
          <w:rStyle w:val="libFootnoteBoldChar"/>
          <w:rtl/>
        </w:rPr>
        <w:t>الوافي</w:t>
      </w:r>
      <w:r w:rsidR="00744A1C">
        <w:rPr>
          <w:rtl/>
          <w:lang w:bidi="fa-IR"/>
        </w:rPr>
        <w:t xml:space="preserve"> ، ج 15 ، ص 53 ، ح 14695 ؛ </w:t>
      </w:r>
      <w:r w:rsidR="00744A1C" w:rsidRPr="00C24F9C">
        <w:rPr>
          <w:rStyle w:val="libFootnoteBoldChar"/>
          <w:rtl/>
        </w:rPr>
        <w:t>الوسائل</w:t>
      </w:r>
      <w:r w:rsidR="00744A1C">
        <w:rPr>
          <w:rtl/>
          <w:lang w:bidi="fa-IR"/>
        </w:rPr>
        <w:t xml:space="preserve"> ، ج 15 ، ص 13 ، ح 19911.</w:t>
      </w:r>
    </w:p>
    <w:p w:rsidR="00744A1C" w:rsidRDefault="00E378DD" w:rsidP="00E378DD">
      <w:pPr>
        <w:pStyle w:val="libFootnote0"/>
        <w:rPr>
          <w:lang w:bidi="fa-IR"/>
        </w:rPr>
      </w:pPr>
      <w:r>
        <w:rPr>
          <w:rtl/>
          <w:lang w:bidi="fa-IR"/>
        </w:rPr>
        <w:t>(2).</w:t>
      </w:r>
      <w:r w:rsidR="00744A1C">
        <w:rPr>
          <w:rtl/>
          <w:lang w:bidi="fa-IR"/>
        </w:rPr>
        <w:t xml:space="preserve"> في « بف » : + « قال ».</w:t>
      </w:r>
    </w:p>
    <w:p w:rsidR="00744A1C" w:rsidRDefault="00E378DD" w:rsidP="00E378DD">
      <w:pPr>
        <w:pStyle w:val="libFootnote0"/>
        <w:rPr>
          <w:lang w:bidi="fa-IR"/>
        </w:rPr>
      </w:pPr>
      <w:r>
        <w:rPr>
          <w:rtl/>
          <w:lang w:bidi="fa-IR"/>
        </w:rPr>
        <w:t>(3).</w:t>
      </w:r>
      <w:r w:rsidR="00744A1C">
        <w:rPr>
          <w:rtl/>
          <w:lang w:bidi="fa-IR"/>
        </w:rPr>
        <w:t xml:space="preserve"> الجِلاد : هو الضرب بالسيف في القتال. </w:t>
      </w:r>
      <w:r w:rsidR="00744A1C" w:rsidRPr="00877682">
        <w:rPr>
          <w:rStyle w:val="libFootnoteBoldChar"/>
          <w:rtl/>
        </w:rPr>
        <w:t>النهاية</w:t>
      </w:r>
      <w:r w:rsidR="00744A1C">
        <w:rPr>
          <w:rtl/>
          <w:lang w:bidi="fa-IR"/>
        </w:rPr>
        <w:t xml:space="preserve"> ، ج 1 ، ص 285 ( جلد ).</w:t>
      </w:r>
    </w:p>
    <w:p w:rsidR="00744A1C" w:rsidRDefault="00E378DD" w:rsidP="00E378DD">
      <w:pPr>
        <w:pStyle w:val="libFootnote0"/>
        <w:rPr>
          <w:lang w:bidi="fa-IR"/>
        </w:rPr>
      </w:pPr>
      <w:r>
        <w:rPr>
          <w:rtl/>
          <w:lang w:bidi="fa-IR"/>
        </w:rPr>
        <w:t>(4).</w:t>
      </w:r>
      <w:r w:rsidR="00744A1C">
        <w:rPr>
          <w:rtl/>
          <w:lang w:bidi="fa-IR"/>
        </w:rPr>
        <w:t xml:space="preserve"> الطِّعان - بالكسر - : المضاربة بالرمح ؛ من الطعن ، وهو الضرب بالرمح. راجع : </w:t>
      </w:r>
      <w:r w:rsidR="00744A1C" w:rsidRPr="002D57AD">
        <w:rPr>
          <w:rStyle w:val="libFootnoteBoldChar"/>
          <w:rtl/>
        </w:rPr>
        <w:t>المفردات للراغب</w:t>
      </w:r>
      <w:r w:rsidR="00744A1C">
        <w:rPr>
          <w:rtl/>
          <w:lang w:bidi="fa-IR"/>
        </w:rPr>
        <w:t xml:space="preserve"> ، ص 520 ؛ </w:t>
      </w:r>
      <w:r w:rsidR="00744A1C" w:rsidRPr="00877682">
        <w:rPr>
          <w:rStyle w:val="libFootnoteBoldChar"/>
          <w:rtl/>
        </w:rPr>
        <w:t>لسان العرب</w:t>
      </w:r>
      <w:r w:rsidR="00744A1C">
        <w:rPr>
          <w:rtl/>
          <w:lang w:bidi="fa-IR"/>
        </w:rPr>
        <w:t xml:space="preserve"> ، ج 13 ، ص 267 ( طعن ).</w:t>
      </w:r>
    </w:p>
    <w:p w:rsidR="00744A1C" w:rsidRDefault="00E378DD" w:rsidP="00E378DD">
      <w:pPr>
        <w:pStyle w:val="libFootnote0"/>
        <w:rPr>
          <w:lang w:bidi="fa-IR"/>
        </w:rPr>
      </w:pPr>
      <w:r>
        <w:rPr>
          <w:rtl/>
          <w:lang w:bidi="fa-IR"/>
        </w:rPr>
        <w:t>(5).</w:t>
      </w:r>
      <w:r w:rsidR="00744A1C">
        <w:rPr>
          <w:rtl/>
          <w:lang w:bidi="fa-IR"/>
        </w:rPr>
        <w:t xml:space="preserve"> « الهَبَل » : الثُّكْل ، وهو الموت والهلاك ، وفقدان الحبيب ، وأكثر ما يستعمل في فقدان </w:t>
      </w:r>
      <w:r w:rsidR="00744A1C" w:rsidRPr="00C24F9C">
        <w:rPr>
          <w:rStyle w:val="libFootnoteBoldChar"/>
          <w:rtl/>
        </w:rPr>
        <w:t>المرأة</w:t>
      </w:r>
      <w:r w:rsidR="00744A1C">
        <w:rPr>
          <w:rtl/>
          <w:lang w:bidi="fa-IR"/>
        </w:rPr>
        <w:t xml:space="preserve"> زوجها ، أو ولدها. </w:t>
      </w:r>
      <w:r w:rsidR="00744A1C" w:rsidRPr="00877682">
        <w:rPr>
          <w:rStyle w:val="libFootnoteBoldChar"/>
          <w:rtl/>
        </w:rPr>
        <w:t>لسان العرب</w:t>
      </w:r>
      <w:r w:rsidR="00744A1C">
        <w:rPr>
          <w:rtl/>
          <w:lang w:bidi="fa-IR"/>
        </w:rPr>
        <w:t xml:space="preserve"> ، ج 11 ، ص 686 ( هبل ) ؛ وج 11 ، ص 88 ( ثكل ).</w:t>
      </w:r>
    </w:p>
    <w:p w:rsidR="00744A1C" w:rsidRDefault="00E378DD" w:rsidP="00E378DD">
      <w:pPr>
        <w:pStyle w:val="libFootnote0"/>
        <w:rPr>
          <w:lang w:bidi="fa-IR"/>
        </w:rPr>
      </w:pPr>
      <w:r>
        <w:rPr>
          <w:rtl/>
          <w:lang w:bidi="fa-IR"/>
        </w:rPr>
        <w:t>(6).</w:t>
      </w:r>
      <w:r w:rsidR="00744A1C">
        <w:rPr>
          <w:rtl/>
          <w:lang w:bidi="fa-IR"/>
        </w:rPr>
        <w:t xml:space="preserve"> في « بف ، جت ، جن » و</w:t>
      </w:r>
      <w:r w:rsidR="00744A1C" w:rsidRPr="00C24F9C">
        <w:rPr>
          <w:rStyle w:val="libFootnoteBoldChar"/>
          <w:rtl/>
        </w:rPr>
        <w:t>الوافي</w:t>
      </w:r>
      <w:r w:rsidR="00744A1C">
        <w:rPr>
          <w:rtl/>
          <w:lang w:bidi="fa-IR"/>
        </w:rPr>
        <w:t xml:space="preserve"> : « قد » بدون الواو.</w:t>
      </w:r>
    </w:p>
    <w:p w:rsidR="00144FA6" w:rsidRDefault="00E378DD" w:rsidP="00E378DD">
      <w:pPr>
        <w:pStyle w:val="libFootnote0"/>
        <w:rPr>
          <w:rtl/>
          <w:lang w:bidi="fa-IR"/>
        </w:rPr>
      </w:pPr>
      <w:r>
        <w:rPr>
          <w:rtl/>
          <w:lang w:bidi="fa-IR"/>
        </w:rPr>
        <w:t>(7).</w:t>
      </w:r>
      <w:r w:rsidR="00744A1C">
        <w:rPr>
          <w:rtl/>
          <w:lang w:bidi="fa-IR"/>
        </w:rPr>
        <w:t xml:space="preserve"> « القارة » : قبيلة من بني الهُون بن خُزيمة ، سمّوا قارة لاجتماعهم والتفافهم ، ويوصفون بالرمي. وقيل أنّ‌رجلين التقيا : أحدهما قاريّ ، والآخر أسديّ ، فقال القاريّ : إن شئت صارعتك ، وإن شئت سابقتك ، وإن شئت</w:t>
      </w:r>
      <w:r w:rsidR="00BE3703">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وَلْيُرْعِدُوا </w:t>
      </w:r>
      <w:r w:rsidRPr="00D10E3C">
        <w:rPr>
          <w:rStyle w:val="libFootnotenumChar"/>
          <w:rtl/>
        </w:rPr>
        <w:t>(1)</w:t>
      </w:r>
      <w:r>
        <w:rPr>
          <w:rtl/>
          <w:lang w:bidi="fa-IR"/>
        </w:rPr>
        <w:t xml:space="preserve"> ، فَأَنَا أَبُو الْحَسَنِ الَّذِي فَلَلْتُ </w:t>
      </w:r>
      <w:r w:rsidRPr="00D10E3C">
        <w:rPr>
          <w:rStyle w:val="libFootnotenumChar"/>
          <w:rtl/>
        </w:rPr>
        <w:t>(2)</w:t>
      </w:r>
      <w:r>
        <w:rPr>
          <w:rtl/>
          <w:lang w:bidi="fa-IR"/>
        </w:rPr>
        <w:t xml:space="preserve"> حَدَّهُمْ ، وَفَرَّقْتُ جَمَاعَتَهُمْ ، وَبِذلِكَ الْقَلْبِ أَلْقى‌ عَدُوِّي ، وَأَنَا </w:t>
      </w:r>
      <w:r w:rsidRPr="00D10E3C">
        <w:rPr>
          <w:rStyle w:val="libFootnotenumChar"/>
          <w:rtl/>
        </w:rPr>
        <w:t>(3)</w:t>
      </w:r>
      <w:r>
        <w:rPr>
          <w:rtl/>
          <w:lang w:bidi="fa-IR"/>
        </w:rPr>
        <w:t xml:space="preserve"> عَلى مَا وَعَدَنِي رَبِّي مِنَ النَّصْرِ وَالتَّأْيِيدِ وَالظَّفَرِ ، وَإِنِّي لَعَلى يَقِينٍ مِنْ رَبِّي ، وَغَيْرِ شُبْهَةٍ مِنْ أَمْرِي ؛ أَيُّهَا النَّاسُ ، إِنَّ الْمَوْتَ لَايَفُوتُهُ الْمُقِيمُ ، وَلَا يُعْجِزُهُ الْهَارِبُ ، لَيْسَ عَنِ الْمَوْتِ مَحِيصٌ </w:t>
      </w:r>
      <w:r w:rsidRPr="00D10E3C">
        <w:rPr>
          <w:rStyle w:val="libFootnotenumChar"/>
          <w:rtl/>
        </w:rPr>
        <w:t>(4)</w:t>
      </w:r>
      <w:r>
        <w:rPr>
          <w:rtl/>
          <w:lang w:bidi="fa-IR"/>
        </w:rPr>
        <w:t xml:space="preserve"> ، وَمَنْ لَمْ يَمُتْ يُقْتَلْ </w:t>
      </w:r>
      <w:r w:rsidRPr="00D10E3C">
        <w:rPr>
          <w:rStyle w:val="libFootnotenumChar"/>
          <w:rtl/>
        </w:rPr>
        <w:t>(5)</w:t>
      </w:r>
      <w:r>
        <w:rPr>
          <w:rtl/>
          <w:lang w:bidi="fa-IR"/>
        </w:rPr>
        <w:t xml:space="preserve"> ، وَإِنَّ أَفْضَلَ الْمَوْتِ الْقَتْلُ ، وَالَّذِي نَفْسِي بِيَدِهِ لَأَلْفُ ضَرْبَةٍ بِالسَّيْفِ أَهْوَنُ عَلَيَّ </w:t>
      </w:r>
      <w:r w:rsidRPr="00D10E3C">
        <w:rPr>
          <w:rStyle w:val="libFootnotenumChar"/>
          <w:rtl/>
        </w:rPr>
        <w:t>(6)</w:t>
      </w:r>
      <w:r>
        <w:rPr>
          <w:rtl/>
          <w:lang w:bidi="fa-IR"/>
        </w:rPr>
        <w:t xml:space="preserve"> مِنْ مِيتَةٍ عَلى فِرَاشٍ </w:t>
      </w:r>
      <w:r w:rsidRPr="00D10E3C">
        <w:rPr>
          <w:rStyle w:val="libFootnotenumChar"/>
          <w:rtl/>
        </w:rPr>
        <w:t>(7)</w:t>
      </w:r>
      <w:r>
        <w:rPr>
          <w:rtl/>
          <w:lang w:bidi="fa-IR"/>
        </w:rPr>
        <w:t xml:space="preserve"> ، وَاعَجَبَا لِطَلْحَةَ ، أَلَّبَ </w:t>
      </w:r>
      <w:r w:rsidRPr="00D10E3C">
        <w:rPr>
          <w:rStyle w:val="libFootnotenumChar"/>
          <w:rtl/>
        </w:rPr>
        <w:t>(8)</w:t>
      </w:r>
      <w:r>
        <w:rPr>
          <w:rtl/>
          <w:lang w:bidi="fa-IR"/>
        </w:rPr>
        <w:t xml:space="preserve"> النَّاسَ عَلَى ابْنِ عَفَّانَ حَتّى إِذَا قُتِلَ أَعْطَانِي صَفْقَتَهُ </w:t>
      </w:r>
      <w:r w:rsidRPr="00D10E3C">
        <w:rPr>
          <w:rStyle w:val="libFootnotenumChar"/>
          <w:rtl/>
        </w:rPr>
        <w:t>(9)</w:t>
      </w:r>
      <w:r>
        <w:rPr>
          <w:rtl/>
          <w:lang w:bidi="fa-IR"/>
        </w:rPr>
        <w:t xml:space="preserve"> بِيَمِينِهِ </w:t>
      </w:r>
      <w:r w:rsidRPr="00D10E3C">
        <w:rPr>
          <w:rStyle w:val="libFootnotenumChar"/>
          <w:rtl/>
        </w:rPr>
        <w:t>(10)</w:t>
      </w:r>
      <w:r>
        <w:rPr>
          <w:rtl/>
          <w:lang w:bidi="fa-IR"/>
        </w:rPr>
        <w:t xml:space="preserve"> طَائِعاً ، ثُمَّ نَكَثَ بَيْعَتِي ؛ الل</w:t>
      </w:r>
      <w:r w:rsidR="00BE3703">
        <w:rPr>
          <w:rFonts w:hint="cs"/>
          <w:rtl/>
          <w:lang w:bidi="fa-IR"/>
        </w:rPr>
        <w:t>ّ</w:t>
      </w:r>
      <w:r>
        <w:rPr>
          <w:rtl/>
          <w:lang w:bidi="fa-IR"/>
        </w:rPr>
        <w:t xml:space="preserve">هُمَّ خُذْهُ وَلَا تُمْهِلْهُ ، وَإِنَّ الزُّبَيْرَ نَكَثَ بَيْعَتِي ، وَقَطَعَ رَحِمِي ، وَظَاهَرَ عَلَيَّ عَدُوِّي ، فَاكْفِنِيهِ </w:t>
      </w:r>
      <w:r w:rsidRPr="00D10E3C">
        <w:rPr>
          <w:rStyle w:val="libFootnotenumChar"/>
          <w:rtl/>
        </w:rPr>
        <w:t>(11)</w:t>
      </w:r>
      <w:r>
        <w:rPr>
          <w:rtl/>
          <w:lang w:bidi="fa-IR"/>
        </w:rPr>
        <w:t xml:space="preserve"> الْيَوْمَ بِمَا شِئْتَ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BE3703" w:rsidP="00D10E3C">
      <w:pPr>
        <w:pStyle w:val="libFootnote0"/>
        <w:rPr>
          <w:lang w:bidi="fa-IR"/>
        </w:rPr>
      </w:pPr>
      <w:r>
        <w:rPr>
          <w:rFonts w:hint="cs"/>
          <w:rtl/>
          <w:lang w:bidi="fa-IR"/>
        </w:rPr>
        <w:t xml:space="preserve">= </w:t>
      </w:r>
      <w:r w:rsidR="00744A1C">
        <w:rPr>
          <w:rtl/>
          <w:lang w:bidi="fa-IR"/>
        </w:rPr>
        <w:t xml:space="preserve">راميتك ، فقال : اخترت المراماة فقال القاريّ : أنصفتني وأنشد : قد أنصف القارة من راماها ، إلى آخر الأبيات ، ثمّ انتزع له سهماً وشقّ فؤاده ، وصار هذا مثلاً. وقيل غير ذلك. راجع : </w:t>
      </w:r>
      <w:r w:rsidR="00744A1C" w:rsidRPr="00877682">
        <w:rPr>
          <w:rStyle w:val="libFootnoteBoldChar"/>
          <w:rtl/>
        </w:rPr>
        <w:t>لسان العرب</w:t>
      </w:r>
      <w:r w:rsidR="00744A1C">
        <w:rPr>
          <w:rtl/>
          <w:lang w:bidi="fa-IR"/>
        </w:rPr>
        <w:t xml:space="preserve"> ، ج 5 ، ص 123 ( قور ).</w:t>
      </w:r>
    </w:p>
    <w:p w:rsidR="00744A1C" w:rsidRDefault="00D10E3C" w:rsidP="00D10E3C">
      <w:pPr>
        <w:pStyle w:val="libFootnote0"/>
        <w:rPr>
          <w:lang w:bidi="fa-IR"/>
        </w:rPr>
      </w:pPr>
      <w:r>
        <w:rPr>
          <w:rtl/>
          <w:lang w:bidi="fa-IR"/>
        </w:rPr>
        <w:t>(1).</w:t>
      </w:r>
      <w:r w:rsidR="00744A1C">
        <w:rPr>
          <w:rtl/>
          <w:lang w:bidi="fa-IR"/>
        </w:rPr>
        <w:t xml:space="preserve"> يقال : أرعد الرجل وأبرق ، إذا تهدّد وأوعد. </w:t>
      </w:r>
      <w:r w:rsidR="00744A1C" w:rsidRPr="00E978C3">
        <w:rPr>
          <w:rStyle w:val="libFootnoteBoldChar"/>
          <w:rtl/>
        </w:rPr>
        <w:t>الصحاح</w:t>
      </w:r>
      <w:r w:rsidR="00744A1C">
        <w:rPr>
          <w:rtl/>
          <w:lang w:bidi="fa-IR"/>
        </w:rPr>
        <w:t xml:space="preserve"> ، ج 2 ، ص 474 ( رعد ).</w:t>
      </w:r>
    </w:p>
    <w:p w:rsidR="00744A1C" w:rsidRDefault="00E378DD" w:rsidP="00E378DD">
      <w:pPr>
        <w:pStyle w:val="libFootnote0"/>
        <w:rPr>
          <w:lang w:bidi="fa-IR"/>
        </w:rPr>
      </w:pPr>
      <w:r>
        <w:rPr>
          <w:rtl/>
          <w:lang w:bidi="fa-IR"/>
        </w:rPr>
        <w:t>(2).</w:t>
      </w:r>
      <w:r w:rsidR="00744A1C">
        <w:rPr>
          <w:rtl/>
          <w:lang w:bidi="fa-IR"/>
        </w:rPr>
        <w:t xml:space="preserve"> « فللت حدّهم » أي كسرته. وفعله من باب قتل. راجع : </w:t>
      </w:r>
      <w:r w:rsidR="00744A1C" w:rsidRPr="00E978C3">
        <w:rPr>
          <w:rStyle w:val="libFootnoteBoldChar"/>
          <w:rtl/>
        </w:rPr>
        <w:t>المصباح المنير</w:t>
      </w:r>
      <w:r w:rsidR="00744A1C">
        <w:rPr>
          <w:rtl/>
          <w:lang w:bidi="fa-IR"/>
        </w:rPr>
        <w:t xml:space="preserve"> ، ص 481 ( فلل ).</w:t>
      </w:r>
    </w:p>
    <w:p w:rsidR="00744A1C" w:rsidRDefault="00E378DD" w:rsidP="00E378DD">
      <w:pPr>
        <w:pStyle w:val="libFootnote0"/>
        <w:rPr>
          <w:lang w:bidi="fa-IR"/>
        </w:rPr>
      </w:pPr>
      <w:r>
        <w:rPr>
          <w:rtl/>
          <w:lang w:bidi="fa-IR"/>
        </w:rPr>
        <w:t>(3).</w:t>
      </w:r>
      <w:r w:rsidR="00744A1C">
        <w:rPr>
          <w:rtl/>
          <w:lang w:bidi="fa-IR"/>
        </w:rPr>
        <w:t xml:space="preserve"> في « بف » : « فأنا ».</w:t>
      </w:r>
    </w:p>
    <w:p w:rsidR="00744A1C" w:rsidRDefault="00E378DD" w:rsidP="005A5A89">
      <w:pPr>
        <w:pStyle w:val="libFootnote0"/>
        <w:rPr>
          <w:lang w:bidi="fa-IR"/>
        </w:rPr>
      </w:pPr>
      <w:r>
        <w:rPr>
          <w:rtl/>
          <w:lang w:bidi="fa-IR"/>
        </w:rPr>
        <w:t>(4).</w:t>
      </w:r>
      <w:r w:rsidR="00744A1C">
        <w:rPr>
          <w:rtl/>
          <w:lang w:bidi="fa-IR"/>
        </w:rPr>
        <w:t xml:space="preserve"> ال</w:t>
      </w:r>
      <w:r w:rsidR="005A5A89">
        <w:rPr>
          <w:rFonts w:hint="cs"/>
          <w:rtl/>
          <w:lang w:bidi="fa-IR"/>
        </w:rPr>
        <w:t>ـ</w:t>
      </w:r>
      <w:r w:rsidR="00744A1C">
        <w:rPr>
          <w:rtl/>
          <w:lang w:bidi="fa-IR"/>
        </w:rPr>
        <w:t>مَحيص : ال</w:t>
      </w:r>
      <w:r w:rsidR="005A5A89">
        <w:rPr>
          <w:rFonts w:hint="cs"/>
          <w:rtl/>
          <w:lang w:bidi="fa-IR"/>
        </w:rPr>
        <w:t>ـ</w:t>
      </w:r>
      <w:r w:rsidR="00744A1C">
        <w:rPr>
          <w:rtl/>
          <w:lang w:bidi="fa-IR"/>
        </w:rPr>
        <w:t>مَهْرَب وال</w:t>
      </w:r>
      <w:r w:rsidR="005A5A89">
        <w:rPr>
          <w:rFonts w:hint="cs"/>
          <w:rtl/>
          <w:lang w:bidi="fa-IR"/>
        </w:rPr>
        <w:t>ـ</w:t>
      </w:r>
      <w:r w:rsidR="00744A1C">
        <w:rPr>
          <w:rtl/>
          <w:lang w:bidi="fa-IR"/>
        </w:rPr>
        <w:t>مَحيد ، من الحَيْص بمعنى الحَيْد - أي العدول - والهَرَب من الشي‌ء. راجع : لسان‌العرب ، ج 7 ، ص 19 ( حيص ).</w:t>
      </w:r>
      <w:r w:rsidR="005A5A89">
        <w:rPr>
          <w:rFonts w:hint="cs"/>
          <w:rtl/>
          <w:lang w:bidi="fa-IR"/>
        </w:rPr>
        <w:t xml:space="preserve">                                </w:t>
      </w:r>
      <w:r>
        <w:rPr>
          <w:rtl/>
          <w:lang w:bidi="fa-IR"/>
        </w:rPr>
        <w:t>(5).</w:t>
      </w:r>
      <w:r w:rsidR="00744A1C">
        <w:rPr>
          <w:rtl/>
          <w:lang w:bidi="fa-IR"/>
        </w:rPr>
        <w:t xml:space="preserve"> في </w:t>
      </w:r>
      <w:r w:rsidR="00744A1C" w:rsidRPr="0061079A">
        <w:rPr>
          <w:rStyle w:val="libFootnoteBoldChar"/>
          <w:rtl/>
        </w:rPr>
        <w:t>البحار</w:t>
      </w:r>
      <w:r w:rsidR="005A5A89">
        <w:rPr>
          <w:rtl/>
          <w:lang w:bidi="fa-IR"/>
        </w:rPr>
        <w:t>:«لم يقتل،يمت»بدل</w:t>
      </w:r>
      <w:r w:rsidR="00744A1C">
        <w:rPr>
          <w:rtl/>
          <w:lang w:bidi="fa-IR"/>
        </w:rPr>
        <w:t>« لم يمت ، يقتل ».</w:t>
      </w:r>
    </w:p>
    <w:tbl>
      <w:tblPr>
        <w:tblStyle w:val="TableGrid"/>
        <w:bidiVisual/>
        <w:tblW w:w="0" w:type="auto"/>
        <w:tblLook w:val="04A0" w:firstRow="1" w:lastRow="0" w:firstColumn="1" w:lastColumn="0" w:noHBand="0" w:noVBand="1"/>
      </w:tblPr>
      <w:tblGrid>
        <w:gridCol w:w="4006"/>
        <w:gridCol w:w="4006"/>
      </w:tblGrid>
      <w:tr w:rsidR="005A5A89" w:rsidTr="005A5A89">
        <w:tc>
          <w:tcPr>
            <w:tcW w:w="4006" w:type="dxa"/>
          </w:tcPr>
          <w:p w:rsidR="005A5A89" w:rsidRDefault="005A5A89" w:rsidP="00E378DD">
            <w:pPr>
              <w:pStyle w:val="libFootnote0"/>
              <w:rPr>
                <w:rtl/>
                <w:lang w:bidi="fa-IR"/>
              </w:rPr>
            </w:pPr>
            <w:r>
              <w:rPr>
                <w:rtl/>
                <w:lang w:bidi="fa-IR"/>
              </w:rPr>
              <w:t>(6). في«ى ، بح ، بس ، جت ، جد » : - « عليّ ».</w:t>
            </w:r>
          </w:p>
        </w:tc>
        <w:tc>
          <w:tcPr>
            <w:tcW w:w="4006" w:type="dxa"/>
          </w:tcPr>
          <w:p w:rsidR="005A5A89" w:rsidRDefault="005A5A89" w:rsidP="00E378DD">
            <w:pPr>
              <w:pStyle w:val="libFootnote0"/>
              <w:rPr>
                <w:rtl/>
                <w:lang w:bidi="fa-IR"/>
              </w:rPr>
            </w:pPr>
            <w:r>
              <w:rPr>
                <w:rtl/>
                <w:lang w:bidi="fa-IR"/>
              </w:rPr>
              <w:t xml:space="preserve">(7). في </w:t>
            </w:r>
            <w:r w:rsidRPr="005A5A89">
              <w:rPr>
                <w:rtl/>
              </w:rPr>
              <w:t>البحار</w:t>
            </w:r>
            <w:r>
              <w:rPr>
                <w:rtl/>
                <w:lang w:bidi="fa-IR"/>
              </w:rPr>
              <w:t xml:space="preserve"> : « فراشي ».</w:t>
            </w:r>
          </w:p>
        </w:tc>
      </w:tr>
    </w:tbl>
    <w:p w:rsidR="00744A1C" w:rsidRDefault="00E378DD" w:rsidP="00E378DD">
      <w:pPr>
        <w:pStyle w:val="libFootnote0"/>
        <w:rPr>
          <w:lang w:bidi="fa-IR"/>
        </w:rPr>
      </w:pPr>
      <w:r>
        <w:rPr>
          <w:rtl/>
          <w:lang w:bidi="fa-IR"/>
        </w:rPr>
        <w:t>(8).</w:t>
      </w:r>
      <w:r w:rsidR="00744A1C">
        <w:rPr>
          <w:rtl/>
          <w:lang w:bidi="fa-IR"/>
        </w:rPr>
        <w:t xml:space="preserve"> التأليب : التحريض ، والتجميع. راجع : </w:t>
      </w:r>
      <w:r w:rsidR="00744A1C" w:rsidRPr="00877682">
        <w:rPr>
          <w:rStyle w:val="libFootnoteBoldChar"/>
          <w:rtl/>
        </w:rPr>
        <w:t>لسان العرب</w:t>
      </w:r>
      <w:r w:rsidR="00744A1C">
        <w:rPr>
          <w:rtl/>
          <w:lang w:bidi="fa-IR"/>
        </w:rPr>
        <w:t xml:space="preserve"> ، ج 1 ، ص 215 و 216 ( ألب ).</w:t>
      </w:r>
    </w:p>
    <w:p w:rsidR="00744A1C" w:rsidRDefault="00E378DD" w:rsidP="00E378DD">
      <w:pPr>
        <w:pStyle w:val="libFootnote0"/>
        <w:rPr>
          <w:lang w:bidi="fa-IR"/>
        </w:rPr>
      </w:pPr>
      <w:r>
        <w:rPr>
          <w:rtl/>
          <w:lang w:bidi="fa-IR"/>
        </w:rPr>
        <w:t>(9).</w:t>
      </w:r>
      <w:r w:rsidR="00744A1C">
        <w:rPr>
          <w:rtl/>
          <w:lang w:bidi="fa-IR"/>
        </w:rPr>
        <w:t xml:space="preserve"> قال ابن الأثير : « فيه : إنّ أكبر الكبائر أن تقاتل أهل صفقتك ، هو أن يعطي الرجل عهده وميثاقه ، ثمّ يقاتله ؛ لأنّ المتعاهدين يضع أحدهما يده في يد الآخر ، كما يفعل المتبايعان ، وهي المرّة من التصفيق باليدين ». </w:t>
      </w:r>
      <w:r w:rsidR="00744A1C" w:rsidRPr="00877682">
        <w:rPr>
          <w:rStyle w:val="libFootnoteBoldChar"/>
          <w:rtl/>
        </w:rPr>
        <w:t>النهاية</w:t>
      </w:r>
      <w:r w:rsidR="00744A1C">
        <w:rPr>
          <w:rtl/>
          <w:lang w:bidi="fa-IR"/>
        </w:rPr>
        <w:t xml:space="preserve"> ، ج 3 ، ص 38 ( صفق ).</w:t>
      </w:r>
    </w:p>
    <w:p w:rsidR="00744A1C" w:rsidRDefault="00E378DD" w:rsidP="00E378DD">
      <w:pPr>
        <w:pStyle w:val="libFootnote0"/>
        <w:rPr>
          <w:lang w:bidi="fa-IR"/>
        </w:rPr>
      </w:pPr>
      <w:r>
        <w:rPr>
          <w:rtl/>
          <w:lang w:bidi="fa-IR"/>
        </w:rPr>
        <w:t>(10).</w:t>
      </w:r>
      <w:r w:rsidR="00744A1C">
        <w:rPr>
          <w:rtl/>
          <w:lang w:bidi="fa-IR"/>
        </w:rPr>
        <w:t xml:space="preserve"> في « جد » وحاشية « جت » </w:t>
      </w:r>
      <w:r w:rsidR="00744A1C" w:rsidRPr="005A5A89">
        <w:rPr>
          <w:rtl/>
        </w:rPr>
        <w:t>والوافي :</w:t>
      </w:r>
      <w:r w:rsidR="00744A1C">
        <w:rPr>
          <w:rtl/>
          <w:lang w:bidi="fa-IR"/>
        </w:rPr>
        <w:t xml:space="preserve"> « صفقة بيمينه ». وفي حاشية ا</w:t>
      </w:r>
      <w:r w:rsidR="005A5A89">
        <w:rPr>
          <w:rFonts w:hint="cs"/>
          <w:rtl/>
          <w:lang w:bidi="fa-IR"/>
        </w:rPr>
        <w:t>ُ</w:t>
      </w:r>
      <w:r w:rsidR="00744A1C">
        <w:rPr>
          <w:rtl/>
          <w:lang w:bidi="fa-IR"/>
        </w:rPr>
        <w:t>خرى ل</w:t>
      </w:r>
      <w:r w:rsidR="005A5A89">
        <w:rPr>
          <w:rFonts w:hint="cs"/>
          <w:rtl/>
          <w:lang w:bidi="fa-IR"/>
        </w:rPr>
        <w:t>ـ</w:t>
      </w:r>
      <w:r w:rsidR="00744A1C">
        <w:rPr>
          <w:rtl/>
          <w:lang w:bidi="fa-IR"/>
        </w:rPr>
        <w:t xml:space="preserve"> « جت » : « صفقة يمينه ».</w:t>
      </w:r>
    </w:p>
    <w:p w:rsidR="00744A1C" w:rsidRDefault="00E378DD" w:rsidP="00E378DD">
      <w:pPr>
        <w:pStyle w:val="libFootnote0"/>
        <w:rPr>
          <w:lang w:bidi="fa-IR"/>
        </w:rPr>
      </w:pPr>
      <w:r>
        <w:rPr>
          <w:rtl/>
          <w:lang w:bidi="fa-IR"/>
        </w:rPr>
        <w:t>(11).</w:t>
      </w:r>
      <w:r w:rsidR="00744A1C">
        <w:rPr>
          <w:rtl/>
          <w:lang w:bidi="fa-IR"/>
        </w:rPr>
        <w:t xml:space="preserve"> في « بف » : « فالقِه ».</w:t>
      </w:r>
    </w:p>
    <w:p w:rsidR="00144FA6" w:rsidRDefault="00E378DD" w:rsidP="00E378DD">
      <w:pPr>
        <w:pStyle w:val="libFootnote0"/>
        <w:rPr>
          <w:rtl/>
          <w:lang w:bidi="fa-IR"/>
        </w:rPr>
      </w:pPr>
      <w:r>
        <w:rPr>
          <w:rtl/>
          <w:lang w:bidi="fa-IR"/>
        </w:rPr>
        <w:t>(12).</w:t>
      </w:r>
      <w:r w:rsidR="00744A1C">
        <w:rPr>
          <w:rtl/>
          <w:lang w:bidi="fa-IR"/>
        </w:rPr>
        <w:t xml:space="preserve"> </w:t>
      </w:r>
      <w:r w:rsidR="00744A1C" w:rsidRPr="000B1C3F">
        <w:rPr>
          <w:rStyle w:val="libFootnoteBoldChar"/>
          <w:rtl/>
        </w:rPr>
        <w:t>الأمالي للطوسي</w:t>
      </w:r>
      <w:r w:rsidR="00744A1C">
        <w:rPr>
          <w:rtl/>
          <w:lang w:bidi="fa-IR"/>
        </w:rPr>
        <w:t xml:space="preserve"> ، ص 169 ، المجلس 6 ، ح 36 ، بسند آخر عن أمير المؤمنين </w:t>
      </w:r>
      <w:r w:rsidR="0061079A" w:rsidRPr="0061079A">
        <w:rPr>
          <w:rStyle w:val="libFootnoteAlaemChar"/>
          <w:rtl/>
        </w:rPr>
        <w:t>عليه‌السلام</w:t>
      </w:r>
      <w:r w:rsidR="00D10E3C">
        <w:rPr>
          <w:rtl/>
          <w:lang w:bidi="fa-IR"/>
        </w:rPr>
        <w:t xml:space="preserve"> </w:t>
      </w:r>
      <w:r w:rsidR="00744A1C">
        <w:rPr>
          <w:rtl/>
          <w:lang w:bidi="fa-IR"/>
        </w:rPr>
        <w:t>، مع زيادة. وفيه ، ص 216 ، المجلس 8 ، ح 28 ؛ ونهج البلاغة ، ص 179 ، الخطبة 123 ؛ و</w:t>
      </w:r>
      <w:r w:rsidR="00744A1C" w:rsidRPr="002D57AD">
        <w:rPr>
          <w:rStyle w:val="libFootnoteBoldChar"/>
          <w:rtl/>
        </w:rPr>
        <w:t>الإرشاد</w:t>
      </w:r>
      <w:r w:rsidR="00744A1C">
        <w:rPr>
          <w:rtl/>
          <w:lang w:bidi="fa-IR"/>
        </w:rPr>
        <w:t xml:space="preserve"> ، ج 1 ، ص 238 ، مرسلاً عن أمير المؤمنين </w:t>
      </w:r>
      <w:r w:rsidR="0061079A" w:rsidRPr="0061079A">
        <w:rPr>
          <w:rStyle w:val="libFootnoteAlaemChar"/>
          <w:rtl/>
        </w:rPr>
        <w:t>عليه‌السلام</w:t>
      </w:r>
      <w:r w:rsidR="00D10E3C">
        <w:rPr>
          <w:rtl/>
          <w:lang w:bidi="fa-IR"/>
        </w:rPr>
        <w:t xml:space="preserve"> </w:t>
      </w:r>
      <w:r w:rsidR="00744A1C">
        <w:rPr>
          <w:rtl/>
          <w:lang w:bidi="fa-IR"/>
        </w:rPr>
        <w:t>، من قوله : « أيّها الناس إنّ الموت لا يفوته المقيم » إلى قوله : « من ميتة على فراش » وفي كلّ</w:t>
      </w:r>
      <w:r w:rsidR="005A5A89">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8312 / 5.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قِيلَ لِلنَّبِيِّ </w:t>
      </w:r>
      <w:r w:rsidR="00B7470D" w:rsidRPr="00B7470D">
        <w:rPr>
          <w:rStyle w:val="libAlaemChar"/>
          <w:rtl/>
        </w:rPr>
        <w:t>صلى‌الله‌عليه‌وآله</w:t>
      </w:r>
      <w:r w:rsidR="00D10E3C">
        <w:rPr>
          <w:rtl/>
          <w:lang w:bidi="fa-IR"/>
        </w:rPr>
        <w:t xml:space="preserve"> </w:t>
      </w:r>
      <w:r>
        <w:rPr>
          <w:rtl/>
          <w:lang w:bidi="fa-IR"/>
        </w:rPr>
        <w:t xml:space="preserve">: مَا بَالُ الشَّهِيدِ لَايُفْتَنُ فِي قَبْرِهِ؟ فَقَالَ </w:t>
      </w:r>
      <w:r w:rsidRPr="00D10E3C">
        <w:rPr>
          <w:rStyle w:val="libFootnotenumChar"/>
          <w:rtl/>
        </w:rPr>
        <w:t>(1)</w:t>
      </w:r>
      <w:r>
        <w:rPr>
          <w:rtl/>
          <w:lang w:bidi="fa-IR"/>
        </w:rPr>
        <w:t xml:space="preserve"> </w:t>
      </w:r>
      <w:r w:rsidR="000F3F68" w:rsidRPr="000F3F68">
        <w:rPr>
          <w:rStyle w:val="libAlaemChar"/>
          <w:rtl/>
        </w:rPr>
        <w:t>صلى‌الله‌عليه‌وآله</w:t>
      </w:r>
      <w:r w:rsidR="00D10E3C">
        <w:rPr>
          <w:rtl/>
          <w:lang w:bidi="fa-IR"/>
        </w:rPr>
        <w:t xml:space="preserve"> </w:t>
      </w:r>
      <w:r>
        <w:rPr>
          <w:rtl/>
          <w:lang w:bidi="fa-IR"/>
        </w:rPr>
        <w:t xml:space="preserve">: كَفى بِالْبَارِقَةِ </w:t>
      </w:r>
      <w:r w:rsidRPr="00D10E3C">
        <w:rPr>
          <w:rStyle w:val="libFootnotenumChar"/>
          <w:rtl/>
        </w:rPr>
        <w:t>(2)</w:t>
      </w:r>
      <w:r>
        <w:rPr>
          <w:rtl/>
          <w:lang w:bidi="fa-IR"/>
        </w:rPr>
        <w:t xml:space="preserve"> فَوْقَ رَأْسِهِ فِتْنَةً ». </w:t>
      </w:r>
      <w:r w:rsidRPr="00D10E3C">
        <w:rPr>
          <w:rStyle w:val="libFootnotenumChar"/>
          <w:rtl/>
        </w:rPr>
        <w:t>(3)</w:t>
      </w:r>
    </w:p>
    <w:p w:rsidR="00144FA6" w:rsidRDefault="00744A1C" w:rsidP="00744A1C">
      <w:pPr>
        <w:pStyle w:val="libNormal"/>
        <w:rPr>
          <w:rtl/>
          <w:lang w:bidi="fa-IR"/>
        </w:rPr>
      </w:pPr>
      <w:r>
        <w:rPr>
          <w:rtl/>
          <w:lang w:bidi="fa-IR"/>
        </w:rPr>
        <w:t>8313 / 6. الْحُسَيْنُ بْنُ مُحَمَّدٍ ، عَنْ أَحْمَدَ بْنِ إِسْحَاقَ ، عَنْ سَعْدَانَ ، عَنْ أَبِي بَصِيرٍ ، قَالَ :</w:t>
      </w:r>
    </w:p>
    <w:p w:rsidR="00144FA6" w:rsidRDefault="00744A1C" w:rsidP="00744A1C">
      <w:pPr>
        <w:pStyle w:val="libNormal"/>
        <w:rPr>
          <w:rtl/>
          <w:lang w:bidi="fa-IR"/>
        </w:rPr>
      </w:pPr>
      <w:r>
        <w:rPr>
          <w:rtl/>
          <w:lang w:bidi="fa-IR"/>
        </w:rPr>
        <w:t xml:space="preserve">قَالَ أَبُو عَبْدِ اللهِ </w:t>
      </w:r>
      <w:r w:rsidR="004F26EE" w:rsidRPr="004F26EE">
        <w:rPr>
          <w:rStyle w:val="libAlaemChar"/>
          <w:rtl/>
        </w:rPr>
        <w:t>عليه‌السلام</w:t>
      </w:r>
      <w:r w:rsidR="00D10E3C">
        <w:rPr>
          <w:rtl/>
          <w:lang w:bidi="fa-IR"/>
        </w:rPr>
        <w:t xml:space="preserve"> </w:t>
      </w:r>
      <w:r>
        <w:rPr>
          <w:rtl/>
          <w:lang w:bidi="fa-IR"/>
        </w:rPr>
        <w:t xml:space="preserve">: « مَنْ قُتِلَ فِي سَبِيلِ اللهِ ، لَمْ يُعَرِّفْهُ اللهُ شَيْئاً مِنْ سَيِّئَاتِهِ ». </w:t>
      </w:r>
      <w:r w:rsidRPr="00D10E3C">
        <w:rPr>
          <w:rStyle w:val="libFootnotenumChar"/>
          <w:rtl/>
        </w:rPr>
        <w:t>(4)</w:t>
      </w:r>
    </w:p>
    <w:p w:rsidR="00144FA6" w:rsidRDefault="00744A1C" w:rsidP="00744A1C">
      <w:pPr>
        <w:pStyle w:val="libNormal"/>
        <w:rPr>
          <w:rtl/>
          <w:lang w:bidi="fa-IR"/>
        </w:rPr>
      </w:pPr>
      <w:r>
        <w:rPr>
          <w:rtl/>
          <w:lang w:bidi="fa-IR"/>
        </w:rPr>
        <w:t>8314 / 7. مُحَمَّدُ بْنُ يَحْيى ، عَنْ مُحَمَّدِ بْنِ الْحُسَيْنِ ، عَنْ عَلِيِّ بْنِ النُّع</w:t>
      </w:r>
      <w:r w:rsidR="00A143B4">
        <w:rPr>
          <w:rtl/>
          <w:lang w:bidi="fa-IR"/>
        </w:rPr>
        <w:t>ْمَانِ ، عَنْ سُوَيْدٍ الْقَل</w:t>
      </w:r>
      <w:r w:rsidR="00A143B4">
        <w:rPr>
          <w:rFonts w:hint="cs"/>
          <w:rtl/>
          <w:lang w:bidi="fa-IR"/>
        </w:rPr>
        <w:t>َّ</w:t>
      </w:r>
      <w:r w:rsidR="00A143B4">
        <w:rPr>
          <w:rtl/>
          <w:lang w:bidi="fa-IR"/>
        </w:rPr>
        <w:t>ا</w:t>
      </w:r>
      <w:r>
        <w:rPr>
          <w:rtl/>
          <w:lang w:bidi="fa-IR"/>
        </w:rPr>
        <w:t xml:space="preserve">ءِ </w:t>
      </w:r>
      <w:r w:rsidRPr="00D10E3C">
        <w:rPr>
          <w:rStyle w:val="libFootnotenumChar"/>
          <w:rtl/>
        </w:rPr>
        <w:t>(5)</w:t>
      </w:r>
      <w:r>
        <w:rPr>
          <w:rtl/>
          <w:lang w:bidi="fa-IR"/>
        </w:rPr>
        <w:t xml:space="preserve"> ، عَنْ سَمَاعَةَ </w:t>
      </w:r>
      <w:r w:rsidRPr="00D10E3C">
        <w:rPr>
          <w:rStyle w:val="libFootnotenumChar"/>
          <w:rtl/>
        </w:rPr>
        <w:t>(6)</w:t>
      </w:r>
      <w:r>
        <w:rPr>
          <w:rtl/>
          <w:lang w:bidi="fa-IR"/>
        </w:rPr>
        <w:t xml:space="preserve"> ، عَنْ أَبِي بَصِيرٍ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أَيُّ الْجِهَادِ أَفْضَلُ؟</w:t>
      </w:r>
    </w:p>
    <w:p w:rsidR="00144FA6" w:rsidRDefault="00744A1C" w:rsidP="00744A1C">
      <w:pPr>
        <w:pStyle w:val="libNormal"/>
        <w:rPr>
          <w:rtl/>
          <w:lang w:bidi="fa-IR"/>
        </w:rPr>
      </w:pPr>
      <w:r>
        <w:rPr>
          <w:rtl/>
          <w:lang w:bidi="fa-IR"/>
        </w:rPr>
        <w:t xml:space="preserve">قَالَ </w:t>
      </w:r>
      <w:r w:rsidRPr="00D10E3C">
        <w:rPr>
          <w:rStyle w:val="libFootnotenumChar"/>
          <w:rtl/>
        </w:rPr>
        <w:t>(7)</w:t>
      </w:r>
      <w:r>
        <w:rPr>
          <w:rtl/>
          <w:lang w:bidi="fa-IR"/>
        </w:rPr>
        <w:t xml:space="preserve"> : « مَنْ عُقِرَ </w:t>
      </w:r>
      <w:r w:rsidRPr="00D10E3C">
        <w:rPr>
          <w:rStyle w:val="libFootnotenumChar"/>
          <w:rtl/>
        </w:rPr>
        <w:t>(8)</w:t>
      </w:r>
      <w:r>
        <w:rPr>
          <w:rtl/>
          <w:lang w:bidi="fa-IR"/>
        </w:rPr>
        <w:t xml:space="preserve"> جَوَادُهُ ، وَأُهَرِيقَ دَمُهُ فِي سَبِيلِ اللهِ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27199A" w:rsidP="00D10E3C">
      <w:pPr>
        <w:pStyle w:val="libFootnote0"/>
        <w:rPr>
          <w:lang w:bidi="fa-IR"/>
        </w:rPr>
      </w:pPr>
      <w:r>
        <w:rPr>
          <w:rFonts w:hint="cs"/>
          <w:rtl/>
          <w:lang w:bidi="fa-IR"/>
        </w:rPr>
        <w:t xml:space="preserve">= </w:t>
      </w:r>
      <w:r w:rsidR="00744A1C">
        <w:rPr>
          <w:rtl/>
          <w:lang w:bidi="fa-IR"/>
        </w:rPr>
        <w:t xml:space="preserve">المصادر مع اختلاف يسير </w:t>
      </w:r>
      <w:r w:rsidR="00E56519">
        <w:rPr>
          <w:rFonts w:hint="cs"/>
          <w:rtl/>
          <w:lang w:bidi="fa-IR"/>
        </w:rPr>
        <w:t>.</w:t>
      </w:r>
      <w:r w:rsidR="00744A1C" w:rsidRPr="00C24F9C">
        <w:rPr>
          <w:rStyle w:val="libFootnoteBoldChar"/>
          <w:rtl/>
        </w:rPr>
        <w:t>الوافي</w:t>
      </w:r>
      <w:r w:rsidR="00744A1C">
        <w:rPr>
          <w:rtl/>
          <w:lang w:bidi="fa-IR"/>
        </w:rPr>
        <w:t xml:space="preserve"> ، ج 15 ، ص 161 ، ح 14844 ؛ </w:t>
      </w:r>
      <w:r w:rsidR="00744A1C" w:rsidRPr="00C24F9C">
        <w:rPr>
          <w:rStyle w:val="libFootnoteBoldChar"/>
          <w:rtl/>
        </w:rPr>
        <w:t>الوسائل</w:t>
      </w:r>
      <w:r w:rsidR="00744A1C">
        <w:rPr>
          <w:rtl/>
          <w:lang w:bidi="fa-IR"/>
        </w:rPr>
        <w:t xml:space="preserve"> ، ج 15 ، ص 14 ، ح 19912 ، إلى قوله : « من ميتة على فراش » ؛ </w:t>
      </w:r>
      <w:r w:rsidR="00744A1C" w:rsidRPr="0061079A">
        <w:rPr>
          <w:rStyle w:val="libFootnoteBoldChar"/>
          <w:rtl/>
        </w:rPr>
        <w:t>البحار</w:t>
      </w:r>
      <w:r w:rsidR="00744A1C">
        <w:rPr>
          <w:rtl/>
          <w:lang w:bidi="fa-IR"/>
        </w:rPr>
        <w:t xml:space="preserve"> ، ج 32 ، ص 193 ، ح 142.</w:t>
      </w:r>
    </w:p>
    <w:p w:rsidR="00744A1C" w:rsidRDefault="00D10E3C" w:rsidP="00D10E3C">
      <w:pPr>
        <w:pStyle w:val="libFootnote0"/>
        <w:rPr>
          <w:lang w:bidi="fa-IR"/>
        </w:rPr>
      </w:pPr>
      <w:r>
        <w:rPr>
          <w:rtl/>
          <w:lang w:bidi="fa-IR"/>
        </w:rPr>
        <w:t>(1).</w:t>
      </w:r>
      <w:r w:rsidR="00744A1C">
        <w:rPr>
          <w:rtl/>
          <w:lang w:bidi="fa-IR"/>
        </w:rPr>
        <w:t xml:space="preserve"> هكذا في « ى ، بث ، بح ، بف ، جت ، جد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وفي « بس » والمطبوع : + « النبيّ ». وفي </w:t>
      </w:r>
      <w:r w:rsidR="00744A1C" w:rsidRPr="00C24F9C">
        <w:rPr>
          <w:rStyle w:val="libFootnoteBoldChar"/>
          <w:rtl/>
        </w:rPr>
        <w:t>الوسائل</w:t>
      </w:r>
      <w:r w:rsidR="00744A1C">
        <w:rPr>
          <w:rtl/>
          <w:lang w:bidi="fa-IR"/>
        </w:rPr>
        <w:t xml:space="preserve"> : « قال » بدل « فقال ».</w:t>
      </w:r>
    </w:p>
    <w:p w:rsidR="00744A1C" w:rsidRDefault="00E378DD" w:rsidP="00E378DD">
      <w:pPr>
        <w:pStyle w:val="libFootnote0"/>
        <w:rPr>
          <w:lang w:bidi="fa-IR"/>
        </w:rPr>
      </w:pPr>
      <w:r>
        <w:rPr>
          <w:rtl/>
          <w:lang w:bidi="fa-IR"/>
        </w:rPr>
        <w:t>(2).</w:t>
      </w:r>
      <w:r w:rsidR="00744A1C">
        <w:rPr>
          <w:rtl/>
          <w:lang w:bidi="fa-IR"/>
        </w:rPr>
        <w:t xml:space="preserve"> البارقة : السيوف ، على التشبيه بها لبياضها. </w:t>
      </w:r>
      <w:r w:rsidR="00744A1C" w:rsidRPr="00877682">
        <w:rPr>
          <w:rStyle w:val="libFootnoteBoldChar"/>
          <w:rtl/>
        </w:rPr>
        <w:t>لسان العرب</w:t>
      </w:r>
      <w:r w:rsidR="00744A1C">
        <w:rPr>
          <w:rtl/>
          <w:lang w:bidi="fa-IR"/>
        </w:rPr>
        <w:t xml:space="preserve"> ، ج 10 ، ص 15 ( برق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15 ، ص 53 ، ح 14697 ؛ </w:t>
      </w:r>
      <w:r w:rsidR="00744A1C" w:rsidRPr="00C24F9C">
        <w:rPr>
          <w:rStyle w:val="libFootnoteBoldChar"/>
          <w:rtl/>
        </w:rPr>
        <w:t>الوسائل</w:t>
      </w:r>
      <w:r w:rsidR="00744A1C">
        <w:rPr>
          <w:rtl/>
          <w:lang w:bidi="fa-IR"/>
        </w:rPr>
        <w:t xml:space="preserve"> ، ج 15 ، ص 11 ، ح 19906.</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15 ، ص 54 ، ح 14698 ؛ </w:t>
      </w:r>
      <w:r w:rsidR="00744A1C" w:rsidRPr="00C24F9C">
        <w:rPr>
          <w:rStyle w:val="libFootnoteBoldChar"/>
          <w:rtl/>
        </w:rPr>
        <w:t>الوسائل</w:t>
      </w:r>
      <w:r w:rsidR="00744A1C">
        <w:rPr>
          <w:rtl/>
          <w:lang w:bidi="fa-IR"/>
        </w:rPr>
        <w:t xml:space="preserve"> ، ج 15 ، ص 16 ، ح 19919.</w:t>
      </w:r>
    </w:p>
    <w:p w:rsidR="00744A1C" w:rsidRDefault="00E378DD" w:rsidP="00E378DD">
      <w:pPr>
        <w:pStyle w:val="libFootnote0"/>
        <w:rPr>
          <w:lang w:bidi="fa-IR"/>
        </w:rPr>
      </w:pPr>
      <w:r>
        <w:rPr>
          <w:rtl/>
          <w:lang w:bidi="fa-IR"/>
        </w:rPr>
        <w:t>(5).</w:t>
      </w:r>
      <w:r w:rsidR="00744A1C">
        <w:rPr>
          <w:rtl/>
          <w:lang w:bidi="fa-IR"/>
        </w:rPr>
        <w:t xml:space="preserve"> هكذا في الطبعة الحجريّة. وفي « ى ، بث ، بح ، بس ، بف ، جت ، جد ، جن » والمطبوع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 القلانسي ». والصواب ما أثبتناه كما تقدّم في ذيل ح 8226 ، فلاحظ.</w:t>
      </w:r>
    </w:p>
    <w:tbl>
      <w:tblPr>
        <w:tblStyle w:val="TableGrid"/>
        <w:bidiVisual/>
        <w:tblW w:w="0" w:type="auto"/>
        <w:tblLook w:val="04A0" w:firstRow="1" w:lastRow="0" w:firstColumn="1" w:lastColumn="0" w:noHBand="0" w:noVBand="1"/>
      </w:tblPr>
      <w:tblGrid>
        <w:gridCol w:w="4006"/>
        <w:gridCol w:w="4006"/>
      </w:tblGrid>
      <w:tr w:rsidR="00E56519" w:rsidTr="00E56519">
        <w:tc>
          <w:tcPr>
            <w:tcW w:w="4006" w:type="dxa"/>
          </w:tcPr>
          <w:p w:rsidR="00E56519" w:rsidRDefault="00E56519" w:rsidP="00E378DD">
            <w:pPr>
              <w:pStyle w:val="libFootnote0"/>
              <w:rPr>
                <w:rtl/>
                <w:lang w:bidi="fa-IR"/>
              </w:rPr>
            </w:pPr>
            <w:r>
              <w:rPr>
                <w:rtl/>
                <w:lang w:bidi="fa-IR"/>
              </w:rPr>
              <w:t xml:space="preserve">(6). في </w:t>
            </w:r>
            <w:r w:rsidRPr="00E56519">
              <w:rPr>
                <w:rtl/>
              </w:rPr>
              <w:t>الوسائل</w:t>
            </w:r>
            <w:r>
              <w:rPr>
                <w:rtl/>
                <w:lang w:bidi="fa-IR"/>
              </w:rPr>
              <w:t xml:space="preserve"> : - « عن سماعة ».</w:t>
            </w:r>
          </w:p>
        </w:tc>
        <w:tc>
          <w:tcPr>
            <w:tcW w:w="4006" w:type="dxa"/>
          </w:tcPr>
          <w:p w:rsidR="00E56519" w:rsidRDefault="00E56519" w:rsidP="00E378DD">
            <w:pPr>
              <w:pStyle w:val="libFootnote0"/>
              <w:rPr>
                <w:rtl/>
                <w:lang w:bidi="fa-IR"/>
              </w:rPr>
            </w:pPr>
            <w:r>
              <w:rPr>
                <w:rtl/>
                <w:lang w:bidi="fa-IR"/>
              </w:rPr>
              <w:t xml:space="preserve">(7). في </w:t>
            </w:r>
            <w:r w:rsidRPr="00E56519">
              <w:rPr>
                <w:rtl/>
              </w:rPr>
              <w:t>الوسائل</w:t>
            </w:r>
            <w:r>
              <w:rPr>
                <w:rtl/>
                <w:lang w:bidi="fa-IR"/>
              </w:rPr>
              <w:t xml:space="preserve"> : « فقال ».</w:t>
            </w:r>
          </w:p>
        </w:tc>
      </w:tr>
    </w:tbl>
    <w:p w:rsidR="00744A1C" w:rsidRDefault="00E378DD" w:rsidP="00E378DD">
      <w:pPr>
        <w:pStyle w:val="libFootnote0"/>
        <w:rPr>
          <w:lang w:bidi="fa-IR"/>
        </w:rPr>
      </w:pPr>
      <w:r>
        <w:rPr>
          <w:rtl/>
          <w:lang w:bidi="fa-IR"/>
        </w:rPr>
        <w:t>(8).</w:t>
      </w:r>
      <w:r w:rsidR="00744A1C">
        <w:rPr>
          <w:rtl/>
          <w:lang w:bidi="fa-IR"/>
        </w:rPr>
        <w:t xml:space="preserve"> عَقَر الفَرَس والبعيرَ بالسيف عَقْراً : قطع قوائمه. </w:t>
      </w:r>
      <w:r w:rsidR="00744A1C" w:rsidRPr="00877682">
        <w:rPr>
          <w:rStyle w:val="libFootnoteBoldChar"/>
          <w:rtl/>
        </w:rPr>
        <w:t>لسان العرب</w:t>
      </w:r>
      <w:r w:rsidR="00744A1C">
        <w:rPr>
          <w:rtl/>
          <w:lang w:bidi="fa-IR"/>
        </w:rPr>
        <w:t xml:space="preserve"> ، ج 4 ، ص 592 ( عقر ).</w:t>
      </w:r>
    </w:p>
    <w:p w:rsidR="00144FA6" w:rsidRDefault="00E378DD" w:rsidP="00E378DD">
      <w:pPr>
        <w:pStyle w:val="libFootnote0"/>
        <w:rPr>
          <w:rtl/>
          <w:lang w:bidi="fa-IR"/>
        </w:rPr>
      </w:pPr>
      <w:r>
        <w:rPr>
          <w:rtl/>
          <w:lang w:bidi="fa-IR"/>
        </w:rPr>
        <w:t>(9).</w:t>
      </w:r>
      <w:r w:rsidR="00744A1C">
        <w:rPr>
          <w:rtl/>
          <w:lang w:bidi="fa-IR"/>
        </w:rPr>
        <w:t xml:space="preserve"> </w:t>
      </w:r>
      <w:r w:rsidR="00744A1C" w:rsidRPr="00E56519">
        <w:rPr>
          <w:rStyle w:val="libFootnoteBoldChar"/>
          <w:rtl/>
        </w:rPr>
        <w:t>كفاية الأثر</w:t>
      </w:r>
      <w:r w:rsidR="00744A1C">
        <w:rPr>
          <w:rtl/>
          <w:lang w:bidi="fa-IR"/>
        </w:rPr>
        <w:t xml:space="preserve"> ، ص 250 ، ضمن الحديث الطويل ، بسند آخر عن الباقر </w:t>
      </w:r>
      <w:r w:rsidR="0061079A" w:rsidRPr="0061079A">
        <w:rPr>
          <w:rStyle w:val="libFootnoteAlaemChar"/>
          <w:rtl/>
        </w:rPr>
        <w:t>عليه‌السلام</w:t>
      </w:r>
      <w:r w:rsidR="00744A1C">
        <w:rPr>
          <w:rtl/>
          <w:lang w:bidi="fa-IR"/>
        </w:rPr>
        <w:t xml:space="preserve"> . وفي الخصال ، ص 523 ، أبواب العشرين ، ضمن الحديث الطويل 13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332 ، ضمن الحديث الطويل 1 ؛ و</w:t>
      </w:r>
      <w:r w:rsidR="00E56519">
        <w:rPr>
          <w:rFonts w:hint="cs"/>
          <w:rtl/>
          <w:lang w:bidi="fa-IR"/>
        </w:rPr>
        <w:t xml:space="preserve"> </w:t>
      </w:r>
      <w:r w:rsidR="00744A1C" w:rsidRPr="000B1C3F">
        <w:rPr>
          <w:rStyle w:val="libFootnoteBoldChar"/>
          <w:rtl/>
        </w:rPr>
        <w:t>الأمالي للطوسي</w:t>
      </w:r>
      <w:r w:rsidR="00744A1C">
        <w:rPr>
          <w:rtl/>
          <w:lang w:bidi="fa-IR"/>
        </w:rPr>
        <w:t xml:space="preserve"> ، ص 539 ، المجلس 19 ، ضمن الحديث الطويل 2 ، بسند آخر عن رسول الله </w:t>
      </w:r>
      <w:r w:rsidR="00F90866" w:rsidRPr="00F90866">
        <w:rPr>
          <w:rStyle w:val="libFootnoteAlaemChar"/>
          <w:rtl/>
        </w:rPr>
        <w:t>صلى‌الله‌عليه‌وآله</w:t>
      </w:r>
      <w:r w:rsidR="00744A1C">
        <w:rPr>
          <w:rtl/>
          <w:lang w:bidi="fa-IR"/>
        </w:rPr>
        <w:t xml:space="preserve">. وراجع : </w:t>
      </w:r>
      <w:r w:rsidR="00744A1C" w:rsidRPr="0061079A">
        <w:rPr>
          <w:rStyle w:val="libFootnoteBoldChar"/>
          <w:rtl/>
        </w:rPr>
        <w:t>الكافي</w:t>
      </w:r>
      <w:r w:rsidR="00744A1C">
        <w:rPr>
          <w:rtl/>
          <w:lang w:bidi="fa-IR"/>
        </w:rPr>
        <w:t xml:space="preserve"> ،</w:t>
      </w:r>
      <w:r w:rsidR="00E56519">
        <w:rPr>
          <w:rFonts w:hint="cs"/>
          <w:rtl/>
          <w:lang w:bidi="fa-IR"/>
        </w:rPr>
        <w:t>=</w:t>
      </w:r>
    </w:p>
    <w:p w:rsidR="006A5060" w:rsidRDefault="006A5060" w:rsidP="00D10E3C">
      <w:pPr>
        <w:pStyle w:val="libNormal"/>
        <w:rPr>
          <w:rtl/>
          <w:lang w:bidi="fa-IR"/>
        </w:rPr>
      </w:pPr>
      <w:r>
        <w:rPr>
          <w:rtl/>
          <w:lang w:bidi="fa-IR"/>
        </w:rPr>
        <w:br w:type="page"/>
      </w:r>
    </w:p>
    <w:p w:rsidR="00744A1C" w:rsidRDefault="00744A1C" w:rsidP="00E56519">
      <w:pPr>
        <w:pStyle w:val="Heading2Center"/>
        <w:rPr>
          <w:lang w:bidi="fa-IR"/>
        </w:rPr>
      </w:pPr>
      <w:bookmarkStart w:id="114" w:name="_Toc49261412"/>
      <w:r>
        <w:rPr>
          <w:rtl/>
          <w:lang w:bidi="fa-IR"/>
        </w:rPr>
        <w:t>26 - بَابٌ‌</w:t>
      </w:r>
      <w:bookmarkEnd w:id="114"/>
    </w:p>
    <w:p w:rsidR="00144FA6" w:rsidRDefault="00744A1C" w:rsidP="00744A1C">
      <w:pPr>
        <w:pStyle w:val="libNormal"/>
        <w:rPr>
          <w:rtl/>
          <w:lang w:bidi="fa-IR"/>
        </w:rPr>
      </w:pPr>
      <w:r>
        <w:rPr>
          <w:rtl/>
          <w:lang w:bidi="fa-IR"/>
        </w:rPr>
        <w:t>8315 / 1. عِدَّةٌ مِنْ أَصْحَابِنَا ، عَنْ أَحْمَدَ بْنِ مُحَمَّدِ بْنِ خَالِدٍ ، عَنِ ابْنِ فَضَّالٍ ، عَنْ أَبِي جَمِيلَةَ ، عَنْ سَعْدِ بْنِ طَرِيفٍ ، عَنِ الْأَصْبَغِ بْنِ نُبَاتَةَ ، قَالَ :</w:t>
      </w:r>
    </w:p>
    <w:p w:rsidR="00144FA6" w:rsidRDefault="00744A1C" w:rsidP="00744A1C">
      <w:pPr>
        <w:pStyle w:val="libNormal"/>
        <w:rPr>
          <w:rtl/>
          <w:lang w:bidi="fa-IR"/>
        </w:rPr>
      </w:pPr>
      <w:r>
        <w:rPr>
          <w:rtl/>
          <w:lang w:bidi="fa-IR"/>
        </w:rPr>
        <w:t xml:space="preserve">قَالَ أَمِيرُ الْمُؤْمِنِينَ صَلَوَاتُ اللهِ عَلَيْهِ : « يَضْحَكُ </w:t>
      </w:r>
      <w:r w:rsidRPr="00D10E3C">
        <w:rPr>
          <w:rStyle w:val="libFootnotenumChar"/>
          <w:rtl/>
        </w:rPr>
        <w:t>(1)</w:t>
      </w:r>
      <w:r>
        <w:rPr>
          <w:rtl/>
          <w:lang w:bidi="fa-IR"/>
        </w:rPr>
        <w:t xml:space="preserve"> اللهُ - عَزَّ وَجَلَّ - إِلى رَجُلٍ فِي كَتِيبَةٍ </w:t>
      </w:r>
      <w:r w:rsidRPr="00D10E3C">
        <w:rPr>
          <w:rStyle w:val="libFootnotenumChar"/>
          <w:rtl/>
        </w:rPr>
        <w:t>(2)</w:t>
      </w:r>
      <w:r>
        <w:rPr>
          <w:rtl/>
          <w:lang w:bidi="fa-IR"/>
        </w:rPr>
        <w:t xml:space="preserve"> يَعْرِضُ لَهُمْ سَبُعٌ أَوْ لِصٌّ ، فَحَمَاهُمْ أَنْ يَجُوزُوا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8316 / 2.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61079A" w:rsidRPr="0061079A">
        <w:rPr>
          <w:rStyle w:val="libAlaemChar"/>
          <w:rtl/>
        </w:rPr>
        <w:t>صلى‌الله‌عليه‌وآله</w:t>
      </w:r>
      <w:r w:rsidR="00D10E3C">
        <w:rPr>
          <w:rtl/>
          <w:lang w:bidi="fa-IR"/>
        </w:rPr>
        <w:t xml:space="preserve"> </w:t>
      </w:r>
      <w:r>
        <w:rPr>
          <w:rtl/>
          <w:lang w:bidi="fa-IR"/>
        </w:rPr>
        <w:t>: عَوْنُكَ الضَّ</w:t>
      </w:r>
      <w:r w:rsidR="00402829">
        <w:rPr>
          <w:rtl/>
          <w:lang w:bidi="fa-IR"/>
        </w:rPr>
        <w:t>عِيفَ مِنْ أَفْضَلِ الصَّدَقَةِ</w:t>
      </w:r>
      <w:r>
        <w:rPr>
          <w:rtl/>
          <w:lang w:bidi="fa-IR"/>
        </w:rPr>
        <w:t xml:space="preserve">». </w:t>
      </w:r>
      <w:r w:rsidRPr="00D10E3C">
        <w:rPr>
          <w:rStyle w:val="libFootnotenumChar"/>
          <w:rtl/>
        </w:rPr>
        <w:t>(5)</w:t>
      </w:r>
    </w:p>
    <w:p w:rsidR="00144FA6" w:rsidRDefault="00744A1C" w:rsidP="00744A1C">
      <w:pPr>
        <w:pStyle w:val="libNormal"/>
        <w:rPr>
          <w:rtl/>
          <w:lang w:bidi="fa-IR"/>
        </w:rPr>
      </w:pPr>
      <w:r>
        <w:rPr>
          <w:rtl/>
          <w:lang w:bidi="fa-IR"/>
        </w:rPr>
        <w:t xml:space="preserve">8317 / 3. مُحَمَّدُ بْنُ يَحْيى ، عَنْ أَحْمَدَ بْنِ مُحَمَّدِ بْنِ عِيسى ، عَنْ عَلِيِّ بْنِ الْحَكَمِ ، عَنْ مُثَنًّى ، عَنْ فِطْرِ </w:t>
      </w:r>
      <w:r w:rsidRPr="00D10E3C">
        <w:rPr>
          <w:rStyle w:val="libFootnotenumChar"/>
          <w:rtl/>
        </w:rPr>
        <w:t>(6)</w:t>
      </w:r>
      <w:r>
        <w:rPr>
          <w:rtl/>
          <w:lang w:bidi="fa-IR"/>
        </w:rPr>
        <w:t xml:space="preserve"> بْنِ خَلِيفَةَ :</w:t>
      </w:r>
    </w:p>
    <w:p w:rsidR="00744A1C" w:rsidRDefault="00744A1C" w:rsidP="00D10E3C">
      <w:pPr>
        <w:pStyle w:val="libLine"/>
        <w:rPr>
          <w:lang w:bidi="fa-IR"/>
        </w:rPr>
      </w:pPr>
      <w:r>
        <w:rPr>
          <w:rtl/>
          <w:lang w:bidi="fa-IR"/>
        </w:rPr>
        <w:t>____________________</w:t>
      </w:r>
    </w:p>
    <w:p w:rsidR="00744A1C" w:rsidRDefault="00E56519" w:rsidP="00D10E3C">
      <w:pPr>
        <w:pStyle w:val="libFootnote0"/>
        <w:rPr>
          <w:lang w:bidi="fa-IR"/>
        </w:rPr>
      </w:pPr>
      <w:r>
        <w:rPr>
          <w:rFonts w:hint="cs"/>
          <w:rtl/>
          <w:lang w:bidi="fa-IR"/>
        </w:rPr>
        <w:t xml:space="preserve">= </w:t>
      </w:r>
      <w:r w:rsidR="00744A1C">
        <w:rPr>
          <w:rtl/>
          <w:lang w:bidi="fa-IR"/>
        </w:rPr>
        <w:t xml:space="preserve">كتاب فضل القرآن ، باب فضل القرآن ، ح 3545 </w:t>
      </w:r>
      <w:r w:rsidR="00D91FC7">
        <w:rPr>
          <w:rFonts w:hint="cs"/>
          <w:rtl/>
          <w:lang w:bidi="fa-IR"/>
        </w:rPr>
        <w:t>.</w:t>
      </w:r>
      <w:r w:rsidR="00744A1C" w:rsidRPr="00C24F9C">
        <w:rPr>
          <w:rStyle w:val="libFootnoteBoldChar"/>
          <w:rtl/>
        </w:rPr>
        <w:t>الوافي</w:t>
      </w:r>
      <w:r w:rsidR="00744A1C">
        <w:rPr>
          <w:rtl/>
          <w:lang w:bidi="fa-IR"/>
        </w:rPr>
        <w:t xml:space="preserve"> ، ج 15 ، ص 54 ، ح 14699 ؛ </w:t>
      </w:r>
      <w:r w:rsidR="00744A1C" w:rsidRPr="00C24F9C">
        <w:rPr>
          <w:rStyle w:val="libFootnoteBoldChar"/>
          <w:rtl/>
        </w:rPr>
        <w:t>الوسائل</w:t>
      </w:r>
      <w:r w:rsidR="00744A1C">
        <w:rPr>
          <w:rtl/>
          <w:lang w:bidi="fa-IR"/>
        </w:rPr>
        <w:t xml:space="preserve"> ، ج 15 ، ص 12 ، ح 19907.</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18 ، ص 398 : « الضحك كناية عن الإثابة واللطف ؛ فإنّ من يضحك إلى رجل يحبّه‌ويلاطفه ويكرمه ، والغرض مدح من دفع ضرر سبع أو لصّ عن جماعة من المسلمين حتّى يجوزوا عنهما سالمين ».</w:t>
      </w:r>
    </w:p>
    <w:p w:rsidR="00744A1C" w:rsidRDefault="00E378DD" w:rsidP="00E378DD">
      <w:pPr>
        <w:pStyle w:val="libFootnote0"/>
        <w:rPr>
          <w:lang w:bidi="fa-IR"/>
        </w:rPr>
      </w:pPr>
      <w:r>
        <w:rPr>
          <w:rtl/>
          <w:lang w:bidi="fa-IR"/>
        </w:rPr>
        <w:t>(2).</w:t>
      </w:r>
      <w:r w:rsidR="00744A1C">
        <w:rPr>
          <w:rtl/>
          <w:lang w:bidi="fa-IR"/>
        </w:rPr>
        <w:t xml:space="preserve"> الكتيبة : الجيش. </w:t>
      </w:r>
      <w:r w:rsidR="00744A1C" w:rsidRPr="00E978C3">
        <w:rPr>
          <w:rStyle w:val="libFootnoteBoldChar"/>
          <w:rtl/>
        </w:rPr>
        <w:t>الصحاح</w:t>
      </w:r>
      <w:r w:rsidR="00744A1C">
        <w:rPr>
          <w:rtl/>
          <w:lang w:bidi="fa-IR"/>
        </w:rPr>
        <w:t xml:space="preserve"> ، ج 1 ، ص 209 ( كتب ).</w:t>
      </w:r>
    </w:p>
    <w:p w:rsidR="00744A1C" w:rsidRDefault="00E378DD" w:rsidP="00E378DD">
      <w:pPr>
        <w:pStyle w:val="libFootnote0"/>
        <w:rPr>
          <w:lang w:bidi="fa-IR"/>
        </w:rPr>
      </w:pPr>
      <w:r>
        <w:rPr>
          <w:rtl/>
          <w:lang w:bidi="fa-IR"/>
        </w:rPr>
        <w:t>(3).</w:t>
      </w:r>
      <w:r w:rsidR="00744A1C">
        <w:rPr>
          <w:rtl/>
          <w:lang w:bidi="fa-IR"/>
        </w:rPr>
        <w:t xml:space="preserve"> في « بث ، بف » : « حتّى يحوزوا ». وفي </w:t>
      </w:r>
      <w:r w:rsidR="00744A1C" w:rsidRPr="00C24F9C">
        <w:rPr>
          <w:rStyle w:val="libFootnoteBoldChar"/>
          <w:rtl/>
        </w:rPr>
        <w:t>المرآة</w:t>
      </w:r>
      <w:r w:rsidR="00744A1C">
        <w:rPr>
          <w:rtl/>
          <w:lang w:bidi="fa-IR"/>
        </w:rPr>
        <w:t xml:space="preserve"> : « أي لأن يجوزوا. وفي بعض النسخ : حتّى يجوزوا ، وهو أظهر. وفي بعضها : أن يحوروا ، أي أن ينقصوا ؛ من الحور بمعنى النقص ». وفي هامش المطبوع عن رفيع الدين : « في بعض النسخ : يجوروا ، أي منعهم أن يميلوا إلى دفعها ؛ لأنّ غرضه أن يدفع هو بنفسه ، قال الجوهري : الجور : الميل ». وراجع : </w:t>
      </w:r>
      <w:r w:rsidR="00744A1C" w:rsidRPr="00E978C3">
        <w:rPr>
          <w:rStyle w:val="libFootnoteBoldChar"/>
          <w:rtl/>
        </w:rPr>
        <w:t>الصحاح</w:t>
      </w:r>
      <w:r w:rsidR="00744A1C">
        <w:rPr>
          <w:rtl/>
          <w:lang w:bidi="fa-IR"/>
        </w:rPr>
        <w:t xml:space="preserve"> ، ج 2 ، ص 617 ( جور ).</w:t>
      </w:r>
    </w:p>
    <w:p w:rsidR="00744A1C" w:rsidRDefault="00E378DD" w:rsidP="00E378DD">
      <w:pPr>
        <w:pStyle w:val="libFootnote0"/>
        <w:rPr>
          <w:lang w:bidi="fa-IR"/>
        </w:rPr>
      </w:pPr>
      <w:r>
        <w:rPr>
          <w:rtl/>
          <w:lang w:bidi="fa-IR"/>
        </w:rPr>
        <w:t>(4).</w:t>
      </w:r>
      <w:r w:rsidR="00744A1C">
        <w:rPr>
          <w:rtl/>
          <w:lang w:bidi="fa-IR"/>
        </w:rPr>
        <w:t xml:space="preserve"> راجع : </w:t>
      </w:r>
      <w:r w:rsidR="00744A1C" w:rsidRPr="00211914">
        <w:rPr>
          <w:rStyle w:val="libFootnoteBoldChar"/>
          <w:rtl/>
        </w:rPr>
        <w:t>الاختصاص</w:t>
      </w:r>
      <w:r w:rsidR="00744A1C">
        <w:rPr>
          <w:rtl/>
          <w:lang w:bidi="fa-IR"/>
        </w:rPr>
        <w:t xml:space="preserve"> ، ص 188 </w:t>
      </w:r>
      <w:r w:rsidR="00744A1C" w:rsidRPr="00C24F9C">
        <w:rPr>
          <w:rStyle w:val="libFootnoteBoldChar"/>
          <w:rtl/>
        </w:rPr>
        <w:t>الوافي</w:t>
      </w:r>
      <w:r w:rsidR="00744A1C">
        <w:rPr>
          <w:rtl/>
          <w:lang w:bidi="fa-IR"/>
        </w:rPr>
        <w:t xml:space="preserve"> ، ج 15 ، ص 196 ، ح 14897 ؛ </w:t>
      </w:r>
      <w:r w:rsidR="00744A1C" w:rsidRPr="00C24F9C">
        <w:rPr>
          <w:rStyle w:val="libFootnoteBoldChar"/>
          <w:rtl/>
        </w:rPr>
        <w:t>الوسائل</w:t>
      </w:r>
      <w:r w:rsidR="00744A1C">
        <w:rPr>
          <w:rtl/>
          <w:lang w:bidi="fa-IR"/>
        </w:rPr>
        <w:t xml:space="preserve"> ، ج 15 ، ص 141 ، ح 20171.</w:t>
      </w:r>
    </w:p>
    <w:p w:rsidR="00744A1C" w:rsidRDefault="00E378DD" w:rsidP="00E378DD">
      <w:pPr>
        <w:pStyle w:val="libFootnote0"/>
        <w:rPr>
          <w:lang w:bidi="fa-IR"/>
        </w:rPr>
      </w:pPr>
      <w:r>
        <w:rPr>
          <w:rtl/>
          <w:lang w:bidi="fa-IR"/>
        </w:rPr>
        <w:t>(5).</w:t>
      </w:r>
      <w:r w:rsidR="00744A1C">
        <w:rPr>
          <w:rtl/>
          <w:lang w:bidi="fa-IR"/>
        </w:rPr>
        <w:t xml:space="preserve"> </w:t>
      </w:r>
      <w:r w:rsidR="00744A1C" w:rsidRPr="007D61A8">
        <w:rPr>
          <w:rStyle w:val="libFootnoteBoldChar"/>
          <w:rtl/>
        </w:rPr>
        <w:t>تحف العقول</w:t>
      </w:r>
      <w:r w:rsidR="00744A1C">
        <w:rPr>
          <w:rtl/>
          <w:lang w:bidi="fa-IR"/>
        </w:rPr>
        <w:t xml:space="preserve"> ، ص 414 ، عن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 وفيه ، ص 446 ، عن الرضا </w:t>
      </w:r>
      <w:r w:rsidR="0061079A" w:rsidRPr="0061079A">
        <w:rPr>
          <w:rStyle w:val="libFootnoteAlaemChar"/>
          <w:rtl/>
        </w:rPr>
        <w:t>عليه‌السلام</w:t>
      </w:r>
      <w:r w:rsidR="00D10E3C">
        <w:rPr>
          <w:rtl/>
          <w:lang w:bidi="fa-IR"/>
        </w:rPr>
        <w:t xml:space="preserve"> </w:t>
      </w:r>
      <w:r w:rsidR="00D91FC7">
        <w:rPr>
          <w:rFonts w:hint="cs"/>
          <w:rtl/>
          <w:lang w:bidi="fa-IR"/>
        </w:rPr>
        <w:t>.</w:t>
      </w:r>
      <w:r w:rsidR="00744A1C" w:rsidRPr="00C24F9C">
        <w:rPr>
          <w:rStyle w:val="libFootnoteBoldChar"/>
          <w:rtl/>
        </w:rPr>
        <w:t>الوافي</w:t>
      </w:r>
      <w:r w:rsidR="00744A1C">
        <w:rPr>
          <w:rtl/>
          <w:lang w:bidi="fa-IR"/>
        </w:rPr>
        <w:t xml:space="preserve"> ، ج 15 ، ص 195 ، ح 14895 ؛ </w:t>
      </w:r>
      <w:r w:rsidR="00744A1C" w:rsidRPr="00C24F9C">
        <w:rPr>
          <w:rStyle w:val="libFootnoteBoldChar"/>
          <w:rtl/>
        </w:rPr>
        <w:t>الوسائل</w:t>
      </w:r>
      <w:r w:rsidR="00744A1C">
        <w:rPr>
          <w:rtl/>
          <w:lang w:bidi="fa-IR"/>
        </w:rPr>
        <w:t xml:space="preserve"> ، ج 15 ، ص 141 ، ح 20170.</w:t>
      </w:r>
    </w:p>
    <w:p w:rsidR="00744A1C" w:rsidRDefault="00E378DD" w:rsidP="00E378DD">
      <w:pPr>
        <w:pStyle w:val="libFootnote0"/>
        <w:rPr>
          <w:lang w:bidi="fa-IR"/>
        </w:rPr>
      </w:pPr>
      <w:r>
        <w:rPr>
          <w:rtl/>
          <w:lang w:bidi="fa-IR"/>
        </w:rPr>
        <w:t>(6).</w:t>
      </w:r>
      <w:r w:rsidR="00744A1C">
        <w:rPr>
          <w:rtl/>
          <w:lang w:bidi="fa-IR"/>
        </w:rPr>
        <w:t xml:space="preserve"> في « بف » </w:t>
      </w:r>
      <w:r w:rsidR="00744A1C" w:rsidRPr="00246B3B">
        <w:rPr>
          <w:rtl/>
        </w:rPr>
        <w:t>والوافي</w:t>
      </w:r>
      <w:r w:rsidR="00744A1C">
        <w:rPr>
          <w:rtl/>
          <w:lang w:bidi="fa-IR"/>
        </w:rPr>
        <w:t xml:space="preserve"> : « نظر » ، وهو سهو. والمذكور في مصادر الرجال هو فطر بن خليفة. راجع : </w:t>
      </w:r>
      <w:r w:rsidR="00744A1C" w:rsidRPr="0061079A">
        <w:rPr>
          <w:rStyle w:val="libFootnoteBoldChar"/>
          <w:rtl/>
        </w:rPr>
        <w:t>رجال الطوسي</w:t>
      </w:r>
      <w:r w:rsidR="00744A1C">
        <w:rPr>
          <w:rtl/>
          <w:lang w:bidi="fa-IR"/>
        </w:rPr>
        <w:t xml:space="preserve"> ، ص 270 ، الرقم 3891 ؛ </w:t>
      </w:r>
      <w:r w:rsidR="00744A1C" w:rsidRPr="00B7470D">
        <w:rPr>
          <w:rStyle w:val="libFootnoteBoldChar"/>
          <w:rtl/>
        </w:rPr>
        <w:t>تهذيب الكمال</w:t>
      </w:r>
      <w:r w:rsidR="00744A1C">
        <w:rPr>
          <w:rtl/>
          <w:lang w:bidi="fa-IR"/>
        </w:rPr>
        <w:t xml:space="preserve"> ، ج 23 ، ص 312 ، الرقم 4773.</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مُحَمَّدِ </w:t>
      </w:r>
      <w:r w:rsidRPr="00D10E3C">
        <w:rPr>
          <w:rStyle w:val="libFootnotenumChar"/>
          <w:rtl/>
        </w:rPr>
        <w:t>(1)</w:t>
      </w:r>
      <w:r>
        <w:rPr>
          <w:rtl/>
          <w:lang w:bidi="fa-IR"/>
        </w:rPr>
        <w:t xml:space="preserve"> بْنِ عَلِيِّ بْنِ الْحُسَيْنِ ، عَنْ أَبِيهِ - صَلَوَاتُ اللهِ عَلَيْهِمْ - قَالَ : « قَالَ أَمِيرُ الْمُؤْمِنِينَ </w:t>
      </w:r>
      <w:r w:rsidR="0061079A" w:rsidRPr="0061079A">
        <w:rPr>
          <w:rStyle w:val="libAlaemChar"/>
          <w:rtl/>
        </w:rPr>
        <w:t>عليه‌السلام</w:t>
      </w:r>
      <w:r w:rsidR="00D10E3C">
        <w:rPr>
          <w:rtl/>
          <w:lang w:bidi="fa-IR"/>
        </w:rPr>
        <w:t xml:space="preserve"> </w:t>
      </w:r>
      <w:r>
        <w:rPr>
          <w:rtl/>
          <w:lang w:bidi="fa-IR"/>
        </w:rPr>
        <w:t xml:space="preserve">: قَالَ </w:t>
      </w:r>
      <w:r w:rsidRPr="00D10E3C">
        <w:rPr>
          <w:rStyle w:val="libFootnotenumChar"/>
          <w:rtl/>
        </w:rPr>
        <w:t>(2)</w:t>
      </w:r>
      <w:r>
        <w:rPr>
          <w:rtl/>
          <w:lang w:bidi="fa-IR"/>
        </w:rPr>
        <w:t xml:space="preserve"> رَسُولُ اللهِ </w:t>
      </w:r>
      <w:r w:rsidR="001959EB" w:rsidRPr="001959EB">
        <w:rPr>
          <w:rStyle w:val="libAlaemChar"/>
          <w:rtl/>
        </w:rPr>
        <w:t>صلى‌الله‌عليه‌وآله</w:t>
      </w:r>
      <w:r w:rsidR="00D10E3C">
        <w:rPr>
          <w:rtl/>
          <w:lang w:bidi="fa-IR"/>
        </w:rPr>
        <w:t xml:space="preserve"> </w:t>
      </w:r>
      <w:r>
        <w:rPr>
          <w:rtl/>
          <w:lang w:bidi="fa-IR"/>
        </w:rPr>
        <w:t xml:space="preserve">: مَنْ رَدَّ عَنْ قَوْمٍ مِنَ </w:t>
      </w:r>
      <w:r w:rsidRPr="00D10E3C">
        <w:rPr>
          <w:rStyle w:val="libFootnotenumChar"/>
          <w:rtl/>
        </w:rPr>
        <w:t>(3)</w:t>
      </w:r>
      <w:r>
        <w:rPr>
          <w:rtl/>
          <w:lang w:bidi="fa-IR"/>
        </w:rPr>
        <w:t xml:space="preserve"> الْمُسْلِمِينَ عَادِيَةَ </w:t>
      </w:r>
      <w:r w:rsidRPr="00D10E3C">
        <w:rPr>
          <w:rStyle w:val="libFootnotenumChar"/>
          <w:rtl/>
        </w:rPr>
        <w:t>(4)</w:t>
      </w:r>
      <w:r>
        <w:rPr>
          <w:rtl/>
          <w:lang w:bidi="fa-IR"/>
        </w:rPr>
        <w:t xml:space="preserve"> مَاءٍ أَوْ نَارٍ ، وَجَبَتْ لَهُ الْجَنَّةُ ». </w:t>
      </w:r>
      <w:r w:rsidRPr="00D10E3C">
        <w:rPr>
          <w:rStyle w:val="libFootnotenumChar"/>
          <w:rtl/>
        </w:rPr>
        <w:t>(5)</w:t>
      </w:r>
    </w:p>
    <w:p w:rsidR="00744A1C" w:rsidRDefault="00744A1C" w:rsidP="00246B3B">
      <w:pPr>
        <w:pStyle w:val="Heading2Center"/>
        <w:rPr>
          <w:lang w:bidi="fa-IR"/>
        </w:rPr>
      </w:pPr>
      <w:bookmarkStart w:id="115" w:name="_Toc49261413"/>
      <w:r>
        <w:rPr>
          <w:rtl/>
          <w:lang w:bidi="fa-IR"/>
        </w:rPr>
        <w:t>27 - بَابٌ‌</w:t>
      </w:r>
      <w:bookmarkEnd w:id="115"/>
    </w:p>
    <w:p w:rsidR="00144FA6" w:rsidRDefault="00744A1C" w:rsidP="00396B6F">
      <w:pPr>
        <w:pStyle w:val="libNormal"/>
        <w:rPr>
          <w:rtl/>
          <w:lang w:bidi="fa-IR"/>
        </w:rPr>
      </w:pPr>
      <w:r>
        <w:rPr>
          <w:rtl/>
          <w:lang w:bidi="fa-IR"/>
        </w:rPr>
        <w:t>8318 / 1</w:t>
      </w:r>
      <w:r w:rsidR="00396B6F">
        <w:rPr>
          <w:rFonts w:hint="cs"/>
          <w:rtl/>
          <w:lang w:bidi="fa-IR"/>
        </w:rPr>
        <w:t xml:space="preserve"> </w:t>
      </w:r>
      <w:r>
        <w:rPr>
          <w:rtl/>
          <w:lang w:bidi="fa-IR"/>
        </w:rPr>
        <w:t xml:space="preserve">. عَلِيُّ بْنُ إِبْرَاهِيمَ ، عَنْ أَبِيهِ ، عَنِ ابْنِ أَبِي عُمَيْرٍ ، عَنْ يَحْيَى الطَّوِيلِ </w:t>
      </w:r>
      <w:r w:rsidRPr="00D10E3C">
        <w:rPr>
          <w:rStyle w:val="libFootnotenumChar"/>
          <w:rtl/>
        </w:rPr>
        <w:t>(6)</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مَا جَعَلَ اللهُ - عَزَّ وَجَلَّ - بَسْطَ اللِّسَانِ وَكَفَّ الْيَدِ ، وَلكِنْ جَعَلَهُمَا يُبْسَطَانِ مَعاً ، وَيُكَفَّانِ مَعاً </w:t>
      </w:r>
      <w:r w:rsidRPr="00D10E3C">
        <w:rPr>
          <w:rStyle w:val="libFootnotenumChar"/>
          <w:rtl/>
        </w:rPr>
        <w:t>(7)</w:t>
      </w:r>
      <w:r>
        <w:rPr>
          <w:rtl/>
          <w:lang w:bidi="fa-IR"/>
        </w:rPr>
        <w:t xml:space="preserve"> ». </w:t>
      </w:r>
      <w:r w:rsidRPr="00D10E3C">
        <w:rPr>
          <w:rStyle w:val="libFootnotenumChar"/>
          <w:rtl/>
        </w:rPr>
        <w:t>(8)</w:t>
      </w:r>
    </w:p>
    <w:p w:rsidR="00744A1C" w:rsidRDefault="00744A1C" w:rsidP="00396B6F">
      <w:pPr>
        <w:pStyle w:val="Heading2Center"/>
        <w:rPr>
          <w:lang w:bidi="fa-IR"/>
        </w:rPr>
      </w:pPr>
      <w:bookmarkStart w:id="116" w:name="_Toc49261414"/>
      <w:r>
        <w:rPr>
          <w:rtl/>
          <w:lang w:bidi="fa-IR"/>
        </w:rPr>
        <w:t>28 - بَابُ الْأَمْرِ بِالْمَعْرُوفِ وَالنَّهْيِ عَنِ الْمُنْكَرِ‌</w:t>
      </w:r>
      <w:bookmarkEnd w:id="116"/>
    </w:p>
    <w:p w:rsidR="00144FA6" w:rsidRDefault="00744A1C" w:rsidP="00744A1C">
      <w:pPr>
        <w:pStyle w:val="libNormal"/>
        <w:rPr>
          <w:rtl/>
          <w:lang w:bidi="fa-IR"/>
        </w:rPr>
      </w:pPr>
      <w:r>
        <w:rPr>
          <w:rtl/>
          <w:lang w:bidi="fa-IR"/>
        </w:rPr>
        <w:t xml:space="preserve">8319 / 1. عِدَّةٌ مِنْ أَصْحَابِنَا ، عَنْ أَحْمَدَ بْنِ مُحَمَّدِ بْنِ خَالِدٍ ، عَنْ بَعْضِ أَصْحَابِنَا ، عَنْ بِشْرِ </w:t>
      </w:r>
      <w:r w:rsidRPr="00D10E3C">
        <w:rPr>
          <w:rStyle w:val="libFootnotenumChar"/>
          <w:rtl/>
        </w:rPr>
        <w:t>(9)</w:t>
      </w:r>
      <w:r>
        <w:rPr>
          <w:rtl/>
          <w:lang w:bidi="fa-IR"/>
        </w:rPr>
        <w:t xml:space="preserve"> بْنِ عَبْدِ اللهِ ، عَنْ أَبِي عِصْمَةَ قَاضِي مَرْوَ ، عَنْ جَابِرٍ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396B6F" w:rsidTr="00396B6F">
        <w:tc>
          <w:tcPr>
            <w:tcW w:w="4006" w:type="dxa"/>
          </w:tcPr>
          <w:p w:rsidR="00396B6F" w:rsidRDefault="00396B6F" w:rsidP="00D10E3C">
            <w:pPr>
              <w:pStyle w:val="libFootnote0"/>
              <w:rPr>
                <w:rtl/>
                <w:lang w:bidi="fa-IR"/>
              </w:rPr>
            </w:pPr>
            <w:r>
              <w:rPr>
                <w:rtl/>
                <w:lang w:bidi="fa-IR"/>
              </w:rPr>
              <w:t xml:space="preserve">(1). في </w:t>
            </w:r>
            <w:r w:rsidRPr="00396B6F">
              <w:rPr>
                <w:rtl/>
              </w:rPr>
              <w:t>الوافي</w:t>
            </w:r>
            <w:r>
              <w:rPr>
                <w:rtl/>
                <w:lang w:bidi="fa-IR"/>
              </w:rPr>
              <w:t xml:space="preserve"> : « عمر ».</w:t>
            </w:r>
          </w:p>
        </w:tc>
        <w:tc>
          <w:tcPr>
            <w:tcW w:w="4006" w:type="dxa"/>
          </w:tcPr>
          <w:p w:rsidR="00396B6F" w:rsidRDefault="00396B6F" w:rsidP="00D10E3C">
            <w:pPr>
              <w:pStyle w:val="libFootnote0"/>
              <w:rPr>
                <w:rtl/>
                <w:lang w:bidi="fa-IR"/>
              </w:rPr>
            </w:pPr>
            <w:r>
              <w:rPr>
                <w:rtl/>
                <w:lang w:bidi="fa-IR"/>
              </w:rPr>
              <w:t>(2). في « بح ، جن » : + « قال ».</w:t>
            </w:r>
          </w:p>
        </w:tc>
      </w:tr>
    </w:tbl>
    <w:p w:rsidR="00744A1C" w:rsidRDefault="00E378DD" w:rsidP="00E378DD">
      <w:pPr>
        <w:pStyle w:val="libFootnote0"/>
        <w:rPr>
          <w:lang w:bidi="fa-IR"/>
        </w:rPr>
      </w:pPr>
      <w:r>
        <w:rPr>
          <w:rtl/>
          <w:lang w:bidi="fa-IR"/>
        </w:rPr>
        <w:t>(3).</w:t>
      </w:r>
      <w:r w:rsidR="00744A1C">
        <w:rPr>
          <w:rtl/>
          <w:lang w:bidi="fa-IR"/>
        </w:rPr>
        <w:t xml:space="preserve"> في « بس » : - « من ».</w:t>
      </w:r>
    </w:p>
    <w:p w:rsidR="00744A1C" w:rsidRDefault="00E378DD" w:rsidP="00E378DD">
      <w:pPr>
        <w:pStyle w:val="libFootnote0"/>
        <w:rPr>
          <w:lang w:bidi="fa-IR"/>
        </w:rPr>
      </w:pPr>
      <w:r>
        <w:rPr>
          <w:rtl/>
          <w:lang w:bidi="fa-IR"/>
        </w:rPr>
        <w:t>(4).</w:t>
      </w:r>
      <w:r w:rsidR="00744A1C">
        <w:rPr>
          <w:rtl/>
          <w:lang w:bidi="fa-IR"/>
        </w:rPr>
        <w:t xml:space="preserve"> يقال : دفعتُ عنك عادية فلان ، أي ظلمه وشرّه. </w:t>
      </w:r>
      <w:r w:rsidR="00744A1C" w:rsidRPr="00E978C3">
        <w:rPr>
          <w:rStyle w:val="libFootnoteBoldChar"/>
          <w:rtl/>
        </w:rPr>
        <w:t>الصحاح</w:t>
      </w:r>
      <w:r w:rsidR="00744A1C">
        <w:rPr>
          <w:rtl/>
          <w:lang w:bidi="fa-IR"/>
        </w:rPr>
        <w:t xml:space="preserve"> ، ج 6 ، ص 2422 ( عدى ).</w:t>
      </w:r>
    </w:p>
    <w:p w:rsidR="00744A1C" w:rsidRDefault="00E378DD" w:rsidP="00396B6F">
      <w:pPr>
        <w:pStyle w:val="libFootnote0"/>
        <w:rPr>
          <w:lang w:bidi="fa-IR"/>
        </w:rPr>
      </w:pPr>
      <w:r>
        <w:rPr>
          <w:rtl/>
          <w:lang w:bidi="fa-IR"/>
        </w:rPr>
        <w:t>(5).</w:t>
      </w:r>
      <w:r w:rsidR="00744A1C">
        <w:rPr>
          <w:rtl/>
          <w:lang w:bidi="fa-IR"/>
        </w:rPr>
        <w:t xml:space="preserve"> </w:t>
      </w:r>
      <w:r w:rsidR="00744A1C" w:rsidRPr="0061079A">
        <w:rPr>
          <w:rStyle w:val="libFootnoteBoldChar"/>
          <w:rtl/>
        </w:rPr>
        <w:t>الكافي</w:t>
      </w:r>
      <w:r w:rsidR="00744A1C">
        <w:rPr>
          <w:rtl/>
          <w:lang w:bidi="fa-IR"/>
        </w:rPr>
        <w:t xml:space="preserve"> ، كتاب الإيمان والكفر ، باب الاهتمام با</w:t>
      </w:r>
      <w:r w:rsidR="00396B6F">
        <w:rPr>
          <w:rFonts w:hint="cs"/>
          <w:rtl/>
          <w:lang w:bidi="fa-IR"/>
        </w:rPr>
        <w:t>ُ</w:t>
      </w:r>
      <w:r w:rsidR="00744A1C">
        <w:rPr>
          <w:rtl/>
          <w:lang w:bidi="fa-IR"/>
        </w:rPr>
        <w:t xml:space="preserve">مور المسلمين و ... ، ح 2035 ، عن عدّة من أصحابنا ، عن أحمد بن محمّد بن خالد ، عن عليّ بن الحكم ، عن مثنّى بن الوليد الحنّاط ، عن فطر بن خليفة ، عن عمر بن عليّ بن الحسين ، عن أبيه صلوات الله عليهما. </w:t>
      </w:r>
      <w:r w:rsidR="00744A1C" w:rsidRPr="00877682">
        <w:rPr>
          <w:rStyle w:val="libFootnoteBoldChar"/>
          <w:rtl/>
        </w:rPr>
        <w:t>قرب الإسناد</w:t>
      </w:r>
      <w:r w:rsidR="00744A1C">
        <w:rPr>
          <w:rtl/>
          <w:lang w:bidi="fa-IR"/>
        </w:rPr>
        <w:t xml:space="preserve"> ، ص 132 ، ح 463 ، بسند آخر عن جعفر بن محمّد ، عن أبيه ، عن عليّ </w:t>
      </w:r>
      <w:r w:rsidR="00877682" w:rsidRPr="00877682">
        <w:rPr>
          <w:rStyle w:val="libFootnoteAlaemChar"/>
          <w:rtl/>
        </w:rPr>
        <w:t>عليهم‌السلام</w:t>
      </w:r>
      <w:r w:rsidR="00D10E3C">
        <w:rPr>
          <w:rtl/>
          <w:lang w:bidi="fa-IR"/>
        </w:rPr>
        <w:t xml:space="preserve"> </w:t>
      </w:r>
      <w:r w:rsidR="00744A1C">
        <w:rPr>
          <w:rtl/>
          <w:lang w:bidi="fa-IR"/>
        </w:rPr>
        <w:t xml:space="preserve">، من دون الإسناد إلى النبيّ </w:t>
      </w:r>
      <w:r w:rsidR="00F90866" w:rsidRPr="00F90866">
        <w:rPr>
          <w:rStyle w:val="libFootnoteAlaemChar"/>
          <w:rtl/>
        </w:rPr>
        <w:t>صلى‌الله‌عليه‌وآله</w:t>
      </w:r>
      <w:r w:rsidR="00744A1C">
        <w:rPr>
          <w:rtl/>
          <w:lang w:bidi="fa-IR"/>
        </w:rPr>
        <w:t xml:space="preserve">، مع اختلاف يسير </w:t>
      </w:r>
      <w:r w:rsidR="00396B6F">
        <w:rPr>
          <w:rFonts w:hint="cs"/>
          <w:rtl/>
          <w:lang w:bidi="fa-IR"/>
        </w:rPr>
        <w:t>.</w:t>
      </w:r>
      <w:r w:rsidR="00744A1C" w:rsidRPr="00C24F9C">
        <w:rPr>
          <w:rStyle w:val="libFootnoteBoldChar"/>
          <w:rtl/>
        </w:rPr>
        <w:t>الوافي</w:t>
      </w:r>
      <w:r w:rsidR="00744A1C">
        <w:rPr>
          <w:rtl/>
          <w:lang w:bidi="fa-IR"/>
        </w:rPr>
        <w:t xml:space="preserve"> ، ج 15 ، ص 195 ، ح 14896 ؛ </w:t>
      </w:r>
      <w:r w:rsidR="00744A1C" w:rsidRPr="00C24F9C">
        <w:rPr>
          <w:rStyle w:val="libFootnoteBoldChar"/>
          <w:rtl/>
        </w:rPr>
        <w:t>الوسائل</w:t>
      </w:r>
      <w:r w:rsidR="00744A1C">
        <w:rPr>
          <w:rtl/>
          <w:lang w:bidi="fa-IR"/>
        </w:rPr>
        <w:t xml:space="preserve"> ، ج 15 ، ص 142 ، ح 20172.</w:t>
      </w:r>
      <w:r w:rsidR="00396B6F">
        <w:rPr>
          <w:rFonts w:hint="cs"/>
          <w:rtl/>
          <w:lang w:bidi="fa-IR"/>
        </w:rPr>
        <w:t xml:space="preserve">  </w:t>
      </w:r>
      <w:r>
        <w:rPr>
          <w:rtl/>
          <w:lang w:bidi="fa-IR"/>
        </w:rPr>
        <w:t>(6).</w:t>
      </w:r>
      <w:r w:rsidR="00744A1C">
        <w:rPr>
          <w:rtl/>
          <w:lang w:bidi="fa-IR"/>
        </w:rPr>
        <w:t xml:space="preserve"> في </w:t>
      </w:r>
      <w:r w:rsidR="00744A1C" w:rsidRPr="00396B6F">
        <w:rPr>
          <w:rtl/>
        </w:rPr>
        <w:t>الوسائل</w:t>
      </w:r>
      <w:r w:rsidR="00744A1C">
        <w:rPr>
          <w:rtl/>
          <w:lang w:bidi="fa-IR"/>
        </w:rPr>
        <w:t xml:space="preserve"> ، ح 20174 : « يحيى بن طويل ».</w:t>
      </w:r>
    </w:p>
    <w:p w:rsidR="00744A1C" w:rsidRDefault="00E378DD" w:rsidP="00E378DD">
      <w:pPr>
        <w:pStyle w:val="libFootnote0"/>
        <w:rPr>
          <w:lang w:bidi="fa-IR"/>
        </w:rPr>
      </w:pPr>
      <w:r>
        <w:rPr>
          <w:rtl/>
          <w:lang w:bidi="fa-IR"/>
        </w:rPr>
        <w:t>(7).</w:t>
      </w:r>
      <w:r w:rsidR="00744A1C">
        <w:rPr>
          <w:rtl/>
          <w:lang w:bidi="fa-IR"/>
        </w:rPr>
        <w:t xml:space="preserve"> في « بث ، بف » </w:t>
      </w:r>
      <w:r w:rsidR="00744A1C" w:rsidRPr="00396B6F">
        <w:rPr>
          <w:rtl/>
        </w:rPr>
        <w:t>والوافي</w:t>
      </w:r>
      <w:r w:rsidR="00744A1C">
        <w:rPr>
          <w:rtl/>
          <w:lang w:bidi="fa-IR"/>
        </w:rPr>
        <w:t xml:space="preserve"> : « يبسطان جميعاً ، ويكفّان جميعاً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169 ، ح 325 ، معلّقاً عن عليّ بن إبراهيم </w:t>
      </w:r>
      <w:r w:rsidR="00396B6F">
        <w:rPr>
          <w:rFonts w:hint="cs"/>
          <w:rtl/>
          <w:lang w:bidi="fa-IR"/>
        </w:rPr>
        <w:t>.</w:t>
      </w:r>
      <w:r w:rsidR="00744A1C" w:rsidRPr="00C24F9C">
        <w:rPr>
          <w:rStyle w:val="libFootnoteBoldChar"/>
          <w:rtl/>
        </w:rPr>
        <w:t>الوافي</w:t>
      </w:r>
      <w:r w:rsidR="00744A1C">
        <w:rPr>
          <w:rtl/>
          <w:lang w:bidi="fa-IR"/>
        </w:rPr>
        <w:t xml:space="preserve"> ، ج 15 ، ص 197 ، ح 14899 ؛ </w:t>
      </w:r>
      <w:r w:rsidR="00744A1C" w:rsidRPr="00C24F9C">
        <w:rPr>
          <w:rStyle w:val="libFootnoteBoldChar"/>
          <w:rtl/>
        </w:rPr>
        <w:t>الوسائل</w:t>
      </w:r>
      <w:r w:rsidR="00744A1C">
        <w:rPr>
          <w:rtl/>
          <w:lang w:bidi="fa-IR"/>
        </w:rPr>
        <w:t xml:space="preserve"> ، ج 15 ، ص 143 ، ح 20174 ؛ وج 16 ، ص 131 ، ح 21163.</w:t>
      </w:r>
    </w:p>
    <w:p w:rsidR="00744A1C" w:rsidRDefault="00E378DD" w:rsidP="00E378DD">
      <w:pPr>
        <w:pStyle w:val="libFootnote0"/>
        <w:rPr>
          <w:lang w:bidi="fa-IR"/>
        </w:rPr>
      </w:pPr>
      <w:r>
        <w:rPr>
          <w:rtl/>
          <w:lang w:bidi="fa-IR"/>
        </w:rPr>
        <w:t>(9).</w:t>
      </w:r>
      <w:r w:rsidR="00744A1C">
        <w:rPr>
          <w:rtl/>
          <w:lang w:bidi="fa-IR"/>
        </w:rPr>
        <w:t xml:space="preserve"> في </w:t>
      </w:r>
      <w:r w:rsidR="00744A1C" w:rsidRPr="00396B6F">
        <w:rPr>
          <w:rtl/>
        </w:rPr>
        <w:t>الوافي</w:t>
      </w:r>
      <w:r w:rsidR="00744A1C">
        <w:rPr>
          <w:rtl/>
          <w:lang w:bidi="fa-IR"/>
        </w:rPr>
        <w:t xml:space="preserve"> عن نسخة </w:t>
      </w:r>
      <w:r w:rsidR="00744A1C" w:rsidRPr="00396B6F">
        <w:rPr>
          <w:rtl/>
        </w:rPr>
        <w:t>والبحار والتهذيب</w:t>
      </w:r>
      <w:r w:rsidR="00744A1C">
        <w:rPr>
          <w:rtl/>
          <w:lang w:bidi="fa-IR"/>
        </w:rPr>
        <w:t xml:space="preserve"> : « بشير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يَكُونُ فِي آخِرِ الزَّمَانِ قَوْمٌ يُتَّبَعُ </w:t>
      </w:r>
      <w:r w:rsidRPr="00D10E3C">
        <w:rPr>
          <w:rStyle w:val="libFootnotenumChar"/>
          <w:rtl/>
        </w:rPr>
        <w:t>(1)</w:t>
      </w:r>
      <w:r>
        <w:rPr>
          <w:rtl/>
          <w:lang w:bidi="fa-IR"/>
        </w:rPr>
        <w:t xml:space="preserve"> فِيهِمْ قَوْمٌ مُرَاؤُونَ يَتَقَرَّؤُونَ </w:t>
      </w:r>
      <w:r w:rsidRPr="00D10E3C">
        <w:rPr>
          <w:rStyle w:val="libFootnotenumChar"/>
          <w:rtl/>
        </w:rPr>
        <w:t>(2)</w:t>
      </w:r>
      <w:r>
        <w:rPr>
          <w:rtl/>
          <w:lang w:bidi="fa-IR"/>
        </w:rPr>
        <w:t xml:space="preserve"> ، وَيَتَنَسَّكُونَ </w:t>
      </w:r>
      <w:r w:rsidRPr="00D10E3C">
        <w:rPr>
          <w:rStyle w:val="libFootnotenumChar"/>
          <w:rtl/>
        </w:rPr>
        <w:t>(3)</w:t>
      </w:r>
      <w:r>
        <w:rPr>
          <w:rtl/>
          <w:lang w:bidi="fa-IR"/>
        </w:rPr>
        <w:t xml:space="preserve"> ، حُدَثَاءُ </w:t>
      </w:r>
      <w:r w:rsidRPr="00D10E3C">
        <w:rPr>
          <w:rStyle w:val="libFootnotenumChar"/>
          <w:rtl/>
        </w:rPr>
        <w:t>(4)</w:t>
      </w:r>
      <w:r>
        <w:rPr>
          <w:rtl/>
          <w:lang w:bidi="fa-IR"/>
        </w:rPr>
        <w:t xml:space="preserve"> سُفَهَاءُ ، لَايُوجِبُونَ أَمْراً بِمَعْرُوفٍ ، وَ</w:t>
      </w:r>
      <w:r w:rsidR="008C58FD">
        <w:rPr>
          <w:rtl/>
          <w:lang w:bidi="fa-IR"/>
        </w:rPr>
        <w:t>لَا نَهْياً عَنْ مُنْكَرٍ إِل</w:t>
      </w:r>
      <w:r w:rsidR="008C58FD">
        <w:rPr>
          <w:rFonts w:hint="cs"/>
          <w:rtl/>
          <w:lang w:bidi="fa-IR"/>
        </w:rPr>
        <w:t>َّ</w:t>
      </w:r>
      <w:r w:rsidR="008C58FD">
        <w:rPr>
          <w:rtl/>
          <w:lang w:bidi="fa-IR"/>
        </w:rPr>
        <w:t>ا</w:t>
      </w:r>
      <w:r>
        <w:rPr>
          <w:rtl/>
          <w:lang w:bidi="fa-IR"/>
        </w:rPr>
        <w:t xml:space="preserve"> إِذَا أَمِنُوا الضَّرَرَ </w:t>
      </w:r>
      <w:r w:rsidRPr="00D10E3C">
        <w:rPr>
          <w:rStyle w:val="libFootnotenumChar"/>
          <w:rtl/>
        </w:rPr>
        <w:t>(5)</w:t>
      </w:r>
      <w:r>
        <w:rPr>
          <w:rtl/>
          <w:lang w:bidi="fa-IR"/>
        </w:rPr>
        <w:t xml:space="preserve"> ، يَطْلُبُونَ </w:t>
      </w:r>
      <w:r w:rsidRPr="00D10E3C">
        <w:rPr>
          <w:rStyle w:val="libFootnotenumChar"/>
          <w:rtl/>
        </w:rPr>
        <w:t>(6)</w:t>
      </w:r>
      <w:r>
        <w:rPr>
          <w:rtl/>
          <w:lang w:bidi="fa-IR"/>
        </w:rPr>
        <w:t xml:space="preserve"> لِأَنْفُسِهِمُ الرُّخَصَ وَالْ</w:t>
      </w:r>
      <w:r w:rsidR="008C58FD">
        <w:rPr>
          <w:rtl/>
          <w:lang w:bidi="fa-IR"/>
        </w:rPr>
        <w:t>مَعَاذِيرَ ، يَتَّبِعُونَ زَل</w:t>
      </w:r>
      <w:r w:rsidR="008C58FD">
        <w:rPr>
          <w:rFonts w:hint="cs"/>
          <w:rtl/>
          <w:lang w:bidi="fa-IR"/>
        </w:rPr>
        <w:t>َّ</w:t>
      </w:r>
      <w:r w:rsidR="008C58FD">
        <w:rPr>
          <w:rtl/>
          <w:lang w:bidi="fa-IR"/>
        </w:rPr>
        <w:t>ا</w:t>
      </w:r>
      <w:r>
        <w:rPr>
          <w:rtl/>
          <w:lang w:bidi="fa-IR"/>
        </w:rPr>
        <w:t xml:space="preserve">تِ الْعُلَمَاءِ </w:t>
      </w:r>
      <w:r w:rsidRPr="00D10E3C">
        <w:rPr>
          <w:rStyle w:val="libFootnotenumChar"/>
          <w:rtl/>
        </w:rPr>
        <w:t>(7)</w:t>
      </w:r>
      <w:r>
        <w:rPr>
          <w:rtl/>
          <w:lang w:bidi="fa-IR"/>
        </w:rPr>
        <w:t xml:space="preserve"> وَفَسَادَ عَمَلِهِمْ </w:t>
      </w:r>
      <w:r w:rsidRPr="00D10E3C">
        <w:rPr>
          <w:rStyle w:val="libFootnotenumChar"/>
          <w:rtl/>
        </w:rPr>
        <w:t>(8)</w:t>
      </w:r>
      <w:r>
        <w:rPr>
          <w:rtl/>
          <w:lang w:bidi="fa-IR"/>
        </w:rPr>
        <w:t xml:space="preserve"> ، يُقْبِلُونَ عَلَى الصَّلَاةِ وَالصِّيَامِ وَمَا لَايَكْلِمُهُمْ </w:t>
      </w:r>
      <w:r w:rsidRPr="00D10E3C">
        <w:rPr>
          <w:rStyle w:val="libFootnotenumChar"/>
          <w:rtl/>
        </w:rPr>
        <w:t>(9)</w:t>
      </w:r>
      <w:r>
        <w:rPr>
          <w:rtl/>
          <w:lang w:bidi="fa-IR"/>
        </w:rPr>
        <w:t xml:space="preserve"> فِي نَفْسٍ وَلَا مَالٍ ، وَلَوْ أَضَرَّتِ الصَّلَاةُ بِسَائِرِ مَا يَعْمَلُونَ بِأَمْوَالِهِمْ وَأَبْدَانِهِمْ ، لَرَفَضُوهَا ، كَمَا رَفَضُوا أَسْمَى </w:t>
      </w:r>
      <w:r w:rsidRPr="00D10E3C">
        <w:rPr>
          <w:rStyle w:val="libFootnotenumChar"/>
          <w:rtl/>
        </w:rPr>
        <w:t>(10)</w:t>
      </w:r>
      <w:r>
        <w:rPr>
          <w:rtl/>
          <w:lang w:bidi="fa-IR"/>
        </w:rPr>
        <w:t xml:space="preserve"> الْفَرَائِضِ وَأَشْرَفَهَا ؛ إِنَّ الْأَمْرَ بِالْمَعْرُوفِ وَالنَّهْيَ عَنِ الْمُنْكَرِ فَرِيضَةٌ عَظِيمَةٌ ، بِهَا تُقَامُ </w:t>
      </w:r>
      <w:r w:rsidRPr="00D10E3C">
        <w:rPr>
          <w:rStyle w:val="libFootnotenumChar"/>
          <w:rtl/>
        </w:rPr>
        <w:t>(11)</w:t>
      </w:r>
      <w:r>
        <w:rPr>
          <w:rtl/>
          <w:lang w:bidi="fa-IR"/>
        </w:rPr>
        <w:t xml:space="preserve"> ‌الْفَرَائِضُ هُنَالِكَ ، يَتِمُّ غَضَبُ اللهِ - عَزَّ وَجَلَّ - عَلَيْهِمْ ، فَيَعُمُّهُمْ بِعِقَابِهِ ، فَيُهْلَكُ الْأَبْرَارُ فِي دَارِ الْفُجَّارِ </w:t>
      </w:r>
      <w:r w:rsidRPr="00D10E3C">
        <w:rPr>
          <w:rStyle w:val="libFootnotenumChar"/>
          <w:rtl/>
        </w:rPr>
        <w:t>(12)</w:t>
      </w:r>
      <w:r>
        <w:rPr>
          <w:rtl/>
          <w:lang w:bidi="fa-IR"/>
        </w:rPr>
        <w:t xml:space="preserve"> ، وَالصِّغَارُ فِي دَارِ الْكِبَارِ ؛ إِنَّ الْأَمْرَ بِالْمَعْرُوفِ وَالنَّهْيَ عَنِ الْمُنْكَرِ سَبِيلُ‌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حاشية « جت » </w:t>
      </w:r>
      <w:r w:rsidR="00744A1C" w:rsidRPr="007F7038">
        <w:rPr>
          <w:rtl/>
        </w:rPr>
        <w:t>والوسائل</w:t>
      </w:r>
      <w:r w:rsidR="00744A1C">
        <w:rPr>
          <w:rtl/>
          <w:lang w:bidi="fa-IR"/>
        </w:rPr>
        <w:t xml:space="preserve"> : « ينبغ ».</w:t>
      </w:r>
    </w:p>
    <w:p w:rsidR="00744A1C" w:rsidRDefault="00E378DD" w:rsidP="00E378DD">
      <w:pPr>
        <w:pStyle w:val="libFootnote0"/>
        <w:rPr>
          <w:lang w:bidi="fa-IR"/>
        </w:rPr>
      </w:pPr>
      <w:r>
        <w:rPr>
          <w:rtl/>
          <w:lang w:bidi="fa-IR"/>
        </w:rPr>
        <w:t>(2).</w:t>
      </w:r>
      <w:r w:rsidR="00744A1C">
        <w:rPr>
          <w:rtl/>
          <w:lang w:bidi="fa-IR"/>
        </w:rPr>
        <w:t xml:space="preserve"> في « ى ، بف ، جد ، جن » </w:t>
      </w:r>
      <w:r w:rsidR="00744A1C" w:rsidRPr="007F7038">
        <w:rPr>
          <w:rtl/>
        </w:rPr>
        <w:t>والوسائل</w:t>
      </w:r>
      <w:r w:rsidR="00744A1C">
        <w:rPr>
          <w:rtl/>
          <w:lang w:bidi="fa-IR"/>
        </w:rPr>
        <w:t xml:space="preserve"> ، ح 21157 : « ينفرون ». وفي « بس » وحاشية « بث » : « ينعرون ». والتقرّء : التنسّك والعبادة ، ورجل قارئ ومتقرّئ ، أي عابد ناسك. راجع : </w:t>
      </w:r>
      <w:r w:rsidR="00744A1C" w:rsidRPr="00E978C3">
        <w:rPr>
          <w:rStyle w:val="libFootnoteBoldChar"/>
          <w:rtl/>
        </w:rPr>
        <w:t>ترتيب كتاب العين</w:t>
      </w:r>
      <w:r w:rsidR="00744A1C">
        <w:rPr>
          <w:rtl/>
          <w:lang w:bidi="fa-IR"/>
        </w:rPr>
        <w:t xml:space="preserve"> ، ج 3 ، ص 1453 ؛ </w:t>
      </w:r>
      <w:r w:rsidR="00744A1C" w:rsidRPr="00877682">
        <w:rPr>
          <w:rStyle w:val="libFootnoteBoldChar"/>
          <w:rtl/>
        </w:rPr>
        <w:t>لسان العرب</w:t>
      </w:r>
      <w:r w:rsidR="00744A1C">
        <w:rPr>
          <w:rtl/>
          <w:lang w:bidi="fa-IR"/>
        </w:rPr>
        <w:t xml:space="preserve"> ، ج 1 ، ص 130 ( قرأ ).</w:t>
      </w:r>
    </w:p>
    <w:p w:rsidR="00744A1C" w:rsidRDefault="00E378DD" w:rsidP="007F7038">
      <w:pPr>
        <w:pStyle w:val="libFootnote0"/>
        <w:rPr>
          <w:lang w:bidi="fa-IR"/>
        </w:rPr>
      </w:pPr>
      <w:r>
        <w:rPr>
          <w:rtl/>
          <w:lang w:bidi="fa-IR"/>
        </w:rPr>
        <w:t>(3).</w:t>
      </w:r>
      <w:r w:rsidR="00744A1C">
        <w:rPr>
          <w:rtl/>
          <w:lang w:bidi="fa-IR"/>
        </w:rPr>
        <w:t xml:space="preserve"> في « ى ، بس ، بف ، جد » وحاشية « بث ، جت » : « ينسكون ». والنُّسْك والتَنَسُّك أيضاً : العبادة ، والزهد ، والطاعة ، وكلّ ما تُقُرّب به إلى الله ، فالعطف للتفسير كما قال المحقّق الفيض في </w:t>
      </w:r>
      <w:r w:rsidR="00744A1C" w:rsidRPr="007F7038">
        <w:rPr>
          <w:rtl/>
        </w:rPr>
        <w:t>الوافي</w:t>
      </w:r>
      <w:r w:rsidR="00744A1C">
        <w:rPr>
          <w:rtl/>
          <w:lang w:bidi="fa-IR"/>
        </w:rPr>
        <w:t xml:space="preserve">. وراجع : </w:t>
      </w:r>
      <w:r w:rsidR="00744A1C" w:rsidRPr="00877682">
        <w:rPr>
          <w:rStyle w:val="libFootnoteBoldChar"/>
          <w:rtl/>
        </w:rPr>
        <w:t>لسان العرب</w:t>
      </w:r>
      <w:r w:rsidR="00744A1C">
        <w:rPr>
          <w:rtl/>
          <w:lang w:bidi="fa-IR"/>
        </w:rPr>
        <w:t xml:space="preserve"> ، ج 10 ، ص 498 ( نسك ).</w:t>
      </w:r>
      <w:r w:rsidR="007F7038">
        <w:rPr>
          <w:rFonts w:hint="cs"/>
          <w:rtl/>
          <w:lang w:bidi="fa-IR"/>
        </w:rPr>
        <w:t xml:space="preserve">     </w:t>
      </w:r>
      <w:r>
        <w:rPr>
          <w:rtl/>
          <w:lang w:bidi="fa-IR"/>
        </w:rPr>
        <w:t>(4).</w:t>
      </w:r>
      <w:r w:rsidR="00744A1C">
        <w:rPr>
          <w:rtl/>
          <w:lang w:bidi="fa-IR"/>
        </w:rPr>
        <w:t xml:space="preserve"> في « بح » وحاشية « ى ، بث » : « حدّاثاً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أي ما يحسبونه ضرراً وليس بضرر ».</w:t>
      </w:r>
    </w:p>
    <w:p w:rsidR="00744A1C" w:rsidRDefault="00E378DD" w:rsidP="00E378DD">
      <w:pPr>
        <w:pStyle w:val="libFootnote0"/>
        <w:rPr>
          <w:lang w:bidi="fa-IR"/>
        </w:rPr>
      </w:pPr>
      <w:r>
        <w:rPr>
          <w:rtl/>
          <w:lang w:bidi="fa-IR"/>
        </w:rPr>
        <w:t>(6).</w:t>
      </w:r>
      <w:r w:rsidR="00744A1C">
        <w:rPr>
          <w:rtl/>
          <w:lang w:bidi="fa-IR"/>
        </w:rPr>
        <w:t xml:space="preserve"> في « بف ، جت » : « ويطلبون ».</w:t>
      </w:r>
    </w:p>
    <w:p w:rsidR="00744A1C" w:rsidRDefault="00E378DD" w:rsidP="00E378DD">
      <w:pPr>
        <w:pStyle w:val="libFootnote0"/>
        <w:rPr>
          <w:lang w:bidi="fa-IR"/>
        </w:rPr>
      </w:pPr>
      <w:r>
        <w:rPr>
          <w:rtl/>
          <w:lang w:bidi="fa-IR"/>
        </w:rPr>
        <w:t>(7).</w:t>
      </w:r>
      <w:r w:rsidR="00744A1C">
        <w:rPr>
          <w:rtl/>
          <w:lang w:bidi="fa-IR"/>
        </w:rPr>
        <w:t xml:space="preserve"> في </w:t>
      </w:r>
      <w:r w:rsidR="00744A1C" w:rsidRPr="00877682">
        <w:rPr>
          <w:rStyle w:val="libFootnoteBoldChar"/>
          <w:rtl/>
        </w:rPr>
        <w:t>مرآة العقول</w:t>
      </w:r>
      <w:r w:rsidR="00744A1C">
        <w:rPr>
          <w:rtl/>
          <w:lang w:bidi="fa-IR"/>
        </w:rPr>
        <w:t xml:space="preserve"> ، ج </w:t>
      </w:r>
      <w:r w:rsidR="007F7038">
        <w:rPr>
          <w:rtl/>
          <w:lang w:bidi="fa-IR"/>
        </w:rPr>
        <w:t>18 ، ص 400 : « أي يفشون زل</w:t>
      </w:r>
      <w:r w:rsidR="007F7038">
        <w:rPr>
          <w:rFonts w:hint="cs"/>
          <w:rtl/>
          <w:lang w:bidi="fa-IR"/>
        </w:rPr>
        <w:t>ّ</w:t>
      </w:r>
      <w:r w:rsidR="007F7038">
        <w:rPr>
          <w:rtl/>
          <w:lang w:bidi="fa-IR"/>
        </w:rPr>
        <w:t>ا</w:t>
      </w:r>
      <w:r w:rsidR="00744A1C">
        <w:rPr>
          <w:rtl/>
          <w:lang w:bidi="fa-IR"/>
        </w:rPr>
        <w:t>ت العلماء ؛ ليفسدوا علمهم عند الناس ، ويت</w:t>
      </w:r>
      <w:r w:rsidR="007F7038">
        <w:rPr>
          <w:rtl/>
          <w:lang w:bidi="fa-IR"/>
        </w:rPr>
        <w:t>ابعونهم فيما يعلمون أنّه من زل</w:t>
      </w:r>
      <w:r w:rsidR="007F7038">
        <w:rPr>
          <w:rFonts w:hint="cs"/>
          <w:rtl/>
          <w:lang w:bidi="fa-IR"/>
        </w:rPr>
        <w:t>ّا</w:t>
      </w:r>
      <w:r w:rsidR="00744A1C">
        <w:rPr>
          <w:rtl/>
          <w:lang w:bidi="fa-IR"/>
        </w:rPr>
        <w:t>تهم ، فالمراد فساد علم أنفسهم ، أو علم العلماء ، والأوّل أظهر ».</w:t>
      </w:r>
    </w:p>
    <w:p w:rsidR="00744A1C" w:rsidRDefault="00E378DD" w:rsidP="00E378DD">
      <w:pPr>
        <w:pStyle w:val="libFootnote0"/>
        <w:rPr>
          <w:lang w:bidi="fa-IR"/>
        </w:rPr>
      </w:pPr>
      <w:r>
        <w:rPr>
          <w:rtl/>
          <w:lang w:bidi="fa-IR"/>
        </w:rPr>
        <w:t>(8).</w:t>
      </w:r>
      <w:r w:rsidR="00744A1C">
        <w:rPr>
          <w:rtl/>
          <w:lang w:bidi="fa-IR"/>
        </w:rPr>
        <w:t xml:space="preserve"> في « ى ، بث ، بس ، بف » وحاشية « بح ، جت » </w:t>
      </w:r>
      <w:r w:rsidR="00744A1C" w:rsidRPr="007F7038">
        <w:rPr>
          <w:rtl/>
        </w:rPr>
        <w:t>والوافي والمرآة والتهذيب</w:t>
      </w:r>
      <w:r w:rsidR="00744A1C">
        <w:rPr>
          <w:rtl/>
          <w:lang w:bidi="fa-IR"/>
        </w:rPr>
        <w:t xml:space="preserve"> : « علمهم ».</w:t>
      </w:r>
    </w:p>
    <w:p w:rsidR="00744A1C" w:rsidRDefault="00E378DD" w:rsidP="00E378DD">
      <w:pPr>
        <w:pStyle w:val="libFootnote0"/>
        <w:rPr>
          <w:lang w:bidi="fa-IR"/>
        </w:rPr>
      </w:pPr>
      <w:r>
        <w:rPr>
          <w:rtl/>
          <w:lang w:bidi="fa-IR"/>
        </w:rPr>
        <w:t>(9).</w:t>
      </w:r>
      <w:r w:rsidR="00744A1C">
        <w:rPr>
          <w:rtl/>
          <w:lang w:bidi="fa-IR"/>
        </w:rPr>
        <w:t xml:space="preserve"> « يَكْلِمُهُمْ » من الكَلْم ، بمعنى الجرح ، قال ابن الأثير : « وفيه : ذهب الأوّلون لم تكلِمْهُمُ الدنيا من حسناتهم شيئاً ، أي لم تؤثّر فيهم ، ولم تقدح في أديانهم ، وأصل الكلْم : الجرح ». وفي </w:t>
      </w:r>
      <w:r w:rsidR="00744A1C" w:rsidRPr="00C24F9C">
        <w:rPr>
          <w:rStyle w:val="libFootnoteBoldChar"/>
          <w:rtl/>
        </w:rPr>
        <w:t>المرآة</w:t>
      </w:r>
      <w:r w:rsidR="00744A1C">
        <w:rPr>
          <w:rtl/>
          <w:lang w:bidi="fa-IR"/>
        </w:rPr>
        <w:t xml:space="preserve"> : « أي لا يضرّهم ». وراجع : </w:t>
      </w:r>
      <w:r w:rsidR="00744A1C" w:rsidRPr="00877682">
        <w:rPr>
          <w:rStyle w:val="libFootnoteBoldChar"/>
          <w:rtl/>
        </w:rPr>
        <w:t>النهاية</w:t>
      </w:r>
      <w:r w:rsidR="00744A1C">
        <w:rPr>
          <w:rtl/>
          <w:lang w:bidi="fa-IR"/>
        </w:rPr>
        <w:t xml:space="preserve"> ، ج 4 ، ص 199 ( كلم ).</w:t>
      </w:r>
    </w:p>
    <w:p w:rsidR="00744A1C" w:rsidRDefault="00E378DD" w:rsidP="007F7038">
      <w:pPr>
        <w:pStyle w:val="libFootnote0"/>
        <w:rPr>
          <w:lang w:bidi="fa-IR"/>
        </w:rPr>
      </w:pPr>
      <w:r>
        <w:rPr>
          <w:rtl/>
          <w:lang w:bidi="fa-IR"/>
        </w:rPr>
        <w:t>(10).</w:t>
      </w:r>
      <w:r w:rsidR="00744A1C">
        <w:rPr>
          <w:rtl/>
          <w:lang w:bidi="fa-IR"/>
        </w:rPr>
        <w:t xml:space="preserve"> في </w:t>
      </w:r>
      <w:r w:rsidR="00744A1C" w:rsidRPr="007F7038">
        <w:rPr>
          <w:rtl/>
        </w:rPr>
        <w:t>التهذيب</w:t>
      </w:r>
      <w:r w:rsidR="00744A1C">
        <w:rPr>
          <w:rtl/>
          <w:lang w:bidi="fa-IR"/>
        </w:rPr>
        <w:t xml:space="preserve"> : « أتمّ ». و « أسمى » تفصيل من السُّمُوّ ، بمعنى العلوّ والارتفاع. راجع : </w:t>
      </w:r>
      <w:r w:rsidR="00744A1C" w:rsidRPr="00877682">
        <w:rPr>
          <w:rStyle w:val="libFootnoteBoldChar"/>
          <w:rtl/>
        </w:rPr>
        <w:t>لسان العرب</w:t>
      </w:r>
      <w:r w:rsidR="00744A1C">
        <w:rPr>
          <w:rtl/>
          <w:lang w:bidi="fa-IR"/>
        </w:rPr>
        <w:t xml:space="preserve"> ، ج 14 ، ص 397 ( سمو ).</w:t>
      </w:r>
      <w:r w:rsidR="007F7038">
        <w:rPr>
          <w:rFonts w:hint="cs"/>
          <w:rtl/>
          <w:lang w:bidi="fa-IR"/>
        </w:rPr>
        <w:t xml:space="preserve">                    </w:t>
      </w:r>
      <w:r>
        <w:rPr>
          <w:rtl/>
          <w:lang w:bidi="fa-IR"/>
        </w:rPr>
        <w:t>(11).</w:t>
      </w:r>
      <w:r w:rsidR="00744A1C">
        <w:rPr>
          <w:rtl/>
          <w:lang w:bidi="fa-IR"/>
        </w:rPr>
        <w:t xml:space="preserve"> في « بث » : « يقام ». وفي « جت » بالتاء والياء معاً.</w:t>
      </w:r>
    </w:p>
    <w:p w:rsidR="00744A1C" w:rsidRDefault="00E378DD" w:rsidP="00E378DD">
      <w:pPr>
        <w:pStyle w:val="libFootnote0"/>
        <w:rPr>
          <w:lang w:bidi="fa-IR"/>
        </w:rPr>
      </w:pPr>
      <w:r>
        <w:rPr>
          <w:rtl/>
          <w:lang w:bidi="fa-IR"/>
        </w:rPr>
        <w:t>(12).</w:t>
      </w:r>
      <w:r w:rsidR="00744A1C">
        <w:rPr>
          <w:rtl/>
          <w:lang w:bidi="fa-IR"/>
        </w:rPr>
        <w:t xml:space="preserve"> في </w:t>
      </w:r>
      <w:r w:rsidR="00744A1C" w:rsidRPr="007F7038">
        <w:rPr>
          <w:rtl/>
        </w:rPr>
        <w:t>الوسائل</w:t>
      </w:r>
      <w:r w:rsidR="00744A1C">
        <w:rPr>
          <w:rtl/>
          <w:lang w:bidi="fa-IR"/>
        </w:rPr>
        <w:t xml:space="preserve"> ، ح 21132 : « الأشرار ».</w:t>
      </w:r>
    </w:p>
    <w:p w:rsidR="006A5060" w:rsidRDefault="006A5060" w:rsidP="00D10E3C">
      <w:pPr>
        <w:pStyle w:val="libNormal"/>
        <w:rPr>
          <w:rtl/>
          <w:lang w:bidi="fa-IR"/>
        </w:rPr>
      </w:pPr>
      <w:r>
        <w:rPr>
          <w:rtl/>
          <w:lang w:bidi="fa-IR"/>
        </w:rPr>
        <w:br w:type="page"/>
      </w:r>
    </w:p>
    <w:p w:rsidR="00744A1C" w:rsidRDefault="00744A1C" w:rsidP="007F7038">
      <w:pPr>
        <w:pStyle w:val="libNormal0"/>
        <w:rPr>
          <w:lang w:bidi="fa-IR"/>
        </w:rPr>
      </w:pPr>
      <w:r>
        <w:rPr>
          <w:rtl/>
          <w:lang w:bidi="fa-IR"/>
        </w:rPr>
        <w:t xml:space="preserve">الْأَنْبِيَاءِ ، وَمِنْهَاجُ الصُّلَحَاءِ </w:t>
      </w:r>
      <w:r w:rsidRPr="00D10E3C">
        <w:rPr>
          <w:rStyle w:val="libFootnotenumChar"/>
          <w:rtl/>
        </w:rPr>
        <w:t>(1)</w:t>
      </w:r>
      <w:r>
        <w:rPr>
          <w:rtl/>
          <w:lang w:bidi="fa-IR"/>
        </w:rPr>
        <w:t xml:space="preserve"> ، فَرِيضَةٌ عَظِيمَةٌ ، بِهَا تُقَامُ </w:t>
      </w:r>
      <w:r w:rsidRPr="00D10E3C">
        <w:rPr>
          <w:rStyle w:val="libFootnotenumChar"/>
          <w:rtl/>
        </w:rPr>
        <w:t>(2)</w:t>
      </w:r>
      <w:r>
        <w:rPr>
          <w:rtl/>
          <w:lang w:bidi="fa-IR"/>
        </w:rPr>
        <w:t xml:space="preserve"> الْفَرَائِضُ ، وَتَأْمَنُ </w:t>
      </w:r>
      <w:r w:rsidRPr="00D10E3C">
        <w:rPr>
          <w:rStyle w:val="libFootnotenumChar"/>
          <w:rtl/>
        </w:rPr>
        <w:t>(3)</w:t>
      </w:r>
      <w:r>
        <w:rPr>
          <w:rtl/>
          <w:lang w:bidi="fa-IR"/>
        </w:rPr>
        <w:t xml:space="preserve"> الْمَذَاهِبُ </w:t>
      </w:r>
      <w:r w:rsidRPr="00D10E3C">
        <w:rPr>
          <w:rStyle w:val="libFootnotenumChar"/>
          <w:rtl/>
        </w:rPr>
        <w:t>(4)</w:t>
      </w:r>
      <w:r>
        <w:rPr>
          <w:rtl/>
          <w:lang w:bidi="fa-IR"/>
        </w:rPr>
        <w:t xml:space="preserve"> ، وَتَحِلُّ </w:t>
      </w:r>
      <w:r w:rsidRPr="00D10E3C">
        <w:rPr>
          <w:rStyle w:val="libFootnotenumChar"/>
          <w:rtl/>
        </w:rPr>
        <w:t>(5)</w:t>
      </w:r>
      <w:r>
        <w:rPr>
          <w:rtl/>
          <w:lang w:bidi="fa-IR"/>
        </w:rPr>
        <w:t xml:space="preserve"> الْمَكَاسِبُ ، وَتُرَدُّ </w:t>
      </w:r>
      <w:r w:rsidRPr="00D10E3C">
        <w:rPr>
          <w:rStyle w:val="libFootnotenumChar"/>
          <w:rtl/>
        </w:rPr>
        <w:t>(6)</w:t>
      </w:r>
      <w:r>
        <w:rPr>
          <w:rtl/>
          <w:lang w:bidi="fa-IR"/>
        </w:rPr>
        <w:t xml:space="preserve"> الْمَظَالِمُ ، وَتُعْمَرُ </w:t>
      </w:r>
      <w:r w:rsidRPr="00D10E3C">
        <w:rPr>
          <w:rStyle w:val="libFootnotenumChar"/>
          <w:rtl/>
        </w:rPr>
        <w:t>(7)</w:t>
      </w:r>
      <w:r>
        <w:rPr>
          <w:rtl/>
          <w:lang w:bidi="fa-IR"/>
        </w:rPr>
        <w:t xml:space="preserve"> الْأَرْضُ ، وَيُنْتَصَفُ مِنَ الْأَعْدَاءِ ، وَيَسْتَقِيمُ الْأَمْرُ </w:t>
      </w:r>
      <w:r w:rsidRPr="00D10E3C">
        <w:rPr>
          <w:rStyle w:val="libFootnotenumChar"/>
          <w:rtl/>
        </w:rPr>
        <w:t>(8)</w:t>
      </w:r>
      <w:r>
        <w:rPr>
          <w:rtl/>
          <w:lang w:bidi="fa-IR"/>
        </w:rPr>
        <w:t xml:space="preserve"> ، فَأَنْكِرُوا بِقُلُوبِكُمْ ، وَالْفِظُوا بِأَلْسِنَتِكُمْ ، وَصُكُّوا </w:t>
      </w:r>
      <w:r w:rsidRPr="00D10E3C">
        <w:rPr>
          <w:rStyle w:val="libFootnotenumChar"/>
          <w:rtl/>
        </w:rPr>
        <w:t>(9)</w:t>
      </w:r>
      <w:r>
        <w:rPr>
          <w:rtl/>
          <w:lang w:bidi="fa-IR"/>
        </w:rPr>
        <w:t xml:space="preserve"> بِهَا جِبَاهَهُمْ </w:t>
      </w:r>
      <w:r w:rsidRPr="00D10E3C">
        <w:rPr>
          <w:rStyle w:val="libFootnotenumChar"/>
          <w:rtl/>
        </w:rPr>
        <w:t>(10)</w:t>
      </w:r>
      <w:r>
        <w:rPr>
          <w:rtl/>
          <w:lang w:bidi="fa-IR"/>
        </w:rPr>
        <w:t xml:space="preserve"> ، وَلَا تَخَافُوا فِي اللهِ لَوْمَةَ لَائِمٍ ، فَإِنِ اتَّعَظُوا وَإِلَى الْحَقِّ رَجَعُوا ، فَلَا سَبِيلَ عَلَيْهِمْ</w:t>
      </w:r>
      <w:r w:rsidR="007F7038">
        <w:rPr>
          <w:rFonts w:hint="cs"/>
          <w:rtl/>
          <w:lang w:bidi="fa-IR"/>
        </w:rPr>
        <w:t xml:space="preserve"> </w:t>
      </w:r>
      <w:r w:rsidRPr="007F7038">
        <w:rPr>
          <w:rStyle w:val="libAlaemChar"/>
          <w:rtl/>
        </w:rPr>
        <w:t>(</w:t>
      </w:r>
      <w:r w:rsidRPr="007F7038">
        <w:rPr>
          <w:rStyle w:val="libAieChar"/>
          <w:rtl/>
        </w:rPr>
        <w:t xml:space="preserve"> إِنَّمَا السَّبِيلُ عَلَى الَّذِينَ يَظْلِمُونَ النّاسَ وَيَبْغُونَ </w:t>
      </w:r>
      <w:r w:rsidRPr="007F7038">
        <w:rPr>
          <w:rStyle w:val="libFootnotenumChar"/>
          <w:rtl/>
        </w:rPr>
        <w:t>(11)</w:t>
      </w:r>
      <w:r w:rsidRPr="007F7038">
        <w:rPr>
          <w:rStyle w:val="libAieChar"/>
          <w:rtl/>
        </w:rPr>
        <w:t xml:space="preserve"> فِي الْأَرْضِ بِغَيْرِ الْحَقِّ أُولئِكَ لَهُمْ عَذابٌ أَلِيمٌ </w:t>
      </w:r>
      <w:r w:rsidRPr="007F7038">
        <w:rPr>
          <w:rStyle w:val="libAlaemChar"/>
          <w:rtl/>
        </w:rPr>
        <w:t>)</w:t>
      </w:r>
      <w:r>
        <w:rPr>
          <w:rtl/>
          <w:lang w:bidi="fa-IR"/>
        </w:rPr>
        <w:t xml:space="preserve"> </w:t>
      </w:r>
      <w:r w:rsidRPr="00D10E3C">
        <w:rPr>
          <w:rStyle w:val="libFootnotenumChar"/>
          <w:rtl/>
        </w:rPr>
        <w:t>(12)</w:t>
      </w:r>
      <w:r>
        <w:rPr>
          <w:rtl/>
          <w:lang w:bidi="fa-IR"/>
        </w:rPr>
        <w:t xml:space="preserve"> هُنَالِكَ فَجَاهِدُوهُمْ بِأَبْدَانِكُمْ ، وَأَبْغِضُوهُمْ </w:t>
      </w:r>
      <w:r w:rsidRPr="00D10E3C">
        <w:rPr>
          <w:rStyle w:val="libFootnotenumChar"/>
          <w:rtl/>
        </w:rPr>
        <w:t>(13)</w:t>
      </w:r>
      <w:r>
        <w:rPr>
          <w:rtl/>
          <w:lang w:bidi="fa-IR"/>
        </w:rPr>
        <w:t xml:space="preserve"> بِقُلُوبِكُمْ ، غَيْرَ طَالِبِينَ سُلْطَاناً ، وَلَا بَاغِينَ مَالاً ، وَلَا مُرِيدِينَ بِظُلْمٍ </w:t>
      </w:r>
      <w:r w:rsidRPr="00D10E3C">
        <w:rPr>
          <w:rStyle w:val="libFootnotenumChar"/>
          <w:rtl/>
        </w:rPr>
        <w:t>(14)</w:t>
      </w:r>
      <w:r>
        <w:rPr>
          <w:rtl/>
          <w:lang w:bidi="fa-IR"/>
        </w:rPr>
        <w:t xml:space="preserve"> ظَفَراً </w:t>
      </w:r>
      <w:r w:rsidRPr="00D10E3C">
        <w:rPr>
          <w:rStyle w:val="libFootnotenumChar"/>
          <w:rtl/>
        </w:rPr>
        <w:t>(15)</w:t>
      </w:r>
      <w:r>
        <w:rPr>
          <w:rtl/>
          <w:lang w:bidi="fa-IR"/>
        </w:rPr>
        <w:t xml:space="preserve"> حَتّى يَفِيئُوا </w:t>
      </w:r>
      <w:r w:rsidRPr="00D10E3C">
        <w:rPr>
          <w:rStyle w:val="libFootnotenumChar"/>
          <w:rtl/>
        </w:rPr>
        <w:t>(16)</w:t>
      </w:r>
      <w:r>
        <w:rPr>
          <w:rtl/>
          <w:lang w:bidi="fa-IR"/>
        </w:rPr>
        <w:t xml:space="preserve"> إِلَى أَمْرِ اللهِ ، وَيَمْضُوا عَلى طَاعَتِهِ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7F7038">
        <w:rPr>
          <w:rtl/>
        </w:rPr>
        <w:t>الوافي</w:t>
      </w:r>
      <w:r w:rsidR="00744A1C">
        <w:rPr>
          <w:rtl/>
          <w:lang w:bidi="fa-IR"/>
        </w:rPr>
        <w:t xml:space="preserve"> : « الصالحين ».</w:t>
      </w:r>
    </w:p>
    <w:p w:rsidR="00744A1C" w:rsidRDefault="00E378DD" w:rsidP="00E378DD">
      <w:pPr>
        <w:pStyle w:val="libFootnote0"/>
        <w:rPr>
          <w:lang w:bidi="fa-IR"/>
        </w:rPr>
      </w:pPr>
      <w:r>
        <w:rPr>
          <w:rtl/>
          <w:lang w:bidi="fa-IR"/>
        </w:rPr>
        <w:t>(2).</w:t>
      </w:r>
      <w:r w:rsidR="00744A1C">
        <w:rPr>
          <w:rtl/>
          <w:lang w:bidi="fa-IR"/>
        </w:rPr>
        <w:t xml:space="preserve"> في « بث ، بح ، بف ، جد » : « يقام ». وفي « جت » بالتاء والياء معاً.</w:t>
      </w:r>
    </w:p>
    <w:p w:rsidR="00744A1C" w:rsidRDefault="00E378DD" w:rsidP="00E378DD">
      <w:pPr>
        <w:pStyle w:val="libFootnote0"/>
        <w:rPr>
          <w:lang w:bidi="fa-IR"/>
        </w:rPr>
      </w:pPr>
      <w:r>
        <w:rPr>
          <w:rtl/>
          <w:lang w:bidi="fa-IR"/>
        </w:rPr>
        <w:t>(3).</w:t>
      </w:r>
      <w:r w:rsidR="00744A1C">
        <w:rPr>
          <w:rtl/>
          <w:lang w:bidi="fa-IR"/>
        </w:rPr>
        <w:t xml:space="preserve"> في « بح » : « ويأمن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وتأمن المذاهب ، أي مسالك الدين من بدع المبطلين ، أو الطرق الظاهرة ، أو الأعمّ منهما ».</w:t>
      </w:r>
    </w:p>
    <w:p w:rsidR="00744A1C" w:rsidRDefault="00E378DD" w:rsidP="00E378DD">
      <w:pPr>
        <w:pStyle w:val="libFootnote0"/>
        <w:rPr>
          <w:lang w:bidi="fa-IR"/>
        </w:rPr>
      </w:pPr>
      <w:r>
        <w:rPr>
          <w:rtl/>
          <w:lang w:bidi="fa-IR"/>
        </w:rPr>
        <w:t>(5).</w:t>
      </w:r>
      <w:r w:rsidR="00744A1C">
        <w:rPr>
          <w:rtl/>
          <w:lang w:bidi="fa-IR"/>
        </w:rPr>
        <w:t xml:space="preserve"> في « بح » بالتاء والياء معاً.</w:t>
      </w:r>
    </w:p>
    <w:p w:rsidR="00744A1C" w:rsidRDefault="00E378DD" w:rsidP="00E378DD">
      <w:pPr>
        <w:pStyle w:val="libFootnote0"/>
        <w:rPr>
          <w:lang w:bidi="fa-IR"/>
        </w:rPr>
      </w:pPr>
      <w:r>
        <w:rPr>
          <w:rtl/>
          <w:lang w:bidi="fa-IR"/>
        </w:rPr>
        <w:t>(6).</w:t>
      </w:r>
      <w:r w:rsidR="00744A1C">
        <w:rPr>
          <w:rtl/>
          <w:lang w:bidi="fa-IR"/>
        </w:rPr>
        <w:t xml:space="preserve"> في « بح » : « ويردّ ».</w:t>
      </w:r>
    </w:p>
    <w:p w:rsidR="00744A1C" w:rsidRDefault="00E378DD" w:rsidP="00E378DD">
      <w:pPr>
        <w:pStyle w:val="libFootnote0"/>
        <w:rPr>
          <w:lang w:bidi="fa-IR"/>
        </w:rPr>
      </w:pPr>
      <w:r>
        <w:rPr>
          <w:rtl/>
          <w:lang w:bidi="fa-IR"/>
        </w:rPr>
        <w:t>(7).</w:t>
      </w:r>
      <w:r w:rsidR="00744A1C">
        <w:rPr>
          <w:rtl/>
          <w:lang w:bidi="fa-IR"/>
        </w:rPr>
        <w:t xml:space="preserve"> في « جد » : « ويعمّر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ويستقيم الأمر ، أي أمر الدين والدنيا ».</w:t>
      </w:r>
    </w:p>
    <w:p w:rsidR="00744A1C" w:rsidRDefault="00E378DD" w:rsidP="00E378DD">
      <w:pPr>
        <w:pStyle w:val="libFootnote0"/>
        <w:rPr>
          <w:lang w:bidi="fa-IR"/>
        </w:rPr>
      </w:pPr>
      <w:r>
        <w:rPr>
          <w:rtl/>
          <w:lang w:bidi="fa-IR"/>
        </w:rPr>
        <w:t>(9).</w:t>
      </w:r>
      <w:r w:rsidR="00744A1C">
        <w:rPr>
          <w:rtl/>
          <w:lang w:bidi="fa-IR"/>
        </w:rPr>
        <w:t xml:space="preserve"> الصَّكّ : ضرب الشي‌ء بالشي‌ء شديداً ، أو الضرب الشديد بالشي‌ء العريض. راجع : </w:t>
      </w:r>
      <w:r w:rsidR="00744A1C" w:rsidRPr="00E978C3">
        <w:rPr>
          <w:rStyle w:val="libFootnoteBoldChar"/>
          <w:rtl/>
        </w:rPr>
        <w:t>ترتيب كتاب العين</w:t>
      </w:r>
      <w:r w:rsidR="00744A1C">
        <w:rPr>
          <w:rtl/>
          <w:lang w:bidi="fa-IR"/>
        </w:rPr>
        <w:t xml:space="preserve"> ، ج 2 ، ص 1000 ؛ </w:t>
      </w:r>
      <w:r w:rsidR="00744A1C" w:rsidRPr="00877682">
        <w:rPr>
          <w:rStyle w:val="libFootnoteBoldChar"/>
          <w:rtl/>
        </w:rPr>
        <w:t>لسان العرب</w:t>
      </w:r>
      <w:r w:rsidR="00744A1C">
        <w:rPr>
          <w:rtl/>
          <w:lang w:bidi="fa-IR"/>
        </w:rPr>
        <w:t xml:space="preserve"> ، ج 10 ، ص 456 ( صكك ).</w:t>
      </w:r>
    </w:p>
    <w:p w:rsidR="00744A1C" w:rsidRDefault="00E378DD" w:rsidP="00E378DD">
      <w:pPr>
        <w:pStyle w:val="libFootnote0"/>
        <w:rPr>
          <w:lang w:bidi="fa-IR"/>
        </w:rPr>
      </w:pPr>
      <w:r>
        <w:rPr>
          <w:rtl/>
          <w:lang w:bidi="fa-IR"/>
        </w:rPr>
        <w:t>(10).</w:t>
      </w:r>
      <w:r w:rsidR="00744A1C">
        <w:rPr>
          <w:rtl/>
          <w:lang w:bidi="fa-IR"/>
        </w:rPr>
        <w:t xml:space="preserve"> جِباه ، جمع الجَبهة : موضع السجود. قال الخليل : « هي مستوى ما بين الحاجبين إلى الناصية ». </w:t>
      </w:r>
      <w:r w:rsidR="00744A1C" w:rsidRPr="00E978C3">
        <w:rPr>
          <w:rStyle w:val="libFootnoteBoldChar"/>
          <w:rtl/>
        </w:rPr>
        <w:t>ترتيب كتاب العين</w:t>
      </w:r>
      <w:r w:rsidR="00744A1C">
        <w:rPr>
          <w:rtl/>
          <w:lang w:bidi="fa-IR"/>
        </w:rPr>
        <w:t xml:space="preserve"> ، ج 1 ، ص 261 ؛ </w:t>
      </w:r>
      <w:r w:rsidR="00744A1C" w:rsidRPr="00877682">
        <w:rPr>
          <w:rStyle w:val="libFootnoteBoldChar"/>
          <w:rtl/>
        </w:rPr>
        <w:t>لسان العرب</w:t>
      </w:r>
      <w:r w:rsidR="00744A1C">
        <w:rPr>
          <w:rtl/>
          <w:lang w:bidi="fa-IR"/>
        </w:rPr>
        <w:t xml:space="preserve"> ، ج 13 ، ص 483 ( جبه ).</w:t>
      </w:r>
    </w:p>
    <w:p w:rsidR="00744A1C" w:rsidRDefault="00E378DD" w:rsidP="00E378DD">
      <w:pPr>
        <w:pStyle w:val="libFootnote0"/>
        <w:rPr>
          <w:lang w:bidi="fa-IR"/>
        </w:rPr>
      </w:pPr>
      <w:r>
        <w:rPr>
          <w:rtl/>
          <w:lang w:bidi="fa-IR"/>
        </w:rPr>
        <w:t>(11).</w:t>
      </w:r>
      <w:r w:rsidR="00744A1C">
        <w:rPr>
          <w:rtl/>
          <w:lang w:bidi="fa-IR"/>
        </w:rPr>
        <w:t xml:space="preserve"> البَغي : الظلم ، والاعتداء ، والطلب. راجع : </w:t>
      </w:r>
      <w:r w:rsidR="00744A1C" w:rsidRPr="00E978C3">
        <w:rPr>
          <w:rStyle w:val="libFootnoteBoldChar"/>
          <w:rtl/>
        </w:rPr>
        <w:t>المصباح المنير</w:t>
      </w:r>
      <w:r w:rsidR="00744A1C">
        <w:rPr>
          <w:rtl/>
          <w:lang w:bidi="fa-IR"/>
        </w:rPr>
        <w:t xml:space="preserve"> ، ص 57 ( بغى ).</w:t>
      </w:r>
    </w:p>
    <w:tbl>
      <w:tblPr>
        <w:tblStyle w:val="TableGrid"/>
        <w:bidiVisual/>
        <w:tblW w:w="0" w:type="auto"/>
        <w:tblLook w:val="04A0" w:firstRow="1" w:lastRow="0" w:firstColumn="1" w:lastColumn="0" w:noHBand="0" w:noVBand="1"/>
      </w:tblPr>
      <w:tblGrid>
        <w:gridCol w:w="4006"/>
        <w:gridCol w:w="4006"/>
      </w:tblGrid>
      <w:tr w:rsidR="00E07021" w:rsidTr="00E07021">
        <w:tc>
          <w:tcPr>
            <w:tcW w:w="4006" w:type="dxa"/>
          </w:tcPr>
          <w:p w:rsidR="00E07021" w:rsidRDefault="00E07021" w:rsidP="00E378DD">
            <w:pPr>
              <w:pStyle w:val="libFootnote0"/>
              <w:rPr>
                <w:rtl/>
                <w:lang w:bidi="fa-IR"/>
              </w:rPr>
            </w:pPr>
            <w:r>
              <w:rPr>
                <w:rtl/>
                <w:lang w:bidi="fa-IR"/>
              </w:rPr>
              <w:t>(12). الشورى (42) : 42.</w:t>
            </w:r>
          </w:p>
        </w:tc>
        <w:tc>
          <w:tcPr>
            <w:tcW w:w="4006" w:type="dxa"/>
          </w:tcPr>
          <w:p w:rsidR="00E07021" w:rsidRDefault="00E07021" w:rsidP="00E378DD">
            <w:pPr>
              <w:pStyle w:val="libFootnote0"/>
              <w:rPr>
                <w:rtl/>
                <w:lang w:bidi="fa-IR"/>
              </w:rPr>
            </w:pPr>
            <w:r>
              <w:rPr>
                <w:rtl/>
                <w:lang w:bidi="fa-IR"/>
              </w:rPr>
              <w:t>(13). في « بف » : « وأبغضوا ».</w:t>
            </w:r>
          </w:p>
        </w:tc>
      </w:tr>
    </w:tbl>
    <w:p w:rsidR="00744A1C" w:rsidRDefault="00E378DD" w:rsidP="00E378DD">
      <w:pPr>
        <w:pStyle w:val="libFootnote0"/>
        <w:rPr>
          <w:lang w:bidi="fa-IR"/>
        </w:rPr>
      </w:pPr>
      <w:r>
        <w:rPr>
          <w:rtl/>
          <w:lang w:bidi="fa-IR"/>
        </w:rPr>
        <w:t>(14).</w:t>
      </w:r>
      <w:r w:rsidR="00744A1C">
        <w:rPr>
          <w:rtl/>
          <w:lang w:bidi="fa-IR"/>
        </w:rPr>
        <w:t xml:space="preserve"> في « ى ، بث ، بح ، جد » </w:t>
      </w:r>
      <w:r w:rsidR="00744A1C" w:rsidRPr="00E07021">
        <w:rPr>
          <w:rtl/>
        </w:rPr>
        <w:t>والوسائل</w:t>
      </w:r>
      <w:r w:rsidR="00744A1C">
        <w:rPr>
          <w:rtl/>
          <w:lang w:bidi="fa-IR"/>
        </w:rPr>
        <w:t xml:space="preserve"> ، ح 21162 </w:t>
      </w:r>
      <w:r w:rsidR="00744A1C" w:rsidRPr="00E07021">
        <w:rPr>
          <w:rtl/>
        </w:rPr>
        <w:t>والتهذيب</w:t>
      </w:r>
      <w:r w:rsidR="00744A1C">
        <w:rPr>
          <w:rtl/>
          <w:lang w:bidi="fa-IR"/>
        </w:rPr>
        <w:t xml:space="preserve"> : « بالظلم ».</w:t>
      </w:r>
    </w:p>
    <w:p w:rsidR="00744A1C" w:rsidRDefault="00E378DD" w:rsidP="00E378DD">
      <w:pPr>
        <w:pStyle w:val="libFootnote0"/>
        <w:rPr>
          <w:lang w:bidi="fa-IR"/>
        </w:rPr>
      </w:pPr>
      <w:r>
        <w:rPr>
          <w:rtl/>
          <w:lang w:bidi="fa-IR"/>
        </w:rPr>
        <w:t>(15).</w:t>
      </w:r>
      <w:r w:rsidR="00744A1C">
        <w:rPr>
          <w:rtl/>
          <w:lang w:bidi="fa-IR"/>
        </w:rPr>
        <w:t xml:space="preserve"> في </w:t>
      </w:r>
      <w:r w:rsidR="00744A1C" w:rsidRPr="00C24F9C">
        <w:rPr>
          <w:rStyle w:val="libFootnoteBoldChar"/>
          <w:rtl/>
        </w:rPr>
        <w:t>الوافي</w:t>
      </w:r>
      <w:r w:rsidR="00744A1C">
        <w:rPr>
          <w:rtl/>
          <w:lang w:bidi="fa-IR"/>
        </w:rPr>
        <w:t xml:space="preserve"> : « يعني غير متوسّلين إلى الظفر عليهم بالظلم ، بل بالعدل ». وفي </w:t>
      </w:r>
      <w:r w:rsidR="00744A1C" w:rsidRPr="00C24F9C">
        <w:rPr>
          <w:rStyle w:val="libFootnoteBoldChar"/>
          <w:rtl/>
        </w:rPr>
        <w:t>المرآة</w:t>
      </w:r>
      <w:r w:rsidR="00744A1C">
        <w:rPr>
          <w:rtl/>
          <w:lang w:bidi="fa-IR"/>
        </w:rPr>
        <w:t xml:space="preserve"> : « بظلم ظفراً ، أي ظفراً بالظلم ، أي لا يكون عرضكم ، أي تظفروا وتغلبوا ، ثمّ تظلموا ، أو لا يكون ظفركم عليهم على وجه الظلم ، بل بالعدل ».</w:t>
      </w:r>
    </w:p>
    <w:p w:rsidR="00744A1C" w:rsidRDefault="00744A1C" w:rsidP="00D10E3C">
      <w:pPr>
        <w:pStyle w:val="libFootnote0"/>
        <w:rPr>
          <w:lang w:bidi="fa-IR"/>
        </w:rPr>
      </w:pPr>
      <w:r>
        <w:rPr>
          <w:rtl/>
          <w:lang w:bidi="fa-IR"/>
        </w:rPr>
        <w:t xml:space="preserve">(16) الفي‌ء : الرجوع. ويفيئوا ، أي يرجعوا. راجع : </w:t>
      </w:r>
      <w:r w:rsidRPr="00877682">
        <w:rPr>
          <w:rStyle w:val="libFootnoteBoldChar"/>
          <w:rtl/>
        </w:rPr>
        <w:t>لسان العرب</w:t>
      </w:r>
      <w:r>
        <w:rPr>
          <w:rtl/>
          <w:lang w:bidi="fa-IR"/>
        </w:rPr>
        <w:t xml:space="preserve"> ، ج 1 ، ص 126 ( فاء ).</w:t>
      </w:r>
    </w:p>
    <w:p w:rsidR="00E07021" w:rsidRDefault="00E07021" w:rsidP="00E07021">
      <w:pPr>
        <w:pStyle w:val="libNormal"/>
        <w:rPr>
          <w:rtl/>
          <w:lang w:bidi="fa-IR"/>
        </w:rPr>
      </w:pPr>
      <w:r>
        <w:rPr>
          <w:rtl/>
          <w:lang w:bidi="fa-IR"/>
        </w:rPr>
        <w:br w:type="page"/>
      </w:r>
    </w:p>
    <w:p w:rsidR="00144FA6" w:rsidRDefault="00744A1C" w:rsidP="00E07021">
      <w:pPr>
        <w:pStyle w:val="libNormal"/>
        <w:rPr>
          <w:rtl/>
          <w:lang w:bidi="fa-IR"/>
        </w:rPr>
      </w:pPr>
      <w:r>
        <w:rPr>
          <w:rtl/>
          <w:lang w:bidi="fa-IR"/>
        </w:rPr>
        <w:t xml:space="preserve">قَالَ : « وَأَوْحَى </w:t>
      </w:r>
      <w:r w:rsidR="00D10E3C" w:rsidRPr="00E07021">
        <w:rPr>
          <w:rStyle w:val="libFootnotenumChar"/>
          <w:rtl/>
        </w:rPr>
        <w:t>(1)</w:t>
      </w:r>
      <w:r w:rsidR="00D10E3C">
        <w:rPr>
          <w:rtl/>
          <w:lang w:bidi="fa-IR"/>
        </w:rPr>
        <w:t>.</w:t>
      </w:r>
      <w:r>
        <w:rPr>
          <w:rtl/>
          <w:lang w:bidi="fa-IR"/>
        </w:rPr>
        <w:t xml:space="preserve"> اللهُ - عَزَّ وَجَلَّ - إِلى شُعَيْبٍ النَّبِيِّ </w:t>
      </w:r>
      <w:r w:rsidR="0061079A" w:rsidRPr="00E07021">
        <w:rPr>
          <w:rStyle w:val="libAlaemChar"/>
          <w:rtl/>
        </w:rPr>
        <w:t>عليه‌السلام</w:t>
      </w:r>
      <w:r w:rsidR="00D10E3C">
        <w:rPr>
          <w:rtl/>
          <w:lang w:bidi="fa-IR"/>
        </w:rPr>
        <w:t xml:space="preserve"> </w:t>
      </w:r>
      <w:r>
        <w:rPr>
          <w:rtl/>
          <w:lang w:bidi="fa-IR"/>
        </w:rPr>
        <w:t xml:space="preserve">: أَنِّي مُعَذِّبٌ مِنْ قَوْمِكَ مِائَةَ أَلْفٍ ، أَرْبَعِينَ أَلْفاً مِنْ شِرَارِهِمْ ، وَسِتِّينَ أَلْفاً مِنْ خِيَارِهِمْ ، فَقَالَ </w:t>
      </w:r>
      <w:r w:rsidR="0061079A" w:rsidRPr="00E07021">
        <w:rPr>
          <w:rStyle w:val="libAlaemChar"/>
          <w:rtl/>
        </w:rPr>
        <w:t>عليه‌السلام</w:t>
      </w:r>
      <w:r w:rsidR="00D10E3C">
        <w:rPr>
          <w:rtl/>
          <w:lang w:bidi="fa-IR"/>
        </w:rPr>
        <w:t xml:space="preserve"> </w:t>
      </w:r>
      <w:r>
        <w:rPr>
          <w:rtl/>
          <w:lang w:bidi="fa-IR"/>
        </w:rPr>
        <w:t xml:space="preserve">: يَا رَبِّ ، هؤُلَاءِ الْأَشْرَارُ </w:t>
      </w:r>
      <w:r w:rsidR="00E378DD" w:rsidRPr="00E07021">
        <w:rPr>
          <w:rStyle w:val="libFootnotenumChar"/>
          <w:rtl/>
        </w:rPr>
        <w:t>(2)</w:t>
      </w:r>
      <w:r w:rsidR="00E378DD">
        <w:rPr>
          <w:rtl/>
          <w:lang w:bidi="fa-IR"/>
        </w:rPr>
        <w:t>.</w:t>
      </w:r>
      <w:r>
        <w:rPr>
          <w:rtl/>
          <w:lang w:bidi="fa-IR"/>
        </w:rPr>
        <w:t xml:space="preserve"> ، فَمَا بَالُ الْأَخْيَارِ؟ فَأَوْحَى اللهُ - عَزَّ وَجَلَّ - إِلَيْهِ </w:t>
      </w:r>
      <w:r w:rsidR="00E378DD" w:rsidRPr="00E07021">
        <w:rPr>
          <w:rStyle w:val="libFootnotenumChar"/>
          <w:rtl/>
        </w:rPr>
        <w:t>(3)</w:t>
      </w:r>
      <w:r w:rsidR="00E378DD">
        <w:rPr>
          <w:rtl/>
          <w:lang w:bidi="fa-IR"/>
        </w:rPr>
        <w:t>.</w:t>
      </w:r>
      <w:r>
        <w:rPr>
          <w:rtl/>
          <w:lang w:bidi="fa-IR"/>
        </w:rPr>
        <w:t xml:space="preserve"> : دَاهَنُوا </w:t>
      </w:r>
      <w:r w:rsidR="00E378DD" w:rsidRPr="00E07021">
        <w:rPr>
          <w:rStyle w:val="libFootnotenumChar"/>
          <w:rtl/>
        </w:rPr>
        <w:t>(4)</w:t>
      </w:r>
      <w:r w:rsidR="00E378DD">
        <w:rPr>
          <w:rtl/>
          <w:lang w:bidi="fa-IR"/>
        </w:rPr>
        <w:t>.</w:t>
      </w:r>
      <w:r>
        <w:rPr>
          <w:rtl/>
          <w:lang w:bidi="fa-IR"/>
        </w:rPr>
        <w:t xml:space="preserve"> أَهْلَ الْمَعَاصِي ، وَلَمْ يَغْضَبُوا لِغَضَبِي ». </w:t>
      </w:r>
      <w:r w:rsidR="00E378DD" w:rsidRPr="00E07021">
        <w:rPr>
          <w:rStyle w:val="libFootnotenumChar"/>
          <w:rtl/>
        </w:rPr>
        <w:t>(5)</w:t>
      </w:r>
      <w:r w:rsidR="00E378DD">
        <w:rPr>
          <w:rtl/>
          <w:lang w:bidi="fa-IR"/>
        </w:rPr>
        <w:t>.</w:t>
      </w:r>
    </w:p>
    <w:p w:rsidR="00144FA6" w:rsidRDefault="00744A1C" w:rsidP="00E07021">
      <w:pPr>
        <w:pStyle w:val="libNormal"/>
        <w:rPr>
          <w:rtl/>
          <w:lang w:bidi="fa-IR"/>
        </w:rPr>
      </w:pPr>
      <w:r>
        <w:rPr>
          <w:rtl/>
          <w:lang w:bidi="fa-IR"/>
        </w:rPr>
        <w:t>8320 / 2. عَلِيُّ بْنُ إِبْرَاهِيمَ ، عَنْ أَبِيهِ ، عَنِ ابْنِ أَبِي عُمَيْرٍ ، عَنْ جَمَاعَةٍ مِنْ أَصْحَابِنَا :</w:t>
      </w:r>
    </w:p>
    <w:p w:rsidR="00144FA6" w:rsidRDefault="00744A1C" w:rsidP="00E07021">
      <w:pPr>
        <w:pStyle w:val="libNormal"/>
        <w:rPr>
          <w:rtl/>
          <w:lang w:bidi="fa-IR"/>
        </w:rPr>
      </w:pPr>
      <w:r>
        <w:rPr>
          <w:rtl/>
          <w:lang w:bidi="fa-IR"/>
        </w:rPr>
        <w:t xml:space="preserve">عَنْ أَبِي عَبْدِ اللهِ </w:t>
      </w:r>
      <w:r w:rsidR="0061079A" w:rsidRPr="00E07021">
        <w:rPr>
          <w:rStyle w:val="libAlaemChar"/>
          <w:rtl/>
        </w:rPr>
        <w:t>عليه‌السلام</w:t>
      </w:r>
      <w:r w:rsidR="00D10E3C">
        <w:rPr>
          <w:rtl/>
          <w:lang w:bidi="fa-IR"/>
        </w:rPr>
        <w:t xml:space="preserve"> </w:t>
      </w:r>
      <w:r>
        <w:rPr>
          <w:rtl/>
          <w:lang w:bidi="fa-IR"/>
        </w:rPr>
        <w:t xml:space="preserve">، قَالَ : « مَا قُدِّسَتْ أُمَّةٌ لَمْ يُؤْخَذْ </w:t>
      </w:r>
      <w:r w:rsidR="00E378DD" w:rsidRPr="00E07021">
        <w:rPr>
          <w:rStyle w:val="libFootnotenumChar"/>
          <w:rtl/>
        </w:rPr>
        <w:t>(6)</w:t>
      </w:r>
      <w:r w:rsidR="00E378DD">
        <w:rPr>
          <w:rtl/>
          <w:lang w:bidi="fa-IR"/>
        </w:rPr>
        <w:t>.</w:t>
      </w:r>
      <w:r>
        <w:rPr>
          <w:rtl/>
          <w:lang w:bidi="fa-IR"/>
        </w:rPr>
        <w:t xml:space="preserve"> لِضَعِيفِهَا مِنْ قَوِيِّهَا بِحَقِّهِ </w:t>
      </w:r>
      <w:r w:rsidR="00E378DD" w:rsidRPr="00E07021">
        <w:rPr>
          <w:rStyle w:val="libFootnotenumChar"/>
          <w:rtl/>
        </w:rPr>
        <w:t>(7)</w:t>
      </w:r>
      <w:r w:rsidR="00E378DD">
        <w:rPr>
          <w:rtl/>
          <w:lang w:bidi="fa-IR"/>
        </w:rPr>
        <w:t>.</w:t>
      </w:r>
      <w:r>
        <w:rPr>
          <w:rtl/>
          <w:lang w:bidi="fa-IR"/>
        </w:rPr>
        <w:t xml:space="preserve"> غَيْرَ مُتَعْتَعٍ </w:t>
      </w:r>
      <w:r w:rsidR="00E378DD" w:rsidRPr="00E07021">
        <w:rPr>
          <w:rStyle w:val="libFootnotenumChar"/>
          <w:rtl/>
        </w:rPr>
        <w:t>(8)</w:t>
      </w:r>
      <w:r w:rsidR="00E378DD">
        <w:rPr>
          <w:rtl/>
          <w:lang w:bidi="fa-IR"/>
        </w:rPr>
        <w:t>.</w:t>
      </w:r>
      <w:r>
        <w:rPr>
          <w:rtl/>
          <w:lang w:bidi="fa-IR"/>
        </w:rPr>
        <w:t xml:space="preserve"> ». </w:t>
      </w:r>
      <w:r w:rsidR="00E378DD" w:rsidRPr="00E07021">
        <w:rPr>
          <w:rStyle w:val="libFootnotenumChar"/>
          <w:rtl/>
        </w:rPr>
        <w:t>(9)</w:t>
      </w:r>
      <w:r w:rsidR="00E378DD">
        <w:rPr>
          <w:rtl/>
          <w:lang w:bidi="fa-IR"/>
        </w:rPr>
        <w:t>.</w:t>
      </w:r>
    </w:p>
    <w:p w:rsidR="00144FA6" w:rsidRDefault="00744A1C" w:rsidP="00E07021">
      <w:pPr>
        <w:pStyle w:val="libNormal"/>
        <w:rPr>
          <w:rtl/>
          <w:lang w:bidi="fa-IR"/>
        </w:rPr>
      </w:pPr>
      <w:r>
        <w:rPr>
          <w:rtl/>
          <w:lang w:bidi="fa-IR"/>
        </w:rPr>
        <w:t xml:space="preserve">8321 / 3. عِدَّةٌ مِنْ أَصْحَابِنَا ، عَنْ أَحْمَدَ بْنِ مُحَمَّدِ بْنِ خَالِدٍ ، عَنْ مُحَمَّدِ بْنِ عِيسى ، عَنْ مُحَمَّدِ بْنِ عَرَفَةَ </w:t>
      </w:r>
      <w:r w:rsidR="00E378DD" w:rsidRPr="00E07021">
        <w:rPr>
          <w:rStyle w:val="libFootnotenumChar"/>
          <w:rtl/>
        </w:rPr>
        <w:t>(10)</w:t>
      </w:r>
      <w:r w:rsidR="00E378DD">
        <w:rPr>
          <w:rtl/>
          <w:lang w:bidi="fa-IR"/>
        </w:rPr>
        <w:t>.</w:t>
      </w:r>
      <w:r>
        <w:rPr>
          <w:rtl/>
          <w:lang w:bidi="fa-IR"/>
        </w:rPr>
        <w:t xml:space="preserve">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E07021">
        <w:rPr>
          <w:rtl/>
        </w:rPr>
        <w:t>البحار والتهذيب</w:t>
      </w:r>
      <w:r w:rsidR="00744A1C">
        <w:rPr>
          <w:rtl/>
          <w:lang w:bidi="fa-IR"/>
        </w:rPr>
        <w:t xml:space="preserve"> : « أوحى » بدون الواو.</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هؤلاء الأشرار ، خبره مخذوف ، أي مستحقّون بذلك ».</w:t>
      </w:r>
    </w:p>
    <w:p w:rsidR="00744A1C" w:rsidRDefault="00E378DD" w:rsidP="00E378DD">
      <w:pPr>
        <w:pStyle w:val="libFootnote0"/>
        <w:rPr>
          <w:lang w:bidi="fa-IR"/>
        </w:rPr>
      </w:pPr>
      <w:r>
        <w:rPr>
          <w:rtl/>
          <w:lang w:bidi="fa-IR"/>
        </w:rPr>
        <w:t>(3).</w:t>
      </w:r>
      <w:r w:rsidR="00744A1C">
        <w:rPr>
          <w:rtl/>
          <w:lang w:bidi="fa-IR"/>
        </w:rPr>
        <w:t xml:space="preserve"> في </w:t>
      </w:r>
      <w:r w:rsidR="00744A1C" w:rsidRPr="00E07021">
        <w:rPr>
          <w:rtl/>
        </w:rPr>
        <w:t>الوافي</w:t>
      </w:r>
      <w:r w:rsidR="00744A1C">
        <w:rPr>
          <w:rtl/>
          <w:lang w:bidi="fa-IR"/>
        </w:rPr>
        <w:t xml:space="preserve"> : « أنّهم ».</w:t>
      </w:r>
    </w:p>
    <w:p w:rsidR="00744A1C" w:rsidRDefault="00E378DD" w:rsidP="00E378DD">
      <w:pPr>
        <w:pStyle w:val="libFootnote0"/>
        <w:rPr>
          <w:lang w:bidi="fa-IR"/>
        </w:rPr>
      </w:pPr>
      <w:r>
        <w:rPr>
          <w:rtl/>
          <w:lang w:bidi="fa-IR"/>
        </w:rPr>
        <w:t>(4).</w:t>
      </w:r>
      <w:r w:rsidR="00E07021">
        <w:rPr>
          <w:rtl/>
          <w:lang w:bidi="fa-IR"/>
        </w:rPr>
        <w:t xml:space="preserve"> الم</w:t>
      </w:r>
      <w:r w:rsidR="00E07021">
        <w:rPr>
          <w:rFonts w:hint="cs"/>
          <w:rtl/>
          <w:lang w:bidi="fa-IR"/>
        </w:rPr>
        <w:t>ـُ</w:t>
      </w:r>
      <w:r w:rsidR="00744A1C">
        <w:rPr>
          <w:rtl/>
          <w:lang w:bidi="fa-IR"/>
        </w:rPr>
        <w:t xml:space="preserve">داهنة : المصانعة ، والملاينة ، والمساهلة ، والمسالمة ، والمداراة ، والمصالحة. راجع : </w:t>
      </w:r>
      <w:r w:rsidR="00744A1C" w:rsidRPr="002D57AD">
        <w:rPr>
          <w:rStyle w:val="libFootnoteBoldChar"/>
          <w:rtl/>
        </w:rPr>
        <w:t>المفردات للراغب</w:t>
      </w:r>
      <w:r w:rsidR="00744A1C">
        <w:rPr>
          <w:rtl/>
          <w:lang w:bidi="fa-IR"/>
        </w:rPr>
        <w:t xml:space="preserve"> ، ص 320 ؛ </w:t>
      </w:r>
      <w:r w:rsidR="00744A1C" w:rsidRPr="00877682">
        <w:rPr>
          <w:rStyle w:val="libFootnoteBoldChar"/>
          <w:rtl/>
        </w:rPr>
        <w:t>لسان العرب</w:t>
      </w:r>
      <w:r w:rsidR="00744A1C">
        <w:rPr>
          <w:rtl/>
          <w:lang w:bidi="fa-IR"/>
        </w:rPr>
        <w:t xml:space="preserve"> ، ج 13 ، ص 162 ( دهن ).</w:t>
      </w:r>
    </w:p>
    <w:p w:rsidR="00744A1C" w:rsidRDefault="00E378DD" w:rsidP="00E07021">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180 ، ح 372 ، معلّقاً عن أحمد بن محمّد بن خالد </w:t>
      </w:r>
      <w:r w:rsidR="00E07021">
        <w:rPr>
          <w:rFonts w:hint="cs"/>
          <w:rtl/>
          <w:lang w:bidi="fa-IR"/>
        </w:rPr>
        <w:t>.</w:t>
      </w:r>
      <w:r w:rsidR="00744A1C" w:rsidRPr="00C24F9C">
        <w:rPr>
          <w:rStyle w:val="libFootnoteBoldChar"/>
          <w:rtl/>
        </w:rPr>
        <w:t>الوافي</w:t>
      </w:r>
      <w:r w:rsidR="00744A1C">
        <w:rPr>
          <w:rtl/>
          <w:lang w:bidi="fa-IR"/>
        </w:rPr>
        <w:t xml:space="preserve"> ، ج 15 ، ص 169 ، ح 14849 ؛ </w:t>
      </w:r>
      <w:r w:rsidR="00744A1C" w:rsidRPr="00C24F9C">
        <w:rPr>
          <w:rStyle w:val="libFootnoteBoldChar"/>
          <w:rtl/>
        </w:rPr>
        <w:t>الوسائل</w:t>
      </w:r>
      <w:r w:rsidR="00744A1C">
        <w:rPr>
          <w:rtl/>
          <w:lang w:bidi="fa-IR"/>
        </w:rPr>
        <w:t xml:space="preserve"> ، ج 16 ، ص 119 ، ح 21132 ، إلى قوله : « ويستقيم الأمر » ؛ وفيه ، ص 128 ، ح 21157 ، إلى قوله : « فيعمّهم بعقابه » ؛ </w:t>
      </w:r>
      <w:r w:rsidR="00744A1C" w:rsidRPr="00E07021">
        <w:rPr>
          <w:rStyle w:val="libFootnoteBoldChar"/>
          <w:rtl/>
        </w:rPr>
        <w:t>وفيه</w:t>
      </w:r>
      <w:r w:rsidR="00744A1C">
        <w:rPr>
          <w:rtl/>
          <w:lang w:bidi="fa-IR"/>
        </w:rPr>
        <w:t xml:space="preserve"> ، ص 131 ، ح 21162 ، من قوله : « فأنكروا بقلوبكم » إلى قوله : « ويمضوا على طاعته » ؛ </w:t>
      </w:r>
      <w:r w:rsidR="00744A1C" w:rsidRPr="00E07021">
        <w:rPr>
          <w:rStyle w:val="libFootnoteBoldChar"/>
          <w:rtl/>
        </w:rPr>
        <w:t>وفيه</w:t>
      </w:r>
      <w:r w:rsidR="00744A1C">
        <w:rPr>
          <w:rtl/>
          <w:lang w:bidi="fa-IR"/>
        </w:rPr>
        <w:t xml:space="preserve"> ، ص 146 ، ح 21201 ؛ </w:t>
      </w:r>
      <w:r w:rsidR="00744A1C" w:rsidRPr="0061079A">
        <w:rPr>
          <w:rStyle w:val="libFootnoteBoldChar"/>
          <w:rtl/>
        </w:rPr>
        <w:t>البحار</w:t>
      </w:r>
      <w:r w:rsidR="00744A1C">
        <w:rPr>
          <w:rtl/>
          <w:lang w:bidi="fa-IR"/>
        </w:rPr>
        <w:t xml:space="preserve"> ، ج 12 ، ص 386 ، ح 12 ، وفي الأخيرين من قوله : « وأوحى الله عزّوجلّ إلى شعيب النبيّ ».</w:t>
      </w:r>
      <w:r w:rsidR="00E07021">
        <w:rPr>
          <w:rFonts w:hint="cs"/>
          <w:rtl/>
          <w:lang w:bidi="fa-IR"/>
        </w:rPr>
        <w:t xml:space="preserve">  </w:t>
      </w:r>
      <w:r>
        <w:rPr>
          <w:rtl/>
          <w:lang w:bidi="fa-IR"/>
        </w:rPr>
        <w:t>(6).</w:t>
      </w:r>
      <w:r w:rsidR="00744A1C">
        <w:rPr>
          <w:rtl/>
          <w:lang w:bidi="fa-IR"/>
        </w:rPr>
        <w:t xml:space="preserve"> في </w:t>
      </w:r>
      <w:r w:rsidR="00744A1C" w:rsidRPr="00E07021">
        <w:rPr>
          <w:rtl/>
        </w:rPr>
        <w:t>الوافي</w:t>
      </w:r>
      <w:r w:rsidR="00744A1C">
        <w:rPr>
          <w:rtl/>
          <w:lang w:bidi="fa-IR"/>
        </w:rPr>
        <w:t xml:space="preserve"> : « لم تؤخذ ».</w:t>
      </w:r>
    </w:p>
    <w:p w:rsidR="00744A1C" w:rsidRDefault="00E378DD" w:rsidP="00E378DD">
      <w:pPr>
        <w:pStyle w:val="libFootnote0"/>
        <w:rPr>
          <w:lang w:bidi="fa-IR"/>
        </w:rPr>
      </w:pPr>
      <w:r>
        <w:rPr>
          <w:rtl/>
          <w:lang w:bidi="fa-IR"/>
        </w:rPr>
        <w:t>(7).</w:t>
      </w:r>
      <w:r w:rsidR="00744A1C">
        <w:rPr>
          <w:rtl/>
          <w:lang w:bidi="fa-IR"/>
        </w:rPr>
        <w:t xml:space="preserve"> في </w:t>
      </w:r>
      <w:r w:rsidR="00744A1C" w:rsidRPr="000B1C3F">
        <w:rPr>
          <w:rtl/>
        </w:rPr>
        <w:t>الوسائل</w:t>
      </w:r>
      <w:r w:rsidR="00744A1C">
        <w:rPr>
          <w:rtl/>
          <w:lang w:bidi="fa-IR"/>
        </w:rPr>
        <w:t xml:space="preserve"> : - « بحقّه ».</w:t>
      </w:r>
    </w:p>
    <w:p w:rsidR="00744A1C" w:rsidRDefault="00E378DD" w:rsidP="00E378DD">
      <w:pPr>
        <w:pStyle w:val="libFootnote0"/>
        <w:rPr>
          <w:lang w:bidi="fa-IR"/>
        </w:rPr>
      </w:pPr>
      <w:r>
        <w:rPr>
          <w:rtl/>
          <w:lang w:bidi="fa-IR"/>
        </w:rPr>
        <w:t>(8).</w:t>
      </w:r>
      <w:r w:rsidR="00744A1C">
        <w:rPr>
          <w:rtl/>
          <w:lang w:bidi="fa-IR"/>
        </w:rPr>
        <w:t xml:space="preserve"> في </w:t>
      </w:r>
      <w:r w:rsidR="00744A1C" w:rsidRPr="000B1C3F">
        <w:rPr>
          <w:rtl/>
        </w:rPr>
        <w:t>التهذيب</w:t>
      </w:r>
      <w:r w:rsidR="00744A1C">
        <w:rPr>
          <w:rtl/>
          <w:lang w:bidi="fa-IR"/>
        </w:rPr>
        <w:t xml:space="preserve"> : « متّضع ». و « غير مَتَعْتَع » ، بفتح التاء ، أي من غير أن يصيبه أذى يقلعه ويزعجه. </w:t>
      </w:r>
      <w:r w:rsidR="00744A1C" w:rsidRPr="00877682">
        <w:rPr>
          <w:rStyle w:val="libFootnoteBoldChar"/>
          <w:rtl/>
        </w:rPr>
        <w:t>النهاية</w:t>
      </w:r>
      <w:r w:rsidR="00744A1C">
        <w:rPr>
          <w:rtl/>
          <w:lang w:bidi="fa-IR"/>
        </w:rPr>
        <w:t xml:space="preserve"> ، ج 1 ، ص 190 ( تعتع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180 ، ح 371 ، معلّقاً عن عليّ بن إبراهيم ، عن ابن أبي عمير ، عن جماعة من أصحابنا. وفي نهج البلاغة ، ص 439 ، ضمن الرسالة 53 ؛ </w:t>
      </w:r>
      <w:r w:rsidR="00744A1C" w:rsidRPr="00610FB4">
        <w:rPr>
          <w:rStyle w:val="libFootnoteBoldChar"/>
          <w:rtl/>
        </w:rPr>
        <w:t>و</w:t>
      </w:r>
      <w:r w:rsidR="00744A1C" w:rsidRPr="007D61A8">
        <w:rPr>
          <w:rStyle w:val="libFootnoteBoldChar"/>
          <w:rtl/>
        </w:rPr>
        <w:t>تحف العقول</w:t>
      </w:r>
      <w:r w:rsidR="00744A1C">
        <w:rPr>
          <w:rtl/>
          <w:lang w:bidi="fa-IR"/>
        </w:rPr>
        <w:t xml:space="preserve"> ، ص 142 ،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0B1C3F" w:rsidRPr="000B1C3F">
        <w:rPr>
          <w:rStyle w:val="libFootnoteAlaemChar"/>
          <w:rtl/>
        </w:rPr>
        <w:t>صلى‌الله‌عليه‌وآله</w:t>
      </w:r>
      <w:r w:rsidR="00D10E3C">
        <w:rPr>
          <w:rtl/>
          <w:lang w:bidi="fa-IR"/>
        </w:rPr>
        <w:t xml:space="preserve"> </w:t>
      </w:r>
      <w:r w:rsidR="00744A1C">
        <w:rPr>
          <w:rtl/>
          <w:lang w:bidi="fa-IR"/>
        </w:rPr>
        <w:t xml:space="preserve">، مع اختلاف يسير </w:t>
      </w:r>
      <w:r w:rsidR="000B1C3F">
        <w:rPr>
          <w:rFonts w:hint="cs"/>
          <w:rtl/>
          <w:lang w:bidi="fa-IR"/>
        </w:rPr>
        <w:t>.</w:t>
      </w:r>
      <w:r w:rsidR="00744A1C" w:rsidRPr="00C24F9C">
        <w:rPr>
          <w:rStyle w:val="libFootnoteBoldChar"/>
          <w:rtl/>
        </w:rPr>
        <w:t>الوافي</w:t>
      </w:r>
      <w:r w:rsidR="00744A1C">
        <w:rPr>
          <w:rtl/>
          <w:lang w:bidi="fa-IR"/>
        </w:rPr>
        <w:t xml:space="preserve"> ، ج 15 ، ص 171 ، ح 14851 ؛ </w:t>
      </w:r>
      <w:r w:rsidR="00744A1C" w:rsidRPr="00C24F9C">
        <w:rPr>
          <w:rStyle w:val="libFootnoteBoldChar"/>
          <w:rtl/>
        </w:rPr>
        <w:t>الوسائل</w:t>
      </w:r>
      <w:r w:rsidR="00744A1C">
        <w:rPr>
          <w:rtl/>
          <w:lang w:bidi="fa-IR"/>
        </w:rPr>
        <w:t xml:space="preserve"> ، ج 16 ، ص 120 ، ح 21135.</w:t>
      </w:r>
    </w:p>
    <w:p w:rsidR="00144FA6" w:rsidRDefault="00E378DD" w:rsidP="00E378DD">
      <w:pPr>
        <w:pStyle w:val="libFootnote0"/>
        <w:rPr>
          <w:rtl/>
          <w:lang w:bidi="fa-IR"/>
        </w:rPr>
      </w:pPr>
      <w:r>
        <w:rPr>
          <w:rtl/>
          <w:lang w:bidi="fa-IR"/>
        </w:rPr>
        <w:t>(10).</w:t>
      </w:r>
      <w:r w:rsidR="00744A1C">
        <w:rPr>
          <w:rtl/>
          <w:lang w:bidi="fa-IR"/>
        </w:rPr>
        <w:t xml:space="preserve"> هكذا في « ى ، بث ، بح ، بف ، جت ، جد ، جن » </w:t>
      </w:r>
      <w:r w:rsidR="00744A1C" w:rsidRPr="000B1C3F">
        <w:rPr>
          <w:rtl/>
        </w:rPr>
        <w:t>والوافي والوسائل والتهذيب</w:t>
      </w:r>
      <w:r w:rsidR="00744A1C">
        <w:rPr>
          <w:rtl/>
          <w:lang w:bidi="fa-IR"/>
        </w:rPr>
        <w:t xml:space="preserve"> ، ج 6. وفي المطبوع :</w:t>
      </w:r>
      <w:r w:rsidR="000B1C3F">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سَمِعْتُ أَبَا الْحَسَنِ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يَقُولُ : « لَتَأْمُرُنَّ </w:t>
      </w:r>
      <w:r w:rsidRPr="00D10E3C">
        <w:rPr>
          <w:rStyle w:val="libFootnotenumChar"/>
          <w:rtl/>
        </w:rPr>
        <w:t>(2)</w:t>
      </w:r>
      <w:r>
        <w:rPr>
          <w:rtl/>
          <w:lang w:bidi="fa-IR"/>
        </w:rPr>
        <w:t xml:space="preserve"> بِالْمَعْرُوفِ وَلَتَنْهُنَّ عَنِ الْمُنْكَرِ ، أَوْ لَيُسْتَعْمَلَنَّ </w:t>
      </w:r>
      <w:r w:rsidRPr="00D10E3C">
        <w:rPr>
          <w:rStyle w:val="libFootnotenumChar"/>
          <w:rtl/>
        </w:rPr>
        <w:t>(3)</w:t>
      </w:r>
      <w:r>
        <w:rPr>
          <w:rtl/>
          <w:lang w:bidi="fa-IR"/>
        </w:rPr>
        <w:t xml:space="preserve"> عَلَيْكُمْ شِرَارُكُمْ ، فَيَدْعُو خِيَارُكُمْ ، فَلَا يُسْتَجَابُ لَهُمْ ». </w:t>
      </w:r>
      <w:r w:rsidRPr="00D10E3C">
        <w:rPr>
          <w:rStyle w:val="libFootnotenumChar"/>
          <w:rtl/>
        </w:rPr>
        <w:t>(4)</w:t>
      </w:r>
    </w:p>
    <w:p w:rsidR="00144FA6" w:rsidRDefault="00744A1C" w:rsidP="00744A1C">
      <w:pPr>
        <w:pStyle w:val="libNormal"/>
        <w:rPr>
          <w:rtl/>
          <w:lang w:bidi="fa-IR"/>
        </w:rPr>
      </w:pPr>
      <w:r>
        <w:rPr>
          <w:rtl/>
          <w:lang w:bidi="fa-IR"/>
        </w:rPr>
        <w:t xml:space="preserve">8322 / 4. مُحَمَّدُ بْنُ يَحْيى ، عَنْ أَحْمَدَ بْنِ مُحَمَّدٍ ، عَنْ عَلِيِّ بْنِ النُّعْمَانِ ، عَنْ عَبْدِ اللهِ بْنِ مُسْكَانَ ، عَنْ دَاوُدَ بْنِ فَرْقَدٍ ، عَنْ أَبِي سَعِيدٍ الزُّهْرِيِّ </w:t>
      </w:r>
      <w:r w:rsidRPr="00D10E3C">
        <w:rPr>
          <w:rStyle w:val="libFootnotenumChar"/>
          <w:rtl/>
        </w:rPr>
        <w:t>(5)</w:t>
      </w:r>
      <w:r>
        <w:rPr>
          <w:rtl/>
          <w:lang w:bidi="fa-IR"/>
        </w:rPr>
        <w:t xml:space="preserve"> :</w:t>
      </w:r>
    </w:p>
    <w:p w:rsidR="00744A1C" w:rsidRDefault="00744A1C" w:rsidP="00D10E3C">
      <w:pPr>
        <w:pStyle w:val="libLine"/>
        <w:rPr>
          <w:lang w:bidi="fa-IR"/>
        </w:rPr>
      </w:pPr>
      <w:r>
        <w:rPr>
          <w:rtl/>
          <w:lang w:bidi="fa-IR"/>
        </w:rPr>
        <w:t>____________________</w:t>
      </w:r>
    </w:p>
    <w:p w:rsidR="00744A1C" w:rsidRDefault="000B1C3F" w:rsidP="00D10E3C">
      <w:pPr>
        <w:pStyle w:val="libFootnote0"/>
        <w:rPr>
          <w:lang w:bidi="fa-IR"/>
        </w:rPr>
      </w:pPr>
      <w:r>
        <w:rPr>
          <w:rFonts w:hint="cs"/>
          <w:rtl/>
          <w:lang w:bidi="fa-IR"/>
        </w:rPr>
        <w:t xml:space="preserve">= </w:t>
      </w:r>
      <w:r w:rsidR="00744A1C">
        <w:rPr>
          <w:rtl/>
          <w:lang w:bidi="fa-IR"/>
        </w:rPr>
        <w:t>« محمّد بن عمر بن عرفة ».</w:t>
      </w:r>
    </w:p>
    <w:p w:rsidR="00744A1C" w:rsidRDefault="00744A1C" w:rsidP="00D10E3C">
      <w:pPr>
        <w:pStyle w:val="libFootnote0"/>
        <w:rPr>
          <w:lang w:bidi="fa-IR"/>
        </w:rPr>
      </w:pPr>
      <w:r>
        <w:rPr>
          <w:rtl/>
          <w:lang w:bidi="fa-IR"/>
        </w:rPr>
        <w:t xml:space="preserve">والمذكور في أصحاب أبي الحسن عليّ بن موسى </w:t>
      </w:r>
      <w:r w:rsidR="00F112A7" w:rsidRPr="00CE5A92">
        <w:rPr>
          <w:rStyle w:val="libFootnoteAlaemChar"/>
          <w:rtl/>
        </w:rPr>
        <w:t>عليهما‌السلام</w:t>
      </w:r>
      <w:r>
        <w:rPr>
          <w:rtl/>
          <w:lang w:bidi="fa-IR"/>
        </w:rPr>
        <w:t xml:space="preserve">هو محمّد بن عرفة ، ووردت في بعض الأسناد رواية محمّد بن عيسى [ بن عبيد ] عن محمّد بن عرفة. راجع : </w:t>
      </w:r>
      <w:r w:rsidRPr="0061079A">
        <w:rPr>
          <w:rStyle w:val="libFootnoteBoldChar"/>
          <w:rtl/>
        </w:rPr>
        <w:t>رجال الطوسي</w:t>
      </w:r>
      <w:r>
        <w:rPr>
          <w:rtl/>
          <w:lang w:bidi="fa-IR"/>
        </w:rPr>
        <w:t xml:space="preserve"> ، ص 364 ، الرقم 5408 ؛ </w:t>
      </w:r>
      <w:r w:rsidRPr="0061079A">
        <w:rPr>
          <w:rStyle w:val="libFootnoteBoldChar"/>
          <w:rtl/>
        </w:rPr>
        <w:t>معجم رجال الحديث</w:t>
      </w:r>
      <w:r>
        <w:rPr>
          <w:rtl/>
          <w:lang w:bidi="fa-IR"/>
        </w:rPr>
        <w:t xml:space="preserve"> ، ج 16 ، ص 282 ، الرقم 11233.</w:t>
      </w:r>
    </w:p>
    <w:tbl>
      <w:tblPr>
        <w:tblStyle w:val="TableGrid"/>
        <w:bidiVisual/>
        <w:tblW w:w="0" w:type="auto"/>
        <w:tblLook w:val="04A0" w:firstRow="1" w:lastRow="0" w:firstColumn="1" w:lastColumn="0" w:noHBand="0" w:noVBand="1"/>
      </w:tblPr>
      <w:tblGrid>
        <w:gridCol w:w="4006"/>
        <w:gridCol w:w="4006"/>
      </w:tblGrid>
      <w:tr w:rsidR="000B1C3F" w:rsidTr="000B1C3F">
        <w:tc>
          <w:tcPr>
            <w:tcW w:w="4006" w:type="dxa"/>
          </w:tcPr>
          <w:p w:rsidR="000B1C3F" w:rsidRDefault="000B1C3F" w:rsidP="00D10E3C">
            <w:pPr>
              <w:pStyle w:val="libFootnote0"/>
              <w:rPr>
                <w:rtl/>
                <w:lang w:bidi="fa-IR"/>
              </w:rPr>
            </w:pPr>
            <w:r>
              <w:rPr>
                <w:rtl/>
                <w:lang w:bidi="fa-IR"/>
              </w:rPr>
              <w:t xml:space="preserve">(1). في </w:t>
            </w:r>
            <w:r w:rsidRPr="000B1C3F">
              <w:rPr>
                <w:rtl/>
              </w:rPr>
              <w:t>الوسائل</w:t>
            </w:r>
            <w:r>
              <w:rPr>
                <w:rtl/>
                <w:lang w:bidi="fa-IR"/>
              </w:rPr>
              <w:t xml:space="preserve"> : + « الرضا ».</w:t>
            </w:r>
          </w:p>
        </w:tc>
        <w:tc>
          <w:tcPr>
            <w:tcW w:w="4006" w:type="dxa"/>
          </w:tcPr>
          <w:p w:rsidR="000B1C3F" w:rsidRDefault="000B1C3F" w:rsidP="00D10E3C">
            <w:pPr>
              <w:pStyle w:val="libFootnote0"/>
              <w:rPr>
                <w:rtl/>
                <w:lang w:bidi="fa-IR"/>
              </w:rPr>
            </w:pPr>
            <w:r>
              <w:rPr>
                <w:rtl/>
                <w:lang w:bidi="fa-IR"/>
              </w:rPr>
              <w:t>(2). في « بح » : « لتأمرون ».</w:t>
            </w:r>
          </w:p>
        </w:tc>
      </w:tr>
    </w:tbl>
    <w:p w:rsidR="00744A1C" w:rsidRDefault="00E378DD" w:rsidP="00E378DD">
      <w:pPr>
        <w:pStyle w:val="libFootnote0"/>
        <w:rPr>
          <w:lang w:bidi="fa-IR"/>
        </w:rPr>
      </w:pPr>
      <w:r>
        <w:rPr>
          <w:rtl/>
          <w:lang w:bidi="fa-IR"/>
        </w:rPr>
        <w:t>(3).</w:t>
      </w:r>
      <w:r w:rsidR="00744A1C">
        <w:rPr>
          <w:rtl/>
          <w:lang w:bidi="fa-IR"/>
        </w:rPr>
        <w:t xml:space="preserve"> في « بف » : « وليستعملنّ ». وفي </w:t>
      </w:r>
      <w:r w:rsidR="00744A1C" w:rsidRPr="00C24F9C">
        <w:rPr>
          <w:rStyle w:val="libFootnoteBoldChar"/>
          <w:rtl/>
        </w:rPr>
        <w:t>الوافي</w:t>
      </w:r>
      <w:r w:rsidR="00744A1C">
        <w:rPr>
          <w:rtl/>
          <w:lang w:bidi="fa-IR"/>
        </w:rPr>
        <w:t xml:space="preserve"> : « أي يجعل عليكم عاملاً حاكماً ».</w:t>
      </w:r>
    </w:p>
    <w:p w:rsidR="00744A1C" w:rsidRDefault="00E378DD" w:rsidP="00402829">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176 ، ح 352 ، معلّقاً عن أحمد بن محمّد بن خالد. </w:t>
      </w:r>
      <w:r w:rsidR="00744A1C" w:rsidRPr="0061079A">
        <w:rPr>
          <w:rStyle w:val="libFootnoteBoldChar"/>
          <w:rtl/>
        </w:rPr>
        <w:t>الكافي</w:t>
      </w:r>
      <w:r w:rsidR="00744A1C">
        <w:rPr>
          <w:rtl/>
          <w:lang w:bidi="fa-IR"/>
        </w:rPr>
        <w:t xml:space="preserve"> ، كتاب الوصايا ، باب صدقات النبيّ </w:t>
      </w:r>
      <w:r w:rsidR="00E843EA" w:rsidRPr="00E843EA">
        <w:rPr>
          <w:rStyle w:val="libFootnoteAlaemChar"/>
          <w:rtl/>
        </w:rPr>
        <w:t>صلى‌الله‌عليه‌وآله</w:t>
      </w:r>
      <w:r w:rsidR="00D10E3C">
        <w:rPr>
          <w:rtl/>
          <w:lang w:bidi="fa-IR"/>
        </w:rPr>
        <w:t xml:space="preserve"> </w:t>
      </w:r>
      <w:r w:rsidR="00744A1C">
        <w:rPr>
          <w:rtl/>
          <w:lang w:bidi="fa-IR"/>
        </w:rPr>
        <w:t xml:space="preserve">وفاطمة ... ، ضمن الحديث الطويل 13276 ، بسند آخر عن أبي الحسن ، عن أمير المؤمنين </w:t>
      </w:r>
      <w:r w:rsidR="00F112A7" w:rsidRPr="00CE5A92">
        <w:rPr>
          <w:rStyle w:val="libFootnoteAlaemChar"/>
          <w:rtl/>
        </w:rPr>
        <w:t>عليهما‌السلام</w:t>
      </w:r>
      <w:r w:rsidR="00744A1C">
        <w:rPr>
          <w:rtl/>
          <w:lang w:bidi="fa-IR"/>
        </w:rPr>
        <w:t xml:space="preserve">. </w:t>
      </w:r>
      <w:r w:rsidR="00744A1C" w:rsidRPr="000B1C3F">
        <w:rPr>
          <w:rStyle w:val="libFootnoteBoldChar"/>
          <w:rtl/>
        </w:rPr>
        <w:t>الأمالي للطوسي</w:t>
      </w:r>
      <w:r w:rsidR="00744A1C">
        <w:rPr>
          <w:rtl/>
          <w:lang w:bidi="fa-IR"/>
        </w:rPr>
        <w:t xml:space="preserve"> ، ص 523 ، المجلس 18 ، ضمن الحديث الطويل 64 ، بسند آخر عن أبي الحسن الرضا ، عن آبائه ، عن أمير المؤمنين </w:t>
      </w:r>
      <w:r w:rsidR="00877682" w:rsidRPr="00877682">
        <w:rPr>
          <w:rStyle w:val="libFootnoteAlaemChar"/>
          <w:rtl/>
        </w:rPr>
        <w:t>عليهم‌السلام</w:t>
      </w:r>
      <w:r w:rsidR="00744A1C">
        <w:rPr>
          <w:rtl/>
          <w:lang w:bidi="fa-IR"/>
        </w:rPr>
        <w:t xml:space="preserve"> . وفي </w:t>
      </w:r>
      <w:r w:rsidR="00744A1C" w:rsidRPr="00C24F9C">
        <w:rPr>
          <w:rStyle w:val="libFootnoteBoldChar"/>
          <w:rtl/>
        </w:rPr>
        <w:t>الفقيه</w:t>
      </w:r>
      <w:r w:rsidR="00744A1C">
        <w:rPr>
          <w:rtl/>
          <w:lang w:bidi="fa-IR"/>
        </w:rPr>
        <w:t xml:space="preserve"> ، ج 4 ، ص 191 ، ضمن الحديث الطويل 5433 ؛ </w:t>
      </w:r>
      <w:r w:rsidR="00744A1C" w:rsidRPr="0061079A">
        <w:rPr>
          <w:rStyle w:val="libFootnoteBoldChar"/>
          <w:rtl/>
        </w:rPr>
        <w:t>والتهذيب</w:t>
      </w:r>
      <w:r w:rsidR="00744A1C">
        <w:rPr>
          <w:rtl/>
          <w:lang w:bidi="fa-IR"/>
        </w:rPr>
        <w:t xml:space="preserve"> ، ج 9 ، ص 178 ، ح 714 ، بسند آخر عن أمير المؤمنين </w:t>
      </w:r>
      <w:r w:rsidR="0061079A" w:rsidRPr="0061079A">
        <w:rPr>
          <w:rStyle w:val="libFootnoteAlaemChar"/>
          <w:rtl/>
        </w:rPr>
        <w:t>عليه‌السلام</w:t>
      </w:r>
      <w:r w:rsidR="00744A1C">
        <w:rPr>
          <w:rtl/>
          <w:lang w:bidi="fa-IR"/>
        </w:rPr>
        <w:t xml:space="preserve"> . </w:t>
      </w:r>
      <w:r w:rsidR="00744A1C" w:rsidRPr="0061079A">
        <w:rPr>
          <w:rStyle w:val="libFootnoteBoldChar"/>
          <w:rtl/>
        </w:rPr>
        <w:t>الكافي</w:t>
      </w:r>
      <w:r w:rsidR="00744A1C">
        <w:rPr>
          <w:rtl/>
          <w:lang w:bidi="fa-IR"/>
        </w:rPr>
        <w:t xml:space="preserve"> ، كتاب الإيمان والكفر ، باب في عقوبات المعاصي العاجلة ، ذيل ح 2824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عن كتاب رسول الله </w:t>
      </w:r>
      <w:r w:rsidR="000B1C3F" w:rsidRPr="000B1C3F">
        <w:rPr>
          <w:rStyle w:val="libFootnoteAlaemChar"/>
          <w:rtl/>
        </w:rPr>
        <w:t>صلى‌الله‌عليه‌وآله</w:t>
      </w:r>
      <w:r w:rsidR="00744A1C">
        <w:rPr>
          <w:rtl/>
          <w:lang w:bidi="fa-IR"/>
        </w:rPr>
        <w:t xml:space="preserve">. </w:t>
      </w:r>
      <w:r w:rsidR="00744A1C" w:rsidRPr="003A7143">
        <w:rPr>
          <w:rStyle w:val="libFootnoteBoldChar"/>
          <w:rtl/>
        </w:rPr>
        <w:t>علل الشرائع</w:t>
      </w:r>
      <w:r w:rsidR="00744A1C">
        <w:rPr>
          <w:rtl/>
          <w:lang w:bidi="fa-IR"/>
        </w:rPr>
        <w:t xml:space="preserve"> ، ص 584 ، ذيل ح 26 ، بسند آخر عن أبي جعفر ، عن كتاب عليّ </w:t>
      </w:r>
      <w:r w:rsidR="00F112A7" w:rsidRPr="00CE5A92">
        <w:rPr>
          <w:rStyle w:val="libFootnoteAlaemChar"/>
          <w:rtl/>
        </w:rPr>
        <w:t>عليهما‌السلام</w:t>
      </w:r>
      <w:r w:rsidR="00744A1C">
        <w:rPr>
          <w:rtl/>
          <w:lang w:bidi="fa-IR"/>
        </w:rPr>
        <w:t xml:space="preserve">عن رسول الله </w:t>
      </w:r>
      <w:r w:rsidR="004D054E" w:rsidRPr="00402829">
        <w:rPr>
          <w:rStyle w:val="libFootnoteAlaemChar"/>
          <w:rtl/>
        </w:rPr>
        <w:t>صلى‌الله‌عليه‌وآله</w:t>
      </w:r>
      <w:r w:rsidR="00744A1C">
        <w:rPr>
          <w:rtl/>
          <w:lang w:bidi="fa-IR"/>
        </w:rPr>
        <w:t xml:space="preserve"> . وفي </w:t>
      </w:r>
      <w:r w:rsidR="00744A1C" w:rsidRPr="000B1C3F">
        <w:rPr>
          <w:rStyle w:val="libFootnoteBoldChar"/>
          <w:rtl/>
        </w:rPr>
        <w:t>الأمالي للصدوق</w:t>
      </w:r>
      <w:r w:rsidR="00744A1C">
        <w:rPr>
          <w:rtl/>
          <w:lang w:bidi="fa-IR"/>
        </w:rPr>
        <w:t xml:space="preserve"> ، ص 308 ، المجلس 51 ، ذيل ح 2 ؛ </w:t>
      </w:r>
      <w:r w:rsidR="00744A1C" w:rsidRPr="004D054E">
        <w:rPr>
          <w:rStyle w:val="libFootnoteBoldChar"/>
          <w:rtl/>
        </w:rPr>
        <w:t>وثواب الأعمال</w:t>
      </w:r>
      <w:r w:rsidR="00744A1C">
        <w:rPr>
          <w:rtl/>
          <w:lang w:bidi="fa-IR"/>
        </w:rPr>
        <w:t xml:space="preserve"> ، ص 300 ، ذيل ح 1 ، بسند آخر عن أبي جعفر </w:t>
      </w:r>
      <w:r w:rsidR="00402829" w:rsidRPr="0061079A">
        <w:rPr>
          <w:rStyle w:val="libFootnoteAlaemChar"/>
          <w:rtl/>
        </w:rPr>
        <w:t>عليه‌السلام</w:t>
      </w:r>
      <w:r w:rsidR="00744A1C">
        <w:rPr>
          <w:rtl/>
          <w:lang w:bidi="fa-IR"/>
        </w:rPr>
        <w:t xml:space="preserve">. </w:t>
      </w:r>
      <w:r w:rsidR="00744A1C" w:rsidRPr="007D61A8">
        <w:rPr>
          <w:rStyle w:val="libFootnoteBoldChar"/>
          <w:rtl/>
        </w:rPr>
        <w:t>تحف العقول</w:t>
      </w:r>
      <w:r w:rsidR="00744A1C">
        <w:rPr>
          <w:rtl/>
          <w:lang w:bidi="fa-IR"/>
        </w:rPr>
        <w:t xml:space="preserve"> ، ص 51 ، عن رسول الله </w:t>
      </w:r>
      <w:r w:rsidR="00E843EA" w:rsidRPr="00E843EA">
        <w:rPr>
          <w:rStyle w:val="libFootnoteAlaemChar"/>
          <w:rtl/>
        </w:rPr>
        <w:t>صلى‌الله‌عليه‌وآله</w:t>
      </w:r>
      <w:r w:rsidR="00744A1C">
        <w:rPr>
          <w:rtl/>
          <w:lang w:bidi="fa-IR"/>
        </w:rPr>
        <w:t xml:space="preserve"> . وفيه ، ص 199 ، عن أميرالمؤمنين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0B1C3F">
        <w:rPr>
          <w:rStyle w:val="libFootnoteBoldChar"/>
          <w:rtl/>
        </w:rPr>
        <w:t>نهج البلاغة</w:t>
      </w:r>
      <w:r w:rsidR="00744A1C">
        <w:rPr>
          <w:rtl/>
          <w:lang w:bidi="fa-IR"/>
        </w:rPr>
        <w:t xml:space="preserve"> ، ص 421 ، ضمن ال</w:t>
      </w:r>
      <w:r w:rsidR="000B1C3F">
        <w:rPr>
          <w:rtl/>
          <w:lang w:bidi="fa-IR"/>
        </w:rPr>
        <w:t>خطبة 47 ، وفي كلّ المصادر - إل</w:t>
      </w:r>
      <w:r w:rsidR="000B1C3F">
        <w:rPr>
          <w:rFonts w:hint="cs"/>
          <w:rtl/>
          <w:lang w:bidi="fa-IR"/>
        </w:rPr>
        <w:t>ّ</w:t>
      </w:r>
      <w:r w:rsidR="000B1C3F">
        <w:rPr>
          <w:rtl/>
          <w:lang w:bidi="fa-IR"/>
        </w:rPr>
        <w:t>ا</w:t>
      </w:r>
      <w:r w:rsidR="00744A1C">
        <w:rPr>
          <w:rtl/>
          <w:lang w:bidi="fa-IR"/>
        </w:rPr>
        <w:t xml:space="preserve"> </w:t>
      </w:r>
      <w:r w:rsidR="00744A1C" w:rsidRPr="00C24F9C">
        <w:rPr>
          <w:rStyle w:val="libFootnoteBoldChar"/>
          <w:rtl/>
        </w:rPr>
        <w:t>التهذيب</w:t>
      </w:r>
      <w:r w:rsidR="00744A1C">
        <w:rPr>
          <w:rtl/>
          <w:lang w:bidi="fa-IR"/>
        </w:rPr>
        <w:t xml:space="preserve"> ، ج 6 - مع اختلاف يسير </w:t>
      </w:r>
      <w:r w:rsidR="000B1C3F">
        <w:rPr>
          <w:rFonts w:hint="cs"/>
          <w:rtl/>
          <w:lang w:bidi="fa-IR"/>
        </w:rPr>
        <w:t>.</w:t>
      </w:r>
      <w:r w:rsidR="00744A1C" w:rsidRPr="00C24F9C">
        <w:rPr>
          <w:rStyle w:val="libFootnoteBoldChar"/>
          <w:rtl/>
        </w:rPr>
        <w:t>الوافي</w:t>
      </w:r>
      <w:r w:rsidR="00744A1C">
        <w:rPr>
          <w:rtl/>
          <w:lang w:bidi="fa-IR"/>
        </w:rPr>
        <w:t xml:space="preserve"> ، ج 15 ، ص 171 ، ح 14852 ؛ </w:t>
      </w:r>
      <w:r w:rsidR="00744A1C" w:rsidRPr="00C24F9C">
        <w:rPr>
          <w:rStyle w:val="libFootnoteBoldChar"/>
          <w:rtl/>
        </w:rPr>
        <w:t>الوسائل</w:t>
      </w:r>
      <w:r w:rsidR="00744A1C">
        <w:rPr>
          <w:rtl/>
          <w:lang w:bidi="fa-IR"/>
        </w:rPr>
        <w:t xml:space="preserve"> ، ج 16 ، ص 118 ، ح 21130.</w:t>
      </w:r>
    </w:p>
    <w:p w:rsidR="00744A1C" w:rsidRDefault="00E378DD" w:rsidP="00E378DD">
      <w:pPr>
        <w:pStyle w:val="libFootnote0"/>
        <w:rPr>
          <w:lang w:bidi="fa-IR"/>
        </w:rPr>
      </w:pPr>
      <w:r>
        <w:rPr>
          <w:rtl/>
          <w:lang w:bidi="fa-IR"/>
        </w:rPr>
        <w:t>(5).</w:t>
      </w:r>
      <w:r w:rsidR="00744A1C">
        <w:rPr>
          <w:rtl/>
          <w:lang w:bidi="fa-IR"/>
        </w:rPr>
        <w:t xml:space="preserve"> روى الحسين بن سعيد في الزهد ، ص 190 ، ح 292 الخبر بعين الألفاظ ، عن عليّ بن النعمان عن داود بن أبي يزيد - وهو داود بن فرقد - عن أبي شيبة الزهري عن أحدهما </w:t>
      </w:r>
      <w:r w:rsidR="00F112A7" w:rsidRPr="00CE5A92">
        <w:rPr>
          <w:rStyle w:val="libFootnoteAlaemChar"/>
          <w:rtl/>
        </w:rPr>
        <w:t>عليهما‌السلام</w:t>
      </w:r>
      <w:r w:rsidR="00744A1C">
        <w:rPr>
          <w:rtl/>
          <w:lang w:bidi="fa-IR"/>
        </w:rPr>
        <w:t xml:space="preserve">. والظاهر سقوط الواسطة بين عليّ بن النعمان وبين داود بن أبي يزيد ؛ فقد وردت في الزهد ، ص 79 ، ح 42 رواية عليّ بن النعمان عن ابن مسكان عن داود بن فرقد عن أبي شيبة الزهري عن أحدهما </w:t>
      </w:r>
      <w:r w:rsidR="00F112A7" w:rsidRPr="00CE5A92">
        <w:rPr>
          <w:rStyle w:val="libFootnoteAlaemChar"/>
          <w:rtl/>
        </w:rPr>
        <w:t>عليهما‌السلام</w:t>
      </w:r>
      <w:r w:rsidR="00744A1C">
        <w:rPr>
          <w:rtl/>
          <w:lang w:bidi="fa-IR"/>
        </w:rPr>
        <w:t>أنّه قال : ويل لمن لا يدين الله بالأمر بالمعروف والنهى عن المنكر ، الخبر.</w:t>
      </w:r>
    </w:p>
    <w:p w:rsidR="00744A1C" w:rsidRDefault="00744A1C" w:rsidP="00D10E3C">
      <w:pPr>
        <w:pStyle w:val="libFootnote0"/>
        <w:rPr>
          <w:lang w:bidi="fa-IR"/>
        </w:rPr>
      </w:pPr>
      <w:r>
        <w:rPr>
          <w:rtl/>
          <w:lang w:bidi="fa-IR"/>
        </w:rPr>
        <w:t xml:space="preserve">هذا. وقد تقدّم في </w:t>
      </w:r>
      <w:r w:rsidRPr="0061079A">
        <w:rPr>
          <w:rStyle w:val="libFootnoteBoldChar"/>
          <w:rtl/>
        </w:rPr>
        <w:t>الكافي</w:t>
      </w:r>
      <w:r>
        <w:rPr>
          <w:rtl/>
          <w:lang w:bidi="fa-IR"/>
        </w:rPr>
        <w:t xml:space="preserve"> ، ذيل ح 4766 أنّ أبا سعيد الزهرى وأبا شيبة الزهري متّحدان ، وأنّ أحد العنوانين مصحّف.</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جَعْفَرٍ وَ </w:t>
      </w:r>
      <w:r w:rsidRPr="00D10E3C">
        <w:rPr>
          <w:rStyle w:val="libFootnotenumChar"/>
          <w:rtl/>
        </w:rPr>
        <w:t>(1)</w:t>
      </w:r>
      <w:r>
        <w:rPr>
          <w:rtl/>
          <w:lang w:bidi="fa-IR"/>
        </w:rPr>
        <w:t xml:space="preserve"> أَبِي عَبْدِ اللهِ </w:t>
      </w:r>
      <w:r w:rsidR="008859AA" w:rsidRPr="008859AA">
        <w:rPr>
          <w:rStyle w:val="libAlaemChar"/>
          <w:rtl/>
        </w:rPr>
        <w:t>عليهما‌السلام</w:t>
      </w:r>
      <w:r>
        <w:rPr>
          <w:rtl/>
          <w:lang w:bidi="fa-IR"/>
        </w:rPr>
        <w:t xml:space="preserve">، قَالَ : « وَيْلٌ لِقَوْمٍ لَايَدِينُونَ اللهَ بِالْأَمْرِ بِالْمَعْرُوفِ وَالنَّهْيِ عَنِ الْمُنْكَرِ ». </w:t>
      </w:r>
      <w:r w:rsidRPr="00D10E3C">
        <w:rPr>
          <w:rStyle w:val="libFootnotenumChar"/>
          <w:rtl/>
        </w:rPr>
        <w:t>(2)</w:t>
      </w:r>
    </w:p>
    <w:p w:rsidR="00144FA6" w:rsidRDefault="00744A1C" w:rsidP="00744A1C">
      <w:pPr>
        <w:pStyle w:val="libNormal"/>
        <w:rPr>
          <w:rtl/>
          <w:lang w:bidi="fa-IR"/>
        </w:rPr>
      </w:pPr>
      <w:r>
        <w:rPr>
          <w:rtl/>
          <w:lang w:bidi="fa-IR"/>
        </w:rPr>
        <w:t xml:space="preserve">8323 / 5. وَبِإِسْنَادِهِ </w:t>
      </w:r>
      <w:r w:rsidRPr="00D10E3C">
        <w:rPr>
          <w:rStyle w:val="libFootnotenumChar"/>
          <w:rtl/>
        </w:rPr>
        <w:t>(3)</w:t>
      </w:r>
      <w:r>
        <w:rPr>
          <w:rtl/>
          <w:lang w:bidi="fa-IR"/>
        </w:rPr>
        <w:t xml:space="preserve"> ، قَالَ :</w:t>
      </w:r>
    </w:p>
    <w:p w:rsidR="00144FA6" w:rsidRDefault="00744A1C" w:rsidP="00744A1C">
      <w:pPr>
        <w:pStyle w:val="libNormal"/>
        <w:rPr>
          <w:rtl/>
          <w:lang w:bidi="fa-IR"/>
        </w:rPr>
      </w:pPr>
      <w:r>
        <w:rPr>
          <w:rtl/>
          <w:lang w:bidi="fa-IR"/>
        </w:rPr>
        <w:t xml:space="preserve">قَالَ أَبُو جَعْفَرٍ </w:t>
      </w:r>
      <w:r w:rsidR="0061079A" w:rsidRPr="0061079A">
        <w:rPr>
          <w:rStyle w:val="libAlaemChar"/>
          <w:rtl/>
        </w:rPr>
        <w:t>عليه‌السلام</w:t>
      </w:r>
      <w:r w:rsidR="00D10E3C">
        <w:rPr>
          <w:rtl/>
          <w:lang w:bidi="fa-IR"/>
        </w:rPr>
        <w:t xml:space="preserve"> </w:t>
      </w:r>
      <w:r>
        <w:rPr>
          <w:rtl/>
          <w:lang w:bidi="fa-IR"/>
        </w:rPr>
        <w:t xml:space="preserve">: « بِئْسَ الْقَوْمُ قَوْمٌ </w:t>
      </w:r>
      <w:r w:rsidRPr="00D10E3C">
        <w:rPr>
          <w:rStyle w:val="libFootnotenumChar"/>
          <w:rtl/>
        </w:rPr>
        <w:t>(4)</w:t>
      </w:r>
      <w:r>
        <w:rPr>
          <w:rtl/>
          <w:lang w:bidi="fa-IR"/>
        </w:rPr>
        <w:t xml:space="preserve"> يَعِيبُونَ الْأَمْرَ بِالْمَعْرُوفِ وَالنَّهْيَ عَنِ الْمُنْكَرِ ». </w:t>
      </w:r>
      <w:r w:rsidRPr="00D10E3C">
        <w:rPr>
          <w:rStyle w:val="libFootnotenumChar"/>
          <w:rtl/>
        </w:rPr>
        <w:t>(5)</w:t>
      </w:r>
    </w:p>
    <w:p w:rsidR="00144FA6" w:rsidRDefault="00744A1C" w:rsidP="00744A1C">
      <w:pPr>
        <w:pStyle w:val="libNormal"/>
        <w:rPr>
          <w:rtl/>
          <w:lang w:bidi="fa-IR"/>
        </w:rPr>
      </w:pPr>
      <w:r>
        <w:rPr>
          <w:rtl/>
          <w:lang w:bidi="fa-IR"/>
        </w:rPr>
        <w:t xml:space="preserve">8324 / 6. عِدَّةٌ مِنْ أَصْحَابِنَا ، عَنْ سَهْلِ بْنِ زِيَادٍ ، عَنْ عَبْدِ الرَّحْمنِ بْنِ أَبِي نَجْرَانَ ، عَنْ عَاصِمِ بْنِ حُمَيْدٍ ، عَنْ أَبِي حَمْزَةَ ، عَنْ يَحْيَى بْنِ عُقَيْلٍ ، عَنْ حَسَنٍ </w:t>
      </w:r>
      <w:r w:rsidRPr="00D10E3C">
        <w:rPr>
          <w:rStyle w:val="libFootnotenumChar"/>
          <w:rtl/>
        </w:rPr>
        <w:t>(6)</w:t>
      </w:r>
      <w:r>
        <w:rPr>
          <w:rtl/>
          <w:lang w:bidi="fa-IR"/>
        </w:rPr>
        <w:t xml:space="preserve"> ، قَالَ :</w:t>
      </w:r>
    </w:p>
    <w:p w:rsidR="00144FA6" w:rsidRDefault="00744A1C" w:rsidP="00744A1C">
      <w:pPr>
        <w:pStyle w:val="libNormal"/>
        <w:rPr>
          <w:rtl/>
          <w:lang w:bidi="fa-IR"/>
        </w:rPr>
      </w:pPr>
      <w:r>
        <w:rPr>
          <w:rtl/>
          <w:lang w:bidi="fa-IR"/>
        </w:rPr>
        <w:t xml:space="preserve">خَطَبَ أَمِيرُ الْمُؤْمِنِينَ </w:t>
      </w:r>
      <w:r w:rsidR="0061079A" w:rsidRPr="0061079A">
        <w:rPr>
          <w:rStyle w:val="libAlaemChar"/>
          <w:rtl/>
        </w:rPr>
        <w:t>عليه‌السلام</w:t>
      </w:r>
      <w:r w:rsidR="00D10E3C">
        <w:rPr>
          <w:rtl/>
          <w:lang w:bidi="fa-IR"/>
        </w:rPr>
        <w:t xml:space="preserve"> </w:t>
      </w:r>
      <w:r>
        <w:rPr>
          <w:rtl/>
          <w:lang w:bidi="fa-IR"/>
        </w:rPr>
        <w:t xml:space="preserve">، فَحَمِدَ اللهَ وَأَثْنى عَلَيْهِ ، وَ </w:t>
      </w:r>
      <w:r w:rsidRPr="00D10E3C">
        <w:rPr>
          <w:rStyle w:val="libFootnotenumChar"/>
          <w:rtl/>
        </w:rPr>
        <w:t>(7)</w:t>
      </w:r>
      <w:r>
        <w:rPr>
          <w:rtl/>
          <w:lang w:bidi="fa-IR"/>
        </w:rPr>
        <w:t xml:space="preserve"> قَالَ : « أَمَّا بَعْدُ ، فَإِنَّهُ إِنَّمَا هَلَكَ مَنْ كَانَ قَبْلَكُمْ حَيْثُ مَا عَمِلُوا مِنَ الْمَعَاصِي ، وَلَمْ يَنْهَهُمُ الرَّبَّانِيُّونَ </w:t>
      </w:r>
      <w:r w:rsidRPr="00D10E3C">
        <w:rPr>
          <w:rStyle w:val="libFootnotenumChar"/>
          <w:rtl/>
        </w:rPr>
        <w:t>(8)</w:t>
      </w:r>
      <w:r>
        <w:rPr>
          <w:rtl/>
          <w:lang w:bidi="fa-IR"/>
        </w:rPr>
        <w:t xml:space="preserve"> وَالْأَحْبَارُ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الظاهر ممّا تقدّم من الزهد أنّ الصواب « أو » بدل « و» ، كما يرشد إلى هذا لفظة « قال ».</w:t>
      </w:r>
    </w:p>
    <w:p w:rsidR="00744A1C" w:rsidRDefault="00E378DD" w:rsidP="00402829">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176 ، ح 353 ، معلّقاً عن أحمد بن محمّد. الزهد ، ص 79 ، صدر ح 42 ، عن عليّ بن النعمان ، عن ابن مسكان ، عن داود بن فرقد ، عن أبي شيبة الزهري ، عن أحدهما </w:t>
      </w:r>
      <w:r w:rsidR="00F112A7" w:rsidRPr="00CE5A92">
        <w:rPr>
          <w:rStyle w:val="libFootnoteAlaemChar"/>
          <w:rtl/>
        </w:rPr>
        <w:t>عليهما‌السلام</w:t>
      </w:r>
      <w:r w:rsidR="00744A1C">
        <w:rPr>
          <w:rtl/>
          <w:lang w:bidi="fa-IR"/>
        </w:rPr>
        <w:t xml:space="preserve">؛ </w:t>
      </w:r>
      <w:r w:rsidR="00744A1C" w:rsidRPr="006368D2">
        <w:rPr>
          <w:rStyle w:val="libFootnoteBoldChar"/>
          <w:rtl/>
        </w:rPr>
        <w:t>وفيه</w:t>
      </w:r>
      <w:r w:rsidR="00744A1C">
        <w:rPr>
          <w:rtl/>
          <w:lang w:bidi="fa-IR"/>
        </w:rPr>
        <w:t xml:space="preserve"> ، ص 190 ، ح 292 ، عن عليّ بن النعمان ، عن داود بن أبي يزيد ، عن أبي شيبة الزهري ، عن أحدهما </w:t>
      </w:r>
      <w:r w:rsidR="00402829" w:rsidRPr="00CE5A92">
        <w:rPr>
          <w:rStyle w:val="libFootnoteAlaemChar"/>
          <w:rtl/>
        </w:rPr>
        <w:t>عليهما‌السلام</w:t>
      </w:r>
      <w:r w:rsidR="00744A1C">
        <w:rPr>
          <w:rtl/>
          <w:lang w:bidi="fa-IR"/>
        </w:rPr>
        <w:t xml:space="preserve">. </w:t>
      </w:r>
      <w:r w:rsidR="00744A1C" w:rsidRPr="006368D2">
        <w:rPr>
          <w:rStyle w:val="libFootnoteBoldChar"/>
          <w:rtl/>
        </w:rPr>
        <w:t>الأمالي للمفيد</w:t>
      </w:r>
      <w:r w:rsidR="00744A1C">
        <w:rPr>
          <w:rtl/>
          <w:lang w:bidi="fa-IR"/>
        </w:rPr>
        <w:t xml:space="preserve"> ، ص 184 ، المجلس 23 ، صدر ح 7 ، بسنده عن عليّ بن النعمان ، عن ابن مسكان ، عن داود بن فرقد ، عن أبي سعيد الزهري ، عن أحدهما </w:t>
      </w:r>
      <w:r w:rsidR="00F112A7" w:rsidRPr="00CE5A92">
        <w:rPr>
          <w:rStyle w:val="libFootnoteAlaemChar"/>
          <w:rtl/>
        </w:rPr>
        <w:t>عليهما‌السلام</w:t>
      </w:r>
      <w:r w:rsidR="006368D2">
        <w:rPr>
          <w:rStyle w:val="libFootnoteAlaemChar"/>
          <w:rFonts w:hint="cs"/>
          <w:rtl/>
        </w:rPr>
        <w:t>.</w:t>
      </w:r>
      <w:r w:rsidR="00744A1C" w:rsidRPr="00C24F9C">
        <w:rPr>
          <w:rStyle w:val="libFootnoteBoldChar"/>
          <w:rtl/>
        </w:rPr>
        <w:t>الوافي</w:t>
      </w:r>
      <w:r w:rsidR="00744A1C">
        <w:rPr>
          <w:rtl/>
          <w:lang w:bidi="fa-IR"/>
        </w:rPr>
        <w:t xml:space="preserve"> ، ج 15 ، ص 172 ، ح 14853 ؛ </w:t>
      </w:r>
      <w:r w:rsidR="00744A1C" w:rsidRPr="00C24F9C">
        <w:rPr>
          <w:rStyle w:val="libFootnoteBoldChar"/>
          <w:rtl/>
        </w:rPr>
        <w:t>الوسائل</w:t>
      </w:r>
      <w:r w:rsidR="00744A1C">
        <w:rPr>
          <w:rtl/>
          <w:lang w:bidi="fa-IR"/>
        </w:rPr>
        <w:t xml:space="preserve"> ، ج 16 ، ص 117 ، ح 21127.</w:t>
      </w:r>
    </w:p>
    <w:p w:rsidR="00744A1C" w:rsidRDefault="00E378DD" w:rsidP="00E378DD">
      <w:pPr>
        <w:pStyle w:val="libFootnote0"/>
        <w:rPr>
          <w:lang w:bidi="fa-IR"/>
        </w:rPr>
      </w:pPr>
      <w:r>
        <w:rPr>
          <w:rtl/>
          <w:lang w:bidi="fa-IR"/>
        </w:rPr>
        <w:t>(3).</w:t>
      </w:r>
      <w:r w:rsidR="00744A1C">
        <w:rPr>
          <w:rtl/>
          <w:lang w:bidi="fa-IR"/>
        </w:rPr>
        <w:t xml:space="preserve"> الظاهر أنّ المراد من « بإسناده » هو السند المتقدّم في الرقم السابق.</w:t>
      </w:r>
    </w:p>
    <w:p w:rsidR="00744A1C" w:rsidRDefault="00E378DD" w:rsidP="00E378DD">
      <w:pPr>
        <w:pStyle w:val="libFootnote0"/>
        <w:rPr>
          <w:lang w:bidi="fa-IR"/>
        </w:rPr>
      </w:pPr>
      <w:r>
        <w:rPr>
          <w:rtl/>
          <w:lang w:bidi="fa-IR"/>
        </w:rPr>
        <w:t>(4).</w:t>
      </w:r>
      <w:r w:rsidR="00744A1C">
        <w:rPr>
          <w:rtl/>
          <w:lang w:bidi="fa-IR"/>
        </w:rPr>
        <w:t xml:space="preserve"> في « بف » : « قوماً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176 ، ح 354 ، وفيه هكذا : « وبإسناده قال : قال أبو جعفر </w:t>
      </w:r>
      <w:r w:rsidR="0061079A" w:rsidRPr="0061079A">
        <w:rPr>
          <w:rStyle w:val="libFootnoteAlaemChar"/>
          <w:rtl/>
        </w:rPr>
        <w:t>عليه‌السلام</w:t>
      </w:r>
      <w:r w:rsidR="00D10E3C">
        <w:rPr>
          <w:rtl/>
          <w:lang w:bidi="fa-IR"/>
        </w:rPr>
        <w:t xml:space="preserve"> </w:t>
      </w:r>
      <w:r w:rsidR="00744A1C">
        <w:rPr>
          <w:rtl/>
          <w:lang w:bidi="fa-IR"/>
        </w:rPr>
        <w:t xml:space="preserve">: ... » </w:t>
      </w:r>
      <w:r w:rsidR="006368D2">
        <w:rPr>
          <w:rFonts w:hint="cs"/>
          <w:rtl/>
          <w:lang w:bidi="fa-IR"/>
        </w:rPr>
        <w:t>.</w:t>
      </w:r>
      <w:r w:rsidR="00744A1C" w:rsidRPr="00C24F9C">
        <w:rPr>
          <w:rStyle w:val="libFootnoteBoldChar"/>
          <w:rtl/>
        </w:rPr>
        <w:t>الوافي</w:t>
      </w:r>
      <w:r w:rsidR="00744A1C">
        <w:rPr>
          <w:rtl/>
          <w:lang w:bidi="fa-IR"/>
        </w:rPr>
        <w:t xml:space="preserve"> ، ج 15 ، ص 172 ، ح 14854 ؛ </w:t>
      </w:r>
      <w:r w:rsidR="00744A1C" w:rsidRPr="00C24F9C">
        <w:rPr>
          <w:rStyle w:val="libFootnoteBoldChar"/>
          <w:rtl/>
        </w:rPr>
        <w:t>الوسائل</w:t>
      </w:r>
      <w:r w:rsidR="00744A1C">
        <w:rPr>
          <w:rtl/>
          <w:lang w:bidi="fa-IR"/>
        </w:rPr>
        <w:t xml:space="preserve"> ، ج 16 ، ص 117 ، ح 21128.</w:t>
      </w:r>
    </w:p>
    <w:p w:rsidR="00744A1C" w:rsidRDefault="00E378DD" w:rsidP="00E378DD">
      <w:pPr>
        <w:pStyle w:val="libFootnote0"/>
        <w:rPr>
          <w:lang w:bidi="fa-IR"/>
        </w:rPr>
      </w:pPr>
      <w:r>
        <w:rPr>
          <w:rtl/>
          <w:lang w:bidi="fa-IR"/>
        </w:rPr>
        <w:t>(6).</w:t>
      </w:r>
      <w:r w:rsidR="00744A1C">
        <w:rPr>
          <w:rtl/>
          <w:lang w:bidi="fa-IR"/>
        </w:rPr>
        <w:t xml:space="preserve"> روى الحسين بن سعيد الخبر - باختلافٍ وتلخيص - في الزهد ، ص 189 ، ح 291 ، بسنده عن أبي حمزة عن يحيى بن عقيل ، عن حبشي. ولعلّه الصواب ، والمراد منه هو حُبشي بن جُنادة السَّلولي. راجع : </w:t>
      </w:r>
      <w:r w:rsidR="00744A1C" w:rsidRPr="006368D2">
        <w:rPr>
          <w:rStyle w:val="libFootnoteBoldChar"/>
          <w:rtl/>
        </w:rPr>
        <w:t>ا</w:t>
      </w:r>
      <w:r w:rsidR="006368D2">
        <w:rPr>
          <w:rStyle w:val="libFootnoteBoldChar"/>
          <w:rFonts w:hint="cs"/>
          <w:rtl/>
        </w:rPr>
        <w:t>ُ</w:t>
      </w:r>
      <w:r w:rsidR="00744A1C" w:rsidRPr="006368D2">
        <w:rPr>
          <w:rStyle w:val="libFootnoteBoldChar"/>
          <w:rtl/>
        </w:rPr>
        <w:t>سد الغابة</w:t>
      </w:r>
      <w:r w:rsidR="00744A1C">
        <w:rPr>
          <w:rtl/>
          <w:lang w:bidi="fa-IR"/>
        </w:rPr>
        <w:t xml:space="preserve"> ، ج 1 ، ص 431 ، الرقم 1029 ؛ </w:t>
      </w:r>
      <w:r w:rsidR="00744A1C" w:rsidRPr="00B7470D">
        <w:rPr>
          <w:rStyle w:val="libFootnoteBoldChar"/>
          <w:rtl/>
        </w:rPr>
        <w:t>تهذيب الكمال</w:t>
      </w:r>
      <w:r w:rsidR="00744A1C">
        <w:rPr>
          <w:rtl/>
          <w:lang w:bidi="fa-IR"/>
        </w:rPr>
        <w:t xml:space="preserve"> ، ج 5 ، ص 349 ، الرقم 1075.</w:t>
      </w:r>
    </w:p>
    <w:p w:rsidR="00744A1C" w:rsidRDefault="00E378DD" w:rsidP="00E378DD">
      <w:pPr>
        <w:pStyle w:val="libFootnote0"/>
        <w:rPr>
          <w:lang w:bidi="fa-IR"/>
        </w:rPr>
      </w:pPr>
      <w:r>
        <w:rPr>
          <w:rtl/>
          <w:lang w:bidi="fa-IR"/>
        </w:rPr>
        <w:t>(7).</w:t>
      </w:r>
      <w:r w:rsidR="00744A1C">
        <w:rPr>
          <w:rtl/>
          <w:lang w:bidi="fa-IR"/>
        </w:rPr>
        <w:t xml:space="preserve"> في الزهد : + « ذكر ابن عمّه محمّداً </w:t>
      </w:r>
      <w:r w:rsidR="00E45E68" w:rsidRPr="00402829">
        <w:rPr>
          <w:rStyle w:val="libFootnoteAlaemChar"/>
          <w:rtl/>
        </w:rPr>
        <w:t>صلى‌الله‌عليه‌وآله</w:t>
      </w:r>
      <w:r w:rsidR="00D10E3C">
        <w:rPr>
          <w:rtl/>
          <w:lang w:bidi="fa-IR"/>
        </w:rPr>
        <w:t xml:space="preserve"> </w:t>
      </w:r>
      <w:r w:rsidR="00744A1C">
        <w:rPr>
          <w:rtl/>
          <w:lang w:bidi="fa-IR"/>
        </w:rPr>
        <w:t>، فصلّى عليه ، ثمّ ».</w:t>
      </w:r>
    </w:p>
    <w:p w:rsidR="00744A1C" w:rsidRDefault="00E378DD" w:rsidP="00E378DD">
      <w:pPr>
        <w:pStyle w:val="libFootnote0"/>
        <w:rPr>
          <w:lang w:bidi="fa-IR"/>
        </w:rPr>
      </w:pPr>
      <w:r>
        <w:rPr>
          <w:rtl/>
          <w:lang w:bidi="fa-IR"/>
        </w:rPr>
        <w:t>(8).</w:t>
      </w:r>
      <w:r w:rsidR="00744A1C">
        <w:rPr>
          <w:rtl/>
          <w:lang w:bidi="fa-IR"/>
        </w:rPr>
        <w:t xml:space="preserve"> الربّاني : العالم ورَبُّ العلم ، والذي يعبد الربّ ، زيدت الألف والنون للمبالغة في النسب ، والموصوف بعلم</w:t>
      </w:r>
      <w:r w:rsidR="006368D2">
        <w:rPr>
          <w:rFonts w:hint="cs"/>
          <w:rtl/>
          <w:lang w:bidi="fa-IR"/>
        </w:rPr>
        <w:t xml:space="preserve"> </w:t>
      </w:r>
      <w:r w:rsidR="00744A1C">
        <w:rPr>
          <w:rtl/>
          <w:lang w:bidi="fa-IR"/>
        </w:rPr>
        <w:t xml:space="preserve">‌الربّ ، والعالم المعلِّم ، والعالم الراسخ في العلم والدين ، والمتألّه العارف بالله عزّ وجلّ. راجع : </w:t>
      </w:r>
      <w:r w:rsidR="00744A1C" w:rsidRPr="00877682">
        <w:rPr>
          <w:rStyle w:val="libFootnoteBoldChar"/>
          <w:rtl/>
        </w:rPr>
        <w:t>لسان العرب</w:t>
      </w:r>
      <w:r w:rsidR="00744A1C">
        <w:rPr>
          <w:rtl/>
          <w:lang w:bidi="fa-IR"/>
        </w:rPr>
        <w:t xml:space="preserve"> ، ج 1 ، ص 403 و 407 ( ربب ).</w:t>
      </w:r>
    </w:p>
    <w:p w:rsidR="00744A1C" w:rsidRDefault="00E378DD" w:rsidP="00E378DD">
      <w:pPr>
        <w:pStyle w:val="libFootnote0"/>
        <w:rPr>
          <w:lang w:bidi="fa-IR"/>
        </w:rPr>
      </w:pPr>
      <w:r>
        <w:rPr>
          <w:rtl/>
          <w:lang w:bidi="fa-IR"/>
        </w:rPr>
        <w:t>(9).</w:t>
      </w:r>
      <w:r w:rsidR="00744A1C">
        <w:rPr>
          <w:rtl/>
          <w:lang w:bidi="fa-IR"/>
        </w:rPr>
        <w:t xml:space="preserve"> « الأحبار » : العلماء ، جمع حبر بالفتح والكسر. راجع : </w:t>
      </w:r>
      <w:r w:rsidR="00744A1C" w:rsidRPr="00E978C3">
        <w:rPr>
          <w:rStyle w:val="libFootnoteBoldChar"/>
          <w:rtl/>
        </w:rPr>
        <w:t>الصحاح</w:t>
      </w:r>
      <w:r w:rsidR="00744A1C">
        <w:rPr>
          <w:rtl/>
          <w:lang w:bidi="fa-IR"/>
        </w:rPr>
        <w:t xml:space="preserve"> ، ج 2 ، ص 619 ( حبر ).</w:t>
      </w:r>
    </w:p>
    <w:p w:rsidR="006A5060" w:rsidRDefault="006A5060" w:rsidP="00D10E3C">
      <w:pPr>
        <w:pStyle w:val="libNormal"/>
        <w:rPr>
          <w:rtl/>
          <w:lang w:bidi="fa-IR"/>
        </w:rPr>
      </w:pPr>
      <w:r>
        <w:rPr>
          <w:rtl/>
          <w:lang w:bidi="fa-IR"/>
        </w:rPr>
        <w:br w:type="page"/>
      </w:r>
    </w:p>
    <w:p w:rsidR="00144FA6" w:rsidRDefault="00744A1C" w:rsidP="006368D2">
      <w:pPr>
        <w:pStyle w:val="libNormal0"/>
        <w:rPr>
          <w:rtl/>
          <w:lang w:bidi="fa-IR"/>
        </w:rPr>
      </w:pPr>
      <w:r>
        <w:rPr>
          <w:rtl/>
          <w:lang w:bidi="fa-IR"/>
        </w:rPr>
        <w:t xml:space="preserve">عَنْ ذلِكَ ، وَإِنَّهُمْ لَمَّا تَمَادَوْا فِي الْمَعَاصِي وَلَمْ يَنْهَهُمُ الرَّبَّانِيُّونَ وَالْأَحْبَارُ عَنْ ذلِكَ </w:t>
      </w:r>
      <w:r w:rsidRPr="00D10E3C">
        <w:rPr>
          <w:rStyle w:val="libFootnotenumChar"/>
          <w:rtl/>
        </w:rPr>
        <w:t>(1)</w:t>
      </w:r>
      <w:r>
        <w:rPr>
          <w:rtl/>
          <w:lang w:bidi="fa-IR"/>
        </w:rPr>
        <w:t xml:space="preserve"> ، نَزَلَتْ بِهِمُ الْعُقُوبَاتُ ، فَأْمُرُوا بِالْمَعْرُوفِ ، وَانْهَوْا عَنِ الْمُنْكَرِ ، وَاعْلَمُوا أَنَّ الْأَمْرَ بِالْمَعْرُوفِ وَالنَّهْيَ عَنِ الْمُنْكَرِ لَمْ يُقَرِّبَا </w:t>
      </w:r>
      <w:r w:rsidRPr="00D10E3C">
        <w:rPr>
          <w:rStyle w:val="libFootnotenumChar"/>
          <w:rtl/>
        </w:rPr>
        <w:t>(2)</w:t>
      </w:r>
      <w:r>
        <w:rPr>
          <w:rtl/>
          <w:lang w:bidi="fa-IR"/>
        </w:rPr>
        <w:t xml:space="preserve"> أَجَلاً ، وَلَمْ يَقْطَعَا </w:t>
      </w:r>
      <w:r w:rsidRPr="00D10E3C">
        <w:rPr>
          <w:rStyle w:val="libFootnotenumChar"/>
          <w:rtl/>
        </w:rPr>
        <w:t>(3)</w:t>
      </w:r>
      <w:r>
        <w:rPr>
          <w:rtl/>
          <w:lang w:bidi="fa-IR"/>
        </w:rPr>
        <w:t xml:space="preserve"> رِزْقاً ، إِنَّ الْأَمْرَ يَنْزِلُ </w:t>
      </w:r>
      <w:r w:rsidRPr="00D10E3C">
        <w:rPr>
          <w:rStyle w:val="libFootnotenumChar"/>
          <w:rtl/>
        </w:rPr>
        <w:t>(4)</w:t>
      </w:r>
      <w:r>
        <w:rPr>
          <w:rtl/>
          <w:lang w:bidi="fa-IR"/>
        </w:rPr>
        <w:t xml:space="preserve"> مِنَ السَّمَاءِ إِلَى الْأَرْضِ كَقَطْرِ الْمَطَرِ إِلى كُلِّ نَفْسٍ بِمَا قَدَّرَ اللهُ لَهَا مِنْ زِيَادَةٍ أَوْ نُقْصَانٍ ، فَإِنْ أَصَابَ أَحَدَكُمْ مُصِيبَةٌ فِي أَهْلٍ ، أَوْ مَالٍ ، أَوْ نَفْسٍ ، وَ </w:t>
      </w:r>
      <w:r w:rsidRPr="00D10E3C">
        <w:rPr>
          <w:rStyle w:val="libFootnotenumChar"/>
          <w:rtl/>
        </w:rPr>
        <w:t>(5)</w:t>
      </w:r>
      <w:r>
        <w:rPr>
          <w:rtl/>
          <w:lang w:bidi="fa-IR"/>
        </w:rPr>
        <w:t xml:space="preserve"> رَأى عِنْدَ أَخِيهِ غَفِيرَةً </w:t>
      </w:r>
      <w:r w:rsidRPr="00D10E3C">
        <w:rPr>
          <w:rStyle w:val="libFootnotenumChar"/>
          <w:rtl/>
        </w:rPr>
        <w:t>(6)</w:t>
      </w:r>
      <w:r>
        <w:rPr>
          <w:rtl/>
          <w:lang w:bidi="fa-IR"/>
        </w:rPr>
        <w:t xml:space="preserve"> فِي أَهْلٍ ، أَوْ مَالٍ ، أَوْ نَفْسٍ </w:t>
      </w:r>
      <w:r w:rsidRPr="00D10E3C">
        <w:rPr>
          <w:rStyle w:val="libFootnotenumChar"/>
          <w:rtl/>
        </w:rPr>
        <w:t>(7)</w:t>
      </w:r>
      <w:r>
        <w:rPr>
          <w:rtl/>
          <w:lang w:bidi="fa-IR"/>
        </w:rPr>
        <w:t xml:space="preserve"> ، فَلَا تَكُونَنَّ </w:t>
      </w:r>
      <w:r w:rsidRPr="00D10E3C">
        <w:rPr>
          <w:rStyle w:val="libFootnotenumChar"/>
          <w:rtl/>
        </w:rPr>
        <w:t>(8)</w:t>
      </w:r>
      <w:r>
        <w:rPr>
          <w:rtl/>
          <w:lang w:bidi="fa-IR"/>
        </w:rPr>
        <w:t xml:space="preserve"> عَلَيْهِ </w:t>
      </w:r>
      <w:r w:rsidRPr="00D10E3C">
        <w:rPr>
          <w:rStyle w:val="libFootnotenumChar"/>
          <w:rtl/>
        </w:rPr>
        <w:t>(9)</w:t>
      </w:r>
      <w:r>
        <w:rPr>
          <w:rtl/>
          <w:lang w:bidi="fa-IR"/>
        </w:rPr>
        <w:t xml:space="preserve"> فِتْنَةً ؛ فَإِنَّ الْمَرْءَ الْمُسْلِمَ لَبَرِي‌ءٌ مِنَ الْخِيَانَةِ </w:t>
      </w:r>
      <w:r w:rsidRPr="00D10E3C">
        <w:rPr>
          <w:rStyle w:val="libFootnotenumChar"/>
          <w:rtl/>
        </w:rPr>
        <w:t>(10)</w:t>
      </w:r>
      <w:r>
        <w:rPr>
          <w:rtl/>
          <w:lang w:bidi="fa-IR"/>
        </w:rPr>
        <w:t xml:space="preserve"> مَا لَمْ يَغْشَ </w:t>
      </w:r>
      <w:r w:rsidRPr="00D10E3C">
        <w:rPr>
          <w:rStyle w:val="libFootnotenumChar"/>
          <w:rtl/>
        </w:rPr>
        <w:t>(11)</w:t>
      </w:r>
      <w:r>
        <w:rPr>
          <w:rtl/>
          <w:lang w:bidi="fa-IR"/>
        </w:rPr>
        <w:t xml:space="preserve"> دَنَاءَةً تَظْهَرُ ، فَيَخْشَعُ </w:t>
      </w:r>
      <w:r w:rsidRPr="00D10E3C">
        <w:rPr>
          <w:rStyle w:val="libFootnotenumChar"/>
          <w:rtl/>
        </w:rPr>
        <w:t>(12)</w:t>
      </w:r>
      <w:r>
        <w:rPr>
          <w:rtl/>
          <w:lang w:bidi="fa-IR"/>
        </w:rPr>
        <w:t xml:space="preserve"> لَهَا إِذَا ذُكِرَتْ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الزهد : - « ولم ينههم الربّانيّون والأحبار عن ذلك ».</w:t>
      </w:r>
    </w:p>
    <w:p w:rsidR="00744A1C" w:rsidRDefault="00E378DD" w:rsidP="00E378DD">
      <w:pPr>
        <w:pStyle w:val="libFootnote0"/>
        <w:rPr>
          <w:lang w:bidi="fa-IR"/>
        </w:rPr>
      </w:pPr>
      <w:r>
        <w:rPr>
          <w:rtl/>
          <w:lang w:bidi="fa-IR"/>
        </w:rPr>
        <w:t>(2).</w:t>
      </w:r>
      <w:r w:rsidR="00744A1C">
        <w:rPr>
          <w:rtl/>
          <w:lang w:bidi="fa-IR"/>
        </w:rPr>
        <w:t xml:space="preserve"> في « بث ، بح ، جد » وحاشية « جت » </w:t>
      </w:r>
      <w:r w:rsidR="00744A1C" w:rsidRPr="003E6441">
        <w:rPr>
          <w:rtl/>
        </w:rPr>
        <w:t>والوافي والوسائل</w:t>
      </w:r>
      <w:r w:rsidR="00744A1C">
        <w:rPr>
          <w:rtl/>
          <w:lang w:bidi="fa-IR"/>
        </w:rPr>
        <w:t xml:space="preserve"> : « لن يقرّبا ». ويجوز فيه هيئة التفعيل والإفعال.</w:t>
      </w:r>
    </w:p>
    <w:p w:rsidR="00744A1C" w:rsidRDefault="00E378DD" w:rsidP="00E378DD">
      <w:pPr>
        <w:pStyle w:val="libFootnote0"/>
        <w:rPr>
          <w:lang w:bidi="fa-IR"/>
        </w:rPr>
      </w:pPr>
      <w:r>
        <w:rPr>
          <w:rtl/>
          <w:lang w:bidi="fa-IR"/>
        </w:rPr>
        <w:t>(3).</w:t>
      </w:r>
      <w:r w:rsidR="00744A1C">
        <w:rPr>
          <w:rtl/>
          <w:lang w:bidi="fa-IR"/>
        </w:rPr>
        <w:t xml:space="preserve"> في « بث ، بح ، بس ، بف ، جد » </w:t>
      </w:r>
      <w:r w:rsidR="00744A1C" w:rsidRPr="003E6441">
        <w:rPr>
          <w:rtl/>
        </w:rPr>
        <w:t>والوافي والوسائل</w:t>
      </w:r>
      <w:r w:rsidR="00744A1C">
        <w:rPr>
          <w:rtl/>
          <w:lang w:bidi="fa-IR"/>
        </w:rPr>
        <w:t xml:space="preserve"> : « ولن يقطعا ».</w:t>
      </w:r>
    </w:p>
    <w:p w:rsidR="00744A1C" w:rsidRDefault="00E378DD" w:rsidP="00E378DD">
      <w:pPr>
        <w:pStyle w:val="libFootnote0"/>
        <w:rPr>
          <w:lang w:bidi="fa-IR"/>
        </w:rPr>
      </w:pPr>
      <w:r>
        <w:rPr>
          <w:rtl/>
          <w:lang w:bidi="fa-IR"/>
        </w:rPr>
        <w:t>(4).</w:t>
      </w:r>
      <w:r w:rsidR="00744A1C">
        <w:rPr>
          <w:rtl/>
          <w:lang w:bidi="fa-IR"/>
        </w:rPr>
        <w:t xml:space="preserve"> في « بف » : « نزل ».</w:t>
      </w:r>
    </w:p>
    <w:p w:rsidR="00744A1C" w:rsidRDefault="00E378DD" w:rsidP="00E378DD">
      <w:pPr>
        <w:pStyle w:val="libFootnote0"/>
        <w:rPr>
          <w:lang w:bidi="fa-IR"/>
        </w:rPr>
      </w:pPr>
      <w:r>
        <w:rPr>
          <w:rtl/>
          <w:lang w:bidi="fa-IR"/>
        </w:rPr>
        <w:t>(5).</w:t>
      </w:r>
      <w:r w:rsidR="00744A1C">
        <w:rPr>
          <w:rtl/>
          <w:lang w:bidi="fa-IR"/>
        </w:rPr>
        <w:t xml:space="preserve"> في نهج البلاغة ، ص 64 : - « أصاب أحدكم مصيبة في أهل أو مال أو نفس ، و».</w:t>
      </w:r>
    </w:p>
    <w:p w:rsidR="00744A1C" w:rsidRDefault="00E378DD" w:rsidP="00E378DD">
      <w:pPr>
        <w:pStyle w:val="libFootnote0"/>
        <w:rPr>
          <w:lang w:bidi="fa-IR"/>
        </w:rPr>
      </w:pPr>
      <w:r>
        <w:rPr>
          <w:rtl/>
          <w:lang w:bidi="fa-IR"/>
        </w:rPr>
        <w:t>(6).</w:t>
      </w:r>
      <w:r w:rsidR="00744A1C">
        <w:rPr>
          <w:rtl/>
          <w:lang w:bidi="fa-IR"/>
        </w:rPr>
        <w:t xml:space="preserve"> في « بف » : « جفوة ». وفي </w:t>
      </w:r>
      <w:r w:rsidR="00744A1C" w:rsidRPr="003E6441">
        <w:rPr>
          <w:rtl/>
        </w:rPr>
        <w:t>الوافي</w:t>
      </w:r>
      <w:r w:rsidR="00744A1C">
        <w:rPr>
          <w:rtl/>
          <w:lang w:bidi="fa-IR"/>
        </w:rPr>
        <w:t xml:space="preserve"> : « حفوة » ، أي الفرح والسرور. وفي الزهد : « عقوبة ». وفي </w:t>
      </w:r>
      <w:r w:rsidR="00744A1C" w:rsidRPr="00610FB4">
        <w:rPr>
          <w:rStyle w:val="libFootnoteBoldChar"/>
          <w:rtl/>
        </w:rPr>
        <w:t>تفسير القمّي</w:t>
      </w:r>
      <w:r w:rsidR="00744A1C">
        <w:rPr>
          <w:rtl/>
          <w:lang w:bidi="fa-IR"/>
        </w:rPr>
        <w:t xml:space="preserve"> : « عفوة » أي الخيار من كلّ شي‌ء. والغَفيرة : الكثرة والزيادة ، من قولهم للجمع الكثير : الجَمّ الغَفير. </w:t>
      </w:r>
      <w:r w:rsidR="00744A1C" w:rsidRPr="00877682">
        <w:rPr>
          <w:rStyle w:val="libFootnoteBoldChar"/>
          <w:rtl/>
        </w:rPr>
        <w:t>النهاية</w:t>
      </w:r>
      <w:r w:rsidR="00744A1C">
        <w:rPr>
          <w:rtl/>
          <w:lang w:bidi="fa-IR"/>
        </w:rPr>
        <w:t xml:space="preserve"> ، ج 3 ، ص 374 ( غفر ).</w:t>
      </w:r>
    </w:p>
    <w:p w:rsidR="00744A1C" w:rsidRDefault="00E378DD" w:rsidP="00E378DD">
      <w:pPr>
        <w:pStyle w:val="libFootnote0"/>
        <w:rPr>
          <w:lang w:bidi="fa-IR"/>
        </w:rPr>
      </w:pPr>
      <w:r>
        <w:rPr>
          <w:rtl/>
          <w:lang w:bidi="fa-IR"/>
        </w:rPr>
        <w:t>(7).</w:t>
      </w:r>
      <w:r w:rsidR="00744A1C">
        <w:rPr>
          <w:rtl/>
          <w:lang w:bidi="fa-IR"/>
        </w:rPr>
        <w:t xml:space="preserve"> في « بف » والزهد </w:t>
      </w:r>
      <w:r w:rsidR="00744A1C" w:rsidRPr="003E6441">
        <w:rPr>
          <w:rtl/>
        </w:rPr>
        <w:t>وتفسير القمّي وقرب الإسناد</w:t>
      </w:r>
      <w:r w:rsidR="00744A1C">
        <w:rPr>
          <w:rtl/>
          <w:lang w:bidi="fa-IR"/>
        </w:rPr>
        <w:t xml:space="preserve"> : - « في أهل أو مال أو نفس ».</w:t>
      </w:r>
    </w:p>
    <w:p w:rsidR="00744A1C" w:rsidRDefault="00E378DD" w:rsidP="00E378DD">
      <w:pPr>
        <w:pStyle w:val="libFootnote0"/>
        <w:rPr>
          <w:lang w:bidi="fa-IR"/>
        </w:rPr>
      </w:pPr>
      <w:r>
        <w:rPr>
          <w:rtl/>
          <w:lang w:bidi="fa-IR"/>
        </w:rPr>
        <w:t>(8).</w:t>
      </w:r>
      <w:r w:rsidR="00744A1C">
        <w:rPr>
          <w:rtl/>
          <w:lang w:bidi="fa-IR"/>
        </w:rPr>
        <w:t xml:space="preserve"> في « ى ، بح ، جد » والزهد </w:t>
      </w:r>
      <w:r w:rsidR="00744A1C" w:rsidRPr="003E6441">
        <w:rPr>
          <w:rtl/>
        </w:rPr>
        <w:t>وتفسير القمّي</w:t>
      </w:r>
      <w:r w:rsidR="00744A1C">
        <w:rPr>
          <w:rtl/>
          <w:lang w:bidi="fa-IR"/>
        </w:rPr>
        <w:t xml:space="preserve"> : « فلا يكوننّ ». وفي « بث » : « فلا يكون ».</w:t>
      </w:r>
    </w:p>
    <w:p w:rsidR="00744A1C" w:rsidRDefault="00E378DD" w:rsidP="00E378DD">
      <w:pPr>
        <w:pStyle w:val="libFootnote0"/>
        <w:rPr>
          <w:lang w:bidi="fa-IR"/>
        </w:rPr>
      </w:pPr>
      <w:r>
        <w:rPr>
          <w:rtl/>
          <w:lang w:bidi="fa-IR"/>
        </w:rPr>
        <w:t>(9).</w:t>
      </w:r>
      <w:r w:rsidR="00744A1C">
        <w:rPr>
          <w:rtl/>
          <w:lang w:bidi="fa-IR"/>
        </w:rPr>
        <w:t xml:space="preserve"> في « ى ، بس ، جت ، جد » وحاشية « بح » </w:t>
      </w:r>
      <w:r w:rsidR="00744A1C" w:rsidRPr="003E6441">
        <w:rPr>
          <w:rtl/>
        </w:rPr>
        <w:t>والوافي</w:t>
      </w:r>
      <w:r w:rsidR="00744A1C">
        <w:rPr>
          <w:rtl/>
          <w:lang w:bidi="fa-IR"/>
        </w:rPr>
        <w:t xml:space="preserve"> ونهج البلاغة ، ص 64 </w:t>
      </w:r>
      <w:r w:rsidR="00744A1C" w:rsidRPr="003E6441">
        <w:rPr>
          <w:rtl/>
        </w:rPr>
        <w:t>وتفسير القمّي وقرب الإسناد</w:t>
      </w:r>
      <w:r w:rsidR="00744A1C">
        <w:rPr>
          <w:rtl/>
          <w:lang w:bidi="fa-IR"/>
        </w:rPr>
        <w:t xml:space="preserve"> : « له ». وفي </w:t>
      </w:r>
      <w:r w:rsidR="00744A1C" w:rsidRPr="00C24F9C">
        <w:rPr>
          <w:rStyle w:val="libFootnoteBoldChar"/>
          <w:rtl/>
        </w:rPr>
        <w:t>الوافي</w:t>
      </w:r>
      <w:r w:rsidR="00744A1C">
        <w:rPr>
          <w:rtl/>
          <w:lang w:bidi="fa-IR"/>
        </w:rPr>
        <w:t xml:space="preserve"> : « يعني لا يكوننّ ما رأى في أخيه له فتنة تقضي به إلى الحسد ؛ لأنّ من لم يواقع لدناءة وقبيح يستحي من ذكره بين الناس وهتك ستره به ، كاللاعب بالقداح المحظوظ منها ».</w:t>
      </w:r>
    </w:p>
    <w:p w:rsidR="00744A1C" w:rsidRDefault="00E378DD" w:rsidP="00E378DD">
      <w:pPr>
        <w:pStyle w:val="libFootnote0"/>
        <w:rPr>
          <w:lang w:bidi="fa-IR"/>
        </w:rPr>
      </w:pPr>
      <w:r>
        <w:rPr>
          <w:rtl/>
          <w:lang w:bidi="fa-IR"/>
        </w:rPr>
        <w:t>(10).</w:t>
      </w:r>
      <w:r w:rsidR="00744A1C">
        <w:rPr>
          <w:rtl/>
          <w:lang w:bidi="fa-IR"/>
        </w:rPr>
        <w:t xml:space="preserve"> في </w:t>
      </w:r>
      <w:r w:rsidR="00744A1C" w:rsidRPr="00E36593">
        <w:rPr>
          <w:rtl/>
        </w:rPr>
        <w:t>الوافي</w:t>
      </w:r>
      <w:r w:rsidR="00744A1C">
        <w:rPr>
          <w:rtl/>
          <w:lang w:bidi="fa-IR"/>
        </w:rPr>
        <w:t xml:space="preserve"> ونهج البلاغة ، ص 64 </w:t>
      </w:r>
      <w:r w:rsidR="00744A1C" w:rsidRPr="00E36593">
        <w:rPr>
          <w:rtl/>
        </w:rPr>
        <w:t>وتفسير القمّي وقرب الإسناد</w:t>
      </w:r>
      <w:r w:rsidR="00744A1C">
        <w:rPr>
          <w:rtl/>
          <w:lang w:bidi="fa-IR"/>
        </w:rPr>
        <w:t xml:space="preserve"> : - « لبري‌ء من الخيانة ».</w:t>
      </w:r>
    </w:p>
    <w:p w:rsidR="00744A1C" w:rsidRDefault="00E378DD" w:rsidP="00E378DD">
      <w:pPr>
        <w:pStyle w:val="libFootnote0"/>
        <w:rPr>
          <w:lang w:bidi="fa-IR"/>
        </w:rPr>
      </w:pPr>
      <w:r>
        <w:rPr>
          <w:rtl/>
          <w:lang w:bidi="fa-IR"/>
        </w:rPr>
        <w:t>(11).</w:t>
      </w:r>
      <w:r w:rsidR="00744A1C">
        <w:rPr>
          <w:rtl/>
          <w:lang w:bidi="fa-IR"/>
        </w:rPr>
        <w:t xml:space="preserve"> الغِشْيان هنا بمعنى الإتيان ، يقال : غَشِيَهُ غِشْياناً ، أي أتاه. راجع : </w:t>
      </w:r>
      <w:r w:rsidR="00744A1C" w:rsidRPr="00877682">
        <w:rPr>
          <w:rStyle w:val="libFootnoteBoldChar"/>
          <w:rtl/>
        </w:rPr>
        <w:t>لسان العرب</w:t>
      </w:r>
      <w:r w:rsidR="00744A1C">
        <w:rPr>
          <w:rtl/>
          <w:lang w:bidi="fa-IR"/>
        </w:rPr>
        <w:t xml:space="preserve"> ، ج 15 ، ص 127 ( غشو ) ؛ </w:t>
      </w:r>
      <w:r w:rsidR="00744A1C" w:rsidRPr="00C24F9C">
        <w:rPr>
          <w:rStyle w:val="libFootnoteBoldChar"/>
          <w:rtl/>
        </w:rPr>
        <w:t>الوافي</w:t>
      </w:r>
      <w:r w:rsidR="00744A1C">
        <w:rPr>
          <w:rtl/>
          <w:lang w:bidi="fa-IR"/>
        </w:rPr>
        <w:t xml:space="preserve"> ، ج 15 ، ص 173.</w:t>
      </w:r>
    </w:p>
    <w:p w:rsidR="00144FA6" w:rsidRDefault="00E378DD" w:rsidP="00E378DD">
      <w:pPr>
        <w:pStyle w:val="libFootnote0"/>
        <w:rPr>
          <w:rtl/>
          <w:lang w:bidi="fa-IR"/>
        </w:rPr>
      </w:pPr>
      <w:r>
        <w:rPr>
          <w:rtl/>
          <w:lang w:bidi="fa-IR"/>
        </w:rPr>
        <w:t>(12).</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فيخشع ، إن حملنا الخشوع على المعنى اللغوي ، وهو غضّ الطرف والتطأمن ، كان عطفاً على « تظهر » وحاصل المعنى : أنّ المسلم مهما لم يرتكب أمراً مسيئاً [ خسيساً ] يظهر عنه ، فيكسب نفسه خلقاً رديّاً ، ويلزمه بارتكابه الخجل من ذكره بين الخلق إذا ذكروا الحياء من التعبير به ، ويغري له لئام الناس</w:t>
      </w:r>
      <w:r w:rsidR="00E36593">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E36593">
      <w:pPr>
        <w:pStyle w:val="libNormal0"/>
        <w:rPr>
          <w:lang w:bidi="fa-IR"/>
        </w:rPr>
      </w:pPr>
      <w:r>
        <w:rPr>
          <w:rtl/>
          <w:lang w:bidi="fa-IR"/>
        </w:rPr>
        <w:t xml:space="preserve">وَيُغْرى </w:t>
      </w:r>
      <w:r w:rsidRPr="00D10E3C">
        <w:rPr>
          <w:rStyle w:val="libFootnotenumChar"/>
          <w:rtl/>
        </w:rPr>
        <w:t>(1)</w:t>
      </w:r>
      <w:r>
        <w:rPr>
          <w:rtl/>
          <w:lang w:bidi="fa-IR"/>
        </w:rPr>
        <w:t xml:space="preserve"> بِهَا </w:t>
      </w:r>
      <w:r w:rsidRPr="00D10E3C">
        <w:rPr>
          <w:rStyle w:val="libFootnotenumChar"/>
          <w:rtl/>
        </w:rPr>
        <w:t>(2)</w:t>
      </w:r>
      <w:r>
        <w:rPr>
          <w:rtl/>
          <w:lang w:bidi="fa-IR"/>
        </w:rPr>
        <w:t xml:space="preserve"> لِئَامُ النَّاسِ </w:t>
      </w:r>
      <w:r w:rsidRPr="00D10E3C">
        <w:rPr>
          <w:rStyle w:val="libFootnotenumChar"/>
          <w:rtl/>
        </w:rPr>
        <w:t>(3)</w:t>
      </w:r>
      <w:r>
        <w:rPr>
          <w:rtl/>
          <w:lang w:bidi="fa-IR"/>
        </w:rPr>
        <w:t xml:space="preserve"> ، كَانَ كَالْفَالِجِ الْيَاسِرِ </w:t>
      </w:r>
      <w:r w:rsidRPr="00D10E3C">
        <w:rPr>
          <w:rStyle w:val="libFootnotenumChar"/>
          <w:rtl/>
        </w:rPr>
        <w:t>(4)</w:t>
      </w:r>
      <w:r>
        <w:rPr>
          <w:rtl/>
          <w:lang w:bidi="fa-IR"/>
        </w:rPr>
        <w:t xml:space="preserve"> الَّذِي يَنْتَظِرُ أَوَّلَ فَوْزَةٍ </w:t>
      </w:r>
      <w:r w:rsidRPr="00D10E3C">
        <w:rPr>
          <w:rStyle w:val="libFootnotenumChar"/>
          <w:rtl/>
        </w:rPr>
        <w:t>(5)</w:t>
      </w:r>
      <w:r>
        <w:rPr>
          <w:rtl/>
          <w:lang w:bidi="fa-IR"/>
        </w:rPr>
        <w:t xml:space="preserve"> مِنْ قِدَاحِهِ </w:t>
      </w:r>
      <w:r w:rsidRPr="00D10E3C">
        <w:rPr>
          <w:rStyle w:val="libFootnotenumChar"/>
          <w:rtl/>
        </w:rPr>
        <w:t>(6)</w:t>
      </w:r>
      <w:r>
        <w:rPr>
          <w:rtl/>
          <w:lang w:bidi="fa-IR"/>
        </w:rPr>
        <w:t xml:space="preserve"> تُوجِبُ </w:t>
      </w:r>
      <w:r w:rsidRPr="00D10E3C">
        <w:rPr>
          <w:rStyle w:val="libFootnotenumChar"/>
          <w:rtl/>
        </w:rPr>
        <w:t>(7)</w:t>
      </w:r>
      <w:r>
        <w:rPr>
          <w:rtl/>
          <w:lang w:bidi="fa-IR"/>
        </w:rPr>
        <w:t xml:space="preserve"> لَهُ الْمَغْنَمَ ، وَيُدْفَعُ </w:t>
      </w:r>
      <w:r w:rsidRPr="00D10E3C">
        <w:rPr>
          <w:rStyle w:val="libFootnotenumChar"/>
          <w:rtl/>
        </w:rPr>
        <w:t>(8)</w:t>
      </w:r>
      <w:r>
        <w:rPr>
          <w:rtl/>
          <w:lang w:bidi="fa-IR"/>
        </w:rPr>
        <w:t xml:space="preserve"> بِهَا </w:t>
      </w:r>
      <w:r w:rsidRPr="00D10E3C">
        <w:rPr>
          <w:rStyle w:val="libFootnotenumChar"/>
          <w:rtl/>
        </w:rPr>
        <w:t>(9)</w:t>
      </w:r>
      <w:r>
        <w:rPr>
          <w:rtl/>
          <w:lang w:bidi="fa-IR"/>
        </w:rPr>
        <w:t xml:space="preserve"> عَنْهُ </w:t>
      </w:r>
      <w:r w:rsidRPr="00D10E3C">
        <w:rPr>
          <w:rStyle w:val="libFootnotenumChar"/>
          <w:rtl/>
        </w:rPr>
        <w:t>(10)</w:t>
      </w:r>
      <w:r>
        <w:rPr>
          <w:rtl/>
          <w:lang w:bidi="fa-IR"/>
        </w:rPr>
        <w:t xml:space="preserve"> الْمَغْرَمُ </w:t>
      </w:r>
      <w:r w:rsidRPr="00D10E3C">
        <w:rPr>
          <w:rStyle w:val="libFootnotenumChar"/>
          <w:rtl/>
        </w:rPr>
        <w:t>(11)</w:t>
      </w:r>
      <w:r>
        <w:rPr>
          <w:rtl/>
          <w:lang w:bidi="fa-IR"/>
        </w:rPr>
        <w:t xml:space="preserve"> ، وَكَذلِكَ </w:t>
      </w:r>
      <w:r w:rsidRPr="00D10E3C">
        <w:rPr>
          <w:rStyle w:val="libFootnotenumChar"/>
          <w:rtl/>
        </w:rPr>
        <w:t>(12)</w:t>
      </w:r>
      <w:r>
        <w:rPr>
          <w:rtl/>
          <w:lang w:bidi="fa-IR"/>
        </w:rPr>
        <w:t xml:space="preserve"> الْمَرْءُ الْمُسْلِمُ الْبَرِي‌ءُ مِنَ‌</w:t>
      </w:r>
    </w:p>
    <w:p w:rsidR="00744A1C" w:rsidRDefault="00744A1C" w:rsidP="00D10E3C">
      <w:pPr>
        <w:pStyle w:val="libLine"/>
        <w:rPr>
          <w:lang w:bidi="fa-IR"/>
        </w:rPr>
      </w:pPr>
      <w:r>
        <w:rPr>
          <w:rtl/>
          <w:lang w:bidi="fa-IR"/>
        </w:rPr>
        <w:t>____________________</w:t>
      </w:r>
    </w:p>
    <w:p w:rsidR="00744A1C" w:rsidRDefault="00E36593" w:rsidP="00D10E3C">
      <w:pPr>
        <w:pStyle w:val="libFootnote0"/>
        <w:rPr>
          <w:lang w:bidi="fa-IR"/>
        </w:rPr>
      </w:pPr>
      <w:r>
        <w:rPr>
          <w:rFonts w:hint="cs"/>
          <w:rtl/>
          <w:lang w:bidi="fa-IR"/>
        </w:rPr>
        <w:t xml:space="preserve">= </w:t>
      </w:r>
      <w:r w:rsidR="00744A1C">
        <w:rPr>
          <w:rtl/>
          <w:lang w:bidi="fa-IR"/>
        </w:rPr>
        <w:t xml:space="preserve">وعوامّهم في فعل مثله. وقيل : في هتك سرّه ؛ فإنّه يشبه الفالج. وإن حملناه على المعنى العرفي ، وهو الخضوع لله - عزّ وجلّ - والخشية منه ، فيحتمل أن تكون الفاء في قوله : فيخشع ، للابتداء ، والمعنى : بل يخشع لها ويخضع عند ذكرها ، ويتضرّع إلى الله هرباً من الوقوع في مثلها ، ويكون قوله </w:t>
      </w:r>
      <w:r w:rsidR="0061079A" w:rsidRPr="0061079A">
        <w:rPr>
          <w:rStyle w:val="libFootnoteAlaemChar"/>
          <w:rtl/>
        </w:rPr>
        <w:t>عليه‌السلام</w:t>
      </w:r>
      <w:r w:rsidR="00D10E3C">
        <w:rPr>
          <w:rtl/>
          <w:lang w:bidi="fa-IR"/>
        </w:rPr>
        <w:t xml:space="preserve"> </w:t>
      </w:r>
      <w:r w:rsidR="00744A1C">
        <w:rPr>
          <w:rtl/>
          <w:lang w:bidi="fa-IR"/>
        </w:rPr>
        <w:t>: ويغرى بها لئام الناس ،</w:t>
      </w:r>
      <w:r>
        <w:rPr>
          <w:rtl/>
          <w:lang w:bidi="fa-IR"/>
        </w:rPr>
        <w:t xml:space="preserve"> عطفاً على يظهر مؤخّراً ، انتهى</w:t>
      </w:r>
      <w:r w:rsidR="00744A1C">
        <w:rPr>
          <w:rtl/>
          <w:lang w:bidi="fa-IR"/>
        </w:rPr>
        <w:t>».</w:t>
      </w:r>
    </w:p>
    <w:p w:rsidR="00744A1C" w:rsidRDefault="00D10E3C" w:rsidP="00D10E3C">
      <w:pPr>
        <w:pStyle w:val="libFootnote0"/>
        <w:rPr>
          <w:lang w:bidi="fa-IR"/>
        </w:rPr>
      </w:pPr>
      <w:r>
        <w:rPr>
          <w:rtl/>
          <w:lang w:bidi="fa-IR"/>
        </w:rPr>
        <w:t>(1).</w:t>
      </w:r>
      <w:r w:rsidR="00744A1C">
        <w:rPr>
          <w:rtl/>
          <w:lang w:bidi="fa-IR"/>
        </w:rPr>
        <w:t xml:space="preserve"> في « بح » بالتاء والياء معاً. وفي « بف » : « ويقوى ». وفي </w:t>
      </w:r>
      <w:r w:rsidR="00744A1C" w:rsidRPr="00E36593">
        <w:rPr>
          <w:rtl/>
        </w:rPr>
        <w:t>الوافي</w:t>
      </w:r>
      <w:r w:rsidR="00744A1C">
        <w:rPr>
          <w:rtl/>
          <w:lang w:bidi="fa-IR"/>
        </w:rPr>
        <w:t xml:space="preserve"> : « فيغري بها ، أي يولع بنشرها ».</w:t>
      </w:r>
    </w:p>
    <w:p w:rsidR="00744A1C" w:rsidRDefault="00E378DD" w:rsidP="00E378DD">
      <w:pPr>
        <w:pStyle w:val="libFootnote0"/>
        <w:rPr>
          <w:lang w:bidi="fa-IR"/>
        </w:rPr>
      </w:pPr>
      <w:r>
        <w:rPr>
          <w:rtl/>
          <w:lang w:bidi="fa-IR"/>
        </w:rPr>
        <w:t>(2).</w:t>
      </w:r>
      <w:r w:rsidR="00744A1C">
        <w:rPr>
          <w:rtl/>
          <w:lang w:bidi="fa-IR"/>
        </w:rPr>
        <w:t xml:space="preserve"> في « بف » وحاشية « جت » : « به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ويغرى بها لئام الناس ، في أكثر النسخ للنهج : به ، على ضمير المذكّر ، فالفعل على بناء المعلوم ، والضمير المرفوع راجع إلى الدناءة ، والمجرور في قوله : به ، إلى المرء ، أي تولع الدناءة لئام الناس بالمرء المسلم ، وفي بعضها - كما في الكتاب - على ضمير المؤنّث ، فالفعل على بناء المجهول ، والضمير المجرور المؤنّث راجع إلى الدناءة ، أي تولع بسبب الدناءة لئام الناس بالمرء ، ويمكن أن يقرأ على المعلوم أيضاً ، فتأمّل ».</w:t>
      </w:r>
    </w:p>
    <w:p w:rsidR="00744A1C" w:rsidRDefault="00E378DD" w:rsidP="00E378DD">
      <w:pPr>
        <w:pStyle w:val="libFootnote0"/>
        <w:rPr>
          <w:lang w:bidi="fa-IR"/>
        </w:rPr>
      </w:pPr>
      <w:r>
        <w:rPr>
          <w:rtl/>
          <w:lang w:bidi="fa-IR"/>
        </w:rPr>
        <w:t>(4).</w:t>
      </w:r>
      <w:r w:rsidR="00744A1C">
        <w:rPr>
          <w:rtl/>
          <w:lang w:bidi="fa-IR"/>
        </w:rPr>
        <w:t xml:space="preserve"> في « بف » </w:t>
      </w:r>
      <w:r w:rsidR="00744A1C" w:rsidRPr="00E36593">
        <w:rPr>
          <w:rtl/>
        </w:rPr>
        <w:t>والوافي وتفسير القمّي وقرب الإسناد :</w:t>
      </w:r>
      <w:r w:rsidR="00744A1C">
        <w:rPr>
          <w:rtl/>
          <w:lang w:bidi="fa-IR"/>
        </w:rPr>
        <w:t xml:space="preserve"> « كالياسر الفالج » أي الغالب في قماره. و « الياسر » : اللاعب بالقداح والمتقامر. راجع : </w:t>
      </w:r>
      <w:r w:rsidR="00744A1C" w:rsidRPr="00E978C3">
        <w:rPr>
          <w:rStyle w:val="libFootnoteBoldChar"/>
          <w:rtl/>
        </w:rPr>
        <w:t>الصحاح</w:t>
      </w:r>
      <w:r w:rsidR="00744A1C">
        <w:rPr>
          <w:rtl/>
          <w:lang w:bidi="fa-IR"/>
        </w:rPr>
        <w:t xml:space="preserve"> ، ج 2 ، ص 857 ( يسر ) ؛ </w:t>
      </w:r>
      <w:r w:rsidR="00744A1C" w:rsidRPr="00877682">
        <w:rPr>
          <w:rStyle w:val="libFootnoteBoldChar"/>
          <w:rtl/>
        </w:rPr>
        <w:t>النهاية</w:t>
      </w:r>
      <w:r w:rsidR="00744A1C">
        <w:rPr>
          <w:rtl/>
          <w:lang w:bidi="fa-IR"/>
        </w:rPr>
        <w:t xml:space="preserve"> ، ج 3 ، ص 468 ( فلج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في الكلام تقديم وتأخير كقوله : </w:t>
      </w:r>
      <w:r w:rsidRPr="00E36593">
        <w:rPr>
          <w:rStyle w:val="libFootnoteAlaemChar"/>
          <w:rtl/>
        </w:rPr>
        <w:t>(</w:t>
      </w:r>
      <w:r w:rsidRPr="00E36593">
        <w:rPr>
          <w:rStyle w:val="libFootnoteAieChar"/>
          <w:rtl/>
        </w:rPr>
        <w:t xml:space="preserve"> غَرابِيبُ سُودٌ </w:t>
      </w:r>
      <w:r w:rsidRPr="00E36593">
        <w:rPr>
          <w:rStyle w:val="libFootnoteAlaemChar"/>
          <w:rtl/>
        </w:rPr>
        <w:t>)</w:t>
      </w:r>
      <w:r>
        <w:rPr>
          <w:rtl/>
          <w:lang w:bidi="fa-IR"/>
        </w:rPr>
        <w:t xml:space="preserve"> [ فاطر (35) : 27 ] ، من تقديم الصفة على الموصوف ، ووجه الشبه أنّه كما أنّ الياسر الفالج ينتظر قبل فوزه ما يوجب له المغنم ، ويدع [ ويدفع ] عنه المغرم ، كذلك المرء البري‌ء من الخيانة ينتظر من الله إحدى الحسنيين ، وكما أنّ الياسر يخاف قبل فوزه عدمه ، كذلك المرء المسلم البري‌ء من الخيانة ، فالتشبيه باعتبار حاله قبل الفوز وبعده كما قيل ».</w:t>
      </w:r>
    </w:p>
    <w:p w:rsidR="00744A1C" w:rsidRDefault="00E378DD" w:rsidP="00E378DD">
      <w:pPr>
        <w:pStyle w:val="libFootnote0"/>
        <w:rPr>
          <w:lang w:bidi="fa-IR"/>
        </w:rPr>
      </w:pPr>
      <w:r>
        <w:rPr>
          <w:rtl/>
          <w:lang w:bidi="fa-IR"/>
        </w:rPr>
        <w:t>(5).</w:t>
      </w:r>
      <w:r w:rsidR="00744A1C">
        <w:rPr>
          <w:rtl/>
          <w:lang w:bidi="fa-IR"/>
        </w:rPr>
        <w:t xml:space="preserve"> في « بث ، بس ، بف » وحاشية « جت » : « فورة ».</w:t>
      </w:r>
    </w:p>
    <w:p w:rsidR="00744A1C" w:rsidRDefault="00E378DD" w:rsidP="00E378DD">
      <w:pPr>
        <w:pStyle w:val="libFootnote0"/>
        <w:rPr>
          <w:lang w:bidi="fa-IR"/>
        </w:rPr>
      </w:pPr>
      <w:r>
        <w:rPr>
          <w:rtl/>
          <w:lang w:bidi="fa-IR"/>
        </w:rPr>
        <w:t>(6).</w:t>
      </w:r>
      <w:r w:rsidR="00744A1C">
        <w:rPr>
          <w:rtl/>
          <w:lang w:bidi="fa-IR"/>
        </w:rPr>
        <w:t xml:space="preserve"> في « بث » : « قدحه ». والقِداح والقِدْح - كلاهما بالكسر - يقال للسهم قبل أن يُراش ويركَّب نصله. راجع : </w:t>
      </w:r>
      <w:r w:rsidR="00744A1C" w:rsidRPr="00E978C3">
        <w:rPr>
          <w:rStyle w:val="libFootnoteBoldChar"/>
          <w:rtl/>
        </w:rPr>
        <w:t>الصحاح</w:t>
      </w:r>
      <w:r w:rsidR="00744A1C">
        <w:rPr>
          <w:rtl/>
          <w:lang w:bidi="fa-IR"/>
        </w:rPr>
        <w:t xml:space="preserve"> ، ج 1 ، ص 394 ( قدح ).</w:t>
      </w:r>
    </w:p>
    <w:p w:rsidR="00744A1C" w:rsidRDefault="00E378DD" w:rsidP="00E378DD">
      <w:pPr>
        <w:pStyle w:val="libFootnote0"/>
        <w:rPr>
          <w:lang w:bidi="fa-IR"/>
        </w:rPr>
      </w:pPr>
      <w:r>
        <w:rPr>
          <w:rtl/>
          <w:lang w:bidi="fa-IR"/>
        </w:rPr>
        <w:t>(7).</w:t>
      </w:r>
      <w:r w:rsidR="00744A1C">
        <w:rPr>
          <w:rtl/>
          <w:lang w:bidi="fa-IR"/>
        </w:rPr>
        <w:t xml:space="preserve"> في « بث ، بف » : « حتّى يوجب » بدل « توجب ».</w:t>
      </w:r>
    </w:p>
    <w:p w:rsidR="00744A1C" w:rsidRDefault="00E378DD" w:rsidP="00E378DD">
      <w:pPr>
        <w:pStyle w:val="libFootnote0"/>
        <w:rPr>
          <w:lang w:bidi="fa-IR"/>
        </w:rPr>
      </w:pPr>
      <w:r>
        <w:rPr>
          <w:rtl/>
          <w:lang w:bidi="fa-IR"/>
        </w:rPr>
        <w:t>(8).</w:t>
      </w:r>
      <w:r w:rsidR="00744A1C">
        <w:rPr>
          <w:rtl/>
          <w:lang w:bidi="fa-IR"/>
        </w:rPr>
        <w:t xml:space="preserve"> في « جت » : « وترفع ». وفي حاشية « جت » </w:t>
      </w:r>
      <w:r w:rsidR="00744A1C" w:rsidRPr="00E36593">
        <w:rPr>
          <w:rtl/>
        </w:rPr>
        <w:t>وقرب الإسناد</w:t>
      </w:r>
      <w:r w:rsidR="00744A1C">
        <w:rPr>
          <w:rtl/>
          <w:lang w:bidi="fa-IR"/>
        </w:rPr>
        <w:t xml:space="preserve"> : « وتدفع ». وفي « ى ، بس » وحاشية « بث ، بح » ونهج البلاغة ، ص 64 : « ويرفع ».</w:t>
      </w:r>
    </w:p>
    <w:p w:rsidR="00744A1C" w:rsidRDefault="00E378DD" w:rsidP="00E378DD">
      <w:pPr>
        <w:pStyle w:val="libFootnote0"/>
        <w:rPr>
          <w:lang w:bidi="fa-IR"/>
        </w:rPr>
      </w:pPr>
      <w:r>
        <w:rPr>
          <w:rtl/>
          <w:lang w:bidi="fa-IR"/>
        </w:rPr>
        <w:t>(9).</w:t>
      </w:r>
      <w:r w:rsidR="00744A1C">
        <w:rPr>
          <w:rtl/>
          <w:lang w:bidi="fa-IR"/>
        </w:rPr>
        <w:t xml:space="preserve"> في « بث ، بف ، جت » </w:t>
      </w:r>
      <w:r w:rsidR="00744A1C" w:rsidRPr="00E36593">
        <w:rPr>
          <w:rtl/>
        </w:rPr>
        <w:t>وتفسير القمّي وقرب الإسناد</w:t>
      </w:r>
      <w:r w:rsidR="00744A1C">
        <w:rPr>
          <w:rtl/>
          <w:lang w:bidi="fa-IR"/>
        </w:rPr>
        <w:t xml:space="preserve"> : - « بها ».</w:t>
      </w:r>
    </w:p>
    <w:p w:rsidR="00744A1C" w:rsidRDefault="00E378DD" w:rsidP="00E378DD">
      <w:pPr>
        <w:pStyle w:val="libFootnote0"/>
        <w:rPr>
          <w:lang w:bidi="fa-IR"/>
        </w:rPr>
      </w:pPr>
      <w:r>
        <w:rPr>
          <w:rtl/>
          <w:lang w:bidi="fa-IR"/>
        </w:rPr>
        <w:t>(10).</w:t>
      </w:r>
      <w:r w:rsidR="00744A1C">
        <w:rPr>
          <w:rtl/>
          <w:lang w:bidi="fa-IR"/>
        </w:rPr>
        <w:t xml:space="preserve"> في « ى ، بح ، جد » </w:t>
      </w:r>
      <w:r w:rsidR="00744A1C" w:rsidRPr="00E36593">
        <w:rPr>
          <w:rtl/>
        </w:rPr>
        <w:t>والوافي</w:t>
      </w:r>
      <w:r w:rsidR="00744A1C">
        <w:rPr>
          <w:rtl/>
          <w:lang w:bidi="fa-IR"/>
        </w:rPr>
        <w:t xml:space="preserve"> : « عنه بها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 « توجب له المغنم ، أي تجلب له نفعاً ، ويدفع عنه بها المغرم ، أي يدفع بها ضرّ ».</w:t>
      </w:r>
    </w:p>
    <w:p w:rsidR="00744A1C" w:rsidRDefault="00E378DD" w:rsidP="00E378DD">
      <w:pPr>
        <w:pStyle w:val="libFootnote0"/>
        <w:rPr>
          <w:lang w:bidi="fa-IR"/>
        </w:rPr>
      </w:pPr>
      <w:r>
        <w:rPr>
          <w:rtl/>
          <w:lang w:bidi="fa-IR"/>
        </w:rPr>
        <w:t>(12).</w:t>
      </w:r>
      <w:r w:rsidR="00744A1C">
        <w:rPr>
          <w:rtl/>
          <w:lang w:bidi="fa-IR"/>
        </w:rPr>
        <w:t xml:space="preserve"> في « بث ، بف » </w:t>
      </w:r>
      <w:r w:rsidR="00744A1C" w:rsidRPr="00E36593">
        <w:rPr>
          <w:rtl/>
        </w:rPr>
        <w:t>والوافي وتفسير القمّي</w:t>
      </w:r>
      <w:r w:rsidR="00744A1C">
        <w:rPr>
          <w:rtl/>
          <w:lang w:bidi="fa-IR"/>
        </w:rPr>
        <w:t xml:space="preserve"> : « كذلك » بدون الواو.</w:t>
      </w:r>
    </w:p>
    <w:p w:rsidR="006A5060" w:rsidRDefault="006A5060" w:rsidP="00D10E3C">
      <w:pPr>
        <w:pStyle w:val="libNormal"/>
        <w:rPr>
          <w:rtl/>
          <w:lang w:bidi="fa-IR"/>
        </w:rPr>
      </w:pPr>
      <w:r>
        <w:rPr>
          <w:rtl/>
          <w:lang w:bidi="fa-IR"/>
        </w:rPr>
        <w:br w:type="page"/>
      </w:r>
    </w:p>
    <w:p w:rsidR="00144FA6" w:rsidRDefault="00744A1C" w:rsidP="00E36593">
      <w:pPr>
        <w:pStyle w:val="libNormal0"/>
        <w:rPr>
          <w:rtl/>
          <w:lang w:bidi="fa-IR"/>
        </w:rPr>
      </w:pPr>
      <w:r>
        <w:rPr>
          <w:rtl/>
          <w:lang w:bidi="fa-IR"/>
        </w:rPr>
        <w:t xml:space="preserve">الْخِيَانَةِ </w:t>
      </w:r>
      <w:r w:rsidRPr="00D10E3C">
        <w:rPr>
          <w:rStyle w:val="libFootnotenumChar"/>
          <w:rtl/>
        </w:rPr>
        <w:t>(1)</w:t>
      </w:r>
      <w:r>
        <w:rPr>
          <w:rtl/>
          <w:lang w:bidi="fa-IR"/>
        </w:rPr>
        <w:t xml:space="preserve"> يَنْتَظِرُ مِنَ اللهِ تَعَالى إِحْدَى الْحُسْنَيَيْنِ : إِمَّا دَاعِيَ اللهِ </w:t>
      </w:r>
      <w:r w:rsidRPr="00D10E3C">
        <w:rPr>
          <w:rStyle w:val="libFootnotenumChar"/>
          <w:rtl/>
        </w:rPr>
        <w:t>(2)</w:t>
      </w:r>
      <w:r>
        <w:rPr>
          <w:rtl/>
          <w:lang w:bidi="fa-IR"/>
        </w:rPr>
        <w:t xml:space="preserve"> ، فَمَا عِنْدَ اللهِ خَيْرٌ لَهُ ، وَإِمَّا رِزْقَ </w:t>
      </w:r>
      <w:r w:rsidRPr="00D10E3C">
        <w:rPr>
          <w:rStyle w:val="libFootnotenumChar"/>
          <w:rtl/>
        </w:rPr>
        <w:t>(3)</w:t>
      </w:r>
      <w:r>
        <w:rPr>
          <w:rtl/>
          <w:lang w:bidi="fa-IR"/>
        </w:rPr>
        <w:t xml:space="preserve"> اللهِ ، فَإِذَا هُوَ ذُو أَهْلٍ وَمَالٍ ، وَمَعَهُ دِينُهُ وَحَسَبُهُ </w:t>
      </w:r>
      <w:r w:rsidRPr="00D10E3C">
        <w:rPr>
          <w:rStyle w:val="libFootnotenumChar"/>
          <w:rtl/>
        </w:rPr>
        <w:t>(4)</w:t>
      </w:r>
      <w:r>
        <w:rPr>
          <w:rtl/>
          <w:lang w:bidi="fa-IR"/>
        </w:rPr>
        <w:t xml:space="preserve"> ؛ إِنَّ </w:t>
      </w:r>
      <w:r w:rsidRPr="00D10E3C">
        <w:rPr>
          <w:rStyle w:val="libFootnotenumChar"/>
          <w:rtl/>
        </w:rPr>
        <w:t>(5)</w:t>
      </w:r>
      <w:r>
        <w:rPr>
          <w:rtl/>
          <w:lang w:bidi="fa-IR"/>
        </w:rPr>
        <w:t xml:space="preserve"> الْمَالَ وَالْبَنِينَ </w:t>
      </w:r>
      <w:r w:rsidRPr="00D10E3C">
        <w:rPr>
          <w:rStyle w:val="libFootnotenumChar"/>
          <w:rtl/>
        </w:rPr>
        <w:t>(6)</w:t>
      </w:r>
      <w:r>
        <w:rPr>
          <w:rtl/>
          <w:lang w:bidi="fa-IR"/>
        </w:rPr>
        <w:t xml:space="preserve"> حَرْثُ الدُّنْيَا ، وَالْعَمَلَ الصَّالِحَ حَرْثُ الْآخِرَةِ ، وَقَدْ يَجْمَعُهُمَا اللهُ لِأَقْوَامٍ ، فَاحْذَرُوا مِنَ اللهِ مَا‌ حَذَّرَكُمْ مِنْ نَفْسِهِ ، وَاخْشَوْهُ خَشْيَةً لَيْسَتْ بِتَعْذِيرٍ </w:t>
      </w:r>
      <w:r w:rsidRPr="00D10E3C">
        <w:rPr>
          <w:rStyle w:val="libFootnotenumChar"/>
          <w:rtl/>
        </w:rPr>
        <w:t>(7)</w:t>
      </w:r>
      <w:r>
        <w:rPr>
          <w:rtl/>
          <w:lang w:bidi="fa-IR"/>
        </w:rPr>
        <w:t xml:space="preserve"> ، وَاعْمَلُوا فِي غَيْرِ رِيَاءٍ وَلَا سُمْعَةٍ ؛ فَإِنَّهُ مَنْ يَعْمَلْ لِغَيْرِ اللهِ ، يَكِلْهُ اللهُ إِلى مَنْ عَمِلَ لَهُ ؛ نَسْأَلُ اللهَ مَنَازِلَ الشُّهَدَاءِ ، وَمُعَايَشَةَ السُّعَدَاءِ ، وَمُرَافَقَةَ الْأَنْبِيَاءِ</w:t>
      </w:r>
      <w:r w:rsidRPr="00D10E3C">
        <w:rPr>
          <w:rStyle w:val="libFootnotenumChar"/>
          <w:rtl/>
        </w:rPr>
        <w:t>(8)</w:t>
      </w:r>
      <w:r>
        <w:rPr>
          <w:rtl/>
          <w:lang w:bidi="fa-IR"/>
        </w:rPr>
        <w:t>».</w:t>
      </w:r>
      <w:r w:rsidRPr="00D10E3C">
        <w:rPr>
          <w:rStyle w:val="libFootnotenumChar"/>
          <w:rtl/>
        </w:rPr>
        <w:t>(9)</w:t>
      </w:r>
    </w:p>
    <w:p w:rsidR="00144FA6" w:rsidRDefault="00744A1C" w:rsidP="00744A1C">
      <w:pPr>
        <w:pStyle w:val="libNormal"/>
        <w:rPr>
          <w:rtl/>
          <w:lang w:bidi="fa-IR"/>
        </w:rPr>
      </w:pPr>
      <w:r>
        <w:rPr>
          <w:rtl/>
          <w:lang w:bidi="fa-IR"/>
        </w:rPr>
        <w:t>8325 / 7. عَلِيُّ بْنُ إِبْرَاهِيمَ ، عَنْ أَبِيهِ ، عَنْ عَلِيِّ بْنِ أَسْبَاطٍ ، عَنْ أَبِي إِسْحَاقَ الْخُرَاسَانِيِّ ، عَنْ بَعْضِ رِجَالِهِ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E36593">
        <w:rPr>
          <w:rtl/>
        </w:rPr>
        <w:t>تفسير القمّي وقرب الإسناد</w:t>
      </w:r>
      <w:r w:rsidR="00744A1C">
        <w:rPr>
          <w:rtl/>
          <w:lang w:bidi="fa-IR"/>
        </w:rPr>
        <w:t xml:space="preserve"> : + « والكذب ».</w:t>
      </w:r>
    </w:p>
    <w:p w:rsidR="00744A1C" w:rsidRDefault="00E378DD" w:rsidP="00E378DD">
      <w:pPr>
        <w:pStyle w:val="libFootnote0"/>
        <w:rPr>
          <w:lang w:bidi="fa-IR"/>
        </w:rPr>
      </w:pPr>
      <w:r>
        <w:rPr>
          <w:rtl/>
          <w:lang w:bidi="fa-IR"/>
        </w:rPr>
        <w:t>(2).</w:t>
      </w:r>
      <w:r w:rsidR="00744A1C">
        <w:rPr>
          <w:rtl/>
          <w:lang w:bidi="fa-IR"/>
        </w:rPr>
        <w:t xml:space="preserve"> في « بث ، بف » وحاشية « بح » </w:t>
      </w:r>
      <w:r w:rsidR="00744A1C" w:rsidRPr="00E36593">
        <w:rPr>
          <w:rtl/>
        </w:rPr>
        <w:t>والوافي وتفسير القمّي</w:t>
      </w:r>
      <w:r w:rsidR="00744A1C">
        <w:rPr>
          <w:rtl/>
          <w:lang w:bidi="fa-IR"/>
        </w:rPr>
        <w:t xml:space="preserve"> : « داعياً إلى الله ». وفي « بث ، بف » : + « عزّ وجلّ ».</w:t>
      </w:r>
    </w:p>
    <w:p w:rsidR="00744A1C" w:rsidRDefault="00E378DD" w:rsidP="00E378DD">
      <w:pPr>
        <w:pStyle w:val="libFootnote0"/>
        <w:rPr>
          <w:lang w:bidi="fa-IR"/>
        </w:rPr>
      </w:pPr>
      <w:r>
        <w:rPr>
          <w:rtl/>
          <w:lang w:bidi="fa-IR"/>
        </w:rPr>
        <w:t>(3).</w:t>
      </w:r>
      <w:r w:rsidR="00744A1C">
        <w:rPr>
          <w:rtl/>
          <w:lang w:bidi="fa-IR"/>
        </w:rPr>
        <w:t xml:space="preserve"> في « بث ، بف » </w:t>
      </w:r>
      <w:r w:rsidR="00744A1C" w:rsidRPr="00E36593">
        <w:rPr>
          <w:rtl/>
        </w:rPr>
        <w:t>والوافي وتفسير القمّي</w:t>
      </w:r>
      <w:r w:rsidR="00744A1C">
        <w:rPr>
          <w:rtl/>
          <w:lang w:bidi="fa-IR"/>
        </w:rPr>
        <w:t xml:space="preserve"> : « رزقاً من ». وفي حاشية « بث » : « مرزوق من » كلاهما بدل « رزق ».</w:t>
      </w:r>
    </w:p>
    <w:p w:rsidR="00744A1C" w:rsidRDefault="00E378DD" w:rsidP="00E378DD">
      <w:pPr>
        <w:pStyle w:val="libFootnote0"/>
        <w:rPr>
          <w:lang w:bidi="fa-IR"/>
        </w:rPr>
      </w:pPr>
      <w:r>
        <w:rPr>
          <w:rtl/>
          <w:lang w:bidi="fa-IR"/>
        </w:rPr>
        <w:t>(4).</w:t>
      </w:r>
      <w:r w:rsidR="00744A1C">
        <w:rPr>
          <w:rtl/>
          <w:lang w:bidi="fa-IR"/>
        </w:rPr>
        <w:t xml:space="preserve"> في « بث ، بف » </w:t>
      </w:r>
      <w:r w:rsidR="00744A1C" w:rsidRPr="00E36593">
        <w:rPr>
          <w:rtl/>
        </w:rPr>
        <w:t>والوافي</w:t>
      </w:r>
      <w:r w:rsidR="00744A1C">
        <w:rPr>
          <w:rtl/>
          <w:lang w:bidi="fa-IR"/>
        </w:rPr>
        <w:t xml:space="preserve"> : « حسبه ودينه ».</w:t>
      </w:r>
    </w:p>
    <w:p w:rsidR="00744A1C" w:rsidRDefault="00E378DD" w:rsidP="00E378DD">
      <w:pPr>
        <w:pStyle w:val="libFootnote0"/>
        <w:rPr>
          <w:lang w:bidi="fa-IR"/>
        </w:rPr>
      </w:pPr>
      <w:r>
        <w:rPr>
          <w:rtl/>
          <w:lang w:bidi="fa-IR"/>
        </w:rPr>
        <w:t>(5).</w:t>
      </w:r>
      <w:r w:rsidR="00744A1C">
        <w:rPr>
          <w:rtl/>
          <w:lang w:bidi="fa-IR"/>
        </w:rPr>
        <w:t xml:space="preserve"> في « بث </w:t>
      </w:r>
      <w:r w:rsidR="00744A1C" w:rsidRPr="00F622C8">
        <w:rPr>
          <w:rtl/>
        </w:rPr>
        <w:t>» وقرب الإسناد</w:t>
      </w:r>
      <w:r w:rsidR="00744A1C">
        <w:rPr>
          <w:rtl/>
          <w:lang w:bidi="fa-IR"/>
        </w:rPr>
        <w:t xml:space="preserve"> : - « إنّ ». وفي تفسير القمي : « و».</w:t>
      </w:r>
    </w:p>
    <w:p w:rsidR="00744A1C" w:rsidRDefault="00E378DD" w:rsidP="00E378DD">
      <w:pPr>
        <w:pStyle w:val="libFootnote0"/>
        <w:rPr>
          <w:lang w:bidi="fa-IR"/>
        </w:rPr>
      </w:pPr>
      <w:r>
        <w:rPr>
          <w:rtl/>
          <w:lang w:bidi="fa-IR"/>
        </w:rPr>
        <w:t>(6).</w:t>
      </w:r>
      <w:r w:rsidR="00744A1C">
        <w:rPr>
          <w:rtl/>
          <w:lang w:bidi="fa-IR"/>
        </w:rPr>
        <w:t xml:space="preserve"> في « بث » </w:t>
      </w:r>
      <w:r w:rsidR="00744A1C" w:rsidRPr="00F622C8">
        <w:rPr>
          <w:rtl/>
        </w:rPr>
        <w:t>وتفسير القمّي وقرب الإسناد</w:t>
      </w:r>
      <w:r w:rsidR="00744A1C">
        <w:rPr>
          <w:rtl/>
          <w:lang w:bidi="fa-IR"/>
        </w:rPr>
        <w:t xml:space="preserve"> : « والبنون ». وفي تفسير القمي : + « وهو ». وفي الزهد : « وسعة المال والبنون » بدل « معه دينه وحسبه إنّ المال والبنين ».</w:t>
      </w:r>
    </w:p>
    <w:p w:rsidR="00744A1C" w:rsidRDefault="00E378DD" w:rsidP="00F622C8">
      <w:pPr>
        <w:pStyle w:val="libFootnote0"/>
        <w:rPr>
          <w:lang w:bidi="fa-IR"/>
        </w:rPr>
      </w:pPr>
      <w:r>
        <w:rPr>
          <w:rtl/>
          <w:lang w:bidi="fa-IR"/>
        </w:rPr>
        <w:t>(7).</w:t>
      </w:r>
      <w:r w:rsidR="00744A1C">
        <w:rPr>
          <w:rtl/>
          <w:lang w:bidi="fa-IR"/>
        </w:rPr>
        <w:t xml:space="preserve"> في « جن » : « « بتقدير ». وفي </w:t>
      </w:r>
      <w:r w:rsidR="00744A1C" w:rsidRPr="0061079A">
        <w:rPr>
          <w:rStyle w:val="libFootnoteBoldChar"/>
          <w:rtl/>
        </w:rPr>
        <w:t>الكافي</w:t>
      </w:r>
      <w:r w:rsidR="00744A1C">
        <w:rPr>
          <w:rtl/>
          <w:lang w:bidi="fa-IR"/>
        </w:rPr>
        <w:t xml:space="preserve"> ، ح 2503 : « بتعدير ». وفي </w:t>
      </w:r>
      <w:r w:rsidR="00744A1C" w:rsidRPr="00C24F9C">
        <w:rPr>
          <w:rStyle w:val="libFootnoteBoldChar"/>
          <w:rtl/>
        </w:rPr>
        <w:t>الوافي</w:t>
      </w:r>
      <w:r w:rsidR="00744A1C">
        <w:rPr>
          <w:rtl/>
          <w:lang w:bidi="fa-IR"/>
        </w:rPr>
        <w:t xml:space="preserve"> : « أي بذات تعذير ، أي تقصير ، بحذف</w:t>
      </w:r>
      <w:r w:rsidR="00F622C8">
        <w:rPr>
          <w:rFonts w:hint="cs"/>
          <w:rtl/>
          <w:lang w:bidi="fa-IR"/>
        </w:rPr>
        <w:t xml:space="preserve"> </w:t>
      </w:r>
      <w:r w:rsidR="00744A1C">
        <w:rPr>
          <w:rtl/>
          <w:lang w:bidi="fa-IR"/>
        </w:rPr>
        <w:t xml:space="preserve">‌المضاف ، كقوله تعالى : </w:t>
      </w:r>
      <w:r w:rsidR="00744A1C" w:rsidRPr="00F622C8">
        <w:rPr>
          <w:rStyle w:val="libFootnoteAlaemChar"/>
          <w:rtl/>
        </w:rPr>
        <w:t>(</w:t>
      </w:r>
      <w:r w:rsidR="00744A1C" w:rsidRPr="00F622C8">
        <w:rPr>
          <w:rStyle w:val="libFootnoteAieChar"/>
          <w:rtl/>
        </w:rPr>
        <w:t xml:space="preserve"> قُتِلَ أَصْحابُ الْأُخْدُودِ النّارِ </w:t>
      </w:r>
      <w:r w:rsidR="00744A1C" w:rsidRPr="00F622C8">
        <w:rPr>
          <w:rStyle w:val="libFootnoteAlaemChar"/>
          <w:rtl/>
        </w:rPr>
        <w:t>)</w:t>
      </w:r>
      <w:r w:rsidR="00744A1C">
        <w:rPr>
          <w:rtl/>
          <w:lang w:bidi="fa-IR"/>
        </w:rPr>
        <w:t xml:space="preserve"> [ البروج (85) : 4 - 5 ] أي ذي النار ». ونحوه في </w:t>
      </w:r>
      <w:r w:rsidR="00744A1C" w:rsidRPr="00877682">
        <w:rPr>
          <w:rStyle w:val="libFootnoteBoldChar"/>
          <w:rtl/>
        </w:rPr>
        <w:t>مرآة العقول</w:t>
      </w:r>
      <w:r w:rsidR="00744A1C">
        <w:rPr>
          <w:rtl/>
          <w:lang w:bidi="fa-IR"/>
        </w:rPr>
        <w:t xml:space="preserve"> ، ج 18 ، ص 403.</w:t>
      </w:r>
      <w:r w:rsidR="00F622C8">
        <w:rPr>
          <w:rFonts w:hint="cs"/>
          <w:rtl/>
          <w:lang w:bidi="fa-IR"/>
        </w:rPr>
        <w:t xml:space="preserve">   </w:t>
      </w:r>
      <w:r>
        <w:rPr>
          <w:rtl/>
          <w:lang w:bidi="fa-IR"/>
        </w:rPr>
        <w:t>(8).</w:t>
      </w:r>
      <w:r w:rsidR="00744A1C">
        <w:rPr>
          <w:rtl/>
          <w:lang w:bidi="fa-IR"/>
        </w:rPr>
        <w:t xml:space="preserve"> في « بف » : - « فاحذروا من الله » إلى هنا.</w:t>
      </w:r>
    </w:p>
    <w:p w:rsidR="00744A1C" w:rsidRDefault="00E378DD" w:rsidP="00E378DD">
      <w:pPr>
        <w:pStyle w:val="libFootnote0"/>
        <w:rPr>
          <w:lang w:bidi="fa-IR"/>
        </w:rPr>
      </w:pPr>
      <w:r>
        <w:rPr>
          <w:rtl/>
          <w:lang w:bidi="fa-IR"/>
        </w:rPr>
        <w:t>(9).</w:t>
      </w:r>
      <w:r w:rsidR="00744A1C">
        <w:rPr>
          <w:rtl/>
          <w:lang w:bidi="fa-IR"/>
        </w:rPr>
        <w:t xml:space="preserve"> الزهد ، ص 189 ، ح 291 ، بسنده عن أبي حمزة ، عن يحيى بن عقيل ، عن حبشي ، عن أمير المؤمنين </w:t>
      </w:r>
      <w:r w:rsidR="0061079A" w:rsidRPr="0061079A">
        <w:rPr>
          <w:rStyle w:val="libFootnoteAlaemChar"/>
          <w:rtl/>
        </w:rPr>
        <w:t>عليه‌السلام</w:t>
      </w:r>
      <w:r w:rsidR="00744A1C">
        <w:rPr>
          <w:rtl/>
          <w:lang w:bidi="fa-IR"/>
        </w:rPr>
        <w:t xml:space="preserve"> . </w:t>
      </w:r>
      <w:r w:rsidR="00744A1C" w:rsidRPr="00F622C8">
        <w:rPr>
          <w:rStyle w:val="libFootnoteBoldChar"/>
          <w:rtl/>
        </w:rPr>
        <w:t>الغارات</w:t>
      </w:r>
      <w:r w:rsidR="00744A1C">
        <w:rPr>
          <w:rtl/>
          <w:lang w:bidi="fa-IR"/>
        </w:rPr>
        <w:t xml:space="preserve"> ، ج 1 ، ص 49 ، بسنده عن ثابت أبي حمزة ، عن موسى ، عن شهر بن حوشب ،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744A1C" w:rsidRPr="0061079A">
        <w:rPr>
          <w:rStyle w:val="libFootnoteBoldChar"/>
          <w:rtl/>
        </w:rPr>
        <w:t>الكافي</w:t>
      </w:r>
      <w:r w:rsidR="00744A1C">
        <w:rPr>
          <w:rtl/>
          <w:lang w:bidi="fa-IR"/>
        </w:rPr>
        <w:t xml:space="preserve"> ، كتاب الإيمان والكفر ، باب الرياء ، ح 2503 ، بسند آخر عن أبي عبدالله ، عن أميرالمؤمنين </w:t>
      </w:r>
      <w:r w:rsidR="00F112A7" w:rsidRPr="00CE5A92">
        <w:rPr>
          <w:rStyle w:val="libFootnoteAlaemChar"/>
          <w:rtl/>
        </w:rPr>
        <w:t>عليهما‌السلام</w:t>
      </w:r>
      <w:r w:rsidR="00744A1C">
        <w:rPr>
          <w:rtl/>
          <w:lang w:bidi="fa-IR"/>
        </w:rPr>
        <w:t xml:space="preserve">، من قوله : « واخشوه خشية » إلى قوله : « يكله الله إلى من عمل له » مع اختلاف يسير. </w:t>
      </w:r>
      <w:r w:rsidR="00744A1C" w:rsidRPr="00610FB4">
        <w:rPr>
          <w:rStyle w:val="libFootnoteBoldChar"/>
          <w:rtl/>
        </w:rPr>
        <w:t>تفسير القمّي</w:t>
      </w:r>
      <w:r w:rsidR="00744A1C">
        <w:rPr>
          <w:rtl/>
          <w:lang w:bidi="fa-IR"/>
        </w:rPr>
        <w:t xml:space="preserve"> ، ج 2 ، ص 36 ، من قوله : « فأمروا بالمعروف وانهوا عن المنكر » ؛ </w:t>
      </w:r>
      <w:r w:rsidR="00744A1C" w:rsidRPr="00877682">
        <w:rPr>
          <w:rStyle w:val="libFootnoteBoldChar"/>
          <w:rtl/>
        </w:rPr>
        <w:t>قرب الإسناد</w:t>
      </w:r>
      <w:r w:rsidR="00744A1C">
        <w:rPr>
          <w:rtl/>
          <w:lang w:bidi="fa-IR"/>
        </w:rPr>
        <w:t xml:space="preserve"> ، ص 38 ، ح 123 ، من قوله : « إنّ الأمر ينزل من السماء » وفي الأخيرين بسند آخر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وفي كلّ المصادر إلى قوله : « وقد يجمعهما الله لأقوام ». </w:t>
      </w:r>
      <w:r w:rsidR="00744A1C" w:rsidRPr="00F622C8">
        <w:rPr>
          <w:rStyle w:val="libFootnoteBoldChar"/>
          <w:rtl/>
        </w:rPr>
        <w:t>نهج البلاغة</w:t>
      </w:r>
      <w:r w:rsidR="00744A1C">
        <w:rPr>
          <w:rtl/>
          <w:lang w:bidi="fa-IR"/>
        </w:rPr>
        <w:t xml:space="preserve"> ، ص 64 ، الخطبة 23 ، من قوله : « إنّ الأمر ينزل من السماء » </w:t>
      </w:r>
      <w:r w:rsidR="00F622C8">
        <w:rPr>
          <w:rFonts w:hint="cs"/>
          <w:rtl/>
          <w:lang w:bidi="fa-IR"/>
        </w:rPr>
        <w:t>.</w:t>
      </w:r>
      <w:r w:rsidR="00744A1C" w:rsidRPr="00C24F9C">
        <w:rPr>
          <w:rStyle w:val="libFootnoteBoldChar"/>
          <w:rtl/>
        </w:rPr>
        <w:t>الوافي</w:t>
      </w:r>
      <w:r w:rsidR="00744A1C">
        <w:rPr>
          <w:rtl/>
          <w:lang w:bidi="fa-IR"/>
        </w:rPr>
        <w:t xml:space="preserve"> ، ج 15 ، ص 172 ، ح 14855 ؛ </w:t>
      </w:r>
      <w:r w:rsidR="00744A1C" w:rsidRPr="00C24F9C">
        <w:rPr>
          <w:rStyle w:val="libFootnoteBoldChar"/>
          <w:rtl/>
        </w:rPr>
        <w:t>الوسائل</w:t>
      </w:r>
      <w:r w:rsidR="00744A1C">
        <w:rPr>
          <w:rtl/>
          <w:lang w:bidi="fa-IR"/>
        </w:rPr>
        <w:t xml:space="preserve"> ، ج 16 ، ص 119 ، ح 21133 ، إلى قوله : « ولن يقطعا رزقاً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 إِنَّ اللهَ - عَزَّ وَجَلَّ - أَوْحى إِلى دَاوُدَ </w:t>
      </w:r>
      <w:r w:rsidR="0061079A" w:rsidRPr="0061079A">
        <w:rPr>
          <w:rStyle w:val="libAlaemChar"/>
          <w:rtl/>
        </w:rPr>
        <w:t>عليه‌السلام</w:t>
      </w:r>
      <w:r w:rsidR="00D10E3C">
        <w:rPr>
          <w:rtl/>
          <w:lang w:bidi="fa-IR"/>
        </w:rPr>
        <w:t xml:space="preserve"> </w:t>
      </w:r>
      <w:r>
        <w:rPr>
          <w:rtl/>
          <w:lang w:bidi="fa-IR"/>
        </w:rPr>
        <w:t>أَنِّي قَدْ غَفَرْتُ ذَنْبَكَ ، وَجَعَلْتُ عَارَ ذَنْبِكَ عَلى بَنِي إِسْرَائِيلَ.</w:t>
      </w:r>
    </w:p>
    <w:p w:rsidR="00744A1C" w:rsidRDefault="00744A1C" w:rsidP="00744A1C">
      <w:pPr>
        <w:pStyle w:val="libNormal"/>
        <w:rPr>
          <w:lang w:bidi="fa-IR"/>
        </w:rPr>
      </w:pPr>
      <w:r>
        <w:rPr>
          <w:rtl/>
          <w:lang w:bidi="fa-IR"/>
        </w:rPr>
        <w:t>فَقَالَ : كَيْفَ يَا رَبِّ وَأَنْتَ لَاتَظْلِمُ؟</w:t>
      </w:r>
    </w:p>
    <w:p w:rsidR="00144FA6" w:rsidRDefault="00744A1C" w:rsidP="00744A1C">
      <w:pPr>
        <w:pStyle w:val="libNormal"/>
        <w:rPr>
          <w:rtl/>
          <w:lang w:bidi="fa-IR"/>
        </w:rPr>
      </w:pPr>
      <w:r>
        <w:rPr>
          <w:rtl/>
          <w:lang w:bidi="fa-IR"/>
        </w:rPr>
        <w:t xml:space="preserve">قَالَ : إِنَّهُمْ لَمْ يُعَاجِلُوكَ </w:t>
      </w:r>
      <w:r w:rsidRPr="00D10E3C">
        <w:rPr>
          <w:rStyle w:val="libFootnotenumChar"/>
          <w:rtl/>
        </w:rPr>
        <w:t>(1)</w:t>
      </w:r>
      <w:r>
        <w:rPr>
          <w:rtl/>
          <w:lang w:bidi="fa-IR"/>
        </w:rPr>
        <w:t xml:space="preserve"> بِالنَّكَرَةِ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8326 / 8. مُحَمَّدُ بْنُ يَحْيى ، عَنِ الْحُسَيْنِ بْنِ إِسْحَاقَ </w:t>
      </w:r>
      <w:r w:rsidRPr="00D10E3C">
        <w:rPr>
          <w:rStyle w:val="libFootnotenumChar"/>
          <w:rtl/>
        </w:rPr>
        <w:t>(4)</w:t>
      </w:r>
      <w:r>
        <w:rPr>
          <w:rtl/>
          <w:lang w:bidi="fa-IR"/>
        </w:rPr>
        <w:t xml:space="preserve"> ، عَنْ عَلِيِّ بْنِ مَهْزِيَارَ ، عَنِ النَّضْرِ بْنِ سُوَيْدٍ ، عَنْ دُرُسْتَ ، عَنْ بَعْضِ أَصْحَابِهِ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اللهَ - عَزَّ وَجَلَّ - بَعَثَ مَلَكَيْنِ إِلى أَهْلِ مَدِينَةٍ لِيَقْلِبَاهَا </w:t>
      </w:r>
      <w:r w:rsidRPr="00D10E3C">
        <w:rPr>
          <w:rStyle w:val="libFootnotenumChar"/>
          <w:rtl/>
        </w:rPr>
        <w:t>(5)</w:t>
      </w:r>
      <w:r>
        <w:rPr>
          <w:rtl/>
          <w:lang w:bidi="fa-IR"/>
        </w:rPr>
        <w:t xml:space="preserve"> عَلى أَهْلِهَا ، فَلَمَّا انْتَهَيَا إِلَى الْمَدِينَةِ وَجَدَا </w:t>
      </w:r>
      <w:r w:rsidRPr="00D10E3C">
        <w:rPr>
          <w:rStyle w:val="libFootnotenumChar"/>
          <w:rtl/>
        </w:rPr>
        <w:t>(6)</w:t>
      </w:r>
      <w:r>
        <w:rPr>
          <w:rtl/>
          <w:lang w:bidi="fa-IR"/>
        </w:rPr>
        <w:t xml:space="preserve"> رَجُلاً يَدْعُو اللهَ </w:t>
      </w:r>
      <w:r w:rsidRPr="00D10E3C">
        <w:rPr>
          <w:rStyle w:val="libFootnotenumChar"/>
          <w:rtl/>
        </w:rPr>
        <w:t>(7)</w:t>
      </w:r>
      <w:r>
        <w:rPr>
          <w:rtl/>
          <w:lang w:bidi="fa-IR"/>
        </w:rPr>
        <w:t xml:space="preserve"> وَيَتَضَرَّعُ </w:t>
      </w:r>
      <w:r w:rsidRPr="00D10E3C">
        <w:rPr>
          <w:rStyle w:val="libFootnotenumChar"/>
          <w:rtl/>
        </w:rPr>
        <w:t>(8)</w:t>
      </w:r>
      <w:r>
        <w:rPr>
          <w:rtl/>
          <w:lang w:bidi="fa-IR"/>
        </w:rPr>
        <w:t xml:space="preserve"> ، فَقَالَ أَحَدُ الْمَلَكَيْنِ لِصَاحِبِهِ : أَمَا تَرى هذَا الدَّاعِيَ؟ فَقَالَ : قَدْ رَأَيْتُهُ ، وَلكِنْ أَمْضِي لِمَا أَمَرَ بِهِ رَبِّي ، فَقَالَ : لَا ، وَلكِنْ </w:t>
      </w:r>
      <w:r w:rsidRPr="00D10E3C">
        <w:rPr>
          <w:rStyle w:val="libFootnotenumChar"/>
          <w:rtl/>
        </w:rPr>
        <w:t>(9)</w:t>
      </w:r>
      <w:r>
        <w:rPr>
          <w:rtl/>
          <w:lang w:bidi="fa-IR"/>
        </w:rPr>
        <w:t xml:space="preserve"> لَا أُحْدِثُ شَيْئاً حَتّى أُرَاجِعَ </w:t>
      </w:r>
      <w:r w:rsidRPr="00D10E3C">
        <w:rPr>
          <w:rStyle w:val="libFootnotenumChar"/>
          <w:rtl/>
        </w:rPr>
        <w:t>(10)</w:t>
      </w:r>
      <w:r>
        <w:rPr>
          <w:rtl/>
          <w:lang w:bidi="fa-IR"/>
        </w:rPr>
        <w:t xml:space="preserve"> رَبِّي ، فَعَادَ </w:t>
      </w:r>
      <w:r w:rsidRPr="00D10E3C">
        <w:rPr>
          <w:rStyle w:val="libFootnotenumChar"/>
          <w:rtl/>
        </w:rPr>
        <w:t>(11)</w:t>
      </w:r>
      <w:r>
        <w:rPr>
          <w:rtl/>
          <w:lang w:bidi="fa-IR"/>
        </w:rPr>
        <w:t xml:space="preserve"> إِلَى اللهِ تَبَارَكَ وَتَعَالى ، فَقَالَ : يَا رَبِّ ، إِنِّي انْتَهَيْتُ إِلَى الْمَدِينَةِ ، فَوَجَدْتُ </w:t>
      </w:r>
      <w:r w:rsidRPr="00D10E3C">
        <w:rPr>
          <w:rStyle w:val="libFootnotenumChar"/>
          <w:rtl/>
        </w:rPr>
        <w:t>(12)</w:t>
      </w:r>
      <w:r>
        <w:rPr>
          <w:rtl/>
          <w:lang w:bidi="fa-IR"/>
        </w:rPr>
        <w:t xml:space="preserve"> عَبْدَكَ فُلَاناً‌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جد » وحاشية « بث » : « لن يعاجلوك ».</w:t>
      </w:r>
    </w:p>
    <w:p w:rsidR="00744A1C" w:rsidRDefault="00E378DD" w:rsidP="00E378DD">
      <w:pPr>
        <w:pStyle w:val="libFootnote0"/>
        <w:rPr>
          <w:lang w:bidi="fa-IR"/>
        </w:rPr>
      </w:pPr>
      <w:r>
        <w:rPr>
          <w:rtl/>
          <w:lang w:bidi="fa-IR"/>
        </w:rPr>
        <w:t>(2).</w:t>
      </w:r>
      <w:r w:rsidR="00744A1C">
        <w:rPr>
          <w:rtl/>
          <w:lang w:bidi="fa-IR"/>
        </w:rPr>
        <w:t xml:space="preserve"> في « بث » : « بالنكر ». وفي حاشية « بث » : « بالمنكر ». « النَكَرَة » بالتحريك : اسم من الإنكار ، كالنفقة من الإنفاق. </w:t>
      </w:r>
      <w:r w:rsidR="00744A1C" w:rsidRPr="008A57EB">
        <w:rPr>
          <w:rStyle w:val="libFootnoteBoldChar"/>
          <w:rtl/>
        </w:rPr>
        <w:t>القاموس المحيط</w:t>
      </w:r>
      <w:r w:rsidR="00744A1C">
        <w:rPr>
          <w:rtl/>
          <w:lang w:bidi="fa-IR"/>
        </w:rPr>
        <w:t xml:space="preserve"> ، ج 1 ، ص 675 ( نكر ). وفي هامش المطبوع عن رفيع الدين : « هذا الحديث من قبيل التعريضات الواردة في التنزيل كقوله تعالى : </w:t>
      </w:r>
      <w:r w:rsidR="00744A1C" w:rsidRPr="00F622C8">
        <w:rPr>
          <w:rStyle w:val="libFootnoteAlaemChar"/>
          <w:rtl/>
        </w:rPr>
        <w:t>(</w:t>
      </w:r>
      <w:r w:rsidR="00744A1C" w:rsidRPr="00F622C8">
        <w:rPr>
          <w:rStyle w:val="libFootnoteAieChar"/>
          <w:rtl/>
        </w:rPr>
        <w:t xml:space="preserve"> لَئِنْ أَشْرَكْتَ لَيَحْبَطَنَّ عَمَلُكَ </w:t>
      </w:r>
      <w:r w:rsidR="00744A1C" w:rsidRPr="00F622C8">
        <w:rPr>
          <w:rStyle w:val="libFootnoteAlaemChar"/>
          <w:rtl/>
        </w:rPr>
        <w:t>)</w:t>
      </w:r>
      <w:r w:rsidR="00744A1C">
        <w:rPr>
          <w:rtl/>
          <w:lang w:bidi="fa-IR"/>
        </w:rPr>
        <w:t xml:space="preserve"> [ الزمر (39) : 65 ] ، وقد قال العالم </w:t>
      </w:r>
      <w:r w:rsidR="0061079A" w:rsidRPr="0061079A">
        <w:rPr>
          <w:rStyle w:val="libFootnoteAlaemChar"/>
          <w:rtl/>
        </w:rPr>
        <w:t>عليه‌السلام</w:t>
      </w:r>
      <w:r w:rsidR="00D10E3C">
        <w:rPr>
          <w:rtl/>
          <w:lang w:bidi="fa-IR"/>
        </w:rPr>
        <w:t xml:space="preserve"> </w:t>
      </w:r>
      <w:r w:rsidR="00744A1C">
        <w:rPr>
          <w:rtl/>
          <w:lang w:bidi="fa-IR"/>
        </w:rPr>
        <w:t>: نزل القرآن بإيّاك أعني واسمعي ياجارة ». وتقدّم الحديث المذكور في كتاب فضل القرآن ، باب النوادر ، ح 3582.</w:t>
      </w:r>
    </w:p>
    <w:p w:rsidR="00744A1C" w:rsidRDefault="00E378DD" w:rsidP="00E378DD">
      <w:pPr>
        <w:pStyle w:val="libFootnote0"/>
        <w:rPr>
          <w:lang w:bidi="fa-IR"/>
        </w:rPr>
      </w:pPr>
      <w:r>
        <w:rPr>
          <w:rtl/>
          <w:lang w:bidi="fa-IR"/>
        </w:rPr>
        <w:t>(3).</w:t>
      </w:r>
      <w:r w:rsidR="00744A1C">
        <w:rPr>
          <w:rtl/>
          <w:lang w:bidi="fa-IR"/>
        </w:rPr>
        <w:t xml:space="preserve"> </w:t>
      </w:r>
      <w:r w:rsidR="00744A1C" w:rsidRPr="00610FB4">
        <w:rPr>
          <w:rStyle w:val="libFootnoteBoldChar"/>
          <w:rtl/>
        </w:rPr>
        <w:t>تفسير القمّي</w:t>
      </w:r>
      <w:r w:rsidR="00744A1C">
        <w:rPr>
          <w:rtl/>
          <w:lang w:bidi="fa-IR"/>
        </w:rPr>
        <w:t xml:space="preserve"> ، ج 2 ، ص 232 ، ضمن الحديث الطويل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F622C8">
        <w:rPr>
          <w:rFonts w:hint="cs"/>
          <w:rtl/>
          <w:lang w:bidi="fa-IR"/>
        </w:rPr>
        <w:t>.</w:t>
      </w:r>
      <w:r w:rsidR="00744A1C" w:rsidRPr="00C24F9C">
        <w:rPr>
          <w:rStyle w:val="libFootnoteBoldChar"/>
          <w:rtl/>
        </w:rPr>
        <w:t>الوافي</w:t>
      </w:r>
      <w:r w:rsidR="00744A1C">
        <w:rPr>
          <w:rtl/>
          <w:lang w:bidi="fa-IR"/>
        </w:rPr>
        <w:t xml:space="preserve"> ، ج 15 ، ص 174 ، ح 14856 ؛ </w:t>
      </w:r>
      <w:r w:rsidR="00744A1C" w:rsidRPr="00C24F9C">
        <w:rPr>
          <w:rStyle w:val="libFootnoteBoldChar"/>
          <w:rtl/>
        </w:rPr>
        <w:t>الوسائل</w:t>
      </w:r>
      <w:r w:rsidR="00744A1C">
        <w:rPr>
          <w:rtl/>
          <w:lang w:bidi="fa-IR"/>
        </w:rPr>
        <w:t xml:space="preserve"> ، ج 16 ، ص 121 ، ح 21136 ؛ </w:t>
      </w:r>
      <w:r w:rsidR="00744A1C" w:rsidRPr="0061079A">
        <w:rPr>
          <w:rStyle w:val="libFootnoteBoldChar"/>
          <w:rtl/>
        </w:rPr>
        <w:t>البحار</w:t>
      </w:r>
      <w:r w:rsidR="00744A1C">
        <w:rPr>
          <w:rtl/>
          <w:lang w:bidi="fa-IR"/>
        </w:rPr>
        <w:t xml:space="preserve"> ، ج 14 ، ص 27 ، ح 8.</w:t>
      </w:r>
    </w:p>
    <w:p w:rsidR="00744A1C" w:rsidRDefault="00E378DD" w:rsidP="00E378DD">
      <w:pPr>
        <w:pStyle w:val="libFootnote0"/>
        <w:rPr>
          <w:lang w:bidi="fa-IR"/>
        </w:rPr>
      </w:pPr>
      <w:r>
        <w:rPr>
          <w:rtl/>
          <w:lang w:bidi="fa-IR"/>
        </w:rPr>
        <w:t>(4).</w:t>
      </w:r>
      <w:r w:rsidR="00744A1C">
        <w:rPr>
          <w:rtl/>
          <w:lang w:bidi="fa-IR"/>
        </w:rPr>
        <w:t xml:space="preserve"> في </w:t>
      </w:r>
      <w:r w:rsidR="00744A1C" w:rsidRPr="00F622C8">
        <w:rPr>
          <w:rtl/>
        </w:rPr>
        <w:t>الوسائل</w:t>
      </w:r>
      <w:r w:rsidR="00744A1C">
        <w:rPr>
          <w:rtl/>
          <w:lang w:bidi="fa-IR"/>
        </w:rPr>
        <w:t xml:space="preserve"> : - « بن إسحاق ».</w:t>
      </w:r>
    </w:p>
    <w:p w:rsidR="00744A1C" w:rsidRDefault="00E378DD" w:rsidP="00E378DD">
      <w:pPr>
        <w:pStyle w:val="libFootnote0"/>
        <w:rPr>
          <w:lang w:bidi="fa-IR"/>
        </w:rPr>
      </w:pPr>
      <w:r>
        <w:rPr>
          <w:rtl/>
          <w:lang w:bidi="fa-IR"/>
        </w:rPr>
        <w:t>(5).</w:t>
      </w:r>
      <w:r w:rsidR="00744A1C">
        <w:rPr>
          <w:rtl/>
          <w:lang w:bidi="fa-IR"/>
        </w:rPr>
        <w:t xml:space="preserve"> في « ى ، بث ، بح ، بس ، بف ، جد ، جن » : « ليقلبها ».</w:t>
      </w:r>
    </w:p>
    <w:tbl>
      <w:tblPr>
        <w:tblStyle w:val="TableGrid"/>
        <w:bidiVisual/>
        <w:tblW w:w="0" w:type="auto"/>
        <w:tblLook w:val="04A0" w:firstRow="1" w:lastRow="0" w:firstColumn="1" w:lastColumn="0" w:noHBand="0" w:noVBand="1"/>
      </w:tblPr>
      <w:tblGrid>
        <w:gridCol w:w="4006"/>
        <w:gridCol w:w="4006"/>
      </w:tblGrid>
      <w:tr w:rsidR="00F622C8" w:rsidTr="00F622C8">
        <w:tc>
          <w:tcPr>
            <w:tcW w:w="4006" w:type="dxa"/>
          </w:tcPr>
          <w:p w:rsidR="00F622C8" w:rsidRDefault="00F622C8" w:rsidP="00E378DD">
            <w:pPr>
              <w:pStyle w:val="libFootnote0"/>
              <w:rPr>
                <w:rtl/>
                <w:lang w:bidi="fa-IR"/>
              </w:rPr>
            </w:pPr>
            <w:r>
              <w:rPr>
                <w:rtl/>
                <w:lang w:bidi="fa-IR"/>
              </w:rPr>
              <w:t xml:space="preserve">(6). في </w:t>
            </w:r>
            <w:r w:rsidRPr="00F622C8">
              <w:rPr>
                <w:rtl/>
              </w:rPr>
              <w:t>الوسائل</w:t>
            </w:r>
            <w:r>
              <w:rPr>
                <w:rtl/>
                <w:lang w:bidi="fa-IR"/>
              </w:rPr>
              <w:t xml:space="preserve"> : « فوجدا فيها » بدل « وجدا ».</w:t>
            </w:r>
          </w:p>
        </w:tc>
        <w:tc>
          <w:tcPr>
            <w:tcW w:w="4006" w:type="dxa"/>
          </w:tcPr>
          <w:p w:rsidR="00F622C8" w:rsidRDefault="00F622C8" w:rsidP="00E378DD">
            <w:pPr>
              <w:pStyle w:val="libFootnote0"/>
              <w:rPr>
                <w:rtl/>
                <w:lang w:bidi="fa-IR"/>
              </w:rPr>
            </w:pPr>
            <w:r>
              <w:rPr>
                <w:rtl/>
                <w:lang w:bidi="fa-IR"/>
              </w:rPr>
              <w:t xml:space="preserve">(7). في </w:t>
            </w:r>
            <w:r w:rsidRPr="00F622C8">
              <w:rPr>
                <w:rtl/>
              </w:rPr>
              <w:t>الوسائل</w:t>
            </w:r>
            <w:r>
              <w:rPr>
                <w:rtl/>
                <w:lang w:bidi="fa-IR"/>
              </w:rPr>
              <w:t xml:space="preserve"> : - « الله ».</w:t>
            </w:r>
          </w:p>
        </w:tc>
      </w:tr>
    </w:tbl>
    <w:p w:rsidR="00744A1C" w:rsidRDefault="00E378DD" w:rsidP="00E378DD">
      <w:pPr>
        <w:pStyle w:val="libFootnote0"/>
        <w:rPr>
          <w:lang w:bidi="fa-IR"/>
        </w:rPr>
      </w:pPr>
      <w:r>
        <w:rPr>
          <w:rtl/>
          <w:lang w:bidi="fa-IR"/>
        </w:rPr>
        <w:t>(8).</w:t>
      </w:r>
      <w:r w:rsidR="00744A1C">
        <w:rPr>
          <w:rtl/>
          <w:lang w:bidi="fa-IR"/>
        </w:rPr>
        <w:t xml:space="preserve"> في « بح » : « فيتضرّع ». وفي « جت » والزهد </w:t>
      </w:r>
      <w:r w:rsidR="00744A1C" w:rsidRPr="00F622C8">
        <w:rPr>
          <w:rtl/>
        </w:rPr>
        <w:t>وفقه الرضا</w:t>
      </w:r>
      <w:r w:rsidR="00744A1C">
        <w:rPr>
          <w:rtl/>
          <w:lang w:bidi="fa-IR"/>
        </w:rPr>
        <w:t xml:space="preserve"> : + « إليه ».</w:t>
      </w:r>
    </w:p>
    <w:tbl>
      <w:tblPr>
        <w:tblStyle w:val="TableGrid"/>
        <w:bidiVisual/>
        <w:tblW w:w="0" w:type="auto"/>
        <w:tblLook w:val="04A0" w:firstRow="1" w:lastRow="0" w:firstColumn="1" w:lastColumn="0" w:noHBand="0" w:noVBand="1"/>
      </w:tblPr>
      <w:tblGrid>
        <w:gridCol w:w="3891"/>
        <w:gridCol w:w="4121"/>
      </w:tblGrid>
      <w:tr w:rsidR="00F622C8" w:rsidTr="007E686F">
        <w:tc>
          <w:tcPr>
            <w:tcW w:w="3891" w:type="dxa"/>
          </w:tcPr>
          <w:p w:rsidR="00F622C8" w:rsidRDefault="00F622C8" w:rsidP="00E378DD">
            <w:pPr>
              <w:pStyle w:val="libFootnote0"/>
              <w:rPr>
                <w:rtl/>
                <w:lang w:bidi="fa-IR"/>
              </w:rPr>
            </w:pPr>
            <w:r>
              <w:rPr>
                <w:rtl/>
                <w:lang w:bidi="fa-IR"/>
              </w:rPr>
              <w:t xml:space="preserve">(9). في </w:t>
            </w:r>
            <w:r w:rsidRPr="00F622C8">
              <w:rPr>
                <w:rtl/>
              </w:rPr>
              <w:t>الوافي</w:t>
            </w:r>
            <w:r>
              <w:rPr>
                <w:rtl/>
                <w:lang w:bidi="fa-IR"/>
              </w:rPr>
              <w:t xml:space="preserve"> : - « لا ولكن ».</w:t>
            </w:r>
          </w:p>
        </w:tc>
        <w:tc>
          <w:tcPr>
            <w:tcW w:w="4121" w:type="dxa"/>
          </w:tcPr>
          <w:p w:rsidR="00F622C8" w:rsidRDefault="00F622C8" w:rsidP="00E378DD">
            <w:pPr>
              <w:pStyle w:val="libFootnote0"/>
              <w:rPr>
                <w:rtl/>
                <w:lang w:bidi="fa-IR"/>
              </w:rPr>
            </w:pPr>
            <w:r>
              <w:rPr>
                <w:rtl/>
                <w:lang w:bidi="fa-IR"/>
              </w:rPr>
              <w:t>(10). في « بس » : + « إلى ».</w:t>
            </w:r>
          </w:p>
        </w:tc>
      </w:tr>
      <w:tr w:rsidR="00F622C8" w:rsidTr="007E686F">
        <w:tc>
          <w:tcPr>
            <w:tcW w:w="3891" w:type="dxa"/>
          </w:tcPr>
          <w:p w:rsidR="00F622C8" w:rsidRDefault="00F622C8" w:rsidP="00E378DD">
            <w:pPr>
              <w:pStyle w:val="libFootnote0"/>
              <w:rPr>
                <w:rtl/>
                <w:lang w:bidi="fa-IR"/>
              </w:rPr>
            </w:pPr>
            <w:r>
              <w:rPr>
                <w:rtl/>
                <w:lang w:bidi="fa-IR"/>
              </w:rPr>
              <w:t xml:space="preserve">(11). في </w:t>
            </w:r>
            <w:r w:rsidRPr="007E686F">
              <w:rPr>
                <w:rtl/>
              </w:rPr>
              <w:t>الوسائل</w:t>
            </w:r>
            <w:r>
              <w:rPr>
                <w:rtl/>
                <w:lang w:bidi="fa-IR"/>
              </w:rPr>
              <w:t xml:space="preserve"> : + « أحدهما ».</w:t>
            </w:r>
          </w:p>
        </w:tc>
        <w:tc>
          <w:tcPr>
            <w:tcW w:w="4121" w:type="dxa"/>
          </w:tcPr>
          <w:p w:rsidR="00F622C8" w:rsidRDefault="00F622C8" w:rsidP="00E378DD">
            <w:pPr>
              <w:pStyle w:val="libFootnote0"/>
              <w:rPr>
                <w:rtl/>
                <w:lang w:bidi="fa-IR"/>
              </w:rPr>
            </w:pPr>
            <w:r>
              <w:rPr>
                <w:rtl/>
                <w:lang w:bidi="fa-IR"/>
              </w:rPr>
              <w:t>(12).</w:t>
            </w:r>
            <w:r w:rsidR="007E686F">
              <w:rPr>
                <w:rtl/>
                <w:lang w:bidi="fa-IR"/>
              </w:rPr>
              <w:t xml:space="preserve"> في«بث،بف»:«فوجدنا».وفي«جن»:«ووجدت</w:t>
            </w:r>
            <w:r>
              <w:rPr>
                <w:rtl/>
                <w:lang w:bidi="fa-IR"/>
              </w:rPr>
              <w:t>».</w:t>
            </w:r>
          </w:p>
        </w:tc>
      </w:tr>
    </w:tbl>
    <w:p w:rsidR="006A5060" w:rsidRDefault="006A5060" w:rsidP="00D10E3C">
      <w:pPr>
        <w:pStyle w:val="libNormal"/>
        <w:rPr>
          <w:rtl/>
          <w:lang w:bidi="fa-IR"/>
        </w:rPr>
      </w:pPr>
      <w:r>
        <w:rPr>
          <w:rtl/>
          <w:lang w:bidi="fa-IR"/>
        </w:rPr>
        <w:br w:type="page"/>
      </w:r>
    </w:p>
    <w:p w:rsidR="00144FA6" w:rsidRDefault="00744A1C" w:rsidP="007E686F">
      <w:pPr>
        <w:pStyle w:val="libNormal0"/>
        <w:rPr>
          <w:rtl/>
          <w:lang w:bidi="fa-IR"/>
        </w:rPr>
      </w:pPr>
      <w:r>
        <w:rPr>
          <w:rtl/>
          <w:lang w:bidi="fa-IR"/>
        </w:rPr>
        <w:t xml:space="preserve">يَدْعُوكَ وَيَتَضَرَّعُ إِلَيْكَ ، فَقَالَ : امْضِ لِمَا </w:t>
      </w:r>
      <w:r w:rsidRPr="00D10E3C">
        <w:rPr>
          <w:rStyle w:val="libFootnotenumChar"/>
          <w:rtl/>
        </w:rPr>
        <w:t>(1)</w:t>
      </w:r>
      <w:r>
        <w:rPr>
          <w:rtl/>
          <w:lang w:bidi="fa-IR"/>
        </w:rPr>
        <w:t xml:space="preserve"> أَمَرْتُكَ بِهِ ؛ فَإِنَّ ذَا رَجُلٌ لَمْ يَتَمَعَّرْ </w:t>
      </w:r>
      <w:r w:rsidRPr="00D10E3C">
        <w:rPr>
          <w:rStyle w:val="libFootnotenumChar"/>
          <w:rtl/>
        </w:rPr>
        <w:t>(2)</w:t>
      </w:r>
      <w:r>
        <w:rPr>
          <w:rtl/>
          <w:lang w:bidi="fa-IR"/>
        </w:rPr>
        <w:t xml:space="preserve"> وَجْهُهُ غَيْظاً </w:t>
      </w:r>
      <w:r w:rsidRPr="00D10E3C">
        <w:rPr>
          <w:rStyle w:val="libFootnotenumChar"/>
          <w:rtl/>
        </w:rPr>
        <w:t>(3)</w:t>
      </w:r>
      <w:r>
        <w:rPr>
          <w:rtl/>
          <w:lang w:bidi="fa-IR"/>
        </w:rPr>
        <w:t xml:space="preserve"> لِي </w:t>
      </w:r>
      <w:r w:rsidRPr="00D10E3C">
        <w:rPr>
          <w:rStyle w:val="libFootnotenumChar"/>
          <w:rtl/>
        </w:rPr>
        <w:t>(4)</w:t>
      </w:r>
      <w:r>
        <w:rPr>
          <w:rtl/>
          <w:lang w:bidi="fa-IR"/>
        </w:rPr>
        <w:t xml:space="preserve"> قَطُّ ». </w:t>
      </w:r>
      <w:r w:rsidRPr="00D10E3C">
        <w:rPr>
          <w:rStyle w:val="libFootnotenumChar"/>
          <w:rtl/>
        </w:rPr>
        <w:t>(5)</w:t>
      </w:r>
    </w:p>
    <w:p w:rsidR="00144FA6" w:rsidRDefault="00744A1C" w:rsidP="00744A1C">
      <w:pPr>
        <w:pStyle w:val="libNormal"/>
        <w:rPr>
          <w:rtl/>
          <w:lang w:bidi="fa-IR"/>
        </w:rPr>
      </w:pPr>
      <w:r>
        <w:rPr>
          <w:rtl/>
          <w:lang w:bidi="fa-IR"/>
        </w:rPr>
        <w:t xml:space="preserve">8327 / 9. حُمَيْدُ بْنُ زِيَادٍ ، عَنِ الْحَسَنِ بْنِ مُحَمَّدِ بْنِ سَمَاعَةَ </w:t>
      </w:r>
      <w:r w:rsidRPr="00D10E3C">
        <w:rPr>
          <w:rStyle w:val="libFootnotenumChar"/>
          <w:rtl/>
        </w:rPr>
        <w:t>(6)</w:t>
      </w:r>
      <w:r>
        <w:rPr>
          <w:rtl/>
          <w:lang w:bidi="fa-IR"/>
        </w:rPr>
        <w:t xml:space="preserve"> ، عَنْ غَيْرِ وَاحِدٍ ، عَنْ أَبَانِ بْنِ عُثْمَانَ ، عَنْ عَبْدِ اللهِ بْنِ مُحَمَّدٍ </w:t>
      </w:r>
      <w:r w:rsidRPr="00D10E3C">
        <w:rPr>
          <w:rStyle w:val="libFootnotenumChar"/>
          <w:rtl/>
        </w:rPr>
        <w:t>(7)</w:t>
      </w:r>
      <w:r>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 أَنَّ رَجُلاً مِنْ خَثْعَمٍ جَاءَ إِلى رَسُولِ اللهِ </w:t>
      </w:r>
      <w:r w:rsidR="005E465D" w:rsidRPr="005E465D">
        <w:rPr>
          <w:rStyle w:val="libAlaemChar"/>
          <w:rtl/>
        </w:rPr>
        <w:t>صلى‌الله‌عليه‌وآله</w:t>
      </w:r>
      <w:r w:rsidR="00D10E3C">
        <w:rPr>
          <w:rtl/>
          <w:lang w:bidi="fa-IR"/>
        </w:rPr>
        <w:t xml:space="preserve"> </w:t>
      </w:r>
      <w:r>
        <w:rPr>
          <w:rtl/>
          <w:lang w:bidi="fa-IR"/>
        </w:rPr>
        <w:t xml:space="preserve">، فَقَالَ : يَا رَسُولَ اللهِ ، أَخْبِرْنِي مَا أَفْضَلُ </w:t>
      </w:r>
      <w:r w:rsidRPr="00D10E3C">
        <w:rPr>
          <w:rStyle w:val="libFootnotenumChar"/>
          <w:rtl/>
        </w:rPr>
        <w:t>(8)</w:t>
      </w:r>
      <w:r>
        <w:rPr>
          <w:rtl/>
          <w:lang w:bidi="fa-IR"/>
        </w:rPr>
        <w:t xml:space="preserve"> الْإِسْلَامِ </w:t>
      </w:r>
      <w:r w:rsidRPr="00D10E3C">
        <w:rPr>
          <w:rStyle w:val="libFootnotenumChar"/>
          <w:rtl/>
        </w:rPr>
        <w:t>(9)</w:t>
      </w:r>
      <w:r>
        <w:rPr>
          <w:rtl/>
          <w:lang w:bidi="fa-IR"/>
        </w:rPr>
        <w:t xml:space="preserve">؟ قَالَ : الْإِيمَانُ بِاللهِ ، قَالَ : ثُمَّ مَا ذَا؟ قَالَ : </w:t>
      </w:r>
      <w:r w:rsidRPr="00D10E3C">
        <w:rPr>
          <w:rStyle w:val="libFootnotenumChar"/>
          <w:rtl/>
        </w:rPr>
        <w:t>(10)</w:t>
      </w:r>
      <w:r>
        <w:rPr>
          <w:rtl/>
          <w:lang w:bidi="fa-IR"/>
        </w:rPr>
        <w:t xml:space="preserve"> صِلَةُ الرَّحِمِ ، قَالَ : ثُمَّ مَا ذَا؟ قَالَ : الْأَمْرُ بِالْمَعْرُوفِ وَالنَّهْيُ عَنِ الْمُنْكَرِ ».</w:t>
      </w:r>
    </w:p>
    <w:p w:rsidR="00744A1C" w:rsidRDefault="00744A1C" w:rsidP="00744A1C">
      <w:pPr>
        <w:pStyle w:val="libNormal"/>
        <w:rPr>
          <w:lang w:bidi="fa-IR"/>
        </w:rPr>
      </w:pPr>
      <w:r>
        <w:rPr>
          <w:rtl/>
          <w:lang w:bidi="fa-IR"/>
        </w:rPr>
        <w:t xml:space="preserve">قَالَ : « فَقَالَ الرَّجُلُ </w:t>
      </w:r>
      <w:r w:rsidRPr="00D10E3C">
        <w:rPr>
          <w:rStyle w:val="libFootnotenumChar"/>
          <w:rtl/>
        </w:rPr>
        <w:t>(11)</w:t>
      </w:r>
      <w:r>
        <w:rPr>
          <w:rtl/>
          <w:lang w:bidi="fa-IR"/>
        </w:rPr>
        <w:t xml:space="preserve"> : فَأَيُّ </w:t>
      </w:r>
      <w:r w:rsidRPr="00D10E3C">
        <w:rPr>
          <w:rStyle w:val="libFootnotenumChar"/>
          <w:rtl/>
        </w:rPr>
        <w:t>(12)</w:t>
      </w:r>
      <w:r>
        <w:rPr>
          <w:rtl/>
          <w:lang w:bidi="fa-IR"/>
        </w:rPr>
        <w:t xml:space="preserve"> الْأَعْمَالِ أَبْغَضُ إِلَى اللهِ؟ قَالَ : الشِّرْكُ بِاللهِ ، قَالَ : ثُمَّ‌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 « إلى ما ».</w:t>
      </w:r>
    </w:p>
    <w:p w:rsidR="00744A1C" w:rsidRDefault="00E378DD" w:rsidP="00E378DD">
      <w:pPr>
        <w:pStyle w:val="libFootnote0"/>
        <w:rPr>
          <w:lang w:bidi="fa-IR"/>
        </w:rPr>
      </w:pPr>
      <w:r>
        <w:rPr>
          <w:rtl/>
          <w:lang w:bidi="fa-IR"/>
        </w:rPr>
        <w:t>(2).</w:t>
      </w:r>
      <w:r w:rsidR="00744A1C">
        <w:rPr>
          <w:rtl/>
          <w:lang w:bidi="fa-IR"/>
        </w:rPr>
        <w:t xml:space="preserve"> في حاشية « بث » والزهد </w:t>
      </w:r>
      <w:r w:rsidR="00744A1C" w:rsidRPr="007E686F">
        <w:rPr>
          <w:rtl/>
        </w:rPr>
        <w:t>وفقه الرضا</w:t>
      </w:r>
      <w:r w:rsidR="00744A1C">
        <w:rPr>
          <w:rtl/>
          <w:lang w:bidi="fa-IR"/>
        </w:rPr>
        <w:t xml:space="preserve"> : « لم يتغيّر ». ويقال : تمعّر لونه عند الغضب : تغيّر. </w:t>
      </w:r>
      <w:r w:rsidR="00744A1C" w:rsidRPr="00E978C3">
        <w:rPr>
          <w:rStyle w:val="libFootnoteBoldChar"/>
          <w:rtl/>
        </w:rPr>
        <w:t>الصحاح</w:t>
      </w:r>
      <w:r w:rsidR="00744A1C">
        <w:rPr>
          <w:rtl/>
          <w:lang w:bidi="fa-IR"/>
        </w:rPr>
        <w:t xml:space="preserve"> ، ج 2 ، ص 818 ( معر ).</w:t>
      </w:r>
    </w:p>
    <w:p w:rsidR="00744A1C" w:rsidRDefault="00E378DD" w:rsidP="00E378DD">
      <w:pPr>
        <w:pStyle w:val="libFootnote0"/>
        <w:rPr>
          <w:lang w:bidi="fa-IR"/>
        </w:rPr>
      </w:pPr>
      <w:r>
        <w:rPr>
          <w:rtl/>
          <w:lang w:bidi="fa-IR"/>
        </w:rPr>
        <w:t>(3).</w:t>
      </w:r>
      <w:r w:rsidR="00744A1C">
        <w:rPr>
          <w:rtl/>
          <w:lang w:bidi="fa-IR"/>
        </w:rPr>
        <w:t xml:space="preserve"> في الزهد </w:t>
      </w:r>
      <w:r w:rsidR="00744A1C" w:rsidRPr="007E686F">
        <w:rPr>
          <w:rtl/>
        </w:rPr>
        <w:t>وفقه الرضا</w:t>
      </w:r>
      <w:r w:rsidR="00744A1C">
        <w:rPr>
          <w:rtl/>
          <w:lang w:bidi="fa-IR"/>
        </w:rPr>
        <w:t xml:space="preserve"> : « غضباً ».</w:t>
      </w:r>
    </w:p>
    <w:p w:rsidR="00744A1C" w:rsidRDefault="00E378DD" w:rsidP="00E378DD">
      <w:pPr>
        <w:pStyle w:val="libFootnote0"/>
        <w:rPr>
          <w:lang w:bidi="fa-IR"/>
        </w:rPr>
      </w:pPr>
      <w:r>
        <w:rPr>
          <w:rtl/>
          <w:lang w:bidi="fa-IR"/>
        </w:rPr>
        <w:t>(4).</w:t>
      </w:r>
      <w:r w:rsidR="00744A1C">
        <w:rPr>
          <w:rtl/>
          <w:lang w:bidi="fa-IR"/>
        </w:rPr>
        <w:t xml:space="preserve"> في « جد » : « إليّ ».</w:t>
      </w:r>
    </w:p>
    <w:p w:rsidR="00744A1C" w:rsidRDefault="00E378DD" w:rsidP="00E378DD">
      <w:pPr>
        <w:pStyle w:val="libFootnote0"/>
        <w:rPr>
          <w:lang w:bidi="fa-IR"/>
        </w:rPr>
      </w:pPr>
      <w:r>
        <w:rPr>
          <w:rtl/>
          <w:lang w:bidi="fa-IR"/>
        </w:rPr>
        <w:t>(5).</w:t>
      </w:r>
      <w:r w:rsidR="00744A1C">
        <w:rPr>
          <w:rtl/>
          <w:lang w:bidi="fa-IR"/>
        </w:rPr>
        <w:t xml:space="preserve"> </w:t>
      </w:r>
      <w:r w:rsidR="00744A1C" w:rsidRPr="007E686F">
        <w:rPr>
          <w:rStyle w:val="libFootnoteBoldChar"/>
          <w:rtl/>
        </w:rPr>
        <w:t>الزهد</w:t>
      </w:r>
      <w:r w:rsidR="00744A1C">
        <w:rPr>
          <w:rtl/>
          <w:lang w:bidi="fa-IR"/>
        </w:rPr>
        <w:t xml:space="preserve"> ، ص 133 ، ح 174 ، عن النضر ، عن درست. </w:t>
      </w:r>
      <w:r w:rsidR="00744A1C" w:rsidRPr="000B1C3F">
        <w:rPr>
          <w:rStyle w:val="libFootnoteBoldChar"/>
          <w:rtl/>
        </w:rPr>
        <w:t>الأمالي للطوسي</w:t>
      </w:r>
      <w:r w:rsidR="00744A1C">
        <w:rPr>
          <w:rtl/>
          <w:lang w:bidi="fa-IR"/>
        </w:rPr>
        <w:t xml:space="preserve"> ، ص 970 ، المجلس 36 ، ح 15 ، بسند آخر ، مع اختلاف يسير وزيادة في آخره.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375 ، مع زيادة في أوّله </w:t>
      </w:r>
      <w:r w:rsidR="007E686F">
        <w:rPr>
          <w:rFonts w:hint="cs"/>
          <w:rtl/>
          <w:lang w:bidi="fa-IR"/>
        </w:rPr>
        <w:t>.</w:t>
      </w:r>
      <w:r w:rsidR="00744A1C" w:rsidRPr="00C24F9C">
        <w:rPr>
          <w:rStyle w:val="libFootnoteBoldChar"/>
          <w:rtl/>
        </w:rPr>
        <w:t>الوافي</w:t>
      </w:r>
      <w:r w:rsidR="00744A1C">
        <w:rPr>
          <w:rtl/>
          <w:lang w:bidi="fa-IR"/>
        </w:rPr>
        <w:t xml:space="preserve"> ، ج 15 ، ص 174 ، ح 14857 ؛ </w:t>
      </w:r>
      <w:r w:rsidR="00744A1C" w:rsidRPr="00C24F9C">
        <w:rPr>
          <w:rStyle w:val="libFootnoteBoldChar"/>
          <w:rtl/>
        </w:rPr>
        <w:t>الوسائل</w:t>
      </w:r>
      <w:r w:rsidR="00744A1C">
        <w:rPr>
          <w:rtl/>
          <w:lang w:bidi="fa-IR"/>
        </w:rPr>
        <w:t xml:space="preserve"> ، ج 16 ، ص 143 ، ح 21195 ؛ </w:t>
      </w:r>
      <w:r w:rsidR="00744A1C" w:rsidRPr="0061079A">
        <w:rPr>
          <w:rStyle w:val="libFootnoteBoldChar"/>
          <w:rtl/>
        </w:rPr>
        <w:t>البحار</w:t>
      </w:r>
      <w:r w:rsidR="00744A1C">
        <w:rPr>
          <w:rtl/>
          <w:lang w:bidi="fa-IR"/>
        </w:rPr>
        <w:t xml:space="preserve"> ، ج 14 ، ص 509 ، ذيل ح 37.</w:t>
      </w:r>
    </w:p>
    <w:p w:rsidR="00744A1C" w:rsidRDefault="00E378DD" w:rsidP="00E378DD">
      <w:pPr>
        <w:pStyle w:val="libFootnote0"/>
        <w:rPr>
          <w:lang w:bidi="fa-IR"/>
        </w:rPr>
      </w:pPr>
      <w:r>
        <w:rPr>
          <w:rtl/>
          <w:lang w:bidi="fa-IR"/>
        </w:rPr>
        <w:t>(6).</w:t>
      </w:r>
      <w:r w:rsidR="00744A1C">
        <w:rPr>
          <w:rtl/>
          <w:lang w:bidi="fa-IR"/>
        </w:rPr>
        <w:t xml:space="preserve"> هكذا في « بح » </w:t>
      </w:r>
      <w:r w:rsidR="00744A1C" w:rsidRPr="007E686F">
        <w:rPr>
          <w:rtl/>
        </w:rPr>
        <w:t>والوسائل</w:t>
      </w:r>
      <w:r w:rsidR="00744A1C">
        <w:rPr>
          <w:rtl/>
          <w:lang w:bidi="fa-IR"/>
        </w:rPr>
        <w:t xml:space="preserve">. وفي </w:t>
      </w:r>
      <w:r w:rsidR="00744A1C" w:rsidRPr="007E686F">
        <w:rPr>
          <w:rtl/>
        </w:rPr>
        <w:t>التهذيب</w:t>
      </w:r>
      <w:r w:rsidR="00744A1C">
        <w:rPr>
          <w:rtl/>
          <w:lang w:bidi="fa-IR"/>
        </w:rPr>
        <w:t xml:space="preserve"> : « الحسن بن سماعة ». وفي « ى ، بث » : « الحسن بن محمّد عن‌سماعة ». وفي « بس » : « الحسين بن محمّد بن سماعة ». وفي « بف » وحاشية « بح » والمطبوع : « الحسين بن محمّد عن سماعة ».</w:t>
      </w:r>
    </w:p>
    <w:p w:rsidR="00744A1C" w:rsidRDefault="00744A1C" w:rsidP="00D10E3C">
      <w:pPr>
        <w:pStyle w:val="libFootnote0"/>
        <w:rPr>
          <w:lang w:bidi="fa-IR"/>
        </w:rPr>
      </w:pPr>
      <w:r>
        <w:rPr>
          <w:rtl/>
          <w:lang w:bidi="fa-IR"/>
        </w:rPr>
        <w:t xml:space="preserve">وقد أكثر حميد بن زياد من الرواية عن الحسن بن محمّد بن سماعة. راجع : </w:t>
      </w:r>
      <w:r w:rsidRPr="0061079A">
        <w:rPr>
          <w:rStyle w:val="libFootnoteBoldChar"/>
          <w:rtl/>
        </w:rPr>
        <w:t>معجم رجال الحديث</w:t>
      </w:r>
      <w:r>
        <w:rPr>
          <w:rtl/>
          <w:lang w:bidi="fa-IR"/>
        </w:rPr>
        <w:t xml:space="preserve"> ، ج 6 ، ص 457 - 462.</w:t>
      </w:r>
    </w:p>
    <w:p w:rsidR="00744A1C" w:rsidRDefault="00E378DD" w:rsidP="00E378DD">
      <w:pPr>
        <w:pStyle w:val="libFootnote0"/>
        <w:rPr>
          <w:lang w:bidi="fa-IR"/>
        </w:rPr>
      </w:pPr>
      <w:r>
        <w:rPr>
          <w:rtl/>
          <w:lang w:bidi="fa-IR"/>
        </w:rPr>
        <w:t>(7).</w:t>
      </w:r>
      <w:r w:rsidR="00744A1C">
        <w:rPr>
          <w:rtl/>
          <w:lang w:bidi="fa-IR"/>
        </w:rPr>
        <w:t xml:space="preserve"> في « بث ، بح ، بف » </w:t>
      </w:r>
      <w:r w:rsidR="00744A1C" w:rsidRPr="007E686F">
        <w:rPr>
          <w:rtl/>
        </w:rPr>
        <w:t>والوافي والتهذيب</w:t>
      </w:r>
      <w:r w:rsidR="00744A1C">
        <w:rPr>
          <w:rtl/>
          <w:lang w:bidi="fa-IR"/>
        </w:rPr>
        <w:t xml:space="preserve"> : « عبد الله بن محمّد بن طلحة ».</w:t>
      </w:r>
    </w:p>
    <w:tbl>
      <w:tblPr>
        <w:tblStyle w:val="TableGrid"/>
        <w:bidiVisual/>
        <w:tblW w:w="0" w:type="auto"/>
        <w:tblLook w:val="04A0" w:firstRow="1" w:lastRow="0" w:firstColumn="1" w:lastColumn="0" w:noHBand="0" w:noVBand="1"/>
      </w:tblPr>
      <w:tblGrid>
        <w:gridCol w:w="4006"/>
        <w:gridCol w:w="4006"/>
      </w:tblGrid>
      <w:tr w:rsidR="007E686F" w:rsidTr="007E686F">
        <w:tc>
          <w:tcPr>
            <w:tcW w:w="4006" w:type="dxa"/>
          </w:tcPr>
          <w:p w:rsidR="007E686F" w:rsidRDefault="007E686F" w:rsidP="00E378DD">
            <w:pPr>
              <w:pStyle w:val="libFootnote0"/>
              <w:rPr>
                <w:rtl/>
                <w:lang w:bidi="fa-IR"/>
              </w:rPr>
            </w:pPr>
            <w:r>
              <w:rPr>
                <w:rtl/>
                <w:lang w:bidi="fa-IR"/>
              </w:rPr>
              <w:t>(8). في « ى » : « فضل ».</w:t>
            </w:r>
          </w:p>
        </w:tc>
        <w:tc>
          <w:tcPr>
            <w:tcW w:w="4006" w:type="dxa"/>
          </w:tcPr>
          <w:p w:rsidR="007E686F" w:rsidRDefault="007E686F" w:rsidP="00E378DD">
            <w:pPr>
              <w:pStyle w:val="libFootnote0"/>
              <w:rPr>
                <w:rtl/>
                <w:lang w:bidi="fa-IR"/>
              </w:rPr>
            </w:pPr>
            <w:r>
              <w:rPr>
                <w:rtl/>
                <w:lang w:bidi="fa-IR"/>
              </w:rPr>
              <w:t xml:space="preserve">(9). في </w:t>
            </w:r>
            <w:r w:rsidRPr="007E686F">
              <w:rPr>
                <w:rtl/>
              </w:rPr>
              <w:t>فقه الرضا</w:t>
            </w:r>
            <w:r>
              <w:rPr>
                <w:rtl/>
                <w:lang w:bidi="fa-IR"/>
              </w:rPr>
              <w:t xml:space="preserve"> : « الأعمال ».</w:t>
            </w:r>
          </w:p>
        </w:tc>
      </w:tr>
    </w:tbl>
    <w:p w:rsidR="00744A1C" w:rsidRDefault="00E378DD" w:rsidP="007E686F">
      <w:pPr>
        <w:pStyle w:val="libFootnote0"/>
        <w:rPr>
          <w:lang w:bidi="fa-IR"/>
        </w:rPr>
      </w:pPr>
      <w:r>
        <w:rPr>
          <w:rtl/>
          <w:lang w:bidi="fa-IR"/>
        </w:rPr>
        <w:t>(10).</w:t>
      </w:r>
      <w:r w:rsidR="00744A1C">
        <w:rPr>
          <w:rtl/>
          <w:lang w:bidi="fa-IR"/>
        </w:rPr>
        <w:t xml:space="preserve"> هكذا في « ى ، بح ، بف ، جد ، جن » </w:t>
      </w:r>
      <w:r w:rsidR="00744A1C" w:rsidRPr="007E686F">
        <w:rPr>
          <w:rtl/>
        </w:rPr>
        <w:t>والوافي والوسائل والتهذيب والمحاسن</w:t>
      </w:r>
      <w:r w:rsidR="00744A1C">
        <w:rPr>
          <w:rtl/>
          <w:lang w:bidi="fa-IR"/>
        </w:rPr>
        <w:t xml:space="preserve"> ، ص 291 </w:t>
      </w:r>
      <w:r w:rsidR="00744A1C" w:rsidRPr="007E686F">
        <w:rPr>
          <w:rtl/>
        </w:rPr>
        <w:t>وفقه الرضا</w:t>
      </w:r>
      <w:r w:rsidR="00744A1C">
        <w:rPr>
          <w:rtl/>
          <w:lang w:bidi="fa-IR"/>
        </w:rPr>
        <w:t>. وفي سائر النسخ والمطبوع : + « ثمّ ».</w:t>
      </w:r>
      <w:r w:rsidR="007E686F">
        <w:rPr>
          <w:rFonts w:hint="cs"/>
          <w:rtl/>
          <w:lang w:bidi="fa-IR"/>
        </w:rPr>
        <w:t xml:space="preserve">                           </w:t>
      </w:r>
      <w:r>
        <w:rPr>
          <w:rtl/>
          <w:lang w:bidi="fa-IR"/>
        </w:rPr>
        <w:t>(11).</w:t>
      </w:r>
      <w:r w:rsidR="00744A1C">
        <w:rPr>
          <w:rtl/>
          <w:lang w:bidi="fa-IR"/>
        </w:rPr>
        <w:t xml:space="preserve"> في </w:t>
      </w:r>
      <w:r w:rsidR="00744A1C" w:rsidRPr="007E686F">
        <w:rPr>
          <w:rtl/>
        </w:rPr>
        <w:t>الوسائل</w:t>
      </w:r>
      <w:r w:rsidR="00744A1C">
        <w:rPr>
          <w:rtl/>
          <w:lang w:bidi="fa-IR"/>
        </w:rPr>
        <w:t xml:space="preserve"> : + « فأخبرني ».</w:t>
      </w:r>
    </w:p>
    <w:p w:rsidR="00744A1C" w:rsidRDefault="00E378DD" w:rsidP="00E378DD">
      <w:pPr>
        <w:pStyle w:val="libFootnote0"/>
        <w:rPr>
          <w:lang w:bidi="fa-IR"/>
        </w:rPr>
      </w:pPr>
      <w:r>
        <w:rPr>
          <w:rtl/>
          <w:lang w:bidi="fa-IR"/>
        </w:rPr>
        <w:t>(12).</w:t>
      </w:r>
      <w:r w:rsidR="00744A1C">
        <w:rPr>
          <w:rtl/>
          <w:lang w:bidi="fa-IR"/>
        </w:rPr>
        <w:t xml:space="preserve"> في « بح » </w:t>
      </w:r>
      <w:r w:rsidR="00744A1C" w:rsidRPr="007E686F">
        <w:rPr>
          <w:rtl/>
        </w:rPr>
        <w:t>والوسائل والكافي</w:t>
      </w:r>
      <w:r w:rsidR="00744A1C">
        <w:rPr>
          <w:rtl/>
          <w:lang w:bidi="fa-IR"/>
        </w:rPr>
        <w:t xml:space="preserve"> ، ح 2476 </w:t>
      </w:r>
      <w:r w:rsidR="00744A1C" w:rsidRPr="007E686F">
        <w:rPr>
          <w:rtl/>
        </w:rPr>
        <w:t>والمحاسن</w:t>
      </w:r>
      <w:r w:rsidR="00744A1C">
        <w:rPr>
          <w:rtl/>
          <w:lang w:bidi="fa-IR"/>
        </w:rPr>
        <w:t xml:space="preserve"> ، ص 295 : « أيّ ».</w:t>
      </w:r>
    </w:p>
    <w:p w:rsidR="006A5060" w:rsidRDefault="006A5060" w:rsidP="00D10E3C">
      <w:pPr>
        <w:pStyle w:val="libNormal"/>
        <w:rPr>
          <w:rtl/>
          <w:lang w:bidi="fa-IR"/>
        </w:rPr>
      </w:pPr>
      <w:r>
        <w:rPr>
          <w:rtl/>
          <w:lang w:bidi="fa-IR"/>
        </w:rPr>
        <w:br w:type="page"/>
      </w:r>
    </w:p>
    <w:p w:rsidR="00144FA6" w:rsidRDefault="00744A1C" w:rsidP="00402829">
      <w:pPr>
        <w:pStyle w:val="libNormal0"/>
        <w:rPr>
          <w:rtl/>
          <w:lang w:bidi="fa-IR"/>
        </w:rPr>
      </w:pPr>
      <w:r>
        <w:rPr>
          <w:rtl/>
          <w:lang w:bidi="fa-IR"/>
        </w:rPr>
        <w:t xml:space="preserve">مَا ذَا؟ قَالَ : </w:t>
      </w:r>
      <w:r w:rsidRPr="00D10E3C">
        <w:rPr>
          <w:rStyle w:val="libFootnotenumChar"/>
          <w:rtl/>
        </w:rPr>
        <w:t>(1)</w:t>
      </w:r>
      <w:r>
        <w:rPr>
          <w:rtl/>
          <w:lang w:bidi="fa-IR"/>
        </w:rPr>
        <w:t xml:space="preserve"> قَطِيعَةُ الرَّحِمِ ، قَالَ : ثُمَّ مَا ذَا؟ قَالَ : الْأَمْرُ بِالْمُنْكَر</w:t>
      </w:r>
      <w:r w:rsidR="007E686F">
        <w:rPr>
          <w:rtl/>
          <w:lang w:bidi="fa-IR"/>
        </w:rPr>
        <w:t>ِ وَالنَّهْيُ عَنِ الْمَعْرُوفِ</w:t>
      </w:r>
      <w:r>
        <w:rPr>
          <w:rtl/>
          <w:lang w:bidi="fa-IR"/>
        </w:rPr>
        <w:t>».</w:t>
      </w:r>
      <w:r w:rsidRPr="00D10E3C">
        <w:rPr>
          <w:rStyle w:val="libFootnotenumChar"/>
          <w:rtl/>
        </w:rPr>
        <w:t>(2)</w:t>
      </w:r>
    </w:p>
    <w:p w:rsidR="00144FA6" w:rsidRDefault="00744A1C" w:rsidP="00744A1C">
      <w:pPr>
        <w:pStyle w:val="libNormal"/>
        <w:rPr>
          <w:rtl/>
          <w:lang w:bidi="fa-IR"/>
        </w:rPr>
      </w:pPr>
      <w:r>
        <w:rPr>
          <w:rtl/>
          <w:lang w:bidi="fa-IR"/>
        </w:rPr>
        <w:t>8328 / 10.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w:t>
      </w:r>
      <w:r w:rsidR="0061079A" w:rsidRPr="0061079A">
        <w:rPr>
          <w:rStyle w:val="libAlaemChar"/>
          <w:rtl/>
        </w:rPr>
        <w:t>عليه‌السلام</w:t>
      </w:r>
      <w:r w:rsidR="00D10E3C">
        <w:rPr>
          <w:rtl/>
          <w:lang w:bidi="fa-IR"/>
        </w:rPr>
        <w:t xml:space="preserve"> </w:t>
      </w:r>
      <w:r>
        <w:rPr>
          <w:rtl/>
          <w:lang w:bidi="fa-IR"/>
        </w:rPr>
        <w:t xml:space="preserve">: أَمَرَنَا رَسُولُ اللهِ </w:t>
      </w:r>
      <w:r w:rsidR="005E465D" w:rsidRPr="005E465D">
        <w:rPr>
          <w:rStyle w:val="libAlaemChar"/>
          <w:rtl/>
        </w:rPr>
        <w:t>صلى‌الله‌عليه‌وآله</w:t>
      </w:r>
      <w:r w:rsidR="00D10E3C">
        <w:rPr>
          <w:rtl/>
          <w:lang w:bidi="fa-IR"/>
        </w:rPr>
        <w:t xml:space="preserve"> </w:t>
      </w:r>
      <w:r>
        <w:rPr>
          <w:rtl/>
          <w:lang w:bidi="fa-IR"/>
        </w:rPr>
        <w:t xml:space="preserve">أَنْ نَلْقى </w:t>
      </w:r>
      <w:r w:rsidRPr="00D10E3C">
        <w:rPr>
          <w:rStyle w:val="libFootnotenumChar"/>
          <w:rtl/>
        </w:rPr>
        <w:t>(3)</w:t>
      </w:r>
      <w:r>
        <w:rPr>
          <w:rtl/>
          <w:lang w:bidi="fa-IR"/>
        </w:rPr>
        <w:t xml:space="preserve"> أَهْلَ الْمَعَاصِي بِوُجُوهٍ مُكْفَهِرَّةٍ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8329 / 11. عِدَّةٌ مِنْ أَصْحَابِنَا ، عَنْ أَحْمَدَ بْنِ أَبِي عَبْدِ اللهِ ، عَنْ يَعْقُوبَ بْنِ يَزِيدَ رَفَعَهُ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w:t>
      </w:r>
      <w:r w:rsidRPr="00D10E3C">
        <w:rPr>
          <w:rStyle w:val="libFootnotenumChar"/>
          <w:rtl/>
        </w:rPr>
        <w:t>(6)</w:t>
      </w:r>
      <w:r>
        <w:rPr>
          <w:rtl/>
          <w:lang w:bidi="fa-IR"/>
        </w:rPr>
        <w:t xml:space="preserve"> الْأَمْرُ بِالْمَعْرُوفِ وَالنَّهْيُ عَنِ الْمُنْكَرِ خَلْقَانِ </w:t>
      </w:r>
      <w:r w:rsidRPr="00D10E3C">
        <w:rPr>
          <w:rStyle w:val="libFootnotenumChar"/>
          <w:rtl/>
        </w:rPr>
        <w:t>(7)</w:t>
      </w:r>
      <w:r>
        <w:rPr>
          <w:rtl/>
          <w:lang w:bidi="fa-IR"/>
        </w:rPr>
        <w:t xml:space="preserve"> مِنْ خَلْقِ اللهِ ، فَمَنْ نَصَرَهُمَا </w:t>
      </w:r>
      <w:r w:rsidRPr="00D10E3C">
        <w:rPr>
          <w:rStyle w:val="libFootnotenumChar"/>
          <w:rtl/>
        </w:rPr>
        <w:t>(8)</w:t>
      </w:r>
      <w:r>
        <w:rPr>
          <w:rtl/>
          <w:lang w:bidi="fa-IR"/>
        </w:rPr>
        <w:t xml:space="preserve"> أَعَزَّهُ </w:t>
      </w:r>
      <w:r w:rsidRPr="00D10E3C">
        <w:rPr>
          <w:rStyle w:val="libFootnotenumChar"/>
          <w:rtl/>
        </w:rPr>
        <w:t>(9)</w:t>
      </w:r>
      <w:r>
        <w:rPr>
          <w:rtl/>
          <w:lang w:bidi="fa-IR"/>
        </w:rPr>
        <w:t xml:space="preserve"> اللهُ ، وَمَنْ خَذَلَهُمَا خَذَلَهُ اللهُ ». </w:t>
      </w:r>
      <w:r w:rsidRPr="00D10E3C">
        <w:rPr>
          <w:rStyle w:val="libFootnotenumChar"/>
          <w:rtl/>
        </w:rPr>
        <w:t>(10)</w:t>
      </w:r>
    </w:p>
    <w:p w:rsidR="00144FA6" w:rsidRDefault="00744A1C" w:rsidP="00744A1C">
      <w:pPr>
        <w:pStyle w:val="libNormal"/>
        <w:rPr>
          <w:rtl/>
          <w:lang w:bidi="fa-IR"/>
        </w:rPr>
      </w:pPr>
      <w:r>
        <w:rPr>
          <w:rtl/>
          <w:lang w:bidi="fa-IR"/>
        </w:rPr>
        <w:t>8330 / 12. مُحَمَّدُ بْنُ يَحْيى ، عَنْ أَحْمَدَ بْنِ مُحَمَّدِ بْنِ عِيسى ، عَنْ مُحَمَّدِ بْنِ يَحْيى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جن » وحاشية « بح » </w:t>
      </w:r>
      <w:r w:rsidR="00744A1C" w:rsidRPr="009008F7">
        <w:rPr>
          <w:rtl/>
        </w:rPr>
        <w:t>والوسائل</w:t>
      </w:r>
      <w:r w:rsidR="00744A1C">
        <w:rPr>
          <w:rtl/>
          <w:lang w:bidi="fa-IR"/>
        </w:rPr>
        <w:t xml:space="preserve"> : + « ثمّ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355 ، معلّقاً عن الكليني. وفي </w:t>
      </w:r>
      <w:r w:rsidR="00744A1C" w:rsidRPr="0061079A">
        <w:rPr>
          <w:rStyle w:val="libFootnoteBoldChar"/>
          <w:rtl/>
        </w:rPr>
        <w:t>الكافي</w:t>
      </w:r>
      <w:r w:rsidR="00744A1C">
        <w:rPr>
          <w:rtl/>
          <w:lang w:bidi="fa-IR"/>
        </w:rPr>
        <w:t xml:space="preserve"> ، كتاب الإيمان والكفر ، باب في ا</w:t>
      </w:r>
      <w:r w:rsidR="009008F7">
        <w:rPr>
          <w:rFonts w:hint="cs"/>
          <w:rtl/>
          <w:lang w:bidi="fa-IR"/>
        </w:rPr>
        <w:t>ُ</w:t>
      </w:r>
      <w:r w:rsidR="00744A1C">
        <w:rPr>
          <w:rtl/>
          <w:lang w:bidi="fa-IR"/>
        </w:rPr>
        <w:t xml:space="preserve">صول الكفر وأركانه ، ح 2476 ؛ </w:t>
      </w:r>
      <w:r w:rsidR="00744A1C" w:rsidRPr="009008F7">
        <w:rPr>
          <w:rStyle w:val="libFootnoteBoldChar"/>
          <w:rtl/>
        </w:rPr>
        <w:t>وال</w:t>
      </w:r>
      <w:r w:rsidR="00744A1C" w:rsidRPr="003A7143">
        <w:rPr>
          <w:rStyle w:val="libFootnoteBoldChar"/>
          <w:rtl/>
        </w:rPr>
        <w:t>محاسن</w:t>
      </w:r>
      <w:r w:rsidR="00744A1C">
        <w:rPr>
          <w:rtl/>
          <w:lang w:bidi="fa-IR"/>
        </w:rPr>
        <w:t xml:space="preserve"> ، ص 295 ، كتاب مصابيح الظلم ، ح 460 ، بسند آخر ، من قوله : « فأيّ الأعمال أبغض إلى الله » ؛ وفيه ، ص 291 ، نفس الكتاب ، ح 444 ، بسند آخر </w:t>
      </w:r>
      <w:r w:rsidR="009008F7">
        <w:rPr>
          <w:rtl/>
          <w:lang w:bidi="fa-IR"/>
        </w:rPr>
        <w:t>، إلى قوله : « والنهي عن المنكر</w:t>
      </w:r>
      <w:r w:rsidR="00744A1C">
        <w:rPr>
          <w:rtl/>
          <w:lang w:bidi="fa-IR"/>
        </w:rPr>
        <w:t xml:space="preserve">».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376 </w:t>
      </w:r>
      <w:r w:rsidR="009008F7">
        <w:rPr>
          <w:rFonts w:hint="cs"/>
          <w:rtl/>
          <w:lang w:bidi="fa-IR"/>
        </w:rPr>
        <w:t>.</w:t>
      </w:r>
      <w:r w:rsidR="00744A1C" w:rsidRPr="00C24F9C">
        <w:rPr>
          <w:rStyle w:val="libFootnoteBoldChar"/>
          <w:rtl/>
        </w:rPr>
        <w:t>الوافي</w:t>
      </w:r>
      <w:r w:rsidR="00744A1C">
        <w:rPr>
          <w:rtl/>
          <w:lang w:bidi="fa-IR"/>
        </w:rPr>
        <w:t xml:space="preserve"> ، ج 15 ، ص 174 ، ح 14858 ؛ </w:t>
      </w:r>
      <w:r w:rsidR="00744A1C" w:rsidRPr="00C24F9C">
        <w:rPr>
          <w:rStyle w:val="libFootnoteBoldChar"/>
          <w:rtl/>
        </w:rPr>
        <w:t>الوسائل</w:t>
      </w:r>
      <w:r w:rsidR="00744A1C">
        <w:rPr>
          <w:rtl/>
          <w:lang w:bidi="fa-IR"/>
        </w:rPr>
        <w:t xml:space="preserve"> ، ج 16 ، ص 121 ، ح 21137.</w:t>
      </w:r>
    </w:p>
    <w:p w:rsidR="00744A1C" w:rsidRDefault="00E378DD" w:rsidP="00E378DD">
      <w:pPr>
        <w:pStyle w:val="libFootnote0"/>
        <w:rPr>
          <w:lang w:bidi="fa-IR"/>
        </w:rPr>
      </w:pPr>
      <w:r>
        <w:rPr>
          <w:rtl/>
          <w:lang w:bidi="fa-IR"/>
        </w:rPr>
        <w:t>(3).</w:t>
      </w:r>
      <w:r w:rsidR="00744A1C">
        <w:rPr>
          <w:rtl/>
          <w:lang w:bidi="fa-IR"/>
        </w:rPr>
        <w:t xml:space="preserve"> في </w:t>
      </w:r>
      <w:r w:rsidR="00744A1C" w:rsidRPr="009008F7">
        <w:rPr>
          <w:rtl/>
        </w:rPr>
        <w:t>التهذيب</w:t>
      </w:r>
      <w:r w:rsidR="00744A1C">
        <w:rPr>
          <w:rtl/>
          <w:lang w:bidi="fa-IR"/>
        </w:rPr>
        <w:t xml:space="preserve"> : « أدنى الإنكار أن يلقى » بدل « أمرنا رسول الله </w:t>
      </w:r>
      <w:r w:rsidR="00F90866" w:rsidRPr="00F90866">
        <w:rPr>
          <w:rStyle w:val="libFootnoteAlaemChar"/>
          <w:rtl/>
        </w:rPr>
        <w:t>صلى‌الله‌عليه‌وآله</w:t>
      </w:r>
      <w:r w:rsidR="00744A1C">
        <w:rPr>
          <w:rtl/>
          <w:lang w:bidi="fa-IR"/>
        </w:rPr>
        <w:t xml:space="preserve"> أن نلقى ».</w:t>
      </w:r>
    </w:p>
    <w:p w:rsidR="00744A1C" w:rsidRDefault="00E378DD" w:rsidP="00E378DD">
      <w:pPr>
        <w:pStyle w:val="libFootnote0"/>
        <w:rPr>
          <w:lang w:bidi="fa-IR"/>
        </w:rPr>
      </w:pPr>
      <w:r>
        <w:rPr>
          <w:rtl/>
          <w:lang w:bidi="fa-IR"/>
        </w:rPr>
        <w:t>(4).</w:t>
      </w:r>
      <w:r w:rsidR="00744A1C">
        <w:rPr>
          <w:rtl/>
          <w:lang w:bidi="fa-IR"/>
        </w:rPr>
        <w:t xml:space="preserve"> يقال : اكفهرّ الرجل ، إذا عبس. </w:t>
      </w:r>
      <w:r w:rsidR="00744A1C" w:rsidRPr="00E978C3">
        <w:rPr>
          <w:rStyle w:val="libFootnoteBoldChar"/>
          <w:rtl/>
        </w:rPr>
        <w:t>الصحاح</w:t>
      </w:r>
      <w:r w:rsidR="00744A1C">
        <w:rPr>
          <w:rtl/>
          <w:lang w:bidi="fa-IR"/>
        </w:rPr>
        <w:t xml:space="preserve"> ، ج 2 ، ص 809 ( كفهر ).</w:t>
      </w:r>
    </w:p>
    <w:p w:rsidR="00744A1C" w:rsidRDefault="00E378DD" w:rsidP="009008F7">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176 ، ح 356 ، معلّقاً عن الكليني </w:t>
      </w:r>
      <w:r w:rsidR="009008F7">
        <w:rPr>
          <w:rFonts w:hint="cs"/>
          <w:rtl/>
          <w:lang w:bidi="fa-IR"/>
        </w:rPr>
        <w:t>.</w:t>
      </w:r>
      <w:r w:rsidR="00744A1C" w:rsidRPr="00C24F9C">
        <w:rPr>
          <w:rStyle w:val="libFootnoteBoldChar"/>
          <w:rtl/>
        </w:rPr>
        <w:t>الوافي</w:t>
      </w:r>
      <w:r w:rsidR="00744A1C">
        <w:rPr>
          <w:rtl/>
          <w:lang w:bidi="fa-IR"/>
        </w:rPr>
        <w:t xml:space="preserve"> ، ج 15 ، ص 185 ، ح 14874 ؛ </w:t>
      </w:r>
      <w:r w:rsidR="00744A1C" w:rsidRPr="00C24F9C">
        <w:rPr>
          <w:rStyle w:val="libFootnoteBoldChar"/>
          <w:rtl/>
        </w:rPr>
        <w:t>الوسائل</w:t>
      </w:r>
      <w:r w:rsidR="00744A1C">
        <w:rPr>
          <w:rtl/>
          <w:lang w:bidi="fa-IR"/>
        </w:rPr>
        <w:t xml:space="preserve"> ، ج 16 ، ص 143 ، ح 21194.</w:t>
      </w:r>
      <w:r w:rsidR="009008F7">
        <w:rPr>
          <w:rFonts w:hint="cs"/>
          <w:rtl/>
          <w:lang w:bidi="fa-IR"/>
        </w:rPr>
        <w:t xml:space="preserve">      </w:t>
      </w:r>
      <w:r>
        <w:rPr>
          <w:rtl/>
          <w:lang w:bidi="fa-IR"/>
        </w:rPr>
        <w:t>(6).</w:t>
      </w:r>
      <w:r w:rsidR="00744A1C">
        <w:rPr>
          <w:rtl/>
          <w:lang w:bidi="fa-IR"/>
        </w:rPr>
        <w:t xml:space="preserve"> في </w:t>
      </w:r>
      <w:r w:rsidR="00744A1C" w:rsidRPr="009008F7">
        <w:rPr>
          <w:rtl/>
        </w:rPr>
        <w:t>الوسائل</w:t>
      </w:r>
      <w:r w:rsidR="00744A1C">
        <w:rPr>
          <w:rtl/>
          <w:lang w:bidi="fa-IR"/>
        </w:rPr>
        <w:t xml:space="preserve"> ، ح 21202 : + « إنّ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خلقان ، يحتمل الفتح والضمّ ، فتأمّل ».</w:t>
      </w:r>
    </w:p>
    <w:tbl>
      <w:tblPr>
        <w:tblStyle w:val="TableGrid"/>
        <w:bidiVisual/>
        <w:tblW w:w="0" w:type="auto"/>
        <w:tblLook w:val="04A0" w:firstRow="1" w:lastRow="0" w:firstColumn="1" w:lastColumn="0" w:noHBand="0" w:noVBand="1"/>
      </w:tblPr>
      <w:tblGrid>
        <w:gridCol w:w="4006"/>
        <w:gridCol w:w="4006"/>
      </w:tblGrid>
      <w:tr w:rsidR="009008F7" w:rsidTr="009008F7">
        <w:tc>
          <w:tcPr>
            <w:tcW w:w="4006" w:type="dxa"/>
          </w:tcPr>
          <w:p w:rsidR="009008F7" w:rsidRDefault="009008F7" w:rsidP="00E378DD">
            <w:pPr>
              <w:pStyle w:val="libFootnote0"/>
              <w:rPr>
                <w:rtl/>
                <w:lang w:bidi="fa-IR"/>
              </w:rPr>
            </w:pPr>
            <w:r>
              <w:rPr>
                <w:rtl/>
                <w:lang w:bidi="fa-IR"/>
              </w:rPr>
              <w:t>(8). في «ى» : «نصره ». وفي «بف »: + «لله ».</w:t>
            </w:r>
          </w:p>
        </w:tc>
        <w:tc>
          <w:tcPr>
            <w:tcW w:w="4006" w:type="dxa"/>
          </w:tcPr>
          <w:p w:rsidR="009008F7" w:rsidRDefault="009008F7" w:rsidP="00E378DD">
            <w:pPr>
              <w:pStyle w:val="libFootnote0"/>
              <w:rPr>
                <w:rtl/>
                <w:lang w:bidi="fa-IR"/>
              </w:rPr>
            </w:pPr>
            <w:r>
              <w:rPr>
                <w:rtl/>
                <w:lang w:bidi="fa-IR"/>
              </w:rPr>
              <w:t xml:space="preserve">(9). في </w:t>
            </w:r>
            <w:r w:rsidRPr="009008F7">
              <w:rPr>
                <w:rtl/>
              </w:rPr>
              <w:t>الوسائل</w:t>
            </w:r>
            <w:r>
              <w:rPr>
                <w:rtl/>
                <w:lang w:bidi="fa-IR"/>
              </w:rPr>
              <w:t xml:space="preserve"> ، ح 21202 : « نصره ».</w:t>
            </w:r>
          </w:p>
        </w:tc>
      </w:tr>
    </w:tbl>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177 ، ح 357 ، معلّقاً عن أحمد بن أبي عبد الله. وفي </w:t>
      </w:r>
      <w:r w:rsidR="00744A1C" w:rsidRPr="009008F7">
        <w:rPr>
          <w:rStyle w:val="libFootnoteBoldChar"/>
          <w:rtl/>
        </w:rPr>
        <w:t>ثواب الأعمال</w:t>
      </w:r>
      <w:r w:rsidR="00744A1C">
        <w:rPr>
          <w:rtl/>
          <w:lang w:bidi="fa-IR"/>
        </w:rPr>
        <w:t xml:space="preserve"> ، ص 192 ، ح 1 ؛ </w:t>
      </w:r>
      <w:r w:rsidR="00744A1C" w:rsidRPr="009008F7">
        <w:rPr>
          <w:rStyle w:val="libFootnoteBoldChar"/>
          <w:rtl/>
        </w:rPr>
        <w:t>والخصال</w:t>
      </w:r>
      <w:r w:rsidR="00744A1C">
        <w:rPr>
          <w:rtl/>
          <w:lang w:bidi="fa-IR"/>
        </w:rPr>
        <w:t xml:space="preserve"> ، ص 42 ، باب الاثنين ، ح 32 ، بسندهما عن محمّد بن يحيى العطّار ، عن محمّد بن أحمد ، عن يعقوب بن يزيد رفعه إلى أبي جعفر </w:t>
      </w:r>
      <w:r w:rsidR="0061079A" w:rsidRPr="0061079A">
        <w:rPr>
          <w:rStyle w:val="libFootnoteAlaemChar"/>
          <w:rtl/>
        </w:rPr>
        <w:t>عليه‌السلام</w:t>
      </w:r>
      <w:r w:rsidR="00D10E3C">
        <w:rPr>
          <w:rtl/>
          <w:lang w:bidi="fa-IR"/>
        </w:rPr>
        <w:t xml:space="preserve"> </w:t>
      </w:r>
      <w:r w:rsidR="009008F7">
        <w:rPr>
          <w:rFonts w:hint="cs"/>
          <w:rtl/>
          <w:lang w:bidi="fa-IR"/>
        </w:rPr>
        <w:t>.</w:t>
      </w:r>
      <w:r w:rsidR="00744A1C" w:rsidRPr="00C24F9C">
        <w:rPr>
          <w:rStyle w:val="libFootnoteBoldChar"/>
          <w:rtl/>
        </w:rPr>
        <w:t>الوافي</w:t>
      </w:r>
      <w:r w:rsidR="00744A1C">
        <w:rPr>
          <w:rtl/>
          <w:lang w:bidi="fa-IR"/>
        </w:rPr>
        <w:t xml:space="preserve"> ، ج 15 ، ص 175 ، ح 14859 ؛ </w:t>
      </w:r>
      <w:r w:rsidR="00744A1C" w:rsidRPr="00C24F9C">
        <w:rPr>
          <w:rStyle w:val="libFootnoteBoldChar"/>
          <w:rtl/>
        </w:rPr>
        <w:t>الوسائل</w:t>
      </w:r>
      <w:r w:rsidR="00744A1C">
        <w:rPr>
          <w:rtl/>
          <w:lang w:bidi="fa-IR"/>
        </w:rPr>
        <w:t xml:space="preserve"> ، ج 16 ، ص 124 ، ذيل ح 21146 ؛ وص 146 ، ح 21202.</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عَنْ غِيَاثِ بْنِ إِبْرَاهِيمَ ، قَالَ :</w:t>
      </w:r>
    </w:p>
    <w:p w:rsidR="00144FA6" w:rsidRDefault="00744A1C" w:rsidP="00744A1C">
      <w:pPr>
        <w:pStyle w:val="libNormal"/>
        <w:rPr>
          <w:rtl/>
          <w:lang w:bidi="fa-IR"/>
        </w:rPr>
      </w:pPr>
      <w:r>
        <w:rPr>
          <w:rtl/>
          <w:lang w:bidi="fa-IR"/>
        </w:rPr>
        <w:t xml:space="preserve">كَانَ أَبُو عَبْدِ اللهِ </w:t>
      </w:r>
      <w:r w:rsidR="0061079A" w:rsidRPr="0061079A">
        <w:rPr>
          <w:rStyle w:val="libAlaemChar"/>
          <w:rtl/>
        </w:rPr>
        <w:t>عليه‌السلام</w:t>
      </w:r>
      <w:r w:rsidR="00D10E3C">
        <w:rPr>
          <w:rtl/>
          <w:lang w:bidi="fa-IR"/>
        </w:rPr>
        <w:t xml:space="preserve"> </w:t>
      </w:r>
      <w:r>
        <w:rPr>
          <w:rtl/>
          <w:lang w:bidi="fa-IR"/>
        </w:rPr>
        <w:t xml:space="preserve">إِذَا مَرَّ بِجَمَاعَةٍ يَخْتَصِمُونَ </w:t>
      </w:r>
      <w:r w:rsidRPr="00D10E3C">
        <w:rPr>
          <w:rStyle w:val="libFootnotenumChar"/>
          <w:rtl/>
        </w:rPr>
        <w:t>(1)</w:t>
      </w:r>
      <w:r>
        <w:rPr>
          <w:rtl/>
          <w:lang w:bidi="fa-IR"/>
        </w:rPr>
        <w:t xml:space="preserve"> ، لَايَجُوزُهُمْ </w:t>
      </w:r>
      <w:r w:rsidRPr="00D10E3C">
        <w:rPr>
          <w:rStyle w:val="libFootnotenumChar"/>
          <w:rtl/>
        </w:rPr>
        <w:t>(2)</w:t>
      </w:r>
      <w:r>
        <w:rPr>
          <w:rtl/>
          <w:lang w:bidi="fa-IR"/>
        </w:rPr>
        <w:t xml:space="preserve"> حَتّى يَقُولَ ثَلَاثاً : « اتَّقُوا اللهَ » يَرْفَعُ </w:t>
      </w:r>
      <w:r w:rsidRPr="00D10E3C">
        <w:rPr>
          <w:rStyle w:val="libFootnotenumChar"/>
          <w:rtl/>
        </w:rPr>
        <w:t>(3)</w:t>
      </w:r>
      <w:r>
        <w:rPr>
          <w:rtl/>
          <w:lang w:bidi="fa-IR"/>
        </w:rPr>
        <w:t xml:space="preserve"> بِهَا صَوْتَهُ. </w:t>
      </w:r>
      <w:r w:rsidRPr="00D10E3C">
        <w:rPr>
          <w:rStyle w:val="libFootnotenumChar"/>
          <w:rtl/>
        </w:rPr>
        <w:t>(4)</w:t>
      </w:r>
    </w:p>
    <w:p w:rsidR="00144FA6" w:rsidRDefault="00744A1C" w:rsidP="00744A1C">
      <w:pPr>
        <w:pStyle w:val="libNormal"/>
        <w:rPr>
          <w:rtl/>
          <w:lang w:bidi="fa-IR"/>
        </w:rPr>
      </w:pPr>
      <w:r>
        <w:rPr>
          <w:rtl/>
          <w:lang w:bidi="fa-IR"/>
        </w:rPr>
        <w:t>8331 / 13. عِدَّةٌ مِنْ أَصْحَابِنَا ، عَنْ أَحْمَدَ بْنِ مُحَمَّدِ بْنِ خَالِدٍ ، عَنْ مُحَمَّدِ بْنِ عِيسى ، عَنْ مُحَمَّدِ بْنِ عَرَفَةَ ، قَالَ :</w:t>
      </w:r>
    </w:p>
    <w:p w:rsidR="00144FA6" w:rsidRDefault="00744A1C" w:rsidP="00744A1C">
      <w:pPr>
        <w:pStyle w:val="libNormal"/>
        <w:rPr>
          <w:rtl/>
          <w:lang w:bidi="fa-IR"/>
        </w:rPr>
      </w:pPr>
      <w:r>
        <w:rPr>
          <w:rtl/>
          <w:lang w:bidi="fa-IR"/>
        </w:rPr>
        <w:t xml:space="preserve">سَمِعْتُ أَبَا الْحَسَنِ الرِّضَا </w:t>
      </w:r>
      <w:r w:rsidR="0061079A" w:rsidRPr="0061079A">
        <w:rPr>
          <w:rStyle w:val="libAlaemChar"/>
          <w:rtl/>
        </w:rPr>
        <w:t>عليه‌السلام</w:t>
      </w:r>
      <w:r w:rsidR="00D10E3C">
        <w:rPr>
          <w:rtl/>
          <w:lang w:bidi="fa-IR"/>
        </w:rPr>
        <w:t xml:space="preserve"> </w:t>
      </w:r>
      <w:r>
        <w:rPr>
          <w:rtl/>
          <w:lang w:bidi="fa-IR"/>
        </w:rPr>
        <w:t xml:space="preserve">يَقُولُ : « كَانَ رَسُولُ اللهِ </w:t>
      </w:r>
      <w:r w:rsidR="005E465D" w:rsidRPr="005E465D">
        <w:rPr>
          <w:rStyle w:val="libAlaemChar"/>
          <w:rtl/>
        </w:rPr>
        <w:t>صلى‌الله‌عليه‌وآله</w:t>
      </w:r>
      <w:r w:rsidR="00D10E3C">
        <w:rPr>
          <w:rtl/>
          <w:lang w:bidi="fa-IR"/>
        </w:rPr>
        <w:t xml:space="preserve"> </w:t>
      </w:r>
      <w:r>
        <w:rPr>
          <w:rtl/>
          <w:lang w:bidi="fa-IR"/>
        </w:rPr>
        <w:t xml:space="preserve">يَقُولُ : إِذَا أُمَّتِي تَوَاكَلَتِ </w:t>
      </w:r>
      <w:r w:rsidRPr="00D10E3C">
        <w:rPr>
          <w:rStyle w:val="libFootnotenumChar"/>
          <w:rtl/>
        </w:rPr>
        <w:t>(5)</w:t>
      </w:r>
      <w:r>
        <w:rPr>
          <w:rtl/>
          <w:lang w:bidi="fa-IR"/>
        </w:rPr>
        <w:t xml:space="preserve"> الْأَمْرَ بِالْمَعْرُوفِ وَالنَّهْيَ عَنِ الْمُنْكَرِ ، فَلْيَأْذَنُوا </w:t>
      </w:r>
      <w:r w:rsidRPr="00D10E3C">
        <w:rPr>
          <w:rStyle w:val="libFootnotenumChar"/>
          <w:rtl/>
        </w:rPr>
        <w:t>(6)</w:t>
      </w:r>
      <w:r>
        <w:rPr>
          <w:rtl/>
          <w:lang w:bidi="fa-IR"/>
        </w:rPr>
        <w:t xml:space="preserve"> بِوِقَاعٍ </w:t>
      </w:r>
      <w:r w:rsidRPr="00D10E3C">
        <w:rPr>
          <w:rStyle w:val="libFootnotenumChar"/>
          <w:rtl/>
        </w:rPr>
        <w:t>(7)</w:t>
      </w:r>
      <w:r>
        <w:rPr>
          <w:rtl/>
          <w:lang w:bidi="fa-IR"/>
        </w:rPr>
        <w:t xml:space="preserve"> مِنَ اللهِ ». </w:t>
      </w:r>
      <w:r w:rsidRPr="00D10E3C">
        <w:rPr>
          <w:rStyle w:val="libFootnotenumChar"/>
          <w:rtl/>
        </w:rPr>
        <w:t>(8)</w:t>
      </w:r>
    </w:p>
    <w:p w:rsidR="00144FA6" w:rsidRDefault="00744A1C" w:rsidP="00744A1C">
      <w:pPr>
        <w:pStyle w:val="libNormal"/>
        <w:rPr>
          <w:rtl/>
          <w:lang w:bidi="fa-IR"/>
        </w:rPr>
      </w:pPr>
      <w:r>
        <w:rPr>
          <w:rtl/>
          <w:lang w:bidi="fa-IR"/>
        </w:rPr>
        <w:t>8332 / 14. عَلِيُّ بْنُ إِبْرَاهِيمَ ، عَنْ هَارُونَ بْنِ مُسْلِمٍ ، عَنْ مَسْعَدَةَ بْنِ صَدَقَةَ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النَّبِيُّ </w:t>
      </w:r>
      <w:r w:rsidRPr="00D10E3C">
        <w:rPr>
          <w:rStyle w:val="libFootnotenumChar"/>
          <w:rtl/>
        </w:rPr>
        <w:t>(9)</w:t>
      </w:r>
      <w:r>
        <w:rPr>
          <w:rtl/>
          <w:lang w:bidi="fa-IR"/>
        </w:rPr>
        <w:t xml:space="preserve"> </w:t>
      </w:r>
      <w:r w:rsidR="00CB3856" w:rsidRPr="00CB3856">
        <w:rPr>
          <w:rStyle w:val="libAlaemChar"/>
          <w:rtl/>
        </w:rPr>
        <w:t>صلى‌الله‌عليه‌وآله</w:t>
      </w:r>
      <w:r w:rsidR="00D10E3C">
        <w:rPr>
          <w:rtl/>
          <w:lang w:bidi="fa-IR"/>
        </w:rPr>
        <w:t xml:space="preserve"> </w:t>
      </w:r>
      <w:r>
        <w:rPr>
          <w:rtl/>
          <w:lang w:bidi="fa-IR"/>
        </w:rPr>
        <w:t xml:space="preserve">: كَيْفَ بِكُمْ إِذَا فَسَدَتْ </w:t>
      </w:r>
      <w:r w:rsidRPr="00D10E3C">
        <w:rPr>
          <w:rStyle w:val="libFootnotenumChar"/>
          <w:rtl/>
        </w:rPr>
        <w:t>(10)</w:t>
      </w:r>
      <w:r>
        <w:rPr>
          <w:rtl/>
          <w:lang w:bidi="fa-IR"/>
        </w:rPr>
        <w:t xml:space="preserve"> نِسَاؤُكُمْ ، وَفَسَقَ شَبَابُكُمْ </w:t>
      </w:r>
      <w:r w:rsidRPr="00D10E3C">
        <w:rPr>
          <w:rStyle w:val="libFootnotenumChar"/>
          <w:rtl/>
        </w:rPr>
        <w:t>(11)</w:t>
      </w:r>
      <w:r>
        <w:rPr>
          <w:rtl/>
          <w:lang w:bidi="fa-IR"/>
        </w:rPr>
        <w:t xml:space="preserve"> ، وَلَمْ تَأْمُرُوا بِالْمَعْرُوفِ ، وَلَمْ تَنْهَوْا عَنِ الْمُنْكَرِ؟</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9008F7" w:rsidTr="009008F7">
        <w:tc>
          <w:tcPr>
            <w:tcW w:w="4006" w:type="dxa"/>
          </w:tcPr>
          <w:p w:rsidR="009008F7" w:rsidRDefault="009008F7" w:rsidP="00D10E3C">
            <w:pPr>
              <w:pStyle w:val="libFootnote0"/>
              <w:rPr>
                <w:rtl/>
                <w:lang w:bidi="fa-IR"/>
              </w:rPr>
            </w:pPr>
            <w:r>
              <w:rPr>
                <w:rtl/>
                <w:lang w:bidi="fa-IR"/>
              </w:rPr>
              <w:t>(1). في « بح » بالتاء والياء معاً.</w:t>
            </w:r>
          </w:p>
        </w:tc>
        <w:tc>
          <w:tcPr>
            <w:tcW w:w="4006" w:type="dxa"/>
          </w:tcPr>
          <w:p w:rsidR="009008F7" w:rsidRDefault="009008F7" w:rsidP="00D10E3C">
            <w:pPr>
              <w:pStyle w:val="libFootnote0"/>
              <w:rPr>
                <w:rtl/>
                <w:lang w:bidi="fa-IR"/>
              </w:rPr>
            </w:pPr>
            <w:r>
              <w:rPr>
                <w:rtl/>
                <w:lang w:bidi="fa-IR"/>
              </w:rPr>
              <w:t>(2). في « ى » : « لا يجوز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9008F7">
        <w:rPr>
          <w:rtl/>
        </w:rPr>
        <w:t>الوافي</w:t>
      </w:r>
      <w:r w:rsidR="00744A1C">
        <w:rPr>
          <w:rtl/>
          <w:lang w:bidi="fa-IR"/>
        </w:rPr>
        <w:t xml:space="preserve"> : « ويرفع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180 ، ح 370 ، معلّقاً عن أحمد بن محمّد بن عيسى. </w:t>
      </w:r>
      <w:r w:rsidR="00744A1C" w:rsidRPr="0061079A">
        <w:rPr>
          <w:rStyle w:val="libFootnoteBoldChar"/>
          <w:rtl/>
        </w:rPr>
        <w:t>الكافي</w:t>
      </w:r>
      <w:r w:rsidR="00744A1C">
        <w:rPr>
          <w:rtl/>
          <w:lang w:bidi="fa-IR"/>
        </w:rPr>
        <w:t xml:space="preserve"> ، كتاب الجهاد ، باب إنكار المنكر بالقلب ، ح 8338 ، بسنده عن غياث بن إبراهيم </w:t>
      </w:r>
      <w:r w:rsidR="009008F7">
        <w:rPr>
          <w:rFonts w:hint="cs"/>
          <w:rtl/>
          <w:lang w:bidi="fa-IR"/>
        </w:rPr>
        <w:t>.</w:t>
      </w:r>
      <w:r w:rsidR="00744A1C" w:rsidRPr="00C24F9C">
        <w:rPr>
          <w:rStyle w:val="libFootnoteBoldChar"/>
          <w:rtl/>
        </w:rPr>
        <w:t>الوافي</w:t>
      </w:r>
      <w:r w:rsidR="00744A1C">
        <w:rPr>
          <w:rtl/>
          <w:lang w:bidi="fa-IR"/>
        </w:rPr>
        <w:t xml:space="preserve"> ، ج 15 ، ص 184 ، ح 14872 ؛ </w:t>
      </w:r>
      <w:r w:rsidR="00744A1C" w:rsidRPr="00C24F9C">
        <w:rPr>
          <w:rStyle w:val="libFootnoteBoldChar"/>
          <w:rtl/>
        </w:rPr>
        <w:t>الوسائل</w:t>
      </w:r>
      <w:r w:rsidR="00744A1C">
        <w:rPr>
          <w:rtl/>
          <w:lang w:bidi="fa-IR"/>
        </w:rPr>
        <w:t xml:space="preserve"> ، ج 16 ، ص 118 ، ح 21129.</w:t>
      </w:r>
    </w:p>
    <w:p w:rsidR="00744A1C" w:rsidRDefault="00E378DD" w:rsidP="00E378DD">
      <w:pPr>
        <w:pStyle w:val="libFootnote0"/>
        <w:rPr>
          <w:lang w:bidi="fa-IR"/>
        </w:rPr>
      </w:pPr>
      <w:r>
        <w:rPr>
          <w:rtl/>
          <w:lang w:bidi="fa-IR"/>
        </w:rPr>
        <w:t>(5).</w:t>
      </w:r>
      <w:r w:rsidR="00744A1C">
        <w:rPr>
          <w:rtl/>
          <w:lang w:bidi="fa-IR"/>
        </w:rPr>
        <w:t xml:space="preserve"> في « بس » : « تواكلوا ». وفي ثواب الأعمال : « تركت ا</w:t>
      </w:r>
      <w:r w:rsidR="009008F7">
        <w:rPr>
          <w:rFonts w:hint="cs"/>
          <w:rtl/>
          <w:lang w:bidi="fa-IR"/>
        </w:rPr>
        <w:t>ُ</w:t>
      </w:r>
      <w:r w:rsidR="00744A1C">
        <w:rPr>
          <w:rtl/>
          <w:lang w:bidi="fa-IR"/>
        </w:rPr>
        <w:t>مّتي » بدل « ا</w:t>
      </w:r>
      <w:r w:rsidR="009008F7">
        <w:rPr>
          <w:rFonts w:hint="cs"/>
          <w:rtl/>
          <w:lang w:bidi="fa-IR"/>
        </w:rPr>
        <w:t>ُ</w:t>
      </w:r>
      <w:r w:rsidR="00744A1C">
        <w:rPr>
          <w:rtl/>
          <w:lang w:bidi="fa-IR"/>
        </w:rPr>
        <w:t xml:space="preserve">مّتي تواكلت ». وفي </w:t>
      </w:r>
      <w:r w:rsidR="00744A1C" w:rsidRPr="00C24F9C">
        <w:rPr>
          <w:rStyle w:val="libFootnoteBoldChar"/>
          <w:rtl/>
        </w:rPr>
        <w:t>الوافي</w:t>
      </w:r>
      <w:r w:rsidR="00744A1C">
        <w:rPr>
          <w:rtl/>
          <w:lang w:bidi="fa-IR"/>
        </w:rPr>
        <w:t xml:space="preserve"> : « تواكلت ، أي</w:t>
      </w:r>
      <w:r w:rsidR="009008F7">
        <w:rPr>
          <w:rFonts w:hint="cs"/>
          <w:rtl/>
          <w:lang w:bidi="fa-IR"/>
        </w:rPr>
        <w:t xml:space="preserve"> </w:t>
      </w:r>
      <w:r w:rsidR="00744A1C">
        <w:rPr>
          <w:rtl/>
          <w:lang w:bidi="fa-IR"/>
        </w:rPr>
        <w:t xml:space="preserve">‌اتّكل كلّ واحد منهم على الآخر ، ووكل الأمر إليه ». وراجع أيضاً : </w:t>
      </w:r>
      <w:r w:rsidR="00744A1C" w:rsidRPr="00877682">
        <w:rPr>
          <w:rStyle w:val="libFootnoteBoldChar"/>
          <w:rtl/>
        </w:rPr>
        <w:t>لسان العرب</w:t>
      </w:r>
      <w:r w:rsidR="00744A1C">
        <w:rPr>
          <w:rtl/>
          <w:lang w:bidi="fa-IR"/>
        </w:rPr>
        <w:t xml:space="preserve"> ، ج 11 ، ص 735 ( وكل ).</w:t>
      </w:r>
    </w:p>
    <w:p w:rsidR="00744A1C" w:rsidRDefault="00E378DD" w:rsidP="00E378DD">
      <w:pPr>
        <w:pStyle w:val="libFootnote0"/>
        <w:rPr>
          <w:lang w:bidi="fa-IR"/>
        </w:rPr>
      </w:pPr>
      <w:r>
        <w:rPr>
          <w:rtl/>
          <w:lang w:bidi="fa-IR"/>
        </w:rPr>
        <w:t>(6).</w:t>
      </w:r>
      <w:r w:rsidR="00744A1C">
        <w:rPr>
          <w:rtl/>
          <w:lang w:bidi="fa-IR"/>
        </w:rPr>
        <w:t xml:space="preserve"> في هامش </w:t>
      </w:r>
      <w:r w:rsidR="00744A1C" w:rsidRPr="00C24F9C">
        <w:rPr>
          <w:rStyle w:val="libFootnoteBoldChar"/>
          <w:rtl/>
        </w:rPr>
        <w:t>الوافي</w:t>
      </w:r>
      <w:r w:rsidR="00744A1C">
        <w:rPr>
          <w:rtl/>
          <w:lang w:bidi="fa-IR"/>
        </w:rPr>
        <w:t xml:space="preserve"> عن ابن المصنّف : « فليأذنوا ؛ يعني فليكونوا على علم. يقال : أذن بالشي‌ء - من باب سمع - إذناً بالكسر وبفتحتين ، وأذاناً وإذانة ، إذا علم به ».</w:t>
      </w:r>
    </w:p>
    <w:p w:rsidR="00744A1C" w:rsidRDefault="00E378DD" w:rsidP="00E378DD">
      <w:pPr>
        <w:pStyle w:val="libFootnote0"/>
        <w:rPr>
          <w:lang w:bidi="fa-IR"/>
        </w:rPr>
      </w:pPr>
      <w:r>
        <w:rPr>
          <w:rtl/>
          <w:lang w:bidi="fa-IR"/>
        </w:rPr>
        <w:t>(7).</w:t>
      </w:r>
      <w:r w:rsidR="00744A1C">
        <w:rPr>
          <w:rtl/>
          <w:lang w:bidi="fa-IR"/>
        </w:rPr>
        <w:t xml:space="preserve"> الوِقاع ، جمع الواقعة ، وهي النازلة الشديدة ، أو الحرب. راجع : </w:t>
      </w:r>
      <w:r w:rsidR="00744A1C" w:rsidRPr="008A57EB">
        <w:rPr>
          <w:rStyle w:val="libFootnoteBoldChar"/>
          <w:rtl/>
        </w:rPr>
        <w:t>القاموس المحيط</w:t>
      </w:r>
      <w:r w:rsidR="00744A1C">
        <w:rPr>
          <w:rtl/>
          <w:lang w:bidi="fa-IR"/>
        </w:rPr>
        <w:t xml:space="preserve"> ، ج 2 ، ص 1033 ( وقع ) ؛ </w:t>
      </w:r>
      <w:r w:rsidR="00744A1C" w:rsidRPr="00C24F9C">
        <w:rPr>
          <w:rStyle w:val="libFootnoteBoldChar"/>
          <w:rtl/>
        </w:rPr>
        <w:t>الوافي</w:t>
      </w:r>
      <w:r w:rsidR="00744A1C">
        <w:rPr>
          <w:rtl/>
          <w:lang w:bidi="fa-IR"/>
        </w:rPr>
        <w:t xml:space="preserve"> ، ج 15 ، ص 176.</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177 ، ح 358 ، معلّقاً عن أحمد بن محمّد بن خالد. </w:t>
      </w:r>
      <w:r w:rsidR="00744A1C" w:rsidRPr="009008F7">
        <w:rPr>
          <w:rStyle w:val="libFootnoteBoldChar"/>
          <w:rtl/>
        </w:rPr>
        <w:t>ثواب الأعمال</w:t>
      </w:r>
      <w:r w:rsidR="00744A1C">
        <w:rPr>
          <w:rtl/>
          <w:lang w:bidi="fa-IR"/>
        </w:rPr>
        <w:t xml:space="preserve"> ، ص 304 ، ح 1 ، بسنده عن محمّد بن عيسى </w:t>
      </w:r>
      <w:r w:rsidR="009008F7">
        <w:rPr>
          <w:rFonts w:hint="cs"/>
          <w:rtl/>
          <w:lang w:bidi="fa-IR"/>
        </w:rPr>
        <w:t>.</w:t>
      </w:r>
      <w:r w:rsidR="00744A1C" w:rsidRPr="00C24F9C">
        <w:rPr>
          <w:rStyle w:val="libFootnoteBoldChar"/>
          <w:rtl/>
        </w:rPr>
        <w:t>الوافي</w:t>
      </w:r>
      <w:r w:rsidR="00744A1C">
        <w:rPr>
          <w:rtl/>
          <w:lang w:bidi="fa-IR"/>
        </w:rPr>
        <w:t xml:space="preserve"> ، ج 15 ، ص 175 ، ح 14860 ؛ </w:t>
      </w:r>
      <w:r w:rsidR="00744A1C" w:rsidRPr="00C24F9C">
        <w:rPr>
          <w:rStyle w:val="libFootnoteBoldChar"/>
          <w:rtl/>
        </w:rPr>
        <w:t>الوسائل</w:t>
      </w:r>
      <w:r w:rsidR="00744A1C">
        <w:rPr>
          <w:rtl/>
          <w:lang w:bidi="fa-IR"/>
        </w:rPr>
        <w:t xml:space="preserve"> ، ج 16 ، ص 118 ، ح 21131.</w:t>
      </w:r>
    </w:p>
    <w:tbl>
      <w:tblPr>
        <w:tblStyle w:val="TableGrid"/>
        <w:bidiVisual/>
        <w:tblW w:w="0" w:type="auto"/>
        <w:tblLook w:val="04A0" w:firstRow="1" w:lastRow="0" w:firstColumn="1" w:lastColumn="0" w:noHBand="0" w:noVBand="1"/>
      </w:tblPr>
      <w:tblGrid>
        <w:gridCol w:w="4006"/>
        <w:gridCol w:w="4006"/>
      </w:tblGrid>
      <w:tr w:rsidR="009008F7" w:rsidTr="009008F7">
        <w:tc>
          <w:tcPr>
            <w:tcW w:w="4006" w:type="dxa"/>
          </w:tcPr>
          <w:p w:rsidR="009008F7" w:rsidRDefault="009008F7" w:rsidP="00E378DD">
            <w:pPr>
              <w:pStyle w:val="libFootnote0"/>
              <w:rPr>
                <w:rtl/>
                <w:lang w:bidi="fa-IR"/>
              </w:rPr>
            </w:pPr>
            <w:r>
              <w:rPr>
                <w:rtl/>
                <w:lang w:bidi="fa-IR"/>
              </w:rPr>
              <w:t>(9). في « جن » : « رسول الله ».</w:t>
            </w:r>
          </w:p>
        </w:tc>
        <w:tc>
          <w:tcPr>
            <w:tcW w:w="4006" w:type="dxa"/>
          </w:tcPr>
          <w:p w:rsidR="009008F7" w:rsidRDefault="009008F7" w:rsidP="00E378DD">
            <w:pPr>
              <w:pStyle w:val="libFootnote0"/>
              <w:rPr>
                <w:rtl/>
                <w:lang w:bidi="fa-IR"/>
              </w:rPr>
            </w:pPr>
            <w:r>
              <w:rPr>
                <w:rtl/>
                <w:lang w:bidi="fa-IR"/>
              </w:rPr>
              <w:t>(10). في « بث » : « فسدن ».</w:t>
            </w:r>
          </w:p>
        </w:tc>
      </w:tr>
    </w:tbl>
    <w:p w:rsidR="00744A1C" w:rsidRDefault="00E378DD" w:rsidP="00E378DD">
      <w:pPr>
        <w:pStyle w:val="libFootnote0"/>
        <w:rPr>
          <w:lang w:bidi="fa-IR"/>
        </w:rPr>
      </w:pPr>
      <w:r>
        <w:rPr>
          <w:rtl/>
          <w:lang w:bidi="fa-IR"/>
        </w:rPr>
        <w:t>(11).</w:t>
      </w:r>
      <w:r w:rsidR="00744A1C">
        <w:rPr>
          <w:rtl/>
          <w:lang w:bidi="fa-IR"/>
        </w:rPr>
        <w:t xml:space="preserve"> في حاشية « ى » </w:t>
      </w:r>
      <w:r w:rsidR="00744A1C" w:rsidRPr="009008F7">
        <w:rPr>
          <w:rtl/>
        </w:rPr>
        <w:t>والوافي وقرب الإسناد</w:t>
      </w:r>
      <w:r w:rsidR="00744A1C">
        <w:rPr>
          <w:rtl/>
          <w:lang w:bidi="fa-IR"/>
        </w:rPr>
        <w:t xml:space="preserve"> والتحف : « شبّانكم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فَقِيلَ لَهُ : وَيَكُونُ ذلِكَ يَا رَسُولَ اللهِ؟</w:t>
      </w:r>
    </w:p>
    <w:p w:rsidR="00744A1C" w:rsidRDefault="00744A1C" w:rsidP="00744A1C">
      <w:pPr>
        <w:pStyle w:val="libNormal"/>
        <w:rPr>
          <w:lang w:bidi="fa-IR"/>
        </w:rPr>
      </w:pPr>
      <w:r>
        <w:rPr>
          <w:rtl/>
          <w:lang w:bidi="fa-IR"/>
        </w:rPr>
        <w:t xml:space="preserve">فَقَالَ </w:t>
      </w:r>
      <w:r w:rsidRPr="00D10E3C">
        <w:rPr>
          <w:rStyle w:val="libFootnotenumChar"/>
          <w:rtl/>
        </w:rPr>
        <w:t>(1)</w:t>
      </w:r>
      <w:r>
        <w:rPr>
          <w:rtl/>
          <w:lang w:bidi="fa-IR"/>
        </w:rPr>
        <w:t xml:space="preserve"> : نَعَمْ ، وَشَرٌّ مِنْ ذلِكَ ، كَيْفَ </w:t>
      </w:r>
      <w:r w:rsidRPr="00D10E3C">
        <w:rPr>
          <w:rStyle w:val="libFootnotenumChar"/>
          <w:rtl/>
        </w:rPr>
        <w:t>(2)</w:t>
      </w:r>
      <w:r>
        <w:rPr>
          <w:rtl/>
          <w:lang w:bidi="fa-IR"/>
        </w:rPr>
        <w:t xml:space="preserve"> بِكُمْ إِذَا أَمَرْتُمْ بِالْمُنْكَرِ ، وَنَهَيْتُمْ عَنِ الْمَعْرُوفِ؟</w:t>
      </w:r>
    </w:p>
    <w:p w:rsidR="00744A1C" w:rsidRDefault="00744A1C" w:rsidP="00744A1C">
      <w:pPr>
        <w:pStyle w:val="libNormal"/>
        <w:rPr>
          <w:lang w:bidi="fa-IR"/>
        </w:rPr>
      </w:pPr>
      <w:r>
        <w:rPr>
          <w:rtl/>
          <w:lang w:bidi="fa-IR"/>
        </w:rPr>
        <w:t xml:space="preserve">فَقِيلَ لَهُ </w:t>
      </w:r>
      <w:r w:rsidRPr="00D10E3C">
        <w:rPr>
          <w:rStyle w:val="libFootnotenumChar"/>
          <w:rtl/>
        </w:rPr>
        <w:t>(3)</w:t>
      </w:r>
      <w:r>
        <w:rPr>
          <w:rtl/>
          <w:lang w:bidi="fa-IR"/>
        </w:rPr>
        <w:t xml:space="preserve"> : يَا رَسُولَ اللهِ وَيَكُونُ ذلِكَ؟</w:t>
      </w:r>
    </w:p>
    <w:p w:rsidR="00144FA6" w:rsidRDefault="00744A1C" w:rsidP="00744A1C">
      <w:pPr>
        <w:pStyle w:val="libNormal"/>
        <w:rPr>
          <w:rtl/>
          <w:lang w:bidi="fa-IR"/>
        </w:rPr>
      </w:pPr>
      <w:r>
        <w:rPr>
          <w:rtl/>
          <w:lang w:bidi="fa-IR"/>
        </w:rPr>
        <w:t xml:space="preserve">قَالَ : نَعَمْ ، وَشَرٌّ مِنْ ذلِكَ ، كَيْفَ بِكُمْ إِذَا رَأَيْتُمُ الْمَعْرُوفَ مُنْكَراً ، وَالْمُنْكَرَ مَعْرُوفاً؟ ». </w:t>
      </w:r>
      <w:r w:rsidRPr="00D10E3C">
        <w:rPr>
          <w:rStyle w:val="libFootnotenumChar"/>
          <w:rtl/>
        </w:rPr>
        <w:t>(4)</w:t>
      </w:r>
    </w:p>
    <w:p w:rsidR="00144FA6" w:rsidRDefault="00744A1C" w:rsidP="00744A1C">
      <w:pPr>
        <w:pStyle w:val="libNormal"/>
        <w:rPr>
          <w:rtl/>
          <w:lang w:bidi="fa-IR"/>
        </w:rPr>
      </w:pPr>
      <w:r>
        <w:rPr>
          <w:rtl/>
          <w:lang w:bidi="fa-IR"/>
        </w:rPr>
        <w:t>8333 / 15. وَبِهذَا الْإِسْنَادِ ، قَالَ :</w:t>
      </w:r>
    </w:p>
    <w:p w:rsidR="00744A1C" w:rsidRDefault="00744A1C" w:rsidP="00744A1C">
      <w:pPr>
        <w:pStyle w:val="libNormal"/>
        <w:rPr>
          <w:lang w:bidi="fa-IR"/>
        </w:rPr>
      </w:pPr>
      <w:r>
        <w:rPr>
          <w:rtl/>
          <w:lang w:bidi="fa-IR"/>
        </w:rPr>
        <w:t xml:space="preserve">« قَالَ النَّبِيُّ </w:t>
      </w:r>
      <w:r w:rsidR="002F3FF5" w:rsidRPr="002F3FF5">
        <w:rPr>
          <w:rStyle w:val="libAlaemChar"/>
          <w:rtl/>
        </w:rPr>
        <w:t>صلى‌الله‌عليه‌وآله</w:t>
      </w:r>
      <w:r w:rsidR="00D10E3C">
        <w:rPr>
          <w:rtl/>
          <w:lang w:bidi="fa-IR"/>
        </w:rPr>
        <w:t xml:space="preserve"> </w:t>
      </w:r>
      <w:r>
        <w:rPr>
          <w:rtl/>
          <w:lang w:bidi="fa-IR"/>
        </w:rPr>
        <w:t xml:space="preserve">: إِنَّ اللهَ - عَزَّ وَجَلَّ - لَيُبْغِضُ الْمُؤْمِنَ الضَّعِيفَ </w:t>
      </w:r>
      <w:r w:rsidRPr="00D10E3C">
        <w:rPr>
          <w:rStyle w:val="libFootnotenumChar"/>
          <w:rtl/>
        </w:rPr>
        <w:t>(5)</w:t>
      </w:r>
      <w:r>
        <w:rPr>
          <w:rtl/>
          <w:lang w:bidi="fa-IR"/>
        </w:rPr>
        <w:t xml:space="preserve"> الَّذِي لَادِينَ </w:t>
      </w:r>
      <w:r w:rsidRPr="00D10E3C">
        <w:rPr>
          <w:rStyle w:val="libFootnotenumChar"/>
          <w:rtl/>
        </w:rPr>
        <w:t>(6)</w:t>
      </w:r>
      <w:r>
        <w:rPr>
          <w:rtl/>
          <w:lang w:bidi="fa-IR"/>
        </w:rPr>
        <w:t xml:space="preserve"> لَهُ.</w:t>
      </w:r>
    </w:p>
    <w:p w:rsidR="00144FA6" w:rsidRDefault="00744A1C" w:rsidP="00744A1C">
      <w:pPr>
        <w:pStyle w:val="libNormal"/>
        <w:rPr>
          <w:rtl/>
          <w:lang w:bidi="fa-IR"/>
        </w:rPr>
      </w:pPr>
      <w:r>
        <w:rPr>
          <w:rtl/>
          <w:lang w:bidi="fa-IR"/>
        </w:rPr>
        <w:t xml:space="preserve">فَقِيلَ لَهُ </w:t>
      </w:r>
      <w:r w:rsidRPr="00D10E3C">
        <w:rPr>
          <w:rStyle w:val="libFootnotenumChar"/>
          <w:rtl/>
        </w:rPr>
        <w:t>(7)</w:t>
      </w:r>
      <w:r>
        <w:rPr>
          <w:rtl/>
          <w:lang w:bidi="fa-IR"/>
        </w:rPr>
        <w:t xml:space="preserve"> : وَمَا الْمُؤْمِنُ </w:t>
      </w:r>
      <w:r w:rsidRPr="00D10E3C">
        <w:rPr>
          <w:rStyle w:val="libFootnotenumChar"/>
          <w:rtl/>
        </w:rPr>
        <w:t>(8)</w:t>
      </w:r>
      <w:r>
        <w:rPr>
          <w:rtl/>
          <w:lang w:bidi="fa-IR"/>
        </w:rPr>
        <w:t xml:space="preserve"> الَّذِي لَادِينَ لَهُ؟ قَالَ : الَّذِي لَايَنْهى عَنِ الْمُنْكَرِ ». </w:t>
      </w:r>
      <w:r w:rsidRPr="00D10E3C">
        <w:rPr>
          <w:rStyle w:val="libFootnotenumChar"/>
          <w:rtl/>
        </w:rPr>
        <w:t>(9)</w:t>
      </w:r>
    </w:p>
    <w:p w:rsidR="00144FA6" w:rsidRDefault="00744A1C" w:rsidP="00744A1C">
      <w:pPr>
        <w:pStyle w:val="libNormal"/>
        <w:rPr>
          <w:rtl/>
          <w:lang w:bidi="fa-IR"/>
        </w:rPr>
      </w:pPr>
      <w:r>
        <w:rPr>
          <w:rtl/>
          <w:lang w:bidi="fa-IR"/>
        </w:rPr>
        <w:t>8334 / 16. وَبِهذَا الْإِسْنَادِ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w:t>
      </w:r>
      <w:r w:rsidRPr="00D10E3C">
        <w:rPr>
          <w:rStyle w:val="libFootnotenumChar"/>
          <w:rtl/>
        </w:rPr>
        <w:t>(10)</w:t>
      </w:r>
      <w:r>
        <w:rPr>
          <w:rtl/>
          <w:lang w:bidi="fa-IR"/>
        </w:rPr>
        <w:t xml:space="preserve"> ، وَسُئِلَ </w:t>
      </w:r>
      <w:r w:rsidRPr="00D10E3C">
        <w:rPr>
          <w:rStyle w:val="libFootnotenumChar"/>
          <w:rtl/>
        </w:rPr>
        <w:t>(11)</w:t>
      </w:r>
      <w:r>
        <w:rPr>
          <w:rtl/>
          <w:lang w:bidi="fa-IR"/>
        </w:rPr>
        <w:t xml:space="preserve"> عَنِ الْأَمْرِ بِالْمَعْرُوفِ ، وَالنَّهْيِ عَنِ الْمُنْكَرِ : أَ</w:t>
      </w:r>
      <w:r w:rsidR="007D61A8">
        <w:rPr>
          <w:rFonts w:hint="cs"/>
          <w:rtl/>
          <w:lang w:bidi="fa-IR"/>
        </w:rPr>
        <w:t xml:space="preserve"> </w:t>
      </w:r>
      <w:r>
        <w:rPr>
          <w:rtl/>
          <w:lang w:bidi="fa-IR"/>
        </w:rPr>
        <w:t xml:space="preserve">وَاجِبٌ </w:t>
      </w:r>
      <w:r w:rsidRPr="00D10E3C">
        <w:rPr>
          <w:rStyle w:val="libFootnotenumChar"/>
          <w:rtl/>
        </w:rPr>
        <w:t>(12)</w:t>
      </w:r>
      <w:r>
        <w:rPr>
          <w:rtl/>
          <w:lang w:bidi="fa-IR"/>
        </w:rPr>
        <w:t xml:space="preserve"> هُوَ عَلَى الْأُمَّةِ جَمِيعاً؟ فَقَالَ : « لَا » فَقِيلَ لَهُ </w:t>
      </w:r>
      <w:r w:rsidRPr="00D10E3C">
        <w:rPr>
          <w:rStyle w:val="libFootnotenumChar"/>
          <w:rtl/>
        </w:rPr>
        <w:t>(13)</w:t>
      </w:r>
      <w:r>
        <w:rPr>
          <w:rtl/>
          <w:lang w:bidi="fa-IR"/>
        </w:rPr>
        <w:t xml:space="preserve"> : وَلِمَ؟</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7D61A8" w:rsidTr="007D61A8">
        <w:tc>
          <w:tcPr>
            <w:tcW w:w="4006" w:type="dxa"/>
          </w:tcPr>
          <w:p w:rsidR="007D61A8" w:rsidRDefault="007D61A8" w:rsidP="00E378DD">
            <w:pPr>
              <w:pStyle w:val="libFootnote0"/>
              <w:rPr>
                <w:rtl/>
                <w:lang w:bidi="fa-IR"/>
              </w:rPr>
            </w:pPr>
            <w:r>
              <w:rPr>
                <w:rtl/>
                <w:lang w:bidi="fa-IR"/>
              </w:rPr>
              <w:t xml:space="preserve">(1). في « بس » </w:t>
            </w:r>
            <w:r w:rsidRPr="007D61A8">
              <w:rPr>
                <w:rtl/>
              </w:rPr>
              <w:t>وقرب الإسناد</w:t>
            </w:r>
            <w:r>
              <w:rPr>
                <w:rtl/>
                <w:lang w:bidi="fa-IR"/>
              </w:rPr>
              <w:t xml:space="preserve"> والتحف : « قال ».</w:t>
            </w:r>
          </w:p>
        </w:tc>
        <w:tc>
          <w:tcPr>
            <w:tcW w:w="4006" w:type="dxa"/>
          </w:tcPr>
          <w:p w:rsidR="007D61A8" w:rsidRDefault="007D61A8" w:rsidP="00E378DD">
            <w:pPr>
              <w:pStyle w:val="libFootnote0"/>
              <w:rPr>
                <w:rtl/>
                <w:lang w:bidi="fa-IR"/>
              </w:rPr>
            </w:pPr>
            <w:r>
              <w:rPr>
                <w:rtl/>
                <w:lang w:bidi="fa-IR"/>
              </w:rPr>
              <w:t xml:space="preserve">(2). في </w:t>
            </w:r>
            <w:r w:rsidRPr="007D61A8">
              <w:rPr>
                <w:rtl/>
              </w:rPr>
              <w:t>الوافي</w:t>
            </w:r>
            <w:r>
              <w:rPr>
                <w:rtl/>
                <w:lang w:bidi="fa-IR"/>
              </w:rPr>
              <w:t xml:space="preserve"> : « فكيف ».</w:t>
            </w:r>
          </w:p>
        </w:tc>
      </w:tr>
    </w:tbl>
    <w:p w:rsidR="00744A1C" w:rsidRDefault="00E378DD" w:rsidP="00E378DD">
      <w:pPr>
        <w:pStyle w:val="libFootnote0"/>
        <w:rPr>
          <w:lang w:bidi="fa-IR"/>
        </w:rPr>
      </w:pPr>
      <w:r>
        <w:rPr>
          <w:rtl/>
          <w:lang w:bidi="fa-IR"/>
        </w:rPr>
        <w:t>(3).</w:t>
      </w:r>
      <w:r w:rsidR="00744A1C">
        <w:rPr>
          <w:rtl/>
          <w:lang w:bidi="fa-IR"/>
        </w:rPr>
        <w:t xml:space="preserve"> في « بث » </w:t>
      </w:r>
      <w:r w:rsidR="00744A1C" w:rsidRPr="007D61A8">
        <w:rPr>
          <w:rtl/>
        </w:rPr>
        <w:t>وقرب الإسناد</w:t>
      </w:r>
      <w:r w:rsidR="00744A1C">
        <w:rPr>
          <w:rtl/>
          <w:lang w:bidi="fa-IR"/>
        </w:rPr>
        <w:t xml:space="preserve"> والتحف : - « له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177 ، ح 359 ، معلّقاً عن الكليني. </w:t>
      </w:r>
      <w:r w:rsidR="00744A1C" w:rsidRPr="00877682">
        <w:rPr>
          <w:rStyle w:val="libFootnoteBoldChar"/>
          <w:rtl/>
        </w:rPr>
        <w:t>قرب الإسناد</w:t>
      </w:r>
      <w:r w:rsidR="00744A1C">
        <w:rPr>
          <w:rtl/>
          <w:lang w:bidi="fa-IR"/>
        </w:rPr>
        <w:t xml:space="preserve"> ، ص 54 ، ح 178 ، عن هارون بن مسلم ، عن مسعدة بن صدقة ، عن جعفر ، عن أبيه </w:t>
      </w:r>
      <w:r w:rsidR="00F112A7" w:rsidRPr="00CE5A92">
        <w:rPr>
          <w:rStyle w:val="libFootnoteAlaemChar"/>
          <w:rtl/>
        </w:rPr>
        <w:t>عليهما‌السلام</w:t>
      </w:r>
      <w:r w:rsidR="00744A1C">
        <w:rPr>
          <w:rtl/>
          <w:lang w:bidi="fa-IR"/>
        </w:rPr>
        <w:t xml:space="preserve">عن النبيّ </w:t>
      </w:r>
      <w:r w:rsidR="0061079A" w:rsidRPr="007D61A8">
        <w:rPr>
          <w:rStyle w:val="libFootnoteAlaemChar"/>
          <w:rtl/>
        </w:rPr>
        <w:t>صلى‌الله‌عليه‌وآله</w:t>
      </w:r>
      <w:r w:rsidR="00744A1C">
        <w:rPr>
          <w:rtl/>
          <w:lang w:bidi="fa-IR"/>
        </w:rPr>
        <w:t xml:space="preserve"> . </w:t>
      </w:r>
      <w:r w:rsidR="00744A1C" w:rsidRPr="007D61A8">
        <w:rPr>
          <w:rStyle w:val="libFootnoteBoldChar"/>
          <w:rtl/>
        </w:rPr>
        <w:t>تحف العقول</w:t>
      </w:r>
      <w:r w:rsidR="00744A1C">
        <w:rPr>
          <w:rtl/>
          <w:lang w:bidi="fa-IR"/>
        </w:rPr>
        <w:t xml:space="preserve"> ، ص 49 ، عن النبيّ </w:t>
      </w:r>
      <w:r w:rsidR="00024D6D" w:rsidRPr="00024D6D">
        <w:rPr>
          <w:rStyle w:val="libFootnoteAlaemChar"/>
          <w:rtl/>
        </w:rPr>
        <w:t>صلى‌الله‌عليه‌وآله</w:t>
      </w:r>
      <w:r w:rsidR="00D10E3C">
        <w:rPr>
          <w:rtl/>
          <w:lang w:bidi="fa-IR"/>
        </w:rPr>
        <w:t xml:space="preserve"> </w:t>
      </w:r>
      <w:r w:rsidR="007D61A8">
        <w:rPr>
          <w:rFonts w:hint="cs"/>
          <w:rtl/>
          <w:lang w:bidi="fa-IR"/>
        </w:rPr>
        <w:t>.</w:t>
      </w:r>
      <w:r w:rsidR="00744A1C" w:rsidRPr="00C24F9C">
        <w:rPr>
          <w:rStyle w:val="libFootnoteBoldChar"/>
          <w:rtl/>
        </w:rPr>
        <w:t>الوافي</w:t>
      </w:r>
      <w:r w:rsidR="00744A1C">
        <w:rPr>
          <w:rtl/>
          <w:lang w:bidi="fa-IR"/>
        </w:rPr>
        <w:t xml:space="preserve"> ، ج 15 ، ص 176 ، ح 14861 ؛ </w:t>
      </w:r>
      <w:r w:rsidR="00744A1C" w:rsidRPr="00C24F9C">
        <w:rPr>
          <w:rStyle w:val="libFootnoteBoldChar"/>
          <w:rtl/>
        </w:rPr>
        <w:t>الوسائل</w:t>
      </w:r>
      <w:r w:rsidR="00744A1C">
        <w:rPr>
          <w:rtl/>
          <w:lang w:bidi="fa-IR"/>
        </w:rPr>
        <w:t xml:space="preserve"> ، ج 16 ، ص 122 ، ح 21138.</w:t>
      </w:r>
    </w:p>
    <w:tbl>
      <w:tblPr>
        <w:tblStyle w:val="TableGrid"/>
        <w:bidiVisual/>
        <w:tblW w:w="0" w:type="auto"/>
        <w:tblLook w:val="04A0" w:firstRow="1" w:lastRow="0" w:firstColumn="1" w:lastColumn="0" w:noHBand="0" w:noVBand="1"/>
      </w:tblPr>
      <w:tblGrid>
        <w:gridCol w:w="4006"/>
        <w:gridCol w:w="4006"/>
      </w:tblGrid>
      <w:tr w:rsidR="007D61A8" w:rsidTr="007D61A8">
        <w:tc>
          <w:tcPr>
            <w:tcW w:w="4006" w:type="dxa"/>
          </w:tcPr>
          <w:p w:rsidR="007D61A8" w:rsidRDefault="007D61A8" w:rsidP="00E378DD">
            <w:pPr>
              <w:pStyle w:val="libFootnote0"/>
              <w:rPr>
                <w:rtl/>
                <w:lang w:bidi="fa-IR"/>
              </w:rPr>
            </w:pPr>
            <w:r>
              <w:rPr>
                <w:rtl/>
                <w:lang w:bidi="fa-IR"/>
              </w:rPr>
              <w:t xml:space="preserve">(5). في </w:t>
            </w:r>
            <w:r w:rsidRPr="00C24F9C">
              <w:rPr>
                <w:rStyle w:val="libFootnoteBoldChar"/>
                <w:rtl/>
              </w:rPr>
              <w:t>الوافي</w:t>
            </w:r>
            <w:r>
              <w:rPr>
                <w:rtl/>
                <w:lang w:bidi="fa-IR"/>
              </w:rPr>
              <w:t xml:space="preserve"> : « ا</w:t>
            </w:r>
            <w:r>
              <w:rPr>
                <w:rFonts w:hint="cs"/>
                <w:rtl/>
                <w:lang w:bidi="fa-IR"/>
              </w:rPr>
              <w:t>ُ</w:t>
            </w:r>
            <w:r>
              <w:rPr>
                <w:rtl/>
                <w:lang w:bidi="fa-IR"/>
              </w:rPr>
              <w:t>ريد بالضعف ضعف الإيمان ».</w:t>
            </w:r>
          </w:p>
        </w:tc>
        <w:tc>
          <w:tcPr>
            <w:tcW w:w="4006" w:type="dxa"/>
          </w:tcPr>
          <w:p w:rsidR="007D61A8" w:rsidRDefault="007D61A8" w:rsidP="00E378DD">
            <w:pPr>
              <w:pStyle w:val="libFootnote0"/>
              <w:rPr>
                <w:rtl/>
                <w:lang w:bidi="fa-IR"/>
              </w:rPr>
            </w:pPr>
            <w:r>
              <w:rPr>
                <w:rtl/>
                <w:lang w:bidi="fa-IR"/>
              </w:rPr>
              <w:t xml:space="preserve">(6). في المعاني: «لا زبر».وفي </w:t>
            </w:r>
            <w:r w:rsidRPr="007D61A8">
              <w:rPr>
                <w:rtl/>
              </w:rPr>
              <w:t>الجعفريّات</w:t>
            </w:r>
            <w:r>
              <w:rPr>
                <w:rtl/>
                <w:lang w:bidi="fa-IR"/>
              </w:rPr>
              <w:t xml:space="preserve"> : « لارفق ».</w:t>
            </w:r>
          </w:p>
        </w:tc>
      </w:tr>
      <w:tr w:rsidR="007D61A8" w:rsidTr="007D61A8">
        <w:tc>
          <w:tcPr>
            <w:tcW w:w="4006" w:type="dxa"/>
          </w:tcPr>
          <w:p w:rsidR="007D61A8" w:rsidRDefault="007D61A8" w:rsidP="00E378DD">
            <w:pPr>
              <w:pStyle w:val="libFootnote0"/>
              <w:rPr>
                <w:rtl/>
                <w:lang w:bidi="fa-IR"/>
              </w:rPr>
            </w:pPr>
            <w:r>
              <w:rPr>
                <w:rtl/>
                <w:lang w:bidi="fa-IR"/>
              </w:rPr>
              <w:t>(7). في « ى » : - « له ».</w:t>
            </w:r>
          </w:p>
        </w:tc>
        <w:tc>
          <w:tcPr>
            <w:tcW w:w="4006" w:type="dxa"/>
          </w:tcPr>
          <w:p w:rsidR="007D61A8" w:rsidRDefault="007D61A8" w:rsidP="00E378DD">
            <w:pPr>
              <w:pStyle w:val="libFootnote0"/>
              <w:rPr>
                <w:rtl/>
                <w:lang w:bidi="fa-IR"/>
              </w:rPr>
            </w:pPr>
            <w:r>
              <w:rPr>
                <w:rtl/>
                <w:lang w:bidi="fa-IR"/>
              </w:rPr>
              <w:t xml:space="preserve">(8). في </w:t>
            </w:r>
            <w:r w:rsidRPr="007D61A8">
              <w:rPr>
                <w:rtl/>
              </w:rPr>
              <w:t>الوسائل</w:t>
            </w:r>
            <w:r>
              <w:rPr>
                <w:rtl/>
                <w:lang w:bidi="fa-IR"/>
              </w:rPr>
              <w:t xml:space="preserve"> : + « الضعيف ».</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610FB4">
        <w:rPr>
          <w:rStyle w:val="libFootnoteBoldChar"/>
          <w:rtl/>
        </w:rPr>
        <w:t>معاني الأخبار</w:t>
      </w:r>
      <w:r w:rsidR="00744A1C">
        <w:rPr>
          <w:rtl/>
          <w:lang w:bidi="fa-IR"/>
        </w:rPr>
        <w:t xml:space="preserve"> ، ص 344 ، ح 1 ، بسنده عن هارون بن مسلم ، عن مسعدة بن صدقة ،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النبيّ </w:t>
      </w:r>
      <w:r w:rsidR="007D61A8" w:rsidRPr="007D61A8">
        <w:rPr>
          <w:rStyle w:val="libFootnoteAlaemChar"/>
          <w:rtl/>
        </w:rPr>
        <w:t>صلى‌الله‌عليه‌وآله</w:t>
      </w:r>
      <w:r w:rsidR="00744A1C">
        <w:rPr>
          <w:rtl/>
          <w:lang w:bidi="fa-IR"/>
        </w:rPr>
        <w:t xml:space="preserve"> . وفي </w:t>
      </w:r>
      <w:r w:rsidR="00744A1C" w:rsidRPr="003A7143">
        <w:rPr>
          <w:rStyle w:val="libFootnoteBoldChar"/>
          <w:rtl/>
        </w:rPr>
        <w:t>المحاسن</w:t>
      </w:r>
      <w:r w:rsidR="00744A1C">
        <w:rPr>
          <w:rtl/>
          <w:lang w:bidi="fa-IR"/>
        </w:rPr>
        <w:t xml:space="preserve"> ، ص 196 ، كتاب مصابيح الظلم ، ح 21 ؛ </w:t>
      </w:r>
      <w:r w:rsidR="00744A1C" w:rsidRPr="007D61A8">
        <w:rPr>
          <w:rStyle w:val="libFootnoteBoldChar"/>
          <w:rtl/>
        </w:rPr>
        <w:t>وا</w:t>
      </w:r>
      <w:r w:rsidR="00744A1C" w:rsidRPr="00877682">
        <w:rPr>
          <w:rStyle w:val="libFootnoteBoldChar"/>
          <w:rtl/>
        </w:rPr>
        <w:t>لجعفريّات</w:t>
      </w:r>
      <w:r w:rsidR="00744A1C">
        <w:rPr>
          <w:rtl/>
          <w:lang w:bidi="fa-IR"/>
        </w:rPr>
        <w:t xml:space="preserve"> ، ص 150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 إلى قوله : « الذي لا دين له » </w:t>
      </w:r>
      <w:r w:rsidR="007D61A8">
        <w:rPr>
          <w:rFonts w:hint="cs"/>
          <w:rtl/>
          <w:lang w:bidi="fa-IR"/>
        </w:rPr>
        <w:t>.</w:t>
      </w:r>
      <w:r w:rsidR="00744A1C" w:rsidRPr="00C24F9C">
        <w:rPr>
          <w:rStyle w:val="libFootnoteBoldChar"/>
          <w:rtl/>
        </w:rPr>
        <w:t>الوافي</w:t>
      </w:r>
      <w:r w:rsidR="00744A1C">
        <w:rPr>
          <w:rtl/>
          <w:lang w:bidi="fa-IR"/>
        </w:rPr>
        <w:t xml:space="preserve"> ، ج 15 ، ص 176 ، ح 14862 ؛ </w:t>
      </w:r>
      <w:r w:rsidR="00744A1C" w:rsidRPr="00C24F9C">
        <w:rPr>
          <w:rStyle w:val="libFootnoteBoldChar"/>
          <w:rtl/>
        </w:rPr>
        <w:t>الوسائل</w:t>
      </w:r>
      <w:r w:rsidR="00744A1C">
        <w:rPr>
          <w:rtl/>
          <w:lang w:bidi="fa-IR"/>
        </w:rPr>
        <w:t xml:space="preserve"> ، ج 16 ، ص 122 ، ح 21139.</w:t>
      </w:r>
    </w:p>
    <w:tbl>
      <w:tblPr>
        <w:tblStyle w:val="TableGrid"/>
        <w:bidiVisual/>
        <w:tblW w:w="0" w:type="auto"/>
        <w:tblLook w:val="04A0" w:firstRow="1" w:lastRow="0" w:firstColumn="1" w:lastColumn="0" w:noHBand="0" w:noVBand="1"/>
      </w:tblPr>
      <w:tblGrid>
        <w:gridCol w:w="4006"/>
        <w:gridCol w:w="4006"/>
      </w:tblGrid>
      <w:tr w:rsidR="007D61A8" w:rsidTr="007D61A8">
        <w:tc>
          <w:tcPr>
            <w:tcW w:w="4006" w:type="dxa"/>
          </w:tcPr>
          <w:p w:rsidR="007D61A8" w:rsidRDefault="007D61A8" w:rsidP="00E378DD">
            <w:pPr>
              <w:pStyle w:val="libFootnote0"/>
              <w:rPr>
                <w:rtl/>
                <w:lang w:bidi="fa-IR"/>
              </w:rPr>
            </w:pPr>
            <w:r>
              <w:rPr>
                <w:rtl/>
                <w:lang w:bidi="fa-IR"/>
              </w:rPr>
              <w:t xml:space="preserve">(10). في </w:t>
            </w:r>
            <w:r w:rsidRPr="007D61A8">
              <w:rPr>
                <w:rtl/>
              </w:rPr>
              <w:t>التهذيب</w:t>
            </w:r>
            <w:r>
              <w:rPr>
                <w:rtl/>
                <w:lang w:bidi="fa-IR"/>
              </w:rPr>
              <w:t xml:space="preserve"> : - « يقول ».</w:t>
            </w:r>
          </w:p>
        </w:tc>
        <w:tc>
          <w:tcPr>
            <w:tcW w:w="4006" w:type="dxa"/>
          </w:tcPr>
          <w:p w:rsidR="007D61A8" w:rsidRDefault="007D61A8" w:rsidP="00E378DD">
            <w:pPr>
              <w:pStyle w:val="libFootnote0"/>
              <w:rPr>
                <w:rtl/>
                <w:lang w:bidi="fa-IR"/>
              </w:rPr>
            </w:pPr>
            <w:r>
              <w:rPr>
                <w:rtl/>
                <w:lang w:bidi="fa-IR"/>
              </w:rPr>
              <w:t>(11). في « بح ، بس ، جن » : « ويسأل ».</w:t>
            </w:r>
          </w:p>
        </w:tc>
      </w:tr>
      <w:tr w:rsidR="007D61A8" w:rsidTr="007D61A8">
        <w:tc>
          <w:tcPr>
            <w:tcW w:w="4006" w:type="dxa"/>
          </w:tcPr>
          <w:p w:rsidR="007D61A8" w:rsidRDefault="007D61A8" w:rsidP="00E378DD">
            <w:pPr>
              <w:pStyle w:val="libFootnote0"/>
              <w:rPr>
                <w:rtl/>
                <w:lang w:bidi="fa-IR"/>
              </w:rPr>
            </w:pPr>
            <w:r>
              <w:rPr>
                <w:rtl/>
                <w:lang w:bidi="fa-IR"/>
              </w:rPr>
              <w:t>(12). في « بف » : « واجب » بدون همزة الاستفهام.</w:t>
            </w:r>
          </w:p>
        </w:tc>
        <w:tc>
          <w:tcPr>
            <w:tcW w:w="4006" w:type="dxa"/>
          </w:tcPr>
          <w:p w:rsidR="007D61A8" w:rsidRDefault="007D61A8" w:rsidP="00E378DD">
            <w:pPr>
              <w:pStyle w:val="libFootnote0"/>
              <w:rPr>
                <w:rtl/>
                <w:lang w:bidi="fa-IR"/>
              </w:rPr>
            </w:pPr>
            <w:r>
              <w:rPr>
                <w:rtl/>
                <w:lang w:bidi="fa-IR"/>
              </w:rPr>
              <w:t xml:space="preserve">(13). في </w:t>
            </w:r>
            <w:r w:rsidRPr="007D61A8">
              <w:rPr>
                <w:rtl/>
              </w:rPr>
              <w:t>الوافي والتهذيب</w:t>
            </w:r>
            <w:r>
              <w:rPr>
                <w:rtl/>
                <w:lang w:bidi="fa-IR"/>
              </w:rPr>
              <w:t xml:space="preserve"> : - « له ».</w:t>
            </w:r>
          </w:p>
        </w:tc>
      </w:tr>
    </w:tbl>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قَالَ : « إِنَّمَا هُوَ عَلَى الْقَوِيِّ الْمُطَاعِ ، الْعَالِمِ بِالْمَعْرُوفِ مِنَ الْمُنْكَرِ ، لَاعَلَى الضَّعِيفِ‌ الَّذِي لَايَهْتَدِي </w:t>
      </w:r>
      <w:r w:rsidRPr="00D10E3C">
        <w:rPr>
          <w:rStyle w:val="libFootnotenumChar"/>
          <w:rtl/>
        </w:rPr>
        <w:t>(1)</w:t>
      </w:r>
      <w:r>
        <w:rPr>
          <w:rtl/>
          <w:lang w:bidi="fa-IR"/>
        </w:rPr>
        <w:t xml:space="preserve"> سَبِيلاً إِلى أَيٍّ مِنْ أَيٍّ يَقُولُ : مِنَ الْحَقِّ إِلَى الْبَاطِلِ </w:t>
      </w:r>
      <w:r w:rsidRPr="00D10E3C">
        <w:rPr>
          <w:rStyle w:val="libFootnotenumChar"/>
          <w:rtl/>
        </w:rPr>
        <w:t>(2)</w:t>
      </w:r>
      <w:r>
        <w:rPr>
          <w:rtl/>
          <w:lang w:bidi="fa-IR"/>
        </w:rPr>
        <w:t xml:space="preserve"> ؛ وَالدَّلِيلُ عَلى ذلِكَ كِتَابُ اللهِ عَزَّ وَجَلَّ قَوْلُهُ </w:t>
      </w:r>
      <w:r w:rsidRPr="00D10E3C">
        <w:rPr>
          <w:rStyle w:val="libFootnotenumChar"/>
          <w:rtl/>
        </w:rPr>
        <w:t>(3)</w:t>
      </w:r>
      <w:r>
        <w:rPr>
          <w:rtl/>
          <w:lang w:bidi="fa-IR"/>
        </w:rPr>
        <w:t xml:space="preserve"> : </w:t>
      </w:r>
      <w:r w:rsidRPr="007D61A8">
        <w:rPr>
          <w:rStyle w:val="libAlaemChar"/>
          <w:rtl/>
        </w:rPr>
        <w:t>(</w:t>
      </w:r>
      <w:r w:rsidRPr="007D61A8">
        <w:rPr>
          <w:rStyle w:val="libAieChar"/>
          <w:rtl/>
        </w:rPr>
        <w:t xml:space="preserve"> وَلْتَكُنْ مِنْكُمْ أُمَّةٌ يَدْعُونَ إِلَى الْخَيْرِ وَيَأْمُرُونَ بِالْمَعْرُوفِ وَيَنْهَوْنَ عَنِ الْمُنْكَرِ </w:t>
      </w:r>
      <w:r w:rsidRPr="007D61A8">
        <w:rPr>
          <w:rStyle w:val="libAlaemChar"/>
          <w:rtl/>
        </w:rPr>
        <w:t>)</w:t>
      </w:r>
      <w:r>
        <w:rPr>
          <w:rtl/>
          <w:lang w:bidi="fa-IR"/>
        </w:rPr>
        <w:t xml:space="preserve"> </w:t>
      </w:r>
      <w:r w:rsidRPr="00D10E3C">
        <w:rPr>
          <w:rStyle w:val="libFootnotenumChar"/>
          <w:rtl/>
        </w:rPr>
        <w:t>(4)</w:t>
      </w:r>
      <w:r>
        <w:rPr>
          <w:rtl/>
          <w:lang w:bidi="fa-IR"/>
        </w:rPr>
        <w:t xml:space="preserve"> فَهذَا خَاصٌّ غَيْرُ عَامٍّ ، كَمَا قَالَ اللهُ عَزَّ وَجَلَّ : </w:t>
      </w:r>
      <w:r w:rsidRPr="007D61A8">
        <w:rPr>
          <w:rStyle w:val="libAlaemChar"/>
          <w:rtl/>
        </w:rPr>
        <w:t>(</w:t>
      </w:r>
      <w:r w:rsidRPr="007D61A8">
        <w:rPr>
          <w:rStyle w:val="libAieChar"/>
          <w:rtl/>
        </w:rPr>
        <w:t xml:space="preserve"> وَمِنْ قَوْمِ مُوسى أُمَّةٌ يَهْدُونَ بِالْحَقِّ وَبِهِ يَعْدِلُونَ </w:t>
      </w:r>
      <w:r w:rsidRPr="007D61A8">
        <w:rPr>
          <w:rStyle w:val="libAlaemChar"/>
          <w:rtl/>
        </w:rPr>
        <w:t>)</w:t>
      </w:r>
      <w:r>
        <w:rPr>
          <w:rtl/>
          <w:lang w:bidi="fa-IR"/>
        </w:rPr>
        <w:t xml:space="preserve"> </w:t>
      </w:r>
      <w:r w:rsidRPr="00D10E3C">
        <w:rPr>
          <w:rStyle w:val="libFootnotenumChar"/>
          <w:rtl/>
        </w:rPr>
        <w:t>(5)</w:t>
      </w:r>
      <w:r>
        <w:rPr>
          <w:rtl/>
          <w:lang w:bidi="fa-IR"/>
        </w:rPr>
        <w:t xml:space="preserve"> وَلَمْ يَقُلْ </w:t>
      </w:r>
      <w:r w:rsidRPr="00D10E3C">
        <w:rPr>
          <w:rStyle w:val="libFootnotenumChar"/>
          <w:rtl/>
        </w:rPr>
        <w:t>(6)</w:t>
      </w:r>
      <w:r>
        <w:rPr>
          <w:rtl/>
          <w:lang w:bidi="fa-IR"/>
        </w:rPr>
        <w:t xml:space="preserve"> : عَلى أُمَّةِ مُوسى ، وَلَا عَلى كُلِّ قَوْمِهِ </w:t>
      </w:r>
      <w:r w:rsidRPr="00D10E3C">
        <w:rPr>
          <w:rStyle w:val="libFootnotenumChar"/>
          <w:rtl/>
        </w:rPr>
        <w:t>(7)</w:t>
      </w:r>
      <w:r>
        <w:rPr>
          <w:rtl/>
          <w:lang w:bidi="fa-IR"/>
        </w:rPr>
        <w:t xml:space="preserve"> ، وَهُمْ يَوْمَئِذٍ أُمَمٌ مُخْتَلِفَةٌ ، وَالْأُمَّةُ وَاحِدَةٌ </w:t>
      </w:r>
      <w:r w:rsidRPr="00D10E3C">
        <w:rPr>
          <w:rStyle w:val="libFootnotenumChar"/>
          <w:rtl/>
        </w:rPr>
        <w:t>(8)</w:t>
      </w:r>
      <w:r>
        <w:rPr>
          <w:rtl/>
          <w:lang w:bidi="fa-IR"/>
        </w:rPr>
        <w:t xml:space="preserve"> فَصَاعِداً ، كَمَا قَالَ اللهُ عَزَّ وَجَلَّ : </w:t>
      </w:r>
      <w:r w:rsidRPr="007D61A8">
        <w:rPr>
          <w:rStyle w:val="libAlaemChar"/>
          <w:rtl/>
        </w:rPr>
        <w:t>(</w:t>
      </w:r>
      <w:r w:rsidRPr="007D61A8">
        <w:rPr>
          <w:rStyle w:val="libAieChar"/>
          <w:rtl/>
        </w:rPr>
        <w:t xml:space="preserve"> إِنَّ إِبْراهِيمَ كانَ أُمَّةً قانِتاً لِلّهِ </w:t>
      </w:r>
      <w:r w:rsidRPr="007D61A8">
        <w:rPr>
          <w:rStyle w:val="libAlaemChar"/>
          <w:rtl/>
        </w:rPr>
        <w:t>)</w:t>
      </w:r>
      <w:r>
        <w:rPr>
          <w:rtl/>
          <w:lang w:bidi="fa-IR"/>
        </w:rPr>
        <w:t xml:space="preserve"> </w:t>
      </w:r>
      <w:r w:rsidRPr="00D10E3C">
        <w:rPr>
          <w:rStyle w:val="libFootnotenumChar"/>
          <w:rtl/>
        </w:rPr>
        <w:t>(9)</w:t>
      </w:r>
      <w:r>
        <w:rPr>
          <w:rtl/>
          <w:lang w:bidi="fa-IR"/>
        </w:rPr>
        <w:t xml:space="preserve"> يَقُولُ : مُطِيعاً لِلّهِ عَزَّ وَجَلَّ ؛ وَلَيْسَ عَلى </w:t>
      </w:r>
      <w:r w:rsidRPr="00D10E3C">
        <w:rPr>
          <w:rStyle w:val="libFootnotenumChar"/>
          <w:rtl/>
        </w:rPr>
        <w:t>(10)</w:t>
      </w:r>
      <w:r>
        <w:rPr>
          <w:rtl/>
          <w:lang w:bidi="fa-IR"/>
        </w:rPr>
        <w:t xml:space="preserve"> مَنْ يَعْلَمُ </w:t>
      </w:r>
      <w:r w:rsidRPr="00D10E3C">
        <w:rPr>
          <w:rStyle w:val="libFootnotenumChar"/>
          <w:rtl/>
        </w:rPr>
        <w:t>(11)</w:t>
      </w:r>
      <w:r>
        <w:rPr>
          <w:rtl/>
          <w:lang w:bidi="fa-IR"/>
        </w:rPr>
        <w:t xml:space="preserve"> ذلِكَ فِي هذِهِ </w:t>
      </w:r>
      <w:r w:rsidRPr="00D10E3C">
        <w:rPr>
          <w:rStyle w:val="libFootnotenumChar"/>
          <w:rtl/>
        </w:rPr>
        <w:t>(12)</w:t>
      </w:r>
      <w:r>
        <w:rPr>
          <w:rtl/>
          <w:lang w:bidi="fa-IR"/>
        </w:rPr>
        <w:t xml:space="preserve"> الْهُدْنَةِ </w:t>
      </w:r>
      <w:r w:rsidRPr="00D10E3C">
        <w:rPr>
          <w:rStyle w:val="libFootnotenumChar"/>
          <w:rtl/>
        </w:rPr>
        <w:t>(13)</w:t>
      </w:r>
      <w:r>
        <w:rPr>
          <w:rtl/>
          <w:lang w:bidi="fa-IR"/>
        </w:rPr>
        <w:t xml:space="preserve"> مِنْ‌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بف » </w:t>
      </w:r>
      <w:r w:rsidR="00744A1C" w:rsidRPr="007D61A8">
        <w:rPr>
          <w:rtl/>
        </w:rPr>
        <w:t>والوافي والتهذيب</w:t>
      </w:r>
      <w:r w:rsidR="00744A1C">
        <w:rPr>
          <w:rtl/>
          <w:lang w:bidi="fa-IR"/>
        </w:rPr>
        <w:t xml:space="preserve"> : « الضعفة الذين لا يهتدون ».</w:t>
      </w:r>
    </w:p>
    <w:p w:rsidR="00744A1C" w:rsidRDefault="00E378DD" w:rsidP="007D61A8">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يقول : من الحقّ إلى الباطل ، كأنّه من كلام الراوي ، ومعناه أنّهم يدعون الناس من الحقّ إلى الباطل ؛ لعدم اهتدائهم سبيلاً إليهما ، والأظهر إلى الحقّ من الباطل ؛ ليكون متعلّقاً ب</w:t>
      </w:r>
      <w:r w:rsidR="007D61A8">
        <w:rPr>
          <w:rFonts w:hint="cs"/>
          <w:rtl/>
          <w:lang w:bidi="fa-IR"/>
        </w:rPr>
        <w:t>ـ</w:t>
      </w:r>
      <w:r w:rsidR="00744A1C">
        <w:rPr>
          <w:rtl/>
          <w:lang w:bidi="fa-IR"/>
        </w:rPr>
        <w:t xml:space="preserve"> « سبيلاً » ، فيكون داخلاً تحت النفي ، ولعلّ الراوي ذكر حاصل المعنى ». وفي </w:t>
      </w:r>
      <w:r w:rsidR="00744A1C" w:rsidRPr="00C24F9C">
        <w:rPr>
          <w:rStyle w:val="libFootnoteBoldChar"/>
          <w:rtl/>
        </w:rPr>
        <w:t>المرآة</w:t>
      </w:r>
      <w:r w:rsidR="00744A1C">
        <w:rPr>
          <w:rtl/>
          <w:lang w:bidi="fa-IR"/>
        </w:rPr>
        <w:t xml:space="preserve"> : « يحتمل أن يكون « يقول » كلام الإمام </w:t>
      </w:r>
      <w:r w:rsidR="0061079A" w:rsidRPr="0061079A">
        <w:rPr>
          <w:rStyle w:val="libFootnoteAlaemChar"/>
          <w:rtl/>
        </w:rPr>
        <w:t>عليه‌السلام</w:t>
      </w:r>
      <w:r w:rsidR="00D10E3C">
        <w:rPr>
          <w:rtl/>
          <w:lang w:bidi="fa-IR"/>
        </w:rPr>
        <w:t xml:space="preserve"> </w:t>
      </w:r>
      <w:r w:rsidR="00744A1C">
        <w:rPr>
          <w:rtl/>
          <w:lang w:bidi="fa-IR"/>
        </w:rPr>
        <w:t>بمعنى يدعو ، أو مضمّناً معناه ، أي يدعو هذا الضعيف الناس من الحقّ إلى الباطل بحيث لا يعلم. والأظهر أنّه كلام الراوي ، فكان الأظهر : إلى الحقّ من باطل ، ولعلّه لبيان حاصل المعنى ، أي من لا يهتدي سبيلاً إلى الحقّ والباطل ، يمكن أن يهدى من الحقّ إلى الباطل ».</w:t>
      </w:r>
    </w:p>
    <w:p w:rsidR="00744A1C" w:rsidRDefault="00E378DD" w:rsidP="00E378DD">
      <w:pPr>
        <w:pStyle w:val="libFootnote0"/>
        <w:rPr>
          <w:lang w:bidi="fa-IR"/>
        </w:rPr>
      </w:pPr>
      <w:r>
        <w:rPr>
          <w:rtl/>
          <w:lang w:bidi="fa-IR"/>
        </w:rPr>
        <w:t>(3).</w:t>
      </w:r>
      <w:r w:rsidR="00744A1C">
        <w:rPr>
          <w:rtl/>
          <w:lang w:bidi="fa-IR"/>
        </w:rPr>
        <w:t xml:space="preserve"> في « ى » : - « قوله ». وفي </w:t>
      </w:r>
      <w:r w:rsidR="00744A1C" w:rsidRPr="007D61A8">
        <w:rPr>
          <w:rtl/>
        </w:rPr>
        <w:t>الوافي والتهذيب</w:t>
      </w:r>
      <w:r w:rsidR="00744A1C">
        <w:rPr>
          <w:rtl/>
          <w:lang w:bidi="fa-IR"/>
        </w:rPr>
        <w:t xml:space="preserve"> : « قول الله ».</w:t>
      </w:r>
    </w:p>
    <w:tbl>
      <w:tblPr>
        <w:tblStyle w:val="TableGrid"/>
        <w:bidiVisual/>
        <w:tblW w:w="0" w:type="auto"/>
        <w:tblLook w:val="04A0" w:firstRow="1" w:lastRow="0" w:firstColumn="1" w:lastColumn="0" w:noHBand="0" w:noVBand="1"/>
      </w:tblPr>
      <w:tblGrid>
        <w:gridCol w:w="4006"/>
        <w:gridCol w:w="4006"/>
      </w:tblGrid>
      <w:tr w:rsidR="007D61A8" w:rsidTr="007D61A8">
        <w:tc>
          <w:tcPr>
            <w:tcW w:w="4006" w:type="dxa"/>
          </w:tcPr>
          <w:p w:rsidR="007D61A8" w:rsidRDefault="007D61A8" w:rsidP="00E378DD">
            <w:pPr>
              <w:pStyle w:val="libFootnote0"/>
              <w:rPr>
                <w:rtl/>
                <w:lang w:bidi="fa-IR"/>
              </w:rPr>
            </w:pPr>
            <w:r>
              <w:rPr>
                <w:rtl/>
                <w:lang w:bidi="fa-IR"/>
              </w:rPr>
              <w:t>(4). آل عمران (3) : 104.</w:t>
            </w:r>
          </w:p>
        </w:tc>
        <w:tc>
          <w:tcPr>
            <w:tcW w:w="4006" w:type="dxa"/>
          </w:tcPr>
          <w:p w:rsidR="007D61A8" w:rsidRDefault="007D61A8" w:rsidP="00E378DD">
            <w:pPr>
              <w:pStyle w:val="libFootnote0"/>
              <w:rPr>
                <w:rtl/>
                <w:lang w:bidi="fa-IR"/>
              </w:rPr>
            </w:pPr>
            <w:r>
              <w:rPr>
                <w:rtl/>
                <w:lang w:bidi="fa-IR"/>
              </w:rPr>
              <w:t>(5). الأعراف (7) : 159.</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ولم يقل ، كان على ا</w:t>
      </w:r>
      <w:r w:rsidR="007D61A8">
        <w:rPr>
          <w:rFonts w:hint="cs"/>
          <w:rtl/>
          <w:lang w:bidi="fa-IR"/>
        </w:rPr>
        <w:t>ُ</w:t>
      </w:r>
      <w:r w:rsidR="00744A1C">
        <w:rPr>
          <w:rtl/>
          <w:lang w:bidi="fa-IR"/>
        </w:rPr>
        <w:t>مّة موسى أو على كلّ قوم موسى أن يهدوا بالحقّ ، أو ما يفيد مفادَه ، بل قال ما يفيد اختصاصه ببعض الا</w:t>
      </w:r>
      <w:r w:rsidR="007D61A8">
        <w:rPr>
          <w:rFonts w:hint="cs"/>
          <w:rtl/>
          <w:lang w:bidi="fa-IR"/>
        </w:rPr>
        <w:t>ُ</w:t>
      </w:r>
      <w:r w:rsidR="00744A1C">
        <w:rPr>
          <w:rtl/>
          <w:lang w:bidi="fa-IR"/>
        </w:rPr>
        <w:t>مّة ، ويدلّ على أنّ المراد بالآية اختصاص بعض ا</w:t>
      </w:r>
      <w:r w:rsidR="007D61A8">
        <w:rPr>
          <w:rFonts w:hint="cs"/>
          <w:rtl/>
          <w:lang w:bidi="fa-IR"/>
        </w:rPr>
        <w:t>ُ</w:t>
      </w:r>
      <w:r w:rsidR="00744A1C">
        <w:rPr>
          <w:rtl/>
          <w:lang w:bidi="fa-IR"/>
        </w:rPr>
        <w:t>مّة موسى باستيهال هذا الأمر ، لا اختصاصهم بالعمل ، به كما هو المتبادر ».</w:t>
      </w:r>
    </w:p>
    <w:p w:rsidR="00744A1C" w:rsidRDefault="00E378DD" w:rsidP="00E378DD">
      <w:pPr>
        <w:pStyle w:val="libFootnote0"/>
        <w:rPr>
          <w:lang w:bidi="fa-IR"/>
        </w:rPr>
      </w:pPr>
      <w:r>
        <w:rPr>
          <w:rtl/>
          <w:lang w:bidi="fa-IR"/>
        </w:rPr>
        <w:t>(7).</w:t>
      </w:r>
      <w:r w:rsidR="00744A1C">
        <w:rPr>
          <w:rtl/>
          <w:lang w:bidi="fa-IR"/>
        </w:rPr>
        <w:t xml:space="preserve"> في « ى » : - « ولا على كلّ قومه ». وفي </w:t>
      </w:r>
      <w:r w:rsidR="00744A1C" w:rsidRPr="007D61A8">
        <w:rPr>
          <w:rtl/>
        </w:rPr>
        <w:t>التهذيب</w:t>
      </w:r>
      <w:r w:rsidR="00744A1C">
        <w:rPr>
          <w:rtl/>
          <w:lang w:bidi="fa-IR"/>
        </w:rPr>
        <w:t xml:space="preserve"> : « قوم » بدل « قومه ».</w:t>
      </w:r>
    </w:p>
    <w:p w:rsidR="00744A1C" w:rsidRDefault="00E378DD" w:rsidP="00E378DD">
      <w:pPr>
        <w:pStyle w:val="libFootnote0"/>
        <w:rPr>
          <w:lang w:bidi="fa-IR"/>
        </w:rPr>
      </w:pPr>
      <w:r>
        <w:rPr>
          <w:rtl/>
          <w:lang w:bidi="fa-IR"/>
        </w:rPr>
        <w:t>(8).</w:t>
      </w:r>
      <w:r w:rsidR="00744A1C">
        <w:rPr>
          <w:rtl/>
          <w:lang w:bidi="fa-IR"/>
        </w:rPr>
        <w:t xml:space="preserve"> في « ى ، بث ، بح ، بس ، بف ، جد ، جن » </w:t>
      </w:r>
      <w:r w:rsidR="00744A1C" w:rsidRPr="007D61A8">
        <w:rPr>
          <w:rtl/>
        </w:rPr>
        <w:t>والوسائل والتهذيب</w:t>
      </w:r>
      <w:r w:rsidR="00744A1C">
        <w:rPr>
          <w:rtl/>
          <w:lang w:bidi="fa-IR"/>
        </w:rPr>
        <w:t xml:space="preserve"> : « واحد ».</w:t>
      </w:r>
    </w:p>
    <w:tbl>
      <w:tblPr>
        <w:tblStyle w:val="TableGrid"/>
        <w:bidiVisual/>
        <w:tblW w:w="0" w:type="auto"/>
        <w:tblLook w:val="04A0" w:firstRow="1" w:lastRow="0" w:firstColumn="1" w:lastColumn="0" w:noHBand="0" w:noVBand="1"/>
      </w:tblPr>
      <w:tblGrid>
        <w:gridCol w:w="4006"/>
        <w:gridCol w:w="4006"/>
      </w:tblGrid>
      <w:tr w:rsidR="007D61A8" w:rsidTr="007D61A8">
        <w:tc>
          <w:tcPr>
            <w:tcW w:w="4006" w:type="dxa"/>
          </w:tcPr>
          <w:p w:rsidR="007D61A8" w:rsidRDefault="007D61A8" w:rsidP="00E378DD">
            <w:pPr>
              <w:pStyle w:val="libFootnote0"/>
              <w:rPr>
                <w:rtl/>
                <w:lang w:bidi="fa-IR"/>
              </w:rPr>
            </w:pPr>
            <w:r>
              <w:rPr>
                <w:rtl/>
                <w:lang w:bidi="fa-IR"/>
              </w:rPr>
              <w:t>(9). النحل (16) : 120.</w:t>
            </w:r>
          </w:p>
        </w:tc>
        <w:tc>
          <w:tcPr>
            <w:tcW w:w="4006" w:type="dxa"/>
          </w:tcPr>
          <w:p w:rsidR="007D61A8" w:rsidRDefault="007D61A8" w:rsidP="00E378DD">
            <w:pPr>
              <w:pStyle w:val="libFootnote0"/>
              <w:rPr>
                <w:rtl/>
                <w:lang w:bidi="fa-IR"/>
              </w:rPr>
            </w:pPr>
            <w:r>
              <w:rPr>
                <w:rtl/>
                <w:lang w:bidi="fa-IR"/>
              </w:rPr>
              <w:t xml:space="preserve">(10). في </w:t>
            </w:r>
            <w:r w:rsidRPr="007D61A8">
              <w:rPr>
                <w:rtl/>
              </w:rPr>
              <w:t>الوافي</w:t>
            </w:r>
            <w:r>
              <w:rPr>
                <w:rtl/>
                <w:lang w:bidi="fa-IR"/>
              </w:rPr>
              <w:t xml:space="preserve"> : - « على ».</w:t>
            </w:r>
          </w:p>
        </w:tc>
      </w:tr>
      <w:tr w:rsidR="007D61A8" w:rsidTr="007D61A8">
        <w:tc>
          <w:tcPr>
            <w:tcW w:w="4006" w:type="dxa"/>
          </w:tcPr>
          <w:p w:rsidR="007D61A8" w:rsidRDefault="007D61A8" w:rsidP="00E378DD">
            <w:pPr>
              <w:pStyle w:val="libFootnote0"/>
              <w:rPr>
                <w:rtl/>
                <w:lang w:bidi="fa-IR"/>
              </w:rPr>
            </w:pPr>
            <w:r>
              <w:rPr>
                <w:rtl/>
                <w:lang w:bidi="fa-IR"/>
              </w:rPr>
              <w:t>(11). في « ى » : « لم يعلم ».</w:t>
            </w:r>
          </w:p>
        </w:tc>
        <w:tc>
          <w:tcPr>
            <w:tcW w:w="4006" w:type="dxa"/>
          </w:tcPr>
          <w:p w:rsidR="007D61A8" w:rsidRDefault="007D61A8" w:rsidP="00E378DD">
            <w:pPr>
              <w:pStyle w:val="libFootnote0"/>
              <w:rPr>
                <w:rtl/>
                <w:lang w:bidi="fa-IR"/>
              </w:rPr>
            </w:pPr>
            <w:r>
              <w:rPr>
                <w:rtl/>
                <w:lang w:bidi="fa-IR"/>
              </w:rPr>
              <w:t xml:space="preserve">(12). في </w:t>
            </w:r>
            <w:r w:rsidRPr="007D61A8">
              <w:rPr>
                <w:rtl/>
              </w:rPr>
              <w:t>التهذيب</w:t>
            </w:r>
            <w:r>
              <w:rPr>
                <w:rtl/>
                <w:lang w:bidi="fa-IR"/>
              </w:rPr>
              <w:t xml:space="preserve"> : - « هذه ».</w:t>
            </w:r>
          </w:p>
        </w:tc>
      </w:tr>
    </w:tbl>
    <w:p w:rsidR="00744A1C" w:rsidRDefault="00E378DD" w:rsidP="00E378DD">
      <w:pPr>
        <w:pStyle w:val="libFootnote0"/>
        <w:rPr>
          <w:lang w:bidi="fa-IR"/>
        </w:rPr>
      </w:pPr>
      <w:r>
        <w:rPr>
          <w:rtl/>
          <w:lang w:bidi="fa-IR"/>
        </w:rPr>
        <w:t>(13).</w:t>
      </w:r>
      <w:r w:rsidR="00744A1C">
        <w:rPr>
          <w:rtl/>
          <w:lang w:bidi="fa-IR"/>
        </w:rPr>
        <w:t xml:space="preserve"> « الهُدْنَةُ » : السكون. والهُدْنَةُ : الصلح والموادعة بين المسلمين والكفّار وبين كلّ متحاربين ، اسم من هادنه مهادنة : صالحه. </w:t>
      </w:r>
      <w:r w:rsidR="00744A1C" w:rsidRPr="00877682">
        <w:rPr>
          <w:rStyle w:val="libFootnoteBoldChar"/>
          <w:rtl/>
        </w:rPr>
        <w:t>النهاية</w:t>
      </w:r>
      <w:r w:rsidR="00744A1C">
        <w:rPr>
          <w:rtl/>
          <w:lang w:bidi="fa-IR"/>
        </w:rPr>
        <w:t xml:space="preserve"> ، ج 5 ، عن 252 ( هدن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في هذه الهدنة ، أي المصالحة والمسالمة ، ظاهره اختصاص الأمر بالمعروف بالإمام ، كما هو ظاهر سياق الخبر ، ويمكن أن يحمل على أنّ عمومه وكماله مخصوص به ».</w:t>
      </w:r>
    </w:p>
    <w:p w:rsidR="006A5060" w:rsidRDefault="006A5060" w:rsidP="00D10E3C">
      <w:pPr>
        <w:pStyle w:val="libNormal"/>
        <w:rPr>
          <w:rtl/>
          <w:lang w:bidi="fa-IR"/>
        </w:rPr>
      </w:pPr>
      <w:r>
        <w:rPr>
          <w:rtl/>
          <w:lang w:bidi="fa-IR"/>
        </w:rPr>
        <w:br w:type="page"/>
      </w:r>
    </w:p>
    <w:p w:rsidR="00744A1C" w:rsidRDefault="00744A1C" w:rsidP="007D61A8">
      <w:pPr>
        <w:pStyle w:val="libNormal0"/>
        <w:rPr>
          <w:lang w:bidi="fa-IR"/>
        </w:rPr>
      </w:pPr>
      <w:r>
        <w:rPr>
          <w:rtl/>
          <w:lang w:bidi="fa-IR"/>
        </w:rPr>
        <w:t xml:space="preserve">حَرَجٍ إِذَا كَانَ لَاقُوَّةَ لَهُ ، وَلَا عُدَدَ </w:t>
      </w:r>
      <w:r w:rsidRPr="00D10E3C">
        <w:rPr>
          <w:rStyle w:val="libFootnotenumChar"/>
          <w:rtl/>
        </w:rPr>
        <w:t>(1)</w:t>
      </w:r>
      <w:r>
        <w:rPr>
          <w:rtl/>
          <w:lang w:bidi="fa-IR"/>
        </w:rPr>
        <w:t xml:space="preserve"> ، وَلَا طَاعَةَ ».</w:t>
      </w:r>
    </w:p>
    <w:p w:rsidR="00744A1C" w:rsidRDefault="00744A1C" w:rsidP="00744A1C">
      <w:pPr>
        <w:pStyle w:val="libNormal"/>
        <w:rPr>
          <w:lang w:bidi="fa-IR"/>
        </w:rPr>
      </w:pPr>
      <w:r>
        <w:rPr>
          <w:rtl/>
          <w:lang w:bidi="fa-IR"/>
        </w:rPr>
        <w:t xml:space="preserve">قَالَ مَسْعَدَةُ : وَسَمِعْتُ </w:t>
      </w:r>
      <w:r w:rsidRPr="00D10E3C">
        <w:rPr>
          <w:rStyle w:val="libFootnotenumChar"/>
          <w:rtl/>
        </w:rPr>
        <w:t>(2)</w:t>
      </w:r>
      <w:r>
        <w:rPr>
          <w:rtl/>
          <w:lang w:bidi="fa-IR"/>
        </w:rPr>
        <w:t xml:space="preserve"> أَبَا عَبْدِ اللهِ </w:t>
      </w:r>
      <w:r w:rsidR="0061079A" w:rsidRPr="0061079A">
        <w:rPr>
          <w:rStyle w:val="libAlaemChar"/>
          <w:rtl/>
        </w:rPr>
        <w:t>عليه‌السلام</w:t>
      </w:r>
      <w:r w:rsidR="00D10E3C">
        <w:rPr>
          <w:rtl/>
          <w:lang w:bidi="fa-IR"/>
        </w:rPr>
        <w:t xml:space="preserve"> </w:t>
      </w:r>
      <w:r>
        <w:rPr>
          <w:rtl/>
          <w:lang w:bidi="fa-IR"/>
        </w:rPr>
        <w:t xml:space="preserve">يَقُولُ </w:t>
      </w:r>
      <w:r w:rsidRPr="00D10E3C">
        <w:rPr>
          <w:rStyle w:val="libFootnotenumChar"/>
          <w:rtl/>
        </w:rPr>
        <w:t>(3)</w:t>
      </w:r>
      <w:r>
        <w:rPr>
          <w:rtl/>
          <w:lang w:bidi="fa-IR"/>
        </w:rPr>
        <w:t xml:space="preserve"> ، وَسُئِلَ عَنِ الْحَدِيثِ الَّذِي جَاءَ عَنِ النَّبِيِّ </w:t>
      </w:r>
      <w:r w:rsidR="0017097C" w:rsidRPr="0017097C">
        <w:rPr>
          <w:rStyle w:val="libAlaemChar"/>
          <w:rtl/>
        </w:rPr>
        <w:t>صلى‌الله‌عليه‌وآله</w:t>
      </w:r>
      <w:r w:rsidR="00D10E3C">
        <w:rPr>
          <w:rtl/>
          <w:lang w:bidi="fa-IR"/>
        </w:rPr>
        <w:t xml:space="preserve"> </w:t>
      </w:r>
      <w:r>
        <w:rPr>
          <w:rtl/>
          <w:lang w:bidi="fa-IR"/>
        </w:rPr>
        <w:t>« إِنَّ أَفْضَلَ الْجِهَادِ كَلِمَةُ عَدْلٍ عِنْدَ إِمَامٍ جَائِرٍ » : مَا مَعْنَاهُ؟</w:t>
      </w:r>
    </w:p>
    <w:p w:rsidR="00144FA6" w:rsidRDefault="00744A1C" w:rsidP="00744A1C">
      <w:pPr>
        <w:pStyle w:val="libNormal"/>
        <w:rPr>
          <w:rtl/>
          <w:lang w:bidi="fa-IR"/>
        </w:rPr>
      </w:pPr>
      <w:r>
        <w:rPr>
          <w:rtl/>
          <w:lang w:bidi="fa-IR"/>
        </w:rPr>
        <w:t xml:space="preserve">قَالَ : « هذَا عَلى أَنْ يَأْمُرَهُ بَعْدَ </w:t>
      </w:r>
      <w:r w:rsidRPr="00D10E3C">
        <w:rPr>
          <w:rStyle w:val="libFootnotenumChar"/>
          <w:rtl/>
        </w:rPr>
        <w:t>(4)</w:t>
      </w:r>
      <w:r>
        <w:rPr>
          <w:rtl/>
          <w:lang w:bidi="fa-IR"/>
        </w:rPr>
        <w:t xml:space="preserve"> مَعْرِفَتِهِ وَهُوَ مَعَ ذلِكَ يُ</w:t>
      </w:r>
      <w:r w:rsidR="007D61A8">
        <w:rPr>
          <w:rtl/>
          <w:lang w:bidi="fa-IR"/>
        </w:rPr>
        <w:t>قْبَلُ مِنْهُ ، وَإِل</w:t>
      </w:r>
      <w:r w:rsidR="007D61A8">
        <w:rPr>
          <w:rFonts w:hint="cs"/>
          <w:rtl/>
          <w:lang w:bidi="fa-IR"/>
        </w:rPr>
        <w:t>َّ</w:t>
      </w:r>
      <w:r w:rsidR="007D61A8">
        <w:rPr>
          <w:rtl/>
          <w:lang w:bidi="fa-IR"/>
        </w:rPr>
        <w:t>ا</w:t>
      </w:r>
      <w:r>
        <w:rPr>
          <w:rtl/>
          <w:lang w:bidi="fa-IR"/>
        </w:rPr>
        <w:t xml:space="preserve"> فَلَا ». </w:t>
      </w:r>
      <w:r w:rsidRPr="00D10E3C">
        <w:rPr>
          <w:rStyle w:val="libFootnotenumChar"/>
          <w:rtl/>
        </w:rPr>
        <w:t>(5)</w:t>
      </w:r>
    </w:p>
    <w:p w:rsidR="00744A1C" w:rsidRDefault="00744A1C" w:rsidP="007D61A8">
      <w:pPr>
        <w:pStyle w:val="Heading2Center"/>
        <w:rPr>
          <w:lang w:bidi="fa-IR"/>
        </w:rPr>
      </w:pPr>
      <w:bookmarkStart w:id="117" w:name="_Toc49261415"/>
      <w:r>
        <w:rPr>
          <w:rtl/>
          <w:lang w:bidi="fa-IR"/>
        </w:rPr>
        <w:t>29 - بَابُ إِنْكَارِ الْمُنْكَرِ بِالْقَلْبِ‌</w:t>
      </w:r>
      <w:bookmarkEnd w:id="117"/>
    </w:p>
    <w:p w:rsidR="00144FA6" w:rsidRDefault="00744A1C" w:rsidP="00744A1C">
      <w:pPr>
        <w:pStyle w:val="libNormal"/>
        <w:rPr>
          <w:rtl/>
          <w:lang w:bidi="fa-IR"/>
        </w:rPr>
      </w:pPr>
      <w:r>
        <w:rPr>
          <w:rtl/>
          <w:lang w:bidi="fa-IR"/>
        </w:rPr>
        <w:t xml:space="preserve">8335 / 1. عَلِيُّ بْنُ إِبْرَاهِيمَ ، عَنْ أَبِيهِ ، عَنِ ابْنِ أَبِي عُمَيْرٍ ، عَنْ يَحْيَى الطَّوِيلِ صَاحِبِ الْمِنْقَرِيِّ </w:t>
      </w:r>
      <w:r w:rsidRPr="00D10E3C">
        <w:rPr>
          <w:rStyle w:val="libFootnotenumChar"/>
          <w:rtl/>
        </w:rPr>
        <w:t>(6)</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حَسْبُ الْمُؤْمِنِ عِزّاً </w:t>
      </w:r>
      <w:r w:rsidRPr="00D10E3C">
        <w:rPr>
          <w:rStyle w:val="libFootnotenumChar"/>
          <w:rtl/>
        </w:rPr>
        <w:t>(7)</w:t>
      </w:r>
      <w:r>
        <w:rPr>
          <w:rtl/>
          <w:lang w:bidi="fa-IR"/>
        </w:rPr>
        <w:t xml:space="preserve"> إِذَا رَأى مُنْكَراً أَنْ يَعْلَمَ اللهُ - عَزَّ وَجَلَّ - مِنْ قَلْبِهِ إِنْكَارَهُ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بث » </w:t>
      </w:r>
      <w:r w:rsidR="00744A1C" w:rsidRPr="007D61A8">
        <w:rPr>
          <w:rtl/>
        </w:rPr>
        <w:t>والوافي والوسائل</w:t>
      </w:r>
      <w:r w:rsidR="00744A1C">
        <w:rPr>
          <w:rtl/>
          <w:lang w:bidi="fa-IR"/>
        </w:rPr>
        <w:t xml:space="preserve"> </w:t>
      </w:r>
      <w:r w:rsidR="00744A1C" w:rsidRPr="007D61A8">
        <w:rPr>
          <w:rtl/>
        </w:rPr>
        <w:t>والتهذيب.</w:t>
      </w:r>
      <w:r w:rsidR="00744A1C">
        <w:rPr>
          <w:rtl/>
          <w:lang w:bidi="fa-IR"/>
        </w:rPr>
        <w:t xml:space="preserve"> وفي سائر النسخ والمطبوع : « ولا عذر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xml:space="preserve">: ولا عذر ، أي لا يقبل الناس عذره في ذلك. وفي </w:t>
      </w:r>
      <w:r w:rsidR="00744A1C" w:rsidRPr="00C24F9C">
        <w:rPr>
          <w:rStyle w:val="libFootnoteBoldChar"/>
          <w:rtl/>
        </w:rPr>
        <w:t>التهذيب</w:t>
      </w:r>
      <w:r w:rsidR="00744A1C">
        <w:rPr>
          <w:rtl/>
          <w:lang w:bidi="fa-IR"/>
        </w:rPr>
        <w:t xml:space="preserve"> : ولا عُدَدَ ، بضمّ العين جمع عُدّة ، أو بالفتح ، وهو الأصوب. وما في الكتاب لعلّه تصحيف ».</w:t>
      </w:r>
    </w:p>
    <w:p w:rsidR="00744A1C" w:rsidRDefault="00E378DD" w:rsidP="00E378DD">
      <w:pPr>
        <w:pStyle w:val="libFootnote0"/>
        <w:rPr>
          <w:lang w:bidi="fa-IR"/>
        </w:rPr>
      </w:pPr>
      <w:r>
        <w:rPr>
          <w:rtl/>
          <w:lang w:bidi="fa-IR"/>
        </w:rPr>
        <w:t>(2).</w:t>
      </w:r>
      <w:r w:rsidR="00744A1C">
        <w:rPr>
          <w:rtl/>
          <w:lang w:bidi="fa-IR"/>
        </w:rPr>
        <w:t xml:space="preserve"> في </w:t>
      </w:r>
      <w:r w:rsidR="00744A1C" w:rsidRPr="007D61A8">
        <w:rPr>
          <w:rtl/>
        </w:rPr>
        <w:t>الوافي والتهذيب</w:t>
      </w:r>
      <w:r w:rsidR="00744A1C">
        <w:rPr>
          <w:rtl/>
          <w:lang w:bidi="fa-IR"/>
        </w:rPr>
        <w:t xml:space="preserve"> : « سمعت » بدون الواو.</w:t>
      </w:r>
    </w:p>
    <w:tbl>
      <w:tblPr>
        <w:tblStyle w:val="TableGrid"/>
        <w:bidiVisual/>
        <w:tblW w:w="0" w:type="auto"/>
        <w:tblLook w:val="04A0" w:firstRow="1" w:lastRow="0" w:firstColumn="1" w:lastColumn="0" w:noHBand="0" w:noVBand="1"/>
      </w:tblPr>
      <w:tblGrid>
        <w:gridCol w:w="4006"/>
        <w:gridCol w:w="4006"/>
      </w:tblGrid>
      <w:tr w:rsidR="007D61A8" w:rsidTr="007D61A8">
        <w:tc>
          <w:tcPr>
            <w:tcW w:w="4006" w:type="dxa"/>
          </w:tcPr>
          <w:p w:rsidR="007D61A8" w:rsidRDefault="007D61A8" w:rsidP="00E378DD">
            <w:pPr>
              <w:pStyle w:val="libFootnote0"/>
              <w:rPr>
                <w:rtl/>
                <w:lang w:bidi="fa-IR"/>
              </w:rPr>
            </w:pPr>
            <w:r>
              <w:rPr>
                <w:rtl/>
                <w:lang w:bidi="fa-IR"/>
              </w:rPr>
              <w:t xml:space="preserve">(3). في </w:t>
            </w:r>
            <w:r w:rsidRPr="007D61A8">
              <w:rPr>
                <w:rtl/>
              </w:rPr>
              <w:t>التهذيب</w:t>
            </w:r>
            <w:r>
              <w:rPr>
                <w:rtl/>
                <w:lang w:bidi="fa-IR"/>
              </w:rPr>
              <w:t xml:space="preserve"> : - « يقول ».</w:t>
            </w:r>
          </w:p>
        </w:tc>
        <w:tc>
          <w:tcPr>
            <w:tcW w:w="4006" w:type="dxa"/>
          </w:tcPr>
          <w:p w:rsidR="007D61A8" w:rsidRDefault="007D61A8" w:rsidP="00E378DD">
            <w:pPr>
              <w:pStyle w:val="libFootnote0"/>
              <w:rPr>
                <w:rtl/>
                <w:lang w:bidi="fa-IR"/>
              </w:rPr>
            </w:pPr>
            <w:r>
              <w:rPr>
                <w:rtl/>
                <w:lang w:bidi="fa-IR"/>
              </w:rPr>
              <w:t>(4). في الخصال : « بقدر ».</w:t>
            </w:r>
          </w:p>
        </w:tc>
      </w:tr>
    </w:tbl>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177 ، ح 360 ، معلّقاً عن الكليني. </w:t>
      </w:r>
      <w:r w:rsidR="00744A1C" w:rsidRPr="007D61A8">
        <w:rPr>
          <w:rStyle w:val="libFootnoteBoldChar"/>
          <w:rtl/>
        </w:rPr>
        <w:t>الخصال</w:t>
      </w:r>
      <w:r w:rsidR="00744A1C">
        <w:rPr>
          <w:rtl/>
          <w:lang w:bidi="fa-IR"/>
        </w:rPr>
        <w:t xml:space="preserve"> ، ص 6 ، باب الواحد ، ح 16 ، بسنده عن هارون بن مسلم ، عن مسعدة بن صدقة ، عن جعفر بن محمّد </w:t>
      </w:r>
      <w:r w:rsidR="0061079A" w:rsidRPr="0061079A">
        <w:rPr>
          <w:rStyle w:val="libFootnoteAlaemChar"/>
          <w:rtl/>
        </w:rPr>
        <w:t>عليه‌السلام</w:t>
      </w:r>
      <w:r w:rsidR="00D10E3C">
        <w:rPr>
          <w:rtl/>
          <w:lang w:bidi="fa-IR"/>
        </w:rPr>
        <w:t xml:space="preserve"> </w:t>
      </w:r>
      <w:r w:rsidR="00744A1C">
        <w:rPr>
          <w:rtl/>
          <w:lang w:bidi="fa-IR"/>
        </w:rPr>
        <w:t xml:space="preserve">، من قوله : « قال مسعدة : وسمعت أبا عبد الله </w:t>
      </w:r>
      <w:r w:rsidR="0061079A" w:rsidRPr="0061079A">
        <w:rPr>
          <w:rStyle w:val="libFootnoteAlaemChar"/>
          <w:rtl/>
        </w:rPr>
        <w:t>عليه‌السلام</w:t>
      </w:r>
      <w:r w:rsidR="00D10E3C">
        <w:rPr>
          <w:rtl/>
          <w:lang w:bidi="fa-IR"/>
        </w:rPr>
        <w:t xml:space="preserve"> </w:t>
      </w:r>
      <w:r w:rsidR="00744A1C">
        <w:rPr>
          <w:rtl/>
          <w:lang w:bidi="fa-IR"/>
        </w:rPr>
        <w:t xml:space="preserve">يقول » </w:t>
      </w:r>
      <w:r w:rsidR="007D61A8">
        <w:rPr>
          <w:rFonts w:hint="cs"/>
          <w:rtl/>
          <w:lang w:bidi="fa-IR"/>
        </w:rPr>
        <w:t>.</w:t>
      </w:r>
      <w:r w:rsidR="00744A1C" w:rsidRPr="00C24F9C">
        <w:rPr>
          <w:rStyle w:val="libFootnoteBoldChar"/>
          <w:rtl/>
        </w:rPr>
        <w:t>الوافي</w:t>
      </w:r>
      <w:r w:rsidR="00744A1C">
        <w:rPr>
          <w:rtl/>
          <w:lang w:bidi="fa-IR"/>
        </w:rPr>
        <w:t xml:space="preserve"> ، ج 15 ، ص 181 ، ح 14866 ؛ </w:t>
      </w:r>
      <w:r w:rsidR="00744A1C" w:rsidRPr="00C24F9C">
        <w:rPr>
          <w:rStyle w:val="libFootnoteBoldChar"/>
          <w:rtl/>
        </w:rPr>
        <w:t>الوسائل</w:t>
      </w:r>
      <w:r w:rsidR="00744A1C">
        <w:rPr>
          <w:rtl/>
          <w:lang w:bidi="fa-IR"/>
        </w:rPr>
        <w:t xml:space="preserve"> ، ج 16 ، ص 126 ، ح 21152.</w:t>
      </w:r>
    </w:p>
    <w:p w:rsidR="00744A1C" w:rsidRDefault="00E378DD" w:rsidP="00E378DD">
      <w:pPr>
        <w:pStyle w:val="libFootnote0"/>
        <w:rPr>
          <w:lang w:bidi="fa-IR"/>
        </w:rPr>
      </w:pPr>
      <w:r>
        <w:rPr>
          <w:rtl/>
          <w:lang w:bidi="fa-IR"/>
        </w:rPr>
        <w:t>(6).</w:t>
      </w:r>
      <w:r w:rsidR="00744A1C">
        <w:rPr>
          <w:rtl/>
          <w:lang w:bidi="fa-IR"/>
        </w:rPr>
        <w:t xml:space="preserve"> في « ى ، بح ، بف ، جد ، جن » </w:t>
      </w:r>
      <w:r w:rsidR="00744A1C" w:rsidRPr="007D61A8">
        <w:rPr>
          <w:rtl/>
        </w:rPr>
        <w:t>والوافي والوسائل</w:t>
      </w:r>
      <w:r w:rsidR="00744A1C">
        <w:rPr>
          <w:rtl/>
          <w:lang w:bidi="fa-IR"/>
        </w:rPr>
        <w:t xml:space="preserve"> : « المقري ». وفي « بث » : « البصري ». وفي حاشية « بث » وهامش المطبوع : « المصري ».</w:t>
      </w:r>
    </w:p>
    <w:p w:rsidR="00744A1C" w:rsidRDefault="00E378DD" w:rsidP="00E378DD">
      <w:pPr>
        <w:pStyle w:val="libFootnote0"/>
        <w:rPr>
          <w:lang w:bidi="fa-IR"/>
        </w:rPr>
      </w:pPr>
      <w:r>
        <w:rPr>
          <w:rtl/>
          <w:lang w:bidi="fa-IR"/>
        </w:rPr>
        <w:t>(7).</w:t>
      </w:r>
      <w:r w:rsidR="00744A1C">
        <w:rPr>
          <w:rtl/>
          <w:lang w:bidi="fa-IR"/>
        </w:rPr>
        <w:t xml:space="preserve"> في « بث ، جت ، جد ، جن » </w:t>
      </w:r>
      <w:r w:rsidR="00744A1C" w:rsidRPr="007D61A8">
        <w:rPr>
          <w:rtl/>
        </w:rPr>
        <w:t>والمرآة والوسائل</w:t>
      </w:r>
      <w:r w:rsidR="00744A1C">
        <w:rPr>
          <w:rtl/>
          <w:lang w:bidi="fa-IR"/>
        </w:rPr>
        <w:t xml:space="preserve"> : « غيراً » ، من الغيرة.</w:t>
      </w:r>
    </w:p>
    <w:p w:rsidR="00744A1C" w:rsidRDefault="00E378DD" w:rsidP="00E378DD">
      <w:pPr>
        <w:pStyle w:val="libFootnote0"/>
        <w:rPr>
          <w:lang w:bidi="fa-IR"/>
        </w:rPr>
      </w:pPr>
      <w:r>
        <w:rPr>
          <w:rtl/>
          <w:lang w:bidi="fa-IR"/>
        </w:rPr>
        <w:t>(8).</w:t>
      </w:r>
      <w:r w:rsidR="00744A1C">
        <w:rPr>
          <w:rtl/>
          <w:lang w:bidi="fa-IR"/>
        </w:rPr>
        <w:t xml:space="preserve"> في « بس » : « إنكاراً ». وفي </w:t>
      </w:r>
      <w:r w:rsidR="00744A1C" w:rsidRPr="00C24F9C">
        <w:rPr>
          <w:rStyle w:val="libFootnoteBoldChar"/>
          <w:rtl/>
        </w:rPr>
        <w:t>التهذيب</w:t>
      </w:r>
      <w:r w:rsidR="00744A1C">
        <w:rPr>
          <w:rtl/>
          <w:lang w:bidi="fa-IR"/>
        </w:rPr>
        <w:t xml:space="preserve"> : « نيّته أنّه له كاره » بدل « قلبه إنكاره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178 ، ح 361 ، معلّقاً عن عليّ بن إبراهيم.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376 ، مع اختلاف يسير. وراجع : </w:t>
      </w:r>
      <w:r w:rsidR="00744A1C" w:rsidRPr="007D61A8">
        <w:rPr>
          <w:rStyle w:val="libFootnoteBoldChar"/>
          <w:rtl/>
        </w:rPr>
        <w:t>نهج البلاغة</w:t>
      </w:r>
      <w:r w:rsidR="00744A1C">
        <w:rPr>
          <w:rtl/>
          <w:lang w:bidi="fa-IR"/>
        </w:rPr>
        <w:t xml:space="preserve"> ، ص 541 ، الحكمة 373 </w:t>
      </w:r>
      <w:r w:rsidR="007D61A8">
        <w:rPr>
          <w:rFonts w:hint="cs"/>
          <w:rtl/>
          <w:lang w:bidi="fa-IR"/>
        </w:rPr>
        <w:t>.</w:t>
      </w:r>
      <w:r w:rsidR="00744A1C" w:rsidRPr="00C24F9C">
        <w:rPr>
          <w:rStyle w:val="libFootnoteBoldChar"/>
          <w:rtl/>
        </w:rPr>
        <w:t>الوافي</w:t>
      </w:r>
      <w:r w:rsidR="00744A1C">
        <w:rPr>
          <w:rtl/>
          <w:lang w:bidi="fa-IR"/>
        </w:rPr>
        <w:t xml:space="preserve"> ، ج 15 ، ص 186 ، ح 14875 ؛ </w:t>
      </w:r>
      <w:r w:rsidR="00744A1C" w:rsidRPr="00C24F9C">
        <w:rPr>
          <w:rStyle w:val="libFootnoteBoldChar"/>
          <w:rtl/>
        </w:rPr>
        <w:t>الوسائل</w:t>
      </w:r>
      <w:r w:rsidR="00744A1C">
        <w:rPr>
          <w:rtl/>
          <w:lang w:bidi="fa-IR"/>
        </w:rPr>
        <w:t xml:space="preserve"> ، ج 16 ، ص 137 ، ح 21177.</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8336 / 2. وَبِهذَا الْإِسْنَادِ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إِنَّمَا يُؤْمَرُ بِالْمَعْرُوفِ وَيُنْهى عَنِ الْمُنْكَرِ مُؤْمِنٌ فَيَتَّعِظُ </w:t>
      </w:r>
      <w:r w:rsidRPr="00D10E3C">
        <w:rPr>
          <w:rStyle w:val="libFootnotenumChar"/>
          <w:rtl/>
        </w:rPr>
        <w:t>(1)</w:t>
      </w:r>
      <w:r>
        <w:rPr>
          <w:rtl/>
          <w:lang w:bidi="fa-IR"/>
        </w:rPr>
        <w:t xml:space="preserve"> ، أَوْ جَاهِلٌ </w:t>
      </w:r>
      <w:r w:rsidRPr="00D10E3C">
        <w:rPr>
          <w:rStyle w:val="libFootnotenumChar"/>
          <w:rtl/>
        </w:rPr>
        <w:t>(2)</w:t>
      </w:r>
      <w:r>
        <w:rPr>
          <w:rtl/>
          <w:lang w:bidi="fa-IR"/>
        </w:rPr>
        <w:t xml:space="preserve"> فَيَتَعَلَّمُ </w:t>
      </w:r>
      <w:r w:rsidRPr="00D10E3C">
        <w:rPr>
          <w:rStyle w:val="libFootnotenumChar"/>
          <w:rtl/>
        </w:rPr>
        <w:t>(3)</w:t>
      </w:r>
      <w:r>
        <w:rPr>
          <w:rtl/>
          <w:lang w:bidi="fa-IR"/>
        </w:rPr>
        <w:t xml:space="preserve"> ، وَأَمَّا </w:t>
      </w:r>
      <w:r w:rsidRPr="00D10E3C">
        <w:rPr>
          <w:rStyle w:val="libFootnotenumChar"/>
          <w:rtl/>
        </w:rPr>
        <w:t>(4)</w:t>
      </w:r>
      <w:r>
        <w:rPr>
          <w:rtl/>
          <w:lang w:bidi="fa-IR"/>
        </w:rPr>
        <w:t xml:space="preserve"> صَاحِبُ سَوْطٍ أَوْ سَيْفٍ </w:t>
      </w:r>
      <w:r w:rsidRPr="00D10E3C">
        <w:rPr>
          <w:rStyle w:val="libFootnotenumChar"/>
          <w:rtl/>
        </w:rPr>
        <w:t>(5)</w:t>
      </w:r>
      <w:r>
        <w:rPr>
          <w:rtl/>
          <w:lang w:bidi="fa-IR"/>
        </w:rPr>
        <w:t xml:space="preserve"> ، فَلَا ». </w:t>
      </w:r>
      <w:r w:rsidRPr="00D10E3C">
        <w:rPr>
          <w:rStyle w:val="libFootnotenumChar"/>
          <w:rtl/>
        </w:rPr>
        <w:t>(6)</w:t>
      </w:r>
    </w:p>
    <w:p w:rsidR="00144FA6" w:rsidRDefault="00744A1C" w:rsidP="00744A1C">
      <w:pPr>
        <w:pStyle w:val="libNormal"/>
        <w:rPr>
          <w:rtl/>
          <w:lang w:bidi="fa-IR"/>
        </w:rPr>
      </w:pPr>
      <w:r>
        <w:rPr>
          <w:rtl/>
          <w:lang w:bidi="fa-IR"/>
        </w:rPr>
        <w:t xml:space="preserve">8337 / 3. عَنْهُ </w:t>
      </w:r>
      <w:r w:rsidRPr="00D10E3C">
        <w:rPr>
          <w:rStyle w:val="libFootnotenumChar"/>
          <w:rtl/>
        </w:rPr>
        <w:t>(7)</w:t>
      </w:r>
      <w:r>
        <w:rPr>
          <w:rtl/>
          <w:lang w:bidi="fa-IR"/>
        </w:rPr>
        <w:t xml:space="preserve"> ، عَنْ أَبِيهِ ، عَنِ ابْنِ أَبِي عُمَيْرٍ ، عَنْ مُفَضَّلِ بْنِ يَزِيدَ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قَالَ لِي : « يَا مُفَضَّلُ ، مَنْ تَعَرَّضَ </w:t>
      </w:r>
      <w:r w:rsidRPr="00D10E3C">
        <w:rPr>
          <w:rStyle w:val="libFootnotenumChar"/>
          <w:rtl/>
        </w:rPr>
        <w:t>(8)</w:t>
      </w:r>
      <w:r>
        <w:rPr>
          <w:rtl/>
          <w:lang w:bidi="fa-IR"/>
        </w:rPr>
        <w:t xml:space="preserve"> لِسُلْطَانٍ جَائِرٍ ، فَأَصَابَتْهُ بَلِيَّةٌ ، لَمْ يُؤْجَرْ عَلَيْهَا ، وَلَمْ يُرْزَقِ الصَّبْرَ عَلَيْهَا ». </w:t>
      </w:r>
      <w:r w:rsidRPr="00D10E3C">
        <w:rPr>
          <w:rStyle w:val="libFootnotenumChar"/>
          <w:rtl/>
        </w:rPr>
        <w:t>(9)</w:t>
      </w:r>
    </w:p>
    <w:p w:rsidR="00144FA6" w:rsidRDefault="00744A1C" w:rsidP="00744A1C">
      <w:pPr>
        <w:pStyle w:val="libNormal"/>
        <w:rPr>
          <w:rtl/>
          <w:lang w:bidi="fa-IR"/>
        </w:rPr>
      </w:pPr>
      <w:r>
        <w:rPr>
          <w:rtl/>
          <w:lang w:bidi="fa-IR"/>
        </w:rPr>
        <w:t>8338 / 4. عَلِيٌّ ، عَنْ أَبِيهِ ، عَنْ بَعْضِ أَصْحَابِهِ ، عَنْ غِيَاثِ بْنِ إِبْرَاهِيمَ ، قَالَ :</w:t>
      </w:r>
    </w:p>
    <w:p w:rsidR="00144FA6" w:rsidRDefault="00744A1C" w:rsidP="00744A1C">
      <w:pPr>
        <w:pStyle w:val="libNormal"/>
        <w:rPr>
          <w:rtl/>
          <w:lang w:bidi="fa-IR"/>
        </w:rPr>
      </w:pPr>
      <w:r>
        <w:rPr>
          <w:rtl/>
          <w:lang w:bidi="fa-IR"/>
        </w:rPr>
        <w:t xml:space="preserve">كَانَ أَبُو عَبْدِ اللهِ </w:t>
      </w:r>
      <w:r w:rsidR="0061079A" w:rsidRPr="0061079A">
        <w:rPr>
          <w:rStyle w:val="libAlaemChar"/>
          <w:rtl/>
        </w:rPr>
        <w:t>عليه‌السلام</w:t>
      </w:r>
      <w:r w:rsidR="00D10E3C">
        <w:rPr>
          <w:rtl/>
          <w:lang w:bidi="fa-IR"/>
        </w:rPr>
        <w:t xml:space="preserve"> </w:t>
      </w:r>
      <w:r>
        <w:rPr>
          <w:rtl/>
          <w:lang w:bidi="fa-IR"/>
        </w:rPr>
        <w:t xml:space="preserve">إِذَا مَرَّ بِجَمَاعَةٍ يَخْتَصِمُونَ ، لَمْ يَجُزْهُمْ </w:t>
      </w:r>
      <w:r w:rsidRPr="00D10E3C">
        <w:rPr>
          <w:rStyle w:val="libFootnotenumChar"/>
          <w:rtl/>
        </w:rPr>
        <w:t>(10)</w:t>
      </w:r>
      <w:r>
        <w:rPr>
          <w:rtl/>
          <w:lang w:bidi="fa-IR"/>
        </w:rPr>
        <w:t xml:space="preserve"> حَتّى يَقُولَ ثَلَاثاً : « اتَّقُوا اللهَ ، اتَّقُوا اللهَ </w:t>
      </w:r>
      <w:r w:rsidRPr="00D10E3C">
        <w:rPr>
          <w:rStyle w:val="libFootnotenumChar"/>
          <w:rtl/>
        </w:rPr>
        <w:t>(11)</w:t>
      </w:r>
      <w:r>
        <w:rPr>
          <w:rtl/>
          <w:lang w:bidi="fa-IR"/>
        </w:rPr>
        <w:t xml:space="preserve"> » يَرْفَعُ </w:t>
      </w:r>
      <w:r w:rsidRPr="00D10E3C">
        <w:rPr>
          <w:rStyle w:val="libFootnotenumChar"/>
          <w:rtl/>
        </w:rPr>
        <w:t>(12)</w:t>
      </w:r>
      <w:r>
        <w:rPr>
          <w:rtl/>
          <w:lang w:bidi="fa-IR"/>
        </w:rPr>
        <w:t xml:space="preserve"> بِهَا صَوْتَهُ.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جن » : « ليتّعظ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18 ، ص 408 : « أي إنّما يفعل ذلك للجهل ، ولا يأبى عن التعلّم ».</w:t>
      </w:r>
    </w:p>
    <w:p w:rsidR="00744A1C" w:rsidRDefault="00E378DD" w:rsidP="007D61A8">
      <w:pPr>
        <w:pStyle w:val="libFootnote0"/>
        <w:rPr>
          <w:lang w:bidi="fa-IR"/>
        </w:rPr>
      </w:pPr>
      <w:r>
        <w:rPr>
          <w:rtl/>
          <w:lang w:bidi="fa-IR"/>
        </w:rPr>
        <w:t>(3).</w:t>
      </w:r>
      <w:r w:rsidR="00744A1C">
        <w:rPr>
          <w:rtl/>
          <w:lang w:bidi="fa-IR"/>
        </w:rPr>
        <w:t xml:space="preserve"> في </w:t>
      </w:r>
      <w:r w:rsidR="00744A1C" w:rsidRPr="007D61A8">
        <w:rPr>
          <w:rtl/>
        </w:rPr>
        <w:t>فقه الرضا</w:t>
      </w:r>
      <w:r w:rsidR="00744A1C">
        <w:rPr>
          <w:rtl/>
          <w:lang w:bidi="fa-IR"/>
        </w:rPr>
        <w:t xml:space="preserve"> : « فيستيقظ ». وفي </w:t>
      </w:r>
      <w:r w:rsidR="00744A1C" w:rsidRPr="007D61A8">
        <w:rPr>
          <w:rtl/>
        </w:rPr>
        <w:t>الجعفريّات</w:t>
      </w:r>
      <w:r w:rsidR="00744A1C">
        <w:rPr>
          <w:rtl/>
          <w:lang w:bidi="fa-IR"/>
        </w:rPr>
        <w:t xml:space="preserve"> : « جاهل فيعلم ، أو مؤمّل يرتجى » بدل « مؤمن فيتّعظ ، أو جاهل فيتعلّم ».</w:t>
      </w:r>
      <w:r w:rsidR="007D61A8">
        <w:rPr>
          <w:rFonts w:hint="cs"/>
          <w:rtl/>
          <w:lang w:bidi="fa-IR"/>
        </w:rPr>
        <w:t xml:space="preserve">                              </w:t>
      </w:r>
      <w:r>
        <w:rPr>
          <w:rtl/>
          <w:lang w:bidi="fa-IR"/>
        </w:rPr>
        <w:t>(4).</w:t>
      </w:r>
      <w:r w:rsidR="00744A1C">
        <w:rPr>
          <w:rtl/>
          <w:lang w:bidi="fa-IR"/>
        </w:rPr>
        <w:t xml:space="preserve"> في </w:t>
      </w:r>
      <w:r w:rsidR="00744A1C" w:rsidRPr="007D61A8">
        <w:rPr>
          <w:rtl/>
        </w:rPr>
        <w:t>الوافي والوسائل والتهذيب</w:t>
      </w:r>
      <w:r w:rsidR="00744A1C">
        <w:rPr>
          <w:rtl/>
          <w:lang w:bidi="fa-IR"/>
        </w:rPr>
        <w:t xml:space="preserve"> : « فأمّا ».</w:t>
      </w:r>
    </w:p>
    <w:p w:rsidR="00744A1C" w:rsidRDefault="00E378DD" w:rsidP="00E378DD">
      <w:pPr>
        <w:pStyle w:val="libFootnote0"/>
        <w:rPr>
          <w:lang w:bidi="fa-IR"/>
        </w:rPr>
      </w:pPr>
      <w:r>
        <w:rPr>
          <w:rtl/>
          <w:lang w:bidi="fa-IR"/>
        </w:rPr>
        <w:t>(5).</w:t>
      </w:r>
      <w:r w:rsidR="00744A1C">
        <w:rPr>
          <w:rtl/>
          <w:lang w:bidi="fa-IR"/>
        </w:rPr>
        <w:t xml:space="preserve"> في « بف » </w:t>
      </w:r>
      <w:r w:rsidR="00744A1C" w:rsidRPr="007D61A8">
        <w:rPr>
          <w:rtl/>
        </w:rPr>
        <w:t>والتهذيب</w:t>
      </w:r>
      <w:r w:rsidR="00744A1C">
        <w:rPr>
          <w:rtl/>
          <w:lang w:bidi="fa-IR"/>
        </w:rPr>
        <w:t xml:space="preserve"> والخصال والتحف : « وسيف ». وفي « جت » : « سيف وسوط » بدل « سوط أوسيف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178 ، ح 362 ، معلّقاً عن عليّ بن إبراهيم ، عن أبيه ، عن ابن أبي عمير ، عن يحيى الطويل صاحب المنقري ، عن أبي عبد الله </w:t>
      </w:r>
      <w:r w:rsidR="0061079A" w:rsidRPr="0061079A">
        <w:rPr>
          <w:rStyle w:val="libFootnoteAlaemChar"/>
          <w:rtl/>
        </w:rPr>
        <w:t>عليه‌السلام</w:t>
      </w:r>
      <w:r w:rsidR="00744A1C">
        <w:rPr>
          <w:rtl/>
          <w:lang w:bidi="fa-IR"/>
        </w:rPr>
        <w:t xml:space="preserve"> . </w:t>
      </w:r>
      <w:r w:rsidR="00744A1C" w:rsidRPr="007D61A8">
        <w:rPr>
          <w:rStyle w:val="libFootnoteBoldChar"/>
          <w:rtl/>
        </w:rPr>
        <w:t>الخصال</w:t>
      </w:r>
      <w:r w:rsidR="00744A1C">
        <w:rPr>
          <w:rtl/>
          <w:lang w:bidi="fa-IR"/>
        </w:rPr>
        <w:t xml:space="preserve"> ، ص 35 ، باب الاثنين ، ح 9 ، بسنده عن ابن أبي عمير ، عن يحيى الطويل البصري ، عن أبي عبد الله </w:t>
      </w:r>
      <w:r w:rsidR="0061079A" w:rsidRPr="0061079A">
        <w:rPr>
          <w:rStyle w:val="libFootnoteAlaemChar"/>
          <w:rtl/>
        </w:rPr>
        <w:t>عليه‌السلام</w:t>
      </w:r>
      <w:r w:rsidR="00744A1C">
        <w:rPr>
          <w:rtl/>
          <w:lang w:bidi="fa-IR"/>
        </w:rPr>
        <w:t xml:space="preserve"> . </w:t>
      </w:r>
      <w:r w:rsidR="00744A1C" w:rsidRPr="00877682">
        <w:rPr>
          <w:rStyle w:val="libFootnoteBoldChar"/>
          <w:rtl/>
        </w:rPr>
        <w:t>الجعفريّات</w:t>
      </w:r>
      <w:r w:rsidR="00744A1C">
        <w:rPr>
          <w:rtl/>
          <w:lang w:bidi="fa-IR"/>
        </w:rPr>
        <w:t xml:space="preserve"> ، ص 88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النبيّ </w:t>
      </w:r>
      <w:r w:rsidR="00F90866" w:rsidRPr="00F90866">
        <w:rPr>
          <w:rStyle w:val="libFootnoteAlaemChar"/>
          <w:rtl/>
        </w:rPr>
        <w:t>صلى‌الله‌عليه‌وآله</w:t>
      </w:r>
      <w:r w:rsidR="00744A1C">
        <w:rPr>
          <w:rtl/>
          <w:lang w:bidi="fa-IR"/>
        </w:rPr>
        <w:t xml:space="preserve">.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376 ؛ </w:t>
      </w:r>
      <w:r w:rsidR="00744A1C" w:rsidRPr="007D61A8">
        <w:rPr>
          <w:rStyle w:val="libFootnoteBoldChar"/>
          <w:rtl/>
        </w:rPr>
        <w:t>تحف العقول</w:t>
      </w:r>
      <w:r w:rsidR="00744A1C">
        <w:rPr>
          <w:rtl/>
          <w:lang w:bidi="fa-IR"/>
        </w:rPr>
        <w:t xml:space="preserve"> ، ص 358 </w:t>
      </w:r>
      <w:r w:rsidR="00744A1C" w:rsidRPr="00C24F9C">
        <w:rPr>
          <w:rStyle w:val="libFootnoteBoldChar"/>
          <w:rtl/>
        </w:rPr>
        <w:t>الوافي</w:t>
      </w:r>
      <w:r w:rsidR="00744A1C">
        <w:rPr>
          <w:rtl/>
          <w:lang w:bidi="fa-IR"/>
        </w:rPr>
        <w:t xml:space="preserve"> ، ج 15 ، ص 182 ، ح 14867 ؛ </w:t>
      </w:r>
      <w:r w:rsidR="00744A1C" w:rsidRPr="00C24F9C">
        <w:rPr>
          <w:rStyle w:val="libFootnoteBoldChar"/>
          <w:rtl/>
        </w:rPr>
        <w:t>الوسائل</w:t>
      </w:r>
      <w:r w:rsidR="00744A1C">
        <w:rPr>
          <w:rtl/>
          <w:lang w:bidi="fa-IR"/>
        </w:rPr>
        <w:t xml:space="preserve"> ، ج 16 ، ص 127 ، ح 21153.</w:t>
      </w:r>
    </w:p>
    <w:p w:rsidR="00744A1C" w:rsidRDefault="00E378DD" w:rsidP="00E378DD">
      <w:pPr>
        <w:pStyle w:val="libFootnote0"/>
        <w:rPr>
          <w:lang w:bidi="fa-IR"/>
        </w:rPr>
      </w:pPr>
      <w:r>
        <w:rPr>
          <w:rtl/>
          <w:lang w:bidi="fa-IR"/>
        </w:rPr>
        <w:t>(7).</w:t>
      </w:r>
      <w:r w:rsidR="00744A1C">
        <w:rPr>
          <w:rtl/>
          <w:lang w:bidi="fa-IR"/>
        </w:rPr>
        <w:t xml:space="preserve"> الضمير راجع إلى عليّ بن إبراهيم.</w:t>
      </w:r>
    </w:p>
    <w:p w:rsidR="00744A1C" w:rsidRDefault="00E378DD" w:rsidP="00E378DD">
      <w:pPr>
        <w:pStyle w:val="libFootnote0"/>
        <w:rPr>
          <w:lang w:bidi="fa-IR"/>
        </w:rPr>
      </w:pPr>
      <w:r>
        <w:rPr>
          <w:rtl/>
          <w:lang w:bidi="fa-IR"/>
        </w:rPr>
        <w:t>(8).</w:t>
      </w:r>
      <w:r w:rsidR="00744A1C">
        <w:rPr>
          <w:rtl/>
          <w:lang w:bidi="fa-IR"/>
        </w:rPr>
        <w:t xml:space="preserve"> في « بث » : « يعرض ».</w:t>
      </w:r>
    </w:p>
    <w:p w:rsidR="00744A1C" w:rsidRDefault="00E378DD" w:rsidP="004071B8">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178 ، ح 363 ، معلّقاً عن عليّ بن إبراهيم. </w:t>
      </w:r>
      <w:r w:rsidR="00744A1C" w:rsidRPr="004071B8">
        <w:rPr>
          <w:rStyle w:val="libFootnoteBoldChar"/>
          <w:rtl/>
        </w:rPr>
        <w:t>ثواب الأعمال</w:t>
      </w:r>
      <w:r w:rsidR="00744A1C">
        <w:rPr>
          <w:rtl/>
          <w:lang w:bidi="fa-IR"/>
        </w:rPr>
        <w:t xml:space="preserve"> ، ص 296 ، ح 1 ، بسنده عن المفضّل بن عمر ، عن أبي عبد الله </w:t>
      </w:r>
      <w:r w:rsidR="0061079A" w:rsidRPr="0061079A">
        <w:rPr>
          <w:rStyle w:val="libFootnoteAlaemChar"/>
          <w:rtl/>
        </w:rPr>
        <w:t>عليه‌السلام</w:t>
      </w:r>
      <w:r w:rsidR="00744A1C">
        <w:rPr>
          <w:rtl/>
          <w:lang w:bidi="fa-IR"/>
        </w:rPr>
        <w:t xml:space="preserve"> . </w:t>
      </w:r>
      <w:r w:rsidR="00744A1C" w:rsidRPr="007D61A8">
        <w:rPr>
          <w:rStyle w:val="libFootnoteBoldChar"/>
          <w:rtl/>
        </w:rPr>
        <w:t>تحف العقول</w:t>
      </w:r>
      <w:r w:rsidR="00744A1C">
        <w:rPr>
          <w:rtl/>
          <w:lang w:bidi="fa-IR"/>
        </w:rPr>
        <w:t xml:space="preserve"> ، ص 359 </w:t>
      </w:r>
      <w:r w:rsidR="004071B8">
        <w:rPr>
          <w:rFonts w:hint="cs"/>
          <w:rtl/>
          <w:lang w:bidi="fa-IR"/>
        </w:rPr>
        <w:t>.</w:t>
      </w:r>
      <w:r w:rsidR="00744A1C" w:rsidRPr="00C24F9C">
        <w:rPr>
          <w:rStyle w:val="libFootnoteBoldChar"/>
          <w:rtl/>
        </w:rPr>
        <w:t>الوافي</w:t>
      </w:r>
      <w:r w:rsidR="00744A1C">
        <w:rPr>
          <w:rtl/>
          <w:lang w:bidi="fa-IR"/>
        </w:rPr>
        <w:t xml:space="preserve"> ، ج 15 ، ص 182 ، ح 14868 ؛ </w:t>
      </w:r>
      <w:r w:rsidR="00744A1C" w:rsidRPr="00C24F9C">
        <w:rPr>
          <w:rStyle w:val="libFootnoteBoldChar"/>
          <w:rtl/>
        </w:rPr>
        <w:t>الوسائل</w:t>
      </w:r>
      <w:r w:rsidR="00744A1C">
        <w:rPr>
          <w:rtl/>
          <w:lang w:bidi="fa-IR"/>
        </w:rPr>
        <w:t xml:space="preserve"> ، ج 16 ، ص 127 ، ح 21154.</w:t>
      </w:r>
      <w:r w:rsidR="004071B8">
        <w:rPr>
          <w:rFonts w:hint="cs"/>
          <w:rtl/>
          <w:lang w:bidi="fa-IR"/>
        </w:rPr>
        <w:t xml:space="preserve">   </w:t>
      </w:r>
      <w:r>
        <w:rPr>
          <w:rtl/>
          <w:lang w:bidi="fa-IR"/>
        </w:rPr>
        <w:t>(10).</w:t>
      </w:r>
      <w:r w:rsidR="00744A1C">
        <w:rPr>
          <w:rtl/>
          <w:lang w:bidi="fa-IR"/>
        </w:rPr>
        <w:t xml:space="preserve"> في </w:t>
      </w:r>
      <w:r w:rsidR="00744A1C" w:rsidRPr="004071B8">
        <w:rPr>
          <w:rtl/>
        </w:rPr>
        <w:t>الوافي</w:t>
      </w:r>
      <w:r w:rsidR="00744A1C">
        <w:rPr>
          <w:rtl/>
          <w:lang w:bidi="fa-IR"/>
        </w:rPr>
        <w:t xml:space="preserve"> : « لا يجوزهم ».</w:t>
      </w:r>
    </w:p>
    <w:p w:rsidR="00744A1C" w:rsidRDefault="00E378DD" w:rsidP="00E378DD">
      <w:pPr>
        <w:pStyle w:val="libFootnote0"/>
        <w:rPr>
          <w:lang w:bidi="fa-IR"/>
        </w:rPr>
      </w:pPr>
      <w:r>
        <w:rPr>
          <w:rtl/>
          <w:lang w:bidi="fa-IR"/>
        </w:rPr>
        <w:t>(11).</w:t>
      </w:r>
      <w:r w:rsidR="00744A1C">
        <w:rPr>
          <w:rtl/>
          <w:lang w:bidi="fa-IR"/>
        </w:rPr>
        <w:t xml:space="preserve"> في « بث ، جن » </w:t>
      </w:r>
      <w:r w:rsidR="00744A1C" w:rsidRPr="004071B8">
        <w:rPr>
          <w:rtl/>
        </w:rPr>
        <w:t>والوافي</w:t>
      </w:r>
      <w:r w:rsidR="00744A1C">
        <w:rPr>
          <w:rtl/>
          <w:lang w:bidi="fa-IR"/>
        </w:rPr>
        <w:t xml:space="preserve"> </w:t>
      </w:r>
      <w:r w:rsidR="00744A1C" w:rsidRPr="004071B8">
        <w:rPr>
          <w:rtl/>
        </w:rPr>
        <w:t>والكافي</w:t>
      </w:r>
      <w:r w:rsidR="00744A1C">
        <w:rPr>
          <w:rtl/>
          <w:lang w:bidi="fa-IR"/>
        </w:rPr>
        <w:t xml:space="preserve"> ، ح 8330 </w:t>
      </w:r>
      <w:r w:rsidR="00744A1C" w:rsidRPr="004071B8">
        <w:rPr>
          <w:rtl/>
        </w:rPr>
        <w:t>والتهذيب</w:t>
      </w:r>
      <w:r w:rsidR="00744A1C">
        <w:rPr>
          <w:rtl/>
          <w:lang w:bidi="fa-IR"/>
        </w:rPr>
        <w:t xml:space="preserve"> : - « اتّقوا الله ».</w:t>
      </w:r>
    </w:p>
    <w:p w:rsidR="00744A1C" w:rsidRDefault="00E378DD" w:rsidP="00E378DD">
      <w:pPr>
        <w:pStyle w:val="libFootnote0"/>
        <w:rPr>
          <w:lang w:bidi="fa-IR"/>
        </w:rPr>
      </w:pPr>
      <w:r>
        <w:rPr>
          <w:rtl/>
          <w:lang w:bidi="fa-IR"/>
        </w:rPr>
        <w:t>(12).</w:t>
      </w:r>
      <w:r w:rsidR="00744A1C">
        <w:rPr>
          <w:rtl/>
          <w:lang w:bidi="fa-IR"/>
        </w:rPr>
        <w:t xml:space="preserve"> في </w:t>
      </w:r>
      <w:r w:rsidR="00744A1C" w:rsidRPr="004071B8">
        <w:rPr>
          <w:rtl/>
        </w:rPr>
        <w:t>الوافي</w:t>
      </w:r>
      <w:r w:rsidR="00744A1C">
        <w:rPr>
          <w:rtl/>
          <w:lang w:bidi="fa-IR"/>
        </w:rPr>
        <w:t xml:space="preserve"> : « ويرفع ».</w:t>
      </w:r>
    </w:p>
    <w:p w:rsidR="00144FA6" w:rsidRDefault="00E378DD" w:rsidP="00E378DD">
      <w:pPr>
        <w:pStyle w:val="libFootnote0"/>
        <w:rPr>
          <w:rtl/>
          <w:lang w:bidi="fa-IR"/>
        </w:rPr>
      </w:pPr>
      <w:r>
        <w:rPr>
          <w:rtl/>
          <w:lang w:bidi="fa-IR"/>
        </w:rPr>
        <w:t>(13).</w:t>
      </w:r>
      <w:r w:rsidR="00744A1C">
        <w:rPr>
          <w:rtl/>
          <w:lang w:bidi="fa-IR"/>
        </w:rPr>
        <w:t xml:space="preserve"> </w:t>
      </w:r>
      <w:r w:rsidR="00744A1C" w:rsidRPr="0061079A">
        <w:rPr>
          <w:rStyle w:val="libFootnoteBoldChar"/>
          <w:rtl/>
        </w:rPr>
        <w:t>الكافي</w:t>
      </w:r>
      <w:r w:rsidR="00744A1C">
        <w:rPr>
          <w:rtl/>
          <w:lang w:bidi="fa-IR"/>
        </w:rPr>
        <w:t xml:space="preserve"> ، كتاب الجهاد ، باب الأمر بالمعروف والنهي عن المنكر ، ح 8330 ؛ </w:t>
      </w:r>
      <w:r w:rsidR="00744A1C" w:rsidRPr="0061079A">
        <w:rPr>
          <w:rStyle w:val="libFootnoteBoldChar"/>
          <w:rtl/>
        </w:rPr>
        <w:t>والتهذيب</w:t>
      </w:r>
      <w:r w:rsidR="00744A1C">
        <w:rPr>
          <w:rtl/>
          <w:lang w:bidi="fa-IR"/>
        </w:rPr>
        <w:t xml:space="preserve"> ، ج 6 ،</w:t>
      </w:r>
      <w:r w:rsidR="004071B8">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8339 / 5. مُحَمَّدُ بْنُ يَحْيى ، عَنْ أَحْمَدَ بْنِ مُحَمَّدٍ ، عَنْ مُحَمَّدِ بْنِ سِنَانٍ ، عَنْ مَحْفُوظٍ الْإِسْكَافِ ، قَالَ :</w:t>
      </w:r>
    </w:p>
    <w:p w:rsidR="00744A1C" w:rsidRDefault="00744A1C" w:rsidP="00744A1C">
      <w:pPr>
        <w:pStyle w:val="libNormal"/>
        <w:rPr>
          <w:lang w:bidi="fa-IR"/>
        </w:rPr>
      </w:pPr>
      <w:r>
        <w:rPr>
          <w:rtl/>
          <w:lang w:bidi="fa-IR"/>
        </w:rPr>
        <w:t xml:space="preserve">رَأَيْتُ أَبَا عَبْدِ اللهِ </w:t>
      </w:r>
      <w:r w:rsidR="0061079A" w:rsidRPr="0061079A">
        <w:rPr>
          <w:rStyle w:val="libAlaemChar"/>
          <w:rtl/>
        </w:rPr>
        <w:t>عليه‌السلام</w:t>
      </w:r>
      <w:r w:rsidR="00D10E3C">
        <w:rPr>
          <w:rtl/>
          <w:lang w:bidi="fa-IR"/>
        </w:rPr>
        <w:t xml:space="preserve"> </w:t>
      </w:r>
      <w:r>
        <w:rPr>
          <w:rtl/>
          <w:lang w:bidi="fa-IR"/>
        </w:rPr>
        <w:t xml:space="preserve">رَمى جَمْرَةَ الْعَقَبَةِ وَانْصَرَفَ ، فَمَشَيْتُ بَيْنَ يَدَيْهِ كَالْمُطَرِّقِ لَهُ </w:t>
      </w:r>
      <w:r w:rsidRPr="00D10E3C">
        <w:rPr>
          <w:rStyle w:val="libFootnotenumChar"/>
          <w:rtl/>
        </w:rPr>
        <w:t>(1)</w:t>
      </w:r>
      <w:r>
        <w:rPr>
          <w:rtl/>
          <w:lang w:bidi="fa-IR"/>
        </w:rPr>
        <w:t xml:space="preserve"> ، فَإِذَا رَجُلٌ أَصْفَرُ عَمْرَكِيٌّ </w:t>
      </w:r>
      <w:r w:rsidRPr="00D10E3C">
        <w:rPr>
          <w:rStyle w:val="libFootnotenumChar"/>
          <w:rtl/>
        </w:rPr>
        <w:t>(2)</w:t>
      </w:r>
      <w:r>
        <w:rPr>
          <w:rtl/>
          <w:lang w:bidi="fa-IR"/>
        </w:rPr>
        <w:t xml:space="preserve"> قَدْ أَدْخَلَ عُودَةً فِي الْأَرْضِ شِبْهَ السَّابِحِ </w:t>
      </w:r>
      <w:r w:rsidRPr="00D10E3C">
        <w:rPr>
          <w:rStyle w:val="libFootnotenumChar"/>
          <w:rtl/>
        </w:rPr>
        <w:t>(3)</w:t>
      </w:r>
      <w:r>
        <w:rPr>
          <w:rtl/>
          <w:lang w:bidi="fa-IR"/>
        </w:rPr>
        <w:t xml:space="preserve"> ، وَرَبَطَهُ إِلى فُسْطَاطِهِ </w:t>
      </w:r>
      <w:r w:rsidRPr="00D10E3C">
        <w:rPr>
          <w:rStyle w:val="libFootnotenumChar"/>
          <w:rtl/>
        </w:rPr>
        <w:t>(4)</w:t>
      </w:r>
      <w:r>
        <w:rPr>
          <w:rtl/>
          <w:lang w:bidi="fa-IR"/>
        </w:rPr>
        <w:t xml:space="preserve"> ، وَالنَّاسُ وُقُوفٌ لَايَقْدِرُونَ عَلى أَنْ يَمُرُّوا.</w:t>
      </w:r>
    </w:p>
    <w:p w:rsidR="00744A1C" w:rsidRDefault="00744A1C" w:rsidP="00744A1C">
      <w:pPr>
        <w:pStyle w:val="libNormal"/>
        <w:rPr>
          <w:lang w:bidi="fa-IR"/>
        </w:rPr>
      </w:pPr>
      <w:r>
        <w:rPr>
          <w:rtl/>
          <w:lang w:bidi="fa-IR"/>
        </w:rPr>
        <w:t xml:space="preserve">فَقَالَ لَهُ أَبُو عَبْدِ اللهِ </w:t>
      </w:r>
      <w:r w:rsidR="0061079A" w:rsidRPr="0061079A">
        <w:rPr>
          <w:rStyle w:val="libAlaemChar"/>
          <w:rtl/>
        </w:rPr>
        <w:t>عليه‌السلام</w:t>
      </w:r>
      <w:r w:rsidR="00D10E3C">
        <w:rPr>
          <w:rtl/>
          <w:lang w:bidi="fa-IR"/>
        </w:rPr>
        <w:t xml:space="preserve"> </w:t>
      </w:r>
      <w:r>
        <w:rPr>
          <w:rtl/>
          <w:lang w:bidi="fa-IR"/>
        </w:rPr>
        <w:t xml:space="preserve">: « يَا هذَا ، اتَّقِ اللهَ ؛ فَإِنَّ هذَا الَّذِي تَصْنَعُهُ </w:t>
      </w:r>
      <w:r w:rsidRPr="00D10E3C">
        <w:rPr>
          <w:rStyle w:val="libFootnotenumChar"/>
          <w:rtl/>
        </w:rPr>
        <w:t>(5)</w:t>
      </w:r>
      <w:r>
        <w:rPr>
          <w:rtl/>
          <w:lang w:bidi="fa-IR"/>
        </w:rPr>
        <w:t xml:space="preserve"> لَيْسَ لَكَ ».</w:t>
      </w:r>
    </w:p>
    <w:p w:rsidR="00144FA6" w:rsidRDefault="00744A1C" w:rsidP="00744A1C">
      <w:pPr>
        <w:pStyle w:val="libNormal"/>
        <w:rPr>
          <w:rtl/>
          <w:lang w:bidi="fa-IR"/>
        </w:rPr>
      </w:pPr>
      <w:r>
        <w:rPr>
          <w:rtl/>
          <w:lang w:bidi="fa-IR"/>
        </w:rPr>
        <w:t>قَالَ : فَقَالَ لَهُ الْعَمْرَكِيُّ : أَ</w:t>
      </w:r>
      <w:r w:rsidR="004071B8">
        <w:rPr>
          <w:rFonts w:hint="cs"/>
          <w:rtl/>
          <w:lang w:bidi="fa-IR"/>
        </w:rPr>
        <w:t xml:space="preserve"> </w:t>
      </w:r>
      <w:r>
        <w:rPr>
          <w:rtl/>
          <w:lang w:bidi="fa-IR"/>
        </w:rPr>
        <w:t xml:space="preserve">مَا تَسْتَطِيعُ أَنْ تَذْهَبَ إِلى عَمَلِكَ؟ لَايَزَالُ الْمُكَلِّفُ </w:t>
      </w:r>
      <w:r w:rsidRPr="00D10E3C">
        <w:rPr>
          <w:rStyle w:val="libFootnotenumChar"/>
          <w:rtl/>
        </w:rPr>
        <w:t>(6)</w:t>
      </w:r>
    </w:p>
    <w:p w:rsidR="00744A1C" w:rsidRDefault="00744A1C" w:rsidP="00D10E3C">
      <w:pPr>
        <w:pStyle w:val="libLine"/>
        <w:rPr>
          <w:lang w:bidi="fa-IR"/>
        </w:rPr>
      </w:pPr>
      <w:r>
        <w:rPr>
          <w:rtl/>
          <w:lang w:bidi="fa-IR"/>
        </w:rPr>
        <w:t>____________________</w:t>
      </w:r>
    </w:p>
    <w:p w:rsidR="00744A1C" w:rsidRDefault="004071B8" w:rsidP="00D10E3C">
      <w:pPr>
        <w:pStyle w:val="libFootnote0"/>
        <w:rPr>
          <w:lang w:bidi="fa-IR"/>
        </w:rPr>
      </w:pPr>
      <w:r>
        <w:rPr>
          <w:rFonts w:hint="cs"/>
          <w:rtl/>
          <w:lang w:bidi="fa-IR"/>
        </w:rPr>
        <w:t xml:space="preserve">= </w:t>
      </w:r>
      <w:r w:rsidR="00744A1C">
        <w:rPr>
          <w:rtl/>
          <w:lang w:bidi="fa-IR"/>
        </w:rPr>
        <w:t xml:space="preserve">ص 180 ، ح 370 ، بسندهما عن غياث بن إبراهيم </w:t>
      </w:r>
      <w:r>
        <w:rPr>
          <w:rFonts w:hint="cs"/>
          <w:rtl/>
          <w:lang w:bidi="fa-IR"/>
        </w:rPr>
        <w:t>.</w:t>
      </w:r>
      <w:r w:rsidR="00744A1C" w:rsidRPr="00C24F9C">
        <w:rPr>
          <w:rStyle w:val="libFootnoteBoldChar"/>
          <w:rtl/>
        </w:rPr>
        <w:t>الوافي</w:t>
      </w:r>
      <w:r w:rsidR="00744A1C">
        <w:rPr>
          <w:rtl/>
          <w:lang w:bidi="fa-IR"/>
        </w:rPr>
        <w:t xml:space="preserve"> ، ج 15 ، ص 184 ، ح 14872 ؛ </w:t>
      </w:r>
      <w:r w:rsidR="00744A1C" w:rsidRPr="00C24F9C">
        <w:rPr>
          <w:rStyle w:val="libFootnoteBoldChar"/>
          <w:rtl/>
        </w:rPr>
        <w:t>الوسائل</w:t>
      </w:r>
      <w:r w:rsidR="00744A1C">
        <w:rPr>
          <w:rtl/>
          <w:lang w:bidi="fa-IR"/>
        </w:rPr>
        <w:t xml:space="preserve"> ، ج 16 ، ص 118 ، ذيل ح 21129.</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أي الذي يمشي بين يدي الدابّة ليفتح الطريق ، هو اسم الفاعل من بناء التفعيل ». وفي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xml:space="preserve">: « كالمطرّق له ، بصيغة اسم الفاعل من باب التفعيل ، أي أفتح له الطريق ، والظاهر أنّ أبا عبدالله </w:t>
      </w:r>
      <w:r w:rsidR="0061079A" w:rsidRPr="0061079A">
        <w:rPr>
          <w:rStyle w:val="libFootnoteAlaemChar"/>
          <w:rtl/>
        </w:rPr>
        <w:t>عليه‌السلام</w:t>
      </w:r>
      <w:r>
        <w:rPr>
          <w:rtl/>
          <w:lang w:bidi="fa-IR"/>
        </w:rPr>
        <w:t xml:space="preserve"> </w:t>
      </w:r>
      <w:r w:rsidR="00744A1C">
        <w:rPr>
          <w:rtl/>
          <w:lang w:bidi="fa-IR"/>
        </w:rPr>
        <w:t xml:space="preserve">كان راجلاً ، والبعير كان لذلك الرجل الأسود مربوطاً ، فرفع </w:t>
      </w:r>
      <w:r w:rsidR="0061079A" w:rsidRPr="0061079A">
        <w:rPr>
          <w:rStyle w:val="libFootnoteAlaemChar"/>
          <w:rtl/>
        </w:rPr>
        <w:t>عليه‌السلام</w:t>
      </w:r>
      <w:r>
        <w:rPr>
          <w:rtl/>
          <w:lang w:bidi="fa-IR"/>
        </w:rPr>
        <w:t xml:space="preserve"> </w:t>
      </w:r>
      <w:r w:rsidR="00744A1C">
        <w:rPr>
          <w:rtl/>
          <w:lang w:bidi="fa-IR"/>
        </w:rPr>
        <w:t xml:space="preserve">خطامه ، ومضى من تحت خطامه مطأطأ. والغرض الاستشهاد بعمله </w:t>
      </w:r>
      <w:r w:rsidR="0061079A" w:rsidRPr="0061079A">
        <w:rPr>
          <w:rStyle w:val="libFootnoteAlaemChar"/>
          <w:rtl/>
        </w:rPr>
        <w:t>عليه‌السلام</w:t>
      </w:r>
      <w:r>
        <w:rPr>
          <w:rtl/>
          <w:lang w:bidi="fa-IR"/>
        </w:rPr>
        <w:t xml:space="preserve"> </w:t>
      </w:r>
      <w:r w:rsidR="00744A1C">
        <w:rPr>
          <w:rtl/>
          <w:lang w:bidi="fa-IR"/>
        </w:rPr>
        <w:t>على الاكتفاء بالقول في النهي عن المنكر إذا علم أنّ المنهيّ مصرّ على باطله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العمركي ، لعلّه نسبة إلى بلد ، ولا يبعد أن يكون تصحيف العركي بحذف الميم. قال في </w:t>
      </w:r>
      <w:r w:rsidR="00744A1C" w:rsidRPr="00877682">
        <w:rPr>
          <w:rStyle w:val="libFootnoteBoldChar"/>
          <w:rtl/>
        </w:rPr>
        <w:t>النهاية</w:t>
      </w:r>
      <w:r w:rsidR="00744A1C">
        <w:rPr>
          <w:rtl/>
          <w:lang w:bidi="fa-IR"/>
        </w:rPr>
        <w:t xml:space="preserve"> : العروك : جمع عرك بالتحريك ، وهم الذين يصيدون السمك. ومنه الحديث : إنّ العركيّ سأله عن الطهور بماء البحر ؛ العركيّ بالتشديد : واحد العرك ، كعربي وعرب ، انتهى ». وراجع : </w:t>
      </w:r>
      <w:r w:rsidR="00744A1C" w:rsidRPr="004071B8">
        <w:rPr>
          <w:rStyle w:val="libFootnoteBoldChar"/>
          <w:rtl/>
        </w:rPr>
        <w:t>النهايه</w:t>
      </w:r>
      <w:r w:rsidR="00744A1C">
        <w:rPr>
          <w:rtl/>
          <w:lang w:bidi="fa-IR"/>
        </w:rPr>
        <w:t xml:space="preserve"> ، ج 3 ، ص 222 ( عرك ).</w:t>
      </w:r>
    </w:p>
    <w:p w:rsidR="00744A1C" w:rsidRDefault="00E378DD" w:rsidP="00E378DD">
      <w:pPr>
        <w:pStyle w:val="libFootnote0"/>
        <w:rPr>
          <w:lang w:bidi="fa-IR"/>
        </w:rPr>
      </w:pPr>
      <w:r>
        <w:rPr>
          <w:rtl/>
          <w:lang w:bidi="fa-IR"/>
        </w:rPr>
        <w:t>(3).</w:t>
      </w:r>
      <w:r w:rsidR="00744A1C">
        <w:rPr>
          <w:rtl/>
          <w:lang w:bidi="fa-IR"/>
        </w:rPr>
        <w:t xml:space="preserve"> في « ى ، بف ، جن » </w:t>
      </w:r>
      <w:r w:rsidR="00744A1C" w:rsidRPr="004071B8">
        <w:rPr>
          <w:rtl/>
        </w:rPr>
        <w:t>والوافي</w:t>
      </w:r>
      <w:r w:rsidR="00744A1C">
        <w:rPr>
          <w:rtl/>
          <w:lang w:bidi="fa-IR"/>
        </w:rPr>
        <w:t xml:space="preserve"> : « السايح ». قال في </w:t>
      </w:r>
      <w:r w:rsidR="00744A1C" w:rsidRPr="00C24F9C">
        <w:rPr>
          <w:rStyle w:val="libFootnoteBoldChar"/>
          <w:rtl/>
        </w:rPr>
        <w:t>الوافي</w:t>
      </w:r>
      <w:r w:rsidR="00744A1C">
        <w:rPr>
          <w:rtl/>
          <w:lang w:bidi="fa-IR"/>
        </w:rPr>
        <w:t xml:space="preserve"> : « وكأنّه تصحيف الشايح - بالشين المعجمة - بمعنى الغيور الذي يذبّ عن حرمه ، يمنع المارّة عن حواليها ». وفي « بس ، جد » وحاشية « جن » : « السايخ ». وفي </w:t>
      </w:r>
      <w:r w:rsidR="00744A1C" w:rsidRPr="00C24F9C">
        <w:rPr>
          <w:rStyle w:val="libFootnoteBoldChar"/>
          <w:rtl/>
        </w:rPr>
        <w:t>المرآة</w:t>
      </w:r>
      <w:r w:rsidR="00744A1C">
        <w:rPr>
          <w:rtl/>
          <w:lang w:bidi="fa-IR"/>
        </w:rPr>
        <w:t xml:space="preserve"> : « في أكثر النسخ بالباء الموحّد والحاء المهملة ، ولعلّ المعنى شبه عود ينصبه السابح في الأرض ، و</w:t>
      </w:r>
      <w:r w:rsidR="004071B8">
        <w:rPr>
          <w:rtl/>
          <w:lang w:bidi="fa-IR"/>
        </w:rPr>
        <w:t>يشدّ به خيطاً يأخذه بيده ؛ لئل</w:t>
      </w:r>
      <w:r w:rsidR="004071B8">
        <w:rPr>
          <w:rFonts w:hint="cs"/>
          <w:rtl/>
          <w:lang w:bidi="fa-IR"/>
        </w:rPr>
        <w:t>ّ</w:t>
      </w:r>
      <w:r w:rsidR="004071B8">
        <w:rPr>
          <w:rtl/>
          <w:lang w:bidi="fa-IR"/>
        </w:rPr>
        <w:t>ا</w:t>
      </w:r>
      <w:r w:rsidR="00744A1C">
        <w:rPr>
          <w:rtl/>
          <w:lang w:bidi="fa-IR"/>
        </w:rPr>
        <w:t xml:space="preserve"> يغرق في الماء. ولايبعد عندي أن يكون تصحيف السالخ - باللام والخاء المعجمة - وهو الأسود من الحيّات ؛ بقرينة قوله في آخر الخبر : العمركي الأسود. وقيل : هو بالشين المعجمة والحاء المهملة بمع</w:t>
      </w:r>
      <w:r w:rsidR="004071B8">
        <w:rPr>
          <w:rtl/>
          <w:lang w:bidi="fa-IR"/>
        </w:rPr>
        <w:t>نى الغيور</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الفُسْطاطُ : بيت من شَعَر ، وفيه ثلاث لغات : فُسْطاطٌ ، وفستاط ، وفُسّاطٌ. قال الزمخشري : « هو ضرب من الأبنية في السفر دون السرادق ». </w:t>
      </w:r>
      <w:r w:rsidR="00744A1C" w:rsidRPr="004071B8">
        <w:rPr>
          <w:rStyle w:val="libFootnoteBoldChar"/>
          <w:rtl/>
        </w:rPr>
        <w:t>الفائق</w:t>
      </w:r>
      <w:r w:rsidR="00744A1C">
        <w:rPr>
          <w:rtl/>
          <w:lang w:bidi="fa-IR"/>
        </w:rPr>
        <w:t xml:space="preserve"> ، ج 3 ، ص 29 ؛ </w:t>
      </w:r>
      <w:r w:rsidR="00744A1C" w:rsidRPr="00E978C3">
        <w:rPr>
          <w:rStyle w:val="libFootnoteBoldChar"/>
          <w:rtl/>
        </w:rPr>
        <w:t>الصحاح</w:t>
      </w:r>
      <w:r w:rsidR="00744A1C">
        <w:rPr>
          <w:rtl/>
          <w:lang w:bidi="fa-IR"/>
        </w:rPr>
        <w:t xml:space="preserve"> ، ج 3 ، ص 1150 ( فسط ).</w:t>
      </w:r>
    </w:p>
    <w:p w:rsidR="00744A1C" w:rsidRDefault="00E378DD" w:rsidP="00E378DD">
      <w:pPr>
        <w:pStyle w:val="libFootnote0"/>
        <w:rPr>
          <w:lang w:bidi="fa-IR"/>
        </w:rPr>
      </w:pPr>
      <w:r>
        <w:rPr>
          <w:rtl/>
          <w:lang w:bidi="fa-IR"/>
        </w:rPr>
        <w:t>(5).</w:t>
      </w:r>
      <w:r w:rsidR="00744A1C">
        <w:rPr>
          <w:rtl/>
          <w:lang w:bidi="fa-IR"/>
        </w:rPr>
        <w:t xml:space="preserve"> في « بح » : « تضعه ».</w:t>
      </w:r>
    </w:p>
    <w:p w:rsidR="00144FA6" w:rsidRDefault="00E378DD" w:rsidP="00E378DD">
      <w:pPr>
        <w:pStyle w:val="libFootnote0"/>
        <w:rPr>
          <w:rtl/>
          <w:lang w:bidi="fa-IR"/>
        </w:rPr>
      </w:pPr>
      <w:r>
        <w:rPr>
          <w:rtl/>
          <w:lang w:bidi="fa-IR"/>
        </w:rPr>
        <w:t>(6).</w:t>
      </w:r>
      <w:r w:rsidR="00744A1C">
        <w:rPr>
          <w:rtl/>
          <w:lang w:bidi="fa-IR"/>
        </w:rPr>
        <w:t xml:space="preserve"> في حاشية « بث ، بح ، جت » </w:t>
      </w:r>
      <w:r w:rsidR="00744A1C" w:rsidRPr="004071B8">
        <w:rPr>
          <w:rtl/>
        </w:rPr>
        <w:t>والوافي</w:t>
      </w:r>
      <w:r w:rsidR="00744A1C">
        <w:rPr>
          <w:rtl/>
          <w:lang w:bidi="fa-IR"/>
        </w:rPr>
        <w:t xml:space="preserve"> : « المتكلّف ». واستظهره المجلسي </w:t>
      </w:r>
      <w:r w:rsidR="00877682" w:rsidRPr="00877682">
        <w:rPr>
          <w:rStyle w:val="libFootnoteAlaemChar"/>
          <w:rtl/>
        </w:rPr>
        <w:t>رحمه‌الله</w:t>
      </w:r>
      <w:r w:rsidR="004071B8" w:rsidRPr="004071B8">
        <w:rPr>
          <w:rFonts w:hint="cs"/>
          <w:rtl/>
        </w:rPr>
        <w:t xml:space="preserve"> </w:t>
      </w:r>
      <w:r w:rsidR="00744A1C">
        <w:rPr>
          <w:rtl/>
          <w:lang w:bidi="fa-IR"/>
        </w:rPr>
        <w:t xml:space="preserve">في </w:t>
      </w:r>
      <w:r w:rsidR="00744A1C" w:rsidRPr="00C24F9C">
        <w:rPr>
          <w:rStyle w:val="libFootnoteBoldChar"/>
          <w:rtl/>
        </w:rPr>
        <w:t>المرآة</w:t>
      </w:r>
      <w:r w:rsidR="00744A1C">
        <w:rPr>
          <w:rtl/>
          <w:lang w:bidi="fa-IR"/>
        </w:rPr>
        <w:t xml:space="preserve"> ، ثمّ قال : « أي</w:t>
      </w:r>
      <w:r w:rsidR="004071B8">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4071B8">
      <w:pPr>
        <w:pStyle w:val="libNormal0"/>
        <w:rPr>
          <w:lang w:bidi="fa-IR"/>
        </w:rPr>
      </w:pPr>
      <w:r>
        <w:rPr>
          <w:rtl/>
          <w:lang w:bidi="fa-IR"/>
        </w:rPr>
        <w:t xml:space="preserve">الَّذِي لَايُدْرى مَنْ هُوَ يَجِيئُنِي </w:t>
      </w:r>
      <w:r w:rsidRPr="00D10E3C">
        <w:rPr>
          <w:rStyle w:val="libFootnotenumChar"/>
          <w:rtl/>
        </w:rPr>
        <w:t>(1)</w:t>
      </w:r>
      <w:r>
        <w:rPr>
          <w:rtl/>
          <w:lang w:bidi="fa-IR"/>
        </w:rPr>
        <w:t xml:space="preserve"> ، فَيَقُولُ : يَا هذَا ، اتَّقِ اللهَ.</w:t>
      </w:r>
    </w:p>
    <w:p w:rsidR="00144FA6" w:rsidRDefault="00744A1C" w:rsidP="004071B8">
      <w:pPr>
        <w:pStyle w:val="libNormal"/>
        <w:rPr>
          <w:rtl/>
          <w:lang w:bidi="fa-IR"/>
        </w:rPr>
      </w:pPr>
      <w:r>
        <w:rPr>
          <w:rtl/>
          <w:lang w:bidi="fa-IR"/>
        </w:rPr>
        <w:t xml:space="preserve">قَالَ : فَرَفَعَ أَبُو عَبْدِ اللهِ </w:t>
      </w:r>
      <w:r w:rsidR="0061079A" w:rsidRPr="0061079A">
        <w:rPr>
          <w:rStyle w:val="libAlaemChar"/>
          <w:rtl/>
        </w:rPr>
        <w:t>عليه‌السلام</w:t>
      </w:r>
      <w:r w:rsidR="00D10E3C">
        <w:rPr>
          <w:rtl/>
          <w:lang w:bidi="fa-IR"/>
        </w:rPr>
        <w:t xml:space="preserve"> </w:t>
      </w:r>
      <w:r>
        <w:rPr>
          <w:rtl/>
          <w:lang w:bidi="fa-IR"/>
        </w:rPr>
        <w:t xml:space="preserve">بِخِطَامِ </w:t>
      </w:r>
      <w:r w:rsidRPr="00D10E3C">
        <w:rPr>
          <w:rStyle w:val="libFootnotenumChar"/>
          <w:rtl/>
        </w:rPr>
        <w:t>(2)</w:t>
      </w:r>
      <w:r>
        <w:rPr>
          <w:rtl/>
          <w:lang w:bidi="fa-IR"/>
        </w:rPr>
        <w:t xml:space="preserve"> بَعِيرٍ لَهُ مَقْطُوراً </w:t>
      </w:r>
      <w:r w:rsidRPr="00D10E3C">
        <w:rPr>
          <w:rStyle w:val="libFootnotenumChar"/>
          <w:rtl/>
        </w:rPr>
        <w:t>(3)</w:t>
      </w:r>
      <w:r>
        <w:rPr>
          <w:rtl/>
          <w:lang w:bidi="fa-IR"/>
        </w:rPr>
        <w:t xml:space="preserve"> ، فَطَأْطَأَ رَأْسَهُ ، فَمَضى ، وَتَرَكَهُ الْعَمْرَكِيُّ الْأَسْوَدُ </w:t>
      </w:r>
      <w:r w:rsidRPr="00D10E3C">
        <w:rPr>
          <w:rStyle w:val="libFootnotenumChar"/>
          <w:rtl/>
        </w:rPr>
        <w:t>(4)</w:t>
      </w:r>
      <w:r w:rsidR="004071B8">
        <w:rPr>
          <w:rFonts w:hint="cs"/>
          <w:rtl/>
          <w:lang w:bidi="fa-IR"/>
        </w:rPr>
        <w:t>.</w:t>
      </w:r>
      <w:r w:rsidRPr="00D10E3C">
        <w:rPr>
          <w:rStyle w:val="libFootnotenumChar"/>
          <w:rtl/>
        </w:rPr>
        <w:t>(5)</w:t>
      </w:r>
    </w:p>
    <w:p w:rsidR="00144FA6" w:rsidRDefault="00744A1C" w:rsidP="004071B8">
      <w:pPr>
        <w:pStyle w:val="Heading2Center"/>
        <w:rPr>
          <w:rtl/>
          <w:lang w:bidi="fa-IR"/>
        </w:rPr>
      </w:pPr>
      <w:bookmarkStart w:id="118" w:name="_Toc49261416"/>
      <w:r>
        <w:rPr>
          <w:rtl/>
          <w:lang w:bidi="fa-IR"/>
        </w:rPr>
        <w:t xml:space="preserve">30 - بَابٌ </w:t>
      </w:r>
      <w:r w:rsidRPr="00D10E3C">
        <w:rPr>
          <w:rStyle w:val="libFootnotenumChar"/>
          <w:rtl/>
        </w:rPr>
        <w:t>(6)</w:t>
      </w:r>
      <w:bookmarkEnd w:id="118"/>
    </w:p>
    <w:p w:rsidR="00144FA6" w:rsidRDefault="00744A1C" w:rsidP="00744A1C">
      <w:pPr>
        <w:pStyle w:val="libNormal"/>
        <w:rPr>
          <w:rtl/>
          <w:lang w:bidi="fa-IR"/>
        </w:rPr>
      </w:pPr>
      <w:r>
        <w:rPr>
          <w:rtl/>
          <w:lang w:bidi="fa-IR"/>
        </w:rPr>
        <w:t>8340 / 1. عِدَّةٌ مِنْ أَصْحَابِنَا ، عَنْ أَحْمَدَ بْنِ مُحَمَّدٍ ، عَنْ مُحَمَّدِ بْنِ إِسْمَاعِيلَ ، عَنْ مُحَمَّدِ بْنِ عُذَافِرٍ ، عَنْ إِسْحَاقَ بْنِ عَمَّارٍ ، عَنْ عَبْدِ الْأَعْلى مَوْلى آلِ سَامٍ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لَمَّا نَزَلَتْ هذِهِ الْآيَةُ : </w:t>
      </w:r>
      <w:r w:rsidRPr="004071B8">
        <w:rPr>
          <w:rStyle w:val="libAlaemChar"/>
          <w:rtl/>
        </w:rPr>
        <w:t>(</w:t>
      </w:r>
      <w:r w:rsidRPr="004071B8">
        <w:rPr>
          <w:rStyle w:val="libAieChar"/>
          <w:rtl/>
        </w:rPr>
        <w:t xml:space="preserve"> يا أَيُّهَا الَّذِينَ آمَنُوا قُوا أَنْفُسَكُمْ وَأَهْلِيكُمْ ناراً </w:t>
      </w:r>
      <w:r w:rsidRPr="004071B8">
        <w:rPr>
          <w:rStyle w:val="libAlaemChar"/>
          <w:rtl/>
        </w:rPr>
        <w:t>)</w:t>
      </w:r>
      <w:r>
        <w:rPr>
          <w:rtl/>
          <w:lang w:bidi="fa-IR"/>
        </w:rPr>
        <w:t xml:space="preserve"> </w:t>
      </w:r>
      <w:r w:rsidRPr="00D10E3C">
        <w:rPr>
          <w:rStyle w:val="libFootnotenumChar"/>
          <w:rtl/>
        </w:rPr>
        <w:t>(7)</w:t>
      </w:r>
      <w:r>
        <w:rPr>
          <w:rtl/>
          <w:lang w:bidi="fa-IR"/>
        </w:rPr>
        <w:t xml:space="preserve"> جَلَسَ رَجُلٌ مِنَ الْمُسْلِمِينَ يَبْكِي ، وَقَالَ : أَنَا </w:t>
      </w:r>
      <w:r w:rsidRPr="00D10E3C">
        <w:rPr>
          <w:rStyle w:val="libFootnotenumChar"/>
          <w:rtl/>
        </w:rPr>
        <w:t>(8)</w:t>
      </w:r>
      <w:r>
        <w:rPr>
          <w:rtl/>
          <w:lang w:bidi="fa-IR"/>
        </w:rPr>
        <w:t xml:space="preserve"> عَجَزْتُ عَنْ نَفْسِي كُلِّفْتُ‌ أَهْلِي ، فَقَالَ رَسُولُ اللهِ </w:t>
      </w:r>
      <w:r w:rsidR="007B299E" w:rsidRPr="007B299E">
        <w:rPr>
          <w:rStyle w:val="libAlaemChar"/>
          <w:rtl/>
        </w:rPr>
        <w:t>صلى‌الله‌عليه‌وآله</w:t>
      </w:r>
      <w:r w:rsidR="00D10E3C">
        <w:rPr>
          <w:rtl/>
          <w:lang w:bidi="fa-IR"/>
        </w:rPr>
        <w:t xml:space="preserve"> </w:t>
      </w:r>
      <w:r>
        <w:rPr>
          <w:rtl/>
          <w:lang w:bidi="fa-IR"/>
        </w:rPr>
        <w:t>: حَسْبُكَ أَنْ تَأْمُرَهُمْ بِمَا تَأْمُرُ بِهِ نَفْسَكَ ، وَتَنْهَاهُمْ عَمَّا تَنْهى‌</w:t>
      </w:r>
    </w:p>
    <w:p w:rsidR="00744A1C" w:rsidRDefault="00744A1C" w:rsidP="00D10E3C">
      <w:pPr>
        <w:pStyle w:val="libLine"/>
        <w:rPr>
          <w:lang w:bidi="fa-IR"/>
        </w:rPr>
      </w:pPr>
      <w:r>
        <w:rPr>
          <w:rtl/>
          <w:lang w:bidi="fa-IR"/>
        </w:rPr>
        <w:t>____________________</w:t>
      </w:r>
    </w:p>
    <w:p w:rsidR="00744A1C" w:rsidRDefault="00A25E74" w:rsidP="00D10E3C">
      <w:pPr>
        <w:pStyle w:val="libFootnote0"/>
        <w:rPr>
          <w:lang w:bidi="fa-IR"/>
        </w:rPr>
      </w:pPr>
      <w:r>
        <w:rPr>
          <w:rFonts w:hint="cs"/>
          <w:rtl/>
          <w:lang w:bidi="fa-IR"/>
        </w:rPr>
        <w:t xml:space="preserve">= </w:t>
      </w:r>
      <w:r w:rsidR="00744A1C">
        <w:rPr>
          <w:rtl/>
          <w:lang w:bidi="fa-IR"/>
        </w:rPr>
        <w:t>المتعرّض لما لا يعنيه ، ولعلّ المكلّف - على تقديره - على بناء المفعول بهذا المعنى أيضاً ، أي الذي يكلّفه نفسه للمشاقّ ، أو على بناء الفاعل أي يكلّف الناس على ما يشقّ عليهم ».</w:t>
      </w:r>
    </w:p>
    <w:p w:rsidR="00744A1C" w:rsidRDefault="00D10E3C" w:rsidP="00D10E3C">
      <w:pPr>
        <w:pStyle w:val="libFootnote0"/>
        <w:rPr>
          <w:lang w:bidi="fa-IR"/>
        </w:rPr>
      </w:pPr>
      <w:r>
        <w:rPr>
          <w:rtl/>
          <w:lang w:bidi="fa-IR"/>
        </w:rPr>
        <w:t>(1).</w:t>
      </w:r>
      <w:r w:rsidR="00744A1C">
        <w:rPr>
          <w:rtl/>
          <w:lang w:bidi="fa-IR"/>
        </w:rPr>
        <w:t xml:space="preserve"> في « ى ، بح ، بس ، جت ، جد ، جن » : « يجي‌ء ».</w:t>
      </w:r>
    </w:p>
    <w:p w:rsidR="00744A1C" w:rsidRDefault="00E378DD" w:rsidP="00E378DD">
      <w:pPr>
        <w:pStyle w:val="libFootnote0"/>
        <w:rPr>
          <w:lang w:bidi="fa-IR"/>
        </w:rPr>
      </w:pPr>
      <w:r>
        <w:rPr>
          <w:rtl/>
          <w:lang w:bidi="fa-IR"/>
        </w:rPr>
        <w:t>(2).</w:t>
      </w:r>
      <w:r w:rsidR="00744A1C">
        <w:rPr>
          <w:rtl/>
          <w:lang w:bidi="fa-IR"/>
        </w:rPr>
        <w:t xml:space="preserve"> خطام البعير : أن يؤخذ حبل من ليف أو شعر أو كتّان ، فيجعل في أحد طرفيه حلقة ، ثمّ يشدّ فيه الطرف الآخر</w:t>
      </w:r>
      <w:r w:rsidR="00A25E74">
        <w:rPr>
          <w:rFonts w:hint="cs"/>
          <w:rtl/>
          <w:lang w:bidi="fa-IR"/>
        </w:rPr>
        <w:t xml:space="preserve"> </w:t>
      </w:r>
      <w:r w:rsidR="00744A1C">
        <w:rPr>
          <w:rtl/>
          <w:lang w:bidi="fa-IR"/>
        </w:rPr>
        <w:t xml:space="preserve">حتّى يصير كالحلقة ، ثمّ يقاد البعير ، ثمّ يثنّى على مخطمه. وأمّا الذي يجعل في الأنف دقيقاً فهو الزمام. </w:t>
      </w:r>
      <w:r w:rsidR="00744A1C" w:rsidRPr="00877682">
        <w:rPr>
          <w:rStyle w:val="libFootnoteBoldChar"/>
          <w:rtl/>
        </w:rPr>
        <w:t>النهاية</w:t>
      </w:r>
      <w:r w:rsidR="00744A1C">
        <w:rPr>
          <w:rtl/>
          <w:lang w:bidi="fa-IR"/>
        </w:rPr>
        <w:t xml:space="preserve"> ، ج 2 ، ص 50 ( خطم ).</w:t>
      </w:r>
    </w:p>
    <w:p w:rsidR="00744A1C" w:rsidRDefault="00E378DD" w:rsidP="00E378DD">
      <w:pPr>
        <w:pStyle w:val="libFootnote0"/>
        <w:rPr>
          <w:lang w:bidi="fa-IR"/>
        </w:rPr>
      </w:pPr>
      <w:r>
        <w:rPr>
          <w:rtl/>
          <w:lang w:bidi="fa-IR"/>
        </w:rPr>
        <w:t>(3).</w:t>
      </w:r>
      <w:r w:rsidR="00744A1C">
        <w:rPr>
          <w:rtl/>
          <w:lang w:bidi="fa-IR"/>
        </w:rPr>
        <w:t xml:space="preserve"> في « بث ، بف » </w:t>
      </w:r>
      <w:r w:rsidR="00744A1C" w:rsidRPr="00A25E74">
        <w:rPr>
          <w:rtl/>
        </w:rPr>
        <w:t>والوافي</w:t>
      </w:r>
      <w:r w:rsidR="00744A1C">
        <w:rPr>
          <w:rtl/>
          <w:lang w:bidi="fa-IR"/>
        </w:rPr>
        <w:t xml:space="preserve"> : « مقطور ». وفي </w:t>
      </w:r>
      <w:r w:rsidR="00744A1C" w:rsidRPr="00C24F9C">
        <w:rPr>
          <w:rStyle w:val="libFootnoteBoldChar"/>
          <w:rtl/>
        </w:rPr>
        <w:t>المرآة</w:t>
      </w:r>
      <w:r w:rsidR="00744A1C">
        <w:rPr>
          <w:rtl/>
          <w:lang w:bidi="fa-IR"/>
        </w:rPr>
        <w:t xml:space="preserve"> : « المقطور من القطار ، أي رفع </w:t>
      </w:r>
      <w:r w:rsidR="0061079A" w:rsidRPr="0061079A">
        <w:rPr>
          <w:rStyle w:val="libFootnoteAlaemChar"/>
          <w:rtl/>
        </w:rPr>
        <w:t>عليه‌السلام</w:t>
      </w:r>
      <w:r w:rsidR="00D10E3C">
        <w:rPr>
          <w:rtl/>
          <w:lang w:bidi="fa-IR"/>
        </w:rPr>
        <w:t xml:space="preserve"> </w:t>
      </w:r>
      <w:r w:rsidR="00744A1C">
        <w:rPr>
          <w:rtl/>
          <w:lang w:bidi="fa-IR"/>
        </w:rPr>
        <w:t>زمام بعيره للرجل قطرة ومضى تحته مطأطئاً رأسه ولم يتعرّض لجواب الشقيّ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لعلّ الأسود كناية عن سواد وجهه الباطن لما ذُكر أوّلاً أنّه كان أصفر ». وفي </w:t>
      </w:r>
      <w:r w:rsidR="00744A1C" w:rsidRPr="00C24F9C">
        <w:rPr>
          <w:rStyle w:val="libFootnoteBoldChar"/>
          <w:rtl/>
        </w:rPr>
        <w:t>المرآة</w:t>
      </w:r>
      <w:r w:rsidR="00744A1C">
        <w:rPr>
          <w:rtl/>
          <w:lang w:bidi="fa-IR"/>
        </w:rPr>
        <w:t xml:space="preserve"> : « في بعض النسخ : رجل أصفر - بالفاء - فالمراد بالأسود الحيّة على التشبيه ، ويؤيّد ما أوضَحنا من التصحيف ، أو المراد أسود القلب. وفي بعضها : أصغر - بالغين المعجمة - أي أحقر صائد من الصائدين ، أو أحقر رجل من العمركيّين ، والغرض أنّه </w:t>
      </w:r>
      <w:r w:rsidR="0061079A" w:rsidRPr="0061079A">
        <w:rPr>
          <w:rStyle w:val="libFootnoteAlaemChar"/>
          <w:rtl/>
        </w:rPr>
        <w:t>عليه‌السلام</w:t>
      </w:r>
      <w:r w:rsidR="00D10E3C">
        <w:rPr>
          <w:rtl/>
          <w:lang w:bidi="fa-IR"/>
        </w:rPr>
        <w:t xml:space="preserve"> </w:t>
      </w:r>
      <w:r w:rsidR="00744A1C">
        <w:rPr>
          <w:rtl/>
          <w:lang w:bidi="fa-IR"/>
        </w:rPr>
        <w:t>لم يتعرّض لهذا الرجل الوضيع الخسيس مع قدرته على إيذائه صوناً لعرضه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15 ، ص 184 ، ح 14873 ؛ </w:t>
      </w:r>
      <w:r w:rsidR="00744A1C" w:rsidRPr="00C24F9C">
        <w:rPr>
          <w:rStyle w:val="libFootnoteBoldChar"/>
          <w:rtl/>
        </w:rPr>
        <w:t>الوسائل</w:t>
      </w:r>
      <w:r w:rsidR="00744A1C">
        <w:rPr>
          <w:rtl/>
          <w:lang w:bidi="fa-IR"/>
        </w:rPr>
        <w:t xml:space="preserve"> ، ج 16 ، ص 128 ، ح 21155 ، ملخّصاً.</w:t>
      </w:r>
    </w:p>
    <w:tbl>
      <w:tblPr>
        <w:tblStyle w:val="TableGrid"/>
        <w:bidiVisual/>
        <w:tblW w:w="0" w:type="auto"/>
        <w:tblLook w:val="04A0" w:firstRow="1" w:lastRow="0" w:firstColumn="1" w:lastColumn="0" w:noHBand="0" w:noVBand="1"/>
      </w:tblPr>
      <w:tblGrid>
        <w:gridCol w:w="4006"/>
        <w:gridCol w:w="4006"/>
      </w:tblGrid>
      <w:tr w:rsidR="00A6423E" w:rsidTr="00A6423E">
        <w:tc>
          <w:tcPr>
            <w:tcW w:w="4006" w:type="dxa"/>
          </w:tcPr>
          <w:p w:rsidR="00A6423E" w:rsidRDefault="00A6423E" w:rsidP="00E378DD">
            <w:pPr>
              <w:pStyle w:val="libFootnote0"/>
              <w:rPr>
                <w:rtl/>
                <w:lang w:bidi="fa-IR"/>
              </w:rPr>
            </w:pPr>
            <w:r>
              <w:rPr>
                <w:rtl/>
                <w:lang w:bidi="fa-IR"/>
              </w:rPr>
              <w:t>(6). في « بف » : + « إنذار الأهل ».</w:t>
            </w:r>
          </w:p>
        </w:tc>
        <w:tc>
          <w:tcPr>
            <w:tcW w:w="4006" w:type="dxa"/>
          </w:tcPr>
          <w:p w:rsidR="00A6423E" w:rsidRDefault="00A6423E" w:rsidP="00E378DD">
            <w:pPr>
              <w:pStyle w:val="libFootnote0"/>
              <w:rPr>
                <w:rtl/>
                <w:lang w:bidi="fa-IR"/>
              </w:rPr>
            </w:pPr>
            <w:r>
              <w:rPr>
                <w:rtl/>
                <w:lang w:bidi="fa-IR"/>
              </w:rPr>
              <w:t>(7). التحريم (66) : 6.</w:t>
            </w:r>
          </w:p>
        </w:tc>
      </w:tr>
    </w:tbl>
    <w:p w:rsidR="00744A1C" w:rsidRDefault="00E378DD" w:rsidP="00E378DD">
      <w:pPr>
        <w:pStyle w:val="libFootnote0"/>
        <w:rPr>
          <w:lang w:bidi="fa-IR"/>
        </w:rPr>
      </w:pPr>
      <w:r>
        <w:rPr>
          <w:rtl/>
          <w:lang w:bidi="fa-IR"/>
        </w:rPr>
        <w:t>(8).</w:t>
      </w:r>
      <w:r w:rsidR="00744A1C">
        <w:rPr>
          <w:rtl/>
          <w:lang w:bidi="fa-IR"/>
        </w:rPr>
        <w:t xml:space="preserve"> في « بث ، بف » </w:t>
      </w:r>
      <w:r w:rsidR="00744A1C" w:rsidRPr="00A6423E">
        <w:rPr>
          <w:rtl/>
        </w:rPr>
        <w:t>والتهذيب</w:t>
      </w:r>
      <w:r w:rsidR="00744A1C">
        <w:rPr>
          <w:rtl/>
          <w:lang w:bidi="fa-IR"/>
        </w:rPr>
        <w:t xml:space="preserve"> : + « قد ».</w:t>
      </w:r>
    </w:p>
    <w:p w:rsidR="006A5060" w:rsidRDefault="006A5060" w:rsidP="00D10E3C">
      <w:pPr>
        <w:pStyle w:val="libNormal"/>
        <w:rPr>
          <w:rtl/>
          <w:lang w:bidi="fa-IR"/>
        </w:rPr>
      </w:pPr>
      <w:r>
        <w:rPr>
          <w:rtl/>
          <w:lang w:bidi="fa-IR"/>
        </w:rPr>
        <w:br w:type="page"/>
      </w:r>
    </w:p>
    <w:p w:rsidR="00144FA6" w:rsidRDefault="00744A1C" w:rsidP="00A6423E">
      <w:pPr>
        <w:pStyle w:val="libNormal0"/>
        <w:rPr>
          <w:rtl/>
          <w:lang w:bidi="fa-IR"/>
        </w:rPr>
      </w:pPr>
      <w:r>
        <w:rPr>
          <w:rtl/>
          <w:lang w:bidi="fa-IR"/>
        </w:rPr>
        <w:t xml:space="preserve">عَنْهُ نَفْسَكَ ». </w:t>
      </w:r>
      <w:r w:rsidRPr="00D10E3C">
        <w:rPr>
          <w:rStyle w:val="libFootnotenumChar"/>
          <w:rtl/>
        </w:rPr>
        <w:t>(1)</w:t>
      </w:r>
    </w:p>
    <w:p w:rsidR="00144FA6" w:rsidRDefault="00744A1C" w:rsidP="00744A1C">
      <w:pPr>
        <w:pStyle w:val="libNormal"/>
        <w:rPr>
          <w:rtl/>
          <w:lang w:bidi="fa-IR"/>
        </w:rPr>
      </w:pPr>
      <w:r>
        <w:rPr>
          <w:rtl/>
          <w:lang w:bidi="fa-IR"/>
        </w:rPr>
        <w:t xml:space="preserve">8341 / 2. عَنْهُ </w:t>
      </w:r>
      <w:r w:rsidRPr="00D10E3C">
        <w:rPr>
          <w:rStyle w:val="libFootnotenumChar"/>
          <w:rtl/>
        </w:rPr>
        <w:t>(2)</w:t>
      </w:r>
      <w:r>
        <w:rPr>
          <w:rtl/>
          <w:lang w:bidi="fa-IR"/>
        </w:rPr>
        <w:t xml:space="preserve"> ، عَنْ عُثْمَانَ بْنِ عِيسى ، عَنْ سَمَاعَةَ :</w:t>
      </w:r>
    </w:p>
    <w:p w:rsidR="00744A1C" w:rsidRDefault="00744A1C" w:rsidP="00744A1C">
      <w:pPr>
        <w:pStyle w:val="libNormal"/>
        <w:rPr>
          <w:lang w:bidi="fa-IR"/>
        </w:rPr>
      </w:pPr>
      <w:r>
        <w:rPr>
          <w:rtl/>
          <w:lang w:bidi="fa-IR"/>
        </w:rPr>
        <w:t xml:space="preserve">عَنْ أَبِي بَصِيرٍ فِي قَوْلِ اللهِ </w:t>
      </w:r>
      <w:r w:rsidRPr="00D10E3C">
        <w:rPr>
          <w:rStyle w:val="libFootnotenumChar"/>
          <w:rtl/>
        </w:rPr>
        <w:t>(3)</w:t>
      </w:r>
      <w:r>
        <w:rPr>
          <w:rtl/>
          <w:lang w:bidi="fa-IR"/>
        </w:rPr>
        <w:t xml:space="preserve"> عَزَّ وَجَلَّ : </w:t>
      </w:r>
      <w:r w:rsidRPr="00A6423E">
        <w:rPr>
          <w:rStyle w:val="libAlaemChar"/>
          <w:rtl/>
        </w:rPr>
        <w:t>(</w:t>
      </w:r>
      <w:r w:rsidRPr="00A6423E">
        <w:rPr>
          <w:rStyle w:val="libAieChar"/>
          <w:rtl/>
        </w:rPr>
        <w:t xml:space="preserve"> قُوا أَنْفُسَكُمْ وَأَهْلِيكُمْ ناراً </w:t>
      </w:r>
      <w:r w:rsidRPr="00A6423E">
        <w:rPr>
          <w:rStyle w:val="libAlaemChar"/>
          <w:rtl/>
        </w:rPr>
        <w:t>)</w:t>
      </w:r>
      <w:r>
        <w:rPr>
          <w:rtl/>
          <w:lang w:bidi="fa-IR"/>
        </w:rPr>
        <w:t xml:space="preserve"> </w:t>
      </w:r>
      <w:r w:rsidRPr="00D10E3C">
        <w:rPr>
          <w:rStyle w:val="libFootnotenumChar"/>
          <w:rtl/>
        </w:rPr>
        <w:t>(4)</w:t>
      </w:r>
      <w:r>
        <w:rPr>
          <w:rtl/>
          <w:lang w:bidi="fa-IR"/>
        </w:rPr>
        <w:t xml:space="preserve"> قُلْتُ : كَيْفَ أَقِيهِمْ؟</w:t>
      </w:r>
    </w:p>
    <w:p w:rsidR="00144FA6" w:rsidRDefault="00744A1C" w:rsidP="00744A1C">
      <w:pPr>
        <w:pStyle w:val="libNormal"/>
        <w:rPr>
          <w:rtl/>
          <w:lang w:bidi="fa-IR"/>
        </w:rPr>
      </w:pPr>
      <w:r>
        <w:rPr>
          <w:rtl/>
          <w:lang w:bidi="fa-IR"/>
        </w:rPr>
        <w:t xml:space="preserve">قَالَ : تَأْمُرُهُمْ بِمَا أَمَرَ اللهُ ، وَتَنْهَاهُمْ عَمَّا نَهَاهُمُ </w:t>
      </w:r>
      <w:r w:rsidRPr="00D10E3C">
        <w:rPr>
          <w:rStyle w:val="libFootnotenumChar"/>
          <w:rtl/>
        </w:rPr>
        <w:t>(5)</w:t>
      </w:r>
      <w:r>
        <w:rPr>
          <w:rtl/>
          <w:lang w:bidi="fa-IR"/>
        </w:rPr>
        <w:t xml:space="preserve"> اللهُ ، فَإِنْ أَطَاعُوكَ كُنْتَ قَدْ وَقَيْتَهُمْ ، وَإِنْ عَصَوْكَ كُنْتَ قَدْ قَضَيْتَ مَا عَلَيْكَ. </w:t>
      </w:r>
      <w:r w:rsidRPr="00D10E3C">
        <w:rPr>
          <w:rStyle w:val="libFootnotenumChar"/>
          <w:rtl/>
        </w:rPr>
        <w:t>(6)</w:t>
      </w:r>
    </w:p>
    <w:p w:rsidR="00144FA6" w:rsidRDefault="00744A1C" w:rsidP="00744A1C">
      <w:pPr>
        <w:pStyle w:val="libNormal"/>
        <w:rPr>
          <w:rtl/>
          <w:lang w:bidi="fa-IR"/>
        </w:rPr>
      </w:pPr>
      <w:r>
        <w:rPr>
          <w:rtl/>
          <w:lang w:bidi="fa-IR"/>
        </w:rPr>
        <w:t xml:space="preserve">8342 / 3. عَلِيُّ بْنُ إِبْرَاهِيمَ ، عَنْ أَبِيهِ ، عَنِ ابْنِ أَبِي عُمَيْرٍ ، عَنْ حَفْصِ بْنِ عُثْمَانَ </w:t>
      </w:r>
      <w:r w:rsidRPr="00D10E3C">
        <w:rPr>
          <w:rStyle w:val="libFootnotenumChar"/>
          <w:rtl/>
        </w:rPr>
        <w:t>(7)</w:t>
      </w:r>
      <w:r>
        <w:rPr>
          <w:rtl/>
          <w:lang w:bidi="fa-IR"/>
        </w:rPr>
        <w:t xml:space="preserve"> ، عَنْ سَمَاعَةَ ، عَنْ أَبِي بَصِيرٍ :</w:t>
      </w:r>
    </w:p>
    <w:p w:rsidR="00744A1C" w:rsidRDefault="00744A1C" w:rsidP="00A6423E">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A6423E">
        <w:rPr>
          <w:rStyle w:val="libAlaemChar"/>
          <w:rtl/>
        </w:rPr>
        <w:t>(</w:t>
      </w:r>
      <w:r w:rsidR="00A6423E" w:rsidRPr="00A6423E">
        <w:rPr>
          <w:rStyle w:val="libAieChar"/>
          <w:rFonts w:hint="cs"/>
          <w:rtl/>
        </w:rPr>
        <w:t xml:space="preserve"> </w:t>
      </w:r>
      <w:r w:rsidR="00A6423E" w:rsidRPr="00A6423E">
        <w:rPr>
          <w:rStyle w:val="libAieChar"/>
          <w:rtl/>
        </w:rPr>
        <w:t>قُوا أَنْفُسَكُمْ وَأَهْلِيكُمْ ناراً</w:t>
      </w:r>
      <w:r w:rsidR="00A6423E">
        <w:rPr>
          <w:rStyle w:val="libAieChar"/>
          <w:rFonts w:hint="cs"/>
          <w:rtl/>
        </w:rPr>
        <w:t xml:space="preserve"> </w:t>
      </w:r>
      <w:r w:rsidRPr="00A6423E">
        <w:rPr>
          <w:rStyle w:val="libAlaemChar"/>
          <w:rtl/>
        </w:rPr>
        <w:t>)</w:t>
      </w:r>
      <w:r>
        <w:rPr>
          <w:rtl/>
          <w:lang w:bidi="fa-IR"/>
        </w:rPr>
        <w:t xml:space="preserve"> كَيْفَ نَقِي أَهْلَنَا </w:t>
      </w:r>
      <w:r w:rsidRPr="00D10E3C">
        <w:rPr>
          <w:rStyle w:val="libFootnotenumChar"/>
          <w:rtl/>
        </w:rPr>
        <w:t>(8)</w:t>
      </w:r>
      <w:r>
        <w:rPr>
          <w:rtl/>
          <w:lang w:bidi="fa-IR"/>
        </w:rPr>
        <w:t>؟</w:t>
      </w:r>
    </w:p>
    <w:p w:rsidR="00144FA6" w:rsidRDefault="00744A1C" w:rsidP="00744A1C">
      <w:pPr>
        <w:pStyle w:val="libNormal"/>
        <w:rPr>
          <w:rtl/>
          <w:lang w:bidi="fa-IR"/>
        </w:rPr>
      </w:pPr>
      <w:r>
        <w:rPr>
          <w:rtl/>
          <w:lang w:bidi="fa-IR"/>
        </w:rPr>
        <w:t xml:space="preserve">قَالَ : « تَأْمُرُونَهُمْ وَتَنْهَوْنَهُمْ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6 ، ص 178 ، ح 364 ، معلّقاً عن أحمد بن محمّد </w:t>
      </w:r>
      <w:r w:rsidR="00A6423E">
        <w:rPr>
          <w:rFonts w:hint="cs"/>
          <w:rtl/>
          <w:lang w:bidi="fa-IR"/>
        </w:rPr>
        <w:t>.</w:t>
      </w:r>
      <w:r w:rsidR="00744A1C" w:rsidRPr="00C24F9C">
        <w:rPr>
          <w:rStyle w:val="libFootnoteBoldChar"/>
          <w:rtl/>
        </w:rPr>
        <w:t>الوافي</w:t>
      </w:r>
      <w:r w:rsidR="00744A1C">
        <w:rPr>
          <w:rtl/>
          <w:lang w:bidi="fa-IR"/>
        </w:rPr>
        <w:t xml:space="preserve"> ، ج 15 ، ص 183 ، ح 14869 ؛ </w:t>
      </w:r>
      <w:r w:rsidR="00744A1C" w:rsidRPr="00C24F9C">
        <w:rPr>
          <w:rStyle w:val="libFootnoteBoldChar"/>
          <w:rtl/>
        </w:rPr>
        <w:t>الوسائل</w:t>
      </w:r>
      <w:r w:rsidR="00744A1C">
        <w:rPr>
          <w:rtl/>
          <w:lang w:bidi="fa-IR"/>
        </w:rPr>
        <w:t xml:space="preserve"> ، ج 16 ، ص 147 ، ح 21205.</w:t>
      </w:r>
    </w:p>
    <w:p w:rsidR="00744A1C" w:rsidRDefault="00E378DD" w:rsidP="00E378DD">
      <w:pPr>
        <w:pStyle w:val="libFootnote0"/>
        <w:rPr>
          <w:lang w:bidi="fa-IR"/>
        </w:rPr>
      </w:pPr>
      <w:r>
        <w:rPr>
          <w:rtl/>
          <w:lang w:bidi="fa-IR"/>
        </w:rPr>
        <w:t>(2).</w:t>
      </w:r>
      <w:r w:rsidR="00744A1C">
        <w:rPr>
          <w:rtl/>
          <w:lang w:bidi="fa-IR"/>
        </w:rPr>
        <w:t xml:space="preserve"> الضمير راجع إلى أحمد بن محمّد المذكور في السند السابق ، فيكون السند معلّقاً.</w:t>
      </w:r>
    </w:p>
    <w:p w:rsidR="00744A1C" w:rsidRDefault="00E378DD" w:rsidP="00E378DD">
      <w:pPr>
        <w:pStyle w:val="libFootnote0"/>
        <w:rPr>
          <w:lang w:bidi="fa-IR"/>
        </w:rPr>
      </w:pPr>
      <w:r>
        <w:rPr>
          <w:rtl/>
          <w:lang w:bidi="fa-IR"/>
        </w:rPr>
        <w:t>(3).</w:t>
      </w:r>
      <w:r w:rsidR="00744A1C">
        <w:rPr>
          <w:rtl/>
          <w:lang w:bidi="fa-IR"/>
        </w:rPr>
        <w:t xml:space="preserve"> في « بف » : « قوله » بدل « قول الله ».</w:t>
      </w:r>
    </w:p>
    <w:p w:rsidR="00744A1C" w:rsidRDefault="00E378DD" w:rsidP="00E378DD">
      <w:pPr>
        <w:pStyle w:val="libFootnote0"/>
        <w:rPr>
          <w:lang w:bidi="fa-IR"/>
        </w:rPr>
      </w:pPr>
      <w:r>
        <w:rPr>
          <w:rtl/>
          <w:lang w:bidi="fa-IR"/>
        </w:rPr>
        <w:t>(4).</w:t>
      </w:r>
      <w:r w:rsidR="00744A1C">
        <w:rPr>
          <w:rtl/>
          <w:lang w:bidi="fa-IR"/>
        </w:rPr>
        <w:t xml:space="preserve"> التحريم (66) : 6.</w:t>
      </w:r>
    </w:p>
    <w:p w:rsidR="00744A1C" w:rsidRDefault="00E378DD" w:rsidP="00E378DD">
      <w:pPr>
        <w:pStyle w:val="libFootnote0"/>
        <w:rPr>
          <w:lang w:bidi="fa-IR"/>
        </w:rPr>
      </w:pPr>
      <w:r>
        <w:rPr>
          <w:rtl/>
          <w:lang w:bidi="fa-IR"/>
        </w:rPr>
        <w:t>(5).</w:t>
      </w:r>
      <w:r w:rsidR="00744A1C">
        <w:rPr>
          <w:rtl/>
          <w:lang w:bidi="fa-IR"/>
        </w:rPr>
        <w:t xml:space="preserve"> في « بس » : « نهى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179 ، ح 365 ، معلّقاً عن أحمد بن محمّد. وفي </w:t>
      </w:r>
      <w:r w:rsidR="00744A1C" w:rsidRPr="00610FB4">
        <w:rPr>
          <w:rStyle w:val="libFootnoteBoldChar"/>
          <w:rtl/>
        </w:rPr>
        <w:t>تفسير القمّي</w:t>
      </w:r>
      <w:r w:rsidR="00744A1C">
        <w:rPr>
          <w:rtl/>
          <w:lang w:bidi="fa-IR"/>
        </w:rPr>
        <w:t xml:space="preserve"> ، ج 2 ، ص 377 ؛ والزهد ، ص 77 ، ح 36 ، بسندهما عن أبي بصير ، مع اختلاف يسير.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375 ، مع اختلاف يسير </w:t>
      </w:r>
      <w:r w:rsidR="00A6423E">
        <w:rPr>
          <w:rFonts w:hint="cs"/>
          <w:rtl/>
          <w:lang w:bidi="fa-IR"/>
        </w:rPr>
        <w:t>.</w:t>
      </w:r>
      <w:r w:rsidR="00744A1C" w:rsidRPr="00C24F9C">
        <w:rPr>
          <w:rStyle w:val="libFootnoteBoldChar"/>
          <w:rtl/>
        </w:rPr>
        <w:t>الوافي</w:t>
      </w:r>
      <w:r w:rsidR="00744A1C">
        <w:rPr>
          <w:rtl/>
          <w:lang w:bidi="fa-IR"/>
        </w:rPr>
        <w:t xml:space="preserve"> ، ج 15 ، ص 183 ، ح 14870 ؛ </w:t>
      </w:r>
      <w:r w:rsidR="00744A1C" w:rsidRPr="00C24F9C">
        <w:rPr>
          <w:rStyle w:val="libFootnoteBoldChar"/>
          <w:rtl/>
        </w:rPr>
        <w:t>الوسائل</w:t>
      </w:r>
      <w:r w:rsidR="00744A1C">
        <w:rPr>
          <w:rtl/>
          <w:lang w:bidi="fa-IR"/>
        </w:rPr>
        <w:t xml:space="preserve"> ، ج 16 ، ص 148 ، ح 21206.</w:t>
      </w:r>
    </w:p>
    <w:p w:rsidR="00744A1C" w:rsidRDefault="00E378DD" w:rsidP="00E378DD">
      <w:pPr>
        <w:pStyle w:val="libFootnote0"/>
        <w:rPr>
          <w:lang w:bidi="fa-IR"/>
        </w:rPr>
      </w:pPr>
      <w:r>
        <w:rPr>
          <w:rtl/>
          <w:lang w:bidi="fa-IR"/>
        </w:rPr>
        <w:t>(7).</w:t>
      </w:r>
      <w:r w:rsidR="00744A1C">
        <w:rPr>
          <w:rtl/>
          <w:lang w:bidi="fa-IR"/>
        </w:rPr>
        <w:t xml:space="preserve"> لم يرد لحفص بن عثمان ذكر في كتب الرجال والأسناد. والمتكرّر في الأسناد رواية [ محمّد ] بن أبي عمير عن‌</w:t>
      </w:r>
      <w:r w:rsidR="00A6423E">
        <w:rPr>
          <w:rFonts w:hint="cs"/>
          <w:rtl/>
          <w:lang w:bidi="fa-IR"/>
        </w:rPr>
        <w:t xml:space="preserve"> </w:t>
      </w:r>
      <w:r w:rsidR="00744A1C">
        <w:rPr>
          <w:rtl/>
          <w:lang w:bidi="fa-IR"/>
        </w:rPr>
        <w:t xml:space="preserve">جعفر بن عثمان عن سماعة. وجعفر بن عثمان هو المذكور في كتب الرجال. راجع : </w:t>
      </w:r>
      <w:r w:rsidR="00744A1C" w:rsidRPr="003A7143">
        <w:rPr>
          <w:rStyle w:val="libFootnoteBoldChar"/>
          <w:rtl/>
        </w:rPr>
        <w:t>رجال النجاشي</w:t>
      </w:r>
      <w:r w:rsidR="00744A1C">
        <w:rPr>
          <w:rtl/>
          <w:lang w:bidi="fa-IR"/>
        </w:rPr>
        <w:t xml:space="preserve"> ، ص 124 ، الرقم 340 ؛ </w:t>
      </w:r>
      <w:r w:rsidR="00744A1C" w:rsidRPr="003A7143">
        <w:rPr>
          <w:rStyle w:val="libFootnoteBoldChar"/>
          <w:rtl/>
        </w:rPr>
        <w:t>الفهرست للطوسي</w:t>
      </w:r>
      <w:r w:rsidR="00744A1C">
        <w:rPr>
          <w:rtl/>
          <w:lang w:bidi="fa-IR"/>
        </w:rPr>
        <w:t xml:space="preserve"> ، ص 113 ، الرقم 151 ؛ </w:t>
      </w:r>
      <w:r w:rsidR="00744A1C" w:rsidRPr="0061079A">
        <w:rPr>
          <w:rStyle w:val="libFootnoteBoldChar"/>
          <w:rtl/>
        </w:rPr>
        <w:t>معجم رجال الحديث</w:t>
      </w:r>
      <w:r w:rsidR="00744A1C">
        <w:rPr>
          <w:rtl/>
          <w:lang w:bidi="fa-IR"/>
        </w:rPr>
        <w:t xml:space="preserve"> ، ج 4 ، ص 416.</w:t>
      </w:r>
    </w:p>
    <w:p w:rsidR="00744A1C" w:rsidRDefault="00E378DD" w:rsidP="00E378DD">
      <w:pPr>
        <w:pStyle w:val="libFootnote0"/>
        <w:rPr>
          <w:lang w:bidi="fa-IR"/>
        </w:rPr>
      </w:pPr>
      <w:r>
        <w:rPr>
          <w:rtl/>
          <w:lang w:bidi="fa-IR"/>
        </w:rPr>
        <w:t>(8).</w:t>
      </w:r>
      <w:r w:rsidR="00744A1C">
        <w:rPr>
          <w:rtl/>
          <w:lang w:bidi="fa-IR"/>
        </w:rPr>
        <w:t xml:space="preserve"> في </w:t>
      </w:r>
      <w:r w:rsidR="00744A1C" w:rsidRPr="00A6423E">
        <w:rPr>
          <w:rtl/>
        </w:rPr>
        <w:t>الوافي</w:t>
      </w:r>
      <w:r w:rsidR="00744A1C">
        <w:rPr>
          <w:rtl/>
          <w:lang w:bidi="fa-IR"/>
        </w:rPr>
        <w:t xml:space="preserve"> : « أهلينا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15 ، ص 184 ، ح 14871 ؛ </w:t>
      </w:r>
      <w:r w:rsidR="00744A1C" w:rsidRPr="00C24F9C">
        <w:rPr>
          <w:rStyle w:val="libFootnoteBoldChar"/>
          <w:rtl/>
        </w:rPr>
        <w:t>الوسائل</w:t>
      </w:r>
      <w:r w:rsidR="00744A1C">
        <w:rPr>
          <w:rtl/>
          <w:lang w:bidi="fa-IR"/>
        </w:rPr>
        <w:t xml:space="preserve"> ، ج 16 ، ص 148 ، ح 21207.</w:t>
      </w:r>
    </w:p>
    <w:p w:rsidR="006A5060" w:rsidRDefault="006A5060" w:rsidP="00D10E3C">
      <w:pPr>
        <w:pStyle w:val="libNormal"/>
        <w:rPr>
          <w:rtl/>
          <w:lang w:bidi="fa-IR"/>
        </w:rPr>
      </w:pPr>
      <w:r>
        <w:rPr>
          <w:rtl/>
          <w:lang w:bidi="fa-IR"/>
        </w:rPr>
        <w:br w:type="page"/>
      </w:r>
    </w:p>
    <w:p w:rsidR="00144FA6" w:rsidRDefault="00744A1C" w:rsidP="00A6423E">
      <w:pPr>
        <w:pStyle w:val="Heading2Center"/>
        <w:rPr>
          <w:rtl/>
          <w:lang w:bidi="fa-IR"/>
        </w:rPr>
      </w:pPr>
      <w:bookmarkStart w:id="119" w:name="_Toc49261417"/>
      <w:r>
        <w:rPr>
          <w:rtl/>
          <w:lang w:bidi="fa-IR"/>
        </w:rPr>
        <w:t xml:space="preserve">31 - بَابُ مَنْ أَسْخَطَ الْخَالِقَ فِي مَرْضَاةِ الْمَخْلُوقِ </w:t>
      </w:r>
      <w:r w:rsidRPr="00D10E3C">
        <w:rPr>
          <w:rStyle w:val="libFootnotenumChar"/>
          <w:rtl/>
        </w:rPr>
        <w:t>(1)</w:t>
      </w:r>
      <w:bookmarkEnd w:id="119"/>
    </w:p>
    <w:p w:rsidR="00144FA6" w:rsidRDefault="00744A1C" w:rsidP="00744A1C">
      <w:pPr>
        <w:pStyle w:val="libNormal"/>
        <w:rPr>
          <w:rtl/>
          <w:lang w:bidi="fa-IR"/>
        </w:rPr>
      </w:pPr>
      <w:r>
        <w:rPr>
          <w:rtl/>
          <w:lang w:bidi="fa-IR"/>
        </w:rPr>
        <w:t xml:space="preserve">8343 / 1. عِدَّةٌ مِنْ أَصْحَابِنَا ، عَنْ أَحْمَدَ بْنِ مُحَمَّدِ بْنِ خَالِدٍ ، عَنْ إِسْمَاعِيلَ بْنِ مِهْرَانَ ، عَنْ سَيْفِ </w:t>
      </w:r>
      <w:r w:rsidRPr="00D10E3C">
        <w:rPr>
          <w:rStyle w:val="libFootnotenumChar"/>
          <w:rtl/>
        </w:rPr>
        <w:t>(2)</w:t>
      </w:r>
      <w:r>
        <w:rPr>
          <w:rtl/>
          <w:lang w:bidi="fa-IR"/>
        </w:rPr>
        <w:t xml:space="preserve"> بْنِ عَمِيرَةَ ، عَنْ عَمْرِو بْنِ شِمْرٍ ، عَنْ جَابِرٍ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sidRPr="00D10E3C">
        <w:rPr>
          <w:rStyle w:val="libFootnotenumChar"/>
          <w:rtl/>
        </w:rPr>
        <w:t>(3)</w:t>
      </w:r>
      <w:r>
        <w:rPr>
          <w:rtl/>
          <w:lang w:bidi="fa-IR"/>
        </w:rPr>
        <w:t xml:space="preserve"> ، قَالَ : « قَالَ رَسُولُ اللهِ </w:t>
      </w:r>
      <w:r w:rsidR="00AE01C7" w:rsidRPr="00AE01C7">
        <w:rPr>
          <w:rStyle w:val="libFootnoteAlaemChar"/>
          <w:rtl/>
        </w:rPr>
        <w:t>صلى‌الله‌عليه‌وآله</w:t>
      </w:r>
      <w:r w:rsidR="00D10E3C">
        <w:rPr>
          <w:rtl/>
          <w:lang w:bidi="fa-IR"/>
        </w:rPr>
        <w:t xml:space="preserve"> </w:t>
      </w:r>
      <w:r>
        <w:rPr>
          <w:rtl/>
          <w:lang w:bidi="fa-IR"/>
        </w:rPr>
        <w:t xml:space="preserve">: مَنْ طَلَبَ مَرْضَاةَ النَّاسِ بِمَا يُسْخِطُ اللهَ عَزَّ وَجَلَّ ، كَانَ حَامِدُهُ مِنَ النَّاسُ ذَامّاً ، وَمَنْ آثَرَ طَاعَةَ اللهِ - عَزَّ وَجَلَّ - بِمَا يُغْضِبُ </w:t>
      </w:r>
      <w:r w:rsidRPr="00D10E3C">
        <w:rPr>
          <w:rStyle w:val="libFootnotenumChar"/>
          <w:rtl/>
        </w:rPr>
        <w:t>(4)</w:t>
      </w:r>
      <w:r>
        <w:rPr>
          <w:rtl/>
          <w:lang w:bidi="fa-IR"/>
        </w:rPr>
        <w:t xml:space="preserve"> النَّاسَ ، كَفَاهُ اللهُ - عَزَّ وَجَلَّ - عَدَاوَةَ كُلِّ عَدُوٍّ ، وَحَسَدَ كُلِّ حَاسِدٍ ، وَبَغْيَ كُلِّ بَاغٍ ، وَكَانَ اللهُ لَهُ نَاصِراً وَظَهِيراً ». </w:t>
      </w:r>
      <w:r w:rsidRPr="00D10E3C">
        <w:rPr>
          <w:rStyle w:val="libFootnotenumChar"/>
          <w:rtl/>
        </w:rPr>
        <w:t>(5)</w:t>
      </w:r>
    </w:p>
    <w:p w:rsidR="00144FA6" w:rsidRDefault="00744A1C" w:rsidP="00744A1C">
      <w:pPr>
        <w:pStyle w:val="libNormal"/>
        <w:rPr>
          <w:rtl/>
          <w:lang w:bidi="fa-IR"/>
        </w:rPr>
      </w:pPr>
      <w:r>
        <w:rPr>
          <w:rtl/>
          <w:lang w:bidi="fa-IR"/>
        </w:rPr>
        <w:t>8344 / 2.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sidRPr="00D10E3C">
        <w:rPr>
          <w:rStyle w:val="libFootnotenumChar"/>
          <w:rtl/>
        </w:rPr>
        <w:t>(6)</w:t>
      </w:r>
      <w:r>
        <w:rPr>
          <w:rtl/>
          <w:lang w:bidi="fa-IR"/>
        </w:rPr>
        <w:t xml:space="preserve"> ، قَالَ : « قَالَ رَسُولُ اللهِ </w:t>
      </w:r>
      <w:r w:rsidR="00B7470D" w:rsidRPr="00B7470D">
        <w:rPr>
          <w:rStyle w:val="libAlaemChar"/>
          <w:rtl/>
        </w:rPr>
        <w:t>صلى‌الله‌عليه‌وآله</w:t>
      </w:r>
      <w:r w:rsidR="00D10E3C">
        <w:rPr>
          <w:rtl/>
          <w:lang w:bidi="fa-IR"/>
        </w:rPr>
        <w:t xml:space="preserve"> </w:t>
      </w:r>
      <w:r>
        <w:rPr>
          <w:rtl/>
          <w:lang w:bidi="fa-IR"/>
        </w:rPr>
        <w:t xml:space="preserve">: مَنْ أَرْضى سُلْطَاناً </w:t>
      </w:r>
      <w:r w:rsidRPr="00D10E3C">
        <w:rPr>
          <w:rStyle w:val="libFootnotenumChar"/>
          <w:rtl/>
        </w:rPr>
        <w:t>(7)</w:t>
      </w:r>
      <w:r>
        <w:rPr>
          <w:rtl/>
          <w:lang w:bidi="fa-IR"/>
        </w:rPr>
        <w:t xml:space="preserve"> بِسَخَطِ اللهِ ، خَرَجَ مِنْ </w:t>
      </w:r>
      <w:r w:rsidRPr="00D10E3C">
        <w:rPr>
          <w:rStyle w:val="libFootnotenumChar"/>
          <w:rtl/>
        </w:rPr>
        <w:t>(8)</w:t>
      </w:r>
      <w:r>
        <w:rPr>
          <w:rtl/>
          <w:lang w:bidi="fa-IR"/>
        </w:rPr>
        <w:t xml:space="preserve"> دِينِ الْإِسْلَامِ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بث » : - « في مرضاة المخلوق ».</w:t>
      </w:r>
    </w:p>
    <w:p w:rsidR="00744A1C" w:rsidRDefault="00E378DD" w:rsidP="00E378DD">
      <w:pPr>
        <w:pStyle w:val="libFootnote0"/>
        <w:rPr>
          <w:lang w:bidi="fa-IR"/>
        </w:rPr>
      </w:pPr>
      <w:r>
        <w:rPr>
          <w:rtl/>
          <w:lang w:bidi="fa-IR"/>
        </w:rPr>
        <w:t>(2).</w:t>
      </w:r>
      <w:r w:rsidR="00744A1C">
        <w:rPr>
          <w:rtl/>
          <w:lang w:bidi="fa-IR"/>
        </w:rPr>
        <w:t xml:space="preserve"> في </w:t>
      </w:r>
      <w:r w:rsidR="00744A1C" w:rsidRPr="00A6423E">
        <w:rPr>
          <w:rtl/>
        </w:rPr>
        <w:t>البحار</w:t>
      </w:r>
      <w:r w:rsidR="00744A1C">
        <w:rPr>
          <w:rtl/>
          <w:lang w:bidi="fa-IR"/>
        </w:rPr>
        <w:t xml:space="preserve"> : « يوسف » ، وهو سهو. راجع : </w:t>
      </w:r>
      <w:r w:rsidR="00744A1C" w:rsidRPr="0061079A">
        <w:rPr>
          <w:rStyle w:val="libFootnoteBoldChar"/>
          <w:rtl/>
        </w:rPr>
        <w:t>معجم رجال الحديث</w:t>
      </w:r>
      <w:r w:rsidR="00744A1C">
        <w:rPr>
          <w:rtl/>
          <w:lang w:bidi="fa-IR"/>
        </w:rPr>
        <w:t xml:space="preserve"> ، ج 3 ، ص 480 - 481.</w:t>
      </w:r>
    </w:p>
    <w:p w:rsidR="00744A1C" w:rsidRDefault="00E378DD" w:rsidP="00E378DD">
      <w:pPr>
        <w:pStyle w:val="libFootnote0"/>
        <w:rPr>
          <w:lang w:bidi="fa-IR"/>
        </w:rPr>
      </w:pPr>
      <w:r>
        <w:rPr>
          <w:rtl/>
          <w:lang w:bidi="fa-IR"/>
        </w:rPr>
        <w:t>(3).</w:t>
      </w:r>
      <w:r w:rsidR="00744A1C">
        <w:rPr>
          <w:rtl/>
          <w:lang w:bidi="fa-IR"/>
        </w:rPr>
        <w:t xml:space="preserve"> في هامش المطبوع عن بعض النسخ : « عن أبي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في </w:t>
      </w:r>
      <w:r w:rsidR="00744A1C" w:rsidRPr="00A6423E">
        <w:rPr>
          <w:rtl/>
        </w:rPr>
        <w:t>الوسائل والبحار والكافي</w:t>
      </w:r>
      <w:r w:rsidR="00744A1C">
        <w:rPr>
          <w:rtl/>
          <w:lang w:bidi="fa-IR"/>
        </w:rPr>
        <w:t xml:space="preserve"> ، ح 2819 : « بغضب » بدل « بما يغضب ».</w:t>
      </w:r>
    </w:p>
    <w:p w:rsidR="00744A1C" w:rsidRDefault="00E378DD" w:rsidP="00E378DD">
      <w:pPr>
        <w:pStyle w:val="libFootnote0"/>
        <w:rPr>
          <w:lang w:bidi="fa-IR"/>
        </w:rPr>
      </w:pPr>
      <w:r>
        <w:rPr>
          <w:rtl/>
          <w:lang w:bidi="fa-IR"/>
        </w:rPr>
        <w:t>(5).</w:t>
      </w:r>
      <w:r w:rsidR="00744A1C">
        <w:rPr>
          <w:rtl/>
          <w:lang w:bidi="fa-IR"/>
        </w:rPr>
        <w:t xml:space="preserve"> </w:t>
      </w:r>
      <w:r w:rsidR="00744A1C" w:rsidRPr="0061079A">
        <w:rPr>
          <w:rStyle w:val="libFootnoteBoldChar"/>
          <w:rtl/>
        </w:rPr>
        <w:t>الكافي</w:t>
      </w:r>
      <w:r w:rsidR="00744A1C">
        <w:rPr>
          <w:rtl/>
          <w:lang w:bidi="fa-IR"/>
        </w:rPr>
        <w:t xml:space="preserve"> ، كتاب الإيمان والكفر ، باب من أطاع المخلوق في معصية الخالق ، ح 2819. وفي </w:t>
      </w:r>
      <w:r w:rsidR="00744A1C" w:rsidRPr="00C24F9C">
        <w:rPr>
          <w:rStyle w:val="libFootnoteBoldChar"/>
          <w:rtl/>
        </w:rPr>
        <w:t>التهذيب</w:t>
      </w:r>
      <w:r w:rsidR="00744A1C">
        <w:rPr>
          <w:rtl/>
          <w:lang w:bidi="fa-IR"/>
        </w:rPr>
        <w:t xml:space="preserve"> ، ج 6 ، ص 179 ، ح 366 ، معلّقاً عن أحمد بن محمّد بن خالد </w:t>
      </w:r>
      <w:r w:rsidR="00A6423E">
        <w:rPr>
          <w:rFonts w:hint="cs"/>
          <w:rtl/>
          <w:lang w:bidi="fa-IR"/>
        </w:rPr>
        <w:t>.</w:t>
      </w:r>
      <w:r w:rsidR="00744A1C" w:rsidRPr="00C24F9C">
        <w:rPr>
          <w:rStyle w:val="libFootnoteBoldChar"/>
          <w:rtl/>
        </w:rPr>
        <w:t>الوافي</w:t>
      </w:r>
      <w:r w:rsidR="00744A1C">
        <w:rPr>
          <w:rtl/>
          <w:lang w:bidi="fa-IR"/>
        </w:rPr>
        <w:t xml:space="preserve"> ، ج 5 ، ص 993 ، ح 3453 ؛ </w:t>
      </w:r>
      <w:r w:rsidR="00744A1C" w:rsidRPr="00C24F9C">
        <w:rPr>
          <w:rStyle w:val="libFootnoteBoldChar"/>
          <w:rtl/>
        </w:rPr>
        <w:t>الوسائل</w:t>
      </w:r>
      <w:r w:rsidR="00744A1C">
        <w:rPr>
          <w:rtl/>
          <w:lang w:bidi="fa-IR"/>
        </w:rPr>
        <w:t xml:space="preserve"> ، ج 16 ، ص 152 ، ح 21221 ؛ </w:t>
      </w:r>
      <w:r w:rsidR="00744A1C" w:rsidRPr="0061079A">
        <w:rPr>
          <w:rStyle w:val="libFootnoteBoldChar"/>
          <w:rtl/>
        </w:rPr>
        <w:t>البحار</w:t>
      </w:r>
      <w:r w:rsidR="00744A1C">
        <w:rPr>
          <w:rtl/>
          <w:lang w:bidi="fa-IR"/>
        </w:rPr>
        <w:t xml:space="preserve"> ، ج 73 ، ص 392 ، ح 2.</w:t>
      </w:r>
    </w:p>
    <w:p w:rsidR="00744A1C" w:rsidRDefault="00E378DD" w:rsidP="00A6423E">
      <w:pPr>
        <w:pStyle w:val="libFootnote0"/>
        <w:rPr>
          <w:lang w:bidi="fa-IR"/>
        </w:rPr>
      </w:pPr>
      <w:r>
        <w:rPr>
          <w:rtl/>
          <w:lang w:bidi="fa-IR"/>
        </w:rPr>
        <w:t>(6).</w:t>
      </w:r>
      <w:r w:rsidR="00744A1C">
        <w:rPr>
          <w:rtl/>
          <w:lang w:bidi="fa-IR"/>
        </w:rPr>
        <w:t xml:space="preserve"> في </w:t>
      </w:r>
      <w:r w:rsidR="00744A1C" w:rsidRPr="00A6423E">
        <w:rPr>
          <w:rtl/>
        </w:rPr>
        <w:t>الوسائل والبحار والكافي</w:t>
      </w:r>
      <w:r w:rsidR="00744A1C">
        <w:rPr>
          <w:rtl/>
          <w:lang w:bidi="fa-IR"/>
        </w:rPr>
        <w:t xml:space="preserve"> ، ح 2822 : + « عن أبيه </w:t>
      </w:r>
      <w:r w:rsidR="00F112A7" w:rsidRPr="00CE5A92">
        <w:rPr>
          <w:rStyle w:val="libFootnoteAlaemChar"/>
          <w:rtl/>
        </w:rPr>
        <w:t>عليهما‌السلام</w:t>
      </w:r>
      <w:r w:rsidR="00744A1C">
        <w:rPr>
          <w:rtl/>
          <w:lang w:bidi="fa-IR"/>
        </w:rPr>
        <w:t xml:space="preserve">عن جابر بن عبدالله الأنصاري [ في </w:t>
      </w:r>
      <w:r w:rsidR="00744A1C" w:rsidRPr="00A6423E">
        <w:rPr>
          <w:rtl/>
        </w:rPr>
        <w:t>الوسائل</w:t>
      </w:r>
      <w:r w:rsidR="00744A1C">
        <w:rPr>
          <w:rtl/>
          <w:lang w:bidi="fa-IR"/>
        </w:rPr>
        <w:t xml:space="preserve"> : - الأنصاري ] ».</w:t>
      </w:r>
      <w:r w:rsidR="00A6423E">
        <w:rPr>
          <w:rFonts w:hint="cs"/>
          <w:rtl/>
          <w:lang w:bidi="fa-IR"/>
        </w:rPr>
        <w:t xml:space="preserve">                      </w:t>
      </w:r>
      <w:r>
        <w:rPr>
          <w:rtl/>
          <w:lang w:bidi="fa-IR"/>
        </w:rPr>
        <w:t>(7).</w:t>
      </w:r>
      <w:r w:rsidR="00744A1C">
        <w:rPr>
          <w:rtl/>
          <w:lang w:bidi="fa-IR"/>
        </w:rPr>
        <w:t xml:space="preserve"> في </w:t>
      </w:r>
      <w:r w:rsidR="00744A1C" w:rsidRPr="00A6423E">
        <w:rPr>
          <w:rtl/>
        </w:rPr>
        <w:t xml:space="preserve">الوسائل والبحار </w:t>
      </w:r>
      <w:r w:rsidR="00744A1C">
        <w:rPr>
          <w:rtl/>
          <w:lang w:bidi="fa-IR"/>
        </w:rPr>
        <w:t>: + « جائراً ».</w:t>
      </w:r>
    </w:p>
    <w:p w:rsidR="00744A1C" w:rsidRDefault="00E378DD" w:rsidP="00E378DD">
      <w:pPr>
        <w:pStyle w:val="libFootnote0"/>
        <w:rPr>
          <w:lang w:bidi="fa-IR"/>
        </w:rPr>
      </w:pPr>
      <w:r>
        <w:rPr>
          <w:rtl/>
          <w:lang w:bidi="fa-IR"/>
        </w:rPr>
        <w:t>(8).</w:t>
      </w:r>
      <w:r w:rsidR="00744A1C">
        <w:rPr>
          <w:rtl/>
          <w:lang w:bidi="fa-IR"/>
        </w:rPr>
        <w:t xml:space="preserve"> هكذا في جميع النسخ التي قوبلت </w:t>
      </w:r>
      <w:r w:rsidR="00744A1C" w:rsidRPr="00A6423E">
        <w:rPr>
          <w:rtl/>
        </w:rPr>
        <w:t>والوافي</w:t>
      </w:r>
      <w:r w:rsidR="00744A1C">
        <w:rPr>
          <w:rtl/>
          <w:lang w:bidi="fa-IR"/>
        </w:rPr>
        <w:t>. وفي المطبوع : « عن ».</w:t>
      </w:r>
    </w:p>
    <w:p w:rsidR="00744A1C" w:rsidRDefault="00E378DD" w:rsidP="00E378DD">
      <w:pPr>
        <w:pStyle w:val="libFootnote0"/>
        <w:rPr>
          <w:lang w:bidi="fa-IR"/>
        </w:rPr>
      </w:pPr>
      <w:r>
        <w:rPr>
          <w:rtl/>
          <w:lang w:bidi="fa-IR"/>
        </w:rPr>
        <w:t>(9).</w:t>
      </w:r>
      <w:r w:rsidR="00744A1C">
        <w:rPr>
          <w:rtl/>
          <w:lang w:bidi="fa-IR"/>
        </w:rPr>
        <w:t xml:space="preserve"> في </w:t>
      </w:r>
      <w:r w:rsidR="00744A1C" w:rsidRPr="00A6423E">
        <w:rPr>
          <w:rtl/>
        </w:rPr>
        <w:t>البحار والكافي</w:t>
      </w:r>
      <w:r w:rsidR="00744A1C">
        <w:rPr>
          <w:rtl/>
          <w:lang w:bidi="fa-IR"/>
        </w:rPr>
        <w:t xml:space="preserve"> ، ح 2822 والعيون : « دين الله ».</w:t>
      </w:r>
    </w:p>
    <w:p w:rsidR="00744A1C" w:rsidRDefault="00E378DD" w:rsidP="00E378DD">
      <w:pPr>
        <w:pStyle w:val="libFootnote0"/>
        <w:rPr>
          <w:lang w:bidi="fa-IR"/>
        </w:rPr>
      </w:pPr>
      <w:r>
        <w:rPr>
          <w:rtl/>
          <w:lang w:bidi="fa-IR"/>
        </w:rPr>
        <w:t>(10).</w:t>
      </w:r>
      <w:r w:rsidR="00744A1C">
        <w:rPr>
          <w:rtl/>
          <w:lang w:bidi="fa-IR"/>
        </w:rPr>
        <w:t xml:space="preserve"> </w:t>
      </w:r>
      <w:r w:rsidR="00744A1C" w:rsidRPr="0061079A">
        <w:rPr>
          <w:rStyle w:val="libFootnoteBoldChar"/>
          <w:rtl/>
        </w:rPr>
        <w:t>الكافي</w:t>
      </w:r>
      <w:r w:rsidR="00744A1C">
        <w:rPr>
          <w:rtl/>
          <w:lang w:bidi="fa-IR"/>
        </w:rPr>
        <w:t xml:space="preserve"> ، كتاب الإيمان والكفر ، باب من أطاع المخلوق في معصية الخالق ، ح 2822. وفي </w:t>
      </w:r>
      <w:r w:rsidR="00744A1C" w:rsidRPr="00877682">
        <w:rPr>
          <w:rStyle w:val="libFootnoteBoldChar"/>
          <w:rtl/>
        </w:rPr>
        <w:t>عيون الأخبار</w:t>
      </w:r>
      <w:r w:rsidR="00744A1C">
        <w:rPr>
          <w:rtl/>
          <w:lang w:bidi="fa-IR"/>
        </w:rPr>
        <w:t xml:space="preserve"> ، ج 2 ، ص 69 ، ح 318 ، بسند آخر عن الرضا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E843EA" w:rsidRPr="00E843EA">
        <w:rPr>
          <w:rStyle w:val="libFootnoteAlaemChar"/>
          <w:rtl/>
        </w:rPr>
        <w:t>صلى‌الله‌عليه‌وآله</w:t>
      </w:r>
      <w:r w:rsidR="00744A1C">
        <w:rPr>
          <w:rtl/>
          <w:lang w:bidi="fa-IR"/>
        </w:rPr>
        <w:t xml:space="preserve"> . </w:t>
      </w:r>
      <w:r w:rsidR="00744A1C" w:rsidRPr="007D61A8">
        <w:rPr>
          <w:rStyle w:val="libFootnoteBoldChar"/>
          <w:rtl/>
        </w:rPr>
        <w:t>تحف العقول</w:t>
      </w:r>
      <w:r w:rsidR="00744A1C">
        <w:rPr>
          <w:rtl/>
          <w:lang w:bidi="fa-IR"/>
        </w:rPr>
        <w:t xml:space="preserve"> ، ص 57 ، عن رسول الله </w:t>
      </w:r>
      <w:r w:rsidR="00E843EA" w:rsidRPr="00E843EA">
        <w:rPr>
          <w:rStyle w:val="libFootnoteAlaemChar"/>
          <w:rtl/>
        </w:rPr>
        <w:t>صلى‌الله‌عليه‌وآله</w:t>
      </w:r>
      <w:r w:rsidR="00D10E3C">
        <w:rPr>
          <w:rtl/>
          <w:lang w:bidi="fa-IR"/>
        </w:rPr>
        <w:t xml:space="preserve"> </w:t>
      </w:r>
      <w:r w:rsidR="00A6423E">
        <w:rPr>
          <w:rFonts w:hint="cs"/>
          <w:rtl/>
          <w:lang w:bidi="fa-IR"/>
        </w:rPr>
        <w:t>.</w:t>
      </w:r>
      <w:r w:rsidR="00744A1C" w:rsidRPr="00C24F9C">
        <w:rPr>
          <w:rStyle w:val="libFootnoteBoldChar"/>
          <w:rtl/>
        </w:rPr>
        <w:t>الوافي</w:t>
      </w:r>
      <w:r w:rsidR="00744A1C">
        <w:rPr>
          <w:rtl/>
          <w:lang w:bidi="fa-IR"/>
        </w:rPr>
        <w:t xml:space="preserve"> ، ج 5 ، ص 993 ، ح 3455 ؛ </w:t>
      </w:r>
      <w:r w:rsidR="00744A1C" w:rsidRPr="00C24F9C">
        <w:rPr>
          <w:rStyle w:val="libFootnoteBoldChar"/>
          <w:rtl/>
        </w:rPr>
        <w:t>الوسائل</w:t>
      </w:r>
      <w:r w:rsidR="00744A1C">
        <w:rPr>
          <w:rtl/>
          <w:lang w:bidi="fa-IR"/>
        </w:rPr>
        <w:t xml:space="preserve"> ، ج 16 ، ص 153 ، ح 21223 ؛ </w:t>
      </w:r>
      <w:r w:rsidR="00744A1C" w:rsidRPr="0061079A">
        <w:rPr>
          <w:rStyle w:val="libFootnoteBoldChar"/>
          <w:rtl/>
        </w:rPr>
        <w:t>البحار</w:t>
      </w:r>
      <w:r w:rsidR="00744A1C">
        <w:rPr>
          <w:rtl/>
          <w:lang w:bidi="fa-IR"/>
        </w:rPr>
        <w:t xml:space="preserve"> ، ج 73 ، ص 393 ، ح 5.</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8345 / 3. وَبِهذَا الْإِسْنَادِ ، قَالَ :</w:t>
      </w:r>
    </w:p>
    <w:p w:rsidR="00144FA6" w:rsidRDefault="00744A1C" w:rsidP="00744A1C">
      <w:pPr>
        <w:pStyle w:val="libNormal"/>
        <w:rPr>
          <w:rtl/>
          <w:lang w:bidi="fa-IR"/>
        </w:rPr>
      </w:pPr>
      <w:r>
        <w:rPr>
          <w:rtl/>
          <w:lang w:bidi="fa-IR"/>
        </w:rPr>
        <w:t xml:space="preserve">« قَالَ رَسُولُ اللهِ </w:t>
      </w:r>
      <w:r w:rsidR="0017097C" w:rsidRPr="0017097C">
        <w:rPr>
          <w:rStyle w:val="libAlaemChar"/>
          <w:rtl/>
        </w:rPr>
        <w:t>صلى‌الله‌عليه‌وآله</w:t>
      </w:r>
      <w:r w:rsidR="00D10E3C">
        <w:rPr>
          <w:rtl/>
          <w:lang w:bidi="fa-IR"/>
        </w:rPr>
        <w:t xml:space="preserve"> </w:t>
      </w:r>
      <w:r>
        <w:rPr>
          <w:rtl/>
          <w:lang w:bidi="fa-IR"/>
        </w:rPr>
        <w:t xml:space="preserve">: مَنْ طَلَبَ مَرْضَاةَ </w:t>
      </w:r>
      <w:r w:rsidRPr="00D10E3C">
        <w:rPr>
          <w:rStyle w:val="libFootnotenumChar"/>
          <w:rtl/>
        </w:rPr>
        <w:t>(1)</w:t>
      </w:r>
      <w:r>
        <w:rPr>
          <w:rtl/>
          <w:lang w:bidi="fa-IR"/>
        </w:rPr>
        <w:t xml:space="preserve"> النَّاسِ بِمَا يُسْخِطُ </w:t>
      </w:r>
      <w:r w:rsidRPr="00D10E3C">
        <w:rPr>
          <w:rStyle w:val="libFootnotenumChar"/>
          <w:rtl/>
        </w:rPr>
        <w:t>(2)</w:t>
      </w:r>
      <w:r>
        <w:rPr>
          <w:rtl/>
          <w:lang w:bidi="fa-IR"/>
        </w:rPr>
        <w:t xml:space="preserve"> اللهَ عَزَّ وَجَلَّ ، كَانَ </w:t>
      </w:r>
      <w:r w:rsidRPr="00D10E3C">
        <w:rPr>
          <w:rStyle w:val="libFootnotenumChar"/>
          <w:rtl/>
        </w:rPr>
        <w:t>(3)</w:t>
      </w:r>
      <w:r>
        <w:rPr>
          <w:rtl/>
          <w:lang w:bidi="fa-IR"/>
        </w:rPr>
        <w:t xml:space="preserve"> حَامِدُهُ مِنَ النَّاسِ ذَامّاً ». </w:t>
      </w:r>
      <w:r w:rsidRPr="00D10E3C">
        <w:rPr>
          <w:rStyle w:val="libFootnotenumChar"/>
          <w:rtl/>
        </w:rPr>
        <w:t>(4)</w:t>
      </w:r>
    </w:p>
    <w:p w:rsidR="00744A1C" w:rsidRDefault="00744A1C" w:rsidP="00A6423E">
      <w:pPr>
        <w:pStyle w:val="Heading2Center"/>
        <w:rPr>
          <w:lang w:bidi="fa-IR"/>
        </w:rPr>
      </w:pPr>
      <w:bookmarkStart w:id="120" w:name="_Toc49261418"/>
      <w:r>
        <w:rPr>
          <w:rtl/>
          <w:lang w:bidi="fa-IR"/>
        </w:rPr>
        <w:t xml:space="preserve">32 - بَابُ كَرَاهَةِ </w:t>
      </w:r>
      <w:r w:rsidRPr="00D10E3C">
        <w:rPr>
          <w:rStyle w:val="libFootnotenumChar"/>
          <w:rtl/>
        </w:rPr>
        <w:t>(5)</w:t>
      </w:r>
      <w:r>
        <w:rPr>
          <w:rtl/>
          <w:lang w:bidi="fa-IR"/>
        </w:rPr>
        <w:t xml:space="preserve"> التَّعَرُّضِ لِمَا لَايُطِيقُ‌</w:t>
      </w:r>
      <w:bookmarkEnd w:id="120"/>
    </w:p>
    <w:p w:rsidR="00144FA6" w:rsidRDefault="00744A1C" w:rsidP="00744A1C">
      <w:pPr>
        <w:pStyle w:val="libNormal"/>
        <w:rPr>
          <w:rtl/>
          <w:lang w:bidi="fa-IR"/>
        </w:rPr>
      </w:pPr>
      <w:r>
        <w:rPr>
          <w:rtl/>
          <w:lang w:bidi="fa-IR"/>
        </w:rPr>
        <w:t xml:space="preserve">8346 / 1. مُحَمَّدُ بْنُ الْحُسَيْنِ </w:t>
      </w:r>
      <w:r w:rsidRPr="00D10E3C">
        <w:rPr>
          <w:rStyle w:val="libFootnotenumChar"/>
          <w:rtl/>
        </w:rPr>
        <w:t>(6)</w:t>
      </w:r>
      <w:r>
        <w:rPr>
          <w:rtl/>
          <w:lang w:bidi="fa-IR"/>
        </w:rPr>
        <w:t xml:space="preserve"> ، عَنْ إِبْرَاهِيمَ بْنِ إِسْحَاقَ الْأَحْمَرِ ، عَنْ عَبْدِ اللهِ بْنِ حَمَّادٍ الْأَنْصَارِيِّ ، عَنْ عَبْدِ اللهِ بْنِ سِنَانٍ ، عَنْ أَبِي الْحَسَنِ الْأَحْمَسِيِّ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اللهَ - عَزَّ وَجَلَّ - فَوَّضَ إِلَى الْمُؤْمِنِ أُمُورَهُ كُلَّهَا ، وَلَمْ يُفَوِّضْ إِلَيْهِ أَنْ يَكُونَ ذَلِيلاً </w:t>
      </w:r>
      <w:r w:rsidRPr="00D10E3C">
        <w:rPr>
          <w:rStyle w:val="libFootnotenumChar"/>
          <w:rtl/>
        </w:rPr>
        <w:t>(7)</w:t>
      </w:r>
      <w:r>
        <w:rPr>
          <w:rtl/>
          <w:lang w:bidi="fa-IR"/>
        </w:rPr>
        <w:t xml:space="preserve"> ، أَ</w:t>
      </w:r>
      <w:r w:rsidR="00A6423E">
        <w:rPr>
          <w:rFonts w:hint="cs"/>
          <w:rtl/>
          <w:lang w:bidi="fa-IR"/>
        </w:rPr>
        <w:t xml:space="preserve"> </w:t>
      </w:r>
      <w:r>
        <w:rPr>
          <w:rtl/>
          <w:lang w:bidi="fa-IR"/>
        </w:rPr>
        <w:t xml:space="preserve">مَا تَسْمَعُ قَوْلَ </w:t>
      </w:r>
      <w:r w:rsidRPr="00D10E3C">
        <w:rPr>
          <w:rStyle w:val="libFootnotenumChar"/>
          <w:rtl/>
        </w:rPr>
        <w:t>(8)</w:t>
      </w:r>
      <w:r>
        <w:rPr>
          <w:rtl/>
          <w:lang w:bidi="fa-IR"/>
        </w:rPr>
        <w:t xml:space="preserve"> اللهِ - عَزَّ وَجَلَّ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A6423E">
        <w:rPr>
          <w:rtl/>
        </w:rPr>
        <w:t>الوافي والبحار والكافي</w:t>
      </w:r>
      <w:r w:rsidR="00744A1C">
        <w:rPr>
          <w:rtl/>
          <w:lang w:bidi="fa-IR"/>
        </w:rPr>
        <w:t xml:space="preserve"> ، ح 2818 والخصال : « رضى ».</w:t>
      </w:r>
    </w:p>
    <w:p w:rsidR="00744A1C" w:rsidRDefault="00E378DD" w:rsidP="00E378DD">
      <w:pPr>
        <w:pStyle w:val="libFootnote0"/>
        <w:rPr>
          <w:lang w:bidi="fa-IR"/>
        </w:rPr>
      </w:pPr>
      <w:r>
        <w:rPr>
          <w:rtl/>
          <w:lang w:bidi="fa-IR"/>
        </w:rPr>
        <w:t>(2).</w:t>
      </w:r>
      <w:r w:rsidR="00744A1C">
        <w:rPr>
          <w:rtl/>
          <w:lang w:bidi="fa-IR"/>
        </w:rPr>
        <w:t xml:space="preserve"> في </w:t>
      </w:r>
      <w:r w:rsidR="00744A1C" w:rsidRPr="00A6423E">
        <w:rPr>
          <w:rtl/>
        </w:rPr>
        <w:t>الوافي والبحار والكافي</w:t>
      </w:r>
      <w:r w:rsidR="00744A1C">
        <w:rPr>
          <w:rtl/>
          <w:lang w:bidi="fa-IR"/>
        </w:rPr>
        <w:t xml:space="preserve"> ، ح 2818 والخصال : « بسخط » بدل « بما يسخط ».</w:t>
      </w:r>
    </w:p>
    <w:p w:rsidR="00744A1C" w:rsidRDefault="00E378DD" w:rsidP="00E378DD">
      <w:pPr>
        <w:pStyle w:val="libFootnote0"/>
        <w:rPr>
          <w:lang w:bidi="fa-IR"/>
        </w:rPr>
      </w:pPr>
      <w:r>
        <w:rPr>
          <w:rtl/>
          <w:lang w:bidi="fa-IR"/>
        </w:rPr>
        <w:t>(3).</w:t>
      </w:r>
      <w:r w:rsidR="00744A1C">
        <w:rPr>
          <w:rtl/>
          <w:lang w:bidi="fa-IR"/>
        </w:rPr>
        <w:t xml:space="preserve"> في </w:t>
      </w:r>
      <w:r w:rsidR="00744A1C" w:rsidRPr="00A6423E">
        <w:rPr>
          <w:rtl/>
        </w:rPr>
        <w:t>الوافي والبحار والكافي</w:t>
      </w:r>
      <w:r w:rsidR="00744A1C">
        <w:rPr>
          <w:rtl/>
          <w:lang w:bidi="fa-IR"/>
        </w:rPr>
        <w:t xml:space="preserve"> ، ح 2818 والخصال : « جعل الله » بدل « كان ».</w:t>
      </w:r>
    </w:p>
    <w:p w:rsidR="00744A1C" w:rsidRDefault="00E378DD" w:rsidP="00E378DD">
      <w:pPr>
        <w:pStyle w:val="libFootnote0"/>
        <w:rPr>
          <w:lang w:bidi="fa-IR"/>
        </w:rPr>
      </w:pPr>
      <w:r>
        <w:rPr>
          <w:rtl/>
          <w:lang w:bidi="fa-IR"/>
        </w:rPr>
        <w:t>(4).</w:t>
      </w:r>
      <w:r w:rsidR="00744A1C">
        <w:rPr>
          <w:rtl/>
          <w:lang w:bidi="fa-IR"/>
        </w:rPr>
        <w:t xml:space="preserve"> </w:t>
      </w:r>
      <w:r w:rsidR="00744A1C" w:rsidRPr="0061079A">
        <w:rPr>
          <w:rStyle w:val="libFootnoteBoldChar"/>
          <w:rtl/>
        </w:rPr>
        <w:t>الكافي</w:t>
      </w:r>
      <w:r w:rsidR="00744A1C">
        <w:rPr>
          <w:rtl/>
          <w:lang w:bidi="fa-IR"/>
        </w:rPr>
        <w:t xml:space="preserve"> ، كتاب الإيمان والكفر ، باب من أطاع المخلوق في معصية الخالق ، ح 2818. وفي </w:t>
      </w:r>
      <w:r w:rsidR="00744A1C" w:rsidRPr="00A6423E">
        <w:rPr>
          <w:rStyle w:val="libFootnoteBoldChar"/>
          <w:rtl/>
        </w:rPr>
        <w:t>الخصال</w:t>
      </w:r>
      <w:r w:rsidR="00744A1C">
        <w:rPr>
          <w:rtl/>
          <w:lang w:bidi="fa-IR"/>
        </w:rPr>
        <w:t xml:space="preserve"> ، ص 3 ، باب الواحد ، ح 6 ، بسنده عن السكوني ،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712C99" w:rsidRPr="00712C99">
        <w:rPr>
          <w:rStyle w:val="libAlaemChar"/>
          <w:rtl/>
        </w:rPr>
        <w:t>صلى‌الله‌عليه‌وآله</w:t>
      </w:r>
      <w:r w:rsidR="00D10E3C">
        <w:rPr>
          <w:rtl/>
          <w:lang w:bidi="fa-IR"/>
        </w:rPr>
        <w:t xml:space="preserve"> </w:t>
      </w:r>
      <w:r w:rsidR="00A6423E">
        <w:rPr>
          <w:rFonts w:hint="cs"/>
          <w:rtl/>
          <w:lang w:bidi="fa-IR"/>
        </w:rPr>
        <w:t>.</w:t>
      </w:r>
      <w:r w:rsidR="00744A1C" w:rsidRPr="00C24F9C">
        <w:rPr>
          <w:rStyle w:val="libFootnoteBoldChar"/>
          <w:rtl/>
        </w:rPr>
        <w:t>الوافي</w:t>
      </w:r>
      <w:r w:rsidR="00744A1C">
        <w:rPr>
          <w:rtl/>
          <w:lang w:bidi="fa-IR"/>
        </w:rPr>
        <w:t xml:space="preserve"> ، ج 5 ، ص 993 ، ح 3452 ؛ </w:t>
      </w:r>
      <w:r w:rsidR="00744A1C" w:rsidRPr="00C24F9C">
        <w:rPr>
          <w:rStyle w:val="libFootnoteBoldChar"/>
          <w:rtl/>
        </w:rPr>
        <w:t>الوسائل</w:t>
      </w:r>
      <w:r w:rsidR="00744A1C">
        <w:rPr>
          <w:rtl/>
          <w:lang w:bidi="fa-IR"/>
        </w:rPr>
        <w:t xml:space="preserve"> ، ج 16 ، ص 153 ، ح 21224.</w:t>
      </w:r>
    </w:p>
    <w:p w:rsidR="00744A1C" w:rsidRDefault="00E378DD" w:rsidP="00E378DD">
      <w:pPr>
        <w:pStyle w:val="libFootnote0"/>
        <w:rPr>
          <w:lang w:bidi="fa-IR"/>
        </w:rPr>
      </w:pPr>
      <w:r>
        <w:rPr>
          <w:rtl/>
          <w:lang w:bidi="fa-IR"/>
        </w:rPr>
        <w:t>(5).</w:t>
      </w:r>
      <w:r w:rsidR="00744A1C">
        <w:rPr>
          <w:rtl/>
          <w:lang w:bidi="fa-IR"/>
        </w:rPr>
        <w:t xml:space="preserve"> في « بح ، بس » : « كراهية ».</w:t>
      </w:r>
    </w:p>
    <w:p w:rsidR="00744A1C" w:rsidRDefault="00E378DD" w:rsidP="00E378DD">
      <w:pPr>
        <w:pStyle w:val="libFootnote0"/>
        <w:rPr>
          <w:lang w:bidi="fa-IR"/>
        </w:rPr>
      </w:pPr>
      <w:r>
        <w:rPr>
          <w:rtl/>
          <w:lang w:bidi="fa-IR"/>
        </w:rPr>
        <w:t>(6).</w:t>
      </w:r>
      <w:r w:rsidR="00744A1C">
        <w:rPr>
          <w:rtl/>
          <w:lang w:bidi="fa-IR"/>
        </w:rPr>
        <w:t xml:space="preserve"> لم نجد في مشايخ المصنّف من يسمّى بمحمّد بن الحسين ، بل روى هو عن محمّد بن الحسن في كثيرٍ من‌الأسناد وهو محمّد بن الحسن الطائي الرازي ، كما تقدّم ذيل ح 8226. والظاهر أنّ محمّد بن الحسين في السند مصحّف من محمّد بن الحسن. وقد وردت رواية محمّد بن الحسن عن إبراهيم بن إسحاق [ الأحمري أو الأحمر ] في </w:t>
      </w:r>
      <w:r w:rsidR="00744A1C" w:rsidRPr="0061079A">
        <w:rPr>
          <w:rStyle w:val="libFootnoteBoldChar"/>
          <w:rtl/>
        </w:rPr>
        <w:t>الكافي</w:t>
      </w:r>
      <w:r w:rsidR="00744A1C">
        <w:rPr>
          <w:rtl/>
          <w:lang w:bidi="fa-IR"/>
        </w:rPr>
        <w:t xml:space="preserve"> ، ح 780 و 2322 و 12326 و 12667 و 12784 و 12831.</w:t>
      </w:r>
    </w:p>
    <w:p w:rsidR="00744A1C" w:rsidRDefault="00744A1C" w:rsidP="00D10E3C">
      <w:pPr>
        <w:pStyle w:val="libFootnote0"/>
        <w:rPr>
          <w:lang w:bidi="fa-IR"/>
        </w:rPr>
      </w:pPr>
      <w:r>
        <w:rPr>
          <w:rtl/>
          <w:lang w:bidi="fa-IR"/>
        </w:rPr>
        <w:t xml:space="preserve">ويؤيّد ذلك أنّ الخبر ورد في </w:t>
      </w:r>
      <w:r w:rsidRPr="00C24F9C">
        <w:rPr>
          <w:rStyle w:val="libFootnoteBoldChar"/>
          <w:rtl/>
        </w:rPr>
        <w:t>التهذيب</w:t>
      </w:r>
      <w:r>
        <w:rPr>
          <w:rtl/>
          <w:lang w:bidi="fa-IR"/>
        </w:rPr>
        <w:t xml:space="preserve"> ، ج 6 ، ص 179 ، ح 367 - والخبر مأخوذ من </w:t>
      </w:r>
      <w:r w:rsidRPr="0061079A">
        <w:rPr>
          <w:rStyle w:val="libFootnoteBoldChar"/>
          <w:rtl/>
        </w:rPr>
        <w:t>الكافي</w:t>
      </w:r>
      <w:r>
        <w:rPr>
          <w:rtl/>
          <w:lang w:bidi="fa-IR"/>
        </w:rPr>
        <w:t xml:space="preserve"> من غير تصريح - وسنده هكذا : « محمّد بن الحسن عن إبراهيم بن إسحاق الأحمر عن عبد الله بن حمّاد الأنصاري ... ».</w:t>
      </w:r>
    </w:p>
    <w:p w:rsidR="00744A1C" w:rsidRDefault="00E378DD" w:rsidP="00E378DD">
      <w:pPr>
        <w:pStyle w:val="libFootnote0"/>
        <w:rPr>
          <w:lang w:bidi="fa-IR"/>
        </w:rPr>
      </w:pPr>
      <w:r>
        <w:rPr>
          <w:rtl/>
          <w:lang w:bidi="fa-IR"/>
        </w:rPr>
        <w:t>(7).</w:t>
      </w:r>
      <w:r w:rsidR="00744A1C">
        <w:rPr>
          <w:rtl/>
          <w:lang w:bidi="fa-IR"/>
        </w:rPr>
        <w:t xml:space="preserve"> في </w:t>
      </w:r>
      <w:r w:rsidR="00744A1C" w:rsidRPr="00877682">
        <w:rPr>
          <w:rStyle w:val="libFootnoteBoldChar"/>
          <w:rtl/>
        </w:rPr>
        <w:t>مرآة العقول</w:t>
      </w:r>
      <w:r w:rsidR="00744A1C">
        <w:rPr>
          <w:rtl/>
          <w:lang w:bidi="fa-IR"/>
        </w:rPr>
        <w:t xml:space="preserve"> ، ج 18 ، ص 411 : « لعلّ المعنى أنّه ينبغي للمؤمن أن لا يذلّ نفسه ، ولو صار ذليلاً بغير اختيار</w:t>
      </w:r>
      <w:r w:rsidR="00A6423E">
        <w:rPr>
          <w:rFonts w:hint="cs"/>
          <w:rtl/>
          <w:lang w:bidi="fa-IR"/>
        </w:rPr>
        <w:t xml:space="preserve"> </w:t>
      </w:r>
      <w:r w:rsidR="00744A1C">
        <w:rPr>
          <w:rtl/>
          <w:lang w:bidi="fa-IR"/>
        </w:rPr>
        <w:t>فهو في نفس الأمر عزيز بدينه ، أو المعنى أنّ الله تعالى لم يفوّض إليه ذلّته ؛ لأنّه جعل له ديناً لا يستقلّ منه ، والأوّل أظهر ».</w:t>
      </w:r>
    </w:p>
    <w:p w:rsidR="00744A1C" w:rsidRDefault="00E378DD" w:rsidP="00E378DD">
      <w:pPr>
        <w:pStyle w:val="libFootnote0"/>
        <w:rPr>
          <w:lang w:bidi="fa-IR"/>
        </w:rPr>
      </w:pPr>
      <w:r>
        <w:rPr>
          <w:rtl/>
          <w:lang w:bidi="fa-IR"/>
        </w:rPr>
        <w:t>(8).</w:t>
      </w:r>
      <w:r w:rsidR="00744A1C">
        <w:rPr>
          <w:rtl/>
          <w:lang w:bidi="fa-IR"/>
        </w:rPr>
        <w:t xml:space="preserve"> في « بث ، بف » </w:t>
      </w:r>
      <w:r w:rsidR="00744A1C" w:rsidRPr="00A6423E">
        <w:rPr>
          <w:rtl/>
        </w:rPr>
        <w:t>والوافي والوسائل والتهذيب</w:t>
      </w:r>
      <w:r w:rsidR="00744A1C">
        <w:rPr>
          <w:rtl/>
          <w:lang w:bidi="fa-IR"/>
        </w:rPr>
        <w:t xml:space="preserve"> : - « قول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يَقُولُ </w:t>
      </w:r>
      <w:r w:rsidRPr="00D10E3C">
        <w:rPr>
          <w:rStyle w:val="libFootnotenumChar"/>
          <w:rtl/>
        </w:rPr>
        <w:t>(1)</w:t>
      </w:r>
      <w:r>
        <w:rPr>
          <w:rtl/>
          <w:lang w:bidi="fa-IR"/>
        </w:rPr>
        <w:t xml:space="preserve"> : </w:t>
      </w:r>
      <w:r w:rsidRPr="00A6423E">
        <w:rPr>
          <w:rStyle w:val="libAlaemChar"/>
          <w:rtl/>
        </w:rPr>
        <w:t>(</w:t>
      </w:r>
      <w:r w:rsidRPr="00A6423E">
        <w:rPr>
          <w:rStyle w:val="libAieChar"/>
          <w:rtl/>
        </w:rPr>
        <w:t xml:space="preserve"> وَلِلّهِ الْعِزَّةُ وَلِرَسُولِهِ وَلِلْمُؤْمِنِينَ </w:t>
      </w:r>
      <w:r w:rsidRPr="00A6423E">
        <w:rPr>
          <w:rStyle w:val="libAlaemChar"/>
          <w:rtl/>
        </w:rPr>
        <w:t>)</w:t>
      </w:r>
      <w:r>
        <w:rPr>
          <w:rtl/>
          <w:lang w:bidi="fa-IR"/>
        </w:rPr>
        <w:t xml:space="preserve"> </w:t>
      </w:r>
      <w:r w:rsidRPr="00D10E3C">
        <w:rPr>
          <w:rStyle w:val="libFootnotenumChar"/>
          <w:rtl/>
        </w:rPr>
        <w:t>(2)</w:t>
      </w:r>
      <w:r>
        <w:rPr>
          <w:rtl/>
          <w:lang w:bidi="fa-IR"/>
        </w:rPr>
        <w:t xml:space="preserve"> فَالْمُؤْمِنُ يَكُونُ عَزِيزاً ، وَلَا يَكُونُ ذَلِيلاً ».</w:t>
      </w:r>
    </w:p>
    <w:p w:rsidR="00144FA6" w:rsidRDefault="00744A1C" w:rsidP="00744A1C">
      <w:pPr>
        <w:pStyle w:val="libNormal"/>
        <w:rPr>
          <w:rtl/>
          <w:lang w:bidi="fa-IR"/>
        </w:rPr>
      </w:pPr>
      <w:r>
        <w:rPr>
          <w:rtl/>
          <w:lang w:bidi="fa-IR"/>
        </w:rPr>
        <w:t xml:space="preserve">ثُمَّ قَالَ : « إِنَّ الْمُؤْمِنَ أَعَزُّ مِنَ الْجَبَلِ ؛ إِنَّ </w:t>
      </w:r>
      <w:r w:rsidRPr="00D10E3C">
        <w:rPr>
          <w:rStyle w:val="libFootnotenumChar"/>
          <w:rtl/>
        </w:rPr>
        <w:t>(3)</w:t>
      </w:r>
      <w:r>
        <w:rPr>
          <w:rtl/>
          <w:lang w:bidi="fa-IR"/>
        </w:rPr>
        <w:t xml:space="preserve"> الْجَبَلَ يُسْتَقَلُّ </w:t>
      </w:r>
      <w:r w:rsidRPr="00D10E3C">
        <w:rPr>
          <w:rStyle w:val="libFootnotenumChar"/>
          <w:rtl/>
        </w:rPr>
        <w:t>(4)</w:t>
      </w:r>
      <w:r>
        <w:rPr>
          <w:rtl/>
          <w:lang w:bidi="fa-IR"/>
        </w:rPr>
        <w:t xml:space="preserve"> مِنْهُ بِالْمَعَاوِلِ </w:t>
      </w:r>
      <w:r w:rsidRPr="00D10E3C">
        <w:rPr>
          <w:rStyle w:val="libFootnotenumChar"/>
          <w:rtl/>
        </w:rPr>
        <w:t>(5)</w:t>
      </w:r>
      <w:r>
        <w:rPr>
          <w:rtl/>
          <w:lang w:bidi="fa-IR"/>
        </w:rPr>
        <w:t xml:space="preserve"> ، وَالْمُؤْمِنَ لَايُسْتَقَلُّ </w:t>
      </w:r>
      <w:r w:rsidRPr="00D10E3C">
        <w:rPr>
          <w:rStyle w:val="libFootnotenumChar"/>
          <w:rtl/>
        </w:rPr>
        <w:t>(6)</w:t>
      </w:r>
      <w:r>
        <w:rPr>
          <w:rtl/>
          <w:lang w:bidi="fa-IR"/>
        </w:rPr>
        <w:t xml:space="preserve"> مِنْ دِينِهِ شَيْ‌ءٌ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8347 / 2. عِدَّةٌ مِنْ أَصْحَابِنَا ، عَنْ أَحْمَدَ بْنِ مُحَمَّدٍ ، عَنْ عُثْمَانَ بْنِ عِيسى ، عَنْ سَمَاعَةَ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إِنَّ اللهَ - عَزَّ وَجَلَّ - فَوَّضَ إِلَى الْمُؤْمِنِ أُمُورَهُ كُلَّهَا ، وَلَمْ يُفَوِّضْ إِلَيْهِ أَنْ يُذِلَّ نَفْسَهُ ؛ أَلَمْ تَسْمَعْ </w:t>
      </w:r>
      <w:r w:rsidRPr="00D10E3C">
        <w:rPr>
          <w:rStyle w:val="libFootnotenumChar"/>
          <w:rtl/>
        </w:rPr>
        <w:t>(9)</w:t>
      </w:r>
      <w:r>
        <w:rPr>
          <w:rtl/>
          <w:lang w:bidi="fa-IR"/>
        </w:rPr>
        <w:t xml:space="preserve"> لِقَوْلِ اللهِ عَزَّ وَجَلَّ : ( وَلِلّهِ الْعِزَّةُ وَلِرَسُولِهِ وَلِلْمُؤْمِنِينَ ) </w:t>
      </w:r>
      <w:r w:rsidRPr="00D10E3C">
        <w:rPr>
          <w:rStyle w:val="libFootnotenumChar"/>
          <w:rtl/>
        </w:rPr>
        <w:t>(10)</w:t>
      </w:r>
      <w:r>
        <w:rPr>
          <w:rtl/>
          <w:lang w:bidi="fa-IR"/>
        </w:rPr>
        <w:t xml:space="preserve"> فَالْمُؤْمِنُ يَنْبَغِي أَنْ يَكُونَ عَزِيزاً ، وَلَا يَكُونَ ذَلِيلاً ، يُعِزُّهُ اللهُ بِالْإِيمَانِ وَالْإِسْلَامِ ». </w:t>
      </w:r>
      <w:r w:rsidRPr="00D10E3C">
        <w:rPr>
          <w:rStyle w:val="libFootnotenumChar"/>
          <w:rtl/>
        </w:rPr>
        <w:t>(11)</w:t>
      </w:r>
    </w:p>
    <w:p w:rsidR="00144FA6" w:rsidRDefault="00744A1C" w:rsidP="00744A1C">
      <w:pPr>
        <w:pStyle w:val="libNormal"/>
        <w:rPr>
          <w:rtl/>
          <w:lang w:bidi="fa-IR"/>
        </w:rPr>
      </w:pPr>
      <w:r>
        <w:rPr>
          <w:rtl/>
          <w:lang w:bidi="fa-IR"/>
        </w:rPr>
        <w:t>8348 / 3. عَلِيُّ بْنُ إِبْرَاهِيمَ ، عَنْ أَبِيهِ ، عَنْ عُثْمَانَ بْنِ عِيسى ، عَنْ عَبْدِ اللهِ بْنِ مُسْكَانَ ، عَنْ أَبِي بَصِيرٍ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إِنَّ اللهَ - تَبَارَكَ وَتَعَالى - فَوَّضَ إِلَى ا</w:t>
      </w:r>
      <w:r w:rsidR="00A6423E">
        <w:rPr>
          <w:rtl/>
          <w:lang w:bidi="fa-IR"/>
        </w:rPr>
        <w:t>لْمُؤْمِنِ كُلَّ شَيْ‌ءٍ إِل</w:t>
      </w:r>
      <w:r w:rsidR="00A6423E">
        <w:rPr>
          <w:rFonts w:hint="cs"/>
          <w:rtl/>
          <w:lang w:bidi="fa-IR"/>
        </w:rPr>
        <w:t>َّ</w:t>
      </w:r>
      <w:r w:rsidR="00A6423E">
        <w:rPr>
          <w:rtl/>
          <w:lang w:bidi="fa-IR"/>
        </w:rPr>
        <w:t>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جن » : - « يقول ».</w:t>
      </w:r>
    </w:p>
    <w:p w:rsidR="00744A1C" w:rsidRDefault="00E378DD" w:rsidP="00E378DD">
      <w:pPr>
        <w:pStyle w:val="libFootnote0"/>
        <w:rPr>
          <w:lang w:bidi="fa-IR"/>
        </w:rPr>
      </w:pPr>
      <w:r>
        <w:rPr>
          <w:rtl/>
          <w:lang w:bidi="fa-IR"/>
        </w:rPr>
        <w:t>(2).</w:t>
      </w:r>
      <w:r w:rsidR="00744A1C">
        <w:rPr>
          <w:rtl/>
          <w:lang w:bidi="fa-IR"/>
        </w:rPr>
        <w:t xml:space="preserve"> المنافقون (63) : 8.</w:t>
      </w:r>
    </w:p>
    <w:p w:rsidR="00744A1C" w:rsidRDefault="00E378DD" w:rsidP="00E378DD">
      <w:pPr>
        <w:pStyle w:val="libFootnote0"/>
        <w:rPr>
          <w:lang w:bidi="fa-IR"/>
        </w:rPr>
      </w:pPr>
      <w:r>
        <w:rPr>
          <w:rtl/>
          <w:lang w:bidi="fa-IR"/>
        </w:rPr>
        <w:t>(3).</w:t>
      </w:r>
      <w:r w:rsidR="00744A1C">
        <w:rPr>
          <w:rtl/>
          <w:lang w:bidi="fa-IR"/>
        </w:rPr>
        <w:t xml:space="preserve"> في </w:t>
      </w:r>
      <w:r w:rsidR="00744A1C" w:rsidRPr="00A6423E">
        <w:rPr>
          <w:rtl/>
        </w:rPr>
        <w:t>الوافي</w:t>
      </w:r>
      <w:r w:rsidR="00744A1C">
        <w:rPr>
          <w:rtl/>
          <w:lang w:bidi="fa-IR"/>
        </w:rPr>
        <w:t xml:space="preserve"> : - « إنّ ».</w:t>
      </w:r>
    </w:p>
    <w:p w:rsidR="00744A1C" w:rsidRDefault="00E378DD" w:rsidP="00E378DD">
      <w:pPr>
        <w:pStyle w:val="libFootnote0"/>
        <w:rPr>
          <w:lang w:bidi="fa-IR"/>
        </w:rPr>
      </w:pPr>
      <w:r>
        <w:rPr>
          <w:rtl/>
          <w:lang w:bidi="fa-IR"/>
        </w:rPr>
        <w:t>(4).</w:t>
      </w:r>
      <w:r w:rsidR="00744A1C">
        <w:rPr>
          <w:rtl/>
          <w:lang w:bidi="fa-IR"/>
        </w:rPr>
        <w:t xml:space="preserve"> في </w:t>
      </w:r>
      <w:r w:rsidR="00744A1C" w:rsidRPr="00A6423E">
        <w:rPr>
          <w:rtl/>
        </w:rPr>
        <w:t>الوافي</w:t>
      </w:r>
      <w:r w:rsidR="00744A1C">
        <w:rPr>
          <w:rtl/>
          <w:lang w:bidi="fa-IR"/>
        </w:rPr>
        <w:t xml:space="preserve"> : « يستفلّ » بالفاء. وفيه أيضاً : « الفَلَّ ، بالفاء : الثَلْم » وفي </w:t>
      </w:r>
      <w:r w:rsidR="00744A1C" w:rsidRPr="00C24F9C">
        <w:rPr>
          <w:rStyle w:val="libFootnoteBoldChar"/>
          <w:rtl/>
        </w:rPr>
        <w:t>المرآة</w:t>
      </w:r>
      <w:r w:rsidR="00A6423E">
        <w:rPr>
          <w:rtl/>
          <w:lang w:bidi="fa-IR"/>
        </w:rPr>
        <w:t xml:space="preserve"> : « الاستقلال هنا طلب القلّة</w:t>
      </w:r>
      <w:r w:rsidR="00744A1C">
        <w:rPr>
          <w:rtl/>
          <w:lang w:bidi="fa-IR"/>
        </w:rPr>
        <w:t>».</w:t>
      </w:r>
    </w:p>
    <w:p w:rsidR="00744A1C" w:rsidRDefault="00E378DD" w:rsidP="00E378DD">
      <w:pPr>
        <w:pStyle w:val="libFootnote0"/>
        <w:rPr>
          <w:lang w:bidi="fa-IR"/>
        </w:rPr>
      </w:pPr>
      <w:r>
        <w:rPr>
          <w:rtl/>
          <w:lang w:bidi="fa-IR"/>
        </w:rPr>
        <w:t>(5).</w:t>
      </w:r>
      <w:r w:rsidR="00A6423E">
        <w:rPr>
          <w:rtl/>
          <w:lang w:bidi="fa-IR"/>
        </w:rPr>
        <w:t xml:space="preserve"> « الم</w:t>
      </w:r>
      <w:r w:rsidR="00A6423E">
        <w:rPr>
          <w:rFonts w:hint="cs"/>
          <w:rtl/>
          <w:lang w:bidi="fa-IR"/>
        </w:rPr>
        <w:t>ـَ</w:t>
      </w:r>
      <w:r w:rsidR="00744A1C">
        <w:rPr>
          <w:rtl/>
          <w:lang w:bidi="fa-IR"/>
        </w:rPr>
        <w:t xml:space="preserve">عاول » جمع المِعْوَل - كمِنْبَر - : الحديدة ينقر بها الجبال. راجع : </w:t>
      </w:r>
      <w:r w:rsidR="00744A1C" w:rsidRPr="008A57EB">
        <w:rPr>
          <w:rStyle w:val="libFootnoteBoldChar"/>
          <w:rtl/>
        </w:rPr>
        <w:t>القاموس المحيط</w:t>
      </w:r>
      <w:r w:rsidR="00744A1C">
        <w:rPr>
          <w:rtl/>
          <w:lang w:bidi="fa-IR"/>
        </w:rPr>
        <w:t xml:space="preserve"> ، ج 2 ، ص 1369 ( عول ).</w:t>
      </w:r>
    </w:p>
    <w:p w:rsidR="00744A1C" w:rsidRDefault="00E378DD" w:rsidP="00E378DD">
      <w:pPr>
        <w:pStyle w:val="libFootnote0"/>
        <w:rPr>
          <w:lang w:bidi="fa-IR"/>
        </w:rPr>
      </w:pPr>
      <w:r>
        <w:rPr>
          <w:rtl/>
          <w:lang w:bidi="fa-IR"/>
        </w:rPr>
        <w:t>(6).</w:t>
      </w:r>
      <w:r w:rsidR="00744A1C">
        <w:rPr>
          <w:rtl/>
          <w:lang w:bidi="fa-IR"/>
        </w:rPr>
        <w:t xml:space="preserve"> في </w:t>
      </w:r>
      <w:r w:rsidR="00744A1C" w:rsidRPr="00A6423E">
        <w:rPr>
          <w:rtl/>
        </w:rPr>
        <w:t>الوافي</w:t>
      </w:r>
      <w:r w:rsidR="00744A1C">
        <w:rPr>
          <w:rtl/>
          <w:lang w:bidi="fa-IR"/>
        </w:rPr>
        <w:t xml:space="preserve"> : « لا يستفلّ ».</w:t>
      </w:r>
    </w:p>
    <w:p w:rsidR="00744A1C" w:rsidRDefault="00E378DD" w:rsidP="00E378DD">
      <w:pPr>
        <w:pStyle w:val="libFootnote0"/>
        <w:rPr>
          <w:lang w:bidi="fa-IR"/>
        </w:rPr>
      </w:pPr>
      <w:r>
        <w:rPr>
          <w:rtl/>
          <w:lang w:bidi="fa-IR"/>
        </w:rPr>
        <w:t>(7).</w:t>
      </w:r>
      <w:r w:rsidR="00744A1C">
        <w:rPr>
          <w:rtl/>
          <w:lang w:bidi="fa-IR"/>
        </w:rPr>
        <w:t xml:space="preserve"> في « بس ، بف » : « بشي‌ء ».</w:t>
      </w:r>
    </w:p>
    <w:p w:rsidR="00744A1C" w:rsidRDefault="00E378DD" w:rsidP="00A6423E">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179 ، ح 367 ، معلّقاً عن محمّد بن الحسن ، عن إبراهيم بن إسحاق الأحمر. </w:t>
      </w:r>
      <w:r w:rsidR="00744A1C" w:rsidRPr="0061079A">
        <w:rPr>
          <w:rStyle w:val="libFootnoteBoldChar"/>
          <w:rtl/>
        </w:rPr>
        <w:t>الكافي</w:t>
      </w:r>
      <w:r w:rsidR="00744A1C">
        <w:rPr>
          <w:rtl/>
          <w:lang w:bidi="fa-IR"/>
        </w:rPr>
        <w:t xml:space="preserve"> ، كتاب الإيمان والكفر ، باب المؤمن وعلاماته وصفاته ، ح 2316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من قوله : « إنّ المؤمن أعزّ من الجبل » مع اختلاف يسير </w:t>
      </w:r>
      <w:r w:rsidR="00A6423E">
        <w:rPr>
          <w:rFonts w:hint="cs"/>
          <w:rtl/>
          <w:lang w:bidi="fa-IR"/>
        </w:rPr>
        <w:t>.</w:t>
      </w:r>
      <w:r w:rsidR="00744A1C" w:rsidRPr="00C24F9C">
        <w:rPr>
          <w:rStyle w:val="libFootnoteBoldChar"/>
          <w:rtl/>
        </w:rPr>
        <w:t>الوافي</w:t>
      </w:r>
      <w:r w:rsidR="00744A1C">
        <w:rPr>
          <w:rtl/>
          <w:lang w:bidi="fa-IR"/>
        </w:rPr>
        <w:t xml:space="preserve"> ، ج 5 ، ص 749 ، ح 2970 ؛ </w:t>
      </w:r>
      <w:r w:rsidR="00744A1C" w:rsidRPr="00C24F9C">
        <w:rPr>
          <w:rStyle w:val="libFootnoteBoldChar"/>
          <w:rtl/>
        </w:rPr>
        <w:t>الوسائل</w:t>
      </w:r>
      <w:r w:rsidR="00744A1C">
        <w:rPr>
          <w:rtl/>
          <w:lang w:bidi="fa-IR"/>
        </w:rPr>
        <w:t xml:space="preserve"> ، ج 16 ، ص 156 ، ح 21232.</w:t>
      </w:r>
      <w:r w:rsidR="00A6423E">
        <w:rPr>
          <w:rFonts w:hint="cs"/>
          <w:rtl/>
          <w:lang w:bidi="fa-IR"/>
        </w:rPr>
        <w:t xml:space="preserve">                           </w:t>
      </w:r>
      <w:r>
        <w:rPr>
          <w:rtl/>
          <w:lang w:bidi="fa-IR"/>
        </w:rPr>
        <w:t>(9).</w:t>
      </w:r>
      <w:r w:rsidR="00744A1C">
        <w:rPr>
          <w:rtl/>
          <w:lang w:bidi="fa-IR"/>
        </w:rPr>
        <w:t xml:space="preserve"> في </w:t>
      </w:r>
      <w:r w:rsidR="00744A1C" w:rsidRPr="00A6423E">
        <w:rPr>
          <w:rtl/>
        </w:rPr>
        <w:t>الوسائل</w:t>
      </w:r>
      <w:r w:rsidR="00744A1C">
        <w:rPr>
          <w:rtl/>
          <w:lang w:bidi="fa-IR"/>
        </w:rPr>
        <w:t xml:space="preserve"> : « أما تسمع ».</w:t>
      </w:r>
    </w:p>
    <w:p w:rsidR="00744A1C" w:rsidRDefault="00E378DD" w:rsidP="00E378DD">
      <w:pPr>
        <w:pStyle w:val="libFootnote0"/>
        <w:rPr>
          <w:lang w:bidi="fa-IR"/>
        </w:rPr>
      </w:pPr>
      <w:r>
        <w:rPr>
          <w:rtl/>
          <w:lang w:bidi="fa-IR"/>
        </w:rPr>
        <w:t>(10).</w:t>
      </w:r>
      <w:r w:rsidR="00744A1C">
        <w:rPr>
          <w:rtl/>
          <w:lang w:bidi="fa-IR"/>
        </w:rPr>
        <w:t xml:space="preserve"> المنافقون (63) : 8.</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الوافي</w:t>
      </w:r>
      <w:r w:rsidR="00744A1C">
        <w:rPr>
          <w:rtl/>
          <w:lang w:bidi="fa-IR"/>
        </w:rPr>
        <w:t xml:space="preserve"> ، ج 5 ، ص 750 ، ح 2971 ؛ </w:t>
      </w:r>
      <w:r w:rsidR="00744A1C" w:rsidRPr="00A6423E">
        <w:rPr>
          <w:rtl/>
        </w:rPr>
        <w:t>الوسائل</w:t>
      </w:r>
      <w:r w:rsidR="00744A1C">
        <w:rPr>
          <w:rtl/>
          <w:lang w:bidi="fa-IR"/>
        </w:rPr>
        <w:t xml:space="preserve"> ، ج 16 ، ص 157 ، ح 21233.</w:t>
      </w:r>
    </w:p>
    <w:p w:rsidR="006A5060" w:rsidRDefault="006A5060" w:rsidP="00D10E3C">
      <w:pPr>
        <w:pStyle w:val="libNormal"/>
        <w:rPr>
          <w:rtl/>
          <w:lang w:bidi="fa-IR"/>
        </w:rPr>
      </w:pPr>
      <w:r>
        <w:rPr>
          <w:rtl/>
          <w:lang w:bidi="fa-IR"/>
        </w:rPr>
        <w:br w:type="page"/>
      </w:r>
    </w:p>
    <w:p w:rsidR="00144FA6" w:rsidRDefault="00744A1C" w:rsidP="00A6423E">
      <w:pPr>
        <w:pStyle w:val="libNormal0"/>
        <w:rPr>
          <w:rtl/>
          <w:lang w:bidi="fa-IR"/>
        </w:rPr>
      </w:pPr>
      <w:r>
        <w:rPr>
          <w:rtl/>
          <w:lang w:bidi="fa-IR"/>
        </w:rPr>
        <w:t xml:space="preserve">إِذْلَالَ نَفْسِهِ ». </w:t>
      </w:r>
      <w:r w:rsidRPr="00D10E3C">
        <w:rPr>
          <w:rStyle w:val="libFootnotenumChar"/>
          <w:rtl/>
        </w:rPr>
        <w:t>(1)</w:t>
      </w:r>
    </w:p>
    <w:p w:rsidR="00144FA6" w:rsidRDefault="00744A1C" w:rsidP="00744A1C">
      <w:pPr>
        <w:pStyle w:val="libNormal"/>
        <w:rPr>
          <w:rtl/>
          <w:lang w:bidi="fa-IR"/>
        </w:rPr>
      </w:pPr>
      <w:r>
        <w:rPr>
          <w:rtl/>
          <w:lang w:bidi="fa-IR"/>
        </w:rPr>
        <w:t>8349 / 4. مُحَمَّدُ بْنُ يَحْيى ، عَنْ أَحْمَدَ بْنِ مُحَمَّدِ بْنِ عِيسى ، عَنِ الْحَسَنِ بْنِ مَحْبُوبٍ ، عَنْ دَاوُدَ الرَّقِّيِّ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يَقُولُ : « لَا يَنْبَغِي لِلْمُؤْمِنِ أَنْ يُذِلَّ نَفْسَهُ ».</w:t>
      </w:r>
    </w:p>
    <w:p w:rsidR="00744A1C" w:rsidRDefault="00744A1C" w:rsidP="00744A1C">
      <w:pPr>
        <w:pStyle w:val="libNormal"/>
        <w:rPr>
          <w:lang w:bidi="fa-IR"/>
        </w:rPr>
      </w:pPr>
      <w:r>
        <w:rPr>
          <w:rtl/>
          <w:lang w:bidi="fa-IR"/>
        </w:rPr>
        <w:t xml:space="preserve">قِيلَ لَهُ : وَكَيْفَ </w:t>
      </w:r>
      <w:r w:rsidRPr="00D10E3C">
        <w:rPr>
          <w:rStyle w:val="libFootnotenumChar"/>
          <w:rtl/>
        </w:rPr>
        <w:t>(2)</w:t>
      </w:r>
      <w:r>
        <w:rPr>
          <w:rtl/>
          <w:lang w:bidi="fa-IR"/>
        </w:rPr>
        <w:t xml:space="preserve"> يُذِلُّ نَفْسَهُ؟</w:t>
      </w:r>
    </w:p>
    <w:p w:rsidR="00144FA6" w:rsidRDefault="00744A1C" w:rsidP="00744A1C">
      <w:pPr>
        <w:pStyle w:val="libNormal"/>
        <w:rPr>
          <w:rtl/>
          <w:lang w:bidi="fa-IR"/>
        </w:rPr>
      </w:pPr>
      <w:r>
        <w:rPr>
          <w:rtl/>
          <w:lang w:bidi="fa-IR"/>
        </w:rPr>
        <w:t xml:space="preserve">قَالَ : « يَتَعَرَّضُ لِمَا لَايُطِيقُ ». </w:t>
      </w:r>
      <w:r w:rsidRPr="00D10E3C">
        <w:rPr>
          <w:rStyle w:val="libFootnotenumChar"/>
          <w:rtl/>
        </w:rPr>
        <w:t>(3)</w:t>
      </w:r>
    </w:p>
    <w:p w:rsidR="00144FA6" w:rsidRDefault="00744A1C" w:rsidP="00744A1C">
      <w:pPr>
        <w:pStyle w:val="libNormal"/>
        <w:rPr>
          <w:rtl/>
          <w:lang w:bidi="fa-IR"/>
        </w:rPr>
      </w:pPr>
      <w:r>
        <w:rPr>
          <w:rtl/>
          <w:lang w:bidi="fa-IR"/>
        </w:rPr>
        <w:t>8350 / 5. عِدَّةٌ مِنْ أَصْحَابِنَا ، عَنْ أَحْمَدَ بْنِ مُحَمَّدِ بْنِ خَالِدٍ ، عَنْ أَبِيهِ ، عَنْ مُحَمَّدِ بْنِ سِنَانٍ ، عَنْ مُفَضَّلِ بْنِ عُمَرَ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 لَا يَنْبَغِي لِلْمُؤْمِنِ أَنْ يُذِلَّ نَفْسَهُ ».</w:t>
      </w:r>
    </w:p>
    <w:p w:rsidR="00744A1C" w:rsidRDefault="00744A1C" w:rsidP="00744A1C">
      <w:pPr>
        <w:pStyle w:val="libNormal"/>
        <w:rPr>
          <w:lang w:bidi="fa-IR"/>
        </w:rPr>
      </w:pPr>
      <w:r>
        <w:rPr>
          <w:rtl/>
          <w:lang w:bidi="fa-IR"/>
        </w:rPr>
        <w:t>قُلْتُ : بِمَا يُذِلُّ نَفْسَهُ؟</w:t>
      </w:r>
    </w:p>
    <w:p w:rsidR="00144FA6" w:rsidRDefault="00744A1C" w:rsidP="00744A1C">
      <w:pPr>
        <w:pStyle w:val="libNormal"/>
        <w:rPr>
          <w:rtl/>
          <w:lang w:bidi="fa-IR"/>
        </w:rPr>
      </w:pPr>
      <w:r>
        <w:rPr>
          <w:rtl/>
          <w:lang w:bidi="fa-IR"/>
        </w:rPr>
        <w:t xml:space="preserve">قَالَ : « يَدْخُلُ فِيمَا يَتَعَذَّرُ </w:t>
      </w:r>
      <w:r w:rsidRPr="00D10E3C">
        <w:rPr>
          <w:rStyle w:val="libFootnotenumChar"/>
          <w:rtl/>
        </w:rPr>
        <w:t>(4)</w:t>
      </w:r>
      <w:r>
        <w:rPr>
          <w:rtl/>
          <w:lang w:bidi="fa-IR"/>
        </w:rPr>
        <w:t xml:space="preserve"> مِنْهُ ». </w:t>
      </w:r>
      <w:r w:rsidRPr="00D10E3C">
        <w:rPr>
          <w:rStyle w:val="libFootnotenumChar"/>
          <w:rtl/>
        </w:rPr>
        <w:t>(5)</w:t>
      </w:r>
    </w:p>
    <w:p w:rsidR="00744A1C" w:rsidRDefault="00744A1C" w:rsidP="00744A1C">
      <w:pPr>
        <w:pStyle w:val="libNormal"/>
        <w:rPr>
          <w:lang w:bidi="fa-IR"/>
        </w:rPr>
      </w:pPr>
      <w:r>
        <w:rPr>
          <w:rtl/>
          <w:lang w:bidi="fa-IR"/>
        </w:rPr>
        <w:t xml:space="preserve">8351 / 6. مُحَمَّدُ بْنُ أَحْمَدَ ، عَنْ </w:t>
      </w:r>
      <w:r w:rsidRPr="00D10E3C">
        <w:rPr>
          <w:rStyle w:val="libFootnotenumChar"/>
          <w:rtl/>
        </w:rPr>
        <w:t>(6)</w:t>
      </w:r>
      <w:r>
        <w:rPr>
          <w:rtl/>
          <w:lang w:bidi="fa-IR"/>
        </w:rPr>
        <w:t xml:space="preserve"> عَبْدِ اللهِ بْنِ الصَّلْتِ ، عَنْ‌</w:t>
      </w:r>
      <w:r w:rsidR="00A6423E">
        <w:rPr>
          <w:rFonts w:hint="cs"/>
          <w:rtl/>
          <w:lang w:bidi="fa-IR"/>
        </w:rPr>
        <w:t xml:space="preserve"> ..............</w:t>
      </w:r>
      <w:r w:rsidR="00A6423E">
        <w:rPr>
          <w:rFonts w:hint="cs"/>
          <w:rtl/>
          <w:lang w:bidi="fa-IR"/>
        </w:rPr>
        <w:tab/>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الوافي</w:t>
      </w:r>
      <w:r w:rsidR="00744A1C">
        <w:rPr>
          <w:rtl/>
          <w:lang w:bidi="fa-IR"/>
        </w:rPr>
        <w:t xml:space="preserve"> ، ج 5 ، ص 750 ، ح 2973 ؛ </w:t>
      </w:r>
      <w:r w:rsidR="00744A1C" w:rsidRPr="00C24F9C">
        <w:rPr>
          <w:rStyle w:val="libFootnoteBoldChar"/>
          <w:rtl/>
        </w:rPr>
        <w:t>الوسائل</w:t>
      </w:r>
      <w:r w:rsidR="00744A1C">
        <w:rPr>
          <w:rtl/>
          <w:lang w:bidi="fa-IR"/>
        </w:rPr>
        <w:t xml:space="preserve"> ، ج 16 ، ص 157 ، ح 21234.</w:t>
      </w:r>
    </w:p>
    <w:p w:rsidR="00744A1C" w:rsidRDefault="00E378DD" w:rsidP="00E378DD">
      <w:pPr>
        <w:pStyle w:val="libFootnote0"/>
        <w:rPr>
          <w:lang w:bidi="fa-IR"/>
        </w:rPr>
      </w:pPr>
      <w:r>
        <w:rPr>
          <w:rtl/>
          <w:lang w:bidi="fa-IR"/>
        </w:rPr>
        <w:t>(2).</w:t>
      </w:r>
      <w:r w:rsidR="00744A1C">
        <w:rPr>
          <w:rtl/>
          <w:lang w:bidi="fa-IR"/>
        </w:rPr>
        <w:t xml:space="preserve"> في </w:t>
      </w:r>
      <w:r w:rsidR="00744A1C" w:rsidRPr="00A6423E">
        <w:rPr>
          <w:rtl/>
        </w:rPr>
        <w:t>الوافي</w:t>
      </w:r>
      <w:r w:rsidR="00744A1C">
        <w:rPr>
          <w:rtl/>
          <w:lang w:bidi="fa-IR"/>
        </w:rPr>
        <w:t xml:space="preserve"> : « كيف » بدون الواو.</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180 ، ح 368 ، معلّقاً عن الحسن بن محبوب </w:t>
      </w:r>
      <w:r w:rsidR="00A6423E">
        <w:rPr>
          <w:rFonts w:hint="cs"/>
          <w:rtl/>
          <w:lang w:bidi="fa-IR"/>
        </w:rPr>
        <w:t>.</w:t>
      </w:r>
      <w:r w:rsidR="00744A1C" w:rsidRPr="00C24F9C">
        <w:rPr>
          <w:rStyle w:val="libFootnoteBoldChar"/>
          <w:rtl/>
        </w:rPr>
        <w:t>الوافي</w:t>
      </w:r>
      <w:r w:rsidR="00744A1C">
        <w:rPr>
          <w:rtl/>
          <w:lang w:bidi="fa-IR"/>
        </w:rPr>
        <w:t xml:space="preserve"> ، ج 5 ، ص 750 ، ح 2974 ؛ </w:t>
      </w:r>
      <w:r w:rsidR="00744A1C" w:rsidRPr="00C24F9C">
        <w:rPr>
          <w:rStyle w:val="libFootnoteBoldChar"/>
          <w:rtl/>
        </w:rPr>
        <w:t>الوسائل</w:t>
      </w:r>
      <w:r w:rsidR="00744A1C">
        <w:rPr>
          <w:rtl/>
          <w:lang w:bidi="fa-IR"/>
        </w:rPr>
        <w:t xml:space="preserve"> ، ج 16 ، ص 158 ، ح 21236.</w:t>
      </w:r>
    </w:p>
    <w:p w:rsidR="00744A1C" w:rsidRDefault="00E378DD" w:rsidP="00E378DD">
      <w:pPr>
        <w:pStyle w:val="libFootnote0"/>
        <w:rPr>
          <w:lang w:bidi="fa-IR"/>
        </w:rPr>
      </w:pPr>
      <w:r>
        <w:rPr>
          <w:rtl/>
          <w:lang w:bidi="fa-IR"/>
        </w:rPr>
        <w:t>(4).</w:t>
      </w:r>
      <w:r w:rsidR="00744A1C">
        <w:rPr>
          <w:rtl/>
          <w:lang w:bidi="fa-IR"/>
        </w:rPr>
        <w:t xml:space="preserve"> في « بث ، بح ، بف ، جد » </w:t>
      </w:r>
      <w:r w:rsidR="00744A1C" w:rsidRPr="00A6423E">
        <w:rPr>
          <w:rtl/>
        </w:rPr>
        <w:t>والوافي</w:t>
      </w:r>
      <w:r w:rsidR="00744A1C">
        <w:rPr>
          <w:rtl/>
          <w:lang w:bidi="fa-IR"/>
        </w:rPr>
        <w:t xml:space="preserve"> : « يعتذر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فيما يعتذر منه - على بناء الفاعل - أي في أمر يلزمه أن يعتذر منه عند الناس ، كأن يتعرّض لظالم لا يقاومه ، فلمّا صار مغلوباً ذليلاً يعتذر إلى الناس ، أو يدخل في أمر يمكنه الاعتذار منه ، ويقبل الله عذره ، وعلى هذا الوجه يمكن أن يقرأ على بناء المجهول ، بل على الوجه الأوّل ، فتأمّل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180 ، ح 369 ، معلّقاً عن أحمد بن محمّد بن خالد </w:t>
      </w:r>
      <w:r w:rsidR="00445D3A">
        <w:rPr>
          <w:rFonts w:hint="cs"/>
          <w:rtl/>
          <w:lang w:bidi="fa-IR"/>
        </w:rPr>
        <w:t>.</w:t>
      </w:r>
      <w:r w:rsidR="00744A1C" w:rsidRPr="00C24F9C">
        <w:rPr>
          <w:rStyle w:val="libFootnoteBoldChar"/>
          <w:rtl/>
        </w:rPr>
        <w:t>الوافي</w:t>
      </w:r>
      <w:r w:rsidR="00744A1C">
        <w:rPr>
          <w:rtl/>
          <w:lang w:bidi="fa-IR"/>
        </w:rPr>
        <w:t xml:space="preserve"> ، ج 5 ، ص 750 ، ح 2975 ؛ </w:t>
      </w:r>
      <w:r w:rsidR="00744A1C" w:rsidRPr="00C24F9C">
        <w:rPr>
          <w:rStyle w:val="libFootnoteBoldChar"/>
          <w:rtl/>
        </w:rPr>
        <w:t>الوسائل</w:t>
      </w:r>
      <w:r w:rsidR="00744A1C">
        <w:rPr>
          <w:rtl/>
          <w:lang w:bidi="fa-IR"/>
        </w:rPr>
        <w:t xml:space="preserve"> ، ج 16 ، ص 158 ، ح 21237.</w:t>
      </w:r>
    </w:p>
    <w:p w:rsidR="00144FA6" w:rsidRDefault="00E378DD" w:rsidP="00E378DD">
      <w:pPr>
        <w:pStyle w:val="libFootnote0"/>
        <w:rPr>
          <w:rtl/>
          <w:lang w:bidi="fa-IR"/>
        </w:rPr>
      </w:pPr>
      <w:r>
        <w:rPr>
          <w:rtl/>
          <w:lang w:bidi="fa-IR"/>
        </w:rPr>
        <w:t>(6).</w:t>
      </w:r>
      <w:r w:rsidR="00744A1C">
        <w:rPr>
          <w:rtl/>
          <w:lang w:bidi="fa-IR"/>
        </w:rPr>
        <w:t xml:space="preserve"> في « ى ، بث ، بس ، بف ، جد » وحاشية « بح ، جت » : « بن ». وهو سهو ؛ فقد روى محمّد بن أحمد بن</w:t>
      </w:r>
      <w:r w:rsidR="00484B73">
        <w:rPr>
          <w:rFonts w:hint="cs"/>
          <w:rtl/>
          <w:lang w:bidi="fa-IR"/>
        </w:rPr>
        <w:t xml:space="preserve"> عليّ =</w:t>
      </w:r>
    </w:p>
    <w:p w:rsidR="006A5060" w:rsidRDefault="006A5060" w:rsidP="00D10E3C">
      <w:pPr>
        <w:pStyle w:val="libNormal"/>
        <w:rPr>
          <w:rtl/>
          <w:lang w:bidi="fa-IR"/>
        </w:rPr>
      </w:pPr>
      <w:r>
        <w:rPr>
          <w:rtl/>
          <w:lang w:bidi="fa-IR"/>
        </w:rPr>
        <w:br w:type="page"/>
      </w:r>
    </w:p>
    <w:p w:rsidR="00144FA6" w:rsidRDefault="00744A1C" w:rsidP="00484B73">
      <w:pPr>
        <w:pStyle w:val="libNormal0"/>
        <w:rPr>
          <w:rtl/>
          <w:lang w:bidi="fa-IR"/>
        </w:rPr>
      </w:pPr>
      <w:r>
        <w:rPr>
          <w:rtl/>
          <w:lang w:bidi="fa-IR"/>
        </w:rPr>
        <w:t xml:space="preserve">يُونُسَ </w:t>
      </w:r>
      <w:r w:rsidRPr="00D10E3C">
        <w:rPr>
          <w:rStyle w:val="libFootnotenumChar"/>
          <w:rtl/>
        </w:rPr>
        <w:t>(1)</w:t>
      </w:r>
      <w:r>
        <w:rPr>
          <w:rtl/>
          <w:lang w:bidi="fa-IR"/>
        </w:rPr>
        <w:t xml:space="preserve"> ، عَنْ سَمَاعَةَ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اللهَ - عَزَّ وَجَلَّ - فَوَّضَ إِلَى الْمُؤْمِنِ أُمُورَهُ كُلَّهَا ، وَلَمْ يُفَوِّضْ إِلَيْهِ أَنْ يُذِلَّ نَفْسَهُ ، أَلَمْ تَرَ </w:t>
      </w:r>
      <w:r w:rsidRPr="00D10E3C">
        <w:rPr>
          <w:rStyle w:val="libFootnotenumChar"/>
          <w:rtl/>
        </w:rPr>
        <w:t>(2)</w:t>
      </w:r>
      <w:r>
        <w:rPr>
          <w:rtl/>
          <w:lang w:bidi="fa-IR"/>
        </w:rPr>
        <w:t xml:space="preserve"> قَوْلَ اللهِ - عَزَّ وَجَلَّ - هَاهُنَا : </w:t>
      </w:r>
      <w:r w:rsidRPr="00484B73">
        <w:rPr>
          <w:rStyle w:val="libAlaemChar"/>
          <w:rtl/>
        </w:rPr>
        <w:t>(</w:t>
      </w:r>
      <w:r w:rsidRPr="00484B73">
        <w:rPr>
          <w:rStyle w:val="libAieChar"/>
          <w:rtl/>
        </w:rPr>
        <w:t xml:space="preserve"> وَلِلّهِ الْعِزَّةُ وَلِرَسُولِهِ وَلِلْمُؤْمِنِينَ </w:t>
      </w:r>
      <w:r w:rsidRPr="00484B73">
        <w:rPr>
          <w:rStyle w:val="libAlaemChar"/>
          <w:rtl/>
        </w:rPr>
        <w:t>)</w:t>
      </w:r>
      <w:r>
        <w:rPr>
          <w:rtl/>
          <w:lang w:bidi="fa-IR"/>
        </w:rPr>
        <w:t xml:space="preserve"> </w:t>
      </w:r>
      <w:r w:rsidRPr="00D10E3C">
        <w:rPr>
          <w:rStyle w:val="libFootnotenumChar"/>
          <w:rtl/>
        </w:rPr>
        <w:t>(3)</w:t>
      </w:r>
      <w:r>
        <w:rPr>
          <w:rtl/>
          <w:lang w:bidi="fa-IR"/>
        </w:rPr>
        <w:t xml:space="preserve"> وَالْمُؤْمِنُ يَنْبَغِي لَهُ أَنْ يَكُونَ عَزِيزاً ، وَلَا يَكُونَ ذَلِيلاً ». </w:t>
      </w:r>
      <w:r w:rsidRPr="00D10E3C">
        <w:rPr>
          <w:rStyle w:val="libFootnotenumChar"/>
          <w:rtl/>
        </w:rPr>
        <w:t>(4)</w:t>
      </w:r>
    </w:p>
    <w:p w:rsidR="00744A1C" w:rsidRDefault="00744A1C" w:rsidP="00484B73">
      <w:pPr>
        <w:pStyle w:val="libCenter"/>
        <w:rPr>
          <w:lang w:bidi="fa-IR"/>
        </w:rPr>
      </w:pPr>
      <w:r>
        <w:rPr>
          <w:rtl/>
          <w:lang w:bidi="fa-IR"/>
        </w:rPr>
        <w:t xml:space="preserve">تَمَّ كِتَابُ الْجِهَادِ مِنَ الْكَافِي وَيَتْلُوهُ كِتَابُ التِّجَارَةِ. </w:t>
      </w:r>
      <w:r w:rsidRPr="00D10E3C">
        <w:rPr>
          <w:rStyle w:val="libFootnotenumChar"/>
          <w:rtl/>
        </w:rPr>
        <w:t>(5)</w:t>
      </w:r>
    </w:p>
    <w:p w:rsidR="00744A1C" w:rsidRDefault="00744A1C" w:rsidP="00D10E3C">
      <w:pPr>
        <w:pStyle w:val="libLine"/>
        <w:rPr>
          <w:lang w:bidi="fa-IR"/>
        </w:rPr>
      </w:pPr>
      <w:r>
        <w:rPr>
          <w:rtl/>
          <w:lang w:bidi="fa-IR"/>
        </w:rPr>
        <w:t>____________________</w:t>
      </w:r>
    </w:p>
    <w:p w:rsidR="00744A1C" w:rsidRDefault="00484B73" w:rsidP="00D10E3C">
      <w:pPr>
        <w:pStyle w:val="libFootnote0"/>
        <w:rPr>
          <w:lang w:bidi="fa-IR"/>
        </w:rPr>
      </w:pPr>
      <w:r>
        <w:rPr>
          <w:rFonts w:hint="cs"/>
          <w:rtl/>
          <w:lang w:bidi="fa-IR"/>
        </w:rPr>
        <w:t xml:space="preserve">= </w:t>
      </w:r>
      <w:r w:rsidR="00744A1C">
        <w:rPr>
          <w:rtl/>
          <w:lang w:bidi="fa-IR"/>
        </w:rPr>
        <w:t xml:space="preserve">ومحمّد بن أحمد بن الصلت عن عبد الله بن الصلت في عددٍ من الأسناد. راجع : </w:t>
      </w:r>
      <w:r w:rsidR="00744A1C" w:rsidRPr="0061079A">
        <w:rPr>
          <w:rStyle w:val="libFootnoteBoldChar"/>
          <w:rtl/>
        </w:rPr>
        <w:t>معجم رجال الحديث</w:t>
      </w:r>
      <w:r w:rsidR="00744A1C">
        <w:rPr>
          <w:rtl/>
          <w:lang w:bidi="fa-IR"/>
        </w:rPr>
        <w:t xml:space="preserve"> ، ج 10 ، ص 478 - 481.</w:t>
      </w:r>
    </w:p>
    <w:p w:rsidR="00744A1C" w:rsidRDefault="00744A1C" w:rsidP="00D10E3C">
      <w:pPr>
        <w:pStyle w:val="libFootnote0"/>
        <w:rPr>
          <w:lang w:bidi="fa-IR"/>
        </w:rPr>
      </w:pPr>
      <w:r>
        <w:rPr>
          <w:rtl/>
          <w:lang w:bidi="fa-IR"/>
        </w:rPr>
        <w:t xml:space="preserve">والظاهر أنّ محمّد بن أحمد هذا ، هو محمّد بن أحمد بن عليّ بن الصلت الراوي عن عبد الله بن الصلت في طريق الشيخ الصدوق إلى عيسى بن أعين. راجع : </w:t>
      </w:r>
      <w:r w:rsidRPr="00C24F9C">
        <w:rPr>
          <w:rStyle w:val="libFootnoteBoldChar"/>
          <w:rtl/>
        </w:rPr>
        <w:t>الفقيه</w:t>
      </w:r>
      <w:r>
        <w:rPr>
          <w:rtl/>
          <w:lang w:bidi="fa-IR"/>
        </w:rPr>
        <w:t xml:space="preserve"> ، ج 4 ، ص 529 - 530.</w:t>
      </w:r>
    </w:p>
    <w:p w:rsidR="00744A1C" w:rsidRDefault="00D10E3C" w:rsidP="00D10E3C">
      <w:pPr>
        <w:pStyle w:val="libFootnote0"/>
        <w:rPr>
          <w:lang w:bidi="fa-IR"/>
        </w:rPr>
      </w:pPr>
      <w:r>
        <w:rPr>
          <w:rtl/>
          <w:lang w:bidi="fa-IR"/>
        </w:rPr>
        <w:t>(1).</w:t>
      </w:r>
      <w:r w:rsidR="00744A1C">
        <w:rPr>
          <w:rtl/>
          <w:lang w:bidi="fa-IR"/>
        </w:rPr>
        <w:t xml:space="preserve"> في النسخ </w:t>
      </w:r>
      <w:r w:rsidR="00744A1C" w:rsidRPr="00484B73">
        <w:rPr>
          <w:rtl/>
        </w:rPr>
        <w:t>والوافي والوسائل</w:t>
      </w:r>
      <w:r w:rsidR="00744A1C">
        <w:rPr>
          <w:rtl/>
          <w:lang w:bidi="fa-IR"/>
        </w:rPr>
        <w:t xml:space="preserve"> : + « عن سعدان ». ولم نجد توسّط سعدان - وهو سعدان بن مسلم - بين يونس وبين سماعة في موضع. وما أثبتناه موافق للمطبوع.</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وفي المطبوع : « ألم ير ».</w:t>
      </w:r>
    </w:p>
    <w:p w:rsidR="00744A1C" w:rsidRDefault="00E378DD" w:rsidP="00E378DD">
      <w:pPr>
        <w:pStyle w:val="libFootnote0"/>
        <w:rPr>
          <w:lang w:bidi="fa-IR"/>
        </w:rPr>
      </w:pPr>
      <w:r>
        <w:rPr>
          <w:rtl/>
          <w:lang w:bidi="fa-IR"/>
        </w:rPr>
        <w:t>(3).</w:t>
      </w:r>
      <w:r w:rsidR="00744A1C">
        <w:rPr>
          <w:rtl/>
          <w:lang w:bidi="fa-IR"/>
        </w:rPr>
        <w:t xml:space="preserve"> المنافقون (63) : 8.</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5 ، ص 750 ، ح 2972 ؛ </w:t>
      </w:r>
      <w:r w:rsidR="00744A1C" w:rsidRPr="00C24F9C">
        <w:rPr>
          <w:rStyle w:val="libFootnoteBoldChar"/>
          <w:rtl/>
        </w:rPr>
        <w:t>الوسائل</w:t>
      </w:r>
      <w:r w:rsidR="00744A1C">
        <w:rPr>
          <w:rtl/>
          <w:lang w:bidi="fa-IR"/>
        </w:rPr>
        <w:t xml:space="preserve"> ، ج 16 ، ص 157 ، ذيل ح 21233.</w:t>
      </w:r>
    </w:p>
    <w:p w:rsidR="00744A1C" w:rsidRDefault="00E378DD" w:rsidP="00E378DD">
      <w:pPr>
        <w:pStyle w:val="libFootnote0"/>
        <w:rPr>
          <w:lang w:bidi="fa-IR"/>
        </w:rPr>
      </w:pPr>
      <w:r>
        <w:rPr>
          <w:rtl/>
          <w:lang w:bidi="fa-IR"/>
        </w:rPr>
        <w:t>(5).</w:t>
      </w:r>
      <w:r w:rsidR="00744A1C">
        <w:rPr>
          <w:rtl/>
          <w:lang w:bidi="fa-IR"/>
        </w:rPr>
        <w:t xml:space="preserve"> في « بز ، جش » وحاشية « بث » : « ويتلوه كتاب المعيشة ». وفي « بس » وحاشية « بح » : « ويتلوه كتاب المعيشة والتجارة ». وفي « جت ، جى » : « ويتلوه كتاب التجارة وهو كتاب المعيشة ».</w:t>
      </w:r>
    </w:p>
    <w:p w:rsidR="006A5060" w:rsidRDefault="006A5060" w:rsidP="00D10E3C">
      <w:pPr>
        <w:pStyle w:val="libNormal"/>
        <w:rPr>
          <w:rtl/>
          <w:lang w:bidi="fa-IR"/>
        </w:rPr>
      </w:pPr>
      <w:r>
        <w:rPr>
          <w:rtl/>
          <w:lang w:bidi="fa-IR"/>
        </w:rPr>
        <w:br w:type="page"/>
      </w:r>
    </w:p>
    <w:p w:rsidR="006A5060" w:rsidRDefault="006A5060" w:rsidP="00D10E3C">
      <w:pPr>
        <w:pStyle w:val="libNormal"/>
        <w:rPr>
          <w:rtl/>
          <w:lang w:bidi="fa-IR"/>
        </w:rPr>
      </w:pPr>
      <w:r>
        <w:rPr>
          <w:rtl/>
          <w:lang w:bidi="fa-IR"/>
        </w:rPr>
        <w:br w:type="page"/>
      </w:r>
    </w:p>
    <w:p w:rsidR="00744A1C" w:rsidRDefault="00744A1C" w:rsidP="00484B73">
      <w:pPr>
        <w:pStyle w:val="Heading1Center"/>
        <w:rPr>
          <w:lang w:bidi="fa-IR"/>
        </w:rPr>
      </w:pPr>
      <w:bookmarkStart w:id="121" w:name="_Toc49261419"/>
      <w:r w:rsidRPr="00484B73">
        <w:rPr>
          <w:rtl/>
        </w:rPr>
        <w:t>(17)</w:t>
      </w:r>
      <w:bookmarkEnd w:id="121"/>
    </w:p>
    <w:p w:rsidR="00744A1C" w:rsidRDefault="00744A1C" w:rsidP="00484B73">
      <w:pPr>
        <w:pStyle w:val="Heading1Center"/>
        <w:rPr>
          <w:lang w:bidi="fa-IR"/>
        </w:rPr>
      </w:pPr>
      <w:bookmarkStart w:id="122" w:name="_Toc49261420"/>
      <w:r>
        <w:rPr>
          <w:rtl/>
          <w:lang w:bidi="fa-IR"/>
        </w:rPr>
        <w:t>كِتَابُ الْمَعِيشَةِ‌</w:t>
      </w:r>
      <w:bookmarkEnd w:id="122"/>
    </w:p>
    <w:p w:rsidR="006A5060" w:rsidRDefault="006A5060" w:rsidP="00D10E3C">
      <w:pPr>
        <w:pStyle w:val="libNormal"/>
        <w:rPr>
          <w:rtl/>
          <w:lang w:bidi="fa-IR"/>
        </w:rPr>
      </w:pPr>
      <w:r>
        <w:rPr>
          <w:rtl/>
          <w:lang w:bidi="fa-IR"/>
        </w:rPr>
        <w:br w:type="page"/>
      </w:r>
    </w:p>
    <w:p w:rsidR="006A5060" w:rsidRDefault="006A5060" w:rsidP="00D10E3C">
      <w:pPr>
        <w:pStyle w:val="libNormal"/>
        <w:rPr>
          <w:rtl/>
          <w:lang w:bidi="fa-IR"/>
        </w:rPr>
      </w:pPr>
      <w:r>
        <w:rPr>
          <w:rtl/>
          <w:lang w:bidi="fa-IR"/>
        </w:rPr>
        <w:br w:type="page"/>
      </w:r>
    </w:p>
    <w:p w:rsidR="00144FA6" w:rsidRDefault="00744A1C" w:rsidP="00484B73">
      <w:pPr>
        <w:pStyle w:val="libCenter"/>
        <w:rPr>
          <w:rtl/>
          <w:lang w:bidi="fa-IR"/>
        </w:rPr>
      </w:pPr>
      <w:r>
        <w:rPr>
          <w:rtl/>
          <w:lang w:bidi="fa-IR"/>
        </w:rPr>
        <w:t xml:space="preserve">بِسْمِ اللهِ الرَّحْمنِ الرَّحِيمِ </w:t>
      </w:r>
      <w:r w:rsidRPr="00D10E3C">
        <w:rPr>
          <w:rStyle w:val="libFootnotenumChar"/>
          <w:rtl/>
        </w:rPr>
        <w:t>(1)</w:t>
      </w:r>
    </w:p>
    <w:p w:rsidR="00744A1C" w:rsidRDefault="00744A1C" w:rsidP="00484B73">
      <w:pPr>
        <w:pStyle w:val="Heading2Center"/>
        <w:rPr>
          <w:lang w:bidi="fa-IR"/>
        </w:rPr>
      </w:pPr>
      <w:bookmarkStart w:id="123" w:name="_Toc49261421"/>
      <w:r>
        <w:rPr>
          <w:rtl/>
          <w:lang w:bidi="fa-IR"/>
        </w:rPr>
        <w:t>[17]</w:t>
      </w:r>
      <w:bookmarkEnd w:id="123"/>
    </w:p>
    <w:p w:rsidR="00744A1C" w:rsidRDefault="00744A1C" w:rsidP="00484B73">
      <w:pPr>
        <w:pStyle w:val="Heading2Center"/>
        <w:rPr>
          <w:lang w:bidi="fa-IR"/>
        </w:rPr>
      </w:pPr>
      <w:bookmarkStart w:id="124" w:name="_Toc49261422"/>
      <w:r>
        <w:rPr>
          <w:rtl/>
          <w:lang w:bidi="fa-IR"/>
        </w:rPr>
        <w:t>كِتَابُ الْمَعِيشَةِ‌</w:t>
      </w:r>
      <w:bookmarkEnd w:id="124"/>
    </w:p>
    <w:p w:rsidR="00144FA6" w:rsidRDefault="00744A1C" w:rsidP="00484B73">
      <w:pPr>
        <w:pStyle w:val="libCenter"/>
        <w:rPr>
          <w:rtl/>
          <w:lang w:bidi="fa-IR"/>
        </w:rPr>
      </w:pPr>
      <w:r>
        <w:rPr>
          <w:rtl/>
          <w:lang w:bidi="fa-IR"/>
        </w:rPr>
        <w:t xml:space="preserve">1 - بَابُ دُخُولِ الصُّوفِيَّةِ عَلى أَبِي عَبْدِ اللهِ </w:t>
      </w:r>
      <w:r w:rsidR="0061079A" w:rsidRPr="0061079A">
        <w:rPr>
          <w:rStyle w:val="libAlaemChar"/>
          <w:rtl/>
        </w:rPr>
        <w:t>عليه‌السلام</w:t>
      </w:r>
      <w:r w:rsidR="00D10E3C">
        <w:rPr>
          <w:rtl/>
          <w:lang w:bidi="fa-IR"/>
        </w:rPr>
        <w:t xml:space="preserve"> </w:t>
      </w:r>
      <w:r>
        <w:rPr>
          <w:rtl/>
          <w:lang w:bidi="fa-IR"/>
        </w:rPr>
        <w:t xml:space="preserve">وَاحْتِجَاجِهِمْ عَلَيْهِ </w:t>
      </w:r>
      <w:r w:rsidRPr="00D10E3C">
        <w:rPr>
          <w:rStyle w:val="libFootnotenumChar"/>
          <w:rtl/>
        </w:rPr>
        <w:t>(2)</w:t>
      </w:r>
      <w:r>
        <w:rPr>
          <w:rtl/>
          <w:lang w:bidi="fa-IR"/>
        </w:rPr>
        <w:t xml:space="preserve"> فِيمَا </w:t>
      </w:r>
      <w:r w:rsidRPr="00D10E3C">
        <w:rPr>
          <w:rStyle w:val="libFootnotenumChar"/>
          <w:rtl/>
        </w:rPr>
        <w:t>(3)</w:t>
      </w:r>
    </w:p>
    <w:p w:rsidR="00144FA6" w:rsidRDefault="00744A1C" w:rsidP="00484B73">
      <w:pPr>
        <w:pStyle w:val="libCenter"/>
        <w:rPr>
          <w:rtl/>
          <w:lang w:bidi="fa-IR"/>
        </w:rPr>
      </w:pPr>
      <w:r>
        <w:rPr>
          <w:rtl/>
          <w:lang w:bidi="fa-IR"/>
        </w:rPr>
        <w:t xml:space="preserve">يَنْهَوْنَ النَّاسَ </w:t>
      </w:r>
      <w:r w:rsidRPr="00D10E3C">
        <w:rPr>
          <w:rStyle w:val="libFootnotenumChar"/>
          <w:rtl/>
        </w:rPr>
        <w:t>(4)</w:t>
      </w:r>
      <w:r>
        <w:rPr>
          <w:rtl/>
          <w:lang w:bidi="fa-IR"/>
        </w:rPr>
        <w:t xml:space="preserve"> عَنْهُ </w:t>
      </w:r>
      <w:r w:rsidRPr="00D10E3C">
        <w:rPr>
          <w:rStyle w:val="libFootnotenumChar"/>
          <w:rtl/>
        </w:rPr>
        <w:t>(5)</w:t>
      </w:r>
      <w:r>
        <w:rPr>
          <w:rtl/>
          <w:lang w:bidi="fa-IR"/>
        </w:rPr>
        <w:t xml:space="preserve"> مِنْ طَلَبِ الرِّزْقِ </w:t>
      </w:r>
      <w:r w:rsidRPr="00D10E3C">
        <w:rPr>
          <w:rStyle w:val="libFootnotenumChar"/>
          <w:rtl/>
        </w:rPr>
        <w:t>(6)</w:t>
      </w:r>
    </w:p>
    <w:p w:rsidR="00144FA6" w:rsidRDefault="00744A1C" w:rsidP="00744A1C">
      <w:pPr>
        <w:pStyle w:val="libNormal"/>
        <w:rPr>
          <w:rtl/>
          <w:lang w:bidi="fa-IR"/>
        </w:rPr>
      </w:pPr>
      <w:r>
        <w:rPr>
          <w:rtl/>
          <w:lang w:bidi="fa-IR"/>
        </w:rPr>
        <w:t xml:space="preserve">8352 / 1. عَلِيُّ بْنُ إِبْرَاهِيمَ </w:t>
      </w:r>
      <w:r w:rsidRPr="00D10E3C">
        <w:rPr>
          <w:rStyle w:val="libFootnotenumChar"/>
          <w:rtl/>
        </w:rPr>
        <w:t>(7)</w:t>
      </w:r>
      <w:r>
        <w:rPr>
          <w:rtl/>
          <w:lang w:bidi="fa-IR"/>
        </w:rPr>
        <w:t xml:space="preserve"> ، عَنْ هَارُونَ بْنِ مُسْلِمٍ ، عَنْ مَسْعَدَةَ بْنِ صَدَقَةَ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بح ، جت » : + « ربّ يسّر وأعن برحمتك ». وفي « بس » : + « وبه نستعين ».</w:t>
      </w:r>
    </w:p>
    <w:p w:rsidR="00744A1C" w:rsidRDefault="00E378DD" w:rsidP="00E378DD">
      <w:pPr>
        <w:pStyle w:val="libFootnote0"/>
        <w:rPr>
          <w:lang w:bidi="fa-IR"/>
        </w:rPr>
      </w:pPr>
      <w:r>
        <w:rPr>
          <w:rtl/>
          <w:lang w:bidi="fa-IR"/>
        </w:rPr>
        <w:t>(2).</w:t>
      </w:r>
      <w:r w:rsidR="00744A1C">
        <w:rPr>
          <w:rtl/>
          <w:lang w:bidi="fa-IR"/>
        </w:rPr>
        <w:t xml:space="preserve"> في « ط ، بح ، بف ، جن » وحاشية « جت » : « واحتجاجه عليهم » بدل « واحتجاجهم عليه ».</w:t>
      </w:r>
    </w:p>
    <w:p w:rsidR="00744A1C" w:rsidRDefault="00E378DD" w:rsidP="00E378DD">
      <w:pPr>
        <w:pStyle w:val="libFootnote0"/>
        <w:rPr>
          <w:lang w:bidi="fa-IR"/>
        </w:rPr>
      </w:pPr>
      <w:r>
        <w:rPr>
          <w:rtl/>
          <w:lang w:bidi="fa-IR"/>
        </w:rPr>
        <w:t>(3).</w:t>
      </w:r>
      <w:r w:rsidR="00744A1C">
        <w:rPr>
          <w:rtl/>
          <w:lang w:bidi="fa-IR"/>
        </w:rPr>
        <w:t xml:space="preserve"> في « ط » : « بما ».</w:t>
      </w:r>
    </w:p>
    <w:p w:rsidR="00744A1C" w:rsidRDefault="00E378DD" w:rsidP="00E378DD">
      <w:pPr>
        <w:pStyle w:val="libFootnote0"/>
        <w:rPr>
          <w:lang w:bidi="fa-IR"/>
        </w:rPr>
      </w:pPr>
      <w:r>
        <w:rPr>
          <w:rtl/>
          <w:lang w:bidi="fa-IR"/>
        </w:rPr>
        <w:t>(4).</w:t>
      </w:r>
      <w:r w:rsidR="00744A1C">
        <w:rPr>
          <w:rtl/>
          <w:lang w:bidi="fa-IR"/>
        </w:rPr>
        <w:t xml:space="preserve"> في « ط ، ى » : - « الناس ».</w:t>
      </w:r>
    </w:p>
    <w:p w:rsidR="00744A1C" w:rsidRDefault="00E378DD" w:rsidP="00E378DD">
      <w:pPr>
        <w:pStyle w:val="libFootnote0"/>
        <w:rPr>
          <w:lang w:bidi="fa-IR"/>
        </w:rPr>
      </w:pPr>
      <w:r>
        <w:rPr>
          <w:rtl/>
          <w:lang w:bidi="fa-IR"/>
        </w:rPr>
        <w:t>(5).</w:t>
      </w:r>
      <w:r w:rsidR="00744A1C">
        <w:rPr>
          <w:rtl/>
          <w:lang w:bidi="fa-IR"/>
        </w:rPr>
        <w:t xml:space="preserve"> في « ط » : + « الناس ».</w:t>
      </w:r>
    </w:p>
    <w:p w:rsidR="00744A1C" w:rsidRDefault="00E378DD" w:rsidP="00E378DD">
      <w:pPr>
        <w:pStyle w:val="libFootnote0"/>
        <w:rPr>
          <w:lang w:bidi="fa-IR"/>
        </w:rPr>
      </w:pPr>
      <w:r>
        <w:rPr>
          <w:rtl/>
          <w:lang w:bidi="fa-IR"/>
        </w:rPr>
        <w:t>(6).</w:t>
      </w:r>
      <w:r w:rsidR="00744A1C">
        <w:rPr>
          <w:rtl/>
          <w:lang w:bidi="fa-IR"/>
        </w:rPr>
        <w:t xml:space="preserve"> في هامش </w:t>
      </w:r>
      <w:r w:rsidR="00744A1C" w:rsidRPr="00C24F9C">
        <w:rPr>
          <w:rStyle w:val="libFootnoteBoldChar"/>
          <w:rtl/>
        </w:rPr>
        <w:t>الوافي</w:t>
      </w:r>
      <w:r w:rsidR="00744A1C">
        <w:rPr>
          <w:rtl/>
          <w:lang w:bidi="fa-IR"/>
        </w:rPr>
        <w:t xml:space="preserve"> عن المحقّق الشعراني </w:t>
      </w:r>
      <w:r w:rsidR="00877682" w:rsidRPr="00877682">
        <w:rPr>
          <w:rStyle w:val="libFootnoteAlaemChar"/>
          <w:rtl/>
        </w:rPr>
        <w:t>رحمه‌الله</w:t>
      </w:r>
      <w:r w:rsidR="00744A1C">
        <w:rPr>
          <w:rtl/>
          <w:lang w:bidi="fa-IR"/>
        </w:rPr>
        <w:t>: « المنع من طلب الرزق مذهب بعض</w:t>
      </w:r>
      <w:r w:rsidR="00484B73">
        <w:rPr>
          <w:rtl/>
          <w:lang w:bidi="fa-IR"/>
        </w:rPr>
        <w:t xml:space="preserve"> الصوفيّة لا جميعهم ، قال العل</w:t>
      </w:r>
      <w:r w:rsidR="00484B73">
        <w:rPr>
          <w:rFonts w:hint="cs"/>
          <w:rtl/>
          <w:lang w:bidi="fa-IR"/>
        </w:rPr>
        <w:t>ّ</w:t>
      </w:r>
      <w:r w:rsidR="00484B73">
        <w:rPr>
          <w:rtl/>
          <w:lang w:bidi="fa-IR"/>
        </w:rPr>
        <w:t>ا</w:t>
      </w:r>
      <w:r w:rsidR="00744A1C">
        <w:rPr>
          <w:rtl/>
          <w:lang w:bidi="fa-IR"/>
        </w:rPr>
        <w:t xml:space="preserve">مة في </w:t>
      </w:r>
      <w:r w:rsidR="00744A1C" w:rsidRPr="00484B73">
        <w:rPr>
          <w:rStyle w:val="libFootnoteBoldChar"/>
          <w:rtl/>
        </w:rPr>
        <w:t>شرح التجريد</w:t>
      </w:r>
      <w:r w:rsidR="00744A1C">
        <w:rPr>
          <w:rtl/>
          <w:lang w:bidi="fa-IR"/>
        </w:rPr>
        <w:t xml:space="preserve"> : ذهب جمهور العقلاء إلى أنّ طلب الرزق سائغ ، وخالفهم بعض الصوفيّة ؛ لاختلاط الحرام بالحلال بحيث لا يتميّز ، وما هذا سبيله يجب الصدقة به ، فيجب على الغنيّ دفع ما بيده إلى الفقير بحيث يصير فقيراً ؛ ليحلّ له أخذ الأموال الممتزجة بالحرام ، ولأنّ في ذلك مساعدة للظالمين بأخذ العشور والخراجات ، ومساعدة الظالم محرّمة.</w:t>
      </w:r>
    </w:p>
    <w:p w:rsidR="00744A1C" w:rsidRDefault="00744A1C" w:rsidP="00D10E3C">
      <w:pPr>
        <w:pStyle w:val="libFootnote0"/>
        <w:rPr>
          <w:lang w:bidi="fa-IR"/>
        </w:rPr>
      </w:pPr>
      <w:r>
        <w:rPr>
          <w:rtl/>
          <w:lang w:bidi="fa-IR"/>
        </w:rPr>
        <w:t xml:space="preserve">والحقّ ما قلناه ، ويدلّ عليه المعقول والمنقول ، أمّا المعقول فلأنّه دفع للضرر ، فيكون واجباً ، وأمّا المنقول فقوله تعالى : </w:t>
      </w:r>
      <w:r w:rsidRPr="00484B73">
        <w:rPr>
          <w:rStyle w:val="libFootnoteAlaemChar"/>
          <w:rtl/>
        </w:rPr>
        <w:t>(</w:t>
      </w:r>
      <w:r w:rsidRPr="00484B73">
        <w:rPr>
          <w:rStyle w:val="libFootnoteAieChar"/>
          <w:rtl/>
        </w:rPr>
        <w:t xml:space="preserve"> وَابْتَغُوا مِنْ فَضْلِ اللهِ </w:t>
      </w:r>
      <w:r w:rsidRPr="00484B73">
        <w:rPr>
          <w:rStyle w:val="libFootnoteAlaemChar"/>
          <w:rtl/>
        </w:rPr>
        <w:t>)</w:t>
      </w:r>
      <w:r>
        <w:rPr>
          <w:rtl/>
          <w:lang w:bidi="fa-IR"/>
        </w:rPr>
        <w:t xml:space="preserve"> [ الجمعة (62) : 10 ] إلى غيرها من الآيات.</w:t>
      </w:r>
    </w:p>
    <w:p w:rsidR="00744A1C" w:rsidRDefault="00744A1C" w:rsidP="00D10E3C">
      <w:pPr>
        <w:pStyle w:val="libFootnote0"/>
        <w:rPr>
          <w:lang w:bidi="fa-IR"/>
        </w:rPr>
      </w:pPr>
      <w:r>
        <w:rPr>
          <w:rtl/>
          <w:lang w:bidi="fa-IR"/>
        </w:rPr>
        <w:t xml:space="preserve">وقوله </w:t>
      </w:r>
      <w:r w:rsidR="0061079A" w:rsidRPr="0061079A">
        <w:rPr>
          <w:rStyle w:val="libFootnoteAlaemChar"/>
          <w:rtl/>
        </w:rPr>
        <w:t>عليه‌السلام</w:t>
      </w:r>
      <w:r w:rsidR="00D10E3C">
        <w:rPr>
          <w:rtl/>
          <w:lang w:bidi="fa-IR"/>
        </w:rPr>
        <w:t xml:space="preserve"> </w:t>
      </w:r>
      <w:r>
        <w:rPr>
          <w:rtl/>
          <w:lang w:bidi="fa-IR"/>
        </w:rPr>
        <w:t>: سافروا تغنموا ، أمر بالسفر لأجل الغنيمة.</w:t>
      </w:r>
    </w:p>
    <w:p w:rsidR="00744A1C" w:rsidRDefault="00744A1C" w:rsidP="00D10E3C">
      <w:pPr>
        <w:pStyle w:val="libFootnote0"/>
        <w:rPr>
          <w:lang w:bidi="fa-IR"/>
        </w:rPr>
      </w:pPr>
      <w:r>
        <w:rPr>
          <w:rtl/>
          <w:lang w:bidi="fa-IR"/>
        </w:rPr>
        <w:t>والجواب عن الأوّل بالمنع من عدم التمييز ؛ إذ الشارع ميّز الحلال من الحرام بظاهر اليد ؛ ولأنّ تحريم التكسّب من هذه الحيثيّة يقتضي تحريم التناول ، واللازم باطل بالاتّفاق ، وعن الثاني بأنّ المكتسب غرضه الانتفاع بزراعته أو تجارته لا معونة الظلمة. انتهى.</w:t>
      </w:r>
      <w:r w:rsidR="00AB1601">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دَخَلَ سُفْيَانُ الثَّوْرِيُّ عَلى أَبِي عَبْدِ اللهِ </w:t>
      </w:r>
      <w:r w:rsidR="0061079A" w:rsidRPr="0061079A">
        <w:rPr>
          <w:rStyle w:val="libAlaemChar"/>
          <w:rtl/>
        </w:rPr>
        <w:t>عليه‌السلام</w:t>
      </w:r>
      <w:r w:rsidR="00D10E3C">
        <w:rPr>
          <w:rtl/>
          <w:lang w:bidi="fa-IR"/>
        </w:rPr>
        <w:t xml:space="preserve"> </w:t>
      </w:r>
      <w:r>
        <w:rPr>
          <w:rtl/>
          <w:lang w:bidi="fa-IR"/>
        </w:rPr>
        <w:t xml:space="preserve">، فَرَأى عَلَيْهِ ثِيَابَ بِيضٍ </w:t>
      </w:r>
      <w:r w:rsidRPr="00D10E3C">
        <w:rPr>
          <w:rStyle w:val="libFootnotenumChar"/>
          <w:rtl/>
        </w:rPr>
        <w:t>(1)</w:t>
      </w:r>
      <w:r>
        <w:rPr>
          <w:rtl/>
          <w:lang w:bidi="fa-IR"/>
        </w:rPr>
        <w:t xml:space="preserve"> كَأَنَّهَا غِرْقِئُ </w:t>
      </w:r>
      <w:r w:rsidRPr="00D10E3C">
        <w:rPr>
          <w:rStyle w:val="libFootnotenumChar"/>
          <w:rtl/>
        </w:rPr>
        <w:t>(2)</w:t>
      </w:r>
      <w:r>
        <w:rPr>
          <w:rtl/>
          <w:lang w:bidi="fa-IR"/>
        </w:rPr>
        <w:t xml:space="preserve"> الْبَيْضِ </w:t>
      </w:r>
      <w:r w:rsidRPr="00D10E3C">
        <w:rPr>
          <w:rStyle w:val="libFootnotenumChar"/>
          <w:rtl/>
        </w:rPr>
        <w:t>(3)</w:t>
      </w:r>
      <w:r>
        <w:rPr>
          <w:rtl/>
          <w:lang w:bidi="fa-IR"/>
        </w:rPr>
        <w:t xml:space="preserve"> ، فَقَالَ لَهُ : إِنَّ هذَا اللِّبَاسَ لَيْسَ مِنْ لِبَاسِكَ </w:t>
      </w:r>
      <w:r w:rsidRPr="00D10E3C">
        <w:rPr>
          <w:rStyle w:val="libFootnotenumChar"/>
          <w:rtl/>
        </w:rPr>
        <w:t>(4)</w:t>
      </w:r>
      <w:r w:rsidR="00AB1601" w:rsidRPr="00AB1601">
        <w:rPr>
          <w:rFonts w:hint="cs"/>
          <w:rtl/>
        </w:rPr>
        <w:t>.</w:t>
      </w:r>
    </w:p>
    <w:p w:rsidR="00744A1C" w:rsidRDefault="00744A1C" w:rsidP="00744A1C">
      <w:pPr>
        <w:pStyle w:val="libNormal"/>
        <w:rPr>
          <w:lang w:bidi="fa-IR"/>
        </w:rPr>
      </w:pPr>
      <w:r>
        <w:rPr>
          <w:rtl/>
          <w:lang w:bidi="fa-IR"/>
        </w:rPr>
        <w:t xml:space="preserve">فَقَالَ لَهُ : « اسْمَعْ مِنِّي وَعِ مَا أَقُولُ لَكَ ؛ فَإِنَّهُ خَيْرٌ لَكَ عَاجِلاً وَآجِلاً </w:t>
      </w:r>
      <w:r w:rsidRPr="00D10E3C">
        <w:rPr>
          <w:rStyle w:val="libFootnotenumChar"/>
          <w:rtl/>
        </w:rPr>
        <w:t>(5)</w:t>
      </w:r>
      <w:r>
        <w:rPr>
          <w:rtl/>
          <w:lang w:bidi="fa-IR"/>
        </w:rPr>
        <w:t xml:space="preserve"> ، إِنْ أَنْتَ مِتَّ </w:t>
      </w:r>
      <w:r w:rsidRPr="00D10E3C">
        <w:rPr>
          <w:rStyle w:val="libFootnotenumChar"/>
          <w:rtl/>
        </w:rPr>
        <w:t>(6)</w:t>
      </w:r>
      <w:r>
        <w:rPr>
          <w:rtl/>
          <w:lang w:bidi="fa-IR"/>
        </w:rPr>
        <w:t xml:space="preserve"> عَلَى السُّنَّةِ وَالْحَقِّ </w:t>
      </w:r>
      <w:r w:rsidRPr="00D10E3C">
        <w:rPr>
          <w:rStyle w:val="libFootnotenumChar"/>
          <w:rtl/>
        </w:rPr>
        <w:t>(7)</w:t>
      </w:r>
      <w:r>
        <w:rPr>
          <w:rtl/>
          <w:lang w:bidi="fa-IR"/>
        </w:rPr>
        <w:t xml:space="preserve"> ، وَلَمْ تَمُتْ عَلى بِدْعَةٍ ، أُخْبِرُكَ أَنَّ رَسُولَ اللهِ </w:t>
      </w:r>
      <w:r w:rsidR="005E465D" w:rsidRPr="005E465D">
        <w:rPr>
          <w:rStyle w:val="libAlaemChar"/>
          <w:rtl/>
        </w:rPr>
        <w:t>صلى‌الله‌عليه‌وآله</w:t>
      </w:r>
      <w:r w:rsidR="00D10E3C">
        <w:rPr>
          <w:rtl/>
          <w:lang w:bidi="fa-IR"/>
        </w:rPr>
        <w:t xml:space="preserve"> </w:t>
      </w:r>
      <w:r>
        <w:rPr>
          <w:rtl/>
          <w:lang w:bidi="fa-IR"/>
        </w:rPr>
        <w:t xml:space="preserve">كَانَ فِي زَمَانٍ مُقْفِرٍ </w:t>
      </w:r>
      <w:r w:rsidRPr="00D10E3C">
        <w:rPr>
          <w:rStyle w:val="libFootnotenumChar"/>
          <w:rtl/>
        </w:rPr>
        <w:t>(8)</w:t>
      </w:r>
      <w:r>
        <w:rPr>
          <w:rtl/>
          <w:lang w:bidi="fa-IR"/>
        </w:rPr>
        <w:t xml:space="preserve"> جَدْبٍ </w:t>
      </w:r>
      <w:r w:rsidRPr="00D10E3C">
        <w:rPr>
          <w:rStyle w:val="libFootnotenumChar"/>
          <w:rtl/>
        </w:rPr>
        <w:t>(9)</w:t>
      </w:r>
      <w:r>
        <w:rPr>
          <w:rtl/>
          <w:lang w:bidi="fa-IR"/>
        </w:rPr>
        <w:t xml:space="preserve"> ، فَأَمَّا </w:t>
      </w:r>
      <w:r w:rsidRPr="00D10E3C">
        <w:rPr>
          <w:rStyle w:val="libFootnotenumChar"/>
          <w:rtl/>
        </w:rPr>
        <w:t>(10)</w:t>
      </w:r>
      <w:r>
        <w:rPr>
          <w:rtl/>
          <w:lang w:bidi="fa-IR"/>
        </w:rPr>
        <w:t xml:space="preserve"> إِذَا أَقْبَلَتِ الدُّنْيَا ، فَأَحَقُّ أَهْلِهَا بِهَا أَبْرَارُهَا ، لَافُجَّارُهَا ، وَمُؤْمِنُوهَا ، لَا مُنَافِقُوهَا ، وَمُسْلِمُوهَا ، لَاكُفَّارُهَا ، فَمَا أَنْكَرْتَ يَا ثَوْرِيُّ ، فَوَ اللهِ إِنَّنِي </w:t>
      </w:r>
      <w:r w:rsidRPr="00D10E3C">
        <w:rPr>
          <w:rStyle w:val="libFootnotenumChar"/>
          <w:rtl/>
        </w:rPr>
        <w:t>(11)</w:t>
      </w:r>
      <w:r>
        <w:rPr>
          <w:rtl/>
          <w:lang w:bidi="fa-IR"/>
        </w:rPr>
        <w:t xml:space="preserve"> لَمَعَ مَا تَرى‌</w:t>
      </w:r>
    </w:p>
    <w:p w:rsidR="00744A1C" w:rsidRDefault="00744A1C" w:rsidP="00D10E3C">
      <w:pPr>
        <w:pStyle w:val="libLine"/>
        <w:rPr>
          <w:lang w:bidi="fa-IR"/>
        </w:rPr>
      </w:pPr>
      <w:r>
        <w:rPr>
          <w:rtl/>
          <w:lang w:bidi="fa-IR"/>
        </w:rPr>
        <w:t>____________________</w:t>
      </w:r>
    </w:p>
    <w:p w:rsidR="00AB1601" w:rsidRDefault="00AB1601" w:rsidP="00AB1601">
      <w:pPr>
        <w:pStyle w:val="libFootnote0"/>
        <w:rPr>
          <w:lang w:bidi="fa-IR"/>
        </w:rPr>
      </w:pPr>
      <w:r>
        <w:rPr>
          <w:rFonts w:hint="cs"/>
          <w:rtl/>
          <w:lang w:bidi="fa-IR"/>
        </w:rPr>
        <w:t xml:space="preserve">= </w:t>
      </w:r>
      <w:r>
        <w:rPr>
          <w:rtl/>
          <w:lang w:bidi="fa-IR"/>
        </w:rPr>
        <w:t xml:space="preserve">ثمّ إنّي ما استقصيت في نقل التعليقات في المكاسب مع شدّة الحاجة ؛ لأنّ الشيخ المحقّق الأنصاري - قدّس الله تربته- أورد في كتابه ما هو شرح وتوضيح للأخبار التي ذكرها فيه بما ليس فوقه كلام ، ولم يبق لأحد بعده مجال ، ولم يمكنّي أيضاً نقل كلامه ملخّصاً ، وليس إليه حاجة لشهرته ، وإنّما أوردت زوائد اختلجت بالبال ، وفوائد اقتبستها من سائر التعليقات ممّا لم أر بدّاً من ذكرها ، والله وليّ التوفيق ». وراجع : </w:t>
      </w:r>
      <w:r w:rsidRPr="00AB1601">
        <w:rPr>
          <w:rStyle w:val="libFootnoteBoldChar"/>
          <w:rtl/>
        </w:rPr>
        <w:t>كشف المراد</w:t>
      </w:r>
      <w:r>
        <w:rPr>
          <w:rtl/>
          <w:lang w:bidi="fa-IR"/>
        </w:rPr>
        <w:t xml:space="preserve"> ، ص 463.</w:t>
      </w:r>
    </w:p>
    <w:p w:rsidR="00AB1601" w:rsidRDefault="00AB1601" w:rsidP="00AB1601">
      <w:pPr>
        <w:pStyle w:val="libFootnote0"/>
        <w:rPr>
          <w:lang w:bidi="fa-IR"/>
        </w:rPr>
      </w:pPr>
      <w:r>
        <w:rPr>
          <w:rtl/>
          <w:lang w:bidi="fa-IR"/>
        </w:rPr>
        <w:t xml:space="preserve">(7). في « ط » : + « حدّثني أبو محمّد هارون بن موسى التلَّعُكبُريّ ، قال : حدّثني أبو جعفر محمّد بن يعقوب الكليني ، قال : حدّثني عليّ بن إبراهيم ». وفي </w:t>
      </w:r>
      <w:r w:rsidRPr="00AB1601">
        <w:rPr>
          <w:rtl/>
        </w:rPr>
        <w:t>البحار</w:t>
      </w:r>
      <w:r>
        <w:rPr>
          <w:rtl/>
          <w:lang w:bidi="fa-IR"/>
        </w:rPr>
        <w:t xml:space="preserve"> : « عليّ ، عن أبيه ، عن ابن أبي عمير » كلاهما بدل « عليّ بن إبراهيم ». وما في </w:t>
      </w:r>
      <w:r w:rsidRPr="00AB1601">
        <w:rPr>
          <w:rtl/>
        </w:rPr>
        <w:t>البحار</w:t>
      </w:r>
      <w:r>
        <w:rPr>
          <w:rtl/>
          <w:lang w:bidi="fa-IR"/>
        </w:rPr>
        <w:t xml:space="preserve"> سهو. لاحظ ما قدّمناه في </w:t>
      </w:r>
      <w:r w:rsidRPr="0061079A">
        <w:rPr>
          <w:rStyle w:val="libFootnoteBoldChar"/>
          <w:rtl/>
        </w:rPr>
        <w:t>الكافي</w:t>
      </w:r>
      <w:r>
        <w:rPr>
          <w:rtl/>
          <w:lang w:bidi="fa-IR"/>
        </w:rPr>
        <w:t xml:space="preserve"> ، ذيل ح 166.</w:t>
      </w:r>
    </w:p>
    <w:p w:rsidR="00744A1C" w:rsidRDefault="00D10E3C" w:rsidP="00AB1601">
      <w:pPr>
        <w:pStyle w:val="libFootnote0"/>
        <w:rPr>
          <w:lang w:bidi="fa-IR"/>
        </w:rPr>
      </w:pPr>
      <w:r>
        <w:rPr>
          <w:rtl/>
          <w:lang w:bidi="fa-IR"/>
        </w:rPr>
        <w:t>(1).</w:t>
      </w:r>
      <w:r w:rsidR="00744A1C">
        <w:rPr>
          <w:rtl/>
          <w:lang w:bidi="fa-IR"/>
        </w:rPr>
        <w:t xml:space="preserve"> في « ط ، ى ، بح ، بف ، جد » </w:t>
      </w:r>
      <w:r w:rsidR="00744A1C" w:rsidRPr="00AB1601">
        <w:rPr>
          <w:rtl/>
        </w:rPr>
        <w:t>والوسائل</w:t>
      </w:r>
      <w:r w:rsidR="00744A1C">
        <w:rPr>
          <w:rtl/>
          <w:lang w:bidi="fa-IR"/>
        </w:rPr>
        <w:t xml:space="preserve"> ، ح 5775 </w:t>
      </w:r>
      <w:r w:rsidR="00744A1C" w:rsidRPr="00AB1601">
        <w:rPr>
          <w:rtl/>
        </w:rPr>
        <w:t>والبحار</w:t>
      </w:r>
      <w:r w:rsidR="00744A1C">
        <w:rPr>
          <w:rtl/>
          <w:lang w:bidi="fa-IR"/>
        </w:rPr>
        <w:t xml:space="preserve"> : « بياض ».</w:t>
      </w:r>
    </w:p>
    <w:p w:rsidR="00744A1C" w:rsidRDefault="00E378DD" w:rsidP="00E378DD">
      <w:pPr>
        <w:pStyle w:val="libFootnote0"/>
        <w:rPr>
          <w:lang w:bidi="fa-IR"/>
        </w:rPr>
      </w:pPr>
      <w:r>
        <w:rPr>
          <w:rtl/>
          <w:lang w:bidi="fa-IR"/>
        </w:rPr>
        <w:t>(2).</w:t>
      </w:r>
      <w:r w:rsidR="00744A1C">
        <w:rPr>
          <w:rtl/>
          <w:lang w:bidi="fa-IR"/>
        </w:rPr>
        <w:t xml:space="preserve"> « الغرقي ، كزبرج : القشرة الملتزقة ببياض البيض ، أو البياض الذي يؤكل. </w:t>
      </w:r>
      <w:r w:rsidR="00744A1C" w:rsidRPr="008A57EB">
        <w:rPr>
          <w:rStyle w:val="libFootnoteBoldChar"/>
          <w:rtl/>
        </w:rPr>
        <w:t>القاموس المحيط</w:t>
      </w:r>
      <w:r w:rsidR="00744A1C">
        <w:rPr>
          <w:rtl/>
          <w:lang w:bidi="fa-IR"/>
        </w:rPr>
        <w:t xml:space="preserve"> ، ج 1 ، ص 113 ( غرقأ ).</w:t>
      </w:r>
    </w:p>
    <w:p w:rsidR="00744A1C" w:rsidRDefault="00E378DD" w:rsidP="00E378DD">
      <w:pPr>
        <w:pStyle w:val="libFootnote0"/>
        <w:rPr>
          <w:lang w:bidi="fa-IR"/>
        </w:rPr>
      </w:pPr>
      <w:r>
        <w:rPr>
          <w:rtl/>
          <w:lang w:bidi="fa-IR"/>
        </w:rPr>
        <w:t>(3).</w:t>
      </w:r>
      <w:r w:rsidR="00744A1C">
        <w:rPr>
          <w:rtl/>
          <w:lang w:bidi="fa-IR"/>
        </w:rPr>
        <w:t xml:space="preserve"> في حاشية « جن » : « بيض ».</w:t>
      </w:r>
    </w:p>
    <w:tbl>
      <w:tblPr>
        <w:tblStyle w:val="TableGrid"/>
        <w:bidiVisual/>
        <w:tblW w:w="0" w:type="auto"/>
        <w:tblLook w:val="04A0" w:firstRow="1" w:lastRow="0" w:firstColumn="1" w:lastColumn="0" w:noHBand="0" w:noVBand="1"/>
      </w:tblPr>
      <w:tblGrid>
        <w:gridCol w:w="4006"/>
        <w:gridCol w:w="4006"/>
      </w:tblGrid>
      <w:tr w:rsidR="00AB1601" w:rsidTr="00AB1601">
        <w:tc>
          <w:tcPr>
            <w:tcW w:w="4006" w:type="dxa"/>
          </w:tcPr>
          <w:p w:rsidR="00AB1601" w:rsidRDefault="00AB1601" w:rsidP="00E378DD">
            <w:pPr>
              <w:pStyle w:val="libFootnote0"/>
              <w:rPr>
                <w:rtl/>
                <w:lang w:bidi="fa-IR"/>
              </w:rPr>
            </w:pPr>
            <w:r>
              <w:rPr>
                <w:rtl/>
                <w:lang w:bidi="fa-IR"/>
              </w:rPr>
              <w:t>(4). في « ط » : « شأنك ».</w:t>
            </w:r>
          </w:p>
        </w:tc>
        <w:tc>
          <w:tcPr>
            <w:tcW w:w="4006" w:type="dxa"/>
          </w:tcPr>
          <w:p w:rsidR="00AB1601" w:rsidRDefault="00AB1601" w:rsidP="00E378DD">
            <w:pPr>
              <w:pStyle w:val="libFootnote0"/>
              <w:rPr>
                <w:rtl/>
                <w:lang w:bidi="fa-IR"/>
              </w:rPr>
            </w:pPr>
            <w:r>
              <w:rPr>
                <w:rtl/>
                <w:lang w:bidi="fa-IR"/>
              </w:rPr>
              <w:t>(5). في « بح » : - « وآجلاً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877682">
        <w:rPr>
          <w:rStyle w:val="libFootnoteBoldChar"/>
          <w:rtl/>
        </w:rPr>
        <w:t>مرآة العقول</w:t>
      </w:r>
      <w:r w:rsidR="00744A1C">
        <w:rPr>
          <w:rtl/>
          <w:lang w:bidi="fa-IR"/>
        </w:rPr>
        <w:t xml:space="preserve"> ، ج 19 ، ص 5 : « قوله </w:t>
      </w:r>
      <w:r w:rsidR="0061079A" w:rsidRPr="0061079A">
        <w:rPr>
          <w:rStyle w:val="libFootnoteAlaemChar"/>
          <w:rtl/>
        </w:rPr>
        <w:t>عليه‌السلام</w:t>
      </w:r>
      <w:r w:rsidR="00D10E3C">
        <w:rPr>
          <w:rtl/>
          <w:lang w:bidi="fa-IR"/>
        </w:rPr>
        <w:t xml:space="preserve"> </w:t>
      </w:r>
      <w:r w:rsidR="00744A1C">
        <w:rPr>
          <w:rtl/>
          <w:lang w:bidi="fa-IR"/>
        </w:rPr>
        <w:t>: إن أنت متّ ، أي انتفاعك بما أقول آجلاً إنّما يكون إذا تركت البدع ».</w:t>
      </w:r>
    </w:p>
    <w:p w:rsidR="00744A1C" w:rsidRDefault="00E378DD" w:rsidP="00E378DD">
      <w:pPr>
        <w:pStyle w:val="libFootnote0"/>
        <w:rPr>
          <w:lang w:bidi="fa-IR"/>
        </w:rPr>
      </w:pPr>
      <w:r>
        <w:rPr>
          <w:rtl/>
          <w:lang w:bidi="fa-IR"/>
        </w:rPr>
        <w:t>(7).</w:t>
      </w:r>
      <w:r w:rsidR="00744A1C">
        <w:rPr>
          <w:rtl/>
          <w:lang w:bidi="fa-IR"/>
        </w:rPr>
        <w:t xml:space="preserve"> في </w:t>
      </w:r>
      <w:r w:rsidR="00744A1C" w:rsidRPr="00AB1601">
        <w:rPr>
          <w:rtl/>
        </w:rPr>
        <w:t>الوسائل</w:t>
      </w:r>
      <w:r w:rsidR="00744A1C">
        <w:rPr>
          <w:rtl/>
          <w:lang w:bidi="fa-IR"/>
        </w:rPr>
        <w:t xml:space="preserve"> ، ح 5775 : - « والحقّ ».</w:t>
      </w:r>
    </w:p>
    <w:p w:rsidR="00744A1C" w:rsidRDefault="00E378DD" w:rsidP="00E378DD">
      <w:pPr>
        <w:pStyle w:val="libFootnote0"/>
        <w:rPr>
          <w:lang w:bidi="fa-IR"/>
        </w:rPr>
      </w:pPr>
      <w:r>
        <w:rPr>
          <w:rtl/>
          <w:lang w:bidi="fa-IR"/>
        </w:rPr>
        <w:t>(8).</w:t>
      </w:r>
      <w:r w:rsidR="00744A1C">
        <w:rPr>
          <w:rtl/>
          <w:lang w:bidi="fa-IR"/>
        </w:rPr>
        <w:t xml:space="preserve"> المقفر : الخالي من الطعام ؛ من القفر ، وهي مفازة لا ماء فيها ولا نبات. راجع : </w:t>
      </w:r>
      <w:r w:rsidR="00744A1C" w:rsidRPr="00AB1601">
        <w:rPr>
          <w:rStyle w:val="libFootnoteBoldChar"/>
          <w:rtl/>
        </w:rPr>
        <w:t>تاج العروس</w:t>
      </w:r>
      <w:r w:rsidR="00744A1C">
        <w:rPr>
          <w:rtl/>
          <w:lang w:bidi="fa-IR"/>
        </w:rPr>
        <w:t xml:space="preserve"> ، ج 7 ، ص 411 ( قفر ).</w:t>
      </w:r>
    </w:p>
    <w:p w:rsidR="00744A1C" w:rsidRDefault="00E378DD" w:rsidP="00E378DD">
      <w:pPr>
        <w:pStyle w:val="libFootnote0"/>
        <w:rPr>
          <w:lang w:bidi="fa-IR"/>
        </w:rPr>
      </w:pPr>
      <w:r>
        <w:rPr>
          <w:rtl/>
          <w:lang w:bidi="fa-IR"/>
        </w:rPr>
        <w:t>(9).</w:t>
      </w:r>
      <w:r w:rsidR="00744A1C">
        <w:rPr>
          <w:rtl/>
          <w:lang w:bidi="fa-IR"/>
        </w:rPr>
        <w:t xml:space="preserve"> في التحف : « جشب ». والجَدْب : نقيض الخصب</w:t>
      </w:r>
      <w:r w:rsidR="00AB1601">
        <w:rPr>
          <w:rtl/>
          <w:lang w:bidi="fa-IR"/>
        </w:rPr>
        <w:t xml:space="preserve"> والرخاء. والجَدْب : انقطاع الم</w:t>
      </w:r>
      <w:r w:rsidR="00AB1601">
        <w:rPr>
          <w:rFonts w:hint="cs"/>
          <w:rtl/>
          <w:lang w:bidi="fa-IR"/>
        </w:rPr>
        <w:t>ـَ</w:t>
      </w:r>
      <w:r w:rsidR="00744A1C">
        <w:rPr>
          <w:rtl/>
          <w:lang w:bidi="fa-IR"/>
        </w:rPr>
        <w:t xml:space="preserve">طَر ويُبْسُ الأرض. راجع : </w:t>
      </w:r>
      <w:r w:rsidR="00744A1C" w:rsidRPr="00E978C3">
        <w:rPr>
          <w:rStyle w:val="libFootnoteBoldChar"/>
          <w:rtl/>
        </w:rPr>
        <w:t>الصحاح</w:t>
      </w:r>
      <w:r w:rsidR="00744A1C">
        <w:rPr>
          <w:rtl/>
          <w:lang w:bidi="fa-IR"/>
        </w:rPr>
        <w:t xml:space="preserve"> ، ج 1 ، ص 110 ؛ </w:t>
      </w:r>
      <w:r w:rsidR="00744A1C" w:rsidRPr="00E978C3">
        <w:rPr>
          <w:rStyle w:val="libFootnoteBoldChar"/>
          <w:rtl/>
        </w:rPr>
        <w:t>المصباح المنير</w:t>
      </w:r>
      <w:r w:rsidR="00744A1C">
        <w:rPr>
          <w:rtl/>
          <w:lang w:bidi="fa-IR"/>
        </w:rPr>
        <w:t xml:space="preserve"> ، ص 92 ( جدب ).</w:t>
      </w:r>
    </w:p>
    <w:p w:rsidR="00744A1C" w:rsidRDefault="00E378DD" w:rsidP="00E378DD">
      <w:pPr>
        <w:pStyle w:val="libFootnote0"/>
        <w:rPr>
          <w:lang w:bidi="fa-IR"/>
        </w:rPr>
      </w:pPr>
      <w:r>
        <w:rPr>
          <w:rtl/>
          <w:lang w:bidi="fa-IR"/>
        </w:rPr>
        <w:t>(10).</w:t>
      </w:r>
      <w:r w:rsidR="00744A1C">
        <w:rPr>
          <w:rtl/>
          <w:lang w:bidi="fa-IR"/>
        </w:rPr>
        <w:t xml:space="preserve"> في « ط » : « وأمّا ».</w:t>
      </w:r>
    </w:p>
    <w:p w:rsidR="00744A1C" w:rsidRDefault="00E378DD" w:rsidP="00E378DD">
      <w:pPr>
        <w:pStyle w:val="libFootnote0"/>
        <w:rPr>
          <w:lang w:bidi="fa-IR"/>
        </w:rPr>
      </w:pPr>
      <w:r>
        <w:rPr>
          <w:rtl/>
          <w:lang w:bidi="fa-IR"/>
        </w:rPr>
        <w:t>(11).</w:t>
      </w:r>
      <w:r w:rsidR="00744A1C">
        <w:rPr>
          <w:rtl/>
          <w:lang w:bidi="fa-IR"/>
        </w:rPr>
        <w:t xml:space="preserve"> في حاشية « جت » </w:t>
      </w:r>
      <w:r w:rsidR="00744A1C" w:rsidRPr="00AB1601">
        <w:rPr>
          <w:rtl/>
        </w:rPr>
        <w:t>والوسائل</w:t>
      </w:r>
      <w:r w:rsidR="00744A1C">
        <w:rPr>
          <w:rtl/>
          <w:lang w:bidi="fa-IR"/>
        </w:rPr>
        <w:t xml:space="preserve"> ، ح 5775 والتحف : « إنّي ».</w:t>
      </w:r>
    </w:p>
    <w:p w:rsidR="00AB1601" w:rsidRDefault="00AB1601" w:rsidP="00AB1601">
      <w:pPr>
        <w:pStyle w:val="libNormal"/>
        <w:rPr>
          <w:rtl/>
          <w:lang w:bidi="fa-IR"/>
        </w:rPr>
      </w:pPr>
      <w:r>
        <w:rPr>
          <w:rtl/>
          <w:lang w:bidi="fa-IR"/>
        </w:rPr>
        <w:br w:type="page"/>
      </w:r>
    </w:p>
    <w:p w:rsidR="00744A1C" w:rsidRDefault="00744A1C" w:rsidP="00AB1601">
      <w:pPr>
        <w:pStyle w:val="libNormal0"/>
        <w:rPr>
          <w:lang w:bidi="fa-IR"/>
        </w:rPr>
      </w:pPr>
      <w:r>
        <w:rPr>
          <w:rtl/>
          <w:lang w:bidi="fa-IR"/>
        </w:rPr>
        <w:t xml:space="preserve">مَا أَتى عَلَيَّ مُذْ </w:t>
      </w:r>
      <w:r w:rsidR="00D10E3C" w:rsidRPr="00AB1601">
        <w:rPr>
          <w:rStyle w:val="libFootnotenumChar"/>
          <w:rtl/>
        </w:rPr>
        <w:t>(1)</w:t>
      </w:r>
      <w:r>
        <w:rPr>
          <w:rtl/>
          <w:lang w:bidi="fa-IR"/>
        </w:rPr>
        <w:t xml:space="preserve"> عَقَلْتُ صَبَاحٌ وَلَا مَسَاءٌ وَلِلّهِ فِي مَالِي حَقٌّ أَمَرَنِ</w:t>
      </w:r>
      <w:r w:rsidR="00F629A8">
        <w:rPr>
          <w:rtl/>
          <w:lang w:bidi="fa-IR"/>
        </w:rPr>
        <w:t>ي أَنْ أَضَعَهُ مَوْضِعاً إِل</w:t>
      </w:r>
      <w:r w:rsidR="00F629A8">
        <w:rPr>
          <w:rFonts w:hint="cs"/>
          <w:rtl/>
          <w:lang w:bidi="fa-IR"/>
        </w:rPr>
        <w:t>َّ</w:t>
      </w:r>
      <w:r w:rsidR="00F629A8">
        <w:rPr>
          <w:rtl/>
          <w:lang w:bidi="fa-IR"/>
        </w:rPr>
        <w:t>ا وَضَعْتُهُ</w:t>
      </w:r>
      <w:r>
        <w:rPr>
          <w:rtl/>
          <w:lang w:bidi="fa-IR"/>
        </w:rPr>
        <w:t>».</w:t>
      </w:r>
    </w:p>
    <w:p w:rsidR="00744A1C" w:rsidRDefault="00744A1C" w:rsidP="00AB1601">
      <w:pPr>
        <w:pStyle w:val="libNormal"/>
        <w:rPr>
          <w:lang w:bidi="fa-IR"/>
        </w:rPr>
      </w:pPr>
      <w:r>
        <w:rPr>
          <w:rtl/>
          <w:lang w:bidi="fa-IR"/>
        </w:rPr>
        <w:t xml:space="preserve">قَالَ : وَأَتَاهُ </w:t>
      </w:r>
      <w:r w:rsidR="00E378DD" w:rsidRPr="00AB1601">
        <w:rPr>
          <w:rStyle w:val="libFootnotenumChar"/>
          <w:rtl/>
        </w:rPr>
        <w:t>(2)</w:t>
      </w:r>
      <w:r>
        <w:rPr>
          <w:rtl/>
          <w:lang w:bidi="fa-IR"/>
        </w:rPr>
        <w:t xml:space="preserve"> قَوْمٌ مِمَّنْ يُظْهِرُونَ </w:t>
      </w:r>
      <w:r w:rsidR="00E378DD" w:rsidRPr="00AB1601">
        <w:rPr>
          <w:rStyle w:val="libFootnotenumChar"/>
          <w:rtl/>
        </w:rPr>
        <w:t>(3)</w:t>
      </w:r>
      <w:r>
        <w:rPr>
          <w:rtl/>
          <w:lang w:bidi="fa-IR"/>
        </w:rPr>
        <w:t xml:space="preserve"> الزُّهْدَ </w:t>
      </w:r>
      <w:r w:rsidR="00E378DD" w:rsidRPr="00AB1601">
        <w:rPr>
          <w:rStyle w:val="libFootnotenumChar"/>
          <w:rtl/>
        </w:rPr>
        <w:t>(4)</w:t>
      </w:r>
      <w:r>
        <w:rPr>
          <w:rtl/>
          <w:lang w:bidi="fa-IR"/>
        </w:rPr>
        <w:t xml:space="preserve"> ، وَيَدْعُونَ </w:t>
      </w:r>
      <w:r w:rsidR="00E378DD" w:rsidRPr="00AB1601">
        <w:rPr>
          <w:rStyle w:val="libFootnotenumChar"/>
          <w:rtl/>
        </w:rPr>
        <w:t>(5)</w:t>
      </w:r>
      <w:r>
        <w:rPr>
          <w:rtl/>
          <w:lang w:bidi="fa-IR"/>
        </w:rPr>
        <w:t xml:space="preserve"> النَّاسَ أَنْ يَكُونُوا مَعَهُمْ عَلى مِثْلِ الَّذِي هُمْ عَلَيْهِ مِنَ التَّقَشُّفِ </w:t>
      </w:r>
      <w:r w:rsidR="00E378DD" w:rsidRPr="00AB1601">
        <w:rPr>
          <w:rStyle w:val="libFootnotenumChar"/>
          <w:rtl/>
        </w:rPr>
        <w:t>(6)</w:t>
      </w:r>
      <w:r>
        <w:rPr>
          <w:rtl/>
          <w:lang w:bidi="fa-IR"/>
        </w:rPr>
        <w:t xml:space="preserve"> ، فَقَالُوا لَهُ : إِنَّ صَاحِبَنَا حَصِرَ </w:t>
      </w:r>
      <w:r w:rsidR="00E378DD" w:rsidRPr="00AB1601">
        <w:rPr>
          <w:rStyle w:val="libFootnotenumChar"/>
          <w:rtl/>
        </w:rPr>
        <w:t>(7)</w:t>
      </w:r>
      <w:r>
        <w:rPr>
          <w:rtl/>
          <w:lang w:bidi="fa-IR"/>
        </w:rPr>
        <w:t xml:space="preserve"> عَنْ كَلَامِكَ ، وَلَمْ تَحْضُرْهُ </w:t>
      </w:r>
      <w:r w:rsidR="00E378DD" w:rsidRPr="00AB1601">
        <w:rPr>
          <w:rStyle w:val="libFootnotenumChar"/>
          <w:rtl/>
        </w:rPr>
        <w:t>(8)</w:t>
      </w:r>
      <w:r>
        <w:rPr>
          <w:rtl/>
          <w:lang w:bidi="fa-IR"/>
        </w:rPr>
        <w:t xml:space="preserve"> حُجَجُهُ </w:t>
      </w:r>
      <w:r w:rsidR="00E378DD" w:rsidRPr="00AB1601">
        <w:rPr>
          <w:rStyle w:val="libFootnotenumChar"/>
          <w:rtl/>
        </w:rPr>
        <w:t>(9)</w:t>
      </w:r>
      <w:r w:rsidR="00E378DD">
        <w:rPr>
          <w:rtl/>
          <w:lang w:bidi="fa-IR"/>
        </w:rPr>
        <w:t>.</w:t>
      </w:r>
    </w:p>
    <w:p w:rsidR="00744A1C" w:rsidRDefault="00744A1C" w:rsidP="00AB1601">
      <w:pPr>
        <w:pStyle w:val="libNormal"/>
        <w:rPr>
          <w:lang w:bidi="fa-IR"/>
        </w:rPr>
      </w:pPr>
      <w:r>
        <w:rPr>
          <w:rtl/>
          <w:lang w:bidi="fa-IR"/>
        </w:rPr>
        <w:t xml:space="preserve">فَقَالَ لَهُمْ : « فَهَاتُوا </w:t>
      </w:r>
      <w:r w:rsidR="00E378DD" w:rsidRPr="00AB1601">
        <w:rPr>
          <w:rStyle w:val="libFootnotenumChar"/>
          <w:rtl/>
        </w:rPr>
        <w:t>(10)</w:t>
      </w:r>
      <w:r>
        <w:rPr>
          <w:rtl/>
          <w:lang w:bidi="fa-IR"/>
        </w:rPr>
        <w:t xml:space="preserve"> حُجَجَكُمْ </w:t>
      </w:r>
      <w:r w:rsidR="00E378DD" w:rsidRPr="00AB1601">
        <w:rPr>
          <w:rStyle w:val="libFootnotenumChar"/>
          <w:rtl/>
        </w:rPr>
        <w:t>(11)</w:t>
      </w:r>
      <w:r>
        <w:rPr>
          <w:rtl/>
          <w:lang w:bidi="fa-IR"/>
        </w:rPr>
        <w:t xml:space="preserve"> ».</w:t>
      </w:r>
    </w:p>
    <w:p w:rsidR="00744A1C" w:rsidRDefault="00744A1C" w:rsidP="00AB1601">
      <w:pPr>
        <w:pStyle w:val="libNormal"/>
        <w:rPr>
          <w:lang w:bidi="fa-IR"/>
        </w:rPr>
      </w:pPr>
      <w:r>
        <w:rPr>
          <w:rtl/>
          <w:lang w:bidi="fa-IR"/>
        </w:rPr>
        <w:t xml:space="preserve">فَقَالُوا لَهُ </w:t>
      </w:r>
      <w:r w:rsidR="00E378DD" w:rsidRPr="00AB1601">
        <w:rPr>
          <w:rStyle w:val="libFootnotenumChar"/>
          <w:rtl/>
        </w:rPr>
        <w:t>(12)</w:t>
      </w:r>
      <w:r>
        <w:rPr>
          <w:rtl/>
          <w:lang w:bidi="fa-IR"/>
        </w:rPr>
        <w:t xml:space="preserve"> : إِنَّ حُجَجَنَا </w:t>
      </w:r>
      <w:r w:rsidR="00E378DD" w:rsidRPr="00AB1601">
        <w:rPr>
          <w:rStyle w:val="libFootnotenumChar"/>
          <w:rtl/>
        </w:rPr>
        <w:t>(13)</w:t>
      </w:r>
      <w:r>
        <w:rPr>
          <w:rtl/>
          <w:lang w:bidi="fa-IR"/>
        </w:rPr>
        <w:t xml:space="preserve"> مِنْ </w:t>
      </w:r>
      <w:r w:rsidR="00E378DD" w:rsidRPr="00AB1601">
        <w:rPr>
          <w:rStyle w:val="libFootnotenumChar"/>
          <w:rtl/>
        </w:rPr>
        <w:t>(14)</w:t>
      </w:r>
      <w:r w:rsidR="00176E5E" w:rsidRPr="00176E5E">
        <w:rPr>
          <w:rFonts w:hint="cs"/>
          <w:rtl/>
        </w:rPr>
        <w:t xml:space="preserve"> </w:t>
      </w:r>
      <w:r>
        <w:rPr>
          <w:rtl/>
          <w:lang w:bidi="fa-IR"/>
        </w:rPr>
        <w:t>كِتَابِ اللهِ.</w:t>
      </w:r>
    </w:p>
    <w:p w:rsidR="00744A1C" w:rsidRDefault="00744A1C" w:rsidP="00AB1601">
      <w:pPr>
        <w:pStyle w:val="libNormal"/>
        <w:rPr>
          <w:lang w:bidi="fa-IR"/>
        </w:rPr>
      </w:pPr>
      <w:r>
        <w:rPr>
          <w:rtl/>
          <w:lang w:bidi="fa-IR"/>
        </w:rPr>
        <w:t xml:space="preserve">فَقَالَ لَهُمْ : « فَأَدْلُوا بِهَا </w:t>
      </w:r>
      <w:r w:rsidR="00E378DD" w:rsidRPr="00AB1601">
        <w:rPr>
          <w:rStyle w:val="libFootnotenumChar"/>
          <w:rtl/>
        </w:rPr>
        <w:t>(15)</w:t>
      </w:r>
      <w:r>
        <w:rPr>
          <w:rtl/>
          <w:lang w:bidi="fa-IR"/>
        </w:rPr>
        <w:t xml:space="preserve"> ؛ فَإِنَّهَا أَحَقُّ مَا اتُّبِعَ وَعُمِلَ بِهِ ».</w:t>
      </w:r>
    </w:p>
    <w:p w:rsidR="00144FA6" w:rsidRDefault="00744A1C" w:rsidP="00AB1601">
      <w:pPr>
        <w:pStyle w:val="libNormal"/>
        <w:rPr>
          <w:rtl/>
          <w:lang w:bidi="fa-IR"/>
        </w:rPr>
      </w:pPr>
      <w:r>
        <w:rPr>
          <w:rtl/>
          <w:lang w:bidi="fa-IR"/>
        </w:rPr>
        <w:t xml:space="preserve">فَقَالُوا : يَقُولُ اللهُ - تَبَارَكَ وَتَعَالى </w:t>
      </w:r>
      <w:r w:rsidRPr="00AB1601">
        <w:rPr>
          <w:rStyle w:val="libFootnotenumChar"/>
          <w:rtl/>
        </w:rPr>
        <w:t>(16)</w:t>
      </w:r>
      <w:r>
        <w:rPr>
          <w:rtl/>
          <w:lang w:bidi="fa-IR"/>
        </w:rPr>
        <w:t xml:space="preserve"> - مُخْبِراً عَنْ قَوْمٍ مِنْ أَصْحَابِ النَّبِيِّ </w:t>
      </w:r>
      <w:r w:rsidR="004D054E" w:rsidRPr="00AB1601">
        <w:rPr>
          <w:rStyle w:val="libAlaemChar"/>
          <w:rtl/>
        </w:rPr>
        <w:t>صلى‌الله‌عليه‌وآله</w:t>
      </w:r>
      <w:r w:rsidR="00D10E3C">
        <w:rPr>
          <w:rtl/>
          <w:lang w:bidi="fa-IR"/>
        </w:rPr>
        <w:t xml:space="preserve"> </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منذ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w:t>
      </w:r>
      <w:r w:rsidR="00744A1C" w:rsidRPr="00176E5E">
        <w:rPr>
          <w:rtl/>
        </w:rPr>
        <w:t>والوافي والبحار</w:t>
      </w:r>
      <w:r w:rsidR="00744A1C">
        <w:rPr>
          <w:rtl/>
          <w:lang w:bidi="fa-IR"/>
        </w:rPr>
        <w:t>. وفي المطبوع : « فأتاه ».</w:t>
      </w:r>
    </w:p>
    <w:p w:rsidR="00744A1C" w:rsidRDefault="00E378DD" w:rsidP="00E378DD">
      <w:pPr>
        <w:pStyle w:val="libFootnote0"/>
        <w:rPr>
          <w:lang w:bidi="fa-IR"/>
        </w:rPr>
      </w:pPr>
      <w:r>
        <w:rPr>
          <w:rtl/>
          <w:lang w:bidi="fa-IR"/>
        </w:rPr>
        <w:t>(3).</w:t>
      </w:r>
      <w:r w:rsidR="00744A1C">
        <w:rPr>
          <w:rtl/>
          <w:lang w:bidi="fa-IR"/>
        </w:rPr>
        <w:t xml:space="preserve"> في « بف ، جد ، جن » وحاشية « جت » </w:t>
      </w:r>
      <w:r w:rsidR="00744A1C" w:rsidRPr="00176E5E">
        <w:rPr>
          <w:rtl/>
        </w:rPr>
        <w:t>والوافي</w:t>
      </w:r>
      <w:r w:rsidR="00744A1C">
        <w:rPr>
          <w:rtl/>
          <w:lang w:bidi="fa-IR"/>
        </w:rPr>
        <w:t xml:space="preserve"> والتحف : « يظهر ».</w:t>
      </w:r>
    </w:p>
    <w:p w:rsidR="00744A1C" w:rsidRDefault="00E378DD" w:rsidP="00E378DD">
      <w:pPr>
        <w:pStyle w:val="libFootnote0"/>
        <w:rPr>
          <w:lang w:bidi="fa-IR"/>
        </w:rPr>
      </w:pPr>
      <w:r>
        <w:rPr>
          <w:rtl/>
          <w:lang w:bidi="fa-IR"/>
        </w:rPr>
        <w:t>(4).</w:t>
      </w:r>
      <w:r w:rsidR="00744A1C">
        <w:rPr>
          <w:rtl/>
          <w:lang w:bidi="fa-IR"/>
        </w:rPr>
        <w:t xml:space="preserve"> في « بف » وحاشية « جت » </w:t>
      </w:r>
      <w:r w:rsidR="00744A1C" w:rsidRPr="00176E5E">
        <w:rPr>
          <w:rtl/>
        </w:rPr>
        <w:t>والوافي والبحار</w:t>
      </w:r>
      <w:r w:rsidR="00744A1C">
        <w:rPr>
          <w:rtl/>
          <w:lang w:bidi="fa-IR"/>
        </w:rPr>
        <w:t xml:space="preserve"> والتحف : « التزهّد ».</w:t>
      </w:r>
    </w:p>
    <w:p w:rsidR="00744A1C" w:rsidRDefault="00E378DD" w:rsidP="00E378DD">
      <w:pPr>
        <w:pStyle w:val="libFootnote0"/>
        <w:rPr>
          <w:lang w:bidi="fa-IR"/>
        </w:rPr>
      </w:pPr>
      <w:r>
        <w:rPr>
          <w:rtl/>
          <w:lang w:bidi="fa-IR"/>
        </w:rPr>
        <w:t>(5).</w:t>
      </w:r>
      <w:r w:rsidR="00744A1C">
        <w:rPr>
          <w:rtl/>
          <w:lang w:bidi="fa-IR"/>
        </w:rPr>
        <w:t xml:space="preserve"> في « بف ، جن » وحاشية « جت » </w:t>
      </w:r>
      <w:r w:rsidR="00744A1C" w:rsidRPr="00176E5E">
        <w:rPr>
          <w:rtl/>
        </w:rPr>
        <w:t>والوافي</w:t>
      </w:r>
      <w:r w:rsidR="00744A1C">
        <w:rPr>
          <w:rtl/>
          <w:lang w:bidi="fa-IR"/>
        </w:rPr>
        <w:t xml:space="preserve"> : « ويدعو ».</w:t>
      </w:r>
    </w:p>
    <w:p w:rsidR="00744A1C" w:rsidRDefault="00E378DD" w:rsidP="00E378DD">
      <w:pPr>
        <w:pStyle w:val="libFootnote0"/>
        <w:rPr>
          <w:lang w:bidi="fa-IR"/>
        </w:rPr>
      </w:pPr>
      <w:r>
        <w:rPr>
          <w:rtl/>
          <w:lang w:bidi="fa-IR"/>
        </w:rPr>
        <w:t>(6).</w:t>
      </w:r>
      <w:r w:rsidR="00744A1C">
        <w:rPr>
          <w:rtl/>
          <w:lang w:bidi="fa-IR"/>
        </w:rPr>
        <w:t xml:space="preserve"> في « بف » وحاشية « جت » : « التعسّف ». والقَشَف : يبس العيش ، أو رثاثة الهيئة وسوء الحال وضيق العيش. ورجل متقشّف : تارك للنظافة والترفة ، أو الذي يتبلّغ بالقوت وبالمرقَّع. راجع : </w:t>
      </w:r>
      <w:r w:rsidR="00744A1C" w:rsidRPr="00877682">
        <w:rPr>
          <w:rStyle w:val="libFootnoteBoldChar"/>
          <w:rtl/>
        </w:rPr>
        <w:t>لسان العرب</w:t>
      </w:r>
      <w:r w:rsidR="00744A1C">
        <w:rPr>
          <w:rtl/>
          <w:lang w:bidi="fa-IR"/>
        </w:rPr>
        <w:t xml:space="preserve"> ، ج 8 ، ص 448 ( قشف ).</w:t>
      </w:r>
    </w:p>
    <w:p w:rsidR="00744A1C" w:rsidRDefault="00E378DD" w:rsidP="00E378DD">
      <w:pPr>
        <w:pStyle w:val="libFootnote0"/>
        <w:rPr>
          <w:lang w:bidi="fa-IR"/>
        </w:rPr>
      </w:pPr>
      <w:r>
        <w:rPr>
          <w:rtl/>
          <w:lang w:bidi="fa-IR"/>
        </w:rPr>
        <w:t>(7).</w:t>
      </w:r>
      <w:r w:rsidR="00744A1C">
        <w:rPr>
          <w:rtl/>
          <w:lang w:bidi="fa-IR"/>
        </w:rPr>
        <w:t xml:space="preserve"> « حصر » أي عيّ وعجز ؛ من الحَصَر ، وهو العِيّ في المنطق ، وأن يمتنع - أي يعجز - عن القراءة فلا يقدر عليه. راجع : </w:t>
      </w:r>
      <w:r w:rsidR="00744A1C" w:rsidRPr="008A57EB">
        <w:rPr>
          <w:rStyle w:val="libFootnoteBoldChar"/>
          <w:rtl/>
        </w:rPr>
        <w:t>القاموس المحيط</w:t>
      </w:r>
      <w:r w:rsidR="00744A1C">
        <w:rPr>
          <w:rtl/>
          <w:lang w:bidi="fa-IR"/>
        </w:rPr>
        <w:t xml:space="preserve"> ، ج 1 ، ص 533 ( حصر ).</w:t>
      </w:r>
    </w:p>
    <w:p w:rsidR="00744A1C" w:rsidRDefault="00E378DD" w:rsidP="00E378DD">
      <w:pPr>
        <w:pStyle w:val="libFootnote0"/>
        <w:rPr>
          <w:lang w:bidi="fa-IR"/>
        </w:rPr>
      </w:pPr>
      <w:r>
        <w:rPr>
          <w:rtl/>
          <w:lang w:bidi="fa-IR"/>
        </w:rPr>
        <w:t>(8).</w:t>
      </w:r>
      <w:r w:rsidR="00744A1C">
        <w:rPr>
          <w:rtl/>
          <w:lang w:bidi="fa-IR"/>
        </w:rPr>
        <w:t xml:space="preserve"> في </w:t>
      </w:r>
      <w:r w:rsidR="00744A1C" w:rsidRPr="00176E5E">
        <w:rPr>
          <w:rtl/>
        </w:rPr>
        <w:t>البحار</w:t>
      </w:r>
      <w:r w:rsidR="00744A1C">
        <w:rPr>
          <w:rtl/>
          <w:lang w:bidi="fa-IR"/>
        </w:rPr>
        <w:t xml:space="preserve"> : « ولم يحضره ».</w:t>
      </w:r>
    </w:p>
    <w:p w:rsidR="00744A1C" w:rsidRDefault="00E378DD" w:rsidP="00E378DD">
      <w:pPr>
        <w:pStyle w:val="libFootnote0"/>
        <w:rPr>
          <w:lang w:bidi="fa-IR"/>
        </w:rPr>
      </w:pPr>
      <w:r>
        <w:rPr>
          <w:rtl/>
          <w:lang w:bidi="fa-IR"/>
        </w:rPr>
        <w:t>(9).</w:t>
      </w:r>
      <w:r w:rsidR="00744A1C">
        <w:rPr>
          <w:rtl/>
          <w:lang w:bidi="fa-IR"/>
        </w:rPr>
        <w:t xml:space="preserve"> في حاشية « جت » والتحف : « حجّة ».</w:t>
      </w:r>
    </w:p>
    <w:tbl>
      <w:tblPr>
        <w:tblStyle w:val="TableGrid"/>
        <w:bidiVisual/>
        <w:tblW w:w="0" w:type="auto"/>
        <w:tblLook w:val="04A0" w:firstRow="1" w:lastRow="0" w:firstColumn="1" w:lastColumn="0" w:noHBand="0" w:noVBand="1"/>
      </w:tblPr>
      <w:tblGrid>
        <w:gridCol w:w="4006"/>
        <w:gridCol w:w="4006"/>
      </w:tblGrid>
      <w:tr w:rsidR="00176E5E" w:rsidTr="00176E5E">
        <w:tc>
          <w:tcPr>
            <w:tcW w:w="4006" w:type="dxa"/>
          </w:tcPr>
          <w:p w:rsidR="00176E5E" w:rsidRDefault="00176E5E" w:rsidP="00E378DD">
            <w:pPr>
              <w:pStyle w:val="libFootnote0"/>
              <w:rPr>
                <w:rtl/>
                <w:lang w:bidi="fa-IR"/>
              </w:rPr>
            </w:pPr>
            <w:r>
              <w:rPr>
                <w:rtl/>
                <w:lang w:bidi="fa-IR"/>
              </w:rPr>
              <w:t>(10). في « ى » والتحف : « هاتوا ».</w:t>
            </w:r>
          </w:p>
        </w:tc>
        <w:tc>
          <w:tcPr>
            <w:tcW w:w="4006" w:type="dxa"/>
          </w:tcPr>
          <w:p w:rsidR="00176E5E" w:rsidRDefault="00176E5E" w:rsidP="00E378DD">
            <w:pPr>
              <w:pStyle w:val="libFootnote0"/>
              <w:rPr>
                <w:rtl/>
                <w:lang w:bidi="fa-IR"/>
              </w:rPr>
            </w:pPr>
            <w:r>
              <w:rPr>
                <w:rtl/>
                <w:lang w:bidi="fa-IR"/>
              </w:rPr>
              <w:t>(11). في « ط » : « حجّتكم ».</w:t>
            </w:r>
          </w:p>
        </w:tc>
      </w:tr>
      <w:tr w:rsidR="00176E5E" w:rsidTr="00176E5E">
        <w:tc>
          <w:tcPr>
            <w:tcW w:w="4006" w:type="dxa"/>
          </w:tcPr>
          <w:p w:rsidR="00176E5E" w:rsidRDefault="00176E5E" w:rsidP="00E378DD">
            <w:pPr>
              <w:pStyle w:val="libFootnote0"/>
              <w:rPr>
                <w:rtl/>
                <w:lang w:bidi="fa-IR"/>
              </w:rPr>
            </w:pPr>
            <w:r>
              <w:rPr>
                <w:rtl/>
                <w:lang w:bidi="fa-IR"/>
              </w:rPr>
              <w:t>(12). في « ط ، بف » والتحف : - « له ».</w:t>
            </w:r>
          </w:p>
        </w:tc>
        <w:tc>
          <w:tcPr>
            <w:tcW w:w="4006" w:type="dxa"/>
          </w:tcPr>
          <w:p w:rsidR="00176E5E" w:rsidRDefault="00176E5E" w:rsidP="00E378DD">
            <w:pPr>
              <w:pStyle w:val="libFootnote0"/>
              <w:rPr>
                <w:rtl/>
                <w:lang w:bidi="fa-IR"/>
              </w:rPr>
            </w:pPr>
            <w:r>
              <w:rPr>
                <w:rtl/>
                <w:lang w:bidi="fa-IR"/>
              </w:rPr>
              <w:t>(13). في « ط » : « حجّتنا ».</w:t>
            </w:r>
          </w:p>
        </w:tc>
      </w:tr>
    </w:tbl>
    <w:p w:rsidR="00744A1C" w:rsidRDefault="00E378DD" w:rsidP="00E378DD">
      <w:pPr>
        <w:pStyle w:val="libFootnote0"/>
        <w:rPr>
          <w:lang w:bidi="fa-IR"/>
        </w:rPr>
      </w:pPr>
      <w:r>
        <w:rPr>
          <w:rtl/>
          <w:lang w:bidi="fa-IR"/>
        </w:rPr>
        <w:t>(14).</w:t>
      </w:r>
      <w:r w:rsidR="00744A1C">
        <w:rPr>
          <w:rtl/>
          <w:lang w:bidi="fa-IR"/>
        </w:rPr>
        <w:t xml:space="preserve"> في « بف » : « في ».</w:t>
      </w:r>
    </w:p>
    <w:p w:rsidR="00744A1C" w:rsidRDefault="00E378DD" w:rsidP="00E378DD">
      <w:pPr>
        <w:pStyle w:val="libFootnote0"/>
        <w:rPr>
          <w:lang w:bidi="fa-IR"/>
        </w:rPr>
      </w:pPr>
      <w:r>
        <w:rPr>
          <w:rtl/>
          <w:lang w:bidi="fa-IR"/>
        </w:rPr>
        <w:t>(15).</w:t>
      </w:r>
      <w:r w:rsidR="00744A1C">
        <w:rPr>
          <w:rtl/>
          <w:lang w:bidi="fa-IR"/>
        </w:rPr>
        <w:t xml:space="preserve"> يقال : أدلى بحجّته : أحضرها واحتجّ بها. </w:t>
      </w:r>
      <w:r w:rsidR="00744A1C" w:rsidRPr="00877682">
        <w:rPr>
          <w:rStyle w:val="libFootnoteBoldChar"/>
          <w:rtl/>
        </w:rPr>
        <w:t>لسان العرب</w:t>
      </w:r>
      <w:r w:rsidR="00744A1C">
        <w:rPr>
          <w:rtl/>
          <w:lang w:bidi="fa-IR"/>
        </w:rPr>
        <w:t xml:space="preserve"> ، ج 14 ، ص 267 ( دلو ).</w:t>
      </w:r>
    </w:p>
    <w:p w:rsidR="00744A1C" w:rsidRDefault="00744A1C" w:rsidP="00D10E3C">
      <w:pPr>
        <w:pStyle w:val="libFootnote0"/>
        <w:rPr>
          <w:lang w:bidi="fa-IR"/>
        </w:rPr>
      </w:pPr>
      <w:r>
        <w:rPr>
          <w:rtl/>
          <w:lang w:bidi="fa-IR"/>
        </w:rPr>
        <w:t>(16) في « ط » : + « حيث يقول ».</w:t>
      </w:r>
    </w:p>
    <w:p w:rsidR="006A5060" w:rsidRDefault="006A5060" w:rsidP="00D10E3C">
      <w:pPr>
        <w:pStyle w:val="libNormal"/>
        <w:rPr>
          <w:rtl/>
          <w:lang w:bidi="fa-IR"/>
        </w:rPr>
      </w:pPr>
      <w:r>
        <w:rPr>
          <w:rtl/>
          <w:lang w:bidi="fa-IR"/>
        </w:rPr>
        <w:br w:type="page"/>
      </w:r>
    </w:p>
    <w:p w:rsidR="00744A1C" w:rsidRDefault="00744A1C" w:rsidP="006A5060">
      <w:pPr>
        <w:pStyle w:val="libNormal"/>
        <w:rPr>
          <w:lang w:bidi="fa-IR"/>
        </w:rPr>
      </w:pPr>
      <w:r w:rsidRPr="00176E5E">
        <w:rPr>
          <w:rStyle w:val="libAlaemChar"/>
          <w:rtl/>
        </w:rPr>
        <w:t>(</w:t>
      </w:r>
      <w:r w:rsidRPr="00176E5E">
        <w:rPr>
          <w:rStyle w:val="libAieChar"/>
          <w:rtl/>
        </w:rPr>
        <w:t xml:space="preserve"> وَيُؤْثِرُونَ عَلى أَنْفُسِهِمْ وَلَوْ كانَ بِهِمْ خَصاصَةٌ </w:t>
      </w:r>
      <w:r w:rsidRPr="00176E5E">
        <w:rPr>
          <w:rStyle w:val="libFootnotenumChar"/>
          <w:rtl/>
        </w:rPr>
        <w:t>(1)</w:t>
      </w:r>
      <w:r w:rsidRPr="00176E5E">
        <w:rPr>
          <w:rStyle w:val="libAieChar"/>
          <w:rtl/>
        </w:rPr>
        <w:t xml:space="preserve"> وَمَنْ يُوقَ شُحَّ </w:t>
      </w:r>
      <w:r w:rsidRPr="00176E5E">
        <w:rPr>
          <w:rStyle w:val="libFootnotenumChar"/>
          <w:rtl/>
        </w:rPr>
        <w:t>(2)</w:t>
      </w:r>
      <w:r w:rsidRPr="00176E5E">
        <w:rPr>
          <w:rStyle w:val="libAieChar"/>
          <w:rtl/>
        </w:rPr>
        <w:t xml:space="preserve"> نَفْسِهِ فَأُولئِكَ هُمُ الْمُفْلِحُونَ </w:t>
      </w:r>
      <w:r w:rsidRPr="00176E5E">
        <w:rPr>
          <w:rStyle w:val="libAlaemChar"/>
          <w:rtl/>
        </w:rPr>
        <w:t>)</w:t>
      </w:r>
      <w:r>
        <w:rPr>
          <w:rtl/>
          <w:lang w:bidi="fa-IR"/>
        </w:rPr>
        <w:t xml:space="preserve"> </w:t>
      </w:r>
      <w:r w:rsidRPr="00D10E3C">
        <w:rPr>
          <w:rStyle w:val="libFootnotenumChar"/>
          <w:rtl/>
        </w:rPr>
        <w:t>(3)</w:t>
      </w:r>
      <w:r>
        <w:rPr>
          <w:rtl/>
          <w:lang w:bidi="fa-IR"/>
        </w:rPr>
        <w:t xml:space="preserve"> فَمَدَحَ فِعْلَهُمْ ، وَقَالَ فِي مَوْضِعٍ آخَرَ : </w:t>
      </w:r>
      <w:r w:rsidRPr="00471085">
        <w:rPr>
          <w:rStyle w:val="libAlaemChar"/>
          <w:rtl/>
        </w:rPr>
        <w:t>(</w:t>
      </w:r>
      <w:r w:rsidRPr="00471085">
        <w:rPr>
          <w:rStyle w:val="libAieChar"/>
          <w:rtl/>
        </w:rPr>
        <w:t xml:space="preserve"> وَيُطْعِمُونَ الطَّعامَ عَلى حُبِّهِ مِسْكِيناً وَيَتِيماً وَأَسِيراً </w:t>
      </w:r>
      <w:r w:rsidRPr="00471085">
        <w:rPr>
          <w:rStyle w:val="libAlaemChar"/>
          <w:rtl/>
        </w:rPr>
        <w:t>)</w:t>
      </w:r>
      <w:r>
        <w:rPr>
          <w:rtl/>
          <w:lang w:bidi="fa-IR"/>
        </w:rPr>
        <w:t xml:space="preserve"> </w:t>
      </w:r>
      <w:r w:rsidRPr="00D10E3C">
        <w:rPr>
          <w:rStyle w:val="libFootnotenumChar"/>
          <w:rtl/>
        </w:rPr>
        <w:t>(4)</w:t>
      </w:r>
      <w:r>
        <w:rPr>
          <w:rtl/>
          <w:lang w:bidi="fa-IR"/>
        </w:rPr>
        <w:t xml:space="preserve"> فَنَحْنُ نَكْتَفِي بِهذَا.</w:t>
      </w:r>
    </w:p>
    <w:p w:rsidR="00744A1C" w:rsidRDefault="00744A1C" w:rsidP="00744A1C">
      <w:pPr>
        <w:pStyle w:val="libNormal"/>
        <w:rPr>
          <w:lang w:bidi="fa-IR"/>
        </w:rPr>
      </w:pPr>
      <w:r>
        <w:rPr>
          <w:rtl/>
          <w:lang w:bidi="fa-IR"/>
        </w:rPr>
        <w:t xml:space="preserve">فَقَالَ رَجُلٌ مِنَ الْجُلَسَاءِ : إِنَّا رَأَيْنَاكُمْ </w:t>
      </w:r>
      <w:r w:rsidRPr="00D10E3C">
        <w:rPr>
          <w:rStyle w:val="libFootnotenumChar"/>
          <w:rtl/>
        </w:rPr>
        <w:t>(5)</w:t>
      </w:r>
      <w:r>
        <w:rPr>
          <w:rtl/>
          <w:lang w:bidi="fa-IR"/>
        </w:rPr>
        <w:t xml:space="preserve"> تَزْهَدُونَ فِي </w:t>
      </w:r>
      <w:r w:rsidRPr="00D10E3C">
        <w:rPr>
          <w:rStyle w:val="libFootnotenumChar"/>
          <w:rtl/>
        </w:rPr>
        <w:t>(6)</w:t>
      </w:r>
      <w:r>
        <w:rPr>
          <w:rtl/>
          <w:lang w:bidi="fa-IR"/>
        </w:rPr>
        <w:t xml:space="preserve"> الْأَطْعِمَةِ الطَّيِّبَةِ ، وَمَعَ ذلِكَ تَأْمُرُونَ النَّاسَ بِالْخُرُوجِ مِنْ أَمْوَالِهِمْ حَتّى تَمَتَّعُوا أَنْتُمْ مِنْهَا </w:t>
      </w:r>
      <w:r w:rsidRPr="00D10E3C">
        <w:rPr>
          <w:rStyle w:val="libFootnotenumChar"/>
          <w:rtl/>
        </w:rPr>
        <w:t>(7)</w:t>
      </w:r>
      <w:r w:rsidR="00471085" w:rsidRPr="00471085">
        <w:rPr>
          <w:rFonts w:hint="cs"/>
          <w:rtl/>
        </w:rPr>
        <w:t>.</w:t>
      </w:r>
    </w:p>
    <w:p w:rsidR="00744A1C" w:rsidRDefault="00744A1C" w:rsidP="00744A1C">
      <w:pPr>
        <w:pStyle w:val="libNormal"/>
        <w:rPr>
          <w:lang w:bidi="fa-IR"/>
        </w:rPr>
      </w:pPr>
      <w:r>
        <w:rPr>
          <w:rtl/>
          <w:lang w:bidi="fa-IR"/>
        </w:rPr>
        <w:t xml:space="preserve">فَقَالَ لَهُ </w:t>
      </w:r>
      <w:r w:rsidRPr="00D10E3C">
        <w:rPr>
          <w:rStyle w:val="libFootnotenumChar"/>
          <w:rtl/>
        </w:rPr>
        <w:t>(8)</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دَعُوا عَنْكُمْ مَا لَاتَنْتَفِعُونَ </w:t>
      </w:r>
      <w:r w:rsidRPr="00D10E3C">
        <w:rPr>
          <w:rStyle w:val="libFootnotenumChar"/>
          <w:rtl/>
        </w:rPr>
        <w:t>(9)</w:t>
      </w:r>
      <w:r>
        <w:rPr>
          <w:rtl/>
          <w:lang w:bidi="fa-IR"/>
        </w:rPr>
        <w:t xml:space="preserve"> بِهِ ، أَخْبِرُونِي </w:t>
      </w:r>
      <w:r w:rsidRPr="00D10E3C">
        <w:rPr>
          <w:rStyle w:val="libFootnotenumChar"/>
          <w:rtl/>
        </w:rPr>
        <w:t>(10)</w:t>
      </w:r>
      <w:r>
        <w:rPr>
          <w:rtl/>
          <w:lang w:bidi="fa-IR"/>
        </w:rPr>
        <w:t xml:space="preserve"> أَيُّهَا النَّفَرُ ، أَلَكُمْ عِلْمٌ بِنَاسِخِ الْقُرْآنِ مِنْ مَنْسُوخِهِ ، وَمُحْكَمِهِ مِنْ مُتَشَابِهِهِ ، الَّذِي فِي مِثْلِهِ ضَلَّ مَنْ ضَلَّ ، وَهَلَكَ مَنْ هَلَكَ مِنْ هذِهِ الْأُمَّةِ؟ ».</w:t>
      </w:r>
    </w:p>
    <w:p w:rsidR="00744A1C" w:rsidRDefault="00744A1C" w:rsidP="00744A1C">
      <w:pPr>
        <w:pStyle w:val="libNormal"/>
        <w:rPr>
          <w:lang w:bidi="fa-IR"/>
        </w:rPr>
      </w:pPr>
      <w:r>
        <w:rPr>
          <w:rtl/>
          <w:lang w:bidi="fa-IR"/>
        </w:rPr>
        <w:t xml:space="preserve">فَقَالُوا </w:t>
      </w:r>
      <w:r w:rsidRPr="00D10E3C">
        <w:rPr>
          <w:rStyle w:val="libFootnotenumChar"/>
          <w:rtl/>
        </w:rPr>
        <w:t>(11)</w:t>
      </w:r>
      <w:r>
        <w:rPr>
          <w:rtl/>
          <w:lang w:bidi="fa-IR"/>
        </w:rPr>
        <w:t xml:space="preserve"> لَهُ : أَوْ </w:t>
      </w:r>
      <w:r w:rsidRPr="00D10E3C">
        <w:rPr>
          <w:rStyle w:val="libFootnotenumChar"/>
          <w:rtl/>
        </w:rPr>
        <w:t>(12)</w:t>
      </w:r>
      <w:r>
        <w:rPr>
          <w:rtl/>
          <w:lang w:bidi="fa-IR"/>
        </w:rPr>
        <w:t xml:space="preserve"> بَعْضِهِ ، فَأَمَّا </w:t>
      </w:r>
      <w:r w:rsidRPr="00D10E3C">
        <w:rPr>
          <w:rStyle w:val="libFootnotenumChar"/>
          <w:rtl/>
        </w:rPr>
        <w:t>(13)</w:t>
      </w:r>
      <w:r>
        <w:rPr>
          <w:rtl/>
          <w:lang w:bidi="fa-IR"/>
        </w:rPr>
        <w:t xml:space="preserve"> كُلُّهُ فَلَا.</w:t>
      </w:r>
    </w:p>
    <w:p w:rsidR="00144FA6" w:rsidRDefault="00744A1C" w:rsidP="00744A1C">
      <w:pPr>
        <w:pStyle w:val="libNormal"/>
        <w:rPr>
          <w:rtl/>
          <w:lang w:bidi="fa-IR"/>
        </w:rPr>
      </w:pPr>
      <w:r>
        <w:rPr>
          <w:rtl/>
          <w:lang w:bidi="fa-IR"/>
        </w:rPr>
        <w:t xml:space="preserve">فَقَالَ لَهُمْ : « فَمِنْ </w:t>
      </w:r>
      <w:r w:rsidRPr="00D10E3C">
        <w:rPr>
          <w:rStyle w:val="libFootnotenumChar"/>
          <w:rtl/>
        </w:rPr>
        <w:t>(14)</w:t>
      </w:r>
      <w:r>
        <w:rPr>
          <w:rtl/>
          <w:lang w:bidi="fa-IR"/>
        </w:rPr>
        <w:t xml:space="preserve"> هُنَا </w:t>
      </w:r>
      <w:r w:rsidRPr="00D10E3C">
        <w:rPr>
          <w:rStyle w:val="libFootnotenumChar"/>
          <w:rtl/>
        </w:rPr>
        <w:t>(15)</w:t>
      </w:r>
      <w:r>
        <w:rPr>
          <w:rtl/>
          <w:lang w:bidi="fa-IR"/>
        </w:rPr>
        <w:t xml:space="preserve"> أُتِيتُمْ </w:t>
      </w:r>
      <w:r w:rsidRPr="00D10E3C">
        <w:rPr>
          <w:rStyle w:val="libFootnotenumChar"/>
          <w:rtl/>
        </w:rPr>
        <w:t>(16)</w:t>
      </w:r>
      <w:r>
        <w:rPr>
          <w:rtl/>
          <w:lang w:bidi="fa-IR"/>
        </w:rPr>
        <w:t xml:space="preserve"> ، وَكَذلِكَ أَحَادِيثُ رَسُولِ اللهِ </w:t>
      </w:r>
      <w:r w:rsidR="002F3FF5" w:rsidRPr="002F3FF5">
        <w:rPr>
          <w:rStyle w:val="libAlaemChar"/>
          <w:rtl/>
        </w:rPr>
        <w:t>صلى‌الله‌عليه‌وآله</w:t>
      </w:r>
      <w:r w:rsidR="00D10E3C">
        <w:rPr>
          <w:rtl/>
          <w:lang w:bidi="fa-IR"/>
        </w:rPr>
        <w:t xml:space="preserve"> </w:t>
      </w:r>
      <w:r w:rsidRPr="00D10E3C">
        <w:rPr>
          <w:rStyle w:val="libFootnotenumChar"/>
          <w:rtl/>
        </w:rPr>
        <w:t>(17)</w:t>
      </w:r>
      <w:r>
        <w:rPr>
          <w:rtl/>
          <w:lang w:bidi="fa-IR"/>
        </w:rPr>
        <w:t xml:space="preserve"> ، فَأَمَّا </w:t>
      </w:r>
      <w:r w:rsidRPr="00D10E3C">
        <w:rPr>
          <w:rStyle w:val="libFootnotenumChar"/>
          <w:rtl/>
        </w:rPr>
        <w:t>(18)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خُصاصُ البيت : فُرْجَةٌ. وعُبِّرَ عن الفقر الذي لم يُسَدَّ بالخَصاصَة. </w:t>
      </w:r>
      <w:r w:rsidR="00744A1C" w:rsidRPr="002D57AD">
        <w:rPr>
          <w:rStyle w:val="libFootnoteBoldChar"/>
          <w:rtl/>
        </w:rPr>
        <w:t>المفردات للراغب</w:t>
      </w:r>
      <w:r w:rsidR="00744A1C">
        <w:rPr>
          <w:rtl/>
          <w:lang w:bidi="fa-IR"/>
        </w:rPr>
        <w:t xml:space="preserve"> ، ص 284 ( خصص ).</w:t>
      </w:r>
    </w:p>
    <w:p w:rsidR="00744A1C" w:rsidRDefault="00E378DD" w:rsidP="00E378DD">
      <w:pPr>
        <w:pStyle w:val="libFootnote0"/>
        <w:rPr>
          <w:lang w:bidi="fa-IR"/>
        </w:rPr>
      </w:pPr>
      <w:r>
        <w:rPr>
          <w:rtl/>
          <w:lang w:bidi="fa-IR"/>
        </w:rPr>
        <w:t>(2).</w:t>
      </w:r>
      <w:r w:rsidR="00744A1C">
        <w:rPr>
          <w:rtl/>
          <w:lang w:bidi="fa-IR"/>
        </w:rPr>
        <w:t xml:space="preserve"> الشُحُّ : بُخْلٌ مع حِرصٍ ، وذلك فيما كان عادةً. </w:t>
      </w:r>
      <w:r w:rsidR="00744A1C" w:rsidRPr="00471085">
        <w:rPr>
          <w:rStyle w:val="libFootnoteBoldChar"/>
          <w:rtl/>
        </w:rPr>
        <w:t>المفردات للرغب</w:t>
      </w:r>
      <w:r w:rsidR="00744A1C">
        <w:rPr>
          <w:rtl/>
          <w:lang w:bidi="fa-IR"/>
        </w:rPr>
        <w:t xml:space="preserve"> ، ص 446 ( شحح ).</w:t>
      </w:r>
    </w:p>
    <w:tbl>
      <w:tblPr>
        <w:tblStyle w:val="TableGrid"/>
        <w:bidiVisual/>
        <w:tblW w:w="0" w:type="auto"/>
        <w:tblLook w:val="04A0" w:firstRow="1" w:lastRow="0" w:firstColumn="1" w:lastColumn="0" w:noHBand="0" w:noVBand="1"/>
      </w:tblPr>
      <w:tblGrid>
        <w:gridCol w:w="4006"/>
        <w:gridCol w:w="4006"/>
      </w:tblGrid>
      <w:tr w:rsidR="00471085" w:rsidTr="00471085">
        <w:tc>
          <w:tcPr>
            <w:tcW w:w="4006" w:type="dxa"/>
          </w:tcPr>
          <w:p w:rsidR="00471085" w:rsidRDefault="00471085" w:rsidP="00E378DD">
            <w:pPr>
              <w:pStyle w:val="libFootnote0"/>
              <w:rPr>
                <w:rtl/>
                <w:lang w:bidi="fa-IR"/>
              </w:rPr>
            </w:pPr>
            <w:r>
              <w:rPr>
                <w:rtl/>
                <w:lang w:bidi="fa-IR"/>
              </w:rPr>
              <w:t>(3). الحشر (59) : 9.</w:t>
            </w:r>
          </w:p>
        </w:tc>
        <w:tc>
          <w:tcPr>
            <w:tcW w:w="4006" w:type="dxa"/>
          </w:tcPr>
          <w:p w:rsidR="00471085" w:rsidRDefault="00471085" w:rsidP="00E378DD">
            <w:pPr>
              <w:pStyle w:val="libFootnote0"/>
              <w:rPr>
                <w:rtl/>
                <w:lang w:bidi="fa-IR"/>
              </w:rPr>
            </w:pPr>
            <w:r>
              <w:rPr>
                <w:rtl/>
                <w:lang w:bidi="fa-IR"/>
              </w:rPr>
              <w:t>(4). الإنسان (76) : 8.</w:t>
            </w:r>
          </w:p>
        </w:tc>
      </w:tr>
    </w:tbl>
    <w:p w:rsidR="00744A1C" w:rsidRDefault="00E378DD" w:rsidP="00E378DD">
      <w:pPr>
        <w:pStyle w:val="libFootnote0"/>
        <w:rPr>
          <w:lang w:bidi="fa-IR"/>
        </w:rPr>
      </w:pPr>
      <w:r>
        <w:rPr>
          <w:rtl/>
          <w:lang w:bidi="fa-IR"/>
        </w:rPr>
        <w:t>(5).</w:t>
      </w:r>
      <w:r w:rsidR="00744A1C">
        <w:rPr>
          <w:rtl/>
          <w:lang w:bidi="fa-IR"/>
        </w:rPr>
        <w:t xml:space="preserve"> في « ط » : « لو رأيناكم ». وفي التحف : « ما رأيناكم ».</w:t>
      </w:r>
    </w:p>
    <w:tbl>
      <w:tblPr>
        <w:tblStyle w:val="TableGrid"/>
        <w:bidiVisual/>
        <w:tblW w:w="0" w:type="auto"/>
        <w:tblLook w:val="04A0" w:firstRow="1" w:lastRow="0" w:firstColumn="1" w:lastColumn="0" w:noHBand="0" w:noVBand="1"/>
      </w:tblPr>
      <w:tblGrid>
        <w:gridCol w:w="4006"/>
        <w:gridCol w:w="4006"/>
      </w:tblGrid>
      <w:tr w:rsidR="00471085" w:rsidTr="00471085">
        <w:tc>
          <w:tcPr>
            <w:tcW w:w="4006" w:type="dxa"/>
          </w:tcPr>
          <w:p w:rsidR="00471085" w:rsidRDefault="00471085" w:rsidP="00E378DD">
            <w:pPr>
              <w:pStyle w:val="libFootnote0"/>
              <w:rPr>
                <w:rtl/>
                <w:lang w:bidi="fa-IR"/>
              </w:rPr>
            </w:pPr>
            <w:r>
              <w:rPr>
                <w:rtl/>
                <w:lang w:bidi="fa-IR"/>
              </w:rPr>
              <w:t>(6). في « بف » : - « في ».</w:t>
            </w:r>
          </w:p>
        </w:tc>
        <w:tc>
          <w:tcPr>
            <w:tcW w:w="4006" w:type="dxa"/>
          </w:tcPr>
          <w:p w:rsidR="00471085" w:rsidRDefault="00471085" w:rsidP="00E378DD">
            <w:pPr>
              <w:pStyle w:val="libFootnote0"/>
              <w:rPr>
                <w:rtl/>
                <w:lang w:bidi="fa-IR"/>
              </w:rPr>
            </w:pPr>
            <w:r>
              <w:rPr>
                <w:rtl/>
                <w:lang w:bidi="fa-IR"/>
              </w:rPr>
              <w:t>(7). في « ط » والتحف : « فيها ».</w:t>
            </w:r>
          </w:p>
        </w:tc>
      </w:tr>
    </w:tbl>
    <w:p w:rsidR="00744A1C" w:rsidRDefault="00E378DD" w:rsidP="00E378DD">
      <w:pPr>
        <w:pStyle w:val="libFootnote0"/>
        <w:rPr>
          <w:lang w:bidi="fa-IR"/>
        </w:rPr>
      </w:pPr>
      <w:r>
        <w:rPr>
          <w:rtl/>
          <w:lang w:bidi="fa-IR"/>
        </w:rPr>
        <w:t>(8).</w:t>
      </w:r>
      <w:r w:rsidR="00744A1C">
        <w:rPr>
          <w:rtl/>
          <w:lang w:bidi="fa-IR"/>
        </w:rPr>
        <w:t xml:space="preserve"> هكذا في جميع النسخ التي قوبلت </w:t>
      </w:r>
      <w:r w:rsidR="00744A1C" w:rsidRPr="00471085">
        <w:rPr>
          <w:rtl/>
        </w:rPr>
        <w:t>والبحار</w:t>
      </w:r>
      <w:r w:rsidR="00744A1C">
        <w:rPr>
          <w:rtl/>
          <w:lang w:bidi="fa-IR"/>
        </w:rPr>
        <w:t>. وفي « ى » والمطبوع : - « له ».</w:t>
      </w:r>
    </w:p>
    <w:p w:rsidR="00744A1C" w:rsidRDefault="00E378DD" w:rsidP="00471085">
      <w:pPr>
        <w:pStyle w:val="libFootnote0"/>
        <w:rPr>
          <w:lang w:bidi="fa-IR"/>
        </w:rPr>
      </w:pPr>
      <w:r>
        <w:rPr>
          <w:rtl/>
          <w:lang w:bidi="fa-IR"/>
        </w:rPr>
        <w:t>(9).</w:t>
      </w:r>
      <w:r w:rsidR="00744A1C">
        <w:rPr>
          <w:rtl/>
          <w:lang w:bidi="fa-IR"/>
        </w:rPr>
        <w:t xml:space="preserve"> في « ى ، بح ، بف ، جن » وحاشية « بس ، جت » </w:t>
      </w:r>
      <w:r w:rsidR="00744A1C" w:rsidRPr="00471085">
        <w:rPr>
          <w:rtl/>
        </w:rPr>
        <w:t>والوافي</w:t>
      </w:r>
      <w:r w:rsidR="00744A1C">
        <w:rPr>
          <w:rtl/>
          <w:lang w:bidi="fa-IR"/>
        </w:rPr>
        <w:t xml:space="preserve"> والتحف </w:t>
      </w:r>
      <w:r w:rsidR="00744A1C" w:rsidRPr="00471085">
        <w:rPr>
          <w:rtl/>
        </w:rPr>
        <w:t>والبحار</w:t>
      </w:r>
      <w:r w:rsidR="00744A1C">
        <w:rPr>
          <w:rtl/>
          <w:lang w:bidi="fa-IR"/>
        </w:rPr>
        <w:t xml:space="preserve"> : « لا ينتفع ». وفي حاشية « بح » : « لا ينتفعون ». وفي « جد » بالتاء والياء معاً.</w:t>
      </w:r>
      <w:r w:rsidR="00471085">
        <w:rPr>
          <w:rFonts w:hint="cs"/>
          <w:rtl/>
          <w:lang w:bidi="fa-IR"/>
        </w:rPr>
        <w:t xml:space="preserve">      </w:t>
      </w:r>
      <w:r>
        <w:rPr>
          <w:rtl/>
          <w:lang w:bidi="fa-IR"/>
        </w:rPr>
        <w:t>(10).</w:t>
      </w:r>
      <w:r w:rsidR="00744A1C">
        <w:rPr>
          <w:rtl/>
          <w:lang w:bidi="fa-IR"/>
        </w:rPr>
        <w:t xml:space="preserve"> في حاشية « جن » : « أخبرون ».</w:t>
      </w:r>
    </w:p>
    <w:p w:rsidR="00744A1C" w:rsidRDefault="00E378DD" w:rsidP="00E378DD">
      <w:pPr>
        <w:pStyle w:val="libFootnote0"/>
        <w:rPr>
          <w:lang w:bidi="fa-IR"/>
        </w:rPr>
      </w:pPr>
      <w:r>
        <w:rPr>
          <w:rtl/>
          <w:lang w:bidi="fa-IR"/>
        </w:rPr>
        <w:t>(11).</w:t>
      </w:r>
      <w:r w:rsidR="00744A1C">
        <w:rPr>
          <w:rtl/>
          <w:lang w:bidi="fa-IR"/>
        </w:rPr>
        <w:t xml:space="preserve"> في « بح » : « فقال ».</w:t>
      </w:r>
    </w:p>
    <w:p w:rsidR="00744A1C" w:rsidRDefault="00E378DD" w:rsidP="00E378DD">
      <w:pPr>
        <w:pStyle w:val="libFootnote0"/>
        <w:rPr>
          <w:lang w:bidi="fa-IR"/>
        </w:rPr>
      </w:pPr>
      <w:r>
        <w:rPr>
          <w:rtl/>
          <w:lang w:bidi="fa-IR"/>
        </w:rPr>
        <w:t>(12).</w:t>
      </w:r>
      <w:r w:rsidR="00744A1C">
        <w:rPr>
          <w:rtl/>
          <w:lang w:bidi="fa-IR"/>
        </w:rPr>
        <w:t xml:space="preserve"> « أو » هنا بمعنى </w:t>
      </w:r>
      <w:r w:rsidR="00471085">
        <w:rPr>
          <w:rtl/>
          <w:lang w:bidi="fa-IR"/>
        </w:rPr>
        <w:t>« بل » ، قاله العل</w:t>
      </w:r>
      <w:r w:rsidR="00471085">
        <w:rPr>
          <w:rFonts w:hint="cs"/>
          <w:rtl/>
          <w:lang w:bidi="fa-IR"/>
        </w:rPr>
        <w:t>ّ</w:t>
      </w:r>
      <w:r w:rsidR="00471085">
        <w:rPr>
          <w:rtl/>
          <w:lang w:bidi="fa-IR"/>
        </w:rPr>
        <w:t>ا</w:t>
      </w:r>
      <w:r w:rsidR="00744A1C">
        <w:rPr>
          <w:rtl/>
          <w:lang w:bidi="fa-IR"/>
        </w:rPr>
        <w:t xml:space="preserve">مة المجلسي </w:t>
      </w:r>
      <w:r w:rsidR="00877682" w:rsidRPr="00877682">
        <w:rPr>
          <w:rStyle w:val="libFootnoteAlaemChar"/>
          <w:rtl/>
        </w:rPr>
        <w:t>رحمه‌الله</w:t>
      </w:r>
      <w:r w:rsidR="00471085" w:rsidRPr="00471085">
        <w:rPr>
          <w:rFonts w:hint="cs"/>
          <w:rtl/>
        </w:rPr>
        <w:t xml:space="preserve"> </w:t>
      </w:r>
      <w:r w:rsidR="00744A1C">
        <w:rPr>
          <w:rtl/>
          <w:lang w:bidi="fa-IR"/>
        </w:rPr>
        <w:t xml:space="preserve">في </w:t>
      </w:r>
      <w:r w:rsidR="00744A1C" w:rsidRPr="00C24F9C">
        <w:rPr>
          <w:rStyle w:val="libFootnoteBoldChar"/>
          <w:rtl/>
        </w:rPr>
        <w:t>المرآة</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471085" w:rsidTr="00471085">
        <w:tc>
          <w:tcPr>
            <w:tcW w:w="4006" w:type="dxa"/>
          </w:tcPr>
          <w:p w:rsidR="00471085" w:rsidRDefault="00471085" w:rsidP="00E378DD">
            <w:pPr>
              <w:pStyle w:val="libFootnote0"/>
              <w:rPr>
                <w:rtl/>
                <w:lang w:bidi="fa-IR"/>
              </w:rPr>
            </w:pPr>
            <w:r>
              <w:rPr>
                <w:rtl/>
                <w:lang w:bidi="fa-IR"/>
              </w:rPr>
              <w:t>(13). في حاشية « جت » : « أمّا ».</w:t>
            </w:r>
          </w:p>
        </w:tc>
        <w:tc>
          <w:tcPr>
            <w:tcW w:w="4006" w:type="dxa"/>
          </w:tcPr>
          <w:p w:rsidR="00471085" w:rsidRDefault="00471085" w:rsidP="00E378DD">
            <w:pPr>
              <w:pStyle w:val="libFootnote0"/>
              <w:rPr>
                <w:rtl/>
                <w:lang w:bidi="fa-IR"/>
              </w:rPr>
            </w:pPr>
            <w:r>
              <w:rPr>
                <w:rtl/>
                <w:lang w:bidi="fa-IR"/>
              </w:rPr>
              <w:t>(14). في « ط ، بس » والتحف : « من ».</w:t>
            </w:r>
          </w:p>
        </w:tc>
      </w:tr>
    </w:tbl>
    <w:p w:rsidR="00744A1C" w:rsidRDefault="00E378DD" w:rsidP="00E378DD">
      <w:pPr>
        <w:pStyle w:val="libFootnote0"/>
        <w:rPr>
          <w:lang w:bidi="fa-IR"/>
        </w:rPr>
      </w:pPr>
      <w:r>
        <w:rPr>
          <w:rtl/>
          <w:lang w:bidi="fa-IR"/>
        </w:rPr>
        <w:t>(15).</w:t>
      </w:r>
      <w:r w:rsidR="00744A1C">
        <w:rPr>
          <w:rtl/>
          <w:lang w:bidi="fa-IR"/>
        </w:rPr>
        <w:t xml:space="preserve"> في « ى ، بح ، بس ، جت ، جد ، جن » </w:t>
      </w:r>
      <w:r w:rsidR="00744A1C" w:rsidRPr="00471085">
        <w:rPr>
          <w:rtl/>
        </w:rPr>
        <w:t>والبحار</w:t>
      </w:r>
      <w:r w:rsidR="00744A1C">
        <w:rPr>
          <w:rtl/>
          <w:lang w:bidi="fa-IR"/>
        </w:rPr>
        <w:t xml:space="preserve"> والتحف : « هاهنا ».</w:t>
      </w:r>
    </w:p>
    <w:p w:rsidR="00744A1C" w:rsidRDefault="00744A1C" w:rsidP="00D10E3C">
      <w:pPr>
        <w:pStyle w:val="libFootnote0"/>
        <w:rPr>
          <w:lang w:bidi="fa-IR"/>
        </w:rPr>
      </w:pPr>
      <w:r>
        <w:rPr>
          <w:rtl/>
          <w:lang w:bidi="fa-IR"/>
        </w:rPr>
        <w:t xml:space="preserve">(16) في </w:t>
      </w:r>
      <w:r w:rsidRPr="00C24F9C">
        <w:rPr>
          <w:rStyle w:val="libFootnoteBoldChar"/>
          <w:rtl/>
        </w:rPr>
        <w:t>الوافي</w:t>
      </w:r>
      <w:r>
        <w:rPr>
          <w:rtl/>
          <w:lang w:bidi="fa-IR"/>
        </w:rPr>
        <w:t xml:space="preserve"> : « ا</w:t>
      </w:r>
      <w:r w:rsidR="00471085">
        <w:rPr>
          <w:rFonts w:hint="cs"/>
          <w:rtl/>
          <w:lang w:bidi="fa-IR"/>
        </w:rPr>
        <w:t>ُ</w:t>
      </w:r>
      <w:r>
        <w:rPr>
          <w:rtl/>
          <w:lang w:bidi="fa-IR"/>
        </w:rPr>
        <w:t>تيتم - بالبناء للمفعول - أي دخل عليكم البلاء وأصابكم ما أصابكم ».</w:t>
      </w:r>
    </w:p>
    <w:p w:rsidR="00744A1C" w:rsidRDefault="00744A1C" w:rsidP="00D10E3C">
      <w:pPr>
        <w:pStyle w:val="libFootnote0"/>
        <w:rPr>
          <w:lang w:bidi="fa-IR"/>
        </w:rPr>
      </w:pPr>
      <w:r>
        <w:rPr>
          <w:rtl/>
          <w:lang w:bidi="fa-IR"/>
        </w:rPr>
        <w:t xml:space="preserve">(17) في </w:t>
      </w:r>
      <w:r w:rsidRPr="00C24F9C">
        <w:rPr>
          <w:rStyle w:val="libFootnoteBoldChar"/>
          <w:rtl/>
        </w:rPr>
        <w:t>المرآة</w:t>
      </w:r>
      <w:r>
        <w:rPr>
          <w:rtl/>
          <w:lang w:bidi="fa-IR"/>
        </w:rPr>
        <w:t xml:space="preserve"> : « أي فيها ناسخ ومنسوخ ومحكم ومتشابه وأنتم لا تعرفونها ».</w:t>
      </w:r>
    </w:p>
    <w:p w:rsidR="00744A1C" w:rsidRDefault="00744A1C" w:rsidP="00D10E3C">
      <w:pPr>
        <w:pStyle w:val="libFootnote0"/>
        <w:rPr>
          <w:lang w:bidi="fa-IR"/>
        </w:rPr>
      </w:pPr>
      <w:r>
        <w:rPr>
          <w:rtl/>
          <w:lang w:bidi="fa-IR"/>
        </w:rPr>
        <w:t>(18) في « ط » والتحف : « وأمّا ».</w:t>
      </w:r>
    </w:p>
    <w:p w:rsidR="006A5060" w:rsidRDefault="006A5060" w:rsidP="00D10E3C">
      <w:pPr>
        <w:pStyle w:val="libNormal"/>
        <w:rPr>
          <w:rtl/>
          <w:lang w:bidi="fa-IR"/>
        </w:rPr>
      </w:pPr>
      <w:r>
        <w:rPr>
          <w:rtl/>
          <w:lang w:bidi="fa-IR"/>
        </w:rPr>
        <w:br w:type="page"/>
      </w:r>
    </w:p>
    <w:p w:rsidR="00744A1C" w:rsidRDefault="00744A1C" w:rsidP="00471085">
      <w:pPr>
        <w:pStyle w:val="libNormal0"/>
        <w:rPr>
          <w:lang w:bidi="fa-IR"/>
        </w:rPr>
      </w:pPr>
      <w:r>
        <w:rPr>
          <w:rtl/>
          <w:lang w:bidi="fa-IR"/>
        </w:rPr>
        <w:t xml:space="preserve">مَا ذَكَرْتُمْ مِنْ إِخْبَارِ اللهِ - عَزَّ وَجَلَّ - إِيَّانَا فِي كِتَابِهِ عَنِ الْقَوْمِ الَّذِينَ أَخْبَرَ عَنْهُمْ بِحُسْنِ فَعَالِهِمْ ، فَقَدْ كَانَ مُبَاحاً جَائِزاً </w:t>
      </w:r>
      <w:r w:rsidRPr="00D10E3C">
        <w:rPr>
          <w:rStyle w:val="libFootnotenumChar"/>
          <w:rtl/>
        </w:rPr>
        <w:t>(1)</w:t>
      </w:r>
      <w:r>
        <w:rPr>
          <w:rtl/>
          <w:lang w:bidi="fa-IR"/>
        </w:rPr>
        <w:t xml:space="preserve"> ، وَلَمْ يَكُونُوا نُهُوا عَنْهُ </w:t>
      </w:r>
      <w:r w:rsidRPr="00D10E3C">
        <w:rPr>
          <w:rStyle w:val="libFootnotenumChar"/>
          <w:rtl/>
        </w:rPr>
        <w:t>(2)</w:t>
      </w:r>
      <w:r>
        <w:rPr>
          <w:rtl/>
          <w:lang w:bidi="fa-IR"/>
        </w:rPr>
        <w:t xml:space="preserve"> ، وَثَوَابُهُمْ مِنْهُ عَلَى اللهِ عَزَّ وَجَلَّ ، وَذلِكَ </w:t>
      </w:r>
      <w:r w:rsidRPr="00D10E3C">
        <w:rPr>
          <w:rStyle w:val="libFootnotenumChar"/>
          <w:rtl/>
        </w:rPr>
        <w:t>(3)</w:t>
      </w:r>
      <w:r>
        <w:rPr>
          <w:rtl/>
          <w:lang w:bidi="fa-IR"/>
        </w:rPr>
        <w:t xml:space="preserve"> أَنَّ اللهَ - جَلَّ وَتَقَدَّسَ - أَمَرَ بِخِلَافِ مَا عَمِلُوا بِهِ ، فَصَارَ أَمْرُهُ نَاسِخاً لِفِعْلِهِمْ ، وَكَانَ نَهَى اللهُ - تَبَارَكَ وَتَعَالى - رَحْمَةً مِنْهُ لِلْمُؤْمِنِينَ ، وَنَظَراً لِكَيْلَا يُضِرُّوا بِأَنْفُسِهِمْ وَعِيَالَاتِهِمْ ، مِنْهُمُ الضَّعَفَةُ الصِّغَارُ </w:t>
      </w:r>
      <w:r w:rsidRPr="00D10E3C">
        <w:rPr>
          <w:rStyle w:val="libFootnotenumChar"/>
          <w:rtl/>
        </w:rPr>
        <w:t>(4)</w:t>
      </w:r>
      <w:r>
        <w:rPr>
          <w:rtl/>
          <w:lang w:bidi="fa-IR"/>
        </w:rPr>
        <w:t xml:space="preserve"> وَالْوِلْدَانُ </w:t>
      </w:r>
      <w:r w:rsidRPr="00D10E3C">
        <w:rPr>
          <w:rStyle w:val="libFootnotenumChar"/>
          <w:rtl/>
        </w:rPr>
        <w:t>(5)</w:t>
      </w:r>
      <w:r>
        <w:rPr>
          <w:rtl/>
          <w:lang w:bidi="fa-IR"/>
        </w:rPr>
        <w:t xml:space="preserve"> وَالشَّيْخُ الْفَانِي وَالْعَجُوزُ </w:t>
      </w:r>
      <w:r w:rsidRPr="00D10E3C">
        <w:rPr>
          <w:rStyle w:val="libFootnotenumChar"/>
          <w:rtl/>
        </w:rPr>
        <w:t>(6)</w:t>
      </w:r>
      <w:r>
        <w:rPr>
          <w:rtl/>
          <w:lang w:bidi="fa-IR"/>
        </w:rPr>
        <w:t xml:space="preserve"> الْكَبِيرَةُ الَّذِينَ لَا يَصْبِرُونَ عَلَى الْجُوعِ ، فَإِنْ تَصَدَّقْتُ بِرَغِيفِي - وَلَا رَغِيفَ لِي غَيْرُهُ - ضَاعُوا وَهَلَكُوا </w:t>
      </w:r>
      <w:r w:rsidRPr="00D10E3C">
        <w:rPr>
          <w:rStyle w:val="libFootnotenumChar"/>
          <w:rtl/>
        </w:rPr>
        <w:t>(7)</w:t>
      </w:r>
      <w:r>
        <w:rPr>
          <w:rtl/>
          <w:lang w:bidi="fa-IR"/>
        </w:rPr>
        <w:t xml:space="preserve"> جُوعاً ، فَمِنْ </w:t>
      </w:r>
      <w:r w:rsidRPr="00D10E3C">
        <w:rPr>
          <w:rStyle w:val="libFootnotenumChar"/>
          <w:rtl/>
        </w:rPr>
        <w:t>(8)</w:t>
      </w:r>
      <w:r>
        <w:rPr>
          <w:rtl/>
          <w:lang w:bidi="fa-IR"/>
        </w:rPr>
        <w:t xml:space="preserve"> ثَمَّ قَالَ </w:t>
      </w:r>
      <w:r w:rsidRPr="00D10E3C">
        <w:rPr>
          <w:rStyle w:val="libFootnotenumChar"/>
          <w:rtl/>
        </w:rPr>
        <w:t>(9)</w:t>
      </w:r>
      <w:r>
        <w:rPr>
          <w:rtl/>
          <w:lang w:bidi="fa-IR"/>
        </w:rPr>
        <w:t xml:space="preserve"> رَسُولُ اللهِ </w:t>
      </w:r>
      <w:r w:rsidR="001959EB" w:rsidRPr="001959EB">
        <w:rPr>
          <w:rStyle w:val="libAlaemChar"/>
          <w:rtl/>
        </w:rPr>
        <w:t>صلى‌الله‌عليه‌وآله</w:t>
      </w:r>
      <w:r w:rsidR="00D10E3C">
        <w:rPr>
          <w:rtl/>
          <w:lang w:bidi="fa-IR"/>
        </w:rPr>
        <w:t xml:space="preserve"> </w:t>
      </w:r>
      <w:r>
        <w:rPr>
          <w:rtl/>
          <w:lang w:bidi="fa-IR"/>
        </w:rPr>
        <w:t xml:space="preserve">: خَمْسُ تَمَرَاتٍ ، أَوْ خَمْسُ قُرَصٍ ، أَوْ دَنَانِيرُ ، أَوْ دَرَاهِمُ </w:t>
      </w:r>
      <w:r w:rsidRPr="00D10E3C">
        <w:rPr>
          <w:rStyle w:val="libFootnotenumChar"/>
          <w:rtl/>
        </w:rPr>
        <w:t>(10)</w:t>
      </w:r>
      <w:r>
        <w:rPr>
          <w:rtl/>
          <w:lang w:bidi="fa-IR"/>
        </w:rPr>
        <w:t xml:space="preserve"> يَمْلِكُهَا الْإِنْسَانُ وَهُوَ يُرِيدُ أَنْ يُمْضِيَهَا ، فَأَفْضَلُهَا </w:t>
      </w:r>
      <w:r w:rsidRPr="00D10E3C">
        <w:rPr>
          <w:rStyle w:val="libFootnotenumChar"/>
          <w:rtl/>
        </w:rPr>
        <w:t>(11)</w:t>
      </w:r>
      <w:r>
        <w:rPr>
          <w:rtl/>
          <w:lang w:bidi="fa-IR"/>
        </w:rPr>
        <w:t xml:space="preserve"> مَا أَنْفَقَهُ الْإِنْسَانُ عَلى وَالِدَيْهِ ، ثُمَّ الثَّانِيَةُ عَلى نَفْسِهِ وَعِيَالِهِ ، ثُمَّ الثَّالِثَةُ عَلى قَرَابَتِهِ الْفُقَرَاءِ </w:t>
      </w:r>
      <w:r w:rsidRPr="00D10E3C">
        <w:rPr>
          <w:rStyle w:val="libFootnotenumChar"/>
          <w:rtl/>
        </w:rPr>
        <w:t>(12)</w:t>
      </w:r>
      <w:r>
        <w:rPr>
          <w:rtl/>
          <w:lang w:bidi="fa-IR"/>
        </w:rPr>
        <w:t xml:space="preserve"> ، ثُمَّ الرَّابِعَةُ عَلى جِيرَانِهِ‌ الْفُقَرَاءِ ، ثُمَّ الْخَامِسَةُ فِي سَبِيلِ اللهِ وَهُوَ </w:t>
      </w:r>
      <w:r w:rsidRPr="00D10E3C">
        <w:rPr>
          <w:rStyle w:val="libFootnotenumChar"/>
          <w:rtl/>
        </w:rPr>
        <w:t>(13)</w:t>
      </w:r>
      <w:r>
        <w:rPr>
          <w:rtl/>
          <w:lang w:bidi="fa-IR"/>
        </w:rPr>
        <w:t xml:space="preserve"> أَخَسُّهَا </w:t>
      </w:r>
      <w:r w:rsidRPr="00D10E3C">
        <w:rPr>
          <w:rStyle w:val="libFootnotenumChar"/>
          <w:rtl/>
        </w:rPr>
        <w:t>(14)</w:t>
      </w:r>
      <w:r>
        <w:rPr>
          <w:rtl/>
          <w:lang w:bidi="fa-IR"/>
        </w:rPr>
        <w:t xml:space="preserve"> أَجْراً. وَقَالَ </w:t>
      </w:r>
      <w:r w:rsidRPr="00D10E3C">
        <w:rPr>
          <w:rStyle w:val="libFootnotenumChar"/>
          <w:rtl/>
        </w:rPr>
        <w:t>(15)</w:t>
      </w:r>
      <w:r>
        <w:rPr>
          <w:rtl/>
          <w:lang w:bidi="fa-IR"/>
        </w:rPr>
        <w:t xml:space="preserve"> </w:t>
      </w:r>
      <w:r w:rsidR="0017097C" w:rsidRPr="0017097C">
        <w:rPr>
          <w:rStyle w:val="libAlaemChar"/>
          <w:rtl/>
        </w:rPr>
        <w:t>صلى‌الله‌عليه‌وآله</w:t>
      </w:r>
      <w:r w:rsidR="00D10E3C">
        <w:rPr>
          <w:rtl/>
          <w:lang w:bidi="fa-IR"/>
        </w:rPr>
        <w:t xml:space="preserve"> </w:t>
      </w:r>
      <w:r>
        <w:rPr>
          <w:rtl/>
          <w:lang w:bidi="fa-IR"/>
        </w:rPr>
        <w:t xml:space="preserve">لِلْأَنْصَارِيِّ </w:t>
      </w:r>
      <w:r w:rsidRPr="00D10E3C">
        <w:rPr>
          <w:rStyle w:val="libFootnotenumChar"/>
          <w:rtl/>
        </w:rPr>
        <w:t>(16)</w:t>
      </w:r>
      <w:r>
        <w:rPr>
          <w:rtl/>
          <w:lang w:bidi="fa-IR"/>
        </w:rPr>
        <w:t xml:space="preserve"> حِينَ أَعْتَقَ </w:t>
      </w:r>
      <w:r w:rsidRPr="00D10E3C">
        <w:rPr>
          <w:rStyle w:val="libFootnotenumChar"/>
          <w:rtl/>
        </w:rPr>
        <w:t>(17)</w:t>
      </w:r>
      <w:r>
        <w:rPr>
          <w:rtl/>
          <w:lang w:bidi="fa-IR"/>
        </w:rPr>
        <w:t xml:space="preserve"> عِنْدَ مَوْتِهِ خَمْسَةً ، أَوْ سِتَّةً مِنَ الرَّقِيقِ ، وَلَمْ يَكُنْ </w:t>
      </w:r>
      <w:r w:rsidRPr="00D10E3C">
        <w:rPr>
          <w:rStyle w:val="libFootnotenumChar"/>
          <w:rtl/>
        </w:rPr>
        <w:t>(18)</w:t>
      </w:r>
      <w:r>
        <w:rPr>
          <w:rtl/>
          <w:lang w:bidi="fa-IR"/>
        </w:rPr>
        <w:t xml:space="preserve"> يَمْلِكُ غَيْرَهُمْ ، وَلَهُ أَوْلَادٌ‌</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 + « لهم ». وفي </w:t>
      </w:r>
      <w:r w:rsidR="00744A1C" w:rsidRPr="00C24F9C">
        <w:rPr>
          <w:rStyle w:val="libFootnoteBoldChar"/>
          <w:rtl/>
        </w:rPr>
        <w:t>المرآة</w:t>
      </w:r>
      <w:r w:rsidR="00744A1C">
        <w:rPr>
          <w:rtl/>
          <w:lang w:bidi="fa-IR"/>
        </w:rPr>
        <w:t xml:space="preserve"> : « هذا لا ينافي ما ذكره </w:t>
      </w:r>
      <w:r w:rsidR="0061079A" w:rsidRPr="0061079A">
        <w:rPr>
          <w:rStyle w:val="libFootnoteAlaemChar"/>
          <w:rtl/>
        </w:rPr>
        <w:t>عليه‌السلام</w:t>
      </w:r>
      <w:r>
        <w:rPr>
          <w:rtl/>
          <w:lang w:bidi="fa-IR"/>
        </w:rPr>
        <w:t xml:space="preserve"> </w:t>
      </w:r>
      <w:r w:rsidR="00744A1C">
        <w:rPr>
          <w:rtl/>
          <w:lang w:bidi="fa-IR"/>
        </w:rPr>
        <w:t>في جواب الثوري ؛ فإنّه علّة لشرعيّة الحكم أوّلاً</w:t>
      </w:r>
      <w:r w:rsidR="00471085">
        <w:rPr>
          <w:rFonts w:hint="cs"/>
          <w:rtl/>
          <w:lang w:bidi="fa-IR"/>
        </w:rPr>
        <w:t xml:space="preserve"> </w:t>
      </w:r>
      <w:r w:rsidR="00744A1C">
        <w:rPr>
          <w:rtl/>
          <w:lang w:bidi="fa-IR"/>
        </w:rPr>
        <w:t>ونسخه ثانياً ».</w:t>
      </w:r>
    </w:p>
    <w:p w:rsidR="00744A1C" w:rsidRDefault="00E378DD" w:rsidP="00E378DD">
      <w:pPr>
        <w:pStyle w:val="libFootnote0"/>
        <w:rPr>
          <w:lang w:bidi="fa-IR"/>
        </w:rPr>
      </w:pPr>
      <w:r>
        <w:rPr>
          <w:rtl/>
          <w:lang w:bidi="fa-IR"/>
        </w:rPr>
        <w:t>(2).</w:t>
      </w:r>
      <w:r w:rsidR="00744A1C">
        <w:rPr>
          <w:rtl/>
          <w:lang w:bidi="fa-IR"/>
        </w:rPr>
        <w:t xml:space="preserve"> في « بف » : « منه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لعلّه تعليل لما فهم سابقاً من عدم استمرار حكم الجواز ومن عدم صحّة استدلالهم بالآيتين ».</w:t>
      </w:r>
    </w:p>
    <w:tbl>
      <w:tblPr>
        <w:tblStyle w:val="TableGrid"/>
        <w:bidiVisual/>
        <w:tblW w:w="0" w:type="auto"/>
        <w:tblLook w:val="04A0" w:firstRow="1" w:lastRow="0" w:firstColumn="1" w:lastColumn="0" w:noHBand="0" w:noVBand="1"/>
      </w:tblPr>
      <w:tblGrid>
        <w:gridCol w:w="4006"/>
        <w:gridCol w:w="4006"/>
      </w:tblGrid>
      <w:tr w:rsidR="00480DA2" w:rsidTr="00480DA2">
        <w:tc>
          <w:tcPr>
            <w:tcW w:w="4006" w:type="dxa"/>
          </w:tcPr>
          <w:p w:rsidR="00480DA2" w:rsidRDefault="00480DA2" w:rsidP="00E378DD">
            <w:pPr>
              <w:pStyle w:val="libFootnote0"/>
              <w:rPr>
                <w:rtl/>
                <w:lang w:bidi="fa-IR"/>
              </w:rPr>
            </w:pPr>
            <w:r>
              <w:rPr>
                <w:rtl/>
                <w:lang w:bidi="fa-IR"/>
              </w:rPr>
              <w:t>(4). في « بح » : « والصغار ».</w:t>
            </w:r>
          </w:p>
        </w:tc>
        <w:tc>
          <w:tcPr>
            <w:tcW w:w="4006" w:type="dxa"/>
          </w:tcPr>
          <w:p w:rsidR="00480DA2" w:rsidRDefault="00480DA2" w:rsidP="00E378DD">
            <w:pPr>
              <w:pStyle w:val="libFootnote0"/>
              <w:rPr>
                <w:rtl/>
                <w:lang w:bidi="fa-IR"/>
              </w:rPr>
            </w:pPr>
            <w:r>
              <w:rPr>
                <w:rtl/>
                <w:lang w:bidi="fa-IR"/>
              </w:rPr>
              <w:t>(5). في حاشية « بح » : « والوالدان »</w:t>
            </w:r>
          </w:p>
        </w:tc>
      </w:tr>
      <w:tr w:rsidR="00480DA2" w:rsidTr="00480DA2">
        <w:tc>
          <w:tcPr>
            <w:tcW w:w="4006" w:type="dxa"/>
          </w:tcPr>
          <w:p w:rsidR="00480DA2" w:rsidRDefault="00480DA2" w:rsidP="00E378DD">
            <w:pPr>
              <w:pStyle w:val="libFootnote0"/>
              <w:rPr>
                <w:rtl/>
                <w:lang w:bidi="fa-IR"/>
              </w:rPr>
            </w:pPr>
            <w:r>
              <w:rPr>
                <w:rtl/>
                <w:lang w:bidi="fa-IR"/>
              </w:rPr>
              <w:t xml:space="preserve">(6). في « بح ، جت » </w:t>
            </w:r>
            <w:r w:rsidRPr="00480DA2">
              <w:rPr>
                <w:rtl/>
              </w:rPr>
              <w:t>والبحار</w:t>
            </w:r>
            <w:r>
              <w:rPr>
                <w:rtl/>
                <w:lang w:bidi="fa-IR"/>
              </w:rPr>
              <w:t xml:space="preserve"> : « والعجوزة ».</w:t>
            </w:r>
          </w:p>
        </w:tc>
        <w:tc>
          <w:tcPr>
            <w:tcW w:w="4006" w:type="dxa"/>
          </w:tcPr>
          <w:p w:rsidR="00480DA2" w:rsidRDefault="00480DA2" w:rsidP="00E378DD">
            <w:pPr>
              <w:pStyle w:val="libFootnote0"/>
              <w:rPr>
                <w:rtl/>
                <w:lang w:bidi="fa-IR"/>
              </w:rPr>
            </w:pPr>
            <w:r>
              <w:rPr>
                <w:rtl/>
                <w:lang w:bidi="fa-IR"/>
              </w:rPr>
              <w:t>(7). في « ط » : « فهلكوا ».</w:t>
            </w:r>
          </w:p>
        </w:tc>
      </w:tr>
      <w:tr w:rsidR="00480DA2" w:rsidTr="00480DA2">
        <w:tc>
          <w:tcPr>
            <w:tcW w:w="4006" w:type="dxa"/>
          </w:tcPr>
          <w:p w:rsidR="00480DA2" w:rsidRDefault="00480DA2" w:rsidP="00E378DD">
            <w:pPr>
              <w:pStyle w:val="libFootnote0"/>
              <w:rPr>
                <w:rtl/>
                <w:lang w:bidi="fa-IR"/>
              </w:rPr>
            </w:pPr>
            <w:r>
              <w:rPr>
                <w:rtl/>
                <w:lang w:bidi="fa-IR"/>
              </w:rPr>
              <w:t xml:space="preserve">(8). في حاشية « بف » </w:t>
            </w:r>
            <w:r w:rsidRPr="00480DA2">
              <w:rPr>
                <w:rtl/>
              </w:rPr>
              <w:t>والوافي</w:t>
            </w:r>
            <w:r>
              <w:rPr>
                <w:rtl/>
                <w:lang w:bidi="fa-IR"/>
              </w:rPr>
              <w:t xml:space="preserve"> : « ومن ».</w:t>
            </w:r>
          </w:p>
        </w:tc>
        <w:tc>
          <w:tcPr>
            <w:tcW w:w="4006" w:type="dxa"/>
          </w:tcPr>
          <w:p w:rsidR="00480DA2" w:rsidRDefault="00480DA2" w:rsidP="00E378DD">
            <w:pPr>
              <w:pStyle w:val="libFootnote0"/>
              <w:rPr>
                <w:rtl/>
                <w:lang w:bidi="fa-IR"/>
              </w:rPr>
            </w:pPr>
            <w:r>
              <w:rPr>
                <w:rtl/>
                <w:lang w:bidi="fa-IR"/>
              </w:rPr>
              <w:t>(9). في « ط » : « فسنّ » بدل « فمن ، ثمّ قال ».</w:t>
            </w:r>
          </w:p>
        </w:tc>
      </w:tr>
    </w:tbl>
    <w:p w:rsidR="00744A1C" w:rsidRDefault="00E378DD" w:rsidP="00E378DD">
      <w:pPr>
        <w:pStyle w:val="libFootnote0"/>
        <w:rPr>
          <w:lang w:bidi="fa-IR"/>
        </w:rPr>
      </w:pPr>
      <w:r>
        <w:rPr>
          <w:rtl/>
          <w:lang w:bidi="fa-IR"/>
        </w:rPr>
        <w:t>(10).</w:t>
      </w:r>
      <w:r w:rsidR="00744A1C">
        <w:rPr>
          <w:rtl/>
          <w:lang w:bidi="fa-IR"/>
        </w:rPr>
        <w:t xml:space="preserve"> في حاشية « جت » : « دينار أو درهم » بدل « دنانير أو دراهم ».</w:t>
      </w:r>
    </w:p>
    <w:p w:rsidR="00744A1C" w:rsidRDefault="00E378DD" w:rsidP="00E378DD">
      <w:pPr>
        <w:pStyle w:val="libFootnote0"/>
        <w:rPr>
          <w:lang w:bidi="fa-IR"/>
        </w:rPr>
      </w:pPr>
      <w:r>
        <w:rPr>
          <w:rtl/>
          <w:lang w:bidi="fa-IR"/>
        </w:rPr>
        <w:t>(11).</w:t>
      </w:r>
      <w:r w:rsidR="00744A1C">
        <w:rPr>
          <w:rtl/>
          <w:lang w:bidi="fa-IR"/>
        </w:rPr>
        <w:t xml:space="preserve"> في </w:t>
      </w:r>
      <w:r w:rsidR="00744A1C" w:rsidRPr="00480DA2">
        <w:rPr>
          <w:rtl/>
        </w:rPr>
        <w:t>البحار</w:t>
      </w:r>
      <w:r w:rsidR="00744A1C">
        <w:rPr>
          <w:rtl/>
          <w:lang w:bidi="fa-IR"/>
        </w:rPr>
        <w:t xml:space="preserve"> : « فاضلها ».</w:t>
      </w:r>
    </w:p>
    <w:p w:rsidR="00744A1C" w:rsidRDefault="00E378DD" w:rsidP="00E378DD">
      <w:pPr>
        <w:pStyle w:val="libFootnote0"/>
        <w:rPr>
          <w:lang w:bidi="fa-IR"/>
        </w:rPr>
      </w:pPr>
      <w:r>
        <w:rPr>
          <w:rtl/>
          <w:lang w:bidi="fa-IR"/>
        </w:rPr>
        <w:t>(12).</w:t>
      </w:r>
      <w:r w:rsidR="00744A1C">
        <w:rPr>
          <w:rtl/>
          <w:lang w:bidi="fa-IR"/>
        </w:rPr>
        <w:t xml:space="preserve"> في التحف : « على القرابة وإخوانه المؤمنين » بدل « على قرابته الفقراء ».</w:t>
      </w:r>
    </w:p>
    <w:tbl>
      <w:tblPr>
        <w:tblStyle w:val="TableGrid"/>
        <w:bidiVisual/>
        <w:tblW w:w="0" w:type="auto"/>
        <w:tblLook w:val="04A0" w:firstRow="1" w:lastRow="0" w:firstColumn="1" w:lastColumn="0" w:noHBand="0" w:noVBand="1"/>
      </w:tblPr>
      <w:tblGrid>
        <w:gridCol w:w="4006"/>
        <w:gridCol w:w="4006"/>
      </w:tblGrid>
      <w:tr w:rsidR="00480DA2" w:rsidTr="00480DA2">
        <w:tc>
          <w:tcPr>
            <w:tcW w:w="4006" w:type="dxa"/>
          </w:tcPr>
          <w:p w:rsidR="00480DA2" w:rsidRDefault="00480DA2" w:rsidP="00E378DD">
            <w:pPr>
              <w:pStyle w:val="libFootnote0"/>
              <w:rPr>
                <w:rtl/>
                <w:lang w:bidi="fa-IR"/>
              </w:rPr>
            </w:pPr>
            <w:r>
              <w:rPr>
                <w:rtl/>
                <w:lang w:bidi="fa-IR"/>
              </w:rPr>
              <w:t>(13). في « ط » : « فهو ».</w:t>
            </w:r>
          </w:p>
        </w:tc>
        <w:tc>
          <w:tcPr>
            <w:tcW w:w="4006" w:type="dxa"/>
          </w:tcPr>
          <w:p w:rsidR="00480DA2" w:rsidRDefault="00480DA2" w:rsidP="00E378DD">
            <w:pPr>
              <w:pStyle w:val="libFootnote0"/>
              <w:rPr>
                <w:rtl/>
                <w:lang w:bidi="fa-IR"/>
              </w:rPr>
            </w:pPr>
            <w:r>
              <w:rPr>
                <w:rtl/>
                <w:lang w:bidi="fa-IR"/>
              </w:rPr>
              <w:t xml:space="preserve">(14). في « ط » </w:t>
            </w:r>
            <w:r w:rsidRPr="00480DA2">
              <w:rPr>
                <w:rtl/>
              </w:rPr>
              <w:t>والبحار</w:t>
            </w:r>
            <w:r>
              <w:rPr>
                <w:rtl/>
                <w:lang w:bidi="fa-IR"/>
              </w:rPr>
              <w:t xml:space="preserve"> : « أحسنها ».</w:t>
            </w:r>
          </w:p>
        </w:tc>
      </w:tr>
    </w:tbl>
    <w:p w:rsidR="00744A1C" w:rsidRDefault="00E378DD" w:rsidP="00E378DD">
      <w:pPr>
        <w:pStyle w:val="libFootnote0"/>
        <w:rPr>
          <w:lang w:bidi="fa-IR"/>
        </w:rPr>
      </w:pPr>
      <w:r>
        <w:rPr>
          <w:rtl/>
          <w:lang w:bidi="fa-IR"/>
        </w:rPr>
        <w:t>(15).</w:t>
      </w:r>
      <w:r w:rsidR="00744A1C">
        <w:rPr>
          <w:rtl/>
          <w:lang w:bidi="fa-IR"/>
        </w:rPr>
        <w:t xml:space="preserve"> هكذا في جميع النسخ التي قوبلت </w:t>
      </w:r>
      <w:r w:rsidR="00744A1C" w:rsidRPr="00480DA2">
        <w:rPr>
          <w:rtl/>
        </w:rPr>
        <w:t>والوافي والبحار</w:t>
      </w:r>
      <w:r w:rsidR="00744A1C">
        <w:rPr>
          <w:rtl/>
          <w:lang w:bidi="fa-IR"/>
        </w:rPr>
        <w:t>. وفي حاشية « جت » والمطبوع : + « رسول الله ».</w:t>
      </w:r>
    </w:p>
    <w:tbl>
      <w:tblPr>
        <w:tblStyle w:val="TableGrid"/>
        <w:bidiVisual/>
        <w:tblW w:w="0" w:type="auto"/>
        <w:tblLook w:val="04A0" w:firstRow="1" w:lastRow="0" w:firstColumn="1" w:lastColumn="0" w:noHBand="0" w:noVBand="1"/>
      </w:tblPr>
      <w:tblGrid>
        <w:gridCol w:w="4006"/>
        <w:gridCol w:w="4006"/>
      </w:tblGrid>
      <w:tr w:rsidR="00480DA2" w:rsidTr="00480DA2">
        <w:tc>
          <w:tcPr>
            <w:tcW w:w="4006" w:type="dxa"/>
          </w:tcPr>
          <w:p w:rsidR="00480DA2" w:rsidRDefault="00480DA2" w:rsidP="00D10E3C">
            <w:pPr>
              <w:pStyle w:val="libFootnote0"/>
              <w:rPr>
                <w:rtl/>
                <w:lang w:bidi="fa-IR"/>
              </w:rPr>
            </w:pPr>
            <w:r>
              <w:rPr>
                <w:rtl/>
                <w:lang w:bidi="fa-IR"/>
              </w:rPr>
              <w:t>(16) في حاشية « بح » : « للأنصار ».</w:t>
            </w:r>
          </w:p>
        </w:tc>
        <w:tc>
          <w:tcPr>
            <w:tcW w:w="4006" w:type="dxa"/>
          </w:tcPr>
          <w:p w:rsidR="00480DA2" w:rsidRDefault="00480DA2" w:rsidP="00D10E3C">
            <w:pPr>
              <w:pStyle w:val="libFootnote0"/>
              <w:rPr>
                <w:rtl/>
                <w:lang w:bidi="fa-IR"/>
              </w:rPr>
            </w:pPr>
            <w:r>
              <w:rPr>
                <w:rtl/>
                <w:lang w:bidi="fa-IR"/>
              </w:rPr>
              <w:t>(17) في « بح » : + « أحدهم ».</w:t>
            </w:r>
          </w:p>
        </w:tc>
      </w:tr>
    </w:tbl>
    <w:p w:rsidR="00744A1C" w:rsidRDefault="00744A1C" w:rsidP="00D10E3C">
      <w:pPr>
        <w:pStyle w:val="libFootnote0"/>
        <w:rPr>
          <w:lang w:bidi="fa-IR"/>
        </w:rPr>
      </w:pPr>
      <w:r>
        <w:rPr>
          <w:rtl/>
          <w:lang w:bidi="fa-IR"/>
        </w:rPr>
        <w:t>(18) في « ى ، بف » : - « لم يكن ».</w:t>
      </w:r>
    </w:p>
    <w:p w:rsidR="006A5060" w:rsidRDefault="006A5060" w:rsidP="00D10E3C">
      <w:pPr>
        <w:pStyle w:val="libNormal"/>
        <w:rPr>
          <w:rtl/>
          <w:lang w:bidi="fa-IR"/>
        </w:rPr>
      </w:pPr>
      <w:r>
        <w:rPr>
          <w:rtl/>
          <w:lang w:bidi="fa-IR"/>
        </w:rPr>
        <w:br w:type="page"/>
      </w:r>
    </w:p>
    <w:p w:rsidR="00744A1C" w:rsidRDefault="00744A1C" w:rsidP="00480DA2">
      <w:pPr>
        <w:pStyle w:val="libNormal0"/>
        <w:rPr>
          <w:lang w:bidi="fa-IR"/>
        </w:rPr>
      </w:pPr>
      <w:r>
        <w:rPr>
          <w:rtl/>
          <w:lang w:bidi="fa-IR"/>
        </w:rPr>
        <w:t xml:space="preserve">صِغَارٌ : لَوْ أَعْلَمْتُمُونِي أَمْرَهُ ، مَا تَرَكْتُكُمْ تَدْفِنُونَهُ </w:t>
      </w:r>
      <w:r w:rsidRPr="00D10E3C">
        <w:rPr>
          <w:rStyle w:val="libFootnotenumChar"/>
          <w:rtl/>
        </w:rPr>
        <w:t>(1)</w:t>
      </w:r>
      <w:r>
        <w:rPr>
          <w:rtl/>
          <w:lang w:bidi="fa-IR"/>
        </w:rPr>
        <w:t xml:space="preserve"> مَعَ الْمُسْلِمِينَ ، يَتْرُكُ </w:t>
      </w:r>
      <w:r w:rsidRPr="00D10E3C">
        <w:rPr>
          <w:rStyle w:val="libFootnotenumChar"/>
          <w:rtl/>
        </w:rPr>
        <w:t>(2)</w:t>
      </w:r>
      <w:r>
        <w:rPr>
          <w:rtl/>
          <w:lang w:bidi="fa-IR"/>
        </w:rPr>
        <w:t xml:space="preserve"> صِبْيَةً </w:t>
      </w:r>
      <w:r w:rsidRPr="00D10E3C">
        <w:rPr>
          <w:rStyle w:val="libFootnotenumChar"/>
          <w:rtl/>
        </w:rPr>
        <w:t>(3)</w:t>
      </w:r>
      <w:r>
        <w:rPr>
          <w:rtl/>
          <w:lang w:bidi="fa-IR"/>
        </w:rPr>
        <w:t xml:space="preserve"> صِغَاراً يَتَكَفَّفُونَ </w:t>
      </w:r>
      <w:r w:rsidRPr="00D10E3C">
        <w:rPr>
          <w:rStyle w:val="libFootnotenumChar"/>
          <w:rtl/>
        </w:rPr>
        <w:t>(4)</w:t>
      </w:r>
      <w:r>
        <w:rPr>
          <w:rtl/>
          <w:lang w:bidi="fa-IR"/>
        </w:rPr>
        <w:t xml:space="preserve"> النَّاسَ ».</w:t>
      </w:r>
    </w:p>
    <w:p w:rsidR="00744A1C" w:rsidRDefault="00744A1C" w:rsidP="00744A1C">
      <w:pPr>
        <w:pStyle w:val="libNormal"/>
        <w:rPr>
          <w:lang w:bidi="fa-IR"/>
        </w:rPr>
      </w:pPr>
      <w:r>
        <w:rPr>
          <w:rtl/>
          <w:lang w:bidi="fa-IR"/>
        </w:rPr>
        <w:t xml:space="preserve">ثُمَّ قَالَ : « حَدَّثَنِي أَبِي أَنَّ رَسُولَ اللهِ </w:t>
      </w:r>
      <w:r w:rsidR="002F3FF5" w:rsidRPr="002F3FF5">
        <w:rPr>
          <w:rStyle w:val="libAlaemChar"/>
          <w:rtl/>
        </w:rPr>
        <w:t>صلى‌الله‌عليه‌وآله</w:t>
      </w:r>
      <w:r w:rsidR="00D10E3C">
        <w:rPr>
          <w:rtl/>
          <w:lang w:bidi="fa-IR"/>
        </w:rPr>
        <w:t xml:space="preserve"> </w:t>
      </w:r>
      <w:r>
        <w:rPr>
          <w:rtl/>
          <w:lang w:bidi="fa-IR"/>
        </w:rPr>
        <w:t xml:space="preserve">قَالَ : ابْدَأْ بِمَنْ تَعُولُ ، الْأَدْنى فَالْأَدْنى. ثُمَّ هذَا مَا نَطَقَ بِهِ الْكِتَابُ رَدّاً لِقَوْلِكُمْ ، وَنَهْياً عَنْهُ مَفْرُوضاً مِنَ اللهِ الْعَزِيزِ الْحَكِيمِ ، قَالَ : </w:t>
      </w:r>
      <w:r w:rsidRPr="00480DA2">
        <w:rPr>
          <w:rStyle w:val="libAlaemChar"/>
          <w:rtl/>
        </w:rPr>
        <w:t>(</w:t>
      </w:r>
      <w:r w:rsidRPr="00480DA2">
        <w:rPr>
          <w:rStyle w:val="libAieChar"/>
          <w:rtl/>
        </w:rPr>
        <w:t xml:space="preserve"> وَالَّذِينَ إِذا أَنْفَقُوا لَمْ يُسْرِفُوا وَلَمْ يَقْتُرُوا </w:t>
      </w:r>
      <w:r w:rsidRPr="00480DA2">
        <w:rPr>
          <w:rStyle w:val="libFootnotenumChar"/>
          <w:rtl/>
        </w:rPr>
        <w:t>(5)</w:t>
      </w:r>
      <w:r w:rsidRPr="00480DA2">
        <w:rPr>
          <w:rStyle w:val="libAieChar"/>
          <w:rtl/>
        </w:rPr>
        <w:t xml:space="preserve"> وَكانَ بَيْنَ ذلِكَ قَواماً </w:t>
      </w:r>
      <w:r w:rsidRPr="00480DA2">
        <w:rPr>
          <w:rStyle w:val="libAlaemChar"/>
          <w:rtl/>
        </w:rPr>
        <w:t>)</w:t>
      </w:r>
      <w:r>
        <w:rPr>
          <w:rtl/>
          <w:lang w:bidi="fa-IR"/>
        </w:rPr>
        <w:t xml:space="preserve"> </w:t>
      </w:r>
      <w:r w:rsidRPr="00D10E3C">
        <w:rPr>
          <w:rStyle w:val="libFootnotenumChar"/>
          <w:rtl/>
        </w:rPr>
        <w:t>(6)</w:t>
      </w:r>
      <w:r>
        <w:rPr>
          <w:rtl/>
          <w:lang w:bidi="fa-IR"/>
        </w:rPr>
        <w:t xml:space="preserve"> أَفَلَا تَرَوْنَ أَنَّ اللهَ - تَبَارَكَ وَتَعَالى - قَالَ غَيْرَ </w:t>
      </w:r>
      <w:r w:rsidRPr="00D10E3C">
        <w:rPr>
          <w:rStyle w:val="libFootnotenumChar"/>
          <w:rtl/>
        </w:rPr>
        <w:t>(7)</w:t>
      </w:r>
      <w:r>
        <w:rPr>
          <w:rtl/>
          <w:lang w:bidi="fa-IR"/>
        </w:rPr>
        <w:t xml:space="preserve"> مَا أَرَاكُمْ تَدْعُونَ النَّاسَ إِلَيْهِ مِنَ الْأَثَرَةِ </w:t>
      </w:r>
      <w:r w:rsidRPr="00D10E3C">
        <w:rPr>
          <w:rStyle w:val="libFootnotenumChar"/>
          <w:rtl/>
        </w:rPr>
        <w:t>(8)</w:t>
      </w:r>
      <w:r>
        <w:rPr>
          <w:rtl/>
          <w:lang w:bidi="fa-IR"/>
        </w:rPr>
        <w:t xml:space="preserve"> عَلى أَنْفُسِهِمْ ، وَسَمّى مَنْ فَعَلَ مَا تَدْعُونَ النَّاسَ </w:t>
      </w:r>
      <w:r w:rsidRPr="00D10E3C">
        <w:rPr>
          <w:rStyle w:val="libFootnotenumChar"/>
          <w:rtl/>
        </w:rPr>
        <w:t>(9)</w:t>
      </w:r>
      <w:r>
        <w:rPr>
          <w:rtl/>
          <w:lang w:bidi="fa-IR"/>
        </w:rPr>
        <w:t xml:space="preserve"> إِلَيْهِ مُسْرِفاً ، وَفِي غَيْرِ آيَةٍ مِنْ كِتَابِ اللهِ يَقُولُ : </w:t>
      </w:r>
      <w:r w:rsidRPr="00480DA2">
        <w:rPr>
          <w:rStyle w:val="libAlaemChar"/>
          <w:rtl/>
        </w:rPr>
        <w:t>(</w:t>
      </w:r>
      <w:r w:rsidRPr="00480DA2">
        <w:rPr>
          <w:rStyle w:val="libAieChar"/>
          <w:rtl/>
        </w:rPr>
        <w:t xml:space="preserve"> إِنَّهُ لا يُحِبُّ الْمُسْرِفِينَ</w:t>
      </w:r>
      <w:r>
        <w:rPr>
          <w:rtl/>
          <w:lang w:bidi="fa-IR"/>
        </w:rPr>
        <w:t xml:space="preserve"> </w:t>
      </w:r>
      <w:r w:rsidRPr="00480DA2">
        <w:rPr>
          <w:rStyle w:val="libAlaemChar"/>
          <w:rtl/>
        </w:rPr>
        <w:t>)</w:t>
      </w:r>
      <w:r>
        <w:rPr>
          <w:rtl/>
          <w:lang w:bidi="fa-IR"/>
        </w:rPr>
        <w:t xml:space="preserve"> </w:t>
      </w:r>
      <w:r w:rsidRPr="00D10E3C">
        <w:rPr>
          <w:rStyle w:val="libFootnotenumChar"/>
          <w:rtl/>
        </w:rPr>
        <w:t>(10)</w:t>
      </w:r>
      <w:r>
        <w:rPr>
          <w:rtl/>
          <w:lang w:bidi="fa-IR"/>
        </w:rPr>
        <w:t xml:space="preserve"> فَنَهَاهُمْ عَنِ الْإِسْرَافِ ، وَنَهَاهُمْ عَنِ التَّقْتِيرِ ، وَلكِنْ </w:t>
      </w:r>
      <w:r w:rsidRPr="00D10E3C">
        <w:rPr>
          <w:rStyle w:val="libFootnotenumChar"/>
          <w:rtl/>
        </w:rPr>
        <w:t>(11)</w:t>
      </w:r>
      <w:r>
        <w:rPr>
          <w:rtl/>
          <w:lang w:bidi="fa-IR"/>
        </w:rPr>
        <w:t xml:space="preserve"> أَمْرٌ بَيْنَ أَمْرَيْنِ </w:t>
      </w:r>
      <w:r w:rsidRPr="00D10E3C">
        <w:rPr>
          <w:rStyle w:val="libFootnotenumChar"/>
          <w:rtl/>
        </w:rPr>
        <w:t>(12)</w:t>
      </w:r>
      <w:r>
        <w:rPr>
          <w:rtl/>
          <w:lang w:bidi="fa-IR"/>
        </w:rPr>
        <w:t xml:space="preserve"> ، لَا يُعْطِي جَمِيعَ مَا عِنْدَهُ ، ثُمَّ يَدْعُو اللهَ أَنْ يَرْزُقَهُ ، فَلَا يَسْتَجِيبُ لَهُ ؛ لِلْحَدِيثِ الَّذِي جَاءَ عَنِ النَّبِيِّ </w:t>
      </w:r>
      <w:r w:rsidR="002F3FF5" w:rsidRPr="002F3FF5">
        <w:rPr>
          <w:rStyle w:val="libAlaemChar"/>
          <w:rtl/>
        </w:rPr>
        <w:t>صلى‌الله‌عليه‌وآله</w:t>
      </w:r>
      <w:r w:rsidR="00D10E3C">
        <w:rPr>
          <w:rtl/>
          <w:lang w:bidi="fa-IR"/>
        </w:rPr>
        <w:t xml:space="preserve"> </w:t>
      </w:r>
      <w:r>
        <w:rPr>
          <w:rtl/>
          <w:lang w:bidi="fa-IR"/>
        </w:rPr>
        <w:t xml:space="preserve">إِنَّ أَصْنَافاً مِنْ أُمَّتِي لَايُسْتَجَابُ لَهُمْ دُعَاؤُهُمْ </w:t>
      </w:r>
      <w:r w:rsidRPr="00D10E3C">
        <w:rPr>
          <w:rStyle w:val="libFootnotenumChar"/>
          <w:rtl/>
        </w:rPr>
        <w:t>(13)</w:t>
      </w:r>
      <w:r>
        <w:rPr>
          <w:rtl/>
          <w:lang w:bidi="fa-IR"/>
        </w:rPr>
        <w:t xml:space="preserve"> : رَجُلٌ يَدْعُو عَلى‌</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ط ، ى ، بس ، بف » </w:t>
      </w:r>
      <w:r w:rsidR="00744A1C" w:rsidRPr="0052496D">
        <w:rPr>
          <w:rtl/>
        </w:rPr>
        <w:t>والوافي</w:t>
      </w:r>
      <w:r w:rsidR="00744A1C">
        <w:rPr>
          <w:rtl/>
          <w:lang w:bidi="fa-IR"/>
        </w:rPr>
        <w:t xml:space="preserve"> والتحف ، وهو مقتضى القاعدة. وفي سائر النسخ والمطبوع : « تدفنوه ».</w:t>
      </w:r>
    </w:p>
    <w:p w:rsidR="00744A1C" w:rsidRDefault="00E378DD" w:rsidP="00E378DD">
      <w:pPr>
        <w:pStyle w:val="libFootnote0"/>
        <w:rPr>
          <w:lang w:bidi="fa-IR"/>
        </w:rPr>
      </w:pPr>
      <w:r>
        <w:rPr>
          <w:rtl/>
          <w:lang w:bidi="fa-IR"/>
        </w:rPr>
        <w:t>(2).</w:t>
      </w:r>
      <w:r w:rsidR="00744A1C">
        <w:rPr>
          <w:rtl/>
          <w:lang w:bidi="fa-IR"/>
        </w:rPr>
        <w:t xml:space="preserve"> في « ط » </w:t>
      </w:r>
      <w:r w:rsidR="00744A1C" w:rsidRPr="0052496D">
        <w:rPr>
          <w:rtl/>
        </w:rPr>
        <w:t>والوافي</w:t>
      </w:r>
      <w:r w:rsidR="00744A1C">
        <w:rPr>
          <w:rtl/>
          <w:lang w:bidi="fa-IR"/>
        </w:rPr>
        <w:t xml:space="preserve"> والتحف : « ترك ».</w:t>
      </w:r>
    </w:p>
    <w:p w:rsidR="00744A1C" w:rsidRDefault="00E378DD" w:rsidP="00E378DD">
      <w:pPr>
        <w:pStyle w:val="libFootnote0"/>
        <w:rPr>
          <w:lang w:bidi="fa-IR"/>
        </w:rPr>
      </w:pPr>
      <w:r>
        <w:rPr>
          <w:rtl/>
          <w:lang w:bidi="fa-IR"/>
        </w:rPr>
        <w:t>(3).</w:t>
      </w:r>
      <w:r w:rsidR="00744A1C">
        <w:rPr>
          <w:rtl/>
          <w:lang w:bidi="fa-IR"/>
        </w:rPr>
        <w:t xml:space="preserve"> الصِبْيَة : جمع الصبيّ. راجع : </w:t>
      </w:r>
      <w:r w:rsidR="00744A1C" w:rsidRPr="00877682">
        <w:rPr>
          <w:rStyle w:val="libFootnoteBoldChar"/>
          <w:rtl/>
        </w:rPr>
        <w:t>لسان العرب</w:t>
      </w:r>
      <w:r w:rsidR="00744A1C">
        <w:rPr>
          <w:rtl/>
          <w:lang w:bidi="fa-IR"/>
        </w:rPr>
        <w:t xml:space="preserve"> ، ج 14 ، ص 450 ( صبو ).</w:t>
      </w:r>
    </w:p>
    <w:p w:rsidR="00744A1C" w:rsidRDefault="00E378DD" w:rsidP="00E378DD">
      <w:pPr>
        <w:pStyle w:val="libFootnote0"/>
        <w:rPr>
          <w:lang w:bidi="fa-IR"/>
        </w:rPr>
      </w:pPr>
      <w:r>
        <w:rPr>
          <w:rtl/>
          <w:lang w:bidi="fa-IR"/>
        </w:rPr>
        <w:t>(4).</w:t>
      </w:r>
      <w:r w:rsidR="00744A1C">
        <w:rPr>
          <w:rtl/>
          <w:lang w:bidi="fa-IR"/>
        </w:rPr>
        <w:t xml:space="preserve"> التكفّف : هو أن يمدّ كفّه يسأل الناس. </w:t>
      </w:r>
      <w:r w:rsidR="00744A1C" w:rsidRPr="00E978C3">
        <w:rPr>
          <w:rStyle w:val="libFootnoteBoldChar"/>
          <w:rtl/>
        </w:rPr>
        <w:t>الصحاح</w:t>
      </w:r>
      <w:r w:rsidR="00744A1C">
        <w:rPr>
          <w:rtl/>
          <w:lang w:bidi="fa-IR"/>
        </w:rPr>
        <w:t xml:space="preserve"> ، ج 4 ، ص 1423 ( كفف ).</w:t>
      </w:r>
    </w:p>
    <w:p w:rsidR="00744A1C" w:rsidRDefault="00E378DD" w:rsidP="00E378DD">
      <w:pPr>
        <w:pStyle w:val="libFootnote0"/>
        <w:rPr>
          <w:lang w:bidi="fa-IR"/>
        </w:rPr>
      </w:pPr>
      <w:r>
        <w:rPr>
          <w:rtl/>
          <w:lang w:bidi="fa-IR"/>
        </w:rPr>
        <w:t>(5).</w:t>
      </w:r>
      <w:r w:rsidR="00744A1C">
        <w:rPr>
          <w:rtl/>
          <w:lang w:bidi="fa-IR"/>
        </w:rPr>
        <w:t xml:space="preserve"> القَتْر : تقليل النفقة ، وهو بإزاء الإسراف ، وكلاهما مذمومان. </w:t>
      </w:r>
      <w:r w:rsidR="00744A1C" w:rsidRPr="002D57AD">
        <w:rPr>
          <w:rStyle w:val="libFootnoteBoldChar"/>
          <w:rtl/>
        </w:rPr>
        <w:t>المفردات للراغب</w:t>
      </w:r>
      <w:r w:rsidR="00744A1C">
        <w:rPr>
          <w:rtl/>
          <w:lang w:bidi="fa-IR"/>
        </w:rPr>
        <w:t xml:space="preserve"> ، ص 655 ( قتر ).</w:t>
      </w:r>
    </w:p>
    <w:p w:rsidR="00744A1C" w:rsidRDefault="00E378DD" w:rsidP="00E378DD">
      <w:pPr>
        <w:pStyle w:val="libFootnote0"/>
        <w:rPr>
          <w:lang w:bidi="fa-IR"/>
        </w:rPr>
      </w:pPr>
      <w:r>
        <w:rPr>
          <w:rtl/>
          <w:lang w:bidi="fa-IR"/>
        </w:rPr>
        <w:t>(6).</w:t>
      </w:r>
      <w:r w:rsidR="00744A1C">
        <w:rPr>
          <w:rtl/>
          <w:lang w:bidi="fa-IR"/>
        </w:rPr>
        <w:t xml:space="preserve"> الفرقان (25) : 67. والقَوام : العدل والاعتدال ، أي كان الإنفاق ذا قوام بين الإسراف والإقتار. وقال البيضاوي : « وسطاً عدلاً ، سمّي به لاستقامة الطرفين ، كما سمّي سواء لاستوائهما ». راجع : </w:t>
      </w:r>
      <w:r w:rsidR="00744A1C" w:rsidRPr="0052496D">
        <w:rPr>
          <w:rStyle w:val="libFootnoteBoldChar"/>
          <w:rtl/>
        </w:rPr>
        <w:t>مجمع البيان</w:t>
      </w:r>
      <w:r w:rsidR="00744A1C">
        <w:rPr>
          <w:rtl/>
          <w:lang w:bidi="fa-IR"/>
        </w:rPr>
        <w:t xml:space="preserve"> ، ج 7 ، ص 309 ؛ </w:t>
      </w:r>
      <w:r w:rsidR="00744A1C" w:rsidRPr="0052496D">
        <w:rPr>
          <w:rStyle w:val="libFootnoteBoldChar"/>
          <w:rtl/>
        </w:rPr>
        <w:t>تفسير البيضاوي</w:t>
      </w:r>
      <w:r w:rsidR="00744A1C">
        <w:rPr>
          <w:rtl/>
          <w:lang w:bidi="fa-IR"/>
        </w:rPr>
        <w:t xml:space="preserve"> ، ج 4 ، ص 228 ؛ </w:t>
      </w:r>
      <w:r w:rsidR="00744A1C" w:rsidRPr="00E978C3">
        <w:rPr>
          <w:rStyle w:val="libFootnoteBoldChar"/>
          <w:rtl/>
        </w:rPr>
        <w:t>المصباح المنير</w:t>
      </w:r>
      <w:r w:rsidR="00744A1C">
        <w:rPr>
          <w:rtl/>
          <w:lang w:bidi="fa-IR"/>
        </w:rPr>
        <w:t xml:space="preserve"> ، ص 520 ( قوم ).</w:t>
      </w:r>
    </w:p>
    <w:p w:rsidR="00744A1C" w:rsidRDefault="00E378DD" w:rsidP="00E378DD">
      <w:pPr>
        <w:pStyle w:val="libFootnote0"/>
        <w:rPr>
          <w:lang w:bidi="fa-IR"/>
        </w:rPr>
      </w:pPr>
      <w:r>
        <w:rPr>
          <w:rtl/>
          <w:lang w:bidi="fa-IR"/>
        </w:rPr>
        <w:t>(7).</w:t>
      </w:r>
      <w:r w:rsidR="00744A1C">
        <w:rPr>
          <w:rtl/>
          <w:lang w:bidi="fa-IR"/>
        </w:rPr>
        <w:t xml:space="preserve"> في التحف : « عيّر » بدل « قال : غير ».</w:t>
      </w:r>
    </w:p>
    <w:p w:rsidR="00744A1C" w:rsidRDefault="00E378DD" w:rsidP="00E378DD">
      <w:pPr>
        <w:pStyle w:val="libFootnote0"/>
        <w:rPr>
          <w:lang w:bidi="fa-IR"/>
        </w:rPr>
      </w:pPr>
      <w:r>
        <w:rPr>
          <w:rtl/>
          <w:lang w:bidi="fa-IR"/>
        </w:rPr>
        <w:t>(8).</w:t>
      </w:r>
      <w:r w:rsidR="00744A1C">
        <w:rPr>
          <w:rtl/>
          <w:lang w:bidi="fa-IR"/>
        </w:rPr>
        <w:t xml:space="preserve"> « الأَثَرَةُ » بفتح الهمزة والثاء : اسم من آثَرَ يُؤْثِرُ إيثاراً ، إذا أعطى. </w:t>
      </w:r>
      <w:r w:rsidR="00744A1C" w:rsidRPr="00877682">
        <w:rPr>
          <w:rStyle w:val="libFootnoteBoldChar"/>
          <w:rtl/>
        </w:rPr>
        <w:t>لسان العرب</w:t>
      </w:r>
      <w:r w:rsidR="00744A1C">
        <w:rPr>
          <w:rtl/>
          <w:lang w:bidi="fa-IR"/>
        </w:rPr>
        <w:t xml:space="preserve"> ، ج 4 ، ص 8 ( أثر ).</w:t>
      </w:r>
    </w:p>
    <w:p w:rsidR="00744A1C" w:rsidRDefault="00E378DD" w:rsidP="00E378DD">
      <w:pPr>
        <w:pStyle w:val="libFootnote0"/>
        <w:rPr>
          <w:lang w:bidi="fa-IR"/>
        </w:rPr>
      </w:pPr>
      <w:r>
        <w:rPr>
          <w:rtl/>
          <w:lang w:bidi="fa-IR"/>
        </w:rPr>
        <w:t>(9).</w:t>
      </w:r>
      <w:r w:rsidR="00744A1C">
        <w:rPr>
          <w:rtl/>
          <w:lang w:bidi="fa-IR"/>
        </w:rPr>
        <w:t xml:space="preserve"> في « بس ، جد ، جن » </w:t>
      </w:r>
      <w:r w:rsidR="00744A1C" w:rsidRPr="0052496D">
        <w:rPr>
          <w:rtl/>
        </w:rPr>
        <w:t>والبحار</w:t>
      </w:r>
      <w:r w:rsidR="00744A1C">
        <w:rPr>
          <w:rtl/>
          <w:lang w:bidi="fa-IR"/>
        </w:rPr>
        <w:t xml:space="preserve"> : - « الناس ». وفي التحف : - « الناس إليه من الإثرة على أنفسهم ، وسمّى من فعل‌ما تدعون الناس ».</w:t>
      </w:r>
    </w:p>
    <w:p w:rsidR="00744A1C" w:rsidRDefault="00E378DD" w:rsidP="00E378DD">
      <w:pPr>
        <w:pStyle w:val="libFootnote0"/>
        <w:rPr>
          <w:lang w:bidi="fa-IR"/>
        </w:rPr>
      </w:pPr>
      <w:r>
        <w:rPr>
          <w:rtl/>
          <w:lang w:bidi="fa-IR"/>
        </w:rPr>
        <w:t>(10).</w:t>
      </w:r>
      <w:r w:rsidR="00744A1C">
        <w:rPr>
          <w:rtl/>
          <w:lang w:bidi="fa-IR"/>
        </w:rPr>
        <w:t xml:space="preserve"> الأنعام </w:t>
      </w:r>
      <w:r w:rsidR="0052496D">
        <w:rPr>
          <w:rtl/>
          <w:lang w:bidi="fa-IR"/>
        </w:rPr>
        <w:t>(6)</w:t>
      </w:r>
      <w:r w:rsidR="00744A1C">
        <w:rPr>
          <w:rtl/>
          <w:lang w:bidi="fa-IR"/>
        </w:rPr>
        <w:t xml:space="preserve"> : 141 ؛ الأعراف </w:t>
      </w:r>
      <w:r w:rsidR="0052496D">
        <w:rPr>
          <w:rtl/>
          <w:lang w:bidi="fa-IR"/>
        </w:rPr>
        <w:t>(7)</w:t>
      </w:r>
      <w:r w:rsidR="00744A1C">
        <w:rPr>
          <w:rtl/>
          <w:lang w:bidi="fa-IR"/>
        </w:rPr>
        <w:t xml:space="preserve"> : 31.</w:t>
      </w:r>
    </w:p>
    <w:p w:rsidR="00744A1C" w:rsidRDefault="00E378DD" w:rsidP="00E378DD">
      <w:pPr>
        <w:pStyle w:val="libFootnote0"/>
        <w:rPr>
          <w:lang w:bidi="fa-IR"/>
        </w:rPr>
      </w:pPr>
      <w:r>
        <w:rPr>
          <w:rtl/>
          <w:lang w:bidi="fa-IR"/>
        </w:rPr>
        <w:t>(11).</w:t>
      </w:r>
      <w:r w:rsidR="00744A1C">
        <w:rPr>
          <w:rtl/>
          <w:lang w:bidi="fa-IR"/>
        </w:rPr>
        <w:t xml:space="preserve"> في « ط ، ى ، بح ، جد ، جت » </w:t>
      </w:r>
      <w:r w:rsidR="00744A1C" w:rsidRPr="0052496D">
        <w:rPr>
          <w:rtl/>
        </w:rPr>
        <w:t>والوافي والوسائل</w:t>
      </w:r>
      <w:r w:rsidR="00744A1C">
        <w:rPr>
          <w:rtl/>
          <w:lang w:bidi="fa-IR"/>
        </w:rPr>
        <w:t xml:space="preserve"> ، ح 21893 والتحف : « لكن » بدون الواو.</w:t>
      </w:r>
    </w:p>
    <w:tbl>
      <w:tblPr>
        <w:tblStyle w:val="TableGrid"/>
        <w:bidiVisual/>
        <w:tblW w:w="0" w:type="auto"/>
        <w:tblLook w:val="04A0" w:firstRow="1" w:lastRow="0" w:firstColumn="1" w:lastColumn="0" w:noHBand="0" w:noVBand="1"/>
      </w:tblPr>
      <w:tblGrid>
        <w:gridCol w:w="4006"/>
        <w:gridCol w:w="4006"/>
      </w:tblGrid>
      <w:tr w:rsidR="0052496D" w:rsidTr="0052496D">
        <w:tc>
          <w:tcPr>
            <w:tcW w:w="4006" w:type="dxa"/>
          </w:tcPr>
          <w:p w:rsidR="0052496D" w:rsidRDefault="0052496D" w:rsidP="00E378DD">
            <w:pPr>
              <w:pStyle w:val="libFootnote0"/>
              <w:rPr>
                <w:rtl/>
                <w:lang w:bidi="fa-IR"/>
              </w:rPr>
            </w:pPr>
            <w:r>
              <w:rPr>
                <w:rtl/>
                <w:lang w:bidi="fa-IR"/>
              </w:rPr>
              <w:t xml:space="preserve">(12). في </w:t>
            </w:r>
            <w:r w:rsidRPr="0052496D">
              <w:rPr>
                <w:rtl/>
              </w:rPr>
              <w:t>البحار</w:t>
            </w:r>
            <w:r>
              <w:rPr>
                <w:rtl/>
                <w:lang w:bidi="fa-IR"/>
              </w:rPr>
              <w:t xml:space="preserve"> : « الأمرين ».</w:t>
            </w:r>
          </w:p>
        </w:tc>
        <w:tc>
          <w:tcPr>
            <w:tcW w:w="4006" w:type="dxa"/>
          </w:tcPr>
          <w:p w:rsidR="0052496D" w:rsidRDefault="0052496D" w:rsidP="00E378DD">
            <w:pPr>
              <w:pStyle w:val="libFootnote0"/>
              <w:rPr>
                <w:rtl/>
                <w:lang w:bidi="fa-IR"/>
              </w:rPr>
            </w:pPr>
            <w:r>
              <w:rPr>
                <w:rtl/>
                <w:lang w:bidi="fa-IR"/>
              </w:rPr>
              <w:t>(13). في « ط » : « في دعائهم ».</w:t>
            </w:r>
          </w:p>
        </w:tc>
      </w:tr>
    </w:tbl>
    <w:p w:rsidR="006A5060" w:rsidRDefault="006A5060" w:rsidP="00D10E3C">
      <w:pPr>
        <w:pStyle w:val="libNormal"/>
        <w:rPr>
          <w:rtl/>
          <w:lang w:bidi="fa-IR"/>
        </w:rPr>
      </w:pPr>
      <w:r>
        <w:rPr>
          <w:rtl/>
          <w:lang w:bidi="fa-IR"/>
        </w:rPr>
        <w:br w:type="page"/>
      </w:r>
    </w:p>
    <w:p w:rsidR="00744A1C" w:rsidRDefault="00744A1C" w:rsidP="0052496D">
      <w:pPr>
        <w:pStyle w:val="libNormal0"/>
        <w:rPr>
          <w:lang w:bidi="fa-IR"/>
        </w:rPr>
      </w:pPr>
      <w:r>
        <w:rPr>
          <w:rtl/>
          <w:lang w:bidi="fa-IR"/>
        </w:rPr>
        <w:t xml:space="preserve">وَالِدَيْهِ ؛ وَرَجُلٌ يَدْعُو عَلى غَرِيمٍ </w:t>
      </w:r>
      <w:r w:rsidRPr="00D10E3C">
        <w:rPr>
          <w:rStyle w:val="libFootnotenumChar"/>
          <w:rtl/>
        </w:rPr>
        <w:t>(1)</w:t>
      </w:r>
      <w:r>
        <w:rPr>
          <w:rtl/>
          <w:lang w:bidi="fa-IR"/>
        </w:rPr>
        <w:t xml:space="preserve"> ذَهَبَ لَهُ بِمَالٍ </w:t>
      </w:r>
      <w:r w:rsidRPr="00D10E3C">
        <w:rPr>
          <w:rStyle w:val="libFootnotenumChar"/>
          <w:rtl/>
        </w:rPr>
        <w:t>(2)</w:t>
      </w:r>
      <w:r>
        <w:rPr>
          <w:rtl/>
          <w:lang w:bidi="fa-IR"/>
        </w:rPr>
        <w:t xml:space="preserve"> ، فَلَمْ يَكْتُبْ عَلَيْهِ </w:t>
      </w:r>
      <w:r w:rsidRPr="00D10E3C">
        <w:rPr>
          <w:rStyle w:val="libFootnotenumChar"/>
          <w:rtl/>
        </w:rPr>
        <w:t>(3)</w:t>
      </w:r>
      <w:r>
        <w:rPr>
          <w:rtl/>
          <w:lang w:bidi="fa-IR"/>
        </w:rPr>
        <w:t xml:space="preserve"> ، وَلَمْ يُشْهِدْ عَلَيْهِ </w:t>
      </w:r>
      <w:r w:rsidRPr="00D10E3C">
        <w:rPr>
          <w:rStyle w:val="libFootnotenumChar"/>
          <w:rtl/>
        </w:rPr>
        <w:t>(4)</w:t>
      </w:r>
      <w:r>
        <w:rPr>
          <w:rtl/>
          <w:lang w:bidi="fa-IR"/>
        </w:rPr>
        <w:t xml:space="preserve"> ؛ وَرَجُلٌ يَدْعُو عَلَى امْرَأَتِهِ وَقَدْ جَعَلَ اللهُ - عَزَّ وَجَلَّ </w:t>
      </w:r>
      <w:r w:rsidRPr="00D10E3C">
        <w:rPr>
          <w:rStyle w:val="libFootnotenumChar"/>
          <w:rtl/>
        </w:rPr>
        <w:t>(5)</w:t>
      </w:r>
      <w:r>
        <w:rPr>
          <w:rtl/>
          <w:lang w:bidi="fa-IR"/>
        </w:rPr>
        <w:t xml:space="preserve"> - تَخْلِيَةَ سَبِيلِهَا بِيَدِهِ ؛ وَرَجُلٌ يَقْعُدُ فِي بَيْتِهِ </w:t>
      </w:r>
      <w:r w:rsidRPr="00D10E3C">
        <w:rPr>
          <w:rStyle w:val="libFootnotenumChar"/>
          <w:rtl/>
        </w:rPr>
        <w:t>(6)</w:t>
      </w:r>
      <w:r>
        <w:rPr>
          <w:rtl/>
          <w:lang w:bidi="fa-IR"/>
        </w:rPr>
        <w:t xml:space="preserve"> ، وَيَقُولُ : رَبِّ </w:t>
      </w:r>
      <w:r w:rsidRPr="00D10E3C">
        <w:rPr>
          <w:rStyle w:val="libFootnotenumChar"/>
          <w:rtl/>
        </w:rPr>
        <w:t>(7)</w:t>
      </w:r>
      <w:r>
        <w:rPr>
          <w:rtl/>
          <w:lang w:bidi="fa-IR"/>
        </w:rPr>
        <w:t xml:space="preserve"> ارْزُقْنِي ، وَلَا يَخْرُجُ ، وَلَا يَطْلُبُ </w:t>
      </w:r>
      <w:r w:rsidRPr="00D10E3C">
        <w:rPr>
          <w:rStyle w:val="libFootnotenumChar"/>
          <w:rtl/>
        </w:rPr>
        <w:t>(8)</w:t>
      </w:r>
      <w:r>
        <w:rPr>
          <w:rtl/>
          <w:lang w:bidi="fa-IR"/>
        </w:rPr>
        <w:t xml:space="preserve"> الرِّزْقَ ، فَيَقُولُ اللهُ - عَزَّ وَجَلَّ - لَهُ : عَبْدِي ، أَلَمْ أَجْعَلْ لَكَ السَّبِيلَ إِلَى الطَّلَبِ وَالضَّرْبِ </w:t>
      </w:r>
      <w:r w:rsidRPr="00D10E3C">
        <w:rPr>
          <w:rStyle w:val="libFootnotenumChar"/>
          <w:rtl/>
        </w:rPr>
        <w:t>(9)</w:t>
      </w:r>
      <w:r>
        <w:rPr>
          <w:rtl/>
          <w:lang w:bidi="fa-IR"/>
        </w:rPr>
        <w:t xml:space="preserve"> فِي الْأَرْضِ بِجَوَارِحَ صَحِيحَةٍ ، فَتَكُونَ </w:t>
      </w:r>
      <w:r w:rsidRPr="00D10E3C">
        <w:rPr>
          <w:rStyle w:val="libFootnotenumChar"/>
          <w:rtl/>
        </w:rPr>
        <w:t>(10)</w:t>
      </w:r>
      <w:r>
        <w:rPr>
          <w:rtl/>
          <w:lang w:bidi="fa-IR"/>
        </w:rPr>
        <w:t xml:space="preserve"> قَدْ أُعْذِرْتَ فِيمَا بَيْنِي وَبَيْنَكَ فِي الطَّلَبِ لِاتِّبَاعِ أَمْرِي ، وَلِكَيْلَا تَكُونَ كَلًّا </w:t>
      </w:r>
      <w:r w:rsidRPr="00D10E3C">
        <w:rPr>
          <w:rStyle w:val="libFootnotenumChar"/>
          <w:rtl/>
        </w:rPr>
        <w:t>(11)</w:t>
      </w:r>
      <w:r>
        <w:rPr>
          <w:rtl/>
          <w:lang w:bidi="fa-IR"/>
        </w:rPr>
        <w:t xml:space="preserve"> عَلى أَهْلِكَ ، فَإِنْ شِئْتُ رَزَقْتُكَ ، وَإِنْ شِئْتُ قَتَّرْتُ عَلَيْكَ وَأَنْتَ </w:t>
      </w:r>
      <w:r w:rsidRPr="00D10E3C">
        <w:rPr>
          <w:rStyle w:val="libFootnotenumChar"/>
          <w:rtl/>
        </w:rPr>
        <w:t>(12)</w:t>
      </w:r>
      <w:r>
        <w:rPr>
          <w:rtl/>
          <w:lang w:bidi="fa-IR"/>
        </w:rPr>
        <w:t xml:space="preserve"> مَعْذُورٌ عِنْدِي ؛ وَرَجُلٌ رَزَقَهُ اللهُ - عَزَّ وَجَلَّ - مَالاً كَثِيراً ، فَأَنْفَقَهُ ، ثُمَّ أَقْبَلَ يَدْعُو : يَا رَبِّ ، ارْزُقْنِي ، فَيَقُولُ </w:t>
      </w:r>
      <w:r w:rsidRPr="00D10E3C">
        <w:rPr>
          <w:rStyle w:val="libFootnotenumChar"/>
          <w:rtl/>
        </w:rPr>
        <w:t>(13)</w:t>
      </w:r>
      <w:r>
        <w:rPr>
          <w:rtl/>
          <w:lang w:bidi="fa-IR"/>
        </w:rPr>
        <w:t xml:space="preserve"> اللهُ عَزَّ وَجَلَّ - : أَلَمْ أَرْزُقْكَ رِزقاً وَاسِعاً ،</w:t>
      </w:r>
      <w:r w:rsidR="0052496D">
        <w:rPr>
          <w:rtl/>
          <w:lang w:bidi="fa-IR"/>
        </w:rPr>
        <w:t xml:space="preserve"> فَهَل</w:t>
      </w:r>
      <w:r w:rsidR="0052496D">
        <w:rPr>
          <w:rFonts w:hint="cs"/>
          <w:rtl/>
          <w:lang w:bidi="fa-IR"/>
        </w:rPr>
        <w:t>َّ</w:t>
      </w:r>
      <w:r w:rsidR="0052496D">
        <w:rPr>
          <w:rtl/>
          <w:lang w:bidi="fa-IR"/>
        </w:rPr>
        <w:t>ا</w:t>
      </w:r>
      <w:r>
        <w:rPr>
          <w:rtl/>
          <w:lang w:bidi="fa-IR"/>
        </w:rPr>
        <w:t xml:space="preserve"> اقْتَصَدْتَ فِيهِ كَمَا أَمَرْتُكَ ، وَلِمَ تُسْرِفُ وَقَدْ </w:t>
      </w:r>
      <w:r w:rsidRPr="00D10E3C">
        <w:rPr>
          <w:rStyle w:val="libFootnotenumChar"/>
          <w:rtl/>
        </w:rPr>
        <w:t>(14)</w:t>
      </w:r>
      <w:r>
        <w:rPr>
          <w:rtl/>
          <w:lang w:bidi="fa-IR"/>
        </w:rPr>
        <w:t xml:space="preserve"> نَهَيْتُكَ عَنِ الْإِسْرَافِ </w:t>
      </w:r>
      <w:r w:rsidRPr="00D10E3C">
        <w:rPr>
          <w:rStyle w:val="libFootnotenumChar"/>
          <w:rtl/>
        </w:rPr>
        <w:t>(15)</w:t>
      </w:r>
      <w:r>
        <w:rPr>
          <w:rtl/>
          <w:lang w:bidi="fa-IR"/>
        </w:rPr>
        <w:t xml:space="preserve"> ؛ وَرَجُلٌ يَدْعُو فِي قَطِيعَةِ رَحِمٍ.</w:t>
      </w:r>
    </w:p>
    <w:p w:rsidR="00144FA6" w:rsidRDefault="00744A1C" w:rsidP="00744A1C">
      <w:pPr>
        <w:pStyle w:val="libNormal"/>
        <w:rPr>
          <w:rtl/>
          <w:lang w:bidi="fa-IR"/>
        </w:rPr>
      </w:pPr>
      <w:r>
        <w:rPr>
          <w:rtl/>
          <w:lang w:bidi="fa-IR"/>
        </w:rPr>
        <w:t xml:space="preserve">ثُمَّ عَلَّمَ اللهُ - عَزَّ وَجَلَّ - نَبِيَّهُ </w:t>
      </w:r>
      <w:r w:rsidR="005E465D" w:rsidRPr="005E465D">
        <w:rPr>
          <w:rStyle w:val="libAlaemChar"/>
          <w:rtl/>
        </w:rPr>
        <w:t>صلى‌الله‌عليه‌وآله</w:t>
      </w:r>
      <w:r>
        <w:rPr>
          <w:rtl/>
          <w:lang w:bidi="fa-IR"/>
        </w:rPr>
        <w:t xml:space="preserve"> كَيْفَ يُنْفِقُ ، وَذلِكَ أَنَّهُ كَانَتْ </w:t>
      </w:r>
      <w:r w:rsidRPr="00D10E3C">
        <w:rPr>
          <w:rStyle w:val="libFootnotenumChar"/>
          <w:rtl/>
        </w:rPr>
        <w:t>(16)</w:t>
      </w:r>
      <w:r>
        <w:rPr>
          <w:rtl/>
          <w:lang w:bidi="fa-IR"/>
        </w:rPr>
        <w:t xml:space="preserve"> عِنْدَهُ أُوقِيَّةٌ </w:t>
      </w:r>
      <w:r w:rsidRPr="00D10E3C">
        <w:rPr>
          <w:rStyle w:val="libFootnotenumChar"/>
          <w:rtl/>
        </w:rPr>
        <w:t>(17)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غريمه ». والغَريم : الذي عليه الدَّيْن. </w:t>
      </w:r>
      <w:r w:rsidR="00744A1C" w:rsidRPr="00E978C3">
        <w:rPr>
          <w:rStyle w:val="libFootnoteBoldChar"/>
          <w:rtl/>
        </w:rPr>
        <w:t>الصحاح</w:t>
      </w:r>
      <w:r w:rsidR="00744A1C">
        <w:rPr>
          <w:rtl/>
          <w:lang w:bidi="fa-IR"/>
        </w:rPr>
        <w:t xml:space="preserve"> ، ج 5 ، ص 1996 ( غرم ).</w:t>
      </w:r>
    </w:p>
    <w:p w:rsidR="00744A1C" w:rsidRDefault="00E378DD" w:rsidP="00E378DD">
      <w:pPr>
        <w:pStyle w:val="libFootnote0"/>
        <w:rPr>
          <w:lang w:bidi="fa-IR"/>
        </w:rPr>
      </w:pPr>
      <w:r>
        <w:rPr>
          <w:rtl/>
          <w:lang w:bidi="fa-IR"/>
        </w:rPr>
        <w:t>(2).</w:t>
      </w:r>
      <w:r w:rsidR="00744A1C">
        <w:rPr>
          <w:rtl/>
          <w:lang w:bidi="fa-IR"/>
        </w:rPr>
        <w:t xml:space="preserve"> في « جت » </w:t>
      </w:r>
      <w:r w:rsidR="00744A1C" w:rsidRPr="0052496D">
        <w:rPr>
          <w:rtl/>
        </w:rPr>
        <w:t>والوسائل</w:t>
      </w:r>
      <w:r w:rsidR="00744A1C">
        <w:rPr>
          <w:rtl/>
          <w:lang w:bidi="fa-IR"/>
        </w:rPr>
        <w:t xml:space="preserve"> ، 21893 : « بماله ».</w:t>
      </w:r>
    </w:p>
    <w:p w:rsidR="00744A1C" w:rsidRDefault="00E378DD" w:rsidP="00E378DD">
      <w:pPr>
        <w:pStyle w:val="libFootnote0"/>
        <w:rPr>
          <w:lang w:bidi="fa-IR"/>
        </w:rPr>
      </w:pPr>
      <w:r>
        <w:rPr>
          <w:rtl/>
          <w:lang w:bidi="fa-IR"/>
        </w:rPr>
        <w:t>(3).</w:t>
      </w:r>
      <w:r w:rsidR="00744A1C">
        <w:rPr>
          <w:rtl/>
          <w:lang w:bidi="fa-IR"/>
        </w:rPr>
        <w:t xml:space="preserve"> في « ط » : + « كتاباً ». وفي « بح » وحاشية « جت » : « له ».</w:t>
      </w:r>
    </w:p>
    <w:p w:rsidR="00744A1C" w:rsidRDefault="00E378DD" w:rsidP="00E378DD">
      <w:pPr>
        <w:pStyle w:val="libFootnote0"/>
        <w:rPr>
          <w:lang w:bidi="fa-IR"/>
        </w:rPr>
      </w:pPr>
      <w:r>
        <w:rPr>
          <w:rtl/>
          <w:lang w:bidi="fa-IR"/>
        </w:rPr>
        <w:t>(4).</w:t>
      </w:r>
      <w:r w:rsidR="00744A1C">
        <w:rPr>
          <w:rtl/>
          <w:lang w:bidi="fa-IR"/>
        </w:rPr>
        <w:t xml:space="preserve"> في « بف » : - « ورجل يدعو على غريم » إلى هنا.</w:t>
      </w:r>
    </w:p>
    <w:p w:rsidR="00744A1C" w:rsidRDefault="00E378DD" w:rsidP="00E378DD">
      <w:pPr>
        <w:pStyle w:val="libFootnote0"/>
        <w:rPr>
          <w:lang w:bidi="fa-IR"/>
        </w:rPr>
      </w:pPr>
      <w:r>
        <w:rPr>
          <w:rtl/>
          <w:lang w:bidi="fa-IR"/>
        </w:rPr>
        <w:t>(5).</w:t>
      </w:r>
      <w:r w:rsidR="00744A1C">
        <w:rPr>
          <w:rtl/>
          <w:lang w:bidi="fa-IR"/>
        </w:rPr>
        <w:t xml:space="preserve"> في « ط » : « جلّ وعزّ إليه ».</w:t>
      </w:r>
    </w:p>
    <w:p w:rsidR="00744A1C" w:rsidRDefault="00E378DD" w:rsidP="00E378DD">
      <w:pPr>
        <w:pStyle w:val="libFootnote0"/>
        <w:rPr>
          <w:lang w:bidi="fa-IR"/>
        </w:rPr>
      </w:pPr>
      <w:r>
        <w:rPr>
          <w:rtl/>
          <w:lang w:bidi="fa-IR"/>
        </w:rPr>
        <w:t>(6).</w:t>
      </w:r>
      <w:r w:rsidR="00744A1C">
        <w:rPr>
          <w:rtl/>
          <w:lang w:bidi="fa-IR"/>
        </w:rPr>
        <w:t xml:space="preserve"> في « ط » وحاشية « بح ، بف » والتحف : « في البيت ».</w:t>
      </w:r>
    </w:p>
    <w:tbl>
      <w:tblPr>
        <w:tblStyle w:val="TableGrid"/>
        <w:bidiVisual/>
        <w:tblW w:w="0" w:type="auto"/>
        <w:tblLook w:val="04A0" w:firstRow="1" w:lastRow="0" w:firstColumn="1" w:lastColumn="0" w:noHBand="0" w:noVBand="1"/>
      </w:tblPr>
      <w:tblGrid>
        <w:gridCol w:w="4006"/>
        <w:gridCol w:w="4006"/>
      </w:tblGrid>
      <w:tr w:rsidR="0052496D" w:rsidTr="0052496D">
        <w:tc>
          <w:tcPr>
            <w:tcW w:w="4006" w:type="dxa"/>
          </w:tcPr>
          <w:p w:rsidR="0052496D" w:rsidRDefault="0052496D" w:rsidP="00E378DD">
            <w:pPr>
              <w:pStyle w:val="libFootnote0"/>
              <w:rPr>
                <w:rtl/>
                <w:lang w:bidi="fa-IR"/>
              </w:rPr>
            </w:pPr>
            <w:r>
              <w:rPr>
                <w:rtl/>
                <w:lang w:bidi="fa-IR"/>
              </w:rPr>
              <w:t xml:space="preserve">(7). في </w:t>
            </w:r>
            <w:r w:rsidRPr="0052496D">
              <w:rPr>
                <w:rtl/>
              </w:rPr>
              <w:t>الوسائل</w:t>
            </w:r>
            <w:r>
              <w:rPr>
                <w:rtl/>
                <w:lang w:bidi="fa-IR"/>
              </w:rPr>
              <w:t xml:space="preserve"> ، ح 21893 والتحف : « يا ربّ ».</w:t>
            </w:r>
          </w:p>
        </w:tc>
        <w:tc>
          <w:tcPr>
            <w:tcW w:w="4006" w:type="dxa"/>
          </w:tcPr>
          <w:p w:rsidR="0052496D" w:rsidRDefault="0052496D" w:rsidP="00E378DD">
            <w:pPr>
              <w:pStyle w:val="libFootnote0"/>
              <w:rPr>
                <w:rtl/>
                <w:lang w:bidi="fa-IR"/>
              </w:rPr>
            </w:pPr>
            <w:r>
              <w:rPr>
                <w:rtl/>
                <w:lang w:bidi="fa-IR"/>
              </w:rPr>
              <w:t>(8). في « ط » والتحف : « يطلب » بدون « ولا ».</w:t>
            </w:r>
          </w:p>
        </w:tc>
      </w:tr>
    </w:tbl>
    <w:p w:rsidR="00744A1C" w:rsidRDefault="00E378DD" w:rsidP="00E378DD">
      <w:pPr>
        <w:pStyle w:val="libFootnote0"/>
        <w:rPr>
          <w:lang w:bidi="fa-IR"/>
        </w:rPr>
      </w:pPr>
      <w:r>
        <w:rPr>
          <w:rtl/>
          <w:lang w:bidi="fa-IR"/>
        </w:rPr>
        <w:t>(9).</w:t>
      </w:r>
      <w:r w:rsidR="00744A1C">
        <w:rPr>
          <w:rtl/>
          <w:lang w:bidi="fa-IR"/>
        </w:rPr>
        <w:t xml:space="preserve"> في « ى ، بف ، جد ، جن » وحاشية « بح ، بس » </w:t>
      </w:r>
      <w:r w:rsidR="00744A1C" w:rsidRPr="0052496D">
        <w:rPr>
          <w:rtl/>
        </w:rPr>
        <w:t>والوسائل</w:t>
      </w:r>
      <w:r w:rsidR="00744A1C">
        <w:rPr>
          <w:rtl/>
          <w:lang w:bidi="fa-IR"/>
        </w:rPr>
        <w:t xml:space="preserve"> ، ح 21893 : « والتصرّف ».</w:t>
      </w:r>
    </w:p>
    <w:p w:rsidR="00744A1C" w:rsidRDefault="00E378DD" w:rsidP="00E378DD">
      <w:pPr>
        <w:pStyle w:val="libFootnote0"/>
        <w:rPr>
          <w:lang w:bidi="fa-IR"/>
        </w:rPr>
      </w:pPr>
      <w:r>
        <w:rPr>
          <w:rtl/>
          <w:lang w:bidi="fa-IR"/>
        </w:rPr>
        <w:t>(10).</w:t>
      </w:r>
      <w:r w:rsidR="00744A1C">
        <w:rPr>
          <w:rtl/>
          <w:lang w:bidi="fa-IR"/>
        </w:rPr>
        <w:t xml:space="preserve"> في « بف » : « فيكون ».</w:t>
      </w:r>
    </w:p>
    <w:p w:rsidR="00744A1C" w:rsidRDefault="00E378DD" w:rsidP="00E378DD">
      <w:pPr>
        <w:pStyle w:val="libFootnote0"/>
        <w:rPr>
          <w:lang w:bidi="fa-IR"/>
        </w:rPr>
      </w:pPr>
      <w:r>
        <w:rPr>
          <w:rtl/>
          <w:lang w:bidi="fa-IR"/>
        </w:rPr>
        <w:t>(11).</w:t>
      </w:r>
      <w:r w:rsidR="00744A1C">
        <w:rPr>
          <w:rtl/>
          <w:lang w:bidi="fa-IR"/>
        </w:rPr>
        <w:t xml:space="preserve"> الكَلُّ : الذي هو عيال وثِقلٌ على صاحبه. </w:t>
      </w:r>
      <w:r w:rsidR="00744A1C" w:rsidRPr="00877682">
        <w:rPr>
          <w:rStyle w:val="libFootnoteBoldChar"/>
          <w:rtl/>
        </w:rPr>
        <w:t>لسان العرب</w:t>
      </w:r>
      <w:r w:rsidR="00744A1C">
        <w:rPr>
          <w:rtl/>
          <w:lang w:bidi="fa-IR"/>
        </w:rPr>
        <w:t xml:space="preserve"> ، ج 11 ، ص 594 ( كلل ).</w:t>
      </w:r>
    </w:p>
    <w:p w:rsidR="00744A1C" w:rsidRDefault="00E378DD" w:rsidP="00E378DD">
      <w:pPr>
        <w:pStyle w:val="libFootnote0"/>
        <w:rPr>
          <w:lang w:bidi="fa-IR"/>
        </w:rPr>
      </w:pPr>
      <w:r>
        <w:rPr>
          <w:rtl/>
          <w:lang w:bidi="fa-IR"/>
        </w:rPr>
        <w:t>(12).</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ح 21893 و</w:t>
      </w:r>
      <w:r w:rsidR="00744A1C" w:rsidRPr="0061079A">
        <w:rPr>
          <w:rStyle w:val="libFootnoteBoldChar"/>
          <w:rtl/>
        </w:rPr>
        <w:t>البحار</w:t>
      </w:r>
      <w:r w:rsidR="00744A1C">
        <w:rPr>
          <w:rtl/>
          <w:lang w:bidi="fa-IR"/>
        </w:rPr>
        <w:t xml:space="preserve"> والتحف. وفي الم</w:t>
      </w:r>
      <w:r w:rsidR="0052496D">
        <w:rPr>
          <w:rtl/>
          <w:lang w:bidi="fa-IR"/>
        </w:rPr>
        <w:t>طبوع : + « غير</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52496D" w:rsidTr="0052496D">
        <w:tc>
          <w:tcPr>
            <w:tcW w:w="4006" w:type="dxa"/>
          </w:tcPr>
          <w:p w:rsidR="0052496D" w:rsidRDefault="0052496D" w:rsidP="00E378DD">
            <w:pPr>
              <w:pStyle w:val="libFootnote0"/>
              <w:rPr>
                <w:rtl/>
                <w:lang w:bidi="fa-IR"/>
              </w:rPr>
            </w:pPr>
            <w:r>
              <w:rPr>
                <w:rtl/>
                <w:lang w:bidi="fa-IR"/>
              </w:rPr>
              <w:t>(13). في « بخ » : « فقال ».</w:t>
            </w:r>
          </w:p>
        </w:tc>
        <w:tc>
          <w:tcPr>
            <w:tcW w:w="4006" w:type="dxa"/>
          </w:tcPr>
          <w:p w:rsidR="0052496D" w:rsidRDefault="0052496D" w:rsidP="00E378DD">
            <w:pPr>
              <w:pStyle w:val="libFootnote0"/>
              <w:rPr>
                <w:rtl/>
                <w:lang w:bidi="fa-IR"/>
              </w:rPr>
            </w:pPr>
            <w:r>
              <w:rPr>
                <w:rtl/>
                <w:lang w:bidi="fa-IR"/>
              </w:rPr>
              <w:t>(14). في «بح»</w:t>
            </w:r>
            <w:r w:rsidR="002F3447">
              <w:rPr>
                <w:rtl/>
                <w:lang w:bidi="fa-IR"/>
              </w:rPr>
              <w:t>:</w:t>
            </w:r>
            <w:r>
              <w:rPr>
                <w:rtl/>
                <w:lang w:bidi="fa-IR"/>
              </w:rPr>
              <w:t>«فقد</w:t>
            </w:r>
            <w:r w:rsidR="002F3447">
              <w:rPr>
                <w:rtl/>
                <w:lang w:bidi="fa-IR"/>
              </w:rPr>
              <w:t>».</w:t>
            </w:r>
            <w:r>
              <w:rPr>
                <w:rtl/>
                <w:lang w:bidi="fa-IR"/>
              </w:rPr>
              <w:t>وفي حاشية «ى»</w:t>
            </w:r>
            <w:r w:rsidR="002F3447">
              <w:rPr>
                <w:rtl/>
                <w:lang w:bidi="fa-IR"/>
              </w:rPr>
              <w:t>:</w:t>
            </w:r>
            <w:r>
              <w:rPr>
                <w:rtl/>
                <w:lang w:bidi="fa-IR"/>
              </w:rPr>
              <w:t>«</w:t>
            </w:r>
            <w:r w:rsidR="002F3447">
              <w:rPr>
                <w:rtl/>
                <w:lang w:bidi="fa-IR"/>
              </w:rPr>
              <w:t>كما قد</w:t>
            </w:r>
            <w:r>
              <w:rPr>
                <w:rtl/>
                <w:lang w:bidi="fa-IR"/>
              </w:rPr>
              <w:t>».</w:t>
            </w:r>
          </w:p>
        </w:tc>
      </w:tr>
      <w:tr w:rsidR="0052496D" w:rsidTr="0052496D">
        <w:tc>
          <w:tcPr>
            <w:tcW w:w="4006" w:type="dxa"/>
          </w:tcPr>
          <w:p w:rsidR="0052496D" w:rsidRDefault="0052496D" w:rsidP="00E378DD">
            <w:pPr>
              <w:pStyle w:val="libFootnote0"/>
              <w:rPr>
                <w:rtl/>
                <w:lang w:bidi="fa-IR"/>
              </w:rPr>
            </w:pPr>
            <w:r>
              <w:rPr>
                <w:rtl/>
                <w:lang w:bidi="fa-IR"/>
              </w:rPr>
              <w:t>(15). في « ط » والتحف : - « عن الإسراف ».</w:t>
            </w:r>
          </w:p>
        </w:tc>
        <w:tc>
          <w:tcPr>
            <w:tcW w:w="4006" w:type="dxa"/>
          </w:tcPr>
          <w:p w:rsidR="0052496D" w:rsidRDefault="0052496D" w:rsidP="00E378DD">
            <w:pPr>
              <w:pStyle w:val="libFootnote0"/>
              <w:rPr>
                <w:rtl/>
                <w:lang w:bidi="fa-IR"/>
              </w:rPr>
            </w:pPr>
            <w:r>
              <w:rPr>
                <w:rtl/>
                <w:lang w:bidi="fa-IR"/>
              </w:rPr>
              <w:t>(16) في « ط » : « كان ».</w:t>
            </w:r>
          </w:p>
        </w:tc>
      </w:tr>
    </w:tbl>
    <w:p w:rsidR="00744A1C" w:rsidRDefault="00744A1C" w:rsidP="00D10E3C">
      <w:pPr>
        <w:pStyle w:val="libFootnote0"/>
        <w:rPr>
          <w:lang w:bidi="fa-IR"/>
        </w:rPr>
      </w:pPr>
      <w:r>
        <w:rPr>
          <w:rtl/>
          <w:lang w:bidi="fa-IR"/>
        </w:rPr>
        <w:t>(17) الا</w:t>
      </w:r>
      <w:r w:rsidR="002F3447">
        <w:rPr>
          <w:rFonts w:hint="cs"/>
          <w:rtl/>
          <w:lang w:bidi="fa-IR"/>
        </w:rPr>
        <w:t>ُ</w:t>
      </w:r>
      <w:r>
        <w:rPr>
          <w:rtl/>
          <w:lang w:bidi="fa-IR"/>
        </w:rPr>
        <w:t>وقيّة - بضمّ الهمزة وتشديد الياء - : أربعون درهماً ؛ قال الجوهري : « وكذلك كان في ما مضي ، فأمّا اليوم في ما يتعارفها الناس ويقدّر عليه الأطبّاء فالا</w:t>
      </w:r>
      <w:r w:rsidR="002F3447">
        <w:rPr>
          <w:rFonts w:hint="cs"/>
          <w:rtl/>
          <w:lang w:bidi="fa-IR"/>
        </w:rPr>
        <w:t>ُ</w:t>
      </w:r>
      <w:r>
        <w:rPr>
          <w:rtl/>
          <w:lang w:bidi="fa-IR"/>
        </w:rPr>
        <w:t xml:space="preserve">وقيّة عندهم وزن عشرة دراهم وخمسة أسباع درهم ». </w:t>
      </w:r>
      <w:r w:rsidRPr="00E978C3">
        <w:rPr>
          <w:rStyle w:val="libFootnoteBoldChar"/>
          <w:rtl/>
        </w:rPr>
        <w:t>الصحاح</w:t>
      </w:r>
      <w:r>
        <w:rPr>
          <w:rtl/>
          <w:lang w:bidi="fa-IR"/>
        </w:rPr>
        <w:t xml:space="preserve"> ، ج 6 ، ص 2528 ( وقى ).</w:t>
      </w:r>
    </w:p>
    <w:p w:rsidR="006A5060" w:rsidRDefault="006A5060" w:rsidP="00D10E3C">
      <w:pPr>
        <w:pStyle w:val="libNormal"/>
        <w:rPr>
          <w:rtl/>
          <w:lang w:bidi="fa-IR"/>
        </w:rPr>
      </w:pPr>
      <w:r>
        <w:rPr>
          <w:rtl/>
          <w:lang w:bidi="fa-IR"/>
        </w:rPr>
        <w:br w:type="page"/>
      </w:r>
    </w:p>
    <w:p w:rsidR="00744A1C" w:rsidRDefault="00744A1C" w:rsidP="002F3447">
      <w:pPr>
        <w:pStyle w:val="libNormal0"/>
        <w:rPr>
          <w:lang w:bidi="fa-IR"/>
        </w:rPr>
      </w:pPr>
      <w:r>
        <w:rPr>
          <w:rtl/>
          <w:lang w:bidi="fa-IR"/>
        </w:rPr>
        <w:t xml:space="preserve">مِنَ الذَّهَبِ </w:t>
      </w:r>
      <w:r w:rsidRPr="00D10E3C">
        <w:rPr>
          <w:rStyle w:val="libFootnotenumChar"/>
          <w:rtl/>
        </w:rPr>
        <w:t>(1)</w:t>
      </w:r>
      <w:r>
        <w:rPr>
          <w:rtl/>
          <w:lang w:bidi="fa-IR"/>
        </w:rPr>
        <w:t xml:space="preserve"> ، فَكَرِهَ أَنْ يَبِيتَ </w:t>
      </w:r>
      <w:r w:rsidRPr="00D10E3C">
        <w:rPr>
          <w:rStyle w:val="libFootnotenumChar"/>
          <w:rtl/>
        </w:rPr>
        <w:t>(2)</w:t>
      </w:r>
      <w:r>
        <w:rPr>
          <w:rtl/>
          <w:lang w:bidi="fa-IR"/>
        </w:rPr>
        <w:t xml:space="preserve"> عِنْدَهُ ، فَتَصَدَّقَ بِهَا ، فَأَصْبَحَ </w:t>
      </w:r>
      <w:r w:rsidRPr="00D10E3C">
        <w:rPr>
          <w:rStyle w:val="libFootnotenumChar"/>
          <w:rtl/>
        </w:rPr>
        <w:t>(3)</w:t>
      </w:r>
      <w:r>
        <w:rPr>
          <w:rtl/>
          <w:lang w:bidi="fa-IR"/>
        </w:rPr>
        <w:t xml:space="preserve"> وَلَيْسَ </w:t>
      </w:r>
      <w:r w:rsidRPr="00D10E3C">
        <w:rPr>
          <w:rStyle w:val="libFootnotenumChar"/>
          <w:rtl/>
        </w:rPr>
        <w:t>(4)</w:t>
      </w:r>
      <w:r>
        <w:rPr>
          <w:rtl/>
          <w:lang w:bidi="fa-IR"/>
        </w:rPr>
        <w:t xml:space="preserve"> عِنْدَهُ شَيْ‌ءٌ ، وَجَاءَهُ مَنْ يَسْأَلُهُ ، فَلَمْ يَكُنْ عِنْدَهُ مَا يُعْطِيهِ ، فَلَامَهُ السَّائِلُ ، وَاغْتَمَّ هُوَ حَيْثُ لَمْ يَكُنْ عِنْدَهُ مَا يُعْطِيهِ وَكَانَ رَحِيماً رَقِيقاً </w:t>
      </w:r>
      <w:r w:rsidRPr="00D10E3C">
        <w:rPr>
          <w:rStyle w:val="libFootnotenumChar"/>
          <w:rtl/>
        </w:rPr>
        <w:t>(5)</w:t>
      </w:r>
      <w:r>
        <w:rPr>
          <w:rtl/>
          <w:lang w:bidi="fa-IR"/>
        </w:rPr>
        <w:t xml:space="preserve"> </w:t>
      </w:r>
      <w:r w:rsidR="002F3447" w:rsidRPr="002F3447">
        <w:rPr>
          <w:rStyle w:val="libAlaemChar"/>
          <w:rtl/>
        </w:rPr>
        <w:t>صلى‌الله‌عليه‌وآله</w:t>
      </w:r>
      <w:r>
        <w:rPr>
          <w:rtl/>
          <w:lang w:bidi="fa-IR"/>
        </w:rPr>
        <w:t xml:space="preserve"> ، فَأَدَّبَ اللهُ عَزَّ وَجَلَّ نَبِيَّهُ </w:t>
      </w:r>
      <w:r w:rsidR="007B299E" w:rsidRPr="007B299E">
        <w:rPr>
          <w:rStyle w:val="libAlaemChar"/>
          <w:rtl/>
        </w:rPr>
        <w:t>صلى‌الله‌عليه‌وآله</w:t>
      </w:r>
      <w:r w:rsidR="00D10E3C">
        <w:rPr>
          <w:rtl/>
          <w:lang w:bidi="fa-IR"/>
        </w:rPr>
        <w:t xml:space="preserve"> </w:t>
      </w:r>
      <w:r>
        <w:rPr>
          <w:rtl/>
          <w:lang w:bidi="fa-IR"/>
        </w:rPr>
        <w:t xml:space="preserve">بِأَمْرِهِ </w:t>
      </w:r>
      <w:r w:rsidRPr="00D10E3C">
        <w:rPr>
          <w:rStyle w:val="libFootnotenumChar"/>
          <w:rtl/>
        </w:rPr>
        <w:t>(6)</w:t>
      </w:r>
      <w:r>
        <w:rPr>
          <w:rtl/>
          <w:lang w:bidi="fa-IR"/>
        </w:rPr>
        <w:t xml:space="preserve"> ، فَقَالَ </w:t>
      </w:r>
      <w:r w:rsidRPr="00D10E3C">
        <w:rPr>
          <w:rStyle w:val="libFootnotenumChar"/>
          <w:rtl/>
        </w:rPr>
        <w:t>(7)</w:t>
      </w:r>
      <w:r>
        <w:rPr>
          <w:rtl/>
          <w:lang w:bidi="fa-IR"/>
        </w:rPr>
        <w:t xml:space="preserve"> : </w:t>
      </w:r>
      <w:r w:rsidRPr="002F3447">
        <w:rPr>
          <w:rStyle w:val="libAlaemChar"/>
          <w:rtl/>
        </w:rPr>
        <w:t>(</w:t>
      </w:r>
      <w:r w:rsidRPr="002F3447">
        <w:rPr>
          <w:rStyle w:val="libAieChar"/>
          <w:rtl/>
        </w:rPr>
        <w:t xml:space="preserve"> وَلا تَجْعَلْ يَدَكَ مَغْلُولَةً إِلى عُنُقِكَ وَلا تَبْسُطْها كُلَّ الْبَسْطِ فَتَقْعُدَ مَلُوماً مَحْسُوراً </w:t>
      </w:r>
      <w:r w:rsidRPr="002F3447">
        <w:rPr>
          <w:rStyle w:val="libAlaemChar"/>
          <w:rtl/>
        </w:rPr>
        <w:t>)</w:t>
      </w:r>
      <w:r>
        <w:rPr>
          <w:rtl/>
          <w:lang w:bidi="fa-IR"/>
        </w:rPr>
        <w:t xml:space="preserve"> </w:t>
      </w:r>
      <w:r w:rsidRPr="00D10E3C">
        <w:rPr>
          <w:rStyle w:val="libFootnotenumChar"/>
          <w:rtl/>
        </w:rPr>
        <w:t>(8)</w:t>
      </w:r>
      <w:r>
        <w:rPr>
          <w:rtl/>
          <w:lang w:bidi="fa-IR"/>
        </w:rPr>
        <w:t xml:space="preserve"> يَقُولُ : إِنَّ النَّاسَ قَدْ يَسْأَلُونَكَ وَلَا يَعْذِرُونَكَ ، فَإِذَا أَعْطَيْتَ جَمِيعَ مَا عِنْدَكَ مِنَ الْمَالِ </w:t>
      </w:r>
      <w:r w:rsidRPr="00D10E3C">
        <w:rPr>
          <w:rStyle w:val="libFootnotenumChar"/>
          <w:rtl/>
        </w:rPr>
        <w:t>(9)</w:t>
      </w:r>
      <w:r>
        <w:rPr>
          <w:rtl/>
          <w:lang w:bidi="fa-IR"/>
        </w:rPr>
        <w:t xml:space="preserve"> ، كُنْتَ قَدْ </w:t>
      </w:r>
      <w:r w:rsidRPr="00D10E3C">
        <w:rPr>
          <w:rStyle w:val="libFootnotenumChar"/>
          <w:rtl/>
        </w:rPr>
        <w:t>(10)</w:t>
      </w:r>
      <w:r>
        <w:rPr>
          <w:rtl/>
          <w:lang w:bidi="fa-IR"/>
        </w:rPr>
        <w:t xml:space="preserve"> حَسَرْتَ </w:t>
      </w:r>
      <w:r w:rsidRPr="00D10E3C">
        <w:rPr>
          <w:rStyle w:val="libFootnotenumChar"/>
          <w:rtl/>
        </w:rPr>
        <w:t>(11)</w:t>
      </w:r>
      <w:r>
        <w:rPr>
          <w:rtl/>
          <w:lang w:bidi="fa-IR"/>
        </w:rPr>
        <w:t xml:space="preserve"> مِنَ الْمَالِ.</w:t>
      </w:r>
    </w:p>
    <w:p w:rsidR="00744A1C" w:rsidRDefault="00744A1C" w:rsidP="00744A1C">
      <w:pPr>
        <w:pStyle w:val="libNormal"/>
        <w:rPr>
          <w:lang w:bidi="fa-IR"/>
        </w:rPr>
      </w:pPr>
      <w:r>
        <w:rPr>
          <w:rtl/>
          <w:lang w:bidi="fa-IR"/>
        </w:rPr>
        <w:t xml:space="preserve">فَهذِهِ أَحَادِيثُ رَسُولِ اللهِ </w:t>
      </w:r>
      <w:r w:rsidR="007B299E" w:rsidRPr="007B299E">
        <w:rPr>
          <w:rStyle w:val="libAlaemChar"/>
          <w:rtl/>
        </w:rPr>
        <w:t>صلى‌الله‌عليه‌وآله</w:t>
      </w:r>
      <w:r w:rsidR="00D10E3C">
        <w:rPr>
          <w:rtl/>
          <w:lang w:bidi="fa-IR"/>
        </w:rPr>
        <w:t xml:space="preserve"> </w:t>
      </w:r>
      <w:r>
        <w:rPr>
          <w:rtl/>
          <w:lang w:bidi="fa-IR"/>
        </w:rPr>
        <w:t>يُصَدِّقُهَا الْكِتَابُ ، وَالْكِتَابُ يُصَدِّقُهُ أَهْلُهُ مِنَ الْمُؤْمِنِينَ.</w:t>
      </w:r>
    </w:p>
    <w:p w:rsidR="00744A1C" w:rsidRDefault="00744A1C" w:rsidP="00744A1C">
      <w:pPr>
        <w:pStyle w:val="libNormal"/>
        <w:rPr>
          <w:lang w:bidi="fa-IR"/>
        </w:rPr>
      </w:pPr>
      <w:r>
        <w:rPr>
          <w:rtl/>
          <w:lang w:bidi="fa-IR"/>
        </w:rPr>
        <w:t xml:space="preserve">وَقَالَ أَبُو بَكْرٍ عِنْدَ مَوْتِهِ حَيْثُ قِيلَ لَهُ : أَوْصِ ، فَقَالَ : أُوصِي بِالْخُمُسِ ، وَالْخُمُسُ كَثِيرٌ ؛ فَإِنَّ </w:t>
      </w:r>
      <w:r w:rsidRPr="00D10E3C">
        <w:rPr>
          <w:rStyle w:val="libFootnotenumChar"/>
          <w:rtl/>
        </w:rPr>
        <w:t>(12)</w:t>
      </w:r>
      <w:r>
        <w:rPr>
          <w:rtl/>
          <w:lang w:bidi="fa-IR"/>
        </w:rPr>
        <w:t xml:space="preserve"> اللهَ تَعَالى قَدْ رَضِيَ بِالْخُمُسِ ، فَأَوْصى </w:t>
      </w:r>
      <w:r w:rsidRPr="00D10E3C">
        <w:rPr>
          <w:rStyle w:val="libFootnotenumChar"/>
          <w:rtl/>
        </w:rPr>
        <w:t>(13)</w:t>
      </w:r>
      <w:r>
        <w:rPr>
          <w:rtl/>
          <w:lang w:bidi="fa-IR"/>
        </w:rPr>
        <w:t xml:space="preserve"> بِالْخُمُسِ وَقَدْ جَعَلَ اللهُ - عَزَّ وَجَلَّ - لَهُ الثُّلُثَ عِنْدَ مَوْتِهِ ، وَلَوْ عَلِمَ أَنَّ الثُّلُثَ خَيْرٌ لَهُ ، أَوْصى بِهِ.</w:t>
      </w:r>
    </w:p>
    <w:p w:rsidR="00744A1C" w:rsidRDefault="00744A1C" w:rsidP="00744A1C">
      <w:pPr>
        <w:pStyle w:val="libNormal"/>
        <w:rPr>
          <w:lang w:bidi="fa-IR"/>
        </w:rPr>
      </w:pPr>
      <w:r>
        <w:rPr>
          <w:rtl/>
          <w:lang w:bidi="fa-IR"/>
        </w:rPr>
        <w:t xml:space="preserve">ثُمَّ مَنْ قَدْ عَلِمْتُمْ بَعْدَهُ فِي فَضْلِهِ وَزُهْدِهِ سَلْمَانُ </w:t>
      </w:r>
      <w:r w:rsidRPr="00D10E3C">
        <w:rPr>
          <w:rStyle w:val="libFootnotenumChar"/>
          <w:rtl/>
        </w:rPr>
        <w:t>(14)</w:t>
      </w:r>
      <w:r>
        <w:rPr>
          <w:rtl/>
          <w:lang w:bidi="fa-IR"/>
        </w:rPr>
        <w:t xml:space="preserve"> رَضِيَ اللهُ عَنْهُ وَأَبُوذَرٍّ رَحِمَهُ‌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وحاشية « جت » والتحف : « ذهب ».</w:t>
      </w:r>
    </w:p>
    <w:p w:rsidR="00744A1C" w:rsidRDefault="00E378DD" w:rsidP="00E378DD">
      <w:pPr>
        <w:pStyle w:val="libFootnote0"/>
        <w:rPr>
          <w:lang w:bidi="fa-IR"/>
        </w:rPr>
      </w:pPr>
      <w:r>
        <w:rPr>
          <w:rtl/>
          <w:lang w:bidi="fa-IR"/>
        </w:rPr>
        <w:t>(2).</w:t>
      </w:r>
      <w:r w:rsidR="00744A1C">
        <w:rPr>
          <w:rtl/>
          <w:lang w:bidi="fa-IR"/>
        </w:rPr>
        <w:t xml:space="preserve"> في « ط ، ى ، بح ، بس ، بف ، جت ، جد » </w:t>
      </w:r>
      <w:r w:rsidR="00744A1C" w:rsidRPr="0047032E">
        <w:rPr>
          <w:rtl/>
        </w:rPr>
        <w:t>والبحار</w:t>
      </w:r>
      <w:r w:rsidR="00744A1C">
        <w:rPr>
          <w:rtl/>
          <w:lang w:bidi="fa-IR"/>
        </w:rPr>
        <w:t xml:space="preserve"> والتحف : « أن تبيت ».</w:t>
      </w:r>
    </w:p>
    <w:p w:rsidR="00744A1C" w:rsidRDefault="00E378DD" w:rsidP="00E378DD">
      <w:pPr>
        <w:pStyle w:val="libFootnote0"/>
        <w:rPr>
          <w:lang w:bidi="fa-IR"/>
        </w:rPr>
      </w:pPr>
      <w:r>
        <w:rPr>
          <w:rtl/>
          <w:lang w:bidi="fa-IR"/>
        </w:rPr>
        <w:t>(3).</w:t>
      </w:r>
      <w:r w:rsidR="00744A1C">
        <w:rPr>
          <w:rtl/>
          <w:lang w:bidi="fa-IR"/>
        </w:rPr>
        <w:t xml:space="preserve"> في « ط » والتحف : « وأصبح ».</w:t>
      </w:r>
    </w:p>
    <w:p w:rsidR="00744A1C" w:rsidRDefault="00E378DD" w:rsidP="00E378DD">
      <w:pPr>
        <w:pStyle w:val="libFootnote0"/>
        <w:rPr>
          <w:lang w:bidi="fa-IR"/>
        </w:rPr>
      </w:pPr>
      <w:r>
        <w:rPr>
          <w:rtl/>
          <w:lang w:bidi="fa-IR"/>
        </w:rPr>
        <w:t>(4).</w:t>
      </w:r>
      <w:r w:rsidR="00744A1C">
        <w:rPr>
          <w:rtl/>
          <w:lang w:bidi="fa-IR"/>
        </w:rPr>
        <w:t xml:space="preserve"> في « ط » : « ليس » بدون الواو.</w:t>
      </w:r>
    </w:p>
    <w:p w:rsidR="00744A1C" w:rsidRDefault="00E378DD" w:rsidP="00E378DD">
      <w:pPr>
        <w:pStyle w:val="libFootnote0"/>
        <w:rPr>
          <w:lang w:bidi="fa-IR"/>
        </w:rPr>
      </w:pPr>
      <w:r>
        <w:rPr>
          <w:rtl/>
          <w:lang w:bidi="fa-IR"/>
        </w:rPr>
        <w:t>(5).</w:t>
      </w:r>
      <w:r w:rsidR="00744A1C">
        <w:rPr>
          <w:rtl/>
          <w:lang w:bidi="fa-IR"/>
        </w:rPr>
        <w:t xml:space="preserve"> في « ط ، ى ، بح ، جت ، جد » </w:t>
      </w:r>
      <w:r w:rsidR="00744A1C" w:rsidRPr="0047032E">
        <w:rPr>
          <w:rtl/>
        </w:rPr>
        <w:t>والوافي</w:t>
      </w:r>
      <w:r w:rsidR="00744A1C">
        <w:rPr>
          <w:rtl/>
          <w:lang w:bidi="fa-IR"/>
        </w:rPr>
        <w:t xml:space="preserve"> : « رفيقاً ».</w:t>
      </w:r>
    </w:p>
    <w:p w:rsidR="00744A1C" w:rsidRDefault="00E378DD" w:rsidP="00E378DD">
      <w:pPr>
        <w:pStyle w:val="libFootnote0"/>
        <w:rPr>
          <w:lang w:bidi="fa-IR"/>
        </w:rPr>
      </w:pPr>
      <w:r>
        <w:rPr>
          <w:rtl/>
          <w:lang w:bidi="fa-IR"/>
        </w:rPr>
        <w:t>(6).</w:t>
      </w:r>
      <w:r w:rsidR="00744A1C">
        <w:rPr>
          <w:rtl/>
          <w:lang w:bidi="fa-IR"/>
        </w:rPr>
        <w:t xml:space="preserve"> في « ط » : « فأمره ». وفي « جن » : « يأمره ».</w:t>
      </w:r>
    </w:p>
    <w:p w:rsidR="00744A1C" w:rsidRDefault="00E378DD" w:rsidP="00E378DD">
      <w:pPr>
        <w:pStyle w:val="libFootnote0"/>
        <w:rPr>
          <w:lang w:bidi="fa-IR"/>
        </w:rPr>
      </w:pPr>
      <w:r>
        <w:rPr>
          <w:rtl/>
          <w:lang w:bidi="fa-IR"/>
        </w:rPr>
        <w:t>(7).</w:t>
      </w:r>
      <w:r w:rsidR="00744A1C">
        <w:rPr>
          <w:rtl/>
          <w:lang w:bidi="fa-IR"/>
        </w:rPr>
        <w:t xml:space="preserve"> في « ط » : - « فقال ».</w:t>
      </w:r>
    </w:p>
    <w:p w:rsidR="00744A1C" w:rsidRDefault="00E378DD" w:rsidP="00E378DD">
      <w:pPr>
        <w:pStyle w:val="libFootnote0"/>
        <w:rPr>
          <w:lang w:bidi="fa-IR"/>
        </w:rPr>
      </w:pPr>
      <w:r>
        <w:rPr>
          <w:rtl/>
          <w:lang w:bidi="fa-IR"/>
        </w:rPr>
        <w:t>(8).</w:t>
      </w:r>
      <w:r w:rsidR="00744A1C">
        <w:rPr>
          <w:rtl/>
          <w:lang w:bidi="fa-IR"/>
        </w:rPr>
        <w:t xml:space="preserve"> الإسراء (17) : 29. وفي </w:t>
      </w:r>
      <w:r w:rsidR="00744A1C" w:rsidRPr="00C24F9C">
        <w:rPr>
          <w:rStyle w:val="libFootnoteBoldChar"/>
          <w:rtl/>
        </w:rPr>
        <w:t>الوافي</w:t>
      </w:r>
      <w:r w:rsidR="00744A1C">
        <w:rPr>
          <w:rtl/>
          <w:lang w:bidi="fa-IR"/>
        </w:rPr>
        <w:t xml:space="preserve"> : </w:t>
      </w:r>
      <w:r w:rsidR="00744A1C" w:rsidRPr="0047032E">
        <w:rPr>
          <w:rStyle w:val="libFootnoteAlaemChar"/>
          <w:rtl/>
        </w:rPr>
        <w:t>(</w:t>
      </w:r>
      <w:r w:rsidR="00744A1C" w:rsidRPr="0047032E">
        <w:rPr>
          <w:rStyle w:val="libFootnoteAieChar"/>
          <w:rtl/>
        </w:rPr>
        <w:t xml:space="preserve"> وَلا تَجْعَلْ يَدَكَ </w:t>
      </w:r>
      <w:r w:rsidR="00744A1C" w:rsidRPr="0047032E">
        <w:rPr>
          <w:rStyle w:val="libFootnoteAlaemChar"/>
          <w:rtl/>
        </w:rPr>
        <w:t>)</w:t>
      </w:r>
      <w:r w:rsidR="00744A1C">
        <w:rPr>
          <w:rtl/>
          <w:lang w:bidi="fa-IR"/>
        </w:rPr>
        <w:t xml:space="preserve"> تمثيل لمنع الشحيح وإعطاء المسرف ، وأمر بالاقتصاد الذي بين الإسراف والتقصير.</w:t>
      </w:r>
      <w:r w:rsidR="00744A1C" w:rsidRPr="0047032E">
        <w:rPr>
          <w:rStyle w:val="libFootnoteAlaemChar"/>
          <w:rtl/>
        </w:rPr>
        <w:t>(</w:t>
      </w:r>
      <w:r w:rsidR="00744A1C" w:rsidRPr="0047032E">
        <w:rPr>
          <w:rStyle w:val="libFootnoteAieChar"/>
          <w:rtl/>
        </w:rPr>
        <w:t xml:space="preserve"> فَتَقْعُدَ </w:t>
      </w:r>
      <w:r w:rsidR="00744A1C" w:rsidRPr="0047032E">
        <w:rPr>
          <w:rStyle w:val="libFootnoteAlaemChar"/>
          <w:rtl/>
        </w:rPr>
        <w:t>)</w:t>
      </w:r>
      <w:r w:rsidR="00744A1C">
        <w:rPr>
          <w:rtl/>
          <w:lang w:bidi="fa-IR"/>
        </w:rPr>
        <w:t xml:space="preserve"> : فتصير.</w:t>
      </w:r>
      <w:r w:rsidR="00744A1C" w:rsidRPr="0047032E">
        <w:rPr>
          <w:rStyle w:val="libFootnoteAlaemChar"/>
          <w:rtl/>
        </w:rPr>
        <w:t>(</w:t>
      </w:r>
      <w:r w:rsidR="00744A1C" w:rsidRPr="0047032E">
        <w:rPr>
          <w:rStyle w:val="libFootnoteAieChar"/>
          <w:rtl/>
        </w:rPr>
        <w:t xml:space="preserve"> مَلُوماً</w:t>
      </w:r>
      <w:r w:rsidR="00744A1C">
        <w:rPr>
          <w:rtl/>
          <w:lang w:bidi="fa-IR"/>
        </w:rPr>
        <w:t xml:space="preserve"> </w:t>
      </w:r>
      <w:r w:rsidR="00744A1C" w:rsidRPr="0047032E">
        <w:rPr>
          <w:rStyle w:val="libFootnoteAlaemChar"/>
          <w:rtl/>
        </w:rPr>
        <w:t>)</w:t>
      </w:r>
      <w:r w:rsidR="00744A1C">
        <w:rPr>
          <w:rtl/>
          <w:lang w:bidi="fa-IR"/>
        </w:rPr>
        <w:t xml:space="preserve"> : غير مرضيّ عند الله ؛ إذ خرجت عن القوام ، وعند الناس ؛ إذ يقول المحتاج : أعطى فلاناً وحرمني ، ويقول المستغني : ما يحسن تدبير أمر المعيشة ، وعند نفسك ؛ إذ احتجت فندمت على ما فعلت.</w:t>
      </w:r>
      <w:r w:rsidR="00744A1C" w:rsidRPr="0047032E">
        <w:rPr>
          <w:rStyle w:val="libFootnoteAlaemChar"/>
          <w:rtl/>
        </w:rPr>
        <w:t>(</w:t>
      </w:r>
      <w:r w:rsidR="00744A1C" w:rsidRPr="0047032E">
        <w:rPr>
          <w:rStyle w:val="libFootnoteAieChar"/>
          <w:rtl/>
        </w:rPr>
        <w:t xml:space="preserve"> مَحْسُوراً </w:t>
      </w:r>
      <w:r w:rsidR="00744A1C" w:rsidRPr="0047032E">
        <w:rPr>
          <w:rStyle w:val="libFootnoteAlaemChar"/>
          <w:rtl/>
        </w:rPr>
        <w:t>)</w:t>
      </w:r>
      <w:r w:rsidR="00744A1C">
        <w:rPr>
          <w:rtl/>
          <w:lang w:bidi="fa-IR"/>
        </w:rPr>
        <w:t xml:space="preserve"> : نادماً أو منقطعاً بك لا شي‌ء عندك ».</w:t>
      </w:r>
    </w:p>
    <w:tbl>
      <w:tblPr>
        <w:tblStyle w:val="TableGrid"/>
        <w:bidiVisual/>
        <w:tblW w:w="0" w:type="auto"/>
        <w:tblLook w:val="04A0" w:firstRow="1" w:lastRow="0" w:firstColumn="1" w:lastColumn="0" w:noHBand="0" w:noVBand="1"/>
      </w:tblPr>
      <w:tblGrid>
        <w:gridCol w:w="4006"/>
        <w:gridCol w:w="4006"/>
      </w:tblGrid>
      <w:tr w:rsidR="0047032E" w:rsidTr="0047032E">
        <w:tc>
          <w:tcPr>
            <w:tcW w:w="4006" w:type="dxa"/>
          </w:tcPr>
          <w:p w:rsidR="0047032E" w:rsidRDefault="0047032E" w:rsidP="00E378DD">
            <w:pPr>
              <w:pStyle w:val="libFootnote0"/>
              <w:rPr>
                <w:rtl/>
                <w:lang w:bidi="fa-IR"/>
              </w:rPr>
            </w:pPr>
            <w:r>
              <w:rPr>
                <w:rtl/>
                <w:lang w:bidi="fa-IR"/>
              </w:rPr>
              <w:t>(9). في « ط » والتحف : - « من المال ».</w:t>
            </w:r>
          </w:p>
        </w:tc>
        <w:tc>
          <w:tcPr>
            <w:tcW w:w="4006" w:type="dxa"/>
          </w:tcPr>
          <w:p w:rsidR="0047032E" w:rsidRDefault="0047032E" w:rsidP="00E378DD">
            <w:pPr>
              <w:pStyle w:val="libFootnote0"/>
              <w:rPr>
                <w:rtl/>
                <w:lang w:bidi="fa-IR"/>
              </w:rPr>
            </w:pPr>
            <w:r>
              <w:rPr>
                <w:rtl/>
                <w:lang w:bidi="fa-IR"/>
              </w:rPr>
              <w:t>(10). في « جت » : « قد كنت ».</w:t>
            </w:r>
          </w:p>
        </w:tc>
      </w:tr>
      <w:tr w:rsidR="0047032E" w:rsidTr="0047032E">
        <w:tc>
          <w:tcPr>
            <w:tcW w:w="4006" w:type="dxa"/>
          </w:tcPr>
          <w:p w:rsidR="0047032E" w:rsidRDefault="0047032E" w:rsidP="00E378DD">
            <w:pPr>
              <w:pStyle w:val="libFootnote0"/>
              <w:rPr>
                <w:rtl/>
                <w:lang w:bidi="fa-IR"/>
              </w:rPr>
            </w:pPr>
            <w:r>
              <w:rPr>
                <w:rtl/>
                <w:lang w:bidi="fa-IR"/>
              </w:rPr>
              <w:t>(11). في « بخ ، بف » والتحف : « خسرت ».</w:t>
            </w:r>
          </w:p>
        </w:tc>
        <w:tc>
          <w:tcPr>
            <w:tcW w:w="4006" w:type="dxa"/>
          </w:tcPr>
          <w:p w:rsidR="0047032E" w:rsidRDefault="0047032E" w:rsidP="00E378DD">
            <w:pPr>
              <w:pStyle w:val="libFootnote0"/>
              <w:rPr>
                <w:rtl/>
                <w:lang w:bidi="fa-IR"/>
              </w:rPr>
            </w:pPr>
            <w:r>
              <w:rPr>
                <w:rtl/>
                <w:lang w:bidi="fa-IR"/>
              </w:rPr>
              <w:t>(12). في « ط » : « وإنّ ».</w:t>
            </w:r>
          </w:p>
        </w:tc>
      </w:tr>
      <w:tr w:rsidR="0047032E" w:rsidTr="0047032E">
        <w:tc>
          <w:tcPr>
            <w:tcW w:w="4006" w:type="dxa"/>
          </w:tcPr>
          <w:p w:rsidR="0047032E" w:rsidRDefault="0047032E" w:rsidP="00E378DD">
            <w:pPr>
              <w:pStyle w:val="libFootnote0"/>
              <w:rPr>
                <w:rtl/>
                <w:lang w:bidi="fa-IR"/>
              </w:rPr>
            </w:pPr>
            <w:r>
              <w:rPr>
                <w:rtl/>
                <w:lang w:bidi="fa-IR"/>
              </w:rPr>
              <w:t>(13). في « ط ، بف » : « وأوصى ».</w:t>
            </w:r>
          </w:p>
        </w:tc>
        <w:tc>
          <w:tcPr>
            <w:tcW w:w="4006" w:type="dxa"/>
          </w:tcPr>
          <w:p w:rsidR="0047032E" w:rsidRDefault="0047032E" w:rsidP="00E378DD">
            <w:pPr>
              <w:pStyle w:val="libFootnote0"/>
              <w:rPr>
                <w:rtl/>
                <w:lang w:bidi="fa-IR"/>
              </w:rPr>
            </w:pPr>
            <w:r>
              <w:rPr>
                <w:rtl/>
                <w:lang w:bidi="fa-IR"/>
              </w:rPr>
              <w:t xml:space="preserve">(14). في « جن » </w:t>
            </w:r>
            <w:r w:rsidRPr="0047032E">
              <w:rPr>
                <w:rtl/>
              </w:rPr>
              <w:t>والوافي</w:t>
            </w:r>
            <w:r>
              <w:rPr>
                <w:rtl/>
                <w:lang w:bidi="fa-IR"/>
              </w:rPr>
              <w:t xml:space="preserve"> : + « الفارسي ».</w:t>
            </w:r>
          </w:p>
        </w:tc>
      </w:tr>
    </w:tbl>
    <w:p w:rsidR="006A5060" w:rsidRDefault="006A5060" w:rsidP="00D10E3C">
      <w:pPr>
        <w:pStyle w:val="libNormal"/>
        <w:rPr>
          <w:rtl/>
          <w:lang w:bidi="fa-IR"/>
        </w:rPr>
      </w:pPr>
      <w:r>
        <w:rPr>
          <w:rtl/>
          <w:lang w:bidi="fa-IR"/>
        </w:rPr>
        <w:br w:type="page"/>
      </w:r>
    </w:p>
    <w:p w:rsidR="00744A1C" w:rsidRDefault="00744A1C" w:rsidP="0047032E">
      <w:pPr>
        <w:pStyle w:val="libNormal0"/>
        <w:rPr>
          <w:lang w:bidi="fa-IR"/>
        </w:rPr>
      </w:pPr>
      <w:r>
        <w:rPr>
          <w:rtl/>
          <w:lang w:bidi="fa-IR"/>
        </w:rPr>
        <w:t xml:space="preserve">اللهُ </w:t>
      </w:r>
      <w:r w:rsidRPr="00D10E3C">
        <w:rPr>
          <w:rStyle w:val="libFootnotenumChar"/>
          <w:rtl/>
        </w:rPr>
        <w:t>(1)</w:t>
      </w:r>
      <w:r>
        <w:rPr>
          <w:rtl/>
          <w:lang w:bidi="fa-IR"/>
        </w:rPr>
        <w:t xml:space="preserve"> ، فَأَمَّا سَلْمَانُ ، فَكَانَ إِذَا أَخَذَ عَطَاهُ </w:t>
      </w:r>
      <w:r w:rsidRPr="00D10E3C">
        <w:rPr>
          <w:rStyle w:val="libFootnotenumChar"/>
          <w:rtl/>
        </w:rPr>
        <w:t>(2)</w:t>
      </w:r>
      <w:r>
        <w:rPr>
          <w:rtl/>
          <w:lang w:bidi="fa-IR"/>
        </w:rPr>
        <w:t xml:space="preserve"> ، رَفَعَ مِنْهُ </w:t>
      </w:r>
      <w:r w:rsidRPr="00D10E3C">
        <w:rPr>
          <w:rStyle w:val="libFootnotenumChar"/>
          <w:rtl/>
        </w:rPr>
        <w:t>(3)</w:t>
      </w:r>
      <w:r>
        <w:rPr>
          <w:rtl/>
          <w:lang w:bidi="fa-IR"/>
        </w:rPr>
        <w:t xml:space="preserve"> قُوتَهُ لِسَنَتِهِ </w:t>
      </w:r>
      <w:r w:rsidRPr="00D10E3C">
        <w:rPr>
          <w:rStyle w:val="libFootnotenumChar"/>
          <w:rtl/>
        </w:rPr>
        <w:t>(4)</w:t>
      </w:r>
      <w:r>
        <w:rPr>
          <w:rtl/>
          <w:lang w:bidi="fa-IR"/>
        </w:rPr>
        <w:t xml:space="preserve"> حَتّى يَحْضُرَ عَطَاؤُهُ مِنْ قَابِلٍ ، فَقِيلَ لَهُ : يَا أَبَا عَبْدِ اللهِ ، أَنْتَ فِي زُهْدِكَ تَصْنَعُ هذَا وَأَنْتَ لَاتَدْرِي لَعَلَّكَ تَمُوتُ الْيَوْمَ ، أَوْ غَداً؟ فَكَانَ جَوَابَهُ أَنْ قَالَ : مَا لَكُمْ لَاتَرْجُونَ لِيَ الْبَقَاءَ كَمَا خِفْتُمْ عَلَيَّ الْفَنَاءَ ، أَمَا عَلِمْتُمْ يَا جَهَلَةُ أَنَّ النَّفْسَ قَدْ تَلْتَاثُ </w:t>
      </w:r>
      <w:r w:rsidRPr="00D10E3C">
        <w:rPr>
          <w:rStyle w:val="libFootnotenumChar"/>
          <w:rtl/>
        </w:rPr>
        <w:t>(5)</w:t>
      </w:r>
      <w:r>
        <w:rPr>
          <w:rtl/>
          <w:lang w:bidi="fa-IR"/>
        </w:rPr>
        <w:t xml:space="preserve"> عَلى صَاحِبِهَا إِذَا لَمْ يَكُنْ لَهَا مِنَ الْعَيْشِ مَا تَعْتَمِدُ </w:t>
      </w:r>
      <w:r w:rsidRPr="00D10E3C">
        <w:rPr>
          <w:rStyle w:val="libFootnotenumChar"/>
          <w:rtl/>
        </w:rPr>
        <w:t>(6)</w:t>
      </w:r>
      <w:r>
        <w:rPr>
          <w:rtl/>
          <w:lang w:bidi="fa-IR"/>
        </w:rPr>
        <w:t xml:space="preserve"> عَلَيْهِ ، فَإِذَا هِيَ أَحْرَزَتْ </w:t>
      </w:r>
      <w:r w:rsidRPr="00D10E3C">
        <w:rPr>
          <w:rStyle w:val="libFootnotenumChar"/>
          <w:rtl/>
        </w:rPr>
        <w:t>(7)</w:t>
      </w:r>
      <w:r>
        <w:rPr>
          <w:rtl/>
          <w:lang w:bidi="fa-IR"/>
        </w:rPr>
        <w:t xml:space="preserve"> مَعِيشَتَهَا </w:t>
      </w:r>
      <w:r w:rsidRPr="00D10E3C">
        <w:rPr>
          <w:rStyle w:val="libFootnotenumChar"/>
          <w:rtl/>
        </w:rPr>
        <w:t>(8)</w:t>
      </w:r>
      <w:r>
        <w:rPr>
          <w:rtl/>
          <w:lang w:bidi="fa-IR"/>
        </w:rPr>
        <w:t xml:space="preserve"> اطْمَأَنَّتْ.</w:t>
      </w:r>
    </w:p>
    <w:p w:rsidR="00144FA6" w:rsidRDefault="00744A1C" w:rsidP="00744A1C">
      <w:pPr>
        <w:pStyle w:val="libNormal"/>
        <w:rPr>
          <w:rtl/>
          <w:lang w:bidi="fa-IR"/>
        </w:rPr>
      </w:pPr>
      <w:r>
        <w:rPr>
          <w:rtl/>
          <w:lang w:bidi="fa-IR"/>
        </w:rPr>
        <w:t xml:space="preserve">وَأَمَّا أَبُو ذَرٍّ ، فَكَانَتْ لَهُ نُوَيْقَاتٌ </w:t>
      </w:r>
      <w:r w:rsidRPr="00D10E3C">
        <w:rPr>
          <w:rStyle w:val="libFootnotenumChar"/>
          <w:rtl/>
        </w:rPr>
        <w:t>(9)</w:t>
      </w:r>
      <w:r>
        <w:rPr>
          <w:rtl/>
          <w:lang w:bidi="fa-IR"/>
        </w:rPr>
        <w:t xml:space="preserve"> وَشُوَيْهَاتٌ </w:t>
      </w:r>
      <w:r w:rsidRPr="00D10E3C">
        <w:rPr>
          <w:rStyle w:val="libFootnotenumChar"/>
          <w:rtl/>
        </w:rPr>
        <w:t>(10)</w:t>
      </w:r>
      <w:r>
        <w:rPr>
          <w:rtl/>
          <w:lang w:bidi="fa-IR"/>
        </w:rPr>
        <w:t xml:space="preserve"> يَحْلُبُهَا ، وَيَذْبَحُ مِنْهَا إِذَا اشْتَهى أَهْلُهُ اللَّحْمَ ، أَوْ نَزَلَ بِهِ ضَيْفٌ </w:t>
      </w:r>
      <w:r w:rsidRPr="00D10E3C">
        <w:rPr>
          <w:rStyle w:val="libFootnotenumChar"/>
          <w:rtl/>
        </w:rPr>
        <w:t>(11)</w:t>
      </w:r>
      <w:r>
        <w:rPr>
          <w:rtl/>
          <w:lang w:bidi="fa-IR"/>
        </w:rPr>
        <w:t xml:space="preserve"> ، أَوْ رَأى بِأَهْلِ الْمَاءِ </w:t>
      </w:r>
      <w:r w:rsidRPr="00D10E3C">
        <w:rPr>
          <w:rStyle w:val="libFootnotenumChar"/>
          <w:rtl/>
        </w:rPr>
        <w:t>(12)</w:t>
      </w:r>
      <w:r>
        <w:rPr>
          <w:rtl/>
          <w:lang w:bidi="fa-IR"/>
        </w:rPr>
        <w:t xml:space="preserve"> الَّذِينَ هُمْ مَعَهُ </w:t>
      </w:r>
      <w:r w:rsidRPr="00D10E3C">
        <w:rPr>
          <w:rStyle w:val="libFootnotenumChar"/>
          <w:rtl/>
        </w:rPr>
        <w:t>(13)</w:t>
      </w:r>
      <w:r>
        <w:rPr>
          <w:rtl/>
          <w:lang w:bidi="fa-IR"/>
        </w:rPr>
        <w:t xml:space="preserve"> خَصَاصَةٌ ، نَحَرَ </w:t>
      </w:r>
      <w:r w:rsidRPr="00D10E3C">
        <w:rPr>
          <w:rStyle w:val="libFootnotenumChar"/>
          <w:rtl/>
        </w:rPr>
        <w:t>(14)</w:t>
      </w:r>
      <w:r>
        <w:rPr>
          <w:rtl/>
          <w:lang w:bidi="fa-IR"/>
        </w:rPr>
        <w:t xml:space="preserve"> لَهُمُ الْجَزُورَ </w:t>
      </w:r>
      <w:r w:rsidRPr="00D10E3C">
        <w:rPr>
          <w:rStyle w:val="libFootnotenumChar"/>
          <w:rtl/>
        </w:rPr>
        <w:t>(15)</w:t>
      </w:r>
      <w:r>
        <w:rPr>
          <w:rtl/>
          <w:lang w:bidi="fa-IR"/>
        </w:rPr>
        <w:t xml:space="preserve"> أَوْ مِنَ الشِّيَاهِ </w:t>
      </w:r>
      <w:r w:rsidRPr="00D10E3C">
        <w:rPr>
          <w:rStyle w:val="libFootnotenumChar"/>
          <w:rtl/>
        </w:rPr>
        <w:t>(16)</w:t>
      </w:r>
      <w:r>
        <w:rPr>
          <w:rtl/>
          <w:lang w:bidi="fa-IR"/>
        </w:rPr>
        <w:t xml:space="preserve"> عَلى قَدْرِ </w:t>
      </w:r>
      <w:r w:rsidRPr="00D10E3C">
        <w:rPr>
          <w:rStyle w:val="libFootnotenumChar"/>
          <w:rtl/>
        </w:rPr>
        <w:t>(17)</w:t>
      </w:r>
      <w:r>
        <w:rPr>
          <w:rtl/>
          <w:lang w:bidi="fa-IR"/>
        </w:rPr>
        <w:t xml:space="preserve"> مَا يَذْهَبُ عَنْهُمْ بِقَرَمِ </w:t>
      </w:r>
      <w:r w:rsidRPr="00D10E3C">
        <w:rPr>
          <w:rStyle w:val="libFootnotenumChar"/>
          <w:rtl/>
        </w:rPr>
        <w:t>(18)</w:t>
      </w:r>
      <w:r>
        <w:rPr>
          <w:rtl/>
          <w:lang w:bidi="fa-IR"/>
        </w:rPr>
        <w:t xml:space="preserve"> اللَّحْمِ ، فَيَقْسِمُهُ بَيْنَهُمْ ،</w:t>
      </w:r>
    </w:p>
    <w:p w:rsidR="00744A1C" w:rsidRDefault="00744A1C" w:rsidP="00D10E3C">
      <w:pPr>
        <w:pStyle w:val="libLine"/>
        <w:rPr>
          <w:lang w:bidi="fa-IR"/>
        </w:rPr>
      </w:pPr>
      <w:r>
        <w:rPr>
          <w:rtl/>
          <w:lang w:bidi="fa-IR"/>
        </w:rPr>
        <w:t>____________________</w:t>
      </w:r>
    </w:p>
    <w:p w:rsidR="00744A1C" w:rsidRDefault="00D10E3C" w:rsidP="0047032E">
      <w:pPr>
        <w:pStyle w:val="libFootnote0"/>
        <w:rPr>
          <w:lang w:bidi="fa-IR"/>
        </w:rPr>
      </w:pPr>
      <w:r>
        <w:rPr>
          <w:rtl/>
          <w:lang w:bidi="fa-IR"/>
        </w:rPr>
        <w:t>(1).</w:t>
      </w:r>
      <w:r w:rsidR="00744A1C">
        <w:rPr>
          <w:rtl/>
          <w:lang w:bidi="fa-IR"/>
        </w:rPr>
        <w:t xml:space="preserve"> هكذا في معظم النسخ التي قوبلت </w:t>
      </w:r>
      <w:r w:rsidR="00744A1C" w:rsidRPr="0047032E">
        <w:rPr>
          <w:rtl/>
        </w:rPr>
        <w:t>والبحار</w:t>
      </w:r>
      <w:r w:rsidR="00744A1C">
        <w:rPr>
          <w:rtl/>
          <w:lang w:bidi="fa-IR"/>
        </w:rPr>
        <w:t xml:space="preserve">. وفي « ط » : « سلمان وأبوذر </w:t>
      </w:r>
      <w:r w:rsidR="00F112A7" w:rsidRPr="00CE5A92">
        <w:rPr>
          <w:rStyle w:val="libFootnoteAlaemChar"/>
          <w:rtl/>
        </w:rPr>
        <w:t>عليهما‌السلام</w:t>
      </w:r>
      <w:r w:rsidR="00744A1C">
        <w:rPr>
          <w:rtl/>
          <w:lang w:bidi="fa-IR"/>
        </w:rPr>
        <w:t>». وفي المطبوع : « سلمان وأبوذر رضي الله عنهما ».</w:t>
      </w:r>
      <w:r w:rsidR="0047032E">
        <w:rPr>
          <w:rFonts w:hint="cs"/>
          <w:rtl/>
          <w:lang w:bidi="fa-IR"/>
        </w:rPr>
        <w:t xml:space="preserve">                                    </w:t>
      </w:r>
      <w:r w:rsidR="00E378DD">
        <w:rPr>
          <w:rtl/>
          <w:lang w:bidi="fa-IR"/>
        </w:rPr>
        <w:t>(2).</w:t>
      </w:r>
      <w:r w:rsidR="00744A1C">
        <w:rPr>
          <w:rtl/>
          <w:lang w:bidi="fa-IR"/>
        </w:rPr>
        <w:t xml:space="preserve"> في « بخ ، بس ، جد » : « عطاءه ».</w:t>
      </w:r>
    </w:p>
    <w:tbl>
      <w:tblPr>
        <w:tblStyle w:val="TableGrid"/>
        <w:bidiVisual/>
        <w:tblW w:w="0" w:type="auto"/>
        <w:tblLook w:val="04A0" w:firstRow="1" w:lastRow="0" w:firstColumn="1" w:lastColumn="0" w:noHBand="0" w:noVBand="1"/>
      </w:tblPr>
      <w:tblGrid>
        <w:gridCol w:w="4006"/>
        <w:gridCol w:w="4006"/>
      </w:tblGrid>
      <w:tr w:rsidR="0047032E" w:rsidTr="0047032E">
        <w:tc>
          <w:tcPr>
            <w:tcW w:w="4006" w:type="dxa"/>
          </w:tcPr>
          <w:p w:rsidR="0047032E" w:rsidRDefault="0047032E" w:rsidP="00E378DD">
            <w:pPr>
              <w:pStyle w:val="libFootnote0"/>
              <w:rPr>
                <w:rtl/>
                <w:lang w:bidi="fa-IR"/>
              </w:rPr>
            </w:pPr>
            <w:r>
              <w:rPr>
                <w:rtl/>
                <w:lang w:bidi="fa-IR"/>
              </w:rPr>
              <w:t xml:space="preserve">(3). في </w:t>
            </w:r>
            <w:r w:rsidRPr="0047032E">
              <w:rPr>
                <w:rtl/>
              </w:rPr>
              <w:t>البحار</w:t>
            </w:r>
            <w:r>
              <w:rPr>
                <w:rtl/>
                <w:lang w:bidi="fa-IR"/>
              </w:rPr>
              <w:t xml:space="preserve"> : « من ».</w:t>
            </w:r>
          </w:p>
        </w:tc>
        <w:tc>
          <w:tcPr>
            <w:tcW w:w="4006" w:type="dxa"/>
          </w:tcPr>
          <w:p w:rsidR="0047032E" w:rsidRDefault="0047032E" w:rsidP="00E378DD">
            <w:pPr>
              <w:pStyle w:val="libFootnote0"/>
              <w:rPr>
                <w:rtl/>
                <w:lang w:bidi="fa-IR"/>
              </w:rPr>
            </w:pPr>
            <w:r>
              <w:rPr>
                <w:rtl/>
                <w:lang w:bidi="fa-IR"/>
              </w:rPr>
              <w:t>(4). في « بف ، جد » : « لسنّة ».</w:t>
            </w:r>
          </w:p>
        </w:tc>
      </w:tr>
    </w:tbl>
    <w:p w:rsidR="00744A1C" w:rsidRDefault="00E378DD" w:rsidP="00E378DD">
      <w:pPr>
        <w:pStyle w:val="libFootnote0"/>
        <w:rPr>
          <w:lang w:bidi="fa-IR"/>
        </w:rPr>
      </w:pPr>
      <w:r>
        <w:rPr>
          <w:rtl/>
          <w:lang w:bidi="fa-IR"/>
        </w:rPr>
        <w:t>(5).</w:t>
      </w:r>
      <w:r w:rsidR="00744A1C">
        <w:rPr>
          <w:rtl/>
          <w:lang w:bidi="fa-IR"/>
        </w:rPr>
        <w:t xml:space="preserve"> اللُّوثة - بالضمّ - : الاسترخاء والبطء. اللوث ، بالفتح : القوّة. والالتياث : الاختلاط ، والالتفات ، والإبطاء. قاله</w:t>
      </w:r>
      <w:r w:rsidR="0047032E">
        <w:rPr>
          <w:rFonts w:hint="cs"/>
          <w:rtl/>
          <w:lang w:bidi="fa-IR"/>
        </w:rPr>
        <w:t xml:space="preserve"> </w:t>
      </w:r>
      <w:r w:rsidR="00744A1C">
        <w:rPr>
          <w:rtl/>
          <w:lang w:bidi="fa-IR"/>
        </w:rPr>
        <w:t xml:space="preserve">‌الجوهري في </w:t>
      </w:r>
      <w:r w:rsidR="00744A1C" w:rsidRPr="00E978C3">
        <w:rPr>
          <w:rStyle w:val="libFootnoteBoldChar"/>
          <w:rtl/>
        </w:rPr>
        <w:t>الصحاح</w:t>
      </w:r>
      <w:r w:rsidR="00744A1C">
        <w:rPr>
          <w:rtl/>
          <w:lang w:bidi="fa-IR"/>
        </w:rPr>
        <w:t xml:space="preserve"> ، ج 1 ، ص 291 ( لوث ). وفي </w:t>
      </w:r>
      <w:r w:rsidR="00744A1C" w:rsidRPr="00C24F9C">
        <w:rPr>
          <w:rStyle w:val="libFootnoteBoldChar"/>
          <w:rtl/>
        </w:rPr>
        <w:t>المرآة</w:t>
      </w:r>
      <w:r w:rsidR="00744A1C">
        <w:rPr>
          <w:rtl/>
          <w:lang w:bidi="fa-IR"/>
        </w:rPr>
        <w:t xml:space="preserve"> : « قد تلتاث على صاحبها ، أي تبطئ وتحابس عن الطاعات ، أو تسترخي وتضعف عنها ، أو تقوى وتشجع على صاحبها ولا تطيعه ».</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47032E">
        <w:rPr>
          <w:rtl/>
        </w:rPr>
        <w:t>والوافي</w:t>
      </w:r>
      <w:r w:rsidR="00744A1C">
        <w:rPr>
          <w:rtl/>
          <w:lang w:bidi="fa-IR"/>
        </w:rPr>
        <w:t xml:space="preserve"> والتحف. وفي المطبوع : « يعتمد ».</w:t>
      </w:r>
    </w:p>
    <w:tbl>
      <w:tblPr>
        <w:tblStyle w:val="TableGrid"/>
        <w:bidiVisual/>
        <w:tblW w:w="0" w:type="auto"/>
        <w:tblLook w:val="04A0" w:firstRow="1" w:lastRow="0" w:firstColumn="1" w:lastColumn="0" w:noHBand="0" w:noVBand="1"/>
      </w:tblPr>
      <w:tblGrid>
        <w:gridCol w:w="4006"/>
        <w:gridCol w:w="4006"/>
      </w:tblGrid>
      <w:tr w:rsidR="0047032E" w:rsidTr="0047032E">
        <w:tc>
          <w:tcPr>
            <w:tcW w:w="4006" w:type="dxa"/>
          </w:tcPr>
          <w:p w:rsidR="0047032E" w:rsidRDefault="0047032E" w:rsidP="00E378DD">
            <w:pPr>
              <w:pStyle w:val="libFootnote0"/>
              <w:rPr>
                <w:rtl/>
                <w:lang w:bidi="fa-IR"/>
              </w:rPr>
            </w:pPr>
            <w:r>
              <w:rPr>
                <w:rtl/>
                <w:lang w:bidi="fa-IR"/>
              </w:rPr>
              <w:t>(7). في « بح » : « حرزت ».</w:t>
            </w:r>
          </w:p>
        </w:tc>
        <w:tc>
          <w:tcPr>
            <w:tcW w:w="4006" w:type="dxa"/>
          </w:tcPr>
          <w:p w:rsidR="0047032E" w:rsidRDefault="0047032E" w:rsidP="00E378DD">
            <w:pPr>
              <w:pStyle w:val="libFootnote0"/>
              <w:rPr>
                <w:rtl/>
                <w:lang w:bidi="fa-IR"/>
              </w:rPr>
            </w:pPr>
            <w:r>
              <w:rPr>
                <w:rtl/>
                <w:lang w:bidi="fa-IR"/>
              </w:rPr>
              <w:t>(8). في « بح » وحاشية « جت » : « قوتها ».</w:t>
            </w:r>
          </w:p>
        </w:tc>
      </w:tr>
    </w:tbl>
    <w:p w:rsidR="00744A1C" w:rsidRDefault="00E378DD" w:rsidP="00E378DD">
      <w:pPr>
        <w:pStyle w:val="libFootnote0"/>
        <w:rPr>
          <w:lang w:bidi="fa-IR"/>
        </w:rPr>
      </w:pPr>
      <w:r>
        <w:rPr>
          <w:rtl/>
          <w:lang w:bidi="fa-IR"/>
        </w:rPr>
        <w:t>(9).</w:t>
      </w:r>
      <w:r w:rsidR="00744A1C">
        <w:rPr>
          <w:rtl/>
          <w:lang w:bidi="fa-IR"/>
        </w:rPr>
        <w:t xml:space="preserve"> النُّوَيْقات جمع النُّويْقَة ، وهي تصغير الناقة. راجع : </w:t>
      </w:r>
      <w:r w:rsidR="00744A1C" w:rsidRPr="0047032E">
        <w:rPr>
          <w:rtl/>
        </w:rPr>
        <w:t>الوافي والمرآة</w:t>
      </w:r>
      <w:r w:rsidR="00744A1C">
        <w:rPr>
          <w:rtl/>
          <w:lang w:bidi="fa-IR"/>
        </w:rPr>
        <w:t>.</w:t>
      </w:r>
    </w:p>
    <w:p w:rsidR="00744A1C" w:rsidRDefault="00E378DD" w:rsidP="00E378DD">
      <w:pPr>
        <w:pStyle w:val="libFootnote0"/>
        <w:rPr>
          <w:lang w:bidi="fa-IR"/>
        </w:rPr>
      </w:pPr>
      <w:r>
        <w:rPr>
          <w:rtl/>
          <w:lang w:bidi="fa-IR"/>
        </w:rPr>
        <w:t>(10).</w:t>
      </w:r>
      <w:r w:rsidR="00744A1C">
        <w:rPr>
          <w:rtl/>
          <w:lang w:bidi="fa-IR"/>
        </w:rPr>
        <w:t xml:space="preserve"> الشُّوَيْهات جمع الشُّوَيْهة ، وهي تصغير الشاة. راجع </w:t>
      </w:r>
      <w:r w:rsidR="00744A1C" w:rsidRPr="0047032E">
        <w:rPr>
          <w:rtl/>
        </w:rPr>
        <w:t>: الوافي والمرآة</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47032E" w:rsidTr="0047032E">
        <w:tc>
          <w:tcPr>
            <w:tcW w:w="4006" w:type="dxa"/>
          </w:tcPr>
          <w:p w:rsidR="0047032E" w:rsidRDefault="0047032E" w:rsidP="00E378DD">
            <w:pPr>
              <w:pStyle w:val="libFootnote0"/>
              <w:rPr>
                <w:rtl/>
                <w:lang w:bidi="fa-IR"/>
              </w:rPr>
            </w:pPr>
            <w:r>
              <w:rPr>
                <w:rtl/>
                <w:lang w:bidi="fa-IR"/>
              </w:rPr>
              <w:t>(11). في « ى » : « الضيف ».</w:t>
            </w:r>
          </w:p>
        </w:tc>
        <w:tc>
          <w:tcPr>
            <w:tcW w:w="4006" w:type="dxa"/>
          </w:tcPr>
          <w:p w:rsidR="0047032E" w:rsidRDefault="0047032E" w:rsidP="00E378DD">
            <w:pPr>
              <w:pStyle w:val="libFootnote0"/>
              <w:rPr>
                <w:rtl/>
                <w:lang w:bidi="fa-IR"/>
              </w:rPr>
            </w:pPr>
            <w:r>
              <w:rPr>
                <w:rtl/>
                <w:lang w:bidi="fa-IR"/>
              </w:rPr>
              <w:t xml:space="preserve">(12). في </w:t>
            </w:r>
            <w:r w:rsidRPr="00C24F9C">
              <w:rPr>
                <w:rStyle w:val="libFootnoteBoldChar"/>
                <w:rtl/>
              </w:rPr>
              <w:t>الوافي</w:t>
            </w:r>
            <w:r>
              <w:rPr>
                <w:rtl/>
                <w:lang w:bidi="fa-IR"/>
              </w:rPr>
              <w:t xml:space="preserve"> :«أهل الماء : الذين يستقون له الماء».</w:t>
            </w:r>
          </w:p>
        </w:tc>
      </w:tr>
      <w:tr w:rsidR="0047032E" w:rsidTr="0047032E">
        <w:tc>
          <w:tcPr>
            <w:tcW w:w="4006" w:type="dxa"/>
          </w:tcPr>
          <w:p w:rsidR="0047032E" w:rsidRDefault="005310EA" w:rsidP="00E378DD">
            <w:pPr>
              <w:pStyle w:val="libFootnote0"/>
              <w:rPr>
                <w:rtl/>
                <w:lang w:bidi="fa-IR"/>
              </w:rPr>
            </w:pPr>
            <w:r>
              <w:rPr>
                <w:rtl/>
                <w:lang w:bidi="fa-IR"/>
              </w:rPr>
              <w:t>(13). في « جن » : « عليه ».</w:t>
            </w:r>
          </w:p>
        </w:tc>
        <w:tc>
          <w:tcPr>
            <w:tcW w:w="4006" w:type="dxa"/>
          </w:tcPr>
          <w:p w:rsidR="0047032E" w:rsidRDefault="005310EA" w:rsidP="00E378DD">
            <w:pPr>
              <w:pStyle w:val="libFootnote0"/>
              <w:rPr>
                <w:rtl/>
                <w:lang w:bidi="fa-IR"/>
              </w:rPr>
            </w:pPr>
            <w:r>
              <w:rPr>
                <w:rtl/>
                <w:lang w:bidi="fa-IR"/>
              </w:rPr>
              <w:t>(14). في « جن » : « يجزر ».</w:t>
            </w:r>
          </w:p>
        </w:tc>
      </w:tr>
    </w:tbl>
    <w:p w:rsidR="00744A1C" w:rsidRDefault="00E378DD" w:rsidP="00E378DD">
      <w:pPr>
        <w:pStyle w:val="libFootnote0"/>
        <w:rPr>
          <w:lang w:bidi="fa-IR"/>
        </w:rPr>
      </w:pPr>
      <w:r>
        <w:rPr>
          <w:rtl/>
          <w:lang w:bidi="fa-IR"/>
        </w:rPr>
        <w:t>(15).</w:t>
      </w:r>
      <w:r w:rsidR="00744A1C">
        <w:rPr>
          <w:rtl/>
          <w:lang w:bidi="fa-IR"/>
        </w:rPr>
        <w:t xml:space="preserve"> الجَزور : البعير ذكراً كان أو ا</w:t>
      </w:r>
      <w:r w:rsidR="005310EA">
        <w:rPr>
          <w:rFonts w:hint="cs"/>
          <w:rtl/>
          <w:lang w:bidi="fa-IR"/>
        </w:rPr>
        <w:t>ُ</w:t>
      </w:r>
      <w:r w:rsidR="005310EA">
        <w:rPr>
          <w:rtl/>
          <w:lang w:bidi="fa-IR"/>
        </w:rPr>
        <w:t>نثى ، إل</w:t>
      </w:r>
      <w:r w:rsidR="005310EA">
        <w:rPr>
          <w:rFonts w:hint="cs"/>
          <w:rtl/>
          <w:lang w:bidi="fa-IR"/>
        </w:rPr>
        <w:t>ّ</w:t>
      </w:r>
      <w:r w:rsidR="005310EA">
        <w:rPr>
          <w:rtl/>
          <w:lang w:bidi="fa-IR"/>
        </w:rPr>
        <w:t>ا</w:t>
      </w:r>
      <w:r w:rsidR="00744A1C">
        <w:rPr>
          <w:rtl/>
          <w:lang w:bidi="fa-IR"/>
        </w:rPr>
        <w:t xml:space="preserve"> أنّ اللفظة مؤنّثة ؛ تقول : هذه الجزور وإن أردت ذكراً. والجمع : جُزُور</w:t>
      </w:r>
      <w:r w:rsidR="005310EA">
        <w:rPr>
          <w:rFonts w:hint="cs"/>
          <w:rtl/>
          <w:lang w:bidi="fa-IR"/>
        </w:rPr>
        <w:t xml:space="preserve"> </w:t>
      </w:r>
      <w:r w:rsidR="00744A1C">
        <w:rPr>
          <w:rtl/>
          <w:lang w:bidi="fa-IR"/>
        </w:rPr>
        <w:t xml:space="preserve">وجزائر. </w:t>
      </w:r>
      <w:r w:rsidR="00744A1C" w:rsidRPr="00877682">
        <w:rPr>
          <w:rStyle w:val="libFootnoteBoldChar"/>
          <w:rtl/>
        </w:rPr>
        <w:t>النهاية</w:t>
      </w:r>
      <w:r w:rsidR="00744A1C">
        <w:rPr>
          <w:rtl/>
          <w:lang w:bidi="fa-IR"/>
        </w:rPr>
        <w:t xml:space="preserve"> ، ج 1 ، ص 266 ( جزر ).</w:t>
      </w:r>
    </w:p>
    <w:p w:rsidR="00744A1C" w:rsidRDefault="00744A1C" w:rsidP="00D10E3C">
      <w:pPr>
        <w:pStyle w:val="libFootnote0"/>
        <w:rPr>
          <w:lang w:bidi="fa-IR"/>
        </w:rPr>
      </w:pPr>
      <w:r>
        <w:rPr>
          <w:rtl/>
          <w:lang w:bidi="fa-IR"/>
        </w:rPr>
        <w:t xml:space="preserve">(16) في « ط ، ى ، بخ ، جد » وحاشية « جت » : « الشاء ». وفي « بح ، بف ، جن » </w:t>
      </w:r>
      <w:r w:rsidRPr="005310EA">
        <w:rPr>
          <w:rtl/>
        </w:rPr>
        <w:t>والوافي والبحار</w:t>
      </w:r>
      <w:r>
        <w:rPr>
          <w:rtl/>
          <w:lang w:bidi="fa-IR"/>
        </w:rPr>
        <w:t xml:space="preserve"> : « الشاة ».</w:t>
      </w:r>
    </w:p>
    <w:p w:rsidR="00744A1C" w:rsidRDefault="00744A1C" w:rsidP="00D10E3C">
      <w:pPr>
        <w:pStyle w:val="libFootnote0"/>
        <w:rPr>
          <w:lang w:bidi="fa-IR"/>
        </w:rPr>
      </w:pPr>
      <w:r>
        <w:rPr>
          <w:rtl/>
          <w:lang w:bidi="fa-IR"/>
        </w:rPr>
        <w:t>(17) في « ط » : - « على قدر ».</w:t>
      </w:r>
    </w:p>
    <w:p w:rsidR="00744A1C" w:rsidRDefault="00744A1C" w:rsidP="00D10E3C">
      <w:pPr>
        <w:pStyle w:val="libFootnote0"/>
        <w:rPr>
          <w:lang w:bidi="fa-IR"/>
        </w:rPr>
      </w:pPr>
      <w:r>
        <w:rPr>
          <w:rtl/>
          <w:lang w:bidi="fa-IR"/>
        </w:rPr>
        <w:t xml:space="preserve">(18) القَرَم بالتحريك : شدّة شهوة اللحم. وقد قَرِمْتَ إلى اللحم بالكسر ، إذا اشتهيته. </w:t>
      </w:r>
      <w:r w:rsidRPr="00E978C3">
        <w:rPr>
          <w:rStyle w:val="libFootnoteBoldChar"/>
          <w:rtl/>
        </w:rPr>
        <w:t>الصحاح</w:t>
      </w:r>
      <w:r>
        <w:rPr>
          <w:rtl/>
          <w:lang w:bidi="fa-IR"/>
        </w:rPr>
        <w:t xml:space="preserve"> ، ج 5 ، ص 2009 ( قرم ).</w:t>
      </w:r>
    </w:p>
    <w:p w:rsidR="006A5060" w:rsidRDefault="006A5060" w:rsidP="00D10E3C">
      <w:pPr>
        <w:pStyle w:val="libNormal"/>
        <w:rPr>
          <w:rtl/>
          <w:lang w:bidi="fa-IR"/>
        </w:rPr>
      </w:pPr>
      <w:r>
        <w:rPr>
          <w:rtl/>
          <w:lang w:bidi="fa-IR"/>
        </w:rPr>
        <w:br w:type="page"/>
      </w:r>
    </w:p>
    <w:p w:rsidR="00744A1C" w:rsidRDefault="00744A1C" w:rsidP="005310EA">
      <w:pPr>
        <w:pStyle w:val="libNormal0"/>
        <w:rPr>
          <w:lang w:bidi="fa-IR"/>
        </w:rPr>
      </w:pPr>
      <w:r>
        <w:rPr>
          <w:rtl/>
          <w:lang w:bidi="fa-IR"/>
        </w:rPr>
        <w:t xml:space="preserve">وَيَأْخُذُ هُوَ كَنَصِيبِ وَاحِدٍ مِنْهُمْ </w:t>
      </w:r>
      <w:r w:rsidRPr="00D10E3C">
        <w:rPr>
          <w:rStyle w:val="libFootnotenumChar"/>
          <w:rtl/>
        </w:rPr>
        <w:t>(1)</w:t>
      </w:r>
      <w:r>
        <w:rPr>
          <w:rtl/>
          <w:lang w:bidi="fa-IR"/>
        </w:rPr>
        <w:t xml:space="preserve"> لَايَتَفَضَّلُ عَلَيْهِمْ ، وَمَنْ أَزْهَدُ مِنْ هؤُلَاءِ وَقَدْ قَالَ فِيهِمْ رَسُولُ اللهِ </w:t>
      </w:r>
      <w:r w:rsidR="0017097C" w:rsidRPr="0017097C">
        <w:rPr>
          <w:rStyle w:val="libAlaemChar"/>
          <w:rtl/>
        </w:rPr>
        <w:t>صلى‌الله‌عليه‌وآله</w:t>
      </w:r>
      <w:r w:rsidR="00D10E3C">
        <w:rPr>
          <w:rtl/>
          <w:lang w:bidi="fa-IR"/>
        </w:rPr>
        <w:t xml:space="preserve"> </w:t>
      </w:r>
      <w:r>
        <w:rPr>
          <w:rtl/>
          <w:lang w:bidi="fa-IR"/>
        </w:rPr>
        <w:t>مَا قَالَ وَلَمْ يَبْلُغْ مِنْ أَمْرِهِمَا أَنْ صَارَا لَايَمْلِكَانِ شَيْئاً أَلْبَتَّةَ كَمَا تَأْمُرُونَ النَّاسَ بِإِلْقَاءِ أَمْتِعَتِهِمْ وَشَيْئِهِمْ ، وَيُؤْثِرُونَ بِهِ عَلى أَنْفُسِهِمْ وَعِيَالَاتِهِمْ.</w:t>
      </w:r>
    </w:p>
    <w:p w:rsidR="00744A1C" w:rsidRDefault="00744A1C" w:rsidP="00744A1C">
      <w:pPr>
        <w:pStyle w:val="libNormal"/>
        <w:rPr>
          <w:lang w:bidi="fa-IR"/>
        </w:rPr>
      </w:pPr>
      <w:r>
        <w:rPr>
          <w:rtl/>
          <w:lang w:bidi="fa-IR"/>
        </w:rPr>
        <w:t xml:space="preserve">وَاعْلَمُوا أَيُّهَا النَّفَرُ </w:t>
      </w:r>
      <w:r w:rsidRPr="00D10E3C">
        <w:rPr>
          <w:rStyle w:val="libFootnotenumChar"/>
          <w:rtl/>
        </w:rPr>
        <w:t>(2)</w:t>
      </w:r>
      <w:r>
        <w:rPr>
          <w:rtl/>
          <w:lang w:bidi="fa-IR"/>
        </w:rPr>
        <w:t xml:space="preserve"> أَنِّي سَمِعْتُ أَبِي يَرْوِي عَنْ آبَائِهِ </w:t>
      </w:r>
      <w:r w:rsidR="008859AA" w:rsidRPr="008859AA">
        <w:rPr>
          <w:rStyle w:val="libAlaemChar"/>
          <w:rtl/>
        </w:rPr>
        <w:t>عليهما‌السلام</w:t>
      </w:r>
      <w:r>
        <w:rPr>
          <w:rtl/>
          <w:lang w:bidi="fa-IR"/>
        </w:rPr>
        <w:t xml:space="preserve">أَنَّ رَسُولَ اللهِ </w:t>
      </w:r>
      <w:r w:rsidR="00712C99" w:rsidRPr="00712C99">
        <w:rPr>
          <w:rStyle w:val="libAlaemChar"/>
          <w:rtl/>
        </w:rPr>
        <w:t>صلى‌الله‌عليه‌وآله</w:t>
      </w:r>
      <w:r w:rsidR="00D10E3C">
        <w:rPr>
          <w:rtl/>
          <w:lang w:bidi="fa-IR"/>
        </w:rPr>
        <w:t xml:space="preserve"> </w:t>
      </w:r>
      <w:r>
        <w:rPr>
          <w:rtl/>
          <w:lang w:bidi="fa-IR"/>
        </w:rPr>
        <w:t xml:space="preserve">قَالَ يَوْماً : مَا عَجِبْتُ مِنْ شَيْ‌ءٍ كَعَجَبِي مِنَ الْمُؤْمِنِ إِنَّهُ </w:t>
      </w:r>
      <w:r w:rsidRPr="00D10E3C">
        <w:rPr>
          <w:rStyle w:val="libFootnotenumChar"/>
          <w:rtl/>
        </w:rPr>
        <w:t>(3)</w:t>
      </w:r>
      <w:r>
        <w:rPr>
          <w:rtl/>
          <w:lang w:bidi="fa-IR"/>
        </w:rPr>
        <w:t xml:space="preserve"> إِنْ </w:t>
      </w:r>
      <w:r w:rsidRPr="00D10E3C">
        <w:rPr>
          <w:rStyle w:val="libFootnotenumChar"/>
          <w:rtl/>
        </w:rPr>
        <w:t>(4)</w:t>
      </w:r>
      <w:r>
        <w:rPr>
          <w:rtl/>
          <w:lang w:bidi="fa-IR"/>
        </w:rPr>
        <w:t xml:space="preserve"> قُرِّضَ جَسَدُهُ فِي دَارِ الدُّنْيَا بِالْمَقَارِيضِ ، كَانَ خَيْراً لَهُ ، وَإِنْ مَلَكَ مَا بَيْنَ </w:t>
      </w:r>
      <w:r w:rsidRPr="00D10E3C">
        <w:rPr>
          <w:rStyle w:val="libFootnotenumChar"/>
          <w:rtl/>
        </w:rPr>
        <w:t>(5)</w:t>
      </w:r>
      <w:r>
        <w:rPr>
          <w:rtl/>
          <w:lang w:bidi="fa-IR"/>
        </w:rPr>
        <w:t xml:space="preserve"> مَشَارِقِ الْأَرْضِ وَمَغَارِبِهَا ، كَانَ خَيْراً لَهُ </w:t>
      </w:r>
      <w:r w:rsidRPr="00D10E3C">
        <w:rPr>
          <w:rStyle w:val="libFootnotenumChar"/>
          <w:rtl/>
        </w:rPr>
        <w:t>(6)</w:t>
      </w:r>
      <w:r>
        <w:rPr>
          <w:rtl/>
          <w:lang w:bidi="fa-IR"/>
        </w:rPr>
        <w:t xml:space="preserve"> ، وَكُلُّ </w:t>
      </w:r>
      <w:r w:rsidRPr="00D10E3C">
        <w:rPr>
          <w:rStyle w:val="libFootnotenumChar"/>
          <w:rtl/>
        </w:rPr>
        <w:t>(7)</w:t>
      </w:r>
      <w:r>
        <w:rPr>
          <w:rtl/>
          <w:lang w:bidi="fa-IR"/>
        </w:rPr>
        <w:t xml:space="preserve"> مَا يَصْنَعُ </w:t>
      </w:r>
      <w:r w:rsidRPr="00D10E3C">
        <w:rPr>
          <w:rStyle w:val="libFootnotenumChar"/>
          <w:rtl/>
        </w:rPr>
        <w:t>(8)</w:t>
      </w:r>
      <w:r>
        <w:rPr>
          <w:rtl/>
          <w:lang w:bidi="fa-IR"/>
        </w:rPr>
        <w:t xml:space="preserve"> اللهُ - عَزَّ وَجَلَّ - بِهِ </w:t>
      </w:r>
      <w:r w:rsidRPr="00D10E3C">
        <w:rPr>
          <w:rStyle w:val="libFootnotenumChar"/>
          <w:rtl/>
        </w:rPr>
        <w:t>(9)</w:t>
      </w:r>
      <w:r>
        <w:rPr>
          <w:rtl/>
          <w:lang w:bidi="fa-IR"/>
        </w:rPr>
        <w:t xml:space="preserve"> ، فَهُوَ خَيْرٌ لَهُ ، فَلَيْتَ شِعْرِي هَلْ يَحِيقُ </w:t>
      </w:r>
      <w:r w:rsidRPr="00D10E3C">
        <w:rPr>
          <w:rStyle w:val="libFootnotenumChar"/>
          <w:rtl/>
        </w:rPr>
        <w:t>(10)</w:t>
      </w:r>
      <w:r>
        <w:rPr>
          <w:rtl/>
          <w:lang w:bidi="fa-IR"/>
        </w:rPr>
        <w:t xml:space="preserve"> فِيكُمْ مَا قَدْ شَرَحْتُ لَكُمْ مُنْذُ الْيَوْمِ ، أَمْ أَزِيدُكُمْ؟ أَ</w:t>
      </w:r>
      <w:r w:rsidR="005310EA">
        <w:rPr>
          <w:rFonts w:hint="cs"/>
          <w:rtl/>
          <w:lang w:bidi="fa-IR"/>
        </w:rPr>
        <w:t xml:space="preserve"> </w:t>
      </w:r>
      <w:r>
        <w:rPr>
          <w:rtl/>
          <w:lang w:bidi="fa-IR"/>
        </w:rPr>
        <w:t xml:space="preserve">مَا عَلِمْتُمْ أَنَّ اللهَ - عَزَّ وَجَلَّ - قَدْ فَرَضَ عَلَى الْمُؤْمِنِينَ فِي أَوَّلِ الْأَمْرِ أَنْ </w:t>
      </w:r>
      <w:r w:rsidRPr="00D10E3C">
        <w:rPr>
          <w:rStyle w:val="libFootnotenumChar"/>
          <w:rtl/>
        </w:rPr>
        <w:t>(11)</w:t>
      </w:r>
      <w:r>
        <w:rPr>
          <w:rtl/>
          <w:lang w:bidi="fa-IR"/>
        </w:rPr>
        <w:t xml:space="preserve"> يُقَاتِلَ الرَّجُلُ مِنْهُمْ عَشَرَةً مِنَ الْمُشْرِكِينَ ، لَيْسَ لَهُ أَنْ يُوَلِّيَ و</w:t>
      </w:r>
      <w:r w:rsidR="005310EA">
        <w:rPr>
          <w:rtl/>
          <w:lang w:bidi="fa-IR"/>
        </w:rPr>
        <w:t>َجْهَهُ عَنْهُمْ ، وَمَنْ وَل</w:t>
      </w:r>
      <w:r w:rsidR="005310EA">
        <w:rPr>
          <w:rFonts w:hint="cs"/>
          <w:rtl/>
          <w:lang w:bidi="fa-IR"/>
        </w:rPr>
        <w:t>َّ</w:t>
      </w:r>
      <w:r w:rsidR="005310EA">
        <w:rPr>
          <w:rtl/>
          <w:lang w:bidi="fa-IR"/>
        </w:rPr>
        <w:t>ا</w:t>
      </w:r>
      <w:r>
        <w:rPr>
          <w:rtl/>
          <w:lang w:bidi="fa-IR"/>
        </w:rPr>
        <w:t>هُمْ يَوْمَئِذٍ دُبُرَهُ ، فَقَدْ تَبَوَّأَ مَقْعَدَهُ مِنَ النَّارِ ، ثُمَّ حَوَّلَهُمْ عَنْ حَالِهِمْ رَحْمَةً مِنْهُ لَهُمْ ، فَصَارَ الرَّجُلُ مِنْهُمْ عَلَيْهِ أَنْ يُقَاتِلَ رَجُلَيْنِ مِنَ الْمُشْرِكِينَ‌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وحاشية « جت » والتحف : « أحدهم ».</w:t>
      </w:r>
    </w:p>
    <w:p w:rsidR="00744A1C" w:rsidRDefault="00E378DD" w:rsidP="00E378DD">
      <w:pPr>
        <w:pStyle w:val="libFootnote0"/>
        <w:rPr>
          <w:lang w:bidi="fa-IR"/>
        </w:rPr>
      </w:pPr>
      <w:r>
        <w:rPr>
          <w:rtl/>
          <w:lang w:bidi="fa-IR"/>
        </w:rPr>
        <w:t>(2).</w:t>
      </w:r>
      <w:r w:rsidR="00744A1C">
        <w:rPr>
          <w:rtl/>
          <w:lang w:bidi="fa-IR"/>
        </w:rPr>
        <w:t xml:space="preserve"> « النَّفَر » بالتحريك : اسم جمع يقع على جماعة من الرجال ، خاصّة ما بين الثلاثة إلى العشرة ، ولا واحد له من</w:t>
      </w:r>
      <w:r w:rsidR="005310EA">
        <w:rPr>
          <w:rFonts w:hint="cs"/>
          <w:rtl/>
          <w:lang w:bidi="fa-IR"/>
        </w:rPr>
        <w:t xml:space="preserve"> </w:t>
      </w:r>
      <w:r w:rsidR="00744A1C">
        <w:rPr>
          <w:rtl/>
          <w:lang w:bidi="fa-IR"/>
        </w:rPr>
        <w:t xml:space="preserve">‌لفظه. </w:t>
      </w:r>
      <w:r w:rsidR="00744A1C" w:rsidRPr="00877682">
        <w:rPr>
          <w:rStyle w:val="libFootnoteBoldChar"/>
          <w:rtl/>
        </w:rPr>
        <w:t>النهاية</w:t>
      </w:r>
      <w:r w:rsidR="00744A1C">
        <w:rPr>
          <w:rtl/>
          <w:lang w:bidi="fa-IR"/>
        </w:rPr>
        <w:t xml:space="preserve"> ، ج 5 ، ص 93 ( نفر ).</w:t>
      </w:r>
    </w:p>
    <w:p w:rsidR="00744A1C" w:rsidRDefault="00E378DD" w:rsidP="00E378DD">
      <w:pPr>
        <w:pStyle w:val="libFootnote0"/>
        <w:rPr>
          <w:lang w:bidi="fa-IR"/>
        </w:rPr>
      </w:pPr>
      <w:r>
        <w:rPr>
          <w:rtl/>
          <w:lang w:bidi="fa-IR"/>
        </w:rPr>
        <w:t>(3).</w:t>
      </w:r>
      <w:r w:rsidR="00744A1C">
        <w:rPr>
          <w:rtl/>
          <w:lang w:bidi="fa-IR"/>
        </w:rPr>
        <w:t xml:space="preserve"> في « ط » : + « لو ».</w:t>
      </w:r>
    </w:p>
    <w:p w:rsidR="00744A1C" w:rsidRDefault="00E378DD" w:rsidP="00E378DD">
      <w:pPr>
        <w:pStyle w:val="libFootnote0"/>
        <w:rPr>
          <w:lang w:bidi="fa-IR"/>
        </w:rPr>
      </w:pPr>
      <w:r>
        <w:rPr>
          <w:rtl/>
          <w:lang w:bidi="fa-IR"/>
        </w:rPr>
        <w:t>(4).</w:t>
      </w:r>
      <w:r w:rsidR="00744A1C">
        <w:rPr>
          <w:rtl/>
          <w:lang w:bidi="fa-IR"/>
        </w:rPr>
        <w:t xml:space="preserve"> في حاشية « ى » : « إذا ».</w:t>
      </w:r>
    </w:p>
    <w:p w:rsidR="00744A1C" w:rsidRDefault="00E378DD" w:rsidP="00E378DD">
      <w:pPr>
        <w:pStyle w:val="libFootnote0"/>
        <w:rPr>
          <w:lang w:bidi="fa-IR"/>
        </w:rPr>
      </w:pPr>
      <w:r>
        <w:rPr>
          <w:rtl/>
          <w:lang w:bidi="fa-IR"/>
        </w:rPr>
        <w:t>(5).</w:t>
      </w:r>
      <w:r w:rsidR="00744A1C">
        <w:rPr>
          <w:rtl/>
          <w:lang w:bidi="fa-IR"/>
        </w:rPr>
        <w:t xml:space="preserve"> في « ط » : - « ما بين ».</w:t>
      </w:r>
    </w:p>
    <w:p w:rsidR="00744A1C" w:rsidRDefault="00E378DD" w:rsidP="00E378DD">
      <w:pPr>
        <w:pStyle w:val="libFootnote0"/>
        <w:rPr>
          <w:lang w:bidi="fa-IR"/>
        </w:rPr>
      </w:pPr>
      <w:r>
        <w:rPr>
          <w:rtl/>
          <w:lang w:bidi="fa-IR"/>
        </w:rPr>
        <w:t>(6).</w:t>
      </w:r>
      <w:r w:rsidR="00744A1C">
        <w:rPr>
          <w:rtl/>
          <w:lang w:bidi="fa-IR"/>
        </w:rPr>
        <w:t xml:space="preserve"> في « ط » : - « كان خيراً له ».</w:t>
      </w:r>
    </w:p>
    <w:p w:rsidR="00744A1C" w:rsidRDefault="00E378DD" w:rsidP="00E378DD">
      <w:pPr>
        <w:pStyle w:val="libFootnote0"/>
        <w:rPr>
          <w:lang w:bidi="fa-IR"/>
        </w:rPr>
      </w:pPr>
      <w:r>
        <w:rPr>
          <w:rtl/>
          <w:lang w:bidi="fa-IR"/>
        </w:rPr>
        <w:t>(7).</w:t>
      </w:r>
      <w:r w:rsidR="00744A1C">
        <w:rPr>
          <w:rtl/>
          <w:lang w:bidi="fa-IR"/>
        </w:rPr>
        <w:t xml:space="preserve"> في « ط ، جن » والتحف : « فكلّ ».</w:t>
      </w:r>
    </w:p>
    <w:p w:rsidR="00744A1C" w:rsidRDefault="00E378DD" w:rsidP="00E378DD">
      <w:pPr>
        <w:pStyle w:val="libFootnote0"/>
        <w:rPr>
          <w:lang w:bidi="fa-IR"/>
        </w:rPr>
      </w:pPr>
      <w:r>
        <w:rPr>
          <w:rtl/>
          <w:lang w:bidi="fa-IR"/>
        </w:rPr>
        <w:t>(8).</w:t>
      </w:r>
      <w:r w:rsidR="00744A1C">
        <w:rPr>
          <w:rtl/>
          <w:lang w:bidi="fa-IR"/>
        </w:rPr>
        <w:t xml:space="preserve"> في « ط » : « ما صنع ». وفي « جن » : + « به ».</w:t>
      </w:r>
    </w:p>
    <w:p w:rsidR="00744A1C" w:rsidRDefault="00E378DD" w:rsidP="00E378DD">
      <w:pPr>
        <w:pStyle w:val="libFootnote0"/>
        <w:rPr>
          <w:lang w:bidi="fa-IR"/>
        </w:rPr>
      </w:pPr>
      <w:r>
        <w:rPr>
          <w:rtl/>
          <w:lang w:bidi="fa-IR"/>
        </w:rPr>
        <w:t>(9).</w:t>
      </w:r>
      <w:r w:rsidR="00744A1C">
        <w:rPr>
          <w:rtl/>
          <w:lang w:bidi="fa-IR"/>
        </w:rPr>
        <w:t xml:space="preserve"> في « جن » : - « به ».</w:t>
      </w:r>
    </w:p>
    <w:p w:rsidR="00744A1C" w:rsidRDefault="00E378DD" w:rsidP="00E378DD">
      <w:pPr>
        <w:pStyle w:val="libFootnote0"/>
        <w:rPr>
          <w:lang w:bidi="fa-IR"/>
        </w:rPr>
      </w:pPr>
      <w:r>
        <w:rPr>
          <w:rtl/>
          <w:lang w:bidi="fa-IR"/>
        </w:rPr>
        <w:t>(10).</w:t>
      </w:r>
      <w:r w:rsidR="00744A1C">
        <w:rPr>
          <w:rtl/>
          <w:lang w:bidi="fa-IR"/>
        </w:rPr>
        <w:t xml:space="preserve"> في « ى ، جد » وحاشية « جت ، جن » </w:t>
      </w:r>
      <w:r w:rsidR="00744A1C" w:rsidRPr="005310EA">
        <w:rPr>
          <w:rtl/>
        </w:rPr>
        <w:t>والمرآة والبحار</w:t>
      </w:r>
      <w:r w:rsidR="00744A1C">
        <w:rPr>
          <w:rtl/>
          <w:lang w:bidi="fa-IR"/>
        </w:rPr>
        <w:t xml:space="preserve"> : « يحقّ » ، أي يثبت ويستقرّ ويعتقدونه حقّاً. وفي </w:t>
      </w:r>
      <w:r w:rsidR="00744A1C" w:rsidRPr="005310EA">
        <w:rPr>
          <w:rtl/>
        </w:rPr>
        <w:t>الوافي</w:t>
      </w:r>
      <w:r w:rsidR="00744A1C">
        <w:rPr>
          <w:rtl/>
          <w:lang w:bidi="fa-IR"/>
        </w:rPr>
        <w:t xml:space="preserve"> : « يختفي » ، إمّا بمعنى الإظهار والاستخراج ، أو بمعنى الاستتار والتواري. و « هل يحيق فيكم » أي يؤثّر فيكم ؛ يقال : حاق فيه السيف حَيْقاً ؛ حاك ، أي أثّر. راجع : </w:t>
      </w:r>
      <w:r w:rsidR="00744A1C" w:rsidRPr="008A57EB">
        <w:rPr>
          <w:rStyle w:val="libFootnoteBoldChar"/>
          <w:rtl/>
        </w:rPr>
        <w:t>القاموس المحيط</w:t>
      </w:r>
      <w:r w:rsidR="00744A1C">
        <w:rPr>
          <w:rtl/>
          <w:lang w:bidi="fa-IR"/>
        </w:rPr>
        <w:t xml:space="preserve"> ، ج 2 ، ص 1162 ( حيق ).</w:t>
      </w:r>
    </w:p>
    <w:p w:rsidR="00744A1C" w:rsidRDefault="00E378DD" w:rsidP="00E378DD">
      <w:pPr>
        <w:pStyle w:val="libFootnote0"/>
        <w:rPr>
          <w:lang w:bidi="fa-IR"/>
        </w:rPr>
      </w:pPr>
      <w:r>
        <w:rPr>
          <w:rtl/>
          <w:lang w:bidi="fa-IR"/>
        </w:rPr>
        <w:t>(11).</w:t>
      </w:r>
      <w:r w:rsidR="00744A1C">
        <w:rPr>
          <w:rtl/>
          <w:lang w:bidi="fa-IR"/>
        </w:rPr>
        <w:t xml:space="preserve"> في </w:t>
      </w:r>
      <w:r w:rsidR="00744A1C" w:rsidRPr="005310EA">
        <w:rPr>
          <w:rtl/>
        </w:rPr>
        <w:t>البحار</w:t>
      </w:r>
      <w:r w:rsidR="00744A1C">
        <w:rPr>
          <w:rtl/>
          <w:lang w:bidi="fa-IR"/>
        </w:rPr>
        <w:t xml:space="preserve"> : - « أن ».</w:t>
      </w:r>
    </w:p>
    <w:p w:rsidR="006A5060" w:rsidRDefault="006A5060" w:rsidP="00D10E3C">
      <w:pPr>
        <w:pStyle w:val="libNormal"/>
        <w:rPr>
          <w:rtl/>
          <w:lang w:bidi="fa-IR"/>
        </w:rPr>
      </w:pPr>
      <w:r>
        <w:rPr>
          <w:rtl/>
          <w:lang w:bidi="fa-IR"/>
        </w:rPr>
        <w:br w:type="page"/>
      </w:r>
    </w:p>
    <w:p w:rsidR="00744A1C" w:rsidRDefault="00744A1C" w:rsidP="005310EA">
      <w:pPr>
        <w:pStyle w:val="libNormal0"/>
        <w:rPr>
          <w:lang w:bidi="fa-IR"/>
        </w:rPr>
      </w:pPr>
      <w:r>
        <w:rPr>
          <w:rtl/>
          <w:lang w:bidi="fa-IR"/>
        </w:rPr>
        <w:t>تَخْفِيفاً مِنَ اللهِ - عَزَّ وَجَلَّ - لِلْمُؤْمِنِينَ ، فَنَسَخَ الرَّجُلَانِ الْعَشَرَةَ.</w:t>
      </w:r>
    </w:p>
    <w:p w:rsidR="00744A1C" w:rsidRDefault="00744A1C" w:rsidP="00744A1C">
      <w:pPr>
        <w:pStyle w:val="libNormal"/>
        <w:rPr>
          <w:lang w:bidi="fa-IR"/>
        </w:rPr>
      </w:pPr>
      <w:r>
        <w:rPr>
          <w:rtl/>
          <w:lang w:bidi="fa-IR"/>
        </w:rPr>
        <w:t xml:space="preserve">وَأَخْبِرُونِي أَيْضاً عَنِ الْقُضَاةِ أَجَوَرَةٌ </w:t>
      </w:r>
      <w:r w:rsidRPr="00D10E3C">
        <w:rPr>
          <w:rStyle w:val="libFootnotenumChar"/>
          <w:rtl/>
        </w:rPr>
        <w:t>(1)</w:t>
      </w:r>
      <w:r>
        <w:rPr>
          <w:rtl/>
          <w:lang w:bidi="fa-IR"/>
        </w:rPr>
        <w:t xml:space="preserve"> هُمْ </w:t>
      </w:r>
      <w:r w:rsidRPr="00D10E3C">
        <w:rPr>
          <w:rStyle w:val="libFootnotenumChar"/>
          <w:rtl/>
        </w:rPr>
        <w:t>(2)</w:t>
      </w:r>
      <w:r>
        <w:rPr>
          <w:rtl/>
          <w:lang w:bidi="fa-IR"/>
        </w:rPr>
        <w:t xml:space="preserve"> حَيْثُ </w:t>
      </w:r>
      <w:r w:rsidRPr="00D10E3C">
        <w:rPr>
          <w:rStyle w:val="libFootnotenumChar"/>
          <w:rtl/>
        </w:rPr>
        <w:t>(3)</w:t>
      </w:r>
      <w:r>
        <w:rPr>
          <w:rtl/>
          <w:lang w:bidi="fa-IR"/>
        </w:rPr>
        <w:t xml:space="preserve"> يَقْضُونَ </w:t>
      </w:r>
      <w:r w:rsidRPr="00D10E3C">
        <w:rPr>
          <w:rStyle w:val="libFootnotenumChar"/>
          <w:rtl/>
        </w:rPr>
        <w:t>(4)</w:t>
      </w:r>
      <w:r>
        <w:rPr>
          <w:rtl/>
          <w:lang w:bidi="fa-IR"/>
        </w:rPr>
        <w:t xml:space="preserve"> عَلَى الرَّجُلِ مِنْكُمْ نَفَقَةَ امْرَأَتِهِ إِذَا قَالَ : إِنِّي زَاهِدٌ ، وَإِنِّي </w:t>
      </w:r>
      <w:r w:rsidRPr="00D10E3C">
        <w:rPr>
          <w:rStyle w:val="libFootnotenumChar"/>
          <w:rtl/>
        </w:rPr>
        <w:t>(5)</w:t>
      </w:r>
      <w:r>
        <w:rPr>
          <w:rtl/>
          <w:lang w:bidi="fa-IR"/>
        </w:rPr>
        <w:t xml:space="preserve"> لَاشَيْ‌ءَ لِي؟ فَإِنْ قُلْتُمْ : جَوَرَةٌ </w:t>
      </w:r>
      <w:r w:rsidRPr="00D10E3C">
        <w:rPr>
          <w:rStyle w:val="libFootnotenumChar"/>
          <w:rtl/>
        </w:rPr>
        <w:t>(6)</w:t>
      </w:r>
      <w:r>
        <w:rPr>
          <w:rtl/>
          <w:lang w:bidi="fa-IR"/>
        </w:rPr>
        <w:t xml:space="preserve"> ، ظَلَّمَكُمْ </w:t>
      </w:r>
      <w:r w:rsidRPr="00D10E3C">
        <w:rPr>
          <w:rStyle w:val="libFootnotenumChar"/>
          <w:rtl/>
        </w:rPr>
        <w:t>(7)</w:t>
      </w:r>
      <w:r>
        <w:rPr>
          <w:rtl/>
          <w:lang w:bidi="fa-IR"/>
        </w:rPr>
        <w:t xml:space="preserve"> أَهْلُ الْإِسْلَامِ ، وَإِنْ قُلْتُمْ : بَلْ </w:t>
      </w:r>
      <w:r w:rsidRPr="00D10E3C">
        <w:rPr>
          <w:rStyle w:val="libFootnotenumChar"/>
          <w:rtl/>
        </w:rPr>
        <w:t>(8)</w:t>
      </w:r>
      <w:r>
        <w:rPr>
          <w:rtl/>
          <w:lang w:bidi="fa-IR"/>
        </w:rPr>
        <w:t xml:space="preserve"> عُدُولٌ ، خَصَمْتُمْ أَنْفُسَكُمْ ، وَحَيْثُ تَرُدُّونَ </w:t>
      </w:r>
      <w:r w:rsidRPr="00D10E3C">
        <w:rPr>
          <w:rStyle w:val="libFootnotenumChar"/>
          <w:rtl/>
        </w:rPr>
        <w:t>(9)</w:t>
      </w:r>
      <w:r>
        <w:rPr>
          <w:rtl/>
          <w:lang w:bidi="fa-IR"/>
        </w:rPr>
        <w:t xml:space="preserve"> صَدَقَةَ مَنْ تَصَدَّقَ عَلَى الْمَسَاكِينِ عِنْدَ الْمَوْتِ بِأَكْثَرَ مِنَ الثُّلُثِ.</w:t>
      </w:r>
    </w:p>
    <w:p w:rsidR="00144FA6" w:rsidRDefault="00744A1C" w:rsidP="00744A1C">
      <w:pPr>
        <w:pStyle w:val="libNormal"/>
        <w:rPr>
          <w:rtl/>
          <w:lang w:bidi="fa-IR"/>
        </w:rPr>
      </w:pPr>
      <w:r>
        <w:rPr>
          <w:rtl/>
          <w:lang w:bidi="fa-IR"/>
        </w:rPr>
        <w:t xml:space="preserve">أَخْبِرُونِي </w:t>
      </w:r>
      <w:r w:rsidRPr="00D10E3C">
        <w:rPr>
          <w:rStyle w:val="libFootnotenumChar"/>
          <w:rtl/>
        </w:rPr>
        <w:t>(10)</w:t>
      </w:r>
      <w:r>
        <w:rPr>
          <w:rtl/>
          <w:lang w:bidi="fa-IR"/>
        </w:rPr>
        <w:t xml:space="preserve"> لَوْ كَانَ النَّاسُ كُلُّهُمْ كَالَّذِينَ </w:t>
      </w:r>
      <w:r w:rsidRPr="00D10E3C">
        <w:rPr>
          <w:rStyle w:val="libFootnotenumChar"/>
          <w:rtl/>
        </w:rPr>
        <w:t>(11)</w:t>
      </w:r>
      <w:r>
        <w:rPr>
          <w:rtl/>
          <w:lang w:bidi="fa-IR"/>
        </w:rPr>
        <w:t xml:space="preserve"> تُرِيدُونَ زُهَّاداً لَاحَاجَةَ </w:t>
      </w:r>
      <w:r w:rsidRPr="00D10E3C">
        <w:rPr>
          <w:rStyle w:val="libFootnotenumChar"/>
          <w:rtl/>
        </w:rPr>
        <w:t>(12)</w:t>
      </w:r>
      <w:r>
        <w:rPr>
          <w:rtl/>
          <w:lang w:bidi="fa-IR"/>
        </w:rPr>
        <w:t xml:space="preserve"> لَهُمْ فِي مَتَاعِ غَيْرِهِمْ ، فَعَلى مَنْ كَانَ يُتَصَدَّقُ </w:t>
      </w:r>
      <w:r w:rsidRPr="00D10E3C">
        <w:rPr>
          <w:rStyle w:val="libFootnotenumChar"/>
          <w:rtl/>
        </w:rPr>
        <w:t>(13)</w:t>
      </w:r>
      <w:r>
        <w:rPr>
          <w:rtl/>
          <w:lang w:bidi="fa-IR"/>
        </w:rPr>
        <w:t xml:space="preserve"> بِكَفَّارَاتِ الْأَيْمَانِ وَالنُّذُورِ وَالصَّدَقَاتِ </w:t>
      </w:r>
      <w:r w:rsidRPr="00D10E3C">
        <w:rPr>
          <w:rStyle w:val="libFootnotenumChar"/>
          <w:rtl/>
        </w:rPr>
        <w:t>(14)</w:t>
      </w:r>
      <w:r>
        <w:rPr>
          <w:rtl/>
          <w:lang w:bidi="fa-IR"/>
        </w:rPr>
        <w:t xml:space="preserve"> مِنْ فَرْضِ الزَّكَاةِ مِنَ الذَّهَبِ وَالْفِضَّةِ وَالتَّمْرِ </w:t>
      </w:r>
      <w:r w:rsidRPr="00D10E3C">
        <w:rPr>
          <w:rStyle w:val="libFootnotenumChar"/>
          <w:rtl/>
        </w:rPr>
        <w:t>(15)</w:t>
      </w:r>
      <w:r>
        <w:rPr>
          <w:rtl/>
          <w:lang w:bidi="fa-IR"/>
        </w:rPr>
        <w:t xml:space="preserve"> وَالزَّبِيبِ وَسَائِرِ مَا </w:t>
      </w:r>
      <w:r w:rsidRPr="00D10E3C">
        <w:rPr>
          <w:rStyle w:val="libFootnotenumChar"/>
          <w:rtl/>
        </w:rPr>
        <w:t>(16)</w:t>
      </w:r>
      <w:r>
        <w:rPr>
          <w:rtl/>
          <w:lang w:bidi="fa-IR"/>
        </w:rPr>
        <w:t xml:space="preserve"> وَجَبَ فِيهِ الزَّكَاةُ مِنَ الْإِبِلِ وَالْبَقَرِ وَالْغَنَمِ وَغَيْرِ ذلِكَ ، إِذَا كَانَ الْأَمْرُ </w:t>
      </w:r>
      <w:r w:rsidRPr="00D10E3C">
        <w:rPr>
          <w:rStyle w:val="libFootnotenumChar"/>
          <w:rtl/>
        </w:rPr>
        <w:t>(17)</w:t>
      </w:r>
      <w:r>
        <w:rPr>
          <w:rtl/>
          <w:lang w:bidi="fa-IR"/>
        </w:rPr>
        <w:t xml:space="preserve"> كَمَا تَقُولُونَ ، لَايَنْبَغِي لِأَحَدٍ أَنْ يَحْبِسَ شَيْئ</w:t>
      </w:r>
      <w:r w:rsidR="005310EA">
        <w:rPr>
          <w:rtl/>
          <w:lang w:bidi="fa-IR"/>
        </w:rPr>
        <w:t>اً مِنْ عَرَضِ الدُّنْيَا إِل</w:t>
      </w:r>
      <w:r w:rsidR="005310EA">
        <w:rPr>
          <w:rFonts w:hint="cs"/>
          <w:rtl/>
          <w:lang w:bidi="fa-IR"/>
        </w:rPr>
        <w:t>َّ</w:t>
      </w:r>
      <w:r w:rsidR="005310EA">
        <w:rPr>
          <w:rtl/>
          <w:lang w:bidi="fa-IR"/>
        </w:rPr>
        <w:t>ا</w:t>
      </w:r>
      <w:r>
        <w:rPr>
          <w:rtl/>
          <w:lang w:bidi="fa-IR"/>
        </w:rPr>
        <w:t xml:space="preserve"> قَدَّمَهُ ، وَإِنْ </w:t>
      </w:r>
      <w:r w:rsidRPr="00D10E3C">
        <w:rPr>
          <w:rStyle w:val="libFootnotenumChar"/>
          <w:rtl/>
        </w:rPr>
        <w:t>(18)</w:t>
      </w:r>
      <w:r>
        <w:rPr>
          <w:rtl/>
          <w:lang w:bidi="fa-IR"/>
        </w:rPr>
        <w:t xml:space="preserve"> كَانَ بِهِ خَصَاصَةٌ ، فَبِئْسَمَا ذَهَبْتُمْ إِلَيْهِ </w:t>
      </w:r>
      <w:r w:rsidRPr="00D10E3C">
        <w:rPr>
          <w:rStyle w:val="libFootnotenumChar"/>
          <w:rtl/>
        </w:rPr>
        <w:t>(19)</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الجَوَرَةُ ، جمع جائر ، أي الظَلَمَة. راجع : </w:t>
      </w:r>
      <w:r w:rsidR="00744A1C" w:rsidRPr="00877682">
        <w:rPr>
          <w:rStyle w:val="libFootnoteBoldChar"/>
          <w:rtl/>
        </w:rPr>
        <w:t>لسان العرب</w:t>
      </w:r>
      <w:r w:rsidR="00744A1C">
        <w:rPr>
          <w:rtl/>
          <w:lang w:bidi="fa-IR"/>
        </w:rPr>
        <w:t xml:space="preserve"> ، ج 4 ، ص 153 ( جور ).</w:t>
      </w:r>
    </w:p>
    <w:tbl>
      <w:tblPr>
        <w:tblStyle w:val="TableGrid"/>
        <w:bidiVisual/>
        <w:tblW w:w="0" w:type="auto"/>
        <w:tblLook w:val="04A0" w:firstRow="1" w:lastRow="0" w:firstColumn="1" w:lastColumn="0" w:noHBand="0" w:noVBand="1"/>
      </w:tblPr>
      <w:tblGrid>
        <w:gridCol w:w="4006"/>
        <w:gridCol w:w="4006"/>
      </w:tblGrid>
      <w:tr w:rsidR="005310EA" w:rsidTr="005310EA">
        <w:tc>
          <w:tcPr>
            <w:tcW w:w="4006" w:type="dxa"/>
          </w:tcPr>
          <w:p w:rsidR="005310EA" w:rsidRDefault="005310EA" w:rsidP="00E378DD">
            <w:pPr>
              <w:pStyle w:val="libFootnote0"/>
              <w:rPr>
                <w:rtl/>
                <w:lang w:bidi="fa-IR"/>
              </w:rPr>
            </w:pPr>
            <w:r>
              <w:rPr>
                <w:rtl/>
                <w:lang w:bidi="fa-IR"/>
              </w:rPr>
              <w:t>(2). في « ط » : « منهم ».</w:t>
            </w:r>
          </w:p>
        </w:tc>
        <w:tc>
          <w:tcPr>
            <w:tcW w:w="4006" w:type="dxa"/>
          </w:tcPr>
          <w:p w:rsidR="005310EA" w:rsidRDefault="005310EA" w:rsidP="00E378DD">
            <w:pPr>
              <w:pStyle w:val="libFootnote0"/>
              <w:rPr>
                <w:rtl/>
                <w:lang w:bidi="fa-IR"/>
              </w:rPr>
            </w:pPr>
            <w:r>
              <w:rPr>
                <w:rtl/>
                <w:lang w:bidi="fa-IR"/>
              </w:rPr>
              <w:t>(3). في « ى » : + « هم ».</w:t>
            </w:r>
          </w:p>
        </w:tc>
      </w:tr>
    </w:tbl>
    <w:p w:rsidR="00744A1C" w:rsidRDefault="00E378DD" w:rsidP="00E378DD">
      <w:pPr>
        <w:pStyle w:val="libFootnote0"/>
        <w:rPr>
          <w:lang w:bidi="fa-IR"/>
        </w:rPr>
      </w:pPr>
      <w:r>
        <w:rPr>
          <w:rtl/>
          <w:lang w:bidi="fa-IR"/>
        </w:rPr>
        <w:t>(4).</w:t>
      </w:r>
      <w:r w:rsidR="00744A1C">
        <w:rPr>
          <w:rtl/>
          <w:lang w:bidi="fa-IR"/>
        </w:rPr>
        <w:t xml:space="preserve"> في « ط » وحاشية « بح ، بف ، جت » والتحف : « يفرضون ».</w:t>
      </w:r>
    </w:p>
    <w:tbl>
      <w:tblPr>
        <w:tblStyle w:val="TableGrid"/>
        <w:bidiVisual/>
        <w:tblW w:w="0" w:type="auto"/>
        <w:tblLook w:val="04A0" w:firstRow="1" w:lastRow="0" w:firstColumn="1" w:lastColumn="0" w:noHBand="0" w:noVBand="1"/>
      </w:tblPr>
      <w:tblGrid>
        <w:gridCol w:w="4006"/>
        <w:gridCol w:w="4006"/>
      </w:tblGrid>
      <w:tr w:rsidR="005310EA" w:rsidTr="005310EA">
        <w:tc>
          <w:tcPr>
            <w:tcW w:w="4006" w:type="dxa"/>
          </w:tcPr>
          <w:p w:rsidR="005310EA" w:rsidRDefault="005310EA" w:rsidP="00E378DD">
            <w:pPr>
              <w:pStyle w:val="libFootnote0"/>
              <w:rPr>
                <w:rtl/>
                <w:lang w:bidi="fa-IR"/>
              </w:rPr>
            </w:pPr>
            <w:r>
              <w:rPr>
                <w:rtl/>
                <w:lang w:bidi="fa-IR"/>
              </w:rPr>
              <w:t>(5). في « ط » والتحف : « وإنّه ».</w:t>
            </w:r>
          </w:p>
        </w:tc>
        <w:tc>
          <w:tcPr>
            <w:tcW w:w="4006" w:type="dxa"/>
          </w:tcPr>
          <w:p w:rsidR="005310EA" w:rsidRDefault="005310EA" w:rsidP="00E378DD">
            <w:pPr>
              <w:pStyle w:val="libFootnote0"/>
              <w:rPr>
                <w:rtl/>
                <w:lang w:bidi="fa-IR"/>
              </w:rPr>
            </w:pPr>
            <w:r>
              <w:rPr>
                <w:rtl/>
                <w:lang w:bidi="fa-IR"/>
              </w:rPr>
              <w:t>(6). في « بس » : + « هم ».</w:t>
            </w:r>
          </w:p>
        </w:tc>
      </w:tr>
    </w:tbl>
    <w:p w:rsidR="00744A1C" w:rsidRDefault="00E378DD" w:rsidP="00104041">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في بعض النسخ : ظلّمتم ، ولعلّه أظهر ». و « ظلّمكم » على بناء التفعيل ، أي نسبكم إلى الظلم. راجع : </w:t>
      </w:r>
      <w:r w:rsidR="00744A1C" w:rsidRPr="00E978C3">
        <w:rPr>
          <w:rStyle w:val="libFootnoteBoldChar"/>
          <w:rtl/>
        </w:rPr>
        <w:t>الصحاح</w:t>
      </w:r>
      <w:r w:rsidR="00744A1C">
        <w:rPr>
          <w:rtl/>
          <w:lang w:bidi="fa-IR"/>
        </w:rPr>
        <w:t xml:space="preserve"> ، ج 5 ، ص 1977 ( ظلم ).</w:t>
      </w:r>
      <w:r w:rsidR="00104041">
        <w:rPr>
          <w:rFonts w:hint="cs"/>
          <w:rtl/>
          <w:lang w:bidi="fa-IR"/>
        </w:rPr>
        <w:t xml:space="preserve">    </w:t>
      </w:r>
      <w:r>
        <w:rPr>
          <w:rtl/>
          <w:lang w:bidi="fa-IR"/>
        </w:rPr>
        <w:t>(8).</w:t>
      </w:r>
      <w:r w:rsidR="00744A1C">
        <w:rPr>
          <w:rtl/>
          <w:lang w:bidi="fa-IR"/>
        </w:rPr>
        <w:t xml:space="preserve"> في « ط » : - « بل ».</w:t>
      </w:r>
    </w:p>
    <w:p w:rsidR="00744A1C" w:rsidRDefault="00E378DD" w:rsidP="00E378DD">
      <w:pPr>
        <w:pStyle w:val="libFootnote0"/>
        <w:rPr>
          <w:lang w:bidi="fa-IR"/>
        </w:rPr>
      </w:pPr>
      <w:r>
        <w:rPr>
          <w:rtl/>
          <w:lang w:bidi="fa-IR"/>
        </w:rPr>
        <w:t>(9).</w:t>
      </w:r>
      <w:r w:rsidR="00744A1C">
        <w:rPr>
          <w:rtl/>
          <w:lang w:bidi="fa-IR"/>
        </w:rPr>
        <w:t xml:space="preserve"> في « بخ ، بف ، جت » </w:t>
      </w:r>
      <w:r w:rsidR="00744A1C" w:rsidRPr="00104041">
        <w:rPr>
          <w:rtl/>
        </w:rPr>
        <w:t>والوافي والبحار</w:t>
      </w:r>
      <w:r w:rsidR="00744A1C">
        <w:rPr>
          <w:rtl/>
          <w:lang w:bidi="fa-IR"/>
        </w:rPr>
        <w:t xml:space="preserve"> : « يردّون ». وفي التحف : « يريدون ».</w:t>
      </w:r>
    </w:p>
    <w:tbl>
      <w:tblPr>
        <w:tblStyle w:val="TableGrid"/>
        <w:bidiVisual/>
        <w:tblW w:w="0" w:type="auto"/>
        <w:tblLook w:val="04A0" w:firstRow="1" w:lastRow="0" w:firstColumn="1" w:lastColumn="0" w:noHBand="0" w:noVBand="1"/>
      </w:tblPr>
      <w:tblGrid>
        <w:gridCol w:w="4006"/>
        <w:gridCol w:w="4006"/>
      </w:tblGrid>
      <w:tr w:rsidR="00104041" w:rsidTr="00104041">
        <w:tc>
          <w:tcPr>
            <w:tcW w:w="4006" w:type="dxa"/>
          </w:tcPr>
          <w:p w:rsidR="00104041" w:rsidRDefault="00104041" w:rsidP="00E378DD">
            <w:pPr>
              <w:pStyle w:val="libFootnote0"/>
              <w:rPr>
                <w:rtl/>
                <w:lang w:bidi="fa-IR"/>
              </w:rPr>
            </w:pPr>
            <w:r>
              <w:rPr>
                <w:rtl/>
                <w:lang w:bidi="fa-IR"/>
              </w:rPr>
              <w:t>(10). في « ى » : « وأخبروني ».</w:t>
            </w:r>
          </w:p>
        </w:tc>
        <w:tc>
          <w:tcPr>
            <w:tcW w:w="4006" w:type="dxa"/>
          </w:tcPr>
          <w:p w:rsidR="00104041" w:rsidRDefault="00104041" w:rsidP="00E378DD">
            <w:pPr>
              <w:pStyle w:val="libFootnote0"/>
              <w:rPr>
                <w:rtl/>
                <w:lang w:bidi="fa-IR"/>
              </w:rPr>
            </w:pPr>
            <w:r>
              <w:rPr>
                <w:rtl/>
                <w:lang w:bidi="fa-IR"/>
              </w:rPr>
              <w:t>(11). في « ط » : « كالذي ».</w:t>
            </w:r>
          </w:p>
        </w:tc>
      </w:tr>
    </w:tbl>
    <w:p w:rsidR="00744A1C" w:rsidRDefault="00E378DD" w:rsidP="00E378DD">
      <w:pPr>
        <w:pStyle w:val="libFootnote0"/>
        <w:rPr>
          <w:lang w:bidi="fa-IR"/>
        </w:rPr>
      </w:pPr>
      <w:r>
        <w:rPr>
          <w:rtl/>
          <w:lang w:bidi="fa-IR"/>
        </w:rPr>
        <w:t>(12).</w:t>
      </w:r>
      <w:r w:rsidR="00744A1C">
        <w:rPr>
          <w:rtl/>
          <w:lang w:bidi="fa-IR"/>
        </w:rPr>
        <w:t xml:space="preserve"> في « ط » : « ولا حاجة ».</w:t>
      </w:r>
    </w:p>
    <w:p w:rsidR="00744A1C" w:rsidRDefault="00E378DD" w:rsidP="00E378DD">
      <w:pPr>
        <w:pStyle w:val="libFootnote0"/>
        <w:rPr>
          <w:lang w:bidi="fa-IR"/>
        </w:rPr>
      </w:pPr>
      <w:r>
        <w:rPr>
          <w:rtl/>
          <w:lang w:bidi="fa-IR"/>
        </w:rPr>
        <w:t>(13).</w:t>
      </w:r>
      <w:r w:rsidR="00744A1C">
        <w:rPr>
          <w:rtl/>
          <w:lang w:bidi="fa-IR"/>
        </w:rPr>
        <w:t xml:space="preserve"> في « ى ، بح ، بخ ، بس ، بف ، جت » </w:t>
      </w:r>
      <w:r w:rsidR="00744A1C" w:rsidRPr="00104041">
        <w:rPr>
          <w:rtl/>
        </w:rPr>
        <w:t>والوافي</w:t>
      </w:r>
      <w:r w:rsidR="00744A1C">
        <w:rPr>
          <w:rtl/>
          <w:lang w:bidi="fa-IR"/>
        </w:rPr>
        <w:t xml:space="preserve"> : « يصّدّق ».</w:t>
      </w:r>
    </w:p>
    <w:tbl>
      <w:tblPr>
        <w:tblStyle w:val="TableGrid"/>
        <w:bidiVisual/>
        <w:tblW w:w="0" w:type="auto"/>
        <w:tblLook w:val="04A0" w:firstRow="1" w:lastRow="0" w:firstColumn="1" w:lastColumn="0" w:noHBand="0" w:noVBand="1"/>
      </w:tblPr>
      <w:tblGrid>
        <w:gridCol w:w="4006"/>
        <w:gridCol w:w="4006"/>
      </w:tblGrid>
      <w:tr w:rsidR="00104041" w:rsidTr="00104041">
        <w:tc>
          <w:tcPr>
            <w:tcW w:w="4006" w:type="dxa"/>
          </w:tcPr>
          <w:p w:rsidR="00104041" w:rsidRDefault="00104041" w:rsidP="00E378DD">
            <w:pPr>
              <w:pStyle w:val="libFootnote0"/>
              <w:rPr>
                <w:rtl/>
                <w:lang w:bidi="fa-IR"/>
              </w:rPr>
            </w:pPr>
            <w:r>
              <w:rPr>
                <w:rtl/>
                <w:lang w:bidi="fa-IR"/>
              </w:rPr>
              <w:t xml:space="preserve">(14). في </w:t>
            </w:r>
            <w:r w:rsidRPr="002154AE">
              <w:rPr>
                <w:rtl/>
              </w:rPr>
              <w:t>الوسائل</w:t>
            </w:r>
            <w:r>
              <w:rPr>
                <w:rtl/>
                <w:lang w:bidi="fa-IR"/>
              </w:rPr>
              <w:t xml:space="preserve"> ، ح 11509 : « والتصدّقات ».</w:t>
            </w:r>
          </w:p>
        </w:tc>
        <w:tc>
          <w:tcPr>
            <w:tcW w:w="4006" w:type="dxa"/>
          </w:tcPr>
          <w:p w:rsidR="00104041" w:rsidRDefault="00104041" w:rsidP="00E378DD">
            <w:pPr>
              <w:pStyle w:val="libFootnote0"/>
              <w:rPr>
                <w:rtl/>
                <w:lang w:bidi="fa-IR"/>
              </w:rPr>
            </w:pPr>
            <w:r>
              <w:rPr>
                <w:rtl/>
                <w:lang w:bidi="fa-IR"/>
              </w:rPr>
              <w:t>(15). في « ط » : « والنخل ».</w:t>
            </w:r>
          </w:p>
        </w:tc>
      </w:tr>
    </w:tbl>
    <w:p w:rsidR="00744A1C" w:rsidRDefault="00744A1C" w:rsidP="00D10E3C">
      <w:pPr>
        <w:pStyle w:val="libFootnote0"/>
        <w:rPr>
          <w:lang w:bidi="fa-IR"/>
        </w:rPr>
      </w:pPr>
      <w:r>
        <w:rPr>
          <w:rtl/>
          <w:lang w:bidi="fa-IR"/>
        </w:rPr>
        <w:t>(16) في « ط » : + « قد ».</w:t>
      </w:r>
    </w:p>
    <w:p w:rsidR="00744A1C" w:rsidRDefault="00744A1C" w:rsidP="00DD3C6E">
      <w:pPr>
        <w:pStyle w:val="libFootnote0"/>
        <w:rPr>
          <w:lang w:bidi="fa-IR"/>
        </w:rPr>
      </w:pPr>
      <w:r>
        <w:rPr>
          <w:rtl/>
          <w:lang w:bidi="fa-IR"/>
        </w:rPr>
        <w:t xml:space="preserve">(17) 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إذا كان الأمر ، لعلّه وجه آخر لبطلان قولهم ، وهو أنّه لو كان يجب الخروج من الأموال لم‌يجب على أحد الزكاة ، أو هو تتمّة للوجه الأوّل ، أي لو كان وجب الخروج لكان عدم الأخذ أيضاً لازماً بطريق أولى. والأوّل أظهر ».</w:t>
      </w:r>
      <w:r w:rsidR="00DD3C6E">
        <w:rPr>
          <w:rFonts w:hint="cs"/>
          <w:rtl/>
          <w:lang w:bidi="fa-IR"/>
        </w:rPr>
        <w:t xml:space="preserve">                   </w:t>
      </w:r>
      <w:r w:rsidR="0013596A">
        <w:rPr>
          <w:rFonts w:hint="cs"/>
          <w:rtl/>
          <w:lang w:bidi="fa-IR"/>
        </w:rPr>
        <w:t xml:space="preserve">      </w:t>
      </w:r>
      <w:r w:rsidR="00DD3C6E">
        <w:rPr>
          <w:rFonts w:hint="cs"/>
          <w:rtl/>
          <w:lang w:bidi="fa-IR"/>
        </w:rPr>
        <w:t xml:space="preserve">     </w:t>
      </w:r>
      <w:r>
        <w:rPr>
          <w:rtl/>
          <w:lang w:bidi="fa-IR"/>
        </w:rPr>
        <w:t>(18) في « ط » : « ولو ».</w:t>
      </w:r>
    </w:p>
    <w:p w:rsidR="00744A1C" w:rsidRDefault="00744A1C" w:rsidP="00D10E3C">
      <w:pPr>
        <w:pStyle w:val="libFootnote0"/>
        <w:rPr>
          <w:lang w:bidi="fa-IR"/>
        </w:rPr>
      </w:pPr>
      <w:r>
        <w:rPr>
          <w:rtl/>
          <w:lang w:bidi="fa-IR"/>
        </w:rPr>
        <w:t>(19) في « ى ، بح ، بخ ، بس ، بف ، جت ، جد » وحاشية « جن » : « فيه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وَحَمَلْتُمُ النَّاسَ عَلَيْهِ مِنَ الْجَهْلِ بِكِتَابِ اللهِ - عَزَّ وَجَلَّ - وَسُنَّةِ نَبِيِّهِ </w:t>
      </w:r>
      <w:r w:rsidR="0017097C" w:rsidRPr="0017097C">
        <w:rPr>
          <w:rStyle w:val="libAlaemChar"/>
          <w:rtl/>
        </w:rPr>
        <w:t>صلى‌الله‌عليه‌وآله</w:t>
      </w:r>
      <w:r w:rsidR="00D10E3C">
        <w:rPr>
          <w:rtl/>
          <w:lang w:bidi="fa-IR"/>
        </w:rPr>
        <w:t xml:space="preserve"> </w:t>
      </w:r>
      <w:r>
        <w:rPr>
          <w:rtl/>
          <w:lang w:bidi="fa-IR"/>
        </w:rPr>
        <w:t xml:space="preserve">وَأَحَادِيثِهِ الَّتِي يُصَدِّقُهَا الْكِتَابُ الْمُنْزَلُ ، وَرَدِّكُمْ إِيَّاهَا بِجَهَالَتِكُمْ </w:t>
      </w:r>
      <w:r w:rsidRPr="00D10E3C">
        <w:rPr>
          <w:rStyle w:val="libFootnotenumChar"/>
          <w:rtl/>
        </w:rPr>
        <w:t>(1)</w:t>
      </w:r>
      <w:r>
        <w:rPr>
          <w:rtl/>
          <w:lang w:bidi="fa-IR"/>
        </w:rPr>
        <w:t xml:space="preserve"> وَتَرْكِكُمُ النَّظَرَ فِي غَرَائِبِ الْقُرْآنِ مِنَ التَّفْسِيرِ بِالنَّاسِخِ مِنَ الْمَنْسُوخِ ، وَالْمُحْكَمِ وَالْمُتَشَابِهِ </w:t>
      </w:r>
      <w:r w:rsidRPr="00D10E3C">
        <w:rPr>
          <w:rStyle w:val="libFootnotenumChar"/>
          <w:rtl/>
        </w:rPr>
        <w:t>(2)</w:t>
      </w:r>
      <w:r>
        <w:rPr>
          <w:rtl/>
          <w:lang w:bidi="fa-IR"/>
        </w:rPr>
        <w:t xml:space="preserve"> ، وَالْأَمْرِ وَالنَّهْيِ.</w:t>
      </w:r>
    </w:p>
    <w:p w:rsidR="00744A1C" w:rsidRDefault="00744A1C" w:rsidP="00744A1C">
      <w:pPr>
        <w:pStyle w:val="libNormal"/>
        <w:rPr>
          <w:lang w:bidi="fa-IR"/>
        </w:rPr>
      </w:pPr>
      <w:r>
        <w:rPr>
          <w:rtl/>
          <w:lang w:bidi="fa-IR"/>
        </w:rPr>
        <w:t xml:space="preserve">وَأَخْبِرُونِي أَيْنَ أَنْتُمْ عَنْ سُلَيْمَانَ بْنِ دَاوُدَ </w:t>
      </w:r>
      <w:r w:rsidR="0061079A" w:rsidRPr="0061079A">
        <w:rPr>
          <w:rStyle w:val="libAlaemChar"/>
          <w:rtl/>
        </w:rPr>
        <w:t>عليه‌السلام</w:t>
      </w:r>
      <w:r w:rsidR="00D10E3C">
        <w:rPr>
          <w:rtl/>
          <w:lang w:bidi="fa-IR"/>
        </w:rPr>
        <w:t xml:space="preserve"> </w:t>
      </w:r>
      <w:r>
        <w:rPr>
          <w:rtl/>
          <w:lang w:bidi="fa-IR"/>
        </w:rPr>
        <w:t xml:space="preserve">، حَيْثُ </w:t>
      </w:r>
      <w:r w:rsidRPr="00D10E3C">
        <w:rPr>
          <w:rStyle w:val="libFootnotenumChar"/>
          <w:rtl/>
        </w:rPr>
        <w:t>(3)</w:t>
      </w:r>
      <w:r>
        <w:rPr>
          <w:rtl/>
          <w:lang w:bidi="fa-IR"/>
        </w:rPr>
        <w:t xml:space="preserve"> سَأَلَ اللهَ مُلْكاً لَايَنْبَغِي لِأَحَدٍ مِنْ بَعْدِهِ ، فَأَعْطَاهُ اللهُ </w:t>
      </w:r>
      <w:r w:rsidRPr="00D10E3C">
        <w:rPr>
          <w:rStyle w:val="libFootnotenumChar"/>
          <w:rtl/>
        </w:rPr>
        <w:t>(4)</w:t>
      </w:r>
      <w:r>
        <w:rPr>
          <w:rtl/>
          <w:lang w:bidi="fa-IR"/>
        </w:rPr>
        <w:t xml:space="preserve"> - جَلَّ اسْمُهُ - ذلِكَ ، وَكَانَ يَقُولُ الْحَقَّ وَيَعْمَلُ بِهِ ، ثُمَّ لَمْ‌ نَجِدِ اللهَ - عَزَّ وَجَلَّ - عَابَ عَلَيْهِ ذلِكَ </w:t>
      </w:r>
      <w:r w:rsidRPr="00D10E3C">
        <w:rPr>
          <w:rStyle w:val="libFootnotenumChar"/>
          <w:rtl/>
        </w:rPr>
        <w:t>(5)</w:t>
      </w:r>
      <w:r>
        <w:rPr>
          <w:rtl/>
          <w:lang w:bidi="fa-IR"/>
        </w:rPr>
        <w:t xml:space="preserve"> ، وَلَا أَحَداً مِنَ الْمُؤْمِنِينَ </w:t>
      </w:r>
      <w:r w:rsidRPr="00D10E3C">
        <w:rPr>
          <w:rStyle w:val="libFootnotenumChar"/>
          <w:rtl/>
        </w:rPr>
        <w:t>(6)</w:t>
      </w:r>
      <w:r>
        <w:rPr>
          <w:rtl/>
          <w:lang w:bidi="fa-IR"/>
        </w:rPr>
        <w:t xml:space="preserve"> ، وَدَاوُدَ النَّبِيِّ </w:t>
      </w:r>
      <w:r w:rsidR="007D61A8" w:rsidRPr="0013596A">
        <w:rPr>
          <w:rStyle w:val="libAlaemChar"/>
          <w:rtl/>
        </w:rPr>
        <w:t>صلى‌الله‌عليه‌وآله</w:t>
      </w:r>
      <w:r w:rsidR="00D10E3C">
        <w:rPr>
          <w:rtl/>
          <w:lang w:bidi="fa-IR"/>
        </w:rPr>
        <w:t xml:space="preserve"> </w:t>
      </w:r>
      <w:r>
        <w:rPr>
          <w:rtl/>
          <w:lang w:bidi="fa-IR"/>
        </w:rPr>
        <w:t>قَبْلَهُ فِي مُلْكِهِ وَشِدَّةِ سُلْطَانِهِ.</w:t>
      </w:r>
    </w:p>
    <w:p w:rsidR="00744A1C" w:rsidRDefault="00744A1C" w:rsidP="00744A1C">
      <w:pPr>
        <w:pStyle w:val="libNormal"/>
        <w:rPr>
          <w:lang w:bidi="fa-IR"/>
        </w:rPr>
      </w:pPr>
      <w:r>
        <w:rPr>
          <w:rtl/>
          <w:lang w:bidi="fa-IR"/>
        </w:rPr>
        <w:t xml:space="preserve">ثُمَّ يُوسُفَ النَّبِيِّ </w:t>
      </w:r>
      <w:r w:rsidRPr="00D10E3C">
        <w:rPr>
          <w:rStyle w:val="libFootnotenumChar"/>
          <w:rtl/>
        </w:rPr>
        <w:t>(7)</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حَيْثُ قَالَ لِمَلِكِ مِصْرَ : </w:t>
      </w:r>
      <w:r w:rsidRPr="00E35C2B">
        <w:rPr>
          <w:rStyle w:val="libAlaemChar"/>
          <w:rtl/>
        </w:rPr>
        <w:t>(</w:t>
      </w:r>
      <w:r w:rsidRPr="00E35C2B">
        <w:rPr>
          <w:rStyle w:val="libAieChar"/>
          <w:rtl/>
        </w:rPr>
        <w:t xml:space="preserve"> اجْعَلْنِي عَلى خَزائِنِ الْأَرْضِ إِنِّي حَفِيظٌ عَلِيمٌ </w:t>
      </w:r>
      <w:r w:rsidRPr="00E35C2B">
        <w:rPr>
          <w:rStyle w:val="libAlaemChar"/>
          <w:rtl/>
        </w:rPr>
        <w:t>)</w:t>
      </w:r>
      <w:r>
        <w:rPr>
          <w:rtl/>
          <w:lang w:bidi="fa-IR"/>
        </w:rPr>
        <w:t xml:space="preserve"> </w:t>
      </w:r>
      <w:r w:rsidRPr="00D10E3C">
        <w:rPr>
          <w:rStyle w:val="libFootnotenumChar"/>
          <w:rtl/>
        </w:rPr>
        <w:t>(8)</w:t>
      </w:r>
      <w:r>
        <w:rPr>
          <w:rtl/>
          <w:lang w:bidi="fa-IR"/>
        </w:rPr>
        <w:t xml:space="preserve"> فَكَانَ </w:t>
      </w:r>
      <w:r w:rsidRPr="00D10E3C">
        <w:rPr>
          <w:rStyle w:val="libFootnotenumChar"/>
          <w:rtl/>
        </w:rPr>
        <w:t>(9)</w:t>
      </w:r>
      <w:r>
        <w:rPr>
          <w:rtl/>
          <w:lang w:bidi="fa-IR"/>
        </w:rPr>
        <w:t xml:space="preserve"> مِنْ أَمْرِهِ الَّذِي كَانَ أَنِ </w:t>
      </w:r>
      <w:r w:rsidRPr="00D10E3C">
        <w:rPr>
          <w:rStyle w:val="libFootnotenumChar"/>
          <w:rtl/>
        </w:rPr>
        <w:t>(10)</w:t>
      </w:r>
      <w:r>
        <w:rPr>
          <w:rtl/>
          <w:lang w:bidi="fa-IR"/>
        </w:rPr>
        <w:t xml:space="preserve"> اخْتَارَ مَمْلَكَةَ الْمَلِكِ وَمَا حَوْلَهَا إِلَى الْيَمَنِ ، وَكَانُوا </w:t>
      </w:r>
      <w:r w:rsidRPr="00D10E3C">
        <w:rPr>
          <w:rStyle w:val="libFootnotenumChar"/>
          <w:rtl/>
        </w:rPr>
        <w:t>(11)</w:t>
      </w:r>
      <w:r>
        <w:rPr>
          <w:rtl/>
          <w:lang w:bidi="fa-IR"/>
        </w:rPr>
        <w:t xml:space="preserve"> يَمْتَارُونَ </w:t>
      </w:r>
      <w:r w:rsidRPr="00D10E3C">
        <w:rPr>
          <w:rStyle w:val="libFootnotenumChar"/>
          <w:rtl/>
        </w:rPr>
        <w:t>(12)</w:t>
      </w:r>
      <w:r>
        <w:rPr>
          <w:rtl/>
          <w:lang w:bidi="fa-IR"/>
        </w:rPr>
        <w:t xml:space="preserve"> الطَّعَامَ مِنْ عِنْدِهِ لِمَجَاعَةٍ </w:t>
      </w:r>
      <w:r w:rsidRPr="00D10E3C">
        <w:rPr>
          <w:rStyle w:val="libFootnotenumChar"/>
          <w:rtl/>
        </w:rPr>
        <w:t>(13)</w:t>
      </w:r>
      <w:r>
        <w:rPr>
          <w:rtl/>
          <w:lang w:bidi="fa-IR"/>
        </w:rPr>
        <w:t xml:space="preserve"> أَصَابَتْهُمْ ، وَكَانَ يَقُولُ الْحَقَّ وَيَعْمَلُ بِهِ ، فَلَمْ نَجِدْ أَحَداً عَابَ ذلِكَ عَلَيْهِ.</w:t>
      </w:r>
    </w:p>
    <w:p w:rsidR="00744A1C" w:rsidRDefault="00744A1C" w:rsidP="00744A1C">
      <w:pPr>
        <w:pStyle w:val="libNormal"/>
        <w:rPr>
          <w:lang w:bidi="fa-IR"/>
        </w:rPr>
      </w:pPr>
      <w:r>
        <w:rPr>
          <w:rtl/>
          <w:lang w:bidi="fa-IR"/>
        </w:rPr>
        <w:t xml:space="preserve">ثُمَّ ذُو الْقَرْنَيْنِ عَبْدٌ أَحَبَّ اللهَ ، فَأَحَبَّهُ اللهُ </w:t>
      </w:r>
      <w:r w:rsidRPr="00D10E3C">
        <w:rPr>
          <w:rStyle w:val="libFootnotenumChar"/>
          <w:rtl/>
        </w:rPr>
        <w:t>(14)</w:t>
      </w:r>
      <w:r>
        <w:rPr>
          <w:rtl/>
          <w:lang w:bidi="fa-IR"/>
        </w:rPr>
        <w:t xml:space="preserve"> ، وَطَوى </w:t>
      </w:r>
      <w:r w:rsidRPr="00D10E3C">
        <w:rPr>
          <w:rStyle w:val="libFootnotenumChar"/>
          <w:rtl/>
        </w:rPr>
        <w:t>(15)</w:t>
      </w:r>
      <w:r>
        <w:rPr>
          <w:rtl/>
          <w:lang w:bidi="fa-IR"/>
        </w:rPr>
        <w:t xml:space="preserve"> لَهُ الْأَسْبَابَ ، وَمَلَّكَهُ مَشَارِقَ‌</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E35C2B" w:rsidTr="00E35C2B">
        <w:tc>
          <w:tcPr>
            <w:tcW w:w="4006" w:type="dxa"/>
          </w:tcPr>
          <w:p w:rsidR="00E35C2B" w:rsidRDefault="00E35C2B" w:rsidP="00E378DD">
            <w:pPr>
              <w:pStyle w:val="libFootnote0"/>
              <w:rPr>
                <w:rtl/>
                <w:lang w:bidi="fa-IR"/>
              </w:rPr>
            </w:pPr>
            <w:r>
              <w:rPr>
                <w:rtl/>
                <w:lang w:bidi="fa-IR"/>
              </w:rPr>
              <w:t>(1). في « ط » : « بجهلكم ».</w:t>
            </w:r>
          </w:p>
        </w:tc>
        <w:tc>
          <w:tcPr>
            <w:tcW w:w="4006" w:type="dxa"/>
          </w:tcPr>
          <w:p w:rsidR="00E35C2B" w:rsidRDefault="00E35C2B" w:rsidP="00E378DD">
            <w:pPr>
              <w:pStyle w:val="libFootnote0"/>
              <w:rPr>
                <w:rtl/>
                <w:lang w:bidi="fa-IR"/>
              </w:rPr>
            </w:pPr>
            <w:r>
              <w:rPr>
                <w:rtl/>
                <w:lang w:bidi="fa-IR"/>
              </w:rPr>
              <w:t>(2). في « بس ، بف » : « والمحكم من المتشابه ».</w:t>
            </w:r>
          </w:p>
        </w:tc>
      </w:tr>
    </w:tbl>
    <w:p w:rsidR="00744A1C" w:rsidRDefault="00E378DD" w:rsidP="00E378DD">
      <w:pPr>
        <w:pStyle w:val="libFootnote0"/>
        <w:rPr>
          <w:lang w:bidi="fa-IR"/>
        </w:rPr>
      </w:pPr>
      <w:r>
        <w:rPr>
          <w:rtl/>
          <w:lang w:bidi="fa-IR"/>
        </w:rPr>
        <w:t>(3).</w:t>
      </w:r>
      <w:r w:rsidR="00744A1C">
        <w:rPr>
          <w:rtl/>
          <w:lang w:bidi="fa-IR"/>
        </w:rPr>
        <w:t xml:space="preserve"> في « ى ، بح ، جد » وحاشية « جت ، جن » : « حين ».</w:t>
      </w:r>
    </w:p>
    <w:tbl>
      <w:tblPr>
        <w:tblStyle w:val="TableGrid"/>
        <w:bidiVisual/>
        <w:tblW w:w="0" w:type="auto"/>
        <w:tblLook w:val="04A0" w:firstRow="1" w:lastRow="0" w:firstColumn="1" w:lastColumn="0" w:noHBand="0" w:noVBand="1"/>
      </w:tblPr>
      <w:tblGrid>
        <w:gridCol w:w="4006"/>
        <w:gridCol w:w="4006"/>
      </w:tblGrid>
      <w:tr w:rsidR="00E35C2B" w:rsidTr="00E35C2B">
        <w:tc>
          <w:tcPr>
            <w:tcW w:w="4006" w:type="dxa"/>
          </w:tcPr>
          <w:p w:rsidR="00E35C2B" w:rsidRDefault="00E35C2B" w:rsidP="00E378DD">
            <w:pPr>
              <w:pStyle w:val="libFootnote0"/>
              <w:rPr>
                <w:rtl/>
                <w:lang w:bidi="fa-IR"/>
              </w:rPr>
            </w:pPr>
            <w:r>
              <w:rPr>
                <w:rtl/>
                <w:lang w:bidi="fa-IR"/>
              </w:rPr>
              <w:t xml:space="preserve">(4). في </w:t>
            </w:r>
            <w:r w:rsidRPr="00E35C2B">
              <w:rPr>
                <w:rtl/>
              </w:rPr>
              <w:t>الوافي</w:t>
            </w:r>
            <w:r>
              <w:rPr>
                <w:rtl/>
                <w:lang w:bidi="fa-IR"/>
              </w:rPr>
              <w:t xml:space="preserve"> : - « الله ».</w:t>
            </w:r>
          </w:p>
        </w:tc>
        <w:tc>
          <w:tcPr>
            <w:tcW w:w="4006" w:type="dxa"/>
          </w:tcPr>
          <w:p w:rsidR="00E35C2B" w:rsidRDefault="00E35C2B" w:rsidP="00E378DD">
            <w:pPr>
              <w:pStyle w:val="libFootnote0"/>
              <w:rPr>
                <w:rtl/>
                <w:lang w:bidi="fa-IR"/>
              </w:rPr>
            </w:pPr>
            <w:r>
              <w:rPr>
                <w:rtl/>
                <w:lang w:bidi="fa-IR"/>
              </w:rPr>
              <w:t>(5). في « ط » : - « ذلك ».</w:t>
            </w:r>
          </w:p>
        </w:tc>
      </w:tr>
      <w:tr w:rsidR="00E35C2B" w:rsidTr="00E35C2B">
        <w:tc>
          <w:tcPr>
            <w:tcW w:w="4006" w:type="dxa"/>
          </w:tcPr>
          <w:p w:rsidR="00E35C2B" w:rsidRDefault="00E35C2B" w:rsidP="00E378DD">
            <w:pPr>
              <w:pStyle w:val="libFootnote0"/>
              <w:rPr>
                <w:rtl/>
                <w:lang w:bidi="fa-IR"/>
              </w:rPr>
            </w:pPr>
            <w:r>
              <w:rPr>
                <w:rtl/>
                <w:lang w:bidi="fa-IR"/>
              </w:rPr>
              <w:t>(6). في « بخ ، بس » : « المسلمين ».</w:t>
            </w:r>
          </w:p>
        </w:tc>
        <w:tc>
          <w:tcPr>
            <w:tcW w:w="4006" w:type="dxa"/>
          </w:tcPr>
          <w:p w:rsidR="00E35C2B" w:rsidRDefault="00E35C2B" w:rsidP="00E378DD">
            <w:pPr>
              <w:pStyle w:val="libFootnote0"/>
              <w:rPr>
                <w:rtl/>
                <w:lang w:bidi="fa-IR"/>
              </w:rPr>
            </w:pPr>
            <w:r>
              <w:rPr>
                <w:rtl/>
                <w:lang w:bidi="fa-IR"/>
              </w:rPr>
              <w:t>(7). في « ط » : - « النبيّ ».</w:t>
            </w:r>
          </w:p>
        </w:tc>
      </w:tr>
      <w:tr w:rsidR="00E35C2B" w:rsidTr="00E35C2B">
        <w:tc>
          <w:tcPr>
            <w:tcW w:w="4006" w:type="dxa"/>
          </w:tcPr>
          <w:p w:rsidR="00E35C2B" w:rsidRDefault="00E35C2B" w:rsidP="00E378DD">
            <w:pPr>
              <w:pStyle w:val="libFootnote0"/>
              <w:rPr>
                <w:rtl/>
                <w:lang w:bidi="fa-IR"/>
              </w:rPr>
            </w:pPr>
            <w:r>
              <w:rPr>
                <w:rtl/>
                <w:lang w:bidi="fa-IR"/>
              </w:rPr>
              <w:t>(8). يوسف (12) : 55.</w:t>
            </w:r>
          </w:p>
        </w:tc>
        <w:tc>
          <w:tcPr>
            <w:tcW w:w="4006" w:type="dxa"/>
          </w:tcPr>
          <w:p w:rsidR="00E35C2B" w:rsidRDefault="00E35C2B" w:rsidP="00E378DD">
            <w:pPr>
              <w:pStyle w:val="libFootnote0"/>
              <w:rPr>
                <w:rtl/>
                <w:lang w:bidi="fa-IR"/>
              </w:rPr>
            </w:pPr>
            <w:r>
              <w:rPr>
                <w:rtl/>
                <w:lang w:bidi="fa-IR"/>
              </w:rPr>
              <w:t xml:space="preserve">(9). في « بف ، جن » </w:t>
            </w:r>
            <w:r w:rsidRPr="00E35C2B">
              <w:rPr>
                <w:rtl/>
              </w:rPr>
              <w:t>والوافي</w:t>
            </w:r>
            <w:r>
              <w:rPr>
                <w:rtl/>
                <w:lang w:bidi="fa-IR"/>
              </w:rPr>
              <w:t xml:space="preserve"> : « وكان ».</w:t>
            </w:r>
          </w:p>
        </w:tc>
      </w:tr>
      <w:tr w:rsidR="00E35C2B" w:rsidTr="00E35C2B">
        <w:tc>
          <w:tcPr>
            <w:tcW w:w="4006" w:type="dxa"/>
          </w:tcPr>
          <w:p w:rsidR="00E35C2B" w:rsidRDefault="00E35C2B" w:rsidP="00E378DD">
            <w:pPr>
              <w:pStyle w:val="libFootnote0"/>
              <w:rPr>
                <w:rtl/>
                <w:lang w:bidi="fa-IR"/>
              </w:rPr>
            </w:pPr>
            <w:r>
              <w:rPr>
                <w:rtl/>
                <w:lang w:bidi="fa-IR"/>
              </w:rPr>
              <w:t>(10). في « بح » والتحف : - « أن ».</w:t>
            </w:r>
          </w:p>
        </w:tc>
        <w:tc>
          <w:tcPr>
            <w:tcW w:w="4006" w:type="dxa"/>
          </w:tcPr>
          <w:p w:rsidR="00E35C2B" w:rsidRDefault="00E35C2B" w:rsidP="00E378DD">
            <w:pPr>
              <w:pStyle w:val="libFootnote0"/>
              <w:rPr>
                <w:rtl/>
                <w:lang w:bidi="fa-IR"/>
              </w:rPr>
            </w:pPr>
            <w:r>
              <w:rPr>
                <w:rtl/>
                <w:lang w:bidi="fa-IR"/>
              </w:rPr>
              <w:t>(11). في « ط » : « كانوا » بدون الواو.</w:t>
            </w:r>
          </w:p>
        </w:tc>
      </w:tr>
    </w:tbl>
    <w:p w:rsidR="00744A1C" w:rsidRDefault="00E378DD" w:rsidP="00E378DD">
      <w:pPr>
        <w:pStyle w:val="libFootnote0"/>
        <w:rPr>
          <w:lang w:bidi="fa-IR"/>
        </w:rPr>
      </w:pPr>
      <w:r>
        <w:rPr>
          <w:rtl/>
          <w:lang w:bidi="fa-IR"/>
        </w:rPr>
        <w:t>(12).</w:t>
      </w:r>
      <w:r w:rsidR="00744A1C">
        <w:rPr>
          <w:rtl/>
          <w:lang w:bidi="fa-IR"/>
        </w:rPr>
        <w:t xml:space="preserve"> « يَمْتارون » أي يجلبون ، أو يحملون ، من المِيرة ، وهو الطعام ، أو جلبه. راجع : </w:t>
      </w:r>
      <w:r w:rsidR="00744A1C" w:rsidRPr="00877682">
        <w:rPr>
          <w:rStyle w:val="libFootnoteBoldChar"/>
          <w:rtl/>
        </w:rPr>
        <w:t>لسان العرب</w:t>
      </w:r>
      <w:r w:rsidR="00744A1C">
        <w:rPr>
          <w:rtl/>
          <w:lang w:bidi="fa-IR"/>
        </w:rPr>
        <w:t xml:space="preserve"> ، ج 5 ، ص 188 ( مير ).</w:t>
      </w:r>
    </w:p>
    <w:p w:rsidR="00744A1C" w:rsidRDefault="00E378DD" w:rsidP="00E378DD">
      <w:pPr>
        <w:pStyle w:val="libFootnote0"/>
        <w:rPr>
          <w:lang w:bidi="fa-IR"/>
        </w:rPr>
      </w:pPr>
      <w:r>
        <w:rPr>
          <w:rtl/>
          <w:lang w:bidi="fa-IR"/>
        </w:rPr>
        <w:t>(13).</w:t>
      </w:r>
      <w:r w:rsidR="00E35C2B">
        <w:rPr>
          <w:rtl/>
          <w:lang w:bidi="fa-IR"/>
        </w:rPr>
        <w:t xml:space="preserve"> الم</w:t>
      </w:r>
      <w:r w:rsidR="00E35C2B">
        <w:rPr>
          <w:rFonts w:hint="cs"/>
          <w:rtl/>
          <w:lang w:bidi="fa-IR"/>
        </w:rPr>
        <w:t>ـَ</w:t>
      </w:r>
      <w:r w:rsidR="00E35C2B">
        <w:rPr>
          <w:rtl/>
          <w:lang w:bidi="fa-IR"/>
        </w:rPr>
        <w:t>جاعة والم</w:t>
      </w:r>
      <w:r w:rsidR="00E35C2B">
        <w:rPr>
          <w:rFonts w:hint="cs"/>
          <w:rtl/>
          <w:lang w:bidi="fa-IR"/>
        </w:rPr>
        <w:t>ـَ</w:t>
      </w:r>
      <w:r w:rsidR="00E35C2B">
        <w:rPr>
          <w:rtl/>
          <w:lang w:bidi="fa-IR"/>
        </w:rPr>
        <w:t>جوعة والم</w:t>
      </w:r>
      <w:r w:rsidR="00E35C2B">
        <w:rPr>
          <w:rFonts w:hint="cs"/>
          <w:rtl/>
          <w:lang w:bidi="fa-IR"/>
        </w:rPr>
        <w:t>ـَ</w:t>
      </w:r>
      <w:r w:rsidR="00744A1C">
        <w:rPr>
          <w:rtl/>
          <w:lang w:bidi="fa-IR"/>
        </w:rPr>
        <w:t xml:space="preserve">جْوِعَة بتسكين الجيم : عام الجوع. </w:t>
      </w:r>
      <w:r w:rsidR="00744A1C" w:rsidRPr="00877682">
        <w:rPr>
          <w:rStyle w:val="libFootnoteBoldChar"/>
          <w:rtl/>
        </w:rPr>
        <w:t>لسان العرب</w:t>
      </w:r>
      <w:r w:rsidR="00744A1C">
        <w:rPr>
          <w:rtl/>
          <w:lang w:bidi="fa-IR"/>
        </w:rPr>
        <w:t xml:space="preserve"> ، ج 8 ، ص 61 ( جوع ).</w:t>
      </w:r>
    </w:p>
    <w:p w:rsidR="00744A1C" w:rsidRDefault="00E378DD" w:rsidP="00E378DD">
      <w:pPr>
        <w:pStyle w:val="libFootnote0"/>
        <w:rPr>
          <w:lang w:bidi="fa-IR"/>
        </w:rPr>
      </w:pPr>
      <w:r>
        <w:rPr>
          <w:rtl/>
          <w:lang w:bidi="fa-IR"/>
        </w:rPr>
        <w:t>(14).</w:t>
      </w:r>
      <w:r w:rsidR="00744A1C">
        <w:rPr>
          <w:rtl/>
          <w:lang w:bidi="fa-IR"/>
        </w:rPr>
        <w:t xml:space="preserve"> في « ط » والتحف : - « الله ».</w:t>
      </w:r>
    </w:p>
    <w:p w:rsidR="00744A1C" w:rsidRDefault="00E378DD" w:rsidP="00E378DD">
      <w:pPr>
        <w:pStyle w:val="libFootnote0"/>
        <w:rPr>
          <w:lang w:bidi="fa-IR"/>
        </w:rPr>
      </w:pPr>
      <w:r>
        <w:rPr>
          <w:rtl/>
          <w:lang w:bidi="fa-IR"/>
        </w:rPr>
        <w:t>(15).</w:t>
      </w:r>
      <w:r w:rsidR="00744A1C">
        <w:rPr>
          <w:rtl/>
          <w:lang w:bidi="fa-IR"/>
        </w:rPr>
        <w:t xml:space="preserve"> في « ط ، ى ، بخ ، بس ، بف ، جد ، جن » </w:t>
      </w:r>
      <w:r w:rsidR="00744A1C" w:rsidRPr="00E35C2B">
        <w:rPr>
          <w:rtl/>
        </w:rPr>
        <w:t>والوافي والبحار</w:t>
      </w:r>
      <w:r w:rsidR="00744A1C">
        <w:rPr>
          <w:rtl/>
          <w:lang w:bidi="fa-IR"/>
        </w:rPr>
        <w:t xml:space="preserve"> والتحف : « طوى » بدون الواو. وفي </w:t>
      </w:r>
      <w:r w:rsidR="00744A1C" w:rsidRPr="00C24F9C">
        <w:rPr>
          <w:rStyle w:val="libFootnoteBoldChar"/>
          <w:rtl/>
        </w:rPr>
        <w:t>المرآة</w:t>
      </w:r>
      <w:r w:rsidR="00744A1C">
        <w:rPr>
          <w:rtl/>
          <w:lang w:bidi="fa-IR"/>
        </w:rPr>
        <w:t xml:space="preserve"> : « أي جمع له أسباب الملك وما يوصله إليه من العلم والقدرة والآلة. أو المراد بالأسباب : المراقي والطرق بطيّها حقيقة أو مجازاً ، وقال الفيروزآبادي : السبب : الحيل ، أو ما يتوصّل به إلى غيره. وأسباب السماء : مراقيها أو نواحيها أو أبوابها ». وراجع : </w:t>
      </w:r>
      <w:r w:rsidR="00744A1C" w:rsidRPr="008A57EB">
        <w:rPr>
          <w:rStyle w:val="libFootnoteBoldChar"/>
          <w:rtl/>
        </w:rPr>
        <w:t>القاموس المحيط</w:t>
      </w:r>
      <w:r w:rsidR="00744A1C">
        <w:rPr>
          <w:rtl/>
          <w:lang w:bidi="fa-IR"/>
        </w:rPr>
        <w:t xml:space="preserve"> ، ج 1 ، ص 176 ( سبب ).</w:t>
      </w:r>
    </w:p>
    <w:p w:rsidR="006A5060" w:rsidRDefault="006A5060" w:rsidP="00D10E3C">
      <w:pPr>
        <w:pStyle w:val="libNormal"/>
        <w:rPr>
          <w:rtl/>
          <w:lang w:bidi="fa-IR"/>
        </w:rPr>
      </w:pPr>
      <w:r>
        <w:rPr>
          <w:rtl/>
          <w:lang w:bidi="fa-IR"/>
        </w:rPr>
        <w:br w:type="page"/>
      </w:r>
    </w:p>
    <w:p w:rsidR="00744A1C" w:rsidRDefault="00744A1C" w:rsidP="00E35C2B">
      <w:pPr>
        <w:pStyle w:val="libNormal0"/>
        <w:rPr>
          <w:lang w:bidi="fa-IR"/>
        </w:rPr>
      </w:pPr>
      <w:r>
        <w:rPr>
          <w:rtl/>
          <w:lang w:bidi="fa-IR"/>
        </w:rPr>
        <w:t>الْأَرْضِ وَمَغَارِبَهَا ، وَكَانَ يَقُولُ الْحَقَّ وَيَعْمَلُ بِهِ ، ثُمَّ لَمْ نَجِدْ أَحَداً عَابَ ذلِكَ عَلَيْهِ.</w:t>
      </w:r>
    </w:p>
    <w:p w:rsidR="00144FA6" w:rsidRDefault="00744A1C" w:rsidP="00744A1C">
      <w:pPr>
        <w:pStyle w:val="libNormal"/>
        <w:rPr>
          <w:rtl/>
          <w:lang w:bidi="fa-IR"/>
        </w:rPr>
      </w:pPr>
      <w:r>
        <w:rPr>
          <w:rtl/>
          <w:lang w:bidi="fa-IR"/>
        </w:rPr>
        <w:t xml:space="preserve">فَتَأَدَّبُوا أَيُّهَا النَّفَرُ بِآدَابِ اللهِ - عَزَّ وَجَلَّ - لِلْمُؤْمِنِينَ ، وَاقْتَصِرُوا عَلى أَمْرِ اللهِ وَنَهْيِهِ ، وَدَعُوا عَنْكُمْ مَا اشْتَبَهَ </w:t>
      </w:r>
      <w:r w:rsidRPr="00D10E3C">
        <w:rPr>
          <w:rStyle w:val="libFootnotenumChar"/>
          <w:rtl/>
        </w:rPr>
        <w:t>(1)</w:t>
      </w:r>
      <w:r>
        <w:rPr>
          <w:rtl/>
          <w:lang w:bidi="fa-IR"/>
        </w:rPr>
        <w:t xml:space="preserve"> عَلَيْكُمْ مِمَّا لَاعِلْمَ لَكُمْ بِهِ ، وَرُدُّوا الْعِلْمَ إِلى أَهْلِهِ ، تُوجَرُوا وَتُعْذَرُوا عِنْدَ اللهِ تَبَارَكَ وَتَعَالى ، وَكُونُوا فِي طَلَبِ عِلْمِ نَاسِخِ الْقُرْآنِ مِنْ مَنْسُوخِهِ ، وَمُحْكَمِهِ مِنْ مُتَشَابِهِهِ ، وَمَا أَحَلَّ اللهُ فِيهِ مِمَّا حَرَّمَ ، فَإِنَّهُ أَقْرَبُ لَكُمْ مِنَ اللهِ ، وَأَبْعَدُ لَكُمْ مِنَ الْجَهْلِ ، وَدَعُوا الْجَهَالَةَ لِأَهْلِهَا ؛ فَإِنَّ أَهْلَ الْجَهْلِ كَثِيرٌ ، وَأَهْلَ الْعِلْمِ قَلِيلٌ ، وَقَدْ قَالَ اللهُ عَزَّ وَجَلَّ : </w:t>
      </w:r>
      <w:r w:rsidRPr="00E35C2B">
        <w:rPr>
          <w:rStyle w:val="libAlaemChar"/>
          <w:rtl/>
        </w:rPr>
        <w:t>(</w:t>
      </w:r>
      <w:r w:rsidRPr="00E35C2B">
        <w:rPr>
          <w:rStyle w:val="libAieChar"/>
          <w:rtl/>
        </w:rPr>
        <w:t xml:space="preserve"> وَفَوْقَ كُلِّ ذِي عِلْمٍ عَلِيمٌ </w:t>
      </w:r>
      <w:r w:rsidRPr="00E35C2B">
        <w:rPr>
          <w:rStyle w:val="libAlaemChar"/>
          <w:rtl/>
        </w:rPr>
        <w:t>)</w:t>
      </w:r>
      <w:r>
        <w:rPr>
          <w:rtl/>
          <w:lang w:bidi="fa-IR"/>
        </w:rPr>
        <w:t xml:space="preserve"> </w:t>
      </w:r>
      <w:r w:rsidRPr="00D10E3C">
        <w:rPr>
          <w:rStyle w:val="libFootnotenumChar"/>
          <w:rtl/>
        </w:rPr>
        <w:t>(2)</w:t>
      </w:r>
      <w:r>
        <w:rPr>
          <w:rtl/>
          <w:lang w:bidi="fa-IR"/>
        </w:rPr>
        <w:t xml:space="preserve"> ». </w:t>
      </w:r>
      <w:r w:rsidRPr="00D10E3C">
        <w:rPr>
          <w:rStyle w:val="libFootnotenumChar"/>
          <w:rtl/>
        </w:rPr>
        <w:t>(3)</w:t>
      </w:r>
    </w:p>
    <w:p w:rsidR="00744A1C" w:rsidRDefault="00744A1C" w:rsidP="00E35C2B">
      <w:pPr>
        <w:pStyle w:val="Heading2Center"/>
        <w:rPr>
          <w:lang w:bidi="fa-IR"/>
        </w:rPr>
      </w:pPr>
      <w:bookmarkStart w:id="125" w:name="_Toc49261423"/>
      <w:r>
        <w:rPr>
          <w:rtl/>
          <w:lang w:bidi="fa-IR"/>
        </w:rPr>
        <w:t>2 - بَابُ مَعْنَى الزُّهْدِ‌</w:t>
      </w:r>
      <w:bookmarkEnd w:id="125"/>
    </w:p>
    <w:p w:rsidR="00144FA6" w:rsidRDefault="00744A1C" w:rsidP="00744A1C">
      <w:pPr>
        <w:pStyle w:val="libNormal"/>
        <w:rPr>
          <w:rtl/>
          <w:lang w:bidi="fa-IR"/>
        </w:rPr>
      </w:pPr>
      <w:r>
        <w:rPr>
          <w:rtl/>
          <w:lang w:bidi="fa-IR"/>
        </w:rPr>
        <w:t>8353 / 1. عَلِيُّ بْنُ إِبْرَاهِيمَ ، عَنْ أَبِيهِ ، عَنِ النَّوْفَلِيِّ ، عَنِ السَّكُونِيِّ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w:t>
      </w:r>
      <w:r w:rsidRPr="00D10E3C">
        <w:rPr>
          <w:rStyle w:val="libFootnotenumChar"/>
          <w:rtl/>
        </w:rPr>
        <w:t>(4)</w:t>
      </w:r>
      <w:r>
        <w:rPr>
          <w:rtl/>
          <w:lang w:bidi="fa-IR"/>
        </w:rPr>
        <w:t xml:space="preserve"> : مَا الزُّهْدُ فِي الدُّنْيَا؟</w:t>
      </w:r>
    </w:p>
    <w:p w:rsidR="00144FA6" w:rsidRDefault="00744A1C" w:rsidP="00744A1C">
      <w:pPr>
        <w:pStyle w:val="libNormal"/>
        <w:rPr>
          <w:rtl/>
          <w:lang w:bidi="fa-IR"/>
        </w:rPr>
      </w:pPr>
      <w:r>
        <w:rPr>
          <w:rtl/>
          <w:lang w:bidi="fa-IR"/>
        </w:rPr>
        <w:t xml:space="preserve">قَالَ </w:t>
      </w:r>
      <w:r w:rsidRPr="00D10E3C">
        <w:rPr>
          <w:rStyle w:val="libFootnotenumChar"/>
          <w:rtl/>
        </w:rPr>
        <w:t>(5)</w:t>
      </w:r>
      <w:r>
        <w:rPr>
          <w:rtl/>
          <w:lang w:bidi="fa-IR"/>
        </w:rPr>
        <w:t xml:space="preserve"> : « وَيْحَكَ </w:t>
      </w:r>
      <w:r w:rsidRPr="00D10E3C">
        <w:rPr>
          <w:rStyle w:val="libFootnotenumChar"/>
          <w:rtl/>
        </w:rPr>
        <w:t>(6)</w:t>
      </w:r>
      <w:r>
        <w:rPr>
          <w:rtl/>
          <w:lang w:bidi="fa-IR"/>
        </w:rPr>
        <w:t xml:space="preserve"> ، حَرَامَهَا فَتَنَكَّبْهُ </w:t>
      </w:r>
      <w:r w:rsidRPr="00D10E3C">
        <w:rPr>
          <w:rStyle w:val="libFootnotenumChar"/>
          <w:rtl/>
        </w:rPr>
        <w:t>(7)</w:t>
      </w:r>
      <w:r>
        <w:rPr>
          <w:rtl/>
          <w:lang w:bidi="fa-IR"/>
        </w:rPr>
        <w:t xml:space="preserve"> ». </w:t>
      </w:r>
      <w:r w:rsidRPr="00D10E3C">
        <w:rPr>
          <w:rStyle w:val="libFootnotenumChar"/>
          <w:rtl/>
        </w:rPr>
        <w:t>(8)</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E35C2B" w:rsidTr="00E35C2B">
        <w:tc>
          <w:tcPr>
            <w:tcW w:w="4006" w:type="dxa"/>
          </w:tcPr>
          <w:p w:rsidR="00E35C2B" w:rsidRDefault="00E35C2B" w:rsidP="00D10E3C">
            <w:pPr>
              <w:pStyle w:val="libFootnote0"/>
              <w:rPr>
                <w:rtl/>
                <w:lang w:bidi="fa-IR"/>
              </w:rPr>
            </w:pPr>
            <w:r>
              <w:rPr>
                <w:rtl/>
                <w:lang w:bidi="fa-IR"/>
              </w:rPr>
              <w:t>(1). في « ط » : « ما لبس به ».</w:t>
            </w:r>
          </w:p>
        </w:tc>
        <w:tc>
          <w:tcPr>
            <w:tcW w:w="4006" w:type="dxa"/>
          </w:tcPr>
          <w:p w:rsidR="00E35C2B" w:rsidRDefault="00E35C2B" w:rsidP="00D10E3C">
            <w:pPr>
              <w:pStyle w:val="libFootnote0"/>
              <w:rPr>
                <w:rtl/>
                <w:lang w:bidi="fa-IR"/>
              </w:rPr>
            </w:pPr>
            <w:r>
              <w:rPr>
                <w:rtl/>
                <w:lang w:bidi="fa-IR"/>
              </w:rPr>
              <w:t>(2). يوسف (12) : 76.</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877682">
        <w:rPr>
          <w:rStyle w:val="libFootnoteBoldChar"/>
          <w:rtl/>
        </w:rPr>
        <w:t>قرب الإسناد</w:t>
      </w:r>
      <w:r w:rsidR="00744A1C">
        <w:rPr>
          <w:rtl/>
          <w:lang w:bidi="fa-IR"/>
        </w:rPr>
        <w:t xml:space="preserve"> ، ص 63 ، ح 200 ، عن هارون بن مسلم ؛ </w:t>
      </w:r>
      <w:r w:rsidR="00744A1C" w:rsidRPr="00C24F9C">
        <w:rPr>
          <w:rStyle w:val="libFootnoteBoldChar"/>
          <w:rtl/>
        </w:rPr>
        <w:t>الفقيه</w:t>
      </w:r>
      <w:r w:rsidR="00744A1C">
        <w:rPr>
          <w:rtl/>
          <w:lang w:bidi="fa-IR"/>
        </w:rPr>
        <w:t xml:space="preserve"> ، ج 4 ، ص 186 ، ح 5427 ، معلّقاً عن هارون بن مسلم ؛ </w:t>
      </w:r>
      <w:r w:rsidR="00744A1C" w:rsidRPr="003A7143">
        <w:rPr>
          <w:rStyle w:val="libFootnoteBoldChar"/>
          <w:rtl/>
        </w:rPr>
        <w:t>علل الشرائع</w:t>
      </w:r>
      <w:r w:rsidR="00744A1C">
        <w:rPr>
          <w:rtl/>
          <w:lang w:bidi="fa-IR"/>
        </w:rPr>
        <w:t xml:space="preserve"> ، ص 566 ، ح 2 ، بسنده عن هارون بن مسلم ، وفي كلّها عن جعفر بن محمّد ، عن أبيه </w:t>
      </w:r>
      <w:r w:rsidR="00F112A7" w:rsidRPr="00CE5A92">
        <w:rPr>
          <w:rStyle w:val="libFootnoteAlaemChar"/>
          <w:rtl/>
        </w:rPr>
        <w:t>عليهما‌السلام</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744A1C">
        <w:rPr>
          <w:rtl/>
          <w:lang w:bidi="fa-IR"/>
        </w:rPr>
        <w:t xml:space="preserve">، من قوله : « قال </w:t>
      </w:r>
      <w:r w:rsidR="00024D6D" w:rsidRPr="00024D6D">
        <w:rPr>
          <w:rStyle w:val="libFootnoteAlaemChar"/>
          <w:rtl/>
        </w:rPr>
        <w:t>صلى‌الله‌عليه‌وآله</w:t>
      </w:r>
      <w:r w:rsidR="00D10E3C">
        <w:rPr>
          <w:rtl/>
          <w:lang w:bidi="fa-IR"/>
        </w:rPr>
        <w:t xml:space="preserve"> </w:t>
      </w:r>
      <w:r w:rsidR="00744A1C">
        <w:rPr>
          <w:rtl/>
          <w:lang w:bidi="fa-IR"/>
        </w:rPr>
        <w:t xml:space="preserve">للأنصاري حين أعتق » إلى قوله : « صبية صغاراً يتكفّفون الناس » مع اختلاف يسير. </w:t>
      </w:r>
      <w:r w:rsidR="00744A1C" w:rsidRPr="007D61A8">
        <w:rPr>
          <w:rStyle w:val="libFootnoteBoldChar"/>
          <w:rtl/>
        </w:rPr>
        <w:t>تحف العقول</w:t>
      </w:r>
      <w:r w:rsidR="00744A1C">
        <w:rPr>
          <w:rtl/>
          <w:lang w:bidi="fa-IR"/>
        </w:rPr>
        <w:t xml:space="preserve"> ، ص 348. وراجع : </w:t>
      </w:r>
      <w:r w:rsidR="00744A1C" w:rsidRPr="0061079A">
        <w:rPr>
          <w:rStyle w:val="libFootnoteBoldChar"/>
          <w:rtl/>
        </w:rPr>
        <w:t>الكافي</w:t>
      </w:r>
      <w:r w:rsidR="00744A1C">
        <w:rPr>
          <w:rtl/>
          <w:lang w:bidi="fa-IR"/>
        </w:rPr>
        <w:t xml:space="preserve"> ، كتاب الدعاء ، باب من لاتستجاب دعوته ، ح 3248 </w:t>
      </w:r>
      <w:r w:rsidR="00D950F9">
        <w:rPr>
          <w:rFonts w:hint="cs"/>
          <w:rtl/>
          <w:lang w:bidi="fa-IR"/>
        </w:rPr>
        <w:t>.</w:t>
      </w:r>
      <w:r w:rsidR="00744A1C" w:rsidRPr="00C24F9C">
        <w:rPr>
          <w:rStyle w:val="libFootnoteBoldChar"/>
          <w:rtl/>
        </w:rPr>
        <w:t>الوافي</w:t>
      </w:r>
      <w:r w:rsidR="00744A1C">
        <w:rPr>
          <w:rtl/>
          <w:lang w:bidi="fa-IR"/>
        </w:rPr>
        <w:t xml:space="preserve"> ، ج 17 ، ص 43 ، ح 16840. وفي </w:t>
      </w:r>
      <w:r w:rsidR="00744A1C" w:rsidRPr="00C24F9C">
        <w:rPr>
          <w:rStyle w:val="libFootnoteBoldChar"/>
          <w:rtl/>
        </w:rPr>
        <w:t>الوسائل</w:t>
      </w:r>
      <w:r w:rsidR="00744A1C">
        <w:rPr>
          <w:rtl/>
          <w:lang w:bidi="fa-IR"/>
        </w:rPr>
        <w:t xml:space="preserve"> ، ج 5 ، ص 19 ، ح 5775 ؛ وج 9 ، ص 56 ، ح 11509 ؛ وص 432 ، ح 12414 ؛ وج 17 ، ص 26 ، ح 21893 ؛ وج 27 ، ص 183 ، ح 33554 ، مقطّعاً ؛ </w:t>
      </w:r>
      <w:r w:rsidR="00744A1C" w:rsidRPr="0061079A">
        <w:rPr>
          <w:rStyle w:val="libFootnoteBoldChar"/>
          <w:rtl/>
        </w:rPr>
        <w:t>البحار</w:t>
      </w:r>
      <w:r w:rsidR="00744A1C">
        <w:rPr>
          <w:rtl/>
          <w:lang w:bidi="fa-IR"/>
        </w:rPr>
        <w:t xml:space="preserve"> ، ج 47 ، ص 232 ، ح 22.</w:t>
      </w:r>
    </w:p>
    <w:p w:rsidR="00744A1C" w:rsidRDefault="00E378DD" w:rsidP="00E378DD">
      <w:pPr>
        <w:pStyle w:val="libFootnote0"/>
        <w:rPr>
          <w:lang w:bidi="fa-IR"/>
        </w:rPr>
      </w:pPr>
      <w:r>
        <w:rPr>
          <w:rtl/>
          <w:lang w:bidi="fa-IR"/>
        </w:rPr>
        <w:t>(4).</w:t>
      </w:r>
      <w:r w:rsidR="00744A1C">
        <w:rPr>
          <w:rtl/>
          <w:lang w:bidi="fa-IR"/>
        </w:rPr>
        <w:t xml:space="preserve"> في المعاني : « قيل لأمير المؤمنين </w:t>
      </w:r>
      <w:r w:rsidR="0061079A" w:rsidRPr="0061079A">
        <w:rPr>
          <w:rStyle w:val="libFootnoteAlaemChar"/>
          <w:rtl/>
        </w:rPr>
        <w:t>عليه‌السلام</w:t>
      </w:r>
      <w:r w:rsidR="00D10E3C">
        <w:rPr>
          <w:rtl/>
          <w:lang w:bidi="fa-IR"/>
        </w:rPr>
        <w:t xml:space="preserve"> </w:t>
      </w:r>
      <w:r w:rsidR="00744A1C">
        <w:rPr>
          <w:rtl/>
          <w:lang w:bidi="fa-IR"/>
        </w:rPr>
        <w:t>» بدل « قلت له ».</w:t>
      </w:r>
    </w:p>
    <w:p w:rsidR="00744A1C" w:rsidRDefault="00E378DD" w:rsidP="00E378DD">
      <w:pPr>
        <w:pStyle w:val="libFootnote0"/>
        <w:rPr>
          <w:lang w:bidi="fa-IR"/>
        </w:rPr>
      </w:pPr>
      <w:r>
        <w:rPr>
          <w:rtl/>
          <w:lang w:bidi="fa-IR"/>
        </w:rPr>
        <w:t>(5).</w:t>
      </w:r>
      <w:r w:rsidR="00744A1C">
        <w:rPr>
          <w:rtl/>
          <w:lang w:bidi="fa-IR"/>
        </w:rPr>
        <w:t xml:space="preserve"> في « ى ، جن » : « فقال ».</w:t>
      </w:r>
    </w:p>
    <w:p w:rsidR="00744A1C" w:rsidRDefault="00E378DD" w:rsidP="00E378DD">
      <w:pPr>
        <w:pStyle w:val="libFootnote0"/>
        <w:rPr>
          <w:lang w:bidi="fa-IR"/>
        </w:rPr>
      </w:pPr>
      <w:r>
        <w:rPr>
          <w:rtl/>
          <w:lang w:bidi="fa-IR"/>
        </w:rPr>
        <w:t>(6).</w:t>
      </w:r>
      <w:r w:rsidR="00744A1C">
        <w:rPr>
          <w:rtl/>
          <w:lang w:bidi="fa-IR"/>
        </w:rPr>
        <w:t xml:space="preserve"> وَيْح : كلمة ترحّم وتوجّع ، تقال لمن وقع في هَلَكة لا يستحقّها ، وقد يقال بمعنى المدح والتعجّب ، وهي منصوبة على المصدر ، وقد تُرفَع وتُضاف ولا تُضاف ، يقال : وَيْحَ زَيْدٍ ، ووَيْحاً له ، وويحٌ له. </w:t>
      </w:r>
      <w:r w:rsidR="00744A1C" w:rsidRPr="00877682">
        <w:rPr>
          <w:rStyle w:val="libFootnoteBoldChar"/>
          <w:rtl/>
        </w:rPr>
        <w:t>النهاية</w:t>
      </w:r>
      <w:r w:rsidR="00D950F9">
        <w:rPr>
          <w:rtl/>
          <w:lang w:bidi="fa-IR"/>
        </w:rPr>
        <w:t xml:space="preserve"> ، ج 5 ، ص 235 (ويح</w:t>
      </w:r>
      <w:r w:rsidR="00744A1C">
        <w:rPr>
          <w:rtl/>
          <w:lang w:bidi="fa-IR"/>
        </w:rPr>
        <w:t>).</w:t>
      </w:r>
    </w:p>
    <w:p w:rsidR="00744A1C" w:rsidRDefault="00E378DD" w:rsidP="00E378DD">
      <w:pPr>
        <w:pStyle w:val="libFootnote0"/>
        <w:rPr>
          <w:lang w:bidi="fa-IR"/>
        </w:rPr>
      </w:pPr>
      <w:r>
        <w:rPr>
          <w:rtl/>
          <w:lang w:bidi="fa-IR"/>
        </w:rPr>
        <w:t>(7).</w:t>
      </w:r>
      <w:r w:rsidR="00744A1C">
        <w:rPr>
          <w:rtl/>
          <w:lang w:bidi="fa-IR"/>
        </w:rPr>
        <w:t xml:space="preserve"> يقال : تنكّبه ، أي تجنّبه. </w:t>
      </w:r>
      <w:r w:rsidR="00744A1C" w:rsidRPr="00E978C3">
        <w:rPr>
          <w:rStyle w:val="libFootnoteBoldChar"/>
          <w:rtl/>
        </w:rPr>
        <w:t>الصحاح</w:t>
      </w:r>
      <w:r w:rsidR="00744A1C">
        <w:rPr>
          <w:rtl/>
          <w:lang w:bidi="fa-IR"/>
        </w:rPr>
        <w:t xml:space="preserve"> ، ج 1 ، ص 228 ( نكب ).</w:t>
      </w:r>
    </w:p>
    <w:p w:rsidR="00144FA6" w:rsidRDefault="00E378DD" w:rsidP="00E378DD">
      <w:pPr>
        <w:pStyle w:val="libFootnote0"/>
        <w:rPr>
          <w:rtl/>
          <w:lang w:bidi="fa-IR"/>
        </w:rPr>
      </w:pPr>
      <w:r>
        <w:rPr>
          <w:rtl/>
          <w:lang w:bidi="fa-IR"/>
        </w:rPr>
        <w:t>(8).</w:t>
      </w:r>
      <w:r w:rsidR="00744A1C">
        <w:rPr>
          <w:rtl/>
          <w:lang w:bidi="fa-IR"/>
        </w:rPr>
        <w:t xml:space="preserve"> </w:t>
      </w:r>
      <w:r w:rsidR="00744A1C" w:rsidRPr="00610FB4">
        <w:rPr>
          <w:rStyle w:val="libFootnoteBoldChar"/>
          <w:rtl/>
        </w:rPr>
        <w:t>معاني الأخبار</w:t>
      </w:r>
      <w:r w:rsidR="00744A1C">
        <w:rPr>
          <w:rtl/>
          <w:lang w:bidi="fa-IR"/>
        </w:rPr>
        <w:t xml:space="preserve"> ، ص 49 ، ح 1 ، بسنده عن عليّ بن إبراهيم. </w:t>
      </w:r>
      <w:r w:rsidR="00744A1C" w:rsidRPr="00D950F9">
        <w:rPr>
          <w:rStyle w:val="libFootnoteBoldChar"/>
          <w:rtl/>
        </w:rPr>
        <w:t>الزهد</w:t>
      </w:r>
      <w:r w:rsidR="00744A1C">
        <w:rPr>
          <w:rtl/>
          <w:lang w:bidi="fa-IR"/>
        </w:rPr>
        <w:t xml:space="preserve"> ، ص 116 ، ح 133 ، بسنده عن السكوني ،</w:t>
      </w:r>
      <w:r w:rsidR="00D950F9">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8354 / 2. عِدَّةٌ مِنْ أَصْحَابِنَا ، عَنْ أَحْمَدَ بْنِ أَبِي عَبْدِ اللهِ ، عَنِ الْجَهْمِ بْنِ الْحَكَمِ ، عَنْ إِسْمَاعِيلَ بْنِ مُسْلِمٍ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لَيْسَ الزُّهْدُ فِي الدُّنْيَا بِإِضَاعَةِ الْمَالِ ، وَلَا تَحْرِيمِ الْحَلَالِ ؛ بَلِ الزُّهْدُ </w:t>
      </w:r>
      <w:r w:rsidRPr="00D10E3C">
        <w:rPr>
          <w:rStyle w:val="libFootnotenumChar"/>
          <w:rtl/>
        </w:rPr>
        <w:t>(1)</w:t>
      </w:r>
      <w:r>
        <w:rPr>
          <w:rtl/>
          <w:lang w:bidi="fa-IR"/>
        </w:rPr>
        <w:t xml:space="preserve"> فِي الدُّنْيَا أَنْ لَاتَكُونَ بِمَا فِي يَدِكَ أَوْثَقَ مِنْكَ بِمَا عِنْدَ اللهِ عَزَّ وَجَلَّ ». </w:t>
      </w:r>
      <w:r w:rsidRPr="00D10E3C">
        <w:rPr>
          <w:rStyle w:val="libFootnotenumChar"/>
          <w:rtl/>
        </w:rPr>
        <w:t>(2)</w:t>
      </w:r>
    </w:p>
    <w:p w:rsidR="00144FA6" w:rsidRDefault="00744A1C" w:rsidP="00744A1C">
      <w:pPr>
        <w:pStyle w:val="libNormal"/>
        <w:rPr>
          <w:rtl/>
          <w:lang w:bidi="fa-IR"/>
        </w:rPr>
      </w:pPr>
      <w:r>
        <w:rPr>
          <w:rtl/>
          <w:lang w:bidi="fa-IR"/>
        </w:rPr>
        <w:t>8355 / 3. مُحَمَّدُ بْنُ يَحْيى ، عَنْ أَحْمَدَ بْنِ مُحَمَّدِ بْنِ عِيسى ، عَنْ مُحَمَّدِ بْنِ سِنَانٍ ، عَنْ مَالِكِ بْنِ عَطِيَّةَ ، عَنْ مَعْرُوفِ بْنِ خَرَّبُوذَ ، عَنْ أَبِي الطُّفَيْلِ ، قَالَ :</w:t>
      </w:r>
    </w:p>
    <w:p w:rsidR="00144FA6" w:rsidRDefault="00744A1C" w:rsidP="00744A1C">
      <w:pPr>
        <w:pStyle w:val="libNormal"/>
        <w:rPr>
          <w:rtl/>
          <w:lang w:bidi="fa-IR"/>
        </w:rPr>
      </w:pPr>
      <w:r>
        <w:rPr>
          <w:rtl/>
          <w:lang w:bidi="fa-IR"/>
        </w:rPr>
        <w:t xml:space="preserve">سَمِعْتُ أَمِيرَ الْمُؤْمِنِينَ </w:t>
      </w:r>
      <w:r w:rsidRPr="00D10E3C">
        <w:rPr>
          <w:rStyle w:val="libFootnotenumChar"/>
          <w:rtl/>
        </w:rPr>
        <w:t>(3)</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يَقُولُ : « الزُّهْدُ فِي الدُّنْيَا قَصْرُ الْأَمَلِ ، وَشُكْرُ كُلِّ نِعْمَةٍ ، وَالْوَرَعُ عَنْ كُلِّ مَا حَرَّمَ اللهُ عَزَّ وَجَلَّ ». </w:t>
      </w:r>
      <w:r w:rsidRPr="00D10E3C">
        <w:rPr>
          <w:rStyle w:val="libFootnotenumChar"/>
          <w:rtl/>
        </w:rPr>
        <w:t>(4)</w:t>
      </w:r>
    </w:p>
    <w:p w:rsidR="00744A1C" w:rsidRDefault="00744A1C" w:rsidP="00537FCD">
      <w:pPr>
        <w:pStyle w:val="Heading2Center"/>
        <w:rPr>
          <w:lang w:bidi="fa-IR"/>
        </w:rPr>
      </w:pPr>
      <w:bookmarkStart w:id="126" w:name="_Toc49261424"/>
      <w:r>
        <w:rPr>
          <w:rtl/>
          <w:lang w:bidi="fa-IR"/>
        </w:rPr>
        <w:t>3 - بَابُ الِاسْتِعَانَةِ بِالدُّنْيَا عَلَى الْآخِرَةِ‌</w:t>
      </w:r>
      <w:bookmarkEnd w:id="126"/>
    </w:p>
    <w:p w:rsidR="00144FA6" w:rsidRDefault="00744A1C" w:rsidP="00744A1C">
      <w:pPr>
        <w:pStyle w:val="libNormal"/>
        <w:rPr>
          <w:rtl/>
          <w:lang w:bidi="fa-IR"/>
        </w:rPr>
      </w:pPr>
      <w:r>
        <w:rPr>
          <w:rtl/>
          <w:lang w:bidi="fa-IR"/>
        </w:rPr>
        <w:t>8356 / 1.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 عَنْ آبَائِهِ </w:t>
      </w:r>
      <w:r w:rsidR="008859AA" w:rsidRPr="008859AA">
        <w:rPr>
          <w:rStyle w:val="libAlaemChar"/>
          <w:rtl/>
        </w:rPr>
        <w:t>عليهما‌السلام</w:t>
      </w:r>
      <w:r>
        <w:rPr>
          <w:rtl/>
          <w:lang w:bidi="fa-IR"/>
        </w:rPr>
        <w:t xml:space="preserve">، قَالَ : « قَالَ رَسُولُ اللهِ </w:t>
      </w:r>
      <w:r w:rsidR="00712C99" w:rsidRPr="00712C99">
        <w:rPr>
          <w:rStyle w:val="libAlaemChar"/>
          <w:rtl/>
        </w:rPr>
        <w:t>صلى‌الله‌عليه‌وآله</w:t>
      </w:r>
      <w:r w:rsidR="00D10E3C">
        <w:rPr>
          <w:rtl/>
          <w:lang w:bidi="fa-IR"/>
        </w:rPr>
        <w:t xml:space="preserve"> </w:t>
      </w:r>
      <w:r>
        <w:rPr>
          <w:rtl/>
          <w:lang w:bidi="fa-IR"/>
        </w:rPr>
        <w:t xml:space="preserve">: نِعْمَ الْعَوْنُ عَلى تَقْوَى اللهِ الْغِنى ». </w:t>
      </w:r>
      <w:r w:rsidRPr="00D10E3C">
        <w:rPr>
          <w:rStyle w:val="libFootnotenumChar"/>
          <w:rtl/>
        </w:rPr>
        <w:t>(5)</w:t>
      </w:r>
    </w:p>
    <w:p w:rsidR="00744A1C" w:rsidRDefault="00744A1C" w:rsidP="00D10E3C">
      <w:pPr>
        <w:pStyle w:val="libLine"/>
        <w:rPr>
          <w:lang w:bidi="fa-IR"/>
        </w:rPr>
      </w:pPr>
      <w:r>
        <w:rPr>
          <w:rtl/>
          <w:lang w:bidi="fa-IR"/>
        </w:rPr>
        <w:t>____________________</w:t>
      </w:r>
    </w:p>
    <w:p w:rsidR="00744A1C" w:rsidRDefault="00537FCD" w:rsidP="00D10E3C">
      <w:pPr>
        <w:pStyle w:val="libFootnote0"/>
        <w:rPr>
          <w:lang w:bidi="fa-IR"/>
        </w:rPr>
      </w:pPr>
      <w:r>
        <w:rPr>
          <w:rFonts w:hint="cs"/>
          <w:rtl/>
          <w:lang w:bidi="fa-IR"/>
        </w:rPr>
        <w:t xml:space="preserve">= </w:t>
      </w:r>
      <w:r w:rsidR="00744A1C">
        <w:rPr>
          <w:rtl/>
          <w:lang w:bidi="fa-IR"/>
        </w:rPr>
        <w:t xml:space="preserve">يرفع الحديث إلى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وفيهما مع اختلاف يسير </w:t>
      </w:r>
      <w:r>
        <w:rPr>
          <w:rFonts w:hint="cs"/>
          <w:rtl/>
          <w:lang w:bidi="fa-IR"/>
        </w:rPr>
        <w:t>.</w:t>
      </w:r>
      <w:r w:rsidR="00744A1C" w:rsidRPr="00C24F9C">
        <w:rPr>
          <w:rStyle w:val="libFootnoteBoldChar"/>
          <w:rtl/>
        </w:rPr>
        <w:t>الوافي</w:t>
      </w:r>
      <w:r w:rsidR="00744A1C">
        <w:rPr>
          <w:rtl/>
          <w:lang w:bidi="fa-IR"/>
        </w:rPr>
        <w:t xml:space="preserve"> ، ج 4 ، ص 403 ، ح 2197 ؛ </w:t>
      </w:r>
      <w:r w:rsidR="00744A1C" w:rsidRPr="00C24F9C">
        <w:rPr>
          <w:rStyle w:val="libFootnoteBoldChar"/>
          <w:rtl/>
        </w:rPr>
        <w:t>الوسائل</w:t>
      </w:r>
      <w:r w:rsidR="00744A1C">
        <w:rPr>
          <w:rtl/>
          <w:lang w:bidi="fa-IR"/>
        </w:rPr>
        <w:t xml:space="preserve"> ، ج 17 ، ص 35 ، ح 21913.</w:t>
      </w:r>
    </w:p>
    <w:p w:rsidR="00744A1C" w:rsidRDefault="00D10E3C" w:rsidP="00D10E3C">
      <w:pPr>
        <w:pStyle w:val="libFootnote0"/>
        <w:rPr>
          <w:lang w:bidi="fa-IR"/>
        </w:rPr>
      </w:pPr>
      <w:r>
        <w:rPr>
          <w:rtl/>
          <w:lang w:bidi="fa-IR"/>
        </w:rPr>
        <w:t>(1).</w:t>
      </w:r>
      <w:r w:rsidR="00744A1C">
        <w:rPr>
          <w:rtl/>
          <w:lang w:bidi="fa-IR"/>
        </w:rPr>
        <w:t xml:space="preserve"> في « بس » : « وللزهد » بدل « بل الزهد ».</w:t>
      </w:r>
    </w:p>
    <w:p w:rsidR="00744A1C" w:rsidRDefault="00E378DD" w:rsidP="00E378DD">
      <w:pPr>
        <w:pStyle w:val="libFootnote0"/>
        <w:rPr>
          <w:lang w:bidi="fa-IR"/>
        </w:rPr>
      </w:pPr>
      <w:r>
        <w:rPr>
          <w:rtl/>
          <w:lang w:bidi="fa-IR"/>
        </w:rPr>
        <w:t>(2).</w:t>
      </w:r>
      <w:r w:rsidR="00744A1C">
        <w:rPr>
          <w:rtl/>
          <w:lang w:bidi="fa-IR"/>
        </w:rPr>
        <w:t xml:space="preserve"> </w:t>
      </w:r>
      <w:r w:rsidR="00744A1C" w:rsidRPr="00610FB4">
        <w:rPr>
          <w:rStyle w:val="libFootnoteBoldChar"/>
          <w:rtl/>
        </w:rPr>
        <w:t>معاني الأخبار</w:t>
      </w:r>
      <w:r w:rsidR="00744A1C">
        <w:rPr>
          <w:rtl/>
          <w:lang w:bidi="fa-IR"/>
        </w:rPr>
        <w:t xml:space="preserve"> ، ص 251 ، ح 3 ، بسنده عن محمّد بن الحسن الصفّار ، عن أحمد بن أبي عبد الله ؛ </w:t>
      </w:r>
      <w:r w:rsidR="00744A1C" w:rsidRPr="00C24F9C">
        <w:rPr>
          <w:rStyle w:val="libFootnoteBoldChar"/>
          <w:rtl/>
        </w:rPr>
        <w:t>التهذيب</w:t>
      </w:r>
      <w:r w:rsidR="00744A1C">
        <w:rPr>
          <w:rtl/>
          <w:lang w:bidi="fa-IR"/>
        </w:rPr>
        <w:t xml:space="preserve"> ، ج 6 ، ص 327 ، ح 899 ، معلّقاً عن أحمد بن أبي عبد الله </w:t>
      </w:r>
      <w:r w:rsidR="00537FCD">
        <w:rPr>
          <w:rFonts w:hint="cs"/>
          <w:rtl/>
          <w:lang w:bidi="fa-IR"/>
        </w:rPr>
        <w:t>.</w:t>
      </w:r>
      <w:r w:rsidR="00744A1C" w:rsidRPr="00C24F9C">
        <w:rPr>
          <w:rStyle w:val="libFootnoteBoldChar"/>
          <w:rtl/>
        </w:rPr>
        <w:t>الوافي</w:t>
      </w:r>
      <w:r w:rsidR="00744A1C">
        <w:rPr>
          <w:rtl/>
          <w:lang w:bidi="fa-IR"/>
        </w:rPr>
        <w:t xml:space="preserve"> ، ج 4 ، ص 403 ، ح 2198 ؛ </w:t>
      </w:r>
      <w:r w:rsidR="00744A1C" w:rsidRPr="00C24F9C">
        <w:rPr>
          <w:rStyle w:val="libFootnoteBoldChar"/>
          <w:rtl/>
        </w:rPr>
        <w:t>الوسائل</w:t>
      </w:r>
      <w:r w:rsidR="00744A1C">
        <w:rPr>
          <w:rtl/>
          <w:lang w:bidi="fa-IR"/>
        </w:rPr>
        <w:t xml:space="preserve"> ، ج 17 ، ص 35 ، ح 21914.</w:t>
      </w:r>
    </w:p>
    <w:p w:rsidR="00744A1C" w:rsidRDefault="00E378DD" w:rsidP="00E378DD">
      <w:pPr>
        <w:pStyle w:val="libFootnote0"/>
        <w:rPr>
          <w:lang w:bidi="fa-IR"/>
        </w:rPr>
      </w:pPr>
      <w:r>
        <w:rPr>
          <w:rtl/>
          <w:lang w:bidi="fa-IR"/>
        </w:rPr>
        <w:t>(3).</w:t>
      </w:r>
      <w:r w:rsidR="00744A1C">
        <w:rPr>
          <w:rtl/>
          <w:lang w:bidi="fa-IR"/>
        </w:rPr>
        <w:t xml:space="preserve"> في « ط » : « عليّاً » بدل « أمير المؤمنين ».</w:t>
      </w:r>
    </w:p>
    <w:p w:rsidR="00744A1C" w:rsidRDefault="00E378DD" w:rsidP="00E378DD">
      <w:pPr>
        <w:pStyle w:val="libFootnote0"/>
        <w:rPr>
          <w:lang w:bidi="fa-IR"/>
        </w:rPr>
      </w:pPr>
      <w:r>
        <w:rPr>
          <w:rtl/>
          <w:lang w:bidi="fa-IR"/>
        </w:rPr>
        <w:t>(4).</w:t>
      </w:r>
      <w:r w:rsidR="00744A1C">
        <w:rPr>
          <w:rtl/>
          <w:lang w:bidi="fa-IR"/>
        </w:rPr>
        <w:t xml:space="preserve"> </w:t>
      </w:r>
      <w:r w:rsidR="00744A1C" w:rsidRPr="00610FB4">
        <w:rPr>
          <w:rStyle w:val="libFootnoteBoldChar"/>
          <w:rtl/>
        </w:rPr>
        <w:t>معاني الأخبار</w:t>
      </w:r>
      <w:r w:rsidR="00744A1C">
        <w:rPr>
          <w:rtl/>
          <w:lang w:bidi="fa-IR"/>
        </w:rPr>
        <w:t xml:space="preserve"> ، ص 251 ، ح 2 ، بسنده عن محمّد بن سنان. </w:t>
      </w:r>
      <w:r w:rsidR="00744A1C" w:rsidRPr="00537FCD">
        <w:rPr>
          <w:rStyle w:val="libFootnoteBoldChar"/>
          <w:rtl/>
        </w:rPr>
        <w:t>الخصال</w:t>
      </w:r>
      <w:r w:rsidR="00744A1C">
        <w:rPr>
          <w:rtl/>
          <w:lang w:bidi="fa-IR"/>
        </w:rPr>
        <w:t xml:space="preserve"> ، ص 14 ، باب الواحد ، ح 50 ، بسنده عن محمّد بن أحمد ، عن أحمد بن محمّد ، عن بعض النوفليّين ومحمّد بن سنان ، رفعه إلى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مع زيادة في أوّله وآخره. </w:t>
      </w:r>
      <w:r w:rsidR="00744A1C" w:rsidRPr="007D61A8">
        <w:rPr>
          <w:rStyle w:val="libFootnoteBoldChar"/>
          <w:rtl/>
        </w:rPr>
        <w:t>تحف العقول</w:t>
      </w:r>
      <w:r w:rsidR="00744A1C">
        <w:rPr>
          <w:rtl/>
          <w:lang w:bidi="fa-IR"/>
        </w:rPr>
        <w:t xml:space="preserve"> ، ص 58 ، عن النبيّ </w:t>
      </w:r>
      <w:r w:rsidR="005E465D" w:rsidRPr="005E465D">
        <w:rPr>
          <w:rStyle w:val="libFootnoteAlaemChar"/>
          <w:rtl/>
        </w:rPr>
        <w:t>صلى‌الله‌عليه‌وآله</w:t>
      </w:r>
      <w:r w:rsidR="00D10E3C">
        <w:rPr>
          <w:rtl/>
          <w:lang w:bidi="fa-IR"/>
        </w:rPr>
        <w:t xml:space="preserve"> </w:t>
      </w:r>
      <w:r w:rsidR="00744A1C">
        <w:rPr>
          <w:rtl/>
          <w:lang w:bidi="fa-IR"/>
        </w:rPr>
        <w:t xml:space="preserve">؛ </w:t>
      </w:r>
      <w:r w:rsidR="00744A1C" w:rsidRPr="00537FCD">
        <w:rPr>
          <w:rStyle w:val="libFootnoteBoldChar"/>
          <w:rtl/>
        </w:rPr>
        <w:t>وفيه</w:t>
      </w:r>
      <w:r w:rsidR="00744A1C">
        <w:rPr>
          <w:rtl/>
          <w:lang w:bidi="fa-IR"/>
        </w:rPr>
        <w:t xml:space="preserve"> ، ص 220 ، عن أمير المؤمنين </w:t>
      </w:r>
      <w:r w:rsidR="0061079A" w:rsidRPr="0061079A">
        <w:rPr>
          <w:rStyle w:val="libFootnoteAlaemChar"/>
          <w:rtl/>
        </w:rPr>
        <w:t>عليه‌السلام</w:t>
      </w:r>
      <w:r w:rsidR="00D10E3C">
        <w:rPr>
          <w:rtl/>
          <w:lang w:bidi="fa-IR"/>
        </w:rPr>
        <w:t xml:space="preserve"> </w:t>
      </w:r>
      <w:r w:rsidR="00537FCD">
        <w:rPr>
          <w:rFonts w:hint="cs"/>
          <w:rtl/>
          <w:lang w:bidi="fa-IR"/>
        </w:rPr>
        <w:t>.</w:t>
      </w:r>
      <w:r w:rsidR="00744A1C" w:rsidRPr="00C24F9C">
        <w:rPr>
          <w:rStyle w:val="libFootnoteBoldChar"/>
          <w:rtl/>
        </w:rPr>
        <w:t>الوافي</w:t>
      </w:r>
      <w:r w:rsidR="00744A1C">
        <w:rPr>
          <w:rtl/>
          <w:lang w:bidi="fa-IR"/>
        </w:rPr>
        <w:t xml:space="preserve"> ، ج 4 ، ص 404 ، ح 2199 ؛ </w:t>
      </w:r>
      <w:r w:rsidR="00744A1C" w:rsidRPr="00C24F9C">
        <w:rPr>
          <w:rStyle w:val="libFootnoteBoldChar"/>
          <w:rtl/>
        </w:rPr>
        <w:t>الوسائل</w:t>
      </w:r>
      <w:r w:rsidR="00744A1C">
        <w:rPr>
          <w:rtl/>
          <w:lang w:bidi="fa-IR"/>
        </w:rPr>
        <w:t xml:space="preserve"> ، ج 17 ، ص 35 ، ح 21915.</w:t>
      </w:r>
    </w:p>
    <w:p w:rsidR="00144FA6" w:rsidRDefault="00E378DD" w:rsidP="00E378DD">
      <w:pPr>
        <w:pStyle w:val="libFootnote0"/>
        <w:rPr>
          <w:rtl/>
          <w:lang w:bidi="fa-IR"/>
        </w:rPr>
      </w:pPr>
      <w:r>
        <w:rPr>
          <w:rtl/>
          <w:lang w:bidi="fa-IR"/>
        </w:rPr>
        <w:t>(5).</w:t>
      </w:r>
      <w:r w:rsidR="00744A1C">
        <w:rPr>
          <w:rtl/>
          <w:lang w:bidi="fa-IR"/>
        </w:rPr>
        <w:t xml:space="preserve"> </w:t>
      </w:r>
      <w:r w:rsidR="00744A1C" w:rsidRPr="00877682">
        <w:rPr>
          <w:rStyle w:val="libFootnoteBoldChar"/>
          <w:rtl/>
        </w:rPr>
        <w:t>الجعفريّات</w:t>
      </w:r>
      <w:r w:rsidR="00744A1C">
        <w:rPr>
          <w:rtl/>
          <w:lang w:bidi="fa-IR"/>
        </w:rPr>
        <w:t xml:space="preserve"> ، ص 155 ، بسند آخر. </w:t>
      </w:r>
      <w:r w:rsidR="00744A1C" w:rsidRPr="00C24F9C">
        <w:rPr>
          <w:rStyle w:val="libFootnoteBoldChar"/>
          <w:rtl/>
        </w:rPr>
        <w:t>الفقيه</w:t>
      </w:r>
      <w:r w:rsidR="00744A1C">
        <w:rPr>
          <w:rtl/>
          <w:lang w:bidi="fa-IR"/>
        </w:rPr>
        <w:t xml:space="preserve"> ، ج 3 ، ص 156 ، ح 3570 ، مرسلاً عن رسول الله </w:t>
      </w:r>
      <w:r w:rsidR="00B7470D" w:rsidRPr="00537FCD">
        <w:rPr>
          <w:rStyle w:val="libFootnoteAlaemChar"/>
          <w:rtl/>
        </w:rPr>
        <w:t>صلى‌الله‌عليه‌وآله</w:t>
      </w:r>
      <w:r w:rsidR="00D10E3C">
        <w:rPr>
          <w:rtl/>
          <w:lang w:bidi="fa-IR"/>
        </w:rPr>
        <w:t xml:space="preserve"> </w:t>
      </w:r>
      <w:r w:rsidR="00744A1C">
        <w:rPr>
          <w:rtl/>
          <w:lang w:bidi="fa-IR"/>
        </w:rPr>
        <w:t>؛ تحف</w:t>
      </w:r>
      <w:r w:rsidR="00537FCD">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8357 / 2. عِدَّةٌ مِنْ أَصْحَابِنَا ، عَنْ أَحْمَدَ بْنِ مُحَمَّدٍ ، عَنِ ابْنِ مَحْبُ</w:t>
      </w:r>
      <w:r w:rsidR="00537FCD">
        <w:rPr>
          <w:rtl/>
          <w:lang w:bidi="fa-IR"/>
        </w:rPr>
        <w:t>وبٍ ، عَنْ جَمِيلِ بْنِ صَالِحٍ</w:t>
      </w:r>
      <w:r>
        <w:rPr>
          <w:rtl/>
          <w:lang w:bidi="fa-IR"/>
        </w:rPr>
        <w:t>:</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w:t>
      </w:r>
      <w:r w:rsidRPr="00D10E3C">
        <w:rPr>
          <w:rStyle w:val="libFootnotenumChar"/>
          <w:rtl/>
        </w:rPr>
        <w:t>(1)</w:t>
      </w:r>
      <w:r>
        <w:rPr>
          <w:rtl/>
          <w:lang w:bidi="fa-IR"/>
        </w:rPr>
        <w:t xml:space="preserve"> عَزَّ وَجَلَّ : </w:t>
      </w:r>
      <w:r w:rsidRPr="00537FCD">
        <w:rPr>
          <w:rStyle w:val="libAlaemChar"/>
          <w:rtl/>
        </w:rPr>
        <w:t>(</w:t>
      </w:r>
      <w:r w:rsidRPr="00537FCD">
        <w:rPr>
          <w:rStyle w:val="libAieChar"/>
          <w:rtl/>
        </w:rPr>
        <w:t xml:space="preserve"> رَبَّنا آتِنا فِي الدُّنْيا حَسَنَةً وَفِي الْآخِرَةِ حَسَنَةً </w:t>
      </w:r>
      <w:r w:rsidRPr="00537FCD">
        <w:rPr>
          <w:rStyle w:val="libAlaemChar"/>
          <w:rtl/>
        </w:rPr>
        <w:t>)</w:t>
      </w:r>
      <w:r>
        <w:rPr>
          <w:rtl/>
          <w:lang w:bidi="fa-IR"/>
        </w:rPr>
        <w:t xml:space="preserve"> </w:t>
      </w:r>
      <w:r w:rsidRPr="00D10E3C">
        <w:rPr>
          <w:rStyle w:val="libFootnotenumChar"/>
          <w:rtl/>
        </w:rPr>
        <w:t>(2)</w:t>
      </w:r>
      <w:r>
        <w:rPr>
          <w:rtl/>
          <w:lang w:bidi="fa-IR"/>
        </w:rPr>
        <w:t xml:space="preserve"> : « رِضْوَانُ اللهِ وَالْجَنَّةُ فِي الْآخِرَةِ </w:t>
      </w:r>
      <w:r w:rsidRPr="00D10E3C">
        <w:rPr>
          <w:rStyle w:val="libFootnotenumChar"/>
          <w:rtl/>
        </w:rPr>
        <w:t>(3)</w:t>
      </w:r>
      <w:r>
        <w:rPr>
          <w:rtl/>
          <w:lang w:bidi="fa-IR"/>
        </w:rPr>
        <w:t xml:space="preserve"> ، وَالْمَعَاشُ </w:t>
      </w:r>
      <w:r w:rsidRPr="00D10E3C">
        <w:rPr>
          <w:rStyle w:val="libFootnotenumChar"/>
          <w:rtl/>
        </w:rPr>
        <w:t>(4)</w:t>
      </w:r>
      <w:r>
        <w:rPr>
          <w:rtl/>
          <w:lang w:bidi="fa-IR"/>
        </w:rPr>
        <w:t xml:space="preserve"> وَحُسْنُ الْخُلُقِ </w:t>
      </w:r>
      <w:r w:rsidRPr="00D10E3C">
        <w:rPr>
          <w:rStyle w:val="libFootnotenumChar"/>
          <w:rtl/>
        </w:rPr>
        <w:t>(5)</w:t>
      </w:r>
      <w:r>
        <w:rPr>
          <w:rtl/>
          <w:lang w:bidi="fa-IR"/>
        </w:rPr>
        <w:t xml:space="preserve"> فِي الدُّنْيَا ». </w:t>
      </w:r>
      <w:r w:rsidRPr="00D10E3C">
        <w:rPr>
          <w:rStyle w:val="libFootnotenumChar"/>
          <w:rtl/>
        </w:rPr>
        <w:t>(6)</w:t>
      </w:r>
    </w:p>
    <w:p w:rsidR="00144FA6" w:rsidRDefault="00744A1C" w:rsidP="00744A1C">
      <w:pPr>
        <w:pStyle w:val="libNormal"/>
        <w:rPr>
          <w:rtl/>
          <w:lang w:bidi="fa-IR"/>
        </w:rPr>
      </w:pPr>
      <w:r>
        <w:rPr>
          <w:rtl/>
          <w:lang w:bidi="fa-IR"/>
        </w:rPr>
        <w:t>8358 / 3. عَلِيُّ بْنُ مُحَمَّدِ بْنِ بُنْدَارَ ، عَنْ أَحْمَدَ بْنِ أَبِي عَبْدِ اللهِ ، عَنْ إِبْرَاهِيمَ بْنِ مُحَمَّدٍ الثَّقَفِيِّ ، عَنْ عَلِيِّ بْنِ الْمُعَلّى ، عَنِ الْقَاسِمِ بْنِ مُحَمَّدٍ :</w:t>
      </w:r>
    </w:p>
    <w:p w:rsidR="00744A1C" w:rsidRDefault="00744A1C" w:rsidP="00744A1C">
      <w:pPr>
        <w:pStyle w:val="libNormal"/>
        <w:rPr>
          <w:lang w:bidi="fa-IR"/>
        </w:rPr>
      </w:pPr>
      <w:r>
        <w:rPr>
          <w:rtl/>
          <w:lang w:bidi="fa-IR"/>
        </w:rPr>
        <w:t xml:space="preserve">رَفَعَهُ إِلى أَبِي عَبْدِ اللهِ </w:t>
      </w:r>
      <w:r w:rsidR="0061079A" w:rsidRPr="0061079A">
        <w:rPr>
          <w:rStyle w:val="libAlaemChar"/>
          <w:rtl/>
        </w:rPr>
        <w:t>عليه‌السلام</w:t>
      </w:r>
      <w:r w:rsidR="00D10E3C">
        <w:rPr>
          <w:rtl/>
          <w:lang w:bidi="fa-IR"/>
        </w:rPr>
        <w:t xml:space="preserve"> </w:t>
      </w:r>
      <w:r>
        <w:rPr>
          <w:rtl/>
          <w:lang w:bidi="fa-IR"/>
        </w:rPr>
        <w:t xml:space="preserve">، قَالَ : قِيلَ لَهُ : مَا بَالُ أَصْحَابِ عِيسى </w:t>
      </w:r>
      <w:r w:rsidR="0061079A" w:rsidRPr="0061079A">
        <w:rPr>
          <w:rStyle w:val="libAlaemChar"/>
          <w:rtl/>
        </w:rPr>
        <w:t>عليه‌السلام</w:t>
      </w:r>
      <w:r w:rsidR="00D10E3C">
        <w:rPr>
          <w:rtl/>
          <w:lang w:bidi="fa-IR"/>
        </w:rPr>
        <w:t xml:space="preserve"> </w:t>
      </w:r>
      <w:r>
        <w:rPr>
          <w:rtl/>
          <w:lang w:bidi="fa-IR"/>
        </w:rPr>
        <w:t xml:space="preserve">كَانُوا يَمْشُونَ عَلَى الْمَاءِ ، وَلَيْسَ ذلِكَ </w:t>
      </w:r>
      <w:r w:rsidRPr="00D10E3C">
        <w:rPr>
          <w:rStyle w:val="libFootnotenumChar"/>
          <w:rtl/>
        </w:rPr>
        <w:t>(7)</w:t>
      </w:r>
      <w:r>
        <w:rPr>
          <w:rtl/>
          <w:lang w:bidi="fa-IR"/>
        </w:rPr>
        <w:t xml:space="preserve"> فِي أَصْحَابِ مُحَمَّدٍ </w:t>
      </w:r>
      <w:r w:rsidR="00E45E68" w:rsidRPr="00E45E68">
        <w:rPr>
          <w:rStyle w:val="libAlaemChar"/>
          <w:rtl/>
        </w:rPr>
        <w:t>صلى‌الله‌عليه‌وآله</w:t>
      </w:r>
      <w:r>
        <w:rPr>
          <w:rtl/>
          <w:lang w:bidi="fa-IR"/>
        </w:rPr>
        <w:t xml:space="preserve"> ؟</w:t>
      </w:r>
    </w:p>
    <w:p w:rsidR="00144FA6" w:rsidRDefault="00744A1C" w:rsidP="00744A1C">
      <w:pPr>
        <w:pStyle w:val="libNormal"/>
        <w:rPr>
          <w:rtl/>
          <w:lang w:bidi="fa-IR"/>
        </w:rPr>
      </w:pPr>
      <w:r>
        <w:rPr>
          <w:rtl/>
          <w:lang w:bidi="fa-IR"/>
        </w:rPr>
        <w:t xml:space="preserve">قَالَ </w:t>
      </w:r>
      <w:r w:rsidRPr="00D10E3C">
        <w:rPr>
          <w:rStyle w:val="libFootnotenumChar"/>
          <w:rtl/>
        </w:rPr>
        <w:t>(8)</w:t>
      </w:r>
      <w:r>
        <w:rPr>
          <w:rtl/>
          <w:lang w:bidi="fa-IR"/>
        </w:rPr>
        <w:t xml:space="preserve"> : « إِنَّ أَصْحَابَ عِيسى </w:t>
      </w:r>
      <w:r w:rsidR="0061079A" w:rsidRPr="0061079A">
        <w:rPr>
          <w:rStyle w:val="libAlaemChar"/>
          <w:rtl/>
        </w:rPr>
        <w:t>عليه‌السلام</w:t>
      </w:r>
      <w:r w:rsidR="00D10E3C">
        <w:rPr>
          <w:rtl/>
          <w:lang w:bidi="fa-IR"/>
        </w:rPr>
        <w:t xml:space="preserve"> </w:t>
      </w:r>
      <w:r>
        <w:rPr>
          <w:rtl/>
          <w:lang w:bidi="fa-IR"/>
        </w:rPr>
        <w:t xml:space="preserve">كُفُوا الْمَعَاشَ ، وَإِنَّ هؤُلَاءِ ابْتُلُوا بِالْمَعَاشِ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537FCD" w:rsidP="00D10E3C">
      <w:pPr>
        <w:pStyle w:val="libFootnote0"/>
        <w:rPr>
          <w:lang w:bidi="fa-IR"/>
        </w:rPr>
      </w:pPr>
      <w:r>
        <w:rPr>
          <w:rFonts w:hint="cs"/>
          <w:rtl/>
          <w:lang w:bidi="fa-IR"/>
        </w:rPr>
        <w:t xml:space="preserve">= </w:t>
      </w:r>
      <w:r w:rsidR="00744A1C">
        <w:rPr>
          <w:rtl/>
          <w:lang w:bidi="fa-IR"/>
        </w:rPr>
        <w:t xml:space="preserve">العقول ، ص 49 ، عن النبيّ </w:t>
      </w:r>
      <w:r w:rsidR="00024D6D" w:rsidRPr="00024D6D">
        <w:rPr>
          <w:rStyle w:val="libFootnoteAlaemChar"/>
          <w:rtl/>
        </w:rPr>
        <w:t>صلى‌الله‌عليه‌وآله</w:t>
      </w:r>
      <w:r w:rsidR="00D10E3C">
        <w:rPr>
          <w:rtl/>
          <w:lang w:bidi="fa-IR"/>
        </w:rPr>
        <w:t xml:space="preserve"> </w:t>
      </w:r>
      <w:r>
        <w:rPr>
          <w:rFonts w:hint="cs"/>
          <w:rtl/>
          <w:lang w:bidi="fa-IR"/>
        </w:rPr>
        <w:t>.</w:t>
      </w:r>
      <w:r w:rsidR="00744A1C" w:rsidRPr="00C24F9C">
        <w:rPr>
          <w:rStyle w:val="libFootnoteBoldChar"/>
          <w:rtl/>
        </w:rPr>
        <w:t>الوافي</w:t>
      </w:r>
      <w:r w:rsidR="00744A1C">
        <w:rPr>
          <w:rtl/>
          <w:lang w:bidi="fa-IR"/>
        </w:rPr>
        <w:t xml:space="preserve"> ، ج 17 ، ص 37 ، ح 16824 ؛ </w:t>
      </w:r>
      <w:r w:rsidR="00744A1C" w:rsidRPr="00C24F9C">
        <w:rPr>
          <w:rStyle w:val="libFootnoteBoldChar"/>
          <w:rtl/>
        </w:rPr>
        <w:t>الوسائل</w:t>
      </w:r>
      <w:r w:rsidR="00744A1C">
        <w:rPr>
          <w:rtl/>
          <w:lang w:bidi="fa-IR"/>
        </w:rPr>
        <w:t xml:space="preserve"> ، ج 17 ، ص 29 ، ح 21897.</w:t>
      </w:r>
    </w:p>
    <w:tbl>
      <w:tblPr>
        <w:tblStyle w:val="TableGrid"/>
        <w:bidiVisual/>
        <w:tblW w:w="0" w:type="auto"/>
        <w:tblLook w:val="04A0" w:firstRow="1" w:lastRow="0" w:firstColumn="1" w:lastColumn="0" w:noHBand="0" w:noVBand="1"/>
      </w:tblPr>
      <w:tblGrid>
        <w:gridCol w:w="4006"/>
        <w:gridCol w:w="4006"/>
      </w:tblGrid>
      <w:tr w:rsidR="00537FCD" w:rsidTr="00537FCD">
        <w:tc>
          <w:tcPr>
            <w:tcW w:w="4006" w:type="dxa"/>
          </w:tcPr>
          <w:p w:rsidR="00537FCD" w:rsidRDefault="00537FCD" w:rsidP="00D10E3C">
            <w:pPr>
              <w:pStyle w:val="libFootnote0"/>
              <w:rPr>
                <w:rtl/>
                <w:lang w:bidi="fa-IR"/>
              </w:rPr>
            </w:pPr>
            <w:r>
              <w:rPr>
                <w:rtl/>
                <w:lang w:bidi="fa-IR"/>
              </w:rPr>
              <w:t>(1). في « ط » : « في قوله ».</w:t>
            </w:r>
          </w:p>
        </w:tc>
        <w:tc>
          <w:tcPr>
            <w:tcW w:w="4006" w:type="dxa"/>
          </w:tcPr>
          <w:p w:rsidR="00537FCD" w:rsidRDefault="00537FCD" w:rsidP="00D10E3C">
            <w:pPr>
              <w:pStyle w:val="libFootnote0"/>
              <w:rPr>
                <w:rtl/>
                <w:lang w:bidi="fa-IR"/>
              </w:rPr>
            </w:pPr>
            <w:r>
              <w:rPr>
                <w:rtl/>
                <w:lang w:bidi="fa-IR"/>
              </w:rPr>
              <w:t>(2). البقرة (2) : 201.</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537FCD">
        <w:rPr>
          <w:rtl/>
        </w:rPr>
        <w:t>الفقيه</w:t>
      </w:r>
      <w:r w:rsidR="00744A1C">
        <w:rPr>
          <w:rtl/>
          <w:lang w:bidi="fa-IR"/>
        </w:rPr>
        <w:t xml:space="preserve"> والمعاني : + « والسعة في الرزق ».</w:t>
      </w:r>
    </w:p>
    <w:p w:rsidR="00744A1C" w:rsidRDefault="00E378DD" w:rsidP="00E378DD">
      <w:pPr>
        <w:pStyle w:val="libFootnote0"/>
        <w:rPr>
          <w:lang w:bidi="fa-IR"/>
        </w:rPr>
      </w:pPr>
      <w:r>
        <w:rPr>
          <w:rtl/>
          <w:lang w:bidi="fa-IR"/>
        </w:rPr>
        <w:t>(4).</w:t>
      </w:r>
      <w:r w:rsidR="00537FCD">
        <w:rPr>
          <w:rtl/>
          <w:lang w:bidi="fa-IR"/>
        </w:rPr>
        <w:t xml:space="preserve"> الم</w:t>
      </w:r>
      <w:r w:rsidR="00537FCD">
        <w:rPr>
          <w:rFonts w:hint="cs"/>
          <w:rtl/>
          <w:lang w:bidi="fa-IR"/>
        </w:rPr>
        <w:t>ـَ</w:t>
      </w:r>
      <w:r w:rsidR="00537FCD">
        <w:rPr>
          <w:rtl/>
          <w:lang w:bidi="fa-IR"/>
        </w:rPr>
        <w:t>عاش والم</w:t>
      </w:r>
      <w:r w:rsidR="00537FCD">
        <w:rPr>
          <w:rFonts w:hint="cs"/>
          <w:rtl/>
          <w:lang w:bidi="fa-IR"/>
        </w:rPr>
        <w:t>ـَ</w:t>
      </w:r>
      <w:r w:rsidR="00537FCD">
        <w:rPr>
          <w:rtl/>
          <w:lang w:bidi="fa-IR"/>
        </w:rPr>
        <w:t>عيش والم</w:t>
      </w:r>
      <w:r w:rsidR="00537FCD">
        <w:rPr>
          <w:rFonts w:hint="cs"/>
          <w:rtl/>
          <w:lang w:bidi="fa-IR"/>
        </w:rPr>
        <w:t>ـَ</w:t>
      </w:r>
      <w:r w:rsidR="00744A1C">
        <w:rPr>
          <w:rtl/>
          <w:lang w:bidi="fa-IR"/>
        </w:rPr>
        <w:t xml:space="preserve">عيشة : ما يُعاش به. </w:t>
      </w:r>
      <w:r w:rsidR="00744A1C" w:rsidRPr="00877682">
        <w:rPr>
          <w:rStyle w:val="libFootnoteBoldChar"/>
          <w:rtl/>
        </w:rPr>
        <w:t>لسان العرب</w:t>
      </w:r>
      <w:r w:rsidR="00744A1C">
        <w:rPr>
          <w:rtl/>
          <w:lang w:bidi="fa-IR"/>
        </w:rPr>
        <w:t xml:space="preserve"> ، ج 6 ، ص 321 ( عيش ).</w:t>
      </w:r>
    </w:p>
    <w:p w:rsidR="00744A1C" w:rsidRDefault="00E378DD" w:rsidP="00E378DD">
      <w:pPr>
        <w:pStyle w:val="libFootnote0"/>
        <w:rPr>
          <w:lang w:bidi="fa-IR"/>
        </w:rPr>
      </w:pPr>
      <w:r>
        <w:rPr>
          <w:rtl/>
          <w:lang w:bidi="fa-IR"/>
        </w:rPr>
        <w:t>(5).</w:t>
      </w:r>
      <w:r w:rsidR="00744A1C">
        <w:rPr>
          <w:rtl/>
          <w:lang w:bidi="fa-IR"/>
        </w:rPr>
        <w:t xml:space="preserve"> الخُلُق والخُلْق : الدين ، والطبع ، والسجيّة ، وحقيقته أنّه لصورة الإنسان الباطنة - وهي نفسه وأوصافها ومعانيها المختصّة بمنزلة الخَلْق لصورته الظاهرة وأوصافها ومعانيها ، ولهما أوصاف حسنة وقبيحة. </w:t>
      </w:r>
      <w:r w:rsidR="00744A1C" w:rsidRPr="00877682">
        <w:rPr>
          <w:rStyle w:val="libFootnoteBoldChar"/>
          <w:rtl/>
        </w:rPr>
        <w:t>النهاية</w:t>
      </w:r>
      <w:r w:rsidR="00744A1C">
        <w:rPr>
          <w:rtl/>
          <w:lang w:bidi="fa-IR"/>
        </w:rPr>
        <w:t xml:space="preserve"> ، ج 2 ، ص 70 ( خلق ).</w:t>
      </w:r>
    </w:p>
    <w:p w:rsidR="00744A1C" w:rsidRDefault="00E378DD" w:rsidP="00E378DD">
      <w:pPr>
        <w:pStyle w:val="libFootnote0"/>
        <w:rPr>
          <w:lang w:bidi="fa-IR"/>
        </w:rPr>
      </w:pPr>
      <w:r>
        <w:rPr>
          <w:rtl/>
          <w:lang w:bidi="fa-IR"/>
        </w:rPr>
        <w:t>(6).</w:t>
      </w:r>
      <w:r w:rsidR="00744A1C">
        <w:rPr>
          <w:rtl/>
          <w:lang w:bidi="fa-IR"/>
        </w:rPr>
        <w:t xml:space="preserve"> </w:t>
      </w:r>
      <w:r w:rsidR="00744A1C" w:rsidRPr="00610FB4">
        <w:rPr>
          <w:rStyle w:val="libFootnoteBoldChar"/>
          <w:rtl/>
        </w:rPr>
        <w:t>معاني الأخبار</w:t>
      </w:r>
      <w:r w:rsidR="00744A1C">
        <w:rPr>
          <w:rtl/>
          <w:lang w:bidi="fa-IR"/>
        </w:rPr>
        <w:t xml:space="preserve"> ، ص 174 ، ح 1 ، بسنده عن أحمد بن محمّد. وفي </w:t>
      </w:r>
      <w:r w:rsidR="00744A1C" w:rsidRPr="00C24F9C">
        <w:rPr>
          <w:rStyle w:val="libFootnoteBoldChar"/>
          <w:rtl/>
        </w:rPr>
        <w:t>الفقيه</w:t>
      </w:r>
      <w:r w:rsidR="00744A1C">
        <w:rPr>
          <w:rtl/>
          <w:lang w:bidi="fa-IR"/>
        </w:rPr>
        <w:t xml:space="preserve"> ، ج 3 ، ص 156 ، ح 3566 ؛ </w:t>
      </w:r>
      <w:r w:rsidR="00744A1C" w:rsidRPr="0061079A">
        <w:rPr>
          <w:rStyle w:val="libFootnoteBoldChar"/>
          <w:rtl/>
        </w:rPr>
        <w:t>والتهذيب</w:t>
      </w:r>
      <w:r w:rsidR="00744A1C">
        <w:rPr>
          <w:rtl/>
          <w:lang w:bidi="fa-IR"/>
        </w:rPr>
        <w:t xml:space="preserve"> ، ج 6 ، ص 327 ، ح 900 ، معلّقاً عن الحسن بن محبوب. </w:t>
      </w:r>
      <w:r w:rsidR="00744A1C" w:rsidRPr="00A914B5">
        <w:rPr>
          <w:rStyle w:val="libFootnoteBoldChar"/>
          <w:rtl/>
        </w:rPr>
        <w:t>تفسير العيّاشي</w:t>
      </w:r>
      <w:r w:rsidR="00744A1C">
        <w:rPr>
          <w:rtl/>
          <w:lang w:bidi="fa-IR"/>
        </w:rPr>
        <w:t xml:space="preserve"> ، ج 1 ، ص 98 ، ح 274 ، عن عبد الأعلى ، عن أبي عبد الله </w:t>
      </w:r>
      <w:r w:rsidR="0061079A" w:rsidRPr="0061079A">
        <w:rPr>
          <w:rStyle w:val="libFootnoteAlaemChar"/>
          <w:rtl/>
        </w:rPr>
        <w:t>عليه‌السلام</w:t>
      </w:r>
      <w:r w:rsidR="00D10E3C">
        <w:rPr>
          <w:rtl/>
          <w:lang w:bidi="fa-IR"/>
        </w:rPr>
        <w:t xml:space="preserve"> </w:t>
      </w:r>
      <w:r w:rsidR="00537FCD">
        <w:rPr>
          <w:rFonts w:hint="cs"/>
          <w:rtl/>
          <w:lang w:bidi="fa-IR"/>
        </w:rPr>
        <w:t>.</w:t>
      </w:r>
      <w:r w:rsidR="00744A1C" w:rsidRPr="00C24F9C">
        <w:rPr>
          <w:rStyle w:val="libFootnoteBoldChar"/>
          <w:rtl/>
        </w:rPr>
        <w:t>الوافي</w:t>
      </w:r>
      <w:r w:rsidR="00744A1C">
        <w:rPr>
          <w:rtl/>
          <w:lang w:bidi="fa-IR"/>
        </w:rPr>
        <w:t xml:space="preserve"> ، ج 17 ، ص 37 ، ح 16825 ؛ </w:t>
      </w:r>
      <w:r w:rsidR="00744A1C" w:rsidRPr="00C24F9C">
        <w:rPr>
          <w:rStyle w:val="libFootnoteBoldChar"/>
          <w:rtl/>
        </w:rPr>
        <w:t>الوسائل</w:t>
      </w:r>
      <w:r w:rsidR="00744A1C">
        <w:rPr>
          <w:rtl/>
          <w:lang w:bidi="fa-IR"/>
        </w:rPr>
        <w:t xml:space="preserve"> ، ج 17 ، ص 9 ، ذيل ح 21843.</w:t>
      </w:r>
    </w:p>
    <w:tbl>
      <w:tblPr>
        <w:tblStyle w:val="TableGrid"/>
        <w:bidiVisual/>
        <w:tblW w:w="0" w:type="auto"/>
        <w:tblLook w:val="04A0" w:firstRow="1" w:lastRow="0" w:firstColumn="1" w:lastColumn="0" w:noHBand="0" w:noVBand="1"/>
      </w:tblPr>
      <w:tblGrid>
        <w:gridCol w:w="4006"/>
        <w:gridCol w:w="4006"/>
      </w:tblGrid>
      <w:tr w:rsidR="00537FCD" w:rsidTr="00537FCD">
        <w:tc>
          <w:tcPr>
            <w:tcW w:w="4006" w:type="dxa"/>
          </w:tcPr>
          <w:p w:rsidR="00537FCD" w:rsidRDefault="00537FCD" w:rsidP="00E378DD">
            <w:pPr>
              <w:pStyle w:val="libFootnote0"/>
              <w:rPr>
                <w:rtl/>
                <w:lang w:bidi="fa-IR"/>
              </w:rPr>
            </w:pPr>
            <w:r>
              <w:rPr>
                <w:rtl/>
                <w:lang w:bidi="fa-IR"/>
              </w:rPr>
              <w:t>(7). في « بح » : « ذاك ».</w:t>
            </w:r>
          </w:p>
        </w:tc>
        <w:tc>
          <w:tcPr>
            <w:tcW w:w="4006" w:type="dxa"/>
          </w:tcPr>
          <w:p w:rsidR="00537FCD" w:rsidRDefault="00537FCD" w:rsidP="00E378DD">
            <w:pPr>
              <w:pStyle w:val="libFootnote0"/>
              <w:rPr>
                <w:rtl/>
                <w:lang w:bidi="fa-IR"/>
              </w:rPr>
            </w:pPr>
            <w:r>
              <w:rPr>
                <w:rtl/>
                <w:lang w:bidi="fa-IR"/>
              </w:rPr>
              <w:t xml:space="preserve">(8). في « بح » </w:t>
            </w:r>
            <w:r w:rsidRPr="0068173C">
              <w:rPr>
                <w:rtl/>
              </w:rPr>
              <w:t>والوسائل</w:t>
            </w:r>
            <w:r>
              <w:rPr>
                <w:rtl/>
                <w:lang w:bidi="fa-IR"/>
              </w:rPr>
              <w:t xml:space="preserve"> : « فقال ».</w:t>
            </w:r>
          </w:p>
        </w:tc>
      </w:tr>
    </w:tbl>
    <w:p w:rsidR="00144FA6" w:rsidRDefault="00E378DD" w:rsidP="00E378DD">
      <w:pPr>
        <w:pStyle w:val="libFootnote0"/>
        <w:rPr>
          <w:rtl/>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 « لعلّه ا</w:t>
      </w:r>
      <w:r w:rsidR="0068173C">
        <w:rPr>
          <w:rFonts w:hint="cs"/>
          <w:rtl/>
          <w:lang w:bidi="fa-IR"/>
        </w:rPr>
        <w:t>ُ</w:t>
      </w:r>
      <w:r w:rsidR="00744A1C">
        <w:rPr>
          <w:rtl/>
          <w:lang w:bidi="fa-IR"/>
        </w:rPr>
        <w:t xml:space="preserve">ريد به أنّ الابتلاء بالمعاش يستلزم تكاليف شاقّة قلّما يتيسّر الخروج عن عهدها ، فيقع فيها التقصير المبعّد عن الله جلّ شأنه ». وفي </w:t>
      </w:r>
      <w:r w:rsidR="00744A1C" w:rsidRPr="00877682">
        <w:rPr>
          <w:rStyle w:val="libFootnoteBoldChar"/>
          <w:rtl/>
        </w:rPr>
        <w:t>مرآة العقول</w:t>
      </w:r>
      <w:r w:rsidR="00744A1C">
        <w:rPr>
          <w:rtl/>
          <w:lang w:bidi="fa-IR"/>
        </w:rPr>
        <w:t xml:space="preserve"> ، ج 19 ، ص 13 : « لعلّ المعنى أنّ الابتلاء بالمعاش وطلبه يصير بالخاصّيّة سبباً لعدم تيسّر هذا الأمر ، وإن كان أفضل في الآخرة ، أو أنّ الابتلاء بالمعاش يصير سبباً لارتكاب المحرّمات والشبهات والبعد عن الله تعالى ، فلذا حرّموا ذلك. والأوّل أوفق بما ورد في فضل هذه الا</w:t>
      </w:r>
      <w:r w:rsidR="0068173C">
        <w:rPr>
          <w:rFonts w:hint="cs"/>
          <w:rtl/>
          <w:lang w:bidi="fa-IR"/>
        </w:rPr>
        <w:t>ُ</w:t>
      </w:r>
      <w:r w:rsidR="00744A1C">
        <w:rPr>
          <w:rtl/>
          <w:lang w:bidi="fa-IR"/>
        </w:rPr>
        <w:t>مّة على سائر الا</w:t>
      </w:r>
      <w:r w:rsidR="0068173C">
        <w:rPr>
          <w:rFonts w:hint="cs"/>
          <w:rtl/>
          <w:lang w:bidi="fa-IR"/>
        </w:rPr>
        <w:t>ُ</w:t>
      </w:r>
      <w:r w:rsidR="0068173C">
        <w:rPr>
          <w:rtl/>
          <w:lang w:bidi="fa-IR"/>
        </w:rPr>
        <w:t>مم</w:t>
      </w:r>
      <w:r w:rsidR="00744A1C">
        <w:rPr>
          <w:rtl/>
          <w:lang w:bidi="fa-IR"/>
        </w:rPr>
        <w:t>». وفي هامش المطبوع : « أي كفاهم الله - عزّ وجلّ - معاشهم ؛ لإنزاله المائدة عليهم ، أو</w:t>
      </w:r>
      <w:r w:rsidR="0068173C">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8359 / 4. عِدَّةٌ مِنْ أَصْحَابِنَا ، عَنْ سَهْلِ بْنِ زِيَادٍ ، عَنِ ابْنِ فَضَّالٍ ، عَنْ ثَعْلَبَةَ بْنِ مَيْمُونٍ ، عَنْ عَبْدِ الْأَعْلى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سَلُوا </w:t>
      </w:r>
      <w:r w:rsidRPr="00D10E3C">
        <w:rPr>
          <w:rStyle w:val="libFootnotenumChar"/>
          <w:rtl/>
        </w:rPr>
        <w:t>(1)</w:t>
      </w:r>
      <w:r>
        <w:rPr>
          <w:rtl/>
          <w:lang w:bidi="fa-IR"/>
        </w:rPr>
        <w:t xml:space="preserve"> اللهَ الْغِنى فِي الدُّنْيَا وَالْعَافِيَةَ ، وَفِي الْآخِرَةِ الْمَغْفِرَةَ وَالْجَنَّةَ ». </w:t>
      </w:r>
      <w:r w:rsidRPr="00D10E3C">
        <w:rPr>
          <w:rStyle w:val="libFootnotenumChar"/>
          <w:rtl/>
        </w:rPr>
        <w:t>(2)</w:t>
      </w:r>
    </w:p>
    <w:p w:rsidR="00144FA6" w:rsidRDefault="00744A1C" w:rsidP="00744A1C">
      <w:pPr>
        <w:pStyle w:val="libNormal"/>
        <w:rPr>
          <w:rtl/>
          <w:lang w:bidi="fa-IR"/>
        </w:rPr>
      </w:pPr>
      <w:r>
        <w:rPr>
          <w:rtl/>
          <w:lang w:bidi="fa-IR"/>
        </w:rPr>
        <w:t xml:space="preserve">8360 / 5. عِدَّةٌ مِنْ أَصْحَابِنَا ، عَنْ أَحْمَدَ بْنِ مُحَمَّدِ بْنِ عِيسى ، عَنْ أَبِي عَبْدِ اللهِ ، عَنْ </w:t>
      </w:r>
      <w:r w:rsidRPr="00D10E3C">
        <w:rPr>
          <w:rStyle w:val="libFootnotenumChar"/>
          <w:rtl/>
        </w:rPr>
        <w:t>(3)</w:t>
      </w:r>
      <w:r>
        <w:rPr>
          <w:rtl/>
          <w:lang w:bidi="fa-IR"/>
        </w:rPr>
        <w:t xml:space="preserve"> عَبْدِ الرَّحْمنِ بْنِ مُحَمَّدٍ ، عَنِ الْحَارِثِ بْنِ بَهْرَامَ ، عَنْ عَمْرِو بْنِ جُمَيْعٍ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لَا خَيْرَ فِي مَنْ لَايُحِبُّ جَمْعَ الْمَالِ مِنْ حَلَالٍ </w:t>
      </w:r>
      <w:r w:rsidRPr="00D10E3C">
        <w:rPr>
          <w:rStyle w:val="libFootnotenumChar"/>
          <w:rtl/>
        </w:rPr>
        <w:t>(4)</w:t>
      </w:r>
      <w:r>
        <w:rPr>
          <w:rtl/>
          <w:lang w:bidi="fa-IR"/>
        </w:rPr>
        <w:t xml:space="preserve"> يَكُفُّ بِهِ وَجْهَهُ ، وَيَقْضِي بِهِ دَيْنَهُ ، وَيَصِلُ بِهِ رَحِمَهُ </w:t>
      </w:r>
      <w:r w:rsidRPr="00D10E3C">
        <w:rPr>
          <w:rStyle w:val="libFootnotenumChar"/>
          <w:rtl/>
        </w:rPr>
        <w:t>(5)</w:t>
      </w:r>
      <w:r>
        <w:rPr>
          <w:rtl/>
          <w:lang w:bidi="fa-IR"/>
        </w:rPr>
        <w:t xml:space="preserve"> ». </w:t>
      </w:r>
      <w:r w:rsidRPr="00D10E3C">
        <w:rPr>
          <w:rStyle w:val="libFootnotenumChar"/>
          <w:rtl/>
        </w:rPr>
        <w:t>(6)</w:t>
      </w:r>
    </w:p>
    <w:p w:rsidR="00744A1C" w:rsidRDefault="00744A1C" w:rsidP="00D10E3C">
      <w:pPr>
        <w:pStyle w:val="libLine"/>
        <w:rPr>
          <w:lang w:bidi="fa-IR"/>
        </w:rPr>
      </w:pPr>
      <w:r>
        <w:rPr>
          <w:rtl/>
          <w:lang w:bidi="fa-IR"/>
        </w:rPr>
        <w:t>____________________</w:t>
      </w:r>
    </w:p>
    <w:p w:rsidR="00744A1C" w:rsidRDefault="0068173C" w:rsidP="00D10E3C">
      <w:pPr>
        <w:pStyle w:val="libFootnote0"/>
        <w:rPr>
          <w:lang w:bidi="fa-IR"/>
        </w:rPr>
      </w:pPr>
      <w:r>
        <w:rPr>
          <w:rFonts w:hint="cs"/>
          <w:rtl/>
          <w:lang w:bidi="fa-IR"/>
        </w:rPr>
        <w:t xml:space="preserve">= </w:t>
      </w:r>
      <w:r w:rsidR="00744A1C">
        <w:rPr>
          <w:rtl/>
          <w:lang w:bidi="fa-IR"/>
        </w:rPr>
        <w:t>لأنّ الله تعالى جعلهم أغنياء ، فلم يصرفوا أعمارهم في طلب المال ، بل صرفوا أعمارهم في تحصيل المعارف ، واشتغلوا بالعبادة ، فصاروا يمشون على الماء بخلاف هؤلاء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327 ، ح 901 ، معلّقاً عن أحمد بن أبي عبد الله </w:t>
      </w:r>
      <w:r w:rsidR="0068173C">
        <w:rPr>
          <w:rFonts w:hint="cs"/>
          <w:rtl/>
          <w:lang w:bidi="fa-IR"/>
        </w:rPr>
        <w:t>.</w:t>
      </w:r>
      <w:r w:rsidR="00744A1C" w:rsidRPr="00C24F9C">
        <w:rPr>
          <w:rStyle w:val="libFootnoteBoldChar"/>
          <w:rtl/>
        </w:rPr>
        <w:t>الوافي</w:t>
      </w:r>
      <w:r w:rsidR="00744A1C">
        <w:rPr>
          <w:rtl/>
          <w:lang w:bidi="fa-IR"/>
        </w:rPr>
        <w:t xml:space="preserve"> ، ج 17 ، ص 38 ، ح 16826 ؛ </w:t>
      </w:r>
      <w:r w:rsidR="00744A1C" w:rsidRPr="00C24F9C">
        <w:rPr>
          <w:rStyle w:val="libFootnoteBoldChar"/>
          <w:rtl/>
        </w:rPr>
        <w:t>الوسائل</w:t>
      </w:r>
      <w:r w:rsidR="00744A1C">
        <w:rPr>
          <w:rtl/>
          <w:lang w:bidi="fa-IR"/>
        </w:rPr>
        <w:t xml:space="preserve"> ، ج 17 ، ص 22 ، ح 21881 ؛ </w:t>
      </w:r>
      <w:r w:rsidR="00744A1C" w:rsidRPr="0061079A">
        <w:rPr>
          <w:rStyle w:val="libFootnoteBoldChar"/>
          <w:rtl/>
        </w:rPr>
        <w:t>البحار</w:t>
      </w:r>
      <w:r w:rsidR="00744A1C">
        <w:rPr>
          <w:rtl/>
          <w:lang w:bidi="fa-IR"/>
        </w:rPr>
        <w:t xml:space="preserve"> ، ج 14 ، ص 278 ، ح 9.</w:t>
      </w:r>
    </w:p>
    <w:p w:rsidR="00744A1C" w:rsidRDefault="00D10E3C" w:rsidP="00D10E3C">
      <w:pPr>
        <w:pStyle w:val="libFootnote0"/>
        <w:rPr>
          <w:lang w:bidi="fa-IR"/>
        </w:rPr>
      </w:pPr>
      <w:r>
        <w:rPr>
          <w:rtl/>
          <w:lang w:bidi="fa-IR"/>
        </w:rPr>
        <w:t>(1).</w:t>
      </w:r>
      <w:r w:rsidR="00744A1C">
        <w:rPr>
          <w:rtl/>
          <w:lang w:bidi="fa-IR"/>
        </w:rPr>
        <w:t xml:space="preserve"> في « ى ، بس » </w:t>
      </w:r>
      <w:r w:rsidR="00744A1C" w:rsidRPr="0068173C">
        <w:rPr>
          <w:rtl/>
        </w:rPr>
        <w:t>والوسائل</w:t>
      </w:r>
      <w:r w:rsidR="00744A1C">
        <w:rPr>
          <w:rtl/>
          <w:lang w:bidi="fa-IR"/>
        </w:rPr>
        <w:t xml:space="preserve"> : « اسألوا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17 ، ص 38 ، ح 16827 ؛ </w:t>
      </w:r>
      <w:r w:rsidR="00744A1C" w:rsidRPr="00C24F9C">
        <w:rPr>
          <w:rStyle w:val="libFootnoteBoldChar"/>
          <w:rtl/>
        </w:rPr>
        <w:t>الوسائل</w:t>
      </w:r>
      <w:r w:rsidR="00744A1C">
        <w:rPr>
          <w:rtl/>
          <w:lang w:bidi="fa-IR"/>
        </w:rPr>
        <w:t xml:space="preserve"> ، ج 17 ، ص 33 ، ح 21909.</w:t>
      </w:r>
    </w:p>
    <w:p w:rsidR="00744A1C" w:rsidRDefault="00E378DD" w:rsidP="00E378DD">
      <w:pPr>
        <w:pStyle w:val="libFootnote0"/>
        <w:rPr>
          <w:lang w:bidi="fa-IR"/>
        </w:rPr>
      </w:pPr>
      <w:r>
        <w:rPr>
          <w:rtl/>
          <w:lang w:bidi="fa-IR"/>
        </w:rPr>
        <w:t>(3).</w:t>
      </w:r>
      <w:r w:rsidR="00744A1C">
        <w:rPr>
          <w:rtl/>
          <w:lang w:bidi="fa-IR"/>
        </w:rPr>
        <w:t xml:space="preserve"> في « ى » : « ابن ». وفي « ط ، بح ، بخ ، بس ، جد » : - « عن ».</w:t>
      </w:r>
    </w:p>
    <w:p w:rsidR="00744A1C" w:rsidRDefault="00744A1C" w:rsidP="00D10E3C">
      <w:pPr>
        <w:pStyle w:val="libFootnote0"/>
        <w:rPr>
          <w:lang w:bidi="fa-IR"/>
        </w:rPr>
      </w:pPr>
      <w:r>
        <w:rPr>
          <w:rtl/>
          <w:lang w:bidi="fa-IR"/>
        </w:rPr>
        <w:t xml:space="preserve">والظاهر أنّ الصواب ما ورد في « بف ، جت » والمطبوع من « أبي عبدالله عن » ، وأنّ المراد من أبي عبد الله هو أبو عبد الله البرقي والد أحمد بن أبي عبد الله ؛ فقد تكرّرت في الأسناد رواية أحمد بن محمّد [ بن عيسى ] عن أبي عبد الله البرقي. راجع : </w:t>
      </w:r>
      <w:r w:rsidRPr="0061079A">
        <w:rPr>
          <w:rStyle w:val="libFootnoteBoldChar"/>
          <w:rtl/>
        </w:rPr>
        <w:t>معجم رجال الحديث</w:t>
      </w:r>
      <w:r>
        <w:rPr>
          <w:rtl/>
          <w:lang w:bidi="fa-IR"/>
        </w:rPr>
        <w:t xml:space="preserve"> ، ج 2 ، ص 455 وص 653.</w:t>
      </w:r>
    </w:p>
    <w:p w:rsidR="00744A1C" w:rsidRDefault="00744A1C" w:rsidP="00D10E3C">
      <w:pPr>
        <w:pStyle w:val="libFootnote0"/>
        <w:rPr>
          <w:lang w:bidi="fa-IR"/>
        </w:rPr>
      </w:pPr>
      <w:r>
        <w:rPr>
          <w:rtl/>
          <w:lang w:bidi="fa-IR"/>
        </w:rPr>
        <w:t xml:space="preserve">ويؤيّد ذلك أنّ الخبر ورد في </w:t>
      </w:r>
      <w:r w:rsidRPr="0068173C">
        <w:rPr>
          <w:rStyle w:val="libFootnoteBoldChar"/>
          <w:rtl/>
        </w:rPr>
        <w:t>ثواب الأعمال</w:t>
      </w:r>
      <w:r>
        <w:rPr>
          <w:rtl/>
          <w:lang w:bidi="fa-IR"/>
        </w:rPr>
        <w:t xml:space="preserve"> ، ص 215 ، ح 1 ، بسنده عن أحمد بن أبي عبد الله ، عن أبي عبيدة ، عن عبد الرحمن بن محمّد</w:t>
      </w:r>
      <w:r w:rsidR="0068173C">
        <w:rPr>
          <w:rtl/>
          <w:lang w:bidi="fa-IR"/>
        </w:rPr>
        <w:t xml:space="preserve"> ، لكنّ الخبر نقله العل</w:t>
      </w:r>
      <w:r w:rsidR="0068173C">
        <w:rPr>
          <w:rFonts w:hint="cs"/>
          <w:rtl/>
          <w:lang w:bidi="fa-IR"/>
        </w:rPr>
        <w:t>ّ</w:t>
      </w:r>
      <w:r w:rsidR="0068173C">
        <w:rPr>
          <w:rtl/>
          <w:lang w:bidi="fa-IR"/>
        </w:rPr>
        <w:t>ا</w:t>
      </w:r>
      <w:r>
        <w:rPr>
          <w:rtl/>
          <w:lang w:bidi="fa-IR"/>
        </w:rPr>
        <w:t xml:space="preserve">مة المجلسي في </w:t>
      </w:r>
      <w:r w:rsidRPr="0068173C">
        <w:rPr>
          <w:rtl/>
        </w:rPr>
        <w:t>البحار</w:t>
      </w:r>
      <w:r>
        <w:rPr>
          <w:rtl/>
          <w:lang w:bidi="fa-IR"/>
        </w:rPr>
        <w:t xml:space="preserve"> ، ج 100 ، ص 7 ، ح 30 ، من </w:t>
      </w:r>
      <w:r w:rsidRPr="0068173C">
        <w:rPr>
          <w:rStyle w:val="libFootnoteBoldChar"/>
          <w:rtl/>
        </w:rPr>
        <w:t>ثواب الأعمال</w:t>
      </w:r>
      <w:r>
        <w:rPr>
          <w:rtl/>
          <w:lang w:bidi="fa-IR"/>
        </w:rPr>
        <w:t xml:space="preserve"> وفيه : البرقي عن أبيه عن عبد الرحمن بن محمّد ، ولازم ذلك وجود أبي عبد الله قبل « عن عبد </w:t>
      </w:r>
      <w:r w:rsidR="0068173C">
        <w:rPr>
          <w:rtl/>
          <w:lang w:bidi="fa-IR"/>
        </w:rPr>
        <w:t>الرحمن بن محمّد » في نسخة العل</w:t>
      </w:r>
      <w:r w:rsidR="0068173C">
        <w:rPr>
          <w:rFonts w:hint="cs"/>
          <w:rtl/>
          <w:lang w:bidi="fa-IR"/>
        </w:rPr>
        <w:t>ّ</w:t>
      </w:r>
      <w:r w:rsidR="0068173C">
        <w:rPr>
          <w:rtl/>
          <w:lang w:bidi="fa-IR"/>
        </w:rPr>
        <w:t>ا</w:t>
      </w:r>
      <w:r>
        <w:rPr>
          <w:rtl/>
          <w:lang w:bidi="fa-IR"/>
        </w:rPr>
        <w:t xml:space="preserve">مة المجلسي </w:t>
      </w:r>
      <w:r w:rsidR="0068173C" w:rsidRPr="0068173C">
        <w:rPr>
          <w:rStyle w:val="libFootnoteAlaemChar"/>
          <w:rtl/>
        </w:rPr>
        <w:t>قدس‌سره</w:t>
      </w:r>
      <w:r>
        <w:rPr>
          <w:rtl/>
          <w:lang w:bidi="fa-IR"/>
        </w:rPr>
        <w:t xml:space="preserve"> ظاهراً.</w:t>
      </w:r>
    </w:p>
    <w:tbl>
      <w:tblPr>
        <w:tblStyle w:val="TableGrid"/>
        <w:bidiVisual/>
        <w:tblW w:w="0" w:type="auto"/>
        <w:tblLook w:val="04A0" w:firstRow="1" w:lastRow="0" w:firstColumn="1" w:lastColumn="0" w:noHBand="0" w:noVBand="1"/>
      </w:tblPr>
      <w:tblGrid>
        <w:gridCol w:w="4006"/>
        <w:gridCol w:w="4006"/>
      </w:tblGrid>
      <w:tr w:rsidR="0068173C" w:rsidTr="0068173C">
        <w:tc>
          <w:tcPr>
            <w:tcW w:w="4006" w:type="dxa"/>
          </w:tcPr>
          <w:p w:rsidR="0068173C" w:rsidRDefault="0068173C" w:rsidP="00E378DD">
            <w:pPr>
              <w:pStyle w:val="libFootnote0"/>
              <w:rPr>
                <w:rtl/>
                <w:lang w:bidi="fa-IR"/>
              </w:rPr>
            </w:pPr>
            <w:r>
              <w:rPr>
                <w:rtl/>
                <w:lang w:bidi="fa-IR"/>
              </w:rPr>
              <w:t xml:space="preserve">(4). في </w:t>
            </w:r>
            <w:r w:rsidRPr="0068173C">
              <w:rPr>
                <w:rtl/>
              </w:rPr>
              <w:t>التهذيب</w:t>
            </w:r>
            <w:r>
              <w:rPr>
                <w:rtl/>
                <w:lang w:bidi="fa-IR"/>
              </w:rPr>
              <w:t xml:space="preserve"> : - « من حلال ».</w:t>
            </w:r>
          </w:p>
        </w:tc>
        <w:tc>
          <w:tcPr>
            <w:tcW w:w="4006" w:type="dxa"/>
          </w:tcPr>
          <w:p w:rsidR="0068173C" w:rsidRDefault="0068173C" w:rsidP="00E378DD">
            <w:pPr>
              <w:pStyle w:val="libFootnote0"/>
              <w:rPr>
                <w:rtl/>
                <w:lang w:bidi="fa-IR"/>
              </w:rPr>
            </w:pPr>
            <w:r>
              <w:rPr>
                <w:rtl/>
                <w:lang w:bidi="fa-IR"/>
              </w:rPr>
              <w:t>(5). في ثواب الأعمال : - « ويصل به رحمه ».</w:t>
            </w:r>
          </w:p>
        </w:tc>
      </w:tr>
    </w:tbl>
    <w:p w:rsidR="00144FA6" w:rsidRDefault="00E378DD" w:rsidP="00E378DD">
      <w:pPr>
        <w:pStyle w:val="libFootnote0"/>
        <w:rPr>
          <w:rtl/>
          <w:lang w:bidi="fa-IR"/>
        </w:rPr>
      </w:pPr>
      <w:r>
        <w:rPr>
          <w:rtl/>
          <w:lang w:bidi="fa-IR"/>
        </w:rPr>
        <w:t>(6).</w:t>
      </w:r>
      <w:r w:rsidR="00744A1C">
        <w:rPr>
          <w:rtl/>
          <w:lang w:bidi="fa-IR"/>
        </w:rPr>
        <w:t xml:space="preserve"> </w:t>
      </w:r>
      <w:r w:rsidR="00744A1C" w:rsidRPr="00C24F9C">
        <w:rPr>
          <w:rStyle w:val="libFootnoteBoldChar"/>
          <w:rtl/>
        </w:rPr>
        <w:t>التهذيب</w:t>
      </w:r>
      <w:r w:rsidR="0068173C">
        <w:rPr>
          <w:rtl/>
          <w:lang w:bidi="fa-IR"/>
        </w:rPr>
        <w:t xml:space="preserve"> ، ج 7</w:t>
      </w:r>
      <w:r w:rsidR="00744A1C">
        <w:rPr>
          <w:rtl/>
          <w:lang w:bidi="fa-IR"/>
        </w:rPr>
        <w:t xml:space="preserve">، ص 4 ، ح 10 ، معلّقاً عن أحمد بن محمّد بن عيسى ، عن أبي </w:t>
      </w:r>
      <w:r w:rsidR="0068173C">
        <w:rPr>
          <w:rtl/>
          <w:lang w:bidi="fa-IR"/>
        </w:rPr>
        <w:t>عبد الله بن عبد الرحمن بن محمّد، عن الحارث بن عمرو</w:t>
      </w:r>
      <w:r w:rsidR="00744A1C">
        <w:rPr>
          <w:rtl/>
          <w:lang w:bidi="fa-IR"/>
        </w:rPr>
        <w:t xml:space="preserve">، من دون التصريح باسم المعصوم </w:t>
      </w:r>
      <w:r w:rsidR="0061079A" w:rsidRPr="0061079A">
        <w:rPr>
          <w:rStyle w:val="libFootnoteAlaemChar"/>
          <w:rtl/>
        </w:rPr>
        <w:t>عليه‌السلام</w:t>
      </w:r>
      <w:r w:rsidR="00744A1C">
        <w:rPr>
          <w:rtl/>
          <w:lang w:bidi="fa-IR"/>
        </w:rPr>
        <w:t xml:space="preserve"> . </w:t>
      </w:r>
      <w:r w:rsidR="00744A1C" w:rsidRPr="0068173C">
        <w:rPr>
          <w:rStyle w:val="libFootnoteBoldChar"/>
          <w:rtl/>
        </w:rPr>
        <w:t>ثواب الأعمال</w:t>
      </w:r>
      <w:r w:rsidR="00744A1C">
        <w:rPr>
          <w:rtl/>
          <w:lang w:bidi="fa-IR"/>
        </w:rPr>
        <w:t xml:space="preserve"> ، ص 215 ، ح 1 ، بسنده</w:t>
      </w:r>
      <w:r w:rsidR="0068173C">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8361 / 6. الْحُسَيْنُ بْنُ مُحَمَّدٍ </w:t>
      </w:r>
      <w:r w:rsidRPr="00D10E3C">
        <w:rPr>
          <w:rStyle w:val="libFootnotenumChar"/>
          <w:rtl/>
        </w:rPr>
        <w:t>(1)</w:t>
      </w:r>
      <w:r>
        <w:rPr>
          <w:rtl/>
          <w:lang w:bidi="fa-IR"/>
        </w:rPr>
        <w:t xml:space="preserve"> ، عَنْ جَعْفَرِ بْنِ مُحَمَّدٍ ، عَنِ الْقَاسِمِ بْنِ الرَّبِيعِ فِي وَصِيَّتِهِ لِلْمُفَضَّلِ </w:t>
      </w:r>
      <w:r w:rsidRPr="00D10E3C">
        <w:rPr>
          <w:rStyle w:val="libFootnotenumChar"/>
          <w:rtl/>
        </w:rPr>
        <w:t>(2)</w:t>
      </w:r>
      <w:r>
        <w:rPr>
          <w:rtl/>
          <w:lang w:bidi="fa-IR"/>
        </w:rPr>
        <w:t xml:space="preserve"> بْنِ عُمَرَ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اسْتَعِينُوا بِبَعْضِ هذِهِ عَلى هذِهِ ، وَلَا تَكُونُوا </w:t>
      </w:r>
      <w:r w:rsidRPr="00D10E3C">
        <w:rPr>
          <w:rStyle w:val="libFootnotenumChar"/>
          <w:rtl/>
        </w:rPr>
        <w:t>(3)</w:t>
      </w:r>
      <w:r>
        <w:rPr>
          <w:rtl/>
          <w:lang w:bidi="fa-IR"/>
        </w:rPr>
        <w:t xml:space="preserve"> كُلُولاً </w:t>
      </w:r>
      <w:r w:rsidRPr="00D10E3C">
        <w:rPr>
          <w:rStyle w:val="libFootnotenumChar"/>
          <w:rtl/>
        </w:rPr>
        <w:t>(4)</w:t>
      </w:r>
      <w:r>
        <w:rPr>
          <w:rtl/>
          <w:lang w:bidi="fa-IR"/>
        </w:rPr>
        <w:t xml:space="preserve"> عَلَى النَّاسِ ». </w:t>
      </w:r>
      <w:r w:rsidRPr="00D10E3C">
        <w:rPr>
          <w:rStyle w:val="libFootnotenumChar"/>
          <w:rtl/>
        </w:rPr>
        <w:t>(5)</w:t>
      </w:r>
    </w:p>
    <w:p w:rsidR="00144FA6" w:rsidRDefault="00744A1C" w:rsidP="00744A1C">
      <w:pPr>
        <w:pStyle w:val="libNormal"/>
        <w:rPr>
          <w:rtl/>
          <w:lang w:bidi="fa-IR"/>
        </w:rPr>
      </w:pPr>
      <w:r>
        <w:rPr>
          <w:rtl/>
          <w:lang w:bidi="fa-IR"/>
        </w:rPr>
        <w:t>8362 / 7. عَلِيُّ بْنُ مُحَمَّدِ بْنِ بُنْدَارَ ، عَنْ أَحْمَدَ بْنِ أَبِي عَبْدِ اللهِ ، عَنْ أَبِي الْخَزْرَجِ الْأَنْصَارِيِّ ، عَنْ عَلِيِّ بْنِ غُرَابٍ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17097C" w:rsidRPr="0017097C">
        <w:rPr>
          <w:rStyle w:val="libAlaemChar"/>
          <w:rtl/>
        </w:rPr>
        <w:t>صلى‌الله‌عليه‌وآله</w:t>
      </w:r>
      <w:r>
        <w:rPr>
          <w:rtl/>
          <w:lang w:bidi="fa-IR"/>
        </w:rPr>
        <w:t xml:space="preserve"> : مَلْعُونٌ </w:t>
      </w:r>
      <w:r w:rsidRPr="00D10E3C">
        <w:rPr>
          <w:rStyle w:val="libFootnotenumChar"/>
          <w:rtl/>
        </w:rPr>
        <w:t>(6)</w:t>
      </w:r>
      <w:r>
        <w:rPr>
          <w:rtl/>
          <w:lang w:bidi="fa-IR"/>
        </w:rPr>
        <w:t xml:space="preserve"> مَنْ أَلْقى كَلَّهُ عَلَى النَّاسِ</w:t>
      </w:r>
      <w:r w:rsidRPr="00D10E3C">
        <w:rPr>
          <w:rStyle w:val="libFootnotenumChar"/>
          <w:rtl/>
        </w:rPr>
        <w:t>(7)</w:t>
      </w:r>
      <w:r>
        <w:rPr>
          <w:rtl/>
          <w:lang w:bidi="fa-IR"/>
        </w:rPr>
        <w:t xml:space="preserve">». </w:t>
      </w:r>
      <w:r w:rsidRPr="00D10E3C">
        <w:rPr>
          <w:rStyle w:val="libFootnotenumChar"/>
          <w:rtl/>
        </w:rPr>
        <w:t>(8)</w:t>
      </w:r>
    </w:p>
    <w:p w:rsidR="00744A1C" w:rsidRDefault="00744A1C" w:rsidP="00744A1C">
      <w:pPr>
        <w:pStyle w:val="libNormal"/>
        <w:rPr>
          <w:lang w:bidi="fa-IR"/>
        </w:rPr>
      </w:pPr>
      <w:r>
        <w:rPr>
          <w:rtl/>
          <w:lang w:bidi="fa-IR"/>
        </w:rPr>
        <w:t>8363 / 8. عَنْهُ ، عَنْ أَحْمَدَ ، عَنْ أَبِيهِ ، عَنْ صَفْوَانَ بْنِ يَحْيى ، عَنْ ذَرِيحِ بْنِ يَزِيدَ‌</w:t>
      </w:r>
    </w:p>
    <w:p w:rsidR="00744A1C" w:rsidRDefault="00744A1C" w:rsidP="00D10E3C">
      <w:pPr>
        <w:pStyle w:val="libLine"/>
        <w:rPr>
          <w:lang w:bidi="fa-IR"/>
        </w:rPr>
      </w:pPr>
      <w:r>
        <w:rPr>
          <w:rtl/>
          <w:lang w:bidi="fa-IR"/>
        </w:rPr>
        <w:t>____________________</w:t>
      </w:r>
    </w:p>
    <w:p w:rsidR="00744A1C" w:rsidRDefault="0068173C" w:rsidP="00D10E3C">
      <w:pPr>
        <w:pStyle w:val="libFootnote0"/>
        <w:rPr>
          <w:lang w:bidi="fa-IR"/>
        </w:rPr>
      </w:pPr>
      <w:r>
        <w:rPr>
          <w:rFonts w:hint="cs"/>
          <w:rtl/>
          <w:lang w:bidi="fa-IR"/>
        </w:rPr>
        <w:t xml:space="preserve">= </w:t>
      </w:r>
      <w:r w:rsidR="00744A1C">
        <w:rPr>
          <w:rtl/>
          <w:lang w:bidi="fa-IR"/>
        </w:rPr>
        <w:t xml:space="preserve">عن عبد الرحمن بن محمّد. </w:t>
      </w:r>
      <w:r w:rsidR="00744A1C" w:rsidRPr="00C24F9C">
        <w:rPr>
          <w:rStyle w:val="libFootnoteBoldChar"/>
          <w:rtl/>
        </w:rPr>
        <w:t>الفقيه</w:t>
      </w:r>
      <w:r w:rsidR="00744A1C">
        <w:rPr>
          <w:rtl/>
          <w:lang w:bidi="fa-IR"/>
        </w:rPr>
        <w:t xml:space="preserve"> ، ج 3 ، ص 166 ، ح 3615 ، مرسلاً من دون التصريح باسم المعصوم </w:t>
      </w:r>
      <w:r w:rsidR="0061079A" w:rsidRPr="0061079A">
        <w:rPr>
          <w:rStyle w:val="libFootnoteAlaemChar"/>
          <w:rtl/>
        </w:rPr>
        <w:t>عليه‌السلام</w:t>
      </w:r>
      <w:r w:rsidR="00D10E3C">
        <w:rPr>
          <w:rtl/>
          <w:lang w:bidi="fa-IR"/>
        </w:rPr>
        <w:t xml:space="preserve"> </w:t>
      </w:r>
      <w:r>
        <w:rPr>
          <w:rFonts w:hint="cs"/>
          <w:rtl/>
          <w:lang w:bidi="fa-IR"/>
        </w:rPr>
        <w:t>.</w:t>
      </w:r>
      <w:r w:rsidR="00744A1C" w:rsidRPr="00C24F9C">
        <w:rPr>
          <w:rStyle w:val="libFootnoteBoldChar"/>
          <w:rtl/>
        </w:rPr>
        <w:t>الوافي</w:t>
      </w:r>
      <w:r w:rsidR="00744A1C">
        <w:rPr>
          <w:rtl/>
          <w:lang w:bidi="fa-IR"/>
        </w:rPr>
        <w:t xml:space="preserve"> ، ج 17 ، ص 38 ، ح 16828 ؛ </w:t>
      </w:r>
      <w:r w:rsidR="00744A1C" w:rsidRPr="00C24F9C">
        <w:rPr>
          <w:rStyle w:val="libFootnoteBoldChar"/>
          <w:rtl/>
        </w:rPr>
        <w:t>الوسائل</w:t>
      </w:r>
      <w:r w:rsidR="00744A1C">
        <w:rPr>
          <w:rtl/>
          <w:lang w:bidi="fa-IR"/>
        </w:rPr>
        <w:t xml:space="preserve"> ، ج 17 ، ص 33 ، ح 21908.</w:t>
      </w:r>
    </w:p>
    <w:p w:rsidR="00744A1C" w:rsidRDefault="00D10E3C" w:rsidP="00D10E3C">
      <w:pPr>
        <w:pStyle w:val="libFootnote0"/>
        <w:rPr>
          <w:lang w:bidi="fa-IR"/>
        </w:rPr>
      </w:pPr>
      <w:r>
        <w:rPr>
          <w:rtl/>
          <w:lang w:bidi="fa-IR"/>
        </w:rPr>
        <w:t>(1).</w:t>
      </w:r>
      <w:r w:rsidR="00744A1C">
        <w:rPr>
          <w:rtl/>
          <w:lang w:bidi="fa-IR"/>
        </w:rPr>
        <w:t xml:space="preserve"> في « ى ، جد » وحاشية « بح » : - « بن محمّد ».</w:t>
      </w:r>
    </w:p>
    <w:p w:rsidR="00744A1C" w:rsidRDefault="00E378DD" w:rsidP="00E378DD">
      <w:pPr>
        <w:pStyle w:val="libFootnote0"/>
        <w:rPr>
          <w:lang w:bidi="fa-IR"/>
        </w:rPr>
      </w:pPr>
      <w:r>
        <w:rPr>
          <w:rtl/>
          <w:lang w:bidi="fa-IR"/>
        </w:rPr>
        <w:t>(2).</w:t>
      </w:r>
      <w:r w:rsidR="00744A1C">
        <w:rPr>
          <w:rtl/>
          <w:lang w:bidi="fa-IR"/>
        </w:rPr>
        <w:t xml:space="preserve"> في « ط » </w:t>
      </w:r>
      <w:r w:rsidR="00744A1C" w:rsidRPr="0068173C">
        <w:rPr>
          <w:rtl/>
        </w:rPr>
        <w:t>والوسائل</w:t>
      </w:r>
      <w:r w:rsidR="00744A1C">
        <w:rPr>
          <w:rtl/>
          <w:lang w:bidi="fa-IR"/>
        </w:rPr>
        <w:t xml:space="preserve"> : « في وصيّة المفضّل ». وفي حاشية « جت » : « في وصيّة للمفضّل ». وفي هامش المطبوع : « كأنّ فيه تصحيفاً ، والصحيح : في وصيّة ؛ فإنّ للمفضّل وصيّة مرويّة عنه </w:t>
      </w:r>
      <w:r w:rsidR="0068173C" w:rsidRPr="0068173C">
        <w:rPr>
          <w:rStyle w:val="libFootnoteAlaemChar"/>
          <w:rtl/>
        </w:rPr>
        <w:t>رضي‌الله‌عنه</w:t>
      </w:r>
      <w:r w:rsidR="00744A1C">
        <w:rPr>
          <w:rtl/>
          <w:lang w:bidi="fa-IR"/>
        </w:rPr>
        <w:t xml:space="preserve"> رواها الحسن بن عليّ بن الحسين بن شعبة الحرّاني في آخر </w:t>
      </w:r>
      <w:r w:rsidR="00744A1C" w:rsidRPr="007D61A8">
        <w:rPr>
          <w:rStyle w:val="libFootnoteBoldChar"/>
          <w:rtl/>
        </w:rPr>
        <w:t>تحف العقول</w:t>
      </w:r>
      <w:r w:rsidR="00744A1C">
        <w:rPr>
          <w:rtl/>
          <w:lang w:bidi="fa-IR"/>
        </w:rPr>
        <w:t xml:space="preserve"> [ ص 513 ] ، وفيه نظير هذا الكلام ، فليراجع ».</w:t>
      </w:r>
    </w:p>
    <w:p w:rsidR="00744A1C" w:rsidRDefault="00E378DD" w:rsidP="00E378DD">
      <w:pPr>
        <w:pStyle w:val="libFootnote0"/>
        <w:rPr>
          <w:lang w:bidi="fa-IR"/>
        </w:rPr>
      </w:pPr>
      <w:r>
        <w:rPr>
          <w:rtl/>
          <w:lang w:bidi="fa-IR"/>
        </w:rPr>
        <w:t>(3).</w:t>
      </w:r>
      <w:r w:rsidR="00744A1C">
        <w:rPr>
          <w:rtl/>
          <w:lang w:bidi="fa-IR"/>
        </w:rPr>
        <w:t xml:space="preserve"> في « جت » بالتاء والياء معاً.</w:t>
      </w:r>
    </w:p>
    <w:p w:rsidR="00744A1C" w:rsidRDefault="00E378DD" w:rsidP="00E378DD">
      <w:pPr>
        <w:pStyle w:val="libFootnote0"/>
        <w:rPr>
          <w:lang w:bidi="fa-IR"/>
        </w:rPr>
      </w:pPr>
      <w:r>
        <w:rPr>
          <w:rtl/>
          <w:lang w:bidi="fa-IR"/>
        </w:rPr>
        <w:t>(4).</w:t>
      </w:r>
      <w:r w:rsidR="0068173C">
        <w:rPr>
          <w:rtl/>
          <w:lang w:bidi="fa-IR"/>
        </w:rPr>
        <w:t xml:space="preserve"> في « ط » وحاشية « بح » : « كلّ</w:t>
      </w:r>
      <w:r w:rsidR="00744A1C">
        <w:rPr>
          <w:rtl/>
          <w:lang w:bidi="fa-IR"/>
        </w:rPr>
        <w:t>ا</w:t>
      </w:r>
      <w:r w:rsidR="0068173C">
        <w:rPr>
          <w:rFonts w:hint="cs"/>
          <w:rtl/>
          <w:lang w:bidi="fa-IR"/>
        </w:rPr>
        <w:t>ً</w:t>
      </w:r>
      <w:r w:rsidR="00744A1C">
        <w:rPr>
          <w:rtl/>
          <w:lang w:bidi="fa-IR"/>
        </w:rPr>
        <w:t xml:space="preserve"> ». والكَلُّ والكُلُولُ والكَلالَةُ : العَجز ، والإعياء ، والثِّقل ، والتعب. راجع : </w:t>
      </w:r>
      <w:r w:rsidR="00744A1C" w:rsidRPr="00877682">
        <w:rPr>
          <w:rStyle w:val="libFootnoteBoldChar"/>
          <w:rtl/>
        </w:rPr>
        <w:t>لسان العرب</w:t>
      </w:r>
      <w:r w:rsidR="00744A1C">
        <w:rPr>
          <w:rtl/>
          <w:lang w:bidi="fa-IR"/>
        </w:rPr>
        <w:t xml:space="preserve"> ، ج 11 ، ص 590 ( كلل ).</w:t>
      </w:r>
    </w:p>
    <w:p w:rsidR="00744A1C" w:rsidRDefault="00E378DD" w:rsidP="00E378DD">
      <w:pPr>
        <w:pStyle w:val="libFootnote0"/>
        <w:rPr>
          <w:lang w:bidi="fa-IR"/>
        </w:rPr>
      </w:pPr>
      <w:r>
        <w:rPr>
          <w:rtl/>
          <w:lang w:bidi="fa-IR"/>
        </w:rPr>
        <w:t>(5).</w:t>
      </w:r>
      <w:r w:rsidR="00744A1C">
        <w:rPr>
          <w:rtl/>
          <w:lang w:bidi="fa-IR"/>
        </w:rPr>
        <w:t xml:space="preserve"> </w:t>
      </w:r>
      <w:r w:rsidR="00744A1C" w:rsidRPr="007D61A8">
        <w:rPr>
          <w:rStyle w:val="libFootnoteBoldChar"/>
          <w:rtl/>
        </w:rPr>
        <w:t>تحف العقول</w:t>
      </w:r>
      <w:r w:rsidR="00744A1C">
        <w:rPr>
          <w:rtl/>
          <w:lang w:bidi="fa-IR"/>
        </w:rPr>
        <w:t xml:space="preserve"> ، ص 513 ، ضمن وصيّة المفضّل بن عمر لجماعة الشيعة ، من دون الإسناد إلى المعصوم </w:t>
      </w:r>
      <w:r w:rsidR="0061079A" w:rsidRPr="0061079A">
        <w:rPr>
          <w:rStyle w:val="libFootnoteAlaemChar"/>
          <w:rtl/>
        </w:rPr>
        <w:t>عليه‌السلام</w:t>
      </w:r>
      <w:r w:rsidR="00D10E3C">
        <w:rPr>
          <w:rtl/>
          <w:lang w:bidi="fa-IR"/>
        </w:rPr>
        <w:t xml:space="preserve"> </w:t>
      </w:r>
      <w:r w:rsidR="0068173C">
        <w:rPr>
          <w:rFonts w:hint="cs"/>
          <w:rtl/>
          <w:lang w:bidi="fa-IR"/>
        </w:rPr>
        <w:t>.</w:t>
      </w:r>
      <w:r w:rsidR="00744A1C" w:rsidRPr="00C24F9C">
        <w:rPr>
          <w:rStyle w:val="libFootnoteBoldChar"/>
          <w:rtl/>
        </w:rPr>
        <w:t>الوافي</w:t>
      </w:r>
      <w:r w:rsidR="00744A1C">
        <w:rPr>
          <w:rtl/>
          <w:lang w:bidi="fa-IR"/>
        </w:rPr>
        <w:t xml:space="preserve"> ، ج 17 ، ص 39 ، ح 16831 ؛ </w:t>
      </w:r>
      <w:r w:rsidR="00744A1C" w:rsidRPr="00C24F9C">
        <w:rPr>
          <w:rStyle w:val="libFootnoteBoldChar"/>
          <w:rtl/>
        </w:rPr>
        <w:t>الوسائل</w:t>
      </w:r>
      <w:r w:rsidR="00744A1C">
        <w:rPr>
          <w:rtl/>
          <w:lang w:bidi="fa-IR"/>
        </w:rPr>
        <w:t xml:space="preserve"> ، ج 17 ، ص 31 ، ح 21905.</w:t>
      </w:r>
    </w:p>
    <w:p w:rsidR="00744A1C" w:rsidRDefault="00E378DD" w:rsidP="00E378DD">
      <w:pPr>
        <w:pStyle w:val="libFootnote0"/>
        <w:rPr>
          <w:lang w:bidi="fa-IR"/>
        </w:rPr>
      </w:pPr>
      <w:r>
        <w:rPr>
          <w:rtl/>
          <w:lang w:bidi="fa-IR"/>
        </w:rPr>
        <w:t>(6).</w:t>
      </w:r>
      <w:r w:rsidR="00744A1C">
        <w:rPr>
          <w:rtl/>
          <w:lang w:bidi="fa-IR"/>
        </w:rPr>
        <w:t xml:space="preserve"> في </w:t>
      </w:r>
      <w:r w:rsidR="00744A1C" w:rsidRPr="0068173C">
        <w:rPr>
          <w:rtl/>
        </w:rPr>
        <w:t>الكافي</w:t>
      </w:r>
      <w:r w:rsidR="00744A1C">
        <w:rPr>
          <w:rtl/>
          <w:lang w:bidi="fa-IR"/>
        </w:rPr>
        <w:t xml:space="preserve"> ، ح 6044 </w:t>
      </w:r>
      <w:r w:rsidR="00744A1C" w:rsidRPr="0068173C">
        <w:rPr>
          <w:rtl/>
        </w:rPr>
        <w:t>والفقيه</w:t>
      </w:r>
      <w:r w:rsidR="00744A1C">
        <w:rPr>
          <w:rtl/>
          <w:lang w:bidi="fa-IR"/>
        </w:rPr>
        <w:t xml:space="preserve"> : + « ملعون ».</w:t>
      </w:r>
    </w:p>
    <w:p w:rsidR="00744A1C" w:rsidRDefault="00E378DD" w:rsidP="00E378DD">
      <w:pPr>
        <w:pStyle w:val="libFootnote0"/>
        <w:rPr>
          <w:lang w:bidi="fa-IR"/>
        </w:rPr>
      </w:pPr>
      <w:r>
        <w:rPr>
          <w:rtl/>
          <w:lang w:bidi="fa-IR"/>
        </w:rPr>
        <w:t>(7).</w:t>
      </w:r>
      <w:r w:rsidR="00744A1C">
        <w:rPr>
          <w:rtl/>
          <w:lang w:bidi="fa-IR"/>
        </w:rPr>
        <w:t xml:space="preserve"> في </w:t>
      </w:r>
      <w:r w:rsidR="00744A1C" w:rsidRPr="0068173C">
        <w:rPr>
          <w:rtl/>
        </w:rPr>
        <w:t>الكافي</w:t>
      </w:r>
      <w:r w:rsidR="00744A1C">
        <w:rPr>
          <w:rtl/>
          <w:lang w:bidi="fa-IR"/>
        </w:rPr>
        <w:t xml:space="preserve"> ، ح 6044 </w:t>
      </w:r>
      <w:r w:rsidR="00744A1C" w:rsidRPr="0068173C">
        <w:rPr>
          <w:rtl/>
        </w:rPr>
        <w:t>والفقيه</w:t>
      </w:r>
      <w:r w:rsidR="00744A1C">
        <w:rPr>
          <w:rtl/>
          <w:lang w:bidi="fa-IR"/>
        </w:rPr>
        <w:t xml:space="preserve"> : + « ملعون من ضيّع من يعول ».</w:t>
      </w:r>
    </w:p>
    <w:p w:rsidR="00744A1C" w:rsidRDefault="00E378DD" w:rsidP="00E378DD">
      <w:pPr>
        <w:pStyle w:val="libFootnote0"/>
        <w:rPr>
          <w:lang w:bidi="fa-IR"/>
        </w:rPr>
      </w:pPr>
      <w:r>
        <w:rPr>
          <w:rtl/>
          <w:lang w:bidi="fa-IR"/>
        </w:rPr>
        <w:t>(8).</w:t>
      </w:r>
      <w:r w:rsidR="00744A1C">
        <w:rPr>
          <w:rtl/>
          <w:lang w:bidi="fa-IR"/>
        </w:rPr>
        <w:t xml:space="preserve"> </w:t>
      </w:r>
      <w:r w:rsidR="00744A1C" w:rsidRPr="0061079A">
        <w:rPr>
          <w:rStyle w:val="libFootnoteBoldChar"/>
          <w:rtl/>
        </w:rPr>
        <w:t>الكافي</w:t>
      </w:r>
      <w:r w:rsidR="00744A1C">
        <w:rPr>
          <w:rtl/>
          <w:lang w:bidi="fa-IR"/>
        </w:rPr>
        <w:t xml:space="preserve"> ، كتاب الزكاة ، باب كفاية العيال والتوسّع عليهم ، ح 6044 ، عن عدّة من أصحابنا ، عن أحمد بن أبي عبد الله. </w:t>
      </w:r>
      <w:r w:rsidR="00744A1C" w:rsidRPr="00C24F9C">
        <w:rPr>
          <w:rStyle w:val="libFootnoteBoldChar"/>
          <w:rtl/>
        </w:rPr>
        <w:t>التهذيب</w:t>
      </w:r>
      <w:r w:rsidR="00744A1C">
        <w:rPr>
          <w:rtl/>
          <w:lang w:bidi="fa-IR"/>
        </w:rPr>
        <w:t xml:space="preserve"> ، ج 6 ، ص 327 ، ح 902 ، معلّقاً عن أحمد بن أبي عبد الله. </w:t>
      </w:r>
      <w:r w:rsidR="00744A1C" w:rsidRPr="00C24F9C">
        <w:rPr>
          <w:rStyle w:val="libFootnoteBoldChar"/>
          <w:rtl/>
        </w:rPr>
        <w:t>الفقيه</w:t>
      </w:r>
      <w:r w:rsidR="00744A1C">
        <w:rPr>
          <w:rtl/>
          <w:lang w:bidi="fa-IR"/>
        </w:rPr>
        <w:t xml:space="preserve"> ، ج 2 ، ص 68 ، ح 1741 ، مرسلاً ،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7D61A8">
        <w:rPr>
          <w:rStyle w:val="libFootnoteBoldChar"/>
          <w:rtl/>
        </w:rPr>
        <w:t>تحف العقول</w:t>
      </w:r>
      <w:r w:rsidR="00744A1C">
        <w:rPr>
          <w:rtl/>
          <w:lang w:bidi="fa-IR"/>
        </w:rPr>
        <w:t xml:space="preserve"> ، ص 37 ، عن النبيّ </w:t>
      </w:r>
      <w:r w:rsidR="00024D6D" w:rsidRPr="00024D6D">
        <w:rPr>
          <w:rStyle w:val="libFootnoteAlaemChar"/>
          <w:rtl/>
        </w:rPr>
        <w:t>صلى‌الله‌عليه‌وآله</w:t>
      </w:r>
      <w:r w:rsidR="00D10E3C">
        <w:rPr>
          <w:rtl/>
          <w:lang w:bidi="fa-IR"/>
        </w:rPr>
        <w:t xml:space="preserve"> </w:t>
      </w:r>
      <w:r w:rsidR="0068173C">
        <w:rPr>
          <w:rFonts w:hint="cs"/>
          <w:rtl/>
          <w:lang w:bidi="fa-IR"/>
        </w:rPr>
        <w:t>.</w:t>
      </w:r>
      <w:r w:rsidR="00744A1C" w:rsidRPr="00C24F9C">
        <w:rPr>
          <w:rStyle w:val="libFootnoteBoldChar"/>
          <w:rtl/>
        </w:rPr>
        <w:t>الوافي</w:t>
      </w:r>
      <w:r w:rsidR="00744A1C">
        <w:rPr>
          <w:rtl/>
          <w:lang w:bidi="fa-IR"/>
        </w:rPr>
        <w:t xml:space="preserve"> ، ج 17 ، ص 24 ، ح 16795 ؛ </w:t>
      </w:r>
      <w:r w:rsidR="00744A1C" w:rsidRPr="00C24F9C">
        <w:rPr>
          <w:rStyle w:val="libFootnoteBoldChar"/>
          <w:rtl/>
        </w:rPr>
        <w:t>الوسائل</w:t>
      </w:r>
      <w:r w:rsidR="00744A1C">
        <w:rPr>
          <w:rtl/>
          <w:lang w:bidi="fa-IR"/>
        </w:rPr>
        <w:t xml:space="preserve"> ، ج 17 ، ص 31 ، ح 21906.</w:t>
      </w:r>
    </w:p>
    <w:p w:rsidR="006A5060" w:rsidRDefault="006A5060" w:rsidP="00D10E3C">
      <w:pPr>
        <w:pStyle w:val="libNormal"/>
        <w:rPr>
          <w:rtl/>
          <w:lang w:bidi="fa-IR"/>
        </w:rPr>
      </w:pPr>
      <w:r>
        <w:rPr>
          <w:rtl/>
          <w:lang w:bidi="fa-IR"/>
        </w:rPr>
        <w:br w:type="page"/>
      </w:r>
    </w:p>
    <w:p w:rsidR="00144FA6" w:rsidRDefault="00744A1C" w:rsidP="0068173C">
      <w:pPr>
        <w:pStyle w:val="libNormal0"/>
        <w:rPr>
          <w:rtl/>
          <w:lang w:bidi="fa-IR"/>
        </w:rPr>
      </w:pPr>
      <w:r>
        <w:rPr>
          <w:rtl/>
          <w:lang w:bidi="fa-IR"/>
        </w:rPr>
        <w:t>الْمُحَارِبِيِّ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نِعْمَ الْعَوْنُ الدُّنْيَا عَلَى الْآخِرَةِ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8364 / 9. عَلِيُّ بْنُ إِبْرَاهِيمَ ، عَنْ أَبِيهِ ، عَنْ صَفْوَانَ بْنِ يَحْيى ، عَنْ ذَرِيحٍ </w:t>
      </w:r>
      <w:r w:rsidRPr="00D10E3C">
        <w:rPr>
          <w:rStyle w:val="libFootnotenumChar"/>
          <w:rtl/>
        </w:rPr>
        <w:t>(3)</w:t>
      </w:r>
      <w:r>
        <w:rPr>
          <w:rtl/>
          <w:lang w:bidi="fa-IR"/>
        </w:rPr>
        <w:t xml:space="preserve"> الْمُحَارِبِيِّ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نِعْمَ الْعَوْنُ عَلَى الْآخِرَةِ الدُّنْيَا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8365 / 10. عَلِيُّ بْنُ إِبْرَاهِيمَ ، عَنْ أَبِيهِ ، عَنِ ابْنِ أَبِي عُمَيْرٍ ، عَنْ هِشَامِ بْنِ سَالِمٍ ، عَنْ عَبْدِ اللهِ بْنِ أَبِي يَعْفُورٍ ، قَالَ :</w:t>
      </w:r>
    </w:p>
    <w:p w:rsidR="00744A1C" w:rsidRDefault="00744A1C" w:rsidP="00744A1C">
      <w:pPr>
        <w:pStyle w:val="libNormal"/>
        <w:rPr>
          <w:lang w:bidi="fa-IR"/>
        </w:rPr>
      </w:pPr>
      <w:r>
        <w:rPr>
          <w:rtl/>
          <w:lang w:bidi="fa-IR"/>
        </w:rPr>
        <w:t xml:space="preserve">قَالَ رَجُلٌ لِأَبِي عَبْدِ اللهِ </w:t>
      </w:r>
      <w:r w:rsidR="0061079A" w:rsidRPr="0061079A">
        <w:rPr>
          <w:rStyle w:val="libAlaemChar"/>
          <w:rtl/>
        </w:rPr>
        <w:t>عليه‌السلام</w:t>
      </w:r>
      <w:r w:rsidR="00D10E3C">
        <w:rPr>
          <w:rtl/>
          <w:lang w:bidi="fa-IR"/>
        </w:rPr>
        <w:t xml:space="preserve"> </w:t>
      </w:r>
      <w:r>
        <w:rPr>
          <w:rtl/>
          <w:lang w:bidi="fa-IR"/>
        </w:rPr>
        <w:t>: وَاللهِ ، إِنَّا لَنَطْلُبُ الدُّنْيَا ، وَنُحِبُّ أَنْ نُؤْتَاهَا.</w:t>
      </w:r>
    </w:p>
    <w:p w:rsidR="00744A1C" w:rsidRDefault="00744A1C" w:rsidP="00744A1C">
      <w:pPr>
        <w:pStyle w:val="libNormal"/>
        <w:rPr>
          <w:lang w:bidi="fa-IR"/>
        </w:rPr>
      </w:pPr>
      <w:r>
        <w:rPr>
          <w:rtl/>
          <w:lang w:bidi="fa-IR"/>
        </w:rPr>
        <w:t>فَقَالَ : « تُحِبُّ أَنْ تَصْنَعَ بِهَا مَا ذَا؟ ».</w:t>
      </w:r>
    </w:p>
    <w:p w:rsidR="00744A1C" w:rsidRDefault="00744A1C" w:rsidP="00744A1C">
      <w:pPr>
        <w:pStyle w:val="libNormal"/>
        <w:rPr>
          <w:lang w:bidi="fa-IR"/>
        </w:rPr>
      </w:pPr>
      <w:r>
        <w:rPr>
          <w:rtl/>
          <w:lang w:bidi="fa-IR"/>
        </w:rPr>
        <w:t xml:space="preserve">قَالَ : أَعُودُ </w:t>
      </w:r>
      <w:r w:rsidRPr="00D10E3C">
        <w:rPr>
          <w:rStyle w:val="libFootnotenumChar"/>
          <w:rtl/>
        </w:rPr>
        <w:t>(6)</w:t>
      </w:r>
      <w:r>
        <w:rPr>
          <w:rtl/>
          <w:lang w:bidi="fa-IR"/>
        </w:rPr>
        <w:t xml:space="preserve"> بِهَا عَلى نَفْسِي وَعِيَالِي ، وَأَصِلُ بِهَا ، وَأَتَصَدَّقُ بِهَا </w:t>
      </w:r>
      <w:r w:rsidRPr="00D10E3C">
        <w:rPr>
          <w:rStyle w:val="libFootnotenumChar"/>
          <w:rtl/>
        </w:rPr>
        <w:t>(7)</w:t>
      </w:r>
      <w:r>
        <w:rPr>
          <w:rtl/>
          <w:lang w:bidi="fa-IR"/>
        </w:rPr>
        <w:t xml:space="preserve"> ، وَأَحُجُّ </w:t>
      </w:r>
      <w:r w:rsidRPr="00D10E3C">
        <w:rPr>
          <w:rStyle w:val="libFootnotenumChar"/>
          <w:rtl/>
        </w:rPr>
        <w:t>(8)</w:t>
      </w:r>
      <w:r>
        <w:rPr>
          <w:rtl/>
          <w:lang w:bidi="fa-IR"/>
        </w:rPr>
        <w:t xml:space="preserve"> ، وَأَعْتَمِرُ.</w:t>
      </w:r>
    </w:p>
    <w:p w:rsidR="00144FA6" w:rsidRDefault="00744A1C" w:rsidP="00744A1C">
      <w:pPr>
        <w:pStyle w:val="libNormal"/>
        <w:rPr>
          <w:rtl/>
          <w:lang w:bidi="fa-IR"/>
        </w:rPr>
      </w:pPr>
      <w:r>
        <w:rPr>
          <w:rtl/>
          <w:lang w:bidi="fa-IR"/>
        </w:rPr>
        <w:t xml:space="preserve">فَقَالَ أَبُو عَبْدِ اللهِ </w:t>
      </w:r>
      <w:r w:rsidRPr="00D10E3C">
        <w:rPr>
          <w:rStyle w:val="libFootnotenumChar"/>
          <w:rtl/>
        </w:rPr>
        <w:t>(9)</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 لَيْسَ هذَا طَلَبَ الدُّنْيَا ، هذَا طَلَبُ الْآخِرَةِ ». </w:t>
      </w:r>
      <w:r w:rsidRPr="00D10E3C">
        <w:rPr>
          <w:rStyle w:val="libFootnotenumChar"/>
          <w:rtl/>
        </w:rPr>
        <w:t>(10)</w:t>
      </w:r>
    </w:p>
    <w:p w:rsidR="00144FA6" w:rsidRDefault="00744A1C" w:rsidP="00744A1C">
      <w:pPr>
        <w:pStyle w:val="libNormal"/>
        <w:rPr>
          <w:rtl/>
          <w:lang w:bidi="fa-IR"/>
        </w:rPr>
      </w:pPr>
      <w:r>
        <w:rPr>
          <w:rtl/>
          <w:lang w:bidi="fa-IR"/>
        </w:rPr>
        <w:t>8366 / 11. عِدَّةٌ مِنْ أَصْحَابِنَا ، عَنْ أَحْمَدَ بْنِ مُحَمَّدِ بْنِ خَالِدٍ رَفَعَهُ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نعم العون على الآخرة الدنيا ». وفي « بح » : + « عليّ بن إبراهيم ، عن أبيه ، عن صفوان بن يحيى ، عن ذريح بن يزيد المحاربي ، عن أبي عبد الله </w:t>
      </w:r>
      <w:r w:rsidR="0061079A" w:rsidRPr="0061079A">
        <w:rPr>
          <w:rStyle w:val="libFootnoteAlaemChar"/>
          <w:rtl/>
        </w:rPr>
        <w:t>عليه‌السلام</w:t>
      </w:r>
      <w:r>
        <w:rPr>
          <w:rtl/>
          <w:lang w:bidi="fa-IR"/>
        </w:rPr>
        <w:t xml:space="preserve"> </w:t>
      </w:r>
      <w:r w:rsidR="00744A1C">
        <w:rPr>
          <w:rtl/>
          <w:lang w:bidi="fa-IR"/>
        </w:rPr>
        <w:t>قال : نِعْمَ الْعَونُ الدُّنْيَا عَلَى الآخِرَةِ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الفقيه</w:t>
      </w:r>
      <w:r w:rsidR="00744A1C">
        <w:rPr>
          <w:rtl/>
          <w:lang w:bidi="fa-IR"/>
        </w:rPr>
        <w:t xml:space="preserve"> ، ج 3 ، ص 156 ، ح 3567 ، معلّقاً عن ذريح بن يزيد المحاربي. </w:t>
      </w:r>
      <w:r w:rsidR="00744A1C" w:rsidRPr="0068173C">
        <w:rPr>
          <w:rStyle w:val="libFootnoteBoldChar"/>
          <w:rtl/>
        </w:rPr>
        <w:t>الزهد</w:t>
      </w:r>
      <w:r w:rsidR="00744A1C">
        <w:rPr>
          <w:rtl/>
          <w:lang w:bidi="fa-IR"/>
        </w:rPr>
        <w:t xml:space="preserve"> ، ص 119 ، ح 139 ، بسند آخر عن أبي جعفر </w:t>
      </w:r>
      <w:r w:rsidR="0061079A" w:rsidRPr="0061079A">
        <w:rPr>
          <w:rStyle w:val="libFootnoteAlaemChar"/>
          <w:rtl/>
        </w:rPr>
        <w:t>عليه‌السلام</w:t>
      </w:r>
      <w:r w:rsidR="00D10E3C">
        <w:rPr>
          <w:rtl/>
          <w:lang w:bidi="fa-IR"/>
        </w:rPr>
        <w:t xml:space="preserve"> </w:t>
      </w:r>
      <w:r w:rsidR="0068173C">
        <w:rPr>
          <w:rFonts w:hint="cs"/>
          <w:rtl/>
          <w:lang w:bidi="fa-IR"/>
        </w:rPr>
        <w:t>.</w:t>
      </w:r>
      <w:r w:rsidR="00744A1C" w:rsidRPr="00C24F9C">
        <w:rPr>
          <w:rStyle w:val="libFootnoteBoldChar"/>
          <w:rtl/>
        </w:rPr>
        <w:t>الوافي</w:t>
      </w:r>
      <w:r w:rsidR="00744A1C">
        <w:rPr>
          <w:rtl/>
          <w:lang w:bidi="fa-IR"/>
        </w:rPr>
        <w:t xml:space="preserve"> ، ج 17 ، ص 39 ، ح 16832 ؛ </w:t>
      </w:r>
      <w:r w:rsidR="00744A1C" w:rsidRPr="00C24F9C">
        <w:rPr>
          <w:rStyle w:val="libFootnoteBoldChar"/>
          <w:rtl/>
        </w:rPr>
        <w:t>الوسائل</w:t>
      </w:r>
      <w:r w:rsidR="00744A1C">
        <w:rPr>
          <w:rtl/>
          <w:lang w:bidi="fa-IR"/>
        </w:rPr>
        <w:t xml:space="preserve"> ، ج 17 ، ص 29 ، ح 21899.</w:t>
      </w:r>
    </w:p>
    <w:p w:rsidR="00744A1C" w:rsidRDefault="00E378DD" w:rsidP="00E378DD">
      <w:pPr>
        <w:pStyle w:val="libFootnote0"/>
        <w:rPr>
          <w:lang w:bidi="fa-IR"/>
        </w:rPr>
      </w:pPr>
      <w:r>
        <w:rPr>
          <w:rtl/>
          <w:lang w:bidi="fa-IR"/>
        </w:rPr>
        <w:t>(3).</w:t>
      </w:r>
      <w:r w:rsidR="00744A1C">
        <w:rPr>
          <w:rtl/>
          <w:lang w:bidi="fa-IR"/>
        </w:rPr>
        <w:t xml:space="preserve"> في حاشية « بح » : + « بن يزيد ».</w:t>
      </w:r>
    </w:p>
    <w:p w:rsidR="00744A1C" w:rsidRDefault="00E378DD" w:rsidP="00E378DD">
      <w:pPr>
        <w:pStyle w:val="libFootnote0"/>
        <w:rPr>
          <w:lang w:bidi="fa-IR"/>
        </w:rPr>
      </w:pPr>
      <w:r>
        <w:rPr>
          <w:rtl/>
          <w:lang w:bidi="fa-IR"/>
        </w:rPr>
        <w:t>(4).</w:t>
      </w:r>
      <w:r w:rsidR="00744A1C">
        <w:rPr>
          <w:rtl/>
          <w:lang w:bidi="fa-IR"/>
        </w:rPr>
        <w:t xml:space="preserve"> في « بس » : « الدنيا على الآخرة ». ولم ترد هذه الرواية في « ط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17 ، ص 40 ، ح 16833 ؛ </w:t>
      </w:r>
      <w:r w:rsidR="00744A1C" w:rsidRPr="00C24F9C">
        <w:rPr>
          <w:rStyle w:val="libFootnoteBoldChar"/>
          <w:rtl/>
        </w:rPr>
        <w:t>الوسائل</w:t>
      </w:r>
      <w:r w:rsidR="00744A1C">
        <w:rPr>
          <w:rtl/>
          <w:lang w:bidi="fa-IR"/>
        </w:rPr>
        <w:t xml:space="preserve"> ، ج 17 ، ص 29 ، ح 21898.</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أعود ، من العائد بمعنى الصلة والعطف والمنفعة ». وراجع : </w:t>
      </w:r>
      <w:r w:rsidR="00744A1C" w:rsidRPr="00877682">
        <w:rPr>
          <w:rStyle w:val="libFootnoteBoldChar"/>
          <w:rtl/>
        </w:rPr>
        <w:t>لسان العرب</w:t>
      </w:r>
      <w:r w:rsidR="00744A1C">
        <w:rPr>
          <w:rtl/>
          <w:lang w:bidi="fa-IR"/>
        </w:rPr>
        <w:t xml:space="preserve"> ، ج 3 ، ص 316 ( عود ).</w:t>
      </w:r>
    </w:p>
    <w:tbl>
      <w:tblPr>
        <w:tblStyle w:val="TableGrid"/>
        <w:bidiVisual/>
        <w:tblW w:w="0" w:type="auto"/>
        <w:tblLook w:val="04A0" w:firstRow="1" w:lastRow="0" w:firstColumn="1" w:lastColumn="0" w:noHBand="0" w:noVBand="1"/>
      </w:tblPr>
      <w:tblGrid>
        <w:gridCol w:w="4006"/>
        <w:gridCol w:w="4006"/>
      </w:tblGrid>
      <w:tr w:rsidR="0068173C" w:rsidTr="0068173C">
        <w:tc>
          <w:tcPr>
            <w:tcW w:w="4006" w:type="dxa"/>
          </w:tcPr>
          <w:p w:rsidR="0068173C" w:rsidRDefault="0068173C" w:rsidP="00E378DD">
            <w:pPr>
              <w:pStyle w:val="libFootnote0"/>
              <w:rPr>
                <w:rtl/>
                <w:lang w:bidi="fa-IR"/>
              </w:rPr>
            </w:pPr>
            <w:r>
              <w:rPr>
                <w:rtl/>
                <w:lang w:bidi="fa-IR"/>
              </w:rPr>
              <w:t xml:space="preserve">(7). في « ط ، بخ ، بف » </w:t>
            </w:r>
            <w:r w:rsidRPr="0068173C">
              <w:rPr>
                <w:rtl/>
              </w:rPr>
              <w:t>والتهذيب</w:t>
            </w:r>
            <w:r>
              <w:rPr>
                <w:rtl/>
                <w:lang w:bidi="fa-IR"/>
              </w:rPr>
              <w:t xml:space="preserve"> : - « بها ».</w:t>
            </w:r>
          </w:p>
        </w:tc>
        <w:tc>
          <w:tcPr>
            <w:tcW w:w="4006" w:type="dxa"/>
          </w:tcPr>
          <w:p w:rsidR="0068173C" w:rsidRDefault="0068173C" w:rsidP="00E378DD">
            <w:pPr>
              <w:pStyle w:val="libFootnote0"/>
              <w:rPr>
                <w:rtl/>
                <w:lang w:bidi="fa-IR"/>
              </w:rPr>
            </w:pPr>
            <w:r>
              <w:rPr>
                <w:rtl/>
                <w:lang w:bidi="fa-IR"/>
              </w:rPr>
              <w:t>(8). في « ى » : + « بها ».</w:t>
            </w:r>
          </w:p>
        </w:tc>
      </w:tr>
    </w:tbl>
    <w:p w:rsidR="00744A1C" w:rsidRDefault="00E378DD" w:rsidP="00E378DD">
      <w:pPr>
        <w:pStyle w:val="libFootnote0"/>
        <w:rPr>
          <w:lang w:bidi="fa-IR"/>
        </w:rPr>
      </w:pPr>
      <w:r>
        <w:rPr>
          <w:rtl/>
          <w:lang w:bidi="fa-IR"/>
        </w:rPr>
        <w:t>(9).</w:t>
      </w:r>
      <w:r w:rsidR="00744A1C">
        <w:rPr>
          <w:rtl/>
          <w:lang w:bidi="fa-IR"/>
        </w:rPr>
        <w:t xml:space="preserve"> هكذا في جميع النسخ التي </w:t>
      </w:r>
      <w:r w:rsidR="00744A1C" w:rsidRPr="0068173C">
        <w:rPr>
          <w:rtl/>
        </w:rPr>
        <w:t>قوبلت والوافي والوسائل والتهذيب والأمالي للطوسي. وفي المطبوع : - « أبو عبد</w:t>
      </w:r>
      <w:r w:rsidR="00744A1C">
        <w:rPr>
          <w:rtl/>
          <w:lang w:bidi="fa-IR"/>
        </w:rPr>
        <w:t xml:space="preserve"> </w:t>
      </w:r>
      <w:r w:rsidR="0068173C">
        <w:rPr>
          <w:rtl/>
          <w:lang w:bidi="fa-IR"/>
        </w:rPr>
        <w:t>الله</w:t>
      </w:r>
      <w:r w:rsidR="00744A1C">
        <w:rPr>
          <w:rtl/>
          <w:lang w:bidi="fa-IR"/>
        </w:rPr>
        <w:t>».</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327 ، ح 903 ، معلّقاً عن الكليني. </w:t>
      </w:r>
      <w:r w:rsidR="00744A1C" w:rsidRPr="000B1C3F">
        <w:rPr>
          <w:rStyle w:val="libFootnoteBoldChar"/>
          <w:rtl/>
        </w:rPr>
        <w:t>الأمالي للطوسي</w:t>
      </w:r>
      <w:r w:rsidR="00744A1C">
        <w:rPr>
          <w:rtl/>
          <w:lang w:bidi="fa-IR"/>
        </w:rPr>
        <w:t xml:space="preserve"> ، ص 622 ، المجلس 35 ، ح 25 ، بسنده عن محمّد بن أبي عمير ، عن هشام بن سالم ، مع زيادة في أوّله </w:t>
      </w:r>
      <w:r w:rsidR="0068173C">
        <w:rPr>
          <w:rFonts w:hint="cs"/>
          <w:rtl/>
          <w:lang w:bidi="fa-IR"/>
        </w:rPr>
        <w:t>.</w:t>
      </w:r>
      <w:r w:rsidR="00744A1C" w:rsidRPr="00C24F9C">
        <w:rPr>
          <w:rStyle w:val="libFootnoteBoldChar"/>
          <w:rtl/>
        </w:rPr>
        <w:t>الوافي</w:t>
      </w:r>
      <w:r w:rsidR="00744A1C">
        <w:rPr>
          <w:rtl/>
          <w:lang w:bidi="fa-IR"/>
        </w:rPr>
        <w:t xml:space="preserve"> ، ج 17 ، ص 40 ، ح 16835 ؛ </w:t>
      </w:r>
      <w:r w:rsidR="00744A1C" w:rsidRPr="00C24F9C">
        <w:rPr>
          <w:rStyle w:val="libFootnoteBoldChar"/>
          <w:rtl/>
        </w:rPr>
        <w:t>الوسائل</w:t>
      </w:r>
      <w:r w:rsidR="00744A1C">
        <w:rPr>
          <w:rtl/>
          <w:lang w:bidi="fa-IR"/>
        </w:rPr>
        <w:t xml:space="preserve"> ، ج 17 ، ص 34 ، ح 21910.</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غِنًى يَحْجُزُكَ </w:t>
      </w:r>
      <w:r w:rsidRPr="00D10E3C">
        <w:rPr>
          <w:rStyle w:val="libFootnotenumChar"/>
          <w:rtl/>
        </w:rPr>
        <w:t>(1)</w:t>
      </w:r>
      <w:r>
        <w:rPr>
          <w:rtl/>
          <w:lang w:bidi="fa-IR"/>
        </w:rPr>
        <w:t xml:space="preserve"> عَنِ الظُّلْمِ خَيْرٌ مِنْ فَقْرٍ يَحْمِلُكَ عَلَى الْإِثْمِ ». </w:t>
      </w:r>
      <w:r w:rsidRPr="00D10E3C">
        <w:rPr>
          <w:rStyle w:val="libFootnotenumChar"/>
          <w:rtl/>
        </w:rPr>
        <w:t>(2)</w:t>
      </w:r>
    </w:p>
    <w:p w:rsidR="00144FA6" w:rsidRDefault="00744A1C" w:rsidP="00744A1C">
      <w:pPr>
        <w:pStyle w:val="libNormal"/>
        <w:rPr>
          <w:rtl/>
          <w:lang w:bidi="fa-IR"/>
        </w:rPr>
      </w:pPr>
      <w:r>
        <w:rPr>
          <w:rtl/>
          <w:lang w:bidi="fa-IR"/>
        </w:rPr>
        <w:t>8367 / 12. عِدَّةٌ مِنْ أَصْحَابِنَا ، عَنْ سَهْلِ بْنِ زِيَادٍ ، عَنِ ابْنِ مَحْبُوبٍ ، عَنْ عَبْدِ اللهِ بْنِ سِنَانٍ ، عَنْ عِدَّةٍ مِنْ أَصْحَابِنَا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Pr>
          <w:rtl/>
          <w:lang w:bidi="fa-IR"/>
        </w:rPr>
        <w:t xml:space="preserve"> ، قَالَ : « قَالَ رَسُولُ اللهِ </w:t>
      </w:r>
      <w:r w:rsidR="00AE01C7" w:rsidRPr="0013596A">
        <w:rPr>
          <w:rStyle w:val="libAlaemChar"/>
          <w:rtl/>
        </w:rPr>
        <w:t>صلى‌الله‌عليه‌وآله</w:t>
      </w:r>
      <w:r w:rsidR="00D10E3C">
        <w:rPr>
          <w:rtl/>
          <w:lang w:bidi="fa-IR"/>
        </w:rPr>
        <w:t xml:space="preserve"> </w:t>
      </w:r>
      <w:r>
        <w:rPr>
          <w:rtl/>
          <w:lang w:bidi="fa-IR"/>
        </w:rPr>
        <w:t xml:space="preserve">: يُصْبِحُ الْمُؤْمِنُ أَوْ يُمْسِي </w:t>
      </w:r>
      <w:r w:rsidRPr="00D10E3C">
        <w:rPr>
          <w:rStyle w:val="libFootnotenumChar"/>
          <w:rtl/>
        </w:rPr>
        <w:t>(3)</w:t>
      </w:r>
      <w:r>
        <w:rPr>
          <w:rtl/>
          <w:lang w:bidi="fa-IR"/>
        </w:rPr>
        <w:t xml:space="preserve"> عَلى ثُكْلٍ </w:t>
      </w:r>
      <w:r w:rsidRPr="00D10E3C">
        <w:rPr>
          <w:rStyle w:val="libFootnotenumChar"/>
          <w:rtl/>
        </w:rPr>
        <w:t>(4)</w:t>
      </w:r>
      <w:r>
        <w:rPr>
          <w:rtl/>
          <w:lang w:bidi="fa-IR"/>
        </w:rPr>
        <w:t xml:space="preserve"> خَيْرٌ لَهُ مِنْ أَنْ يُصْبِحَ أَوْ يُمْسِيَ </w:t>
      </w:r>
      <w:r w:rsidRPr="00D10E3C">
        <w:rPr>
          <w:rStyle w:val="libFootnotenumChar"/>
          <w:rtl/>
        </w:rPr>
        <w:t>(5)</w:t>
      </w:r>
      <w:r>
        <w:rPr>
          <w:rtl/>
          <w:lang w:bidi="fa-IR"/>
        </w:rPr>
        <w:t xml:space="preserve"> عَلى حَرَبٍ </w:t>
      </w:r>
      <w:r w:rsidRPr="00D10E3C">
        <w:rPr>
          <w:rStyle w:val="libFootnotenumChar"/>
          <w:rtl/>
        </w:rPr>
        <w:t>(6)</w:t>
      </w:r>
      <w:r>
        <w:rPr>
          <w:rtl/>
          <w:lang w:bidi="fa-IR"/>
        </w:rPr>
        <w:t xml:space="preserve"> ؛ فَنَعُوذُ </w:t>
      </w:r>
      <w:r w:rsidRPr="00D10E3C">
        <w:rPr>
          <w:rStyle w:val="libFootnotenumChar"/>
          <w:rtl/>
        </w:rPr>
        <w:t>(7)</w:t>
      </w:r>
      <w:r>
        <w:rPr>
          <w:rtl/>
          <w:lang w:bidi="fa-IR"/>
        </w:rPr>
        <w:t xml:space="preserve"> بِاللهِ مِنَ </w:t>
      </w:r>
      <w:r w:rsidRPr="00D10E3C">
        <w:rPr>
          <w:rStyle w:val="libFootnotenumChar"/>
          <w:rtl/>
        </w:rPr>
        <w:t>(8)</w:t>
      </w:r>
      <w:r>
        <w:rPr>
          <w:rtl/>
          <w:lang w:bidi="fa-IR"/>
        </w:rPr>
        <w:t xml:space="preserve"> الْحَرَبِ ». </w:t>
      </w:r>
      <w:r w:rsidRPr="00D10E3C">
        <w:rPr>
          <w:rStyle w:val="libFootnotenumChar"/>
          <w:rtl/>
        </w:rPr>
        <w:t>(9)</w:t>
      </w:r>
    </w:p>
    <w:p w:rsidR="00144FA6" w:rsidRDefault="00744A1C" w:rsidP="00744A1C">
      <w:pPr>
        <w:pStyle w:val="libNormal"/>
        <w:rPr>
          <w:rtl/>
          <w:lang w:bidi="fa-IR"/>
        </w:rPr>
      </w:pPr>
      <w:r>
        <w:rPr>
          <w:rtl/>
          <w:lang w:bidi="fa-IR"/>
        </w:rPr>
        <w:t>8368 / 13. عِدَّةٌ مِنْ أَصْحَابِنَا ، عَنْ أَحْمَدَ بْنِ أَبِي عَبْدِ اللهِ ، عَنْ أَبِيهِ ، عَنْ أَبِي الْبَخْتَرِيِّ رَفَعَهُ ، قَالَ :</w:t>
      </w:r>
    </w:p>
    <w:p w:rsidR="00744A1C" w:rsidRDefault="00744A1C" w:rsidP="00744A1C">
      <w:pPr>
        <w:pStyle w:val="libNormal"/>
        <w:rPr>
          <w:lang w:bidi="fa-IR"/>
        </w:rPr>
      </w:pPr>
      <w:r>
        <w:rPr>
          <w:rtl/>
          <w:lang w:bidi="fa-IR"/>
        </w:rPr>
        <w:t xml:space="preserve">قَالَ رَسُولُ اللهِ </w:t>
      </w:r>
      <w:r w:rsidR="005E465D" w:rsidRPr="005E465D">
        <w:rPr>
          <w:rStyle w:val="libAlaemChar"/>
          <w:rtl/>
        </w:rPr>
        <w:t>صلى‌الله‌عليه‌وآله</w:t>
      </w:r>
      <w:r w:rsidR="00D10E3C">
        <w:rPr>
          <w:rtl/>
          <w:lang w:bidi="fa-IR"/>
        </w:rPr>
        <w:t xml:space="preserve"> </w:t>
      </w:r>
      <w:r>
        <w:rPr>
          <w:rtl/>
          <w:lang w:bidi="fa-IR"/>
        </w:rPr>
        <w:t>: « الل</w:t>
      </w:r>
      <w:r w:rsidR="0068173C">
        <w:rPr>
          <w:rFonts w:hint="cs"/>
          <w:rtl/>
          <w:lang w:bidi="fa-IR"/>
        </w:rPr>
        <w:t>َّ</w:t>
      </w:r>
      <w:r>
        <w:rPr>
          <w:rtl/>
          <w:lang w:bidi="fa-IR"/>
        </w:rPr>
        <w:t xml:space="preserve">هُمَّ </w:t>
      </w:r>
      <w:r w:rsidRPr="00D10E3C">
        <w:rPr>
          <w:rStyle w:val="libFootnotenumChar"/>
          <w:rtl/>
        </w:rPr>
        <w:t>(10)</w:t>
      </w:r>
      <w:r>
        <w:rPr>
          <w:rtl/>
          <w:lang w:bidi="fa-IR"/>
        </w:rPr>
        <w:t xml:space="preserve"> بَارِكْ لَنَا فِي الْخُبْزِ </w:t>
      </w:r>
      <w:r w:rsidRPr="00D10E3C">
        <w:rPr>
          <w:rStyle w:val="libFootnotenumChar"/>
          <w:rtl/>
        </w:rPr>
        <w:t>(11)</w:t>
      </w:r>
      <w:r>
        <w:rPr>
          <w:rtl/>
          <w:lang w:bidi="fa-IR"/>
        </w:rPr>
        <w:t xml:space="preserve"> ، وَلَا تُفَرِّقْ </w:t>
      </w:r>
      <w:r w:rsidRPr="00D10E3C">
        <w:rPr>
          <w:rStyle w:val="libFootnotenumChar"/>
          <w:rtl/>
        </w:rPr>
        <w:t>(12)</w:t>
      </w:r>
      <w:r>
        <w:rPr>
          <w:rtl/>
          <w:lang w:bidi="fa-IR"/>
        </w:rPr>
        <w:t xml:space="preserve"> بَيْنَنَا وَبَيْنَهُ </w:t>
      </w:r>
      <w:r w:rsidRPr="00D10E3C">
        <w:rPr>
          <w:rStyle w:val="libFootnotenumChar"/>
          <w:rtl/>
        </w:rPr>
        <w:t>(13)</w:t>
      </w:r>
      <w:r>
        <w:rPr>
          <w:rtl/>
          <w:lang w:bidi="fa-IR"/>
        </w:rPr>
        <w:t xml:space="preserve"> ، فَلَوْ‌</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يحجزك » أي يمنعك ؛ من الحجز بمعنى المنع. راجع : </w:t>
      </w:r>
      <w:r w:rsidR="00744A1C" w:rsidRPr="00877682">
        <w:rPr>
          <w:rStyle w:val="libFootnoteBoldChar"/>
          <w:rtl/>
        </w:rPr>
        <w:t>لسان العرب</w:t>
      </w:r>
      <w:r w:rsidR="00744A1C">
        <w:rPr>
          <w:rtl/>
          <w:lang w:bidi="fa-IR"/>
        </w:rPr>
        <w:t xml:space="preserve"> ، ج 5 ، ص 331 ( حجز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328 ، ح 904 ، معلّقاً عن أحمد بن أبي عبد الله. </w:t>
      </w:r>
      <w:r w:rsidR="00744A1C" w:rsidRPr="00C24F9C">
        <w:rPr>
          <w:rStyle w:val="libFootnoteBoldChar"/>
          <w:rtl/>
        </w:rPr>
        <w:t>الفقيه</w:t>
      </w:r>
      <w:r w:rsidR="00744A1C">
        <w:rPr>
          <w:rtl/>
          <w:lang w:bidi="fa-IR"/>
        </w:rPr>
        <w:t xml:space="preserve"> ، ج 3 ، ص 166 ، ح 3614 ، مرسلاً </w:t>
      </w:r>
      <w:r w:rsidR="0068173C">
        <w:rPr>
          <w:rFonts w:hint="cs"/>
          <w:rtl/>
          <w:lang w:bidi="fa-IR"/>
        </w:rPr>
        <w:t>.</w:t>
      </w:r>
      <w:r w:rsidR="00744A1C" w:rsidRPr="00C24F9C">
        <w:rPr>
          <w:rStyle w:val="libFootnoteBoldChar"/>
          <w:rtl/>
        </w:rPr>
        <w:t>الوافي</w:t>
      </w:r>
      <w:r w:rsidR="00744A1C">
        <w:rPr>
          <w:rtl/>
          <w:lang w:bidi="fa-IR"/>
        </w:rPr>
        <w:t xml:space="preserve"> ، ج 17 ، ص 40 ، ح 16836 ؛ </w:t>
      </w:r>
      <w:r w:rsidR="00744A1C" w:rsidRPr="00C24F9C">
        <w:rPr>
          <w:rStyle w:val="libFootnoteBoldChar"/>
          <w:rtl/>
        </w:rPr>
        <w:t>الوسائل</w:t>
      </w:r>
      <w:r w:rsidR="00744A1C">
        <w:rPr>
          <w:rtl/>
          <w:lang w:bidi="fa-IR"/>
        </w:rPr>
        <w:t xml:space="preserve"> ، ج 17 ، ص 31 ، ح 21903.</w:t>
      </w:r>
    </w:p>
    <w:p w:rsidR="00744A1C" w:rsidRDefault="00E378DD" w:rsidP="00E378DD">
      <w:pPr>
        <w:pStyle w:val="libFootnote0"/>
        <w:rPr>
          <w:lang w:bidi="fa-IR"/>
        </w:rPr>
      </w:pPr>
      <w:r>
        <w:rPr>
          <w:rtl/>
          <w:lang w:bidi="fa-IR"/>
        </w:rPr>
        <w:t>(3).</w:t>
      </w:r>
      <w:r w:rsidR="00744A1C">
        <w:rPr>
          <w:rtl/>
          <w:lang w:bidi="fa-IR"/>
        </w:rPr>
        <w:t xml:space="preserve"> في « بخ ، بف » </w:t>
      </w:r>
      <w:r w:rsidR="00744A1C" w:rsidRPr="0068173C">
        <w:rPr>
          <w:rtl/>
        </w:rPr>
        <w:t>والوافي</w:t>
      </w:r>
      <w:r w:rsidR="00744A1C">
        <w:rPr>
          <w:rtl/>
          <w:lang w:bidi="fa-IR"/>
        </w:rPr>
        <w:t xml:space="preserve"> : « ويمسي ».</w:t>
      </w:r>
    </w:p>
    <w:p w:rsidR="00744A1C" w:rsidRDefault="00E378DD" w:rsidP="00E378DD">
      <w:pPr>
        <w:pStyle w:val="libFootnote0"/>
        <w:rPr>
          <w:lang w:bidi="fa-IR"/>
        </w:rPr>
      </w:pPr>
      <w:r>
        <w:rPr>
          <w:rtl/>
          <w:lang w:bidi="fa-IR"/>
        </w:rPr>
        <w:t>(4).</w:t>
      </w:r>
      <w:r w:rsidR="00744A1C">
        <w:rPr>
          <w:rtl/>
          <w:lang w:bidi="fa-IR"/>
        </w:rPr>
        <w:t xml:space="preserve"> في « ى » وحاشية « جت » : « نكل ». وفي « بح » : « كلّ نكل ». وفي </w:t>
      </w:r>
      <w:r w:rsidR="00744A1C" w:rsidRPr="00C24F9C">
        <w:rPr>
          <w:rStyle w:val="libFootnoteBoldChar"/>
          <w:rtl/>
        </w:rPr>
        <w:t>المرآة</w:t>
      </w:r>
      <w:r w:rsidR="00744A1C">
        <w:rPr>
          <w:rtl/>
          <w:lang w:bidi="fa-IR"/>
        </w:rPr>
        <w:t xml:space="preserve"> : « قال في القاموس : النِّكل بالكسر ، أي القيد الشديد. وفي بعض النسخ بالثاء المثلّثة ، وفي القاموس : الثُّكْل ، بالضمّ : الموت ، والهلاك ، وفقدان الحبيب أو الولد ؛ ويحرّك ». راجع : </w:t>
      </w:r>
      <w:r w:rsidR="00744A1C" w:rsidRPr="008A57EB">
        <w:rPr>
          <w:rStyle w:val="libFootnoteBoldChar"/>
          <w:rtl/>
        </w:rPr>
        <w:t>القاموس المحيط</w:t>
      </w:r>
      <w:r w:rsidR="00744A1C">
        <w:rPr>
          <w:rtl/>
          <w:lang w:bidi="fa-IR"/>
        </w:rPr>
        <w:t xml:space="preserve"> ، ج 2 ، ص 1287 ( ثكل ).</w:t>
      </w:r>
    </w:p>
    <w:p w:rsidR="00744A1C" w:rsidRDefault="00E378DD" w:rsidP="00E378DD">
      <w:pPr>
        <w:pStyle w:val="libFootnote0"/>
        <w:rPr>
          <w:lang w:bidi="fa-IR"/>
        </w:rPr>
      </w:pPr>
      <w:r>
        <w:rPr>
          <w:rtl/>
          <w:lang w:bidi="fa-IR"/>
        </w:rPr>
        <w:t>(5).</w:t>
      </w:r>
      <w:r w:rsidR="00744A1C">
        <w:rPr>
          <w:rtl/>
          <w:lang w:bidi="fa-IR"/>
        </w:rPr>
        <w:t xml:space="preserve"> في </w:t>
      </w:r>
      <w:r w:rsidR="00744A1C" w:rsidRPr="0068173C">
        <w:rPr>
          <w:rtl/>
        </w:rPr>
        <w:t>الوافي</w:t>
      </w:r>
      <w:r w:rsidR="00744A1C">
        <w:rPr>
          <w:rtl/>
          <w:lang w:bidi="fa-IR"/>
        </w:rPr>
        <w:t xml:space="preserve"> : « أن يمسي أو يصبح ».</w:t>
      </w:r>
    </w:p>
    <w:p w:rsidR="00744A1C" w:rsidRDefault="00E378DD" w:rsidP="00E378DD">
      <w:pPr>
        <w:pStyle w:val="libFootnote0"/>
        <w:rPr>
          <w:lang w:bidi="fa-IR"/>
        </w:rPr>
      </w:pPr>
      <w:r>
        <w:rPr>
          <w:rtl/>
          <w:lang w:bidi="fa-IR"/>
        </w:rPr>
        <w:t>(6).</w:t>
      </w:r>
      <w:r w:rsidR="00744A1C">
        <w:rPr>
          <w:rtl/>
          <w:lang w:bidi="fa-IR"/>
        </w:rPr>
        <w:t xml:space="preserve"> « الحَرَب » بالتحريك : نَهْبُ مال الإنسان وتركه لا شي‌ء له. </w:t>
      </w:r>
      <w:r w:rsidR="00744A1C" w:rsidRPr="00877682">
        <w:rPr>
          <w:rStyle w:val="libFootnoteBoldChar"/>
          <w:rtl/>
        </w:rPr>
        <w:t>النهاية</w:t>
      </w:r>
      <w:r w:rsidR="00744A1C">
        <w:rPr>
          <w:rtl/>
          <w:lang w:bidi="fa-IR"/>
        </w:rPr>
        <w:t xml:space="preserve"> ، ج 1 ، ص 358 ( حرب ).</w:t>
      </w:r>
    </w:p>
    <w:tbl>
      <w:tblPr>
        <w:tblStyle w:val="TableGrid"/>
        <w:bidiVisual/>
        <w:tblW w:w="0" w:type="auto"/>
        <w:tblLook w:val="04A0" w:firstRow="1" w:lastRow="0" w:firstColumn="1" w:lastColumn="0" w:noHBand="0" w:noVBand="1"/>
      </w:tblPr>
      <w:tblGrid>
        <w:gridCol w:w="4006"/>
        <w:gridCol w:w="4006"/>
      </w:tblGrid>
      <w:tr w:rsidR="0068173C" w:rsidTr="0068173C">
        <w:tc>
          <w:tcPr>
            <w:tcW w:w="4006" w:type="dxa"/>
          </w:tcPr>
          <w:p w:rsidR="0068173C" w:rsidRDefault="0068173C" w:rsidP="00E378DD">
            <w:pPr>
              <w:pStyle w:val="libFootnote0"/>
              <w:rPr>
                <w:rtl/>
                <w:lang w:bidi="fa-IR"/>
              </w:rPr>
            </w:pPr>
            <w:r>
              <w:rPr>
                <w:rtl/>
                <w:lang w:bidi="fa-IR"/>
              </w:rPr>
              <w:t>(7). في « ط » : « وتعوّذوا ».</w:t>
            </w:r>
          </w:p>
        </w:tc>
        <w:tc>
          <w:tcPr>
            <w:tcW w:w="4006" w:type="dxa"/>
          </w:tcPr>
          <w:p w:rsidR="0068173C" w:rsidRDefault="0068173C" w:rsidP="00E378DD">
            <w:pPr>
              <w:pStyle w:val="libFootnote0"/>
              <w:rPr>
                <w:rtl/>
                <w:lang w:bidi="fa-IR"/>
              </w:rPr>
            </w:pPr>
            <w:r>
              <w:rPr>
                <w:rtl/>
                <w:lang w:bidi="fa-IR"/>
              </w:rPr>
              <w:t>(8). في « بخ » : « عن ».</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17 ، ص 41 ، ح 16837 ؛ </w:t>
      </w:r>
      <w:r w:rsidR="00744A1C" w:rsidRPr="00C24F9C">
        <w:rPr>
          <w:rStyle w:val="libFootnoteBoldChar"/>
          <w:rtl/>
        </w:rPr>
        <w:t>الوسائل</w:t>
      </w:r>
      <w:r w:rsidR="00744A1C">
        <w:rPr>
          <w:rtl/>
          <w:lang w:bidi="fa-IR"/>
        </w:rPr>
        <w:t xml:space="preserve"> ، ج 17 ، ص 31 ، ح 21904.</w:t>
      </w:r>
    </w:p>
    <w:p w:rsidR="00744A1C" w:rsidRDefault="00E378DD" w:rsidP="00E378DD">
      <w:pPr>
        <w:pStyle w:val="libFootnote0"/>
        <w:rPr>
          <w:lang w:bidi="fa-IR"/>
        </w:rPr>
      </w:pPr>
      <w:r>
        <w:rPr>
          <w:rtl/>
          <w:lang w:bidi="fa-IR"/>
        </w:rPr>
        <w:t>(10).</w:t>
      </w:r>
      <w:r w:rsidR="00744A1C">
        <w:rPr>
          <w:rtl/>
          <w:lang w:bidi="fa-IR"/>
        </w:rPr>
        <w:t xml:space="preserve"> هكذا في جميع النسخ التي قوبلت </w:t>
      </w:r>
      <w:r w:rsidR="00744A1C" w:rsidRPr="0068173C">
        <w:rPr>
          <w:rtl/>
        </w:rPr>
        <w:t>والوافي والوسائل والكافي</w:t>
      </w:r>
      <w:r w:rsidR="00744A1C">
        <w:rPr>
          <w:rtl/>
          <w:lang w:bidi="fa-IR"/>
        </w:rPr>
        <w:t xml:space="preserve"> ، ح 11642 </w:t>
      </w:r>
      <w:r w:rsidR="00744A1C" w:rsidRPr="0068173C">
        <w:rPr>
          <w:rtl/>
        </w:rPr>
        <w:t>والمحاسن</w:t>
      </w:r>
      <w:r w:rsidR="00744A1C">
        <w:rPr>
          <w:rtl/>
          <w:lang w:bidi="fa-IR"/>
        </w:rPr>
        <w:t>. وفي المطبوع : - « الل</w:t>
      </w:r>
      <w:r w:rsidR="0068173C">
        <w:rPr>
          <w:rFonts w:hint="cs"/>
          <w:rtl/>
          <w:lang w:bidi="fa-IR"/>
        </w:rPr>
        <w:t>ّ</w:t>
      </w:r>
      <w:r w:rsidR="0068173C">
        <w:rPr>
          <w:rtl/>
          <w:lang w:bidi="fa-IR"/>
        </w:rPr>
        <w:t>همّ</w:t>
      </w:r>
      <w:r w:rsidR="00744A1C">
        <w:rPr>
          <w:rtl/>
          <w:lang w:bidi="fa-IR"/>
        </w:rPr>
        <w:t>».</w:t>
      </w:r>
    </w:p>
    <w:p w:rsidR="00744A1C" w:rsidRDefault="00E378DD" w:rsidP="0068173C">
      <w:pPr>
        <w:pStyle w:val="libFootnote0"/>
        <w:rPr>
          <w:lang w:bidi="fa-IR"/>
        </w:rPr>
      </w:pPr>
      <w:r>
        <w:rPr>
          <w:rtl/>
          <w:lang w:bidi="fa-IR"/>
        </w:rPr>
        <w:t>(11).</w:t>
      </w:r>
      <w:r w:rsidR="00744A1C">
        <w:rPr>
          <w:rtl/>
          <w:lang w:bidi="fa-IR"/>
        </w:rPr>
        <w:t xml:space="preserve"> في « ط ، ى ، بح ، بس » وحاشية « جت » و</w:t>
      </w:r>
      <w:r w:rsidR="00744A1C" w:rsidRPr="00C24F9C">
        <w:rPr>
          <w:rStyle w:val="libFootnoteBoldChar"/>
          <w:rtl/>
        </w:rPr>
        <w:t>المرآة</w:t>
      </w:r>
      <w:r w:rsidR="00744A1C">
        <w:rPr>
          <w:rtl/>
          <w:lang w:bidi="fa-IR"/>
        </w:rPr>
        <w:t xml:space="preserve"> : « الخير ». وقال في </w:t>
      </w:r>
      <w:r w:rsidR="00744A1C" w:rsidRPr="00C24F9C">
        <w:rPr>
          <w:rStyle w:val="libFootnoteBoldChar"/>
          <w:rtl/>
        </w:rPr>
        <w:t>المرآة</w:t>
      </w:r>
      <w:r w:rsidR="00744A1C">
        <w:rPr>
          <w:rtl/>
          <w:lang w:bidi="fa-IR"/>
        </w:rPr>
        <w:t xml:space="preserve"> : « وهو [ أي الخبز ] أظهر ؛ لما سيأتي في كتاب الأطعمة في باب فضل الخبز ، عن النبيّ </w:t>
      </w:r>
      <w:r w:rsidR="00712C99" w:rsidRPr="0068173C">
        <w:rPr>
          <w:rStyle w:val="libFootnoteAlaemChar"/>
          <w:rtl/>
        </w:rPr>
        <w:t>صلى‌الله‌عليه‌وآله</w:t>
      </w:r>
      <w:r w:rsidR="00D10E3C">
        <w:rPr>
          <w:rtl/>
          <w:lang w:bidi="fa-IR"/>
        </w:rPr>
        <w:t xml:space="preserve"> </w:t>
      </w:r>
      <w:r w:rsidR="00744A1C">
        <w:rPr>
          <w:rtl/>
          <w:lang w:bidi="fa-IR"/>
        </w:rPr>
        <w:t>: إيّاكم أن تشمّوا الخبز كما تشمّه السباع ؛ فإنّ الخبز مبارك ، أرسل الله - عزّ وجلّ - له السماء مدراراً ، وله أنبت الله المرعى ، وبه صلّيتم ، وبه صمتم ، وبه حججتم بيت ربّكم ».</w:t>
      </w:r>
      <w:r w:rsidR="0068173C">
        <w:rPr>
          <w:rFonts w:hint="cs"/>
          <w:rtl/>
          <w:lang w:bidi="fa-IR"/>
        </w:rPr>
        <w:t xml:space="preserve">                           </w:t>
      </w:r>
      <w:r>
        <w:rPr>
          <w:rtl/>
          <w:lang w:bidi="fa-IR"/>
        </w:rPr>
        <w:t>(12).</w:t>
      </w:r>
      <w:r w:rsidR="00744A1C">
        <w:rPr>
          <w:rtl/>
          <w:lang w:bidi="fa-IR"/>
        </w:rPr>
        <w:t xml:space="preserve"> في « ى ، بح ، جد ، جن » : + « ما ».</w:t>
      </w:r>
    </w:p>
    <w:p w:rsidR="00744A1C" w:rsidRDefault="00E378DD" w:rsidP="00E378DD">
      <w:pPr>
        <w:pStyle w:val="libFootnote0"/>
        <w:rPr>
          <w:lang w:bidi="fa-IR"/>
        </w:rPr>
      </w:pPr>
      <w:r>
        <w:rPr>
          <w:rtl/>
          <w:lang w:bidi="fa-IR"/>
        </w:rPr>
        <w:t>(13).</w:t>
      </w:r>
      <w:r w:rsidR="00744A1C">
        <w:rPr>
          <w:rtl/>
          <w:lang w:bidi="fa-IR"/>
        </w:rPr>
        <w:t xml:space="preserve"> في </w:t>
      </w:r>
      <w:r w:rsidR="00744A1C" w:rsidRPr="0068173C">
        <w:rPr>
          <w:rtl/>
        </w:rPr>
        <w:t>الوسائل</w:t>
      </w:r>
      <w:r w:rsidR="00744A1C">
        <w:rPr>
          <w:rtl/>
          <w:lang w:bidi="fa-IR"/>
        </w:rPr>
        <w:t xml:space="preserve"> ، ح 30662 : « وبين الخبز ».</w:t>
      </w:r>
    </w:p>
    <w:p w:rsidR="006A5060" w:rsidRDefault="006A5060" w:rsidP="00D10E3C">
      <w:pPr>
        <w:pStyle w:val="libNormal"/>
        <w:rPr>
          <w:rtl/>
          <w:lang w:bidi="fa-IR"/>
        </w:rPr>
      </w:pPr>
      <w:r>
        <w:rPr>
          <w:rtl/>
          <w:lang w:bidi="fa-IR"/>
        </w:rPr>
        <w:br w:type="page"/>
      </w:r>
    </w:p>
    <w:p w:rsidR="00144FA6" w:rsidRDefault="00744A1C" w:rsidP="0068173C">
      <w:pPr>
        <w:pStyle w:val="libNormal0"/>
        <w:rPr>
          <w:rtl/>
          <w:lang w:bidi="fa-IR"/>
        </w:rPr>
      </w:pPr>
      <w:r>
        <w:rPr>
          <w:rtl/>
          <w:lang w:bidi="fa-IR"/>
        </w:rPr>
        <w:t xml:space="preserve">لَا الْخُبْزُ </w:t>
      </w:r>
      <w:r w:rsidRPr="00D10E3C">
        <w:rPr>
          <w:rStyle w:val="libFootnotenumChar"/>
          <w:rtl/>
        </w:rPr>
        <w:t>(1)</w:t>
      </w:r>
      <w:r>
        <w:rPr>
          <w:rtl/>
          <w:lang w:bidi="fa-IR"/>
        </w:rPr>
        <w:t xml:space="preserve"> مَا صُمْنَا وَلَا صَلَّيْنَا </w:t>
      </w:r>
      <w:r w:rsidRPr="00D10E3C">
        <w:rPr>
          <w:rStyle w:val="libFootnotenumChar"/>
          <w:rtl/>
        </w:rPr>
        <w:t>(2)</w:t>
      </w:r>
      <w:r>
        <w:rPr>
          <w:rtl/>
          <w:lang w:bidi="fa-IR"/>
        </w:rPr>
        <w:t xml:space="preserve"> ، وَلَا أَدَّيْنَا فَرَائِضَ رَبِّنَا ». </w:t>
      </w:r>
      <w:r w:rsidRPr="00D10E3C">
        <w:rPr>
          <w:rStyle w:val="libFootnotenumChar"/>
          <w:rtl/>
        </w:rPr>
        <w:t>(3)</w:t>
      </w:r>
    </w:p>
    <w:p w:rsidR="00144FA6" w:rsidRDefault="00744A1C" w:rsidP="00744A1C">
      <w:pPr>
        <w:pStyle w:val="libNormal"/>
        <w:rPr>
          <w:rtl/>
          <w:lang w:bidi="fa-IR"/>
        </w:rPr>
      </w:pPr>
      <w:r>
        <w:rPr>
          <w:rtl/>
          <w:lang w:bidi="fa-IR"/>
        </w:rPr>
        <w:t>8369 / 14. مُحَمَّدُ بْنُ يَحْيى ، عَنْ أَحْمَدَ بْنِ مُحَمَّدٍ ، عَنْ عَلِيِّ بْنِ الْحَكَمِ ، عَنْ عَلِيٍّ الْأَحْمَسِيِّ ، عَنْ رَجُلٍ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نِعْمَ الْعَوْنُ الدُّنْيَا عَلى طَلَبِ الْآخِرَةِ ». </w:t>
      </w:r>
      <w:r w:rsidRPr="00D10E3C">
        <w:rPr>
          <w:rStyle w:val="libFootnotenumChar"/>
          <w:rtl/>
        </w:rPr>
        <w:t>(4)</w:t>
      </w:r>
    </w:p>
    <w:p w:rsidR="00144FA6" w:rsidRDefault="00744A1C" w:rsidP="00744A1C">
      <w:pPr>
        <w:pStyle w:val="libNormal"/>
        <w:rPr>
          <w:rtl/>
          <w:lang w:bidi="fa-IR"/>
        </w:rPr>
      </w:pPr>
      <w:r>
        <w:rPr>
          <w:rtl/>
          <w:lang w:bidi="fa-IR"/>
        </w:rPr>
        <w:t>8370 / 15. عِدَّةٌ مِنْ أَصْحَابِنَا ، عَنْ سَهْلِ بْنِ زِيَادٍ ، عَنْ عَلِيِّ بْنِ أَسْبَاطٍ ، عَنْ ذَرِيحٍ الْمُحَارِبِيِّ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نِعْمَ الْعَوْنُ الدُّنْيَا عَلَى </w:t>
      </w:r>
      <w:r w:rsidRPr="00D10E3C">
        <w:rPr>
          <w:rStyle w:val="libFootnotenumChar"/>
          <w:rtl/>
        </w:rPr>
        <w:t>(5)</w:t>
      </w:r>
      <w:r>
        <w:rPr>
          <w:rtl/>
          <w:lang w:bidi="fa-IR"/>
        </w:rPr>
        <w:t xml:space="preserve"> الْآخِرَةِ ». </w:t>
      </w:r>
      <w:r w:rsidRPr="00D10E3C">
        <w:rPr>
          <w:rStyle w:val="libFootnotenumChar"/>
          <w:rtl/>
        </w:rPr>
        <w:t>(6)</w:t>
      </w:r>
    </w:p>
    <w:p w:rsidR="00744A1C" w:rsidRDefault="00744A1C" w:rsidP="0068173C">
      <w:pPr>
        <w:pStyle w:val="Heading2Center"/>
        <w:rPr>
          <w:lang w:bidi="fa-IR"/>
        </w:rPr>
      </w:pPr>
      <w:bookmarkStart w:id="127" w:name="_Toc49261425"/>
      <w:r>
        <w:rPr>
          <w:rtl/>
          <w:lang w:bidi="fa-IR"/>
        </w:rPr>
        <w:t>4 - بَابُ مَا يَجِبُ مِنَ الِاقْتِدَاءِ بِالْأَئِمَّةِ عَلَيْهِمُ السَّلَامُ فِي التَّعَرُّضِ لِلرِّزْقِ‌</w:t>
      </w:r>
      <w:bookmarkEnd w:id="127"/>
    </w:p>
    <w:p w:rsidR="0068173C" w:rsidRDefault="00744A1C" w:rsidP="0068173C">
      <w:pPr>
        <w:pStyle w:val="libNormal"/>
        <w:rPr>
          <w:rtl/>
          <w:lang w:bidi="fa-IR"/>
        </w:rPr>
      </w:pPr>
      <w:r>
        <w:rPr>
          <w:rtl/>
          <w:lang w:bidi="fa-IR"/>
        </w:rPr>
        <w:t>8371 / 1. عَلِيُّ بْنُ إِبْرَاهِيمَ ، عَنْ أَبِيهِ ؛</w:t>
      </w:r>
    </w:p>
    <w:p w:rsidR="00144FA6" w:rsidRDefault="0068173C" w:rsidP="0068173C">
      <w:pPr>
        <w:pStyle w:val="libNormal"/>
        <w:rPr>
          <w:rtl/>
          <w:lang w:bidi="fa-IR"/>
        </w:rPr>
      </w:pPr>
      <w:r>
        <w:rPr>
          <w:rFonts w:hint="cs"/>
          <w:rtl/>
          <w:lang w:bidi="fa-IR"/>
        </w:rPr>
        <w:t xml:space="preserve">             </w:t>
      </w:r>
      <w:r w:rsidR="00744A1C">
        <w:rPr>
          <w:rtl/>
          <w:lang w:bidi="fa-IR"/>
        </w:rPr>
        <w:t>وَمُحَمَّدُ بْنُ إِسْمَاعِيلَ ، عَنِ الْفَضْلِ بْنِ شَاذَانَ جَمِيعاً ، عَنِ ابْنِ أَبِي عُمَيْرٍ ، عَنْ عَبْدِ الرَّحْمنِ بْنِ الْحَجَّاجِ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مُحَمَّدَ بْنَ الْمُنْكَدِرِ كَانَ يَقُولُ : مَا كُنْتُ أَرى </w:t>
      </w:r>
      <w:r w:rsidRPr="00D10E3C">
        <w:rPr>
          <w:rStyle w:val="libFootnotenumChar"/>
          <w:rtl/>
        </w:rPr>
        <w:t>(7)</w:t>
      </w:r>
      <w:r>
        <w:rPr>
          <w:rtl/>
          <w:lang w:bidi="fa-IR"/>
        </w:rPr>
        <w:t xml:space="preserve"> أَنَّ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بح ، بس » وحاشية « جت » </w:t>
      </w:r>
      <w:r w:rsidR="00744A1C" w:rsidRPr="0068173C">
        <w:rPr>
          <w:rtl/>
        </w:rPr>
        <w:t>والمرآة</w:t>
      </w:r>
      <w:r w:rsidR="00744A1C">
        <w:rPr>
          <w:rtl/>
          <w:lang w:bidi="fa-IR"/>
        </w:rPr>
        <w:t xml:space="preserve"> : « الخير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w:t>
      </w:r>
      <w:r w:rsidR="00744A1C" w:rsidRPr="00642E03">
        <w:rPr>
          <w:rtl/>
        </w:rPr>
        <w:t>والوافي والوسائل</w:t>
      </w:r>
      <w:r w:rsidR="00744A1C">
        <w:rPr>
          <w:rtl/>
          <w:lang w:bidi="fa-IR"/>
        </w:rPr>
        <w:t xml:space="preserve"> ، ح 30662 </w:t>
      </w:r>
      <w:r w:rsidR="00744A1C" w:rsidRPr="00642E03">
        <w:rPr>
          <w:rtl/>
        </w:rPr>
        <w:t>والكافي</w:t>
      </w:r>
      <w:r w:rsidR="00744A1C">
        <w:rPr>
          <w:rtl/>
          <w:lang w:bidi="fa-IR"/>
        </w:rPr>
        <w:t xml:space="preserve"> ، ح 11642 </w:t>
      </w:r>
      <w:r w:rsidR="00744A1C" w:rsidRPr="00642E03">
        <w:rPr>
          <w:rtl/>
        </w:rPr>
        <w:t>والمحاسن</w:t>
      </w:r>
      <w:r w:rsidR="00744A1C">
        <w:rPr>
          <w:rtl/>
          <w:lang w:bidi="fa-IR"/>
        </w:rPr>
        <w:t>. وفي المطبوع : « ما صلّينا ولا صمنا ».</w:t>
      </w:r>
    </w:p>
    <w:p w:rsidR="00744A1C" w:rsidRDefault="00E378DD" w:rsidP="00E378DD">
      <w:pPr>
        <w:pStyle w:val="libFootnote0"/>
        <w:rPr>
          <w:lang w:bidi="fa-IR"/>
        </w:rPr>
      </w:pPr>
      <w:r>
        <w:rPr>
          <w:rtl/>
          <w:lang w:bidi="fa-IR"/>
        </w:rPr>
        <w:t>(3).</w:t>
      </w:r>
      <w:r w:rsidR="00744A1C">
        <w:rPr>
          <w:rtl/>
          <w:lang w:bidi="fa-IR"/>
        </w:rPr>
        <w:t xml:space="preserve"> </w:t>
      </w:r>
      <w:r w:rsidR="00744A1C" w:rsidRPr="0061079A">
        <w:rPr>
          <w:rStyle w:val="libFootnoteBoldChar"/>
          <w:rtl/>
        </w:rPr>
        <w:t>الكافي</w:t>
      </w:r>
      <w:r w:rsidR="00744A1C">
        <w:rPr>
          <w:rtl/>
          <w:lang w:bidi="fa-IR"/>
        </w:rPr>
        <w:t xml:space="preserve"> ، كتاب الأطعمة ، باب أنّ ابن آدم أجوف لابدّ له من الطعام ، ح 11642. وفي </w:t>
      </w:r>
      <w:r w:rsidR="00744A1C" w:rsidRPr="003A7143">
        <w:rPr>
          <w:rStyle w:val="libFootnoteBoldChar"/>
          <w:rtl/>
        </w:rPr>
        <w:t>المحاسن</w:t>
      </w:r>
      <w:r w:rsidR="00744A1C">
        <w:rPr>
          <w:rtl/>
          <w:lang w:bidi="fa-IR"/>
        </w:rPr>
        <w:t xml:space="preserve"> ، ص 586 ، كتاب الماء ، ح 83 ، عن أبيه ، عن أبي البختري </w:t>
      </w:r>
      <w:r w:rsidR="00642E03">
        <w:rPr>
          <w:rFonts w:hint="cs"/>
          <w:rtl/>
          <w:lang w:bidi="fa-IR"/>
        </w:rPr>
        <w:t>.</w:t>
      </w:r>
      <w:r w:rsidR="00744A1C" w:rsidRPr="00C24F9C">
        <w:rPr>
          <w:rStyle w:val="libFootnoteBoldChar"/>
          <w:rtl/>
        </w:rPr>
        <w:t>الوافي</w:t>
      </w:r>
      <w:r w:rsidR="00744A1C">
        <w:rPr>
          <w:rtl/>
          <w:lang w:bidi="fa-IR"/>
        </w:rPr>
        <w:t xml:space="preserve"> ، ج 19 ، ص 271 ، ح 19377 ؛ </w:t>
      </w:r>
      <w:r w:rsidR="00744A1C" w:rsidRPr="00C24F9C">
        <w:rPr>
          <w:rStyle w:val="libFootnoteBoldChar"/>
          <w:rtl/>
        </w:rPr>
        <w:t>الوسائل</w:t>
      </w:r>
      <w:r w:rsidR="00744A1C">
        <w:rPr>
          <w:rtl/>
          <w:lang w:bidi="fa-IR"/>
        </w:rPr>
        <w:t xml:space="preserve"> ، ج 17 ، ص 30 ، ح 21902 ؛ وج 24 ، ص 323 ، ح 30662.</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17 ، ص 40 ، ح 16834 ؛ </w:t>
      </w:r>
      <w:r w:rsidR="00744A1C" w:rsidRPr="00C24F9C">
        <w:rPr>
          <w:rStyle w:val="libFootnoteBoldChar"/>
          <w:rtl/>
        </w:rPr>
        <w:t>الوسائل</w:t>
      </w:r>
      <w:r w:rsidR="00744A1C">
        <w:rPr>
          <w:rtl/>
          <w:lang w:bidi="fa-IR"/>
        </w:rPr>
        <w:t xml:space="preserve"> ، ج 17 ، ص 30 ، ح 21901.</w:t>
      </w:r>
    </w:p>
    <w:p w:rsidR="00744A1C" w:rsidRDefault="00E378DD" w:rsidP="00E378DD">
      <w:pPr>
        <w:pStyle w:val="libFootnote0"/>
        <w:rPr>
          <w:lang w:bidi="fa-IR"/>
        </w:rPr>
      </w:pPr>
      <w:r>
        <w:rPr>
          <w:rtl/>
          <w:lang w:bidi="fa-IR"/>
        </w:rPr>
        <w:t>(5).</w:t>
      </w:r>
      <w:r w:rsidR="00744A1C">
        <w:rPr>
          <w:rtl/>
          <w:lang w:bidi="fa-IR"/>
        </w:rPr>
        <w:t xml:space="preserve"> في « ى ، بس ، جن » وحاشية « بح » : + « طلب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17 ، ص 39 ، ح 16832 ؛ </w:t>
      </w:r>
      <w:r w:rsidR="00744A1C" w:rsidRPr="00C24F9C">
        <w:rPr>
          <w:rStyle w:val="libFootnoteBoldChar"/>
          <w:rtl/>
        </w:rPr>
        <w:t>الوسائل</w:t>
      </w:r>
      <w:r w:rsidR="00744A1C">
        <w:rPr>
          <w:rtl/>
          <w:lang w:bidi="fa-IR"/>
        </w:rPr>
        <w:t xml:space="preserve"> ، ج 17 ، ص 29 ، ذيل ح 21901.</w:t>
      </w:r>
    </w:p>
    <w:p w:rsidR="00744A1C" w:rsidRDefault="00E378DD" w:rsidP="00E378DD">
      <w:pPr>
        <w:pStyle w:val="libFootnote0"/>
        <w:rPr>
          <w:lang w:bidi="fa-IR"/>
        </w:rPr>
      </w:pPr>
      <w:r>
        <w:rPr>
          <w:rtl/>
          <w:lang w:bidi="fa-IR"/>
        </w:rPr>
        <w:t>(7).</w:t>
      </w:r>
      <w:r w:rsidR="00744A1C">
        <w:rPr>
          <w:rtl/>
          <w:lang w:bidi="fa-IR"/>
        </w:rPr>
        <w:t xml:space="preserve"> في </w:t>
      </w:r>
      <w:r w:rsidR="00744A1C" w:rsidRPr="00642E03">
        <w:rPr>
          <w:rtl/>
        </w:rPr>
        <w:t>الوسائل</w:t>
      </w:r>
      <w:r w:rsidR="00744A1C">
        <w:rPr>
          <w:rtl/>
          <w:lang w:bidi="fa-IR"/>
        </w:rPr>
        <w:t xml:space="preserve"> : « أظنّ ».</w:t>
      </w:r>
    </w:p>
    <w:p w:rsidR="00744A1C" w:rsidRDefault="00E378DD" w:rsidP="00E378DD">
      <w:pPr>
        <w:pStyle w:val="libFootnote0"/>
        <w:rPr>
          <w:lang w:bidi="fa-IR"/>
        </w:rPr>
      </w:pPr>
      <w:r>
        <w:rPr>
          <w:rtl/>
          <w:lang w:bidi="fa-IR"/>
        </w:rPr>
        <w:t>(8).</w:t>
      </w:r>
      <w:r w:rsidR="00744A1C">
        <w:rPr>
          <w:rtl/>
          <w:lang w:bidi="fa-IR"/>
        </w:rPr>
        <w:t xml:space="preserve"> في « جن » : - « أنّ ».</w:t>
      </w:r>
    </w:p>
    <w:p w:rsidR="006A5060" w:rsidRDefault="006A5060" w:rsidP="00D10E3C">
      <w:pPr>
        <w:pStyle w:val="libNormal"/>
        <w:rPr>
          <w:rtl/>
          <w:lang w:bidi="fa-IR"/>
        </w:rPr>
      </w:pPr>
      <w:r>
        <w:rPr>
          <w:rtl/>
          <w:lang w:bidi="fa-IR"/>
        </w:rPr>
        <w:br w:type="page"/>
      </w:r>
    </w:p>
    <w:p w:rsidR="00744A1C" w:rsidRDefault="00744A1C" w:rsidP="00642E03">
      <w:pPr>
        <w:pStyle w:val="libNormal0"/>
        <w:rPr>
          <w:lang w:bidi="fa-IR"/>
        </w:rPr>
      </w:pPr>
      <w:r>
        <w:rPr>
          <w:rtl/>
          <w:lang w:bidi="fa-IR"/>
        </w:rPr>
        <w:t xml:space="preserve">عَلِيَّ بْنَ الْحُسَيْنِ </w:t>
      </w:r>
      <w:r w:rsidR="008859AA" w:rsidRPr="008859AA">
        <w:rPr>
          <w:rStyle w:val="libAlaemChar"/>
          <w:rtl/>
        </w:rPr>
        <w:t>عليهما‌السلام</w:t>
      </w:r>
      <w:r>
        <w:rPr>
          <w:rtl/>
          <w:lang w:bidi="fa-IR"/>
        </w:rPr>
        <w:t xml:space="preserve">يَدَعُ خَلَفاً أَفْضَلَ مِنْهُ </w:t>
      </w:r>
      <w:r w:rsidRPr="00D10E3C">
        <w:rPr>
          <w:rStyle w:val="libFootnotenumChar"/>
          <w:rtl/>
        </w:rPr>
        <w:t>(1)</w:t>
      </w:r>
      <w:r>
        <w:rPr>
          <w:rtl/>
          <w:lang w:bidi="fa-IR"/>
        </w:rPr>
        <w:t xml:space="preserve"> حَتّى رَأَيْتُ ابْنَهُ مُحَمَّدَ بْنَ عَلِيٍّ </w:t>
      </w:r>
      <w:r w:rsidR="008859AA" w:rsidRPr="008859AA">
        <w:rPr>
          <w:rStyle w:val="libAlaemChar"/>
          <w:rtl/>
        </w:rPr>
        <w:t>عليهما‌السلام</w:t>
      </w:r>
      <w:r>
        <w:rPr>
          <w:rtl/>
          <w:lang w:bidi="fa-IR"/>
        </w:rPr>
        <w:t xml:space="preserve">، فَأَرَدْتُ أَنْ أَعِظَهُ ، فَوَعَظَنِي ، فَقَالَ لَهُ أَصْحَابُهُ : بِأَيِّ شَيْ‌ءٍ وَعَظَكَ؟ قَالَ : خَرَجْتُ إِلى بَعْضِ نَوَاحِي الْمَدِينَةِ فِي سَاعَةٍ حَارَّةٍ ، فَلَقِيَنِي أَبُو جَعْفَرٍ مُحَمَّدُ بْنُ عَلِيٍّ </w:t>
      </w:r>
      <w:r w:rsidRPr="00D10E3C">
        <w:rPr>
          <w:rStyle w:val="libFootnotenumChar"/>
          <w:rtl/>
        </w:rPr>
        <w:t>(2)</w:t>
      </w:r>
      <w:r>
        <w:rPr>
          <w:rtl/>
          <w:lang w:bidi="fa-IR"/>
        </w:rPr>
        <w:t xml:space="preserve"> ، وَكَانَ رَجُلاً بَادِناً </w:t>
      </w:r>
      <w:r w:rsidRPr="00D10E3C">
        <w:rPr>
          <w:rStyle w:val="libFootnotenumChar"/>
          <w:rtl/>
        </w:rPr>
        <w:t>(3)</w:t>
      </w:r>
      <w:r>
        <w:rPr>
          <w:rtl/>
          <w:lang w:bidi="fa-IR"/>
        </w:rPr>
        <w:t xml:space="preserve"> ثَقِيلاً </w:t>
      </w:r>
      <w:r w:rsidRPr="00D10E3C">
        <w:rPr>
          <w:rStyle w:val="libFootnotenumChar"/>
          <w:rtl/>
        </w:rPr>
        <w:t>(4)</w:t>
      </w:r>
      <w:r>
        <w:rPr>
          <w:rtl/>
          <w:lang w:bidi="fa-IR"/>
        </w:rPr>
        <w:t xml:space="preserve"> ، وَهُوَ مُتَّكِئٌ عَلى غُلَامَيْنِ أَسْوَدَيْنِ أَوْ مَوْلَيَيْنِ </w:t>
      </w:r>
      <w:r w:rsidRPr="00D10E3C">
        <w:rPr>
          <w:rStyle w:val="libFootnotenumChar"/>
          <w:rtl/>
        </w:rPr>
        <w:t>(5)</w:t>
      </w:r>
      <w:r>
        <w:rPr>
          <w:rtl/>
          <w:lang w:bidi="fa-IR"/>
        </w:rPr>
        <w:t xml:space="preserve"> ، فَقُلْتُ فِي نَفْسِي : سُبْحَانَ اللهِ! شَيْخٌ مِنْ أَشْيَاخِ قُرَيْشٍ فِي هذِهِ السَّاعَةِ </w:t>
      </w:r>
      <w:r w:rsidRPr="00D10E3C">
        <w:rPr>
          <w:rStyle w:val="libFootnotenumChar"/>
          <w:rtl/>
        </w:rPr>
        <w:t>(6)</w:t>
      </w:r>
      <w:r>
        <w:rPr>
          <w:rtl/>
          <w:lang w:bidi="fa-IR"/>
        </w:rPr>
        <w:t xml:space="preserve"> عَلى </w:t>
      </w:r>
      <w:r w:rsidRPr="00D10E3C">
        <w:rPr>
          <w:rStyle w:val="libFootnotenumChar"/>
          <w:rtl/>
        </w:rPr>
        <w:t>(7)</w:t>
      </w:r>
      <w:r>
        <w:rPr>
          <w:rtl/>
          <w:lang w:bidi="fa-IR"/>
        </w:rPr>
        <w:t xml:space="preserve"> هذِهِ الْحَالِ </w:t>
      </w:r>
      <w:r w:rsidRPr="00D10E3C">
        <w:rPr>
          <w:rStyle w:val="libFootnotenumChar"/>
          <w:rtl/>
        </w:rPr>
        <w:t>(8)</w:t>
      </w:r>
      <w:r>
        <w:rPr>
          <w:rtl/>
          <w:lang w:bidi="fa-IR"/>
        </w:rPr>
        <w:t xml:space="preserve"> فِي طَلَبِ الدُّنْيَا! أَمَا </w:t>
      </w:r>
      <w:r w:rsidRPr="00D10E3C">
        <w:rPr>
          <w:rStyle w:val="libFootnotenumChar"/>
          <w:rtl/>
        </w:rPr>
        <w:t>(9)</w:t>
      </w:r>
      <w:r>
        <w:rPr>
          <w:rtl/>
          <w:lang w:bidi="fa-IR"/>
        </w:rPr>
        <w:t xml:space="preserve"> لَأَعِظَنَّهُ ، فَدَنَوْتُ مِنْهُ </w:t>
      </w:r>
      <w:r w:rsidRPr="00D10E3C">
        <w:rPr>
          <w:rStyle w:val="libFootnotenumChar"/>
          <w:rtl/>
        </w:rPr>
        <w:t>(10)</w:t>
      </w:r>
      <w:r>
        <w:rPr>
          <w:rtl/>
          <w:lang w:bidi="fa-IR"/>
        </w:rPr>
        <w:t xml:space="preserve"> ، فَسَلَّمْتُ عَلَيْهِ ، فَرَدَّ عَلَيَّ </w:t>
      </w:r>
      <w:r w:rsidRPr="00D10E3C">
        <w:rPr>
          <w:rStyle w:val="libFootnotenumChar"/>
          <w:rtl/>
        </w:rPr>
        <w:t>(11)</w:t>
      </w:r>
      <w:r>
        <w:rPr>
          <w:rtl/>
          <w:lang w:bidi="fa-IR"/>
        </w:rPr>
        <w:t xml:space="preserve"> بِنَهْرٍ </w:t>
      </w:r>
      <w:r w:rsidRPr="00D10E3C">
        <w:rPr>
          <w:rStyle w:val="libFootnotenumChar"/>
          <w:rtl/>
        </w:rPr>
        <w:t>(12)</w:t>
      </w:r>
      <w:r>
        <w:rPr>
          <w:rtl/>
          <w:lang w:bidi="fa-IR"/>
        </w:rPr>
        <w:t xml:space="preserve"> وَهُوَ يَتَصَابُّ عَرَقاً ، فَقُلْتُ : أَصْلَحَكَ اللهُ </w:t>
      </w:r>
      <w:r w:rsidRPr="00D10E3C">
        <w:rPr>
          <w:rStyle w:val="libFootnotenumChar"/>
          <w:rtl/>
        </w:rPr>
        <w:t>(13)</w:t>
      </w:r>
      <w:r>
        <w:rPr>
          <w:rtl/>
          <w:lang w:bidi="fa-IR"/>
        </w:rPr>
        <w:t xml:space="preserve"> ، شَيْخٌ مِنْ أَشْيَاخِ </w:t>
      </w:r>
      <w:r w:rsidRPr="00D10E3C">
        <w:rPr>
          <w:rStyle w:val="libFootnotenumChar"/>
          <w:rtl/>
        </w:rPr>
        <w:t>(14)</w:t>
      </w:r>
      <w:r>
        <w:rPr>
          <w:rtl/>
          <w:lang w:bidi="fa-IR"/>
        </w:rPr>
        <w:t xml:space="preserve"> قُرَيْشٍ فِي هذِهِ السَّاعَةِ </w:t>
      </w:r>
      <w:r w:rsidRPr="00D10E3C">
        <w:rPr>
          <w:rStyle w:val="libFootnotenumChar"/>
          <w:rtl/>
        </w:rPr>
        <w:t>(15)</w:t>
      </w:r>
      <w:r>
        <w:rPr>
          <w:rtl/>
          <w:lang w:bidi="fa-IR"/>
        </w:rPr>
        <w:t xml:space="preserve"> عَلى هذِهِ الْحَالِ فِي طَلَبِ الدُّنْيَا! أَرَأَيْتَ لَوْ جَاءَ </w:t>
      </w:r>
      <w:r w:rsidRPr="00D10E3C">
        <w:rPr>
          <w:rStyle w:val="libFootnotenumChar"/>
          <w:rtl/>
        </w:rPr>
        <w:t>(16)</w:t>
      </w:r>
      <w:r>
        <w:rPr>
          <w:rtl/>
          <w:lang w:bidi="fa-IR"/>
        </w:rPr>
        <w:t xml:space="preserve"> أَجَلُكَ وَأَنْتَ عَلى هذِهِ الْحَالِ </w:t>
      </w:r>
      <w:r w:rsidRPr="00D10E3C">
        <w:rPr>
          <w:rStyle w:val="libFootnotenumChar"/>
          <w:rtl/>
        </w:rPr>
        <w:t>(17)</w:t>
      </w:r>
      <w:r>
        <w:rPr>
          <w:rtl/>
          <w:lang w:bidi="fa-IR"/>
        </w:rPr>
        <w:t xml:space="preserve"> ، مَا كُنْتَ تَصْنَعُ </w:t>
      </w:r>
      <w:r w:rsidRPr="00D10E3C">
        <w:rPr>
          <w:rStyle w:val="libFootnotenumChar"/>
          <w:rtl/>
        </w:rPr>
        <w:t>(18)</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w:t>
      </w:r>
      <w:r w:rsidR="00744A1C" w:rsidRPr="00642E03">
        <w:rPr>
          <w:rtl/>
        </w:rPr>
        <w:t>والتهذيب</w:t>
      </w:r>
      <w:r w:rsidR="00744A1C">
        <w:rPr>
          <w:rtl/>
          <w:lang w:bidi="fa-IR"/>
        </w:rPr>
        <w:t xml:space="preserve"> : « من عليّ بن الحسين </w:t>
      </w:r>
      <w:r w:rsidR="00F112A7" w:rsidRPr="00CE5A92">
        <w:rPr>
          <w:rStyle w:val="libFootnoteAlaemChar"/>
          <w:rtl/>
        </w:rPr>
        <w:t>عليهما‌السلام</w:t>
      </w:r>
      <w:r w:rsidR="00744A1C">
        <w:rPr>
          <w:rtl/>
          <w:lang w:bidi="fa-IR"/>
        </w:rPr>
        <w:t>» بدل « منه ».</w:t>
      </w:r>
    </w:p>
    <w:p w:rsidR="00744A1C" w:rsidRDefault="00E378DD" w:rsidP="00E378DD">
      <w:pPr>
        <w:pStyle w:val="libFootnote0"/>
        <w:rPr>
          <w:lang w:bidi="fa-IR"/>
        </w:rPr>
      </w:pPr>
      <w:r>
        <w:rPr>
          <w:rtl/>
          <w:lang w:bidi="fa-IR"/>
        </w:rPr>
        <w:t>(2).</w:t>
      </w:r>
      <w:r w:rsidR="00744A1C">
        <w:rPr>
          <w:rtl/>
          <w:lang w:bidi="fa-IR"/>
        </w:rPr>
        <w:t xml:space="preserve"> في « ط » : - « محمّد بن عليّ ». وفي « ى ، بس ، جد » : + « </w:t>
      </w:r>
      <w:r w:rsidR="00F112A7" w:rsidRPr="00642E03">
        <w:rPr>
          <w:rtl/>
        </w:rPr>
        <w:t>عليهما‌</w:t>
      </w:r>
      <w:r w:rsidR="00642E03">
        <w:rPr>
          <w:rFonts w:hint="cs"/>
          <w:rtl/>
        </w:rPr>
        <w:t xml:space="preserve"> </w:t>
      </w:r>
      <w:r w:rsidR="00F112A7" w:rsidRPr="00642E03">
        <w:rPr>
          <w:rtl/>
        </w:rPr>
        <w:t>السلام</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البادِنُ : الجَسيم والسَّمين والضَّخِم. راجع : </w:t>
      </w:r>
      <w:r w:rsidR="00744A1C" w:rsidRPr="00877682">
        <w:rPr>
          <w:rStyle w:val="libFootnoteBoldChar"/>
          <w:rtl/>
        </w:rPr>
        <w:t>لسان العرب</w:t>
      </w:r>
      <w:r w:rsidR="00744A1C">
        <w:rPr>
          <w:rtl/>
          <w:lang w:bidi="fa-IR"/>
        </w:rPr>
        <w:t xml:space="preserve"> ، ج 13 ، ص 47 ( بدن ).</w:t>
      </w:r>
    </w:p>
    <w:p w:rsidR="00744A1C" w:rsidRDefault="00E378DD" w:rsidP="00E378DD">
      <w:pPr>
        <w:pStyle w:val="libFootnote0"/>
        <w:rPr>
          <w:lang w:bidi="fa-IR"/>
        </w:rPr>
      </w:pPr>
      <w:r>
        <w:rPr>
          <w:rtl/>
          <w:lang w:bidi="fa-IR"/>
        </w:rPr>
        <w:t>(4).</w:t>
      </w:r>
      <w:r w:rsidR="00744A1C">
        <w:rPr>
          <w:rtl/>
          <w:lang w:bidi="fa-IR"/>
        </w:rPr>
        <w:t xml:space="preserve"> في « بف » </w:t>
      </w:r>
      <w:r w:rsidR="00744A1C" w:rsidRPr="00642E03">
        <w:rPr>
          <w:rtl/>
        </w:rPr>
        <w:t>والوافي</w:t>
      </w:r>
      <w:r w:rsidR="00744A1C">
        <w:rPr>
          <w:rtl/>
          <w:lang w:bidi="fa-IR"/>
        </w:rPr>
        <w:t xml:space="preserve"> : + « فلقيني ».</w:t>
      </w:r>
    </w:p>
    <w:p w:rsidR="00744A1C" w:rsidRDefault="00E378DD" w:rsidP="00E378DD">
      <w:pPr>
        <w:pStyle w:val="libFootnote0"/>
        <w:rPr>
          <w:lang w:bidi="fa-IR"/>
        </w:rPr>
      </w:pPr>
      <w:r>
        <w:rPr>
          <w:rtl/>
          <w:lang w:bidi="fa-IR"/>
        </w:rPr>
        <w:t>(5).</w:t>
      </w:r>
      <w:r w:rsidR="00744A1C">
        <w:rPr>
          <w:rtl/>
          <w:lang w:bidi="fa-IR"/>
        </w:rPr>
        <w:t xml:space="preserve"> في « بح » : « وموليين ». وفي </w:t>
      </w:r>
      <w:r w:rsidR="00744A1C" w:rsidRPr="00C24F9C">
        <w:rPr>
          <w:rStyle w:val="libFootnoteBoldChar"/>
          <w:rtl/>
        </w:rPr>
        <w:t>الوافي</w:t>
      </w:r>
      <w:r w:rsidR="00744A1C">
        <w:rPr>
          <w:rtl/>
          <w:lang w:bidi="fa-IR"/>
        </w:rPr>
        <w:t xml:space="preserve"> : « أكثر إطلاق المولى على غير العربيّ الصريح والنزيل والتابع ».</w:t>
      </w:r>
    </w:p>
    <w:tbl>
      <w:tblPr>
        <w:tblStyle w:val="TableGrid"/>
        <w:bidiVisual/>
        <w:tblW w:w="0" w:type="auto"/>
        <w:tblLook w:val="04A0" w:firstRow="1" w:lastRow="0" w:firstColumn="1" w:lastColumn="0" w:noHBand="0" w:noVBand="1"/>
      </w:tblPr>
      <w:tblGrid>
        <w:gridCol w:w="4006"/>
        <w:gridCol w:w="4006"/>
      </w:tblGrid>
      <w:tr w:rsidR="00642E03" w:rsidTr="00642E03">
        <w:tc>
          <w:tcPr>
            <w:tcW w:w="4006" w:type="dxa"/>
          </w:tcPr>
          <w:p w:rsidR="00642E03" w:rsidRDefault="00642E03" w:rsidP="00E378DD">
            <w:pPr>
              <w:pStyle w:val="libFootnote0"/>
              <w:rPr>
                <w:rtl/>
                <w:lang w:bidi="fa-IR"/>
              </w:rPr>
            </w:pPr>
            <w:r>
              <w:rPr>
                <w:rtl/>
                <w:lang w:bidi="fa-IR"/>
              </w:rPr>
              <w:t>(6). في « بس ، جن » : + « الحارّة ».</w:t>
            </w:r>
          </w:p>
        </w:tc>
        <w:tc>
          <w:tcPr>
            <w:tcW w:w="4006" w:type="dxa"/>
          </w:tcPr>
          <w:p w:rsidR="00642E03" w:rsidRDefault="00642E03" w:rsidP="00E378DD">
            <w:pPr>
              <w:pStyle w:val="libFootnote0"/>
              <w:rPr>
                <w:rtl/>
                <w:lang w:bidi="fa-IR"/>
              </w:rPr>
            </w:pPr>
            <w:r>
              <w:rPr>
                <w:rtl/>
                <w:lang w:bidi="fa-IR"/>
              </w:rPr>
              <w:t xml:space="preserve">(7). في </w:t>
            </w:r>
            <w:r w:rsidRPr="00642E03">
              <w:rPr>
                <w:rtl/>
              </w:rPr>
              <w:t>الوسائل والتهذيب</w:t>
            </w:r>
            <w:r>
              <w:rPr>
                <w:rtl/>
                <w:lang w:bidi="fa-IR"/>
              </w:rPr>
              <w:t xml:space="preserve"> : + « مثل ».</w:t>
            </w:r>
          </w:p>
        </w:tc>
      </w:tr>
      <w:tr w:rsidR="00642E03" w:rsidTr="00642E03">
        <w:tc>
          <w:tcPr>
            <w:tcW w:w="4006" w:type="dxa"/>
          </w:tcPr>
          <w:p w:rsidR="00642E03" w:rsidRDefault="00642E03" w:rsidP="00E378DD">
            <w:pPr>
              <w:pStyle w:val="libFootnote0"/>
              <w:rPr>
                <w:rtl/>
                <w:lang w:bidi="fa-IR"/>
              </w:rPr>
            </w:pPr>
            <w:r>
              <w:rPr>
                <w:rtl/>
                <w:lang w:bidi="fa-IR"/>
              </w:rPr>
              <w:t xml:space="preserve">(8). في « بخ » </w:t>
            </w:r>
            <w:r w:rsidRPr="00642E03">
              <w:rPr>
                <w:rtl/>
              </w:rPr>
              <w:t>والوافي والوسائل</w:t>
            </w:r>
            <w:r>
              <w:rPr>
                <w:rtl/>
                <w:lang w:bidi="fa-IR"/>
              </w:rPr>
              <w:t xml:space="preserve"> : « الحالة ».</w:t>
            </w:r>
          </w:p>
        </w:tc>
        <w:tc>
          <w:tcPr>
            <w:tcW w:w="4006" w:type="dxa"/>
          </w:tcPr>
          <w:p w:rsidR="00642E03" w:rsidRDefault="00642E03" w:rsidP="00E378DD">
            <w:pPr>
              <w:pStyle w:val="libFootnote0"/>
              <w:rPr>
                <w:rtl/>
                <w:lang w:bidi="fa-IR"/>
              </w:rPr>
            </w:pPr>
            <w:r>
              <w:rPr>
                <w:rtl/>
                <w:lang w:bidi="fa-IR"/>
              </w:rPr>
              <w:t xml:space="preserve">(9). في </w:t>
            </w:r>
            <w:r w:rsidRPr="00642E03">
              <w:rPr>
                <w:rtl/>
              </w:rPr>
              <w:t xml:space="preserve">التهذيب </w:t>
            </w:r>
            <w:r>
              <w:rPr>
                <w:rtl/>
                <w:lang w:bidi="fa-IR"/>
              </w:rPr>
              <w:t>: + « إنّي ».</w:t>
            </w:r>
          </w:p>
        </w:tc>
      </w:tr>
    </w:tbl>
    <w:p w:rsidR="00744A1C" w:rsidRDefault="00E378DD" w:rsidP="00E378DD">
      <w:pPr>
        <w:pStyle w:val="libFootnote0"/>
        <w:rPr>
          <w:lang w:bidi="fa-IR"/>
        </w:rPr>
      </w:pPr>
      <w:r>
        <w:rPr>
          <w:rtl/>
          <w:lang w:bidi="fa-IR"/>
        </w:rPr>
        <w:t>(10).</w:t>
      </w:r>
      <w:r w:rsidR="00744A1C">
        <w:rPr>
          <w:rtl/>
          <w:lang w:bidi="fa-IR"/>
        </w:rPr>
        <w:t xml:space="preserve"> في « ى » : - « منه ».</w:t>
      </w:r>
    </w:p>
    <w:p w:rsidR="00744A1C" w:rsidRDefault="00E378DD" w:rsidP="00E378DD">
      <w:pPr>
        <w:pStyle w:val="libFootnote0"/>
        <w:rPr>
          <w:lang w:bidi="fa-IR"/>
        </w:rPr>
      </w:pPr>
      <w:r>
        <w:rPr>
          <w:rtl/>
          <w:lang w:bidi="fa-IR"/>
        </w:rPr>
        <w:t>(11).</w:t>
      </w:r>
      <w:r w:rsidR="00744A1C">
        <w:rPr>
          <w:rtl/>
          <w:lang w:bidi="fa-IR"/>
        </w:rPr>
        <w:t xml:space="preserve"> هكذا في جميع النسخ التي قوبلت </w:t>
      </w:r>
      <w:r w:rsidR="00744A1C" w:rsidRPr="00642E03">
        <w:rPr>
          <w:rtl/>
        </w:rPr>
        <w:t>والوافي والوسائل والبحار والتهذيب</w:t>
      </w:r>
      <w:r w:rsidR="00744A1C">
        <w:rPr>
          <w:rtl/>
          <w:lang w:bidi="fa-IR"/>
        </w:rPr>
        <w:t>. وفي المطبوع : + « السلام ».</w:t>
      </w:r>
    </w:p>
    <w:p w:rsidR="00744A1C" w:rsidRDefault="00E378DD" w:rsidP="00E378DD">
      <w:pPr>
        <w:pStyle w:val="libFootnote0"/>
        <w:rPr>
          <w:lang w:bidi="fa-IR"/>
        </w:rPr>
      </w:pPr>
      <w:r>
        <w:rPr>
          <w:rtl/>
          <w:lang w:bidi="fa-IR"/>
        </w:rPr>
        <w:t>(12).</w:t>
      </w:r>
      <w:r w:rsidR="00744A1C">
        <w:rPr>
          <w:rtl/>
          <w:lang w:bidi="fa-IR"/>
        </w:rPr>
        <w:t xml:space="preserve"> في « ط ، بس » وحاشية « جت » </w:t>
      </w:r>
      <w:r w:rsidR="00744A1C" w:rsidRPr="00642E03">
        <w:rPr>
          <w:rtl/>
        </w:rPr>
        <w:t>والإرشاد</w:t>
      </w:r>
      <w:r w:rsidR="00744A1C">
        <w:rPr>
          <w:rtl/>
          <w:lang w:bidi="fa-IR"/>
        </w:rPr>
        <w:t xml:space="preserve"> : « ببهر » ، وهو بالباء الموحّدة المضمومة تتابع النفس يعتري الإنسان عند السعي الشديد والعدو. والنَّهر : الزبر ، والزجر ، والانتهار. راجع : </w:t>
      </w:r>
      <w:r w:rsidR="00744A1C" w:rsidRPr="00877682">
        <w:rPr>
          <w:rStyle w:val="libFootnoteBoldChar"/>
          <w:rtl/>
        </w:rPr>
        <w:t>لسان العرب</w:t>
      </w:r>
      <w:r w:rsidR="00642E03">
        <w:rPr>
          <w:rtl/>
          <w:lang w:bidi="fa-IR"/>
        </w:rPr>
        <w:t xml:space="preserve"> ، ج 5 ، ص 239 (</w:t>
      </w:r>
      <w:r w:rsidR="00744A1C">
        <w:rPr>
          <w:rtl/>
          <w:lang w:bidi="fa-IR"/>
        </w:rPr>
        <w:t>نهر ).</w:t>
      </w:r>
    </w:p>
    <w:p w:rsidR="00744A1C" w:rsidRDefault="00744A1C" w:rsidP="00D10E3C">
      <w:pPr>
        <w:pStyle w:val="libFootnote0"/>
        <w:rPr>
          <w:lang w:bidi="fa-IR"/>
        </w:rPr>
      </w:pPr>
      <w:r>
        <w:rPr>
          <w:rtl/>
          <w:lang w:bidi="fa-IR"/>
        </w:rPr>
        <w:t xml:space="preserve">هذا ، وقال المحقّق الفيض </w:t>
      </w:r>
      <w:r w:rsidR="00877682" w:rsidRPr="00877682">
        <w:rPr>
          <w:rStyle w:val="libFootnoteAlaemChar"/>
          <w:rtl/>
        </w:rPr>
        <w:t>رحمه‌الله</w:t>
      </w:r>
      <w:r w:rsidR="00642E03" w:rsidRPr="00642E03">
        <w:rPr>
          <w:rFonts w:hint="cs"/>
          <w:rtl/>
        </w:rPr>
        <w:t xml:space="preserve"> </w:t>
      </w:r>
      <w:r>
        <w:rPr>
          <w:rtl/>
          <w:lang w:bidi="fa-IR"/>
        </w:rPr>
        <w:t xml:space="preserve">في </w:t>
      </w:r>
      <w:r w:rsidRPr="00C24F9C">
        <w:rPr>
          <w:rStyle w:val="libFootnoteBoldChar"/>
          <w:rtl/>
        </w:rPr>
        <w:t>الوافي</w:t>
      </w:r>
      <w:r>
        <w:rPr>
          <w:rtl/>
          <w:lang w:bidi="fa-IR"/>
        </w:rPr>
        <w:t xml:space="preserve"> : « وإنّما زبره </w:t>
      </w:r>
      <w:r w:rsidR="0061079A" w:rsidRPr="0061079A">
        <w:rPr>
          <w:rStyle w:val="libFootnoteAlaemChar"/>
          <w:rtl/>
        </w:rPr>
        <w:t>عليه‌السلام</w:t>
      </w:r>
      <w:r w:rsidR="00D10E3C">
        <w:rPr>
          <w:rtl/>
          <w:lang w:bidi="fa-IR"/>
        </w:rPr>
        <w:t xml:space="preserve"> </w:t>
      </w:r>
      <w:r>
        <w:rPr>
          <w:rtl/>
          <w:lang w:bidi="fa-IR"/>
        </w:rPr>
        <w:t>لما استفرس منه التحذلق والتكايس بالنسبة إليه ، ولأنّ الرجل كان من العامّة ، وممّن يزعم بنفسه أنّه من أهل العلم وليس به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19 ، ص 17 : « إمّا للإعياء والنصب ، أو لما علم من سوء حال السائل وسوء إرادته ».</w:t>
      </w:r>
    </w:p>
    <w:p w:rsidR="00744A1C" w:rsidRDefault="00E378DD" w:rsidP="00E378DD">
      <w:pPr>
        <w:pStyle w:val="libFootnote0"/>
        <w:rPr>
          <w:lang w:bidi="fa-IR"/>
        </w:rPr>
      </w:pPr>
      <w:r>
        <w:rPr>
          <w:rtl/>
          <w:lang w:bidi="fa-IR"/>
        </w:rPr>
        <w:t>(13).</w:t>
      </w:r>
      <w:r w:rsidR="00744A1C">
        <w:rPr>
          <w:rtl/>
          <w:lang w:bidi="fa-IR"/>
        </w:rPr>
        <w:t xml:space="preserve"> في « بخ ، بف » وحاشية « بح ، جت » : + « أنت ».</w:t>
      </w:r>
    </w:p>
    <w:tbl>
      <w:tblPr>
        <w:tblStyle w:val="TableGrid"/>
        <w:bidiVisual/>
        <w:tblW w:w="0" w:type="auto"/>
        <w:tblLook w:val="04A0" w:firstRow="1" w:lastRow="0" w:firstColumn="1" w:lastColumn="0" w:noHBand="0" w:noVBand="1"/>
      </w:tblPr>
      <w:tblGrid>
        <w:gridCol w:w="4006"/>
        <w:gridCol w:w="4006"/>
      </w:tblGrid>
      <w:tr w:rsidR="00642E03" w:rsidTr="00642E03">
        <w:tc>
          <w:tcPr>
            <w:tcW w:w="4006" w:type="dxa"/>
          </w:tcPr>
          <w:p w:rsidR="00642E03" w:rsidRDefault="00642E03" w:rsidP="00E378DD">
            <w:pPr>
              <w:pStyle w:val="libFootnote0"/>
              <w:rPr>
                <w:rtl/>
                <w:lang w:bidi="fa-IR"/>
              </w:rPr>
            </w:pPr>
            <w:r>
              <w:rPr>
                <w:rtl/>
                <w:lang w:bidi="fa-IR"/>
              </w:rPr>
              <w:t xml:space="preserve">(14). في </w:t>
            </w:r>
            <w:r w:rsidRPr="00642E03">
              <w:rPr>
                <w:rtl/>
              </w:rPr>
              <w:t>الوافي</w:t>
            </w:r>
            <w:r>
              <w:rPr>
                <w:rtl/>
                <w:lang w:bidi="fa-IR"/>
              </w:rPr>
              <w:t xml:space="preserve"> : « مشايخ ».</w:t>
            </w:r>
          </w:p>
        </w:tc>
        <w:tc>
          <w:tcPr>
            <w:tcW w:w="4006" w:type="dxa"/>
          </w:tcPr>
          <w:p w:rsidR="00642E03" w:rsidRDefault="00642E03" w:rsidP="00E378DD">
            <w:pPr>
              <w:pStyle w:val="libFootnote0"/>
              <w:rPr>
                <w:rtl/>
                <w:lang w:bidi="fa-IR"/>
              </w:rPr>
            </w:pPr>
            <w:r>
              <w:rPr>
                <w:rtl/>
                <w:lang w:bidi="fa-IR"/>
              </w:rPr>
              <w:t>(15). في « جن » : « الحارّة ».</w:t>
            </w:r>
          </w:p>
        </w:tc>
      </w:tr>
    </w:tbl>
    <w:p w:rsidR="00744A1C" w:rsidRDefault="00744A1C" w:rsidP="00D10E3C">
      <w:pPr>
        <w:pStyle w:val="libFootnote0"/>
        <w:rPr>
          <w:lang w:bidi="fa-IR"/>
        </w:rPr>
      </w:pPr>
      <w:r>
        <w:rPr>
          <w:rtl/>
          <w:lang w:bidi="fa-IR"/>
        </w:rPr>
        <w:t xml:space="preserve">(16) في « بح ، بخ ، بس ، بف ، جد ، جن » </w:t>
      </w:r>
      <w:r w:rsidRPr="00642E03">
        <w:rPr>
          <w:rtl/>
        </w:rPr>
        <w:t>والوافي والبحار</w:t>
      </w:r>
      <w:r>
        <w:rPr>
          <w:rtl/>
          <w:lang w:bidi="fa-IR"/>
        </w:rPr>
        <w:t xml:space="preserve"> : « جاءك ».</w:t>
      </w:r>
    </w:p>
    <w:tbl>
      <w:tblPr>
        <w:tblStyle w:val="TableGrid"/>
        <w:bidiVisual/>
        <w:tblW w:w="0" w:type="auto"/>
        <w:tblLook w:val="04A0" w:firstRow="1" w:lastRow="0" w:firstColumn="1" w:lastColumn="0" w:noHBand="0" w:noVBand="1"/>
      </w:tblPr>
      <w:tblGrid>
        <w:gridCol w:w="4006"/>
        <w:gridCol w:w="4006"/>
      </w:tblGrid>
      <w:tr w:rsidR="00642E03" w:rsidTr="00642E03">
        <w:tc>
          <w:tcPr>
            <w:tcW w:w="4006" w:type="dxa"/>
          </w:tcPr>
          <w:p w:rsidR="00642E03" w:rsidRDefault="00642E03" w:rsidP="00D10E3C">
            <w:pPr>
              <w:pStyle w:val="libFootnote0"/>
              <w:rPr>
                <w:rtl/>
                <w:lang w:bidi="fa-IR"/>
              </w:rPr>
            </w:pPr>
            <w:r>
              <w:rPr>
                <w:rtl/>
                <w:lang w:bidi="fa-IR"/>
              </w:rPr>
              <w:t xml:space="preserve">(17) في </w:t>
            </w:r>
            <w:r w:rsidRPr="00642E03">
              <w:rPr>
                <w:rtl/>
              </w:rPr>
              <w:t>التهذيب</w:t>
            </w:r>
            <w:r>
              <w:rPr>
                <w:rtl/>
                <w:lang w:bidi="fa-IR"/>
              </w:rPr>
              <w:t xml:space="preserve"> : « الحالة ».</w:t>
            </w:r>
          </w:p>
        </w:tc>
        <w:tc>
          <w:tcPr>
            <w:tcW w:w="4006" w:type="dxa"/>
          </w:tcPr>
          <w:p w:rsidR="00642E03" w:rsidRDefault="00642E03" w:rsidP="00D10E3C">
            <w:pPr>
              <w:pStyle w:val="libFootnote0"/>
              <w:rPr>
                <w:rtl/>
                <w:lang w:bidi="fa-IR"/>
              </w:rPr>
            </w:pPr>
            <w:r>
              <w:rPr>
                <w:rtl/>
                <w:lang w:bidi="fa-IR"/>
              </w:rPr>
              <w:t xml:space="preserve">(18) في </w:t>
            </w:r>
            <w:r w:rsidRPr="00642E03">
              <w:rPr>
                <w:rtl/>
              </w:rPr>
              <w:t>الوسائل والإرشاد</w:t>
            </w:r>
            <w:r>
              <w:rPr>
                <w:rtl/>
                <w:lang w:bidi="fa-IR"/>
              </w:rPr>
              <w:t xml:space="preserve"> : - « ما كنت تصنع ».</w:t>
            </w:r>
          </w:p>
        </w:tc>
      </w:tr>
    </w:tbl>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فَقَالَ : لَوْ جَاءَنِي الْمَوْتُ وَأَنَا </w:t>
      </w:r>
      <w:r w:rsidRPr="00D10E3C">
        <w:rPr>
          <w:rStyle w:val="libFootnotenumChar"/>
          <w:rtl/>
        </w:rPr>
        <w:t>(1)</w:t>
      </w:r>
      <w:r>
        <w:rPr>
          <w:rtl/>
          <w:lang w:bidi="fa-IR"/>
        </w:rPr>
        <w:t xml:space="preserve"> عَلى هذِهِ الْحَالِ ، جَاءَنِي وَأَنَا </w:t>
      </w:r>
      <w:r w:rsidRPr="00D10E3C">
        <w:rPr>
          <w:rStyle w:val="libFootnotenumChar"/>
          <w:rtl/>
        </w:rPr>
        <w:t>(2)</w:t>
      </w:r>
      <w:r>
        <w:rPr>
          <w:rtl/>
          <w:lang w:bidi="fa-IR"/>
        </w:rPr>
        <w:t xml:space="preserve"> فِي طَاعَةٍ مِنْ طَاعَةِ </w:t>
      </w:r>
      <w:r w:rsidRPr="00D10E3C">
        <w:rPr>
          <w:rStyle w:val="libFootnotenumChar"/>
          <w:rtl/>
        </w:rPr>
        <w:t>(3)</w:t>
      </w:r>
      <w:r>
        <w:rPr>
          <w:rtl/>
          <w:lang w:bidi="fa-IR"/>
        </w:rPr>
        <w:t xml:space="preserve"> اللهِ عَزَّ وَجَلَّ ، أَكُفُّ بِهَا نَفْسِي وَعِيَالِي عَنْكَ وَعَنِ النَّاسِ ، وَإِنَّمَا كُنْتُ أَخَافُ أَنْ </w:t>
      </w:r>
      <w:r w:rsidRPr="00D10E3C">
        <w:rPr>
          <w:rStyle w:val="libFootnotenumChar"/>
          <w:rtl/>
        </w:rPr>
        <w:t>(4)</w:t>
      </w:r>
      <w:r>
        <w:rPr>
          <w:rtl/>
          <w:lang w:bidi="fa-IR"/>
        </w:rPr>
        <w:t xml:space="preserve"> لَوْ </w:t>
      </w:r>
      <w:r w:rsidRPr="00D10E3C">
        <w:rPr>
          <w:rStyle w:val="libFootnotenumChar"/>
          <w:rtl/>
        </w:rPr>
        <w:t>(5)</w:t>
      </w:r>
      <w:r>
        <w:rPr>
          <w:rtl/>
          <w:lang w:bidi="fa-IR"/>
        </w:rPr>
        <w:t xml:space="preserve"> جَاءَنِي الْمَوْتُ وَأَنَا عَلى مَعْصِيَةٍ مِنْ مَعَاصِي اللهِ.</w:t>
      </w:r>
    </w:p>
    <w:p w:rsidR="00144FA6" w:rsidRDefault="00744A1C" w:rsidP="00744A1C">
      <w:pPr>
        <w:pStyle w:val="libNormal"/>
        <w:rPr>
          <w:rtl/>
          <w:lang w:bidi="fa-IR"/>
        </w:rPr>
      </w:pPr>
      <w:r>
        <w:rPr>
          <w:rtl/>
          <w:lang w:bidi="fa-IR"/>
        </w:rPr>
        <w:t xml:space="preserve">فَقُلْتُ : صَدَقْتَ يَرْحَمُكَ </w:t>
      </w:r>
      <w:r w:rsidRPr="00D10E3C">
        <w:rPr>
          <w:rStyle w:val="libFootnotenumChar"/>
          <w:rtl/>
        </w:rPr>
        <w:t>(6)</w:t>
      </w:r>
      <w:r>
        <w:rPr>
          <w:rtl/>
          <w:lang w:bidi="fa-IR"/>
        </w:rPr>
        <w:t xml:space="preserve"> اللهُ ، أَرَدْتُ أَنْ أَعِظَكَ ، فَوَعَظْتَنِي ». </w:t>
      </w:r>
      <w:r w:rsidRPr="00D10E3C">
        <w:rPr>
          <w:rStyle w:val="libFootnotenumChar"/>
          <w:rtl/>
        </w:rPr>
        <w:t>(7)</w:t>
      </w:r>
    </w:p>
    <w:p w:rsidR="00144FA6" w:rsidRDefault="00744A1C" w:rsidP="00744A1C">
      <w:pPr>
        <w:pStyle w:val="libNormal"/>
        <w:rPr>
          <w:rtl/>
          <w:lang w:bidi="fa-IR"/>
        </w:rPr>
      </w:pPr>
      <w:r>
        <w:rPr>
          <w:rtl/>
          <w:lang w:bidi="fa-IR"/>
        </w:rPr>
        <w:t>8372 / 2. عِدَّةٌ مِنْ أَصْحَابِنَا ، عَنْ أَحْمَدَ بْنِ أَبِي عَبْدِ اللهِ ، عَنْ شَرِيفِ بْنِ سَابِقٍ ، عَنِ الْفَضْلِ بْنِ أَبِي قُرَّةَ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أَمِيرُ الْمُؤْمِنِينَ - صَلَوَاتُ اللهِ عَلَيْهِ - يَضْرِبُ بِالْمَرِّ </w:t>
      </w:r>
      <w:r w:rsidRPr="00D10E3C">
        <w:rPr>
          <w:rStyle w:val="libFootnotenumChar"/>
          <w:rtl/>
        </w:rPr>
        <w:t>(8)</w:t>
      </w:r>
      <w:r>
        <w:rPr>
          <w:rtl/>
          <w:lang w:bidi="fa-IR"/>
        </w:rPr>
        <w:t xml:space="preserve"> ، وَيَسْتَخْرِجُ الْأَرَضِينَ. وَكَانَ رَسُولُ اللهِ </w:t>
      </w:r>
      <w:r w:rsidR="00AE01C7" w:rsidRPr="00AE01C7">
        <w:rPr>
          <w:rStyle w:val="libFootnoteAlaemChar"/>
          <w:rtl/>
        </w:rPr>
        <w:t>صلى‌الله‌عليه‌وآله</w:t>
      </w:r>
      <w:r w:rsidR="00D10E3C">
        <w:rPr>
          <w:rtl/>
          <w:lang w:bidi="fa-IR"/>
        </w:rPr>
        <w:t xml:space="preserve"> </w:t>
      </w:r>
      <w:r>
        <w:rPr>
          <w:rtl/>
          <w:lang w:bidi="fa-IR"/>
        </w:rPr>
        <w:t xml:space="preserve">يَمَصُّ النَّوى </w:t>
      </w:r>
      <w:r w:rsidRPr="00D10E3C">
        <w:rPr>
          <w:rStyle w:val="libFootnotenumChar"/>
          <w:rtl/>
        </w:rPr>
        <w:t>(9)</w:t>
      </w:r>
      <w:r>
        <w:rPr>
          <w:rtl/>
          <w:lang w:bidi="fa-IR"/>
        </w:rPr>
        <w:t xml:space="preserve"> بِفِيهِ وَيَغْرِسُهُ ، فَيَطْلُعُ مِنْ سَاعَتِهِ. وَإِنَّ أَمِيرَ الْمُؤْمِنِينَ </w:t>
      </w:r>
      <w:r w:rsidR="0061079A" w:rsidRPr="0061079A">
        <w:rPr>
          <w:rStyle w:val="libAlaemChar"/>
          <w:rtl/>
        </w:rPr>
        <w:t>عليه‌السلام</w:t>
      </w:r>
      <w:r w:rsidR="00D10E3C">
        <w:rPr>
          <w:rtl/>
          <w:lang w:bidi="fa-IR"/>
        </w:rPr>
        <w:t xml:space="preserve"> </w:t>
      </w:r>
      <w:r>
        <w:rPr>
          <w:rtl/>
          <w:lang w:bidi="fa-IR"/>
        </w:rPr>
        <w:t xml:space="preserve">أَعْتَقَ أَلْفَ مَمْلُوكٍ </w:t>
      </w:r>
      <w:r w:rsidRPr="00D10E3C">
        <w:rPr>
          <w:rStyle w:val="libFootnotenumChar"/>
          <w:rtl/>
        </w:rPr>
        <w:t>(10)</w:t>
      </w:r>
      <w:r>
        <w:rPr>
          <w:rtl/>
          <w:lang w:bidi="fa-IR"/>
        </w:rPr>
        <w:t xml:space="preserve"> مِنْ مَالِهِ وَ </w:t>
      </w:r>
      <w:r w:rsidRPr="00D10E3C">
        <w:rPr>
          <w:rStyle w:val="libFootnotenumChar"/>
          <w:rtl/>
        </w:rPr>
        <w:t>(11)</w:t>
      </w:r>
      <w:r>
        <w:rPr>
          <w:rtl/>
          <w:lang w:bidi="fa-IR"/>
        </w:rPr>
        <w:t xml:space="preserve"> كَدِّ </w:t>
      </w:r>
      <w:r w:rsidRPr="00D10E3C">
        <w:rPr>
          <w:rStyle w:val="libFootnotenumChar"/>
          <w:rtl/>
        </w:rPr>
        <w:t>(12)</w:t>
      </w:r>
      <w:r>
        <w:rPr>
          <w:rtl/>
          <w:lang w:bidi="fa-IR"/>
        </w:rPr>
        <w:t xml:space="preserve"> يَدِهِ </w:t>
      </w:r>
      <w:r w:rsidRPr="00D10E3C">
        <w:rPr>
          <w:rStyle w:val="libFootnotenumChar"/>
          <w:rtl/>
        </w:rPr>
        <w:t>(13)</w:t>
      </w:r>
      <w:r>
        <w:rPr>
          <w:rtl/>
          <w:lang w:bidi="fa-IR"/>
        </w:rPr>
        <w:t xml:space="preserve"> ».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فأنا ».</w:t>
      </w:r>
    </w:p>
    <w:p w:rsidR="00744A1C" w:rsidRDefault="00E378DD" w:rsidP="00E378DD">
      <w:pPr>
        <w:pStyle w:val="libFootnote0"/>
        <w:rPr>
          <w:lang w:bidi="fa-IR"/>
        </w:rPr>
      </w:pPr>
      <w:r>
        <w:rPr>
          <w:rtl/>
          <w:lang w:bidi="fa-IR"/>
        </w:rPr>
        <w:t>(2).</w:t>
      </w:r>
      <w:r w:rsidR="00744A1C">
        <w:rPr>
          <w:rtl/>
          <w:lang w:bidi="fa-IR"/>
        </w:rPr>
        <w:t xml:space="preserve"> في « جد » : « فأنا ».</w:t>
      </w:r>
    </w:p>
    <w:p w:rsidR="00744A1C" w:rsidRDefault="00E378DD" w:rsidP="00E378DD">
      <w:pPr>
        <w:pStyle w:val="libFootnote0"/>
        <w:rPr>
          <w:lang w:bidi="fa-IR"/>
        </w:rPr>
      </w:pPr>
      <w:r>
        <w:rPr>
          <w:rtl/>
          <w:lang w:bidi="fa-IR"/>
        </w:rPr>
        <w:t>(3).</w:t>
      </w:r>
      <w:r w:rsidR="00744A1C">
        <w:rPr>
          <w:rtl/>
          <w:lang w:bidi="fa-IR"/>
        </w:rPr>
        <w:t xml:space="preserve"> في </w:t>
      </w:r>
      <w:r w:rsidR="00744A1C" w:rsidRPr="00642E03">
        <w:rPr>
          <w:rtl/>
        </w:rPr>
        <w:t>التهذيب والإرشاد</w:t>
      </w:r>
      <w:r w:rsidR="00744A1C">
        <w:rPr>
          <w:rtl/>
          <w:lang w:bidi="fa-IR"/>
        </w:rPr>
        <w:t xml:space="preserve"> : « طاعات ».</w:t>
      </w:r>
    </w:p>
    <w:p w:rsidR="00744A1C" w:rsidRDefault="00E378DD" w:rsidP="00E378DD">
      <w:pPr>
        <w:pStyle w:val="libFootnote0"/>
        <w:rPr>
          <w:lang w:bidi="fa-IR"/>
        </w:rPr>
      </w:pPr>
      <w:r>
        <w:rPr>
          <w:rtl/>
          <w:lang w:bidi="fa-IR"/>
        </w:rPr>
        <w:t>(4).</w:t>
      </w:r>
      <w:r w:rsidR="00744A1C">
        <w:rPr>
          <w:rtl/>
          <w:lang w:bidi="fa-IR"/>
        </w:rPr>
        <w:t xml:space="preserve"> في « ط ، جت » : - « أن ».</w:t>
      </w:r>
    </w:p>
    <w:tbl>
      <w:tblPr>
        <w:tblStyle w:val="TableGrid"/>
        <w:bidiVisual/>
        <w:tblW w:w="0" w:type="auto"/>
        <w:tblLook w:val="04A0" w:firstRow="1" w:lastRow="0" w:firstColumn="1" w:lastColumn="0" w:noHBand="0" w:noVBand="1"/>
      </w:tblPr>
      <w:tblGrid>
        <w:gridCol w:w="4006"/>
        <w:gridCol w:w="4006"/>
      </w:tblGrid>
      <w:tr w:rsidR="00642E03" w:rsidTr="00642E03">
        <w:tc>
          <w:tcPr>
            <w:tcW w:w="4006" w:type="dxa"/>
          </w:tcPr>
          <w:p w:rsidR="00642E03" w:rsidRDefault="00642E03" w:rsidP="00E378DD">
            <w:pPr>
              <w:pStyle w:val="libFootnote0"/>
              <w:rPr>
                <w:rtl/>
                <w:lang w:bidi="fa-IR"/>
              </w:rPr>
            </w:pPr>
            <w:r>
              <w:rPr>
                <w:rtl/>
                <w:lang w:bidi="fa-IR"/>
              </w:rPr>
              <w:t xml:space="preserve">(5). في </w:t>
            </w:r>
            <w:r w:rsidRPr="00642E03">
              <w:rPr>
                <w:rtl/>
              </w:rPr>
              <w:t>الوسائل</w:t>
            </w:r>
            <w:r>
              <w:rPr>
                <w:rtl/>
                <w:lang w:bidi="fa-IR"/>
              </w:rPr>
              <w:t xml:space="preserve"> : « لو أن » بدل « أن لو ».</w:t>
            </w:r>
          </w:p>
        </w:tc>
        <w:tc>
          <w:tcPr>
            <w:tcW w:w="4006" w:type="dxa"/>
          </w:tcPr>
          <w:p w:rsidR="00642E03" w:rsidRDefault="00642E03" w:rsidP="00E378DD">
            <w:pPr>
              <w:pStyle w:val="libFootnote0"/>
              <w:rPr>
                <w:rtl/>
                <w:lang w:bidi="fa-IR"/>
              </w:rPr>
            </w:pPr>
            <w:r>
              <w:rPr>
                <w:rtl/>
                <w:lang w:bidi="fa-IR"/>
              </w:rPr>
              <w:t>(6). في « ط ، بف » : « رحمك ».</w:t>
            </w:r>
          </w:p>
        </w:tc>
      </w:tr>
    </w:tbl>
    <w:p w:rsidR="00744A1C" w:rsidRDefault="00E378DD" w:rsidP="008C372B">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325 ، ح 894 ، معلّقاً عن الكليني. </w:t>
      </w:r>
      <w:r w:rsidR="00744A1C" w:rsidRPr="002D57AD">
        <w:rPr>
          <w:rStyle w:val="libFootnoteBoldChar"/>
          <w:rtl/>
        </w:rPr>
        <w:t>الإرشاد</w:t>
      </w:r>
      <w:r w:rsidR="00744A1C">
        <w:rPr>
          <w:rtl/>
          <w:lang w:bidi="fa-IR"/>
        </w:rPr>
        <w:t xml:space="preserve"> ، ج 2 ، ص 161 ، بسنده عن محمّد بن أبي عمير </w:t>
      </w:r>
      <w:r w:rsidR="00642E03">
        <w:rPr>
          <w:rFonts w:hint="cs"/>
          <w:rtl/>
          <w:lang w:bidi="fa-IR"/>
        </w:rPr>
        <w:t>.</w:t>
      </w:r>
      <w:r w:rsidR="00744A1C" w:rsidRPr="00C24F9C">
        <w:rPr>
          <w:rStyle w:val="libFootnoteBoldChar"/>
          <w:rtl/>
        </w:rPr>
        <w:t>الوافي</w:t>
      </w:r>
      <w:r w:rsidR="00744A1C">
        <w:rPr>
          <w:rtl/>
          <w:lang w:bidi="fa-IR"/>
        </w:rPr>
        <w:t xml:space="preserve"> ، ج 17 ، ص 29 ، ح 16805 ؛ </w:t>
      </w:r>
      <w:r w:rsidR="00744A1C" w:rsidRPr="00C24F9C">
        <w:rPr>
          <w:rStyle w:val="libFootnoteBoldChar"/>
          <w:rtl/>
        </w:rPr>
        <w:t>الوسائل</w:t>
      </w:r>
      <w:r w:rsidR="00744A1C">
        <w:rPr>
          <w:rtl/>
          <w:lang w:bidi="fa-IR"/>
        </w:rPr>
        <w:t xml:space="preserve"> ، ج 17 ، ص 19 ، ح 21872 ؛ </w:t>
      </w:r>
      <w:r w:rsidR="00744A1C" w:rsidRPr="0061079A">
        <w:rPr>
          <w:rStyle w:val="libFootnoteBoldChar"/>
          <w:rtl/>
        </w:rPr>
        <w:t>البحار</w:t>
      </w:r>
      <w:r w:rsidR="00744A1C">
        <w:rPr>
          <w:rtl/>
          <w:lang w:bidi="fa-IR"/>
        </w:rPr>
        <w:t xml:space="preserve"> ، ج 46 ، ص 350 ، ح 3.</w:t>
      </w:r>
    </w:p>
    <w:p w:rsidR="00744A1C" w:rsidRDefault="00E378DD" w:rsidP="00E378DD">
      <w:pPr>
        <w:pStyle w:val="libFootnote0"/>
        <w:rPr>
          <w:lang w:bidi="fa-IR"/>
        </w:rPr>
      </w:pPr>
      <w:r>
        <w:rPr>
          <w:rtl/>
          <w:lang w:bidi="fa-IR"/>
        </w:rPr>
        <w:t>(8).</w:t>
      </w:r>
      <w:r w:rsidR="00744A1C">
        <w:rPr>
          <w:rtl/>
          <w:lang w:bidi="fa-IR"/>
        </w:rPr>
        <w:t xml:space="preserve"> ال</w:t>
      </w:r>
      <w:r w:rsidR="008C372B">
        <w:rPr>
          <w:rFonts w:hint="cs"/>
          <w:rtl/>
          <w:lang w:bidi="fa-IR"/>
        </w:rPr>
        <w:t>ـ</w:t>
      </w:r>
      <w:r w:rsidR="00744A1C">
        <w:rPr>
          <w:rtl/>
          <w:lang w:bidi="fa-IR"/>
        </w:rPr>
        <w:t>مَرُّ هنا بمعنى ال</w:t>
      </w:r>
      <w:r w:rsidR="008C372B">
        <w:rPr>
          <w:rFonts w:hint="cs"/>
          <w:rtl/>
          <w:lang w:bidi="fa-IR"/>
        </w:rPr>
        <w:t>ـ</w:t>
      </w:r>
      <w:r w:rsidR="00744A1C">
        <w:rPr>
          <w:rtl/>
          <w:lang w:bidi="fa-IR"/>
        </w:rPr>
        <w:t xml:space="preserve">مِسحاة والذي يُعتمل به في أرض الزرع ، وهي ما يقال بالفارسيّة : « بيل ». راجع : </w:t>
      </w:r>
      <w:r w:rsidR="00744A1C" w:rsidRPr="000D4704">
        <w:rPr>
          <w:rStyle w:val="libFootnoteBoldChar"/>
          <w:rtl/>
        </w:rPr>
        <w:t>لسان‌العرب</w:t>
      </w:r>
      <w:r w:rsidR="00744A1C">
        <w:rPr>
          <w:rtl/>
          <w:lang w:bidi="fa-IR"/>
        </w:rPr>
        <w:t xml:space="preserve"> ، ج 5 ، ص 168 ( مرر ).</w:t>
      </w:r>
    </w:p>
    <w:p w:rsidR="00744A1C" w:rsidRDefault="00E378DD" w:rsidP="000D4704">
      <w:pPr>
        <w:pStyle w:val="libFootnote0"/>
        <w:rPr>
          <w:lang w:bidi="fa-IR"/>
        </w:rPr>
      </w:pPr>
      <w:r>
        <w:rPr>
          <w:rtl/>
          <w:lang w:bidi="fa-IR"/>
        </w:rPr>
        <w:t>(9).</w:t>
      </w:r>
      <w:r w:rsidR="00744A1C">
        <w:rPr>
          <w:rtl/>
          <w:lang w:bidi="fa-IR"/>
        </w:rPr>
        <w:t xml:space="preserve"> « النَّوى » جمع النَّواة ، وهي حَبّ التمر والزبيب وأشباهه من كلّ شي‌ء. راجع : </w:t>
      </w:r>
      <w:r w:rsidR="00744A1C" w:rsidRPr="00877682">
        <w:rPr>
          <w:rStyle w:val="libFootnoteBoldChar"/>
          <w:rtl/>
        </w:rPr>
        <w:t>لسان العرب</w:t>
      </w:r>
      <w:r w:rsidR="00744A1C">
        <w:rPr>
          <w:rtl/>
          <w:lang w:bidi="fa-IR"/>
        </w:rPr>
        <w:t xml:space="preserve"> ، ج 15 ، ص 349 ( نوى ).</w:t>
      </w:r>
      <w:r w:rsidR="000D4704">
        <w:rPr>
          <w:rFonts w:hint="cs"/>
          <w:rtl/>
          <w:lang w:bidi="fa-IR"/>
        </w:rPr>
        <w:t xml:space="preserve">                                             </w:t>
      </w:r>
      <w:r w:rsidR="00845982">
        <w:rPr>
          <w:rFonts w:hint="cs"/>
          <w:rtl/>
          <w:lang w:bidi="fa-IR"/>
        </w:rPr>
        <w:t xml:space="preserve"> </w:t>
      </w:r>
      <w:r>
        <w:rPr>
          <w:rtl/>
          <w:lang w:bidi="fa-IR"/>
        </w:rPr>
        <w:t>(10).</w:t>
      </w:r>
      <w:r w:rsidR="00744A1C">
        <w:rPr>
          <w:rtl/>
          <w:lang w:bidi="fa-IR"/>
        </w:rPr>
        <w:t xml:space="preserve"> في « جت » : « مملوكة ».</w:t>
      </w:r>
    </w:p>
    <w:p w:rsidR="00744A1C" w:rsidRDefault="00E378DD" w:rsidP="00E378DD">
      <w:pPr>
        <w:pStyle w:val="libFootnote0"/>
        <w:rPr>
          <w:lang w:bidi="fa-IR"/>
        </w:rPr>
      </w:pPr>
      <w:r>
        <w:rPr>
          <w:rtl/>
          <w:lang w:bidi="fa-IR"/>
        </w:rPr>
        <w:t>(11).</w:t>
      </w:r>
      <w:r w:rsidR="00744A1C">
        <w:rPr>
          <w:rtl/>
          <w:lang w:bidi="fa-IR"/>
        </w:rPr>
        <w:t xml:space="preserve"> في « ط » وحاشية « بح » : - « ماله و».</w:t>
      </w:r>
    </w:p>
    <w:p w:rsidR="00744A1C" w:rsidRDefault="00E378DD" w:rsidP="00845982">
      <w:pPr>
        <w:pStyle w:val="libFootnote0"/>
        <w:rPr>
          <w:lang w:bidi="fa-IR"/>
        </w:rPr>
      </w:pPr>
      <w:r>
        <w:rPr>
          <w:rtl/>
          <w:lang w:bidi="fa-IR"/>
        </w:rPr>
        <w:t>(12).</w:t>
      </w:r>
      <w:r w:rsidR="00744A1C">
        <w:rPr>
          <w:rtl/>
          <w:lang w:bidi="fa-IR"/>
        </w:rPr>
        <w:t xml:space="preserve"> في حاشية « بف » </w:t>
      </w:r>
      <w:r w:rsidR="00744A1C" w:rsidRPr="00845982">
        <w:rPr>
          <w:rtl/>
        </w:rPr>
        <w:t>والوافي</w:t>
      </w:r>
      <w:r w:rsidR="00744A1C">
        <w:rPr>
          <w:rtl/>
          <w:lang w:bidi="fa-IR"/>
        </w:rPr>
        <w:t xml:space="preserve"> : « ومن كدّ ». والكَدُّ : الشدّة في العمل وطلب الرزق ، والإلحاح في مُحاوَلة الشي‌ء. </w:t>
      </w:r>
      <w:r w:rsidR="00744A1C" w:rsidRPr="00877682">
        <w:rPr>
          <w:rStyle w:val="libFootnoteBoldChar"/>
          <w:rtl/>
        </w:rPr>
        <w:t>لسان العرب</w:t>
      </w:r>
      <w:r w:rsidR="00744A1C">
        <w:rPr>
          <w:rtl/>
          <w:lang w:bidi="fa-IR"/>
        </w:rPr>
        <w:t xml:space="preserve"> ، ج 3 ، ص 377 ( كدد ).</w:t>
      </w:r>
      <w:r w:rsidR="00845982">
        <w:rPr>
          <w:rFonts w:hint="cs"/>
          <w:rtl/>
          <w:lang w:bidi="fa-IR"/>
        </w:rPr>
        <w:t xml:space="preserve">        </w:t>
      </w:r>
      <w:r>
        <w:rPr>
          <w:rtl/>
          <w:lang w:bidi="fa-IR"/>
        </w:rPr>
        <w:t>(13).</w:t>
      </w:r>
      <w:r w:rsidR="00744A1C">
        <w:rPr>
          <w:rtl/>
          <w:lang w:bidi="fa-IR"/>
        </w:rPr>
        <w:t xml:space="preserve"> في « بخ ، بف » و</w:t>
      </w:r>
      <w:r w:rsidR="00744A1C" w:rsidRPr="00C24F9C">
        <w:rPr>
          <w:rStyle w:val="libFootnoteBoldChar"/>
          <w:rtl/>
        </w:rPr>
        <w:t>الوافي</w:t>
      </w:r>
      <w:r w:rsidR="00744A1C">
        <w:rPr>
          <w:rtl/>
          <w:lang w:bidi="fa-IR"/>
        </w:rPr>
        <w:t xml:space="preserve"> : « يمينه ».</w:t>
      </w:r>
    </w:p>
    <w:p w:rsidR="00744A1C" w:rsidRDefault="00E378DD" w:rsidP="00E378DD">
      <w:pPr>
        <w:pStyle w:val="libFootnote0"/>
        <w:rPr>
          <w:lang w:bidi="fa-IR"/>
        </w:rPr>
      </w:pPr>
      <w:r>
        <w:rPr>
          <w:rtl/>
          <w:lang w:bidi="fa-IR"/>
        </w:rPr>
        <w:t>(14).</w:t>
      </w:r>
      <w:r w:rsidR="00744A1C">
        <w:rPr>
          <w:rtl/>
          <w:lang w:bidi="fa-IR"/>
        </w:rPr>
        <w:t xml:space="preserve"> راجع : </w:t>
      </w:r>
      <w:r w:rsidR="00744A1C" w:rsidRPr="0061079A">
        <w:rPr>
          <w:rStyle w:val="libFootnoteBoldChar"/>
          <w:rtl/>
        </w:rPr>
        <w:t>الكافي</w:t>
      </w:r>
      <w:r w:rsidR="00744A1C">
        <w:rPr>
          <w:rtl/>
          <w:lang w:bidi="fa-IR"/>
        </w:rPr>
        <w:t xml:space="preserve"> ، كتاب الروضة ، ح 14988 ؛ و</w:t>
      </w:r>
      <w:r w:rsidR="003105E0">
        <w:rPr>
          <w:rFonts w:hint="cs"/>
          <w:rtl/>
          <w:lang w:bidi="fa-IR"/>
        </w:rPr>
        <w:t xml:space="preserve"> </w:t>
      </w:r>
      <w:r w:rsidR="00744A1C" w:rsidRPr="003105E0">
        <w:rPr>
          <w:rStyle w:val="libFootnoteBoldChar"/>
          <w:rtl/>
        </w:rPr>
        <w:t>الأمالي للصدوق</w:t>
      </w:r>
      <w:r w:rsidR="00744A1C">
        <w:rPr>
          <w:rtl/>
          <w:lang w:bidi="fa-IR"/>
        </w:rPr>
        <w:t xml:space="preserve"> </w:t>
      </w:r>
      <w:r w:rsidR="003105E0">
        <w:rPr>
          <w:rtl/>
          <w:lang w:bidi="fa-IR"/>
        </w:rPr>
        <w:t>، ص 281،المجلس 7</w:t>
      </w:r>
      <w:r w:rsidR="00744A1C">
        <w:rPr>
          <w:rtl/>
          <w:lang w:bidi="fa-IR"/>
        </w:rPr>
        <w:t xml:space="preserve"> ، ح 14 </w:t>
      </w:r>
      <w:r w:rsidR="003105E0">
        <w:rPr>
          <w:rFonts w:hint="cs"/>
          <w:rtl/>
          <w:lang w:bidi="fa-IR"/>
        </w:rPr>
        <w:t>.</w:t>
      </w:r>
      <w:r w:rsidR="00744A1C" w:rsidRPr="00C24F9C">
        <w:rPr>
          <w:rStyle w:val="libFootnoteBoldChar"/>
          <w:rtl/>
        </w:rPr>
        <w:t>الوافي</w:t>
      </w:r>
      <w:r w:rsidR="00744A1C">
        <w:rPr>
          <w:rtl/>
          <w:lang w:bidi="fa-IR"/>
        </w:rPr>
        <w:t xml:space="preserve"> ، ج 17 ، ص 30 ، ح 16806 ؛ </w:t>
      </w:r>
      <w:r w:rsidR="00744A1C" w:rsidRPr="00C24F9C">
        <w:rPr>
          <w:rStyle w:val="libFootnoteBoldChar"/>
          <w:rtl/>
        </w:rPr>
        <w:t>الوسائل</w:t>
      </w:r>
      <w:r w:rsidR="00744A1C">
        <w:rPr>
          <w:rtl/>
          <w:lang w:bidi="fa-IR"/>
        </w:rPr>
        <w:t xml:space="preserve"> ، ج 17 ، ص 37 ، ح 21919 ؛ </w:t>
      </w:r>
      <w:r w:rsidR="00744A1C" w:rsidRPr="0061079A">
        <w:rPr>
          <w:rStyle w:val="libFootnoteBoldChar"/>
          <w:rtl/>
        </w:rPr>
        <w:t>البحار</w:t>
      </w:r>
      <w:r w:rsidR="00744A1C">
        <w:rPr>
          <w:rtl/>
          <w:lang w:bidi="fa-IR"/>
        </w:rPr>
        <w:t xml:space="preserve"> ، ج 41 ، ص 58 ، ح 8 ؛ وفيه ، ج 17 ، ص 388 ، ح 56 ، وتمام الرواية فيه : « كان رسول الله </w:t>
      </w:r>
      <w:r w:rsidR="00E843EA" w:rsidRPr="00E843EA">
        <w:rPr>
          <w:rStyle w:val="libFootnoteAlaemChar"/>
          <w:rtl/>
        </w:rPr>
        <w:t>صلى‌الله‌عليه‌وآله</w:t>
      </w:r>
      <w:r w:rsidR="00D10E3C">
        <w:rPr>
          <w:rtl/>
          <w:lang w:bidi="fa-IR"/>
        </w:rPr>
        <w:t xml:space="preserve"> </w:t>
      </w:r>
      <w:r w:rsidR="00744A1C">
        <w:rPr>
          <w:rtl/>
          <w:lang w:bidi="fa-IR"/>
        </w:rPr>
        <w:t>يمصّ النوى بفيه ويغرسه فيطلع من ساعته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8373 / 3. عِدَّةٌ مِنْ أَصْحَابِنَا ، عَنْ سَهْلِ بْنِ زِيَادٍ ، عَنْ عُبَيْدِ اللهِ </w:t>
      </w:r>
      <w:r w:rsidRPr="00D10E3C">
        <w:rPr>
          <w:rStyle w:val="libFootnotenumChar"/>
          <w:rtl/>
        </w:rPr>
        <w:t>(1)</w:t>
      </w:r>
      <w:r>
        <w:rPr>
          <w:rtl/>
          <w:lang w:bidi="fa-IR"/>
        </w:rPr>
        <w:t xml:space="preserve"> الدِّهْقَانِ ، عَنْ دُرُسْتَ ، عَنْ عَبْدِ الْأَعْلى مَوْلى آلِ سَامٍ ، قَالَ :</w:t>
      </w:r>
    </w:p>
    <w:p w:rsidR="00744A1C" w:rsidRDefault="00744A1C" w:rsidP="00744A1C">
      <w:pPr>
        <w:pStyle w:val="libNormal"/>
        <w:rPr>
          <w:lang w:bidi="fa-IR"/>
        </w:rPr>
      </w:pPr>
      <w:r>
        <w:rPr>
          <w:rtl/>
          <w:lang w:bidi="fa-IR"/>
        </w:rPr>
        <w:t xml:space="preserve">اسْتَقْبَلْتُ أَبَا عَبْدِ اللهِ </w:t>
      </w:r>
      <w:r w:rsidR="0061079A" w:rsidRPr="0061079A">
        <w:rPr>
          <w:rStyle w:val="libAlaemChar"/>
          <w:rtl/>
        </w:rPr>
        <w:t>عليه‌السلام</w:t>
      </w:r>
      <w:r w:rsidR="00D10E3C">
        <w:rPr>
          <w:rtl/>
          <w:lang w:bidi="fa-IR"/>
        </w:rPr>
        <w:t xml:space="preserve"> </w:t>
      </w:r>
      <w:r>
        <w:rPr>
          <w:rtl/>
          <w:lang w:bidi="fa-IR"/>
        </w:rPr>
        <w:t xml:space="preserve">فِي بَعْضِ طُرُقِ الْمَدِينَةِ </w:t>
      </w:r>
      <w:r w:rsidRPr="00D10E3C">
        <w:rPr>
          <w:rStyle w:val="libFootnotenumChar"/>
          <w:rtl/>
        </w:rPr>
        <w:t>(2)</w:t>
      </w:r>
      <w:r>
        <w:rPr>
          <w:rtl/>
          <w:lang w:bidi="fa-IR"/>
        </w:rPr>
        <w:t xml:space="preserve"> فِي يَوْمٍ صَائِفٍ </w:t>
      </w:r>
      <w:r w:rsidRPr="00D10E3C">
        <w:rPr>
          <w:rStyle w:val="libFootnotenumChar"/>
          <w:rtl/>
        </w:rPr>
        <w:t>(3)</w:t>
      </w:r>
      <w:r>
        <w:rPr>
          <w:rtl/>
          <w:lang w:bidi="fa-IR"/>
        </w:rPr>
        <w:t xml:space="preserve"> شَدِيدِ الْحَرِّ ، فَقُلْتُ : جُعِلْتُ فِدَاكَ ، حَالُكَ عِنْدَ اللهِ عَزَّ وَجَلَّ ، وَقَرَابَتُكَ مِنْ رَسُولِ اللهِ </w:t>
      </w:r>
      <w:r w:rsidR="0017097C" w:rsidRPr="0017097C">
        <w:rPr>
          <w:rStyle w:val="libAlaemChar"/>
          <w:rtl/>
        </w:rPr>
        <w:t>صلى‌الله‌عليه‌وآله</w:t>
      </w:r>
      <w:r>
        <w:rPr>
          <w:rtl/>
          <w:lang w:bidi="fa-IR"/>
        </w:rPr>
        <w:t xml:space="preserve"> وَأَنْتَ تُجْهِدُ نَفْسَكَ </w:t>
      </w:r>
      <w:r w:rsidRPr="00D10E3C">
        <w:rPr>
          <w:rStyle w:val="libFootnotenumChar"/>
          <w:rtl/>
        </w:rPr>
        <w:t>(4)</w:t>
      </w:r>
      <w:r>
        <w:rPr>
          <w:rtl/>
          <w:lang w:bidi="fa-IR"/>
        </w:rPr>
        <w:t xml:space="preserve"> فِي مِثْلِ هذَا الْيَوْمِ؟</w:t>
      </w:r>
    </w:p>
    <w:p w:rsidR="00144FA6" w:rsidRDefault="00744A1C" w:rsidP="00744A1C">
      <w:pPr>
        <w:pStyle w:val="libNormal"/>
        <w:rPr>
          <w:rtl/>
          <w:lang w:bidi="fa-IR"/>
        </w:rPr>
      </w:pPr>
      <w:r>
        <w:rPr>
          <w:rtl/>
          <w:lang w:bidi="fa-IR"/>
        </w:rPr>
        <w:t xml:space="preserve">فَقَالَ : « يَا عَبْدَ الْأَعْلى </w:t>
      </w:r>
      <w:r w:rsidRPr="00D10E3C">
        <w:rPr>
          <w:rStyle w:val="libFootnotenumChar"/>
          <w:rtl/>
        </w:rPr>
        <w:t>(5)</w:t>
      </w:r>
      <w:r>
        <w:rPr>
          <w:rtl/>
          <w:lang w:bidi="fa-IR"/>
        </w:rPr>
        <w:t xml:space="preserve"> ، خَرَجْتُ فِي طَلَبِ الرِّزْقِ لِأَسْتَغْنِيَ </w:t>
      </w:r>
      <w:r w:rsidRPr="00D10E3C">
        <w:rPr>
          <w:rStyle w:val="libFootnotenumChar"/>
          <w:rtl/>
        </w:rPr>
        <w:t>(6)</w:t>
      </w:r>
      <w:r>
        <w:rPr>
          <w:rtl/>
          <w:lang w:bidi="fa-IR"/>
        </w:rPr>
        <w:t xml:space="preserve"> عَنْ مِثْلِكَ ». </w:t>
      </w:r>
      <w:r w:rsidRPr="00D10E3C">
        <w:rPr>
          <w:rStyle w:val="libFootnotenumChar"/>
          <w:rtl/>
        </w:rPr>
        <w:t>(7)</w:t>
      </w:r>
    </w:p>
    <w:p w:rsidR="00144FA6" w:rsidRDefault="00744A1C" w:rsidP="00744A1C">
      <w:pPr>
        <w:pStyle w:val="libNormal"/>
        <w:rPr>
          <w:rtl/>
          <w:lang w:bidi="fa-IR"/>
        </w:rPr>
      </w:pPr>
      <w:r>
        <w:rPr>
          <w:rtl/>
          <w:lang w:bidi="fa-IR"/>
        </w:rPr>
        <w:t xml:space="preserve">8374 / 4. عَلِيُّ بْنُ إِبْرَاهِيمَ ، عَنْ أَبِيهِ ، عَنِ ابْنِ أَبِي عُمَيْرٍ ، عَنْ سَيْفِ بْنِ عَمِيرَةَ وَسَلَمَةَ صَاحِبِ السَّابِرِيِّ </w:t>
      </w:r>
      <w:r w:rsidRPr="00D10E3C">
        <w:rPr>
          <w:rStyle w:val="libFootnotenumChar"/>
          <w:rtl/>
        </w:rPr>
        <w:t>(8)</w:t>
      </w:r>
      <w:r>
        <w:rPr>
          <w:rtl/>
          <w:lang w:bidi="fa-IR"/>
        </w:rPr>
        <w:t xml:space="preserve"> ، عَنْ أَبِي أُسَامَةَ زَيْدٍ الشَّحَّامِ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بف » وحاشية « ى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وفي « ط ، ى ، بث ، بس ، جت ، جد ، جن » والمطبوع : « عبد الله ».</w:t>
      </w:r>
    </w:p>
    <w:p w:rsidR="00744A1C" w:rsidRDefault="00744A1C" w:rsidP="00045B82">
      <w:pPr>
        <w:pStyle w:val="libFootnote0"/>
        <w:rPr>
          <w:lang w:bidi="fa-IR"/>
        </w:rPr>
      </w:pPr>
      <w:r>
        <w:rPr>
          <w:rtl/>
          <w:lang w:bidi="fa-IR"/>
        </w:rPr>
        <w:t xml:space="preserve">والمراد من عبيد الله هذا ، هو عبيد الله بن عبد الله الدهقان الراوي عن درست [ بن أبي منصور ] في عددٍ من الأسناد. راجع : </w:t>
      </w:r>
      <w:r w:rsidRPr="0061079A">
        <w:rPr>
          <w:rStyle w:val="libFootnoteBoldChar"/>
          <w:rtl/>
        </w:rPr>
        <w:t>معجم رجال الحديث</w:t>
      </w:r>
      <w:r>
        <w:rPr>
          <w:rtl/>
          <w:lang w:bidi="fa-IR"/>
        </w:rPr>
        <w:t xml:space="preserve"> ، ج 7 ، ص 414 - 419 ؛ </w:t>
      </w:r>
      <w:r w:rsidRPr="003A7143">
        <w:rPr>
          <w:rStyle w:val="libFootnoteBoldChar"/>
          <w:rtl/>
        </w:rPr>
        <w:t>رجال النجاشي</w:t>
      </w:r>
      <w:r>
        <w:rPr>
          <w:rtl/>
          <w:lang w:bidi="fa-IR"/>
        </w:rPr>
        <w:t xml:space="preserve"> ، ص 231 ، الرقم 614 ؛ </w:t>
      </w:r>
      <w:r w:rsidRPr="003A7143">
        <w:rPr>
          <w:rStyle w:val="libFootnoteBoldChar"/>
          <w:rtl/>
        </w:rPr>
        <w:t>الفهرست للطوسي</w:t>
      </w:r>
      <w:r>
        <w:rPr>
          <w:rtl/>
          <w:lang w:bidi="fa-IR"/>
        </w:rPr>
        <w:t xml:space="preserve"> ، ص 307 ، الرقم 469.</w:t>
      </w:r>
      <w:r w:rsidR="00045B82">
        <w:rPr>
          <w:rFonts w:hint="cs"/>
          <w:rtl/>
          <w:lang w:bidi="fa-IR"/>
        </w:rPr>
        <w:t xml:space="preserve">                      </w:t>
      </w:r>
      <w:r w:rsidR="00E378DD">
        <w:rPr>
          <w:rtl/>
          <w:lang w:bidi="fa-IR"/>
        </w:rPr>
        <w:t>(2).</w:t>
      </w:r>
      <w:r>
        <w:rPr>
          <w:rtl/>
          <w:lang w:bidi="fa-IR"/>
        </w:rPr>
        <w:t xml:space="preserve"> في « بف » : - « في بعض طرق المدينة ».</w:t>
      </w:r>
    </w:p>
    <w:p w:rsidR="00744A1C" w:rsidRDefault="00E378DD" w:rsidP="00E378DD">
      <w:pPr>
        <w:pStyle w:val="libFootnote0"/>
        <w:rPr>
          <w:lang w:bidi="fa-IR"/>
        </w:rPr>
      </w:pPr>
      <w:r>
        <w:rPr>
          <w:rtl/>
          <w:lang w:bidi="fa-IR"/>
        </w:rPr>
        <w:t>(3).</w:t>
      </w:r>
      <w:r w:rsidR="00744A1C">
        <w:rPr>
          <w:rtl/>
          <w:lang w:bidi="fa-IR"/>
        </w:rPr>
        <w:t xml:space="preserve"> « يوم صائف » أي يوم حارّ. راجع : </w:t>
      </w:r>
      <w:r w:rsidR="00744A1C" w:rsidRPr="00877682">
        <w:rPr>
          <w:rStyle w:val="libFootnoteBoldChar"/>
          <w:rtl/>
        </w:rPr>
        <w:t>لسان العرب</w:t>
      </w:r>
      <w:r w:rsidR="00744A1C">
        <w:rPr>
          <w:rtl/>
          <w:lang w:bidi="fa-IR"/>
        </w:rPr>
        <w:t xml:space="preserve"> ، ج 9 ، ص 200 ( صيف ).</w:t>
      </w:r>
    </w:p>
    <w:p w:rsidR="00744A1C" w:rsidRDefault="00E378DD" w:rsidP="00E378DD">
      <w:pPr>
        <w:pStyle w:val="libFootnote0"/>
        <w:rPr>
          <w:lang w:bidi="fa-IR"/>
        </w:rPr>
      </w:pPr>
      <w:r>
        <w:rPr>
          <w:rtl/>
          <w:lang w:bidi="fa-IR"/>
        </w:rPr>
        <w:t>(4).</w:t>
      </w:r>
      <w:r w:rsidR="00744A1C">
        <w:rPr>
          <w:rtl/>
          <w:lang w:bidi="fa-IR"/>
        </w:rPr>
        <w:t xml:space="preserve"> هكذا في « ط ، ى ، بح ، بخ ، بز ، بس ، بظ ، بف ، بى ، جد ، جز ، جش ، جن » </w:t>
      </w:r>
      <w:r w:rsidR="00744A1C" w:rsidRPr="00FC3C84">
        <w:rPr>
          <w:rtl/>
        </w:rPr>
        <w:t>والوافي والوسائل</w:t>
      </w:r>
      <w:r w:rsidR="00744A1C">
        <w:rPr>
          <w:rtl/>
          <w:lang w:bidi="fa-IR"/>
        </w:rPr>
        <w:t xml:space="preserve"> </w:t>
      </w:r>
      <w:r w:rsidR="00744A1C" w:rsidRPr="00FC3C84">
        <w:rPr>
          <w:rtl/>
        </w:rPr>
        <w:t>والبحار والتهذيب</w:t>
      </w:r>
      <w:r w:rsidR="00744A1C">
        <w:rPr>
          <w:rtl/>
          <w:lang w:bidi="fa-IR"/>
        </w:rPr>
        <w:t>. وفي سائر النسخ والمطبوع : « لنفسك ».</w:t>
      </w:r>
    </w:p>
    <w:tbl>
      <w:tblPr>
        <w:tblStyle w:val="TableGrid"/>
        <w:bidiVisual/>
        <w:tblW w:w="0" w:type="auto"/>
        <w:tblLook w:val="04A0" w:firstRow="1" w:lastRow="0" w:firstColumn="1" w:lastColumn="0" w:noHBand="0" w:noVBand="1"/>
      </w:tblPr>
      <w:tblGrid>
        <w:gridCol w:w="4006"/>
        <w:gridCol w:w="4006"/>
      </w:tblGrid>
      <w:tr w:rsidR="00FC3C84" w:rsidTr="00FC3C84">
        <w:tc>
          <w:tcPr>
            <w:tcW w:w="4006" w:type="dxa"/>
          </w:tcPr>
          <w:p w:rsidR="00FC3C84" w:rsidRDefault="00FC3C84" w:rsidP="00E378DD">
            <w:pPr>
              <w:pStyle w:val="libFootnote0"/>
              <w:rPr>
                <w:rtl/>
                <w:lang w:bidi="fa-IR"/>
              </w:rPr>
            </w:pPr>
            <w:r>
              <w:rPr>
                <w:rtl/>
                <w:lang w:bidi="fa-IR"/>
              </w:rPr>
              <w:t>(5). في « ى » : « عبد الله ».</w:t>
            </w:r>
          </w:p>
        </w:tc>
        <w:tc>
          <w:tcPr>
            <w:tcW w:w="4006" w:type="dxa"/>
          </w:tcPr>
          <w:p w:rsidR="00FC3C84" w:rsidRDefault="00FC3C84" w:rsidP="00E378DD">
            <w:pPr>
              <w:pStyle w:val="libFootnote0"/>
              <w:rPr>
                <w:rtl/>
                <w:lang w:bidi="fa-IR"/>
              </w:rPr>
            </w:pPr>
            <w:r>
              <w:rPr>
                <w:rtl/>
                <w:lang w:bidi="fa-IR"/>
              </w:rPr>
              <w:t>(6).</w:t>
            </w:r>
            <w:r w:rsidR="00DE02C5">
              <w:rPr>
                <w:rtl/>
                <w:lang w:bidi="fa-IR"/>
              </w:rPr>
              <w:t xml:space="preserve"> في «ط،ى،</w:t>
            </w:r>
            <w:r>
              <w:rPr>
                <w:rtl/>
                <w:lang w:bidi="fa-IR"/>
              </w:rPr>
              <w:t>ب</w:t>
            </w:r>
            <w:r w:rsidR="00DE02C5">
              <w:rPr>
                <w:rtl/>
                <w:lang w:bidi="fa-IR"/>
              </w:rPr>
              <w:t>خ،بس،بف،جد»</w:t>
            </w:r>
            <w:r>
              <w:rPr>
                <w:rtl/>
                <w:lang w:bidi="fa-IR"/>
              </w:rPr>
              <w:t>و</w:t>
            </w:r>
            <w:r w:rsidRPr="00C24F9C">
              <w:rPr>
                <w:rStyle w:val="libFootnoteBoldChar"/>
                <w:rtl/>
              </w:rPr>
              <w:t>الوافي</w:t>
            </w:r>
            <w:r w:rsidR="00DE02C5">
              <w:rPr>
                <w:rtl/>
                <w:lang w:bidi="fa-IR"/>
              </w:rPr>
              <w:t xml:space="preserve"> :</w:t>
            </w:r>
            <w:r>
              <w:rPr>
                <w:rtl/>
                <w:lang w:bidi="fa-IR"/>
              </w:rPr>
              <w:t>+ « به ».</w:t>
            </w:r>
          </w:p>
        </w:tc>
      </w:tr>
    </w:tbl>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324 ، ح 893 ، معلّقاً عن الكليني </w:t>
      </w:r>
      <w:r w:rsidR="00DE02C5">
        <w:rPr>
          <w:rFonts w:hint="cs"/>
          <w:rtl/>
          <w:lang w:bidi="fa-IR"/>
        </w:rPr>
        <w:t>.</w:t>
      </w:r>
      <w:r w:rsidR="00744A1C" w:rsidRPr="00C24F9C">
        <w:rPr>
          <w:rStyle w:val="libFootnoteBoldChar"/>
          <w:rtl/>
        </w:rPr>
        <w:t>الوافي</w:t>
      </w:r>
      <w:r w:rsidR="00744A1C">
        <w:rPr>
          <w:rtl/>
          <w:lang w:bidi="fa-IR"/>
        </w:rPr>
        <w:t xml:space="preserve"> ، ج 17 ، ص 30 ، ح 16807 ؛ </w:t>
      </w:r>
      <w:r w:rsidR="00744A1C" w:rsidRPr="00C24F9C">
        <w:rPr>
          <w:rStyle w:val="libFootnoteBoldChar"/>
          <w:rtl/>
        </w:rPr>
        <w:t>الوسائل</w:t>
      </w:r>
      <w:r w:rsidR="00744A1C">
        <w:rPr>
          <w:rtl/>
          <w:lang w:bidi="fa-IR"/>
        </w:rPr>
        <w:t xml:space="preserve"> ، ج 17 ، ص 20 ، ح 21873 ؛ </w:t>
      </w:r>
      <w:r w:rsidR="00744A1C" w:rsidRPr="0061079A">
        <w:rPr>
          <w:rStyle w:val="libFootnoteBoldChar"/>
          <w:rtl/>
        </w:rPr>
        <w:t>البحار</w:t>
      </w:r>
      <w:r w:rsidR="00744A1C">
        <w:rPr>
          <w:rtl/>
          <w:lang w:bidi="fa-IR"/>
        </w:rPr>
        <w:t xml:space="preserve"> ، ج 47 ، ص 55 ، ح 96.</w:t>
      </w:r>
    </w:p>
    <w:p w:rsidR="00744A1C" w:rsidRDefault="00E378DD" w:rsidP="00DE02C5">
      <w:pPr>
        <w:pStyle w:val="libFootnote0"/>
        <w:rPr>
          <w:lang w:bidi="fa-IR"/>
        </w:rPr>
      </w:pPr>
      <w:r>
        <w:rPr>
          <w:rtl/>
          <w:lang w:bidi="fa-IR"/>
        </w:rPr>
        <w:t>(8).</w:t>
      </w:r>
      <w:r w:rsidR="00744A1C">
        <w:rPr>
          <w:rtl/>
          <w:lang w:bidi="fa-IR"/>
        </w:rPr>
        <w:t xml:space="preserve"> الخبر أورده الشيخ الحرّ </w:t>
      </w:r>
      <w:r w:rsidR="00DE02C5" w:rsidRPr="00DE02C5">
        <w:rPr>
          <w:rStyle w:val="libFootnoteAlaemChar"/>
          <w:rtl/>
        </w:rPr>
        <w:t>قدس‌سره</w:t>
      </w:r>
      <w:r w:rsidR="00DE02C5">
        <w:rPr>
          <w:rtl/>
          <w:lang w:bidi="fa-IR"/>
        </w:rPr>
        <w:t xml:space="preserve"> </w:t>
      </w:r>
      <w:r w:rsidR="00744A1C">
        <w:rPr>
          <w:rtl/>
          <w:lang w:bidi="fa-IR"/>
        </w:rPr>
        <w:t xml:space="preserve">في </w:t>
      </w:r>
      <w:r w:rsidR="00744A1C" w:rsidRPr="00C24F9C">
        <w:rPr>
          <w:rStyle w:val="libFootnoteBoldChar"/>
          <w:rtl/>
        </w:rPr>
        <w:t>الوسائل</w:t>
      </w:r>
      <w:r w:rsidR="00744A1C">
        <w:rPr>
          <w:rtl/>
          <w:lang w:bidi="fa-IR"/>
        </w:rPr>
        <w:t xml:space="preserve"> ، ج 17 ، ص 37 ، ح 21918 وج 23 ، ص 10 ، ح 28987 ، وفي الموضع الأوّل : « وسلمة بيّاع السابري » وفي الموضع الثاني : « عن سلمة بيّاع السابري ».</w:t>
      </w:r>
    </w:p>
    <w:p w:rsidR="00744A1C" w:rsidRDefault="00744A1C" w:rsidP="00DE02C5">
      <w:pPr>
        <w:pStyle w:val="libFootnote0"/>
        <w:rPr>
          <w:lang w:bidi="fa-IR"/>
        </w:rPr>
      </w:pPr>
      <w:r>
        <w:rPr>
          <w:rtl/>
          <w:lang w:bidi="fa-IR"/>
        </w:rPr>
        <w:t xml:space="preserve">أمّا سلمة بيّاع السابري ، فالظاهر اتّحاده مع سلمة صاحب السابري ؛ فقد روى محمّد بن أبي عمير عن سلمة بيّاع السابري في </w:t>
      </w:r>
      <w:r w:rsidRPr="0061079A">
        <w:rPr>
          <w:rStyle w:val="libFootnoteBoldChar"/>
          <w:rtl/>
        </w:rPr>
        <w:t>الكافي</w:t>
      </w:r>
      <w:r>
        <w:rPr>
          <w:rtl/>
          <w:lang w:bidi="fa-IR"/>
        </w:rPr>
        <w:t xml:space="preserve"> ، كتاب الروضة ، ح 14987 ؛ </w:t>
      </w:r>
      <w:r w:rsidRPr="004D054E">
        <w:rPr>
          <w:rStyle w:val="libFootnoteBoldChar"/>
          <w:rtl/>
        </w:rPr>
        <w:t>وثواب الأعمال</w:t>
      </w:r>
      <w:r>
        <w:rPr>
          <w:rtl/>
          <w:lang w:bidi="fa-IR"/>
        </w:rPr>
        <w:t xml:space="preserve"> ، ص 214 ، ح 2 ، فيحتمل وجود نسخة عند الشيخ الحرّ </w:t>
      </w:r>
      <w:r w:rsidR="00DE02C5" w:rsidRPr="00DE02C5">
        <w:rPr>
          <w:rStyle w:val="libFootnoteAlaemChar"/>
          <w:rtl/>
        </w:rPr>
        <w:t>قدس‌سره</w:t>
      </w:r>
      <w:r>
        <w:rPr>
          <w:rtl/>
          <w:lang w:bidi="fa-IR"/>
        </w:rPr>
        <w:t>.</w:t>
      </w:r>
    </w:p>
    <w:p w:rsidR="00144FA6" w:rsidRDefault="00744A1C" w:rsidP="00D10E3C">
      <w:pPr>
        <w:pStyle w:val="libFootnote0"/>
        <w:rPr>
          <w:rtl/>
          <w:lang w:bidi="fa-IR"/>
        </w:rPr>
      </w:pPr>
      <w:r>
        <w:rPr>
          <w:rtl/>
          <w:lang w:bidi="fa-IR"/>
        </w:rPr>
        <w:t>وأمّا « عن » في الموضع الثاني ، فالظاهر وقوع التصحيف فيها ؛ لما ورد في بعض الأسناد من رواية ابن أبي عمير</w:t>
      </w:r>
      <w:r w:rsidR="00F865B3">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 أَنَّ أَمِيرَ الْمُؤْمِنِينَ </w:t>
      </w:r>
      <w:r w:rsidR="0061079A" w:rsidRPr="0061079A">
        <w:rPr>
          <w:rStyle w:val="libAlaemChar"/>
          <w:rtl/>
        </w:rPr>
        <w:t>عليه‌السلام</w:t>
      </w:r>
      <w:r w:rsidR="00D10E3C">
        <w:rPr>
          <w:rtl/>
          <w:lang w:bidi="fa-IR"/>
        </w:rPr>
        <w:t xml:space="preserve"> </w:t>
      </w:r>
      <w:r>
        <w:rPr>
          <w:rtl/>
          <w:lang w:bidi="fa-IR"/>
        </w:rPr>
        <w:t xml:space="preserve">أَعْتَقَ أَلْفَ مَمْلُوكٍ مِنْ كَدِّ يَدِهِ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8375 / 5. أَحْمَدُ بْنُ أَبِي عَبْدِ اللهِ </w:t>
      </w:r>
      <w:r w:rsidRPr="00D10E3C">
        <w:rPr>
          <w:rStyle w:val="libFootnotenumChar"/>
          <w:rtl/>
        </w:rPr>
        <w:t>(3)</w:t>
      </w:r>
      <w:r>
        <w:rPr>
          <w:rtl/>
          <w:lang w:bidi="fa-IR"/>
        </w:rPr>
        <w:t xml:space="preserve"> ، عَنْ شَرِيفِ بْنِ سَابِقٍ ، عَنِ الْفَضْلِ بْنِ أَبِي قُرَّةَ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 أَنَّ أَمِيرَ الْمُؤْمِنِينَ </w:t>
      </w:r>
      <w:r w:rsidR="0061079A" w:rsidRPr="0061079A">
        <w:rPr>
          <w:rStyle w:val="libAlaemChar"/>
          <w:rtl/>
        </w:rPr>
        <w:t>عليه‌السلام</w:t>
      </w:r>
      <w:r w:rsidR="00D10E3C">
        <w:rPr>
          <w:rtl/>
          <w:lang w:bidi="fa-IR"/>
        </w:rPr>
        <w:t xml:space="preserve"> </w:t>
      </w:r>
      <w:r w:rsidRPr="00D10E3C">
        <w:rPr>
          <w:rStyle w:val="libFootnotenumChar"/>
          <w:rtl/>
        </w:rPr>
        <w:t>(4)</w:t>
      </w:r>
      <w:r>
        <w:rPr>
          <w:rtl/>
          <w:lang w:bidi="fa-IR"/>
        </w:rPr>
        <w:t xml:space="preserve"> ، قَالَ : أَوْحَى اللهُ - عَزَّ وَجَلَّ - إِلى دَاوُدَ </w:t>
      </w:r>
      <w:r w:rsidR="0061079A" w:rsidRPr="0061079A">
        <w:rPr>
          <w:rStyle w:val="libAlaemChar"/>
          <w:rtl/>
        </w:rPr>
        <w:t>عليه‌السلام</w:t>
      </w:r>
      <w:r w:rsidR="00D10E3C">
        <w:rPr>
          <w:rtl/>
          <w:lang w:bidi="fa-IR"/>
        </w:rPr>
        <w:t xml:space="preserve"> </w:t>
      </w:r>
      <w:r>
        <w:rPr>
          <w:rtl/>
          <w:lang w:bidi="fa-IR"/>
        </w:rPr>
        <w:t>: أَنَّكَ نِعْمَ الْعَبْدُ لَوْ لَا أَنَّكَ تَأْكُلُ مِنْ بَيْتِ الْمَالِ ، وَلَا تَعْمَلُ بِيَدِكَ شَيْئاً.</w:t>
      </w:r>
    </w:p>
    <w:p w:rsidR="00144FA6" w:rsidRDefault="00744A1C" w:rsidP="00744A1C">
      <w:pPr>
        <w:pStyle w:val="libNormal"/>
        <w:rPr>
          <w:rtl/>
          <w:lang w:bidi="fa-IR"/>
        </w:rPr>
      </w:pPr>
      <w:r>
        <w:rPr>
          <w:rtl/>
          <w:lang w:bidi="fa-IR"/>
        </w:rPr>
        <w:t xml:space="preserve">قَالَ </w:t>
      </w:r>
      <w:r w:rsidRPr="00D10E3C">
        <w:rPr>
          <w:rStyle w:val="libFootnotenumChar"/>
          <w:rtl/>
        </w:rPr>
        <w:t>(5)</w:t>
      </w:r>
      <w:r>
        <w:rPr>
          <w:rtl/>
          <w:lang w:bidi="fa-IR"/>
        </w:rPr>
        <w:t xml:space="preserve"> : فَبَكى دَاوُدُ </w:t>
      </w:r>
      <w:r w:rsidR="0061079A" w:rsidRPr="0061079A">
        <w:rPr>
          <w:rStyle w:val="libAlaemChar"/>
          <w:rtl/>
        </w:rPr>
        <w:t>عليه‌السلام</w:t>
      </w:r>
      <w:r w:rsidR="00D10E3C">
        <w:rPr>
          <w:rtl/>
          <w:lang w:bidi="fa-IR"/>
        </w:rPr>
        <w:t xml:space="preserve"> </w:t>
      </w:r>
      <w:r>
        <w:rPr>
          <w:rtl/>
          <w:lang w:bidi="fa-IR"/>
        </w:rPr>
        <w:t xml:space="preserve">أَرْبَعِينَ صَبَاحاً ، فَأَوْحَى اللهُ - عَزَّ وَجَلَّ - إِلَى الْحَدِيدِ : أَنْ لِنْ لِعَبْدِي دَاوُدَ ، فَأَلَانَ اللهُ - عَزَّ وَجَلَّ - لَهُ </w:t>
      </w:r>
      <w:r w:rsidRPr="00D10E3C">
        <w:rPr>
          <w:rStyle w:val="libFootnotenumChar"/>
          <w:rtl/>
        </w:rPr>
        <w:t>(6)</w:t>
      </w:r>
      <w:r>
        <w:rPr>
          <w:rtl/>
          <w:lang w:bidi="fa-IR"/>
        </w:rPr>
        <w:t xml:space="preserve"> الْحَدِيدَ ، فَكَانَ </w:t>
      </w:r>
      <w:r w:rsidRPr="00D10E3C">
        <w:rPr>
          <w:rStyle w:val="libFootnotenumChar"/>
          <w:rtl/>
        </w:rPr>
        <w:t>(7)</w:t>
      </w:r>
      <w:r>
        <w:rPr>
          <w:rtl/>
          <w:lang w:bidi="fa-IR"/>
        </w:rPr>
        <w:t xml:space="preserve"> يَعْمَلُ </w:t>
      </w:r>
      <w:r w:rsidRPr="00D10E3C">
        <w:rPr>
          <w:rStyle w:val="libFootnotenumChar"/>
          <w:rtl/>
        </w:rPr>
        <w:t>(8)</w:t>
      </w:r>
      <w:r>
        <w:rPr>
          <w:rtl/>
          <w:lang w:bidi="fa-IR"/>
        </w:rPr>
        <w:t xml:space="preserve"> كُلَّ يَوْمٍ دِرْعاً ، فَيَبِيعُهَا بِأَلْفِ دِرْهَمٍ ، فَعَمِلَ ثَلَاثَمِائَةٍ وَسِتِّينَ دِرْعاً ، فَبَاعَهَا بِثَلَاثِمِائَةٍ وَسِتِّينَ أَلْفاً </w:t>
      </w:r>
      <w:r w:rsidRPr="00D10E3C">
        <w:rPr>
          <w:rStyle w:val="libFootnotenumChar"/>
          <w:rtl/>
        </w:rPr>
        <w:t>(9)</w:t>
      </w:r>
      <w:r>
        <w:rPr>
          <w:rtl/>
          <w:lang w:bidi="fa-IR"/>
        </w:rPr>
        <w:t xml:space="preserve"> ، وَاسْتَغْنى عَنْ بَيْتِ الْمَالِ ». </w:t>
      </w:r>
      <w:r w:rsidRPr="00D10E3C">
        <w:rPr>
          <w:rStyle w:val="libFootnotenumChar"/>
          <w:rtl/>
        </w:rPr>
        <w:t>(10)</w:t>
      </w:r>
    </w:p>
    <w:p w:rsidR="00144FA6" w:rsidRDefault="00744A1C" w:rsidP="00744A1C">
      <w:pPr>
        <w:pStyle w:val="libNormal"/>
        <w:rPr>
          <w:rtl/>
          <w:lang w:bidi="fa-IR"/>
        </w:rPr>
      </w:pPr>
      <w:r>
        <w:rPr>
          <w:rtl/>
          <w:lang w:bidi="fa-IR"/>
        </w:rPr>
        <w:t xml:space="preserve">8376 / 6. مُحَمَّدُ بْنُ يَحْيى ، عَنْ أَحْمَدَ بْنِ مُحَمَّدٍ ، عَنِ ابْنِ فَضَّالٍ ، عَنِ </w:t>
      </w:r>
      <w:r w:rsidR="00DB0A76">
        <w:rPr>
          <w:rtl/>
          <w:lang w:bidi="fa-IR"/>
        </w:rPr>
        <w:t>ابْنِ بُكَيْرٍ ، عَنْ زُرَارَةَ</w:t>
      </w:r>
      <w:r>
        <w:rPr>
          <w:rtl/>
          <w:lang w:bidi="fa-IR"/>
        </w:rPr>
        <w:t>:</w:t>
      </w:r>
    </w:p>
    <w:p w:rsidR="00744A1C" w:rsidRDefault="00744A1C" w:rsidP="00D10E3C">
      <w:pPr>
        <w:pStyle w:val="libLine"/>
        <w:rPr>
          <w:lang w:bidi="fa-IR"/>
        </w:rPr>
      </w:pPr>
      <w:r>
        <w:rPr>
          <w:rtl/>
          <w:lang w:bidi="fa-IR"/>
        </w:rPr>
        <w:t>____________________</w:t>
      </w:r>
    </w:p>
    <w:p w:rsidR="00744A1C" w:rsidRDefault="00DB0A76" w:rsidP="00D10E3C">
      <w:pPr>
        <w:pStyle w:val="libFootnote0"/>
        <w:rPr>
          <w:lang w:bidi="fa-IR"/>
        </w:rPr>
      </w:pPr>
      <w:r>
        <w:rPr>
          <w:rFonts w:hint="cs"/>
          <w:rtl/>
          <w:lang w:bidi="fa-IR"/>
        </w:rPr>
        <w:t xml:space="preserve">= </w:t>
      </w:r>
      <w:r w:rsidR="00744A1C">
        <w:rPr>
          <w:rtl/>
          <w:lang w:bidi="fa-IR"/>
        </w:rPr>
        <w:t xml:space="preserve">عن سلمة صاحب السابري ، ورواية سيف [ بن عميرة ] عن زيد الشحّام مباشرة. راجع : </w:t>
      </w:r>
      <w:r w:rsidR="00744A1C" w:rsidRPr="0061079A">
        <w:rPr>
          <w:rStyle w:val="libFootnoteBoldChar"/>
          <w:rtl/>
        </w:rPr>
        <w:t>معجم رجال الحديث</w:t>
      </w:r>
      <w:r w:rsidR="00744A1C">
        <w:rPr>
          <w:rtl/>
          <w:lang w:bidi="fa-IR"/>
        </w:rPr>
        <w:t xml:space="preserve"> ، ج 8 ، ص 445 ، ص 539 وص 547.</w:t>
      </w:r>
    </w:p>
    <w:p w:rsidR="00744A1C" w:rsidRDefault="00744A1C" w:rsidP="00D10E3C">
      <w:pPr>
        <w:pStyle w:val="libFootnote0"/>
        <w:rPr>
          <w:lang w:bidi="fa-IR"/>
        </w:rPr>
      </w:pPr>
      <w:r>
        <w:rPr>
          <w:rtl/>
          <w:lang w:bidi="fa-IR"/>
        </w:rPr>
        <w:t xml:space="preserve">ويؤيّد ذلك أنّ الخبر رواه البرقي في </w:t>
      </w:r>
      <w:r w:rsidRPr="003A7143">
        <w:rPr>
          <w:rStyle w:val="libFootnoteBoldChar"/>
          <w:rtl/>
        </w:rPr>
        <w:t>المحاسن</w:t>
      </w:r>
      <w:r>
        <w:rPr>
          <w:rtl/>
          <w:lang w:bidi="fa-IR"/>
        </w:rPr>
        <w:t xml:space="preserve"> ، ص 624 ، ح 80 ، عن أبيه عن ابن أبي عمير عن سيف بن عميرة وسليمة - وفي بعض النسخ : « سلمة » - صاحب السابري عن زيد الشحّام.</w:t>
      </w:r>
    </w:p>
    <w:p w:rsidR="00744A1C" w:rsidRDefault="00D10E3C" w:rsidP="00D10E3C">
      <w:pPr>
        <w:pStyle w:val="libFootnote0"/>
        <w:rPr>
          <w:lang w:bidi="fa-IR"/>
        </w:rPr>
      </w:pPr>
      <w:r>
        <w:rPr>
          <w:rtl/>
          <w:lang w:bidi="fa-IR"/>
        </w:rPr>
        <w:t>(1).</w:t>
      </w:r>
      <w:r w:rsidR="00744A1C">
        <w:rPr>
          <w:rtl/>
          <w:lang w:bidi="fa-IR"/>
        </w:rPr>
        <w:t xml:space="preserve"> </w:t>
      </w:r>
      <w:r w:rsidR="00744A1C" w:rsidRPr="00F17F93">
        <w:rPr>
          <w:rtl/>
        </w:rPr>
        <w:t>في الوافي :</w:t>
      </w:r>
      <w:r w:rsidR="00744A1C">
        <w:rPr>
          <w:rtl/>
          <w:lang w:bidi="fa-IR"/>
        </w:rPr>
        <w:t xml:space="preserve"> « يمينه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325 ، ح 895 ، معلّقاً عن الكليني. </w:t>
      </w:r>
      <w:r w:rsidR="00744A1C" w:rsidRPr="003A7143">
        <w:rPr>
          <w:rStyle w:val="libFootnoteBoldChar"/>
          <w:rtl/>
        </w:rPr>
        <w:t>المحاسن</w:t>
      </w:r>
      <w:r w:rsidR="00744A1C">
        <w:rPr>
          <w:rtl/>
          <w:lang w:bidi="fa-IR"/>
        </w:rPr>
        <w:t xml:space="preserve"> ، ص 624 ، كتاب المرافق ، ح 80 ، عن أبيه ، عن ابن أبي عمير ، عن سيف بن عميرة وسليمة صاحب السابري ، عن زيد الشحّام </w:t>
      </w:r>
      <w:r w:rsidR="00F17F93">
        <w:rPr>
          <w:rFonts w:hint="cs"/>
          <w:rtl/>
          <w:lang w:bidi="fa-IR"/>
        </w:rPr>
        <w:t>.</w:t>
      </w:r>
      <w:r w:rsidR="00744A1C" w:rsidRPr="00C24F9C">
        <w:rPr>
          <w:rStyle w:val="libFootnoteBoldChar"/>
          <w:rtl/>
        </w:rPr>
        <w:t>الوافي</w:t>
      </w:r>
      <w:r w:rsidR="00744A1C">
        <w:rPr>
          <w:rtl/>
          <w:lang w:bidi="fa-IR"/>
        </w:rPr>
        <w:t xml:space="preserve"> ، ج 17 ، ص 31 ، ح 16808 ؛ </w:t>
      </w:r>
      <w:r w:rsidR="00744A1C" w:rsidRPr="00C24F9C">
        <w:rPr>
          <w:rStyle w:val="libFootnoteBoldChar"/>
          <w:rtl/>
        </w:rPr>
        <w:t>الوسائل</w:t>
      </w:r>
      <w:r w:rsidR="00744A1C">
        <w:rPr>
          <w:rtl/>
          <w:lang w:bidi="fa-IR"/>
        </w:rPr>
        <w:t xml:space="preserve"> ، ج 17 ، ص 37 ، ح 21918 ؛ وج 23 ، ص 10 ، ح 28987.</w:t>
      </w:r>
    </w:p>
    <w:p w:rsidR="00744A1C" w:rsidRDefault="00E378DD" w:rsidP="00E378DD">
      <w:pPr>
        <w:pStyle w:val="libFootnote0"/>
        <w:rPr>
          <w:lang w:bidi="fa-IR"/>
        </w:rPr>
      </w:pPr>
      <w:r>
        <w:rPr>
          <w:rtl/>
          <w:lang w:bidi="fa-IR"/>
        </w:rPr>
        <w:t>(3).</w:t>
      </w:r>
      <w:r w:rsidR="00744A1C">
        <w:rPr>
          <w:rtl/>
          <w:lang w:bidi="fa-IR"/>
        </w:rPr>
        <w:t xml:space="preserve"> السند معلّق على سند الحديث الثاني. ويروي عن أحمد بن أبي عبد الله ، عدّة من أصحابنا.</w:t>
      </w:r>
    </w:p>
    <w:p w:rsidR="00744A1C" w:rsidRDefault="00E378DD" w:rsidP="00E378DD">
      <w:pPr>
        <w:pStyle w:val="libFootnote0"/>
        <w:rPr>
          <w:lang w:bidi="fa-IR"/>
        </w:rPr>
      </w:pPr>
      <w:r>
        <w:rPr>
          <w:rtl/>
          <w:lang w:bidi="fa-IR"/>
        </w:rPr>
        <w:t>(4).</w:t>
      </w:r>
      <w:r w:rsidR="00744A1C">
        <w:rPr>
          <w:rtl/>
          <w:lang w:bidi="fa-IR"/>
        </w:rPr>
        <w:t xml:space="preserve"> في « ط » </w:t>
      </w:r>
      <w:r w:rsidR="00744A1C" w:rsidRPr="00F17F93">
        <w:rPr>
          <w:rtl/>
        </w:rPr>
        <w:t>والتهذيب</w:t>
      </w:r>
      <w:r w:rsidR="00744A1C">
        <w:rPr>
          <w:rtl/>
          <w:lang w:bidi="fa-IR"/>
        </w:rPr>
        <w:t xml:space="preserve"> : - « أنّ أمير المؤمنين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(5).</w:t>
      </w:r>
      <w:r w:rsidR="00744A1C">
        <w:rPr>
          <w:rtl/>
          <w:lang w:bidi="fa-IR"/>
        </w:rPr>
        <w:t xml:space="preserve"> في « جن » : « فقال ».</w:t>
      </w:r>
    </w:p>
    <w:tbl>
      <w:tblPr>
        <w:tblStyle w:val="TableGrid"/>
        <w:bidiVisual/>
        <w:tblW w:w="0" w:type="auto"/>
        <w:tblLook w:val="04A0" w:firstRow="1" w:lastRow="0" w:firstColumn="1" w:lastColumn="0" w:noHBand="0" w:noVBand="1"/>
      </w:tblPr>
      <w:tblGrid>
        <w:gridCol w:w="4006"/>
        <w:gridCol w:w="4006"/>
      </w:tblGrid>
      <w:tr w:rsidR="00F17F93" w:rsidTr="00F17F93">
        <w:tc>
          <w:tcPr>
            <w:tcW w:w="4006" w:type="dxa"/>
          </w:tcPr>
          <w:p w:rsidR="00F17F93" w:rsidRDefault="00F17F93" w:rsidP="00E378DD">
            <w:pPr>
              <w:pStyle w:val="libFootnote0"/>
              <w:rPr>
                <w:rtl/>
                <w:lang w:bidi="fa-IR"/>
              </w:rPr>
            </w:pPr>
            <w:r>
              <w:rPr>
                <w:rtl/>
                <w:lang w:bidi="fa-IR"/>
              </w:rPr>
              <w:t>(6). في « ى » : - « له ».</w:t>
            </w:r>
          </w:p>
        </w:tc>
        <w:tc>
          <w:tcPr>
            <w:tcW w:w="4006" w:type="dxa"/>
          </w:tcPr>
          <w:p w:rsidR="00F17F93" w:rsidRDefault="00F17F93" w:rsidP="00E378DD">
            <w:pPr>
              <w:pStyle w:val="libFootnote0"/>
              <w:rPr>
                <w:rtl/>
                <w:lang w:bidi="fa-IR"/>
              </w:rPr>
            </w:pPr>
            <w:r>
              <w:rPr>
                <w:rtl/>
                <w:lang w:bidi="fa-IR"/>
              </w:rPr>
              <w:t xml:space="preserve">(7). في </w:t>
            </w:r>
            <w:r w:rsidRPr="00F17F93">
              <w:rPr>
                <w:rtl/>
              </w:rPr>
              <w:t>الوافي</w:t>
            </w:r>
            <w:r>
              <w:rPr>
                <w:rtl/>
                <w:lang w:bidi="fa-IR"/>
              </w:rPr>
              <w:t xml:space="preserve"> : « وكان ».</w:t>
            </w:r>
          </w:p>
        </w:tc>
      </w:tr>
      <w:tr w:rsidR="00F17F93" w:rsidTr="00F17F93">
        <w:tc>
          <w:tcPr>
            <w:tcW w:w="4006" w:type="dxa"/>
          </w:tcPr>
          <w:p w:rsidR="00F17F93" w:rsidRDefault="00F17F93" w:rsidP="00E378DD">
            <w:pPr>
              <w:pStyle w:val="libFootnote0"/>
              <w:rPr>
                <w:rtl/>
                <w:lang w:bidi="fa-IR"/>
              </w:rPr>
            </w:pPr>
            <w:r>
              <w:rPr>
                <w:rtl/>
                <w:lang w:bidi="fa-IR"/>
              </w:rPr>
              <w:t xml:space="preserve">(8). في « جن » </w:t>
            </w:r>
            <w:r w:rsidRPr="00F17F93">
              <w:rPr>
                <w:rtl/>
              </w:rPr>
              <w:t>والوسائل</w:t>
            </w:r>
            <w:r>
              <w:rPr>
                <w:rtl/>
                <w:lang w:bidi="fa-IR"/>
              </w:rPr>
              <w:t xml:space="preserve"> : + « في ».</w:t>
            </w:r>
          </w:p>
        </w:tc>
        <w:tc>
          <w:tcPr>
            <w:tcW w:w="4006" w:type="dxa"/>
          </w:tcPr>
          <w:p w:rsidR="00F17F93" w:rsidRDefault="00F17F93" w:rsidP="00E378DD">
            <w:pPr>
              <w:pStyle w:val="libFootnote0"/>
              <w:rPr>
                <w:rtl/>
                <w:lang w:bidi="fa-IR"/>
              </w:rPr>
            </w:pPr>
            <w:r>
              <w:rPr>
                <w:rtl/>
                <w:lang w:bidi="fa-IR"/>
              </w:rPr>
              <w:t>(9). في « ط » : - « فباعها بثلاثمائة وستّين ألفاً ».</w:t>
            </w:r>
          </w:p>
        </w:tc>
      </w:tr>
    </w:tbl>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326 ، ح 896 ، معلّقاً عن أحمد بن أبي عبد الله. </w:t>
      </w:r>
      <w:r w:rsidR="00744A1C" w:rsidRPr="00C24F9C">
        <w:rPr>
          <w:rStyle w:val="libFootnoteBoldChar"/>
          <w:rtl/>
        </w:rPr>
        <w:t>الفقيه</w:t>
      </w:r>
      <w:r w:rsidR="00744A1C">
        <w:rPr>
          <w:rtl/>
          <w:lang w:bidi="fa-IR"/>
        </w:rPr>
        <w:t xml:space="preserve"> ، ج 3 ، ص 162 ، ح 3594 ، معلّقاً عن شريف بن سابق </w:t>
      </w:r>
      <w:r w:rsidR="00F17F93">
        <w:rPr>
          <w:rFonts w:hint="cs"/>
          <w:rtl/>
          <w:lang w:bidi="fa-IR"/>
        </w:rPr>
        <w:t>.</w:t>
      </w:r>
      <w:r w:rsidR="00744A1C" w:rsidRPr="00C24F9C">
        <w:rPr>
          <w:rStyle w:val="libFootnoteBoldChar"/>
          <w:rtl/>
        </w:rPr>
        <w:t>الوافي</w:t>
      </w:r>
      <w:r w:rsidR="00744A1C">
        <w:rPr>
          <w:rtl/>
          <w:lang w:bidi="fa-IR"/>
        </w:rPr>
        <w:t xml:space="preserve"> ، ج 17 ، ص 31 ، ح 16809 ؛ </w:t>
      </w:r>
      <w:r w:rsidR="00744A1C" w:rsidRPr="00C24F9C">
        <w:rPr>
          <w:rStyle w:val="libFootnoteBoldChar"/>
          <w:rtl/>
        </w:rPr>
        <w:t>الوسائل</w:t>
      </w:r>
      <w:r w:rsidR="00744A1C">
        <w:rPr>
          <w:rtl/>
          <w:lang w:bidi="fa-IR"/>
        </w:rPr>
        <w:t xml:space="preserve"> ، ج 17 ، ص 37 ، ح 21920.</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لَقِيَ رَجُلٌ أَمِيرَ الْمُؤْمِنِينَ </w:t>
      </w:r>
      <w:r w:rsidR="0061079A" w:rsidRPr="0061079A">
        <w:rPr>
          <w:rStyle w:val="libAlaemChar"/>
          <w:rtl/>
        </w:rPr>
        <w:t>عليه‌السلام</w:t>
      </w:r>
      <w:r w:rsidR="00D10E3C">
        <w:rPr>
          <w:rtl/>
          <w:lang w:bidi="fa-IR"/>
        </w:rPr>
        <w:t xml:space="preserve"> </w:t>
      </w:r>
      <w:r>
        <w:rPr>
          <w:rtl/>
          <w:lang w:bidi="fa-IR"/>
        </w:rPr>
        <w:t xml:space="preserve">وَتَحْتَهُ وَسْقٌ </w:t>
      </w:r>
      <w:r w:rsidRPr="00D10E3C">
        <w:rPr>
          <w:rStyle w:val="libFootnotenumChar"/>
          <w:rtl/>
        </w:rPr>
        <w:t>(1)</w:t>
      </w:r>
      <w:r>
        <w:rPr>
          <w:rtl/>
          <w:lang w:bidi="fa-IR"/>
        </w:rPr>
        <w:t xml:space="preserve"> مِنْ نَوًى ، فَقَالَ لَهُ </w:t>
      </w:r>
      <w:r w:rsidRPr="00D10E3C">
        <w:rPr>
          <w:rStyle w:val="libFootnotenumChar"/>
          <w:rtl/>
        </w:rPr>
        <w:t>(2)</w:t>
      </w:r>
      <w:r>
        <w:rPr>
          <w:rtl/>
          <w:lang w:bidi="fa-IR"/>
        </w:rPr>
        <w:t xml:space="preserve"> : مَا هذَا يَا أَبَا الْحَسَنِ تَحْتَكَ؟ فَقَالَ : مِائَةُ أَلْفِ عَذْقٍ </w:t>
      </w:r>
      <w:r w:rsidRPr="00D10E3C">
        <w:rPr>
          <w:rStyle w:val="libFootnotenumChar"/>
          <w:rtl/>
        </w:rPr>
        <w:t>(3)</w:t>
      </w:r>
      <w:r>
        <w:rPr>
          <w:rtl/>
          <w:lang w:bidi="fa-IR"/>
        </w:rPr>
        <w:t xml:space="preserve"> إِنْ شَاءَ اللهُ ».</w:t>
      </w:r>
    </w:p>
    <w:p w:rsidR="00144FA6" w:rsidRDefault="00744A1C" w:rsidP="00744A1C">
      <w:pPr>
        <w:pStyle w:val="libNormal"/>
        <w:rPr>
          <w:rtl/>
          <w:lang w:bidi="fa-IR"/>
        </w:rPr>
      </w:pPr>
      <w:r>
        <w:rPr>
          <w:rtl/>
          <w:lang w:bidi="fa-IR"/>
        </w:rPr>
        <w:t xml:space="preserve">قَالَ : « فَغَرَسَهُ ، فَلَمْ يُغَادَرْ </w:t>
      </w:r>
      <w:r w:rsidRPr="00D10E3C">
        <w:rPr>
          <w:rStyle w:val="libFootnotenumChar"/>
          <w:rtl/>
        </w:rPr>
        <w:t>(4)</w:t>
      </w:r>
      <w:r>
        <w:rPr>
          <w:rtl/>
          <w:lang w:bidi="fa-IR"/>
        </w:rPr>
        <w:t xml:space="preserve"> مِنْهُ نَوَاةٌ وَاحِدَةٌ ». </w:t>
      </w:r>
      <w:r w:rsidRPr="00D10E3C">
        <w:rPr>
          <w:rStyle w:val="libFootnotenumChar"/>
          <w:rtl/>
        </w:rPr>
        <w:t>(5)</w:t>
      </w:r>
    </w:p>
    <w:p w:rsidR="00144FA6" w:rsidRDefault="00744A1C" w:rsidP="00744A1C">
      <w:pPr>
        <w:pStyle w:val="libNormal"/>
        <w:rPr>
          <w:rtl/>
          <w:lang w:bidi="fa-IR"/>
        </w:rPr>
      </w:pPr>
      <w:r>
        <w:rPr>
          <w:rtl/>
          <w:lang w:bidi="fa-IR"/>
        </w:rPr>
        <w:t>8377 / 7. عَلِيُّ بْنُ إِبْرَاهِيمَ ، عَنْ أَبِيهِ ، عَنِ ابْنِ أَبِي عُمَيْرٍ ، عَنْ أَبِي الْمَغْرَاءِ ، عَنْ عَمَّارٍ السِّجِسْتَانِيِّ :</w:t>
      </w:r>
    </w:p>
    <w:p w:rsidR="00144FA6" w:rsidRDefault="00744A1C" w:rsidP="00744A1C">
      <w:pPr>
        <w:pStyle w:val="libNormal"/>
        <w:rPr>
          <w:rtl/>
          <w:lang w:bidi="fa-IR"/>
        </w:rPr>
      </w:pPr>
      <w:r>
        <w:rPr>
          <w:rtl/>
          <w:lang w:bidi="fa-IR"/>
        </w:rPr>
        <w:t xml:space="preserve">عَنْ أَبِي عَبْدِ اللهِ ، عَنْ أَبِيهِ </w:t>
      </w:r>
      <w:r w:rsidR="008859AA" w:rsidRPr="008859AA">
        <w:rPr>
          <w:rStyle w:val="libAlaemChar"/>
          <w:rtl/>
        </w:rPr>
        <w:t>عليهما‌السلام</w:t>
      </w:r>
      <w:r>
        <w:rPr>
          <w:rtl/>
          <w:lang w:bidi="fa-IR"/>
        </w:rPr>
        <w:t xml:space="preserve">: « أَنَّ رَسُولَ اللهِ </w:t>
      </w:r>
      <w:r w:rsidR="005E465D" w:rsidRPr="005E465D">
        <w:rPr>
          <w:rStyle w:val="libAlaemChar"/>
          <w:rtl/>
        </w:rPr>
        <w:t>صلى‌الله‌عليه‌وآله</w:t>
      </w:r>
      <w:r w:rsidR="00D10E3C">
        <w:rPr>
          <w:rtl/>
          <w:lang w:bidi="fa-IR"/>
        </w:rPr>
        <w:t xml:space="preserve"> </w:t>
      </w:r>
      <w:r>
        <w:rPr>
          <w:rtl/>
          <w:lang w:bidi="fa-IR"/>
        </w:rPr>
        <w:t xml:space="preserve">وَضَعَ حَجَراً عَلَى الطَّرِيقِ يَرُدُّ الْمَاءَ عَنْ أَرْضِهِ ، فَوَ اللهِ مَا نَكَبَ </w:t>
      </w:r>
      <w:r w:rsidRPr="00D10E3C">
        <w:rPr>
          <w:rStyle w:val="libFootnotenumChar"/>
          <w:rtl/>
        </w:rPr>
        <w:t>(6)</w:t>
      </w:r>
      <w:r>
        <w:rPr>
          <w:rtl/>
          <w:lang w:bidi="fa-IR"/>
        </w:rPr>
        <w:t xml:space="preserve"> بَعِيراً وَلَا إِنْسَاناً حَتَّى السَّاعَةِ ». </w:t>
      </w:r>
      <w:r w:rsidRPr="00D10E3C">
        <w:rPr>
          <w:rStyle w:val="libFootnotenumChar"/>
          <w:rtl/>
        </w:rPr>
        <w:t>(7)</w:t>
      </w:r>
    </w:p>
    <w:p w:rsidR="00144FA6" w:rsidRDefault="00744A1C" w:rsidP="00744A1C">
      <w:pPr>
        <w:pStyle w:val="libNormal"/>
        <w:rPr>
          <w:rtl/>
          <w:lang w:bidi="fa-IR"/>
        </w:rPr>
      </w:pPr>
      <w:r>
        <w:rPr>
          <w:rtl/>
          <w:lang w:bidi="fa-IR"/>
        </w:rPr>
        <w:t>8378 / 8. مُحَمَّدُ بْنُ يَحْيى ، عَنْ أَحْمَدَ بْنِ مُحَمَّدٍ ، عَنْ عَلِيِّ بْنِ الْحَكَمِ ، عَنْ أَسْبَاطِ بْنِ سَالِمٍ ، قَالَ :</w:t>
      </w:r>
    </w:p>
    <w:p w:rsidR="00744A1C" w:rsidRDefault="00744A1C" w:rsidP="00744A1C">
      <w:pPr>
        <w:pStyle w:val="libNormal"/>
        <w:rPr>
          <w:lang w:bidi="fa-IR"/>
        </w:rPr>
      </w:pPr>
      <w:r>
        <w:rPr>
          <w:rtl/>
          <w:lang w:bidi="fa-IR"/>
        </w:rPr>
        <w:t xml:space="preserve">دَخَلْتُ عَلى أَبِي عَبْدِ اللهِ </w:t>
      </w:r>
      <w:r w:rsidR="0061079A" w:rsidRPr="0061079A">
        <w:rPr>
          <w:rStyle w:val="libAlaemChar"/>
          <w:rtl/>
        </w:rPr>
        <w:t>عليه‌السلام</w:t>
      </w:r>
      <w:r w:rsidR="00D10E3C">
        <w:rPr>
          <w:rtl/>
          <w:lang w:bidi="fa-IR"/>
        </w:rPr>
        <w:t xml:space="preserve"> </w:t>
      </w:r>
      <w:r>
        <w:rPr>
          <w:rtl/>
          <w:lang w:bidi="fa-IR"/>
        </w:rPr>
        <w:t xml:space="preserve">، فَسَأَلَنَا عَنْ عُمَرَ بْنِ مُسْلِمٍ : « مَا فَعَلَ؟ » فَقُلْتُ </w:t>
      </w:r>
      <w:r w:rsidRPr="00D10E3C">
        <w:rPr>
          <w:rStyle w:val="libFootnotenumChar"/>
          <w:rtl/>
        </w:rPr>
        <w:t>(8)</w:t>
      </w:r>
      <w:r>
        <w:rPr>
          <w:rtl/>
          <w:lang w:bidi="fa-IR"/>
        </w:rPr>
        <w:t xml:space="preserve"> : صَالِحٌ ، وَلكِنَّهُ قَدْ تَرَكَ التِّجَارَةَ.</w:t>
      </w:r>
    </w:p>
    <w:p w:rsidR="00744A1C" w:rsidRDefault="00744A1C" w:rsidP="00744A1C">
      <w:pPr>
        <w:pStyle w:val="libNormal"/>
        <w:rPr>
          <w:lang w:bidi="fa-IR"/>
        </w:rPr>
      </w:pPr>
      <w:r>
        <w:rPr>
          <w:rtl/>
          <w:lang w:bidi="fa-IR"/>
        </w:rPr>
        <w:t xml:space="preserve">فَقَالَ أَبُو عَبْدِ اللهِ </w:t>
      </w:r>
      <w:r w:rsidR="0061079A" w:rsidRPr="0061079A">
        <w:rPr>
          <w:rStyle w:val="libAlaemChar"/>
          <w:rtl/>
        </w:rPr>
        <w:t>عليه‌السلام</w:t>
      </w:r>
      <w:r w:rsidR="00D10E3C">
        <w:rPr>
          <w:rtl/>
          <w:lang w:bidi="fa-IR"/>
        </w:rPr>
        <w:t xml:space="preserve"> </w:t>
      </w:r>
      <w:r>
        <w:rPr>
          <w:rtl/>
          <w:lang w:bidi="fa-IR"/>
        </w:rPr>
        <w:t xml:space="preserve">: « عَمَلُ الشَّيْطَانِ - ثَلَاثاً - أَمَا عَلِمَ أَنَّ رَسُولَ اللهِ </w:t>
      </w:r>
      <w:r w:rsidR="005E465D" w:rsidRPr="005E465D">
        <w:rPr>
          <w:rStyle w:val="libAlaemChar"/>
          <w:rtl/>
        </w:rPr>
        <w:t>صلى‌الله‌عليه‌وآله</w:t>
      </w:r>
      <w:r w:rsidR="00D10E3C">
        <w:rPr>
          <w:rtl/>
          <w:lang w:bidi="fa-IR"/>
        </w:rPr>
        <w:t xml:space="preserve"> </w:t>
      </w:r>
      <w:r>
        <w:rPr>
          <w:rtl/>
          <w:lang w:bidi="fa-IR"/>
        </w:rPr>
        <w:t xml:space="preserve">اشْتَرى عِيراً </w:t>
      </w:r>
      <w:r w:rsidRPr="00D10E3C">
        <w:rPr>
          <w:rStyle w:val="libFootnotenumChar"/>
          <w:rtl/>
        </w:rPr>
        <w:t>(9)</w:t>
      </w:r>
      <w:r>
        <w:rPr>
          <w:rtl/>
          <w:lang w:bidi="fa-IR"/>
        </w:rPr>
        <w:t xml:space="preserve"> أَتَتْ مِنَ الشَّامِ ، فَاسْتَفْضَلَ فِيهَا </w:t>
      </w:r>
      <w:r w:rsidRPr="00D10E3C">
        <w:rPr>
          <w:rStyle w:val="libFootnotenumChar"/>
          <w:rtl/>
        </w:rPr>
        <w:t>(10)</w:t>
      </w:r>
      <w:r>
        <w:rPr>
          <w:rtl/>
          <w:lang w:bidi="fa-IR"/>
        </w:rPr>
        <w:t xml:space="preserve"> مَا قَضى دَيْنَهُ ، وَقَسَمَ فِي قَرَابَتِهِ؟ يَقُولُ اللهُ‌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الوَسْقُ : ستّون صاعاً ، أو حِمْلُ بعير. راجع : </w:t>
      </w:r>
      <w:r w:rsidR="00744A1C" w:rsidRPr="00E978C3">
        <w:rPr>
          <w:rStyle w:val="libFootnoteBoldChar"/>
          <w:rtl/>
        </w:rPr>
        <w:t>الصحاح</w:t>
      </w:r>
      <w:r w:rsidR="00744A1C">
        <w:rPr>
          <w:rtl/>
          <w:lang w:bidi="fa-IR"/>
        </w:rPr>
        <w:t xml:space="preserve"> ، ج 4 ، ص 1566 ( وسق ).</w:t>
      </w:r>
    </w:p>
    <w:p w:rsidR="00744A1C" w:rsidRDefault="00E378DD" w:rsidP="00E378DD">
      <w:pPr>
        <w:pStyle w:val="libFootnote0"/>
        <w:rPr>
          <w:lang w:bidi="fa-IR"/>
        </w:rPr>
      </w:pPr>
      <w:r>
        <w:rPr>
          <w:rtl/>
          <w:lang w:bidi="fa-IR"/>
        </w:rPr>
        <w:t>(2).</w:t>
      </w:r>
      <w:r w:rsidR="00744A1C">
        <w:rPr>
          <w:rtl/>
          <w:lang w:bidi="fa-IR"/>
        </w:rPr>
        <w:t xml:space="preserve"> في « ى » : - « له ».</w:t>
      </w:r>
    </w:p>
    <w:p w:rsidR="00744A1C" w:rsidRDefault="00E378DD" w:rsidP="00E378DD">
      <w:pPr>
        <w:pStyle w:val="libFootnote0"/>
        <w:rPr>
          <w:lang w:bidi="fa-IR"/>
        </w:rPr>
      </w:pPr>
      <w:r>
        <w:rPr>
          <w:rtl/>
          <w:lang w:bidi="fa-IR"/>
        </w:rPr>
        <w:t>(3).</w:t>
      </w:r>
      <w:r w:rsidR="00744A1C">
        <w:rPr>
          <w:rtl/>
          <w:lang w:bidi="fa-IR"/>
        </w:rPr>
        <w:t xml:space="preserve"> العَذْقُ ، بالفتح : النخلة. بحملها. </w:t>
      </w:r>
      <w:r w:rsidR="00744A1C" w:rsidRPr="008A57EB">
        <w:rPr>
          <w:rStyle w:val="libFootnoteBoldChar"/>
          <w:rtl/>
        </w:rPr>
        <w:t>القاموس المحيط</w:t>
      </w:r>
      <w:r w:rsidR="00744A1C">
        <w:rPr>
          <w:rtl/>
          <w:lang w:bidi="fa-IR"/>
        </w:rPr>
        <w:t xml:space="preserve"> ، ج 2 ، ص 1203 ( عذق ).</w:t>
      </w:r>
    </w:p>
    <w:p w:rsidR="00744A1C" w:rsidRDefault="00E378DD" w:rsidP="00E378DD">
      <w:pPr>
        <w:pStyle w:val="libFootnote0"/>
        <w:rPr>
          <w:lang w:bidi="fa-IR"/>
        </w:rPr>
      </w:pPr>
      <w:r>
        <w:rPr>
          <w:rtl/>
          <w:lang w:bidi="fa-IR"/>
        </w:rPr>
        <w:t>(4).</w:t>
      </w:r>
      <w:r w:rsidR="00744A1C">
        <w:rPr>
          <w:rtl/>
          <w:lang w:bidi="fa-IR"/>
        </w:rPr>
        <w:t xml:space="preserve"> المغادرة : الترك. </w:t>
      </w:r>
      <w:r w:rsidR="00744A1C" w:rsidRPr="00877682">
        <w:rPr>
          <w:rStyle w:val="libFootnoteBoldChar"/>
          <w:rtl/>
        </w:rPr>
        <w:t>لسان العرب</w:t>
      </w:r>
      <w:r w:rsidR="00744A1C">
        <w:rPr>
          <w:rtl/>
          <w:lang w:bidi="fa-IR"/>
        </w:rPr>
        <w:t xml:space="preserve"> ، ج 5 ، ص 9 ( غدر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17 ، ص 31 ، ح 16810 ؛ </w:t>
      </w:r>
      <w:r w:rsidR="00744A1C" w:rsidRPr="00C24F9C">
        <w:rPr>
          <w:rStyle w:val="libFootnoteBoldChar"/>
          <w:rtl/>
        </w:rPr>
        <w:t>الوسائل</w:t>
      </w:r>
      <w:r w:rsidR="00744A1C">
        <w:rPr>
          <w:rtl/>
          <w:lang w:bidi="fa-IR"/>
        </w:rPr>
        <w:t xml:space="preserve"> ، ج 17 ، ص 41 ، ح 21931 ؛ </w:t>
      </w:r>
      <w:r w:rsidR="00744A1C" w:rsidRPr="0061079A">
        <w:rPr>
          <w:rStyle w:val="libFootnoteBoldChar"/>
          <w:rtl/>
        </w:rPr>
        <w:t>البحار</w:t>
      </w:r>
      <w:r w:rsidR="00744A1C">
        <w:rPr>
          <w:rtl/>
          <w:lang w:bidi="fa-IR"/>
        </w:rPr>
        <w:t xml:space="preserve"> ، ج 41 ، ص 51 ، ح 9.</w:t>
      </w:r>
    </w:p>
    <w:p w:rsidR="00744A1C" w:rsidRDefault="00E378DD" w:rsidP="00E378DD">
      <w:pPr>
        <w:pStyle w:val="libFootnote0"/>
        <w:rPr>
          <w:lang w:bidi="fa-IR"/>
        </w:rPr>
      </w:pPr>
      <w:r>
        <w:rPr>
          <w:rtl/>
          <w:lang w:bidi="fa-IR"/>
        </w:rPr>
        <w:t>(6).</w:t>
      </w:r>
      <w:r w:rsidR="00744A1C">
        <w:rPr>
          <w:rtl/>
          <w:lang w:bidi="fa-IR"/>
        </w:rPr>
        <w:t xml:space="preserve"> النَّكْبُ : الطَّرْح. والنَّكبُ : الإصابة ؛ يقال : نَكَبَ الحجارةُ رِجْلَه ، أي لثمتها أو أصابتها ، فهو منكوب. راجع : </w:t>
      </w:r>
      <w:r w:rsidR="00744A1C" w:rsidRPr="008A57EB">
        <w:rPr>
          <w:rStyle w:val="libFootnoteBoldChar"/>
          <w:rtl/>
        </w:rPr>
        <w:t>القاموس المحيط</w:t>
      </w:r>
      <w:r w:rsidR="00744A1C">
        <w:rPr>
          <w:rtl/>
          <w:lang w:bidi="fa-IR"/>
        </w:rPr>
        <w:t xml:space="preserve"> ، ج 1 ، ص 232 ( نكب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17 ، ص 32 ، ح 16811 ؛ </w:t>
      </w:r>
      <w:r w:rsidR="00744A1C" w:rsidRPr="00C24F9C">
        <w:rPr>
          <w:rStyle w:val="libFootnoteBoldChar"/>
          <w:rtl/>
        </w:rPr>
        <w:t>الوسائل</w:t>
      </w:r>
      <w:r w:rsidR="00744A1C">
        <w:rPr>
          <w:rtl/>
          <w:lang w:bidi="fa-IR"/>
        </w:rPr>
        <w:t xml:space="preserve"> ، ج 17 ، ص 38 ، ح 21921 ؛ </w:t>
      </w:r>
      <w:r w:rsidR="00744A1C" w:rsidRPr="0061079A">
        <w:rPr>
          <w:rStyle w:val="libFootnoteBoldChar"/>
          <w:rtl/>
        </w:rPr>
        <w:t>البحار</w:t>
      </w:r>
      <w:r w:rsidR="00744A1C">
        <w:rPr>
          <w:rtl/>
          <w:lang w:bidi="fa-IR"/>
        </w:rPr>
        <w:t xml:space="preserve"> ، ج 17 ، ص 346 ، ح 18.</w:t>
      </w:r>
    </w:p>
    <w:p w:rsidR="00744A1C" w:rsidRDefault="00E378DD" w:rsidP="00E378DD">
      <w:pPr>
        <w:pStyle w:val="libFootnote0"/>
        <w:rPr>
          <w:lang w:bidi="fa-IR"/>
        </w:rPr>
      </w:pPr>
      <w:r>
        <w:rPr>
          <w:rtl/>
          <w:lang w:bidi="fa-IR"/>
        </w:rPr>
        <w:t>(8).</w:t>
      </w:r>
      <w:r w:rsidR="00744A1C">
        <w:rPr>
          <w:rtl/>
          <w:lang w:bidi="fa-IR"/>
        </w:rPr>
        <w:t xml:space="preserve"> في « ط » : « فقلنا ».</w:t>
      </w:r>
    </w:p>
    <w:p w:rsidR="00744A1C" w:rsidRDefault="00E378DD" w:rsidP="00E378DD">
      <w:pPr>
        <w:pStyle w:val="libFootnote0"/>
        <w:rPr>
          <w:lang w:bidi="fa-IR"/>
        </w:rPr>
      </w:pPr>
      <w:r>
        <w:rPr>
          <w:rtl/>
          <w:lang w:bidi="fa-IR"/>
        </w:rPr>
        <w:t>(9).</w:t>
      </w:r>
      <w:r w:rsidR="00744A1C">
        <w:rPr>
          <w:rtl/>
          <w:lang w:bidi="fa-IR"/>
        </w:rPr>
        <w:t xml:space="preserve"> العِير : الإبل تحمل الطعام ، ثمّ غلب على كلّ قافلة. راجع : </w:t>
      </w:r>
      <w:r w:rsidR="00744A1C" w:rsidRPr="00E978C3">
        <w:rPr>
          <w:rStyle w:val="libFootnoteBoldChar"/>
          <w:rtl/>
        </w:rPr>
        <w:t>المصباح المنير</w:t>
      </w:r>
      <w:r w:rsidR="00744A1C">
        <w:rPr>
          <w:rtl/>
          <w:lang w:bidi="fa-IR"/>
        </w:rPr>
        <w:t xml:space="preserve"> ، ص 440 ( عير ).</w:t>
      </w:r>
    </w:p>
    <w:p w:rsidR="00744A1C" w:rsidRDefault="00E378DD" w:rsidP="00E378DD">
      <w:pPr>
        <w:pStyle w:val="libFootnote0"/>
        <w:rPr>
          <w:lang w:bidi="fa-IR"/>
        </w:rPr>
      </w:pPr>
      <w:r>
        <w:rPr>
          <w:rtl/>
          <w:lang w:bidi="fa-IR"/>
        </w:rPr>
        <w:t>(10).</w:t>
      </w:r>
      <w:r w:rsidR="00744A1C">
        <w:rPr>
          <w:rtl/>
          <w:lang w:bidi="fa-IR"/>
        </w:rPr>
        <w:t xml:space="preserve"> في حاشية « بح » : « منها ».</w:t>
      </w:r>
    </w:p>
    <w:p w:rsidR="006A5060" w:rsidRDefault="006A5060" w:rsidP="00D10E3C">
      <w:pPr>
        <w:pStyle w:val="libNormal"/>
        <w:rPr>
          <w:rtl/>
          <w:lang w:bidi="fa-IR"/>
        </w:rPr>
      </w:pPr>
      <w:r>
        <w:rPr>
          <w:rtl/>
          <w:lang w:bidi="fa-IR"/>
        </w:rPr>
        <w:br w:type="page"/>
      </w:r>
    </w:p>
    <w:p w:rsidR="00144FA6" w:rsidRDefault="00744A1C" w:rsidP="0013596A">
      <w:pPr>
        <w:pStyle w:val="libNormal0"/>
        <w:rPr>
          <w:rtl/>
          <w:lang w:bidi="fa-IR"/>
        </w:rPr>
      </w:pPr>
      <w:r>
        <w:rPr>
          <w:rtl/>
          <w:lang w:bidi="fa-IR"/>
        </w:rPr>
        <w:t xml:space="preserve">عَزَّ وَجَلَّ : </w:t>
      </w:r>
      <w:r w:rsidRPr="00F17F93">
        <w:rPr>
          <w:rStyle w:val="libAlaemChar"/>
          <w:rtl/>
        </w:rPr>
        <w:t>(</w:t>
      </w:r>
      <w:r w:rsidRPr="00F17F93">
        <w:rPr>
          <w:rStyle w:val="libAieChar"/>
          <w:rtl/>
        </w:rPr>
        <w:t xml:space="preserve"> رِجالٌ لا تُلْهِيهِمْ تِجارَةٌ وَلا بَيْعٌ عَنْ ذِكْرِ اللهِ</w:t>
      </w:r>
      <w:r>
        <w:rPr>
          <w:rtl/>
          <w:lang w:bidi="fa-IR"/>
        </w:rPr>
        <w:t xml:space="preserve"> </w:t>
      </w:r>
      <w:r w:rsidRPr="00F17F93">
        <w:rPr>
          <w:rStyle w:val="libAlaemChar"/>
          <w:rtl/>
        </w:rPr>
        <w:t>)</w:t>
      </w:r>
      <w:r>
        <w:rPr>
          <w:rtl/>
          <w:lang w:bidi="fa-IR"/>
        </w:rPr>
        <w:t xml:space="preserve"> </w:t>
      </w:r>
      <w:r w:rsidRPr="00D10E3C">
        <w:rPr>
          <w:rStyle w:val="libFootnotenumChar"/>
          <w:rtl/>
        </w:rPr>
        <w:t>(1)</w:t>
      </w:r>
      <w:r>
        <w:rPr>
          <w:rtl/>
          <w:lang w:bidi="fa-IR"/>
        </w:rPr>
        <w:t xml:space="preserve"> إِلى آخِرِ الْآيَةِ ، يَقُولُ الْقُصَّاصُ </w:t>
      </w:r>
      <w:r w:rsidRPr="00D10E3C">
        <w:rPr>
          <w:rStyle w:val="libFootnotenumChar"/>
          <w:rtl/>
        </w:rPr>
        <w:t>(2)</w:t>
      </w:r>
      <w:r>
        <w:rPr>
          <w:rtl/>
          <w:lang w:bidi="fa-IR"/>
        </w:rPr>
        <w:t xml:space="preserve"> : إِنَّ الْقَوْمَ لَمْ يَكُونُوا يَتَّجِرُونَ ، كَذَبُوا ، وَلكِنَّهُمْ لَمْ يَكُونُوا يَدَعُونَ الصَّلَاةَ فِي مِيقَاتِهَا ، وَهُوَ </w:t>
      </w:r>
      <w:r w:rsidRPr="00D10E3C">
        <w:rPr>
          <w:rStyle w:val="libFootnotenumChar"/>
          <w:rtl/>
        </w:rPr>
        <w:t>(3)</w:t>
      </w:r>
      <w:r>
        <w:rPr>
          <w:rtl/>
          <w:lang w:bidi="fa-IR"/>
        </w:rPr>
        <w:t xml:space="preserve"> أَفْضَلُ مِمَّنْ حَضَرَ الصَّلَاةَ وَلَمْ يَتَّجِرْ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8379 / 9. عِدَّةٌ مِنْ أَصْحَابِنَا ، عَنْ سَهْلِ بْنِ زِيَادٍ ، عَنِ ابْنِ مَحْبُوبٍ ، عَنْ عَبْدِ اللهِ بْنِ سِنَانٍ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أَمِيرَ الْمُؤْمِنِينَ </w:t>
      </w:r>
      <w:r w:rsidR="0061079A" w:rsidRPr="0061079A">
        <w:rPr>
          <w:rStyle w:val="libAlaemChar"/>
          <w:rtl/>
        </w:rPr>
        <w:t>عليه‌السلام</w:t>
      </w:r>
      <w:r w:rsidR="00D10E3C">
        <w:rPr>
          <w:rtl/>
          <w:lang w:bidi="fa-IR"/>
        </w:rPr>
        <w:t xml:space="preserve"> </w:t>
      </w:r>
      <w:r>
        <w:rPr>
          <w:rtl/>
          <w:lang w:bidi="fa-IR"/>
        </w:rPr>
        <w:t xml:space="preserve">كَانَ يَخْرُجُ وَمَعَهُ أَحْمَالُ النَّوى ، فَيُقَالُ لَهُ : يَا أَبَا الْحَسَنِ ، مَا هذَا مَعَكَ؟ فَيَقُولُ </w:t>
      </w:r>
      <w:r w:rsidRPr="00D10E3C">
        <w:rPr>
          <w:rStyle w:val="libFootnotenumChar"/>
          <w:rtl/>
        </w:rPr>
        <w:t>(6)</w:t>
      </w:r>
      <w:r>
        <w:rPr>
          <w:rtl/>
          <w:lang w:bidi="fa-IR"/>
        </w:rPr>
        <w:t xml:space="preserve"> : نَخْلٌ إِنْ شَاءَ اللهُ ، فَيَغْرِسُهُ </w:t>
      </w:r>
      <w:r w:rsidRPr="00D10E3C">
        <w:rPr>
          <w:rStyle w:val="libFootnotenumChar"/>
          <w:rtl/>
        </w:rPr>
        <w:t>(7)</w:t>
      </w:r>
      <w:r>
        <w:rPr>
          <w:rtl/>
          <w:lang w:bidi="fa-IR"/>
        </w:rPr>
        <w:t xml:space="preserve"> ، فَلَمْ يُغَادَرْ </w:t>
      </w:r>
      <w:r w:rsidRPr="00D10E3C">
        <w:rPr>
          <w:rStyle w:val="libFootnotenumChar"/>
          <w:rtl/>
        </w:rPr>
        <w:t>(8)</w:t>
      </w:r>
      <w:r>
        <w:rPr>
          <w:rtl/>
          <w:lang w:bidi="fa-IR"/>
        </w:rPr>
        <w:t xml:space="preserve"> مِنْهُ وَاحِدَةٌ ». </w:t>
      </w:r>
      <w:r w:rsidRPr="00D10E3C">
        <w:rPr>
          <w:rStyle w:val="libFootnotenumChar"/>
          <w:rtl/>
        </w:rPr>
        <w:t>(9)</w:t>
      </w:r>
    </w:p>
    <w:p w:rsidR="00144FA6" w:rsidRDefault="00744A1C" w:rsidP="00744A1C">
      <w:pPr>
        <w:pStyle w:val="libNormal"/>
        <w:rPr>
          <w:rtl/>
          <w:lang w:bidi="fa-IR"/>
        </w:rPr>
      </w:pPr>
      <w:r>
        <w:rPr>
          <w:rtl/>
          <w:lang w:bidi="fa-IR"/>
        </w:rPr>
        <w:t xml:space="preserve">8380 / 10. سَهْلُ بْنُ زِيَادٍ </w:t>
      </w:r>
      <w:r w:rsidRPr="00D10E3C">
        <w:rPr>
          <w:rStyle w:val="libFootnotenumChar"/>
          <w:rtl/>
        </w:rPr>
        <w:t>(10)</w:t>
      </w:r>
      <w:r>
        <w:rPr>
          <w:rtl/>
          <w:lang w:bidi="fa-IR"/>
        </w:rPr>
        <w:t xml:space="preserve"> ، عَنِ الْجَامُورَانِيِّ ، عَنِ الْحَسَنِ بْنِ عَلِيِّ بْنِ أَبِي حَمْزَةَ ، عَنْ أَبِيهِ ، قَالَ :</w:t>
      </w:r>
    </w:p>
    <w:p w:rsidR="00144FA6" w:rsidRDefault="00744A1C" w:rsidP="00744A1C">
      <w:pPr>
        <w:pStyle w:val="libNormal"/>
        <w:rPr>
          <w:rtl/>
          <w:lang w:bidi="fa-IR"/>
        </w:rPr>
      </w:pPr>
      <w:r>
        <w:rPr>
          <w:rtl/>
          <w:lang w:bidi="fa-IR"/>
        </w:rPr>
        <w:t xml:space="preserve">رَأَيْتُ أَبَا الْحَسَنِ </w:t>
      </w:r>
      <w:r w:rsidR="0061079A" w:rsidRPr="0061079A">
        <w:rPr>
          <w:rStyle w:val="libAlaemChar"/>
          <w:rtl/>
        </w:rPr>
        <w:t>عليه‌السلام</w:t>
      </w:r>
      <w:r w:rsidR="00D10E3C">
        <w:rPr>
          <w:rtl/>
          <w:lang w:bidi="fa-IR"/>
        </w:rPr>
        <w:t xml:space="preserve"> </w:t>
      </w:r>
      <w:r>
        <w:rPr>
          <w:rtl/>
          <w:lang w:bidi="fa-IR"/>
        </w:rPr>
        <w:t xml:space="preserve">يَعْمَلُ فِي أَرْضٍ لَهُ </w:t>
      </w:r>
      <w:r w:rsidRPr="00D10E3C">
        <w:rPr>
          <w:rStyle w:val="libFootnotenumChar"/>
          <w:rtl/>
        </w:rPr>
        <w:t>(11)</w:t>
      </w:r>
      <w:r>
        <w:rPr>
          <w:rtl/>
          <w:lang w:bidi="fa-IR"/>
        </w:rPr>
        <w:t xml:space="preserve"> قَدِ اسْتَنْقَعَتْ </w:t>
      </w:r>
      <w:r w:rsidRPr="00D10E3C">
        <w:rPr>
          <w:rStyle w:val="libFootnotenumChar"/>
          <w:rtl/>
        </w:rPr>
        <w:t>(12)</w:t>
      </w:r>
      <w:r>
        <w:rPr>
          <w:rtl/>
          <w:lang w:bidi="fa-IR"/>
        </w:rPr>
        <w:t xml:space="preserve"> قَدَمَاهُ فِي </w:t>
      </w:r>
      <w:r w:rsidRPr="00D10E3C">
        <w:rPr>
          <w:rStyle w:val="libFootnotenumChar"/>
          <w:rtl/>
        </w:rPr>
        <w:t>(13)</w:t>
      </w:r>
      <w:r>
        <w:rPr>
          <w:rtl/>
          <w:lang w:bidi="fa-IR"/>
        </w:rPr>
        <w:t xml:space="preserve"> الْعَرَقِ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النور (24) : 37.</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القُصّاص : رواة القصص والأكاذيب. عبّر </w:t>
      </w:r>
      <w:r w:rsidR="0061079A" w:rsidRPr="0061079A">
        <w:rPr>
          <w:rStyle w:val="libFootnoteAlaemChar"/>
          <w:rtl/>
        </w:rPr>
        <w:t>عليه‌السلام</w:t>
      </w:r>
      <w:r w:rsidR="00D10E3C">
        <w:rPr>
          <w:rtl/>
          <w:lang w:bidi="fa-IR"/>
        </w:rPr>
        <w:t xml:space="preserve"> </w:t>
      </w:r>
      <w:r w:rsidR="00744A1C">
        <w:rPr>
          <w:rtl/>
          <w:lang w:bidi="fa-IR"/>
        </w:rPr>
        <w:t>عن مفسّري العامّة وعلمائهم به ؛ لابتناء ا</w:t>
      </w:r>
      <w:r w:rsidR="00885AA0">
        <w:rPr>
          <w:rFonts w:hint="cs"/>
          <w:rtl/>
          <w:lang w:bidi="fa-IR"/>
        </w:rPr>
        <w:t>ُ</w:t>
      </w:r>
      <w:r w:rsidR="00744A1C">
        <w:rPr>
          <w:rtl/>
          <w:lang w:bidi="fa-IR"/>
        </w:rPr>
        <w:t>مورهم على الأكاذيب ، ولعلّهم أ</w:t>
      </w:r>
      <w:r w:rsidR="00885AA0">
        <w:rPr>
          <w:rtl/>
          <w:lang w:bidi="fa-IR"/>
        </w:rPr>
        <w:t>وّلوا الآية بترك التجارة ؛ لئل</w:t>
      </w:r>
      <w:r w:rsidR="00885AA0">
        <w:rPr>
          <w:rFonts w:hint="cs"/>
          <w:rtl/>
          <w:lang w:bidi="fa-IR"/>
        </w:rPr>
        <w:t>ّ</w:t>
      </w:r>
      <w:r w:rsidR="00885AA0">
        <w:rPr>
          <w:rtl/>
          <w:lang w:bidi="fa-IR"/>
        </w:rPr>
        <w:t>ا</w:t>
      </w:r>
      <w:r w:rsidR="00744A1C">
        <w:rPr>
          <w:rtl/>
          <w:lang w:bidi="fa-IR"/>
        </w:rPr>
        <w:t xml:space="preserve"> تلهيهم عن الصلاة والذكر. ولا يخفى بعده ».</w:t>
      </w:r>
    </w:p>
    <w:p w:rsidR="00744A1C" w:rsidRDefault="00E378DD" w:rsidP="00E378DD">
      <w:pPr>
        <w:pStyle w:val="libFootnote0"/>
        <w:rPr>
          <w:lang w:bidi="fa-IR"/>
        </w:rPr>
      </w:pPr>
      <w:r>
        <w:rPr>
          <w:rtl/>
          <w:lang w:bidi="fa-IR"/>
        </w:rPr>
        <w:t>(3).</w:t>
      </w:r>
      <w:r w:rsidR="00744A1C">
        <w:rPr>
          <w:rtl/>
          <w:lang w:bidi="fa-IR"/>
        </w:rPr>
        <w:t xml:space="preserve"> في </w:t>
      </w:r>
      <w:r w:rsidR="00744A1C" w:rsidRPr="000506F0">
        <w:rPr>
          <w:rtl/>
        </w:rPr>
        <w:t>الوافي</w:t>
      </w:r>
      <w:r w:rsidR="00744A1C">
        <w:rPr>
          <w:rtl/>
          <w:lang w:bidi="fa-IR"/>
        </w:rPr>
        <w:t xml:space="preserve"> عن بعض النسخ </w:t>
      </w:r>
      <w:r w:rsidR="00744A1C" w:rsidRPr="000506F0">
        <w:rPr>
          <w:rtl/>
        </w:rPr>
        <w:t>والوسائل والتهذيب</w:t>
      </w:r>
      <w:r w:rsidR="00744A1C">
        <w:rPr>
          <w:rtl/>
          <w:lang w:bidi="fa-IR"/>
        </w:rPr>
        <w:t xml:space="preserve"> : « وهم ».</w:t>
      </w:r>
    </w:p>
    <w:p w:rsidR="00744A1C" w:rsidRDefault="00E378DD" w:rsidP="00E378DD">
      <w:pPr>
        <w:pStyle w:val="libFootnote0"/>
        <w:rPr>
          <w:lang w:bidi="fa-IR"/>
        </w:rPr>
      </w:pPr>
      <w:r>
        <w:rPr>
          <w:rtl/>
          <w:lang w:bidi="fa-IR"/>
        </w:rPr>
        <w:t>(4).</w:t>
      </w:r>
      <w:r w:rsidR="00744A1C">
        <w:rPr>
          <w:rtl/>
          <w:lang w:bidi="fa-IR"/>
        </w:rPr>
        <w:t xml:space="preserve"> في « جن » : « ولا يتّجر ».</w:t>
      </w:r>
    </w:p>
    <w:p w:rsidR="00744A1C" w:rsidRDefault="00E378DD" w:rsidP="000506F0">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326 ، ح 897 ، معلّقاً عن أحمد بن محمّد </w:t>
      </w:r>
      <w:r w:rsidR="000506F0">
        <w:rPr>
          <w:rFonts w:hint="cs"/>
          <w:rtl/>
          <w:lang w:bidi="fa-IR"/>
        </w:rPr>
        <w:t>.</w:t>
      </w:r>
      <w:r w:rsidR="00744A1C" w:rsidRPr="00C24F9C">
        <w:rPr>
          <w:rStyle w:val="libFootnoteBoldChar"/>
          <w:rtl/>
        </w:rPr>
        <w:t>الوافي</w:t>
      </w:r>
      <w:r w:rsidR="00744A1C">
        <w:rPr>
          <w:rtl/>
          <w:lang w:bidi="fa-IR"/>
        </w:rPr>
        <w:t xml:space="preserve"> ، ج 17 ، ص 32 ، ح 16812 ؛ </w:t>
      </w:r>
      <w:r w:rsidR="00744A1C" w:rsidRPr="00C24F9C">
        <w:rPr>
          <w:rStyle w:val="libFootnoteBoldChar"/>
          <w:rtl/>
        </w:rPr>
        <w:t>الوسائل</w:t>
      </w:r>
      <w:r w:rsidR="00744A1C">
        <w:rPr>
          <w:rtl/>
          <w:lang w:bidi="fa-IR"/>
        </w:rPr>
        <w:t xml:space="preserve"> ، ج 17 ، ص 14 ، ح 21860.</w:t>
      </w:r>
      <w:r w:rsidR="000506F0">
        <w:rPr>
          <w:rFonts w:hint="cs"/>
          <w:rtl/>
          <w:lang w:bidi="fa-IR"/>
        </w:rPr>
        <w:t xml:space="preserve">                                 </w:t>
      </w:r>
      <w:r>
        <w:rPr>
          <w:rtl/>
          <w:lang w:bidi="fa-IR"/>
        </w:rPr>
        <w:t>(6).</w:t>
      </w:r>
      <w:r w:rsidR="00744A1C">
        <w:rPr>
          <w:rtl/>
          <w:lang w:bidi="fa-IR"/>
        </w:rPr>
        <w:t xml:space="preserve"> في « جد » : « يقول ».</w:t>
      </w:r>
    </w:p>
    <w:p w:rsidR="00744A1C" w:rsidRDefault="00E378DD" w:rsidP="00E378DD">
      <w:pPr>
        <w:pStyle w:val="libFootnote0"/>
        <w:rPr>
          <w:lang w:bidi="fa-IR"/>
        </w:rPr>
      </w:pPr>
      <w:r>
        <w:rPr>
          <w:rtl/>
          <w:lang w:bidi="fa-IR"/>
        </w:rPr>
        <w:t>(7).</w:t>
      </w:r>
      <w:r w:rsidR="00744A1C">
        <w:rPr>
          <w:rtl/>
          <w:lang w:bidi="fa-IR"/>
        </w:rPr>
        <w:t xml:space="preserve"> في حاشية « جت » : « فيغرسها ».</w:t>
      </w:r>
    </w:p>
    <w:p w:rsidR="00744A1C" w:rsidRDefault="00E378DD" w:rsidP="00E378DD">
      <w:pPr>
        <w:pStyle w:val="libFootnote0"/>
        <w:rPr>
          <w:lang w:bidi="fa-IR"/>
        </w:rPr>
      </w:pPr>
      <w:r>
        <w:rPr>
          <w:rtl/>
          <w:lang w:bidi="fa-IR"/>
        </w:rPr>
        <w:t>(8).</w:t>
      </w:r>
      <w:r w:rsidR="00744A1C">
        <w:rPr>
          <w:rtl/>
          <w:lang w:bidi="fa-IR"/>
        </w:rPr>
        <w:t xml:space="preserve"> في « ط ، بخ ، بف » </w:t>
      </w:r>
      <w:r w:rsidR="00744A1C" w:rsidRPr="00321D0D">
        <w:rPr>
          <w:rtl/>
        </w:rPr>
        <w:t>والوافي</w:t>
      </w:r>
      <w:r w:rsidR="00744A1C">
        <w:rPr>
          <w:rtl/>
          <w:lang w:bidi="fa-IR"/>
        </w:rPr>
        <w:t xml:space="preserve"> : « فلا يغادر ». وفي « ى ، بح ، جت ، جد »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xml:space="preserve"> : « فما يغادر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الوافي</w:t>
      </w:r>
      <w:r w:rsidR="00744A1C">
        <w:rPr>
          <w:rtl/>
          <w:lang w:bidi="fa-IR"/>
        </w:rPr>
        <w:t xml:space="preserve"> ، ج 17 ، ص 33 ، ح 16813 ؛ </w:t>
      </w:r>
      <w:r w:rsidR="00744A1C" w:rsidRPr="00C24F9C">
        <w:rPr>
          <w:rStyle w:val="libFootnoteBoldChar"/>
          <w:rtl/>
        </w:rPr>
        <w:t>الوسائل</w:t>
      </w:r>
      <w:r w:rsidR="00744A1C">
        <w:rPr>
          <w:rtl/>
          <w:lang w:bidi="fa-IR"/>
        </w:rPr>
        <w:t xml:space="preserve"> ، ج 17 ، ص 41 ، ح 21932 ؛ </w:t>
      </w:r>
      <w:r w:rsidR="00744A1C" w:rsidRPr="0061079A">
        <w:rPr>
          <w:rStyle w:val="libFootnoteBoldChar"/>
          <w:rtl/>
        </w:rPr>
        <w:t>البحار</w:t>
      </w:r>
      <w:r w:rsidR="00744A1C">
        <w:rPr>
          <w:rtl/>
          <w:lang w:bidi="fa-IR"/>
        </w:rPr>
        <w:t xml:space="preserve"> ، ج 41 ، ص 58 ، ح 10.</w:t>
      </w:r>
    </w:p>
    <w:p w:rsidR="00744A1C" w:rsidRDefault="00E378DD" w:rsidP="00E378DD">
      <w:pPr>
        <w:pStyle w:val="libFootnote0"/>
        <w:rPr>
          <w:lang w:bidi="fa-IR"/>
        </w:rPr>
      </w:pPr>
      <w:r>
        <w:rPr>
          <w:rtl/>
          <w:lang w:bidi="fa-IR"/>
        </w:rPr>
        <w:t>(10).</w:t>
      </w:r>
      <w:r w:rsidR="00744A1C">
        <w:rPr>
          <w:rtl/>
          <w:lang w:bidi="fa-IR"/>
        </w:rPr>
        <w:t xml:space="preserve"> في « ط ، جد » وحاشية « بح » : - « بن زياد ».</w:t>
      </w:r>
    </w:p>
    <w:p w:rsidR="00744A1C" w:rsidRDefault="00744A1C" w:rsidP="00D10E3C">
      <w:pPr>
        <w:pStyle w:val="libFootnote0"/>
        <w:rPr>
          <w:lang w:bidi="fa-IR"/>
        </w:rPr>
      </w:pPr>
      <w:r>
        <w:rPr>
          <w:rtl/>
          <w:lang w:bidi="fa-IR"/>
        </w:rPr>
        <w:t>ثمّ إنّ السند معلّق على سابقه. ويروي عن سهل بن زياد ، عدّة من أصحابنا.</w:t>
      </w:r>
    </w:p>
    <w:p w:rsidR="00744A1C" w:rsidRDefault="00E378DD" w:rsidP="00E378DD">
      <w:pPr>
        <w:pStyle w:val="libFootnote0"/>
        <w:rPr>
          <w:lang w:bidi="fa-IR"/>
        </w:rPr>
      </w:pPr>
      <w:r>
        <w:rPr>
          <w:rtl/>
          <w:lang w:bidi="fa-IR"/>
        </w:rPr>
        <w:t>(11).</w:t>
      </w:r>
      <w:r w:rsidR="00744A1C">
        <w:rPr>
          <w:rtl/>
          <w:lang w:bidi="fa-IR"/>
        </w:rPr>
        <w:t xml:space="preserve"> في </w:t>
      </w:r>
      <w:r w:rsidR="00744A1C" w:rsidRPr="00321D0D">
        <w:rPr>
          <w:rtl/>
        </w:rPr>
        <w:t>الوسائل والبحار</w:t>
      </w:r>
      <w:r w:rsidR="00744A1C">
        <w:rPr>
          <w:rtl/>
          <w:lang w:bidi="fa-IR"/>
        </w:rPr>
        <w:t xml:space="preserve"> : - « له ».</w:t>
      </w:r>
    </w:p>
    <w:p w:rsidR="00744A1C" w:rsidRDefault="00E378DD" w:rsidP="00E378DD">
      <w:pPr>
        <w:pStyle w:val="libFootnote0"/>
        <w:rPr>
          <w:lang w:bidi="fa-IR"/>
        </w:rPr>
      </w:pPr>
      <w:r>
        <w:rPr>
          <w:rtl/>
          <w:lang w:bidi="fa-IR"/>
        </w:rPr>
        <w:t>(12).</w:t>
      </w:r>
      <w:r w:rsidR="00744A1C">
        <w:rPr>
          <w:rtl/>
          <w:lang w:bidi="fa-IR"/>
        </w:rPr>
        <w:t xml:space="preserve"> يقال : استنقعت في الماء ، أي لبثت فيه متبرّداً. </w:t>
      </w:r>
      <w:r w:rsidR="00744A1C" w:rsidRPr="00E978C3">
        <w:rPr>
          <w:rStyle w:val="libFootnoteBoldChar"/>
          <w:rtl/>
        </w:rPr>
        <w:t>ترتيب كتاب العين</w:t>
      </w:r>
      <w:r w:rsidR="00744A1C">
        <w:rPr>
          <w:rtl/>
          <w:lang w:bidi="fa-IR"/>
        </w:rPr>
        <w:t xml:space="preserve"> ، ج 3 ، ص 1832 ( نقع ).</w:t>
      </w:r>
    </w:p>
    <w:p w:rsidR="00744A1C" w:rsidRDefault="00E378DD" w:rsidP="00E378DD">
      <w:pPr>
        <w:pStyle w:val="libFootnote0"/>
        <w:rPr>
          <w:lang w:bidi="fa-IR"/>
        </w:rPr>
      </w:pPr>
      <w:r>
        <w:rPr>
          <w:rtl/>
          <w:lang w:bidi="fa-IR"/>
        </w:rPr>
        <w:t>(13).</w:t>
      </w:r>
      <w:r w:rsidR="00744A1C">
        <w:rPr>
          <w:rtl/>
          <w:lang w:bidi="fa-IR"/>
        </w:rPr>
        <w:t xml:space="preserve"> في « بخ ، بف ، جن » : « من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فَقُلْتُ </w:t>
      </w:r>
      <w:r w:rsidRPr="00D10E3C">
        <w:rPr>
          <w:rStyle w:val="libFootnotenumChar"/>
          <w:rtl/>
        </w:rPr>
        <w:t>(1)</w:t>
      </w:r>
      <w:r>
        <w:rPr>
          <w:rtl/>
          <w:lang w:bidi="fa-IR"/>
        </w:rPr>
        <w:t xml:space="preserve"> : جُعِلْتُ فِدَاكَ ، أَيْنَ الرِّجَالُ؟</w:t>
      </w:r>
    </w:p>
    <w:p w:rsidR="00744A1C" w:rsidRDefault="00744A1C" w:rsidP="00744A1C">
      <w:pPr>
        <w:pStyle w:val="libNormal"/>
        <w:rPr>
          <w:lang w:bidi="fa-IR"/>
        </w:rPr>
      </w:pPr>
      <w:r>
        <w:rPr>
          <w:rtl/>
          <w:lang w:bidi="fa-IR"/>
        </w:rPr>
        <w:t xml:space="preserve">فَقَالَ : « يَا عَلِيُّ ، قَدْ عَمِلَ بِالْيَدِ </w:t>
      </w:r>
      <w:r w:rsidRPr="00D10E3C">
        <w:rPr>
          <w:rStyle w:val="libFootnotenumChar"/>
          <w:rtl/>
        </w:rPr>
        <w:t>(2)</w:t>
      </w:r>
      <w:r>
        <w:rPr>
          <w:rtl/>
          <w:lang w:bidi="fa-IR"/>
        </w:rPr>
        <w:t xml:space="preserve"> مَنْ هُوَ خَيْرٌ مِنِّي فِي أَرْضِهِ وَمِنْ أَبِي </w:t>
      </w:r>
      <w:r w:rsidRPr="00D10E3C">
        <w:rPr>
          <w:rStyle w:val="libFootnotenumChar"/>
          <w:rtl/>
        </w:rPr>
        <w:t>(3)</w:t>
      </w:r>
      <w:r>
        <w:rPr>
          <w:rtl/>
          <w:lang w:bidi="fa-IR"/>
        </w:rPr>
        <w:t xml:space="preserve"> ».</w:t>
      </w:r>
    </w:p>
    <w:p w:rsidR="00744A1C" w:rsidRDefault="00744A1C" w:rsidP="00744A1C">
      <w:pPr>
        <w:pStyle w:val="libNormal"/>
        <w:rPr>
          <w:lang w:bidi="fa-IR"/>
        </w:rPr>
      </w:pPr>
      <w:r>
        <w:rPr>
          <w:rtl/>
          <w:lang w:bidi="fa-IR"/>
        </w:rPr>
        <w:t xml:space="preserve">فَقُلْتُ </w:t>
      </w:r>
      <w:r w:rsidRPr="00D10E3C">
        <w:rPr>
          <w:rStyle w:val="libFootnotenumChar"/>
          <w:rtl/>
        </w:rPr>
        <w:t>(4)</w:t>
      </w:r>
      <w:r>
        <w:rPr>
          <w:rtl/>
          <w:lang w:bidi="fa-IR"/>
        </w:rPr>
        <w:t xml:space="preserve"> لَهُ </w:t>
      </w:r>
      <w:r w:rsidRPr="00D10E3C">
        <w:rPr>
          <w:rStyle w:val="libFootnotenumChar"/>
          <w:rtl/>
        </w:rPr>
        <w:t>(5)</w:t>
      </w:r>
      <w:r>
        <w:rPr>
          <w:rtl/>
          <w:lang w:bidi="fa-IR"/>
        </w:rPr>
        <w:t xml:space="preserve"> : وَمَنْ هُوَ؟</w:t>
      </w:r>
    </w:p>
    <w:p w:rsidR="00144FA6" w:rsidRDefault="00744A1C" w:rsidP="00744A1C">
      <w:pPr>
        <w:pStyle w:val="libNormal"/>
        <w:rPr>
          <w:rtl/>
          <w:lang w:bidi="fa-IR"/>
        </w:rPr>
      </w:pPr>
      <w:r>
        <w:rPr>
          <w:rtl/>
          <w:lang w:bidi="fa-IR"/>
        </w:rPr>
        <w:t xml:space="preserve">فَقَالَ : « رَسُولُ اللهِ </w:t>
      </w:r>
      <w:r w:rsidR="007B299E" w:rsidRPr="007B299E">
        <w:rPr>
          <w:rStyle w:val="libAlaemChar"/>
          <w:rtl/>
        </w:rPr>
        <w:t>صلى‌الله‌عليه‌وآله</w:t>
      </w:r>
      <w:r w:rsidR="00D10E3C">
        <w:rPr>
          <w:rtl/>
          <w:lang w:bidi="fa-IR"/>
        </w:rPr>
        <w:t xml:space="preserve"> </w:t>
      </w:r>
      <w:r>
        <w:rPr>
          <w:rtl/>
          <w:lang w:bidi="fa-IR"/>
        </w:rPr>
        <w:t xml:space="preserve">وَأَمِيرُ الْمُؤْمِنِينَ وَآبَائِي </w:t>
      </w:r>
      <w:r w:rsidR="008859AA" w:rsidRPr="008859AA">
        <w:rPr>
          <w:rStyle w:val="libAlaemChar"/>
          <w:rtl/>
        </w:rPr>
        <w:t>عليهما‌السلام</w:t>
      </w:r>
      <w:r>
        <w:rPr>
          <w:rtl/>
          <w:lang w:bidi="fa-IR"/>
        </w:rPr>
        <w:t xml:space="preserve">كُلُّهُمْ كَانُوا قَدْ عَمِلُوا بِأَيْدِيهِمْ ، وَهُوَ مِنْ عَمَلِ النَّبِيِّينَ وَالْمُرْسَلِينَ وَالْأَوْصِيَاءِ </w:t>
      </w:r>
      <w:r w:rsidRPr="00D10E3C">
        <w:rPr>
          <w:rStyle w:val="libFootnotenumChar"/>
          <w:rtl/>
        </w:rPr>
        <w:t>(6)</w:t>
      </w:r>
      <w:r>
        <w:rPr>
          <w:rtl/>
          <w:lang w:bidi="fa-IR"/>
        </w:rPr>
        <w:t xml:space="preserve"> وَالصَّالِحِينَ ». </w:t>
      </w:r>
      <w:r w:rsidRPr="00D10E3C">
        <w:rPr>
          <w:rStyle w:val="libFootnotenumChar"/>
          <w:rtl/>
        </w:rPr>
        <w:t>(7)</w:t>
      </w:r>
    </w:p>
    <w:p w:rsidR="00144FA6" w:rsidRDefault="00744A1C" w:rsidP="00744A1C">
      <w:pPr>
        <w:pStyle w:val="libNormal"/>
        <w:rPr>
          <w:rtl/>
          <w:lang w:bidi="fa-IR"/>
        </w:rPr>
      </w:pPr>
      <w:r>
        <w:rPr>
          <w:rtl/>
          <w:lang w:bidi="fa-IR"/>
        </w:rPr>
        <w:t>8381 / 11. مُحَمَّدُ بْنُ يَحْيى ، عَنْ أَحْمَدَ بْنِ مُحَمَّدٍ ، عَنِ ابْنِ سِنَانٍ ، عَنْ إِسْمَاعِيلَ بْنِ جَابِرٍ ، قَالَ :</w:t>
      </w:r>
    </w:p>
    <w:p w:rsidR="00144FA6" w:rsidRDefault="00744A1C" w:rsidP="00744A1C">
      <w:pPr>
        <w:pStyle w:val="libNormal"/>
        <w:rPr>
          <w:rtl/>
          <w:lang w:bidi="fa-IR"/>
        </w:rPr>
      </w:pPr>
      <w:r>
        <w:rPr>
          <w:rtl/>
          <w:lang w:bidi="fa-IR"/>
        </w:rPr>
        <w:t xml:space="preserve">أَتَيْتُ أَبَا عَبْدِ اللهِ </w:t>
      </w:r>
      <w:r w:rsidR="0061079A" w:rsidRPr="0061079A">
        <w:rPr>
          <w:rStyle w:val="libAlaemChar"/>
          <w:rtl/>
        </w:rPr>
        <w:t>عليه‌السلام</w:t>
      </w:r>
      <w:r w:rsidR="00D10E3C">
        <w:rPr>
          <w:rtl/>
          <w:lang w:bidi="fa-IR"/>
        </w:rPr>
        <w:t xml:space="preserve"> </w:t>
      </w:r>
      <w:r>
        <w:rPr>
          <w:rtl/>
          <w:lang w:bidi="fa-IR"/>
        </w:rPr>
        <w:t xml:space="preserve">وَإِذَا </w:t>
      </w:r>
      <w:r w:rsidRPr="00D10E3C">
        <w:rPr>
          <w:rStyle w:val="libFootnotenumChar"/>
          <w:rtl/>
        </w:rPr>
        <w:t>(8)</w:t>
      </w:r>
      <w:r>
        <w:rPr>
          <w:rtl/>
          <w:lang w:bidi="fa-IR"/>
        </w:rPr>
        <w:t xml:space="preserve"> هُوَ فِي حَائِطٍ لَهُ </w:t>
      </w:r>
      <w:r w:rsidRPr="00D10E3C">
        <w:rPr>
          <w:rStyle w:val="libFootnotenumChar"/>
          <w:rtl/>
        </w:rPr>
        <w:t>(9)</w:t>
      </w:r>
      <w:r>
        <w:rPr>
          <w:rtl/>
          <w:lang w:bidi="fa-IR"/>
        </w:rPr>
        <w:t xml:space="preserve"> ، بِيَدِهِ مِسْحَاةٌ </w:t>
      </w:r>
      <w:r w:rsidRPr="00D10E3C">
        <w:rPr>
          <w:rStyle w:val="libFootnotenumChar"/>
          <w:rtl/>
        </w:rPr>
        <w:t>(10)</w:t>
      </w:r>
      <w:r>
        <w:rPr>
          <w:rtl/>
          <w:lang w:bidi="fa-IR"/>
        </w:rPr>
        <w:t xml:space="preserve"> ، وَهُوَ </w:t>
      </w:r>
      <w:r w:rsidRPr="00D10E3C">
        <w:rPr>
          <w:rStyle w:val="libFootnotenumChar"/>
          <w:rtl/>
        </w:rPr>
        <w:t>(11)</w:t>
      </w:r>
      <w:r>
        <w:rPr>
          <w:rtl/>
          <w:lang w:bidi="fa-IR"/>
        </w:rPr>
        <w:t xml:space="preserve"> يَفْتَحُ بِهَا </w:t>
      </w:r>
      <w:r w:rsidRPr="00D10E3C">
        <w:rPr>
          <w:rStyle w:val="libFootnotenumChar"/>
          <w:rtl/>
        </w:rPr>
        <w:t>(12)</w:t>
      </w:r>
      <w:r>
        <w:rPr>
          <w:rtl/>
          <w:lang w:bidi="fa-IR"/>
        </w:rPr>
        <w:t xml:space="preserve"> الْمَاءَ ، وَعَلَيْهِ قَمِيصٌ شِبْهَ الْكَرَابِيسِ </w:t>
      </w:r>
      <w:r w:rsidRPr="00D10E3C">
        <w:rPr>
          <w:rStyle w:val="libFootnotenumChar"/>
          <w:rtl/>
        </w:rPr>
        <w:t>(13)</w:t>
      </w:r>
      <w:r>
        <w:rPr>
          <w:rtl/>
          <w:lang w:bidi="fa-IR"/>
        </w:rPr>
        <w:t xml:space="preserve"> كَأَنَّهُ مَخِيطٌ عَلَيْهِ مِنْ ضِيقِهِ.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وفي المطبوع : + « له ».</w:t>
      </w:r>
    </w:p>
    <w:p w:rsidR="00744A1C" w:rsidRDefault="00E378DD" w:rsidP="00E378DD">
      <w:pPr>
        <w:pStyle w:val="libFootnote0"/>
        <w:rPr>
          <w:lang w:bidi="fa-IR"/>
        </w:rPr>
      </w:pPr>
      <w:r>
        <w:rPr>
          <w:rtl/>
          <w:lang w:bidi="fa-IR"/>
        </w:rPr>
        <w:t>(2).</w:t>
      </w:r>
      <w:r w:rsidR="00744A1C">
        <w:rPr>
          <w:rtl/>
          <w:lang w:bidi="fa-IR"/>
        </w:rPr>
        <w:t xml:space="preserve"> في حاشية « جت » : « بيد ». وفي </w:t>
      </w:r>
      <w:r w:rsidR="00744A1C" w:rsidRPr="00C24F9C">
        <w:rPr>
          <w:rStyle w:val="libFootnoteBoldChar"/>
          <w:rtl/>
        </w:rPr>
        <w:t>الوافي</w:t>
      </w:r>
      <w:r w:rsidR="00744A1C">
        <w:rPr>
          <w:rtl/>
          <w:lang w:bidi="fa-IR"/>
        </w:rPr>
        <w:t xml:space="preserve"> و</w:t>
      </w:r>
      <w:r w:rsidR="00744A1C" w:rsidRPr="00C24F9C">
        <w:rPr>
          <w:rStyle w:val="libFootnoteBoldChar"/>
          <w:rtl/>
        </w:rPr>
        <w:t>المرآة</w:t>
      </w:r>
      <w:r w:rsidR="00744A1C">
        <w:rPr>
          <w:rtl/>
          <w:lang w:bidi="fa-IR"/>
        </w:rPr>
        <w:t xml:space="preserve"> : « بالبيل ». وقال في </w:t>
      </w:r>
      <w:r w:rsidR="00744A1C" w:rsidRPr="00C24F9C">
        <w:rPr>
          <w:rStyle w:val="libFootnoteBoldChar"/>
          <w:rtl/>
        </w:rPr>
        <w:t>المرآة</w:t>
      </w:r>
      <w:r w:rsidR="00744A1C">
        <w:rPr>
          <w:rtl/>
          <w:lang w:bidi="fa-IR"/>
        </w:rPr>
        <w:t xml:space="preserve"> : « قد عمل بالبيل ، كأنّه البال ، فا</w:t>
      </w:r>
      <w:r w:rsidR="00321D0D">
        <w:rPr>
          <w:rFonts w:hint="cs"/>
          <w:rtl/>
          <w:lang w:bidi="fa-IR"/>
        </w:rPr>
        <w:t>ُ</w:t>
      </w:r>
      <w:r w:rsidR="00744A1C">
        <w:rPr>
          <w:rtl/>
          <w:lang w:bidi="fa-IR"/>
        </w:rPr>
        <w:t xml:space="preserve">ميل ، أو هو معرّب. قال الفيروزآبادي : البال : المَرّ الذي يُعمل به في أرض الزرع ». وراجع : </w:t>
      </w:r>
      <w:r w:rsidR="00744A1C" w:rsidRPr="008A57EB">
        <w:rPr>
          <w:rStyle w:val="libFootnoteBoldChar"/>
          <w:rtl/>
        </w:rPr>
        <w:t>القاموس المحيط</w:t>
      </w:r>
      <w:r w:rsidR="00744A1C">
        <w:rPr>
          <w:rtl/>
          <w:lang w:bidi="fa-IR"/>
        </w:rPr>
        <w:t xml:space="preserve"> ، ج 2 ، ص 1283 ( بول ).</w:t>
      </w:r>
    </w:p>
    <w:p w:rsidR="00744A1C" w:rsidRDefault="00E378DD" w:rsidP="00E378DD">
      <w:pPr>
        <w:pStyle w:val="libFootnote0"/>
        <w:rPr>
          <w:lang w:bidi="fa-IR"/>
        </w:rPr>
      </w:pPr>
      <w:r>
        <w:rPr>
          <w:rtl/>
          <w:lang w:bidi="fa-IR"/>
        </w:rPr>
        <w:t>(3).</w:t>
      </w:r>
      <w:r w:rsidR="00744A1C">
        <w:rPr>
          <w:rtl/>
          <w:lang w:bidi="fa-IR"/>
        </w:rPr>
        <w:t xml:space="preserve"> في « بخ ، بف » : + « في أرضه ». وفي </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 « ومن أبي في أرضه » بدل « في أرضه ومن </w:t>
      </w:r>
      <w:r w:rsidR="0013596A">
        <w:rPr>
          <w:rtl/>
          <w:lang w:bidi="fa-IR"/>
        </w:rPr>
        <w:t>أبي</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في « بف » : « قلت ».</w:t>
      </w:r>
    </w:p>
    <w:p w:rsidR="00744A1C" w:rsidRDefault="00E378DD" w:rsidP="00E378DD">
      <w:pPr>
        <w:pStyle w:val="libFootnote0"/>
        <w:rPr>
          <w:lang w:bidi="fa-IR"/>
        </w:rPr>
      </w:pPr>
      <w:r>
        <w:rPr>
          <w:rtl/>
          <w:lang w:bidi="fa-IR"/>
        </w:rPr>
        <w:t>(5).</w:t>
      </w:r>
      <w:r w:rsidR="00744A1C">
        <w:rPr>
          <w:rtl/>
          <w:lang w:bidi="fa-IR"/>
        </w:rPr>
        <w:t xml:space="preserve"> في « ط ، بح ، بخ ، بف ، جت ، </w:t>
      </w:r>
      <w:r w:rsidR="00744A1C" w:rsidRPr="0013596A">
        <w:rPr>
          <w:rtl/>
        </w:rPr>
        <w:t>جد » والوافي والوسائل والبحار :</w:t>
      </w:r>
      <w:r w:rsidR="00744A1C">
        <w:rPr>
          <w:rtl/>
          <w:lang w:bidi="fa-IR"/>
        </w:rPr>
        <w:t xml:space="preserve"> - « له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الفقيه</w:t>
      </w:r>
      <w:r w:rsidR="00744A1C">
        <w:rPr>
          <w:rtl/>
          <w:lang w:bidi="fa-IR"/>
        </w:rPr>
        <w:t xml:space="preserve"> : - « والأوصياء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الفقيه</w:t>
      </w:r>
      <w:r w:rsidR="00744A1C">
        <w:rPr>
          <w:rtl/>
          <w:lang w:bidi="fa-IR"/>
        </w:rPr>
        <w:t xml:space="preserve"> ، ج 3 ، ص 162 ، ح 3593 ، معلّقاً عن الحسن بن عليّ بن أبي حمزة </w:t>
      </w:r>
      <w:r w:rsidR="00321D0D">
        <w:rPr>
          <w:rFonts w:hint="cs"/>
          <w:rtl/>
          <w:lang w:bidi="fa-IR"/>
        </w:rPr>
        <w:t>.</w:t>
      </w:r>
      <w:r w:rsidR="00744A1C" w:rsidRPr="00C24F9C">
        <w:rPr>
          <w:rStyle w:val="libFootnoteBoldChar"/>
          <w:rtl/>
        </w:rPr>
        <w:t>الوافي</w:t>
      </w:r>
      <w:r w:rsidR="00744A1C">
        <w:rPr>
          <w:rtl/>
          <w:lang w:bidi="fa-IR"/>
        </w:rPr>
        <w:t xml:space="preserve"> ، ج 17 ، ص 33 ، ح 16814 ؛ </w:t>
      </w:r>
      <w:r w:rsidR="00744A1C" w:rsidRPr="00C24F9C">
        <w:rPr>
          <w:rStyle w:val="libFootnoteBoldChar"/>
          <w:rtl/>
        </w:rPr>
        <w:t>الوسائل</w:t>
      </w:r>
      <w:r w:rsidR="00744A1C">
        <w:rPr>
          <w:rtl/>
          <w:lang w:bidi="fa-IR"/>
        </w:rPr>
        <w:t xml:space="preserve"> ، ج 17 ، ص 38 ، ح 21923 ؛ </w:t>
      </w:r>
      <w:r w:rsidR="00744A1C" w:rsidRPr="0061079A">
        <w:rPr>
          <w:rStyle w:val="libFootnoteBoldChar"/>
          <w:rtl/>
        </w:rPr>
        <w:t>البحار</w:t>
      </w:r>
      <w:r w:rsidR="00744A1C">
        <w:rPr>
          <w:rtl/>
          <w:lang w:bidi="fa-IR"/>
        </w:rPr>
        <w:t xml:space="preserve"> ، ج 48 ، ص 115 ، ح 27.</w:t>
      </w:r>
    </w:p>
    <w:tbl>
      <w:tblPr>
        <w:tblStyle w:val="TableGrid"/>
        <w:bidiVisual/>
        <w:tblW w:w="0" w:type="auto"/>
        <w:tblLook w:val="04A0" w:firstRow="1" w:lastRow="0" w:firstColumn="1" w:lastColumn="0" w:noHBand="0" w:noVBand="1"/>
      </w:tblPr>
      <w:tblGrid>
        <w:gridCol w:w="4006"/>
        <w:gridCol w:w="4006"/>
      </w:tblGrid>
      <w:tr w:rsidR="00321D0D" w:rsidTr="00321D0D">
        <w:tc>
          <w:tcPr>
            <w:tcW w:w="4006" w:type="dxa"/>
          </w:tcPr>
          <w:p w:rsidR="00321D0D" w:rsidRDefault="00321D0D" w:rsidP="00E378DD">
            <w:pPr>
              <w:pStyle w:val="libFootnote0"/>
              <w:rPr>
                <w:rtl/>
                <w:lang w:bidi="fa-IR"/>
              </w:rPr>
            </w:pPr>
            <w:r>
              <w:rPr>
                <w:rtl/>
                <w:lang w:bidi="fa-IR"/>
              </w:rPr>
              <w:t>(8). في « ط » : - « إذا ».</w:t>
            </w:r>
          </w:p>
        </w:tc>
        <w:tc>
          <w:tcPr>
            <w:tcW w:w="4006" w:type="dxa"/>
          </w:tcPr>
          <w:p w:rsidR="00321D0D" w:rsidRDefault="00321D0D" w:rsidP="00E378DD">
            <w:pPr>
              <w:pStyle w:val="libFootnote0"/>
              <w:rPr>
                <w:rtl/>
                <w:lang w:bidi="fa-IR"/>
              </w:rPr>
            </w:pPr>
            <w:r>
              <w:rPr>
                <w:rtl/>
                <w:lang w:bidi="fa-IR"/>
              </w:rPr>
              <w:t>(9). في « ط » : - « له ».</w:t>
            </w:r>
          </w:p>
        </w:tc>
      </w:tr>
    </w:tbl>
    <w:p w:rsidR="00744A1C" w:rsidRDefault="00E378DD" w:rsidP="00E378DD">
      <w:pPr>
        <w:pStyle w:val="libFootnote0"/>
        <w:rPr>
          <w:lang w:bidi="fa-IR"/>
        </w:rPr>
      </w:pPr>
      <w:r>
        <w:rPr>
          <w:rtl/>
          <w:lang w:bidi="fa-IR"/>
        </w:rPr>
        <w:t>(10).</w:t>
      </w:r>
      <w:r w:rsidR="00744A1C">
        <w:rPr>
          <w:rtl/>
          <w:lang w:bidi="fa-IR"/>
        </w:rPr>
        <w:t xml:space="preserve"> المِسْحاةُ - بكسر الميم - : ما سُحي به ، من السحو بمعنى الكشف والإزالة ، أو ال</w:t>
      </w:r>
      <w:r w:rsidR="00DA2181">
        <w:rPr>
          <w:rFonts w:hint="cs"/>
          <w:rtl/>
          <w:lang w:bidi="fa-IR"/>
        </w:rPr>
        <w:t>ـ</w:t>
      </w:r>
      <w:r w:rsidR="00744A1C">
        <w:rPr>
          <w:rtl/>
          <w:lang w:bidi="fa-IR"/>
        </w:rPr>
        <w:t>مِجْرَفَةُ ، لكنّها من حديد. والجمع : ال</w:t>
      </w:r>
      <w:r w:rsidR="002C1962">
        <w:rPr>
          <w:rFonts w:hint="cs"/>
          <w:rtl/>
          <w:lang w:bidi="fa-IR"/>
        </w:rPr>
        <w:t>ـ</w:t>
      </w:r>
      <w:r w:rsidR="00744A1C">
        <w:rPr>
          <w:rtl/>
          <w:lang w:bidi="fa-IR"/>
        </w:rPr>
        <w:t xml:space="preserve">مَساحى. وفي </w:t>
      </w:r>
      <w:r w:rsidR="00744A1C" w:rsidRPr="00C24F9C">
        <w:rPr>
          <w:rStyle w:val="libFootnoteBoldChar"/>
          <w:rtl/>
        </w:rPr>
        <w:t>الوافي</w:t>
      </w:r>
      <w:r w:rsidR="00744A1C">
        <w:rPr>
          <w:rtl/>
          <w:lang w:bidi="fa-IR"/>
        </w:rPr>
        <w:t xml:space="preserve"> : « المسحاة : البيل ». راجع : </w:t>
      </w:r>
      <w:r w:rsidR="00744A1C" w:rsidRPr="00877682">
        <w:rPr>
          <w:rStyle w:val="libFootnoteBoldChar"/>
          <w:rtl/>
        </w:rPr>
        <w:t>لسان العرب</w:t>
      </w:r>
      <w:r w:rsidR="00744A1C">
        <w:rPr>
          <w:rtl/>
          <w:lang w:bidi="fa-IR"/>
        </w:rPr>
        <w:t xml:space="preserve"> ، ج 14 ، ص 372 ( سحو ).</w:t>
      </w:r>
    </w:p>
    <w:tbl>
      <w:tblPr>
        <w:tblStyle w:val="TableGrid"/>
        <w:bidiVisual/>
        <w:tblW w:w="0" w:type="auto"/>
        <w:tblLook w:val="04A0" w:firstRow="1" w:lastRow="0" w:firstColumn="1" w:lastColumn="0" w:noHBand="0" w:noVBand="1"/>
      </w:tblPr>
      <w:tblGrid>
        <w:gridCol w:w="4006"/>
        <w:gridCol w:w="4006"/>
      </w:tblGrid>
      <w:tr w:rsidR="002C1962" w:rsidTr="002C1962">
        <w:tc>
          <w:tcPr>
            <w:tcW w:w="4006" w:type="dxa"/>
          </w:tcPr>
          <w:p w:rsidR="002C1962" w:rsidRDefault="002C1962" w:rsidP="00E378DD">
            <w:pPr>
              <w:pStyle w:val="libFootnote0"/>
              <w:rPr>
                <w:rtl/>
                <w:lang w:bidi="fa-IR"/>
              </w:rPr>
            </w:pPr>
            <w:r>
              <w:rPr>
                <w:rtl/>
                <w:lang w:bidi="fa-IR"/>
              </w:rPr>
              <w:t>(11). في « جن » : - « هو ».</w:t>
            </w:r>
          </w:p>
        </w:tc>
        <w:tc>
          <w:tcPr>
            <w:tcW w:w="4006" w:type="dxa"/>
          </w:tcPr>
          <w:p w:rsidR="002C1962" w:rsidRDefault="002C1962" w:rsidP="00E378DD">
            <w:pPr>
              <w:pStyle w:val="libFootnote0"/>
              <w:rPr>
                <w:rtl/>
                <w:lang w:bidi="fa-IR"/>
              </w:rPr>
            </w:pPr>
            <w:r>
              <w:rPr>
                <w:rtl/>
                <w:lang w:bidi="fa-IR"/>
              </w:rPr>
              <w:t>(12). في « ى » : « به ».</w:t>
            </w:r>
          </w:p>
        </w:tc>
      </w:tr>
    </w:tbl>
    <w:p w:rsidR="00744A1C" w:rsidRDefault="00E378DD" w:rsidP="00E378DD">
      <w:pPr>
        <w:pStyle w:val="libFootnote0"/>
        <w:rPr>
          <w:lang w:bidi="fa-IR"/>
        </w:rPr>
      </w:pPr>
      <w:r>
        <w:rPr>
          <w:rtl/>
          <w:lang w:bidi="fa-IR"/>
        </w:rPr>
        <w:t>(13).</w:t>
      </w:r>
      <w:r w:rsidR="00744A1C">
        <w:rPr>
          <w:rtl/>
          <w:lang w:bidi="fa-IR"/>
        </w:rPr>
        <w:t xml:space="preserve"> « الكَرابيسُ » جمع الكِرباس - بكسر الكاف - وهو الثوب الخشن ، وهو فارسيّ معرّب. </w:t>
      </w:r>
      <w:r w:rsidR="00744A1C" w:rsidRPr="00E978C3">
        <w:rPr>
          <w:rStyle w:val="libFootnoteBoldChar"/>
          <w:rtl/>
        </w:rPr>
        <w:t>المصباح المنير</w:t>
      </w:r>
      <w:r w:rsidR="00744A1C">
        <w:rPr>
          <w:rtl/>
          <w:lang w:bidi="fa-IR"/>
        </w:rPr>
        <w:t xml:space="preserve"> ، ص 529 ( كربس ).</w:t>
      </w:r>
    </w:p>
    <w:p w:rsidR="00744A1C" w:rsidRDefault="00E378DD" w:rsidP="00E378DD">
      <w:pPr>
        <w:pStyle w:val="libFootnote0"/>
        <w:rPr>
          <w:lang w:bidi="fa-IR"/>
        </w:rPr>
      </w:pPr>
      <w:r>
        <w:rPr>
          <w:rtl/>
          <w:lang w:bidi="fa-IR"/>
        </w:rPr>
        <w:t>(14).</w:t>
      </w:r>
      <w:r w:rsidR="00744A1C">
        <w:rPr>
          <w:rtl/>
          <w:lang w:bidi="fa-IR"/>
        </w:rPr>
        <w:t xml:space="preserve"> </w:t>
      </w:r>
      <w:r w:rsidR="00744A1C" w:rsidRPr="00C24F9C">
        <w:rPr>
          <w:rStyle w:val="libFootnoteBoldChar"/>
          <w:rtl/>
        </w:rPr>
        <w:t>الوافي</w:t>
      </w:r>
      <w:r w:rsidR="00744A1C">
        <w:rPr>
          <w:rtl/>
          <w:lang w:bidi="fa-IR"/>
        </w:rPr>
        <w:t xml:space="preserve"> ، ج 17 ، ص 34 ، ح 16815 ؛ </w:t>
      </w:r>
      <w:r w:rsidR="00744A1C" w:rsidRPr="00C24F9C">
        <w:rPr>
          <w:rStyle w:val="libFootnoteBoldChar"/>
          <w:rtl/>
        </w:rPr>
        <w:t>الوسائل</w:t>
      </w:r>
      <w:r w:rsidR="00744A1C">
        <w:rPr>
          <w:rtl/>
          <w:lang w:bidi="fa-IR"/>
        </w:rPr>
        <w:t xml:space="preserve"> ، ج 17 ، ص 40 ، ح 21926 ؛ </w:t>
      </w:r>
      <w:r w:rsidR="00744A1C" w:rsidRPr="0061079A">
        <w:rPr>
          <w:rStyle w:val="libFootnoteBoldChar"/>
          <w:rtl/>
        </w:rPr>
        <w:t>البحار</w:t>
      </w:r>
      <w:r w:rsidR="00744A1C">
        <w:rPr>
          <w:rtl/>
          <w:lang w:bidi="fa-IR"/>
        </w:rPr>
        <w:t xml:space="preserve"> ، ج 47 ، ص 56 ، ح 99.</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8382 / 12. عِدَّةٌ مِنْ أَصْحَابِنَا ، عَنْ سَهْلِ بْنِ زِيَادٍ ، عَنْ عَلِيِّ بْنِ أَسْبَاطٍ ، عَنْ مُحَمَّدِ بْنِ عُذَافِرٍ ، عَنْ أَبِيهِ ، قَالَ </w:t>
      </w:r>
      <w:r w:rsidRPr="00D10E3C">
        <w:rPr>
          <w:rStyle w:val="libFootnotenumChar"/>
          <w:rtl/>
        </w:rPr>
        <w:t>(1)</w:t>
      </w:r>
      <w:r>
        <w:rPr>
          <w:rtl/>
          <w:lang w:bidi="fa-IR"/>
        </w:rPr>
        <w:t xml:space="preserve"> :</w:t>
      </w:r>
    </w:p>
    <w:p w:rsidR="00744A1C" w:rsidRDefault="00744A1C" w:rsidP="00744A1C">
      <w:pPr>
        <w:pStyle w:val="libNormal"/>
        <w:rPr>
          <w:lang w:bidi="fa-IR"/>
        </w:rPr>
      </w:pPr>
      <w:r>
        <w:rPr>
          <w:rtl/>
          <w:lang w:bidi="fa-IR"/>
        </w:rPr>
        <w:t xml:space="preserve">أَعْطى أَبُو عَبْدِ اللهِ </w:t>
      </w:r>
      <w:r w:rsidR="0061079A" w:rsidRPr="0061079A">
        <w:rPr>
          <w:rStyle w:val="libAlaemChar"/>
          <w:rtl/>
        </w:rPr>
        <w:t>عليه‌السلام</w:t>
      </w:r>
      <w:r w:rsidR="00D10E3C">
        <w:rPr>
          <w:rtl/>
          <w:lang w:bidi="fa-IR"/>
        </w:rPr>
        <w:t xml:space="preserve"> </w:t>
      </w:r>
      <w:r>
        <w:rPr>
          <w:rtl/>
          <w:lang w:bidi="fa-IR"/>
        </w:rPr>
        <w:t xml:space="preserve">أَبِي أَلْفاً وَسَبْعَمِائَةِ دِينَارٍ ، فَقَالَ لَهُ : « اتَّجِرْ </w:t>
      </w:r>
      <w:r w:rsidRPr="00D10E3C">
        <w:rPr>
          <w:rStyle w:val="libFootnotenumChar"/>
          <w:rtl/>
        </w:rPr>
        <w:t>(2)</w:t>
      </w:r>
      <w:r>
        <w:rPr>
          <w:rtl/>
          <w:lang w:bidi="fa-IR"/>
        </w:rPr>
        <w:t xml:space="preserve"> بِهَا </w:t>
      </w:r>
      <w:r w:rsidRPr="00D10E3C">
        <w:rPr>
          <w:rStyle w:val="libFootnotenumChar"/>
          <w:rtl/>
        </w:rPr>
        <w:t>(3)</w:t>
      </w:r>
      <w:r>
        <w:rPr>
          <w:rtl/>
          <w:lang w:bidi="fa-IR"/>
        </w:rPr>
        <w:t xml:space="preserve"> » ثُمَّ قَالَ : « أَمَا إِنَّهُ لَيْسَ لِي </w:t>
      </w:r>
      <w:r w:rsidRPr="00D10E3C">
        <w:rPr>
          <w:rStyle w:val="libFootnotenumChar"/>
          <w:rtl/>
        </w:rPr>
        <w:t>(4)</w:t>
      </w:r>
      <w:r>
        <w:rPr>
          <w:rtl/>
          <w:lang w:bidi="fa-IR"/>
        </w:rPr>
        <w:t xml:space="preserve"> رَغْبَةٌ </w:t>
      </w:r>
      <w:r w:rsidRPr="00D10E3C">
        <w:rPr>
          <w:rStyle w:val="libFootnotenumChar"/>
          <w:rtl/>
        </w:rPr>
        <w:t>(5)</w:t>
      </w:r>
      <w:r>
        <w:rPr>
          <w:rtl/>
          <w:lang w:bidi="fa-IR"/>
        </w:rPr>
        <w:t xml:space="preserve"> فِي رِبْحِهَا وَإِنْ كَانَ الرِّبْحُ مَرْغُوباً فِيهِ </w:t>
      </w:r>
      <w:r w:rsidRPr="00D10E3C">
        <w:rPr>
          <w:rStyle w:val="libFootnotenumChar"/>
          <w:rtl/>
        </w:rPr>
        <w:t>(6)</w:t>
      </w:r>
      <w:r>
        <w:rPr>
          <w:rtl/>
          <w:lang w:bidi="fa-IR"/>
        </w:rPr>
        <w:t xml:space="preserve"> ، وَلكِنِّي </w:t>
      </w:r>
      <w:r w:rsidRPr="00D10E3C">
        <w:rPr>
          <w:rStyle w:val="libFootnotenumChar"/>
          <w:rtl/>
        </w:rPr>
        <w:t>(7)</w:t>
      </w:r>
      <w:r>
        <w:rPr>
          <w:rtl/>
          <w:lang w:bidi="fa-IR"/>
        </w:rPr>
        <w:t xml:space="preserve"> أَحْبَبْتُ أَنْ يَرَانِيَ اللهُ - جَلَّ وَعَزَّ - مُتَعَرِّضاً لِفَوَائِدِهِ ».</w:t>
      </w:r>
    </w:p>
    <w:p w:rsidR="00744A1C" w:rsidRDefault="00744A1C" w:rsidP="00744A1C">
      <w:pPr>
        <w:pStyle w:val="libNormal"/>
        <w:rPr>
          <w:lang w:bidi="fa-IR"/>
        </w:rPr>
      </w:pPr>
      <w:r>
        <w:rPr>
          <w:rtl/>
          <w:lang w:bidi="fa-IR"/>
        </w:rPr>
        <w:t xml:space="preserve">قَالَ : فَرَبِحْتُ لَهُ </w:t>
      </w:r>
      <w:r w:rsidRPr="00D10E3C">
        <w:rPr>
          <w:rStyle w:val="libFootnotenumChar"/>
          <w:rtl/>
        </w:rPr>
        <w:t>(8)</w:t>
      </w:r>
      <w:r>
        <w:rPr>
          <w:rtl/>
          <w:lang w:bidi="fa-IR"/>
        </w:rPr>
        <w:t xml:space="preserve"> فِيهَا </w:t>
      </w:r>
      <w:r w:rsidRPr="00D10E3C">
        <w:rPr>
          <w:rStyle w:val="libFootnotenumChar"/>
          <w:rtl/>
        </w:rPr>
        <w:t>(9)</w:t>
      </w:r>
      <w:r>
        <w:rPr>
          <w:rtl/>
          <w:lang w:bidi="fa-IR"/>
        </w:rPr>
        <w:t xml:space="preserve"> مِائَةَ دِينَارٍ ، ثُمَّ لَقِيتُهُ ، فَقُلْتُ لَهُ : قَدْ رَبِحْتُ لَكَ فِيهَا </w:t>
      </w:r>
      <w:r w:rsidRPr="00D10E3C">
        <w:rPr>
          <w:rStyle w:val="libFootnotenumChar"/>
          <w:rtl/>
        </w:rPr>
        <w:t>(10)</w:t>
      </w:r>
      <w:r>
        <w:rPr>
          <w:rtl/>
          <w:lang w:bidi="fa-IR"/>
        </w:rPr>
        <w:t xml:space="preserve"> مِائَةَ دِينَارٍ.</w:t>
      </w:r>
    </w:p>
    <w:p w:rsidR="00744A1C" w:rsidRDefault="00744A1C" w:rsidP="00744A1C">
      <w:pPr>
        <w:pStyle w:val="libNormal"/>
        <w:rPr>
          <w:lang w:bidi="fa-IR"/>
        </w:rPr>
      </w:pPr>
      <w:r>
        <w:rPr>
          <w:rtl/>
          <w:lang w:bidi="fa-IR"/>
        </w:rPr>
        <w:t xml:space="preserve">قَالَ : فَفَرِحَ أَبُو عَبْدِ اللهِ </w:t>
      </w:r>
      <w:r w:rsidR="0061079A" w:rsidRPr="0061079A">
        <w:rPr>
          <w:rStyle w:val="libAlaemChar"/>
          <w:rtl/>
        </w:rPr>
        <w:t>عليه‌السلام</w:t>
      </w:r>
      <w:r w:rsidR="00D10E3C">
        <w:rPr>
          <w:rtl/>
          <w:lang w:bidi="fa-IR"/>
        </w:rPr>
        <w:t xml:space="preserve"> </w:t>
      </w:r>
      <w:r>
        <w:rPr>
          <w:rtl/>
          <w:lang w:bidi="fa-IR"/>
        </w:rPr>
        <w:t xml:space="preserve">بِذلِكَ </w:t>
      </w:r>
      <w:r w:rsidRPr="00D10E3C">
        <w:rPr>
          <w:rStyle w:val="libFootnotenumChar"/>
          <w:rtl/>
        </w:rPr>
        <w:t>(11)</w:t>
      </w:r>
      <w:r>
        <w:rPr>
          <w:rtl/>
          <w:lang w:bidi="fa-IR"/>
        </w:rPr>
        <w:t xml:space="preserve"> فَرَحاً شَدِيداً </w:t>
      </w:r>
      <w:r w:rsidRPr="00D10E3C">
        <w:rPr>
          <w:rStyle w:val="libFootnotenumChar"/>
          <w:rtl/>
        </w:rPr>
        <w:t>(12)</w:t>
      </w:r>
      <w:r>
        <w:rPr>
          <w:rtl/>
          <w:lang w:bidi="fa-IR"/>
        </w:rPr>
        <w:t xml:space="preserve"> ، ثُمَّ قَالَ </w:t>
      </w:r>
      <w:r w:rsidRPr="00D10E3C">
        <w:rPr>
          <w:rStyle w:val="libFootnotenumChar"/>
          <w:rtl/>
        </w:rPr>
        <w:t>(13)</w:t>
      </w:r>
      <w:r>
        <w:rPr>
          <w:rtl/>
          <w:lang w:bidi="fa-IR"/>
        </w:rPr>
        <w:t xml:space="preserve"> لِي </w:t>
      </w:r>
      <w:r w:rsidRPr="00D10E3C">
        <w:rPr>
          <w:rStyle w:val="libFootnotenumChar"/>
          <w:rtl/>
        </w:rPr>
        <w:t>(14)</w:t>
      </w:r>
      <w:r>
        <w:rPr>
          <w:rtl/>
          <w:lang w:bidi="fa-IR"/>
        </w:rPr>
        <w:t xml:space="preserve"> : « أَثْبِتْهَا </w:t>
      </w:r>
      <w:r w:rsidRPr="00D10E3C">
        <w:rPr>
          <w:rStyle w:val="libFootnotenumChar"/>
          <w:rtl/>
        </w:rPr>
        <w:t>(15)</w:t>
      </w:r>
      <w:r>
        <w:rPr>
          <w:rtl/>
          <w:lang w:bidi="fa-IR"/>
        </w:rPr>
        <w:t xml:space="preserve"> فِي رَأْسِ مَالِي ».</w:t>
      </w:r>
    </w:p>
    <w:p w:rsidR="00744A1C" w:rsidRDefault="00744A1C" w:rsidP="00744A1C">
      <w:pPr>
        <w:pStyle w:val="libNormal"/>
        <w:rPr>
          <w:lang w:bidi="fa-IR"/>
        </w:rPr>
      </w:pPr>
      <w:r>
        <w:rPr>
          <w:rtl/>
          <w:lang w:bidi="fa-IR"/>
        </w:rPr>
        <w:t xml:space="preserve">قَالَ : فَمَاتَ أَبِي وَالْمَالُ عِنْدَهُ ، فَأَرْسَلَ إِلَيَّ أَبُو عَبْدِ اللهِ </w:t>
      </w:r>
      <w:r w:rsidR="0061079A" w:rsidRPr="0061079A">
        <w:rPr>
          <w:rStyle w:val="libAlaemChar"/>
          <w:rtl/>
        </w:rPr>
        <w:t>عليه‌السلام</w:t>
      </w:r>
      <w:r w:rsidR="00D10E3C">
        <w:rPr>
          <w:rtl/>
          <w:lang w:bidi="fa-IR"/>
        </w:rPr>
        <w:t xml:space="preserve"> </w:t>
      </w:r>
      <w:r>
        <w:rPr>
          <w:rtl/>
          <w:lang w:bidi="fa-IR"/>
        </w:rPr>
        <w:t xml:space="preserve">، فَكَتَبَ </w:t>
      </w:r>
      <w:r w:rsidRPr="00D10E3C">
        <w:rPr>
          <w:rStyle w:val="libFootnotenumChar"/>
          <w:rtl/>
        </w:rPr>
        <w:t>(16)</w:t>
      </w:r>
      <w:r>
        <w:rPr>
          <w:rtl/>
          <w:lang w:bidi="fa-IR"/>
        </w:rPr>
        <w:t xml:space="preserve"> : « عَافَانَا اللهُ وَإِيَّاكَ ، إِنَّ لِي عِنْدَ أَبِي مُحَمَّدٍ أَلْفاً وَثَمَانَمِائَةِ دِينَارٍ أَعْطَيْتُهُ يَتَّجِرُ بِهَا ، فَادْفَعْهَا إِلى‌</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لعلّ القائل محمّد ، وإن كان بعيداً لتكنّيه بأبي محمّد ، ولما سيأتي في آخر الباب ». وفي هامش المطبوع : « ضمير قال راجع إلى ابن عذافر كما يظهر من آخر الحديث حيث قال </w:t>
      </w:r>
      <w:r w:rsidR="0061079A" w:rsidRPr="0061079A">
        <w:rPr>
          <w:rStyle w:val="libFootnoteAlaemChar"/>
          <w:rtl/>
        </w:rPr>
        <w:t>عليه‌السلام</w:t>
      </w:r>
      <w:r>
        <w:rPr>
          <w:rtl/>
          <w:lang w:bidi="fa-IR"/>
        </w:rPr>
        <w:t xml:space="preserve"> </w:t>
      </w:r>
      <w:r w:rsidR="00744A1C">
        <w:rPr>
          <w:rtl/>
          <w:lang w:bidi="fa-IR"/>
        </w:rPr>
        <w:t>: إنّ لي عند أبي محمّد ، ويأتي أيضاً التصريح بذلك تحت الرقم 16 ».</w:t>
      </w:r>
    </w:p>
    <w:p w:rsidR="00744A1C" w:rsidRDefault="00E378DD" w:rsidP="00E378DD">
      <w:pPr>
        <w:pStyle w:val="libFootnote0"/>
        <w:rPr>
          <w:lang w:bidi="fa-IR"/>
        </w:rPr>
      </w:pPr>
      <w:r>
        <w:rPr>
          <w:rtl/>
          <w:lang w:bidi="fa-IR"/>
        </w:rPr>
        <w:t>(2).</w:t>
      </w:r>
      <w:r w:rsidR="00744A1C">
        <w:rPr>
          <w:rtl/>
          <w:lang w:bidi="fa-IR"/>
        </w:rPr>
        <w:t xml:space="preserve"> في « ى ، بح ، بس ، جد ، جن » </w:t>
      </w:r>
      <w:r w:rsidR="00744A1C" w:rsidRPr="00F354D3">
        <w:rPr>
          <w:rtl/>
        </w:rPr>
        <w:t>والبحار والتهذيب</w:t>
      </w:r>
      <w:r w:rsidR="00744A1C">
        <w:rPr>
          <w:rtl/>
          <w:lang w:bidi="fa-IR"/>
        </w:rPr>
        <w:t xml:space="preserve"> : + « لي ».</w:t>
      </w:r>
    </w:p>
    <w:p w:rsidR="00744A1C" w:rsidRDefault="00E378DD" w:rsidP="00E378DD">
      <w:pPr>
        <w:pStyle w:val="libFootnote0"/>
        <w:rPr>
          <w:lang w:bidi="fa-IR"/>
        </w:rPr>
      </w:pPr>
      <w:r>
        <w:rPr>
          <w:rtl/>
          <w:lang w:bidi="fa-IR"/>
        </w:rPr>
        <w:t>(3).</w:t>
      </w:r>
      <w:r w:rsidR="00744A1C">
        <w:rPr>
          <w:rtl/>
          <w:lang w:bidi="fa-IR"/>
        </w:rPr>
        <w:t xml:space="preserve"> في « بخ ، بف ، جت » </w:t>
      </w:r>
      <w:r w:rsidR="00744A1C" w:rsidRPr="00F354D3">
        <w:rPr>
          <w:rtl/>
        </w:rPr>
        <w:t>والوافي والوسائل</w:t>
      </w:r>
      <w:r w:rsidR="00744A1C">
        <w:rPr>
          <w:rtl/>
          <w:lang w:bidi="fa-IR"/>
        </w:rPr>
        <w:t xml:space="preserve"> : + « لي ».</w:t>
      </w:r>
    </w:p>
    <w:tbl>
      <w:tblPr>
        <w:tblStyle w:val="TableGrid"/>
        <w:bidiVisual/>
        <w:tblW w:w="0" w:type="auto"/>
        <w:tblLook w:val="04A0" w:firstRow="1" w:lastRow="0" w:firstColumn="1" w:lastColumn="0" w:noHBand="0" w:noVBand="1"/>
      </w:tblPr>
      <w:tblGrid>
        <w:gridCol w:w="4006"/>
        <w:gridCol w:w="4006"/>
      </w:tblGrid>
      <w:tr w:rsidR="00F354D3" w:rsidTr="00F354D3">
        <w:tc>
          <w:tcPr>
            <w:tcW w:w="4006" w:type="dxa"/>
          </w:tcPr>
          <w:p w:rsidR="00F354D3" w:rsidRDefault="00F354D3" w:rsidP="00E378DD">
            <w:pPr>
              <w:pStyle w:val="libFootnote0"/>
              <w:rPr>
                <w:rtl/>
                <w:lang w:bidi="fa-IR"/>
              </w:rPr>
            </w:pPr>
            <w:r>
              <w:rPr>
                <w:rtl/>
                <w:lang w:bidi="fa-IR"/>
              </w:rPr>
              <w:t>(4). في « ط » : - « لي ».</w:t>
            </w:r>
          </w:p>
        </w:tc>
        <w:tc>
          <w:tcPr>
            <w:tcW w:w="4006" w:type="dxa"/>
          </w:tcPr>
          <w:p w:rsidR="00F354D3" w:rsidRDefault="00F354D3" w:rsidP="00E378DD">
            <w:pPr>
              <w:pStyle w:val="libFootnote0"/>
              <w:rPr>
                <w:rtl/>
                <w:lang w:bidi="fa-IR"/>
              </w:rPr>
            </w:pPr>
            <w:r>
              <w:rPr>
                <w:rtl/>
                <w:lang w:bidi="fa-IR"/>
              </w:rPr>
              <w:t>(5). في « ط » : « برغبة ».</w:t>
            </w:r>
          </w:p>
        </w:tc>
      </w:tr>
      <w:tr w:rsidR="00F354D3" w:rsidTr="00F354D3">
        <w:tc>
          <w:tcPr>
            <w:tcW w:w="4006" w:type="dxa"/>
          </w:tcPr>
          <w:p w:rsidR="00F354D3" w:rsidRDefault="00F354D3" w:rsidP="00E378DD">
            <w:pPr>
              <w:pStyle w:val="libFootnote0"/>
              <w:rPr>
                <w:rtl/>
                <w:lang w:bidi="fa-IR"/>
              </w:rPr>
            </w:pPr>
            <w:r>
              <w:rPr>
                <w:rtl/>
                <w:lang w:bidi="fa-IR"/>
              </w:rPr>
              <w:t>(6). في « بخ ، بف » : « إليه ».</w:t>
            </w:r>
          </w:p>
        </w:tc>
        <w:tc>
          <w:tcPr>
            <w:tcW w:w="4006" w:type="dxa"/>
          </w:tcPr>
          <w:p w:rsidR="00F354D3" w:rsidRDefault="00F354D3" w:rsidP="00E378DD">
            <w:pPr>
              <w:pStyle w:val="libFootnote0"/>
              <w:rPr>
                <w:rtl/>
                <w:lang w:bidi="fa-IR"/>
              </w:rPr>
            </w:pPr>
            <w:r>
              <w:rPr>
                <w:rtl/>
                <w:lang w:bidi="fa-IR"/>
              </w:rPr>
              <w:t xml:space="preserve">(7). في « بف » </w:t>
            </w:r>
            <w:r w:rsidRPr="00F354D3">
              <w:rPr>
                <w:rtl/>
              </w:rPr>
              <w:t>والتهذيب :</w:t>
            </w:r>
            <w:r>
              <w:rPr>
                <w:rtl/>
                <w:lang w:bidi="fa-IR"/>
              </w:rPr>
              <w:t xml:space="preserve"> « ولكن ».</w:t>
            </w:r>
          </w:p>
        </w:tc>
      </w:tr>
      <w:tr w:rsidR="00F354D3" w:rsidTr="00F354D3">
        <w:tc>
          <w:tcPr>
            <w:tcW w:w="4006" w:type="dxa"/>
          </w:tcPr>
          <w:p w:rsidR="00F354D3" w:rsidRDefault="00F354D3" w:rsidP="00E378DD">
            <w:pPr>
              <w:pStyle w:val="libFootnote0"/>
              <w:rPr>
                <w:rtl/>
                <w:lang w:bidi="fa-IR"/>
              </w:rPr>
            </w:pPr>
            <w:r>
              <w:rPr>
                <w:rtl/>
                <w:lang w:bidi="fa-IR"/>
              </w:rPr>
              <w:t xml:space="preserve">(8). في « بف » </w:t>
            </w:r>
            <w:r w:rsidRPr="00F354D3">
              <w:rPr>
                <w:rtl/>
              </w:rPr>
              <w:t>والتهذيب</w:t>
            </w:r>
            <w:r>
              <w:rPr>
                <w:rtl/>
                <w:lang w:bidi="fa-IR"/>
              </w:rPr>
              <w:t xml:space="preserve"> : - « له ».</w:t>
            </w:r>
          </w:p>
        </w:tc>
        <w:tc>
          <w:tcPr>
            <w:tcW w:w="4006" w:type="dxa"/>
          </w:tcPr>
          <w:p w:rsidR="00F354D3" w:rsidRDefault="00F354D3" w:rsidP="00E378DD">
            <w:pPr>
              <w:pStyle w:val="libFootnote0"/>
              <w:rPr>
                <w:rtl/>
                <w:lang w:bidi="fa-IR"/>
              </w:rPr>
            </w:pPr>
            <w:r>
              <w:rPr>
                <w:rtl/>
                <w:lang w:bidi="fa-IR"/>
              </w:rPr>
              <w:t>(9). في«ط،ى،بح،بس،جد»و</w:t>
            </w:r>
            <w:r w:rsidRPr="00C24F9C">
              <w:rPr>
                <w:rStyle w:val="libFootnoteBoldChar"/>
                <w:rtl/>
              </w:rPr>
              <w:t>الوسائل</w:t>
            </w:r>
            <w:r>
              <w:rPr>
                <w:rFonts w:hint="cs"/>
                <w:rtl/>
                <w:lang w:bidi="fa-IR"/>
              </w:rPr>
              <w:t xml:space="preserve"> </w:t>
            </w:r>
            <w:r>
              <w:rPr>
                <w:rtl/>
                <w:lang w:bidi="fa-IR"/>
              </w:rPr>
              <w:t>و</w:t>
            </w:r>
            <w:r w:rsidRPr="0061079A">
              <w:rPr>
                <w:rStyle w:val="libFootnoteBoldChar"/>
                <w:rtl/>
              </w:rPr>
              <w:t>البحار</w:t>
            </w:r>
            <w:r>
              <w:rPr>
                <w:rtl/>
                <w:lang w:bidi="fa-IR"/>
              </w:rPr>
              <w:t>:«فيه ».</w:t>
            </w:r>
          </w:p>
        </w:tc>
      </w:tr>
      <w:tr w:rsidR="00F354D3" w:rsidTr="00F354D3">
        <w:tc>
          <w:tcPr>
            <w:tcW w:w="4006" w:type="dxa"/>
          </w:tcPr>
          <w:p w:rsidR="00F354D3" w:rsidRDefault="00F354D3" w:rsidP="00E378DD">
            <w:pPr>
              <w:pStyle w:val="libFootnote0"/>
              <w:rPr>
                <w:rtl/>
                <w:lang w:bidi="fa-IR"/>
              </w:rPr>
            </w:pPr>
            <w:r>
              <w:rPr>
                <w:rtl/>
                <w:lang w:bidi="fa-IR"/>
              </w:rPr>
              <w:t xml:space="preserve">(10). في «ى،جد» :«منها ». وفي </w:t>
            </w:r>
            <w:r w:rsidRPr="00F354D3">
              <w:rPr>
                <w:rtl/>
              </w:rPr>
              <w:t>الوسائل</w:t>
            </w:r>
            <w:r>
              <w:rPr>
                <w:rtl/>
                <w:lang w:bidi="fa-IR"/>
              </w:rPr>
              <w:t xml:space="preserve"> : « فيه ».</w:t>
            </w:r>
          </w:p>
        </w:tc>
        <w:tc>
          <w:tcPr>
            <w:tcW w:w="4006" w:type="dxa"/>
          </w:tcPr>
          <w:p w:rsidR="00F354D3" w:rsidRDefault="00F354D3" w:rsidP="00E378DD">
            <w:pPr>
              <w:pStyle w:val="libFootnote0"/>
              <w:rPr>
                <w:rtl/>
                <w:lang w:bidi="fa-IR"/>
              </w:rPr>
            </w:pPr>
            <w:r>
              <w:rPr>
                <w:rtl/>
                <w:lang w:bidi="fa-IR"/>
              </w:rPr>
              <w:t>(11). في « ظ » : - « بذلك ».</w:t>
            </w:r>
          </w:p>
        </w:tc>
      </w:tr>
    </w:tbl>
    <w:p w:rsidR="00744A1C" w:rsidRDefault="00E378DD" w:rsidP="00E378DD">
      <w:pPr>
        <w:pStyle w:val="libFootnote0"/>
        <w:rPr>
          <w:lang w:bidi="fa-IR"/>
        </w:rPr>
      </w:pPr>
      <w:r>
        <w:rPr>
          <w:rtl/>
          <w:lang w:bidi="fa-IR"/>
        </w:rPr>
        <w:t>(12).</w:t>
      </w:r>
      <w:r w:rsidR="00744A1C">
        <w:rPr>
          <w:rtl/>
          <w:lang w:bidi="fa-IR"/>
        </w:rPr>
        <w:t xml:space="preserve"> في « ط » : + « بذلك ».</w:t>
      </w:r>
    </w:p>
    <w:p w:rsidR="00744A1C" w:rsidRDefault="00E378DD" w:rsidP="00533D49">
      <w:pPr>
        <w:pStyle w:val="libFootnote0"/>
        <w:rPr>
          <w:lang w:bidi="fa-IR"/>
        </w:rPr>
      </w:pPr>
      <w:r>
        <w:rPr>
          <w:rtl/>
          <w:lang w:bidi="fa-IR"/>
        </w:rPr>
        <w:t>(13).</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xml:space="preserve"> </w:t>
      </w:r>
      <w:r w:rsidR="00744A1C" w:rsidRPr="0061079A">
        <w:rPr>
          <w:rStyle w:val="libFootnoteBoldChar"/>
          <w:rtl/>
        </w:rPr>
        <w:t>والتهذيب</w:t>
      </w:r>
      <w:r w:rsidR="00744A1C">
        <w:rPr>
          <w:rtl/>
          <w:lang w:bidi="fa-IR"/>
        </w:rPr>
        <w:t>. وفي المطبوع : « فقال » بدل « ثمّ قال ».</w:t>
      </w:r>
      <w:r w:rsidR="00533D49">
        <w:rPr>
          <w:rFonts w:hint="cs"/>
          <w:rtl/>
          <w:lang w:bidi="fa-IR"/>
        </w:rPr>
        <w:t xml:space="preserve">                  </w:t>
      </w:r>
      <w:r w:rsidR="0013596A">
        <w:rPr>
          <w:rFonts w:hint="cs"/>
          <w:rtl/>
          <w:lang w:bidi="fa-IR"/>
        </w:rPr>
        <w:t xml:space="preserve">                              </w:t>
      </w:r>
      <w:r w:rsidR="00533D49">
        <w:rPr>
          <w:rFonts w:hint="cs"/>
          <w:rtl/>
          <w:lang w:bidi="fa-IR"/>
        </w:rPr>
        <w:t xml:space="preserve">     </w:t>
      </w:r>
      <w:r>
        <w:rPr>
          <w:rtl/>
          <w:lang w:bidi="fa-IR"/>
        </w:rPr>
        <w:t>(14).</w:t>
      </w:r>
      <w:r w:rsidR="00744A1C">
        <w:rPr>
          <w:rtl/>
          <w:lang w:bidi="fa-IR"/>
        </w:rPr>
        <w:t xml:space="preserve"> في « ط ، بف » و</w:t>
      </w:r>
      <w:r w:rsidR="00744A1C" w:rsidRPr="00C24F9C">
        <w:rPr>
          <w:rStyle w:val="libFootnoteBoldChar"/>
          <w:rtl/>
        </w:rPr>
        <w:t>الوسائل</w:t>
      </w:r>
      <w:r w:rsidR="00744A1C">
        <w:rPr>
          <w:rtl/>
          <w:lang w:bidi="fa-IR"/>
        </w:rPr>
        <w:t xml:space="preserve"> : - « لي ».</w:t>
      </w:r>
    </w:p>
    <w:p w:rsidR="00744A1C" w:rsidRDefault="00E378DD" w:rsidP="00E378DD">
      <w:pPr>
        <w:pStyle w:val="libFootnote0"/>
        <w:rPr>
          <w:lang w:bidi="fa-IR"/>
        </w:rPr>
      </w:pPr>
      <w:r>
        <w:rPr>
          <w:rtl/>
          <w:lang w:bidi="fa-IR"/>
        </w:rPr>
        <w:t>(15).</w:t>
      </w:r>
      <w:r w:rsidR="00744A1C">
        <w:rPr>
          <w:rtl/>
          <w:lang w:bidi="fa-IR"/>
        </w:rPr>
        <w:t xml:space="preserve"> في </w:t>
      </w:r>
      <w:r w:rsidR="00744A1C" w:rsidRPr="00533D49">
        <w:rPr>
          <w:rtl/>
        </w:rPr>
        <w:t>التهذيب</w:t>
      </w:r>
      <w:r w:rsidR="00744A1C">
        <w:rPr>
          <w:rtl/>
          <w:lang w:bidi="fa-IR"/>
        </w:rPr>
        <w:t xml:space="preserve"> : « أثبتها لي » بدل « لي أثبتها ».</w:t>
      </w:r>
    </w:p>
    <w:p w:rsidR="00744A1C" w:rsidRDefault="00744A1C" w:rsidP="00D10E3C">
      <w:pPr>
        <w:pStyle w:val="libFootnote0"/>
        <w:rPr>
          <w:lang w:bidi="fa-IR"/>
        </w:rPr>
      </w:pPr>
      <w:r>
        <w:rPr>
          <w:rtl/>
          <w:lang w:bidi="fa-IR"/>
        </w:rPr>
        <w:t xml:space="preserve">(16) في « ط ، ى ، بح ، بس ، جت ، جد ، جن » </w:t>
      </w:r>
      <w:r w:rsidRPr="00533D49">
        <w:rPr>
          <w:rtl/>
        </w:rPr>
        <w:t>والوسائل والبحار :</w:t>
      </w:r>
      <w:r>
        <w:rPr>
          <w:rtl/>
          <w:lang w:bidi="fa-IR"/>
        </w:rPr>
        <w:t xml:space="preserve"> « وكتب ».</w:t>
      </w:r>
    </w:p>
    <w:p w:rsidR="006A5060" w:rsidRDefault="006A5060" w:rsidP="00D10E3C">
      <w:pPr>
        <w:pStyle w:val="libNormal"/>
        <w:rPr>
          <w:rtl/>
          <w:lang w:bidi="fa-IR"/>
        </w:rPr>
      </w:pPr>
      <w:r>
        <w:rPr>
          <w:rtl/>
          <w:lang w:bidi="fa-IR"/>
        </w:rPr>
        <w:br w:type="page"/>
      </w:r>
    </w:p>
    <w:p w:rsidR="00744A1C" w:rsidRDefault="00744A1C" w:rsidP="00533D49">
      <w:pPr>
        <w:pStyle w:val="libNormal0"/>
        <w:rPr>
          <w:lang w:bidi="fa-IR"/>
        </w:rPr>
      </w:pPr>
      <w:r>
        <w:rPr>
          <w:rtl/>
          <w:lang w:bidi="fa-IR"/>
        </w:rPr>
        <w:t>عُمَرَ بْنِ يَزِيدَ ».</w:t>
      </w:r>
    </w:p>
    <w:p w:rsidR="00144FA6" w:rsidRDefault="00744A1C" w:rsidP="000C41B6">
      <w:pPr>
        <w:pStyle w:val="libNormal"/>
        <w:rPr>
          <w:rtl/>
          <w:lang w:bidi="fa-IR"/>
        </w:rPr>
      </w:pPr>
      <w:r>
        <w:rPr>
          <w:rtl/>
          <w:lang w:bidi="fa-IR"/>
        </w:rPr>
        <w:t xml:space="preserve">قَالَ : فَنَظَرْتُ فِي </w:t>
      </w:r>
      <w:r w:rsidRPr="00D10E3C">
        <w:rPr>
          <w:rStyle w:val="libFootnotenumChar"/>
          <w:rtl/>
        </w:rPr>
        <w:t>(1)</w:t>
      </w:r>
      <w:r>
        <w:rPr>
          <w:rtl/>
          <w:lang w:bidi="fa-IR"/>
        </w:rPr>
        <w:t xml:space="preserve"> كِتَابِ أَبِي ، فَإِذاً فِيهِ </w:t>
      </w:r>
      <w:r w:rsidRPr="00D10E3C">
        <w:rPr>
          <w:rStyle w:val="libFootnotenumChar"/>
          <w:rtl/>
        </w:rPr>
        <w:t>(2)</w:t>
      </w:r>
      <w:r>
        <w:rPr>
          <w:rtl/>
          <w:lang w:bidi="fa-IR"/>
        </w:rPr>
        <w:t xml:space="preserve"> : لِأَبِي مُوسى </w:t>
      </w:r>
      <w:r w:rsidRPr="00D10E3C">
        <w:rPr>
          <w:rStyle w:val="libFootnotenumChar"/>
          <w:rtl/>
        </w:rPr>
        <w:t>(3)</w:t>
      </w:r>
      <w:r>
        <w:rPr>
          <w:rtl/>
          <w:lang w:bidi="fa-IR"/>
        </w:rPr>
        <w:t xml:space="preserve"> عِنْدِي أَلْفٌ وَسَبْعُمِائَةِ دِينَارٍ ، وَاتُّجِرَ لَهُ فِيهَا </w:t>
      </w:r>
      <w:r w:rsidRPr="00D10E3C">
        <w:rPr>
          <w:rStyle w:val="libFootnotenumChar"/>
          <w:rtl/>
        </w:rPr>
        <w:t>(4)</w:t>
      </w:r>
      <w:r>
        <w:rPr>
          <w:rtl/>
          <w:lang w:bidi="fa-IR"/>
        </w:rPr>
        <w:t xml:space="preserve"> مِائَةُ دِينَارٍ ، عَبْدُ اللهِ بْنُ سِنَانٍ وَعُمَرُ بْنُ يَزِيدَ يَعْرِفَانِهِ </w:t>
      </w:r>
      <w:r w:rsidRPr="00D10E3C">
        <w:rPr>
          <w:rStyle w:val="libFootnotenumChar"/>
          <w:rtl/>
        </w:rPr>
        <w:t>(5)</w:t>
      </w:r>
      <w:r w:rsidR="000C41B6">
        <w:rPr>
          <w:rFonts w:hint="cs"/>
          <w:rtl/>
          <w:lang w:bidi="fa-IR"/>
        </w:rPr>
        <w:t>.</w:t>
      </w:r>
      <w:r w:rsidRPr="00D10E3C">
        <w:rPr>
          <w:rStyle w:val="libFootnotenumChar"/>
          <w:rtl/>
        </w:rPr>
        <w:t>(6)</w:t>
      </w:r>
    </w:p>
    <w:p w:rsidR="00144FA6" w:rsidRDefault="00744A1C" w:rsidP="00744A1C">
      <w:pPr>
        <w:pStyle w:val="libNormal"/>
        <w:rPr>
          <w:rtl/>
          <w:lang w:bidi="fa-IR"/>
        </w:rPr>
      </w:pPr>
      <w:r>
        <w:rPr>
          <w:rtl/>
          <w:lang w:bidi="fa-IR"/>
        </w:rPr>
        <w:t xml:space="preserve">8383 / 13. عِدَّةٌ مِنْ أَصْحَابِنَا ، عَنْ أَحْمَدَ بْنِ أَبِي عَبْدِ اللهِ ، عَنْ أَبِيهِ ، عَنِ النَّضْرِ بْنِ سُوَيْدٍ ، عَنِ الْقَاسِمِ بْنِ سُلَيْمَانَ </w:t>
      </w:r>
      <w:r w:rsidRPr="00D10E3C">
        <w:rPr>
          <w:rStyle w:val="libFootnotenumChar"/>
          <w:rtl/>
        </w:rPr>
        <w:t>(7)</w:t>
      </w:r>
      <w:r>
        <w:rPr>
          <w:rtl/>
          <w:lang w:bidi="fa-IR"/>
        </w:rPr>
        <w:t xml:space="preserve"> ، قَالَ : حَدَّثَنِي جَمِيلُ بْنُ صَالِحٍ ، عَنْ أَبِي عَمْرٍو الشَّيْبَانِيِّ ، قَالَ :</w:t>
      </w:r>
    </w:p>
    <w:p w:rsidR="00744A1C" w:rsidRDefault="00744A1C" w:rsidP="00744A1C">
      <w:pPr>
        <w:pStyle w:val="libNormal"/>
        <w:rPr>
          <w:lang w:bidi="fa-IR"/>
        </w:rPr>
      </w:pPr>
      <w:r>
        <w:rPr>
          <w:rtl/>
          <w:lang w:bidi="fa-IR"/>
        </w:rPr>
        <w:t xml:space="preserve">رَأَيْتُ أَبَا عَبْدِ اللهِ </w:t>
      </w:r>
      <w:r w:rsidR="0061079A" w:rsidRPr="0061079A">
        <w:rPr>
          <w:rStyle w:val="libAlaemChar"/>
          <w:rtl/>
        </w:rPr>
        <w:t>عليه‌السلام</w:t>
      </w:r>
      <w:r w:rsidR="00D10E3C">
        <w:rPr>
          <w:rtl/>
          <w:lang w:bidi="fa-IR"/>
        </w:rPr>
        <w:t xml:space="preserve"> </w:t>
      </w:r>
      <w:r>
        <w:rPr>
          <w:rtl/>
          <w:lang w:bidi="fa-IR"/>
        </w:rPr>
        <w:t xml:space="preserve">وَبِيَدِهِ مِسْحَاةٌ ، وَعَلَيْهِ إِزَارٌ </w:t>
      </w:r>
      <w:r w:rsidRPr="00D10E3C">
        <w:rPr>
          <w:rStyle w:val="libFootnotenumChar"/>
          <w:rtl/>
        </w:rPr>
        <w:t>(8)</w:t>
      </w:r>
      <w:r>
        <w:rPr>
          <w:rtl/>
          <w:lang w:bidi="fa-IR"/>
        </w:rPr>
        <w:t xml:space="preserve"> غَلِيظٌ يَعْمَلُ فِي حَائِطٍ لَهُ ، وَالْعَرَقُ يَتَصَابُّ </w:t>
      </w:r>
      <w:r w:rsidRPr="00D10E3C">
        <w:rPr>
          <w:rStyle w:val="libFootnotenumChar"/>
          <w:rtl/>
        </w:rPr>
        <w:t>(9)</w:t>
      </w:r>
      <w:r>
        <w:rPr>
          <w:rtl/>
          <w:lang w:bidi="fa-IR"/>
        </w:rPr>
        <w:t xml:space="preserve"> عَنْ </w:t>
      </w:r>
      <w:r w:rsidRPr="00D10E3C">
        <w:rPr>
          <w:rStyle w:val="libFootnotenumChar"/>
          <w:rtl/>
        </w:rPr>
        <w:t>(10)</w:t>
      </w:r>
      <w:r>
        <w:rPr>
          <w:rtl/>
          <w:lang w:bidi="fa-IR"/>
        </w:rPr>
        <w:t xml:space="preserve"> ظَهْرِهِ ، فَقُلْتُ : جُعِلْتُ فِدَاكَ ، أَعْطِنِي أَكْفِكَ </w:t>
      </w:r>
      <w:r w:rsidRPr="00D10E3C">
        <w:rPr>
          <w:rStyle w:val="libFootnotenumChar"/>
          <w:rtl/>
        </w:rPr>
        <w:t>(11)</w:t>
      </w:r>
    </w:p>
    <w:p w:rsidR="00144FA6" w:rsidRDefault="00744A1C" w:rsidP="00744A1C">
      <w:pPr>
        <w:pStyle w:val="libNormal"/>
        <w:rPr>
          <w:rtl/>
          <w:lang w:bidi="fa-IR"/>
        </w:rPr>
      </w:pPr>
      <w:r>
        <w:rPr>
          <w:rtl/>
          <w:lang w:bidi="fa-IR"/>
        </w:rPr>
        <w:t xml:space="preserve">فَقَالَ لِي </w:t>
      </w:r>
      <w:r w:rsidRPr="00D10E3C">
        <w:rPr>
          <w:rStyle w:val="libFootnotenumChar"/>
          <w:rtl/>
        </w:rPr>
        <w:t>(12)</w:t>
      </w:r>
      <w:r>
        <w:rPr>
          <w:rtl/>
          <w:lang w:bidi="fa-IR"/>
        </w:rPr>
        <w:t xml:space="preserve"> : « إِنِّي أُحِبُّ أَنْ يَتَأَذَّى الرَّجُلُ بِحَرِّ الشَّمْسِ فِي طَلَبِ الْمَعِيشَةِ ». </w:t>
      </w:r>
      <w:r w:rsidRPr="00D10E3C">
        <w:rPr>
          <w:rStyle w:val="libFootnotenumChar"/>
          <w:rtl/>
        </w:rPr>
        <w:t>(13)</w:t>
      </w:r>
    </w:p>
    <w:p w:rsidR="00744A1C" w:rsidRDefault="00744A1C" w:rsidP="00744A1C">
      <w:pPr>
        <w:pStyle w:val="libNormal"/>
        <w:rPr>
          <w:lang w:bidi="fa-IR"/>
        </w:rPr>
      </w:pPr>
      <w:r>
        <w:rPr>
          <w:rtl/>
          <w:lang w:bidi="fa-IR"/>
        </w:rPr>
        <w:t>8384 / 14. عَلِيُّ بْنُ إِبْرَاهِيمَ ، عَنْ أَبِيهِ ، عَنِ ابْنِ أَبِي عُمَيْرٍ ، عَنْ عُمَرَ بْنِ أُذَيْنَةَ ، عَنْ‌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0C41B6" w:rsidTr="000C41B6">
        <w:tc>
          <w:tcPr>
            <w:tcW w:w="4006" w:type="dxa"/>
          </w:tcPr>
          <w:p w:rsidR="000C41B6" w:rsidRDefault="000C41B6" w:rsidP="00D10E3C">
            <w:pPr>
              <w:pStyle w:val="libFootnote0"/>
              <w:rPr>
                <w:rtl/>
                <w:lang w:bidi="fa-IR"/>
              </w:rPr>
            </w:pPr>
            <w:r>
              <w:rPr>
                <w:rtl/>
                <w:lang w:bidi="fa-IR"/>
              </w:rPr>
              <w:t>(1). في « جن » : « إلى ».</w:t>
            </w:r>
          </w:p>
        </w:tc>
        <w:tc>
          <w:tcPr>
            <w:tcW w:w="4006" w:type="dxa"/>
          </w:tcPr>
          <w:p w:rsidR="000C41B6" w:rsidRDefault="000C41B6" w:rsidP="00D10E3C">
            <w:pPr>
              <w:pStyle w:val="libFootnote0"/>
              <w:rPr>
                <w:rtl/>
                <w:lang w:bidi="fa-IR"/>
              </w:rPr>
            </w:pPr>
            <w:r>
              <w:rPr>
                <w:rtl/>
                <w:lang w:bidi="fa-IR"/>
              </w:rPr>
              <w:t>(2). في « ط » : « فيها ».</w:t>
            </w:r>
          </w:p>
        </w:tc>
      </w:tr>
    </w:tbl>
    <w:p w:rsidR="00744A1C" w:rsidRDefault="00E378DD" w:rsidP="00E378DD">
      <w:pPr>
        <w:pStyle w:val="libFootnote0"/>
        <w:rPr>
          <w:lang w:bidi="fa-IR"/>
        </w:rPr>
      </w:pPr>
      <w:r>
        <w:rPr>
          <w:rtl/>
          <w:lang w:bidi="fa-IR"/>
        </w:rPr>
        <w:t>(3).</w:t>
      </w:r>
      <w:r w:rsidR="00744A1C">
        <w:rPr>
          <w:rtl/>
          <w:lang w:bidi="fa-IR"/>
        </w:rPr>
        <w:t xml:space="preserve"> في « ى ، بخ ، بف ، جن » و</w:t>
      </w:r>
      <w:r w:rsidR="00744A1C" w:rsidRPr="00C24F9C">
        <w:rPr>
          <w:rStyle w:val="libFootnoteBoldChar"/>
          <w:rtl/>
        </w:rPr>
        <w:t>الوافي</w:t>
      </w:r>
      <w:r w:rsidR="00744A1C">
        <w:rPr>
          <w:rtl/>
          <w:lang w:bidi="fa-IR"/>
        </w:rPr>
        <w:t xml:space="preserve"> : « لأبي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وفي </w:t>
      </w:r>
      <w:r w:rsidR="00744A1C" w:rsidRPr="00C24F9C">
        <w:rPr>
          <w:rStyle w:val="libFootnoteBoldChar"/>
          <w:rtl/>
        </w:rPr>
        <w:t>المرآة</w:t>
      </w:r>
      <w:r w:rsidR="00744A1C">
        <w:rPr>
          <w:rtl/>
          <w:lang w:bidi="fa-IR"/>
        </w:rPr>
        <w:t xml:space="preserve"> : « قوله : لأبي موسى ؛ يعني أبا عبد الله </w:t>
      </w:r>
      <w:r w:rsidR="0061079A" w:rsidRPr="0061079A">
        <w:rPr>
          <w:rStyle w:val="libFootnoteAlaemChar"/>
          <w:rtl/>
        </w:rPr>
        <w:t>عليه‌السلام</w:t>
      </w:r>
      <w:r w:rsidR="00D10E3C">
        <w:rPr>
          <w:rtl/>
          <w:lang w:bidi="fa-IR"/>
        </w:rPr>
        <w:t xml:space="preserve"> </w:t>
      </w:r>
      <w:r w:rsidR="00744A1C">
        <w:rPr>
          <w:rtl/>
          <w:lang w:bidi="fa-IR"/>
        </w:rPr>
        <w:t xml:space="preserve">؛ فإنّ ابنه موسى </w:t>
      </w:r>
      <w:r w:rsidR="0061079A" w:rsidRPr="0061079A">
        <w:rPr>
          <w:rStyle w:val="libFootnoteAlaemChar"/>
          <w:rtl/>
        </w:rPr>
        <w:t>عليه‌السلام</w:t>
      </w:r>
      <w:r w:rsidR="00D10E3C">
        <w:rPr>
          <w:rtl/>
          <w:lang w:bidi="fa-IR"/>
        </w:rPr>
        <w:t xml:space="preserve"> </w:t>
      </w:r>
      <w:r w:rsidR="00744A1C">
        <w:rPr>
          <w:rtl/>
          <w:lang w:bidi="fa-IR"/>
        </w:rPr>
        <w:t>، ولعلّه كتب هكذا تقيّة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قوله : واتّجر له فيها ، على بناء المفعول ، أي حصل له الربح فيها مائة دينار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الضمير في يعرفانه راجع إلى أبي موسى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326 ، ح 898 ، معلّقاً عن الكليني ، إلى قوله : « أثبتها في رأس مالي » </w:t>
      </w:r>
      <w:r w:rsidR="000C41B6">
        <w:rPr>
          <w:rFonts w:hint="cs"/>
          <w:rtl/>
          <w:lang w:bidi="fa-IR"/>
        </w:rPr>
        <w:t>.</w:t>
      </w:r>
      <w:r w:rsidR="00744A1C" w:rsidRPr="00C24F9C">
        <w:rPr>
          <w:rStyle w:val="libFootnoteBoldChar"/>
          <w:rtl/>
        </w:rPr>
        <w:t>الوافي</w:t>
      </w:r>
      <w:r w:rsidR="00744A1C">
        <w:rPr>
          <w:rtl/>
          <w:lang w:bidi="fa-IR"/>
        </w:rPr>
        <w:t xml:space="preserve"> ، ج 17 ، ص 34 ، ح 16816 ؛ </w:t>
      </w:r>
      <w:r w:rsidR="00744A1C" w:rsidRPr="00C24F9C">
        <w:rPr>
          <w:rStyle w:val="libFootnoteBoldChar"/>
          <w:rtl/>
        </w:rPr>
        <w:t>الوسائل</w:t>
      </w:r>
      <w:r w:rsidR="00744A1C">
        <w:rPr>
          <w:rtl/>
          <w:lang w:bidi="fa-IR"/>
        </w:rPr>
        <w:t xml:space="preserve"> ، ج 17 ، ص 43 ، ح 21936 ؛ </w:t>
      </w:r>
      <w:r w:rsidR="00744A1C" w:rsidRPr="0061079A">
        <w:rPr>
          <w:rStyle w:val="libFootnoteBoldChar"/>
          <w:rtl/>
        </w:rPr>
        <w:t>البحار</w:t>
      </w:r>
      <w:r w:rsidR="00744A1C">
        <w:rPr>
          <w:rtl/>
          <w:lang w:bidi="fa-IR"/>
        </w:rPr>
        <w:t xml:space="preserve"> ، ج 47 ، ص 56 ، ح 100.</w:t>
      </w:r>
    </w:p>
    <w:p w:rsidR="00744A1C" w:rsidRDefault="00E378DD" w:rsidP="00E378DD">
      <w:pPr>
        <w:pStyle w:val="libFootnote0"/>
        <w:rPr>
          <w:lang w:bidi="fa-IR"/>
        </w:rPr>
      </w:pPr>
      <w:r>
        <w:rPr>
          <w:rtl/>
          <w:lang w:bidi="fa-IR"/>
        </w:rPr>
        <w:t>(7).</w:t>
      </w:r>
      <w:r w:rsidR="00744A1C">
        <w:rPr>
          <w:rtl/>
          <w:lang w:bidi="fa-IR"/>
        </w:rPr>
        <w:t xml:space="preserve"> في </w:t>
      </w:r>
      <w:r w:rsidR="00744A1C" w:rsidRPr="000C41B6">
        <w:rPr>
          <w:rtl/>
        </w:rPr>
        <w:t>الوسائل</w:t>
      </w:r>
      <w:r w:rsidR="00744A1C">
        <w:rPr>
          <w:rtl/>
          <w:lang w:bidi="fa-IR"/>
        </w:rPr>
        <w:t xml:space="preserve"> : « القاسم بن سليم ». والقاسم هذا ، هو القاسم بن سليمان البغدادي ، له كتاب رواه النضر بن‌سويد. راجع : </w:t>
      </w:r>
      <w:r w:rsidR="00744A1C" w:rsidRPr="003A7143">
        <w:rPr>
          <w:rStyle w:val="libFootnoteBoldChar"/>
          <w:rtl/>
        </w:rPr>
        <w:t>رجال النجاشي</w:t>
      </w:r>
      <w:r w:rsidR="00744A1C">
        <w:rPr>
          <w:rtl/>
          <w:lang w:bidi="fa-IR"/>
        </w:rPr>
        <w:t xml:space="preserve"> ، ص 314 ، الرقم 858 ؛ </w:t>
      </w:r>
      <w:r w:rsidR="00744A1C" w:rsidRPr="0061079A">
        <w:rPr>
          <w:rStyle w:val="libFootnoteBoldChar"/>
          <w:rtl/>
        </w:rPr>
        <w:t>معجم رجال الحديث</w:t>
      </w:r>
      <w:r w:rsidR="00744A1C">
        <w:rPr>
          <w:rtl/>
          <w:lang w:bidi="fa-IR"/>
        </w:rPr>
        <w:t xml:space="preserve"> ، ج 19 ، ص 384 - 385.</w:t>
      </w:r>
    </w:p>
    <w:p w:rsidR="00744A1C" w:rsidRDefault="00E378DD" w:rsidP="00E378DD">
      <w:pPr>
        <w:pStyle w:val="libFootnote0"/>
        <w:rPr>
          <w:lang w:bidi="fa-IR"/>
        </w:rPr>
      </w:pPr>
      <w:r>
        <w:rPr>
          <w:rtl/>
          <w:lang w:bidi="fa-IR"/>
        </w:rPr>
        <w:t>(8).</w:t>
      </w:r>
      <w:r w:rsidR="00744A1C">
        <w:rPr>
          <w:rtl/>
          <w:lang w:bidi="fa-IR"/>
        </w:rPr>
        <w:t xml:space="preserve"> الإزار : معروف ، وقد يفسّر بالملحفة ، وهي كلّ ما يُلْتَحَفُ به ، أي يُتَغَطّى ، أو كلّ ما واراك وسترك. راجع : </w:t>
      </w:r>
      <w:r w:rsidR="00744A1C" w:rsidRPr="00877682">
        <w:rPr>
          <w:rStyle w:val="libFootnoteBoldChar"/>
          <w:rtl/>
        </w:rPr>
        <w:t>لسان العرب</w:t>
      </w:r>
      <w:r w:rsidR="00744A1C">
        <w:rPr>
          <w:rtl/>
          <w:lang w:bidi="fa-IR"/>
        </w:rPr>
        <w:t xml:space="preserve"> ، ج 4 ، ص 16 و 17 ( أزر ).</w:t>
      </w:r>
    </w:p>
    <w:p w:rsidR="00744A1C" w:rsidRDefault="00E378DD" w:rsidP="00E378DD">
      <w:pPr>
        <w:pStyle w:val="libFootnote0"/>
        <w:rPr>
          <w:lang w:bidi="fa-IR"/>
        </w:rPr>
      </w:pPr>
      <w:r>
        <w:rPr>
          <w:rtl/>
          <w:lang w:bidi="fa-IR"/>
        </w:rPr>
        <w:t>(9).</w:t>
      </w:r>
      <w:r w:rsidR="00744A1C">
        <w:rPr>
          <w:rtl/>
          <w:lang w:bidi="fa-IR"/>
        </w:rPr>
        <w:t xml:space="preserve"> في « بف » : « ينصابّ ».</w:t>
      </w:r>
    </w:p>
    <w:p w:rsidR="00744A1C" w:rsidRDefault="00E378DD" w:rsidP="00E378DD">
      <w:pPr>
        <w:pStyle w:val="libFootnote0"/>
        <w:rPr>
          <w:lang w:bidi="fa-IR"/>
        </w:rPr>
      </w:pPr>
      <w:r>
        <w:rPr>
          <w:rtl/>
          <w:lang w:bidi="fa-IR"/>
        </w:rPr>
        <w:t>(10).</w:t>
      </w:r>
      <w:r w:rsidR="00744A1C">
        <w:rPr>
          <w:rtl/>
          <w:lang w:bidi="fa-IR"/>
        </w:rPr>
        <w:t xml:space="preserve"> في « بخ ، بف » وحاشية « بح ، جت » و</w:t>
      </w:r>
      <w:r w:rsidR="00744A1C" w:rsidRPr="00C24F9C">
        <w:rPr>
          <w:rStyle w:val="libFootnoteBoldChar"/>
          <w:rtl/>
        </w:rPr>
        <w:t>الوافي</w:t>
      </w:r>
      <w:r w:rsidR="00744A1C">
        <w:rPr>
          <w:rtl/>
          <w:lang w:bidi="fa-IR"/>
        </w:rPr>
        <w:t xml:space="preserve"> : « منه على » بدل « عن ».</w:t>
      </w:r>
    </w:p>
    <w:tbl>
      <w:tblPr>
        <w:tblStyle w:val="TableGrid"/>
        <w:bidiVisual/>
        <w:tblW w:w="0" w:type="auto"/>
        <w:tblLook w:val="04A0" w:firstRow="1" w:lastRow="0" w:firstColumn="1" w:lastColumn="0" w:noHBand="0" w:noVBand="1"/>
      </w:tblPr>
      <w:tblGrid>
        <w:gridCol w:w="4006"/>
        <w:gridCol w:w="4006"/>
      </w:tblGrid>
      <w:tr w:rsidR="000C41B6" w:rsidTr="000C41B6">
        <w:tc>
          <w:tcPr>
            <w:tcW w:w="4006" w:type="dxa"/>
          </w:tcPr>
          <w:p w:rsidR="000C41B6" w:rsidRDefault="000C41B6" w:rsidP="00E378DD">
            <w:pPr>
              <w:pStyle w:val="libFootnote0"/>
              <w:rPr>
                <w:rtl/>
                <w:lang w:bidi="fa-IR"/>
              </w:rPr>
            </w:pPr>
            <w:r>
              <w:rPr>
                <w:rtl/>
                <w:lang w:bidi="fa-IR"/>
              </w:rPr>
              <w:t>(11). في « بخ ، بف » : « أكفيك ».</w:t>
            </w:r>
          </w:p>
        </w:tc>
        <w:tc>
          <w:tcPr>
            <w:tcW w:w="4006" w:type="dxa"/>
          </w:tcPr>
          <w:p w:rsidR="000C41B6" w:rsidRDefault="000C41B6" w:rsidP="00E378DD">
            <w:pPr>
              <w:pStyle w:val="libFootnote0"/>
              <w:rPr>
                <w:rtl/>
                <w:lang w:bidi="fa-IR"/>
              </w:rPr>
            </w:pPr>
            <w:r>
              <w:rPr>
                <w:rtl/>
                <w:lang w:bidi="fa-IR"/>
              </w:rPr>
              <w:t>(12). في « بح ، بخ ، بف » و</w:t>
            </w:r>
            <w:r w:rsidRPr="00C24F9C">
              <w:rPr>
                <w:rStyle w:val="libFootnoteBoldChar"/>
                <w:rtl/>
              </w:rPr>
              <w:t>الوافي</w:t>
            </w:r>
            <w:r>
              <w:rPr>
                <w:rtl/>
                <w:lang w:bidi="fa-IR"/>
              </w:rPr>
              <w:t xml:space="preserve"> : - « لي ».</w:t>
            </w:r>
          </w:p>
        </w:tc>
      </w:tr>
    </w:tbl>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الوافي</w:t>
      </w:r>
      <w:r w:rsidR="00744A1C">
        <w:rPr>
          <w:rtl/>
          <w:lang w:bidi="fa-IR"/>
        </w:rPr>
        <w:t xml:space="preserve"> ، ج 17 ، ص 35 ، ح 16817 ؛ </w:t>
      </w:r>
      <w:r w:rsidR="00744A1C" w:rsidRPr="00C24F9C">
        <w:rPr>
          <w:rStyle w:val="libFootnoteBoldChar"/>
          <w:rtl/>
        </w:rPr>
        <w:t>الوسائل</w:t>
      </w:r>
      <w:r w:rsidR="00744A1C">
        <w:rPr>
          <w:rtl/>
          <w:lang w:bidi="fa-IR"/>
        </w:rPr>
        <w:t xml:space="preserve"> ، ج 17 ، ص 39 ، ح 21924 ؛ </w:t>
      </w:r>
      <w:r w:rsidR="00744A1C" w:rsidRPr="0061079A">
        <w:rPr>
          <w:rStyle w:val="libFootnoteBoldChar"/>
          <w:rtl/>
        </w:rPr>
        <w:t>البحار</w:t>
      </w:r>
      <w:r w:rsidR="00744A1C">
        <w:rPr>
          <w:rtl/>
          <w:lang w:bidi="fa-IR"/>
        </w:rPr>
        <w:t xml:space="preserve"> ، ج 47 ، ص 57 ، ح 101.</w:t>
      </w:r>
    </w:p>
    <w:p w:rsidR="006A5060" w:rsidRDefault="006A5060" w:rsidP="00D10E3C">
      <w:pPr>
        <w:pStyle w:val="libNormal"/>
        <w:rPr>
          <w:rtl/>
          <w:lang w:bidi="fa-IR"/>
        </w:rPr>
      </w:pPr>
      <w:r>
        <w:rPr>
          <w:rtl/>
          <w:lang w:bidi="fa-IR"/>
        </w:rPr>
        <w:br w:type="page"/>
      </w:r>
    </w:p>
    <w:p w:rsidR="00144FA6" w:rsidRDefault="00744A1C" w:rsidP="000C41B6">
      <w:pPr>
        <w:pStyle w:val="libNormal0"/>
        <w:rPr>
          <w:rtl/>
          <w:lang w:bidi="fa-IR"/>
        </w:rPr>
      </w:pPr>
      <w:r>
        <w:rPr>
          <w:rtl/>
          <w:lang w:bidi="fa-IR"/>
        </w:rPr>
        <w:t xml:space="preserve">زُرَارَةَ </w:t>
      </w:r>
      <w:r w:rsidRPr="00D10E3C">
        <w:rPr>
          <w:rStyle w:val="libFootnotenumChar"/>
          <w:rtl/>
        </w:rPr>
        <w:t>(1)</w:t>
      </w:r>
      <w:r>
        <w:rPr>
          <w:rtl/>
          <w:lang w:bidi="fa-IR"/>
        </w:rPr>
        <w:t xml:space="preserve"> :</w:t>
      </w:r>
    </w:p>
    <w:p w:rsidR="00744A1C" w:rsidRDefault="00744A1C" w:rsidP="00744A1C">
      <w:pPr>
        <w:pStyle w:val="libNormal"/>
        <w:rPr>
          <w:lang w:bidi="fa-IR"/>
        </w:rPr>
      </w:pPr>
      <w:r>
        <w:rPr>
          <w:rtl/>
          <w:lang w:bidi="fa-IR"/>
        </w:rPr>
        <w:t xml:space="preserve">أَنَّ رَجُلاً أَتى أَبَا عَبْدِ اللهِ </w:t>
      </w:r>
      <w:r w:rsidR="0061079A" w:rsidRPr="0061079A">
        <w:rPr>
          <w:rStyle w:val="libAlaemChar"/>
          <w:rtl/>
        </w:rPr>
        <w:t>عليه‌السلام</w:t>
      </w:r>
      <w:r w:rsidR="00D10E3C">
        <w:rPr>
          <w:rtl/>
          <w:lang w:bidi="fa-IR"/>
        </w:rPr>
        <w:t xml:space="preserve"> </w:t>
      </w:r>
      <w:r>
        <w:rPr>
          <w:rtl/>
          <w:lang w:bidi="fa-IR"/>
        </w:rPr>
        <w:t xml:space="preserve">، فَقَالَ : إِنِّي </w:t>
      </w:r>
      <w:r w:rsidRPr="00D10E3C">
        <w:rPr>
          <w:rStyle w:val="libFootnotenumChar"/>
          <w:rtl/>
        </w:rPr>
        <w:t>(2)</w:t>
      </w:r>
      <w:r>
        <w:rPr>
          <w:rtl/>
          <w:lang w:bidi="fa-IR"/>
        </w:rPr>
        <w:t xml:space="preserve"> لَا أُحْسِنُ أَنْ </w:t>
      </w:r>
      <w:r w:rsidRPr="00D10E3C">
        <w:rPr>
          <w:rStyle w:val="libFootnotenumChar"/>
          <w:rtl/>
        </w:rPr>
        <w:t>(3)</w:t>
      </w:r>
      <w:r>
        <w:rPr>
          <w:rtl/>
          <w:lang w:bidi="fa-IR"/>
        </w:rPr>
        <w:t xml:space="preserve"> أَعْمَلَ عَمَلاً </w:t>
      </w:r>
      <w:r w:rsidRPr="00D10E3C">
        <w:rPr>
          <w:rStyle w:val="libFootnotenumChar"/>
          <w:rtl/>
        </w:rPr>
        <w:t>(4)</w:t>
      </w:r>
      <w:r>
        <w:rPr>
          <w:rtl/>
          <w:lang w:bidi="fa-IR"/>
        </w:rPr>
        <w:t xml:space="preserve"> بِيَدِي ، وَ </w:t>
      </w:r>
      <w:r w:rsidRPr="00D10E3C">
        <w:rPr>
          <w:rStyle w:val="libFootnotenumChar"/>
          <w:rtl/>
        </w:rPr>
        <w:t>(5)</w:t>
      </w:r>
      <w:r>
        <w:rPr>
          <w:rtl/>
          <w:lang w:bidi="fa-IR"/>
        </w:rPr>
        <w:t xml:space="preserve"> لَا‌ أُحْسِنُ أَنْ أَتَّجِرَ ، وَأَنَا مُحَارَفٌ </w:t>
      </w:r>
      <w:r w:rsidRPr="00D10E3C">
        <w:rPr>
          <w:rStyle w:val="libFootnotenumChar"/>
          <w:rtl/>
        </w:rPr>
        <w:t>(6)</w:t>
      </w:r>
      <w:r>
        <w:rPr>
          <w:rtl/>
          <w:lang w:bidi="fa-IR"/>
        </w:rPr>
        <w:t xml:space="preserve"> مُحْتَاجٌ.</w:t>
      </w:r>
    </w:p>
    <w:p w:rsidR="00144FA6" w:rsidRDefault="00744A1C" w:rsidP="00744A1C">
      <w:pPr>
        <w:pStyle w:val="libNormal"/>
        <w:rPr>
          <w:rtl/>
          <w:lang w:bidi="fa-IR"/>
        </w:rPr>
      </w:pPr>
      <w:r>
        <w:rPr>
          <w:rtl/>
          <w:lang w:bidi="fa-IR"/>
        </w:rPr>
        <w:t xml:space="preserve">فَقَالَ : « اعْمَلْ </w:t>
      </w:r>
      <w:r w:rsidRPr="00D10E3C">
        <w:rPr>
          <w:rStyle w:val="libFootnotenumChar"/>
          <w:rtl/>
        </w:rPr>
        <w:t>(7)</w:t>
      </w:r>
      <w:r>
        <w:rPr>
          <w:rtl/>
          <w:lang w:bidi="fa-IR"/>
        </w:rPr>
        <w:t xml:space="preserve"> ، فَاحْمِلْ </w:t>
      </w:r>
      <w:r w:rsidRPr="00D10E3C">
        <w:rPr>
          <w:rStyle w:val="libFootnotenumChar"/>
          <w:rtl/>
        </w:rPr>
        <w:t>(8)</w:t>
      </w:r>
      <w:r>
        <w:rPr>
          <w:rtl/>
          <w:lang w:bidi="fa-IR"/>
        </w:rPr>
        <w:t xml:space="preserve"> عَلى رَأْسِكَ </w:t>
      </w:r>
      <w:r w:rsidRPr="00D10E3C">
        <w:rPr>
          <w:rStyle w:val="libFootnotenumChar"/>
          <w:rtl/>
        </w:rPr>
        <w:t>(9)</w:t>
      </w:r>
      <w:r>
        <w:rPr>
          <w:rtl/>
          <w:lang w:bidi="fa-IR"/>
        </w:rPr>
        <w:t xml:space="preserve"> ، وَاسْتَغْنِ عَنِ النَّاسِ ؛ فَإِنَّ رَسُولَ اللهِ </w:t>
      </w:r>
      <w:r w:rsidR="0017097C" w:rsidRPr="0017097C">
        <w:rPr>
          <w:rStyle w:val="libAlaemChar"/>
          <w:rtl/>
        </w:rPr>
        <w:t>صلى‌الله‌عليه‌وآله</w:t>
      </w:r>
      <w:r w:rsidR="00D10E3C">
        <w:rPr>
          <w:rtl/>
          <w:lang w:bidi="fa-IR"/>
        </w:rPr>
        <w:t xml:space="preserve"> </w:t>
      </w:r>
      <w:r>
        <w:rPr>
          <w:rtl/>
          <w:lang w:bidi="fa-IR"/>
        </w:rPr>
        <w:t xml:space="preserve">قَدْ حَمَلَ حَجَراً عَلى عَاتِقِهِ </w:t>
      </w:r>
      <w:r w:rsidRPr="00D10E3C">
        <w:rPr>
          <w:rStyle w:val="libFootnotenumChar"/>
          <w:rtl/>
        </w:rPr>
        <w:t>(10)</w:t>
      </w:r>
      <w:r>
        <w:rPr>
          <w:rtl/>
          <w:lang w:bidi="fa-IR"/>
        </w:rPr>
        <w:t xml:space="preserve"> ، فَوَضَعَهُ فِي حَائِطٍ لَهُ </w:t>
      </w:r>
      <w:r w:rsidRPr="00D10E3C">
        <w:rPr>
          <w:rStyle w:val="libFootnotenumChar"/>
          <w:rtl/>
        </w:rPr>
        <w:t>(11)</w:t>
      </w:r>
      <w:r>
        <w:rPr>
          <w:rtl/>
          <w:lang w:bidi="fa-IR"/>
        </w:rPr>
        <w:t xml:space="preserve"> مِنْ حِيطَانِهِ ، وَإِنَّ الْحَجَرَ لَفِي مَكَانِهِ ، وَلَا يُدْرى </w:t>
      </w:r>
      <w:r w:rsidRPr="00D10E3C">
        <w:rPr>
          <w:rStyle w:val="libFootnotenumChar"/>
          <w:rtl/>
        </w:rPr>
        <w:t>(12)</w:t>
      </w:r>
      <w:r w:rsidR="000C41B6">
        <w:rPr>
          <w:rtl/>
          <w:lang w:bidi="fa-IR"/>
        </w:rPr>
        <w:t xml:space="preserve"> كَمْ عُمْقُهُ إِل</w:t>
      </w:r>
      <w:r w:rsidR="000C41B6">
        <w:rPr>
          <w:rFonts w:hint="cs"/>
          <w:rtl/>
          <w:lang w:bidi="fa-IR"/>
        </w:rPr>
        <w:t>َّ</w:t>
      </w:r>
      <w:r w:rsidR="000C41B6">
        <w:rPr>
          <w:rtl/>
          <w:lang w:bidi="fa-IR"/>
        </w:rPr>
        <w:t>ا</w:t>
      </w:r>
      <w:r>
        <w:rPr>
          <w:rtl/>
          <w:lang w:bidi="fa-IR"/>
        </w:rPr>
        <w:t xml:space="preserve"> أَنَّهُ ثَمَّ </w:t>
      </w:r>
      <w:r w:rsidRPr="00D10E3C">
        <w:rPr>
          <w:rStyle w:val="libFootnotenumChar"/>
          <w:rtl/>
        </w:rPr>
        <w:t>(13)</w:t>
      </w:r>
      <w:r>
        <w:rPr>
          <w:rtl/>
          <w:lang w:bidi="fa-IR"/>
        </w:rPr>
        <w:t xml:space="preserve"> ». </w:t>
      </w:r>
      <w:r w:rsidRPr="00D10E3C">
        <w:rPr>
          <w:rStyle w:val="libFootnotenumChar"/>
          <w:rtl/>
        </w:rPr>
        <w:t>(14)</w:t>
      </w:r>
    </w:p>
    <w:p w:rsidR="00144FA6" w:rsidRDefault="00744A1C" w:rsidP="00744A1C">
      <w:pPr>
        <w:pStyle w:val="libNormal"/>
        <w:rPr>
          <w:rtl/>
          <w:lang w:bidi="fa-IR"/>
        </w:rPr>
      </w:pPr>
      <w:r>
        <w:rPr>
          <w:rtl/>
          <w:lang w:bidi="fa-IR"/>
        </w:rPr>
        <w:t>8385 / 15. عِدَّةٌ مِنْ أَصْحَابِنَا ، عَنْ أَحْمَدَ بْنِ مُحَمَّدِ بْنِ عِيسى ، عَنِ الْحُسَيْنِ بْنِ سَعِيدٍ ، عَنِ الْقَاسِمِ بْنِ مُحَمَّدٍ ، عَنْ عَلِيِّ بْنِ أَبِي حَمْزَةَ ، عَنْ أَبِي بَصِيرٍ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إِنِّي لَأَعْمَلُ فِي بَعْضِ ضِيَاعِي </w:t>
      </w:r>
      <w:r w:rsidRPr="00D10E3C">
        <w:rPr>
          <w:rStyle w:val="libFootnotenumChar"/>
          <w:rtl/>
        </w:rPr>
        <w:t>(15)</w:t>
      </w:r>
      <w:r>
        <w:rPr>
          <w:rtl/>
          <w:lang w:bidi="fa-IR"/>
        </w:rPr>
        <w:t xml:space="preserve"> حَتّى أَعْرَقَ ، وَإِنَّ لِي‌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النسخ التي قوبلت </w:t>
      </w:r>
      <w:r w:rsidR="00744A1C" w:rsidRPr="000C41B6">
        <w:rPr>
          <w:rtl/>
        </w:rPr>
        <w:t>والوسائل. وفي</w:t>
      </w:r>
      <w:r w:rsidR="00744A1C">
        <w:rPr>
          <w:rtl/>
          <w:lang w:bidi="fa-IR"/>
        </w:rPr>
        <w:t xml:space="preserve"> المطبوع </w:t>
      </w:r>
      <w:r w:rsidR="00744A1C" w:rsidRPr="000C41B6">
        <w:rPr>
          <w:rtl/>
        </w:rPr>
        <w:t>والوافي :</w:t>
      </w:r>
      <w:r w:rsidR="00744A1C">
        <w:rPr>
          <w:rtl/>
          <w:lang w:bidi="fa-IR"/>
        </w:rPr>
        <w:t xml:space="preserve"> + « قال ».</w:t>
      </w:r>
    </w:p>
    <w:p w:rsidR="00744A1C" w:rsidRDefault="00E378DD" w:rsidP="00E378DD">
      <w:pPr>
        <w:pStyle w:val="libFootnote0"/>
        <w:rPr>
          <w:lang w:bidi="fa-IR"/>
        </w:rPr>
      </w:pPr>
      <w:r>
        <w:rPr>
          <w:rtl/>
          <w:lang w:bidi="fa-IR"/>
        </w:rPr>
        <w:t>(2).</w:t>
      </w:r>
      <w:r w:rsidR="00744A1C">
        <w:rPr>
          <w:rtl/>
          <w:lang w:bidi="fa-IR"/>
        </w:rPr>
        <w:t xml:space="preserve"> في « بخ ، بف » : « إنّني ».</w:t>
      </w:r>
    </w:p>
    <w:p w:rsidR="00744A1C" w:rsidRDefault="00E378DD" w:rsidP="00E378DD">
      <w:pPr>
        <w:pStyle w:val="libFootnote0"/>
        <w:rPr>
          <w:lang w:bidi="fa-IR"/>
        </w:rPr>
      </w:pPr>
      <w:r>
        <w:rPr>
          <w:rtl/>
          <w:lang w:bidi="fa-IR"/>
        </w:rPr>
        <w:t>(3).</w:t>
      </w:r>
      <w:r w:rsidR="00744A1C">
        <w:rPr>
          <w:rtl/>
          <w:lang w:bidi="fa-IR"/>
        </w:rPr>
        <w:t xml:space="preserve"> في « بخ ، بف » : - « أن ».</w:t>
      </w:r>
    </w:p>
    <w:p w:rsidR="00744A1C" w:rsidRDefault="00E378DD" w:rsidP="00E378DD">
      <w:pPr>
        <w:pStyle w:val="libFootnote0"/>
        <w:rPr>
          <w:lang w:bidi="fa-IR"/>
        </w:rPr>
      </w:pPr>
      <w:r>
        <w:rPr>
          <w:rtl/>
          <w:lang w:bidi="fa-IR"/>
        </w:rPr>
        <w:t>(4).</w:t>
      </w:r>
      <w:r w:rsidR="00744A1C">
        <w:rPr>
          <w:rtl/>
          <w:lang w:bidi="fa-IR"/>
        </w:rPr>
        <w:t xml:space="preserve"> في « بح » : - « عملاً ».</w:t>
      </w:r>
    </w:p>
    <w:p w:rsidR="00744A1C" w:rsidRDefault="00E378DD" w:rsidP="00E378DD">
      <w:pPr>
        <w:pStyle w:val="libFootnote0"/>
        <w:rPr>
          <w:lang w:bidi="fa-IR"/>
        </w:rPr>
      </w:pPr>
      <w:r>
        <w:rPr>
          <w:rtl/>
          <w:lang w:bidi="fa-IR"/>
        </w:rPr>
        <w:t>(5).</w:t>
      </w:r>
      <w:r w:rsidR="00744A1C">
        <w:rPr>
          <w:rtl/>
          <w:lang w:bidi="fa-IR"/>
        </w:rPr>
        <w:t xml:space="preserve"> في « ى » : - « لا ا</w:t>
      </w:r>
      <w:r w:rsidR="000C41B6">
        <w:rPr>
          <w:rFonts w:hint="cs"/>
          <w:rtl/>
          <w:lang w:bidi="fa-IR"/>
        </w:rPr>
        <w:t>ُ</w:t>
      </w:r>
      <w:r w:rsidR="00744A1C">
        <w:rPr>
          <w:rtl/>
          <w:lang w:bidi="fa-IR"/>
        </w:rPr>
        <w:t>حسن أن أعمل عملاً بيدي و».</w:t>
      </w:r>
    </w:p>
    <w:p w:rsidR="00744A1C" w:rsidRDefault="00E378DD" w:rsidP="000C41B6">
      <w:pPr>
        <w:pStyle w:val="libFootnote0"/>
        <w:rPr>
          <w:lang w:bidi="fa-IR"/>
        </w:rPr>
      </w:pPr>
      <w:r>
        <w:rPr>
          <w:rtl/>
          <w:lang w:bidi="fa-IR"/>
        </w:rPr>
        <w:t>(6).</w:t>
      </w:r>
      <w:r w:rsidR="00744A1C">
        <w:rPr>
          <w:rtl/>
          <w:lang w:bidi="fa-IR"/>
        </w:rPr>
        <w:t xml:space="preserve"> ال</w:t>
      </w:r>
      <w:r w:rsidR="000C41B6">
        <w:rPr>
          <w:rFonts w:hint="cs"/>
          <w:rtl/>
          <w:lang w:bidi="fa-IR"/>
        </w:rPr>
        <w:t>ـ</w:t>
      </w:r>
      <w:r w:rsidR="00744A1C">
        <w:rPr>
          <w:rtl/>
          <w:lang w:bidi="fa-IR"/>
        </w:rPr>
        <w:t xml:space="preserve">مُحارَف - بفتح الراء - : هو المحروم المجدود الذي إذا طلب لا يرزق ، أو يكون لا يسعى في الكسب. </w:t>
      </w:r>
      <w:r w:rsidR="00744A1C" w:rsidRPr="00877682">
        <w:rPr>
          <w:rStyle w:val="libFootnoteBoldChar"/>
          <w:rtl/>
        </w:rPr>
        <w:t>النهاية</w:t>
      </w:r>
      <w:r w:rsidR="00744A1C">
        <w:rPr>
          <w:rtl/>
          <w:lang w:bidi="fa-IR"/>
        </w:rPr>
        <w:t xml:space="preserve"> ، ج 1 ، ص 370 ( حرف ).</w:t>
      </w:r>
      <w:r w:rsidR="000C41B6">
        <w:rPr>
          <w:rFonts w:hint="cs"/>
          <w:rtl/>
          <w:lang w:bidi="fa-IR"/>
        </w:rPr>
        <w:t xml:space="preserve">                                     </w:t>
      </w:r>
      <w:r>
        <w:rPr>
          <w:rtl/>
          <w:lang w:bidi="fa-IR"/>
        </w:rPr>
        <w:t>(7).</w:t>
      </w:r>
      <w:r w:rsidR="00744A1C">
        <w:rPr>
          <w:rtl/>
          <w:lang w:bidi="fa-IR"/>
        </w:rPr>
        <w:t xml:space="preserve"> في « ى » : « احمل ».</w:t>
      </w:r>
    </w:p>
    <w:p w:rsidR="00744A1C" w:rsidRDefault="00E378DD" w:rsidP="00E378DD">
      <w:pPr>
        <w:pStyle w:val="libFootnote0"/>
        <w:rPr>
          <w:lang w:bidi="fa-IR"/>
        </w:rPr>
      </w:pPr>
      <w:r>
        <w:rPr>
          <w:rtl/>
          <w:lang w:bidi="fa-IR"/>
        </w:rPr>
        <w:t>(8).</w:t>
      </w:r>
      <w:r w:rsidR="00744A1C">
        <w:rPr>
          <w:rtl/>
          <w:lang w:bidi="fa-IR"/>
        </w:rPr>
        <w:t xml:space="preserve"> في « ط ، بخ ، بف » و</w:t>
      </w:r>
      <w:r w:rsidR="00744A1C" w:rsidRPr="00C24F9C">
        <w:rPr>
          <w:rStyle w:val="libFootnoteBoldChar"/>
          <w:rtl/>
        </w:rPr>
        <w:t>الوافي</w:t>
      </w:r>
      <w:r w:rsidR="00744A1C">
        <w:rPr>
          <w:rtl/>
          <w:lang w:bidi="fa-IR"/>
        </w:rPr>
        <w:t xml:space="preserve"> : « واحمل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فاحمل على رأسك ، أي احمل الأشياء للناس بالا</w:t>
      </w:r>
      <w:r w:rsidR="000C41B6">
        <w:rPr>
          <w:rFonts w:hint="cs"/>
          <w:rtl/>
          <w:lang w:bidi="fa-IR"/>
        </w:rPr>
        <w:t>ُ</w:t>
      </w:r>
      <w:r w:rsidR="00744A1C">
        <w:rPr>
          <w:rtl/>
          <w:lang w:bidi="fa-IR"/>
        </w:rPr>
        <w:t>جرة ».</w:t>
      </w:r>
    </w:p>
    <w:p w:rsidR="00744A1C" w:rsidRDefault="00E378DD" w:rsidP="00E378DD">
      <w:pPr>
        <w:pStyle w:val="libFootnote0"/>
        <w:rPr>
          <w:lang w:bidi="fa-IR"/>
        </w:rPr>
      </w:pPr>
      <w:r>
        <w:rPr>
          <w:rtl/>
          <w:lang w:bidi="fa-IR"/>
        </w:rPr>
        <w:t>(10).</w:t>
      </w:r>
      <w:r w:rsidR="00744A1C">
        <w:rPr>
          <w:rtl/>
          <w:lang w:bidi="fa-IR"/>
        </w:rPr>
        <w:t xml:space="preserve"> في « ى ، بح ، بس ، جد ، جن » وحاشية « جت » و</w:t>
      </w:r>
      <w:r w:rsidR="00744A1C" w:rsidRPr="00C24F9C">
        <w:rPr>
          <w:rStyle w:val="libFootnoteBoldChar"/>
          <w:rtl/>
        </w:rPr>
        <w:t>الوسائل</w:t>
      </w:r>
      <w:r w:rsidR="00744A1C">
        <w:rPr>
          <w:rtl/>
          <w:lang w:bidi="fa-IR"/>
        </w:rPr>
        <w:t xml:space="preserve"> : « عنقه ».</w:t>
      </w:r>
    </w:p>
    <w:p w:rsidR="00744A1C" w:rsidRDefault="00E378DD" w:rsidP="00E378DD">
      <w:pPr>
        <w:pStyle w:val="libFootnote0"/>
        <w:rPr>
          <w:lang w:bidi="fa-IR"/>
        </w:rPr>
      </w:pPr>
      <w:r>
        <w:rPr>
          <w:rtl/>
          <w:lang w:bidi="fa-IR"/>
        </w:rPr>
        <w:t>(11).</w:t>
      </w:r>
      <w:r w:rsidR="00744A1C">
        <w:rPr>
          <w:rtl/>
          <w:lang w:bidi="fa-IR"/>
        </w:rPr>
        <w:t xml:space="preserve"> في « بح ، جد » : - « له ». وفي « ط ، ى » : - « فوضعه في حائط له ».</w:t>
      </w:r>
    </w:p>
    <w:p w:rsidR="00744A1C" w:rsidRDefault="00E378DD" w:rsidP="00E378DD">
      <w:pPr>
        <w:pStyle w:val="libFootnote0"/>
        <w:rPr>
          <w:lang w:bidi="fa-IR"/>
        </w:rPr>
      </w:pPr>
      <w:r>
        <w:rPr>
          <w:rtl/>
          <w:lang w:bidi="fa-IR"/>
        </w:rPr>
        <w:t>(12).</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ولا يدرى ، أي كونه ثمّة إلى الآن يدلّ على كثرة عمقه ، فيدلّ على كبر الحجر ، فيؤيّد أنّ تحمّل المشاقّ للرزق حسن ».</w:t>
      </w:r>
    </w:p>
    <w:p w:rsidR="00744A1C" w:rsidRDefault="00E378DD" w:rsidP="00E378DD">
      <w:pPr>
        <w:pStyle w:val="libFootnote0"/>
        <w:rPr>
          <w:lang w:bidi="fa-IR"/>
        </w:rPr>
      </w:pPr>
      <w:r>
        <w:rPr>
          <w:rtl/>
          <w:lang w:bidi="fa-IR"/>
        </w:rPr>
        <w:t>(13).</w:t>
      </w:r>
      <w:r w:rsidR="00744A1C">
        <w:rPr>
          <w:rtl/>
          <w:lang w:bidi="fa-IR"/>
        </w:rPr>
        <w:t xml:space="preserve"> هكذا في جميع النسخ التي قوبلت و</w:t>
      </w:r>
      <w:r w:rsidR="00744A1C" w:rsidRPr="00C24F9C">
        <w:rPr>
          <w:rStyle w:val="libFootnoteBoldChar"/>
          <w:rtl/>
        </w:rPr>
        <w:t>الوسائل</w:t>
      </w:r>
      <w:r w:rsidR="00744A1C">
        <w:rPr>
          <w:rtl/>
          <w:lang w:bidi="fa-IR"/>
        </w:rPr>
        <w:t xml:space="preserve">. وفي المطبوع : + « [ بمعجزته ] ». وفي </w:t>
      </w:r>
      <w:r w:rsidR="00744A1C" w:rsidRPr="00C24F9C">
        <w:rPr>
          <w:rStyle w:val="libFootnoteBoldChar"/>
          <w:rtl/>
        </w:rPr>
        <w:t>الوافي</w:t>
      </w:r>
      <w:r w:rsidR="00744A1C">
        <w:rPr>
          <w:rtl/>
          <w:lang w:bidi="fa-IR"/>
        </w:rPr>
        <w:t xml:space="preserve"> : « ثمّة » بدل « ثمّ ».</w:t>
      </w:r>
    </w:p>
    <w:p w:rsidR="00744A1C" w:rsidRDefault="00E378DD" w:rsidP="00E378DD">
      <w:pPr>
        <w:pStyle w:val="libFootnote0"/>
        <w:rPr>
          <w:lang w:bidi="fa-IR"/>
        </w:rPr>
      </w:pPr>
      <w:r>
        <w:rPr>
          <w:rtl/>
          <w:lang w:bidi="fa-IR"/>
        </w:rPr>
        <w:t>(14).</w:t>
      </w:r>
      <w:r w:rsidR="00744A1C">
        <w:rPr>
          <w:rtl/>
          <w:lang w:bidi="fa-IR"/>
        </w:rPr>
        <w:t xml:space="preserve"> </w:t>
      </w:r>
      <w:r w:rsidR="00744A1C" w:rsidRPr="00C24F9C">
        <w:rPr>
          <w:rStyle w:val="libFootnoteBoldChar"/>
          <w:rtl/>
        </w:rPr>
        <w:t>الوافي</w:t>
      </w:r>
      <w:r w:rsidR="00744A1C">
        <w:rPr>
          <w:rtl/>
          <w:lang w:bidi="fa-IR"/>
        </w:rPr>
        <w:t xml:space="preserve"> ، ج 17 ، ص 35 ، ح 16818 ؛ </w:t>
      </w:r>
      <w:r w:rsidR="00744A1C" w:rsidRPr="00C24F9C">
        <w:rPr>
          <w:rStyle w:val="libFootnoteBoldChar"/>
          <w:rtl/>
        </w:rPr>
        <w:t>الوسائل</w:t>
      </w:r>
      <w:r w:rsidR="00744A1C">
        <w:rPr>
          <w:rtl/>
          <w:lang w:bidi="fa-IR"/>
        </w:rPr>
        <w:t xml:space="preserve"> ، ج 17 ، ص 38 ، ح 21922.</w:t>
      </w:r>
    </w:p>
    <w:p w:rsidR="00744A1C" w:rsidRDefault="00E378DD" w:rsidP="00E378DD">
      <w:pPr>
        <w:pStyle w:val="libFootnote0"/>
        <w:rPr>
          <w:lang w:bidi="fa-IR"/>
        </w:rPr>
      </w:pPr>
      <w:r>
        <w:rPr>
          <w:rtl/>
          <w:lang w:bidi="fa-IR"/>
        </w:rPr>
        <w:t>(15).</w:t>
      </w:r>
      <w:r w:rsidR="00744A1C">
        <w:rPr>
          <w:rtl/>
          <w:lang w:bidi="fa-IR"/>
        </w:rPr>
        <w:t xml:space="preserve"> الضِّياعُ ، جمع الضَّيْعَة ، وهي العقار ، أي النخل والكَرْم والأرض ، ما منه معاش الرجل كالصنعة والتجارة والزراعة وغير ذلك. راجع : </w:t>
      </w:r>
      <w:r w:rsidR="00744A1C" w:rsidRPr="008A57EB">
        <w:rPr>
          <w:rStyle w:val="libFootnoteBoldChar"/>
          <w:rtl/>
        </w:rPr>
        <w:t>القاموس المحيط</w:t>
      </w:r>
      <w:r w:rsidR="00744A1C">
        <w:rPr>
          <w:rtl/>
          <w:lang w:bidi="fa-IR"/>
        </w:rPr>
        <w:t xml:space="preserve"> ، ج 2 ، ص 996 ( ضيع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مَنْ يَكْفِينِي لِيَعْلَمَ اللهُ - عَزَّ وَجَلَّ - أَنِّي أَطْلُبُ الرِّزْقَ الْحَلَالَ ». </w:t>
      </w:r>
      <w:r w:rsidRPr="00D10E3C">
        <w:rPr>
          <w:rStyle w:val="libFootnotenumChar"/>
          <w:rtl/>
        </w:rPr>
        <w:t>(1)</w:t>
      </w:r>
    </w:p>
    <w:p w:rsidR="00144FA6" w:rsidRDefault="00744A1C" w:rsidP="00744A1C">
      <w:pPr>
        <w:pStyle w:val="libNormal"/>
        <w:rPr>
          <w:rtl/>
          <w:lang w:bidi="fa-IR"/>
        </w:rPr>
      </w:pPr>
      <w:r>
        <w:rPr>
          <w:rtl/>
          <w:lang w:bidi="fa-IR"/>
        </w:rPr>
        <w:t>8386 / 16. عَلِيُّ بْنُ مُحَمَّدٍ ، عَنْ أَحْمَدَ بْنِ أَبِي عَبْدِ اللهِ ، عَنْ مُحَمَّدِ بْنِ إِسْمَاعِيلَ ، عَنْ مُحَمَّدِ بْنِ عُذَافِرٍ ، عَنْ أَبِيهِ ، قَالَ :</w:t>
      </w:r>
    </w:p>
    <w:p w:rsidR="00744A1C" w:rsidRDefault="00744A1C" w:rsidP="00744A1C">
      <w:pPr>
        <w:pStyle w:val="libNormal"/>
        <w:rPr>
          <w:lang w:bidi="fa-IR"/>
        </w:rPr>
      </w:pPr>
      <w:r>
        <w:rPr>
          <w:rtl/>
          <w:lang w:bidi="fa-IR"/>
        </w:rPr>
        <w:t xml:space="preserve">دَفَعَ إِلَيَّ أَبُو عَبْدِ اللهِ </w:t>
      </w:r>
      <w:r w:rsidR="0061079A" w:rsidRPr="0061079A">
        <w:rPr>
          <w:rStyle w:val="libAlaemChar"/>
          <w:rtl/>
        </w:rPr>
        <w:t>عليه‌السلام</w:t>
      </w:r>
      <w:r w:rsidR="00D10E3C">
        <w:rPr>
          <w:rtl/>
          <w:lang w:bidi="fa-IR"/>
        </w:rPr>
        <w:t xml:space="preserve"> </w:t>
      </w:r>
      <w:r>
        <w:rPr>
          <w:rtl/>
          <w:lang w:bidi="fa-IR"/>
        </w:rPr>
        <w:t xml:space="preserve">سَبْعَمِائَةِ دِينَارٍ ، وَقَالَ </w:t>
      </w:r>
      <w:r w:rsidRPr="00D10E3C">
        <w:rPr>
          <w:rStyle w:val="libFootnotenumChar"/>
          <w:rtl/>
        </w:rPr>
        <w:t>(2)</w:t>
      </w:r>
      <w:r>
        <w:rPr>
          <w:rtl/>
          <w:lang w:bidi="fa-IR"/>
        </w:rPr>
        <w:t xml:space="preserve"> : « يَا عُذَافِرُ ، اصْرِفْهَا </w:t>
      </w:r>
      <w:r w:rsidRPr="00D10E3C">
        <w:rPr>
          <w:rStyle w:val="libFootnotenumChar"/>
          <w:rtl/>
        </w:rPr>
        <w:t>(3)</w:t>
      </w:r>
      <w:r>
        <w:rPr>
          <w:rtl/>
          <w:lang w:bidi="fa-IR"/>
        </w:rPr>
        <w:t xml:space="preserve"> فِي شَيْ‌ءٍ ، أَمَّا عَلى ذَاكَ </w:t>
      </w:r>
      <w:r w:rsidRPr="00D10E3C">
        <w:rPr>
          <w:rStyle w:val="libFootnotenumChar"/>
          <w:rtl/>
        </w:rPr>
        <w:t>(4)</w:t>
      </w:r>
      <w:r>
        <w:rPr>
          <w:rtl/>
          <w:lang w:bidi="fa-IR"/>
        </w:rPr>
        <w:t xml:space="preserve"> مَا </w:t>
      </w:r>
      <w:r w:rsidRPr="00D10E3C">
        <w:rPr>
          <w:rStyle w:val="libFootnotenumChar"/>
          <w:rtl/>
        </w:rPr>
        <w:t>(5)</w:t>
      </w:r>
      <w:r>
        <w:rPr>
          <w:rtl/>
          <w:lang w:bidi="fa-IR"/>
        </w:rPr>
        <w:t xml:space="preserve"> بِي </w:t>
      </w:r>
      <w:r w:rsidRPr="00D10E3C">
        <w:rPr>
          <w:rStyle w:val="libFootnotenumChar"/>
          <w:rtl/>
        </w:rPr>
        <w:t>(6)</w:t>
      </w:r>
      <w:r>
        <w:rPr>
          <w:rtl/>
          <w:lang w:bidi="fa-IR"/>
        </w:rPr>
        <w:t xml:space="preserve"> شَرَهٌ </w:t>
      </w:r>
      <w:r w:rsidRPr="00D10E3C">
        <w:rPr>
          <w:rStyle w:val="libFootnotenumChar"/>
          <w:rtl/>
        </w:rPr>
        <w:t>(7)</w:t>
      </w:r>
      <w:r>
        <w:rPr>
          <w:rtl/>
          <w:lang w:bidi="fa-IR"/>
        </w:rPr>
        <w:t xml:space="preserve"> ، وَلكِنْ </w:t>
      </w:r>
      <w:r w:rsidRPr="00D10E3C">
        <w:rPr>
          <w:rStyle w:val="libFootnotenumChar"/>
          <w:rtl/>
        </w:rPr>
        <w:t>(8)</w:t>
      </w:r>
      <w:r>
        <w:rPr>
          <w:rtl/>
          <w:lang w:bidi="fa-IR"/>
        </w:rPr>
        <w:t xml:space="preserve"> أَحْبَبْتُ أَنْ يَرَانِيَ اللهُ - عَزَّ وَجَل</w:t>
      </w:r>
      <w:r w:rsidR="0013596A">
        <w:rPr>
          <w:rtl/>
          <w:lang w:bidi="fa-IR"/>
        </w:rPr>
        <w:t>َّ - مُتَعَرِّضاً لِفَوَائِدِهِ</w:t>
      </w:r>
      <w:r>
        <w:rPr>
          <w:rtl/>
          <w:lang w:bidi="fa-IR"/>
        </w:rPr>
        <w:t>».</w:t>
      </w:r>
    </w:p>
    <w:p w:rsidR="00744A1C" w:rsidRDefault="00744A1C" w:rsidP="00744A1C">
      <w:pPr>
        <w:pStyle w:val="libNormal"/>
        <w:rPr>
          <w:lang w:bidi="fa-IR"/>
        </w:rPr>
      </w:pPr>
      <w:r>
        <w:rPr>
          <w:rtl/>
          <w:lang w:bidi="fa-IR"/>
        </w:rPr>
        <w:t xml:space="preserve">قَالَ عُذَافِرٌ : فَرَبِحْتُ فِيهَا مِائَةَ دِينَارٍ ، فَقُلْتُ لَهُ فِي الطَّوَافِ </w:t>
      </w:r>
      <w:r w:rsidRPr="00D10E3C">
        <w:rPr>
          <w:rStyle w:val="libFootnotenumChar"/>
          <w:rtl/>
        </w:rPr>
        <w:t>(9)</w:t>
      </w:r>
      <w:r>
        <w:rPr>
          <w:rtl/>
          <w:lang w:bidi="fa-IR"/>
        </w:rPr>
        <w:t xml:space="preserve"> : جُعِلْتُ فِدَاكَ قَدْ رَزَقَ اللهُ - عَزَّ وَجَلَّ - فِيهَا مِائَةَ دِينَارٍ.</w:t>
      </w:r>
    </w:p>
    <w:p w:rsidR="00144FA6" w:rsidRDefault="00744A1C" w:rsidP="00744A1C">
      <w:pPr>
        <w:pStyle w:val="libNormal"/>
        <w:rPr>
          <w:rtl/>
          <w:lang w:bidi="fa-IR"/>
        </w:rPr>
      </w:pPr>
      <w:r>
        <w:rPr>
          <w:rtl/>
          <w:lang w:bidi="fa-IR"/>
        </w:rPr>
        <w:t xml:space="preserve">فَقَالَ : « أَثْبِتْهَا فِي رَأْسِ مَالِي </w:t>
      </w:r>
      <w:r w:rsidRPr="00D10E3C">
        <w:rPr>
          <w:rStyle w:val="libFootnotenumChar"/>
          <w:rtl/>
        </w:rPr>
        <w:t>(10)</w:t>
      </w:r>
      <w:r>
        <w:rPr>
          <w:rtl/>
          <w:lang w:bidi="fa-IR"/>
        </w:rPr>
        <w:t xml:space="preserve"> ». </w:t>
      </w:r>
      <w:r w:rsidRPr="00D10E3C">
        <w:rPr>
          <w:rStyle w:val="libFootnotenumChar"/>
          <w:rtl/>
        </w:rPr>
        <w:t>(11)</w:t>
      </w:r>
    </w:p>
    <w:p w:rsidR="00744A1C" w:rsidRDefault="00744A1C" w:rsidP="000C41B6">
      <w:pPr>
        <w:pStyle w:val="Heading2Center"/>
        <w:rPr>
          <w:lang w:bidi="fa-IR"/>
        </w:rPr>
      </w:pPr>
      <w:bookmarkStart w:id="128" w:name="_Toc49261426"/>
      <w:r>
        <w:rPr>
          <w:rtl/>
          <w:lang w:bidi="fa-IR"/>
        </w:rPr>
        <w:t>5 - بَابُ الْحَثِّ عَلَى الطَّلَبِ وَالتَّعَرُّضِ لِلرِّزْقِ‌</w:t>
      </w:r>
      <w:bookmarkEnd w:id="128"/>
    </w:p>
    <w:p w:rsidR="00144FA6" w:rsidRDefault="00744A1C" w:rsidP="00744A1C">
      <w:pPr>
        <w:pStyle w:val="libNormal"/>
        <w:rPr>
          <w:rtl/>
          <w:lang w:bidi="fa-IR"/>
        </w:rPr>
      </w:pPr>
      <w:r>
        <w:rPr>
          <w:rtl/>
          <w:lang w:bidi="fa-IR"/>
        </w:rPr>
        <w:t>8387 / 1. مُحَمَّدُ بْنُ يَحْيى ، عَنْ أَحْمَدَ بْنِ مُحَمَّدٍ ، عَنِ ابْنِ فَضَّالٍ ، عَنِ ابْنِ بُكَيْرٍ ، عَنْ عُمَرَ بْنِ يَزِيدَ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الوافي</w:t>
      </w:r>
      <w:r w:rsidR="00744A1C">
        <w:rPr>
          <w:rtl/>
          <w:lang w:bidi="fa-IR"/>
        </w:rPr>
        <w:t xml:space="preserve"> ، ج 17 ، ص 35 ، ح 16819 ؛ </w:t>
      </w:r>
      <w:r w:rsidR="00744A1C" w:rsidRPr="00C24F9C">
        <w:rPr>
          <w:rStyle w:val="libFootnoteBoldChar"/>
          <w:rtl/>
        </w:rPr>
        <w:t>الوسائل</w:t>
      </w:r>
      <w:r w:rsidR="00744A1C">
        <w:rPr>
          <w:rtl/>
          <w:lang w:bidi="fa-IR"/>
        </w:rPr>
        <w:t xml:space="preserve"> ، ج 17 ، ص 39 ، ح 21925.</w:t>
      </w:r>
    </w:p>
    <w:tbl>
      <w:tblPr>
        <w:tblStyle w:val="TableGrid"/>
        <w:bidiVisual/>
        <w:tblW w:w="0" w:type="auto"/>
        <w:tblLook w:val="04A0" w:firstRow="1" w:lastRow="0" w:firstColumn="1" w:lastColumn="0" w:noHBand="0" w:noVBand="1"/>
      </w:tblPr>
      <w:tblGrid>
        <w:gridCol w:w="4006"/>
        <w:gridCol w:w="4006"/>
      </w:tblGrid>
      <w:tr w:rsidR="006C0BF2" w:rsidTr="006C0BF2">
        <w:tc>
          <w:tcPr>
            <w:tcW w:w="4006" w:type="dxa"/>
          </w:tcPr>
          <w:p w:rsidR="006C0BF2" w:rsidRDefault="006C0BF2" w:rsidP="00E378DD">
            <w:pPr>
              <w:pStyle w:val="libFootnote0"/>
              <w:rPr>
                <w:rtl/>
                <w:lang w:bidi="fa-IR"/>
              </w:rPr>
            </w:pPr>
            <w:r>
              <w:rPr>
                <w:rtl/>
                <w:lang w:bidi="fa-IR"/>
              </w:rPr>
              <w:t>(2). في « ى » : « فقال ».</w:t>
            </w:r>
          </w:p>
        </w:tc>
        <w:tc>
          <w:tcPr>
            <w:tcW w:w="4006" w:type="dxa"/>
          </w:tcPr>
          <w:p w:rsidR="006C0BF2" w:rsidRDefault="006C0BF2" w:rsidP="00E378DD">
            <w:pPr>
              <w:pStyle w:val="libFootnote0"/>
              <w:rPr>
                <w:rtl/>
                <w:lang w:bidi="fa-IR"/>
              </w:rPr>
            </w:pPr>
            <w:r>
              <w:rPr>
                <w:rtl/>
                <w:lang w:bidi="fa-IR"/>
              </w:rPr>
              <w:t>(3). في « جن » وحاشية « جت » : « اصرفه ».</w:t>
            </w:r>
          </w:p>
        </w:tc>
      </w:tr>
      <w:tr w:rsidR="006C0BF2" w:rsidTr="006C0BF2">
        <w:tc>
          <w:tcPr>
            <w:tcW w:w="4006" w:type="dxa"/>
          </w:tcPr>
          <w:p w:rsidR="006C0BF2" w:rsidRDefault="006C0BF2" w:rsidP="00E378DD">
            <w:pPr>
              <w:pStyle w:val="libFootnote0"/>
              <w:rPr>
                <w:rtl/>
                <w:lang w:bidi="fa-IR"/>
              </w:rPr>
            </w:pPr>
            <w:r>
              <w:rPr>
                <w:rtl/>
                <w:lang w:bidi="fa-IR"/>
              </w:rPr>
              <w:t>(4). في « ى ، بح » : « ذلك ».</w:t>
            </w:r>
          </w:p>
        </w:tc>
        <w:tc>
          <w:tcPr>
            <w:tcW w:w="4006" w:type="dxa"/>
          </w:tcPr>
          <w:p w:rsidR="006C0BF2" w:rsidRDefault="006C0BF2" w:rsidP="00E378DD">
            <w:pPr>
              <w:pStyle w:val="libFootnote0"/>
              <w:rPr>
                <w:rtl/>
                <w:lang w:bidi="fa-IR"/>
              </w:rPr>
            </w:pPr>
            <w:r>
              <w:rPr>
                <w:rtl/>
                <w:lang w:bidi="fa-IR"/>
              </w:rPr>
              <w:t>(5). في « بس » : - « ما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الفقيه</w:t>
      </w:r>
      <w:r w:rsidR="00744A1C">
        <w:rPr>
          <w:rtl/>
          <w:lang w:bidi="fa-IR"/>
        </w:rPr>
        <w:t xml:space="preserve"> : « ما ، وقال : « ما أفعل هذا على » بدل « أمّا على ذاك مابي ».</w:t>
      </w:r>
    </w:p>
    <w:p w:rsidR="00744A1C" w:rsidRDefault="00E378DD" w:rsidP="00E378DD">
      <w:pPr>
        <w:pStyle w:val="libFootnote0"/>
        <w:rPr>
          <w:lang w:bidi="fa-IR"/>
        </w:rPr>
      </w:pPr>
      <w:r>
        <w:rPr>
          <w:rtl/>
          <w:lang w:bidi="fa-IR"/>
        </w:rPr>
        <w:t>(7).</w:t>
      </w:r>
      <w:r w:rsidR="00744A1C">
        <w:rPr>
          <w:rtl/>
          <w:lang w:bidi="fa-IR"/>
        </w:rPr>
        <w:t xml:space="preserve"> في « بخ » </w:t>
      </w:r>
      <w:r w:rsidR="00744A1C" w:rsidRPr="006C0BF2">
        <w:rPr>
          <w:rtl/>
        </w:rPr>
        <w:t>والوافي</w:t>
      </w:r>
      <w:r w:rsidR="00744A1C">
        <w:rPr>
          <w:rtl/>
          <w:lang w:bidi="fa-IR"/>
        </w:rPr>
        <w:t xml:space="preserve"> : « ما بي شره على ذلك ». وفي « بف » : « ما بي شره على ذاك ». وفي حاشية « جت » : « وإمّا بي شره على ذلك » كلّها بدل « على ذلك ما بي شره ». وفي </w:t>
      </w:r>
      <w:r w:rsidR="00744A1C" w:rsidRPr="00C24F9C">
        <w:rPr>
          <w:rStyle w:val="libFootnoteBoldChar"/>
          <w:rtl/>
        </w:rPr>
        <w:t>الفقيه</w:t>
      </w:r>
      <w:r w:rsidR="00744A1C">
        <w:rPr>
          <w:rtl/>
          <w:lang w:bidi="fa-IR"/>
        </w:rPr>
        <w:t xml:space="preserve"> : + « منّي ». الشَّرَه : غلبة الحرص. </w:t>
      </w:r>
      <w:r w:rsidR="00744A1C" w:rsidRPr="00E978C3">
        <w:rPr>
          <w:rStyle w:val="libFootnoteBoldChar"/>
          <w:rtl/>
        </w:rPr>
        <w:t>الصحاح</w:t>
      </w:r>
      <w:r w:rsidR="00744A1C">
        <w:rPr>
          <w:rtl/>
          <w:lang w:bidi="fa-IR"/>
        </w:rPr>
        <w:t xml:space="preserve"> ، ج 6 ، ص 2237 ( شره ).</w:t>
      </w:r>
    </w:p>
    <w:p w:rsidR="00744A1C" w:rsidRDefault="00E378DD" w:rsidP="00E378DD">
      <w:pPr>
        <w:pStyle w:val="libFootnote0"/>
        <w:rPr>
          <w:lang w:bidi="fa-IR"/>
        </w:rPr>
      </w:pPr>
      <w:r>
        <w:rPr>
          <w:rtl/>
          <w:lang w:bidi="fa-IR"/>
        </w:rPr>
        <w:t>(8).</w:t>
      </w:r>
      <w:r w:rsidR="00744A1C">
        <w:rPr>
          <w:rtl/>
          <w:lang w:bidi="fa-IR"/>
        </w:rPr>
        <w:t xml:space="preserve"> في « ى ، بح ، جت ، جد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 « ولكنّي ». وفي « ط » : « ولكنّني ».</w:t>
      </w:r>
    </w:p>
    <w:p w:rsidR="00744A1C" w:rsidRDefault="00E378DD" w:rsidP="00E378DD">
      <w:pPr>
        <w:pStyle w:val="libFootnote0"/>
        <w:rPr>
          <w:lang w:bidi="fa-IR"/>
        </w:rPr>
      </w:pPr>
      <w:r>
        <w:rPr>
          <w:rtl/>
          <w:lang w:bidi="fa-IR"/>
        </w:rPr>
        <w:t>(9).</w:t>
      </w:r>
      <w:r w:rsidR="00744A1C">
        <w:rPr>
          <w:rtl/>
          <w:lang w:bidi="fa-IR"/>
        </w:rPr>
        <w:t xml:space="preserve"> في هامش المطبوع عن بعض النسخ : « في الطريق ».</w:t>
      </w:r>
    </w:p>
    <w:p w:rsidR="00744A1C" w:rsidRDefault="00E378DD" w:rsidP="00E378DD">
      <w:pPr>
        <w:pStyle w:val="libFootnote0"/>
        <w:rPr>
          <w:lang w:bidi="fa-IR"/>
        </w:rPr>
      </w:pPr>
      <w:r>
        <w:rPr>
          <w:rtl/>
          <w:lang w:bidi="fa-IR"/>
        </w:rPr>
        <w:t>(10).</w:t>
      </w:r>
      <w:r w:rsidR="00744A1C">
        <w:rPr>
          <w:rtl/>
          <w:lang w:bidi="fa-IR"/>
        </w:rPr>
        <w:t xml:space="preserve"> في « ط » : « المال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الفقيه</w:t>
      </w:r>
      <w:r w:rsidR="00744A1C">
        <w:rPr>
          <w:rtl/>
          <w:lang w:bidi="fa-IR"/>
        </w:rPr>
        <w:t xml:space="preserve"> ، ج 3 ، ص 158 ، ح 3581 ، معلّقاً عن محمّد بن عذافر ، مع اختلاف يسير </w:t>
      </w:r>
      <w:r w:rsidR="006C0BF2">
        <w:rPr>
          <w:rFonts w:hint="cs"/>
          <w:rtl/>
          <w:lang w:bidi="fa-IR"/>
        </w:rPr>
        <w:t>.</w:t>
      </w:r>
      <w:r w:rsidR="00744A1C" w:rsidRPr="00C24F9C">
        <w:rPr>
          <w:rStyle w:val="libFootnoteBoldChar"/>
          <w:rtl/>
        </w:rPr>
        <w:t>الوافي</w:t>
      </w:r>
      <w:r w:rsidR="00744A1C">
        <w:rPr>
          <w:rtl/>
          <w:lang w:bidi="fa-IR"/>
        </w:rPr>
        <w:t xml:space="preserve"> ، ج 17 ، ص 35 ، ح 16820 ؛ </w:t>
      </w:r>
      <w:r w:rsidR="00744A1C" w:rsidRPr="00C24F9C">
        <w:rPr>
          <w:rStyle w:val="libFootnoteBoldChar"/>
          <w:rtl/>
        </w:rPr>
        <w:t>الوسائل</w:t>
      </w:r>
      <w:r w:rsidR="00744A1C">
        <w:rPr>
          <w:rtl/>
          <w:lang w:bidi="fa-IR"/>
        </w:rPr>
        <w:t xml:space="preserve"> ، ج 17 ، ص 43 ، ح 21937.</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رَجُلٌ قَالَ : لَأَقْعُدَنَّ فِي بَيْتِي ، وَلَأُصَلِّيَنَّ ، وَلَأَصُومَنَّ ، وَلَأَعْبُدَنَّ رَبِّي ، فَأَمَّا </w:t>
      </w:r>
      <w:r w:rsidRPr="00D10E3C">
        <w:rPr>
          <w:rStyle w:val="libFootnotenumChar"/>
          <w:rtl/>
        </w:rPr>
        <w:t>(1)</w:t>
      </w:r>
      <w:r>
        <w:rPr>
          <w:rtl/>
          <w:lang w:bidi="fa-IR"/>
        </w:rPr>
        <w:t xml:space="preserve"> رِزْقِي فَسَيَأْتِينِي </w:t>
      </w:r>
      <w:r w:rsidRPr="00D10E3C">
        <w:rPr>
          <w:rStyle w:val="libFootnotenumChar"/>
          <w:rtl/>
        </w:rPr>
        <w:t>(2)</w:t>
      </w:r>
      <w:r w:rsidR="006C0BF2" w:rsidRPr="006C0BF2">
        <w:rPr>
          <w:rStyle w:val="libFootnote0Char"/>
          <w:rFonts w:hint="cs"/>
          <w:rtl/>
        </w:rPr>
        <w:t>.</w:t>
      </w:r>
    </w:p>
    <w:p w:rsidR="00144FA6" w:rsidRDefault="00744A1C" w:rsidP="00744A1C">
      <w:pPr>
        <w:pStyle w:val="libNormal"/>
        <w:rPr>
          <w:rtl/>
          <w:lang w:bidi="fa-IR"/>
        </w:rPr>
      </w:pPr>
      <w:r>
        <w:rPr>
          <w:rtl/>
          <w:lang w:bidi="fa-IR"/>
        </w:rPr>
        <w:t xml:space="preserve">فَقَالَ أَبُو عَبْدِ اللهِ </w:t>
      </w:r>
      <w:r w:rsidR="0061079A" w:rsidRPr="0061079A">
        <w:rPr>
          <w:rStyle w:val="libAlaemChar"/>
          <w:rtl/>
        </w:rPr>
        <w:t>عليه‌السلام</w:t>
      </w:r>
      <w:r w:rsidR="00D10E3C">
        <w:rPr>
          <w:rtl/>
          <w:lang w:bidi="fa-IR"/>
        </w:rPr>
        <w:t xml:space="preserve"> </w:t>
      </w:r>
      <w:r>
        <w:rPr>
          <w:rtl/>
          <w:lang w:bidi="fa-IR"/>
        </w:rPr>
        <w:t xml:space="preserve">: « هذَا أَحَدُ الثَّلَاثَةِ الَّذِينَ لَايُسْتَجَابُ لَهُمْ ». </w:t>
      </w:r>
      <w:r w:rsidRPr="00D10E3C">
        <w:rPr>
          <w:rStyle w:val="libFootnotenumChar"/>
          <w:rtl/>
        </w:rPr>
        <w:t>(3)</w:t>
      </w:r>
    </w:p>
    <w:p w:rsidR="00144FA6" w:rsidRDefault="00744A1C" w:rsidP="00744A1C">
      <w:pPr>
        <w:pStyle w:val="libNormal"/>
        <w:rPr>
          <w:rtl/>
          <w:lang w:bidi="fa-IR"/>
        </w:rPr>
      </w:pPr>
      <w:r>
        <w:rPr>
          <w:rtl/>
          <w:lang w:bidi="fa-IR"/>
        </w:rPr>
        <w:t xml:space="preserve">8388 / 2. عَلِيُّ بْنُ إِبْرَاهِيمَ ، عَنْ أَبِيهِ ، عَنِ ابْنِ أَبِي عُمَيْرٍ ، عَنِ الْحَسَنِ </w:t>
      </w:r>
      <w:r w:rsidRPr="00D10E3C">
        <w:rPr>
          <w:rStyle w:val="libFootnotenumChar"/>
          <w:rtl/>
        </w:rPr>
        <w:t>(4)</w:t>
      </w:r>
      <w:r>
        <w:rPr>
          <w:rtl/>
          <w:lang w:bidi="fa-IR"/>
        </w:rPr>
        <w:t xml:space="preserve"> بْنِ عَطِيَّةَ ، عَنْ‌ عُمَرَ بْنِ يَزِيدَ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أَرَأَيْتَ لَوْ أَنَّ رَجُلاً دَخَلَ بَيْتَهُ ، وَأَغْلَقَ </w:t>
      </w:r>
      <w:r w:rsidRPr="00D10E3C">
        <w:rPr>
          <w:rStyle w:val="libFootnotenumChar"/>
          <w:rtl/>
        </w:rPr>
        <w:t>(5)</w:t>
      </w:r>
      <w:r>
        <w:rPr>
          <w:rtl/>
          <w:lang w:bidi="fa-IR"/>
        </w:rPr>
        <w:t xml:space="preserve"> بَابَهُ ، أَكَانَ </w:t>
      </w:r>
      <w:r w:rsidRPr="00D10E3C">
        <w:rPr>
          <w:rStyle w:val="libFootnotenumChar"/>
          <w:rtl/>
        </w:rPr>
        <w:t>(6)</w:t>
      </w:r>
      <w:r>
        <w:rPr>
          <w:rtl/>
          <w:lang w:bidi="fa-IR"/>
        </w:rPr>
        <w:t xml:space="preserve"> يَسْقُطُ عَلَيْهِ شَيْ‌ءٌ مِنَ السَّمَاءِ؟ ». </w:t>
      </w:r>
      <w:r w:rsidRPr="00D10E3C">
        <w:rPr>
          <w:rStyle w:val="libFootnotenumChar"/>
          <w:rtl/>
        </w:rPr>
        <w:t>(7)</w:t>
      </w:r>
    </w:p>
    <w:p w:rsidR="00144FA6" w:rsidRDefault="00744A1C" w:rsidP="00744A1C">
      <w:pPr>
        <w:pStyle w:val="libNormal"/>
        <w:rPr>
          <w:rtl/>
          <w:lang w:bidi="fa-IR"/>
        </w:rPr>
      </w:pPr>
      <w:r>
        <w:rPr>
          <w:rtl/>
          <w:lang w:bidi="fa-IR"/>
        </w:rPr>
        <w:t>8389 / 3. مُحَمَّدُ بْنُ إِسْمَاعِيلَ ، عَنِ الْفَضْلِ بْنِ شَاذَانَ ، عَنِ ابْنِ أَبِي عُمَيْرٍ ، عَنْ إِبْرَاهِيمَ بْنِ عَبْدِ الْحَمِيدِ ، عَنْ أَيُّوبَ أَخِي أُدَيْمٍ بَيَّاعِ الْهَرَوِيِّ ، قَالَ :</w:t>
      </w:r>
    </w:p>
    <w:p w:rsidR="00744A1C" w:rsidRDefault="00744A1C" w:rsidP="00744A1C">
      <w:pPr>
        <w:pStyle w:val="libNormal"/>
        <w:rPr>
          <w:lang w:bidi="fa-IR"/>
        </w:rPr>
      </w:pPr>
      <w:r>
        <w:rPr>
          <w:rtl/>
          <w:lang w:bidi="fa-IR"/>
        </w:rPr>
        <w:t xml:space="preserve">كُنَّا جُلُوساً عِنْدَ أَبِي عَبْدِ اللهِ </w:t>
      </w:r>
      <w:r w:rsidR="0061079A" w:rsidRPr="0061079A">
        <w:rPr>
          <w:rStyle w:val="libAlaemChar"/>
          <w:rtl/>
        </w:rPr>
        <w:t>عليه‌السلام</w:t>
      </w:r>
      <w:r w:rsidR="00D10E3C">
        <w:rPr>
          <w:rtl/>
          <w:lang w:bidi="fa-IR"/>
        </w:rPr>
        <w:t xml:space="preserve"> </w:t>
      </w:r>
      <w:r>
        <w:rPr>
          <w:rtl/>
          <w:lang w:bidi="fa-IR"/>
        </w:rPr>
        <w:t xml:space="preserve">إِذْ أَقْبَلَ الْعَلَاءُ بْنُ كَامِلٍ ، فَجَلَسَ قُدَّامَ أَبِي عَبْدِ اللهِ </w:t>
      </w:r>
      <w:r w:rsidR="0061079A" w:rsidRPr="0061079A">
        <w:rPr>
          <w:rStyle w:val="libAlaemChar"/>
          <w:rtl/>
        </w:rPr>
        <w:t>عليه‌السلام</w:t>
      </w:r>
      <w:r w:rsidR="00D10E3C">
        <w:rPr>
          <w:rtl/>
          <w:lang w:bidi="fa-IR"/>
        </w:rPr>
        <w:t xml:space="preserve"> </w:t>
      </w:r>
      <w:r>
        <w:rPr>
          <w:rtl/>
          <w:lang w:bidi="fa-IR"/>
        </w:rPr>
        <w:t xml:space="preserve">، فَقَالَ : ادْعُ اللهَ أَنْ يَرْزُقَنِي فِي دَعَةٍ </w:t>
      </w:r>
      <w:r w:rsidRPr="00D10E3C">
        <w:rPr>
          <w:rStyle w:val="libFootnotenumChar"/>
          <w:rtl/>
        </w:rPr>
        <w:t>(8)</w:t>
      </w:r>
      <w:r w:rsidR="006C0BF2" w:rsidRPr="006C0BF2">
        <w:rPr>
          <w:rFonts w:hint="cs"/>
          <w:rtl/>
        </w:rPr>
        <w:t>.</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6C0BF2" w:rsidTr="006C0BF2">
        <w:tc>
          <w:tcPr>
            <w:tcW w:w="4006" w:type="dxa"/>
          </w:tcPr>
          <w:p w:rsidR="006C0BF2" w:rsidRDefault="006C0BF2" w:rsidP="00D10E3C">
            <w:pPr>
              <w:pStyle w:val="libFootnote0"/>
              <w:rPr>
                <w:rtl/>
                <w:lang w:bidi="fa-IR"/>
              </w:rPr>
            </w:pPr>
            <w:r>
              <w:rPr>
                <w:rtl/>
                <w:lang w:bidi="fa-IR"/>
              </w:rPr>
              <w:t>(1). في « ط » : « وأمّا ».</w:t>
            </w:r>
          </w:p>
        </w:tc>
        <w:tc>
          <w:tcPr>
            <w:tcW w:w="4006" w:type="dxa"/>
          </w:tcPr>
          <w:p w:rsidR="006C0BF2" w:rsidRDefault="006C0BF2" w:rsidP="00D10E3C">
            <w:pPr>
              <w:pStyle w:val="libFootnote0"/>
              <w:rPr>
                <w:rtl/>
                <w:lang w:bidi="fa-IR"/>
              </w:rPr>
            </w:pPr>
            <w:r>
              <w:rPr>
                <w:rtl/>
                <w:lang w:bidi="fa-IR"/>
              </w:rPr>
              <w:t>(2). في«ى،بح،جت»:«فيأتيني».وفي«بخ» :«فسيأتي».</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323 ، ح 887 ، معلّقاً عن أحمد بن محمّد بن عيسى ، عن ابن فضّال. راجع : </w:t>
      </w:r>
      <w:r w:rsidR="00744A1C" w:rsidRPr="0061079A">
        <w:rPr>
          <w:rStyle w:val="libFootnoteBoldChar"/>
          <w:rtl/>
        </w:rPr>
        <w:t>الكافي</w:t>
      </w:r>
      <w:r w:rsidR="00744A1C">
        <w:rPr>
          <w:rtl/>
          <w:lang w:bidi="fa-IR"/>
        </w:rPr>
        <w:t xml:space="preserve"> ، كتاب الدعاء ، باب من‌لا تستجاب دعوته ، ح 3248 و 3249 ؛ وفيه ، كتاب المعيشة ، باب دخول الصوفيّة على أبي عبد الله </w:t>
      </w:r>
      <w:r w:rsidR="0061079A" w:rsidRPr="0061079A">
        <w:rPr>
          <w:rStyle w:val="libFootnoteAlaemChar"/>
          <w:rtl/>
        </w:rPr>
        <w:t>عليه‌السلام</w:t>
      </w:r>
      <w:r w:rsidR="00D10E3C">
        <w:rPr>
          <w:rtl/>
          <w:lang w:bidi="fa-IR"/>
        </w:rPr>
        <w:t xml:space="preserve"> </w:t>
      </w:r>
      <w:r w:rsidR="00744A1C">
        <w:rPr>
          <w:rtl/>
          <w:lang w:bidi="fa-IR"/>
        </w:rPr>
        <w:t>واحتجاجهم عليه ... ، ضمن ح 8352 ؛ و</w:t>
      </w:r>
      <w:r w:rsidR="00744A1C" w:rsidRPr="00C24F9C">
        <w:rPr>
          <w:rStyle w:val="libFootnoteBoldChar"/>
          <w:rtl/>
        </w:rPr>
        <w:t>الفقيه</w:t>
      </w:r>
      <w:r w:rsidR="00744A1C">
        <w:rPr>
          <w:rtl/>
          <w:lang w:bidi="fa-IR"/>
        </w:rPr>
        <w:t xml:space="preserve"> ، ج 2 ، ص 69 ، ح 1747 ؛ والخصال ، ص 160 ، باب الثلاثة ، ح 208 ؛ و</w:t>
      </w:r>
      <w:r w:rsidR="00744A1C" w:rsidRPr="000B1C3F">
        <w:rPr>
          <w:rStyle w:val="libFootnoteBoldChar"/>
          <w:rtl/>
        </w:rPr>
        <w:t>الأمالي للطوسي</w:t>
      </w:r>
      <w:r w:rsidR="00744A1C">
        <w:rPr>
          <w:rtl/>
          <w:lang w:bidi="fa-IR"/>
        </w:rPr>
        <w:t xml:space="preserve"> ، ص 679 ، المجلس 37 ، ح 24 ؛ </w:t>
      </w:r>
      <w:r w:rsidR="00744A1C" w:rsidRPr="00610FB4">
        <w:rPr>
          <w:rStyle w:val="libFootnoteBoldChar"/>
          <w:rtl/>
        </w:rPr>
        <w:t>و</w:t>
      </w:r>
      <w:r w:rsidR="00744A1C" w:rsidRPr="007D61A8">
        <w:rPr>
          <w:rStyle w:val="libFootnoteBoldChar"/>
          <w:rtl/>
        </w:rPr>
        <w:t>تحف العقول</w:t>
      </w:r>
      <w:r w:rsidR="00744A1C">
        <w:rPr>
          <w:rtl/>
          <w:lang w:bidi="fa-IR"/>
        </w:rPr>
        <w:t xml:space="preserve"> ، ص 351 </w:t>
      </w:r>
      <w:r w:rsidR="006C0BF2">
        <w:rPr>
          <w:rFonts w:hint="cs"/>
          <w:rtl/>
          <w:lang w:bidi="fa-IR"/>
        </w:rPr>
        <w:t>.</w:t>
      </w:r>
      <w:r w:rsidR="00744A1C" w:rsidRPr="00C24F9C">
        <w:rPr>
          <w:rStyle w:val="libFootnoteBoldChar"/>
          <w:rtl/>
        </w:rPr>
        <w:t>الوافي</w:t>
      </w:r>
      <w:r w:rsidR="00744A1C">
        <w:rPr>
          <w:rtl/>
          <w:lang w:bidi="fa-IR"/>
        </w:rPr>
        <w:t xml:space="preserve"> ، ج 17 ، ص 21 ، ح 16787 ؛ </w:t>
      </w:r>
      <w:r w:rsidR="00744A1C" w:rsidRPr="00C24F9C">
        <w:rPr>
          <w:rStyle w:val="libFootnoteBoldChar"/>
          <w:rtl/>
        </w:rPr>
        <w:t>الوسائل</w:t>
      </w:r>
      <w:r w:rsidR="00744A1C">
        <w:rPr>
          <w:rtl/>
          <w:lang w:bidi="fa-IR"/>
        </w:rPr>
        <w:t xml:space="preserve"> ، ج 17 ، ص 25 ، ح 21889.</w:t>
      </w:r>
    </w:p>
    <w:p w:rsidR="00744A1C" w:rsidRDefault="00E378DD" w:rsidP="00E378DD">
      <w:pPr>
        <w:pStyle w:val="libFootnote0"/>
        <w:rPr>
          <w:lang w:bidi="fa-IR"/>
        </w:rPr>
      </w:pPr>
      <w:r>
        <w:rPr>
          <w:rtl/>
          <w:lang w:bidi="fa-IR"/>
        </w:rPr>
        <w:t>(4).</w:t>
      </w:r>
      <w:r w:rsidR="00744A1C">
        <w:rPr>
          <w:rtl/>
          <w:lang w:bidi="fa-IR"/>
        </w:rPr>
        <w:t xml:space="preserve"> في « ط ، ى ، جن » وظاهر </w:t>
      </w:r>
      <w:r w:rsidR="00744A1C" w:rsidRPr="00C24F9C">
        <w:rPr>
          <w:rStyle w:val="libFootnoteBoldChar"/>
          <w:rtl/>
        </w:rPr>
        <w:t>المرآة</w:t>
      </w:r>
      <w:r w:rsidR="00744A1C">
        <w:rPr>
          <w:rtl/>
          <w:lang w:bidi="fa-IR"/>
        </w:rPr>
        <w:t xml:space="preserve"> : « الحسين ». وفي « بح ، جد » وحاشية « جت » و</w:t>
      </w:r>
      <w:r w:rsidR="00744A1C" w:rsidRPr="00C24F9C">
        <w:rPr>
          <w:rStyle w:val="libFootnoteBoldChar"/>
          <w:rtl/>
        </w:rPr>
        <w:t>الوسائل</w:t>
      </w:r>
      <w:r w:rsidR="00744A1C">
        <w:rPr>
          <w:rtl/>
          <w:lang w:bidi="fa-IR"/>
        </w:rPr>
        <w:t xml:space="preserve"> : « حسين ». وفي « بس » : « حسن ».</w:t>
      </w:r>
    </w:p>
    <w:p w:rsidR="00744A1C" w:rsidRDefault="00744A1C" w:rsidP="006C0BF2">
      <w:pPr>
        <w:pStyle w:val="libFootnote0"/>
        <w:rPr>
          <w:lang w:bidi="fa-IR"/>
        </w:rPr>
      </w:pPr>
      <w:r>
        <w:rPr>
          <w:rtl/>
          <w:lang w:bidi="fa-IR"/>
        </w:rPr>
        <w:t xml:space="preserve">وقد تكرّرت رواية ابن أبي عمير عن الحسن بن عطيّة ، ولم تثبت روايته عن الحسين بن عطيّة ، كما تقدّمت في </w:t>
      </w:r>
      <w:r w:rsidRPr="0061079A">
        <w:rPr>
          <w:rStyle w:val="libFootnoteBoldChar"/>
          <w:rtl/>
        </w:rPr>
        <w:t>الكافي</w:t>
      </w:r>
      <w:r>
        <w:rPr>
          <w:rtl/>
          <w:lang w:bidi="fa-IR"/>
        </w:rPr>
        <w:t xml:space="preserve"> ، ذيل ح 3450.</w:t>
      </w:r>
      <w:r w:rsidR="006C0BF2">
        <w:rPr>
          <w:rFonts w:hint="cs"/>
          <w:rtl/>
          <w:lang w:bidi="fa-IR"/>
        </w:rPr>
        <w:t xml:space="preserve">                                              </w:t>
      </w:r>
      <w:r w:rsidR="00E378DD">
        <w:rPr>
          <w:rtl/>
          <w:lang w:bidi="fa-IR"/>
        </w:rPr>
        <w:t>(5).</w:t>
      </w:r>
      <w:r>
        <w:rPr>
          <w:rtl/>
          <w:lang w:bidi="fa-IR"/>
        </w:rPr>
        <w:t xml:space="preserve"> في « ط » : « فأغلق ».</w:t>
      </w:r>
    </w:p>
    <w:p w:rsidR="00744A1C" w:rsidRDefault="00E378DD" w:rsidP="00E378DD">
      <w:pPr>
        <w:pStyle w:val="libFootnote0"/>
        <w:rPr>
          <w:lang w:bidi="fa-IR"/>
        </w:rPr>
      </w:pPr>
      <w:r>
        <w:rPr>
          <w:rtl/>
          <w:lang w:bidi="fa-IR"/>
        </w:rPr>
        <w:t>(6).</w:t>
      </w:r>
      <w:r w:rsidR="00744A1C">
        <w:rPr>
          <w:rtl/>
          <w:lang w:bidi="fa-IR"/>
        </w:rPr>
        <w:t xml:space="preserve"> في « ط ، ى ، بح ، بخ ، بس ، جد ، جن » : « كان » بدون همزة الاستفهام.</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17 ، ص 22 ، ح 16788 ؛ </w:t>
      </w:r>
      <w:r w:rsidR="00744A1C" w:rsidRPr="00C24F9C">
        <w:rPr>
          <w:rStyle w:val="libFootnoteBoldChar"/>
          <w:rtl/>
        </w:rPr>
        <w:t>الوسائل</w:t>
      </w:r>
      <w:r w:rsidR="00744A1C">
        <w:rPr>
          <w:rtl/>
          <w:lang w:bidi="fa-IR"/>
        </w:rPr>
        <w:t xml:space="preserve"> ، ج 17 ، ص 24 ، ح 21888.</w:t>
      </w:r>
    </w:p>
    <w:p w:rsidR="00744A1C" w:rsidRDefault="00E378DD" w:rsidP="00E378DD">
      <w:pPr>
        <w:pStyle w:val="libFootnote0"/>
        <w:rPr>
          <w:lang w:bidi="fa-IR"/>
        </w:rPr>
      </w:pPr>
      <w:r>
        <w:rPr>
          <w:rtl/>
          <w:lang w:bidi="fa-IR"/>
        </w:rPr>
        <w:t>(8).</w:t>
      </w:r>
      <w:r w:rsidR="00744A1C">
        <w:rPr>
          <w:rtl/>
          <w:lang w:bidi="fa-IR"/>
        </w:rPr>
        <w:t xml:space="preserve"> الدَّعَةُ : الخَفْضُ ، والسعة في العيش ، والراحة ؛ والهاء فيها عوض من الواو. راجع : </w:t>
      </w:r>
      <w:r w:rsidR="00744A1C" w:rsidRPr="00E978C3">
        <w:rPr>
          <w:rStyle w:val="libFootnoteBoldChar"/>
          <w:rtl/>
        </w:rPr>
        <w:t>المصباح المنير</w:t>
      </w:r>
      <w:r w:rsidR="00744A1C">
        <w:rPr>
          <w:rtl/>
          <w:lang w:bidi="fa-IR"/>
        </w:rPr>
        <w:t xml:space="preserve"> ، ص 653 ( ودع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فَقَالَ : « لَا أَدْعُو لَكَ ، اطْلُبْ كَمَا أَمَرَكَ </w:t>
      </w:r>
      <w:r w:rsidRPr="00D10E3C">
        <w:rPr>
          <w:rStyle w:val="libFootnotenumChar"/>
          <w:rtl/>
        </w:rPr>
        <w:t>(1)</w:t>
      </w:r>
      <w:r>
        <w:rPr>
          <w:rtl/>
          <w:lang w:bidi="fa-IR"/>
        </w:rPr>
        <w:t xml:space="preserve"> اللهُ عَزَّ وَجَلَّ ». </w:t>
      </w:r>
      <w:r w:rsidRPr="00D10E3C">
        <w:rPr>
          <w:rStyle w:val="libFootnotenumChar"/>
          <w:rtl/>
        </w:rPr>
        <w:t>(2)</w:t>
      </w:r>
    </w:p>
    <w:p w:rsidR="00144FA6" w:rsidRDefault="00744A1C" w:rsidP="00744A1C">
      <w:pPr>
        <w:pStyle w:val="libNormal"/>
        <w:rPr>
          <w:rtl/>
          <w:lang w:bidi="fa-IR"/>
        </w:rPr>
      </w:pPr>
      <w:r>
        <w:rPr>
          <w:rtl/>
          <w:lang w:bidi="fa-IR"/>
        </w:rPr>
        <w:t xml:space="preserve">8390 / 4. عِدَّةٌ مِنْ أَصْحَابِنَا ، عَنْ أَحْمَدَ بْنِ مُحَمَّدِ بْنِ خَالِدٍ </w:t>
      </w:r>
      <w:r w:rsidRPr="00D10E3C">
        <w:rPr>
          <w:rStyle w:val="libFootnotenumChar"/>
          <w:rtl/>
        </w:rPr>
        <w:t>(3)</w:t>
      </w:r>
      <w:r>
        <w:rPr>
          <w:rtl/>
          <w:lang w:bidi="fa-IR"/>
        </w:rPr>
        <w:t xml:space="preserve"> ، عَنْ أَبِيهِ ، عَنْ أَبِي طَالِبٍ الشَّعْرَانِيِّ ، عَنْ سُلَيْمَانَ بْنِ مُعَلَّى بْنِ خُنَيْسٍ ، عَنْ أَبِيهِ ، قَالَ :</w:t>
      </w:r>
    </w:p>
    <w:p w:rsidR="00144FA6" w:rsidRDefault="00744A1C" w:rsidP="00744A1C">
      <w:pPr>
        <w:pStyle w:val="libNormal"/>
        <w:rPr>
          <w:rtl/>
          <w:lang w:bidi="fa-IR"/>
        </w:rPr>
      </w:pPr>
      <w:r>
        <w:rPr>
          <w:rtl/>
          <w:lang w:bidi="fa-IR"/>
        </w:rPr>
        <w:t xml:space="preserve">سَأَلَ </w:t>
      </w:r>
      <w:r w:rsidRPr="00D10E3C">
        <w:rPr>
          <w:rStyle w:val="libFootnotenumChar"/>
          <w:rtl/>
        </w:rPr>
        <w:t>(4)</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عَنْ رَجُلٍ وَأَنَا عِنْدَهُ ، فَقِيلَ </w:t>
      </w:r>
      <w:r w:rsidRPr="00D10E3C">
        <w:rPr>
          <w:rStyle w:val="libFootnotenumChar"/>
          <w:rtl/>
        </w:rPr>
        <w:t>(5)</w:t>
      </w:r>
      <w:r>
        <w:rPr>
          <w:rtl/>
          <w:lang w:bidi="fa-IR"/>
        </w:rPr>
        <w:t xml:space="preserve"> : أَصَابَتْهُ الْحَاجَةُ ، قَالَ </w:t>
      </w:r>
      <w:r w:rsidRPr="00D10E3C">
        <w:rPr>
          <w:rStyle w:val="libFootnotenumChar"/>
          <w:rtl/>
        </w:rPr>
        <w:t>(6)</w:t>
      </w:r>
      <w:r>
        <w:rPr>
          <w:rtl/>
          <w:lang w:bidi="fa-IR"/>
        </w:rPr>
        <w:t xml:space="preserve"> : « فَمَا </w:t>
      </w:r>
      <w:r w:rsidRPr="00D10E3C">
        <w:rPr>
          <w:rStyle w:val="libFootnotenumChar"/>
          <w:rtl/>
        </w:rPr>
        <w:t>(7)</w:t>
      </w:r>
      <w:r>
        <w:rPr>
          <w:rtl/>
          <w:lang w:bidi="fa-IR"/>
        </w:rPr>
        <w:t xml:space="preserve"> يَصْنَعُ الْيَوْمَ؟ » قِيلَ : فِي الْبَيْتِ يَعْبُدُ رَبَّهُ ، قَالَ </w:t>
      </w:r>
      <w:r w:rsidRPr="00D10E3C">
        <w:rPr>
          <w:rStyle w:val="libFootnotenumChar"/>
          <w:rtl/>
        </w:rPr>
        <w:t>(8)</w:t>
      </w:r>
      <w:r>
        <w:rPr>
          <w:rtl/>
          <w:lang w:bidi="fa-IR"/>
        </w:rPr>
        <w:t xml:space="preserve"> : « فَمِنْ </w:t>
      </w:r>
      <w:r w:rsidRPr="00D10E3C">
        <w:rPr>
          <w:rStyle w:val="libFootnotenumChar"/>
          <w:rtl/>
        </w:rPr>
        <w:t>(9)</w:t>
      </w:r>
      <w:r>
        <w:rPr>
          <w:rtl/>
          <w:lang w:bidi="fa-IR"/>
        </w:rPr>
        <w:t xml:space="preserve"> أَيْنَ قُوتُهُ؟ » قِيلَ </w:t>
      </w:r>
      <w:r w:rsidRPr="00D10E3C">
        <w:rPr>
          <w:rStyle w:val="libFootnotenumChar"/>
          <w:rtl/>
        </w:rPr>
        <w:t>(10)</w:t>
      </w:r>
      <w:r>
        <w:rPr>
          <w:rtl/>
          <w:lang w:bidi="fa-IR"/>
        </w:rPr>
        <w:t xml:space="preserve"> : مِنْ عِنْدِ بَعْضِ </w:t>
      </w:r>
      <w:r w:rsidRPr="00D10E3C">
        <w:rPr>
          <w:rStyle w:val="libFootnotenumChar"/>
          <w:rtl/>
        </w:rPr>
        <w:t>(11)</w:t>
      </w:r>
      <w:r>
        <w:rPr>
          <w:rtl/>
          <w:lang w:bidi="fa-IR"/>
        </w:rPr>
        <w:t xml:space="preserve"> إِخْوَانِهِ ، فَقَالَ أَبُو عَبْدِ اللهِ </w:t>
      </w:r>
      <w:r w:rsidR="0061079A" w:rsidRPr="0061079A">
        <w:rPr>
          <w:rStyle w:val="libAlaemChar"/>
          <w:rtl/>
        </w:rPr>
        <w:t>عليه‌السلام</w:t>
      </w:r>
      <w:r w:rsidR="00D10E3C">
        <w:rPr>
          <w:rtl/>
          <w:lang w:bidi="fa-IR"/>
        </w:rPr>
        <w:t xml:space="preserve"> </w:t>
      </w:r>
      <w:r>
        <w:rPr>
          <w:rtl/>
          <w:lang w:bidi="fa-IR"/>
        </w:rPr>
        <w:t xml:space="preserve">: « وَاللهِ ، لَلَّذِي </w:t>
      </w:r>
      <w:r w:rsidRPr="00D10E3C">
        <w:rPr>
          <w:rStyle w:val="libFootnotenumChar"/>
          <w:rtl/>
        </w:rPr>
        <w:t>(12)</w:t>
      </w:r>
      <w:r>
        <w:rPr>
          <w:rtl/>
          <w:lang w:bidi="fa-IR"/>
        </w:rPr>
        <w:t xml:space="preserve"> يَقُوتُهُ أَشَدُّ عِبَادَةً مِنْهُ ».</w:t>
      </w:r>
      <w:r w:rsidRPr="00D10E3C">
        <w:rPr>
          <w:rStyle w:val="libFootnotenumChar"/>
          <w:rtl/>
        </w:rPr>
        <w:t>(13)</w:t>
      </w:r>
    </w:p>
    <w:p w:rsidR="00144FA6" w:rsidRDefault="00744A1C" w:rsidP="00744A1C">
      <w:pPr>
        <w:pStyle w:val="libNormal"/>
        <w:rPr>
          <w:rtl/>
          <w:lang w:bidi="fa-IR"/>
        </w:rPr>
      </w:pPr>
      <w:r>
        <w:rPr>
          <w:rtl/>
          <w:lang w:bidi="fa-IR"/>
        </w:rPr>
        <w:t xml:space="preserve">8391 / 5. عِدَّةٌ مِنْ أَصْحَابِنَا ، عَنْ أَحْمَدَ بْنِ مُحَمَّدِ بْنِ عِيسى ، عَنِ ابْنِ أَبِي عُمَيْرٍ ، عَنْ عَبْدِ اللهِ بْنِ الْمُغِيرَةِ ، عَنْ مُحَمَّدِ </w:t>
      </w:r>
      <w:r w:rsidRPr="00D10E3C">
        <w:rPr>
          <w:rStyle w:val="libFootnotenumChar"/>
          <w:rtl/>
        </w:rPr>
        <w:t>(14)</w:t>
      </w:r>
      <w:r>
        <w:rPr>
          <w:rtl/>
          <w:lang w:bidi="fa-IR"/>
        </w:rPr>
        <w:t xml:space="preserve"> بْنِ الْفُضَيْلِ ، عَنْ أَبِي حَمْزَةَ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مَنْ طَلَبَ الرِّزْقَ فِي </w:t>
      </w:r>
      <w:r w:rsidRPr="00D10E3C">
        <w:rPr>
          <w:rStyle w:val="libFootnotenumChar"/>
          <w:rtl/>
        </w:rPr>
        <w:t>(15)</w:t>
      </w:r>
      <w:r>
        <w:rPr>
          <w:rtl/>
          <w:lang w:bidi="fa-IR"/>
        </w:rPr>
        <w:t xml:space="preserve"> الدُّنْيَا ، اسْتِعْفَافاً </w:t>
      </w:r>
      <w:r w:rsidRPr="00D10E3C">
        <w:rPr>
          <w:rStyle w:val="libFootnotenumChar"/>
          <w:rtl/>
        </w:rPr>
        <w:t>(16)</w:t>
      </w:r>
      <w:r>
        <w:rPr>
          <w:rtl/>
          <w:lang w:bidi="fa-IR"/>
        </w:rPr>
        <w:t xml:space="preserve"> عَنِ النَّاسِ ، وَسَعْياً </w:t>
      </w:r>
      <w:r w:rsidRPr="00D10E3C">
        <w:rPr>
          <w:rStyle w:val="libFootnotenumChar"/>
          <w:rtl/>
        </w:rPr>
        <w:t>(17)</w:t>
      </w:r>
      <w:r>
        <w:rPr>
          <w:rtl/>
          <w:lang w:bidi="fa-IR"/>
        </w:rPr>
        <w:t xml:space="preserve"> عَلى أَهْلِهِ ، وَتَعَطُّفاً عَلى جَارِهِ ، لَقِيَ اللهَ - عَزَّ وَجَلَّ - يَوْمَ الْقِيَامَةِ وَ</w:t>
      </w:r>
      <w:r w:rsidR="006C0BF2">
        <w:rPr>
          <w:rFonts w:hint="cs"/>
          <w:rtl/>
          <w:lang w:bidi="fa-IR"/>
        </w:rPr>
        <w:t xml:space="preserve"> </w:t>
      </w:r>
      <w:r>
        <w:rPr>
          <w:rtl/>
          <w:lang w:bidi="fa-IR"/>
        </w:rPr>
        <w:t>وَجْهُهُ مِثْلُ‌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أمر ».</w:t>
      </w:r>
    </w:p>
    <w:p w:rsidR="00744A1C" w:rsidRDefault="00E378DD" w:rsidP="00E26A14">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323 ، ح 888 ، معلّقاً عن الفضل بن شاذان </w:t>
      </w:r>
      <w:r w:rsidR="00E26A14">
        <w:rPr>
          <w:rFonts w:hint="cs"/>
          <w:rtl/>
          <w:lang w:bidi="fa-IR"/>
        </w:rPr>
        <w:t>.</w:t>
      </w:r>
      <w:r w:rsidR="00744A1C" w:rsidRPr="00C24F9C">
        <w:rPr>
          <w:rStyle w:val="libFootnoteBoldChar"/>
          <w:rtl/>
        </w:rPr>
        <w:t>الوافي</w:t>
      </w:r>
      <w:r w:rsidR="00744A1C">
        <w:rPr>
          <w:rtl/>
          <w:lang w:bidi="fa-IR"/>
        </w:rPr>
        <w:t xml:space="preserve"> ، ج 17 ، ص 22 ، ح 16789 ؛ </w:t>
      </w:r>
      <w:r w:rsidR="00744A1C" w:rsidRPr="00C24F9C">
        <w:rPr>
          <w:rStyle w:val="libFootnoteBoldChar"/>
          <w:rtl/>
        </w:rPr>
        <w:t>الوسائل</w:t>
      </w:r>
      <w:r w:rsidR="00744A1C">
        <w:rPr>
          <w:rtl/>
          <w:lang w:bidi="fa-IR"/>
        </w:rPr>
        <w:t xml:space="preserve"> ، ج 17 ، ص 20 ، ح 21874.</w:t>
      </w:r>
      <w:r w:rsidR="0013596A">
        <w:rPr>
          <w:rFonts w:hint="cs"/>
          <w:rtl/>
          <w:lang w:bidi="fa-IR"/>
        </w:rPr>
        <w:t xml:space="preserve"> </w:t>
      </w:r>
      <w:r w:rsidR="00E26A14">
        <w:rPr>
          <w:rFonts w:hint="cs"/>
          <w:rtl/>
          <w:lang w:bidi="fa-IR"/>
        </w:rPr>
        <w:t xml:space="preserve">   </w:t>
      </w:r>
      <w:r>
        <w:rPr>
          <w:rtl/>
          <w:lang w:bidi="fa-IR"/>
        </w:rPr>
        <w:t>(3).</w:t>
      </w:r>
      <w:r w:rsidR="00744A1C">
        <w:rPr>
          <w:rtl/>
          <w:lang w:bidi="fa-IR"/>
        </w:rPr>
        <w:t xml:space="preserve"> في « ط » : - « بن خالد ».</w:t>
      </w:r>
    </w:p>
    <w:p w:rsidR="00744A1C" w:rsidRDefault="00E378DD" w:rsidP="00E378DD">
      <w:pPr>
        <w:pStyle w:val="libFootnote0"/>
        <w:rPr>
          <w:lang w:bidi="fa-IR"/>
        </w:rPr>
      </w:pPr>
      <w:r>
        <w:rPr>
          <w:rtl/>
          <w:lang w:bidi="fa-IR"/>
        </w:rPr>
        <w:t>(4).</w:t>
      </w:r>
      <w:r w:rsidR="00744A1C">
        <w:rPr>
          <w:rtl/>
          <w:lang w:bidi="fa-IR"/>
        </w:rPr>
        <w:t xml:space="preserve"> في « بف ، جد » : « سُئل ».</w:t>
      </w:r>
    </w:p>
    <w:p w:rsidR="00744A1C" w:rsidRDefault="00E378DD" w:rsidP="00E378DD">
      <w:pPr>
        <w:pStyle w:val="libFootnote0"/>
        <w:rPr>
          <w:lang w:bidi="fa-IR"/>
        </w:rPr>
      </w:pPr>
      <w:r>
        <w:rPr>
          <w:rtl/>
          <w:lang w:bidi="fa-IR"/>
        </w:rPr>
        <w:t>(5).</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وفي المطبوع : + « له ».</w:t>
      </w:r>
    </w:p>
    <w:tbl>
      <w:tblPr>
        <w:tblStyle w:val="TableGrid"/>
        <w:bidiVisual/>
        <w:tblW w:w="0" w:type="auto"/>
        <w:tblLook w:val="04A0" w:firstRow="1" w:lastRow="0" w:firstColumn="1" w:lastColumn="0" w:noHBand="0" w:noVBand="1"/>
      </w:tblPr>
      <w:tblGrid>
        <w:gridCol w:w="4006"/>
        <w:gridCol w:w="4006"/>
      </w:tblGrid>
      <w:tr w:rsidR="00155822" w:rsidTr="00155822">
        <w:tc>
          <w:tcPr>
            <w:tcW w:w="4006" w:type="dxa"/>
          </w:tcPr>
          <w:p w:rsidR="00155822" w:rsidRDefault="00155822" w:rsidP="00E378DD">
            <w:pPr>
              <w:pStyle w:val="libFootnote0"/>
              <w:rPr>
                <w:rtl/>
                <w:lang w:bidi="fa-IR"/>
              </w:rPr>
            </w:pPr>
            <w:r>
              <w:rPr>
                <w:rtl/>
                <w:lang w:bidi="fa-IR"/>
              </w:rPr>
              <w:t>(6). في « ى ، بح ، جد ، جن » : « فقال ».</w:t>
            </w:r>
          </w:p>
        </w:tc>
        <w:tc>
          <w:tcPr>
            <w:tcW w:w="4006" w:type="dxa"/>
          </w:tcPr>
          <w:p w:rsidR="00155822" w:rsidRDefault="00155822" w:rsidP="00E378DD">
            <w:pPr>
              <w:pStyle w:val="libFootnote0"/>
              <w:rPr>
                <w:rtl/>
                <w:lang w:bidi="fa-IR"/>
              </w:rPr>
            </w:pPr>
            <w:r>
              <w:rPr>
                <w:rtl/>
                <w:lang w:bidi="fa-IR"/>
              </w:rPr>
              <w:t>(7). في « بح » : « ما ».</w:t>
            </w:r>
          </w:p>
        </w:tc>
      </w:tr>
      <w:tr w:rsidR="00155822" w:rsidTr="00155822">
        <w:tc>
          <w:tcPr>
            <w:tcW w:w="4006" w:type="dxa"/>
          </w:tcPr>
          <w:p w:rsidR="00155822" w:rsidRDefault="00155822" w:rsidP="00E378DD">
            <w:pPr>
              <w:pStyle w:val="libFootnote0"/>
              <w:rPr>
                <w:rtl/>
                <w:lang w:bidi="fa-IR"/>
              </w:rPr>
            </w:pPr>
            <w:r>
              <w:rPr>
                <w:rtl/>
                <w:lang w:bidi="fa-IR"/>
              </w:rPr>
              <w:t>(8). في « ط ، بخ ، بف » : « فقال ».</w:t>
            </w:r>
          </w:p>
        </w:tc>
        <w:tc>
          <w:tcPr>
            <w:tcW w:w="4006" w:type="dxa"/>
          </w:tcPr>
          <w:p w:rsidR="00155822" w:rsidRDefault="00155822" w:rsidP="00E378DD">
            <w:pPr>
              <w:pStyle w:val="libFootnote0"/>
              <w:rPr>
                <w:rtl/>
                <w:lang w:bidi="fa-IR"/>
              </w:rPr>
            </w:pPr>
            <w:r>
              <w:rPr>
                <w:rtl/>
                <w:lang w:bidi="fa-IR"/>
              </w:rPr>
              <w:t xml:space="preserve">(9). في « ط » </w:t>
            </w:r>
            <w:r w:rsidRPr="00155822">
              <w:rPr>
                <w:rtl/>
              </w:rPr>
              <w:t>والوافي</w:t>
            </w:r>
            <w:r>
              <w:rPr>
                <w:rtl/>
                <w:lang w:bidi="fa-IR"/>
              </w:rPr>
              <w:t xml:space="preserve"> : « من ».</w:t>
            </w:r>
          </w:p>
        </w:tc>
      </w:tr>
      <w:tr w:rsidR="00155822" w:rsidTr="00155822">
        <w:tc>
          <w:tcPr>
            <w:tcW w:w="4006" w:type="dxa"/>
          </w:tcPr>
          <w:p w:rsidR="00155822" w:rsidRDefault="00155822" w:rsidP="00E378DD">
            <w:pPr>
              <w:pStyle w:val="libFootnote0"/>
              <w:rPr>
                <w:rtl/>
                <w:lang w:bidi="fa-IR"/>
              </w:rPr>
            </w:pPr>
            <w:r>
              <w:rPr>
                <w:rtl/>
                <w:lang w:bidi="fa-IR"/>
              </w:rPr>
              <w:t xml:space="preserve">(10). في « بف » </w:t>
            </w:r>
            <w:r w:rsidRPr="00155822">
              <w:rPr>
                <w:rtl/>
              </w:rPr>
              <w:t>والوافي</w:t>
            </w:r>
            <w:r>
              <w:rPr>
                <w:rtl/>
                <w:lang w:bidi="fa-IR"/>
              </w:rPr>
              <w:t xml:space="preserve"> : « قال ».</w:t>
            </w:r>
          </w:p>
        </w:tc>
        <w:tc>
          <w:tcPr>
            <w:tcW w:w="4006" w:type="dxa"/>
          </w:tcPr>
          <w:p w:rsidR="00155822" w:rsidRDefault="00155822" w:rsidP="00E378DD">
            <w:pPr>
              <w:pStyle w:val="libFootnote0"/>
              <w:rPr>
                <w:rtl/>
                <w:lang w:bidi="fa-IR"/>
              </w:rPr>
            </w:pPr>
            <w:r>
              <w:rPr>
                <w:rtl/>
                <w:lang w:bidi="fa-IR"/>
              </w:rPr>
              <w:t>(11). في « ط » : - « بعض ».</w:t>
            </w:r>
          </w:p>
        </w:tc>
      </w:tr>
    </w:tbl>
    <w:p w:rsidR="00744A1C" w:rsidRDefault="00E378DD" w:rsidP="00E378DD">
      <w:pPr>
        <w:pStyle w:val="libFootnote0"/>
        <w:rPr>
          <w:lang w:bidi="fa-IR"/>
        </w:rPr>
      </w:pPr>
      <w:r>
        <w:rPr>
          <w:rtl/>
          <w:lang w:bidi="fa-IR"/>
        </w:rPr>
        <w:t>(12).</w:t>
      </w:r>
      <w:r w:rsidR="00744A1C">
        <w:rPr>
          <w:rtl/>
          <w:lang w:bidi="fa-IR"/>
        </w:rPr>
        <w:t xml:space="preserve"> في « ط ، بح ، بخ ، بف ، جن » و</w:t>
      </w:r>
      <w:r w:rsidR="00744A1C" w:rsidRPr="00C24F9C">
        <w:rPr>
          <w:rStyle w:val="libFootnoteBoldChar"/>
          <w:rtl/>
        </w:rPr>
        <w:t>الوافي</w:t>
      </w:r>
      <w:r w:rsidR="00744A1C">
        <w:rPr>
          <w:rtl/>
          <w:lang w:bidi="fa-IR"/>
        </w:rPr>
        <w:t xml:space="preserve"> : « الذي ».</w:t>
      </w:r>
    </w:p>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6 ، ص 324 ، ح 889 ، معلّقاً عن أحمد بن أبي عبد الله ، عن أبيه ، عن أبي طالب الشعراني </w:t>
      </w:r>
      <w:r w:rsidR="003271BF">
        <w:rPr>
          <w:rFonts w:hint="cs"/>
          <w:rtl/>
          <w:lang w:bidi="fa-IR"/>
        </w:rPr>
        <w:t>.</w:t>
      </w:r>
      <w:r w:rsidR="00744A1C" w:rsidRPr="00C24F9C">
        <w:rPr>
          <w:rStyle w:val="libFootnoteBoldChar"/>
          <w:rtl/>
        </w:rPr>
        <w:t>الوافي</w:t>
      </w:r>
      <w:r w:rsidR="00744A1C">
        <w:rPr>
          <w:rtl/>
          <w:lang w:bidi="fa-IR"/>
        </w:rPr>
        <w:t xml:space="preserve"> ، ج 17 ، ص 22 ، ح 16790 ؛ </w:t>
      </w:r>
      <w:r w:rsidR="00744A1C" w:rsidRPr="00C24F9C">
        <w:rPr>
          <w:rStyle w:val="libFootnoteBoldChar"/>
          <w:rtl/>
        </w:rPr>
        <w:t>الوسائل</w:t>
      </w:r>
      <w:r w:rsidR="00744A1C">
        <w:rPr>
          <w:rtl/>
          <w:lang w:bidi="fa-IR"/>
        </w:rPr>
        <w:t xml:space="preserve"> ، ج 17 ، ص 25 ، ح 21890.</w:t>
      </w:r>
    </w:p>
    <w:p w:rsidR="00744A1C" w:rsidRDefault="00E378DD" w:rsidP="00E378DD">
      <w:pPr>
        <w:pStyle w:val="libFootnote0"/>
        <w:rPr>
          <w:lang w:bidi="fa-IR"/>
        </w:rPr>
      </w:pPr>
      <w:r>
        <w:rPr>
          <w:rtl/>
          <w:lang w:bidi="fa-IR"/>
        </w:rPr>
        <w:t>(14).</w:t>
      </w:r>
      <w:r w:rsidR="00744A1C">
        <w:rPr>
          <w:rtl/>
          <w:lang w:bidi="fa-IR"/>
        </w:rPr>
        <w:t xml:space="preserve"> في « بح ، بس ، جد » </w:t>
      </w:r>
      <w:r w:rsidR="00744A1C" w:rsidRPr="003271BF">
        <w:rPr>
          <w:rtl/>
        </w:rPr>
        <w:t>والوسائل</w:t>
      </w:r>
      <w:r w:rsidR="00744A1C">
        <w:rPr>
          <w:rtl/>
          <w:lang w:bidi="fa-IR"/>
        </w:rPr>
        <w:t xml:space="preserve"> : - « محمّد ».</w:t>
      </w:r>
    </w:p>
    <w:p w:rsidR="00744A1C" w:rsidRDefault="00E378DD" w:rsidP="00E378DD">
      <w:pPr>
        <w:pStyle w:val="libFootnote0"/>
        <w:rPr>
          <w:lang w:bidi="fa-IR"/>
        </w:rPr>
      </w:pPr>
      <w:r>
        <w:rPr>
          <w:rtl/>
          <w:lang w:bidi="fa-IR"/>
        </w:rPr>
        <w:t>(15).</w:t>
      </w:r>
      <w:r w:rsidR="00744A1C">
        <w:rPr>
          <w:rtl/>
          <w:lang w:bidi="fa-IR"/>
        </w:rPr>
        <w:t xml:space="preserve"> في « ط ، ى ، بح ، بس ، جد ، جن » </w:t>
      </w:r>
      <w:r w:rsidR="00744A1C" w:rsidRPr="003271BF">
        <w:rPr>
          <w:rtl/>
        </w:rPr>
        <w:t>والوسائل والتهذيب</w:t>
      </w:r>
      <w:r w:rsidR="00744A1C">
        <w:rPr>
          <w:rtl/>
          <w:lang w:bidi="fa-IR"/>
        </w:rPr>
        <w:t xml:space="preserve"> والثواب : - « الرزق في ».</w:t>
      </w:r>
    </w:p>
    <w:p w:rsidR="00744A1C" w:rsidRDefault="00744A1C" w:rsidP="00D10E3C">
      <w:pPr>
        <w:pStyle w:val="libFootnote0"/>
        <w:rPr>
          <w:lang w:bidi="fa-IR"/>
        </w:rPr>
      </w:pPr>
      <w:r>
        <w:rPr>
          <w:rtl/>
          <w:lang w:bidi="fa-IR"/>
        </w:rPr>
        <w:t>(16) في الثواب : « استغناء ».</w:t>
      </w:r>
    </w:p>
    <w:p w:rsidR="00744A1C" w:rsidRDefault="00744A1C" w:rsidP="00D10E3C">
      <w:pPr>
        <w:pStyle w:val="libFootnote0"/>
        <w:rPr>
          <w:lang w:bidi="fa-IR"/>
        </w:rPr>
      </w:pPr>
      <w:r>
        <w:rPr>
          <w:rtl/>
          <w:lang w:bidi="fa-IR"/>
        </w:rPr>
        <w:t xml:space="preserve">(17) هكذا في جميع النسخ التي قوبلت </w:t>
      </w:r>
      <w:r w:rsidRPr="003271BF">
        <w:rPr>
          <w:rtl/>
        </w:rPr>
        <w:t>والوسائل والتهذيب.</w:t>
      </w:r>
      <w:r>
        <w:rPr>
          <w:rtl/>
          <w:lang w:bidi="fa-IR"/>
        </w:rPr>
        <w:t xml:space="preserve"> وفي المطبوع و</w:t>
      </w:r>
      <w:r w:rsidRPr="00C24F9C">
        <w:rPr>
          <w:rStyle w:val="libFootnoteBoldChar"/>
          <w:rtl/>
        </w:rPr>
        <w:t>الوافي</w:t>
      </w:r>
      <w:r>
        <w:rPr>
          <w:rtl/>
          <w:lang w:bidi="fa-IR"/>
        </w:rPr>
        <w:t xml:space="preserve"> : « وتوسيعاً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الْقَمَرِ لَيْلَةَ الْبَدْرِ ». </w:t>
      </w:r>
      <w:r w:rsidRPr="00D10E3C">
        <w:rPr>
          <w:rStyle w:val="libFootnotenumChar"/>
          <w:rtl/>
        </w:rPr>
        <w:t>(1)</w:t>
      </w:r>
    </w:p>
    <w:p w:rsidR="00144FA6" w:rsidRDefault="00744A1C" w:rsidP="00744A1C">
      <w:pPr>
        <w:pStyle w:val="libNormal"/>
        <w:rPr>
          <w:rtl/>
          <w:lang w:bidi="fa-IR"/>
        </w:rPr>
      </w:pPr>
      <w:r>
        <w:rPr>
          <w:rtl/>
          <w:lang w:bidi="fa-IR"/>
        </w:rPr>
        <w:t>8392 / 6. عِدَّةٌ مِنْ أَصْحَابِنَا ، عَنْ سَهْلِ بْنِ زِيَادٍ ، عَنِ ابْنِ مَحْبُوبٍ ، عَنْ أَبِي خَالِدٍ الْكُوفِيِّ :</w:t>
      </w:r>
    </w:p>
    <w:p w:rsidR="00144FA6" w:rsidRDefault="00744A1C" w:rsidP="00744A1C">
      <w:pPr>
        <w:pStyle w:val="libNormal"/>
        <w:rPr>
          <w:rtl/>
          <w:lang w:bidi="fa-IR"/>
        </w:rPr>
      </w:pPr>
      <w:r>
        <w:rPr>
          <w:rtl/>
          <w:lang w:bidi="fa-IR"/>
        </w:rPr>
        <w:t xml:space="preserve">رَفَعَهُ إِلى </w:t>
      </w:r>
      <w:r w:rsidRPr="00D10E3C">
        <w:rPr>
          <w:rStyle w:val="libFootnotenumChar"/>
          <w:rtl/>
        </w:rPr>
        <w:t>(2)</w:t>
      </w:r>
      <w:r>
        <w:rPr>
          <w:rtl/>
          <w:lang w:bidi="fa-IR"/>
        </w:rPr>
        <w:t xml:space="preserve"> أَبِي جَعْفَرٍ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AE01C7" w:rsidRPr="00AE01C7">
        <w:rPr>
          <w:rStyle w:val="libFootnoteAlaemChar"/>
          <w:rtl/>
        </w:rPr>
        <w:t>صلى‌الله‌عليه‌وآله</w:t>
      </w:r>
      <w:r w:rsidR="00D10E3C">
        <w:rPr>
          <w:rtl/>
          <w:lang w:bidi="fa-IR"/>
        </w:rPr>
        <w:t xml:space="preserve"> </w:t>
      </w:r>
      <w:r>
        <w:rPr>
          <w:rtl/>
          <w:lang w:bidi="fa-IR"/>
        </w:rPr>
        <w:t xml:space="preserve">: الْعِبَادَةُ سَبْعُونَ جُزْءاً أَفْضَلُهَا طَلَبُ الْحَلَالِ ». </w:t>
      </w:r>
      <w:r w:rsidRPr="00D10E3C">
        <w:rPr>
          <w:rStyle w:val="libFootnotenumChar"/>
          <w:rtl/>
        </w:rPr>
        <w:t>(3)</w:t>
      </w:r>
    </w:p>
    <w:p w:rsidR="00144FA6" w:rsidRDefault="00744A1C" w:rsidP="00744A1C">
      <w:pPr>
        <w:pStyle w:val="libNormal"/>
        <w:rPr>
          <w:rtl/>
          <w:lang w:bidi="fa-IR"/>
        </w:rPr>
      </w:pPr>
      <w:r>
        <w:rPr>
          <w:rtl/>
          <w:lang w:bidi="fa-IR"/>
        </w:rPr>
        <w:t xml:space="preserve">8393 / 7. عَلِيُّ بْنُ إِبْرَاهِيمَ ، عَنْ أَبِيهِ ، عَنِ ابْنِ أَبِي عُمَيْرٍ ، عَنْ إِسْمَاعِيلَ بْنِ مُحَمَّدٍ الْمِنْقَرِيِّ ، عَنْ هِشَامٍ الصَّيْدَنَانِيِّ </w:t>
      </w:r>
      <w:r w:rsidRPr="00D10E3C">
        <w:rPr>
          <w:rStyle w:val="libFootnotenumChar"/>
          <w:rtl/>
        </w:rPr>
        <w:t>(4)</w:t>
      </w:r>
      <w:r>
        <w:rPr>
          <w:rtl/>
          <w:lang w:bidi="fa-IR"/>
        </w:rPr>
        <w:t xml:space="preserve"> ، قَالَ :</w:t>
      </w:r>
    </w:p>
    <w:p w:rsidR="00744A1C" w:rsidRDefault="00744A1C" w:rsidP="00744A1C">
      <w:pPr>
        <w:pStyle w:val="libNormal"/>
        <w:rPr>
          <w:lang w:bidi="fa-IR"/>
        </w:rPr>
      </w:pPr>
      <w:r>
        <w:rPr>
          <w:rtl/>
          <w:lang w:bidi="fa-IR"/>
        </w:rPr>
        <w:t xml:space="preserve">قَالَ </w:t>
      </w:r>
      <w:r w:rsidRPr="00D10E3C">
        <w:rPr>
          <w:rStyle w:val="libFootnotenumChar"/>
          <w:rtl/>
        </w:rPr>
        <w:t>(5)</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يَا هِشَامُ </w:t>
      </w:r>
      <w:r w:rsidRPr="00D10E3C">
        <w:rPr>
          <w:rStyle w:val="libFootnotenumChar"/>
          <w:rtl/>
        </w:rPr>
        <w:t>(6)</w:t>
      </w:r>
      <w:r>
        <w:rPr>
          <w:rtl/>
          <w:lang w:bidi="fa-IR"/>
        </w:rPr>
        <w:t xml:space="preserve"> ، إِنْ </w:t>
      </w:r>
      <w:r w:rsidRPr="00D10E3C">
        <w:rPr>
          <w:rStyle w:val="libFootnotenumChar"/>
          <w:rtl/>
        </w:rPr>
        <w:t>(7)</w:t>
      </w:r>
      <w:r>
        <w:rPr>
          <w:rtl/>
          <w:lang w:bidi="fa-IR"/>
        </w:rPr>
        <w:t xml:space="preserve"> رَأَيْتَ الصَّفَّيْنِ قَدِ الْتَقَيَا ، فَلَا تَدَعْ طَلَبَ‌</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6 ، ص 324 ، ح 890 ، معلّقاً عن أحمد بن محمّد بن عيسى. ثواب الأعمال ، ص 215 ، ذيل ح 1 ، بسند آخر عن أبي عبد الله </w:t>
      </w:r>
      <w:r w:rsidR="0061079A" w:rsidRPr="0061079A">
        <w:rPr>
          <w:rStyle w:val="libFootnoteAlaemChar"/>
          <w:rtl/>
        </w:rPr>
        <w:t>عليه‌السلام</w:t>
      </w:r>
      <w:r>
        <w:rPr>
          <w:rtl/>
          <w:lang w:bidi="fa-IR"/>
        </w:rPr>
        <w:t xml:space="preserve"> </w:t>
      </w:r>
      <w:r w:rsidR="00735308">
        <w:rPr>
          <w:rFonts w:hint="cs"/>
          <w:rtl/>
          <w:lang w:bidi="fa-IR"/>
        </w:rPr>
        <w:t>.</w:t>
      </w:r>
      <w:r w:rsidR="00744A1C" w:rsidRPr="00C24F9C">
        <w:rPr>
          <w:rStyle w:val="libFootnoteBoldChar"/>
          <w:rtl/>
        </w:rPr>
        <w:t>الوافي</w:t>
      </w:r>
      <w:r w:rsidR="00744A1C">
        <w:rPr>
          <w:rtl/>
          <w:lang w:bidi="fa-IR"/>
        </w:rPr>
        <w:t xml:space="preserve"> ، ج 17 ، ص 22 ، ح 16791 ؛ </w:t>
      </w:r>
      <w:r w:rsidR="00744A1C" w:rsidRPr="00C24F9C">
        <w:rPr>
          <w:rStyle w:val="libFootnoteBoldChar"/>
          <w:rtl/>
        </w:rPr>
        <w:t>الوسائل</w:t>
      </w:r>
      <w:r w:rsidR="00744A1C">
        <w:rPr>
          <w:rtl/>
          <w:lang w:bidi="fa-IR"/>
        </w:rPr>
        <w:t xml:space="preserve"> ، ج 17 ، ص 21 ، ح 21876.</w:t>
      </w:r>
    </w:p>
    <w:p w:rsidR="00744A1C" w:rsidRDefault="00E378DD" w:rsidP="00E378DD">
      <w:pPr>
        <w:pStyle w:val="libFootnote0"/>
        <w:rPr>
          <w:lang w:bidi="fa-IR"/>
        </w:rPr>
      </w:pPr>
      <w:r>
        <w:rPr>
          <w:rtl/>
          <w:lang w:bidi="fa-IR"/>
        </w:rPr>
        <w:t>(2).</w:t>
      </w:r>
      <w:r w:rsidR="00744A1C">
        <w:rPr>
          <w:rtl/>
          <w:lang w:bidi="fa-IR"/>
        </w:rPr>
        <w:t xml:space="preserve"> في « ط ، ى ، بح ، بس ، جد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عن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324 ، ح 891 ، معلّقاً عن الحسن بن محبوب. </w:t>
      </w:r>
      <w:r w:rsidR="00744A1C" w:rsidRPr="00610FB4">
        <w:rPr>
          <w:rStyle w:val="libFootnoteBoldChar"/>
          <w:rtl/>
        </w:rPr>
        <w:t>معاني الأخبار</w:t>
      </w:r>
      <w:r w:rsidR="00744A1C">
        <w:rPr>
          <w:rtl/>
          <w:lang w:bidi="fa-IR"/>
        </w:rPr>
        <w:t xml:space="preserve"> ، ص 366 ، ح 1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w:t>
      </w:r>
      <w:r w:rsidR="00744A1C" w:rsidRPr="00735308">
        <w:rPr>
          <w:rStyle w:val="libFootnoteBoldChar"/>
          <w:rtl/>
        </w:rPr>
        <w:t>ثواب الأعمال</w:t>
      </w:r>
      <w:r w:rsidR="00744A1C">
        <w:rPr>
          <w:rtl/>
          <w:lang w:bidi="fa-IR"/>
        </w:rPr>
        <w:t xml:space="preserve"> ، ص 215 ، ح 1 ، بسند آخر عن رسول الله </w:t>
      </w:r>
      <w:r w:rsidR="005E465D" w:rsidRPr="005E465D">
        <w:rPr>
          <w:rStyle w:val="libFootnoteAlaemChar"/>
          <w:rtl/>
        </w:rPr>
        <w:t>صلى‌الله‌عليه‌وآله</w:t>
      </w:r>
      <w:r w:rsidR="00744A1C">
        <w:rPr>
          <w:rtl/>
          <w:lang w:bidi="fa-IR"/>
        </w:rPr>
        <w:t xml:space="preserve"> . </w:t>
      </w:r>
      <w:r w:rsidR="00744A1C" w:rsidRPr="007D61A8">
        <w:rPr>
          <w:rStyle w:val="libFootnoteBoldChar"/>
          <w:rtl/>
        </w:rPr>
        <w:t>تحف العقول</w:t>
      </w:r>
      <w:r w:rsidR="00744A1C">
        <w:rPr>
          <w:rtl/>
          <w:lang w:bidi="fa-IR"/>
        </w:rPr>
        <w:t xml:space="preserve"> ، ص 37 ، عن النبيّ </w:t>
      </w:r>
      <w:r w:rsidR="00F90866" w:rsidRPr="00F90866">
        <w:rPr>
          <w:rStyle w:val="libFootnoteAlaemChar"/>
          <w:rtl/>
        </w:rPr>
        <w:t>صلى‌الله‌عليه‌وآله</w:t>
      </w:r>
      <w:r w:rsidR="00744A1C">
        <w:rPr>
          <w:rtl/>
          <w:lang w:bidi="fa-IR"/>
        </w:rPr>
        <w:t xml:space="preserve"> </w:t>
      </w:r>
      <w:r w:rsidR="00735308">
        <w:rPr>
          <w:rFonts w:hint="cs"/>
          <w:rtl/>
          <w:lang w:bidi="fa-IR"/>
        </w:rPr>
        <w:t>.</w:t>
      </w:r>
      <w:r w:rsidR="00744A1C" w:rsidRPr="00C24F9C">
        <w:rPr>
          <w:rStyle w:val="libFootnoteBoldChar"/>
          <w:rtl/>
        </w:rPr>
        <w:t>الوافي</w:t>
      </w:r>
      <w:r w:rsidR="00744A1C">
        <w:rPr>
          <w:rtl/>
          <w:lang w:bidi="fa-IR"/>
        </w:rPr>
        <w:t xml:space="preserve"> ، ج 17 ، ص 21 ، ح 16786 ؛ </w:t>
      </w:r>
      <w:r w:rsidR="00744A1C" w:rsidRPr="00C24F9C">
        <w:rPr>
          <w:rStyle w:val="libFootnoteBoldChar"/>
          <w:rtl/>
        </w:rPr>
        <w:t>الوسائل</w:t>
      </w:r>
      <w:r w:rsidR="00744A1C">
        <w:rPr>
          <w:rtl/>
          <w:lang w:bidi="fa-IR"/>
        </w:rPr>
        <w:t xml:space="preserve"> ، ج 17 ، ص 21 ، ح 21877.</w:t>
      </w:r>
    </w:p>
    <w:p w:rsidR="00744A1C" w:rsidRDefault="00E378DD" w:rsidP="00E378DD">
      <w:pPr>
        <w:pStyle w:val="libFootnote0"/>
        <w:rPr>
          <w:lang w:bidi="fa-IR"/>
        </w:rPr>
      </w:pPr>
      <w:r>
        <w:rPr>
          <w:rtl/>
          <w:lang w:bidi="fa-IR"/>
        </w:rPr>
        <w:t>(4).</w:t>
      </w:r>
      <w:r w:rsidR="00744A1C">
        <w:rPr>
          <w:rtl/>
          <w:lang w:bidi="fa-IR"/>
        </w:rPr>
        <w:t xml:space="preserve"> هكذا في « ى ، بح ، بس ، جد » وحاشية « جت ، جن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وفي « ط ، جت » والمطبوع : « الصيدلاني ». وفي « بخ » : « الصيداي ». وفي « بف » و</w:t>
      </w:r>
      <w:r w:rsidR="00744A1C" w:rsidRPr="00C24F9C">
        <w:rPr>
          <w:rStyle w:val="libFootnoteBoldChar"/>
          <w:rtl/>
        </w:rPr>
        <w:t>الوافي</w:t>
      </w:r>
      <w:r w:rsidR="00744A1C">
        <w:rPr>
          <w:rtl/>
          <w:lang w:bidi="fa-IR"/>
        </w:rPr>
        <w:t xml:space="preserve"> : « الصيداوي ». وفي « جن » : « الصيداني ».</w:t>
      </w:r>
    </w:p>
    <w:p w:rsidR="00744A1C" w:rsidRDefault="00744A1C" w:rsidP="00D10E3C">
      <w:pPr>
        <w:pStyle w:val="libFootnote0"/>
        <w:rPr>
          <w:lang w:bidi="fa-IR"/>
        </w:rPr>
      </w:pPr>
      <w:r>
        <w:rPr>
          <w:rtl/>
          <w:lang w:bidi="fa-IR"/>
        </w:rPr>
        <w:t xml:space="preserve">والمذكور في </w:t>
      </w:r>
      <w:r w:rsidRPr="004D054E">
        <w:rPr>
          <w:rStyle w:val="libFootnoteBoldChar"/>
          <w:rtl/>
        </w:rPr>
        <w:t>رجال البرقي</w:t>
      </w:r>
      <w:r>
        <w:rPr>
          <w:rtl/>
          <w:lang w:bidi="fa-IR"/>
        </w:rPr>
        <w:t xml:space="preserve"> ، ص 35 : هشام الصيدلاني.</w:t>
      </w:r>
    </w:p>
    <w:p w:rsidR="00744A1C" w:rsidRDefault="00744A1C" w:rsidP="00D10E3C">
      <w:pPr>
        <w:pStyle w:val="libFootnote0"/>
        <w:rPr>
          <w:lang w:bidi="fa-IR"/>
        </w:rPr>
      </w:pPr>
      <w:r>
        <w:rPr>
          <w:rtl/>
          <w:lang w:bidi="fa-IR"/>
        </w:rPr>
        <w:t>ثمّ إنّ الصيدناني والصيدلاني بمعنى واحد ؛ فقد ذكر السمعاني في الأنساب ، ج 3 ، ص 573 ، ذيل الصيدناني : « هذه النسبة مثل الصيدلاني سواء ». وقال بعد سطور ، ذيل الصيدلاني : « هذه النسبة لمن يبيع الأدوية والعقاقير ».</w:t>
      </w:r>
    </w:p>
    <w:p w:rsidR="00744A1C" w:rsidRDefault="00744A1C" w:rsidP="00D10E3C">
      <w:pPr>
        <w:pStyle w:val="libFootnote0"/>
        <w:rPr>
          <w:lang w:bidi="fa-IR"/>
        </w:rPr>
      </w:pPr>
      <w:r>
        <w:rPr>
          <w:rtl/>
          <w:lang w:bidi="fa-IR"/>
        </w:rPr>
        <w:t xml:space="preserve">ونقل ابن منظور في </w:t>
      </w:r>
      <w:r w:rsidRPr="00877682">
        <w:rPr>
          <w:rStyle w:val="libFootnoteBoldChar"/>
          <w:rtl/>
        </w:rPr>
        <w:t>لسان العرب</w:t>
      </w:r>
      <w:r>
        <w:rPr>
          <w:rtl/>
          <w:lang w:bidi="fa-IR"/>
        </w:rPr>
        <w:t xml:space="preserve"> ، ج 13 ، ص 246 ( صدن ) ، عن ابن خالويه أنّه قال : « الصيدن دويبّة تجمع عيداناً من النبات فشبّه به الصيدناني لجمعه العقاقير ». ونقل حكاية ابن بري أيضاً عن ابن درستويه أنّه قال : « الصيدن والصيدل حجارة الفضّة ، شبّه بها حجارة العقاقير فنسب إليها الصيدناني والصيدلاني ، وهو العطّار ».</w:t>
      </w:r>
    </w:p>
    <w:tbl>
      <w:tblPr>
        <w:tblStyle w:val="TableGrid"/>
        <w:bidiVisual/>
        <w:tblW w:w="0" w:type="auto"/>
        <w:tblLook w:val="04A0" w:firstRow="1" w:lastRow="0" w:firstColumn="1" w:lastColumn="0" w:noHBand="0" w:noVBand="1"/>
      </w:tblPr>
      <w:tblGrid>
        <w:gridCol w:w="4006"/>
        <w:gridCol w:w="4006"/>
      </w:tblGrid>
      <w:tr w:rsidR="00ED53B2" w:rsidTr="00ED53B2">
        <w:tc>
          <w:tcPr>
            <w:tcW w:w="4006" w:type="dxa"/>
          </w:tcPr>
          <w:p w:rsidR="00ED53B2" w:rsidRDefault="00ED53B2" w:rsidP="00E378DD">
            <w:pPr>
              <w:pStyle w:val="libFootnote0"/>
              <w:rPr>
                <w:rtl/>
                <w:lang w:bidi="fa-IR"/>
              </w:rPr>
            </w:pPr>
            <w:r>
              <w:rPr>
                <w:rtl/>
                <w:lang w:bidi="fa-IR"/>
              </w:rPr>
              <w:t>(5). في « ط » : + « لي ».</w:t>
            </w:r>
          </w:p>
        </w:tc>
        <w:tc>
          <w:tcPr>
            <w:tcW w:w="4006" w:type="dxa"/>
          </w:tcPr>
          <w:p w:rsidR="00ED53B2" w:rsidRDefault="00ED53B2" w:rsidP="00E378DD">
            <w:pPr>
              <w:pStyle w:val="libFootnote0"/>
              <w:rPr>
                <w:rtl/>
                <w:lang w:bidi="fa-IR"/>
              </w:rPr>
            </w:pPr>
            <w:r>
              <w:rPr>
                <w:rtl/>
                <w:lang w:bidi="fa-IR"/>
              </w:rPr>
              <w:t>(6). في « ط ، جد ، جن » : - « يا هشام ».</w:t>
            </w:r>
          </w:p>
        </w:tc>
      </w:tr>
    </w:tbl>
    <w:p w:rsidR="00744A1C" w:rsidRDefault="00E378DD" w:rsidP="00E378DD">
      <w:pPr>
        <w:pStyle w:val="libFootnote0"/>
        <w:rPr>
          <w:lang w:bidi="fa-IR"/>
        </w:rPr>
      </w:pPr>
      <w:r>
        <w:rPr>
          <w:rtl/>
          <w:lang w:bidi="fa-IR"/>
        </w:rPr>
        <w:t>(7).</w:t>
      </w:r>
      <w:r w:rsidR="00744A1C">
        <w:rPr>
          <w:rtl/>
          <w:lang w:bidi="fa-IR"/>
        </w:rPr>
        <w:t xml:space="preserve"> في « بخ ، بف » : « لو ».</w:t>
      </w:r>
    </w:p>
    <w:p w:rsidR="006A5060" w:rsidRDefault="006A5060" w:rsidP="00D10E3C">
      <w:pPr>
        <w:pStyle w:val="libNormal"/>
        <w:rPr>
          <w:rtl/>
          <w:lang w:bidi="fa-IR"/>
        </w:rPr>
      </w:pPr>
      <w:r>
        <w:rPr>
          <w:rtl/>
          <w:lang w:bidi="fa-IR"/>
        </w:rPr>
        <w:br w:type="page"/>
      </w:r>
    </w:p>
    <w:p w:rsidR="00144FA6" w:rsidRDefault="00744A1C" w:rsidP="005756D1">
      <w:pPr>
        <w:pStyle w:val="libNormal0"/>
        <w:rPr>
          <w:rtl/>
          <w:lang w:bidi="fa-IR"/>
        </w:rPr>
      </w:pPr>
      <w:r>
        <w:rPr>
          <w:rtl/>
          <w:lang w:bidi="fa-IR"/>
        </w:rPr>
        <w:t xml:space="preserve">الرِّزْقِ فِي ذلِكَ الْيَوْمِ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8394 / 8. أَحْمَدُ بْنُ عَبْدِ اللهِ ، عَنْ أَحْمَدَ بْنِ أَبِي عَبْدِ اللهِ ، عَنْ أَبِيهِ ، عَنْ صَفْوَانَ ، عَنْ خَالِدِ بْنِ نَجِيحٍ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أَقْرِئُوا مَنْ لَقِيتُمْ مِنْ أَصْحَابِكُمُ السَّلَامَ ، وَقُولُوا لَهُمْ : إِنَّ </w:t>
      </w:r>
      <w:r w:rsidRPr="00D10E3C">
        <w:rPr>
          <w:rStyle w:val="libFootnotenumChar"/>
          <w:rtl/>
        </w:rPr>
        <w:t>(3)</w:t>
      </w:r>
      <w:r>
        <w:rPr>
          <w:rtl/>
          <w:lang w:bidi="fa-IR"/>
        </w:rPr>
        <w:t xml:space="preserve"> ‌فُلَانَ بْنَ فُلَانٍ يُقْرِئُكُمُ السَّلَامَ ، وَقُولُوا لَهُمْ : عَلَيْكُمْ بِتَقْوَى اللهِ عَزَّ وَجَلَّ ، وَمَا يُنَالُ بِهِ مَا عِنْدَ اللهِ ، إِنِّي - وَاللهِ - مَا آمُرُكُمْ </w:t>
      </w:r>
      <w:r w:rsidRPr="00D10E3C">
        <w:rPr>
          <w:rStyle w:val="libFootnotenumChar"/>
          <w:rtl/>
        </w:rPr>
        <w:t>(4)</w:t>
      </w:r>
      <w:r w:rsidR="005756D1">
        <w:rPr>
          <w:rtl/>
          <w:lang w:bidi="fa-IR"/>
        </w:rPr>
        <w:t xml:space="preserve"> إِل</w:t>
      </w:r>
      <w:r w:rsidR="005756D1">
        <w:rPr>
          <w:rFonts w:hint="cs"/>
          <w:rtl/>
          <w:lang w:bidi="fa-IR"/>
        </w:rPr>
        <w:t>َّ</w:t>
      </w:r>
      <w:r w:rsidR="005756D1">
        <w:rPr>
          <w:rtl/>
          <w:lang w:bidi="fa-IR"/>
        </w:rPr>
        <w:t>ا</w:t>
      </w:r>
      <w:r>
        <w:rPr>
          <w:rtl/>
          <w:lang w:bidi="fa-IR"/>
        </w:rPr>
        <w:t xml:space="preserve"> بِمَا نَأْمُرُ </w:t>
      </w:r>
      <w:r w:rsidRPr="00D10E3C">
        <w:rPr>
          <w:rStyle w:val="libFootnotenumChar"/>
          <w:rtl/>
        </w:rPr>
        <w:t>(5)</w:t>
      </w:r>
      <w:r>
        <w:rPr>
          <w:rtl/>
          <w:lang w:bidi="fa-IR"/>
        </w:rPr>
        <w:t xml:space="preserve"> بِهِ أَنْفُسَنَا </w:t>
      </w:r>
      <w:r w:rsidRPr="00D10E3C">
        <w:rPr>
          <w:rStyle w:val="libFootnotenumChar"/>
          <w:rtl/>
        </w:rPr>
        <w:t>(6)</w:t>
      </w:r>
      <w:r>
        <w:rPr>
          <w:rtl/>
          <w:lang w:bidi="fa-IR"/>
        </w:rPr>
        <w:t xml:space="preserve"> ، فَعَلَيْكُمْ بِالْجِدِّ وَالِاجْتِهَادِ </w:t>
      </w:r>
      <w:r w:rsidRPr="00D10E3C">
        <w:rPr>
          <w:rStyle w:val="libFootnotenumChar"/>
          <w:rtl/>
        </w:rPr>
        <w:t>(7)</w:t>
      </w:r>
      <w:r>
        <w:rPr>
          <w:rtl/>
          <w:lang w:bidi="fa-IR"/>
        </w:rPr>
        <w:t xml:space="preserve"> ، وَإِذَا صَلَّيْتُمُ الصُّبْحَ وَانْصَرَفْتُمْ </w:t>
      </w:r>
      <w:r w:rsidRPr="00D10E3C">
        <w:rPr>
          <w:rStyle w:val="libFootnotenumChar"/>
          <w:rtl/>
        </w:rPr>
        <w:t>(8)</w:t>
      </w:r>
      <w:r>
        <w:rPr>
          <w:rtl/>
          <w:lang w:bidi="fa-IR"/>
        </w:rPr>
        <w:t xml:space="preserve"> ، فَبَكِّرُوا </w:t>
      </w:r>
      <w:r w:rsidRPr="00D10E3C">
        <w:rPr>
          <w:rStyle w:val="libFootnotenumChar"/>
          <w:rtl/>
        </w:rPr>
        <w:t>(9)</w:t>
      </w:r>
      <w:r>
        <w:rPr>
          <w:rtl/>
          <w:lang w:bidi="fa-IR"/>
        </w:rPr>
        <w:t xml:space="preserve"> فِي طَلَبِ الرِّزْقِ ، وَاطْلُبُوا الْحَلَالَ ؛ فَإِنَّ اللهَ - عَزَّ وَجَلَّ - سَيَرْزُقُكُمْ وَيُعِينُكُمْ عَلَيْهِ ». </w:t>
      </w:r>
      <w:r w:rsidRPr="00D10E3C">
        <w:rPr>
          <w:rStyle w:val="libFootnotenumChar"/>
          <w:rtl/>
        </w:rPr>
        <w:t>(10)</w:t>
      </w:r>
    </w:p>
    <w:p w:rsidR="00144FA6" w:rsidRDefault="00744A1C" w:rsidP="00744A1C">
      <w:pPr>
        <w:pStyle w:val="libNormal"/>
        <w:rPr>
          <w:rtl/>
          <w:lang w:bidi="fa-IR"/>
        </w:rPr>
      </w:pPr>
      <w:r>
        <w:rPr>
          <w:rtl/>
          <w:lang w:bidi="fa-IR"/>
        </w:rPr>
        <w:t xml:space="preserve">8395 / 9. عَلِيُّ بْنُ إِبْرَاهِيمَ ، عَنْ أَبِيهِ ، عَنِ ابْنِ أَبِي عُمَيْرٍ ، عَنْ حُسَيْنِ </w:t>
      </w:r>
      <w:r w:rsidRPr="00D10E3C">
        <w:rPr>
          <w:rStyle w:val="libFootnotenumChar"/>
          <w:rtl/>
        </w:rPr>
        <w:t>(11)</w:t>
      </w:r>
      <w:r>
        <w:rPr>
          <w:rtl/>
          <w:lang w:bidi="fa-IR"/>
        </w:rPr>
        <w:t xml:space="preserve"> بْنِ أَحْمَدَ ، عَنْ شِهَابِ بْنِ عَبْدِ رَبِّهِ ، قَالَ :</w:t>
      </w:r>
    </w:p>
    <w:p w:rsidR="00744A1C" w:rsidRDefault="00744A1C" w:rsidP="00744A1C">
      <w:pPr>
        <w:pStyle w:val="libNormal"/>
        <w:rPr>
          <w:lang w:bidi="fa-IR"/>
        </w:rPr>
      </w:pPr>
      <w:r>
        <w:rPr>
          <w:rtl/>
          <w:lang w:bidi="fa-IR"/>
        </w:rPr>
        <w:t xml:space="preserve">قَالَ لِي </w:t>
      </w:r>
      <w:r w:rsidRPr="00D10E3C">
        <w:rPr>
          <w:rStyle w:val="libFootnotenumChar"/>
          <w:rtl/>
        </w:rPr>
        <w:t>(12)</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إِنْ ظَنَنْتَ أَوْ بَلَغَكَ أَنَّ هذَا الْأَمْرَ </w:t>
      </w:r>
      <w:r w:rsidRPr="00D10E3C">
        <w:rPr>
          <w:rStyle w:val="libFootnotenumChar"/>
          <w:rtl/>
        </w:rPr>
        <w:t>(13)</w:t>
      </w:r>
      <w:r>
        <w:rPr>
          <w:rtl/>
          <w:lang w:bidi="fa-IR"/>
        </w:rPr>
        <w:t xml:space="preserve"> كَائِنٌ فِي غَدٍ ، فَلَا‌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19 ، ص 23 : « قوله </w:t>
      </w:r>
      <w:r w:rsidR="0061079A" w:rsidRPr="0061079A">
        <w:rPr>
          <w:rStyle w:val="libFootnoteAlaemChar"/>
          <w:rtl/>
        </w:rPr>
        <w:t>عليه‌السلام</w:t>
      </w:r>
      <w:r>
        <w:rPr>
          <w:rtl/>
          <w:lang w:bidi="fa-IR"/>
        </w:rPr>
        <w:t xml:space="preserve"> </w:t>
      </w:r>
      <w:r w:rsidR="00744A1C">
        <w:rPr>
          <w:rtl/>
          <w:lang w:bidi="fa-IR"/>
        </w:rPr>
        <w:t>: في ذلك اليوم ، إذ يمكن أن يتيسّر التجارة في هذا الوقت أيضاً ، أو المراد الطلب بالدعاء ؛ لأنّه وقت الاستجابة. وهو بعيد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324 ، ح 892 ، معلّقاً عن الكليني </w:t>
      </w:r>
      <w:r w:rsidR="001B2DF2">
        <w:rPr>
          <w:rFonts w:hint="cs"/>
          <w:rtl/>
          <w:lang w:bidi="fa-IR"/>
        </w:rPr>
        <w:t>.</w:t>
      </w:r>
      <w:r w:rsidR="00744A1C" w:rsidRPr="00C24F9C">
        <w:rPr>
          <w:rStyle w:val="libFootnoteBoldChar"/>
          <w:rtl/>
        </w:rPr>
        <w:t>الوافي</w:t>
      </w:r>
      <w:r w:rsidR="00744A1C">
        <w:rPr>
          <w:rtl/>
          <w:lang w:bidi="fa-IR"/>
        </w:rPr>
        <w:t xml:space="preserve"> ، ج 17 ، ص 23 ، ح 16792 ؛ </w:t>
      </w:r>
      <w:r w:rsidR="00744A1C" w:rsidRPr="00C24F9C">
        <w:rPr>
          <w:rStyle w:val="libFootnoteBoldChar"/>
          <w:rtl/>
        </w:rPr>
        <w:t>الوسائل</w:t>
      </w:r>
      <w:r w:rsidR="00744A1C">
        <w:rPr>
          <w:rtl/>
          <w:lang w:bidi="fa-IR"/>
        </w:rPr>
        <w:t xml:space="preserve"> ، ج 17 ، ص 26 ، ح 21891.</w:t>
      </w:r>
    </w:p>
    <w:p w:rsidR="00744A1C" w:rsidRDefault="00E378DD" w:rsidP="00E378DD">
      <w:pPr>
        <w:pStyle w:val="libFootnote0"/>
        <w:rPr>
          <w:lang w:bidi="fa-IR"/>
        </w:rPr>
      </w:pPr>
      <w:r>
        <w:rPr>
          <w:rtl/>
          <w:lang w:bidi="fa-IR"/>
        </w:rPr>
        <w:t>(3).</w:t>
      </w:r>
      <w:r w:rsidR="00744A1C">
        <w:rPr>
          <w:rtl/>
          <w:lang w:bidi="fa-IR"/>
        </w:rPr>
        <w:t xml:space="preserve"> في « بخ ، بف » : - « إنّ ».</w:t>
      </w:r>
    </w:p>
    <w:p w:rsidR="00744A1C" w:rsidRDefault="00E378DD" w:rsidP="00E378DD">
      <w:pPr>
        <w:pStyle w:val="libFootnote0"/>
        <w:rPr>
          <w:lang w:bidi="fa-IR"/>
        </w:rPr>
      </w:pPr>
      <w:r>
        <w:rPr>
          <w:rtl/>
          <w:lang w:bidi="fa-IR"/>
        </w:rPr>
        <w:t>(4).</w:t>
      </w:r>
      <w:r w:rsidR="00744A1C">
        <w:rPr>
          <w:rtl/>
          <w:lang w:bidi="fa-IR"/>
        </w:rPr>
        <w:t xml:space="preserve"> في « جن » : + « به ».</w:t>
      </w:r>
    </w:p>
    <w:p w:rsidR="00744A1C" w:rsidRDefault="00E378DD" w:rsidP="00E378DD">
      <w:pPr>
        <w:pStyle w:val="libFootnote0"/>
        <w:rPr>
          <w:lang w:bidi="fa-IR"/>
        </w:rPr>
      </w:pPr>
      <w:r>
        <w:rPr>
          <w:rtl/>
          <w:lang w:bidi="fa-IR"/>
        </w:rPr>
        <w:t>(5).</w:t>
      </w:r>
      <w:r w:rsidR="00744A1C">
        <w:rPr>
          <w:rtl/>
          <w:lang w:bidi="fa-IR"/>
        </w:rPr>
        <w:t xml:space="preserve"> في « ط » : « آمر ».</w:t>
      </w:r>
    </w:p>
    <w:p w:rsidR="00744A1C" w:rsidRDefault="00E378DD" w:rsidP="00E378DD">
      <w:pPr>
        <w:pStyle w:val="libFootnote0"/>
        <w:rPr>
          <w:lang w:bidi="fa-IR"/>
        </w:rPr>
      </w:pPr>
      <w:r>
        <w:rPr>
          <w:rtl/>
          <w:lang w:bidi="fa-IR"/>
        </w:rPr>
        <w:t>(6).</w:t>
      </w:r>
      <w:r w:rsidR="00744A1C">
        <w:rPr>
          <w:rtl/>
          <w:lang w:bidi="fa-IR"/>
        </w:rPr>
        <w:t xml:space="preserve"> في « ط » : « نفسي ».</w:t>
      </w:r>
    </w:p>
    <w:tbl>
      <w:tblPr>
        <w:tblStyle w:val="TableGrid"/>
        <w:bidiVisual/>
        <w:tblW w:w="0" w:type="auto"/>
        <w:tblLook w:val="04A0" w:firstRow="1" w:lastRow="0" w:firstColumn="1" w:lastColumn="0" w:noHBand="0" w:noVBand="1"/>
      </w:tblPr>
      <w:tblGrid>
        <w:gridCol w:w="4006"/>
        <w:gridCol w:w="4006"/>
      </w:tblGrid>
      <w:tr w:rsidR="0006272D" w:rsidTr="0006272D">
        <w:tc>
          <w:tcPr>
            <w:tcW w:w="4006" w:type="dxa"/>
          </w:tcPr>
          <w:p w:rsidR="0006272D" w:rsidRDefault="0006272D" w:rsidP="00E378DD">
            <w:pPr>
              <w:pStyle w:val="libFootnote0"/>
              <w:rPr>
                <w:rtl/>
                <w:lang w:bidi="fa-IR"/>
              </w:rPr>
            </w:pPr>
            <w:r>
              <w:rPr>
                <w:rtl/>
                <w:lang w:bidi="fa-IR"/>
              </w:rPr>
              <w:t>(7). في « ط » : « والجهاد ».</w:t>
            </w:r>
          </w:p>
        </w:tc>
        <w:tc>
          <w:tcPr>
            <w:tcW w:w="4006" w:type="dxa"/>
          </w:tcPr>
          <w:p w:rsidR="0006272D" w:rsidRDefault="0006272D" w:rsidP="00E378DD">
            <w:pPr>
              <w:pStyle w:val="libFootnote0"/>
              <w:rPr>
                <w:rtl/>
                <w:lang w:bidi="fa-IR"/>
              </w:rPr>
            </w:pPr>
            <w:r>
              <w:rPr>
                <w:rtl/>
                <w:lang w:bidi="fa-IR"/>
              </w:rPr>
              <w:t>(8).</w:t>
            </w:r>
            <w:r w:rsidR="00066218">
              <w:rPr>
                <w:rtl/>
                <w:lang w:bidi="fa-IR"/>
              </w:rPr>
              <w:t xml:space="preserve"> في «ى،بح،</w:t>
            </w:r>
            <w:r>
              <w:rPr>
                <w:rtl/>
                <w:lang w:bidi="fa-IR"/>
              </w:rPr>
              <w:t>جت ، جد ، جن » : « فانصرفتم ».</w:t>
            </w:r>
          </w:p>
        </w:tc>
      </w:tr>
    </w:tbl>
    <w:p w:rsidR="00744A1C" w:rsidRDefault="00E378DD" w:rsidP="00E378DD">
      <w:pPr>
        <w:pStyle w:val="libFootnote0"/>
        <w:rPr>
          <w:lang w:bidi="fa-IR"/>
        </w:rPr>
      </w:pPr>
      <w:r>
        <w:rPr>
          <w:rtl/>
          <w:lang w:bidi="fa-IR"/>
        </w:rPr>
        <w:t>(9).</w:t>
      </w:r>
      <w:r w:rsidR="00744A1C">
        <w:rPr>
          <w:rtl/>
          <w:lang w:bidi="fa-IR"/>
        </w:rPr>
        <w:t xml:space="preserve"> التبكير والبُكور : الخروج في البُكرَة ، أي الغُدْوَة. راجع : </w:t>
      </w:r>
      <w:r w:rsidR="00744A1C" w:rsidRPr="00877682">
        <w:rPr>
          <w:rStyle w:val="libFootnoteBoldChar"/>
          <w:rtl/>
        </w:rPr>
        <w:t>لسان العرب</w:t>
      </w:r>
      <w:r w:rsidR="00744A1C">
        <w:rPr>
          <w:rtl/>
          <w:lang w:bidi="fa-IR"/>
        </w:rPr>
        <w:t xml:space="preserve"> ، ج 4 ، ص 76 ( بكر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الوافي</w:t>
      </w:r>
      <w:r w:rsidR="00744A1C">
        <w:rPr>
          <w:rtl/>
          <w:lang w:bidi="fa-IR"/>
        </w:rPr>
        <w:t xml:space="preserve"> ، ج 17 ، ص 23 ، ح 16793 ؛ </w:t>
      </w:r>
      <w:r w:rsidR="00744A1C" w:rsidRPr="00C24F9C">
        <w:rPr>
          <w:rStyle w:val="libFootnoteBoldChar"/>
          <w:rtl/>
        </w:rPr>
        <w:t>الوسائل</w:t>
      </w:r>
      <w:r w:rsidR="00744A1C">
        <w:rPr>
          <w:rtl/>
          <w:lang w:bidi="fa-IR"/>
        </w:rPr>
        <w:t xml:space="preserve"> ، ج 17 ، ص 22 ، ح 21879.</w:t>
      </w:r>
    </w:p>
    <w:p w:rsidR="00744A1C" w:rsidRDefault="00E378DD" w:rsidP="00E378DD">
      <w:pPr>
        <w:pStyle w:val="libFootnote0"/>
        <w:rPr>
          <w:lang w:bidi="fa-IR"/>
        </w:rPr>
      </w:pPr>
      <w:r>
        <w:rPr>
          <w:rtl/>
          <w:lang w:bidi="fa-IR"/>
        </w:rPr>
        <w:t>(11).</w:t>
      </w:r>
      <w:r w:rsidR="00744A1C">
        <w:rPr>
          <w:rtl/>
          <w:lang w:bidi="fa-IR"/>
        </w:rPr>
        <w:t xml:space="preserve"> هكذا في « ط ، ى ، ب</w:t>
      </w:r>
      <w:r w:rsidR="004E649D">
        <w:rPr>
          <w:rtl/>
          <w:lang w:bidi="fa-IR"/>
        </w:rPr>
        <w:t>ح ، بس ، جد ، جن ». وفي «بث ، بخ ، جت</w:t>
      </w:r>
      <w:r w:rsidR="00744A1C">
        <w:rPr>
          <w:rtl/>
          <w:lang w:bidi="fa-IR"/>
        </w:rPr>
        <w:t>» والمطبوع و</w:t>
      </w:r>
      <w:r w:rsidR="00744A1C" w:rsidRPr="00C24F9C">
        <w:rPr>
          <w:rStyle w:val="libFootnoteBoldChar"/>
          <w:rtl/>
        </w:rPr>
        <w:t>الوسائل</w:t>
      </w:r>
      <w:r w:rsidR="00744A1C">
        <w:rPr>
          <w:rtl/>
          <w:lang w:bidi="fa-IR"/>
        </w:rPr>
        <w:t xml:space="preserve"> : « الحسين ».</w:t>
      </w:r>
    </w:p>
    <w:p w:rsidR="00744A1C" w:rsidRDefault="00E378DD" w:rsidP="00E378DD">
      <w:pPr>
        <w:pStyle w:val="libFootnote0"/>
        <w:rPr>
          <w:lang w:bidi="fa-IR"/>
        </w:rPr>
      </w:pPr>
      <w:r>
        <w:rPr>
          <w:rtl/>
          <w:lang w:bidi="fa-IR"/>
        </w:rPr>
        <w:t>(12).</w:t>
      </w:r>
      <w:r w:rsidR="00744A1C">
        <w:rPr>
          <w:rtl/>
          <w:lang w:bidi="fa-IR"/>
        </w:rPr>
        <w:t xml:space="preserve"> في « ط » : - « لي ».</w:t>
      </w:r>
    </w:p>
    <w:p w:rsidR="00744A1C" w:rsidRDefault="00E378DD" w:rsidP="004E649D">
      <w:pPr>
        <w:pStyle w:val="libFootnote0"/>
        <w:rPr>
          <w:lang w:bidi="fa-IR"/>
        </w:rPr>
      </w:pPr>
      <w:r>
        <w:rPr>
          <w:rtl/>
          <w:lang w:bidi="fa-IR"/>
        </w:rPr>
        <w:t>(13).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4E649D" w:rsidRPr="0061079A">
        <w:rPr>
          <w:rStyle w:val="libFootnoteAlaemChar"/>
          <w:rtl/>
        </w:rPr>
        <w:t>عليه‌السلام</w:t>
      </w:r>
      <w:r w:rsidR="00744A1C">
        <w:rPr>
          <w:rtl/>
          <w:lang w:bidi="fa-IR"/>
        </w:rPr>
        <w:t xml:space="preserve">: أنّ هذا الأمر ، أي خروج القائم </w:t>
      </w:r>
      <w:r w:rsidR="0061079A" w:rsidRPr="0061079A">
        <w:rPr>
          <w:rStyle w:val="libFootnoteAlaemChar"/>
          <w:rtl/>
        </w:rPr>
        <w:t>عليه‌السلام</w:t>
      </w:r>
      <w:r w:rsidR="00D10E3C">
        <w:rPr>
          <w:rtl/>
          <w:lang w:bidi="fa-IR"/>
        </w:rPr>
        <w:t xml:space="preserve"> </w:t>
      </w:r>
      <w:r w:rsidR="00744A1C">
        <w:rPr>
          <w:rtl/>
          <w:lang w:bidi="fa-IR"/>
        </w:rPr>
        <w:t>، وحمله على الموت بعيد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تَدَعَنَّ </w:t>
      </w:r>
      <w:r w:rsidRPr="00D10E3C">
        <w:rPr>
          <w:rStyle w:val="libFootnotenumChar"/>
          <w:rtl/>
        </w:rPr>
        <w:t>(1)</w:t>
      </w:r>
      <w:r>
        <w:rPr>
          <w:rtl/>
          <w:lang w:bidi="fa-IR"/>
        </w:rPr>
        <w:t xml:space="preserve"> طَلَبَ الرِّزْقِ ، وَإِنِ </w:t>
      </w:r>
      <w:r w:rsidRPr="00D10E3C">
        <w:rPr>
          <w:rStyle w:val="libFootnotenumChar"/>
          <w:rtl/>
        </w:rPr>
        <w:t>(2)</w:t>
      </w:r>
      <w:r>
        <w:rPr>
          <w:rtl/>
          <w:lang w:bidi="fa-IR"/>
        </w:rPr>
        <w:t xml:space="preserve"> اسْتَطَعْتَ أَنْ لَاتَكُونَ كَلًّا </w:t>
      </w:r>
      <w:r w:rsidRPr="00D10E3C">
        <w:rPr>
          <w:rStyle w:val="libFootnotenumChar"/>
          <w:rtl/>
        </w:rPr>
        <w:t>(3)</w:t>
      </w:r>
      <w:r>
        <w:rPr>
          <w:rtl/>
          <w:lang w:bidi="fa-IR"/>
        </w:rPr>
        <w:t xml:space="preserve"> ، فَافْعَلْ ». </w:t>
      </w:r>
      <w:r w:rsidRPr="00D10E3C">
        <w:rPr>
          <w:rStyle w:val="libFootnotenumChar"/>
          <w:rtl/>
        </w:rPr>
        <w:t>(4)</w:t>
      </w:r>
    </w:p>
    <w:p w:rsidR="00144FA6" w:rsidRDefault="00744A1C" w:rsidP="00744A1C">
      <w:pPr>
        <w:pStyle w:val="libNormal"/>
        <w:rPr>
          <w:rtl/>
          <w:lang w:bidi="fa-IR"/>
        </w:rPr>
      </w:pPr>
      <w:r>
        <w:rPr>
          <w:rtl/>
          <w:lang w:bidi="fa-IR"/>
        </w:rPr>
        <w:t>8396 / 10. حُمَيْدُ بْنُ زِيَادٍ ، عَنِ الْحَسَنِ بْنِ مُحَمَّدِ بْنِ سَمَاعَةَ ، عَمَّنْ ذَكَرَهُ ، عَنْ أَبَانٍ ، عَنِ الْعَلَاءِ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أَيَعْجِزُ أَحَدُكُمْ أَنْ يَكُونَ مِثْلَ النَّمْلَةِ؟ فَإِنَّ النَّمْلَةَ </w:t>
      </w:r>
      <w:r w:rsidRPr="00D10E3C">
        <w:rPr>
          <w:rStyle w:val="libFootnotenumChar"/>
          <w:rtl/>
        </w:rPr>
        <w:t>(5)</w:t>
      </w:r>
      <w:r>
        <w:rPr>
          <w:rtl/>
          <w:lang w:bidi="fa-IR"/>
        </w:rPr>
        <w:t xml:space="preserve"> تَجُرُّ إِلى جُحْرِهَا </w:t>
      </w:r>
      <w:r w:rsidRPr="00D10E3C">
        <w:rPr>
          <w:rStyle w:val="libFootnotenumChar"/>
          <w:rtl/>
        </w:rPr>
        <w:t>(6)</w:t>
      </w:r>
      <w:r>
        <w:rPr>
          <w:rtl/>
          <w:lang w:bidi="fa-IR"/>
        </w:rPr>
        <w:t xml:space="preserve"> ». </w:t>
      </w:r>
      <w:r w:rsidRPr="00D10E3C">
        <w:rPr>
          <w:rStyle w:val="libFootnotenumChar"/>
          <w:rtl/>
        </w:rPr>
        <w:t>(7)</w:t>
      </w:r>
    </w:p>
    <w:p w:rsidR="00144FA6" w:rsidRDefault="00744A1C" w:rsidP="00744A1C">
      <w:pPr>
        <w:pStyle w:val="libNormal"/>
        <w:rPr>
          <w:rtl/>
          <w:lang w:bidi="fa-IR"/>
        </w:rPr>
      </w:pPr>
      <w:r>
        <w:rPr>
          <w:rtl/>
          <w:lang w:bidi="fa-IR"/>
        </w:rPr>
        <w:t xml:space="preserve">8397 / 11. سَهْلُ بْنُ زِيَادٍ </w:t>
      </w:r>
      <w:r w:rsidRPr="00D10E3C">
        <w:rPr>
          <w:rStyle w:val="libFootnotenumChar"/>
          <w:rtl/>
        </w:rPr>
        <w:t>(8)</w:t>
      </w:r>
      <w:r>
        <w:rPr>
          <w:rtl/>
          <w:lang w:bidi="fa-IR"/>
        </w:rPr>
        <w:t xml:space="preserve"> ، عَنِ الْهَيْثَمِ بْنِ أَبِي مَسْرُوقٍ ، عَنْ مُحَمَّدِ بْنِ عُمَرَ بْنِ بَزِيعٍ </w:t>
      </w:r>
      <w:r w:rsidRPr="00D10E3C">
        <w:rPr>
          <w:rStyle w:val="libFootnotenumChar"/>
          <w:rtl/>
        </w:rPr>
        <w:t>(9)</w:t>
      </w:r>
      <w:r>
        <w:rPr>
          <w:rtl/>
          <w:lang w:bidi="fa-IR"/>
        </w:rPr>
        <w:t xml:space="preserve"> ، عَنْ أَحْمَدَ </w:t>
      </w:r>
      <w:r w:rsidRPr="00D10E3C">
        <w:rPr>
          <w:rStyle w:val="libFootnotenumChar"/>
          <w:rtl/>
        </w:rPr>
        <w:t>(10)</w:t>
      </w:r>
      <w:r>
        <w:rPr>
          <w:rtl/>
          <w:lang w:bidi="fa-IR"/>
        </w:rPr>
        <w:t xml:space="preserve"> بْنِ عَائِذٍ ، عَنْ كُلَيْبٍ الصَّيْدَاوِيِّ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ادْعُ اللهَ - عَزَّ وَجَلَّ - لِي </w:t>
      </w:r>
      <w:r w:rsidRPr="00D10E3C">
        <w:rPr>
          <w:rStyle w:val="libFootnotenumChar"/>
          <w:rtl/>
        </w:rPr>
        <w:t>(11)</w:t>
      </w:r>
      <w:r>
        <w:rPr>
          <w:rtl/>
          <w:lang w:bidi="fa-IR"/>
        </w:rPr>
        <w:t xml:space="preserve"> فِي </w:t>
      </w:r>
      <w:r w:rsidRPr="00D10E3C">
        <w:rPr>
          <w:rStyle w:val="libFootnotenumChar"/>
          <w:rtl/>
        </w:rPr>
        <w:t>(12)</w:t>
      </w:r>
      <w:r>
        <w:rPr>
          <w:rtl/>
          <w:lang w:bidi="fa-IR"/>
        </w:rPr>
        <w:t xml:space="preserve"> الرِّزْقِ ؛ فَقَدِ‌</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4E649D" w:rsidTr="004E649D">
        <w:tc>
          <w:tcPr>
            <w:tcW w:w="4006" w:type="dxa"/>
          </w:tcPr>
          <w:p w:rsidR="004E649D" w:rsidRDefault="004E649D" w:rsidP="00D10E3C">
            <w:pPr>
              <w:pStyle w:val="libFootnote0"/>
              <w:rPr>
                <w:rtl/>
                <w:lang w:bidi="fa-IR"/>
              </w:rPr>
            </w:pPr>
            <w:r>
              <w:rPr>
                <w:rtl/>
                <w:lang w:bidi="fa-IR"/>
              </w:rPr>
              <w:t>(1). في « ط » : « فلا تدع ».</w:t>
            </w:r>
          </w:p>
        </w:tc>
        <w:tc>
          <w:tcPr>
            <w:tcW w:w="4006" w:type="dxa"/>
          </w:tcPr>
          <w:p w:rsidR="004E649D" w:rsidRDefault="004E649D" w:rsidP="00D10E3C">
            <w:pPr>
              <w:pStyle w:val="libFootnote0"/>
              <w:rPr>
                <w:rtl/>
                <w:lang w:bidi="fa-IR"/>
              </w:rPr>
            </w:pPr>
            <w:r>
              <w:rPr>
                <w:rtl/>
                <w:lang w:bidi="fa-IR"/>
              </w:rPr>
              <w:t>(2). في « ط » : « إن » بدون الواو.</w:t>
            </w:r>
          </w:p>
        </w:tc>
      </w:tr>
    </w:tbl>
    <w:p w:rsidR="00744A1C" w:rsidRDefault="00E378DD" w:rsidP="00E378DD">
      <w:pPr>
        <w:pStyle w:val="libFootnote0"/>
        <w:rPr>
          <w:lang w:bidi="fa-IR"/>
        </w:rPr>
      </w:pPr>
      <w:r>
        <w:rPr>
          <w:rtl/>
          <w:lang w:bidi="fa-IR"/>
        </w:rPr>
        <w:t>(3).</w:t>
      </w:r>
      <w:r w:rsidR="00744A1C">
        <w:rPr>
          <w:rtl/>
          <w:lang w:bidi="fa-IR"/>
        </w:rPr>
        <w:t xml:space="preserve"> الكَلُّ والكُلولُ والكَلَالةُ : العَجز ، والإعياء ، والثقل ، والتعب. راجع : </w:t>
      </w:r>
      <w:r w:rsidR="00744A1C" w:rsidRPr="00877682">
        <w:rPr>
          <w:rStyle w:val="libFootnoteBoldChar"/>
          <w:rtl/>
        </w:rPr>
        <w:t>لسان العرب</w:t>
      </w:r>
      <w:r w:rsidR="00744A1C">
        <w:rPr>
          <w:rtl/>
          <w:lang w:bidi="fa-IR"/>
        </w:rPr>
        <w:t xml:space="preserve"> ، ج 11 ، ص 590 ( كلل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17 ، ص 23 ، ح 16794 ؛ </w:t>
      </w:r>
      <w:r w:rsidR="00744A1C" w:rsidRPr="00C24F9C">
        <w:rPr>
          <w:rStyle w:val="libFootnoteBoldChar"/>
          <w:rtl/>
        </w:rPr>
        <w:t>الوسائل</w:t>
      </w:r>
      <w:r w:rsidR="00744A1C">
        <w:rPr>
          <w:rtl/>
          <w:lang w:bidi="fa-IR"/>
        </w:rPr>
        <w:t xml:space="preserve"> ، ج 17 ، ص 26 ، ح 21892.</w:t>
      </w:r>
    </w:p>
    <w:p w:rsidR="00744A1C" w:rsidRDefault="00E378DD" w:rsidP="00E378DD">
      <w:pPr>
        <w:pStyle w:val="libFootnote0"/>
        <w:rPr>
          <w:lang w:bidi="fa-IR"/>
        </w:rPr>
      </w:pPr>
      <w:r>
        <w:rPr>
          <w:rtl/>
          <w:lang w:bidi="fa-IR"/>
        </w:rPr>
        <w:t>(5).</w:t>
      </w:r>
      <w:r w:rsidR="00744A1C">
        <w:rPr>
          <w:rtl/>
          <w:lang w:bidi="fa-IR"/>
        </w:rPr>
        <w:t xml:space="preserve"> في « ط » : - « فإنّ النملة ».</w:t>
      </w:r>
    </w:p>
    <w:p w:rsidR="00744A1C" w:rsidRDefault="00E378DD" w:rsidP="00E378DD">
      <w:pPr>
        <w:pStyle w:val="libFootnote0"/>
        <w:rPr>
          <w:lang w:bidi="fa-IR"/>
        </w:rPr>
      </w:pPr>
      <w:r>
        <w:rPr>
          <w:rtl/>
          <w:lang w:bidi="fa-IR"/>
        </w:rPr>
        <w:t>(6).</w:t>
      </w:r>
      <w:r w:rsidR="00744A1C">
        <w:rPr>
          <w:rtl/>
          <w:lang w:bidi="fa-IR"/>
        </w:rPr>
        <w:t xml:space="preserve"> في « ط ، ى ، بح ، بخ ، بس ، بف ، جد ، جن » : « حجرها ». والجُحْرُ ، بالضمّ : كلّ شي‌ء تحتفره الهوامّ والسباع لأنفسها. </w:t>
      </w:r>
      <w:r w:rsidR="00744A1C" w:rsidRPr="008A57EB">
        <w:rPr>
          <w:rStyle w:val="libFootnoteBoldChar"/>
          <w:rtl/>
        </w:rPr>
        <w:t>القاموس المحيط</w:t>
      </w:r>
      <w:r w:rsidR="00744A1C">
        <w:rPr>
          <w:rtl/>
          <w:lang w:bidi="fa-IR"/>
        </w:rPr>
        <w:t xml:space="preserve"> ، ج 1 ، ص 516 ( جحر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17 ، ص 24 ، ح 16796 ؛ </w:t>
      </w:r>
      <w:r w:rsidR="00744A1C" w:rsidRPr="00C24F9C">
        <w:rPr>
          <w:rStyle w:val="libFootnoteBoldChar"/>
          <w:rtl/>
        </w:rPr>
        <w:t>الوسائل</w:t>
      </w:r>
      <w:r w:rsidR="00744A1C">
        <w:rPr>
          <w:rtl/>
          <w:lang w:bidi="fa-IR"/>
        </w:rPr>
        <w:t xml:space="preserve"> ، ج 17 ، ص 22 ، ح 21880.</w:t>
      </w:r>
    </w:p>
    <w:p w:rsidR="00744A1C" w:rsidRDefault="00E378DD" w:rsidP="00E378DD">
      <w:pPr>
        <w:pStyle w:val="libFootnote0"/>
        <w:rPr>
          <w:lang w:bidi="fa-IR"/>
        </w:rPr>
      </w:pPr>
      <w:r>
        <w:rPr>
          <w:rtl/>
          <w:lang w:bidi="fa-IR"/>
        </w:rPr>
        <w:t>(8).</w:t>
      </w:r>
      <w:r w:rsidR="00744A1C">
        <w:rPr>
          <w:rtl/>
          <w:lang w:bidi="fa-IR"/>
        </w:rPr>
        <w:t xml:space="preserve"> الظاهر أنّ السند معلّق على سند الحديث السادس. ويروي عن سهل بن زياد ، عدّة من أصحابنا.</w:t>
      </w:r>
    </w:p>
    <w:p w:rsidR="00744A1C" w:rsidRDefault="00E378DD" w:rsidP="00E378DD">
      <w:pPr>
        <w:pStyle w:val="libFootnote0"/>
        <w:rPr>
          <w:lang w:bidi="fa-IR"/>
        </w:rPr>
      </w:pPr>
      <w:r>
        <w:rPr>
          <w:rtl/>
          <w:lang w:bidi="fa-IR"/>
        </w:rPr>
        <w:t>(9).</w:t>
      </w:r>
      <w:r w:rsidR="00744A1C">
        <w:rPr>
          <w:rtl/>
          <w:lang w:bidi="fa-IR"/>
        </w:rPr>
        <w:t xml:space="preserve"> لم نجد لمحمّد بن عمر بن بزيع ذكراً في كتب الرجال والأسناد. ويأتي في ح 9400 و 14939 - والخبر في الموضعين واحد وهو مرتبط بالرزق - رواية سهل بن زياد عن الهيثم بن أبي مسروق النهدي عن موسى بن عمر بن بزيع. وموسى بن عمر هو المذكور في الأسناد وكتب الرجال. فلا يبعد أن يكون الصواب في ما نحن فيه أيضاً ، هو موسى بن عمر بن بزيع. راجع : </w:t>
      </w:r>
      <w:r w:rsidR="00744A1C" w:rsidRPr="003A7143">
        <w:rPr>
          <w:rStyle w:val="libFootnoteBoldChar"/>
          <w:rtl/>
        </w:rPr>
        <w:t>رجال النجاشي</w:t>
      </w:r>
      <w:r w:rsidR="00744A1C">
        <w:rPr>
          <w:rtl/>
          <w:lang w:bidi="fa-IR"/>
        </w:rPr>
        <w:t xml:space="preserve"> ، ص 409 ، الرقم 1089 ؛ </w:t>
      </w:r>
      <w:r w:rsidR="00744A1C" w:rsidRPr="004D054E">
        <w:rPr>
          <w:rStyle w:val="libFootnoteBoldChar"/>
          <w:rtl/>
        </w:rPr>
        <w:t>رجال البرقي</w:t>
      </w:r>
      <w:r w:rsidR="00744A1C">
        <w:rPr>
          <w:rtl/>
          <w:lang w:bidi="fa-IR"/>
        </w:rPr>
        <w:t xml:space="preserve"> ، ص 57 - 58 ؛ </w:t>
      </w:r>
      <w:r w:rsidR="00744A1C" w:rsidRPr="0061079A">
        <w:rPr>
          <w:rStyle w:val="libFootnoteBoldChar"/>
          <w:rtl/>
        </w:rPr>
        <w:t>رجال الطوسي</w:t>
      </w:r>
      <w:r w:rsidR="00744A1C">
        <w:rPr>
          <w:rtl/>
          <w:lang w:bidi="fa-IR"/>
        </w:rPr>
        <w:t xml:space="preserve"> ، ص 378 ، الرقم 5598 ؛ وص 391 ، الرقم 5769 ؛ </w:t>
      </w:r>
      <w:r w:rsidR="00744A1C" w:rsidRPr="0061079A">
        <w:rPr>
          <w:rStyle w:val="libFootnoteBoldChar"/>
          <w:rtl/>
        </w:rPr>
        <w:t>معجم رجال الحديث</w:t>
      </w:r>
      <w:r w:rsidR="00744A1C">
        <w:rPr>
          <w:rtl/>
          <w:lang w:bidi="fa-IR"/>
        </w:rPr>
        <w:t xml:space="preserve"> ، ج 19 ، ص 56 ، الرقم 12810.</w:t>
      </w:r>
    </w:p>
    <w:p w:rsidR="00744A1C" w:rsidRDefault="00E378DD" w:rsidP="00E378DD">
      <w:pPr>
        <w:pStyle w:val="libFootnote0"/>
        <w:rPr>
          <w:lang w:bidi="fa-IR"/>
        </w:rPr>
      </w:pPr>
      <w:r>
        <w:rPr>
          <w:rtl/>
          <w:lang w:bidi="fa-IR"/>
        </w:rPr>
        <w:t>(10).</w:t>
      </w:r>
      <w:r w:rsidR="00744A1C">
        <w:rPr>
          <w:rtl/>
          <w:lang w:bidi="fa-IR"/>
        </w:rPr>
        <w:t xml:space="preserve"> في « ى ، بح ، بس ، جد ، جن » و</w:t>
      </w:r>
      <w:r w:rsidR="00744A1C" w:rsidRPr="00C24F9C">
        <w:rPr>
          <w:rStyle w:val="libFootnoteBoldChar"/>
          <w:rtl/>
        </w:rPr>
        <w:t>الوسائل</w:t>
      </w:r>
      <w:r w:rsidR="00744A1C">
        <w:rPr>
          <w:rtl/>
          <w:lang w:bidi="fa-IR"/>
        </w:rPr>
        <w:t xml:space="preserve"> : « محمّد ». وذكر الشيخ الطوسي في رجاله ، ص 291 ، الرقم 4248 محمّد بن عائذ الأزدي ، لكن - مع الفحص الأكيد - لم نجد هذا العنوان في سند من الأسناد. والمذكور في أسناد عديدة هو أحمد بن عائذ. راجع : </w:t>
      </w:r>
      <w:r w:rsidR="00744A1C" w:rsidRPr="0061079A">
        <w:rPr>
          <w:rStyle w:val="libFootnoteBoldChar"/>
          <w:rtl/>
        </w:rPr>
        <w:t>معجم رجال الحديث</w:t>
      </w:r>
      <w:r w:rsidR="00744A1C">
        <w:rPr>
          <w:rtl/>
          <w:lang w:bidi="fa-IR"/>
        </w:rPr>
        <w:t xml:space="preserve"> ، ج 2 ، ص 129 - 130 ، الرقم 607.</w:t>
      </w:r>
    </w:p>
    <w:tbl>
      <w:tblPr>
        <w:tblStyle w:val="TableGrid"/>
        <w:bidiVisual/>
        <w:tblW w:w="0" w:type="auto"/>
        <w:tblLook w:val="04A0" w:firstRow="1" w:lastRow="0" w:firstColumn="1" w:lastColumn="0" w:noHBand="0" w:noVBand="1"/>
      </w:tblPr>
      <w:tblGrid>
        <w:gridCol w:w="4006"/>
        <w:gridCol w:w="4006"/>
      </w:tblGrid>
      <w:tr w:rsidR="00C34890" w:rsidTr="00C34890">
        <w:tc>
          <w:tcPr>
            <w:tcW w:w="4006" w:type="dxa"/>
          </w:tcPr>
          <w:p w:rsidR="00C34890" w:rsidRDefault="00C34890" w:rsidP="00E378DD">
            <w:pPr>
              <w:pStyle w:val="libFootnote0"/>
              <w:rPr>
                <w:rtl/>
                <w:lang w:bidi="fa-IR"/>
              </w:rPr>
            </w:pPr>
            <w:r>
              <w:rPr>
                <w:rtl/>
                <w:lang w:bidi="fa-IR"/>
              </w:rPr>
              <w:t>(11). في « بح ، بف » : - « لي ».</w:t>
            </w:r>
          </w:p>
        </w:tc>
        <w:tc>
          <w:tcPr>
            <w:tcW w:w="4006" w:type="dxa"/>
          </w:tcPr>
          <w:p w:rsidR="00C34890" w:rsidRDefault="00C34890" w:rsidP="00E378DD">
            <w:pPr>
              <w:pStyle w:val="libFootnote0"/>
              <w:rPr>
                <w:rtl/>
                <w:lang w:bidi="fa-IR"/>
              </w:rPr>
            </w:pPr>
            <w:r>
              <w:rPr>
                <w:rtl/>
                <w:lang w:bidi="fa-IR"/>
              </w:rPr>
              <w:t xml:space="preserve">(12). في </w:t>
            </w:r>
            <w:r w:rsidRPr="00C24F9C">
              <w:rPr>
                <w:rStyle w:val="libFootnoteBoldChar"/>
                <w:rtl/>
              </w:rPr>
              <w:t>الوافي</w:t>
            </w:r>
            <w:r>
              <w:rPr>
                <w:rtl/>
                <w:lang w:bidi="fa-IR"/>
              </w:rPr>
              <w:t xml:space="preserve"> : - « في ».</w:t>
            </w:r>
          </w:p>
        </w:tc>
      </w:tr>
    </w:tbl>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الْتَاثَتْ </w:t>
      </w:r>
      <w:r w:rsidRPr="00D10E3C">
        <w:rPr>
          <w:rStyle w:val="libFootnotenumChar"/>
          <w:rtl/>
        </w:rPr>
        <w:t>(1)</w:t>
      </w:r>
      <w:r>
        <w:rPr>
          <w:rtl/>
          <w:lang w:bidi="fa-IR"/>
        </w:rPr>
        <w:t xml:space="preserve"> عَلَيَّ أُمُورِي </w:t>
      </w:r>
      <w:r w:rsidRPr="00D10E3C">
        <w:rPr>
          <w:rStyle w:val="libFootnotenumChar"/>
          <w:rtl/>
        </w:rPr>
        <w:t>(2)</w:t>
      </w:r>
      <w:r w:rsidR="00C343E8" w:rsidRPr="00C343E8">
        <w:rPr>
          <w:rFonts w:hint="cs"/>
          <w:rtl/>
        </w:rPr>
        <w:t>.</w:t>
      </w:r>
    </w:p>
    <w:p w:rsidR="00144FA6" w:rsidRDefault="00744A1C" w:rsidP="00744A1C">
      <w:pPr>
        <w:pStyle w:val="libNormal"/>
        <w:rPr>
          <w:rtl/>
          <w:lang w:bidi="fa-IR"/>
        </w:rPr>
      </w:pPr>
      <w:r>
        <w:rPr>
          <w:rtl/>
          <w:lang w:bidi="fa-IR"/>
        </w:rPr>
        <w:t xml:space="preserve">فَأَجَابَنِي مُسْرِعاً : « لَا ، اخْرُجْ ، فَاطْلُبْ </w:t>
      </w:r>
      <w:r w:rsidRPr="00D10E3C">
        <w:rPr>
          <w:rStyle w:val="libFootnotenumChar"/>
          <w:rtl/>
        </w:rPr>
        <w:t>(3)</w:t>
      </w:r>
      <w:r>
        <w:rPr>
          <w:rtl/>
          <w:lang w:bidi="fa-IR"/>
        </w:rPr>
        <w:t xml:space="preserve"> ». </w:t>
      </w:r>
      <w:r w:rsidRPr="00D10E3C">
        <w:rPr>
          <w:rStyle w:val="libFootnotenumChar"/>
          <w:rtl/>
        </w:rPr>
        <w:t>(4)</w:t>
      </w:r>
    </w:p>
    <w:p w:rsidR="00744A1C" w:rsidRDefault="00744A1C" w:rsidP="00C343E8">
      <w:pPr>
        <w:pStyle w:val="Heading2Center"/>
        <w:rPr>
          <w:lang w:bidi="fa-IR"/>
        </w:rPr>
      </w:pPr>
      <w:bookmarkStart w:id="129" w:name="_Toc49261427"/>
      <w:r>
        <w:rPr>
          <w:rtl/>
          <w:lang w:bidi="fa-IR"/>
        </w:rPr>
        <w:t xml:space="preserve">6 - بَابُ الْإِبْلَاءِ </w:t>
      </w:r>
      <w:r w:rsidRPr="00D10E3C">
        <w:rPr>
          <w:rStyle w:val="libFootnotenumChar"/>
          <w:rtl/>
        </w:rPr>
        <w:t>(5)</w:t>
      </w:r>
      <w:r>
        <w:rPr>
          <w:rtl/>
          <w:lang w:bidi="fa-IR"/>
        </w:rPr>
        <w:t xml:space="preserve"> فِي طَلَبِ الرِّزْقِ‌</w:t>
      </w:r>
      <w:bookmarkEnd w:id="129"/>
    </w:p>
    <w:p w:rsidR="00144FA6" w:rsidRDefault="00744A1C" w:rsidP="00744A1C">
      <w:pPr>
        <w:pStyle w:val="libNormal"/>
        <w:rPr>
          <w:rtl/>
          <w:lang w:bidi="fa-IR"/>
        </w:rPr>
      </w:pPr>
      <w:r>
        <w:rPr>
          <w:rtl/>
          <w:lang w:bidi="fa-IR"/>
        </w:rPr>
        <w:t xml:space="preserve">8398 / 1. عِدَّةٌ مِنْ أَصْحَابِنَا ، عَنْ أَحْمَدَ بْنِ مُحَمَّدِ بْنِ خَالِدٍ ، عَنْ عَبْدِ الرَّحْمنِ بْنِ حَمَّادٍ ، عَنْ زِيَادٍ الْقَنْدِيِّ ، عَنْ حُسَيْنٍ </w:t>
      </w:r>
      <w:r w:rsidRPr="00D10E3C">
        <w:rPr>
          <w:rStyle w:val="libFootnotenumChar"/>
          <w:rtl/>
        </w:rPr>
        <w:t>(6)</w:t>
      </w:r>
      <w:r>
        <w:rPr>
          <w:rtl/>
          <w:lang w:bidi="fa-IR"/>
        </w:rPr>
        <w:t xml:space="preserve"> الصَّحَّافِ ، عَنْ سَدِيرٍ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أَيُّ شَيْ‌ءٍ عَلَى الرَّجُلِ فِي طَلَبِ الرِّزْقِ؟</w:t>
      </w:r>
    </w:p>
    <w:p w:rsidR="00144FA6" w:rsidRDefault="00744A1C" w:rsidP="00744A1C">
      <w:pPr>
        <w:pStyle w:val="libNormal"/>
        <w:rPr>
          <w:rtl/>
          <w:lang w:bidi="fa-IR"/>
        </w:rPr>
      </w:pPr>
      <w:r>
        <w:rPr>
          <w:rtl/>
          <w:lang w:bidi="fa-IR"/>
        </w:rPr>
        <w:t xml:space="preserve">فَقَالَ </w:t>
      </w:r>
      <w:r w:rsidRPr="00D10E3C">
        <w:rPr>
          <w:rStyle w:val="libFootnotenumChar"/>
          <w:rtl/>
        </w:rPr>
        <w:t>(7)</w:t>
      </w:r>
      <w:r>
        <w:rPr>
          <w:rtl/>
          <w:lang w:bidi="fa-IR"/>
        </w:rPr>
        <w:t xml:space="preserve"> : « إِذَا فَتَحْتَ بَابَكَ ، وَبَسَطْتَ بِسَاطَكَ ، فَقَدْ قَضَيْتَ مَا عَلَيْكَ ». </w:t>
      </w:r>
      <w:r w:rsidRPr="00D10E3C">
        <w:rPr>
          <w:rStyle w:val="libFootnotenumChar"/>
          <w:rtl/>
        </w:rPr>
        <w:t>(8)</w:t>
      </w:r>
    </w:p>
    <w:p w:rsidR="00144FA6" w:rsidRDefault="00744A1C" w:rsidP="00744A1C">
      <w:pPr>
        <w:pStyle w:val="libNormal"/>
        <w:rPr>
          <w:rtl/>
          <w:lang w:bidi="fa-IR"/>
        </w:rPr>
      </w:pPr>
      <w:r>
        <w:rPr>
          <w:rtl/>
          <w:lang w:bidi="fa-IR"/>
        </w:rPr>
        <w:t>8399 / 2. مُحَمَّدُ بْنُ يَحْيى ، عَنْ أَحْمَدَ بْنِ مُحَمَّدٍ ، عَنِ ابْنِ فَضَّالٍ ، عَمَّنْ ذَكَرَهُ ، عَنِ الطَّيَّارِ ، قَالَ :</w:t>
      </w:r>
    </w:p>
    <w:p w:rsidR="00744A1C" w:rsidRDefault="00744A1C" w:rsidP="00744A1C">
      <w:pPr>
        <w:pStyle w:val="libNormal"/>
        <w:rPr>
          <w:lang w:bidi="fa-IR"/>
        </w:rPr>
      </w:pPr>
      <w:r>
        <w:rPr>
          <w:rtl/>
          <w:lang w:bidi="fa-IR"/>
        </w:rPr>
        <w:t xml:space="preserve">قَالَ لِي </w:t>
      </w:r>
      <w:r w:rsidRPr="00D10E3C">
        <w:rPr>
          <w:rStyle w:val="libFootnotenumChar"/>
          <w:rtl/>
        </w:rPr>
        <w:t>(9)</w:t>
      </w:r>
      <w:r>
        <w:rPr>
          <w:rtl/>
          <w:lang w:bidi="fa-IR"/>
        </w:rPr>
        <w:t xml:space="preserve"> أَبُو جَعْفَرٍ </w:t>
      </w:r>
      <w:r w:rsidR="0061079A" w:rsidRPr="0061079A">
        <w:rPr>
          <w:rStyle w:val="libAlaemChar"/>
          <w:rtl/>
        </w:rPr>
        <w:t>عليه‌السلام</w:t>
      </w:r>
      <w:r w:rsidR="00D10E3C">
        <w:rPr>
          <w:rtl/>
          <w:lang w:bidi="fa-IR"/>
        </w:rPr>
        <w:t xml:space="preserve"> </w:t>
      </w:r>
      <w:r>
        <w:rPr>
          <w:rtl/>
          <w:lang w:bidi="fa-IR"/>
        </w:rPr>
        <w:t xml:space="preserve">: « أَيَّ شَيْ‌ءٍ تُعَالِجُ؟ أَيَّ </w:t>
      </w:r>
      <w:r w:rsidRPr="00D10E3C">
        <w:rPr>
          <w:rStyle w:val="libFootnotenumChar"/>
          <w:rtl/>
        </w:rPr>
        <w:t>(10)</w:t>
      </w:r>
      <w:r>
        <w:rPr>
          <w:rtl/>
          <w:lang w:bidi="fa-IR"/>
        </w:rPr>
        <w:t xml:space="preserve"> شَيْ‌ءٍ تَصْنَعُ </w:t>
      </w:r>
      <w:r w:rsidRPr="00D10E3C">
        <w:rPr>
          <w:rStyle w:val="libFootnotenumChar"/>
          <w:rtl/>
        </w:rPr>
        <w:t>(11)</w:t>
      </w:r>
      <w:r>
        <w:rPr>
          <w:rtl/>
          <w:lang w:bidi="fa-IR"/>
        </w:rPr>
        <w:t>؟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الالتياث : الاختلاط ، والالتفاف ، والإبطاء ، والحبس. </w:t>
      </w:r>
      <w:r w:rsidR="00744A1C" w:rsidRPr="008A57EB">
        <w:rPr>
          <w:rStyle w:val="libFootnoteBoldChar"/>
          <w:rtl/>
        </w:rPr>
        <w:t>القاموس المحيط</w:t>
      </w:r>
      <w:r w:rsidR="00744A1C">
        <w:rPr>
          <w:rtl/>
          <w:lang w:bidi="fa-IR"/>
        </w:rPr>
        <w:t xml:space="preserve"> ، ج 1 ، ص 278 ( لوث ).</w:t>
      </w:r>
    </w:p>
    <w:tbl>
      <w:tblPr>
        <w:tblStyle w:val="TableGrid"/>
        <w:bidiVisual/>
        <w:tblW w:w="0" w:type="auto"/>
        <w:tblLook w:val="04A0" w:firstRow="1" w:lastRow="0" w:firstColumn="1" w:lastColumn="0" w:noHBand="0" w:noVBand="1"/>
      </w:tblPr>
      <w:tblGrid>
        <w:gridCol w:w="4006"/>
        <w:gridCol w:w="4006"/>
      </w:tblGrid>
      <w:tr w:rsidR="00C343E8" w:rsidTr="00C343E8">
        <w:tc>
          <w:tcPr>
            <w:tcW w:w="4006" w:type="dxa"/>
          </w:tcPr>
          <w:p w:rsidR="00C343E8" w:rsidRDefault="00C343E8" w:rsidP="00E378DD">
            <w:pPr>
              <w:pStyle w:val="libFootnote0"/>
              <w:rPr>
                <w:rtl/>
                <w:lang w:bidi="fa-IR"/>
              </w:rPr>
            </w:pPr>
            <w:r>
              <w:rPr>
                <w:rtl/>
                <w:lang w:bidi="fa-IR"/>
              </w:rPr>
              <w:t>(2). في « ط ، بخ ، بف » و</w:t>
            </w:r>
            <w:r w:rsidRPr="00C24F9C">
              <w:rPr>
                <w:rStyle w:val="libFootnoteBoldChar"/>
                <w:rtl/>
              </w:rPr>
              <w:t>الوافي</w:t>
            </w:r>
            <w:r>
              <w:rPr>
                <w:rtl/>
                <w:lang w:bidi="fa-IR"/>
              </w:rPr>
              <w:t xml:space="preserve"> : + « قال ».</w:t>
            </w:r>
          </w:p>
        </w:tc>
        <w:tc>
          <w:tcPr>
            <w:tcW w:w="4006" w:type="dxa"/>
          </w:tcPr>
          <w:p w:rsidR="00C343E8" w:rsidRDefault="00C343E8" w:rsidP="00E378DD">
            <w:pPr>
              <w:pStyle w:val="libFootnote0"/>
              <w:rPr>
                <w:rtl/>
                <w:lang w:bidi="fa-IR"/>
              </w:rPr>
            </w:pPr>
            <w:r>
              <w:rPr>
                <w:rtl/>
                <w:lang w:bidi="fa-IR"/>
              </w:rPr>
              <w:t>(3). في«ى»:+«الرزق».وفي حاشية«ى»:«في طلب ».</w:t>
            </w:r>
          </w:p>
        </w:tc>
      </w:tr>
    </w:tbl>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17 ، ص 24 ، ح 16797 ؛ </w:t>
      </w:r>
      <w:r w:rsidR="00744A1C" w:rsidRPr="00C24F9C">
        <w:rPr>
          <w:rStyle w:val="libFootnoteBoldChar"/>
          <w:rtl/>
        </w:rPr>
        <w:t>الوسائل</w:t>
      </w:r>
      <w:r w:rsidR="00744A1C">
        <w:rPr>
          <w:rtl/>
          <w:lang w:bidi="fa-IR"/>
        </w:rPr>
        <w:t xml:space="preserve"> ، ج 17 ، ص 22 ، ح 21878.</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الإبلاء : الامتحان ، أو إتمام الحجّة والإعذار ، والعمل الذي يختبر به ، قال في </w:t>
      </w:r>
      <w:r w:rsidR="00744A1C" w:rsidRPr="00877682">
        <w:rPr>
          <w:rStyle w:val="libFootnoteBoldChar"/>
          <w:rtl/>
        </w:rPr>
        <w:t>النهاية</w:t>
      </w:r>
      <w:r w:rsidR="00744A1C">
        <w:rPr>
          <w:rtl/>
          <w:lang w:bidi="fa-IR"/>
        </w:rPr>
        <w:t xml:space="preserve"> ما حاصله : الإبلاء : الاختبار والإنعام والإحسان. وفي حديث برّ الوالدين : أَبْلِ الله تعالى عذراً في برّها ، أي أعطه وأبلغ العذر فيها إليه. وفي حديث بدر : عسى أن يُعطى هذا من لايُبْلى بلائي ، أي لايعمل مثل عملي في الحرب ، كأنّه يريد أَفْعَلَ فعلاً اخْتَبَرُ فيه ، ويظهر به خيري وشريّ. انتهى ». أقول : الظاهر أنّ الإبلاء هنا بمعنى الاجتهاد ، من قولهم : أبلى فلان ، إذا اجتهد في صفة حرب أو كرم. راجع : </w:t>
      </w:r>
      <w:r w:rsidR="00744A1C" w:rsidRPr="00877682">
        <w:rPr>
          <w:rStyle w:val="libFootnoteBoldChar"/>
          <w:rtl/>
        </w:rPr>
        <w:t>النهاية</w:t>
      </w:r>
      <w:r w:rsidR="00744A1C">
        <w:rPr>
          <w:rtl/>
          <w:lang w:bidi="fa-IR"/>
        </w:rPr>
        <w:t xml:space="preserve"> ، ج 1 ، ص 155 ؛ </w:t>
      </w:r>
      <w:r w:rsidR="00744A1C" w:rsidRPr="00877682">
        <w:rPr>
          <w:rStyle w:val="libFootnoteBoldChar"/>
          <w:rtl/>
        </w:rPr>
        <w:t>لسان العرب</w:t>
      </w:r>
      <w:r w:rsidR="00744A1C">
        <w:rPr>
          <w:rtl/>
          <w:lang w:bidi="fa-IR"/>
        </w:rPr>
        <w:t xml:space="preserve"> ، ج 14 ، ص 85 ( بلا ).</w:t>
      </w:r>
    </w:p>
    <w:p w:rsidR="00744A1C" w:rsidRDefault="00E378DD" w:rsidP="00E378DD">
      <w:pPr>
        <w:pStyle w:val="libFootnote0"/>
        <w:rPr>
          <w:lang w:bidi="fa-IR"/>
        </w:rPr>
      </w:pPr>
      <w:r>
        <w:rPr>
          <w:rtl/>
          <w:lang w:bidi="fa-IR"/>
        </w:rPr>
        <w:t>(6).</w:t>
      </w:r>
      <w:r w:rsidR="00744A1C">
        <w:rPr>
          <w:rtl/>
          <w:lang w:bidi="fa-IR"/>
        </w:rPr>
        <w:t xml:space="preserve"> هكذا في « ط ، ى ، بح ، بس ، جت ، جد ، جن » و</w:t>
      </w:r>
      <w:r w:rsidR="00744A1C" w:rsidRPr="00C24F9C">
        <w:rPr>
          <w:rStyle w:val="libFootnoteBoldChar"/>
          <w:rtl/>
        </w:rPr>
        <w:t>الوسائل</w:t>
      </w:r>
      <w:r w:rsidR="00744A1C">
        <w:rPr>
          <w:rtl/>
          <w:lang w:bidi="fa-IR"/>
        </w:rPr>
        <w:t>. وفي « بخ ، بف » والمطبوع : « الحسين ».</w:t>
      </w:r>
    </w:p>
    <w:p w:rsidR="00744A1C" w:rsidRDefault="00E378DD" w:rsidP="00E378DD">
      <w:pPr>
        <w:pStyle w:val="libFootnote0"/>
        <w:rPr>
          <w:lang w:bidi="fa-IR"/>
        </w:rPr>
      </w:pPr>
      <w:r>
        <w:rPr>
          <w:rtl/>
          <w:lang w:bidi="fa-IR"/>
        </w:rPr>
        <w:t>(7).</w:t>
      </w:r>
      <w:r w:rsidR="00744A1C">
        <w:rPr>
          <w:rtl/>
          <w:lang w:bidi="fa-IR"/>
        </w:rPr>
        <w:t xml:space="preserve"> في « ط ، ى ، بح ، بس ، جد ، جن » : « قال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323 ، ح 886 ، معلّقاً عن أحمد بن محمّد بن خالد. </w:t>
      </w:r>
      <w:r w:rsidR="00744A1C" w:rsidRPr="00C24F9C">
        <w:rPr>
          <w:rStyle w:val="libFootnoteBoldChar"/>
          <w:rtl/>
        </w:rPr>
        <w:t>الفقيه</w:t>
      </w:r>
      <w:r w:rsidR="00744A1C">
        <w:rPr>
          <w:rtl/>
          <w:lang w:bidi="fa-IR"/>
        </w:rPr>
        <w:t xml:space="preserve"> ، ج 3 ، ص 165 ، ح 3607 ، معلّقاً عن سدير الصيرفي </w:t>
      </w:r>
      <w:r w:rsidR="0013645F">
        <w:rPr>
          <w:rFonts w:hint="cs"/>
          <w:rtl/>
          <w:lang w:bidi="fa-IR"/>
        </w:rPr>
        <w:t>.</w:t>
      </w:r>
      <w:r w:rsidR="00744A1C" w:rsidRPr="00C24F9C">
        <w:rPr>
          <w:rStyle w:val="libFootnoteBoldChar"/>
          <w:rtl/>
        </w:rPr>
        <w:t>الوافي</w:t>
      </w:r>
      <w:r w:rsidR="00744A1C">
        <w:rPr>
          <w:rtl/>
          <w:lang w:bidi="fa-IR"/>
        </w:rPr>
        <w:t xml:space="preserve"> ، ج 17 ، ص 99 ، ح 16945 ؛ </w:t>
      </w:r>
      <w:r w:rsidR="00744A1C" w:rsidRPr="00C24F9C">
        <w:rPr>
          <w:rStyle w:val="libFootnoteBoldChar"/>
          <w:rtl/>
        </w:rPr>
        <w:t>الوسائل</w:t>
      </w:r>
      <w:r w:rsidR="00744A1C">
        <w:rPr>
          <w:rtl/>
          <w:lang w:bidi="fa-IR"/>
        </w:rPr>
        <w:t xml:space="preserve"> ، ج 17 ، ص 54 ، ح 21963.</w:t>
      </w:r>
    </w:p>
    <w:tbl>
      <w:tblPr>
        <w:tblStyle w:val="TableGrid"/>
        <w:bidiVisual/>
        <w:tblW w:w="0" w:type="auto"/>
        <w:tblLook w:val="04A0" w:firstRow="1" w:lastRow="0" w:firstColumn="1" w:lastColumn="0" w:noHBand="0" w:noVBand="1"/>
      </w:tblPr>
      <w:tblGrid>
        <w:gridCol w:w="4006"/>
        <w:gridCol w:w="4006"/>
      </w:tblGrid>
      <w:tr w:rsidR="0013645F" w:rsidTr="0013645F">
        <w:tc>
          <w:tcPr>
            <w:tcW w:w="4006" w:type="dxa"/>
          </w:tcPr>
          <w:p w:rsidR="0013645F" w:rsidRDefault="0013645F" w:rsidP="00E378DD">
            <w:pPr>
              <w:pStyle w:val="libFootnote0"/>
              <w:rPr>
                <w:rtl/>
                <w:lang w:bidi="fa-IR"/>
              </w:rPr>
            </w:pPr>
            <w:r>
              <w:rPr>
                <w:rtl/>
                <w:lang w:bidi="fa-IR"/>
              </w:rPr>
              <w:t>(9). في « ط ، جد » : - « لي ».</w:t>
            </w:r>
          </w:p>
        </w:tc>
        <w:tc>
          <w:tcPr>
            <w:tcW w:w="4006" w:type="dxa"/>
          </w:tcPr>
          <w:p w:rsidR="0013645F" w:rsidRDefault="0013645F" w:rsidP="00E378DD">
            <w:pPr>
              <w:pStyle w:val="libFootnote0"/>
              <w:rPr>
                <w:rtl/>
                <w:lang w:bidi="fa-IR"/>
              </w:rPr>
            </w:pPr>
            <w:r>
              <w:rPr>
                <w:rtl/>
                <w:lang w:bidi="fa-IR"/>
              </w:rPr>
              <w:t>(10). في « ى » : « وأيّ ».</w:t>
            </w:r>
          </w:p>
        </w:tc>
      </w:tr>
    </w:tbl>
    <w:p w:rsidR="00744A1C" w:rsidRDefault="00E378DD" w:rsidP="00E378DD">
      <w:pPr>
        <w:pStyle w:val="libFootnote0"/>
        <w:rPr>
          <w:lang w:bidi="fa-IR"/>
        </w:rPr>
      </w:pPr>
      <w:r>
        <w:rPr>
          <w:rtl/>
          <w:lang w:bidi="fa-IR"/>
        </w:rPr>
        <w:t>(11).</w:t>
      </w:r>
      <w:r w:rsidR="00744A1C">
        <w:rPr>
          <w:rtl/>
          <w:lang w:bidi="fa-IR"/>
        </w:rPr>
        <w:t xml:space="preserve"> في « ط » : + « قال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فَقُلْتُ </w:t>
      </w:r>
      <w:r w:rsidRPr="00D10E3C">
        <w:rPr>
          <w:rStyle w:val="libFootnotenumChar"/>
          <w:rtl/>
        </w:rPr>
        <w:t>(1)</w:t>
      </w:r>
      <w:r>
        <w:rPr>
          <w:rtl/>
          <w:lang w:bidi="fa-IR"/>
        </w:rPr>
        <w:t xml:space="preserve"> : مَا أَنَا فِي شَيْ‌ءٍ </w:t>
      </w:r>
      <w:r w:rsidRPr="00D10E3C">
        <w:rPr>
          <w:rStyle w:val="libFootnotenumChar"/>
          <w:rtl/>
        </w:rPr>
        <w:t>(2)</w:t>
      </w:r>
    </w:p>
    <w:p w:rsidR="00744A1C" w:rsidRDefault="00744A1C" w:rsidP="00744A1C">
      <w:pPr>
        <w:pStyle w:val="libNormal"/>
        <w:rPr>
          <w:lang w:bidi="fa-IR"/>
        </w:rPr>
      </w:pPr>
      <w:r>
        <w:rPr>
          <w:rtl/>
          <w:lang w:bidi="fa-IR"/>
        </w:rPr>
        <w:t xml:space="preserve">قَالَ </w:t>
      </w:r>
      <w:r w:rsidRPr="00D10E3C">
        <w:rPr>
          <w:rStyle w:val="libFootnotenumChar"/>
          <w:rtl/>
        </w:rPr>
        <w:t>(3)</w:t>
      </w:r>
      <w:r>
        <w:rPr>
          <w:rtl/>
          <w:lang w:bidi="fa-IR"/>
        </w:rPr>
        <w:t xml:space="preserve"> : « فَخُذْ </w:t>
      </w:r>
      <w:r w:rsidRPr="00D10E3C">
        <w:rPr>
          <w:rStyle w:val="libFootnotenumChar"/>
          <w:rtl/>
        </w:rPr>
        <w:t>(4)</w:t>
      </w:r>
      <w:r>
        <w:rPr>
          <w:rtl/>
          <w:lang w:bidi="fa-IR"/>
        </w:rPr>
        <w:t xml:space="preserve"> بَيْتاً ، وَاكْنُسْ فِنَاهُ </w:t>
      </w:r>
      <w:r w:rsidRPr="00D10E3C">
        <w:rPr>
          <w:rStyle w:val="libFootnotenumChar"/>
          <w:rtl/>
        </w:rPr>
        <w:t>(5)</w:t>
      </w:r>
      <w:r>
        <w:rPr>
          <w:rtl/>
          <w:lang w:bidi="fa-IR"/>
        </w:rPr>
        <w:t xml:space="preserve"> ، وَرُشَّهُ </w:t>
      </w:r>
      <w:r w:rsidRPr="00D10E3C">
        <w:rPr>
          <w:rStyle w:val="libFootnotenumChar"/>
          <w:rtl/>
        </w:rPr>
        <w:t>(6)</w:t>
      </w:r>
      <w:r>
        <w:rPr>
          <w:rtl/>
          <w:lang w:bidi="fa-IR"/>
        </w:rPr>
        <w:t xml:space="preserve"> ، وَابْسُطْ فِيهِ </w:t>
      </w:r>
      <w:r w:rsidRPr="00D10E3C">
        <w:rPr>
          <w:rStyle w:val="libFootnotenumChar"/>
          <w:rtl/>
        </w:rPr>
        <w:t>(7)</w:t>
      </w:r>
      <w:r>
        <w:rPr>
          <w:rtl/>
          <w:lang w:bidi="fa-IR"/>
        </w:rPr>
        <w:t xml:space="preserve"> بِسَاطاً ، فَإِذَا فَعَلْتَ ذلِكَ ، فَقَدْ قَضَيْتَ مَا وَجَبَ </w:t>
      </w:r>
      <w:r w:rsidRPr="00D10E3C">
        <w:rPr>
          <w:rStyle w:val="libFootnotenumChar"/>
          <w:rtl/>
        </w:rPr>
        <w:t>(8)</w:t>
      </w:r>
      <w:r>
        <w:rPr>
          <w:rtl/>
          <w:lang w:bidi="fa-IR"/>
        </w:rPr>
        <w:t xml:space="preserve"> عَلَيْكَ ».</w:t>
      </w:r>
    </w:p>
    <w:p w:rsidR="00144FA6" w:rsidRDefault="00744A1C" w:rsidP="00B367FC">
      <w:pPr>
        <w:pStyle w:val="libNormal"/>
        <w:rPr>
          <w:rtl/>
          <w:lang w:bidi="fa-IR"/>
        </w:rPr>
      </w:pPr>
      <w:r>
        <w:rPr>
          <w:rtl/>
          <w:lang w:bidi="fa-IR"/>
        </w:rPr>
        <w:t xml:space="preserve">قَالَ : فَقَدِمْتُ </w:t>
      </w:r>
      <w:r w:rsidRPr="00D10E3C">
        <w:rPr>
          <w:rStyle w:val="libFootnotenumChar"/>
          <w:rtl/>
        </w:rPr>
        <w:t>(9)</w:t>
      </w:r>
      <w:r>
        <w:rPr>
          <w:rtl/>
          <w:lang w:bidi="fa-IR"/>
        </w:rPr>
        <w:t xml:space="preserve"> ، فَفَعَلْتُ ، فَرُزِقْتُ </w:t>
      </w:r>
      <w:r w:rsidRPr="00D10E3C">
        <w:rPr>
          <w:rStyle w:val="libFootnotenumChar"/>
          <w:rtl/>
        </w:rPr>
        <w:t>(10)</w:t>
      </w:r>
      <w:r w:rsidR="00B367FC">
        <w:rPr>
          <w:rFonts w:hint="cs"/>
          <w:rtl/>
          <w:lang w:bidi="fa-IR"/>
        </w:rPr>
        <w:t>.</w:t>
      </w:r>
      <w:r w:rsidRPr="00D10E3C">
        <w:rPr>
          <w:rStyle w:val="libFootnotenumChar"/>
          <w:rtl/>
        </w:rPr>
        <w:t>(11)</w:t>
      </w:r>
    </w:p>
    <w:p w:rsidR="00744A1C" w:rsidRDefault="00744A1C" w:rsidP="00B367FC">
      <w:pPr>
        <w:pStyle w:val="Heading2Center"/>
        <w:rPr>
          <w:lang w:bidi="fa-IR"/>
        </w:rPr>
      </w:pPr>
      <w:bookmarkStart w:id="130" w:name="_Toc49261428"/>
      <w:r>
        <w:rPr>
          <w:rtl/>
          <w:lang w:bidi="fa-IR"/>
        </w:rPr>
        <w:t>7 - بَابُ الْإِجْمَالِ فِي الطَّلَبِ‌</w:t>
      </w:r>
      <w:bookmarkEnd w:id="130"/>
    </w:p>
    <w:p w:rsidR="00B367FC" w:rsidRDefault="00744A1C" w:rsidP="00B367FC">
      <w:pPr>
        <w:pStyle w:val="libNormal"/>
        <w:rPr>
          <w:rtl/>
          <w:lang w:bidi="fa-IR"/>
        </w:rPr>
      </w:pPr>
      <w:r>
        <w:rPr>
          <w:rtl/>
          <w:lang w:bidi="fa-IR"/>
        </w:rPr>
        <w:t>8400 / 1. مُحَمَّدُ بْنُ يَحْيى ، عَنْ أَحْمَدَ بْنِ مُحَمَّدٍ ؛</w:t>
      </w:r>
    </w:p>
    <w:p w:rsidR="00144FA6" w:rsidRDefault="00B367FC" w:rsidP="00B367FC">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(12)</w:t>
      </w:r>
      <w:r w:rsidR="00744A1C">
        <w:rPr>
          <w:rtl/>
          <w:lang w:bidi="fa-IR"/>
        </w:rPr>
        <w:t xml:space="preserve"> عِدَّةٌ مِنْ أَصْحَابِنَا ، عَنْ سَهْلِ بْنِ زِيَادٍ ، عَنِ ابْنِ مَحْبُوبٍ ، عَنْ أَبِي حَمْزَةَ الثُّمَالِيِّ :</w:t>
      </w:r>
    </w:p>
    <w:p w:rsidR="00144FA6" w:rsidRDefault="00744A1C" w:rsidP="00744A1C">
      <w:pPr>
        <w:pStyle w:val="libNormal"/>
        <w:rPr>
          <w:rtl/>
          <w:lang w:bidi="fa-IR"/>
        </w:rPr>
      </w:pPr>
      <w:r>
        <w:rPr>
          <w:rtl/>
          <w:lang w:bidi="fa-IR"/>
        </w:rPr>
        <w:t xml:space="preserve">عَنْ أَبِي جَعْفَرٍ </w:t>
      </w:r>
      <w:r w:rsidR="000F3F68" w:rsidRPr="000F3F68">
        <w:rPr>
          <w:rStyle w:val="libAlaemChar"/>
          <w:rtl/>
        </w:rPr>
        <w:t>عليه‌السلام</w:t>
      </w:r>
      <w:r>
        <w:rPr>
          <w:rtl/>
          <w:lang w:bidi="fa-IR"/>
        </w:rPr>
        <w:t xml:space="preserve"> ، قَالَ : « قَالَ رَسُولُ اللهِ </w:t>
      </w:r>
      <w:r w:rsidR="0017097C" w:rsidRPr="0017097C">
        <w:rPr>
          <w:rStyle w:val="libAlaemChar"/>
          <w:rtl/>
        </w:rPr>
        <w:t>صلى‌الله‌عليه‌وآله</w:t>
      </w:r>
      <w:r w:rsidR="00D10E3C">
        <w:rPr>
          <w:rtl/>
          <w:lang w:bidi="fa-IR"/>
        </w:rPr>
        <w:t xml:space="preserve"> </w:t>
      </w:r>
      <w:r>
        <w:rPr>
          <w:rtl/>
          <w:lang w:bidi="fa-IR"/>
        </w:rPr>
        <w:t xml:space="preserve">فِي حَجَّةِ الْوَدَاعِ : أَلَا إِنَّ الرُّوحَ الْأَمِينَ نَفَثَ فِي رُوعِي </w:t>
      </w:r>
      <w:r w:rsidRPr="00D10E3C">
        <w:rPr>
          <w:rStyle w:val="libFootnotenumChar"/>
          <w:rtl/>
        </w:rPr>
        <w:t>(13)</w:t>
      </w:r>
      <w:r>
        <w:rPr>
          <w:rtl/>
          <w:lang w:bidi="fa-IR"/>
        </w:rPr>
        <w:t xml:space="preserve"> أَنَّهُ لَاتَمُوتُ </w:t>
      </w:r>
      <w:r w:rsidRPr="00D10E3C">
        <w:rPr>
          <w:rStyle w:val="libFootnotenumChar"/>
          <w:rtl/>
        </w:rPr>
        <w:t>(14)</w:t>
      </w:r>
      <w:r>
        <w:rPr>
          <w:rtl/>
          <w:lang w:bidi="fa-IR"/>
        </w:rPr>
        <w:t xml:space="preserve"> نَفْسٌ حَتّى تَسْتَكْمِلَ رِزْقَهَا ، فَاتَّقُوا اللهَ عَزَّ وَجَلَّ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بح ، بس ، جد ، جن » وحاشية « جت » : « قلت ».</w:t>
      </w:r>
    </w:p>
    <w:tbl>
      <w:tblPr>
        <w:tblStyle w:val="TableGrid"/>
        <w:bidiVisual/>
        <w:tblW w:w="0" w:type="auto"/>
        <w:tblLook w:val="04A0" w:firstRow="1" w:lastRow="0" w:firstColumn="1" w:lastColumn="0" w:noHBand="0" w:noVBand="1"/>
      </w:tblPr>
      <w:tblGrid>
        <w:gridCol w:w="4006"/>
        <w:gridCol w:w="4006"/>
      </w:tblGrid>
      <w:tr w:rsidR="00B367FC" w:rsidTr="00B367FC">
        <w:tc>
          <w:tcPr>
            <w:tcW w:w="4006" w:type="dxa"/>
          </w:tcPr>
          <w:p w:rsidR="00B367FC" w:rsidRDefault="00B367FC" w:rsidP="00E378DD">
            <w:pPr>
              <w:pStyle w:val="libFootnote0"/>
              <w:rPr>
                <w:rtl/>
                <w:lang w:bidi="fa-IR"/>
              </w:rPr>
            </w:pPr>
            <w:r>
              <w:rPr>
                <w:rtl/>
                <w:lang w:bidi="fa-IR"/>
              </w:rPr>
              <w:t xml:space="preserve">(2). في « بف » </w:t>
            </w:r>
            <w:r w:rsidRPr="00741684">
              <w:rPr>
                <w:rtl/>
              </w:rPr>
              <w:t>والوافي :</w:t>
            </w:r>
            <w:r>
              <w:rPr>
                <w:rtl/>
                <w:lang w:bidi="fa-IR"/>
              </w:rPr>
              <w:t xml:space="preserve"> + « قال ».</w:t>
            </w:r>
          </w:p>
        </w:tc>
        <w:tc>
          <w:tcPr>
            <w:tcW w:w="4006" w:type="dxa"/>
          </w:tcPr>
          <w:p w:rsidR="00B367FC" w:rsidRDefault="00B367FC" w:rsidP="00E378DD">
            <w:pPr>
              <w:pStyle w:val="libFootnote0"/>
              <w:rPr>
                <w:rtl/>
                <w:lang w:bidi="fa-IR"/>
              </w:rPr>
            </w:pPr>
            <w:r>
              <w:rPr>
                <w:rtl/>
                <w:lang w:bidi="fa-IR"/>
              </w:rPr>
              <w:t>(3). في « جن » : « فقال ».</w:t>
            </w:r>
          </w:p>
        </w:tc>
      </w:tr>
    </w:tbl>
    <w:p w:rsidR="00744A1C" w:rsidRDefault="00E378DD" w:rsidP="00E378DD">
      <w:pPr>
        <w:pStyle w:val="libFootnote0"/>
        <w:rPr>
          <w:lang w:bidi="fa-IR"/>
        </w:rPr>
      </w:pPr>
      <w:r>
        <w:rPr>
          <w:rtl/>
          <w:lang w:bidi="fa-IR"/>
        </w:rPr>
        <w:t>(4).</w:t>
      </w:r>
      <w:r w:rsidR="00744A1C">
        <w:rPr>
          <w:rtl/>
          <w:lang w:bidi="fa-IR"/>
        </w:rPr>
        <w:t xml:space="preserve"> في </w:t>
      </w:r>
      <w:r w:rsidR="00744A1C" w:rsidRPr="00741684">
        <w:rPr>
          <w:rtl/>
        </w:rPr>
        <w:t>الوافي</w:t>
      </w:r>
      <w:r w:rsidR="00744A1C">
        <w:rPr>
          <w:rtl/>
          <w:lang w:bidi="fa-IR"/>
        </w:rPr>
        <w:t xml:space="preserve"> : « خذ ».</w:t>
      </w:r>
    </w:p>
    <w:p w:rsidR="00744A1C" w:rsidRDefault="00E378DD" w:rsidP="00E378DD">
      <w:pPr>
        <w:pStyle w:val="libFootnote0"/>
        <w:rPr>
          <w:lang w:bidi="fa-IR"/>
        </w:rPr>
      </w:pPr>
      <w:r>
        <w:rPr>
          <w:rtl/>
          <w:lang w:bidi="fa-IR"/>
        </w:rPr>
        <w:t>(5).</w:t>
      </w:r>
      <w:r w:rsidR="00744A1C">
        <w:rPr>
          <w:rtl/>
          <w:lang w:bidi="fa-IR"/>
        </w:rPr>
        <w:t xml:space="preserve"> فِناء البيت : ما امتدّ من جوانبه ، أو هو المتّسع أمامه. راجع : </w:t>
      </w:r>
      <w:r w:rsidR="00744A1C" w:rsidRPr="00877682">
        <w:rPr>
          <w:rStyle w:val="libFootnoteBoldChar"/>
          <w:rtl/>
        </w:rPr>
        <w:t>لسان العرب</w:t>
      </w:r>
      <w:r w:rsidR="00744A1C">
        <w:rPr>
          <w:rtl/>
          <w:lang w:bidi="fa-IR"/>
        </w:rPr>
        <w:t xml:space="preserve"> ، ج 15 ، ص 165 ( فني ).</w:t>
      </w:r>
    </w:p>
    <w:p w:rsidR="00744A1C" w:rsidRDefault="00E378DD" w:rsidP="00E378DD">
      <w:pPr>
        <w:pStyle w:val="libFootnote0"/>
        <w:rPr>
          <w:lang w:bidi="fa-IR"/>
        </w:rPr>
      </w:pPr>
      <w:r>
        <w:rPr>
          <w:rtl/>
          <w:lang w:bidi="fa-IR"/>
        </w:rPr>
        <w:t>(6).</w:t>
      </w:r>
      <w:r w:rsidR="00744A1C">
        <w:rPr>
          <w:rtl/>
          <w:lang w:bidi="fa-IR"/>
        </w:rPr>
        <w:t xml:space="preserve"> رَشَّ البيت أو الأرض بالماء رَشّاً ، فهو مَرْشْوشٌ ، أي نَفَضَه ، أى صبّه قليلاً قليلاً عليها. راجع : </w:t>
      </w:r>
      <w:r w:rsidR="00744A1C" w:rsidRPr="008A57EB">
        <w:rPr>
          <w:rStyle w:val="libFootnoteBoldChar"/>
          <w:rtl/>
        </w:rPr>
        <w:t>القاموس المحيط</w:t>
      </w:r>
      <w:r w:rsidR="00744A1C">
        <w:rPr>
          <w:rtl/>
          <w:lang w:bidi="fa-IR"/>
        </w:rPr>
        <w:t xml:space="preserve"> ، ج 1 ، ص 810 ؛ </w:t>
      </w:r>
      <w:r w:rsidR="00744A1C" w:rsidRPr="008A57EB">
        <w:rPr>
          <w:rStyle w:val="libFootnoteBoldChar"/>
          <w:rtl/>
        </w:rPr>
        <w:t>مجمع البحرين</w:t>
      </w:r>
      <w:r w:rsidR="00744A1C">
        <w:rPr>
          <w:rtl/>
          <w:lang w:bidi="fa-IR"/>
        </w:rPr>
        <w:t xml:space="preserve"> ، ج 4 ، ص 138 ( رشش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 فيه ».</w:t>
      </w:r>
    </w:p>
    <w:p w:rsidR="00744A1C" w:rsidRDefault="00E378DD" w:rsidP="00E378DD">
      <w:pPr>
        <w:pStyle w:val="libFootnote0"/>
        <w:rPr>
          <w:lang w:bidi="fa-IR"/>
        </w:rPr>
      </w:pPr>
      <w:r>
        <w:rPr>
          <w:rtl/>
          <w:lang w:bidi="fa-IR"/>
        </w:rPr>
        <w:t>(8).</w:t>
      </w:r>
      <w:r w:rsidR="00744A1C">
        <w:rPr>
          <w:rtl/>
          <w:lang w:bidi="fa-IR"/>
        </w:rPr>
        <w:t xml:space="preserve"> في « ظ ، ى ، بح ، بس ، جد ، جن » و</w:t>
      </w:r>
      <w:r w:rsidR="00744A1C" w:rsidRPr="00C24F9C">
        <w:rPr>
          <w:rStyle w:val="libFootnoteBoldChar"/>
          <w:rtl/>
        </w:rPr>
        <w:t>الوسائل</w:t>
      </w:r>
      <w:r w:rsidR="00744A1C">
        <w:rPr>
          <w:rtl/>
          <w:lang w:bidi="fa-IR"/>
        </w:rPr>
        <w:t xml:space="preserve"> : - « وجب ». وفي « بف ، جت » و</w:t>
      </w:r>
      <w:r w:rsidR="00744A1C" w:rsidRPr="00C24F9C">
        <w:rPr>
          <w:rStyle w:val="libFootnoteBoldChar"/>
          <w:rtl/>
        </w:rPr>
        <w:t>الوافي</w:t>
      </w:r>
      <w:r w:rsidR="00744A1C">
        <w:rPr>
          <w:rtl/>
          <w:lang w:bidi="fa-IR"/>
        </w:rPr>
        <w:t xml:space="preserve"> : « يجب ».</w:t>
      </w:r>
    </w:p>
    <w:tbl>
      <w:tblPr>
        <w:tblStyle w:val="TableGrid"/>
        <w:bidiVisual/>
        <w:tblW w:w="0" w:type="auto"/>
        <w:tblLook w:val="04A0" w:firstRow="1" w:lastRow="0" w:firstColumn="1" w:lastColumn="0" w:noHBand="0" w:noVBand="1"/>
      </w:tblPr>
      <w:tblGrid>
        <w:gridCol w:w="4006"/>
        <w:gridCol w:w="4006"/>
      </w:tblGrid>
      <w:tr w:rsidR="001F3E14" w:rsidTr="001F3E14">
        <w:tc>
          <w:tcPr>
            <w:tcW w:w="4006" w:type="dxa"/>
          </w:tcPr>
          <w:p w:rsidR="001F3E14" w:rsidRDefault="001F3E14" w:rsidP="00E378DD">
            <w:pPr>
              <w:pStyle w:val="libFootnote0"/>
              <w:rPr>
                <w:rtl/>
                <w:lang w:bidi="fa-IR"/>
              </w:rPr>
            </w:pPr>
            <w:r>
              <w:rPr>
                <w:rtl/>
                <w:lang w:bidi="fa-IR"/>
              </w:rPr>
              <w:t>(9). في « جت » و</w:t>
            </w:r>
            <w:r w:rsidRPr="00C24F9C">
              <w:rPr>
                <w:rStyle w:val="libFootnoteBoldChar"/>
                <w:rtl/>
              </w:rPr>
              <w:t>الوافي</w:t>
            </w:r>
            <w:r>
              <w:rPr>
                <w:rtl/>
                <w:lang w:bidi="fa-IR"/>
              </w:rPr>
              <w:t xml:space="preserve"> : « فتقدّمت ».</w:t>
            </w:r>
          </w:p>
        </w:tc>
        <w:tc>
          <w:tcPr>
            <w:tcW w:w="4006" w:type="dxa"/>
          </w:tcPr>
          <w:p w:rsidR="001F3E14" w:rsidRDefault="001F3E14" w:rsidP="00E378DD">
            <w:pPr>
              <w:pStyle w:val="libFootnote0"/>
              <w:rPr>
                <w:rtl/>
                <w:lang w:bidi="fa-IR"/>
              </w:rPr>
            </w:pPr>
            <w:r>
              <w:rPr>
                <w:rtl/>
                <w:lang w:bidi="fa-IR"/>
              </w:rPr>
              <w:t>(10). في « ى » : - « فرزقت ».</w:t>
            </w:r>
          </w:p>
        </w:tc>
      </w:tr>
    </w:tbl>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الوافي</w:t>
      </w:r>
      <w:r w:rsidR="00744A1C">
        <w:rPr>
          <w:rtl/>
          <w:lang w:bidi="fa-IR"/>
        </w:rPr>
        <w:t xml:space="preserve"> ، ج 17 ، ص 99 ، ح 16946 ؛ </w:t>
      </w:r>
      <w:r w:rsidR="00744A1C" w:rsidRPr="00C24F9C">
        <w:rPr>
          <w:rStyle w:val="libFootnoteBoldChar"/>
          <w:rtl/>
        </w:rPr>
        <w:t>الوسائل</w:t>
      </w:r>
      <w:r w:rsidR="00744A1C">
        <w:rPr>
          <w:rtl/>
          <w:lang w:bidi="fa-IR"/>
        </w:rPr>
        <w:t xml:space="preserve"> ، ج 17 ، ص 55 ، ح 21964.</w:t>
      </w:r>
    </w:p>
    <w:p w:rsidR="00744A1C" w:rsidRDefault="00E378DD" w:rsidP="00E378DD">
      <w:pPr>
        <w:pStyle w:val="libFootnote0"/>
        <w:rPr>
          <w:lang w:bidi="fa-IR"/>
        </w:rPr>
      </w:pPr>
      <w:r>
        <w:rPr>
          <w:rtl/>
          <w:lang w:bidi="fa-IR"/>
        </w:rPr>
        <w:t>(12).</w:t>
      </w:r>
      <w:r w:rsidR="00744A1C">
        <w:rPr>
          <w:rtl/>
          <w:lang w:bidi="fa-IR"/>
        </w:rPr>
        <w:t xml:space="preserve"> في السند تحويل بعطف « عدّة من أصحابنا ، عن سهل بن زياد » على « محمّد بن يحيى ، عن أحمد بن محمّد ».</w:t>
      </w:r>
    </w:p>
    <w:p w:rsidR="00744A1C" w:rsidRDefault="00E378DD" w:rsidP="00E378DD">
      <w:pPr>
        <w:pStyle w:val="libFootnote0"/>
        <w:rPr>
          <w:lang w:bidi="fa-IR"/>
        </w:rPr>
      </w:pPr>
      <w:r>
        <w:rPr>
          <w:rtl/>
          <w:lang w:bidi="fa-IR"/>
        </w:rPr>
        <w:t>(13).</w:t>
      </w:r>
      <w:r w:rsidR="00744A1C">
        <w:rPr>
          <w:rtl/>
          <w:lang w:bidi="fa-IR"/>
        </w:rPr>
        <w:t xml:space="preserve"> النَّفْثُ : شبيه بالنفخ. والروع - بالضمّ - : القلب ، والعقل ، والخَلَد ، والبال. والمراد أنّه ألقى في قلبي وأوقع في‌بالي. راجع : </w:t>
      </w:r>
      <w:r w:rsidR="00744A1C" w:rsidRPr="00E978C3">
        <w:rPr>
          <w:rStyle w:val="libFootnoteBoldChar"/>
          <w:rtl/>
        </w:rPr>
        <w:t>الصحاح</w:t>
      </w:r>
      <w:r w:rsidR="00744A1C">
        <w:rPr>
          <w:rtl/>
          <w:lang w:bidi="fa-IR"/>
        </w:rPr>
        <w:t xml:space="preserve"> ، ج 1 ، ص 295 ( نفث ) ؛ </w:t>
      </w:r>
      <w:r w:rsidR="00744A1C" w:rsidRPr="00877682">
        <w:rPr>
          <w:rStyle w:val="libFootnoteBoldChar"/>
          <w:rtl/>
        </w:rPr>
        <w:t>النهاية</w:t>
      </w:r>
      <w:r w:rsidR="00744A1C">
        <w:rPr>
          <w:rtl/>
          <w:lang w:bidi="fa-IR"/>
        </w:rPr>
        <w:t xml:space="preserve"> ، ج 2 ، ص 277 ( روع ).</w:t>
      </w:r>
    </w:p>
    <w:p w:rsidR="00744A1C" w:rsidRDefault="00E378DD" w:rsidP="00E378DD">
      <w:pPr>
        <w:pStyle w:val="libFootnote0"/>
        <w:rPr>
          <w:lang w:bidi="fa-IR"/>
        </w:rPr>
      </w:pPr>
      <w:r>
        <w:rPr>
          <w:rtl/>
          <w:lang w:bidi="fa-IR"/>
        </w:rPr>
        <w:t>(14).</w:t>
      </w:r>
      <w:r w:rsidR="00744A1C">
        <w:rPr>
          <w:rtl/>
          <w:lang w:bidi="fa-IR"/>
        </w:rPr>
        <w:t xml:space="preserve"> في « بخ » : « لا يموت ».</w:t>
      </w:r>
    </w:p>
    <w:p w:rsidR="006A5060" w:rsidRDefault="006A5060" w:rsidP="00D10E3C">
      <w:pPr>
        <w:pStyle w:val="libNormal"/>
        <w:rPr>
          <w:rtl/>
          <w:lang w:bidi="fa-IR"/>
        </w:rPr>
      </w:pPr>
      <w:r>
        <w:rPr>
          <w:rtl/>
          <w:lang w:bidi="fa-IR"/>
        </w:rPr>
        <w:br w:type="page"/>
      </w:r>
    </w:p>
    <w:p w:rsidR="00144FA6" w:rsidRDefault="00744A1C" w:rsidP="0013596A">
      <w:pPr>
        <w:pStyle w:val="libNormal0"/>
        <w:rPr>
          <w:rtl/>
          <w:lang w:bidi="fa-IR"/>
        </w:rPr>
      </w:pPr>
      <w:r>
        <w:rPr>
          <w:rtl/>
          <w:lang w:bidi="fa-IR"/>
        </w:rPr>
        <w:t xml:space="preserve">وَأَجْمِلُوا فِي الطَّلَبِ </w:t>
      </w:r>
      <w:r w:rsidRPr="00D10E3C">
        <w:rPr>
          <w:rStyle w:val="libFootnotenumChar"/>
          <w:rtl/>
        </w:rPr>
        <w:t>(1)</w:t>
      </w:r>
      <w:r>
        <w:rPr>
          <w:rtl/>
          <w:lang w:bidi="fa-IR"/>
        </w:rPr>
        <w:t xml:space="preserve"> ، وَلَا يَحْمِلَنَّكُمُ </w:t>
      </w:r>
      <w:r w:rsidRPr="00D10E3C">
        <w:rPr>
          <w:rStyle w:val="libFootnotenumChar"/>
          <w:rtl/>
        </w:rPr>
        <w:t>(2)</w:t>
      </w:r>
      <w:r>
        <w:rPr>
          <w:rtl/>
          <w:lang w:bidi="fa-IR"/>
        </w:rPr>
        <w:t xml:space="preserve"> اسْتِبْطَاءُ شَيْ‌ءٍ مِنَ الرِّزْقِ أَنْ تَطْلُبُوهُ بِشَيْ‌ءٍ مِنْ مَعْصِيَةِ </w:t>
      </w:r>
      <w:r w:rsidRPr="00D10E3C">
        <w:rPr>
          <w:rStyle w:val="libFootnotenumChar"/>
          <w:rtl/>
        </w:rPr>
        <w:t>(3)</w:t>
      </w:r>
      <w:r>
        <w:rPr>
          <w:rtl/>
          <w:lang w:bidi="fa-IR"/>
        </w:rPr>
        <w:t xml:space="preserve"> اللهِ ؛ فَإِنَّ اللهَ - تَبَارَكَ وَتَعَالى - قَسَمَ الْأَرْزَاقَ بَيْنَ خَلْقِهِ حَلَالاً </w:t>
      </w:r>
      <w:r w:rsidRPr="00D10E3C">
        <w:rPr>
          <w:rStyle w:val="libFootnotenumChar"/>
          <w:rtl/>
        </w:rPr>
        <w:t>(4)</w:t>
      </w:r>
      <w:r>
        <w:rPr>
          <w:rtl/>
          <w:lang w:bidi="fa-IR"/>
        </w:rPr>
        <w:t xml:space="preserve"> ، وَلَمْ يَقْسِمْهَا حَرَاماً ، فَمَنِ اتَّقَى اللهَ - عَزَّ وَجَلَّ </w:t>
      </w:r>
      <w:r w:rsidRPr="00D10E3C">
        <w:rPr>
          <w:rStyle w:val="libFootnotenumChar"/>
          <w:rtl/>
        </w:rPr>
        <w:t>(5)</w:t>
      </w:r>
      <w:r>
        <w:rPr>
          <w:rtl/>
          <w:lang w:bidi="fa-IR"/>
        </w:rPr>
        <w:t xml:space="preserve"> - وَصَبَرَ ، أَتَاهُ اللهُ بِرِزْقِهِ </w:t>
      </w:r>
      <w:r w:rsidRPr="00D10E3C">
        <w:rPr>
          <w:rStyle w:val="libFootnotenumChar"/>
          <w:rtl/>
        </w:rPr>
        <w:t>(6)</w:t>
      </w:r>
      <w:r>
        <w:rPr>
          <w:rtl/>
          <w:lang w:bidi="fa-IR"/>
        </w:rPr>
        <w:t xml:space="preserve"> مِنْ حِلِّهِ ، وَمَنْ هَتَكَ </w:t>
      </w:r>
      <w:r w:rsidRPr="00D10E3C">
        <w:rPr>
          <w:rStyle w:val="libFootnotenumChar"/>
          <w:rtl/>
        </w:rPr>
        <w:t>(7)</w:t>
      </w:r>
      <w:r>
        <w:rPr>
          <w:rtl/>
          <w:lang w:bidi="fa-IR"/>
        </w:rPr>
        <w:t xml:space="preserve"> حِجَابَ السِّتْرِ </w:t>
      </w:r>
      <w:r w:rsidRPr="00D10E3C">
        <w:rPr>
          <w:rStyle w:val="libFootnotenumChar"/>
          <w:rtl/>
        </w:rPr>
        <w:t>(8)</w:t>
      </w:r>
      <w:r>
        <w:rPr>
          <w:rtl/>
          <w:lang w:bidi="fa-IR"/>
        </w:rPr>
        <w:t xml:space="preserve"> وَعَجَّلَ ، فَأَخَذَهُ </w:t>
      </w:r>
      <w:r w:rsidRPr="00D10E3C">
        <w:rPr>
          <w:rStyle w:val="libFootnotenumChar"/>
          <w:rtl/>
        </w:rPr>
        <w:t>(9)</w:t>
      </w:r>
      <w:r>
        <w:rPr>
          <w:rtl/>
          <w:lang w:bidi="fa-IR"/>
        </w:rPr>
        <w:t xml:space="preserve"> مِنْ غَيْرِ حِلِّهِ ، قُصَّ بِهِ </w:t>
      </w:r>
      <w:r w:rsidRPr="00D10E3C">
        <w:rPr>
          <w:rStyle w:val="libFootnotenumChar"/>
          <w:rtl/>
        </w:rPr>
        <w:t>(10)</w:t>
      </w:r>
      <w:r>
        <w:rPr>
          <w:rtl/>
          <w:lang w:bidi="fa-IR"/>
        </w:rPr>
        <w:t xml:space="preserve"> مِنْ رِزْقِهِ الْحَلَالِ ، وَحُوسِبَ عَلَيْهِ يَوْمَ الْقِيَامَةِ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وأجملوا في الطلب ، أي لا يكن كدّكم فيه فاحشاً ، وعطفه على اتّقوا الله ، يحتمل المعنيين : أحدهما أن يكون المراد : اتّقوا الله في هذا الكدّ الفاحش ، أي لا تفعلوه. والثاني : أنّكم إذا اتّقيتم الله لا تحتاجون إلى هذا الكدّ والتعب ، ويكون إشارة إلى قوله تعالى : </w:t>
      </w:r>
      <w:r w:rsidR="00744A1C" w:rsidRPr="001F3E14">
        <w:rPr>
          <w:rStyle w:val="libFootnoteAlaemChar"/>
          <w:rtl/>
        </w:rPr>
        <w:t>(</w:t>
      </w:r>
      <w:r w:rsidR="00744A1C" w:rsidRPr="00166EF7">
        <w:rPr>
          <w:rStyle w:val="libFootnoteAieChar"/>
          <w:rtl/>
        </w:rPr>
        <w:t xml:space="preserve"> وَ</w:t>
      </w:r>
      <w:r w:rsidR="001F3E14" w:rsidRPr="00166EF7">
        <w:rPr>
          <w:rStyle w:val="libFootnoteAieChar"/>
          <w:rFonts w:hint="cs"/>
          <w:rtl/>
        </w:rPr>
        <w:t xml:space="preserve"> </w:t>
      </w:r>
      <w:r w:rsidR="00744A1C" w:rsidRPr="00166EF7">
        <w:rPr>
          <w:rStyle w:val="libFootnoteAieChar"/>
          <w:rtl/>
        </w:rPr>
        <w:t>مَنْ يَتَّقِ اللهَ يَجْعَلْ لَهُ مَخْرَجاً</w:t>
      </w:r>
      <w:r w:rsidR="00335AFE" w:rsidRPr="00166EF7">
        <w:rPr>
          <w:rStyle w:val="libFootnoteAieChar"/>
          <w:rFonts w:hint="cs"/>
          <w:rtl/>
        </w:rPr>
        <w:t xml:space="preserve"> *</w:t>
      </w:r>
      <w:r w:rsidR="00744A1C" w:rsidRPr="00166EF7">
        <w:rPr>
          <w:rStyle w:val="libFootnoteAieChar"/>
          <w:rtl/>
        </w:rPr>
        <w:t xml:space="preserve"> وَيَرْزُقْهُ مِنْ حَيْثُ لا يَحْتَسِبُ </w:t>
      </w:r>
      <w:r w:rsidR="00744A1C" w:rsidRPr="001F3E14">
        <w:rPr>
          <w:rStyle w:val="libFootnoteAlaemChar"/>
          <w:rtl/>
        </w:rPr>
        <w:t>)</w:t>
      </w:r>
      <w:r w:rsidR="00744A1C">
        <w:rPr>
          <w:rtl/>
          <w:lang w:bidi="fa-IR"/>
        </w:rPr>
        <w:t xml:space="preserve"> [ الطلاق (65) : 2 - 3 ]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ولايحملنّكم ، أي لا يبعثكم ويحدوكم ، والمصدر المسبوك من « أن » المصدريّة ومعمولها منصوب بنزع الخافض ، أي لا يبعثكم استبطاء الرزق على طلبه بالمعصية ».</w:t>
      </w:r>
    </w:p>
    <w:p w:rsidR="00744A1C" w:rsidRDefault="00E378DD" w:rsidP="00E378DD">
      <w:pPr>
        <w:pStyle w:val="libFootnote0"/>
        <w:rPr>
          <w:lang w:bidi="fa-IR"/>
        </w:rPr>
      </w:pPr>
      <w:r>
        <w:rPr>
          <w:rtl/>
          <w:lang w:bidi="fa-IR"/>
        </w:rPr>
        <w:t>(3).</w:t>
      </w:r>
      <w:r w:rsidR="00744A1C">
        <w:rPr>
          <w:rtl/>
          <w:lang w:bidi="fa-IR"/>
        </w:rPr>
        <w:t xml:space="preserve"> في </w:t>
      </w:r>
      <w:r w:rsidR="00744A1C" w:rsidRPr="00A26159">
        <w:rPr>
          <w:rtl/>
        </w:rPr>
        <w:t xml:space="preserve">الوسائل </w:t>
      </w:r>
      <w:r w:rsidR="00744A1C">
        <w:rPr>
          <w:rtl/>
          <w:lang w:bidi="fa-IR"/>
        </w:rPr>
        <w:t>: « بمعصية » بدل « بشي‌ء من معصية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قوله : حلالاً ، منصوب على الحاليّة أو المفعوليّة بتضمين « قسم » معنى جعل ».</w:t>
      </w:r>
    </w:p>
    <w:p w:rsidR="00744A1C" w:rsidRDefault="00E378DD" w:rsidP="00E378DD">
      <w:pPr>
        <w:pStyle w:val="libFootnote0"/>
        <w:rPr>
          <w:lang w:bidi="fa-IR"/>
        </w:rPr>
      </w:pPr>
      <w:r>
        <w:rPr>
          <w:rtl/>
          <w:lang w:bidi="fa-IR"/>
        </w:rPr>
        <w:t>(5).</w:t>
      </w:r>
      <w:r w:rsidR="00744A1C">
        <w:rPr>
          <w:rtl/>
          <w:lang w:bidi="fa-IR"/>
        </w:rPr>
        <w:t xml:space="preserve"> في « بح » : - « الله عزّ وجلّ ».</w:t>
      </w:r>
    </w:p>
    <w:p w:rsidR="00744A1C" w:rsidRDefault="00E378DD" w:rsidP="00E378DD">
      <w:pPr>
        <w:pStyle w:val="libFootnote0"/>
        <w:rPr>
          <w:lang w:bidi="fa-IR"/>
        </w:rPr>
      </w:pPr>
      <w:r>
        <w:rPr>
          <w:rtl/>
          <w:lang w:bidi="fa-IR"/>
        </w:rPr>
        <w:t>(6).</w:t>
      </w:r>
      <w:r w:rsidR="00744A1C">
        <w:rPr>
          <w:rtl/>
          <w:lang w:bidi="fa-IR"/>
        </w:rPr>
        <w:t xml:space="preserve"> في « ى » : « برزق ». وفي </w:t>
      </w:r>
      <w:r w:rsidR="00744A1C" w:rsidRPr="00A26159">
        <w:rPr>
          <w:rtl/>
        </w:rPr>
        <w:t>البحار :</w:t>
      </w:r>
      <w:r w:rsidR="00744A1C">
        <w:rPr>
          <w:rtl/>
          <w:lang w:bidi="fa-IR"/>
        </w:rPr>
        <w:t xml:space="preserve"> « رزقه » بدل « الله برزقه ».</w:t>
      </w:r>
    </w:p>
    <w:p w:rsidR="00744A1C" w:rsidRDefault="00E378DD" w:rsidP="00E378DD">
      <w:pPr>
        <w:pStyle w:val="libFootnote0"/>
        <w:rPr>
          <w:lang w:bidi="fa-IR"/>
        </w:rPr>
      </w:pPr>
      <w:r>
        <w:rPr>
          <w:rtl/>
          <w:lang w:bidi="fa-IR"/>
        </w:rPr>
        <w:t>(7).</w:t>
      </w:r>
      <w:r w:rsidR="00744A1C">
        <w:rPr>
          <w:rtl/>
          <w:lang w:bidi="fa-IR"/>
        </w:rPr>
        <w:t xml:space="preserve"> الهَتْك : خَرقُ الستر عمّا وراءه. </w:t>
      </w:r>
      <w:r w:rsidR="00744A1C" w:rsidRPr="00E978C3">
        <w:rPr>
          <w:rStyle w:val="libFootnoteBoldChar"/>
          <w:rtl/>
        </w:rPr>
        <w:t>الصحاح</w:t>
      </w:r>
      <w:r w:rsidR="00744A1C">
        <w:rPr>
          <w:rtl/>
          <w:lang w:bidi="fa-IR"/>
        </w:rPr>
        <w:t xml:space="preserve"> ، ج 4 ، ص 1616 ( هتك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إضافة الحجاب إلى الستر بيانيّة إن كسرت السين ، ولاميّة إن فتحتها ، وفي الكلام استعارة ».</w:t>
      </w:r>
    </w:p>
    <w:p w:rsidR="00744A1C" w:rsidRDefault="00E378DD" w:rsidP="00E378DD">
      <w:pPr>
        <w:pStyle w:val="libFootnote0"/>
        <w:rPr>
          <w:lang w:bidi="fa-IR"/>
        </w:rPr>
      </w:pPr>
      <w:r>
        <w:rPr>
          <w:rtl/>
          <w:lang w:bidi="fa-IR"/>
        </w:rPr>
        <w:t>(9).</w:t>
      </w:r>
      <w:r w:rsidR="00744A1C">
        <w:rPr>
          <w:rtl/>
          <w:lang w:bidi="fa-IR"/>
        </w:rPr>
        <w:t xml:space="preserve"> في</w:t>
      </w:r>
      <w:r w:rsidR="00744A1C" w:rsidRPr="00A26159">
        <w:rPr>
          <w:rtl/>
        </w:rPr>
        <w:t xml:space="preserve"> البحار</w:t>
      </w:r>
      <w:r w:rsidR="00744A1C">
        <w:rPr>
          <w:rtl/>
          <w:lang w:bidi="fa-IR"/>
        </w:rPr>
        <w:t xml:space="preserve"> : « ستر الله عزّ وجلّ وأخذه » بدل « الستر وعجّل فأخذه ».</w:t>
      </w:r>
    </w:p>
    <w:p w:rsidR="00744A1C" w:rsidRDefault="00E378DD" w:rsidP="00E378DD">
      <w:pPr>
        <w:pStyle w:val="libFootnote0"/>
        <w:rPr>
          <w:lang w:bidi="fa-IR"/>
        </w:rPr>
      </w:pPr>
      <w:r>
        <w:rPr>
          <w:rtl/>
          <w:lang w:bidi="fa-IR"/>
        </w:rPr>
        <w:t>(10).</w:t>
      </w:r>
      <w:r w:rsidR="00744A1C">
        <w:rPr>
          <w:rtl/>
          <w:lang w:bidi="fa-IR"/>
        </w:rPr>
        <w:t xml:space="preserve"> في « ى » وحاشية « بس » : « الله عزّوجّل » بدل « به ». و « قُصَّ به » من القَصّ ، وهو في الأصل : القَطع. راجع : </w:t>
      </w:r>
      <w:r w:rsidR="00744A1C" w:rsidRPr="00877682">
        <w:rPr>
          <w:rStyle w:val="libFootnoteBoldChar"/>
          <w:rtl/>
        </w:rPr>
        <w:t>لسان العرب</w:t>
      </w:r>
      <w:r w:rsidR="00744A1C">
        <w:rPr>
          <w:rtl/>
          <w:lang w:bidi="fa-IR"/>
        </w:rPr>
        <w:t xml:space="preserve"> ، ج 7 ، ص 76 ( قصص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قصّ به ، على بناء المجهول ، من التقاصّ ».</w:t>
      </w:r>
    </w:p>
    <w:p w:rsidR="00744A1C" w:rsidRDefault="00E378DD" w:rsidP="00E378DD">
      <w:pPr>
        <w:pStyle w:val="libFootnote0"/>
        <w:rPr>
          <w:lang w:bidi="fa-IR"/>
        </w:rPr>
      </w:pPr>
      <w:r>
        <w:rPr>
          <w:rtl/>
          <w:lang w:bidi="fa-IR"/>
        </w:rPr>
        <w:t>(11).</w:t>
      </w:r>
      <w:r w:rsidR="00744A1C">
        <w:rPr>
          <w:rtl/>
          <w:lang w:bidi="fa-IR"/>
        </w:rPr>
        <w:t xml:space="preserve"> في </w:t>
      </w:r>
      <w:r w:rsidR="00744A1C" w:rsidRPr="0061079A">
        <w:rPr>
          <w:rStyle w:val="libFootnoteBoldChar"/>
          <w:rtl/>
        </w:rPr>
        <w:t>البحار</w:t>
      </w:r>
      <w:r w:rsidR="00744A1C">
        <w:rPr>
          <w:rtl/>
          <w:lang w:bidi="fa-IR"/>
        </w:rPr>
        <w:t xml:space="preserve"> : - « يوم القيامة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321 ، ح 880 ، معلّقاً عن الحسن بن محبوب. </w:t>
      </w:r>
      <w:r w:rsidR="00744A1C" w:rsidRPr="0061079A">
        <w:rPr>
          <w:rStyle w:val="libFootnoteBoldChar"/>
          <w:rtl/>
        </w:rPr>
        <w:t>الكافي</w:t>
      </w:r>
      <w:r w:rsidR="00744A1C">
        <w:rPr>
          <w:rtl/>
          <w:lang w:bidi="fa-IR"/>
        </w:rPr>
        <w:t xml:space="preserve"> ، كتاب الإيمان والكفر ، باب الطاعة والتقوى ، ذيل ح 1621 ، بسنده عن أبي حمزة الثمالي ، إلى قوله : « بشي‌ء من معصية الله » مع اختلاف يسير. </w:t>
      </w:r>
      <w:r w:rsidR="00744A1C" w:rsidRPr="00A26159">
        <w:rPr>
          <w:rStyle w:val="libFootnoteBoldChar"/>
          <w:rtl/>
        </w:rPr>
        <w:t>الأمالي للصدوق</w:t>
      </w:r>
      <w:r w:rsidR="00744A1C">
        <w:rPr>
          <w:rtl/>
          <w:lang w:bidi="fa-IR"/>
        </w:rPr>
        <w:t xml:space="preserve"> ، ص 293 ، المجلس 49 ، ح 1 ، بسند آخر عن أبي عبد الله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744A1C">
        <w:rPr>
          <w:rtl/>
          <w:lang w:bidi="fa-IR"/>
        </w:rPr>
        <w:t xml:space="preserve">، مع زيادة في آخره. </w:t>
      </w:r>
      <w:r w:rsidR="00744A1C" w:rsidRPr="00A26159">
        <w:rPr>
          <w:rStyle w:val="libFootnoteBoldChar"/>
          <w:rtl/>
        </w:rPr>
        <w:t>المقنعة</w:t>
      </w:r>
      <w:r w:rsidR="00744A1C">
        <w:rPr>
          <w:rtl/>
          <w:lang w:bidi="fa-IR"/>
        </w:rPr>
        <w:t xml:space="preserve"> ، ص 586 ، مرسلاً عن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 وفي الأخيرين إلى قوله : « وأجملوا في الطلب » مع اختلاف يسير </w:t>
      </w:r>
      <w:r w:rsidR="00A26159">
        <w:rPr>
          <w:rFonts w:hint="cs"/>
          <w:rtl/>
          <w:lang w:bidi="fa-IR"/>
        </w:rPr>
        <w:t>.</w:t>
      </w:r>
      <w:r w:rsidR="00744A1C" w:rsidRPr="00C24F9C">
        <w:rPr>
          <w:rStyle w:val="libFootnoteBoldChar"/>
          <w:rtl/>
        </w:rPr>
        <w:t>الوافي</w:t>
      </w:r>
      <w:r w:rsidR="00744A1C">
        <w:rPr>
          <w:rtl/>
          <w:lang w:bidi="fa-IR"/>
        </w:rPr>
        <w:t xml:space="preserve"> ، ج 17 ، ص 51 ، ح 16841 ؛ </w:t>
      </w:r>
      <w:r w:rsidR="00744A1C" w:rsidRPr="00C24F9C">
        <w:rPr>
          <w:rStyle w:val="libFootnoteBoldChar"/>
          <w:rtl/>
        </w:rPr>
        <w:t>الوسائل</w:t>
      </w:r>
      <w:r w:rsidR="00744A1C">
        <w:rPr>
          <w:rtl/>
          <w:lang w:bidi="fa-IR"/>
        </w:rPr>
        <w:t xml:space="preserve"> ، ج 17 ، ص 44 ، ح 21938 ؛ </w:t>
      </w:r>
      <w:r w:rsidR="00744A1C" w:rsidRPr="0061079A">
        <w:rPr>
          <w:rStyle w:val="libFootnoteBoldChar"/>
          <w:rtl/>
        </w:rPr>
        <w:t>البحار</w:t>
      </w:r>
      <w:r w:rsidR="00744A1C">
        <w:rPr>
          <w:rtl/>
          <w:lang w:bidi="fa-IR"/>
        </w:rPr>
        <w:t xml:space="preserve"> ، ج 5 ، ص 148 ، ح 13.</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8401 / 2. عِدَّةٌ مِنْ أَصْحَابِنَا ، عَنْ أَحْمَدَ بْنِ مُحَمَّدِ بْنِ عِيسى ، عَنِ الْحُسَيْنِ بْنِ سَعِيدٍ ، عَنْ إِبْرَاهِيمَ بْنِ أَبِي الْبِلَادِ ، عَنْ أَبِيهِ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sidRPr="00D10E3C">
        <w:rPr>
          <w:rStyle w:val="libFootnotenumChar"/>
          <w:rtl/>
        </w:rPr>
        <w:t>(1)</w:t>
      </w:r>
      <w:r>
        <w:rPr>
          <w:rtl/>
          <w:lang w:bidi="fa-IR"/>
        </w:rPr>
        <w:t xml:space="preserve"> ، قَالَ : « لَيْ</w:t>
      </w:r>
      <w:r w:rsidR="00A26159">
        <w:rPr>
          <w:rtl/>
          <w:lang w:bidi="fa-IR"/>
        </w:rPr>
        <w:t>سَ مِنْ نَفْسٍ إِل</w:t>
      </w:r>
      <w:r w:rsidR="00A26159">
        <w:rPr>
          <w:rFonts w:hint="cs"/>
          <w:rtl/>
          <w:lang w:bidi="fa-IR"/>
        </w:rPr>
        <w:t>َّ</w:t>
      </w:r>
      <w:r w:rsidR="00A26159">
        <w:rPr>
          <w:rtl/>
          <w:lang w:bidi="fa-IR"/>
        </w:rPr>
        <w:t>ا</w:t>
      </w:r>
      <w:r>
        <w:rPr>
          <w:rtl/>
          <w:lang w:bidi="fa-IR"/>
        </w:rPr>
        <w:t xml:space="preserve"> وَقَدْ فَرَضَ اللهُ - عَزَّ وَجَلَّ - لَهَا رِزْقَهَا </w:t>
      </w:r>
      <w:r w:rsidRPr="00D10E3C">
        <w:rPr>
          <w:rStyle w:val="libFootnotenumChar"/>
          <w:rtl/>
        </w:rPr>
        <w:t>(2)</w:t>
      </w:r>
      <w:r>
        <w:rPr>
          <w:rtl/>
          <w:lang w:bidi="fa-IR"/>
        </w:rPr>
        <w:t xml:space="preserve"> حَلَالاً يَأْتِيهَا فِي عَافِيَةٍ ، وَعَرَضَ </w:t>
      </w:r>
      <w:r w:rsidRPr="00D10E3C">
        <w:rPr>
          <w:rStyle w:val="libFootnotenumChar"/>
          <w:rtl/>
        </w:rPr>
        <w:t>(3)</w:t>
      </w:r>
      <w:r>
        <w:rPr>
          <w:rtl/>
          <w:lang w:bidi="fa-IR"/>
        </w:rPr>
        <w:t xml:space="preserve"> لَهَا بِالْحَرَامِ </w:t>
      </w:r>
      <w:r w:rsidRPr="00D10E3C">
        <w:rPr>
          <w:rStyle w:val="libFootnotenumChar"/>
          <w:rtl/>
        </w:rPr>
        <w:t>(4)</w:t>
      </w:r>
      <w:r>
        <w:rPr>
          <w:rtl/>
          <w:lang w:bidi="fa-IR"/>
        </w:rPr>
        <w:t xml:space="preserve"> مِنْ وَجْهٍ آخَرَ ، فَإِنْ هِيَ تَنَاوَلَتْ شَيْئاً مِنَ الْحَرَامِ ، قَاصَّهَا بِهِ مِنَ الْحَلَالِ الَّذِي فَرَضَ لَهَا ، وَعِنْدَ اللهِ سِوَاهُمَا فَضْلٌ كَثِيرٌ ، وَهُوَ قَوْلُهُ عَزَّ وَجَلَّ : </w:t>
      </w:r>
      <w:r w:rsidRPr="00990B53">
        <w:rPr>
          <w:rStyle w:val="libAlaemChar"/>
          <w:rtl/>
        </w:rPr>
        <w:t>(</w:t>
      </w:r>
      <w:r w:rsidRPr="00990B53">
        <w:rPr>
          <w:rStyle w:val="libAieChar"/>
          <w:rtl/>
        </w:rPr>
        <w:t xml:space="preserve"> وَسْئَلُوا اللهَ مِنْ فَضْلِهِ </w:t>
      </w:r>
      <w:r w:rsidRPr="00990B53">
        <w:rPr>
          <w:rStyle w:val="libAlaemChar"/>
          <w:rtl/>
        </w:rPr>
        <w:t>)</w:t>
      </w:r>
      <w:r>
        <w:rPr>
          <w:rtl/>
          <w:lang w:bidi="fa-IR"/>
        </w:rPr>
        <w:t xml:space="preserve">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8402 / 3. إِبْرَاهِيمُ بْنُ أَبِي الْبِلَادِ </w:t>
      </w:r>
      <w:r w:rsidRPr="00D10E3C">
        <w:rPr>
          <w:rStyle w:val="libFootnotenumChar"/>
          <w:rtl/>
        </w:rPr>
        <w:t>(7)</w:t>
      </w:r>
      <w:r>
        <w:rPr>
          <w:rtl/>
          <w:lang w:bidi="fa-IR"/>
        </w:rPr>
        <w:t xml:space="preserve"> ، عَنْ أَبِيهِ :</w:t>
      </w:r>
    </w:p>
    <w:p w:rsidR="00144FA6" w:rsidRDefault="00744A1C" w:rsidP="00744A1C">
      <w:pPr>
        <w:pStyle w:val="libNormal"/>
        <w:rPr>
          <w:rtl/>
          <w:lang w:bidi="fa-IR"/>
        </w:rPr>
      </w:pPr>
      <w:r>
        <w:rPr>
          <w:rtl/>
          <w:lang w:bidi="fa-IR"/>
        </w:rPr>
        <w:t xml:space="preserve">عَنْ أَحَدِهِمَا </w:t>
      </w:r>
      <w:r w:rsidR="008859AA" w:rsidRPr="008859AA">
        <w:rPr>
          <w:rStyle w:val="libAlaemChar"/>
          <w:rtl/>
        </w:rPr>
        <w:t>عليهما‌السلام</w:t>
      </w:r>
      <w:r>
        <w:rPr>
          <w:rtl/>
          <w:lang w:bidi="fa-IR"/>
        </w:rPr>
        <w:t xml:space="preserve">، قَالَ : « قَالَ رَسُولُ اللهِ </w:t>
      </w:r>
      <w:r w:rsidR="00AE01C7" w:rsidRPr="00AE01C7">
        <w:rPr>
          <w:rStyle w:val="libFootnoteAlaemChar"/>
          <w:rtl/>
        </w:rPr>
        <w:t>صلى‌الله‌عليه‌وآله</w:t>
      </w:r>
      <w:r w:rsidR="00D10E3C">
        <w:rPr>
          <w:rtl/>
          <w:lang w:bidi="fa-IR"/>
        </w:rPr>
        <w:t xml:space="preserve"> </w:t>
      </w:r>
      <w:r>
        <w:rPr>
          <w:rtl/>
          <w:lang w:bidi="fa-IR"/>
        </w:rPr>
        <w:t xml:space="preserve">: يَا أَيُّهَا النَّاسُ ، إِنَّهُ قَدْ </w:t>
      </w:r>
      <w:r w:rsidRPr="00D10E3C">
        <w:rPr>
          <w:rStyle w:val="libFootnotenumChar"/>
          <w:rtl/>
        </w:rPr>
        <w:t>(8)</w:t>
      </w:r>
      <w:r>
        <w:rPr>
          <w:rtl/>
          <w:lang w:bidi="fa-IR"/>
        </w:rPr>
        <w:t xml:space="preserve"> نَفَثَ فِي رُوعِي‌ رُوحُ الْقُدُسِ أَنَّهُ لَنْ تَمُوتَ نَفْسٌ حَتّى تَسْتَوْفِيَ </w:t>
      </w:r>
      <w:r w:rsidRPr="00D10E3C">
        <w:rPr>
          <w:rStyle w:val="libFootnotenumChar"/>
          <w:rtl/>
        </w:rPr>
        <w:t>(9)</w:t>
      </w:r>
      <w:r>
        <w:rPr>
          <w:rtl/>
          <w:lang w:bidi="fa-IR"/>
        </w:rPr>
        <w:t xml:space="preserve"> رِزْقَهَا وَإِنْ أَبْطَأَ عَلَيْهَا ، فَاتَّقُوا اللهَ عَزَّ وَجَلَّ ، وَأَجْمِلُوا فِي الطَّلَبِ ، وَلَا يَحْمِلَنَّكُمُ اسْتِبْطَاءُ شَيْ‌ءٍ مِمَّا عِنْدَ اللهِ - عَزَّ وَجَلَّ - أَنْ تُصِيبُوهُ </w:t>
      </w:r>
      <w:r w:rsidRPr="00D10E3C">
        <w:rPr>
          <w:rStyle w:val="libFootnotenumChar"/>
          <w:rtl/>
        </w:rPr>
        <w:t>(10)</w:t>
      </w:r>
      <w:r>
        <w:rPr>
          <w:rtl/>
          <w:lang w:bidi="fa-IR"/>
        </w:rPr>
        <w:t xml:space="preserve"> بِمَعْصِيَةِ اللهِ ، فَإِنَّ اللهَ - عَزَّ وَجَلَّ </w:t>
      </w:r>
      <w:r w:rsidR="00990B53">
        <w:rPr>
          <w:rtl/>
          <w:lang w:bidi="fa-IR"/>
        </w:rPr>
        <w:t>- لَايُنَالُ مَا عِنْدَهُ إِل</w:t>
      </w:r>
      <w:r w:rsidR="00990B53">
        <w:rPr>
          <w:rFonts w:hint="cs"/>
          <w:rtl/>
          <w:lang w:bidi="fa-IR"/>
        </w:rPr>
        <w:t>َّ</w:t>
      </w:r>
      <w:r w:rsidR="00990B53">
        <w:rPr>
          <w:rtl/>
          <w:lang w:bidi="fa-IR"/>
        </w:rPr>
        <w:t>ا</w:t>
      </w:r>
      <w:r>
        <w:rPr>
          <w:rtl/>
          <w:lang w:bidi="fa-IR"/>
        </w:rPr>
        <w:t xml:space="preserve"> بِالطَّاعَةِ ». </w:t>
      </w:r>
      <w:r w:rsidRPr="00D10E3C">
        <w:rPr>
          <w:rStyle w:val="libFootnotenumChar"/>
          <w:rtl/>
        </w:rPr>
        <w:t>(11)</w:t>
      </w:r>
    </w:p>
    <w:p w:rsidR="00144FA6" w:rsidRDefault="00744A1C" w:rsidP="00744A1C">
      <w:pPr>
        <w:pStyle w:val="libNormal"/>
        <w:rPr>
          <w:rtl/>
          <w:lang w:bidi="fa-IR"/>
        </w:rPr>
      </w:pPr>
      <w:r>
        <w:rPr>
          <w:rtl/>
          <w:lang w:bidi="fa-IR"/>
        </w:rPr>
        <w:t>8403 / 4. مُحَمَّدُ بْنُ يَحْيى ، عَنْ مُحَمَّدِ بْنِ الْحُسَيْنِ ، عَنْ عَبْدِ الرَّحْمنِ بْنِ أَبِي هَاشِمٍ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2D1854" w:rsidTr="002D1854">
        <w:tc>
          <w:tcPr>
            <w:tcW w:w="4006" w:type="dxa"/>
          </w:tcPr>
          <w:p w:rsidR="002D1854" w:rsidRDefault="002D1854" w:rsidP="00D10E3C">
            <w:pPr>
              <w:pStyle w:val="libFootnote0"/>
              <w:rPr>
                <w:rtl/>
                <w:lang w:bidi="fa-IR"/>
              </w:rPr>
            </w:pPr>
            <w:r>
              <w:rPr>
                <w:rtl/>
                <w:lang w:bidi="fa-IR"/>
              </w:rPr>
              <w:t xml:space="preserve">(1). في « ط ، بخ ، بس ، بف » </w:t>
            </w:r>
            <w:r w:rsidRPr="002D1854">
              <w:rPr>
                <w:rtl/>
              </w:rPr>
              <w:t>والوافي</w:t>
            </w:r>
            <w:r>
              <w:rPr>
                <w:rtl/>
                <w:lang w:bidi="fa-IR"/>
              </w:rPr>
              <w:t xml:space="preserve"> : + « أنّه ».</w:t>
            </w:r>
          </w:p>
        </w:tc>
        <w:tc>
          <w:tcPr>
            <w:tcW w:w="4006" w:type="dxa"/>
          </w:tcPr>
          <w:p w:rsidR="002D1854" w:rsidRDefault="002D1854" w:rsidP="00D10E3C">
            <w:pPr>
              <w:pStyle w:val="libFootnote0"/>
              <w:rPr>
                <w:rtl/>
                <w:lang w:bidi="fa-IR"/>
              </w:rPr>
            </w:pPr>
            <w:r>
              <w:rPr>
                <w:rtl/>
                <w:lang w:bidi="fa-IR"/>
              </w:rPr>
              <w:t>(2). في « ط » : « رزقاً ».</w:t>
            </w:r>
          </w:p>
        </w:tc>
      </w:tr>
    </w:tbl>
    <w:p w:rsidR="00744A1C" w:rsidRDefault="00E378DD" w:rsidP="00E378DD">
      <w:pPr>
        <w:pStyle w:val="libFootnote0"/>
        <w:rPr>
          <w:lang w:bidi="fa-IR"/>
        </w:rPr>
      </w:pPr>
      <w:r>
        <w:rPr>
          <w:rtl/>
          <w:lang w:bidi="fa-IR"/>
        </w:rPr>
        <w:t>(3).</w:t>
      </w:r>
      <w:r w:rsidR="002D1854">
        <w:rPr>
          <w:rtl/>
          <w:lang w:bidi="fa-IR"/>
        </w:rPr>
        <w:t xml:space="preserve"> قرأه العل</w:t>
      </w:r>
      <w:r w:rsidR="002D1854">
        <w:rPr>
          <w:rFonts w:hint="cs"/>
          <w:rtl/>
          <w:lang w:bidi="fa-IR"/>
        </w:rPr>
        <w:t>ّ</w:t>
      </w:r>
      <w:r w:rsidR="002D1854">
        <w:rPr>
          <w:rtl/>
          <w:lang w:bidi="fa-IR"/>
        </w:rPr>
        <w:t>ا</w:t>
      </w:r>
      <w:r w:rsidR="00744A1C">
        <w:rPr>
          <w:rtl/>
          <w:lang w:bidi="fa-IR"/>
        </w:rPr>
        <w:t xml:space="preserve">مة المجلسي بتضعيف الراء ، حيث قال في </w:t>
      </w:r>
      <w:r w:rsidR="00744A1C" w:rsidRPr="00C24F9C">
        <w:rPr>
          <w:rStyle w:val="libFootnoteBoldChar"/>
          <w:rtl/>
        </w:rPr>
        <w:t>المرآة</w:t>
      </w:r>
      <w:r w:rsidR="00744A1C">
        <w:rPr>
          <w:rtl/>
          <w:lang w:bidi="fa-IR"/>
        </w:rPr>
        <w:t xml:space="preserve"> : « لعلّ ذكر التعريض الذي هو مقابل التصريح‌مضمَّناً معنى الإشعار لبيان أنّ في تحصيلها مشقّة أو خفاء ، ومكاسب الحلال أيسر وأظهر ».</w:t>
      </w:r>
    </w:p>
    <w:tbl>
      <w:tblPr>
        <w:tblStyle w:val="TableGrid"/>
        <w:bidiVisual/>
        <w:tblW w:w="0" w:type="auto"/>
        <w:tblLook w:val="04A0" w:firstRow="1" w:lastRow="0" w:firstColumn="1" w:lastColumn="0" w:noHBand="0" w:noVBand="1"/>
      </w:tblPr>
      <w:tblGrid>
        <w:gridCol w:w="4006"/>
        <w:gridCol w:w="4006"/>
      </w:tblGrid>
      <w:tr w:rsidR="004B7557" w:rsidTr="004B7557">
        <w:tc>
          <w:tcPr>
            <w:tcW w:w="4006" w:type="dxa"/>
          </w:tcPr>
          <w:p w:rsidR="004B7557" w:rsidRDefault="004B7557" w:rsidP="00E378DD">
            <w:pPr>
              <w:pStyle w:val="libFootnote0"/>
              <w:rPr>
                <w:rtl/>
                <w:lang w:bidi="fa-IR"/>
              </w:rPr>
            </w:pPr>
            <w:r>
              <w:rPr>
                <w:rtl/>
                <w:lang w:bidi="fa-IR"/>
              </w:rPr>
              <w:t>(4). في « ى » : « من حرام ».</w:t>
            </w:r>
          </w:p>
        </w:tc>
        <w:tc>
          <w:tcPr>
            <w:tcW w:w="4006" w:type="dxa"/>
          </w:tcPr>
          <w:p w:rsidR="004B7557" w:rsidRDefault="004B7557" w:rsidP="00E378DD">
            <w:pPr>
              <w:pStyle w:val="libFootnote0"/>
              <w:rPr>
                <w:rtl/>
                <w:lang w:bidi="fa-IR"/>
              </w:rPr>
            </w:pPr>
            <w:r>
              <w:rPr>
                <w:rtl/>
                <w:lang w:bidi="fa-IR"/>
              </w:rPr>
              <w:t>(5). النساء (4) : 32.</w:t>
            </w:r>
          </w:p>
        </w:tc>
      </w:tr>
    </w:tbl>
    <w:p w:rsidR="00744A1C" w:rsidRDefault="00E378DD" w:rsidP="00E378DD">
      <w:pPr>
        <w:pStyle w:val="libFootnote0"/>
        <w:rPr>
          <w:lang w:bidi="fa-IR"/>
        </w:rPr>
      </w:pPr>
      <w:r>
        <w:rPr>
          <w:rtl/>
          <w:lang w:bidi="fa-IR"/>
        </w:rPr>
        <w:t>(6).</w:t>
      </w:r>
      <w:r w:rsidR="00744A1C">
        <w:rPr>
          <w:rtl/>
          <w:lang w:bidi="fa-IR"/>
        </w:rPr>
        <w:t xml:space="preserve"> </w:t>
      </w:r>
      <w:r w:rsidR="00744A1C" w:rsidRPr="00A914B5">
        <w:rPr>
          <w:rStyle w:val="libFootnoteBoldChar"/>
          <w:rtl/>
        </w:rPr>
        <w:t>تفسير العيّاشي</w:t>
      </w:r>
      <w:r w:rsidR="00744A1C">
        <w:rPr>
          <w:rtl/>
          <w:lang w:bidi="fa-IR"/>
        </w:rPr>
        <w:t xml:space="preserve"> ، ج 1 ، ص 239 ، ح 118 ، عن إبراهيم بن أبي البلاد ، إلى قوله : « سواهما فضل كثير ». وفيه ، ح 116 ، عن إسماعيل بن كثير رفعه إلى النبيّ </w:t>
      </w:r>
      <w:r w:rsidR="00B7470D" w:rsidRPr="0013596A">
        <w:rPr>
          <w:rStyle w:val="libFootnoteAlaemChar"/>
          <w:rtl/>
        </w:rPr>
        <w:t>صلى‌الله‌عليه‌وآله</w:t>
      </w:r>
      <w:r w:rsidR="00D10E3C">
        <w:rPr>
          <w:rtl/>
          <w:lang w:bidi="fa-IR"/>
        </w:rPr>
        <w:t xml:space="preserve"> </w:t>
      </w:r>
      <w:r w:rsidR="00744A1C">
        <w:rPr>
          <w:rtl/>
          <w:lang w:bidi="fa-IR"/>
        </w:rPr>
        <w:t xml:space="preserve">، مع اختلاف </w:t>
      </w:r>
      <w:r w:rsidR="00611986">
        <w:rPr>
          <w:rFonts w:hint="cs"/>
          <w:rtl/>
          <w:lang w:bidi="fa-IR"/>
        </w:rPr>
        <w:t>.</w:t>
      </w:r>
      <w:r w:rsidR="00744A1C" w:rsidRPr="00C24F9C">
        <w:rPr>
          <w:rStyle w:val="libFootnoteBoldChar"/>
          <w:rtl/>
        </w:rPr>
        <w:t>الوافي</w:t>
      </w:r>
      <w:r w:rsidR="00744A1C">
        <w:rPr>
          <w:rtl/>
          <w:lang w:bidi="fa-IR"/>
        </w:rPr>
        <w:t xml:space="preserve"> ، ج 17 ، ص 52 ، ح 16843 ؛ </w:t>
      </w:r>
      <w:r w:rsidR="00744A1C" w:rsidRPr="00C24F9C">
        <w:rPr>
          <w:rStyle w:val="libFootnoteBoldChar"/>
          <w:rtl/>
        </w:rPr>
        <w:t>الوسائل</w:t>
      </w:r>
      <w:r w:rsidR="00744A1C">
        <w:rPr>
          <w:rtl/>
          <w:lang w:bidi="fa-IR"/>
        </w:rPr>
        <w:t xml:space="preserve"> ، ج 17 ، ص 45 ، ح 21940.</w:t>
      </w:r>
    </w:p>
    <w:p w:rsidR="00744A1C" w:rsidRDefault="00E378DD" w:rsidP="00611986">
      <w:pPr>
        <w:pStyle w:val="libFootnote0"/>
        <w:rPr>
          <w:lang w:bidi="fa-IR"/>
        </w:rPr>
      </w:pPr>
      <w:r>
        <w:rPr>
          <w:rtl/>
          <w:lang w:bidi="fa-IR"/>
        </w:rPr>
        <w:t>(7).</w:t>
      </w:r>
      <w:r w:rsidR="00744A1C">
        <w:rPr>
          <w:rtl/>
          <w:lang w:bidi="fa-IR"/>
        </w:rPr>
        <w:t xml:space="preserve"> السند معلّق على سابقه. ويروي عن إبراهيم بن أبي البلاد ، عدّة من أصحابنا عن أحمد بن محمّد بن عيسى عن الحسين بن سعيد.</w:t>
      </w:r>
      <w:r w:rsidR="00611986">
        <w:rPr>
          <w:rFonts w:hint="cs"/>
          <w:rtl/>
          <w:lang w:bidi="fa-IR"/>
        </w:rPr>
        <w:t xml:space="preserve">                                            </w:t>
      </w:r>
      <w:r>
        <w:rPr>
          <w:rtl/>
          <w:lang w:bidi="fa-IR"/>
        </w:rPr>
        <w:t>(8).</w:t>
      </w:r>
      <w:r w:rsidR="00744A1C">
        <w:rPr>
          <w:rtl/>
          <w:lang w:bidi="fa-IR"/>
        </w:rPr>
        <w:t xml:space="preserve"> في « ط » : - « قد ».</w:t>
      </w:r>
    </w:p>
    <w:tbl>
      <w:tblPr>
        <w:tblStyle w:val="TableGrid"/>
        <w:bidiVisual/>
        <w:tblW w:w="0" w:type="auto"/>
        <w:tblLook w:val="04A0" w:firstRow="1" w:lastRow="0" w:firstColumn="1" w:lastColumn="0" w:noHBand="0" w:noVBand="1"/>
      </w:tblPr>
      <w:tblGrid>
        <w:gridCol w:w="4006"/>
        <w:gridCol w:w="4006"/>
      </w:tblGrid>
      <w:tr w:rsidR="00611986" w:rsidTr="00611986">
        <w:tc>
          <w:tcPr>
            <w:tcW w:w="4006" w:type="dxa"/>
          </w:tcPr>
          <w:p w:rsidR="00611986" w:rsidRDefault="00611986" w:rsidP="00E378DD">
            <w:pPr>
              <w:pStyle w:val="libFootnote0"/>
              <w:rPr>
                <w:rtl/>
                <w:lang w:bidi="fa-IR"/>
              </w:rPr>
            </w:pPr>
            <w:r>
              <w:rPr>
                <w:rtl/>
                <w:lang w:bidi="fa-IR"/>
              </w:rPr>
              <w:t xml:space="preserve">(9). في « ط » </w:t>
            </w:r>
            <w:r w:rsidRPr="00611986">
              <w:rPr>
                <w:rtl/>
              </w:rPr>
              <w:t>والوافي</w:t>
            </w:r>
            <w:r>
              <w:rPr>
                <w:rtl/>
                <w:lang w:bidi="fa-IR"/>
              </w:rPr>
              <w:t xml:space="preserve"> : + « أقصى ».</w:t>
            </w:r>
          </w:p>
        </w:tc>
        <w:tc>
          <w:tcPr>
            <w:tcW w:w="4006" w:type="dxa"/>
          </w:tcPr>
          <w:p w:rsidR="00611986" w:rsidRDefault="00611986" w:rsidP="00E378DD">
            <w:pPr>
              <w:pStyle w:val="libFootnote0"/>
              <w:rPr>
                <w:rtl/>
                <w:lang w:bidi="fa-IR"/>
              </w:rPr>
            </w:pPr>
            <w:r>
              <w:rPr>
                <w:rtl/>
                <w:lang w:bidi="fa-IR"/>
              </w:rPr>
              <w:t>(10). في « بح » : « أن تصيبوا ».</w:t>
            </w:r>
          </w:p>
        </w:tc>
      </w:tr>
    </w:tbl>
    <w:p w:rsidR="00744A1C" w:rsidRDefault="00E378DD" w:rsidP="00E378DD">
      <w:pPr>
        <w:pStyle w:val="libFootnote0"/>
        <w:rPr>
          <w:lang w:bidi="fa-IR"/>
        </w:rPr>
      </w:pPr>
      <w:r>
        <w:rPr>
          <w:rtl/>
          <w:lang w:bidi="fa-IR"/>
        </w:rPr>
        <w:t>(11).</w:t>
      </w:r>
      <w:r w:rsidR="00744A1C">
        <w:rPr>
          <w:rtl/>
          <w:lang w:bidi="fa-IR"/>
        </w:rPr>
        <w:t xml:space="preserve"> </w:t>
      </w:r>
      <w:r w:rsidR="00744A1C" w:rsidRPr="00211914">
        <w:rPr>
          <w:rStyle w:val="libFootnoteBoldChar"/>
          <w:rtl/>
        </w:rPr>
        <w:t>بصائر الدرجات</w:t>
      </w:r>
      <w:r w:rsidR="00744A1C">
        <w:rPr>
          <w:rtl/>
          <w:lang w:bidi="fa-IR"/>
        </w:rPr>
        <w:t xml:space="preserve"> ، ص 453 ، ح 11 ، عن أحمد بن محمّد ، عن الحسين بن سعيد ، عن إبراهيم بن أبي البلاد </w:t>
      </w:r>
      <w:r w:rsidR="00611986">
        <w:rPr>
          <w:rFonts w:hint="cs"/>
          <w:rtl/>
          <w:lang w:bidi="fa-IR"/>
        </w:rPr>
        <w:t>.</w:t>
      </w:r>
      <w:r w:rsidR="00744A1C" w:rsidRPr="00C24F9C">
        <w:rPr>
          <w:rStyle w:val="libFootnoteBoldChar"/>
          <w:rtl/>
        </w:rPr>
        <w:t>الوافي</w:t>
      </w:r>
      <w:r w:rsidR="00744A1C">
        <w:rPr>
          <w:rtl/>
          <w:lang w:bidi="fa-IR"/>
        </w:rPr>
        <w:t xml:space="preserve"> ، ج 17 ، ص 53 ، ح 16844 ؛ </w:t>
      </w:r>
      <w:r w:rsidR="00744A1C" w:rsidRPr="00C24F9C">
        <w:rPr>
          <w:rStyle w:val="libFootnoteBoldChar"/>
          <w:rtl/>
        </w:rPr>
        <w:t>الوسائل</w:t>
      </w:r>
      <w:r w:rsidR="00744A1C">
        <w:rPr>
          <w:rtl/>
          <w:lang w:bidi="fa-IR"/>
        </w:rPr>
        <w:t xml:space="preserve"> ، ج 17 ، ص 45 ، ح 21941.</w:t>
      </w:r>
    </w:p>
    <w:p w:rsidR="006A5060" w:rsidRDefault="006A5060" w:rsidP="00D10E3C">
      <w:pPr>
        <w:pStyle w:val="libNormal"/>
        <w:rPr>
          <w:rtl/>
          <w:lang w:bidi="fa-IR"/>
        </w:rPr>
      </w:pPr>
      <w:r>
        <w:rPr>
          <w:rtl/>
          <w:lang w:bidi="fa-IR"/>
        </w:rPr>
        <w:br w:type="page"/>
      </w:r>
    </w:p>
    <w:p w:rsidR="00144FA6" w:rsidRDefault="00744A1C" w:rsidP="0013596A">
      <w:pPr>
        <w:pStyle w:val="libNormal0"/>
        <w:rPr>
          <w:rtl/>
          <w:lang w:bidi="fa-IR"/>
        </w:rPr>
      </w:pPr>
      <w:r>
        <w:rPr>
          <w:rtl/>
          <w:lang w:bidi="fa-IR"/>
        </w:rPr>
        <w:t>عَنْ أَبِي خَدِيجَةَ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لَوْ كَانَ الْعَبْدُ فِي حَجَرٍ </w:t>
      </w:r>
      <w:r w:rsidRPr="00D10E3C">
        <w:rPr>
          <w:rStyle w:val="libFootnotenumChar"/>
          <w:rtl/>
        </w:rPr>
        <w:t>(1)</w:t>
      </w:r>
      <w:r>
        <w:rPr>
          <w:rtl/>
          <w:lang w:bidi="fa-IR"/>
        </w:rPr>
        <w:t xml:space="preserve"> لَأَتَاهُ اللهُ بِرِزْقِهِ </w:t>
      </w:r>
      <w:r w:rsidRPr="00D10E3C">
        <w:rPr>
          <w:rStyle w:val="libFootnotenumChar"/>
          <w:rtl/>
        </w:rPr>
        <w:t>(2)</w:t>
      </w:r>
      <w:r w:rsidR="0013596A">
        <w:rPr>
          <w:rtl/>
          <w:lang w:bidi="fa-IR"/>
        </w:rPr>
        <w:t xml:space="preserve"> ، فَأَجْمِلُوا فِي الطَّلَبِ</w:t>
      </w:r>
      <w:r>
        <w:rPr>
          <w:rtl/>
          <w:lang w:bidi="fa-IR"/>
        </w:rPr>
        <w:t xml:space="preserve">». </w:t>
      </w:r>
      <w:r w:rsidRPr="00D10E3C">
        <w:rPr>
          <w:rStyle w:val="libFootnotenumChar"/>
          <w:rtl/>
        </w:rPr>
        <w:t>(3)</w:t>
      </w:r>
    </w:p>
    <w:p w:rsidR="00144FA6" w:rsidRDefault="00744A1C" w:rsidP="00744A1C">
      <w:pPr>
        <w:pStyle w:val="libNormal"/>
        <w:rPr>
          <w:rtl/>
          <w:lang w:bidi="fa-IR"/>
        </w:rPr>
      </w:pPr>
      <w:r>
        <w:rPr>
          <w:rtl/>
          <w:lang w:bidi="fa-IR"/>
        </w:rPr>
        <w:t>8404 / 5. عَلِيُّ بْنُ إِبْرَاهِيمَ ، عَنْ صَالِحِ بْنِ السِّنْدِيِّ ، عَنْ جَعْفَرِ بْنِ بَشِيرٍ ، عَنْ عُمَرَ بْنِ أَبِي زِيَادٍ ، عَنْ إِسْحَاقَ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اللهَ - عَزَّ وَجَلَّ - خَلَقَ الْخَلْقَ ، وَخَلَقَ مَعَهُمْ أَرْزَاقَهُمْ حَلَالاً طَيِّباً </w:t>
      </w:r>
      <w:r w:rsidRPr="00D10E3C">
        <w:rPr>
          <w:rStyle w:val="libFootnotenumChar"/>
          <w:rtl/>
        </w:rPr>
        <w:t>(4)</w:t>
      </w:r>
      <w:r>
        <w:rPr>
          <w:rtl/>
          <w:lang w:bidi="fa-IR"/>
        </w:rPr>
        <w:t xml:space="preserve"> ، فَمَنْ تَنَاوَلَ شَيْئاً مِنْهَا حَرَاماً ، قُصَّ بِهِ مِنْ ذلِكَ الْحَلَالِ ». </w:t>
      </w:r>
      <w:r w:rsidRPr="00D10E3C">
        <w:rPr>
          <w:rStyle w:val="libFootnotenumChar"/>
          <w:rtl/>
        </w:rPr>
        <w:t>(5)</w:t>
      </w:r>
    </w:p>
    <w:p w:rsidR="00144FA6" w:rsidRDefault="00744A1C" w:rsidP="00744A1C">
      <w:pPr>
        <w:pStyle w:val="libNormal"/>
        <w:rPr>
          <w:rtl/>
          <w:lang w:bidi="fa-IR"/>
        </w:rPr>
      </w:pPr>
      <w:r>
        <w:rPr>
          <w:rtl/>
          <w:lang w:bidi="fa-IR"/>
        </w:rPr>
        <w:t>8405 / 6. عَلِيُّ بْنُ مُحَمَّدٍ ، عَنْ سَهْلِ بْنِ زِيَادٍ رَفَعَهُ ، قَالَ :</w:t>
      </w:r>
    </w:p>
    <w:p w:rsidR="00144FA6" w:rsidRDefault="00744A1C" w:rsidP="00744A1C">
      <w:pPr>
        <w:pStyle w:val="libNormal"/>
        <w:rPr>
          <w:rtl/>
          <w:lang w:bidi="fa-IR"/>
        </w:rPr>
      </w:pPr>
      <w:r>
        <w:rPr>
          <w:rtl/>
          <w:lang w:bidi="fa-IR"/>
        </w:rPr>
        <w:t xml:space="preserve">قَالَ أَمِيرُ الْمُؤْمِنِينَ </w:t>
      </w:r>
      <w:r w:rsidR="0061079A" w:rsidRPr="0061079A">
        <w:rPr>
          <w:rStyle w:val="libAlaemChar"/>
          <w:rtl/>
        </w:rPr>
        <w:t>عليه‌السلام</w:t>
      </w:r>
      <w:r w:rsidR="00D10E3C">
        <w:rPr>
          <w:rtl/>
          <w:lang w:bidi="fa-IR"/>
        </w:rPr>
        <w:t xml:space="preserve"> </w:t>
      </w:r>
      <w:r>
        <w:rPr>
          <w:rtl/>
          <w:lang w:bidi="fa-IR"/>
        </w:rPr>
        <w:t xml:space="preserve">: « كَمْ مِنْ مُتْعِبٍ نَفْسَهُ مُقْتَرٍ </w:t>
      </w:r>
      <w:r w:rsidRPr="00D10E3C">
        <w:rPr>
          <w:rStyle w:val="libFootnotenumChar"/>
          <w:rtl/>
        </w:rPr>
        <w:t>(6)</w:t>
      </w:r>
      <w:r>
        <w:rPr>
          <w:rtl/>
          <w:lang w:bidi="fa-IR"/>
        </w:rPr>
        <w:t xml:space="preserve"> عَلَيْهِ ، وَمُقْتَصِدٍ فِي الطَّلَبِ قَدْ </w:t>
      </w:r>
      <w:r w:rsidRPr="00D10E3C">
        <w:rPr>
          <w:rStyle w:val="libFootnotenumChar"/>
          <w:rtl/>
        </w:rPr>
        <w:t>(7)</w:t>
      </w:r>
      <w:r>
        <w:rPr>
          <w:rtl/>
          <w:lang w:bidi="fa-IR"/>
        </w:rPr>
        <w:t xml:space="preserve"> سَاعَدَتْهُ الْمَقَادِيرُ ». </w:t>
      </w:r>
      <w:r w:rsidRPr="00D10E3C">
        <w:rPr>
          <w:rStyle w:val="libFootnotenumChar"/>
          <w:rtl/>
        </w:rPr>
        <w:t>(8)</w:t>
      </w:r>
    </w:p>
    <w:p w:rsidR="00144FA6" w:rsidRDefault="00744A1C" w:rsidP="00744A1C">
      <w:pPr>
        <w:pStyle w:val="libNormal"/>
        <w:rPr>
          <w:rtl/>
          <w:lang w:bidi="fa-IR"/>
        </w:rPr>
      </w:pPr>
      <w:r>
        <w:rPr>
          <w:rtl/>
          <w:lang w:bidi="fa-IR"/>
        </w:rPr>
        <w:t>8406 / 7. عَلِيُّ بْنُ مُحَمَّدِ بْنِ عَبْدِ اللهِ الْقُمِّيُّ ، عَنْ أَحْمَدَ بْنِ أَبِي عَبْدِ اللهِ ، عَنْ أَبِيهِ ، عَنْ إِسْمَاعِيلَ الْقَصِيرِ ، عَمَّنْ ذَكَرَهُ ، عَنْ أَبِي حَمْزَةَ الثُّمَالِيِّ ، قَالَ :</w:t>
      </w:r>
    </w:p>
    <w:p w:rsidR="00744A1C" w:rsidRDefault="00744A1C" w:rsidP="00744A1C">
      <w:pPr>
        <w:pStyle w:val="libNormal"/>
        <w:rPr>
          <w:lang w:bidi="fa-IR"/>
        </w:rPr>
      </w:pPr>
      <w:r>
        <w:rPr>
          <w:rtl/>
          <w:lang w:bidi="fa-IR"/>
        </w:rPr>
        <w:t xml:space="preserve">ذُكِرَ عِنْدَ عَلِيِّ بْنِ الْحُسَيْنِ </w:t>
      </w:r>
      <w:r w:rsidR="008859AA" w:rsidRPr="008859AA">
        <w:rPr>
          <w:rStyle w:val="libAlaemChar"/>
          <w:rtl/>
        </w:rPr>
        <w:t>عليهما‌السلام</w:t>
      </w:r>
      <w:r>
        <w:rPr>
          <w:rtl/>
          <w:lang w:bidi="fa-IR"/>
        </w:rPr>
        <w:t xml:space="preserve">غَلَاءُ السِّعْرِ ، فَقَالَ </w:t>
      </w:r>
      <w:r w:rsidRPr="00D10E3C">
        <w:rPr>
          <w:rStyle w:val="libFootnotenumChar"/>
          <w:rtl/>
        </w:rPr>
        <w:t>(9)</w:t>
      </w:r>
      <w:r>
        <w:rPr>
          <w:rtl/>
          <w:lang w:bidi="fa-IR"/>
        </w:rPr>
        <w:t xml:space="preserve"> : « وَمَا عَلَيَّ مِنْ غَلَائِهِ </w:t>
      </w:r>
      <w:r w:rsidRPr="00D10E3C">
        <w:rPr>
          <w:rStyle w:val="libFootnotenumChar"/>
          <w:rtl/>
        </w:rPr>
        <w:t>(10)</w:t>
      </w:r>
      <w:r>
        <w:rPr>
          <w:rtl/>
          <w:lang w:bidi="fa-IR"/>
        </w:rPr>
        <w:t xml:space="preserve"> ، إِنْ‌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46663A">
        <w:rPr>
          <w:rtl/>
        </w:rPr>
        <w:t>الوسائل</w:t>
      </w:r>
      <w:r w:rsidR="00744A1C">
        <w:rPr>
          <w:rtl/>
          <w:lang w:bidi="fa-IR"/>
        </w:rPr>
        <w:t xml:space="preserve"> : « جحر ».</w:t>
      </w:r>
    </w:p>
    <w:p w:rsidR="00744A1C" w:rsidRDefault="00E378DD" w:rsidP="00E378DD">
      <w:pPr>
        <w:pStyle w:val="libFootnote0"/>
        <w:rPr>
          <w:lang w:bidi="fa-IR"/>
        </w:rPr>
      </w:pPr>
      <w:r>
        <w:rPr>
          <w:rtl/>
          <w:lang w:bidi="fa-IR"/>
        </w:rPr>
        <w:t>(2).</w:t>
      </w:r>
      <w:r w:rsidR="00744A1C">
        <w:rPr>
          <w:rtl/>
          <w:lang w:bidi="fa-IR"/>
        </w:rPr>
        <w:t xml:space="preserve"> في « ط ، بس ، جد ، جن » وحاشية « جت » </w:t>
      </w:r>
      <w:r w:rsidR="00744A1C" w:rsidRPr="0046663A">
        <w:rPr>
          <w:rtl/>
        </w:rPr>
        <w:t>والوسائل</w:t>
      </w:r>
      <w:r w:rsidR="00744A1C">
        <w:rPr>
          <w:rtl/>
          <w:lang w:bidi="fa-IR"/>
        </w:rPr>
        <w:t xml:space="preserve"> : « لأتاه رزقه ». وفي « ى » : « لأتاه الله رزقه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17 ، ص 53 ، ح 16845 ؛ </w:t>
      </w:r>
      <w:r w:rsidR="00744A1C" w:rsidRPr="00C24F9C">
        <w:rPr>
          <w:rStyle w:val="libFootnoteBoldChar"/>
          <w:rtl/>
        </w:rPr>
        <w:t>الوسائل</w:t>
      </w:r>
      <w:r w:rsidR="00744A1C">
        <w:rPr>
          <w:rtl/>
          <w:lang w:bidi="fa-IR"/>
        </w:rPr>
        <w:t xml:space="preserve"> ، ج 17 ، ص 46 ، ح 21942.</w:t>
      </w:r>
    </w:p>
    <w:p w:rsidR="00744A1C" w:rsidRDefault="00E378DD" w:rsidP="00E378DD">
      <w:pPr>
        <w:pStyle w:val="libFootnote0"/>
        <w:rPr>
          <w:lang w:bidi="fa-IR"/>
        </w:rPr>
      </w:pPr>
      <w:r>
        <w:rPr>
          <w:rtl/>
          <w:lang w:bidi="fa-IR"/>
        </w:rPr>
        <w:t>(4).</w:t>
      </w:r>
      <w:r w:rsidR="00744A1C">
        <w:rPr>
          <w:rtl/>
          <w:lang w:bidi="fa-IR"/>
        </w:rPr>
        <w:t xml:space="preserve"> في « ط ، ى ، بس ، جد ، جن » و</w:t>
      </w:r>
      <w:r w:rsidR="00744A1C" w:rsidRPr="00C24F9C">
        <w:rPr>
          <w:rStyle w:val="libFootnoteBoldChar"/>
          <w:rtl/>
        </w:rPr>
        <w:t>الوسائل</w:t>
      </w:r>
      <w:r w:rsidR="00744A1C">
        <w:rPr>
          <w:rtl/>
          <w:lang w:bidi="fa-IR"/>
        </w:rPr>
        <w:t xml:space="preserve"> : - « طيّباً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17 ، ص 53 ، ح 16846 ؛ </w:t>
      </w:r>
      <w:r w:rsidR="00744A1C" w:rsidRPr="00C24F9C">
        <w:rPr>
          <w:rStyle w:val="libFootnoteBoldChar"/>
          <w:rtl/>
        </w:rPr>
        <w:t>الوسائل</w:t>
      </w:r>
      <w:r w:rsidR="00744A1C">
        <w:rPr>
          <w:rtl/>
          <w:lang w:bidi="fa-IR"/>
        </w:rPr>
        <w:t xml:space="preserve"> ، ج 17 ، ص 46 ، ح 21943.</w:t>
      </w:r>
    </w:p>
    <w:p w:rsidR="00744A1C" w:rsidRDefault="00E378DD" w:rsidP="00E378DD">
      <w:pPr>
        <w:pStyle w:val="libFootnote0"/>
        <w:rPr>
          <w:lang w:bidi="fa-IR"/>
        </w:rPr>
      </w:pPr>
      <w:r>
        <w:rPr>
          <w:rtl/>
          <w:lang w:bidi="fa-IR"/>
        </w:rPr>
        <w:t>(6).</w:t>
      </w:r>
      <w:r w:rsidR="00744A1C">
        <w:rPr>
          <w:rtl/>
          <w:lang w:bidi="fa-IR"/>
        </w:rPr>
        <w:t xml:space="preserve"> الإقتار : التقليل والتضييق على الإنسان في الرزق. </w:t>
      </w:r>
      <w:r w:rsidR="00744A1C" w:rsidRPr="00877682">
        <w:rPr>
          <w:rStyle w:val="libFootnoteBoldChar"/>
          <w:rtl/>
        </w:rPr>
        <w:t>النهاية</w:t>
      </w:r>
      <w:r w:rsidR="00744A1C">
        <w:rPr>
          <w:rtl/>
          <w:lang w:bidi="fa-IR"/>
        </w:rPr>
        <w:t xml:space="preserve"> ، ج 4 ، ص 12 ( قتر ).</w:t>
      </w:r>
    </w:p>
    <w:p w:rsidR="00744A1C" w:rsidRDefault="00E378DD" w:rsidP="00E378DD">
      <w:pPr>
        <w:pStyle w:val="libFootnote0"/>
        <w:rPr>
          <w:lang w:bidi="fa-IR"/>
        </w:rPr>
      </w:pPr>
      <w:r>
        <w:rPr>
          <w:rtl/>
          <w:lang w:bidi="fa-IR"/>
        </w:rPr>
        <w:t>(7).</w:t>
      </w:r>
      <w:r w:rsidR="00744A1C">
        <w:rPr>
          <w:rtl/>
          <w:lang w:bidi="fa-IR"/>
        </w:rPr>
        <w:t xml:space="preserve"> في « جت » : « وقد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46663A">
        <w:rPr>
          <w:rtl/>
          <w:lang w:bidi="fa-IR"/>
        </w:rPr>
        <w:t>،ج 4،ص 386،</w:t>
      </w:r>
      <w:r w:rsidR="00744A1C">
        <w:rPr>
          <w:rtl/>
          <w:lang w:bidi="fa-IR"/>
        </w:rPr>
        <w:t xml:space="preserve">مرسلاً في ضمن وصيّة أمير المؤمنين </w:t>
      </w:r>
      <w:r w:rsidR="0061079A" w:rsidRPr="0061079A">
        <w:rPr>
          <w:rStyle w:val="libFootnoteAlaemChar"/>
          <w:rtl/>
        </w:rPr>
        <w:t>عليه‌السلام</w:t>
      </w:r>
      <w:r w:rsidR="00D10E3C">
        <w:rPr>
          <w:rtl/>
          <w:lang w:bidi="fa-IR"/>
        </w:rPr>
        <w:t xml:space="preserve"> </w:t>
      </w:r>
      <w:r w:rsidR="0046663A">
        <w:rPr>
          <w:rtl/>
          <w:lang w:bidi="fa-IR"/>
        </w:rPr>
        <w:t>لابنه محمّد بن الحنفيّة،مع اختلاف يسير</w:t>
      </w:r>
      <w:r w:rsidR="0046663A">
        <w:rPr>
          <w:rFonts w:hint="cs"/>
          <w:rtl/>
          <w:lang w:bidi="fa-IR"/>
        </w:rPr>
        <w:t>.</w:t>
      </w:r>
      <w:r w:rsidR="00744A1C" w:rsidRPr="00C24F9C">
        <w:rPr>
          <w:rStyle w:val="libFootnoteBoldChar"/>
          <w:rtl/>
        </w:rPr>
        <w:t>الوافي</w:t>
      </w:r>
      <w:r w:rsidR="00744A1C">
        <w:rPr>
          <w:rtl/>
          <w:lang w:bidi="fa-IR"/>
        </w:rPr>
        <w:t xml:space="preserve"> ، ج 17 ، ص 53 ، ح 16847 ؛ </w:t>
      </w:r>
      <w:r w:rsidR="00744A1C" w:rsidRPr="00C24F9C">
        <w:rPr>
          <w:rStyle w:val="libFootnoteBoldChar"/>
          <w:rtl/>
        </w:rPr>
        <w:t>الوسائل</w:t>
      </w:r>
      <w:r w:rsidR="00744A1C">
        <w:rPr>
          <w:rtl/>
          <w:lang w:bidi="fa-IR"/>
        </w:rPr>
        <w:t xml:space="preserve"> ، ج 17 ، ص 48 ، ح 21949.</w:t>
      </w:r>
    </w:p>
    <w:tbl>
      <w:tblPr>
        <w:tblStyle w:val="TableGrid"/>
        <w:bidiVisual/>
        <w:tblW w:w="0" w:type="auto"/>
        <w:tblLook w:val="04A0" w:firstRow="1" w:lastRow="0" w:firstColumn="1" w:lastColumn="0" w:noHBand="0" w:noVBand="1"/>
      </w:tblPr>
      <w:tblGrid>
        <w:gridCol w:w="4006"/>
        <w:gridCol w:w="4006"/>
      </w:tblGrid>
      <w:tr w:rsidR="0046663A" w:rsidTr="0046663A">
        <w:tc>
          <w:tcPr>
            <w:tcW w:w="4006" w:type="dxa"/>
          </w:tcPr>
          <w:p w:rsidR="0046663A" w:rsidRDefault="0046663A" w:rsidP="00E378DD">
            <w:pPr>
              <w:pStyle w:val="libFootnote0"/>
              <w:rPr>
                <w:rtl/>
                <w:lang w:bidi="fa-IR"/>
              </w:rPr>
            </w:pPr>
            <w:r>
              <w:rPr>
                <w:rtl/>
                <w:lang w:bidi="fa-IR"/>
              </w:rPr>
              <w:t>(9). في « ط » : « قال ».</w:t>
            </w:r>
          </w:p>
        </w:tc>
        <w:tc>
          <w:tcPr>
            <w:tcW w:w="4006" w:type="dxa"/>
          </w:tcPr>
          <w:p w:rsidR="0046663A" w:rsidRDefault="0046663A" w:rsidP="00E378DD">
            <w:pPr>
              <w:pStyle w:val="libFootnote0"/>
              <w:rPr>
                <w:rtl/>
                <w:lang w:bidi="fa-IR"/>
              </w:rPr>
            </w:pPr>
            <w:r>
              <w:rPr>
                <w:rtl/>
                <w:lang w:bidi="fa-IR"/>
              </w:rPr>
              <w:t>(10). في « ط » : « غلاء السعر ».</w:t>
            </w:r>
          </w:p>
        </w:tc>
      </w:tr>
    </w:tbl>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غَلَا فَهُوَ عَلَيْهِ </w:t>
      </w:r>
      <w:r w:rsidRPr="00D10E3C">
        <w:rPr>
          <w:rStyle w:val="libFootnotenumChar"/>
          <w:rtl/>
        </w:rPr>
        <w:t>(1)</w:t>
      </w:r>
      <w:r>
        <w:rPr>
          <w:rtl/>
          <w:lang w:bidi="fa-IR"/>
        </w:rPr>
        <w:t xml:space="preserve"> ، وَإِنْ رَخُصَ فَهُوَ عَلَيْهِ ». </w:t>
      </w:r>
      <w:r w:rsidRPr="00D10E3C">
        <w:rPr>
          <w:rStyle w:val="libFootnotenumChar"/>
          <w:rtl/>
        </w:rPr>
        <w:t>(2)</w:t>
      </w:r>
    </w:p>
    <w:p w:rsidR="00144FA6" w:rsidRDefault="00744A1C" w:rsidP="00744A1C">
      <w:pPr>
        <w:pStyle w:val="libNormal"/>
        <w:rPr>
          <w:rtl/>
          <w:lang w:bidi="fa-IR"/>
        </w:rPr>
      </w:pPr>
      <w:r>
        <w:rPr>
          <w:rtl/>
          <w:lang w:bidi="fa-IR"/>
        </w:rPr>
        <w:t xml:space="preserve">8407 / 8. عَنْهُ </w:t>
      </w:r>
      <w:r w:rsidRPr="00D10E3C">
        <w:rPr>
          <w:rStyle w:val="libFootnotenumChar"/>
          <w:rtl/>
        </w:rPr>
        <w:t>(3)</w:t>
      </w:r>
      <w:r>
        <w:rPr>
          <w:rtl/>
          <w:lang w:bidi="fa-IR"/>
        </w:rPr>
        <w:t xml:space="preserve"> ، عَنِ ابْنِ فَضَّالٍ ، عَمَّنْ ذَكَرَهُ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لِيَكُنْ </w:t>
      </w:r>
      <w:r w:rsidRPr="00D10E3C">
        <w:rPr>
          <w:rStyle w:val="libFootnotenumChar"/>
          <w:rtl/>
        </w:rPr>
        <w:t>(4)</w:t>
      </w:r>
      <w:r>
        <w:rPr>
          <w:rtl/>
          <w:lang w:bidi="fa-IR"/>
        </w:rPr>
        <w:t xml:space="preserve"> طَلَبُكَ لِلْمَعِيشَةِ </w:t>
      </w:r>
      <w:r w:rsidRPr="00D10E3C">
        <w:rPr>
          <w:rStyle w:val="libFootnotenumChar"/>
          <w:rtl/>
        </w:rPr>
        <w:t>(5)</w:t>
      </w:r>
      <w:r>
        <w:rPr>
          <w:rtl/>
          <w:lang w:bidi="fa-IR"/>
        </w:rPr>
        <w:t xml:space="preserve"> فَوْقَ كَسْبِ الْمُضَيِّعِ ، وَدُونَ طَلَبِ الْحَرِيصِ الرَّاضِي بِدُنْيَاهُ ، الْمُطْمَئِنِّ إِلَيْهَا ، وَلكِنْ أَنْزِلْ نَفْسَكَ مِنْ ذلِكَ بِمَنْزِلَةِ الْمُنْصِفِ </w:t>
      </w:r>
      <w:r w:rsidRPr="00D10E3C">
        <w:rPr>
          <w:rStyle w:val="libFootnotenumChar"/>
          <w:rtl/>
        </w:rPr>
        <w:t>(6)</w:t>
      </w:r>
      <w:r>
        <w:rPr>
          <w:rtl/>
          <w:lang w:bidi="fa-IR"/>
        </w:rPr>
        <w:t xml:space="preserve"> الْمُتَعَفِّفِ ، تَرْفَعُ </w:t>
      </w:r>
      <w:r w:rsidRPr="00D10E3C">
        <w:rPr>
          <w:rStyle w:val="libFootnotenumChar"/>
          <w:rtl/>
        </w:rPr>
        <w:t>(7)</w:t>
      </w:r>
      <w:r>
        <w:rPr>
          <w:rtl/>
          <w:lang w:bidi="fa-IR"/>
        </w:rPr>
        <w:t xml:space="preserve"> نَفْسَكَ عَنْ مَنْزِلَةِ الْوَاهِنِ الضَّعِيفِ ، وَتَكْتَسِبُ </w:t>
      </w:r>
      <w:r w:rsidRPr="00D10E3C">
        <w:rPr>
          <w:rStyle w:val="libFootnotenumChar"/>
          <w:rtl/>
        </w:rPr>
        <w:t>(8)</w:t>
      </w:r>
      <w:r>
        <w:rPr>
          <w:rtl/>
          <w:lang w:bidi="fa-IR"/>
        </w:rPr>
        <w:t xml:space="preserve"> مَا لَابُدَّ لِلْمُؤْمِنِ </w:t>
      </w:r>
      <w:r w:rsidRPr="00D10E3C">
        <w:rPr>
          <w:rStyle w:val="libFootnotenumChar"/>
          <w:rtl/>
        </w:rPr>
        <w:t>(9)</w:t>
      </w:r>
      <w:r>
        <w:rPr>
          <w:rtl/>
          <w:lang w:bidi="fa-IR"/>
        </w:rPr>
        <w:t xml:space="preserve"> مِنْهُ ، إِنَّ الَّذِينَ أُعْطُوا الْمَالَ ، ثُمَّ لَمْ يَشْكُرُوا ، لَامَالَ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فهو عليه ، الضمير فيه وفي نظيره راجع إليه تعالى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321 ، ح 881 ، معلّقاً عن أحمد بن أبي عبد الله. </w:t>
      </w:r>
      <w:r w:rsidR="00744A1C" w:rsidRPr="00C24F9C">
        <w:rPr>
          <w:rStyle w:val="libFootnoteBoldChar"/>
          <w:rtl/>
        </w:rPr>
        <w:t>الفقيه</w:t>
      </w:r>
      <w:r w:rsidR="00744A1C">
        <w:rPr>
          <w:rtl/>
          <w:lang w:bidi="fa-IR"/>
        </w:rPr>
        <w:t xml:space="preserve"> ، ج 3 ، ص 267 ، ح 3966 ، معلّقاً عن أبي حمزة الثمالي. </w:t>
      </w:r>
      <w:r w:rsidR="00744A1C" w:rsidRPr="00ED2902">
        <w:rPr>
          <w:rStyle w:val="libFootnoteBoldChar"/>
          <w:rtl/>
        </w:rPr>
        <w:t>التوحيد</w:t>
      </w:r>
      <w:r w:rsidR="00744A1C">
        <w:rPr>
          <w:rtl/>
          <w:lang w:bidi="fa-IR"/>
        </w:rPr>
        <w:t xml:space="preserve"> ، ص 388 ، ح 3</w:t>
      </w:r>
      <w:r w:rsidR="00ED2902">
        <w:rPr>
          <w:rtl/>
          <w:lang w:bidi="fa-IR"/>
        </w:rPr>
        <w:t>4 ، بسنده عن أبي حمزة الثمالي،مع زيادة في أوّله</w:t>
      </w:r>
      <w:r w:rsidR="00ED2902">
        <w:rPr>
          <w:rFonts w:hint="cs"/>
          <w:rtl/>
          <w:lang w:bidi="fa-IR"/>
        </w:rPr>
        <w:t>.</w:t>
      </w:r>
      <w:r w:rsidR="00744A1C" w:rsidRPr="00C24F9C">
        <w:rPr>
          <w:rStyle w:val="libFootnoteBoldChar"/>
          <w:rtl/>
        </w:rPr>
        <w:t>الوافي</w:t>
      </w:r>
      <w:r w:rsidR="00744A1C">
        <w:rPr>
          <w:rtl/>
          <w:lang w:bidi="fa-IR"/>
        </w:rPr>
        <w:t xml:space="preserve"> ، ج 17 ، ص 397 ، ح 17510 ؛ </w:t>
      </w:r>
      <w:r w:rsidR="00744A1C" w:rsidRPr="00C24F9C">
        <w:rPr>
          <w:rStyle w:val="libFootnoteBoldChar"/>
          <w:rtl/>
        </w:rPr>
        <w:t>الوسائل</w:t>
      </w:r>
      <w:r w:rsidR="00744A1C">
        <w:rPr>
          <w:rtl/>
          <w:lang w:bidi="fa-IR"/>
        </w:rPr>
        <w:t xml:space="preserve"> ، ج 17 ، ص 18 ، ذيل ح 21871 ؛ وص 57 ، ح 21968 ؛ </w:t>
      </w:r>
      <w:r w:rsidR="00744A1C" w:rsidRPr="0061079A">
        <w:rPr>
          <w:rStyle w:val="libFootnoteBoldChar"/>
          <w:rtl/>
        </w:rPr>
        <w:t>البحار</w:t>
      </w:r>
      <w:r w:rsidR="00744A1C">
        <w:rPr>
          <w:rtl/>
          <w:lang w:bidi="fa-IR"/>
        </w:rPr>
        <w:t xml:space="preserve"> ، ج 46 ، ص 55 ، ح 3.</w:t>
      </w:r>
    </w:p>
    <w:p w:rsidR="00744A1C" w:rsidRDefault="00E378DD" w:rsidP="00E378DD">
      <w:pPr>
        <w:pStyle w:val="libFootnote0"/>
        <w:rPr>
          <w:lang w:bidi="fa-IR"/>
        </w:rPr>
      </w:pPr>
      <w:r>
        <w:rPr>
          <w:rtl/>
          <w:lang w:bidi="fa-IR"/>
        </w:rPr>
        <w:t>(3).</w:t>
      </w:r>
      <w:r w:rsidR="00744A1C">
        <w:rPr>
          <w:rtl/>
          <w:lang w:bidi="fa-IR"/>
        </w:rPr>
        <w:t xml:space="preserve"> الضمير راجع إلى أحمد بن أبي عبد الله ؛ فقد روى أحمد بن أبي عبد الله بعناوينه المختلفة عن ابن فضّال هذا - والمراد به هو الحسن بن عليّ بن فضّال - في كثيرٍ من الأسناد. راجع : </w:t>
      </w:r>
      <w:r w:rsidR="00744A1C" w:rsidRPr="0061079A">
        <w:rPr>
          <w:rStyle w:val="libFootnoteBoldChar"/>
          <w:rtl/>
        </w:rPr>
        <w:t>معجم رجال الحديث</w:t>
      </w:r>
      <w:r w:rsidR="00744A1C">
        <w:rPr>
          <w:rtl/>
          <w:lang w:bidi="fa-IR"/>
        </w:rPr>
        <w:t xml:space="preserve"> ، ج 2 ، ص 395 ، ص 413 - 414 ، ص 631 - 632 ، وص 635.</w:t>
      </w:r>
    </w:p>
    <w:p w:rsidR="00144FA6" w:rsidRDefault="00744A1C" w:rsidP="00D10E3C">
      <w:pPr>
        <w:pStyle w:val="libFootnote0"/>
        <w:rPr>
          <w:rtl/>
          <w:lang w:bidi="fa-IR"/>
        </w:rPr>
      </w:pPr>
      <w:r>
        <w:rPr>
          <w:rtl/>
          <w:lang w:bidi="fa-IR"/>
        </w:rPr>
        <w:t xml:space="preserve">ثمّ إنّه ذكر الشيخ الحرّ الأحاديث السادس والثامن والتاسع ، في </w:t>
      </w:r>
      <w:r w:rsidRPr="00C24F9C">
        <w:rPr>
          <w:rStyle w:val="libFootnoteBoldChar"/>
          <w:rtl/>
        </w:rPr>
        <w:t>الوسائل</w:t>
      </w:r>
      <w:r>
        <w:rPr>
          <w:rtl/>
          <w:lang w:bidi="fa-IR"/>
        </w:rPr>
        <w:t xml:space="preserve"> ، ج 17 ، ص 48 - 49 ، من دون فصل بينها ، هكذا :</w:t>
      </w:r>
    </w:p>
    <w:p w:rsidR="00744A1C" w:rsidRDefault="00744A1C" w:rsidP="00D10E3C">
      <w:pPr>
        <w:pStyle w:val="libFootnote0"/>
        <w:rPr>
          <w:lang w:bidi="fa-IR"/>
        </w:rPr>
      </w:pPr>
      <w:r>
        <w:rPr>
          <w:rtl/>
          <w:lang w:bidi="fa-IR"/>
        </w:rPr>
        <w:t>وعن عليّ بن محمّد عن سهل بن زياد.</w:t>
      </w:r>
    </w:p>
    <w:p w:rsidR="00744A1C" w:rsidRDefault="00744A1C" w:rsidP="00D10E3C">
      <w:pPr>
        <w:pStyle w:val="libFootnote0"/>
        <w:rPr>
          <w:lang w:bidi="fa-IR"/>
        </w:rPr>
      </w:pPr>
      <w:r>
        <w:rPr>
          <w:rtl/>
          <w:lang w:bidi="fa-IR"/>
        </w:rPr>
        <w:t>وعنه عن ابن فضّال عمّن ذكره.</w:t>
      </w:r>
    </w:p>
    <w:p w:rsidR="00744A1C" w:rsidRDefault="00744A1C" w:rsidP="00D10E3C">
      <w:pPr>
        <w:pStyle w:val="libFootnote0"/>
        <w:rPr>
          <w:lang w:bidi="fa-IR"/>
        </w:rPr>
      </w:pPr>
      <w:r>
        <w:rPr>
          <w:rtl/>
          <w:lang w:bidi="fa-IR"/>
        </w:rPr>
        <w:t>وعنه عن ابن جمهور عن أبيه.</w:t>
      </w:r>
    </w:p>
    <w:p w:rsidR="00744A1C" w:rsidRDefault="00744A1C" w:rsidP="00D10E3C">
      <w:pPr>
        <w:pStyle w:val="libFootnote0"/>
        <w:rPr>
          <w:lang w:bidi="fa-IR"/>
        </w:rPr>
      </w:pPr>
      <w:r>
        <w:rPr>
          <w:rtl/>
          <w:lang w:bidi="fa-IR"/>
        </w:rPr>
        <w:t xml:space="preserve">والظاهر من وحدة السياق وعدم تقدّم الحديث السابع في </w:t>
      </w:r>
      <w:r w:rsidRPr="00C24F9C">
        <w:rPr>
          <w:rStyle w:val="libFootnoteBoldChar"/>
          <w:rtl/>
        </w:rPr>
        <w:t>الوسائل</w:t>
      </w:r>
      <w:r>
        <w:rPr>
          <w:rtl/>
          <w:lang w:bidi="fa-IR"/>
        </w:rPr>
        <w:t xml:space="preserve"> ، رجوع الضمير في السندين إلى عليّ بن محمّد ، وهو سهو كما ظهر ممّا تقدّم آنفاً.</w:t>
      </w:r>
    </w:p>
    <w:p w:rsidR="00744A1C" w:rsidRDefault="00E378DD" w:rsidP="00E378DD">
      <w:pPr>
        <w:pStyle w:val="libFootnote0"/>
        <w:rPr>
          <w:lang w:bidi="fa-IR"/>
        </w:rPr>
      </w:pPr>
      <w:r>
        <w:rPr>
          <w:rtl/>
          <w:lang w:bidi="fa-IR"/>
        </w:rPr>
        <w:t>(4).</w:t>
      </w:r>
      <w:r w:rsidR="00744A1C">
        <w:rPr>
          <w:rtl/>
          <w:lang w:bidi="fa-IR"/>
        </w:rPr>
        <w:t xml:space="preserve"> في « ط » وحاشية « بح » : « لا يكن ». وفي « بخ ، بف » : « لا يكون ».</w:t>
      </w:r>
    </w:p>
    <w:tbl>
      <w:tblPr>
        <w:tblStyle w:val="TableGrid"/>
        <w:bidiVisual/>
        <w:tblW w:w="0" w:type="auto"/>
        <w:tblLook w:val="04A0" w:firstRow="1" w:lastRow="0" w:firstColumn="1" w:lastColumn="0" w:noHBand="0" w:noVBand="1"/>
      </w:tblPr>
      <w:tblGrid>
        <w:gridCol w:w="4006"/>
        <w:gridCol w:w="4006"/>
      </w:tblGrid>
      <w:tr w:rsidR="00ED2902" w:rsidTr="00ED2902">
        <w:tc>
          <w:tcPr>
            <w:tcW w:w="4006" w:type="dxa"/>
          </w:tcPr>
          <w:p w:rsidR="00ED2902" w:rsidRDefault="00ED2902" w:rsidP="00E378DD">
            <w:pPr>
              <w:pStyle w:val="libFootnote0"/>
              <w:rPr>
                <w:rtl/>
                <w:lang w:bidi="fa-IR"/>
              </w:rPr>
            </w:pPr>
            <w:r>
              <w:rPr>
                <w:rtl/>
                <w:lang w:bidi="fa-IR"/>
              </w:rPr>
              <w:t xml:space="preserve">(5). في « ط ، بخ ، بف » </w:t>
            </w:r>
            <w:r w:rsidRPr="00ED2902">
              <w:rPr>
                <w:rtl/>
              </w:rPr>
              <w:t>والوافي</w:t>
            </w:r>
            <w:r>
              <w:rPr>
                <w:rtl/>
                <w:lang w:bidi="fa-IR"/>
              </w:rPr>
              <w:t xml:space="preserve"> : « المعيشة ».</w:t>
            </w:r>
          </w:p>
        </w:tc>
        <w:tc>
          <w:tcPr>
            <w:tcW w:w="4006" w:type="dxa"/>
          </w:tcPr>
          <w:p w:rsidR="00ED2902" w:rsidRDefault="00ED2902" w:rsidP="00E378DD">
            <w:pPr>
              <w:pStyle w:val="libFootnote0"/>
              <w:rPr>
                <w:rtl/>
                <w:lang w:bidi="fa-IR"/>
              </w:rPr>
            </w:pPr>
            <w:r>
              <w:rPr>
                <w:rtl/>
                <w:lang w:bidi="fa-IR"/>
              </w:rPr>
              <w:t xml:space="preserve">(6). في </w:t>
            </w:r>
            <w:r w:rsidRPr="00ED2902">
              <w:rPr>
                <w:rtl/>
              </w:rPr>
              <w:t>التهذيب</w:t>
            </w:r>
            <w:r>
              <w:rPr>
                <w:rtl/>
                <w:lang w:bidi="fa-IR"/>
              </w:rPr>
              <w:t xml:space="preserve"> : « النصف ».</w:t>
            </w:r>
            <w:r>
              <w:rPr>
                <w:rFonts w:hint="cs"/>
                <w:rtl/>
                <w:lang w:bidi="fa-IR"/>
              </w:rPr>
              <w:t xml:space="preserve"> </w:t>
            </w:r>
          </w:p>
        </w:tc>
      </w:tr>
    </w:tbl>
    <w:p w:rsidR="00744A1C" w:rsidRDefault="00E378DD" w:rsidP="00E378DD">
      <w:pPr>
        <w:pStyle w:val="libFootnote0"/>
        <w:rPr>
          <w:lang w:bidi="fa-IR"/>
        </w:rPr>
      </w:pPr>
      <w:r>
        <w:rPr>
          <w:rtl/>
          <w:lang w:bidi="fa-IR"/>
        </w:rPr>
        <w:t>(7).</w:t>
      </w:r>
      <w:r w:rsidR="00744A1C">
        <w:rPr>
          <w:rtl/>
          <w:lang w:bidi="fa-IR"/>
        </w:rPr>
        <w:t xml:space="preserve"> في « بف » : « تدفع ». وفي هامش المطبوع - عن بعض النسخ - و</w:t>
      </w:r>
      <w:r w:rsidR="00744A1C" w:rsidRPr="00C24F9C">
        <w:rPr>
          <w:rStyle w:val="libFootnoteBoldChar"/>
          <w:rtl/>
        </w:rPr>
        <w:t>الوافي</w:t>
      </w:r>
      <w:r w:rsidR="00744A1C">
        <w:rPr>
          <w:rtl/>
          <w:lang w:bidi="fa-IR"/>
        </w:rPr>
        <w:t xml:space="preserve"> : « تدلع » ، أي تخرج.</w:t>
      </w:r>
    </w:p>
    <w:p w:rsidR="00744A1C" w:rsidRDefault="00E378DD" w:rsidP="00E378DD">
      <w:pPr>
        <w:pStyle w:val="libFootnote0"/>
        <w:rPr>
          <w:lang w:bidi="fa-IR"/>
        </w:rPr>
      </w:pPr>
      <w:r>
        <w:rPr>
          <w:rtl/>
          <w:lang w:bidi="fa-IR"/>
        </w:rPr>
        <w:t>(8).</w:t>
      </w:r>
      <w:r w:rsidR="00744A1C">
        <w:rPr>
          <w:rtl/>
          <w:lang w:bidi="fa-IR"/>
        </w:rPr>
        <w:t xml:space="preserve"> في </w:t>
      </w:r>
      <w:r w:rsidR="00744A1C" w:rsidRPr="00C92ABC">
        <w:rPr>
          <w:rtl/>
        </w:rPr>
        <w:t>الوسائل والتهذيب</w:t>
      </w:r>
      <w:r w:rsidR="00744A1C">
        <w:rPr>
          <w:rtl/>
          <w:lang w:bidi="fa-IR"/>
        </w:rPr>
        <w:t xml:space="preserve"> : « وتكسب ».</w:t>
      </w:r>
    </w:p>
    <w:p w:rsidR="00744A1C" w:rsidRDefault="00E378DD" w:rsidP="00E378DD">
      <w:pPr>
        <w:pStyle w:val="libFootnote0"/>
        <w:rPr>
          <w:lang w:bidi="fa-IR"/>
        </w:rPr>
      </w:pPr>
      <w:r>
        <w:rPr>
          <w:rtl/>
          <w:lang w:bidi="fa-IR"/>
        </w:rPr>
        <w:t>(9).</w:t>
      </w:r>
      <w:r w:rsidR="00744A1C">
        <w:rPr>
          <w:rtl/>
          <w:lang w:bidi="fa-IR"/>
        </w:rPr>
        <w:t xml:space="preserve"> هكذا في « ط ، ى ، بخ ، بس ، بف ، جد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وفي س</w:t>
      </w:r>
      <w:r w:rsidR="0013596A">
        <w:rPr>
          <w:rtl/>
          <w:lang w:bidi="fa-IR"/>
        </w:rPr>
        <w:t>ائر النسخ والمطبوع : - « للمؤمن</w:t>
      </w:r>
      <w:r w:rsidR="00744A1C">
        <w:rPr>
          <w:rtl/>
          <w:lang w:bidi="fa-IR"/>
        </w:rPr>
        <w:t>».</w:t>
      </w:r>
    </w:p>
    <w:p w:rsidR="00744A1C" w:rsidRDefault="00E378DD" w:rsidP="00E378DD">
      <w:pPr>
        <w:pStyle w:val="libFootnote0"/>
        <w:rPr>
          <w:lang w:bidi="fa-IR"/>
        </w:rPr>
      </w:pPr>
      <w:r>
        <w:rPr>
          <w:rtl/>
          <w:lang w:bidi="fa-IR"/>
        </w:rPr>
        <w:t>(10).</w:t>
      </w:r>
      <w:r w:rsidR="00744A1C">
        <w:rPr>
          <w:rtl/>
          <w:lang w:bidi="fa-IR"/>
        </w:rPr>
        <w:t xml:space="preserve"> في « بخ ، بف ، جت ، جن » : « فلا مال ».</w:t>
      </w:r>
    </w:p>
    <w:p w:rsidR="006A5060" w:rsidRDefault="006A5060" w:rsidP="00D10E3C">
      <w:pPr>
        <w:pStyle w:val="libNormal"/>
        <w:rPr>
          <w:rtl/>
          <w:lang w:bidi="fa-IR"/>
        </w:rPr>
      </w:pPr>
      <w:r>
        <w:rPr>
          <w:rtl/>
          <w:lang w:bidi="fa-IR"/>
        </w:rPr>
        <w:br w:type="page"/>
      </w:r>
    </w:p>
    <w:p w:rsidR="00144FA6" w:rsidRDefault="00744A1C" w:rsidP="00C92ABC">
      <w:pPr>
        <w:pStyle w:val="libNormal0"/>
        <w:rPr>
          <w:rtl/>
          <w:lang w:bidi="fa-IR"/>
        </w:rPr>
      </w:pPr>
      <w:r>
        <w:rPr>
          <w:rtl/>
          <w:lang w:bidi="fa-IR"/>
        </w:rPr>
        <w:t xml:space="preserve">لَهُمْ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8408 / 9. عَلِيُّ بْنُ مُحَمَّدٍ ، عَنِ ابْنِ جُمْهُورٍ ، عَنْ أَبِيهِ رَفَعَهُ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أَمِيرُ الْمُؤْمِنِينَ </w:t>
      </w:r>
      <w:r w:rsidR="0061079A" w:rsidRPr="0061079A">
        <w:rPr>
          <w:rStyle w:val="libAlaemChar"/>
          <w:rtl/>
        </w:rPr>
        <w:t>عليه‌السلام</w:t>
      </w:r>
      <w:r w:rsidR="00D10E3C">
        <w:rPr>
          <w:rtl/>
          <w:lang w:bidi="fa-IR"/>
        </w:rPr>
        <w:t xml:space="preserve"> </w:t>
      </w:r>
      <w:r>
        <w:rPr>
          <w:rtl/>
          <w:lang w:bidi="fa-IR"/>
        </w:rPr>
        <w:t xml:space="preserve">كَثِيراً مَا يَقُولُ : اعْلَمُوا عِلْماً يَقِيناً أَنَّ اللهَ - عَزَّ وَجَلَّ - لَمْ يَجْعَلْ لِلْعَبْدِ - وَإِنِ اشْتَدَّ جَهْدُهُ ، وَعَظُمَتْ حِيلَتُهُ ، وَكَثُرَتْ </w:t>
      </w:r>
      <w:r w:rsidRPr="00D10E3C">
        <w:rPr>
          <w:rStyle w:val="libFootnotenumChar"/>
          <w:rtl/>
        </w:rPr>
        <w:t>(3)</w:t>
      </w:r>
      <w:r>
        <w:rPr>
          <w:rtl/>
          <w:lang w:bidi="fa-IR"/>
        </w:rPr>
        <w:t xml:space="preserve"> مُكَابَدَتُهُ </w:t>
      </w:r>
      <w:r w:rsidRPr="00D10E3C">
        <w:rPr>
          <w:rStyle w:val="libFootnotenumChar"/>
          <w:rtl/>
        </w:rPr>
        <w:t>(4)</w:t>
      </w:r>
      <w:r>
        <w:rPr>
          <w:rtl/>
          <w:lang w:bidi="fa-IR"/>
        </w:rPr>
        <w:t xml:space="preserve"> - أَنْ يَسْبِقَ </w:t>
      </w:r>
      <w:r w:rsidRPr="00D10E3C">
        <w:rPr>
          <w:rStyle w:val="libFootnotenumChar"/>
          <w:rtl/>
        </w:rPr>
        <w:t>(5)</w:t>
      </w:r>
      <w:r>
        <w:rPr>
          <w:rtl/>
          <w:lang w:bidi="fa-IR"/>
        </w:rPr>
        <w:t xml:space="preserve"> مَا سُمِّيَ لَهُ فِي الذِّكْرِ الْحَكِيمِ </w:t>
      </w:r>
      <w:r w:rsidRPr="00D10E3C">
        <w:rPr>
          <w:rStyle w:val="libFootnotenumChar"/>
          <w:rtl/>
        </w:rPr>
        <w:t>(6)</w:t>
      </w:r>
      <w:r>
        <w:rPr>
          <w:rtl/>
          <w:lang w:bidi="fa-IR"/>
        </w:rPr>
        <w:t xml:space="preserve"> ، وَلَمْ يَحُلْ </w:t>
      </w:r>
      <w:r w:rsidRPr="00D10E3C">
        <w:rPr>
          <w:rStyle w:val="libFootnotenumChar"/>
          <w:rtl/>
        </w:rPr>
        <w:t>(7)</w:t>
      </w:r>
      <w:r>
        <w:rPr>
          <w:rtl/>
          <w:lang w:bidi="fa-IR"/>
        </w:rPr>
        <w:t xml:space="preserve"> مِنَ الْعَبْدِ </w:t>
      </w:r>
      <w:r w:rsidRPr="00D10E3C">
        <w:rPr>
          <w:rStyle w:val="libFootnotenumChar"/>
          <w:rtl/>
        </w:rPr>
        <w:t>(8)</w:t>
      </w:r>
      <w:r>
        <w:rPr>
          <w:rtl/>
          <w:lang w:bidi="fa-IR"/>
        </w:rPr>
        <w:t xml:space="preserve"> فِي ضَعْفِهِ </w:t>
      </w:r>
      <w:r w:rsidRPr="00D10E3C">
        <w:rPr>
          <w:rStyle w:val="libFootnotenumChar"/>
          <w:rtl/>
        </w:rPr>
        <w:t>(9)</w:t>
      </w:r>
      <w:r>
        <w:rPr>
          <w:rtl/>
          <w:lang w:bidi="fa-IR"/>
        </w:rPr>
        <w:t xml:space="preserve"> ، وَقِلَّةِ حِيلَتِهِ أَنْ يَبْلُغَ مَا سُمِّيَ لَهُ فِي الذِّكْرِ الْحَكِيمِ.</w:t>
      </w:r>
    </w:p>
    <w:p w:rsidR="00744A1C" w:rsidRDefault="00744A1C" w:rsidP="00744A1C">
      <w:pPr>
        <w:pStyle w:val="libNormal"/>
        <w:rPr>
          <w:lang w:bidi="fa-IR"/>
        </w:rPr>
      </w:pPr>
      <w:r>
        <w:rPr>
          <w:rtl/>
          <w:lang w:bidi="fa-IR"/>
        </w:rPr>
        <w:t xml:space="preserve">أَيُّهَا النَّاسُ ، إِنَّهُ لَنْ يَزْدَادَ امْرُؤٌ نَقِيراً </w:t>
      </w:r>
      <w:r w:rsidRPr="00D10E3C">
        <w:rPr>
          <w:rStyle w:val="libFootnotenumChar"/>
          <w:rtl/>
        </w:rPr>
        <w:t>(10)</w:t>
      </w:r>
      <w:r>
        <w:rPr>
          <w:rtl/>
          <w:lang w:bidi="fa-IR"/>
        </w:rPr>
        <w:t xml:space="preserve"> بِحِذْقِهِ </w:t>
      </w:r>
      <w:r w:rsidRPr="00D10E3C">
        <w:rPr>
          <w:rStyle w:val="libFootnotenumChar"/>
          <w:rtl/>
        </w:rPr>
        <w:t>(11)</w:t>
      </w:r>
      <w:r>
        <w:rPr>
          <w:rtl/>
          <w:lang w:bidi="fa-IR"/>
        </w:rPr>
        <w:t xml:space="preserve"> ، وَلَمْ يَنْتَقِصِ </w:t>
      </w:r>
      <w:r w:rsidRPr="00D10E3C">
        <w:rPr>
          <w:rStyle w:val="libFootnotenumChar"/>
          <w:rtl/>
        </w:rPr>
        <w:t>(12)</w:t>
      </w:r>
      <w:r>
        <w:rPr>
          <w:rtl/>
          <w:lang w:bidi="fa-IR"/>
        </w:rPr>
        <w:t xml:space="preserve"> امْرُؤٌ نَقِيراً‌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xml:space="preserve">: لامال لهم ، أي يسلبون المال ، ولاينفعهم المال. ولعلّ الغرض الحثّ على ترك الحرص في جميع المال ؛ فإنّ المال الكثير يلزمه غالباً </w:t>
      </w:r>
      <w:r w:rsidR="00250A0A">
        <w:rPr>
          <w:rtl/>
          <w:lang w:bidi="fa-IR"/>
        </w:rPr>
        <w:t>ترك الشكر ، ومع تركه لايبقى إل</w:t>
      </w:r>
      <w:r w:rsidR="00401BA2">
        <w:rPr>
          <w:rFonts w:hint="cs"/>
          <w:rtl/>
          <w:lang w:bidi="fa-IR"/>
        </w:rPr>
        <w:t>ّ</w:t>
      </w:r>
      <w:r w:rsidR="00250A0A">
        <w:rPr>
          <w:rtl/>
          <w:lang w:bidi="fa-IR"/>
        </w:rPr>
        <w:t>ا</w:t>
      </w:r>
      <w:r w:rsidR="00744A1C">
        <w:rPr>
          <w:rtl/>
          <w:lang w:bidi="fa-IR"/>
        </w:rPr>
        <w:t xml:space="preserve"> المداقّة ، فالمال القليل مع توفيق الشكر أحسن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322 ، ح 882 ، معلّقاً عن أحمد بن أبي عبد الله ، عن ابن فضّال </w:t>
      </w:r>
      <w:r w:rsidR="00401BA2">
        <w:rPr>
          <w:rFonts w:hint="cs"/>
          <w:rtl/>
          <w:lang w:bidi="fa-IR"/>
        </w:rPr>
        <w:t>.</w:t>
      </w:r>
      <w:r w:rsidR="00744A1C" w:rsidRPr="00C24F9C">
        <w:rPr>
          <w:rStyle w:val="libFootnoteBoldChar"/>
          <w:rtl/>
        </w:rPr>
        <w:t>الوافي</w:t>
      </w:r>
      <w:r w:rsidR="00744A1C">
        <w:rPr>
          <w:rtl/>
          <w:lang w:bidi="fa-IR"/>
        </w:rPr>
        <w:t xml:space="preserve"> ، ج 17 ، ص 53 ، ح 16848 ؛ </w:t>
      </w:r>
      <w:r w:rsidR="00744A1C" w:rsidRPr="00C24F9C">
        <w:rPr>
          <w:rStyle w:val="libFootnoteBoldChar"/>
          <w:rtl/>
        </w:rPr>
        <w:t>الوسائل</w:t>
      </w:r>
      <w:r w:rsidR="00744A1C">
        <w:rPr>
          <w:rtl/>
          <w:lang w:bidi="fa-IR"/>
        </w:rPr>
        <w:t xml:space="preserve"> ، ج 17 ، ص 48 ، ح 21950.</w:t>
      </w:r>
    </w:p>
    <w:p w:rsidR="00744A1C" w:rsidRDefault="00E378DD" w:rsidP="00E378DD">
      <w:pPr>
        <w:pStyle w:val="libFootnote0"/>
        <w:rPr>
          <w:lang w:bidi="fa-IR"/>
        </w:rPr>
      </w:pPr>
      <w:r>
        <w:rPr>
          <w:rtl/>
          <w:lang w:bidi="fa-IR"/>
        </w:rPr>
        <w:t>(3).</w:t>
      </w:r>
      <w:r w:rsidR="00744A1C">
        <w:rPr>
          <w:rtl/>
          <w:lang w:bidi="fa-IR"/>
        </w:rPr>
        <w:t xml:space="preserve"> في « بف » : « وكبرت ». وفي نهج البلاغة : « وقويت ».</w:t>
      </w:r>
    </w:p>
    <w:p w:rsidR="00744A1C" w:rsidRDefault="00E378DD" w:rsidP="00E378DD">
      <w:pPr>
        <w:pStyle w:val="libFootnote0"/>
        <w:rPr>
          <w:lang w:bidi="fa-IR"/>
        </w:rPr>
      </w:pPr>
      <w:r>
        <w:rPr>
          <w:rtl/>
          <w:lang w:bidi="fa-IR"/>
        </w:rPr>
        <w:t>(4).</w:t>
      </w:r>
      <w:r w:rsidR="00744A1C">
        <w:rPr>
          <w:rtl/>
          <w:lang w:bidi="fa-IR"/>
        </w:rPr>
        <w:t xml:space="preserve"> في « بح ، بخ ، جت ، جد » و</w:t>
      </w:r>
      <w:r w:rsidR="00744A1C" w:rsidRPr="00C24F9C">
        <w:rPr>
          <w:rStyle w:val="libFootnoteBoldChar"/>
          <w:rtl/>
        </w:rPr>
        <w:t>الوسائل</w:t>
      </w:r>
      <w:r w:rsidR="00744A1C">
        <w:rPr>
          <w:rtl/>
          <w:lang w:bidi="fa-IR"/>
        </w:rPr>
        <w:t xml:space="preserve"> : « مكائده ». وفي « بف » : « مكايدته ». والمكابدة للشي‌ء : تحمّل المشاقّ في‌فعله. </w:t>
      </w:r>
      <w:r w:rsidR="00744A1C" w:rsidRPr="00E978C3">
        <w:rPr>
          <w:rStyle w:val="libFootnoteBoldChar"/>
          <w:rtl/>
        </w:rPr>
        <w:t>المصباح المنير</w:t>
      </w:r>
      <w:r w:rsidR="00744A1C">
        <w:rPr>
          <w:rtl/>
          <w:lang w:bidi="fa-IR"/>
        </w:rPr>
        <w:t xml:space="preserve"> ، ص 523 ( كبد ).</w:t>
      </w:r>
    </w:p>
    <w:p w:rsidR="00744A1C" w:rsidRDefault="00E378DD" w:rsidP="00E378DD">
      <w:pPr>
        <w:pStyle w:val="libFootnote0"/>
        <w:rPr>
          <w:lang w:bidi="fa-IR"/>
        </w:rPr>
      </w:pPr>
      <w:r>
        <w:rPr>
          <w:rtl/>
          <w:lang w:bidi="fa-IR"/>
        </w:rPr>
        <w:t>(5).</w:t>
      </w:r>
      <w:r w:rsidR="00744A1C">
        <w:rPr>
          <w:rtl/>
          <w:lang w:bidi="fa-IR"/>
        </w:rPr>
        <w:t xml:space="preserve"> في « جن » : « سبق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الذكر الحكيم ، هو اللوح المحفوظ ».</w:t>
      </w:r>
    </w:p>
    <w:p w:rsidR="00744A1C" w:rsidRDefault="00E378DD" w:rsidP="00E378DD">
      <w:pPr>
        <w:pStyle w:val="libFootnote0"/>
        <w:rPr>
          <w:lang w:bidi="fa-IR"/>
        </w:rPr>
      </w:pPr>
      <w:r>
        <w:rPr>
          <w:rtl/>
          <w:lang w:bidi="fa-IR"/>
        </w:rPr>
        <w:t>(7).</w:t>
      </w:r>
      <w:r w:rsidR="00744A1C">
        <w:rPr>
          <w:rtl/>
          <w:lang w:bidi="fa-IR"/>
        </w:rPr>
        <w:t xml:space="preserve"> في « ى ، بخ ، بس ، جد » : « ولم يخلّ ». وفي « جت » و</w:t>
      </w:r>
      <w:r w:rsidR="00744A1C" w:rsidRPr="00C24F9C">
        <w:rPr>
          <w:rStyle w:val="libFootnoteBoldChar"/>
          <w:rtl/>
        </w:rPr>
        <w:t>الوسائل</w:t>
      </w:r>
      <w:r w:rsidR="00744A1C">
        <w:rPr>
          <w:rtl/>
          <w:lang w:bidi="fa-IR"/>
        </w:rPr>
        <w:t xml:space="preserve"> : « ولم يُخِل ».</w:t>
      </w:r>
    </w:p>
    <w:p w:rsidR="00744A1C" w:rsidRDefault="00E378DD" w:rsidP="00401BA2">
      <w:pPr>
        <w:pStyle w:val="libFootnote0"/>
        <w:rPr>
          <w:lang w:bidi="fa-IR"/>
        </w:rPr>
      </w:pPr>
      <w:r>
        <w:rPr>
          <w:rtl/>
          <w:lang w:bidi="fa-IR"/>
        </w:rPr>
        <w:t>(8).</w:t>
      </w:r>
      <w:r w:rsidR="00744A1C">
        <w:rPr>
          <w:rtl/>
          <w:lang w:bidi="fa-IR"/>
        </w:rPr>
        <w:t xml:space="preserve"> في « ط » و</w:t>
      </w:r>
      <w:r w:rsidR="00744A1C" w:rsidRPr="00C24F9C">
        <w:rPr>
          <w:rStyle w:val="libFootnoteBoldChar"/>
          <w:rtl/>
        </w:rPr>
        <w:t>الوافي</w:t>
      </w:r>
      <w:r w:rsidR="00744A1C">
        <w:rPr>
          <w:rtl/>
          <w:lang w:bidi="fa-IR"/>
        </w:rPr>
        <w:t xml:space="preserve"> ونهج البلاغة ، ص 523 : « بين العبد ». وفي هامش المطبوع عن بعض النسخ : « العبد » بدل « من العبد ». وقال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ولم يحل ، أي لم يتغيّر من العبد بسبب ضعفه وقلّة حيلته البلوغ إلى ما سمّي له ». ثمّ قال : « وفي </w:t>
      </w:r>
      <w:r w:rsidR="00744A1C" w:rsidRPr="00C24F9C">
        <w:rPr>
          <w:rStyle w:val="libFootnoteBoldChar"/>
          <w:rtl/>
        </w:rPr>
        <w:t>التهذيب</w:t>
      </w:r>
      <w:r w:rsidR="00744A1C">
        <w:rPr>
          <w:rtl/>
          <w:lang w:bidi="fa-IR"/>
        </w:rPr>
        <w:t xml:space="preserve"> وبعض نسخ الكتاب : بين العبد ، فالمهملة أظهر بتقدير « بين » قبل « أن يبلغ » ، ولعلّه أظهر ».</w:t>
      </w:r>
      <w:r w:rsidR="00401BA2">
        <w:rPr>
          <w:rFonts w:hint="cs"/>
          <w:rtl/>
          <w:lang w:bidi="fa-IR"/>
        </w:rPr>
        <w:t xml:space="preserve">                            </w:t>
      </w:r>
      <w:r>
        <w:rPr>
          <w:rtl/>
          <w:lang w:bidi="fa-IR"/>
        </w:rPr>
        <w:t>(9).</w:t>
      </w:r>
      <w:r w:rsidR="00744A1C">
        <w:rPr>
          <w:rtl/>
          <w:lang w:bidi="fa-IR"/>
        </w:rPr>
        <w:t xml:space="preserve"> في « ط » : « وضعفه » بدل « في ضعفه ».</w:t>
      </w:r>
    </w:p>
    <w:p w:rsidR="00744A1C" w:rsidRDefault="00E378DD" w:rsidP="00E378DD">
      <w:pPr>
        <w:pStyle w:val="libFootnote0"/>
        <w:rPr>
          <w:lang w:bidi="fa-IR"/>
        </w:rPr>
      </w:pPr>
      <w:r>
        <w:rPr>
          <w:rtl/>
          <w:lang w:bidi="fa-IR"/>
        </w:rPr>
        <w:t>(10).</w:t>
      </w:r>
      <w:r w:rsidR="00744A1C">
        <w:rPr>
          <w:rtl/>
          <w:lang w:bidi="fa-IR"/>
        </w:rPr>
        <w:t xml:space="preserve"> النَّقير : النُّكْتَةُ التي في ظهر النَّواة. </w:t>
      </w:r>
      <w:r w:rsidR="00744A1C" w:rsidRPr="008A57EB">
        <w:rPr>
          <w:rStyle w:val="libFootnoteBoldChar"/>
          <w:rtl/>
        </w:rPr>
        <w:t>القاموس المحيط</w:t>
      </w:r>
      <w:r w:rsidR="00744A1C">
        <w:rPr>
          <w:rtl/>
          <w:lang w:bidi="fa-IR"/>
        </w:rPr>
        <w:t xml:space="preserve"> ، ج 1 ، ص 674 ( نقر ).</w:t>
      </w:r>
    </w:p>
    <w:p w:rsidR="00744A1C" w:rsidRDefault="00E378DD" w:rsidP="00E378DD">
      <w:pPr>
        <w:pStyle w:val="libFootnote0"/>
        <w:rPr>
          <w:lang w:bidi="fa-IR"/>
        </w:rPr>
      </w:pPr>
      <w:r>
        <w:rPr>
          <w:rtl/>
          <w:lang w:bidi="fa-IR"/>
        </w:rPr>
        <w:t>(11).</w:t>
      </w:r>
      <w:r w:rsidR="00744A1C">
        <w:rPr>
          <w:rtl/>
          <w:lang w:bidi="fa-IR"/>
        </w:rPr>
        <w:t xml:space="preserve"> في « ط » : « لحذقه ». والحِذْق والحَذاقَةُ : ال</w:t>
      </w:r>
      <w:r w:rsidR="00F920BC">
        <w:rPr>
          <w:rFonts w:hint="cs"/>
          <w:rtl/>
          <w:lang w:bidi="fa-IR"/>
        </w:rPr>
        <w:t>ـ</w:t>
      </w:r>
      <w:r w:rsidR="00744A1C">
        <w:rPr>
          <w:rtl/>
          <w:lang w:bidi="fa-IR"/>
        </w:rPr>
        <w:t xml:space="preserve">مَهارة في كلّ عمل ، ومعرفة غوامضها ودقائقها. </w:t>
      </w:r>
      <w:r w:rsidR="00744A1C" w:rsidRPr="00E978C3">
        <w:rPr>
          <w:rStyle w:val="libFootnoteBoldChar"/>
          <w:rtl/>
        </w:rPr>
        <w:t>المصباح المنير</w:t>
      </w:r>
      <w:r w:rsidR="00744A1C">
        <w:rPr>
          <w:rtl/>
          <w:lang w:bidi="fa-IR"/>
        </w:rPr>
        <w:t xml:space="preserve"> ، ص 126 ( حذق ).</w:t>
      </w:r>
    </w:p>
    <w:p w:rsidR="00744A1C" w:rsidRDefault="00E378DD" w:rsidP="00E378DD">
      <w:pPr>
        <w:pStyle w:val="libFootnote0"/>
        <w:rPr>
          <w:lang w:bidi="fa-IR"/>
        </w:rPr>
      </w:pPr>
      <w:r>
        <w:rPr>
          <w:rtl/>
          <w:lang w:bidi="fa-IR"/>
        </w:rPr>
        <w:t>(12).</w:t>
      </w:r>
      <w:r w:rsidR="00744A1C">
        <w:rPr>
          <w:rtl/>
          <w:lang w:bidi="fa-IR"/>
        </w:rPr>
        <w:t xml:space="preserve"> في « بح ، بس » : « ولن ينقص ». وفي « جد » وحاشية « جت » والتحف : « ولن ينتقص ». وفي « ى ، بف » </w:t>
      </w:r>
      <w:r w:rsidR="00744A1C" w:rsidRPr="00F920BC">
        <w:rPr>
          <w:rtl/>
        </w:rPr>
        <w:t>والوسائل والتهذيب</w:t>
      </w:r>
      <w:r w:rsidR="00744A1C">
        <w:rPr>
          <w:rtl/>
          <w:lang w:bidi="fa-IR"/>
        </w:rPr>
        <w:t xml:space="preserve"> : « ولم ينقص ».</w:t>
      </w:r>
    </w:p>
    <w:p w:rsidR="006A5060" w:rsidRDefault="006A5060" w:rsidP="00D10E3C">
      <w:pPr>
        <w:pStyle w:val="libNormal"/>
        <w:rPr>
          <w:rtl/>
          <w:lang w:bidi="fa-IR"/>
        </w:rPr>
      </w:pPr>
      <w:r>
        <w:rPr>
          <w:rtl/>
          <w:lang w:bidi="fa-IR"/>
        </w:rPr>
        <w:br w:type="page"/>
      </w:r>
    </w:p>
    <w:p w:rsidR="00144FA6" w:rsidRDefault="00744A1C" w:rsidP="00F920BC">
      <w:pPr>
        <w:pStyle w:val="libNormal0"/>
        <w:rPr>
          <w:rtl/>
          <w:lang w:bidi="fa-IR"/>
        </w:rPr>
      </w:pPr>
      <w:r>
        <w:rPr>
          <w:rtl/>
          <w:lang w:bidi="fa-IR"/>
        </w:rPr>
        <w:t xml:space="preserve">لِحُمْقِهِ </w:t>
      </w:r>
      <w:r w:rsidRPr="00D10E3C">
        <w:rPr>
          <w:rStyle w:val="libFootnotenumChar"/>
          <w:rtl/>
        </w:rPr>
        <w:t>(1)</w:t>
      </w:r>
      <w:r>
        <w:rPr>
          <w:rtl/>
          <w:lang w:bidi="fa-IR"/>
        </w:rPr>
        <w:t xml:space="preserve"> ، فَالْعَالِمُ لِهذَا </w:t>
      </w:r>
      <w:r w:rsidRPr="00D10E3C">
        <w:rPr>
          <w:rStyle w:val="libFootnotenumChar"/>
          <w:rtl/>
        </w:rPr>
        <w:t>(2)</w:t>
      </w:r>
      <w:r>
        <w:rPr>
          <w:rtl/>
          <w:lang w:bidi="fa-IR"/>
        </w:rPr>
        <w:t xml:space="preserve"> ، الْعَامِلُ بِهِ ، أَعْظَمُ النَّاسِ رَاحَةً فِي مَنْفَعَتِهِ </w:t>
      </w:r>
      <w:r w:rsidRPr="00D10E3C">
        <w:rPr>
          <w:rStyle w:val="libFootnotenumChar"/>
          <w:rtl/>
        </w:rPr>
        <w:t>(3)</w:t>
      </w:r>
      <w:r>
        <w:rPr>
          <w:rtl/>
          <w:lang w:bidi="fa-IR"/>
        </w:rPr>
        <w:t xml:space="preserve"> ، وَالْعَالِمُ لِهذَا </w:t>
      </w:r>
      <w:r w:rsidRPr="00D10E3C">
        <w:rPr>
          <w:rStyle w:val="libFootnotenumChar"/>
          <w:rtl/>
        </w:rPr>
        <w:t>(4)</w:t>
      </w:r>
      <w:r>
        <w:rPr>
          <w:rtl/>
          <w:lang w:bidi="fa-IR"/>
        </w:rPr>
        <w:t xml:space="preserve"> ، التَّارِكُ لَهُ </w:t>
      </w:r>
      <w:r w:rsidRPr="00D10E3C">
        <w:rPr>
          <w:rStyle w:val="libFootnotenumChar"/>
          <w:rtl/>
        </w:rPr>
        <w:t>(5)</w:t>
      </w:r>
      <w:r>
        <w:rPr>
          <w:rtl/>
          <w:lang w:bidi="fa-IR"/>
        </w:rPr>
        <w:t xml:space="preserve"> ، أَعْظَمُ النَّاسِ شُغُلاً فِي مَضَرَّتِهِ </w:t>
      </w:r>
      <w:r w:rsidRPr="00D10E3C">
        <w:rPr>
          <w:rStyle w:val="libFootnotenumChar"/>
          <w:rtl/>
        </w:rPr>
        <w:t>(6)</w:t>
      </w:r>
      <w:r>
        <w:rPr>
          <w:rtl/>
          <w:lang w:bidi="fa-IR"/>
        </w:rPr>
        <w:t xml:space="preserve"> ، وَرُبَّ مُنْعَمٍ عَلَيْهِ مُسْتَدْرَجٍ </w:t>
      </w:r>
      <w:r w:rsidRPr="00D10E3C">
        <w:rPr>
          <w:rStyle w:val="libFootnotenumChar"/>
          <w:rtl/>
        </w:rPr>
        <w:t>(7)</w:t>
      </w:r>
      <w:r>
        <w:rPr>
          <w:rtl/>
          <w:lang w:bidi="fa-IR"/>
        </w:rPr>
        <w:t xml:space="preserve"> بِالْإِحْسَانِ إِلَيْهِ ، وَرُبَّ مَغْرُورٍ </w:t>
      </w:r>
      <w:r w:rsidRPr="00D10E3C">
        <w:rPr>
          <w:rStyle w:val="libFootnotenumChar"/>
          <w:rtl/>
        </w:rPr>
        <w:t>(8)</w:t>
      </w:r>
      <w:r>
        <w:rPr>
          <w:rtl/>
          <w:lang w:bidi="fa-IR"/>
        </w:rPr>
        <w:t xml:space="preserve"> فِي النَّاسِ مَصْنُوعٍ لَهُ ؛ فَأَبِقْ </w:t>
      </w:r>
      <w:r w:rsidRPr="00D10E3C">
        <w:rPr>
          <w:rStyle w:val="libFootnotenumChar"/>
          <w:rtl/>
        </w:rPr>
        <w:t>(9)</w:t>
      </w:r>
      <w:r>
        <w:rPr>
          <w:rtl/>
          <w:lang w:bidi="fa-IR"/>
        </w:rPr>
        <w:t xml:space="preserve"> أَيُّهَا السَّاعِي مِنْ سَعْيِكَ </w:t>
      </w:r>
      <w:r w:rsidRPr="00D10E3C">
        <w:rPr>
          <w:rStyle w:val="libFootnotenumChar"/>
          <w:rtl/>
        </w:rPr>
        <w:t>(10)</w:t>
      </w:r>
      <w:r>
        <w:rPr>
          <w:rtl/>
          <w:lang w:bidi="fa-IR"/>
        </w:rPr>
        <w:t xml:space="preserve"> ، وَقَصِّرْ </w:t>
      </w:r>
      <w:r w:rsidRPr="00D10E3C">
        <w:rPr>
          <w:rStyle w:val="libFootnotenumChar"/>
          <w:rtl/>
        </w:rPr>
        <w:t>(11)</w:t>
      </w:r>
      <w:r>
        <w:rPr>
          <w:rtl/>
          <w:lang w:bidi="fa-IR"/>
        </w:rPr>
        <w:t xml:space="preserve"> مِنْ عَجَلَتِكَ </w:t>
      </w:r>
      <w:r w:rsidRPr="00D10E3C">
        <w:rPr>
          <w:rStyle w:val="libFootnotenumChar"/>
          <w:rtl/>
        </w:rPr>
        <w:t>(12)</w:t>
      </w:r>
      <w:r>
        <w:rPr>
          <w:rtl/>
          <w:lang w:bidi="fa-IR"/>
        </w:rPr>
        <w:t xml:space="preserve"> ، وَانْتَبِهْ مِنْ سِنَةِ غَفْلَتِكَ ، وَتَفَكَّرْ فِيمَا جَاءَ عَنِ اللهِ - عَزَّ وَجَلَّ - عَلى لِسَانِ نَبِيِّهِ </w:t>
      </w:r>
      <w:r w:rsidR="007B299E" w:rsidRPr="007B299E">
        <w:rPr>
          <w:rStyle w:val="libAlaemChar"/>
          <w:rtl/>
        </w:rPr>
        <w:t>صلى‌الله‌عليه‌وآله</w:t>
      </w:r>
      <w:r w:rsidR="00D10E3C">
        <w:rPr>
          <w:rtl/>
          <w:lang w:bidi="fa-IR"/>
        </w:rPr>
        <w:t xml:space="preserve"> </w:t>
      </w:r>
      <w:r w:rsidRPr="00D10E3C">
        <w:rPr>
          <w:rStyle w:val="libFootnotenumChar"/>
          <w:rtl/>
        </w:rPr>
        <w:t>(13)</w:t>
      </w:r>
      <w:r>
        <w:rPr>
          <w:rtl/>
          <w:lang w:bidi="fa-IR"/>
        </w:rPr>
        <w:t xml:space="preserve"> ، وَاحْتَفِظُوا </w:t>
      </w:r>
      <w:r w:rsidRPr="00D10E3C">
        <w:rPr>
          <w:rStyle w:val="libFootnotenumChar"/>
          <w:rtl/>
        </w:rPr>
        <w:t>(14)</w:t>
      </w:r>
      <w:r>
        <w:rPr>
          <w:rtl/>
          <w:lang w:bidi="fa-IR"/>
        </w:rPr>
        <w:t xml:space="preserve"> بِهذِهِ الْحُرُوفِ السَّبْعَةِ ؛ فَإِنَّهَا </w:t>
      </w:r>
      <w:r w:rsidRPr="00D10E3C">
        <w:rPr>
          <w:rStyle w:val="libFootnotenumChar"/>
          <w:rtl/>
        </w:rPr>
        <w:t>(15)</w:t>
      </w:r>
      <w:r>
        <w:rPr>
          <w:rtl/>
          <w:lang w:bidi="fa-IR"/>
        </w:rPr>
        <w:t xml:space="preserve"> مِنْ قَوْلِ أَهْلِ الْحِجى </w:t>
      </w:r>
      <w:r w:rsidRPr="00D10E3C">
        <w:rPr>
          <w:rStyle w:val="libFootnotenumChar"/>
          <w:rtl/>
        </w:rPr>
        <w:t>(16)</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F920BC">
        <w:rPr>
          <w:rtl/>
        </w:rPr>
        <w:t>الوافي والتهذيب</w:t>
      </w:r>
      <w:r w:rsidR="00744A1C">
        <w:rPr>
          <w:rtl/>
          <w:lang w:bidi="fa-IR"/>
        </w:rPr>
        <w:t xml:space="preserve"> والتحف : « بحمقه ».</w:t>
      </w:r>
    </w:p>
    <w:p w:rsidR="00744A1C" w:rsidRDefault="00E378DD" w:rsidP="00E378DD">
      <w:pPr>
        <w:pStyle w:val="libFootnote0"/>
        <w:rPr>
          <w:lang w:bidi="fa-IR"/>
        </w:rPr>
      </w:pPr>
      <w:r>
        <w:rPr>
          <w:rtl/>
          <w:lang w:bidi="fa-IR"/>
        </w:rPr>
        <w:t>(2).</w:t>
      </w:r>
      <w:r w:rsidR="00744A1C">
        <w:rPr>
          <w:rtl/>
          <w:lang w:bidi="fa-IR"/>
        </w:rPr>
        <w:t xml:space="preserve"> في « ط » </w:t>
      </w:r>
      <w:r w:rsidR="00744A1C" w:rsidRPr="00F920BC">
        <w:rPr>
          <w:rtl/>
        </w:rPr>
        <w:t>والوافي والوسائل والتهذيب والتحف</w:t>
      </w:r>
      <w:r w:rsidR="00744A1C">
        <w:rPr>
          <w:rtl/>
          <w:lang w:bidi="fa-IR"/>
        </w:rPr>
        <w:t xml:space="preserve"> : « بهذا ».</w:t>
      </w:r>
    </w:p>
    <w:p w:rsidR="00744A1C" w:rsidRDefault="00E378DD" w:rsidP="00E378DD">
      <w:pPr>
        <w:pStyle w:val="libFootnote0"/>
        <w:rPr>
          <w:lang w:bidi="fa-IR"/>
        </w:rPr>
      </w:pPr>
      <w:r>
        <w:rPr>
          <w:rtl/>
          <w:lang w:bidi="fa-IR"/>
        </w:rPr>
        <w:t>(3).</w:t>
      </w:r>
      <w:r w:rsidR="00744A1C">
        <w:rPr>
          <w:rtl/>
          <w:lang w:bidi="fa-IR"/>
        </w:rPr>
        <w:t xml:space="preserve"> في « ط » </w:t>
      </w:r>
      <w:r w:rsidR="00744A1C" w:rsidRPr="00F920BC">
        <w:rPr>
          <w:rtl/>
        </w:rPr>
        <w:t>والوافي والتهذيب ونهج البلاغة</w:t>
      </w:r>
      <w:r w:rsidR="00744A1C">
        <w:rPr>
          <w:rtl/>
          <w:lang w:bidi="fa-IR"/>
        </w:rPr>
        <w:t xml:space="preserve"> ، ص 523 والتحف : « منفعة ».</w:t>
      </w:r>
    </w:p>
    <w:p w:rsidR="00744A1C" w:rsidRDefault="00E378DD" w:rsidP="00E378DD">
      <w:pPr>
        <w:pStyle w:val="libFootnote0"/>
        <w:rPr>
          <w:lang w:bidi="fa-IR"/>
        </w:rPr>
      </w:pPr>
      <w:r>
        <w:rPr>
          <w:rtl/>
          <w:lang w:bidi="fa-IR"/>
        </w:rPr>
        <w:t>(4).</w:t>
      </w:r>
      <w:r w:rsidR="00744A1C">
        <w:rPr>
          <w:rtl/>
          <w:lang w:bidi="fa-IR"/>
        </w:rPr>
        <w:t xml:space="preserve"> في « ط ، ى ، بس ، جد </w:t>
      </w:r>
      <w:r w:rsidR="00744A1C" w:rsidRPr="00F920BC">
        <w:rPr>
          <w:rtl/>
        </w:rPr>
        <w:t xml:space="preserve">» والوافي والتهذيب : « بهذا </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F920BC" w:rsidTr="00F920BC">
        <w:tc>
          <w:tcPr>
            <w:tcW w:w="4006" w:type="dxa"/>
          </w:tcPr>
          <w:p w:rsidR="00F920BC" w:rsidRDefault="00F920BC" w:rsidP="00E378DD">
            <w:pPr>
              <w:pStyle w:val="libFootnote0"/>
              <w:rPr>
                <w:rtl/>
                <w:lang w:bidi="fa-IR"/>
              </w:rPr>
            </w:pPr>
            <w:r>
              <w:rPr>
                <w:rtl/>
                <w:lang w:bidi="fa-IR"/>
              </w:rPr>
              <w:t>(5). في نهج البلاغة ، ص 523 : + « الشاكّ فيه ».</w:t>
            </w:r>
          </w:p>
        </w:tc>
        <w:tc>
          <w:tcPr>
            <w:tcW w:w="4006" w:type="dxa"/>
          </w:tcPr>
          <w:p w:rsidR="00F920BC" w:rsidRDefault="00F920BC" w:rsidP="00E378DD">
            <w:pPr>
              <w:pStyle w:val="libFootnote0"/>
              <w:rPr>
                <w:rtl/>
                <w:lang w:bidi="fa-IR"/>
              </w:rPr>
            </w:pPr>
            <w:r>
              <w:rPr>
                <w:rtl/>
                <w:lang w:bidi="fa-IR"/>
              </w:rPr>
              <w:t xml:space="preserve">(6). في </w:t>
            </w:r>
            <w:r w:rsidRPr="00C24F9C">
              <w:rPr>
                <w:rStyle w:val="libFootnoteBoldChar"/>
                <w:rtl/>
              </w:rPr>
              <w:t>الوافي</w:t>
            </w:r>
            <w:r>
              <w:rPr>
                <w:rtl/>
                <w:lang w:bidi="fa-IR"/>
              </w:rPr>
              <w:t xml:space="preserve"> : « مضرّة ».</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الاستدراج : استفعال من الدرجة ، بمعنى الاستصعاد أو الاستنزال. واستدراج الله العبد : استدناؤه قليلاً قليلاً إلى ما يهلكه ويضاعف عقابه من حيث لا يعلم ، وذلك بأن يواتر نعمه عليه مع انهماكه في الغيّ ، فكلّما جدّد عليه نعمه ازداد بطراً وجدّد معصية ، فيتدرّج في المعاصي بسبب تواتر النعم ظنّاً منه أنّ متواترة النعم إثرة من الله وتقريب ، وإنّما هو خذلان منه وتبعيد ».</w:t>
      </w:r>
    </w:p>
    <w:p w:rsidR="00744A1C" w:rsidRDefault="00E378DD" w:rsidP="00E378DD">
      <w:pPr>
        <w:pStyle w:val="libFootnote0"/>
        <w:rPr>
          <w:lang w:bidi="fa-IR"/>
        </w:rPr>
      </w:pPr>
      <w:r>
        <w:rPr>
          <w:rtl/>
          <w:lang w:bidi="fa-IR"/>
        </w:rPr>
        <w:t>(8).</w:t>
      </w:r>
      <w:r w:rsidR="00744A1C">
        <w:rPr>
          <w:rtl/>
          <w:lang w:bidi="fa-IR"/>
        </w:rPr>
        <w:t xml:space="preserve"> في </w:t>
      </w:r>
      <w:r w:rsidR="00744A1C" w:rsidRPr="00F920BC">
        <w:rPr>
          <w:rtl/>
        </w:rPr>
        <w:t>التهذيب</w:t>
      </w:r>
      <w:r w:rsidR="00744A1C">
        <w:rPr>
          <w:rtl/>
          <w:lang w:bidi="fa-IR"/>
        </w:rPr>
        <w:t xml:space="preserve"> : « معذور ». وفي </w:t>
      </w:r>
      <w:r w:rsidR="00744A1C" w:rsidRPr="00C24F9C">
        <w:rPr>
          <w:rStyle w:val="libFootnoteBoldChar"/>
          <w:rtl/>
        </w:rPr>
        <w:t>الوافي</w:t>
      </w:r>
      <w:r w:rsidR="00744A1C">
        <w:rPr>
          <w:rtl/>
          <w:lang w:bidi="fa-IR"/>
        </w:rPr>
        <w:t xml:space="preserve"> : « المغرور : المجذوع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وربّ مغرور ، أي غافل‌يعدّه الناس غافلاً عمّا يصلحه ويصنع الله له ، وربّما يقرأ بالعين المهملة ، أي المبتلى ».</w:t>
      </w:r>
    </w:p>
    <w:p w:rsidR="00744A1C" w:rsidRDefault="00E378DD" w:rsidP="00E378DD">
      <w:pPr>
        <w:pStyle w:val="libFootnote0"/>
        <w:rPr>
          <w:lang w:bidi="fa-IR"/>
        </w:rPr>
      </w:pPr>
      <w:r>
        <w:rPr>
          <w:rtl/>
          <w:lang w:bidi="fa-IR"/>
        </w:rPr>
        <w:t>(9).</w:t>
      </w:r>
      <w:r w:rsidR="00744A1C">
        <w:rPr>
          <w:rtl/>
          <w:lang w:bidi="fa-IR"/>
        </w:rPr>
        <w:t xml:space="preserve"> هكذا في « ى ، بح ، بس ، جت ، جن » و</w:t>
      </w:r>
      <w:r w:rsidR="00744A1C" w:rsidRPr="00C24F9C">
        <w:rPr>
          <w:rStyle w:val="libFootnoteBoldChar"/>
          <w:rtl/>
        </w:rPr>
        <w:t>الوسائل</w:t>
      </w:r>
      <w:r w:rsidR="00744A1C">
        <w:rPr>
          <w:rtl/>
          <w:lang w:bidi="fa-IR"/>
        </w:rPr>
        <w:t>. وفي « ط ، بخ ، بف ، جد » : « فاتّق ». وفي سائر النسخ والمطبوع و</w:t>
      </w:r>
      <w:r w:rsidR="00744A1C" w:rsidRPr="00C24F9C">
        <w:rPr>
          <w:rStyle w:val="libFootnoteBoldChar"/>
          <w:rtl/>
        </w:rPr>
        <w:t>الوافي</w:t>
      </w:r>
      <w:r w:rsidR="00744A1C">
        <w:rPr>
          <w:rtl/>
          <w:lang w:bidi="fa-IR"/>
        </w:rPr>
        <w:t xml:space="preserve"> : « فأفق ». وفي « بف » : + « الله ». وقال في روضة المتّقين ، ج 7 ، ص 33 : « فأبق ، من الإبقاء ، من سعيك للدنيا شيئاً للآخرة والسعي فيها ، وما في </w:t>
      </w:r>
      <w:r w:rsidR="00744A1C" w:rsidRPr="00C24F9C">
        <w:rPr>
          <w:rStyle w:val="libFootnoteBoldChar"/>
          <w:rtl/>
        </w:rPr>
        <w:t>التهذيب</w:t>
      </w:r>
      <w:r w:rsidR="00744A1C">
        <w:rPr>
          <w:rtl/>
          <w:lang w:bidi="fa-IR"/>
        </w:rPr>
        <w:t xml:space="preserve"> - أي فأفق - من النسّاخ ، وفي بعضها كما في </w:t>
      </w:r>
      <w:r w:rsidR="00744A1C" w:rsidRPr="0061079A">
        <w:rPr>
          <w:rStyle w:val="libFootnoteBoldChar"/>
          <w:rtl/>
        </w:rPr>
        <w:t>الكافي</w:t>
      </w:r>
      <w:r w:rsidR="00744A1C">
        <w:rPr>
          <w:rtl/>
          <w:lang w:bidi="fa-IR"/>
        </w:rPr>
        <w:t xml:space="preserve"> - أي فأبق - وفي بعضها : فأقف ، وهو أيضاً سهو وتصحيف ».</w:t>
      </w:r>
    </w:p>
    <w:p w:rsidR="00744A1C" w:rsidRDefault="00E378DD" w:rsidP="00E378DD">
      <w:pPr>
        <w:pStyle w:val="libFootnote0"/>
        <w:rPr>
          <w:lang w:bidi="fa-IR"/>
        </w:rPr>
      </w:pPr>
      <w:r>
        <w:rPr>
          <w:rtl/>
          <w:lang w:bidi="fa-IR"/>
        </w:rPr>
        <w:t>(10).</w:t>
      </w:r>
      <w:r w:rsidR="00744A1C">
        <w:rPr>
          <w:rtl/>
          <w:lang w:bidi="fa-IR"/>
        </w:rPr>
        <w:t xml:space="preserve"> في نهج البلاغة ، ص 523 : « وربّ مبتلى مصنوع له بالبلوى ، فزد أيّها المستنفع في شكرك » بدل « وربّ مغرور في الناس - إلى - سعيك ».</w:t>
      </w:r>
    </w:p>
    <w:p w:rsidR="00744A1C" w:rsidRDefault="00E378DD" w:rsidP="00E378DD">
      <w:pPr>
        <w:pStyle w:val="libFootnote0"/>
        <w:rPr>
          <w:lang w:bidi="fa-IR"/>
        </w:rPr>
      </w:pPr>
      <w:r>
        <w:rPr>
          <w:rtl/>
          <w:lang w:bidi="fa-IR"/>
        </w:rPr>
        <w:t>(11).</w:t>
      </w:r>
      <w:r w:rsidR="00744A1C">
        <w:rPr>
          <w:rtl/>
          <w:lang w:bidi="fa-IR"/>
        </w:rPr>
        <w:t xml:space="preserve"> في </w:t>
      </w:r>
      <w:r w:rsidR="00744A1C" w:rsidRPr="00F920BC">
        <w:rPr>
          <w:rtl/>
        </w:rPr>
        <w:t>الوافي والتهذيب : «</w:t>
      </w:r>
      <w:r w:rsidR="00744A1C">
        <w:rPr>
          <w:rtl/>
          <w:lang w:bidi="fa-IR"/>
        </w:rPr>
        <w:t xml:space="preserve"> وأقصر ».</w:t>
      </w:r>
    </w:p>
    <w:p w:rsidR="00744A1C" w:rsidRDefault="00E378DD" w:rsidP="00E378DD">
      <w:pPr>
        <w:pStyle w:val="libFootnote0"/>
        <w:rPr>
          <w:lang w:bidi="fa-IR"/>
        </w:rPr>
      </w:pPr>
      <w:r>
        <w:rPr>
          <w:rtl/>
          <w:lang w:bidi="fa-IR"/>
        </w:rPr>
        <w:t>(12).</w:t>
      </w:r>
      <w:r w:rsidR="00744A1C">
        <w:rPr>
          <w:rtl/>
          <w:lang w:bidi="fa-IR"/>
        </w:rPr>
        <w:t xml:space="preserve"> في نهج البلاغة ، ص 523 : + « وقف عند منتهى رزقك ».</w:t>
      </w:r>
    </w:p>
    <w:p w:rsidR="00744A1C" w:rsidRDefault="00E378DD" w:rsidP="005D2B3B">
      <w:pPr>
        <w:pStyle w:val="libFootnote0"/>
        <w:rPr>
          <w:lang w:bidi="fa-IR"/>
        </w:rPr>
      </w:pPr>
      <w:r>
        <w:rPr>
          <w:rtl/>
          <w:lang w:bidi="fa-IR"/>
        </w:rPr>
        <w:t>(13).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على لسان نبيّه </w:t>
      </w:r>
      <w:r w:rsidR="005D2B3B" w:rsidRPr="005D2B3B">
        <w:rPr>
          <w:rStyle w:val="libFootnoteAlaemChar"/>
          <w:rtl/>
        </w:rPr>
        <w:t>صلى‌الله‌عليه‌وآله</w:t>
      </w:r>
      <w:r w:rsidR="005D2B3B">
        <w:rPr>
          <w:rtl/>
          <w:lang w:bidi="fa-IR"/>
        </w:rPr>
        <w:t xml:space="preserve"> </w:t>
      </w:r>
      <w:r w:rsidR="00744A1C">
        <w:rPr>
          <w:rtl/>
          <w:lang w:bidi="fa-IR"/>
        </w:rPr>
        <w:t>، أي في ذمّ الدنيا والزهد فيها ».</w:t>
      </w:r>
    </w:p>
    <w:p w:rsidR="00744A1C" w:rsidRDefault="00E378DD" w:rsidP="00E378DD">
      <w:pPr>
        <w:pStyle w:val="libFootnote0"/>
        <w:rPr>
          <w:lang w:bidi="fa-IR"/>
        </w:rPr>
      </w:pPr>
      <w:r>
        <w:rPr>
          <w:rtl/>
          <w:lang w:bidi="fa-IR"/>
        </w:rPr>
        <w:t>(14).</w:t>
      </w:r>
      <w:r w:rsidR="00744A1C">
        <w:rPr>
          <w:rtl/>
          <w:lang w:bidi="fa-IR"/>
        </w:rPr>
        <w:t xml:space="preserve"> في « ط » : « فاحتفظوا ».</w:t>
      </w:r>
    </w:p>
    <w:p w:rsidR="00744A1C" w:rsidRDefault="00E378DD" w:rsidP="00E378DD">
      <w:pPr>
        <w:pStyle w:val="libFootnote0"/>
        <w:rPr>
          <w:lang w:bidi="fa-IR"/>
        </w:rPr>
      </w:pPr>
      <w:r>
        <w:rPr>
          <w:rtl/>
          <w:lang w:bidi="fa-IR"/>
        </w:rPr>
        <w:t>(15).</w:t>
      </w:r>
      <w:r w:rsidR="00744A1C">
        <w:rPr>
          <w:rtl/>
          <w:lang w:bidi="fa-IR"/>
        </w:rPr>
        <w:t xml:space="preserve"> في « ى ، جد » </w:t>
      </w:r>
      <w:r w:rsidR="00744A1C" w:rsidRPr="00F920BC">
        <w:rPr>
          <w:rtl/>
        </w:rPr>
        <w:t>والوافي</w:t>
      </w:r>
      <w:r w:rsidR="00744A1C">
        <w:rPr>
          <w:rtl/>
          <w:lang w:bidi="fa-IR"/>
        </w:rPr>
        <w:t xml:space="preserve"> : « فإنّه ».</w:t>
      </w:r>
    </w:p>
    <w:p w:rsidR="00744A1C" w:rsidRDefault="00744A1C" w:rsidP="00D10E3C">
      <w:pPr>
        <w:pStyle w:val="libFootnote0"/>
        <w:rPr>
          <w:lang w:bidi="fa-IR"/>
        </w:rPr>
      </w:pPr>
      <w:r>
        <w:rPr>
          <w:rtl/>
          <w:lang w:bidi="fa-IR"/>
        </w:rPr>
        <w:t xml:space="preserve">(16) الحِجى والحِجا : العقل أو الفطنة. راجع : </w:t>
      </w:r>
      <w:r w:rsidRPr="00877682">
        <w:rPr>
          <w:rStyle w:val="libFootnoteBoldChar"/>
          <w:rtl/>
        </w:rPr>
        <w:t>لسان العرب</w:t>
      </w:r>
      <w:r>
        <w:rPr>
          <w:rtl/>
          <w:lang w:bidi="fa-IR"/>
        </w:rPr>
        <w:t xml:space="preserve"> ، ج 14 ، ص 139 ( حجو ).</w:t>
      </w:r>
    </w:p>
    <w:p w:rsidR="006A5060" w:rsidRDefault="006A5060" w:rsidP="00D10E3C">
      <w:pPr>
        <w:pStyle w:val="libNormal"/>
        <w:rPr>
          <w:rtl/>
          <w:lang w:bidi="fa-IR"/>
        </w:rPr>
      </w:pPr>
      <w:r>
        <w:rPr>
          <w:rtl/>
          <w:lang w:bidi="fa-IR"/>
        </w:rPr>
        <w:br w:type="page"/>
      </w:r>
    </w:p>
    <w:p w:rsidR="00744A1C" w:rsidRDefault="00744A1C" w:rsidP="005D2B3B">
      <w:pPr>
        <w:pStyle w:val="libNormal0"/>
        <w:rPr>
          <w:lang w:bidi="fa-IR"/>
        </w:rPr>
      </w:pPr>
      <w:r>
        <w:rPr>
          <w:rtl/>
          <w:lang w:bidi="fa-IR"/>
        </w:rPr>
        <w:t xml:space="preserve">وَمِنْ عَزَائِمِ اللهِ </w:t>
      </w:r>
      <w:r w:rsidRPr="00D10E3C">
        <w:rPr>
          <w:rStyle w:val="libFootnotenumChar"/>
          <w:rtl/>
        </w:rPr>
        <w:t>(1)</w:t>
      </w:r>
      <w:r>
        <w:rPr>
          <w:rtl/>
          <w:lang w:bidi="fa-IR"/>
        </w:rPr>
        <w:t xml:space="preserve"> فِي الذِّكْرِ الْحَكِيمِ أَنَّهُ لَيْسَ لِأَحَدٍ أَنْ يَلْقَى اللهَ - عَزَّ وَجَلَّ - بِخَلَّةٍ </w:t>
      </w:r>
      <w:r w:rsidRPr="00D10E3C">
        <w:rPr>
          <w:rStyle w:val="libFootnotenumChar"/>
          <w:rtl/>
        </w:rPr>
        <w:t>(2)</w:t>
      </w:r>
      <w:r>
        <w:rPr>
          <w:rtl/>
          <w:lang w:bidi="fa-IR"/>
        </w:rPr>
        <w:t xml:space="preserve"> مِنْ هذِهِ الْخِلَالِ : الشِّرْكِ بِاللهِ فِيمَا افْتَرَضَ </w:t>
      </w:r>
      <w:r w:rsidRPr="00D10E3C">
        <w:rPr>
          <w:rStyle w:val="libFootnotenumChar"/>
          <w:rtl/>
        </w:rPr>
        <w:t>(3)</w:t>
      </w:r>
      <w:r>
        <w:rPr>
          <w:rtl/>
          <w:lang w:bidi="fa-IR"/>
        </w:rPr>
        <w:t xml:space="preserve"> عَلَيْهِ ، أَوْ إِشْفَاءِ </w:t>
      </w:r>
      <w:r w:rsidRPr="00D10E3C">
        <w:rPr>
          <w:rStyle w:val="libFootnotenumChar"/>
          <w:rtl/>
        </w:rPr>
        <w:t>(4)</w:t>
      </w:r>
      <w:r>
        <w:rPr>
          <w:rtl/>
          <w:lang w:bidi="fa-IR"/>
        </w:rPr>
        <w:t xml:space="preserve"> غَيْظٍ </w:t>
      </w:r>
      <w:r w:rsidRPr="00D10E3C">
        <w:rPr>
          <w:rStyle w:val="libFootnotenumChar"/>
          <w:rtl/>
        </w:rPr>
        <w:t>(5)</w:t>
      </w:r>
      <w:r>
        <w:rPr>
          <w:rtl/>
          <w:lang w:bidi="fa-IR"/>
        </w:rPr>
        <w:t xml:space="preserve"> بِهَلَاكِ نَفْسِهِ </w:t>
      </w:r>
      <w:r w:rsidRPr="00D10E3C">
        <w:rPr>
          <w:rStyle w:val="libFootnotenumChar"/>
          <w:rtl/>
        </w:rPr>
        <w:t>(6)</w:t>
      </w:r>
      <w:r>
        <w:rPr>
          <w:rtl/>
          <w:lang w:bidi="fa-IR"/>
        </w:rPr>
        <w:t xml:space="preserve"> ، أَوْ إِقْرَارٍ </w:t>
      </w:r>
      <w:r w:rsidRPr="00D10E3C">
        <w:rPr>
          <w:rStyle w:val="libFootnotenumChar"/>
          <w:rtl/>
        </w:rPr>
        <w:t>(7)</w:t>
      </w:r>
      <w:r>
        <w:rPr>
          <w:rtl/>
          <w:lang w:bidi="fa-IR"/>
        </w:rPr>
        <w:t xml:space="preserve"> بِأَمْرٍ يَفْعَلُ </w:t>
      </w:r>
      <w:r w:rsidRPr="00D10E3C">
        <w:rPr>
          <w:rStyle w:val="libFootnotenumChar"/>
          <w:rtl/>
        </w:rPr>
        <w:t>(8)</w:t>
      </w:r>
      <w:r>
        <w:rPr>
          <w:rtl/>
          <w:lang w:bidi="fa-IR"/>
        </w:rPr>
        <w:t xml:space="preserve"> غَيْرُهُ </w:t>
      </w:r>
      <w:r w:rsidRPr="00D10E3C">
        <w:rPr>
          <w:rStyle w:val="libFootnotenumChar"/>
          <w:rtl/>
        </w:rPr>
        <w:t>(9)</w:t>
      </w:r>
      <w:r>
        <w:rPr>
          <w:rtl/>
          <w:lang w:bidi="fa-IR"/>
        </w:rPr>
        <w:t xml:space="preserve"> ، أَوْ يَسْتَنْجِحَ </w:t>
      </w:r>
      <w:r w:rsidRPr="00D10E3C">
        <w:rPr>
          <w:rStyle w:val="libFootnotenumChar"/>
          <w:rtl/>
        </w:rPr>
        <w:t>(10)</w:t>
      </w:r>
      <w:r>
        <w:rPr>
          <w:rtl/>
          <w:lang w:bidi="fa-IR"/>
        </w:rPr>
        <w:t xml:space="preserve"> إِلى مَخْلُوقٍ بِإِظْهَارِ بِدْعَةٍ فِي دِينِهِ ، أَوْ يَسُرَّهُ </w:t>
      </w:r>
      <w:r w:rsidRPr="00D10E3C">
        <w:rPr>
          <w:rStyle w:val="libFootnotenumChar"/>
          <w:rtl/>
        </w:rPr>
        <w:t>(11)</w:t>
      </w:r>
      <w:r>
        <w:rPr>
          <w:rtl/>
          <w:lang w:bidi="fa-IR"/>
        </w:rPr>
        <w:t xml:space="preserve"> أَنْ يَحْمَدَهُ </w:t>
      </w:r>
      <w:r w:rsidRPr="00D10E3C">
        <w:rPr>
          <w:rStyle w:val="libFootnotenumChar"/>
          <w:rtl/>
        </w:rPr>
        <w:t>(12)</w:t>
      </w:r>
      <w:r>
        <w:rPr>
          <w:rtl/>
          <w:lang w:bidi="fa-IR"/>
        </w:rPr>
        <w:t xml:space="preserve"> النَّاسُ بِمَا لَمْ يَفْعَلْ ، وَالْمُتَجَبِّرِ </w:t>
      </w:r>
      <w:r w:rsidRPr="00D10E3C">
        <w:rPr>
          <w:rStyle w:val="libFootnotenumChar"/>
          <w:rtl/>
        </w:rPr>
        <w:t>(13)</w:t>
      </w:r>
      <w:r>
        <w:rPr>
          <w:rtl/>
          <w:lang w:bidi="fa-IR"/>
        </w:rPr>
        <w:t xml:space="preserve"> الْمُخْتَالِ </w:t>
      </w:r>
      <w:r w:rsidRPr="00D10E3C">
        <w:rPr>
          <w:rStyle w:val="libFootnotenumChar"/>
          <w:rtl/>
        </w:rPr>
        <w:t>(14)</w:t>
      </w:r>
      <w:r>
        <w:rPr>
          <w:rtl/>
          <w:lang w:bidi="fa-IR"/>
        </w:rPr>
        <w:t xml:space="preserve"> ، وَصَاحِبِ </w:t>
      </w:r>
      <w:r w:rsidRPr="00D10E3C">
        <w:rPr>
          <w:rStyle w:val="libFootnotenumChar"/>
          <w:rtl/>
        </w:rPr>
        <w:t>(15)</w:t>
      </w:r>
      <w:r>
        <w:rPr>
          <w:rtl/>
          <w:lang w:bidi="fa-IR"/>
        </w:rPr>
        <w:t xml:space="preserve"> الْأُبَّهَةِ </w:t>
      </w:r>
      <w:r w:rsidRPr="00D10E3C">
        <w:rPr>
          <w:rStyle w:val="libFootnotenumChar"/>
          <w:rtl/>
        </w:rPr>
        <w:t>(16)</w:t>
      </w:r>
      <w:r>
        <w:rPr>
          <w:rtl/>
          <w:lang w:bidi="fa-IR"/>
        </w:rPr>
        <w:t xml:space="preserve"> وَالزَّهْوِ </w:t>
      </w:r>
      <w:r w:rsidRPr="00D10E3C">
        <w:rPr>
          <w:rStyle w:val="libFootnotenumChar"/>
          <w:rtl/>
        </w:rPr>
        <w:t>(17)</w:t>
      </w:r>
    </w:p>
    <w:p w:rsidR="00744A1C" w:rsidRDefault="00744A1C" w:rsidP="00744A1C">
      <w:pPr>
        <w:pStyle w:val="libNormal"/>
        <w:rPr>
          <w:lang w:bidi="fa-IR"/>
        </w:rPr>
      </w:pPr>
      <w:r>
        <w:rPr>
          <w:rtl/>
          <w:lang w:bidi="fa-IR"/>
        </w:rPr>
        <w:t xml:space="preserve">أَيُّهَا النَّاسُ إِنَّ السِّبَاعَ هِمَّتُهَا التَّعَدِّي ، وَإِنَّ الْبَهَائِمَ هِمَّتُهَا بُطُونُهَا ، وَإِنَّ النِّسَاءَ هِمَّتُهُنَّ الرِّجَالُ </w:t>
      </w:r>
      <w:r w:rsidRPr="00D10E3C">
        <w:rPr>
          <w:rStyle w:val="libFootnotenumChar"/>
          <w:rtl/>
        </w:rPr>
        <w:t>(18)</w:t>
      </w:r>
      <w:r>
        <w:rPr>
          <w:rtl/>
          <w:lang w:bidi="fa-IR"/>
        </w:rPr>
        <w:t xml:space="preserve"> ، وَإِنَّ الْمُؤْمِنِينَ مُشْفِقُونَ خَائِفُونَ وَجِلُونَ </w:t>
      </w:r>
      <w:r w:rsidRPr="00D10E3C">
        <w:rPr>
          <w:rStyle w:val="libFootnotenumChar"/>
          <w:rtl/>
        </w:rPr>
        <w:t>(19)</w:t>
      </w:r>
      <w:r>
        <w:rPr>
          <w:rtl/>
          <w:lang w:bidi="fa-IR"/>
        </w:rPr>
        <w:t xml:space="preserve"> ؛ جَعَلَنَا اللهُ وَإِيَّاكُمْ‌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من عزائم الله ، أي الا</w:t>
      </w:r>
      <w:r w:rsidR="00F920BC">
        <w:rPr>
          <w:rFonts w:hint="cs"/>
          <w:rtl/>
          <w:lang w:bidi="fa-IR"/>
        </w:rPr>
        <w:t>ُ</w:t>
      </w:r>
      <w:r w:rsidR="00744A1C">
        <w:rPr>
          <w:rtl/>
          <w:lang w:bidi="fa-IR"/>
        </w:rPr>
        <w:t>مور الواجبة اللازمة التي أوجبها في القرآن أو في اللوح ».</w:t>
      </w:r>
    </w:p>
    <w:p w:rsidR="00744A1C" w:rsidRDefault="00E378DD" w:rsidP="00E378DD">
      <w:pPr>
        <w:pStyle w:val="libFootnote0"/>
        <w:rPr>
          <w:lang w:bidi="fa-IR"/>
        </w:rPr>
      </w:pPr>
      <w:r>
        <w:rPr>
          <w:rtl/>
          <w:lang w:bidi="fa-IR"/>
        </w:rPr>
        <w:t>(2).</w:t>
      </w:r>
      <w:r w:rsidR="00744A1C">
        <w:rPr>
          <w:rtl/>
          <w:lang w:bidi="fa-IR"/>
        </w:rPr>
        <w:t xml:space="preserve"> الخَلَّةُ : الخَصْلَةُ. وجمعها : خِلال. راجع : </w:t>
      </w:r>
      <w:r w:rsidR="00744A1C" w:rsidRPr="00E978C3">
        <w:rPr>
          <w:rStyle w:val="libFootnoteBoldChar"/>
          <w:rtl/>
        </w:rPr>
        <w:t>الصحاح</w:t>
      </w:r>
      <w:r w:rsidR="00744A1C">
        <w:rPr>
          <w:rtl/>
          <w:lang w:bidi="fa-IR"/>
        </w:rPr>
        <w:t xml:space="preserve"> ، ج 4 ، ص 1687 ( خلل ).</w:t>
      </w:r>
    </w:p>
    <w:p w:rsidR="00744A1C" w:rsidRDefault="00E378DD" w:rsidP="00E378DD">
      <w:pPr>
        <w:pStyle w:val="libFootnote0"/>
        <w:rPr>
          <w:lang w:bidi="fa-IR"/>
        </w:rPr>
      </w:pPr>
      <w:r>
        <w:rPr>
          <w:rtl/>
          <w:lang w:bidi="fa-IR"/>
        </w:rPr>
        <w:t>(3).</w:t>
      </w:r>
      <w:r w:rsidR="00744A1C">
        <w:rPr>
          <w:rtl/>
          <w:lang w:bidi="fa-IR"/>
        </w:rPr>
        <w:t xml:space="preserve"> هكذا في « ط ، ى ، بح ، بس ، جت ، جد ، جن » </w:t>
      </w:r>
      <w:r w:rsidR="00744A1C" w:rsidRPr="00F920BC">
        <w:rPr>
          <w:rtl/>
        </w:rPr>
        <w:t>والوسائل والتهذيب</w:t>
      </w:r>
      <w:r w:rsidR="00744A1C">
        <w:rPr>
          <w:rtl/>
          <w:lang w:bidi="fa-IR"/>
        </w:rPr>
        <w:t xml:space="preserve">. وفي « بخ ، بف » </w:t>
      </w:r>
      <w:r w:rsidR="00744A1C" w:rsidRPr="00F920BC">
        <w:rPr>
          <w:rtl/>
        </w:rPr>
        <w:t>والوافي</w:t>
      </w:r>
      <w:r w:rsidR="00744A1C">
        <w:rPr>
          <w:rtl/>
          <w:lang w:bidi="fa-IR"/>
        </w:rPr>
        <w:t xml:space="preserve"> : « افترضه ». وفي‌المطبوع : + « الله ».</w:t>
      </w:r>
    </w:p>
    <w:p w:rsidR="00744A1C" w:rsidRDefault="00E378DD" w:rsidP="00E378DD">
      <w:pPr>
        <w:pStyle w:val="libFootnote0"/>
        <w:rPr>
          <w:lang w:bidi="fa-IR"/>
        </w:rPr>
      </w:pPr>
      <w:r>
        <w:rPr>
          <w:rtl/>
          <w:lang w:bidi="fa-IR"/>
        </w:rPr>
        <w:t>(4).</w:t>
      </w:r>
      <w:r w:rsidR="00744A1C">
        <w:rPr>
          <w:rtl/>
          <w:lang w:bidi="fa-IR"/>
        </w:rPr>
        <w:t xml:space="preserve"> في « ى » : « وإشفاء ». وفي </w:t>
      </w:r>
      <w:r w:rsidR="00744A1C" w:rsidRPr="00F920BC">
        <w:rPr>
          <w:rtl/>
        </w:rPr>
        <w:t>الوافي</w:t>
      </w:r>
      <w:r w:rsidR="00744A1C">
        <w:rPr>
          <w:rtl/>
          <w:lang w:bidi="fa-IR"/>
        </w:rPr>
        <w:t xml:space="preserve"> : « أو شفاء ». وفي </w:t>
      </w:r>
      <w:r w:rsidR="00744A1C" w:rsidRPr="00F920BC">
        <w:rPr>
          <w:rtl/>
        </w:rPr>
        <w:t>التهذيب</w:t>
      </w:r>
      <w:r w:rsidR="00744A1C">
        <w:rPr>
          <w:rtl/>
          <w:lang w:bidi="fa-IR"/>
        </w:rPr>
        <w:t xml:space="preserve"> : « أو أشفى ».</w:t>
      </w:r>
    </w:p>
    <w:p w:rsidR="00744A1C" w:rsidRDefault="00E378DD" w:rsidP="00E378DD">
      <w:pPr>
        <w:pStyle w:val="libFootnote0"/>
        <w:rPr>
          <w:lang w:bidi="fa-IR"/>
        </w:rPr>
      </w:pPr>
      <w:r>
        <w:rPr>
          <w:rtl/>
          <w:lang w:bidi="fa-IR"/>
        </w:rPr>
        <w:t>(5).</w:t>
      </w:r>
      <w:r w:rsidR="00744A1C">
        <w:rPr>
          <w:rtl/>
          <w:lang w:bidi="fa-IR"/>
        </w:rPr>
        <w:t xml:space="preserve"> في </w:t>
      </w:r>
      <w:r w:rsidR="00744A1C" w:rsidRPr="00F920BC">
        <w:rPr>
          <w:rtl/>
        </w:rPr>
        <w:t>الوسائل</w:t>
      </w:r>
      <w:r w:rsidR="00744A1C">
        <w:rPr>
          <w:rtl/>
          <w:lang w:bidi="fa-IR"/>
        </w:rPr>
        <w:t xml:space="preserve"> : « غيظه ». وفي </w:t>
      </w:r>
      <w:r w:rsidR="00744A1C" w:rsidRPr="00F920BC">
        <w:rPr>
          <w:rtl/>
        </w:rPr>
        <w:t>التهذيب</w:t>
      </w:r>
      <w:r w:rsidR="00744A1C">
        <w:rPr>
          <w:rtl/>
          <w:lang w:bidi="fa-IR"/>
        </w:rPr>
        <w:t xml:space="preserve"> : « غيظاً ».</w:t>
      </w:r>
    </w:p>
    <w:p w:rsidR="00744A1C" w:rsidRDefault="00E378DD" w:rsidP="00F920BC">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أو إشفاء غيظه ، أي يتدارك غيظه من الناس بأن يقتل نفسه ، أو ينتقم من الناس بما يصير سبباً لقتله أيضاً ، كأن يقتل أحداً فيقتل قصاصاً. والأظهر أنّ المراد بالهلاك الهلاك المعنويّ ، أي ينتقم من الناس بما يكون سبب هلاكه في الآخرة ».</w:t>
      </w:r>
      <w:r w:rsidR="005D2B3B">
        <w:rPr>
          <w:rFonts w:hint="cs"/>
          <w:rtl/>
          <w:lang w:bidi="fa-IR"/>
        </w:rPr>
        <w:t xml:space="preserve">               </w:t>
      </w:r>
      <w:r w:rsidR="00F920BC">
        <w:rPr>
          <w:rFonts w:hint="cs"/>
          <w:rtl/>
          <w:lang w:bidi="fa-IR"/>
        </w:rPr>
        <w:t xml:space="preserve">          </w:t>
      </w:r>
      <w:r>
        <w:rPr>
          <w:rtl/>
          <w:lang w:bidi="fa-IR"/>
        </w:rPr>
        <w:t>(7).</w:t>
      </w:r>
      <w:r w:rsidR="00744A1C">
        <w:rPr>
          <w:rtl/>
          <w:lang w:bidi="fa-IR"/>
        </w:rPr>
        <w:t xml:space="preserve"> في </w:t>
      </w:r>
      <w:r w:rsidR="00744A1C" w:rsidRPr="00F920BC">
        <w:rPr>
          <w:rtl/>
        </w:rPr>
        <w:t>التهذيب</w:t>
      </w:r>
      <w:r w:rsidR="00744A1C">
        <w:rPr>
          <w:rtl/>
          <w:lang w:bidi="fa-IR"/>
        </w:rPr>
        <w:t xml:space="preserve"> : « أو أمَرَ ».</w:t>
      </w:r>
    </w:p>
    <w:p w:rsidR="00744A1C" w:rsidRDefault="00E378DD" w:rsidP="00E378DD">
      <w:pPr>
        <w:pStyle w:val="libFootnote0"/>
        <w:rPr>
          <w:lang w:bidi="fa-IR"/>
        </w:rPr>
      </w:pPr>
      <w:r>
        <w:rPr>
          <w:rtl/>
          <w:lang w:bidi="fa-IR"/>
        </w:rPr>
        <w:t>(8).</w:t>
      </w:r>
      <w:r w:rsidR="00744A1C">
        <w:rPr>
          <w:rtl/>
          <w:lang w:bidi="fa-IR"/>
        </w:rPr>
        <w:t xml:space="preserve"> في « ط ، بخ » وحاشية « جت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يعمل ». وفي « بف » : « تعمل ».</w:t>
      </w:r>
    </w:p>
    <w:p w:rsidR="00744A1C" w:rsidRDefault="00E378DD" w:rsidP="00E378DD">
      <w:pPr>
        <w:pStyle w:val="libFootnote0"/>
        <w:rPr>
          <w:lang w:bidi="fa-IR"/>
        </w:rPr>
      </w:pPr>
      <w:r>
        <w:rPr>
          <w:rtl/>
          <w:lang w:bidi="fa-IR"/>
        </w:rPr>
        <w:t>(9).</w:t>
      </w:r>
      <w:r w:rsidR="00744A1C">
        <w:rPr>
          <w:rtl/>
          <w:lang w:bidi="fa-IR"/>
        </w:rPr>
        <w:t xml:space="preserve"> في « ط ، بخ ، بف » وحاشية « جت » و</w:t>
      </w:r>
      <w:r w:rsidR="00744A1C" w:rsidRPr="00C24F9C">
        <w:rPr>
          <w:rStyle w:val="libFootnoteBoldChar"/>
          <w:rtl/>
        </w:rPr>
        <w:t>الوافي</w:t>
      </w:r>
      <w:r w:rsidR="00744A1C">
        <w:rPr>
          <w:rtl/>
          <w:lang w:bidi="fa-IR"/>
        </w:rPr>
        <w:t xml:space="preserve"> </w:t>
      </w:r>
      <w:r w:rsidR="00744A1C" w:rsidRPr="0061079A">
        <w:rPr>
          <w:rStyle w:val="libFootnoteBoldChar"/>
          <w:rtl/>
        </w:rPr>
        <w:t>والتهذيب</w:t>
      </w:r>
      <w:r w:rsidR="00744A1C">
        <w:rPr>
          <w:rtl/>
          <w:lang w:bidi="fa-IR"/>
        </w:rPr>
        <w:t xml:space="preserve"> : « بغيره ». وفي </w:t>
      </w:r>
      <w:r w:rsidR="00744A1C" w:rsidRPr="00C24F9C">
        <w:rPr>
          <w:rStyle w:val="libFootnoteBoldChar"/>
          <w:rtl/>
        </w:rPr>
        <w:t>المرآة</w:t>
      </w:r>
      <w:r w:rsidR="00744A1C">
        <w:rPr>
          <w:rtl/>
          <w:lang w:bidi="fa-IR"/>
        </w:rPr>
        <w:t xml:space="preserve"> : « أي يعامل الناس معاملة لا يعمل بمقتضاها ، أو يعدّهم عدّة لا يفي بها ، أو يقرّ بدين ولا يعمل لشرائعه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 أو استنجح ». وفي </w:t>
      </w:r>
      <w:r w:rsidR="00744A1C" w:rsidRPr="00C24F9C">
        <w:rPr>
          <w:rStyle w:val="libFootnoteBoldChar"/>
          <w:rtl/>
        </w:rPr>
        <w:t>الوافي</w:t>
      </w:r>
      <w:r w:rsidR="00744A1C">
        <w:rPr>
          <w:rtl/>
          <w:lang w:bidi="fa-IR"/>
        </w:rPr>
        <w:t xml:space="preserve"> : « الاستنجاح : تنجّز الحاجة والظفر بها ». وفي </w:t>
      </w:r>
      <w:r w:rsidR="00744A1C" w:rsidRPr="00C24F9C">
        <w:rPr>
          <w:rStyle w:val="libFootnoteBoldChar"/>
          <w:rtl/>
        </w:rPr>
        <w:t>المرآة</w:t>
      </w:r>
      <w:r w:rsidR="00744A1C">
        <w:rPr>
          <w:rtl/>
          <w:lang w:bidi="fa-IR"/>
        </w:rPr>
        <w:t xml:space="preserve"> : « أي يطلب نجح حاجته إلى مخلوق بسبب إظهار بدعة في دينه ». وراجع : </w:t>
      </w:r>
      <w:r w:rsidR="00744A1C" w:rsidRPr="00877682">
        <w:rPr>
          <w:rStyle w:val="libFootnoteBoldChar"/>
          <w:rtl/>
        </w:rPr>
        <w:t>لسان العرب</w:t>
      </w:r>
      <w:r w:rsidR="00744A1C">
        <w:rPr>
          <w:rtl/>
          <w:lang w:bidi="fa-IR"/>
        </w:rPr>
        <w:t xml:space="preserve"> ، ج 2 ، ص 612 ( نجح ).</w:t>
      </w:r>
    </w:p>
    <w:tbl>
      <w:tblPr>
        <w:tblStyle w:val="TableGrid"/>
        <w:bidiVisual/>
        <w:tblW w:w="0" w:type="auto"/>
        <w:tblLook w:val="04A0" w:firstRow="1" w:lastRow="0" w:firstColumn="1" w:lastColumn="0" w:noHBand="0" w:noVBand="1"/>
      </w:tblPr>
      <w:tblGrid>
        <w:gridCol w:w="4006"/>
        <w:gridCol w:w="4006"/>
      </w:tblGrid>
      <w:tr w:rsidR="00F920BC" w:rsidTr="00F920BC">
        <w:tc>
          <w:tcPr>
            <w:tcW w:w="4006" w:type="dxa"/>
          </w:tcPr>
          <w:p w:rsidR="00F920BC" w:rsidRDefault="00F920BC" w:rsidP="00E378DD">
            <w:pPr>
              <w:pStyle w:val="libFootnote0"/>
              <w:rPr>
                <w:rtl/>
                <w:lang w:bidi="fa-IR"/>
              </w:rPr>
            </w:pPr>
            <w:r>
              <w:rPr>
                <w:rtl/>
                <w:lang w:bidi="fa-IR"/>
              </w:rPr>
              <w:t xml:space="preserve">(11). في « ط ، بف » </w:t>
            </w:r>
            <w:r w:rsidRPr="0061079A">
              <w:rPr>
                <w:rStyle w:val="libFootnoteBoldChar"/>
                <w:rtl/>
              </w:rPr>
              <w:t>والتهذيب</w:t>
            </w:r>
            <w:r>
              <w:rPr>
                <w:rtl/>
                <w:lang w:bidi="fa-IR"/>
              </w:rPr>
              <w:t xml:space="preserve"> : « سرّه ».</w:t>
            </w:r>
          </w:p>
        </w:tc>
        <w:tc>
          <w:tcPr>
            <w:tcW w:w="4006" w:type="dxa"/>
          </w:tcPr>
          <w:p w:rsidR="00F920BC" w:rsidRDefault="00F920BC" w:rsidP="00E378DD">
            <w:pPr>
              <w:pStyle w:val="libFootnote0"/>
              <w:rPr>
                <w:rtl/>
                <w:lang w:bidi="fa-IR"/>
              </w:rPr>
            </w:pPr>
            <w:r>
              <w:rPr>
                <w:rtl/>
                <w:lang w:bidi="fa-IR"/>
              </w:rPr>
              <w:t>(12). في « جن » : « أن تحمده ».</w:t>
            </w:r>
          </w:p>
        </w:tc>
      </w:tr>
    </w:tbl>
    <w:p w:rsidR="00744A1C" w:rsidRDefault="00E378DD" w:rsidP="00E378DD">
      <w:pPr>
        <w:pStyle w:val="libFootnote0"/>
        <w:rPr>
          <w:lang w:bidi="fa-IR"/>
        </w:rPr>
      </w:pPr>
      <w:r>
        <w:rPr>
          <w:rtl/>
          <w:lang w:bidi="fa-IR"/>
        </w:rPr>
        <w:t>(13).</w:t>
      </w:r>
      <w:r w:rsidR="00744A1C">
        <w:rPr>
          <w:rtl/>
          <w:lang w:bidi="fa-IR"/>
        </w:rPr>
        <w:t xml:space="preserve"> في « جت » : « وتجبّر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والمتجبّر ، أي فعله ، وكذا ما بعده ».</w:t>
      </w:r>
    </w:p>
    <w:p w:rsidR="00744A1C" w:rsidRDefault="00E378DD" w:rsidP="00E378DD">
      <w:pPr>
        <w:pStyle w:val="libFootnote0"/>
        <w:rPr>
          <w:lang w:bidi="fa-IR"/>
        </w:rPr>
      </w:pPr>
      <w:r>
        <w:rPr>
          <w:rtl/>
          <w:lang w:bidi="fa-IR"/>
        </w:rPr>
        <w:t>(14).</w:t>
      </w:r>
      <w:r w:rsidR="00744A1C">
        <w:rPr>
          <w:rtl/>
          <w:lang w:bidi="fa-IR"/>
        </w:rPr>
        <w:t xml:space="preserve"> « ال</w:t>
      </w:r>
      <w:r w:rsidR="00A83F0E">
        <w:rPr>
          <w:rFonts w:hint="cs"/>
          <w:rtl/>
          <w:lang w:bidi="fa-IR"/>
        </w:rPr>
        <w:t>ـ</w:t>
      </w:r>
      <w:r w:rsidR="00744A1C">
        <w:rPr>
          <w:rtl/>
          <w:lang w:bidi="fa-IR"/>
        </w:rPr>
        <w:t xml:space="preserve">مُختال » : المتكبّر. </w:t>
      </w:r>
      <w:r w:rsidR="00744A1C" w:rsidRPr="00877682">
        <w:rPr>
          <w:rStyle w:val="libFootnoteBoldChar"/>
          <w:rtl/>
        </w:rPr>
        <w:t>لسان العرب</w:t>
      </w:r>
      <w:r w:rsidR="00744A1C">
        <w:rPr>
          <w:rtl/>
          <w:lang w:bidi="fa-IR"/>
        </w:rPr>
        <w:t xml:space="preserve"> ، ج 11 ، ص 228 ( خيل ).</w:t>
      </w:r>
    </w:p>
    <w:p w:rsidR="00744A1C" w:rsidRDefault="00E378DD" w:rsidP="00E378DD">
      <w:pPr>
        <w:pStyle w:val="libFootnote0"/>
        <w:rPr>
          <w:lang w:bidi="fa-IR"/>
        </w:rPr>
      </w:pPr>
      <w:r>
        <w:rPr>
          <w:rtl/>
          <w:lang w:bidi="fa-IR"/>
        </w:rPr>
        <w:t>(15).</w:t>
      </w:r>
      <w:r w:rsidR="00744A1C">
        <w:rPr>
          <w:rtl/>
          <w:lang w:bidi="fa-IR"/>
        </w:rPr>
        <w:t xml:space="preserve"> في « جن » : « أو صاحب ».</w:t>
      </w:r>
    </w:p>
    <w:p w:rsidR="00744A1C" w:rsidRDefault="00744A1C" w:rsidP="00D10E3C">
      <w:pPr>
        <w:pStyle w:val="libFootnote0"/>
        <w:rPr>
          <w:lang w:bidi="fa-IR"/>
        </w:rPr>
      </w:pPr>
      <w:r>
        <w:rPr>
          <w:rtl/>
          <w:lang w:bidi="fa-IR"/>
        </w:rPr>
        <w:t>(16) الا</w:t>
      </w:r>
      <w:r w:rsidR="00A83F0E">
        <w:rPr>
          <w:rFonts w:hint="cs"/>
          <w:rtl/>
          <w:lang w:bidi="fa-IR"/>
        </w:rPr>
        <w:t>ُ</w:t>
      </w:r>
      <w:r>
        <w:rPr>
          <w:rtl/>
          <w:lang w:bidi="fa-IR"/>
        </w:rPr>
        <w:t>بَّهَةُ والا</w:t>
      </w:r>
      <w:r w:rsidR="00A83F0E">
        <w:rPr>
          <w:rFonts w:hint="cs"/>
          <w:rtl/>
          <w:lang w:bidi="fa-IR"/>
        </w:rPr>
        <w:t>ُ</w:t>
      </w:r>
      <w:r>
        <w:rPr>
          <w:rtl/>
          <w:lang w:bidi="fa-IR"/>
        </w:rPr>
        <w:t xml:space="preserve">بُهَّةُ : العظمة ، والكبر ، والبهاء. راجع : </w:t>
      </w:r>
      <w:r w:rsidRPr="00877682">
        <w:rPr>
          <w:rStyle w:val="libFootnoteBoldChar"/>
          <w:rtl/>
        </w:rPr>
        <w:t>لسان العرب</w:t>
      </w:r>
      <w:r>
        <w:rPr>
          <w:rtl/>
          <w:lang w:bidi="fa-IR"/>
        </w:rPr>
        <w:t xml:space="preserve"> ، ج 13 ، ص 466 ( أبه ).</w:t>
      </w:r>
    </w:p>
    <w:p w:rsidR="00744A1C" w:rsidRDefault="00744A1C" w:rsidP="00A83F0E">
      <w:pPr>
        <w:pStyle w:val="libFootnote0"/>
        <w:rPr>
          <w:lang w:bidi="fa-IR"/>
        </w:rPr>
      </w:pPr>
      <w:r>
        <w:rPr>
          <w:rtl/>
          <w:lang w:bidi="fa-IR"/>
        </w:rPr>
        <w:t xml:space="preserve">(17) « الزَّهوُ » : العظمة ، والكبر ، والباطل ، والكذب ، والظلم ، والاستخفاف. راجع : </w:t>
      </w:r>
      <w:r w:rsidRPr="00877682">
        <w:rPr>
          <w:rStyle w:val="libFootnoteBoldChar"/>
          <w:rtl/>
        </w:rPr>
        <w:t>لسان العرب</w:t>
      </w:r>
      <w:r>
        <w:rPr>
          <w:rtl/>
          <w:lang w:bidi="fa-IR"/>
        </w:rPr>
        <w:t xml:space="preserve"> ، ج 14 ، ص 360 ( زهو ).</w:t>
      </w:r>
      <w:r w:rsidR="00A83F0E">
        <w:rPr>
          <w:rFonts w:hint="cs"/>
          <w:rtl/>
          <w:lang w:bidi="fa-IR"/>
        </w:rPr>
        <w:t xml:space="preserve">                                </w:t>
      </w:r>
      <w:r>
        <w:rPr>
          <w:rtl/>
          <w:lang w:bidi="fa-IR"/>
        </w:rPr>
        <w:t>(18) في « جت » : « للرجال ».</w:t>
      </w:r>
    </w:p>
    <w:p w:rsidR="00144FA6" w:rsidRDefault="00744A1C" w:rsidP="00D10E3C">
      <w:pPr>
        <w:pStyle w:val="libFootnote0"/>
        <w:rPr>
          <w:rtl/>
          <w:lang w:bidi="fa-IR"/>
        </w:rPr>
      </w:pPr>
      <w:r>
        <w:rPr>
          <w:rtl/>
          <w:lang w:bidi="fa-IR"/>
        </w:rPr>
        <w:t>(19) في « بخ ، بف » و</w:t>
      </w:r>
      <w:r w:rsidRPr="00C24F9C">
        <w:rPr>
          <w:rStyle w:val="libFootnoteBoldChar"/>
          <w:rtl/>
        </w:rPr>
        <w:t>الوافي</w:t>
      </w:r>
      <w:r>
        <w:rPr>
          <w:rtl/>
          <w:lang w:bidi="fa-IR"/>
        </w:rPr>
        <w:t xml:space="preserve"> : « وجلون خائفون ». والوَجِل - بكسر الجيم - : ا</w:t>
      </w:r>
      <w:r w:rsidR="00A66A9F">
        <w:rPr>
          <w:rtl/>
          <w:lang w:bidi="fa-IR"/>
        </w:rPr>
        <w:t>لخائف. راجع</w:t>
      </w:r>
      <w:r>
        <w:rPr>
          <w:rtl/>
          <w:lang w:bidi="fa-IR"/>
        </w:rPr>
        <w:t>:</w:t>
      </w:r>
      <w:r w:rsidRPr="00877682">
        <w:rPr>
          <w:rStyle w:val="libFootnoteBoldChar"/>
          <w:rtl/>
        </w:rPr>
        <w:t>لسان العرب</w:t>
      </w:r>
      <w:r>
        <w:rPr>
          <w:rtl/>
          <w:lang w:bidi="fa-IR"/>
        </w:rPr>
        <w:t xml:space="preserve"> ،</w:t>
      </w:r>
      <w:r w:rsidR="00A66A9F">
        <w:rPr>
          <w:rFonts w:hint="cs"/>
          <w:rtl/>
          <w:lang w:bidi="fa-IR"/>
        </w:rPr>
        <w:t>=</w:t>
      </w:r>
    </w:p>
    <w:p w:rsidR="006A5060" w:rsidRDefault="006A5060" w:rsidP="00D10E3C">
      <w:pPr>
        <w:pStyle w:val="libNormal"/>
        <w:rPr>
          <w:rtl/>
          <w:lang w:bidi="fa-IR"/>
        </w:rPr>
      </w:pPr>
      <w:r>
        <w:rPr>
          <w:rtl/>
          <w:lang w:bidi="fa-IR"/>
        </w:rPr>
        <w:br w:type="page"/>
      </w:r>
    </w:p>
    <w:p w:rsidR="00144FA6" w:rsidRDefault="00744A1C" w:rsidP="00097FD0">
      <w:pPr>
        <w:pStyle w:val="libNormal0"/>
        <w:rPr>
          <w:rtl/>
          <w:lang w:bidi="fa-IR"/>
        </w:rPr>
      </w:pPr>
      <w:r>
        <w:rPr>
          <w:rtl/>
          <w:lang w:bidi="fa-IR"/>
        </w:rPr>
        <w:t xml:space="preserve">مِنْهُمْ ». </w:t>
      </w:r>
      <w:r w:rsidRPr="00D10E3C">
        <w:rPr>
          <w:rStyle w:val="libFootnotenumChar"/>
          <w:rtl/>
        </w:rPr>
        <w:t>(1)</w:t>
      </w:r>
    </w:p>
    <w:p w:rsidR="00144FA6" w:rsidRDefault="00744A1C" w:rsidP="00744A1C">
      <w:pPr>
        <w:pStyle w:val="libNormal"/>
        <w:rPr>
          <w:rtl/>
          <w:lang w:bidi="fa-IR"/>
        </w:rPr>
      </w:pPr>
      <w:r>
        <w:rPr>
          <w:rtl/>
          <w:lang w:bidi="fa-IR"/>
        </w:rPr>
        <w:t>8409 / 10. عِدَّةٌ مِنْ أَصْحَابِنَا ، عَنْ أَحْمَدَ بْنِ مُحَمَّدِ بْنِ عِيسى ، عَنْ عَلِيِّ بْنِ الْحَكَمِ ، عَنْ رَبِيعِ بْنِ مُحَمَّدٍ الْمُسْلِيِّ ، عَنْ عَبْدِ اللهِ بْنِ سُلَيْمَانَ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إِنَّ اللهَ تَعَالى وَسَّعَ فِي أَرْزَاقِ الْحَمْقى </w:t>
      </w:r>
      <w:r w:rsidRPr="00D10E3C">
        <w:rPr>
          <w:rStyle w:val="libFootnotenumChar"/>
          <w:rtl/>
        </w:rPr>
        <w:t>(2)</w:t>
      </w:r>
      <w:r>
        <w:rPr>
          <w:rtl/>
          <w:lang w:bidi="fa-IR"/>
        </w:rPr>
        <w:t xml:space="preserve"> لِيَعْتَبِرَ الْعُقَلَاءُ ، وَيَعْلَمُوا أَنَّ الدُّنْيَا لَيْسَ يُنَالُ مَا فِيهَا بِعَمَلٍ وَلَا حِيلَةٍ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 xml:space="preserve">8410 / 11. أَحْمَدُ بْنُ مُحَمَّدٍ </w:t>
      </w:r>
      <w:r w:rsidRPr="00D10E3C">
        <w:rPr>
          <w:rStyle w:val="libFootnotenumChar"/>
          <w:rtl/>
        </w:rPr>
        <w:t>(5)</w:t>
      </w:r>
      <w:r>
        <w:rPr>
          <w:rtl/>
          <w:lang w:bidi="fa-IR"/>
        </w:rPr>
        <w:t xml:space="preserve"> ، عَنْ عَلِيِّ بْنِ النُّعْمَانِ ، عَنْ عَمْرِو بْنِ شِمْرٍ ، عَنْ جَابِرٍ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17097C" w:rsidRPr="0017097C">
        <w:rPr>
          <w:rStyle w:val="libAlaemChar"/>
          <w:rtl/>
        </w:rPr>
        <w:t>صلى‌الله‌عليه‌وآله</w:t>
      </w:r>
      <w:r w:rsidR="00D10E3C">
        <w:rPr>
          <w:rtl/>
          <w:lang w:bidi="fa-IR"/>
        </w:rPr>
        <w:t xml:space="preserve"> </w:t>
      </w:r>
      <w:r>
        <w:rPr>
          <w:rtl/>
          <w:lang w:bidi="fa-IR"/>
        </w:rPr>
        <w:t xml:space="preserve">: أَيُّهَا النَّاسُ </w:t>
      </w:r>
      <w:r w:rsidRPr="00D10E3C">
        <w:rPr>
          <w:rStyle w:val="libFootnotenumChar"/>
          <w:rtl/>
        </w:rPr>
        <w:t>(6)</w:t>
      </w:r>
      <w:r>
        <w:rPr>
          <w:rtl/>
          <w:lang w:bidi="fa-IR"/>
        </w:rPr>
        <w:t xml:space="preserve"> ، إِنِّي لَمْ أَدَعْ شَيْئاً يُقَرِّبُكُمْ إِلَى الْجَنَّةِ وَيُبَاعِدُكُمْ</w:t>
      </w:r>
      <w:r w:rsidR="00097FD0">
        <w:rPr>
          <w:rtl/>
          <w:lang w:bidi="fa-IR"/>
        </w:rPr>
        <w:t xml:space="preserve"> مِنَ النَّارِ إِل</w:t>
      </w:r>
      <w:r w:rsidR="00097FD0">
        <w:rPr>
          <w:rFonts w:hint="cs"/>
          <w:rtl/>
          <w:lang w:bidi="fa-IR"/>
        </w:rPr>
        <w:t>َّ</w:t>
      </w:r>
      <w:r w:rsidR="00097FD0">
        <w:rPr>
          <w:rtl/>
          <w:lang w:bidi="fa-IR"/>
        </w:rPr>
        <w:t>ا</w:t>
      </w:r>
      <w:r>
        <w:rPr>
          <w:rtl/>
          <w:lang w:bidi="fa-IR"/>
        </w:rPr>
        <w:t xml:space="preserve"> وَقَدْ </w:t>
      </w:r>
      <w:r w:rsidRPr="00D10E3C">
        <w:rPr>
          <w:rStyle w:val="libFootnotenumChar"/>
          <w:rtl/>
        </w:rPr>
        <w:t>(7)</w:t>
      </w:r>
      <w:r>
        <w:rPr>
          <w:rtl/>
          <w:lang w:bidi="fa-IR"/>
        </w:rPr>
        <w:t xml:space="preserve"> نَبَّأْتُكُمْ </w:t>
      </w:r>
      <w:r w:rsidRPr="00D10E3C">
        <w:rPr>
          <w:rStyle w:val="libFootnotenumChar"/>
          <w:rtl/>
        </w:rPr>
        <w:t>(8)</w:t>
      </w:r>
      <w:r>
        <w:rPr>
          <w:rtl/>
          <w:lang w:bidi="fa-IR"/>
        </w:rPr>
        <w:t xml:space="preserve"> بِهِ ، أَلَا وَإِنَّ رُوحَ الْقُدُسِ </w:t>
      </w:r>
      <w:r w:rsidRPr="00D10E3C">
        <w:rPr>
          <w:rStyle w:val="libFootnotenumChar"/>
          <w:rtl/>
        </w:rPr>
        <w:t>(9)</w:t>
      </w:r>
      <w:r>
        <w:rPr>
          <w:rtl/>
          <w:lang w:bidi="fa-IR"/>
        </w:rPr>
        <w:t xml:space="preserve"> نَفَثَ‌</w:t>
      </w:r>
    </w:p>
    <w:p w:rsidR="00744A1C" w:rsidRDefault="00744A1C" w:rsidP="00D10E3C">
      <w:pPr>
        <w:pStyle w:val="libLine"/>
        <w:rPr>
          <w:lang w:bidi="fa-IR"/>
        </w:rPr>
      </w:pPr>
      <w:r>
        <w:rPr>
          <w:rtl/>
          <w:lang w:bidi="fa-IR"/>
        </w:rPr>
        <w:t>____________________</w:t>
      </w:r>
    </w:p>
    <w:p w:rsidR="00744A1C" w:rsidRDefault="00D775AF" w:rsidP="00D10E3C">
      <w:pPr>
        <w:pStyle w:val="libFootnote0"/>
        <w:rPr>
          <w:lang w:bidi="fa-IR"/>
        </w:rPr>
      </w:pPr>
      <w:r>
        <w:rPr>
          <w:rFonts w:hint="cs"/>
          <w:rtl/>
          <w:lang w:bidi="fa-IR"/>
        </w:rPr>
        <w:t xml:space="preserve">= </w:t>
      </w:r>
      <w:r w:rsidR="00744A1C">
        <w:rPr>
          <w:rtl/>
          <w:lang w:bidi="fa-IR"/>
        </w:rPr>
        <w:t>ج 11 ، ص 722 ( وجل ).</w:t>
      </w:r>
    </w:p>
    <w:p w:rsidR="00744A1C" w:rsidRDefault="00D10E3C" w:rsidP="00D10E3C">
      <w:pPr>
        <w:pStyle w:val="libFootnote0"/>
        <w:rPr>
          <w:lang w:bidi="fa-IR"/>
        </w:rPr>
      </w:pPr>
      <w:r>
        <w:rPr>
          <w:rtl/>
          <w:lang w:bidi="fa-IR"/>
        </w:rPr>
        <w:t>(1).</w:t>
      </w:r>
      <w:r w:rsidR="00744A1C">
        <w:rPr>
          <w:rtl/>
          <w:lang w:bidi="fa-IR"/>
        </w:rPr>
        <w:t xml:space="preserve"> </w:t>
      </w:r>
      <w:r w:rsidR="00744A1C" w:rsidRPr="0061079A">
        <w:rPr>
          <w:rStyle w:val="libFootnoteBoldChar"/>
          <w:rtl/>
        </w:rPr>
        <w:t>الكافي</w:t>
      </w:r>
      <w:r w:rsidR="00744A1C">
        <w:rPr>
          <w:rtl/>
          <w:lang w:bidi="fa-IR"/>
        </w:rPr>
        <w:t xml:space="preserve"> ، كتاب النكاح ، باب ما يستحبّ من تزويج النساء عند بلوغهنّ ... ، ح 9498 ، وتمام الرواية فيه : « إنّ السباع همّها بطونها وإنّ النساء همّهنّ الرجال ». </w:t>
      </w:r>
      <w:r w:rsidR="00744A1C" w:rsidRPr="00C24F9C">
        <w:rPr>
          <w:rStyle w:val="libFootnoteBoldChar"/>
          <w:rtl/>
        </w:rPr>
        <w:t>التهذيب</w:t>
      </w:r>
      <w:r w:rsidR="00744A1C">
        <w:rPr>
          <w:rtl/>
          <w:lang w:bidi="fa-IR"/>
        </w:rPr>
        <w:t xml:space="preserve"> ، ج 6 ، ص 322 ، ح 883 ، معلّقاً عن الكليني ، إلى قوله : « والمتجبّر المختال وصاحب الا</w:t>
      </w:r>
      <w:r w:rsidR="00D775AF">
        <w:rPr>
          <w:rFonts w:hint="cs"/>
          <w:rtl/>
          <w:lang w:bidi="fa-IR"/>
        </w:rPr>
        <w:t>ُ</w:t>
      </w:r>
      <w:r w:rsidR="00744A1C">
        <w:rPr>
          <w:rtl/>
          <w:lang w:bidi="fa-IR"/>
        </w:rPr>
        <w:t xml:space="preserve">بّهة ». </w:t>
      </w:r>
      <w:r w:rsidR="00744A1C" w:rsidRPr="000B1C3F">
        <w:rPr>
          <w:rStyle w:val="libFootnoteBoldChar"/>
          <w:rtl/>
        </w:rPr>
        <w:t>الأمالي للطوسي</w:t>
      </w:r>
      <w:r w:rsidR="00744A1C">
        <w:rPr>
          <w:rtl/>
          <w:lang w:bidi="fa-IR"/>
        </w:rPr>
        <w:t xml:space="preserve"> ، ص 163 ، المجلس 6 ، ح 23 ، بسند آخر ، مع اختلاف يسير وزيادة في آخره. </w:t>
      </w:r>
      <w:r w:rsidR="00744A1C" w:rsidRPr="00D775AF">
        <w:rPr>
          <w:rStyle w:val="libFootnoteBoldChar"/>
          <w:rtl/>
        </w:rPr>
        <w:t>نهج البلاغة</w:t>
      </w:r>
      <w:r w:rsidR="00744A1C">
        <w:rPr>
          <w:rtl/>
          <w:lang w:bidi="fa-IR"/>
        </w:rPr>
        <w:t xml:space="preserve"> ، ص 523 ، الحكمة 273 ، مع اختلاف يسير وفي الأخيرين إلى قوله : « وقصّر من عجلتك ». </w:t>
      </w:r>
      <w:r w:rsidR="00744A1C" w:rsidRPr="00D775AF">
        <w:rPr>
          <w:rStyle w:val="libFootnoteBoldChar"/>
          <w:rtl/>
        </w:rPr>
        <w:t>نهج البلاغة</w:t>
      </w:r>
      <w:r w:rsidR="00744A1C">
        <w:rPr>
          <w:rtl/>
          <w:lang w:bidi="fa-IR"/>
        </w:rPr>
        <w:t xml:space="preserve"> ، ص 214 ، ذيل الخطبة 153 ، من قوله : « ومن عزائم الله في الذكر الحكيم » مع اختلاف. </w:t>
      </w:r>
      <w:r w:rsidR="00744A1C" w:rsidRPr="007D61A8">
        <w:rPr>
          <w:rStyle w:val="libFootnoteBoldChar"/>
          <w:rtl/>
        </w:rPr>
        <w:t>تحف العقول</w:t>
      </w:r>
      <w:r w:rsidR="00744A1C">
        <w:rPr>
          <w:rtl/>
          <w:lang w:bidi="fa-IR"/>
        </w:rPr>
        <w:t xml:space="preserve"> ، ص 154 ، عن أمير المؤمنين </w:t>
      </w:r>
      <w:r w:rsidR="0061079A" w:rsidRPr="0061079A">
        <w:rPr>
          <w:rStyle w:val="libFootnoteAlaemChar"/>
          <w:rtl/>
        </w:rPr>
        <w:t>عليه‌السلام</w:t>
      </w:r>
      <w:r>
        <w:rPr>
          <w:rtl/>
          <w:lang w:bidi="fa-IR"/>
        </w:rPr>
        <w:t xml:space="preserve"> </w:t>
      </w:r>
      <w:r w:rsidR="00744A1C">
        <w:rPr>
          <w:rtl/>
          <w:lang w:bidi="fa-IR"/>
        </w:rPr>
        <w:t xml:space="preserve">، مع زيادة </w:t>
      </w:r>
      <w:r w:rsidR="00D775AF">
        <w:rPr>
          <w:rFonts w:hint="cs"/>
          <w:rtl/>
          <w:lang w:bidi="fa-IR"/>
        </w:rPr>
        <w:t>.</w:t>
      </w:r>
      <w:r w:rsidR="00744A1C" w:rsidRPr="00C24F9C">
        <w:rPr>
          <w:rStyle w:val="libFootnoteBoldChar"/>
          <w:rtl/>
        </w:rPr>
        <w:t>الوافي</w:t>
      </w:r>
      <w:r w:rsidR="00744A1C">
        <w:rPr>
          <w:rtl/>
          <w:lang w:bidi="fa-IR"/>
        </w:rPr>
        <w:t xml:space="preserve"> ، ج 17 ، ص 54 ، ح 16849 ؛ </w:t>
      </w:r>
      <w:r w:rsidR="00744A1C" w:rsidRPr="00C24F9C">
        <w:rPr>
          <w:rStyle w:val="libFootnoteBoldChar"/>
          <w:rtl/>
        </w:rPr>
        <w:t>الوسائل</w:t>
      </w:r>
      <w:r w:rsidR="00744A1C">
        <w:rPr>
          <w:rtl/>
          <w:lang w:bidi="fa-IR"/>
        </w:rPr>
        <w:t xml:space="preserve"> ، ج 17 ، ص 49 ، ح 21951.</w:t>
      </w:r>
    </w:p>
    <w:p w:rsidR="00744A1C" w:rsidRDefault="00E378DD" w:rsidP="00E378DD">
      <w:pPr>
        <w:pStyle w:val="libFootnote0"/>
        <w:rPr>
          <w:lang w:bidi="fa-IR"/>
        </w:rPr>
      </w:pPr>
      <w:r>
        <w:rPr>
          <w:rtl/>
          <w:lang w:bidi="fa-IR"/>
        </w:rPr>
        <w:t>(2).</w:t>
      </w:r>
      <w:r w:rsidR="00744A1C">
        <w:rPr>
          <w:rtl/>
          <w:lang w:bidi="fa-IR"/>
        </w:rPr>
        <w:t xml:space="preserve"> هكذا في « ط ، ى ، بح ، بخ ، بف ، جد ». وفي المطبوع : « الحمقاء ».</w:t>
      </w:r>
    </w:p>
    <w:p w:rsidR="00744A1C" w:rsidRDefault="00E378DD" w:rsidP="00E378DD">
      <w:pPr>
        <w:pStyle w:val="libFootnote0"/>
        <w:rPr>
          <w:lang w:bidi="fa-IR"/>
        </w:rPr>
      </w:pPr>
      <w:r>
        <w:rPr>
          <w:rtl/>
          <w:lang w:bidi="fa-IR"/>
        </w:rPr>
        <w:t>(3).</w:t>
      </w:r>
      <w:r w:rsidR="00744A1C">
        <w:rPr>
          <w:rtl/>
          <w:lang w:bidi="fa-IR"/>
        </w:rPr>
        <w:t xml:space="preserve"> في العلل : « لا تنال بالعقل ولا بالحيلة » بدل « ليس ينال ما فيها بعمل ولا حيلة ».</w:t>
      </w:r>
    </w:p>
    <w:p w:rsidR="00744A1C" w:rsidRDefault="00E378DD" w:rsidP="00E378DD">
      <w:pPr>
        <w:pStyle w:val="libFootnote0"/>
        <w:rPr>
          <w:lang w:bidi="fa-IR"/>
        </w:rPr>
      </w:pPr>
      <w:r>
        <w:rPr>
          <w:rtl/>
          <w:lang w:bidi="fa-IR"/>
        </w:rPr>
        <w:t>(4).</w:t>
      </w:r>
      <w:r w:rsidR="00744A1C">
        <w:rPr>
          <w:rtl/>
          <w:lang w:bidi="fa-IR"/>
        </w:rPr>
        <w:t xml:space="preserve"> </w:t>
      </w:r>
      <w:r w:rsidR="00744A1C" w:rsidRPr="003A7143">
        <w:rPr>
          <w:rStyle w:val="libFootnoteBoldChar"/>
          <w:rtl/>
        </w:rPr>
        <w:t>علل الشرائع</w:t>
      </w:r>
      <w:r w:rsidR="00744A1C">
        <w:rPr>
          <w:rtl/>
          <w:lang w:bidi="fa-IR"/>
        </w:rPr>
        <w:t xml:space="preserve"> ، ص 92 ، ح 1 ، عن أبيه ، عن محمّد بن يحيى العطّار ، عن أحمد بن محمّد بن عيسى. </w:t>
      </w:r>
      <w:r w:rsidR="00744A1C" w:rsidRPr="00C24F9C">
        <w:rPr>
          <w:rStyle w:val="libFootnoteBoldChar"/>
          <w:rtl/>
        </w:rPr>
        <w:t>التهذيب</w:t>
      </w:r>
      <w:r w:rsidR="00744A1C">
        <w:rPr>
          <w:rtl/>
          <w:lang w:bidi="fa-IR"/>
        </w:rPr>
        <w:t xml:space="preserve"> ، ج 6 ، ص 322 ، ح 884 ، معلّقاً عن أحمد بن محمّد بن عيسى </w:t>
      </w:r>
      <w:r w:rsidR="00D775AF">
        <w:rPr>
          <w:rFonts w:hint="cs"/>
          <w:rtl/>
          <w:lang w:bidi="fa-IR"/>
        </w:rPr>
        <w:t>.</w:t>
      </w:r>
      <w:r w:rsidR="00744A1C" w:rsidRPr="00C24F9C">
        <w:rPr>
          <w:rStyle w:val="libFootnoteBoldChar"/>
          <w:rtl/>
        </w:rPr>
        <w:t>الوافي</w:t>
      </w:r>
      <w:r w:rsidR="00744A1C">
        <w:rPr>
          <w:rtl/>
          <w:lang w:bidi="fa-IR"/>
        </w:rPr>
        <w:t xml:space="preserve"> ، ج 17 ، ص 55 ، ح 16851 ؛ </w:t>
      </w:r>
      <w:r w:rsidR="00744A1C" w:rsidRPr="00C24F9C">
        <w:rPr>
          <w:rStyle w:val="libFootnoteBoldChar"/>
          <w:rtl/>
        </w:rPr>
        <w:t>الوسائل</w:t>
      </w:r>
      <w:r w:rsidR="00744A1C">
        <w:rPr>
          <w:rtl/>
          <w:lang w:bidi="fa-IR"/>
        </w:rPr>
        <w:t xml:space="preserve"> ، ج 17 ، ص 48 ، ح 21948.</w:t>
      </w:r>
    </w:p>
    <w:p w:rsidR="00744A1C" w:rsidRDefault="00E378DD" w:rsidP="00E378DD">
      <w:pPr>
        <w:pStyle w:val="libFootnote0"/>
        <w:rPr>
          <w:lang w:bidi="fa-IR"/>
        </w:rPr>
      </w:pPr>
      <w:r>
        <w:rPr>
          <w:rtl/>
          <w:lang w:bidi="fa-IR"/>
        </w:rPr>
        <w:t>(5).</w:t>
      </w:r>
      <w:r w:rsidR="00744A1C">
        <w:rPr>
          <w:rtl/>
          <w:lang w:bidi="fa-IR"/>
        </w:rPr>
        <w:t xml:space="preserve"> السند معلّق على سابقه. ويروي عن أحمد بن محمّد ، عدّة من أصحابنا.</w:t>
      </w:r>
    </w:p>
    <w:p w:rsidR="00744A1C" w:rsidRDefault="00E378DD" w:rsidP="00E378DD">
      <w:pPr>
        <w:pStyle w:val="libFootnote0"/>
        <w:rPr>
          <w:lang w:bidi="fa-IR"/>
        </w:rPr>
      </w:pPr>
      <w:r>
        <w:rPr>
          <w:rtl/>
          <w:lang w:bidi="fa-IR"/>
        </w:rPr>
        <w:t>(6).</w:t>
      </w:r>
      <w:r w:rsidR="00744A1C">
        <w:rPr>
          <w:rtl/>
          <w:lang w:bidi="fa-IR"/>
        </w:rPr>
        <w:t xml:space="preserve"> في « بح » : - « أيّها الناس ».</w:t>
      </w:r>
    </w:p>
    <w:p w:rsidR="00744A1C" w:rsidRDefault="00E378DD" w:rsidP="00E378DD">
      <w:pPr>
        <w:pStyle w:val="libFootnote0"/>
        <w:rPr>
          <w:lang w:bidi="fa-IR"/>
        </w:rPr>
      </w:pPr>
      <w:r>
        <w:rPr>
          <w:rtl/>
          <w:lang w:bidi="fa-IR"/>
        </w:rPr>
        <w:t>(7).</w:t>
      </w:r>
      <w:r w:rsidR="00744A1C">
        <w:rPr>
          <w:rtl/>
          <w:lang w:bidi="fa-IR"/>
        </w:rPr>
        <w:t xml:space="preserve"> في « ط ، بح ، جن » : « قد » بدون الواو.</w:t>
      </w:r>
    </w:p>
    <w:p w:rsidR="00744A1C" w:rsidRDefault="00E378DD" w:rsidP="00E378DD">
      <w:pPr>
        <w:pStyle w:val="libFootnote0"/>
        <w:rPr>
          <w:lang w:bidi="fa-IR"/>
        </w:rPr>
      </w:pPr>
      <w:r>
        <w:rPr>
          <w:rtl/>
          <w:lang w:bidi="fa-IR"/>
        </w:rPr>
        <w:t>(8).</w:t>
      </w:r>
      <w:r w:rsidR="00744A1C">
        <w:rPr>
          <w:rtl/>
          <w:lang w:bidi="fa-IR"/>
        </w:rPr>
        <w:t xml:space="preserve"> في « بخ ، جت » : « أنبأتكم ».</w:t>
      </w:r>
    </w:p>
    <w:p w:rsidR="00744A1C" w:rsidRDefault="00E378DD" w:rsidP="00E378DD">
      <w:pPr>
        <w:pStyle w:val="libFootnote0"/>
        <w:rPr>
          <w:lang w:bidi="fa-IR"/>
        </w:rPr>
      </w:pPr>
      <w:r>
        <w:rPr>
          <w:rtl/>
          <w:lang w:bidi="fa-IR"/>
        </w:rPr>
        <w:t>(9).</w:t>
      </w:r>
      <w:r w:rsidR="00744A1C">
        <w:rPr>
          <w:rtl/>
          <w:lang w:bidi="fa-IR"/>
        </w:rPr>
        <w:t xml:space="preserve"> هكذا في جميع النسخ التي قوبلت </w:t>
      </w:r>
      <w:r w:rsidR="00744A1C" w:rsidRPr="00D775AF">
        <w:rPr>
          <w:rtl/>
        </w:rPr>
        <w:t>والوافي والكافي</w:t>
      </w:r>
      <w:r w:rsidR="00744A1C">
        <w:rPr>
          <w:rtl/>
          <w:lang w:bidi="fa-IR"/>
        </w:rPr>
        <w:t xml:space="preserve"> ، ح 8372. وفي المطبوع : + « [ قد ] ».</w:t>
      </w:r>
    </w:p>
    <w:p w:rsidR="006A5060" w:rsidRDefault="006A5060" w:rsidP="00D10E3C">
      <w:pPr>
        <w:pStyle w:val="libNormal"/>
        <w:rPr>
          <w:rtl/>
          <w:lang w:bidi="fa-IR"/>
        </w:rPr>
      </w:pPr>
      <w:r>
        <w:rPr>
          <w:rtl/>
          <w:lang w:bidi="fa-IR"/>
        </w:rPr>
        <w:br w:type="page"/>
      </w:r>
    </w:p>
    <w:p w:rsidR="00144FA6" w:rsidRDefault="00744A1C" w:rsidP="005D2B3B">
      <w:pPr>
        <w:pStyle w:val="libNormal0"/>
        <w:rPr>
          <w:rtl/>
          <w:lang w:bidi="fa-IR"/>
        </w:rPr>
      </w:pPr>
      <w:r>
        <w:rPr>
          <w:rtl/>
          <w:lang w:bidi="fa-IR"/>
        </w:rPr>
        <w:t xml:space="preserve">فِي رُوعِي ، وَأَخْبَرَنِي أَنَّهُ </w:t>
      </w:r>
      <w:r w:rsidRPr="00D10E3C">
        <w:rPr>
          <w:rStyle w:val="libFootnotenumChar"/>
          <w:rtl/>
        </w:rPr>
        <w:t>(1)</w:t>
      </w:r>
      <w:r>
        <w:rPr>
          <w:rtl/>
          <w:lang w:bidi="fa-IR"/>
        </w:rPr>
        <w:t xml:space="preserve"> لَاتَمُوتُ </w:t>
      </w:r>
      <w:r w:rsidRPr="00D10E3C">
        <w:rPr>
          <w:rStyle w:val="libFootnotenumChar"/>
          <w:rtl/>
        </w:rPr>
        <w:t>(2)</w:t>
      </w:r>
      <w:r>
        <w:rPr>
          <w:rtl/>
          <w:lang w:bidi="fa-IR"/>
        </w:rPr>
        <w:t xml:space="preserve"> نَفْسٌ حَتّى تَسْتَكْمِلَ رِزْقَهَا ؛ فَاتَّقُوا اللهَ عَزَّ وَجَلَّ ، وَأَجْمِلُوا فِي الطَّلَبِ ، وَلَا يَحْمِلَنَّكُمُ اسْتِبْطَاءُ شَيْ‌ءٍ مِنَ الرِّزْقِ أَنْ تَطْلُبُوهُ بِمَعْصِيَةِ اللهِ عَزَّ وَجَلَّ </w:t>
      </w:r>
      <w:r w:rsidRPr="00D10E3C">
        <w:rPr>
          <w:rStyle w:val="libFootnotenumChar"/>
          <w:rtl/>
        </w:rPr>
        <w:t>(3)</w:t>
      </w:r>
      <w:r>
        <w:rPr>
          <w:rtl/>
          <w:lang w:bidi="fa-IR"/>
        </w:rPr>
        <w:t xml:space="preserve"> ؛ فَإِنَّهُ لَايُنَالُ مَا ع</w:t>
      </w:r>
      <w:r w:rsidR="00D775AF">
        <w:rPr>
          <w:rtl/>
          <w:lang w:bidi="fa-IR"/>
        </w:rPr>
        <w:t>ِنْدَ اللهِ جَلَّ اسْمُهُ إِل</w:t>
      </w:r>
      <w:r w:rsidR="00D775AF">
        <w:rPr>
          <w:rFonts w:hint="cs"/>
          <w:rtl/>
          <w:lang w:bidi="fa-IR"/>
        </w:rPr>
        <w:t>َّ</w:t>
      </w:r>
      <w:r w:rsidR="00D775AF">
        <w:rPr>
          <w:rtl/>
          <w:lang w:bidi="fa-IR"/>
        </w:rPr>
        <w:t>ا</w:t>
      </w:r>
      <w:r>
        <w:rPr>
          <w:rtl/>
          <w:lang w:bidi="fa-IR"/>
        </w:rPr>
        <w:t xml:space="preserve"> بِطَاعَتِهِ </w:t>
      </w:r>
      <w:r w:rsidRPr="00D10E3C">
        <w:rPr>
          <w:rStyle w:val="libFootnotenumChar"/>
          <w:rtl/>
        </w:rPr>
        <w:t>(4)</w:t>
      </w:r>
      <w:r>
        <w:rPr>
          <w:rtl/>
          <w:lang w:bidi="fa-IR"/>
        </w:rPr>
        <w:t xml:space="preserve"> ». </w:t>
      </w:r>
      <w:r w:rsidRPr="00D10E3C">
        <w:rPr>
          <w:rStyle w:val="libFootnotenumChar"/>
          <w:rtl/>
        </w:rPr>
        <w:t>(5)</w:t>
      </w:r>
    </w:p>
    <w:p w:rsidR="00744A1C" w:rsidRDefault="00744A1C" w:rsidP="00974AF6">
      <w:pPr>
        <w:pStyle w:val="Heading2Center"/>
        <w:rPr>
          <w:lang w:bidi="fa-IR"/>
        </w:rPr>
      </w:pPr>
      <w:bookmarkStart w:id="131" w:name="_Toc49261429"/>
      <w:r>
        <w:rPr>
          <w:rtl/>
          <w:lang w:bidi="fa-IR"/>
        </w:rPr>
        <w:t>8 - بَابُ الرِّزْقِ مِنْ حَيْثُ لَايُحْتَسَبُ‌</w:t>
      </w:r>
      <w:bookmarkEnd w:id="131"/>
    </w:p>
    <w:p w:rsidR="00144FA6" w:rsidRDefault="00744A1C" w:rsidP="00744A1C">
      <w:pPr>
        <w:pStyle w:val="libNormal"/>
        <w:rPr>
          <w:rtl/>
          <w:lang w:bidi="fa-IR"/>
        </w:rPr>
      </w:pPr>
      <w:r>
        <w:rPr>
          <w:rtl/>
          <w:lang w:bidi="fa-IR"/>
        </w:rPr>
        <w:t xml:space="preserve">8411 / 1. عَلِيُّ بْنُ إِبْرَاهِيمَ ، عَنْ أَبِيهِ ، عَنِ ابْنِ أَبِي عُمَيْرٍ ، عَنْ أَبِي أَيُّوبَ الْخَرَّازِ </w:t>
      </w:r>
      <w:r w:rsidRPr="00D10E3C">
        <w:rPr>
          <w:rStyle w:val="libFootnotenumChar"/>
          <w:rtl/>
        </w:rPr>
        <w:t>(6)</w:t>
      </w:r>
      <w:r>
        <w:rPr>
          <w:rtl/>
          <w:lang w:bidi="fa-IR"/>
        </w:rPr>
        <w:t xml:space="preserve"> ، عَنْ مُحَمَّدِ بْنِ مُسْلِمٍ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 أَبَ</w:t>
      </w:r>
      <w:r w:rsidR="00974AF6">
        <w:rPr>
          <w:rtl/>
          <w:lang w:bidi="fa-IR"/>
        </w:rPr>
        <w:t>ى اللهُ - عَزَّ وَجَلَّ - إِل</w:t>
      </w:r>
      <w:r w:rsidR="00974AF6">
        <w:rPr>
          <w:rFonts w:hint="cs"/>
          <w:rtl/>
          <w:lang w:bidi="fa-IR"/>
        </w:rPr>
        <w:t>َّ</w:t>
      </w:r>
      <w:r w:rsidR="00974AF6">
        <w:rPr>
          <w:rtl/>
          <w:lang w:bidi="fa-IR"/>
        </w:rPr>
        <w:t>ا</w:t>
      </w:r>
      <w:r>
        <w:rPr>
          <w:rtl/>
          <w:lang w:bidi="fa-IR"/>
        </w:rPr>
        <w:t xml:space="preserve"> أَنْ يَجْعَلَ أَرْزَاقَ الْمُؤْمِنِينَ </w:t>
      </w:r>
      <w:r w:rsidRPr="00D10E3C">
        <w:rPr>
          <w:rStyle w:val="libFootnotenumChar"/>
          <w:rtl/>
        </w:rPr>
        <w:t>(7)</w:t>
      </w:r>
      <w:r>
        <w:rPr>
          <w:rtl/>
          <w:lang w:bidi="fa-IR"/>
        </w:rPr>
        <w:t xml:space="preserve"> مِنْ حَيْثُ لَايَحْتَسِبُونَ </w:t>
      </w:r>
      <w:r w:rsidRPr="00D10E3C">
        <w:rPr>
          <w:rStyle w:val="libFootnotenumChar"/>
          <w:rtl/>
        </w:rPr>
        <w:t>(8)</w:t>
      </w:r>
      <w:r>
        <w:rPr>
          <w:rtl/>
          <w:lang w:bidi="fa-IR"/>
        </w:rPr>
        <w:t xml:space="preserve"> ». </w:t>
      </w:r>
      <w:r w:rsidRPr="00D10E3C">
        <w:rPr>
          <w:rStyle w:val="libFootnotenumChar"/>
          <w:rtl/>
        </w:rPr>
        <w:t>(9)</w:t>
      </w:r>
    </w:p>
    <w:p w:rsidR="00744A1C" w:rsidRDefault="00744A1C" w:rsidP="00744A1C">
      <w:pPr>
        <w:pStyle w:val="libNormal"/>
        <w:rPr>
          <w:lang w:bidi="fa-IR"/>
        </w:rPr>
      </w:pPr>
      <w:r>
        <w:rPr>
          <w:rtl/>
          <w:lang w:bidi="fa-IR"/>
        </w:rPr>
        <w:t>8412 / 2. مُحَمَّدُ بْنُ يَحْيى ، عَنْ أَحْمَدَ بْنِ مُحَمَّدٍ ، عَنْ عَلِيِّ بْنِ الْحَكَمِ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ى ، بخ ، بف » </w:t>
      </w:r>
      <w:r w:rsidR="00744A1C" w:rsidRPr="00974AF6">
        <w:rPr>
          <w:rtl/>
        </w:rPr>
        <w:t>والوافي والكافي ،</w:t>
      </w:r>
      <w:r w:rsidR="00744A1C">
        <w:rPr>
          <w:rtl/>
          <w:lang w:bidi="fa-IR"/>
        </w:rPr>
        <w:t xml:space="preserve"> ح 8372. وفي بعض النسخ والمطبوع : « أن ».</w:t>
      </w:r>
    </w:p>
    <w:p w:rsidR="00744A1C" w:rsidRDefault="00E378DD" w:rsidP="00E378DD">
      <w:pPr>
        <w:pStyle w:val="libFootnote0"/>
        <w:rPr>
          <w:lang w:bidi="fa-IR"/>
        </w:rPr>
      </w:pPr>
      <w:r>
        <w:rPr>
          <w:rtl/>
          <w:lang w:bidi="fa-IR"/>
        </w:rPr>
        <w:t>(2).</w:t>
      </w:r>
      <w:r w:rsidR="00744A1C">
        <w:rPr>
          <w:rtl/>
          <w:lang w:bidi="fa-IR"/>
        </w:rPr>
        <w:t xml:space="preserve"> في « بخ » : « لا يموت ». وفي </w:t>
      </w:r>
      <w:r w:rsidR="00744A1C" w:rsidRPr="0061079A">
        <w:rPr>
          <w:rStyle w:val="libFootnoteBoldChar"/>
          <w:rtl/>
        </w:rPr>
        <w:t>الكافي</w:t>
      </w:r>
      <w:r w:rsidR="00744A1C">
        <w:rPr>
          <w:rtl/>
          <w:lang w:bidi="fa-IR"/>
        </w:rPr>
        <w:t xml:space="preserve"> ، ح 8372 : « لن تموت ».</w:t>
      </w:r>
    </w:p>
    <w:p w:rsidR="00744A1C" w:rsidRDefault="00E378DD" w:rsidP="00E378DD">
      <w:pPr>
        <w:pStyle w:val="libFootnote0"/>
        <w:rPr>
          <w:lang w:bidi="fa-IR"/>
        </w:rPr>
      </w:pPr>
      <w:r>
        <w:rPr>
          <w:rtl/>
          <w:lang w:bidi="fa-IR"/>
        </w:rPr>
        <w:t>(3).</w:t>
      </w:r>
      <w:r w:rsidR="00744A1C">
        <w:rPr>
          <w:rtl/>
          <w:lang w:bidi="fa-IR"/>
        </w:rPr>
        <w:t xml:space="preserve"> في </w:t>
      </w:r>
      <w:r w:rsidR="00744A1C" w:rsidRPr="00974AF6">
        <w:rPr>
          <w:rtl/>
        </w:rPr>
        <w:t>الكافي</w:t>
      </w:r>
      <w:r w:rsidR="00744A1C">
        <w:rPr>
          <w:rtl/>
          <w:lang w:bidi="fa-IR"/>
        </w:rPr>
        <w:t xml:space="preserve"> ، ح 8372 : « يطلبه بغير حلّه » بدل « تطلبوه بمعصية الله عزّ وجلّ ».</w:t>
      </w:r>
    </w:p>
    <w:p w:rsidR="00744A1C" w:rsidRDefault="00E378DD" w:rsidP="00E378DD">
      <w:pPr>
        <w:pStyle w:val="libFootnote0"/>
        <w:rPr>
          <w:lang w:bidi="fa-IR"/>
        </w:rPr>
      </w:pPr>
      <w:r>
        <w:rPr>
          <w:rtl/>
          <w:lang w:bidi="fa-IR"/>
        </w:rPr>
        <w:t>(4).</w:t>
      </w:r>
      <w:r w:rsidR="00744A1C">
        <w:rPr>
          <w:rtl/>
          <w:lang w:bidi="fa-IR"/>
        </w:rPr>
        <w:t xml:space="preserve"> تقدّم بيان مفرداته في الحديث الأوّل من نفس الباب.</w:t>
      </w:r>
    </w:p>
    <w:p w:rsidR="00744A1C" w:rsidRDefault="00E378DD" w:rsidP="00E378DD">
      <w:pPr>
        <w:pStyle w:val="libFootnote0"/>
        <w:rPr>
          <w:lang w:bidi="fa-IR"/>
        </w:rPr>
      </w:pPr>
      <w:r>
        <w:rPr>
          <w:rtl/>
          <w:lang w:bidi="fa-IR"/>
        </w:rPr>
        <w:t>(5).</w:t>
      </w:r>
      <w:r w:rsidR="00744A1C">
        <w:rPr>
          <w:rtl/>
          <w:lang w:bidi="fa-IR"/>
        </w:rPr>
        <w:t xml:space="preserve"> </w:t>
      </w:r>
      <w:r w:rsidR="00744A1C" w:rsidRPr="0061079A">
        <w:rPr>
          <w:rStyle w:val="libFootnoteBoldChar"/>
          <w:rtl/>
        </w:rPr>
        <w:t>الكافي</w:t>
      </w:r>
      <w:r w:rsidR="00744A1C">
        <w:rPr>
          <w:rtl/>
          <w:lang w:bidi="fa-IR"/>
        </w:rPr>
        <w:t xml:space="preserve"> ، كتاب المعيشة ، باب الطاعة والتقوى ، ح 8372 ، بسند آخر ، مع اختلاف يسير ؛ </w:t>
      </w:r>
      <w:r w:rsidR="00744A1C" w:rsidRPr="003A7143">
        <w:rPr>
          <w:rStyle w:val="libFootnoteBoldChar"/>
          <w:rtl/>
        </w:rPr>
        <w:t>المحاسن</w:t>
      </w:r>
      <w:r w:rsidR="00744A1C">
        <w:rPr>
          <w:rtl/>
          <w:lang w:bidi="fa-IR"/>
        </w:rPr>
        <w:t xml:space="preserve"> ، ص 278 ، كتاب مصابيح الظلم ، ح 39</w:t>
      </w:r>
      <w:r w:rsidR="00974AF6">
        <w:rPr>
          <w:rtl/>
          <w:lang w:bidi="fa-IR"/>
        </w:rPr>
        <w:t>9 ، بسند آخر ، إلى قوله : « إل</w:t>
      </w:r>
      <w:r w:rsidR="00974AF6">
        <w:rPr>
          <w:rFonts w:hint="cs"/>
          <w:rtl/>
          <w:lang w:bidi="fa-IR"/>
        </w:rPr>
        <w:t>ّ</w:t>
      </w:r>
      <w:r w:rsidR="00974AF6">
        <w:rPr>
          <w:rtl/>
          <w:lang w:bidi="fa-IR"/>
        </w:rPr>
        <w:t>ا</w:t>
      </w:r>
      <w:r w:rsidR="00744A1C">
        <w:rPr>
          <w:rtl/>
          <w:lang w:bidi="fa-IR"/>
        </w:rPr>
        <w:t xml:space="preserve"> وقد نبّأتكم به » ؛ </w:t>
      </w:r>
      <w:r w:rsidR="00744A1C" w:rsidRPr="007D61A8">
        <w:rPr>
          <w:rStyle w:val="libFootnoteBoldChar"/>
          <w:rtl/>
        </w:rPr>
        <w:t>تحف العقول</w:t>
      </w:r>
      <w:r w:rsidR="00744A1C">
        <w:rPr>
          <w:rtl/>
          <w:lang w:bidi="fa-IR"/>
        </w:rPr>
        <w:t xml:space="preserve"> ، ص 40 ، عن رسول الله </w:t>
      </w:r>
      <w:r w:rsidR="005E465D" w:rsidRPr="005E465D">
        <w:rPr>
          <w:rStyle w:val="libFootnoteAlaemChar"/>
          <w:rtl/>
        </w:rPr>
        <w:t>صلى‌الله‌عليه‌وآله</w:t>
      </w:r>
      <w:r w:rsidR="00D10E3C">
        <w:rPr>
          <w:rtl/>
          <w:lang w:bidi="fa-IR"/>
        </w:rPr>
        <w:t xml:space="preserve"> </w:t>
      </w:r>
      <w:r w:rsidR="00744A1C">
        <w:rPr>
          <w:rtl/>
          <w:lang w:bidi="fa-IR"/>
        </w:rPr>
        <w:t xml:space="preserve">، مع اختلاف يسير </w:t>
      </w:r>
      <w:r w:rsidR="00801184">
        <w:rPr>
          <w:rFonts w:hint="cs"/>
          <w:rtl/>
          <w:lang w:bidi="fa-IR"/>
        </w:rPr>
        <w:t>.</w:t>
      </w:r>
      <w:r w:rsidR="00744A1C" w:rsidRPr="00C24F9C">
        <w:rPr>
          <w:rStyle w:val="libFootnoteBoldChar"/>
          <w:rtl/>
        </w:rPr>
        <w:t>الوافي</w:t>
      </w:r>
      <w:r w:rsidR="00744A1C">
        <w:rPr>
          <w:rtl/>
          <w:lang w:bidi="fa-IR"/>
        </w:rPr>
        <w:t xml:space="preserve"> ، ج 17 ، ص 55 ، ح 16851 ؛ </w:t>
      </w:r>
      <w:r w:rsidR="00744A1C" w:rsidRPr="00C24F9C">
        <w:rPr>
          <w:rStyle w:val="libFootnoteBoldChar"/>
          <w:rtl/>
        </w:rPr>
        <w:t>الوسائل</w:t>
      </w:r>
      <w:r w:rsidR="00744A1C">
        <w:rPr>
          <w:rtl/>
          <w:lang w:bidi="fa-IR"/>
        </w:rPr>
        <w:t xml:space="preserve"> ، ج 17 ، ص 45 ، ح 21939 ؛ </w:t>
      </w:r>
      <w:r w:rsidR="00744A1C" w:rsidRPr="0061079A">
        <w:rPr>
          <w:rStyle w:val="libFootnoteBoldChar"/>
          <w:rtl/>
        </w:rPr>
        <w:t>البحار</w:t>
      </w:r>
      <w:r w:rsidR="00744A1C">
        <w:rPr>
          <w:rtl/>
          <w:lang w:bidi="fa-IR"/>
        </w:rPr>
        <w:t xml:space="preserve"> ، ج 70 ، ص 96 ، ح 3.</w:t>
      </w:r>
    </w:p>
    <w:p w:rsidR="00744A1C" w:rsidRDefault="00E378DD" w:rsidP="00E378DD">
      <w:pPr>
        <w:pStyle w:val="libFootnote0"/>
        <w:rPr>
          <w:lang w:bidi="fa-IR"/>
        </w:rPr>
      </w:pPr>
      <w:r>
        <w:rPr>
          <w:rtl/>
          <w:lang w:bidi="fa-IR"/>
        </w:rPr>
        <w:t>(6).</w:t>
      </w:r>
      <w:r w:rsidR="00744A1C">
        <w:rPr>
          <w:rtl/>
          <w:lang w:bidi="fa-IR"/>
        </w:rPr>
        <w:t xml:space="preserve"> هكذا في « ط ، بح ، بخ ، جد » و</w:t>
      </w:r>
      <w:r w:rsidR="00744A1C" w:rsidRPr="00C24F9C">
        <w:rPr>
          <w:rStyle w:val="libFootnoteBoldChar"/>
          <w:rtl/>
        </w:rPr>
        <w:t>الوسائل</w:t>
      </w:r>
      <w:r w:rsidR="00744A1C">
        <w:rPr>
          <w:rtl/>
          <w:lang w:bidi="fa-IR"/>
        </w:rPr>
        <w:t xml:space="preserve">. وفي « ى ، بس ، بف ، جت ، جن » والمطبوع : « الخزّاز ». وما أثبتناه هوالصواب ، كما تقدّم في </w:t>
      </w:r>
      <w:r w:rsidR="00744A1C" w:rsidRPr="0061079A">
        <w:rPr>
          <w:rStyle w:val="libFootnoteBoldChar"/>
          <w:rtl/>
        </w:rPr>
        <w:t>الكافي</w:t>
      </w:r>
      <w:r w:rsidR="00744A1C">
        <w:rPr>
          <w:rtl/>
          <w:lang w:bidi="fa-IR"/>
        </w:rPr>
        <w:t xml:space="preserve"> ، ذيل ح 75.</w:t>
      </w:r>
    </w:p>
    <w:p w:rsidR="00744A1C" w:rsidRDefault="00E378DD" w:rsidP="00E378DD">
      <w:pPr>
        <w:pStyle w:val="libFootnote0"/>
        <w:rPr>
          <w:lang w:bidi="fa-IR"/>
        </w:rPr>
      </w:pPr>
      <w:r>
        <w:rPr>
          <w:rtl/>
          <w:lang w:bidi="fa-IR"/>
        </w:rPr>
        <w:t>(7).</w:t>
      </w:r>
      <w:r w:rsidR="00744A1C">
        <w:rPr>
          <w:rtl/>
          <w:lang w:bidi="fa-IR"/>
        </w:rPr>
        <w:t xml:space="preserve"> في « بخ ، بف » و</w:t>
      </w:r>
      <w:r w:rsidR="00744A1C" w:rsidRPr="00C24F9C">
        <w:rPr>
          <w:rStyle w:val="libFootnoteBoldChar"/>
          <w:rtl/>
        </w:rPr>
        <w:t>الوافي</w:t>
      </w:r>
      <w:r w:rsidR="00744A1C">
        <w:rPr>
          <w:rtl/>
          <w:lang w:bidi="fa-IR"/>
        </w:rPr>
        <w:t xml:space="preserve"> والتحف : « أبى الله عزّ</w:t>
      </w:r>
      <w:r w:rsidR="00801184">
        <w:rPr>
          <w:rtl/>
          <w:lang w:bidi="fa-IR"/>
        </w:rPr>
        <w:t>وجلّ أن يجعل أرزاق المؤمنين إل</w:t>
      </w:r>
      <w:r w:rsidR="00801184">
        <w:rPr>
          <w:rFonts w:hint="cs"/>
          <w:rtl/>
          <w:lang w:bidi="fa-IR"/>
        </w:rPr>
        <w:t>ّ</w:t>
      </w:r>
      <w:r w:rsidR="00801184">
        <w:rPr>
          <w:rtl/>
          <w:lang w:bidi="fa-IR"/>
        </w:rPr>
        <w:t>ا</w:t>
      </w:r>
      <w:r w:rsidR="00744A1C">
        <w:rPr>
          <w:rtl/>
          <w:lang w:bidi="fa-IR"/>
        </w:rPr>
        <w:t xml:space="preserve"> ». وفي </w:t>
      </w:r>
      <w:r w:rsidR="00744A1C" w:rsidRPr="000B1C3F">
        <w:rPr>
          <w:rStyle w:val="libFootnoteBoldChar"/>
          <w:rtl/>
        </w:rPr>
        <w:t>الأمالي للطوسي</w:t>
      </w:r>
      <w:r w:rsidR="00744A1C">
        <w:rPr>
          <w:rtl/>
          <w:lang w:bidi="fa-IR"/>
        </w:rPr>
        <w:t xml:space="preserve"> : « المتّقين » بدل « المؤمنين ».</w:t>
      </w:r>
    </w:p>
    <w:p w:rsidR="00744A1C" w:rsidRDefault="00E378DD" w:rsidP="00E378DD">
      <w:pPr>
        <w:pStyle w:val="libFootnote0"/>
        <w:rPr>
          <w:lang w:bidi="fa-IR"/>
        </w:rPr>
      </w:pPr>
      <w:r>
        <w:rPr>
          <w:rtl/>
          <w:lang w:bidi="fa-IR"/>
        </w:rPr>
        <w:t>(8).</w:t>
      </w:r>
      <w:r w:rsidR="00744A1C">
        <w:rPr>
          <w:rtl/>
          <w:lang w:bidi="fa-IR"/>
        </w:rPr>
        <w:t xml:space="preserve"> في « بخ » : « لا يحتسب ». وفي </w:t>
      </w:r>
      <w:r w:rsidR="00744A1C" w:rsidRPr="00C24F9C">
        <w:rPr>
          <w:rStyle w:val="libFootnoteBoldChar"/>
          <w:rtl/>
        </w:rPr>
        <w:t>الوافي</w:t>
      </w:r>
      <w:r w:rsidR="00744A1C">
        <w:rPr>
          <w:rtl/>
          <w:lang w:bidi="fa-IR"/>
        </w:rPr>
        <w:t xml:space="preserve"> : « وذلك لأنّ الإيمان الكامل يقتضي عدم الوثوق بالأسباب ».</w:t>
      </w:r>
    </w:p>
    <w:p w:rsidR="00744A1C" w:rsidRDefault="00E378DD" w:rsidP="00E378DD">
      <w:pPr>
        <w:pStyle w:val="libFootnote0"/>
        <w:rPr>
          <w:lang w:bidi="fa-IR"/>
        </w:rPr>
      </w:pPr>
      <w:r>
        <w:rPr>
          <w:rtl/>
          <w:lang w:bidi="fa-IR"/>
        </w:rPr>
        <w:t>(9).</w:t>
      </w:r>
      <w:r w:rsidR="00744A1C">
        <w:rPr>
          <w:rtl/>
          <w:lang w:bidi="fa-IR"/>
        </w:rPr>
        <w:t xml:space="preserve"> </w:t>
      </w:r>
      <w:r w:rsidR="00744A1C" w:rsidRPr="000B1C3F">
        <w:rPr>
          <w:rStyle w:val="libFootnoteBoldChar"/>
          <w:rtl/>
        </w:rPr>
        <w:t>الأمالي للطوسي</w:t>
      </w:r>
      <w:r w:rsidR="00744A1C">
        <w:rPr>
          <w:rtl/>
          <w:lang w:bidi="fa-IR"/>
        </w:rPr>
        <w:t xml:space="preserve"> ، ص 300 ، المجلس 11 ، ضمن ح 40 ، بسند آخر. </w:t>
      </w:r>
      <w:r w:rsidR="00744A1C" w:rsidRPr="007D61A8">
        <w:rPr>
          <w:rStyle w:val="libFootnoteBoldChar"/>
          <w:rtl/>
        </w:rPr>
        <w:t>تحف العقول</w:t>
      </w:r>
      <w:r w:rsidR="00744A1C">
        <w:rPr>
          <w:rtl/>
          <w:lang w:bidi="fa-IR"/>
        </w:rPr>
        <w:t xml:space="preserve"> ، ص 60 </w:t>
      </w:r>
      <w:r w:rsidR="00801184">
        <w:rPr>
          <w:rFonts w:hint="cs"/>
          <w:rtl/>
          <w:lang w:bidi="fa-IR"/>
        </w:rPr>
        <w:t>.</w:t>
      </w:r>
      <w:r w:rsidR="00744A1C" w:rsidRPr="00C24F9C">
        <w:rPr>
          <w:rStyle w:val="libFootnoteBoldChar"/>
          <w:rtl/>
        </w:rPr>
        <w:t>الوافي</w:t>
      </w:r>
      <w:r w:rsidR="00744A1C">
        <w:rPr>
          <w:rtl/>
          <w:lang w:bidi="fa-IR"/>
        </w:rPr>
        <w:t xml:space="preserve"> ، ج 17 ، ص 67 ، ح 16871 ؛ </w:t>
      </w:r>
      <w:r w:rsidR="00744A1C" w:rsidRPr="00C24F9C">
        <w:rPr>
          <w:rStyle w:val="libFootnoteBoldChar"/>
          <w:rtl/>
        </w:rPr>
        <w:t>الوسائل</w:t>
      </w:r>
      <w:r w:rsidR="00744A1C">
        <w:rPr>
          <w:rtl/>
          <w:lang w:bidi="fa-IR"/>
        </w:rPr>
        <w:t xml:space="preserve"> ، ج 17 ، ص 53 ، ح 21958.</w:t>
      </w:r>
    </w:p>
    <w:p w:rsidR="006A5060" w:rsidRDefault="006A5060" w:rsidP="00D10E3C">
      <w:pPr>
        <w:pStyle w:val="libNormal"/>
        <w:rPr>
          <w:rtl/>
          <w:lang w:bidi="fa-IR"/>
        </w:rPr>
      </w:pPr>
      <w:r>
        <w:rPr>
          <w:rtl/>
          <w:lang w:bidi="fa-IR"/>
        </w:rPr>
        <w:br w:type="page"/>
      </w:r>
    </w:p>
    <w:p w:rsidR="00144FA6" w:rsidRDefault="00744A1C" w:rsidP="005D2B3B">
      <w:pPr>
        <w:pStyle w:val="libNormal0"/>
        <w:rPr>
          <w:rtl/>
          <w:lang w:bidi="fa-IR"/>
        </w:rPr>
      </w:pPr>
      <w:r>
        <w:rPr>
          <w:rtl/>
          <w:lang w:bidi="fa-IR"/>
        </w:rPr>
        <w:t>أَبِي جَمِيلَةَ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كُنْ لِمَا لَاتَرْجُو أَرْجى مِنْكَ لِمَا تَرْجُو ؛ فَإِنَّ مُوسى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ذَهَبَ لِيَقْتَبِسَ </w:t>
      </w:r>
      <w:r w:rsidRPr="00D10E3C">
        <w:rPr>
          <w:rStyle w:val="libFootnotenumChar"/>
          <w:rtl/>
        </w:rPr>
        <w:t>(2)</w:t>
      </w:r>
      <w:r>
        <w:rPr>
          <w:rtl/>
          <w:lang w:bidi="fa-IR"/>
        </w:rPr>
        <w:t xml:space="preserve"> لِأَهْلِهِ </w:t>
      </w:r>
      <w:r w:rsidRPr="00D10E3C">
        <w:rPr>
          <w:rStyle w:val="libFootnotenumChar"/>
          <w:rtl/>
        </w:rPr>
        <w:t>(3)</w:t>
      </w:r>
      <w:r>
        <w:rPr>
          <w:rtl/>
          <w:lang w:bidi="fa-IR"/>
        </w:rPr>
        <w:t xml:space="preserve"> نَاراً ، فَانْصَرَفَ إِلَيْهِمْ وَهُوَ نَبِيٌّ مُرْسَلٌ ». </w:t>
      </w:r>
      <w:r w:rsidRPr="00D10E3C">
        <w:rPr>
          <w:rStyle w:val="libFootnotenumChar"/>
          <w:rtl/>
        </w:rPr>
        <w:t>(4)</w:t>
      </w:r>
    </w:p>
    <w:p w:rsidR="00144FA6" w:rsidRDefault="00744A1C" w:rsidP="00744A1C">
      <w:pPr>
        <w:pStyle w:val="libNormal"/>
        <w:rPr>
          <w:rtl/>
          <w:lang w:bidi="fa-IR"/>
        </w:rPr>
      </w:pPr>
      <w:r>
        <w:rPr>
          <w:rtl/>
          <w:lang w:bidi="fa-IR"/>
        </w:rPr>
        <w:t>8413 / 3. عِدَّةٌ مِنْ أَصْحَابِنَا ، عَنْ أَحْمَدَ بْنِ أَبِي عَبْدِ اللهِ ، عَنْ عَلِيِّ بْنِ مُحَمَّدٍ الْقَاسَانِيِّ ، عَمَّنْ ذَكَرَهُ ، عَنْ عَبْدِ اللهِ بْنِ الْقَاسِمِ :</w:t>
      </w:r>
    </w:p>
    <w:p w:rsidR="00144FA6" w:rsidRDefault="00744A1C" w:rsidP="00744A1C">
      <w:pPr>
        <w:pStyle w:val="libNormal"/>
        <w:rPr>
          <w:rtl/>
          <w:lang w:bidi="fa-IR"/>
        </w:rPr>
      </w:pPr>
      <w:r>
        <w:rPr>
          <w:rtl/>
          <w:lang w:bidi="fa-IR"/>
        </w:rPr>
        <w:t xml:space="preserve">عَنْ أَبِي عَبْدِ اللهِ ، عَنْ أَبِيهِ ، عَنْ جَدِّهِ </w:t>
      </w:r>
      <w:r w:rsidR="008859AA" w:rsidRPr="008859AA">
        <w:rPr>
          <w:rStyle w:val="libAlaemChar"/>
          <w:rtl/>
        </w:rPr>
        <w:t>عليهما‌السلام</w:t>
      </w:r>
      <w:r>
        <w:rPr>
          <w:rtl/>
          <w:lang w:bidi="fa-IR"/>
        </w:rPr>
        <w:t xml:space="preserve">، قَالَ : « قَالَ أَمِيرُ الْمُؤْمِنِينَ </w:t>
      </w:r>
      <w:r w:rsidR="0061079A" w:rsidRPr="0061079A">
        <w:rPr>
          <w:rStyle w:val="libAlaemChar"/>
          <w:rtl/>
        </w:rPr>
        <w:t>عليه‌السلام</w:t>
      </w:r>
      <w:r w:rsidR="00D10E3C">
        <w:rPr>
          <w:rtl/>
          <w:lang w:bidi="fa-IR"/>
        </w:rPr>
        <w:t xml:space="preserve"> </w:t>
      </w:r>
      <w:r>
        <w:rPr>
          <w:rtl/>
          <w:lang w:bidi="fa-IR"/>
        </w:rPr>
        <w:t xml:space="preserve">: كُنْ لِمَا </w:t>
      </w:r>
      <w:r w:rsidRPr="00D10E3C">
        <w:rPr>
          <w:rStyle w:val="libFootnotenumChar"/>
          <w:rtl/>
        </w:rPr>
        <w:t>(5)</w:t>
      </w:r>
      <w:r>
        <w:rPr>
          <w:rtl/>
          <w:lang w:bidi="fa-IR"/>
        </w:rPr>
        <w:t xml:space="preserve"> لَا تَرْجُو أَرْجى مِنْكَ لِمَا تَرْجُو ؛ فَإِنَّ مُوسَى بْنَ عِمْرَانَ </w:t>
      </w:r>
      <w:r w:rsidRPr="00D10E3C">
        <w:rPr>
          <w:rStyle w:val="libFootnotenumChar"/>
          <w:rtl/>
        </w:rPr>
        <w:t>(6)</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خَرَجَ يَقْتَبِسُ نَاراً لِأَهْلِهِ </w:t>
      </w:r>
      <w:r w:rsidRPr="00D10E3C">
        <w:rPr>
          <w:rStyle w:val="libFootnotenumChar"/>
          <w:rtl/>
        </w:rPr>
        <w:t>(7)</w:t>
      </w:r>
      <w:r>
        <w:rPr>
          <w:rtl/>
          <w:lang w:bidi="fa-IR"/>
        </w:rPr>
        <w:t xml:space="preserve"> ، فَكَلَّمَهُ اللهُ عَزَّ وَجَلَّ ، وَرَجَعَ نَبِيّاً </w:t>
      </w:r>
      <w:r w:rsidRPr="00D10E3C">
        <w:rPr>
          <w:rStyle w:val="libFootnotenumChar"/>
          <w:rtl/>
        </w:rPr>
        <w:t>(8)</w:t>
      </w:r>
      <w:r>
        <w:rPr>
          <w:rtl/>
          <w:lang w:bidi="fa-IR"/>
        </w:rPr>
        <w:t xml:space="preserve"> ؛ وَخَرَجَتْ مَلِكَةُ سَبَإٍ ، فَأَسْلَمَتْ مَعَ سُلَيْمَانَ </w:t>
      </w:r>
      <w:r w:rsidR="0061079A" w:rsidRPr="0061079A">
        <w:rPr>
          <w:rStyle w:val="libAlaemChar"/>
          <w:rtl/>
        </w:rPr>
        <w:t>عليه‌السلام</w:t>
      </w:r>
      <w:r>
        <w:rPr>
          <w:rtl/>
          <w:lang w:bidi="fa-IR"/>
        </w:rPr>
        <w:t xml:space="preserve"> ؛ وَخَرَجَتْ </w:t>
      </w:r>
      <w:r w:rsidRPr="00D10E3C">
        <w:rPr>
          <w:rStyle w:val="libFootnotenumChar"/>
          <w:rtl/>
        </w:rPr>
        <w:t>(9)</w:t>
      </w:r>
      <w:r>
        <w:rPr>
          <w:rtl/>
          <w:lang w:bidi="fa-IR"/>
        </w:rPr>
        <w:t xml:space="preserve"> سَحَرَةُ فِرْعَوْنَ يَطْلُبُونَ الْعِزَّ لِفِرْعَوْنَ ، فَرَجَعُوا مُؤْمِنِينَ ». </w:t>
      </w:r>
      <w:r w:rsidRPr="00D10E3C">
        <w:rPr>
          <w:rStyle w:val="libFootnotenumChar"/>
          <w:rtl/>
        </w:rPr>
        <w:t>(10)</w:t>
      </w:r>
    </w:p>
    <w:p w:rsidR="00144FA6" w:rsidRDefault="00744A1C" w:rsidP="00744A1C">
      <w:pPr>
        <w:pStyle w:val="libNormal"/>
        <w:rPr>
          <w:rtl/>
          <w:lang w:bidi="fa-IR"/>
        </w:rPr>
      </w:pPr>
      <w:r>
        <w:rPr>
          <w:rtl/>
          <w:lang w:bidi="fa-IR"/>
        </w:rPr>
        <w:t xml:space="preserve">8414 / 4. عَنْهُ </w:t>
      </w:r>
      <w:r w:rsidRPr="00D10E3C">
        <w:rPr>
          <w:rStyle w:val="libFootnotenumChar"/>
          <w:rtl/>
        </w:rPr>
        <w:t>(11)</w:t>
      </w:r>
      <w:r>
        <w:rPr>
          <w:rtl/>
          <w:lang w:bidi="fa-IR"/>
        </w:rPr>
        <w:t xml:space="preserve"> ، عَنْ أَبِيهِ ، عَنْ صَفْوَانَ ، عَنْ مُحَمَّدِ بْنِ أَبِي </w:t>
      </w:r>
      <w:r w:rsidRPr="00D10E3C">
        <w:rPr>
          <w:rStyle w:val="libFootnotenumChar"/>
          <w:rtl/>
        </w:rPr>
        <w:t>(12)</w:t>
      </w:r>
      <w:r>
        <w:rPr>
          <w:rtl/>
          <w:lang w:bidi="fa-IR"/>
        </w:rPr>
        <w:t xml:space="preserve"> الْهَزْهَازِ ، عَنْ عَلِيِّ بْنِ السَّرِيِّ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 بن عمران ».</w:t>
      </w:r>
    </w:p>
    <w:p w:rsidR="00744A1C" w:rsidRDefault="00E378DD" w:rsidP="00E378DD">
      <w:pPr>
        <w:pStyle w:val="libFootnote0"/>
        <w:rPr>
          <w:lang w:bidi="fa-IR"/>
        </w:rPr>
      </w:pPr>
      <w:r>
        <w:rPr>
          <w:rtl/>
          <w:lang w:bidi="fa-IR"/>
        </w:rPr>
        <w:t>(2).</w:t>
      </w:r>
      <w:r w:rsidR="00744A1C">
        <w:rPr>
          <w:rtl/>
          <w:lang w:bidi="fa-IR"/>
        </w:rPr>
        <w:t xml:space="preserve"> في « ط ، ى ، بح ، بس ، جت ، جد ، جن »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xml:space="preserve"> : « يقتبس ».</w:t>
      </w:r>
    </w:p>
    <w:p w:rsidR="00744A1C" w:rsidRDefault="00E378DD" w:rsidP="00E378DD">
      <w:pPr>
        <w:pStyle w:val="libFootnote0"/>
        <w:rPr>
          <w:lang w:bidi="fa-IR"/>
        </w:rPr>
      </w:pPr>
      <w:r>
        <w:rPr>
          <w:rtl/>
          <w:lang w:bidi="fa-IR"/>
        </w:rPr>
        <w:t>(3).</w:t>
      </w:r>
      <w:r w:rsidR="00744A1C">
        <w:rPr>
          <w:rtl/>
          <w:lang w:bidi="fa-IR"/>
        </w:rPr>
        <w:t xml:space="preserve"> في </w:t>
      </w:r>
      <w:r w:rsidR="00744A1C" w:rsidRPr="00F059F4">
        <w:rPr>
          <w:rtl/>
        </w:rPr>
        <w:t>البحار</w:t>
      </w:r>
      <w:r w:rsidR="00744A1C">
        <w:rPr>
          <w:rtl/>
          <w:lang w:bidi="fa-IR"/>
        </w:rPr>
        <w:t xml:space="preserve"> : - « لأهله ».</w:t>
      </w:r>
    </w:p>
    <w:p w:rsidR="00744A1C" w:rsidRDefault="00E378DD" w:rsidP="00F059F4">
      <w:pPr>
        <w:pStyle w:val="libFootnote0"/>
        <w:rPr>
          <w:lang w:bidi="fa-IR"/>
        </w:rPr>
      </w:pPr>
      <w:r>
        <w:rPr>
          <w:rtl/>
          <w:lang w:bidi="fa-IR"/>
        </w:rPr>
        <w:t>(4).</w:t>
      </w:r>
      <w:r w:rsidR="00744A1C">
        <w:rPr>
          <w:rtl/>
          <w:lang w:bidi="fa-IR"/>
        </w:rPr>
        <w:t xml:space="preserve"> </w:t>
      </w:r>
      <w:r w:rsidR="00744A1C" w:rsidRPr="00F059F4">
        <w:rPr>
          <w:rStyle w:val="libFootnoteBoldChar"/>
          <w:rtl/>
        </w:rPr>
        <w:t>كمال الدين</w:t>
      </w:r>
      <w:r w:rsidR="00744A1C">
        <w:rPr>
          <w:rtl/>
          <w:lang w:bidi="fa-IR"/>
        </w:rPr>
        <w:t xml:space="preserve"> ، ص 151 ، ذيل ح 13 ، مرسلاً </w:t>
      </w:r>
      <w:r w:rsidR="00F059F4">
        <w:rPr>
          <w:rFonts w:hint="cs"/>
          <w:rtl/>
          <w:lang w:bidi="fa-IR"/>
        </w:rPr>
        <w:t>.</w:t>
      </w:r>
      <w:r w:rsidR="00744A1C" w:rsidRPr="00C24F9C">
        <w:rPr>
          <w:rStyle w:val="libFootnoteBoldChar"/>
          <w:rtl/>
        </w:rPr>
        <w:t>الوافي</w:t>
      </w:r>
      <w:r w:rsidR="00744A1C">
        <w:rPr>
          <w:rtl/>
          <w:lang w:bidi="fa-IR"/>
        </w:rPr>
        <w:t xml:space="preserve"> ، ج 17 ، ص 67 ، ح 16871 ؛ </w:t>
      </w:r>
      <w:r w:rsidR="00744A1C" w:rsidRPr="00C24F9C">
        <w:rPr>
          <w:rStyle w:val="libFootnoteBoldChar"/>
          <w:rtl/>
        </w:rPr>
        <w:t>الوسائل</w:t>
      </w:r>
      <w:r w:rsidR="00744A1C">
        <w:rPr>
          <w:rtl/>
          <w:lang w:bidi="fa-IR"/>
        </w:rPr>
        <w:t xml:space="preserve"> ، ج 17 ، ص 53 ، ح 21957 ؛ </w:t>
      </w:r>
      <w:r w:rsidR="00744A1C" w:rsidRPr="0061079A">
        <w:rPr>
          <w:rStyle w:val="libFootnoteBoldChar"/>
          <w:rtl/>
        </w:rPr>
        <w:t>البحار</w:t>
      </w:r>
      <w:r w:rsidR="00744A1C">
        <w:rPr>
          <w:rtl/>
          <w:lang w:bidi="fa-IR"/>
        </w:rPr>
        <w:t xml:space="preserve"> ، ج 13 ، ص 31 ، ح 3.</w:t>
      </w:r>
      <w:r w:rsidR="00F059F4">
        <w:rPr>
          <w:rFonts w:hint="cs"/>
          <w:rtl/>
          <w:lang w:bidi="fa-IR"/>
        </w:rPr>
        <w:t xml:space="preserve">               </w:t>
      </w:r>
      <w:r>
        <w:rPr>
          <w:rtl/>
          <w:lang w:bidi="fa-IR"/>
        </w:rPr>
        <w:t>(5).</w:t>
      </w:r>
      <w:r w:rsidR="00744A1C">
        <w:rPr>
          <w:rtl/>
          <w:lang w:bidi="fa-IR"/>
        </w:rPr>
        <w:t xml:space="preserve"> في </w:t>
      </w:r>
      <w:r w:rsidR="00744A1C" w:rsidRPr="00F059F4">
        <w:rPr>
          <w:rtl/>
        </w:rPr>
        <w:t>فقه الرضا :</w:t>
      </w:r>
      <w:r w:rsidR="00744A1C">
        <w:rPr>
          <w:rtl/>
          <w:lang w:bidi="fa-IR"/>
        </w:rPr>
        <w:t xml:space="preserve"> « لمن ».</w:t>
      </w:r>
    </w:p>
    <w:p w:rsidR="00744A1C" w:rsidRDefault="00E378DD" w:rsidP="00E378DD">
      <w:pPr>
        <w:pStyle w:val="libFootnote0"/>
        <w:rPr>
          <w:lang w:bidi="fa-IR"/>
        </w:rPr>
      </w:pPr>
      <w:r>
        <w:rPr>
          <w:rtl/>
          <w:lang w:bidi="fa-IR"/>
        </w:rPr>
        <w:t>(6).</w:t>
      </w:r>
      <w:r w:rsidR="00744A1C">
        <w:rPr>
          <w:rtl/>
          <w:lang w:bidi="fa-IR"/>
        </w:rPr>
        <w:t xml:space="preserve"> في « بخ ، بف » : - « بن عمران ».</w:t>
      </w:r>
    </w:p>
    <w:p w:rsidR="00744A1C" w:rsidRDefault="00E378DD" w:rsidP="00E378DD">
      <w:pPr>
        <w:pStyle w:val="libFootnote0"/>
        <w:rPr>
          <w:lang w:bidi="fa-IR"/>
        </w:rPr>
      </w:pPr>
      <w:r>
        <w:rPr>
          <w:rtl/>
          <w:lang w:bidi="fa-IR"/>
        </w:rPr>
        <w:t>(7).</w:t>
      </w:r>
      <w:r w:rsidR="00744A1C">
        <w:rPr>
          <w:rtl/>
          <w:lang w:bidi="fa-IR"/>
        </w:rPr>
        <w:t xml:space="preserve"> هكذا في جميع النسخ التي قوبلت و</w:t>
      </w:r>
      <w:r w:rsidR="00744A1C" w:rsidRPr="00C24F9C">
        <w:rPr>
          <w:rStyle w:val="libFootnoteBoldChar"/>
          <w:rtl/>
        </w:rPr>
        <w:t>الوافي</w:t>
      </w:r>
      <w:r w:rsidR="00744A1C">
        <w:rPr>
          <w:rtl/>
          <w:lang w:bidi="fa-IR"/>
        </w:rPr>
        <w:t xml:space="preserve"> و</w:t>
      </w:r>
      <w:r w:rsidR="00744A1C" w:rsidRPr="003A7143">
        <w:rPr>
          <w:rStyle w:val="libFootnoteBoldChar"/>
          <w:rtl/>
        </w:rPr>
        <w:t>فقه الرضا</w:t>
      </w:r>
      <w:r w:rsidR="00744A1C">
        <w:rPr>
          <w:rtl/>
          <w:lang w:bidi="fa-IR"/>
        </w:rPr>
        <w:t>. وفي المطبوع : « لأهله ناراً ».</w:t>
      </w:r>
    </w:p>
    <w:p w:rsidR="00744A1C" w:rsidRDefault="00E378DD" w:rsidP="00F059F4">
      <w:pPr>
        <w:pStyle w:val="libFootnote0"/>
        <w:rPr>
          <w:lang w:bidi="fa-IR"/>
        </w:rPr>
      </w:pPr>
      <w:r>
        <w:rPr>
          <w:rtl/>
          <w:lang w:bidi="fa-IR"/>
        </w:rPr>
        <w:t>(8).</w:t>
      </w:r>
      <w:r w:rsidR="00744A1C">
        <w:rPr>
          <w:rtl/>
          <w:lang w:bidi="fa-IR"/>
        </w:rPr>
        <w:t xml:space="preserve"> هكذا في « ط ، ى ، بح ، بخ ، بس ، بف ، جد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و</w:t>
      </w:r>
      <w:r w:rsidR="00744A1C" w:rsidRPr="00C24F9C">
        <w:rPr>
          <w:rStyle w:val="libFootnoteBoldChar"/>
          <w:rtl/>
        </w:rPr>
        <w:t>الفقيه</w:t>
      </w:r>
      <w:r w:rsidR="00744A1C">
        <w:rPr>
          <w:rtl/>
          <w:lang w:bidi="fa-IR"/>
        </w:rPr>
        <w:t xml:space="preserve"> ، ج 3 و 4 والأمالي للصدوق وفقه‌الرضا والتحف. وفي المطبوع : + « مرسلاً ».</w:t>
      </w:r>
      <w:r w:rsidR="00F059F4">
        <w:rPr>
          <w:rFonts w:hint="cs"/>
          <w:rtl/>
          <w:lang w:bidi="fa-IR"/>
        </w:rPr>
        <w:t xml:space="preserve">      </w:t>
      </w:r>
      <w:r>
        <w:rPr>
          <w:rtl/>
          <w:lang w:bidi="fa-IR"/>
        </w:rPr>
        <w:t>(9).</w:t>
      </w:r>
      <w:r w:rsidR="00F059F4">
        <w:rPr>
          <w:rtl/>
          <w:lang w:bidi="fa-IR"/>
        </w:rPr>
        <w:t xml:space="preserve"> في«ط،ى،بخ،بس،بف،جد»</w:t>
      </w:r>
      <w:r w:rsidR="00744A1C" w:rsidRPr="00F059F4">
        <w:rPr>
          <w:rtl/>
        </w:rPr>
        <w:t>والوافي</w:t>
      </w:r>
      <w:r w:rsidR="00F059F4">
        <w:rPr>
          <w:rtl/>
          <w:lang w:bidi="fa-IR"/>
        </w:rPr>
        <w:t>:«وخرج</w:t>
      </w:r>
      <w:r w:rsidR="00744A1C">
        <w:rPr>
          <w:rtl/>
          <w:lang w:bidi="fa-IR"/>
        </w:rPr>
        <w:t>».</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الفقيه</w:t>
      </w:r>
      <w:r w:rsidR="00744A1C">
        <w:rPr>
          <w:rtl/>
          <w:lang w:bidi="fa-IR"/>
        </w:rPr>
        <w:t xml:space="preserve"> ، ج 4 ، ص 399 ، ح 5854 ؛ و</w:t>
      </w:r>
      <w:r w:rsidR="00444CDB">
        <w:rPr>
          <w:rFonts w:hint="cs"/>
          <w:rtl/>
          <w:lang w:bidi="fa-IR"/>
        </w:rPr>
        <w:t xml:space="preserve"> </w:t>
      </w:r>
      <w:r w:rsidR="00744A1C" w:rsidRPr="00444CDB">
        <w:rPr>
          <w:rStyle w:val="libFootnoteBoldChar"/>
          <w:rtl/>
        </w:rPr>
        <w:t>الأمالي للصدوق</w:t>
      </w:r>
      <w:r w:rsidR="00744A1C">
        <w:rPr>
          <w:rtl/>
          <w:lang w:bidi="fa-IR"/>
        </w:rPr>
        <w:t xml:space="preserve"> ، ص 178 ، المجلس 33 ، ح 7 ، بسندهما عن عبد الله بن القاسم. </w:t>
      </w:r>
      <w:r w:rsidR="00744A1C" w:rsidRPr="00C24F9C">
        <w:rPr>
          <w:rStyle w:val="libFootnoteBoldChar"/>
          <w:rtl/>
        </w:rPr>
        <w:t>الفقيه</w:t>
      </w:r>
      <w:r w:rsidR="00744A1C">
        <w:rPr>
          <w:rtl/>
          <w:lang w:bidi="fa-IR"/>
        </w:rPr>
        <w:t xml:space="preserve"> ، ج 3 ، ص 165 ، ح 3609 ، مرسلاً عن عليّ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7D61A8">
        <w:rPr>
          <w:rStyle w:val="libFootnoteBoldChar"/>
          <w:rtl/>
        </w:rPr>
        <w:t>تحف العقول</w:t>
      </w:r>
      <w:r w:rsidR="00744A1C">
        <w:rPr>
          <w:rtl/>
          <w:lang w:bidi="fa-IR"/>
        </w:rPr>
        <w:t xml:space="preserve"> ، ص 208 ،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359 </w:t>
      </w:r>
      <w:r w:rsidR="00444CDB">
        <w:rPr>
          <w:rFonts w:hint="cs"/>
          <w:rtl/>
          <w:lang w:bidi="fa-IR"/>
        </w:rPr>
        <w:t>.</w:t>
      </w:r>
      <w:r w:rsidR="00744A1C" w:rsidRPr="00C24F9C">
        <w:rPr>
          <w:rStyle w:val="libFootnoteBoldChar"/>
          <w:rtl/>
        </w:rPr>
        <w:t>الوافي</w:t>
      </w:r>
      <w:r w:rsidR="00744A1C">
        <w:rPr>
          <w:rtl/>
          <w:lang w:bidi="fa-IR"/>
        </w:rPr>
        <w:t xml:space="preserve"> ، ج 17 ، ص 67 ، ح 16873 ؛ </w:t>
      </w:r>
      <w:r w:rsidR="00744A1C" w:rsidRPr="00C24F9C">
        <w:rPr>
          <w:rStyle w:val="libFootnoteBoldChar"/>
          <w:rtl/>
        </w:rPr>
        <w:t>الوسائل</w:t>
      </w:r>
      <w:r w:rsidR="00744A1C">
        <w:rPr>
          <w:rtl/>
          <w:lang w:bidi="fa-IR"/>
        </w:rPr>
        <w:t xml:space="preserve"> ، ج 17 ، ص 52 ، ح 21956.</w:t>
      </w:r>
    </w:p>
    <w:p w:rsidR="00744A1C" w:rsidRDefault="00E378DD" w:rsidP="00E378DD">
      <w:pPr>
        <w:pStyle w:val="libFootnote0"/>
        <w:rPr>
          <w:lang w:bidi="fa-IR"/>
        </w:rPr>
      </w:pPr>
      <w:r>
        <w:rPr>
          <w:rtl/>
          <w:lang w:bidi="fa-IR"/>
        </w:rPr>
        <w:t>(11).</w:t>
      </w:r>
      <w:r w:rsidR="00744A1C">
        <w:rPr>
          <w:rtl/>
          <w:lang w:bidi="fa-IR"/>
        </w:rPr>
        <w:t xml:space="preserve"> الضمير راجع إلى أحمد بن أبي عبد الله المذكور في السند السابق.</w:t>
      </w:r>
    </w:p>
    <w:p w:rsidR="00744A1C" w:rsidRDefault="00E378DD" w:rsidP="00E378DD">
      <w:pPr>
        <w:pStyle w:val="libFootnote0"/>
        <w:rPr>
          <w:lang w:bidi="fa-IR"/>
        </w:rPr>
      </w:pPr>
      <w:r>
        <w:rPr>
          <w:rtl/>
          <w:lang w:bidi="fa-IR"/>
        </w:rPr>
        <w:t>(12).</w:t>
      </w:r>
      <w:r w:rsidR="00744A1C">
        <w:rPr>
          <w:rtl/>
          <w:lang w:bidi="fa-IR"/>
        </w:rPr>
        <w:t xml:space="preserve"> في </w:t>
      </w:r>
      <w:r w:rsidR="00744A1C" w:rsidRPr="00444CDB">
        <w:rPr>
          <w:rtl/>
        </w:rPr>
        <w:t>الوسائل</w:t>
      </w:r>
      <w:r w:rsidR="00744A1C">
        <w:rPr>
          <w:rtl/>
          <w:lang w:bidi="fa-IR"/>
        </w:rPr>
        <w:t xml:space="preserve"> : - « أبي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إِنَّ اللهَ - عَزَّ وَجَلَّ - جَعَلَ أَرْزَاقَ الْمُؤْمِنِينَ مِنْ حَيْثُ لَا يَحْتَسِبُونَ </w:t>
      </w:r>
      <w:r w:rsidRPr="00D10E3C">
        <w:rPr>
          <w:rStyle w:val="libFootnotenumChar"/>
          <w:rtl/>
        </w:rPr>
        <w:t>(1)</w:t>
      </w:r>
      <w:r>
        <w:rPr>
          <w:rtl/>
          <w:lang w:bidi="fa-IR"/>
        </w:rPr>
        <w:t xml:space="preserve"> ، وَذلِكَ أَنَّ </w:t>
      </w:r>
      <w:r w:rsidRPr="00D10E3C">
        <w:rPr>
          <w:rStyle w:val="libFootnotenumChar"/>
          <w:rtl/>
        </w:rPr>
        <w:t>(2)</w:t>
      </w:r>
      <w:r>
        <w:rPr>
          <w:rtl/>
          <w:lang w:bidi="fa-IR"/>
        </w:rPr>
        <w:t xml:space="preserve"> الْعَبْدَ إِذَا لَمْ يَعْرِفْ وَجْهَ رِزْقِهِ ، كَثُرَ دُعَاؤُهُ ». </w:t>
      </w:r>
      <w:r w:rsidRPr="00D10E3C">
        <w:rPr>
          <w:rStyle w:val="libFootnotenumChar"/>
          <w:rtl/>
        </w:rPr>
        <w:t>(3)</w:t>
      </w:r>
    </w:p>
    <w:p w:rsidR="00144FA6" w:rsidRDefault="00744A1C" w:rsidP="00744A1C">
      <w:pPr>
        <w:pStyle w:val="libNormal"/>
        <w:rPr>
          <w:rtl/>
          <w:lang w:bidi="fa-IR"/>
        </w:rPr>
      </w:pPr>
      <w:r>
        <w:rPr>
          <w:rtl/>
          <w:lang w:bidi="fa-IR"/>
        </w:rPr>
        <w:t xml:space="preserve">8415 / 5. عَنْهُ </w:t>
      </w:r>
      <w:r w:rsidRPr="00D10E3C">
        <w:rPr>
          <w:rStyle w:val="libFootnotenumChar"/>
          <w:rtl/>
        </w:rPr>
        <w:t>(4)</w:t>
      </w:r>
      <w:r>
        <w:rPr>
          <w:rtl/>
          <w:lang w:bidi="fa-IR"/>
        </w:rPr>
        <w:t xml:space="preserve"> ، عَنْ مُحَمَّدِ بْنِ عَلِيٍّ ، عَنْ هَارُونَ بْنِ حَمْزَةَ ، عَنْ عَلِيِّ بْنِ عَبْدِ الْعَزِيزِ ، قَالَ :</w:t>
      </w:r>
    </w:p>
    <w:p w:rsidR="00744A1C" w:rsidRDefault="00744A1C" w:rsidP="00744A1C">
      <w:pPr>
        <w:pStyle w:val="libNormal"/>
        <w:rPr>
          <w:lang w:bidi="fa-IR"/>
        </w:rPr>
      </w:pPr>
      <w:r>
        <w:rPr>
          <w:rtl/>
          <w:lang w:bidi="fa-IR"/>
        </w:rPr>
        <w:t xml:space="preserve">قَالَ لِي </w:t>
      </w:r>
      <w:r w:rsidRPr="00D10E3C">
        <w:rPr>
          <w:rStyle w:val="libFootnotenumChar"/>
          <w:rtl/>
        </w:rPr>
        <w:t>(5)</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 مَا فَعَلَ عُمَرُ بْنُ مُسْلِمٍ؟ ».</w:t>
      </w:r>
    </w:p>
    <w:p w:rsidR="00744A1C" w:rsidRDefault="00744A1C" w:rsidP="00744A1C">
      <w:pPr>
        <w:pStyle w:val="libNormal"/>
        <w:rPr>
          <w:lang w:bidi="fa-IR"/>
        </w:rPr>
      </w:pPr>
      <w:r>
        <w:rPr>
          <w:rtl/>
          <w:lang w:bidi="fa-IR"/>
        </w:rPr>
        <w:t>قُلْتُ : جُعِلْتُ فِدَاكَ ، أَقْبَلَ عَلَى الْعِبَادَةِ ، وَتَرَكَ التِّجَارَةَ.</w:t>
      </w:r>
    </w:p>
    <w:p w:rsidR="00744A1C" w:rsidRDefault="00744A1C" w:rsidP="00744A1C">
      <w:pPr>
        <w:pStyle w:val="libNormal"/>
        <w:rPr>
          <w:lang w:bidi="fa-IR"/>
        </w:rPr>
      </w:pPr>
      <w:r>
        <w:rPr>
          <w:rtl/>
          <w:lang w:bidi="fa-IR"/>
        </w:rPr>
        <w:t xml:space="preserve">فَقَالَ </w:t>
      </w:r>
      <w:r w:rsidRPr="00D10E3C">
        <w:rPr>
          <w:rStyle w:val="libFootnotenumChar"/>
          <w:rtl/>
        </w:rPr>
        <w:t>(6)</w:t>
      </w:r>
      <w:r>
        <w:rPr>
          <w:rtl/>
          <w:lang w:bidi="fa-IR"/>
        </w:rPr>
        <w:t xml:space="preserve"> : « وَيْحَهُ </w:t>
      </w:r>
      <w:r w:rsidRPr="00D10E3C">
        <w:rPr>
          <w:rStyle w:val="libFootnotenumChar"/>
          <w:rtl/>
        </w:rPr>
        <w:t>(7)</w:t>
      </w:r>
      <w:r>
        <w:rPr>
          <w:rtl/>
          <w:lang w:bidi="fa-IR"/>
        </w:rPr>
        <w:t xml:space="preserve"> ، أَمَا عَلِمَ </w:t>
      </w:r>
      <w:r w:rsidRPr="00D10E3C">
        <w:rPr>
          <w:rStyle w:val="libFootnotenumChar"/>
          <w:rtl/>
        </w:rPr>
        <w:t>(8)</w:t>
      </w:r>
      <w:r>
        <w:rPr>
          <w:rtl/>
          <w:lang w:bidi="fa-IR"/>
        </w:rPr>
        <w:t xml:space="preserve"> أَنَّ تَارِكَ الطَّلَبِ لَايُسْتَجَابُ لَهُ ، إِنَّ قَوْماً مِنْ أَصْحَابِ رَسُولِ اللهِ </w:t>
      </w:r>
      <w:r w:rsidR="0061079A" w:rsidRPr="0061079A">
        <w:rPr>
          <w:rStyle w:val="libAlaemChar"/>
          <w:rtl/>
        </w:rPr>
        <w:t>صلى‌الله‌عليه‌وآله</w:t>
      </w:r>
      <w:r w:rsidR="00D10E3C">
        <w:rPr>
          <w:rtl/>
          <w:lang w:bidi="fa-IR"/>
        </w:rPr>
        <w:t xml:space="preserve"> </w:t>
      </w:r>
      <w:r>
        <w:rPr>
          <w:rtl/>
          <w:lang w:bidi="fa-IR"/>
        </w:rPr>
        <w:t xml:space="preserve">لَمَّا نَزَلَتْ </w:t>
      </w:r>
      <w:r w:rsidRPr="00D10E3C">
        <w:rPr>
          <w:rStyle w:val="libFootnotenumChar"/>
          <w:rtl/>
        </w:rPr>
        <w:t>(9)</w:t>
      </w:r>
      <w:r>
        <w:rPr>
          <w:rtl/>
          <w:lang w:bidi="fa-IR"/>
        </w:rPr>
        <w:t xml:space="preserve"> : </w:t>
      </w:r>
      <w:r w:rsidRPr="00444CDB">
        <w:rPr>
          <w:rStyle w:val="libAlaemChar"/>
          <w:rtl/>
        </w:rPr>
        <w:t>(</w:t>
      </w:r>
      <w:r w:rsidRPr="00444CDB">
        <w:rPr>
          <w:rStyle w:val="libAieChar"/>
          <w:rtl/>
        </w:rPr>
        <w:t xml:space="preserve"> وَمَنْ يَتَّقِ اللهَ يَجْعَلْ لَهُ مَخْرَجاً وَيَرْزُقْهُ مِنْ حَيْثُ لا يَحْتَسِبُ </w:t>
      </w:r>
      <w:r w:rsidRPr="00444CDB">
        <w:rPr>
          <w:rStyle w:val="libAlaemChar"/>
          <w:rtl/>
        </w:rPr>
        <w:t>)</w:t>
      </w:r>
      <w:r>
        <w:rPr>
          <w:rtl/>
          <w:lang w:bidi="fa-IR"/>
        </w:rPr>
        <w:t xml:space="preserve"> </w:t>
      </w:r>
      <w:r w:rsidRPr="00D10E3C">
        <w:rPr>
          <w:rStyle w:val="libFootnotenumChar"/>
          <w:rtl/>
        </w:rPr>
        <w:t>(10)</w:t>
      </w:r>
      <w:r>
        <w:rPr>
          <w:rtl/>
          <w:lang w:bidi="fa-IR"/>
        </w:rPr>
        <w:t xml:space="preserve"> أَغْلَقُوا </w:t>
      </w:r>
      <w:r w:rsidRPr="00D10E3C">
        <w:rPr>
          <w:rStyle w:val="libFootnotenumChar"/>
          <w:rtl/>
        </w:rPr>
        <w:t>(11)</w:t>
      </w:r>
      <w:r>
        <w:rPr>
          <w:rtl/>
          <w:lang w:bidi="fa-IR"/>
        </w:rPr>
        <w:t xml:space="preserve"> الْأَبْوَابَ ، وَأَقْبَلُوا عَلَى الْعِبَادَةِ ، وَقَالُوا : قَدْ </w:t>
      </w:r>
      <w:r w:rsidRPr="00D10E3C">
        <w:rPr>
          <w:rStyle w:val="libFootnotenumChar"/>
          <w:rtl/>
        </w:rPr>
        <w:t>(12)</w:t>
      </w:r>
      <w:r>
        <w:rPr>
          <w:rtl/>
          <w:lang w:bidi="fa-IR"/>
        </w:rPr>
        <w:t xml:space="preserve"> كُفِينَا ، فَبَلَغَ ذلِكَ النَّبِيَّ </w:t>
      </w:r>
      <w:r w:rsidRPr="00D10E3C">
        <w:rPr>
          <w:rStyle w:val="libFootnotenumChar"/>
          <w:rtl/>
        </w:rPr>
        <w:t>(13)</w:t>
      </w:r>
      <w:r>
        <w:rPr>
          <w:rtl/>
          <w:lang w:bidi="fa-IR"/>
        </w:rPr>
        <w:t xml:space="preserve"> </w:t>
      </w:r>
      <w:r w:rsidR="0017097C" w:rsidRPr="0017097C">
        <w:rPr>
          <w:rStyle w:val="libAlaemChar"/>
          <w:rtl/>
        </w:rPr>
        <w:t>صلى‌الله‌عليه‌وآله</w:t>
      </w:r>
      <w:r w:rsidR="00D10E3C">
        <w:rPr>
          <w:rtl/>
          <w:lang w:bidi="fa-IR"/>
        </w:rPr>
        <w:t xml:space="preserve"> </w:t>
      </w:r>
      <w:r>
        <w:rPr>
          <w:rtl/>
          <w:lang w:bidi="fa-IR"/>
        </w:rPr>
        <w:t xml:space="preserve"> ، فَأَرْسَلَ إِلَيْهِمْ ، فَقَالَ : مَا حَمَلَكُمْ عَلَى مَا صَنَعْتُمْ؟</w:t>
      </w:r>
    </w:p>
    <w:p w:rsidR="00744A1C" w:rsidRDefault="00744A1C" w:rsidP="00744A1C">
      <w:pPr>
        <w:pStyle w:val="libNormal"/>
        <w:rPr>
          <w:lang w:bidi="fa-IR"/>
        </w:rPr>
      </w:pPr>
      <w:r>
        <w:rPr>
          <w:rtl/>
          <w:lang w:bidi="fa-IR"/>
        </w:rPr>
        <w:t xml:space="preserve">فَقَالُوا </w:t>
      </w:r>
      <w:r w:rsidRPr="00D10E3C">
        <w:rPr>
          <w:rStyle w:val="libFootnotenumChar"/>
          <w:rtl/>
        </w:rPr>
        <w:t>(14)</w:t>
      </w:r>
      <w:r>
        <w:rPr>
          <w:rtl/>
          <w:lang w:bidi="fa-IR"/>
        </w:rPr>
        <w:t xml:space="preserve"> : يَا رَسُولَ اللهِ ، </w:t>
      </w:r>
      <w:r w:rsidRPr="00D10E3C">
        <w:rPr>
          <w:rStyle w:val="libFootnotenumChar"/>
          <w:rtl/>
        </w:rPr>
        <w:t>(15)</w:t>
      </w:r>
      <w:r>
        <w:rPr>
          <w:rtl/>
          <w:lang w:bidi="fa-IR"/>
        </w:rPr>
        <w:t xml:space="preserve"> تُكُفِّلَ لَنَا بِأَرْزَاقِنَا ، فَأَقْبَلْنَا عَلَى الْعِبَادَةِ ، فَقَالَ : إِنَّهُ مَنْ‌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D04990">
        <w:rPr>
          <w:rtl/>
        </w:rPr>
        <w:t>الوسائل والتهذيب</w:t>
      </w:r>
      <w:r w:rsidR="00744A1C">
        <w:rPr>
          <w:rtl/>
          <w:lang w:bidi="fa-IR"/>
        </w:rPr>
        <w:t xml:space="preserve"> والأمالي للصدوق : « لم يحتسبوا ».</w:t>
      </w:r>
    </w:p>
    <w:p w:rsidR="00744A1C" w:rsidRDefault="00E378DD" w:rsidP="00E378DD">
      <w:pPr>
        <w:pStyle w:val="libFootnote0"/>
        <w:rPr>
          <w:lang w:bidi="fa-IR"/>
        </w:rPr>
      </w:pPr>
      <w:r>
        <w:rPr>
          <w:rtl/>
          <w:lang w:bidi="fa-IR"/>
        </w:rPr>
        <w:t>(2).</w:t>
      </w:r>
      <w:r w:rsidR="00744A1C">
        <w:rPr>
          <w:rtl/>
          <w:lang w:bidi="fa-IR"/>
        </w:rPr>
        <w:t xml:space="preserve"> في « بف » : « لأنّ ».</w:t>
      </w:r>
    </w:p>
    <w:p w:rsidR="00744A1C" w:rsidRDefault="00E378DD" w:rsidP="00E378DD">
      <w:pPr>
        <w:pStyle w:val="libFootnote0"/>
        <w:rPr>
          <w:lang w:bidi="fa-IR"/>
        </w:rPr>
      </w:pPr>
      <w:r>
        <w:rPr>
          <w:rtl/>
          <w:lang w:bidi="fa-IR"/>
        </w:rPr>
        <w:t>(3).</w:t>
      </w:r>
      <w:r w:rsidR="00744A1C">
        <w:rPr>
          <w:rtl/>
          <w:lang w:bidi="fa-IR"/>
        </w:rPr>
        <w:t xml:space="preserve"> </w:t>
      </w:r>
      <w:r w:rsidR="00744A1C" w:rsidRPr="00D04990">
        <w:rPr>
          <w:rStyle w:val="libFootnoteBoldChar"/>
          <w:rtl/>
        </w:rPr>
        <w:t>الأمالي للصدوق</w:t>
      </w:r>
      <w:r w:rsidR="00744A1C">
        <w:rPr>
          <w:rtl/>
          <w:lang w:bidi="fa-IR"/>
        </w:rPr>
        <w:t xml:space="preserve"> ، ص 181 ، المجلس 34 ، ح 6 ؛ والتوحيد ، ص 402 ، ح 8 ، بسندهما عن أحمد بن محمّد بن خالد ، عن أبيه ، عن صفوان بن يحيى. </w:t>
      </w:r>
      <w:r w:rsidR="00744A1C" w:rsidRPr="00C24F9C">
        <w:rPr>
          <w:rStyle w:val="libFootnoteBoldChar"/>
          <w:rtl/>
        </w:rPr>
        <w:t>التهذيب</w:t>
      </w:r>
      <w:r w:rsidR="00744A1C">
        <w:rPr>
          <w:rtl/>
          <w:lang w:bidi="fa-IR"/>
        </w:rPr>
        <w:t xml:space="preserve"> ، ج 6 ، ص 328 ، ح 905 ، بسنده عن صفوان بن يحيى. </w:t>
      </w:r>
      <w:r w:rsidR="00744A1C" w:rsidRPr="00C24F9C">
        <w:rPr>
          <w:rStyle w:val="libFootnoteBoldChar"/>
          <w:rtl/>
        </w:rPr>
        <w:t>الفقيه</w:t>
      </w:r>
      <w:r w:rsidR="00744A1C">
        <w:rPr>
          <w:rtl/>
          <w:lang w:bidi="fa-IR"/>
        </w:rPr>
        <w:t xml:space="preserve"> ، ج 3 ، ص 165 ، ح 3608 ، مرسلاً ، من دون التصريح باسم المعصوم </w:t>
      </w:r>
      <w:r w:rsidR="0061079A" w:rsidRPr="0061079A">
        <w:rPr>
          <w:rStyle w:val="libFootnoteAlaemChar"/>
          <w:rtl/>
        </w:rPr>
        <w:t>عليه‌السلام</w:t>
      </w:r>
      <w:r w:rsidR="00D10E3C">
        <w:rPr>
          <w:rtl/>
          <w:lang w:bidi="fa-IR"/>
        </w:rPr>
        <w:t xml:space="preserve"> </w:t>
      </w:r>
      <w:r w:rsidR="00D04990">
        <w:rPr>
          <w:rFonts w:hint="cs"/>
          <w:rtl/>
          <w:lang w:bidi="fa-IR"/>
        </w:rPr>
        <w:t>.</w:t>
      </w:r>
      <w:r w:rsidR="00744A1C" w:rsidRPr="00C24F9C">
        <w:rPr>
          <w:rStyle w:val="libFootnoteBoldChar"/>
          <w:rtl/>
        </w:rPr>
        <w:t>الوافي</w:t>
      </w:r>
      <w:r w:rsidR="00D04990">
        <w:rPr>
          <w:rtl/>
          <w:lang w:bidi="fa-IR"/>
        </w:rPr>
        <w:t xml:space="preserve"> ، ج 17 ، ص 67 ، ح 16874</w:t>
      </w:r>
      <w:r w:rsidR="00744A1C">
        <w:rPr>
          <w:rtl/>
          <w:lang w:bidi="fa-IR"/>
        </w:rPr>
        <w:t>؛</w:t>
      </w:r>
      <w:r w:rsidR="00744A1C" w:rsidRPr="00C24F9C">
        <w:rPr>
          <w:rStyle w:val="libFootnoteBoldChar"/>
          <w:rtl/>
        </w:rPr>
        <w:t>الوسائل</w:t>
      </w:r>
      <w:r w:rsidR="00744A1C">
        <w:rPr>
          <w:rtl/>
          <w:lang w:bidi="fa-IR"/>
        </w:rPr>
        <w:t xml:space="preserve"> ، ج 17 ، ص 51 ، ح 21954. </w:t>
      </w:r>
      <w:r w:rsidR="00D04990">
        <w:rPr>
          <w:rFonts w:hint="cs"/>
          <w:rtl/>
          <w:lang w:bidi="fa-IR"/>
        </w:rPr>
        <w:t xml:space="preserve">  </w:t>
      </w:r>
      <w:r>
        <w:rPr>
          <w:rtl/>
          <w:lang w:bidi="fa-IR"/>
        </w:rPr>
        <w:t>(4).</w:t>
      </w:r>
      <w:r w:rsidR="00744A1C">
        <w:rPr>
          <w:rtl/>
          <w:lang w:bidi="fa-IR"/>
        </w:rPr>
        <w:t xml:space="preserve"> الضمير راجع إلى أحمد بن أبي عبد الله.</w:t>
      </w:r>
    </w:p>
    <w:p w:rsidR="00744A1C" w:rsidRDefault="00E378DD" w:rsidP="00E378DD">
      <w:pPr>
        <w:pStyle w:val="libFootnote0"/>
        <w:rPr>
          <w:lang w:bidi="fa-IR"/>
        </w:rPr>
      </w:pPr>
      <w:r>
        <w:rPr>
          <w:rtl/>
          <w:lang w:bidi="fa-IR"/>
        </w:rPr>
        <w:t>(5).</w:t>
      </w:r>
      <w:r w:rsidR="00744A1C">
        <w:rPr>
          <w:rtl/>
          <w:lang w:bidi="fa-IR"/>
        </w:rPr>
        <w:t xml:space="preserve"> في « ط » وحاشية « ى » </w:t>
      </w:r>
      <w:r w:rsidR="00744A1C" w:rsidRPr="00D04990">
        <w:rPr>
          <w:rtl/>
        </w:rPr>
        <w:t>والفقيه والتهذيب</w:t>
      </w:r>
      <w:r w:rsidR="00744A1C">
        <w:rPr>
          <w:rtl/>
          <w:lang w:bidi="fa-IR"/>
        </w:rPr>
        <w:t xml:space="preserve"> : - « لي ».</w:t>
      </w:r>
    </w:p>
    <w:tbl>
      <w:tblPr>
        <w:tblStyle w:val="TableGrid"/>
        <w:bidiVisual/>
        <w:tblW w:w="0" w:type="auto"/>
        <w:tblLook w:val="04A0" w:firstRow="1" w:lastRow="0" w:firstColumn="1" w:lastColumn="0" w:noHBand="0" w:noVBand="1"/>
      </w:tblPr>
      <w:tblGrid>
        <w:gridCol w:w="4006"/>
        <w:gridCol w:w="4006"/>
      </w:tblGrid>
      <w:tr w:rsidR="00D04990" w:rsidTr="00D04990">
        <w:tc>
          <w:tcPr>
            <w:tcW w:w="4006" w:type="dxa"/>
          </w:tcPr>
          <w:p w:rsidR="00D04990" w:rsidRDefault="00D04990" w:rsidP="00E378DD">
            <w:pPr>
              <w:pStyle w:val="libFootnote0"/>
              <w:rPr>
                <w:rtl/>
                <w:lang w:bidi="fa-IR"/>
              </w:rPr>
            </w:pPr>
            <w:r>
              <w:rPr>
                <w:rtl/>
                <w:lang w:bidi="fa-IR"/>
              </w:rPr>
              <w:t xml:space="preserve">(6). في </w:t>
            </w:r>
            <w:r w:rsidRPr="00C24F9C">
              <w:rPr>
                <w:rStyle w:val="libFootnoteBoldChar"/>
                <w:rtl/>
              </w:rPr>
              <w:t>الوافي</w:t>
            </w:r>
            <w:r>
              <w:rPr>
                <w:rtl/>
                <w:lang w:bidi="fa-IR"/>
              </w:rPr>
              <w:t xml:space="preserve"> : « قال ».</w:t>
            </w:r>
          </w:p>
        </w:tc>
        <w:tc>
          <w:tcPr>
            <w:tcW w:w="4006" w:type="dxa"/>
          </w:tcPr>
          <w:p w:rsidR="00D04990" w:rsidRDefault="00D04990" w:rsidP="00E378DD">
            <w:pPr>
              <w:pStyle w:val="libFootnote0"/>
              <w:rPr>
                <w:rtl/>
                <w:lang w:bidi="fa-IR"/>
              </w:rPr>
            </w:pPr>
            <w:r>
              <w:rPr>
                <w:rtl/>
                <w:lang w:bidi="fa-IR"/>
              </w:rPr>
              <w:t>(7). في « ط » : « ويحك ».</w:t>
            </w:r>
          </w:p>
        </w:tc>
      </w:tr>
      <w:tr w:rsidR="00D04990" w:rsidTr="00D04990">
        <w:tc>
          <w:tcPr>
            <w:tcW w:w="4006" w:type="dxa"/>
          </w:tcPr>
          <w:p w:rsidR="00D04990" w:rsidRDefault="00D04990" w:rsidP="00E378DD">
            <w:pPr>
              <w:pStyle w:val="libFootnote0"/>
              <w:rPr>
                <w:rtl/>
                <w:lang w:bidi="fa-IR"/>
              </w:rPr>
            </w:pPr>
            <w:r>
              <w:rPr>
                <w:rtl/>
                <w:lang w:bidi="fa-IR"/>
              </w:rPr>
              <w:t>(8). في « ط » : « علمتم ».</w:t>
            </w:r>
          </w:p>
        </w:tc>
        <w:tc>
          <w:tcPr>
            <w:tcW w:w="4006" w:type="dxa"/>
          </w:tcPr>
          <w:p w:rsidR="00D04990" w:rsidRDefault="00D04990" w:rsidP="00E378DD">
            <w:pPr>
              <w:pStyle w:val="libFootnote0"/>
              <w:rPr>
                <w:rtl/>
                <w:lang w:bidi="fa-IR"/>
              </w:rPr>
            </w:pPr>
            <w:r>
              <w:rPr>
                <w:rtl/>
                <w:lang w:bidi="fa-IR"/>
              </w:rPr>
              <w:t>(9). في « بخ » : « نزل ».</w:t>
            </w:r>
          </w:p>
        </w:tc>
      </w:tr>
    </w:tbl>
    <w:p w:rsidR="00744A1C" w:rsidRDefault="00E378DD" w:rsidP="00E378DD">
      <w:pPr>
        <w:pStyle w:val="libFootnote0"/>
        <w:rPr>
          <w:lang w:bidi="fa-IR"/>
        </w:rPr>
      </w:pPr>
      <w:r>
        <w:rPr>
          <w:rtl/>
          <w:lang w:bidi="fa-IR"/>
        </w:rPr>
        <w:t>(10).</w:t>
      </w:r>
      <w:r w:rsidR="00744A1C">
        <w:rPr>
          <w:rtl/>
          <w:lang w:bidi="fa-IR"/>
        </w:rPr>
        <w:t xml:space="preserve"> الطلاق (65) : 3.</w:t>
      </w:r>
    </w:p>
    <w:p w:rsidR="00744A1C" w:rsidRDefault="00E378DD" w:rsidP="00E378DD">
      <w:pPr>
        <w:pStyle w:val="libFootnote0"/>
        <w:rPr>
          <w:lang w:bidi="fa-IR"/>
        </w:rPr>
      </w:pPr>
      <w:r>
        <w:rPr>
          <w:rtl/>
          <w:lang w:bidi="fa-IR"/>
        </w:rPr>
        <w:t>(11).</w:t>
      </w:r>
      <w:r w:rsidR="00744A1C">
        <w:rPr>
          <w:rtl/>
          <w:lang w:bidi="fa-IR"/>
        </w:rPr>
        <w:t xml:space="preserve"> في « بف » </w:t>
      </w:r>
      <w:r w:rsidR="00744A1C" w:rsidRPr="005D6887">
        <w:rPr>
          <w:rtl/>
        </w:rPr>
        <w:t>و</w:t>
      </w:r>
      <w:r w:rsidR="005D6887">
        <w:rPr>
          <w:rFonts w:hint="cs"/>
          <w:rtl/>
        </w:rPr>
        <w:t xml:space="preserve"> </w:t>
      </w:r>
      <w:r w:rsidR="00744A1C" w:rsidRPr="005D6887">
        <w:rPr>
          <w:rtl/>
        </w:rPr>
        <w:t>التهذيب</w:t>
      </w:r>
      <w:r w:rsidR="00744A1C">
        <w:rPr>
          <w:rtl/>
          <w:lang w:bidi="fa-IR"/>
        </w:rPr>
        <w:t xml:space="preserve"> : « غلقوا ». وهيئة المجرّد والإفعال والتفعيل بمعنى.</w:t>
      </w:r>
    </w:p>
    <w:tbl>
      <w:tblPr>
        <w:tblStyle w:val="TableGrid"/>
        <w:bidiVisual/>
        <w:tblW w:w="0" w:type="auto"/>
        <w:tblLook w:val="04A0" w:firstRow="1" w:lastRow="0" w:firstColumn="1" w:lastColumn="0" w:noHBand="0" w:noVBand="1"/>
      </w:tblPr>
      <w:tblGrid>
        <w:gridCol w:w="4006"/>
        <w:gridCol w:w="4006"/>
      </w:tblGrid>
      <w:tr w:rsidR="005D6887" w:rsidTr="005D6887">
        <w:tc>
          <w:tcPr>
            <w:tcW w:w="4006" w:type="dxa"/>
          </w:tcPr>
          <w:p w:rsidR="005D6887" w:rsidRDefault="005D6887" w:rsidP="00E378DD">
            <w:pPr>
              <w:pStyle w:val="libFootnote0"/>
              <w:rPr>
                <w:rtl/>
                <w:lang w:bidi="fa-IR"/>
              </w:rPr>
            </w:pPr>
            <w:r>
              <w:rPr>
                <w:rtl/>
                <w:lang w:bidi="fa-IR"/>
              </w:rPr>
              <w:t xml:space="preserve">(12). في </w:t>
            </w:r>
            <w:r w:rsidRPr="005D6887">
              <w:rPr>
                <w:rtl/>
              </w:rPr>
              <w:t>البحار</w:t>
            </w:r>
            <w:r>
              <w:rPr>
                <w:rtl/>
                <w:lang w:bidi="fa-IR"/>
              </w:rPr>
              <w:t xml:space="preserve"> ، ج 70 : - « قد ».</w:t>
            </w:r>
          </w:p>
        </w:tc>
        <w:tc>
          <w:tcPr>
            <w:tcW w:w="4006" w:type="dxa"/>
          </w:tcPr>
          <w:p w:rsidR="005D6887" w:rsidRDefault="005D6887" w:rsidP="00E378DD">
            <w:pPr>
              <w:pStyle w:val="libFootnote0"/>
              <w:rPr>
                <w:rtl/>
                <w:lang w:bidi="fa-IR"/>
              </w:rPr>
            </w:pPr>
            <w:r>
              <w:rPr>
                <w:rtl/>
                <w:lang w:bidi="fa-IR"/>
              </w:rPr>
              <w:t>(13). في«بخ،بف،جت»</w:t>
            </w:r>
            <w:r w:rsidRPr="005D6887">
              <w:rPr>
                <w:rtl/>
              </w:rPr>
              <w:t>والوافي والفقيه</w:t>
            </w:r>
            <w:r>
              <w:rPr>
                <w:rtl/>
                <w:lang w:bidi="fa-IR"/>
              </w:rPr>
              <w:t xml:space="preserve"> :« رسول الله ».</w:t>
            </w:r>
          </w:p>
        </w:tc>
      </w:tr>
    </w:tbl>
    <w:p w:rsidR="00744A1C" w:rsidRDefault="00E378DD" w:rsidP="00E03D75">
      <w:pPr>
        <w:pStyle w:val="libFootnote0"/>
        <w:rPr>
          <w:lang w:bidi="fa-IR"/>
        </w:rPr>
      </w:pPr>
      <w:r>
        <w:rPr>
          <w:rtl/>
          <w:lang w:bidi="fa-IR"/>
        </w:rPr>
        <w:t>(14).</w:t>
      </w:r>
      <w:r w:rsidR="00744A1C">
        <w:rPr>
          <w:rtl/>
          <w:lang w:bidi="fa-IR"/>
        </w:rPr>
        <w:t xml:space="preserve"> هكذا في « ط ، ى ، بح ، بخ ، بس ، بف ، جد ، جن » و</w:t>
      </w:r>
      <w:r w:rsidR="00744A1C" w:rsidRPr="00C24F9C">
        <w:rPr>
          <w:rStyle w:val="libFootnoteBoldChar"/>
          <w:rtl/>
        </w:rPr>
        <w:t>الوافي</w:t>
      </w:r>
      <w:r w:rsidR="00744A1C">
        <w:rPr>
          <w:rtl/>
          <w:lang w:bidi="fa-IR"/>
        </w:rPr>
        <w:t xml:space="preserve"> و</w:t>
      </w:r>
      <w:r w:rsidR="00744A1C" w:rsidRPr="0061079A">
        <w:rPr>
          <w:rStyle w:val="libFootnoteBoldChar"/>
          <w:rtl/>
        </w:rPr>
        <w:t>البحار</w:t>
      </w:r>
      <w:r w:rsidR="00744A1C">
        <w:rPr>
          <w:rtl/>
          <w:lang w:bidi="fa-IR"/>
        </w:rPr>
        <w:t xml:space="preserve"> ، ج 22 و 70 </w:t>
      </w:r>
      <w:r w:rsidR="00744A1C" w:rsidRPr="0061079A">
        <w:rPr>
          <w:rStyle w:val="libFootnoteBoldChar"/>
          <w:rtl/>
        </w:rPr>
        <w:t>والتهذيب</w:t>
      </w:r>
      <w:r w:rsidR="00744A1C">
        <w:rPr>
          <w:rtl/>
          <w:lang w:bidi="fa-IR"/>
        </w:rPr>
        <w:t>. وفي المطبوع : « قالوا ».</w:t>
      </w:r>
      <w:r w:rsidR="00E03D75">
        <w:rPr>
          <w:rFonts w:hint="cs"/>
          <w:rtl/>
          <w:lang w:bidi="fa-IR"/>
        </w:rPr>
        <w:t xml:space="preserve">                                      </w:t>
      </w:r>
      <w:r>
        <w:rPr>
          <w:rtl/>
          <w:lang w:bidi="fa-IR"/>
        </w:rPr>
        <w:t>(15).</w:t>
      </w:r>
      <w:r w:rsidR="00744A1C">
        <w:rPr>
          <w:rtl/>
          <w:lang w:bidi="fa-IR"/>
        </w:rPr>
        <w:t xml:space="preserve"> في « ى ، بخ ، بس ، جن » : + « الله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فَعَلَ ذلِكَ لَمْ يُسْتَجَبْ لَهُ ، عَلَيْكُمْ بِالطَّلَبِ ». </w:t>
      </w:r>
      <w:r w:rsidRPr="00D10E3C">
        <w:rPr>
          <w:rStyle w:val="libFootnotenumChar"/>
          <w:rtl/>
        </w:rPr>
        <w:t>(1)</w:t>
      </w:r>
    </w:p>
    <w:p w:rsidR="00144FA6" w:rsidRDefault="00744A1C" w:rsidP="00BC3D7E">
      <w:pPr>
        <w:pStyle w:val="Heading2Center"/>
        <w:rPr>
          <w:rtl/>
          <w:lang w:bidi="fa-IR"/>
        </w:rPr>
      </w:pPr>
      <w:bookmarkStart w:id="132" w:name="_Toc49261430"/>
      <w:r>
        <w:rPr>
          <w:rtl/>
          <w:lang w:bidi="fa-IR"/>
        </w:rPr>
        <w:t xml:space="preserve">9 - بَابُ كَرَاهِيَةِ </w:t>
      </w:r>
      <w:r w:rsidRPr="00D10E3C">
        <w:rPr>
          <w:rStyle w:val="libFootnotenumChar"/>
          <w:rtl/>
        </w:rPr>
        <w:t>(2)</w:t>
      </w:r>
      <w:r>
        <w:rPr>
          <w:rtl/>
          <w:lang w:bidi="fa-IR"/>
        </w:rPr>
        <w:t xml:space="preserve"> النَّوْمِ وَالْفَرَاغِ </w:t>
      </w:r>
      <w:r w:rsidRPr="00D10E3C">
        <w:rPr>
          <w:rStyle w:val="libFootnotenumChar"/>
          <w:rtl/>
        </w:rPr>
        <w:t>(3)</w:t>
      </w:r>
      <w:bookmarkEnd w:id="132"/>
    </w:p>
    <w:p w:rsidR="00144FA6" w:rsidRDefault="00744A1C" w:rsidP="00744A1C">
      <w:pPr>
        <w:pStyle w:val="libNormal"/>
        <w:rPr>
          <w:rtl/>
          <w:lang w:bidi="fa-IR"/>
        </w:rPr>
      </w:pPr>
      <w:r>
        <w:rPr>
          <w:rtl/>
          <w:lang w:bidi="fa-IR"/>
        </w:rPr>
        <w:t>8416 / 1. عِدَّةٌ مِنْ أَصْحَابِنَا ، عَنْ سَهْلِ بْنِ زِيَادٍ ، عَنِ ابْنِ مَحْبُوبٍ ، عَنْ يُونُسَ بْنِ يَعْقُوبَ ، عَمَّنْ ذَكَرَهُ :</w:t>
      </w:r>
    </w:p>
    <w:p w:rsidR="00144FA6" w:rsidRDefault="00744A1C" w:rsidP="00744A1C">
      <w:pPr>
        <w:pStyle w:val="libNormal"/>
        <w:rPr>
          <w:rtl/>
          <w:lang w:bidi="fa-IR"/>
        </w:rPr>
      </w:pPr>
      <w:r>
        <w:rPr>
          <w:rtl/>
          <w:lang w:bidi="fa-IR"/>
        </w:rPr>
        <w:t xml:space="preserve">عَنْ أَبِي عَبْدِ اللهِ </w:t>
      </w:r>
      <w:r w:rsidR="004F26EE" w:rsidRPr="004F26EE">
        <w:rPr>
          <w:rStyle w:val="libAlaemChar"/>
          <w:rtl/>
        </w:rPr>
        <w:t>عليه‌السلام</w:t>
      </w:r>
      <w:r w:rsidR="00D10E3C">
        <w:rPr>
          <w:rtl/>
          <w:lang w:bidi="fa-IR"/>
        </w:rPr>
        <w:t xml:space="preserve"> </w:t>
      </w:r>
      <w:r>
        <w:rPr>
          <w:rtl/>
          <w:lang w:bidi="fa-IR"/>
        </w:rPr>
        <w:t xml:space="preserve">، قَالَ : « كَثْرَةُ النَّوْمِ مَذْهَبَةٌ لِلدِّينِ وَالدُّنْيَا ». </w:t>
      </w:r>
      <w:r w:rsidRPr="00D10E3C">
        <w:rPr>
          <w:rStyle w:val="libFootnotenumChar"/>
          <w:rtl/>
        </w:rPr>
        <w:t>(4)</w:t>
      </w:r>
    </w:p>
    <w:p w:rsidR="00144FA6" w:rsidRDefault="00744A1C" w:rsidP="00744A1C">
      <w:pPr>
        <w:pStyle w:val="libNormal"/>
        <w:rPr>
          <w:rtl/>
          <w:lang w:bidi="fa-IR"/>
        </w:rPr>
      </w:pPr>
      <w:r>
        <w:rPr>
          <w:rtl/>
          <w:lang w:bidi="fa-IR"/>
        </w:rPr>
        <w:t>8417 / 2. مُحَمَّدُ بْنُ يَحْيى ، عَنْ أَحْمَدَ بْنِ مُحَمَّدٍ ، عَنِ ابْنِ فَضَّالٍ ، عَمَّنْ ذَكَرَهُ ، عَنْ بَشِيرٍ الدَّهَّانِ ، قَالَ :</w:t>
      </w:r>
    </w:p>
    <w:p w:rsidR="00144FA6" w:rsidRDefault="00744A1C" w:rsidP="00744A1C">
      <w:pPr>
        <w:pStyle w:val="libNormal"/>
        <w:rPr>
          <w:rtl/>
          <w:lang w:bidi="fa-IR"/>
        </w:rPr>
      </w:pPr>
      <w:r>
        <w:rPr>
          <w:rtl/>
          <w:lang w:bidi="fa-IR"/>
        </w:rPr>
        <w:t xml:space="preserve">سَمِعْتُ أَبَا الْحَسَنِ مُوسى </w:t>
      </w:r>
      <w:r w:rsidR="0061079A" w:rsidRPr="0061079A">
        <w:rPr>
          <w:rStyle w:val="libAlaemChar"/>
          <w:rtl/>
        </w:rPr>
        <w:t>عليه‌السلام</w:t>
      </w:r>
      <w:r w:rsidR="00D10E3C">
        <w:rPr>
          <w:rtl/>
          <w:lang w:bidi="fa-IR"/>
        </w:rPr>
        <w:t xml:space="preserve"> </w:t>
      </w:r>
      <w:r>
        <w:rPr>
          <w:rtl/>
          <w:lang w:bidi="fa-IR"/>
        </w:rPr>
        <w:t>يَقُولُ : « إِنَّ اللهَ - جَلَّ وَعَزَّ - يُبْغِضُ ا</w:t>
      </w:r>
      <w:r w:rsidR="00BC3D7E">
        <w:rPr>
          <w:rtl/>
          <w:lang w:bidi="fa-IR"/>
        </w:rPr>
        <w:t>لْعَبْدَ النَّوَّامَ الْفَارِغَ</w:t>
      </w:r>
      <w:r>
        <w:rPr>
          <w:rtl/>
          <w:lang w:bidi="fa-IR"/>
        </w:rPr>
        <w:t>».</w:t>
      </w:r>
      <w:r w:rsidRPr="00D10E3C">
        <w:rPr>
          <w:rStyle w:val="libFootnotenumChar"/>
          <w:rtl/>
        </w:rPr>
        <w:t>(5)</w:t>
      </w:r>
    </w:p>
    <w:p w:rsidR="00144FA6" w:rsidRDefault="00744A1C" w:rsidP="00744A1C">
      <w:pPr>
        <w:pStyle w:val="libNormal"/>
        <w:rPr>
          <w:rtl/>
          <w:lang w:bidi="fa-IR"/>
        </w:rPr>
      </w:pPr>
      <w:r>
        <w:rPr>
          <w:rtl/>
          <w:lang w:bidi="fa-IR"/>
        </w:rPr>
        <w:t xml:space="preserve">8418 / 3. عِدَّةٌ مِنْ أَصْحَابِنَا ، عَنْ أَحْمَدَ بْنِ مُحَمَّدِ بْنِ خَالِدٍ </w:t>
      </w:r>
      <w:r w:rsidRPr="00D10E3C">
        <w:rPr>
          <w:rStyle w:val="libFootnotenumChar"/>
          <w:rtl/>
        </w:rPr>
        <w:t>(6)</w:t>
      </w:r>
      <w:r>
        <w:rPr>
          <w:rtl/>
          <w:lang w:bidi="fa-IR"/>
        </w:rPr>
        <w:t xml:space="preserve"> ، عَنْ أَبِيهِ ، عَنِ ابْنِ سِنَانٍ ، عَنْ عَبْدِ اللهِ بْنِ مُسْكَانَ وَ </w:t>
      </w:r>
      <w:r w:rsidRPr="00D10E3C">
        <w:rPr>
          <w:rStyle w:val="libFootnotenumChar"/>
          <w:rtl/>
        </w:rPr>
        <w:t>(7)</w:t>
      </w:r>
      <w:r>
        <w:rPr>
          <w:rtl/>
          <w:lang w:bidi="fa-IR"/>
        </w:rPr>
        <w:t xml:space="preserve"> صَالِحٍ النِّيلِيِّ ، عَنْ أَبِي بَصِيرٍ :</w:t>
      </w:r>
    </w:p>
    <w:p w:rsidR="00744A1C" w:rsidRDefault="00744A1C" w:rsidP="00D10E3C">
      <w:pPr>
        <w:pStyle w:val="libLine"/>
        <w:rPr>
          <w:lang w:bidi="fa-IR"/>
        </w:rPr>
      </w:pPr>
      <w:r>
        <w:rPr>
          <w:rtl/>
          <w:lang w:bidi="fa-IR"/>
        </w:rPr>
        <w:t>____________________</w:t>
      </w:r>
    </w:p>
    <w:p w:rsidR="00744A1C" w:rsidRDefault="00D10E3C" w:rsidP="00BC3D7E">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6 ، ص 323 ، ح 885 ، معلّقاً عن أحمد بن أبي عبد الله ، عن محمّد بن عليّ. </w:t>
      </w:r>
      <w:r w:rsidR="00744A1C" w:rsidRPr="00C24F9C">
        <w:rPr>
          <w:rStyle w:val="libFootnoteBoldChar"/>
          <w:rtl/>
        </w:rPr>
        <w:t>الفقيه</w:t>
      </w:r>
      <w:r w:rsidR="00744A1C">
        <w:rPr>
          <w:rtl/>
          <w:lang w:bidi="fa-IR"/>
        </w:rPr>
        <w:t xml:space="preserve"> ، ج 3 ، ص 192 ، ح 3721 ، معلّقاً عن هارون بن حمزة ، مع زيادة في آخره </w:t>
      </w:r>
      <w:r w:rsidR="00BC3D7E">
        <w:rPr>
          <w:rFonts w:hint="cs"/>
          <w:rtl/>
          <w:lang w:bidi="fa-IR"/>
        </w:rPr>
        <w:t>.</w:t>
      </w:r>
      <w:r w:rsidR="00744A1C" w:rsidRPr="00C24F9C">
        <w:rPr>
          <w:rStyle w:val="libFootnoteBoldChar"/>
          <w:rtl/>
        </w:rPr>
        <w:t>الوافي</w:t>
      </w:r>
      <w:r w:rsidR="00744A1C">
        <w:rPr>
          <w:rtl/>
          <w:lang w:bidi="fa-IR"/>
        </w:rPr>
        <w:t xml:space="preserve"> ، ج 17 ، ص 68 ، ح 16875 ؛ </w:t>
      </w:r>
      <w:r w:rsidR="00744A1C" w:rsidRPr="00C24F9C">
        <w:rPr>
          <w:rStyle w:val="libFootnoteBoldChar"/>
          <w:rtl/>
        </w:rPr>
        <w:t>الوسائل</w:t>
      </w:r>
      <w:r w:rsidR="00744A1C">
        <w:rPr>
          <w:rtl/>
          <w:lang w:bidi="fa-IR"/>
        </w:rPr>
        <w:t xml:space="preserve"> ، ج 17 ، ص 27 ، ذيل ح 21894 ؛ </w:t>
      </w:r>
      <w:r w:rsidR="00744A1C" w:rsidRPr="0061079A">
        <w:rPr>
          <w:rStyle w:val="libFootnoteBoldChar"/>
          <w:rtl/>
        </w:rPr>
        <w:t>البحار</w:t>
      </w:r>
      <w:r w:rsidR="00744A1C">
        <w:rPr>
          <w:rtl/>
          <w:lang w:bidi="fa-IR"/>
        </w:rPr>
        <w:t xml:space="preserve"> ، ج 22 ، ص 131 ، ح 111 ؛ وفيه ؛ ج 70 ، ص 281 ، من قوله : « إنّ قوماً من أصحاب رسول الله </w:t>
      </w:r>
      <w:r w:rsidR="004D054E" w:rsidRPr="00BC3D7E">
        <w:rPr>
          <w:rStyle w:val="libFootnoteAlaemChar"/>
          <w:rtl/>
        </w:rPr>
        <w:t>صلى‌الله‌عليه‌وآله</w:t>
      </w:r>
      <w:r>
        <w:rPr>
          <w:rtl/>
          <w:lang w:bidi="fa-IR"/>
        </w:rPr>
        <w:t xml:space="preserve"> </w:t>
      </w:r>
      <w:r w:rsidR="00744A1C">
        <w:rPr>
          <w:rtl/>
          <w:lang w:bidi="fa-IR"/>
        </w:rPr>
        <w:t>».</w:t>
      </w:r>
      <w:r w:rsidR="00BC3D7E">
        <w:rPr>
          <w:rFonts w:hint="cs"/>
          <w:rtl/>
          <w:lang w:bidi="fa-IR"/>
        </w:rPr>
        <w:t xml:space="preserve">      </w:t>
      </w:r>
      <w:r w:rsidR="004657F8">
        <w:rPr>
          <w:rFonts w:hint="cs"/>
          <w:rtl/>
          <w:lang w:bidi="fa-IR"/>
        </w:rPr>
        <w:t xml:space="preserve"> </w:t>
      </w:r>
      <w:r w:rsidR="00BC3D7E">
        <w:rPr>
          <w:rFonts w:hint="cs"/>
          <w:rtl/>
          <w:lang w:bidi="fa-IR"/>
        </w:rPr>
        <w:t xml:space="preserve">  </w:t>
      </w:r>
      <w:r w:rsidR="00E378DD">
        <w:rPr>
          <w:rtl/>
          <w:lang w:bidi="fa-IR"/>
        </w:rPr>
        <w:t>(2).</w:t>
      </w:r>
      <w:r w:rsidR="00BC3D7E">
        <w:rPr>
          <w:rtl/>
          <w:lang w:bidi="fa-IR"/>
        </w:rPr>
        <w:t xml:space="preserve"> في«ط،بح،بس،جد»</w:t>
      </w:r>
      <w:r w:rsidR="00744A1C">
        <w:rPr>
          <w:rtl/>
          <w:lang w:bidi="fa-IR"/>
        </w:rPr>
        <w:t>و</w:t>
      </w:r>
      <w:r w:rsidR="00744A1C" w:rsidRPr="00C24F9C">
        <w:rPr>
          <w:rStyle w:val="libFootnoteBoldChar"/>
          <w:rtl/>
        </w:rPr>
        <w:t>المرآة</w:t>
      </w:r>
      <w:r w:rsidR="00BC3D7E">
        <w:rPr>
          <w:rtl/>
          <w:lang w:bidi="fa-IR"/>
        </w:rPr>
        <w:t xml:space="preserve"> :«كراهة</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في « ى ، بح ، بس ، جد ، جن » و</w:t>
      </w:r>
      <w:r w:rsidR="00744A1C" w:rsidRPr="00C24F9C">
        <w:rPr>
          <w:rStyle w:val="libFootnoteBoldChar"/>
          <w:rtl/>
        </w:rPr>
        <w:t>المرآة</w:t>
      </w:r>
      <w:r w:rsidR="00744A1C">
        <w:rPr>
          <w:rtl/>
          <w:lang w:bidi="fa-IR"/>
        </w:rPr>
        <w:t xml:space="preserve"> : « الفراغ والنوم ».</w:t>
      </w:r>
    </w:p>
    <w:p w:rsidR="00744A1C" w:rsidRDefault="00E378DD" w:rsidP="00E378DD">
      <w:pPr>
        <w:pStyle w:val="libFootnote0"/>
        <w:rPr>
          <w:lang w:bidi="fa-IR"/>
        </w:rPr>
      </w:pPr>
      <w:r>
        <w:rPr>
          <w:rtl/>
          <w:lang w:bidi="fa-IR"/>
        </w:rPr>
        <w:t>(4).</w:t>
      </w:r>
      <w:r w:rsidR="00744A1C">
        <w:rPr>
          <w:rtl/>
          <w:lang w:bidi="fa-IR"/>
        </w:rPr>
        <w:t xml:space="preserve"> راجع : </w:t>
      </w:r>
      <w:r w:rsidR="00744A1C" w:rsidRPr="00C24F9C">
        <w:rPr>
          <w:rStyle w:val="libFootnoteBoldChar"/>
          <w:rtl/>
        </w:rPr>
        <w:t>الفقيه</w:t>
      </w:r>
      <w:r w:rsidR="00744A1C">
        <w:rPr>
          <w:rtl/>
          <w:lang w:bidi="fa-IR"/>
        </w:rPr>
        <w:t xml:space="preserve"> ، ج 3 ، ص 556 ، ح 4913 ؛ و</w:t>
      </w:r>
      <w:r w:rsidR="004657F8">
        <w:rPr>
          <w:rFonts w:hint="cs"/>
          <w:rtl/>
          <w:lang w:bidi="fa-IR"/>
        </w:rPr>
        <w:t xml:space="preserve"> </w:t>
      </w:r>
      <w:r w:rsidR="00744A1C" w:rsidRPr="004657F8">
        <w:rPr>
          <w:rStyle w:val="libFootnoteBoldChar"/>
          <w:rtl/>
        </w:rPr>
        <w:t>الأمالي للصدوق</w:t>
      </w:r>
      <w:r w:rsidR="00744A1C">
        <w:rPr>
          <w:rtl/>
          <w:lang w:bidi="fa-IR"/>
        </w:rPr>
        <w:t xml:space="preserve"> ، ص 233 ، المجلس 41 ، ح 3 ؛ و</w:t>
      </w:r>
      <w:r w:rsidR="004657F8">
        <w:rPr>
          <w:rFonts w:hint="cs"/>
          <w:rtl/>
          <w:lang w:bidi="fa-IR"/>
        </w:rPr>
        <w:t xml:space="preserve"> </w:t>
      </w:r>
      <w:r w:rsidR="00744A1C" w:rsidRPr="004657F8">
        <w:rPr>
          <w:rStyle w:val="libFootnoteBoldChar"/>
          <w:rtl/>
        </w:rPr>
        <w:t>الخصال</w:t>
      </w:r>
      <w:r w:rsidR="00744A1C">
        <w:rPr>
          <w:rtl/>
          <w:lang w:bidi="fa-IR"/>
        </w:rPr>
        <w:t xml:space="preserve"> ، ص 28 ، باب الواحد ، ح 99 ؛ و</w:t>
      </w:r>
      <w:r w:rsidR="00744A1C" w:rsidRPr="00211914">
        <w:rPr>
          <w:rStyle w:val="libFootnoteBoldChar"/>
          <w:rtl/>
        </w:rPr>
        <w:t>الاختصاص</w:t>
      </w:r>
      <w:r w:rsidR="00744A1C">
        <w:rPr>
          <w:rtl/>
          <w:lang w:bidi="fa-IR"/>
        </w:rPr>
        <w:t xml:space="preserve"> ، ص 218 </w:t>
      </w:r>
      <w:r w:rsidR="004657F8">
        <w:rPr>
          <w:rFonts w:hint="cs"/>
          <w:rtl/>
          <w:lang w:bidi="fa-IR"/>
        </w:rPr>
        <w:t>.</w:t>
      </w:r>
      <w:r w:rsidR="00744A1C" w:rsidRPr="00C24F9C">
        <w:rPr>
          <w:rStyle w:val="libFootnoteBoldChar"/>
          <w:rtl/>
        </w:rPr>
        <w:t>الوافي</w:t>
      </w:r>
      <w:r w:rsidR="00744A1C">
        <w:rPr>
          <w:rtl/>
          <w:lang w:bidi="fa-IR"/>
        </w:rPr>
        <w:t xml:space="preserve"> ، ج 17 ، ص 71 ، ح 16880 ؛ </w:t>
      </w:r>
      <w:r w:rsidR="00744A1C" w:rsidRPr="00C24F9C">
        <w:rPr>
          <w:rStyle w:val="libFootnoteBoldChar"/>
          <w:rtl/>
        </w:rPr>
        <w:t>الوسائل</w:t>
      </w:r>
      <w:r w:rsidR="00744A1C">
        <w:rPr>
          <w:rtl/>
          <w:lang w:bidi="fa-IR"/>
        </w:rPr>
        <w:t xml:space="preserve"> ، ج 17 ، ص 58 ، ح 21970.</w:t>
      </w:r>
    </w:p>
    <w:p w:rsidR="00744A1C" w:rsidRDefault="00E378DD" w:rsidP="004657F8">
      <w:pPr>
        <w:pStyle w:val="libFootnote0"/>
        <w:rPr>
          <w:lang w:bidi="fa-IR"/>
        </w:rPr>
      </w:pPr>
      <w:r>
        <w:rPr>
          <w:rtl/>
          <w:lang w:bidi="fa-IR"/>
        </w:rPr>
        <w:t>(5).</w:t>
      </w:r>
      <w:r w:rsidR="00744A1C">
        <w:rPr>
          <w:rtl/>
          <w:lang w:bidi="fa-IR"/>
        </w:rPr>
        <w:t xml:space="preserve"> </w:t>
      </w:r>
      <w:r w:rsidR="00744A1C" w:rsidRPr="00C24F9C">
        <w:rPr>
          <w:rStyle w:val="libFootnoteBoldChar"/>
          <w:rtl/>
        </w:rPr>
        <w:t>الفقيه</w:t>
      </w:r>
      <w:r w:rsidR="00744A1C">
        <w:rPr>
          <w:rtl/>
          <w:lang w:bidi="fa-IR"/>
        </w:rPr>
        <w:t xml:space="preserve"> ، ج 3 ، ص 169 ، ح 3635 ، مرسلاً مع اختلاف يسير </w:t>
      </w:r>
      <w:r w:rsidR="004657F8">
        <w:rPr>
          <w:rFonts w:hint="cs"/>
          <w:rtl/>
          <w:lang w:bidi="fa-IR"/>
        </w:rPr>
        <w:t>.</w:t>
      </w:r>
      <w:r w:rsidR="00744A1C" w:rsidRPr="00C24F9C">
        <w:rPr>
          <w:rStyle w:val="libFootnoteBoldChar"/>
          <w:rtl/>
        </w:rPr>
        <w:t>الوافي</w:t>
      </w:r>
      <w:r w:rsidR="00744A1C">
        <w:rPr>
          <w:rtl/>
          <w:lang w:bidi="fa-IR"/>
        </w:rPr>
        <w:t xml:space="preserve"> ، ج 17 ، ص 71 ، ح 16881 ؛ </w:t>
      </w:r>
      <w:r w:rsidR="00744A1C" w:rsidRPr="00C24F9C">
        <w:rPr>
          <w:rStyle w:val="libFootnoteBoldChar"/>
          <w:rtl/>
        </w:rPr>
        <w:t>الوسائل</w:t>
      </w:r>
      <w:r w:rsidR="00744A1C">
        <w:rPr>
          <w:rtl/>
          <w:lang w:bidi="fa-IR"/>
        </w:rPr>
        <w:t xml:space="preserve"> ، ج 17 ، ص 58 ، ح 21971.</w:t>
      </w:r>
      <w:r w:rsidR="001756FD">
        <w:rPr>
          <w:rFonts w:hint="cs"/>
          <w:rtl/>
          <w:lang w:bidi="fa-IR"/>
        </w:rPr>
        <w:t xml:space="preserve">             </w:t>
      </w:r>
      <w:r>
        <w:rPr>
          <w:rtl/>
          <w:lang w:bidi="fa-IR"/>
        </w:rPr>
        <w:t>(6).</w:t>
      </w:r>
      <w:r w:rsidR="00744A1C">
        <w:rPr>
          <w:rtl/>
          <w:lang w:bidi="fa-IR"/>
        </w:rPr>
        <w:t xml:space="preserve"> في « ط ، بخ ، بف » : « أحمد بن أبي عبد الله ».</w:t>
      </w:r>
    </w:p>
    <w:p w:rsidR="00744A1C" w:rsidRDefault="00E378DD" w:rsidP="00E378DD">
      <w:pPr>
        <w:pStyle w:val="libFootnote0"/>
        <w:rPr>
          <w:lang w:bidi="fa-IR"/>
        </w:rPr>
      </w:pPr>
      <w:r>
        <w:rPr>
          <w:rtl/>
          <w:lang w:bidi="fa-IR"/>
        </w:rPr>
        <w:t>(7).</w:t>
      </w:r>
      <w:r w:rsidR="00744A1C">
        <w:rPr>
          <w:rtl/>
          <w:lang w:bidi="fa-IR"/>
        </w:rPr>
        <w:t xml:space="preserve"> كذا في النسخ والمطبوع. وظاهره عطف صالح النيلي على عبد الله بن مسكان ، لكن لم نجد رواية صالح النيلي</w:t>
      </w:r>
      <w:r w:rsidR="004657F8">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اللهَ - عَزَّ وَجَلَّ - يُبْغِضُ كَثْرَةَ النَّوْمِ ، وَكَثْرَةَ الْفَرَاغِ ». </w:t>
      </w:r>
      <w:r w:rsidRPr="00D10E3C">
        <w:rPr>
          <w:rStyle w:val="libFootnotenumChar"/>
          <w:rtl/>
        </w:rPr>
        <w:t>(1)</w:t>
      </w:r>
    </w:p>
    <w:p w:rsidR="00744A1C" w:rsidRDefault="00744A1C" w:rsidP="001756FD">
      <w:pPr>
        <w:pStyle w:val="Heading2Center"/>
        <w:rPr>
          <w:lang w:bidi="fa-IR"/>
        </w:rPr>
      </w:pPr>
      <w:bookmarkStart w:id="133" w:name="_Toc49261431"/>
      <w:r>
        <w:rPr>
          <w:rtl/>
          <w:lang w:bidi="fa-IR"/>
        </w:rPr>
        <w:t xml:space="preserve">10 - بَابُ كَرَاهِيَةِ </w:t>
      </w:r>
      <w:r w:rsidRPr="00D10E3C">
        <w:rPr>
          <w:rStyle w:val="libFootnotenumChar"/>
          <w:rtl/>
        </w:rPr>
        <w:t>(2)</w:t>
      </w:r>
      <w:r>
        <w:rPr>
          <w:rtl/>
          <w:lang w:bidi="fa-IR"/>
        </w:rPr>
        <w:t xml:space="preserve"> الْكَسَلِ‌</w:t>
      </w:r>
      <w:bookmarkEnd w:id="133"/>
    </w:p>
    <w:p w:rsidR="00144FA6" w:rsidRDefault="00744A1C" w:rsidP="00744A1C">
      <w:pPr>
        <w:pStyle w:val="libNormal"/>
        <w:rPr>
          <w:rtl/>
          <w:lang w:bidi="fa-IR"/>
        </w:rPr>
      </w:pPr>
      <w:r>
        <w:rPr>
          <w:rtl/>
          <w:lang w:bidi="fa-IR"/>
        </w:rPr>
        <w:t>8419 / 1. عِدَّةٌ مِنْ أَصْحَابِنَا ، عَنْ سَهْلِ بْنِ زِيَادٍ ، عَنْ جَعْفَرِ بْنِ مُحَمَّدٍ الْأَشْعَرِيِّ ، عَنِ ابْنِ الْقَدَّاحِ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عَدُوُّ الْعَمَلِ الْكَسَلُ ». </w:t>
      </w:r>
      <w:r w:rsidRPr="00D10E3C">
        <w:rPr>
          <w:rStyle w:val="libFootnotenumChar"/>
          <w:rtl/>
        </w:rPr>
        <w:t>(3)</w:t>
      </w:r>
    </w:p>
    <w:p w:rsidR="00144FA6" w:rsidRDefault="00744A1C" w:rsidP="00744A1C">
      <w:pPr>
        <w:pStyle w:val="libNormal"/>
        <w:rPr>
          <w:rtl/>
          <w:lang w:bidi="fa-IR"/>
        </w:rPr>
      </w:pPr>
      <w:r>
        <w:rPr>
          <w:rtl/>
          <w:lang w:bidi="fa-IR"/>
        </w:rPr>
        <w:t xml:space="preserve">8420 / 2. سَهْلُ بْنُ زِيَادٍ </w:t>
      </w:r>
      <w:r w:rsidRPr="00D10E3C">
        <w:rPr>
          <w:rStyle w:val="libFootnotenumChar"/>
          <w:rtl/>
        </w:rPr>
        <w:t>(4)</w:t>
      </w:r>
      <w:r>
        <w:rPr>
          <w:rtl/>
          <w:lang w:bidi="fa-IR"/>
        </w:rPr>
        <w:t xml:space="preserve"> ، عَنِ ابْنِ مَحْبُوبٍ ، عَنْ سَعْدِ بْنِ أَبِي خَلَفٍ :</w:t>
      </w:r>
    </w:p>
    <w:p w:rsidR="00144FA6" w:rsidRDefault="00744A1C" w:rsidP="00744A1C">
      <w:pPr>
        <w:pStyle w:val="libNormal"/>
        <w:rPr>
          <w:rtl/>
          <w:lang w:bidi="fa-IR"/>
        </w:rPr>
      </w:pPr>
      <w:r>
        <w:rPr>
          <w:rtl/>
          <w:lang w:bidi="fa-IR"/>
        </w:rPr>
        <w:t xml:space="preserve">عَنْ أَبِي الْحَسَنِ مُوسى </w:t>
      </w:r>
      <w:r w:rsidR="0061079A" w:rsidRPr="0061079A">
        <w:rPr>
          <w:rStyle w:val="libAlaemChar"/>
          <w:rtl/>
        </w:rPr>
        <w:t>عليه‌السلام</w:t>
      </w:r>
      <w:r w:rsidR="00D10E3C">
        <w:rPr>
          <w:rtl/>
          <w:lang w:bidi="fa-IR"/>
        </w:rPr>
        <w:t xml:space="preserve"> </w:t>
      </w:r>
      <w:r>
        <w:rPr>
          <w:rtl/>
          <w:lang w:bidi="fa-IR"/>
        </w:rPr>
        <w:t xml:space="preserve">، قَالَ : « قَالَ أَبِي </w:t>
      </w:r>
      <w:r w:rsidR="0061079A" w:rsidRPr="0061079A">
        <w:rPr>
          <w:rStyle w:val="libAlaemChar"/>
          <w:rtl/>
        </w:rPr>
        <w:t>عليه‌السلام</w:t>
      </w:r>
      <w:r w:rsidR="00D10E3C">
        <w:rPr>
          <w:rtl/>
          <w:lang w:bidi="fa-IR"/>
        </w:rPr>
        <w:t xml:space="preserve"> </w:t>
      </w:r>
      <w:r>
        <w:rPr>
          <w:rtl/>
          <w:lang w:bidi="fa-IR"/>
        </w:rPr>
        <w:t xml:space="preserve">لِبَعْضِ وُلْدِهِ : إِيَّاكَ وَالْكَسَلَ وَالضَّجَرَ </w:t>
      </w:r>
      <w:r w:rsidRPr="00D10E3C">
        <w:rPr>
          <w:rStyle w:val="libFootnotenumChar"/>
          <w:rtl/>
        </w:rPr>
        <w:t>(5)</w:t>
      </w:r>
      <w:r>
        <w:rPr>
          <w:rtl/>
          <w:lang w:bidi="fa-IR"/>
        </w:rPr>
        <w:t xml:space="preserve"> ؛ فَإِنَّهُمَا يَمْنَعَانِكَ </w:t>
      </w:r>
      <w:r w:rsidRPr="00D10E3C">
        <w:rPr>
          <w:rStyle w:val="libFootnotenumChar"/>
          <w:rtl/>
        </w:rPr>
        <w:t>(6)</w:t>
      </w:r>
      <w:r>
        <w:rPr>
          <w:rtl/>
          <w:lang w:bidi="fa-IR"/>
        </w:rPr>
        <w:t xml:space="preserve"> مِنْ </w:t>
      </w:r>
      <w:r w:rsidRPr="00D10E3C">
        <w:rPr>
          <w:rStyle w:val="libFootnotenumChar"/>
          <w:rtl/>
        </w:rPr>
        <w:t>(7)</w:t>
      </w:r>
      <w:r>
        <w:rPr>
          <w:rtl/>
          <w:lang w:bidi="fa-IR"/>
        </w:rPr>
        <w:t xml:space="preserve"> حَظِّكَ مِنَ الدُّنْيَا وَالْآخِرَةِ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1756FD" w:rsidP="00D10E3C">
      <w:pPr>
        <w:pStyle w:val="libFootnote0"/>
        <w:rPr>
          <w:lang w:bidi="fa-IR"/>
        </w:rPr>
      </w:pPr>
      <w:r>
        <w:rPr>
          <w:rFonts w:hint="cs"/>
          <w:rtl/>
          <w:lang w:bidi="fa-IR"/>
        </w:rPr>
        <w:t xml:space="preserve">= </w:t>
      </w:r>
      <w:r w:rsidR="00744A1C">
        <w:rPr>
          <w:rtl/>
          <w:lang w:bidi="fa-IR"/>
        </w:rPr>
        <w:t>عن أبي بصير في موضع ، كما نبّه عليه العلاّمة الخبير السيّد موسى الشبيري - دام ظلّه - في تعليقته على السند. والظاهر وقوع تقديم وتأخير في بعض عناوين السند بأن يكون « عن أبي بصير » مقدّماً على « وصالح النيلي ».</w:t>
      </w:r>
    </w:p>
    <w:p w:rsidR="00744A1C" w:rsidRDefault="00744A1C" w:rsidP="00D10E3C">
      <w:pPr>
        <w:pStyle w:val="libFootnote0"/>
        <w:rPr>
          <w:lang w:bidi="fa-IR"/>
        </w:rPr>
      </w:pPr>
      <w:r>
        <w:rPr>
          <w:rtl/>
          <w:lang w:bidi="fa-IR"/>
        </w:rPr>
        <w:t xml:space="preserve">ويؤيّد ذلك ما ورد في </w:t>
      </w:r>
      <w:r w:rsidRPr="0061079A">
        <w:rPr>
          <w:rStyle w:val="libFootnoteBoldChar"/>
          <w:rtl/>
        </w:rPr>
        <w:t>الكافي</w:t>
      </w:r>
      <w:r>
        <w:rPr>
          <w:rtl/>
          <w:lang w:bidi="fa-IR"/>
        </w:rPr>
        <w:t xml:space="preserve"> ، ح 11559 ؛ من رواية ابن سنان عن صالح النيلي عن أبي عبد الله </w:t>
      </w:r>
      <w:r w:rsidR="0061079A" w:rsidRPr="0061079A">
        <w:rPr>
          <w:rStyle w:val="libFootnoteAlaemChar"/>
          <w:rtl/>
        </w:rPr>
        <w:t>عليه‌السلام</w:t>
      </w:r>
      <w:r w:rsidR="00D10E3C">
        <w:rPr>
          <w:rtl/>
          <w:lang w:bidi="fa-IR"/>
        </w:rPr>
        <w:t xml:space="preserve"> </w:t>
      </w:r>
      <w:r>
        <w:rPr>
          <w:rtl/>
          <w:lang w:bidi="fa-IR"/>
        </w:rPr>
        <w:t xml:space="preserve">، قال : إنّ الله - عزّ وجلّ - يبغض كثرة الأكل ؛ فإنّ الخبر رواه البرقي في </w:t>
      </w:r>
      <w:r w:rsidRPr="003A7143">
        <w:rPr>
          <w:rStyle w:val="libFootnoteBoldChar"/>
          <w:rtl/>
        </w:rPr>
        <w:t>المحاسن</w:t>
      </w:r>
      <w:r>
        <w:rPr>
          <w:rtl/>
          <w:lang w:bidi="fa-IR"/>
        </w:rPr>
        <w:t xml:space="preserve"> ، ص 446 ، ح 333 ، عن أبيه عن محمّد بن سنان عن صالح النيلي عن أبيه ، ثمّ قال في ذيله : محمّد بن عليّ عن محمّد بن سنان عن ابن مسكان عن أبي بصير مثله.</w:t>
      </w:r>
    </w:p>
    <w:p w:rsidR="00744A1C" w:rsidRDefault="00744A1C" w:rsidP="00D10E3C">
      <w:pPr>
        <w:pStyle w:val="libFootnote0"/>
        <w:rPr>
          <w:lang w:bidi="fa-IR"/>
        </w:rPr>
      </w:pPr>
      <w:r>
        <w:rPr>
          <w:rtl/>
          <w:lang w:bidi="fa-IR"/>
        </w:rPr>
        <w:t>فعلى هذا الاحتمال يكون في أصل سندها هذا تحويل بعطف « صالح النيلي » على « عبد الله بن مسكان عن أبي بصير » عطف طبقة واحدةٍ على طبقتين.</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الوافي</w:t>
      </w:r>
      <w:r w:rsidR="00744A1C">
        <w:rPr>
          <w:rtl/>
          <w:lang w:bidi="fa-IR"/>
        </w:rPr>
        <w:t xml:space="preserve"> ، ج 17 ، ص 71 ، ح 16882 ؛ </w:t>
      </w:r>
      <w:r w:rsidR="00744A1C" w:rsidRPr="00C24F9C">
        <w:rPr>
          <w:rStyle w:val="libFootnoteBoldChar"/>
          <w:rtl/>
        </w:rPr>
        <w:t>الوسائل</w:t>
      </w:r>
      <w:r w:rsidR="00744A1C">
        <w:rPr>
          <w:rtl/>
          <w:lang w:bidi="fa-IR"/>
        </w:rPr>
        <w:t xml:space="preserve"> ، ج 17 ، ص 57 ، ح 21969.</w:t>
      </w:r>
    </w:p>
    <w:p w:rsidR="00744A1C" w:rsidRDefault="00E378DD" w:rsidP="00E378DD">
      <w:pPr>
        <w:pStyle w:val="libFootnote0"/>
        <w:rPr>
          <w:lang w:bidi="fa-IR"/>
        </w:rPr>
      </w:pPr>
      <w:r>
        <w:rPr>
          <w:rtl/>
          <w:lang w:bidi="fa-IR"/>
        </w:rPr>
        <w:t>(2).</w:t>
      </w:r>
      <w:r w:rsidR="00744A1C">
        <w:rPr>
          <w:rtl/>
          <w:lang w:bidi="fa-IR"/>
        </w:rPr>
        <w:t xml:space="preserve"> في « ط ، بح ، بس ، جد » و</w:t>
      </w:r>
      <w:r w:rsidR="00744A1C" w:rsidRPr="00C24F9C">
        <w:rPr>
          <w:rStyle w:val="libFootnoteBoldChar"/>
          <w:rtl/>
        </w:rPr>
        <w:t>المرآة</w:t>
      </w:r>
      <w:r w:rsidR="00744A1C">
        <w:rPr>
          <w:rtl/>
          <w:lang w:bidi="fa-IR"/>
        </w:rPr>
        <w:t xml:space="preserve"> : « كراهة ».</w:t>
      </w:r>
    </w:p>
    <w:p w:rsidR="00744A1C" w:rsidRDefault="00E378DD" w:rsidP="00E378DD">
      <w:pPr>
        <w:pStyle w:val="libFootnote0"/>
        <w:rPr>
          <w:lang w:bidi="fa-IR"/>
        </w:rPr>
      </w:pPr>
      <w:r>
        <w:rPr>
          <w:rtl/>
          <w:lang w:bidi="fa-IR"/>
        </w:rPr>
        <w:t>(3).</w:t>
      </w:r>
      <w:r w:rsidR="00744A1C">
        <w:rPr>
          <w:rtl/>
          <w:lang w:bidi="fa-IR"/>
        </w:rPr>
        <w:t xml:space="preserve"> </w:t>
      </w:r>
      <w:r w:rsidR="00744A1C" w:rsidRPr="003A7143">
        <w:rPr>
          <w:rStyle w:val="libFootnoteBoldChar"/>
          <w:rtl/>
        </w:rPr>
        <w:t>علل الشرائع</w:t>
      </w:r>
      <w:r w:rsidR="00744A1C">
        <w:rPr>
          <w:rtl/>
          <w:lang w:bidi="fa-IR"/>
        </w:rPr>
        <w:t xml:space="preserve"> ، ص 112 ، ضمن الحديث الطويل 9 ، بسند آخر من دون الإسناد إلى المعصوم </w:t>
      </w:r>
      <w:r w:rsidR="0061079A" w:rsidRPr="0061079A">
        <w:rPr>
          <w:rStyle w:val="libFootnoteAlaemChar"/>
          <w:rtl/>
        </w:rPr>
        <w:t>عليه‌السلام</w:t>
      </w:r>
      <w:r w:rsidR="00D10E3C">
        <w:rPr>
          <w:rtl/>
          <w:lang w:bidi="fa-IR"/>
        </w:rPr>
        <w:t xml:space="preserve"> </w:t>
      </w:r>
      <w:r w:rsidR="001756FD">
        <w:rPr>
          <w:rFonts w:hint="cs"/>
          <w:rtl/>
          <w:lang w:bidi="fa-IR"/>
        </w:rPr>
        <w:t>.</w:t>
      </w:r>
      <w:r w:rsidR="00744A1C" w:rsidRPr="00C24F9C">
        <w:rPr>
          <w:rStyle w:val="libFootnoteBoldChar"/>
          <w:rtl/>
        </w:rPr>
        <w:t>الوافي</w:t>
      </w:r>
      <w:r w:rsidR="00744A1C">
        <w:rPr>
          <w:rtl/>
          <w:lang w:bidi="fa-IR"/>
        </w:rPr>
        <w:t xml:space="preserve"> ، ج 17 ، ص 73 ، ح 16883 ؛ </w:t>
      </w:r>
      <w:r w:rsidR="00744A1C" w:rsidRPr="00C24F9C">
        <w:rPr>
          <w:rStyle w:val="libFootnoteBoldChar"/>
          <w:rtl/>
        </w:rPr>
        <w:t>الوسائل</w:t>
      </w:r>
      <w:r w:rsidR="00744A1C">
        <w:rPr>
          <w:rtl/>
          <w:lang w:bidi="fa-IR"/>
        </w:rPr>
        <w:t xml:space="preserve"> ، ج 17 ، ص 59 ، ح 21986.</w:t>
      </w:r>
    </w:p>
    <w:p w:rsidR="00744A1C" w:rsidRDefault="00E378DD" w:rsidP="00E378DD">
      <w:pPr>
        <w:pStyle w:val="libFootnote0"/>
        <w:rPr>
          <w:lang w:bidi="fa-IR"/>
        </w:rPr>
      </w:pPr>
      <w:r>
        <w:rPr>
          <w:rtl/>
          <w:lang w:bidi="fa-IR"/>
        </w:rPr>
        <w:t>(4).</w:t>
      </w:r>
      <w:r w:rsidR="00744A1C">
        <w:rPr>
          <w:rtl/>
          <w:lang w:bidi="fa-IR"/>
        </w:rPr>
        <w:t xml:space="preserve"> في « ط ، ى ، بس ، جن » و</w:t>
      </w:r>
      <w:r w:rsidR="00744A1C" w:rsidRPr="00C24F9C">
        <w:rPr>
          <w:rStyle w:val="libFootnoteBoldChar"/>
          <w:rtl/>
        </w:rPr>
        <w:t>الوسائل</w:t>
      </w:r>
      <w:r w:rsidR="00744A1C">
        <w:rPr>
          <w:rtl/>
          <w:lang w:bidi="fa-IR"/>
        </w:rPr>
        <w:t xml:space="preserve"> : - « بن زياد ». والسند معلّق على سابقه ، كما هو واضح.</w:t>
      </w:r>
    </w:p>
    <w:p w:rsidR="00744A1C" w:rsidRDefault="00E378DD" w:rsidP="00E378DD">
      <w:pPr>
        <w:pStyle w:val="libFootnote0"/>
        <w:rPr>
          <w:lang w:bidi="fa-IR"/>
        </w:rPr>
      </w:pPr>
      <w:r>
        <w:rPr>
          <w:rtl/>
          <w:lang w:bidi="fa-IR"/>
        </w:rPr>
        <w:t>(5).</w:t>
      </w:r>
      <w:r w:rsidR="00744A1C">
        <w:rPr>
          <w:rtl/>
          <w:lang w:bidi="fa-IR"/>
        </w:rPr>
        <w:t xml:space="preserve"> « الضَّجَر » : القَلَق ، والاضطراب من الغمّ. </w:t>
      </w:r>
      <w:r w:rsidR="00744A1C" w:rsidRPr="00E978C3">
        <w:rPr>
          <w:rStyle w:val="libFootnoteBoldChar"/>
          <w:rtl/>
        </w:rPr>
        <w:t>الصحاح</w:t>
      </w:r>
      <w:r w:rsidR="00744A1C">
        <w:rPr>
          <w:rtl/>
          <w:lang w:bidi="fa-IR"/>
        </w:rPr>
        <w:t xml:space="preserve"> ، ج 2 ، ص 719 ( ضجر ).</w:t>
      </w:r>
    </w:p>
    <w:tbl>
      <w:tblPr>
        <w:tblStyle w:val="TableGrid"/>
        <w:bidiVisual/>
        <w:tblW w:w="0" w:type="auto"/>
        <w:tblLook w:val="04A0" w:firstRow="1" w:lastRow="0" w:firstColumn="1" w:lastColumn="0" w:noHBand="0" w:noVBand="1"/>
      </w:tblPr>
      <w:tblGrid>
        <w:gridCol w:w="4006"/>
        <w:gridCol w:w="4006"/>
      </w:tblGrid>
      <w:tr w:rsidR="001756FD" w:rsidTr="001756FD">
        <w:tc>
          <w:tcPr>
            <w:tcW w:w="4006" w:type="dxa"/>
          </w:tcPr>
          <w:p w:rsidR="001756FD" w:rsidRDefault="001756FD" w:rsidP="00E378DD">
            <w:pPr>
              <w:pStyle w:val="libFootnote0"/>
              <w:rPr>
                <w:rtl/>
                <w:lang w:bidi="fa-IR"/>
              </w:rPr>
            </w:pPr>
            <w:r>
              <w:rPr>
                <w:rtl/>
                <w:lang w:bidi="fa-IR"/>
              </w:rPr>
              <w:t>(6). في « بف » : « تمنعانك ».</w:t>
            </w:r>
          </w:p>
        </w:tc>
        <w:tc>
          <w:tcPr>
            <w:tcW w:w="4006" w:type="dxa"/>
          </w:tcPr>
          <w:p w:rsidR="001756FD" w:rsidRDefault="001756FD" w:rsidP="00E378DD">
            <w:pPr>
              <w:pStyle w:val="libFootnote0"/>
              <w:rPr>
                <w:rtl/>
                <w:lang w:bidi="fa-IR"/>
              </w:rPr>
            </w:pPr>
            <w:r>
              <w:rPr>
                <w:rtl/>
                <w:lang w:bidi="fa-IR"/>
              </w:rPr>
              <w:t>(7). في « ى » : « عن ».</w:t>
            </w:r>
          </w:p>
        </w:tc>
      </w:tr>
    </w:tbl>
    <w:p w:rsidR="00144FA6" w:rsidRDefault="00E378DD" w:rsidP="00E378DD">
      <w:pPr>
        <w:pStyle w:val="libFootnote0"/>
        <w:rPr>
          <w:rtl/>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4 ، ص 408 ، ذيل ح 5885 ، معلّقاً عن الحسن بن محبوب ، عن سعد بن أبي خلف ، عن</w:t>
      </w:r>
      <w:r w:rsidR="001756FD">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8421 / 3. عَلِيُّ بْنُ إِبْرَاهِيمَ ، عَنْ أَبِيهِ ، عَنِ ابْنِ أَبِي عُمَيْرٍ ، عَنْ عُمَرَ </w:t>
      </w:r>
      <w:r w:rsidRPr="00D10E3C">
        <w:rPr>
          <w:rStyle w:val="libFootnotenumChar"/>
          <w:rtl/>
        </w:rPr>
        <w:t>(1)</w:t>
      </w:r>
      <w:r>
        <w:rPr>
          <w:rtl/>
          <w:lang w:bidi="fa-IR"/>
        </w:rPr>
        <w:t xml:space="preserve"> بْنِ أُذَيْنَةَ ، عَنْ زُرَارَةَ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كَسِلَ عَنْ طَهُورِهِ </w:t>
      </w:r>
      <w:r w:rsidRPr="00D10E3C">
        <w:rPr>
          <w:rStyle w:val="libFootnotenumChar"/>
          <w:rtl/>
        </w:rPr>
        <w:t>(2)</w:t>
      </w:r>
      <w:r>
        <w:rPr>
          <w:rtl/>
          <w:lang w:bidi="fa-IR"/>
        </w:rPr>
        <w:t xml:space="preserve"> وَصَلَاتِهِ ، فَلَيْسَ فِيهِ خَيْرٌ لِأَمْرِ آخِرَتِهِ ؛ وَمَنْ كَسِلَ عَمَّا يُصْلِحُ بِهِ أَمْرَ مَعِيشَتِهِ ، فَلَيْسَ فِيهِ خَيْرٌ لِأَمْرِ دُنْيَاهُ ». </w:t>
      </w:r>
      <w:r w:rsidRPr="00D10E3C">
        <w:rPr>
          <w:rStyle w:val="libFootnotenumChar"/>
          <w:rtl/>
        </w:rPr>
        <w:t>(3)</w:t>
      </w:r>
    </w:p>
    <w:p w:rsidR="00144FA6" w:rsidRDefault="00744A1C" w:rsidP="00744A1C">
      <w:pPr>
        <w:pStyle w:val="libNormal"/>
        <w:rPr>
          <w:rtl/>
          <w:lang w:bidi="fa-IR"/>
        </w:rPr>
      </w:pPr>
      <w:r>
        <w:rPr>
          <w:rtl/>
          <w:lang w:bidi="fa-IR"/>
        </w:rPr>
        <w:t>8422 / 4. مُحَمَّدُ بْنُ يَحْيى ، عَنْ مُحَمَّدِ بْنِ الْحُسَيْنِ ، عَنْ صَفْوَانَ ، عَنِ الْعَلَاءِ ، عَنْ مُحَمَّدِ بْنِ مُسْلِمٍ :</w:t>
      </w:r>
    </w:p>
    <w:p w:rsidR="00744A1C" w:rsidRDefault="00744A1C" w:rsidP="00465DFA">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إِنِّي لَأُبْغِضُ الرَّجُلَ ، أَوْ أُبْغِضُ لِلرَّجُلِ </w:t>
      </w:r>
      <w:r w:rsidRPr="00D10E3C">
        <w:rPr>
          <w:rStyle w:val="libFootnotenumChar"/>
          <w:rtl/>
        </w:rPr>
        <w:t>(4)</w:t>
      </w:r>
      <w:r>
        <w:rPr>
          <w:rtl/>
          <w:lang w:bidi="fa-IR"/>
        </w:rPr>
        <w:t xml:space="preserve"> أَنْ يَكُونَ كَسْلَانَ </w:t>
      </w:r>
      <w:r w:rsidRPr="00D10E3C">
        <w:rPr>
          <w:rStyle w:val="libFootnotenumChar"/>
          <w:rtl/>
        </w:rPr>
        <w:t>(5)</w:t>
      </w:r>
      <w:r>
        <w:rPr>
          <w:rtl/>
          <w:lang w:bidi="fa-IR"/>
        </w:rPr>
        <w:t xml:space="preserve"> عَنْ </w:t>
      </w:r>
      <w:r w:rsidRPr="00D10E3C">
        <w:rPr>
          <w:rStyle w:val="libFootnotenumChar"/>
          <w:rtl/>
        </w:rPr>
        <w:t>(6)</w:t>
      </w:r>
      <w:r>
        <w:rPr>
          <w:rtl/>
          <w:lang w:bidi="fa-IR"/>
        </w:rPr>
        <w:t xml:space="preserve"> أَمْرِ دُنْيَاهُ ؛ وَمَنْ </w:t>
      </w:r>
      <w:r w:rsidRPr="00D10E3C">
        <w:rPr>
          <w:rStyle w:val="libFootnotenumChar"/>
          <w:rtl/>
        </w:rPr>
        <w:t>(7)</w:t>
      </w:r>
      <w:r>
        <w:rPr>
          <w:rtl/>
          <w:lang w:bidi="fa-IR"/>
        </w:rPr>
        <w:t xml:space="preserve"> كَسِلَ عَنْ أَمْرِ دُنْيَاهُ </w:t>
      </w:r>
      <w:r w:rsidRPr="00D10E3C">
        <w:rPr>
          <w:rStyle w:val="libFootnotenumChar"/>
          <w:rtl/>
        </w:rPr>
        <w:t>(8)</w:t>
      </w:r>
      <w:r>
        <w:rPr>
          <w:rtl/>
          <w:lang w:bidi="fa-IR"/>
        </w:rPr>
        <w:t xml:space="preserve"> ، فَهُوَ </w:t>
      </w:r>
      <w:r w:rsidRPr="00D10E3C">
        <w:rPr>
          <w:rStyle w:val="libFootnotenumChar"/>
          <w:rtl/>
        </w:rPr>
        <w:t>(9)</w:t>
      </w:r>
      <w:r>
        <w:rPr>
          <w:rtl/>
          <w:lang w:bidi="fa-IR"/>
        </w:rPr>
        <w:t xml:space="preserve"> عَنْ أَمْرِ آخِرَتِهِ أَكْسَلُ ». </w:t>
      </w:r>
      <w:r w:rsidRPr="00D10E3C">
        <w:rPr>
          <w:rStyle w:val="libFootnotenumChar"/>
          <w:rtl/>
        </w:rPr>
        <w:t>(10)</w:t>
      </w:r>
      <w:r>
        <w:rPr>
          <w:rtl/>
          <w:lang w:bidi="fa-IR"/>
        </w:rPr>
        <w:t xml:space="preserve"> </w:t>
      </w:r>
    </w:p>
    <w:p w:rsidR="00144FA6" w:rsidRDefault="00744A1C" w:rsidP="00744A1C">
      <w:pPr>
        <w:pStyle w:val="libNormal"/>
        <w:rPr>
          <w:rtl/>
          <w:lang w:bidi="fa-IR"/>
        </w:rPr>
      </w:pPr>
      <w:r>
        <w:rPr>
          <w:rtl/>
          <w:lang w:bidi="fa-IR"/>
        </w:rPr>
        <w:t xml:space="preserve">8423 / 5. عِدَّةٌ مِنْ أَصْحَابِنَا ، عَنْ أَحْمَدَ بْنِ مُحَمَّدٍ ، عَنِ ابْنِ فَضَّالٍ </w:t>
      </w:r>
      <w:r w:rsidR="00465DFA">
        <w:rPr>
          <w:rtl/>
          <w:lang w:bidi="fa-IR"/>
        </w:rPr>
        <w:t>،عَنْ سَمَاعَةَ بْنِ مِهْرَانَ</w:t>
      </w:r>
      <w:r>
        <w:rPr>
          <w:rtl/>
          <w:lang w:bidi="fa-IR"/>
        </w:rPr>
        <w:t>:</w:t>
      </w:r>
    </w:p>
    <w:p w:rsidR="00144FA6" w:rsidRDefault="00744A1C" w:rsidP="00744A1C">
      <w:pPr>
        <w:pStyle w:val="libNormal"/>
        <w:rPr>
          <w:rtl/>
          <w:lang w:bidi="fa-IR"/>
        </w:rPr>
      </w:pPr>
      <w:r>
        <w:rPr>
          <w:rtl/>
          <w:lang w:bidi="fa-IR"/>
        </w:rPr>
        <w:t xml:space="preserve">عَنْ أَبِي الْحَسَنِ مُوسى </w:t>
      </w:r>
      <w:r w:rsidR="0061079A" w:rsidRPr="0061079A">
        <w:rPr>
          <w:rStyle w:val="libAlaemChar"/>
          <w:rtl/>
        </w:rPr>
        <w:t>عليه‌السلام</w:t>
      </w:r>
      <w:r w:rsidR="00D10E3C">
        <w:rPr>
          <w:rtl/>
          <w:lang w:bidi="fa-IR"/>
        </w:rPr>
        <w:t xml:space="preserve"> </w:t>
      </w:r>
      <w:r>
        <w:rPr>
          <w:rtl/>
          <w:lang w:bidi="fa-IR"/>
        </w:rPr>
        <w:t xml:space="preserve">، قَالَ : « إِيَّاكَ وَالْكَسَلَ وَالضَّجَرَ ؛ فَإِنَّكَ إِنْ كَسِلْتَ لَمْ تَعْمَلْ ، وَإِنْ ضَجِرْتَ لَمْ تُعْطِ الْحَقَّ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465DFA" w:rsidP="00D10E3C">
      <w:pPr>
        <w:pStyle w:val="libFootnote0"/>
        <w:rPr>
          <w:lang w:bidi="fa-IR"/>
        </w:rPr>
      </w:pPr>
      <w:r>
        <w:rPr>
          <w:rFonts w:hint="cs"/>
          <w:rtl/>
          <w:lang w:bidi="fa-IR"/>
        </w:rPr>
        <w:t xml:space="preserve">= </w:t>
      </w:r>
      <w:r w:rsidR="00744A1C">
        <w:rPr>
          <w:rtl/>
          <w:lang w:bidi="fa-IR"/>
        </w:rPr>
        <w:t xml:space="preserve">أبي الحسن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 من دون الإسناد إلى أبيه </w:t>
      </w:r>
      <w:r w:rsidR="0061079A" w:rsidRPr="0061079A">
        <w:rPr>
          <w:rStyle w:val="libFootnoteAlaemChar"/>
          <w:rtl/>
        </w:rPr>
        <w:t>عليه‌السلام</w:t>
      </w:r>
      <w:r w:rsidR="00744A1C">
        <w:rPr>
          <w:rtl/>
          <w:lang w:bidi="fa-IR"/>
        </w:rPr>
        <w:t xml:space="preserve"> . </w:t>
      </w:r>
      <w:r w:rsidR="00744A1C" w:rsidRPr="007D61A8">
        <w:rPr>
          <w:rStyle w:val="libFootnoteBoldChar"/>
          <w:rtl/>
        </w:rPr>
        <w:t>تحف العقول</w:t>
      </w:r>
      <w:r w:rsidR="00744A1C">
        <w:rPr>
          <w:rtl/>
          <w:lang w:bidi="fa-IR"/>
        </w:rPr>
        <w:t xml:space="preserve"> ، ص 409 ، ذيل الحديث ، عن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 من دون الإسناد إلى أبيه </w:t>
      </w:r>
      <w:r w:rsidR="0061079A" w:rsidRPr="0061079A">
        <w:rPr>
          <w:rStyle w:val="libFootnoteAlaemChar"/>
          <w:rtl/>
        </w:rPr>
        <w:t>عليه‌السلام</w:t>
      </w:r>
      <w:r w:rsidR="00D10E3C">
        <w:rPr>
          <w:rtl/>
          <w:lang w:bidi="fa-IR"/>
        </w:rPr>
        <w:t xml:space="preserve"> </w:t>
      </w:r>
      <w:r w:rsidR="006F05E9">
        <w:rPr>
          <w:rFonts w:hint="cs"/>
          <w:rtl/>
          <w:lang w:bidi="fa-IR"/>
        </w:rPr>
        <w:t>.</w:t>
      </w:r>
      <w:r w:rsidR="00744A1C" w:rsidRPr="00C24F9C">
        <w:rPr>
          <w:rStyle w:val="libFootnoteBoldChar"/>
          <w:rtl/>
        </w:rPr>
        <w:t>الوافي</w:t>
      </w:r>
      <w:r w:rsidR="00744A1C">
        <w:rPr>
          <w:rtl/>
          <w:lang w:bidi="fa-IR"/>
        </w:rPr>
        <w:t xml:space="preserve"> ، ج 17 ، ص 73 ، ح 16884 ؛ </w:t>
      </w:r>
      <w:r w:rsidR="00744A1C" w:rsidRPr="00C24F9C">
        <w:rPr>
          <w:rStyle w:val="libFootnoteBoldChar"/>
          <w:rtl/>
        </w:rPr>
        <w:t>الوسائل</w:t>
      </w:r>
      <w:r w:rsidR="00744A1C">
        <w:rPr>
          <w:rtl/>
          <w:lang w:bidi="fa-IR"/>
        </w:rPr>
        <w:t xml:space="preserve"> ، ج 17 ، ص 59 ، ح 21977.</w:t>
      </w:r>
    </w:p>
    <w:tbl>
      <w:tblPr>
        <w:tblStyle w:val="TableGrid"/>
        <w:bidiVisual/>
        <w:tblW w:w="0" w:type="auto"/>
        <w:tblLook w:val="04A0" w:firstRow="1" w:lastRow="0" w:firstColumn="1" w:lastColumn="0" w:noHBand="0" w:noVBand="1"/>
      </w:tblPr>
      <w:tblGrid>
        <w:gridCol w:w="4006"/>
        <w:gridCol w:w="4006"/>
      </w:tblGrid>
      <w:tr w:rsidR="006F05E9" w:rsidTr="006F05E9">
        <w:tc>
          <w:tcPr>
            <w:tcW w:w="4006" w:type="dxa"/>
          </w:tcPr>
          <w:p w:rsidR="006F05E9" w:rsidRDefault="006F05E9" w:rsidP="00D10E3C">
            <w:pPr>
              <w:pStyle w:val="libFootnote0"/>
              <w:rPr>
                <w:rtl/>
                <w:lang w:bidi="fa-IR"/>
              </w:rPr>
            </w:pPr>
            <w:r>
              <w:rPr>
                <w:rtl/>
                <w:lang w:bidi="fa-IR"/>
              </w:rPr>
              <w:t>(1). في « ط » : - « عمر ».</w:t>
            </w:r>
          </w:p>
        </w:tc>
        <w:tc>
          <w:tcPr>
            <w:tcW w:w="4006" w:type="dxa"/>
          </w:tcPr>
          <w:p w:rsidR="006F05E9" w:rsidRDefault="006F05E9" w:rsidP="00D10E3C">
            <w:pPr>
              <w:pStyle w:val="libFootnote0"/>
              <w:rPr>
                <w:rtl/>
                <w:lang w:bidi="fa-IR"/>
              </w:rPr>
            </w:pPr>
            <w:r>
              <w:rPr>
                <w:rtl/>
                <w:lang w:bidi="fa-IR"/>
              </w:rPr>
              <w:t>(2). في « ط » : « طهور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17 ، ص 73 ، ح 16885 ؛ </w:t>
      </w:r>
      <w:r w:rsidR="00744A1C" w:rsidRPr="00C24F9C">
        <w:rPr>
          <w:rStyle w:val="libFootnoteBoldChar"/>
          <w:rtl/>
        </w:rPr>
        <w:t>الوسائل</w:t>
      </w:r>
      <w:r w:rsidR="00744A1C">
        <w:rPr>
          <w:rtl/>
          <w:lang w:bidi="fa-IR"/>
        </w:rPr>
        <w:t xml:space="preserve"> ، ج 17 ، ص 59 ، ح 21974.</w:t>
      </w:r>
    </w:p>
    <w:p w:rsidR="00744A1C" w:rsidRDefault="00E378DD" w:rsidP="00E378DD">
      <w:pPr>
        <w:pStyle w:val="libFootnote0"/>
        <w:rPr>
          <w:lang w:bidi="fa-IR"/>
        </w:rPr>
      </w:pPr>
      <w:r>
        <w:rPr>
          <w:rtl/>
          <w:lang w:bidi="fa-IR"/>
        </w:rPr>
        <w:t>(4).</w:t>
      </w:r>
      <w:r w:rsidR="00744A1C">
        <w:rPr>
          <w:rtl/>
          <w:lang w:bidi="fa-IR"/>
        </w:rPr>
        <w:t xml:space="preserve"> في « ط ، بح » : « الرجل ». وفي « بخ ، بف » و</w:t>
      </w:r>
      <w:r w:rsidR="00744A1C" w:rsidRPr="00C24F9C">
        <w:rPr>
          <w:rStyle w:val="libFootnoteBoldChar"/>
          <w:rtl/>
        </w:rPr>
        <w:t>الوافي</w:t>
      </w:r>
      <w:r w:rsidR="00744A1C">
        <w:rPr>
          <w:rtl/>
          <w:lang w:bidi="fa-IR"/>
        </w:rPr>
        <w:t xml:space="preserve"> : - « أو ا</w:t>
      </w:r>
      <w:r w:rsidR="0083439B">
        <w:rPr>
          <w:rFonts w:hint="cs"/>
          <w:rtl/>
          <w:lang w:bidi="fa-IR"/>
        </w:rPr>
        <w:t>ُ</w:t>
      </w:r>
      <w:r w:rsidR="00744A1C">
        <w:rPr>
          <w:rtl/>
          <w:lang w:bidi="fa-IR"/>
        </w:rPr>
        <w:t>بغض للرجل ».</w:t>
      </w:r>
    </w:p>
    <w:tbl>
      <w:tblPr>
        <w:tblStyle w:val="TableGrid"/>
        <w:bidiVisual/>
        <w:tblW w:w="0" w:type="auto"/>
        <w:tblLook w:val="04A0" w:firstRow="1" w:lastRow="0" w:firstColumn="1" w:lastColumn="0" w:noHBand="0" w:noVBand="1"/>
      </w:tblPr>
      <w:tblGrid>
        <w:gridCol w:w="4006"/>
        <w:gridCol w:w="4006"/>
      </w:tblGrid>
      <w:tr w:rsidR="0083439B" w:rsidTr="0083439B">
        <w:tc>
          <w:tcPr>
            <w:tcW w:w="4006" w:type="dxa"/>
          </w:tcPr>
          <w:p w:rsidR="0083439B" w:rsidRDefault="0083439B" w:rsidP="00E378DD">
            <w:pPr>
              <w:pStyle w:val="libFootnote0"/>
              <w:rPr>
                <w:rtl/>
                <w:lang w:bidi="fa-IR"/>
              </w:rPr>
            </w:pPr>
            <w:r>
              <w:rPr>
                <w:rtl/>
                <w:lang w:bidi="fa-IR"/>
              </w:rPr>
              <w:t xml:space="preserve">(5). في « ى » والمطبوع </w:t>
            </w:r>
            <w:r w:rsidRPr="0083439B">
              <w:rPr>
                <w:rtl/>
              </w:rPr>
              <w:t>والوافي :</w:t>
            </w:r>
            <w:r>
              <w:rPr>
                <w:rtl/>
                <w:lang w:bidi="fa-IR"/>
              </w:rPr>
              <w:t xml:space="preserve"> « كسلاناً ».</w:t>
            </w:r>
          </w:p>
        </w:tc>
        <w:tc>
          <w:tcPr>
            <w:tcW w:w="4006" w:type="dxa"/>
          </w:tcPr>
          <w:p w:rsidR="0083439B" w:rsidRDefault="0083439B" w:rsidP="00E378DD">
            <w:pPr>
              <w:pStyle w:val="libFootnote0"/>
              <w:rPr>
                <w:rtl/>
                <w:lang w:bidi="fa-IR"/>
              </w:rPr>
            </w:pPr>
            <w:r>
              <w:rPr>
                <w:rtl/>
                <w:lang w:bidi="fa-IR"/>
              </w:rPr>
              <w:t xml:space="preserve">(6). في « بخ ، بف </w:t>
            </w:r>
            <w:r w:rsidRPr="0083439B">
              <w:rPr>
                <w:rtl/>
              </w:rPr>
              <w:t>» والوافي :</w:t>
            </w:r>
            <w:r>
              <w:rPr>
                <w:rtl/>
                <w:lang w:bidi="fa-IR"/>
              </w:rPr>
              <w:t xml:space="preserve"> « في ».</w:t>
            </w:r>
          </w:p>
        </w:tc>
      </w:tr>
      <w:tr w:rsidR="0083439B" w:rsidTr="0083439B">
        <w:tc>
          <w:tcPr>
            <w:tcW w:w="4006" w:type="dxa"/>
          </w:tcPr>
          <w:p w:rsidR="0083439B" w:rsidRDefault="0083439B" w:rsidP="00E378DD">
            <w:pPr>
              <w:pStyle w:val="libFootnote0"/>
              <w:rPr>
                <w:rtl/>
                <w:lang w:bidi="fa-IR"/>
              </w:rPr>
            </w:pPr>
            <w:r>
              <w:rPr>
                <w:rtl/>
                <w:lang w:bidi="fa-IR"/>
              </w:rPr>
              <w:t>(7). في « جد » : « فمن ».</w:t>
            </w:r>
          </w:p>
        </w:tc>
        <w:tc>
          <w:tcPr>
            <w:tcW w:w="4006" w:type="dxa"/>
          </w:tcPr>
          <w:p w:rsidR="0083439B" w:rsidRDefault="0083439B" w:rsidP="00E378DD">
            <w:pPr>
              <w:pStyle w:val="libFootnote0"/>
              <w:rPr>
                <w:rtl/>
                <w:lang w:bidi="fa-IR"/>
              </w:rPr>
            </w:pPr>
            <w:r>
              <w:rPr>
                <w:rtl/>
                <w:lang w:bidi="fa-IR"/>
              </w:rPr>
              <w:t>(8). في«ط،ى،بح،بس»:- «ومن كسل عن أمر دنياه».</w:t>
            </w:r>
          </w:p>
        </w:tc>
      </w:tr>
    </w:tbl>
    <w:p w:rsidR="00744A1C" w:rsidRDefault="00E378DD" w:rsidP="00E378DD">
      <w:pPr>
        <w:pStyle w:val="libFootnote0"/>
        <w:rPr>
          <w:lang w:bidi="fa-IR"/>
        </w:rPr>
      </w:pPr>
      <w:r>
        <w:rPr>
          <w:rtl/>
          <w:lang w:bidi="fa-IR"/>
        </w:rPr>
        <w:t>(9).</w:t>
      </w:r>
      <w:r w:rsidR="00744A1C">
        <w:rPr>
          <w:rtl/>
          <w:lang w:bidi="fa-IR"/>
        </w:rPr>
        <w:t xml:space="preserve"> في « بخ ، بف » </w:t>
      </w:r>
      <w:r w:rsidR="00744A1C" w:rsidRPr="009D59B0">
        <w:rPr>
          <w:rtl/>
        </w:rPr>
        <w:t>والوافي :</w:t>
      </w:r>
      <w:r w:rsidR="00744A1C">
        <w:rPr>
          <w:rtl/>
          <w:lang w:bidi="fa-IR"/>
        </w:rPr>
        <w:t xml:space="preserve"> « كان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الوافي</w:t>
      </w:r>
      <w:r w:rsidR="00744A1C">
        <w:rPr>
          <w:rtl/>
          <w:lang w:bidi="fa-IR"/>
        </w:rPr>
        <w:t xml:space="preserve"> ، ج 17 ، ص 73 ، ح 16886 ؛ </w:t>
      </w:r>
      <w:r w:rsidR="00744A1C" w:rsidRPr="00C24F9C">
        <w:rPr>
          <w:rStyle w:val="libFootnoteBoldChar"/>
          <w:rtl/>
        </w:rPr>
        <w:t>الوسائل</w:t>
      </w:r>
      <w:r w:rsidR="00744A1C">
        <w:rPr>
          <w:rtl/>
          <w:lang w:bidi="fa-IR"/>
        </w:rPr>
        <w:t xml:space="preserve"> ، ج 17 ، ص 58 ، ح 21973.</w:t>
      </w:r>
    </w:p>
    <w:p w:rsidR="00144FA6" w:rsidRDefault="00E378DD" w:rsidP="00E378DD">
      <w:pPr>
        <w:pStyle w:val="libFootnote0"/>
        <w:rPr>
          <w:rtl/>
          <w:lang w:bidi="fa-IR"/>
        </w:rPr>
      </w:pPr>
      <w:r>
        <w:rPr>
          <w:rtl/>
          <w:lang w:bidi="fa-IR"/>
        </w:rPr>
        <w:t>(11).</w:t>
      </w:r>
      <w:r w:rsidR="00744A1C">
        <w:rPr>
          <w:rtl/>
          <w:lang w:bidi="fa-IR"/>
        </w:rPr>
        <w:t xml:space="preserve"> </w:t>
      </w:r>
      <w:r w:rsidR="00744A1C" w:rsidRPr="00C24F9C">
        <w:rPr>
          <w:rStyle w:val="libFootnoteBoldChar"/>
          <w:rtl/>
        </w:rPr>
        <w:t>الفقيه</w:t>
      </w:r>
      <w:r w:rsidR="00744A1C">
        <w:rPr>
          <w:rtl/>
          <w:lang w:bidi="fa-IR"/>
        </w:rPr>
        <w:t xml:space="preserve"> ، ج 4 ، ص 355 ، ضمن الحديث الطويل 5762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عن</w:t>
      </w:r>
      <w:r w:rsidR="009D59B0">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8424 / 6. أَحْمَدُ بْنُ مُحَمَّدٍ </w:t>
      </w:r>
      <w:r w:rsidRPr="00D10E3C">
        <w:rPr>
          <w:rStyle w:val="libFootnotenumChar"/>
          <w:rtl/>
        </w:rPr>
        <w:t>(1)</w:t>
      </w:r>
      <w:r>
        <w:rPr>
          <w:rtl/>
          <w:lang w:bidi="fa-IR"/>
        </w:rPr>
        <w:t xml:space="preserve"> ، عَنْ بَعْضِ أَصْحَابِنَا </w:t>
      </w:r>
      <w:r w:rsidRPr="00D10E3C">
        <w:rPr>
          <w:rStyle w:val="libFootnotenumChar"/>
          <w:rtl/>
        </w:rPr>
        <w:t>(2)</w:t>
      </w:r>
      <w:r>
        <w:rPr>
          <w:rtl/>
          <w:lang w:bidi="fa-IR"/>
        </w:rPr>
        <w:t xml:space="preserve"> ، عَنْ صَالِحِ بْنِ عُمَرَ </w:t>
      </w:r>
      <w:r w:rsidRPr="00D10E3C">
        <w:rPr>
          <w:rStyle w:val="libFootnotenumChar"/>
          <w:rtl/>
        </w:rPr>
        <w:t>(3)</w:t>
      </w:r>
      <w:r>
        <w:rPr>
          <w:rtl/>
          <w:lang w:bidi="fa-IR"/>
        </w:rPr>
        <w:t xml:space="preserve"> ، عَنِ الْحَسَنِ بْنِ عَبْدِ اللهِ </w:t>
      </w:r>
      <w:r w:rsidRPr="00D10E3C">
        <w:rPr>
          <w:rStyle w:val="libFootnotenumChar"/>
          <w:rtl/>
        </w:rPr>
        <w:t>(4)</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تَسْتَعِنْ </w:t>
      </w:r>
      <w:r w:rsidRPr="00D10E3C">
        <w:rPr>
          <w:rStyle w:val="libFootnotenumChar"/>
          <w:rtl/>
        </w:rPr>
        <w:t>(5)</w:t>
      </w:r>
      <w:r>
        <w:rPr>
          <w:rtl/>
          <w:lang w:bidi="fa-IR"/>
        </w:rPr>
        <w:t xml:space="preserve"> بِكَسْلَانَ ، وَلَا تَسْتَشِيرَنَّ </w:t>
      </w:r>
      <w:r w:rsidRPr="00D10E3C">
        <w:rPr>
          <w:rStyle w:val="libFootnotenumChar"/>
          <w:rtl/>
        </w:rPr>
        <w:t>(6)</w:t>
      </w:r>
      <w:r>
        <w:rPr>
          <w:rtl/>
          <w:lang w:bidi="fa-IR"/>
        </w:rPr>
        <w:t xml:space="preserve"> عَاجِزاً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 xml:space="preserve">8425 / 7. أَحْمَدُ بْنُ مُحَمَّدٍ </w:t>
      </w:r>
      <w:r w:rsidRPr="00D10E3C">
        <w:rPr>
          <w:rStyle w:val="libFootnotenumChar"/>
          <w:rtl/>
        </w:rPr>
        <w:t>(9)</w:t>
      </w:r>
      <w:r>
        <w:rPr>
          <w:rtl/>
          <w:lang w:bidi="fa-IR"/>
        </w:rPr>
        <w:t xml:space="preserve"> ، عَنِ الْهَيْثَمِ النَّهْدِيِّ ، عَنْ عَبْدِ الْعَزِيزِ بْنِ عَمْرٍو </w:t>
      </w:r>
      <w:r w:rsidRPr="00D10E3C">
        <w:rPr>
          <w:rStyle w:val="libFootnotenumChar"/>
          <w:rtl/>
        </w:rPr>
        <w:t>(10)</w:t>
      </w:r>
      <w:r>
        <w:rPr>
          <w:rtl/>
          <w:lang w:bidi="fa-IR"/>
        </w:rPr>
        <w:t xml:space="preserve"> الْوَاسِطِيِّ ، عَنْ أَحْمَدَ بْنِ عُمَرَ الْحَلَبِيِّ </w:t>
      </w:r>
      <w:r w:rsidRPr="00D10E3C">
        <w:rPr>
          <w:rStyle w:val="libFootnotenumChar"/>
          <w:rtl/>
        </w:rPr>
        <w:t>(11)</w:t>
      </w:r>
      <w:r>
        <w:rPr>
          <w:rtl/>
          <w:lang w:bidi="fa-IR"/>
        </w:rPr>
        <w:t xml:space="preserve"> ، عَنْ زَيْدٍ الْقَتَّاتِ ، عَنْ أَبَانِ بْنِ تَغْلِبَ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w:t>
      </w:r>
      <w:r w:rsidRPr="00D10E3C">
        <w:rPr>
          <w:rStyle w:val="libFootnotenumChar"/>
          <w:rtl/>
        </w:rPr>
        <w:t>(12)</w:t>
      </w:r>
      <w:r>
        <w:rPr>
          <w:rtl/>
          <w:lang w:bidi="fa-IR"/>
        </w:rPr>
        <w:t xml:space="preserve"> : « تَجَنَّبُوا الْمُنى </w:t>
      </w:r>
      <w:r w:rsidRPr="00D10E3C">
        <w:rPr>
          <w:rStyle w:val="libFootnotenumChar"/>
          <w:rtl/>
        </w:rPr>
        <w:t>(13)</w:t>
      </w:r>
      <w:r>
        <w:rPr>
          <w:rtl/>
          <w:lang w:bidi="fa-IR"/>
        </w:rPr>
        <w:t xml:space="preserve"> ؛ فَإِنَّهَا تُذْهِبُ بَهْجَةَ مَا خُوِّلْتُمْ </w:t>
      </w:r>
      <w:r w:rsidRPr="00D10E3C">
        <w:rPr>
          <w:rStyle w:val="libFootnotenumChar"/>
          <w:rtl/>
        </w:rPr>
        <w:t>(14)</w:t>
      </w:r>
      <w:r>
        <w:rPr>
          <w:rtl/>
          <w:lang w:bidi="fa-IR"/>
        </w:rPr>
        <w:t xml:space="preserve"> ،</w:t>
      </w:r>
    </w:p>
    <w:p w:rsidR="00744A1C" w:rsidRDefault="00744A1C" w:rsidP="00D10E3C">
      <w:pPr>
        <w:pStyle w:val="libLine"/>
        <w:rPr>
          <w:lang w:bidi="fa-IR"/>
        </w:rPr>
      </w:pPr>
      <w:r>
        <w:rPr>
          <w:rtl/>
          <w:lang w:bidi="fa-IR"/>
        </w:rPr>
        <w:t>____________________</w:t>
      </w:r>
    </w:p>
    <w:p w:rsidR="00744A1C" w:rsidRDefault="00C510B7" w:rsidP="00D10E3C">
      <w:pPr>
        <w:pStyle w:val="libFootnote0"/>
        <w:rPr>
          <w:lang w:bidi="fa-IR"/>
        </w:rPr>
      </w:pPr>
      <w:r>
        <w:rPr>
          <w:rFonts w:hint="cs"/>
          <w:rtl/>
          <w:lang w:bidi="fa-IR"/>
        </w:rPr>
        <w:t xml:space="preserve">= </w:t>
      </w:r>
      <w:r w:rsidR="00744A1C">
        <w:rPr>
          <w:rtl/>
          <w:lang w:bidi="fa-IR"/>
        </w:rPr>
        <w:t xml:space="preserve">النبيّ </w:t>
      </w:r>
      <w:r w:rsidR="0061079A" w:rsidRPr="0061079A">
        <w:rPr>
          <w:rStyle w:val="libFootnoteAlaemChar"/>
          <w:rtl/>
        </w:rPr>
        <w:t>صلى‌الله‌عليه‌وآله</w:t>
      </w:r>
      <w:r w:rsidR="00744A1C">
        <w:rPr>
          <w:rtl/>
          <w:lang w:bidi="fa-IR"/>
        </w:rPr>
        <w:t xml:space="preserve"> . وفيه ، ص 168 ، ح 3634 ؛ والزهد ، ص 80 ، ح 44 ؛ والأمالي للصدوق ، ص 543 ، المجلس 81 ، ضمن ح 3 ؛ و</w:t>
      </w:r>
      <w:r w:rsidR="00744A1C" w:rsidRPr="006368D2">
        <w:rPr>
          <w:rStyle w:val="libFootnoteBoldChar"/>
          <w:rtl/>
        </w:rPr>
        <w:t>الأمالي للمفيد</w:t>
      </w:r>
      <w:r w:rsidR="00744A1C">
        <w:rPr>
          <w:rtl/>
          <w:lang w:bidi="fa-IR"/>
        </w:rPr>
        <w:t xml:space="preserve"> ، ص 181 ، المجلس 23 ، ضمن ح 4 ، بسند آخر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w:t>
      </w:r>
      <w:r>
        <w:rPr>
          <w:rFonts w:hint="cs"/>
          <w:rtl/>
          <w:lang w:bidi="fa-IR"/>
        </w:rPr>
        <w:t>.</w:t>
      </w:r>
      <w:r w:rsidR="00744A1C" w:rsidRPr="00C24F9C">
        <w:rPr>
          <w:rStyle w:val="libFootnoteBoldChar"/>
          <w:rtl/>
        </w:rPr>
        <w:t>الوافي</w:t>
      </w:r>
      <w:r w:rsidR="00744A1C">
        <w:rPr>
          <w:rtl/>
          <w:lang w:bidi="fa-IR"/>
        </w:rPr>
        <w:t xml:space="preserve"> ، ج 17 ، ص 74 ، ح 16883 ؛ </w:t>
      </w:r>
      <w:r w:rsidR="00744A1C" w:rsidRPr="00C24F9C">
        <w:rPr>
          <w:rStyle w:val="libFootnoteBoldChar"/>
          <w:rtl/>
        </w:rPr>
        <w:t>الوسائل</w:t>
      </w:r>
      <w:r w:rsidR="00744A1C">
        <w:rPr>
          <w:rtl/>
          <w:lang w:bidi="fa-IR"/>
        </w:rPr>
        <w:t xml:space="preserve"> ، ج 17 ، ص 61 ، ح 21981.</w:t>
      </w:r>
    </w:p>
    <w:p w:rsidR="00744A1C" w:rsidRDefault="00D10E3C" w:rsidP="00D10E3C">
      <w:pPr>
        <w:pStyle w:val="libFootnote0"/>
        <w:rPr>
          <w:lang w:bidi="fa-IR"/>
        </w:rPr>
      </w:pPr>
      <w:r>
        <w:rPr>
          <w:rtl/>
          <w:lang w:bidi="fa-IR"/>
        </w:rPr>
        <w:t>(1).</w:t>
      </w:r>
      <w:r w:rsidR="00744A1C">
        <w:rPr>
          <w:rtl/>
          <w:lang w:bidi="fa-IR"/>
        </w:rPr>
        <w:t xml:space="preserve"> في « ط ، جن » : - « بن محمّد ». والسند معلّق على سابقه. ويروي عن أحمد بن محمّد ، عدّة من أصحابنا.</w:t>
      </w:r>
    </w:p>
    <w:tbl>
      <w:tblPr>
        <w:tblStyle w:val="TableGrid"/>
        <w:bidiVisual/>
        <w:tblW w:w="0" w:type="auto"/>
        <w:tblLook w:val="04A0" w:firstRow="1" w:lastRow="0" w:firstColumn="1" w:lastColumn="0" w:noHBand="0" w:noVBand="1"/>
      </w:tblPr>
      <w:tblGrid>
        <w:gridCol w:w="4006"/>
        <w:gridCol w:w="4006"/>
      </w:tblGrid>
      <w:tr w:rsidR="00C510B7" w:rsidTr="00C510B7">
        <w:tc>
          <w:tcPr>
            <w:tcW w:w="4006" w:type="dxa"/>
          </w:tcPr>
          <w:p w:rsidR="00C510B7" w:rsidRDefault="00C510B7" w:rsidP="00E378DD">
            <w:pPr>
              <w:pStyle w:val="libFootnote0"/>
              <w:rPr>
                <w:rtl/>
                <w:lang w:bidi="fa-IR"/>
              </w:rPr>
            </w:pPr>
            <w:r>
              <w:rPr>
                <w:rtl/>
                <w:lang w:bidi="fa-IR"/>
              </w:rPr>
              <w:t>(2). في « ط » : « أصحابه ».</w:t>
            </w:r>
          </w:p>
        </w:tc>
        <w:tc>
          <w:tcPr>
            <w:tcW w:w="4006" w:type="dxa"/>
          </w:tcPr>
          <w:p w:rsidR="00C510B7" w:rsidRDefault="00C510B7" w:rsidP="00E378DD">
            <w:pPr>
              <w:pStyle w:val="libFootnote0"/>
              <w:rPr>
                <w:rtl/>
                <w:lang w:bidi="fa-IR"/>
              </w:rPr>
            </w:pPr>
            <w:r>
              <w:rPr>
                <w:rtl/>
                <w:lang w:bidi="fa-IR"/>
              </w:rPr>
              <w:t>(3). في « ط ، بخ ، بف » و</w:t>
            </w:r>
            <w:r w:rsidRPr="00C24F9C">
              <w:rPr>
                <w:rStyle w:val="libFootnoteBoldChar"/>
                <w:rtl/>
              </w:rPr>
              <w:t>الوافي</w:t>
            </w:r>
            <w:r>
              <w:rPr>
                <w:rtl/>
                <w:lang w:bidi="fa-IR"/>
              </w:rPr>
              <w:t xml:space="preserve"> : « عمرو ».</w:t>
            </w:r>
          </w:p>
        </w:tc>
      </w:tr>
      <w:tr w:rsidR="00C510B7" w:rsidTr="00C510B7">
        <w:tc>
          <w:tcPr>
            <w:tcW w:w="4006" w:type="dxa"/>
          </w:tcPr>
          <w:p w:rsidR="00C510B7" w:rsidRDefault="00C510B7" w:rsidP="00E378DD">
            <w:pPr>
              <w:pStyle w:val="libFootnote0"/>
              <w:rPr>
                <w:rtl/>
                <w:lang w:bidi="fa-IR"/>
              </w:rPr>
            </w:pPr>
            <w:r>
              <w:rPr>
                <w:rtl/>
                <w:lang w:bidi="fa-IR"/>
              </w:rPr>
              <w:t>(4). في « بس » : « الحسن بن عليّ بن عبد الله ».</w:t>
            </w:r>
          </w:p>
        </w:tc>
        <w:tc>
          <w:tcPr>
            <w:tcW w:w="4006" w:type="dxa"/>
          </w:tcPr>
          <w:p w:rsidR="00C510B7" w:rsidRDefault="00C510B7" w:rsidP="00E378DD">
            <w:pPr>
              <w:pStyle w:val="libFootnote0"/>
              <w:rPr>
                <w:rtl/>
                <w:lang w:bidi="fa-IR"/>
              </w:rPr>
            </w:pPr>
            <w:r>
              <w:rPr>
                <w:rtl/>
                <w:lang w:bidi="fa-IR"/>
              </w:rPr>
              <w:t>(5). في « جت » بالتاء والياء معاً.</w:t>
            </w:r>
          </w:p>
        </w:tc>
      </w:tr>
    </w:tbl>
    <w:p w:rsidR="00744A1C" w:rsidRDefault="00E378DD" w:rsidP="00E378DD">
      <w:pPr>
        <w:pStyle w:val="libFootnote0"/>
        <w:rPr>
          <w:lang w:bidi="fa-IR"/>
        </w:rPr>
      </w:pPr>
      <w:r>
        <w:rPr>
          <w:rtl/>
          <w:lang w:bidi="fa-IR"/>
        </w:rPr>
        <w:t>(6).</w:t>
      </w:r>
      <w:r w:rsidR="00744A1C">
        <w:rPr>
          <w:rtl/>
          <w:lang w:bidi="fa-IR"/>
        </w:rPr>
        <w:t xml:space="preserve"> في « ط » </w:t>
      </w:r>
      <w:r w:rsidR="00744A1C" w:rsidRPr="00EC7CFE">
        <w:rPr>
          <w:rtl/>
        </w:rPr>
        <w:t>والوافي</w:t>
      </w:r>
      <w:r w:rsidR="00744A1C">
        <w:rPr>
          <w:rtl/>
          <w:lang w:bidi="fa-IR"/>
        </w:rPr>
        <w:t xml:space="preserve"> : « ولا تستشر ». وفي « بف » : « ولا تستشير ». وفي « جت » بالتاء والياء معاً.</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لعلّ المراد عاجز الرأي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17 ، ص 74 ، ح 16888 ؛ </w:t>
      </w:r>
      <w:r w:rsidR="00744A1C" w:rsidRPr="00C24F9C">
        <w:rPr>
          <w:rStyle w:val="libFootnoteBoldChar"/>
          <w:rtl/>
        </w:rPr>
        <w:t>الوسائل</w:t>
      </w:r>
      <w:r w:rsidR="00744A1C">
        <w:rPr>
          <w:rtl/>
          <w:lang w:bidi="fa-IR"/>
        </w:rPr>
        <w:t xml:space="preserve"> ، ج 17 ، ص 60 ، ح 21978.</w:t>
      </w:r>
    </w:p>
    <w:p w:rsidR="00744A1C" w:rsidRDefault="00E378DD" w:rsidP="00E378DD">
      <w:pPr>
        <w:pStyle w:val="libFootnote0"/>
        <w:rPr>
          <w:lang w:bidi="fa-IR"/>
        </w:rPr>
      </w:pPr>
      <w:r>
        <w:rPr>
          <w:rtl/>
          <w:lang w:bidi="fa-IR"/>
        </w:rPr>
        <w:t>(9).</w:t>
      </w:r>
      <w:r w:rsidR="00744A1C">
        <w:rPr>
          <w:rtl/>
          <w:lang w:bidi="fa-IR"/>
        </w:rPr>
        <w:t xml:space="preserve"> السند معلّق كسابقه.</w:t>
      </w:r>
    </w:p>
    <w:p w:rsidR="00744A1C" w:rsidRDefault="00E378DD" w:rsidP="00E378DD">
      <w:pPr>
        <w:pStyle w:val="libFootnote0"/>
        <w:rPr>
          <w:rtl/>
          <w:lang w:bidi="fa-IR"/>
        </w:rPr>
      </w:pPr>
      <w:r>
        <w:rPr>
          <w:rtl/>
          <w:lang w:bidi="fa-IR"/>
        </w:rPr>
        <w:t>(10).</w:t>
      </w:r>
      <w:r w:rsidR="00744A1C">
        <w:rPr>
          <w:rtl/>
          <w:lang w:bidi="fa-IR"/>
        </w:rPr>
        <w:t xml:space="preserve"> في « ى » </w:t>
      </w:r>
      <w:r w:rsidR="00744A1C" w:rsidRPr="00EC7CFE">
        <w:rPr>
          <w:rtl/>
        </w:rPr>
        <w:t>والوافي والوسائل</w:t>
      </w:r>
      <w:r w:rsidR="00744A1C">
        <w:rPr>
          <w:rtl/>
          <w:lang w:bidi="fa-IR"/>
        </w:rPr>
        <w:t xml:space="preserve"> : « عمر ».</w:t>
      </w:r>
    </w:p>
    <w:p w:rsidR="00EC7CFE" w:rsidRDefault="00EC7CFE" w:rsidP="00DA655B">
      <w:pPr>
        <w:pStyle w:val="libFootnote0"/>
        <w:rPr>
          <w:rtl/>
          <w:lang w:bidi="fa-IR"/>
        </w:rPr>
      </w:pPr>
      <w:r>
        <w:rPr>
          <w:rFonts w:hint="cs"/>
          <w:rtl/>
          <w:lang w:bidi="fa-IR"/>
        </w:rPr>
        <w:t xml:space="preserve">هذا ، و تقدّمت في </w:t>
      </w:r>
      <w:r w:rsidRPr="00DA655B">
        <w:rPr>
          <w:rStyle w:val="libFootnoteBoldChar"/>
          <w:rFonts w:hint="cs"/>
          <w:rtl/>
        </w:rPr>
        <w:t>الكافي</w:t>
      </w:r>
      <w:r>
        <w:rPr>
          <w:rFonts w:hint="cs"/>
          <w:rtl/>
          <w:lang w:bidi="fa-IR"/>
        </w:rPr>
        <w:t xml:space="preserve"> ، ح 2312 رواية الهيثم النهدي عن عبد العزيز بن عمر عن بعض أصحابه عن يحيى بن عمران الحلبي ، و ذالك الخبر رواه الشيخ الصدوق في </w:t>
      </w:r>
      <w:r w:rsidRPr="00556769">
        <w:rPr>
          <w:rStyle w:val="libFootnoteBoldChar"/>
          <w:rFonts w:hint="cs"/>
          <w:rtl/>
        </w:rPr>
        <w:t>الأمالي</w:t>
      </w:r>
      <w:r>
        <w:rPr>
          <w:rFonts w:hint="cs"/>
          <w:rtl/>
          <w:lang w:bidi="fa-IR"/>
        </w:rPr>
        <w:t xml:space="preserve"> ، ص 238 ، </w:t>
      </w:r>
      <w:r w:rsidRPr="00DA655B">
        <w:rPr>
          <w:rStyle w:val="libFootnoteBoldChar"/>
          <w:rFonts w:hint="cs"/>
          <w:rtl/>
        </w:rPr>
        <w:t>المجلس</w:t>
      </w:r>
      <w:r>
        <w:rPr>
          <w:rFonts w:hint="cs"/>
          <w:rtl/>
          <w:lang w:bidi="fa-IR"/>
        </w:rPr>
        <w:t xml:space="preserve"> 48، ح 8؛ و </w:t>
      </w:r>
      <w:r w:rsidRPr="00DA655B">
        <w:rPr>
          <w:rStyle w:val="libFootnoteBoldChar"/>
          <w:rFonts w:hint="cs"/>
          <w:rtl/>
        </w:rPr>
        <w:t>الخصال</w:t>
      </w:r>
      <w:r>
        <w:rPr>
          <w:rFonts w:hint="cs"/>
          <w:rtl/>
          <w:lang w:bidi="fa-IR"/>
        </w:rPr>
        <w:t xml:space="preserve">، </w:t>
      </w:r>
      <w:r w:rsidR="00FE2723">
        <w:rPr>
          <w:rFonts w:hint="cs"/>
          <w:rtl/>
          <w:lang w:bidi="fa-IR"/>
        </w:rPr>
        <w:t xml:space="preserve">ص 92،ح 36، بسنديه عن الهيثم بن أبي مسروق النهدي عن عبد العزيز بن عمر عن أحمد بن عمر الحلبي. و وردت في </w:t>
      </w:r>
      <w:r w:rsidR="00FE2723" w:rsidRPr="00DA655B">
        <w:rPr>
          <w:rStyle w:val="libFootnoteBoldChar"/>
          <w:rFonts w:hint="cs"/>
          <w:rtl/>
        </w:rPr>
        <w:t>الخصال</w:t>
      </w:r>
      <w:r w:rsidR="00FE2723">
        <w:rPr>
          <w:rFonts w:hint="cs"/>
          <w:rtl/>
          <w:lang w:bidi="fa-IR"/>
        </w:rPr>
        <w:t>، ص 277، ح 19 رواية الهيثم بن أبي مسروق النهدي عن عبد العزيز بن عمر الوسطي.</w:t>
      </w:r>
    </w:p>
    <w:p w:rsidR="00556769" w:rsidRPr="00556769" w:rsidRDefault="00556769" w:rsidP="00DA655B">
      <w:pPr>
        <w:pStyle w:val="libFootnote0"/>
        <w:rPr>
          <w:lang w:bidi="fa-IR"/>
        </w:rPr>
      </w:pPr>
      <w:r>
        <w:rPr>
          <w:rFonts w:hint="cs"/>
          <w:rtl/>
          <w:lang w:bidi="fa-IR"/>
        </w:rPr>
        <w:t xml:space="preserve">هذا، و لم يظهر لنا ما </w:t>
      </w:r>
      <w:r w:rsidR="00DA655B">
        <w:rPr>
          <w:rFonts w:hint="cs"/>
          <w:rtl/>
          <w:lang w:bidi="fa-IR"/>
        </w:rPr>
        <w:t>هو الصواب في عنوان الرجل.</w:t>
      </w:r>
    </w:p>
    <w:tbl>
      <w:tblPr>
        <w:tblStyle w:val="TableGrid"/>
        <w:bidiVisual/>
        <w:tblW w:w="0" w:type="auto"/>
        <w:tblLook w:val="04A0" w:firstRow="1" w:lastRow="0" w:firstColumn="1" w:lastColumn="0" w:noHBand="0" w:noVBand="1"/>
      </w:tblPr>
      <w:tblGrid>
        <w:gridCol w:w="4006"/>
        <w:gridCol w:w="4006"/>
      </w:tblGrid>
      <w:tr w:rsidR="00DA655B" w:rsidTr="00DA655B">
        <w:tc>
          <w:tcPr>
            <w:tcW w:w="4006" w:type="dxa"/>
          </w:tcPr>
          <w:p w:rsidR="00DA655B" w:rsidRDefault="00DA655B" w:rsidP="00E378DD">
            <w:pPr>
              <w:pStyle w:val="libFootnote0"/>
              <w:rPr>
                <w:rtl/>
                <w:lang w:bidi="fa-IR"/>
              </w:rPr>
            </w:pPr>
            <w:r>
              <w:rPr>
                <w:rtl/>
                <w:lang w:bidi="fa-IR"/>
              </w:rPr>
              <w:t xml:space="preserve">(11). في </w:t>
            </w:r>
            <w:r w:rsidRPr="00C24F9C">
              <w:rPr>
                <w:rStyle w:val="libFootnoteBoldChar"/>
                <w:rtl/>
              </w:rPr>
              <w:t>الوسائل</w:t>
            </w:r>
            <w:r>
              <w:rPr>
                <w:rtl/>
                <w:lang w:bidi="fa-IR"/>
              </w:rPr>
              <w:t xml:space="preserve"> : « الحل</w:t>
            </w:r>
            <w:r>
              <w:rPr>
                <w:rFonts w:hint="cs"/>
                <w:rtl/>
                <w:lang w:bidi="fa-IR"/>
              </w:rPr>
              <w:t>ّ</w:t>
            </w:r>
            <w:r>
              <w:rPr>
                <w:rtl/>
                <w:lang w:bidi="fa-IR"/>
              </w:rPr>
              <w:t>ال ».</w:t>
            </w:r>
          </w:p>
        </w:tc>
        <w:tc>
          <w:tcPr>
            <w:tcW w:w="4006" w:type="dxa"/>
          </w:tcPr>
          <w:p w:rsidR="00DA655B" w:rsidRDefault="00DA655B" w:rsidP="00E378DD">
            <w:pPr>
              <w:pStyle w:val="libFootnote0"/>
              <w:rPr>
                <w:rtl/>
                <w:lang w:bidi="fa-IR"/>
              </w:rPr>
            </w:pPr>
            <w:r>
              <w:rPr>
                <w:rtl/>
                <w:lang w:bidi="fa-IR"/>
              </w:rPr>
              <w:t>(12). في « جن » : « قال ».</w:t>
            </w:r>
          </w:p>
        </w:tc>
      </w:tr>
    </w:tbl>
    <w:p w:rsidR="00744A1C" w:rsidRDefault="00E378DD" w:rsidP="00E378DD">
      <w:pPr>
        <w:pStyle w:val="libFootnote0"/>
        <w:rPr>
          <w:lang w:bidi="fa-IR"/>
        </w:rPr>
      </w:pPr>
      <w:r>
        <w:rPr>
          <w:rtl/>
          <w:lang w:bidi="fa-IR"/>
        </w:rPr>
        <w:t>(13).</w:t>
      </w:r>
      <w:r w:rsidR="00744A1C">
        <w:rPr>
          <w:rtl/>
          <w:lang w:bidi="fa-IR"/>
        </w:rPr>
        <w:t xml:space="preserve"> « ال</w:t>
      </w:r>
      <w:r w:rsidR="00DA655B">
        <w:rPr>
          <w:rFonts w:hint="cs"/>
          <w:rtl/>
          <w:lang w:bidi="fa-IR"/>
        </w:rPr>
        <w:t>ـ</w:t>
      </w:r>
      <w:r w:rsidR="00744A1C">
        <w:rPr>
          <w:rtl/>
          <w:lang w:bidi="fa-IR"/>
        </w:rPr>
        <w:t>مُنى » بضمّ الميم ، جمع ال</w:t>
      </w:r>
      <w:r w:rsidR="00445DD7">
        <w:rPr>
          <w:rFonts w:hint="cs"/>
          <w:rtl/>
          <w:lang w:bidi="fa-IR"/>
        </w:rPr>
        <w:t>ـ</w:t>
      </w:r>
      <w:r w:rsidR="00744A1C">
        <w:rPr>
          <w:rtl/>
          <w:lang w:bidi="fa-IR"/>
        </w:rPr>
        <w:t xml:space="preserve">مُنْيَة ، وهو ما يتمنّى الرجل. </w:t>
      </w:r>
      <w:r w:rsidR="00744A1C" w:rsidRPr="00877682">
        <w:rPr>
          <w:rStyle w:val="libFootnoteBoldChar"/>
          <w:rtl/>
        </w:rPr>
        <w:t>لسان العرب</w:t>
      </w:r>
      <w:r w:rsidR="00744A1C">
        <w:rPr>
          <w:rtl/>
          <w:lang w:bidi="fa-IR"/>
        </w:rPr>
        <w:t xml:space="preserve"> ، ج 15 ، ص 294 ( منى ).</w:t>
      </w:r>
    </w:p>
    <w:p w:rsidR="00744A1C" w:rsidRDefault="00E378DD" w:rsidP="00E378DD">
      <w:pPr>
        <w:pStyle w:val="libFootnote0"/>
        <w:rPr>
          <w:lang w:bidi="fa-IR"/>
        </w:rPr>
      </w:pPr>
      <w:r>
        <w:rPr>
          <w:rtl/>
          <w:lang w:bidi="fa-IR"/>
        </w:rPr>
        <w:t>(14).</w:t>
      </w:r>
      <w:r w:rsidR="00744A1C">
        <w:rPr>
          <w:rtl/>
          <w:lang w:bidi="fa-IR"/>
        </w:rPr>
        <w:t xml:space="preserve"> التَّخويل : التمليك ، والإنعام ، والإعطاء. وفي </w:t>
      </w:r>
      <w:r w:rsidR="00744A1C" w:rsidRPr="00C24F9C">
        <w:rPr>
          <w:rStyle w:val="libFootnoteBoldChar"/>
          <w:rtl/>
        </w:rPr>
        <w:t>الوافي</w:t>
      </w:r>
      <w:r w:rsidR="00744A1C">
        <w:rPr>
          <w:rtl/>
          <w:lang w:bidi="fa-IR"/>
        </w:rPr>
        <w:t xml:space="preserve"> : « ما خوّلتم : ما أنعم الله به عليكم ، وإنّما يستصغرون المواهب لعدم اكتفائهم بها ، وإنّما يعقّبهم الحسرات لأنّ ال</w:t>
      </w:r>
      <w:r w:rsidR="00445DD7">
        <w:rPr>
          <w:rFonts w:hint="cs"/>
          <w:rtl/>
          <w:lang w:bidi="fa-IR"/>
        </w:rPr>
        <w:t>ـ</w:t>
      </w:r>
      <w:r w:rsidR="00744A1C">
        <w:rPr>
          <w:rtl/>
          <w:lang w:bidi="fa-IR"/>
        </w:rPr>
        <w:t>مُنى لا حقيقة لها ، ولا حدّ تنتهي إليه ، ولذا قيل : ال</w:t>
      </w:r>
      <w:r w:rsidR="00445DD7">
        <w:rPr>
          <w:rFonts w:hint="cs"/>
          <w:rtl/>
          <w:lang w:bidi="fa-IR"/>
        </w:rPr>
        <w:t>ـ</w:t>
      </w:r>
      <w:r w:rsidR="00744A1C">
        <w:rPr>
          <w:rtl/>
          <w:lang w:bidi="fa-IR"/>
        </w:rPr>
        <w:t xml:space="preserve">مُنى رأس مال المفاليس ». وراجع : </w:t>
      </w:r>
      <w:r w:rsidR="00744A1C" w:rsidRPr="00877682">
        <w:rPr>
          <w:rStyle w:val="libFootnoteBoldChar"/>
          <w:rtl/>
        </w:rPr>
        <w:t>لسان العرب</w:t>
      </w:r>
      <w:r w:rsidR="00744A1C">
        <w:rPr>
          <w:rtl/>
          <w:lang w:bidi="fa-IR"/>
        </w:rPr>
        <w:t xml:space="preserve"> ، ج 11 ، ص 224 ( خول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وَ</w:t>
      </w:r>
      <w:r w:rsidR="00445DD7">
        <w:rPr>
          <w:rFonts w:hint="cs"/>
          <w:rtl/>
          <w:lang w:bidi="fa-IR"/>
        </w:rPr>
        <w:t xml:space="preserve"> </w:t>
      </w:r>
      <w:r>
        <w:rPr>
          <w:rtl/>
          <w:lang w:bidi="fa-IR"/>
        </w:rPr>
        <w:t xml:space="preserve">تَسْتَصْغِرُونَ </w:t>
      </w:r>
      <w:r w:rsidRPr="00D10E3C">
        <w:rPr>
          <w:rStyle w:val="libFootnotenumChar"/>
          <w:rtl/>
        </w:rPr>
        <w:t>(1)</w:t>
      </w:r>
      <w:r>
        <w:rPr>
          <w:rtl/>
          <w:lang w:bidi="fa-IR"/>
        </w:rPr>
        <w:t xml:space="preserve"> بِهَا مَوَاهِبَ اللهِ تَعَالى عِنْدَكُمْ </w:t>
      </w:r>
      <w:r w:rsidRPr="00D10E3C">
        <w:rPr>
          <w:rStyle w:val="libFootnotenumChar"/>
          <w:rtl/>
        </w:rPr>
        <w:t>(2)</w:t>
      </w:r>
      <w:r>
        <w:rPr>
          <w:rtl/>
          <w:lang w:bidi="fa-IR"/>
        </w:rPr>
        <w:t xml:space="preserve"> ، وَ</w:t>
      </w:r>
      <w:r w:rsidR="00445DD7">
        <w:rPr>
          <w:rFonts w:hint="cs"/>
          <w:rtl/>
          <w:lang w:bidi="fa-IR"/>
        </w:rPr>
        <w:t xml:space="preserve"> </w:t>
      </w:r>
      <w:r>
        <w:rPr>
          <w:rtl/>
          <w:lang w:bidi="fa-IR"/>
        </w:rPr>
        <w:t xml:space="preserve">تُعْقِبُكُمُ الْحَسَرَاتُ </w:t>
      </w:r>
      <w:r w:rsidRPr="00D10E3C">
        <w:rPr>
          <w:rStyle w:val="libFootnotenumChar"/>
          <w:rtl/>
        </w:rPr>
        <w:t>(3)</w:t>
      </w:r>
      <w:r>
        <w:rPr>
          <w:rtl/>
          <w:lang w:bidi="fa-IR"/>
        </w:rPr>
        <w:t xml:space="preserve"> فِيمَا وَهَّمْتُمْ بِهِ </w:t>
      </w:r>
      <w:r w:rsidRPr="00D10E3C">
        <w:rPr>
          <w:rStyle w:val="libFootnotenumChar"/>
          <w:rtl/>
        </w:rPr>
        <w:t>(4)</w:t>
      </w:r>
      <w:r>
        <w:rPr>
          <w:rtl/>
          <w:lang w:bidi="fa-IR"/>
        </w:rPr>
        <w:t xml:space="preserve"> أَنْفُسَكُمْ ». </w:t>
      </w:r>
      <w:r w:rsidRPr="00D10E3C">
        <w:rPr>
          <w:rStyle w:val="libFootnotenumChar"/>
          <w:rtl/>
        </w:rPr>
        <w:t>(5)</w:t>
      </w:r>
    </w:p>
    <w:p w:rsidR="00144FA6" w:rsidRDefault="00744A1C" w:rsidP="00744A1C">
      <w:pPr>
        <w:pStyle w:val="libNormal"/>
        <w:rPr>
          <w:rtl/>
          <w:lang w:bidi="fa-IR"/>
        </w:rPr>
      </w:pPr>
      <w:r>
        <w:rPr>
          <w:rtl/>
          <w:lang w:bidi="fa-IR"/>
        </w:rPr>
        <w:t>8426 / 8. عَلِيُّ بْنُ مُحَمَّدٍ رَفَعَهُ ، قَالَ :</w:t>
      </w:r>
    </w:p>
    <w:p w:rsidR="00144FA6" w:rsidRDefault="00744A1C" w:rsidP="00744A1C">
      <w:pPr>
        <w:pStyle w:val="libNormal"/>
        <w:rPr>
          <w:rtl/>
          <w:lang w:bidi="fa-IR"/>
        </w:rPr>
      </w:pPr>
      <w:r>
        <w:rPr>
          <w:rtl/>
          <w:lang w:bidi="fa-IR"/>
        </w:rPr>
        <w:t xml:space="preserve">قَالَ أَمِيرُ الْمُؤْمِنِينَ </w:t>
      </w:r>
      <w:r w:rsidR="0061079A" w:rsidRPr="0061079A">
        <w:rPr>
          <w:rStyle w:val="libAlaemChar"/>
          <w:rtl/>
        </w:rPr>
        <w:t>عليه‌السلام</w:t>
      </w:r>
      <w:r w:rsidR="00D10E3C">
        <w:rPr>
          <w:rtl/>
          <w:lang w:bidi="fa-IR"/>
        </w:rPr>
        <w:t xml:space="preserve"> </w:t>
      </w:r>
      <w:r>
        <w:rPr>
          <w:rtl/>
          <w:lang w:bidi="fa-IR"/>
        </w:rPr>
        <w:t xml:space="preserve">: « إِنَّ الْأَشْيَاءَ لَمَّا ازْدَوَجَتْ ، ازْدَوَجَ الْكَسَلُ وَالْعَجْزُ </w:t>
      </w:r>
      <w:r w:rsidRPr="00D10E3C">
        <w:rPr>
          <w:rStyle w:val="libFootnotenumChar"/>
          <w:rtl/>
        </w:rPr>
        <w:t>(6)</w:t>
      </w:r>
      <w:r>
        <w:rPr>
          <w:rtl/>
          <w:lang w:bidi="fa-IR"/>
        </w:rPr>
        <w:t xml:space="preserve"> ، فَنُتِجَا </w:t>
      </w:r>
      <w:r w:rsidRPr="00D10E3C">
        <w:rPr>
          <w:rStyle w:val="libFootnotenumChar"/>
          <w:rtl/>
        </w:rPr>
        <w:t>(7)</w:t>
      </w:r>
      <w:r>
        <w:rPr>
          <w:rtl/>
          <w:lang w:bidi="fa-IR"/>
        </w:rPr>
        <w:t xml:space="preserve"> بَيْنَهُمَا الْفَقْرَ ». </w:t>
      </w:r>
      <w:r w:rsidRPr="00D10E3C">
        <w:rPr>
          <w:rStyle w:val="libFootnotenumChar"/>
          <w:rtl/>
        </w:rPr>
        <w:t>(8)</w:t>
      </w:r>
    </w:p>
    <w:p w:rsidR="00144FA6" w:rsidRDefault="00744A1C" w:rsidP="00744A1C">
      <w:pPr>
        <w:pStyle w:val="libNormal"/>
        <w:rPr>
          <w:rtl/>
          <w:lang w:bidi="fa-IR"/>
        </w:rPr>
      </w:pPr>
      <w:r>
        <w:rPr>
          <w:rtl/>
          <w:lang w:bidi="fa-IR"/>
        </w:rPr>
        <w:t>8427 / 9. عَلِيُّ بْنُ إِبْرَاهِيمَ ، عَنْ هَارُونَ بْنِ مُسْلِمٍ ، عَنْ مَسْعَدَةَ بْنِ صَدَقَةَ ، قَالَ :</w:t>
      </w:r>
    </w:p>
    <w:p w:rsidR="00144FA6" w:rsidRDefault="00744A1C" w:rsidP="00744A1C">
      <w:pPr>
        <w:pStyle w:val="libNormal"/>
        <w:rPr>
          <w:rtl/>
          <w:lang w:bidi="fa-IR"/>
        </w:rPr>
      </w:pPr>
      <w:r>
        <w:rPr>
          <w:rtl/>
          <w:lang w:bidi="fa-IR"/>
        </w:rPr>
        <w:t xml:space="preserve">كَتَبَ أَبُو عَبْدِ اللهِ </w:t>
      </w:r>
      <w:r w:rsidR="0061079A" w:rsidRPr="0061079A">
        <w:rPr>
          <w:rStyle w:val="libAlaemChar"/>
          <w:rtl/>
        </w:rPr>
        <w:t>عليه‌السلام</w:t>
      </w:r>
      <w:r w:rsidR="00D10E3C">
        <w:rPr>
          <w:rtl/>
          <w:lang w:bidi="fa-IR"/>
        </w:rPr>
        <w:t xml:space="preserve"> </w:t>
      </w:r>
      <w:r>
        <w:rPr>
          <w:rtl/>
          <w:lang w:bidi="fa-IR"/>
        </w:rPr>
        <w:t xml:space="preserve">إِلى رَجُلٍ مِنْ أَصْحَابِهِ : « أَمَّا بَعْدُ ، فَلَا تُجَادِلِ الْعُلَمَاءَ ، وَلَا تُمَارِ </w:t>
      </w:r>
      <w:r w:rsidRPr="00D10E3C">
        <w:rPr>
          <w:rStyle w:val="libFootnotenumChar"/>
          <w:rtl/>
        </w:rPr>
        <w:t>(9)</w:t>
      </w:r>
      <w:r>
        <w:rPr>
          <w:rtl/>
          <w:lang w:bidi="fa-IR"/>
        </w:rPr>
        <w:t xml:space="preserve"> السُّفَهَاءَ ، فَيُبْغِضَكَ الْعُلَمَاءُ ، وَيَشْتِمَكَ </w:t>
      </w:r>
      <w:r w:rsidRPr="00D10E3C">
        <w:rPr>
          <w:rStyle w:val="libFootnotenumChar"/>
          <w:rtl/>
        </w:rPr>
        <w:t>(10)</w:t>
      </w:r>
      <w:r>
        <w:rPr>
          <w:rtl/>
          <w:lang w:bidi="fa-IR"/>
        </w:rPr>
        <w:t xml:space="preserve"> السُّفَهَاءُ ، وَلَا تَكْسَلْ </w:t>
      </w:r>
      <w:r w:rsidRPr="00D10E3C">
        <w:rPr>
          <w:rStyle w:val="libFootnotenumChar"/>
          <w:rtl/>
        </w:rPr>
        <w:t>(11)</w:t>
      </w:r>
      <w:r>
        <w:rPr>
          <w:rtl/>
          <w:lang w:bidi="fa-IR"/>
        </w:rPr>
        <w:t xml:space="preserve"> عَنْ </w:t>
      </w:r>
      <w:r w:rsidRPr="00D10E3C">
        <w:rPr>
          <w:rStyle w:val="libFootnotenumChar"/>
          <w:rtl/>
        </w:rPr>
        <w:t>(12)</w:t>
      </w:r>
      <w:r>
        <w:rPr>
          <w:rtl/>
          <w:lang w:bidi="fa-IR"/>
        </w:rPr>
        <w:t xml:space="preserve"> مَعِيشَتِكَ ، فَتَكُونَ كَلًّا </w:t>
      </w:r>
      <w:r w:rsidRPr="00D10E3C">
        <w:rPr>
          <w:rStyle w:val="libFootnotenumChar"/>
          <w:rtl/>
        </w:rPr>
        <w:t>(13)</w:t>
      </w:r>
      <w:r>
        <w:rPr>
          <w:rtl/>
          <w:lang w:bidi="fa-IR"/>
        </w:rPr>
        <w:t xml:space="preserve"> عَلى غَيْرِكَ - أَوْ قَالَ : عَلى أَهْلِكَ - ». </w:t>
      </w:r>
      <w:r w:rsidRPr="00D10E3C">
        <w:rPr>
          <w:rStyle w:val="libFootnotenumChar"/>
          <w:rtl/>
        </w:rPr>
        <w:t>(14)</w:t>
      </w:r>
    </w:p>
    <w:p w:rsidR="00744A1C" w:rsidRDefault="00744A1C" w:rsidP="00445DD7">
      <w:pPr>
        <w:pStyle w:val="Heading2Center"/>
        <w:rPr>
          <w:lang w:bidi="fa-IR"/>
        </w:rPr>
      </w:pPr>
      <w:bookmarkStart w:id="134" w:name="_Toc49261432"/>
      <w:r>
        <w:rPr>
          <w:rtl/>
          <w:lang w:bidi="fa-IR"/>
        </w:rPr>
        <w:t>11 - بَابُ عَمَلِ الرَّجُلِ فِي بَيْتِهِ‌</w:t>
      </w:r>
      <w:bookmarkEnd w:id="134"/>
    </w:p>
    <w:p w:rsidR="00144FA6" w:rsidRDefault="00744A1C" w:rsidP="00744A1C">
      <w:pPr>
        <w:pStyle w:val="libNormal"/>
        <w:rPr>
          <w:rtl/>
          <w:lang w:bidi="fa-IR"/>
        </w:rPr>
      </w:pPr>
      <w:r>
        <w:rPr>
          <w:rtl/>
          <w:lang w:bidi="fa-IR"/>
        </w:rPr>
        <w:t>8428 / 1. عَلِيُّ بْنُ إِبْرَاهِيمَ ، عَنْ أَبِيهِ ، عَنِ ابْنِ أَبِي عُمَيْرٍ ، عَنْ هِشَامِ بْنِ سَالِمٍ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445DD7" w:rsidTr="00445DD7">
        <w:tc>
          <w:tcPr>
            <w:tcW w:w="4006" w:type="dxa"/>
          </w:tcPr>
          <w:p w:rsidR="00445DD7" w:rsidRDefault="00445DD7" w:rsidP="00D10E3C">
            <w:pPr>
              <w:pStyle w:val="libFootnote0"/>
              <w:rPr>
                <w:rtl/>
                <w:lang w:bidi="fa-IR"/>
              </w:rPr>
            </w:pPr>
            <w:r>
              <w:rPr>
                <w:rtl/>
                <w:lang w:bidi="fa-IR"/>
              </w:rPr>
              <w:t>(1). في « ى » : « وتصغّرون ».</w:t>
            </w:r>
          </w:p>
        </w:tc>
        <w:tc>
          <w:tcPr>
            <w:tcW w:w="4006" w:type="dxa"/>
          </w:tcPr>
          <w:p w:rsidR="00445DD7" w:rsidRDefault="00445DD7" w:rsidP="00D10E3C">
            <w:pPr>
              <w:pStyle w:val="libFootnote0"/>
              <w:rPr>
                <w:rtl/>
                <w:lang w:bidi="fa-IR"/>
              </w:rPr>
            </w:pPr>
            <w:r>
              <w:rPr>
                <w:rtl/>
                <w:lang w:bidi="fa-IR"/>
              </w:rPr>
              <w:t>(2). في « ى » : - « تعالى عندكم ».</w:t>
            </w:r>
          </w:p>
        </w:tc>
      </w:tr>
    </w:tbl>
    <w:p w:rsidR="00744A1C" w:rsidRDefault="00E378DD" w:rsidP="00E378DD">
      <w:pPr>
        <w:pStyle w:val="libFootnote0"/>
        <w:rPr>
          <w:lang w:bidi="fa-IR"/>
        </w:rPr>
      </w:pPr>
      <w:r>
        <w:rPr>
          <w:rtl/>
          <w:lang w:bidi="fa-IR"/>
        </w:rPr>
        <w:t>(3).</w:t>
      </w:r>
      <w:r w:rsidR="00744A1C">
        <w:rPr>
          <w:rtl/>
          <w:lang w:bidi="fa-IR"/>
        </w:rPr>
        <w:t xml:space="preserve"> في « بس » : « الخسران ».</w:t>
      </w:r>
    </w:p>
    <w:p w:rsidR="00744A1C" w:rsidRDefault="00E378DD" w:rsidP="00E378DD">
      <w:pPr>
        <w:pStyle w:val="libFootnote0"/>
        <w:rPr>
          <w:lang w:bidi="fa-IR"/>
        </w:rPr>
      </w:pPr>
      <w:r>
        <w:rPr>
          <w:rtl/>
          <w:lang w:bidi="fa-IR"/>
        </w:rPr>
        <w:t>(4).</w:t>
      </w:r>
      <w:r w:rsidR="00744A1C">
        <w:rPr>
          <w:rtl/>
          <w:lang w:bidi="fa-IR"/>
        </w:rPr>
        <w:t xml:space="preserve"> في </w:t>
      </w:r>
      <w:r w:rsidR="00744A1C" w:rsidRPr="00877682">
        <w:rPr>
          <w:rStyle w:val="libFootnoteBoldChar"/>
          <w:rtl/>
        </w:rPr>
        <w:t>مرآة العقول</w:t>
      </w:r>
      <w:r w:rsidR="00744A1C">
        <w:rPr>
          <w:rtl/>
          <w:lang w:bidi="fa-IR"/>
        </w:rPr>
        <w:t xml:space="preserve"> ، ج 19 ، ص 34 : « وهّمتم ، على بناء التفعيل ، أي ما ألقيتم في أنفسكم من الأوهام الباطلة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17 ، ص 74 ، ح 16889 ؛ </w:t>
      </w:r>
      <w:r w:rsidR="00744A1C" w:rsidRPr="00C24F9C">
        <w:rPr>
          <w:rStyle w:val="libFootnoteBoldChar"/>
          <w:rtl/>
        </w:rPr>
        <w:t>الوسائل</w:t>
      </w:r>
      <w:r w:rsidR="00744A1C">
        <w:rPr>
          <w:rtl/>
          <w:lang w:bidi="fa-IR"/>
        </w:rPr>
        <w:t xml:space="preserve"> ، ج 17 ، ص 61 ، ح 21982.</w:t>
      </w:r>
    </w:p>
    <w:p w:rsidR="00744A1C" w:rsidRDefault="00E378DD" w:rsidP="00E378DD">
      <w:pPr>
        <w:pStyle w:val="libFootnote0"/>
        <w:rPr>
          <w:lang w:bidi="fa-IR"/>
        </w:rPr>
      </w:pPr>
      <w:r>
        <w:rPr>
          <w:rtl/>
          <w:lang w:bidi="fa-IR"/>
        </w:rPr>
        <w:t>(6).</w:t>
      </w:r>
      <w:r w:rsidR="00744A1C">
        <w:rPr>
          <w:rtl/>
          <w:lang w:bidi="fa-IR"/>
        </w:rPr>
        <w:t xml:space="preserve"> في حاشية « بخ » : « الضجر ».</w:t>
      </w:r>
    </w:p>
    <w:p w:rsidR="00744A1C" w:rsidRDefault="00E378DD" w:rsidP="00E378DD">
      <w:pPr>
        <w:pStyle w:val="libFootnote0"/>
        <w:rPr>
          <w:lang w:bidi="fa-IR"/>
        </w:rPr>
      </w:pPr>
      <w:r>
        <w:rPr>
          <w:rtl/>
          <w:lang w:bidi="fa-IR"/>
        </w:rPr>
        <w:t>(7).</w:t>
      </w:r>
      <w:r w:rsidR="00744A1C">
        <w:rPr>
          <w:rtl/>
          <w:lang w:bidi="fa-IR"/>
        </w:rPr>
        <w:t xml:space="preserve"> يقال : نُتِجت الناقة ولداً ، على بناء المجهول : إذا وضعته. راجع : </w:t>
      </w:r>
      <w:r w:rsidR="00744A1C" w:rsidRPr="00E978C3">
        <w:rPr>
          <w:rStyle w:val="libFootnoteBoldChar"/>
          <w:rtl/>
        </w:rPr>
        <w:t>المصباح المنير</w:t>
      </w:r>
      <w:r w:rsidR="00744A1C">
        <w:rPr>
          <w:rtl/>
          <w:lang w:bidi="fa-IR"/>
        </w:rPr>
        <w:t xml:space="preserve"> ، ص 591 ( نتج ).</w:t>
      </w:r>
    </w:p>
    <w:p w:rsidR="00744A1C" w:rsidRDefault="00E378DD" w:rsidP="00E378DD">
      <w:pPr>
        <w:pStyle w:val="libFootnote0"/>
        <w:rPr>
          <w:lang w:bidi="fa-IR"/>
        </w:rPr>
      </w:pPr>
      <w:r>
        <w:rPr>
          <w:rtl/>
          <w:lang w:bidi="fa-IR"/>
        </w:rPr>
        <w:t>(8).</w:t>
      </w:r>
      <w:r w:rsidR="00744A1C">
        <w:rPr>
          <w:rtl/>
          <w:lang w:bidi="fa-IR"/>
        </w:rPr>
        <w:t xml:space="preserve"> </w:t>
      </w:r>
      <w:r w:rsidR="00744A1C" w:rsidRPr="007D61A8">
        <w:rPr>
          <w:rStyle w:val="libFootnoteBoldChar"/>
          <w:rtl/>
        </w:rPr>
        <w:t>تحف العقول</w:t>
      </w:r>
      <w:r w:rsidR="00744A1C">
        <w:rPr>
          <w:rtl/>
          <w:lang w:bidi="fa-IR"/>
        </w:rPr>
        <w:t xml:space="preserve"> ، ص 220 </w:t>
      </w:r>
      <w:r w:rsidR="0080196D">
        <w:rPr>
          <w:rFonts w:hint="cs"/>
          <w:rtl/>
          <w:lang w:bidi="fa-IR"/>
        </w:rPr>
        <w:t>.</w:t>
      </w:r>
      <w:r w:rsidR="00744A1C" w:rsidRPr="00C24F9C">
        <w:rPr>
          <w:rStyle w:val="libFootnoteBoldChar"/>
          <w:rtl/>
        </w:rPr>
        <w:t>الوافي</w:t>
      </w:r>
      <w:r w:rsidR="00744A1C">
        <w:rPr>
          <w:rtl/>
          <w:lang w:bidi="fa-IR"/>
        </w:rPr>
        <w:t xml:space="preserve"> ، ج 17 ، ص 75 ، ح 16890 ؛ </w:t>
      </w:r>
      <w:r w:rsidR="00744A1C" w:rsidRPr="00C24F9C">
        <w:rPr>
          <w:rStyle w:val="libFootnoteBoldChar"/>
          <w:rtl/>
        </w:rPr>
        <w:t>الوسائل</w:t>
      </w:r>
      <w:r w:rsidR="00744A1C">
        <w:rPr>
          <w:rtl/>
          <w:lang w:bidi="fa-IR"/>
        </w:rPr>
        <w:t xml:space="preserve"> ، ج 17 ، ص 60 ، ح 21979.</w:t>
      </w:r>
    </w:p>
    <w:p w:rsidR="00744A1C" w:rsidRDefault="00E378DD" w:rsidP="0080196D">
      <w:pPr>
        <w:pStyle w:val="libFootnote0"/>
        <w:rPr>
          <w:lang w:bidi="fa-IR"/>
        </w:rPr>
      </w:pPr>
      <w:r>
        <w:rPr>
          <w:rtl/>
          <w:lang w:bidi="fa-IR"/>
        </w:rPr>
        <w:t>(9).</w:t>
      </w:r>
      <w:r w:rsidR="00744A1C">
        <w:rPr>
          <w:rtl/>
          <w:lang w:bidi="fa-IR"/>
        </w:rPr>
        <w:t xml:space="preserve"> « لا تُمار » أي لا تحاجّ ولا تجادل. والمِراء والمُماراة : المجادلة والمحاجّة. راجع : </w:t>
      </w:r>
      <w:r w:rsidR="00744A1C" w:rsidRPr="002D57AD">
        <w:rPr>
          <w:rStyle w:val="libFootnoteBoldChar"/>
          <w:rtl/>
        </w:rPr>
        <w:t>المفردات للراغب</w:t>
      </w:r>
      <w:r w:rsidR="00744A1C">
        <w:rPr>
          <w:rtl/>
          <w:lang w:bidi="fa-IR"/>
        </w:rPr>
        <w:t xml:space="preserve"> ، ص 766 ؛ </w:t>
      </w:r>
      <w:r w:rsidR="00744A1C" w:rsidRPr="00E978C3">
        <w:rPr>
          <w:rStyle w:val="libFootnoteBoldChar"/>
          <w:rtl/>
        </w:rPr>
        <w:t>المصباح المنير</w:t>
      </w:r>
      <w:r w:rsidR="00744A1C">
        <w:rPr>
          <w:rtl/>
          <w:lang w:bidi="fa-IR"/>
        </w:rPr>
        <w:t xml:space="preserve"> ، ص 570 ( مري ).</w:t>
      </w:r>
      <w:r>
        <w:rPr>
          <w:rtl/>
          <w:lang w:bidi="fa-IR"/>
        </w:rPr>
        <w:t>(10).</w:t>
      </w:r>
      <w:r w:rsidR="00744A1C">
        <w:rPr>
          <w:rtl/>
          <w:lang w:bidi="fa-IR"/>
        </w:rPr>
        <w:t xml:space="preserve"> في « بخ ، بف » : « فتبغضك العلماء وتشتمك ».</w:t>
      </w:r>
    </w:p>
    <w:tbl>
      <w:tblPr>
        <w:tblStyle w:val="TableGrid"/>
        <w:bidiVisual/>
        <w:tblW w:w="0" w:type="auto"/>
        <w:tblLook w:val="04A0" w:firstRow="1" w:lastRow="0" w:firstColumn="1" w:lastColumn="0" w:noHBand="0" w:noVBand="1"/>
      </w:tblPr>
      <w:tblGrid>
        <w:gridCol w:w="4006"/>
        <w:gridCol w:w="4006"/>
      </w:tblGrid>
      <w:tr w:rsidR="0080196D" w:rsidTr="0080196D">
        <w:tc>
          <w:tcPr>
            <w:tcW w:w="4006" w:type="dxa"/>
          </w:tcPr>
          <w:p w:rsidR="0080196D" w:rsidRDefault="0080196D" w:rsidP="00E378DD">
            <w:pPr>
              <w:pStyle w:val="libFootnote0"/>
              <w:rPr>
                <w:rtl/>
                <w:lang w:bidi="fa-IR"/>
              </w:rPr>
            </w:pPr>
            <w:r>
              <w:rPr>
                <w:rtl/>
                <w:lang w:bidi="fa-IR"/>
              </w:rPr>
              <w:t>(11). في « بف » : « فلا تكسل ».</w:t>
            </w:r>
          </w:p>
        </w:tc>
        <w:tc>
          <w:tcPr>
            <w:tcW w:w="4006" w:type="dxa"/>
          </w:tcPr>
          <w:p w:rsidR="0080196D" w:rsidRDefault="0080196D" w:rsidP="00E378DD">
            <w:pPr>
              <w:pStyle w:val="libFootnote0"/>
              <w:rPr>
                <w:rtl/>
                <w:lang w:bidi="fa-IR"/>
              </w:rPr>
            </w:pPr>
            <w:r>
              <w:rPr>
                <w:rtl/>
                <w:lang w:bidi="fa-IR"/>
              </w:rPr>
              <w:t>(12). في حاشية « ى » : « في ».</w:t>
            </w:r>
          </w:p>
        </w:tc>
      </w:tr>
    </w:tbl>
    <w:p w:rsidR="00744A1C" w:rsidRDefault="00E378DD" w:rsidP="00E378DD">
      <w:pPr>
        <w:pStyle w:val="libFootnote0"/>
        <w:rPr>
          <w:lang w:bidi="fa-IR"/>
        </w:rPr>
      </w:pPr>
      <w:r>
        <w:rPr>
          <w:rtl/>
          <w:lang w:bidi="fa-IR"/>
        </w:rPr>
        <w:t>(13).</w:t>
      </w:r>
      <w:r w:rsidR="00744A1C">
        <w:rPr>
          <w:rtl/>
          <w:lang w:bidi="fa-IR"/>
        </w:rPr>
        <w:t xml:space="preserve"> الكَلُّ : الذي هو عيال وثقل على صاحبه. </w:t>
      </w:r>
      <w:r w:rsidR="00744A1C" w:rsidRPr="00877682">
        <w:rPr>
          <w:rStyle w:val="libFootnoteBoldChar"/>
          <w:rtl/>
        </w:rPr>
        <w:t>لسان العرب</w:t>
      </w:r>
      <w:r w:rsidR="00744A1C">
        <w:rPr>
          <w:rtl/>
          <w:lang w:bidi="fa-IR"/>
        </w:rPr>
        <w:t xml:space="preserve"> ، ج 11 ، ص 594 ( كلل ).</w:t>
      </w:r>
    </w:p>
    <w:p w:rsidR="00744A1C" w:rsidRDefault="00E378DD" w:rsidP="00E378DD">
      <w:pPr>
        <w:pStyle w:val="libFootnote0"/>
        <w:rPr>
          <w:lang w:bidi="fa-IR"/>
        </w:rPr>
      </w:pPr>
      <w:r>
        <w:rPr>
          <w:rtl/>
          <w:lang w:bidi="fa-IR"/>
        </w:rPr>
        <w:t>(14).</w:t>
      </w:r>
      <w:r w:rsidR="00744A1C">
        <w:rPr>
          <w:rtl/>
          <w:lang w:bidi="fa-IR"/>
        </w:rPr>
        <w:t xml:space="preserve"> </w:t>
      </w:r>
      <w:r w:rsidR="00744A1C" w:rsidRPr="00C24F9C">
        <w:rPr>
          <w:rStyle w:val="libFootnoteBoldChar"/>
          <w:rtl/>
        </w:rPr>
        <w:t>الوافي</w:t>
      </w:r>
      <w:r w:rsidR="00744A1C">
        <w:rPr>
          <w:rtl/>
          <w:lang w:bidi="fa-IR"/>
        </w:rPr>
        <w:t xml:space="preserve"> ، ج 17 ، ص 75 ، ح 16891 ؛ </w:t>
      </w:r>
      <w:r w:rsidR="00744A1C" w:rsidRPr="00C24F9C">
        <w:rPr>
          <w:rStyle w:val="libFootnoteBoldChar"/>
          <w:rtl/>
        </w:rPr>
        <w:t>الوسائل</w:t>
      </w:r>
      <w:r w:rsidR="00744A1C">
        <w:rPr>
          <w:rtl/>
          <w:lang w:bidi="fa-IR"/>
        </w:rPr>
        <w:t xml:space="preserve"> ، ج 17 ، ص 59 ، ح 21975.</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أَمِيرُ الْمُؤْمِنِينَ - صَلَوَاتُ اللهِ عَلَيْهِ - يَحْتَطِبُ وَيَسْتَقِي وَيَكْنُسُ ، وَكَانَتْ فَاطِمَةُ - سَلَامُ اللهِ عَلَيْهَا - تَطْحَنُ وَتَعْجِنُ وَتَخْبِزُ ». </w:t>
      </w:r>
      <w:r w:rsidRPr="00D10E3C">
        <w:rPr>
          <w:rStyle w:val="libFootnotenumChar"/>
          <w:rtl/>
        </w:rPr>
        <w:t>(1)</w:t>
      </w:r>
    </w:p>
    <w:p w:rsidR="00144FA6" w:rsidRDefault="00744A1C" w:rsidP="00744A1C">
      <w:pPr>
        <w:pStyle w:val="libNormal"/>
        <w:rPr>
          <w:rtl/>
          <w:lang w:bidi="fa-IR"/>
        </w:rPr>
      </w:pPr>
      <w:r>
        <w:rPr>
          <w:rtl/>
          <w:lang w:bidi="fa-IR"/>
        </w:rPr>
        <w:t xml:space="preserve">8429 / 2. أَحْمَدُ بْنُ عَبْدِ اللهِ ، عَنْ أَحْمَدَ بْنِ أَبِي عَبْدِ اللهِ ، عَنْ عَبْدَلِ </w:t>
      </w:r>
      <w:r w:rsidRPr="00D10E3C">
        <w:rPr>
          <w:rStyle w:val="libFootnotenumChar"/>
          <w:rtl/>
        </w:rPr>
        <w:t>(2)</w:t>
      </w:r>
      <w:r>
        <w:rPr>
          <w:rtl/>
          <w:lang w:bidi="fa-IR"/>
        </w:rPr>
        <w:t xml:space="preserve"> بْنِ مَالِكٍ ، عَنْ هَارُونَ بْنِ الْجَهْمِ ، عَنِ الْكَاهِلِيِّ ، عَنْ مُعَاذٍ بَيَّاعِ الْأَكْسِيَةِ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كَانَ رَسُولُ اللهِ </w:t>
      </w:r>
      <w:r w:rsidR="007B299E" w:rsidRPr="007B299E">
        <w:rPr>
          <w:rStyle w:val="libAlaemChar"/>
          <w:rtl/>
        </w:rPr>
        <w:t>صلى‌الله‌عليه‌وآله</w:t>
      </w:r>
      <w:r w:rsidR="00D10E3C">
        <w:rPr>
          <w:rtl/>
          <w:lang w:bidi="fa-IR"/>
        </w:rPr>
        <w:t xml:space="preserve"> </w:t>
      </w:r>
      <w:r>
        <w:rPr>
          <w:rtl/>
          <w:lang w:bidi="fa-IR"/>
        </w:rPr>
        <w:t xml:space="preserve">يَحْلُبُ عَنْزَ </w:t>
      </w:r>
      <w:r w:rsidRPr="00D10E3C">
        <w:rPr>
          <w:rStyle w:val="libFootnotenumChar"/>
          <w:rtl/>
        </w:rPr>
        <w:t>(3)</w:t>
      </w:r>
      <w:r>
        <w:rPr>
          <w:rtl/>
          <w:lang w:bidi="fa-IR"/>
        </w:rPr>
        <w:t xml:space="preserve"> أَهْلِهِ ». </w:t>
      </w:r>
      <w:r w:rsidRPr="00D10E3C">
        <w:rPr>
          <w:rStyle w:val="libFootnotenumChar"/>
          <w:rtl/>
        </w:rPr>
        <w:t>(4)</w:t>
      </w:r>
    </w:p>
    <w:p w:rsidR="00744A1C" w:rsidRDefault="00744A1C" w:rsidP="0080196D">
      <w:pPr>
        <w:pStyle w:val="Heading2Center"/>
        <w:rPr>
          <w:lang w:bidi="fa-IR"/>
        </w:rPr>
      </w:pPr>
      <w:bookmarkStart w:id="135" w:name="_Toc49261433"/>
      <w:r>
        <w:rPr>
          <w:rtl/>
          <w:lang w:bidi="fa-IR"/>
        </w:rPr>
        <w:t>12 - بَابُ إِصْلَاحِ الْمَالِ وَتَقْدِيرِ الْمَعِيشَةِ‌</w:t>
      </w:r>
      <w:bookmarkEnd w:id="135"/>
    </w:p>
    <w:p w:rsidR="00144FA6" w:rsidRDefault="00744A1C" w:rsidP="00744A1C">
      <w:pPr>
        <w:pStyle w:val="libNormal"/>
        <w:rPr>
          <w:rtl/>
          <w:lang w:bidi="fa-IR"/>
        </w:rPr>
      </w:pPr>
      <w:r>
        <w:rPr>
          <w:rtl/>
          <w:lang w:bidi="fa-IR"/>
        </w:rPr>
        <w:t>8430 / 1. عِدَّةٌ مِنْ أَصْحَابِنَا ، عَنْ أَحْمَدَ بْنِ مُحَمَّدٍ ، عَنْ عَلِيِّ بْنِ الْحَكَمِ ، عَنْ مُحَمَّدِ بْنِ سَمَاعَةَ ، عَنْ مُحَمَّدِ بْنِ مَرْوَانَ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w:t>
      </w:r>
      <w:r w:rsidRPr="00D10E3C">
        <w:rPr>
          <w:rStyle w:val="libFootnotenumChar"/>
          <w:rtl/>
        </w:rPr>
        <w:t>(5)</w:t>
      </w:r>
      <w:r>
        <w:rPr>
          <w:rtl/>
          <w:lang w:bidi="fa-IR"/>
        </w:rPr>
        <w:t xml:space="preserve"> فِي حِكْمَةِ آلِ دَاوُدَ </w:t>
      </w:r>
      <w:r w:rsidRPr="00D10E3C">
        <w:rPr>
          <w:rStyle w:val="libFootnotenumChar"/>
          <w:rtl/>
        </w:rPr>
        <w:t>(6)</w:t>
      </w:r>
      <w:r>
        <w:rPr>
          <w:rtl/>
          <w:lang w:bidi="fa-IR"/>
        </w:rPr>
        <w:t xml:space="preserve"> : يَنْبَغِي لِلْمُسْلِمِ الْعَاقِلِ أَنْ لَا يُرى ظَاعِناً </w:t>
      </w:r>
      <w:r w:rsidRPr="00D10E3C">
        <w:rPr>
          <w:rStyle w:val="libFootnotenumChar"/>
          <w:rtl/>
        </w:rPr>
        <w:t>(7)</w:t>
      </w:r>
      <w:r w:rsidR="008510D4">
        <w:rPr>
          <w:rtl/>
          <w:lang w:bidi="fa-IR"/>
        </w:rPr>
        <w:t xml:space="preserve"> إِل</w:t>
      </w:r>
      <w:r w:rsidR="008510D4">
        <w:rPr>
          <w:rFonts w:hint="cs"/>
          <w:rtl/>
          <w:lang w:bidi="fa-IR"/>
        </w:rPr>
        <w:t>َّ</w:t>
      </w:r>
      <w:r w:rsidR="008510D4">
        <w:rPr>
          <w:rtl/>
          <w:lang w:bidi="fa-IR"/>
        </w:rPr>
        <w:t>ا</w:t>
      </w:r>
      <w:r>
        <w:rPr>
          <w:rtl/>
          <w:lang w:bidi="fa-IR"/>
        </w:rPr>
        <w:t xml:space="preserve"> فِي ثَلَاثٍ </w:t>
      </w:r>
      <w:r w:rsidRPr="00D10E3C">
        <w:rPr>
          <w:rStyle w:val="libFootnotenumChar"/>
          <w:rtl/>
        </w:rPr>
        <w:t>(8)</w:t>
      </w:r>
      <w:r>
        <w:rPr>
          <w:rtl/>
          <w:lang w:bidi="fa-IR"/>
        </w:rPr>
        <w:t xml:space="preserve"> : مَرَمَّةٍ لِمَعَاشٍ ، أَوْ تَزَوُّدٍ لِمَعَادٍ ، أَوْ لَذَّةٍ فِي غَيْرِ ذَاتِ </w:t>
      </w:r>
      <w:r w:rsidRPr="00D10E3C">
        <w:rPr>
          <w:rStyle w:val="libFootnotenumChar"/>
          <w:rtl/>
        </w:rPr>
        <w:t>(9)</w:t>
      </w:r>
      <w:r>
        <w:rPr>
          <w:rtl/>
          <w:lang w:bidi="fa-IR"/>
        </w:rPr>
        <w:t xml:space="preserve"> مُحَرَّمٍ </w:t>
      </w:r>
      <w:r w:rsidRPr="00D10E3C">
        <w:rPr>
          <w:rStyle w:val="libFootnotenumChar"/>
          <w:rtl/>
        </w:rPr>
        <w:t>(10)</w:t>
      </w:r>
      <w:r>
        <w:rPr>
          <w:rtl/>
          <w:lang w:bidi="fa-IR"/>
        </w:rPr>
        <w:t xml:space="preserve"> ؛ وَيَنْبَغِي لِلْمُسْلِمِ الْعَاقِلِ أَنْ يَكُونَ </w:t>
      </w:r>
      <w:r w:rsidRPr="00D10E3C">
        <w:rPr>
          <w:rStyle w:val="libFootnotenumChar"/>
          <w:rtl/>
        </w:rPr>
        <w:t>(11)</w:t>
      </w:r>
      <w:r>
        <w:rPr>
          <w:rtl/>
          <w:lang w:bidi="fa-IR"/>
        </w:rPr>
        <w:t xml:space="preserve"> لَهُ سَاعَةٌ يُفْضِي بِهَا إِلى عَمَلِهِ فِيمَا بَيْنَهُ‌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0B1C3F">
        <w:rPr>
          <w:rStyle w:val="libFootnoteBoldChar"/>
          <w:rtl/>
        </w:rPr>
        <w:t>الأمالي للطوسي</w:t>
      </w:r>
      <w:r w:rsidR="00744A1C">
        <w:rPr>
          <w:rtl/>
          <w:lang w:bidi="fa-IR"/>
        </w:rPr>
        <w:t xml:space="preserve"> ، ص 660 ، المجلس 35 ، ح 13 ، بسنده عن محمّد بن أبي عمير. </w:t>
      </w:r>
      <w:r w:rsidR="00744A1C" w:rsidRPr="00C24F9C">
        <w:rPr>
          <w:rStyle w:val="libFootnoteBoldChar"/>
          <w:rtl/>
        </w:rPr>
        <w:t>الفقيه</w:t>
      </w:r>
      <w:r w:rsidR="00744A1C">
        <w:rPr>
          <w:rtl/>
          <w:lang w:bidi="fa-IR"/>
        </w:rPr>
        <w:t xml:space="preserve"> ، ج 3 ، ص 169 ، ح 3640 ، معلّقاً عن هشام بن سالم. </w:t>
      </w:r>
      <w:r w:rsidR="00744A1C" w:rsidRPr="0061079A">
        <w:rPr>
          <w:rStyle w:val="libFootnoteBoldChar"/>
          <w:rtl/>
        </w:rPr>
        <w:t>الكافي</w:t>
      </w:r>
      <w:r w:rsidR="00744A1C">
        <w:rPr>
          <w:rtl/>
          <w:lang w:bidi="fa-IR"/>
        </w:rPr>
        <w:t xml:space="preserve"> ، كتاب الروضة ، ضمن ح 14991 ، بسند آخر ، مع اختلاف يسير </w:t>
      </w:r>
      <w:r w:rsidR="00BD3FEB">
        <w:rPr>
          <w:rFonts w:hint="cs"/>
          <w:rtl/>
          <w:lang w:bidi="fa-IR"/>
        </w:rPr>
        <w:t>.</w:t>
      </w:r>
      <w:r w:rsidR="00744A1C" w:rsidRPr="00C24F9C">
        <w:rPr>
          <w:rStyle w:val="libFootnoteBoldChar"/>
          <w:rtl/>
        </w:rPr>
        <w:t>الوافي</w:t>
      </w:r>
      <w:r w:rsidR="00744A1C">
        <w:rPr>
          <w:rtl/>
          <w:lang w:bidi="fa-IR"/>
        </w:rPr>
        <w:t xml:space="preserve"> ، ج 17 ، ص 77 ، ح 16893 ؛ </w:t>
      </w:r>
      <w:r w:rsidR="00744A1C" w:rsidRPr="00C24F9C">
        <w:rPr>
          <w:rStyle w:val="libFootnoteBoldChar"/>
          <w:rtl/>
        </w:rPr>
        <w:t>الوسائل</w:t>
      </w:r>
      <w:r w:rsidR="00744A1C">
        <w:rPr>
          <w:rtl/>
          <w:lang w:bidi="fa-IR"/>
        </w:rPr>
        <w:t xml:space="preserve"> ، ج 17 ، ص 62 ، ح 21985 ؛ </w:t>
      </w:r>
      <w:r w:rsidR="00744A1C" w:rsidRPr="0061079A">
        <w:rPr>
          <w:rStyle w:val="libFootnoteBoldChar"/>
          <w:rtl/>
        </w:rPr>
        <w:t>البحار</w:t>
      </w:r>
      <w:r w:rsidR="00744A1C">
        <w:rPr>
          <w:rtl/>
          <w:lang w:bidi="fa-IR"/>
        </w:rPr>
        <w:t xml:space="preserve"> ، ج 43 ، ص 151 ، ح 7.</w:t>
      </w:r>
    </w:p>
    <w:p w:rsidR="00744A1C" w:rsidRDefault="00E378DD" w:rsidP="00E378DD">
      <w:pPr>
        <w:pStyle w:val="libFootnote0"/>
        <w:rPr>
          <w:lang w:bidi="fa-IR"/>
        </w:rPr>
      </w:pPr>
      <w:r>
        <w:rPr>
          <w:rtl/>
          <w:lang w:bidi="fa-IR"/>
        </w:rPr>
        <w:t>(2).</w:t>
      </w:r>
      <w:r w:rsidR="00744A1C">
        <w:rPr>
          <w:rtl/>
          <w:lang w:bidi="fa-IR"/>
        </w:rPr>
        <w:t xml:space="preserve"> في « ط ، بخ ، بف » : « عبديل ».</w:t>
      </w:r>
    </w:p>
    <w:p w:rsidR="00744A1C" w:rsidRDefault="00E378DD" w:rsidP="00E378DD">
      <w:pPr>
        <w:pStyle w:val="libFootnote0"/>
        <w:rPr>
          <w:lang w:bidi="fa-IR"/>
        </w:rPr>
      </w:pPr>
      <w:r>
        <w:rPr>
          <w:rtl/>
          <w:lang w:bidi="fa-IR"/>
        </w:rPr>
        <w:t>(3).</w:t>
      </w:r>
      <w:r w:rsidR="00744A1C">
        <w:rPr>
          <w:rtl/>
          <w:lang w:bidi="fa-IR"/>
        </w:rPr>
        <w:t xml:space="preserve"> العَنْزُ : المائزة ، وهي الا</w:t>
      </w:r>
      <w:r w:rsidR="00BD3FEB">
        <w:rPr>
          <w:rFonts w:hint="cs"/>
          <w:rtl/>
          <w:lang w:bidi="fa-IR"/>
        </w:rPr>
        <w:t>ُ</w:t>
      </w:r>
      <w:r w:rsidR="00744A1C">
        <w:rPr>
          <w:rtl/>
          <w:lang w:bidi="fa-IR"/>
        </w:rPr>
        <w:t>نثى من ال</w:t>
      </w:r>
      <w:r w:rsidR="00BD3FEB">
        <w:rPr>
          <w:rFonts w:hint="cs"/>
          <w:rtl/>
          <w:lang w:bidi="fa-IR"/>
        </w:rPr>
        <w:t>ـ</w:t>
      </w:r>
      <w:r w:rsidR="00744A1C">
        <w:rPr>
          <w:rtl/>
          <w:lang w:bidi="fa-IR"/>
        </w:rPr>
        <w:t xml:space="preserve">مَعز. </w:t>
      </w:r>
      <w:r w:rsidR="00744A1C" w:rsidRPr="00E978C3">
        <w:rPr>
          <w:rStyle w:val="libFootnoteBoldChar"/>
          <w:rtl/>
        </w:rPr>
        <w:t>الصحاح</w:t>
      </w:r>
      <w:r w:rsidR="00744A1C">
        <w:rPr>
          <w:rtl/>
          <w:lang w:bidi="fa-IR"/>
        </w:rPr>
        <w:t xml:space="preserve"> ، ج 3 ، ص 887 ( عنز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17 ، ص 77 ، ح 16894 ؛ </w:t>
      </w:r>
      <w:r w:rsidR="00744A1C" w:rsidRPr="00C24F9C">
        <w:rPr>
          <w:rStyle w:val="libFootnoteBoldChar"/>
          <w:rtl/>
        </w:rPr>
        <w:t>الوسائل</w:t>
      </w:r>
      <w:r w:rsidR="00744A1C">
        <w:rPr>
          <w:rtl/>
          <w:lang w:bidi="fa-IR"/>
        </w:rPr>
        <w:t xml:space="preserve"> ، ج 17 ، ص 62 ، ح 21986 ؛ </w:t>
      </w:r>
      <w:r w:rsidR="00744A1C" w:rsidRPr="0061079A">
        <w:rPr>
          <w:rStyle w:val="libFootnoteBoldChar"/>
          <w:rtl/>
        </w:rPr>
        <w:t>البحار</w:t>
      </w:r>
      <w:r w:rsidR="00744A1C">
        <w:rPr>
          <w:rtl/>
          <w:lang w:bidi="fa-IR"/>
        </w:rPr>
        <w:t xml:space="preserve"> ، ج 16 ، ص 273 ، ح 97.</w:t>
      </w:r>
    </w:p>
    <w:tbl>
      <w:tblPr>
        <w:tblStyle w:val="TableGrid"/>
        <w:bidiVisual/>
        <w:tblW w:w="0" w:type="auto"/>
        <w:tblLook w:val="04A0" w:firstRow="1" w:lastRow="0" w:firstColumn="1" w:lastColumn="0" w:noHBand="0" w:noVBand="1"/>
      </w:tblPr>
      <w:tblGrid>
        <w:gridCol w:w="4006"/>
        <w:gridCol w:w="4006"/>
      </w:tblGrid>
      <w:tr w:rsidR="003563F5" w:rsidTr="003563F5">
        <w:tc>
          <w:tcPr>
            <w:tcW w:w="4006" w:type="dxa"/>
          </w:tcPr>
          <w:p w:rsidR="003563F5" w:rsidRDefault="003563F5" w:rsidP="00E378DD">
            <w:pPr>
              <w:pStyle w:val="libFootnote0"/>
              <w:rPr>
                <w:rtl/>
                <w:lang w:bidi="fa-IR"/>
              </w:rPr>
            </w:pPr>
            <w:r>
              <w:rPr>
                <w:rtl/>
                <w:lang w:bidi="fa-IR"/>
              </w:rPr>
              <w:t>(5). في الخصال ، ص 120: «مكتوب» بدل « إنّ ».</w:t>
            </w:r>
          </w:p>
        </w:tc>
        <w:tc>
          <w:tcPr>
            <w:tcW w:w="4006" w:type="dxa"/>
          </w:tcPr>
          <w:p w:rsidR="003563F5" w:rsidRDefault="003563F5" w:rsidP="00E378DD">
            <w:pPr>
              <w:pStyle w:val="libFootnote0"/>
              <w:rPr>
                <w:rtl/>
                <w:lang w:bidi="fa-IR"/>
              </w:rPr>
            </w:pPr>
            <w:r>
              <w:rPr>
                <w:rtl/>
                <w:lang w:bidi="fa-IR"/>
              </w:rPr>
              <w:t xml:space="preserve">(6). في </w:t>
            </w:r>
            <w:r w:rsidRPr="00C24F9C">
              <w:rPr>
                <w:rStyle w:val="libFootnoteBoldChar"/>
                <w:rtl/>
              </w:rPr>
              <w:t>الوافي</w:t>
            </w:r>
            <w:r>
              <w:rPr>
                <w:rtl/>
                <w:lang w:bidi="fa-IR"/>
              </w:rPr>
              <w:t xml:space="preserve"> : « في الحكمة لآل داود ».</w:t>
            </w:r>
          </w:p>
        </w:tc>
      </w:tr>
    </w:tbl>
    <w:p w:rsidR="00744A1C" w:rsidRDefault="00E378DD" w:rsidP="003563F5">
      <w:pPr>
        <w:pStyle w:val="libFootnote0"/>
        <w:rPr>
          <w:lang w:bidi="fa-IR"/>
        </w:rPr>
      </w:pPr>
      <w:r>
        <w:rPr>
          <w:rtl/>
          <w:lang w:bidi="fa-IR"/>
        </w:rPr>
        <w:t>(7).</w:t>
      </w:r>
      <w:r w:rsidR="00744A1C">
        <w:rPr>
          <w:rtl/>
          <w:lang w:bidi="fa-IR"/>
        </w:rPr>
        <w:t xml:space="preserve"> الظاعن : السائر ، والمسافر ؛ من الظَعْن ، وهو السير والذهاب والارتحال. راجع : </w:t>
      </w:r>
      <w:r w:rsidR="00744A1C" w:rsidRPr="00877682">
        <w:rPr>
          <w:rStyle w:val="libFootnoteBoldChar"/>
          <w:rtl/>
        </w:rPr>
        <w:t>لسان العرب</w:t>
      </w:r>
      <w:r w:rsidR="00744A1C">
        <w:rPr>
          <w:rtl/>
          <w:lang w:bidi="fa-IR"/>
        </w:rPr>
        <w:t xml:space="preserve"> ، ج 13 ، ص 270 ؛ </w:t>
      </w:r>
      <w:r w:rsidR="00744A1C" w:rsidRPr="00E978C3">
        <w:rPr>
          <w:rStyle w:val="libFootnoteBoldChar"/>
          <w:rtl/>
        </w:rPr>
        <w:t>المصباح المنير</w:t>
      </w:r>
      <w:r w:rsidR="00744A1C">
        <w:rPr>
          <w:rtl/>
          <w:lang w:bidi="fa-IR"/>
        </w:rPr>
        <w:t xml:space="preserve"> ، ص 385 ( ظعن ).</w:t>
      </w:r>
      <w:r w:rsidR="003563F5">
        <w:rPr>
          <w:rFonts w:hint="cs"/>
          <w:rtl/>
          <w:lang w:bidi="fa-IR"/>
        </w:rPr>
        <w:t xml:space="preserve">             </w:t>
      </w:r>
      <w:r>
        <w:rPr>
          <w:rtl/>
          <w:lang w:bidi="fa-IR"/>
        </w:rPr>
        <w:t>(8).</w:t>
      </w:r>
      <w:r w:rsidR="00744A1C">
        <w:rPr>
          <w:rtl/>
          <w:lang w:bidi="fa-IR"/>
        </w:rPr>
        <w:t xml:space="preserve"> في « ط » </w:t>
      </w:r>
      <w:r w:rsidR="00744A1C" w:rsidRPr="003563F5">
        <w:rPr>
          <w:rtl/>
        </w:rPr>
        <w:t>والمحاسن</w:t>
      </w:r>
      <w:r w:rsidR="00744A1C">
        <w:rPr>
          <w:rtl/>
          <w:lang w:bidi="fa-IR"/>
        </w:rPr>
        <w:t xml:space="preserve"> ، ح 5 : - « ثلاث ».</w:t>
      </w:r>
    </w:p>
    <w:p w:rsidR="00744A1C" w:rsidRDefault="00E378DD" w:rsidP="00E378DD">
      <w:pPr>
        <w:pStyle w:val="libFootnote0"/>
        <w:rPr>
          <w:lang w:bidi="fa-IR"/>
        </w:rPr>
      </w:pPr>
      <w:r>
        <w:rPr>
          <w:rtl/>
          <w:lang w:bidi="fa-IR"/>
        </w:rPr>
        <w:t>(9).</w:t>
      </w:r>
      <w:r w:rsidR="00744A1C">
        <w:rPr>
          <w:rtl/>
          <w:lang w:bidi="fa-IR"/>
        </w:rPr>
        <w:t xml:space="preserve"> في « ط » و</w:t>
      </w:r>
      <w:r w:rsidR="00744A1C" w:rsidRPr="00C24F9C">
        <w:rPr>
          <w:rStyle w:val="libFootnoteBoldChar"/>
          <w:rtl/>
        </w:rPr>
        <w:t>الفقيه</w:t>
      </w:r>
      <w:r w:rsidR="00744A1C">
        <w:rPr>
          <w:rtl/>
          <w:lang w:bidi="fa-IR"/>
        </w:rPr>
        <w:t xml:space="preserve"> ، ج 2 و 4 و</w:t>
      </w:r>
      <w:r w:rsidR="00744A1C" w:rsidRPr="003A7143">
        <w:rPr>
          <w:rStyle w:val="libFootnoteBoldChar"/>
          <w:rtl/>
        </w:rPr>
        <w:t>المحاسن</w:t>
      </w:r>
      <w:r w:rsidR="00744A1C">
        <w:rPr>
          <w:rtl/>
          <w:lang w:bidi="fa-IR"/>
        </w:rPr>
        <w:t xml:space="preserve"> ، ح 5 و</w:t>
      </w:r>
      <w:r w:rsidR="00744A1C" w:rsidRPr="000B1C3F">
        <w:rPr>
          <w:rStyle w:val="libFootnoteBoldChar"/>
          <w:rtl/>
        </w:rPr>
        <w:t>الأمالي للطوسي</w:t>
      </w:r>
      <w:r w:rsidR="00744A1C">
        <w:rPr>
          <w:rtl/>
          <w:lang w:bidi="fa-IR"/>
        </w:rPr>
        <w:t xml:space="preserve"> ، ص 539 والخصال ، ص 120 : - « ذات ».</w:t>
      </w:r>
    </w:p>
    <w:p w:rsidR="00744A1C" w:rsidRDefault="00E378DD" w:rsidP="003563F5">
      <w:pPr>
        <w:pStyle w:val="libFootnote0"/>
        <w:rPr>
          <w:lang w:bidi="fa-IR"/>
        </w:rPr>
      </w:pPr>
      <w:r>
        <w:rPr>
          <w:rtl/>
          <w:lang w:bidi="fa-IR"/>
        </w:rPr>
        <w:t>(10).</w:t>
      </w:r>
      <w:r w:rsidR="00744A1C">
        <w:rPr>
          <w:rtl/>
          <w:lang w:bidi="fa-IR"/>
        </w:rPr>
        <w:t xml:space="preserve"> في </w:t>
      </w:r>
      <w:r w:rsidR="00744A1C" w:rsidRPr="00877682">
        <w:rPr>
          <w:rStyle w:val="libFootnoteBoldChar"/>
          <w:rtl/>
        </w:rPr>
        <w:t>مرآة العقول</w:t>
      </w:r>
      <w:r w:rsidR="00744A1C">
        <w:rPr>
          <w:rtl/>
          <w:lang w:bidi="fa-IR"/>
        </w:rPr>
        <w:t xml:space="preserve"> ، ج 19 ، ص 35 : « لعلّه بالتخفيف مصدر ميميّ ، أو بالتشديد مفعول باب التفعيل ، أي خصلةذات فعل محرّم ».</w:t>
      </w:r>
      <w:r w:rsidR="003563F5">
        <w:rPr>
          <w:rFonts w:hint="cs"/>
          <w:rtl/>
          <w:lang w:bidi="fa-IR"/>
        </w:rPr>
        <w:t xml:space="preserve">                                   </w:t>
      </w:r>
      <w:r>
        <w:rPr>
          <w:rtl/>
          <w:lang w:bidi="fa-IR"/>
        </w:rPr>
        <w:t>(11).</w:t>
      </w:r>
      <w:r w:rsidR="00744A1C">
        <w:rPr>
          <w:rtl/>
          <w:lang w:bidi="fa-IR"/>
        </w:rPr>
        <w:t xml:space="preserve"> في « ط ، جن » : « أن تكون ».</w:t>
      </w:r>
    </w:p>
    <w:p w:rsidR="006A5060" w:rsidRDefault="006A5060" w:rsidP="00D10E3C">
      <w:pPr>
        <w:pStyle w:val="libNormal"/>
        <w:rPr>
          <w:rtl/>
          <w:lang w:bidi="fa-IR"/>
        </w:rPr>
      </w:pPr>
      <w:r>
        <w:rPr>
          <w:rtl/>
          <w:lang w:bidi="fa-IR"/>
        </w:rPr>
        <w:br w:type="page"/>
      </w:r>
    </w:p>
    <w:p w:rsidR="00144FA6" w:rsidRDefault="00744A1C" w:rsidP="005D2B3B">
      <w:pPr>
        <w:pStyle w:val="libNormal0"/>
        <w:rPr>
          <w:rtl/>
          <w:lang w:bidi="fa-IR"/>
        </w:rPr>
      </w:pPr>
      <w:r>
        <w:rPr>
          <w:rtl/>
          <w:lang w:bidi="fa-IR"/>
        </w:rPr>
        <w:t>وَ</w:t>
      </w:r>
      <w:r w:rsidR="0017280D">
        <w:rPr>
          <w:rFonts w:hint="cs"/>
          <w:rtl/>
          <w:lang w:bidi="fa-IR"/>
        </w:rPr>
        <w:t xml:space="preserve"> </w:t>
      </w:r>
      <w:r>
        <w:rPr>
          <w:rtl/>
          <w:lang w:bidi="fa-IR"/>
        </w:rPr>
        <w:t xml:space="preserve">بَيْنَ اللهِ عَزَّ وَجَلَّ ، وَسَاعَةٌ يُلَاقِي إِخْوَانَهُ الَّذِينَ يُفَاوِضُهُمْ </w:t>
      </w:r>
      <w:r w:rsidRPr="00D10E3C">
        <w:rPr>
          <w:rStyle w:val="libFootnotenumChar"/>
          <w:rtl/>
        </w:rPr>
        <w:t>(1)</w:t>
      </w:r>
      <w:r>
        <w:rPr>
          <w:rtl/>
          <w:lang w:bidi="fa-IR"/>
        </w:rPr>
        <w:t xml:space="preserve"> وَيُفَاوِضُونَهُ فِي أَمْرِ آخِرَتِهِ ، وَسَاعَةٌ يُخَلِّي بَيْنَ نَفْسِهِ وَلَذَّاتِهَا فِي غَيْرِ مُحَرَّمٍ ؛ فَإِنَّهَا عَوْنٌ عَلى تِلْكَ </w:t>
      </w:r>
      <w:r w:rsidRPr="00D10E3C">
        <w:rPr>
          <w:rStyle w:val="libFootnotenumChar"/>
          <w:rtl/>
        </w:rPr>
        <w:t>(2)</w:t>
      </w:r>
      <w:r>
        <w:rPr>
          <w:rtl/>
          <w:lang w:bidi="fa-IR"/>
        </w:rPr>
        <w:t xml:space="preserve"> السَّاعَتَيْنِ ». </w:t>
      </w:r>
      <w:r w:rsidRPr="00D10E3C">
        <w:rPr>
          <w:rStyle w:val="libFootnotenumChar"/>
          <w:rtl/>
        </w:rPr>
        <w:t>(3)</w:t>
      </w:r>
    </w:p>
    <w:p w:rsidR="00144FA6" w:rsidRDefault="00744A1C" w:rsidP="00744A1C">
      <w:pPr>
        <w:pStyle w:val="libNormal"/>
        <w:rPr>
          <w:rtl/>
          <w:lang w:bidi="fa-IR"/>
        </w:rPr>
      </w:pPr>
      <w:r>
        <w:rPr>
          <w:rtl/>
          <w:lang w:bidi="fa-IR"/>
        </w:rPr>
        <w:t xml:space="preserve">8431 / 2. مُحَمَّدُ بْنُ إِسْمَاعِيلَ ، عَنِ الْفَضْلِ بْنِ شَاذَانَ ، عَنِ ابْنِ أَبِي عُمَيْرٍ </w:t>
      </w:r>
      <w:r w:rsidRPr="00D10E3C">
        <w:rPr>
          <w:rStyle w:val="libFootnotenumChar"/>
          <w:rtl/>
        </w:rPr>
        <w:t>(4)</w:t>
      </w:r>
      <w:r>
        <w:rPr>
          <w:rtl/>
          <w:lang w:bidi="fa-IR"/>
        </w:rPr>
        <w:t xml:space="preserve"> ، عَنْ رِبْعِيٍّ </w:t>
      </w:r>
      <w:r w:rsidRPr="00D10E3C">
        <w:rPr>
          <w:rStyle w:val="libFootnotenumChar"/>
          <w:rtl/>
        </w:rPr>
        <w:t>(5)</w:t>
      </w:r>
      <w:r>
        <w:rPr>
          <w:rtl/>
          <w:lang w:bidi="fa-IR"/>
        </w:rPr>
        <w:t xml:space="preserve"> ، عَنْ رَجُلٍ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sidRPr="00D10E3C">
        <w:rPr>
          <w:rStyle w:val="libFootnotenumChar"/>
          <w:rtl/>
        </w:rPr>
        <w:t>(6)</w:t>
      </w:r>
      <w:r>
        <w:rPr>
          <w:rtl/>
          <w:lang w:bidi="fa-IR"/>
        </w:rPr>
        <w:t xml:space="preserve"> ، قَالَ : « الْكَمَالُ كُلُّ الْكَمَالِ فِي ثَلَاثَةٍ » وَذَكَرَ </w:t>
      </w:r>
      <w:r w:rsidRPr="00D10E3C">
        <w:rPr>
          <w:rStyle w:val="libFootnotenumChar"/>
          <w:rtl/>
        </w:rPr>
        <w:t>(7)</w:t>
      </w:r>
      <w:r>
        <w:rPr>
          <w:rtl/>
          <w:lang w:bidi="fa-IR"/>
        </w:rPr>
        <w:t xml:space="preserve"> فِي </w:t>
      </w:r>
      <w:r w:rsidRPr="00D10E3C">
        <w:rPr>
          <w:rStyle w:val="libFootnotenumChar"/>
          <w:rtl/>
        </w:rPr>
        <w:t>(8)</w:t>
      </w:r>
      <w:r>
        <w:rPr>
          <w:rtl/>
          <w:lang w:bidi="fa-IR"/>
        </w:rPr>
        <w:t xml:space="preserve"> الثَّلَاثَةِ التَّقْدِيرَ فِي الْمَعِيشَةِ.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17280D">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المفاوضة : المحادثة والمذاكرة ، وأخذ ما عند صاحبك من العلم وإعطاؤك إيّاه ما عندك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xml:space="preserve">: يُفضى بها ، على بناء المفعول ، والباء للسببيّة ، أي يوصل بسببها ، أو على بناء الفاعل والباء للتعدية. والأوّل أظهر. وفي </w:t>
      </w:r>
      <w:r w:rsidR="00744A1C" w:rsidRPr="0017280D">
        <w:rPr>
          <w:rStyle w:val="libFootnoteBoldChar"/>
          <w:rtl/>
        </w:rPr>
        <w:t>القاموس</w:t>
      </w:r>
      <w:r w:rsidR="00744A1C">
        <w:rPr>
          <w:rtl/>
          <w:lang w:bidi="fa-IR"/>
        </w:rPr>
        <w:t xml:space="preserve"> : المفاوضة : المجاورة في الأمر ». وراجع : </w:t>
      </w:r>
      <w:r w:rsidR="00744A1C" w:rsidRPr="00877682">
        <w:rPr>
          <w:rStyle w:val="libFootnoteBoldChar"/>
          <w:rtl/>
        </w:rPr>
        <w:t>النهاية</w:t>
      </w:r>
      <w:r w:rsidR="00744A1C">
        <w:rPr>
          <w:rtl/>
          <w:lang w:bidi="fa-IR"/>
        </w:rPr>
        <w:t xml:space="preserve"> ، ج 3 ، ص 479 ؛ </w:t>
      </w:r>
      <w:r w:rsidR="00744A1C" w:rsidRPr="008A57EB">
        <w:rPr>
          <w:rStyle w:val="libFootnoteBoldChar"/>
          <w:rtl/>
        </w:rPr>
        <w:t>القاموس المحيط</w:t>
      </w:r>
      <w:r w:rsidR="00744A1C">
        <w:rPr>
          <w:rtl/>
          <w:lang w:bidi="fa-IR"/>
        </w:rPr>
        <w:t xml:space="preserve"> ، ج 1 ، ص 880 ( فوض ).</w:t>
      </w:r>
      <w:r w:rsidR="0017280D">
        <w:rPr>
          <w:rFonts w:hint="cs"/>
          <w:rtl/>
          <w:lang w:bidi="fa-IR"/>
        </w:rPr>
        <w:t xml:space="preserve">             </w:t>
      </w:r>
      <w:r w:rsidR="00E378DD">
        <w:rPr>
          <w:rtl/>
          <w:lang w:bidi="fa-IR"/>
        </w:rPr>
        <w:t>(2).</w:t>
      </w:r>
      <w:r w:rsidR="00744A1C">
        <w:rPr>
          <w:rtl/>
          <w:lang w:bidi="fa-IR"/>
        </w:rPr>
        <w:t xml:space="preserve"> في حاشية « ى » </w:t>
      </w:r>
      <w:r w:rsidR="00744A1C" w:rsidRPr="0017280D">
        <w:rPr>
          <w:rtl/>
        </w:rPr>
        <w:t>والوافي :</w:t>
      </w:r>
      <w:r w:rsidR="00744A1C">
        <w:rPr>
          <w:rtl/>
          <w:lang w:bidi="fa-IR"/>
        </w:rPr>
        <w:t xml:space="preserve"> « تينك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الفقيه</w:t>
      </w:r>
      <w:r w:rsidR="00744A1C">
        <w:rPr>
          <w:rtl/>
          <w:lang w:bidi="fa-IR"/>
        </w:rPr>
        <w:t xml:space="preserve"> ، ج 2 ، ص 265 ، ح 2386 ؛ و</w:t>
      </w:r>
      <w:r w:rsidR="00744A1C" w:rsidRPr="003A7143">
        <w:rPr>
          <w:rStyle w:val="libFootnoteBoldChar"/>
          <w:rtl/>
        </w:rPr>
        <w:t>المحاسن</w:t>
      </w:r>
      <w:r w:rsidR="00744A1C">
        <w:rPr>
          <w:rtl/>
          <w:lang w:bidi="fa-IR"/>
        </w:rPr>
        <w:t xml:space="preserve"> ، ص 345 ، كتاب السفر ، ح 5 ؛ و</w:t>
      </w:r>
      <w:r w:rsidR="0017280D">
        <w:rPr>
          <w:rFonts w:hint="cs"/>
          <w:rtl/>
          <w:lang w:bidi="fa-IR"/>
        </w:rPr>
        <w:t xml:space="preserve"> </w:t>
      </w:r>
      <w:r w:rsidR="00744A1C" w:rsidRPr="0017280D">
        <w:rPr>
          <w:rStyle w:val="libFootnoteBoldChar"/>
          <w:rtl/>
        </w:rPr>
        <w:t>الخصال</w:t>
      </w:r>
      <w:r w:rsidR="00744A1C">
        <w:rPr>
          <w:rtl/>
          <w:lang w:bidi="fa-IR"/>
        </w:rPr>
        <w:t xml:space="preserve"> ، ص 120 ، باب الثلاثة ، ح 110 ، بسند آخر. </w:t>
      </w:r>
      <w:r w:rsidR="00744A1C" w:rsidRPr="00C24F9C">
        <w:rPr>
          <w:rStyle w:val="libFootnoteBoldChar"/>
          <w:rtl/>
        </w:rPr>
        <w:t>الفقيه</w:t>
      </w:r>
      <w:r w:rsidR="00744A1C">
        <w:rPr>
          <w:rtl/>
          <w:lang w:bidi="fa-IR"/>
        </w:rPr>
        <w:t xml:space="preserve"> ، ج 4 ، ص 356 ، ضمن الحديث الطويل 5762 ، بسند آخر عن أبي عبد الله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4863C4" w:rsidRPr="005D2B3B">
        <w:rPr>
          <w:rStyle w:val="libFootnoteAlaemChar"/>
          <w:rtl/>
        </w:rPr>
        <w:t>صلى‌الله‌عليه‌وآله</w:t>
      </w:r>
      <w:r w:rsidR="00744A1C">
        <w:rPr>
          <w:rtl/>
          <w:lang w:bidi="fa-IR"/>
        </w:rPr>
        <w:t xml:space="preserve"> . </w:t>
      </w:r>
      <w:r w:rsidR="00744A1C" w:rsidRPr="003A7143">
        <w:rPr>
          <w:rStyle w:val="libFootnoteBoldChar"/>
          <w:rtl/>
        </w:rPr>
        <w:t>المحاسن</w:t>
      </w:r>
      <w:r w:rsidR="00744A1C">
        <w:rPr>
          <w:rtl/>
          <w:lang w:bidi="fa-IR"/>
        </w:rPr>
        <w:t xml:space="preserve"> ، ص 345 ، كتاب السفر ، ح 4 ، بسند آخر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 وفي كلّ المصادر إلى قوله : « أو لذّة في غير ذات محرّم ». وفي الخصال ، ص 525 ، أبواب العشرين ، ضمن الحديث الطويل 13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332 ، ح 1 ؛ و</w:t>
      </w:r>
      <w:r w:rsidR="00744A1C" w:rsidRPr="000B1C3F">
        <w:rPr>
          <w:rStyle w:val="libFootnoteBoldChar"/>
          <w:rtl/>
        </w:rPr>
        <w:t>الأمالي للطوسي</w:t>
      </w:r>
      <w:r w:rsidR="00744A1C">
        <w:rPr>
          <w:rtl/>
          <w:lang w:bidi="fa-IR"/>
        </w:rPr>
        <w:t xml:space="preserve"> ، ص 540 ، المجلس 19 ، ضمن الحديث الطويل 2 ، بسند آخر عن النبيّ </w:t>
      </w:r>
      <w:r w:rsidR="005E465D" w:rsidRPr="005E465D">
        <w:rPr>
          <w:rStyle w:val="libFootnoteAlaemChar"/>
          <w:rtl/>
        </w:rPr>
        <w:t>صلى‌الله‌عليه‌وآله</w:t>
      </w:r>
      <w:r w:rsidR="00D10E3C">
        <w:rPr>
          <w:rtl/>
          <w:lang w:bidi="fa-IR"/>
        </w:rPr>
        <w:t xml:space="preserve"> </w:t>
      </w:r>
      <w:r w:rsidR="00744A1C">
        <w:rPr>
          <w:rtl/>
          <w:lang w:bidi="fa-IR"/>
        </w:rPr>
        <w:t xml:space="preserve">، مع اختلاف. وفيه ، ص 147 ، المجلس 5 ، ذيل ح 53 ، بسند آخر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نهج البلاغة ، ص 545 ، الرسالة 390 ، مع اختلاف ؛ </w:t>
      </w:r>
      <w:r w:rsidR="00744A1C" w:rsidRPr="007D61A8">
        <w:rPr>
          <w:rStyle w:val="libFootnoteBoldChar"/>
          <w:rtl/>
        </w:rPr>
        <w:t>تحف العقول</w:t>
      </w:r>
      <w:r w:rsidR="00744A1C">
        <w:rPr>
          <w:rtl/>
          <w:lang w:bidi="fa-IR"/>
        </w:rPr>
        <w:t xml:space="preserve"> ، ص 10 ، عن النبيّ </w:t>
      </w:r>
      <w:r w:rsidR="0061079A" w:rsidRPr="0061079A">
        <w:rPr>
          <w:rStyle w:val="libFootnoteAlaemChar"/>
          <w:rtl/>
        </w:rPr>
        <w:t>صلى‌الله‌عليه‌وآله</w:t>
      </w:r>
      <w:r w:rsidR="00D10E3C">
        <w:rPr>
          <w:rtl/>
          <w:lang w:bidi="fa-IR"/>
        </w:rPr>
        <w:t xml:space="preserve"> </w:t>
      </w:r>
      <w:r w:rsidR="00744A1C">
        <w:rPr>
          <w:rtl/>
          <w:lang w:bidi="fa-IR"/>
        </w:rPr>
        <w:t xml:space="preserve">، إلى قوله : « أو لذّة في غير ذات محرّم » مع اختلاف يسير </w:t>
      </w:r>
      <w:r w:rsidR="0017280D">
        <w:rPr>
          <w:rFonts w:hint="cs"/>
          <w:rtl/>
          <w:lang w:bidi="fa-IR"/>
        </w:rPr>
        <w:t>.</w:t>
      </w:r>
      <w:r w:rsidR="00744A1C" w:rsidRPr="00C24F9C">
        <w:rPr>
          <w:rStyle w:val="libFootnoteBoldChar"/>
          <w:rtl/>
        </w:rPr>
        <w:t>الوافي</w:t>
      </w:r>
      <w:r w:rsidR="00744A1C">
        <w:rPr>
          <w:rtl/>
          <w:lang w:bidi="fa-IR"/>
        </w:rPr>
        <w:t xml:space="preserve"> ، ج 17 ، ص 81 ، ح 16899 ؛ </w:t>
      </w:r>
      <w:r w:rsidR="00744A1C" w:rsidRPr="00C24F9C">
        <w:rPr>
          <w:rStyle w:val="libFootnoteBoldChar"/>
          <w:rtl/>
        </w:rPr>
        <w:t>الوسائل</w:t>
      </w:r>
      <w:r w:rsidR="00744A1C">
        <w:rPr>
          <w:rtl/>
          <w:lang w:bidi="fa-IR"/>
        </w:rPr>
        <w:t xml:space="preserve"> ، ج 17 ، ص 63 ، ح 21987 ؛ وفيه ، ج 11 ، ص 344 ، ح 14974 ، إلى قوله : « أو لذّة في غير ذات محرّم ».</w:t>
      </w:r>
    </w:p>
    <w:p w:rsidR="00744A1C" w:rsidRDefault="00E378DD" w:rsidP="00E378DD">
      <w:pPr>
        <w:pStyle w:val="libFootnote0"/>
        <w:rPr>
          <w:lang w:bidi="fa-IR"/>
        </w:rPr>
      </w:pPr>
      <w:r>
        <w:rPr>
          <w:rtl/>
          <w:lang w:bidi="fa-IR"/>
        </w:rPr>
        <w:t>(4).</w:t>
      </w:r>
      <w:r w:rsidR="00744A1C">
        <w:rPr>
          <w:rtl/>
          <w:lang w:bidi="fa-IR"/>
        </w:rPr>
        <w:t xml:space="preserve"> في </w:t>
      </w:r>
      <w:r w:rsidR="00744A1C" w:rsidRPr="0017280D">
        <w:rPr>
          <w:rtl/>
        </w:rPr>
        <w:t>الكافي ، ح 50</w:t>
      </w:r>
      <w:r w:rsidR="00744A1C">
        <w:rPr>
          <w:rtl/>
          <w:lang w:bidi="fa-IR"/>
        </w:rPr>
        <w:t xml:space="preserve"> : « حمّاد بن عيسى » بدل « ابن أبي عمير ».</w:t>
      </w:r>
    </w:p>
    <w:p w:rsidR="00744A1C" w:rsidRDefault="00E378DD" w:rsidP="00E378DD">
      <w:pPr>
        <w:pStyle w:val="libFootnote0"/>
        <w:rPr>
          <w:lang w:bidi="fa-IR"/>
        </w:rPr>
      </w:pPr>
      <w:r>
        <w:rPr>
          <w:rtl/>
          <w:lang w:bidi="fa-IR"/>
        </w:rPr>
        <w:t>(5).</w:t>
      </w:r>
      <w:r w:rsidR="00744A1C">
        <w:rPr>
          <w:rtl/>
          <w:lang w:bidi="fa-IR"/>
        </w:rPr>
        <w:t xml:space="preserve"> </w:t>
      </w:r>
      <w:r w:rsidR="00744A1C" w:rsidRPr="0017280D">
        <w:rPr>
          <w:rtl/>
        </w:rPr>
        <w:t>في الكافي ،</w:t>
      </w:r>
      <w:r w:rsidR="00744A1C">
        <w:rPr>
          <w:rtl/>
          <w:lang w:bidi="fa-IR"/>
        </w:rPr>
        <w:t xml:space="preserve"> ح 50 : « ربعي بن عبد الله ».</w:t>
      </w:r>
    </w:p>
    <w:p w:rsidR="00744A1C" w:rsidRDefault="00E378DD" w:rsidP="00E378DD">
      <w:pPr>
        <w:pStyle w:val="libFootnote0"/>
        <w:rPr>
          <w:lang w:bidi="fa-IR"/>
        </w:rPr>
      </w:pPr>
      <w:r>
        <w:rPr>
          <w:rtl/>
          <w:lang w:bidi="fa-IR"/>
        </w:rPr>
        <w:t>(6).</w:t>
      </w:r>
      <w:r w:rsidR="00744A1C">
        <w:rPr>
          <w:rtl/>
          <w:lang w:bidi="fa-IR"/>
        </w:rPr>
        <w:t xml:space="preserve"> في </w:t>
      </w:r>
      <w:r w:rsidR="00744A1C" w:rsidRPr="0017280D">
        <w:rPr>
          <w:rtl/>
        </w:rPr>
        <w:t>الكافي ، ح</w:t>
      </w:r>
      <w:r w:rsidR="00744A1C">
        <w:rPr>
          <w:rtl/>
          <w:lang w:bidi="fa-IR"/>
        </w:rPr>
        <w:t xml:space="preserve"> 50 : « أبي جعفر </w:t>
      </w:r>
      <w:r w:rsidR="0061079A" w:rsidRPr="0061079A">
        <w:rPr>
          <w:rStyle w:val="libFootnoteAlaemChar"/>
          <w:rtl/>
        </w:rPr>
        <w:t>عليه‌السلام</w:t>
      </w:r>
      <w:r w:rsidR="00D10E3C">
        <w:rPr>
          <w:rtl/>
          <w:lang w:bidi="fa-IR"/>
        </w:rPr>
        <w:t xml:space="preserve"> </w:t>
      </w:r>
      <w:r w:rsidR="00744A1C">
        <w:rPr>
          <w:rtl/>
          <w:lang w:bidi="fa-IR"/>
        </w:rPr>
        <w:t xml:space="preserve">» بدل « أبي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(7).</w:t>
      </w:r>
      <w:r w:rsidR="00744A1C">
        <w:rPr>
          <w:rtl/>
          <w:lang w:bidi="fa-IR"/>
        </w:rPr>
        <w:t xml:space="preserve"> في « ظ ، ى ، بح ، بس ، بف ، جد ، جن » و</w:t>
      </w:r>
      <w:r w:rsidR="00744A1C" w:rsidRPr="00C24F9C">
        <w:rPr>
          <w:rStyle w:val="libFootnoteBoldChar"/>
          <w:rtl/>
        </w:rPr>
        <w:t>الوسائل</w:t>
      </w:r>
      <w:r w:rsidR="00744A1C">
        <w:rPr>
          <w:rtl/>
          <w:lang w:bidi="fa-IR"/>
        </w:rPr>
        <w:t xml:space="preserve"> : « فذكر ».</w:t>
      </w:r>
    </w:p>
    <w:p w:rsidR="00744A1C" w:rsidRDefault="00E378DD" w:rsidP="00E378DD">
      <w:pPr>
        <w:pStyle w:val="libFootnote0"/>
        <w:rPr>
          <w:lang w:bidi="fa-IR"/>
        </w:rPr>
      </w:pPr>
      <w:r>
        <w:rPr>
          <w:rtl/>
          <w:lang w:bidi="fa-IR"/>
        </w:rPr>
        <w:t>(8).</w:t>
      </w:r>
      <w:r w:rsidR="00744A1C">
        <w:rPr>
          <w:rtl/>
          <w:lang w:bidi="fa-IR"/>
        </w:rPr>
        <w:t xml:space="preserve"> في « بف » : - « في ».</w:t>
      </w:r>
    </w:p>
    <w:p w:rsidR="00144FA6" w:rsidRDefault="00E378DD" w:rsidP="00E378DD">
      <w:pPr>
        <w:pStyle w:val="libFootnote0"/>
        <w:rPr>
          <w:rtl/>
          <w:lang w:bidi="fa-IR"/>
        </w:rPr>
      </w:pPr>
      <w:r>
        <w:rPr>
          <w:rtl/>
          <w:lang w:bidi="fa-IR"/>
        </w:rPr>
        <w:t>(9).</w:t>
      </w:r>
      <w:r w:rsidR="00744A1C">
        <w:rPr>
          <w:rtl/>
          <w:lang w:bidi="fa-IR"/>
        </w:rPr>
        <w:t xml:space="preserve"> </w:t>
      </w:r>
      <w:r w:rsidR="00744A1C" w:rsidRPr="0061079A">
        <w:rPr>
          <w:rStyle w:val="libFootnoteBoldChar"/>
          <w:rtl/>
        </w:rPr>
        <w:t>الكافي</w:t>
      </w:r>
      <w:r w:rsidR="00744A1C">
        <w:rPr>
          <w:rtl/>
          <w:lang w:bidi="fa-IR"/>
        </w:rPr>
        <w:t xml:space="preserve"> ، كتاب فضل العلم ، باب صفة العلم وفضله ... ، ح 50. وفي </w:t>
      </w:r>
      <w:r w:rsidR="00744A1C" w:rsidRPr="000B1C3F">
        <w:rPr>
          <w:rStyle w:val="libFootnoteBoldChar"/>
          <w:rtl/>
        </w:rPr>
        <w:t>الأمالي للطوسي</w:t>
      </w:r>
      <w:r w:rsidR="00744A1C">
        <w:rPr>
          <w:rtl/>
          <w:lang w:bidi="fa-IR"/>
        </w:rPr>
        <w:t xml:space="preserve"> ، ص 666 ، المجلس 66 ،</w:t>
      </w:r>
      <w:r w:rsidR="0017280D">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8432 / 3. عِدَّةٌ مِنْ أَصْحَابِنَا ، عَنْ أَحْمَدَ بْنِ مُحَمَّدٍ ، عَنِ ابْنِ فَضَّالٍ ، عَنْ ثَعْلَبَةَ وَغَيْرِهِ ، عَنْ رَجُلٍ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إِصْلَاحُ الْمَالِ مِنَ الْإِيمَانِ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8433 / 4. أَحْمَدُ بْنُ مُحَمَّدٍ </w:t>
      </w:r>
      <w:r w:rsidRPr="00D10E3C">
        <w:rPr>
          <w:rStyle w:val="libFootnotenumChar"/>
          <w:rtl/>
        </w:rPr>
        <w:t>(3)</w:t>
      </w:r>
      <w:r>
        <w:rPr>
          <w:rtl/>
          <w:lang w:bidi="fa-IR"/>
        </w:rPr>
        <w:t xml:space="preserve"> ، عَنِ ابْنِ فَضَّالٍ ، عَنْ دَاوُدَ بْنِ سِرْحَانَ ، قَالَ :</w:t>
      </w:r>
    </w:p>
    <w:p w:rsidR="00744A1C" w:rsidRDefault="00744A1C" w:rsidP="00744A1C">
      <w:pPr>
        <w:pStyle w:val="libNormal"/>
        <w:rPr>
          <w:lang w:bidi="fa-IR"/>
        </w:rPr>
      </w:pPr>
      <w:r>
        <w:rPr>
          <w:rtl/>
          <w:lang w:bidi="fa-IR"/>
        </w:rPr>
        <w:t xml:space="preserve">رَأَيْتُ أَبَا عَبْدِ اللهِ </w:t>
      </w:r>
      <w:r w:rsidR="0061079A" w:rsidRPr="0061079A">
        <w:rPr>
          <w:rStyle w:val="libAlaemChar"/>
          <w:rtl/>
        </w:rPr>
        <w:t>عليه‌السلام</w:t>
      </w:r>
      <w:r w:rsidR="00D10E3C">
        <w:rPr>
          <w:rtl/>
          <w:lang w:bidi="fa-IR"/>
        </w:rPr>
        <w:t xml:space="preserve"> </w:t>
      </w:r>
      <w:r>
        <w:rPr>
          <w:rtl/>
          <w:lang w:bidi="fa-IR"/>
        </w:rPr>
        <w:t xml:space="preserve">يَكِيلُ تَمْراً </w:t>
      </w:r>
      <w:r w:rsidRPr="00D10E3C">
        <w:rPr>
          <w:rStyle w:val="libFootnotenumChar"/>
          <w:rtl/>
        </w:rPr>
        <w:t>(4)</w:t>
      </w:r>
      <w:r>
        <w:rPr>
          <w:rtl/>
          <w:lang w:bidi="fa-IR"/>
        </w:rPr>
        <w:t xml:space="preserve"> بِيَدِهِ ، فَقُلْتُ : جُعِلْتُ فِدَاكَ ، لَوْ أَمَرْتَ بَعْضَ وُلْدِكَ أَوْ بَعْضَ مَوَالِيكَ فَيَكْفِيَكَ </w:t>
      </w:r>
      <w:r w:rsidRPr="00D10E3C">
        <w:rPr>
          <w:rStyle w:val="libFootnotenumChar"/>
          <w:rtl/>
        </w:rPr>
        <w:t>(5)</w:t>
      </w:r>
      <w:r w:rsidR="00EB4873" w:rsidRPr="00EB4873">
        <w:rPr>
          <w:rFonts w:hint="cs"/>
          <w:rtl/>
        </w:rPr>
        <w:t>.</w:t>
      </w:r>
    </w:p>
    <w:p w:rsidR="00144FA6" w:rsidRDefault="00744A1C" w:rsidP="00744A1C">
      <w:pPr>
        <w:pStyle w:val="libNormal"/>
        <w:rPr>
          <w:rtl/>
          <w:lang w:bidi="fa-IR"/>
        </w:rPr>
      </w:pPr>
      <w:r>
        <w:rPr>
          <w:rtl/>
          <w:lang w:bidi="fa-IR"/>
        </w:rPr>
        <w:t>فَقَالَ : « يَا دَاوُدُ ، إِنَّهُ لَايُصْل</w:t>
      </w:r>
      <w:r w:rsidR="00EB4873">
        <w:rPr>
          <w:rtl/>
          <w:lang w:bidi="fa-IR"/>
        </w:rPr>
        <w:t>ِحُ الْمَرْءَ الْمُسْلِمَ إِل</w:t>
      </w:r>
      <w:r w:rsidR="00EB4873">
        <w:rPr>
          <w:rFonts w:hint="cs"/>
          <w:rtl/>
          <w:lang w:bidi="fa-IR"/>
        </w:rPr>
        <w:t>َّ</w:t>
      </w:r>
      <w:r w:rsidR="00EB4873">
        <w:rPr>
          <w:rtl/>
          <w:lang w:bidi="fa-IR"/>
        </w:rPr>
        <w:t>ا</w:t>
      </w:r>
      <w:r>
        <w:rPr>
          <w:rtl/>
          <w:lang w:bidi="fa-IR"/>
        </w:rPr>
        <w:t xml:space="preserve"> ثَلَاثَةٌ : التَّفَقُّهُ فِي الدِّينِ ، وَالصَّبْرُ عَلَى النَّائِبَةِ ، وَحُسْنُ التَّقْدِيرِ فِي الْمَعِيشَةِ </w:t>
      </w:r>
      <w:r w:rsidRPr="00D10E3C">
        <w:rPr>
          <w:rStyle w:val="libFootnotenumChar"/>
          <w:rtl/>
        </w:rPr>
        <w:t>(6)</w:t>
      </w:r>
      <w:r>
        <w:rPr>
          <w:rtl/>
          <w:lang w:bidi="fa-IR"/>
        </w:rPr>
        <w:t xml:space="preserve"> ». </w:t>
      </w:r>
      <w:r w:rsidRPr="00D10E3C">
        <w:rPr>
          <w:rStyle w:val="libFootnotenumChar"/>
          <w:rtl/>
        </w:rPr>
        <w:t>(7)</w:t>
      </w:r>
    </w:p>
    <w:p w:rsidR="00144FA6" w:rsidRDefault="00744A1C" w:rsidP="00744A1C">
      <w:pPr>
        <w:pStyle w:val="libNormal"/>
        <w:rPr>
          <w:rtl/>
          <w:lang w:bidi="fa-IR"/>
        </w:rPr>
      </w:pPr>
      <w:r>
        <w:rPr>
          <w:rtl/>
          <w:lang w:bidi="fa-IR"/>
        </w:rPr>
        <w:t>8434 / 5. عَلِيُّ بْنُ مُحَمَّدِ بْنِ عَبْدِ اللهِ ، عَنْ أَحْمَدَ بْنِ أَبِي عَبْدِ اللهِ ، عَنْ مُحَمَّدِ بْنِ عَلِيٍّ ، عَنْ عَبْدِ اللهِ بْنِ جَبَلَةَ ، عَنْ ذَرِيحٍ الْمُحَارِبِيِّ :</w:t>
      </w:r>
    </w:p>
    <w:p w:rsidR="00744A1C" w:rsidRDefault="00744A1C" w:rsidP="00D10E3C">
      <w:pPr>
        <w:pStyle w:val="libLine"/>
        <w:rPr>
          <w:lang w:bidi="fa-IR"/>
        </w:rPr>
      </w:pPr>
      <w:r>
        <w:rPr>
          <w:rtl/>
          <w:lang w:bidi="fa-IR"/>
        </w:rPr>
        <w:t>____________________</w:t>
      </w:r>
    </w:p>
    <w:p w:rsidR="00744A1C" w:rsidRDefault="00CE7AD7" w:rsidP="00AD4277">
      <w:pPr>
        <w:pStyle w:val="libFootnote0"/>
        <w:rPr>
          <w:lang w:bidi="fa-IR"/>
        </w:rPr>
      </w:pPr>
      <w:r>
        <w:rPr>
          <w:rFonts w:hint="cs"/>
          <w:rtl/>
          <w:lang w:bidi="fa-IR"/>
        </w:rPr>
        <w:t xml:space="preserve">= </w:t>
      </w:r>
      <w:r w:rsidR="00744A1C">
        <w:rPr>
          <w:rtl/>
          <w:lang w:bidi="fa-IR"/>
        </w:rPr>
        <w:t xml:space="preserve">ح 1 ، بسند آخر. </w:t>
      </w:r>
      <w:r w:rsidR="00744A1C" w:rsidRPr="003A7143">
        <w:rPr>
          <w:rStyle w:val="libFootnoteBoldChar"/>
          <w:rtl/>
        </w:rPr>
        <w:t>المحاسن</w:t>
      </w:r>
      <w:r w:rsidR="00744A1C">
        <w:rPr>
          <w:rtl/>
          <w:lang w:bidi="fa-IR"/>
        </w:rPr>
        <w:t xml:space="preserve"> ، ص 5 ، كتاب القرائن ، ح 11 ، بسند آخر عن أبي عبد الله ، عن أبيه </w:t>
      </w:r>
      <w:r w:rsidR="00F112A7" w:rsidRPr="00CE5A92">
        <w:rPr>
          <w:rStyle w:val="libFootnoteAlaemChar"/>
          <w:rtl/>
        </w:rPr>
        <w:t>عليهما‌السلام</w:t>
      </w:r>
      <w:r w:rsidR="00744A1C">
        <w:rPr>
          <w:rtl/>
          <w:lang w:bidi="fa-IR"/>
        </w:rPr>
        <w:t xml:space="preserve">؛ </w:t>
      </w:r>
      <w:r w:rsidR="00744A1C" w:rsidRPr="00C24F9C">
        <w:rPr>
          <w:rStyle w:val="libFootnoteBoldChar"/>
          <w:rtl/>
        </w:rPr>
        <w:t>التهذيب</w:t>
      </w:r>
      <w:r w:rsidR="00744A1C">
        <w:rPr>
          <w:rtl/>
          <w:lang w:bidi="fa-IR"/>
        </w:rPr>
        <w:t xml:space="preserve"> ، ج 7 ، ص 236 ، ح 1028 ، بسند آخر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AD4277">
        <w:rPr>
          <w:rStyle w:val="libFootnoteBoldChar"/>
          <w:rtl/>
        </w:rPr>
        <w:t>الخصال</w:t>
      </w:r>
      <w:r w:rsidR="00744A1C">
        <w:rPr>
          <w:rtl/>
          <w:lang w:bidi="fa-IR"/>
        </w:rPr>
        <w:t xml:space="preserve"> ، ص 124 ، باب الثلاثة ، ح 120 ، بسند آخر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610FB4">
        <w:rPr>
          <w:rStyle w:val="libFootnoteBoldChar"/>
          <w:rtl/>
        </w:rPr>
        <w:t>معاني الأخبار</w:t>
      </w:r>
      <w:r w:rsidR="00744A1C">
        <w:rPr>
          <w:rtl/>
          <w:lang w:bidi="fa-IR"/>
        </w:rPr>
        <w:t xml:space="preserve"> ، ص 258 ، ح 5 ، بسند آخر عن الحسن </w:t>
      </w:r>
      <w:r w:rsidR="00AD4277" w:rsidRPr="0061079A">
        <w:rPr>
          <w:rStyle w:val="libFootnoteAlaemChar"/>
          <w:rtl/>
        </w:rPr>
        <w:t>عليه‌السلام</w:t>
      </w:r>
      <w:r w:rsidR="00744A1C">
        <w:rPr>
          <w:rtl/>
          <w:lang w:bidi="fa-IR"/>
        </w:rPr>
        <w:t xml:space="preserve">. </w:t>
      </w:r>
      <w:r w:rsidR="00744A1C" w:rsidRPr="007D61A8">
        <w:rPr>
          <w:rStyle w:val="libFootnoteBoldChar"/>
          <w:rtl/>
        </w:rPr>
        <w:t>تحف العقول</w:t>
      </w:r>
      <w:r w:rsidR="00744A1C">
        <w:rPr>
          <w:rtl/>
          <w:lang w:bidi="fa-IR"/>
        </w:rPr>
        <w:t xml:space="preserve"> ، ص 292 ، عن الباقر </w:t>
      </w:r>
      <w:r w:rsidR="0061079A" w:rsidRPr="0061079A">
        <w:rPr>
          <w:rStyle w:val="libFootnoteAlaemChar"/>
          <w:rtl/>
        </w:rPr>
        <w:t>عليه‌السلام</w:t>
      </w:r>
      <w:r w:rsidR="00D10E3C">
        <w:rPr>
          <w:rtl/>
          <w:lang w:bidi="fa-IR"/>
        </w:rPr>
        <w:t xml:space="preserve"> </w:t>
      </w:r>
      <w:r w:rsidR="00744A1C">
        <w:rPr>
          <w:rtl/>
          <w:lang w:bidi="fa-IR"/>
        </w:rPr>
        <w:t xml:space="preserve">؛ وفيه ، ص 324 ، عن الصادق </w:t>
      </w:r>
      <w:r w:rsidR="0061079A" w:rsidRPr="0061079A">
        <w:rPr>
          <w:rStyle w:val="libFootnoteAlaemChar"/>
          <w:rtl/>
        </w:rPr>
        <w:t>عليه‌السلام</w:t>
      </w:r>
      <w:r w:rsidR="00D10E3C">
        <w:rPr>
          <w:rtl/>
          <w:lang w:bidi="fa-IR"/>
        </w:rPr>
        <w:t xml:space="preserve"> </w:t>
      </w:r>
      <w:r w:rsidR="00744A1C">
        <w:rPr>
          <w:rtl/>
          <w:lang w:bidi="fa-IR"/>
        </w:rPr>
        <w:t xml:space="preserve">؛ وفيه أيضاً ، ص 446 ، عن الرضا </w:t>
      </w:r>
      <w:r w:rsidR="0061079A" w:rsidRPr="0061079A">
        <w:rPr>
          <w:rStyle w:val="libFootnoteAlaemChar"/>
          <w:rtl/>
        </w:rPr>
        <w:t>عليه‌السلام</w:t>
      </w:r>
      <w:r w:rsidR="00D10E3C">
        <w:rPr>
          <w:rtl/>
          <w:lang w:bidi="fa-IR"/>
        </w:rPr>
        <w:t xml:space="preserve"> </w:t>
      </w:r>
      <w:r w:rsidR="00AD4277">
        <w:rPr>
          <w:rtl/>
          <w:lang w:bidi="fa-IR"/>
        </w:rPr>
        <w:t>، وفي كلّ المصادر - إل</w:t>
      </w:r>
      <w:r w:rsidR="00AD4277">
        <w:rPr>
          <w:rFonts w:hint="cs"/>
          <w:rtl/>
          <w:lang w:bidi="fa-IR"/>
        </w:rPr>
        <w:t>ّ</w:t>
      </w:r>
      <w:r w:rsidR="00AD4277">
        <w:rPr>
          <w:rtl/>
          <w:lang w:bidi="fa-IR"/>
        </w:rPr>
        <w:t>ا</w:t>
      </w:r>
      <w:r w:rsidR="00744A1C">
        <w:rPr>
          <w:rtl/>
          <w:lang w:bidi="fa-IR"/>
        </w:rPr>
        <w:t xml:space="preserve"> </w:t>
      </w:r>
      <w:r w:rsidR="00744A1C" w:rsidRPr="0061079A">
        <w:rPr>
          <w:rStyle w:val="libFootnoteBoldChar"/>
          <w:rtl/>
        </w:rPr>
        <w:t>الكافي</w:t>
      </w:r>
      <w:r w:rsidR="00744A1C">
        <w:rPr>
          <w:rtl/>
          <w:lang w:bidi="fa-IR"/>
        </w:rPr>
        <w:t xml:space="preserve"> - مع اختلاف يسير </w:t>
      </w:r>
      <w:r w:rsidR="000F2140">
        <w:rPr>
          <w:rFonts w:hint="cs"/>
          <w:rtl/>
          <w:lang w:bidi="fa-IR"/>
        </w:rPr>
        <w:t>.</w:t>
      </w:r>
      <w:r w:rsidR="00744A1C" w:rsidRPr="00C24F9C">
        <w:rPr>
          <w:rStyle w:val="libFootnoteBoldChar"/>
          <w:rtl/>
        </w:rPr>
        <w:t>الوافي</w:t>
      </w:r>
      <w:r w:rsidR="00744A1C">
        <w:rPr>
          <w:rtl/>
          <w:lang w:bidi="fa-IR"/>
        </w:rPr>
        <w:t xml:space="preserve"> ، ج 17 ، ص 82 ، ح 16901 ؛ </w:t>
      </w:r>
      <w:r w:rsidR="00744A1C" w:rsidRPr="00C24F9C">
        <w:rPr>
          <w:rStyle w:val="libFootnoteBoldChar"/>
          <w:rtl/>
        </w:rPr>
        <w:t>الوسائل</w:t>
      </w:r>
      <w:r w:rsidR="00744A1C">
        <w:rPr>
          <w:rtl/>
          <w:lang w:bidi="fa-IR"/>
        </w:rPr>
        <w:t xml:space="preserve"> ، ج 17 ، ص 65 ، ح 21997.</w:t>
      </w:r>
    </w:p>
    <w:p w:rsidR="00744A1C" w:rsidRDefault="00D10E3C" w:rsidP="00D10E3C">
      <w:pPr>
        <w:pStyle w:val="libFootnote0"/>
        <w:rPr>
          <w:lang w:bidi="fa-IR"/>
        </w:rPr>
      </w:pPr>
      <w:r>
        <w:rPr>
          <w:rtl/>
          <w:lang w:bidi="fa-IR"/>
        </w:rPr>
        <w:t>(1).</w:t>
      </w:r>
      <w:r w:rsidR="00744A1C">
        <w:rPr>
          <w:rtl/>
          <w:lang w:bidi="fa-IR"/>
        </w:rPr>
        <w:t xml:space="preserve"> لم يرد هذا الحديث في « بس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الفقيه</w:t>
      </w:r>
      <w:r w:rsidR="00744A1C">
        <w:rPr>
          <w:rtl/>
          <w:lang w:bidi="fa-IR"/>
        </w:rPr>
        <w:t xml:space="preserve"> ، ج 3 ، ص 166 ، ح 3617 ، مرسلاً </w:t>
      </w:r>
      <w:r w:rsidR="000F2140">
        <w:rPr>
          <w:rFonts w:hint="cs"/>
          <w:rtl/>
          <w:lang w:bidi="fa-IR"/>
        </w:rPr>
        <w:t>.</w:t>
      </w:r>
      <w:r w:rsidR="00744A1C" w:rsidRPr="00C24F9C">
        <w:rPr>
          <w:rStyle w:val="libFootnoteBoldChar"/>
          <w:rtl/>
        </w:rPr>
        <w:t>الوافي</w:t>
      </w:r>
      <w:r w:rsidR="00744A1C">
        <w:rPr>
          <w:rtl/>
          <w:lang w:bidi="fa-IR"/>
        </w:rPr>
        <w:t xml:space="preserve"> ، ج 17 ، ص 81 ، ح 16900 ؛ </w:t>
      </w:r>
      <w:r w:rsidR="00744A1C" w:rsidRPr="00C24F9C">
        <w:rPr>
          <w:rStyle w:val="libFootnoteBoldChar"/>
          <w:rtl/>
        </w:rPr>
        <w:t>الوسائل</w:t>
      </w:r>
      <w:r w:rsidR="00744A1C">
        <w:rPr>
          <w:rtl/>
          <w:lang w:bidi="fa-IR"/>
        </w:rPr>
        <w:t xml:space="preserve"> ، ج 17 ، ص 63 ، ح 21988.</w:t>
      </w:r>
    </w:p>
    <w:p w:rsidR="00744A1C" w:rsidRDefault="00E378DD" w:rsidP="00E378DD">
      <w:pPr>
        <w:pStyle w:val="libFootnote0"/>
        <w:rPr>
          <w:lang w:bidi="fa-IR"/>
        </w:rPr>
      </w:pPr>
      <w:r>
        <w:rPr>
          <w:rtl/>
          <w:lang w:bidi="fa-IR"/>
        </w:rPr>
        <w:t>(3).</w:t>
      </w:r>
      <w:r w:rsidR="00744A1C">
        <w:rPr>
          <w:rtl/>
          <w:lang w:bidi="fa-IR"/>
        </w:rPr>
        <w:t xml:space="preserve"> السند معلّق على سابقه. ويروي عن أحمد بن محمّد ، عدّة من أصحابنا.</w:t>
      </w:r>
    </w:p>
    <w:tbl>
      <w:tblPr>
        <w:tblStyle w:val="TableGrid"/>
        <w:bidiVisual/>
        <w:tblW w:w="0" w:type="auto"/>
        <w:tblLook w:val="04A0" w:firstRow="1" w:lastRow="0" w:firstColumn="1" w:lastColumn="0" w:noHBand="0" w:noVBand="1"/>
      </w:tblPr>
      <w:tblGrid>
        <w:gridCol w:w="4006"/>
        <w:gridCol w:w="4006"/>
      </w:tblGrid>
      <w:tr w:rsidR="000F2140" w:rsidTr="000F2140">
        <w:tc>
          <w:tcPr>
            <w:tcW w:w="4006" w:type="dxa"/>
          </w:tcPr>
          <w:p w:rsidR="000F2140" w:rsidRDefault="000F2140" w:rsidP="00E378DD">
            <w:pPr>
              <w:pStyle w:val="libFootnote0"/>
              <w:rPr>
                <w:rtl/>
                <w:lang w:bidi="fa-IR"/>
              </w:rPr>
            </w:pPr>
            <w:r>
              <w:rPr>
                <w:rtl/>
                <w:lang w:bidi="fa-IR"/>
              </w:rPr>
              <w:t>(4). في « جن » : « ثمراً ».</w:t>
            </w:r>
          </w:p>
        </w:tc>
        <w:tc>
          <w:tcPr>
            <w:tcW w:w="4006" w:type="dxa"/>
          </w:tcPr>
          <w:p w:rsidR="000F2140" w:rsidRDefault="000F2140" w:rsidP="00E378DD">
            <w:pPr>
              <w:pStyle w:val="libFootnote0"/>
              <w:rPr>
                <w:rtl/>
                <w:lang w:bidi="fa-IR"/>
              </w:rPr>
            </w:pPr>
            <w:r>
              <w:rPr>
                <w:rtl/>
                <w:lang w:bidi="fa-IR"/>
              </w:rPr>
              <w:t>(5). في « بخ ، بف » و</w:t>
            </w:r>
            <w:r w:rsidRPr="00EE64EE">
              <w:rPr>
                <w:rtl/>
              </w:rPr>
              <w:t xml:space="preserve">الوافي </w:t>
            </w:r>
            <w:r>
              <w:rPr>
                <w:rtl/>
                <w:lang w:bidi="fa-IR"/>
              </w:rPr>
              <w:t>: « ليكفيك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التفقّه في الدين هو تحصيل البصيرة في العلوم الدينيّة. والنائبة : المصيبة. وتقدير المعيشة : تعديلها بحيث لا يميل إلى طرفي الإسراف والتقتير ، بل يكون قواماً بين ذلك كما قال الله تعالى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الفقيه</w:t>
      </w:r>
      <w:r w:rsidR="00744A1C">
        <w:rPr>
          <w:rtl/>
          <w:lang w:bidi="fa-IR"/>
        </w:rPr>
        <w:t xml:space="preserve"> ، ج 3 ، ص 166 ، ح 3618 ، مرسلاً ؛ </w:t>
      </w:r>
      <w:r w:rsidR="00744A1C" w:rsidRPr="007D61A8">
        <w:rPr>
          <w:rStyle w:val="libFootnoteBoldChar"/>
          <w:rtl/>
        </w:rPr>
        <w:t>تحف العقول</w:t>
      </w:r>
      <w:r w:rsidR="00744A1C">
        <w:rPr>
          <w:rtl/>
          <w:lang w:bidi="fa-IR"/>
        </w:rPr>
        <w:t xml:space="preserve"> ، ص 358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371 ، وفي كلّها من قوله : « لا يصلح المرء المسلم » مع اختلاف يسير </w:t>
      </w:r>
      <w:r w:rsidR="009044E3">
        <w:rPr>
          <w:rFonts w:hint="cs"/>
          <w:rtl/>
          <w:lang w:bidi="fa-IR"/>
        </w:rPr>
        <w:t>.</w:t>
      </w:r>
      <w:r w:rsidR="00744A1C" w:rsidRPr="00C24F9C">
        <w:rPr>
          <w:rStyle w:val="libFootnoteBoldChar"/>
          <w:rtl/>
        </w:rPr>
        <w:t>الوافي</w:t>
      </w:r>
      <w:r w:rsidR="00744A1C">
        <w:rPr>
          <w:rtl/>
          <w:lang w:bidi="fa-IR"/>
        </w:rPr>
        <w:t xml:space="preserve"> ، ج 17 ، ص 82 ، ح 16902 ؛ </w:t>
      </w:r>
      <w:r w:rsidR="00744A1C" w:rsidRPr="00C24F9C">
        <w:rPr>
          <w:rStyle w:val="libFootnoteBoldChar"/>
          <w:rtl/>
        </w:rPr>
        <w:t>الوسائل</w:t>
      </w:r>
      <w:r w:rsidR="00744A1C">
        <w:rPr>
          <w:rtl/>
          <w:lang w:bidi="fa-IR"/>
        </w:rPr>
        <w:t xml:space="preserve"> ، ج 17 ، ص 65 ، ح 21996 ؛ </w:t>
      </w:r>
      <w:r w:rsidR="00744A1C" w:rsidRPr="0061079A">
        <w:rPr>
          <w:rStyle w:val="libFootnoteBoldChar"/>
          <w:rtl/>
        </w:rPr>
        <w:t>البحار</w:t>
      </w:r>
      <w:r w:rsidR="00744A1C">
        <w:rPr>
          <w:rtl/>
          <w:lang w:bidi="fa-IR"/>
        </w:rPr>
        <w:t xml:space="preserve"> ، ج 47 ، ص 57 ، ح 103 ، إلى قوله : « أو بعض مواليك فيكفيك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أَرَادَ اللهُ - عَزَّ وَجَلَّ - بِأَهْلِ بَيْتٍ خَيْراً </w:t>
      </w:r>
      <w:r w:rsidRPr="00D10E3C">
        <w:rPr>
          <w:rStyle w:val="libFootnotenumChar"/>
          <w:rtl/>
        </w:rPr>
        <w:t>(1)</w:t>
      </w:r>
      <w:r>
        <w:rPr>
          <w:rtl/>
          <w:lang w:bidi="fa-IR"/>
        </w:rPr>
        <w:t xml:space="preserve"> ، رَزَقَهُمُ الرِّفْقَ فِي الْمَعِيشَةِ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8435 / 6. عَنْهُ ، عَنْ أَحْمَدَ ، عَنْ بَعْضِ أَصْحَابِنَا </w:t>
      </w:r>
      <w:r w:rsidRPr="00D10E3C">
        <w:rPr>
          <w:rStyle w:val="libFootnotenumChar"/>
          <w:rtl/>
        </w:rPr>
        <w:t>(4)</w:t>
      </w:r>
      <w:r>
        <w:rPr>
          <w:rtl/>
          <w:lang w:bidi="fa-IR"/>
        </w:rPr>
        <w:t xml:space="preserve"> ، عَنْ صَالِحِ بْنِ حَمْزَةَ ، عَنْ بَعْضِ أَصْحَابِنَا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عَلَيْكَ بِإِصْلَاحِ الْمَالِ ؛ فَإِنَّ فِيهِ مَنْبَهَةً </w:t>
      </w:r>
      <w:r w:rsidRPr="00D10E3C">
        <w:rPr>
          <w:rStyle w:val="libFootnotenumChar"/>
          <w:rtl/>
        </w:rPr>
        <w:t>(5)</w:t>
      </w:r>
      <w:r>
        <w:rPr>
          <w:rtl/>
          <w:lang w:bidi="fa-IR"/>
        </w:rPr>
        <w:t xml:space="preserve"> لِلْكَرِيمِ </w:t>
      </w:r>
      <w:r w:rsidRPr="00D10E3C">
        <w:rPr>
          <w:rStyle w:val="libFootnotenumChar"/>
          <w:rtl/>
        </w:rPr>
        <w:t>(6)</w:t>
      </w:r>
      <w:r>
        <w:rPr>
          <w:rtl/>
          <w:lang w:bidi="fa-IR"/>
        </w:rPr>
        <w:t xml:space="preserve"> ، وَاسْتِغْنَاءً عَنِ اللَّئِيمِ ». </w:t>
      </w:r>
      <w:r w:rsidRPr="00D10E3C">
        <w:rPr>
          <w:rStyle w:val="libFootnotenumChar"/>
          <w:rtl/>
        </w:rPr>
        <w:t>(7)</w:t>
      </w:r>
    </w:p>
    <w:p w:rsidR="00744A1C" w:rsidRDefault="00744A1C" w:rsidP="00FD4502">
      <w:pPr>
        <w:pStyle w:val="Heading2Center"/>
        <w:rPr>
          <w:lang w:bidi="fa-IR"/>
        </w:rPr>
      </w:pPr>
      <w:bookmarkStart w:id="136" w:name="_Toc49261434"/>
      <w:r>
        <w:rPr>
          <w:rtl/>
          <w:lang w:bidi="fa-IR"/>
        </w:rPr>
        <w:t xml:space="preserve">13 - بَابُ مَنْ كَدَّ </w:t>
      </w:r>
      <w:r w:rsidRPr="00D10E3C">
        <w:rPr>
          <w:rStyle w:val="libFootnotenumChar"/>
          <w:rtl/>
        </w:rPr>
        <w:t>(8)</w:t>
      </w:r>
      <w:r>
        <w:rPr>
          <w:rtl/>
          <w:lang w:bidi="fa-IR"/>
        </w:rPr>
        <w:t xml:space="preserve"> عَلى عِيَالِهِ‌</w:t>
      </w:r>
      <w:bookmarkEnd w:id="136"/>
    </w:p>
    <w:p w:rsidR="00144FA6" w:rsidRDefault="00744A1C" w:rsidP="00744A1C">
      <w:pPr>
        <w:pStyle w:val="libNormal"/>
        <w:rPr>
          <w:rtl/>
          <w:lang w:bidi="fa-IR"/>
        </w:rPr>
      </w:pPr>
      <w:r>
        <w:rPr>
          <w:rtl/>
          <w:lang w:bidi="fa-IR"/>
        </w:rPr>
        <w:t>8436 / 1. عَلِيُّ بْنُ إِبْرَاهِيمَ ، عَنْ أَبِيهِ ، عَنِ ابْنِ أَبِي عُمَيْرٍ ، عَنْ حَمَّادِ بْنِ عُثْمَانَ ، عَنِ الْحَلَبِيِّ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الْكَادُّ عَلى عِيَالِهِ </w:t>
      </w:r>
      <w:r w:rsidRPr="00D10E3C">
        <w:rPr>
          <w:rStyle w:val="libFootnotenumChar"/>
          <w:rtl/>
        </w:rPr>
        <w:t>(9)</w:t>
      </w:r>
      <w:r>
        <w:rPr>
          <w:rtl/>
          <w:lang w:bidi="fa-IR"/>
        </w:rPr>
        <w:t xml:space="preserve"> كَالْمُجَاهِدِ فِي سَبِيلِ اللهِ ». </w:t>
      </w:r>
      <w:r w:rsidRPr="00D10E3C">
        <w:rPr>
          <w:rStyle w:val="libFootnotenumChar"/>
          <w:rtl/>
        </w:rPr>
        <w:t>(10)</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FD4502" w:rsidTr="00FD4502">
        <w:tc>
          <w:tcPr>
            <w:tcW w:w="4006" w:type="dxa"/>
          </w:tcPr>
          <w:p w:rsidR="00FD4502" w:rsidRDefault="00FD4502" w:rsidP="00D10E3C">
            <w:pPr>
              <w:pStyle w:val="libFootnote0"/>
              <w:rPr>
                <w:rtl/>
                <w:lang w:bidi="fa-IR"/>
              </w:rPr>
            </w:pPr>
            <w:r>
              <w:rPr>
                <w:rtl/>
                <w:lang w:bidi="fa-IR"/>
              </w:rPr>
              <w:t xml:space="preserve">(1). في </w:t>
            </w:r>
            <w:r w:rsidRPr="00FD4502">
              <w:rPr>
                <w:rtl/>
              </w:rPr>
              <w:t>الجعفريّات</w:t>
            </w:r>
            <w:r>
              <w:rPr>
                <w:rtl/>
                <w:lang w:bidi="fa-IR"/>
              </w:rPr>
              <w:t xml:space="preserve"> : + « فقّههم في الدين و».</w:t>
            </w:r>
          </w:p>
        </w:tc>
        <w:tc>
          <w:tcPr>
            <w:tcW w:w="4006" w:type="dxa"/>
          </w:tcPr>
          <w:p w:rsidR="00FD4502" w:rsidRDefault="00FD4502" w:rsidP="00D10E3C">
            <w:pPr>
              <w:pStyle w:val="libFootnote0"/>
              <w:rPr>
                <w:rtl/>
                <w:lang w:bidi="fa-IR"/>
              </w:rPr>
            </w:pPr>
            <w:r>
              <w:rPr>
                <w:rtl/>
                <w:lang w:bidi="fa-IR"/>
              </w:rPr>
              <w:t>(2). في الزهد : + « وحسن الخلق ».</w:t>
            </w:r>
          </w:p>
        </w:tc>
      </w:tr>
    </w:tbl>
    <w:p w:rsidR="00744A1C" w:rsidRDefault="00E378DD" w:rsidP="005D2B3B">
      <w:pPr>
        <w:pStyle w:val="libFootnote0"/>
        <w:rPr>
          <w:lang w:bidi="fa-IR"/>
        </w:rPr>
      </w:pPr>
      <w:r>
        <w:rPr>
          <w:rtl/>
          <w:lang w:bidi="fa-IR"/>
        </w:rPr>
        <w:t>(3).</w:t>
      </w:r>
      <w:r w:rsidR="00744A1C">
        <w:rPr>
          <w:rtl/>
          <w:lang w:bidi="fa-IR"/>
        </w:rPr>
        <w:t xml:space="preserve"> </w:t>
      </w:r>
      <w:r w:rsidR="00744A1C" w:rsidRPr="00FD4502">
        <w:rPr>
          <w:rStyle w:val="libFootnoteBoldChar"/>
          <w:rtl/>
        </w:rPr>
        <w:t>الزهد</w:t>
      </w:r>
      <w:r w:rsidR="00744A1C">
        <w:rPr>
          <w:rtl/>
          <w:lang w:bidi="fa-IR"/>
        </w:rPr>
        <w:t xml:space="preserve"> ، ص 90 ، ح 64 ، عن المحاملي ، عن ذريح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5D2B3B" w:rsidRPr="00024D6D">
        <w:rPr>
          <w:rStyle w:val="libFootnoteAlaemChar"/>
          <w:rtl/>
        </w:rPr>
        <w:t>صلى‌الله‌عليه‌وآله</w:t>
      </w:r>
      <w:r w:rsidR="00744A1C">
        <w:rPr>
          <w:rtl/>
          <w:lang w:bidi="fa-IR"/>
        </w:rPr>
        <w:t xml:space="preserve">. </w:t>
      </w:r>
      <w:r w:rsidR="00744A1C" w:rsidRPr="00877682">
        <w:rPr>
          <w:rStyle w:val="libFootnoteBoldChar"/>
          <w:rtl/>
        </w:rPr>
        <w:t>الجعفريّات</w:t>
      </w:r>
      <w:r w:rsidR="00744A1C">
        <w:rPr>
          <w:rtl/>
          <w:lang w:bidi="fa-IR"/>
        </w:rPr>
        <w:t xml:space="preserve"> ، ص 149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744A1C">
        <w:rPr>
          <w:rtl/>
          <w:lang w:bidi="fa-IR"/>
        </w:rPr>
        <w:t xml:space="preserve">، مع زيادة في أخره </w:t>
      </w:r>
      <w:r w:rsidR="00FD4502">
        <w:rPr>
          <w:rFonts w:hint="cs"/>
          <w:rtl/>
          <w:lang w:bidi="fa-IR"/>
        </w:rPr>
        <w:t>.</w:t>
      </w:r>
      <w:r w:rsidR="00744A1C" w:rsidRPr="00C24F9C">
        <w:rPr>
          <w:rStyle w:val="libFootnoteBoldChar"/>
          <w:rtl/>
        </w:rPr>
        <w:t>الوافي</w:t>
      </w:r>
      <w:r w:rsidR="00744A1C">
        <w:rPr>
          <w:rtl/>
          <w:lang w:bidi="fa-IR"/>
        </w:rPr>
        <w:t xml:space="preserve"> ، ج 17 ، ص 83 ، ح 16904 ؛ </w:t>
      </w:r>
      <w:r w:rsidR="00744A1C" w:rsidRPr="00C24F9C">
        <w:rPr>
          <w:rStyle w:val="libFootnoteBoldChar"/>
          <w:rtl/>
        </w:rPr>
        <w:t>الوسائل</w:t>
      </w:r>
      <w:r w:rsidR="00744A1C">
        <w:rPr>
          <w:rtl/>
          <w:lang w:bidi="fa-IR"/>
        </w:rPr>
        <w:t xml:space="preserve"> ، ج 17 ، ص 65 ، ح 21998.</w:t>
      </w:r>
    </w:p>
    <w:p w:rsidR="00744A1C" w:rsidRDefault="00E378DD" w:rsidP="00E378DD">
      <w:pPr>
        <w:pStyle w:val="libFootnote0"/>
        <w:rPr>
          <w:lang w:bidi="fa-IR"/>
        </w:rPr>
      </w:pPr>
      <w:r>
        <w:rPr>
          <w:rtl/>
          <w:lang w:bidi="fa-IR"/>
        </w:rPr>
        <w:t>(4).</w:t>
      </w:r>
      <w:r w:rsidR="00744A1C">
        <w:rPr>
          <w:rtl/>
          <w:lang w:bidi="fa-IR"/>
        </w:rPr>
        <w:t xml:space="preserve"> في « بس ، جد » وحاشية « ى » و</w:t>
      </w:r>
      <w:r w:rsidR="00744A1C" w:rsidRPr="00C24F9C">
        <w:rPr>
          <w:rStyle w:val="libFootnoteBoldChar"/>
          <w:rtl/>
        </w:rPr>
        <w:t>الوافي</w:t>
      </w:r>
      <w:r w:rsidR="00744A1C">
        <w:rPr>
          <w:rtl/>
          <w:lang w:bidi="fa-IR"/>
        </w:rPr>
        <w:t xml:space="preserve"> : « أصحابه ».</w:t>
      </w:r>
    </w:p>
    <w:p w:rsidR="00744A1C" w:rsidRDefault="00E378DD" w:rsidP="00E378DD">
      <w:pPr>
        <w:pStyle w:val="libFootnote0"/>
        <w:rPr>
          <w:lang w:bidi="fa-IR"/>
        </w:rPr>
      </w:pPr>
      <w:r>
        <w:rPr>
          <w:rtl/>
          <w:lang w:bidi="fa-IR"/>
        </w:rPr>
        <w:t>(5).</w:t>
      </w:r>
      <w:r w:rsidR="00744A1C">
        <w:rPr>
          <w:rtl/>
          <w:lang w:bidi="fa-IR"/>
        </w:rPr>
        <w:t xml:space="preserve"> في « بخ » : « شبهة ». وقوله : « فإنّ فيه مَنْبَهَةً للكريم » أي </w:t>
      </w:r>
      <w:r w:rsidR="00FD4502">
        <w:rPr>
          <w:rtl/>
          <w:lang w:bidi="fa-IR"/>
        </w:rPr>
        <w:t>مشرفة ومعل</w:t>
      </w:r>
      <w:r w:rsidR="00FD4502">
        <w:rPr>
          <w:rFonts w:hint="cs"/>
          <w:rtl/>
          <w:lang w:bidi="fa-IR"/>
        </w:rPr>
        <w:t>ّ</w:t>
      </w:r>
      <w:r w:rsidR="00FD4502">
        <w:rPr>
          <w:rtl/>
          <w:lang w:bidi="fa-IR"/>
        </w:rPr>
        <w:t>ا</w:t>
      </w:r>
      <w:r w:rsidR="00744A1C">
        <w:rPr>
          <w:rtl/>
          <w:lang w:bidi="fa-IR"/>
        </w:rPr>
        <w:t xml:space="preserve">ة ، من النباهة. يقال : نبه ينبه ، إذا صار نبيهاًشريفاً. </w:t>
      </w:r>
      <w:r w:rsidR="00744A1C" w:rsidRPr="00877682">
        <w:rPr>
          <w:rStyle w:val="libFootnoteBoldChar"/>
          <w:rtl/>
        </w:rPr>
        <w:t>النهاية</w:t>
      </w:r>
      <w:r w:rsidR="00744A1C">
        <w:rPr>
          <w:rtl/>
          <w:lang w:bidi="fa-IR"/>
        </w:rPr>
        <w:t xml:space="preserve"> ، ج 5 ، ص 11 ( نبه ). وفي </w:t>
      </w:r>
      <w:r w:rsidR="00744A1C" w:rsidRPr="00C24F9C">
        <w:rPr>
          <w:rStyle w:val="libFootnoteBoldChar"/>
          <w:rtl/>
        </w:rPr>
        <w:t>الوافي</w:t>
      </w:r>
      <w:r w:rsidR="00744A1C">
        <w:rPr>
          <w:rtl/>
          <w:lang w:bidi="fa-IR"/>
        </w:rPr>
        <w:t xml:space="preserve"> : « وإنّما كان إصلاح المال منبهة للكريم ؛ لأنّ بالإصلاح ينمو المال ، وبنموّ المال يتيسّر الكرم ، وبالكرم يعلو الكريم ويشرف ».</w:t>
      </w:r>
    </w:p>
    <w:p w:rsidR="00744A1C" w:rsidRDefault="00E378DD" w:rsidP="00E378DD">
      <w:pPr>
        <w:pStyle w:val="libFootnote0"/>
        <w:rPr>
          <w:lang w:bidi="fa-IR"/>
        </w:rPr>
      </w:pPr>
      <w:r>
        <w:rPr>
          <w:rtl/>
          <w:lang w:bidi="fa-IR"/>
        </w:rPr>
        <w:t>(6).</w:t>
      </w:r>
      <w:r w:rsidR="00744A1C">
        <w:rPr>
          <w:rtl/>
          <w:lang w:bidi="fa-IR"/>
        </w:rPr>
        <w:t xml:space="preserve"> في « بخ ، بف » : « الكريم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17 ، ص 83 ، ح 16905 ؛ </w:t>
      </w:r>
      <w:r w:rsidR="00744A1C" w:rsidRPr="00C24F9C">
        <w:rPr>
          <w:rStyle w:val="libFootnoteBoldChar"/>
          <w:rtl/>
        </w:rPr>
        <w:t>الوسائل</w:t>
      </w:r>
      <w:r w:rsidR="00744A1C">
        <w:rPr>
          <w:rtl/>
          <w:lang w:bidi="fa-IR"/>
        </w:rPr>
        <w:t xml:space="preserve"> ، ج 17 ، ص 63 ، ح 21989.</w:t>
      </w:r>
    </w:p>
    <w:p w:rsidR="00744A1C" w:rsidRDefault="00E378DD" w:rsidP="00E378DD">
      <w:pPr>
        <w:pStyle w:val="libFootnote0"/>
        <w:rPr>
          <w:lang w:bidi="fa-IR"/>
        </w:rPr>
      </w:pPr>
      <w:r>
        <w:rPr>
          <w:rtl/>
          <w:lang w:bidi="fa-IR"/>
        </w:rPr>
        <w:t>(8).</w:t>
      </w:r>
      <w:r w:rsidR="00744A1C">
        <w:rPr>
          <w:rtl/>
          <w:lang w:bidi="fa-IR"/>
        </w:rPr>
        <w:t xml:space="preserve"> الكَدُّ : الشدّةُ في العمل وطلب الرزق ، والإلحاح في مُحاوَلَة الشي‌ء. </w:t>
      </w:r>
      <w:r w:rsidR="00744A1C" w:rsidRPr="00877682">
        <w:rPr>
          <w:rStyle w:val="libFootnoteBoldChar"/>
          <w:rtl/>
        </w:rPr>
        <w:t>لسان العرب</w:t>
      </w:r>
      <w:r w:rsidR="00744A1C">
        <w:rPr>
          <w:rtl/>
          <w:lang w:bidi="fa-IR"/>
        </w:rPr>
        <w:t xml:space="preserve"> ، ج 3 ، ص 377 ( كدد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الفقيه</w:t>
      </w:r>
      <w:r w:rsidR="00744A1C">
        <w:rPr>
          <w:rtl/>
          <w:lang w:bidi="fa-IR"/>
        </w:rPr>
        <w:t xml:space="preserve"> : + « من حلال ».</w:t>
      </w:r>
    </w:p>
    <w:p w:rsidR="00144FA6" w:rsidRDefault="00E378DD" w:rsidP="00E378DD">
      <w:pPr>
        <w:pStyle w:val="libFootnote0"/>
        <w:rPr>
          <w:rtl/>
          <w:lang w:bidi="fa-IR"/>
        </w:rPr>
      </w:pPr>
      <w:r>
        <w:rPr>
          <w:rtl/>
          <w:lang w:bidi="fa-IR"/>
        </w:rPr>
        <w:t>(10).</w:t>
      </w:r>
      <w:r w:rsidR="00744A1C">
        <w:rPr>
          <w:rtl/>
          <w:lang w:bidi="fa-IR"/>
        </w:rPr>
        <w:t xml:space="preserve"> </w:t>
      </w:r>
      <w:r w:rsidR="00744A1C" w:rsidRPr="00C24F9C">
        <w:rPr>
          <w:rStyle w:val="libFootnoteBoldChar"/>
          <w:rtl/>
        </w:rPr>
        <w:t>الفقيه</w:t>
      </w:r>
      <w:r w:rsidR="00744A1C">
        <w:rPr>
          <w:rtl/>
          <w:lang w:bidi="fa-IR"/>
        </w:rPr>
        <w:t xml:space="preserve"> ، ج 3 ، ص 168 ، ح 3631 ، مرسلاً ، من دون التصريح باسم المعصوم </w:t>
      </w:r>
      <w:r w:rsidR="0061079A" w:rsidRPr="0061079A">
        <w:rPr>
          <w:rStyle w:val="libFootnoteAlaemChar"/>
          <w:rtl/>
        </w:rPr>
        <w:t>عليه‌السلام</w:t>
      </w:r>
      <w:r w:rsidR="00744A1C">
        <w:rPr>
          <w:rtl/>
          <w:lang w:bidi="fa-IR"/>
        </w:rPr>
        <w:t xml:space="preserve">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ص 208 ، عن</w:t>
      </w:r>
      <w:r w:rsidR="00FD4502">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8437 / 2. عِدَّةٌ مِنْ أَصْحَابِنَا ، عَنْ أَحْمَدَ بْنِ أَبِي عَبْدِ اللهِ ، عَنْ إِسْمَاعِيلَ بْنِ مِهْرَانَ ، عَنْ زَكَرِيَّا ابْنِ آدَمَ :</w:t>
      </w:r>
    </w:p>
    <w:p w:rsidR="00144FA6" w:rsidRDefault="00744A1C" w:rsidP="00744A1C">
      <w:pPr>
        <w:pStyle w:val="libNormal"/>
        <w:rPr>
          <w:rtl/>
          <w:lang w:bidi="fa-IR"/>
        </w:rPr>
      </w:pPr>
      <w:r>
        <w:rPr>
          <w:rtl/>
          <w:lang w:bidi="fa-IR"/>
        </w:rPr>
        <w:t xml:space="preserve">عَنْ أَبِي الْحَسَنِ الرِّضَا </w:t>
      </w:r>
      <w:r w:rsidR="0061079A" w:rsidRPr="0061079A">
        <w:rPr>
          <w:rStyle w:val="libAlaemChar"/>
          <w:rtl/>
        </w:rPr>
        <w:t>عليه‌السلام</w:t>
      </w:r>
      <w:r w:rsidR="00D10E3C">
        <w:rPr>
          <w:rtl/>
          <w:lang w:bidi="fa-IR"/>
        </w:rPr>
        <w:t xml:space="preserve"> </w:t>
      </w:r>
      <w:r>
        <w:rPr>
          <w:rtl/>
          <w:lang w:bidi="fa-IR"/>
        </w:rPr>
        <w:t xml:space="preserve">، قَالَ : « الَّذِي يَطْلُبُ مِنْ فَضْلِ اللهِ - عَزَّ وَجَلَّ - مَا يَكُفُّ بِهِ عِيَالَهُ أَعْظَمُ أَجْراً مِنَ الْمُجَاهِدِ فِي سَبِيلِ اللهِ عَزَّ وَجَلَّ ». </w:t>
      </w:r>
      <w:r w:rsidRPr="00D10E3C">
        <w:rPr>
          <w:rStyle w:val="libFootnotenumChar"/>
          <w:rtl/>
        </w:rPr>
        <w:t>(1)</w:t>
      </w:r>
    </w:p>
    <w:p w:rsidR="00144FA6" w:rsidRDefault="00744A1C" w:rsidP="00744A1C">
      <w:pPr>
        <w:pStyle w:val="libNormal"/>
        <w:rPr>
          <w:rtl/>
          <w:lang w:bidi="fa-IR"/>
        </w:rPr>
      </w:pPr>
      <w:r>
        <w:rPr>
          <w:rtl/>
          <w:lang w:bidi="fa-IR"/>
        </w:rPr>
        <w:t xml:space="preserve">8438 / 3. مُحَمَّدُ بْنُ إِسْمَاعِيلَ ، عَنِ الْفَضْلِ بْنِ شَاذَانَ ، عَنِ ابْنِ أَبِي عُمَيْرٍ ، عَنْ رِبْعِيِّ بْنِ عَبْدِ اللهِ ، عَنْ فُضَيْلِ </w:t>
      </w:r>
      <w:r w:rsidRPr="00D10E3C">
        <w:rPr>
          <w:rStyle w:val="libFootnotenumChar"/>
          <w:rtl/>
        </w:rPr>
        <w:t>(2)</w:t>
      </w:r>
      <w:r>
        <w:rPr>
          <w:rtl/>
          <w:lang w:bidi="fa-IR"/>
        </w:rPr>
        <w:t xml:space="preserve"> بْنِ يَسَارٍ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كَانَ الرَّجُلُ مُعْسِراً ، فَيَعْمَلُ </w:t>
      </w:r>
      <w:r w:rsidRPr="00D10E3C">
        <w:rPr>
          <w:rStyle w:val="libFootnotenumChar"/>
          <w:rtl/>
        </w:rPr>
        <w:t>(3)</w:t>
      </w:r>
      <w:r>
        <w:rPr>
          <w:rtl/>
          <w:lang w:bidi="fa-IR"/>
        </w:rPr>
        <w:t xml:space="preserve"> بِقَدْرِ مَا يَقُوتُ بِهِ </w:t>
      </w:r>
      <w:r w:rsidRPr="00D10E3C">
        <w:rPr>
          <w:rStyle w:val="libFootnotenumChar"/>
          <w:rtl/>
        </w:rPr>
        <w:t>(4)</w:t>
      </w:r>
      <w:r>
        <w:rPr>
          <w:rtl/>
          <w:lang w:bidi="fa-IR"/>
        </w:rPr>
        <w:t xml:space="preserve"> نَفْسَهُ وَأَهْلَهُ ، وَلَا يَطْلُبُ </w:t>
      </w:r>
      <w:r w:rsidRPr="00D10E3C">
        <w:rPr>
          <w:rStyle w:val="libFootnotenumChar"/>
          <w:rtl/>
        </w:rPr>
        <w:t>(5)</w:t>
      </w:r>
      <w:r>
        <w:rPr>
          <w:rtl/>
          <w:lang w:bidi="fa-IR"/>
        </w:rPr>
        <w:t xml:space="preserve"> حَرَاماً ، فَهُوَ كَالْمُجَاهِدِ فِي سَبِيلِ اللهِ ». </w:t>
      </w:r>
      <w:r w:rsidRPr="00D10E3C">
        <w:rPr>
          <w:rStyle w:val="libFootnotenumChar"/>
          <w:rtl/>
        </w:rPr>
        <w:t>(6)</w:t>
      </w:r>
    </w:p>
    <w:p w:rsidR="00744A1C" w:rsidRDefault="00744A1C" w:rsidP="000F6800">
      <w:pPr>
        <w:pStyle w:val="Heading2Center"/>
        <w:rPr>
          <w:lang w:bidi="fa-IR"/>
        </w:rPr>
      </w:pPr>
      <w:bookmarkStart w:id="137" w:name="_Toc49261435"/>
      <w:r>
        <w:rPr>
          <w:rtl/>
          <w:lang w:bidi="fa-IR"/>
        </w:rPr>
        <w:t>14 - بَابُ الْكَسْبِ الْحَلَالِ‌</w:t>
      </w:r>
      <w:bookmarkEnd w:id="137"/>
    </w:p>
    <w:p w:rsidR="00144FA6" w:rsidRDefault="00744A1C" w:rsidP="00744A1C">
      <w:pPr>
        <w:pStyle w:val="libNormal"/>
        <w:rPr>
          <w:rtl/>
          <w:lang w:bidi="fa-IR"/>
        </w:rPr>
      </w:pPr>
      <w:r>
        <w:rPr>
          <w:rtl/>
          <w:lang w:bidi="fa-IR"/>
        </w:rPr>
        <w:t xml:space="preserve">8439 / 1. عِدَّةٌ مِنْ أَصْحَابِنَا ، عَنْ أَحْمَدَ بْنِ مُحَمَّدٍ </w:t>
      </w:r>
      <w:r w:rsidRPr="00D10E3C">
        <w:rPr>
          <w:rStyle w:val="libFootnotenumChar"/>
          <w:rtl/>
        </w:rPr>
        <w:t>(7)</w:t>
      </w:r>
      <w:r>
        <w:rPr>
          <w:rtl/>
          <w:lang w:bidi="fa-IR"/>
        </w:rPr>
        <w:t xml:space="preserve"> ، عَنْ أَحْمَدَ بْنِ مُحَمَّدِ بْنِ </w:t>
      </w:r>
      <w:r w:rsidRPr="00D10E3C">
        <w:rPr>
          <w:rStyle w:val="libFootnotenumChar"/>
          <w:rtl/>
        </w:rPr>
        <w:t>(8)</w:t>
      </w:r>
      <w:r>
        <w:rPr>
          <w:rtl/>
          <w:lang w:bidi="fa-IR"/>
        </w:rPr>
        <w:t xml:space="preserve"> أَبِي نَصْرٍ ، قَالَ :</w:t>
      </w:r>
    </w:p>
    <w:p w:rsidR="00744A1C" w:rsidRDefault="00744A1C" w:rsidP="00744A1C">
      <w:pPr>
        <w:pStyle w:val="libNormal"/>
        <w:rPr>
          <w:lang w:bidi="fa-IR"/>
        </w:rPr>
      </w:pPr>
      <w:r>
        <w:rPr>
          <w:rtl/>
          <w:lang w:bidi="fa-IR"/>
        </w:rPr>
        <w:t xml:space="preserve">قُلْتُ لِأَبِي الْحَسَنِ </w:t>
      </w:r>
      <w:r w:rsidRPr="00D10E3C">
        <w:rPr>
          <w:rStyle w:val="libFootnotenumChar"/>
          <w:rtl/>
        </w:rPr>
        <w:t>(9)</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جُعِلْتُ فِدَاكَ ، أَدْعُو </w:t>
      </w:r>
      <w:r w:rsidRPr="00D10E3C">
        <w:rPr>
          <w:rStyle w:val="libFootnotenumChar"/>
          <w:rtl/>
        </w:rPr>
        <w:t>(10)</w:t>
      </w:r>
      <w:r>
        <w:rPr>
          <w:rtl/>
          <w:lang w:bidi="fa-IR"/>
        </w:rPr>
        <w:t xml:space="preserve"> اللهَ - عَزَّ وَجَلَّ - أَنْ يَرْزُقَنِي الْحَلَالَ.</w:t>
      </w:r>
    </w:p>
    <w:p w:rsidR="00744A1C" w:rsidRDefault="00744A1C" w:rsidP="00D10E3C">
      <w:pPr>
        <w:pStyle w:val="libLine"/>
        <w:rPr>
          <w:lang w:bidi="fa-IR"/>
        </w:rPr>
      </w:pPr>
      <w:r>
        <w:rPr>
          <w:rtl/>
          <w:lang w:bidi="fa-IR"/>
        </w:rPr>
        <w:t>____________________</w:t>
      </w:r>
    </w:p>
    <w:p w:rsidR="00744A1C" w:rsidRDefault="000F6800" w:rsidP="00D10E3C">
      <w:pPr>
        <w:pStyle w:val="libFootnote0"/>
        <w:rPr>
          <w:lang w:bidi="fa-IR"/>
        </w:rPr>
      </w:pPr>
      <w:r>
        <w:rPr>
          <w:rFonts w:hint="cs"/>
          <w:rtl/>
          <w:lang w:bidi="fa-IR"/>
        </w:rPr>
        <w:t xml:space="preserve">= </w:t>
      </w:r>
      <w:r w:rsidR="00744A1C">
        <w:rPr>
          <w:rtl/>
          <w:lang w:bidi="fa-IR"/>
        </w:rPr>
        <w:t xml:space="preserve">النبيّ </w:t>
      </w:r>
      <w:r w:rsidR="00F90866" w:rsidRPr="00F90866">
        <w:rPr>
          <w:rStyle w:val="libFootnoteAlaemChar"/>
          <w:rtl/>
        </w:rPr>
        <w:t>صلى‌الله‌عليه‌وآله</w:t>
      </w:r>
      <w:r w:rsidR="00744A1C">
        <w:rPr>
          <w:rtl/>
          <w:lang w:bidi="fa-IR"/>
        </w:rPr>
        <w:t xml:space="preserve">؛ وفيه ، ص 255 ، مع زيادة في أوّله </w:t>
      </w:r>
      <w:r w:rsidR="003852BD">
        <w:rPr>
          <w:rFonts w:hint="cs"/>
          <w:rtl/>
          <w:lang w:bidi="fa-IR"/>
        </w:rPr>
        <w:t>.</w:t>
      </w:r>
      <w:r w:rsidR="00744A1C" w:rsidRPr="00C24F9C">
        <w:rPr>
          <w:rStyle w:val="libFootnoteBoldChar"/>
          <w:rtl/>
        </w:rPr>
        <w:t>الوافي</w:t>
      </w:r>
      <w:r w:rsidR="00744A1C">
        <w:rPr>
          <w:rtl/>
          <w:lang w:bidi="fa-IR"/>
        </w:rPr>
        <w:t xml:space="preserve"> ، ج 17 ، ص 97 ، ح 16937 ؛ </w:t>
      </w:r>
      <w:r w:rsidR="00744A1C" w:rsidRPr="00C24F9C">
        <w:rPr>
          <w:rStyle w:val="libFootnoteBoldChar"/>
          <w:rtl/>
        </w:rPr>
        <w:t>الوسائل</w:t>
      </w:r>
      <w:r w:rsidR="00744A1C">
        <w:rPr>
          <w:rtl/>
          <w:lang w:bidi="fa-IR"/>
        </w:rPr>
        <w:t xml:space="preserve"> ، ج 17 ، ص 66 ، ح 22001.</w:t>
      </w:r>
    </w:p>
    <w:p w:rsidR="00744A1C" w:rsidRDefault="00D10E3C" w:rsidP="00D10E3C">
      <w:pPr>
        <w:pStyle w:val="libFootnote0"/>
        <w:rPr>
          <w:lang w:bidi="fa-IR"/>
        </w:rPr>
      </w:pPr>
      <w:r>
        <w:rPr>
          <w:rtl/>
          <w:lang w:bidi="fa-IR"/>
        </w:rPr>
        <w:t>(1).</w:t>
      </w:r>
      <w:r w:rsidR="00744A1C">
        <w:rPr>
          <w:rtl/>
          <w:lang w:bidi="fa-IR"/>
        </w:rPr>
        <w:t xml:space="preserve"> </w:t>
      </w:r>
      <w:r w:rsidR="00744A1C" w:rsidRPr="007D61A8">
        <w:rPr>
          <w:rStyle w:val="libFootnoteBoldChar"/>
          <w:rtl/>
        </w:rPr>
        <w:t>تحف العقول</w:t>
      </w:r>
      <w:r w:rsidR="00744A1C">
        <w:rPr>
          <w:rtl/>
          <w:lang w:bidi="fa-IR"/>
        </w:rPr>
        <w:t xml:space="preserve"> ، ص 445 </w:t>
      </w:r>
      <w:r w:rsidR="006B1CB8">
        <w:rPr>
          <w:rFonts w:hint="cs"/>
          <w:rtl/>
          <w:lang w:bidi="fa-IR"/>
        </w:rPr>
        <w:t>.</w:t>
      </w:r>
      <w:r w:rsidR="00744A1C" w:rsidRPr="00C24F9C">
        <w:rPr>
          <w:rStyle w:val="libFootnoteBoldChar"/>
          <w:rtl/>
        </w:rPr>
        <w:t>الوافي</w:t>
      </w:r>
      <w:r w:rsidR="00744A1C">
        <w:rPr>
          <w:rtl/>
          <w:lang w:bidi="fa-IR"/>
        </w:rPr>
        <w:t xml:space="preserve"> ، ج 17 ، ص 97 ، ح 16938 ؛ </w:t>
      </w:r>
      <w:r w:rsidR="00744A1C" w:rsidRPr="00C24F9C">
        <w:rPr>
          <w:rStyle w:val="libFootnoteBoldChar"/>
          <w:rtl/>
        </w:rPr>
        <w:t>الوسائل</w:t>
      </w:r>
      <w:r w:rsidR="00744A1C">
        <w:rPr>
          <w:rtl/>
          <w:lang w:bidi="fa-IR"/>
        </w:rPr>
        <w:t xml:space="preserve"> ، ج 17 ، ص 67 ، ح 22002.</w:t>
      </w:r>
    </w:p>
    <w:p w:rsidR="00744A1C" w:rsidRDefault="00E378DD" w:rsidP="00E378DD">
      <w:pPr>
        <w:pStyle w:val="libFootnote0"/>
        <w:rPr>
          <w:lang w:bidi="fa-IR"/>
        </w:rPr>
      </w:pPr>
      <w:r>
        <w:rPr>
          <w:rtl/>
          <w:lang w:bidi="fa-IR"/>
        </w:rPr>
        <w:t>(2).</w:t>
      </w:r>
      <w:r w:rsidR="00744A1C">
        <w:rPr>
          <w:rtl/>
          <w:lang w:bidi="fa-IR"/>
        </w:rPr>
        <w:t xml:space="preserve"> في </w:t>
      </w:r>
      <w:r w:rsidR="00744A1C" w:rsidRPr="006B1CB8">
        <w:rPr>
          <w:rtl/>
        </w:rPr>
        <w:t>الوسائل</w:t>
      </w:r>
      <w:r w:rsidR="00744A1C">
        <w:rPr>
          <w:rtl/>
          <w:lang w:bidi="fa-IR"/>
        </w:rPr>
        <w:t xml:space="preserve"> : « الفضيل ».</w:t>
      </w:r>
    </w:p>
    <w:p w:rsidR="00744A1C" w:rsidRDefault="00E378DD" w:rsidP="00E378DD">
      <w:pPr>
        <w:pStyle w:val="libFootnote0"/>
        <w:rPr>
          <w:lang w:bidi="fa-IR"/>
        </w:rPr>
      </w:pPr>
      <w:r>
        <w:rPr>
          <w:rtl/>
          <w:lang w:bidi="fa-IR"/>
        </w:rPr>
        <w:t>(3).</w:t>
      </w:r>
      <w:r w:rsidR="00744A1C">
        <w:rPr>
          <w:rtl/>
          <w:lang w:bidi="fa-IR"/>
        </w:rPr>
        <w:t xml:space="preserve"> في « ط ، ى ، بح ، بس ، جد ، جن » وحاشية « جت » و</w:t>
      </w:r>
      <w:r w:rsidR="00744A1C" w:rsidRPr="00C24F9C">
        <w:rPr>
          <w:rStyle w:val="libFootnoteBoldChar"/>
          <w:rtl/>
        </w:rPr>
        <w:t>الوسائل</w:t>
      </w:r>
      <w:r w:rsidR="00744A1C">
        <w:rPr>
          <w:rtl/>
          <w:lang w:bidi="fa-IR"/>
        </w:rPr>
        <w:t xml:space="preserve"> : « يعمل ». وفي « بخ » و</w:t>
      </w:r>
      <w:r w:rsidR="00744A1C" w:rsidRPr="00C24F9C">
        <w:rPr>
          <w:rStyle w:val="libFootnoteBoldChar"/>
          <w:rtl/>
        </w:rPr>
        <w:t>الوافي</w:t>
      </w:r>
      <w:r w:rsidR="00744A1C">
        <w:rPr>
          <w:rtl/>
          <w:lang w:bidi="fa-IR"/>
        </w:rPr>
        <w:t xml:space="preserve"> : « فعمل ».</w:t>
      </w:r>
    </w:p>
    <w:p w:rsidR="00744A1C" w:rsidRDefault="00E378DD" w:rsidP="00E378DD">
      <w:pPr>
        <w:pStyle w:val="libFootnote0"/>
        <w:rPr>
          <w:lang w:bidi="fa-IR"/>
        </w:rPr>
      </w:pPr>
      <w:r>
        <w:rPr>
          <w:rtl/>
          <w:lang w:bidi="fa-IR"/>
        </w:rPr>
        <w:t>(4).</w:t>
      </w:r>
      <w:r w:rsidR="00744A1C">
        <w:rPr>
          <w:rtl/>
          <w:lang w:bidi="fa-IR"/>
        </w:rPr>
        <w:t xml:space="preserve"> في « ط ، بخ ، بف » </w:t>
      </w:r>
      <w:r w:rsidR="00744A1C" w:rsidRPr="006B1CB8">
        <w:rPr>
          <w:rtl/>
        </w:rPr>
        <w:t>والوافي</w:t>
      </w:r>
      <w:r w:rsidR="00744A1C">
        <w:rPr>
          <w:rtl/>
          <w:lang w:bidi="fa-IR"/>
        </w:rPr>
        <w:t xml:space="preserve"> : - « به ».</w:t>
      </w:r>
    </w:p>
    <w:p w:rsidR="00744A1C" w:rsidRDefault="00E378DD" w:rsidP="00E378DD">
      <w:pPr>
        <w:pStyle w:val="libFootnote0"/>
        <w:rPr>
          <w:lang w:bidi="fa-IR"/>
        </w:rPr>
      </w:pPr>
      <w:r>
        <w:rPr>
          <w:rtl/>
          <w:lang w:bidi="fa-IR"/>
        </w:rPr>
        <w:t>(5).</w:t>
      </w:r>
      <w:r w:rsidR="00744A1C">
        <w:rPr>
          <w:rtl/>
          <w:lang w:bidi="fa-IR"/>
        </w:rPr>
        <w:t xml:space="preserve"> في « ط ، ى ، بح ، بخ ، بف ، جد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 لا يطلب » بدون الواو.</w:t>
      </w:r>
    </w:p>
    <w:p w:rsidR="00744A1C" w:rsidRDefault="00E378DD" w:rsidP="00E378DD">
      <w:pPr>
        <w:pStyle w:val="libFootnote0"/>
        <w:rPr>
          <w:lang w:bidi="fa-IR"/>
        </w:rPr>
      </w:pPr>
      <w:r>
        <w:rPr>
          <w:rtl/>
          <w:lang w:bidi="fa-IR"/>
        </w:rPr>
        <w:t>(6).</w:t>
      </w:r>
      <w:r w:rsidR="00744A1C">
        <w:rPr>
          <w:rtl/>
          <w:lang w:bidi="fa-IR"/>
        </w:rPr>
        <w:t xml:space="preserve"> راجع : </w:t>
      </w:r>
      <w:r w:rsidR="00744A1C" w:rsidRPr="0061079A">
        <w:rPr>
          <w:rStyle w:val="libFootnoteBoldChar"/>
          <w:rtl/>
        </w:rPr>
        <w:t>الكافي</w:t>
      </w:r>
      <w:r w:rsidR="00744A1C">
        <w:rPr>
          <w:rtl/>
          <w:lang w:bidi="fa-IR"/>
        </w:rPr>
        <w:t xml:space="preserve"> ، كتاب المعيشة ، باب الدين ، ح 8459 ؛ </w:t>
      </w:r>
      <w:r w:rsidR="00744A1C" w:rsidRPr="0061079A">
        <w:rPr>
          <w:rStyle w:val="libFootnoteBoldChar"/>
          <w:rtl/>
        </w:rPr>
        <w:t>والتهذيب</w:t>
      </w:r>
      <w:r w:rsidR="00744A1C">
        <w:rPr>
          <w:rtl/>
          <w:lang w:bidi="fa-IR"/>
        </w:rPr>
        <w:t xml:space="preserve"> ، ج 6 ، ص 184 ، ح 381 ؛ </w:t>
      </w:r>
      <w:r w:rsidR="00744A1C" w:rsidRPr="0061079A">
        <w:rPr>
          <w:rStyle w:val="libFootnoteBoldChar"/>
          <w:rtl/>
        </w:rPr>
        <w:t>و</w:t>
      </w:r>
      <w:r w:rsidR="00744A1C" w:rsidRPr="00877682">
        <w:rPr>
          <w:rStyle w:val="libFootnoteBoldChar"/>
          <w:rtl/>
        </w:rPr>
        <w:t>قرب الإسناد</w:t>
      </w:r>
      <w:r w:rsidR="00744A1C">
        <w:rPr>
          <w:rtl/>
          <w:lang w:bidi="fa-IR"/>
        </w:rPr>
        <w:t xml:space="preserve"> ، ص 340 ، ح 1245 </w:t>
      </w:r>
      <w:r w:rsidR="006B1CB8">
        <w:rPr>
          <w:rFonts w:hint="cs"/>
          <w:rtl/>
          <w:lang w:bidi="fa-IR"/>
        </w:rPr>
        <w:t>.</w:t>
      </w:r>
      <w:r w:rsidR="00744A1C" w:rsidRPr="00C24F9C">
        <w:rPr>
          <w:rStyle w:val="libFootnoteBoldChar"/>
          <w:rtl/>
        </w:rPr>
        <w:t>الوافي</w:t>
      </w:r>
      <w:r w:rsidR="00744A1C">
        <w:rPr>
          <w:rtl/>
          <w:lang w:bidi="fa-IR"/>
        </w:rPr>
        <w:t xml:space="preserve"> ، ج 17 ، ص 97 ، ح 16939 ؛ </w:t>
      </w:r>
      <w:r w:rsidR="00744A1C" w:rsidRPr="00C24F9C">
        <w:rPr>
          <w:rStyle w:val="libFootnoteBoldChar"/>
          <w:rtl/>
        </w:rPr>
        <w:t>الوسائل</w:t>
      </w:r>
      <w:r w:rsidR="00744A1C">
        <w:rPr>
          <w:rtl/>
          <w:lang w:bidi="fa-IR"/>
        </w:rPr>
        <w:t xml:space="preserve"> ، ج 17 ، ص 67 ، ح 22003.</w:t>
      </w:r>
    </w:p>
    <w:tbl>
      <w:tblPr>
        <w:tblStyle w:val="TableGrid"/>
        <w:bidiVisual/>
        <w:tblW w:w="0" w:type="auto"/>
        <w:tblLook w:val="04A0" w:firstRow="1" w:lastRow="0" w:firstColumn="1" w:lastColumn="0" w:noHBand="0" w:noVBand="1"/>
      </w:tblPr>
      <w:tblGrid>
        <w:gridCol w:w="4006"/>
        <w:gridCol w:w="4006"/>
      </w:tblGrid>
      <w:tr w:rsidR="006B1CB8" w:rsidTr="006B1CB8">
        <w:tc>
          <w:tcPr>
            <w:tcW w:w="4006" w:type="dxa"/>
          </w:tcPr>
          <w:p w:rsidR="006B1CB8" w:rsidRDefault="006B1CB8" w:rsidP="00E378DD">
            <w:pPr>
              <w:pStyle w:val="libFootnote0"/>
              <w:rPr>
                <w:rtl/>
                <w:lang w:bidi="fa-IR"/>
              </w:rPr>
            </w:pPr>
            <w:r>
              <w:rPr>
                <w:rtl/>
                <w:lang w:bidi="fa-IR"/>
              </w:rPr>
              <w:t xml:space="preserve">(7). في </w:t>
            </w:r>
            <w:r w:rsidRPr="0061079A">
              <w:rPr>
                <w:rStyle w:val="libFootnoteBoldChar"/>
                <w:rtl/>
              </w:rPr>
              <w:t>الكافي</w:t>
            </w:r>
            <w:r>
              <w:rPr>
                <w:rtl/>
                <w:lang w:bidi="fa-IR"/>
              </w:rPr>
              <w:t xml:space="preserve"> ، ح 3370 : + « بن خالد ».</w:t>
            </w:r>
          </w:p>
        </w:tc>
        <w:tc>
          <w:tcPr>
            <w:tcW w:w="4006" w:type="dxa"/>
          </w:tcPr>
          <w:p w:rsidR="006B1CB8" w:rsidRDefault="006B1CB8" w:rsidP="00E378DD">
            <w:pPr>
              <w:pStyle w:val="libFootnote0"/>
              <w:rPr>
                <w:rtl/>
                <w:lang w:bidi="fa-IR"/>
              </w:rPr>
            </w:pPr>
            <w:r>
              <w:rPr>
                <w:rtl/>
                <w:lang w:bidi="fa-IR"/>
              </w:rPr>
              <w:t>(8). في « ط » : - « محمّد بن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61079A">
        <w:rPr>
          <w:rStyle w:val="libFootnoteBoldChar"/>
          <w:rtl/>
        </w:rPr>
        <w:t>الكافي</w:t>
      </w:r>
      <w:r w:rsidR="00744A1C">
        <w:rPr>
          <w:rtl/>
          <w:lang w:bidi="fa-IR"/>
        </w:rPr>
        <w:t xml:space="preserve"> ، ح 3370 : « للرضا ».</w:t>
      </w:r>
    </w:p>
    <w:p w:rsidR="00744A1C" w:rsidRDefault="00E378DD" w:rsidP="00E378DD">
      <w:pPr>
        <w:pStyle w:val="libFootnote0"/>
        <w:rPr>
          <w:lang w:bidi="fa-IR"/>
        </w:rPr>
      </w:pPr>
      <w:r>
        <w:rPr>
          <w:rtl/>
          <w:lang w:bidi="fa-IR"/>
        </w:rPr>
        <w:t>(10).</w:t>
      </w:r>
      <w:r w:rsidR="00744A1C">
        <w:rPr>
          <w:rtl/>
          <w:lang w:bidi="fa-IR"/>
        </w:rPr>
        <w:t xml:space="preserve"> في « ط ، بح ، بخ ، بف ، جت ، جن » </w:t>
      </w:r>
      <w:r w:rsidR="00744A1C" w:rsidRPr="006B1CB8">
        <w:rPr>
          <w:rtl/>
        </w:rPr>
        <w:t>والوافي والوسائل والكافي</w:t>
      </w:r>
      <w:r w:rsidR="00744A1C">
        <w:rPr>
          <w:rtl/>
          <w:lang w:bidi="fa-IR"/>
        </w:rPr>
        <w:t xml:space="preserve"> ، ح 3370 </w:t>
      </w:r>
      <w:r w:rsidR="00744A1C" w:rsidRPr="0061079A">
        <w:rPr>
          <w:rStyle w:val="libFootnoteBoldChar"/>
          <w:rtl/>
        </w:rPr>
        <w:t>و</w:t>
      </w:r>
      <w:r w:rsidR="00744A1C" w:rsidRPr="00877682">
        <w:rPr>
          <w:rStyle w:val="libFootnoteBoldChar"/>
          <w:rtl/>
        </w:rPr>
        <w:t>قرب الإسناد</w:t>
      </w:r>
      <w:r w:rsidR="00744A1C">
        <w:rPr>
          <w:rtl/>
          <w:lang w:bidi="fa-IR"/>
        </w:rPr>
        <w:t xml:space="preserve"> : « ا</w:t>
      </w:r>
      <w:r w:rsidR="006B1CB8">
        <w:rPr>
          <w:rFonts w:hint="cs"/>
          <w:rtl/>
          <w:lang w:bidi="fa-IR"/>
        </w:rPr>
        <w:t>ُ</w:t>
      </w:r>
      <w:r w:rsidR="00744A1C">
        <w:rPr>
          <w:rtl/>
          <w:lang w:bidi="fa-IR"/>
        </w:rPr>
        <w:t>دع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فَقَالَ : « أَتَدْرِي مَا الْحَلَالُ؟ ».</w:t>
      </w:r>
    </w:p>
    <w:p w:rsidR="00744A1C" w:rsidRDefault="00744A1C" w:rsidP="00744A1C">
      <w:pPr>
        <w:pStyle w:val="libNormal"/>
        <w:rPr>
          <w:lang w:bidi="fa-IR"/>
        </w:rPr>
      </w:pPr>
      <w:r>
        <w:rPr>
          <w:rtl/>
          <w:lang w:bidi="fa-IR"/>
        </w:rPr>
        <w:t xml:space="preserve">فَقُلْتُ : جُعِلْتُ فِدَاكَ ، أَمَّا الَّذِي عِنْدَنَا فَالْكَسْبُ الطَّيِّبُ </w:t>
      </w:r>
      <w:r w:rsidRPr="00D10E3C">
        <w:rPr>
          <w:rStyle w:val="libFootnotenumChar"/>
          <w:rtl/>
        </w:rPr>
        <w:t>(1)</w:t>
      </w:r>
    </w:p>
    <w:p w:rsidR="00144FA6" w:rsidRDefault="00744A1C" w:rsidP="00744A1C">
      <w:pPr>
        <w:pStyle w:val="libNormal"/>
        <w:rPr>
          <w:rtl/>
          <w:lang w:bidi="fa-IR"/>
        </w:rPr>
      </w:pPr>
      <w:r>
        <w:rPr>
          <w:rtl/>
          <w:lang w:bidi="fa-IR"/>
        </w:rPr>
        <w:t xml:space="preserve">فَقَالَ : « كَانَ عَلِيُّ بْنُ الْحُسَيْنِ </w:t>
      </w:r>
      <w:r w:rsidR="008859AA" w:rsidRPr="008859AA">
        <w:rPr>
          <w:rStyle w:val="libAlaemChar"/>
          <w:rtl/>
        </w:rPr>
        <w:t>عليهما‌السلام</w:t>
      </w:r>
      <w:r>
        <w:rPr>
          <w:rtl/>
          <w:lang w:bidi="fa-IR"/>
        </w:rPr>
        <w:t xml:space="preserve">يَقُولُ : الْحَلَالُ </w:t>
      </w:r>
      <w:r w:rsidRPr="00D10E3C">
        <w:rPr>
          <w:rStyle w:val="libFootnotenumChar"/>
          <w:rtl/>
        </w:rPr>
        <w:t>(2)</w:t>
      </w:r>
      <w:r>
        <w:rPr>
          <w:rtl/>
          <w:lang w:bidi="fa-IR"/>
        </w:rPr>
        <w:t xml:space="preserve"> قُوتُ الْمُصْطَفَيْنَ ، وَلكِنْ </w:t>
      </w:r>
      <w:r w:rsidRPr="00D10E3C">
        <w:rPr>
          <w:rStyle w:val="libFootnotenumChar"/>
          <w:rtl/>
        </w:rPr>
        <w:t>(3)</w:t>
      </w:r>
      <w:r>
        <w:rPr>
          <w:rtl/>
          <w:lang w:bidi="fa-IR"/>
        </w:rPr>
        <w:t xml:space="preserve"> قُلْ : أَسْأَلُكَ مِنْ رِزْقِكَ الْوَاسِعِ ». </w:t>
      </w:r>
      <w:r w:rsidRPr="00D10E3C">
        <w:rPr>
          <w:rStyle w:val="libFootnotenumChar"/>
          <w:rtl/>
        </w:rPr>
        <w:t>(4)</w:t>
      </w:r>
    </w:p>
    <w:p w:rsidR="002F4DD4" w:rsidRDefault="00744A1C" w:rsidP="002F4DD4">
      <w:pPr>
        <w:pStyle w:val="libNormal"/>
        <w:rPr>
          <w:rtl/>
          <w:lang w:bidi="fa-IR"/>
        </w:rPr>
      </w:pPr>
      <w:r>
        <w:rPr>
          <w:rtl/>
          <w:lang w:bidi="fa-IR"/>
        </w:rPr>
        <w:t xml:space="preserve">8440 / 2. مُحَمَّدُ بْنُ يَحْيى ، عَنْ أَحْمَدَ بْنِ مُحَمَّدِ بْنِ عِيسى </w:t>
      </w:r>
      <w:r w:rsidRPr="00D10E3C">
        <w:rPr>
          <w:rStyle w:val="libFootnotenumChar"/>
          <w:rtl/>
        </w:rPr>
        <w:t>(5)</w:t>
      </w:r>
      <w:r>
        <w:rPr>
          <w:rtl/>
          <w:lang w:bidi="fa-IR"/>
        </w:rPr>
        <w:t xml:space="preserve"> ؛</w:t>
      </w:r>
    </w:p>
    <w:p w:rsidR="00144FA6" w:rsidRDefault="002F4DD4" w:rsidP="002F4DD4">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عَلِيُّ بْنُ مُحَمَّدِ بْنِ بُنْدَارَ ، عَنْ أَحْمَدَ بْنِ أَبِي عَبْدِ اللهِ ، عَنْ مُحَمَّدِ بْنِ عِيسى جَمِي</w:t>
      </w:r>
      <w:r>
        <w:rPr>
          <w:rtl/>
          <w:lang w:bidi="fa-IR"/>
        </w:rPr>
        <w:t>عاً ، عَنْ مُعَمَّرِ بْنِ خَل</w:t>
      </w:r>
      <w:r>
        <w:rPr>
          <w:rFonts w:hint="cs"/>
          <w:rtl/>
          <w:lang w:bidi="fa-IR"/>
        </w:rPr>
        <w:t>َّ</w:t>
      </w:r>
      <w:r>
        <w:rPr>
          <w:rtl/>
          <w:lang w:bidi="fa-IR"/>
        </w:rPr>
        <w:t>ا</w:t>
      </w:r>
      <w:r w:rsidR="00744A1C">
        <w:rPr>
          <w:rtl/>
          <w:lang w:bidi="fa-IR"/>
        </w:rPr>
        <w:t>دٍ :</w:t>
      </w:r>
    </w:p>
    <w:p w:rsidR="00744A1C" w:rsidRDefault="00744A1C" w:rsidP="00744A1C">
      <w:pPr>
        <w:pStyle w:val="libNormal"/>
        <w:rPr>
          <w:lang w:bidi="fa-IR"/>
        </w:rPr>
      </w:pPr>
      <w:r>
        <w:rPr>
          <w:rtl/>
          <w:lang w:bidi="fa-IR"/>
        </w:rPr>
        <w:t xml:space="preserve">عَنْ أَبِي الْحَسَنِ </w:t>
      </w:r>
      <w:r w:rsidRPr="00D10E3C">
        <w:rPr>
          <w:rStyle w:val="libFootnotenumChar"/>
          <w:rtl/>
        </w:rPr>
        <w:t>(6)</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قَالَ </w:t>
      </w:r>
      <w:r w:rsidRPr="00D10E3C">
        <w:rPr>
          <w:rStyle w:val="libFootnotenumChar"/>
          <w:rtl/>
        </w:rPr>
        <w:t>(7)</w:t>
      </w:r>
      <w:r>
        <w:rPr>
          <w:rtl/>
          <w:lang w:bidi="fa-IR"/>
        </w:rPr>
        <w:t xml:space="preserve"> : « نَظَرَ أَبُو جَعْفَرٍ </w:t>
      </w:r>
      <w:r w:rsidR="0061079A" w:rsidRPr="0061079A">
        <w:rPr>
          <w:rStyle w:val="libAlaemChar"/>
          <w:rtl/>
        </w:rPr>
        <w:t>عليه‌السلام</w:t>
      </w:r>
      <w:r w:rsidR="00D10E3C">
        <w:rPr>
          <w:rtl/>
          <w:lang w:bidi="fa-IR"/>
        </w:rPr>
        <w:t xml:space="preserve"> </w:t>
      </w:r>
      <w:r>
        <w:rPr>
          <w:rtl/>
          <w:lang w:bidi="fa-IR"/>
        </w:rPr>
        <w:t>إِلى رَجُلٍ وَهُوَ يَقُولُ : الل</w:t>
      </w:r>
      <w:r w:rsidR="004F458F">
        <w:rPr>
          <w:rFonts w:hint="cs"/>
          <w:rtl/>
          <w:lang w:bidi="fa-IR"/>
        </w:rPr>
        <w:t>ّ</w:t>
      </w:r>
      <w:r>
        <w:rPr>
          <w:rtl/>
          <w:lang w:bidi="fa-IR"/>
        </w:rPr>
        <w:t>هُمَّ إِنِّي‌</w:t>
      </w:r>
      <w:r w:rsidR="004F458F">
        <w:rPr>
          <w:rFonts w:hint="cs"/>
          <w:rtl/>
          <w:lang w:bidi="fa-IR"/>
        </w:rPr>
        <w:t xml:space="preserve"> </w:t>
      </w:r>
      <w:r w:rsidR="004F458F">
        <w:rPr>
          <w:rtl/>
          <w:lang w:bidi="fa-IR"/>
        </w:rPr>
        <w:t xml:space="preserve">أَسْأَلُكَ مِنْ رِزْقِكَ الْحَلَالِ ، فَقَالَ أَبُو جَعْفَرٍ </w:t>
      </w:r>
      <w:r w:rsidR="004F458F" w:rsidRPr="0061079A">
        <w:rPr>
          <w:rStyle w:val="libAlaemChar"/>
          <w:rtl/>
        </w:rPr>
        <w:t>عليه‌السلام</w:t>
      </w:r>
      <w:r w:rsidR="004F458F">
        <w:rPr>
          <w:rtl/>
          <w:lang w:bidi="fa-IR"/>
        </w:rPr>
        <w:t xml:space="preserve"> : سَأَلْتَ قُوتَ النَّبِيِّينَ ، قُلِ : الل</w:t>
      </w:r>
      <w:r w:rsidR="004F458F">
        <w:rPr>
          <w:rFonts w:hint="cs"/>
          <w:rtl/>
          <w:lang w:bidi="fa-IR"/>
        </w:rPr>
        <w:t>ّ</w:t>
      </w:r>
      <w:r w:rsidR="004F458F">
        <w:rPr>
          <w:rtl/>
          <w:lang w:bidi="fa-IR"/>
        </w:rPr>
        <w:t>هُمَّ إِنِّي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695127">
        <w:rPr>
          <w:rtl/>
        </w:rPr>
        <w:t>الوافي والكافي</w:t>
      </w:r>
      <w:r w:rsidR="00744A1C">
        <w:rPr>
          <w:rtl/>
          <w:lang w:bidi="fa-IR"/>
        </w:rPr>
        <w:t xml:space="preserve"> ، ح 3370 : « قلت : الذي عندنا الكسب الطيّب ». وفي </w:t>
      </w:r>
      <w:r w:rsidR="00744A1C" w:rsidRPr="00695127">
        <w:rPr>
          <w:rtl/>
        </w:rPr>
        <w:t>الوسائل</w:t>
      </w:r>
      <w:r w:rsidR="00744A1C">
        <w:rPr>
          <w:rtl/>
          <w:lang w:bidi="fa-IR"/>
        </w:rPr>
        <w:t xml:space="preserve"> : « قلت الذي عندنا طيّب الكسب ».</w:t>
      </w:r>
    </w:p>
    <w:p w:rsidR="00744A1C" w:rsidRDefault="00E378DD" w:rsidP="00E378DD">
      <w:pPr>
        <w:pStyle w:val="libFootnote0"/>
        <w:rPr>
          <w:lang w:bidi="fa-IR"/>
        </w:rPr>
      </w:pPr>
      <w:r>
        <w:rPr>
          <w:rtl/>
          <w:lang w:bidi="fa-IR"/>
        </w:rPr>
        <w:t>(2).</w:t>
      </w:r>
      <w:r w:rsidR="00744A1C">
        <w:rPr>
          <w:rtl/>
          <w:lang w:bidi="fa-IR"/>
        </w:rPr>
        <w:t xml:space="preserve"> في </w:t>
      </w:r>
      <w:r w:rsidR="00744A1C" w:rsidRPr="00695127">
        <w:rPr>
          <w:rtl/>
        </w:rPr>
        <w:t>الوافي والوسائل والكافي</w:t>
      </w:r>
      <w:r w:rsidR="00744A1C">
        <w:rPr>
          <w:rtl/>
          <w:lang w:bidi="fa-IR"/>
        </w:rPr>
        <w:t xml:space="preserve"> ، ح 3370 </w:t>
      </w:r>
      <w:r w:rsidR="00744A1C" w:rsidRPr="0061079A">
        <w:rPr>
          <w:rStyle w:val="libFootnoteBoldChar"/>
          <w:rtl/>
        </w:rPr>
        <w:t>و</w:t>
      </w:r>
      <w:r w:rsidR="00744A1C" w:rsidRPr="00877682">
        <w:rPr>
          <w:rStyle w:val="libFootnoteBoldChar"/>
          <w:rtl/>
        </w:rPr>
        <w:t>قرب الإسناد</w:t>
      </w:r>
      <w:r w:rsidR="00744A1C">
        <w:rPr>
          <w:rtl/>
          <w:lang w:bidi="fa-IR"/>
        </w:rPr>
        <w:t xml:space="preserve"> : + « هو ».</w:t>
      </w:r>
    </w:p>
    <w:p w:rsidR="00744A1C" w:rsidRDefault="00E378DD" w:rsidP="00E378DD">
      <w:pPr>
        <w:pStyle w:val="libFootnote0"/>
        <w:rPr>
          <w:lang w:bidi="fa-IR"/>
        </w:rPr>
      </w:pPr>
      <w:r>
        <w:rPr>
          <w:rtl/>
          <w:lang w:bidi="fa-IR"/>
        </w:rPr>
        <w:t>(3).</w:t>
      </w:r>
      <w:r w:rsidR="00744A1C">
        <w:rPr>
          <w:rtl/>
          <w:lang w:bidi="fa-IR"/>
        </w:rPr>
        <w:t xml:space="preserve"> في </w:t>
      </w:r>
      <w:r w:rsidR="00744A1C" w:rsidRPr="00695127">
        <w:rPr>
          <w:rtl/>
        </w:rPr>
        <w:t>الوافي والكافي ، ح</w:t>
      </w:r>
      <w:r w:rsidR="00744A1C">
        <w:rPr>
          <w:rtl/>
          <w:lang w:bidi="fa-IR"/>
        </w:rPr>
        <w:t xml:space="preserve"> 3370 : « ثمّ قال » بدل « ولكن ».</w:t>
      </w:r>
    </w:p>
    <w:p w:rsidR="00744A1C" w:rsidRDefault="00E378DD" w:rsidP="00E378DD">
      <w:pPr>
        <w:pStyle w:val="libFootnote0"/>
        <w:rPr>
          <w:lang w:bidi="fa-IR"/>
        </w:rPr>
      </w:pPr>
      <w:r>
        <w:rPr>
          <w:rtl/>
          <w:lang w:bidi="fa-IR"/>
        </w:rPr>
        <w:t>(4).</w:t>
      </w:r>
      <w:r w:rsidR="00744A1C">
        <w:rPr>
          <w:rtl/>
          <w:lang w:bidi="fa-IR"/>
        </w:rPr>
        <w:t xml:space="preserve"> </w:t>
      </w:r>
      <w:r w:rsidR="00744A1C" w:rsidRPr="0061079A">
        <w:rPr>
          <w:rStyle w:val="libFootnoteBoldChar"/>
          <w:rtl/>
        </w:rPr>
        <w:t>الكافي</w:t>
      </w:r>
      <w:r w:rsidR="00744A1C">
        <w:rPr>
          <w:rtl/>
          <w:lang w:bidi="fa-IR"/>
        </w:rPr>
        <w:t xml:space="preserve"> ، كتاب الدعاء ، باب الدعاء للرزق ، ح 3370. وفي </w:t>
      </w:r>
      <w:r w:rsidR="00744A1C" w:rsidRPr="00877682">
        <w:rPr>
          <w:rStyle w:val="libFootnoteBoldChar"/>
          <w:rtl/>
        </w:rPr>
        <w:t>قرب الإسناد</w:t>
      </w:r>
      <w:r w:rsidR="00744A1C">
        <w:rPr>
          <w:rtl/>
          <w:lang w:bidi="fa-IR"/>
        </w:rPr>
        <w:t xml:space="preserve"> ، ص 380 ، ح 1342 ، بسنده عن أحمد بن محمّد بن أبي نصر </w:t>
      </w:r>
      <w:r w:rsidR="00FD50E9">
        <w:rPr>
          <w:rFonts w:hint="cs"/>
          <w:rtl/>
          <w:lang w:bidi="fa-IR"/>
        </w:rPr>
        <w:t>.</w:t>
      </w:r>
      <w:r w:rsidR="00744A1C" w:rsidRPr="00C24F9C">
        <w:rPr>
          <w:rStyle w:val="libFootnoteBoldChar"/>
          <w:rtl/>
        </w:rPr>
        <w:t>الوافي</w:t>
      </w:r>
      <w:r w:rsidR="00744A1C">
        <w:rPr>
          <w:rtl/>
          <w:lang w:bidi="fa-IR"/>
        </w:rPr>
        <w:t xml:space="preserve"> ، ج 9 ، ص 1611 ، ح 8836 ؛ </w:t>
      </w:r>
      <w:r w:rsidR="00744A1C" w:rsidRPr="00C24F9C">
        <w:rPr>
          <w:rStyle w:val="libFootnoteBoldChar"/>
          <w:rtl/>
        </w:rPr>
        <w:t>الوسائل</w:t>
      </w:r>
      <w:r w:rsidR="00744A1C">
        <w:rPr>
          <w:rtl/>
          <w:lang w:bidi="fa-IR"/>
        </w:rPr>
        <w:t xml:space="preserve"> ، ج 7 ، ص 122 ، ح 8906 ؛ </w:t>
      </w:r>
      <w:r w:rsidR="00744A1C" w:rsidRPr="0061079A">
        <w:rPr>
          <w:rStyle w:val="libFootnoteBoldChar"/>
          <w:rtl/>
        </w:rPr>
        <w:t>البحار</w:t>
      </w:r>
      <w:r w:rsidR="00744A1C">
        <w:rPr>
          <w:rtl/>
          <w:lang w:bidi="fa-IR"/>
        </w:rPr>
        <w:t xml:space="preserve"> ، ج 103 ، ص 2 ، ح 4.</w:t>
      </w:r>
    </w:p>
    <w:p w:rsidR="00744A1C" w:rsidRDefault="00E378DD" w:rsidP="00E378DD">
      <w:pPr>
        <w:pStyle w:val="libFootnote0"/>
        <w:rPr>
          <w:lang w:bidi="fa-IR"/>
        </w:rPr>
      </w:pPr>
      <w:r>
        <w:rPr>
          <w:rtl/>
          <w:lang w:bidi="fa-IR"/>
        </w:rPr>
        <w:t>(5).</w:t>
      </w:r>
      <w:r w:rsidR="00744A1C">
        <w:rPr>
          <w:rtl/>
          <w:lang w:bidi="fa-IR"/>
        </w:rPr>
        <w:t xml:space="preserve"> هكذا في حاشية الطبعة الحجريّة. وفي « ط » : + « عن معمّر ». وفي « ى ، بح ، بخ ، بس ، بف ، جت ، جد ، جن » والطبعة الحجريّة</w:t>
      </w:r>
      <w:r w:rsidR="00FD50E9">
        <w:rPr>
          <w:rtl/>
          <w:lang w:bidi="fa-IR"/>
        </w:rPr>
        <w:t xml:space="preserve"> والمطبوع : + « عن معمّر بن خل</w:t>
      </w:r>
      <w:r w:rsidR="00FD50E9">
        <w:rPr>
          <w:rFonts w:hint="cs"/>
          <w:rtl/>
          <w:lang w:bidi="fa-IR"/>
        </w:rPr>
        <w:t>ّ</w:t>
      </w:r>
      <w:r w:rsidR="00FD50E9">
        <w:rPr>
          <w:rtl/>
          <w:lang w:bidi="fa-IR"/>
        </w:rPr>
        <w:t>ا</w:t>
      </w:r>
      <w:r w:rsidR="00744A1C">
        <w:rPr>
          <w:rtl/>
          <w:lang w:bidi="fa-IR"/>
        </w:rPr>
        <w:t>د ».</w:t>
      </w:r>
    </w:p>
    <w:p w:rsidR="00744A1C" w:rsidRDefault="00744A1C" w:rsidP="00D10E3C">
      <w:pPr>
        <w:pStyle w:val="libFootnote0"/>
        <w:rPr>
          <w:lang w:bidi="fa-IR"/>
        </w:rPr>
      </w:pPr>
      <w:r>
        <w:rPr>
          <w:rtl/>
          <w:lang w:bidi="fa-IR"/>
        </w:rPr>
        <w:t>والظاهر أنّ الصواب ما أثبتناه ؛ فإنّ في السند تحويلاً بعطف « عليّ بن محمّد بن بندار عن أحمد بن أبي عبد الله عن محمّد بن عيسى » على « محمّد بن يحيى عن أحمد بن محمّد بن</w:t>
      </w:r>
      <w:r w:rsidR="00FD50E9">
        <w:rPr>
          <w:rtl/>
          <w:lang w:bidi="fa-IR"/>
        </w:rPr>
        <w:t xml:space="preserve"> عيسى » فالراوي عن معمّر بن خل</w:t>
      </w:r>
      <w:r w:rsidR="00FD50E9">
        <w:rPr>
          <w:rFonts w:hint="cs"/>
          <w:rtl/>
          <w:lang w:bidi="fa-IR"/>
        </w:rPr>
        <w:t>ّ</w:t>
      </w:r>
      <w:r w:rsidR="00FD50E9">
        <w:rPr>
          <w:rtl/>
          <w:lang w:bidi="fa-IR"/>
        </w:rPr>
        <w:t>ا</w:t>
      </w:r>
      <w:r>
        <w:rPr>
          <w:rtl/>
          <w:lang w:bidi="fa-IR"/>
        </w:rPr>
        <w:t>د هما أحمد بن محمّد بن عيسى ومحمّد بن عيسى كما تدلّ عليه لفظة « جميعاً ». وجميع النسخ متّفقة على ثبوت « جميعاً ».</w:t>
      </w:r>
    </w:p>
    <w:p w:rsidR="00744A1C" w:rsidRDefault="00E378DD" w:rsidP="00E378DD">
      <w:pPr>
        <w:pStyle w:val="libFootnote0"/>
        <w:rPr>
          <w:lang w:bidi="fa-IR"/>
        </w:rPr>
      </w:pPr>
      <w:r>
        <w:rPr>
          <w:rtl/>
          <w:lang w:bidi="fa-IR"/>
        </w:rPr>
        <w:t>(6).</w:t>
      </w:r>
      <w:r w:rsidR="00744A1C">
        <w:rPr>
          <w:rtl/>
          <w:lang w:bidi="fa-IR"/>
        </w:rPr>
        <w:t xml:space="preserve"> هكذا في « ط ، ى ، بح ، بخ ، بس ، بف ، جت ، جد ، جن » والطبعة الحجريّة </w:t>
      </w:r>
      <w:r w:rsidR="00744A1C" w:rsidRPr="00FD50E9">
        <w:rPr>
          <w:rtl/>
        </w:rPr>
        <w:t>والبحار والكافي</w:t>
      </w:r>
      <w:r w:rsidR="00744A1C">
        <w:rPr>
          <w:rtl/>
          <w:lang w:bidi="fa-IR"/>
        </w:rPr>
        <w:t xml:space="preserve"> ، ح 3369. وفي‌المطبوع وحاشية الطبعة الحجريّة : + « الثاني ».</w:t>
      </w:r>
    </w:p>
    <w:p w:rsidR="00744A1C" w:rsidRDefault="00E378DD" w:rsidP="00E378DD">
      <w:pPr>
        <w:pStyle w:val="libFootnote0"/>
        <w:rPr>
          <w:lang w:bidi="fa-IR"/>
        </w:rPr>
      </w:pPr>
      <w:r>
        <w:rPr>
          <w:rtl/>
          <w:lang w:bidi="fa-IR"/>
        </w:rPr>
        <w:t>(7).</w:t>
      </w:r>
      <w:r w:rsidR="00744A1C">
        <w:rPr>
          <w:rtl/>
          <w:lang w:bidi="fa-IR"/>
        </w:rPr>
        <w:t xml:space="preserve"> في </w:t>
      </w:r>
      <w:r w:rsidR="00744A1C" w:rsidRPr="00FD50E9">
        <w:rPr>
          <w:rtl/>
        </w:rPr>
        <w:t>الكافي</w:t>
      </w:r>
      <w:r w:rsidR="00744A1C">
        <w:rPr>
          <w:rtl/>
          <w:lang w:bidi="fa-IR"/>
        </w:rPr>
        <w:t xml:space="preserve"> ، ح 3369 : + « سمعته يقول ».</w:t>
      </w:r>
    </w:p>
    <w:p w:rsidR="006A5060" w:rsidRDefault="006A5060" w:rsidP="00D10E3C">
      <w:pPr>
        <w:pStyle w:val="libNormal"/>
        <w:rPr>
          <w:rtl/>
          <w:lang w:bidi="fa-IR"/>
        </w:rPr>
      </w:pPr>
      <w:r>
        <w:rPr>
          <w:rtl/>
          <w:lang w:bidi="fa-IR"/>
        </w:rPr>
        <w:br w:type="page"/>
      </w:r>
    </w:p>
    <w:p w:rsidR="00144FA6" w:rsidRDefault="00744A1C" w:rsidP="005D2B3B">
      <w:pPr>
        <w:pStyle w:val="libNormal0"/>
        <w:rPr>
          <w:rtl/>
          <w:lang w:bidi="fa-IR"/>
        </w:rPr>
      </w:pPr>
      <w:r>
        <w:rPr>
          <w:rtl/>
          <w:lang w:bidi="fa-IR"/>
        </w:rPr>
        <w:t xml:space="preserve">أَسْأَلُكَ </w:t>
      </w:r>
      <w:r w:rsidRPr="00D10E3C">
        <w:rPr>
          <w:rStyle w:val="libFootnotenumChar"/>
          <w:rtl/>
        </w:rPr>
        <w:t>(1)</w:t>
      </w:r>
      <w:r>
        <w:rPr>
          <w:rtl/>
          <w:lang w:bidi="fa-IR"/>
        </w:rPr>
        <w:t xml:space="preserve"> رِزْقاً </w:t>
      </w:r>
      <w:r w:rsidRPr="00D10E3C">
        <w:rPr>
          <w:rStyle w:val="libFootnotenumChar"/>
          <w:rtl/>
        </w:rPr>
        <w:t>(2)</w:t>
      </w:r>
      <w:r>
        <w:rPr>
          <w:rtl/>
          <w:lang w:bidi="fa-IR"/>
        </w:rPr>
        <w:t xml:space="preserve"> وَاسِعاً طَيِّباً مِنْ رِزْقِكَ ». </w:t>
      </w:r>
      <w:r w:rsidRPr="00D10E3C">
        <w:rPr>
          <w:rStyle w:val="libFootnotenumChar"/>
          <w:rtl/>
        </w:rPr>
        <w:t>(3)</w:t>
      </w:r>
    </w:p>
    <w:p w:rsidR="00744A1C" w:rsidRDefault="00744A1C" w:rsidP="00FD50E9">
      <w:pPr>
        <w:pStyle w:val="Heading2Center"/>
        <w:rPr>
          <w:lang w:bidi="fa-IR"/>
        </w:rPr>
      </w:pPr>
      <w:bookmarkStart w:id="138" w:name="_Toc49261436"/>
      <w:r>
        <w:rPr>
          <w:rtl/>
          <w:lang w:bidi="fa-IR"/>
        </w:rPr>
        <w:t>15 - بَابُ إِحْرَازِ الْقُوتِ‌</w:t>
      </w:r>
      <w:bookmarkEnd w:id="138"/>
    </w:p>
    <w:p w:rsidR="00144FA6" w:rsidRDefault="00744A1C" w:rsidP="00744A1C">
      <w:pPr>
        <w:pStyle w:val="libNormal"/>
        <w:rPr>
          <w:rtl/>
          <w:lang w:bidi="fa-IR"/>
        </w:rPr>
      </w:pPr>
      <w:r>
        <w:rPr>
          <w:rtl/>
          <w:lang w:bidi="fa-IR"/>
        </w:rPr>
        <w:t>8441 / 1. مُحَمَّدُ بْنُ يَحْيى ، عَنْ أَحْمَدَ بْنِ مُحَمَّدٍ ، عَنِ ابْنِ فَضَّالٍ ، عَنِ الْحَسَنِ بْنِ الْجَهْمِ ، قَالَ :</w:t>
      </w:r>
    </w:p>
    <w:p w:rsidR="00144FA6" w:rsidRDefault="00744A1C" w:rsidP="00744A1C">
      <w:pPr>
        <w:pStyle w:val="libNormal"/>
        <w:rPr>
          <w:rtl/>
          <w:lang w:bidi="fa-IR"/>
        </w:rPr>
      </w:pPr>
      <w:r>
        <w:rPr>
          <w:rtl/>
          <w:lang w:bidi="fa-IR"/>
        </w:rPr>
        <w:t xml:space="preserve">سَمِعْتُ الرِّضَا </w:t>
      </w:r>
      <w:r w:rsidR="0061079A" w:rsidRPr="0061079A">
        <w:rPr>
          <w:rStyle w:val="libAlaemChar"/>
          <w:rtl/>
        </w:rPr>
        <w:t>عليه‌السلام</w:t>
      </w:r>
      <w:r w:rsidR="00D10E3C">
        <w:rPr>
          <w:rtl/>
          <w:lang w:bidi="fa-IR"/>
        </w:rPr>
        <w:t xml:space="preserve"> </w:t>
      </w:r>
      <w:r>
        <w:rPr>
          <w:rtl/>
          <w:lang w:bidi="fa-IR"/>
        </w:rPr>
        <w:t xml:space="preserve">يَقُولُ : « إِنَّ الْإِنْسَانَ إِذَا أَدْخَلَ </w:t>
      </w:r>
      <w:r w:rsidRPr="00D10E3C">
        <w:rPr>
          <w:rStyle w:val="libFootnotenumChar"/>
          <w:rtl/>
        </w:rPr>
        <w:t>(4)</w:t>
      </w:r>
      <w:r>
        <w:rPr>
          <w:rtl/>
          <w:lang w:bidi="fa-IR"/>
        </w:rPr>
        <w:t xml:space="preserve"> طَعَامَ سَنَتِهِ </w:t>
      </w:r>
      <w:r w:rsidRPr="00D10E3C">
        <w:rPr>
          <w:rStyle w:val="libFootnotenumChar"/>
          <w:rtl/>
        </w:rPr>
        <w:t>(5)</w:t>
      </w:r>
      <w:r>
        <w:rPr>
          <w:rtl/>
          <w:lang w:bidi="fa-IR"/>
        </w:rPr>
        <w:t xml:space="preserve"> ، خَفَّ ظَهْرُهُ وَاسْتَرَاحَ ، وَكَانَ أَبُو جَعْفَرٍ وَأَبُو عَبْدِ اللهِ </w:t>
      </w:r>
      <w:r w:rsidR="008859AA" w:rsidRPr="008859AA">
        <w:rPr>
          <w:rStyle w:val="libAlaemChar"/>
          <w:rtl/>
        </w:rPr>
        <w:t>عليهما‌السلام</w:t>
      </w:r>
      <w:r>
        <w:rPr>
          <w:rtl/>
          <w:lang w:bidi="fa-IR"/>
        </w:rPr>
        <w:t xml:space="preserve">لَايَشْتَرِيَانِ عُقْدَةً </w:t>
      </w:r>
      <w:r w:rsidRPr="00D10E3C">
        <w:rPr>
          <w:rStyle w:val="libFootnotenumChar"/>
          <w:rtl/>
        </w:rPr>
        <w:t>(6)</w:t>
      </w:r>
      <w:r>
        <w:rPr>
          <w:rtl/>
          <w:lang w:bidi="fa-IR"/>
        </w:rPr>
        <w:t xml:space="preserve"> حَتّى يُحْرَزَ </w:t>
      </w:r>
      <w:r w:rsidRPr="00D10E3C">
        <w:rPr>
          <w:rStyle w:val="libFootnotenumChar"/>
          <w:rtl/>
        </w:rPr>
        <w:t>(7)</w:t>
      </w:r>
      <w:r>
        <w:rPr>
          <w:rtl/>
          <w:lang w:bidi="fa-IR"/>
        </w:rPr>
        <w:t xml:space="preserve"> إِطْعَامُ </w:t>
      </w:r>
      <w:r w:rsidRPr="00D10E3C">
        <w:rPr>
          <w:rStyle w:val="libFootnotenumChar"/>
          <w:rtl/>
        </w:rPr>
        <w:t>(8)</w:t>
      </w:r>
      <w:r>
        <w:rPr>
          <w:rtl/>
          <w:lang w:bidi="fa-IR"/>
        </w:rPr>
        <w:t xml:space="preserve"> سَنَتِهِمَا </w:t>
      </w:r>
      <w:r w:rsidRPr="00D10E3C">
        <w:rPr>
          <w:rStyle w:val="libFootnotenumChar"/>
          <w:rtl/>
        </w:rPr>
        <w:t>(9)</w:t>
      </w:r>
      <w:r>
        <w:rPr>
          <w:rtl/>
          <w:lang w:bidi="fa-IR"/>
        </w:rPr>
        <w:t xml:space="preserve"> ». </w:t>
      </w:r>
      <w:r w:rsidRPr="00D10E3C">
        <w:rPr>
          <w:rStyle w:val="libFootnotenumChar"/>
          <w:rtl/>
        </w:rPr>
        <w:t>(10)</w:t>
      </w:r>
    </w:p>
    <w:p w:rsidR="00744A1C" w:rsidRDefault="00744A1C" w:rsidP="00744A1C">
      <w:pPr>
        <w:pStyle w:val="libNormal"/>
        <w:rPr>
          <w:lang w:bidi="fa-IR"/>
        </w:rPr>
      </w:pPr>
      <w:r>
        <w:rPr>
          <w:rtl/>
          <w:lang w:bidi="fa-IR"/>
        </w:rPr>
        <w:t xml:space="preserve">8442 / 2. أَبُو عَلِيٍّ الْأَشْعَرِيُّ ، عَنْ أَبِي مُحَمَّدٍ الذُّهْلِيِّ ، عَنْ أَبِي أَيُّوبَ الْمَديِنِيِّ </w:t>
      </w:r>
      <w:r w:rsidRPr="00D10E3C">
        <w:rPr>
          <w:rStyle w:val="libFootnotenumChar"/>
          <w:rtl/>
        </w:rPr>
        <w:t>(11)</w:t>
      </w:r>
      <w:r>
        <w:rPr>
          <w:rtl/>
          <w:lang w:bidi="fa-IR"/>
        </w:rPr>
        <w:t xml:space="preserve"> ، عَنْ‌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FD50E9" w:rsidTr="00FD50E9">
        <w:tc>
          <w:tcPr>
            <w:tcW w:w="4006" w:type="dxa"/>
          </w:tcPr>
          <w:p w:rsidR="00FD50E9" w:rsidRDefault="00FD50E9" w:rsidP="00D10E3C">
            <w:pPr>
              <w:pStyle w:val="libFootnote0"/>
              <w:rPr>
                <w:rtl/>
                <w:lang w:bidi="fa-IR"/>
              </w:rPr>
            </w:pPr>
            <w:r>
              <w:rPr>
                <w:rtl/>
                <w:lang w:bidi="fa-IR"/>
              </w:rPr>
              <w:t>(1). في « ط » : « ارزقني » بدل « إنّي أسألك ».</w:t>
            </w:r>
          </w:p>
        </w:tc>
        <w:tc>
          <w:tcPr>
            <w:tcW w:w="4006" w:type="dxa"/>
          </w:tcPr>
          <w:p w:rsidR="00FD50E9" w:rsidRDefault="00FD50E9" w:rsidP="00D10E3C">
            <w:pPr>
              <w:pStyle w:val="libFootnote0"/>
              <w:rPr>
                <w:rtl/>
                <w:lang w:bidi="fa-IR"/>
              </w:rPr>
            </w:pPr>
            <w:r>
              <w:rPr>
                <w:rtl/>
                <w:lang w:bidi="fa-IR"/>
              </w:rPr>
              <w:t xml:space="preserve">(2). في </w:t>
            </w:r>
            <w:r w:rsidRPr="00FD50E9">
              <w:rPr>
                <w:rtl/>
              </w:rPr>
              <w:t>الكافي</w:t>
            </w:r>
            <w:r>
              <w:rPr>
                <w:rtl/>
                <w:lang w:bidi="fa-IR"/>
              </w:rPr>
              <w:t xml:space="preserve"> ، ح 3369 : + « حلالاً ».</w:t>
            </w:r>
          </w:p>
        </w:tc>
      </w:tr>
    </w:tbl>
    <w:p w:rsidR="00744A1C" w:rsidRDefault="00E378DD" w:rsidP="000B1F82">
      <w:pPr>
        <w:pStyle w:val="libFootnote0"/>
        <w:rPr>
          <w:lang w:bidi="fa-IR"/>
        </w:rPr>
      </w:pPr>
      <w:r>
        <w:rPr>
          <w:rtl/>
          <w:lang w:bidi="fa-IR"/>
        </w:rPr>
        <w:t>(3).</w:t>
      </w:r>
      <w:r w:rsidR="00744A1C">
        <w:rPr>
          <w:rtl/>
          <w:lang w:bidi="fa-IR"/>
        </w:rPr>
        <w:t xml:space="preserve"> </w:t>
      </w:r>
      <w:r w:rsidR="00744A1C" w:rsidRPr="00FD50E9">
        <w:rPr>
          <w:rStyle w:val="libFootnoteBoldChar"/>
          <w:rtl/>
        </w:rPr>
        <w:t>الكافي</w:t>
      </w:r>
      <w:r w:rsidR="00744A1C">
        <w:rPr>
          <w:rtl/>
          <w:lang w:bidi="fa-IR"/>
        </w:rPr>
        <w:t xml:space="preserve"> ، كتاب الدعاء ، باب الدعاء للرزق ، ح 3369 ، عن محمّد بن يحيى ، عن </w:t>
      </w:r>
      <w:r w:rsidR="00FD50E9">
        <w:rPr>
          <w:rtl/>
          <w:lang w:bidi="fa-IR"/>
        </w:rPr>
        <w:t>أحمد بن محمّد ، عن معمّر بن خل</w:t>
      </w:r>
      <w:r w:rsidR="00FD50E9">
        <w:rPr>
          <w:rFonts w:hint="cs"/>
          <w:rtl/>
          <w:lang w:bidi="fa-IR"/>
        </w:rPr>
        <w:t>ّ</w:t>
      </w:r>
      <w:r w:rsidR="00FD50E9">
        <w:rPr>
          <w:rtl/>
          <w:lang w:bidi="fa-IR"/>
        </w:rPr>
        <w:t>ا</w:t>
      </w:r>
      <w:r w:rsidR="00744A1C">
        <w:rPr>
          <w:rtl/>
          <w:lang w:bidi="fa-IR"/>
        </w:rPr>
        <w:t xml:space="preserve">د ، عن أبي الحسن </w:t>
      </w:r>
      <w:r w:rsidR="0061079A" w:rsidRPr="0061079A">
        <w:rPr>
          <w:rStyle w:val="libFootnoteAlaemChar"/>
          <w:rtl/>
        </w:rPr>
        <w:t>عليه‌السلام</w:t>
      </w:r>
      <w:r w:rsidR="00744A1C">
        <w:rPr>
          <w:rtl/>
          <w:lang w:bidi="fa-IR"/>
        </w:rPr>
        <w:t xml:space="preserve"> . </w:t>
      </w:r>
      <w:r w:rsidR="00744A1C" w:rsidRPr="000B1C3F">
        <w:rPr>
          <w:rStyle w:val="libFootnoteBoldChar"/>
          <w:rtl/>
        </w:rPr>
        <w:t>الأمالي للطوسي</w:t>
      </w:r>
      <w:r w:rsidR="00744A1C">
        <w:rPr>
          <w:rtl/>
          <w:lang w:bidi="fa-IR"/>
        </w:rPr>
        <w:t xml:space="preserve"> ، ص 678 ، المجلس 37 ، ح 17 ، بسند آخر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w:t>
      </w:r>
      <w:r w:rsidR="00FD50E9">
        <w:rPr>
          <w:rFonts w:hint="cs"/>
          <w:rtl/>
          <w:lang w:bidi="fa-IR"/>
        </w:rPr>
        <w:t>.</w:t>
      </w:r>
      <w:r w:rsidR="00744A1C" w:rsidRPr="00C24F9C">
        <w:rPr>
          <w:rStyle w:val="libFootnoteBoldChar"/>
          <w:rtl/>
        </w:rPr>
        <w:t>الوافي</w:t>
      </w:r>
      <w:r w:rsidR="00744A1C">
        <w:rPr>
          <w:rtl/>
          <w:lang w:bidi="fa-IR"/>
        </w:rPr>
        <w:t xml:space="preserve"> ، ج 9 ، ص 1611 ، ح 8835 ؛ </w:t>
      </w:r>
      <w:r w:rsidR="00744A1C" w:rsidRPr="00C24F9C">
        <w:rPr>
          <w:rStyle w:val="libFootnoteBoldChar"/>
          <w:rtl/>
        </w:rPr>
        <w:t>الوسائل</w:t>
      </w:r>
      <w:r w:rsidR="00744A1C">
        <w:rPr>
          <w:rtl/>
          <w:lang w:bidi="fa-IR"/>
        </w:rPr>
        <w:t xml:space="preserve"> ، ج 7 ، ص 122 ، ح 8905 ؛ </w:t>
      </w:r>
      <w:r w:rsidR="00744A1C" w:rsidRPr="0061079A">
        <w:rPr>
          <w:rStyle w:val="libFootnoteBoldChar"/>
          <w:rtl/>
        </w:rPr>
        <w:t>البحار</w:t>
      </w:r>
      <w:r w:rsidR="00744A1C">
        <w:rPr>
          <w:rtl/>
          <w:lang w:bidi="fa-IR"/>
        </w:rPr>
        <w:t xml:space="preserve"> ، ج 11 ، ص 68 ، ح 23.</w:t>
      </w:r>
      <w:r w:rsidR="000B1F82">
        <w:rPr>
          <w:rFonts w:hint="cs"/>
          <w:rtl/>
          <w:lang w:bidi="fa-IR"/>
        </w:rPr>
        <w:t xml:space="preserve">                        </w:t>
      </w:r>
      <w:r>
        <w:rPr>
          <w:rtl/>
          <w:lang w:bidi="fa-IR"/>
        </w:rPr>
        <w:t>(4).</w:t>
      </w:r>
      <w:r w:rsidR="00744A1C">
        <w:rPr>
          <w:rtl/>
          <w:lang w:bidi="fa-IR"/>
        </w:rPr>
        <w:t xml:space="preserve"> في </w:t>
      </w:r>
      <w:r w:rsidR="00744A1C" w:rsidRPr="000B1F82">
        <w:rPr>
          <w:rtl/>
        </w:rPr>
        <w:t>الوافي</w:t>
      </w:r>
      <w:r w:rsidR="00744A1C">
        <w:rPr>
          <w:rtl/>
          <w:lang w:bidi="fa-IR"/>
        </w:rPr>
        <w:t xml:space="preserve"> : « ادّخر ».</w:t>
      </w:r>
    </w:p>
    <w:p w:rsidR="00744A1C" w:rsidRDefault="00E378DD" w:rsidP="00E378DD">
      <w:pPr>
        <w:pStyle w:val="libFootnote0"/>
        <w:rPr>
          <w:lang w:bidi="fa-IR"/>
        </w:rPr>
      </w:pPr>
      <w:r>
        <w:rPr>
          <w:rtl/>
          <w:lang w:bidi="fa-IR"/>
        </w:rPr>
        <w:t>(5).</w:t>
      </w:r>
      <w:r w:rsidR="00744A1C">
        <w:rPr>
          <w:rtl/>
          <w:lang w:bidi="fa-IR"/>
        </w:rPr>
        <w:t xml:space="preserve"> في « بس ، جن » </w:t>
      </w:r>
      <w:r w:rsidR="00744A1C" w:rsidRPr="000B1F82">
        <w:rPr>
          <w:rtl/>
        </w:rPr>
        <w:t>والوسائل وقرب الإسناد : « سنة</w:t>
      </w:r>
      <w:r w:rsidR="00744A1C">
        <w:rPr>
          <w:rtl/>
          <w:lang w:bidi="fa-IR"/>
        </w:rPr>
        <w:t xml:space="preserve"> ».</w:t>
      </w:r>
    </w:p>
    <w:p w:rsidR="00744A1C" w:rsidRDefault="00E378DD" w:rsidP="00E378DD">
      <w:pPr>
        <w:pStyle w:val="libFootnote0"/>
        <w:rPr>
          <w:lang w:bidi="fa-IR"/>
        </w:rPr>
      </w:pPr>
      <w:r>
        <w:rPr>
          <w:rtl/>
          <w:lang w:bidi="fa-IR"/>
        </w:rPr>
        <w:t>(6).</w:t>
      </w:r>
      <w:r w:rsidR="00744A1C">
        <w:rPr>
          <w:rtl/>
          <w:lang w:bidi="fa-IR"/>
        </w:rPr>
        <w:t xml:space="preserve"> العُقْدةُ : الضَّيْعَةُ والعقار الذي اعتقده صاحبه ملكاً ، والمكان الكثير الشجر ، والنخل. راجع : </w:t>
      </w:r>
      <w:r w:rsidR="00744A1C" w:rsidRPr="00E978C3">
        <w:rPr>
          <w:rStyle w:val="libFootnoteBoldChar"/>
          <w:rtl/>
        </w:rPr>
        <w:t>الصحاح</w:t>
      </w:r>
      <w:r w:rsidR="00744A1C">
        <w:rPr>
          <w:rtl/>
          <w:lang w:bidi="fa-IR"/>
        </w:rPr>
        <w:t xml:space="preserve"> ، ج 2 ، ص 510 ؛ </w:t>
      </w:r>
      <w:r w:rsidR="00744A1C" w:rsidRPr="008A57EB">
        <w:rPr>
          <w:rStyle w:val="libFootnoteBoldChar"/>
          <w:rtl/>
        </w:rPr>
        <w:t>القاموس المحيط</w:t>
      </w:r>
      <w:r w:rsidR="00744A1C">
        <w:rPr>
          <w:rtl/>
          <w:lang w:bidi="fa-IR"/>
        </w:rPr>
        <w:t xml:space="preserve"> ، ج 1 ، ص 436 ( عقد ).</w:t>
      </w:r>
    </w:p>
    <w:p w:rsidR="00744A1C" w:rsidRDefault="00E378DD" w:rsidP="00E378DD">
      <w:pPr>
        <w:pStyle w:val="libFootnote0"/>
        <w:rPr>
          <w:lang w:bidi="fa-IR"/>
        </w:rPr>
      </w:pPr>
      <w:r>
        <w:rPr>
          <w:rtl/>
          <w:lang w:bidi="fa-IR"/>
        </w:rPr>
        <w:t>(7).</w:t>
      </w:r>
      <w:r w:rsidR="00744A1C">
        <w:rPr>
          <w:rtl/>
          <w:lang w:bidi="fa-IR"/>
        </w:rPr>
        <w:t xml:space="preserve"> في « جت » : « حتّى يحرزا ». وفي حاشية « جت » : « حتّى يدخلا ».</w:t>
      </w:r>
    </w:p>
    <w:p w:rsidR="00744A1C" w:rsidRDefault="00E378DD" w:rsidP="00E378DD">
      <w:pPr>
        <w:pStyle w:val="libFootnote0"/>
        <w:rPr>
          <w:lang w:bidi="fa-IR"/>
        </w:rPr>
      </w:pPr>
      <w:r>
        <w:rPr>
          <w:rtl/>
          <w:lang w:bidi="fa-IR"/>
        </w:rPr>
        <w:t>(8).</w:t>
      </w:r>
      <w:r w:rsidR="00744A1C">
        <w:rPr>
          <w:rtl/>
          <w:lang w:bidi="fa-IR"/>
        </w:rPr>
        <w:t xml:space="preserve"> في « جت » : « طعام ».</w:t>
      </w:r>
    </w:p>
    <w:p w:rsidR="00744A1C" w:rsidRDefault="00E378DD" w:rsidP="00E378DD">
      <w:pPr>
        <w:pStyle w:val="libFootnote0"/>
        <w:rPr>
          <w:lang w:bidi="fa-IR"/>
        </w:rPr>
      </w:pPr>
      <w:r>
        <w:rPr>
          <w:rtl/>
          <w:lang w:bidi="fa-IR"/>
        </w:rPr>
        <w:t>(9).</w:t>
      </w:r>
      <w:r w:rsidR="00744A1C">
        <w:rPr>
          <w:rtl/>
          <w:lang w:bidi="fa-IR"/>
        </w:rPr>
        <w:t xml:space="preserve"> في « جت » : « سنته ». وفي « ط ، ى ، بح ، بس ، جد ، جن » و</w:t>
      </w:r>
      <w:r w:rsidR="00744A1C" w:rsidRPr="00C24F9C">
        <w:rPr>
          <w:rStyle w:val="libFootnoteBoldChar"/>
          <w:rtl/>
        </w:rPr>
        <w:t>الوسائل</w:t>
      </w:r>
      <w:r w:rsidR="00744A1C">
        <w:rPr>
          <w:rtl/>
          <w:lang w:bidi="fa-IR"/>
        </w:rPr>
        <w:t xml:space="preserve"> والقرب : « يدخلا طعام سنة [ القرب : السنة ] » بدل « يحرز إطعام سنتهما ».</w:t>
      </w:r>
    </w:p>
    <w:p w:rsidR="00744A1C" w:rsidRDefault="00E378DD" w:rsidP="00E378DD">
      <w:pPr>
        <w:pStyle w:val="libFootnote0"/>
        <w:rPr>
          <w:lang w:bidi="fa-IR"/>
        </w:rPr>
      </w:pPr>
      <w:r>
        <w:rPr>
          <w:rtl/>
          <w:lang w:bidi="fa-IR"/>
        </w:rPr>
        <w:t>(10).</w:t>
      </w:r>
      <w:r w:rsidR="00744A1C">
        <w:rPr>
          <w:rtl/>
          <w:lang w:bidi="fa-IR"/>
        </w:rPr>
        <w:t xml:space="preserve"> </w:t>
      </w:r>
      <w:r w:rsidR="00744A1C" w:rsidRPr="00877682">
        <w:rPr>
          <w:rStyle w:val="libFootnoteBoldChar"/>
          <w:rtl/>
        </w:rPr>
        <w:t>قرب الإسناد</w:t>
      </w:r>
      <w:r w:rsidR="00744A1C">
        <w:rPr>
          <w:rtl/>
          <w:lang w:bidi="fa-IR"/>
        </w:rPr>
        <w:t xml:space="preserve"> ، ص 392 ، ح 1373 ، عن الحسن بن الجهم </w:t>
      </w:r>
      <w:r w:rsidR="0008609C">
        <w:rPr>
          <w:rFonts w:hint="cs"/>
          <w:rtl/>
          <w:lang w:bidi="fa-IR"/>
        </w:rPr>
        <w:t>.</w:t>
      </w:r>
      <w:r w:rsidR="00744A1C" w:rsidRPr="00C24F9C">
        <w:rPr>
          <w:rStyle w:val="libFootnoteBoldChar"/>
          <w:rtl/>
        </w:rPr>
        <w:t>الوافي</w:t>
      </w:r>
      <w:r w:rsidR="00744A1C">
        <w:rPr>
          <w:rtl/>
          <w:lang w:bidi="fa-IR"/>
        </w:rPr>
        <w:t xml:space="preserve"> ، ج 17 ، ص 93 ، ح 16929 ؛ </w:t>
      </w:r>
      <w:r w:rsidR="00744A1C" w:rsidRPr="00C24F9C">
        <w:rPr>
          <w:rStyle w:val="libFootnoteBoldChar"/>
          <w:rtl/>
        </w:rPr>
        <w:t>الوسائل</w:t>
      </w:r>
      <w:r w:rsidR="00744A1C">
        <w:rPr>
          <w:rtl/>
          <w:lang w:bidi="fa-IR"/>
        </w:rPr>
        <w:t xml:space="preserve"> ، ج 17 ، ص 434 ، ح 22927.</w:t>
      </w:r>
    </w:p>
    <w:p w:rsidR="00744A1C" w:rsidRDefault="00E378DD" w:rsidP="00E378DD">
      <w:pPr>
        <w:pStyle w:val="libFootnote0"/>
        <w:rPr>
          <w:lang w:bidi="fa-IR"/>
        </w:rPr>
      </w:pPr>
      <w:r>
        <w:rPr>
          <w:rtl/>
          <w:lang w:bidi="fa-IR"/>
        </w:rPr>
        <w:t>(11).</w:t>
      </w:r>
      <w:r w:rsidR="0008609C">
        <w:rPr>
          <w:rtl/>
          <w:lang w:bidi="fa-IR"/>
        </w:rPr>
        <w:t xml:space="preserve"> هكذا في «</w:t>
      </w:r>
      <w:r w:rsidR="00744A1C">
        <w:rPr>
          <w:rtl/>
          <w:lang w:bidi="fa-IR"/>
        </w:rPr>
        <w:t>ط ، ى ، بح ، بخ ، بف ، جت ، جد ، جن » و</w:t>
      </w:r>
      <w:r w:rsidR="00744A1C" w:rsidRPr="00C24F9C">
        <w:rPr>
          <w:rStyle w:val="libFootnoteBoldChar"/>
          <w:rtl/>
        </w:rPr>
        <w:t>الوسائل</w:t>
      </w:r>
      <w:r w:rsidR="00744A1C">
        <w:rPr>
          <w:rtl/>
          <w:lang w:bidi="fa-IR"/>
        </w:rPr>
        <w:t>. وفي « بس » والمطبوع : « المدائني ».</w:t>
      </w:r>
    </w:p>
    <w:p w:rsidR="00744A1C" w:rsidRDefault="00744A1C" w:rsidP="00D10E3C">
      <w:pPr>
        <w:pStyle w:val="libFootnote0"/>
        <w:rPr>
          <w:lang w:bidi="fa-IR"/>
        </w:rPr>
      </w:pPr>
      <w:r>
        <w:rPr>
          <w:rtl/>
          <w:lang w:bidi="fa-IR"/>
        </w:rPr>
        <w:t xml:space="preserve">وأبو أيّوب هذا ، هو سليمان بن مقبل أبو أيّوب المديني المذكور في </w:t>
      </w:r>
      <w:r w:rsidRPr="0061079A">
        <w:rPr>
          <w:rStyle w:val="libFootnoteBoldChar"/>
          <w:rtl/>
        </w:rPr>
        <w:t>رجال الطوسي</w:t>
      </w:r>
      <w:r>
        <w:rPr>
          <w:rtl/>
          <w:lang w:bidi="fa-IR"/>
        </w:rPr>
        <w:t xml:space="preserve"> ، ص 338 ، الرقم 5026.</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عَبْدِ اللهِ بْنِ عَبْدِ الرَّحْمنِ ، عَنِ ابْنِ بُكَيْرٍ :</w:t>
      </w:r>
    </w:p>
    <w:p w:rsidR="00144FA6" w:rsidRDefault="00744A1C" w:rsidP="00744A1C">
      <w:pPr>
        <w:pStyle w:val="libNormal"/>
        <w:rPr>
          <w:rtl/>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5E465D" w:rsidRPr="005E465D">
        <w:rPr>
          <w:rStyle w:val="libAlaemChar"/>
          <w:rtl/>
        </w:rPr>
        <w:t>صلى‌الله‌عليه‌وآله</w:t>
      </w:r>
      <w:r w:rsidR="00D10E3C">
        <w:rPr>
          <w:rtl/>
          <w:lang w:bidi="fa-IR"/>
        </w:rPr>
        <w:t xml:space="preserve"> </w:t>
      </w:r>
      <w:r>
        <w:rPr>
          <w:rtl/>
          <w:lang w:bidi="fa-IR"/>
        </w:rPr>
        <w:t xml:space="preserve">: إِنَّ النَّفْسَ إِذَا أَحْرَزَتْ قُوتَهَا ، اسْتَقَرَّتْ ». </w:t>
      </w:r>
      <w:r w:rsidRPr="00D10E3C">
        <w:rPr>
          <w:rStyle w:val="libFootnotenumChar"/>
          <w:rtl/>
        </w:rPr>
        <w:t>(1)</w:t>
      </w:r>
    </w:p>
    <w:p w:rsidR="00144FA6" w:rsidRDefault="00744A1C" w:rsidP="00744A1C">
      <w:pPr>
        <w:pStyle w:val="libNormal"/>
        <w:rPr>
          <w:rtl/>
          <w:lang w:bidi="fa-IR"/>
        </w:rPr>
      </w:pPr>
      <w:r>
        <w:rPr>
          <w:rtl/>
          <w:lang w:bidi="fa-IR"/>
        </w:rPr>
        <w:t>8443 / 3. عَلِيُّ بْنُ إِبْرَاهِيمَ ، عَنْ هَارُونَ بْنِ مُسْلِمٍ ، عَنْ مَسْعَدَةَ بْنِ صَدَقَةَ :</w:t>
      </w:r>
    </w:p>
    <w:p w:rsidR="00144FA6" w:rsidRDefault="00744A1C" w:rsidP="00744A1C">
      <w:pPr>
        <w:pStyle w:val="libNormal"/>
        <w:rPr>
          <w:rtl/>
          <w:lang w:bidi="fa-IR"/>
        </w:rPr>
      </w:pPr>
      <w:r>
        <w:rPr>
          <w:rtl/>
          <w:lang w:bidi="fa-IR"/>
        </w:rPr>
        <w:t xml:space="preserve">عَنْ جَعْفَرٍ </w:t>
      </w:r>
      <w:r w:rsidR="0061079A" w:rsidRPr="0061079A">
        <w:rPr>
          <w:rStyle w:val="libAlaemChar"/>
          <w:rtl/>
        </w:rPr>
        <w:t>عليه‌السلام</w:t>
      </w:r>
      <w:r w:rsidR="00D10E3C">
        <w:rPr>
          <w:rtl/>
          <w:lang w:bidi="fa-IR"/>
        </w:rPr>
        <w:t xml:space="preserve"> </w:t>
      </w:r>
      <w:r>
        <w:rPr>
          <w:rtl/>
          <w:lang w:bidi="fa-IR"/>
        </w:rPr>
        <w:t xml:space="preserve">، قَالَ : « قَالَ سَلْمَانُ </w:t>
      </w:r>
      <w:r w:rsidRPr="00D10E3C">
        <w:rPr>
          <w:rStyle w:val="libFootnotenumChar"/>
          <w:rtl/>
        </w:rPr>
        <w:t>(2)</w:t>
      </w:r>
      <w:r>
        <w:rPr>
          <w:rtl/>
          <w:lang w:bidi="fa-IR"/>
        </w:rPr>
        <w:t xml:space="preserve"> - رَضِيَ اللهُ عَنْهُ - : إِنَّ النَّفْسَ قَدْ تَلْتَاثُ </w:t>
      </w:r>
      <w:r w:rsidRPr="00D10E3C">
        <w:rPr>
          <w:rStyle w:val="libFootnotenumChar"/>
          <w:rtl/>
        </w:rPr>
        <w:t>(3)</w:t>
      </w:r>
      <w:r>
        <w:rPr>
          <w:rtl/>
          <w:lang w:bidi="fa-IR"/>
        </w:rPr>
        <w:t xml:space="preserve"> عَلى صَاحِبِهَا إِذَا لَمْ يَكُنْ لَهَا </w:t>
      </w:r>
      <w:r w:rsidRPr="00D10E3C">
        <w:rPr>
          <w:rStyle w:val="libFootnotenumChar"/>
          <w:rtl/>
        </w:rPr>
        <w:t>(4)</w:t>
      </w:r>
      <w:r>
        <w:rPr>
          <w:rtl/>
          <w:lang w:bidi="fa-IR"/>
        </w:rPr>
        <w:t xml:space="preserve"> مِنَ الْعَيْشِ مَا تَعْتَمِدُ عَلَيْهِ ، فَإِذَا</w:t>
      </w:r>
      <w:r w:rsidR="0008609C">
        <w:rPr>
          <w:rtl/>
          <w:lang w:bidi="fa-IR"/>
        </w:rPr>
        <w:t xml:space="preserve"> هِيَ أَحْرَزَتْ مَعِيشَتَهَا ،</w:t>
      </w:r>
      <w:r>
        <w:rPr>
          <w:rtl/>
          <w:lang w:bidi="fa-IR"/>
        </w:rPr>
        <w:t>اطْمَأَنَّتْ ».</w:t>
      </w:r>
      <w:r w:rsidRPr="00D10E3C">
        <w:rPr>
          <w:rStyle w:val="libFootnotenumChar"/>
          <w:rtl/>
        </w:rPr>
        <w:t>(5)</w:t>
      </w:r>
    </w:p>
    <w:p w:rsidR="00744A1C" w:rsidRDefault="00744A1C" w:rsidP="0008609C">
      <w:pPr>
        <w:pStyle w:val="Heading2Center"/>
        <w:rPr>
          <w:lang w:bidi="fa-IR"/>
        </w:rPr>
      </w:pPr>
      <w:bookmarkStart w:id="139" w:name="_Toc49261437"/>
      <w:r>
        <w:rPr>
          <w:rtl/>
          <w:lang w:bidi="fa-IR"/>
        </w:rPr>
        <w:t xml:space="preserve">16 - بَابُ كَرَاهِيَةِ </w:t>
      </w:r>
      <w:r w:rsidRPr="00D10E3C">
        <w:rPr>
          <w:rStyle w:val="libFootnotenumChar"/>
          <w:rtl/>
        </w:rPr>
        <w:t>(6)</w:t>
      </w:r>
      <w:r>
        <w:rPr>
          <w:rtl/>
          <w:lang w:bidi="fa-IR"/>
        </w:rPr>
        <w:t xml:space="preserve"> إِجَارَةِ الرَّجُلِ نَفْسَهُ‌</w:t>
      </w:r>
      <w:bookmarkEnd w:id="139"/>
    </w:p>
    <w:p w:rsidR="00144FA6" w:rsidRDefault="00744A1C" w:rsidP="00744A1C">
      <w:pPr>
        <w:pStyle w:val="libNormal"/>
        <w:rPr>
          <w:rtl/>
          <w:lang w:bidi="fa-IR"/>
        </w:rPr>
      </w:pPr>
      <w:r>
        <w:rPr>
          <w:rtl/>
          <w:lang w:bidi="fa-IR"/>
        </w:rPr>
        <w:t>8444 / 1. مُحَمَّدُ بْنُ يَحْيى ، عَنْ أَحْمَدَ بْنِ مُحَمَّدٍ ، عَنْ مُحَمَّدِ بْنِ إِسْمَاعِيلَ بْنِ بَزِيعٍ ، عَنْ مَنْصُورِ بْنِ يُونُسَ ، عَنِ الْمُفَضَّلِ بْنِ عُمَرَ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مَنْ آجَرَ نَفْسَهُ ، فَقَدْ حَظَرَ عَلى نَفْسِهِ الرِّزْقَ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الفقيه</w:t>
      </w:r>
      <w:r w:rsidR="00744A1C">
        <w:rPr>
          <w:rtl/>
          <w:lang w:bidi="fa-IR"/>
        </w:rPr>
        <w:t xml:space="preserve"> ، ج 3 ، ص 166 ، ح 3619 ، مرسلاً ، وفيه : « قال : وقال رسول الله </w:t>
      </w:r>
      <w:r w:rsidR="0061079A" w:rsidRPr="005D2B3B">
        <w:rPr>
          <w:rStyle w:val="libFootnoteAlaemChar"/>
          <w:rtl/>
        </w:rPr>
        <w:t>صلى‌الله‌عليه‌وآله</w:t>
      </w:r>
      <w:r>
        <w:rPr>
          <w:rtl/>
          <w:lang w:bidi="fa-IR"/>
        </w:rPr>
        <w:t xml:space="preserve"> </w:t>
      </w:r>
      <w:r w:rsidR="00744A1C">
        <w:rPr>
          <w:rtl/>
          <w:lang w:bidi="fa-IR"/>
        </w:rPr>
        <w:t xml:space="preserve">... » </w:t>
      </w:r>
      <w:r w:rsidR="0008609C">
        <w:rPr>
          <w:rFonts w:hint="cs"/>
          <w:rtl/>
          <w:lang w:bidi="fa-IR"/>
        </w:rPr>
        <w:t>.</w:t>
      </w:r>
      <w:r w:rsidR="00744A1C" w:rsidRPr="00C24F9C">
        <w:rPr>
          <w:rStyle w:val="libFootnoteBoldChar"/>
          <w:rtl/>
        </w:rPr>
        <w:t>الوافي</w:t>
      </w:r>
      <w:r w:rsidR="00744A1C">
        <w:rPr>
          <w:rtl/>
          <w:lang w:bidi="fa-IR"/>
        </w:rPr>
        <w:t xml:space="preserve"> ، ج 17 ، ص 93 ، ح 16929 ؛ </w:t>
      </w:r>
      <w:r w:rsidR="00744A1C" w:rsidRPr="00C24F9C">
        <w:rPr>
          <w:rStyle w:val="libFootnoteBoldChar"/>
          <w:rtl/>
        </w:rPr>
        <w:t>الوسائل</w:t>
      </w:r>
      <w:r w:rsidR="00744A1C">
        <w:rPr>
          <w:rtl/>
          <w:lang w:bidi="fa-IR"/>
        </w:rPr>
        <w:t xml:space="preserve"> ، ج 17 ، ص 434 ، ح 22928.</w:t>
      </w:r>
    </w:p>
    <w:p w:rsidR="00744A1C" w:rsidRDefault="00E378DD" w:rsidP="00E378DD">
      <w:pPr>
        <w:pStyle w:val="libFootnote0"/>
        <w:rPr>
          <w:lang w:bidi="fa-IR"/>
        </w:rPr>
      </w:pPr>
      <w:r>
        <w:rPr>
          <w:rtl/>
          <w:lang w:bidi="fa-IR"/>
        </w:rPr>
        <w:t>(2).</w:t>
      </w:r>
      <w:r w:rsidR="00744A1C">
        <w:rPr>
          <w:rtl/>
          <w:lang w:bidi="fa-IR"/>
        </w:rPr>
        <w:t xml:space="preserve"> في « جن » : « سليمان ».</w:t>
      </w:r>
    </w:p>
    <w:p w:rsidR="00744A1C" w:rsidRDefault="00E378DD" w:rsidP="00E378DD">
      <w:pPr>
        <w:pStyle w:val="libFootnote0"/>
        <w:rPr>
          <w:lang w:bidi="fa-IR"/>
        </w:rPr>
      </w:pPr>
      <w:r>
        <w:rPr>
          <w:rtl/>
          <w:lang w:bidi="fa-IR"/>
        </w:rPr>
        <w:t>(3).</w:t>
      </w:r>
      <w:r w:rsidR="00744A1C">
        <w:rPr>
          <w:rtl/>
          <w:lang w:bidi="fa-IR"/>
        </w:rPr>
        <w:t xml:space="preserve"> اللُّوثَةُ - بالضمّ - : الاسترخاء والبطء. واللوث ، بالفتح : القوّة. والالتياث : الاختلاط ، والالتفات ، والإبطاء. قاله الجوهري في </w:t>
      </w:r>
      <w:r w:rsidR="00744A1C" w:rsidRPr="00E978C3">
        <w:rPr>
          <w:rStyle w:val="libFootnoteBoldChar"/>
          <w:rtl/>
        </w:rPr>
        <w:t>الصحاح</w:t>
      </w:r>
      <w:r w:rsidR="00744A1C">
        <w:rPr>
          <w:rtl/>
          <w:lang w:bidi="fa-IR"/>
        </w:rPr>
        <w:t xml:space="preserve"> ، ج 1 ، ص 291 ( لوث ). وفي </w:t>
      </w:r>
      <w:r w:rsidR="00744A1C" w:rsidRPr="00877682">
        <w:rPr>
          <w:rStyle w:val="libFootnoteBoldChar"/>
          <w:rtl/>
        </w:rPr>
        <w:t>مرآة العقول</w:t>
      </w:r>
      <w:r w:rsidR="00744A1C">
        <w:rPr>
          <w:rtl/>
          <w:lang w:bidi="fa-IR"/>
        </w:rPr>
        <w:t xml:space="preserve"> ، ج 19 ، ص 9 : « [ النفس ] قد تلتاث على صاحبها ، أي تبطئ وتحابس عن الطاعات ، أو تسترخي وتضعف عنها ، أو تقوى وتشجع على صاحبها ولا تطيعه ».</w:t>
      </w:r>
    </w:p>
    <w:p w:rsidR="00744A1C" w:rsidRDefault="00E378DD" w:rsidP="00E378DD">
      <w:pPr>
        <w:pStyle w:val="libFootnote0"/>
        <w:rPr>
          <w:lang w:bidi="fa-IR"/>
        </w:rPr>
      </w:pPr>
      <w:r>
        <w:rPr>
          <w:rtl/>
          <w:lang w:bidi="fa-IR"/>
        </w:rPr>
        <w:t>(4).</w:t>
      </w:r>
      <w:r w:rsidR="00744A1C">
        <w:rPr>
          <w:rtl/>
          <w:lang w:bidi="fa-IR"/>
        </w:rPr>
        <w:t xml:space="preserve"> في « ط » : - « لها ».</w:t>
      </w:r>
    </w:p>
    <w:p w:rsidR="00744A1C" w:rsidRDefault="00E378DD" w:rsidP="00BF6F84">
      <w:pPr>
        <w:pStyle w:val="libFootnote0"/>
        <w:rPr>
          <w:lang w:bidi="fa-IR"/>
        </w:rPr>
      </w:pPr>
      <w:r>
        <w:rPr>
          <w:rtl/>
          <w:lang w:bidi="fa-IR"/>
        </w:rPr>
        <w:t>(5).</w:t>
      </w:r>
      <w:r w:rsidR="00744A1C">
        <w:rPr>
          <w:rtl/>
          <w:lang w:bidi="fa-IR"/>
        </w:rPr>
        <w:t xml:space="preserve"> </w:t>
      </w:r>
      <w:r w:rsidR="00744A1C" w:rsidRPr="0061079A">
        <w:rPr>
          <w:rStyle w:val="libFootnoteBoldChar"/>
          <w:rtl/>
        </w:rPr>
        <w:t>الكافي</w:t>
      </w:r>
      <w:r w:rsidR="00744A1C">
        <w:rPr>
          <w:rtl/>
          <w:lang w:bidi="fa-IR"/>
        </w:rPr>
        <w:t xml:space="preserve"> ، كتاب المعيشة ، باب دخول الصوفيّة على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ضمن الحديث الطويل 8352 ، عن عليّ بن إبراهيم ، عن هارون بن مسلم ، عن مسعدة بن صدقة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عن سلمان رضي الله عنه. </w:t>
      </w:r>
      <w:r w:rsidR="00744A1C" w:rsidRPr="007D61A8">
        <w:rPr>
          <w:rStyle w:val="libFootnoteBoldChar"/>
          <w:rtl/>
        </w:rPr>
        <w:t>تحف العقول</w:t>
      </w:r>
      <w:r w:rsidR="00744A1C">
        <w:rPr>
          <w:rtl/>
          <w:lang w:bidi="fa-IR"/>
        </w:rPr>
        <w:t xml:space="preserve"> ، ص 351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عن سلمان </w:t>
      </w:r>
      <w:r w:rsidR="00BF6F84" w:rsidRPr="00BF6F84">
        <w:rPr>
          <w:rStyle w:val="libFootnoteAlaemChar"/>
          <w:rtl/>
        </w:rPr>
        <w:t>رضي‌الله‌عنه</w:t>
      </w:r>
      <w:r w:rsidR="00BF6F84" w:rsidRPr="00BF6F84">
        <w:rPr>
          <w:rtl/>
        </w:rPr>
        <w:t xml:space="preserve"> </w:t>
      </w:r>
      <w:r w:rsidR="00BF6F84">
        <w:rPr>
          <w:rFonts w:hint="cs"/>
          <w:rtl/>
        </w:rPr>
        <w:t>.</w:t>
      </w:r>
      <w:r w:rsidR="00744A1C" w:rsidRPr="00C24F9C">
        <w:rPr>
          <w:rStyle w:val="libFootnoteBoldChar"/>
          <w:rtl/>
        </w:rPr>
        <w:t>الوافي</w:t>
      </w:r>
      <w:r w:rsidR="00744A1C">
        <w:rPr>
          <w:rtl/>
          <w:lang w:bidi="fa-IR"/>
        </w:rPr>
        <w:t xml:space="preserve"> ، ج 17 ، ص 94 ، ح 16931 ؛ </w:t>
      </w:r>
      <w:r w:rsidR="00744A1C" w:rsidRPr="0061079A">
        <w:rPr>
          <w:rStyle w:val="libFootnoteBoldChar"/>
          <w:rtl/>
        </w:rPr>
        <w:t>البحار</w:t>
      </w:r>
      <w:r w:rsidR="00744A1C">
        <w:rPr>
          <w:rtl/>
          <w:lang w:bidi="fa-IR"/>
        </w:rPr>
        <w:t xml:space="preserve"> ، ج 22 ، ص 381 ، ح 15.</w:t>
      </w:r>
      <w:r w:rsidR="00BF6F84">
        <w:rPr>
          <w:rFonts w:hint="cs"/>
          <w:rtl/>
          <w:lang w:bidi="fa-IR"/>
        </w:rPr>
        <w:t xml:space="preserve">            </w:t>
      </w:r>
      <w:r>
        <w:rPr>
          <w:rtl/>
          <w:lang w:bidi="fa-IR"/>
        </w:rPr>
        <w:t>(6).</w:t>
      </w:r>
      <w:r w:rsidR="00744A1C">
        <w:rPr>
          <w:rtl/>
          <w:lang w:bidi="fa-IR"/>
        </w:rPr>
        <w:t xml:space="preserve"> في « ط ، ى ، بح ، بس ، جد » و</w:t>
      </w:r>
      <w:r w:rsidR="00744A1C" w:rsidRPr="00C24F9C">
        <w:rPr>
          <w:rStyle w:val="libFootnoteBoldChar"/>
          <w:rtl/>
        </w:rPr>
        <w:t>المرآة</w:t>
      </w:r>
      <w:r w:rsidR="00744A1C">
        <w:rPr>
          <w:rtl/>
          <w:lang w:bidi="fa-IR"/>
        </w:rPr>
        <w:t xml:space="preserve"> : « كراهة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17 ، ص 14 ، ح 17023 ؛ </w:t>
      </w:r>
      <w:r w:rsidR="00744A1C" w:rsidRPr="00C24F9C">
        <w:rPr>
          <w:rStyle w:val="libFootnoteBoldChar"/>
          <w:rtl/>
        </w:rPr>
        <w:t>الوسائل</w:t>
      </w:r>
      <w:r w:rsidR="00744A1C">
        <w:rPr>
          <w:rtl/>
          <w:lang w:bidi="fa-IR"/>
        </w:rPr>
        <w:t xml:space="preserve"> ، ج 17 ، ص 238 ، ح 22421 ؛ وج 19 ، ص 103 ، ح 24244.</w:t>
      </w:r>
    </w:p>
    <w:p w:rsidR="006A5060" w:rsidRDefault="006A5060" w:rsidP="00D10E3C">
      <w:pPr>
        <w:pStyle w:val="libNormal"/>
        <w:rPr>
          <w:rtl/>
          <w:lang w:bidi="fa-IR"/>
        </w:rPr>
      </w:pPr>
      <w:r>
        <w:rPr>
          <w:rtl/>
          <w:lang w:bidi="fa-IR"/>
        </w:rPr>
        <w:br w:type="page"/>
      </w:r>
    </w:p>
    <w:p w:rsidR="00144FA6" w:rsidRDefault="00BF6F84" w:rsidP="00744A1C">
      <w:pPr>
        <w:pStyle w:val="libNormal"/>
        <w:rPr>
          <w:rtl/>
          <w:lang w:bidi="fa-IR"/>
        </w:rPr>
      </w:pPr>
      <w:r>
        <w:rPr>
          <w:rFonts w:hint="cs"/>
          <w:rtl/>
          <w:lang w:bidi="fa-IR"/>
        </w:rPr>
        <w:t xml:space="preserve">* </w:t>
      </w:r>
      <w:r w:rsidR="00744A1C">
        <w:rPr>
          <w:rtl/>
          <w:lang w:bidi="fa-IR"/>
        </w:rPr>
        <w:t xml:space="preserve">وَفِي رِوَايَةٍ أُخْرى : « وَكَيْفَ </w:t>
      </w:r>
      <w:r w:rsidR="00744A1C" w:rsidRPr="00D10E3C">
        <w:rPr>
          <w:rStyle w:val="libFootnotenumChar"/>
          <w:rtl/>
        </w:rPr>
        <w:t>(1)</w:t>
      </w:r>
      <w:r w:rsidR="00744A1C">
        <w:rPr>
          <w:rtl/>
          <w:lang w:bidi="fa-IR"/>
        </w:rPr>
        <w:t xml:space="preserve"> لَايَحْظُرُهُ ، وَمَا أَصَابَ فِيهِ </w:t>
      </w:r>
      <w:r w:rsidR="00744A1C" w:rsidRPr="00D10E3C">
        <w:rPr>
          <w:rStyle w:val="libFootnotenumChar"/>
          <w:rtl/>
        </w:rPr>
        <w:t>(2)</w:t>
      </w:r>
      <w:r w:rsidR="00744A1C">
        <w:rPr>
          <w:rtl/>
          <w:lang w:bidi="fa-IR"/>
        </w:rPr>
        <w:t xml:space="preserve"> فَهُوَ لِرَبِّهِ الَّذِي آجَرَهُ ». </w:t>
      </w:r>
      <w:r w:rsidR="00744A1C" w:rsidRPr="00D10E3C">
        <w:rPr>
          <w:rStyle w:val="libFootnotenumChar"/>
          <w:rtl/>
        </w:rPr>
        <w:t>(3)</w:t>
      </w:r>
    </w:p>
    <w:p w:rsidR="00144FA6" w:rsidRDefault="00744A1C" w:rsidP="00744A1C">
      <w:pPr>
        <w:pStyle w:val="libNormal"/>
        <w:rPr>
          <w:rtl/>
          <w:lang w:bidi="fa-IR"/>
        </w:rPr>
      </w:pPr>
      <w:r>
        <w:rPr>
          <w:rtl/>
          <w:lang w:bidi="fa-IR"/>
        </w:rPr>
        <w:t>8445 / 2. عَلِيُّ بْنُ مُحَمَّدِ بْنِ بُنْدَارَ ، عَنْ أَحْمَدَ بْنِ أَبِي عَبْدِ اللهِ ، عَ</w:t>
      </w:r>
      <w:r w:rsidR="0028680D">
        <w:rPr>
          <w:rtl/>
          <w:lang w:bidi="fa-IR"/>
        </w:rPr>
        <w:t>نْ أَبِيهِ ، عَنِ ابْنِ سِنَانٍ</w:t>
      </w:r>
      <w:r>
        <w:rPr>
          <w:rtl/>
          <w:lang w:bidi="fa-IR"/>
        </w:rPr>
        <w:t>:</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قَالَ : سَأَلْتُهُ عَنِ الْإِجَارَةِ؟</w:t>
      </w:r>
    </w:p>
    <w:p w:rsidR="00744A1C" w:rsidRDefault="00744A1C" w:rsidP="00744A1C">
      <w:pPr>
        <w:pStyle w:val="libNormal"/>
        <w:rPr>
          <w:lang w:bidi="fa-IR"/>
        </w:rPr>
      </w:pPr>
      <w:r>
        <w:rPr>
          <w:rtl/>
          <w:lang w:bidi="fa-IR"/>
        </w:rPr>
        <w:t xml:space="preserve">فَقَالَ : « صَالِحٌ </w:t>
      </w:r>
      <w:r w:rsidRPr="00D10E3C">
        <w:rPr>
          <w:rStyle w:val="libFootnotenumChar"/>
          <w:rtl/>
        </w:rPr>
        <w:t>(4)</w:t>
      </w:r>
      <w:r>
        <w:rPr>
          <w:rtl/>
          <w:lang w:bidi="fa-IR"/>
        </w:rPr>
        <w:t xml:space="preserve"> ، لَابَأْسَ بِهِ </w:t>
      </w:r>
      <w:r w:rsidRPr="00D10E3C">
        <w:rPr>
          <w:rStyle w:val="libFootnotenumChar"/>
          <w:rtl/>
        </w:rPr>
        <w:t>(5)</w:t>
      </w:r>
      <w:r>
        <w:rPr>
          <w:rtl/>
          <w:lang w:bidi="fa-IR"/>
        </w:rPr>
        <w:t xml:space="preserve"> إِذَا نَصَحَ قَدْرَ طَاقَتِهِ ؛ قَدْ </w:t>
      </w:r>
      <w:r w:rsidRPr="00D10E3C">
        <w:rPr>
          <w:rStyle w:val="libFootnotenumChar"/>
          <w:rtl/>
        </w:rPr>
        <w:t>(6)</w:t>
      </w:r>
      <w:r>
        <w:rPr>
          <w:rtl/>
          <w:lang w:bidi="fa-IR"/>
        </w:rPr>
        <w:t xml:space="preserve"> آجَرَ مُوسى </w:t>
      </w:r>
      <w:r w:rsidR="0061079A" w:rsidRPr="0061079A">
        <w:rPr>
          <w:rStyle w:val="libAlaemChar"/>
          <w:rtl/>
        </w:rPr>
        <w:t>عليه‌السلام</w:t>
      </w:r>
      <w:r w:rsidR="00D10E3C">
        <w:rPr>
          <w:rtl/>
          <w:lang w:bidi="fa-IR"/>
        </w:rPr>
        <w:t xml:space="preserve"> </w:t>
      </w:r>
      <w:r>
        <w:rPr>
          <w:rtl/>
          <w:lang w:bidi="fa-IR"/>
        </w:rPr>
        <w:t xml:space="preserve">نَفْسَهُ وَاشْتَرَطَ </w:t>
      </w:r>
      <w:r w:rsidRPr="00D10E3C">
        <w:rPr>
          <w:rStyle w:val="libFootnotenumChar"/>
          <w:rtl/>
        </w:rPr>
        <w:t>(7)</w:t>
      </w:r>
      <w:r>
        <w:rPr>
          <w:rtl/>
          <w:lang w:bidi="fa-IR"/>
        </w:rPr>
        <w:t xml:space="preserve"> ، فَقَالَ : إِنْ شِئْتُ ثَمَانِيَ </w:t>
      </w:r>
      <w:r w:rsidRPr="00D10E3C">
        <w:rPr>
          <w:rStyle w:val="libFootnotenumChar"/>
          <w:rtl/>
        </w:rPr>
        <w:t>(8)</w:t>
      </w:r>
      <w:r>
        <w:rPr>
          <w:rtl/>
          <w:lang w:bidi="fa-IR"/>
        </w:rPr>
        <w:t xml:space="preserve"> ؛ وَإِنْ شِئْتُ عَشْراً ، فَأَنْزَلَ </w:t>
      </w:r>
      <w:r w:rsidRPr="00D10E3C">
        <w:rPr>
          <w:rStyle w:val="libFootnotenumChar"/>
          <w:rtl/>
        </w:rPr>
        <w:t>(9)</w:t>
      </w:r>
      <w:r>
        <w:rPr>
          <w:rtl/>
          <w:lang w:bidi="fa-IR"/>
        </w:rPr>
        <w:t xml:space="preserve"> اللهُ - عَزَّ وَجَلَّ - فِيهِ : </w:t>
      </w:r>
      <w:r w:rsidRPr="005D2B3B">
        <w:rPr>
          <w:rStyle w:val="libAlaemChar"/>
          <w:rtl/>
        </w:rPr>
        <w:t>(</w:t>
      </w:r>
      <w:r w:rsidRPr="005D2B3B">
        <w:rPr>
          <w:rStyle w:val="libAieChar"/>
          <w:rtl/>
        </w:rPr>
        <w:t xml:space="preserve"> أَنْ تَأْجُرَنِي ثَمانِيَ حِجَجٍ فَإِنْ أَتْمَمْتَ عَشْراً فَمِنْ عِنْدِكَ </w:t>
      </w:r>
      <w:r w:rsidRPr="005D2B3B">
        <w:rPr>
          <w:rStyle w:val="libAlaemChar"/>
          <w:rtl/>
        </w:rPr>
        <w:t>)</w:t>
      </w:r>
      <w:r>
        <w:rPr>
          <w:rtl/>
          <w:lang w:bidi="fa-IR"/>
        </w:rPr>
        <w:t xml:space="preserve"> </w:t>
      </w:r>
      <w:r w:rsidRPr="00D10E3C">
        <w:rPr>
          <w:rStyle w:val="libFootnotenumChar"/>
          <w:rtl/>
        </w:rPr>
        <w:t>(10)</w:t>
      </w:r>
      <w:r>
        <w:rPr>
          <w:rtl/>
          <w:lang w:bidi="fa-IR"/>
        </w:rPr>
        <w:t xml:space="preserve"> ». </w:t>
      </w:r>
      <w:r w:rsidRPr="00D10E3C">
        <w:rPr>
          <w:rStyle w:val="libFootnotenumChar"/>
          <w:rtl/>
        </w:rPr>
        <w:t>(11)</w:t>
      </w:r>
    </w:p>
    <w:p w:rsidR="00144FA6" w:rsidRDefault="00744A1C" w:rsidP="00744A1C">
      <w:pPr>
        <w:pStyle w:val="libNormal"/>
        <w:rPr>
          <w:rtl/>
          <w:lang w:bidi="fa-IR"/>
        </w:rPr>
      </w:pPr>
      <w:r>
        <w:rPr>
          <w:rtl/>
          <w:lang w:bidi="fa-IR"/>
        </w:rPr>
        <w:t xml:space="preserve">‌8446 / 3. أَحْمَدُ </w:t>
      </w:r>
      <w:r w:rsidRPr="00D10E3C">
        <w:rPr>
          <w:rStyle w:val="libFootnotenumChar"/>
          <w:rtl/>
        </w:rPr>
        <w:t>(12)</w:t>
      </w:r>
      <w:r>
        <w:rPr>
          <w:rtl/>
          <w:lang w:bidi="fa-IR"/>
        </w:rPr>
        <w:t xml:space="preserve"> ، عَنْ أَبِيهِ ، عَنْ مُحَمَّدِ بْنِ عَمْرٍو </w:t>
      </w:r>
      <w:r w:rsidRPr="00D10E3C">
        <w:rPr>
          <w:rStyle w:val="libFootnotenumChar"/>
          <w:rtl/>
        </w:rPr>
        <w:t>(13)</w:t>
      </w:r>
      <w:r>
        <w:rPr>
          <w:rtl/>
          <w:lang w:bidi="fa-IR"/>
        </w:rPr>
        <w:t xml:space="preserve"> ، عَنْ عَمَّارٍ السَّابَاطِيِّ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الرَّجُلُ يَتَّجِرُ ، فَإِنْ هُوَ آجَرَ نَفْسَهُ ، أُعْطِيَ </w:t>
      </w:r>
      <w:r w:rsidRPr="00D10E3C">
        <w:rPr>
          <w:rStyle w:val="libFootnotenumChar"/>
          <w:rtl/>
        </w:rPr>
        <w:t>(14)</w:t>
      </w:r>
      <w:r>
        <w:rPr>
          <w:rtl/>
          <w:lang w:bidi="fa-IR"/>
        </w:rPr>
        <w:t xml:space="preserve"> مَا </w:t>
      </w:r>
      <w:r w:rsidRPr="00D10E3C">
        <w:rPr>
          <w:rStyle w:val="libFootnotenumChar"/>
          <w:rtl/>
        </w:rPr>
        <w:t>(15)</w:t>
      </w:r>
      <w:r>
        <w:rPr>
          <w:rtl/>
          <w:lang w:bidi="fa-IR"/>
        </w:rPr>
        <w:t xml:space="preserve"> يُصِيبُ‌ فِي </w:t>
      </w:r>
      <w:r w:rsidRPr="00D10E3C">
        <w:rPr>
          <w:rStyle w:val="libFootnotenumChar"/>
          <w:rtl/>
        </w:rPr>
        <w:t>(16)</w:t>
      </w:r>
      <w:r>
        <w:rPr>
          <w:rtl/>
          <w:lang w:bidi="fa-IR"/>
        </w:rPr>
        <w:t xml:space="preserve"> تِجَارَتِهِ.</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28680D" w:rsidTr="0028680D">
        <w:tc>
          <w:tcPr>
            <w:tcW w:w="4006" w:type="dxa"/>
          </w:tcPr>
          <w:p w:rsidR="0028680D" w:rsidRDefault="0028680D" w:rsidP="00E378DD">
            <w:pPr>
              <w:pStyle w:val="libFootnote0"/>
              <w:rPr>
                <w:rtl/>
                <w:lang w:bidi="fa-IR"/>
              </w:rPr>
            </w:pPr>
            <w:r>
              <w:rPr>
                <w:rtl/>
                <w:lang w:bidi="fa-IR"/>
              </w:rPr>
              <w:t xml:space="preserve">(1). في « بح » </w:t>
            </w:r>
            <w:r w:rsidRPr="0028680D">
              <w:rPr>
                <w:rtl/>
              </w:rPr>
              <w:t>والوسائل</w:t>
            </w:r>
            <w:r>
              <w:rPr>
                <w:rtl/>
                <w:lang w:bidi="fa-IR"/>
              </w:rPr>
              <w:t xml:space="preserve"> : « كيف » بدون الواو.</w:t>
            </w:r>
          </w:p>
        </w:tc>
        <w:tc>
          <w:tcPr>
            <w:tcW w:w="4006" w:type="dxa"/>
          </w:tcPr>
          <w:p w:rsidR="0028680D" w:rsidRDefault="0028680D" w:rsidP="00E378DD">
            <w:pPr>
              <w:pStyle w:val="libFootnote0"/>
              <w:rPr>
                <w:rtl/>
                <w:lang w:bidi="fa-IR"/>
              </w:rPr>
            </w:pPr>
            <w:r>
              <w:rPr>
                <w:rtl/>
                <w:lang w:bidi="fa-IR"/>
              </w:rPr>
              <w:t>(2). في «ط،بح ،بس،جد » و</w:t>
            </w:r>
            <w:r w:rsidRPr="00C24F9C">
              <w:rPr>
                <w:rStyle w:val="libFootnoteBoldChar"/>
                <w:rtl/>
              </w:rPr>
              <w:t>الوسائل</w:t>
            </w:r>
            <w:r>
              <w:rPr>
                <w:rtl/>
                <w:lang w:bidi="fa-IR"/>
              </w:rPr>
              <w:t xml:space="preserve"> : - « فيه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17 ، ص 147 ، ح 17024 ؛ </w:t>
      </w:r>
      <w:r w:rsidR="00744A1C" w:rsidRPr="00C24F9C">
        <w:rPr>
          <w:rStyle w:val="libFootnoteBoldChar"/>
          <w:rtl/>
        </w:rPr>
        <w:t>الوسائل</w:t>
      </w:r>
      <w:r w:rsidR="00744A1C">
        <w:rPr>
          <w:rtl/>
          <w:lang w:bidi="fa-IR"/>
        </w:rPr>
        <w:t xml:space="preserve"> ، ج 17 ، ص 238 ، ح 22421 ؛ وج 19 ، ص 103 ، ح 24245.</w:t>
      </w:r>
    </w:p>
    <w:tbl>
      <w:tblPr>
        <w:tblStyle w:val="TableGrid"/>
        <w:bidiVisual/>
        <w:tblW w:w="0" w:type="auto"/>
        <w:tblLook w:val="04A0" w:firstRow="1" w:lastRow="0" w:firstColumn="1" w:lastColumn="0" w:noHBand="0" w:noVBand="1"/>
      </w:tblPr>
      <w:tblGrid>
        <w:gridCol w:w="4006"/>
        <w:gridCol w:w="4006"/>
      </w:tblGrid>
      <w:tr w:rsidR="00201AC5" w:rsidTr="00201AC5">
        <w:tc>
          <w:tcPr>
            <w:tcW w:w="4006" w:type="dxa"/>
          </w:tcPr>
          <w:p w:rsidR="00201AC5" w:rsidRDefault="00201AC5" w:rsidP="00E378DD">
            <w:pPr>
              <w:pStyle w:val="libFootnote0"/>
              <w:rPr>
                <w:rtl/>
                <w:lang w:bidi="fa-IR"/>
              </w:rPr>
            </w:pPr>
            <w:r>
              <w:rPr>
                <w:rtl/>
                <w:lang w:bidi="fa-IR"/>
              </w:rPr>
              <w:t>(4). في « بخ ، بف » : « صلح ».</w:t>
            </w:r>
          </w:p>
        </w:tc>
        <w:tc>
          <w:tcPr>
            <w:tcW w:w="4006" w:type="dxa"/>
          </w:tcPr>
          <w:p w:rsidR="00201AC5" w:rsidRDefault="00201AC5" w:rsidP="00E378DD">
            <w:pPr>
              <w:pStyle w:val="libFootnote0"/>
              <w:rPr>
                <w:rtl/>
                <w:lang w:bidi="fa-IR"/>
              </w:rPr>
            </w:pPr>
            <w:r>
              <w:rPr>
                <w:rtl/>
                <w:lang w:bidi="fa-IR"/>
              </w:rPr>
              <w:t>(5). في الاستبصار : « للناس » بدل « لا بأس به ».</w:t>
            </w:r>
          </w:p>
        </w:tc>
      </w:tr>
      <w:tr w:rsidR="00201AC5" w:rsidTr="00201AC5">
        <w:tc>
          <w:tcPr>
            <w:tcW w:w="4006" w:type="dxa"/>
          </w:tcPr>
          <w:p w:rsidR="00201AC5" w:rsidRDefault="00201AC5" w:rsidP="00E378DD">
            <w:pPr>
              <w:pStyle w:val="libFootnote0"/>
              <w:rPr>
                <w:rtl/>
                <w:lang w:bidi="fa-IR"/>
              </w:rPr>
            </w:pPr>
            <w:r>
              <w:rPr>
                <w:rtl/>
                <w:lang w:bidi="fa-IR"/>
              </w:rPr>
              <w:t>(6). في</w:t>
            </w:r>
            <w:r w:rsidRPr="00201AC5">
              <w:rPr>
                <w:rtl/>
              </w:rPr>
              <w:t xml:space="preserve"> الوسائل والتهذيب</w:t>
            </w:r>
            <w:r>
              <w:rPr>
                <w:rtl/>
                <w:lang w:bidi="fa-IR"/>
              </w:rPr>
              <w:t xml:space="preserve"> : « فقد ».</w:t>
            </w:r>
          </w:p>
        </w:tc>
        <w:tc>
          <w:tcPr>
            <w:tcW w:w="4006" w:type="dxa"/>
          </w:tcPr>
          <w:p w:rsidR="00201AC5" w:rsidRDefault="00201AC5" w:rsidP="00E378DD">
            <w:pPr>
              <w:pStyle w:val="libFootnote0"/>
              <w:rPr>
                <w:rtl/>
                <w:lang w:bidi="fa-IR"/>
              </w:rPr>
            </w:pPr>
            <w:r>
              <w:rPr>
                <w:rtl/>
                <w:lang w:bidi="fa-IR"/>
              </w:rPr>
              <w:t>(7). في « بح » : - « واشتراط ».</w:t>
            </w:r>
          </w:p>
        </w:tc>
      </w:tr>
      <w:tr w:rsidR="00201AC5" w:rsidTr="00201AC5">
        <w:tc>
          <w:tcPr>
            <w:tcW w:w="4006" w:type="dxa"/>
          </w:tcPr>
          <w:p w:rsidR="00201AC5" w:rsidRDefault="00201AC5" w:rsidP="00E378DD">
            <w:pPr>
              <w:pStyle w:val="libFootnote0"/>
              <w:rPr>
                <w:rtl/>
                <w:lang w:bidi="fa-IR"/>
              </w:rPr>
            </w:pPr>
            <w:r>
              <w:rPr>
                <w:rtl/>
                <w:lang w:bidi="fa-IR"/>
              </w:rPr>
              <w:t xml:space="preserve">(8). في </w:t>
            </w:r>
            <w:r w:rsidRPr="00201AC5">
              <w:rPr>
                <w:rtl/>
              </w:rPr>
              <w:t>الوافي</w:t>
            </w:r>
            <w:r>
              <w:rPr>
                <w:rtl/>
                <w:lang w:bidi="fa-IR"/>
              </w:rPr>
              <w:t xml:space="preserve"> : « ثمانياً ».</w:t>
            </w:r>
          </w:p>
        </w:tc>
        <w:tc>
          <w:tcPr>
            <w:tcW w:w="4006" w:type="dxa"/>
          </w:tcPr>
          <w:p w:rsidR="00201AC5" w:rsidRDefault="00B8736D" w:rsidP="00E378DD">
            <w:pPr>
              <w:pStyle w:val="libFootnote0"/>
              <w:rPr>
                <w:rtl/>
                <w:lang w:bidi="fa-IR"/>
              </w:rPr>
            </w:pPr>
            <w:r>
              <w:rPr>
                <w:rtl/>
                <w:lang w:bidi="fa-IR"/>
              </w:rPr>
              <w:t>(9). في « ط ، ى ، جد » : « وأنزل ».</w:t>
            </w:r>
          </w:p>
        </w:tc>
      </w:tr>
    </w:tbl>
    <w:p w:rsidR="00744A1C" w:rsidRDefault="00E378DD" w:rsidP="00E378DD">
      <w:pPr>
        <w:pStyle w:val="libFootnote0"/>
        <w:rPr>
          <w:lang w:bidi="fa-IR"/>
        </w:rPr>
      </w:pPr>
      <w:r>
        <w:rPr>
          <w:rtl/>
          <w:lang w:bidi="fa-IR"/>
        </w:rPr>
        <w:t>(10).</w:t>
      </w:r>
      <w:r w:rsidR="00744A1C">
        <w:rPr>
          <w:rtl/>
          <w:lang w:bidi="fa-IR"/>
        </w:rPr>
        <w:t xml:space="preserve"> القصص (28) : 27.</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353 ، ح 1003 ؛ </w:t>
      </w:r>
      <w:r w:rsidR="00744A1C" w:rsidRPr="00C24F9C">
        <w:rPr>
          <w:rStyle w:val="libFootnoteBoldChar"/>
          <w:rtl/>
        </w:rPr>
        <w:t>والاستبصار</w:t>
      </w:r>
      <w:r w:rsidR="00744A1C">
        <w:rPr>
          <w:rtl/>
          <w:lang w:bidi="fa-IR"/>
        </w:rPr>
        <w:t xml:space="preserve"> ، ج 3 ، ص 55 ، ح 178 ، معلّقاً عن أحمد بن محمّد ، عن أبيه ، عن ابن سنان. </w:t>
      </w:r>
      <w:r w:rsidR="00744A1C" w:rsidRPr="00C24F9C">
        <w:rPr>
          <w:rStyle w:val="libFootnoteBoldChar"/>
          <w:rtl/>
        </w:rPr>
        <w:t>الفقيه</w:t>
      </w:r>
      <w:r w:rsidR="00744A1C">
        <w:rPr>
          <w:rtl/>
          <w:lang w:bidi="fa-IR"/>
        </w:rPr>
        <w:t xml:space="preserve"> ، ج 3 ، ص 173 ، ح 3655 ، معلّقاً عن محمّد بن خالد البرقي ، عن محمّد بن سنان </w:t>
      </w:r>
      <w:r w:rsidR="00904A7F">
        <w:rPr>
          <w:rFonts w:hint="cs"/>
          <w:rtl/>
          <w:lang w:bidi="fa-IR"/>
        </w:rPr>
        <w:t>.</w:t>
      </w:r>
      <w:r w:rsidR="00744A1C" w:rsidRPr="00C24F9C">
        <w:rPr>
          <w:rStyle w:val="libFootnoteBoldChar"/>
          <w:rtl/>
        </w:rPr>
        <w:t>الوافي</w:t>
      </w:r>
      <w:r w:rsidR="00744A1C">
        <w:rPr>
          <w:rtl/>
          <w:lang w:bidi="fa-IR"/>
        </w:rPr>
        <w:t xml:space="preserve"> ، ج 17 ، ص 147 ، ح 17026 ؛ </w:t>
      </w:r>
      <w:r w:rsidR="00744A1C" w:rsidRPr="00C24F9C">
        <w:rPr>
          <w:rStyle w:val="libFootnoteBoldChar"/>
          <w:rtl/>
        </w:rPr>
        <w:t>الوسائل</w:t>
      </w:r>
      <w:r w:rsidR="00744A1C">
        <w:rPr>
          <w:rtl/>
          <w:lang w:bidi="fa-IR"/>
        </w:rPr>
        <w:t xml:space="preserve"> ، ج 17 ، ص 238 ، ح 22422.</w:t>
      </w:r>
    </w:p>
    <w:p w:rsidR="00744A1C" w:rsidRDefault="00E378DD" w:rsidP="00E378DD">
      <w:pPr>
        <w:pStyle w:val="libFootnote0"/>
        <w:rPr>
          <w:lang w:bidi="fa-IR"/>
        </w:rPr>
      </w:pPr>
      <w:r>
        <w:rPr>
          <w:rtl/>
          <w:lang w:bidi="fa-IR"/>
        </w:rPr>
        <w:t>(12).</w:t>
      </w:r>
      <w:r w:rsidR="00744A1C">
        <w:rPr>
          <w:rtl/>
          <w:lang w:bidi="fa-IR"/>
        </w:rPr>
        <w:t xml:space="preserve"> السند معلّق على سابقه. ويروي عن أحمد ، عليّ بن محمّد بن بندار.</w:t>
      </w:r>
    </w:p>
    <w:p w:rsidR="00744A1C" w:rsidRDefault="00E378DD" w:rsidP="00E378DD">
      <w:pPr>
        <w:pStyle w:val="libFootnote0"/>
        <w:rPr>
          <w:lang w:bidi="fa-IR"/>
        </w:rPr>
      </w:pPr>
      <w:r>
        <w:rPr>
          <w:rtl/>
          <w:lang w:bidi="fa-IR"/>
        </w:rPr>
        <w:t>(13).</w:t>
      </w:r>
      <w:r w:rsidR="00744A1C">
        <w:rPr>
          <w:rtl/>
          <w:lang w:bidi="fa-IR"/>
        </w:rPr>
        <w:t xml:space="preserve"> الخبر رواه الشيخ الصدوق في </w:t>
      </w:r>
      <w:r w:rsidR="00744A1C" w:rsidRPr="00C24F9C">
        <w:rPr>
          <w:rStyle w:val="libFootnoteBoldChar"/>
          <w:rtl/>
        </w:rPr>
        <w:t>الفقيه</w:t>
      </w:r>
      <w:r w:rsidR="00744A1C">
        <w:rPr>
          <w:rtl/>
          <w:lang w:bidi="fa-IR"/>
        </w:rPr>
        <w:t xml:space="preserve"> ، ج 3 ، ص 174 ، ح 3656 ، قال : « وروى محمّد بن عمرو بن أبي المقدام ، عن عمّار الساباطي ».</w:t>
      </w:r>
    </w:p>
    <w:p w:rsidR="00744A1C" w:rsidRDefault="00744A1C" w:rsidP="00D10E3C">
      <w:pPr>
        <w:pStyle w:val="libFootnote0"/>
        <w:rPr>
          <w:lang w:bidi="fa-IR"/>
        </w:rPr>
      </w:pPr>
      <w:r>
        <w:rPr>
          <w:rtl/>
          <w:lang w:bidi="fa-IR"/>
        </w:rPr>
        <w:t>ولم نجد لمحمّد بن عمرو بن أبي المقدام ذكراً في الأسناد ولا في كتب الرجال.</w:t>
      </w:r>
    </w:p>
    <w:tbl>
      <w:tblPr>
        <w:tblStyle w:val="TableGrid"/>
        <w:bidiVisual/>
        <w:tblW w:w="0" w:type="auto"/>
        <w:tblLook w:val="04A0" w:firstRow="1" w:lastRow="0" w:firstColumn="1" w:lastColumn="0" w:noHBand="0" w:noVBand="1"/>
      </w:tblPr>
      <w:tblGrid>
        <w:gridCol w:w="4006"/>
        <w:gridCol w:w="4006"/>
      </w:tblGrid>
      <w:tr w:rsidR="00904A7F" w:rsidTr="00904A7F">
        <w:tc>
          <w:tcPr>
            <w:tcW w:w="4006" w:type="dxa"/>
          </w:tcPr>
          <w:p w:rsidR="00904A7F" w:rsidRDefault="00904A7F" w:rsidP="00E378DD">
            <w:pPr>
              <w:pStyle w:val="libFootnote0"/>
              <w:rPr>
                <w:rtl/>
                <w:lang w:bidi="fa-IR"/>
              </w:rPr>
            </w:pPr>
            <w:r>
              <w:rPr>
                <w:rtl/>
                <w:lang w:bidi="fa-IR"/>
              </w:rPr>
              <w:t>(14). في « بخ » و</w:t>
            </w:r>
            <w:r w:rsidRPr="00C24F9C">
              <w:rPr>
                <w:rStyle w:val="libFootnoteBoldChar"/>
                <w:rtl/>
              </w:rPr>
              <w:t>الفقيه</w:t>
            </w:r>
            <w:r>
              <w:rPr>
                <w:rtl/>
                <w:lang w:bidi="fa-IR"/>
              </w:rPr>
              <w:t xml:space="preserve"> : + « أكثر ».</w:t>
            </w:r>
          </w:p>
        </w:tc>
        <w:tc>
          <w:tcPr>
            <w:tcW w:w="4006" w:type="dxa"/>
          </w:tcPr>
          <w:p w:rsidR="00904A7F" w:rsidRDefault="00904A7F" w:rsidP="00E378DD">
            <w:pPr>
              <w:pStyle w:val="libFootnote0"/>
              <w:rPr>
                <w:rtl/>
                <w:lang w:bidi="fa-IR"/>
              </w:rPr>
            </w:pPr>
            <w:r>
              <w:rPr>
                <w:rtl/>
                <w:lang w:bidi="fa-IR"/>
              </w:rPr>
              <w:t xml:space="preserve">(15). في </w:t>
            </w:r>
            <w:r w:rsidRPr="00C24F9C">
              <w:rPr>
                <w:rStyle w:val="libFootnoteBoldChar"/>
                <w:rtl/>
              </w:rPr>
              <w:t>الفقيه</w:t>
            </w:r>
            <w:r>
              <w:rPr>
                <w:rtl/>
                <w:lang w:bidi="fa-IR"/>
              </w:rPr>
              <w:t xml:space="preserve"> : « ممّا ».</w:t>
            </w:r>
          </w:p>
        </w:tc>
      </w:tr>
    </w:tbl>
    <w:p w:rsidR="00744A1C" w:rsidRDefault="00744A1C" w:rsidP="00D10E3C">
      <w:pPr>
        <w:pStyle w:val="libFootnote0"/>
        <w:rPr>
          <w:lang w:bidi="fa-IR"/>
        </w:rPr>
      </w:pPr>
      <w:r>
        <w:rPr>
          <w:rtl/>
          <w:lang w:bidi="fa-IR"/>
        </w:rPr>
        <w:t xml:space="preserve">(16) في « بخ ، بف » </w:t>
      </w:r>
      <w:r w:rsidRPr="00904A7F">
        <w:rPr>
          <w:rtl/>
        </w:rPr>
        <w:t>والوافي : «</w:t>
      </w:r>
      <w:r>
        <w:rPr>
          <w:rtl/>
          <w:lang w:bidi="fa-IR"/>
        </w:rPr>
        <w:t xml:space="preserve"> من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فَقَالَ : « لَا يُؤَاجِرْ نَفْسَهُ ، وَلكِنْ يَسْتَرْزِقُ اللهَ - عَزَّ وَجَلَّ - وَيَتَّجِرُ </w:t>
      </w:r>
      <w:r w:rsidRPr="00D10E3C">
        <w:rPr>
          <w:rStyle w:val="libFootnotenumChar"/>
          <w:rtl/>
        </w:rPr>
        <w:t>(1)</w:t>
      </w:r>
      <w:r>
        <w:rPr>
          <w:rtl/>
          <w:lang w:bidi="fa-IR"/>
        </w:rPr>
        <w:t xml:space="preserve"> ؛ فَإِنَّهُ إِذَا آجَرَ نَفْسَهُ ، حَظَرَ عَلى نَفْسِهِ الرِّزْقَ </w:t>
      </w:r>
      <w:r w:rsidRPr="00D10E3C">
        <w:rPr>
          <w:rStyle w:val="libFootnotenumChar"/>
          <w:rtl/>
        </w:rPr>
        <w:t>(2)</w:t>
      </w:r>
      <w:r>
        <w:rPr>
          <w:rtl/>
          <w:lang w:bidi="fa-IR"/>
        </w:rPr>
        <w:t xml:space="preserve"> ». </w:t>
      </w:r>
      <w:r w:rsidRPr="00D10E3C">
        <w:rPr>
          <w:rStyle w:val="libFootnotenumChar"/>
          <w:rtl/>
        </w:rPr>
        <w:t>(3)</w:t>
      </w:r>
    </w:p>
    <w:p w:rsidR="00144FA6" w:rsidRDefault="00744A1C" w:rsidP="008A3EFC">
      <w:pPr>
        <w:pStyle w:val="Heading2Center"/>
        <w:rPr>
          <w:rtl/>
          <w:lang w:bidi="fa-IR"/>
        </w:rPr>
      </w:pPr>
      <w:bookmarkStart w:id="140" w:name="_Toc49261438"/>
      <w:r>
        <w:rPr>
          <w:rtl/>
          <w:lang w:bidi="fa-IR"/>
        </w:rPr>
        <w:t xml:space="preserve">17 - بَابُ مُبَاشَرَةِ الْأَشْيَاءِ بِنَفْسِهِ </w:t>
      </w:r>
      <w:r w:rsidRPr="00D10E3C">
        <w:rPr>
          <w:rStyle w:val="libFootnotenumChar"/>
          <w:rtl/>
        </w:rPr>
        <w:t>(4)</w:t>
      </w:r>
      <w:bookmarkEnd w:id="140"/>
    </w:p>
    <w:p w:rsidR="00144FA6" w:rsidRDefault="00744A1C" w:rsidP="00744A1C">
      <w:pPr>
        <w:pStyle w:val="libNormal"/>
        <w:rPr>
          <w:rtl/>
          <w:lang w:bidi="fa-IR"/>
        </w:rPr>
      </w:pPr>
      <w:r>
        <w:rPr>
          <w:rtl/>
          <w:lang w:bidi="fa-IR"/>
        </w:rPr>
        <w:t xml:space="preserve">8447 / 1. عَلِيُّ بْنُ إِبْرَاهِيمَ ، عَنْ مُحَمَّدِ بْنِ عِيسَى بْنِ عُبَيْدٍ </w:t>
      </w:r>
      <w:r w:rsidRPr="00D10E3C">
        <w:rPr>
          <w:rStyle w:val="libFootnotenumChar"/>
          <w:rtl/>
        </w:rPr>
        <w:t>(5)</w:t>
      </w:r>
      <w:r>
        <w:rPr>
          <w:rtl/>
          <w:lang w:bidi="fa-IR"/>
        </w:rPr>
        <w:t xml:space="preserve"> ، عَنْ يُونُسَ ، عَنْ رَجُلٍ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w:t>
      </w:r>
      <w:r w:rsidRPr="00D10E3C">
        <w:rPr>
          <w:rStyle w:val="libFootnotenumChar"/>
          <w:rtl/>
        </w:rPr>
        <w:t>(6)</w:t>
      </w:r>
      <w:r>
        <w:rPr>
          <w:rtl/>
          <w:lang w:bidi="fa-IR"/>
        </w:rPr>
        <w:t xml:space="preserve"> قَالَ </w:t>
      </w:r>
      <w:r w:rsidRPr="00D10E3C">
        <w:rPr>
          <w:rStyle w:val="libFootnotenumChar"/>
          <w:rtl/>
        </w:rPr>
        <w:t>(7)</w:t>
      </w:r>
      <w:r>
        <w:rPr>
          <w:rtl/>
          <w:lang w:bidi="fa-IR"/>
        </w:rPr>
        <w:t xml:space="preserve"> : « بَاشِرْ كِبَارَ أُمُورِكَ بِنَفْسِكَ </w:t>
      </w:r>
      <w:r w:rsidRPr="00D10E3C">
        <w:rPr>
          <w:rStyle w:val="libFootnotenumChar"/>
          <w:rtl/>
        </w:rPr>
        <w:t>(8)</w:t>
      </w:r>
      <w:r>
        <w:rPr>
          <w:rtl/>
          <w:lang w:bidi="fa-IR"/>
        </w:rPr>
        <w:t xml:space="preserve"> ، وَكِلْ </w:t>
      </w:r>
      <w:r w:rsidRPr="00D10E3C">
        <w:rPr>
          <w:rStyle w:val="libFootnotenumChar"/>
          <w:rtl/>
        </w:rPr>
        <w:t>(9)</w:t>
      </w:r>
      <w:r>
        <w:rPr>
          <w:rtl/>
          <w:lang w:bidi="fa-IR"/>
        </w:rPr>
        <w:t xml:space="preserve"> مَا شَفَّ </w:t>
      </w:r>
      <w:r w:rsidRPr="00D10E3C">
        <w:rPr>
          <w:rStyle w:val="libFootnotenumChar"/>
          <w:rtl/>
        </w:rPr>
        <w:t>(10)</w:t>
      </w:r>
      <w:r>
        <w:rPr>
          <w:rtl/>
          <w:lang w:bidi="fa-IR"/>
        </w:rPr>
        <w:t xml:space="preserve"> إِلى غَيْرِكَ ».</w:t>
      </w:r>
    </w:p>
    <w:p w:rsidR="00744A1C" w:rsidRDefault="00744A1C" w:rsidP="00744A1C">
      <w:pPr>
        <w:pStyle w:val="libNormal"/>
        <w:rPr>
          <w:lang w:bidi="fa-IR"/>
        </w:rPr>
      </w:pPr>
      <w:r>
        <w:rPr>
          <w:rtl/>
          <w:lang w:bidi="fa-IR"/>
        </w:rPr>
        <w:t>قُلْتُ : ضَرْبَ أَيِّ شَيْ‌ءٍ؟</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بس » : + « نفسه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في </w:t>
      </w:r>
      <w:r w:rsidR="00744A1C" w:rsidRPr="008A3EFC">
        <w:rPr>
          <w:rtl/>
        </w:rPr>
        <w:t>التهذيبين</w:t>
      </w:r>
      <w:r w:rsidR="00744A1C">
        <w:rPr>
          <w:rtl/>
          <w:lang w:bidi="fa-IR"/>
        </w:rPr>
        <w:t xml:space="preserve"> جمع بين الأخبار بحمل المنع على الكراهية. وفيه أنّه يبعد أن يكون معاملة موسى وشعيب - على نبيّنا و</w:t>
      </w:r>
      <w:r w:rsidR="008A3EFC">
        <w:rPr>
          <w:rFonts w:hint="cs"/>
          <w:rtl/>
          <w:lang w:bidi="fa-IR"/>
        </w:rPr>
        <w:t xml:space="preserve"> </w:t>
      </w:r>
      <w:r w:rsidR="00744A1C">
        <w:rPr>
          <w:rtl/>
          <w:lang w:bidi="fa-IR"/>
        </w:rPr>
        <w:t xml:space="preserve">آله </w:t>
      </w:r>
      <w:r w:rsidR="00744A1C" w:rsidRPr="008A3EFC">
        <w:rPr>
          <w:rtl/>
        </w:rPr>
        <w:t>و</w:t>
      </w:r>
      <w:r w:rsidR="008A3EFC">
        <w:rPr>
          <w:rFonts w:hint="cs"/>
          <w:rtl/>
        </w:rPr>
        <w:t xml:space="preserve"> </w:t>
      </w:r>
      <w:r w:rsidR="00F112A7" w:rsidRPr="008A3EFC">
        <w:rPr>
          <w:rtl/>
        </w:rPr>
        <w:t>عليهما‌</w:t>
      </w:r>
      <w:r w:rsidR="008A3EFC">
        <w:rPr>
          <w:rFonts w:hint="cs"/>
          <w:rtl/>
        </w:rPr>
        <w:t xml:space="preserve"> </w:t>
      </w:r>
      <w:r w:rsidR="00F112A7" w:rsidRPr="008A3EFC">
        <w:rPr>
          <w:rtl/>
        </w:rPr>
        <w:t>السلام</w:t>
      </w:r>
      <w:r w:rsidR="00FE671A">
        <w:rPr>
          <w:rFonts w:hint="cs"/>
          <w:rtl/>
        </w:rPr>
        <w:t xml:space="preserve"> </w:t>
      </w:r>
      <w:r w:rsidR="00744A1C">
        <w:rPr>
          <w:rtl/>
          <w:lang w:bidi="fa-IR"/>
        </w:rPr>
        <w:t xml:space="preserve">- معاملة مكروهة ، والأولى أن يحمل المنع ما إذا استغرقت أوقات المؤجر كلّها بحيث لم يبق لنفسه منها شي‌ء ، كما دلّت عليه الرواية الأخيرة من الحديث الأوّل ، وأمّا إذا كانت بتعيين العمل دون الوقت كلّه فلا كراهيّة فيها ، كيف وقد كان أمير المؤمنين </w:t>
      </w:r>
      <w:r w:rsidR="0061079A" w:rsidRPr="0061079A">
        <w:rPr>
          <w:rStyle w:val="libFootnoteAlaemChar"/>
          <w:rtl/>
        </w:rPr>
        <w:t>عليه‌السلام</w:t>
      </w:r>
      <w:r w:rsidR="00D10E3C">
        <w:rPr>
          <w:rtl/>
          <w:lang w:bidi="fa-IR"/>
        </w:rPr>
        <w:t xml:space="preserve"> </w:t>
      </w:r>
      <w:r w:rsidR="00744A1C">
        <w:rPr>
          <w:rtl/>
          <w:lang w:bidi="fa-IR"/>
        </w:rPr>
        <w:t>يؤاجر نفسه للعمل ليهودي وغيره في معرض طلب الرزق ، كما ورد في عدّة من الأخبار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353 ، ح 1002 ؛ </w:t>
      </w:r>
      <w:r w:rsidR="00744A1C" w:rsidRPr="00C24F9C">
        <w:rPr>
          <w:rStyle w:val="libFootnoteBoldChar"/>
          <w:rtl/>
        </w:rPr>
        <w:t>والاستبصار</w:t>
      </w:r>
      <w:r w:rsidR="00744A1C">
        <w:rPr>
          <w:rtl/>
          <w:lang w:bidi="fa-IR"/>
        </w:rPr>
        <w:t xml:space="preserve"> ، ج 3 ، ص 55 ، ح 177 ، معلّقاً عن أحمد بن محمّد. </w:t>
      </w:r>
      <w:r w:rsidR="00744A1C" w:rsidRPr="00C24F9C">
        <w:rPr>
          <w:rStyle w:val="libFootnoteBoldChar"/>
          <w:rtl/>
        </w:rPr>
        <w:t>الفقيه</w:t>
      </w:r>
      <w:r w:rsidR="00744A1C">
        <w:rPr>
          <w:rtl/>
          <w:lang w:bidi="fa-IR"/>
        </w:rPr>
        <w:t xml:space="preserve"> ، ج 3 ، ص 174 ، ح 3656 ، معلّقاً عن محمّد بن عمرو بن أبي المقدام </w:t>
      </w:r>
      <w:r w:rsidR="00FE671A">
        <w:rPr>
          <w:rFonts w:hint="cs"/>
          <w:rtl/>
          <w:lang w:bidi="fa-IR"/>
        </w:rPr>
        <w:t>.</w:t>
      </w:r>
      <w:r w:rsidR="00744A1C" w:rsidRPr="00C24F9C">
        <w:rPr>
          <w:rStyle w:val="libFootnoteBoldChar"/>
          <w:rtl/>
        </w:rPr>
        <w:t>الوافي</w:t>
      </w:r>
      <w:r w:rsidR="00744A1C">
        <w:rPr>
          <w:rtl/>
          <w:lang w:bidi="fa-IR"/>
        </w:rPr>
        <w:t xml:space="preserve"> ، ج 17 ، ص 148 ، ح 17027 ؛ </w:t>
      </w:r>
      <w:r w:rsidR="00744A1C" w:rsidRPr="00C24F9C">
        <w:rPr>
          <w:rStyle w:val="libFootnoteBoldChar"/>
          <w:rtl/>
        </w:rPr>
        <w:t>الوسائل</w:t>
      </w:r>
      <w:r w:rsidR="00744A1C">
        <w:rPr>
          <w:rtl/>
          <w:lang w:bidi="fa-IR"/>
        </w:rPr>
        <w:t xml:space="preserve"> ، ج 17 ، ص 238 ، ح 22423.</w:t>
      </w:r>
    </w:p>
    <w:p w:rsidR="00744A1C" w:rsidRDefault="00E378DD" w:rsidP="00E378DD">
      <w:pPr>
        <w:pStyle w:val="libFootnote0"/>
        <w:rPr>
          <w:lang w:bidi="fa-IR"/>
        </w:rPr>
      </w:pPr>
      <w:r>
        <w:rPr>
          <w:rtl/>
          <w:lang w:bidi="fa-IR"/>
        </w:rPr>
        <w:t>(4).</w:t>
      </w:r>
      <w:r w:rsidR="00744A1C">
        <w:rPr>
          <w:rtl/>
          <w:lang w:bidi="fa-IR"/>
        </w:rPr>
        <w:t xml:space="preserve"> في « ط ، ى ، بح ، بس ، جد » وحاشية « جن » : « باب من أدب الطلب ».</w:t>
      </w:r>
    </w:p>
    <w:p w:rsidR="00744A1C" w:rsidRDefault="00E378DD" w:rsidP="00E378DD">
      <w:pPr>
        <w:pStyle w:val="libFootnote0"/>
        <w:rPr>
          <w:lang w:bidi="fa-IR"/>
        </w:rPr>
      </w:pPr>
      <w:r>
        <w:rPr>
          <w:rtl/>
          <w:lang w:bidi="fa-IR"/>
        </w:rPr>
        <w:t>(5).</w:t>
      </w:r>
      <w:r w:rsidR="00744A1C">
        <w:rPr>
          <w:rtl/>
          <w:lang w:bidi="fa-IR"/>
        </w:rPr>
        <w:t xml:space="preserve"> في « ى ، بح ، جد ، جن » و</w:t>
      </w:r>
      <w:r w:rsidR="00744A1C" w:rsidRPr="004150A9">
        <w:rPr>
          <w:rtl/>
        </w:rPr>
        <w:t xml:space="preserve">الوسائل </w:t>
      </w:r>
      <w:r w:rsidR="00744A1C">
        <w:rPr>
          <w:rtl/>
          <w:lang w:bidi="fa-IR"/>
        </w:rPr>
        <w:t>: - « بن عبيد ».</w:t>
      </w:r>
    </w:p>
    <w:p w:rsidR="00744A1C" w:rsidRDefault="00E378DD" w:rsidP="00E378DD">
      <w:pPr>
        <w:pStyle w:val="libFootnote0"/>
        <w:rPr>
          <w:lang w:bidi="fa-IR"/>
        </w:rPr>
      </w:pPr>
      <w:r>
        <w:rPr>
          <w:rtl/>
          <w:lang w:bidi="fa-IR"/>
        </w:rPr>
        <w:t>(6).</w:t>
      </w:r>
      <w:r w:rsidR="00744A1C">
        <w:rPr>
          <w:rtl/>
          <w:lang w:bidi="fa-IR"/>
        </w:rPr>
        <w:t xml:space="preserve"> في « ط ، بح ، بس ، جد ، جن </w:t>
      </w:r>
      <w:r w:rsidR="00744A1C" w:rsidRPr="004150A9">
        <w:rPr>
          <w:rtl/>
        </w:rPr>
        <w:t>» والوافي والوسائل</w:t>
      </w:r>
      <w:r w:rsidR="00744A1C">
        <w:rPr>
          <w:rtl/>
          <w:lang w:bidi="fa-IR"/>
        </w:rPr>
        <w:t xml:space="preserve"> : - « أنّه ».</w:t>
      </w:r>
    </w:p>
    <w:p w:rsidR="00744A1C" w:rsidRDefault="00E378DD" w:rsidP="00E378DD">
      <w:pPr>
        <w:pStyle w:val="libFootnote0"/>
        <w:rPr>
          <w:lang w:bidi="fa-IR"/>
        </w:rPr>
      </w:pPr>
      <w:r>
        <w:rPr>
          <w:rtl/>
          <w:lang w:bidi="fa-IR"/>
        </w:rPr>
        <w:t>(7).</w:t>
      </w:r>
      <w:r w:rsidR="00744A1C">
        <w:rPr>
          <w:rtl/>
          <w:lang w:bidi="fa-IR"/>
        </w:rPr>
        <w:t xml:space="preserve"> في « بخ ، بف » : + « يا يونس ».</w:t>
      </w:r>
    </w:p>
    <w:p w:rsidR="00744A1C" w:rsidRDefault="00E378DD" w:rsidP="00E378DD">
      <w:pPr>
        <w:pStyle w:val="libFootnote0"/>
        <w:rPr>
          <w:lang w:bidi="fa-IR"/>
        </w:rPr>
      </w:pPr>
      <w:r>
        <w:rPr>
          <w:rtl/>
          <w:lang w:bidi="fa-IR"/>
        </w:rPr>
        <w:t>(8).</w:t>
      </w:r>
      <w:r w:rsidR="00744A1C">
        <w:rPr>
          <w:rtl/>
          <w:lang w:bidi="fa-IR"/>
        </w:rPr>
        <w:t xml:space="preserve"> في </w:t>
      </w:r>
      <w:r w:rsidR="00744A1C" w:rsidRPr="004150A9">
        <w:rPr>
          <w:rtl/>
        </w:rPr>
        <w:t>الوسائل</w:t>
      </w:r>
      <w:r w:rsidR="00744A1C">
        <w:rPr>
          <w:rtl/>
          <w:lang w:bidi="fa-IR"/>
        </w:rPr>
        <w:t xml:space="preserve"> : - « بنفسك ».</w:t>
      </w:r>
    </w:p>
    <w:p w:rsidR="00744A1C" w:rsidRDefault="00E378DD" w:rsidP="00E378DD">
      <w:pPr>
        <w:pStyle w:val="libFootnote0"/>
        <w:rPr>
          <w:lang w:bidi="fa-IR"/>
        </w:rPr>
      </w:pPr>
      <w:r>
        <w:rPr>
          <w:rtl/>
          <w:lang w:bidi="fa-IR"/>
        </w:rPr>
        <w:t>(9).</w:t>
      </w:r>
      <w:r w:rsidR="00744A1C">
        <w:rPr>
          <w:rtl/>
          <w:lang w:bidi="fa-IR"/>
        </w:rPr>
        <w:t xml:space="preserve"> في « ط » : - « كل ».</w:t>
      </w:r>
    </w:p>
    <w:p w:rsidR="00744A1C" w:rsidRDefault="00E378DD" w:rsidP="00E378DD">
      <w:pPr>
        <w:pStyle w:val="libFootnote0"/>
        <w:rPr>
          <w:lang w:bidi="fa-IR"/>
        </w:rPr>
      </w:pPr>
      <w:r>
        <w:rPr>
          <w:rtl/>
          <w:lang w:bidi="fa-IR"/>
        </w:rPr>
        <w:t>(10).</w:t>
      </w:r>
      <w:r w:rsidR="00744A1C">
        <w:rPr>
          <w:rtl/>
          <w:lang w:bidi="fa-IR"/>
        </w:rPr>
        <w:t xml:space="preserve"> في « ى ، بح ، جت » </w:t>
      </w:r>
      <w:r w:rsidR="00744A1C" w:rsidRPr="004150A9">
        <w:rPr>
          <w:rtl/>
        </w:rPr>
        <w:t>و</w:t>
      </w:r>
      <w:r w:rsidR="004150A9">
        <w:rPr>
          <w:rFonts w:hint="cs"/>
          <w:rtl/>
        </w:rPr>
        <w:t xml:space="preserve"> </w:t>
      </w:r>
      <w:r w:rsidR="00744A1C" w:rsidRPr="004150A9">
        <w:rPr>
          <w:rtl/>
        </w:rPr>
        <w:t>الوسائل</w:t>
      </w:r>
      <w:r w:rsidR="00744A1C">
        <w:rPr>
          <w:rtl/>
          <w:lang w:bidi="fa-IR"/>
        </w:rPr>
        <w:t xml:space="preserve"> : « شقّ ». وفي « بخ ، بف » وحاشية « بح ، جت ، جن » و</w:t>
      </w:r>
      <w:r w:rsidR="00744A1C" w:rsidRPr="00C24F9C">
        <w:rPr>
          <w:rStyle w:val="libFootnoteBoldChar"/>
          <w:rtl/>
        </w:rPr>
        <w:t>الوافي</w:t>
      </w:r>
      <w:r w:rsidR="00744A1C">
        <w:rPr>
          <w:rtl/>
          <w:lang w:bidi="fa-IR"/>
        </w:rPr>
        <w:t xml:space="preserve"> : « سفل ». وفي </w:t>
      </w:r>
      <w:r w:rsidR="00744A1C" w:rsidRPr="00C24F9C">
        <w:rPr>
          <w:rStyle w:val="libFootnoteBoldChar"/>
          <w:rtl/>
        </w:rPr>
        <w:t>الفقيه</w:t>
      </w:r>
      <w:r w:rsidR="00744A1C">
        <w:rPr>
          <w:rtl/>
          <w:lang w:bidi="fa-IR"/>
        </w:rPr>
        <w:t xml:space="preserve"> : « صغر منها » بدل « شفّ ». و « كلّ ما شفّ » أي كلّ ما كان رقيقاً خفيفاً ؛ من الشفّ بمعنى الرقّة والهزل. راجع : </w:t>
      </w:r>
      <w:r w:rsidR="00744A1C" w:rsidRPr="00877682">
        <w:rPr>
          <w:rStyle w:val="libFootnoteBoldChar"/>
          <w:rtl/>
        </w:rPr>
        <w:t>لسان العرب</w:t>
      </w:r>
      <w:r w:rsidR="00744A1C">
        <w:rPr>
          <w:rtl/>
          <w:lang w:bidi="fa-IR"/>
        </w:rPr>
        <w:t xml:space="preserve"> ، ج 9 ، ص 179 ( شفف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 « ضَرْبَ أَشْرِيَةِ </w:t>
      </w:r>
      <w:r w:rsidRPr="00D10E3C">
        <w:rPr>
          <w:rStyle w:val="libFootnotenumChar"/>
          <w:rtl/>
        </w:rPr>
        <w:t>(1)</w:t>
      </w:r>
      <w:r>
        <w:rPr>
          <w:rtl/>
          <w:lang w:bidi="fa-IR"/>
        </w:rPr>
        <w:t xml:space="preserve"> الْعَقَارِ </w:t>
      </w:r>
      <w:r w:rsidRPr="00D10E3C">
        <w:rPr>
          <w:rStyle w:val="libFootnotenumChar"/>
          <w:rtl/>
        </w:rPr>
        <w:t>(2)</w:t>
      </w:r>
      <w:r>
        <w:rPr>
          <w:rtl/>
          <w:lang w:bidi="fa-IR"/>
        </w:rPr>
        <w:t xml:space="preserve"> وَمَا أَشْبَهَهَا ». </w:t>
      </w:r>
      <w:r w:rsidRPr="00D10E3C">
        <w:rPr>
          <w:rStyle w:val="libFootnotenumChar"/>
          <w:rtl/>
        </w:rPr>
        <w:t>(3)</w:t>
      </w:r>
    </w:p>
    <w:p w:rsidR="00144FA6" w:rsidRDefault="00744A1C" w:rsidP="00744A1C">
      <w:pPr>
        <w:pStyle w:val="libNormal"/>
        <w:rPr>
          <w:rtl/>
          <w:lang w:bidi="fa-IR"/>
        </w:rPr>
      </w:pPr>
      <w:r>
        <w:rPr>
          <w:rtl/>
          <w:lang w:bidi="fa-IR"/>
        </w:rPr>
        <w:t>8448 / 2. عِدَّةٌ مِنْ أَصْحَابِنَا ، عَنْ أَحْمَدَ بْنِ أَبِي عَبْدِ اللهِ ، عَنْ أَبِيهِ ، عَنْ عَمْرِو بْنِ إِبْرَاهِيمَ ، عَنْ خَلَفِ بْنِ حَمَّادٍ ، عَنْ هَارُونَ بْنِ الْجَهْمِ ، عَنِ الْأَرْقَطِ ، قَالَ :</w:t>
      </w:r>
    </w:p>
    <w:p w:rsidR="00144FA6" w:rsidRDefault="00744A1C" w:rsidP="00744A1C">
      <w:pPr>
        <w:pStyle w:val="libNormal"/>
        <w:rPr>
          <w:rtl/>
          <w:lang w:bidi="fa-IR"/>
        </w:rPr>
      </w:pPr>
      <w:r>
        <w:rPr>
          <w:rtl/>
          <w:lang w:bidi="fa-IR"/>
        </w:rPr>
        <w:t xml:space="preserve">قَالَ </w:t>
      </w:r>
      <w:r w:rsidRPr="00D10E3C">
        <w:rPr>
          <w:rStyle w:val="libFootnotenumChar"/>
          <w:rtl/>
        </w:rPr>
        <w:t>(4)</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لَا تَكُونَنَّ دَوَّاراً فِي الْأَسْوَاقِ ، وَلَا تَلِي </w:t>
      </w:r>
      <w:r w:rsidRPr="00D10E3C">
        <w:rPr>
          <w:rStyle w:val="libFootnotenumChar"/>
          <w:rtl/>
        </w:rPr>
        <w:t>(5)</w:t>
      </w:r>
      <w:r>
        <w:rPr>
          <w:rtl/>
          <w:lang w:bidi="fa-IR"/>
        </w:rPr>
        <w:t xml:space="preserve"> دَقَائِقَ الْأَشْيَاءِ بِنَفْسِكَ ؛ فَإِنَّهُ لَايَنْبَغِي لِلْمَرْءِ الْمُسْلِمِ </w:t>
      </w:r>
      <w:r w:rsidRPr="00D10E3C">
        <w:rPr>
          <w:rStyle w:val="libFootnotenumChar"/>
          <w:rtl/>
        </w:rPr>
        <w:t>(6)</w:t>
      </w:r>
      <w:r>
        <w:rPr>
          <w:rtl/>
          <w:lang w:bidi="fa-IR"/>
        </w:rPr>
        <w:t xml:space="preserve"> ذِي الْحَسَبِ وَالدِّينِ أَنْ يَلِيَ شِرَاءَ دَقَائِقِ الْأَشْيَاءِ بِنَفْسِهِ مَا خَلَا ثَلَاثَةَ أَشْيَاءَ </w:t>
      </w:r>
      <w:r w:rsidRPr="00D10E3C">
        <w:rPr>
          <w:rStyle w:val="libFootnotenumChar"/>
          <w:rtl/>
        </w:rPr>
        <w:t>(7)</w:t>
      </w:r>
      <w:r>
        <w:rPr>
          <w:rtl/>
          <w:lang w:bidi="fa-IR"/>
        </w:rPr>
        <w:t xml:space="preserve"> ؛ فَإِنَّهُ يَنْبَغِي لِذِي الدِّينِ وَالْحَسَبِ أَنْ يَلِيَهَا بِنَفْسِهِ : الْعَقَارَ ، وَالرَّقِيقَ ، وَالْإِبِلَ ».</w:t>
      </w:r>
      <w:r w:rsidRPr="00D10E3C">
        <w:rPr>
          <w:rStyle w:val="libFootnotenumChar"/>
          <w:rtl/>
        </w:rPr>
        <w:t>(8)</w:t>
      </w:r>
    </w:p>
    <w:p w:rsidR="00744A1C" w:rsidRDefault="00744A1C" w:rsidP="00131955">
      <w:pPr>
        <w:pStyle w:val="Heading2Center"/>
        <w:rPr>
          <w:lang w:bidi="fa-IR"/>
        </w:rPr>
      </w:pPr>
      <w:bookmarkStart w:id="141" w:name="_Toc49261439"/>
      <w:r>
        <w:rPr>
          <w:rtl/>
          <w:lang w:bidi="fa-IR"/>
        </w:rPr>
        <w:t>18 - بَابُ شِرَاءِ الْعَقَارَاتِ وَبَيْعِهَا‌</w:t>
      </w:r>
      <w:bookmarkEnd w:id="141"/>
    </w:p>
    <w:p w:rsidR="00144FA6" w:rsidRDefault="00744A1C" w:rsidP="00744A1C">
      <w:pPr>
        <w:pStyle w:val="libNormal"/>
        <w:rPr>
          <w:rtl/>
          <w:lang w:bidi="fa-IR"/>
        </w:rPr>
      </w:pPr>
      <w:r>
        <w:rPr>
          <w:rtl/>
          <w:lang w:bidi="fa-IR"/>
        </w:rPr>
        <w:t>8449 / 1. مُحَمَّدُ بْنُ يَحْيى ، عَنْ أَحْمَدَ بْنِ مُحَمَّدِ بْنِ عِيسى ، عَنْ مُعَمَّرِ بْنِ خَ</w:t>
      </w:r>
      <w:r w:rsidR="00131955">
        <w:rPr>
          <w:rtl/>
          <w:lang w:bidi="fa-IR"/>
        </w:rPr>
        <w:t>ل</w:t>
      </w:r>
      <w:r w:rsidR="00131955">
        <w:rPr>
          <w:rFonts w:hint="cs"/>
          <w:rtl/>
          <w:lang w:bidi="fa-IR"/>
        </w:rPr>
        <w:t>َّ</w:t>
      </w:r>
      <w:r w:rsidR="00131955">
        <w:rPr>
          <w:rtl/>
          <w:lang w:bidi="fa-IR"/>
        </w:rPr>
        <w:t>ا</w:t>
      </w:r>
      <w:r>
        <w:rPr>
          <w:rtl/>
          <w:lang w:bidi="fa-IR"/>
        </w:rPr>
        <w:t>دٍ ، قَالَ :</w:t>
      </w:r>
    </w:p>
    <w:p w:rsidR="00744A1C" w:rsidRDefault="00744A1C" w:rsidP="00744A1C">
      <w:pPr>
        <w:pStyle w:val="libNormal"/>
        <w:rPr>
          <w:lang w:bidi="fa-IR"/>
        </w:rPr>
      </w:pPr>
      <w:r>
        <w:rPr>
          <w:rtl/>
          <w:lang w:bidi="fa-IR"/>
        </w:rPr>
        <w:t xml:space="preserve">سَمِعْتُ أَبَا الْحَسَنِ </w:t>
      </w:r>
      <w:r w:rsidR="0061079A" w:rsidRPr="0061079A">
        <w:rPr>
          <w:rStyle w:val="libAlaemChar"/>
          <w:rtl/>
        </w:rPr>
        <w:t>عليه‌السلام</w:t>
      </w:r>
      <w:r w:rsidR="00D10E3C">
        <w:rPr>
          <w:rtl/>
          <w:lang w:bidi="fa-IR"/>
        </w:rPr>
        <w:t xml:space="preserve"> </w:t>
      </w:r>
      <w:r>
        <w:rPr>
          <w:rtl/>
          <w:lang w:bidi="fa-IR"/>
        </w:rPr>
        <w:t xml:space="preserve">يَقُولُ : « إِنَّ رَجُلاً أَتى جَعْفَراً - صَلَوَاتُ اللهِ عَلَيْهِ - شَبِيهاً بِالْمُسْتَنْصِحِ لَهُ ، فَقَالَ لَهُ </w:t>
      </w:r>
      <w:r w:rsidRPr="00D10E3C">
        <w:rPr>
          <w:rStyle w:val="libFootnotenumChar"/>
          <w:rtl/>
        </w:rPr>
        <w:t>(9)</w:t>
      </w:r>
      <w:r>
        <w:rPr>
          <w:rtl/>
          <w:lang w:bidi="fa-IR"/>
        </w:rPr>
        <w:t xml:space="preserve"> : يَا أَبَا عَبْدِ اللهِ ، كَيْفَ صِرْتَ اتَّخَذْتَ الْأَمْوَالَ قِطَعاً مُتَفَرِّقَةً؟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xml:space="preserve">: ضرب أشرية ، أي مثلها ». وقال الجوهري : « يجمع الشراء على أشرية ، وهو شاذّ ؛ لأنّ فعلاً لا يجمع على أفعلة ». </w:t>
      </w:r>
      <w:r w:rsidR="00744A1C" w:rsidRPr="00E978C3">
        <w:rPr>
          <w:rStyle w:val="libFootnoteBoldChar"/>
          <w:rtl/>
        </w:rPr>
        <w:t>الصحاح</w:t>
      </w:r>
      <w:r w:rsidR="00744A1C">
        <w:rPr>
          <w:rtl/>
          <w:lang w:bidi="fa-IR"/>
        </w:rPr>
        <w:t xml:space="preserve"> ، ج 6 ، ص 2391 ( شرى ).</w:t>
      </w:r>
    </w:p>
    <w:p w:rsidR="00744A1C" w:rsidRDefault="00E378DD" w:rsidP="00E378DD">
      <w:pPr>
        <w:pStyle w:val="libFootnote0"/>
        <w:rPr>
          <w:lang w:bidi="fa-IR"/>
        </w:rPr>
      </w:pPr>
      <w:r>
        <w:rPr>
          <w:rtl/>
          <w:lang w:bidi="fa-IR"/>
        </w:rPr>
        <w:t>(2).</w:t>
      </w:r>
      <w:r w:rsidR="00744A1C">
        <w:rPr>
          <w:rtl/>
          <w:lang w:bidi="fa-IR"/>
        </w:rPr>
        <w:t xml:space="preserve"> « العَقار » بالفتح : كلّ ملك ثابت له أصل ، كالدار والنخل. وربما ا</w:t>
      </w:r>
      <w:r w:rsidR="00EA6F77">
        <w:rPr>
          <w:rFonts w:hint="cs"/>
          <w:rtl/>
          <w:lang w:bidi="fa-IR"/>
        </w:rPr>
        <w:t>ُ</w:t>
      </w:r>
      <w:r w:rsidR="00744A1C">
        <w:rPr>
          <w:rtl/>
          <w:lang w:bidi="fa-IR"/>
        </w:rPr>
        <w:t xml:space="preserve">طلق على المتاع. </w:t>
      </w:r>
      <w:r w:rsidR="00744A1C" w:rsidRPr="00E978C3">
        <w:rPr>
          <w:rStyle w:val="libFootnoteBoldChar"/>
          <w:rtl/>
        </w:rPr>
        <w:t>المصباح المنير</w:t>
      </w:r>
      <w:r w:rsidR="00744A1C">
        <w:rPr>
          <w:rtl/>
          <w:lang w:bidi="fa-IR"/>
        </w:rPr>
        <w:t xml:space="preserve"> ، ص 421 ( عقر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الفقيه</w:t>
      </w:r>
      <w:r w:rsidR="00744A1C">
        <w:rPr>
          <w:rtl/>
          <w:lang w:bidi="fa-IR"/>
        </w:rPr>
        <w:t xml:space="preserve"> ، ج 3 ، ص 169 ، ح 3638 ، مرسلاً </w:t>
      </w:r>
      <w:r w:rsidR="00EA6F77">
        <w:rPr>
          <w:rFonts w:hint="cs"/>
          <w:rtl/>
          <w:lang w:bidi="fa-IR"/>
        </w:rPr>
        <w:t>.</w:t>
      </w:r>
      <w:r w:rsidR="00744A1C" w:rsidRPr="00C24F9C">
        <w:rPr>
          <w:rStyle w:val="libFootnoteBoldChar"/>
          <w:rtl/>
        </w:rPr>
        <w:t>الوافي</w:t>
      </w:r>
      <w:r w:rsidR="00744A1C">
        <w:rPr>
          <w:rtl/>
          <w:lang w:bidi="fa-IR"/>
        </w:rPr>
        <w:t xml:space="preserve"> ، ج 17 ، ص 78 ، ح 16895 ؛ </w:t>
      </w:r>
      <w:r w:rsidR="00744A1C" w:rsidRPr="00C24F9C">
        <w:rPr>
          <w:rStyle w:val="libFootnoteBoldChar"/>
          <w:rtl/>
        </w:rPr>
        <w:t>الوسائل</w:t>
      </w:r>
      <w:r w:rsidR="00744A1C">
        <w:rPr>
          <w:rtl/>
          <w:lang w:bidi="fa-IR"/>
        </w:rPr>
        <w:t xml:space="preserve"> ، ج 17 ، ص 72 ، ح 22018.</w:t>
      </w:r>
    </w:p>
    <w:p w:rsidR="00744A1C" w:rsidRDefault="00E378DD" w:rsidP="00E378DD">
      <w:pPr>
        <w:pStyle w:val="libFootnote0"/>
        <w:rPr>
          <w:lang w:bidi="fa-IR"/>
        </w:rPr>
      </w:pPr>
      <w:r>
        <w:rPr>
          <w:rtl/>
          <w:lang w:bidi="fa-IR"/>
        </w:rPr>
        <w:t>(4).</w:t>
      </w:r>
      <w:r w:rsidR="00744A1C">
        <w:rPr>
          <w:rtl/>
          <w:lang w:bidi="fa-IR"/>
        </w:rPr>
        <w:t xml:space="preserve"> هكذا في « ط ، ى ، بح ، بخ ، بس ، بف ، جد ، جن » </w:t>
      </w:r>
      <w:r w:rsidR="00744A1C" w:rsidRPr="00EA6F77">
        <w:rPr>
          <w:rtl/>
        </w:rPr>
        <w:t>والوافي والوسائل والفقيه</w:t>
      </w:r>
      <w:r w:rsidR="00744A1C">
        <w:rPr>
          <w:rtl/>
          <w:lang w:bidi="fa-IR"/>
        </w:rPr>
        <w:t>. وفي « جت » والمطبوع : + « لي ».</w:t>
      </w:r>
    </w:p>
    <w:tbl>
      <w:tblPr>
        <w:tblStyle w:val="TableGrid"/>
        <w:bidiVisual/>
        <w:tblW w:w="0" w:type="auto"/>
        <w:tblLook w:val="04A0" w:firstRow="1" w:lastRow="0" w:firstColumn="1" w:lastColumn="0" w:noHBand="0" w:noVBand="1"/>
      </w:tblPr>
      <w:tblGrid>
        <w:gridCol w:w="4006"/>
        <w:gridCol w:w="4006"/>
      </w:tblGrid>
      <w:tr w:rsidR="006B3133" w:rsidTr="006B3133">
        <w:tc>
          <w:tcPr>
            <w:tcW w:w="4006" w:type="dxa"/>
          </w:tcPr>
          <w:p w:rsidR="006B3133" w:rsidRDefault="006B3133" w:rsidP="00E378DD">
            <w:pPr>
              <w:pStyle w:val="libFootnote0"/>
              <w:rPr>
                <w:rtl/>
                <w:lang w:bidi="fa-IR"/>
              </w:rPr>
            </w:pPr>
            <w:r>
              <w:rPr>
                <w:rtl/>
                <w:lang w:bidi="fa-IR"/>
              </w:rPr>
              <w:t xml:space="preserve">(5). في </w:t>
            </w:r>
            <w:r w:rsidRPr="00C24F9C">
              <w:rPr>
                <w:rStyle w:val="libFootnoteBoldChar"/>
                <w:rtl/>
              </w:rPr>
              <w:t>الوسائل</w:t>
            </w:r>
            <w:r>
              <w:rPr>
                <w:rtl/>
                <w:lang w:bidi="fa-IR"/>
              </w:rPr>
              <w:t xml:space="preserve"> : « تل ».</w:t>
            </w:r>
          </w:p>
        </w:tc>
        <w:tc>
          <w:tcPr>
            <w:tcW w:w="4006" w:type="dxa"/>
          </w:tcPr>
          <w:p w:rsidR="006B3133" w:rsidRDefault="006B3133" w:rsidP="00E378DD">
            <w:pPr>
              <w:pStyle w:val="libFootnote0"/>
              <w:rPr>
                <w:rtl/>
                <w:lang w:bidi="fa-IR"/>
              </w:rPr>
            </w:pPr>
            <w:r>
              <w:rPr>
                <w:rtl/>
                <w:lang w:bidi="fa-IR"/>
              </w:rPr>
              <w:t>(6). في التحف : - « المسلم ».</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لعلّ الاستثناء منقطع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3 ، ص 169 ، ح 3639 ، معلّقاً عن الأرقط. </w:t>
      </w:r>
      <w:r w:rsidR="00744A1C" w:rsidRPr="007D61A8">
        <w:rPr>
          <w:rStyle w:val="libFootnoteBoldChar"/>
          <w:rtl/>
        </w:rPr>
        <w:t>تحف العقول</w:t>
      </w:r>
      <w:r w:rsidR="00744A1C">
        <w:rPr>
          <w:rtl/>
          <w:lang w:bidi="fa-IR"/>
        </w:rPr>
        <w:t xml:space="preserve"> ، ص 379 ، مع اختلاف يسير </w:t>
      </w:r>
      <w:r w:rsidR="00A81A58">
        <w:rPr>
          <w:rFonts w:hint="cs"/>
          <w:rtl/>
          <w:lang w:bidi="fa-IR"/>
        </w:rPr>
        <w:t>.</w:t>
      </w:r>
      <w:r w:rsidR="00744A1C" w:rsidRPr="00C24F9C">
        <w:rPr>
          <w:rStyle w:val="libFootnoteBoldChar"/>
          <w:rtl/>
        </w:rPr>
        <w:t>الوافي</w:t>
      </w:r>
      <w:r w:rsidR="00744A1C">
        <w:rPr>
          <w:rtl/>
          <w:lang w:bidi="fa-IR"/>
        </w:rPr>
        <w:t xml:space="preserve"> ، ج 17 ، ص 78 ، ح 16896 ؛ </w:t>
      </w:r>
      <w:r w:rsidR="00744A1C" w:rsidRPr="00C24F9C">
        <w:rPr>
          <w:rStyle w:val="libFootnoteBoldChar"/>
          <w:rtl/>
        </w:rPr>
        <w:t>الوسائل</w:t>
      </w:r>
      <w:r w:rsidR="00744A1C">
        <w:rPr>
          <w:rtl/>
          <w:lang w:bidi="fa-IR"/>
        </w:rPr>
        <w:t xml:space="preserve"> ، ج 17 ، ص 73 ، ح 22019.</w:t>
      </w:r>
    </w:p>
    <w:p w:rsidR="00744A1C" w:rsidRDefault="00E378DD" w:rsidP="00E378DD">
      <w:pPr>
        <w:pStyle w:val="libFootnote0"/>
        <w:rPr>
          <w:lang w:bidi="fa-IR"/>
        </w:rPr>
      </w:pPr>
      <w:r>
        <w:rPr>
          <w:rtl/>
          <w:lang w:bidi="fa-IR"/>
        </w:rPr>
        <w:t>(9).</w:t>
      </w:r>
      <w:r w:rsidR="00744A1C">
        <w:rPr>
          <w:rtl/>
          <w:lang w:bidi="fa-IR"/>
        </w:rPr>
        <w:t xml:space="preserve"> في « ط » : - « له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وَ</w:t>
      </w:r>
      <w:r w:rsidR="00A81A58">
        <w:rPr>
          <w:rFonts w:hint="cs"/>
          <w:rtl/>
          <w:lang w:bidi="fa-IR"/>
        </w:rPr>
        <w:t xml:space="preserve"> </w:t>
      </w:r>
      <w:r>
        <w:rPr>
          <w:rtl/>
          <w:lang w:bidi="fa-IR"/>
        </w:rPr>
        <w:t xml:space="preserve">لَوْ كَانَتْ فِي مَوْضِعٍ وَاحِدٍ </w:t>
      </w:r>
      <w:r w:rsidRPr="00D10E3C">
        <w:rPr>
          <w:rStyle w:val="libFootnotenumChar"/>
          <w:rtl/>
        </w:rPr>
        <w:t>(1)</w:t>
      </w:r>
      <w:r>
        <w:rPr>
          <w:rtl/>
          <w:lang w:bidi="fa-IR"/>
        </w:rPr>
        <w:t xml:space="preserve"> ، كَانَتْ </w:t>
      </w:r>
      <w:r w:rsidRPr="00D10E3C">
        <w:rPr>
          <w:rStyle w:val="libFootnotenumChar"/>
          <w:rtl/>
        </w:rPr>
        <w:t>(2)</w:t>
      </w:r>
      <w:r>
        <w:rPr>
          <w:rtl/>
          <w:lang w:bidi="fa-IR"/>
        </w:rPr>
        <w:t xml:space="preserve"> أَيْسَرَ </w:t>
      </w:r>
      <w:r w:rsidRPr="00D10E3C">
        <w:rPr>
          <w:rStyle w:val="libFootnotenumChar"/>
          <w:rtl/>
        </w:rPr>
        <w:t>(3)</w:t>
      </w:r>
      <w:r>
        <w:rPr>
          <w:rtl/>
          <w:lang w:bidi="fa-IR"/>
        </w:rPr>
        <w:t xml:space="preserve"> لِمَؤُونَتِهَا ، وَأَعْظَمَ لِمَنْفَعَتِهَا.</w:t>
      </w:r>
    </w:p>
    <w:p w:rsidR="00144FA6" w:rsidRDefault="00744A1C" w:rsidP="00744A1C">
      <w:pPr>
        <w:pStyle w:val="libNormal"/>
        <w:rPr>
          <w:rtl/>
          <w:lang w:bidi="fa-IR"/>
        </w:rPr>
      </w:pPr>
      <w:r>
        <w:rPr>
          <w:rtl/>
          <w:lang w:bidi="fa-IR"/>
        </w:rPr>
        <w:t xml:space="preserve">فَقَالَ أَبُو عَبْدِ اللهِ </w:t>
      </w:r>
      <w:r w:rsidR="0061079A" w:rsidRPr="0061079A">
        <w:rPr>
          <w:rStyle w:val="libAlaemChar"/>
          <w:rtl/>
        </w:rPr>
        <w:t>عليه‌السلام</w:t>
      </w:r>
      <w:r w:rsidR="00D10E3C">
        <w:rPr>
          <w:rtl/>
          <w:lang w:bidi="fa-IR"/>
        </w:rPr>
        <w:t xml:space="preserve"> </w:t>
      </w:r>
      <w:r>
        <w:rPr>
          <w:rtl/>
          <w:lang w:bidi="fa-IR"/>
        </w:rPr>
        <w:t xml:space="preserve">: اتَّخَذْتُهَا مُتَفَرِّقَةً ، فَإِنْ </w:t>
      </w:r>
      <w:r w:rsidRPr="00D10E3C">
        <w:rPr>
          <w:rStyle w:val="libFootnotenumChar"/>
          <w:rtl/>
        </w:rPr>
        <w:t>(4)</w:t>
      </w:r>
      <w:r>
        <w:rPr>
          <w:rtl/>
          <w:lang w:bidi="fa-IR"/>
        </w:rPr>
        <w:t xml:space="preserve"> أَصَابَ هذَا الْمَالَ شَيْ‌ءٌ ، سَلِمَ هذَا الْمَالُ </w:t>
      </w:r>
      <w:r w:rsidRPr="00D10E3C">
        <w:rPr>
          <w:rStyle w:val="libFootnotenumChar"/>
          <w:rtl/>
        </w:rPr>
        <w:t>(5)</w:t>
      </w:r>
      <w:r>
        <w:rPr>
          <w:rtl/>
          <w:lang w:bidi="fa-IR"/>
        </w:rPr>
        <w:t xml:space="preserve"> ، وَالصُّرَّةُ </w:t>
      </w:r>
      <w:r w:rsidRPr="00D10E3C">
        <w:rPr>
          <w:rStyle w:val="libFootnotenumChar"/>
          <w:rtl/>
        </w:rPr>
        <w:t>(6)</w:t>
      </w:r>
      <w:r>
        <w:rPr>
          <w:rtl/>
          <w:lang w:bidi="fa-IR"/>
        </w:rPr>
        <w:t xml:space="preserve"> تَجْمَعُ هذَا </w:t>
      </w:r>
      <w:r w:rsidRPr="00D10E3C">
        <w:rPr>
          <w:rStyle w:val="libFootnotenumChar"/>
          <w:rtl/>
        </w:rPr>
        <w:t>(7)</w:t>
      </w:r>
      <w:r>
        <w:rPr>
          <w:rtl/>
          <w:lang w:bidi="fa-IR"/>
        </w:rPr>
        <w:t xml:space="preserve"> كُلَّهُ ». </w:t>
      </w:r>
      <w:r w:rsidRPr="00D10E3C">
        <w:rPr>
          <w:rStyle w:val="libFootnotenumChar"/>
          <w:rtl/>
        </w:rPr>
        <w:t>(8)</w:t>
      </w:r>
    </w:p>
    <w:p w:rsidR="00144FA6" w:rsidRDefault="00744A1C" w:rsidP="00744A1C">
      <w:pPr>
        <w:pStyle w:val="libNormal"/>
        <w:rPr>
          <w:rtl/>
          <w:lang w:bidi="fa-IR"/>
        </w:rPr>
      </w:pPr>
      <w:r>
        <w:rPr>
          <w:rtl/>
          <w:lang w:bidi="fa-IR"/>
        </w:rPr>
        <w:t>8450 / 2. عَلِيُّ بْنُ إِبْرَاهِيمَ ، عَنْ أَبِيهِ ، عَنِ ابْنِ أَبِي عُمَيْرٍ ، عَمَّنْ ذَ</w:t>
      </w:r>
      <w:r w:rsidR="00A81A58">
        <w:rPr>
          <w:rtl/>
          <w:lang w:bidi="fa-IR"/>
        </w:rPr>
        <w:t>كَرَهُ ، عَنْ زُرَارَةَ ، قَالَ</w:t>
      </w:r>
      <w:r>
        <w:rPr>
          <w:rtl/>
          <w:lang w:bidi="fa-IR"/>
        </w:rPr>
        <w:t>:</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مَا يُخَلِّفُ الرَّجُلُ شَيْئاً أَشَدَّ عَلَيْهِ مِنَ الْمَالِ الصَّامِتِ </w:t>
      </w:r>
      <w:r w:rsidRPr="00D10E3C">
        <w:rPr>
          <w:rStyle w:val="libFootnotenumChar"/>
          <w:rtl/>
        </w:rPr>
        <w:t>(9)</w:t>
      </w:r>
      <w:r>
        <w:rPr>
          <w:rtl/>
          <w:lang w:bidi="fa-IR"/>
        </w:rPr>
        <w:t xml:space="preserve"> ».</w:t>
      </w:r>
    </w:p>
    <w:p w:rsidR="00744A1C" w:rsidRDefault="00744A1C" w:rsidP="00744A1C">
      <w:pPr>
        <w:pStyle w:val="libNormal"/>
        <w:rPr>
          <w:lang w:bidi="fa-IR"/>
        </w:rPr>
      </w:pPr>
      <w:r>
        <w:rPr>
          <w:rtl/>
          <w:lang w:bidi="fa-IR"/>
        </w:rPr>
        <w:t xml:space="preserve">قُلْتُ </w:t>
      </w:r>
      <w:r w:rsidRPr="00D10E3C">
        <w:rPr>
          <w:rStyle w:val="libFootnotenumChar"/>
          <w:rtl/>
        </w:rPr>
        <w:t>(10)</w:t>
      </w:r>
      <w:r>
        <w:rPr>
          <w:rtl/>
          <w:lang w:bidi="fa-IR"/>
        </w:rPr>
        <w:t xml:space="preserve"> : كَيْفَ يَصْنَعُ بِهِ </w:t>
      </w:r>
      <w:r w:rsidRPr="00D10E3C">
        <w:rPr>
          <w:rStyle w:val="libFootnotenumChar"/>
          <w:rtl/>
        </w:rPr>
        <w:t>(11)</w:t>
      </w:r>
      <w:r>
        <w:rPr>
          <w:rtl/>
          <w:lang w:bidi="fa-IR"/>
        </w:rPr>
        <w:t>؟</w:t>
      </w:r>
    </w:p>
    <w:p w:rsidR="00144FA6" w:rsidRDefault="00744A1C" w:rsidP="00744A1C">
      <w:pPr>
        <w:pStyle w:val="libNormal"/>
        <w:rPr>
          <w:rtl/>
          <w:lang w:bidi="fa-IR"/>
        </w:rPr>
      </w:pPr>
      <w:r>
        <w:rPr>
          <w:rtl/>
          <w:lang w:bidi="fa-IR"/>
        </w:rPr>
        <w:t xml:space="preserve">قَالَ : « يَجْعَلُهُ فِي الْحَائِطِ - يَعْنِي فِي </w:t>
      </w:r>
      <w:r w:rsidRPr="00D10E3C">
        <w:rPr>
          <w:rStyle w:val="libFootnotenumChar"/>
          <w:rtl/>
        </w:rPr>
        <w:t>(12)</w:t>
      </w:r>
      <w:r>
        <w:rPr>
          <w:rtl/>
          <w:lang w:bidi="fa-IR"/>
        </w:rPr>
        <w:t xml:space="preserve"> الْبُسْتَانِ - وَالدَّارِ </w:t>
      </w:r>
      <w:r w:rsidRPr="00D10E3C">
        <w:rPr>
          <w:rStyle w:val="libFootnotenumChar"/>
          <w:rtl/>
        </w:rPr>
        <w:t>(13)</w:t>
      </w:r>
      <w:r>
        <w:rPr>
          <w:rtl/>
          <w:lang w:bidi="fa-IR"/>
        </w:rPr>
        <w:t xml:space="preserve"> ». </w:t>
      </w:r>
      <w:r w:rsidRPr="00D10E3C">
        <w:rPr>
          <w:rStyle w:val="libFootnotenumChar"/>
          <w:rtl/>
        </w:rPr>
        <w:t>(14)</w:t>
      </w:r>
    </w:p>
    <w:p w:rsidR="00144FA6" w:rsidRDefault="00744A1C" w:rsidP="00744A1C">
      <w:pPr>
        <w:pStyle w:val="libNormal"/>
        <w:rPr>
          <w:rtl/>
          <w:lang w:bidi="fa-IR"/>
        </w:rPr>
      </w:pPr>
      <w:r>
        <w:rPr>
          <w:rtl/>
          <w:lang w:bidi="fa-IR"/>
        </w:rPr>
        <w:t>8451 / 3. حُمَيْدُ بْنُ زِيَادٍ ، عَنِ الْحَسَنِ بْنِ مُحَمَّدِ بْنِ سَمَاعَةَ ، عَنْ غَيْرِ وَاحِدٍ ، عَنْ أَبَانِ بْنِ عُثْمَانَ ، قَالَ :</w:t>
      </w:r>
    </w:p>
    <w:p w:rsidR="00744A1C" w:rsidRDefault="00744A1C" w:rsidP="00744A1C">
      <w:pPr>
        <w:pStyle w:val="libNormal"/>
        <w:rPr>
          <w:lang w:bidi="fa-IR"/>
        </w:rPr>
      </w:pPr>
      <w:r>
        <w:rPr>
          <w:rtl/>
          <w:lang w:bidi="fa-IR"/>
        </w:rPr>
        <w:t xml:space="preserve">دَعَانِي جَعْفَرٌ </w:t>
      </w:r>
      <w:r w:rsidR="0061079A" w:rsidRPr="0061079A">
        <w:rPr>
          <w:rStyle w:val="libAlaemChar"/>
          <w:rtl/>
        </w:rPr>
        <w:t>عليه‌السلام</w:t>
      </w:r>
      <w:r w:rsidR="00D10E3C">
        <w:rPr>
          <w:rtl/>
          <w:lang w:bidi="fa-IR"/>
        </w:rPr>
        <w:t xml:space="preserve"> </w:t>
      </w:r>
      <w:r w:rsidRPr="00D10E3C">
        <w:rPr>
          <w:rStyle w:val="libFootnotenumChar"/>
          <w:rtl/>
        </w:rPr>
        <w:t>(15)</w:t>
      </w:r>
      <w:r>
        <w:rPr>
          <w:rtl/>
          <w:lang w:bidi="fa-IR"/>
        </w:rPr>
        <w:t xml:space="preserve"> ، فَقَالَ </w:t>
      </w:r>
      <w:r w:rsidRPr="00D10E3C">
        <w:rPr>
          <w:rStyle w:val="libFootnotenumChar"/>
          <w:rtl/>
        </w:rPr>
        <w:t>(16)</w:t>
      </w:r>
      <w:r>
        <w:rPr>
          <w:rtl/>
          <w:lang w:bidi="fa-IR"/>
        </w:rPr>
        <w:t xml:space="preserve"> : « بَاعَ فُلَانٌ أَرْضَهُ؟ » فَقُلْتُ </w:t>
      </w:r>
      <w:r w:rsidRPr="00D10E3C">
        <w:rPr>
          <w:rStyle w:val="libFootnotenumChar"/>
          <w:rtl/>
        </w:rPr>
        <w:t>(17)</w:t>
      </w:r>
      <w:r>
        <w:rPr>
          <w:rtl/>
          <w:lang w:bidi="fa-IR"/>
        </w:rPr>
        <w:t xml:space="preserve"> : نَعَمْ </w:t>
      </w:r>
      <w:r w:rsidRPr="00D10E3C">
        <w:rPr>
          <w:rStyle w:val="libFootnotenumChar"/>
          <w:rtl/>
        </w:rPr>
        <w:t>(18)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بخ ، بس ، بف ، جت ، جد ، جن » و</w:t>
      </w:r>
      <w:r w:rsidR="00744A1C" w:rsidRPr="00C24F9C">
        <w:rPr>
          <w:rStyle w:val="libFootnoteBoldChar"/>
          <w:rtl/>
        </w:rPr>
        <w:t>الوسائل</w:t>
      </w:r>
      <w:r w:rsidR="00744A1C">
        <w:rPr>
          <w:rtl/>
          <w:lang w:bidi="fa-IR"/>
        </w:rPr>
        <w:t xml:space="preserve"> : - « واحد ».</w:t>
      </w:r>
    </w:p>
    <w:p w:rsidR="00744A1C" w:rsidRDefault="00E378DD" w:rsidP="00E378DD">
      <w:pPr>
        <w:pStyle w:val="libFootnote0"/>
        <w:rPr>
          <w:lang w:bidi="fa-IR"/>
        </w:rPr>
      </w:pPr>
      <w:r>
        <w:rPr>
          <w:rtl/>
          <w:lang w:bidi="fa-IR"/>
        </w:rPr>
        <w:t>(2).</w:t>
      </w:r>
      <w:r w:rsidR="00744A1C">
        <w:rPr>
          <w:rtl/>
          <w:lang w:bidi="fa-IR"/>
        </w:rPr>
        <w:t xml:space="preserve"> في « ط ، ى ، بح ، بخ ، بس ، بف ، جد ، جن » </w:t>
      </w:r>
      <w:r w:rsidR="00744A1C" w:rsidRPr="004146C4">
        <w:rPr>
          <w:rtl/>
        </w:rPr>
        <w:t>والوافي والوسائل والبحار</w:t>
      </w:r>
      <w:r w:rsidR="00744A1C">
        <w:rPr>
          <w:rtl/>
          <w:lang w:bidi="fa-IR"/>
        </w:rPr>
        <w:t xml:space="preserve"> : « كان ».</w:t>
      </w:r>
    </w:p>
    <w:tbl>
      <w:tblPr>
        <w:tblStyle w:val="TableGrid"/>
        <w:bidiVisual/>
        <w:tblW w:w="0" w:type="auto"/>
        <w:tblLook w:val="04A0" w:firstRow="1" w:lastRow="0" w:firstColumn="1" w:lastColumn="0" w:noHBand="0" w:noVBand="1"/>
      </w:tblPr>
      <w:tblGrid>
        <w:gridCol w:w="4006"/>
        <w:gridCol w:w="4006"/>
      </w:tblGrid>
      <w:tr w:rsidR="00714C86" w:rsidTr="00714C86">
        <w:tc>
          <w:tcPr>
            <w:tcW w:w="4006" w:type="dxa"/>
          </w:tcPr>
          <w:p w:rsidR="00714C86" w:rsidRDefault="00714C86" w:rsidP="00E378DD">
            <w:pPr>
              <w:pStyle w:val="libFootnote0"/>
              <w:rPr>
                <w:rtl/>
                <w:lang w:bidi="fa-IR"/>
              </w:rPr>
            </w:pPr>
            <w:r>
              <w:rPr>
                <w:rtl/>
                <w:lang w:bidi="fa-IR"/>
              </w:rPr>
              <w:t>(3). في«بخ،جن»وحاشية«بح ، جت » : « أنسب ».</w:t>
            </w:r>
          </w:p>
        </w:tc>
        <w:tc>
          <w:tcPr>
            <w:tcW w:w="4006" w:type="dxa"/>
          </w:tcPr>
          <w:p w:rsidR="00714C86" w:rsidRDefault="00714C86" w:rsidP="00E378DD">
            <w:pPr>
              <w:pStyle w:val="libFootnote0"/>
              <w:rPr>
                <w:rtl/>
                <w:lang w:bidi="fa-IR"/>
              </w:rPr>
            </w:pPr>
            <w:r>
              <w:rPr>
                <w:rtl/>
                <w:lang w:bidi="fa-IR"/>
              </w:rPr>
              <w:t xml:space="preserve">(4). في « بخ ، بف ، جت » </w:t>
            </w:r>
            <w:r w:rsidRPr="004146C4">
              <w:rPr>
                <w:rtl/>
              </w:rPr>
              <w:t>والوافي : « فإذا</w:t>
            </w:r>
            <w:r>
              <w:rPr>
                <w:rtl/>
                <w:lang w:bidi="fa-IR"/>
              </w:rPr>
              <w:t xml:space="preserve"> ».</w:t>
            </w:r>
          </w:p>
        </w:tc>
      </w:tr>
    </w:tbl>
    <w:p w:rsidR="00744A1C" w:rsidRDefault="00E378DD" w:rsidP="00E378DD">
      <w:pPr>
        <w:pStyle w:val="libFootnote0"/>
        <w:rPr>
          <w:lang w:bidi="fa-IR"/>
        </w:rPr>
      </w:pPr>
      <w:r>
        <w:rPr>
          <w:rtl/>
          <w:lang w:bidi="fa-IR"/>
        </w:rPr>
        <w:t>(5).</w:t>
      </w:r>
      <w:r w:rsidR="00744A1C">
        <w:rPr>
          <w:rtl/>
          <w:lang w:bidi="fa-IR"/>
        </w:rPr>
        <w:t xml:space="preserve"> في « ط ، ى ، بح ، بس ، جد ، جن » </w:t>
      </w:r>
      <w:r w:rsidR="00744A1C" w:rsidRPr="004146C4">
        <w:rPr>
          <w:rtl/>
        </w:rPr>
        <w:t>والوسائل :</w:t>
      </w:r>
      <w:r w:rsidR="00744A1C">
        <w:rPr>
          <w:rtl/>
          <w:lang w:bidi="fa-IR"/>
        </w:rPr>
        <w:t xml:space="preserve"> - « المال ».</w:t>
      </w:r>
    </w:p>
    <w:p w:rsidR="00744A1C" w:rsidRDefault="00E378DD" w:rsidP="00E378DD">
      <w:pPr>
        <w:pStyle w:val="libFootnote0"/>
        <w:rPr>
          <w:lang w:bidi="fa-IR"/>
        </w:rPr>
      </w:pPr>
      <w:r>
        <w:rPr>
          <w:rtl/>
          <w:lang w:bidi="fa-IR"/>
        </w:rPr>
        <w:t>(6).</w:t>
      </w:r>
      <w:r w:rsidR="00744A1C">
        <w:rPr>
          <w:rtl/>
          <w:lang w:bidi="fa-IR"/>
        </w:rPr>
        <w:t xml:space="preserve"> « الصُرَّةُ » : ما تُعْقَدُ فيه الدراهم. </w:t>
      </w:r>
      <w:r w:rsidR="00744A1C" w:rsidRPr="00877682">
        <w:rPr>
          <w:rStyle w:val="libFootnoteBoldChar"/>
          <w:rtl/>
        </w:rPr>
        <w:t>لسان العرب</w:t>
      </w:r>
      <w:r w:rsidR="00744A1C">
        <w:rPr>
          <w:rtl/>
          <w:lang w:bidi="fa-IR"/>
        </w:rPr>
        <w:t xml:space="preserve"> ، ج 4 ، ص 451 ( صرر ).</w:t>
      </w:r>
    </w:p>
    <w:p w:rsidR="00744A1C" w:rsidRDefault="00E378DD" w:rsidP="00E378DD">
      <w:pPr>
        <w:pStyle w:val="libFootnote0"/>
        <w:rPr>
          <w:lang w:bidi="fa-IR"/>
        </w:rPr>
      </w:pPr>
      <w:r>
        <w:rPr>
          <w:rtl/>
          <w:lang w:bidi="fa-IR"/>
        </w:rPr>
        <w:t>(7).</w:t>
      </w:r>
      <w:r w:rsidR="00744A1C">
        <w:rPr>
          <w:rtl/>
          <w:lang w:bidi="fa-IR"/>
        </w:rPr>
        <w:t xml:space="preserve"> هكذا في جميع النسخ التي قوبلت </w:t>
      </w:r>
      <w:r w:rsidR="00744A1C" w:rsidRPr="004146C4">
        <w:rPr>
          <w:rtl/>
        </w:rPr>
        <w:t>والوافي والوسائل والبحار.</w:t>
      </w:r>
      <w:r w:rsidR="00744A1C">
        <w:rPr>
          <w:rtl/>
          <w:lang w:bidi="fa-IR"/>
        </w:rPr>
        <w:t xml:space="preserve"> وفي المطبوع : « بهذا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17 ، ص 135 ، ح 17000 ؛ </w:t>
      </w:r>
      <w:r w:rsidR="00744A1C" w:rsidRPr="00C24F9C">
        <w:rPr>
          <w:rStyle w:val="libFootnoteBoldChar"/>
          <w:rtl/>
        </w:rPr>
        <w:t>الوسائل</w:t>
      </w:r>
      <w:r w:rsidR="00744A1C">
        <w:rPr>
          <w:rtl/>
          <w:lang w:bidi="fa-IR"/>
        </w:rPr>
        <w:t xml:space="preserve"> ، ج 17 ، ص 69 ، ح 22010 ؛ </w:t>
      </w:r>
      <w:r w:rsidR="00744A1C" w:rsidRPr="0061079A">
        <w:rPr>
          <w:rStyle w:val="libFootnoteBoldChar"/>
          <w:rtl/>
        </w:rPr>
        <w:t>البحار</w:t>
      </w:r>
      <w:r w:rsidR="00744A1C">
        <w:rPr>
          <w:rtl/>
          <w:lang w:bidi="fa-IR"/>
        </w:rPr>
        <w:t xml:space="preserve"> ، ج 47 ، ص 58 ، ح 109.</w:t>
      </w:r>
    </w:p>
    <w:p w:rsidR="00744A1C" w:rsidRDefault="00E378DD" w:rsidP="00E378DD">
      <w:pPr>
        <w:pStyle w:val="libFootnote0"/>
        <w:rPr>
          <w:lang w:bidi="fa-IR"/>
        </w:rPr>
      </w:pPr>
      <w:r>
        <w:rPr>
          <w:rtl/>
          <w:lang w:bidi="fa-IR"/>
        </w:rPr>
        <w:t>(9).</w:t>
      </w:r>
      <w:r w:rsidR="00744A1C">
        <w:rPr>
          <w:rtl/>
          <w:lang w:bidi="fa-IR"/>
        </w:rPr>
        <w:t xml:space="preserve"> الصامتُ من المال : الذهب والفضّة. راجع : </w:t>
      </w:r>
      <w:r w:rsidR="00744A1C" w:rsidRPr="008A57EB">
        <w:rPr>
          <w:rStyle w:val="libFootnoteBoldChar"/>
          <w:rtl/>
        </w:rPr>
        <w:t>القاموس المحيط</w:t>
      </w:r>
      <w:r w:rsidR="00744A1C">
        <w:rPr>
          <w:rtl/>
          <w:lang w:bidi="fa-IR"/>
        </w:rPr>
        <w:t xml:space="preserve"> ، ج 1 ، ص 152 ( صمت ).</w:t>
      </w:r>
    </w:p>
    <w:tbl>
      <w:tblPr>
        <w:tblStyle w:val="TableGrid"/>
        <w:bidiVisual/>
        <w:tblW w:w="0" w:type="auto"/>
        <w:tblLook w:val="04A0" w:firstRow="1" w:lastRow="0" w:firstColumn="1" w:lastColumn="0" w:noHBand="0" w:noVBand="1"/>
      </w:tblPr>
      <w:tblGrid>
        <w:gridCol w:w="4006"/>
        <w:gridCol w:w="4006"/>
      </w:tblGrid>
      <w:tr w:rsidR="004146C4" w:rsidTr="004146C4">
        <w:tc>
          <w:tcPr>
            <w:tcW w:w="4006" w:type="dxa"/>
          </w:tcPr>
          <w:p w:rsidR="004146C4" w:rsidRDefault="004146C4" w:rsidP="00E378DD">
            <w:pPr>
              <w:pStyle w:val="libFootnote0"/>
              <w:rPr>
                <w:rtl/>
                <w:lang w:bidi="fa-IR"/>
              </w:rPr>
            </w:pPr>
            <w:r>
              <w:rPr>
                <w:rtl/>
                <w:lang w:bidi="fa-IR"/>
              </w:rPr>
              <w:t>(10). في « بح » وحاشية « جت » : « قال ».</w:t>
            </w:r>
          </w:p>
        </w:tc>
        <w:tc>
          <w:tcPr>
            <w:tcW w:w="4006" w:type="dxa"/>
          </w:tcPr>
          <w:p w:rsidR="004146C4" w:rsidRDefault="004146C4" w:rsidP="00E378DD">
            <w:pPr>
              <w:pStyle w:val="libFootnote0"/>
              <w:rPr>
                <w:rtl/>
                <w:lang w:bidi="fa-IR"/>
              </w:rPr>
            </w:pPr>
            <w:r>
              <w:rPr>
                <w:rtl/>
                <w:lang w:bidi="fa-IR"/>
              </w:rPr>
              <w:t>(11). في « بخ ، بف » و</w:t>
            </w:r>
            <w:r w:rsidRPr="00C24F9C">
              <w:rPr>
                <w:rStyle w:val="libFootnoteBoldChar"/>
                <w:rtl/>
              </w:rPr>
              <w:t>الوافي</w:t>
            </w:r>
            <w:r>
              <w:rPr>
                <w:rtl/>
                <w:lang w:bidi="fa-IR"/>
              </w:rPr>
              <w:t xml:space="preserve"> : - « به ».</w:t>
            </w:r>
          </w:p>
        </w:tc>
      </w:tr>
    </w:tbl>
    <w:p w:rsidR="00744A1C" w:rsidRDefault="00E378DD" w:rsidP="00E378DD">
      <w:pPr>
        <w:pStyle w:val="libFootnote0"/>
        <w:rPr>
          <w:lang w:bidi="fa-IR"/>
        </w:rPr>
      </w:pPr>
      <w:r>
        <w:rPr>
          <w:rtl/>
          <w:lang w:bidi="fa-IR"/>
        </w:rPr>
        <w:t>(12).</w:t>
      </w:r>
      <w:r w:rsidR="00744A1C">
        <w:rPr>
          <w:rtl/>
          <w:lang w:bidi="fa-IR"/>
        </w:rPr>
        <w:t xml:space="preserve"> في « بخ ، بف ، جن » </w:t>
      </w:r>
      <w:r w:rsidR="00744A1C" w:rsidRPr="00944E66">
        <w:rPr>
          <w:rtl/>
        </w:rPr>
        <w:t>والوافي</w:t>
      </w:r>
      <w:r w:rsidR="00744A1C">
        <w:rPr>
          <w:rtl/>
          <w:lang w:bidi="fa-IR"/>
        </w:rPr>
        <w:t xml:space="preserve"> : - « في ».</w:t>
      </w:r>
    </w:p>
    <w:p w:rsidR="00744A1C" w:rsidRDefault="00E378DD" w:rsidP="00E378DD">
      <w:pPr>
        <w:pStyle w:val="libFootnote0"/>
        <w:rPr>
          <w:lang w:bidi="fa-IR"/>
        </w:rPr>
      </w:pPr>
      <w:r>
        <w:rPr>
          <w:rtl/>
          <w:lang w:bidi="fa-IR"/>
        </w:rPr>
        <w:t>(13).</w:t>
      </w:r>
      <w:r w:rsidR="00744A1C">
        <w:rPr>
          <w:rtl/>
          <w:lang w:bidi="fa-IR"/>
        </w:rPr>
        <w:t xml:space="preserve"> هكذا في معظم النسخ التي قوبلت و</w:t>
      </w:r>
      <w:r w:rsidR="00744A1C" w:rsidRPr="00C24F9C">
        <w:rPr>
          <w:rStyle w:val="libFootnoteBoldChar"/>
          <w:rtl/>
        </w:rPr>
        <w:t>الوافي</w:t>
      </w:r>
      <w:r w:rsidR="00744A1C">
        <w:rPr>
          <w:rtl/>
          <w:lang w:bidi="fa-IR"/>
        </w:rPr>
        <w:t xml:space="preserve"> و</w:t>
      </w:r>
      <w:r w:rsidR="00744A1C" w:rsidRPr="00C24F9C">
        <w:rPr>
          <w:rStyle w:val="libFootnoteBoldChar"/>
          <w:rtl/>
        </w:rPr>
        <w:t>الفقيه</w:t>
      </w:r>
      <w:r w:rsidR="00744A1C">
        <w:rPr>
          <w:rtl/>
          <w:lang w:bidi="fa-IR"/>
        </w:rPr>
        <w:t>. وفي « جت » والمطبوع : « أو الدار ».</w:t>
      </w:r>
    </w:p>
    <w:p w:rsidR="00744A1C" w:rsidRDefault="00E378DD" w:rsidP="00944E66">
      <w:pPr>
        <w:pStyle w:val="libFootnote0"/>
        <w:rPr>
          <w:lang w:bidi="fa-IR"/>
        </w:rPr>
      </w:pPr>
      <w:r>
        <w:rPr>
          <w:rtl/>
          <w:lang w:bidi="fa-IR"/>
        </w:rPr>
        <w:t>(14).</w:t>
      </w:r>
      <w:r w:rsidR="00744A1C">
        <w:rPr>
          <w:rtl/>
          <w:lang w:bidi="fa-IR"/>
        </w:rPr>
        <w:t xml:space="preserve"> </w:t>
      </w:r>
      <w:r w:rsidR="00744A1C" w:rsidRPr="00C24F9C">
        <w:rPr>
          <w:rStyle w:val="libFootnoteBoldChar"/>
          <w:rtl/>
        </w:rPr>
        <w:t>الفقيه</w:t>
      </w:r>
      <w:r w:rsidR="00744A1C">
        <w:rPr>
          <w:rtl/>
          <w:lang w:bidi="fa-IR"/>
        </w:rPr>
        <w:t xml:space="preserve"> ، ج 3 ، ص 170 ، ح 3642 ، معلّقاً عن زرارة </w:t>
      </w:r>
      <w:r w:rsidR="00944E66">
        <w:rPr>
          <w:rFonts w:hint="cs"/>
          <w:rtl/>
          <w:lang w:bidi="fa-IR"/>
        </w:rPr>
        <w:t>.</w:t>
      </w:r>
      <w:r w:rsidR="00744A1C" w:rsidRPr="00C24F9C">
        <w:rPr>
          <w:rStyle w:val="libFootnoteBoldChar"/>
          <w:rtl/>
        </w:rPr>
        <w:t>الوافي</w:t>
      </w:r>
      <w:r w:rsidR="00744A1C">
        <w:rPr>
          <w:rtl/>
          <w:lang w:bidi="fa-IR"/>
        </w:rPr>
        <w:t xml:space="preserve"> ، ج 17 ، ص 135 ، ح 17001 ؛ </w:t>
      </w:r>
      <w:r w:rsidR="00744A1C" w:rsidRPr="00C24F9C">
        <w:rPr>
          <w:rStyle w:val="libFootnoteBoldChar"/>
          <w:rtl/>
        </w:rPr>
        <w:t>الوسائل</w:t>
      </w:r>
      <w:r w:rsidR="00744A1C">
        <w:rPr>
          <w:rtl/>
          <w:lang w:bidi="fa-IR"/>
        </w:rPr>
        <w:t xml:space="preserve"> ، ج 17 ، ص 69 ، ذيل ح 22009.</w:t>
      </w:r>
      <w:r w:rsidR="005D2B3B">
        <w:rPr>
          <w:rFonts w:hint="cs"/>
          <w:rtl/>
          <w:lang w:bidi="fa-IR"/>
        </w:rPr>
        <w:t xml:space="preserve">       </w:t>
      </w:r>
      <w:r w:rsidR="00944E66">
        <w:rPr>
          <w:rFonts w:hint="cs"/>
          <w:rtl/>
          <w:lang w:bidi="fa-IR"/>
        </w:rPr>
        <w:t xml:space="preserve">   </w:t>
      </w:r>
      <w:r>
        <w:rPr>
          <w:rtl/>
          <w:lang w:bidi="fa-IR"/>
        </w:rPr>
        <w:t>(15).</w:t>
      </w:r>
      <w:r w:rsidR="00744A1C">
        <w:rPr>
          <w:rtl/>
          <w:lang w:bidi="fa-IR"/>
        </w:rPr>
        <w:t xml:space="preserve"> في </w:t>
      </w:r>
      <w:r w:rsidR="00744A1C" w:rsidRPr="00C24F9C">
        <w:rPr>
          <w:rStyle w:val="libFootnoteBoldChar"/>
          <w:rtl/>
        </w:rPr>
        <w:t>الوسائل</w:t>
      </w:r>
      <w:r w:rsidR="00744A1C">
        <w:rPr>
          <w:rtl/>
          <w:lang w:bidi="fa-IR"/>
        </w:rPr>
        <w:t xml:space="preserve"> : « أبو جعفر </w:t>
      </w:r>
      <w:r w:rsidR="0061079A" w:rsidRPr="0061079A">
        <w:rPr>
          <w:rStyle w:val="libFootnoteAlaemChar"/>
          <w:rtl/>
        </w:rPr>
        <w:t>عليه‌السلام</w:t>
      </w:r>
      <w:r w:rsidR="00D10E3C">
        <w:rPr>
          <w:rtl/>
          <w:lang w:bidi="fa-IR"/>
        </w:rPr>
        <w:t xml:space="preserve"> </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944E66" w:rsidTr="00944E66">
        <w:tc>
          <w:tcPr>
            <w:tcW w:w="4006" w:type="dxa"/>
          </w:tcPr>
          <w:p w:rsidR="00944E66" w:rsidRDefault="00944E66" w:rsidP="00D10E3C">
            <w:pPr>
              <w:pStyle w:val="libFootnote0"/>
              <w:rPr>
                <w:rtl/>
                <w:lang w:bidi="fa-IR"/>
              </w:rPr>
            </w:pPr>
            <w:r>
              <w:rPr>
                <w:rtl/>
                <w:lang w:bidi="fa-IR"/>
              </w:rPr>
              <w:t>(16) في « ط ، بح ، جد ، جن » : « قال ».</w:t>
            </w:r>
          </w:p>
        </w:tc>
        <w:tc>
          <w:tcPr>
            <w:tcW w:w="4006" w:type="dxa"/>
          </w:tcPr>
          <w:p w:rsidR="00944E66" w:rsidRDefault="00D172F1" w:rsidP="00D10E3C">
            <w:pPr>
              <w:pStyle w:val="libFootnote0"/>
              <w:rPr>
                <w:rtl/>
                <w:lang w:bidi="fa-IR"/>
              </w:rPr>
            </w:pPr>
            <w:r>
              <w:rPr>
                <w:rtl/>
                <w:lang w:bidi="fa-IR"/>
              </w:rPr>
              <w:t>(17) في«ط،ى،بح،بس،جد،جن»</w:t>
            </w:r>
            <w:r w:rsidR="00944E66">
              <w:rPr>
                <w:rtl/>
                <w:lang w:bidi="fa-IR"/>
              </w:rPr>
              <w:t>و</w:t>
            </w:r>
            <w:r w:rsidR="00944E66" w:rsidRPr="00C24F9C">
              <w:rPr>
                <w:rStyle w:val="libFootnoteBoldChar"/>
                <w:rtl/>
              </w:rPr>
              <w:t>الوسائل</w:t>
            </w:r>
            <w:r>
              <w:rPr>
                <w:rtl/>
                <w:lang w:bidi="fa-IR"/>
              </w:rPr>
              <w:t>:</w:t>
            </w:r>
            <w:r w:rsidR="00944E66">
              <w:rPr>
                <w:rtl/>
                <w:lang w:bidi="fa-IR"/>
              </w:rPr>
              <w:t>« قلت ».</w:t>
            </w:r>
          </w:p>
        </w:tc>
      </w:tr>
    </w:tbl>
    <w:p w:rsidR="00744A1C" w:rsidRDefault="00744A1C" w:rsidP="00D10E3C">
      <w:pPr>
        <w:pStyle w:val="libFootnote0"/>
        <w:rPr>
          <w:lang w:bidi="fa-IR"/>
        </w:rPr>
      </w:pPr>
      <w:r>
        <w:rPr>
          <w:rtl/>
          <w:lang w:bidi="fa-IR"/>
        </w:rPr>
        <w:t xml:space="preserve">(18) في </w:t>
      </w:r>
      <w:r w:rsidRPr="00F04C18">
        <w:rPr>
          <w:rtl/>
        </w:rPr>
        <w:t>البحار</w:t>
      </w:r>
      <w:r>
        <w:rPr>
          <w:rtl/>
          <w:lang w:bidi="fa-IR"/>
        </w:rPr>
        <w:t xml:space="preserve"> : - « فقال : باع فلان أرضه ، فقلت : نعم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w:t>
      </w:r>
      <w:r w:rsidRPr="00D10E3C">
        <w:rPr>
          <w:rStyle w:val="libFootnotenumChar"/>
          <w:rtl/>
        </w:rPr>
        <w:t>(1)</w:t>
      </w:r>
      <w:r>
        <w:rPr>
          <w:rtl/>
          <w:lang w:bidi="fa-IR"/>
        </w:rPr>
        <w:t xml:space="preserve"> : « مَكْتُوبٌ فِي التَّوْرَاةِ أَنَّهُ </w:t>
      </w:r>
      <w:r w:rsidRPr="00D10E3C">
        <w:rPr>
          <w:rStyle w:val="libFootnotenumChar"/>
          <w:rtl/>
        </w:rPr>
        <w:t>(2)</w:t>
      </w:r>
      <w:r>
        <w:rPr>
          <w:rtl/>
          <w:lang w:bidi="fa-IR"/>
        </w:rPr>
        <w:t xml:space="preserve"> مَنْ بَاعَ أَرْضاً أَوْ مَاءً </w:t>
      </w:r>
      <w:r w:rsidRPr="00D10E3C">
        <w:rPr>
          <w:rStyle w:val="libFootnotenumChar"/>
          <w:rtl/>
        </w:rPr>
        <w:t>(3)</w:t>
      </w:r>
      <w:r>
        <w:rPr>
          <w:rtl/>
          <w:lang w:bidi="fa-IR"/>
        </w:rPr>
        <w:t xml:space="preserve"> ، وَلَمْ يَضَعْهُ </w:t>
      </w:r>
      <w:r w:rsidRPr="00D10E3C">
        <w:rPr>
          <w:rStyle w:val="libFootnotenumChar"/>
          <w:rtl/>
        </w:rPr>
        <w:t>(4)</w:t>
      </w:r>
      <w:r>
        <w:rPr>
          <w:rtl/>
          <w:lang w:bidi="fa-IR"/>
        </w:rPr>
        <w:t xml:space="preserve"> فِي أَرْضٍ وَمَاءٍ </w:t>
      </w:r>
      <w:r w:rsidRPr="00D10E3C">
        <w:rPr>
          <w:rStyle w:val="libFootnotenumChar"/>
          <w:rtl/>
        </w:rPr>
        <w:t>(5)</w:t>
      </w:r>
      <w:r>
        <w:rPr>
          <w:rtl/>
          <w:lang w:bidi="fa-IR"/>
        </w:rPr>
        <w:t xml:space="preserve"> ، ذَهَبَ ثَمَنُهُ مَحْقاً </w:t>
      </w:r>
      <w:r w:rsidRPr="00D10E3C">
        <w:rPr>
          <w:rStyle w:val="libFootnotenumChar"/>
          <w:rtl/>
        </w:rPr>
        <w:t>(6)</w:t>
      </w:r>
      <w:r>
        <w:rPr>
          <w:rtl/>
          <w:lang w:bidi="fa-IR"/>
        </w:rPr>
        <w:t xml:space="preserve"> ». </w:t>
      </w:r>
      <w:r w:rsidRPr="00D10E3C">
        <w:rPr>
          <w:rStyle w:val="libFootnotenumChar"/>
          <w:rtl/>
        </w:rPr>
        <w:t>(7)</w:t>
      </w:r>
    </w:p>
    <w:p w:rsidR="00144FA6" w:rsidRDefault="00744A1C" w:rsidP="00744A1C">
      <w:pPr>
        <w:pStyle w:val="libNormal"/>
        <w:rPr>
          <w:rtl/>
          <w:lang w:bidi="fa-IR"/>
        </w:rPr>
      </w:pPr>
      <w:r>
        <w:rPr>
          <w:rtl/>
          <w:lang w:bidi="fa-IR"/>
        </w:rPr>
        <w:t xml:space="preserve">8452 / 4. عَلِيُّ بْنُ مُحَمَّدٍ ، عَنْ صَالِحِ بْنِ أَبِي حَمَّادٍ </w:t>
      </w:r>
      <w:r w:rsidRPr="00D10E3C">
        <w:rPr>
          <w:rStyle w:val="libFootnotenumChar"/>
          <w:rtl/>
        </w:rPr>
        <w:t>(8)</w:t>
      </w:r>
      <w:r>
        <w:rPr>
          <w:rtl/>
          <w:lang w:bidi="fa-IR"/>
        </w:rPr>
        <w:t xml:space="preserve"> ، عَنِ الْحَسَنِ بْنِ عَلِيٍّ ، عَنْ وَهْبٍ الْجُرَيْرِيِّ </w:t>
      </w:r>
      <w:r w:rsidRPr="00D10E3C">
        <w:rPr>
          <w:rStyle w:val="libFootnotenumChar"/>
          <w:rtl/>
        </w:rPr>
        <w:t>(9)</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مُشْتَرِي الْعُقْدَةِ </w:t>
      </w:r>
      <w:r w:rsidRPr="00D10E3C">
        <w:rPr>
          <w:rStyle w:val="libFootnotenumChar"/>
          <w:rtl/>
        </w:rPr>
        <w:t>(10)</w:t>
      </w:r>
      <w:r>
        <w:rPr>
          <w:rtl/>
          <w:lang w:bidi="fa-IR"/>
        </w:rPr>
        <w:t xml:space="preserve"> مَرْزُوقٌ ، وَبَائِعُهَا مَمْحُوقٌ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بح ، جت » </w:t>
      </w:r>
      <w:r w:rsidR="00744A1C" w:rsidRPr="00F04C18">
        <w:rPr>
          <w:rtl/>
        </w:rPr>
        <w:t>و</w:t>
      </w:r>
      <w:r w:rsidR="00F04C18" w:rsidRPr="00F04C18">
        <w:rPr>
          <w:rFonts w:hint="cs"/>
          <w:rtl/>
        </w:rPr>
        <w:t xml:space="preserve"> </w:t>
      </w:r>
      <w:r w:rsidR="00744A1C" w:rsidRPr="00F04C18">
        <w:rPr>
          <w:rtl/>
        </w:rPr>
        <w:t>التهذيب : «</w:t>
      </w:r>
      <w:r w:rsidR="00744A1C">
        <w:rPr>
          <w:rtl/>
          <w:lang w:bidi="fa-IR"/>
        </w:rPr>
        <w:t xml:space="preserve"> فقال ».</w:t>
      </w:r>
    </w:p>
    <w:p w:rsidR="00744A1C" w:rsidRDefault="00E378DD" w:rsidP="00E378DD">
      <w:pPr>
        <w:pStyle w:val="libFootnote0"/>
        <w:rPr>
          <w:lang w:bidi="fa-IR"/>
        </w:rPr>
      </w:pPr>
      <w:r>
        <w:rPr>
          <w:rtl/>
          <w:lang w:bidi="fa-IR"/>
        </w:rPr>
        <w:t>(2).</w:t>
      </w:r>
      <w:r w:rsidR="00744A1C">
        <w:rPr>
          <w:rtl/>
          <w:lang w:bidi="fa-IR"/>
        </w:rPr>
        <w:t xml:space="preserve"> في « ى ، بح ، بس ، جت ، جد ، جن » </w:t>
      </w:r>
      <w:r w:rsidR="00744A1C" w:rsidRPr="00F04C18">
        <w:rPr>
          <w:rtl/>
        </w:rPr>
        <w:t>والوسائل والبحار</w:t>
      </w:r>
      <w:r w:rsidR="00744A1C">
        <w:rPr>
          <w:rtl/>
          <w:lang w:bidi="fa-IR"/>
        </w:rPr>
        <w:t xml:space="preserve"> : « أنّ ». وفي « بف » : - « أنّه ».</w:t>
      </w:r>
    </w:p>
    <w:p w:rsidR="00744A1C" w:rsidRDefault="00E378DD" w:rsidP="00E378DD">
      <w:pPr>
        <w:pStyle w:val="libFootnote0"/>
        <w:rPr>
          <w:lang w:bidi="fa-IR"/>
        </w:rPr>
      </w:pPr>
      <w:r>
        <w:rPr>
          <w:rtl/>
          <w:lang w:bidi="fa-IR"/>
        </w:rPr>
        <w:t>(3).</w:t>
      </w:r>
      <w:r w:rsidR="00744A1C">
        <w:rPr>
          <w:rtl/>
          <w:lang w:bidi="fa-IR"/>
        </w:rPr>
        <w:t xml:space="preserve"> في « بخ ، بف » : « وماء ».</w:t>
      </w:r>
    </w:p>
    <w:p w:rsidR="00744A1C" w:rsidRDefault="00E378DD" w:rsidP="00E378DD">
      <w:pPr>
        <w:pStyle w:val="libFootnote0"/>
        <w:rPr>
          <w:lang w:bidi="fa-IR"/>
        </w:rPr>
      </w:pPr>
      <w:r>
        <w:rPr>
          <w:rtl/>
          <w:lang w:bidi="fa-IR"/>
        </w:rPr>
        <w:t>(4).</w:t>
      </w:r>
      <w:r w:rsidR="00744A1C">
        <w:rPr>
          <w:rtl/>
          <w:lang w:bidi="fa-IR"/>
        </w:rPr>
        <w:t xml:space="preserve"> في « ى ، بح ، بس ، جد ، جن » </w:t>
      </w:r>
      <w:r w:rsidR="00744A1C" w:rsidRPr="00F04C18">
        <w:rPr>
          <w:rtl/>
        </w:rPr>
        <w:t>والبحار والفقيه : « فلم يضعه ». وفي الوسائل والفقيه</w:t>
      </w:r>
      <w:r w:rsidR="00744A1C">
        <w:rPr>
          <w:rtl/>
          <w:lang w:bidi="fa-IR"/>
        </w:rPr>
        <w:t xml:space="preserve"> : + « ثمنه ».</w:t>
      </w:r>
    </w:p>
    <w:p w:rsidR="00744A1C" w:rsidRDefault="00E378DD" w:rsidP="00E378DD">
      <w:pPr>
        <w:pStyle w:val="libFootnote0"/>
        <w:rPr>
          <w:lang w:bidi="fa-IR"/>
        </w:rPr>
      </w:pPr>
      <w:r>
        <w:rPr>
          <w:rtl/>
          <w:lang w:bidi="fa-IR"/>
        </w:rPr>
        <w:t>(5).</w:t>
      </w:r>
      <w:r w:rsidR="00744A1C">
        <w:rPr>
          <w:rtl/>
          <w:lang w:bidi="fa-IR"/>
        </w:rPr>
        <w:t xml:space="preserve"> هكذا في « ط ، ى ، بخ ، بس ، بف ، جت ، جد » </w:t>
      </w:r>
      <w:r w:rsidR="00744A1C" w:rsidRPr="00F04C18">
        <w:rPr>
          <w:rtl/>
        </w:rPr>
        <w:t>والوافي والوسائل والبحار والفقيه والتهذيب.</w:t>
      </w:r>
      <w:r w:rsidR="00744A1C">
        <w:rPr>
          <w:rtl/>
          <w:lang w:bidi="fa-IR"/>
        </w:rPr>
        <w:t xml:space="preserve"> وفي سائر النسخ والمطبوع : « أو ماء ».</w:t>
      </w:r>
    </w:p>
    <w:p w:rsidR="00744A1C" w:rsidRDefault="00E378DD" w:rsidP="00E378DD">
      <w:pPr>
        <w:pStyle w:val="libFootnote0"/>
        <w:rPr>
          <w:lang w:bidi="fa-IR"/>
        </w:rPr>
      </w:pPr>
      <w:r>
        <w:rPr>
          <w:rtl/>
          <w:lang w:bidi="fa-IR"/>
        </w:rPr>
        <w:t>(6).</w:t>
      </w:r>
      <w:r w:rsidR="00744A1C">
        <w:rPr>
          <w:rtl/>
          <w:lang w:bidi="fa-IR"/>
        </w:rPr>
        <w:t xml:space="preserve"> ال</w:t>
      </w:r>
      <w:r w:rsidR="00F04C18">
        <w:rPr>
          <w:rFonts w:hint="cs"/>
          <w:rtl/>
          <w:lang w:bidi="fa-IR"/>
        </w:rPr>
        <w:t>ـ</w:t>
      </w:r>
      <w:r w:rsidR="00744A1C">
        <w:rPr>
          <w:rtl/>
          <w:lang w:bidi="fa-IR"/>
        </w:rPr>
        <w:t xml:space="preserve">مَحْق : النقص ، والمحو ، والإبطال ، وذهاب البركة. راجع : </w:t>
      </w:r>
      <w:r w:rsidR="00744A1C" w:rsidRPr="00877682">
        <w:rPr>
          <w:rStyle w:val="libFootnoteBoldChar"/>
          <w:rtl/>
        </w:rPr>
        <w:t>لسان العرب</w:t>
      </w:r>
      <w:r w:rsidR="00744A1C">
        <w:rPr>
          <w:rtl/>
          <w:lang w:bidi="fa-IR"/>
        </w:rPr>
        <w:t xml:space="preserve"> ، ج 10 ، ص 338 و 339 ( محق ).</w:t>
      </w:r>
    </w:p>
    <w:p w:rsidR="00744A1C" w:rsidRDefault="00E378DD" w:rsidP="00F520C9">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387 ، ح 1155 ، معلّقاً عن الحسن بن محمّد بن سماعة. </w:t>
      </w:r>
      <w:r w:rsidR="00744A1C" w:rsidRPr="00C24F9C">
        <w:rPr>
          <w:rStyle w:val="libFootnoteBoldChar"/>
          <w:rtl/>
        </w:rPr>
        <w:t>الفقيه</w:t>
      </w:r>
      <w:r w:rsidR="00744A1C">
        <w:rPr>
          <w:rtl/>
          <w:lang w:bidi="fa-IR"/>
        </w:rPr>
        <w:t xml:space="preserve"> ، ج 3 ، ص 170 ، ح 3644 ، مرسلاً ، من قوله : « قال : مكتوب في التوراة » </w:t>
      </w:r>
      <w:r w:rsidR="00F520C9">
        <w:rPr>
          <w:rFonts w:hint="cs"/>
          <w:rtl/>
          <w:lang w:bidi="fa-IR"/>
        </w:rPr>
        <w:t>.</w:t>
      </w:r>
      <w:r w:rsidR="00744A1C" w:rsidRPr="00C24F9C">
        <w:rPr>
          <w:rStyle w:val="libFootnoteBoldChar"/>
          <w:rtl/>
        </w:rPr>
        <w:t>الوافي</w:t>
      </w:r>
      <w:r w:rsidR="00744A1C">
        <w:rPr>
          <w:rtl/>
          <w:lang w:bidi="fa-IR"/>
        </w:rPr>
        <w:t xml:space="preserve"> ، ج 17 ، ص 136 ، ح 17002 ؛ </w:t>
      </w:r>
      <w:r w:rsidR="00744A1C" w:rsidRPr="00C24F9C">
        <w:rPr>
          <w:rStyle w:val="libFootnoteBoldChar"/>
          <w:rtl/>
        </w:rPr>
        <w:t>الوسائل</w:t>
      </w:r>
      <w:r w:rsidR="00744A1C">
        <w:rPr>
          <w:rtl/>
          <w:lang w:bidi="fa-IR"/>
        </w:rPr>
        <w:t xml:space="preserve"> ، ج 17 ، ص 70 ، ح 22013 ؛ </w:t>
      </w:r>
      <w:r w:rsidR="00744A1C" w:rsidRPr="0061079A">
        <w:rPr>
          <w:rStyle w:val="libFootnoteBoldChar"/>
          <w:rtl/>
        </w:rPr>
        <w:t>البحار</w:t>
      </w:r>
      <w:r w:rsidR="00744A1C">
        <w:rPr>
          <w:rtl/>
          <w:lang w:bidi="fa-IR"/>
        </w:rPr>
        <w:t xml:space="preserve"> ، ج 13 ، ص 360 ، ح 73.</w:t>
      </w:r>
      <w:r w:rsidR="00F520C9">
        <w:rPr>
          <w:rFonts w:hint="cs"/>
          <w:rtl/>
          <w:lang w:bidi="fa-IR"/>
        </w:rPr>
        <w:t xml:space="preserve">   </w:t>
      </w: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 « بن أبي حمّاد ».</w:t>
      </w:r>
    </w:p>
    <w:p w:rsidR="00744A1C" w:rsidRDefault="00E378DD" w:rsidP="00E378DD">
      <w:pPr>
        <w:pStyle w:val="libFootnote0"/>
        <w:rPr>
          <w:lang w:bidi="fa-IR"/>
        </w:rPr>
      </w:pPr>
      <w:r>
        <w:rPr>
          <w:rtl/>
          <w:lang w:bidi="fa-IR"/>
        </w:rPr>
        <w:t>(9).</w:t>
      </w:r>
      <w:r w:rsidR="00744A1C">
        <w:rPr>
          <w:rtl/>
          <w:lang w:bidi="fa-IR"/>
        </w:rPr>
        <w:t xml:space="preserve"> هكذا في « ى ، بس ، جد ». وفي « ط ، بح ، بخ ، بف ، جت ، جن » والمطبوع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الحريري ».</w:t>
      </w:r>
    </w:p>
    <w:p w:rsidR="00744A1C" w:rsidRDefault="00744A1C" w:rsidP="00D10E3C">
      <w:pPr>
        <w:pStyle w:val="libFootnote0"/>
        <w:rPr>
          <w:lang w:bidi="fa-IR"/>
        </w:rPr>
      </w:pPr>
      <w:r>
        <w:rPr>
          <w:rtl/>
          <w:lang w:bidi="fa-IR"/>
        </w:rPr>
        <w:t xml:space="preserve">والظاهر وقوع التحريف في جزءي العنوان المذكور في المطبوع وما وافقه من النسخ ، وأنّ الصواب هو وهيب الجريري ، والمراد منه وهيب بن حفص أبو عليّ الجريريّ المترجم في </w:t>
      </w:r>
      <w:r w:rsidRPr="003A7143">
        <w:rPr>
          <w:rStyle w:val="libFootnoteBoldChar"/>
          <w:rtl/>
        </w:rPr>
        <w:t>رجال النجاشي</w:t>
      </w:r>
      <w:r>
        <w:rPr>
          <w:rtl/>
          <w:lang w:bidi="fa-IR"/>
        </w:rPr>
        <w:t xml:space="preserve"> ، ص 431 ، الرقم 1159 ؛ فقد روى الحسن بن عليّ بن أبي حمزة عن وهيب بن حفص في </w:t>
      </w:r>
      <w:r w:rsidRPr="00F520C9">
        <w:rPr>
          <w:rStyle w:val="libFootnoteBoldChar"/>
          <w:rtl/>
        </w:rPr>
        <w:t>الغيبة للنعماني</w:t>
      </w:r>
      <w:r>
        <w:rPr>
          <w:rtl/>
          <w:lang w:bidi="fa-IR"/>
        </w:rPr>
        <w:t xml:space="preserve"> ، ص 194 ، ح 1 ؛ وص 200 ، ح 16 ؛ وص 204 ، ح 6 ؛ وص 251 ، ح 2 ؛ وص 253 ، ح 13 ؛ وص 264 ، ح 27 ؛ وص 267 ، ح 32.</w:t>
      </w:r>
    </w:p>
    <w:p w:rsidR="00744A1C" w:rsidRDefault="00744A1C" w:rsidP="00D10E3C">
      <w:pPr>
        <w:pStyle w:val="libFootnote0"/>
        <w:rPr>
          <w:lang w:bidi="fa-IR"/>
        </w:rPr>
      </w:pPr>
      <w:r>
        <w:rPr>
          <w:rtl/>
          <w:lang w:bidi="fa-IR"/>
        </w:rPr>
        <w:t xml:space="preserve">هذا ، وقد ورد في </w:t>
      </w:r>
      <w:r w:rsidRPr="0061079A">
        <w:rPr>
          <w:rStyle w:val="libFootnoteBoldChar"/>
          <w:rtl/>
        </w:rPr>
        <w:t>الكافي</w:t>
      </w:r>
      <w:r>
        <w:rPr>
          <w:rtl/>
          <w:lang w:bidi="fa-IR"/>
        </w:rPr>
        <w:t xml:space="preserve"> ، ح 308 و 351 و 1455 و 6718 و 12861 رواية عليّ بن محمّد عن صالح بن أبي حمّاد عن الحسين بن يزيد عن الحسن بن عليّ بن أبي حمزة ، فلا يبعد سقوط الواسطة بين صالح بن أبي حمّاد وبين الحسن بن عليّ ، في ما نحن فيه.</w:t>
      </w:r>
    </w:p>
    <w:p w:rsidR="00744A1C" w:rsidRDefault="00E378DD" w:rsidP="00E378DD">
      <w:pPr>
        <w:pStyle w:val="libFootnote0"/>
        <w:rPr>
          <w:lang w:bidi="fa-IR"/>
        </w:rPr>
      </w:pPr>
      <w:r>
        <w:rPr>
          <w:rtl/>
          <w:lang w:bidi="fa-IR"/>
        </w:rPr>
        <w:t>(10).</w:t>
      </w:r>
      <w:r w:rsidR="00744A1C">
        <w:rPr>
          <w:rtl/>
          <w:lang w:bidi="fa-IR"/>
        </w:rPr>
        <w:t xml:space="preserve"> « العُقْدَةُ » : الضيعة ، والعقار الذي اعتقد صاحبه ملكاً ، والمكان الكثير الشجر والنخل. </w:t>
      </w:r>
      <w:r w:rsidR="00744A1C" w:rsidRPr="00E978C3">
        <w:rPr>
          <w:rStyle w:val="libFootnoteBoldChar"/>
          <w:rtl/>
        </w:rPr>
        <w:t>الصحاح</w:t>
      </w:r>
      <w:r w:rsidR="00744A1C">
        <w:rPr>
          <w:rtl/>
          <w:lang w:bidi="fa-IR"/>
        </w:rPr>
        <w:t xml:space="preserve"> ، ج 2 ، ص 510 ( عقد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388 ، ح 1156 ، معلّقاً عن الكلينى. </w:t>
      </w:r>
      <w:r w:rsidR="00744A1C" w:rsidRPr="00C24F9C">
        <w:rPr>
          <w:rStyle w:val="libFootnoteBoldChar"/>
          <w:rtl/>
        </w:rPr>
        <w:t>الفقيه</w:t>
      </w:r>
      <w:r w:rsidR="00744A1C">
        <w:rPr>
          <w:rtl/>
          <w:lang w:bidi="fa-IR"/>
        </w:rPr>
        <w:t xml:space="preserve"> ، ج 3 ، ص 169 ، ح 3641 ، مرسلاً </w:t>
      </w:r>
      <w:r w:rsidR="00F520C9">
        <w:rPr>
          <w:rFonts w:hint="cs"/>
          <w:rtl/>
          <w:lang w:bidi="fa-IR"/>
        </w:rPr>
        <w:t>.</w:t>
      </w:r>
      <w:r w:rsidR="00744A1C" w:rsidRPr="00C24F9C">
        <w:rPr>
          <w:rStyle w:val="libFootnoteBoldChar"/>
          <w:rtl/>
        </w:rPr>
        <w:t>الوافي</w:t>
      </w:r>
      <w:r w:rsidR="00744A1C">
        <w:rPr>
          <w:rtl/>
          <w:lang w:bidi="fa-IR"/>
        </w:rPr>
        <w:t xml:space="preserve"> ، ج 17 ، ص 136 ، ح 17004 ؛ </w:t>
      </w:r>
      <w:r w:rsidR="00744A1C" w:rsidRPr="00C24F9C">
        <w:rPr>
          <w:rStyle w:val="libFootnoteBoldChar"/>
          <w:rtl/>
        </w:rPr>
        <w:t>الوسائل</w:t>
      </w:r>
      <w:r w:rsidR="00744A1C">
        <w:rPr>
          <w:rtl/>
          <w:lang w:bidi="fa-IR"/>
        </w:rPr>
        <w:t xml:space="preserve"> ، ج 17 ، ص 70 ، ح 22014.</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8453 / 5. الْحُسَينْ </w:t>
      </w:r>
      <w:r w:rsidRPr="00D10E3C">
        <w:rPr>
          <w:rStyle w:val="libFootnotenumChar"/>
          <w:rtl/>
        </w:rPr>
        <w:t>(1)</w:t>
      </w:r>
      <w:r>
        <w:rPr>
          <w:rtl/>
          <w:lang w:bidi="fa-IR"/>
        </w:rPr>
        <w:t xml:space="preserve"> بْنُ مُحَمَّدٍ ، عَنْ مُحَمَّدِ بْنِ أَحْمَدَ النَّهْدِيِّ ، عَنْ يَعْقُوبَ بْنِ يَزِيدَ ، عَنْ مُحَمَّدِ بْنِ مُرَازِمٍ ، عَنْ أَبِيهِ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لِمُصَادِفٍ مَوْلَاهُ : « اتَّخِذْ عُقْدَةً أَوْ ضَيْعَةً ؛ فَإِنَّ الرَّجُلَ إِذَا نَزَلَتْ بِهِ النَّازِلَةُ أَوِ الْمُصِيبَةُ ، فَذَكَرَ أَنَّ وَرَاءَ ظَهْرِهِ مَا يُقِيمُ عِيَالَهُ ، كَانَ أَسْخى لِنَفْسِهِ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8454 / 6. عَلِيُّ بْنُ مُحَمَّدِ بْنِ بُنْدَارَ ، عَنْ أَحْمَدَ بْنِ أَبِي عَبْدِ اللهِ ، عَنْ مُحَمَّدِ </w:t>
      </w:r>
      <w:r w:rsidRPr="00D10E3C">
        <w:rPr>
          <w:rStyle w:val="libFootnotenumChar"/>
          <w:rtl/>
        </w:rPr>
        <w:t>(4)</w:t>
      </w:r>
      <w:r>
        <w:rPr>
          <w:rtl/>
          <w:lang w:bidi="fa-IR"/>
        </w:rPr>
        <w:t xml:space="preserve"> بْنِ عَلِيِّ </w:t>
      </w:r>
      <w:r w:rsidRPr="00D10E3C">
        <w:rPr>
          <w:rStyle w:val="libFootnotenumChar"/>
          <w:rtl/>
        </w:rPr>
        <w:t>(5)</w:t>
      </w:r>
      <w:r>
        <w:rPr>
          <w:rtl/>
          <w:lang w:bidi="fa-IR"/>
        </w:rPr>
        <w:t xml:space="preserve"> بْنِ يُوسُفَ ، عَنْ عَبْدِ السَّلَامِ ، عَنْ هِشَامِ بْنِ أَحْمَرَ :</w:t>
      </w:r>
    </w:p>
    <w:p w:rsidR="00144FA6" w:rsidRDefault="00744A1C" w:rsidP="00744A1C">
      <w:pPr>
        <w:pStyle w:val="libNormal"/>
        <w:rPr>
          <w:rtl/>
          <w:lang w:bidi="fa-IR"/>
        </w:rPr>
      </w:pPr>
      <w:r>
        <w:rPr>
          <w:rtl/>
          <w:lang w:bidi="fa-IR"/>
        </w:rPr>
        <w:t xml:space="preserve">عَنْ أَبِي إِبْرَاهِيمَ </w:t>
      </w:r>
      <w:r w:rsidR="0061079A" w:rsidRPr="0061079A">
        <w:rPr>
          <w:rStyle w:val="libAlaemChar"/>
          <w:rtl/>
        </w:rPr>
        <w:t>عليه‌السلام</w:t>
      </w:r>
      <w:r w:rsidR="00D10E3C">
        <w:rPr>
          <w:rtl/>
          <w:lang w:bidi="fa-IR"/>
        </w:rPr>
        <w:t xml:space="preserve"> </w:t>
      </w:r>
      <w:r>
        <w:rPr>
          <w:rtl/>
          <w:lang w:bidi="fa-IR"/>
        </w:rPr>
        <w:t>، قَالَ : « ثَ</w:t>
      </w:r>
      <w:r w:rsidR="00306F26">
        <w:rPr>
          <w:rtl/>
          <w:lang w:bidi="fa-IR"/>
        </w:rPr>
        <w:t>مَنُ الْعَقَارِ مَمْحُوقٌ إِل</w:t>
      </w:r>
      <w:r w:rsidR="00306F26">
        <w:rPr>
          <w:rFonts w:hint="cs"/>
          <w:rtl/>
          <w:lang w:bidi="fa-IR"/>
        </w:rPr>
        <w:t>َّ</w:t>
      </w:r>
      <w:r w:rsidR="00306F26">
        <w:rPr>
          <w:rtl/>
          <w:lang w:bidi="fa-IR"/>
        </w:rPr>
        <w:t>ا</w:t>
      </w:r>
      <w:r>
        <w:rPr>
          <w:rtl/>
          <w:lang w:bidi="fa-IR"/>
        </w:rPr>
        <w:t xml:space="preserve"> أَنْ يُجْعَلَ فِي عَقَارٍ مِثْلِهِ ». </w:t>
      </w:r>
      <w:r w:rsidRPr="00D10E3C">
        <w:rPr>
          <w:rStyle w:val="libFootnotenumChar"/>
          <w:rtl/>
        </w:rPr>
        <w:t>(6)</w:t>
      </w:r>
    </w:p>
    <w:p w:rsidR="00144FA6" w:rsidRDefault="00744A1C" w:rsidP="00744A1C">
      <w:pPr>
        <w:pStyle w:val="libNormal"/>
        <w:rPr>
          <w:rtl/>
          <w:lang w:bidi="fa-IR"/>
        </w:rPr>
      </w:pPr>
      <w:r>
        <w:rPr>
          <w:rtl/>
          <w:lang w:bidi="fa-IR"/>
        </w:rPr>
        <w:t xml:space="preserve">8455 / 7. أَبُو عَلِيٍّ الْأَشْعَرِيُّ ، عَنْ الْحَسَنِ بْنِ عَلِيٍّ الْكُوفِيِّ </w:t>
      </w:r>
      <w:r w:rsidRPr="00D10E3C">
        <w:rPr>
          <w:rStyle w:val="libFootnotenumChar"/>
          <w:rtl/>
        </w:rPr>
        <w:t>(7)</w:t>
      </w:r>
      <w:r>
        <w:rPr>
          <w:rtl/>
          <w:lang w:bidi="fa-IR"/>
        </w:rPr>
        <w:t xml:space="preserve"> ، عَنْ عُبَيْسِ بْنِ هِشَامٍ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جن » </w:t>
      </w:r>
      <w:r w:rsidR="00744A1C" w:rsidRPr="00146E0D">
        <w:rPr>
          <w:rtl/>
        </w:rPr>
        <w:t>والوسائل.</w:t>
      </w:r>
      <w:r w:rsidR="00744A1C">
        <w:rPr>
          <w:rtl/>
          <w:lang w:bidi="fa-IR"/>
        </w:rPr>
        <w:t xml:space="preserve"> وفي « ط ، ى ، بح ، بخ ، بس ، بف ، جت ، جد » والمطبوع : « الحسن ».</w:t>
      </w:r>
    </w:p>
    <w:p w:rsidR="00744A1C" w:rsidRDefault="00744A1C" w:rsidP="00D10E3C">
      <w:pPr>
        <w:pStyle w:val="libFootnote0"/>
        <w:rPr>
          <w:lang w:bidi="fa-IR"/>
        </w:rPr>
      </w:pPr>
      <w:r>
        <w:rPr>
          <w:rtl/>
          <w:lang w:bidi="fa-IR"/>
        </w:rPr>
        <w:t xml:space="preserve">ولم نجد في مشايخ المصنّف من يسمّى بالحسن بن محمّد ، وقد وردت رواية الحسين بن محمّد شيخ المصنّف عن محمّد بن أحمد النهدي في بعض الأسناد. راجع : </w:t>
      </w:r>
      <w:r w:rsidRPr="0061079A">
        <w:rPr>
          <w:rStyle w:val="libFootnoteBoldChar"/>
          <w:rtl/>
        </w:rPr>
        <w:t>معجم رجال الحديث</w:t>
      </w:r>
      <w:r>
        <w:rPr>
          <w:rtl/>
          <w:lang w:bidi="fa-IR"/>
        </w:rPr>
        <w:t xml:space="preserve"> ، ج 6 ، ص 342.</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المراد بالنازلة والمصيبة ما يعرضه للهلاك ؛ وبالنفس المهجّة ، أي إعطاء روحه أسهل ». وفي هامشه عن ابن المصنّف </w:t>
      </w:r>
      <w:r w:rsidR="00877682" w:rsidRPr="00877682">
        <w:rPr>
          <w:rStyle w:val="libFootnoteAlaemChar"/>
          <w:rtl/>
        </w:rPr>
        <w:t>رحمه‌الله</w:t>
      </w:r>
      <w:r w:rsidR="00744A1C">
        <w:rPr>
          <w:rtl/>
          <w:lang w:bidi="fa-IR"/>
        </w:rPr>
        <w:t>: « من المحتمل أن يراد بالنازلة والمصيبة طوارق الحدثان ودواهيه ممّا يستدعي إنفاق المال فيه. وبسخاء النفس ما يهون ذلك ويسهّل ما استوعر من المسالك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17 ، ص 136 ، ح 17005 ؛ </w:t>
      </w:r>
      <w:r w:rsidR="00744A1C" w:rsidRPr="00C24F9C">
        <w:rPr>
          <w:rStyle w:val="libFootnoteBoldChar"/>
          <w:rtl/>
        </w:rPr>
        <w:t>الوسائل</w:t>
      </w:r>
      <w:r w:rsidR="00744A1C">
        <w:rPr>
          <w:rtl/>
          <w:lang w:bidi="fa-IR"/>
        </w:rPr>
        <w:t xml:space="preserve"> ، ج 17 ، ص 69 ، ح 22011.</w:t>
      </w:r>
    </w:p>
    <w:p w:rsidR="00744A1C" w:rsidRDefault="00E378DD" w:rsidP="00E378DD">
      <w:pPr>
        <w:pStyle w:val="libFootnote0"/>
        <w:rPr>
          <w:lang w:bidi="fa-IR"/>
        </w:rPr>
      </w:pPr>
      <w:r>
        <w:rPr>
          <w:rtl/>
          <w:lang w:bidi="fa-IR"/>
        </w:rPr>
        <w:t>(4).</w:t>
      </w:r>
      <w:r w:rsidR="00744A1C">
        <w:rPr>
          <w:rtl/>
          <w:lang w:bidi="fa-IR"/>
        </w:rPr>
        <w:t xml:space="preserve"> استظهر في حاشية « بح » صحّة « الحسن » بدل « محمّد ». ولعلّه لما ورد في بعض الأسناد من رواية الحسن بن‌عليّ بن يوسف عن عبد السلام بن سالم ، كما في </w:t>
      </w:r>
      <w:r w:rsidR="00744A1C" w:rsidRPr="00C24F9C">
        <w:rPr>
          <w:rStyle w:val="libFootnoteBoldChar"/>
          <w:rtl/>
        </w:rPr>
        <w:t>التهذيب</w:t>
      </w:r>
      <w:r w:rsidR="00744A1C">
        <w:rPr>
          <w:rtl/>
          <w:lang w:bidi="fa-IR"/>
        </w:rPr>
        <w:t xml:space="preserve"> ، ج 4 ، ص 198 ، ح 569 ، وما ورد في </w:t>
      </w:r>
      <w:r w:rsidR="00744A1C" w:rsidRPr="003A7143">
        <w:rPr>
          <w:rStyle w:val="libFootnoteBoldChar"/>
          <w:rtl/>
        </w:rPr>
        <w:t>رجال النجاشي</w:t>
      </w:r>
      <w:r w:rsidR="00744A1C">
        <w:rPr>
          <w:rtl/>
          <w:lang w:bidi="fa-IR"/>
        </w:rPr>
        <w:t xml:space="preserve"> ، ص 245 ، الرقم 644 من أنّ الحسن بن عليّ بن يوسف بن بقّاح روى كتاب عبدالسلام بن سالم البجلي. لكنّ الظاهر وقوع سقط في السند بأن كان الأصل فيه محمّد بن عليّ عن الحسن بن عليّ بن يوسف ، فجاز النظر من « عليّ » في « محمّد بن عليّ » إلى « عليّ » في « الحسن بن عليّ » فوقع السقط ؛ فقد روى أحمد بن أبي عبدالله عن محمّد بن عليّ عن الحسن بن عليّ بن يوسف في </w:t>
      </w:r>
      <w:r w:rsidR="00744A1C" w:rsidRPr="0061079A">
        <w:rPr>
          <w:rStyle w:val="libFootnoteBoldChar"/>
          <w:rtl/>
        </w:rPr>
        <w:t>الكافي</w:t>
      </w:r>
      <w:r w:rsidR="00744A1C">
        <w:rPr>
          <w:rtl/>
          <w:lang w:bidi="fa-IR"/>
        </w:rPr>
        <w:t xml:space="preserve"> ، ح 11766 ؛ </w:t>
      </w:r>
      <w:r w:rsidR="00744A1C" w:rsidRPr="003A7143">
        <w:rPr>
          <w:rStyle w:val="libFootnoteBoldChar"/>
          <w:rtl/>
        </w:rPr>
        <w:t>المحاسن</w:t>
      </w:r>
      <w:r w:rsidR="00744A1C">
        <w:rPr>
          <w:rtl/>
          <w:lang w:bidi="fa-IR"/>
        </w:rPr>
        <w:t xml:space="preserve"> ، ص 387 ، ح 1 ؛ ص 388 ، ح 10 ؛ ص 391 ، ح 30 ؛ ص 395 ، ح 57 ؛ ص 461 ، ح 411 ؛ وص 485 ، ح 538.</w:t>
      </w:r>
    </w:p>
    <w:p w:rsidR="00744A1C" w:rsidRDefault="00E378DD" w:rsidP="00E378DD">
      <w:pPr>
        <w:pStyle w:val="libFootnote0"/>
        <w:rPr>
          <w:lang w:bidi="fa-IR"/>
        </w:rPr>
      </w:pPr>
      <w:r>
        <w:rPr>
          <w:rtl/>
          <w:lang w:bidi="fa-IR"/>
        </w:rPr>
        <w:t>(5).</w:t>
      </w:r>
      <w:r w:rsidR="00744A1C">
        <w:rPr>
          <w:rtl/>
          <w:lang w:bidi="fa-IR"/>
        </w:rPr>
        <w:t xml:space="preserve"> في </w:t>
      </w:r>
      <w:r w:rsidR="00744A1C" w:rsidRPr="00146E0D">
        <w:rPr>
          <w:rtl/>
        </w:rPr>
        <w:t>الوافي</w:t>
      </w:r>
      <w:r w:rsidR="00744A1C">
        <w:rPr>
          <w:rtl/>
          <w:lang w:bidi="fa-IR"/>
        </w:rPr>
        <w:t xml:space="preserve"> : + « عن عليّ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17 ، ص 137 ، ح 17006 ؛ </w:t>
      </w:r>
      <w:r w:rsidR="00744A1C" w:rsidRPr="00C24F9C">
        <w:rPr>
          <w:rStyle w:val="libFootnoteBoldChar"/>
          <w:rtl/>
        </w:rPr>
        <w:t>الوسائل</w:t>
      </w:r>
      <w:r w:rsidR="00744A1C">
        <w:rPr>
          <w:rtl/>
          <w:lang w:bidi="fa-IR"/>
        </w:rPr>
        <w:t xml:space="preserve"> ، ج 17 ، ص 71 ، ح 22015.</w:t>
      </w:r>
    </w:p>
    <w:p w:rsidR="00144FA6" w:rsidRDefault="00E378DD" w:rsidP="00E378DD">
      <w:pPr>
        <w:pStyle w:val="libFootnote0"/>
        <w:rPr>
          <w:rtl/>
          <w:lang w:bidi="fa-IR"/>
        </w:rPr>
      </w:pPr>
      <w:r>
        <w:rPr>
          <w:rtl/>
          <w:lang w:bidi="fa-IR"/>
        </w:rPr>
        <w:t>(7).</w:t>
      </w:r>
      <w:r w:rsidR="00744A1C">
        <w:rPr>
          <w:rtl/>
          <w:lang w:bidi="fa-IR"/>
        </w:rPr>
        <w:t xml:space="preserve"> هكذا في « ط ». وفي « ى ، بح ، بخ ، بس ، بف ، جد ، جت » والمطبوع و</w:t>
      </w:r>
      <w:r w:rsidR="00744A1C" w:rsidRPr="00C24F9C">
        <w:rPr>
          <w:rStyle w:val="libFootnoteBoldChar"/>
          <w:rtl/>
        </w:rPr>
        <w:t>الوسائل</w:t>
      </w:r>
      <w:r w:rsidR="00744A1C">
        <w:rPr>
          <w:rtl/>
          <w:lang w:bidi="fa-IR"/>
        </w:rPr>
        <w:t xml:space="preserve"> : « محمّد بن الحسن بن عليّ</w:t>
      </w:r>
      <w:r w:rsidR="00146E0D">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عَنْ عَبْدِ الصَّمَدِ بْنِ بَشِيرٍ ، عَنْ مُعَاوِيَةَ بْنِ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لَمَّا دَخَلَ النَّبِيُّ </w:t>
      </w:r>
      <w:r w:rsidR="00712C99" w:rsidRPr="00712C99">
        <w:rPr>
          <w:rStyle w:val="libAlaemChar"/>
          <w:rtl/>
        </w:rPr>
        <w:t>صلى‌الله‌عليه‌وآله</w:t>
      </w:r>
      <w:r w:rsidR="00D10E3C">
        <w:rPr>
          <w:rtl/>
          <w:lang w:bidi="fa-IR"/>
        </w:rPr>
        <w:t xml:space="preserve"> </w:t>
      </w:r>
      <w:r>
        <w:rPr>
          <w:rtl/>
          <w:lang w:bidi="fa-IR"/>
        </w:rPr>
        <w:t xml:space="preserve">الْمَدِينَةَ خَطَّ دَوْرَهَا </w:t>
      </w:r>
      <w:r w:rsidRPr="00D10E3C">
        <w:rPr>
          <w:rStyle w:val="libFootnotenumChar"/>
          <w:rtl/>
        </w:rPr>
        <w:t>(1)</w:t>
      </w:r>
      <w:r w:rsidR="00487079">
        <w:rPr>
          <w:rtl/>
          <w:lang w:bidi="fa-IR"/>
        </w:rPr>
        <w:t xml:space="preserve"> بِرِجْلِهِ ، ثُمَّ قَالَ</w:t>
      </w:r>
      <w:r>
        <w:rPr>
          <w:rtl/>
          <w:lang w:bidi="fa-IR"/>
        </w:rPr>
        <w:t>: الل</w:t>
      </w:r>
      <w:r w:rsidR="00487079">
        <w:rPr>
          <w:rFonts w:hint="cs"/>
          <w:rtl/>
          <w:lang w:bidi="fa-IR"/>
        </w:rPr>
        <w:t>ّ</w:t>
      </w:r>
      <w:r>
        <w:rPr>
          <w:rtl/>
          <w:lang w:bidi="fa-IR"/>
        </w:rPr>
        <w:t xml:space="preserve">هُمَّ مَنْ بَاعَ رِبَاعَهُ </w:t>
      </w:r>
      <w:r w:rsidRPr="00D10E3C">
        <w:rPr>
          <w:rStyle w:val="libFootnotenumChar"/>
          <w:rtl/>
        </w:rPr>
        <w:t>(2)</w:t>
      </w:r>
      <w:r>
        <w:rPr>
          <w:rtl/>
          <w:lang w:bidi="fa-IR"/>
        </w:rPr>
        <w:t xml:space="preserve"> فَلَا تُبَارِكْ لَهُ ». </w:t>
      </w:r>
      <w:r w:rsidRPr="00D10E3C">
        <w:rPr>
          <w:rStyle w:val="libFootnotenumChar"/>
          <w:rtl/>
        </w:rPr>
        <w:t>(3)</w:t>
      </w:r>
    </w:p>
    <w:p w:rsidR="00144FA6" w:rsidRDefault="00744A1C" w:rsidP="00744A1C">
      <w:pPr>
        <w:pStyle w:val="libNormal"/>
        <w:rPr>
          <w:rtl/>
          <w:lang w:bidi="fa-IR"/>
        </w:rPr>
      </w:pPr>
      <w:r>
        <w:rPr>
          <w:rtl/>
          <w:lang w:bidi="fa-IR"/>
        </w:rPr>
        <w:t>8456 / 8. عِدَّةٌ مِنْ أَصْحَابِنَا ، عَنْ سَهْلِ بْنِ زِيَادٍ ، عَنْ مُحَمَّدِ بْنِ الْحَسَنِ بْنِ شَمُّونٍ ، عَنِ الْأَصَمِّ ، عَنْ مِسْمَعٍ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 لِي أَرْضاً تُطْلَبُ مِنِّي وَيُرَغِّبُونِّي </w:t>
      </w:r>
      <w:r w:rsidRPr="00D10E3C">
        <w:rPr>
          <w:rStyle w:val="libFootnotenumChar"/>
          <w:rtl/>
        </w:rPr>
        <w:t>(4)</w:t>
      </w:r>
    </w:p>
    <w:p w:rsidR="00744A1C" w:rsidRDefault="00744A1C" w:rsidP="00744A1C">
      <w:pPr>
        <w:pStyle w:val="libNormal"/>
        <w:rPr>
          <w:lang w:bidi="fa-IR"/>
        </w:rPr>
      </w:pPr>
      <w:r>
        <w:rPr>
          <w:rtl/>
          <w:lang w:bidi="fa-IR"/>
        </w:rPr>
        <w:t xml:space="preserve">فَقَالَ لِي </w:t>
      </w:r>
      <w:r w:rsidRPr="00D10E3C">
        <w:rPr>
          <w:rStyle w:val="libFootnotenumChar"/>
          <w:rtl/>
        </w:rPr>
        <w:t>(5)</w:t>
      </w:r>
      <w:r>
        <w:rPr>
          <w:rtl/>
          <w:lang w:bidi="fa-IR"/>
        </w:rPr>
        <w:t xml:space="preserve"> : « يَا أَبَا سَيَّارٍ </w:t>
      </w:r>
      <w:r w:rsidRPr="00D10E3C">
        <w:rPr>
          <w:rStyle w:val="libFootnotenumChar"/>
          <w:rtl/>
        </w:rPr>
        <w:t>(6)</w:t>
      </w:r>
      <w:r>
        <w:rPr>
          <w:rtl/>
          <w:lang w:bidi="fa-IR"/>
        </w:rPr>
        <w:t xml:space="preserve"> ، أَمَا عَلِمْتَ أَنَّ </w:t>
      </w:r>
      <w:r w:rsidRPr="00D10E3C">
        <w:rPr>
          <w:rStyle w:val="libFootnotenumChar"/>
          <w:rtl/>
        </w:rPr>
        <w:t>(7)</w:t>
      </w:r>
      <w:r>
        <w:rPr>
          <w:rtl/>
          <w:lang w:bidi="fa-IR"/>
        </w:rPr>
        <w:t xml:space="preserve"> مَنْ بَاعَ الْمَاءَ وَالطِّينَ ، ثُمَّ لَمْ يَجْعَلْ مَالَهُ فِي الْمَاءِ وَالطِّينِ </w:t>
      </w:r>
      <w:r w:rsidRPr="00D10E3C">
        <w:rPr>
          <w:rStyle w:val="libFootnotenumChar"/>
          <w:rtl/>
        </w:rPr>
        <w:t>(8)</w:t>
      </w:r>
      <w:r>
        <w:rPr>
          <w:rtl/>
          <w:lang w:bidi="fa-IR"/>
        </w:rPr>
        <w:t xml:space="preserve"> ، ذَهَبَ مَالُهُ هَبَاءً </w:t>
      </w:r>
      <w:r w:rsidRPr="00D10E3C">
        <w:rPr>
          <w:rStyle w:val="libFootnotenumChar"/>
          <w:rtl/>
        </w:rPr>
        <w:t>(9)</w:t>
      </w:r>
      <w:r>
        <w:rPr>
          <w:rtl/>
          <w:lang w:bidi="fa-IR"/>
        </w:rPr>
        <w:t>؟ ».</w:t>
      </w:r>
    </w:p>
    <w:p w:rsidR="00744A1C" w:rsidRDefault="00744A1C" w:rsidP="00D10E3C">
      <w:pPr>
        <w:pStyle w:val="libLine"/>
        <w:rPr>
          <w:lang w:bidi="fa-IR"/>
        </w:rPr>
      </w:pPr>
      <w:r>
        <w:rPr>
          <w:rtl/>
          <w:lang w:bidi="fa-IR"/>
        </w:rPr>
        <w:t>____________________</w:t>
      </w:r>
    </w:p>
    <w:p w:rsidR="00744A1C" w:rsidRDefault="00744A1C" w:rsidP="00D10E3C">
      <w:pPr>
        <w:pStyle w:val="libFootnote0"/>
        <w:rPr>
          <w:lang w:bidi="fa-IR"/>
        </w:rPr>
      </w:pPr>
      <w:r>
        <w:rPr>
          <w:rtl/>
          <w:lang w:bidi="fa-IR"/>
        </w:rPr>
        <w:t>‌</w:t>
      </w:r>
      <w:r w:rsidR="00487079">
        <w:rPr>
          <w:rFonts w:hint="cs"/>
          <w:rtl/>
          <w:lang w:bidi="fa-IR"/>
        </w:rPr>
        <w:t xml:space="preserve">= </w:t>
      </w:r>
      <w:r>
        <w:rPr>
          <w:rtl/>
          <w:lang w:bidi="fa-IR"/>
        </w:rPr>
        <w:t>الكوفي ». وفي « جن » : « محمّد بن الحسن بن عليّ ».</w:t>
      </w:r>
    </w:p>
    <w:p w:rsidR="00744A1C" w:rsidRDefault="00744A1C" w:rsidP="00D10E3C">
      <w:pPr>
        <w:pStyle w:val="libFootnote0"/>
        <w:rPr>
          <w:lang w:bidi="fa-IR"/>
        </w:rPr>
      </w:pPr>
      <w:r>
        <w:rPr>
          <w:rtl/>
          <w:lang w:bidi="fa-IR"/>
        </w:rPr>
        <w:t xml:space="preserve">والصواب ما أثبتناه ؛ فإنّ المراد من الحسن بن عليّ الكوفي ، هو الحسن بن عليّ بن عبد الله بن المغيرة ، وقد وردت رواية أبي عليّ الأشعري عن الحسن بن عليّ بن عبد الله أو عن الحسن بن عليّ الكوفي عن عبيس بن هشام في عددٍ من الأسناد. والحسن بن عليّ الكوفي روى كتاب عبيس بن هشام. راجع : </w:t>
      </w:r>
      <w:r w:rsidRPr="0061079A">
        <w:rPr>
          <w:rStyle w:val="libFootnoteBoldChar"/>
          <w:rtl/>
        </w:rPr>
        <w:t>معجم رجال الحديث</w:t>
      </w:r>
      <w:r>
        <w:rPr>
          <w:rtl/>
          <w:lang w:bidi="fa-IR"/>
        </w:rPr>
        <w:t xml:space="preserve"> ، ج 5 ، ص 302 ، وص 323 ؛ </w:t>
      </w:r>
      <w:r w:rsidRPr="003A7143">
        <w:rPr>
          <w:rStyle w:val="libFootnoteBoldChar"/>
          <w:rtl/>
        </w:rPr>
        <w:t>الفهرست للطوسي</w:t>
      </w:r>
      <w:r>
        <w:rPr>
          <w:rtl/>
          <w:lang w:bidi="fa-IR"/>
        </w:rPr>
        <w:t xml:space="preserve"> ، ص 346 ، الرقم 547.</w:t>
      </w:r>
    </w:p>
    <w:p w:rsidR="00744A1C" w:rsidRDefault="00D10E3C" w:rsidP="00D10E3C">
      <w:pPr>
        <w:pStyle w:val="libFootnote0"/>
        <w:rPr>
          <w:lang w:bidi="fa-IR"/>
        </w:rPr>
      </w:pPr>
      <w:r>
        <w:rPr>
          <w:rtl/>
          <w:lang w:bidi="fa-IR"/>
        </w:rPr>
        <w:t>(1).</w:t>
      </w:r>
      <w:r w:rsidR="00744A1C">
        <w:rPr>
          <w:rtl/>
          <w:lang w:bidi="fa-IR"/>
        </w:rPr>
        <w:t xml:space="preserve"> في « بخ ، بف </w:t>
      </w:r>
      <w:r w:rsidR="00744A1C" w:rsidRPr="00315F1A">
        <w:rPr>
          <w:rtl/>
        </w:rPr>
        <w:t>» والوافي :</w:t>
      </w:r>
      <w:r w:rsidR="00744A1C">
        <w:rPr>
          <w:rtl/>
          <w:lang w:bidi="fa-IR"/>
        </w:rPr>
        <w:t xml:space="preserve"> « دروبها ».</w:t>
      </w:r>
    </w:p>
    <w:p w:rsidR="00744A1C" w:rsidRDefault="00E378DD" w:rsidP="00E378DD">
      <w:pPr>
        <w:pStyle w:val="libFootnote0"/>
        <w:rPr>
          <w:lang w:bidi="fa-IR"/>
        </w:rPr>
      </w:pPr>
      <w:r>
        <w:rPr>
          <w:rtl/>
          <w:lang w:bidi="fa-IR"/>
        </w:rPr>
        <w:t>(2).</w:t>
      </w:r>
      <w:r w:rsidR="00744A1C">
        <w:rPr>
          <w:rtl/>
          <w:lang w:bidi="fa-IR"/>
        </w:rPr>
        <w:t xml:space="preserve"> في « ط » : « رباطه ». وفي </w:t>
      </w:r>
      <w:r w:rsidR="00744A1C" w:rsidRPr="00315F1A">
        <w:rPr>
          <w:rtl/>
        </w:rPr>
        <w:t>الفقيه :</w:t>
      </w:r>
      <w:r w:rsidR="00744A1C">
        <w:rPr>
          <w:rtl/>
          <w:lang w:bidi="fa-IR"/>
        </w:rPr>
        <w:t xml:space="preserve"> « رقعة من أرض » بدل « رباعه ». والرِّباع ، جمع الرَّبْع بمعنى المنزل ودار الإقامة. راجع : </w:t>
      </w:r>
      <w:r w:rsidR="00744A1C" w:rsidRPr="00877682">
        <w:rPr>
          <w:rStyle w:val="libFootnoteBoldChar"/>
          <w:rtl/>
        </w:rPr>
        <w:t>النهاية</w:t>
      </w:r>
      <w:r w:rsidR="00744A1C">
        <w:rPr>
          <w:rtl/>
          <w:lang w:bidi="fa-IR"/>
        </w:rPr>
        <w:t xml:space="preserve"> ، ج 2 ، ص 189 ( ربع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الفقيه</w:t>
      </w:r>
      <w:r w:rsidR="00744A1C">
        <w:rPr>
          <w:rtl/>
          <w:lang w:bidi="fa-IR"/>
        </w:rPr>
        <w:t xml:space="preserve"> ، ج 3 ، ص 170 ، ح 3643 ، معلّقاً عن عبد الصمد بن بشير </w:t>
      </w:r>
      <w:r w:rsidR="00315F1A">
        <w:rPr>
          <w:rFonts w:hint="cs"/>
          <w:rtl/>
          <w:lang w:bidi="fa-IR"/>
        </w:rPr>
        <w:t>.</w:t>
      </w:r>
      <w:r w:rsidR="00744A1C" w:rsidRPr="00C24F9C">
        <w:rPr>
          <w:rStyle w:val="libFootnoteBoldChar"/>
          <w:rtl/>
        </w:rPr>
        <w:t>الوافي</w:t>
      </w:r>
      <w:r w:rsidR="00744A1C">
        <w:rPr>
          <w:rtl/>
          <w:lang w:bidi="fa-IR"/>
        </w:rPr>
        <w:t xml:space="preserve"> ، ج 17 ، ص 137 ، ح 17007 ؛ </w:t>
      </w:r>
      <w:r w:rsidR="00744A1C" w:rsidRPr="00C24F9C">
        <w:rPr>
          <w:rStyle w:val="libFootnoteBoldChar"/>
          <w:rtl/>
        </w:rPr>
        <w:t>الوسائل</w:t>
      </w:r>
      <w:r w:rsidR="00744A1C">
        <w:rPr>
          <w:rtl/>
          <w:lang w:bidi="fa-IR"/>
        </w:rPr>
        <w:t xml:space="preserve"> ، ج 17 ، ص 70 ، ح 22012 ؛ </w:t>
      </w:r>
      <w:r w:rsidR="00744A1C" w:rsidRPr="0061079A">
        <w:rPr>
          <w:rStyle w:val="libFootnoteBoldChar"/>
          <w:rtl/>
        </w:rPr>
        <w:t>البحار</w:t>
      </w:r>
      <w:r w:rsidR="00744A1C">
        <w:rPr>
          <w:rtl/>
          <w:lang w:bidi="fa-IR"/>
        </w:rPr>
        <w:t xml:space="preserve"> ، ج 19 ، ص 119 ، ح 4.</w:t>
      </w:r>
    </w:p>
    <w:p w:rsidR="00744A1C" w:rsidRDefault="00E378DD" w:rsidP="00E378DD">
      <w:pPr>
        <w:pStyle w:val="libFootnote0"/>
        <w:rPr>
          <w:lang w:bidi="fa-IR"/>
        </w:rPr>
      </w:pPr>
      <w:r>
        <w:rPr>
          <w:rtl/>
          <w:lang w:bidi="fa-IR"/>
        </w:rPr>
        <w:t>(4).</w:t>
      </w:r>
      <w:r w:rsidR="00744A1C">
        <w:rPr>
          <w:rtl/>
          <w:lang w:bidi="fa-IR"/>
        </w:rPr>
        <w:t xml:space="preserve"> في حاشية « بح » </w:t>
      </w:r>
      <w:r w:rsidR="00744A1C" w:rsidRPr="00315F1A">
        <w:rPr>
          <w:rtl/>
        </w:rPr>
        <w:t>والوافي والتهذيب : « وير</w:t>
      </w:r>
      <w:r w:rsidR="00744A1C">
        <w:rPr>
          <w:rtl/>
          <w:lang w:bidi="fa-IR"/>
        </w:rPr>
        <w:t>غّبونني ».</w:t>
      </w:r>
    </w:p>
    <w:p w:rsidR="00744A1C" w:rsidRDefault="00E378DD" w:rsidP="00E378DD">
      <w:pPr>
        <w:pStyle w:val="libFootnote0"/>
        <w:rPr>
          <w:lang w:bidi="fa-IR"/>
        </w:rPr>
      </w:pPr>
      <w:r>
        <w:rPr>
          <w:rtl/>
          <w:lang w:bidi="fa-IR"/>
        </w:rPr>
        <w:t>(5).</w:t>
      </w:r>
      <w:r w:rsidR="00744A1C">
        <w:rPr>
          <w:rtl/>
          <w:lang w:bidi="fa-IR"/>
        </w:rPr>
        <w:t xml:space="preserve"> في « ط ، بف »</w:t>
      </w:r>
      <w:r w:rsidR="00744A1C" w:rsidRPr="00315F1A">
        <w:rPr>
          <w:rtl/>
        </w:rPr>
        <w:t xml:space="preserve"> والوافي</w:t>
      </w:r>
      <w:r w:rsidR="00744A1C">
        <w:rPr>
          <w:rtl/>
          <w:lang w:bidi="fa-IR"/>
        </w:rPr>
        <w:t xml:space="preserve"> : - « لي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يا باسيّار ».</w:t>
      </w:r>
    </w:p>
    <w:p w:rsidR="00744A1C" w:rsidRDefault="00E378DD" w:rsidP="00E378DD">
      <w:pPr>
        <w:pStyle w:val="libFootnote0"/>
        <w:rPr>
          <w:lang w:bidi="fa-IR"/>
        </w:rPr>
      </w:pPr>
      <w:r>
        <w:rPr>
          <w:rtl/>
          <w:lang w:bidi="fa-IR"/>
        </w:rPr>
        <w:t>(7).</w:t>
      </w:r>
      <w:r w:rsidR="00744A1C">
        <w:rPr>
          <w:rtl/>
          <w:lang w:bidi="fa-IR"/>
        </w:rPr>
        <w:t xml:space="preserve"> في « جد » وحاشية « جت » و</w:t>
      </w:r>
      <w:r w:rsidR="00744A1C" w:rsidRPr="00C24F9C">
        <w:rPr>
          <w:rStyle w:val="libFootnoteBoldChar"/>
          <w:rtl/>
        </w:rPr>
        <w:t>الوسائل</w:t>
      </w:r>
      <w:r w:rsidR="00744A1C">
        <w:rPr>
          <w:rtl/>
          <w:lang w:bidi="fa-IR"/>
        </w:rPr>
        <w:t xml:space="preserve"> : « أنّه ».</w:t>
      </w:r>
    </w:p>
    <w:p w:rsidR="00744A1C" w:rsidRDefault="00E378DD" w:rsidP="00E378DD">
      <w:pPr>
        <w:pStyle w:val="libFootnote0"/>
        <w:rPr>
          <w:lang w:bidi="fa-IR"/>
        </w:rPr>
      </w:pPr>
      <w:r>
        <w:rPr>
          <w:rtl/>
          <w:lang w:bidi="fa-IR"/>
        </w:rPr>
        <w:t>(8).</w:t>
      </w:r>
      <w:r w:rsidR="00744A1C">
        <w:rPr>
          <w:rtl/>
          <w:lang w:bidi="fa-IR"/>
        </w:rPr>
        <w:t xml:space="preserve"> هكذا في « ط ، بخ ، بس ، بف ، جت » </w:t>
      </w:r>
      <w:r w:rsidR="00744A1C" w:rsidRPr="00315F1A">
        <w:rPr>
          <w:rtl/>
        </w:rPr>
        <w:t>والوافي والوسائل والتهذيب</w:t>
      </w:r>
      <w:r w:rsidR="00744A1C">
        <w:rPr>
          <w:rtl/>
          <w:lang w:bidi="fa-IR"/>
        </w:rPr>
        <w:t>. وفي سائر النسخ والمطبوع : - « ثمّ لم يجعل ماله في الماء والطين ».</w:t>
      </w:r>
    </w:p>
    <w:p w:rsidR="00744A1C" w:rsidRDefault="00E378DD" w:rsidP="00E378DD">
      <w:pPr>
        <w:pStyle w:val="libFootnote0"/>
        <w:rPr>
          <w:lang w:bidi="fa-IR"/>
        </w:rPr>
      </w:pPr>
      <w:r>
        <w:rPr>
          <w:rtl/>
          <w:lang w:bidi="fa-IR"/>
        </w:rPr>
        <w:t>(9).</w:t>
      </w:r>
      <w:r w:rsidR="00744A1C">
        <w:rPr>
          <w:rtl/>
          <w:lang w:bidi="fa-IR"/>
        </w:rPr>
        <w:t xml:space="preserve"> في « ط » : - « هباء ». والهَباء : الغُبار ، ودُقاقُ التُراب ، وما نَ</w:t>
      </w:r>
      <w:r w:rsidR="00315F1A">
        <w:rPr>
          <w:rtl/>
          <w:lang w:bidi="fa-IR"/>
        </w:rPr>
        <w:t>بَتَ في الهَواء فلا يَبْدُو إل</w:t>
      </w:r>
      <w:r w:rsidR="00315F1A">
        <w:rPr>
          <w:rFonts w:hint="cs"/>
          <w:rtl/>
          <w:lang w:bidi="fa-IR"/>
        </w:rPr>
        <w:t>ّ</w:t>
      </w:r>
      <w:r w:rsidR="00315F1A">
        <w:rPr>
          <w:rtl/>
          <w:lang w:bidi="fa-IR"/>
        </w:rPr>
        <w:t>ا</w:t>
      </w:r>
      <w:r w:rsidR="00744A1C">
        <w:rPr>
          <w:rtl/>
          <w:lang w:bidi="fa-IR"/>
        </w:rPr>
        <w:t xml:space="preserve">في أثناء ضوء الشمس في الكُوَّة. راجع : </w:t>
      </w:r>
      <w:r w:rsidR="00744A1C" w:rsidRPr="002D57AD">
        <w:rPr>
          <w:rStyle w:val="libFootnoteBoldChar"/>
          <w:rtl/>
        </w:rPr>
        <w:t>المفردات للراغب</w:t>
      </w:r>
      <w:r w:rsidR="00744A1C">
        <w:rPr>
          <w:rtl/>
          <w:lang w:bidi="fa-IR"/>
        </w:rPr>
        <w:t xml:space="preserve"> ، ص 832 ؛ </w:t>
      </w:r>
      <w:r w:rsidR="00744A1C" w:rsidRPr="00877682">
        <w:rPr>
          <w:rStyle w:val="libFootnoteBoldChar"/>
          <w:rtl/>
        </w:rPr>
        <w:t>لسان العرب</w:t>
      </w:r>
      <w:r w:rsidR="00744A1C">
        <w:rPr>
          <w:rtl/>
          <w:lang w:bidi="fa-IR"/>
        </w:rPr>
        <w:t xml:space="preserve"> ، ج 15 ، ص 350 ( هبو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قُلْتُ : جُعِلْتُ فِدَاكَ ، إِنِّي أَبِيعُ بِالثَّمَنِ الْكَثِيرِ ، وَأَشْتَرِي مَا </w:t>
      </w:r>
      <w:r w:rsidRPr="00D10E3C">
        <w:rPr>
          <w:rStyle w:val="libFootnotenumChar"/>
          <w:rtl/>
        </w:rPr>
        <w:t>(1)</w:t>
      </w:r>
      <w:r>
        <w:rPr>
          <w:rtl/>
          <w:lang w:bidi="fa-IR"/>
        </w:rPr>
        <w:t xml:space="preserve"> هُوَ أَوْسَعُ رُقْعَةً </w:t>
      </w:r>
      <w:r w:rsidRPr="00D10E3C">
        <w:rPr>
          <w:rStyle w:val="libFootnotenumChar"/>
          <w:rtl/>
        </w:rPr>
        <w:t>(2)</w:t>
      </w:r>
      <w:r>
        <w:rPr>
          <w:rtl/>
          <w:lang w:bidi="fa-IR"/>
        </w:rPr>
        <w:t xml:space="preserve"> مِمَّا بِعْتُ </w:t>
      </w:r>
      <w:r w:rsidRPr="00D10E3C">
        <w:rPr>
          <w:rStyle w:val="libFootnotenumChar"/>
          <w:rtl/>
        </w:rPr>
        <w:t>(3)</w:t>
      </w:r>
      <w:r w:rsidR="00B80D30" w:rsidRPr="00B80D30">
        <w:rPr>
          <w:rFonts w:hint="cs"/>
          <w:rtl/>
        </w:rPr>
        <w:t>.</w:t>
      </w:r>
    </w:p>
    <w:p w:rsidR="00144FA6" w:rsidRDefault="00744A1C" w:rsidP="00744A1C">
      <w:pPr>
        <w:pStyle w:val="libNormal"/>
        <w:rPr>
          <w:rtl/>
          <w:lang w:bidi="fa-IR"/>
        </w:rPr>
      </w:pPr>
      <w:r>
        <w:rPr>
          <w:rtl/>
          <w:lang w:bidi="fa-IR"/>
        </w:rPr>
        <w:t xml:space="preserve">قَالَ : « فَلَا بَأْسَ </w:t>
      </w:r>
      <w:r w:rsidRPr="00D10E3C">
        <w:rPr>
          <w:rStyle w:val="libFootnotenumChar"/>
          <w:rtl/>
        </w:rPr>
        <w:t>(4)</w:t>
      </w:r>
      <w:r>
        <w:rPr>
          <w:rtl/>
          <w:lang w:bidi="fa-IR"/>
        </w:rPr>
        <w:t xml:space="preserve"> ». </w:t>
      </w:r>
      <w:r w:rsidRPr="00D10E3C">
        <w:rPr>
          <w:rStyle w:val="libFootnotenumChar"/>
          <w:rtl/>
        </w:rPr>
        <w:t>(5)</w:t>
      </w:r>
    </w:p>
    <w:p w:rsidR="00744A1C" w:rsidRDefault="00744A1C" w:rsidP="00B80D30">
      <w:pPr>
        <w:pStyle w:val="Heading2Center"/>
        <w:rPr>
          <w:lang w:bidi="fa-IR"/>
        </w:rPr>
      </w:pPr>
      <w:bookmarkStart w:id="142" w:name="_Toc49261440"/>
      <w:r>
        <w:rPr>
          <w:rtl/>
          <w:lang w:bidi="fa-IR"/>
        </w:rPr>
        <w:t>19 - بَابُ الدَّيْنِ‌</w:t>
      </w:r>
      <w:bookmarkEnd w:id="142"/>
    </w:p>
    <w:p w:rsidR="00144FA6" w:rsidRDefault="00744A1C" w:rsidP="00744A1C">
      <w:pPr>
        <w:pStyle w:val="libNormal"/>
        <w:rPr>
          <w:rtl/>
          <w:lang w:bidi="fa-IR"/>
        </w:rPr>
      </w:pPr>
      <w:r>
        <w:rPr>
          <w:rtl/>
          <w:lang w:bidi="fa-IR"/>
        </w:rPr>
        <w:t>8457 / 1. عِدَّةٌ مِنْ أَصْحَابِنَا ، عَنْ سَهْلِ بْنِ زِيَادٍ ، عَنِ ابْنِ مَحْبُوبٍ ، عَنْ عَبْدِ الرَّحْمنِ بْنِ الْحَجَّاجِ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تَعَوَّذُوا </w:t>
      </w:r>
      <w:r w:rsidRPr="00D10E3C">
        <w:rPr>
          <w:rStyle w:val="libFootnotenumChar"/>
          <w:rtl/>
        </w:rPr>
        <w:t>(6)</w:t>
      </w:r>
      <w:r>
        <w:rPr>
          <w:rtl/>
          <w:lang w:bidi="fa-IR"/>
        </w:rPr>
        <w:t xml:space="preserve"> بِاللهِ مِنْ غَلَبَةِ الدَّيْنِ ، وَغَلَبَةِ الرِّجَالِ </w:t>
      </w:r>
      <w:r w:rsidRPr="00D10E3C">
        <w:rPr>
          <w:rStyle w:val="libFootnotenumChar"/>
          <w:rtl/>
        </w:rPr>
        <w:t>(7)</w:t>
      </w:r>
      <w:r>
        <w:rPr>
          <w:rtl/>
          <w:lang w:bidi="fa-IR"/>
        </w:rPr>
        <w:t xml:space="preserve"> ، وَبَوَارِ الْأَيِّمِ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 « بما ».</w:t>
      </w:r>
    </w:p>
    <w:p w:rsidR="00744A1C" w:rsidRDefault="00E378DD" w:rsidP="00E378DD">
      <w:pPr>
        <w:pStyle w:val="libFootnote0"/>
        <w:rPr>
          <w:lang w:bidi="fa-IR"/>
        </w:rPr>
      </w:pPr>
      <w:r>
        <w:rPr>
          <w:rtl/>
          <w:lang w:bidi="fa-IR"/>
        </w:rPr>
        <w:t>(2).</w:t>
      </w:r>
      <w:r w:rsidR="00744A1C">
        <w:rPr>
          <w:rtl/>
          <w:lang w:bidi="fa-IR"/>
        </w:rPr>
        <w:t xml:space="preserve"> في « بخ ، بف » وحاشية « جت » : « رَبْعَة ». وفي </w:t>
      </w:r>
      <w:r w:rsidR="00744A1C" w:rsidRPr="00C24F9C">
        <w:rPr>
          <w:rStyle w:val="libFootnoteBoldChar"/>
          <w:rtl/>
        </w:rPr>
        <w:t>الوافي</w:t>
      </w:r>
      <w:r w:rsidR="00744A1C">
        <w:rPr>
          <w:rtl/>
          <w:lang w:bidi="fa-IR"/>
        </w:rPr>
        <w:t xml:space="preserve"> : « ريعة » ، أي الدَخل أو النِّماء. والرُقْعَةُ : قطعة من الأرض تَلْتَزقُ با</w:t>
      </w:r>
      <w:r w:rsidR="00B80D30">
        <w:rPr>
          <w:rFonts w:hint="cs"/>
          <w:rtl/>
          <w:lang w:bidi="fa-IR"/>
        </w:rPr>
        <w:t>ُ</w:t>
      </w:r>
      <w:r w:rsidR="00744A1C">
        <w:rPr>
          <w:rtl/>
          <w:lang w:bidi="fa-IR"/>
        </w:rPr>
        <w:t xml:space="preserve">خرى. </w:t>
      </w:r>
      <w:r w:rsidR="00744A1C" w:rsidRPr="00877682">
        <w:rPr>
          <w:rStyle w:val="libFootnoteBoldChar"/>
          <w:rtl/>
        </w:rPr>
        <w:t>لسان العرب</w:t>
      </w:r>
      <w:r w:rsidR="00744A1C">
        <w:rPr>
          <w:rtl/>
          <w:lang w:bidi="fa-IR"/>
        </w:rPr>
        <w:t xml:space="preserve"> ، ج 8 ، ص 132 ( رقع ). وفي هامش المطبوع عن بعض النسخ : « بقعة ».</w:t>
      </w:r>
    </w:p>
    <w:tbl>
      <w:tblPr>
        <w:tblStyle w:val="TableGrid"/>
        <w:bidiVisual/>
        <w:tblW w:w="0" w:type="auto"/>
        <w:tblLook w:val="04A0" w:firstRow="1" w:lastRow="0" w:firstColumn="1" w:lastColumn="0" w:noHBand="0" w:noVBand="1"/>
      </w:tblPr>
      <w:tblGrid>
        <w:gridCol w:w="4006"/>
        <w:gridCol w:w="4006"/>
      </w:tblGrid>
      <w:tr w:rsidR="00B80D30" w:rsidTr="00B80D30">
        <w:tc>
          <w:tcPr>
            <w:tcW w:w="4006" w:type="dxa"/>
          </w:tcPr>
          <w:p w:rsidR="00B80D30" w:rsidRDefault="00B80D30" w:rsidP="00E378DD">
            <w:pPr>
              <w:pStyle w:val="libFootnote0"/>
              <w:rPr>
                <w:rtl/>
                <w:lang w:bidi="fa-IR"/>
              </w:rPr>
            </w:pPr>
            <w:r>
              <w:rPr>
                <w:rtl/>
                <w:lang w:bidi="fa-IR"/>
              </w:rPr>
              <w:t>(3). في«ط» و</w:t>
            </w:r>
            <w:r w:rsidRPr="00C24F9C">
              <w:rPr>
                <w:rStyle w:val="libFootnoteBoldChar"/>
                <w:rtl/>
              </w:rPr>
              <w:t>الوسائل</w:t>
            </w:r>
            <w:r>
              <w:rPr>
                <w:rtl/>
                <w:lang w:bidi="fa-IR"/>
              </w:rPr>
              <w:t xml:space="preserve"> :«منه»بدل«ممّا بعت».</w:t>
            </w:r>
          </w:p>
        </w:tc>
        <w:tc>
          <w:tcPr>
            <w:tcW w:w="4006" w:type="dxa"/>
          </w:tcPr>
          <w:p w:rsidR="00B80D30" w:rsidRDefault="00B80D30" w:rsidP="00E378DD">
            <w:pPr>
              <w:pStyle w:val="libFootnote0"/>
              <w:rPr>
                <w:rtl/>
                <w:lang w:bidi="fa-IR"/>
              </w:rPr>
            </w:pPr>
            <w:r>
              <w:rPr>
                <w:rtl/>
                <w:lang w:bidi="fa-IR"/>
              </w:rPr>
              <w:t>(4). في«بخ،بف »</w:t>
            </w:r>
            <w:r w:rsidRPr="00B80D30">
              <w:rPr>
                <w:rtl/>
              </w:rPr>
              <w:t>والوافي والوسائل:«</w:t>
            </w:r>
            <w:r>
              <w:rPr>
                <w:rtl/>
                <w:lang w:bidi="fa-IR"/>
              </w:rPr>
              <w:t>فقال:لا بأس».</w:t>
            </w:r>
          </w:p>
        </w:tc>
      </w:tr>
    </w:tbl>
    <w:p w:rsidR="00744A1C" w:rsidRDefault="00E378DD" w:rsidP="003C17BC">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388 ، ح 1157 ، معلّقاً عن سهل بن زياد </w:t>
      </w:r>
      <w:r w:rsidR="003C17BC">
        <w:rPr>
          <w:rFonts w:hint="cs"/>
          <w:rtl/>
          <w:lang w:bidi="fa-IR"/>
        </w:rPr>
        <w:t>.</w:t>
      </w:r>
      <w:r w:rsidR="00744A1C" w:rsidRPr="00C24F9C">
        <w:rPr>
          <w:rStyle w:val="libFootnoteBoldChar"/>
          <w:rtl/>
        </w:rPr>
        <w:t>الوافي</w:t>
      </w:r>
      <w:r w:rsidR="00744A1C">
        <w:rPr>
          <w:rtl/>
          <w:lang w:bidi="fa-IR"/>
        </w:rPr>
        <w:t xml:space="preserve"> ، ج 17 ، ص 138 ، ح 17008 ؛ </w:t>
      </w:r>
      <w:r w:rsidR="00744A1C" w:rsidRPr="00C24F9C">
        <w:rPr>
          <w:rStyle w:val="libFootnoteBoldChar"/>
          <w:rtl/>
        </w:rPr>
        <w:t>الوسائل</w:t>
      </w:r>
      <w:r w:rsidR="00744A1C">
        <w:rPr>
          <w:rtl/>
          <w:lang w:bidi="fa-IR"/>
        </w:rPr>
        <w:t xml:space="preserve"> ، ج 17 ، ص 71 ، ح 22016.</w:t>
      </w:r>
      <w:r w:rsidR="003C17BC">
        <w:rPr>
          <w:rFonts w:hint="cs"/>
          <w:rtl/>
          <w:lang w:bidi="fa-IR"/>
        </w:rPr>
        <w:t xml:space="preserve">    </w:t>
      </w:r>
      <w:r>
        <w:rPr>
          <w:rtl/>
          <w:lang w:bidi="fa-IR"/>
        </w:rPr>
        <w:t>(6).</w:t>
      </w:r>
      <w:r w:rsidR="00744A1C">
        <w:rPr>
          <w:rtl/>
          <w:lang w:bidi="fa-IR"/>
        </w:rPr>
        <w:t xml:space="preserve"> في « ط ، بف ، جن » : « تعوّذ ».</w:t>
      </w:r>
    </w:p>
    <w:p w:rsidR="00744A1C" w:rsidRDefault="00E378DD" w:rsidP="00E378DD">
      <w:pPr>
        <w:pStyle w:val="libFootnote0"/>
        <w:rPr>
          <w:lang w:bidi="fa-IR"/>
        </w:rPr>
      </w:pPr>
      <w:r>
        <w:rPr>
          <w:rtl/>
          <w:lang w:bidi="fa-IR"/>
        </w:rPr>
        <w:t>(7).</w:t>
      </w:r>
      <w:r w:rsidR="00744A1C">
        <w:rPr>
          <w:rtl/>
          <w:lang w:bidi="fa-IR"/>
        </w:rPr>
        <w:t xml:space="preserve"> في </w:t>
      </w:r>
      <w:r w:rsidR="00744A1C" w:rsidRPr="008A57EB">
        <w:rPr>
          <w:rStyle w:val="libFootnoteBoldChar"/>
          <w:rtl/>
        </w:rPr>
        <w:t>مجمع البحرين</w:t>
      </w:r>
      <w:r w:rsidR="00744A1C">
        <w:rPr>
          <w:rtl/>
          <w:lang w:bidi="fa-IR"/>
        </w:rPr>
        <w:t xml:space="preserve"> ، ج 3 ، ص 322 ( غلب ) : « وفي الدعاء : وأعوذ بك من غلبة الرجال ، والمراد بها تسلّطهم واستيلاؤهم هرجاً ومرجاً ، وذلك كغلبة العوامّ ». وفي </w:t>
      </w:r>
      <w:r w:rsidR="00744A1C" w:rsidRPr="00877682">
        <w:rPr>
          <w:rStyle w:val="libFootnoteBoldChar"/>
          <w:rtl/>
        </w:rPr>
        <w:t>مرآة العقول</w:t>
      </w:r>
      <w:r w:rsidR="00744A1C">
        <w:rPr>
          <w:rtl/>
          <w:lang w:bidi="fa-IR"/>
        </w:rPr>
        <w:t xml:space="preserve"> ، ج 19 ، ص 43 : « قال النووي : غلبة الرجال كأنّه يريد به هيجان النفس من شدّة الشبق ، وإضافته إلى المفعول ، أي يغلبهم ذلك. وقال الطيّبي : إمّا أن يكون إضافته إلى الفاعل ، أي قهر الديّان إيّاه وغلبتهم عليه بالتقاضي ، وليس له ما يقتضي دينه ، أو إلى المفعول بأن لا يكون له أحد يعاونه على قضاء ديونه من رجاله وأصحابه ، انتهى. أقول : ويحتمل أن يكون المراد به غلبة الجبّارين عليه ومظلوميّته ، أو غلبة النساء على الرجال. وقيل : هي الغلبة الملعونة ». وراجع أيضاً : عمدة القاري للعيني ، ج 14 ، ص 177 ؛ </w:t>
      </w:r>
      <w:r w:rsidR="00744A1C" w:rsidRPr="000F3C69">
        <w:rPr>
          <w:rStyle w:val="libFootnoteBoldChar"/>
          <w:rtl/>
        </w:rPr>
        <w:t>تحفة الأحوذي</w:t>
      </w:r>
      <w:r w:rsidR="00744A1C">
        <w:rPr>
          <w:rtl/>
          <w:lang w:bidi="fa-IR"/>
        </w:rPr>
        <w:t xml:space="preserve"> للمباركفوري ، ج 9 ، ص 321 ؛ </w:t>
      </w:r>
      <w:r w:rsidR="00744A1C" w:rsidRPr="0061079A">
        <w:rPr>
          <w:rStyle w:val="libFootnoteBoldChar"/>
          <w:rtl/>
        </w:rPr>
        <w:t>البحار</w:t>
      </w:r>
      <w:r w:rsidR="00744A1C">
        <w:rPr>
          <w:rtl/>
          <w:lang w:bidi="fa-IR"/>
        </w:rPr>
        <w:t xml:space="preserve"> ، ج 87 ، ص 111.</w:t>
      </w:r>
    </w:p>
    <w:p w:rsidR="00744A1C" w:rsidRDefault="00E378DD" w:rsidP="00E378DD">
      <w:pPr>
        <w:pStyle w:val="libFootnote0"/>
        <w:rPr>
          <w:lang w:bidi="fa-IR"/>
        </w:rPr>
      </w:pPr>
      <w:r>
        <w:rPr>
          <w:rtl/>
          <w:lang w:bidi="fa-IR"/>
        </w:rPr>
        <w:t>(8).</w:t>
      </w:r>
      <w:r w:rsidR="00744A1C">
        <w:rPr>
          <w:rtl/>
          <w:lang w:bidi="fa-IR"/>
        </w:rPr>
        <w:t xml:space="preserve"> في </w:t>
      </w:r>
      <w:r w:rsidR="00744A1C" w:rsidRPr="00877682">
        <w:rPr>
          <w:rStyle w:val="libFootnoteBoldChar"/>
          <w:rtl/>
        </w:rPr>
        <w:t>النهاية</w:t>
      </w:r>
      <w:r w:rsidR="00744A1C">
        <w:rPr>
          <w:rtl/>
          <w:lang w:bidi="fa-IR"/>
        </w:rPr>
        <w:t xml:space="preserve"> ، ج 1 ، ص 161 ( بور ) : « نعوذ بالله من بوار الأيّم ، أي كسادها ؛ من بارت السوق ، إذا كسدت. والأيّم : التي لا زوج لها ، وهي مع ذلك لا يرغب فيها أحد ».</w:t>
      </w:r>
    </w:p>
    <w:p w:rsidR="00744A1C" w:rsidRDefault="00744A1C" w:rsidP="00D10E3C">
      <w:pPr>
        <w:pStyle w:val="libFootnote0"/>
        <w:rPr>
          <w:lang w:bidi="fa-IR"/>
        </w:rPr>
      </w:pPr>
      <w:r>
        <w:rPr>
          <w:rtl/>
          <w:lang w:bidi="fa-IR"/>
        </w:rPr>
        <w:t xml:space="preserve">وفي </w:t>
      </w:r>
      <w:r w:rsidRPr="008A57EB">
        <w:rPr>
          <w:rStyle w:val="libFootnoteBoldChar"/>
          <w:rtl/>
        </w:rPr>
        <w:t>القاموس المحيط</w:t>
      </w:r>
      <w:r>
        <w:rPr>
          <w:rtl/>
          <w:lang w:bidi="fa-IR"/>
        </w:rPr>
        <w:t xml:space="preserve"> ، ج 4 ، ص 77 ( أيم ) : « الأيّم ، ككيّس :</w:t>
      </w:r>
      <w:r w:rsidR="000F3C69">
        <w:rPr>
          <w:rtl/>
          <w:lang w:bidi="fa-IR"/>
        </w:rPr>
        <w:t xml:space="preserve"> من لا زوج لها بَكراً أو ثيّباً،</w:t>
      </w:r>
      <w:r>
        <w:rPr>
          <w:rtl/>
          <w:lang w:bidi="fa-IR"/>
        </w:rPr>
        <w:t>ومن لا امرأة له ».</w:t>
      </w:r>
      <w:r w:rsidR="000F3C69">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8458 / 2. مُحَمَّدُ بْنُ يَحْيى ، عَنْ أَحْمَدَ بْنِ مُحَمَّدٍ ، عَنِ الْحُسَيْنِ بْنِ سَعِيدٍ ، عَنِ النَّضْرِ بْنِ سُوَيْدٍ ، عَنْ يَحْيَى الْحَلَبِيِّ ، عَنْ مُعَاوِيَةَ بْنِ وَهْبٍ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إِنَّهُ ذُكِرَ لَنَا أَنَّ رَجُلاً مِنَ الْأَنْصَارِ مَاتَ وَعَلَيْهِ دِينَارَانِ دَيْناً </w:t>
      </w:r>
      <w:r w:rsidRPr="00D10E3C">
        <w:rPr>
          <w:rStyle w:val="libFootnotenumChar"/>
          <w:rtl/>
        </w:rPr>
        <w:t>(1)</w:t>
      </w:r>
      <w:r>
        <w:rPr>
          <w:rtl/>
          <w:lang w:bidi="fa-IR"/>
        </w:rPr>
        <w:t xml:space="preserve"> ، فَلَمْ يُصَلِّ عَلَيْهِ النَّبِيُّ </w:t>
      </w:r>
      <w:r w:rsidR="00AE01C7" w:rsidRPr="00AE01C7">
        <w:rPr>
          <w:rStyle w:val="libFootnoteAlaemChar"/>
          <w:rtl/>
        </w:rPr>
        <w:t>صلى‌الله‌عليه‌وآله</w:t>
      </w:r>
      <w:r w:rsidR="00D10E3C">
        <w:rPr>
          <w:rtl/>
          <w:lang w:bidi="fa-IR"/>
        </w:rPr>
        <w:t xml:space="preserve"> </w:t>
      </w:r>
      <w:r>
        <w:rPr>
          <w:rtl/>
          <w:lang w:bidi="fa-IR"/>
        </w:rPr>
        <w:t xml:space="preserve">، وَقَالَ : « صَلُّوا </w:t>
      </w:r>
      <w:r w:rsidRPr="00D10E3C">
        <w:rPr>
          <w:rStyle w:val="libFootnotenumChar"/>
          <w:rtl/>
        </w:rPr>
        <w:t>(2)</w:t>
      </w:r>
      <w:r>
        <w:rPr>
          <w:rtl/>
          <w:lang w:bidi="fa-IR"/>
        </w:rPr>
        <w:t xml:space="preserve"> عَلى صَاحِبِكُمْ </w:t>
      </w:r>
      <w:r w:rsidRPr="00D10E3C">
        <w:rPr>
          <w:rStyle w:val="libFootnotenumChar"/>
          <w:rtl/>
        </w:rPr>
        <w:t>(3)</w:t>
      </w:r>
      <w:r>
        <w:rPr>
          <w:rtl/>
          <w:lang w:bidi="fa-IR"/>
        </w:rPr>
        <w:t xml:space="preserve"> » حَتّى ضَمِنَهُمَا </w:t>
      </w:r>
      <w:r w:rsidRPr="00D10E3C">
        <w:rPr>
          <w:rStyle w:val="libFootnotenumChar"/>
          <w:rtl/>
        </w:rPr>
        <w:t>(4)</w:t>
      </w:r>
      <w:r>
        <w:rPr>
          <w:rtl/>
          <w:lang w:bidi="fa-IR"/>
        </w:rPr>
        <w:t xml:space="preserve"> عَنْهُ </w:t>
      </w:r>
      <w:r w:rsidRPr="00D10E3C">
        <w:rPr>
          <w:rStyle w:val="libFootnotenumChar"/>
          <w:rtl/>
        </w:rPr>
        <w:t>(5)</w:t>
      </w:r>
      <w:r>
        <w:rPr>
          <w:rtl/>
          <w:lang w:bidi="fa-IR"/>
        </w:rPr>
        <w:t xml:space="preserve"> بَعْضُ قَرَابَتِهِ.</w:t>
      </w:r>
    </w:p>
    <w:p w:rsidR="00744A1C" w:rsidRDefault="00744A1C" w:rsidP="00744A1C">
      <w:pPr>
        <w:pStyle w:val="libNormal"/>
        <w:rPr>
          <w:lang w:bidi="fa-IR"/>
        </w:rPr>
      </w:pPr>
      <w:r>
        <w:rPr>
          <w:rtl/>
          <w:lang w:bidi="fa-IR"/>
        </w:rPr>
        <w:t xml:space="preserve">فَقَالَ أَبُو عَبْدِ اللهِ </w:t>
      </w:r>
      <w:r w:rsidR="0061079A" w:rsidRPr="0061079A">
        <w:rPr>
          <w:rStyle w:val="libAlaemChar"/>
          <w:rtl/>
        </w:rPr>
        <w:t>عليه‌السلام</w:t>
      </w:r>
      <w:r w:rsidR="00D10E3C">
        <w:rPr>
          <w:rtl/>
          <w:lang w:bidi="fa-IR"/>
        </w:rPr>
        <w:t xml:space="preserve"> </w:t>
      </w:r>
      <w:r>
        <w:rPr>
          <w:rtl/>
          <w:lang w:bidi="fa-IR"/>
        </w:rPr>
        <w:t xml:space="preserve">: « ذلِكَ الْحَقُّ » ثُمَّ قَالَ : « إِنَّ رَسُولَ اللهِ </w:t>
      </w:r>
      <w:r w:rsidR="007B299E" w:rsidRPr="007B299E">
        <w:rPr>
          <w:rStyle w:val="libAlaemChar"/>
          <w:rtl/>
        </w:rPr>
        <w:t>صلى‌الله‌عليه‌وآله</w:t>
      </w:r>
      <w:r w:rsidR="00D10E3C">
        <w:rPr>
          <w:rtl/>
          <w:lang w:bidi="fa-IR"/>
        </w:rPr>
        <w:t xml:space="preserve"> </w:t>
      </w:r>
      <w:r>
        <w:rPr>
          <w:rtl/>
          <w:lang w:bidi="fa-IR"/>
        </w:rPr>
        <w:t xml:space="preserve">إِنَّمَا فَعَلَ ذلِكَ لِيَتَّعِظُوا ، وَلِيَرُدَّ </w:t>
      </w:r>
      <w:r w:rsidRPr="00D10E3C">
        <w:rPr>
          <w:rStyle w:val="libFootnotenumChar"/>
          <w:rtl/>
        </w:rPr>
        <w:t>(6)</w:t>
      </w:r>
      <w:r>
        <w:rPr>
          <w:rtl/>
          <w:lang w:bidi="fa-IR"/>
        </w:rPr>
        <w:t xml:space="preserve"> بَع</w:t>
      </w:r>
      <w:r w:rsidR="004413E2">
        <w:rPr>
          <w:rtl/>
          <w:lang w:bidi="fa-IR"/>
        </w:rPr>
        <w:t>ْضُهُمْ عَلى بَعْضٍ ، وَلِئَل</w:t>
      </w:r>
      <w:r w:rsidR="004413E2">
        <w:rPr>
          <w:rFonts w:hint="cs"/>
          <w:rtl/>
          <w:lang w:bidi="fa-IR"/>
        </w:rPr>
        <w:t>َّ</w:t>
      </w:r>
      <w:r w:rsidR="004413E2">
        <w:rPr>
          <w:rtl/>
          <w:lang w:bidi="fa-IR"/>
        </w:rPr>
        <w:t>ا</w:t>
      </w:r>
      <w:r>
        <w:rPr>
          <w:rtl/>
          <w:lang w:bidi="fa-IR"/>
        </w:rPr>
        <w:t xml:space="preserve"> يَسْتَخِفُّوا بِالدَّيْنِ ، وَقَدْ </w:t>
      </w:r>
      <w:r w:rsidRPr="00D10E3C">
        <w:rPr>
          <w:rStyle w:val="libFootnotenumChar"/>
          <w:rtl/>
        </w:rPr>
        <w:t>(7)</w:t>
      </w:r>
      <w:r>
        <w:rPr>
          <w:rtl/>
          <w:lang w:bidi="fa-IR"/>
        </w:rPr>
        <w:t xml:space="preserve"> مَاتَ رَسُولُ اللهِ </w:t>
      </w:r>
      <w:r w:rsidR="007D61A8" w:rsidRPr="007D61A8">
        <w:rPr>
          <w:rStyle w:val="libFootnoteAlaemChar"/>
          <w:rtl/>
        </w:rPr>
        <w:t>صلى‌الله‌عليه‌وآله</w:t>
      </w:r>
      <w:r w:rsidR="00D10E3C">
        <w:rPr>
          <w:rtl/>
          <w:lang w:bidi="fa-IR"/>
        </w:rPr>
        <w:t xml:space="preserve"> </w:t>
      </w:r>
      <w:r>
        <w:rPr>
          <w:rtl/>
          <w:lang w:bidi="fa-IR"/>
        </w:rPr>
        <w:t xml:space="preserve">وَعَلَيْهِ دَيْنٌ </w:t>
      </w:r>
      <w:r w:rsidRPr="00D10E3C">
        <w:rPr>
          <w:rStyle w:val="libFootnotenumChar"/>
          <w:rtl/>
        </w:rPr>
        <w:t>(8)</w:t>
      </w:r>
      <w:r>
        <w:rPr>
          <w:rtl/>
          <w:lang w:bidi="fa-IR"/>
        </w:rPr>
        <w:t xml:space="preserve"> ، وَمَاتَ الْحَسَنُ </w:t>
      </w:r>
      <w:r w:rsidR="0061079A" w:rsidRPr="0061079A">
        <w:rPr>
          <w:rStyle w:val="libAlaemChar"/>
          <w:rtl/>
        </w:rPr>
        <w:t>عليه‌السلام</w:t>
      </w:r>
      <w:r w:rsidR="00D10E3C">
        <w:rPr>
          <w:rtl/>
          <w:lang w:bidi="fa-IR"/>
        </w:rPr>
        <w:t xml:space="preserve"> </w:t>
      </w:r>
      <w:r>
        <w:rPr>
          <w:rtl/>
          <w:lang w:bidi="fa-IR"/>
        </w:rPr>
        <w:t xml:space="preserve">وَعَلَيْهِ دَيْنٌ ، وَقُتِلَ الْحُسَيْنُ </w:t>
      </w:r>
      <w:r w:rsidR="0061079A" w:rsidRPr="0061079A">
        <w:rPr>
          <w:rStyle w:val="libAlaemChar"/>
          <w:rtl/>
        </w:rPr>
        <w:t>عليه‌السلام</w:t>
      </w:r>
      <w:r w:rsidR="00D10E3C">
        <w:rPr>
          <w:rtl/>
          <w:lang w:bidi="fa-IR"/>
        </w:rPr>
        <w:t xml:space="preserve"> </w:t>
      </w:r>
      <w:r>
        <w:rPr>
          <w:rtl/>
          <w:lang w:bidi="fa-IR"/>
        </w:rPr>
        <w:t>وَعَلَيْهِ‌</w:t>
      </w:r>
    </w:p>
    <w:p w:rsidR="00744A1C" w:rsidRDefault="00744A1C" w:rsidP="00D10E3C">
      <w:pPr>
        <w:pStyle w:val="libLine"/>
        <w:rPr>
          <w:lang w:bidi="fa-IR"/>
        </w:rPr>
      </w:pPr>
      <w:r>
        <w:rPr>
          <w:rtl/>
          <w:lang w:bidi="fa-IR"/>
        </w:rPr>
        <w:t>____________________</w:t>
      </w:r>
    </w:p>
    <w:p w:rsidR="00744A1C" w:rsidRDefault="000C14A5" w:rsidP="00D10E3C">
      <w:pPr>
        <w:pStyle w:val="libFootnote0"/>
        <w:rPr>
          <w:lang w:bidi="fa-IR"/>
        </w:rPr>
      </w:pPr>
      <w:r>
        <w:rPr>
          <w:rFonts w:hint="cs"/>
          <w:rtl/>
          <w:lang w:bidi="fa-IR"/>
        </w:rPr>
        <w:t xml:space="preserve">= </w:t>
      </w:r>
      <w:r w:rsidR="00744A1C">
        <w:rPr>
          <w:rtl/>
          <w:lang w:bidi="fa-IR"/>
        </w:rPr>
        <w:t xml:space="preserve">وفي </w:t>
      </w:r>
      <w:r w:rsidR="00744A1C" w:rsidRPr="00C24F9C">
        <w:rPr>
          <w:rStyle w:val="libFootnoteBoldChar"/>
          <w:rtl/>
        </w:rPr>
        <w:t>الوافي</w:t>
      </w:r>
      <w:r w:rsidR="00744A1C">
        <w:rPr>
          <w:rtl/>
          <w:lang w:bidi="fa-IR"/>
        </w:rPr>
        <w:t xml:space="preserve"> : « وروى الصدوق - طاب ثراه - في كتاب </w:t>
      </w:r>
      <w:r w:rsidR="00744A1C" w:rsidRPr="00610FB4">
        <w:rPr>
          <w:rStyle w:val="libFootnoteBoldChar"/>
          <w:rtl/>
        </w:rPr>
        <w:t>معاني الأخبار</w:t>
      </w:r>
      <w:r w:rsidR="00744A1C">
        <w:rPr>
          <w:rtl/>
          <w:lang w:bidi="fa-IR"/>
        </w:rPr>
        <w:t xml:space="preserve"> [ ص 343 ، ح 1 ] أنّ الكاهلي سأل أبا عبد الله </w:t>
      </w:r>
      <w:r w:rsidR="0061079A" w:rsidRPr="0061079A">
        <w:rPr>
          <w:rStyle w:val="libFootnoteAlaemChar"/>
          <w:rtl/>
        </w:rPr>
        <w:t>عليه‌السلام</w:t>
      </w:r>
      <w:r w:rsidR="00D10E3C">
        <w:rPr>
          <w:rtl/>
          <w:lang w:bidi="fa-IR"/>
        </w:rPr>
        <w:t xml:space="preserve"> </w:t>
      </w:r>
      <w:r w:rsidR="00744A1C">
        <w:rPr>
          <w:rtl/>
          <w:lang w:bidi="fa-IR"/>
        </w:rPr>
        <w:t>: أكان عليّ - صلوات الله عليه - يتعوّذ من بوار الأيّم؟ فقال : نعم ، وليس حيث تذهب ، إنّما كان يتعوّذ من العاهات ، والعامّة يقولون : بوار الأيّم ، وليس كما يقولون.</w:t>
      </w:r>
    </w:p>
    <w:p w:rsidR="00744A1C" w:rsidRDefault="00744A1C" w:rsidP="00D10E3C">
      <w:pPr>
        <w:pStyle w:val="libFootnote0"/>
        <w:rPr>
          <w:lang w:bidi="fa-IR"/>
        </w:rPr>
      </w:pPr>
      <w:r>
        <w:rPr>
          <w:rtl/>
          <w:lang w:bidi="fa-IR"/>
        </w:rPr>
        <w:t>أقول : لعلّ المراد أنّ المتعوّذ منه إنّما هو البوار الذي يكون من جهة العاهة بها ، لا مطلق البوار ، وإن كانت صحيحة ليس بها بأس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الفقيه</w:t>
      </w:r>
      <w:r w:rsidR="00744A1C">
        <w:rPr>
          <w:rtl/>
          <w:lang w:bidi="fa-IR"/>
        </w:rPr>
        <w:t xml:space="preserve"> ، ج 3 ، ص 181 ، ح 3679 ؛ </w:t>
      </w:r>
      <w:r w:rsidR="00744A1C" w:rsidRPr="0061079A">
        <w:rPr>
          <w:rStyle w:val="libFootnoteBoldChar"/>
          <w:rtl/>
        </w:rPr>
        <w:t>والتهذيب</w:t>
      </w:r>
      <w:r w:rsidR="00744A1C">
        <w:rPr>
          <w:rtl/>
          <w:lang w:bidi="fa-IR"/>
        </w:rPr>
        <w:t xml:space="preserve"> ، ج 6 ، ص 183 ، ح 377 ، معلّقاً عن الحسن بن محبوب. </w:t>
      </w:r>
      <w:r w:rsidR="00744A1C" w:rsidRPr="00877682">
        <w:rPr>
          <w:rStyle w:val="libFootnoteBoldChar"/>
          <w:rtl/>
        </w:rPr>
        <w:t>الجعفريّات</w:t>
      </w:r>
      <w:r w:rsidR="00744A1C">
        <w:rPr>
          <w:rtl/>
          <w:lang w:bidi="fa-IR"/>
        </w:rPr>
        <w:t xml:space="preserve"> ، ص 219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712C99" w:rsidRPr="005D2B3B">
        <w:rPr>
          <w:rStyle w:val="libFootnoteAlaemChar"/>
          <w:rtl/>
        </w:rPr>
        <w:t>صلى‌الله‌عليه‌وآله</w:t>
      </w:r>
      <w:r w:rsidR="00D10E3C">
        <w:rPr>
          <w:rtl/>
          <w:lang w:bidi="fa-IR"/>
        </w:rPr>
        <w:t xml:space="preserve"> </w:t>
      </w:r>
      <w:r w:rsidR="00744A1C">
        <w:rPr>
          <w:rtl/>
          <w:lang w:bidi="fa-IR"/>
        </w:rPr>
        <w:t xml:space="preserve">، مع اختلاف يسير. راجع : </w:t>
      </w:r>
      <w:r w:rsidR="00744A1C" w:rsidRPr="00C24F9C">
        <w:rPr>
          <w:rStyle w:val="libFootnoteBoldChar"/>
          <w:rtl/>
        </w:rPr>
        <w:t>الفقيه</w:t>
      </w:r>
      <w:r w:rsidR="00744A1C">
        <w:rPr>
          <w:rtl/>
          <w:lang w:bidi="fa-IR"/>
        </w:rPr>
        <w:t xml:space="preserve"> ، ج 1 ، ص 335 ، ح 981 ؛ والخصال ، ص 622 ، أبواب الثمانين وما فوقه ، ح 10 ؛ و</w:t>
      </w:r>
      <w:r w:rsidR="00744A1C" w:rsidRPr="00A914B5">
        <w:rPr>
          <w:rStyle w:val="libFootnoteBoldChar"/>
          <w:rtl/>
        </w:rPr>
        <w:t>تفسير العيّاشي</w:t>
      </w:r>
      <w:r w:rsidR="00744A1C">
        <w:rPr>
          <w:rtl/>
          <w:lang w:bidi="fa-IR"/>
        </w:rPr>
        <w:t xml:space="preserve"> ، ج 2 ، ص 320 ، ح 182 ؛ </w:t>
      </w:r>
      <w:r w:rsidR="00744A1C" w:rsidRPr="00610FB4">
        <w:rPr>
          <w:rStyle w:val="libFootnoteBoldChar"/>
          <w:rtl/>
        </w:rPr>
        <w:t>و</w:t>
      </w:r>
      <w:r w:rsidR="00744A1C" w:rsidRPr="007D61A8">
        <w:rPr>
          <w:rStyle w:val="libFootnoteBoldChar"/>
          <w:rtl/>
        </w:rPr>
        <w:t>تحف العقول</w:t>
      </w:r>
      <w:r w:rsidR="00744A1C">
        <w:rPr>
          <w:rtl/>
          <w:lang w:bidi="fa-IR"/>
        </w:rPr>
        <w:t xml:space="preserve"> ، ص 113 و 122 </w:t>
      </w:r>
      <w:r w:rsidR="003C62D2">
        <w:rPr>
          <w:rFonts w:hint="cs"/>
          <w:rtl/>
          <w:lang w:bidi="fa-IR"/>
        </w:rPr>
        <w:t>.</w:t>
      </w:r>
      <w:r w:rsidR="00744A1C" w:rsidRPr="00C24F9C">
        <w:rPr>
          <w:rStyle w:val="libFootnoteBoldChar"/>
          <w:rtl/>
        </w:rPr>
        <w:t>الوافي</w:t>
      </w:r>
      <w:r w:rsidR="00744A1C">
        <w:rPr>
          <w:rtl/>
          <w:lang w:bidi="fa-IR"/>
        </w:rPr>
        <w:t xml:space="preserve"> ، ج 17 ، ص 140 ، ح 17010 ؛ </w:t>
      </w:r>
      <w:r w:rsidR="00744A1C" w:rsidRPr="00C24F9C">
        <w:rPr>
          <w:rStyle w:val="libFootnoteBoldChar"/>
          <w:rtl/>
        </w:rPr>
        <w:t>الوسائل</w:t>
      </w:r>
      <w:r w:rsidR="00744A1C">
        <w:rPr>
          <w:rtl/>
          <w:lang w:bidi="fa-IR"/>
        </w:rPr>
        <w:t xml:space="preserve"> ، ج 18 ، ص 315 ، ذيل ح 23748.</w:t>
      </w:r>
    </w:p>
    <w:p w:rsidR="00744A1C" w:rsidRDefault="00D10E3C" w:rsidP="00D10E3C">
      <w:pPr>
        <w:pStyle w:val="libFootnote0"/>
        <w:rPr>
          <w:lang w:bidi="fa-IR"/>
        </w:rPr>
      </w:pPr>
      <w:r>
        <w:rPr>
          <w:rtl/>
          <w:lang w:bidi="fa-IR"/>
        </w:rPr>
        <w:t>(1).</w:t>
      </w:r>
      <w:r w:rsidR="00744A1C">
        <w:rPr>
          <w:rtl/>
          <w:lang w:bidi="fa-IR"/>
        </w:rPr>
        <w:t xml:space="preserve"> في « ط » : « دين ». وفي « بخ » و</w:t>
      </w:r>
      <w:r w:rsidR="00744A1C" w:rsidRPr="00C24F9C">
        <w:rPr>
          <w:rStyle w:val="libFootnoteBoldChar"/>
          <w:rtl/>
        </w:rPr>
        <w:t>الوسائل</w:t>
      </w:r>
      <w:r w:rsidR="00744A1C">
        <w:rPr>
          <w:rtl/>
          <w:lang w:bidi="fa-IR"/>
        </w:rPr>
        <w:t xml:space="preserve"> ، ح 23965 </w:t>
      </w:r>
      <w:r w:rsidR="00744A1C" w:rsidRPr="0061079A">
        <w:rPr>
          <w:rStyle w:val="libFootnoteBoldChar"/>
          <w:rtl/>
        </w:rPr>
        <w:t>والتهذيب</w:t>
      </w:r>
      <w:r w:rsidR="00744A1C">
        <w:rPr>
          <w:rtl/>
          <w:lang w:bidi="fa-IR"/>
        </w:rPr>
        <w:t xml:space="preserve"> : - « ديناً ».</w:t>
      </w:r>
    </w:p>
    <w:p w:rsidR="00744A1C" w:rsidRDefault="00E378DD" w:rsidP="00E378DD">
      <w:pPr>
        <w:pStyle w:val="libFootnote0"/>
        <w:rPr>
          <w:lang w:bidi="fa-IR"/>
        </w:rPr>
      </w:pPr>
      <w:r>
        <w:rPr>
          <w:rtl/>
          <w:lang w:bidi="fa-IR"/>
        </w:rPr>
        <w:t>(2).</w:t>
      </w:r>
      <w:r w:rsidR="00744A1C">
        <w:rPr>
          <w:rtl/>
          <w:lang w:bidi="fa-IR"/>
        </w:rPr>
        <w:t xml:space="preserve"> في </w:t>
      </w:r>
      <w:r w:rsidR="00744A1C" w:rsidRPr="003C62D2">
        <w:rPr>
          <w:rtl/>
        </w:rPr>
        <w:t>المحاسن</w:t>
      </w:r>
      <w:r w:rsidR="00744A1C">
        <w:rPr>
          <w:rtl/>
          <w:lang w:bidi="fa-IR"/>
        </w:rPr>
        <w:t xml:space="preserve"> : « لا تصلّوا ». وفي العلل : « لا تصلّون ».</w:t>
      </w:r>
    </w:p>
    <w:p w:rsidR="00744A1C" w:rsidRDefault="00E378DD" w:rsidP="00E378DD">
      <w:pPr>
        <w:pStyle w:val="libFootnote0"/>
        <w:rPr>
          <w:lang w:bidi="fa-IR"/>
        </w:rPr>
      </w:pPr>
      <w:r>
        <w:rPr>
          <w:rtl/>
          <w:lang w:bidi="fa-IR"/>
        </w:rPr>
        <w:t>(3).</w:t>
      </w:r>
      <w:r w:rsidR="00744A1C">
        <w:rPr>
          <w:rtl/>
          <w:lang w:bidi="fa-IR"/>
        </w:rPr>
        <w:t xml:space="preserve"> في </w:t>
      </w:r>
      <w:r w:rsidR="00744A1C" w:rsidRPr="00877682">
        <w:rPr>
          <w:rStyle w:val="libFootnoteBoldChar"/>
          <w:rtl/>
        </w:rPr>
        <w:t>مرآة العقول</w:t>
      </w:r>
      <w:r w:rsidR="00744A1C">
        <w:rPr>
          <w:rtl/>
          <w:lang w:bidi="fa-IR"/>
        </w:rPr>
        <w:t xml:space="preserve"> ، ج 19 ، ص 43 : « لعلّه كان مستخفّاً بالدَّين ، ولا ينوي قضاءه ، أو لم يكن له وجه الدين ومن يؤدّي عنه ، كما يدلّ عليه آخر الخبر وغيره من الأخبار ».</w:t>
      </w:r>
    </w:p>
    <w:p w:rsidR="00744A1C" w:rsidRDefault="00E378DD" w:rsidP="00E378DD">
      <w:pPr>
        <w:pStyle w:val="libFootnote0"/>
        <w:rPr>
          <w:lang w:bidi="fa-IR"/>
        </w:rPr>
      </w:pPr>
      <w:r>
        <w:rPr>
          <w:rtl/>
          <w:lang w:bidi="fa-IR"/>
        </w:rPr>
        <w:t>(4).</w:t>
      </w:r>
      <w:r w:rsidR="00744A1C">
        <w:rPr>
          <w:rtl/>
          <w:lang w:bidi="fa-IR"/>
        </w:rPr>
        <w:t xml:space="preserve"> في « ط ، بخ ، بس ، جت » : « حتّى ضمنها ». وفي « بف » : « حتّى يضمنهما ».</w:t>
      </w:r>
    </w:p>
    <w:p w:rsidR="00744A1C" w:rsidRDefault="00E378DD" w:rsidP="00E378DD">
      <w:pPr>
        <w:pStyle w:val="libFootnote0"/>
        <w:rPr>
          <w:lang w:bidi="fa-IR"/>
        </w:rPr>
      </w:pPr>
      <w:r>
        <w:rPr>
          <w:rtl/>
          <w:lang w:bidi="fa-IR"/>
        </w:rPr>
        <w:t>(5).</w:t>
      </w:r>
      <w:r w:rsidR="00744A1C">
        <w:rPr>
          <w:rtl/>
          <w:lang w:bidi="fa-IR"/>
        </w:rPr>
        <w:t xml:space="preserve"> في « ى ، بح ، جد » </w:t>
      </w:r>
      <w:r w:rsidR="00744A1C" w:rsidRPr="003C62D2">
        <w:rPr>
          <w:rtl/>
        </w:rPr>
        <w:t>والوسائل</w:t>
      </w:r>
      <w:r w:rsidR="00744A1C">
        <w:rPr>
          <w:rtl/>
          <w:lang w:bidi="fa-IR"/>
        </w:rPr>
        <w:t xml:space="preserve"> ، ح 23965 : - « عنه ».</w:t>
      </w:r>
    </w:p>
    <w:p w:rsidR="00744A1C" w:rsidRDefault="00E378DD" w:rsidP="00E378DD">
      <w:pPr>
        <w:pStyle w:val="libFootnote0"/>
        <w:rPr>
          <w:lang w:bidi="fa-IR"/>
        </w:rPr>
      </w:pPr>
      <w:r>
        <w:rPr>
          <w:rtl/>
          <w:lang w:bidi="fa-IR"/>
        </w:rPr>
        <w:t>(6).</w:t>
      </w:r>
      <w:r w:rsidR="00744A1C">
        <w:rPr>
          <w:rtl/>
          <w:lang w:bidi="fa-IR"/>
        </w:rPr>
        <w:t xml:space="preserve"> في </w:t>
      </w:r>
      <w:r w:rsidR="00744A1C" w:rsidRPr="003C62D2">
        <w:rPr>
          <w:rtl/>
        </w:rPr>
        <w:t>المحاسن</w:t>
      </w:r>
      <w:r w:rsidR="00744A1C">
        <w:rPr>
          <w:rtl/>
          <w:lang w:bidi="fa-IR"/>
        </w:rPr>
        <w:t xml:space="preserve"> : « ليتعاطوا الحقّ ويؤدّي » بدل « ليتّعظوا وليردّ ».</w:t>
      </w:r>
    </w:p>
    <w:p w:rsidR="00744A1C" w:rsidRDefault="00E378DD" w:rsidP="00E378DD">
      <w:pPr>
        <w:pStyle w:val="libFootnote0"/>
        <w:rPr>
          <w:lang w:bidi="fa-IR"/>
        </w:rPr>
      </w:pPr>
      <w:r>
        <w:rPr>
          <w:rtl/>
          <w:lang w:bidi="fa-IR"/>
        </w:rPr>
        <w:t>(7).</w:t>
      </w:r>
      <w:r w:rsidR="00744A1C">
        <w:rPr>
          <w:rtl/>
          <w:lang w:bidi="fa-IR"/>
        </w:rPr>
        <w:t xml:space="preserve"> في حاشية « ى » : « ولقد ».</w:t>
      </w:r>
    </w:p>
    <w:p w:rsidR="00144FA6" w:rsidRDefault="00E378DD" w:rsidP="00E378DD">
      <w:pPr>
        <w:pStyle w:val="libFootnote0"/>
        <w:rPr>
          <w:rtl/>
          <w:lang w:bidi="fa-IR"/>
        </w:rPr>
      </w:pPr>
      <w:r>
        <w:rPr>
          <w:rtl/>
          <w:lang w:bidi="fa-IR"/>
        </w:rPr>
        <w:t>(8).</w:t>
      </w:r>
      <w:r w:rsidR="00744A1C">
        <w:rPr>
          <w:rtl/>
          <w:lang w:bidi="fa-IR"/>
        </w:rPr>
        <w:t xml:space="preserve"> في </w:t>
      </w:r>
      <w:r w:rsidR="00744A1C" w:rsidRPr="003C62D2">
        <w:rPr>
          <w:rtl/>
        </w:rPr>
        <w:t>الوسائل</w:t>
      </w:r>
      <w:r w:rsidR="00744A1C">
        <w:rPr>
          <w:rtl/>
          <w:lang w:bidi="fa-IR"/>
        </w:rPr>
        <w:t xml:space="preserve"> ، ح 23758 </w:t>
      </w:r>
      <w:r w:rsidR="00744A1C" w:rsidRPr="003C62D2">
        <w:rPr>
          <w:rtl/>
        </w:rPr>
        <w:t>والفقيه</w:t>
      </w:r>
      <w:r w:rsidR="00744A1C">
        <w:rPr>
          <w:rtl/>
          <w:lang w:bidi="fa-IR"/>
        </w:rPr>
        <w:t xml:space="preserve"> </w:t>
      </w:r>
      <w:r w:rsidR="003A4C3D">
        <w:rPr>
          <w:rtl/>
          <w:lang w:bidi="fa-IR"/>
        </w:rPr>
        <w:t>:+</w:t>
      </w:r>
      <w:r w:rsidR="00744A1C">
        <w:rPr>
          <w:rtl/>
          <w:lang w:bidi="fa-IR"/>
        </w:rPr>
        <w:t xml:space="preserve">« وقتل أمير المؤمنين </w:t>
      </w:r>
      <w:r w:rsidR="0061079A" w:rsidRPr="0061079A">
        <w:rPr>
          <w:rStyle w:val="libFootnoteAlaemChar"/>
          <w:rtl/>
        </w:rPr>
        <w:t>عليه‌السلام</w:t>
      </w:r>
      <w:r w:rsidR="00D10E3C">
        <w:rPr>
          <w:rtl/>
          <w:lang w:bidi="fa-IR"/>
        </w:rPr>
        <w:t xml:space="preserve"> </w:t>
      </w:r>
      <w:r w:rsidR="00744A1C">
        <w:rPr>
          <w:rtl/>
          <w:lang w:bidi="fa-IR"/>
        </w:rPr>
        <w:t>و</w:t>
      </w:r>
      <w:r w:rsidR="003A4C3D">
        <w:rPr>
          <w:rtl/>
          <w:lang w:bidi="fa-IR"/>
        </w:rPr>
        <w:t>عليه دين ».وفي العلل :+«</w:t>
      </w:r>
      <w:r w:rsidR="00744A1C">
        <w:rPr>
          <w:rtl/>
          <w:lang w:bidi="fa-IR"/>
        </w:rPr>
        <w:t xml:space="preserve">ومات عليّ </w:t>
      </w:r>
      <w:r w:rsidR="0061079A" w:rsidRPr="0061079A">
        <w:rPr>
          <w:rStyle w:val="libFootnoteAlaemChar"/>
          <w:rtl/>
        </w:rPr>
        <w:t>عليه‌السلام</w:t>
      </w:r>
      <w:r w:rsidR="003A4C3D">
        <w:rPr>
          <w:rStyle w:val="libFootnoteAlaemChar"/>
          <w:rFonts w:hint="cs"/>
          <w:rtl/>
        </w:rPr>
        <w:t xml:space="preserve"> =</w:t>
      </w:r>
    </w:p>
    <w:p w:rsidR="006A5060" w:rsidRDefault="006A5060" w:rsidP="00D10E3C">
      <w:pPr>
        <w:pStyle w:val="libNormal"/>
        <w:rPr>
          <w:rtl/>
          <w:lang w:bidi="fa-IR"/>
        </w:rPr>
      </w:pPr>
      <w:r>
        <w:rPr>
          <w:rtl/>
          <w:lang w:bidi="fa-IR"/>
        </w:rPr>
        <w:br w:type="page"/>
      </w:r>
    </w:p>
    <w:p w:rsidR="00144FA6" w:rsidRDefault="00744A1C" w:rsidP="005D2B3B">
      <w:pPr>
        <w:pStyle w:val="libNormal0"/>
        <w:rPr>
          <w:rtl/>
          <w:lang w:bidi="fa-IR"/>
        </w:rPr>
      </w:pPr>
      <w:r>
        <w:rPr>
          <w:rtl/>
          <w:lang w:bidi="fa-IR"/>
        </w:rPr>
        <w:t xml:space="preserve">دَيْنٌ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8459 / 3. مُحَمَّدُ بْنُ يَحْيى ، عَنْ أَحْمَدَ بْنِ مُحَمَّدٍ ، عَنْ عَلِيِّ بْنِ الْحَكَمِ ، عَنْ مُوسَى بْنِ بَكْرٍ ، قَالَ :</w:t>
      </w:r>
    </w:p>
    <w:p w:rsidR="00144FA6" w:rsidRDefault="00744A1C" w:rsidP="00744A1C">
      <w:pPr>
        <w:pStyle w:val="libNormal"/>
        <w:rPr>
          <w:rtl/>
          <w:lang w:bidi="fa-IR"/>
        </w:rPr>
      </w:pPr>
      <w:r>
        <w:rPr>
          <w:rtl/>
          <w:lang w:bidi="fa-IR"/>
        </w:rPr>
        <w:t xml:space="preserve">قَالَ لِي </w:t>
      </w:r>
      <w:r w:rsidRPr="00D10E3C">
        <w:rPr>
          <w:rStyle w:val="libFootnotenumChar"/>
          <w:rtl/>
        </w:rPr>
        <w:t>(3)</w:t>
      </w:r>
      <w:r>
        <w:rPr>
          <w:rtl/>
          <w:lang w:bidi="fa-IR"/>
        </w:rPr>
        <w:t xml:space="preserve"> أَبُو الْحَسَنِ </w:t>
      </w:r>
      <w:r w:rsidRPr="00D10E3C">
        <w:rPr>
          <w:rStyle w:val="libFootnotenumChar"/>
          <w:rtl/>
        </w:rPr>
        <w:t>(4)</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 مَنْ طَلَبَ هذَا الرِّزْقَ مِنْ حِلِّهِ لِيَعُودَ بِهِ </w:t>
      </w:r>
      <w:r w:rsidRPr="00D10E3C">
        <w:rPr>
          <w:rStyle w:val="libFootnotenumChar"/>
          <w:rtl/>
        </w:rPr>
        <w:t>(5)</w:t>
      </w:r>
      <w:r>
        <w:rPr>
          <w:rtl/>
          <w:lang w:bidi="fa-IR"/>
        </w:rPr>
        <w:t xml:space="preserve"> عَلى نَفْسِهِ وَعِيَالِهِ ، كَانَ كَالْمُجَاهِدِ فِي سَبِيلِ اللهِ عَزَّ وَجَلَّ ؛ فَإِنْ </w:t>
      </w:r>
      <w:r w:rsidRPr="00D10E3C">
        <w:rPr>
          <w:rStyle w:val="libFootnotenumChar"/>
          <w:rtl/>
        </w:rPr>
        <w:t>(6)</w:t>
      </w:r>
      <w:r>
        <w:rPr>
          <w:rtl/>
          <w:lang w:bidi="fa-IR"/>
        </w:rPr>
        <w:t xml:space="preserve"> غُلِبَ عَلَيْهِ </w:t>
      </w:r>
      <w:r w:rsidRPr="00D10E3C">
        <w:rPr>
          <w:rStyle w:val="libFootnotenumChar"/>
          <w:rtl/>
        </w:rPr>
        <w:t>(7)</w:t>
      </w:r>
      <w:r>
        <w:rPr>
          <w:rtl/>
          <w:lang w:bidi="fa-IR"/>
        </w:rPr>
        <w:t xml:space="preserve"> ، فَلْيَسْتَدِنْ عَلَى اللهِ وَعَلى رَسُولِهِ مَا </w:t>
      </w:r>
      <w:r w:rsidRPr="00D10E3C">
        <w:rPr>
          <w:rStyle w:val="libFootnotenumChar"/>
          <w:rtl/>
        </w:rPr>
        <w:t>(8)</w:t>
      </w:r>
      <w:r>
        <w:rPr>
          <w:rtl/>
          <w:lang w:bidi="fa-IR"/>
        </w:rPr>
        <w:t xml:space="preserve"> يَقُوتُ بِهِ عِيَالَهُ ، فَإِنْ مَاتَ وَلَمْ يَقْضِهِ ، كَانَ </w:t>
      </w:r>
      <w:r w:rsidRPr="00D10E3C">
        <w:rPr>
          <w:rStyle w:val="libFootnotenumChar"/>
          <w:rtl/>
        </w:rPr>
        <w:t>(9)</w:t>
      </w:r>
      <w:r>
        <w:rPr>
          <w:rtl/>
          <w:lang w:bidi="fa-IR"/>
        </w:rPr>
        <w:t xml:space="preserve"> عَلَى الْإِمَامِ قَضَاؤُهُ ، فَإِنْ لَمْ يَقْضِهِ ، كَانَ </w:t>
      </w:r>
      <w:r w:rsidRPr="00D10E3C">
        <w:rPr>
          <w:rStyle w:val="libFootnotenumChar"/>
          <w:rtl/>
        </w:rPr>
        <w:t>(10)</w:t>
      </w:r>
      <w:r>
        <w:rPr>
          <w:rtl/>
          <w:lang w:bidi="fa-IR"/>
        </w:rPr>
        <w:t xml:space="preserve"> عَلَيْهِ وِزْرُهُ ، إِنَّ اللهَ - عَزَّ وَجَلَّ - يَقُولُ : </w:t>
      </w:r>
      <w:r w:rsidRPr="00B20CFE">
        <w:rPr>
          <w:rStyle w:val="libAlaemChar"/>
          <w:rtl/>
        </w:rPr>
        <w:t>(</w:t>
      </w:r>
      <w:r w:rsidRPr="00B20CFE">
        <w:rPr>
          <w:rStyle w:val="libAieChar"/>
          <w:rtl/>
        </w:rPr>
        <w:t xml:space="preserve"> إِنَّمَا الصَّدَقاتُ لِلْفُقَراءِ وَالْمَساكِينِ وَالْعامِلِينَ عَلَيْها</w:t>
      </w:r>
      <w:r>
        <w:rPr>
          <w:rtl/>
          <w:lang w:bidi="fa-IR"/>
        </w:rPr>
        <w:t xml:space="preserve"> </w:t>
      </w:r>
      <w:r w:rsidRPr="00B20CFE">
        <w:rPr>
          <w:rStyle w:val="libAlaemChar"/>
          <w:rtl/>
        </w:rPr>
        <w:t>)</w:t>
      </w:r>
      <w:r>
        <w:rPr>
          <w:rtl/>
          <w:lang w:bidi="fa-IR"/>
        </w:rPr>
        <w:t xml:space="preserve"> </w:t>
      </w:r>
      <w:r w:rsidRPr="00D10E3C">
        <w:rPr>
          <w:rStyle w:val="libFootnotenumChar"/>
          <w:rtl/>
        </w:rPr>
        <w:t>(11)</w:t>
      </w:r>
      <w:r>
        <w:rPr>
          <w:rtl/>
          <w:lang w:bidi="fa-IR"/>
        </w:rPr>
        <w:t xml:space="preserve"> إِلى قَوْلِهِ </w:t>
      </w:r>
      <w:r w:rsidRPr="00B20CFE">
        <w:rPr>
          <w:rStyle w:val="libAlaemChar"/>
          <w:rtl/>
        </w:rPr>
        <w:t>(</w:t>
      </w:r>
      <w:r w:rsidRPr="00B20CFE">
        <w:rPr>
          <w:rStyle w:val="libAieChar"/>
          <w:rtl/>
        </w:rPr>
        <w:t xml:space="preserve"> وَالْغارِمِينَ </w:t>
      </w:r>
      <w:r w:rsidRPr="00B20CFE">
        <w:rPr>
          <w:rStyle w:val="libAlaemChar"/>
          <w:rtl/>
        </w:rPr>
        <w:t>)</w:t>
      </w:r>
      <w:r>
        <w:rPr>
          <w:rtl/>
          <w:lang w:bidi="fa-IR"/>
        </w:rPr>
        <w:t xml:space="preserve"> </w:t>
      </w:r>
      <w:r w:rsidRPr="00D10E3C">
        <w:rPr>
          <w:rStyle w:val="libFootnotenumChar"/>
          <w:rtl/>
        </w:rPr>
        <w:t>(12)</w:t>
      </w:r>
      <w:r>
        <w:rPr>
          <w:rtl/>
          <w:lang w:bidi="fa-IR"/>
        </w:rPr>
        <w:t xml:space="preserve"> فَهُوَ فَقِيرٌ مِسْكِينٌ مُغْرَمٌ ».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B20CFE" w:rsidP="00D10E3C">
      <w:pPr>
        <w:pStyle w:val="libFootnote0"/>
        <w:rPr>
          <w:lang w:bidi="fa-IR"/>
        </w:rPr>
      </w:pPr>
      <w:r>
        <w:rPr>
          <w:rFonts w:hint="cs"/>
          <w:rtl/>
          <w:lang w:bidi="fa-IR"/>
        </w:rPr>
        <w:t xml:space="preserve">= </w:t>
      </w:r>
      <w:r w:rsidR="00744A1C">
        <w:rPr>
          <w:rtl/>
          <w:lang w:bidi="fa-IR"/>
        </w:rPr>
        <w:t>وعليه دين ».</w:t>
      </w:r>
    </w:p>
    <w:p w:rsidR="00744A1C" w:rsidRDefault="00D10E3C" w:rsidP="00D10E3C">
      <w:pPr>
        <w:pStyle w:val="libFootnote0"/>
        <w:rPr>
          <w:lang w:bidi="fa-IR"/>
        </w:rPr>
      </w:pPr>
      <w:r>
        <w:rPr>
          <w:rtl/>
          <w:lang w:bidi="fa-IR"/>
        </w:rPr>
        <w:t>(1).</w:t>
      </w:r>
      <w:r w:rsidR="00744A1C">
        <w:rPr>
          <w:rtl/>
          <w:lang w:bidi="fa-IR"/>
        </w:rPr>
        <w:t xml:space="preserve"> في </w:t>
      </w:r>
      <w:r w:rsidR="00744A1C" w:rsidRPr="00A77239">
        <w:rPr>
          <w:rtl/>
        </w:rPr>
        <w:t>الوافي</w:t>
      </w:r>
      <w:r w:rsidR="00744A1C">
        <w:rPr>
          <w:rtl/>
          <w:lang w:bidi="fa-IR"/>
        </w:rPr>
        <w:t xml:space="preserve"> : - « وقتل الحسين </w:t>
      </w:r>
      <w:r w:rsidR="0061079A" w:rsidRPr="0061079A">
        <w:rPr>
          <w:rStyle w:val="libFootnoteAlaemChar"/>
          <w:rtl/>
        </w:rPr>
        <w:t>عليه‌السلام</w:t>
      </w:r>
      <w:r>
        <w:rPr>
          <w:rtl/>
          <w:lang w:bidi="fa-IR"/>
        </w:rPr>
        <w:t xml:space="preserve"> </w:t>
      </w:r>
      <w:r w:rsidR="00744A1C">
        <w:rPr>
          <w:rtl/>
          <w:lang w:bidi="fa-IR"/>
        </w:rPr>
        <w:t>وعليه دين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183 ، ح 378 ، معلّقاً عن الحسين بن سعيد. </w:t>
      </w:r>
      <w:r w:rsidR="00744A1C" w:rsidRPr="00C24F9C">
        <w:rPr>
          <w:rStyle w:val="libFootnoteBoldChar"/>
          <w:rtl/>
        </w:rPr>
        <w:t>الفقيه</w:t>
      </w:r>
      <w:r w:rsidR="00744A1C">
        <w:rPr>
          <w:rtl/>
          <w:lang w:bidi="fa-IR"/>
        </w:rPr>
        <w:t xml:space="preserve"> ، ج 3 ، ص 182 ، ح 3683 ، معلّقاً عن معاوية بن وهب. وفي </w:t>
      </w:r>
      <w:r w:rsidR="00744A1C" w:rsidRPr="003A7143">
        <w:rPr>
          <w:rStyle w:val="libFootnoteBoldChar"/>
          <w:rtl/>
        </w:rPr>
        <w:t>المحاسن</w:t>
      </w:r>
      <w:r w:rsidR="00744A1C">
        <w:rPr>
          <w:rtl/>
          <w:lang w:bidi="fa-IR"/>
        </w:rPr>
        <w:t xml:space="preserve"> ، ص 318 ، كتاب العلل ، ح 46 ؛ و</w:t>
      </w:r>
      <w:r w:rsidR="00744A1C" w:rsidRPr="003A7143">
        <w:rPr>
          <w:rStyle w:val="libFootnoteBoldChar"/>
          <w:rtl/>
        </w:rPr>
        <w:t>علل الشرائع</w:t>
      </w:r>
      <w:r w:rsidR="00744A1C">
        <w:rPr>
          <w:rtl/>
          <w:lang w:bidi="fa-IR"/>
        </w:rPr>
        <w:t xml:space="preserve"> ، ص 590 ، ح 37 ، بسند آخر عن معاوية بن وهب. </w:t>
      </w:r>
      <w:r w:rsidR="00744A1C" w:rsidRPr="003A7143">
        <w:rPr>
          <w:rStyle w:val="libFootnoteBoldChar"/>
          <w:rtl/>
        </w:rPr>
        <w:t>علل الشرائع</w:t>
      </w:r>
      <w:r w:rsidR="00744A1C">
        <w:rPr>
          <w:rtl/>
          <w:lang w:bidi="fa-IR"/>
        </w:rPr>
        <w:t xml:space="preserve"> ، ص 528 ، ح 6 ، بسند آخر عن أحدهم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يسير وزيادة في أوّله </w:t>
      </w:r>
      <w:r w:rsidR="00A77239">
        <w:rPr>
          <w:rFonts w:hint="cs"/>
          <w:rtl/>
          <w:lang w:bidi="fa-IR"/>
        </w:rPr>
        <w:t>.</w:t>
      </w:r>
      <w:r w:rsidR="00744A1C" w:rsidRPr="00C24F9C">
        <w:rPr>
          <w:rStyle w:val="libFootnoteBoldChar"/>
          <w:rtl/>
        </w:rPr>
        <w:t>الوافي</w:t>
      </w:r>
      <w:r w:rsidR="00744A1C">
        <w:rPr>
          <w:rtl/>
          <w:lang w:bidi="fa-IR"/>
        </w:rPr>
        <w:t xml:space="preserve"> ، ج 17 ، ص 141 ، ح 17014 ؛ </w:t>
      </w:r>
      <w:r w:rsidR="00744A1C" w:rsidRPr="00C24F9C">
        <w:rPr>
          <w:rStyle w:val="libFootnoteBoldChar"/>
          <w:rtl/>
        </w:rPr>
        <w:t>الوسائل</w:t>
      </w:r>
      <w:r w:rsidR="00744A1C">
        <w:rPr>
          <w:rtl/>
          <w:lang w:bidi="fa-IR"/>
        </w:rPr>
        <w:t xml:space="preserve"> ، ج 18 ، ص 319 ، ح 23758 ؛ وفيه ، ص 422 ، ح 23965 ، إلى قوله : « فقال أبو عبد الله </w:t>
      </w:r>
      <w:r w:rsidR="0061079A" w:rsidRPr="0061079A">
        <w:rPr>
          <w:rStyle w:val="libFootnoteAlaemChar"/>
          <w:rtl/>
        </w:rPr>
        <w:t>عليه‌السلام</w:t>
      </w:r>
      <w:r w:rsidR="00D10E3C">
        <w:rPr>
          <w:rtl/>
          <w:lang w:bidi="fa-IR"/>
        </w:rPr>
        <w:t xml:space="preserve"> </w:t>
      </w:r>
      <w:r w:rsidR="00744A1C">
        <w:rPr>
          <w:rtl/>
          <w:lang w:bidi="fa-IR"/>
        </w:rPr>
        <w:t xml:space="preserve">: ذلك الحقّ » ؛ </w:t>
      </w:r>
      <w:r w:rsidR="00744A1C" w:rsidRPr="0061079A">
        <w:rPr>
          <w:rStyle w:val="libFootnoteBoldChar"/>
          <w:rtl/>
        </w:rPr>
        <w:t>البحار</w:t>
      </w:r>
      <w:r w:rsidR="00744A1C">
        <w:rPr>
          <w:rtl/>
          <w:lang w:bidi="fa-IR"/>
        </w:rPr>
        <w:t xml:space="preserve"> ، ج 43 ، ص 321 ، ح 5 ، من قوله : « مات الحسن </w:t>
      </w:r>
      <w:r w:rsidR="0061079A" w:rsidRPr="0061079A">
        <w:rPr>
          <w:rStyle w:val="libFootnoteAlaemChar"/>
          <w:rtl/>
        </w:rPr>
        <w:t>عليه‌السلام</w:t>
      </w:r>
      <w:r w:rsidR="00D10E3C">
        <w:rPr>
          <w:rtl/>
          <w:lang w:bidi="fa-IR"/>
        </w:rPr>
        <w:t xml:space="preserve"> </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A77239" w:rsidTr="00A77239">
        <w:tc>
          <w:tcPr>
            <w:tcW w:w="4006" w:type="dxa"/>
          </w:tcPr>
          <w:p w:rsidR="00A77239" w:rsidRDefault="00A77239" w:rsidP="00E378DD">
            <w:pPr>
              <w:pStyle w:val="libFootnote0"/>
              <w:rPr>
                <w:rtl/>
                <w:lang w:bidi="fa-IR"/>
              </w:rPr>
            </w:pPr>
            <w:r>
              <w:rPr>
                <w:rtl/>
                <w:lang w:bidi="fa-IR"/>
              </w:rPr>
              <w:t>(3). في « جن » : - « لي ».</w:t>
            </w:r>
          </w:p>
        </w:tc>
        <w:tc>
          <w:tcPr>
            <w:tcW w:w="4006" w:type="dxa"/>
          </w:tcPr>
          <w:p w:rsidR="00A77239" w:rsidRDefault="00A77239" w:rsidP="00E378DD">
            <w:pPr>
              <w:pStyle w:val="libFootnote0"/>
              <w:rPr>
                <w:rtl/>
                <w:lang w:bidi="fa-IR"/>
              </w:rPr>
            </w:pPr>
            <w:r>
              <w:rPr>
                <w:rtl/>
                <w:lang w:bidi="fa-IR"/>
              </w:rPr>
              <w:t xml:space="preserve">(4). في </w:t>
            </w:r>
            <w:r w:rsidRPr="00A77239">
              <w:rPr>
                <w:rtl/>
              </w:rPr>
              <w:t>الوسائل</w:t>
            </w:r>
            <w:r>
              <w:rPr>
                <w:rtl/>
                <w:lang w:bidi="fa-IR"/>
              </w:rPr>
              <w:t xml:space="preserve"> ، ح 21875 : + « موسى ».</w:t>
            </w:r>
          </w:p>
        </w:tc>
      </w:tr>
    </w:tbl>
    <w:p w:rsidR="00744A1C" w:rsidRDefault="00E378DD" w:rsidP="00A77239">
      <w:pPr>
        <w:pStyle w:val="libFootnote0"/>
        <w:rPr>
          <w:lang w:bidi="fa-IR"/>
        </w:rPr>
      </w:pPr>
      <w:r>
        <w:rPr>
          <w:rtl/>
          <w:lang w:bidi="fa-IR"/>
        </w:rPr>
        <w:t>(5).</w:t>
      </w:r>
      <w:r w:rsidR="00744A1C">
        <w:rPr>
          <w:rtl/>
          <w:lang w:bidi="fa-IR"/>
        </w:rPr>
        <w:t xml:space="preserve"> « ليَعودَ به » من العائدة ، بمعنى التعطّف والإحسان. يقال : عاد إليه بعائدة ، أي تكرّم عليه بكرامة. راجع : </w:t>
      </w:r>
      <w:r w:rsidR="00744A1C" w:rsidRPr="00877682">
        <w:rPr>
          <w:rStyle w:val="libFootnoteBoldChar"/>
          <w:rtl/>
        </w:rPr>
        <w:t>لسان العرب</w:t>
      </w:r>
      <w:r w:rsidR="00744A1C">
        <w:rPr>
          <w:rtl/>
          <w:lang w:bidi="fa-IR"/>
        </w:rPr>
        <w:t xml:space="preserve"> ، ج 3 ، ص 316 ( عود ).</w:t>
      </w:r>
      <w:r w:rsidR="005D2B3B">
        <w:rPr>
          <w:rFonts w:hint="cs"/>
          <w:rtl/>
          <w:lang w:bidi="fa-IR"/>
        </w:rPr>
        <w:t xml:space="preserve">            </w:t>
      </w:r>
      <w:r w:rsidR="00A77239">
        <w:rPr>
          <w:rFonts w:hint="cs"/>
          <w:rtl/>
          <w:lang w:bidi="fa-IR"/>
        </w:rPr>
        <w:t xml:space="preserve">    </w:t>
      </w:r>
      <w:r>
        <w:rPr>
          <w:rtl/>
          <w:lang w:bidi="fa-IR"/>
        </w:rPr>
        <w:t>(6).</w:t>
      </w:r>
      <w:r w:rsidR="00744A1C">
        <w:rPr>
          <w:rtl/>
          <w:lang w:bidi="fa-IR"/>
        </w:rPr>
        <w:t xml:space="preserve"> في « بخ ، بف » و</w:t>
      </w:r>
      <w:r w:rsidR="00744A1C" w:rsidRPr="00C24F9C">
        <w:rPr>
          <w:rStyle w:val="libFootnoteBoldChar"/>
          <w:rtl/>
        </w:rPr>
        <w:t>الوافي</w:t>
      </w:r>
      <w:r w:rsidR="00744A1C">
        <w:rPr>
          <w:rtl/>
          <w:lang w:bidi="fa-IR"/>
        </w:rPr>
        <w:t xml:space="preserve"> : « وإن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غلب عليه ، على البناء للمفعول ، والغالب الفقر والعيلة ».</w:t>
      </w:r>
    </w:p>
    <w:tbl>
      <w:tblPr>
        <w:tblStyle w:val="TableGrid"/>
        <w:bidiVisual/>
        <w:tblW w:w="0" w:type="auto"/>
        <w:tblLook w:val="04A0" w:firstRow="1" w:lastRow="0" w:firstColumn="1" w:lastColumn="0" w:noHBand="0" w:noVBand="1"/>
      </w:tblPr>
      <w:tblGrid>
        <w:gridCol w:w="4006"/>
        <w:gridCol w:w="4006"/>
      </w:tblGrid>
      <w:tr w:rsidR="006B1D9F" w:rsidTr="006B1D9F">
        <w:tc>
          <w:tcPr>
            <w:tcW w:w="4006" w:type="dxa"/>
          </w:tcPr>
          <w:p w:rsidR="006B1D9F" w:rsidRDefault="006B1D9F" w:rsidP="00E378DD">
            <w:pPr>
              <w:pStyle w:val="libFootnote0"/>
              <w:rPr>
                <w:rtl/>
                <w:lang w:bidi="fa-IR"/>
              </w:rPr>
            </w:pPr>
            <w:r>
              <w:rPr>
                <w:rtl/>
                <w:lang w:bidi="fa-IR"/>
              </w:rPr>
              <w:t>(8). في « ط » : « وأن » بدل « ما ».</w:t>
            </w:r>
          </w:p>
        </w:tc>
        <w:tc>
          <w:tcPr>
            <w:tcW w:w="4006" w:type="dxa"/>
          </w:tcPr>
          <w:p w:rsidR="006B1D9F" w:rsidRDefault="006B1D9F" w:rsidP="00E378DD">
            <w:pPr>
              <w:pStyle w:val="libFootnote0"/>
              <w:rPr>
                <w:rtl/>
                <w:lang w:bidi="fa-IR"/>
              </w:rPr>
            </w:pPr>
            <w:r>
              <w:rPr>
                <w:rtl/>
                <w:lang w:bidi="fa-IR"/>
              </w:rPr>
              <w:t>(9). في « ط » : - « كان ».</w:t>
            </w:r>
          </w:p>
        </w:tc>
      </w:tr>
      <w:tr w:rsidR="006B1D9F" w:rsidTr="006B1D9F">
        <w:tc>
          <w:tcPr>
            <w:tcW w:w="4006" w:type="dxa"/>
          </w:tcPr>
          <w:p w:rsidR="006B1D9F" w:rsidRDefault="006B1D9F" w:rsidP="00E378DD">
            <w:pPr>
              <w:pStyle w:val="libFootnote0"/>
              <w:rPr>
                <w:rtl/>
                <w:lang w:bidi="fa-IR"/>
              </w:rPr>
            </w:pPr>
            <w:r>
              <w:rPr>
                <w:rtl/>
                <w:lang w:bidi="fa-IR"/>
              </w:rPr>
              <w:t>(10). في « جد » : - « كان ».</w:t>
            </w:r>
          </w:p>
        </w:tc>
        <w:tc>
          <w:tcPr>
            <w:tcW w:w="4006" w:type="dxa"/>
          </w:tcPr>
          <w:p w:rsidR="006B1D9F" w:rsidRDefault="006B1D9F" w:rsidP="00E378DD">
            <w:pPr>
              <w:pStyle w:val="libFootnote0"/>
              <w:rPr>
                <w:rtl/>
                <w:lang w:bidi="fa-IR"/>
              </w:rPr>
            </w:pPr>
            <w:r>
              <w:rPr>
                <w:rtl/>
                <w:lang w:bidi="fa-IR"/>
              </w:rPr>
              <w:t xml:space="preserve">(11). في « بخ ، بف » : - </w:t>
            </w:r>
            <w:r w:rsidRPr="006B1D9F">
              <w:rPr>
                <w:rStyle w:val="libFootnoteAlaemChar"/>
                <w:rtl/>
              </w:rPr>
              <w:t>(</w:t>
            </w:r>
            <w:r w:rsidRPr="006B1D9F">
              <w:rPr>
                <w:rStyle w:val="libFootnoteAieChar"/>
                <w:rtl/>
              </w:rPr>
              <w:t xml:space="preserve"> وَ</w:t>
            </w:r>
            <w:r>
              <w:rPr>
                <w:rStyle w:val="libFootnoteAieChar"/>
                <w:rFonts w:hint="cs"/>
                <w:rtl/>
              </w:rPr>
              <w:t xml:space="preserve"> </w:t>
            </w:r>
            <w:r w:rsidRPr="006B1D9F">
              <w:rPr>
                <w:rStyle w:val="libFootnoteAieChar"/>
                <w:rtl/>
              </w:rPr>
              <w:t>الْع</w:t>
            </w:r>
            <w:r>
              <w:rPr>
                <w:rStyle w:val="libFootnoteAieChar"/>
                <w:rFonts w:hint="cs"/>
                <w:rtl/>
              </w:rPr>
              <w:t>َ</w:t>
            </w:r>
            <w:r w:rsidRPr="006B1D9F">
              <w:rPr>
                <w:rStyle w:val="libFootnoteAieChar"/>
                <w:rtl/>
              </w:rPr>
              <w:t xml:space="preserve">امِلِينَ عَلَيْها </w:t>
            </w:r>
            <w:r w:rsidRPr="006B1D9F">
              <w:rPr>
                <w:rStyle w:val="libFootnoteAlaemChar"/>
                <w:rtl/>
              </w:rPr>
              <w:t>)</w:t>
            </w:r>
            <w:r>
              <w:rPr>
                <w:rtl/>
                <w:lang w:bidi="fa-IR"/>
              </w:rPr>
              <w:t>.</w:t>
            </w:r>
          </w:p>
        </w:tc>
      </w:tr>
    </w:tbl>
    <w:p w:rsidR="00744A1C" w:rsidRDefault="00E378DD" w:rsidP="00E378DD">
      <w:pPr>
        <w:pStyle w:val="libFootnote0"/>
        <w:rPr>
          <w:lang w:bidi="fa-IR"/>
        </w:rPr>
      </w:pPr>
      <w:r>
        <w:rPr>
          <w:rtl/>
          <w:lang w:bidi="fa-IR"/>
        </w:rPr>
        <w:t>(12).</w:t>
      </w:r>
      <w:r w:rsidR="00744A1C">
        <w:rPr>
          <w:rtl/>
          <w:lang w:bidi="fa-IR"/>
        </w:rPr>
        <w:t xml:space="preserve"> التوبة </w:t>
      </w:r>
      <w:r w:rsidR="006B1D9F">
        <w:rPr>
          <w:rtl/>
          <w:lang w:bidi="fa-IR"/>
        </w:rPr>
        <w:t>(9)</w:t>
      </w:r>
      <w:r w:rsidR="00744A1C">
        <w:rPr>
          <w:rtl/>
          <w:lang w:bidi="fa-IR"/>
        </w:rPr>
        <w:t xml:space="preserve"> : 60.</w:t>
      </w:r>
    </w:p>
    <w:p w:rsidR="00144FA6" w:rsidRDefault="00E378DD" w:rsidP="00E378DD">
      <w:pPr>
        <w:pStyle w:val="libFootnote0"/>
        <w:rPr>
          <w:rtl/>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6 ، ص 184 ، ح 381 ، معلّقاً عن أحمد بن محمّد. </w:t>
      </w:r>
      <w:r w:rsidR="00744A1C" w:rsidRPr="00877682">
        <w:rPr>
          <w:rStyle w:val="libFootnoteBoldChar"/>
          <w:rtl/>
        </w:rPr>
        <w:t>قرب الإسناد</w:t>
      </w:r>
      <w:r w:rsidR="00744A1C">
        <w:rPr>
          <w:rtl/>
          <w:lang w:bidi="fa-IR"/>
        </w:rPr>
        <w:t xml:space="preserve"> ، ص 340 ، ح 1245 ، عن أحمد بن محمّد بن عيسى ، عن عليّ بن الحكم. </w:t>
      </w:r>
      <w:r w:rsidR="00744A1C" w:rsidRPr="0061079A">
        <w:rPr>
          <w:rStyle w:val="libFootnoteBoldChar"/>
          <w:rtl/>
        </w:rPr>
        <w:t>الكافي</w:t>
      </w:r>
      <w:r w:rsidR="00744A1C">
        <w:rPr>
          <w:rtl/>
          <w:lang w:bidi="fa-IR"/>
        </w:rPr>
        <w:t xml:space="preserve"> ، كتاب الحجّة ، باب ما يجب من حقّ الإمام على الرعيّة ... ، ح 1069 ، بسند آخر عن أبي عبد الله </w:t>
      </w:r>
      <w:r w:rsidR="0061079A" w:rsidRPr="0061079A">
        <w:rPr>
          <w:rStyle w:val="libFootnoteAlaemChar"/>
          <w:rtl/>
        </w:rPr>
        <w:t>عليه‌السلام</w:t>
      </w:r>
      <w:r w:rsidR="00744A1C">
        <w:rPr>
          <w:rtl/>
          <w:lang w:bidi="fa-IR"/>
        </w:rPr>
        <w:t xml:space="preserve"> . </w:t>
      </w:r>
      <w:r w:rsidR="00744A1C" w:rsidRPr="00A914B5">
        <w:rPr>
          <w:rStyle w:val="libFootnoteBoldChar"/>
          <w:rtl/>
        </w:rPr>
        <w:t>تفسير العيّاشي</w:t>
      </w:r>
      <w:r w:rsidR="00744A1C">
        <w:rPr>
          <w:rtl/>
          <w:lang w:bidi="fa-IR"/>
        </w:rPr>
        <w:t xml:space="preserve"> ، ج 2 ، ص 94 ، ح 78 ، عن الصبّاح بن سيابة ، من دون</w:t>
      </w:r>
      <w:r w:rsidR="006B1D9F">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8460 / 4. أَحْمَدُ بْنُ مُحَمَّدٍ ، عَنْ حَمْدَانَ بْنِ إِبْرَاهِيمَ الْهَمْدَانِيِّ </w:t>
      </w:r>
      <w:r w:rsidRPr="00D10E3C">
        <w:rPr>
          <w:rStyle w:val="libFootnotenumChar"/>
          <w:rtl/>
        </w:rPr>
        <w:t>(1)</w:t>
      </w:r>
      <w:r>
        <w:rPr>
          <w:rtl/>
          <w:lang w:bidi="fa-IR"/>
        </w:rPr>
        <w:t xml:space="preserve"> :</w:t>
      </w:r>
    </w:p>
    <w:p w:rsidR="00144FA6" w:rsidRDefault="00744A1C" w:rsidP="00744A1C">
      <w:pPr>
        <w:pStyle w:val="libNormal"/>
        <w:rPr>
          <w:rtl/>
          <w:lang w:bidi="fa-IR"/>
        </w:rPr>
      </w:pPr>
      <w:r>
        <w:rPr>
          <w:rtl/>
          <w:lang w:bidi="fa-IR"/>
        </w:rPr>
        <w:t xml:space="preserve">رَفَعَهُ إِلى بَعْضِ الصَّادِقِينَ </w:t>
      </w:r>
      <w:r w:rsidR="0061079A" w:rsidRPr="0061079A">
        <w:rPr>
          <w:rStyle w:val="libAlaemChar"/>
          <w:rtl/>
        </w:rPr>
        <w:t>عليه‌السلام</w:t>
      </w:r>
      <w:r w:rsidR="00D10E3C">
        <w:rPr>
          <w:rtl/>
          <w:lang w:bidi="fa-IR"/>
        </w:rPr>
        <w:t xml:space="preserve"> </w:t>
      </w:r>
      <w:r>
        <w:rPr>
          <w:rtl/>
          <w:lang w:bidi="fa-IR"/>
        </w:rPr>
        <w:t xml:space="preserve">، قَالَ : « إِنِّي لَأُحِبُّ لِلرَّجُلِ </w:t>
      </w:r>
      <w:r w:rsidRPr="00D10E3C">
        <w:rPr>
          <w:rStyle w:val="libFootnotenumChar"/>
          <w:rtl/>
        </w:rPr>
        <w:t>(2)</w:t>
      </w:r>
      <w:r>
        <w:rPr>
          <w:rtl/>
          <w:lang w:bidi="fa-IR"/>
        </w:rPr>
        <w:t xml:space="preserve"> أَنْ </w:t>
      </w:r>
      <w:r w:rsidRPr="00D10E3C">
        <w:rPr>
          <w:rStyle w:val="libFootnotenumChar"/>
          <w:rtl/>
        </w:rPr>
        <w:t>(3)</w:t>
      </w:r>
      <w:r>
        <w:rPr>
          <w:rtl/>
          <w:lang w:bidi="fa-IR"/>
        </w:rPr>
        <w:t xml:space="preserve"> يَكُونَ عَلَيْهِ دَيْنٌ يَنْوِي قَضَاءَهُ ». </w:t>
      </w:r>
      <w:r w:rsidRPr="00D10E3C">
        <w:rPr>
          <w:rStyle w:val="libFootnotenumChar"/>
          <w:rtl/>
        </w:rPr>
        <w:t>(4)</w:t>
      </w:r>
    </w:p>
    <w:p w:rsidR="00144FA6" w:rsidRDefault="00744A1C" w:rsidP="00744A1C">
      <w:pPr>
        <w:pStyle w:val="libNormal"/>
        <w:rPr>
          <w:rtl/>
          <w:lang w:bidi="fa-IR"/>
        </w:rPr>
      </w:pPr>
      <w:r>
        <w:rPr>
          <w:rtl/>
          <w:lang w:bidi="fa-IR"/>
        </w:rPr>
        <w:t xml:space="preserve">8461 / 5. مُحَمَّدُ بْنُ يَحْيى ، عَنْ مُحَمَّدِ بْنِ الْحُسَيْنِ ، عَنْ مُحَمَّدِ بْنِ سُلَيْمَانَ ، عَنْ رَجُلٍ مِنْ أَهْلِ الْجَزِيرَةِ يُكَنّى أَبَا مُحَمَّدٍ </w:t>
      </w:r>
      <w:r w:rsidRPr="00D10E3C">
        <w:rPr>
          <w:rStyle w:val="libFootnotenumChar"/>
          <w:rtl/>
        </w:rPr>
        <w:t>(5)</w:t>
      </w:r>
      <w:r>
        <w:rPr>
          <w:rtl/>
          <w:lang w:bidi="fa-IR"/>
        </w:rPr>
        <w:t xml:space="preserve"> ، قَالَ :</w:t>
      </w:r>
    </w:p>
    <w:p w:rsidR="00744A1C" w:rsidRDefault="00744A1C" w:rsidP="00744A1C">
      <w:pPr>
        <w:pStyle w:val="libNormal"/>
        <w:rPr>
          <w:lang w:bidi="fa-IR"/>
        </w:rPr>
      </w:pPr>
      <w:r>
        <w:rPr>
          <w:rtl/>
          <w:lang w:bidi="fa-IR"/>
        </w:rPr>
        <w:t xml:space="preserve">سَأَلَ الرِّضَا </w:t>
      </w:r>
      <w:r w:rsidR="0061079A" w:rsidRPr="0061079A">
        <w:rPr>
          <w:rStyle w:val="libAlaemChar"/>
          <w:rtl/>
        </w:rPr>
        <w:t>عليه‌السلام</w:t>
      </w:r>
      <w:r w:rsidR="00D10E3C">
        <w:rPr>
          <w:rtl/>
          <w:lang w:bidi="fa-IR"/>
        </w:rPr>
        <w:t xml:space="preserve"> </w:t>
      </w:r>
      <w:r>
        <w:rPr>
          <w:rtl/>
          <w:lang w:bidi="fa-IR"/>
        </w:rPr>
        <w:t xml:space="preserve">رَجُلٌ وَأَنَا أَسْمَعُ ، فَقَالَ لَهُ : جُعِلْتُ فِدَاكَ ، إِنَّ اللهَ - عَزَّ وَجَلَّ - يَقُولُ : </w:t>
      </w:r>
      <w:r w:rsidRPr="0011503E">
        <w:rPr>
          <w:rStyle w:val="libAlaemChar"/>
          <w:rtl/>
        </w:rPr>
        <w:t>(</w:t>
      </w:r>
      <w:r>
        <w:rPr>
          <w:rtl/>
          <w:lang w:bidi="fa-IR"/>
        </w:rPr>
        <w:t xml:space="preserve"> </w:t>
      </w:r>
      <w:r w:rsidRPr="0011503E">
        <w:rPr>
          <w:rStyle w:val="libAieChar"/>
          <w:rtl/>
        </w:rPr>
        <w:t xml:space="preserve">وَإِنْ كانَ ذُو عُسْرَةٍ فَنَظِرَةٌ </w:t>
      </w:r>
      <w:r w:rsidRPr="00D10E3C">
        <w:rPr>
          <w:rStyle w:val="libFootnotenumChar"/>
          <w:rtl/>
        </w:rPr>
        <w:t>(6)</w:t>
      </w:r>
      <w:r>
        <w:rPr>
          <w:rtl/>
          <w:lang w:bidi="fa-IR"/>
        </w:rPr>
        <w:t xml:space="preserve"> </w:t>
      </w:r>
      <w:r w:rsidRPr="0011503E">
        <w:rPr>
          <w:rStyle w:val="libAieChar"/>
          <w:rtl/>
        </w:rPr>
        <w:t xml:space="preserve">إِلى مَيْسَرَةٍ </w:t>
      </w:r>
      <w:r w:rsidRPr="0011503E">
        <w:rPr>
          <w:rStyle w:val="libAlaemChar"/>
          <w:rtl/>
        </w:rPr>
        <w:t>)</w:t>
      </w:r>
      <w:r>
        <w:rPr>
          <w:rtl/>
          <w:lang w:bidi="fa-IR"/>
        </w:rPr>
        <w:t xml:space="preserve"> </w:t>
      </w:r>
      <w:r w:rsidRPr="00D10E3C">
        <w:rPr>
          <w:rStyle w:val="libFootnotenumChar"/>
          <w:rtl/>
        </w:rPr>
        <w:t>(7)</w:t>
      </w:r>
      <w:r>
        <w:rPr>
          <w:rtl/>
          <w:lang w:bidi="fa-IR"/>
        </w:rPr>
        <w:t xml:space="preserve"> أَخْبِرْنِي عَنْ هذِهِ النَّظِرَةِ الَّتِي ذَكَرَهَا اللهُ‌</w:t>
      </w:r>
    </w:p>
    <w:p w:rsidR="00744A1C" w:rsidRDefault="00744A1C" w:rsidP="00D10E3C">
      <w:pPr>
        <w:pStyle w:val="libLine"/>
        <w:rPr>
          <w:lang w:bidi="fa-IR"/>
        </w:rPr>
      </w:pPr>
      <w:r>
        <w:rPr>
          <w:rtl/>
          <w:lang w:bidi="fa-IR"/>
        </w:rPr>
        <w:t>____________________</w:t>
      </w:r>
    </w:p>
    <w:p w:rsidR="00744A1C" w:rsidRDefault="0011503E" w:rsidP="00D10E3C">
      <w:pPr>
        <w:pStyle w:val="libFootnote0"/>
        <w:rPr>
          <w:lang w:bidi="fa-IR"/>
        </w:rPr>
      </w:pPr>
      <w:r>
        <w:rPr>
          <w:rFonts w:hint="cs"/>
          <w:rtl/>
          <w:lang w:bidi="fa-IR"/>
        </w:rPr>
        <w:t xml:space="preserve">= </w:t>
      </w:r>
      <w:r w:rsidR="00744A1C">
        <w:rPr>
          <w:rtl/>
          <w:lang w:bidi="fa-IR"/>
        </w:rPr>
        <w:t xml:space="preserve">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مع اختلاف. وراجع : </w:t>
      </w:r>
      <w:r w:rsidR="00744A1C" w:rsidRPr="0061079A">
        <w:rPr>
          <w:rStyle w:val="libFootnoteBoldChar"/>
          <w:rtl/>
        </w:rPr>
        <w:t>الكافي</w:t>
      </w:r>
      <w:r w:rsidR="00744A1C">
        <w:rPr>
          <w:rtl/>
          <w:lang w:bidi="fa-IR"/>
        </w:rPr>
        <w:t xml:space="preserve"> ، كتاب المعيشة ، باب من كدّ على عياله ، ح 8438 </w:t>
      </w:r>
      <w:r w:rsidR="00FB6BA2">
        <w:rPr>
          <w:rFonts w:hint="cs"/>
          <w:rtl/>
          <w:lang w:bidi="fa-IR"/>
        </w:rPr>
        <w:t>.</w:t>
      </w:r>
      <w:r w:rsidR="00744A1C" w:rsidRPr="00C24F9C">
        <w:rPr>
          <w:rStyle w:val="libFootnoteBoldChar"/>
          <w:rtl/>
        </w:rPr>
        <w:t>الوافي</w:t>
      </w:r>
      <w:r w:rsidR="00744A1C">
        <w:rPr>
          <w:rtl/>
          <w:lang w:bidi="fa-IR"/>
        </w:rPr>
        <w:t xml:space="preserve"> ، ج 17 ، ص 142 ، ح 17015 ؛ </w:t>
      </w:r>
      <w:r w:rsidR="00744A1C" w:rsidRPr="00C24F9C">
        <w:rPr>
          <w:rStyle w:val="libFootnoteBoldChar"/>
          <w:rtl/>
        </w:rPr>
        <w:t>الوسائل</w:t>
      </w:r>
      <w:r w:rsidR="00744A1C">
        <w:rPr>
          <w:rtl/>
          <w:lang w:bidi="fa-IR"/>
        </w:rPr>
        <w:t xml:space="preserve"> ، ج 18 ، ص 335 ، ح 23795 ؛ وفيه ، ج 17 ، ص 20 ، ح 21875 ، إلى قوله : « كالمجاهد في سبيل الله » ؛ وفيه ، ج 18 ، ص 320 ، ح 23759 ، إلى قوله : « ما يقوت به عياله ».</w:t>
      </w:r>
    </w:p>
    <w:p w:rsidR="00744A1C" w:rsidRDefault="00D10E3C" w:rsidP="00D10E3C">
      <w:pPr>
        <w:pStyle w:val="libFootnote0"/>
        <w:rPr>
          <w:lang w:bidi="fa-IR"/>
        </w:rPr>
      </w:pPr>
      <w:r>
        <w:rPr>
          <w:rtl/>
          <w:lang w:bidi="fa-IR"/>
        </w:rPr>
        <w:t>(1).</w:t>
      </w:r>
      <w:r w:rsidR="00744A1C">
        <w:rPr>
          <w:rtl/>
          <w:lang w:bidi="fa-IR"/>
        </w:rPr>
        <w:t xml:space="preserve"> حمدان بن إبراهيم الهَمْداني غير مذكور في الأسناد وكتب الرجال. والمذكور في </w:t>
      </w:r>
      <w:r w:rsidR="00744A1C" w:rsidRPr="0061079A">
        <w:rPr>
          <w:rStyle w:val="libFootnoteBoldChar"/>
          <w:rtl/>
        </w:rPr>
        <w:t>رجال الطوسي</w:t>
      </w:r>
      <w:r w:rsidR="00744A1C">
        <w:rPr>
          <w:rtl/>
          <w:lang w:bidi="fa-IR"/>
        </w:rPr>
        <w:t xml:space="preserve"> ، ص 356 ، الرقم 5281 - في ذيل أصحاب عليّ بن موسى الرضا </w:t>
      </w:r>
      <w:r w:rsidR="0061079A" w:rsidRPr="0061079A">
        <w:rPr>
          <w:rStyle w:val="libFootnoteAlaemChar"/>
          <w:rtl/>
        </w:rPr>
        <w:t>عليه‌السلام</w:t>
      </w:r>
      <w:r>
        <w:rPr>
          <w:rtl/>
          <w:lang w:bidi="fa-IR"/>
        </w:rPr>
        <w:t xml:space="preserve"> </w:t>
      </w:r>
      <w:r w:rsidR="00744A1C">
        <w:rPr>
          <w:rtl/>
          <w:lang w:bidi="fa-IR"/>
        </w:rPr>
        <w:t>- هو حمدان بن إبراهيم الأهوازي. وهو كوفي كما ذكر الشيخ الطوسي.</w:t>
      </w:r>
    </w:p>
    <w:p w:rsidR="00744A1C" w:rsidRDefault="00744A1C" w:rsidP="00D10E3C">
      <w:pPr>
        <w:pStyle w:val="libFootnote0"/>
        <w:rPr>
          <w:lang w:bidi="fa-IR"/>
        </w:rPr>
      </w:pPr>
      <w:r>
        <w:rPr>
          <w:rtl/>
          <w:lang w:bidi="fa-IR"/>
        </w:rPr>
        <w:t xml:space="preserve">هذا ، ويحتمل اتّحاد حمدان بن إبراهيم هذا مع المذكور في </w:t>
      </w:r>
      <w:r w:rsidRPr="0061079A">
        <w:rPr>
          <w:rStyle w:val="libFootnoteBoldChar"/>
          <w:rtl/>
        </w:rPr>
        <w:t>رجال الطوسي</w:t>
      </w:r>
      <w:r>
        <w:rPr>
          <w:rtl/>
          <w:lang w:bidi="fa-IR"/>
        </w:rPr>
        <w:t xml:space="preserve"> ؛ فإنّ الهمداني منسوب إلى هَمْدان وهي قبيلة من اليمن ، نزلت الكوفة ، كما في </w:t>
      </w:r>
      <w:r w:rsidRPr="00C14640">
        <w:rPr>
          <w:rStyle w:val="libFootnoteBoldChar"/>
          <w:rtl/>
        </w:rPr>
        <w:t>الأنساب للسمعاني</w:t>
      </w:r>
      <w:r>
        <w:rPr>
          <w:rtl/>
          <w:lang w:bidi="fa-IR"/>
        </w:rPr>
        <w:t xml:space="preserve"> ، ج 5 ، ص 647. وكثيرٌ من مشايخ أحمد بن محمّد شيخ محمّد بن يحيى - وهو ابن عيسى - من أصحاب الرضا </w:t>
      </w:r>
      <w:r w:rsidR="0061079A" w:rsidRPr="0061079A">
        <w:rPr>
          <w:rStyle w:val="libFootnoteAlaemChar"/>
          <w:rtl/>
        </w:rPr>
        <w:t>عليه‌السلام</w:t>
      </w:r>
      <w:r>
        <w:rPr>
          <w:rtl/>
          <w:lang w:bidi="fa-IR"/>
        </w:rPr>
        <w:t xml:space="preserve"> . فعليه يكون السند معلّقاً على سابقه ، ويروي عن أحمد بن محمّد ، محمّد بن يحيى.</w:t>
      </w:r>
    </w:p>
    <w:p w:rsidR="00744A1C" w:rsidRDefault="00744A1C" w:rsidP="00D10E3C">
      <w:pPr>
        <w:pStyle w:val="libFootnote0"/>
        <w:rPr>
          <w:lang w:bidi="fa-IR"/>
        </w:rPr>
      </w:pPr>
      <w:r>
        <w:rPr>
          <w:rtl/>
          <w:lang w:bidi="fa-IR"/>
        </w:rPr>
        <w:t>وأمّا إن لم نقل بالاتّحاد ، فحمدان بن إبراهيم الهمداني مجهول ، وفي العنوان بعض الاحتمالات لا يرجع إلى محصّلٍ.</w:t>
      </w:r>
    </w:p>
    <w:p w:rsidR="00744A1C" w:rsidRDefault="00E378DD" w:rsidP="00E378DD">
      <w:pPr>
        <w:pStyle w:val="libFootnote0"/>
        <w:rPr>
          <w:lang w:bidi="fa-IR"/>
        </w:rPr>
      </w:pPr>
      <w:r>
        <w:rPr>
          <w:rtl/>
          <w:lang w:bidi="fa-IR"/>
        </w:rPr>
        <w:t>(2).</w:t>
      </w:r>
      <w:r w:rsidR="00744A1C">
        <w:rPr>
          <w:rtl/>
          <w:lang w:bidi="fa-IR"/>
        </w:rPr>
        <w:t xml:space="preserve"> في « بف » : « الرجل ».</w:t>
      </w:r>
    </w:p>
    <w:p w:rsidR="00744A1C" w:rsidRDefault="00E378DD" w:rsidP="00E378DD">
      <w:pPr>
        <w:pStyle w:val="libFootnote0"/>
        <w:rPr>
          <w:lang w:bidi="fa-IR"/>
        </w:rPr>
      </w:pPr>
      <w:r>
        <w:rPr>
          <w:rtl/>
          <w:lang w:bidi="fa-IR"/>
        </w:rPr>
        <w:t>(3).</w:t>
      </w:r>
      <w:r w:rsidR="00744A1C">
        <w:rPr>
          <w:rtl/>
          <w:lang w:bidi="fa-IR"/>
        </w:rPr>
        <w:t xml:space="preserve"> في « ط ، بف » : - « أن ».</w:t>
      </w:r>
    </w:p>
    <w:p w:rsidR="00744A1C" w:rsidRDefault="00E378DD" w:rsidP="00E378DD">
      <w:pPr>
        <w:pStyle w:val="libFootnote0"/>
        <w:rPr>
          <w:lang w:bidi="fa-IR"/>
        </w:rPr>
      </w:pPr>
      <w:r>
        <w:rPr>
          <w:rtl/>
          <w:lang w:bidi="fa-IR"/>
        </w:rPr>
        <w:t>(4).</w:t>
      </w:r>
      <w:r w:rsidR="00744A1C">
        <w:rPr>
          <w:rtl/>
          <w:lang w:bidi="fa-IR"/>
        </w:rPr>
        <w:t xml:space="preserve"> راجع : </w:t>
      </w:r>
      <w:r w:rsidR="00744A1C" w:rsidRPr="00C24F9C">
        <w:rPr>
          <w:rStyle w:val="libFootnoteBoldChar"/>
          <w:rtl/>
        </w:rPr>
        <w:t>الفقيه</w:t>
      </w:r>
      <w:r w:rsidR="00744A1C">
        <w:rPr>
          <w:rtl/>
          <w:lang w:bidi="fa-IR"/>
        </w:rPr>
        <w:t xml:space="preserve"> ، ج 3 ، ص 183 ، ح 3687 ؛ </w:t>
      </w:r>
      <w:r w:rsidR="00744A1C" w:rsidRPr="0061079A">
        <w:rPr>
          <w:rStyle w:val="libFootnoteBoldChar"/>
          <w:rtl/>
        </w:rPr>
        <w:t>والتهذيب</w:t>
      </w:r>
      <w:r w:rsidR="00744A1C">
        <w:rPr>
          <w:rtl/>
          <w:lang w:bidi="fa-IR"/>
        </w:rPr>
        <w:t xml:space="preserve"> ، ج 6 ، ص 185 ، ح 384 ؛ و</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257 </w:t>
      </w:r>
      <w:r w:rsidR="00FB6BA2">
        <w:rPr>
          <w:rFonts w:hint="cs"/>
          <w:rtl/>
          <w:lang w:bidi="fa-IR"/>
        </w:rPr>
        <w:t>.</w:t>
      </w:r>
      <w:r w:rsidR="00744A1C" w:rsidRPr="00C24F9C">
        <w:rPr>
          <w:rStyle w:val="libFootnoteBoldChar"/>
          <w:rtl/>
        </w:rPr>
        <w:t>الوافي</w:t>
      </w:r>
      <w:r w:rsidR="00744A1C">
        <w:rPr>
          <w:rtl/>
          <w:lang w:bidi="fa-IR"/>
        </w:rPr>
        <w:t xml:space="preserve"> ، ج 18 ، ص 786 ، ح 18291 ؛ </w:t>
      </w:r>
      <w:r w:rsidR="00744A1C" w:rsidRPr="00C24F9C">
        <w:rPr>
          <w:rStyle w:val="libFootnoteBoldChar"/>
          <w:rtl/>
        </w:rPr>
        <w:t>الوسائل</w:t>
      </w:r>
      <w:r w:rsidR="00744A1C">
        <w:rPr>
          <w:rtl/>
          <w:lang w:bidi="fa-IR"/>
        </w:rPr>
        <w:t xml:space="preserve"> ، ج 18 ، ص 321 ، ح 23761.</w:t>
      </w:r>
    </w:p>
    <w:p w:rsidR="00744A1C" w:rsidRDefault="00E378DD" w:rsidP="00E378DD">
      <w:pPr>
        <w:pStyle w:val="libFootnote0"/>
        <w:rPr>
          <w:lang w:bidi="fa-IR"/>
        </w:rPr>
      </w:pPr>
      <w:r>
        <w:rPr>
          <w:rtl/>
          <w:lang w:bidi="fa-IR"/>
        </w:rPr>
        <w:t>(5).</w:t>
      </w:r>
      <w:r w:rsidR="00744A1C">
        <w:rPr>
          <w:rtl/>
          <w:lang w:bidi="fa-IR"/>
        </w:rPr>
        <w:t xml:space="preserve"> في « بخ ، بف ، جت » و</w:t>
      </w:r>
      <w:r w:rsidR="00744A1C" w:rsidRPr="00C24F9C">
        <w:rPr>
          <w:rStyle w:val="libFootnoteBoldChar"/>
          <w:rtl/>
        </w:rPr>
        <w:t>الوافي</w:t>
      </w:r>
      <w:r w:rsidR="00744A1C">
        <w:rPr>
          <w:rtl/>
          <w:lang w:bidi="fa-IR"/>
        </w:rPr>
        <w:t xml:space="preserve"> : « أبا نجّاد ».</w:t>
      </w:r>
    </w:p>
    <w:p w:rsidR="00744A1C" w:rsidRDefault="00E378DD" w:rsidP="00E378DD">
      <w:pPr>
        <w:pStyle w:val="libFootnote0"/>
        <w:rPr>
          <w:lang w:bidi="fa-IR"/>
        </w:rPr>
      </w:pPr>
      <w:r>
        <w:rPr>
          <w:rtl/>
          <w:lang w:bidi="fa-IR"/>
        </w:rPr>
        <w:t>(6).</w:t>
      </w:r>
      <w:r w:rsidR="00744A1C">
        <w:rPr>
          <w:rtl/>
          <w:lang w:bidi="fa-IR"/>
        </w:rPr>
        <w:t xml:space="preserve"> النَّظِرَهُ - بكسر الظاء - : التأخير في الأمر. </w:t>
      </w:r>
      <w:r w:rsidR="00744A1C" w:rsidRPr="00877682">
        <w:rPr>
          <w:rStyle w:val="libFootnoteBoldChar"/>
          <w:rtl/>
        </w:rPr>
        <w:t>لسان العرب</w:t>
      </w:r>
      <w:r w:rsidR="00744A1C">
        <w:rPr>
          <w:rtl/>
          <w:lang w:bidi="fa-IR"/>
        </w:rPr>
        <w:t xml:space="preserve"> ، ج 5 ، ص 218 ( نظر ).</w:t>
      </w:r>
    </w:p>
    <w:p w:rsidR="00744A1C" w:rsidRDefault="00E378DD" w:rsidP="00E378DD">
      <w:pPr>
        <w:pStyle w:val="libFootnote0"/>
        <w:rPr>
          <w:lang w:bidi="fa-IR"/>
        </w:rPr>
      </w:pPr>
      <w:r>
        <w:rPr>
          <w:rtl/>
          <w:lang w:bidi="fa-IR"/>
        </w:rPr>
        <w:t>(7).</w:t>
      </w:r>
      <w:r w:rsidR="00744A1C">
        <w:rPr>
          <w:rtl/>
          <w:lang w:bidi="fa-IR"/>
        </w:rPr>
        <w:t xml:space="preserve"> البقرة </w:t>
      </w:r>
      <w:r w:rsidR="00FB6BA2">
        <w:rPr>
          <w:rtl/>
          <w:lang w:bidi="fa-IR"/>
        </w:rPr>
        <w:t>(2)</w:t>
      </w:r>
      <w:r w:rsidR="00744A1C">
        <w:rPr>
          <w:rtl/>
          <w:lang w:bidi="fa-IR"/>
        </w:rPr>
        <w:t xml:space="preserve"> : 280.</w:t>
      </w:r>
    </w:p>
    <w:p w:rsidR="006A5060" w:rsidRDefault="006A5060" w:rsidP="00D10E3C">
      <w:pPr>
        <w:pStyle w:val="libNormal"/>
        <w:rPr>
          <w:rtl/>
          <w:lang w:bidi="fa-IR"/>
        </w:rPr>
      </w:pPr>
      <w:r>
        <w:rPr>
          <w:rtl/>
          <w:lang w:bidi="fa-IR"/>
        </w:rPr>
        <w:br w:type="page"/>
      </w:r>
    </w:p>
    <w:p w:rsidR="00744A1C" w:rsidRDefault="00744A1C" w:rsidP="005D2B3B">
      <w:pPr>
        <w:pStyle w:val="libNormal0"/>
        <w:rPr>
          <w:lang w:bidi="fa-IR"/>
        </w:rPr>
      </w:pPr>
      <w:r>
        <w:rPr>
          <w:rtl/>
          <w:lang w:bidi="fa-IR"/>
        </w:rPr>
        <w:t xml:space="preserve">- عَزَّ وَجَلَّ </w:t>
      </w:r>
      <w:r w:rsidRPr="00D10E3C">
        <w:rPr>
          <w:rStyle w:val="libFootnotenumChar"/>
          <w:rtl/>
        </w:rPr>
        <w:t>(1)</w:t>
      </w:r>
      <w:r>
        <w:rPr>
          <w:rtl/>
          <w:lang w:bidi="fa-IR"/>
        </w:rPr>
        <w:t xml:space="preserve"> - فِي كِتَابِهِ : لَهَا حَدٌّ يُعْرَفُ إِذَا صَارَ هذَا الْمُعْسِرُ إِلَيْهِ </w:t>
      </w:r>
      <w:r w:rsidRPr="00D10E3C">
        <w:rPr>
          <w:rStyle w:val="libFootnotenumChar"/>
          <w:rtl/>
        </w:rPr>
        <w:t>(2)</w:t>
      </w:r>
      <w:r>
        <w:rPr>
          <w:rtl/>
          <w:lang w:bidi="fa-IR"/>
        </w:rPr>
        <w:t xml:space="preserve"> لَابُدَّ لَهُ </w:t>
      </w:r>
      <w:r w:rsidRPr="00D10E3C">
        <w:rPr>
          <w:rStyle w:val="libFootnotenumChar"/>
          <w:rtl/>
        </w:rPr>
        <w:t>(3)</w:t>
      </w:r>
      <w:r>
        <w:rPr>
          <w:rtl/>
          <w:lang w:bidi="fa-IR"/>
        </w:rPr>
        <w:t xml:space="preserve"> مِنْ أَنْ‌ يُنْتَظَرَ </w:t>
      </w:r>
      <w:r w:rsidRPr="00D10E3C">
        <w:rPr>
          <w:rStyle w:val="libFootnotenumChar"/>
          <w:rtl/>
        </w:rPr>
        <w:t>(4)</w:t>
      </w:r>
      <w:r>
        <w:rPr>
          <w:rtl/>
          <w:lang w:bidi="fa-IR"/>
        </w:rPr>
        <w:t xml:space="preserve"> ، وَقَدْ أَخَذَ مَالَ هذَا الرَّجُلِ ، وَأَنْفَقَهُ عَلى عِيَالِهِ ، وَلَيْسَ لَهُ غَلَّةٌ </w:t>
      </w:r>
      <w:r w:rsidRPr="00D10E3C">
        <w:rPr>
          <w:rStyle w:val="libFootnotenumChar"/>
          <w:rtl/>
        </w:rPr>
        <w:t>(5)</w:t>
      </w:r>
      <w:r>
        <w:rPr>
          <w:rtl/>
          <w:lang w:bidi="fa-IR"/>
        </w:rPr>
        <w:t xml:space="preserve"> يُنْتَظَرُ </w:t>
      </w:r>
      <w:r w:rsidRPr="00D10E3C">
        <w:rPr>
          <w:rStyle w:val="libFootnotenumChar"/>
          <w:rtl/>
        </w:rPr>
        <w:t>(6)</w:t>
      </w:r>
      <w:r>
        <w:rPr>
          <w:rtl/>
          <w:lang w:bidi="fa-IR"/>
        </w:rPr>
        <w:t xml:space="preserve"> إِدْرَاكُهَا ، وَلَا دَيْنٌ يُنْتَظَرُ مَحِلُّهُ ، وَلَا مَالٌ غَائِبٌ </w:t>
      </w:r>
      <w:r w:rsidRPr="00D10E3C">
        <w:rPr>
          <w:rStyle w:val="libFootnotenumChar"/>
          <w:rtl/>
        </w:rPr>
        <w:t>(7)</w:t>
      </w:r>
      <w:r>
        <w:rPr>
          <w:rtl/>
          <w:lang w:bidi="fa-IR"/>
        </w:rPr>
        <w:t xml:space="preserve"> يُنْتَظَرُ قُدُومُهُ؟</w:t>
      </w:r>
    </w:p>
    <w:p w:rsidR="00744A1C" w:rsidRDefault="00744A1C" w:rsidP="00744A1C">
      <w:pPr>
        <w:pStyle w:val="libNormal"/>
        <w:rPr>
          <w:lang w:bidi="fa-IR"/>
        </w:rPr>
      </w:pPr>
      <w:r>
        <w:rPr>
          <w:rtl/>
          <w:lang w:bidi="fa-IR"/>
        </w:rPr>
        <w:t xml:space="preserve">قَالَ : « نَعَمْ ، يُنْتَظَرُ بِقَدْرِ مَا يَنْتَهِي خَبَرُهُ إِلَى الْإِمَامِ ، فَيَقْضِي عَنْهُ مَا عَلَيْهِ </w:t>
      </w:r>
      <w:r w:rsidRPr="00D10E3C">
        <w:rPr>
          <w:rStyle w:val="libFootnotenumChar"/>
          <w:rtl/>
        </w:rPr>
        <w:t>(8)</w:t>
      </w:r>
      <w:r>
        <w:rPr>
          <w:rtl/>
          <w:lang w:bidi="fa-IR"/>
        </w:rPr>
        <w:t xml:space="preserve"> مِنْ سَهْمِ الْغَارِمِينَ إِذَا كَانَ أَنْفَقَهُ فِي طَاعَةِ اللهِ عَزَّ وَجَلَّ ، فَإِنْ </w:t>
      </w:r>
      <w:r w:rsidRPr="00D10E3C">
        <w:rPr>
          <w:rStyle w:val="libFootnotenumChar"/>
          <w:rtl/>
        </w:rPr>
        <w:t>(9)</w:t>
      </w:r>
      <w:r>
        <w:rPr>
          <w:rtl/>
          <w:lang w:bidi="fa-IR"/>
        </w:rPr>
        <w:t xml:space="preserve"> كَانَ أَنْفَقَهُ </w:t>
      </w:r>
      <w:r w:rsidRPr="00D10E3C">
        <w:rPr>
          <w:rStyle w:val="libFootnotenumChar"/>
          <w:rtl/>
        </w:rPr>
        <w:t>(10)</w:t>
      </w:r>
      <w:r>
        <w:rPr>
          <w:rtl/>
          <w:lang w:bidi="fa-IR"/>
        </w:rPr>
        <w:t xml:space="preserve"> فِي مَعْصِيَةِ اللهِ ، فَلَا شَيْ‌ءَ لَهُ عَلَى الْإِمَامِ </w:t>
      </w:r>
      <w:r w:rsidRPr="00D10E3C">
        <w:rPr>
          <w:rStyle w:val="libFootnotenumChar"/>
          <w:rtl/>
        </w:rPr>
        <w:t>(11)</w:t>
      </w:r>
      <w:r>
        <w:rPr>
          <w:rtl/>
          <w:lang w:bidi="fa-IR"/>
        </w:rPr>
        <w:t xml:space="preserve"> ».</w:t>
      </w:r>
    </w:p>
    <w:p w:rsidR="00744A1C" w:rsidRDefault="00744A1C" w:rsidP="00744A1C">
      <w:pPr>
        <w:pStyle w:val="libNormal"/>
        <w:rPr>
          <w:lang w:bidi="fa-IR"/>
        </w:rPr>
      </w:pPr>
      <w:r>
        <w:rPr>
          <w:rtl/>
          <w:lang w:bidi="fa-IR"/>
        </w:rPr>
        <w:t xml:space="preserve">قُلْتُ : فَمَا لِهذَا </w:t>
      </w:r>
      <w:r w:rsidRPr="00D10E3C">
        <w:rPr>
          <w:rStyle w:val="libFootnotenumChar"/>
          <w:rtl/>
        </w:rPr>
        <w:t>(12)</w:t>
      </w:r>
      <w:r>
        <w:rPr>
          <w:rtl/>
          <w:lang w:bidi="fa-IR"/>
        </w:rPr>
        <w:t xml:space="preserve"> الرَّجُلِ الَّذِي </w:t>
      </w:r>
      <w:r w:rsidRPr="00D10E3C">
        <w:rPr>
          <w:rStyle w:val="libFootnotenumChar"/>
          <w:rtl/>
        </w:rPr>
        <w:t>(13)</w:t>
      </w:r>
      <w:r>
        <w:rPr>
          <w:rtl/>
          <w:lang w:bidi="fa-IR"/>
        </w:rPr>
        <w:t xml:space="preserve"> ائْتَمَنَهُ وَهُوَ </w:t>
      </w:r>
      <w:r w:rsidRPr="00D10E3C">
        <w:rPr>
          <w:rStyle w:val="libFootnotenumChar"/>
          <w:rtl/>
        </w:rPr>
        <w:t>(14)</w:t>
      </w:r>
      <w:r>
        <w:rPr>
          <w:rtl/>
          <w:lang w:bidi="fa-IR"/>
        </w:rPr>
        <w:t xml:space="preserve"> لَايَعْلَمُ فِيمَا أَنْفَقَهُ : فِي طَاعَةِ اللهِ ، أَمْ فِي </w:t>
      </w:r>
      <w:r w:rsidRPr="00D10E3C">
        <w:rPr>
          <w:rStyle w:val="libFootnotenumChar"/>
          <w:rtl/>
        </w:rPr>
        <w:t>(15)</w:t>
      </w:r>
      <w:r>
        <w:rPr>
          <w:rtl/>
          <w:lang w:bidi="fa-IR"/>
        </w:rPr>
        <w:t xml:space="preserve"> مَعْصِيَتِهِ </w:t>
      </w:r>
      <w:r w:rsidRPr="00D10E3C">
        <w:rPr>
          <w:rStyle w:val="libFootnotenumChar"/>
          <w:rtl/>
        </w:rPr>
        <w:t>(16)</w:t>
      </w:r>
      <w:r>
        <w:rPr>
          <w:rtl/>
          <w:lang w:bidi="fa-IR"/>
        </w:rPr>
        <w:t>؟</w:t>
      </w:r>
    </w:p>
    <w:p w:rsidR="00144FA6" w:rsidRDefault="00744A1C" w:rsidP="00744A1C">
      <w:pPr>
        <w:pStyle w:val="libNormal"/>
        <w:rPr>
          <w:rtl/>
          <w:lang w:bidi="fa-IR"/>
        </w:rPr>
      </w:pPr>
      <w:r>
        <w:rPr>
          <w:rtl/>
          <w:lang w:bidi="fa-IR"/>
        </w:rPr>
        <w:t xml:space="preserve">قَالَ : « يَسْعى لَهُ </w:t>
      </w:r>
      <w:r w:rsidRPr="00D10E3C">
        <w:rPr>
          <w:rStyle w:val="libFootnotenumChar"/>
          <w:rtl/>
        </w:rPr>
        <w:t>(17)</w:t>
      </w:r>
      <w:r>
        <w:rPr>
          <w:rtl/>
          <w:lang w:bidi="fa-IR"/>
        </w:rPr>
        <w:t xml:space="preserve"> فِي مَالِهِ ، فَيَرُدُّهُ </w:t>
      </w:r>
      <w:r w:rsidRPr="00D10E3C">
        <w:rPr>
          <w:rStyle w:val="libFootnotenumChar"/>
          <w:rtl/>
        </w:rPr>
        <w:t>(18)</w:t>
      </w:r>
      <w:r>
        <w:rPr>
          <w:rtl/>
          <w:lang w:bidi="fa-IR"/>
        </w:rPr>
        <w:t xml:space="preserve"> عَلَيْهِ </w:t>
      </w:r>
      <w:r w:rsidRPr="00D10E3C">
        <w:rPr>
          <w:rStyle w:val="libFootnotenumChar"/>
          <w:rtl/>
        </w:rPr>
        <w:t>(19)</w:t>
      </w:r>
      <w:r>
        <w:rPr>
          <w:rtl/>
          <w:lang w:bidi="fa-IR"/>
        </w:rPr>
        <w:t xml:space="preserve"> وَهُوَ صَاغِرٌ ». </w:t>
      </w:r>
      <w:r w:rsidRPr="00D10E3C">
        <w:rPr>
          <w:rStyle w:val="libFootnotenumChar"/>
          <w:rtl/>
        </w:rPr>
        <w:t>(20)</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FB6BA2" w:rsidTr="00FB6BA2">
        <w:tc>
          <w:tcPr>
            <w:tcW w:w="4006" w:type="dxa"/>
          </w:tcPr>
          <w:p w:rsidR="00FB6BA2" w:rsidRDefault="00FB6BA2" w:rsidP="00E378DD">
            <w:pPr>
              <w:pStyle w:val="libFootnote0"/>
              <w:rPr>
                <w:rtl/>
                <w:lang w:bidi="fa-IR"/>
              </w:rPr>
            </w:pPr>
            <w:r>
              <w:rPr>
                <w:rtl/>
                <w:lang w:bidi="fa-IR"/>
              </w:rPr>
              <w:t>(1). في « ط » : - « الله عزّ وجلّ ».</w:t>
            </w:r>
          </w:p>
        </w:tc>
        <w:tc>
          <w:tcPr>
            <w:tcW w:w="4006" w:type="dxa"/>
          </w:tcPr>
          <w:p w:rsidR="00FB6BA2" w:rsidRDefault="00FB6BA2" w:rsidP="00E378DD">
            <w:pPr>
              <w:pStyle w:val="libFootnote0"/>
              <w:rPr>
                <w:rtl/>
                <w:lang w:bidi="fa-IR"/>
              </w:rPr>
            </w:pPr>
            <w:r>
              <w:rPr>
                <w:rtl/>
                <w:lang w:bidi="fa-IR"/>
              </w:rPr>
              <w:t>(2). في«ط،بح،بخ»</w:t>
            </w:r>
            <w:r w:rsidRPr="00FB6BA2">
              <w:rPr>
                <w:rtl/>
              </w:rPr>
              <w:t>والتهذيب وتفسير العيّاشي</w:t>
            </w:r>
            <w:r>
              <w:rPr>
                <w:rtl/>
                <w:lang w:bidi="fa-IR"/>
              </w:rPr>
              <w:t>:-«إليه».</w:t>
            </w:r>
          </w:p>
        </w:tc>
      </w:tr>
      <w:tr w:rsidR="00FB6BA2" w:rsidTr="00FB6BA2">
        <w:tc>
          <w:tcPr>
            <w:tcW w:w="4006" w:type="dxa"/>
          </w:tcPr>
          <w:p w:rsidR="00FB6BA2" w:rsidRDefault="00FB6BA2" w:rsidP="00E378DD">
            <w:pPr>
              <w:pStyle w:val="libFootnote0"/>
              <w:rPr>
                <w:rtl/>
                <w:lang w:bidi="fa-IR"/>
              </w:rPr>
            </w:pPr>
            <w:r>
              <w:rPr>
                <w:rtl/>
                <w:lang w:bidi="fa-IR"/>
              </w:rPr>
              <w:t>(3). في « بف » : - « له ».</w:t>
            </w:r>
          </w:p>
        </w:tc>
        <w:tc>
          <w:tcPr>
            <w:tcW w:w="4006" w:type="dxa"/>
          </w:tcPr>
          <w:p w:rsidR="00FB6BA2" w:rsidRDefault="00FB6BA2" w:rsidP="00E378DD">
            <w:pPr>
              <w:pStyle w:val="libFootnote0"/>
              <w:rPr>
                <w:rtl/>
                <w:lang w:bidi="fa-IR"/>
              </w:rPr>
            </w:pPr>
            <w:r>
              <w:rPr>
                <w:rtl/>
                <w:lang w:bidi="fa-IR"/>
              </w:rPr>
              <w:t xml:space="preserve">(4). في </w:t>
            </w:r>
            <w:r w:rsidRPr="00C24F9C">
              <w:rPr>
                <w:rStyle w:val="libFootnoteBoldChar"/>
                <w:rtl/>
              </w:rPr>
              <w:t>الوافي</w:t>
            </w:r>
            <w:r>
              <w:rPr>
                <w:rtl/>
                <w:lang w:bidi="fa-IR"/>
              </w:rPr>
              <w:t xml:space="preserve"> : « أن ينظر ».</w:t>
            </w:r>
          </w:p>
        </w:tc>
      </w:tr>
    </w:tbl>
    <w:p w:rsidR="00744A1C" w:rsidRDefault="00E378DD" w:rsidP="00E378DD">
      <w:pPr>
        <w:pStyle w:val="libFootnote0"/>
        <w:rPr>
          <w:lang w:bidi="fa-IR"/>
        </w:rPr>
      </w:pPr>
      <w:r>
        <w:rPr>
          <w:rtl/>
          <w:lang w:bidi="fa-IR"/>
        </w:rPr>
        <w:t>(5).</w:t>
      </w:r>
      <w:r w:rsidR="00FB6BA2">
        <w:rPr>
          <w:rtl/>
          <w:lang w:bidi="fa-IR"/>
        </w:rPr>
        <w:t xml:space="preserve"> الغَلّة : واحدة الغَل</w:t>
      </w:r>
      <w:r w:rsidR="00FB6BA2">
        <w:rPr>
          <w:rFonts w:hint="cs"/>
          <w:rtl/>
          <w:lang w:bidi="fa-IR"/>
        </w:rPr>
        <w:t>ّ</w:t>
      </w:r>
      <w:r w:rsidR="00FB6BA2">
        <w:rPr>
          <w:rtl/>
          <w:lang w:bidi="fa-IR"/>
        </w:rPr>
        <w:t>ا</w:t>
      </w:r>
      <w:r w:rsidR="00744A1C">
        <w:rPr>
          <w:rtl/>
          <w:lang w:bidi="fa-IR"/>
        </w:rPr>
        <w:t xml:space="preserve">ت ، وهي الدخل الذي يحصل من الزرع والثمر واللبن والإجارة والنتاج ونحو ذلك. </w:t>
      </w:r>
      <w:r w:rsidR="00744A1C" w:rsidRPr="00877682">
        <w:rPr>
          <w:rStyle w:val="libFootnoteBoldChar"/>
          <w:rtl/>
        </w:rPr>
        <w:t>النهاية</w:t>
      </w:r>
      <w:r w:rsidR="00744A1C">
        <w:rPr>
          <w:rtl/>
          <w:lang w:bidi="fa-IR"/>
        </w:rPr>
        <w:t xml:space="preserve"> ، ج 3 ، ص 381 ( غلل ). </w:t>
      </w:r>
      <w:r w:rsidR="00FB6BA2">
        <w:rPr>
          <w:rFonts w:hint="cs"/>
          <w:rtl/>
          <w:lang w:bidi="fa-IR"/>
        </w:rPr>
        <w:t xml:space="preserve">                                   </w:t>
      </w:r>
      <w:r>
        <w:rPr>
          <w:rtl/>
          <w:lang w:bidi="fa-IR"/>
        </w:rPr>
        <w:t>(6).</w:t>
      </w:r>
      <w:r w:rsidR="00FB6BA2">
        <w:rPr>
          <w:rtl/>
          <w:lang w:bidi="fa-IR"/>
        </w:rPr>
        <w:t xml:space="preserve"> في «ط</w:t>
      </w:r>
      <w:r w:rsidR="00744A1C">
        <w:rPr>
          <w:rtl/>
          <w:lang w:bidi="fa-IR"/>
        </w:rPr>
        <w:t>» : - « وقد أخذ مال هذا الرجل » إلى هنا.</w:t>
      </w:r>
    </w:p>
    <w:p w:rsidR="00744A1C" w:rsidRDefault="00E378DD" w:rsidP="00E378DD">
      <w:pPr>
        <w:pStyle w:val="libFootnote0"/>
        <w:rPr>
          <w:lang w:bidi="fa-IR"/>
        </w:rPr>
      </w:pPr>
      <w:r>
        <w:rPr>
          <w:rtl/>
          <w:lang w:bidi="fa-IR"/>
        </w:rPr>
        <w:t>(7).</w:t>
      </w:r>
      <w:r w:rsidR="00744A1C">
        <w:rPr>
          <w:rtl/>
          <w:lang w:bidi="fa-IR"/>
        </w:rPr>
        <w:t xml:space="preserve"> في « ط » : - « غائب ».</w:t>
      </w:r>
    </w:p>
    <w:p w:rsidR="00744A1C" w:rsidRDefault="00E378DD" w:rsidP="00E378DD">
      <w:pPr>
        <w:pStyle w:val="libFootnote0"/>
        <w:rPr>
          <w:lang w:bidi="fa-IR"/>
        </w:rPr>
      </w:pPr>
      <w:r>
        <w:rPr>
          <w:rtl/>
          <w:lang w:bidi="fa-IR"/>
        </w:rPr>
        <w:t>(8).</w:t>
      </w:r>
      <w:r w:rsidR="00744A1C">
        <w:rPr>
          <w:rtl/>
          <w:lang w:bidi="fa-IR"/>
        </w:rPr>
        <w:t xml:space="preserve"> في « بح ، بخ ، بس ، بف » وحاشية « جت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 + « من الدين ».</w:t>
      </w:r>
    </w:p>
    <w:p w:rsidR="00744A1C" w:rsidRDefault="00E378DD" w:rsidP="00E378DD">
      <w:pPr>
        <w:pStyle w:val="libFootnote0"/>
        <w:rPr>
          <w:lang w:bidi="fa-IR"/>
        </w:rPr>
      </w:pPr>
      <w:r>
        <w:rPr>
          <w:rtl/>
          <w:lang w:bidi="fa-IR"/>
        </w:rPr>
        <w:t>(9).</w:t>
      </w:r>
      <w:r w:rsidR="00744A1C">
        <w:rPr>
          <w:rtl/>
          <w:lang w:bidi="fa-IR"/>
        </w:rPr>
        <w:t xml:space="preserve"> في « ط » </w:t>
      </w:r>
      <w:r w:rsidR="00744A1C" w:rsidRPr="00E22CD3">
        <w:rPr>
          <w:rtl/>
        </w:rPr>
        <w:t>والتهذيب</w:t>
      </w:r>
      <w:r w:rsidR="00744A1C">
        <w:rPr>
          <w:rtl/>
          <w:lang w:bidi="fa-IR"/>
        </w:rPr>
        <w:t xml:space="preserve"> : « وإن ».</w:t>
      </w:r>
    </w:p>
    <w:p w:rsidR="00744A1C" w:rsidRDefault="00E378DD" w:rsidP="00E22CD3">
      <w:pPr>
        <w:pStyle w:val="libFootnote0"/>
        <w:rPr>
          <w:lang w:bidi="fa-IR"/>
        </w:rPr>
      </w:pPr>
      <w:r>
        <w:rPr>
          <w:rtl/>
          <w:lang w:bidi="fa-IR"/>
        </w:rPr>
        <w:t>(10).</w:t>
      </w:r>
      <w:r w:rsidR="00744A1C">
        <w:rPr>
          <w:rtl/>
          <w:lang w:bidi="fa-IR"/>
        </w:rPr>
        <w:t xml:space="preserve"> هكذا في « ط ، ى ، بح ، بخ ، بس ، بف ، جد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و</w:t>
      </w:r>
      <w:r w:rsidR="00744A1C" w:rsidRPr="00A914B5">
        <w:rPr>
          <w:rStyle w:val="libFootnoteBoldChar"/>
          <w:rtl/>
        </w:rPr>
        <w:t>تفسير العيّاشي</w:t>
      </w:r>
      <w:r w:rsidR="00744A1C">
        <w:rPr>
          <w:rtl/>
          <w:lang w:bidi="fa-IR"/>
        </w:rPr>
        <w:t>. وفي المطبوع : « قد أنفقه ».</w:t>
      </w:r>
      <w:r>
        <w:rPr>
          <w:rtl/>
          <w:lang w:bidi="fa-IR"/>
        </w:rPr>
        <w:t>(11).</w:t>
      </w:r>
      <w:r w:rsidR="00744A1C">
        <w:rPr>
          <w:rtl/>
          <w:lang w:bidi="fa-IR"/>
        </w:rPr>
        <w:t xml:space="preserve"> في « بخ ، بف » و</w:t>
      </w:r>
      <w:r w:rsidR="00744A1C" w:rsidRPr="00C24F9C">
        <w:rPr>
          <w:rStyle w:val="libFootnoteBoldChar"/>
          <w:rtl/>
        </w:rPr>
        <w:t>الوافي</w:t>
      </w:r>
      <w:r w:rsidR="00744A1C">
        <w:rPr>
          <w:rtl/>
          <w:lang w:bidi="fa-IR"/>
        </w:rPr>
        <w:t xml:space="preserve"> : « على الإمام له ».</w:t>
      </w:r>
    </w:p>
    <w:tbl>
      <w:tblPr>
        <w:tblStyle w:val="TableGrid"/>
        <w:bidiVisual/>
        <w:tblW w:w="0" w:type="auto"/>
        <w:tblLook w:val="04A0" w:firstRow="1" w:lastRow="0" w:firstColumn="1" w:lastColumn="0" w:noHBand="0" w:noVBand="1"/>
      </w:tblPr>
      <w:tblGrid>
        <w:gridCol w:w="4006"/>
        <w:gridCol w:w="4006"/>
      </w:tblGrid>
      <w:tr w:rsidR="00E22CD3" w:rsidTr="00E22CD3">
        <w:tc>
          <w:tcPr>
            <w:tcW w:w="4006" w:type="dxa"/>
          </w:tcPr>
          <w:p w:rsidR="00E22CD3" w:rsidRDefault="00E22CD3" w:rsidP="00E378DD">
            <w:pPr>
              <w:pStyle w:val="libFootnote0"/>
              <w:rPr>
                <w:rtl/>
                <w:lang w:bidi="fa-IR"/>
              </w:rPr>
            </w:pPr>
            <w:r>
              <w:rPr>
                <w:rtl/>
                <w:lang w:bidi="fa-IR"/>
              </w:rPr>
              <w:t>(12). في « ط ، بف » : « فمال هذا ».</w:t>
            </w:r>
          </w:p>
        </w:tc>
        <w:tc>
          <w:tcPr>
            <w:tcW w:w="4006" w:type="dxa"/>
          </w:tcPr>
          <w:p w:rsidR="00E22CD3" w:rsidRDefault="00E22CD3" w:rsidP="00E378DD">
            <w:pPr>
              <w:pStyle w:val="libFootnote0"/>
              <w:rPr>
                <w:rtl/>
                <w:lang w:bidi="fa-IR"/>
              </w:rPr>
            </w:pPr>
            <w:r>
              <w:rPr>
                <w:rtl/>
                <w:lang w:bidi="fa-IR"/>
              </w:rPr>
              <w:t>(13). في « ى ، بخ » : - « الذي ».</w:t>
            </w:r>
          </w:p>
        </w:tc>
      </w:tr>
    </w:tbl>
    <w:p w:rsidR="00744A1C" w:rsidRDefault="00E378DD" w:rsidP="00E378DD">
      <w:pPr>
        <w:pStyle w:val="libFootnote0"/>
        <w:rPr>
          <w:lang w:bidi="fa-IR"/>
        </w:rPr>
      </w:pPr>
      <w:r>
        <w:rPr>
          <w:rtl/>
          <w:lang w:bidi="fa-IR"/>
        </w:rPr>
        <w:t>(14).</w:t>
      </w:r>
      <w:r w:rsidR="00744A1C">
        <w:rPr>
          <w:rtl/>
          <w:lang w:bidi="fa-IR"/>
        </w:rPr>
        <w:t xml:space="preserve"> في </w:t>
      </w:r>
      <w:r w:rsidR="00744A1C" w:rsidRPr="00E22CD3">
        <w:rPr>
          <w:rtl/>
        </w:rPr>
        <w:t>التهذيب</w:t>
      </w:r>
      <w:r w:rsidR="00744A1C">
        <w:rPr>
          <w:rtl/>
          <w:lang w:bidi="fa-IR"/>
        </w:rPr>
        <w:t xml:space="preserve"> : « فهو ».</w:t>
      </w:r>
    </w:p>
    <w:p w:rsidR="00744A1C" w:rsidRDefault="00E378DD" w:rsidP="00E378DD">
      <w:pPr>
        <w:pStyle w:val="libFootnote0"/>
        <w:rPr>
          <w:lang w:bidi="fa-IR"/>
        </w:rPr>
      </w:pPr>
      <w:r>
        <w:rPr>
          <w:rtl/>
          <w:lang w:bidi="fa-IR"/>
        </w:rPr>
        <w:t>(15).</w:t>
      </w:r>
      <w:r w:rsidR="00744A1C">
        <w:rPr>
          <w:rtl/>
          <w:lang w:bidi="fa-IR"/>
        </w:rPr>
        <w:t xml:space="preserve"> في « ط » : - « في ». وفي </w:t>
      </w:r>
      <w:r w:rsidR="00744A1C" w:rsidRPr="00C24F9C">
        <w:rPr>
          <w:rStyle w:val="libFootnoteBoldChar"/>
          <w:rtl/>
        </w:rPr>
        <w:t>التهذيب</w:t>
      </w:r>
      <w:r w:rsidR="00744A1C">
        <w:rPr>
          <w:rtl/>
          <w:lang w:bidi="fa-IR"/>
        </w:rPr>
        <w:t xml:space="preserve"> : « أو في » بدل « أم في ». وفي </w:t>
      </w:r>
      <w:r w:rsidR="00744A1C" w:rsidRPr="00A914B5">
        <w:rPr>
          <w:rStyle w:val="libFootnoteBoldChar"/>
          <w:rtl/>
        </w:rPr>
        <w:t>تفسير العيّاشي</w:t>
      </w:r>
      <w:r w:rsidR="00744A1C">
        <w:rPr>
          <w:rtl/>
          <w:lang w:bidi="fa-IR"/>
        </w:rPr>
        <w:t xml:space="preserve"> : « أو » بدلهما.</w:t>
      </w:r>
    </w:p>
    <w:p w:rsidR="00744A1C" w:rsidRDefault="00744A1C" w:rsidP="00D10E3C">
      <w:pPr>
        <w:pStyle w:val="libFootnote0"/>
        <w:rPr>
          <w:lang w:bidi="fa-IR"/>
        </w:rPr>
      </w:pPr>
      <w:r>
        <w:rPr>
          <w:rtl/>
          <w:lang w:bidi="fa-IR"/>
        </w:rPr>
        <w:t>(16) في « بس ، جن » : « معصية الله ».</w:t>
      </w:r>
    </w:p>
    <w:p w:rsidR="00744A1C" w:rsidRDefault="00744A1C" w:rsidP="00D10E3C">
      <w:pPr>
        <w:pStyle w:val="libFootnote0"/>
        <w:rPr>
          <w:lang w:bidi="fa-IR"/>
        </w:rPr>
      </w:pPr>
      <w:r>
        <w:rPr>
          <w:rtl/>
          <w:lang w:bidi="fa-IR"/>
        </w:rPr>
        <w:t xml:space="preserve">(17) في </w:t>
      </w:r>
      <w:r w:rsidRPr="00C24F9C">
        <w:rPr>
          <w:rStyle w:val="libFootnoteBoldChar"/>
          <w:rtl/>
        </w:rPr>
        <w:t>المرآة</w:t>
      </w:r>
      <w:r>
        <w:rPr>
          <w:rtl/>
          <w:lang w:bidi="fa-IR"/>
        </w:rPr>
        <w:t xml:space="preserve"> : « قال السيّد في المدارك : هذه الرواية ضعيفة جدّاً لا يمكن التعويل عليها </w:t>
      </w:r>
      <w:r w:rsidR="00E22CD3">
        <w:rPr>
          <w:rtl/>
          <w:lang w:bidi="fa-IR"/>
        </w:rPr>
        <w:t>في إثبات حكم مخالف للأصل ، وإل</w:t>
      </w:r>
      <w:r w:rsidR="00E22CD3">
        <w:rPr>
          <w:rFonts w:hint="cs"/>
          <w:rtl/>
          <w:lang w:bidi="fa-IR"/>
        </w:rPr>
        <w:t>ّ</w:t>
      </w:r>
      <w:r w:rsidR="00E22CD3">
        <w:rPr>
          <w:rtl/>
          <w:lang w:bidi="fa-IR"/>
        </w:rPr>
        <w:t>ا</w:t>
      </w:r>
      <w:r>
        <w:rPr>
          <w:rtl/>
          <w:lang w:bidi="fa-IR"/>
        </w:rPr>
        <w:t xml:space="preserve"> صحّ جواز إعطاء الزكاة من سهم الغارمين لمن لا يعلم فيما أنفقه ، كما ا</w:t>
      </w:r>
      <w:r w:rsidR="005D2B3B">
        <w:rPr>
          <w:rtl/>
          <w:lang w:bidi="fa-IR"/>
        </w:rPr>
        <w:t>ختاره ابن إدريس والمحقّق وجماعة</w:t>
      </w:r>
      <w:r>
        <w:rPr>
          <w:rtl/>
          <w:lang w:bidi="fa-IR"/>
        </w:rPr>
        <w:t xml:space="preserve">». راجع : </w:t>
      </w:r>
      <w:r w:rsidRPr="00C24F9C">
        <w:rPr>
          <w:rStyle w:val="libFootnoteBoldChar"/>
          <w:rtl/>
        </w:rPr>
        <w:t>مدارك الأحكام</w:t>
      </w:r>
      <w:r>
        <w:rPr>
          <w:rtl/>
          <w:lang w:bidi="fa-IR"/>
        </w:rPr>
        <w:t xml:space="preserve"> ، ج 5 ، ص 225.</w:t>
      </w:r>
    </w:p>
    <w:p w:rsidR="00744A1C" w:rsidRDefault="00744A1C" w:rsidP="00D10E3C">
      <w:pPr>
        <w:pStyle w:val="libFootnote0"/>
        <w:rPr>
          <w:lang w:bidi="fa-IR"/>
        </w:rPr>
      </w:pPr>
      <w:r>
        <w:rPr>
          <w:rtl/>
          <w:lang w:bidi="fa-IR"/>
        </w:rPr>
        <w:t xml:space="preserve">(18) في </w:t>
      </w:r>
      <w:r w:rsidRPr="00C24F9C">
        <w:rPr>
          <w:rStyle w:val="libFootnoteBoldChar"/>
          <w:rtl/>
        </w:rPr>
        <w:t>التهذيب</w:t>
      </w:r>
      <w:r>
        <w:rPr>
          <w:rtl/>
          <w:lang w:bidi="fa-IR"/>
        </w:rPr>
        <w:t xml:space="preserve"> : « ويردّه ».</w:t>
      </w:r>
    </w:p>
    <w:p w:rsidR="00744A1C" w:rsidRDefault="00744A1C" w:rsidP="00D10E3C">
      <w:pPr>
        <w:pStyle w:val="libFootnote0"/>
        <w:rPr>
          <w:lang w:bidi="fa-IR"/>
        </w:rPr>
      </w:pPr>
      <w:r>
        <w:rPr>
          <w:rtl/>
          <w:lang w:bidi="fa-IR"/>
        </w:rPr>
        <w:t>(19) في « ط ، بح » و</w:t>
      </w:r>
      <w:r w:rsidRPr="00A914B5">
        <w:rPr>
          <w:rStyle w:val="libFootnoteBoldChar"/>
          <w:rtl/>
        </w:rPr>
        <w:t>تفسير العيّاشي</w:t>
      </w:r>
      <w:r>
        <w:rPr>
          <w:rtl/>
          <w:lang w:bidi="fa-IR"/>
        </w:rPr>
        <w:t xml:space="preserve"> : - « عليه ».</w:t>
      </w:r>
    </w:p>
    <w:p w:rsidR="00144FA6" w:rsidRDefault="00744A1C" w:rsidP="00D10E3C">
      <w:pPr>
        <w:pStyle w:val="libFootnote0"/>
        <w:rPr>
          <w:rtl/>
          <w:lang w:bidi="fa-IR"/>
        </w:rPr>
      </w:pPr>
      <w:r>
        <w:rPr>
          <w:rtl/>
          <w:lang w:bidi="fa-IR"/>
        </w:rPr>
        <w:t xml:space="preserve">(20) </w:t>
      </w:r>
      <w:r w:rsidRPr="00C24F9C">
        <w:rPr>
          <w:rStyle w:val="libFootnoteBoldChar"/>
          <w:rtl/>
        </w:rPr>
        <w:t>التهذيب</w:t>
      </w:r>
      <w:r>
        <w:rPr>
          <w:rtl/>
          <w:lang w:bidi="fa-IR"/>
        </w:rPr>
        <w:t xml:space="preserve"> ، ج 6 ، ص 185 ، ح 385 ، معلّقاً عن الكليني. </w:t>
      </w:r>
      <w:r w:rsidRPr="00A914B5">
        <w:rPr>
          <w:rStyle w:val="libFootnoteBoldChar"/>
          <w:rtl/>
        </w:rPr>
        <w:t>تفسير العيّاشي</w:t>
      </w:r>
      <w:r>
        <w:rPr>
          <w:rtl/>
          <w:lang w:bidi="fa-IR"/>
        </w:rPr>
        <w:t xml:space="preserve"> ، ج 1 ، ص 155 ، ح 520 ، عن عمر بن</w:t>
      </w:r>
      <w:r w:rsidR="00F939C7">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8462 / 6. عَلِيُّ بْنُ إِبْرَاهِيمَ ، عَنْ أَبِيهِ </w:t>
      </w:r>
      <w:r w:rsidRPr="00D10E3C">
        <w:rPr>
          <w:rStyle w:val="libFootnotenumChar"/>
          <w:rtl/>
        </w:rPr>
        <w:t>(1)</w:t>
      </w:r>
      <w:r>
        <w:rPr>
          <w:rtl/>
          <w:lang w:bidi="fa-IR"/>
        </w:rPr>
        <w:t xml:space="preserve"> ، عَنْ حَنَانِ بْنِ سَدِيرٍ ، عَنْ أَبِيهِ </w:t>
      </w:r>
      <w:r w:rsidRPr="00D10E3C">
        <w:rPr>
          <w:rStyle w:val="libFootnotenumChar"/>
          <w:rtl/>
        </w:rPr>
        <w:t>(2)</w:t>
      </w:r>
      <w:r>
        <w:rPr>
          <w:rtl/>
          <w:lang w:bidi="fa-IR"/>
        </w:rPr>
        <w:t xml:space="preserve">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قَالَ : « كُلُّ ذَنْبٍ يُكَفِّرُهُ الْقَتْلُ فِي سَبِيل</w:t>
      </w:r>
      <w:r w:rsidR="000A3BCF">
        <w:rPr>
          <w:rtl/>
          <w:lang w:bidi="fa-IR"/>
        </w:rPr>
        <w:t>ِ اللهِ - عَزَّ وَجَلَّ - إِل</w:t>
      </w:r>
      <w:r w:rsidR="000A3BCF">
        <w:rPr>
          <w:rFonts w:hint="cs"/>
          <w:rtl/>
          <w:lang w:bidi="fa-IR"/>
        </w:rPr>
        <w:t>َّ</w:t>
      </w:r>
      <w:r w:rsidR="000A3BCF">
        <w:rPr>
          <w:rtl/>
          <w:lang w:bidi="fa-IR"/>
        </w:rPr>
        <w:t>ا</w:t>
      </w:r>
      <w:r>
        <w:rPr>
          <w:rtl/>
          <w:lang w:bidi="fa-IR"/>
        </w:rPr>
        <w:t xml:space="preserve"> الدَّيْنَ </w:t>
      </w:r>
      <w:r w:rsidRPr="00D10E3C">
        <w:rPr>
          <w:rStyle w:val="libFootnotenumChar"/>
          <w:rtl/>
        </w:rPr>
        <w:t>(3)</w:t>
      </w:r>
      <w:r>
        <w:rPr>
          <w:rtl/>
          <w:lang w:bidi="fa-IR"/>
        </w:rPr>
        <w:t xml:space="preserve"> ، لَاكَفَّارَةَ </w:t>
      </w:r>
      <w:r w:rsidR="000A3BCF">
        <w:rPr>
          <w:rtl/>
          <w:lang w:bidi="fa-IR"/>
        </w:rPr>
        <w:t>لَهُ إِل</w:t>
      </w:r>
      <w:r w:rsidR="000A3BCF">
        <w:rPr>
          <w:rFonts w:hint="cs"/>
          <w:rtl/>
          <w:lang w:bidi="fa-IR"/>
        </w:rPr>
        <w:t>َّ</w:t>
      </w:r>
      <w:r w:rsidR="000A3BCF">
        <w:rPr>
          <w:rtl/>
          <w:lang w:bidi="fa-IR"/>
        </w:rPr>
        <w:t>ا</w:t>
      </w:r>
      <w:r>
        <w:rPr>
          <w:rtl/>
          <w:lang w:bidi="fa-IR"/>
        </w:rPr>
        <w:t xml:space="preserve"> أَدَاؤُهُ ، أَوْ يَقْضِيَ </w:t>
      </w:r>
      <w:r w:rsidRPr="00D10E3C">
        <w:rPr>
          <w:rStyle w:val="libFootnotenumChar"/>
          <w:rtl/>
        </w:rPr>
        <w:t>(4)</w:t>
      </w:r>
      <w:r>
        <w:rPr>
          <w:rtl/>
          <w:lang w:bidi="fa-IR"/>
        </w:rPr>
        <w:t xml:space="preserve"> صَاحِبُهُ </w:t>
      </w:r>
      <w:r w:rsidRPr="00D10E3C">
        <w:rPr>
          <w:rStyle w:val="libFootnotenumChar"/>
          <w:rtl/>
        </w:rPr>
        <w:t>(5)</w:t>
      </w:r>
      <w:r>
        <w:rPr>
          <w:rtl/>
          <w:lang w:bidi="fa-IR"/>
        </w:rPr>
        <w:t xml:space="preserve"> ، أَوْ يَعْفُوَ </w:t>
      </w:r>
      <w:r w:rsidRPr="00D10E3C">
        <w:rPr>
          <w:rStyle w:val="libFootnotenumChar"/>
          <w:rtl/>
        </w:rPr>
        <w:t>(6)</w:t>
      </w:r>
      <w:r>
        <w:rPr>
          <w:rtl/>
          <w:lang w:bidi="fa-IR"/>
        </w:rPr>
        <w:t xml:space="preserve"> الَّذِي </w:t>
      </w:r>
      <w:r w:rsidRPr="00D10E3C">
        <w:rPr>
          <w:rStyle w:val="libFootnotenumChar"/>
          <w:rtl/>
        </w:rPr>
        <w:t>(7)</w:t>
      </w:r>
      <w:r>
        <w:rPr>
          <w:rtl/>
          <w:lang w:bidi="fa-IR"/>
        </w:rPr>
        <w:t xml:space="preserve"> لَهُ الْحَقُّ ». </w:t>
      </w:r>
      <w:r w:rsidRPr="00D10E3C">
        <w:rPr>
          <w:rStyle w:val="libFootnotenumChar"/>
          <w:rtl/>
        </w:rPr>
        <w:t>(8)</w:t>
      </w:r>
    </w:p>
    <w:p w:rsidR="00144FA6" w:rsidRDefault="00744A1C" w:rsidP="00744A1C">
      <w:pPr>
        <w:pStyle w:val="libNormal"/>
        <w:rPr>
          <w:rtl/>
          <w:lang w:bidi="fa-IR"/>
        </w:rPr>
      </w:pPr>
      <w:r>
        <w:rPr>
          <w:rtl/>
          <w:lang w:bidi="fa-IR"/>
        </w:rPr>
        <w:t xml:space="preserve">8463 / 7. مُحَمَّدُ بْنُ يَحْيى ، عَنْ أَحْمَدَ بْنِ مُحَمَّدِ بْنِ عِيسى </w:t>
      </w:r>
      <w:r w:rsidRPr="00D10E3C">
        <w:rPr>
          <w:rStyle w:val="libFootnotenumChar"/>
          <w:rtl/>
        </w:rPr>
        <w:t>(9)</w:t>
      </w:r>
      <w:r>
        <w:rPr>
          <w:rtl/>
          <w:lang w:bidi="fa-IR"/>
        </w:rPr>
        <w:t xml:space="preserve"> ، عَنِ الْعَبَّاسِ ،</w:t>
      </w:r>
    </w:p>
    <w:p w:rsidR="00744A1C" w:rsidRDefault="00744A1C" w:rsidP="00D10E3C">
      <w:pPr>
        <w:pStyle w:val="libLine"/>
        <w:rPr>
          <w:lang w:bidi="fa-IR"/>
        </w:rPr>
      </w:pPr>
      <w:r>
        <w:rPr>
          <w:rtl/>
          <w:lang w:bidi="fa-IR"/>
        </w:rPr>
        <w:t>____________________</w:t>
      </w:r>
    </w:p>
    <w:p w:rsidR="00744A1C" w:rsidRDefault="000A3BCF" w:rsidP="00D10E3C">
      <w:pPr>
        <w:pStyle w:val="libFootnote0"/>
        <w:rPr>
          <w:lang w:bidi="fa-IR"/>
        </w:rPr>
      </w:pPr>
      <w:r>
        <w:rPr>
          <w:rFonts w:hint="cs"/>
          <w:rtl/>
          <w:lang w:bidi="fa-IR"/>
        </w:rPr>
        <w:t xml:space="preserve">= </w:t>
      </w:r>
      <w:r w:rsidR="00744A1C">
        <w:rPr>
          <w:rtl/>
          <w:lang w:bidi="fa-IR"/>
        </w:rPr>
        <w:t xml:space="preserve">سليمان </w:t>
      </w:r>
      <w:r>
        <w:rPr>
          <w:rFonts w:hint="cs"/>
          <w:rtl/>
          <w:lang w:bidi="fa-IR"/>
        </w:rPr>
        <w:t>.</w:t>
      </w:r>
      <w:r w:rsidR="00744A1C" w:rsidRPr="00C24F9C">
        <w:rPr>
          <w:rStyle w:val="libFootnoteBoldChar"/>
          <w:rtl/>
        </w:rPr>
        <w:t>الوافي</w:t>
      </w:r>
      <w:r w:rsidR="00744A1C">
        <w:rPr>
          <w:rtl/>
          <w:lang w:bidi="fa-IR"/>
        </w:rPr>
        <w:t xml:space="preserve"> ، ج 18 ، ص 789 ، ح 18302 ؛ </w:t>
      </w:r>
      <w:r w:rsidR="00744A1C" w:rsidRPr="00C24F9C">
        <w:rPr>
          <w:rStyle w:val="libFootnoteBoldChar"/>
          <w:rtl/>
        </w:rPr>
        <w:t>الوسائل</w:t>
      </w:r>
      <w:r w:rsidR="00744A1C">
        <w:rPr>
          <w:rtl/>
          <w:lang w:bidi="fa-IR"/>
        </w:rPr>
        <w:t xml:space="preserve"> ، ج 18 ، ص 336 ، ح 23796.</w:t>
      </w:r>
    </w:p>
    <w:p w:rsidR="00744A1C" w:rsidRDefault="00D10E3C" w:rsidP="00D10E3C">
      <w:pPr>
        <w:pStyle w:val="libFootnote0"/>
        <w:rPr>
          <w:lang w:bidi="fa-IR"/>
        </w:rPr>
      </w:pPr>
      <w:r>
        <w:rPr>
          <w:rtl/>
          <w:lang w:bidi="fa-IR"/>
        </w:rPr>
        <w:t>(1).</w:t>
      </w:r>
      <w:r w:rsidR="00744A1C">
        <w:rPr>
          <w:rtl/>
          <w:lang w:bidi="fa-IR"/>
        </w:rPr>
        <w:t xml:space="preserve"> هكذا في « ط ، ى ، بح ، بخ ، بس ، بف ، جت ، جد ، جن » </w:t>
      </w:r>
      <w:r w:rsidR="00744A1C" w:rsidRPr="000A3BCF">
        <w:rPr>
          <w:rtl/>
        </w:rPr>
        <w:t>والوسائل والتهذيب</w:t>
      </w:r>
      <w:r w:rsidR="00744A1C">
        <w:rPr>
          <w:rtl/>
          <w:lang w:bidi="fa-IR"/>
        </w:rPr>
        <w:t>. وفي المطبوع : + « [ عن ابن أبي عمير ] ».</w:t>
      </w:r>
    </w:p>
    <w:p w:rsidR="00744A1C" w:rsidRDefault="00744A1C" w:rsidP="00D10E3C">
      <w:pPr>
        <w:pStyle w:val="libFootnote0"/>
        <w:rPr>
          <w:lang w:bidi="fa-IR"/>
        </w:rPr>
      </w:pPr>
      <w:r>
        <w:rPr>
          <w:rtl/>
          <w:lang w:bidi="fa-IR"/>
        </w:rPr>
        <w:t xml:space="preserve">وقد تكرّرت رواية إبراهيم بن هاشم عن حنان [ بن سدير ] في الأسناد ، ولم نجد في شي‌ء منها توسّط ابن أبي عمير بينهما. راجع : </w:t>
      </w:r>
      <w:r w:rsidRPr="0061079A">
        <w:rPr>
          <w:rStyle w:val="libFootnoteBoldChar"/>
          <w:rtl/>
        </w:rPr>
        <w:t>معجم رجال الحديث</w:t>
      </w:r>
      <w:r>
        <w:rPr>
          <w:rtl/>
          <w:lang w:bidi="fa-IR"/>
        </w:rPr>
        <w:t xml:space="preserve"> ، ج 1 ، ص 517 - 518.</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 « عن أبيه » ، لكنّه مذكور في بعض نسخ </w:t>
      </w:r>
      <w:r w:rsidR="00744A1C" w:rsidRPr="00C24F9C">
        <w:rPr>
          <w:rStyle w:val="libFootnoteBoldChar"/>
          <w:rtl/>
        </w:rPr>
        <w:t>التهذيب</w:t>
      </w:r>
      <w:r w:rsidR="00744A1C">
        <w:rPr>
          <w:rtl/>
          <w:lang w:bidi="fa-IR"/>
        </w:rPr>
        <w:t xml:space="preserve"> ، وهو الصواب.</w:t>
      </w:r>
    </w:p>
    <w:p w:rsidR="00744A1C" w:rsidRDefault="00E378DD" w:rsidP="00E378DD">
      <w:pPr>
        <w:pStyle w:val="libFootnote0"/>
        <w:rPr>
          <w:lang w:bidi="fa-IR"/>
        </w:rPr>
      </w:pPr>
      <w:r>
        <w:rPr>
          <w:rtl/>
          <w:lang w:bidi="fa-IR"/>
        </w:rPr>
        <w:t>(3).</w:t>
      </w:r>
      <w:r w:rsidR="00744A1C">
        <w:rPr>
          <w:rtl/>
          <w:lang w:bidi="fa-IR"/>
        </w:rPr>
        <w:t xml:space="preserve"> في « ط » والخصال : + « فإنّه ».</w:t>
      </w:r>
    </w:p>
    <w:p w:rsidR="00744A1C" w:rsidRDefault="00E378DD" w:rsidP="00E378DD">
      <w:pPr>
        <w:pStyle w:val="libFootnote0"/>
        <w:rPr>
          <w:lang w:bidi="fa-IR"/>
        </w:rPr>
      </w:pPr>
      <w:r>
        <w:rPr>
          <w:rtl/>
          <w:lang w:bidi="fa-IR"/>
        </w:rPr>
        <w:t>(4).</w:t>
      </w:r>
      <w:r w:rsidR="00744A1C">
        <w:rPr>
          <w:rtl/>
          <w:lang w:bidi="fa-IR"/>
        </w:rPr>
        <w:t xml:space="preserve"> في « بخ ، بف » : « ويقضي ». وفي </w:t>
      </w:r>
      <w:r w:rsidR="00744A1C" w:rsidRPr="00C24F9C">
        <w:rPr>
          <w:rStyle w:val="libFootnoteBoldChar"/>
          <w:rtl/>
        </w:rPr>
        <w:t>الفقيه</w:t>
      </w:r>
      <w:r w:rsidR="00744A1C">
        <w:rPr>
          <w:rtl/>
          <w:lang w:bidi="fa-IR"/>
        </w:rPr>
        <w:t xml:space="preserve"> : « أو يرضى ». وفي العلل : + « عن ».</w:t>
      </w:r>
    </w:p>
    <w:p w:rsidR="00744A1C" w:rsidRDefault="00E378DD" w:rsidP="000A3BCF">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أو يقضي صاحبه ، أي يقضي عنه غيره ». وفي </w:t>
      </w:r>
      <w:r w:rsidR="00744A1C" w:rsidRPr="00C24F9C">
        <w:rPr>
          <w:rStyle w:val="libFootnoteBoldChar"/>
          <w:rtl/>
        </w:rPr>
        <w:t>المرآة</w:t>
      </w:r>
      <w:r w:rsidR="00744A1C">
        <w:rPr>
          <w:rtl/>
          <w:lang w:bidi="fa-IR"/>
        </w:rPr>
        <w:t xml:space="preserve"> : « قوله </w:t>
      </w:r>
      <w:r w:rsidR="000A3BCF" w:rsidRPr="000A3BCF">
        <w:rPr>
          <w:rStyle w:val="libFootnoteAlaemChar"/>
          <w:rtl/>
        </w:rPr>
        <w:t>عليه‌السلام</w:t>
      </w:r>
      <w:r w:rsidR="00D10E3C">
        <w:rPr>
          <w:rtl/>
          <w:lang w:bidi="fa-IR"/>
        </w:rPr>
        <w:t xml:space="preserve"> </w:t>
      </w:r>
      <w:r w:rsidR="00744A1C">
        <w:rPr>
          <w:rtl/>
          <w:lang w:bidi="fa-IR"/>
        </w:rPr>
        <w:t>: أو يقضي صاحبه ، أي وليّه ووارثه ، أو الإمام ، أو المتبرّع ».</w:t>
      </w:r>
      <w:r w:rsidR="000A3BCF">
        <w:rPr>
          <w:rFonts w:hint="cs"/>
          <w:rtl/>
          <w:lang w:bidi="fa-IR"/>
        </w:rPr>
        <w:t xml:space="preserve">         </w:t>
      </w:r>
      <w:r>
        <w:rPr>
          <w:rtl/>
          <w:lang w:bidi="fa-IR"/>
        </w:rPr>
        <w:t>(6).</w:t>
      </w:r>
      <w:r w:rsidR="00744A1C">
        <w:rPr>
          <w:rtl/>
          <w:lang w:bidi="fa-IR"/>
        </w:rPr>
        <w:t xml:space="preserve"> في « جد » : « إن يعفو » بدل « أو يعفو ».</w:t>
      </w:r>
    </w:p>
    <w:p w:rsidR="00744A1C" w:rsidRDefault="00E378DD" w:rsidP="00E378DD">
      <w:pPr>
        <w:pStyle w:val="libFootnote0"/>
        <w:rPr>
          <w:lang w:bidi="fa-IR"/>
        </w:rPr>
      </w:pPr>
      <w:r>
        <w:rPr>
          <w:rtl/>
          <w:lang w:bidi="fa-IR"/>
        </w:rPr>
        <w:t>(7).</w:t>
      </w:r>
      <w:r w:rsidR="00744A1C">
        <w:rPr>
          <w:rtl/>
          <w:lang w:bidi="fa-IR"/>
        </w:rPr>
        <w:t xml:space="preserve"> في « ى » : + « هو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184 ، ح 380 ، معلّقاً عن الكليني. </w:t>
      </w:r>
      <w:r w:rsidR="00744A1C" w:rsidRPr="00C24F9C">
        <w:rPr>
          <w:rStyle w:val="libFootnoteBoldChar"/>
          <w:rtl/>
        </w:rPr>
        <w:t>الفقيه</w:t>
      </w:r>
      <w:r w:rsidR="00744A1C">
        <w:rPr>
          <w:rtl/>
          <w:lang w:bidi="fa-IR"/>
        </w:rPr>
        <w:t xml:space="preserve"> ، ج 3 ، ص 378 ، ح 4333 ، معلّقاً عن حنان بن سدير ، عن أبي جعفر </w:t>
      </w:r>
      <w:r w:rsidR="0061079A" w:rsidRPr="0061079A">
        <w:rPr>
          <w:rStyle w:val="libFootnoteAlaemChar"/>
          <w:rtl/>
        </w:rPr>
        <w:t>عليه‌السلام</w:t>
      </w:r>
      <w:r w:rsidR="00744A1C">
        <w:rPr>
          <w:rtl/>
          <w:lang w:bidi="fa-IR"/>
        </w:rPr>
        <w:t xml:space="preserve"> . وفي </w:t>
      </w:r>
      <w:r w:rsidR="00744A1C" w:rsidRPr="000A3BCF">
        <w:rPr>
          <w:rStyle w:val="libFootnoteBoldChar"/>
          <w:rtl/>
        </w:rPr>
        <w:t>الخصال</w:t>
      </w:r>
      <w:r w:rsidR="00744A1C">
        <w:rPr>
          <w:rtl/>
          <w:lang w:bidi="fa-IR"/>
        </w:rPr>
        <w:t xml:space="preserve"> ، ص 12 ، باب الواحد ، ح 42 ؛ </w:t>
      </w:r>
      <w:r w:rsidR="00744A1C" w:rsidRPr="000A3BCF">
        <w:rPr>
          <w:rStyle w:val="libFootnoteBoldChar"/>
          <w:rtl/>
        </w:rPr>
        <w:t>وعلل</w:t>
      </w:r>
      <w:r w:rsidR="00744A1C" w:rsidRPr="003A7143">
        <w:rPr>
          <w:rStyle w:val="libFootnoteBoldChar"/>
          <w:rtl/>
        </w:rPr>
        <w:t xml:space="preserve"> الشرائع</w:t>
      </w:r>
      <w:r w:rsidR="00744A1C">
        <w:rPr>
          <w:rtl/>
          <w:lang w:bidi="fa-IR"/>
        </w:rPr>
        <w:t xml:space="preserve"> ، ص 528 ، ح 4 ، بسندهما عن حنان بن سدير </w:t>
      </w:r>
      <w:r w:rsidR="000A3BCF">
        <w:rPr>
          <w:rFonts w:hint="cs"/>
          <w:rtl/>
          <w:lang w:bidi="fa-IR"/>
        </w:rPr>
        <w:t>.</w:t>
      </w:r>
      <w:r w:rsidR="00744A1C" w:rsidRPr="00C24F9C">
        <w:rPr>
          <w:rStyle w:val="libFootnoteBoldChar"/>
          <w:rtl/>
        </w:rPr>
        <w:t>الوافي</w:t>
      </w:r>
      <w:r w:rsidR="00744A1C">
        <w:rPr>
          <w:rtl/>
          <w:lang w:bidi="fa-IR"/>
        </w:rPr>
        <w:t xml:space="preserve"> ، ج 18 ، ص 785 ، ح 18288 ؛ </w:t>
      </w:r>
      <w:r w:rsidR="00744A1C" w:rsidRPr="00C24F9C">
        <w:rPr>
          <w:rStyle w:val="libFootnoteBoldChar"/>
          <w:rtl/>
        </w:rPr>
        <w:t>الوسائل</w:t>
      </w:r>
      <w:r w:rsidR="00744A1C">
        <w:rPr>
          <w:rtl/>
          <w:lang w:bidi="fa-IR"/>
        </w:rPr>
        <w:t xml:space="preserve"> ، ج 18 ، ص 324 ، ح 23771.</w:t>
      </w:r>
    </w:p>
    <w:p w:rsidR="00744A1C" w:rsidRDefault="00E378DD" w:rsidP="00E378DD">
      <w:pPr>
        <w:pStyle w:val="libFootnote0"/>
        <w:rPr>
          <w:lang w:bidi="fa-IR"/>
        </w:rPr>
      </w:pPr>
      <w:r>
        <w:rPr>
          <w:rtl/>
          <w:lang w:bidi="fa-IR"/>
        </w:rPr>
        <w:t>(9).</w:t>
      </w:r>
      <w:r w:rsidR="00744A1C">
        <w:rPr>
          <w:rtl/>
          <w:lang w:bidi="fa-IR"/>
        </w:rPr>
        <w:t xml:space="preserve"> في « ط ، بح ، بخ ، بس ، بف ، جد ، جن » وهامش المطبوع : « محمّد بن أحمد ، عن محمّد بن عيسى » بدل « أحمد بن محمّد بن عيسى ». وفي « جت » : « أحمد عن محمّد بن عيسى ». وفي </w:t>
      </w:r>
      <w:r w:rsidR="00744A1C" w:rsidRPr="00C24F9C">
        <w:rPr>
          <w:rStyle w:val="libFootnoteBoldChar"/>
          <w:rtl/>
        </w:rPr>
        <w:t>الوسائل</w:t>
      </w:r>
      <w:r w:rsidR="00744A1C">
        <w:rPr>
          <w:rtl/>
          <w:lang w:bidi="fa-IR"/>
        </w:rPr>
        <w:t xml:space="preserve"> : « أحمد بن محمّد ، عن محمّد بن عيسى ».</w:t>
      </w:r>
    </w:p>
    <w:p w:rsidR="00744A1C" w:rsidRDefault="00744A1C" w:rsidP="000A3BCF">
      <w:pPr>
        <w:pStyle w:val="libFootnote0"/>
        <w:rPr>
          <w:lang w:bidi="fa-IR"/>
        </w:rPr>
      </w:pPr>
      <w:r>
        <w:rPr>
          <w:rtl/>
          <w:lang w:bidi="fa-IR"/>
        </w:rPr>
        <w:t>ولعلّ تضافر النسخ على « محمّد بن أحمد عن محمّد بن عيسى » واحتمال تصحيفه في بعض النسخ ب</w:t>
      </w:r>
      <w:r w:rsidR="000A3BCF">
        <w:rPr>
          <w:rFonts w:hint="cs"/>
          <w:rtl/>
          <w:lang w:bidi="fa-IR"/>
        </w:rPr>
        <w:t>ـ</w:t>
      </w:r>
      <w:r>
        <w:rPr>
          <w:rtl/>
          <w:lang w:bidi="fa-IR"/>
        </w:rPr>
        <w:t xml:space="preserve"> « أحمد بن محمّد بن عيسى » - لكثرة رواية محمّد بن يحيى عن أحمد بن محمّد بن عيسى - يورث الظنّ بصحّة ما ورد في أكثر النسخ. لكن لم نجد رواية محمّد بن أحمد - والمراد به محمّد بن أحمد بن يحيى - عن محمّد بن عيسى عن العبّاس أو عبّاس سواء أكان المراد به ابن معروف أو ابن عامر أو شخصاً آخر في موضع. وقد تكرّرت رواية محمّد بن يحيى عن أحمد بن محمّد [ بن عيسى ] عن العبّاس بن معروف أو العبّاس بن موسى في عدد من أسناد </w:t>
      </w:r>
      <w:r w:rsidRPr="0061079A">
        <w:rPr>
          <w:rStyle w:val="libFootnoteBoldChar"/>
          <w:rtl/>
        </w:rPr>
        <w:t>الكافي</w:t>
      </w:r>
      <w:r>
        <w:rPr>
          <w:rtl/>
          <w:lang w:bidi="fa-IR"/>
        </w:rPr>
        <w:t xml:space="preserve">. راجع : </w:t>
      </w:r>
      <w:r w:rsidRPr="0061079A">
        <w:rPr>
          <w:rStyle w:val="libFootnoteBoldChar"/>
          <w:rtl/>
        </w:rPr>
        <w:t>معجم رجال الحديث</w:t>
      </w:r>
      <w:r>
        <w:rPr>
          <w:rtl/>
          <w:lang w:bidi="fa-IR"/>
        </w:rPr>
        <w:t xml:space="preserve"> ، ج 2 ، ص 523 - 524 ؛ وص 677 - 678.</w:t>
      </w:r>
      <w:r w:rsidR="008603C2">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8603C2">
      <w:pPr>
        <w:pStyle w:val="libNormal0"/>
        <w:rPr>
          <w:rtl/>
          <w:lang w:bidi="fa-IR"/>
        </w:rPr>
      </w:pPr>
      <w:r>
        <w:rPr>
          <w:rtl/>
          <w:lang w:bidi="fa-IR"/>
        </w:rPr>
        <w:t>عَمَّنْ ذَكَرَهُ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w:t>
      </w:r>
      <w:r w:rsidRPr="00D10E3C">
        <w:rPr>
          <w:rStyle w:val="libFootnotenumChar"/>
          <w:rtl/>
        </w:rPr>
        <w:t>(1)</w:t>
      </w:r>
      <w:r>
        <w:rPr>
          <w:rtl/>
          <w:lang w:bidi="fa-IR"/>
        </w:rPr>
        <w:t xml:space="preserve"> : « الْإِمَامُ يَقْضِي عَنِ الْمُؤْمِنِينَ الدُّيُونَ مَا خَلَا مُهُورَ النِّسَاءِ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8464 / 8. عَلِيُّ بْنُ إِبْرَاهِيمَ ، عَنْ أَبِيهِ ، عَنِ ابْنِ أَبِي عُمَيْرٍ ، عَنْ حَمَّادِ بْنِ عُثْمَانَ </w:t>
      </w:r>
      <w:r w:rsidRPr="00D10E3C">
        <w:rPr>
          <w:rStyle w:val="libFootnotenumChar"/>
          <w:rtl/>
        </w:rPr>
        <w:t>(4)</w:t>
      </w:r>
      <w:r>
        <w:rPr>
          <w:rtl/>
          <w:lang w:bidi="fa-IR"/>
        </w:rPr>
        <w:t xml:space="preserve"> ، عَنِ الْوَلِيدِ بْنِ صَبِيحٍ ، قَالَ :</w:t>
      </w:r>
    </w:p>
    <w:p w:rsidR="00744A1C" w:rsidRDefault="00744A1C" w:rsidP="00744A1C">
      <w:pPr>
        <w:pStyle w:val="libNormal"/>
        <w:rPr>
          <w:lang w:bidi="fa-IR"/>
        </w:rPr>
      </w:pPr>
      <w:r>
        <w:rPr>
          <w:rtl/>
          <w:lang w:bidi="fa-IR"/>
        </w:rPr>
        <w:t xml:space="preserve">جَاءَ رَجُلٌ إِلى أَبِي عَبْدِ اللهِ </w:t>
      </w:r>
      <w:r w:rsidR="0061079A" w:rsidRPr="0061079A">
        <w:rPr>
          <w:rStyle w:val="libAlaemChar"/>
          <w:rtl/>
        </w:rPr>
        <w:t>عليه‌السلام</w:t>
      </w:r>
      <w:r w:rsidR="00D10E3C">
        <w:rPr>
          <w:rtl/>
          <w:lang w:bidi="fa-IR"/>
        </w:rPr>
        <w:t xml:space="preserve"> </w:t>
      </w:r>
      <w:r>
        <w:rPr>
          <w:rtl/>
          <w:lang w:bidi="fa-IR"/>
        </w:rPr>
        <w:t xml:space="preserve">يَدَّعِي عَلَى الْمُعَلَّى بْنِ خُنَيْسٍ دَيْناً عَلَيْهِ </w:t>
      </w:r>
      <w:r w:rsidRPr="00D10E3C">
        <w:rPr>
          <w:rStyle w:val="libFootnotenumChar"/>
          <w:rtl/>
        </w:rPr>
        <w:t>(5)</w:t>
      </w:r>
      <w:r>
        <w:rPr>
          <w:rtl/>
          <w:lang w:bidi="fa-IR"/>
        </w:rPr>
        <w:t xml:space="preserve"> ، فَقَالَ : ذَهَبَ بِحَقِّي.</w:t>
      </w:r>
    </w:p>
    <w:p w:rsidR="00144FA6" w:rsidRDefault="00744A1C" w:rsidP="00744A1C">
      <w:pPr>
        <w:pStyle w:val="libNormal"/>
        <w:rPr>
          <w:rtl/>
          <w:lang w:bidi="fa-IR"/>
        </w:rPr>
      </w:pPr>
      <w:r>
        <w:rPr>
          <w:rtl/>
          <w:lang w:bidi="fa-IR"/>
        </w:rPr>
        <w:t xml:space="preserve">فَقَالَ </w:t>
      </w:r>
      <w:r w:rsidRPr="00D10E3C">
        <w:rPr>
          <w:rStyle w:val="libFootnotenumChar"/>
          <w:rtl/>
        </w:rPr>
        <w:t>(6)</w:t>
      </w:r>
      <w:r>
        <w:rPr>
          <w:rtl/>
          <w:lang w:bidi="fa-IR"/>
        </w:rPr>
        <w:t xml:space="preserve"> لَهُ أَبُو عَبْدِ اللهِ </w:t>
      </w:r>
      <w:r w:rsidR="0061079A" w:rsidRPr="0061079A">
        <w:rPr>
          <w:rStyle w:val="libAlaemChar"/>
          <w:rtl/>
        </w:rPr>
        <w:t>عليه‌السلام</w:t>
      </w:r>
      <w:r w:rsidR="00D10E3C">
        <w:rPr>
          <w:rtl/>
          <w:lang w:bidi="fa-IR"/>
        </w:rPr>
        <w:t xml:space="preserve"> </w:t>
      </w:r>
      <w:r>
        <w:rPr>
          <w:rtl/>
          <w:lang w:bidi="fa-IR"/>
        </w:rPr>
        <w:t xml:space="preserve">: « ذَهَبَ بِحَقِّكَ الَّذِي قَتَلَهُ </w:t>
      </w:r>
      <w:r w:rsidRPr="00D10E3C">
        <w:rPr>
          <w:rStyle w:val="libFootnotenumChar"/>
          <w:rtl/>
        </w:rPr>
        <w:t>(7)</w:t>
      </w:r>
      <w:r>
        <w:rPr>
          <w:rtl/>
          <w:lang w:bidi="fa-IR"/>
        </w:rPr>
        <w:t xml:space="preserve"> » ثُمَّ قَالَ لِلْوَلِيدِ : « قُمْ إِلَى الرَّجُلِ ، فَاقْضِهِ مِنْ حَقِّهِ ، فَإِنِّي أُرِيدُ أَنْ أُبَرِّدَ عَلَيْهِ جِلْدَهُ الَّذِي </w:t>
      </w:r>
      <w:r w:rsidRPr="00D10E3C">
        <w:rPr>
          <w:rStyle w:val="libFootnotenumChar"/>
          <w:rtl/>
        </w:rPr>
        <w:t>(8)</w:t>
      </w:r>
      <w:r>
        <w:rPr>
          <w:rtl/>
          <w:lang w:bidi="fa-IR"/>
        </w:rPr>
        <w:t xml:space="preserve"> كَانَ بَارِداً ». </w:t>
      </w:r>
      <w:r w:rsidRPr="00D10E3C">
        <w:rPr>
          <w:rStyle w:val="libFootnotenumChar"/>
          <w:rtl/>
        </w:rPr>
        <w:t>(9)</w:t>
      </w:r>
    </w:p>
    <w:p w:rsidR="00144FA6" w:rsidRDefault="00744A1C" w:rsidP="00744A1C">
      <w:pPr>
        <w:pStyle w:val="libNormal"/>
        <w:rPr>
          <w:rtl/>
          <w:lang w:bidi="fa-IR"/>
        </w:rPr>
      </w:pPr>
      <w:r>
        <w:rPr>
          <w:rtl/>
          <w:lang w:bidi="fa-IR"/>
        </w:rPr>
        <w:t xml:space="preserve">8465 / 9. عِدَّةٌ مِنْ أَصْحَابِنَا ، عَنْ أَحْمَدَ بْنِ أَبِي عَبْدِ اللهِ ، عَنْ مُحَمَّدِ بْنِ عِيسى ، عَنْ عُثْمَانَ بْنِ سَعِيدٍ ، عَنْ عَبْدِ الْكَرِيمِ مِنْ أَهْلِ هَمَدَانَ ، عَنْ أَبِي ثُمَامَةَ </w:t>
      </w:r>
      <w:r w:rsidRPr="00D10E3C">
        <w:rPr>
          <w:rStyle w:val="libFootnotenumChar"/>
          <w:rtl/>
        </w:rPr>
        <w:t>(10)</w:t>
      </w:r>
      <w:r>
        <w:rPr>
          <w:rtl/>
          <w:lang w:bidi="fa-IR"/>
        </w:rPr>
        <w:t xml:space="preserve"> ، قَالَ :</w:t>
      </w:r>
    </w:p>
    <w:p w:rsidR="00744A1C" w:rsidRDefault="00744A1C" w:rsidP="00D10E3C">
      <w:pPr>
        <w:pStyle w:val="libLine"/>
        <w:rPr>
          <w:lang w:bidi="fa-IR"/>
        </w:rPr>
      </w:pPr>
      <w:r>
        <w:rPr>
          <w:rtl/>
          <w:lang w:bidi="fa-IR"/>
        </w:rPr>
        <w:t>____________________</w:t>
      </w:r>
    </w:p>
    <w:p w:rsidR="00744A1C" w:rsidRDefault="008603C2" w:rsidP="00D10E3C">
      <w:pPr>
        <w:pStyle w:val="libFootnote0"/>
        <w:rPr>
          <w:lang w:bidi="fa-IR"/>
        </w:rPr>
      </w:pPr>
      <w:r>
        <w:rPr>
          <w:rFonts w:hint="cs"/>
          <w:rtl/>
          <w:lang w:bidi="fa-IR"/>
        </w:rPr>
        <w:t xml:space="preserve">= </w:t>
      </w:r>
      <w:r w:rsidR="00744A1C">
        <w:rPr>
          <w:rtl/>
          <w:lang w:bidi="fa-IR"/>
        </w:rPr>
        <w:t xml:space="preserve">ثمّ إنّ الخبر ورد في </w:t>
      </w:r>
      <w:r w:rsidR="00744A1C" w:rsidRPr="00C24F9C">
        <w:rPr>
          <w:rStyle w:val="libFootnoteBoldChar"/>
          <w:rtl/>
        </w:rPr>
        <w:t>التهذيب</w:t>
      </w:r>
      <w:r w:rsidR="00744A1C">
        <w:rPr>
          <w:rtl/>
          <w:lang w:bidi="fa-IR"/>
        </w:rPr>
        <w:t xml:space="preserve"> ، ج 6 ، ص 184 ، ح 379 - والظاهر بملاحظة ما قبله وما بعده أنّه مأخوذ من </w:t>
      </w:r>
      <w:r w:rsidR="00744A1C" w:rsidRPr="0061079A">
        <w:rPr>
          <w:rStyle w:val="libFootnoteBoldChar"/>
          <w:rtl/>
        </w:rPr>
        <w:t>الكافي</w:t>
      </w:r>
      <w:r w:rsidR="00744A1C">
        <w:rPr>
          <w:rtl/>
          <w:lang w:bidi="fa-IR"/>
        </w:rPr>
        <w:t xml:space="preserve"> - عن أحمد بن محمّد بن عيسى عن العبّاس.</w:t>
      </w:r>
    </w:p>
    <w:p w:rsidR="00744A1C" w:rsidRDefault="00D10E3C" w:rsidP="00D10E3C">
      <w:pPr>
        <w:pStyle w:val="libFootnote0"/>
        <w:rPr>
          <w:lang w:bidi="fa-IR"/>
        </w:rPr>
      </w:pPr>
      <w:r>
        <w:rPr>
          <w:rtl/>
          <w:lang w:bidi="fa-IR"/>
        </w:rPr>
        <w:t>(1).</w:t>
      </w:r>
      <w:r w:rsidR="00744A1C">
        <w:rPr>
          <w:rtl/>
          <w:lang w:bidi="fa-IR"/>
        </w:rPr>
        <w:t xml:space="preserve"> في </w:t>
      </w:r>
      <w:r w:rsidR="00744A1C" w:rsidRPr="0061079A">
        <w:rPr>
          <w:rStyle w:val="libFootnoteBoldChar"/>
          <w:rtl/>
        </w:rPr>
        <w:t>الكافي</w:t>
      </w:r>
      <w:r w:rsidR="00744A1C">
        <w:rPr>
          <w:rtl/>
          <w:lang w:bidi="fa-IR"/>
        </w:rPr>
        <w:t xml:space="preserve"> ، ح 9659 : + « قال : إنّ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ما خلا مهور النساء ؛ لأنّه لم يؤخذ مالاً ، أو لأنّه على الله أداؤه كما ضمن في كتابه إن لم تقصر نيّته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184 ، ح 379 ، معلّقاً عن أحمد بن محمّد بن عيسى. </w:t>
      </w:r>
      <w:r w:rsidR="00744A1C" w:rsidRPr="0061079A">
        <w:rPr>
          <w:rStyle w:val="libFootnoteBoldChar"/>
          <w:rtl/>
        </w:rPr>
        <w:t>الكافي</w:t>
      </w:r>
      <w:r w:rsidR="00744A1C">
        <w:rPr>
          <w:rtl/>
          <w:lang w:bidi="fa-IR"/>
        </w:rPr>
        <w:t xml:space="preserve"> ، كتاب النكاح ، باب نوادر في المهر ، ح 9659 ، بسند آخر </w:t>
      </w:r>
      <w:r w:rsidR="008603C2">
        <w:rPr>
          <w:rFonts w:hint="cs"/>
          <w:rtl/>
          <w:lang w:bidi="fa-IR"/>
        </w:rPr>
        <w:t>.</w:t>
      </w:r>
      <w:r w:rsidR="00744A1C" w:rsidRPr="00C24F9C">
        <w:rPr>
          <w:rStyle w:val="libFootnoteBoldChar"/>
          <w:rtl/>
        </w:rPr>
        <w:t>الوافي</w:t>
      </w:r>
      <w:r w:rsidR="00744A1C">
        <w:rPr>
          <w:rtl/>
          <w:lang w:bidi="fa-IR"/>
        </w:rPr>
        <w:t xml:space="preserve"> ، ج 18 ، ص 785 ، ح 18303 ؛ </w:t>
      </w:r>
      <w:r w:rsidR="00744A1C" w:rsidRPr="00C24F9C">
        <w:rPr>
          <w:rStyle w:val="libFootnoteBoldChar"/>
          <w:rtl/>
        </w:rPr>
        <w:t>الوسائل</w:t>
      </w:r>
      <w:r w:rsidR="00744A1C">
        <w:rPr>
          <w:rtl/>
          <w:lang w:bidi="fa-IR"/>
        </w:rPr>
        <w:t xml:space="preserve"> ، ج 18 ، ص 337 ، ح 23797.</w:t>
      </w:r>
    </w:p>
    <w:tbl>
      <w:tblPr>
        <w:tblStyle w:val="TableGrid"/>
        <w:bidiVisual/>
        <w:tblW w:w="0" w:type="auto"/>
        <w:tblLook w:val="04A0" w:firstRow="1" w:lastRow="0" w:firstColumn="1" w:lastColumn="0" w:noHBand="0" w:noVBand="1"/>
      </w:tblPr>
      <w:tblGrid>
        <w:gridCol w:w="4006"/>
        <w:gridCol w:w="4006"/>
      </w:tblGrid>
      <w:tr w:rsidR="008603C2" w:rsidTr="008603C2">
        <w:tc>
          <w:tcPr>
            <w:tcW w:w="4006" w:type="dxa"/>
          </w:tcPr>
          <w:p w:rsidR="008603C2" w:rsidRDefault="008603C2" w:rsidP="00E378DD">
            <w:pPr>
              <w:pStyle w:val="libFootnote0"/>
              <w:rPr>
                <w:rtl/>
                <w:lang w:bidi="fa-IR"/>
              </w:rPr>
            </w:pPr>
            <w:r>
              <w:rPr>
                <w:rtl/>
                <w:lang w:bidi="fa-IR"/>
              </w:rPr>
              <w:t xml:space="preserve">(4). في </w:t>
            </w:r>
            <w:r w:rsidRPr="008603C2">
              <w:rPr>
                <w:rtl/>
              </w:rPr>
              <w:t>الوسائل</w:t>
            </w:r>
            <w:r>
              <w:rPr>
                <w:rtl/>
                <w:lang w:bidi="fa-IR"/>
              </w:rPr>
              <w:t xml:space="preserve"> : - « بن عثمان ».</w:t>
            </w:r>
          </w:p>
        </w:tc>
        <w:tc>
          <w:tcPr>
            <w:tcW w:w="4006" w:type="dxa"/>
          </w:tcPr>
          <w:p w:rsidR="008603C2" w:rsidRDefault="008603C2" w:rsidP="00E378DD">
            <w:pPr>
              <w:pStyle w:val="libFootnote0"/>
              <w:rPr>
                <w:rtl/>
                <w:lang w:bidi="fa-IR"/>
              </w:rPr>
            </w:pPr>
            <w:r>
              <w:rPr>
                <w:rtl/>
                <w:lang w:bidi="fa-IR"/>
              </w:rPr>
              <w:t>(5). في « بخ ، بف » : - « عليه ».</w:t>
            </w:r>
          </w:p>
        </w:tc>
      </w:tr>
    </w:tbl>
    <w:p w:rsidR="00744A1C" w:rsidRDefault="00E378DD" w:rsidP="00E378DD">
      <w:pPr>
        <w:pStyle w:val="libFootnote0"/>
        <w:rPr>
          <w:lang w:bidi="fa-IR"/>
        </w:rPr>
      </w:pPr>
      <w:r>
        <w:rPr>
          <w:rtl/>
          <w:lang w:bidi="fa-IR"/>
        </w:rPr>
        <w:t>(6).</w:t>
      </w:r>
      <w:r w:rsidR="00744A1C">
        <w:rPr>
          <w:rtl/>
          <w:lang w:bidi="fa-IR"/>
        </w:rPr>
        <w:t xml:space="preserve"> في « ط ، ى ، بح ، بس ، جد ، جن » </w:t>
      </w:r>
      <w:r w:rsidR="00744A1C" w:rsidRPr="008603C2">
        <w:rPr>
          <w:rtl/>
        </w:rPr>
        <w:t>والتهذيب والوسائل</w:t>
      </w:r>
      <w:r w:rsidR="00744A1C">
        <w:rPr>
          <w:rtl/>
          <w:lang w:bidi="fa-IR"/>
        </w:rPr>
        <w:t xml:space="preserve"> : « وقال ».</w:t>
      </w:r>
    </w:p>
    <w:tbl>
      <w:tblPr>
        <w:tblStyle w:val="TableGrid"/>
        <w:bidiVisual/>
        <w:tblW w:w="0" w:type="auto"/>
        <w:tblLook w:val="04A0" w:firstRow="1" w:lastRow="0" w:firstColumn="1" w:lastColumn="0" w:noHBand="0" w:noVBand="1"/>
      </w:tblPr>
      <w:tblGrid>
        <w:gridCol w:w="4006"/>
        <w:gridCol w:w="4006"/>
      </w:tblGrid>
      <w:tr w:rsidR="008603C2" w:rsidTr="008603C2">
        <w:tc>
          <w:tcPr>
            <w:tcW w:w="4006" w:type="dxa"/>
          </w:tcPr>
          <w:p w:rsidR="008603C2" w:rsidRDefault="008603C2" w:rsidP="00E378DD">
            <w:pPr>
              <w:pStyle w:val="libFootnote0"/>
              <w:rPr>
                <w:rtl/>
                <w:lang w:bidi="fa-IR"/>
              </w:rPr>
            </w:pPr>
            <w:r>
              <w:rPr>
                <w:rtl/>
                <w:lang w:bidi="fa-IR"/>
              </w:rPr>
              <w:t>(7). في « ط ، بخ ، بف » : « قبله ».</w:t>
            </w:r>
          </w:p>
        </w:tc>
        <w:tc>
          <w:tcPr>
            <w:tcW w:w="4006" w:type="dxa"/>
          </w:tcPr>
          <w:p w:rsidR="008603C2" w:rsidRDefault="008603C2" w:rsidP="00E378DD">
            <w:pPr>
              <w:pStyle w:val="libFootnote0"/>
              <w:rPr>
                <w:rtl/>
                <w:lang w:bidi="fa-IR"/>
              </w:rPr>
            </w:pPr>
            <w:r>
              <w:rPr>
                <w:rtl/>
                <w:lang w:bidi="fa-IR"/>
              </w:rPr>
              <w:t>(8). في «ط،بخ،بف»</w:t>
            </w:r>
            <w:r w:rsidRPr="008603C2">
              <w:rPr>
                <w:rtl/>
              </w:rPr>
              <w:t>والوافي والتهذيب</w:t>
            </w:r>
            <w:r>
              <w:rPr>
                <w:rtl/>
                <w:lang w:bidi="fa-IR"/>
              </w:rPr>
              <w:t xml:space="preserve"> والعلل: «وإن».</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186 ، ح 386 ، معلّقاً عن الكليني. </w:t>
      </w:r>
      <w:r w:rsidR="00744A1C" w:rsidRPr="003A7143">
        <w:rPr>
          <w:rStyle w:val="libFootnoteBoldChar"/>
          <w:rtl/>
        </w:rPr>
        <w:t>علل الشرائع</w:t>
      </w:r>
      <w:r w:rsidR="00744A1C">
        <w:rPr>
          <w:rtl/>
          <w:lang w:bidi="fa-IR"/>
        </w:rPr>
        <w:t xml:space="preserve"> ، ص 528 ، ح 8 ، بسنده عن ابن أبي عمير </w:t>
      </w:r>
      <w:r w:rsidR="008603C2">
        <w:rPr>
          <w:rFonts w:hint="cs"/>
          <w:rtl/>
          <w:lang w:bidi="fa-IR"/>
        </w:rPr>
        <w:t>.</w:t>
      </w:r>
      <w:r w:rsidR="00744A1C" w:rsidRPr="00C24F9C">
        <w:rPr>
          <w:rStyle w:val="libFootnoteBoldChar"/>
          <w:rtl/>
        </w:rPr>
        <w:t>الوافي</w:t>
      </w:r>
      <w:r w:rsidR="00744A1C">
        <w:rPr>
          <w:rtl/>
          <w:lang w:bidi="fa-IR"/>
        </w:rPr>
        <w:t xml:space="preserve"> ، ج 18 ، ص 786 ، ح 18290 ؛ </w:t>
      </w:r>
      <w:r w:rsidR="00744A1C" w:rsidRPr="00C24F9C">
        <w:rPr>
          <w:rStyle w:val="libFootnoteBoldChar"/>
          <w:rtl/>
        </w:rPr>
        <w:t>الوسائل</w:t>
      </w:r>
      <w:r w:rsidR="00744A1C">
        <w:rPr>
          <w:rtl/>
          <w:lang w:bidi="fa-IR"/>
        </w:rPr>
        <w:t xml:space="preserve"> ، ج 18 ، ص 335 ، ح 23794.</w:t>
      </w:r>
    </w:p>
    <w:p w:rsidR="00144FA6" w:rsidRDefault="00E378DD" w:rsidP="00E378DD">
      <w:pPr>
        <w:pStyle w:val="libFootnote0"/>
        <w:rPr>
          <w:rtl/>
          <w:lang w:bidi="fa-IR"/>
        </w:rPr>
      </w:pPr>
      <w:r>
        <w:rPr>
          <w:rtl/>
          <w:lang w:bidi="fa-IR"/>
        </w:rPr>
        <w:t>(10).</w:t>
      </w:r>
      <w:r w:rsidR="00744A1C">
        <w:rPr>
          <w:rtl/>
          <w:lang w:bidi="fa-IR"/>
        </w:rPr>
        <w:t xml:space="preserve"> هكذا في أكثر النسخ. وفي « بح ، بخ ، جن » والمطبوع : « أبي تمامة ». والظاهر أنّه سهو ؛ فإنّا لم نجد </w:t>
      </w:r>
      <w:r w:rsidR="008603C2">
        <w:rPr>
          <w:rtl/>
          <w:lang w:bidi="fa-IR"/>
        </w:rPr>
        <w:t>–</w:t>
      </w:r>
      <w:r w:rsidR="00744A1C">
        <w:rPr>
          <w:rtl/>
          <w:lang w:bidi="fa-IR"/>
        </w:rPr>
        <w:t xml:space="preserve"> مع</w:t>
      </w:r>
      <w:r w:rsidR="008603C2">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قُلْتُ لِأَبِي جَعْفَرٍ الثَّانِي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إِنِّي أُرِيدُ أَنْ </w:t>
      </w:r>
      <w:r w:rsidRPr="00D10E3C">
        <w:rPr>
          <w:rStyle w:val="libFootnotenumChar"/>
          <w:rtl/>
        </w:rPr>
        <w:t>(2)</w:t>
      </w:r>
      <w:r>
        <w:rPr>
          <w:rtl/>
          <w:lang w:bidi="fa-IR"/>
        </w:rPr>
        <w:t xml:space="preserve"> أَلْزَمَ مَكَّةَ أَوِ الْمَدِينَةَ </w:t>
      </w:r>
      <w:r w:rsidRPr="00D10E3C">
        <w:rPr>
          <w:rStyle w:val="libFootnotenumChar"/>
          <w:rtl/>
        </w:rPr>
        <w:t>(3)</w:t>
      </w:r>
      <w:r>
        <w:rPr>
          <w:rtl/>
          <w:lang w:bidi="fa-IR"/>
        </w:rPr>
        <w:t xml:space="preserve"> وَعَلَيَّ دَيْنٌ </w:t>
      </w:r>
      <w:r w:rsidRPr="00D10E3C">
        <w:rPr>
          <w:rStyle w:val="libFootnotenumChar"/>
          <w:rtl/>
        </w:rPr>
        <w:t>(4)</w:t>
      </w:r>
      <w:r>
        <w:rPr>
          <w:rtl/>
          <w:lang w:bidi="fa-IR"/>
        </w:rPr>
        <w:t xml:space="preserve"> فَمَا تَقُولُ </w:t>
      </w:r>
      <w:r w:rsidRPr="00D10E3C">
        <w:rPr>
          <w:rStyle w:val="libFootnotenumChar"/>
          <w:rtl/>
        </w:rPr>
        <w:t>(5)</w:t>
      </w:r>
      <w:r>
        <w:rPr>
          <w:rtl/>
          <w:lang w:bidi="fa-IR"/>
        </w:rPr>
        <w:t>؟</w:t>
      </w:r>
    </w:p>
    <w:p w:rsidR="00144FA6" w:rsidRDefault="00744A1C" w:rsidP="00744A1C">
      <w:pPr>
        <w:pStyle w:val="libNormal"/>
        <w:rPr>
          <w:rtl/>
          <w:lang w:bidi="fa-IR"/>
        </w:rPr>
      </w:pPr>
      <w:r>
        <w:rPr>
          <w:rtl/>
          <w:lang w:bidi="fa-IR"/>
        </w:rPr>
        <w:t xml:space="preserve">فَقَالَ </w:t>
      </w:r>
      <w:r w:rsidRPr="00D10E3C">
        <w:rPr>
          <w:rStyle w:val="libFootnotenumChar"/>
          <w:rtl/>
        </w:rPr>
        <w:t>(6)</w:t>
      </w:r>
      <w:r>
        <w:rPr>
          <w:rtl/>
          <w:lang w:bidi="fa-IR"/>
        </w:rPr>
        <w:t xml:space="preserve"> : « ارْجِعْ فَأَدِّهِ </w:t>
      </w:r>
      <w:r w:rsidRPr="00D10E3C">
        <w:rPr>
          <w:rStyle w:val="libFootnotenumChar"/>
          <w:rtl/>
        </w:rPr>
        <w:t>(7)</w:t>
      </w:r>
      <w:r>
        <w:rPr>
          <w:rtl/>
          <w:lang w:bidi="fa-IR"/>
        </w:rPr>
        <w:t xml:space="preserve"> إِلى مُؤَدّى دَيْنِكَ ، وَانْظُرْ أَنْ تَلْقَى اللهَ تَعَالى وَلَيْسَ </w:t>
      </w:r>
      <w:r w:rsidRPr="00D10E3C">
        <w:rPr>
          <w:rStyle w:val="libFootnotenumChar"/>
          <w:rtl/>
        </w:rPr>
        <w:t>(8)</w:t>
      </w:r>
      <w:r>
        <w:rPr>
          <w:rtl/>
          <w:lang w:bidi="fa-IR"/>
        </w:rPr>
        <w:t xml:space="preserve"> عَلَيْكَ دَيْنٌ ؛ إِنَّ </w:t>
      </w:r>
      <w:r w:rsidRPr="00D10E3C">
        <w:rPr>
          <w:rStyle w:val="libFootnotenumChar"/>
          <w:rtl/>
        </w:rPr>
        <w:t>(9)</w:t>
      </w:r>
      <w:r>
        <w:rPr>
          <w:rtl/>
          <w:lang w:bidi="fa-IR"/>
        </w:rPr>
        <w:t xml:space="preserve"> الْمُؤْمِنَ لَايَخُونُ ». </w:t>
      </w:r>
      <w:r w:rsidRPr="00D10E3C">
        <w:rPr>
          <w:rStyle w:val="libFootnotenumChar"/>
          <w:rtl/>
        </w:rPr>
        <w:t>(10)</w:t>
      </w:r>
    </w:p>
    <w:p w:rsidR="00144FA6" w:rsidRDefault="00744A1C" w:rsidP="00744A1C">
      <w:pPr>
        <w:pStyle w:val="libNormal"/>
        <w:rPr>
          <w:rtl/>
          <w:lang w:bidi="fa-IR"/>
        </w:rPr>
      </w:pPr>
      <w:r>
        <w:rPr>
          <w:rtl/>
          <w:lang w:bidi="fa-IR"/>
        </w:rPr>
        <w:t>8466 / 10. عَلِيُّ بْنُ مُحَمَّدٍ ، عَنْ إِسْحَاقَ بْنِ مُحَمَّدٍ النَّخَعِيِّ ، عَنْ مُحَمَّدِ بْنِ جُمْهُورٍ ، عَنْ فَضَالَةَ ، عَنْ مُوسَى بْنِ بَكْرٍ ، قَالَ :</w:t>
      </w:r>
    </w:p>
    <w:p w:rsidR="00144FA6" w:rsidRDefault="00744A1C" w:rsidP="00744A1C">
      <w:pPr>
        <w:pStyle w:val="libNormal"/>
        <w:rPr>
          <w:rtl/>
          <w:lang w:bidi="fa-IR"/>
        </w:rPr>
      </w:pPr>
      <w:r>
        <w:rPr>
          <w:rtl/>
          <w:lang w:bidi="fa-IR"/>
        </w:rPr>
        <w:t xml:space="preserve">مَا </w:t>
      </w:r>
      <w:r w:rsidRPr="00D10E3C">
        <w:rPr>
          <w:rStyle w:val="libFootnotenumChar"/>
          <w:rtl/>
        </w:rPr>
        <w:t>(11)</w:t>
      </w:r>
      <w:r>
        <w:rPr>
          <w:rtl/>
          <w:lang w:bidi="fa-IR"/>
        </w:rPr>
        <w:t xml:space="preserve"> أُحْصِي مَا سَمِعْتُ أَبَا الْحَسَنِ مُوسى </w:t>
      </w:r>
      <w:r w:rsidRPr="00D10E3C">
        <w:rPr>
          <w:rStyle w:val="libFootnotenumChar"/>
          <w:rtl/>
        </w:rPr>
        <w:t>(12)</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يُنْشِدُ :</w:t>
      </w:r>
    </w:p>
    <w:p w:rsidR="00744A1C" w:rsidRDefault="00744A1C" w:rsidP="00D10E3C">
      <w:pPr>
        <w:pStyle w:val="libLine"/>
        <w:rPr>
          <w:lang w:bidi="fa-IR"/>
        </w:rPr>
      </w:pPr>
      <w:r>
        <w:rPr>
          <w:rtl/>
          <w:lang w:bidi="fa-IR"/>
        </w:rPr>
        <w:t>____________________</w:t>
      </w:r>
    </w:p>
    <w:p w:rsidR="00744A1C" w:rsidRDefault="00AD59AA" w:rsidP="00D10E3C">
      <w:pPr>
        <w:pStyle w:val="libFootnote0"/>
        <w:rPr>
          <w:lang w:bidi="fa-IR"/>
        </w:rPr>
      </w:pPr>
      <w:r>
        <w:rPr>
          <w:rFonts w:hint="cs"/>
          <w:rtl/>
          <w:lang w:bidi="fa-IR"/>
        </w:rPr>
        <w:t xml:space="preserve">= </w:t>
      </w:r>
      <w:r w:rsidR="00744A1C">
        <w:rPr>
          <w:rtl/>
          <w:lang w:bidi="fa-IR"/>
        </w:rPr>
        <w:t xml:space="preserve">الفحص الأكيد - تمامة أو أبا تمامة كعنوانين. وما ورد في </w:t>
      </w:r>
      <w:r w:rsidR="00744A1C" w:rsidRPr="0061079A">
        <w:rPr>
          <w:rStyle w:val="libFootnoteBoldChar"/>
          <w:rtl/>
        </w:rPr>
        <w:t>البحار</w:t>
      </w:r>
      <w:r w:rsidR="00744A1C">
        <w:rPr>
          <w:rtl/>
          <w:lang w:bidi="fa-IR"/>
        </w:rPr>
        <w:t xml:space="preserve"> ، ج 8 ، ص 67 ، ح 11 ؛ وج 39 ، ص 196 ، ح 6 ، نقلاً من </w:t>
      </w:r>
      <w:r w:rsidR="00744A1C" w:rsidRPr="000B1C3F">
        <w:rPr>
          <w:rStyle w:val="libFootnoteBoldChar"/>
          <w:rtl/>
        </w:rPr>
        <w:t>الأمالي للطوسي</w:t>
      </w:r>
      <w:r w:rsidR="00744A1C">
        <w:rPr>
          <w:rtl/>
          <w:lang w:bidi="fa-IR"/>
        </w:rPr>
        <w:t xml:space="preserve"> من تمامة بن عبد الله بن أنس بن مالك ، فهو سهو ، وإنّما هو ثمامة بن عبد الله بن أنس بن مالك المترجم في </w:t>
      </w:r>
      <w:r w:rsidR="00744A1C" w:rsidRPr="00B7470D">
        <w:rPr>
          <w:rStyle w:val="libFootnoteBoldChar"/>
          <w:rtl/>
        </w:rPr>
        <w:t>تهذيب الكمال</w:t>
      </w:r>
      <w:r w:rsidR="00744A1C">
        <w:rPr>
          <w:rtl/>
          <w:lang w:bidi="fa-IR"/>
        </w:rPr>
        <w:t xml:space="preserve"> ، ج 4 ، ص 405 ، الرقم 854 ، وورد على الصواب في </w:t>
      </w:r>
      <w:r w:rsidR="00744A1C" w:rsidRPr="000B1C3F">
        <w:rPr>
          <w:rStyle w:val="libFootnoteBoldChar"/>
          <w:rtl/>
        </w:rPr>
        <w:t>الأمالي للطوسي</w:t>
      </w:r>
      <w:r w:rsidR="00744A1C">
        <w:rPr>
          <w:rtl/>
          <w:lang w:bidi="fa-IR"/>
        </w:rPr>
        <w:t xml:space="preserve"> ، ص 290 ، المجلس 11 ، ح 564.</w:t>
      </w:r>
    </w:p>
    <w:tbl>
      <w:tblPr>
        <w:tblStyle w:val="TableGrid"/>
        <w:bidiVisual/>
        <w:tblW w:w="0" w:type="auto"/>
        <w:tblLook w:val="04A0" w:firstRow="1" w:lastRow="0" w:firstColumn="1" w:lastColumn="0" w:noHBand="0" w:noVBand="1"/>
      </w:tblPr>
      <w:tblGrid>
        <w:gridCol w:w="4006"/>
        <w:gridCol w:w="4006"/>
      </w:tblGrid>
      <w:tr w:rsidR="003C1A57" w:rsidTr="003C1A57">
        <w:tc>
          <w:tcPr>
            <w:tcW w:w="4006" w:type="dxa"/>
          </w:tcPr>
          <w:p w:rsidR="003C1A57" w:rsidRDefault="003C1A57" w:rsidP="00D10E3C">
            <w:pPr>
              <w:pStyle w:val="libFootnote0"/>
              <w:rPr>
                <w:rtl/>
                <w:lang w:bidi="fa-IR"/>
              </w:rPr>
            </w:pPr>
            <w:r>
              <w:rPr>
                <w:rtl/>
                <w:lang w:bidi="fa-IR"/>
              </w:rPr>
              <w:t>(1). في « بخ ، بف » : - « الثاني ».</w:t>
            </w:r>
          </w:p>
        </w:tc>
        <w:tc>
          <w:tcPr>
            <w:tcW w:w="4006" w:type="dxa"/>
          </w:tcPr>
          <w:p w:rsidR="003C1A57" w:rsidRDefault="003C1A57" w:rsidP="00D10E3C">
            <w:pPr>
              <w:pStyle w:val="libFootnote0"/>
              <w:rPr>
                <w:rtl/>
                <w:lang w:bidi="fa-IR"/>
              </w:rPr>
            </w:pPr>
            <w:r>
              <w:rPr>
                <w:rtl/>
                <w:lang w:bidi="fa-IR"/>
              </w:rPr>
              <w:t>(2). في « بخ ، بف » : - « أن ».</w:t>
            </w:r>
          </w:p>
        </w:tc>
      </w:tr>
    </w:tbl>
    <w:p w:rsidR="00744A1C" w:rsidRDefault="00E378DD" w:rsidP="00E378DD">
      <w:pPr>
        <w:pStyle w:val="libFootnote0"/>
        <w:rPr>
          <w:lang w:bidi="fa-IR"/>
        </w:rPr>
      </w:pPr>
      <w:r>
        <w:rPr>
          <w:rtl/>
          <w:lang w:bidi="fa-IR"/>
        </w:rPr>
        <w:t>(3).</w:t>
      </w:r>
      <w:r w:rsidR="00744A1C">
        <w:rPr>
          <w:rtl/>
          <w:lang w:bidi="fa-IR"/>
        </w:rPr>
        <w:t xml:space="preserve"> في « ط ، بس ، جد » </w:t>
      </w:r>
      <w:r w:rsidR="00744A1C" w:rsidRPr="003C1A57">
        <w:rPr>
          <w:rtl/>
        </w:rPr>
        <w:t>والوسائل والتهذيب</w:t>
      </w:r>
      <w:r w:rsidR="00744A1C">
        <w:rPr>
          <w:rtl/>
          <w:lang w:bidi="fa-IR"/>
        </w:rPr>
        <w:t xml:space="preserve"> : « والمدينة ». وفي العلل : - « أو المدينة ».</w:t>
      </w:r>
    </w:p>
    <w:p w:rsidR="00744A1C" w:rsidRDefault="00E378DD" w:rsidP="00E378DD">
      <w:pPr>
        <w:pStyle w:val="libFootnote0"/>
        <w:rPr>
          <w:lang w:bidi="fa-IR"/>
        </w:rPr>
      </w:pPr>
      <w:r>
        <w:rPr>
          <w:rtl/>
          <w:lang w:bidi="fa-IR"/>
        </w:rPr>
        <w:t>(4).</w:t>
      </w:r>
      <w:r w:rsidR="00744A1C">
        <w:rPr>
          <w:rtl/>
          <w:lang w:bidi="fa-IR"/>
        </w:rPr>
        <w:t xml:space="preserve"> في العلل : + « للمرجئة ».</w:t>
      </w:r>
    </w:p>
    <w:p w:rsidR="00744A1C" w:rsidRDefault="00E378DD" w:rsidP="00E378DD">
      <w:pPr>
        <w:pStyle w:val="libFootnote0"/>
        <w:rPr>
          <w:lang w:bidi="fa-IR"/>
        </w:rPr>
      </w:pPr>
      <w:r>
        <w:rPr>
          <w:rtl/>
          <w:lang w:bidi="fa-IR"/>
        </w:rPr>
        <w:t>(5).</w:t>
      </w:r>
      <w:r w:rsidR="00744A1C">
        <w:rPr>
          <w:rtl/>
          <w:lang w:bidi="fa-IR"/>
        </w:rPr>
        <w:t xml:space="preserve"> في « ى » </w:t>
      </w:r>
      <w:r w:rsidR="00744A1C" w:rsidRPr="003C1A57">
        <w:rPr>
          <w:rtl/>
        </w:rPr>
        <w:t>والوسائل</w:t>
      </w:r>
      <w:r w:rsidR="00744A1C">
        <w:rPr>
          <w:rtl/>
          <w:lang w:bidi="fa-IR"/>
        </w:rPr>
        <w:t xml:space="preserve"> : - « فما تقول ».</w:t>
      </w:r>
    </w:p>
    <w:p w:rsidR="00744A1C" w:rsidRDefault="00E378DD" w:rsidP="00E378DD">
      <w:pPr>
        <w:pStyle w:val="libFootnote0"/>
        <w:rPr>
          <w:lang w:bidi="fa-IR"/>
        </w:rPr>
      </w:pPr>
      <w:r>
        <w:rPr>
          <w:rtl/>
          <w:lang w:bidi="fa-IR"/>
        </w:rPr>
        <w:t>(6).</w:t>
      </w:r>
      <w:r w:rsidR="00744A1C">
        <w:rPr>
          <w:rtl/>
          <w:lang w:bidi="fa-IR"/>
        </w:rPr>
        <w:t xml:space="preserve"> في « بخ ، بف » </w:t>
      </w:r>
      <w:r w:rsidR="00744A1C" w:rsidRPr="003C1A57">
        <w:rPr>
          <w:rtl/>
        </w:rPr>
        <w:t>والوافي</w:t>
      </w:r>
      <w:r w:rsidR="00744A1C">
        <w:rPr>
          <w:rtl/>
          <w:lang w:bidi="fa-IR"/>
        </w:rPr>
        <w:t xml:space="preserve"> : « قال ».</w:t>
      </w:r>
    </w:p>
    <w:p w:rsidR="00744A1C" w:rsidRDefault="00E378DD" w:rsidP="00E378DD">
      <w:pPr>
        <w:pStyle w:val="libFootnote0"/>
        <w:rPr>
          <w:lang w:bidi="fa-IR"/>
        </w:rPr>
      </w:pPr>
      <w:r>
        <w:rPr>
          <w:rtl/>
          <w:lang w:bidi="fa-IR"/>
        </w:rPr>
        <w:t>(7).</w:t>
      </w:r>
      <w:r w:rsidR="00744A1C">
        <w:rPr>
          <w:rtl/>
          <w:lang w:bidi="fa-IR"/>
        </w:rPr>
        <w:t xml:space="preserve"> في « ى ، بح ، بس ، جد » وحاشية « جن » : « فأدّ ». وفي « ط ، بخ ، جن » </w:t>
      </w:r>
      <w:r w:rsidR="00744A1C" w:rsidRPr="003C1A57">
        <w:rPr>
          <w:rtl/>
        </w:rPr>
        <w:t>والوسائل والفقيه</w:t>
      </w:r>
      <w:r w:rsidR="00744A1C">
        <w:rPr>
          <w:rtl/>
          <w:lang w:bidi="fa-IR"/>
        </w:rPr>
        <w:t xml:space="preserve"> </w:t>
      </w:r>
      <w:r w:rsidR="00744A1C" w:rsidRPr="003C1A57">
        <w:rPr>
          <w:rtl/>
        </w:rPr>
        <w:t>والتهذيب</w:t>
      </w:r>
      <w:r w:rsidR="00744A1C">
        <w:rPr>
          <w:rtl/>
          <w:lang w:bidi="fa-IR"/>
        </w:rPr>
        <w:t xml:space="preserve"> والعلل : - « فأدّه ». وفي « بف » : - « فأدّه إلى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فأدّ ، ليس في </w:t>
      </w:r>
      <w:r w:rsidR="00744A1C" w:rsidRPr="00C24F9C">
        <w:rPr>
          <w:rStyle w:val="libFootnoteBoldChar"/>
          <w:rtl/>
        </w:rPr>
        <w:t>التهذيب</w:t>
      </w:r>
      <w:r w:rsidR="00744A1C">
        <w:rPr>
          <w:rtl/>
          <w:lang w:bidi="fa-IR"/>
        </w:rPr>
        <w:t xml:space="preserve"> ، ولعلّه أمر من باب الإفعال من قولهم : آديت للسفر فأنا مُؤْدٍ له ، إذا كنت متهيّئاً له ، ذكره الجوهري ». وراجع : </w:t>
      </w:r>
      <w:r w:rsidR="00744A1C" w:rsidRPr="00E978C3">
        <w:rPr>
          <w:rStyle w:val="libFootnoteBoldChar"/>
          <w:rtl/>
        </w:rPr>
        <w:t>الصحاح</w:t>
      </w:r>
      <w:r w:rsidR="00744A1C">
        <w:rPr>
          <w:rtl/>
          <w:lang w:bidi="fa-IR"/>
        </w:rPr>
        <w:t xml:space="preserve"> ، ج 6 ، ص 2265 ( أدا ).</w:t>
      </w:r>
    </w:p>
    <w:p w:rsidR="00744A1C" w:rsidRDefault="00E378DD" w:rsidP="00E378DD">
      <w:pPr>
        <w:pStyle w:val="libFootnote0"/>
        <w:rPr>
          <w:lang w:bidi="fa-IR"/>
        </w:rPr>
      </w:pPr>
      <w:r>
        <w:rPr>
          <w:rtl/>
          <w:lang w:bidi="fa-IR"/>
        </w:rPr>
        <w:t>(8).</w:t>
      </w:r>
      <w:r w:rsidR="00744A1C">
        <w:rPr>
          <w:rtl/>
          <w:lang w:bidi="fa-IR"/>
        </w:rPr>
        <w:t xml:space="preserve"> في « جد » : « فليس ».</w:t>
      </w:r>
    </w:p>
    <w:p w:rsidR="00744A1C" w:rsidRDefault="00E378DD" w:rsidP="00E378DD">
      <w:pPr>
        <w:pStyle w:val="libFootnote0"/>
        <w:rPr>
          <w:lang w:bidi="fa-IR"/>
        </w:rPr>
      </w:pPr>
      <w:r>
        <w:rPr>
          <w:rtl/>
          <w:lang w:bidi="fa-IR"/>
        </w:rPr>
        <w:t>(9).</w:t>
      </w:r>
      <w:r w:rsidR="00744A1C">
        <w:rPr>
          <w:rtl/>
          <w:lang w:bidi="fa-IR"/>
        </w:rPr>
        <w:t xml:space="preserve"> في « ط » </w:t>
      </w:r>
      <w:r w:rsidR="00744A1C" w:rsidRPr="003C1A57">
        <w:rPr>
          <w:rtl/>
        </w:rPr>
        <w:t>والوسائل والفقيه</w:t>
      </w:r>
      <w:r w:rsidR="00744A1C">
        <w:rPr>
          <w:rtl/>
          <w:lang w:bidi="fa-IR"/>
        </w:rPr>
        <w:t xml:space="preserve"> والعلل : « فإنّ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184 ، ح 382 ، معلّقاً عن أحمد بن أبي عبد الله. </w:t>
      </w:r>
      <w:r w:rsidR="00744A1C" w:rsidRPr="003A7143">
        <w:rPr>
          <w:rStyle w:val="libFootnoteBoldChar"/>
          <w:rtl/>
        </w:rPr>
        <w:t>علل الشرائع</w:t>
      </w:r>
      <w:r w:rsidR="00744A1C">
        <w:rPr>
          <w:rtl/>
          <w:lang w:bidi="fa-IR"/>
        </w:rPr>
        <w:t xml:space="preserve"> ، ص 528 ، ح 7 ، بسنده عن محمّد بن أحمد ، عن ابن عيسى ، عن عثمان بن سعيد. </w:t>
      </w:r>
      <w:r w:rsidR="00744A1C" w:rsidRPr="00C24F9C">
        <w:rPr>
          <w:rStyle w:val="libFootnoteBoldChar"/>
          <w:rtl/>
        </w:rPr>
        <w:t>الفقيه</w:t>
      </w:r>
      <w:r w:rsidR="00744A1C">
        <w:rPr>
          <w:rtl/>
          <w:lang w:bidi="fa-IR"/>
        </w:rPr>
        <w:t xml:space="preserve"> ، ج 3 ، ص 183 ، ح 3686 ، معلّقاً عن أبي ثمامة ، وفي كلّها مع اختلاف يسير </w:t>
      </w:r>
      <w:r w:rsidR="003C1A57">
        <w:rPr>
          <w:rFonts w:hint="cs"/>
          <w:rtl/>
          <w:lang w:bidi="fa-IR"/>
        </w:rPr>
        <w:t>.</w:t>
      </w:r>
      <w:r w:rsidR="00744A1C" w:rsidRPr="00C24F9C">
        <w:rPr>
          <w:rStyle w:val="libFootnoteBoldChar"/>
          <w:rtl/>
        </w:rPr>
        <w:t>الوافي</w:t>
      </w:r>
      <w:r w:rsidR="00744A1C">
        <w:rPr>
          <w:rtl/>
          <w:lang w:bidi="fa-IR"/>
        </w:rPr>
        <w:t xml:space="preserve"> ، ج 18 ، ص 786 ، ح 18289 ؛ </w:t>
      </w:r>
      <w:r w:rsidR="00744A1C" w:rsidRPr="00C24F9C">
        <w:rPr>
          <w:rStyle w:val="libFootnoteBoldChar"/>
          <w:rtl/>
        </w:rPr>
        <w:t>الوسائل</w:t>
      </w:r>
      <w:r w:rsidR="00744A1C">
        <w:rPr>
          <w:rtl/>
          <w:lang w:bidi="fa-IR"/>
        </w:rPr>
        <w:t xml:space="preserve"> ، ج 18 ، ص 324 ، ح 23772.</w:t>
      </w:r>
    </w:p>
    <w:p w:rsidR="00744A1C" w:rsidRDefault="00E378DD" w:rsidP="00E378DD">
      <w:pPr>
        <w:pStyle w:val="libFootnote0"/>
        <w:rPr>
          <w:lang w:bidi="fa-IR"/>
        </w:rPr>
      </w:pPr>
      <w:r>
        <w:rPr>
          <w:rtl/>
          <w:lang w:bidi="fa-IR"/>
        </w:rPr>
        <w:t>(11).</w:t>
      </w:r>
      <w:r w:rsidR="00744A1C">
        <w:rPr>
          <w:rtl/>
          <w:lang w:bidi="fa-IR"/>
        </w:rPr>
        <w:t xml:space="preserve"> في </w:t>
      </w:r>
      <w:r w:rsidR="00744A1C" w:rsidRPr="003C1A57">
        <w:rPr>
          <w:rtl/>
        </w:rPr>
        <w:t>الوسائل</w:t>
      </w:r>
      <w:r w:rsidR="00744A1C">
        <w:rPr>
          <w:rtl/>
          <w:lang w:bidi="fa-IR"/>
        </w:rPr>
        <w:t xml:space="preserve"> : « كم ».</w:t>
      </w:r>
    </w:p>
    <w:p w:rsidR="00744A1C" w:rsidRDefault="00E378DD" w:rsidP="00E378DD">
      <w:pPr>
        <w:pStyle w:val="libFootnote0"/>
        <w:rPr>
          <w:lang w:bidi="fa-IR"/>
        </w:rPr>
      </w:pPr>
      <w:r>
        <w:rPr>
          <w:rtl/>
          <w:lang w:bidi="fa-IR"/>
        </w:rPr>
        <w:t>(12).</w:t>
      </w:r>
      <w:r w:rsidR="00744A1C">
        <w:rPr>
          <w:rtl/>
          <w:lang w:bidi="fa-IR"/>
        </w:rPr>
        <w:t xml:space="preserve"> في « ط » : - « موسى ».</w:t>
      </w:r>
    </w:p>
    <w:p w:rsidR="006A5060" w:rsidRDefault="006A5060" w:rsidP="00D10E3C">
      <w:pPr>
        <w:pStyle w:val="libNormal"/>
        <w:rPr>
          <w:rtl/>
          <w:lang w:bidi="fa-IR"/>
        </w:rPr>
      </w:pPr>
      <w:r>
        <w:rPr>
          <w:rtl/>
          <w:lang w:bidi="fa-IR"/>
        </w:rPr>
        <w:br w:type="page"/>
      </w:r>
    </w:p>
    <w:tbl>
      <w:tblPr>
        <w:tblStyle w:val="TableGrid"/>
        <w:bidiVisual/>
        <w:tblW w:w="4562" w:type="pct"/>
        <w:tblInd w:w="384" w:type="dxa"/>
        <w:tblLook w:val="01E0" w:firstRow="1" w:lastRow="1" w:firstColumn="1" w:lastColumn="1" w:noHBand="0" w:noVBand="0"/>
      </w:tblPr>
      <w:tblGrid>
        <w:gridCol w:w="3520"/>
        <w:gridCol w:w="272"/>
        <w:gridCol w:w="3518"/>
      </w:tblGrid>
      <w:tr w:rsidR="003C1A57" w:rsidTr="001E6D69">
        <w:trPr>
          <w:trHeight w:val="350"/>
        </w:trPr>
        <w:tc>
          <w:tcPr>
            <w:tcW w:w="3920" w:type="dxa"/>
            <w:shd w:val="clear" w:color="auto" w:fill="auto"/>
          </w:tcPr>
          <w:p w:rsidR="003C1A57" w:rsidRDefault="003C1A57" w:rsidP="001E6D69">
            <w:pPr>
              <w:pStyle w:val="libPoem"/>
            </w:pPr>
            <w:r>
              <w:rPr>
                <w:rtl/>
                <w:lang w:bidi="fa-IR"/>
              </w:rPr>
              <w:t>« فَإِنْ يَكُ يَا أُمَيْمُ عَلَيَّ دَيْنٌ</w:t>
            </w:r>
            <w:r w:rsidRPr="00725071">
              <w:rPr>
                <w:rStyle w:val="libPoemTiniChar0"/>
                <w:rtl/>
              </w:rPr>
              <w:br/>
              <w:t> </w:t>
            </w:r>
          </w:p>
        </w:tc>
        <w:tc>
          <w:tcPr>
            <w:tcW w:w="279" w:type="dxa"/>
            <w:shd w:val="clear" w:color="auto" w:fill="auto"/>
          </w:tcPr>
          <w:p w:rsidR="003C1A57" w:rsidRDefault="003C1A57" w:rsidP="001E6D69">
            <w:pPr>
              <w:pStyle w:val="libPoem"/>
              <w:rPr>
                <w:rtl/>
              </w:rPr>
            </w:pPr>
          </w:p>
        </w:tc>
        <w:tc>
          <w:tcPr>
            <w:tcW w:w="3881" w:type="dxa"/>
            <w:shd w:val="clear" w:color="auto" w:fill="auto"/>
          </w:tcPr>
          <w:p w:rsidR="003C1A57" w:rsidRDefault="003C1A57" w:rsidP="001E6D69">
            <w:pPr>
              <w:pStyle w:val="libPoem"/>
            </w:pPr>
            <w:r>
              <w:rPr>
                <w:rtl/>
                <w:lang w:bidi="fa-IR"/>
              </w:rPr>
              <w:t xml:space="preserve">فَعِمْرَانُ بْنُ مُوسى </w:t>
            </w:r>
            <w:r w:rsidRPr="003C1A57">
              <w:rPr>
                <w:rStyle w:val="libFootnotenumChar"/>
                <w:rtl/>
              </w:rPr>
              <w:t>(1)</w:t>
            </w:r>
            <w:r>
              <w:rPr>
                <w:rtl/>
                <w:lang w:bidi="fa-IR"/>
              </w:rPr>
              <w:t xml:space="preserve"> يَسْتَدِينُ ».</w:t>
            </w:r>
            <w:r w:rsidRPr="003C1A57">
              <w:rPr>
                <w:rStyle w:val="libFootnotenumChar"/>
                <w:rtl/>
              </w:rPr>
              <w:t>(2)</w:t>
            </w:r>
            <w:r w:rsidRPr="00725071">
              <w:rPr>
                <w:rStyle w:val="libPoemTiniChar0"/>
                <w:rtl/>
              </w:rPr>
              <w:br/>
              <w:t> </w:t>
            </w:r>
          </w:p>
        </w:tc>
      </w:tr>
    </w:tbl>
    <w:p w:rsidR="00144FA6" w:rsidRDefault="00744A1C" w:rsidP="00744A1C">
      <w:pPr>
        <w:pStyle w:val="libNormal"/>
        <w:rPr>
          <w:rtl/>
          <w:lang w:bidi="fa-IR"/>
        </w:rPr>
      </w:pPr>
      <w:r>
        <w:rPr>
          <w:rtl/>
          <w:lang w:bidi="fa-IR"/>
        </w:rPr>
        <w:t>8467 / 11. عِدَّةٌ مِنْ أَصْحَابِنَا ، عَنْ سَهْلِ بْنِ زِيَادٍ ، عَنْ جَعْفَرِ بْنِ مُحَمَّدٍ الْأَشْعَرِيِّ ، عَنِ ابْنِ الْقَدَّاحِ :</w:t>
      </w:r>
    </w:p>
    <w:p w:rsidR="00144FA6" w:rsidRDefault="00744A1C" w:rsidP="00744A1C">
      <w:pPr>
        <w:pStyle w:val="libNormal"/>
        <w:rPr>
          <w:rtl/>
          <w:lang w:bidi="fa-IR"/>
        </w:rPr>
      </w:pPr>
      <w:r>
        <w:rPr>
          <w:rtl/>
          <w:lang w:bidi="fa-IR"/>
        </w:rPr>
        <w:t xml:space="preserve">عَنْ أَبِي عَبْدِ اللهِ ، عَنْ آبَائِهِ ، عَنْ عَلِيٍّ </w:t>
      </w:r>
      <w:r w:rsidR="008859AA" w:rsidRPr="008859AA">
        <w:rPr>
          <w:rStyle w:val="libAlaemChar"/>
          <w:rtl/>
        </w:rPr>
        <w:t>عليهما‌السلام</w:t>
      </w:r>
      <w:r>
        <w:rPr>
          <w:rtl/>
          <w:lang w:bidi="fa-IR"/>
        </w:rPr>
        <w:t xml:space="preserve">قَالَ : « إِيَّاكُمْ وَالدَّيْنَ ؛ فَإِنَّهُ مَذَلَّةٌ </w:t>
      </w:r>
      <w:r w:rsidRPr="00D10E3C">
        <w:rPr>
          <w:rStyle w:val="libFootnotenumChar"/>
          <w:rtl/>
        </w:rPr>
        <w:t>(3)</w:t>
      </w:r>
      <w:r>
        <w:rPr>
          <w:rtl/>
          <w:lang w:bidi="fa-IR"/>
        </w:rPr>
        <w:t xml:space="preserve"> بِالنَّهَارِ ، وَمَهَمَّةٌ </w:t>
      </w:r>
      <w:r w:rsidRPr="00D10E3C">
        <w:rPr>
          <w:rStyle w:val="libFootnotenumChar"/>
          <w:rtl/>
        </w:rPr>
        <w:t>(4)</w:t>
      </w:r>
      <w:r>
        <w:rPr>
          <w:rtl/>
          <w:lang w:bidi="fa-IR"/>
        </w:rPr>
        <w:t xml:space="preserve"> بِاللَّيْلِ ، وَقَضَاءٌ فِي الدُّنْيَا </w:t>
      </w:r>
      <w:r w:rsidRPr="00D10E3C">
        <w:rPr>
          <w:rStyle w:val="libFootnotenumChar"/>
          <w:rtl/>
        </w:rPr>
        <w:t>(5)</w:t>
      </w:r>
      <w:r>
        <w:rPr>
          <w:rtl/>
          <w:lang w:bidi="fa-IR"/>
        </w:rPr>
        <w:t xml:space="preserve"> ، وَقَضَاءٌ فِي الْآخِرَةِ ». </w:t>
      </w:r>
      <w:r w:rsidRPr="00D10E3C">
        <w:rPr>
          <w:rStyle w:val="libFootnotenumChar"/>
          <w:rtl/>
        </w:rPr>
        <w:t>(6)</w:t>
      </w:r>
    </w:p>
    <w:p w:rsidR="00744A1C" w:rsidRDefault="00744A1C" w:rsidP="00DA7F2B">
      <w:pPr>
        <w:pStyle w:val="Heading2Center"/>
        <w:rPr>
          <w:lang w:bidi="fa-IR"/>
        </w:rPr>
      </w:pPr>
      <w:bookmarkStart w:id="143" w:name="_Toc49261441"/>
      <w:r>
        <w:rPr>
          <w:rtl/>
          <w:lang w:bidi="fa-IR"/>
        </w:rPr>
        <w:t>20 - بَابُ قَضَاءِ الدَّيْنِ‌</w:t>
      </w:r>
      <w:bookmarkEnd w:id="143"/>
    </w:p>
    <w:p w:rsidR="00144FA6" w:rsidRDefault="00744A1C" w:rsidP="00744A1C">
      <w:pPr>
        <w:pStyle w:val="libNormal"/>
        <w:rPr>
          <w:rtl/>
          <w:lang w:bidi="fa-IR"/>
        </w:rPr>
      </w:pPr>
      <w:r>
        <w:rPr>
          <w:rtl/>
          <w:lang w:bidi="fa-IR"/>
        </w:rPr>
        <w:t>8468 / 1. عِدَّةٌ مِنْ أَصْحَابِنَا ، عَنْ أَحْمَدَ بْنِ مُحَمَّدٍ ، عَنْ عَبْدِ الرَّحْمنِ بْنِ أَبِي نَجْرَانَ ، عَنِ الْحَسَنِ بْنِ عَلِيِّ بْنِ رِبَاطٍ ، قَالَ :</w:t>
      </w:r>
    </w:p>
    <w:p w:rsidR="00744A1C" w:rsidRDefault="00744A1C" w:rsidP="00744A1C">
      <w:pPr>
        <w:pStyle w:val="libNormal"/>
        <w:rPr>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مَنْ كَانَ عَلَيْهِ دَيْنٌ يَنْوِي </w:t>
      </w:r>
      <w:r w:rsidRPr="00D10E3C">
        <w:rPr>
          <w:rStyle w:val="libFootnotenumChar"/>
          <w:rtl/>
        </w:rPr>
        <w:t>(7)</w:t>
      </w:r>
      <w:r>
        <w:rPr>
          <w:rtl/>
          <w:lang w:bidi="fa-IR"/>
        </w:rPr>
        <w:t xml:space="preserve"> قَضَاءَهُ ، كَانَ مَعَهُ مِنَ‌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بس ، جد ، جن » : « فموسى بن عمران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xml:space="preserve">: فعمران بن موسى ، قال الشاعر هكذا للوزن ، وفي بعض النسخ : فموسى بن عمران ، فلعلّه </w:t>
      </w:r>
      <w:r w:rsidR="0061079A" w:rsidRPr="0061079A">
        <w:rPr>
          <w:rStyle w:val="libFootnoteAlaemChar"/>
          <w:rtl/>
        </w:rPr>
        <w:t>عليه‌السلام</w:t>
      </w:r>
      <w:r>
        <w:rPr>
          <w:rtl/>
          <w:lang w:bidi="fa-IR"/>
        </w:rPr>
        <w:t xml:space="preserve"> </w:t>
      </w:r>
      <w:r w:rsidR="00744A1C">
        <w:rPr>
          <w:rtl/>
          <w:lang w:bidi="fa-IR"/>
        </w:rPr>
        <w:t>غيّره لموافقته للواقع ولكراهة الشعر ، مع أنّه يمكن أن يقرأ موزوناً بإسقاط النون. ا</w:t>
      </w:r>
      <w:r w:rsidR="00DA7F2B">
        <w:rPr>
          <w:rFonts w:hint="cs"/>
          <w:rtl/>
          <w:lang w:bidi="fa-IR"/>
        </w:rPr>
        <w:t>ُ</w:t>
      </w:r>
      <w:r w:rsidR="00744A1C">
        <w:rPr>
          <w:rtl/>
          <w:lang w:bidi="fa-IR"/>
        </w:rPr>
        <w:t>ميم : ترخيم ا</w:t>
      </w:r>
      <w:r w:rsidR="00DA7F2B">
        <w:rPr>
          <w:rFonts w:hint="cs"/>
          <w:rtl/>
          <w:lang w:bidi="fa-IR"/>
        </w:rPr>
        <w:t>ُ</w:t>
      </w:r>
      <w:r w:rsidR="00744A1C">
        <w:rPr>
          <w:rtl/>
          <w:lang w:bidi="fa-IR"/>
        </w:rPr>
        <w:t>ميّة ، تصغير ا</w:t>
      </w:r>
      <w:r w:rsidR="00DA7F2B">
        <w:rPr>
          <w:rFonts w:hint="cs"/>
          <w:rtl/>
          <w:lang w:bidi="fa-IR"/>
        </w:rPr>
        <w:t>ُ</w:t>
      </w:r>
      <w:r w:rsidR="00744A1C">
        <w:rPr>
          <w:rtl/>
          <w:lang w:bidi="fa-IR"/>
        </w:rPr>
        <w:t xml:space="preserve">مّ ، وهي اسم امرأة أيضاً ». وفي </w:t>
      </w:r>
      <w:r w:rsidR="00744A1C" w:rsidRPr="00877682">
        <w:rPr>
          <w:rStyle w:val="libFootnoteBoldChar"/>
          <w:rtl/>
        </w:rPr>
        <w:t>لسان العرب</w:t>
      </w:r>
      <w:r w:rsidR="00744A1C">
        <w:rPr>
          <w:rtl/>
          <w:lang w:bidi="fa-IR"/>
        </w:rPr>
        <w:t xml:space="preserve"> </w:t>
      </w:r>
      <w:r w:rsidR="00744A1C" w:rsidRPr="00DA7F2B">
        <w:rPr>
          <w:rStyle w:val="libFootnoteBoldChar"/>
          <w:rtl/>
        </w:rPr>
        <w:t>وتاج العروس</w:t>
      </w:r>
      <w:r w:rsidR="00744A1C">
        <w:rPr>
          <w:rtl/>
          <w:lang w:bidi="fa-IR"/>
        </w:rPr>
        <w:t xml:space="preserve"> : « يا جناح » بدل « يا أميم ». وراجع : </w:t>
      </w:r>
      <w:r w:rsidR="00744A1C" w:rsidRPr="00C24F9C">
        <w:rPr>
          <w:rStyle w:val="libFootnoteBoldChar"/>
          <w:rtl/>
        </w:rPr>
        <w:t>الوافي</w:t>
      </w:r>
      <w:r w:rsidR="00744A1C">
        <w:rPr>
          <w:rtl/>
          <w:lang w:bidi="fa-IR"/>
        </w:rPr>
        <w:t xml:space="preserve">. وفي هامشه عن المحقّق الشعراني : « القلب محافظة على الوزن عجيب ، ويشبه أن يكون عمران بن موسى رجلاً معروفاً بالثروة في عهد الشاعر ، فاعتذر عن كونه مديوناً بأنّ ذلك الرجل مع غناه وثروته أيضاً مديون. وإطلاق الاستدانة على تعهّد موسى </w:t>
      </w:r>
      <w:r w:rsidR="0061079A" w:rsidRPr="0061079A">
        <w:rPr>
          <w:rStyle w:val="libFootnoteAlaemChar"/>
          <w:rtl/>
        </w:rPr>
        <w:t>عليه‌السلام</w:t>
      </w:r>
      <w:r>
        <w:rPr>
          <w:rtl/>
          <w:lang w:bidi="fa-IR"/>
        </w:rPr>
        <w:t xml:space="preserve"> </w:t>
      </w:r>
      <w:r w:rsidR="00744A1C">
        <w:rPr>
          <w:rtl/>
          <w:lang w:bidi="fa-IR"/>
        </w:rPr>
        <w:t xml:space="preserve">رعي غنم شعيب ». وراجع : </w:t>
      </w:r>
      <w:r w:rsidR="00744A1C" w:rsidRPr="00877682">
        <w:rPr>
          <w:rStyle w:val="libFootnoteBoldChar"/>
          <w:rtl/>
        </w:rPr>
        <w:t>لسان العرب</w:t>
      </w:r>
      <w:r w:rsidR="00744A1C">
        <w:rPr>
          <w:rtl/>
          <w:lang w:bidi="fa-IR"/>
        </w:rPr>
        <w:t xml:space="preserve"> ، ج 13 ، ص 168 ؛ </w:t>
      </w:r>
      <w:r w:rsidR="00744A1C" w:rsidRPr="00DA7F2B">
        <w:rPr>
          <w:rStyle w:val="libFootnoteBoldChar"/>
          <w:rtl/>
        </w:rPr>
        <w:t>تاج العروس</w:t>
      </w:r>
      <w:r w:rsidR="00744A1C">
        <w:rPr>
          <w:rtl/>
          <w:lang w:bidi="fa-IR"/>
        </w:rPr>
        <w:t xml:space="preserve"> ، ج 9 ، ص 207 ( دين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17 ، ص 144 ، ح 17017 ؛ </w:t>
      </w:r>
      <w:r w:rsidR="00744A1C" w:rsidRPr="00C24F9C">
        <w:rPr>
          <w:rStyle w:val="libFootnoteBoldChar"/>
          <w:rtl/>
        </w:rPr>
        <w:t>الوسائل</w:t>
      </w:r>
      <w:r w:rsidR="00744A1C">
        <w:rPr>
          <w:rtl/>
          <w:lang w:bidi="fa-IR"/>
        </w:rPr>
        <w:t xml:space="preserve"> ، ج 18 ، ص 321 ، ح 23763 ؛ </w:t>
      </w:r>
      <w:r w:rsidR="00744A1C" w:rsidRPr="0061079A">
        <w:rPr>
          <w:rStyle w:val="libFootnoteBoldChar"/>
          <w:rtl/>
        </w:rPr>
        <w:t>البحار</w:t>
      </w:r>
      <w:r w:rsidR="00744A1C">
        <w:rPr>
          <w:rtl/>
          <w:lang w:bidi="fa-IR"/>
        </w:rPr>
        <w:t xml:space="preserve"> ، ج 48 ، ص 116 ، ح 31.</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مذلّة ، اسم مكان للذلّة ».</w:t>
      </w:r>
    </w:p>
    <w:p w:rsidR="00744A1C" w:rsidRDefault="00E378DD" w:rsidP="00E378DD">
      <w:pPr>
        <w:pStyle w:val="libFootnote0"/>
        <w:rPr>
          <w:lang w:bidi="fa-IR"/>
        </w:rPr>
      </w:pPr>
      <w:r>
        <w:rPr>
          <w:rtl/>
          <w:lang w:bidi="fa-IR"/>
        </w:rPr>
        <w:t>(4).</w:t>
      </w:r>
      <w:r w:rsidR="00744A1C">
        <w:rPr>
          <w:rtl/>
          <w:lang w:bidi="fa-IR"/>
        </w:rPr>
        <w:t xml:space="preserve"> في « ط » : « مهمّة » بدون الواو.</w:t>
      </w:r>
    </w:p>
    <w:p w:rsidR="00744A1C" w:rsidRDefault="00E378DD" w:rsidP="00E378DD">
      <w:pPr>
        <w:pStyle w:val="libFootnote0"/>
        <w:rPr>
          <w:lang w:bidi="fa-IR"/>
        </w:rPr>
      </w:pPr>
      <w:r>
        <w:rPr>
          <w:rtl/>
          <w:lang w:bidi="fa-IR"/>
        </w:rPr>
        <w:t>(5).</w:t>
      </w:r>
      <w:r w:rsidR="00744A1C">
        <w:rPr>
          <w:rtl/>
          <w:lang w:bidi="fa-IR"/>
        </w:rPr>
        <w:t xml:space="preserve"> في « بس » : « بالدنيا ». وفي « بف » : « في الدين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183 ، ح 376 ، معلّقاً عن سهل بن زياد. </w:t>
      </w:r>
      <w:r w:rsidR="00744A1C" w:rsidRPr="003A7143">
        <w:rPr>
          <w:rStyle w:val="libFootnoteBoldChar"/>
          <w:rtl/>
        </w:rPr>
        <w:t>علل الشرائع</w:t>
      </w:r>
      <w:r w:rsidR="00744A1C">
        <w:rPr>
          <w:rtl/>
          <w:lang w:bidi="fa-IR"/>
        </w:rPr>
        <w:t xml:space="preserve"> ، ص 527 ، ح 2 ، بسنده عن عبد الله بن ميمون. </w:t>
      </w:r>
      <w:r w:rsidR="00744A1C" w:rsidRPr="00C24F9C">
        <w:rPr>
          <w:rStyle w:val="libFootnoteBoldChar"/>
          <w:rtl/>
        </w:rPr>
        <w:t>الفقيه</w:t>
      </w:r>
      <w:r w:rsidR="00744A1C">
        <w:rPr>
          <w:rtl/>
          <w:lang w:bidi="fa-IR"/>
        </w:rPr>
        <w:t xml:space="preserve"> ، ج 3 ، ص 182 ، ح 3682 ، مرسلاً عن عليّ </w:t>
      </w:r>
      <w:r w:rsidR="0061079A" w:rsidRPr="0061079A">
        <w:rPr>
          <w:rStyle w:val="libFootnoteAlaemChar"/>
          <w:rtl/>
        </w:rPr>
        <w:t>عليه‌السلام</w:t>
      </w:r>
      <w:r w:rsidR="00D10E3C">
        <w:rPr>
          <w:rtl/>
          <w:lang w:bidi="fa-IR"/>
        </w:rPr>
        <w:t xml:space="preserve"> </w:t>
      </w:r>
      <w:r w:rsidR="00DA7F2B">
        <w:rPr>
          <w:rFonts w:hint="cs"/>
          <w:rtl/>
          <w:lang w:bidi="fa-IR"/>
        </w:rPr>
        <w:t>.</w:t>
      </w:r>
      <w:r w:rsidR="00744A1C" w:rsidRPr="00C24F9C">
        <w:rPr>
          <w:rStyle w:val="libFootnoteBoldChar"/>
          <w:rtl/>
        </w:rPr>
        <w:t>الوافي</w:t>
      </w:r>
      <w:r w:rsidR="00744A1C">
        <w:rPr>
          <w:rtl/>
          <w:lang w:bidi="fa-IR"/>
        </w:rPr>
        <w:t xml:space="preserve"> ، ج 17 ، ص 141 ، ح 17013 ؛ </w:t>
      </w:r>
      <w:r w:rsidR="00744A1C" w:rsidRPr="00C24F9C">
        <w:rPr>
          <w:rStyle w:val="libFootnoteBoldChar"/>
          <w:rtl/>
        </w:rPr>
        <w:t>الوسائل</w:t>
      </w:r>
      <w:r w:rsidR="00744A1C">
        <w:rPr>
          <w:rtl/>
          <w:lang w:bidi="fa-IR"/>
        </w:rPr>
        <w:t xml:space="preserve"> ، ج 18 ، ص 316 ، ذيل ح 23751 ؛ وص 327 ، ذيل ح 23776.</w:t>
      </w:r>
    </w:p>
    <w:p w:rsidR="00744A1C" w:rsidRDefault="00E378DD" w:rsidP="00E378DD">
      <w:pPr>
        <w:pStyle w:val="libFootnote0"/>
        <w:rPr>
          <w:lang w:bidi="fa-IR"/>
        </w:rPr>
      </w:pPr>
      <w:r>
        <w:rPr>
          <w:rtl/>
          <w:lang w:bidi="fa-IR"/>
        </w:rPr>
        <w:t>(7).</w:t>
      </w:r>
      <w:r w:rsidR="00744A1C">
        <w:rPr>
          <w:rtl/>
          <w:lang w:bidi="fa-IR"/>
        </w:rPr>
        <w:t xml:space="preserve"> هكذا في النسخ التي قوبلت </w:t>
      </w:r>
      <w:r w:rsidR="00744A1C" w:rsidRPr="00DA7F2B">
        <w:rPr>
          <w:rtl/>
        </w:rPr>
        <w:t>والوافي والوسائل والفقيه والتهذيب وفقه الرضا</w:t>
      </w:r>
      <w:r w:rsidR="00744A1C">
        <w:rPr>
          <w:rtl/>
          <w:lang w:bidi="fa-IR"/>
        </w:rPr>
        <w:t>. وفي المطبوع : « فينوي ».</w:t>
      </w:r>
    </w:p>
    <w:p w:rsidR="006A5060" w:rsidRDefault="006A5060" w:rsidP="00D10E3C">
      <w:pPr>
        <w:pStyle w:val="libNormal"/>
        <w:rPr>
          <w:rtl/>
          <w:lang w:bidi="fa-IR"/>
        </w:rPr>
      </w:pPr>
      <w:r>
        <w:rPr>
          <w:rtl/>
          <w:lang w:bidi="fa-IR"/>
        </w:rPr>
        <w:br w:type="page"/>
      </w:r>
    </w:p>
    <w:p w:rsidR="00144FA6" w:rsidRDefault="00744A1C" w:rsidP="00DA7F2B">
      <w:pPr>
        <w:pStyle w:val="libNormal0"/>
        <w:rPr>
          <w:rtl/>
          <w:lang w:bidi="fa-IR"/>
        </w:rPr>
      </w:pPr>
      <w:r>
        <w:rPr>
          <w:rtl/>
          <w:lang w:bidi="fa-IR"/>
        </w:rPr>
        <w:t xml:space="preserve">اللهِ - عَزَّ وَجَلَّ - حَافِظَانِ يُعِينَانِهِ عَلَى الْأَدَاءِ عَنْ </w:t>
      </w:r>
      <w:r w:rsidRPr="00D10E3C">
        <w:rPr>
          <w:rStyle w:val="libFootnotenumChar"/>
          <w:rtl/>
        </w:rPr>
        <w:t>(1)</w:t>
      </w:r>
      <w:r>
        <w:rPr>
          <w:rtl/>
          <w:lang w:bidi="fa-IR"/>
        </w:rPr>
        <w:t xml:space="preserve"> أَمَانَتِهِ </w:t>
      </w:r>
      <w:r w:rsidRPr="00D10E3C">
        <w:rPr>
          <w:rStyle w:val="libFootnotenumChar"/>
          <w:rtl/>
        </w:rPr>
        <w:t>(2)</w:t>
      </w:r>
      <w:r>
        <w:rPr>
          <w:rtl/>
          <w:lang w:bidi="fa-IR"/>
        </w:rPr>
        <w:t xml:space="preserve"> ، فَإِنْ </w:t>
      </w:r>
      <w:r w:rsidRPr="00D10E3C">
        <w:rPr>
          <w:rStyle w:val="libFootnotenumChar"/>
          <w:rtl/>
        </w:rPr>
        <w:t>(3)</w:t>
      </w:r>
      <w:r>
        <w:rPr>
          <w:rtl/>
          <w:lang w:bidi="fa-IR"/>
        </w:rPr>
        <w:t xml:space="preserve"> قَصَرَتْ </w:t>
      </w:r>
      <w:r w:rsidRPr="00D10E3C">
        <w:rPr>
          <w:rStyle w:val="libFootnotenumChar"/>
          <w:rtl/>
        </w:rPr>
        <w:t>(4)</w:t>
      </w:r>
      <w:r>
        <w:rPr>
          <w:rtl/>
          <w:lang w:bidi="fa-IR"/>
        </w:rPr>
        <w:t xml:space="preserve"> نِيَّتُهُ عَنِ </w:t>
      </w:r>
      <w:r w:rsidRPr="00D10E3C">
        <w:rPr>
          <w:rStyle w:val="libFootnotenumChar"/>
          <w:rtl/>
        </w:rPr>
        <w:t>(5)</w:t>
      </w:r>
      <w:r>
        <w:rPr>
          <w:rtl/>
          <w:lang w:bidi="fa-IR"/>
        </w:rPr>
        <w:t xml:space="preserve"> الْأَدَاءِ ، قَصَّرَا </w:t>
      </w:r>
      <w:r w:rsidRPr="00D10E3C">
        <w:rPr>
          <w:rStyle w:val="libFootnotenumChar"/>
          <w:rtl/>
        </w:rPr>
        <w:t>(6)</w:t>
      </w:r>
      <w:r>
        <w:rPr>
          <w:rtl/>
          <w:lang w:bidi="fa-IR"/>
        </w:rPr>
        <w:t xml:space="preserve"> عَنْهُ مِنَ </w:t>
      </w:r>
      <w:r w:rsidRPr="00D10E3C">
        <w:rPr>
          <w:rStyle w:val="libFootnotenumChar"/>
          <w:rtl/>
        </w:rPr>
        <w:t>(7)</w:t>
      </w:r>
      <w:r>
        <w:rPr>
          <w:rtl/>
          <w:lang w:bidi="fa-IR"/>
        </w:rPr>
        <w:t xml:space="preserve"> الْمَعُونَةِ بِقَدْرِ مَا قَصَّرَ </w:t>
      </w:r>
      <w:r w:rsidRPr="00D10E3C">
        <w:rPr>
          <w:rStyle w:val="libFootnotenumChar"/>
          <w:rtl/>
        </w:rPr>
        <w:t>(8)</w:t>
      </w:r>
      <w:r>
        <w:rPr>
          <w:rtl/>
          <w:lang w:bidi="fa-IR"/>
        </w:rPr>
        <w:t xml:space="preserve"> مِنْ نِيَّتِهِ ». </w:t>
      </w:r>
      <w:r w:rsidRPr="00D10E3C">
        <w:rPr>
          <w:rStyle w:val="libFootnotenumChar"/>
          <w:rtl/>
        </w:rPr>
        <w:t>(9)</w:t>
      </w:r>
    </w:p>
    <w:p w:rsidR="00144FA6" w:rsidRDefault="00744A1C" w:rsidP="00744A1C">
      <w:pPr>
        <w:pStyle w:val="libNormal"/>
        <w:rPr>
          <w:rtl/>
          <w:lang w:bidi="fa-IR"/>
        </w:rPr>
      </w:pPr>
      <w:r>
        <w:rPr>
          <w:rtl/>
          <w:lang w:bidi="fa-IR"/>
        </w:rPr>
        <w:t xml:space="preserve">8469 / 2. عِدَّةٌ مِنْ أَصْحَابِنَا ، عَنْ سَهْلِ بْنِ زِيَادٍ وَأَحْمَدَ بْنِ مُحَمَّدٍ ، عَنِ ابْنِ مَحْبُوبٍ ، عَنْ أَبِي أَيُّوبَ ، عَنْ سَمَاعَةَ </w:t>
      </w:r>
      <w:r w:rsidRPr="00D10E3C">
        <w:rPr>
          <w:rStyle w:val="libFootnotenumChar"/>
          <w:rtl/>
        </w:rPr>
        <w:t>(10)</w:t>
      </w:r>
      <w:r>
        <w:rPr>
          <w:rtl/>
          <w:lang w:bidi="fa-IR"/>
        </w:rPr>
        <w:t xml:space="preserve">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الرَّجُلُ مِنَّا يَكُونُ عِنْدَهُ الشَّيْ‌ءُ يَتَبَلَّغُ بِهِ </w:t>
      </w:r>
      <w:r w:rsidRPr="00D10E3C">
        <w:rPr>
          <w:rStyle w:val="libFootnotenumChar"/>
          <w:rtl/>
        </w:rPr>
        <w:t>(11)</w:t>
      </w:r>
      <w:r>
        <w:rPr>
          <w:rtl/>
          <w:lang w:bidi="fa-IR"/>
        </w:rPr>
        <w:t xml:space="preserve"> وَعَلَيْهِ دَيْنٌ ، أَيُطْعِمُهُ </w:t>
      </w:r>
      <w:r w:rsidRPr="00D10E3C">
        <w:rPr>
          <w:rStyle w:val="libFootnotenumChar"/>
          <w:rtl/>
        </w:rPr>
        <w:t>(12)</w:t>
      </w:r>
      <w:r>
        <w:rPr>
          <w:rtl/>
          <w:lang w:bidi="fa-IR"/>
        </w:rPr>
        <w:t xml:space="preserve"> عِيَالَهُ حَتّى يَأْتِيَ </w:t>
      </w:r>
      <w:r w:rsidRPr="00D10E3C">
        <w:rPr>
          <w:rStyle w:val="libFootnotenumChar"/>
          <w:rtl/>
        </w:rPr>
        <w:t>(13)</w:t>
      </w:r>
      <w:r>
        <w:rPr>
          <w:rtl/>
          <w:lang w:bidi="fa-IR"/>
        </w:rPr>
        <w:t xml:space="preserve"> اللهُ - عَزَّ وَجَلَّ </w:t>
      </w:r>
      <w:r w:rsidRPr="00D10E3C">
        <w:rPr>
          <w:rStyle w:val="libFootnotenumChar"/>
          <w:rtl/>
        </w:rPr>
        <w:t>(14)</w:t>
      </w:r>
      <w:r>
        <w:rPr>
          <w:rtl/>
          <w:lang w:bidi="fa-IR"/>
        </w:rPr>
        <w:t xml:space="preserve"> - بِمَيْسَرَةٍ ، فَيَقْضِيَ دَيْنَهُ ، أَوْ يَسْتَقْرِضُ‌</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w:t>
      </w:r>
      <w:r w:rsidR="00744A1C" w:rsidRPr="00DA7F2B">
        <w:rPr>
          <w:rtl/>
        </w:rPr>
        <w:t>والوافي</w:t>
      </w:r>
      <w:r w:rsidR="00744A1C">
        <w:rPr>
          <w:rtl/>
          <w:lang w:bidi="fa-IR"/>
        </w:rPr>
        <w:t xml:space="preserve"> : « من ».</w:t>
      </w:r>
    </w:p>
    <w:p w:rsidR="00744A1C" w:rsidRDefault="00E378DD" w:rsidP="00E378DD">
      <w:pPr>
        <w:pStyle w:val="libFootnote0"/>
        <w:rPr>
          <w:lang w:bidi="fa-IR"/>
        </w:rPr>
      </w:pPr>
      <w:r>
        <w:rPr>
          <w:rtl/>
          <w:lang w:bidi="fa-IR"/>
        </w:rPr>
        <w:t>(2).</w:t>
      </w:r>
      <w:r w:rsidR="00744A1C">
        <w:rPr>
          <w:rtl/>
          <w:lang w:bidi="fa-IR"/>
        </w:rPr>
        <w:t xml:space="preserve"> في « بخ ، بف » </w:t>
      </w:r>
      <w:r w:rsidR="00744A1C" w:rsidRPr="00DA7F2B">
        <w:rPr>
          <w:rtl/>
        </w:rPr>
        <w:t>والوافي</w:t>
      </w:r>
      <w:r w:rsidR="00744A1C">
        <w:rPr>
          <w:rtl/>
          <w:lang w:bidi="fa-IR"/>
        </w:rPr>
        <w:t xml:space="preserve"> : + « قال ».</w:t>
      </w:r>
    </w:p>
    <w:p w:rsidR="00744A1C" w:rsidRDefault="00E378DD" w:rsidP="00E378DD">
      <w:pPr>
        <w:pStyle w:val="libFootnote0"/>
        <w:rPr>
          <w:lang w:bidi="fa-IR"/>
        </w:rPr>
      </w:pPr>
      <w:r>
        <w:rPr>
          <w:rtl/>
          <w:lang w:bidi="fa-IR"/>
        </w:rPr>
        <w:t>(3).</w:t>
      </w:r>
      <w:r w:rsidR="00744A1C">
        <w:rPr>
          <w:rtl/>
          <w:lang w:bidi="fa-IR"/>
        </w:rPr>
        <w:t xml:space="preserve"> في « ط » : « وإن ».</w:t>
      </w:r>
    </w:p>
    <w:p w:rsidR="00744A1C" w:rsidRDefault="00E378DD" w:rsidP="00E378DD">
      <w:pPr>
        <w:pStyle w:val="libFootnote0"/>
        <w:rPr>
          <w:lang w:bidi="fa-IR"/>
        </w:rPr>
      </w:pPr>
      <w:r>
        <w:rPr>
          <w:rtl/>
          <w:lang w:bidi="fa-IR"/>
        </w:rPr>
        <w:t>(4).</w:t>
      </w:r>
      <w:r w:rsidR="00744A1C">
        <w:rPr>
          <w:rtl/>
          <w:lang w:bidi="fa-IR"/>
        </w:rPr>
        <w:t xml:space="preserve"> في « بخ ، بف » : « قصر ».</w:t>
      </w:r>
    </w:p>
    <w:tbl>
      <w:tblPr>
        <w:tblStyle w:val="TableGrid"/>
        <w:bidiVisual/>
        <w:tblW w:w="0" w:type="auto"/>
        <w:tblLook w:val="04A0" w:firstRow="1" w:lastRow="0" w:firstColumn="1" w:lastColumn="0" w:noHBand="0" w:noVBand="1"/>
      </w:tblPr>
      <w:tblGrid>
        <w:gridCol w:w="4006"/>
        <w:gridCol w:w="4006"/>
      </w:tblGrid>
      <w:tr w:rsidR="00DA7F2B" w:rsidTr="00DA7F2B">
        <w:tc>
          <w:tcPr>
            <w:tcW w:w="4006" w:type="dxa"/>
          </w:tcPr>
          <w:p w:rsidR="00DA7F2B" w:rsidRDefault="00DA7F2B" w:rsidP="00E378DD">
            <w:pPr>
              <w:pStyle w:val="libFootnote0"/>
              <w:rPr>
                <w:rtl/>
                <w:lang w:bidi="fa-IR"/>
              </w:rPr>
            </w:pPr>
            <w:r>
              <w:rPr>
                <w:rtl/>
                <w:lang w:bidi="fa-IR"/>
              </w:rPr>
              <w:t>(5). في « ى » : « على ».</w:t>
            </w:r>
          </w:p>
        </w:tc>
        <w:tc>
          <w:tcPr>
            <w:tcW w:w="4006" w:type="dxa"/>
          </w:tcPr>
          <w:p w:rsidR="00DA7F2B" w:rsidRDefault="00DA7F2B" w:rsidP="00E378DD">
            <w:pPr>
              <w:pStyle w:val="libFootnote0"/>
              <w:rPr>
                <w:rtl/>
                <w:lang w:bidi="fa-IR"/>
              </w:rPr>
            </w:pPr>
            <w:r>
              <w:rPr>
                <w:rtl/>
                <w:lang w:bidi="fa-IR"/>
              </w:rPr>
              <w:t>(6).</w:t>
            </w:r>
            <w:r w:rsidR="008E59AA">
              <w:rPr>
                <w:rtl/>
                <w:lang w:bidi="fa-IR"/>
              </w:rPr>
              <w:t xml:space="preserve"> في «ط،ى،بح،بس،جت،جد»</w:t>
            </w:r>
            <w:r w:rsidRPr="008E59AA">
              <w:rPr>
                <w:rtl/>
              </w:rPr>
              <w:t>والوسائل</w:t>
            </w:r>
            <w:r>
              <w:rPr>
                <w:rtl/>
                <w:lang w:bidi="fa-IR"/>
              </w:rPr>
              <w:t xml:space="preserve"> </w:t>
            </w:r>
            <w:r w:rsidR="008E59AA">
              <w:rPr>
                <w:rtl/>
                <w:lang w:bidi="fa-IR"/>
              </w:rPr>
              <w:t>:«قصر</w:t>
            </w:r>
            <w:r>
              <w:rPr>
                <w:rtl/>
                <w:lang w:bidi="fa-IR"/>
              </w:rPr>
              <w:t>».</w:t>
            </w:r>
          </w:p>
        </w:tc>
      </w:tr>
      <w:tr w:rsidR="00DA7F2B" w:rsidTr="00DA7F2B">
        <w:tc>
          <w:tcPr>
            <w:tcW w:w="4006" w:type="dxa"/>
          </w:tcPr>
          <w:p w:rsidR="00DA7F2B" w:rsidRDefault="00DA7F2B" w:rsidP="00E378DD">
            <w:pPr>
              <w:pStyle w:val="libFootnote0"/>
              <w:rPr>
                <w:rtl/>
                <w:lang w:bidi="fa-IR"/>
              </w:rPr>
            </w:pPr>
            <w:r>
              <w:rPr>
                <w:rtl/>
                <w:lang w:bidi="fa-IR"/>
              </w:rPr>
              <w:t>(7). في « ط ، جت » : « عن ».</w:t>
            </w:r>
          </w:p>
        </w:tc>
        <w:tc>
          <w:tcPr>
            <w:tcW w:w="4006" w:type="dxa"/>
          </w:tcPr>
          <w:p w:rsidR="00DA7F2B" w:rsidRDefault="008E59AA" w:rsidP="00E378DD">
            <w:pPr>
              <w:pStyle w:val="libFootnote0"/>
              <w:rPr>
                <w:rtl/>
                <w:lang w:bidi="fa-IR"/>
              </w:rPr>
            </w:pPr>
            <w:r>
              <w:rPr>
                <w:rtl/>
                <w:lang w:bidi="fa-IR"/>
              </w:rPr>
              <w:t>(8). في«ط،ى،بح،بس،جن»وحاشية «جت»:«يقصر».</w:t>
            </w:r>
          </w:p>
        </w:tc>
      </w:tr>
    </w:tbl>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185 ، ح 384 ، معلّقاً عن أحمد بن محمّد. </w:t>
      </w:r>
      <w:r w:rsidR="00744A1C" w:rsidRPr="00C24F9C">
        <w:rPr>
          <w:rStyle w:val="libFootnoteBoldChar"/>
          <w:rtl/>
        </w:rPr>
        <w:t>الفقيه</w:t>
      </w:r>
      <w:r w:rsidR="00744A1C">
        <w:rPr>
          <w:rtl/>
          <w:lang w:bidi="fa-IR"/>
        </w:rPr>
        <w:t xml:space="preserve"> ، ج 3 ، ص 183 ، ح 3687 ، مرسلاً.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257. وراجع : </w:t>
      </w:r>
      <w:r w:rsidR="00744A1C" w:rsidRPr="006368D2">
        <w:rPr>
          <w:rStyle w:val="libFootnoteBoldChar"/>
          <w:rtl/>
        </w:rPr>
        <w:t>الأمالي للمفيد</w:t>
      </w:r>
      <w:r w:rsidR="00744A1C">
        <w:rPr>
          <w:rtl/>
          <w:lang w:bidi="fa-IR"/>
        </w:rPr>
        <w:t xml:space="preserve"> ، ص 95 ، المجلس 7 ، ح 11 </w:t>
      </w:r>
      <w:r w:rsidR="008E59AA">
        <w:rPr>
          <w:rFonts w:hint="cs"/>
          <w:rtl/>
          <w:lang w:bidi="fa-IR"/>
        </w:rPr>
        <w:t>.</w:t>
      </w:r>
      <w:r w:rsidR="00744A1C" w:rsidRPr="00C24F9C">
        <w:rPr>
          <w:rStyle w:val="libFootnoteBoldChar"/>
          <w:rtl/>
        </w:rPr>
        <w:t>الوافي</w:t>
      </w:r>
      <w:r w:rsidR="00744A1C">
        <w:rPr>
          <w:rtl/>
          <w:lang w:bidi="fa-IR"/>
        </w:rPr>
        <w:t xml:space="preserve"> ، ج 18 ، ص 786 ، ح 18292 ؛ </w:t>
      </w:r>
      <w:r w:rsidR="00744A1C" w:rsidRPr="00C24F9C">
        <w:rPr>
          <w:rStyle w:val="libFootnoteBoldChar"/>
          <w:rtl/>
        </w:rPr>
        <w:t>الوسائل</w:t>
      </w:r>
      <w:r w:rsidR="00744A1C">
        <w:rPr>
          <w:rtl/>
          <w:lang w:bidi="fa-IR"/>
        </w:rPr>
        <w:t xml:space="preserve"> ، ج 18 ، ص 328 ، ح 23780.</w:t>
      </w:r>
    </w:p>
    <w:p w:rsidR="00744A1C" w:rsidRDefault="00E378DD" w:rsidP="00E378DD">
      <w:pPr>
        <w:pStyle w:val="libFootnote0"/>
        <w:rPr>
          <w:lang w:bidi="fa-IR"/>
        </w:rPr>
      </w:pPr>
      <w:r>
        <w:rPr>
          <w:rtl/>
          <w:lang w:bidi="fa-IR"/>
        </w:rPr>
        <w:t>(10).</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6 ، ص 185 ، ح 383 ، عن الحسن بن محبوب عن أبي أيّوب عن سلمة ، وهو سهو ظاهراً ؛ فقد تكرّرت رواية [ الحسن ] بن محبوب عن أبي أيّوب عن سماعة [ بن مهران ] في الأسناد. ولم نجد رواية ابن محبوب عن أبي أيّوب عن سلمة في موضع. راجع : </w:t>
      </w:r>
      <w:r w:rsidR="00744A1C" w:rsidRPr="0061079A">
        <w:rPr>
          <w:rStyle w:val="libFootnoteBoldChar"/>
          <w:rtl/>
        </w:rPr>
        <w:t>معجم رجال الحديث</w:t>
      </w:r>
      <w:r w:rsidR="00744A1C">
        <w:rPr>
          <w:rtl/>
          <w:lang w:bidi="fa-IR"/>
        </w:rPr>
        <w:t xml:space="preserve"> ، ج 21 ، ص 288 - 289.</w:t>
      </w:r>
    </w:p>
    <w:p w:rsidR="00744A1C" w:rsidRDefault="00744A1C" w:rsidP="00D10E3C">
      <w:pPr>
        <w:pStyle w:val="libFootnote0"/>
        <w:rPr>
          <w:lang w:bidi="fa-IR"/>
        </w:rPr>
      </w:pPr>
      <w:r>
        <w:rPr>
          <w:rtl/>
          <w:lang w:bidi="fa-IR"/>
        </w:rPr>
        <w:t xml:space="preserve">ويؤيّد ذلك أنّ الخبر أورده ابن إدريس في مستطرفات </w:t>
      </w:r>
      <w:r w:rsidRPr="00877682">
        <w:rPr>
          <w:rStyle w:val="libFootnoteBoldChar"/>
          <w:rtl/>
        </w:rPr>
        <w:t>السرائر</w:t>
      </w:r>
      <w:r>
        <w:rPr>
          <w:rtl/>
          <w:lang w:bidi="fa-IR"/>
        </w:rPr>
        <w:t xml:space="preserve"> نقلاً من كتاب المشيخة للحسن بن محبوب عن أبي أيّوب عن سماعة. راجع : </w:t>
      </w:r>
      <w:r w:rsidRPr="00877682">
        <w:rPr>
          <w:rStyle w:val="libFootnoteBoldChar"/>
          <w:rtl/>
        </w:rPr>
        <w:t>السرائر</w:t>
      </w:r>
      <w:r>
        <w:rPr>
          <w:rtl/>
          <w:lang w:bidi="fa-IR"/>
        </w:rPr>
        <w:t xml:space="preserve"> ، ج 3 ، ص 590.</w:t>
      </w:r>
    </w:p>
    <w:p w:rsidR="00744A1C" w:rsidRDefault="00E378DD" w:rsidP="00E378DD">
      <w:pPr>
        <w:pStyle w:val="libFootnote0"/>
        <w:rPr>
          <w:lang w:bidi="fa-IR"/>
        </w:rPr>
      </w:pPr>
      <w:r>
        <w:rPr>
          <w:rtl/>
          <w:lang w:bidi="fa-IR"/>
        </w:rPr>
        <w:t>(11).</w:t>
      </w:r>
      <w:r w:rsidR="00744A1C">
        <w:rPr>
          <w:rtl/>
          <w:lang w:bidi="fa-IR"/>
        </w:rPr>
        <w:t xml:space="preserve"> في </w:t>
      </w:r>
      <w:r w:rsidR="00744A1C" w:rsidRPr="00E978C3">
        <w:rPr>
          <w:rStyle w:val="libFootnoteBoldChar"/>
          <w:rtl/>
        </w:rPr>
        <w:t>الصحاح</w:t>
      </w:r>
      <w:r w:rsidR="00744A1C">
        <w:rPr>
          <w:rtl/>
          <w:lang w:bidi="fa-IR"/>
        </w:rPr>
        <w:t xml:space="preserve"> : « وتَبَلَّغَ بكذا ، أي اكتفى به ». وفي </w:t>
      </w:r>
      <w:r w:rsidR="00744A1C" w:rsidRPr="00C24F9C">
        <w:rPr>
          <w:rStyle w:val="libFootnoteBoldChar"/>
          <w:rtl/>
        </w:rPr>
        <w:t>الوافي</w:t>
      </w:r>
      <w:r w:rsidR="00744A1C">
        <w:rPr>
          <w:rtl/>
          <w:lang w:bidi="fa-IR"/>
        </w:rPr>
        <w:t xml:space="preserve"> : « يتبلّغ به : يتوصّل به إلى المعاش » ، وكأنّه اقتباس من‌كلام ابن الأثير في </w:t>
      </w:r>
      <w:r w:rsidR="00744A1C" w:rsidRPr="00877682">
        <w:rPr>
          <w:rStyle w:val="libFootnoteBoldChar"/>
          <w:rtl/>
        </w:rPr>
        <w:t>النهاية</w:t>
      </w:r>
      <w:r w:rsidR="00744A1C">
        <w:rPr>
          <w:rtl/>
          <w:lang w:bidi="fa-IR"/>
        </w:rPr>
        <w:t xml:space="preserve"> : « البلاغ : ما يُتَبَلَّغُ ويُتَوصّل به إلى الشي‌ء المطلوب ». </w:t>
      </w:r>
      <w:r w:rsidR="00744A1C" w:rsidRPr="00E978C3">
        <w:rPr>
          <w:rStyle w:val="libFootnoteBoldChar"/>
          <w:rtl/>
        </w:rPr>
        <w:t>الصحاح</w:t>
      </w:r>
      <w:r w:rsidR="00744A1C">
        <w:rPr>
          <w:rtl/>
          <w:lang w:bidi="fa-IR"/>
        </w:rPr>
        <w:t xml:space="preserve"> ، ج 4 ، ص 131 ؛ </w:t>
      </w:r>
      <w:r w:rsidR="00744A1C" w:rsidRPr="00877682">
        <w:rPr>
          <w:rStyle w:val="libFootnoteBoldChar"/>
          <w:rtl/>
        </w:rPr>
        <w:t>النهاية</w:t>
      </w:r>
      <w:r w:rsidR="00744A1C">
        <w:rPr>
          <w:rtl/>
          <w:lang w:bidi="fa-IR"/>
        </w:rPr>
        <w:t xml:space="preserve"> ، ج 1 ، ص 152 ( بلغ ).</w:t>
      </w:r>
    </w:p>
    <w:p w:rsidR="00744A1C" w:rsidRDefault="00E378DD" w:rsidP="008E59AA">
      <w:pPr>
        <w:pStyle w:val="libFootnote0"/>
        <w:rPr>
          <w:lang w:bidi="fa-IR"/>
        </w:rPr>
      </w:pPr>
      <w:r>
        <w:rPr>
          <w:rtl/>
          <w:lang w:bidi="fa-IR"/>
        </w:rPr>
        <w:t>(12).</w:t>
      </w:r>
      <w:r w:rsidR="00744A1C">
        <w:rPr>
          <w:rtl/>
          <w:lang w:bidi="fa-IR"/>
        </w:rPr>
        <w:t xml:space="preserve"> في </w:t>
      </w:r>
      <w:r w:rsidR="00744A1C" w:rsidRPr="00877682">
        <w:rPr>
          <w:rStyle w:val="libFootnoteBoldChar"/>
          <w:rtl/>
        </w:rPr>
        <w:t>مرآة العقول</w:t>
      </w:r>
      <w:r w:rsidR="00744A1C">
        <w:rPr>
          <w:rtl/>
          <w:lang w:bidi="fa-IR"/>
        </w:rPr>
        <w:t xml:space="preserve"> ، ج 19 ، ص 47 : « قوله : أيطعمه ، أي لا يؤدّي الدين ويطعم ما في يده عياله ، أو يؤدّيه ممّا في‌يده ، فإن أدّى فإمّا أن يستقرض على ظهره ، أي بلاعين مال يكون الدين عليه ، أو يأخذ الصدقة ، فأمره </w:t>
      </w:r>
      <w:r w:rsidR="0061079A" w:rsidRPr="0061079A">
        <w:rPr>
          <w:rStyle w:val="libFootnoteAlaemChar"/>
          <w:rtl/>
        </w:rPr>
        <w:t>عليه‌السلام</w:t>
      </w:r>
      <w:r w:rsidR="00D10E3C">
        <w:rPr>
          <w:rtl/>
          <w:lang w:bidi="fa-IR"/>
        </w:rPr>
        <w:t xml:space="preserve"> </w:t>
      </w:r>
      <w:r w:rsidR="00744A1C">
        <w:rPr>
          <w:rtl/>
          <w:lang w:bidi="fa-IR"/>
        </w:rPr>
        <w:t>بردّ الدين وقبول الصدقة ».</w:t>
      </w:r>
      <w:r w:rsidR="008E59AA">
        <w:rPr>
          <w:rFonts w:hint="cs"/>
          <w:rtl/>
          <w:lang w:bidi="fa-IR"/>
        </w:rPr>
        <w:t xml:space="preserve">                           </w:t>
      </w:r>
      <w:r>
        <w:rPr>
          <w:rtl/>
          <w:lang w:bidi="fa-IR"/>
        </w:rPr>
        <w:t>(13).</w:t>
      </w:r>
      <w:r w:rsidR="00744A1C">
        <w:rPr>
          <w:rtl/>
          <w:lang w:bidi="fa-IR"/>
        </w:rPr>
        <w:t xml:space="preserve"> في </w:t>
      </w:r>
      <w:r w:rsidR="00744A1C" w:rsidRPr="008E59AA">
        <w:rPr>
          <w:rtl/>
        </w:rPr>
        <w:t>الوسائل والفقيه وتفسير العيّاشي</w:t>
      </w:r>
      <w:r w:rsidR="00744A1C">
        <w:rPr>
          <w:rtl/>
          <w:lang w:bidi="fa-IR"/>
        </w:rPr>
        <w:t xml:space="preserve"> : « يأتيه ».</w:t>
      </w:r>
    </w:p>
    <w:p w:rsidR="00744A1C" w:rsidRDefault="00E378DD" w:rsidP="00E378DD">
      <w:pPr>
        <w:pStyle w:val="libFootnote0"/>
        <w:rPr>
          <w:lang w:bidi="fa-IR"/>
        </w:rPr>
      </w:pPr>
      <w:r>
        <w:rPr>
          <w:rtl/>
          <w:lang w:bidi="fa-IR"/>
        </w:rPr>
        <w:t>(14).</w:t>
      </w:r>
      <w:r w:rsidR="00744A1C">
        <w:rPr>
          <w:rtl/>
          <w:lang w:bidi="fa-IR"/>
        </w:rPr>
        <w:t xml:space="preserve"> في « ى » : + « عليه ».</w:t>
      </w:r>
    </w:p>
    <w:p w:rsidR="006A5060" w:rsidRDefault="006A5060" w:rsidP="00D10E3C">
      <w:pPr>
        <w:pStyle w:val="libNormal"/>
        <w:rPr>
          <w:rtl/>
          <w:lang w:bidi="fa-IR"/>
        </w:rPr>
      </w:pPr>
      <w:r>
        <w:rPr>
          <w:rtl/>
          <w:lang w:bidi="fa-IR"/>
        </w:rPr>
        <w:br w:type="page"/>
      </w:r>
    </w:p>
    <w:p w:rsidR="00744A1C" w:rsidRDefault="00744A1C" w:rsidP="008E59AA">
      <w:pPr>
        <w:pStyle w:val="libNormal0"/>
        <w:rPr>
          <w:lang w:bidi="fa-IR"/>
        </w:rPr>
      </w:pPr>
      <w:r>
        <w:rPr>
          <w:rtl/>
          <w:lang w:bidi="fa-IR"/>
        </w:rPr>
        <w:t xml:space="preserve">عَلى ظَهْرِهِ </w:t>
      </w:r>
      <w:r w:rsidRPr="00D10E3C">
        <w:rPr>
          <w:rStyle w:val="libFootnotenumChar"/>
          <w:rtl/>
        </w:rPr>
        <w:t>(1)</w:t>
      </w:r>
      <w:r>
        <w:rPr>
          <w:rtl/>
          <w:lang w:bidi="fa-IR"/>
        </w:rPr>
        <w:t xml:space="preserve"> فِي خُبْثِ الزَّمَانِ وَشِدَّةِ الْمَكَاسِبِ ، أَوْ يَقْبَلُ </w:t>
      </w:r>
      <w:r w:rsidRPr="00D10E3C">
        <w:rPr>
          <w:rStyle w:val="libFootnotenumChar"/>
          <w:rtl/>
        </w:rPr>
        <w:t>(2)</w:t>
      </w:r>
      <w:r>
        <w:rPr>
          <w:rtl/>
          <w:lang w:bidi="fa-IR"/>
        </w:rPr>
        <w:t xml:space="preserve"> الصَّدَقَةَ؟</w:t>
      </w:r>
    </w:p>
    <w:p w:rsidR="00144FA6" w:rsidRDefault="00744A1C" w:rsidP="00744A1C">
      <w:pPr>
        <w:pStyle w:val="libNormal"/>
        <w:rPr>
          <w:rtl/>
          <w:lang w:bidi="fa-IR"/>
        </w:rPr>
      </w:pPr>
      <w:r>
        <w:rPr>
          <w:rtl/>
          <w:lang w:bidi="fa-IR"/>
        </w:rPr>
        <w:t xml:space="preserve">قَالَ : « يَقْضِي بِمَا عِنْدَهُ دَيْنَهُ </w:t>
      </w:r>
      <w:r w:rsidRPr="00D10E3C">
        <w:rPr>
          <w:rStyle w:val="libFootnotenumChar"/>
          <w:rtl/>
        </w:rPr>
        <w:t>(3)</w:t>
      </w:r>
      <w:r>
        <w:rPr>
          <w:rtl/>
          <w:lang w:bidi="fa-IR"/>
        </w:rPr>
        <w:t xml:space="preserve"> ، وَلَا يَأْكُلْ </w:t>
      </w:r>
      <w:r w:rsidRPr="00D10E3C">
        <w:rPr>
          <w:rStyle w:val="libFootnotenumChar"/>
          <w:rtl/>
        </w:rPr>
        <w:t>(4)</w:t>
      </w:r>
      <w:r w:rsidR="008E59AA">
        <w:rPr>
          <w:rtl/>
          <w:lang w:bidi="fa-IR"/>
        </w:rPr>
        <w:t xml:space="preserve"> أَمْوَالَ النَّاسِ إِل</w:t>
      </w:r>
      <w:r w:rsidR="008E59AA">
        <w:rPr>
          <w:rFonts w:hint="cs"/>
          <w:rtl/>
          <w:lang w:bidi="fa-IR"/>
        </w:rPr>
        <w:t>َّ</w:t>
      </w:r>
      <w:r w:rsidR="008E59AA">
        <w:rPr>
          <w:rtl/>
          <w:lang w:bidi="fa-IR"/>
        </w:rPr>
        <w:t>ا</w:t>
      </w:r>
      <w:r>
        <w:rPr>
          <w:rtl/>
          <w:lang w:bidi="fa-IR"/>
        </w:rPr>
        <w:t xml:space="preserve"> وَعِنْدَهُ مَا يُؤَدِّي إِلَيْهِمْ حُقُوقَهُمْ ؛ إِنَّ اللهَ - عَزَّ وَجَلَّ - يَقُولُ : </w:t>
      </w:r>
      <w:r w:rsidRPr="008E59AA">
        <w:rPr>
          <w:rStyle w:val="libAlaemChar"/>
          <w:rtl/>
        </w:rPr>
        <w:t>(</w:t>
      </w:r>
      <w:r w:rsidRPr="008E59AA">
        <w:rPr>
          <w:rStyle w:val="libAieChar"/>
          <w:rtl/>
        </w:rPr>
        <w:t xml:space="preserve"> لا تَأْكُلُوا أَمْوالَك</w:t>
      </w:r>
      <w:r w:rsidR="008E59AA">
        <w:rPr>
          <w:rStyle w:val="libAieChar"/>
          <w:rtl/>
        </w:rPr>
        <w:t>ُمْ بَيْنَكُمْ بِالْباطِلِ إِل</w:t>
      </w:r>
      <w:r w:rsidR="008E59AA">
        <w:rPr>
          <w:rStyle w:val="libAieChar"/>
          <w:rFonts w:hint="cs"/>
          <w:rtl/>
        </w:rPr>
        <w:t>َّ</w:t>
      </w:r>
      <w:r w:rsidR="008E59AA">
        <w:rPr>
          <w:rStyle w:val="libAieChar"/>
          <w:rtl/>
        </w:rPr>
        <w:t>ا</w:t>
      </w:r>
      <w:r w:rsidRPr="008E59AA">
        <w:rPr>
          <w:rStyle w:val="libAieChar"/>
          <w:rtl/>
        </w:rPr>
        <w:t xml:space="preserve"> أَنْ تَكُونَ تِجارَةً عَنْ تَراضٍ مِنْكُمْ </w:t>
      </w:r>
      <w:r w:rsidRPr="008E59AA">
        <w:rPr>
          <w:rStyle w:val="libAlaemChar"/>
          <w:rtl/>
        </w:rPr>
        <w:t>)</w:t>
      </w:r>
      <w:r>
        <w:rPr>
          <w:rtl/>
          <w:lang w:bidi="fa-IR"/>
        </w:rPr>
        <w:t xml:space="preserve"> </w:t>
      </w:r>
      <w:r w:rsidRPr="00D10E3C">
        <w:rPr>
          <w:rStyle w:val="libFootnotenumChar"/>
          <w:rtl/>
        </w:rPr>
        <w:t>(5)</w:t>
      </w:r>
      <w:r>
        <w:rPr>
          <w:rtl/>
          <w:lang w:bidi="fa-IR"/>
        </w:rPr>
        <w:t xml:space="preserve"> وَلَا ي</w:t>
      </w:r>
      <w:r w:rsidR="008E59AA">
        <w:rPr>
          <w:rtl/>
          <w:lang w:bidi="fa-IR"/>
        </w:rPr>
        <w:t>َسْتَقْرِضْ عَلى ظَهْرِهِ إِل</w:t>
      </w:r>
      <w:r w:rsidR="008E59AA">
        <w:rPr>
          <w:rFonts w:hint="cs"/>
          <w:rtl/>
          <w:lang w:bidi="fa-IR"/>
        </w:rPr>
        <w:t>َّ</w:t>
      </w:r>
      <w:r w:rsidR="008E59AA">
        <w:rPr>
          <w:rtl/>
          <w:lang w:bidi="fa-IR"/>
        </w:rPr>
        <w:t>ا</w:t>
      </w:r>
      <w:r>
        <w:rPr>
          <w:rtl/>
          <w:lang w:bidi="fa-IR"/>
        </w:rPr>
        <w:t xml:space="preserve"> وَعِنْدَهُ وَفَاءٌ وَلَوْ طَافَ عَلى أَبْوَابِ النَّاسِ فَرَدُّوهُ بِاللُّقْمَةِ وَاللُّقْمَتَيْنِ وَالتَّم</w:t>
      </w:r>
      <w:r w:rsidR="008E59AA">
        <w:rPr>
          <w:rtl/>
          <w:lang w:bidi="fa-IR"/>
        </w:rPr>
        <w:t>ْرَةِ وَالتَّمْرَتَيْنِ ، إِل</w:t>
      </w:r>
      <w:r w:rsidR="008E59AA">
        <w:rPr>
          <w:rFonts w:hint="cs"/>
          <w:rtl/>
          <w:lang w:bidi="fa-IR"/>
        </w:rPr>
        <w:t>َّ</w:t>
      </w:r>
      <w:r w:rsidR="008E59AA">
        <w:rPr>
          <w:rtl/>
          <w:lang w:bidi="fa-IR"/>
        </w:rPr>
        <w:t>ا</w:t>
      </w:r>
      <w:r>
        <w:rPr>
          <w:rtl/>
          <w:lang w:bidi="fa-IR"/>
        </w:rPr>
        <w:t xml:space="preserve"> أَنْ يَكُونَ لَهُ وَلِيٌّ </w:t>
      </w:r>
      <w:r w:rsidRPr="00D10E3C">
        <w:rPr>
          <w:rStyle w:val="libFootnotenumChar"/>
          <w:rtl/>
        </w:rPr>
        <w:t>(6)</w:t>
      </w:r>
      <w:r>
        <w:rPr>
          <w:rtl/>
          <w:lang w:bidi="fa-IR"/>
        </w:rPr>
        <w:t xml:space="preserve"> يَقْضِي دَيْنَهُ مِنْ بَعْدِهِ ؛ لَيْسَ </w:t>
      </w:r>
      <w:r w:rsidRPr="00D10E3C">
        <w:rPr>
          <w:rStyle w:val="libFootnotenumChar"/>
          <w:rtl/>
        </w:rPr>
        <w:t>(7)</w:t>
      </w:r>
      <w:r>
        <w:rPr>
          <w:rtl/>
          <w:lang w:bidi="fa-IR"/>
        </w:rPr>
        <w:t xml:space="preserve"> مِنَّا مِنْ مَيِّتٍ </w:t>
      </w:r>
      <w:r w:rsidRPr="00D10E3C">
        <w:rPr>
          <w:rStyle w:val="libFootnotenumChar"/>
          <w:rtl/>
        </w:rPr>
        <w:t>(8)</w:t>
      </w:r>
      <w:r w:rsidR="008E59AA">
        <w:rPr>
          <w:rtl/>
          <w:lang w:bidi="fa-IR"/>
        </w:rPr>
        <w:t xml:space="preserve"> إِل</w:t>
      </w:r>
      <w:r w:rsidR="008E59AA">
        <w:rPr>
          <w:rFonts w:hint="cs"/>
          <w:rtl/>
          <w:lang w:bidi="fa-IR"/>
        </w:rPr>
        <w:t>َّ</w:t>
      </w:r>
      <w:r w:rsidR="008E59AA">
        <w:rPr>
          <w:rtl/>
          <w:lang w:bidi="fa-IR"/>
        </w:rPr>
        <w:t>ا</w:t>
      </w:r>
      <w:r>
        <w:rPr>
          <w:rtl/>
          <w:lang w:bidi="fa-IR"/>
        </w:rPr>
        <w:t xml:space="preserve"> جَعَلَ </w:t>
      </w:r>
      <w:r w:rsidRPr="00D10E3C">
        <w:rPr>
          <w:rStyle w:val="libFootnotenumChar"/>
          <w:rtl/>
        </w:rPr>
        <w:t>(9)</w:t>
      </w:r>
      <w:r>
        <w:rPr>
          <w:rtl/>
          <w:lang w:bidi="fa-IR"/>
        </w:rPr>
        <w:t xml:space="preserve"> اللهُ - عَزَّ وَجَلَّ - لَهُ وَلِيّاً يَقُومُ فِي عِدَتِهِ </w:t>
      </w:r>
      <w:r w:rsidRPr="00D10E3C">
        <w:rPr>
          <w:rStyle w:val="libFootnotenumChar"/>
          <w:rtl/>
        </w:rPr>
        <w:t>(10)</w:t>
      </w:r>
      <w:r>
        <w:rPr>
          <w:rtl/>
          <w:lang w:bidi="fa-IR"/>
        </w:rPr>
        <w:t xml:space="preserve"> وَدَيْنِهِ ، فَيَقْضِي عِدَتَهُ وَدَيْنَهُ ». </w:t>
      </w:r>
      <w:r w:rsidRPr="00D10E3C">
        <w:rPr>
          <w:rStyle w:val="libFootnotenumChar"/>
          <w:rtl/>
        </w:rPr>
        <w:t>(11)</w:t>
      </w:r>
    </w:p>
    <w:p w:rsidR="00144FA6" w:rsidRDefault="00744A1C" w:rsidP="00744A1C">
      <w:pPr>
        <w:pStyle w:val="libNormal"/>
        <w:rPr>
          <w:rtl/>
          <w:lang w:bidi="fa-IR"/>
        </w:rPr>
      </w:pPr>
      <w:r>
        <w:rPr>
          <w:rtl/>
          <w:lang w:bidi="fa-IR"/>
        </w:rPr>
        <w:t xml:space="preserve">8470 / 3. عَلِيُّ بْنُ إِبْرَاهِيمَ ، عَنْ أَبِيهِ </w:t>
      </w:r>
      <w:r w:rsidRPr="00D10E3C">
        <w:rPr>
          <w:rStyle w:val="libFootnotenumChar"/>
          <w:rtl/>
        </w:rPr>
        <w:t>(12)</w:t>
      </w:r>
      <w:r>
        <w:rPr>
          <w:rtl/>
          <w:lang w:bidi="fa-IR"/>
        </w:rPr>
        <w:t xml:space="preserve"> ، عَنِ النَّضْرِ بْنِ سُوَيْدٍ ، عَنِ الْحَلَبِيِّ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بح ، بس ، جد ، جن » وحاشية « بح ، جت » </w:t>
      </w:r>
      <w:r w:rsidR="00744A1C" w:rsidRPr="008E59AA">
        <w:rPr>
          <w:rtl/>
        </w:rPr>
        <w:t>والوسائل</w:t>
      </w:r>
      <w:r w:rsidR="00744A1C">
        <w:rPr>
          <w:rtl/>
          <w:lang w:bidi="fa-IR"/>
        </w:rPr>
        <w:t xml:space="preserve"> : « نفسه ». وفي </w:t>
      </w:r>
      <w:r w:rsidR="00744A1C" w:rsidRPr="00C24F9C">
        <w:rPr>
          <w:rStyle w:val="libFootnoteBoldChar"/>
          <w:rtl/>
        </w:rPr>
        <w:t>الوافي</w:t>
      </w:r>
      <w:r w:rsidR="00744A1C">
        <w:rPr>
          <w:rtl/>
          <w:lang w:bidi="fa-IR"/>
        </w:rPr>
        <w:t xml:space="preserve"> : « ضمّن الاستقراض معنى الحمل ، أي حال كونه حاملاً ثقل الدين على ظهره. وفي نسخ </w:t>
      </w:r>
      <w:r w:rsidR="00744A1C" w:rsidRPr="00C24F9C">
        <w:rPr>
          <w:rStyle w:val="libFootnoteBoldChar"/>
          <w:rtl/>
        </w:rPr>
        <w:t>التهذيب</w:t>
      </w:r>
      <w:r w:rsidR="00744A1C">
        <w:rPr>
          <w:rtl/>
          <w:lang w:bidi="fa-IR"/>
        </w:rPr>
        <w:t xml:space="preserve"> : في خيب الزمان ، بالياء المثنّاة التحتانيّة ، ثمّ الباء الموحّدة ، ومعناه الحرمان والخسران ».</w:t>
      </w:r>
    </w:p>
    <w:tbl>
      <w:tblPr>
        <w:tblStyle w:val="TableGrid"/>
        <w:bidiVisual/>
        <w:tblW w:w="0" w:type="auto"/>
        <w:tblLook w:val="04A0" w:firstRow="1" w:lastRow="0" w:firstColumn="1" w:lastColumn="0" w:noHBand="0" w:noVBand="1"/>
      </w:tblPr>
      <w:tblGrid>
        <w:gridCol w:w="4006"/>
        <w:gridCol w:w="4006"/>
      </w:tblGrid>
      <w:tr w:rsidR="008E59AA" w:rsidTr="008E59AA">
        <w:tc>
          <w:tcPr>
            <w:tcW w:w="4006" w:type="dxa"/>
          </w:tcPr>
          <w:p w:rsidR="008E59AA" w:rsidRDefault="008E59AA" w:rsidP="00E378DD">
            <w:pPr>
              <w:pStyle w:val="libFootnote0"/>
              <w:rPr>
                <w:rtl/>
                <w:lang w:bidi="fa-IR"/>
              </w:rPr>
            </w:pPr>
            <w:r>
              <w:rPr>
                <w:rtl/>
                <w:lang w:bidi="fa-IR"/>
              </w:rPr>
              <w:t>(2). في « بخ » : « ويقبل ».</w:t>
            </w:r>
          </w:p>
        </w:tc>
        <w:tc>
          <w:tcPr>
            <w:tcW w:w="4006" w:type="dxa"/>
          </w:tcPr>
          <w:p w:rsidR="008E59AA" w:rsidRDefault="008E59AA" w:rsidP="00E378DD">
            <w:pPr>
              <w:pStyle w:val="libFootnote0"/>
              <w:rPr>
                <w:rtl/>
                <w:lang w:bidi="fa-IR"/>
              </w:rPr>
            </w:pPr>
            <w:r>
              <w:rPr>
                <w:rtl/>
                <w:lang w:bidi="fa-IR"/>
              </w:rPr>
              <w:t xml:space="preserve">(3). في </w:t>
            </w:r>
            <w:r w:rsidRPr="008E59AA">
              <w:rPr>
                <w:rtl/>
              </w:rPr>
              <w:t>تفسير العيّاشي</w:t>
            </w:r>
            <w:r>
              <w:rPr>
                <w:rtl/>
                <w:lang w:bidi="fa-IR"/>
              </w:rPr>
              <w:t xml:space="preserve"> : + « ويقبل الصدقة ».</w:t>
            </w:r>
          </w:p>
        </w:tc>
      </w:tr>
      <w:tr w:rsidR="008E59AA" w:rsidTr="008E59AA">
        <w:tc>
          <w:tcPr>
            <w:tcW w:w="4006" w:type="dxa"/>
          </w:tcPr>
          <w:p w:rsidR="008E59AA" w:rsidRDefault="008E59AA" w:rsidP="00E378DD">
            <w:pPr>
              <w:pStyle w:val="libFootnote0"/>
              <w:rPr>
                <w:rtl/>
                <w:lang w:bidi="fa-IR"/>
              </w:rPr>
            </w:pPr>
            <w:r>
              <w:rPr>
                <w:rtl/>
                <w:lang w:bidi="fa-IR"/>
              </w:rPr>
              <w:t xml:space="preserve">(4). في « بخ ، بف » </w:t>
            </w:r>
            <w:r w:rsidRPr="008E59AA">
              <w:rPr>
                <w:rtl/>
              </w:rPr>
              <w:t>والوافي</w:t>
            </w:r>
            <w:r>
              <w:rPr>
                <w:rtl/>
                <w:lang w:bidi="fa-IR"/>
              </w:rPr>
              <w:t xml:space="preserve"> : + « من ».</w:t>
            </w:r>
          </w:p>
        </w:tc>
        <w:tc>
          <w:tcPr>
            <w:tcW w:w="4006" w:type="dxa"/>
          </w:tcPr>
          <w:p w:rsidR="008E59AA" w:rsidRDefault="008E59AA" w:rsidP="00E378DD">
            <w:pPr>
              <w:pStyle w:val="libFootnote0"/>
              <w:rPr>
                <w:rtl/>
                <w:lang w:bidi="fa-IR"/>
              </w:rPr>
            </w:pPr>
            <w:r>
              <w:rPr>
                <w:rtl/>
                <w:lang w:bidi="fa-IR"/>
              </w:rPr>
              <w:t>(5). النساء (4) : 29.</w:t>
            </w:r>
          </w:p>
        </w:tc>
      </w:tr>
      <w:tr w:rsidR="008E59AA" w:rsidTr="008E59AA">
        <w:tc>
          <w:tcPr>
            <w:tcW w:w="4006" w:type="dxa"/>
          </w:tcPr>
          <w:p w:rsidR="008E59AA" w:rsidRDefault="008E59AA" w:rsidP="00E378DD">
            <w:pPr>
              <w:pStyle w:val="libFootnote0"/>
              <w:rPr>
                <w:rtl/>
                <w:lang w:bidi="fa-IR"/>
              </w:rPr>
            </w:pPr>
            <w:r>
              <w:rPr>
                <w:rtl/>
                <w:lang w:bidi="fa-IR"/>
              </w:rPr>
              <w:t>(6). في « ط » : « ولد ».</w:t>
            </w:r>
          </w:p>
        </w:tc>
        <w:tc>
          <w:tcPr>
            <w:tcW w:w="4006" w:type="dxa"/>
          </w:tcPr>
          <w:p w:rsidR="008E59AA" w:rsidRDefault="008E59AA" w:rsidP="00E378DD">
            <w:pPr>
              <w:pStyle w:val="libFootnote0"/>
              <w:rPr>
                <w:rtl/>
                <w:lang w:bidi="fa-IR"/>
              </w:rPr>
            </w:pPr>
            <w:r>
              <w:rPr>
                <w:rtl/>
                <w:lang w:bidi="fa-IR"/>
              </w:rPr>
              <w:t xml:space="preserve">(7). في « ى » </w:t>
            </w:r>
            <w:r w:rsidRPr="00265E76">
              <w:rPr>
                <w:rtl/>
              </w:rPr>
              <w:t>والتهذيب</w:t>
            </w:r>
            <w:r>
              <w:rPr>
                <w:rtl/>
                <w:lang w:bidi="fa-IR"/>
              </w:rPr>
              <w:t xml:space="preserve"> : « وليس ».</w:t>
            </w:r>
          </w:p>
        </w:tc>
      </w:tr>
    </w:tbl>
    <w:p w:rsidR="00744A1C" w:rsidRDefault="00E378DD" w:rsidP="00E378DD">
      <w:pPr>
        <w:pStyle w:val="libFootnote0"/>
        <w:rPr>
          <w:lang w:bidi="fa-IR"/>
        </w:rPr>
      </w:pPr>
      <w:r>
        <w:rPr>
          <w:rtl/>
          <w:lang w:bidi="fa-IR"/>
        </w:rPr>
        <w:t>(8).</w:t>
      </w:r>
      <w:r w:rsidR="00744A1C">
        <w:rPr>
          <w:rtl/>
          <w:lang w:bidi="fa-IR"/>
        </w:rPr>
        <w:t xml:space="preserve"> في « بخ ، بف ، جت » </w:t>
      </w:r>
      <w:r w:rsidR="00744A1C" w:rsidRPr="00265E76">
        <w:rPr>
          <w:rtl/>
        </w:rPr>
        <w:t>وتفسير العيّاشي</w:t>
      </w:r>
      <w:r w:rsidR="00744A1C">
        <w:rPr>
          <w:rtl/>
          <w:lang w:bidi="fa-IR"/>
        </w:rPr>
        <w:t xml:space="preserve"> : + « يموت ».</w:t>
      </w:r>
    </w:p>
    <w:tbl>
      <w:tblPr>
        <w:tblStyle w:val="TableGrid"/>
        <w:bidiVisual/>
        <w:tblW w:w="0" w:type="auto"/>
        <w:tblLook w:val="04A0" w:firstRow="1" w:lastRow="0" w:firstColumn="1" w:lastColumn="0" w:noHBand="0" w:noVBand="1"/>
      </w:tblPr>
      <w:tblGrid>
        <w:gridCol w:w="4006"/>
        <w:gridCol w:w="4006"/>
      </w:tblGrid>
      <w:tr w:rsidR="00265E76" w:rsidTr="00265E76">
        <w:tc>
          <w:tcPr>
            <w:tcW w:w="4006" w:type="dxa"/>
          </w:tcPr>
          <w:p w:rsidR="00265E76" w:rsidRDefault="00265E76" w:rsidP="00E378DD">
            <w:pPr>
              <w:pStyle w:val="libFootnote0"/>
              <w:rPr>
                <w:rtl/>
                <w:lang w:bidi="fa-IR"/>
              </w:rPr>
            </w:pPr>
            <w:r>
              <w:rPr>
                <w:rtl/>
                <w:lang w:bidi="fa-IR"/>
              </w:rPr>
              <w:t>(9). في « ط » : « وجعل ».</w:t>
            </w:r>
          </w:p>
        </w:tc>
        <w:tc>
          <w:tcPr>
            <w:tcW w:w="4006" w:type="dxa"/>
          </w:tcPr>
          <w:p w:rsidR="00265E76" w:rsidRDefault="00265E76" w:rsidP="00E378DD">
            <w:pPr>
              <w:pStyle w:val="libFootnote0"/>
              <w:rPr>
                <w:rtl/>
                <w:lang w:bidi="fa-IR"/>
              </w:rPr>
            </w:pPr>
            <w:r>
              <w:rPr>
                <w:rtl/>
                <w:lang w:bidi="fa-IR"/>
              </w:rPr>
              <w:t xml:space="preserve">(10). في </w:t>
            </w:r>
            <w:r w:rsidRPr="00C24F9C">
              <w:rPr>
                <w:rStyle w:val="libFootnoteBoldChar"/>
                <w:rtl/>
              </w:rPr>
              <w:t>الوافي</w:t>
            </w:r>
            <w:r>
              <w:rPr>
                <w:rtl/>
                <w:lang w:bidi="fa-IR"/>
              </w:rPr>
              <w:t>:«العدة-بالكسر</w:t>
            </w:r>
            <w:r>
              <w:rPr>
                <w:rFonts w:hint="cs"/>
                <w:rtl/>
                <w:lang w:bidi="fa-IR"/>
              </w:rPr>
              <w:t xml:space="preserve"> </w:t>
            </w:r>
            <w:r>
              <w:rPr>
                <w:rtl/>
                <w:lang w:bidi="fa-IR"/>
              </w:rPr>
              <w:t>والتخفيف-:الوعد».</w:t>
            </w:r>
          </w:p>
        </w:tc>
      </w:tr>
    </w:tbl>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185 ، ح 383 ، معلّقاً عن الحسن بن محبوب. </w:t>
      </w:r>
      <w:r w:rsidR="00744A1C" w:rsidRPr="00C24F9C">
        <w:rPr>
          <w:rStyle w:val="libFootnoteBoldChar"/>
          <w:rtl/>
        </w:rPr>
        <w:t>الفقيه</w:t>
      </w:r>
      <w:r w:rsidR="00744A1C">
        <w:rPr>
          <w:rtl/>
          <w:lang w:bidi="fa-IR"/>
        </w:rPr>
        <w:t xml:space="preserve"> ، ج 3 ، ص 184 ، ح 3690 ، معلّقاً عن سماعة بن مهران ، إلى قوله : « لا تأكلوا أموالكم بينكم بالباطل ». </w:t>
      </w:r>
      <w:r w:rsidR="00744A1C" w:rsidRPr="00A914B5">
        <w:rPr>
          <w:rStyle w:val="libFootnoteBoldChar"/>
          <w:rtl/>
        </w:rPr>
        <w:t>تفسير العيّاشي</w:t>
      </w:r>
      <w:r w:rsidR="00744A1C">
        <w:rPr>
          <w:rtl/>
          <w:lang w:bidi="fa-IR"/>
        </w:rPr>
        <w:t xml:space="preserve"> ، ج 1 ، ص 236 ، ح 101 ، عن سماعة ، مع اختلاف يسير </w:t>
      </w:r>
      <w:r w:rsidR="00265E76">
        <w:rPr>
          <w:rFonts w:hint="cs"/>
          <w:rtl/>
          <w:lang w:bidi="fa-IR"/>
        </w:rPr>
        <w:t>.</w:t>
      </w:r>
      <w:r w:rsidR="00744A1C" w:rsidRPr="00C24F9C">
        <w:rPr>
          <w:rStyle w:val="libFootnoteBoldChar"/>
          <w:rtl/>
        </w:rPr>
        <w:t>الوافي</w:t>
      </w:r>
      <w:r w:rsidR="00744A1C">
        <w:rPr>
          <w:rtl/>
          <w:lang w:bidi="fa-IR"/>
        </w:rPr>
        <w:t xml:space="preserve"> ، ج 17 ، ص 139 ، ح 17009 ؛ </w:t>
      </w:r>
      <w:r w:rsidR="00744A1C" w:rsidRPr="00C24F9C">
        <w:rPr>
          <w:rStyle w:val="libFootnoteBoldChar"/>
          <w:rtl/>
        </w:rPr>
        <w:t>الوسائل</w:t>
      </w:r>
      <w:r w:rsidR="00744A1C">
        <w:rPr>
          <w:rtl/>
          <w:lang w:bidi="fa-IR"/>
        </w:rPr>
        <w:t xml:space="preserve"> ، ج 18 ، ص 325 ، ح 23773 ، إلى قوله : « تجارة عن تراض منكم ».</w:t>
      </w:r>
    </w:p>
    <w:p w:rsidR="00744A1C" w:rsidRDefault="00E378DD" w:rsidP="00E378DD">
      <w:pPr>
        <w:pStyle w:val="libFootnote0"/>
        <w:rPr>
          <w:lang w:bidi="fa-IR"/>
        </w:rPr>
      </w:pPr>
      <w:r>
        <w:rPr>
          <w:rtl/>
          <w:lang w:bidi="fa-IR"/>
        </w:rPr>
        <w:t>(12).</w:t>
      </w:r>
      <w:r w:rsidR="00744A1C">
        <w:rPr>
          <w:rtl/>
          <w:lang w:bidi="fa-IR"/>
        </w:rPr>
        <w:t xml:space="preserve"> في « بخ » وحاشية « جت » </w:t>
      </w:r>
      <w:r w:rsidR="00744A1C" w:rsidRPr="00265E76">
        <w:rPr>
          <w:rtl/>
        </w:rPr>
        <w:t>والوسائل</w:t>
      </w:r>
      <w:r w:rsidR="00744A1C">
        <w:rPr>
          <w:rtl/>
          <w:lang w:bidi="fa-IR"/>
        </w:rPr>
        <w:t xml:space="preserve"> : + « عن ابن أبي عمير ». والظاهر عدم توسّط ابن أبي عمير بين إبراهيم بن هاشم والد عليّ وبين النضر بن سويد ؛ فإنّ الحلبي في مشايخ النضر بن سويد هو يحيى بن عمران الحلبي ، وقد وردت رواية عليّ بن إبراهيم عن أبيه عن النضر بن سويد عن يحيى الحلبي في </w:t>
      </w:r>
      <w:r w:rsidR="00744A1C" w:rsidRPr="00610FB4">
        <w:rPr>
          <w:rStyle w:val="libFootnoteBoldChar"/>
          <w:rtl/>
        </w:rPr>
        <w:t>تفسير القمّي</w:t>
      </w:r>
      <w:r w:rsidR="00744A1C">
        <w:rPr>
          <w:rtl/>
          <w:lang w:bidi="fa-IR"/>
        </w:rPr>
        <w:t xml:space="preserve"> ، ج 1 ، ص 86 ، ص 222 ، ص 246 ، ص 323 ، ص 366 ؛ وج 2 ، ص 112 ، ص 143 ، ص 147.</w:t>
      </w:r>
    </w:p>
    <w:p w:rsidR="00744A1C" w:rsidRDefault="00744A1C" w:rsidP="00D10E3C">
      <w:pPr>
        <w:pStyle w:val="libFootnote0"/>
        <w:rPr>
          <w:lang w:bidi="fa-IR"/>
        </w:rPr>
      </w:pPr>
      <w:r>
        <w:rPr>
          <w:rtl/>
          <w:lang w:bidi="fa-IR"/>
        </w:rPr>
        <w:t xml:space="preserve">ويؤيّد ذلك ما ورد في </w:t>
      </w:r>
      <w:r w:rsidRPr="003A7143">
        <w:rPr>
          <w:rStyle w:val="libFootnoteBoldChar"/>
          <w:rtl/>
        </w:rPr>
        <w:t>رجال النجاشي</w:t>
      </w:r>
      <w:r>
        <w:rPr>
          <w:rtl/>
          <w:lang w:bidi="fa-IR"/>
        </w:rPr>
        <w:t xml:space="preserve"> ، ص 444 ، الرقم 1199 من أنّ عليّ بن إبراهيم بن هاشم روى عن أبيه عن ابن أبي عمير عن يحيى بن عمران كتابه.</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تُبَاعُ الدَّارُ وَلَا الْجَارِيَةُ فِي الدَّيْنِ ، وَذلِكَ أَنَّهُ </w:t>
      </w:r>
      <w:r w:rsidRPr="00D10E3C">
        <w:rPr>
          <w:rStyle w:val="libFootnotenumChar"/>
          <w:rtl/>
        </w:rPr>
        <w:t>(1)</w:t>
      </w:r>
      <w:r>
        <w:rPr>
          <w:rtl/>
          <w:lang w:bidi="fa-IR"/>
        </w:rPr>
        <w:t xml:space="preserve"> لَابُدَّ لِلرَّجُلِ </w:t>
      </w:r>
      <w:r w:rsidRPr="00D10E3C">
        <w:rPr>
          <w:rStyle w:val="libFootnotenumChar"/>
          <w:rtl/>
        </w:rPr>
        <w:t>(2)</w:t>
      </w:r>
      <w:r>
        <w:rPr>
          <w:rtl/>
          <w:lang w:bidi="fa-IR"/>
        </w:rPr>
        <w:t xml:space="preserve"> مِنْ ظِلٍّ يَسْكُنُهُ ، وَخَادِمٍ يَخْدُمُهُ ». </w:t>
      </w:r>
      <w:r w:rsidRPr="00D10E3C">
        <w:rPr>
          <w:rStyle w:val="libFootnotenumChar"/>
          <w:rtl/>
        </w:rPr>
        <w:t>(3)</w:t>
      </w:r>
    </w:p>
    <w:p w:rsidR="00144FA6" w:rsidRDefault="00744A1C" w:rsidP="00744A1C">
      <w:pPr>
        <w:pStyle w:val="libNormal"/>
        <w:rPr>
          <w:rtl/>
          <w:lang w:bidi="fa-IR"/>
        </w:rPr>
      </w:pPr>
      <w:r>
        <w:rPr>
          <w:rtl/>
          <w:lang w:bidi="fa-IR"/>
        </w:rPr>
        <w:t>8471 / 4. عَلِيُّ بْنُ مُحَمَّدِ بْنِ بُنْدَارَ ، عَنْ أَحْمَدَ بْنِ أَبِي عَبْدِ اللهِ ، عَنْ أَبِيهِ ، عَنْ عَبْدِ اللهِ بْنِ الْمُغِيرَةِ ، عَنْ بُرَيْدٍ الْعِجْلِيِّ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 عَلَيَّ دَيْناً - وَأَظُنُّهُ قَالَ </w:t>
      </w:r>
      <w:r w:rsidRPr="00D10E3C">
        <w:rPr>
          <w:rStyle w:val="libFootnotenumChar"/>
          <w:rtl/>
        </w:rPr>
        <w:t>(4)</w:t>
      </w:r>
      <w:r>
        <w:rPr>
          <w:rtl/>
          <w:lang w:bidi="fa-IR"/>
        </w:rPr>
        <w:t xml:space="preserve"> : لِأَيْتَامٍ - وَأَخَافُ إِنْ بِعْتُ ضَيْعَتِي </w:t>
      </w:r>
      <w:r w:rsidRPr="00D10E3C">
        <w:rPr>
          <w:rStyle w:val="libFootnotenumChar"/>
          <w:rtl/>
        </w:rPr>
        <w:t>(5)</w:t>
      </w:r>
      <w:r>
        <w:rPr>
          <w:rtl/>
          <w:lang w:bidi="fa-IR"/>
        </w:rPr>
        <w:t xml:space="preserve"> بَقِيتُ وَمَا لِي شَيْ‌ءٌ.</w:t>
      </w:r>
    </w:p>
    <w:p w:rsidR="00144FA6" w:rsidRDefault="00744A1C" w:rsidP="00744A1C">
      <w:pPr>
        <w:pStyle w:val="libNormal"/>
        <w:rPr>
          <w:rtl/>
          <w:lang w:bidi="fa-IR"/>
        </w:rPr>
      </w:pPr>
      <w:r>
        <w:rPr>
          <w:rtl/>
          <w:lang w:bidi="fa-IR"/>
        </w:rPr>
        <w:t xml:space="preserve">فَقَالَ : « لَا تَبِعْ ضَيْعَتَكَ ، وَلكِنْ أَعْطِهِ </w:t>
      </w:r>
      <w:r w:rsidRPr="00D10E3C">
        <w:rPr>
          <w:rStyle w:val="libFootnotenumChar"/>
          <w:rtl/>
        </w:rPr>
        <w:t>(6)</w:t>
      </w:r>
      <w:r>
        <w:rPr>
          <w:rtl/>
          <w:lang w:bidi="fa-IR"/>
        </w:rPr>
        <w:t xml:space="preserve"> بَعْضاً </w:t>
      </w:r>
      <w:r w:rsidRPr="00D10E3C">
        <w:rPr>
          <w:rStyle w:val="libFootnotenumChar"/>
          <w:rtl/>
        </w:rPr>
        <w:t>(7)</w:t>
      </w:r>
      <w:r>
        <w:rPr>
          <w:rtl/>
          <w:lang w:bidi="fa-IR"/>
        </w:rPr>
        <w:t xml:space="preserve"> ، وَأَمْسِكْ بَعْضاً ». </w:t>
      </w:r>
      <w:r w:rsidRPr="00D10E3C">
        <w:rPr>
          <w:rStyle w:val="libFootnotenumChar"/>
          <w:rtl/>
        </w:rPr>
        <w:t>(8)</w:t>
      </w:r>
    </w:p>
    <w:p w:rsidR="00144FA6" w:rsidRDefault="00744A1C" w:rsidP="00744A1C">
      <w:pPr>
        <w:pStyle w:val="libNormal"/>
        <w:rPr>
          <w:rtl/>
          <w:lang w:bidi="fa-IR"/>
        </w:rPr>
      </w:pPr>
      <w:r>
        <w:rPr>
          <w:rtl/>
          <w:lang w:bidi="fa-IR"/>
        </w:rPr>
        <w:t xml:space="preserve">8472 / 5. عَلِيُّ بْنُ مُحَمَّدٍ ، عَنْ إِبْرَاهِيمَ بْنِ إِسْحَاقَ الْأَحْمَرِ </w:t>
      </w:r>
      <w:r w:rsidRPr="00D10E3C">
        <w:rPr>
          <w:rStyle w:val="libFootnotenumChar"/>
          <w:rtl/>
        </w:rPr>
        <w:t>(9)</w:t>
      </w:r>
      <w:r>
        <w:rPr>
          <w:rtl/>
          <w:lang w:bidi="fa-IR"/>
        </w:rPr>
        <w:t xml:space="preserve"> ، عَنْ عَبْدِ اللهِ بْنِ حَمَّادٍ </w:t>
      </w:r>
      <w:r w:rsidRPr="00D10E3C">
        <w:rPr>
          <w:rStyle w:val="libFootnotenumChar"/>
          <w:rtl/>
        </w:rPr>
        <w:t>(10)</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جميع النسخ التي قوبلت </w:t>
      </w:r>
      <w:r w:rsidR="00744A1C" w:rsidRPr="00265E76">
        <w:rPr>
          <w:rtl/>
        </w:rPr>
        <w:t>والوسائل</w:t>
      </w:r>
      <w:r w:rsidR="00744A1C">
        <w:rPr>
          <w:rtl/>
          <w:lang w:bidi="fa-IR"/>
        </w:rPr>
        <w:t xml:space="preserve"> والعلل. وفي المطبوع : « لأنّه ».</w:t>
      </w:r>
    </w:p>
    <w:p w:rsidR="00744A1C" w:rsidRDefault="00E378DD" w:rsidP="00E378DD">
      <w:pPr>
        <w:pStyle w:val="libFootnote0"/>
        <w:rPr>
          <w:lang w:bidi="fa-IR"/>
        </w:rPr>
      </w:pPr>
      <w:r>
        <w:rPr>
          <w:rtl/>
          <w:lang w:bidi="fa-IR"/>
        </w:rPr>
        <w:t>(2).</w:t>
      </w:r>
      <w:r w:rsidR="00744A1C">
        <w:rPr>
          <w:rtl/>
          <w:lang w:bidi="fa-IR"/>
        </w:rPr>
        <w:t xml:space="preserve"> في العلل : + « المسلم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186 ، ح 387 ؛ </w:t>
      </w:r>
      <w:r w:rsidR="00744A1C" w:rsidRPr="00C24F9C">
        <w:rPr>
          <w:rStyle w:val="libFootnoteBoldChar"/>
          <w:rtl/>
        </w:rPr>
        <w:t>والاستبصار</w:t>
      </w:r>
      <w:r w:rsidR="00744A1C">
        <w:rPr>
          <w:rtl/>
          <w:lang w:bidi="fa-IR"/>
        </w:rPr>
        <w:t xml:space="preserve"> ، ج 3 ، ص 6 ، ح 12 ، معلّقاً عن الكليني. </w:t>
      </w:r>
      <w:r w:rsidR="00744A1C" w:rsidRPr="003A7143">
        <w:rPr>
          <w:rStyle w:val="libFootnoteBoldChar"/>
          <w:rtl/>
        </w:rPr>
        <w:t>علل الشرائع</w:t>
      </w:r>
      <w:r w:rsidR="00744A1C">
        <w:rPr>
          <w:rtl/>
          <w:lang w:bidi="fa-IR"/>
        </w:rPr>
        <w:t xml:space="preserve"> ، ص 529 ، ح 1 ، بسنده عن إبراهيم بن هاشم ، عن النضر بن سويد ، عن رجل ، عن الحلبي ، مع اختلاف يسير.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257 ، وتمام الرواية فيه : « لاتباع الدار ولا الجارية على الدين » </w:t>
      </w:r>
      <w:r w:rsidR="00265E76">
        <w:rPr>
          <w:rFonts w:hint="cs"/>
          <w:rtl/>
          <w:lang w:bidi="fa-IR"/>
        </w:rPr>
        <w:t>.</w:t>
      </w:r>
      <w:r w:rsidR="00744A1C" w:rsidRPr="00C24F9C">
        <w:rPr>
          <w:rStyle w:val="libFootnoteBoldChar"/>
          <w:rtl/>
        </w:rPr>
        <w:t>الوافي</w:t>
      </w:r>
      <w:r w:rsidR="00744A1C">
        <w:rPr>
          <w:rtl/>
          <w:lang w:bidi="fa-IR"/>
        </w:rPr>
        <w:t xml:space="preserve"> ، ج 18 ، ص 791 ، ح 18306 ؛ </w:t>
      </w:r>
      <w:r w:rsidR="00744A1C" w:rsidRPr="00C24F9C">
        <w:rPr>
          <w:rStyle w:val="libFootnoteBoldChar"/>
          <w:rtl/>
        </w:rPr>
        <w:t>الوسائل</w:t>
      </w:r>
      <w:r w:rsidR="00744A1C">
        <w:rPr>
          <w:rtl/>
          <w:lang w:bidi="fa-IR"/>
        </w:rPr>
        <w:t xml:space="preserve"> ، ج 18 ، ص 339 ، ح 23801.</w:t>
      </w:r>
    </w:p>
    <w:p w:rsidR="00744A1C" w:rsidRDefault="00E378DD" w:rsidP="00E378DD">
      <w:pPr>
        <w:pStyle w:val="libFootnote0"/>
        <w:rPr>
          <w:lang w:bidi="fa-IR"/>
        </w:rPr>
      </w:pPr>
      <w:r>
        <w:rPr>
          <w:rtl/>
          <w:lang w:bidi="fa-IR"/>
        </w:rPr>
        <w:t>(4).</w:t>
      </w:r>
      <w:r w:rsidR="00744A1C">
        <w:rPr>
          <w:rtl/>
          <w:lang w:bidi="fa-IR"/>
        </w:rPr>
        <w:t xml:space="preserve"> في « بخ ، بف » وحاشية « جت » </w:t>
      </w:r>
      <w:r w:rsidR="00744A1C" w:rsidRPr="00265E76">
        <w:rPr>
          <w:rtl/>
        </w:rPr>
        <w:t>والوافي</w:t>
      </w:r>
      <w:r w:rsidR="00744A1C">
        <w:rPr>
          <w:rtl/>
          <w:lang w:bidi="fa-IR"/>
        </w:rPr>
        <w:t xml:space="preserve"> : « عليَّ ديناً وأظنّه يعوزني ( في </w:t>
      </w:r>
      <w:r w:rsidR="00744A1C" w:rsidRPr="00265E76">
        <w:rPr>
          <w:rtl/>
        </w:rPr>
        <w:t>الوافي</w:t>
      </w:r>
      <w:r w:rsidR="00744A1C">
        <w:rPr>
          <w:rtl/>
          <w:lang w:bidi="fa-IR"/>
        </w:rPr>
        <w:t xml:space="preserve"> : أن يعوزنى ) وقال بدل « عليّ‌</w:t>
      </w:r>
      <w:r w:rsidR="00265E76">
        <w:rPr>
          <w:rFonts w:hint="cs"/>
          <w:rtl/>
          <w:lang w:bidi="fa-IR"/>
        </w:rPr>
        <w:t xml:space="preserve"> </w:t>
      </w:r>
      <w:r w:rsidR="00744A1C">
        <w:rPr>
          <w:rtl/>
          <w:lang w:bidi="fa-IR"/>
        </w:rPr>
        <w:t xml:space="preserve">ديناً وأظنّه قال ». ويعوزني ، أي يفقرني. وفي </w:t>
      </w:r>
      <w:r w:rsidR="00744A1C" w:rsidRPr="00265E76">
        <w:rPr>
          <w:rtl/>
        </w:rPr>
        <w:t>الفقيه</w:t>
      </w:r>
      <w:r w:rsidR="00744A1C">
        <w:rPr>
          <w:rtl/>
          <w:lang w:bidi="fa-IR"/>
        </w:rPr>
        <w:t xml:space="preserve"> : - « وأظنّه قال ».</w:t>
      </w:r>
    </w:p>
    <w:p w:rsidR="00744A1C" w:rsidRDefault="00E378DD" w:rsidP="00E378DD">
      <w:pPr>
        <w:pStyle w:val="libFootnote0"/>
        <w:rPr>
          <w:lang w:bidi="fa-IR"/>
        </w:rPr>
      </w:pPr>
      <w:r>
        <w:rPr>
          <w:rtl/>
          <w:lang w:bidi="fa-IR"/>
        </w:rPr>
        <w:t>(5).</w:t>
      </w:r>
      <w:r w:rsidR="00744A1C">
        <w:rPr>
          <w:rtl/>
          <w:lang w:bidi="fa-IR"/>
        </w:rPr>
        <w:t xml:space="preserve"> الضيعة : الأرض المغلّة ، والعَقار ، وهو كلّ ملك ثابت له أصل وقرار ، كالدار والنخل ، وربما اطلق على المتاع ، وعلى ما منه معاش الرجل ، كالصنعة والتجارة والزراعة وغير ذلك. راجع : </w:t>
      </w:r>
      <w:r w:rsidR="00744A1C" w:rsidRPr="00877682">
        <w:rPr>
          <w:rStyle w:val="libFootnoteBoldChar"/>
          <w:rtl/>
        </w:rPr>
        <w:t>لسان العرب</w:t>
      </w:r>
      <w:r w:rsidR="00744A1C">
        <w:rPr>
          <w:rtl/>
          <w:lang w:bidi="fa-IR"/>
        </w:rPr>
        <w:t xml:space="preserve"> ، ج 8 ، ص 230 ؛ </w:t>
      </w:r>
      <w:r w:rsidR="00744A1C" w:rsidRPr="00E978C3">
        <w:rPr>
          <w:rStyle w:val="libFootnoteBoldChar"/>
          <w:rtl/>
        </w:rPr>
        <w:t>المصباح المنير</w:t>
      </w:r>
      <w:r w:rsidR="00744A1C">
        <w:rPr>
          <w:rtl/>
          <w:lang w:bidi="fa-IR"/>
        </w:rPr>
        <w:t xml:space="preserve"> ، ص 366 ( ضيع ).</w:t>
      </w:r>
    </w:p>
    <w:p w:rsidR="00744A1C" w:rsidRDefault="00E378DD" w:rsidP="00E378DD">
      <w:pPr>
        <w:pStyle w:val="libFootnote0"/>
        <w:rPr>
          <w:lang w:bidi="fa-IR"/>
        </w:rPr>
      </w:pPr>
      <w:r>
        <w:rPr>
          <w:rtl/>
          <w:lang w:bidi="fa-IR"/>
        </w:rPr>
        <w:t>(6).</w:t>
      </w:r>
      <w:r w:rsidR="00744A1C">
        <w:rPr>
          <w:rtl/>
          <w:lang w:bidi="fa-IR"/>
        </w:rPr>
        <w:t xml:space="preserve"> في « ط ، بح ، بخ ، بف ، جت » </w:t>
      </w:r>
      <w:r w:rsidR="00744A1C" w:rsidRPr="00265E76">
        <w:rPr>
          <w:rtl/>
        </w:rPr>
        <w:t>والوافي والفقيه والتهذيب</w:t>
      </w:r>
      <w:r w:rsidR="00744A1C">
        <w:rPr>
          <w:rtl/>
          <w:lang w:bidi="fa-IR"/>
        </w:rPr>
        <w:t xml:space="preserve"> : « أعط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أعطه بعضاً ، لعلّه محمول على إنظار الوليّ ، أو أنّه </w:t>
      </w:r>
      <w:r w:rsidR="0061079A" w:rsidRPr="0061079A">
        <w:rPr>
          <w:rStyle w:val="libFootnoteAlaemChar"/>
          <w:rtl/>
        </w:rPr>
        <w:t>عليه‌السلام</w:t>
      </w:r>
      <w:r w:rsidR="00D10E3C">
        <w:rPr>
          <w:rtl/>
          <w:lang w:bidi="fa-IR"/>
        </w:rPr>
        <w:t xml:space="preserve"> </w:t>
      </w:r>
      <w:r w:rsidR="00744A1C">
        <w:rPr>
          <w:rtl/>
          <w:lang w:bidi="fa-IR"/>
        </w:rPr>
        <w:t>لولايته العامّة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186 ، ح 388 ، معلّقاً عن أحمد بن أبي عبد الله. </w:t>
      </w:r>
      <w:r w:rsidR="00744A1C" w:rsidRPr="00C24F9C">
        <w:rPr>
          <w:rStyle w:val="libFootnoteBoldChar"/>
          <w:rtl/>
        </w:rPr>
        <w:t>الفقيه</w:t>
      </w:r>
      <w:r w:rsidR="00744A1C">
        <w:rPr>
          <w:rtl/>
          <w:lang w:bidi="fa-IR"/>
        </w:rPr>
        <w:t xml:space="preserve"> ، ج 3 ، ص 184 ، ح 3693 ، معلّقاً عن بريد العجلي </w:t>
      </w:r>
      <w:r w:rsidR="00265E76">
        <w:rPr>
          <w:rFonts w:hint="cs"/>
          <w:rtl/>
          <w:lang w:bidi="fa-IR"/>
        </w:rPr>
        <w:t>.</w:t>
      </w:r>
      <w:r w:rsidR="00744A1C" w:rsidRPr="00C24F9C">
        <w:rPr>
          <w:rStyle w:val="libFootnoteBoldChar"/>
          <w:rtl/>
        </w:rPr>
        <w:t>الوافي</w:t>
      </w:r>
      <w:r w:rsidR="00744A1C">
        <w:rPr>
          <w:rtl/>
          <w:lang w:bidi="fa-IR"/>
        </w:rPr>
        <w:t xml:space="preserve"> ، ج 18 ، ص 791 ، ح 18307 ؛ </w:t>
      </w:r>
      <w:r w:rsidR="00744A1C" w:rsidRPr="00C24F9C">
        <w:rPr>
          <w:rStyle w:val="libFootnoteBoldChar"/>
          <w:rtl/>
        </w:rPr>
        <w:t>الوسائل</w:t>
      </w:r>
      <w:r w:rsidR="00744A1C">
        <w:rPr>
          <w:rtl/>
          <w:lang w:bidi="fa-IR"/>
        </w:rPr>
        <w:t xml:space="preserve"> ، ج 18 ، ص 340 ، ح 23802.</w:t>
      </w:r>
    </w:p>
    <w:p w:rsidR="00744A1C" w:rsidRDefault="00E378DD" w:rsidP="00E378DD">
      <w:pPr>
        <w:pStyle w:val="libFootnote0"/>
        <w:rPr>
          <w:lang w:bidi="fa-IR"/>
        </w:rPr>
      </w:pPr>
      <w:r>
        <w:rPr>
          <w:rtl/>
          <w:lang w:bidi="fa-IR"/>
        </w:rPr>
        <w:t>(9).</w:t>
      </w:r>
      <w:r w:rsidR="00744A1C">
        <w:rPr>
          <w:rtl/>
          <w:lang w:bidi="fa-IR"/>
        </w:rPr>
        <w:t xml:space="preserve"> في « جن » : « الأحمري ».</w:t>
      </w:r>
    </w:p>
    <w:p w:rsidR="00144FA6" w:rsidRDefault="00E378DD" w:rsidP="00E378DD">
      <w:pPr>
        <w:pStyle w:val="libFootnote0"/>
        <w:rPr>
          <w:rtl/>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 عليّ ، عن أبيه ، عن إسحاق الأحمر ، عن عبد الرحمن بن حمّاد ». وهو سهو ؛ فقد تكرّرت في</w:t>
      </w:r>
      <w:r w:rsidR="00265E76">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265E76">
      <w:pPr>
        <w:pStyle w:val="libNormal0"/>
        <w:rPr>
          <w:rtl/>
          <w:lang w:bidi="fa-IR"/>
        </w:rPr>
      </w:pPr>
      <w:r>
        <w:rPr>
          <w:rtl/>
          <w:lang w:bidi="fa-IR"/>
        </w:rPr>
        <w:t>عَنْ عُمَرَ بْنِ يَزِيدَ ، قَالَ :</w:t>
      </w:r>
    </w:p>
    <w:p w:rsidR="00744A1C" w:rsidRDefault="00744A1C" w:rsidP="00744A1C">
      <w:pPr>
        <w:pStyle w:val="libNormal"/>
        <w:rPr>
          <w:lang w:bidi="fa-IR"/>
        </w:rPr>
      </w:pPr>
      <w:r>
        <w:rPr>
          <w:rtl/>
          <w:lang w:bidi="fa-IR"/>
        </w:rPr>
        <w:t xml:space="preserve">أَتى رَجُلٌ أَبَا عَبْدِ اللهِ </w:t>
      </w:r>
      <w:r w:rsidR="0061079A" w:rsidRPr="0061079A">
        <w:rPr>
          <w:rStyle w:val="libAlaemChar"/>
          <w:rtl/>
        </w:rPr>
        <w:t>عليه‌السلام</w:t>
      </w:r>
      <w:r w:rsidR="00D10E3C">
        <w:rPr>
          <w:rtl/>
          <w:lang w:bidi="fa-IR"/>
        </w:rPr>
        <w:t xml:space="preserve"> </w:t>
      </w:r>
      <w:r>
        <w:rPr>
          <w:rtl/>
          <w:lang w:bidi="fa-IR"/>
        </w:rPr>
        <w:t xml:space="preserve">يَقْتَضِيهِ وَأَنَا حَاضِرٌ </w:t>
      </w:r>
      <w:r w:rsidRPr="00D10E3C">
        <w:rPr>
          <w:rStyle w:val="libFootnotenumChar"/>
          <w:rtl/>
        </w:rPr>
        <w:t>(1)</w:t>
      </w:r>
      <w:r w:rsidR="00FC1799" w:rsidRPr="00FC1799">
        <w:rPr>
          <w:rFonts w:hint="cs"/>
          <w:rtl/>
        </w:rPr>
        <w:t>.</w:t>
      </w:r>
    </w:p>
    <w:p w:rsidR="00744A1C" w:rsidRDefault="00744A1C" w:rsidP="00744A1C">
      <w:pPr>
        <w:pStyle w:val="libNormal"/>
        <w:rPr>
          <w:lang w:bidi="fa-IR"/>
        </w:rPr>
      </w:pPr>
      <w:r>
        <w:rPr>
          <w:rtl/>
          <w:lang w:bidi="fa-IR"/>
        </w:rPr>
        <w:t xml:space="preserve">فَقَالَ لَهُ </w:t>
      </w:r>
      <w:r w:rsidRPr="00D10E3C">
        <w:rPr>
          <w:rStyle w:val="libFootnotenumChar"/>
          <w:rtl/>
        </w:rPr>
        <w:t>(2)</w:t>
      </w:r>
      <w:r>
        <w:rPr>
          <w:rtl/>
          <w:lang w:bidi="fa-IR"/>
        </w:rPr>
        <w:t xml:space="preserve"> : « لَيْسَ عِنْدَنَا الْيَوْمَ شَيْ‌ءٌ ، وَلكِنَّهُ </w:t>
      </w:r>
      <w:r w:rsidRPr="00D10E3C">
        <w:rPr>
          <w:rStyle w:val="libFootnotenumChar"/>
          <w:rtl/>
        </w:rPr>
        <w:t>(3)</w:t>
      </w:r>
      <w:r>
        <w:rPr>
          <w:rtl/>
          <w:lang w:bidi="fa-IR"/>
        </w:rPr>
        <w:t xml:space="preserve"> يَأْتِينَا خِطْرٌ </w:t>
      </w:r>
      <w:r w:rsidRPr="00D10E3C">
        <w:rPr>
          <w:rStyle w:val="libFootnotenumChar"/>
          <w:rtl/>
        </w:rPr>
        <w:t>(4)</w:t>
      </w:r>
      <w:r>
        <w:rPr>
          <w:rtl/>
          <w:lang w:bidi="fa-IR"/>
        </w:rPr>
        <w:t xml:space="preserve"> وَوَسِمَةٌ </w:t>
      </w:r>
      <w:r w:rsidRPr="00D10E3C">
        <w:rPr>
          <w:rStyle w:val="libFootnotenumChar"/>
          <w:rtl/>
        </w:rPr>
        <w:t>(5)</w:t>
      </w:r>
      <w:r>
        <w:rPr>
          <w:rtl/>
          <w:lang w:bidi="fa-IR"/>
        </w:rPr>
        <w:t xml:space="preserve"> ، فَتُبَاعُ </w:t>
      </w:r>
      <w:r w:rsidRPr="00D10E3C">
        <w:rPr>
          <w:rStyle w:val="libFootnotenumChar"/>
          <w:rtl/>
        </w:rPr>
        <w:t>(6)</w:t>
      </w:r>
      <w:r>
        <w:rPr>
          <w:rtl/>
          <w:lang w:bidi="fa-IR"/>
        </w:rPr>
        <w:t xml:space="preserve"> وَنُعْطِيكَ </w:t>
      </w:r>
      <w:r w:rsidRPr="00D10E3C">
        <w:rPr>
          <w:rStyle w:val="libFootnotenumChar"/>
          <w:rtl/>
        </w:rPr>
        <w:t>(7)</w:t>
      </w:r>
      <w:r>
        <w:rPr>
          <w:rtl/>
          <w:lang w:bidi="fa-IR"/>
        </w:rPr>
        <w:t xml:space="preserve"> إِنْ شَاءَ اللهُ ».</w:t>
      </w:r>
    </w:p>
    <w:p w:rsidR="00744A1C" w:rsidRDefault="00744A1C" w:rsidP="00744A1C">
      <w:pPr>
        <w:pStyle w:val="libNormal"/>
        <w:rPr>
          <w:lang w:bidi="fa-IR"/>
        </w:rPr>
      </w:pPr>
      <w:r>
        <w:rPr>
          <w:rtl/>
          <w:lang w:bidi="fa-IR"/>
        </w:rPr>
        <w:t>فَقَالَ لَهُ الرَّجُلُ : عِدْنِي.</w:t>
      </w:r>
    </w:p>
    <w:p w:rsidR="00144FA6" w:rsidRDefault="00744A1C" w:rsidP="00744A1C">
      <w:pPr>
        <w:pStyle w:val="libNormal"/>
        <w:rPr>
          <w:rtl/>
          <w:lang w:bidi="fa-IR"/>
        </w:rPr>
      </w:pPr>
      <w:r>
        <w:rPr>
          <w:rtl/>
          <w:lang w:bidi="fa-IR"/>
        </w:rPr>
        <w:t xml:space="preserve">فَقَالَ </w:t>
      </w:r>
      <w:r w:rsidRPr="00D10E3C">
        <w:rPr>
          <w:rStyle w:val="libFootnotenumChar"/>
          <w:rtl/>
        </w:rPr>
        <w:t>(8)</w:t>
      </w:r>
      <w:r>
        <w:rPr>
          <w:rtl/>
          <w:lang w:bidi="fa-IR"/>
        </w:rPr>
        <w:t xml:space="preserve"> : « كَيْفَ أَعِدُكَ وَأَنَا لِمَا لَا أَرْجُو أَرْجى مِنِّي لِمَا أَرْجُو ». </w:t>
      </w:r>
      <w:r w:rsidRPr="00D10E3C">
        <w:rPr>
          <w:rStyle w:val="libFootnotenumChar"/>
          <w:rtl/>
        </w:rPr>
        <w:t>(9)</w:t>
      </w:r>
    </w:p>
    <w:p w:rsidR="00144FA6" w:rsidRDefault="00744A1C" w:rsidP="00744A1C">
      <w:pPr>
        <w:pStyle w:val="libNormal"/>
        <w:rPr>
          <w:rtl/>
          <w:lang w:bidi="fa-IR"/>
        </w:rPr>
      </w:pPr>
      <w:r>
        <w:rPr>
          <w:rtl/>
          <w:lang w:bidi="fa-IR"/>
        </w:rPr>
        <w:t xml:space="preserve">8473 / 6. مُحَمَّدُ بْنُ يَحْيى ، عَنْ مُحَمَّدِ بْنِ أَحْمَدَ ، عَنْ يُوسُفَ بْنِ السُّخْتِ ، عَنْ عَلِيِّ بْنِ مُحَمَّدِ بْنِ سُلَيْمَانَ ، عَنِ الْفَضْلِ </w:t>
      </w:r>
      <w:r w:rsidRPr="00D10E3C">
        <w:rPr>
          <w:rStyle w:val="libFootnotenumChar"/>
          <w:rtl/>
        </w:rPr>
        <w:t>(10)</w:t>
      </w:r>
      <w:r>
        <w:rPr>
          <w:rtl/>
          <w:lang w:bidi="fa-IR"/>
        </w:rPr>
        <w:t xml:space="preserve"> بْنِ سُلَيْمَانَ ، عَنِ الْعَبَّاسِ بْنِ عِيسى ، قَالَ :</w:t>
      </w:r>
    </w:p>
    <w:p w:rsidR="00144FA6" w:rsidRDefault="00744A1C" w:rsidP="00744A1C">
      <w:pPr>
        <w:pStyle w:val="libNormal"/>
        <w:rPr>
          <w:rtl/>
          <w:lang w:bidi="fa-IR"/>
        </w:rPr>
      </w:pPr>
      <w:r>
        <w:rPr>
          <w:rtl/>
          <w:lang w:bidi="fa-IR"/>
        </w:rPr>
        <w:t xml:space="preserve">ضَاقَ </w:t>
      </w:r>
      <w:r w:rsidRPr="00D10E3C">
        <w:rPr>
          <w:rStyle w:val="libFootnotenumChar"/>
          <w:rtl/>
        </w:rPr>
        <w:t>(11)</w:t>
      </w:r>
      <w:r>
        <w:rPr>
          <w:rtl/>
          <w:lang w:bidi="fa-IR"/>
        </w:rPr>
        <w:t xml:space="preserve"> عَلى </w:t>
      </w:r>
      <w:r w:rsidRPr="00D10E3C">
        <w:rPr>
          <w:rStyle w:val="libFootnotenumChar"/>
          <w:rtl/>
        </w:rPr>
        <w:t>(12)</w:t>
      </w:r>
      <w:r>
        <w:rPr>
          <w:rtl/>
          <w:lang w:bidi="fa-IR"/>
        </w:rPr>
        <w:t xml:space="preserve"> عَلِيِّ بْنِ الْحُسَيْنِ </w:t>
      </w:r>
      <w:r w:rsidR="008859AA" w:rsidRPr="008859AA">
        <w:rPr>
          <w:rStyle w:val="libAlaemChar"/>
          <w:rtl/>
        </w:rPr>
        <w:t>عليهما‌السلام</w:t>
      </w:r>
      <w:r>
        <w:rPr>
          <w:rtl/>
          <w:lang w:bidi="fa-IR"/>
        </w:rPr>
        <w:t>ضِيقَةٌ ، فَأَتى مَوْلًى لَهُ ، فَقَالَ لَهُ :</w:t>
      </w:r>
    </w:p>
    <w:p w:rsidR="00744A1C" w:rsidRDefault="00744A1C" w:rsidP="00D10E3C">
      <w:pPr>
        <w:pStyle w:val="libLine"/>
        <w:rPr>
          <w:lang w:bidi="fa-IR"/>
        </w:rPr>
      </w:pPr>
      <w:r>
        <w:rPr>
          <w:rtl/>
          <w:lang w:bidi="fa-IR"/>
        </w:rPr>
        <w:t>____________________</w:t>
      </w:r>
    </w:p>
    <w:p w:rsidR="00744A1C" w:rsidRDefault="00FC1799" w:rsidP="00D10E3C">
      <w:pPr>
        <w:pStyle w:val="libFootnote0"/>
        <w:rPr>
          <w:lang w:bidi="fa-IR"/>
        </w:rPr>
      </w:pPr>
      <w:r>
        <w:rPr>
          <w:rFonts w:hint="cs"/>
          <w:rtl/>
          <w:lang w:bidi="fa-IR"/>
        </w:rPr>
        <w:t xml:space="preserve">= </w:t>
      </w:r>
      <w:r w:rsidR="00744A1C">
        <w:rPr>
          <w:rtl/>
          <w:lang w:bidi="fa-IR"/>
        </w:rPr>
        <w:t xml:space="preserve">الأسناد رواية عليّ بن محمّد [ بن بندار ] عن إبراهيم بن إسحاق [ الأحمر ] عن عبد الله بن حمّاد [ الأنصاري ]. راجع : </w:t>
      </w:r>
      <w:r w:rsidR="00744A1C" w:rsidRPr="0061079A">
        <w:rPr>
          <w:rStyle w:val="libFootnoteBoldChar"/>
          <w:rtl/>
        </w:rPr>
        <w:t>معجم رجال الحديث</w:t>
      </w:r>
      <w:r w:rsidR="00744A1C">
        <w:rPr>
          <w:rtl/>
          <w:lang w:bidi="fa-IR"/>
        </w:rPr>
        <w:t xml:space="preserve"> ، ج 1 ، ص 444 - 447.</w:t>
      </w:r>
    </w:p>
    <w:p w:rsidR="00744A1C" w:rsidRDefault="00D10E3C" w:rsidP="00D10E3C">
      <w:pPr>
        <w:pStyle w:val="libFootnote0"/>
        <w:rPr>
          <w:lang w:bidi="fa-IR"/>
        </w:rPr>
      </w:pPr>
      <w:r>
        <w:rPr>
          <w:rtl/>
          <w:lang w:bidi="fa-IR"/>
        </w:rPr>
        <w:t>(1).</w:t>
      </w:r>
      <w:r w:rsidR="00744A1C">
        <w:rPr>
          <w:rtl/>
          <w:lang w:bidi="fa-IR"/>
        </w:rPr>
        <w:t xml:space="preserve"> في « ط ، ى ، بح ، بس ، جت ، جد ، جن » </w:t>
      </w:r>
      <w:r w:rsidR="00744A1C" w:rsidRPr="00FC1799">
        <w:rPr>
          <w:rtl/>
        </w:rPr>
        <w:t>والوسائل والبحار</w:t>
      </w:r>
      <w:r w:rsidR="00744A1C">
        <w:rPr>
          <w:rtl/>
          <w:lang w:bidi="fa-IR"/>
        </w:rPr>
        <w:t xml:space="preserve"> : « عنده ». وفي </w:t>
      </w:r>
      <w:r w:rsidR="00744A1C" w:rsidRPr="00FC1799">
        <w:rPr>
          <w:rtl/>
        </w:rPr>
        <w:t>التهذيب</w:t>
      </w:r>
      <w:r w:rsidR="00744A1C">
        <w:rPr>
          <w:rtl/>
          <w:lang w:bidi="fa-IR"/>
        </w:rPr>
        <w:t xml:space="preserve"> : - « وأنا حاضر ».</w:t>
      </w:r>
    </w:p>
    <w:p w:rsidR="00744A1C" w:rsidRDefault="00E378DD" w:rsidP="00E378DD">
      <w:pPr>
        <w:pStyle w:val="libFootnote0"/>
        <w:rPr>
          <w:lang w:bidi="fa-IR"/>
        </w:rPr>
      </w:pPr>
      <w:r>
        <w:rPr>
          <w:rtl/>
          <w:lang w:bidi="fa-IR"/>
        </w:rPr>
        <w:t>(2).</w:t>
      </w:r>
      <w:r w:rsidR="00744A1C">
        <w:rPr>
          <w:rtl/>
          <w:lang w:bidi="fa-IR"/>
        </w:rPr>
        <w:t xml:space="preserve"> في </w:t>
      </w:r>
      <w:r w:rsidR="00744A1C" w:rsidRPr="00FC1799">
        <w:rPr>
          <w:rtl/>
        </w:rPr>
        <w:t>التهذيب</w:t>
      </w:r>
      <w:r w:rsidR="00744A1C">
        <w:rPr>
          <w:rtl/>
          <w:lang w:bidi="fa-IR"/>
        </w:rPr>
        <w:t xml:space="preserve"> : - « له ».</w:t>
      </w:r>
    </w:p>
    <w:p w:rsidR="00744A1C" w:rsidRDefault="00E378DD" w:rsidP="00E378DD">
      <w:pPr>
        <w:pStyle w:val="libFootnote0"/>
        <w:rPr>
          <w:lang w:bidi="fa-IR"/>
        </w:rPr>
      </w:pPr>
      <w:r>
        <w:rPr>
          <w:rtl/>
          <w:lang w:bidi="fa-IR"/>
        </w:rPr>
        <w:t>(3).</w:t>
      </w:r>
      <w:r w:rsidR="00744A1C">
        <w:rPr>
          <w:rtl/>
          <w:lang w:bidi="fa-IR"/>
        </w:rPr>
        <w:t xml:space="preserve"> في « ط ، بخ ، بف » </w:t>
      </w:r>
      <w:r w:rsidR="00744A1C" w:rsidRPr="00FC1799">
        <w:rPr>
          <w:rtl/>
        </w:rPr>
        <w:t>والوافي</w:t>
      </w:r>
      <w:r w:rsidR="00744A1C">
        <w:rPr>
          <w:rtl/>
          <w:lang w:bidi="fa-IR"/>
        </w:rPr>
        <w:t xml:space="preserve"> : « ولكن ».</w:t>
      </w:r>
    </w:p>
    <w:p w:rsidR="00744A1C" w:rsidRDefault="00E378DD" w:rsidP="00E378DD">
      <w:pPr>
        <w:pStyle w:val="libFootnote0"/>
        <w:rPr>
          <w:lang w:bidi="fa-IR"/>
        </w:rPr>
      </w:pPr>
      <w:r>
        <w:rPr>
          <w:rtl/>
          <w:lang w:bidi="fa-IR"/>
        </w:rPr>
        <w:t>(4).</w:t>
      </w:r>
      <w:r w:rsidR="00744A1C">
        <w:rPr>
          <w:rtl/>
          <w:lang w:bidi="fa-IR"/>
        </w:rPr>
        <w:t xml:space="preserve"> الخِطْر : نبات يجعل ورقه في الخضاب الأسود يختضب به. راجع : </w:t>
      </w:r>
      <w:r w:rsidR="00744A1C" w:rsidRPr="00877682">
        <w:rPr>
          <w:rStyle w:val="libFootnoteBoldChar"/>
          <w:rtl/>
        </w:rPr>
        <w:t>لسان العرب</w:t>
      </w:r>
      <w:r w:rsidR="00744A1C">
        <w:rPr>
          <w:rtl/>
          <w:lang w:bidi="fa-IR"/>
        </w:rPr>
        <w:t xml:space="preserve"> ، ج 4 ، ص 253 ( خطر ).</w:t>
      </w:r>
    </w:p>
    <w:p w:rsidR="00744A1C" w:rsidRDefault="00E378DD" w:rsidP="00E378DD">
      <w:pPr>
        <w:pStyle w:val="libFootnote0"/>
        <w:rPr>
          <w:lang w:bidi="fa-IR"/>
        </w:rPr>
      </w:pPr>
      <w:r>
        <w:rPr>
          <w:rtl/>
          <w:lang w:bidi="fa-IR"/>
        </w:rPr>
        <w:t>(5).</w:t>
      </w:r>
      <w:r w:rsidR="00744A1C">
        <w:rPr>
          <w:rtl/>
          <w:lang w:bidi="fa-IR"/>
        </w:rPr>
        <w:t xml:space="preserve"> « الوسمة » بكسر السين ، وقد تسكّن : نبت ، وقيل : شجر باليمن يخضب بورقه الشعر ، أسود. </w:t>
      </w:r>
      <w:r w:rsidR="00744A1C" w:rsidRPr="00E978C3">
        <w:rPr>
          <w:rStyle w:val="libFootnoteBoldChar"/>
          <w:rtl/>
        </w:rPr>
        <w:t>الصحاح</w:t>
      </w:r>
      <w:r w:rsidR="00744A1C">
        <w:rPr>
          <w:rtl/>
          <w:lang w:bidi="fa-IR"/>
        </w:rPr>
        <w:t xml:space="preserve"> ، ج 5 ، ص 2051 ؛ </w:t>
      </w:r>
      <w:r w:rsidR="00744A1C" w:rsidRPr="00877682">
        <w:rPr>
          <w:rStyle w:val="libFootnoteBoldChar"/>
          <w:rtl/>
        </w:rPr>
        <w:t>النهاية</w:t>
      </w:r>
      <w:r w:rsidR="00744A1C">
        <w:rPr>
          <w:rtl/>
          <w:lang w:bidi="fa-IR"/>
        </w:rPr>
        <w:t xml:space="preserve"> ، ج 5 ، ص 185 ( وسم ).</w:t>
      </w:r>
    </w:p>
    <w:p w:rsidR="00744A1C" w:rsidRDefault="00E378DD" w:rsidP="000911BB">
      <w:pPr>
        <w:pStyle w:val="libFootnote0"/>
        <w:rPr>
          <w:lang w:bidi="fa-IR"/>
        </w:rPr>
      </w:pPr>
      <w:r>
        <w:rPr>
          <w:rtl/>
          <w:lang w:bidi="fa-IR"/>
        </w:rPr>
        <w:t>(6).</w:t>
      </w:r>
      <w:r w:rsidR="00744A1C">
        <w:rPr>
          <w:rtl/>
          <w:lang w:bidi="fa-IR"/>
        </w:rPr>
        <w:t xml:space="preserve"> في « ى ، بح ، بخ ، بس ، بف ، جد ، جن » </w:t>
      </w:r>
      <w:r w:rsidR="00744A1C" w:rsidRPr="000911BB">
        <w:rPr>
          <w:rtl/>
        </w:rPr>
        <w:t>والوافي والوسائل</w:t>
      </w:r>
      <w:r w:rsidR="00744A1C">
        <w:rPr>
          <w:rtl/>
          <w:lang w:bidi="fa-IR"/>
        </w:rPr>
        <w:t xml:space="preserve"> ، ح 21959 </w:t>
      </w:r>
      <w:r w:rsidR="00744A1C" w:rsidRPr="000911BB">
        <w:rPr>
          <w:rtl/>
        </w:rPr>
        <w:t>والبحار</w:t>
      </w:r>
      <w:r w:rsidR="00744A1C">
        <w:rPr>
          <w:rtl/>
          <w:lang w:bidi="fa-IR"/>
        </w:rPr>
        <w:t xml:space="preserve"> : « فيباع ». وفي </w:t>
      </w:r>
      <w:r w:rsidR="00744A1C" w:rsidRPr="000911BB">
        <w:rPr>
          <w:rtl/>
        </w:rPr>
        <w:t>التهذيب</w:t>
      </w:r>
      <w:r w:rsidR="00744A1C">
        <w:rPr>
          <w:rtl/>
          <w:lang w:bidi="fa-IR"/>
        </w:rPr>
        <w:t xml:space="preserve"> : « فيبتاع ».</w:t>
      </w:r>
      <w:r w:rsidR="000911BB">
        <w:rPr>
          <w:rFonts w:hint="cs"/>
          <w:rtl/>
          <w:lang w:bidi="fa-IR"/>
        </w:rPr>
        <w:t xml:space="preserve">                   </w:t>
      </w:r>
      <w:r>
        <w:rPr>
          <w:rtl/>
          <w:lang w:bidi="fa-IR"/>
        </w:rPr>
        <w:t>(7).</w:t>
      </w:r>
      <w:r w:rsidR="00744A1C">
        <w:rPr>
          <w:rtl/>
          <w:lang w:bidi="fa-IR"/>
        </w:rPr>
        <w:t xml:space="preserve"> في </w:t>
      </w:r>
      <w:r w:rsidR="00744A1C" w:rsidRPr="000911BB">
        <w:rPr>
          <w:rtl/>
        </w:rPr>
        <w:t>الوسائل</w:t>
      </w:r>
      <w:r w:rsidR="00744A1C">
        <w:rPr>
          <w:rtl/>
          <w:lang w:bidi="fa-IR"/>
        </w:rPr>
        <w:t xml:space="preserve"> ، ح 23781 : - « ونعطيك ».</w:t>
      </w:r>
    </w:p>
    <w:p w:rsidR="00744A1C" w:rsidRDefault="00E378DD" w:rsidP="00E378DD">
      <w:pPr>
        <w:pStyle w:val="libFootnote0"/>
        <w:rPr>
          <w:lang w:bidi="fa-IR"/>
        </w:rPr>
      </w:pPr>
      <w:r>
        <w:rPr>
          <w:rtl/>
          <w:lang w:bidi="fa-IR"/>
        </w:rPr>
        <w:t>(8).</w:t>
      </w:r>
      <w:r w:rsidR="00744A1C">
        <w:rPr>
          <w:rtl/>
          <w:lang w:bidi="fa-IR"/>
        </w:rPr>
        <w:t xml:space="preserve"> في « ى ، بخ ، بف ، جت » </w:t>
      </w:r>
      <w:r w:rsidR="00744A1C" w:rsidRPr="000911BB">
        <w:rPr>
          <w:rtl/>
        </w:rPr>
        <w:t>والوافي</w:t>
      </w:r>
      <w:r w:rsidR="00744A1C">
        <w:rPr>
          <w:rtl/>
          <w:lang w:bidi="fa-IR"/>
        </w:rPr>
        <w:t xml:space="preserve"> : + « له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187 ، ح 389 ، معلّقاً عن الكليني. وفي </w:t>
      </w:r>
      <w:r w:rsidR="00744A1C" w:rsidRPr="00C24F9C">
        <w:rPr>
          <w:rStyle w:val="libFootnoteBoldChar"/>
          <w:rtl/>
        </w:rPr>
        <w:t>الفقيه</w:t>
      </w:r>
      <w:r w:rsidR="00744A1C">
        <w:rPr>
          <w:rtl/>
          <w:lang w:bidi="fa-IR"/>
        </w:rPr>
        <w:t xml:space="preserve"> ، ج 3 ، ص 165 ، ح 3610 ، هكذا : « وقال رجل لأبي الحسن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 عدني قال : كيف أعدك ... » </w:t>
      </w:r>
      <w:r w:rsidR="000911BB">
        <w:rPr>
          <w:rFonts w:hint="cs"/>
          <w:rtl/>
          <w:lang w:bidi="fa-IR"/>
        </w:rPr>
        <w:t>.</w:t>
      </w:r>
      <w:r w:rsidR="00744A1C" w:rsidRPr="00C24F9C">
        <w:rPr>
          <w:rStyle w:val="libFootnoteBoldChar"/>
          <w:rtl/>
        </w:rPr>
        <w:t>الوافي</w:t>
      </w:r>
      <w:r w:rsidR="00744A1C">
        <w:rPr>
          <w:rtl/>
          <w:lang w:bidi="fa-IR"/>
        </w:rPr>
        <w:t xml:space="preserve"> ، ج 18 ، ص 792 ، ح 18308 ؛ </w:t>
      </w:r>
      <w:r w:rsidR="00744A1C" w:rsidRPr="00C24F9C">
        <w:rPr>
          <w:rStyle w:val="libFootnoteBoldChar"/>
          <w:rtl/>
        </w:rPr>
        <w:t>الوسائل</w:t>
      </w:r>
      <w:r w:rsidR="00744A1C">
        <w:rPr>
          <w:rtl/>
          <w:lang w:bidi="fa-IR"/>
        </w:rPr>
        <w:t xml:space="preserve"> ، ج 17 ، ص 53 ، ح 21959 ؛ وج 18 ، ص 329 ، ح 23781 ؛ </w:t>
      </w:r>
      <w:r w:rsidR="00744A1C" w:rsidRPr="0061079A">
        <w:rPr>
          <w:rStyle w:val="libFootnoteBoldChar"/>
          <w:rtl/>
        </w:rPr>
        <w:t>البحار</w:t>
      </w:r>
      <w:r w:rsidR="00744A1C">
        <w:rPr>
          <w:rtl/>
          <w:lang w:bidi="fa-IR"/>
        </w:rPr>
        <w:t xml:space="preserve"> ، ج 47 ، ص 58 ، ح 110.</w:t>
      </w:r>
    </w:p>
    <w:p w:rsidR="00744A1C" w:rsidRDefault="00E378DD" w:rsidP="00E378DD">
      <w:pPr>
        <w:pStyle w:val="libFootnote0"/>
        <w:rPr>
          <w:lang w:bidi="fa-IR"/>
        </w:rPr>
      </w:pPr>
      <w:r>
        <w:rPr>
          <w:rtl/>
          <w:lang w:bidi="fa-IR"/>
        </w:rPr>
        <w:t>(10).</w:t>
      </w:r>
      <w:r w:rsidR="00744A1C">
        <w:rPr>
          <w:rtl/>
          <w:lang w:bidi="fa-IR"/>
        </w:rPr>
        <w:t xml:space="preserve"> في حاشية « جن » </w:t>
      </w:r>
      <w:r w:rsidR="00744A1C" w:rsidRPr="000911BB">
        <w:rPr>
          <w:rtl/>
        </w:rPr>
        <w:t>والوسائل</w:t>
      </w:r>
      <w:r w:rsidR="00744A1C">
        <w:rPr>
          <w:rtl/>
          <w:lang w:bidi="fa-IR"/>
        </w:rPr>
        <w:t xml:space="preserve"> ، ح 23760 : « المفضّل ».</w:t>
      </w:r>
    </w:p>
    <w:p w:rsidR="00744A1C" w:rsidRDefault="00E378DD" w:rsidP="00E378DD">
      <w:pPr>
        <w:pStyle w:val="libFootnote0"/>
        <w:rPr>
          <w:lang w:bidi="fa-IR"/>
        </w:rPr>
      </w:pPr>
      <w:r>
        <w:rPr>
          <w:rtl/>
          <w:lang w:bidi="fa-IR"/>
        </w:rPr>
        <w:t>(11).</w:t>
      </w:r>
      <w:r w:rsidR="00744A1C">
        <w:rPr>
          <w:rtl/>
          <w:lang w:bidi="fa-IR"/>
        </w:rPr>
        <w:t xml:space="preserve"> في « بف » : « أضاق ».</w:t>
      </w:r>
    </w:p>
    <w:p w:rsidR="00744A1C" w:rsidRDefault="00E378DD" w:rsidP="00E378DD">
      <w:pPr>
        <w:pStyle w:val="libFootnote0"/>
        <w:rPr>
          <w:lang w:bidi="fa-IR"/>
        </w:rPr>
      </w:pPr>
      <w:r>
        <w:rPr>
          <w:rtl/>
          <w:lang w:bidi="fa-IR"/>
        </w:rPr>
        <w:t>(12).</w:t>
      </w:r>
      <w:r w:rsidR="00744A1C">
        <w:rPr>
          <w:rtl/>
          <w:lang w:bidi="fa-IR"/>
        </w:rPr>
        <w:t xml:space="preserve"> في « ط ، بح ، بس ، جت ، جد ، جن » </w:t>
      </w:r>
      <w:r w:rsidR="00744A1C" w:rsidRPr="000911BB">
        <w:rPr>
          <w:rtl/>
        </w:rPr>
        <w:t>والوسائل والبحار</w:t>
      </w:r>
      <w:r w:rsidR="00744A1C">
        <w:rPr>
          <w:rtl/>
          <w:lang w:bidi="fa-IR"/>
        </w:rPr>
        <w:t xml:space="preserve"> : - « على ».</w:t>
      </w:r>
    </w:p>
    <w:p w:rsidR="006A5060" w:rsidRDefault="006A5060" w:rsidP="00D10E3C">
      <w:pPr>
        <w:pStyle w:val="libNormal"/>
        <w:rPr>
          <w:rtl/>
          <w:lang w:bidi="fa-IR"/>
        </w:rPr>
      </w:pPr>
      <w:r>
        <w:rPr>
          <w:rtl/>
          <w:lang w:bidi="fa-IR"/>
        </w:rPr>
        <w:br w:type="page"/>
      </w:r>
    </w:p>
    <w:p w:rsidR="00744A1C" w:rsidRDefault="00744A1C" w:rsidP="000911BB">
      <w:pPr>
        <w:pStyle w:val="libNormal0"/>
        <w:rPr>
          <w:lang w:bidi="fa-IR"/>
        </w:rPr>
      </w:pPr>
      <w:r>
        <w:rPr>
          <w:rtl/>
          <w:lang w:bidi="fa-IR"/>
        </w:rPr>
        <w:t xml:space="preserve">« أَقْرِضْنِي عَشَرَةَ آلَافِ دِرْهَمٍ إِلى مَيْسَرَةٍ » فَقَالَ : لَا </w:t>
      </w:r>
      <w:r w:rsidRPr="00D10E3C">
        <w:rPr>
          <w:rStyle w:val="libFootnotenumChar"/>
          <w:rtl/>
        </w:rPr>
        <w:t>(1)</w:t>
      </w:r>
      <w:r>
        <w:rPr>
          <w:rtl/>
          <w:lang w:bidi="fa-IR"/>
        </w:rPr>
        <w:t xml:space="preserve"> ؛ لِأَنَّهُ </w:t>
      </w:r>
      <w:r w:rsidRPr="00D10E3C">
        <w:rPr>
          <w:rStyle w:val="libFootnotenumChar"/>
          <w:rtl/>
        </w:rPr>
        <w:t>(2)</w:t>
      </w:r>
      <w:r>
        <w:rPr>
          <w:rtl/>
          <w:lang w:bidi="fa-IR"/>
        </w:rPr>
        <w:t xml:space="preserve"> لَيْسَ عِنْدِي ، وَلكِنِّي </w:t>
      </w:r>
      <w:r w:rsidRPr="00D10E3C">
        <w:rPr>
          <w:rStyle w:val="libFootnotenumChar"/>
          <w:rtl/>
        </w:rPr>
        <w:t>(3)</w:t>
      </w:r>
      <w:r>
        <w:rPr>
          <w:rtl/>
          <w:lang w:bidi="fa-IR"/>
        </w:rPr>
        <w:t xml:space="preserve"> أُرِيدُ وَثِيقَةً ، قَالَ : فَنَتَفَ </w:t>
      </w:r>
      <w:r w:rsidRPr="00D10E3C">
        <w:rPr>
          <w:rStyle w:val="libFootnotenumChar"/>
          <w:rtl/>
        </w:rPr>
        <w:t>(4)</w:t>
      </w:r>
      <w:r>
        <w:rPr>
          <w:rtl/>
          <w:lang w:bidi="fa-IR"/>
        </w:rPr>
        <w:t xml:space="preserve"> لَهُ مِنْ رِدَائِهِ هُدْبَةً </w:t>
      </w:r>
      <w:r w:rsidRPr="00D10E3C">
        <w:rPr>
          <w:rStyle w:val="libFootnotenumChar"/>
          <w:rtl/>
        </w:rPr>
        <w:t>(5)</w:t>
      </w:r>
      <w:r>
        <w:rPr>
          <w:rtl/>
          <w:lang w:bidi="fa-IR"/>
        </w:rPr>
        <w:t xml:space="preserve"> ، فَقَالَ لَهُ </w:t>
      </w:r>
      <w:r w:rsidRPr="00D10E3C">
        <w:rPr>
          <w:rStyle w:val="libFootnotenumChar"/>
          <w:rtl/>
        </w:rPr>
        <w:t>(6)</w:t>
      </w:r>
      <w:r>
        <w:rPr>
          <w:rtl/>
          <w:lang w:bidi="fa-IR"/>
        </w:rPr>
        <w:t xml:space="preserve"> : « هذِهِ الْوَثِيقَةُ » قَالَ : فَكَانَ </w:t>
      </w:r>
      <w:r w:rsidRPr="00D10E3C">
        <w:rPr>
          <w:rStyle w:val="libFootnotenumChar"/>
          <w:rtl/>
        </w:rPr>
        <w:t>(7)</w:t>
      </w:r>
      <w:r>
        <w:rPr>
          <w:rtl/>
          <w:lang w:bidi="fa-IR"/>
        </w:rPr>
        <w:t xml:space="preserve"> مَوْلَاهُ كَرِهَ ذلِكَ ، فَغَضِبَ ، وَقَالَ </w:t>
      </w:r>
      <w:r w:rsidRPr="00D10E3C">
        <w:rPr>
          <w:rStyle w:val="libFootnotenumChar"/>
          <w:rtl/>
        </w:rPr>
        <w:t>(8)</w:t>
      </w:r>
      <w:r>
        <w:rPr>
          <w:rtl/>
          <w:lang w:bidi="fa-IR"/>
        </w:rPr>
        <w:t xml:space="preserve"> : « أَنَا أَوْلى بِالْوَفَاءِ ، أَمْ حَاجِبُ بْنُ زُرَارَةَ </w:t>
      </w:r>
      <w:r w:rsidRPr="00D10E3C">
        <w:rPr>
          <w:rStyle w:val="libFootnotenumChar"/>
          <w:rtl/>
        </w:rPr>
        <w:t>(9)</w:t>
      </w:r>
      <w:r>
        <w:rPr>
          <w:rtl/>
          <w:lang w:bidi="fa-IR"/>
        </w:rPr>
        <w:t xml:space="preserve">؟ » فَقَالَ : أَنْتَ أَوْلى بِذلِكَ مِنْهُ ، قَالَ </w:t>
      </w:r>
      <w:r w:rsidRPr="00D10E3C">
        <w:rPr>
          <w:rStyle w:val="libFootnotenumChar"/>
          <w:rtl/>
        </w:rPr>
        <w:t>(10)</w:t>
      </w:r>
      <w:r>
        <w:rPr>
          <w:rtl/>
          <w:lang w:bidi="fa-IR"/>
        </w:rPr>
        <w:t xml:space="preserve"> : « فَكَيْفَ صَارَ حَاجِبٌ </w:t>
      </w:r>
      <w:r w:rsidRPr="00D10E3C">
        <w:rPr>
          <w:rStyle w:val="libFootnotenumChar"/>
          <w:rtl/>
        </w:rPr>
        <w:t>(11)</w:t>
      </w:r>
      <w:r>
        <w:rPr>
          <w:rtl/>
          <w:lang w:bidi="fa-IR"/>
        </w:rPr>
        <w:t xml:space="preserve"> يَرْهَنُ قَوْساً </w:t>
      </w:r>
      <w:r w:rsidRPr="00D10E3C">
        <w:rPr>
          <w:rStyle w:val="libFootnotenumChar"/>
          <w:rtl/>
        </w:rPr>
        <w:t>(12)</w:t>
      </w:r>
      <w:r>
        <w:rPr>
          <w:rtl/>
          <w:lang w:bidi="fa-IR"/>
        </w:rPr>
        <w:t xml:space="preserve"> ، وَإِنَّمَا هِيَ خَشَبَةٌ عَلى مِائَةِ </w:t>
      </w:r>
      <w:r w:rsidRPr="00D10E3C">
        <w:rPr>
          <w:rStyle w:val="libFootnotenumChar"/>
          <w:rtl/>
        </w:rPr>
        <w:t>(13)</w:t>
      </w:r>
      <w:r>
        <w:rPr>
          <w:rtl/>
          <w:lang w:bidi="fa-IR"/>
        </w:rPr>
        <w:t xml:space="preserve"> حَمَالَةٍ </w:t>
      </w:r>
      <w:r w:rsidRPr="00D10E3C">
        <w:rPr>
          <w:rStyle w:val="libFootnotenumChar"/>
          <w:rtl/>
        </w:rPr>
        <w:t>(14)</w:t>
      </w:r>
      <w:r>
        <w:rPr>
          <w:rtl/>
          <w:lang w:bidi="fa-IR"/>
        </w:rPr>
        <w:t xml:space="preserve"> وَهُوَ كَافِرٌ‌</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0911BB">
        <w:rPr>
          <w:rtl/>
        </w:rPr>
        <w:t>الوسائل</w:t>
      </w:r>
      <w:r w:rsidR="00744A1C">
        <w:rPr>
          <w:rtl/>
          <w:lang w:bidi="fa-IR"/>
        </w:rPr>
        <w:t xml:space="preserve"> ، ح 23774 : + « لا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فقال : لا ؛ لأنّه. التعليل نفياً وإثباتاً لمحذوف حذف أدباً وحياءً ، نحو : لا ا</w:t>
      </w:r>
      <w:r w:rsidR="000911BB">
        <w:rPr>
          <w:rFonts w:hint="cs"/>
          <w:rtl/>
          <w:lang w:bidi="fa-IR"/>
        </w:rPr>
        <w:t>ُ</w:t>
      </w:r>
      <w:r w:rsidR="00744A1C">
        <w:rPr>
          <w:rtl/>
          <w:lang w:bidi="fa-IR"/>
        </w:rPr>
        <w:t>قرضك ، أو ما يؤدّي معناه ».</w:t>
      </w:r>
    </w:p>
    <w:p w:rsidR="00744A1C" w:rsidRDefault="00E378DD" w:rsidP="00E378DD">
      <w:pPr>
        <w:pStyle w:val="libFootnote0"/>
        <w:rPr>
          <w:lang w:bidi="fa-IR"/>
        </w:rPr>
      </w:pPr>
      <w:r>
        <w:rPr>
          <w:rtl/>
          <w:lang w:bidi="fa-IR"/>
        </w:rPr>
        <w:t>(3).</w:t>
      </w:r>
      <w:r w:rsidR="00744A1C">
        <w:rPr>
          <w:rtl/>
          <w:lang w:bidi="fa-IR"/>
        </w:rPr>
        <w:t xml:space="preserve"> هكذا في « ط ، ى ، بح ، بخ ، بس ، بف ، جت » </w:t>
      </w:r>
      <w:r w:rsidR="00744A1C" w:rsidRPr="000911BB">
        <w:rPr>
          <w:rtl/>
        </w:rPr>
        <w:t>والوافي والوسائل</w:t>
      </w:r>
      <w:r w:rsidR="00744A1C">
        <w:rPr>
          <w:rtl/>
          <w:lang w:bidi="fa-IR"/>
        </w:rPr>
        <w:t xml:space="preserve"> ، ح 23774 </w:t>
      </w:r>
      <w:r w:rsidR="00744A1C" w:rsidRPr="000911BB">
        <w:rPr>
          <w:rtl/>
        </w:rPr>
        <w:t>والبحار</w:t>
      </w:r>
      <w:r w:rsidR="00744A1C">
        <w:rPr>
          <w:rtl/>
          <w:lang w:bidi="fa-IR"/>
        </w:rPr>
        <w:t>. وفي سائر النسخ</w:t>
      </w:r>
      <w:r w:rsidR="000911BB">
        <w:rPr>
          <w:rFonts w:hint="cs"/>
          <w:rtl/>
          <w:lang w:bidi="fa-IR"/>
        </w:rPr>
        <w:t xml:space="preserve"> </w:t>
      </w:r>
      <w:r w:rsidR="00744A1C">
        <w:rPr>
          <w:rtl/>
          <w:lang w:bidi="fa-IR"/>
        </w:rPr>
        <w:t>‌والمطبوع : « ولكن ».</w:t>
      </w:r>
    </w:p>
    <w:p w:rsidR="00744A1C" w:rsidRDefault="00E378DD" w:rsidP="00E378DD">
      <w:pPr>
        <w:pStyle w:val="libFootnote0"/>
        <w:rPr>
          <w:lang w:bidi="fa-IR"/>
        </w:rPr>
      </w:pPr>
      <w:r>
        <w:rPr>
          <w:rtl/>
          <w:lang w:bidi="fa-IR"/>
        </w:rPr>
        <w:t>(4).</w:t>
      </w:r>
      <w:r w:rsidR="00744A1C">
        <w:rPr>
          <w:rtl/>
          <w:lang w:bidi="fa-IR"/>
        </w:rPr>
        <w:t xml:space="preserve"> هكذا في « ط ، ى ، بح ، بخ ، بس ، بف ، جت ، جد » </w:t>
      </w:r>
      <w:r w:rsidR="00744A1C" w:rsidRPr="000911BB">
        <w:rPr>
          <w:rtl/>
        </w:rPr>
        <w:t>والوافي والوسائل</w:t>
      </w:r>
      <w:r w:rsidR="00744A1C">
        <w:rPr>
          <w:rtl/>
          <w:lang w:bidi="fa-IR"/>
        </w:rPr>
        <w:t xml:space="preserve"> ، ح 23774 </w:t>
      </w:r>
      <w:r w:rsidR="00744A1C" w:rsidRPr="000911BB">
        <w:rPr>
          <w:rtl/>
        </w:rPr>
        <w:t>والبحار</w:t>
      </w:r>
      <w:r w:rsidR="00744A1C">
        <w:rPr>
          <w:rtl/>
          <w:lang w:bidi="fa-IR"/>
        </w:rPr>
        <w:t>. وفي المطبوع : « فشقّ ».</w:t>
      </w:r>
    </w:p>
    <w:p w:rsidR="00744A1C" w:rsidRDefault="00E378DD" w:rsidP="00E378DD">
      <w:pPr>
        <w:pStyle w:val="libFootnote0"/>
        <w:rPr>
          <w:lang w:bidi="fa-IR"/>
        </w:rPr>
      </w:pPr>
      <w:r>
        <w:rPr>
          <w:rtl/>
          <w:lang w:bidi="fa-IR"/>
        </w:rPr>
        <w:t>(5).</w:t>
      </w:r>
      <w:r w:rsidR="00744A1C">
        <w:rPr>
          <w:rtl/>
          <w:lang w:bidi="fa-IR"/>
        </w:rPr>
        <w:t xml:space="preserve"> هُدْبة الثوب : طرفه ممّا يلي طُرّته ، أي طرفه الذي لم ينسج ، وهو عَلَمُه ، من الهُدْبظ بمعنى القطعة والطائفة. راجع : </w:t>
      </w:r>
      <w:r w:rsidR="00744A1C" w:rsidRPr="00877682">
        <w:rPr>
          <w:rStyle w:val="libFootnoteBoldChar"/>
          <w:rtl/>
        </w:rPr>
        <w:t>لسان العرب</w:t>
      </w:r>
      <w:r w:rsidR="00744A1C">
        <w:rPr>
          <w:rtl/>
          <w:lang w:bidi="fa-IR"/>
        </w:rPr>
        <w:t xml:space="preserve"> ، ج 1 ، ص 870 ؛ </w:t>
      </w:r>
      <w:r w:rsidR="00744A1C" w:rsidRPr="008A57EB">
        <w:rPr>
          <w:rStyle w:val="libFootnoteBoldChar"/>
          <w:rtl/>
        </w:rPr>
        <w:t>مجمع البحرين</w:t>
      </w:r>
      <w:r w:rsidR="00744A1C">
        <w:rPr>
          <w:rtl/>
          <w:lang w:bidi="fa-IR"/>
        </w:rPr>
        <w:t xml:space="preserve"> ، ج 2 ، ص 183 ( هدب ).</w:t>
      </w:r>
    </w:p>
    <w:p w:rsidR="00744A1C" w:rsidRDefault="00E378DD" w:rsidP="00E378DD">
      <w:pPr>
        <w:pStyle w:val="libFootnote0"/>
        <w:rPr>
          <w:lang w:bidi="fa-IR"/>
        </w:rPr>
      </w:pPr>
      <w:r>
        <w:rPr>
          <w:rtl/>
          <w:lang w:bidi="fa-IR"/>
        </w:rPr>
        <w:t>(6).</w:t>
      </w:r>
      <w:r w:rsidR="00744A1C">
        <w:rPr>
          <w:rtl/>
          <w:lang w:bidi="fa-IR"/>
        </w:rPr>
        <w:t xml:space="preserve"> في « ط ، ى ، بح ، بس ، جد ، جن » </w:t>
      </w:r>
      <w:r w:rsidR="00744A1C" w:rsidRPr="000911BB">
        <w:rPr>
          <w:rtl/>
        </w:rPr>
        <w:t>والوافي والوسائل</w:t>
      </w:r>
      <w:r w:rsidR="00744A1C">
        <w:rPr>
          <w:rtl/>
          <w:lang w:bidi="fa-IR"/>
        </w:rPr>
        <w:t xml:space="preserve"> ، ح 23774 </w:t>
      </w:r>
      <w:r w:rsidR="00744A1C" w:rsidRPr="000911BB">
        <w:rPr>
          <w:rtl/>
        </w:rPr>
        <w:t>والبحار</w:t>
      </w:r>
      <w:r w:rsidR="00744A1C">
        <w:rPr>
          <w:rtl/>
          <w:lang w:bidi="fa-IR"/>
        </w:rPr>
        <w:t xml:space="preserve"> : - « له ».</w:t>
      </w:r>
    </w:p>
    <w:tbl>
      <w:tblPr>
        <w:tblStyle w:val="TableGrid"/>
        <w:bidiVisual/>
        <w:tblW w:w="0" w:type="auto"/>
        <w:tblLook w:val="04A0" w:firstRow="1" w:lastRow="0" w:firstColumn="1" w:lastColumn="0" w:noHBand="0" w:noVBand="1"/>
      </w:tblPr>
      <w:tblGrid>
        <w:gridCol w:w="4006"/>
        <w:gridCol w:w="4006"/>
      </w:tblGrid>
      <w:tr w:rsidR="000911BB" w:rsidTr="000911BB">
        <w:tc>
          <w:tcPr>
            <w:tcW w:w="4006" w:type="dxa"/>
          </w:tcPr>
          <w:p w:rsidR="000911BB" w:rsidRDefault="000911BB" w:rsidP="00E378DD">
            <w:pPr>
              <w:pStyle w:val="libFootnote0"/>
              <w:rPr>
                <w:rtl/>
                <w:lang w:bidi="fa-IR"/>
              </w:rPr>
            </w:pPr>
            <w:r>
              <w:rPr>
                <w:rtl/>
                <w:lang w:bidi="fa-IR"/>
              </w:rPr>
              <w:t xml:space="preserve">(7). في « بس » </w:t>
            </w:r>
            <w:r w:rsidRPr="000911BB">
              <w:rPr>
                <w:rtl/>
              </w:rPr>
              <w:t>والوافي</w:t>
            </w:r>
            <w:r>
              <w:rPr>
                <w:rtl/>
                <w:lang w:bidi="fa-IR"/>
              </w:rPr>
              <w:t xml:space="preserve"> : « فكأنّ ».</w:t>
            </w:r>
          </w:p>
        </w:tc>
        <w:tc>
          <w:tcPr>
            <w:tcW w:w="4006" w:type="dxa"/>
          </w:tcPr>
          <w:p w:rsidR="000911BB" w:rsidRDefault="000911BB" w:rsidP="00E378DD">
            <w:pPr>
              <w:pStyle w:val="libFootnote0"/>
              <w:rPr>
                <w:rtl/>
                <w:lang w:bidi="fa-IR"/>
              </w:rPr>
            </w:pPr>
            <w:r>
              <w:rPr>
                <w:rtl/>
                <w:lang w:bidi="fa-IR"/>
              </w:rPr>
              <w:t xml:space="preserve">(8). في « بس » </w:t>
            </w:r>
            <w:r w:rsidRPr="000911BB">
              <w:rPr>
                <w:rtl/>
              </w:rPr>
              <w:t>والوافي</w:t>
            </w:r>
            <w:r>
              <w:rPr>
                <w:rtl/>
                <w:lang w:bidi="fa-IR"/>
              </w:rPr>
              <w:t xml:space="preserve"> : « فقال ».</w:t>
            </w:r>
          </w:p>
        </w:tc>
      </w:tr>
    </w:tbl>
    <w:p w:rsidR="00744A1C" w:rsidRDefault="00E378DD" w:rsidP="00E378DD">
      <w:pPr>
        <w:pStyle w:val="libFootnote0"/>
        <w:rPr>
          <w:lang w:bidi="fa-IR"/>
        </w:rPr>
      </w:pPr>
      <w:r>
        <w:rPr>
          <w:rtl/>
          <w:lang w:bidi="fa-IR"/>
        </w:rPr>
        <w:t>(9).</w:t>
      </w:r>
      <w:r w:rsidR="00744A1C">
        <w:rPr>
          <w:rtl/>
          <w:lang w:bidi="fa-IR"/>
        </w:rPr>
        <w:t xml:space="preserve"> في « ط » : - « بن زرارة ».</w:t>
      </w:r>
    </w:p>
    <w:p w:rsidR="00744A1C" w:rsidRDefault="00E378DD" w:rsidP="00E378DD">
      <w:pPr>
        <w:pStyle w:val="libFootnote0"/>
        <w:rPr>
          <w:lang w:bidi="fa-IR"/>
        </w:rPr>
      </w:pPr>
      <w:r>
        <w:rPr>
          <w:rtl/>
          <w:lang w:bidi="fa-IR"/>
        </w:rPr>
        <w:t>(10).</w:t>
      </w:r>
      <w:r w:rsidR="00744A1C">
        <w:rPr>
          <w:rtl/>
          <w:lang w:bidi="fa-IR"/>
        </w:rPr>
        <w:t xml:space="preserve"> هكذا في جميع النسخ التي قوبلت </w:t>
      </w:r>
      <w:r w:rsidR="00744A1C" w:rsidRPr="000911BB">
        <w:rPr>
          <w:rtl/>
        </w:rPr>
        <w:t>والوافي والوسائل</w:t>
      </w:r>
      <w:r w:rsidR="00744A1C">
        <w:rPr>
          <w:rtl/>
          <w:lang w:bidi="fa-IR"/>
        </w:rPr>
        <w:t xml:space="preserve"> ، ح 23774 </w:t>
      </w:r>
      <w:r w:rsidR="00744A1C" w:rsidRPr="000911BB">
        <w:rPr>
          <w:rtl/>
        </w:rPr>
        <w:t>والبحار</w:t>
      </w:r>
      <w:r w:rsidR="00744A1C">
        <w:rPr>
          <w:rtl/>
          <w:lang w:bidi="fa-IR"/>
        </w:rPr>
        <w:t>. وفي المطبوع : « فقال ».</w:t>
      </w:r>
    </w:p>
    <w:p w:rsidR="00744A1C" w:rsidRDefault="00E378DD" w:rsidP="00E378DD">
      <w:pPr>
        <w:pStyle w:val="libFootnote0"/>
        <w:rPr>
          <w:lang w:bidi="fa-IR"/>
        </w:rPr>
      </w:pPr>
      <w:r>
        <w:rPr>
          <w:rtl/>
          <w:lang w:bidi="fa-IR"/>
        </w:rPr>
        <w:t>(11).</w:t>
      </w:r>
      <w:r w:rsidR="00744A1C">
        <w:rPr>
          <w:rtl/>
          <w:lang w:bidi="fa-IR"/>
        </w:rPr>
        <w:t xml:space="preserve"> في « ط ، بخ ، بف ، جن » وحاشية « جت » </w:t>
      </w:r>
      <w:r w:rsidR="00744A1C" w:rsidRPr="000911BB">
        <w:rPr>
          <w:rtl/>
        </w:rPr>
        <w:t>والوافي</w:t>
      </w:r>
      <w:r w:rsidR="00744A1C">
        <w:rPr>
          <w:rtl/>
          <w:lang w:bidi="fa-IR"/>
        </w:rPr>
        <w:t xml:space="preserve"> : + « ابن زرارة ».</w:t>
      </w:r>
    </w:p>
    <w:p w:rsidR="00744A1C" w:rsidRDefault="00E378DD" w:rsidP="00E378DD">
      <w:pPr>
        <w:pStyle w:val="libFootnote0"/>
        <w:rPr>
          <w:lang w:bidi="fa-IR"/>
        </w:rPr>
      </w:pPr>
      <w:r>
        <w:rPr>
          <w:rtl/>
          <w:lang w:bidi="fa-IR"/>
        </w:rPr>
        <w:t>(12).</w:t>
      </w:r>
      <w:r w:rsidR="00744A1C">
        <w:rPr>
          <w:rtl/>
          <w:lang w:bidi="fa-IR"/>
        </w:rPr>
        <w:t xml:space="preserve"> في </w:t>
      </w:r>
      <w:r w:rsidR="00744A1C" w:rsidRPr="000911BB">
        <w:rPr>
          <w:rStyle w:val="libFootnoteBoldChar"/>
          <w:rtl/>
        </w:rPr>
        <w:t>القاموس</w:t>
      </w:r>
      <w:r w:rsidR="00744A1C">
        <w:rPr>
          <w:rtl/>
          <w:lang w:bidi="fa-IR"/>
        </w:rPr>
        <w:t xml:space="preserve"> : « ذو القوس : حاجب بن زرارة أتى كسرى في جَدْب أصابهم بدعوة النبيّ </w:t>
      </w:r>
      <w:r w:rsidR="004D054E" w:rsidRPr="005D2B3B">
        <w:rPr>
          <w:rStyle w:val="libFootnoteAlaemChar"/>
          <w:rtl/>
        </w:rPr>
        <w:t>صلى‌الله‌عليه‌وآله</w:t>
      </w:r>
      <w:r w:rsidR="00D10E3C">
        <w:rPr>
          <w:rtl/>
          <w:lang w:bidi="fa-IR"/>
        </w:rPr>
        <w:t xml:space="preserve"> </w:t>
      </w:r>
      <w:r w:rsidR="00744A1C">
        <w:rPr>
          <w:rtl/>
          <w:lang w:bidi="fa-IR"/>
        </w:rPr>
        <w:t>يستأذنه لقومه أن يصيروا في ناحية من بلاده حتّى يُحْيَوا ، فقال : إنّكم معاشر العرب غُدُر حُرُص ، فإن أذنت لكم أفسدتم البلاد وأغرتم على العباد. قال حاجب : إنّي ضامن للملك أن لا يفعلوا ، قال : فمن لي بأن تفي؟ قال : ارهنك قوسي ، فضحك من قوله فقال كسرى : ما كان ليسلّمها أبداً ، فقبلها منه وأذن لهم ، ثمّ ا</w:t>
      </w:r>
      <w:r w:rsidR="000911BB">
        <w:rPr>
          <w:rFonts w:hint="cs"/>
          <w:rtl/>
          <w:lang w:bidi="fa-IR"/>
        </w:rPr>
        <w:t>ُ</w:t>
      </w:r>
      <w:r w:rsidR="00744A1C">
        <w:rPr>
          <w:rtl/>
          <w:lang w:bidi="fa-IR"/>
        </w:rPr>
        <w:t xml:space="preserve">حْيِيَ الناس بدعوة النبيّ </w:t>
      </w:r>
      <w:r w:rsidR="004D054E" w:rsidRPr="000911BB">
        <w:rPr>
          <w:rStyle w:val="libFootnoteAlaemChar"/>
          <w:rtl/>
        </w:rPr>
        <w:t>صلى‌الله‌عليه‌وآله</w:t>
      </w:r>
      <w:r w:rsidR="00D10E3C">
        <w:rPr>
          <w:rtl/>
          <w:lang w:bidi="fa-IR"/>
        </w:rPr>
        <w:t xml:space="preserve"> </w:t>
      </w:r>
      <w:r w:rsidR="00744A1C">
        <w:rPr>
          <w:rtl/>
          <w:lang w:bidi="fa-IR"/>
        </w:rPr>
        <w:t xml:space="preserve">، وقد مات حاجب ، فارتحل عطارد ابنه إلى كسرى يطلب قوس أبيه ، فردّها عليه وكساه حلّة ، فلمّا رجع أهداها للنبيّ </w:t>
      </w:r>
      <w:r w:rsidR="00E843EA" w:rsidRPr="00E843EA">
        <w:rPr>
          <w:rStyle w:val="libFootnoteAlaemChar"/>
          <w:rtl/>
        </w:rPr>
        <w:t>صلى‌الله‌عليه‌وآله</w:t>
      </w:r>
      <w:r w:rsidR="00D10E3C">
        <w:rPr>
          <w:rtl/>
          <w:lang w:bidi="fa-IR"/>
        </w:rPr>
        <w:t xml:space="preserve"> </w:t>
      </w:r>
      <w:r w:rsidR="00744A1C">
        <w:rPr>
          <w:rtl/>
          <w:lang w:bidi="fa-IR"/>
        </w:rPr>
        <w:t xml:space="preserve">فلم يقبلها ، فباعها من يهوديّ بأربعة آلاف درهم ». </w:t>
      </w:r>
      <w:r w:rsidR="00744A1C" w:rsidRPr="008A57EB">
        <w:rPr>
          <w:rStyle w:val="libFootnoteBoldChar"/>
          <w:rtl/>
        </w:rPr>
        <w:t>القاموس المحيط</w:t>
      </w:r>
      <w:r w:rsidR="00744A1C">
        <w:rPr>
          <w:rtl/>
          <w:lang w:bidi="fa-IR"/>
        </w:rPr>
        <w:t xml:space="preserve"> ، ج 1 ، ص 778 ( قوس ).</w:t>
      </w:r>
    </w:p>
    <w:p w:rsidR="00744A1C" w:rsidRDefault="00E378DD" w:rsidP="00E378DD">
      <w:pPr>
        <w:pStyle w:val="libFootnote0"/>
        <w:rPr>
          <w:lang w:bidi="fa-IR"/>
        </w:rPr>
      </w:pPr>
      <w:r>
        <w:rPr>
          <w:rtl/>
          <w:lang w:bidi="fa-IR"/>
        </w:rPr>
        <w:t>(13).</w:t>
      </w:r>
      <w:r w:rsidR="00744A1C">
        <w:rPr>
          <w:rtl/>
          <w:lang w:bidi="fa-IR"/>
        </w:rPr>
        <w:t xml:space="preserve"> في « ط » : « مال ».</w:t>
      </w:r>
    </w:p>
    <w:p w:rsidR="00144FA6" w:rsidRDefault="00E378DD" w:rsidP="00E378DD">
      <w:pPr>
        <w:pStyle w:val="libFootnote0"/>
        <w:rPr>
          <w:rtl/>
          <w:lang w:bidi="fa-IR"/>
        </w:rPr>
      </w:pPr>
      <w:r>
        <w:rPr>
          <w:rtl/>
          <w:lang w:bidi="fa-IR"/>
        </w:rPr>
        <w:t>(14).</w:t>
      </w:r>
      <w:r w:rsidR="00744A1C">
        <w:rPr>
          <w:rtl/>
          <w:lang w:bidi="fa-IR"/>
        </w:rPr>
        <w:t xml:space="preserve"> في « ى ، بس ، جد ، جن » </w:t>
      </w:r>
      <w:r w:rsidR="00744A1C" w:rsidRPr="000911BB">
        <w:rPr>
          <w:rtl/>
        </w:rPr>
        <w:t>والوافي</w:t>
      </w:r>
      <w:r w:rsidR="00744A1C">
        <w:rPr>
          <w:rtl/>
          <w:lang w:bidi="fa-IR"/>
        </w:rPr>
        <w:t xml:space="preserve"> : « جمالة ». والحمالة - بالفتح - : ما يتحمّله الإنسان عن غيره من دية أو</w:t>
      </w:r>
      <w:r w:rsidR="000911BB">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0911BB">
      <w:pPr>
        <w:pStyle w:val="libNormal0"/>
        <w:rPr>
          <w:lang w:bidi="fa-IR"/>
        </w:rPr>
      </w:pPr>
      <w:r>
        <w:rPr>
          <w:rtl/>
          <w:lang w:bidi="fa-IR"/>
        </w:rPr>
        <w:t xml:space="preserve">فَيَفِي </w:t>
      </w:r>
      <w:r w:rsidRPr="00D10E3C">
        <w:rPr>
          <w:rStyle w:val="libFootnotenumChar"/>
          <w:rtl/>
        </w:rPr>
        <w:t>(1)</w:t>
      </w:r>
      <w:r>
        <w:rPr>
          <w:rtl/>
          <w:lang w:bidi="fa-IR"/>
        </w:rPr>
        <w:t xml:space="preserve"> ، وَأَنَا لَا أَفِي </w:t>
      </w:r>
      <w:r w:rsidRPr="00D10E3C">
        <w:rPr>
          <w:rStyle w:val="libFootnotenumChar"/>
          <w:rtl/>
        </w:rPr>
        <w:t>(2)</w:t>
      </w:r>
      <w:r>
        <w:rPr>
          <w:rtl/>
          <w:lang w:bidi="fa-IR"/>
        </w:rPr>
        <w:t xml:space="preserve"> بِهُدْبَةِ رِدَائِي؟! » قَالَ : فَأَخَذَهَا الرَّجُلُ مِنْهُ ، وَأَعْطَاهُ الدَّرَاهِمَ ، وَجَعَلَ الْهُدْبَةَ فِي حُقٍّ </w:t>
      </w:r>
      <w:r w:rsidRPr="00D10E3C">
        <w:rPr>
          <w:rStyle w:val="libFootnotenumChar"/>
          <w:rtl/>
        </w:rPr>
        <w:t>(3)</w:t>
      </w:r>
    </w:p>
    <w:p w:rsidR="00744A1C" w:rsidRDefault="00744A1C" w:rsidP="00744A1C">
      <w:pPr>
        <w:pStyle w:val="libNormal"/>
        <w:rPr>
          <w:lang w:bidi="fa-IR"/>
        </w:rPr>
      </w:pPr>
      <w:r>
        <w:rPr>
          <w:rtl/>
          <w:lang w:bidi="fa-IR"/>
        </w:rPr>
        <w:t xml:space="preserve">فَسَهَّلَ اللهُ - عَزَّ وَجَلَّ - لَهُ الْمَالَ ، فَحَمَلَهُ </w:t>
      </w:r>
      <w:r w:rsidRPr="00D10E3C">
        <w:rPr>
          <w:rStyle w:val="libFootnotenumChar"/>
          <w:rtl/>
        </w:rPr>
        <w:t>(4)</w:t>
      </w:r>
      <w:r>
        <w:rPr>
          <w:rtl/>
          <w:lang w:bidi="fa-IR"/>
        </w:rPr>
        <w:t xml:space="preserve"> إِلَى الرَّجُلِ ، ثُمَّ قَالَ لَهُ : « قَدْ أَحْضَرْتُ مَالَكَ ، فَهَاتِ وَثِيقَتِي » فَقَالَ لَهُ : جُعِلْتُ فِدَاكَ ، ضَيَّعْتُهَا ، فَقَالَ </w:t>
      </w:r>
      <w:r w:rsidRPr="00D10E3C">
        <w:rPr>
          <w:rStyle w:val="libFootnotenumChar"/>
          <w:rtl/>
        </w:rPr>
        <w:t>(5)</w:t>
      </w:r>
      <w:r>
        <w:rPr>
          <w:rtl/>
          <w:lang w:bidi="fa-IR"/>
        </w:rPr>
        <w:t xml:space="preserve"> : « إِذَنْ </w:t>
      </w:r>
      <w:r w:rsidRPr="00D10E3C">
        <w:rPr>
          <w:rStyle w:val="libFootnotenumChar"/>
          <w:rtl/>
        </w:rPr>
        <w:t>(6)</w:t>
      </w:r>
      <w:r>
        <w:rPr>
          <w:rtl/>
          <w:lang w:bidi="fa-IR"/>
        </w:rPr>
        <w:t xml:space="preserve"> لَاتَأْخُذُ مَالَكَ مِنِّي ، لَيْسَ مِثْلِي مَنْ </w:t>
      </w:r>
      <w:r w:rsidRPr="00D10E3C">
        <w:rPr>
          <w:rStyle w:val="libFootnotenumChar"/>
          <w:rtl/>
        </w:rPr>
        <w:t>(7)</w:t>
      </w:r>
      <w:r>
        <w:rPr>
          <w:rtl/>
          <w:lang w:bidi="fa-IR"/>
        </w:rPr>
        <w:t xml:space="preserve"> يَسْتَخِفُّ بِذِمَّتِهِ ».</w:t>
      </w:r>
    </w:p>
    <w:p w:rsidR="00144FA6" w:rsidRDefault="00744A1C" w:rsidP="00744A1C">
      <w:pPr>
        <w:pStyle w:val="libNormal"/>
        <w:rPr>
          <w:rtl/>
          <w:lang w:bidi="fa-IR"/>
        </w:rPr>
      </w:pPr>
      <w:r>
        <w:rPr>
          <w:rtl/>
          <w:lang w:bidi="fa-IR"/>
        </w:rPr>
        <w:t xml:space="preserve">قَالَ : فَأَخْرَجَ الرَّجُلُ الْحُقَّ ، فَإِذَا فِيهِ الْهُدْبَةُ ، فَأَعْطَاهَا عَلِيَّ بْنِ الْحُسَيْنِ </w:t>
      </w:r>
      <w:r w:rsidRPr="00D10E3C">
        <w:rPr>
          <w:rStyle w:val="libFootnotenumChar"/>
          <w:rtl/>
        </w:rPr>
        <w:t>(8)</w:t>
      </w:r>
      <w:r>
        <w:rPr>
          <w:rtl/>
          <w:lang w:bidi="fa-IR"/>
        </w:rPr>
        <w:t xml:space="preserve"> ، فَأَعْطَاهُ عَلِيُّ بْنُ الْحُسَيْنِ </w:t>
      </w:r>
      <w:r w:rsidR="008859AA" w:rsidRPr="008859AA">
        <w:rPr>
          <w:rStyle w:val="libAlaemChar"/>
          <w:rtl/>
        </w:rPr>
        <w:t>عليهما‌السلام</w:t>
      </w:r>
      <w:r w:rsidR="001573FE" w:rsidRPr="001573FE">
        <w:rPr>
          <w:rFonts w:hint="cs"/>
          <w:rtl/>
        </w:rPr>
        <w:t xml:space="preserve"> </w:t>
      </w:r>
      <w:r>
        <w:rPr>
          <w:rtl/>
          <w:lang w:bidi="fa-IR"/>
        </w:rPr>
        <w:t xml:space="preserve">الدَّرَاهِمَ ، وَأَخَذَ الْهُدْبَةَ ، فَرَمى </w:t>
      </w:r>
      <w:r w:rsidRPr="00D10E3C">
        <w:rPr>
          <w:rStyle w:val="libFootnotenumChar"/>
          <w:rtl/>
        </w:rPr>
        <w:t>(9)</w:t>
      </w:r>
      <w:r>
        <w:rPr>
          <w:rtl/>
          <w:lang w:bidi="fa-IR"/>
        </w:rPr>
        <w:t xml:space="preserve"> بِهَا </w:t>
      </w:r>
      <w:r w:rsidRPr="00D10E3C">
        <w:rPr>
          <w:rStyle w:val="libFootnotenumChar"/>
          <w:rtl/>
        </w:rPr>
        <w:t>(10)</w:t>
      </w:r>
      <w:r>
        <w:rPr>
          <w:rtl/>
          <w:lang w:bidi="fa-IR"/>
        </w:rPr>
        <w:t xml:space="preserve"> ، وَانْصَرَفَ. </w:t>
      </w:r>
      <w:r w:rsidRPr="00D10E3C">
        <w:rPr>
          <w:rStyle w:val="libFootnotenumChar"/>
          <w:rtl/>
        </w:rPr>
        <w:t>(11)</w:t>
      </w:r>
    </w:p>
    <w:p w:rsidR="00144FA6" w:rsidRDefault="00744A1C" w:rsidP="00744A1C">
      <w:pPr>
        <w:pStyle w:val="libNormal"/>
        <w:rPr>
          <w:rtl/>
          <w:lang w:bidi="fa-IR"/>
        </w:rPr>
      </w:pPr>
      <w:r>
        <w:rPr>
          <w:rtl/>
          <w:lang w:bidi="fa-IR"/>
        </w:rPr>
        <w:t xml:space="preserve">8474 / 7. عَنْهُ </w:t>
      </w:r>
      <w:r w:rsidRPr="00D10E3C">
        <w:rPr>
          <w:rStyle w:val="libFootnotenumChar"/>
          <w:rtl/>
        </w:rPr>
        <w:t>(12)</w:t>
      </w:r>
      <w:r w:rsidR="001573FE">
        <w:rPr>
          <w:rtl/>
          <w:lang w:bidi="fa-IR"/>
        </w:rPr>
        <w:t>، عَنْ يُوسُفَ بْنِ السُّخْتِ</w:t>
      </w:r>
      <w:r>
        <w:rPr>
          <w:rtl/>
          <w:lang w:bidi="fa-IR"/>
        </w:rPr>
        <w:t xml:space="preserve">، عَنْ عَلِيِّ بْنِ مُحَمَّدِ </w:t>
      </w:r>
      <w:r w:rsidR="001573FE">
        <w:rPr>
          <w:rtl/>
          <w:lang w:bidi="fa-IR"/>
        </w:rPr>
        <w:t>بْنِ سُلَيْمَانَ، عَنْ أَبِيهِ</w:t>
      </w:r>
      <w:r>
        <w:rPr>
          <w:rtl/>
          <w:lang w:bidi="fa-IR"/>
        </w:rPr>
        <w:t>،</w:t>
      </w:r>
    </w:p>
    <w:p w:rsidR="00744A1C" w:rsidRDefault="00744A1C" w:rsidP="00D10E3C">
      <w:pPr>
        <w:pStyle w:val="libLine"/>
        <w:rPr>
          <w:lang w:bidi="fa-IR"/>
        </w:rPr>
      </w:pPr>
      <w:r>
        <w:rPr>
          <w:rtl/>
          <w:lang w:bidi="fa-IR"/>
        </w:rPr>
        <w:t>____________________</w:t>
      </w:r>
    </w:p>
    <w:p w:rsidR="00744A1C" w:rsidRDefault="001573FE" w:rsidP="00D10E3C">
      <w:pPr>
        <w:pStyle w:val="libFootnote0"/>
        <w:rPr>
          <w:lang w:bidi="fa-IR"/>
        </w:rPr>
      </w:pPr>
      <w:r>
        <w:rPr>
          <w:rFonts w:hint="cs"/>
          <w:rtl/>
          <w:lang w:bidi="fa-IR"/>
        </w:rPr>
        <w:t xml:space="preserve">= </w:t>
      </w:r>
      <w:r w:rsidR="00744A1C">
        <w:rPr>
          <w:rtl/>
          <w:lang w:bidi="fa-IR"/>
        </w:rPr>
        <w:t xml:space="preserve">غرامة ، مثل أن يقع حرب بين فريقين تسفك فيها الدماء ، فيدخل بينهم رجل يتحمّل ديات القتلى ليصلح ذات البين. والتحمّل : أن يحملها عنهم على نفسه. </w:t>
      </w:r>
      <w:r w:rsidR="00744A1C" w:rsidRPr="00877682">
        <w:rPr>
          <w:rStyle w:val="libFootnoteBoldChar"/>
          <w:rtl/>
        </w:rPr>
        <w:t>النهاية</w:t>
      </w:r>
      <w:r w:rsidR="00744A1C">
        <w:rPr>
          <w:rtl/>
          <w:lang w:bidi="fa-IR"/>
        </w:rPr>
        <w:t xml:space="preserve"> ، ج 1 ، ص 442 ( حمل ).</w:t>
      </w:r>
    </w:p>
    <w:p w:rsidR="00744A1C" w:rsidRDefault="00D10E3C" w:rsidP="00D10E3C">
      <w:pPr>
        <w:pStyle w:val="libFootnote0"/>
        <w:rPr>
          <w:lang w:bidi="fa-IR"/>
        </w:rPr>
      </w:pPr>
      <w:r>
        <w:rPr>
          <w:rtl/>
          <w:lang w:bidi="fa-IR"/>
        </w:rPr>
        <w:t>(1).</w:t>
      </w:r>
      <w:r w:rsidR="00744A1C">
        <w:rPr>
          <w:rtl/>
          <w:lang w:bidi="fa-IR"/>
        </w:rPr>
        <w:t xml:space="preserve"> هكذا في « ط ، ى ، بح ، بخ ، بس ، بف ، جد » </w:t>
      </w:r>
      <w:r w:rsidR="00744A1C" w:rsidRPr="001573FE">
        <w:rPr>
          <w:rtl/>
        </w:rPr>
        <w:t>والوافي</w:t>
      </w:r>
      <w:r w:rsidR="00744A1C">
        <w:rPr>
          <w:rtl/>
          <w:lang w:bidi="fa-IR"/>
        </w:rPr>
        <w:t>. وفي المطبوع : « فيقي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w:t>
      </w:r>
      <w:r w:rsidR="00744A1C" w:rsidRPr="001573FE">
        <w:rPr>
          <w:rtl/>
        </w:rPr>
        <w:t>والوافي</w:t>
      </w:r>
      <w:r w:rsidR="00744A1C">
        <w:rPr>
          <w:rtl/>
          <w:lang w:bidi="fa-IR"/>
        </w:rPr>
        <w:t>. وفي المطبوع : « لا أقي ».</w:t>
      </w:r>
    </w:p>
    <w:p w:rsidR="00744A1C" w:rsidRDefault="00E378DD" w:rsidP="00E378DD">
      <w:pPr>
        <w:pStyle w:val="libFootnote0"/>
        <w:rPr>
          <w:lang w:bidi="fa-IR"/>
        </w:rPr>
      </w:pPr>
      <w:r>
        <w:rPr>
          <w:rtl/>
          <w:lang w:bidi="fa-IR"/>
        </w:rPr>
        <w:t>(3).</w:t>
      </w:r>
      <w:r w:rsidR="00744A1C">
        <w:rPr>
          <w:rtl/>
          <w:lang w:bidi="fa-IR"/>
        </w:rPr>
        <w:t xml:space="preserve"> الحُقُّ والحُقَّة ، بالضمّ : معروفة ، هذا المنحوت من الخشب والعاج وغير ذلك ممّا يصلح أن ينحت منه ، عربيّ معروف قد جاء في الشعر الفصيح. </w:t>
      </w:r>
      <w:r w:rsidR="00744A1C" w:rsidRPr="00877682">
        <w:rPr>
          <w:rStyle w:val="libFootnoteBoldChar"/>
          <w:rtl/>
        </w:rPr>
        <w:t>لسان العرب</w:t>
      </w:r>
      <w:r w:rsidR="00744A1C">
        <w:rPr>
          <w:rtl/>
          <w:lang w:bidi="fa-IR"/>
        </w:rPr>
        <w:t xml:space="preserve"> ، ج 10 ، ص 56 ( حقق ).</w:t>
      </w:r>
    </w:p>
    <w:tbl>
      <w:tblPr>
        <w:tblStyle w:val="TableGrid"/>
        <w:bidiVisual/>
        <w:tblW w:w="0" w:type="auto"/>
        <w:tblLook w:val="04A0" w:firstRow="1" w:lastRow="0" w:firstColumn="1" w:lastColumn="0" w:noHBand="0" w:noVBand="1"/>
      </w:tblPr>
      <w:tblGrid>
        <w:gridCol w:w="4006"/>
        <w:gridCol w:w="4006"/>
      </w:tblGrid>
      <w:tr w:rsidR="001573FE" w:rsidTr="001573FE">
        <w:tc>
          <w:tcPr>
            <w:tcW w:w="4006" w:type="dxa"/>
          </w:tcPr>
          <w:p w:rsidR="001573FE" w:rsidRDefault="001573FE" w:rsidP="00E378DD">
            <w:pPr>
              <w:pStyle w:val="libFootnote0"/>
              <w:rPr>
                <w:rtl/>
                <w:lang w:bidi="fa-IR"/>
              </w:rPr>
            </w:pPr>
            <w:r>
              <w:rPr>
                <w:rtl/>
                <w:lang w:bidi="fa-IR"/>
              </w:rPr>
              <w:t>(4). في « ى » : « فحمل ».</w:t>
            </w:r>
          </w:p>
        </w:tc>
        <w:tc>
          <w:tcPr>
            <w:tcW w:w="4006" w:type="dxa"/>
          </w:tcPr>
          <w:p w:rsidR="001573FE" w:rsidRDefault="001573FE" w:rsidP="00E378DD">
            <w:pPr>
              <w:pStyle w:val="libFootnote0"/>
              <w:rPr>
                <w:rtl/>
                <w:lang w:bidi="fa-IR"/>
              </w:rPr>
            </w:pPr>
            <w:r>
              <w:rPr>
                <w:rtl/>
                <w:lang w:bidi="fa-IR"/>
              </w:rPr>
              <w:t xml:space="preserve">(5). في «بح ،بس ،جد ،جن » </w:t>
            </w:r>
            <w:r w:rsidRPr="001573FE">
              <w:rPr>
                <w:rtl/>
              </w:rPr>
              <w:t>والبحار</w:t>
            </w:r>
            <w:r>
              <w:rPr>
                <w:rtl/>
                <w:lang w:bidi="fa-IR"/>
              </w:rPr>
              <w:t xml:space="preserve"> : « قال ».</w:t>
            </w:r>
          </w:p>
        </w:tc>
      </w:tr>
      <w:tr w:rsidR="001573FE" w:rsidTr="001573FE">
        <w:tc>
          <w:tcPr>
            <w:tcW w:w="4006" w:type="dxa"/>
          </w:tcPr>
          <w:p w:rsidR="001573FE" w:rsidRDefault="001573FE" w:rsidP="00E378DD">
            <w:pPr>
              <w:pStyle w:val="libFootnote0"/>
              <w:rPr>
                <w:rtl/>
                <w:lang w:bidi="fa-IR"/>
              </w:rPr>
            </w:pPr>
            <w:r>
              <w:rPr>
                <w:rtl/>
                <w:lang w:bidi="fa-IR"/>
              </w:rPr>
              <w:t xml:space="preserve">(6). في </w:t>
            </w:r>
            <w:r w:rsidRPr="001573FE">
              <w:rPr>
                <w:rtl/>
              </w:rPr>
              <w:t>الوسائل</w:t>
            </w:r>
            <w:r>
              <w:rPr>
                <w:rtl/>
                <w:lang w:bidi="fa-IR"/>
              </w:rPr>
              <w:t xml:space="preserve"> ، ح 23774 </w:t>
            </w:r>
            <w:r w:rsidRPr="001573FE">
              <w:rPr>
                <w:rtl/>
              </w:rPr>
              <w:t>والبحار</w:t>
            </w:r>
            <w:r>
              <w:rPr>
                <w:rtl/>
                <w:lang w:bidi="fa-IR"/>
              </w:rPr>
              <w:t xml:space="preserve"> : « إذا ».</w:t>
            </w:r>
          </w:p>
        </w:tc>
        <w:tc>
          <w:tcPr>
            <w:tcW w:w="4006" w:type="dxa"/>
          </w:tcPr>
          <w:p w:rsidR="001573FE" w:rsidRDefault="001573FE" w:rsidP="00E378DD">
            <w:pPr>
              <w:pStyle w:val="libFootnote0"/>
              <w:rPr>
                <w:rtl/>
                <w:lang w:bidi="fa-IR"/>
              </w:rPr>
            </w:pPr>
            <w:r>
              <w:rPr>
                <w:rtl/>
                <w:lang w:bidi="fa-IR"/>
              </w:rPr>
              <w:t xml:space="preserve">(7). في «ط ،ى ،بح ،بس ،جت» </w:t>
            </w:r>
            <w:r w:rsidRPr="001573FE">
              <w:rPr>
                <w:rtl/>
              </w:rPr>
              <w:t>والبحار</w:t>
            </w:r>
            <w:r>
              <w:rPr>
                <w:rtl/>
                <w:lang w:bidi="fa-IR"/>
              </w:rPr>
              <w:t>: - «من».</w:t>
            </w:r>
          </w:p>
        </w:tc>
      </w:tr>
    </w:tbl>
    <w:p w:rsidR="00744A1C" w:rsidRDefault="00E378DD" w:rsidP="00E378DD">
      <w:pPr>
        <w:pStyle w:val="libFootnote0"/>
        <w:rPr>
          <w:lang w:bidi="fa-IR"/>
        </w:rPr>
      </w:pPr>
      <w:r>
        <w:rPr>
          <w:rtl/>
          <w:lang w:bidi="fa-IR"/>
        </w:rPr>
        <w:t>(8).</w:t>
      </w:r>
      <w:r w:rsidR="00744A1C">
        <w:rPr>
          <w:rtl/>
          <w:lang w:bidi="fa-IR"/>
        </w:rPr>
        <w:t xml:space="preserve"> هكذا في جميع النسخ التي قوبلت </w:t>
      </w:r>
      <w:r w:rsidR="00744A1C" w:rsidRPr="001573FE">
        <w:rPr>
          <w:rtl/>
        </w:rPr>
        <w:t>والوافي</w:t>
      </w:r>
      <w:r w:rsidR="00744A1C">
        <w:rPr>
          <w:rtl/>
          <w:lang w:bidi="fa-IR"/>
        </w:rPr>
        <w:t>. وفي المطبوع : - « فأعطاها عليّ بن الحسين ».</w:t>
      </w:r>
    </w:p>
    <w:tbl>
      <w:tblPr>
        <w:tblStyle w:val="TableGrid"/>
        <w:bidiVisual/>
        <w:tblW w:w="0" w:type="auto"/>
        <w:tblLook w:val="04A0" w:firstRow="1" w:lastRow="0" w:firstColumn="1" w:lastColumn="0" w:noHBand="0" w:noVBand="1"/>
      </w:tblPr>
      <w:tblGrid>
        <w:gridCol w:w="4006"/>
        <w:gridCol w:w="4006"/>
      </w:tblGrid>
      <w:tr w:rsidR="001573FE" w:rsidTr="001573FE">
        <w:tc>
          <w:tcPr>
            <w:tcW w:w="4006" w:type="dxa"/>
          </w:tcPr>
          <w:p w:rsidR="001573FE" w:rsidRDefault="001573FE" w:rsidP="00E378DD">
            <w:pPr>
              <w:pStyle w:val="libFootnote0"/>
              <w:rPr>
                <w:rtl/>
                <w:lang w:bidi="fa-IR"/>
              </w:rPr>
            </w:pPr>
            <w:r>
              <w:rPr>
                <w:rtl/>
                <w:lang w:bidi="fa-IR"/>
              </w:rPr>
              <w:t>(9). في « ط » : « ومرّ ».</w:t>
            </w:r>
          </w:p>
        </w:tc>
        <w:tc>
          <w:tcPr>
            <w:tcW w:w="4006" w:type="dxa"/>
          </w:tcPr>
          <w:p w:rsidR="001573FE" w:rsidRDefault="001573FE" w:rsidP="00E378DD">
            <w:pPr>
              <w:pStyle w:val="libFootnote0"/>
              <w:rPr>
                <w:rtl/>
                <w:lang w:bidi="fa-IR"/>
              </w:rPr>
            </w:pPr>
            <w:r>
              <w:rPr>
                <w:rtl/>
                <w:lang w:bidi="fa-IR"/>
              </w:rPr>
              <w:t>(10). في « بح ، بف » : « به ».</w:t>
            </w:r>
          </w:p>
        </w:tc>
      </w:tr>
    </w:tbl>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الوافي</w:t>
      </w:r>
      <w:r w:rsidR="00744A1C">
        <w:rPr>
          <w:rtl/>
          <w:lang w:bidi="fa-IR"/>
        </w:rPr>
        <w:t xml:space="preserve"> ، ج 17 ، ص 143 ، ح 17016 ؛ </w:t>
      </w:r>
      <w:r w:rsidR="00744A1C" w:rsidRPr="00C24F9C">
        <w:rPr>
          <w:rStyle w:val="libFootnoteBoldChar"/>
          <w:rtl/>
        </w:rPr>
        <w:t>الوسائل</w:t>
      </w:r>
      <w:r w:rsidR="00744A1C">
        <w:rPr>
          <w:rtl/>
          <w:lang w:bidi="fa-IR"/>
        </w:rPr>
        <w:t xml:space="preserve"> ، ج 18 ، ص 326 ، ح 23774 ؛ </w:t>
      </w:r>
      <w:r w:rsidR="00744A1C" w:rsidRPr="001573FE">
        <w:rPr>
          <w:rStyle w:val="libFootnoteBoldChar"/>
          <w:rtl/>
        </w:rPr>
        <w:t>وفيه</w:t>
      </w:r>
      <w:r w:rsidR="00744A1C">
        <w:rPr>
          <w:rtl/>
          <w:lang w:bidi="fa-IR"/>
        </w:rPr>
        <w:t xml:space="preserve"> ، ص 320 ، ح 23760 ، إلى قوله : « عشرة آلاف درهم إلى ميسرة » ؛ </w:t>
      </w:r>
      <w:r w:rsidR="00744A1C" w:rsidRPr="0061079A">
        <w:rPr>
          <w:rStyle w:val="libFootnoteBoldChar"/>
          <w:rtl/>
        </w:rPr>
        <w:t>البحار</w:t>
      </w:r>
      <w:r w:rsidR="00744A1C">
        <w:rPr>
          <w:rtl/>
          <w:lang w:bidi="fa-IR"/>
        </w:rPr>
        <w:t xml:space="preserve"> ، ج 46 ، ص 146 ، ح 5.</w:t>
      </w:r>
    </w:p>
    <w:p w:rsidR="00744A1C" w:rsidRDefault="00E378DD" w:rsidP="00E378DD">
      <w:pPr>
        <w:pStyle w:val="libFootnote0"/>
        <w:rPr>
          <w:lang w:bidi="fa-IR"/>
        </w:rPr>
      </w:pPr>
      <w:r>
        <w:rPr>
          <w:rtl/>
          <w:lang w:bidi="fa-IR"/>
        </w:rPr>
        <w:t>(12).</w:t>
      </w:r>
      <w:r w:rsidR="00744A1C">
        <w:rPr>
          <w:rtl/>
          <w:lang w:bidi="fa-IR"/>
        </w:rPr>
        <w:t xml:space="preserve"> الضمير راجع إلى محمّد بن أحمد المذكور في السند السابق.</w:t>
      </w:r>
    </w:p>
    <w:p w:rsidR="00744A1C" w:rsidRDefault="00744A1C" w:rsidP="00D10E3C">
      <w:pPr>
        <w:pStyle w:val="libFootnote0"/>
        <w:rPr>
          <w:lang w:bidi="fa-IR"/>
        </w:rPr>
      </w:pPr>
      <w:r>
        <w:rPr>
          <w:rtl/>
          <w:lang w:bidi="fa-IR"/>
        </w:rPr>
        <w:t xml:space="preserve">ثمّ إنّ الخبر ورد في </w:t>
      </w:r>
      <w:r w:rsidRPr="00C24F9C">
        <w:rPr>
          <w:rStyle w:val="libFootnoteBoldChar"/>
          <w:rtl/>
        </w:rPr>
        <w:t>التهذيب</w:t>
      </w:r>
      <w:r>
        <w:rPr>
          <w:rtl/>
          <w:lang w:bidi="fa-IR"/>
        </w:rPr>
        <w:t xml:space="preserve"> ، ج 6 ، ص 211 ، ح 495 عن محمّد بن عليّ بن محبوب عن يوسف بن السخت عن عليّ بن محمّد بن سليمان عن النوفلي عن أبيه ، لكن لفظة « عن » - قبل النوفلي - غير مذكورة في بعض النسخ ، وهو الصواب ؛ فقد روى عليّ بن محمّد بن سليمان النوفلي عن أبيه في بعض الأسناد. ا</w:t>
      </w:r>
      <w:r w:rsidR="001573FE">
        <w:rPr>
          <w:rFonts w:hint="cs"/>
          <w:rtl/>
          <w:lang w:bidi="fa-IR"/>
        </w:rPr>
        <w:t>ُ</w:t>
      </w:r>
      <w:r>
        <w:rPr>
          <w:rtl/>
          <w:lang w:bidi="fa-IR"/>
        </w:rPr>
        <w:t xml:space="preserve">نظر على سبيل المثال : </w:t>
      </w:r>
      <w:r w:rsidRPr="000B1C3F">
        <w:rPr>
          <w:rStyle w:val="libFootnoteBoldChar"/>
          <w:rtl/>
        </w:rPr>
        <w:t>الأمالي للطوسي</w:t>
      </w:r>
      <w:r>
        <w:rPr>
          <w:rtl/>
          <w:lang w:bidi="fa-IR"/>
        </w:rPr>
        <w:t xml:space="preserve"> ، ص 503 ، المجلس 18 ، ح 1103 ؛ ص 574 ، المجلس 23 ، ح 1187 ؛ ص 586 ، المجلس 25 ، ح 1214 ؛ وص 593 ، ح 1229.</w:t>
      </w:r>
    </w:p>
    <w:p w:rsidR="006A5060" w:rsidRDefault="006A5060" w:rsidP="00D10E3C">
      <w:pPr>
        <w:pStyle w:val="libNormal"/>
        <w:rPr>
          <w:rtl/>
          <w:lang w:bidi="fa-IR"/>
        </w:rPr>
      </w:pPr>
      <w:r>
        <w:rPr>
          <w:rtl/>
          <w:lang w:bidi="fa-IR"/>
        </w:rPr>
        <w:br w:type="page"/>
      </w:r>
    </w:p>
    <w:p w:rsidR="00144FA6" w:rsidRDefault="00744A1C" w:rsidP="005D2B3B">
      <w:pPr>
        <w:pStyle w:val="libNormal0"/>
        <w:rPr>
          <w:rtl/>
          <w:lang w:bidi="fa-IR"/>
        </w:rPr>
      </w:pPr>
      <w:r>
        <w:rPr>
          <w:rtl/>
          <w:lang w:bidi="fa-IR"/>
        </w:rPr>
        <w:t>عَنْ عِيسَى بْنِ عَبْدِ اللهِ ، قَالَ :</w:t>
      </w:r>
    </w:p>
    <w:p w:rsidR="00744A1C" w:rsidRDefault="00744A1C" w:rsidP="00744A1C">
      <w:pPr>
        <w:pStyle w:val="libNormal"/>
        <w:rPr>
          <w:lang w:bidi="fa-IR"/>
        </w:rPr>
      </w:pPr>
      <w:r>
        <w:rPr>
          <w:rtl/>
          <w:lang w:bidi="fa-IR"/>
        </w:rPr>
        <w:t xml:space="preserve">احْتُضِرَ عَبْدُ اللهِ </w:t>
      </w:r>
      <w:r w:rsidRPr="00D10E3C">
        <w:rPr>
          <w:rStyle w:val="libFootnotenumChar"/>
          <w:rtl/>
        </w:rPr>
        <w:t>(1)</w:t>
      </w:r>
      <w:r>
        <w:rPr>
          <w:rtl/>
          <w:lang w:bidi="fa-IR"/>
        </w:rPr>
        <w:t xml:space="preserve"> ، فَاجْتَمَعَ عَلَيْهِ </w:t>
      </w:r>
      <w:r w:rsidRPr="00D10E3C">
        <w:rPr>
          <w:rStyle w:val="libFootnotenumChar"/>
          <w:rtl/>
        </w:rPr>
        <w:t>(2)</w:t>
      </w:r>
      <w:r>
        <w:rPr>
          <w:rtl/>
          <w:lang w:bidi="fa-IR"/>
        </w:rPr>
        <w:t xml:space="preserve"> غُرَمَاؤُهُ ، فَطَالَبُوهُ </w:t>
      </w:r>
      <w:r w:rsidRPr="00D10E3C">
        <w:rPr>
          <w:rStyle w:val="libFootnotenumChar"/>
          <w:rtl/>
        </w:rPr>
        <w:t>(3)</w:t>
      </w:r>
      <w:r>
        <w:rPr>
          <w:rtl/>
          <w:lang w:bidi="fa-IR"/>
        </w:rPr>
        <w:t xml:space="preserve"> بِدَيْنٍ لَهُمْ ، فَقَالَ : لَامَالَ عِنْدِي فَأُعْطِيَكُمْ </w:t>
      </w:r>
      <w:r w:rsidRPr="00D10E3C">
        <w:rPr>
          <w:rStyle w:val="libFootnotenumChar"/>
          <w:rtl/>
        </w:rPr>
        <w:t>(4)</w:t>
      </w:r>
      <w:r>
        <w:rPr>
          <w:rtl/>
          <w:lang w:bidi="fa-IR"/>
        </w:rPr>
        <w:t xml:space="preserve"> ، وَلكِنِ ارْضَوْا بِمَنْ </w:t>
      </w:r>
      <w:r w:rsidRPr="00D10E3C">
        <w:rPr>
          <w:rStyle w:val="libFootnotenumChar"/>
          <w:rtl/>
        </w:rPr>
        <w:t>(5)</w:t>
      </w:r>
      <w:r>
        <w:rPr>
          <w:rtl/>
          <w:lang w:bidi="fa-IR"/>
        </w:rPr>
        <w:t xml:space="preserve"> شِئْتُمْ مِنِ ابْنَيْ عَمِّي </w:t>
      </w:r>
      <w:r w:rsidRPr="00D10E3C">
        <w:rPr>
          <w:rStyle w:val="libFootnotenumChar"/>
          <w:rtl/>
        </w:rPr>
        <w:t>(6)</w:t>
      </w:r>
      <w:r>
        <w:rPr>
          <w:rtl/>
          <w:lang w:bidi="fa-IR"/>
        </w:rPr>
        <w:t xml:space="preserve"> : عَلِيِّ بْنِ الْحُسَيْنِ </w:t>
      </w:r>
      <w:r w:rsidR="008859AA" w:rsidRPr="008859AA">
        <w:rPr>
          <w:rStyle w:val="libAlaemChar"/>
          <w:rtl/>
        </w:rPr>
        <w:t>عليهما‌السلام</w:t>
      </w:r>
      <w:r>
        <w:rPr>
          <w:rtl/>
          <w:lang w:bidi="fa-IR"/>
        </w:rPr>
        <w:t xml:space="preserve">، وَعَبْدِ اللهِ </w:t>
      </w:r>
      <w:r w:rsidRPr="00D10E3C">
        <w:rPr>
          <w:rStyle w:val="libFootnotenumChar"/>
          <w:rtl/>
        </w:rPr>
        <w:t>(7)</w:t>
      </w:r>
      <w:r>
        <w:rPr>
          <w:rtl/>
          <w:lang w:bidi="fa-IR"/>
        </w:rPr>
        <w:t xml:space="preserve"> بْنِ جَعْفَرٍ.</w:t>
      </w:r>
    </w:p>
    <w:p w:rsidR="00744A1C" w:rsidRDefault="00744A1C" w:rsidP="00744A1C">
      <w:pPr>
        <w:pStyle w:val="libNormal"/>
        <w:rPr>
          <w:lang w:bidi="fa-IR"/>
        </w:rPr>
      </w:pPr>
      <w:r>
        <w:rPr>
          <w:rtl/>
          <w:lang w:bidi="fa-IR"/>
        </w:rPr>
        <w:t xml:space="preserve">فَقَالَ الْغُرَمَاءُ : عَبْدُ اللهِ بْنُ جَعْفَرٍ مَلِيٌّ </w:t>
      </w:r>
      <w:r w:rsidRPr="00D10E3C">
        <w:rPr>
          <w:rStyle w:val="libFootnotenumChar"/>
          <w:rtl/>
        </w:rPr>
        <w:t>(8)</w:t>
      </w:r>
      <w:r>
        <w:rPr>
          <w:rtl/>
          <w:lang w:bidi="fa-IR"/>
        </w:rPr>
        <w:t xml:space="preserve"> مَطُولٌ </w:t>
      </w:r>
      <w:r w:rsidRPr="00D10E3C">
        <w:rPr>
          <w:rStyle w:val="libFootnotenumChar"/>
          <w:rtl/>
        </w:rPr>
        <w:t>(9)</w:t>
      </w:r>
      <w:r>
        <w:rPr>
          <w:rtl/>
          <w:lang w:bidi="fa-IR"/>
        </w:rPr>
        <w:t xml:space="preserve"> ، وَعَلِيُّ بْنُ الْحُسَيْنِ </w:t>
      </w:r>
      <w:r w:rsidR="008859AA" w:rsidRPr="008859AA">
        <w:rPr>
          <w:rStyle w:val="libAlaemChar"/>
          <w:rtl/>
        </w:rPr>
        <w:t>عليهما‌السلام</w:t>
      </w:r>
      <w:r>
        <w:rPr>
          <w:rtl/>
          <w:lang w:bidi="fa-IR"/>
        </w:rPr>
        <w:t xml:space="preserve">رَجُلٌ لَا مَالَ لَهُ ، صَدُوقٌ ، وَهُوَ </w:t>
      </w:r>
      <w:r w:rsidRPr="00D10E3C">
        <w:rPr>
          <w:rStyle w:val="libFootnotenumChar"/>
          <w:rtl/>
        </w:rPr>
        <w:t>(10)</w:t>
      </w:r>
      <w:r>
        <w:rPr>
          <w:rtl/>
          <w:lang w:bidi="fa-IR"/>
        </w:rPr>
        <w:t xml:space="preserve"> أَحَبُّهُمَا إِلَيْنَا.</w:t>
      </w:r>
    </w:p>
    <w:p w:rsidR="00744A1C" w:rsidRDefault="00744A1C" w:rsidP="00744A1C">
      <w:pPr>
        <w:pStyle w:val="libNormal"/>
        <w:rPr>
          <w:lang w:bidi="fa-IR"/>
        </w:rPr>
      </w:pPr>
      <w:r>
        <w:rPr>
          <w:rtl/>
          <w:lang w:bidi="fa-IR"/>
        </w:rPr>
        <w:t xml:space="preserve">فَأَرْسَلَ إِلَيْهِ ، فَأَخْبَرَهُ </w:t>
      </w:r>
      <w:r w:rsidRPr="00D10E3C">
        <w:rPr>
          <w:rStyle w:val="libFootnotenumChar"/>
          <w:rtl/>
        </w:rPr>
        <w:t>(11)</w:t>
      </w:r>
      <w:r>
        <w:rPr>
          <w:rtl/>
          <w:lang w:bidi="fa-IR"/>
        </w:rPr>
        <w:t xml:space="preserve"> الْخَبَرَ ، فَقَالَ : « أَضْمَنُ لَكُمُ الْمَالَ إِلى غَلَّةٍ » وَلَمْ تَكُنْ </w:t>
      </w:r>
      <w:r w:rsidRPr="00D10E3C">
        <w:rPr>
          <w:rStyle w:val="libFootnotenumChar"/>
          <w:rtl/>
        </w:rPr>
        <w:t>(12)</w:t>
      </w:r>
      <w:r>
        <w:rPr>
          <w:rtl/>
          <w:lang w:bidi="fa-IR"/>
        </w:rPr>
        <w:t xml:space="preserve"> لَهُ غَلَّةٌ </w:t>
      </w:r>
      <w:r w:rsidRPr="00D10E3C">
        <w:rPr>
          <w:rStyle w:val="libFootnotenumChar"/>
          <w:rtl/>
        </w:rPr>
        <w:t>(13)</w:t>
      </w:r>
      <w:r>
        <w:rPr>
          <w:rtl/>
          <w:lang w:bidi="fa-IR"/>
        </w:rPr>
        <w:t xml:space="preserve"> تَجَمُّلاً </w:t>
      </w:r>
      <w:r w:rsidRPr="00D10E3C">
        <w:rPr>
          <w:rStyle w:val="libFootnotenumChar"/>
          <w:rtl/>
        </w:rPr>
        <w:t>(14)</w:t>
      </w:r>
      <w:r w:rsidR="001573FE" w:rsidRPr="001573FE">
        <w:rPr>
          <w:rFonts w:hint="cs"/>
          <w:rtl/>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 قال ». وفي </w:t>
      </w:r>
      <w:r w:rsidR="00744A1C" w:rsidRPr="001573FE">
        <w:rPr>
          <w:rtl/>
        </w:rPr>
        <w:t>الوافي والفقيه والتهذيب</w:t>
      </w:r>
      <w:r w:rsidR="00744A1C">
        <w:rPr>
          <w:rtl/>
          <w:lang w:bidi="fa-IR"/>
        </w:rPr>
        <w:t xml:space="preserve"> : « عبد الله بن الحسن ».</w:t>
      </w:r>
    </w:p>
    <w:p w:rsidR="00744A1C" w:rsidRDefault="00E378DD" w:rsidP="00E378DD">
      <w:pPr>
        <w:pStyle w:val="libFootnote0"/>
        <w:rPr>
          <w:lang w:bidi="fa-IR"/>
        </w:rPr>
      </w:pPr>
      <w:r>
        <w:rPr>
          <w:rtl/>
          <w:lang w:bidi="fa-IR"/>
        </w:rPr>
        <w:t>(2).</w:t>
      </w:r>
      <w:r w:rsidR="00744A1C">
        <w:rPr>
          <w:rtl/>
          <w:lang w:bidi="fa-IR"/>
        </w:rPr>
        <w:t xml:space="preserve"> في « بح ، بخ ، بس ، بف ، جت ، جد ، جن » </w:t>
      </w:r>
      <w:r w:rsidR="00744A1C" w:rsidRPr="001573FE">
        <w:rPr>
          <w:rtl/>
        </w:rPr>
        <w:t>والبحار</w:t>
      </w:r>
      <w:r w:rsidR="00744A1C">
        <w:rPr>
          <w:rtl/>
          <w:lang w:bidi="fa-IR"/>
        </w:rPr>
        <w:t xml:space="preserve"> ، ج 46 ، ص 111 : « إليه ».</w:t>
      </w:r>
    </w:p>
    <w:p w:rsidR="00744A1C" w:rsidRDefault="00E378DD" w:rsidP="00E378DD">
      <w:pPr>
        <w:pStyle w:val="libFootnote0"/>
        <w:rPr>
          <w:lang w:bidi="fa-IR"/>
        </w:rPr>
      </w:pPr>
      <w:r>
        <w:rPr>
          <w:rtl/>
          <w:lang w:bidi="fa-IR"/>
        </w:rPr>
        <w:t>(3).</w:t>
      </w:r>
      <w:r w:rsidR="00744A1C">
        <w:rPr>
          <w:rtl/>
          <w:lang w:bidi="fa-IR"/>
        </w:rPr>
        <w:t xml:space="preserve"> في « بخ ، بف » </w:t>
      </w:r>
      <w:r w:rsidR="00744A1C" w:rsidRPr="001573FE">
        <w:rPr>
          <w:rtl/>
        </w:rPr>
        <w:t>والوافي</w:t>
      </w:r>
      <w:r w:rsidR="00744A1C">
        <w:rPr>
          <w:rtl/>
          <w:lang w:bidi="fa-IR"/>
        </w:rPr>
        <w:t xml:space="preserve"> : « وطالبوه ».</w:t>
      </w:r>
    </w:p>
    <w:p w:rsidR="00744A1C" w:rsidRDefault="00E378DD" w:rsidP="00E378DD">
      <w:pPr>
        <w:pStyle w:val="libFootnote0"/>
        <w:rPr>
          <w:lang w:bidi="fa-IR"/>
        </w:rPr>
      </w:pPr>
      <w:r>
        <w:rPr>
          <w:rtl/>
          <w:lang w:bidi="fa-IR"/>
        </w:rPr>
        <w:t>(4).</w:t>
      </w:r>
      <w:r w:rsidR="00744A1C">
        <w:rPr>
          <w:rtl/>
          <w:lang w:bidi="fa-IR"/>
        </w:rPr>
        <w:t xml:space="preserve"> في « ط » </w:t>
      </w:r>
      <w:r w:rsidR="00744A1C" w:rsidRPr="001573FE">
        <w:rPr>
          <w:rtl/>
        </w:rPr>
        <w:t>والبحار</w:t>
      </w:r>
      <w:r w:rsidR="00744A1C">
        <w:rPr>
          <w:rtl/>
          <w:lang w:bidi="fa-IR"/>
        </w:rPr>
        <w:t xml:space="preserve"> ، ج 46 ، ص 94 : « اعطيكم ». وفي « بح ، جد » </w:t>
      </w:r>
      <w:r w:rsidR="00744A1C" w:rsidRPr="001573FE">
        <w:rPr>
          <w:rtl/>
        </w:rPr>
        <w:t>والبحار</w:t>
      </w:r>
      <w:r w:rsidR="00744A1C">
        <w:rPr>
          <w:rtl/>
          <w:lang w:bidi="fa-IR"/>
        </w:rPr>
        <w:t xml:space="preserve"> ، ج 46 ، ص 111 </w:t>
      </w:r>
      <w:r w:rsidR="00744A1C" w:rsidRPr="001573FE">
        <w:rPr>
          <w:rtl/>
        </w:rPr>
        <w:t>والفقيه والتهذيب</w:t>
      </w:r>
      <w:r w:rsidR="00744A1C">
        <w:rPr>
          <w:rtl/>
          <w:lang w:bidi="fa-IR"/>
        </w:rPr>
        <w:t xml:space="preserve"> : « ما ا</w:t>
      </w:r>
      <w:r w:rsidR="001573FE">
        <w:rPr>
          <w:rFonts w:hint="cs"/>
          <w:rtl/>
          <w:lang w:bidi="fa-IR"/>
        </w:rPr>
        <w:t>ُ</w:t>
      </w:r>
      <w:r w:rsidR="00744A1C">
        <w:rPr>
          <w:rtl/>
          <w:lang w:bidi="fa-IR"/>
        </w:rPr>
        <w:t>عطيكم ». وفي « جت » : « وما ا</w:t>
      </w:r>
      <w:r w:rsidR="001573FE">
        <w:rPr>
          <w:rFonts w:hint="cs"/>
          <w:rtl/>
          <w:lang w:bidi="fa-IR"/>
        </w:rPr>
        <w:t>ُ</w:t>
      </w:r>
      <w:r w:rsidR="00744A1C">
        <w:rPr>
          <w:rtl/>
          <w:lang w:bidi="fa-IR"/>
        </w:rPr>
        <w:t>عطيكم ».</w:t>
      </w:r>
    </w:p>
    <w:p w:rsidR="00744A1C" w:rsidRDefault="00E378DD" w:rsidP="001573FE">
      <w:pPr>
        <w:pStyle w:val="libFootnote0"/>
        <w:rPr>
          <w:lang w:bidi="fa-IR"/>
        </w:rPr>
      </w:pPr>
      <w:r>
        <w:rPr>
          <w:rtl/>
          <w:lang w:bidi="fa-IR"/>
        </w:rPr>
        <w:t>(5).</w:t>
      </w:r>
      <w:r w:rsidR="00744A1C">
        <w:rPr>
          <w:rtl/>
          <w:lang w:bidi="fa-IR"/>
        </w:rPr>
        <w:t xml:space="preserve"> هكذا في « ط ، ى ، بح ، بس ، جت ، جد ، جن » وحاشية « بخ » و</w:t>
      </w:r>
      <w:r w:rsidR="00744A1C" w:rsidRPr="0061079A">
        <w:rPr>
          <w:rStyle w:val="libFootnoteBoldChar"/>
          <w:rtl/>
        </w:rPr>
        <w:t>البحار</w:t>
      </w:r>
      <w:r w:rsidR="00744A1C">
        <w:rPr>
          <w:rtl/>
          <w:lang w:bidi="fa-IR"/>
        </w:rPr>
        <w:t xml:space="preserve"> ، ج 46 ، ص 94 </w:t>
      </w:r>
      <w:r w:rsidR="00744A1C" w:rsidRPr="001573FE">
        <w:rPr>
          <w:rtl/>
        </w:rPr>
        <w:t>والوافي والفقيه والتهذيب</w:t>
      </w:r>
      <w:r w:rsidR="00744A1C">
        <w:rPr>
          <w:rtl/>
          <w:lang w:bidi="fa-IR"/>
        </w:rPr>
        <w:t>. وفي « بخ ، بف » والمطبوع : « بما ».</w:t>
      </w:r>
      <w:r w:rsidR="001573FE">
        <w:rPr>
          <w:rFonts w:hint="cs"/>
          <w:rtl/>
          <w:lang w:bidi="fa-IR"/>
        </w:rPr>
        <w:t xml:space="preserve">   </w:t>
      </w:r>
      <w:r>
        <w:rPr>
          <w:rtl/>
          <w:lang w:bidi="fa-IR"/>
        </w:rPr>
        <w:t>(6).</w:t>
      </w:r>
      <w:r w:rsidR="00744A1C">
        <w:rPr>
          <w:rtl/>
          <w:lang w:bidi="fa-IR"/>
        </w:rPr>
        <w:t xml:space="preserve"> في </w:t>
      </w:r>
      <w:r w:rsidR="00744A1C" w:rsidRPr="001573FE">
        <w:rPr>
          <w:rtl/>
        </w:rPr>
        <w:t>الفقيه</w:t>
      </w:r>
      <w:r w:rsidR="00744A1C">
        <w:rPr>
          <w:rtl/>
          <w:lang w:bidi="fa-IR"/>
        </w:rPr>
        <w:t xml:space="preserve"> : «</w:t>
      </w:r>
      <w:r w:rsidR="001573FE">
        <w:rPr>
          <w:rtl/>
          <w:lang w:bidi="fa-IR"/>
        </w:rPr>
        <w:t>أخي وبني عمّي» بدل «</w:t>
      </w:r>
      <w:r w:rsidR="00744A1C">
        <w:rPr>
          <w:rtl/>
          <w:lang w:bidi="fa-IR"/>
        </w:rPr>
        <w:t>ابني عمّي ».</w:t>
      </w:r>
    </w:p>
    <w:p w:rsidR="00744A1C" w:rsidRDefault="00E378DD" w:rsidP="00E378DD">
      <w:pPr>
        <w:pStyle w:val="libFootnote0"/>
        <w:rPr>
          <w:lang w:bidi="fa-IR"/>
        </w:rPr>
      </w:pPr>
      <w:r>
        <w:rPr>
          <w:rtl/>
          <w:lang w:bidi="fa-IR"/>
        </w:rPr>
        <w:t>(7).</w:t>
      </w:r>
      <w:r w:rsidR="00744A1C">
        <w:rPr>
          <w:rtl/>
          <w:lang w:bidi="fa-IR"/>
        </w:rPr>
        <w:t xml:space="preserve"> في « بخ ، بف ، جت » </w:t>
      </w:r>
      <w:r w:rsidR="00744A1C" w:rsidRPr="001573FE">
        <w:rPr>
          <w:rtl/>
        </w:rPr>
        <w:t>والوافي والفقيه والتهذيب</w:t>
      </w:r>
      <w:r w:rsidR="00744A1C">
        <w:rPr>
          <w:rtl/>
          <w:lang w:bidi="fa-IR"/>
        </w:rPr>
        <w:t xml:space="preserve"> : « أو عبد الله ».</w:t>
      </w:r>
    </w:p>
    <w:p w:rsidR="00744A1C" w:rsidRDefault="00E378DD" w:rsidP="00E378DD">
      <w:pPr>
        <w:pStyle w:val="libFootnote0"/>
        <w:rPr>
          <w:lang w:bidi="fa-IR"/>
        </w:rPr>
      </w:pPr>
      <w:r>
        <w:rPr>
          <w:rtl/>
          <w:lang w:bidi="fa-IR"/>
        </w:rPr>
        <w:t>(8).</w:t>
      </w:r>
      <w:r w:rsidR="006F64C9">
        <w:rPr>
          <w:rtl/>
          <w:lang w:bidi="fa-IR"/>
        </w:rPr>
        <w:t xml:space="preserve"> « الم</w:t>
      </w:r>
      <w:r w:rsidR="006F64C9">
        <w:rPr>
          <w:rFonts w:hint="cs"/>
          <w:rtl/>
          <w:lang w:bidi="fa-IR"/>
        </w:rPr>
        <w:t>ـَ</w:t>
      </w:r>
      <w:r w:rsidR="00744A1C">
        <w:rPr>
          <w:rtl/>
          <w:lang w:bidi="fa-IR"/>
        </w:rPr>
        <w:t>لِي‌ءُ » ، بالهمز : الثقة الغنيّ ، وقد ا</w:t>
      </w:r>
      <w:r w:rsidR="006F64C9">
        <w:rPr>
          <w:rFonts w:hint="cs"/>
          <w:rtl/>
          <w:lang w:bidi="fa-IR"/>
        </w:rPr>
        <w:t>ُ</w:t>
      </w:r>
      <w:r w:rsidR="00744A1C">
        <w:rPr>
          <w:rtl/>
          <w:lang w:bidi="fa-IR"/>
        </w:rPr>
        <w:t>ولع فيه الناس بترك الهمزة وتشديد الياء ، ورجل ملي‌ء ، مهموز : كثير</w:t>
      </w:r>
      <w:r w:rsidR="006F64C9">
        <w:rPr>
          <w:rFonts w:hint="cs"/>
          <w:rtl/>
          <w:lang w:bidi="fa-IR"/>
        </w:rPr>
        <w:t xml:space="preserve"> </w:t>
      </w:r>
      <w:r w:rsidR="006F64C9">
        <w:rPr>
          <w:rtl/>
          <w:lang w:bidi="fa-IR"/>
        </w:rPr>
        <w:t>المال ، بيّن الم</w:t>
      </w:r>
      <w:r w:rsidR="006F64C9">
        <w:rPr>
          <w:rFonts w:hint="cs"/>
          <w:rtl/>
          <w:lang w:bidi="fa-IR"/>
        </w:rPr>
        <w:t>ـَ</w:t>
      </w:r>
      <w:r w:rsidR="00744A1C">
        <w:rPr>
          <w:rtl/>
          <w:lang w:bidi="fa-IR"/>
        </w:rPr>
        <w:t xml:space="preserve">لاء. </w:t>
      </w:r>
      <w:r w:rsidR="00744A1C" w:rsidRPr="00877682">
        <w:rPr>
          <w:rStyle w:val="libFootnoteBoldChar"/>
          <w:rtl/>
        </w:rPr>
        <w:t>لسان العرب</w:t>
      </w:r>
      <w:r w:rsidR="00744A1C">
        <w:rPr>
          <w:rtl/>
          <w:lang w:bidi="fa-IR"/>
        </w:rPr>
        <w:t xml:space="preserve"> ، ج 1 ، ص 159 ( ملأ ).</w:t>
      </w:r>
    </w:p>
    <w:p w:rsidR="00744A1C" w:rsidRDefault="00E378DD" w:rsidP="00E378DD">
      <w:pPr>
        <w:pStyle w:val="libFootnote0"/>
        <w:rPr>
          <w:lang w:bidi="fa-IR"/>
        </w:rPr>
      </w:pPr>
      <w:r>
        <w:rPr>
          <w:rtl/>
          <w:lang w:bidi="fa-IR"/>
        </w:rPr>
        <w:t>(9).</w:t>
      </w:r>
      <w:r w:rsidR="006F64C9">
        <w:rPr>
          <w:rtl/>
          <w:lang w:bidi="fa-IR"/>
        </w:rPr>
        <w:t xml:space="preserve"> الم</w:t>
      </w:r>
      <w:r w:rsidR="006F64C9">
        <w:rPr>
          <w:rFonts w:hint="cs"/>
          <w:rtl/>
          <w:lang w:bidi="fa-IR"/>
        </w:rPr>
        <w:t>ـَ</w:t>
      </w:r>
      <w:r w:rsidR="006F64C9">
        <w:rPr>
          <w:rtl/>
          <w:lang w:bidi="fa-IR"/>
        </w:rPr>
        <w:t>طُول : ذو الم</w:t>
      </w:r>
      <w:r w:rsidR="006F64C9">
        <w:rPr>
          <w:rFonts w:hint="cs"/>
          <w:rtl/>
          <w:lang w:bidi="fa-IR"/>
        </w:rPr>
        <w:t>ـَ</w:t>
      </w:r>
      <w:r w:rsidR="00744A1C">
        <w:rPr>
          <w:rtl/>
          <w:lang w:bidi="fa-IR"/>
        </w:rPr>
        <w:t>طَل ، وهو التسويف بالعدة والدين ؛ يقال : مطله بدينه مطلاً ، إذا سوّفه بوعد الوفاء مرّة بعد ا</w:t>
      </w:r>
      <w:r w:rsidR="006F64C9">
        <w:rPr>
          <w:rFonts w:hint="cs"/>
          <w:rtl/>
          <w:lang w:bidi="fa-IR"/>
        </w:rPr>
        <w:t>ُ</w:t>
      </w:r>
      <w:r w:rsidR="00744A1C">
        <w:rPr>
          <w:rtl/>
          <w:lang w:bidi="fa-IR"/>
        </w:rPr>
        <w:t xml:space="preserve">خرى. راجع : </w:t>
      </w:r>
      <w:r w:rsidR="00744A1C" w:rsidRPr="00E978C3">
        <w:rPr>
          <w:rStyle w:val="libFootnoteBoldChar"/>
          <w:rtl/>
        </w:rPr>
        <w:t>المصباح المنير</w:t>
      </w:r>
      <w:r w:rsidR="00744A1C">
        <w:rPr>
          <w:rtl/>
          <w:lang w:bidi="fa-IR"/>
        </w:rPr>
        <w:t xml:space="preserve"> ، ص 575 ؛ </w:t>
      </w:r>
      <w:r w:rsidR="00744A1C" w:rsidRPr="008A57EB">
        <w:rPr>
          <w:rStyle w:val="libFootnoteBoldChar"/>
          <w:rtl/>
        </w:rPr>
        <w:t>القاموس المحيط</w:t>
      </w:r>
      <w:r w:rsidR="00744A1C">
        <w:rPr>
          <w:rtl/>
          <w:lang w:bidi="fa-IR"/>
        </w:rPr>
        <w:t xml:space="preserve"> ، ج 2 ، ص 1396 ( مطل ).</w:t>
      </w:r>
    </w:p>
    <w:tbl>
      <w:tblPr>
        <w:tblStyle w:val="TableGrid"/>
        <w:bidiVisual/>
        <w:tblW w:w="0" w:type="auto"/>
        <w:tblLook w:val="04A0" w:firstRow="1" w:lastRow="0" w:firstColumn="1" w:lastColumn="0" w:noHBand="0" w:noVBand="1"/>
      </w:tblPr>
      <w:tblGrid>
        <w:gridCol w:w="4006"/>
        <w:gridCol w:w="4006"/>
      </w:tblGrid>
      <w:tr w:rsidR="006F64C9" w:rsidTr="006F64C9">
        <w:tc>
          <w:tcPr>
            <w:tcW w:w="4006" w:type="dxa"/>
          </w:tcPr>
          <w:p w:rsidR="006F64C9" w:rsidRDefault="006F64C9" w:rsidP="00E378DD">
            <w:pPr>
              <w:pStyle w:val="libFootnote0"/>
              <w:rPr>
                <w:rtl/>
                <w:lang w:bidi="fa-IR"/>
              </w:rPr>
            </w:pPr>
            <w:r>
              <w:rPr>
                <w:rtl/>
                <w:lang w:bidi="fa-IR"/>
              </w:rPr>
              <w:t>(10). في « ط » : « فهو ».</w:t>
            </w:r>
          </w:p>
        </w:tc>
        <w:tc>
          <w:tcPr>
            <w:tcW w:w="4006" w:type="dxa"/>
          </w:tcPr>
          <w:p w:rsidR="006F64C9" w:rsidRDefault="006F64C9" w:rsidP="00E378DD">
            <w:pPr>
              <w:pStyle w:val="libFootnote0"/>
              <w:rPr>
                <w:rtl/>
                <w:lang w:bidi="fa-IR"/>
              </w:rPr>
            </w:pPr>
            <w:r>
              <w:rPr>
                <w:rtl/>
                <w:lang w:bidi="fa-IR"/>
              </w:rPr>
              <w:t>(11). في « جن » : « فأخبر ».</w:t>
            </w:r>
          </w:p>
        </w:tc>
      </w:tr>
    </w:tbl>
    <w:p w:rsidR="00744A1C" w:rsidRDefault="00E378DD" w:rsidP="00E378DD">
      <w:pPr>
        <w:pStyle w:val="libFootnote0"/>
        <w:rPr>
          <w:lang w:bidi="fa-IR"/>
        </w:rPr>
      </w:pPr>
      <w:r>
        <w:rPr>
          <w:rtl/>
          <w:lang w:bidi="fa-IR"/>
        </w:rPr>
        <w:t>(12).</w:t>
      </w:r>
      <w:r w:rsidR="00744A1C">
        <w:rPr>
          <w:rtl/>
          <w:lang w:bidi="fa-IR"/>
        </w:rPr>
        <w:t xml:space="preserve"> في « ى ، بح ، بس ، جد ، جن » </w:t>
      </w:r>
      <w:r w:rsidR="00744A1C" w:rsidRPr="006F64C9">
        <w:rPr>
          <w:rtl/>
        </w:rPr>
        <w:t>والبحار</w:t>
      </w:r>
      <w:r w:rsidR="00744A1C">
        <w:rPr>
          <w:rtl/>
          <w:lang w:bidi="fa-IR"/>
        </w:rPr>
        <w:t xml:space="preserve"> ، ج 46 ، ص 111 </w:t>
      </w:r>
      <w:r w:rsidR="00744A1C" w:rsidRPr="006F64C9">
        <w:rPr>
          <w:rtl/>
        </w:rPr>
        <w:t>والفقيه والتهذيب</w:t>
      </w:r>
      <w:r w:rsidR="00744A1C">
        <w:rPr>
          <w:rtl/>
          <w:lang w:bidi="fa-IR"/>
        </w:rPr>
        <w:t xml:space="preserve"> : « ولم يكن ».</w:t>
      </w:r>
    </w:p>
    <w:p w:rsidR="00744A1C" w:rsidRDefault="00E378DD" w:rsidP="00E378DD">
      <w:pPr>
        <w:pStyle w:val="libFootnote0"/>
        <w:rPr>
          <w:lang w:bidi="fa-IR"/>
        </w:rPr>
      </w:pPr>
      <w:r>
        <w:rPr>
          <w:rtl/>
          <w:lang w:bidi="fa-IR"/>
        </w:rPr>
        <w:t>(13).</w:t>
      </w:r>
      <w:r w:rsidR="00744A1C">
        <w:rPr>
          <w:rtl/>
          <w:lang w:bidi="fa-IR"/>
        </w:rPr>
        <w:t xml:space="preserve"> « الغلّة » : الدخل الذي يحصل من الزرع والثمر واللبن والإجارة والنتاج ونحو ذلك. </w:t>
      </w:r>
      <w:r w:rsidR="00744A1C" w:rsidRPr="00877682">
        <w:rPr>
          <w:rStyle w:val="libFootnoteBoldChar"/>
          <w:rtl/>
        </w:rPr>
        <w:t>لسان العرب</w:t>
      </w:r>
      <w:r w:rsidR="00744A1C">
        <w:rPr>
          <w:rtl/>
          <w:lang w:bidi="fa-IR"/>
        </w:rPr>
        <w:t xml:space="preserve"> ، ج 11 ، ص 504 ( غلل ).</w:t>
      </w:r>
    </w:p>
    <w:p w:rsidR="00144FA6" w:rsidRDefault="00E378DD" w:rsidP="00E378DD">
      <w:pPr>
        <w:pStyle w:val="libFootnote0"/>
        <w:rPr>
          <w:rtl/>
          <w:lang w:bidi="fa-IR"/>
        </w:rPr>
      </w:pPr>
      <w:r>
        <w:rPr>
          <w:rtl/>
          <w:lang w:bidi="fa-IR"/>
        </w:rPr>
        <w:t>(14).</w:t>
      </w:r>
      <w:r w:rsidR="00744A1C">
        <w:rPr>
          <w:rtl/>
          <w:lang w:bidi="fa-IR"/>
        </w:rPr>
        <w:t xml:space="preserve"> في </w:t>
      </w:r>
      <w:r w:rsidR="00744A1C" w:rsidRPr="006F64C9">
        <w:rPr>
          <w:rtl/>
        </w:rPr>
        <w:t>البحار</w:t>
      </w:r>
      <w:r w:rsidR="00744A1C">
        <w:rPr>
          <w:rtl/>
          <w:lang w:bidi="fa-IR"/>
        </w:rPr>
        <w:t xml:space="preserve"> ، ج 46 ، ص 94 </w:t>
      </w:r>
      <w:r w:rsidR="00744A1C" w:rsidRPr="006F64C9">
        <w:rPr>
          <w:rtl/>
        </w:rPr>
        <w:t>والفقيه والتهذيب</w:t>
      </w:r>
      <w:r w:rsidR="00744A1C">
        <w:rPr>
          <w:rtl/>
          <w:lang w:bidi="fa-IR"/>
        </w:rPr>
        <w:t xml:space="preserve"> : - « تجمّلاً ». وفي </w:t>
      </w:r>
      <w:r w:rsidR="00744A1C" w:rsidRPr="00C24F9C">
        <w:rPr>
          <w:rStyle w:val="libFootnoteBoldChar"/>
          <w:rtl/>
        </w:rPr>
        <w:t>المرآة</w:t>
      </w:r>
      <w:r w:rsidR="00744A1C">
        <w:rPr>
          <w:rtl/>
          <w:lang w:bidi="fa-IR"/>
        </w:rPr>
        <w:t xml:space="preserve"> : « قوله : تجمّلاً ، بالجيم ، أي إنّما قال</w:t>
      </w:r>
      <w:r w:rsidR="006F64C9">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6F64C9">
      <w:pPr>
        <w:pStyle w:val="libNormal"/>
        <w:rPr>
          <w:rtl/>
          <w:lang w:bidi="fa-IR"/>
        </w:rPr>
      </w:pPr>
      <w:r>
        <w:rPr>
          <w:rtl/>
          <w:lang w:bidi="fa-IR"/>
        </w:rPr>
        <w:t xml:space="preserve">فَقَالَ </w:t>
      </w:r>
      <w:r w:rsidRPr="00D10E3C">
        <w:rPr>
          <w:rStyle w:val="libFootnotenumChar"/>
          <w:rtl/>
        </w:rPr>
        <w:t>(1)</w:t>
      </w:r>
      <w:r>
        <w:rPr>
          <w:rtl/>
          <w:lang w:bidi="fa-IR"/>
        </w:rPr>
        <w:t xml:space="preserve"> الْقَوْمُ : قَدْ </w:t>
      </w:r>
      <w:r w:rsidRPr="00D10E3C">
        <w:rPr>
          <w:rStyle w:val="libFootnotenumChar"/>
          <w:rtl/>
        </w:rPr>
        <w:t>(2)</w:t>
      </w:r>
      <w:r>
        <w:rPr>
          <w:rtl/>
          <w:lang w:bidi="fa-IR"/>
        </w:rPr>
        <w:t xml:space="preserve"> رَضِينَا ، وَضَمِنَهُ ، فَلَمَّا أَتَتِ الْغَلَّةُ أَتَاحَ اللهُ - عَزَّ وَجَلَّ - لَهُ </w:t>
      </w:r>
      <w:r w:rsidRPr="00D10E3C">
        <w:rPr>
          <w:rStyle w:val="libFootnotenumChar"/>
          <w:rtl/>
        </w:rPr>
        <w:t>(3)</w:t>
      </w:r>
      <w:r>
        <w:rPr>
          <w:rtl/>
          <w:lang w:bidi="fa-IR"/>
        </w:rPr>
        <w:t xml:space="preserve"> الْمَالَ </w:t>
      </w:r>
      <w:r w:rsidRPr="00D10E3C">
        <w:rPr>
          <w:rStyle w:val="libFootnotenumChar"/>
          <w:rtl/>
        </w:rPr>
        <w:t>(4)</w:t>
      </w:r>
      <w:r>
        <w:rPr>
          <w:rtl/>
          <w:lang w:bidi="fa-IR"/>
        </w:rPr>
        <w:t xml:space="preserve"> ، فَأَدَّاهُ </w:t>
      </w:r>
      <w:r w:rsidRPr="00D10E3C">
        <w:rPr>
          <w:rStyle w:val="libFootnotenumChar"/>
          <w:rtl/>
        </w:rPr>
        <w:t>(5)</w:t>
      </w:r>
      <w:r w:rsidR="006F64C9">
        <w:rPr>
          <w:rFonts w:hint="cs"/>
          <w:rtl/>
          <w:lang w:bidi="fa-IR"/>
        </w:rPr>
        <w:t>.</w:t>
      </w:r>
      <w:r w:rsidRPr="00D10E3C">
        <w:rPr>
          <w:rStyle w:val="libFootnotenumChar"/>
          <w:rtl/>
        </w:rPr>
        <w:t>(6)</w:t>
      </w:r>
    </w:p>
    <w:p w:rsidR="006F64C9" w:rsidRDefault="00744A1C" w:rsidP="006F64C9">
      <w:pPr>
        <w:pStyle w:val="libNormal"/>
        <w:rPr>
          <w:rtl/>
          <w:lang w:bidi="fa-IR"/>
        </w:rPr>
      </w:pPr>
      <w:r>
        <w:rPr>
          <w:rtl/>
          <w:lang w:bidi="fa-IR"/>
        </w:rPr>
        <w:t xml:space="preserve">8475 / 8. عَلِيُّ بْنُ إِبْرَاهِيمَ </w:t>
      </w:r>
      <w:r w:rsidRPr="00D10E3C">
        <w:rPr>
          <w:rStyle w:val="libFootnotenumChar"/>
          <w:rtl/>
        </w:rPr>
        <w:t>(7)</w:t>
      </w:r>
      <w:r>
        <w:rPr>
          <w:rtl/>
          <w:lang w:bidi="fa-IR"/>
        </w:rPr>
        <w:t xml:space="preserve"> ، عَنْ أَبِيهِ ؛</w:t>
      </w:r>
    </w:p>
    <w:p w:rsidR="00144FA6" w:rsidRDefault="006F64C9" w:rsidP="006F64C9">
      <w:pPr>
        <w:pStyle w:val="libNormal"/>
        <w:rPr>
          <w:rtl/>
          <w:lang w:bidi="fa-IR"/>
        </w:rPr>
      </w:pPr>
      <w:r>
        <w:rPr>
          <w:rFonts w:hint="cs"/>
          <w:rtl/>
          <w:lang w:bidi="fa-IR"/>
        </w:rPr>
        <w:t xml:space="preserve">             </w:t>
      </w:r>
      <w:r w:rsidR="00744A1C">
        <w:rPr>
          <w:rtl/>
          <w:lang w:bidi="fa-IR"/>
        </w:rPr>
        <w:t xml:space="preserve">وَمُحَمَّدُ بْنُ إِسْمَاعِيلَ ، عَنِ الْفَضْلِ بْنِ شَاذَانَ جَمِيعاً ، عَنِ ابْنِ أَبِي عُمَيْرٍ ، عَنْ إِبْرَاهِيمَ بْنِ عَبْدِ الْحَمِيدِ ، عَنْ عُثْمَانَ بْنِ زِيَادٍ </w:t>
      </w:r>
      <w:r w:rsidR="00744A1C" w:rsidRPr="00D10E3C">
        <w:rPr>
          <w:rStyle w:val="libFootnotenumChar"/>
          <w:rtl/>
        </w:rPr>
        <w:t>(8)</w:t>
      </w:r>
      <w:r w:rsidR="00744A1C">
        <w:rPr>
          <w:rtl/>
          <w:lang w:bidi="fa-IR"/>
        </w:rPr>
        <w:t xml:space="preserve">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 لِي عَلى رَجُلٍ دَيْناً ، وَقَدْ </w:t>
      </w:r>
      <w:r w:rsidRPr="00D10E3C">
        <w:rPr>
          <w:rStyle w:val="libFootnotenumChar"/>
          <w:rtl/>
        </w:rPr>
        <w:t>(9)</w:t>
      </w:r>
      <w:r>
        <w:rPr>
          <w:rtl/>
          <w:lang w:bidi="fa-IR"/>
        </w:rPr>
        <w:t xml:space="preserve"> أَرَادَ أَنْ يَبِيعَ دَارَهُ فَيَقْضِيَنِي </w:t>
      </w:r>
      <w:r w:rsidRPr="00D10E3C">
        <w:rPr>
          <w:rStyle w:val="libFootnotenumChar"/>
          <w:rtl/>
        </w:rPr>
        <w:t>(10)</w:t>
      </w:r>
      <w:r w:rsidR="006F64C9" w:rsidRPr="006F64C9">
        <w:rPr>
          <w:rFonts w:hint="cs"/>
          <w:rtl/>
        </w:rPr>
        <w:t>.</w:t>
      </w:r>
    </w:p>
    <w:p w:rsidR="00144FA6" w:rsidRDefault="00744A1C" w:rsidP="00744A1C">
      <w:pPr>
        <w:pStyle w:val="libNormal"/>
        <w:rPr>
          <w:rtl/>
          <w:lang w:bidi="fa-IR"/>
        </w:rPr>
      </w:pPr>
      <w:r>
        <w:rPr>
          <w:rtl/>
          <w:lang w:bidi="fa-IR"/>
        </w:rPr>
        <w:t xml:space="preserve">قَالَ </w:t>
      </w:r>
      <w:r w:rsidRPr="00D10E3C">
        <w:rPr>
          <w:rStyle w:val="libFootnotenumChar"/>
          <w:rtl/>
        </w:rPr>
        <w:t>(11)</w:t>
      </w:r>
      <w:r>
        <w:rPr>
          <w:rtl/>
          <w:lang w:bidi="fa-IR"/>
        </w:rPr>
        <w:t xml:space="preserve"> : فَقَالَ </w:t>
      </w:r>
      <w:r w:rsidRPr="00D10E3C">
        <w:rPr>
          <w:rStyle w:val="libFootnotenumChar"/>
          <w:rtl/>
        </w:rPr>
        <w:t>(12)</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أُعِيذُكَ بِاللهِ أَنْ تُخْرِجَهُ مِنْ ظِلِّ رَأْسِهِ </w:t>
      </w:r>
      <w:r w:rsidRPr="00D10E3C">
        <w:rPr>
          <w:rStyle w:val="libFootnotenumChar"/>
          <w:rtl/>
        </w:rPr>
        <w:t>(13)</w:t>
      </w:r>
      <w:r>
        <w:rPr>
          <w:rtl/>
          <w:lang w:bidi="fa-IR"/>
        </w:rPr>
        <w:t xml:space="preserve"> ».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6F64C9" w:rsidP="00D10E3C">
      <w:pPr>
        <w:pStyle w:val="libFootnote0"/>
        <w:rPr>
          <w:lang w:bidi="fa-IR"/>
        </w:rPr>
      </w:pPr>
      <w:r>
        <w:rPr>
          <w:rFonts w:hint="cs"/>
          <w:rtl/>
          <w:lang w:bidi="fa-IR"/>
        </w:rPr>
        <w:t xml:space="preserve">= </w:t>
      </w:r>
      <w:r w:rsidR="00744A1C">
        <w:rPr>
          <w:rtl/>
          <w:lang w:bidi="fa-IR"/>
        </w:rPr>
        <w:t>ذلك لإظهار الجمال والزينة والغنا. ويمكن أن يقرأ بالحاء ، أي إنّما فعل تحمّلاً للدين ، أو لكثرة حمله وتحمّله للمشاقّ. والأوّل أظهر ».</w:t>
      </w:r>
    </w:p>
    <w:p w:rsidR="00744A1C" w:rsidRDefault="00D10E3C" w:rsidP="00D10E3C">
      <w:pPr>
        <w:pStyle w:val="libFootnote0"/>
        <w:rPr>
          <w:lang w:bidi="fa-IR"/>
        </w:rPr>
      </w:pPr>
      <w:r>
        <w:rPr>
          <w:rtl/>
          <w:lang w:bidi="fa-IR"/>
        </w:rPr>
        <w:t>(1).</w:t>
      </w:r>
      <w:r w:rsidR="00744A1C">
        <w:rPr>
          <w:rtl/>
          <w:lang w:bidi="fa-IR"/>
        </w:rPr>
        <w:t xml:space="preserve"> في « جت » : « فقال له ». وفي « ط » </w:t>
      </w:r>
      <w:r w:rsidR="00744A1C" w:rsidRPr="006F64C9">
        <w:rPr>
          <w:rtl/>
        </w:rPr>
        <w:t>والبحار</w:t>
      </w:r>
      <w:r w:rsidR="00744A1C">
        <w:rPr>
          <w:rtl/>
          <w:lang w:bidi="fa-IR"/>
        </w:rPr>
        <w:t xml:space="preserve"> ، ج 46 ، ص 94 : + « قال فقال ».</w:t>
      </w:r>
    </w:p>
    <w:tbl>
      <w:tblPr>
        <w:tblStyle w:val="TableGrid"/>
        <w:bidiVisual/>
        <w:tblW w:w="0" w:type="auto"/>
        <w:tblLook w:val="04A0" w:firstRow="1" w:lastRow="0" w:firstColumn="1" w:lastColumn="0" w:noHBand="0" w:noVBand="1"/>
      </w:tblPr>
      <w:tblGrid>
        <w:gridCol w:w="4006"/>
        <w:gridCol w:w="4006"/>
      </w:tblGrid>
      <w:tr w:rsidR="006F64C9" w:rsidTr="006F64C9">
        <w:tc>
          <w:tcPr>
            <w:tcW w:w="4006" w:type="dxa"/>
          </w:tcPr>
          <w:p w:rsidR="006F64C9" w:rsidRDefault="006F64C9" w:rsidP="00E378DD">
            <w:pPr>
              <w:pStyle w:val="libFootnote0"/>
              <w:rPr>
                <w:rtl/>
                <w:lang w:bidi="fa-IR"/>
              </w:rPr>
            </w:pPr>
            <w:r>
              <w:rPr>
                <w:rtl/>
                <w:lang w:bidi="fa-IR"/>
              </w:rPr>
              <w:t>(2). في « بف » : - « قد ».</w:t>
            </w:r>
          </w:p>
        </w:tc>
        <w:tc>
          <w:tcPr>
            <w:tcW w:w="4006" w:type="dxa"/>
          </w:tcPr>
          <w:p w:rsidR="006F64C9" w:rsidRDefault="006F64C9" w:rsidP="00E378DD">
            <w:pPr>
              <w:pStyle w:val="libFootnote0"/>
              <w:rPr>
                <w:rtl/>
                <w:lang w:bidi="fa-IR"/>
              </w:rPr>
            </w:pPr>
            <w:r>
              <w:rPr>
                <w:rtl/>
                <w:lang w:bidi="fa-IR"/>
              </w:rPr>
              <w:t>(3). في « بخ ، بف » : - « له ».</w:t>
            </w:r>
          </w:p>
        </w:tc>
      </w:tr>
    </w:tbl>
    <w:p w:rsidR="00744A1C" w:rsidRDefault="00E378DD" w:rsidP="00E378DD">
      <w:pPr>
        <w:pStyle w:val="libFootnote0"/>
        <w:rPr>
          <w:lang w:bidi="fa-IR"/>
        </w:rPr>
      </w:pPr>
      <w:r>
        <w:rPr>
          <w:rtl/>
          <w:lang w:bidi="fa-IR"/>
        </w:rPr>
        <w:t>(4).</w:t>
      </w:r>
      <w:r w:rsidR="00744A1C">
        <w:rPr>
          <w:rtl/>
          <w:lang w:bidi="fa-IR"/>
        </w:rPr>
        <w:t xml:space="preserve"> « أتاح الله عزّ وجلّ له المال » ، أي قدّره له وأنزله به ، أو يسّره وهيّأه له. راجع : </w:t>
      </w:r>
      <w:r w:rsidR="00744A1C" w:rsidRPr="00877682">
        <w:rPr>
          <w:rStyle w:val="libFootnoteBoldChar"/>
          <w:rtl/>
        </w:rPr>
        <w:t>لسان العرب</w:t>
      </w:r>
      <w:r w:rsidR="00744A1C">
        <w:rPr>
          <w:rtl/>
          <w:lang w:bidi="fa-IR"/>
        </w:rPr>
        <w:t xml:space="preserve"> ، ج 2 ، ص 418 ( تيح ). </w:t>
      </w:r>
      <w:r w:rsidR="006F64C9">
        <w:rPr>
          <w:rFonts w:hint="cs"/>
          <w:rtl/>
          <w:lang w:bidi="fa-IR"/>
        </w:rPr>
        <w:t xml:space="preserve">                     </w:t>
      </w:r>
      <w:r w:rsidR="005D2B3B">
        <w:rPr>
          <w:rFonts w:hint="cs"/>
          <w:rtl/>
          <w:lang w:bidi="fa-IR"/>
        </w:rPr>
        <w:t xml:space="preserve">             </w:t>
      </w:r>
      <w:r w:rsidR="006F64C9">
        <w:rPr>
          <w:rFonts w:hint="cs"/>
          <w:rtl/>
          <w:lang w:bidi="fa-IR"/>
        </w:rPr>
        <w:t xml:space="preserve">         </w:t>
      </w:r>
      <w:r>
        <w:rPr>
          <w:rtl/>
          <w:lang w:bidi="fa-IR"/>
        </w:rPr>
        <w:t>(5).</w:t>
      </w:r>
      <w:r w:rsidR="00744A1C">
        <w:rPr>
          <w:rtl/>
          <w:lang w:bidi="fa-IR"/>
        </w:rPr>
        <w:t xml:space="preserve"> في « ط » : « فأوفاه ».</w:t>
      </w:r>
    </w:p>
    <w:p w:rsidR="00744A1C" w:rsidRDefault="00E378DD" w:rsidP="006F64C9">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211 ، ح 495 ، معلّقاً عن محمّد بن عليّ بن محبوب ، عن يوسف بن السخت ، عن عليّ بن محمّد بن سليمان ، عن النوفلي ، عن أبيه ، عن عيسى بن عبد الله. </w:t>
      </w:r>
      <w:r w:rsidR="00744A1C" w:rsidRPr="00C24F9C">
        <w:rPr>
          <w:rStyle w:val="libFootnoteBoldChar"/>
          <w:rtl/>
        </w:rPr>
        <w:t>الفقيه</w:t>
      </w:r>
      <w:r w:rsidR="00744A1C">
        <w:rPr>
          <w:rtl/>
          <w:lang w:bidi="fa-IR"/>
        </w:rPr>
        <w:t xml:space="preserve"> ، ج 3 ، ص 98 ، ح 3407 ، مرسلاً </w:t>
      </w:r>
      <w:r w:rsidR="006F64C9">
        <w:rPr>
          <w:rFonts w:hint="cs"/>
          <w:rtl/>
          <w:lang w:bidi="fa-IR"/>
        </w:rPr>
        <w:t>.</w:t>
      </w:r>
      <w:r w:rsidR="00744A1C" w:rsidRPr="00C24F9C">
        <w:rPr>
          <w:rStyle w:val="libFootnoteBoldChar"/>
          <w:rtl/>
        </w:rPr>
        <w:t>الوافي</w:t>
      </w:r>
      <w:r w:rsidR="00744A1C">
        <w:rPr>
          <w:rtl/>
          <w:lang w:bidi="fa-IR"/>
        </w:rPr>
        <w:t xml:space="preserve"> ، ج 18 ، ص 792 ، ح 18309 ؛ </w:t>
      </w:r>
      <w:r w:rsidR="00744A1C" w:rsidRPr="00C24F9C">
        <w:rPr>
          <w:rStyle w:val="libFootnoteBoldChar"/>
          <w:rtl/>
        </w:rPr>
        <w:t>الوسائل</w:t>
      </w:r>
      <w:r w:rsidR="00744A1C">
        <w:rPr>
          <w:rtl/>
          <w:lang w:bidi="fa-IR"/>
        </w:rPr>
        <w:t xml:space="preserve"> ، ج 18 ، ص 426 ، ذيل ح 23971 ؛ </w:t>
      </w:r>
      <w:r w:rsidR="00744A1C" w:rsidRPr="0061079A">
        <w:rPr>
          <w:rStyle w:val="libFootnoteBoldChar"/>
          <w:rtl/>
        </w:rPr>
        <w:t>البحار</w:t>
      </w:r>
      <w:r w:rsidR="00744A1C">
        <w:rPr>
          <w:rtl/>
          <w:lang w:bidi="fa-IR"/>
        </w:rPr>
        <w:t xml:space="preserve"> ، ج 46 ، ص 94 ، ذيل ح 84 ؛ وص 111 ، ح 1.</w:t>
      </w:r>
      <w:r w:rsidR="006F64C9">
        <w:rPr>
          <w:rFonts w:hint="cs"/>
          <w:rtl/>
          <w:lang w:bidi="fa-IR"/>
        </w:rPr>
        <w:t xml:space="preserve">      </w:t>
      </w:r>
      <w:r>
        <w:rPr>
          <w:rtl/>
          <w:lang w:bidi="fa-IR"/>
        </w:rPr>
        <w:t>(7).</w:t>
      </w:r>
      <w:r w:rsidR="00744A1C">
        <w:rPr>
          <w:rtl/>
          <w:lang w:bidi="fa-IR"/>
        </w:rPr>
        <w:t xml:space="preserve"> في </w:t>
      </w:r>
      <w:r w:rsidR="00744A1C" w:rsidRPr="006F64C9">
        <w:rPr>
          <w:rtl/>
        </w:rPr>
        <w:t>التهذيب</w:t>
      </w:r>
      <w:r w:rsidR="00744A1C">
        <w:rPr>
          <w:rtl/>
          <w:lang w:bidi="fa-IR"/>
        </w:rPr>
        <w:t xml:space="preserve"> : - « بن إبراهيم ».</w:t>
      </w:r>
    </w:p>
    <w:p w:rsidR="00744A1C" w:rsidRDefault="00E378DD" w:rsidP="006F64C9">
      <w:pPr>
        <w:pStyle w:val="libFootnote0"/>
        <w:rPr>
          <w:lang w:bidi="fa-IR"/>
        </w:rPr>
      </w:pPr>
      <w:r>
        <w:rPr>
          <w:rtl/>
          <w:lang w:bidi="fa-IR"/>
        </w:rPr>
        <w:t>(8).</w:t>
      </w:r>
      <w:r w:rsidR="00744A1C">
        <w:rPr>
          <w:rtl/>
          <w:lang w:bidi="fa-IR"/>
        </w:rPr>
        <w:t xml:space="preserve"> في </w:t>
      </w:r>
      <w:r w:rsidR="00744A1C" w:rsidRPr="006F64C9">
        <w:rPr>
          <w:rtl/>
        </w:rPr>
        <w:t>التهذيب والاستبصار</w:t>
      </w:r>
      <w:r w:rsidR="00744A1C">
        <w:rPr>
          <w:rtl/>
          <w:lang w:bidi="fa-IR"/>
        </w:rPr>
        <w:t xml:space="preserve"> : « زرارة » بدل « عثمان بن زياد ». وفي </w:t>
      </w:r>
      <w:r w:rsidR="00744A1C" w:rsidRPr="006F64C9">
        <w:rPr>
          <w:rtl/>
        </w:rPr>
        <w:t>الوسائل</w:t>
      </w:r>
      <w:r w:rsidR="00744A1C">
        <w:rPr>
          <w:rtl/>
          <w:lang w:bidi="fa-IR"/>
        </w:rPr>
        <w:t xml:space="preserve"> : - « عثمان ». والظاهر من اتّفاق النسخ على « عثمان بن زياد » وقوع التصحيف في </w:t>
      </w:r>
      <w:r w:rsidR="00744A1C" w:rsidRPr="006F64C9">
        <w:rPr>
          <w:rtl/>
        </w:rPr>
        <w:t>التهذيب</w:t>
      </w:r>
      <w:r w:rsidR="00744A1C">
        <w:rPr>
          <w:rtl/>
          <w:lang w:bidi="fa-IR"/>
        </w:rPr>
        <w:t xml:space="preserve">ين ، ولعلّ الأصل في الكتابين أيضاً كان « ابن زياد » ، فصُحِّف بزرارة. وقد ورد في </w:t>
      </w:r>
      <w:r w:rsidR="00744A1C" w:rsidRPr="0061079A">
        <w:rPr>
          <w:rStyle w:val="libFootnoteBoldChar"/>
          <w:rtl/>
        </w:rPr>
        <w:t>رجال الطوسي</w:t>
      </w:r>
      <w:r w:rsidR="00744A1C">
        <w:rPr>
          <w:rtl/>
          <w:lang w:bidi="fa-IR"/>
        </w:rPr>
        <w:t xml:space="preserve"> ، ص 259 ، الرقم 3690 ، أنّ عثمان بن زياد الرواسي روى عنه إبراهيم بن عبد الحميد.</w:t>
      </w:r>
      <w:r w:rsidR="006F64C9">
        <w:rPr>
          <w:rFonts w:hint="cs"/>
          <w:rtl/>
          <w:lang w:bidi="fa-IR"/>
        </w:rPr>
        <w:t xml:space="preserve">                             </w:t>
      </w:r>
      <w:r w:rsidR="005D2B3B">
        <w:rPr>
          <w:rFonts w:hint="cs"/>
          <w:rtl/>
          <w:lang w:bidi="fa-IR"/>
        </w:rPr>
        <w:t xml:space="preserve">             </w:t>
      </w:r>
      <w:r w:rsidR="006F64C9">
        <w:rPr>
          <w:rFonts w:hint="cs"/>
          <w:rtl/>
          <w:lang w:bidi="fa-IR"/>
        </w:rPr>
        <w:t xml:space="preserve"> </w:t>
      </w:r>
      <w:r>
        <w:rPr>
          <w:rtl/>
          <w:lang w:bidi="fa-IR"/>
        </w:rPr>
        <w:t>(9).</w:t>
      </w:r>
      <w:r w:rsidR="00744A1C">
        <w:rPr>
          <w:rtl/>
          <w:lang w:bidi="fa-IR"/>
        </w:rPr>
        <w:t xml:space="preserve"> في « جن » : « قد » بدون الواو.</w:t>
      </w:r>
    </w:p>
    <w:p w:rsidR="00744A1C" w:rsidRDefault="00E378DD" w:rsidP="00E378DD">
      <w:pPr>
        <w:pStyle w:val="libFootnote0"/>
        <w:rPr>
          <w:lang w:bidi="fa-IR"/>
        </w:rPr>
      </w:pPr>
      <w:r>
        <w:rPr>
          <w:rtl/>
          <w:lang w:bidi="fa-IR"/>
        </w:rPr>
        <w:t>(10).</w:t>
      </w:r>
      <w:r w:rsidR="00744A1C">
        <w:rPr>
          <w:rtl/>
          <w:lang w:bidi="fa-IR"/>
        </w:rPr>
        <w:t xml:space="preserve"> في الاستبصار : « فيعطيني ».</w:t>
      </w:r>
    </w:p>
    <w:p w:rsidR="00744A1C" w:rsidRDefault="00E378DD" w:rsidP="00E378DD">
      <w:pPr>
        <w:pStyle w:val="libFootnote0"/>
        <w:rPr>
          <w:lang w:bidi="fa-IR"/>
        </w:rPr>
      </w:pPr>
      <w:r>
        <w:rPr>
          <w:rtl/>
          <w:lang w:bidi="fa-IR"/>
        </w:rPr>
        <w:t>(11).</w:t>
      </w:r>
      <w:r w:rsidR="00744A1C">
        <w:rPr>
          <w:rtl/>
          <w:lang w:bidi="fa-IR"/>
        </w:rPr>
        <w:t xml:space="preserve"> في « ط ، بخ ، بف » </w:t>
      </w:r>
      <w:r w:rsidR="00744A1C" w:rsidRPr="006F64C9">
        <w:rPr>
          <w:rtl/>
        </w:rPr>
        <w:t>والوافي والوسائل</w:t>
      </w:r>
      <w:r w:rsidR="00744A1C">
        <w:rPr>
          <w:rtl/>
          <w:lang w:bidi="fa-IR"/>
        </w:rPr>
        <w:t xml:space="preserve"> ، ح 23803 : - « قال ».</w:t>
      </w:r>
    </w:p>
    <w:p w:rsidR="00744A1C" w:rsidRDefault="00E378DD" w:rsidP="00E378DD">
      <w:pPr>
        <w:pStyle w:val="libFootnote0"/>
        <w:rPr>
          <w:lang w:bidi="fa-IR"/>
        </w:rPr>
      </w:pPr>
      <w:r>
        <w:rPr>
          <w:rtl/>
          <w:lang w:bidi="fa-IR"/>
        </w:rPr>
        <w:t>(12).</w:t>
      </w:r>
      <w:r w:rsidR="00744A1C">
        <w:rPr>
          <w:rtl/>
          <w:lang w:bidi="fa-IR"/>
        </w:rPr>
        <w:t xml:space="preserve"> في </w:t>
      </w:r>
      <w:r w:rsidR="00744A1C" w:rsidRPr="006F64C9">
        <w:rPr>
          <w:rtl/>
        </w:rPr>
        <w:t>الوافي</w:t>
      </w:r>
      <w:r w:rsidR="00744A1C">
        <w:rPr>
          <w:rtl/>
          <w:lang w:bidi="fa-IR"/>
        </w:rPr>
        <w:t xml:space="preserve"> : + « له ».</w:t>
      </w:r>
    </w:p>
    <w:p w:rsidR="00744A1C" w:rsidRDefault="00E378DD" w:rsidP="00E378DD">
      <w:pPr>
        <w:pStyle w:val="libFootnote0"/>
        <w:rPr>
          <w:lang w:bidi="fa-IR"/>
        </w:rPr>
      </w:pPr>
      <w:r>
        <w:rPr>
          <w:rtl/>
          <w:lang w:bidi="fa-IR"/>
        </w:rPr>
        <w:t>(13).</w:t>
      </w:r>
      <w:r w:rsidR="00744A1C">
        <w:rPr>
          <w:rtl/>
          <w:lang w:bidi="fa-IR"/>
        </w:rPr>
        <w:t xml:space="preserve"> في « ط » </w:t>
      </w:r>
      <w:r w:rsidR="00744A1C" w:rsidRPr="006F64C9">
        <w:rPr>
          <w:rtl/>
        </w:rPr>
        <w:t>والوافي والاستبصار</w:t>
      </w:r>
      <w:r w:rsidR="00744A1C">
        <w:rPr>
          <w:rtl/>
          <w:lang w:bidi="fa-IR"/>
        </w:rPr>
        <w:t xml:space="preserve"> : + « ا</w:t>
      </w:r>
      <w:r w:rsidR="006F64C9">
        <w:rPr>
          <w:rFonts w:hint="cs"/>
          <w:rtl/>
          <w:lang w:bidi="fa-IR"/>
        </w:rPr>
        <w:t>ُ</w:t>
      </w:r>
      <w:r w:rsidR="00744A1C">
        <w:rPr>
          <w:rtl/>
          <w:lang w:bidi="fa-IR"/>
        </w:rPr>
        <w:t>عيذك بالله أن تخرجه من ظلّ رأسه » ثانياً. وفي « بخ ، بف » : + « ا</w:t>
      </w:r>
      <w:r w:rsidR="006F64C9">
        <w:rPr>
          <w:rFonts w:hint="cs"/>
          <w:rtl/>
          <w:lang w:bidi="fa-IR"/>
        </w:rPr>
        <w:t>ُ</w:t>
      </w:r>
      <w:r w:rsidR="00744A1C">
        <w:rPr>
          <w:rtl/>
          <w:lang w:bidi="fa-IR"/>
        </w:rPr>
        <w:t>عيذك بالله أن تخرجه من ظلّ رأسه ، ا</w:t>
      </w:r>
      <w:r w:rsidR="006F64C9">
        <w:rPr>
          <w:rFonts w:hint="cs"/>
          <w:rtl/>
          <w:lang w:bidi="fa-IR"/>
        </w:rPr>
        <w:t>ُ</w:t>
      </w:r>
      <w:r w:rsidR="00744A1C">
        <w:rPr>
          <w:rtl/>
          <w:lang w:bidi="fa-IR"/>
        </w:rPr>
        <w:t>عيذك بالله أن تخرجه من ظلّ رأسه » ثلاثاً.</w:t>
      </w:r>
    </w:p>
    <w:p w:rsidR="00144FA6" w:rsidRDefault="00E378DD" w:rsidP="00E378DD">
      <w:pPr>
        <w:pStyle w:val="libFootnote0"/>
        <w:rPr>
          <w:rtl/>
          <w:lang w:bidi="fa-IR"/>
        </w:rPr>
      </w:pPr>
      <w:r>
        <w:rPr>
          <w:rtl/>
          <w:lang w:bidi="fa-IR"/>
        </w:rPr>
        <w:t>(14).</w:t>
      </w:r>
      <w:r w:rsidR="00744A1C">
        <w:rPr>
          <w:rtl/>
          <w:lang w:bidi="fa-IR"/>
        </w:rPr>
        <w:t xml:space="preserve"> </w:t>
      </w:r>
      <w:r w:rsidR="00744A1C" w:rsidRPr="00C24F9C">
        <w:rPr>
          <w:rStyle w:val="libFootnoteBoldChar"/>
          <w:rtl/>
        </w:rPr>
        <w:t>التهذيب</w:t>
      </w:r>
      <w:r w:rsidR="00744A1C">
        <w:rPr>
          <w:rtl/>
          <w:lang w:bidi="fa-IR"/>
        </w:rPr>
        <w:t xml:space="preserve"> ، ج 6 ، ص 187 ، ح 390 ؛ </w:t>
      </w:r>
      <w:r w:rsidR="00744A1C" w:rsidRPr="00C24F9C">
        <w:rPr>
          <w:rStyle w:val="libFootnoteBoldChar"/>
          <w:rtl/>
        </w:rPr>
        <w:t>والاستبصار</w:t>
      </w:r>
      <w:r w:rsidR="00744A1C">
        <w:rPr>
          <w:rtl/>
          <w:lang w:bidi="fa-IR"/>
        </w:rPr>
        <w:t xml:space="preserve"> ، ج 3 ، ص 6 ، ح 2 ، معلّقاً عن الكليني. وفي </w:t>
      </w:r>
      <w:r w:rsidR="00744A1C" w:rsidRPr="0061079A">
        <w:rPr>
          <w:rStyle w:val="libFootnoteBoldChar"/>
          <w:rtl/>
        </w:rPr>
        <w:t>الكافي</w:t>
      </w:r>
      <w:r w:rsidR="00744A1C">
        <w:rPr>
          <w:rtl/>
          <w:lang w:bidi="fa-IR"/>
        </w:rPr>
        <w:t xml:space="preserve"> ، كتاب</w:t>
      </w:r>
      <w:r w:rsidR="006F64C9">
        <w:rPr>
          <w:rFonts w:hint="cs"/>
          <w:rtl/>
          <w:lang w:bidi="fa-IR"/>
        </w:rPr>
        <w:t xml:space="preserve"> =</w:t>
      </w:r>
    </w:p>
    <w:p w:rsidR="006F64C9" w:rsidRDefault="006F64C9" w:rsidP="006F64C9">
      <w:pPr>
        <w:pStyle w:val="libNormal"/>
        <w:rPr>
          <w:rtl/>
          <w:lang w:bidi="fa-IR"/>
        </w:rPr>
      </w:pPr>
      <w:r>
        <w:rPr>
          <w:rtl/>
          <w:lang w:bidi="fa-IR"/>
        </w:rPr>
        <w:br w:type="page"/>
      </w:r>
    </w:p>
    <w:p w:rsidR="00144FA6" w:rsidRDefault="00744A1C" w:rsidP="006F64C9">
      <w:pPr>
        <w:pStyle w:val="libNormal"/>
        <w:rPr>
          <w:rtl/>
          <w:lang w:bidi="fa-IR"/>
        </w:rPr>
      </w:pPr>
      <w:r>
        <w:rPr>
          <w:rtl/>
          <w:lang w:bidi="fa-IR"/>
        </w:rPr>
        <w:t>8476 / 9. عِدَّةٌ مِنْ أَصْحَابِنَا ، عَنْ أَحْمَدَ بْنِ أَبِي عَبْدِ اللهِ ، عَنْ أَبِيهِ ، عَنْ خَلَفِ بْنِ حَمَّادٍ ، عَنْ مُحْرِزٍ ، عَنْ أَبِي بَصِيرٍ :</w:t>
      </w:r>
    </w:p>
    <w:p w:rsidR="00144FA6" w:rsidRDefault="00744A1C" w:rsidP="006F64C9">
      <w:pPr>
        <w:pStyle w:val="libNormal"/>
        <w:rPr>
          <w:rtl/>
          <w:lang w:bidi="fa-IR"/>
        </w:rPr>
      </w:pPr>
      <w:r>
        <w:rPr>
          <w:rtl/>
          <w:lang w:bidi="fa-IR"/>
        </w:rPr>
        <w:t xml:space="preserve">عَنْ أَبِي عَبْدِ اللهِ </w:t>
      </w:r>
      <w:r w:rsidR="0061079A" w:rsidRPr="008E3BB3">
        <w:rPr>
          <w:rStyle w:val="libAlaemChar"/>
          <w:rtl/>
        </w:rPr>
        <w:t>عليه‌السلام</w:t>
      </w:r>
      <w:r w:rsidR="00D10E3C">
        <w:rPr>
          <w:rtl/>
          <w:lang w:bidi="fa-IR"/>
        </w:rPr>
        <w:t xml:space="preserve"> </w:t>
      </w:r>
      <w:r>
        <w:rPr>
          <w:rtl/>
          <w:lang w:bidi="fa-IR"/>
        </w:rPr>
        <w:t xml:space="preserve">، قَالَ : « قَالَ رَسُولُ اللهِ </w:t>
      </w:r>
      <w:r w:rsidR="008E3BB3" w:rsidRPr="008E3BB3">
        <w:rPr>
          <w:rStyle w:val="libAlaemChar"/>
          <w:rtl/>
        </w:rPr>
        <w:t>صلى‌الله‌عليه‌وآله</w:t>
      </w:r>
      <w:r>
        <w:rPr>
          <w:rtl/>
          <w:lang w:bidi="fa-IR"/>
        </w:rPr>
        <w:t xml:space="preserve"> : الدَّيْنُ ثَلَاثَةٌ </w:t>
      </w:r>
      <w:r w:rsidR="006F64C9" w:rsidRPr="008E3BB3">
        <w:rPr>
          <w:rStyle w:val="libFootnotenumChar"/>
          <w:rtl/>
        </w:rPr>
        <w:t>(1)</w:t>
      </w:r>
      <w:r>
        <w:rPr>
          <w:rtl/>
          <w:lang w:bidi="fa-IR"/>
        </w:rPr>
        <w:t xml:space="preserve"> : رَجُلٌ كَانَ لَهُ ، فَأَنْظَرَ ، وَإِذَا كَانَ عَلَيْهِ ، فَأَعْطى </w:t>
      </w:r>
      <w:r w:rsidR="006F64C9" w:rsidRPr="008E3BB3">
        <w:rPr>
          <w:rStyle w:val="libFootnotenumChar"/>
          <w:rtl/>
        </w:rPr>
        <w:t>(2)</w:t>
      </w:r>
      <w:r>
        <w:rPr>
          <w:rtl/>
          <w:lang w:bidi="fa-IR"/>
        </w:rPr>
        <w:t xml:space="preserve"> وَلَمْ يَمْطُلْ ، فَذَاكَ </w:t>
      </w:r>
      <w:r w:rsidR="006F64C9" w:rsidRPr="008E3BB3">
        <w:rPr>
          <w:rStyle w:val="libFootnotenumChar"/>
          <w:rtl/>
        </w:rPr>
        <w:t>(3)</w:t>
      </w:r>
      <w:r>
        <w:rPr>
          <w:rtl/>
          <w:lang w:bidi="fa-IR"/>
        </w:rPr>
        <w:t xml:space="preserve"> لَهُ وَلَا عَلَيْهِ ؛ وَرَجُلٌ إِذَا كَانَ لَهُ ، اسْتَوْفى ، وَإِذَا كَانَ عَلَيْهِ ، أَوْفى ، فَذَاكَ </w:t>
      </w:r>
      <w:r w:rsidR="006F64C9" w:rsidRPr="008E3BB3">
        <w:rPr>
          <w:rStyle w:val="libFootnotenumChar"/>
          <w:rtl/>
        </w:rPr>
        <w:t>(4)</w:t>
      </w:r>
      <w:r>
        <w:rPr>
          <w:rtl/>
          <w:lang w:bidi="fa-IR"/>
        </w:rPr>
        <w:t xml:space="preserve"> لَالَهُ وَلَا عَلَيْهِ ؛ وَرَجُلٌ إِذَا كَانَ لَهُ ، اسْتَوْفى ، وَإِذَا كَانَ عَلَيْهِ ، مَطَلَ </w:t>
      </w:r>
      <w:r w:rsidR="006F64C9" w:rsidRPr="008E3BB3">
        <w:rPr>
          <w:rStyle w:val="libFootnotenumChar"/>
          <w:rtl/>
        </w:rPr>
        <w:t>(5)</w:t>
      </w:r>
      <w:r>
        <w:rPr>
          <w:rtl/>
          <w:lang w:bidi="fa-IR"/>
        </w:rPr>
        <w:t xml:space="preserve"> ، فَذَاكَ </w:t>
      </w:r>
      <w:r w:rsidR="006F64C9" w:rsidRPr="008E3BB3">
        <w:rPr>
          <w:rStyle w:val="libFootnotenumChar"/>
          <w:rtl/>
        </w:rPr>
        <w:t>(6)</w:t>
      </w:r>
      <w:r>
        <w:rPr>
          <w:rtl/>
          <w:lang w:bidi="fa-IR"/>
        </w:rPr>
        <w:t xml:space="preserve"> عَلَيْهِ وَلَا لَهُ ». </w:t>
      </w:r>
      <w:r w:rsidR="006F64C9" w:rsidRPr="008E3BB3">
        <w:rPr>
          <w:rStyle w:val="libFootnotenumChar"/>
          <w:rtl/>
        </w:rPr>
        <w:t>(7)</w:t>
      </w:r>
    </w:p>
    <w:p w:rsidR="00744A1C" w:rsidRDefault="00744A1C" w:rsidP="008E3BB3">
      <w:pPr>
        <w:pStyle w:val="Heading2Center"/>
        <w:rPr>
          <w:lang w:bidi="fa-IR"/>
        </w:rPr>
      </w:pPr>
      <w:bookmarkStart w:id="144" w:name="_Toc49261442"/>
      <w:r>
        <w:rPr>
          <w:rtl/>
          <w:lang w:bidi="fa-IR"/>
        </w:rPr>
        <w:t>21 - بَابُ قِصَاصِ الدَّيْنِ‌</w:t>
      </w:r>
      <w:bookmarkEnd w:id="144"/>
    </w:p>
    <w:p w:rsidR="00144FA6" w:rsidRDefault="00744A1C" w:rsidP="006F64C9">
      <w:pPr>
        <w:pStyle w:val="libNormal"/>
        <w:rPr>
          <w:rtl/>
          <w:lang w:bidi="fa-IR"/>
        </w:rPr>
      </w:pPr>
      <w:r>
        <w:rPr>
          <w:rtl/>
          <w:lang w:bidi="fa-IR"/>
        </w:rPr>
        <w:t>8477 / 1. عِدَّةٌ مِنْ أَصْحَابِنَا ، عَنْ سَهْلِ بْنِ زِيَادٍ ، عَنِ ابْنِ مَحْبُوبٍ ، عَنِ ابْنِ رِئَابٍ ، عَنْ سُلَيْمَانَ بْنِ خَالِدٍ ، قَالَ :</w:t>
      </w:r>
    </w:p>
    <w:p w:rsidR="00744A1C" w:rsidRDefault="00744A1C" w:rsidP="006F64C9">
      <w:pPr>
        <w:pStyle w:val="libNormal"/>
        <w:rPr>
          <w:lang w:bidi="fa-IR"/>
        </w:rPr>
      </w:pPr>
      <w:r>
        <w:rPr>
          <w:rtl/>
          <w:lang w:bidi="fa-IR"/>
        </w:rPr>
        <w:t xml:space="preserve">سَأَلْتُ أَبَا عَبْدِ اللهِ </w:t>
      </w:r>
      <w:r w:rsidR="0061079A" w:rsidRPr="008E3BB3">
        <w:rPr>
          <w:rStyle w:val="libAlaemChar"/>
          <w:rtl/>
        </w:rPr>
        <w:t>عليه‌السلام</w:t>
      </w:r>
      <w:r w:rsidR="00D10E3C">
        <w:rPr>
          <w:rtl/>
          <w:lang w:bidi="fa-IR"/>
        </w:rPr>
        <w:t xml:space="preserve"> </w:t>
      </w:r>
      <w:r>
        <w:rPr>
          <w:rtl/>
          <w:lang w:bidi="fa-IR"/>
        </w:rPr>
        <w:t xml:space="preserve">عَنْ رَجُلٍ وَقَعَ لِي عِنْدَهُ مَالٌ ، فَكَابَرَنِي </w:t>
      </w:r>
      <w:r w:rsidR="008E3BB3" w:rsidRPr="008E3BB3">
        <w:rPr>
          <w:rStyle w:val="libFootnotenumChar"/>
          <w:rtl/>
        </w:rPr>
        <w:t>(8)</w:t>
      </w:r>
      <w:r>
        <w:rPr>
          <w:rtl/>
          <w:lang w:bidi="fa-IR"/>
        </w:rPr>
        <w:t xml:space="preserve"> عَلَيْهِ ، وَحَلَفَ ، ثُمَّ وَقَعَ لَهُ عِنْدِي مَالٌ ، فَآخُذُهُ </w:t>
      </w:r>
      <w:r w:rsidR="008E3BB3" w:rsidRPr="008E3BB3">
        <w:rPr>
          <w:rStyle w:val="libFootnotenumChar"/>
          <w:rtl/>
        </w:rPr>
        <w:t>(9)</w:t>
      </w:r>
      <w:r>
        <w:rPr>
          <w:rtl/>
          <w:lang w:bidi="fa-IR"/>
        </w:rPr>
        <w:t xml:space="preserve"> مَكَانَ </w:t>
      </w:r>
      <w:r w:rsidR="00E378DD" w:rsidRPr="008E3BB3">
        <w:rPr>
          <w:rStyle w:val="libFootnotenumChar"/>
          <w:rtl/>
        </w:rPr>
        <w:t>(10)</w:t>
      </w:r>
      <w:r>
        <w:rPr>
          <w:rtl/>
          <w:lang w:bidi="fa-IR"/>
        </w:rPr>
        <w:t xml:space="preserve"> مَالِيَ الَّذِي أَخَذَهُ وَأَجْحَدُهُ </w:t>
      </w:r>
      <w:r w:rsidR="008E3BB3" w:rsidRPr="008E3BB3">
        <w:rPr>
          <w:rStyle w:val="libFootnotenumChar"/>
          <w:rtl/>
        </w:rPr>
        <w:t>(11)</w:t>
      </w:r>
      <w:r>
        <w:rPr>
          <w:rtl/>
          <w:lang w:bidi="fa-IR"/>
        </w:rPr>
        <w:t xml:space="preserve"> ، وَأَحْلِفُ‌</w:t>
      </w:r>
    </w:p>
    <w:p w:rsidR="00744A1C" w:rsidRDefault="00744A1C" w:rsidP="00D10E3C">
      <w:pPr>
        <w:pStyle w:val="libLine"/>
        <w:rPr>
          <w:lang w:bidi="fa-IR"/>
        </w:rPr>
      </w:pPr>
      <w:r>
        <w:rPr>
          <w:rtl/>
          <w:lang w:bidi="fa-IR"/>
        </w:rPr>
        <w:t>____________________</w:t>
      </w:r>
    </w:p>
    <w:p w:rsidR="00744A1C" w:rsidRDefault="008E3BB3" w:rsidP="00D10E3C">
      <w:pPr>
        <w:pStyle w:val="libFootnote0"/>
        <w:rPr>
          <w:lang w:bidi="fa-IR"/>
        </w:rPr>
      </w:pPr>
      <w:r>
        <w:rPr>
          <w:rFonts w:hint="cs"/>
          <w:rtl/>
          <w:lang w:bidi="fa-IR"/>
        </w:rPr>
        <w:t xml:space="preserve">= </w:t>
      </w:r>
      <w:r w:rsidR="00744A1C">
        <w:rPr>
          <w:rtl/>
          <w:lang w:bidi="fa-IR"/>
        </w:rPr>
        <w:t xml:space="preserve">المعيشة ، باب الرهن ، ح 9071 ؛ </w:t>
      </w:r>
      <w:r w:rsidR="00744A1C" w:rsidRPr="0061079A">
        <w:rPr>
          <w:rStyle w:val="libFootnoteBoldChar"/>
          <w:rtl/>
        </w:rPr>
        <w:t>والتهذيب</w:t>
      </w:r>
      <w:r w:rsidR="00744A1C">
        <w:rPr>
          <w:rtl/>
          <w:lang w:bidi="fa-IR"/>
        </w:rPr>
        <w:t xml:space="preserve"> ، ج 7 ، ص 170 ، ح 754 ؛ وص 179 ، ح 787 ، بسند آخر ، مع اختلاف </w:t>
      </w:r>
      <w:r>
        <w:rPr>
          <w:rFonts w:hint="cs"/>
          <w:rtl/>
          <w:lang w:bidi="fa-IR"/>
        </w:rPr>
        <w:t>.</w:t>
      </w:r>
      <w:r w:rsidR="00744A1C" w:rsidRPr="00C24F9C">
        <w:rPr>
          <w:rStyle w:val="libFootnoteBoldChar"/>
          <w:rtl/>
        </w:rPr>
        <w:t>الوافي</w:t>
      </w:r>
      <w:r w:rsidR="00744A1C">
        <w:rPr>
          <w:rtl/>
          <w:lang w:bidi="fa-IR"/>
        </w:rPr>
        <w:t xml:space="preserve"> ، ج 18 ، ص 799 ، ح 18326 ؛ </w:t>
      </w:r>
      <w:r w:rsidR="00744A1C" w:rsidRPr="00C24F9C">
        <w:rPr>
          <w:rStyle w:val="libFootnoteBoldChar"/>
          <w:rtl/>
        </w:rPr>
        <w:t>الوسائل</w:t>
      </w:r>
      <w:r w:rsidR="00744A1C">
        <w:rPr>
          <w:rtl/>
          <w:lang w:bidi="fa-IR"/>
        </w:rPr>
        <w:t xml:space="preserve"> ، ج 18 ، ص 340 ، ح 23803.</w:t>
      </w:r>
    </w:p>
    <w:p w:rsidR="00744A1C" w:rsidRDefault="00D10E3C" w:rsidP="00D10E3C">
      <w:pPr>
        <w:pStyle w:val="libFootnote0"/>
        <w:rPr>
          <w:lang w:bidi="fa-IR"/>
        </w:rPr>
      </w:pPr>
      <w:r>
        <w:rPr>
          <w:rtl/>
          <w:lang w:bidi="fa-IR"/>
        </w:rPr>
        <w:t>(1).</w:t>
      </w:r>
      <w:r w:rsidR="00744A1C">
        <w:rPr>
          <w:rtl/>
          <w:lang w:bidi="fa-IR"/>
        </w:rPr>
        <w:t xml:space="preserve"> في الخصال : « على ثلاثة وجوه » بدل « ثلاثة ».</w:t>
      </w:r>
    </w:p>
    <w:p w:rsidR="00744A1C" w:rsidRDefault="00E378DD" w:rsidP="00E378DD">
      <w:pPr>
        <w:pStyle w:val="libFootnote0"/>
        <w:rPr>
          <w:lang w:bidi="fa-IR"/>
        </w:rPr>
      </w:pPr>
      <w:r>
        <w:rPr>
          <w:rtl/>
          <w:lang w:bidi="fa-IR"/>
        </w:rPr>
        <w:t>(2).</w:t>
      </w:r>
      <w:r w:rsidR="00744A1C">
        <w:rPr>
          <w:rtl/>
          <w:lang w:bidi="fa-IR"/>
        </w:rPr>
        <w:t xml:space="preserve"> في « ط ، بخ ، بف » </w:t>
      </w:r>
      <w:r w:rsidR="00744A1C" w:rsidRPr="008E3BB3">
        <w:rPr>
          <w:rtl/>
        </w:rPr>
        <w:t>والوافي</w:t>
      </w:r>
      <w:r w:rsidR="00744A1C">
        <w:rPr>
          <w:rtl/>
          <w:lang w:bidi="fa-IR"/>
        </w:rPr>
        <w:t xml:space="preserve"> </w:t>
      </w:r>
      <w:r w:rsidR="00744A1C" w:rsidRPr="008E3BB3">
        <w:rPr>
          <w:rtl/>
        </w:rPr>
        <w:t>والوسائل</w:t>
      </w:r>
      <w:r w:rsidR="00744A1C">
        <w:rPr>
          <w:rtl/>
          <w:lang w:bidi="fa-IR"/>
        </w:rPr>
        <w:t xml:space="preserve"> والخصال : « أعطى ».</w:t>
      </w:r>
    </w:p>
    <w:tbl>
      <w:tblPr>
        <w:tblStyle w:val="TableGrid"/>
        <w:bidiVisual/>
        <w:tblW w:w="0" w:type="auto"/>
        <w:tblLook w:val="04A0" w:firstRow="1" w:lastRow="0" w:firstColumn="1" w:lastColumn="0" w:noHBand="0" w:noVBand="1"/>
      </w:tblPr>
      <w:tblGrid>
        <w:gridCol w:w="4006"/>
        <w:gridCol w:w="4006"/>
      </w:tblGrid>
      <w:tr w:rsidR="008E3BB3" w:rsidTr="008E3BB3">
        <w:tc>
          <w:tcPr>
            <w:tcW w:w="4006" w:type="dxa"/>
          </w:tcPr>
          <w:p w:rsidR="008E3BB3" w:rsidRDefault="008E3BB3" w:rsidP="00E378DD">
            <w:pPr>
              <w:pStyle w:val="libFootnote0"/>
              <w:rPr>
                <w:rtl/>
                <w:lang w:bidi="fa-IR"/>
              </w:rPr>
            </w:pPr>
            <w:r>
              <w:rPr>
                <w:rtl/>
                <w:lang w:bidi="fa-IR"/>
              </w:rPr>
              <w:t>(3). في « ى » والخصال : « فذلك ».</w:t>
            </w:r>
          </w:p>
        </w:tc>
        <w:tc>
          <w:tcPr>
            <w:tcW w:w="4006" w:type="dxa"/>
          </w:tcPr>
          <w:p w:rsidR="008E3BB3" w:rsidRDefault="008E3BB3" w:rsidP="00E378DD">
            <w:pPr>
              <w:pStyle w:val="libFootnote0"/>
              <w:rPr>
                <w:rtl/>
                <w:lang w:bidi="fa-IR"/>
              </w:rPr>
            </w:pPr>
            <w:r>
              <w:rPr>
                <w:rtl/>
                <w:lang w:bidi="fa-IR"/>
              </w:rPr>
              <w:t xml:space="preserve">(4). في «بخ،بس،جت» </w:t>
            </w:r>
            <w:r w:rsidRPr="008E3BB3">
              <w:rPr>
                <w:rtl/>
              </w:rPr>
              <w:t>والوافي</w:t>
            </w:r>
            <w:r>
              <w:rPr>
                <w:rtl/>
                <w:lang w:bidi="fa-IR"/>
              </w:rPr>
              <w:t xml:space="preserve"> والخصال : «فذلك».</w:t>
            </w:r>
          </w:p>
        </w:tc>
      </w:tr>
      <w:tr w:rsidR="008E3BB3" w:rsidTr="008E3BB3">
        <w:tc>
          <w:tcPr>
            <w:tcW w:w="4006" w:type="dxa"/>
          </w:tcPr>
          <w:p w:rsidR="008E3BB3" w:rsidRDefault="008E3BB3" w:rsidP="00E378DD">
            <w:pPr>
              <w:pStyle w:val="libFootnote0"/>
              <w:rPr>
                <w:rtl/>
                <w:lang w:bidi="fa-IR"/>
              </w:rPr>
            </w:pPr>
            <w:r>
              <w:rPr>
                <w:rtl/>
                <w:lang w:bidi="fa-IR"/>
              </w:rPr>
              <w:t xml:space="preserve">(5). في </w:t>
            </w:r>
            <w:r w:rsidRPr="008E3BB3">
              <w:rPr>
                <w:rtl/>
              </w:rPr>
              <w:t>الوسائل</w:t>
            </w:r>
            <w:r>
              <w:rPr>
                <w:rtl/>
                <w:lang w:bidi="fa-IR"/>
              </w:rPr>
              <w:t xml:space="preserve"> : « يمطل ».</w:t>
            </w:r>
          </w:p>
        </w:tc>
        <w:tc>
          <w:tcPr>
            <w:tcW w:w="4006" w:type="dxa"/>
          </w:tcPr>
          <w:p w:rsidR="008E3BB3" w:rsidRDefault="008E3BB3" w:rsidP="00E378DD">
            <w:pPr>
              <w:pStyle w:val="libFootnote0"/>
              <w:rPr>
                <w:rtl/>
                <w:lang w:bidi="fa-IR"/>
              </w:rPr>
            </w:pPr>
            <w:r>
              <w:rPr>
                <w:rtl/>
                <w:lang w:bidi="fa-IR"/>
              </w:rPr>
              <w:t>(6). في « جت » والخصال : « فذلك ».</w:t>
            </w:r>
          </w:p>
        </w:tc>
      </w:tr>
    </w:tbl>
    <w:p w:rsidR="00744A1C" w:rsidRDefault="00E378DD" w:rsidP="00E378DD">
      <w:pPr>
        <w:pStyle w:val="libFootnote0"/>
        <w:rPr>
          <w:lang w:bidi="fa-IR"/>
        </w:rPr>
      </w:pPr>
      <w:r>
        <w:rPr>
          <w:rtl/>
          <w:lang w:bidi="fa-IR"/>
        </w:rPr>
        <w:t>(7).</w:t>
      </w:r>
      <w:r w:rsidR="00744A1C">
        <w:rPr>
          <w:rtl/>
          <w:lang w:bidi="fa-IR"/>
        </w:rPr>
        <w:t xml:space="preserve"> </w:t>
      </w:r>
      <w:r w:rsidR="00744A1C" w:rsidRPr="008E3BB3">
        <w:rPr>
          <w:rStyle w:val="libFootnoteBoldChar"/>
          <w:rtl/>
        </w:rPr>
        <w:t>الخصال</w:t>
      </w:r>
      <w:r w:rsidR="00744A1C">
        <w:rPr>
          <w:rtl/>
          <w:lang w:bidi="fa-IR"/>
        </w:rPr>
        <w:t xml:space="preserve"> ، ص 90 ، باب الثلاثة ، ح 29 ، بسنده عن خلف بن حمّاد </w:t>
      </w:r>
      <w:r w:rsidR="008E3BB3">
        <w:rPr>
          <w:rFonts w:hint="cs"/>
          <w:rtl/>
          <w:lang w:bidi="fa-IR"/>
        </w:rPr>
        <w:t>.</w:t>
      </w:r>
      <w:r w:rsidR="00744A1C" w:rsidRPr="00C24F9C">
        <w:rPr>
          <w:rStyle w:val="libFootnoteBoldChar"/>
          <w:rtl/>
        </w:rPr>
        <w:t>الوافي</w:t>
      </w:r>
      <w:r w:rsidR="00744A1C">
        <w:rPr>
          <w:rtl/>
          <w:lang w:bidi="fa-IR"/>
        </w:rPr>
        <w:t xml:space="preserve"> ، ج 18 ، ص 793 ، ح 18310 ؛ </w:t>
      </w:r>
      <w:r w:rsidR="00744A1C" w:rsidRPr="00C24F9C">
        <w:rPr>
          <w:rStyle w:val="libFootnoteBoldChar"/>
          <w:rtl/>
        </w:rPr>
        <w:t>الوسائل</w:t>
      </w:r>
      <w:r w:rsidR="00744A1C">
        <w:rPr>
          <w:rtl/>
          <w:lang w:bidi="fa-IR"/>
        </w:rPr>
        <w:t xml:space="preserve"> ، ج 18 ، ص 332 ، ح 23789.</w:t>
      </w:r>
    </w:p>
    <w:p w:rsidR="00744A1C" w:rsidRDefault="00E378DD" w:rsidP="00E378DD">
      <w:pPr>
        <w:pStyle w:val="libFootnote0"/>
        <w:rPr>
          <w:lang w:bidi="fa-IR"/>
        </w:rPr>
      </w:pPr>
      <w:r>
        <w:rPr>
          <w:rtl/>
          <w:lang w:bidi="fa-IR"/>
        </w:rPr>
        <w:t>(8).</w:t>
      </w:r>
      <w:r w:rsidR="00744A1C">
        <w:rPr>
          <w:rtl/>
          <w:lang w:bidi="fa-IR"/>
        </w:rPr>
        <w:t xml:space="preserve"> في « بخ ، بف » </w:t>
      </w:r>
      <w:r w:rsidR="00744A1C" w:rsidRPr="008E3BB3">
        <w:rPr>
          <w:rtl/>
        </w:rPr>
        <w:t>والوافي</w:t>
      </w:r>
      <w:r w:rsidR="00744A1C">
        <w:rPr>
          <w:rtl/>
          <w:lang w:bidi="fa-IR"/>
        </w:rPr>
        <w:t xml:space="preserve"> : « وكابرني ». ويقال : « كابرته مكابرة : غالبته مغالبة وعاندته. </w:t>
      </w:r>
      <w:r w:rsidR="00744A1C" w:rsidRPr="00E978C3">
        <w:rPr>
          <w:rStyle w:val="libFootnoteBoldChar"/>
          <w:rtl/>
        </w:rPr>
        <w:t>المصباح المنير</w:t>
      </w:r>
      <w:r w:rsidR="00744A1C">
        <w:rPr>
          <w:rtl/>
          <w:lang w:bidi="fa-IR"/>
        </w:rPr>
        <w:t xml:space="preserve"> ، ص 524 ( كبر ).</w:t>
      </w:r>
    </w:p>
    <w:p w:rsidR="00744A1C" w:rsidRDefault="00E378DD" w:rsidP="00E378DD">
      <w:pPr>
        <w:pStyle w:val="libFootnote0"/>
        <w:rPr>
          <w:lang w:bidi="fa-IR"/>
        </w:rPr>
      </w:pPr>
      <w:r>
        <w:rPr>
          <w:rtl/>
          <w:lang w:bidi="fa-IR"/>
        </w:rPr>
        <w:t>(9).</w:t>
      </w:r>
      <w:r w:rsidR="00744A1C">
        <w:rPr>
          <w:rtl/>
          <w:lang w:bidi="fa-IR"/>
        </w:rPr>
        <w:t xml:space="preserve"> في « ط ، جد ، جن » </w:t>
      </w:r>
      <w:r w:rsidR="00744A1C" w:rsidRPr="008E3BB3">
        <w:rPr>
          <w:rtl/>
        </w:rPr>
        <w:t>والفقيه والتهذيب</w:t>
      </w:r>
      <w:r w:rsidR="00744A1C">
        <w:rPr>
          <w:rtl/>
          <w:lang w:bidi="fa-IR"/>
        </w:rPr>
        <w:t xml:space="preserve"> ، ح 437 : « أفآخذه ».</w:t>
      </w:r>
    </w:p>
    <w:p w:rsidR="00744A1C" w:rsidRDefault="00E378DD" w:rsidP="00E378DD">
      <w:pPr>
        <w:pStyle w:val="libFootnote0"/>
        <w:rPr>
          <w:lang w:bidi="fa-IR"/>
        </w:rPr>
      </w:pPr>
      <w:r>
        <w:rPr>
          <w:rtl/>
          <w:lang w:bidi="fa-IR"/>
        </w:rPr>
        <w:t>(10).</w:t>
      </w:r>
      <w:r w:rsidR="00744A1C">
        <w:rPr>
          <w:rtl/>
          <w:lang w:bidi="fa-IR"/>
        </w:rPr>
        <w:t xml:space="preserve"> في « ط ، ى ، بح ، بخ ، بس ، بف ، جن » </w:t>
      </w:r>
      <w:r w:rsidR="00744A1C" w:rsidRPr="008E3BB3">
        <w:rPr>
          <w:rtl/>
        </w:rPr>
        <w:t>والوافي والتهذيب</w:t>
      </w:r>
      <w:r w:rsidR="00744A1C">
        <w:rPr>
          <w:rtl/>
          <w:lang w:bidi="fa-IR"/>
        </w:rPr>
        <w:t xml:space="preserve"> ، ح 437 و 980 </w:t>
      </w:r>
      <w:r w:rsidR="00744A1C" w:rsidRPr="008E3BB3">
        <w:rPr>
          <w:rtl/>
        </w:rPr>
        <w:t>والاستبصار</w:t>
      </w:r>
      <w:r w:rsidR="00744A1C">
        <w:rPr>
          <w:rtl/>
          <w:lang w:bidi="fa-IR"/>
        </w:rPr>
        <w:t xml:space="preserve"> </w:t>
      </w:r>
      <w:r w:rsidR="008E3BB3">
        <w:rPr>
          <w:rtl/>
          <w:lang w:bidi="fa-IR"/>
        </w:rPr>
        <w:t>: « لمكان</w:t>
      </w:r>
      <w:r w:rsidR="00744A1C">
        <w:rPr>
          <w:rtl/>
          <w:lang w:bidi="fa-IR"/>
        </w:rPr>
        <w:t>».</w:t>
      </w:r>
    </w:p>
    <w:p w:rsidR="00744A1C" w:rsidRDefault="00E378DD" w:rsidP="00E378DD">
      <w:pPr>
        <w:pStyle w:val="libFootnote0"/>
        <w:rPr>
          <w:lang w:bidi="fa-IR"/>
        </w:rPr>
      </w:pPr>
      <w:r>
        <w:rPr>
          <w:rtl/>
          <w:lang w:bidi="fa-IR"/>
        </w:rPr>
        <w:t>(11).</w:t>
      </w:r>
      <w:r w:rsidR="00744A1C">
        <w:rPr>
          <w:rtl/>
          <w:lang w:bidi="fa-IR"/>
        </w:rPr>
        <w:t xml:space="preserve"> في « بخ » : « أو أجحده ».</w:t>
      </w:r>
    </w:p>
    <w:p w:rsidR="006A5060" w:rsidRDefault="006A5060" w:rsidP="00D10E3C">
      <w:pPr>
        <w:pStyle w:val="libNormal"/>
        <w:rPr>
          <w:rtl/>
          <w:lang w:bidi="fa-IR"/>
        </w:rPr>
      </w:pPr>
      <w:r>
        <w:rPr>
          <w:rtl/>
          <w:lang w:bidi="fa-IR"/>
        </w:rPr>
        <w:br w:type="page"/>
      </w:r>
    </w:p>
    <w:p w:rsidR="00744A1C" w:rsidRDefault="00744A1C" w:rsidP="008E3BB3">
      <w:pPr>
        <w:pStyle w:val="libNormal0"/>
        <w:rPr>
          <w:lang w:bidi="fa-IR"/>
        </w:rPr>
      </w:pPr>
      <w:r>
        <w:rPr>
          <w:rtl/>
          <w:lang w:bidi="fa-IR"/>
        </w:rPr>
        <w:t>عَلَيْهِ كَمَا صَنَعَ؟</w:t>
      </w:r>
    </w:p>
    <w:p w:rsidR="00144FA6" w:rsidRDefault="00744A1C" w:rsidP="00744A1C">
      <w:pPr>
        <w:pStyle w:val="libNormal"/>
        <w:rPr>
          <w:rtl/>
          <w:lang w:bidi="fa-IR"/>
        </w:rPr>
      </w:pPr>
      <w:r>
        <w:rPr>
          <w:rtl/>
          <w:lang w:bidi="fa-IR"/>
        </w:rPr>
        <w:t xml:space="preserve">فَقَالَ : « إِنْ خَانَكَ فَلَا تَخُنْهُ </w:t>
      </w:r>
      <w:r w:rsidRPr="00D10E3C">
        <w:rPr>
          <w:rStyle w:val="libFootnotenumChar"/>
          <w:rtl/>
        </w:rPr>
        <w:t>(1)</w:t>
      </w:r>
      <w:r>
        <w:rPr>
          <w:rtl/>
          <w:lang w:bidi="fa-IR"/>
        </w:rPr>
        <w:t xml:space="preserve"> ، وَلَا تَدْخُلْ فِيمَا عِبْتَهُ عَلَيْهِ ». </w:t>
      </w:r>
      <w:r w:rsidRPr="00D10E3C">
        <w:rPr>
          <w:rStyle w:val="libFootnotenumChar"/>
          <w:rtl/>
        </w:rPr>
        <w:t>(2)</w:t>
      </w:r>
    </w:p>
    <w:p w:rsidR="008E3BB3" w:rsidRDefault="00744A1C" w:rsidP="008E3BB3">
      <w:pPr>
        <w:pStyle w:val="libNormal"/>
        <w:rPr>
          <w:rtl/>
          <w:lang w:bidi="fa-IR"/>
        </w:rPr>
      </w:pPr>
      <w:r>
        <w:rPr>
          <w:rtl/>
          <w:lang w:bidi="fa-IR"/>
        </w:rPr>
        <w:t>8478 / 2. عَلِيُّ بْنُ إِبْرَاهِيمَ ، عَنْ أَبِيهِ ؛</w:t>
      </w:r>
    </w:p>
    <w:p w:rsidR="00144FA6" w:rsidRDefault="008E3BB3" w:rsidP="008E3BB3">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(3)</w:t>
      </w:r>
      <w:r w:rsidR="00744A1C">
        <w:rPr>
          <w:rtl/>
          <w:lang w:bidi="fa-IR"/>
        </w:rPr>
        <w:t xml:space="preserve"> مُحَمَّدُ بْنُ إِسْمَاعِيلَ ، عَنِ الْفَضْلِ بْنِ شَاذَانَ ، عَنِ ابْنِ أَبِي عُمَيْرٍ ، عَنْ إِبْرَاهِيمَ بْنِ عَبْدِ الْحَمِيدِ ، عَنْ مُعَاوِيَةَ بْنِ عَمَّارٍ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الرَّجُلُ يَكُونُ لِي عَلَيْهِ الْحَقُّ ، فَيَجْحَدُنِيهِ ، ثُمَّ يَسْتَوْدِعُنِي مَالاً ، أَ</w:t>
      </w:r>
      <w:r w:rsidR="008E3BB3">
        <w:rPr>
          <w:rFonts w:hint="cs"/>
          <w:rtl/>
          <w:lang w:bidi="fa-IR"/>
        </w:rPr>
        <w:t xml:space="preserve"> </w:t>
      </w:r>
      <w:r>
        <w:rPr>
          <w:rtl/>
          <w:lang w:bidi="fa-IR"/>
        </w:rPr>
        <w:t>لِي أَنْ آخُذَ مَالِي عِنْدَهُ؟</w:t>
      </w:r>
    </w:p>
    <w:p w:rsidR="00144FA6" w:rsidRDefault="00744A1C" w:rsidP="00744A1C">
      <w:pPr>
        <w:pStyle w:val="libNormal"/>
        <w:rPr>
          <w:rtl/>
          <w:lang w:bidi="fa-IR"/>
        </w:rPr>
      </w:pPr>
      <w:r>
        <w:rPr>
          <w:rtl/>
          <w:lang w:bidi="fa-IR"/>
        </w:rPr>
        <w:t xml:space="preserve">قَالَ : « لَا ، هذِهِ خِيَانَةٌ ». </w:t>
      </w:r>
      <w:r w:rsidRPr="00D10E3C">
        <w:rPr>
          <w:rStyle w:val="libFootnotenumChar"/>
          <w:rtl/>
        </w:rPr>
        <w:t>(4)</w:t>
      </w:r>
    </w:p>
    <w:p w:rsidR="00144FA6" w:rsidRDefault="00744A1C" w:rsidP="00744A1C">
      <w:pPr>
        <w:pStyle w:val="libNormal"/>
        <w:rPr>
          <w:rtl/>
          <w:lang w:bidi="fa-IR"/>
        </w:rPr>
      </w:pPr>
      <w:r>
        <w:rPr>
          <w:rtl/>
          <w:lang w:bidi="fa-IR"/>
        </w:rPr>
        <w:t>8479 / 3. عِدَّةٌ مِنْ أَصْحَابِنَا ، عَنْ أَحْمَدَ بْنِ مُحَمَّدٍ وَسَهْلِ بْنِ زِيَادٍ ، عَنِ ابْنِ مَحْبُوبٍ ، عَنْ سَيْفِ بْنِ عَمِيرَةَ ، عَنْ أَبِي بَكْرٍ الْحَضْرَمِيِّ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رَجُلٌ كَانَ لَهُ عَلى رَجُلٍ مَالٌ ، فَجَحَدَهُ إِيَّاهُ ، وَذَهَبَ بِهِ ، ثُمَّ صَارَ </w:t>
      </w:r>
      <w:r w:rsidRPr="00D10E3C">
        <w:rPr>
          <w:rStyle w:val="libFootnotenumChar"/>
          <w:rtl/>
        </w:rPr>
        <w:t>(5)</w:t>
      </w:r>
      <w:r>
        <w:rPr>
          <w:rtl/>
          <w:lang w:bidi="fa-IR"/>
        </w:rPr>
        <w:t xml:space="preserve"> بَعْدَ ذلِكَ لِلرَّجُلِ الَّذِي ذُهِبَ بِمَالِهِ مَالٌ قِبَلَهُ </w:t>
      </w:r>
      <w:r w:rsidRPr="00D10E3C">
        <w:rPr>
          <w:rStyle w:val="libFootnotenumChar"/>
          <w:rtl/>
        </w:rPr>
        <w:t>(6)</w:t>
      </w:r>
      <w:r>
        <w:rPr>
          <w:rtl/>
          <w:lang w:bidi="fa-IR"/>
        </w:rPr>
        <w:t xml:space="preserve"> ، أَ</w:t>
      </w:r>
      <w:r w:rsidR="00E30A38">
        <w:rPr>
          <w:rFonts w:hint="cs"/>
          <w:rtl/>
          <w:lang w:bidi="fa-IR"/>
        </w:rPr>
        <w:t xml:space="preserve"> </w:t>
      </w:r>
      <w:r>
        <w:rPr>
          <w:rtl/>
          <w:lang w:bidi="fa-IR"/>
        </w:rPr>
        <w:t xml:space="preserve">يَأْخُذُهُ مِنْهُ </w:t>
      </w:r>
      <w:r w:rsidRPr="00D10E3C">
        <w:rPr>
          <w:rStyle w:val="libFootnotenumChar"/>
          <w:rtl/>
        </w:rPr>
        <w:t>(7)</w:t>
      </w:r>
      <w:r>
        <w:rPr>
          <w:rtl/>
          <w:lang w:bidi="fa-IR"/>
        </w:rPr>
        <w:t xml:space="preserve"> مَكَانَ مَالِهِ الَّذِي‌ ذَهَبَ بِهِ مِنْهُ </w:t>
      </w:r>
      <w:r w:rsidRPr="00D10E3C">
        <w:rPr>
          <w:rStyle w:val="libFootnotenumChar"/>
          <w:rtl/>
        </w:rPr>
        <w:t>(8)</w:t>
      </w:r>
      <w:r>
        <w:rPr>
          <w:rtl/>
          <w:lang w:bidi="fa-IR"/>
        </w:rPr>
        <w:t xml:space="preserve"> ذلِكَ الرَّجُلُ؟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19 ، ص 50 : « قوله </w:t>
      </w:r>
      <w:r w:rsidR="0061079A" w:rsidRPr="0061079A">
        <w:rPr>
          <w:rStyle w:val="libFootnoteAlaemChar"/>
          <w:rtl/>
        </w:rPr>
        <w:t>عليه‌السلام</w:t>
      </w:r>
      <w:r>
        <w:rPr>
          <w:rtl/>
          <w:lang w:bidi="fa-IR"/>
        </w:rPr>
        <w:t xml:space="preserve"> </w:t>
      </w:r>
      <w:r w:rsidR="00744A1C">
        <w:rPr>
          <w:rtl/>
          <w:lang w:bidi="fa-IR"/>
        </w:rPr>
        <w:t>: إن خانك فلاتخنه ، يدلّ على عدم جواز المقاصّة بعد الإحلاف ، كما هو المشهور بين الأ</w:t>
      </w:r>
      <w:r w:rsidR="00E30A38">
        <w:rPr>
          <w:rtl/>
          <w:lang w:bidi="fa-IR"/>
        </w:rPr>
        <w:t>صحاب ، بل لا يعلم فيه مخالف إل</w:t>
      </w:r>
      <w:r w:rsidR="00E30A38">
        <w:rPr>
          <w:rFonts w:hint="cs"/>
          <w:rtl/>
          <w:lang w:bidi="fa-IR"/>
        </w:rPr>
        <w:t>ّ</w:t>
      </w:r>
      <w:r w:rsidR="00E30A38">
        <w:rPr>
          <w:rtl/>
          <w:lang w:bidi="fa-IR"/>
        </w:rPr>
        <w:t>ا</w:t>
      </w:r>
      <w:r w:rsidR="00744A1C">
        <w:rPr>
          <w:rtl/>
          <w:lang w:bidi="fa-IR"/>
        </w:rPr>
        <w:t xml:space="preserve"> أن يكذّب المنكر نفسه بعد ذلك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197 ، ح 437 ؛ وص 348 ، ح 980 ؛ </w:t>
      </w:r>
      <w:r w:rsidR="00744A1C" w:rsidRPr="00C24F9C">
        <w:rPr>
          <w:rStyle w:val="libFootnoteBoldChar"/>
          <w:rtl/>
        </w:rPr>
        <w:t>والاستبصار</w:t>
      </w:r>
      <w:r w:rsidR="00744A1C">
        <w:rPr>
          <w:rtl/>
          <w:lang w:bidi="fa-IR"/>
        </w:rPr>
        <w:t xml:space="preserve"> ، ج 3 ، ص 52 ، ح 171 ، معلّقاً عن الحسن بن محبوب. </w:t>
      </w:r>
      <w:r w:rsidR="00744A1C" w:rsidRPr="00C24F9C">
        <w:rPr>
          <w:rStyle w:val="libFootnoteBoldChar"/>
          <w:rtl/>
        </w:rPr>
        <w:t>الفقيه</w:t>
      </w:r>
      <w:r w:rsidR="00744A1C">
        <w:rPr>
          <w:rtl/>
          <w:lang w:bidi="fa-IR"/>
        </w:rPr>
        <w:t xml:space="preserve"> ، ج 3 ، ص 185 ، ح 3696 ، معلّقاً عن عليّ بن رئاب </w:t>
      </w:r>
      <w:r w:rsidR="00E30A38">
        <w:rPr>
          <w:rFonts w:hint="cs"/>
          <w:rtl/>
          <w:lang w:bidi="fa-IR"/>
        </w:rPr>
        <w:t>.</w:t>
      </w:r>
      <w:r w:rsidR="00744A1C" w:rsidRPr="00C24F9C">
        <w:rPr>
          <w:rStyle w:val="libFootnoteBoldChar"/>
          <w:rtl/>
        </w:rPr>
        <w:t>الوافي</w:t>
      </w:r>
      <w:r w:rsidR="00744A1C">
        <w:rPr>
          <w:rtl/>
          <w:lang w:bidi="fa-IR"/>
        </w:rPr>
        <w:t xml:space="preserve"> ، ج 18 ، ص 813 ، ح 18351 ؛ </w:t>
      </w:r>
      <w:r w:rsidR="00744A1C" w:rsidRPr="00C24F9C">
        <w:rPr>
          <w:rStyle w:val="libFootnoteBoldChar"/>
          <w:rtl/>
        </w:rPr>
        <w:t>الوسائل</w:t>
      </w:r>
      <w:r w:rsidR="00744A1C">
        <w:rPr>
          <w:rtl/>
          <w:lang w:bidi="fa-IR"/>
        </w:rPr>
        <w:t xml:space="preserve"> ، ج 17 ، ص 274 ، ذيل ح 22505.</w:t>
      </w:r>
    </w:p>
    <w:p w:rsidR="00744A1C" w:rsidRDefault="00E378DD" w:rsidP="00E378DD">
      <w:pPr>
        <w:pStyle w:val="libFootnote0"/>
        <w:rPr>
          <w:lang w:bidi="fa-IR"/>
        </w:rPr>
      </w:pPr>
      <w:r>
        <w:rPr>
          <w:rtl/>
          <w:lang w:bidi="fa-IR"/>
        </w:rPr>
        <w:t>(3).</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197 ، ح 438 ، معلّقاً عن ابن أبي عمير. </w:t>
      </w:r>
      <w:r w:rsidR="00744A1C" w:rsidRPr="00C24F9C">
        <w:rPr>
          <w:rStyle w:val="libFootnoteBoldChar"/>
          <w:rtl/>
        </w:rPr>
        <w:t>الفقيه</w:t>
      </w:r>
      <w:r w:rsidR="00744A1C">
        <w:rPr>
          <w:rtl/>
          <w:lang w:bidi="fa-IR"/>
        </w:rPr>
        <w:t xml:space="preserve"> ، ج 3 ، ص 186 ، ح 3697 ، معلّقاً عن معاوية بن عمّار </w:t>
      </w:r>
      <w:r w:rsidR="00E30A38">
        <w:rPr>
          <w:rFonts w:hint="cs"/>
          <w:rtl/>
          <w:lang w:bidi="fa-IR"/>
        </w:rPr>
        <w:t>.</w:t>
      </w:r>
      <w:r w:rsidR="00744A1C" w:rsidRPr="00C24F9C">
        <w:rPr>
          <w:rStyle w:val="libFootnoteBoldChar"/>
          <w:rtl/>
        </w:rPr>
        <w:t>الوافي</w:t>
      </w:r>
      <w:r w:rsidR="00744A1C">
        <w:rPr>
          <w:rtl/>
          <w:lang w:bidi="fa-IR"/>
        </w:rPr>
        <w:t xml:space="preserve"> ، ج 18 ، ص 813 ، ح 18351 ؛ </w:t>
      </w:r>
      <w:r w:rsidR="00744A1C" w:rsidRPr="00C24F9C">
        <w:rPr>
          <w:rStyle w:val="libFootnoteBoldChar"/>
          <w:rtl/>
        </w:rPr>
        <w:t>الوسائل</w:t>
      </w:r>
      <w:r w:rsidR="00744A1C">
        <w:rPr>
          <w:rtl/>
          <w:lang w:bidi="fa-IR"/>
        </w:rPr>
        <w:t xml:space="preserve"> ، ج 17 ، ص 275 ، ذيل ح 22509.</w:t>
      </w:r>
    </w:p>
    <w:p w:rsidR="00744A1C" w:rsidRDefault="00E378DD" w:rsidP="00E378DD">
      <w:pPr>
        <w:pStyle w:val="libFootnote0"/>
        <w:rPr>
          <w:lang w:bidi="fa-IR"/>
        </w:rPr>
      </w:pPr>
      <w:r>
        <w:rPr>
          <w:rtl/>
          <w:lang w:bidi="fa-IR"/>
        </w:rPr>
        <w:t>(5).</w:t>
      </w:r>
      <w:r w:rsidR="00744A1C">
        <w:rPr>
          <w:rtl/>
          <w:lang w:bidi="fa-IR"/>
        </w:rPr>
        <w:t xml:space="preserve"> في </w:t>
      </w:r>
      <w:r w:rsidR="00744A1C" w:rsidRPr="00E30A38">
        <w:rPr>
          <w:rtl/>
        </w:rPr>
        <w:t>الوافي والفقيه</w:t>
      </w:r>
      <w:r w:rsidR="00744A1C">
        <w:rPr>
          <w:rtl/>
          <w:lang w:bidi="fa-IR"/>
        </w:rPr>
        <w:t xml:space="preserve"> : + « إليه ».</w:t>
      </w:r>
    </w:p>
    <w:p w:rsidR="00744A1C" w:rsidRDefault="00E378DD" w:rsidP="00E378DD">
      <w:pPr>
        <w:pStyle w:val="libFootnote0"/>
        <w:rPr>
          <w:lang w:bidi="fa-IR"/>
        </w:rPr>
      </w:pPr>
      <w:r>
        <w:rPr>
          <w:rtl/>
          <w:lang w:bidi="fa-IR"/>
        </w:rPr>
        <w:t>(6).</w:t>
      </w:r>
      <w:r w:rsidR="00744A1C">
        <w:rPr>
          <w:rtl/>
          <w:lang w:bidi="fa-IR"/>
        </w:rPr>
        <w:t xml:space="preserve"> في </w:t>
      </w:r>
      <w:r w:rsidR="00744A1C" w:rsidRPr="00E30A38">
        <w:rPr>
          <w:rtl/>
        </w:rPr>
        <w:t>الوافي</w:t>
      </w:r>
      <w:r w:rsidR="00744A1C">
        <w:rPr>
          <w:rtl/>
          <w:lang w:bidi="fa-IR"/>
        </w:rPr>
        <w:t xml:space="preserve"> عن بعض النسخ </w:t>
      </w:r>
      <w:r w:rsidR="00744A1C" w:rsidRPr="00E30A38">
        <w:rPr>
          <w:rtl/>
        </w:rPr>
        <w:t>والفقيه</w:t>
      </w:r>
      <w:r w:rsidR="00744A1C">
        <w:rPr>
          <w:rtl/>
          <w:lang w:bidi="fa-IR"/>
        </w:rPr>
        <w:t xml:space="preserve"> ، ح 3699 : « مثله ».</w:t>
      </w:r>
    </w:p>
    <w:tbl>
      <w:tblPr>
        <w:tblStyle w:val="TableGrid"/>
        <w:bidiVisual/>
        <w:tblW w:w="0" w:type="auto"/>
        <w:tblLook w:val="04A0" w:firstRow="1" w:lastRow="0" w:firstColumn="1" w:lastColumn="0" w:noHBand="0" w:noVBand="1"/>
      </w:tblPr>
      <w:tblGrid>
        <w:gridCol w:w="4006"/>
        <w:gridCol w:w="4006"/>
      </w:tblGrid>
      <w:tr w:rsidR="00E30A38" w:rsidTr="00E30A38">
        <w:tc>
          <w:tcPr>
            <w:tcW w:w="4006" w:type="dxa"/>
          </w:tcPr>
          <w:p w:rsidR="00E30A38" w:rsidRDefault="00E30A38" w:rsidP="00E378DD">
            <w:pPr>
              <w:pStyle w:val="libFootnote0"/>
              <w:rPr>
                <w:rtl/>
                <w:lang w:bidi="fa-IR"/>
              </w:rPr>
            </w:pPr>
            <w:r>
              <w:rPr>
                <w:rtl/>
                <w:lang w:bidi="fa-IR"/>
              </w:rPr>
              <w:t xml:space="preserve">(7). في </w:t>
            </w:r>
            <w:r w:rsidRPr="00E30A38">
              <w:rPr>
                <w:rtl/>
              </w:rPr>
              <w:t>الوافي والفقيه</w:t>
            </w:r>
            <w:r>
              <w:rPr>
                <w:rtl/>
                <w:lang w:bidi="fa-IR"/>
              </w:rPr>
              <w:t xml:space="preserve"> : - « منه ».</w:t>
            </w:r>
          </w:p>
        </w:tc>
        <w:tc>
          <w:tcPr>
            <w:tcW w:w="4006" w:type="dxa"/>
          </w:tcPr>
          <w:p w:rsidR="00E30A38" w:rsidRDefault="00E30A38" w:rsidP="00E378DD">
            <w:pPr>
              <w:pStyle w:val="libFootnote0"/>
              <w:rPr>
                <w:rtl/>
                <w:lang w:bidi="fa-IR"/>
              </w:rPr>
            </w:pPr>
            <w:r>
              <w:rPr>
                <w:rtl/>
                <w:lang w:bidi="fa-IR"/>
              </w:rPr>
              <w:t xml:space="preserve">(8). في « بف » </w:t>
            </w:r>
            <w:r w:rsidRPr="00E30A38">
              <w:rPr>
                <w:rtl/>
              </w:rPr>
              <w:t>والوافي</w:t>
            </w:r>
            <w:r>
              <w:rPr>
                <w:rtl/>
                <w:lang w:bidi="fa-IR"/>
              </w:rPr>
              <w:t xml:space="preserve"> : - « منه ».</w:t>
            </w:r>
          </w:p>
        </w:tc>
      </w:tr>
    </w:tbl>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 « نَعَمْ </w:t>
      </w:r>
      <w:r w:rsidRPr="00D10E3C">
        <w:rPr>
          <w:rStyle w:val="libFootnotenumChar"/>
          <w:rtl/>
        </w:rPr>
        <w:t>(1)</w:t>
      </w:r>
      <w:r>
        <w:rPr>
          <w:rtl/>
          <w:lang w:bidi="fa-IR"/>
        </w:rPr>
        <w:t xml:space="preserve"> ، وَلكِنْ </w:t>
      </w:r>
      <w:r w:rsidRPr="00D10E3C">
        <w:rPr>
          <w:rStyle w:val="libFootnotenumChar"/>
          <w:rtl/>
        </w:rPr>
        <w:t>(2)</w:t>
      </w:r>
      <w:r>
        <w:rPr>
          <w:rtl/>
          <w:lang w:bidi="fa-IR"/>
        </w:rPr>
        <w:t xml:space="preserve"> لِهذَا </w:t>
      </w:r>
      <w:r w:rsidRPr="00D10E3C">
        <w:rPr>
          <w:rStyle w:val="libFootnotenumChar"/>
          <w:rtl/>
        </w:rPr>
        <w:t>(3)</w:t>
      </w:r>
      <w:r>
        <w:rPr>
          <w:rtl/>
          <w:lang w:bidi="fa-IR"/>
        </w:rPr>
        <w:t xml:space="preserve"> كَلَامٌ يَقُولُ </w:t>
      </w:r>
      <w:r w:rsidRPr="00D10E3C">
        <w:rPr>
          <w:rStyle w:val="libFootnotenumChar"/>
          <w:rtl/>
        </w:rPr>
        <w:t>(4)</w:t>
      </w:r>
      <w:r>
        <w:rPr>
          <w:rtl/>
          <w:lang w:bidi="fa-IR"/>
        </w:rPr>
        <w:t xml:space="preserve"> : الل</w:t>
      </w:r>
      <w:r w:rsidR="001E6D69">
        <w:rPr>
          <w:rFonts w:hint="cs"/>
          <w:rtl/>
          <w:lang w:bidi="fa-IR"/>
        </w:rPr>
        <w:t>ّ</w:t>
      </w:r>
      <w:r>
        <w:rPr>
          <w:rtl/>
          <w:lang w:bidi="fa-IR"/>
        </w:rPr>
        <w:t xml:space="preserve">هُمَّ إِنِّي آخُذُ هذَا الْمَالَ </w:t>
      </w:r>
      <w:r w:rsidRPr="00D10E3C">
        <w:rPr>
          <w:rStyle w:val="libFootnotenumChar"/>
          <w:rtl/>
        </w:rPr>
        <w:t>(5)</w:t>
      </w:r>
      <w:r>
        <w:rPr>
          <w:rtl/>
          <w:lang w:bidi="fa-IR"/>
        </w:rPr>
        <w:t xml:space="preserve"> مَكَانَ مَالِيَ الَّذِي أَخَذَهُ مِنِّي ، وَإِنِّي لَمْ آخُذْ مَا أَخَذْتُهُ </w:t>
      </w:r>
      <w:r w:rsidRPr="00D10E3C">
        <w:rPr>
          <w:rStyle w:val="libFootnotenumChar"/>
          <w:rtl/>
        </w:rPr>
        <w:t>(6)</w:t>
      </w:r>
      <w:r>
        <w:rPr>
          <w:rtl/>
          <w:lang w:bidi="fa-IR"/>
        </w:rPr>
        <w:t xml:space="preserve"> مِنْهُ </w:t>
      </w:r>
      <w:r w:rsidRPr="00D10E3C">
        <w:rPr>
          <w:rStyle w:val="libFootnotenumChar"/>
          <w:rtl/>
        </w:rPr>
        <w:t>(7)</w:t>
      </w:r>
      <w:r>
        <w:rPr>
          <w:rtl/>
          <w:lang w:bidi="fa-IR"/>
        </w:rPr>
        <w:t xml:space="preserve"> خِيَانَةً وَلَا ظُلْماً ». </w:t>
      </w:r>
      <w:r w:rsidRPr="00D10E3C">
        <w:rPr>
          <w:rStyle w:val="libFootnotenumChar"/>
          <w:rtl/>
        </w:rPr>
        <w:t>(8)</w:t>
      </w:r>
    </w:p>
    <w:p w:rsidR="00744A1C" w:rsidRDefault="00744A1C" w:rsidP="001E6D69">
      <w:pPr>
        <w:pStyle w:val="Heading2Center"/>
        <w:rPr>
          <w:lang w:bidi="fa-IR"/>
        </w:rPr>
      </w:pPr>
      <w:bookmarkStart w:id="145" w:name="_Toc49261443"/>
      <w:r>
        <w:rPr>
          <w:rtl/>
          <w:lang w:bidi="fa-IR"/>
        </w:rPr>
        <w:t>22 - بَابُ أَنَّهُ إِذَا مَاتَ الرَّجُلُ حَلَّ دَيْنُهُ‌</w:t>
      </w:r>
      <w:bookmarkEnd w:id="145"/>
    </w:p>
    <w:p w:rsidR="00144FA6" w:rsidRDefault="00744A1C" w:rsidP="00744A1C">
      <w:pPr>
        <w:pStyle w:val="libNormal"/>
        <w:rPr>
          <w:rtl/>
          <w:lang w:bidi="fa-IR"/>
        </w:rPr>
      </w:pPr>
      <w:r>
        <w:rPr>
          <w:rtl/>
          <w:lang w:bidi="fa-IR"/>
        </w:rPr>
        <w:t xml:space="preserve">8480 / 1. أَبُو عَلِيٍّ الْأَشْعَرِيُّ ، عَنْ مُحَمَّدِ بْنِ عَبْدِ الْجَبَّارِ ، عَنْ بَعْضِ أَصْحَابِهِ </w:t>
      </w:r>
      <w:r w:rsidRPr="00D10E3C">
        <w:rPr>
          <w:rStyle w:val="libFootnotenumChar"/>
          <w:rtl/>
        </w:rPr>
        <w:t>(9)</w:t>
      </w:r>
      <w:r>
        <w:rPr>
          <w:rtl/>
          <w:lang w:bidi="fa-IR"/>
        </w:rPr>
        <w:t xml:space="preserve"> ، عَنْ خَلَفِ بْنِ حَمَّادٍ ، عَنْ إِسْمَاعِيلَ بْنِ أَبِي قُرَّةَ </w:t>
      </w:r>
      <w:r w:rsidRPr="00D10E3C">
        <w:rPr>
          <w:rStyle w:val="libFootnotenumChar"/>
          <w:rtl/>
        </w:rPr>
        <w:t>(10)</w:t>
      </w:r>
      <w:r>
        <w:rPr>
          <w:rtl/>
          <w:lang w:bidi="fa-IR"/>
        </w:rPr>
        <w:t xml:space="preserve"> ، عَنْ أَبِي بَصِيرٍ ، قَالَ :</w:t>
      </w:r>
    </w:p>
    <w:p w:rsidR="00144FA6" w:rsidRDefault="00744A1C" w:rsidP="00744A1C">
      <w:pPr>
        <w:pStyle w:val="libNormal"/>
        <w:rPr>
          <w:rtl/>
          <w:lang w:bidi="fa-IR"/>
        </w:rPr>
      </w:pPr>
      <w:r>
        <w:rPr>
          <w:rtl/>
          <w:lang w:bidi="fa-IR"/>
        </w:rPr>
        <w:t xml:space="preserve">قَالَ </w:t>
      </w:r>
      <w:r w:rsidRPr="00D10E3C">
        <w:rPr>
          <w:rStyle w:val="libFootnotenumChar"/>
          <w:rtl/>
        </w:rPr>
        <w:t>(11)</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إِذَا مَاتَ الْمَيِّتُ </w:t>
      </w:r>
      <w:r w:rsidRPr="00D10E3C">
        <w:rPr>
          <w:rStyle w:val="libFootnotenumChar"/>
          <w:rtl/>
        </w:rPr>
        <w:t>(12)</w:t>
      </w:r>
      <w:r>
        <w:rPr>
          <w:rtl/>
          <w:lang w:bidi="fa-IR"/>
        </w:rPr>
        <w:t xml:space="preserve"> ، حَلَّ مَا لَهُ وَمَا عَلَيْهِ مِنَ الدَّيْنِ </w:t>
      </w:r>
      <w:r w:rsidRPr="00D10E3C">
        <w:rPr>
          <w:rStyle w:val="libFootnotenumChar"/>
          <w:rtl/>
        </w:rPr>
        <w:t>(13)</w:t>
      </w:r>
      <w:r>
        <w:rPr>
          <w:rtl/>
          <w:lang w:bidi="fa-IR"/>
        </w:rPr>
        <w:t xml:space="preserve">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قال في </w:t>
      </w:r>
      <w:r w:rsidR="00744A1C" w:rsidRPr="00877682">
        <w:rPr>
          <w:rStyle w:val="libFootnoteBoldChar"/>
          <w:rtl/>
        </w:rPr>
        <w:t>الدروس</w:t>
      </w:r>
      <w:r w:rsidR="00744A1C">
        <w:rPr>
          <w:rtl/>
          <w:lang w:bidi="fa-IR"/>
        </w:rPr>
        <w:t xml:space="preserve"> : تجوز المقاصّة المشروعة من الوديعة على كراهة ، وينبغي أن يقول ما في رواية</w:t>
      </w:r>
      <w:r w:rsidR="001E6D69">
        <w:rPr>
          <w:rFonts w:hint="cs"/>
          <w:rtl/>
          <w:lang w:bidi="fa-IR"/>
        </w:rPr>
        <w:t xml:space="preserve"> </w:t>
      </w:r>
      <w:r w:rsidR="00744A1C">
        <w:rPr>
          <w:rtl/>
          <w:lang w:bidi="fa-IR"/>
        </w:rPr>
        <w:t xml:space="preserve">أبي بكر الحضرمي ». 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174 ، ذيل الدرس 234.</w:t>
      </w:r>
    </w:p>
    <w:tbl>
      <w:tblPr>
        <w:tblStyle w:val="TableGrid"/>
        <w:bidiVisual/>
        <w:tblW w:w="0" w:type="auto"/>
        <w:tblLook w:val="04A0" w:firstRow="1" w:lastRow="0" w:firstColumn="1" w:lastColumn="0" w:noHBand="0" w:noVBand="1"/>
      </w:tblPr>
      <w:tblGrid>
        <w:gridCol w:w="4006"/>
        <w:gridCol w:w="4006"/>
      </w:tblGrid>
      <w:tr w:rsidR="001E6D69" w:rsidTr="001E6D69">
        <w:tc>
          <w:tcPr>
            <w:tcW w:w="4006" w:type="dxa"/>
          </w:tcPr>
          <w:p w:rsidR="001E6D69" w:rsidRDefault="001E6D69" w:rsidP="00E378DD">
            <w:pPr>
              <w:pStyle w:val="libFootnote0"/>
              <w:rPr>
                <w:rtl/>
                <w:lang w:bidi="fa-IR"/>
              </w:rPr>
            </w:pPr>
            <w:r>
              <w:rPr>
                <w:rtl/>
                <w:lang w:bidi="fa-IR"/>
              </w:rPr>
              <w:t>(2). في « بف » : « لكن » بدون الواو.</w:t>
            </w:r>
          </w:p>
        </w:tc>
        <w:tc>
          <w:tcPr>
            <w:tcW w:w="4006" w:type="dxa"/>
          </w:tcPr>
          <w:p w:rsidR="001E6D69" w:rsidRDefault="001E6D69" w:rsidP="00E378DD">
            <w:pPr>
              <w:pStyle w:val="libFootnote0"/>
              <w:rPr>
                <w:rtl/>
                <w:lang w:bidi="fa-IR"/>
              </w:rPr>
            </w:pPr>
            <w:r>
              <w:rPr>
                <w:rtl/>
                <w:lang w:bidi="fa-IR"/>
              </w:rPr>
              <w:t>(3). في « بف » : « ولهذا ».</w:t>
            </w:r>
          </w:p>
        </w:tc>
      </w:tr>
      <w:tr w:rsidR="001E6D69" w:rsidTr="001E6D69">
        <w:tc>
          <w:tcPr>
            <w:tcW w:w="4006" w:type="dxa"/>
          </w:tcPr>
          <w:p w:rsidR="001E6D69" w:rsidRDefault="001E6D69" w:rsidP="00E378DD">
            <w:pPr>
              <w:pStyle w:val="libFootnote0"/>
              <w:rPr>
                <w:rtl/>
                <w:lang w:bidi="fa-IR"/>
              </w:rPr>
            </w:pPr>
            <w:r>
              <w:rPr>
                <w:rtl/>
                <w:lang w:bidi="fa-IR"/>
              </w:rPr>
              <w:t>(4). في « جن » : « تقول ».</w:t>
            </w:r>
          </w:p>
        </w:tc>
        <w:tc>
          <w:tcPr>
            <w:tcW w:w="4006" w:type="dxa"/>
          </w:tcPr>
          <w:p w:rsidR="001E6D69" w:rsidRDefault="001E6D69" w:rsidP="00E378DD">
            <w:pPr>
              <w:pStyle w:val="libFootnote0"/>
              <w:rPr>
                <w:rtl/>
                <w:lang w:bidi="fa-IR"/>
              </w:rPr>
            </w:pPr>
            <w:r>
              <w:rPr>
                <w:rtl/>
                <w:lang w:bidi="fa-IR"/>
              </w:rPr>
              <w:t>(5). في «بح ،جن»</w:t>
            </w:r>
            <w:r w:rsidRPr="001E6D69">
              <w:rPr>
                <w:rtl/>
              </w:rPr>
              <w:t>والفقيه</w:t>
            </w:r>
            <w:r>
              <w:rPr>
                <w:rtl/>
                <w:lang w:bidi="fa-IR"/>
              </w:rPr>
              <w:t>، ح 3699:-«المال».</w:t>
            </w:r>
          </w:p>
        </w:tc>
      </w:tr>
    </w:tbl>
    <w:p w:rsidR="00744A1C" w:rsidRDefault="00E378DD" w:rsidP="00E378DD">
      <w:pPr>
        <w:pStyle w:val="libFootnote0"/>
        <w:rPr>
          <w:lang w:bidi="fa-IR"/>
        </w:rPr>
      </w:pPr>
      <w:r>
        <w:rPr>
          <w:rtl/>
          <w:lang w:bidi="fa-IR"/>
        </w:rPr>
        <w:t>(6).</w:t>
      </w:r>
      <w:r w:rsidR="00744A1C">
        <w:rPr>
          <w:rtl/>
          <w:lang w:bidi="fa-IR"/>
        </w:rPr>
        <w:t xml:space="preserve"> هكذا في « ط ، ى ، بح ، بخ ، بس ، بف ، جد ، جن » </w:t>
      </w:r>
      <w:r w:rsidR="00744A1C" w:rsidRPr="001E6D69">
        <w:rPr>
          <w:rtl/>
        </w:rPr>
        <w:t>والوافي</w:t>
      </w:r>
      <w:r w:rsidR="00744A1C">
        <w:rPr>
          <w:rtl/>
          <w:lang w:bidi="fa-IR"/>
        </w:rPr>
        <w:t>. وفي المطبوع : « أخذت ».</w:t>
      </w:r>
    </w:p>
    <w:p w:rsidR="00744A1C" w:rsidRDefault="00E378DD" w:rsidP="00E378DD">
      <w:pPr>
        <w:pStyle w:val="libFootnote0"/>
        <w:rPr>
          <w:lang w:bidi="fa-IR"/>
        </w:rPr>
      </w:pPr>
      <w:r>
        <w:rPr>
          <w:rtl/>
          <w:lang w:bidi="fa-IR"/>
        </w:rPr>
        <w:t>(7).</w:t>
      </w:r>
      <w:r w:rsidR="00744A1C">
        <w:rPr>
          <w:rtl/>
          <w:lang w:bidi="fa-IR"/>
        </w:rPr>
        <w:t xml:space="preserve"> في </w:t>
      </w:r>
      <w:r w:rsidR="00744A1C" w:rsidRPr="001E6D69">
        <w:rPr>
          <w:rtl/>
        </w:rPr>
        <w:t>الوافي والفقيه</w:t>
      </w:r>
      <w:r w:rsidR="00744A1C">
        <w:rPr>
          <w:rtl/>
          <w:lang w:bidi="fa-IR"/>
        </w:rPr>
        <w:t xml:space="preserve"> : - « منه ».</w:t>
      </w:r>
    </w:p>
    <w:p w:rsidR="00744A1C" w:rsidRDefault="00E378DD" w:rsidP="001E6D69">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3 ، ص 186 ، ح 3699 ، معلّقاً عن الحسن بن محبوب ، إلى قوله : « مكان مالي الذي أخذه منّي ». وفي </w:t>
      </w:r>
      <w:r w:rsidR="00744A1C" w:rsidRPr="00C24F9C">
        <w:rPr>
          <w:rStyle w:val="libFootnoteBoldChar"/>
          <w:rtl/>
        </w:rPr>
        <w:t>التهذيب</w:t>
      </w:r>
      <w:r w:rsidR="00744A1C">
        <w:rPr>
          <w:rtl/>
          <w:lang w:bidi="fa-IR"/>
        </w:rPr>
        <w:t xml:space="preserve"> ، ج 6 ، ص 197 ، ح 439 ؛ </w:t>
      </w:r>
      <w:r w:rsidR="00744A1C" w:rsidRPr="00C24F9C">
        <w:rPr>
          <w:rStyle w:val="libFootnoteBoldChar"/>
          <w:rtl/>
        </w:rPr>
        <w:t>والاستبصار</w:t>
      </w:r>
      <w:r w:rsidR="00744A1C">
        <w:rPr>
          <w:rtl/>
          <w:lang w:bidi="fa-IR"/>
        </w:rPr>
        <w:t xml:space="preserve"> ، ج 3 ، ص 52 ، ح 169 ، معلّقاً عن الحسن بن محبوب. وفي </w:t>
      </w:r>
      <w:r w:rsidR="00744A1C" w:rsidRPr="00C24F9C">
        <w:rPr>
          <w:rStyle w:val="libFootnoteBoldChar"/>
          <w:rtl/>
        </w:rPr>
        <w:t>الفقيه</w:t>
      </w:r>
      <w:r w:rsidR="00744A1C">
        <w:rPr>
          <w:rtl/>
          <w:lang w:bidi="fa-IR"/>
        </w:rPr>
        <w:t xml:space="preserve"> ، ج 3 ، ص 186 ، ح 3700 ؛ </w:t>
      </w:r>
      <w:r w:rsidR="00744A1C" w:rsidRPr="0061079A">
        <w:rPr>
          <w:rStyle w:val="libFootnoteBoldChar"/>
          <w:rtl/>
        </w:rPr>
        <w:t>والتهذيب</w:t>
      </w:r>
      <w:r w:rsidR="00744A1C">
        <w:rPr>
          <w:rtl/>
          <w:lang w:bidi="fa-IR"/>
        </w:rPr>
        <w:t xml:space="preserve"> ، ج 6 ، ص 348 ، ح 982 ؛ </w:t>
      </w:r>
      <w:r w:rsidR="00744A1C" w:rsidRPr="00C24F9C">
        <w:rPr>
          <w:rStyle w:val="libFootnoteBoldChar"/>
          <w:rtl/>
        </w:rPr>
        <w:t>والاستبصار</w:t>
      </w:r>
      <w:r w:rsidR="00744A1C">
        <w:rPr>
          <w:rtl/>
          <w:lang w:bidi="fa-IR"/>
        </w:rPr>
        <w:t xml:space="preserve"> ، ج 3 ، ص 52 ، ح 168 ، بسند آخر عن أبي بكر الحضرمي </w:t>
      </w:r>
      <w:r w:rsidR="001E6D69">
        <w:rPr>
          <w:rFonts w:hint="cs"/>
          <w:rtl/>
          <w:lang w:bidi="fa-IR"/>
        </w:rPr>
        <w:t>.</w:t>
      </w:r>
      <w:r w:rsidR="00744A1C" w:rsidRPr="00C24F9C">
        <w:rPr>
          <w:rStyle w:val="libFootnoteBoldChar"/>
          <w:rtl/>
        </w:rPr>
        <w:t>الوافي</w:t>
      </w:r>
      <w:r w:rsidR="00744A1C">
        <w:rPr>
          <w:rtl/>
          <w:lang w:bidi="fa-IR"/>
        </w:rPr>
        <w:t xml:space="preserve"> ، ج 18 ، ص 814 ، ح 18354 ؛ </w:t>
      </w:r>
      <w:r w:rsidR="00744A1C" w:rsidRPr="00C24F9C">
        <w:rPr>
          <w:rStyle w:val="libFootnoteBoldChar"/>
          <w:rtl/>
        </w:rPr>
        <w:t>الوسائل</w:t>
      </w:r>
      <w:r w:rsidR="00744A1C">
        <w:rPr>
          <w:rtl/>
          <w:lang w:bidi="fa-IR"/>
        </w:rPr>
        <w:t xml:space="preserve"> ، ج 17 ، ص 274 ، ذيل ح 22503.</w:t>
      </w:r>
      <w:r w:rsidR="001E6D69">
        <w:rPr>
          <w:rFonts w:hint="cs"/>
          <w:rtl/>
          <w:lang w:bidi="fa-IR"/>
        </w:rPr>
        <w:t xml:space="preserve">  </w:t>
      </w:r>
      <w:r>
        <w:rPr>
          <w:rtl/>
          <w:lang w:bidi="fa-IR"/>
        </w:rPr>
        <w:t>(9).</w:t>
      </w:r>
      <w:r w:rsidR="00744A1C">
        <w:rPr>
          <w:rtl/>
          <w:lang w:bidi="fa-IR"/>
        </w:rPr>
        <w:t xml:space="preserve"> في « بخ ، بف ، جن » : « أصحابنا ».</w:t>
      </w:r>
    </w:p>
    <w:p w:rsidR="00744A1C" w:rsidRDefault="00E378DD" w:rsidP="00E378DD">
      <w:pPr>
        <w:pStyle w:val="libFootnote0"/>
        <w:rPr>
          <w:lang w:bidi="fa-IR"/>
        </w:rPr>
      </w:pPr>
      <w:r>
        <w:rPr>
          <w:rtl/>
          <w:lang w:bidi="fa-IR"/>
        </w:rPr>
        <w:t>(10).</w:t>
      </w:r>
      <w:r w:rsidR="00744A1C">
        <w:rPr>
          <w:rtl/>
          <w:lang w:bidi="fa-IR"/>
        </w:rPr>
        <w:t xml:space="preserve"> في </w:t>
      </w:r>
      <w:r w:rsidR="00744A1C" w:rsidRPr="001E6D69">
        <w:rPr>
          <w:rtl/>
        </w:rPr>
        <w:t>التهذيب</w:t>
      </w:r>
      <w:r w:rsidR="00744A1C">
        <w:rPr>
          <w:rtl/>
          <w:lang w:bidi="fa-IR"/>
        </w:rPr>
        <w:t xml:space="preserve"> : « إسماعيل بن أبي فروة » ، والمذكور في بعض نسخه كما هنا.</w:t>
      </w:r>
    </w:p>
    <w:p w:rsidR="00744A1C" w:rsidRDefault="00E378DD" w:rsidP="00E378DD">
      <w:pPr>
        <w:pStyle w:val="libFootnote0"/>
        <w:rPr>
          <w:lang w:bidi="fa-IR"/>
        </w:rPr>
      </w:pPr>
      <w:r>
        <w:rPr>
          <w:rtl/>
          <w:lang w:bidi="fa-IR"/>
        </w:rPr>
        <w:t>(11).</w:t>
      </w:r>
      <w:r w:rsidR="00744A1C">
        <w:rPr>
          <w:rtl/>
          <w:lang w:bidi="fa-IR"/>
        </w:rPr>
        <w:t xml:space="preserve"> هكذا في النسخ التي قوبلت </w:t>
      </w:r>
      <w:r w:rsidR="00744A1C" w:rsidRPr="001E6D69">
        <w:rPr>
          <w:rtl/>
        </w:rPr>
        <w:t>والوسائل والتهذيب</w:t>
      </w:r>
      <w:r w:rsidR="00744A1C">
        <w:rPr>
          <w:rtl/>
          <w:lang w:bidi="fa-IR"/>
        </w:rPr>
        <w:t>. وفي المطبوع : + « لي ».</w:t>
      </w:r>
    </w:p>
    <w:p w:rsidR="00744A1C" w:rsidRDefault="00E378DD" w:rsidP="00E378DD">
      <w:pPr>
        <w:pStyle w:val="libFootnote0"/>
        <w:rPr>
          <w:lang w:bidi="fa-IR"/>
        </w:rPr>
      </w:pPr>
      <w:r>
        <w:rPr>
          <w:rtl/>
          <w:lang w:bidi="fa-IR"/>
        </w:rPr>
        <w:t>(12).</w:t>
      </w:r>
      <w:r w:rsidR="00744A1C">
        <w:rPr>
          <w:rtl/>
          <w:lang w:bidi="fa-IR"/>
        </w:rPr>
        <w:t xml:space="preserve"> هكذا في « ط ، ى ، بح ، بس ، جت ، جد ، جن ». وفي سائر النسخ والمطبوع : « الرجل ».</w:t>
      </w:r>
    </w:p>
    <w:p w:rsidR="00744A1C" w:rsidRDefault="00E378DD" w:rsidP="00E378DD">
      <w:pPr>
        <w:pStyle w:val="libFootnote0"/>
        <w:rPr>
          <w:lang w:bidi="fa-IR"/>
        </w:rPr>
      </w:pPr>
      <w:r>
        <w:rPr>
          <w:rtl/>
          <w:lang w:bidi="fa-IR"/>
        </w:rPr>
        <w:t>(13).</w:t>
      </w:r>
      <w:r w:rsidR="00744A1C">
        <w:rPr>
          <w:rtl/>
          <w:lang w:bidi="fa-IR"/>
        </w:rPr>
        <w:t xml:space="preserve"> في </w:t>
      </w:r>
      <w:r w:rsidR="00744A1C" w:rsidRPr="00877682">
        <w:rPr>
          <w:rStyle w:val="libFootnoteBoldChar"/>
          <w:rtl/>
        </w:rPr>
        <w:t>مرآة العقول</w:t>
      </w:r>
      <w:r w:rsidR="00744A1C">
        <w:rPr>
          <w:rtl/>
          <w:lang w:bidi="fa-IR"/>
        </w:rPr>
        <w:t xml:space="preserve"> ، ج 19 ، ص 51 : « قال في </w:t>
      </w:r>
      <w:r w:rsidR="00744A1C" w:rsidRPr="00877682">
        <w:rPr>
          <w:rStyle w:val="libFootnoteBoldChar"/>
          <w:rtl/>
        </w:rPr>
        <w:t>الدروس</w:t>
      </w:r>
      <w:r w:rsidR="00744A1C">
        <w:rPr>
          <w:rtl/>
          <w:lang w:bidi="fa-IR"/>
        </w:rPr>
        <w:t xml:space="preserve"> : يحلّ الديون المؤجّلة بموت الغر</w:t>
      </w:r>
      <w:r w:rsidR="001E6D69">
        <w:rPr>
          <w:rtl/>
          <w:lang w:bidi="fa-IR"/>
        </w:rPr>
        <w:t>يم ، ولو مات المدين لم يحلّ إل</w:t>
      </w:r>
      <w:r w:rsidR="001E6D69">
        <w:rPr>
          <w:rFonts w:hint="cs"/>
          <w:rtl/>
          <w:lang w:bidi="fa-IR"/>
        </w:rPr>
        <w:t>ّ</w:t>
      </w:r>
      <w:r w:rsidR="001E6D69">
        <w:rPr>
          <w:rtl/>
          <w:lang w:bidi="fa-IR"/>
        </w:rPr>
        <w:t>ا</w:t>
      </w:r>
      <w:r w:rsidR="00744A1C">
        <w:rPr>
          <w:rtl/>
          <w:lang w:bidi="fa-IR"/>
        </w:rPr>
        <w:t>على رواية أبي بصير ، واختاره الشيخ والقاضي والحلبي ».</w:t>
      </w:r>
    </w:p>
    <w:p w:rsidR="00144FA6" w:rsidRDefault="00744A1C" w:rsidP="00D10E3C">
      <w:pPr>
        <w:pStyle w:val="libFootnote0"/>
        <w:rPr>
          <w:rtl/>
          <w:lang w:bidi="fa-IR"/>
        </w:rPr>
      </w:pPr>
      <w:r>
        <w:rPr>
          <w:rtl/>
          <w:lang w:bidi="fa-IR"/>
        </w:rPr>
        <w:t xml:space="preserve">وقال المحقّق الشعراني في هامش </w:t>
      </w:r>
      <w:r w:rsidRPr="00C24F9C">
        <w:rPr>
          <w:rStyle w:val="libFootnoteBoldChar"/>
          <w:rtl/>
        </w:rPr>
        <w:t>الوافي</w:t>
      </w:r>
      <w:r>
        <w:rPr>
          <w:rtl/>
          <w:lang w:bidi="fa-IR"/>
        </w:rPr>
        <w:t xml:space="preserve"> : « قوله : ما له وما عليه من الدين ، إذا مات المديون حلّ ما عليه بلا إشكال ، وليس أخبار هذا الباب منقّحة - وهو نفس الباب هاهنا - من جهة الإسناد ، وإذا مات الدائن لم يحلّ ما له ، بل وجب على الورثة الصبر إلى الأجل ، وقال بعض علمائنا : يحلّ كما في هذه الرواية ، وهي مرسلة.</w:t>
      </w:r>
      <w:r w:rsidR="001E6D69">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8481 / 2. مُحَمَّدُ بْنُ يَحْيى ، عَنْ أَحْمَدَ بْنِ مُحَمَّدٍ ، عَنِ الْحَسَنِ بْنِ مَحْبُوبٍ ، عَنْ عَبْدِ اللهِ بْنِ سِنَانٍ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الرَّجُلِ يَمُوتُ ، وَعَلَيْهِ دَيْنٌ ، فَيَضْمَنُهُ ضَامِنٌ لِلْغُرَمَاءِ ، فَقَالَ : « إِذَا رَضِيَ بِهِ </w:t>
      </w:r>
      <w:r w:rsidRPr="00D10E3C">
        <w:rPr>
          <w:rStyle w:val="libFootnotenumChar"/>
          <w:rtl/>
        </w:rPr>
        <w:t>(1)</w:t>
      </w:r>
      <w:r>
        <w:rPr>
          <w:rtl/>
          <w:lang w:bidi="fa-IR"/>
        </w:rPr>
        <w:t xml:space="preserve"> الْغُرَمَاءُ ، فَقَدْ بَرِئَتْ ذِمَّةُ الْمَيِّتِ ». </w:t>
      </w:r>
      <w:r w:rsidRPr="00D10E3C">
        <w:rPr>
          <w:rStyle w:val="libFootnotenumChar"/>
          <w:rtl/>
        </w:rPr>
        <w:t>(2)</w:t>
      </w:r>
    </w:p>
    <w:p w:rsidR="00744A1C" w:rsidRDefault="00744A1C" w:rsidP="001E6D69">
      <w:pPr>
        <w:pStyle w:val="Heading2Center"/>
        <w:rPr>
          <w:lang w:bidi="fa-IR"/>
        </w:rPr>
      </w:pPr>
      <w:bookmarkStart w:id="146" w:name="_Toc49261444"/>
      <w:r>
        <w:rPr>
          <w:rtl/>
          <w:lang w:bidi="fa-IR"/>
        </w:rPr>
        <w:t xml:space="preserve">23 - بَابُ الرَّجُلِ يَأْخُذُ الدَّيْنَ وَهُوَ </w:t>
      </w:r>
      <w:r w:rsidRPr="00D10E3C">
        <w:rPr>
          <w:rStyle w:val="libFootnotenumChar"/>
          <w:rtl/>
        </w:rPr>
        <w:t>(3)</w:t>
      </w:r>
      <w:r>
        <w:rPr>
          <w:rtl/>
          <w:lang w:bidi="fa-IR"/>
        </w:rPr>
        <w:t xml:space="preserve"> لَايَنْوِي قَضَاءَهُ‌</w:t>
      </w:r>
      <w:bookmarkEnd w:id="146"/>
    </w:p>
    <w:p w:rsidR="00144FA6" w:rsidRDefault="00744A1C" w:rsidP="00744A1C">
      <w:pPr>
        <w:pStyle w:val="libNormal"/>
        <w:rPr>
          <w:rtl/>
          <w:lang w:bidi="fa-IR"/>
        </w:rPr>
      </w:pPr>
      <w:r>
        <w:rPr>
          <w:rtl/>
          <w:lang w:bidi="fa-IR"/>
        </w:rPr>
        <w:t xml:space="preserve">8482 / 1. مُحَمَّدُ بْنُ يَحْيى ، عَنْ مُحَمَّدِ بْنِ الْحُسَيْنِ ، عَنِ النَّضْرِ بْنِ شُعَيْبٍ </w:t>
      </w:r>
      <w:r w:rsidRPr="00D10E3C">
        <w:rPr>
          <w:rStyle w:val="libFootnotenumChar"/>
          <w:rtl/>
        </w:rPr>
        <w:t>(4)</w:t>
      </w:r>
      <w:r>
        <w:rPr>
          <w:rtl/>
          <w:lang w:bidi="fa-IR"/>
        </w:rPr>
        <w:t xml:space="preserve"> ، عَنْ عَبْدِ الْغَفَّارِ الْجَازِيِّ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سَأَلْتُهُ عَنْ رَجُلٍ مَاتَ وَعَلَيْهِ دَيْنٌ؟</w:t>
      </w:r>
    </w:p>
    <w:p w:rsidR="00744A1C" w:rsidRDefault="00744A1C" w:rsidP="00D10E3C">
      <w:pPr>
        <w:pStyle w:val="libLine"/>
        <w:rPr>
          <w:lang w:bidi="fa-IR"/>
        </w:rPr>
      </w:pPr>
      <w:r>
        <w:rPr>
          <w:rtl/>
          <w:lang w:bidi="fa-IR"/>
        </w:rPr>
        <w:t>____________________</w:t>
      </w:r>
    </w:p>
    <w:p w:rsidR="00744A1C" w:rsidRDefault="001E6D69" w:rsidP="00D10E3C">
      <w:pPr>
        <w:pStyle w:val="libFootnote0"/>
        <w:rPr>
          <w:lang w:bidi="fa-IR"/>
        </w:rPr>
      </w:pPr>
      <w:r>
        <w:rPr>
          <w:rFonts w:hint="cs"/>
          <w:rtl/>
          <w:lang w:bidi="fa-IR"/>
        </w:rPr>
        <w:t xml:space="preserve">= </w:t>
      </w:r>
      <w:r w:rsidR="00744A1C">
        <w:rPr>
          <w:rtl/>
          <w:lang w:bidi="fa-IR"/>
        </w:rPr>
        <w:t xml:space="preserve">وروى في المختلف عن السيّد المرتضى </w:t>
      </w:r>
      <w:r w:rsidR="00877682" w:rsidRPr="00877682">
        <w:rPr>
          <w:rStyle w:val="libFootnoteAlaemChar"/>
          <w:rtl/>
        </w:rPr>
        <w:t>رحمه‌الله</w:t>
      </w:r>
      <w:r w:rsidRPr="001E6D69">
        <w:rPr>
          <w:rFonts w:hint="cs"/>
          <w:rtl/>
        </w:rPr>
        <w:t xml:space="preserve"> </w:t>
      </w:r>
      <w:r w:rsidR="00744A1C">
        <w:rPr>
          <w:rtl/>
          <w:lang w:bidi="fa-IR"/>
        </w:rPr>
        <w:t>في المسألة الا</w:t>
      </w:r>
      <w:r>
        <w:rPr>
          <w:rFonts w:hint="cs"/>
          <w:rtl/>
          <w:lang w:bidi="fa-IR"/>
        </w:rPr>
        <w:t>ُ</w:t>
      </w:r>
      <w:r w:rsidR="00744A1C">
        <w:rPr>
          <w:rtl/>
          <w:lang w:bidi="fa-IR"/>
        </w:rPr>
        <w:t xml:space="preserve">ولى عن موت المديون أيضاً أنّه قال : لا أعرف إلى الآن لأصحابنا فيها نصّاً معيّناً فأحكيه ، وفقهاء الأمصار كلّهم يذهبون إلى أنّ الدين المؤجّل يصير حالاًّ بموت من عليه الدين ، ويقوى في نفسي ما ذهب إليه الفقهاء. انتهى. وقال أيضاً في </w:t>
      </w:r>
      <w:r w:rsidR="00744A1C" w:rsidRPr="001E6D69">
        <w:rPr>
          <w:rStyle w:val="libFootnoteBoldChar"/>
          <w:rtl/>
        </w:rPr>
        <w:t>المختلف</w:t>
      </w:r>
      <w:r w:rsidR="00744A1C">
        <w:rPr>
          <w:rtl/>
          <w:lang w:bidi="fa-IR"/>
        </w:rPr>
        <w:t xml:space="preserve"> في الفرق بين المديون والدائن : إن ا</w:t>
      </w:r>
      <w:r>
        <w:rPr>
          <w:rFonts w:hint="cs"/>
          <w:rtl/>
          <w:lang w:bidi="fa-IR"/>
        </w:rPr>
        <w:t>ُ</w:t>
      </w:r>
      <w:r w:rsidR="00744A1C">
        <w:rPr>
          <w:rtl/>
          <w:lang w:bidi="fa-IR"/>
        </w:rPr>
        <w:t xml:space="preserve">مر بالتصرّف في التركة لزم تضرّر الدائن ، وإن منعناهم لزم الضرر عليهم ، فوجب القول بالحلول دفعاً للمفسدتين بخلاف موت من له الدين ». وراجع : </w:t>
      </w:r>
      <w:r w:rsidR="00744A1C" w:rsidRPr="0061079A">
        <w:rPr>
          <w:rStyle w:val="libFootnoteBoldChar"/>
          <w:rtl/>
        </w:rPr>
        <w:t>الكاف</w:t>
      </w:r>
      <w:r w:rsidR="00744A1C" w:rsidRPr="001E6D69">
        <w:rPr>
          <w:rStyle w:val="libFootnoteBoldChar"/>
          <w:rtl/>
        </w:rPr>
        <w:t>ي في الفقه</w:t>
      </w:r>
      <w:r w:rsidR="00744A1C">
        <w:rPr>
          <w:rtl/>
          <w:lang w:bidi="fa-IR"/>
        </w:rPr>
        <w:t xml:space="preserve"> ، ص 333 ؛ </w:t>
      </w:r>
      <w:r w:rsidR="00744A1C" w:rsidRPr="00877682">
        <w:rPr>
          <w:rStyle w:val="libFootnoteBoldChar"/>
          <w:rtl/>
        </w:rPr>
        <w:t>النهاية</w:t>
      </w:r>
      <w:r w:rsidR="00744A1C">
        <w:rPr>
          <w:rtl/>
          <w:lang w:bidi="fa-IR"/>
        </w:rPr>
        <w:t xml:space="preserve"> ، ص 310 ؛ </w:t>
      </w:r>
      <w:r w:rsidR="00744A1C" w:rsidRPr="00877682">
        <w:rPr>
          <w:rStyle w:val="libFootnoteBoldChar"/>
          <w:rtl/>
        </w:rPr>
        <w:t>مختلف الشيعة</w:t>
      </w:r>
      <w:r w:rsidR="00744A1C">
        <w:rPr>
          <w:rtl/>
          <w:lang w:bidi="fa-IR"/>
        </w:rPr>
        <w:t xml:space="preserve"> ، ج 5 ، ص 383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313.</w:t>
      </w:r>
    </w:p>
    <w:p w:rsidR="00744A1C" w:rsidRDefault="00E378DD" w:rsidP="00E378DD">
      <w:pPr>
        <w:pStyle w:val="libFootnote0"/>
        <w:rPr>
          <w:lang w:bidi="fa-IR"/>
        </w:rPr>
      </w:pPr>
      <w:r>
        <w:rPr>
          <w:rtl/>
          <w:lang w:bidi="fa-IR"/>
        </w:rPr>
        <w:t>(14).</w:t>
      </w:r>
      <w:r w:rsidR="00744A1C">
        <w:rPr>
          <w:rtl/>
          <w:lang w:bidi="fa-IR"/>
        </w:rPr>
        <w:t xml:space="preserve"> </w:t>
      </w:r>
      <w:r w:rsidR="00744A1C" w:rsidRPr="00C24F9C">
        <w:rPr>
          <w:rStyle w:val="libFootnoteBoldChar"/>
          <w:rtl/>
        </w:rPr>
        <w:t>التهذيب</w:t>
      </w:r>
      <w:r w:rsidR="00744A1C">
        <w:rPr>
          <w:rtl/>
          <w:lang w:bidi="fa-IR"/>
        </w:rPr>
        <w:t xml:space="preserve"> ، ج 6 ، ص 190 ، ح 407 ، معلّقاً عن الكليني. وفي </w:t>
      </w:r>
      <w:r w:rsidR="00744A1C" w:rsidRPr="00C24F9C">
        <w:rPr>
          <w:rStyle w:val="libFootnoteBoldChar"/>
          <w:rtl/>
        </w:rPr>
        <w:t>الفقيه</w:t>
      </w:r>
      <w:r w:rsidR="00744A1C">
        <w:rPr>
          <w:rtl/>
          <w:lang w:bidi="fa-IR"/>
        </w:rPr>
        <w:t xml:space="preserve"> ، ج 3 ، ص 188 ، ح 3709 ؛ </w:t>
      </w:r>
      <w:r w:rsidR="00744A1C" w:rsidRPr="0061079A">
        <w:rPr>
          <w:rStyle w:val="libFootnoteBoldChar"/>
          <w:rtl/>
        </w:rPr>
        <w:t>والتهذيب</w:t>
      </w:r>
      <w:r w:rsidR="00744A1C">
        <w:rPr>
          <w:rtl/>
          <w:lang w:bidi="fa-IR"/>
        </w:rPr>
        <w:t xml:space="preserve"> ، ج 6 ، ص 190 ، ح 408 ، بسند آخر عن جعفر بن محمّد ، عن أبيه </w:t>
      </w:r>
      <w:r w:rsidR="00F112A7" w:rsidRPr="00CE5A92">
        <w:rPr>
          <w:rStyle w:val="libFootnoteAlaemChar"/>
          <w:rtl/>
        </w:rPr>
        <w:t>عليهما‌السلام</w:t>
      </w:r>
      <w:r w:rsidR="00744A1C">
        <w:rPr>
          <w:rtl/>
          <w:lang w:bidi="fa-IR"/>
        </w:rPr>
        <w:t xml:space="preserve">، مع اختلاف يسير. </w:t>
      </w:r>
      <w:r w:rsidR="00744A1C" w:rsidRPr="00C24F9C">
        <w:rPr>
          <w:rStyle w:val="libFootnoteBoldChar"/>
          <w:rtl/>
        </w:rPr>
        <w:t>الفقيه</w:t>
      </w:r>
      <w:r w:rsidR="00744A1C">
        <w:rPr>
          <w:rtl/>
          <w:lang w:bidi="fa-IR"/>
        </w:rPr>
        <w:t xml:space="preserve"> ، ج 3 ، ص 189 ، ح 3710 ، مرسلاً </w:t>
      </w:r>
      <w:r w:rsidR="00744A1C" w:rsidRPr="00C24F9C">
        <w:rPr>
          <w:rStyle w:val="libFootnoteBoldChar"/>
          <w:rtl/>
        </w:rPr>
        <w:t>الوافي</w:t>
      </w:r>
      <w:r w:rsidR="00744A1C">
        <w:rPr>
          <w:rtl/>
          <w:lang w:bidi="fa-IR"/>
        </w:rPr>
        <w:t xml:space="preserve"> ، ج 18 ، ص 807 ، ح 18339 ؛ </w:t>
      </w:r>
      <w:r w:rsidR="00744A1C" w:rsidRPr="00C24F9C">
        <w:rPr>
          <w:rStyle w:val="libFootnoteBoldChar"/>
          <w:rtl/>
        </w:rPr>
        <w:t>الوسائل</w:t>
      </w:r>
      <w:r w:rsidR="00744A1C">
        <w:rPr>
          <w:rtl/>
          <w:lang w:bidi="fa-IR"/>
        </w:rPr>
        <w:t xml:space="preserve"> ، ج 18 ، ص 344 ، ح 23810.</w:t>
      </w:r>
    </w:p>
    <w:p w:rsidR="00744A1C" w:rsidRDefault="00D10E3C" w:rsidP="00D10E3C">
      <w:pPr>
        <w:pStyle w:val="libFootnote0"/>
        <w:rPr>
          <w:lang w:bidi="fa-IR"/>
        </w:rPr>
      </w:pPr>
      <w:r>
        <w:rPr>
          <w:rtl/>
          <w:lang w:bidi="fa-IR"/>
        </w:rPr>
        <w:t>(1).</w:t>
      </w:r>
      <w:r w:rsidR="00744A1C">
        <w:rPr>
          <w:rtl/>
          <w:lang w:bidi="fa-IR"/>
        </w:rPr>
        <w:t xml:space="preserve"> في </w:t>
      </w:r>
      <w:r w:rsidR="00744A1C" w:rsidRPr="0061079A">
        <w:rPr>
          <w:rStyle w:val="libFootnoteBoldChar"/>
          <w:rtl/>
        </w:rPr>
        <w:t>الكافي</w:t>
      </w:r>
      <w:r w:rsidR="00744A1C">
        <w:rPr>
          <w:rtl/>
          <w:lang w:bidi="fa-IR"/>
        </w:rPr>
        <w:t xml:space="preserve"> ، ح 13184 و</w:t>
      </w:r>
      <w:r w:rsidR="00744A1C" w:rsidRPr="00C24F9C">
        <w:rPr>
          <w:rStyle w:val="libFootnoteBoldChar"/>
          <w:rtl/>
        </w:rPr>
        <w:t>الفقيه</w:t>
      </w:r>
      <w:r w:rsidR="00744A1C">
        <w:rPr>
          <w:rtl/>
          <w:lang w:bidi="fa-IR"/>
        </w:rPr>
        <w:t xml:space="preserve"> ، ج 4 </w:t>
      </w:r>
      <w:r w:rsidR="00744A1C" w:rsidRPr="0061079A">
        <w:rPr>
          <w:rStyle w:val="libFootnoteBoldChar"/>
          <w:rtl/>
        </w:rPr>
        <w:t>والتهذيب</w:t>
      </w:r>
      <w:r w:rsidR="00744A1C">
        <w:rPr>
          <w:rtl/>
          <w:lang w:bidi="fa-IR"/>
        </w:rPr>
        <w:t xml:space="preserve"> ، ج 9 : - « به ».</w:t>
      </w:r>
    </w:p>
    <w:p w:rsidR="00744A1C" w:rsidRDefault="00E378DD" w:rsidP="00E378DD">
      <w:pPr>
        <w:pStyle w:val="libFootnote0"/>
        <w:rPr>
          <w:lang w:bidi="fa-IR"/>
        </w:rPr>
      </w:pPr>
      <w:r>
        <w:rPr>
          <w:rtl/>
          <w:lang w:bidi="fa-IR"/>
        </w:rPr>
        <w:t>(2).</w:t>
      </w:r>
      <w:r w:rsidR="00744A1C">
        <w:rPr>
          <w:rtl/>
          <w:lang w:bidi="fa-IR"/>
        </w:rPr>
        <w:t xml:space="preserve"> </w:t>
      </w:r>
      <w:r w:rsidR="00744A1C" w:rsidRPr="0061079A">
        <w:rPr>
          <w:rStyle w:val="libFootnoteBoldChar"/>
          <w:rtl/>
        </w:rPr>
        <w:t>الكافي</w:t>
      </w:r>
      <w:r w:rsidR="00744A1C">
        <w:rPr>
          <w:rtl/>
          <w:lang w:bidi="fa-IR"/>
        </w:rPr>
        <w:t xml:space="preserve"> ، كتاب الوصايا ، باب من أوصى وعليه دين ، ح 13184. وفي </w:t>
      </w:r>
      <w:r w:rsidR="00744A1C" w:rsidRPr="00C24F9C">
        <w:rPr>
          <w:rStyle w:val="libFootnoteBoldChar"/>
          <w:rtl/>
        </w:rPr>
        <w:t>التهذيب</w:t>
      </w:r>
      <w:r w:rsidR="00744A1C">
        <w:rPr>
          <w:rtl/>
          <w:lang w:bidi="fa-IR"/>
        </w:rPr>
        <w:t xml:space="preserve"> ، ج 9 ، ص 167 ، ح 280 ، معلّقاً عن أحمد بن محمّد. وفي </w:t>
      </w:r>
      <w:r w:rsidR="00744A1C" w:rsidRPr="00C24F9C">
        <w:rPr>
          <w:rStyle w:val="libFootnoteBoldChar"/>
          <w:rtl/>
        </w:rPr>
        <w:t>الفقيه</w:t>
      </w:r>
      <w:r w:rsidR="00744A1C">
        <w:rPr>
          <w:rtl/>
          <w:lang w:bidi="fa-IR"/>
        </w:rPr>
        <w:t xml:space="preserve"> ، ج 4 ، ص 225 ، ح 5530 ؛ </w:t>
      </w:r>
      <w:r w:rsidR="00744A1C" w:rsidRPr="0061079A">
        <w:rPr>
          <w:rStyle w:val="libFootnoteBoldChar"/>
          <w:rtl/>
        </w:rPr>
        <w:t>والتهذيب</w:t>
      </w:r>
      <w:r w:rsidR="00744A1C">
        <w:rPr>
          <w:rtl/>
          <w:lang w:bidi="fa-IR"/>
        </w:rPr>
        <w:t xml:space="preserve"> ، ج 6 ، ص 187 ، ح 392 ، معلّقاً عن الحسن بن محبوب ، عن الحسن بن صالح الثوري ، عن أبي عبد الله </w:t>
      </w:r>
      <w:r w:rsidR="0061079A" w:rsidRPr="0061079A">
        <w:rPr>
          <w:rStyle w:val="libFootnoteAlaemChar"/>
          <w:rtl/>
        </w:rPr>
        <w:t>عليه‌السلام</w:t>
      </w:r>
      <w:r w:rsidR="00D10E3C">
        <w:rPr>
          <w:rtl/>
          <w:lang w:bidi="fa-IR"/>
        </w:rPr>
        <w:t xml:space="preserve"> </w:t>
      </w:r>
      <w:r w:rsidR="001E6D69">
        <w:rPr>
          <w:rFonts w:hint="cs"/>
          <w:rtl/>
          <w:lang w:bidi="fa-IR"/>
        </w:rPr>
        <w:t>.</w:t>
      </w:r>
      <w:r w:rsidR="00744A1C" w:rsidRPr="00C24F9C">
        <w:rPr>
          <w:rStyle w:val="libFootnoteBoldChar"/>
          <w:rtl/>
        </w:rPr>
        <w:t>الوافي</w:t>
      </w:r>
      <w:r w:rsidR="00744A1C">
        <w:rPr>
          <w:rtl/>
          <w:lang w:bidi="fa-IR"/>
        </w:rPr>
        <w:t xml:space="preserve"> ، ج 18 ، ص 790 ، ح 18304 ؛ </w:t>
      </w:r>
      <w:r w:rsidR="00744A1C" w:rsidRPr="00C24F9C">
        <w:rPr>
          <w:rStyle w:val="libFootnoteBoldChar"/>
          <w:rtl/>
        </w:rPr>
        <w:t>الوسائل</w:t>
      </w:r>
      <w:r w:rsidR="00744A1C">
        <w:rPr>
          <w:rtl/>
          <w:lang w:bidi="fa-IR"/>
        </w:rPr>
        <w:t xml:space="preserve"> ، ج 18 ، ص 346 ، ح 23816 ؛ وص 422 ، ح 23964.</w:t>
      </w:r>
    </w:p>
    <w:p w:rsidR="00744A1C" w:rsidRDefault="00E378DD" w:rsidP="00E378DD">
      <w:pPr>
        <w:pStyle w:val="libFootnote0"/>
        <w:rPr>
          <w:lang w:bidi="fa-IR"/>
        </w:rPr>
      </w:pPr>
      <w:r>
        <w:rPr>
          <w:rtl/>
          <w:lang w:bidi="fa-IR"/>
        </w:rPr>
        <w:t>(3).</w:t>
      </w:r>
      <w:r w:rsidR="00744A1C">
        <w:rPr>
          <w:rtl/>
          <w:lang w:bidi="fa-IR"/>
        </w:rPr>
        <w:t xml:space="preserve"> في « بخ » : - « هو ».</w:t>
      </w:r>
    </w:p>
    <w:p w:rsidR="00744A1C" w:rsidRDefault="00E378DD" w:rsidP="00E378DD">
      <w:pPr>
        <w:pStyle w:val="libFootnote0"/>
        <w:rPr>
          <w:lang w:bidi="fa-IR"/>
        </w:rPr>
      </w:pPr>
      <w:r>
        <w:rPr>
          <w:rtl/>
          <w:lang w:bidi="fa-IR"/>
        </w:rPr>
        <w:t>(4).</w:t>
      </w:r>
      <w:r w:rsidR="00744A1C">
        <w:rPr>
          <w:rtl/>
          <w:lang w:bidi="fa-IR"/>
        </w:rPr>
        <w:t xml:space="preserve"> في « بس » وحاشية « ى » : « النضر بن سويد ». وهو سهو ؛ فقد روى محمّد بن الحسين عن النضر بن شعيب‌</w:t>
      </w:r>
      <w:r w:rsidR="001E6D69">
        <w:rPr>
          <w:rFonts w:hint="cs"/>
          <w:rtl/>
          <w:lang w:bidi="fa-IR"/>
        </w:rPr>
        <w:t xml:space="preserve"> </w:t>
      </w:r>
      <w:r w:rsidR="00744A1C">
        <w:rPr>
          <w:rtl/>
          <w:lang w:bidi="fa-IR"/>
        </w:rPr>
        <w:t xml:space="preserve">كتاب عبد الغفّار الجازي. راجع : </w:t>
      </w:r>
      <w:r w:rsidR="00744A1C" w:rsidRPr="003A7143">
        <w:rPr>
          <w:rStyle w:val="libFootnoteBoldChar"/>
          <w:rtl/>
        </w:rPr>
        <w:t>رجال النجاشي</w:t>
      </w:r>
      <w:r w:rsidR="00744A1C">
        <w:rPr>
          <w:rtl/>
          <w:lang w:bidi="fa-IR"/>
        </w:rPr>
        <w:t xml:space="preserve"> ، ص 247 ، الرقم 650.</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 « إِنْ كَانَ أُتِيَ </w:t>
      </w:r>
      <w:r w:rsidRPr="00D10E3C">
        <w:rPr>
          <w:rStyle w:val="libFootnotenumChar"/>
          <w:rtl/>
        </w:rPr>
        <w:t>(1)</w:t>
      </w:r>
      <w:r>
        <w:rPr>
          <w:rtl/>
          <w:lang w:bidi="fa-IR"/>
        </w:rPr>
        <w:t xml:space="preserve"> عَلى </w:t>
      </w:r>
      <w:r w:rsidRPr="00D10E3C">
        <w:rPr>
          <w:rStyle w:val="libFootnotenumChar"/>
          <w:rtl/>
        </w:rPr>
        <w:t>(2)</w:t>
      </w:r>
      <w:r>
        <w:rPr>
          <w:rtl/>
          <w:lang w:bidi="fa-IR"/>
        </w:rPr>
        <w:t xml:space="preserve"> يَدَيْهِ </w:t>
      </w:r>
      <w:r w:rsidRPr="00D10E3C">
        <w:rPr>
          <w:rStyle w:val="libFootnotenumChar"/>
          <w:rtl/>
        </w:rPr>
        <w:t>(3)</w:t>
      </w:r>
      <w:r>
        <w:rPr>
          <w:rtl/>
          <w:lang w:bidi="fa-IR"/>
        </w:rPr>
        <w:t xml:space="preserve"> مِنْ غَيْرِ فَسَادٍ ، لَمْ يُؤَاخِذْهُ اللهُ </w:t>
      </w:r>
      <w:r w:rsidRPr="00D10E3C">
        <w:rPr>
          <w:rStyle w:val="libFootnotenumChar"/>
          <w:rtl/>
        </w:rPr>
        <w:t>(4)</w:t>
      </w:r>
      <w:r>
        <w:rPr>
          <w:rtl/>
          <w:lang w:bidi="fa-IR"/>
        </w:rPr>
        <w:t xml:space="preserve"> إِذَا عَلِمَ نِيَّتَهُ </w:t>
      </w:r>
      <w:r w:rsidRPr="00D10E3C">
        <w:rPr>
          <w:rStyle w:val="libFootnotenumChar"/>
          <w:rtl/>
        </w:rPr>
        <w:t>(5)</w:t>
      </w:r>
      <w:r>
        <w:rPr>
          <w:rtl/>
          <w:lang w:bidi="fa-IR"/>
        </w:rPr>
        <w:t xml:space="preserve"> لِلْأَدَاءِ </w:t>
      </w:r>
      <w:r w:rsidRPr="00D10E3C">
        <w:rPr>
          <w:rStyle w:val="libFootnotenumChar"/>
          <w:rtl/>
        </w:rPr>
        <w:t>(6)</w:t>
      </w:r>
      <w:r w:rsidR="001E6D69">
        <w:rPr>
          <w:rtl/>
          <w:lang w:bidi="fa-IR"/>
        </w:rPr>
        <w:t xml:space="preserve"> ، إِل</w:t>
      </w:r>
      <w:r w:rsidR="001E6D69">
        <w:rPr>
          <w:rFonts w:hint="cs"/>
          <w:rtl/>
          <w:lang w:bidi="fa-IR"/>
        </w:rPr>
        <w:t>َّ</w:t>
      </w:r>
      <w:r w:rsidR="001E6D69">
        <w:rPr>
          <w:rtl/>
          <w:lang w:bidi="fa-IR"/>
        </w:rPr>
        <w:t>ا</w:t>
      </w:r>
      <w:r>
        <w:rPr>
          <w:rtl/>
          <w:lang w:bidi="fa-IR"/>
        </w:rPr>
        <w:t xml:space="preserve"> مَنْ كَانَ لَايُرِيدُ أَنْ يُؤَدِّيَ عَنْ </w:t>
      </w:r>
      <w:r w:rsidRPr="00D10E3C">
        <w:rPr>
          <w:rStyle w:val="libFootnotenumChar"/>
          <w:rtl/>
        </w:rPr>
        <w:t>(7)</w:t>
      </w:r>
      <w:r>
        <w:rPr>
          <w:rtl/>
          <w:lang w:bidi="fa-IR"/>
        </w:rPr>
        <w:t xml:space="preserve"> أَمَانَتِهِ ، فَهُوَ بِمَنْزِلَةِ السَّارِقِ ؛ وَكَذلِكَ الزَّكَاةُ أَيْضاً ، وَكَذلِكَ مَنِ اسْتَحَلَّ أَنْ يَذْهَبَ بِمُهُورِ النِّسَاءِ ». </w:t>
      </w:r>
      <w:r w:rsidRPr="00D10E3C">
        <w:rPr>
          <w:rStyle w:val="libFootnotenumChar"/>
          <w:rtl/>
        </w:rPr>
        <w:t>(8)</w:t>
      </w:r>
    </w:p>
    <w:p w:rsidR="00144FA6" w:rsidRDefault="00744A1C" w:rsidP="00744A1C">
      <w:pPr>
        <w:pStyle w:val="libNormal"/>
        <w:rPr>
          <w:rtl/>
          <w:lang w:bidi="fa-IR"/>
        </w:rPr>
      </w:pPr>
      <w:r>
        <w:rPr>
          <w:rtl/>
          <w:lang w:bidi="fa-IR"/>
        </w:rPr>
        <w:t>8483 / 2. عَلِيُّ بْنُ مُحَمَّدٍ ، عَنْ صَالِحِ بْنِ أَبِي حَمَّادٍ ، عَنِ ابْنِ فَض</w:t>
      </w:r>
      <w:r w:rsidR="001E6D69">
        <w:rPr>
          <w:rtl/>
          <w:lang w:bidi="fa-IR"/>
        </w:rPr>
        <w:t>َّالٍ ، عَنْ بَعْضِ أَصْحَابِهِ</w:t>
      </w:r>
      <w:r>
        <w:rPr>
          <w:rtl/>
          <w:lang w:bidi="fa-IR"/>
        </w:rPr>
        <w:t>:</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اسْتَدَانَ دَيْناً ، فَلَمْ يَنْوِ </w:t>
      </w:r>
      <w:r w:rsidRPr="00D10E3C">
        <w:rPr>
          <w:rStyle w:val="libFootnotenumChar"/>
          <w:rtl/>
        </w:rPr>
        <w:t>(9)</w:t>
      </w:r>
      <w:r>
        <w:rPr>
          <w:rtl/>
          <w:lang w:bidi="fa-IR"/>
        </w:rPr>
        <w:t xml:space="preserve"> قَضَاءَهُ </w:t>
      </w:r>
      <w:r w:rsidRPr="00D10E3C">
        <w:rPr>
          <w:rStyle w:val="libFootnotenumChar"/>
          <w:rtl/>
        </w:rPr>
        <w:t>(10)</w:t>
      </w:r>
      <w:r>
        <w:rPr>
          <w:rtl/>
          <w:lang w:bidi="fa-IR"/>
        </w:rPr>
        <w:t xml:space="preserve"> ، كَانَ </w:t>
      </w:r>
      <w:r w:rsidRPr="00D10E3C">
        <w:rPr>
          <w:rStyle w:val="libFootnotenumChar"/>
          <w:rtl/>
        </w:rPr>
        <w:t>(11)</w:t>
      </w:r>
      <w:r>
        <w:rPr>
          <w:rtl/>
          <w:lang w:bidi="fa-IR"/>
        </w:rPr>
        <w:t xml:space="preserve"> بِمَنْزِلَةِ السَّارِقِ ». </w:t>
      </w:r>
      <w:r w:rsidRPr="00D10E3C">
        <w:rPr>
          <w:rStyle w:val="libFootnotenumChar"/>
          <w:rtl/>
        </w:rPr>
        <w:t>(12)</w:t>
      </w:r>
    </w:p>
    <w:p w:rsidR="00744A1C" w:rsidRDefault="00744A1C" w:rsidP="001E6D69">
      <w:pPr>
        <w:pStyle w:val="Heading2Center"/>
        <w:rPr>
          <w:lang w:bidi="fa-IR"/>
        </w:rPr>
      </w:pPr>
      <w:bookmarkStart w:id="147" w:name="_Toc49261445"/>
      <w:r>
        <w:rPr>
          <w:rtl/>
          <w:lang w:bidi="fa-IR"/>
        </w:rPr>
        <w:t xml:space="preserve">24 - بَابُ بَيْعِ </w:t>
      </w:r>
      <w:r w:rsidRPr="00D10E3C">
        <w:rPr>
          <w:rStyle w:val="libFootnotenumChar"/>
          <w:rtl/>
        </w:rPr>
        <w:t>(13)</w:t>
      </w:r>
      <w:r>
        <w:rPr>
          <w:rtl/>
          <w:lang w:bidi="fa-IR"/>
        </w:rPr>
        <w:t xml:space="preserve"> الدَّيْنِ بِالدَّيْنِ‌</w:t>
      </w:r>
      <w:bookmarkEnd w:id="147"/>
    </w:p>
    <w:p w:rsidR="00744A1C" w:rsidRDefault="00744A1C" w:rsidP="00744A1C">
      <w:pPr>
        <w:pStyle w:val="libNormal"/>
        <w:rPr>
          <w:lang w:bidi="fa-IR"/>
        </w:rPr>
      </w:pPr>
      <w:r>
        <w:rPr>
          <w:rtl/>
          <w:lang w:bidi="fa-IR"/>
        </w:rPr>
        <w:t>8484 / 1. مُحَمَّدُ بْنُ يَحْيى ، عَنْ أَحْمَدَ بْنِ مُحَمَّدٍ ، عَنِ ابْنِ مَحْبُوبٍ ، عَنْ إِبْرَاهِيمَ بْنِ‌</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1E6D69" w:rsidTr="001E6D69">
        <w:tc>
          <w:tcPr>
            <w:tcW w:w="4006" w:type="dxa"/>
          </w:tcPr>
          <w:p w:rsidR="001E6D69" w:rsidRDefault="001E6D69" w:rsidP="00D10E3C">
            <w:pPr>
              <w:pStyle w:val="libFootnote0"/>
              <w:rPr>
                <w:rtl/>
                <w:lang w:bidi="fa-IR"/>
              </w:rPr>
            </w:pPr>
            <w:r>
              <w:rPr>
                <w:rtl/>
                <w:lang w:bidi="fa-IR"/>
              </w:rPr>
              <w:t>(1). في « بف » : - « ا</w:t>
            </w:r>
            <w:r>
              <w:rPr>
                <w:rFonts w:hint="cs"/>
                <w:rtl/>
                <w:lang w:bidi="fa-IR"/>
              </w:rPr>
              <w:t>ُ</w:t>
            </w:r>
            <w:r>
              <w:rPr>
                <w:rtl/>
                <w:lang w:bidi="fa-IR"/>
              </w:rPr>
              <w:t>تي ».</w:t>
            </w:r>
          </w:p>
        </w:tc>
        <w:tc>
          <w:tcPr>
            <w:tcW w:w="4006" w:type="dxa"/>
          </w:tcPr>
          <w:p w:rsidR="001E6D69" w:rsidRDefault="001E6D69" w:rsidP="00D10E3C">
            <w:pPr>
              <w:pStyle w:val="libFootnote0"/>
              <w:rPr>
                <w:rtl/>
                <w:lang w:bidi="fa-IR"/>
              </w:rPr>
            </w:pPr>
            <w:r>
              <w:rPr>
                <w:rtl/>
                <w:lang w:bidi="fa-IR"/>
              </w:rPr>
              <w:t>(2). في « ى » : « عليه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1E6D69">
        <w:rPr>
          <w:rtl/>
        </w:rPr>
        <w:t>التهذيب</w:t>
      </w:r>
      <w:r w:rsidR="00744A1C">
        <w:rPr>
          <w:rtl/>
          <w:lang w:bidi="fa-IR"/>
        </w:rPr>
        <w:t xml:space="preserve"> : « على بدنه أنفقه » بدل « ا</w:t>
      </w:r>
      <w:r w:rsidR="001E6D69">
        <w:rPr>
          <w:rFonts w:hint="cs"/>
          <w:rtl/>
          <w:lang w:bidi="fa-IR"/>
        </w:rPr>
        <w:t>ُ</w:t>
      </w:r>
      <w:r w:rsidR="00744A1C">
        <w:rPr>
          <w:rtl/>
          <w:lang w:bidi="fa-IR"/>
        </w:rPr>
        <w:t xml:space="preserve">تي على يديه ». وفي </w:t>
      </w:r>
      <w:r w:rsidR="00744A1C" w:rsidRPr="00C24F9C">
        <w:rPr>
          <w:rStyle w:val="libFootnoteBoldChar"/>
          <w:rtl/>
        </w:rPr>
        <w:t>الوافي</w:t>
      </w:r>
      <w:r w:rsidR="00744A1C">
        <w:rPr>
          <w:rtl/>
          <w:lang w:bidi="fa-IR"/>
        </w:rPr>
        <w:t xml:space="preserve"> : « ا</w:t>
      </w:r>
      <w:r w:rsidR="001E6D69">
        <w:rPr>
          <w:rFonts w:hint="cs"/>
          <w:rtl/>
          <w:lang w:bidi="fa-IR"/>
        </w:rPr>
        <w:t>ُ</w:t>
      </w:r>
      <w:r w:rsidR="00744A1C">
        <w:rPr>
          <w:rtl/>
          <w:lang w:bidi="fa-IR"/>
        </w:rPr>
        <w:t>تي على يديه ، على البناء للمفعول ، أي هلك ونفد ».</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w:t>
      </w:r>
      <w:r w:rsidR="00744A1C" w:rsidRPr="001E6D69">
        <w:rPr>
          <w:rtl/>
        </w:rPr>
        <w:t>والوسائل والتهذيب</w:t>
      </w:r>
      <w:r w:rsidR="00744A1C">
        <w:rPr>
          <w:rtl/>
          <w:lang w:bidi="fa-IR"/>
        </w:rPr>
        <w:t>. وفي المطبوع : + « [ عليه ] ».</w:t>
      </w:r>
    </w:p>
    <w:p w:rsidR="00744A1C" w:rsidRDefault="00E378DD" w:rsidP="00E378DD">
      <w:pPr>
        <w:pStyle w:val="libFootnote0"/>
        <w:rPr>
          <w:lang w:bidi="fa-IR"/>
        </w:rPr>
      </w:pPr>
      <w:r>
        <w:rPr>
          <w:rtl/>
          <w:lang w:bidi="fa-IR"/>
        </w:rPr>
        <w:t>(5).</w:t>
      </w:r>
      <w:r w:rsidR="00744A1C">
        <w:rPr>
          <w:rtl/>
          <w:lang w:bidi="fa-IR"/>
        </w:rPr>
        <w:t xml:space="preserve"> هكذا في « ط ، ى ، بح ، بخ ، بس ، بف ، جت ، جد » </w:t>
      </w:r>
      <w:r w:rsidR="00744A1C" w:rsidRPr="001E6D69">
        <w:rPr>
          <w:rtl/>
        </w:rPr>
        <w:t>والوافي</w:t>
      </w:r>
      <w:r w:rsidR="00744A1C">
        <w:rPr>
          <w:rtl/>
          <w:lang w:bidi="fa-IR"/>
        </w:rPr>
        <w:t>. وفي المطبوع : « بنيّته ».</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1E6D69">
        <w:rPr>
          <w:rtl/>
        </w:rPr>
        <w:t>والوافي</w:t>
      </w:r>
      <w:r w:rsidR="00744A1C">
        <w:rPr>
          <w:rtl/>
          <w:lang w:bidi="fa-IR"/>
        </w:rPr>
        <w:t xml:space="preserve">. وفي المطبوع : « [ الأداء ] ». وفي </w:t>
      </w:r>
      <w:r w:rsidR="00744A1C" w:rsidRPr="001E6D69">
        <w:rPr>
          <w:rtl/>
        </w:rPr>
        <w:t>الوسائل</w:t>
      </w:r>
      <w:r w:rsidR="00744A1C">
        <w:rPr>
          <w:rtl/>
          <w:lang w:bidi="fa-IR"/>
        </w:rPr>
        <w:t xml:space="preserve"> : - « للأداء ».</w:t>
      </w:r>
    </w:p>
    <w:p w:rsidR="00744A1C" w:rsidRDefault="00E378DD" w:rsidP="00E378DD">
      <w:pPr>
        <w:pStyle w:val="libFootnote0"/>
        <w:rPr>
          <w:lang w:bidi="fa-IR"/>
        </w:rPr>
      </w:pPr>
      <w:r>
        <w:rPr>
          <w:rtl/>
          <w:lang w:bidi="fa-IR"/>
        </w:rPr>
        <w:t>(7).</w:t>
      </w:r>
      <w:r w:rsidR="00744A1C">
        <w:rPr>
          <w:rtl/>
          <w:lang w:bidi="fa-IR"/>
        </w:rPr>
        <w:t xml:space="preserve"> في « ط » : - « عن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191 ، ح 411 ، معلّقاً عن الكليني. </w:t>
      </w:r>
      <w:r w:rsidR="00744A1C" w:rsidRPr="0061079A">
        <w:rPr>
          <w:rStyle w:val="libFootnoteBoldChar"/>
          <w:rtl/>
        </w:rPr>
        <w:t>الكافي</w:t>
      </w:r>
      <w:r w:rsidR="00744A1C">
        <w:rPr>
          <w:rtl/>
          <w:lang w:bidi="fa-IR"/>
        </w:rPr>
        <w:t xml:space="preserve"> ، كتاب النكاح ، باب من يمهر المهر ولا ينوي قضاه ، ح 9663 ، بسند آخر ، وتمام الرواية فيه : « من أمهر مهراً ثمّ لا ينوي قضاءه ، كان بمنزلة السارق » </w:t>
      </w:r>
      <w:r w:rsidR="001E6D69">
        <w:rPr>
          <w:rFonts w:hint="cs"/>
          <w:rtl/>
          <w:lang w:bidi="fa-IR"/>
        </w:rPr>
        <w:t>.</w:t>
      </w:r>
      <w:r w:rsidR="00744A1C" w:rsidRPr="00C24F9C">
        <w:rPr>
          <w:rStyle w:val="libFootnoteBoldChar"/>
          <w:rtl/>
        </w:rPr>
        <w:t>الوافي</w:t>
      </w:r>
      <w:r w:rsidR="00744A1C">
        <w:rPr>
          <w:rtl/>
          <w:lang w:bidi="fa-IR"/>
        </w:rPr>
        <w:t xml:space="preserve"> ، ج 18 ، ص 787 ، ح 18295 ؛ </w:t>
      </w:r>
      <w:r w:rsidR="00744A1C" w:rsidRPr="00C24F9C">
        <w:rPr>
          <w:rStyle w:val="libFootnoteBoldChar"/>
          <w:rtl/>
        </w:rPr>
        <w:t>الوسائل</w:t>
      </w:r>
      <w:r w:rsidR="00744A1C">
        <w:rPr>
          <w:rtl/>
          <w:lang w:bidi="fa-IR"/>
        </w:rPr>
        <w:t xml:space="preserve"> ، ج 18 ، ص 327 ، ح 23778.</w:t>
      </w:r>
    </w:p>
    <w:p w:rsidR="00744A1C" w:rsidRDefault="00E378DD" w:rsidP="00E378DD">
      <w:pPr>
        <w:pStyle w:val="libFootnote0"/>
        <w:rPr>
          <w:lang w:bidi="fa-IR"/>
        </w:rPr>
      </w:pPr>
      <w:r>
        <w:rPr>
          <w:rtl/>
          <w:lang w:bidi="fa-IR"/>
        </w:rPr>
        <w:t>(9).</w:t>
      </w:r>
      <w:r w:rsidR="00744A1C">
        <w:rPr>
          <w:rtl/>
          <w:lang w:bidi="fa-IR"/>
        </w:rPr>
        <w:t xml:space="preserve"> في « بس » : « فلن ينو ».</w:t>
      </w:r>
    </w:p>
    <w:p w:rsidR="00744A1C" w:rsidRDefault="00E378DD" w:rsidP="00E378DD">
      <w:pPr>
        <w:pStyle w:val="libFootnote0"/>
        <w:rPr>
          <w:lang w:bidi="fa-IR"/>
        </w:rPr>
      </w:pPr>
      <w:r>
        <w:rPr>
          <w:rtl/>
          <w:lang w:bidi="fa-IR"/>
        </w:rPr>
        <w:t>(10).</w:t>
      </w:r>
      <w:r w:rsidR="00744A1C">
        <w:rPr>
          <w:rtl/>
          <w:lang w:bidi="fa-IR"/>
        </w:rPr>
        <w:t xml:space="preserve"> هكذا في « بخ ، بس » </w:t>
      </w:r>
      <w:r w:rsidR="00744A1C" w:rsidRPr="001E6D69">
        <w:rPr>
          <w:rtl/>
        </w:rPr>
        <w:t>والوافي والوسائل</w:t>
      </w:r>
      <w:r w:rsidR="00744A1C">
        <w:rPr>
          <w:rtl/>
          <w:lang w:bidi="fa-IR"/>
        </w:rPr>
        <w:t>. وفي سائر النسخ والمطبوع : « قضاه ».</w:t>
      </w:r>
    </w:p>
    <w:p w:rsidR="00744A1C" w:rsidRDefault="00E378DD" w:rsidP="00E378DD">
      <w:pPr>
        <w:pStyle w:val="libFootnote0"/>
        <w:rPr>
          <w:lang w:bidi="fa-IR"/>
        </w:rPr>
      </w:pPr>
      <w:r>
        <w:rPr>
          <w:rtl/>
          <w:lang w:bidi="fa-IR"/>
        </w:rPr>
        <w:t>(11).</w:t>
      </w:r>
      <w:r w:rsidR="00744A1C">
        <w:rPr>
          <w:rtl/>
          <w:lang w:bidi="fa-IR"/>
        </w:rPr>
        <w:t xml:space="preserve"> في « ى ، بح » وحاشية « جت ، جن » : « فهو ».</w:t>
      </w:r>
    </w:p>
    <w:p w:rsidR="00744A1C" w:rsidRDefault="00E378DD" w:rsidP="001E6D69">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10 ، ص 153 ، ح 611 ؛ </w:t>
      </w:r>
      <w:r w:rsidR="00744A1C" w:rsidRPr="001E6D69">
        <w:rPr>
          <w:rStyle w:val="libFootnoteBoldChar"/>
          <w:rtl/>
        </w:rPr>
        <w:t>والخصال</w:t>
      </w:r>
      <w:r w:rsidR="00744A1C">
        <w:rPr>
          <w:rtl/>
          <w:lang w:bidi="fa-IR"/>
        </w:rPr>
        <w:t xml:space="preserve"> ، ص 153 ، باب الثلاثة ، ح 190 ، بسند آخر ، مع زيادة في أوّله.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268 ، وفي كلّها مع اختلاف يسير </w:t>
      </w:r>
      <w:r w:rsidR="001E6D69">
        <w:rPr>
          <w:rFonts w:hint="cs"/>
          <w:rtl/>
          <w:lang w:bidi="fa-IR"/>
        </w:rPr>
        <w:t>.</w:t>
      </w:r>
      <w:r w:rsidR="00744A1C" w:rsidRPr="00C24F9C">
        <w:rPr>
          <w:rStyle w:val="libFootnoteBoldChar"/>
          <w:rtl/>
        </w:rPr>
        <w:t>الوافي</w:t>
      </w:r>
      <w:r w:rsidR="00744A1C">
        <w:rPr>
          <w:rtl/>
          <w:lang w:bidi="fa-IR"/>
        </w:rPr>
        <w:t xml:space="preserve"> ، ج 18 ، ص 787 ، ح 18294 ؛ </w:t>
      </w:r>
      <w:r w:rsidR="00744A1C" w:rsidRPr="00C24F9C">
        <w:rPr>
          <w:rStyle w:val="libFootnoteBoldChar"/>
          <w:rtl/>
        </w:rPr>
        <w:t>الوسائل</w:t>
      </w:r>
      <w:r w:rsidR="00744A1C">
        <w:rPr>
          <w:rtl/>
          <w:lang w:bidi="fa-IR"/>
        </w:rPr>
        <w:t xml:space="preserve"> ، ج 18 ، ص 328 ، ح 23779.</w:t>
      </w:r>
      <w:r w:rsidR="001E6D69">
        <w:rPr>
          <w:rFonts w:hint="cs"/>
          <w:rtl/>
          <w:lang w:bidi="fa-IR"/>
        </w:rPr>
        <w:t xml:space="preserve">   </w:t>
      </w:r>
      <w:r>
        <w:rPr>
          <w:rtl/>
          <w:lang w:bidi="fa-IR"/>
        </w:rPr>
        <w:t>(13).</w:t>
      </w:r>
      <w:r w:rsidR="00744A1C">
        <w:rPr>
          <w:rtl/>
          <w:lang w:bidi="fa-IR"/>
        </w:rPr>
        <w:t xml:space="preserve"> في « بخ ، جت » : + « الرجل ».</w:t>
      </w:r>
    </w:p>
    <w:p w:rsidR="006A5060" w:rsidRDefault="006A5060" w:rsidP="00D10E3C">
      <w:pPr>
        <w:pStyle w:val="libNormal"/>
        <w:rPr>
          <w:rtl/>
          <w:lang w:bidi="fa-IR"/>
        </w:rPr>
      </w:pPr>
      <w:r>
        <w:rPr>
          <w:rtl/>
          <w:lang w:bidi="fa-IR"/>
        </w:rPr>
        <w:br w:type="page"/>
      </w:r>
    </w:p>
    <w:p w:rsidR="00144FA6" w:rsidRDefault="00744A1C" w:rsidP="001E6D69">
      <w:pPr>
        <w:pStyle w:val="libNormal0"/>
        <w:rPr>
          <w:rtl/>
          <w:lang w:bidi="fa-IR"/>
        </w:rPr>
      </w:pPr>
      <w:r>
        <w:rPr>
          <w:rtl/>
          <w:lang w:bidi="fa-IR"/>
        </w:rPr>
        <w:t xml:space="preserve">مِهْزَمٍ ، عَنْ طَلْحَةَ بْنِ زَيْدٍ </w:t>
      </w:r>
      <w:r w:rsidRPr="00D10E3C">
        <w:rPr>
          <w:rStyle w:val="libFootnotenumChar"/>
          <w:rtl/>
        </w:rPr>
        <w:t>(1)</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17097C" w:rsidRPr="0017097C">
        <w:rPr>
          <w:rStyle w:val="libAlaemChar"/>
          <w:rtl/>
        </w:rPr>
        <w:t>صلى‌الله‌عليه‌وآله</w:t>
      </w:r>
      <w:r w:rsidR="00D10E3C">
        <w:rPr>
          <w:rtl/>
          <w:lang w:bidi="fa-IR"/>
        </w:rPr>
        <w:t xml:space="preserve"> </w:t>
      </w:r>
      <w:r>
        <w:rPr>
          <w:rtl/>
          <w:lang w:bidi="fa-IR"/>
        </w:rPr>
        <w:t xml:space="preserve"> : لَايُبَاعُ الدَّيْنُ بِالدَّيْنِ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8485 / 2. أَحْمَدُ بْنُ مُحَمَّدٍ </w:t>
      </w:r>
      <w:r w:rsidRPr="00D10E3C">
        <w:rPr>
          <w:rStyle w:val="libFootnotenumChar"/>
          <w:rtl/>
        </w:rPr>
        <w:t>(4)</w:t>
      </w:r>
      <w:r>
        <w:rPr>
          <w:rtl/>
          <w:lang w:bidi="fa-IR"/>
        </w:rPr>
        <w:t xml:space="preserve"> ، عَنِ الْحَسَنِ بْنِ عَلِيٍّ ، عَنْ مُحَمَّدِ بْنِ الْفُضَيْلِ ، عَنْ أَبِي حَمْزَةَ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2E6482">
        <w:rPr>
          <w:rtl/>
          <w:lang w:bidi="fa-IR"/>
        </w:rPr>
        <w:t xml:space="preserve"> هكذا في «ط ،ى ،</w:t>
      </w:r>
      <w:r w:rsidR="00744A1C">
        <w:rPr>
          <w:rtl/>
          <w:lang w:bidi="fa-IR"/>
        </w:rPr>
        <w:t xml:space="preserve">بح ، بخ ، بس ، بف ، جد ، جت ، جن » </w:t>
      </w:r>
      <w:r w:rsidR="00744A1C" w:rsidRPr="002E6482">
        <w:rPr>
          <w:rtl/>
        </w:rPr>
        <w:t>والوسائل</w:t>
      </w:r>
      <w:r w:rsidR="00744A1C">
        <w:rPr>
          <w:rtl/>
          <w:lang w:bidi="fa-IR"/>
        </w:rPr>
        <w:t>. وفي المطبوع : « طلحة بن يزيد ».</w:t>
      </w:r>
    </w:p>
    <w:p w:rsidR="00744A1C" w:rsidRDefault="00744A1C" w:rsidP="00D10E3C">
      <w:pPr>
        <w:pStyle w:val="libFootnote0"/>
        <w:rPr>
          <w:lang w:bidi="fa-IR"/>
        </w:rPr>
      </w:pPr>
      <w:r>
        <w:rPr>
          <w:rtl/>
          <w:lang w:bidi="fa-IR"/>
        </w:rPr>
        <w:t xml:space="preserve">وطلحة بن زيد هو أبو الخزرج الشامي ، روى عنه إبراهيم بن مهزم في بعض الأسناد. راجع : </w:t>
      </w:r>
      <w:r w:rsidRPr="003A7143">
        <w:rPr>
          <w:rStyle w:val="libFootnoteBoldChar"/>
          <w:rtl/>
        </w:rPr>
        <w:t>رجال النجاشي</w:t>
      </w:r>
      <w:r>
        <w:rPr>
          <w:rtl/>
          <w:lang w:bidi="fa-IR"/>
        </w:rPr>
        <w:t xml:space="preserve"> ، ص 207 ، الرقم 550 ؛ </w:t>
      </w:r>
      <w:r w:rsidRPr="0061079A">
        <w:rPr>
          <w:rStyle w:val="libFootnoteBoldChar"/>
          <w:rtl/>
        </w:rPr>
        <w:t>معجم رجال الحديث</w:t>
      </w:r>
      <w:r>
        <w:rPr>
          <w:rtl/>
          <w:lang w:bidi="fa-IR"/>
        </w:rPr>
        <w:t xml:space="preserve"> ، ج 1 ، ص 463 - 464.</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19 ، ص 52 : « قوله </w:t>
      </w:r>
      <w:r w:rsidR="0061079A" w:rsidRPr="0061079A">
        <w:rPr>
          <w:rStyle w:val="libFootnoteAlaemChar"/>
          <w:rtl/>
        </w:rPr>
        <w:t>عليه‌السلام</w:t>
      </w:r>
      <w:r w:rsidR="00D10E3C">
        <w:rPr>
          <w:rtl/>
          <w:lang w:bidi="fa-IR"/>
        </w:rPr>
        <w:t xml:space="preserve"> </w:t>
      </w:r>
      <w:r w:rsidR="00744A1C">
        <w:rPr>
          <w:rtl/>
          <w:lang w:bidi="fa-IR"/>
        </w:rPr>
        <w:t>: لا يباع الدين ، المشهور بين الأصحاب جواز بيع الدين بعد حلوله على الذي عليه وعلى غيره. ومنع ابن إدريس من بيعه على غير الغريم. وهو ضعيف. وجوّز في التذكرة بيعه قبل الحلول أيضاً. ثمّ إنّه لا خلاف مع الجواز أنّه يجوز بيعه بالعين وكذا بالمضمون الحالّ ، وإن اشترط تأجيله قيل : يبطل ؛ لأنّه بيع دين بدين. وقيل : يكره. وهو أشهر ».</w:t>
      </w:r>
    </w:p>
    <w:p w:rsidR="00744A1C" w:rsidRDefault="00744A1C" w:rsidP="00D10E3C">
      <w:pPr>
        <w:pStyle w:val="libFootnote0"/>
        <w:rPr>
          <w:lang w:bidi="fa-IR"/>
        </w:rPr>
      </w:pPr>
      <w:r>
        <w:rPr>
          <w:rtl/>
          <w:lang w:bidi="fa-IR"/>
        </w:rPr>
        <w:t xml:space="preserve">وقال المحقّق الشعراني في هامش </w:t>
      </w:r>
      <w:r w:rsidRPr="00C24F9C">
        <w:rPr>
          <w:rStyle w:val="libFootnoteBoldChar"/>
          <w:rtl/>
        </w:rPr>
        <w:t>الوافي</w:t>
      </w:r>
      <w:r>
        <w:rPr>
          <w:rtl/>
          <w:lang w:bidi="fa-IR"/>
        </w:rPr>
        <w:t xml:space="preserve"> : « قوله : لا يبايع الدَّين بالدَين ، المنصرف إليه إطلاق هذا الكلام أن يكون الدينان كلاهما دَيناً قبل البيع ، كأن يكون لزيد على عمرو عشرة دراهم ، ولبكر على خالد قفيز حنطة ، فيبايع بكر القفيز من الحنطة من زيد بعشرة دراهم التي له على عمرو ، ولكن يصحّ إطلاق بيع الدَين على ما يصير ديناً بعد البيع ، كأن يبيع حنطة بدراهم ، ويشترطا في الثمن والمثمن أجلاً. ولنا في ذلك كلامٌ سبق في قصد القربة في النيّة ، وأنّه لا يجب تحقّق متعلّقات الفعل وصدق أسمائها عليها قبل الفعل ، مثل : حفرت البئر ، وبنيت الجدار ، وخلق الله العالم ، وتصوّرت المعنى ، إلى غير ذلك.</w:t>
      </w:r>
    </w:p>
    <w:p w:rsidR="00744A1C" w:rsidRDefault="00744A1C" w:rsidP="00D10E3C">
      <w:pPr>
        <w:pStyle w:val="libFootnote0"/>
        <w:rPr>
          <w:lang w:bidi="fa-IR"/>
        </w:rPr>
      </w:pPr>
      <w:r>
        <w:rPr>
          <w:rtl/>
          <w:lang w:bidi="fa-IR"/>
        </w:rPr>
        <w:t>فعلى التعميم لا يجوز أن يكون التعهّد الحاصل من معاملة البيع مؤجّلاً من الطرفين ، بل ي</w:t>
      </w:r>
      <w:r w:rsidR="00EE6DCF">
        <w:rPr>
          <w:rtl/>
          <w:lang w:bidi="fa-IR"/>
        </w:rPr>
        <w:t>جب أن يحدث استحقاق المطالبة حال</w:t>
      </w:r>
      <w:r w:rsidR="00EE6DCF">
        <w:rPr>
          <w:rFonts w:hint="cs"/>
          <w:rtl/>
          <w:lang w:bidi="fa-IR"/>
        </w:rPr>
        <w:t>ّ</w:t>
      </w:r>
      <w:r>
        <w:rPr>
          <w:rtl/>
          <w:lang w:bidi="fa-IR"/>
        </w:rPr>
        <w:t>ا</w:t>
      </w:r>
      <w:r w:rsidR="00EE6DCF">
        <w:rPr>
          <w:rFonts w:hint="cs"/>
          <w:rtl/>
          <w:lang w:bidi="fa-IR"/>
        </w:rPr>
        <w:t>ً</w:t>
      </w:r>
      <w:r>
        <w:rPr>
          <w:rtl/>
          <w:lang w:bidi="fa-IR"/>
        </w:rPr>
        <w:t xml:space="preserve"> ولو من طرفٍ واحد. وهذا ضابط الجواز ،</w:t>
      </w:r>
      <w:r w:rsidR="00EE6DCF">
        <w:rPr>
          <w:rtl/>
          <w:lang w:bidi="fa-IR"/>
        </w:rPr>
        <w:t xml:space="preserve"> فلو كان الدين الثابت قبلاً حا</w:t>
      </w:r>
      <w:r w:rsidR="00EE6DCF">
        <w:rPr>
          <w:rFonts w:hint="cs"/>
          <w:rtl/>
          <w:lang w:bidi="fa-IR"/>
        </w:rPr>
        <w:t>لّ</w:t>
      </w:r>
      <w:r>
        <w:rPr>
          <w:rtl/>
          <w:lang w:bidi="fa-IR"/>
        </w:rPr>
        <w:t>ا</w:t>
      </w:r>
      <w:r w:rsidR="00EE6DCF">
        <w:rPr>
          <w:rFonts w:hint="cs"/>
          <w:rtl/>
          <w:lang w:bidi="fa-IR"/>
        </w:rPr>
        <w:t>ً</w:t>
      </w:r>
      <w:r>
        <w:rPr>
          <w:rtl/>
          <w:lang w:bidi="fa-IR"/>
        </w:rPr>
        <w:t xml:space="preserve"> قد بلغ أجلهُ ، جاز بيعه بثمن مؤجّل ؛ لأنّ الدين الحالّ خرج بحلوله عن الدين ، فكأنّ الأجل مأخوذ في مفهومه. والظاهر من الشهيد الثاني في الروضة جواز بيع الدين المؤجّل بالدين المؤجّل أيضاً ، وهو مخالف للمشهور ، والتفصيل في محلّه ». وراجع : </w:t>
      </w:r>
      <w:r w:rsidRPr="00877682">
        <w:rPr>
          <w:rStyle w:val="libFootnoteBoldChar"/>
          <w:rtl/>
        </w:rPr>
        <w:t>السرائر</w:t>
      </w:r>
      <w:r>
        <w:rPr>
          <w:rtl/>
          <w:lang w:bidi="fa-IR"/>
        </w:rPr>
        <w:t xml:space="preserve"> ، ج 2 ، ص 38 ؛ </w:t>
      </w:r>
      <w:r w:rsidRPr="00EE6DCF">
        <w:rPr>
          <w:rStyle w:val="libFootnoteBoldChar"/>
          <w:rtl/>
        </w:rPr>
        <w:t>تذكرة الفقهاء</w:t>
      </w:r>
      <w:r>
        <w:rPr>
          <w:rtl/>
          <w:lang w:bidi="fa-IR"/>
        </w:rPr>
        <w:t xml:space="preserve"> ، ج 13 ، ص 23 ، المسألة 22 ؛ </w:t>
      </w:r>
      <w:r w:rsidRPr="00EE6DCF">
        <w:rPr>
          <w:rStyle w:val="libFootnoteBoldChar"/>
          <w:rtl/>
        </w:rPr>
        <w:t>الروضة البهيّة</w:t>
      </w:r>
      <w:r>
        <w:rPr>
          <w:rtl/>
          <w:lang w:bidi="fa-IR"/>
        </w:rPr>
        <w:t xml:space="preserve"> ، ج 3 ، ص 433 ؛ وج 4 ، ص 20.</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119 ، ح 400 ، معلّقاً عن الحسن بن محبوب ، عن إبراهيم بن مهزم ، عن طلحة بن زيد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E45E68" w:rsidRPr="00EE6DCF">
        <w:rPr>
          <w:rStyle w:val="libFootnoteAlaemChar"/>
          <w:rtl/>
        </w:rPr>
        <w:t>صلى‌الله‌عليه‌وآله</w:t>
      </w:r>
      <w:r w:rsidR="00D10E3C">
        <w:rPr>
          <w:rtl/>
          <w:lang w:bidi="fa-IR"/>
        </w:rPr>
        <w:t xml:space="preserve"> </w:t>
      </w:r>
      <w:r w:rsidR="00EE6DCF">
        <w:rPr>
          <w:rFonts w:hint="cs"/>
          <w:rtl/>
          <w:lang w:bidi="fa-IR"/>
        </w:rPr>
        <w:t>.</w:t>
      </w:r>
      <w:r w:rsidR="00744A1C" w:rsidRPr="00C24F9C">
        <w:rPr>
          <w:rStyle w:val="libFootnoteBoldChar"/>
          <w:rtl/>
        </w:rPr>
        <w:t>الوافي</w:t>
      </w:r>
      <w:r w:rsidR="00744A1C">
        <w:rPr>
          <w:rtl/>
          <w:lang w:bidi="fa-IR"/>
        </w:rPr>
        <w:t xml:space="preserve"> ، ج 18 ، ص 727 ، ح 18183 ؛ </w:t>
      </w:r>
      <w:r w:rsidR="00744A1C" w:rsidRPr="00C24F9C">
        <w:rPr>
          <w:rStyle w:val="libFootnoteBoldChar"/>
          <w:rtl/>
        </w:rPr>
        <w:t>الوسائل</w:t>
      </w:r>
      <w:r w:rsidR="00744A1C">
        <w:rPr>
          <w:rtl/>
          <w:lang w:bidi="fa-IR"/>
        </w:rPr>
        <w:t xml:space="preserve"> ، ج 18 ، ص 298 ، ذيل ح 23709 ؛ وص 347 ، ح 23818.</w:t>
      </w:r>
    </w:p>
    <w:p w:rsidR="00744A1C" w:rsidRDefault="00E378DD" w:rsidP="00E378DD">
      <w:pPr>
        <w:pStyle w:val="libFootnote0"/>
        <w:rPr>
          <w:lang w:bidi="fa-IR"/>
        </w:rPr>
      </w:pPr>
      <w:r>
        <w:rPr>
          <w:rtl/>
          <w:lang w:bidi="fa-IR"/>
        </w:rPr>
        <w:t>(4).</w:t>
      </w:r>
      <w:r w:rsidR="00744A1C">
        <w:rPr>
          <w:rtl/>
          <w:lang w:bidi="fa-IR"/>
        </w:rPr>
        <w:t xml:space="preserve"> السند معلّق على سابقه. ويروي عن أحمد بن محمّد ، محمّد بن يحيى.</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سَأَلْتُ أَبَا جَعْفَرٍ </w:t>
      </w:r>
      <w:r w:rsidR="0061079A" w:rsidRPr="0061079A">
        <w:rPr>
          <w:rStyle w:val="libAlaemChar"/>
          <w:rtl/>
        </w:rPr>
        <w:t>عليه‌السلام</w:t>
      </w:r>
      <w:r w:rsidR="00D10E3C">
        <w:rPr>
          <w:rtl/>
          <w:lang w:bidi="fa-IR"/>
        </w:rPr>
        <w:t xml:space="preserve"> </w:t>
      </w:r>
      <w:r>
        <w:rPr>
          <w:rtl/>
          <w:lang w:bidi="fa-IR"/>
        </w:rPr>
        <w:t xml:space="preserve">عَنْ رَجُلٍ كَانَ لَهُ عَلى رَجُلٍ </w:t>
      </w:r>
      <w:r w:rsidRPr="00D10E3C">
        <w:rPr>
          <w:rStyle w:val="libFootnotenumChar"/>
          <w:rtl/>
        </w:rPr>
        <w:t>(1)</w:t>
      </w:r>
      <w:r>
        <w:rPr>
          <w:rtl/>
          <w:lang w:bidi="fa-IR"/>
        </w:rPr>
        <w:t xml:space="preserve"> دَيْنٌ ، فَجَاءَهُ رَجُلٌ ، فَاشْتَرَاهُ مِنْهُ بِعَرْضٍ ، ثُمَّ انْطَلَقَ إِلَى الَّذِي عَلَيْهِ الدَّيْنُ ، فَقَالَ لَهُ </w:t>
      </w:r>
      <w:r w:rsidRPr="00D10E3C">
        <w:rPr>
          <w:rStyle w:val="libFootnotenumChar"/>
          <w:rtl/>
        </w:rPr>
        <w:t>(2)</w:t>
      </w:r>
      <w:r>
        <w:rPr>
          <w:rtl/>
          <w:lang w:bidi="fa-IR"/>
        </w:rPr>
        <w:t xml:space="preserve"> : أَعْطِنِي مَا لِفُلَانٍ </w:t>
      </w:r>
      <w:r w:rsidRPr="00D10E3C">
        <w:rPr>
          <w:rStyle w:val="libFootnotenumChar"/>
          <w:rtl/>
        </w:rPr>
        <w:t>(3)</w:t>
      </w:r>
      <w:r>
        <w:rPr>
          <w:rtl/>
          <w:lang w:bidi="fa-IR"/>
        </w:rPr>
        <w:t xml:space="preserve"> عَلَيْكَ ، فَإِنِّي قَدِ اشْتَرَيْتُهُ مِنْهُ ، كَيْفَ يَكُونُ الْقَضَاءُ فِي ذلِكَ؟</w:t>
      </w:r>
    </w:p>
    <w:p w:rsidR="00144FA6" w:rsidRDefault="00744A1C" w:rsidP="00744A1C">
      <w:pPr>
        <w:pStyle w:val="libNormal"/>
        <w:rPr>
          <w:rtl/>
          <w:lang w:bidi="fa-IR"/>
        </w:rPr>
      </w:pPr>
      <w:r>
        <w:rPr>
          <w:rtl/>
          <w:lang w:bidi="fa-IR"/>
        </w:rPr>
        <w:t xml:space="preserve">فَقَالَ أَبُو جَعْفَرٍ </w:t>
      </w:r>
      <w:r w:rsidR="0061079A" w:rsidRPr="0061079A">
        <w:rPr>
          <w:rStyle w:val="libAlaemChar"/>
          <w:rtl/>
        </w:rPr>
        <w:t>عليه‌السلام</w:t>
      </w:r>
      <w:r w:rsidR="00D10E3C">
        <w:rPr>
          <w:rtl/>
          <w:lang w:bidi="fa-IR"/>
        </w:rPr>
        <w:t xml:space="preserve"> </w:t>
      </w:r>
      <w:r>
        <w:rPr>
          <w:rtl/>
          <w:lang w:bidi="fa-IR"/>
        </w:rPr>
        <w:t xml:space="preserve">: « يَرُدُّ عَلَيْهِ </w:t>
      </w:r>
      <w:r w:rsidRPr="00D10E3C">
        <w:rPr>
          <w:rStyle w:val="libFootnotenumChar"/>
          <w:rtl/>
        </w:rPr>
        <w:t>(4)</w:t>
      </w:r>
      <w:r>
        <w:rPr>
          <w:rtl/>
          <w:lang w:bidi="fa-IR"/>
        </w:rPr>
        <w:t xml:space="preserve"> الرَّجُلُ الَّذِي </w:t>
      </w:r>
      <w:r w:rsidRPr="00D10E3C">
        <w:rPr>
          <w:rStyle w:val="libFootnotenumChar"/>
          <w:rtl/>
        </w:rPr>
        <w:t>(5)</w:t>
      </w:r>
      <w:r>
        <w:rPr>
          <w:rtl/>
          <w:lang w:bidi="fa-IR"/>
        </w:rPr>
        <w:t xml:space="preserve"> عَلَيْهِ الدَّيْنُ </w:t>
      </w:r>
      <w:r w:rsidRPr="00D10E3C">
        <w:rPr>
          <w:rStyle w:val="libFootnotenumChar"/>
          <w:rtl/>
        </w:rPr>
        <w:t>(6)</w:t>
      </w:r>
      <w:r>
        <w:rPr>
          <w:rtl/>
          <w:lang w:bidi="fa-IR"/>
        </w:rPr>
        <w:t xml:space="preserve"> مَالَهُ الَّذِي اشْتَرَاهُ </w:t>
      </w:r>
      <w:r w:rsidRPr="00D10E3C">
        <w:rPr>
          <w:rStyle w:val="libFootnotenumChar"/>
          <w:rtl/>
        </w:rPr>
        <w:t>(7)</w:t>
      </w:r>
      <w:r>
        <w:rPr>
          <w:rtl/>
          <w:lang w:bidi="fa-IR"/>
        </w:rPr>
        <w:t xml:space="preserve"> بِهِ مِنَ الرَّجُلِ الَّذِي لَهُ </w:t>
      </w:r>
      <w:r w:rsidRPr="00D10E3C">
        <w:rPr>
          <w:rStyle w:val="libFootnotenumChar"/>
          <w:rtl/>
        </w:rPr>
        <w:t>(8)</w:t>
      </w:r>
      <w:r>
        <w:rPr>
          <w:rtl/>
          <w:lang w:bidi="fa-IR"/>
        </w:rPr>
        <w:t xml:space="preserve"> الدَّيْنُ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w:t>
      </w:r>
      <w:r w:rsidR="00744A1C" w:rsidRPr="00EE6DCF">
        <w:rPr>
          <w:rtl/>
        </w:rPr>
        <w:t>والوافي</w:t>
      </w:r>
      <w:r w:rsidR="00744A1C">
        <w:rPr>
          <w:rtl/>
          <w:lang w:bidi="fa-IR"/>
        </w:rPr>
        <w:t xml:space="preserve"> : « كان لرجل عليه » بدل « كان له على رجل ».</w:t>
      </w:r>
    </w:p>
    <w:p w:rsidR="00744A1C" w:rsidRDefault="00E378DD" w:rsidP="00E378DD">
      <w:pPr>
        <w:pStyle w:val="libFootnote0"/>
        <w:rPr>
          <w:lang w:bidi="fa-IR"/>
        </w:rPr>
      </w:pPr>
      <w:r>
        <w:rPr>
          <w:rtl/>
          <w:lang w:bidi="fa-IR"/>
        </w:rPr>
        <w:t>(2).</w:t>
      </w:r>
      <w:r w:rsidR="00744A1C">
        <w:rPr>
          <w:rtl/>
          <w:lang w:bidi="fa-IR"/>
        </w:rPr>
        <w:t xml:space="preserve"> في « جت » : - « له ».</w:t>
      </w:r>
    </w:p>
    <w:p w:rsidR="00744A1C" w:rsidRDefault="00E378DD" w:rsidP="00E378DD">
      <w:pPr>
        <w:pStyle w:val="libFootnote0"/>
        <w:rPr>
          <w:lang w:bidi="fa-IR"/>
        </w:rPr>
      </w:pPr>
      <w:r>
        <w:rPr>
          <w:rtl/>
          <w:lang w:bidi="fa-IR"/>
        </w:rPr>
        <w:t>(3).</w:t>
      </w:r>
      <w:r w:rsidR="00744A1C">
        <w:rPr>
          <w:rtl/>
          <w:lang w:bidi="fa-IR"/>
        </w:rPr>
        <w:t xml:space="preserve"> في « بس ، جد ، جن » : « مال فلان ».</w:t>
      </w:r>
    </w:p>
    <w:tbl>
      <w:tblPr>
        <w:tblStyle w:val="TableGrid"/>
        <w:bidiVisual/>
        <w:tblW w:w="0" w:type="auto"/>
        <w:tblLook w:val="04A0" w:firstRow="1" w:lastRow="0" w:firstColumn="1" w:lastColumn="0" w:noHBand="0" w:noVBand="1"/>
      </w:tblPr>
      <w:tblGrid>
        <w:gridCol w:w="4006"/>
        <w:gridCol w:w="4006"/>
      </w:tblGrid>
      <w:tr w:rsidR="00EE6DCF" w:rsidTr="00EE6DCF">
        <w:tc>
          <w:tcPr>
            <w:tcW w:w="4006" w:type="dxa"/>
          </w:tcPr>
          <w:p w:rsidR="00EE6DCF" w:rsidRDefault="00EE6DCF" w:rsidP="00E378DD">
            <w:pPr>
              <w:pStyle w:val="libFootnote0"/>
              <w:rPr>
                <w:rtl/>
                <w:lang w:bidi="fa-IR"/>
              </w:rPr>
            </w:pPr>
            <w:r>
              <w:rPr>
                <w:rtl/>
                <w:lang w:bidi="fa-IR"/>
              </w:rPr>
              <w:t xml:space="preserve">(4). في </w:t>
            </w:r>
            <w:r w:rsidRPr="00EE6DCF">
              <w:rPr>
                <w:rtl/>
              </w:rPr>
              <w:t>الوسائل</w:t>
            </w:r>
            <w:r>
              <w:rPr>
                <w:rtl/>
                <w:lang w:bidi="fa-IR"/>
              </w:rPr>
              <w:t xml:space="preserve"> : - « عليه ».</w:t>
            </w:r>
          </w:p>
        </w:tc>
        <w:tc>
          <w:tcPr>
            <w:tcW w:w="4006" w:type="dxa"/>
          </w:tcPr>
          <w:p w:rsidR="00EE6DCF" w:rsidRDefault="00EE6DCF" w:rsidP="00E378DD">
            <w:pPr>
              <w:pStyle w:val="libFootnote0"/>
              <w:rPr>
                <w:rtl/>
                <w:lang w:bidi="fa-IR"/>
              </w:rPr>
            </w:pPr>
            <w:r>
              <w:rPr>
                <w:rtl/>
                <w:lang w:bidi="fa-IR"/>
              </w:rPr>
              <w:t>(5). في « ط » : - « الذي ».</w:t>
            </w:r>
          </w:p>
        </w:tc>
      </w:tr>
    </w:tbl>
    <w:p w:rsidR="00744A1C" w:rsidRDefault="00E378DD" w:rsidP="00E378DD">
      <w:pPr>
        <w:pStyle w:val="libFootnote0"/>
        <w:rPr>
          <w:lang w:bidi="fa-IR"/>
        </w:rPr>
      </w:pPr>
      <w:r>
        <w:rPr>
          <w:rtl/>
          <w:lang w:bidi="fa-IR"/>
        </w:rPr>
        <w:t>(6).</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يردّ عليه الرجل الذي عليه الدين ، عمل بهذا الحديث الشيخ </w:t>
      </w:r>
      <w:r w:rsidR="00877682" w:rsidRPr="00877682">
        <w:rPr>
          <w:rStyle w:val="libFootnoteAlaemChar"/>
          <w:rtl/>
        </w:rPr>
        <w:t>رحمه‌الله</w:t>
      </w:r>
      <w:r w:rsidR="00744A1C">
        <w:rPr>
          <w:rtl/>
          <w:lang w:bidi="fa-IR"/>
        </w:rPr>
        <w:t>، واعترض ع</w:t>
      </w:r>
      <w:r w:rsidR="00EE6DCF">
        <w:rPr>
          <w:rtl/>
          <w:lang w:bidi="fa-IR"/>
        </w:rPr>
        <w:t>ليه ابن إدريس ، وأجاب عنه العل</w:t>
      </w:r>
      <w:r w:rsidR="00EE6DCF">
        <w:rPr>
          <w:rFonts w:hint="cs"/>
          <w:rtl/>
          <w:lang w:bidi="fa-IR"/>
        </w:rPr>
        <w:t>ّ</w:t>
      </w:r>
      <w:r w:rsidR="00EE6DCF">
        <w:rPr>
          <w:rtl/>
          <w:lang w:bidi="fa-IR"/>
        </w:rPr>
        <w:t>ا</w:t>
      </w:r>
      <w:r w:rsidR="00744A1C">
        <w:rPr>
          <w:rtl/>
          <w:lang w:bidi="fa-IR"/>
        </w:rPr>
        <w:t xml:space="preserve">مة في </w:t>
      </w:r>
      <w:r w:rsidR="00744A1C" w:rsidRPr="00EE6DCF">
        <w:rPr>
          <w:rStyle w:val="libFootnoteBoldChar"/>
          <w:rtl/>
        </w:rPr>
        <w:t>المختلف</w:t>
      </w:r>
      <w:r w:rsidR="00744A1C">
        <w:rPr>
          <w:rtl/>
          <w:lang w:bidi="fa-IR"/>
        </w:rPr>
        <w:t xml:space="preserve"> ، وتأوّل الحديث وكلام الشيخ بما هو خارج عن مقصودنا ، وقالوا : إنّ الحديثين ضعيفان مخالفان للقاعدة ، وإن فرض صحّة البيع وجب على المديون ردّ جميع الدين إلى المشتري ، لا ردّ المقدار الذي دفعه ، المشتري إلى الدائن ، أو قيمتهُ ، نعم إن كان البيع فاسداً لم </w:t>
      </w:r>
      <w:r w:rsidR="00EE6DCF">
        <w:rPr>
          <w:rtl/>
          <w:lang w:bidi="fa-IR"/>
        </w:rPr>
        <w:t>يكن عليه إل</w:t>
      </w:r>
      <w:r w:rsidR="00EE6DCF">
        <w:rPr>
          <w:rFonts w:hint="cs"/>
          <w:rtl/>
          <w:lang w:bidi="fa-IR"/>
        </w:rPr>
        <w:t>ّ</w:t>
      </w:r>
      <w:r w:rsidR="00EE6DCF">
        <w:rPr>
          <w:rtl/>
          <w:lang w:bidi="fa-IR"/>
        </w:rPr>
        <w:t>ا</w:t>
      </w:r>
      <w:r w:rsidR="00EE6DCF">
        <w:rPr>
          <w:rFonts w:hint="cs"/>
          <w:rtl/>
          <w:lang w:bidi="fa-IR"/>
        </w:rPr>
        <w:t xml:space="preserve"> </w:t>
      </w:r>
      <w:r w:rsidR="00744A1C">
        <w:rPr>
          <w:rtl/>
          <w:lang w:bidi="fa-IR"/>
        </w:rPr>
        <w:t>ردّ ما دفعه ، ويثبت الباقي في ذمّته إلى أن يؤدّيه إلى الدائن. مثال ذلك أنّ زيداً كان له على عمرو عشرة دراهم ، فجاء بكر إلى زيد وقال له : أنا ا</w:t>
      </w:r>
      <w:r w:rsidR="00EE6DCF">
        <w:rPr>
          <w:rFonts w:hint="cs"/>
          <w:rtl/>
          <w:lang w:bidi="fa-IR"/>
        </w:rPr>
        <w:t>ُ</w:t>
      </w:r>
      <w:r w:rsidR="00744A1C">
        <w:rPr>
          <w:rtl/>
          <w:lang w:bidi="fa-IR"/>
        </w:rPr>
        <w:t>عطيك خمسة دراهم أو ش</w:t>
      </w:r>
      <w:r w:rsidR="00EE6DCF">
        <w:rPr>
          <w:rtl/>
          <w:lang w:bidi="fa-IR"/>
        </w:rPr>
        <w:t>يئاً يسوى قيمتهُ خمسة دراهم حال</w:t>
      </w:r>
      <w:r w:rsidR="00EE6DCF">
        <w:rPr>
          <w:rFonts w:hint="cs"/>
          <w:rtl/>
          <w:lang w:bidi="fa-IR"/>
        </w:rPr>
        <w:t>ّ</w:t>
      </w:r>
      <w:r w:rsidR="00744A1C">
        <w:rPr>
          <w:rtl/>
          <w:lang w:bidi="fa-IR"/>
        </w:rPr>
        <w:t>ا</w:t>
      </w:r>
      <w:r w:rsidR="00EE6DCF">
        <w:rPr>
          <w:rFonts w:hint="cs"/>
          <w:rtl/>
          <w:lang w:bidi="fa-IR"/>
        </w:rPr>
        <w:t>ً</w:t>
      </w:r>
      <w:r w:rsidR="00744A1C">
        <w:rPr>
          <w:rtl/>
          <w:lang w:bidi="fa-IR"/>
        </w:rPr>
        <w:t xml:space="preserve"> على أن تعطيني تلك العشرة التي لك على عمرو ، فيعطي خمسة دراهم نقداً لزيد ويأخذ عشرة دراهم مؤجّلاً من عمرو ، وهذا رباً صريح إن وقع العقد على خمسة دراهم ، وحيلة للتخلّص إن وقع على شي‌ء يساوي خمسة.</w:t>
      </w:r>
    </w:p>
    <w:p w:rsidR="00744A1C" w:rsidRDefault="00744A1C" w:rsidP="00D10E3C">
      <w:pPr>
        <w:pStyle w:val="libFootnote0"/>
        <w:rPr>
          <w:lang w:bidi="fa-IR"/>
        </w:rPr>
      </w:pPr>
      <w:r>
        <w:rPr>
          <w:rtl/>
          <w:lang w:bidi="fa-IR"/>
        </w:rPr>
        <w:t>وقد ورد في أمثل هذه الحيل بطلان</w:t>
      </w:r>
      <w:r w:rsidR="00EE6DCF">
        <w:rPr>
          <w:rtl/>
          <w:lang w:bidi="fa-IR"/>
        </w:rPr>
        <w:t xml:space="preserve"> المعاملة إن عرف عدم قصدهما إل</w:t>
      </w:r>
      <w:r w:rsidR="00EE6DCF">
        <w:rPr>
          <w:rFonts w:hint="cs"/>
          <w:rtl/>
          <w:lang w:bidi="fa-IR"/>
        </w:rPr>
        <w:t>ّ</w:t>
      </w:r>
      <w:r w:rsidR="00EE6DCF">
        <w:rPr>
          <w:rtl/>
          <w:lang w:bidi="fa-IR"/>
        </w:rPr>
        <w:t>ا</w:t>
      </w:r>
      <w:r>
        <w:rPr>
          <w:rtl/>
          <w:lang w:bidi="fa-IR"/>
        </w:rPr>
        <w:t xml:space="preserve"> الرّبا ، كما سبق ، ولا يفيد ذكر العرض إن لم يكن مقصوداً في البيع ، فيكون حاصل جواب الإمام </w:t>
      </w:r>
      <w:r w:rsidR="0061079A" w:rsidRPr="0061079A">
        <w:rPr>
          <w:rStyle w:val="libFootnoteAlaemChar"/>
          <w:rtl/>
        </w:rPr>
        <w:t>عليه‌السلام</w:t>
      </w:r>
      <w:r w:rsidR="00D10E3C">
        <w:rPr>
          <w:rtl/>
          <w:lang w:bidi="fa-IR"/>
        </w:rPr>
        <w:t xml:space="preserve"> </w:t>
      </w:r>
      <w:r>
        <w:rPr>
          <w:rtl/>
          <w:lang w:bidi="fa-IR"/>
        </w:rPr>
        <w:t>بطلان هذه المعاملة ، ويلزمه أن لا يثبت على ذمّة عمرو لبكر شي‌ء أصلاً ، وإنّما يدفع إليه حوالة من زيد خمسة دراهم التي دفعها إلى الدائن ؛ لأنّه لم يدفعها شرعاً ، لا أنّها ثابتة له في ذمّة عمرو وإنْ لم يرض ، فالعشرة كلّها ثابتة لزيد على عمرو وأحال بكراً عليه ، وتصحّ هذه الحوالة في المقدار الذي يستحقّ بكر على زيد ، وهو</w:t>
      </w:r>
      <w:r w:rsidR="00EE6DCF">
        <w:rPr>
          <w:rtl/>
          <w:lang w:bidi="fa-IR"/>
        </w:rPr>
        <w:t xml:space="preserve"> الخمسة التي دفعها ، وحمل العل</w:t>
      </w:r>
      <w:r w:rsidR="00EE6DCF">
        <w:rPr>
          <w:rFonts w:hint="cs"/>
          <w:rtl/>
          <w:lang w:bidi="fa-IR"/>
        </w:rPr>
        <w:t>ّ</w:t>
      </w:r>
      <w:r w:rsidR="00EE6DCF">
        <w:rPr>
          <w:rtl/>
          <w:lang w:bidi="fa-IR"/>
        </w:rPr>
        <w:t>ا</w:t>
      </w:r>
      <w:r>
        <w:rPr>
          <w:rtl/>
          <w:lang w:bidi="fa-IR"/>
        </w:rPr>
        <w:t xml:space="preserve">مة وغيره على الضمان لا البيع ». وراجع : </w:t>
      </w:r>
      <w:r w:rsidRPr="00877682">
        <w:rPr>
          <w:rStyle w:val="libFootnoteBoldChar"/>
          <w:rtl/>
        </w:rPr>
        <w:t>مختلف الشيعة</w:t>
      </w:r>
      <w:r>
        <w:rPr>
          <w:rtl/>
          <w:lang w:bidi="fa-IR"/>
        </w:rPr>
        <w:t xml:space="preserve"> ، ج 5 ، ص 373.</w:t>
      </w:r>
    </w:p>
    <w:p w:rsidR="00744A1C" w:rsidRDefault="00E378DD" w:rsidP="00E378DD">
      <w:pPr>
        <w:pStyle w:val="libFootnote0"/>
        <w:rPr>
          <w:lang w:bidi="fa-IR"/>
        </w:rPr>
      </w:pPr>
      <w:r>
        <w:rPr>
          <w:rtl/>
          <w:lang w:bidi="fa-IR"/>
        </w:rPr>
        <w:t>(7).</w:t>
      </w:r>
      <w:r w:rsidR="00744A1C">
        <w:rPr>
          <w:rtl/>
          <w:lang w:bidi="fa-IR"/>
        </w:rPr>
        <w:t xml:space="preserve"> في « بح ، بخ ، بف ، جت ، جد » : « اشترى ».</w:t>
      </w:r>
    </w:p>
    <w:p w:rsidR="00744A1C" w:rsidRDefault="00E378DD" w:rsidP="00E378DD">
      <w:pPr>
        <w:pStyle w:val="libFootnote0"/>
        <w:rPr>
          <w:lang w:bidi="fa-IR"/>
        </w:rPr>
      </w:pPr>
      <w:r>
        <w:rPr>
          <w:rtl/>
          <w:lang w:bidi="fa-IR"/>
        </w:rPr>
        <w:t>(8).</w:t>
      </w:r>
      <w:r w:rsidR="00744A1C">
        <w:rPr>
          <w:rtl/>
          <w:lang w:bidi="fa-IR"/>
        </w:rPr>
        <w:t xml:space="preserve"> في « ط ، ى » : « عليه ». وفي « بخ ، بف » </w:t>
      </w:r>
      <w:r w:rsidR="00744A1C" w:rsidRPr="00EE6DCF">
        <w:rPr>
          <w:rtl/>
        </w:rPr>
        <w:t>والوافي والتهذيب</w:t>
      </w:r>
      <w:r w:rsidR="00744A1C">
        <w:rPr>
          <w:rtl/>
          <w:lang w:bidi="fa-IR"/>
        </w:rPr>
        <w:t xml:space="preserve"> : + « عليه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189 ، ح 401 ، معلّقاً عن أحمد بن محمّد بن عيسى </w:t>
      </w:r>
      <w:r w:rsidR="00EE6DCF">
        <w:rPr>
          <w:rFonts w:hint="cs"/>
          <w:rtl/>
          <w:lang w:bidi="fa-IR"/>
        </w:rPr>
        <w:t>.</w:t>
      </w:r>
      <w:r w:rsidR="00744A1C" w:rsidRPr="00C24F9C">
        <w:rPr>
          <w:rStyle w:val="libFootnoteBoldChar"/>
          <w:rtl/>
        </w:rPr>
        <w:t>الوافي</w:t>
      </w:r>
      <w:r w:rsidR="00744A1C">
        <w:rPr>
          <w:rtl/>
          <w:lang w:bidi="fa-IR"/>
        </w:rPr>
        <w:t xml:space="preserve"> ، ج 18 ، ص 728 ، ح 18184 ؛ </w:t>
      </w:r>
      <w:r w:rsidR="00744A1C" w:rsidRPr="00C24F9C">
        <w:rPr>
          <w:rStyle w:val="libFootnoteBoldChar"/>
          <w:rtl/>
        </w:rPr>
        <w:t>الوسائل</w:t>
      </w:r>
      <w:r w:rsidR="00744A1C">
        <w:rPr>
          <w:rtl/>
          <w:lang w:bidi="fa-IR"/>
        </w:rPr>
        <w:t xml:space="preserve"> ، ج 18 ، ص 347 ، ح 23819.</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8486 / 3. مُحَمَّدُ بْنُ يَحْيى وَغَيْرُهُ ، عَنْ مُحَمَّدِ بْنِ أَحْمَدَ ، عَنْ مُحَمَّدِ بْنِ عِيسى ، عَنْ مُحَمَّدِ بْنِ الْفُضَيْلِ ، قَالَ :</w:t>
      </w:r>
    </w:p>
    <w:p w:rsidR="00744A1C" w:rsidRDefault="00744A1C" w:rsidP="00744A1C">
      <w:pPr>
        <w:pStyle w:val="libNormal"/>
        <w:rPr>
          <w:lang w:bidi="fa-IR"/>
        </w:rPr>
      </w:pPr>
      <w:r>
        <w:rPr>
          <w:rtl/>
          <w:lang w:bidi="fa-IR"/>
        </w:rPr>
        <w:t xml:space="preserve">قُلْتُ لِلرِّضَا </w:t>
      </w:r>
      <w:r w:rsidR="0061079A" w:rsidRPr="0061079A">
        <w:rPr>
          <w:rStyle w:val="libAlaemChar"/>
          <w:rtl/>
        </w:rPr>
        <w:t>عليه‌السلام</w:t>
      </w:r>
      <w:r w:rsidR="00D10E3C">
        <w:rPr>
          <w:rtl/>
          <w:lang w:bidi="fa-IR"/>
        </w:rPr>
        <w:t xml:space="preserve"> </w:t>
      </w:r>
      <w:r>
        <w:rPr>
          <w:rtl/>
          <w:lang w:bidi="fa-IR"/>
        </w:rPr>
        <w:t xml:space="preserve">: رَجُلٌ اشْتَرى دَيْناً عَلى رَجُلٍ ، ثُمَّ ذَهَبَ إِلى صَاحِبِ الدَّيْنِ ، فَقَالَ لَهُ : ادْفَعْ إِلَيَّ </w:t>
      </w:r>
      <w:r w:rsidRPr="00D10E3C">
        <w:rPr>
          <w:rStyle w:val="libFootnotenumChar"/>
          <w:rtl/>
        </w:rPr>
        <w:t>(1)</w:t>
      </w:r>
      <w:r>
        <w:rPr>
          <w:rtl/>
          <w:lang w:bidi="fa-IR"/>
        </w:rPr>
        <w:t xml:space="preserve"> مَا لِفُلَانٍ </w:t>
      </w:r>
      <w:r w:rsidRPr="00D10E3C">
        <w:rPr>
          <w:rStyle w:val="libFootnotenumChar"/>
          <w:rtl/>
        </w:rPr>
        <w:t>(2)</w:t>
      </w:r>
      <w:r>
        <w:rPr>
          <w:rtl/>
          <w:lang w:bidi="fa-IR"/>
        </w:rPr>
        <w:t xml:space="preserve"> عَلَيْكَ ، فَقَدِ اشْتَرَيْتُهُ مِنْهُ.</w:t>
      </w:r>
    </w:p>
    <w:p w:rsidR="00144FA6" w:rsidRDefault="00744A1C" w:rsidP="00744A1C">
      <w:pPr>
        <w:pStyle w:val="libNormal"/>
        <w:rPr>
          <w:rtl/>
          <w:lang w:bidi="fa-IR"/>
        </w:rPr>
      </w:pPr>
      <w:r>
        <w:rPr>
          <w:rtl/>
          <w:lang w:bidi="fa-IR"/>
        </w:rPr>
        <w:t xml:space="preserve">قَالَ : « يَدْفَعُ إِلَيْهِ قِيمَةَ مَا دَفَعَ إِلى صَاحِبِ الدَّيْنِ ، وَبَرِئَ </w:t>
      </w:r>
      <w:r w:rsidRPr="00D10E3C">
        <w:rPr>
          <w:rStyle w:val="libFootnotenumChar"/>
          <w:rtl/>
        </w:rPr>
        <w:t>(3)</w:t>
      </w:r>
      <w:r>
        <w:rPr>
          <w:rtl/>
          <w:lang w:bidi="fa-IR"/>
        </w:rPr>
        <w:t xml:space="preserve"> الَّذِي عَلَيْهِ الْمَالُ مِنْ جَمِيعِ مَا بَقِيَ عَلَيْهِ </w:t>
      </w:r>
      <w:r w:rsidRPr="00D10E3C">
        <w:rPr>
          <w:rStyle w:val="libFootnotenumChar"/>
          <w:rtl/>
        </w:rPr>
        <w:t>(4)</w:t>
      </w:r>
      <w:r>
        <w:rPr>
          <w:rtl/>
          <w:lang w:bidi="fa-IR"/>
        </w:rPr>
        <w:t xml:space="preserve"> ». </w:t>
      </w:r>
      <w:r w:rsidRPr="00D10E3C">
        <w:rPr>
          <w:rStyle w:val="libFootnotenumChar"/>
          <w:rtl/>
        </w:rPr>
        <w:t>(5)</w:t>
      </w:r>
    </w:p>
    <w:p w:rsidR="00144FA6" w:rsidRDefault="00744A1C" w:rsidP="00EC4592">
      <w:pPr>
        <w:pStyle w:val="Heading2Center"/>
        <w:rPr>
          <w:rtl/>
          <w:lang w:bidi="fa-IR"/>
        </w:rPr>
      </w:pPr>
      <w:bookmarkStart w:id="148" w:name="_Toc49261446"/>
      <w:r>
        <w:rPr>
          <w:rtl/>
          <w:lang w:bidi="fa-IR"/>
        </w:rPr>
        <w:t xml:space="preserve">25 - بَابٌ فِي آدَابِ اقْتِضَاءِ الدَّيْنِ </w:t>
      </w:r>
      <w:r w:rsidRPr="00D10E3C">
        <w:rPr>
          <w:rStyle w:val="libFootnotenumChar"/>
          <w:rtl/>
        </w:rPr>
        <w:t>(6)</w:t>
      </w:r>
      <w:bookmarkEnd w:id="148"/>
    </w:p>
    <w:p w:rsidR="00144FA6" w:rsidRDefault="00744A1C" w:rsidP="00744A1C">
      <w:pPr>
        <w:pStyle w:val="libNormal"/>
        <w:rPr>
          <w:rtl/>
          <w:lang w:bidi="fa-IR"/>
        </w:rPr>
      </w:pPr>
      <w:r>
        <w:rPr>
          <w:rtl/>
          <w:lang w:bidi="fa-IR"/>
        </w:rPr>
        <w:t>8487 / 1. الْحُسَيْنُ بْنُ مُحَمَّدٍ ، عَنْ مُعَلَّى بْنِ مُحَمَّدٍ ، عَنِ الْحَسَنِ بْنِ عَلِيٍّ ، عَنْ حَمَّادِ بْنِ عُثْمَانَ ، قَالَ :</w:t>
      </w:r>
    </w:p>
    <w:p w:rsidR="00744A1C" w:rsidRDefault="00744A1C" w:rsidP="00744A1C">
      <w:pPr>
        <w:pStyle w:val="libNormal"/>
        <w:rPr>
          <w:lang w:bidi="fa-IR"/>
        </w:rPr>
      </w:pPr>
      <w:r>
        <w:rPr>
          <w:rtl/>
          <w:lang w:bidi="fa-IR"/>
        </w:rPr>
        <w:t xml:space="preserve">دَخَلَ رَجُلٌ عَلى أَبِي عَبْدِ اللهِ </w:t>
      </w:r>
      <w:r w:rsidR="0061079A" w:rsidRPr="0061079A">
        <w:rPr>
          <w:rStyle w:val="libAlaemChar"/>
          <w:rtl/>
        </w:rPr>
        <w:t>عليه‌السلام</w:t>
      </w:r>
      <w:r w:rsidR="00D10E3C">
        <w:rPr>
          <w:rtl/>
          <w:lang w:bidi="fa-IR"/>
        </w:rPr>
        <w:t xml:space="preserve"> </w:t>
      </w:r>
      <w:r>
        <w:rPr>
          <w:rtl/>
          <w:lang w:bidi="fa-IR"/>
        </w:rPr>
        <w:t xml:space="preserve">، فَشَكَا إِلَيْهِ رَجُلاً مِنْ أَصْحَابِهِ ، فَلَمْ يَلْبَثْ أَنْ جَاءَ الْمَشْكُوُّ ، فَقَالَ لَهُ </w:t>
      </w:r>
      <w:r w:rsidRPr="00D10E3C">
        <w:rPr>
          <w:rStyle w:val="libFootnotenumChar"/>
          <w:rtl/>
        </w:rPr>
        <w:t>(7)</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مَا لِفُلَانٍ يَشْكُوكَ؟ » فَقَالَ لَهُ </w:t>
      </w:r>
      <w:r w:rsidRPr="00D10E3C">
        <w:rPr>
          <w:rStyle w:val="libFootnotenumChar"/>
          <w:rtl/>
        </w:rPr>
        <w:t>(8)</w:t>
      </w:r>
      <w:r>
        <w:rPr>
          <w:rtl/>
          <w:lang w:bidi="fa-IR"/>
        </w:rPr>
        <w:t xml:space="preserve"> : يَشْكُونِي أَنِّي‌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EC4592">
        <w:rPr>
          <w:rtl/>
        </w:rPr>
        <w:t>الوسائل</w:t>
      </w:r>
      <w:r w:rsidR="00744A1C">
        <w:rPr>
          <w:rtl/>
          <w:lang w:bidi="fa-IR"/>
        </w:rPr>
        <w:t xml:space="preserve"> : - « إليّ ».</w:t>
      </w:r>
    </w:p>
    <w:p w:rsidR="00744A1C" w:rsidRDefault="00E378DD" w:rsidP="00E378DD">
      <w:pPr>
        <w:pStyle w:val="libFootnote0"/>
        <w:rPr>
          <w:lang w:bidi="fa-IR"/>
        </w:rPr>
      </w:pPr>
      <w:r>
        <w:rPr>
          <w:rtl/>
          <w:lang w:bidi="fa-IR"/>
        </w:rPr>
        <w:t>(2).</w:t>
      </w:r>
      <w:r w:rsidR="00744A1C">
        <w:rPr>
          <w:rtl/>
          <w:lang w:bidi="fa-IR"/>
        </w:rPr>
        <w:t xml:space="preserve"> في « جد » : « مال فلان ».</w:t>
      </w:r>
    </w:p>
    <w:p w:rsidR="00744A1C" w:rsidRDefault="00E378DD" w:rsidP="00E378DD">
      <w:pPr>
        <w:pStyle w:val="libFootnote0"/>
        <w:rPr>
          <w:lang w:bidi="fa-IR"/>
        </w:rPr>
      </w:pPr>
      <w:r>
        <w:rPr>
          <w:rtl/>
          <w:lang w:bidi="fa-IR"/>
        </w:rPr>
        <w:t>(3).</w:t>
      </w:r>
      <w:r w:rsidR="00744A1C">
        <w:rPr>
          <w:rtl/>
          <w:lang w:bidi="fa-IR"/>
        </w:rPr>
        <w:t xml:space="preserve"> في « جت » : « برئ » بدون الواو.</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قال الشهيد الثاني </w:t>
      </w:r>
      <w:r w:rsidR="00877682" w:rsidRPr="00877682">
        <w:rPr>
          <w:rStyle w:val="libFootnoteAlaemChar"/>
          <w:rtl/>
        </w:rPr>
        <w:t>رحمه‌الله</w:t>
      </w:r>
      <w:r w:rsidR="00EC4592" w:rsidRPr="00EC4592">
        <w:rPr>
          <w:rFonts w:hint="cs"/>
          <w:rtl/>
        </w:rPr>
        <w:t xml:space="preserve"> </w:t>
      </w:r>
      <w:r w:rsidR="00744A1C">
        <w:rPr>
          <w:rtl/>
          <w:lang w:bidi="fa-IR"/>
        </w:rPr>
        <w:t xml:space="preserve">بعد إيراد هذا الخبر والذي قبله : عمل بمضمونها الشيخ وابن </w:t>
      </w:r>
      <w:r w:rsidR="00EC4592">
        <w:rPr>
          <w:rtl/>
          <w:lang w:bidi="fa-IR"/>
        </w:rPr>
        <w:t>البراج ، والمستند ضعيف مخالف لل</w:t>
      </w:r>
      <w:r w:rsidR="00744A1C">
        <w:rPr>
          <w:rtl/>
          <w:lang w:bidi="fa-IR"/>
        </w:rPr>
        <w:t>ا</w:t>
      </w:r>
      <w:r w:rsidR="00EC4592">
        <w:rPr>
          <w:rFonts w:hint="cs"/>
          <w:rtl/>
          <w:lang w:bidi="fa-IR"/>
        </w:rPr>
        <w:t>ُ</w:t>
      </w:r>
      <w:r w:rsidR="00744A1C">
        <w:rPr>
          <w:rtl/>
          <w:lang w:bidi="fa-IR"/>
        </w:rPr>
        <w:t xml:space="preserve">صول ، وربّما حملنا على الضمان مجازاً ، أو على فساد البيع ، فيكون دفع ذلك الأقلّ مأذوناً فيه من البائع في مقابلة ما دفع ويبقى الباقي لما لكه. والأقوى أنّه مع صحّة البيع يلزمه دفع الجميع ». وراجع : </w:t>
      </w:r>
      <w:r w:rsidR="00744A1C" w:rsidRPr="00877682">
        <w:rPr>
          <w:rStyle w:val="libFootnoteBoldChar"/>
          <w:rtl/>
        </w:rPr>
        <w:t>النهاية</w:t>
      </w:r>
      <w:r w:rsidR="00744A1C">
        <w:rPr>
          <w:rtl/>
          <w:lang w:bidi="fa-IR"/>
        </w:rPr>
        <w:t xml:space="preserve"> ، ص 311 ؛ </w:t>
      </w:r>
      <w:r w:rsidR="00744A1C" w:rsidRPr="00877682">
        <w:rPr>
          <w:rStyle w:val="libFootnoteBoldChar"/>
          <w:rtl/>
        </w:rPr>
        <w:t>مسالك الأفهام</w:t>
      </w:r>
      <w:r w:rsidR="00744A1C">
        <w:rPr>
          <w:rtl/>
          <w:lang w:bidi="fa-IR"/>
        </w:rPr>
        <w:t xml:space="preserve"> ، ج 3 ، ص 461 ؛ </w:t>
      </w:r>
      <w:r w:rsidR="00744A1C" w:rsidRPr="00EC4592">
        <w:rPr>
          <w:rStyle w:val="libFootnoteBoldChar"/>
          <w:rtl/>
        </w:rPr>
        <w:t>الروضة البهيّة</w:t>
      </w:r>
      <w:r w:rsidR="00744A1C">
        <w:rPr>
          <w:rtl/>
          <w:lang w:bidi="fa-IR"/>
        </w:rPr>
        <w:t xml:space="preserve"> ، ج 4 ، ص 21.</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191 ، ح 410 ، معلّقاً عن محمّد بن أحمد بن يحيى ، عن محمّد بن عيسى </w:t>
      </w:r>
      <w:r w:rsidR="00EC4592">
        <w:rPr>
          <w:rFonts w:hint="cs"/>
          <w:rtl/>
          <w:lang w:bidi="fa-IR"/>
        </w:rPr>
        <w:t>.</w:t>
      </w:r>
      <w:r w:rsidR="00744A1C" w:rsidRPr="00C24F9C">
        <w:rPr>
          <w:rStyle w:val="libFootnoteBoldChar"/>
          <w:rtl/>
        </w:rPr>
        <w:t>الوافي</w:t>
      </w:r>
      <w:r w:rsidR="00744A1C">
        <w:rPr>
          <w:rtl/>
          <w:lang w:bidi="fa-IR"/>
        </w:rPr>
        <w:t xml:space="preserve"> ، ج 18 ، ص 729 ، ح 18185 ؛ </w:t>
      </w:r>
      <w:r w:rsidR="00744A1C" w:rsidRPr="00C24F9C">
        <w:rPr>
          <w:rStyle w:val="libFootnoteBoldChar"/>
          <w:rtl/>
        </w:rPr>
        <w:t>الوسائل</w:t>
      </w:r>
      <w:r w:rsidR="00744A1C">
        <w:rPr>
          <w:rtl/>
          <w:lang w:bidi="fa-IR"/>
        </w:rPr>
        <w:t xml:space="preserve"> ، ج 18 ، ص 348 ، ح 23820.</w:t>
      </w:r>
    </w:p>
    <w:p w:rsidR="00744A1C" w:rsidRDefault="00E378DD" w:rsidP="00EC4592">
      <w:pPr>
        <w:pStyle w:val="libFootnote0"/>
        <w:rPr>
          <w:lang w:bidi="fa-IR"/>
        </w:rPr>
      </w:pPr>
      <w:r>
        <w:rPr>
          <w:rtl/>
          <w:lang w:bidi="fa-IR"/>
        </w:rPr>
        <w:t>(6).</w:t>
      </w:r>
      <w:r w:rsidR="00744A1C">
        <w:rPr>
          <w:rtl/>
          <w:lang w:bidi="fa-IR"/>
        </w:rPr>
        <w:t xml:space="preserve"> في حاشية « ى » : « باب في آداب استقضاء الدين ». وفي « بخ ، جت » : « باب الاستقضاء في المال ». وفي حاشية « جد » : « باب في استقضاء في المال ».</w:t>
      </w:r>
      <w:r w:rsidR="00EC4592">
        <w:rPr>
          <w:rFonts w:hint="cs"/>
          <w:rtl/>
          <w:lang w:bidi="fa-IR"/>
        </w:rPr>
        <w:t xml:space="preserve">      </w:t>
      </w:r>
      <w:r>
        <w:rPr>
          <w:rtl/>
          <w:lang w:bidi="fa-IR"/>
        </w:rPr>
        <w:t>(7).</w:t>
      </w:r>
      <w:r w:rsidR="00744A1C">
        <w:rPr>
          <w:rtl/>
          <w:lang w:bidi="fa-IR"/>
        </w:rPr>
        <w:t xml:space="preserve"> في « ى » : - « له ».</w:t>
      </w:r>
    </w:p>
    <w:p w:rsidR="00744A1C" w:rsidRDefault="00E378DD" w:rsidP="00E378DD">
      <w:pPr>
        <w:pStyle w:val="libFootnote0"/>
        <w:rPr>
          <w:lang w:bidi="fa-IR"/>
        </w:rPr>
      </w:pPr>
      <w:r>
        <w:rPr>
          <w:rtl/>
          <w:lang w:bidi="fa-IR"/>
        </w:rPr>
        <w:t>(8).</w:t>
      </w:r>
      <w:r w:rsidR="00744A1C">
        <w:rPr>
          <w:rtl/>
          <w:lang w:bidi="fa-IR"/>
        </w:rPr>
        <w:t xml:space="preserve"> في </w:t>
      </w:r>
      <w:r w:rsidR="00744A1C" w:rsidRPr="00EC4592">
        <w:rPr>
          <w:rtl/>
        </w:rPr>
        <w:t>الوسائل</w:t>
      </w:r>
      <w:r w:rsidR="00744A1C">
        <w:rPr>
          <w:rtl/>
          <w:lang w:bidi="fa-IR"/>
        </w:rPr>
        <w:t xml:space="preserve"> والتحف : - « له ».</w:t>
      </w:r>
    </w:p>
    <w:p w:rsidR="006A5060" w:rsidRDefault="006A5060" w:rsidP="00D10E3C">
      <w:pPr>
        <w:pStyle w:val="libNormal"/>
        <w:rPr>
          <w:rtl/>
          <w:lang w:bidi="fa-IR"/>
        </w:rPr>
      </w:pPr>
      <w:r>
        <w:rPr>
          <w:rtl/>
          <w:lang w:bidi="fa-IR"/>
        </w:rPr>
        <w:br w:type="page"/>
      </w:r>
    </w:p>
    <w:p w:rsidR="00744A1C" w:rsidRDefault="00744A1C" w:rsidP="00EC4592">
      <w:pPr>
        <w:pStyle w:val="libNormal0"/>
        <w:rPr>
          <w:lang w:bidi="fa-IR"/>
        </w:rPr>
      </w:pPr>
      <w:r>
        <w:rPr>
          <w:rtl/>
          <w:lang w:bidi="fa-IR"/>
        </w:rPr>
        <w:t xml:space="preserve">اسْتَقْضَيْتُ </w:t>
      </w:r>
      <w:r w:rsidRPr="00D10E3C">
        <w:rPr>
          <w:rStyle w:val="libFootnotenumChar"/>
          <w:rtl/>
        </w:rPr>
        <w:t>(1)</w:t>
      </w:r>
      <w:r>
        <w:rPr>
          <w:rtl/>
          <w:lang w:bidi="fa-IR"/>
        </w:rPr>
        <w:t xml:space="preserve"> مِنْهُ </w:t>
      </w:r>
      <w:r w:rsidRPr="00D10E3C">
        <w:rPr>
          <w:rStyle w:val="libFootnotenumChar"/>
          <w:rtl/>
        </w:rPr>
        <w:t>(2)</w:t>
      </w:r>
      <w:r>
        <w:rPr>
          <w:rtl/>
          <w:lang w:bidi="fa-IR"/>
        </w:rPr>
        <w:t xml:space="preserve"> حَقِّي.</w:t>
      </w:r>
    </w:p>
    <w:p w:rsidR="00144FA6" w:rsidRDefault="00744A1C" w:rsidP="00744A1C">
      <w:pPr>
        <w:pStyle w:val="libNormal"/>
        <w:rPr>
          <w:rtl/>
          <w:lang w:bidi="fa-IR"/>
        </w:rPr>
      </w:pPr>
      <w:r>
        <w:rPr>
          <w:rtl/>
          <w:lang w:bidi="fa-IR"/>
        </w:rPr>
        <w:t xml:space="preserve">قَالَ : فَجَلَسَ أَبُو عَبْدِ اللهِ </w:t>
      </w:r>
      <w:r w:rsidR="0061079A" w:rsidRPr="0061079A">
        <w:rPr>
          <w:rStyle w:val="libAlaemChar"/>
          <w:rtl/>
        </w:rPr>
        <w:t>عليه‌السلام</w:t>
      </w:r>
      <w:r w:rsidR="00D10E3C">
        <w:rPr>
          <w:rtl/>
          <w:lang w:bidi="fa-IR"/>
        </w:rPr>
        <w:t xml:space="preserve"> </w:t>
      </w:r>
      <w:r>
        <w:rPr>
          <w:rtl/>
          <w:lang w:bidi="fa-IR"/>
        </w:rPr>
        <w:t xml:space="preserve">مُغْضَباً ، ثُمَّ قَالَ : « كَأَنَّكَ إِذَا اسْتَقْضَيْتَ </w:t>
      </w:r>
      <w:r w:rsidRPr="00D10E3C">
        <w:rPr>
          <w:rStyle w:val="libFootnotenumChar"/>
          <w:rtl/>
        </w:rPr>
        <w:t>(3)</w:t>
      </w:r>
      <w:r>
        <w:rPr>
          <w:rtl/>
          <w:lang w:bidi="fa-IR"/>
        </w:rPr>
        <w:t xml:space="preserve"> حَقَّكَ </w:t>
      </w:r>
      <w:r w:rsidRPr="00D10E3C">
        <w:rPr>
          <w:rStyle w:val="libFootnotenumChar"/>
          <w:rtl/>
        </w:rPr>
        <w:t>(4)</w:t>
      </w:r>
      <w:r>
        <w:rPr>
          <w:rtl/>
          <w:lang w:bidi="fa-IR"/>
        </w:rPr>
        <w:t xml:space="preserve"> لَمْ تُسِئْ ، أَرَأَيْتَ </w:t>
      </w:r>
      <w:r w:rsidRPr="00D10E3C">
        <w:rPr>
          <w:rStyle w:val="libFootnotenumChar"/>
          <w:rtl/>
        </w:rPr>
        <w:t>(5)</w:t>
      </w:r>
      <w:r>
        <w:rPr>
          <w:rtl/>
          <w:lang w:bidi="fa-IR"/>
        </w:rPr>
        <w:t xml:space="preserve"> مَا حَكَى اللهُ - عَزَّ وَجَلَّ - فِي كِتَابِهِ </w:t>
      </w:r>
      <w:r w:rsidRPr="00D10E3C">
        <w:rPr>
          <w:rStyle w:val="libFootnotenumChar"/>
          <w:rtl/>
        </w:rPr>
        <w:t>(6)</w:t>
      </w:r>
      <w:r>
        <w:rPr>
          <w:rtl/>
          <w:lang w:bidi="fa-IR"/>
        </w:rPr>
        <w:t xml:space="preserve"> : </w:t>
      </w:r>
      <w:r w:rsidRPr="00EC4592">
        <w:rPr>
          <w:rStyle w:val="libAlaemChar"/>
          <w:rtl/>
        </w:rPr>
        <w:t>(</w:t>
      </w:r>
      <w:r w:rsidRPr="00EC4592">
        <w:rPr>
          <w:rStyle w:val="libAieChar"/>
          <w:rtl/>
        </w:rPr>
        <w:t xml:space="preserve"> يَخافُونَ </w:t>
      </w:r>
      <w:r w:rsidRPr="00D10E3C">
        <w:rPr>
          <w:rStyle w:val="libFootnotenumChar"/>
          <w:rtl/>
        </w:rPr>
        <w:t>(7)</w:t>
      </w:r>
      <w:r w:rsidRPr="00EC4592">
        <w:rPr>
          <w:rStyle w:val="libAieChar"/>
          <w:rtl/>
        </w:rPr>
        <w:t xml:space="preserve"> سُوءَ الْحِسابِ </w:t>
      </w:r>
      <w:r w:rsidRPr="00EC4592">
        <w:rPr>
          <w:rStyle w:val="libAlaemChar"/>
          <w:rtl/>
        </w:rPr>
        <w:t>)</w:t>
      </w:r>
      <w:r>
        <w:rPr>
          <w:rtl/>
          <w:lang w:bidi="fa-IR"/>
        </w:rPr>
        <w:t xml:space="preserve"> </w:t>
      </w:r>
      <w:r w:rsidRPr="00D10E3C">
        <w:rPr>
          <w:rStyle w:val="libFootnotenumChar"/>
          <w:rtl/>
        </w:rPr>
        <w:t>(8)</w:t>
      </w:r>
      <w:r>
        <w:rPr>
          <w:rtl/>
          <w:lang w:bidi="fa-IR"/>
        </w:rPr>
        <w:t xml:space="preserve"> أَتَرى أَنَّهُمْ خَافُوا اللهَ أَنْ يَجُورَ عَلَيْهِمْ؟</w:t>
      </w:r>
      <w:r w:rsidR="00EC4592">
        <w:rPr>
          <w:rtl/>
          <w:lang w:bidi="fa-IR"/>
        </w:rPr>
        <w:t xml:space="preserve"> لَاوَاللهِ ، مَا خَافُوا إِل</w:t>
      </w:r>
      <w:r w:rsidR="00EC4592">
        <w:rPr>
          <w:rFonts w:hint="cs"/>
          <w:rtl/>
          <w:lang w:bidi="fa-IR"/>
        </w:rPr>
        <w:t>َّ</w:t>
      </w:r>
      <w:r w:rsidR="00EC4592">
        <w:rPr>
          <w:rtl/>
          <w:lang w:bidi="fa-IR"/>
        </w:rPr>
        <w:t>ا</w:t>
      </w:r>
      <w:r>
        <w:rPr>
          <w:rtl/>
          <w:lang w:bidi="fa-IR"/>
        </w:rPr>
        <w:t xml:space="preserve"> الاسْتِقْضَاءَ </w:t>
      </w:r>
      <w:r w:rsidRPr="00D10E3C">
        <w:rPr>
          <w:rStyle w:val="libFootnotenumChar"/>
          <w:rtl/>
        </w:rPr>
        <w:t>(9)</w:t>
      </w:r>
      <w:r>
        <w:rPr>
          <w:rtl/>
          <w:lang w:bidi="fa-IR"/>
        </w:rPr>
        <w:t xml:space="preserve"> ، فَسَمَّاهُ اللهُ - عَزَّ وَجَلَّ - سُوءَ الْحِسَابِ ، فَمَنِ اسْتَقْضى </w:t>
      </w:r>
      <w:r w:rsidRPr="00D10E3C">
        <w:rPr>
          <w:rStyle w:val="libFootnotenumChar"/>
          <w:rtl/>
        </w:rPr>
        <w:t>(10)</w:t>
      </w:r>
      <w:r>
        <w:rPr>
          <w:rtl/>
          <w:lang w:bidi="fa-IR"/>
        </w:rPr>
        <w:t xml:space="preserve"> فَقَدْ أَسَاءَ ». </w:t>
      </w:r>
      <w:r w:rsidRPr="00D10E3C">
        <w:rPr>
          <w:rStyle w:val="libFootnotenumChar"/>
          <w:rtl/>
        </w:rPr>
        <w:t>(11)</w:t>
      </w:r>
    </w:p>
    <w:p w:rsidR="00144FA6" w:rsidRDefault="00744A1C" w:rsidP="00744A1C">
      <w:pPr>
        <w:pStyle w:val="libNormal"/>
        <w:rPr>
          <w:rtl/>
          <w:lang w:bidi="fa-IR"/>
        </w:rPr>
      </w:pPr>
      <w:r>
        <w:rPr>
          <w:rtl/>
          <w:lang w:bidi="fa-IR"/>
        </w:rPr>
        <w:t>8488 / 2. مُحَمَّدُ بْنُ يَحْيى :</w:t>
      </w:r>
    </w:p>
    <w:p w:rsidR="00144FA6" w:rsidRDefault="00744A1C" w:rsidP="00744A1C">
      <w:pPr>
        <w:pStyle w:val="libNormal"/>
        <w:rPr>
          <w:rtl/>
          <w:lang w:bidi="fa-IR"/>
        </w:rPr>
      </w:pPr>
      <w:r>
        <w:rPr>
          <w:rtl/>
          <w:lang w:bidi="fa-IR"/>
        </w:rPr>
        <w:t xml:space="preserve">رَفَعَهُ إِلى أَبِي عَبْدِ اللهِ </w:t>
      </w:r>
      <w:r w:rsidR="0061079A" w:rsidRPr="0061079A">
        <w:rPr>
          <w:rStyle w:val="libAlaemChar"/>
          <w:rtl/>
        </w:rPr>
        <w:t>عليه‌السلام</w:t>
      </w:r>
      <w:r w:rsidR="00D10E3C">
        <w:rPr>
          <w:rtl/>
          <w:lang w:bidi="fa-IR"/>
        </w:rPr>
        <w:t xml:space="preserve"> </w:t>
      </w:r>
      <w:r>
        <w:rPr>
          <w:rtl/>
          <w:lang w:bidi="fa-IR"/>
        </w:rPr>
        <w:t xml:space="preserve">، قَالَ : قَالَ لَهُ رَجُلٌ : إِنَّ لِي عَلى بَعْضِ الْحَسَنِيِّينَ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w:t>
      </w:r>
      <w:r w:rsidR="00744A1C" w:rsidRPr="00EC4592">
        <w:rPr>
          <w:rtl/>
        </w:rPr>
        <w:t>والوافي وتفسير العيّاشي</w:t>
      </w:r>
      <w:r w:rsidR="00744A1C">
        <w:rPr>
          <w:rtl/>
          <w:lang w:bidi="fa-IR"/>
        </w:rPr>
        <w:t xml:space="preserve"> والتحف : « استقصيت ». وفي </w:t>
      </w:r>
      <w:r w:rsidR="00744A1C" w:rsidRPr="00877682">
        <w:rPr>
          <w:rStyle w:val="libFootnoteBoldChar"/>
          <w:rtl/>
        </w:rPr>
        <w:t>مرآة العقول</w:t>
      </w:r>
      <w:r w:rsidR="00744A1C">
        <w:rPr>
          <w:rtl/>
          <w:lang w:bidi="fa-IR"/>
        </w:rPr>
        <w:t xml:space="preserve"> ، ج 19 ، ص 54 : « استقضيت ، بالضاد المعجمة ، أي طلبت منه القضاء ، وفي بعض النسخ القديمة بالصاد المهملة في الموضعين ، أي بلغت الغاية في الطلب ». وراجع : </w:t>
      </w:r>
      <w:r w:rsidR="00744A1C" w:rsidRPr="008A57EB">
        <w:rPr>
          <w:rStyle w:val="libFootnoteBoldChar"/>
          <w:rtl/>
        </w:rPr>
        <w:t>القاموس المحيط</w:t>
      </w:r>
      <w:r w:rsidR="00744A1C">
        <w:rPr>
          <w:rtl/>
          <w:lang w:bidi="fa-IR"/>
        </w:rPr>
        <w:t xml:space="preserve"> ، ج 2 ، ص 1736 ( قصو ، قضي ).</w:t>
      </w:r>
    </w:p>
    <w:p w:rsidR="00744A1C" w:rsidRDefault="00E378DD" w:rsidP="00E378DD">
      <w:pPr>
        <w:pStyle w:val="libFootnote0"/>
        <w:rPr>
          <w:lang w:bidi="fa-IR"/>
        </w:rPr>
      </w:pPr>
      <w:r>
        <w:rPr>
          <w:rtl/>
          <w:lang w:bidi="fa-IR"/>
        </w:rPr>
        <w:t>(2).</w:t>
      </w:r>
      <w:r w:rsidR="00744A1C">
        <w:rPr>
          <w:rtl/>
          <w:lang w:bidi="fa-IR"/>
        </w:rPr>
        <w:t xml:space="preserve"> في « ط ، بف » </w:t>
      </w:r>
      <w:r w:rsidR="00744A1C" w:rsidRPr="0061079A">
        <w:rPr>
          <w:rStyle w:val="libFootnoteBoldChar"/>
          <w:rtl/>
        </w:rPr>
        <w:t>والتهذيب</w:t>
      </w:r>
      <w:r w:rsidR="00744A1C">
        <w:rPr>
          <w:rtl/>
          <w:lang w:bidi="fa-IR"/>
        </w:rPr>
        <w:t xml:space="preserve"> : - « منه ». وفي التحف : « عليه ».</w:t>
      </w:r>
    </w:p>
    <w:p w:rsidR="00744A1C" w:rsidRDefault="00E378DD" w:rsidP="00E378DD">
      <w:pPr>
        <w:pStyle w:val="libFootnote0"/>
        <w:rPr>
          <w:lang w:bidi="fa-IR"/>
        </w:rPr>
      </w:pPr>
      <w:r>
        <w:rPr>
          <w:rtl/>
          <w:lang w:bidi="fa-IR"/>
        </w:rPr>
        <w:t>(3).</w:t>
      </w:r>
      <w:r w:rsidR="00744A1C">
        <w:rPr>
          <w:rtl/>
          <w:lang w:bidi="fa-IR"/>
        </w:rPr>
        <w:t xml:space="preserve"> في « بف </w:t>
      </w:r>
      <w:r w:rsidR="00744A1C" w:rsidRPr="00EC4592">
        <w:rPr>
          <w:rtl/>
        </w:rPr>
        <w:t>» والوافي وتفسير العيّاشي</w:t>
      </w:r>
      <w:r w:rsidR="00744A1C">
        <w:rPr>
          <w:rtl/>
          <w:lang w:bidi="fa-IR"/>
        </w:rPr>
        <w:t xml:space="preserve"> والتحف : « استقصيت ». وفي التحف : + « عليه ».</w:t>
      </w:r>
    </w:p>
    <w:p w:rsidR="00744A1C" w:rsidRDefault="00E378DD" w:rsidP="00E378DD">
      <w:pPr>
        <w:pStyle w:val="libFootnote0"/>
        <w:rPr>
          <w:lang w:bidi="fa-IR"/>
        </w:rPr>
      </w:pPr>
      <w:r>
        <w:rPr>
          <w:rtl/>
          <w:lang w:bidi="fa-IR"/>
        </w:rPr>
        <w:t>(4).</w:t>
      </w:r>
      <w:r w:rsidR="00744A1C">
        <w:rPr>
          <w:rtl/>
          <w:lang w:bidi="fa-IR"/>
        </w:rPr>
        <w:t xml:space="preserve"> في </w:t>
      </w:r>
      <w:r w:rsidR="00744A1C" w:rsidRPr="00EC4592">
        <w:rPr>
          <w:rtl/>
        </w:rPr>
        <w:t>تفسير العيّاشي</w:t>
      </w:r>
      <w:r w:rsidR="00744A1C">
        <w:rPr>
          <w:rtl/>
          <w:lang w:bidi="fa-IR"/>
        </w:rPr>
        <w:t xml:space="preserve"> : - « حقّك ».</w:t>
      </w:r>
    </w:p>
    <w:p w:rsidR="00744A1C" w:rsidRDefault="00E378DD" w:rsidP="00E378DD">
      <w:pPr>
        <w:pStyle w:val="libFootnote0"/>
        <w:rPr>
          <w:lang w:bidi="fa-IR"/>
        </w:rPr>
      </w:pPr>
      <w:r>
        <w:rPr>
          <w:rtl/>
          <w:lang w:bidi="fa-IR"/>
        </w:rPr>
        <w:t>(5).</w:t>
      </w:r>
      <w:r w:rsidR="00744A1C">
        <w:rPr>
          <w:rtl/>
          <w:lang w:bidi="fa-IR"/>
        </w:rPr>
        <w:t xml:space="preserve"> في « ط ، بح ، بس ، جت ، جد ، جن » </w:t>
      </w:r>
      <w:r w:rsidR="00744A1C" w:rsidRPr="00EC4592">
        <w:rPr>
          <w:rtl/>
        </w:rPr>
        <w:t>والتهذيب</w:t>
      </w:r>
      <w:r w:rsidR="00744A1C">
        <w:rPr>
          <w:rtl/>
          <w:lang w:bidi="fa-IR"/>
        </w:rPr>
        <w:t xml:space="preserve"> : « أرأيتك ».</w:t>
      </w:r>
    </w:p>
    <w:p w:rsidR="00744A1C" w:rsidRDefault="00E378DD" w:rsidP="00E378DD">
      <w:pPr>
        <w:pStyle w:val="libFootnote0"/>
        <w:rPr>
          <w:lang w:bidi="fa-IR"/>
        </w:rPr>
      </w:pPr>
      <w:r>
        <w:rPr>
          <w:rtl/>
          <w:lang w:bidi="fa-IR"/>
        </w:rPr>
        <w:t>(6).</w:t>
      </w:r>
      <w:r w:rsidR="00744A1C">
        <w:rPr>
          <w:rtl/>
          <w:lang w:bidi="fa-IR"/>
        </w:rPr>
        <w:t xml:space="preserve"> في « ط ، بح ، بس ، جد ، جن » </w:t>
      </w:r>
      <w:r w:rsidR="00744A1C" w:rsidRPr="00EC4592">
        <w:rPr>
          <w:rtl/>
        </w:rPr>
        <w:t>والوسائل وتفسير العيّاشي</w:t>
      </w:r>
      <w:r w:rsidR="00744A1C">
        <w:rPr>
          <w:rtl/>
          <w:lang w:bidi="fa-IR"/>
        </w:rPr>
        <w:t xml:space="preserve"> : - « في كتابه ». وفي « بخ ، بف » </w:t>
      </w:r>
      <w:r w:rsidR="00744A1C" w:rsidRPr="00EC4592">
        <w:rPr>
          <w:rtl/>
        </w:rPr>
        <w:t>والوافي والتهذيب</w:t>
      </w:r>
      <w:r w:rsidR="00744A1C">
        <w:rPr>
          <w:rtl/>
          <w:lang w:bidi="fa-IR"/>
        </w:rPr>
        <w:t xml:space="preserve"> : « فقال » بدل « في كتابه ».</w:t>
      </w:r>
    </w:p>
    <w:p w:rsidR="00744A1C" w:rsidRDefault="00E378DD" w:rsidP="00E378DD">
      <w:pPr>
        <w:pStyle w:val="libFootnote0"/>
        <w:rPr>
          <w:lang w:bidi="fa-IR"/>
        </w:rPr>
      </w:pPr>
      <w:r>
        <w:rPr>
          <w:rtl/>
          <w:lang w:bidi="fa-IR"/>
        </w:rPr>
        <w:t>(7).</w:t>
      </w:r>
      <w:r w:rsidR="00744A1C">
        <w:rPr>
          <w:rtl/>
          <w:lang w:bidi="fa-IR"/>
        </w:rPr>
        <w:t xml:space="preserve"> في « بخ ، بف » </w:t>
      </w:r>
      <w:r w:rsidR="00744A1C" w:rsidRPr="00EC4592">
        <w:rPr>
          <w:rtl/>
        </w:rPr>
        <w:t>والوافي والوسائل وتفسير العيّاشي</w:t>
      </w:r>
      <w:r w:rsidR="00744A1C">
        <w:rPr>
          <w:rtl/>
          <w:lang w:bidi="fa-IR"/>
        </w:rPr>
        <w:t xml:space="preserve"> : « ويخافون ».</w:t>
      </w:r>
    </w:p>
    <w:p w:rsidR="00744A1C" w:rsidRDefault="00E378DD" w:rsidP="00E378DD">
      <w:pPr>
        <w:pStyle w:val="libFootnote0"/>
        <w:rPr>
          <w:lang w:bidi="fa-IR"/>
        </w:rPr>
      </w:pPr>
      <w:r>
        <w:rPr>
          <w:rtl/>
          <w:lang w:bidi="fa-IR"/>
        </w:rPr>
        <w:t>(8).</w:t>
      </w:r>
      <w:r w:rsidR="00744A1C">
        <w:rPr>
          <w:rtl/>
          <w:lang w:bidi="fa-IR"/>
        </w:rPr>
        <w:t xml:space="preserve"> الرعد </w:t>
      </w:r>
      <w:r w:rsidR="00EC4592">
        <w:rPr>
          <w:rtl/>
          <w:lang w:bidi="fa-IR"/>
        </w:rPr>
        <w:t>(13)</w:t>
      </w:r>
      <w:r w:rsidR="00744A1C">
        <w:rPr>
          <w:rtl/>
          <w:lang w:bidi="fa-IR"/>
        </w:rPr>
        <w:t xml:space="preserve"> : 21.</w:t>
      </w:r>
    </w:p>
    <w:p w:rsidR="00744A1C" w:rsidRDefault="00E378DD" w:rsidP="00E378DD">
      <w:pPr>
        <w:pStyle w:val="libFootnote0"/>
        <w:rPr>
          <w:lang w:bidi="fa-IR"/>
        </w:rPr>
      </w:pPr>
      <w:r>
        <w:rPr>
          <w:rtl/>
          <w:lang w:bidi="fa-IR"/>
        </w:rPr>
        <w:t>(9).</w:t>
      </w:r>
      <w:r w:rsidR="00744A1C">
        <w:rPr>
          <w:rtl/>
          <w:lang w:bidi="fa-IR"/>
        </w:rPr>
        <w:t xml:space="preserve"> في « بح ، بف ، جت » </w:t>
      </w:r>
      <w:r w:rsidR="00744A1C" w:rsidRPr="00EC4592">
        <w:rPr>
          <w:rtl/>
        </w:rPr>
        <w:t>والوافي وتفسير العيّاشي</w:t>
      </w:r>
      <w:r w:rsidR="00744A1C">
        <w:rPr>
          <w:rtl/>
          <w:lang w:bidi="fa-IR"/>
        </w:rPr>
        <w:t xml:space="preserve"> : « الاستقصاء ».</w:t>
      </w:r>
    </w:p>
    <w:p w:rsidR="00744A1C" w:rsidRDefault="00E378DD" w:rsidP="00E378DD">
      <w:pPr>
        <w:pStyle w:val="libFootnote0"/>
        <w:rPr>
          <w:lang w:bidi="fa-IR"/>
        </w:rPr>
      </w:pPr>
      <w:r>
        <w:rPr>
          <w:rtl/>
          <w:lang w:bidi="fa-IR"/>
        </w:rPr>
        <w:t>(10).</w:t>
      </w:r>
      <w:r w:rsidR="00744A1C">
        <w:rPr>
          <w:rtl/>
          <w:lang w:bidi="fa-IR"/>
        </w:rPr>
        <w:t xml:space="preserve"> هكذا في « ط ، ى ، بخ ، بس ، جد ، جت ، جن » </w:t>
      </w:r>
      <w:r w:rsidR="00744A1C" w:rsidRPr="00EC4592">
        <w:rPr>
          <w:rtl/>
        </w:rPr>
        <w:t>والوسائل</w:t>
      </w:r>
      <w:r w:rsidR="00744A1C">
        <w:rPr>
          <w:rtl/>
          <w:lang w:bidi="fa-IR"/>
        </w:rPr>
        <w:t xml:space="preserve">. وفي « بح ، بف » </w:t>
      </w:r>
      <w:r w:rsidR="00744A1C" w:rsidRPr="00EC4592">
        <w:rPr>
          <w:rtl/>
        </w:rPr>
        <w:t>والوافي وتفسير العيّاشي</w:t>
      </w:r>
      <w:r w:rsidR="00744A1C">
        <w:rPr>
          <w:rtl/>
          <w:lang w:bidi="fa-IR"/>
        </w:rPr>
        <w:t xml:space="preserve"> والتحف : « استقصى ». وفي حاشية « جت » : « استقصاه ». وفي حاشية « بح ، جت » : « اقتضى ». وفي المطبوع : + « به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194 ، ح 425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246 ، ح 1 ، بسندهما عن حمّاد بن عثمان ، وفي الأخير مع اختلاف يسير. </w:t>
      </w:r>
      <w:r w:rsidR="00744A1C" w:rsidRPr="00A914B5">
        <w:rPr>
          <w:rStyle w:val="libFootnoteBoldChar"/>
          <w:rtl/>
        </w:rPr>
        <w:t>تفسير العيّاشي</w:t>
      </w:r>
      <w:r w:rsidR="00744A1C">
        <w:rPr>
          <w:rtl/>
          <w:lang w:bidi="fa-IR"/>
        </w:rPr>
        <w:t xml:space="preserve"> ، ج 2 ، ص 210 ، ح 41 ، وفيه هكذا : « قال محمّد بن عيسى وبهذا الإسناد أن أبي عبدالله </w:t>
      </w:r>
      <w:r w:rsidR="0061079A" w:rsidRPr="0061079A">
        <w:rPr>
          <w:rStyle w:val="libFootnoteAlaemChar"/>
          <w:rtl/>
        </w:rPr>
        <w:t>عليه‌السلام</w:t>
      </w:r>
      <w:r w:rsidR="00D10E3C">
        <w:rPr>
          <w:rtl/>
          <w:lang w:bidi="fa-IR"/>
        </w:rPr>
        <w:t xml:space="preserve"> </w:t>
      </w:r>
      <w:r w:rsidR="00744A1C">
        <w:rPr>
          <w:rtl/>
          <w:lang w:bidi="fa-IR"/>
        </w:rPr>
        <w:t xml:space="preserve">... » ، مع اختلاف يسير. </w:t>
      </w:r>
      <w:r w:rsidR="00744A1C" w:rsidRPr="00610FB4">
        <w:rPr>
          <w:rStyle w:val="libFootnoteBoldChar"/>
          <w:rtl/>
        </w:rPr>
        <w:t>تفسير القمّي</w:t>
      </w:r>
      <w:r w:rsidR="00744A1C">
        <w:rPr>
          <w:rtl/>
          <w:lang w:bidi="fa-IR"/>
        </w:rPr>
        <w:t xml:space="preserve"> ، ج 1 ، ص 363 ، مرسلاً ؛ </w:t>
      </w:r>
      <w:r w:rsidR="00744A1C" w:rsidRPr="007D61A8">
        <w:rPr>
          <w:rStyle w:val="libFootnoteBoldChar"/>
          <w:rtl/>
        </w:rPr>
        <w:t>تحف العقول</w:t>
      </w:r>
      <w:r w:rsidR="00744A1C">
        <w:rPr>
          <w:rtl/>
          <w:lang w:bidi="fa-IR"/>
        </w:rPr>
        <w:t xml:space="preserve"> ، ص 372 ، من قوله : « فقال له أبو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ما لفلان » </w:t>
      </w:r>
      <w:r w:rsidR="00EC4592">
        <w:rPr>
          <w:rFonts w:hint="cs"/>
          <w:rtl/>
          <w:lang w:bidi="fa-IR"/>
        </w:rPr>
        <w:t>.</w:t>
      </w:r>
      <w:r w:rsidR="00744A1C" w:rsidRPr="00C24F9C">
        <w:rPr>
          <w:rStyle w:val="libFootnoteBoldChar"/>
          <w:rtl/>
        </w:rPr>
        <w:t>الوافي</w:t>
      </w:r>
      <w:r w:rsidR="00744A1C">
        <w:rPr>
          <w:rtl/>
          <w:lang w:bidi="fa-IR"/>
        </w:rPr>
        <w:t xml:space="preserve"> ، ج 18 ، ص 801 ، ح 18332 ؛ </w:t>
      </w:r>
      <w:r w:rsidR="00744A1C" w:rsidRPr="00C24F9C">
        <w:rPr>
          <w:rStyle w:val="libFootnoteBoldChar"/>
          <w:rtl/>
        </w:rPr>
        <w:t>الوسائل</w:t>
      </w:r>
      <w:r w:rsidR="00744A1C">
        <w:rPr>
          <w:rtl/>
          <w:lang w:bidi="fa-IR"/>
        </w:rPr>
        <w:t xml:space="preserve"> ، ج 18 ، ص 348 ، ح 23821 ؛ </w:t>
      </w:r>
      <w:r w:rsidR="00744A1C" w:rsidRPr="0061079A">
        <w:rPr>
          <w:rStyle w:val="libFootnoteBoldChar"/>
          <w:rtl/>
        </w:rPr>
        <w:t>البحار</w:t>
      </w:r>
      <w:r w:rsidR="00744A1C">
        <w:rPr>
          <w:rtl/>
          <w:lang w:bidi="fa-IR"/>
        </w:rPr>
        <w:t xml:space="preserve"> ، ج 7 ، ص 266 ، ذيل ح 29.</w:t>
      </w:r>
    </w:p>
    <w:p w:rsidR="00744A1C" w:rsidRDefault="00E378DD" w:rsidP="00E378DD">
      <w:pPr>
        <w:pStyle w:val="libFootnote0"/>
        <w:rPr>
          <w:lang w:bidi="fa-IR"/>
        </w:rPr>
      </w:pPr>
      <w:r>
        <w:rPr>
          <w:rtl/>
          <w:lang w:bidi="fa-IR"/>
        </w:rPr>
        <w:t>(12).</w:t>
      </w:r>
      <w:r w:rsidR="00744A1C">
        <w:rPr>
          <w:rtl/>
          <w:lang w:bidi="fa-IR"/>
        </w:rPr>
        <w:t xml:space="preserve"> في « ى ، بس ، جد » : « حسينيّين ».</w:t>
      </w:r>
    </w:p>
    <w:p w:rsidR="006A5060" w:rsidRDefault="006A5060" w:rsidP="00D10E3C">
      <w:pPr>
        <w:pStyle w:val="libNormal"/>
        <w:rPr>
          <w:rtl/>
          <w:lang w:bidi="fa-IR"/>
        </w:rPr>
      </w:pPr>
      <w:r>
        <w:rPr>
          <w:rtl/>
          <w:lang w:bidi="fa-IR"/>
        </w:rPr>
        <w:br w:type="page"/>
      </w:r>
    </w:p>
    <w:p w:rsidR="00744A1C" w:rsidRDefault="00744A1C" w:rsidP="007A497B">
      <w:pPr>
        <w:pStyle w:val="libNormal0"/>
        <w:rPr>
          <w:lang w:bidi="fa-IR"/>
        </w:rPr>
      </w:pPr>
      <w:r>
        <w:rPr>
          <w:rtl/>
          <w:lang w:bidi="fa-IR"/>
        </w:rPr>
        <w:t xml:space="preserve">مَالاً ، وَقَدْ أَعْيَانِي أَخْذُهُ </w:t>
      </w:r>
      <w:r w:rsidRPr="00D10E3C">
        <w:rPr>
          <w:rStyle w:val="libFootnotenumChar"/>
          <w:rtl/>
        </w:rPr>
        <w:t>(1)</w:t>
      </w:r>
      <w:r>
        <w:rPr>
          <w:rtl/>
          <w:lang w:bidi="fa-IR"/>
        </w:rPr>
        <w:t xml:space="preserve"> ، وَقَدْ جَرى بَيْنِي وَبَيْنَهُ كَلَامٌ ، وَلَا آمَنُ أَنْ يَجْرِيَ بَيْنِي وَبَيْنَهُ فِي ذلِكَ مَا أَغْتَمُّ لَهُ.</w:t>
      </w:r>
    </w:p>
    <w:p w:rsidR="00744A1C" w:rsidRDefault="00744A1C" w:rsidP="00744A1C">
      <w:pPr>
        <w:pStyle w:val="libNormal"/>
        <w:rPr>
          <w:lang w:bidi="fa-IR"/>
        </w:rPr>
      </w:pPr>
      <w:r>
        <w:rPr>
          <w:rtl/>
          <w:lang w:bidi="fa-IR"/>
        </w:rPr>
        <w:t xml:space="preserve">فَقَالَ لَهُ أَبُو عَبْدِ اللهِ </w:t>
      </w:r>
      <w:r w:rsidR="0061079A" w:rsidRPr="0061079A">
        <w:rPr>
          <w:rStyle w:val="libAlaemChar"/>
          <w:rtl/>
        </w:rPr>
        <w:t>عليه‌السلام</w:t>
      </w:r>
      <w:r w:rsidR="00D10E3C">
        <w:rPr>
          <w:rtl/>
          <w:lang w:bidi="fa-IR"/>
        </w:rPr>
        <w:t xml:space="preserve"> </w:t>
      </w:r>
      <w:r>
        <w:rPr>
          <w:rtl/>
          <w:lang w:bidi="fa-IR"/>
        </w:rPr>
        <w:t xml:space="preserve">: « لَيْسَ </w:t>
      </w:r>
      <w:r w:rsidRPr="00D10E3C">
        <w:rPr>
          <w:rStyle w:val="libFootnotenumChar"/>
          <w:rtl/>
        </w:rPr>
        <w:t>(2)</w:t>
      </w:r>
      <w:r>
        <w:rPr>
          <w:rtl/>
          <w:lang w:bidi="fa-IR"/>
        </w:rPr>
        <w:t xml:space="preserve"> هذَا طَرِيقَ التَّقَاضِي </w:t>
      </w:r>
      <w:r w:rsidRPr="00D10E3C">
        <w:rPr>
          <w:rStyle w:val="libFootnotenumChar"/>
          <w:rtl/>
        </w:rPr>
        <w:t>(3)</w:t>
      </w:r>
      <w:r>
        <w:rPr>
          <w:rtl/>
          <w:lang w:bidi="fa-IR"/>
        </w:rPr>
        <w:t xml:space="preserve"> ، وَلكِنْ </w:t>
      </w:r>
      <w:r w:rsidRPr="00D10E3C">
        <w:rPr>
          <w:rStyle w:val="libFootnotenumChar"/>
          <w:rtl/>
        </w:rPr>
        <w:t>(4)</w:t>
      </w:r>
      <w:r>
        <w:rPr>
          <w:rtl/>
          <w:lang w:bidi="fa-IR"/>
        </w:rPr>
        <w:t xml:space="preserve"> إِذَا أَتَيْتَهُ أَطِلِ </w:t>
      </w:r>
      <w:r w:rsidRPr="00D10E3C">
        <w:rPr>
          <w:rStyle w:val="libFootnotenumChar"/>
          <w:rtl/>
        </w:rPr>
        <w:t>(5)</w:t>
      </w:r>
      <w:r>
        <w:rPr>
          <w:rtl/>
          <w:lang w:bidi="fa-IR"/>
        </w:rPr>
        <w:t xml:space="preserve"> الْجُلُوسَ ، وَالْزَمِ </w:t>
      </w:r>
      <w:r w:rsidRPr="00D10E3C">
        <w:rPr>
          <w:rStyle w:val="libFootnotenumChar"/>
          <w:rtl/>
        </w:rPr>
        <w:t>(6)</w:t>
      </w:r>
      <w:r>
        <w:rPr>
          <w:rtl/>
          <w:lang w:bidi="fa-IR"/>
        </w:rPr>
        <w:t xml:space="preserve"> السُّكُوتَ ».</w:t>
      </w:r>
    </w:p>
    <w:p w:rsidR="00144FA6" w:rsidRDefault="00744A1C" w:rsidP="00744A1C">
      <w:pPr>
        <w:pStyle w:val="libNormal"/>
        <w:rPr>
          <w:rtl/>
          <w:lang w:bidi="fa-IR"/>
        </w:rPr>
      </w:pPr>
      <w:r>
        <w:rPr>
          <w:rtl/>
          <w:lang w:bidi="fa-IR"/>
        </w:rPr>
        <w:t>قَالَ الرَّجُ</w:t>
      </w:r>
      <w:r w:rsidR="007A497B">
        <w:rPr>
          <w:rtl/>
          <w:lang w:bidi="fa-IR"/>
        </w:rPr>
        <w:t>لُ : فَمَا فَعَلْتُ ذلِكَ إِل</w:t>
      </w:r>
      <w:r w:rsidR="007A497B">
        <w:rPr>
          <w:rFonts w:hint="cs"/>
          <w:rtl/>
          <w:lang w:bidi="fa-IR"/>
        </w:rPr>
        <w:t>َّ</w:t>
      </w:r>
      <w:r w:rsidR="007A497B">
        <w:rPr>
          <w:rtl/>
          <w:lang w:bidi="fa-IR"/>
        </w:rPr>
        <w:t>ا</w:t>
      </w:r>
      <w:r>
        <w:rPr>
          <w:rtl/>
          <w:lang w:bidi="fa-IR"/>
        </w:rPr>
        <w:t xml:space="preserve"> يَسِيراً حَتّى أَخَذْتُ مَالِي. </w:t>
      </w:r>
      <w:r w:rsidRPr="00D10E3C">
        <w:rPr>
          <w:rStyle w:val="libFootnotenumChar"/>
          <w:rtl/>
        </w:rPr>
        <w:t>(7)</w:t>
      </w:r>
    </w:p>
    <w:p w:rsidR="007A497B" w:rsidRDefault="00744A1C" w:rsidP="007A497B">
      <w:pPr>
        <w:pStyle w:val="libNormal"/>
        <w:rPr>
          <w:rtl/>
          <w:lang w:bidi="fa-IR"/>
        </w:rPr>
      </w:pPr>
      <w:r>
        <w:rPr>
          <w:rtl/>
          <w:lang w:bidi="fa-IR"/>
        </w:rPr>
        <w:t>8489 / 3. عَلِيُّ بْنُ إِبْرَاهِيمَ ، عَنْ أَبِيهِ ؛</w:t>
      </w:r>
    </w:p>
    <w:p w:rsidR="00144FA6" w:rsidRDefault="007A497B" w:rsidP="007A497B">
      <w:pPr>
        <w:pStyle w:val="libNormal"/>
        <w:rPr>
          <w:rtl/>
          <w:lang w:bidi="fa-IR"/>
        </w:rPr>
      </w:pPr>
      <w:r>
        <w:rPr>
          <w:rFonts w:hint="cs"/>
          <w:rtl/>
          <w:lang w:bidi="fa-IR"/>
        </w:rPr>
        <w:t xml:space="preserve">             </w:t>
      </w:r>
      <w:r w:rsidR="00744A1C">
        <w:rPr>
          <w:rtl/>
          <w:lang w:bidi="fa-IR"/>
        </w:rPr>
        <w:t xml:space="preserve">وَمُحَمَّدُ بْنُ إِسْمَاعِيلَ ، عَنِ الْفَضْلِ بْنِ شَاذَانَ جَمِيعاً ، عَنِ ابْنِ أَبِي عُمَيْرٍ ، عَنْ إِبْرَاهِيمَ بْنِ عَبْدِ الْحَمِيدِ ، عَنْ خَضِرِ بْنِ عَمْرٍو </w:t>
      </w:r>
      <w:r w:rsidR="00744A1C" w:rsidRPr="00D10E3C">
        <w:rPr>
          <w:rStyle w:val="libFootnotenumChar"/>
          <w:rtl/>
        </w:rPr>
        <w:t>(8)</w:t>
      </w:r>
      <w:r w:rsidR="00744A1C">
        <w:rPr>
          <w:rtl/>
          <w:lang w:bidi="fa-IR"/>
        </w:rPr>
        <w:t xml:space="preserve"> النَّخَعِيِّ ، قَالَ :</w:t>
      </w:r>
    </w:p>
    <w:p w:rsidR="00144FA6" w:rsidRDefault="00744A1C" w:rsidP="00744A1C">
      <w:pPr>
        <w:pStyle w:val="libNormal"/>
        <w:rPr>
          <w:rtl/>
          <w:lang w:bidi="fa-IR"/>
        </w:rPr>
      </w:pPr>
      <w:r>
        <w:rPr>
          <w:rtl/>
          <w:lang w:bidi="fa-IR"/>
        </w:rPr>
        <w:t xml:space="preserve">قَالَ أَحَدُهُمَا </w:t>
      </w:r>
      <w:r w:rsidR="008859AA" w:rsidRPr="008859AA">
        <w:rPr>
          <w:rStyle w:val="libAlaemChar"/>
          <w:rtl/>
        </w:rPr>
        <w:t>عليهما‌السلام</w:t>
      </w:r>
      <w:r w:rsidRPr="00D10E3C">
        <w:rPr>
          <w:rStyle w:val="libFootnotenumChar"/>
          <w:rtl/>
        </w:rPr>
        <w:t>(9)</w:t>
      </w:r>
      <w:r>
        <w:rPr>
          <w:rtl/>
          <w:lang w:bidi="fa-IR"/>
        </w:rPr>
        <w:t xml:space="preserve"> فِي الرَّجُلِ يَكُونُ لَهُ عَلى رَجُلٍ </w:t>
      </w:r>
      <w:r w:rsidRPr="00D10E3C">
        <w:rPr>
          <w:rStyle w:val="libFootnotenumChar"/>
          <w:rtl/>
        </w:rPr>
        <w:t>(10)</w:t>
      </w:r>
      <w:r>
        <w:rPr>
          <w:rtl/>
          <w:lang w:bidi="fa-IR"/>
        </w:rPr>
        <w:t xml:space="preserve"> مَالٌ </w:t>
      </w:r>
      <w:r w:rsidRPr="00D10E3C">
        <w:rPr>
          <w:rStyle w:val="libFootnotenumChar"/>
          <w:rtl/>
        </w:rPr>
        <w:t>(11)</w:t>
      </w:r>
      <w:r>
        <w:rPr>
          <w:rtl/>
          <w:lang w:bidi="fa-IR"/>
        </w:rPr>
        <w:t xml:space="preserve"> ، فَيَجْحَدُهُ ، قَالَ : « إِنِ اسْتَحْلَفَهُ </w:t>
      </w:r>
      <w:r w:rsidRPr="00D10E3C">
        <w:rPr>
          <w:rStyle w:val="libFootnotenumChar"/>
          <w:rtl/>
        </w:rPr>
        <w:t>(12)</w:t>
      </w:r>
      <w:r>
        <w:rPr>
          <w:rtl/>
          <w:lang w:bidi="fa-IR"/>
        </w:rPr>
        <w:t xml:space="preserve"> ، فَلَيْسَ لَهُ أَنْ يَأْخُذَ مِنْهُ بَعْدَ الْيَمِينِ </w:t>
      </w:r>
      <w:r w:rsidRPr="00D10E3C">
        <w:rPr>
          <w:rStyle w:val="libFootnotenumChar"/>
          <w:rtl/>
        </w:rPr>
        <w:t>(13)</w:t>
      </w:r>
      <w:r>
        <w:rPr>
          <w:rtl/>
          <w:lang w:bidi="fa-IR"/>
        </w:rPr>
        <w:t xml:space="preserve"> شَيْئاً </w:t>
      </w:r>
      <w:r w:rsidRPr="00D10E3C">
        <w:rPr>
          <w:rStyle w:val="libFootnotenumChar"/>
          <w:rtl/>
        </w:rPr>
        <w:t>(14)</w:t>
      </w:r>
      <w:r>
        <w:rPr>
          <w:rtl/>
          <w:lang w:bidi="fa-IR"/>
        </w:rPr>
        <w:t xml:space="preserve"> ؛ وَإِنْ تَرَكَهُ وَلَمْ يَسْتَحْلِفْهُ </w:t>
      </w:r>
      <w:r w:rsidRPr="00D10E3C">
        <w:rPr>
          <w:rStyle w:val="libFootnotenumChar"/>
          <w:rtl/>
        </w:rPr>
        <w:t>(15)</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7A497B">
      <w:pPr>
        <w:pStyle w:val="libFootnote0"/>
        <w:rPr>
          <w:lang w:bidi="fa-IR"/>
        </w:rPr>
      </w:pPr>
      <w:r>
        <w:rPr>
          <w:rtl/>
          <w:lang w:bidi="fa-IR"/>
        </w:rPr>
        <w:t>(1).</w:t>
      </w:r>
      <w:r w:rsidR="00744A1C">
        <w:rPr>
          <w:rtl/>
          <w:lang w:bidi="fa-IR"/>
        </w:rPr>
        <w:t xml:space="preserve"> « قد أعياني أخذه » أي أعجزني وحيّرني ؛ من العَيّ بمعنى العجز وعدم الاهتداء لوجه المراد. راجع : </w:t>
      </w:r>
      <w:r w:rsidR="00744A1C" w:rsidRPr="007A497B">
        <w:rPr>
          <w:rStyle w:val="libFootnoteBoldChar"/>
          <w:rtl/>
        </w:rPr>
        <w:t>لسان‌العرب</w:t>
      </w:r>
      <w:r w:rsidR="00744A1C">
        <w:rPr>
          <w:rtl/>
          <w:lang w:bidi="fa-IR"/>
        </w:rPr>
        <w:t xml:space="preserve"> ، ج 15 ، ص 111 ( عيي ).</w:t>
      </w:r>
      <w:r w:rsidR="007A497B">
        <w:rPr>
          <w:rFonts w:hint="cs"/>
          <w:rtl/>
          <w:lang w:bidi="fa-IR"/>
        </w:rPr>
        <w:t xml:space="preserve">                </w:t>
      </w:r>
      <w:r w:rsidR="005D2B3B">
        <w:rPr>
          <w:rFonts w:hint="cs"/>
          <w:rtl/>
          <w:lang w:bidi="fa-IR"/>
        </w:rPr>
        <w:t xml:space="preserve">          </w:t>
      </w:r>
      <w:r w:rsidR="007A497B">
        <w:rPr>
          <w:rFonts w:hint="cs"/>
          <w:rtl/>
          <w:lang w:bidi="fa-IR"/>
        </w:rPr>
        <w:t xml:space="preserve">  </w:t>
      </w:r>
      <w:r w:rsidR="00E378DD">
        <w:rPr>
          <w:rtl/>
          <w:lang w:bidi="fa-IR"/>
        </w:rPr>
        <w:t>(2).</w:t>
      </w:r>
      <w:r w:rsidR="00744A1C">
        <w:rPr>
          <w:rtl/>
          <w:lang w:bidi="fa-IR"/>
        </w:rPr>
        <w:t xml:space="preserve"> في « ط » : - « ليس ».</w:t>
      </w:r>
    </w:p>
    <w:p w:rsidR="00744A1C" w:rsidRDefault="00E378DD" w:rsidP="00E378DD">
      <w:pPr>
        <w:pStyle w:val="libFootnote0"/>
        <w:rPr>
          <w:lang w:bidi="fa-IR"/>
        </w:rPr>
      </w:pPr>
      <w:r>
        <w:rPr>
          <w:rtl/>
          <w:lang w:bidi="fa-IR"/>
        </w:rPr>
        <w:t>(3).</w:t>
      </w:r>
      <w:r w:rsidR="00744A1C">
        <w:rPr>
          <w:rtl/>
          <w:lang w:bidi="fa-IR"/>
        </w:rPr>
        <w:t xml:space="preserve"> التقاضي : الطلب ، والقبض. </w:t>
      </w:r>
      <w:r w:rsidR="00744A1C" w:rsidRPr="007A497B">
        <w:rPr>
          <w:rStyle w:val="libFootnoteBoldChar"/>
          <w:rtl/>
        </w:rPr>
        <w:t>تاج العروس</w:t>
      </w:r>
      <w:r w:rsidR="00744A1C">
        <w:rPr>
          <w:rtl/>
          <w:lang w:bidi="fa-IR"/>
        </w:rPr>
        <w:t xml:space="preserve"> ، ج 20 ، ص 85 ( قضى ).</w:t>
      </w:r>
    </w:p>
    <w:tbl>
      <w:tblPr>
        <w:tblStyle w:val="TableGrid"/>
        <w:bidiVisual/>
        <w:tblW w:w="0" w:type="auto"/>
        <w:tblLook w:val="04A0" w:firstRow="1" w:lastRow="0" w:firstColumn="1" w:lastColumn="0" w:noHBand="0" w:noVBand="1"/>
      </w:tblPr>
      <w:tblGrid>
        <w:gridCol w:w="4006"/>
        <w:gridCol w:w="4006"/>
      </w:tblGrid>
      <w:tr w:rsidR="007A497B" w:rsidTr="007A497B">
        <w:tc>
          <w:tcPr>
            <w:tcW w:w="4006" w:type="dxa"/>
          </w:tcPr>
          <w:p w:rsidR="007A497B" w:rsidRDefault="007A497B" w:rsidP="00E378DD">
            <w:pPr>
              <w:pStyle w:val="libFootnote0"/>
              <w:rPr>
                <w:rtl/>
                <w:lang w:bidi="fa-IR"/>
              </w:rPr>
            </w:pPr>
            <w:r>
              <w:rPr>
                <w:rtl/>
                <w:lang w:bidi="fa-IR"/>
              </w:rPr>
              <w:t>(4). في « بح ، بس ، جن » : « ولكنّه ».</w:t>
            </w:r>
          </w:p>
        </w:tc>
        <w:tc>
          <w:tcPr>
            <w:tcW w:w="4006" w:type="dxa"/>
          </w:tcPr>
          <w:p w:rsidR="007A497B" w:rsidRDefault="007A497B" w:rsidP="00E378DD">
            <w:pPr>
              <w:pStyle w:val="libFootnote0"/>
              <w:rPr>
                <w:rtl/>
                <w:lang w:bidi="fa-IR"/>
              </w:rPr>
            </w:pPr>
            <w:r>
              <w:rPr>
                <w:rtl/>
                <w:lang w:bidi="fa-IR"/>
              </w:rPr>
              <w:t xml:space="preserve">(5). في «ط ،ى ،بخ ،بس ،بف» </w:t>
            </w:r>
            <w:r w:rsidRPr="007A497B">
              <w:rPr>
                <w:rtl/>
              </w:rPr>
              <w:t>والوافي</w:t>
            </w:r>
            <w:r>
              <w:rPr>
                <w:rtl/>
                <w:lang w:bidi="fa-IR"/>
              </w:rPr>
              <w:t xml:space="preserve"> : «فأطل».</w:t>
            </w:r>
          </w:p>
        </w:tc>
      </w:tr>
    </w:tbl>
    <w:p w:rsidR="00744A1C" w:rsidRDefault="00E378DD" w:rsidP="00E378DD">
      <w:pPr>
        <w:pStyle w:val="libFootnote0"/>
        <w:rPr>
          <w:lang w:bidi="fa-IR"/>
        </w:rPr>
      </w:pPr>
      <w:r>
        <w:rPr>
          <w:rtl/>
          <w:lang w:bidi="fa-IR"/>
        </w:rPr>
        <w:t>(6).</w:t>
      </w:r>
      <w:r w:rsidR="00744A1C">
        <w:rPr>
          <w:rtl/>
          <w:lang w:bidi="fa-IR"/>
        </w:rPr>
        <w:t xml:space="preserve"> في « جت » : - « الزم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18 ، ص 801 ، ح 18331 ؛ </w:t>
      </w:r>
      <w:r w:rsidR="00744A1C" w:rsidRPr="00C24F9C">
        <w:rPr>
          <w:rStyle w:val="libFootnoteBoldChar"/>
          <w:rtl/>
        </w:rPr>
        <w:t>الوسائل</w:t>
      </w:r>
      <w:r w:rsidR="00744A1C">
        <w:rPr>
          <w:rtl/>
          <w:lang w:bidi="fa-IR"/>
        </w:rPr>
        <w:t xml:space="preserve"> ، ج 18 ، ص 349 ، ح 23822.</w:t>
      </w:r>
    </w:p>
    <w:p w:rsidR="00744A1C" w:rsidRDefault="00E378DD" w:rsidP="00E378DD">
      <w:pPr>
        <w:pStyle w:val="libFootnote0"/>
        <w:rPr>
          <w:lang w:bidi="fa-IR"/>
        </w:rPr>
      </w:pPr>
      <w:r>
        <w:rPr>
          <w:rtl/>
          <w:lang w:bidi="fa-IR"/>
        </w:rPr>
        <w:t>(8).</w:t>
      </w:r>
      <w:r w:rsidR="00744A1C">
        <w:rPr>
          <w:rtl/>
          <w:lang w:bidi="fa-IR"/>
        </w:rPr>
        <w:t xml:space="preserve"> في </w:t>
      </w:r>
      <w:r w:rsidR="00744A1C" w:rsidRPr="007A497B">
        <w:rPr>
          <w:rtl/>
        </w:rPr>
        <w:t>الكافي</w:t>
      </w:r>
      <w:r w:rsidR="00744A1C">
        <w:rPr>
          <w:rtl/>
          <w:lang w:bidi="fa-IR"/>
        </w:rPr>
        <w:t xml:space="preserve"> ، ح 14638 </w:t>
      </w:r>
      <w:r w:rsidR="00744A1C" w:rsidRPr="0061079A">
        <w:rPr>
          <w:rStyle w:val="libFootnoteBoldChar"/>
          <w:rtl/>
        </w:rPr>
        <w:t>والتهذيب</w:t>
      </w:r>
      <w:r w:rsidR="00744A1C">
        <w:rPr>
          <w:rtl/>
          <w:lang w:bidi="fa-IR"/>
        </w:rPr>
        <w:t xml:space="preserve"> ، ج 6 و 8 : - « بن عمرو ».</w:t>
      </w:r>
    </w:p>
    <w:p w:rsidR="00744A1C" w:rsidRDefault="00E378DD" w:rsidP="00E378DD">
      <w:pPr>
        <w:pStyle w:val="libFootnote0"/>
        <w:rPr>
          <w:lang w:bidi="fa-IR"/>
        </w:rPr>
      </w:pPr>
      <w:r>
        <w:rPr>
          <w:rtl/>
          <w:lang w:bidi="fa-IR"/>
        </w:rPr>
        <w:t>(9).</w:t>
      </w:r>
      <w:r w:rsidR="00744A1C">
        <w:rPr>
          <w:rtl/>
          <w:lang w:bidi="fa-IR"/>
        </w:rPr>
        <w:t xml:space="preserve"> في </w:t>
      </w:r>
      <w:r w:rsidR="00744A1C" w:rsidRPr="007A497B">
        <w:rPr>
          <w:rtl/>
        </w:rPr>
        <w:t>الوافي والكافي</w:t>
      </w:r>
      <w:r w:rsidR="00744A1C">
        <w:rPr>
          <w:rtl/>
          <w:lang w:bidi="fa-IR"/>
        </w:rPr>
        <w:t xml:space="preserve"> ، ح 14638 </w:t>
      </w:r>
      <w:r w:rsidR="00744A1C" w:rsidRPr="007A497B">
        <w:rPr>
          <w:rtl/>
        </w:rPr>
        <w:t>والفقيه والتهذيب</w:t>
      </w:r>
      <w:r w:rsidR="00744A1C">
        <w:rPr>
          <w:rtl/>
          <w:lang w:bidi="fa-IR"/>
        </w:rPr>
        <w:t xml:space="preserve"> ، ج 6 :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بدل « قال : قال أحدهما </w:t>
      </w:r>
      <w:r w:rsidR="00F112A7" w:rsidRPr="00CE5A92">
        <w:rPr>
          <w:rStyle w:val="libFootnoteAlaemChar"/>
          <w:rtl/>
        </w:rPr>
        <w:t>عليهما‌السلام</w:t>
      </w:r>
      <w:r w:rsidR="00744A1C">
        <w:rPr>
          <w:rtl/>
          <w:lang w:bidi="fa-IR"/>
        </w:rPr>
        <w:t xml:space="preserve">». وفي </w:t>
      </w:r>
      <w:r w:rsidR="00744A1C" w:rsidRPr="00C24F9C">
        <w:rPr>
          <w:rStyle w:val="libFootnoteBoldChar"/>
          <w:rtl/>
        </w:rPr>
        <w:t>التهذيب</w:t>
      </w:r>
      <w:r w:rsidR="00744A1C">
        <w:rPr>
          <w:rtl/>
          <w:lang w:bidi="fa-IR"/>
        </w:rPr>
        <w:t xml:space="preserve"> ، ج 8 : - « قال : قال أحدهما </w:t>
      </w:r>
      <w:r w:rsidR="00F112A7" w:rsidRPr="00CE5A92">
        <w:rPr>
          <w:rStyle w:val="libFootnoteAlaemChar"/>
          <w:rtl/>
        </w:rPr>
        <w:t>عليهما‌السلام</w:t>
      </w:r>
      <w:r w:rsidR="00744A1C">
        <w:rPr>
          <w:rtl/>
          <w:lang w:bidi="fa-IR"/>
        </w:rPr>
        <w:t>».</w:t>
      </w:r>
    </w:p>
    <w:p w:rsidR="00744A1C" w:rsidRDefault="00E378DD" w:rsidP="00E378DD">
      <w:pPr>
        <w:pStyle w:val="libFootnote0"/>
        <w:rPr>
          <w:lang w:bidi="fa-IR"/>
        </w:rPr>
      </w:pPr>
      <w:r>
        <w:rPr>
          <w:rtl/>
          <w:lang w:bidi="fa-IR"/>
        </w:rPr>
        <w:t>(10).</w:t>
      </w:r>
      <w:r w:rsidR="00744A1C">
        <w:rPr>
          <w:rtl/>
          <w:lang w:bidi="fa-IR"/>
        </w:rPr>
        <w:t xml:space="preserve"> في « ط ، بخ ، جت ، جن » </w:t>
      </w:r>
      <w:r w:rsidR="00744A1C" w:rsidRPr="007A497B">
        <w:rPr>
          <w:rtl/>
        </w:rPr>
        <w:t>والوافي والفقيه</w:t>
      </w:r>
      <w:r w:rsidR="00744A1C">
        <w:rPr>
          <w:rtl/>
          <w:lang w:bidi="fa-IR"/>
        </w:rPr>
        <w:t xml:space="preserve"> : « الرجل ».</w:t>
      </w:r>
    </w:p>
    <w:tbl>
      <w:tblPr>
        <w:tblStyle w:val="TableGrid"/>
        <w:bidiVisual/>
        <w:tblW w:w="0" w:type="auto"/>
        <w:tblLook w:val="04A0" w:firstRow="1" w:lastRow="0" w:firstColumn="1" w:lastColumn="0" w:noHBand="0" w:noVBand="1"/>
      </w:tblPr>
      <w:tblGrid>
        <w:gridCol w:w="4006"/>
        <w:gridCol w:w="4006"/>
      </w:tblGrid>
      <w:tr w:rsidR="007A497B" w:rsidTr="007A497B">
        <w:tc>
          <w:tcPr>
            <w:tcW w:w="4006" w:type="dxa"/>
          </w:tcPr>
          <w:p w:rsidR="007A497B" w:rsidRDefault="007A497B" w:rsidP="00E378DD">
            <w:pPr>
              <w:pStyle w:val="libFootnote0"/>
              <w:rPr>
                <w:rtl/>
                <w:lang w:bidi="fa-IR"/>
              </w:rPr>
            </w:pPr>
            <w:r>
              <w:rPr>
                <w:rtl/>
                <w:lang w:bidi="fa-IR"/>
              </w:rPr>
              <w:t xml:space="preserve">(11). في </w:t>
            </w:r>
            <w:r w:rsidRPr="007A497B">
              <w:rPr>
                <w:rtl/>
              </w:rPr>
              <w:t>الكافي</w:t>
            </w:r>
            <w:r>
              <w:rPr>
                <w:rtl/>
                <w:lang w:bidi="fa-IR"/>
              </w:rPr>
              <w:t xml:space="preserve"> ، ح 14638 : « المال ».</w:t>
            </w:r>
          </w:p>
        </w:tc>
        <w:tc>
          <w:tcPr>
            <w:tcW w:w="4006" w:type="dxa"/>
          </w:tcPr>
          <w:p w:rsidR="007A497B" w:rsidRDefault="007A497B" w:rsidP="00E378DD">
            <w:pPr>
              <w:pStyle w:val="libFootnote0"/>
              <w:rPr>
                <w:rtl/>
                <w:lang w:bidi="fa-IR"/>
              </w:rPr>
            </w:pPr>
            <w:r>
              <w:rPr>
                <w:rtl/>
                <w:lang w:bidi="fa-IR"/>
              </w:rPr>
              <w:t>(12). في « ى » : « استخلفه ».</w:t>
            </w:r>
          </w:p>
        </w:tc>
      </w:tr>
    </w:tbl>
    <w:p w:rsidR="00744A1C" w:rsidRDefault="00E378DD" w:rsidP="00E378DD">
      <w:pPr>
        <w:pStyle w:val="libFootnote0"/>
        <w:rPr>
          <w:lang w:bidi="fa-IR"/>
        </w:rPr>
      </w:pPr>
      <w:r>
        <w:rPr>
          <w:rtl/>
          <w:lang w:bidi="fa-IR"/>
        </w:rPr>
        <w:t>(13).</w:t>
      </w:r>
      <w:r w:rsidR="00744A1C">
        <w:rPr>
          <w:rtl/>
          <w:lang w:bidi="fa-IR"/>
        </w:rPr>
        <w:t xml:space="preserve"> في « بح ، بخ » </w:t>
      </w:r>
      <w:r w:rsidR="00744A1C" w:rsidRPr="007A497B">
        <w:rPr>
          <w:rtl/>
        </w:rPr>
        <w:t>والكافي</w:t>
      </w:r>
      <w:r w:rsidR="00744A1C">
        <w:rPr>
          <w:rtl/>
          <w:lang w:bidi="fa-IR"/>
        </w:rPr>
        <w:t xml:space="preserve"> ، ح 14638 </w:t>
      </w:r>
      <w:r w:rsidR="00744A1C" w:rsidRPr="007A497B">
        <w:rPr>
          <w:rtl/>
        </w:rPr>
        <w:t>والتهذيب</w:t>
      </w:r>
      <w:r w:rsidR="00744A1C">
        <w:rPr>
          <w:rtl/>
          <w:lang w:bidi="fa-IR"/>
        </w:rPr>
        <w:t xml:space="preserve"> ، ج 8 : - « منه بعد اليمين ».</w:t>
      </w:r>
    </w:p>
    <w:p w:rsidR="00744A1C" w:rsidRDefault="00E378DD" w:rsidP="00E378DD">
      <w:pPr>
        <w:pStyle w:val="libFootnote0"/>
        <w:rPr>
          <w:lang w:bidi="fa-IR"/>
        </w:rPr>
      </w:pPr>
      <w:r>
        <w:rPr>
          <w:rtl/>
          <w:lang w:bidi="fa-IR"/>
        </w:rPr>
        <w:t>(14).</w:t>
      </w:r>
      <w:r w:rsidR="00744A1C">
        <w:rPr>
          <w:rtl/>
          <w:lang w:bidi="fa-IR"/>
        </w:rPr>
        <w:t xml:space="preserve"> في « ط » : + « وإن احتسبه لله‌فليس له أن يأخذ شيئاً ». وفي « بف » </w:t>
      </w:r>
      <w:r w:rsidR="00744A1C" w:rsidRPr="007A497B">
        <w:rPr>
          <w:rtl/>
        </w:rPr>
        <w:t>والوافي</w:t>
      </w:r>
      <w:r w:rsidR="00744A1C">
        <w:rPr>
          <w:rtl/>
          <w:lang w:bidi="fa-IR"/>
        </w:rPr>
        <w:t xml:space="preserve"> : + « وإن احتسبه عند الله فليس له أن يأخذ شيئاً ». في </w:t>
      </w:r>
      <w:r w:rsidR="00744A1C" w:rsidRPr="007A497B">
        <w:rPr>
          <w:rtl/>
        </w:rPr>
        <w:t>الفقيه</w:t>
      </w:r>
      <w:r w:rsidR="00744A1C">
        <w:rPr>
          <w:rtl/>
          <w:lang w:bidi="fa-IR"/>
        </w:rPr>
        <w:t xml:space="preserve"> : + « وإن حبسه فليس له أن يأخذ منه شيئاً ».</w:t>
      </w:r>
    </w:p>
    <w:p w:rsidR="00744A1C" w:rsidRDefault="00E378DD" w:rsidP="00E378DD">
      <w:pPr>
        <w:pStyle w:val="libFootnote0"/>
        <w:rPr>
          <w:lang w:bidi="fa-IR"/>
        </w:rPr>
      </w:pPr>
      <w:r>
        <w:rPr>
          <w:rtl/>
          <w:lang w:bidi="fa-IR"/>
        </w:rPr>
        <w:t>(15).</w:t>
      </w:r>
      <w:r w:rsidR="00744A1C">
        <w:rPr>
          <w:rtl/>
          <w:lang w:bidi="fa-IR"/>
        </w:rPr>
        <w:t xml:space="preserve"> في « ى » : « ولم يستخلفه ».</w:t>
      </w:r>
    </w:p>
    <w:p w:rsidR="006A5060" w:rsidRDefault="006A5060" w:rsidP="00D10E3C">
      <w:pPr>
        <w:pStyle w:val="libNormal"/>
        <w:rPr>
          <w:rtl/>
          <w:lang w:bidi="fa-IR"/>
        </w:rPr>
      </w:pPr>
      <w:r>
        <w:rPr>
          <w:rtl/>
          <w:lang w:bidi="fa-IR"/>
        </w:rPr>
        <w:br w:type="page"/>
      </w:r>
    </w:p>
    <w:p w:rsidR="00144FA6" w:rsidRDefault="00744A1C" w:rsidP="007A497B">
      <w:pPr>
        <w:pStyle w:val="libNormal0"/>
        <w:rPr>
          <w:rtl/>
          <w:lang w:bidi="fa-IR"/>
        </w:rPr>
      </w:pPr>
      <w:r>
        <w:rPr>
          <w:rtl/>
          <w:lang w:bidi="fa-IR"/>
        </w:rPr>
        <w:t xml:space="preserve">فَهُوَ عَلى حَقِّهِ ». </w:t>
      </w:r>
      <w:r w:rsidRPr="00D10E3C">
        <w:rPr>
          <w:rStyle w:val="libFootnotenumChar"/>
          <w:rtl/>
        </w:rPr>
        <w:t>(1)</w:t>
      </w:r>
    </w:p>
    <w:p w:rsidR="00144FA6" w:rsidRDefault="00744A1C" w:rsidP="00744A1C">
      <w:pPr>
        <w:pStyle w:val="libNormal"/>
        <w:rPr>
          <w:rtl/>
          <w:lang w:bidi="fa-IR"/>
        </w:rPr>
      </w:pPr>
      <w:r>
        <w:rPr>
          <w:rtl/>
          <w:lang w:bidi="fa-IR"/>
        </w:rPr>
        <w:t>8490 / 4. عِدَّةٌ مِنْ أَصْحَابِنَا ، عَنْ سَهْلِ بْنِ زِيَادٍ ، عَنْ هَارُونَ بْنِ مُسْلِمٍ ، عَنْ مَسْعَدَةَ بْنِ صَدَقَةَ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2F3FF5" w:rsidRPr="002F3FF5">
        <w:rPr>
          <w:rStyle w:val="libAlaemChar"/>
          <w:rtl/>
        </w:rPr>
        <w:t>صلى‌الله‌عليه‌وآله</w:t>
      </w:r>
      <w:r w:rsidR="00D10E3C">
        <w:rPr>
          <w:rtl/>
          <w:lang w:bidi="fa-IR"/>
        </w:rPr>
        <w:t xml:space="preserve"> </w:t>
      </w:r>
      <w:r w:rsidR="007A497B">
        <w:rPr>
          <w:rtl/>
          <w:lang w:bidi="fa-IR"/>
        </w:rPr>
        <w:t>: لَاوَجَعَ إِل</w:t>
      </w:r>
      <w:r w:rsidR="007A497B">
        <w:rPr>
          <w:rFonts w:hint="cs"/>
          <w:rtl/>
          <w:lang w:bidi="fa-IR"/>
        </w:rPr>
        <w:t>َّ</w:t>
      </w:r>
      <w:r w:rsidR="007A497B">
        <w:rPr>
          <w:rtl/>
          <w:lang w:bidi="fa-IR"/>
        </w:rPr>
        <w:t>ا</w:t>
      </w:r>
      <w:r>
        <w:rPr>
          <w:rtl/>
          <w:lang w:bidi="fa-IR"/>
        </w:rPr>
        <w:t xml:space="preserve"> وَجَع</w:t>
      </w:r>
      <w:r w:rsidR="007A497B">
        <w:rPr>
          <w:rtl/>
          <w:lang w:bidi="fa-IR"/>
        </w:rPr>
        <w:t>ُ الْعَيْنِ ، وَلَا هَمَّ إِل</w:t>
      </w:r>
      <w:r w:rsidR="007A497B">
        <w:rPr>
          <w:rFonts w:hint="cs"/>
          <w:rtl/>
          <w:lang w:bidi="fa-IR"/>
        </w:rPr>
        <w:t>َّ</w:t>
      </w:r>
      <w:r w:rsidR="007A497B">
        <w:rPr>
          <w:rtl/>
          <w:lang w:bidi="fa-IR"/>
        </w:rPr>
        <w:t>ا</w:t>
      </w:r>
      <w:r>
        <w:rPr>
          <w:rtl/>
          <w:lang w:bidi="fa-IR"/>
        </w:rPr>
        <w:t xml:space="preserve"> هَمُّ الدَّيْنِ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8491 / 5. وَبِهذَا الْإِسْنَادِ ، قَالَ :</w:t>
      </w:r>
    </w:p>
    <w:p w:rsidR="00144FA6" w:rsidRDefault="00744A1C" w:rsidP="00744A1C">
      <w:pPr>
        <w:pStyle w:val="libNormal"/>
        <w:rPr>
          <w:rtl/>
          <w:lang w:bidi="fa-IR"/>
        </w:rPr>
      </w:pPr>
      <w:r>
        <w:rPr>
          <w:rtl/>
          <w:lang w:bidi="fa-IR"/>
        </w:rPr>
        <w:t xml:space="preserve">« قَالَ رَسُولُ اللهِ </w:t>
      </w:r>
      <w:r w:rsidR="0017097C" w:rsidRPr="0017097C">
        <w:rPr>
          <w:rStyle w:val="libAlaemChar"/>
          <w:rtl/>
        </w:rPr>
        <w:t>صلى‌الله‌عليه‌وآله</w:t>
      </w:r>
      <w:r w:rsidR="00D10E3C">
        <w:rPr>
          <w:rtl/>
          <w:lang w:bidi="fa-IR"/>
        </w:rPr>
        <w:t xml:space="preserve"> </w:t>
      </w:r>
      <w:r>
        <w:rPr>
          <w:rtl/>
          <w:lang w:bidi="fa-IR"/>
        </w:rPr>
        <w:t xml:space="preserve">: الدَّيْنُ رِبْقَةُ </w:t>
      </w:r>
      <w:r w:rsidRPr="00D10E3C">
        <w:rPr>
          <w:rStyle w:val="libFootnotenumChar"/>
          <w:rtl/>
        </w:rPr>
        <w:t>(4)</w:t>
      </w:r>
      <w:r>
        <w:rPr>
          <w:rtl/>
          <w:lang w:bidi="fa-IR"/>
        </w:rPr>
        <w:t xml:space="preserve"> اللهِ فِي الْأَرْضِ </w:t>
      </w:r>
      <w:r w:rsidRPr="00D10E3C">
        <w:rPr>
          <w:rStyle w:val="libFootnotenumChar"/>
          <w:rtl/>
        </w:rPr>
        <w:t>(5)</w:t>
      </w:r>
      <w:r>
        <w:rPr>
          <w:rtl/>
          <w:lang w:bidi="fa-IR"/>
        </w:rPr>
        <w:t xml:space="preserve"> ، فَإِذَا أَرَادَ اللهُ </w:t>
      </w:r>
      <w:r w:rsidRPr="00D10E3C">
        <w:rPr>
          <w:rStyle w:val="libFootnotenumChar"/>
          <w:rtl/>
        </w:rPr>
        <w:t>(6)</w:t>
      </w:r>
      <w:r>
        <w:rPr>
          <w:rtl/>
          <w:lang w:bidi="fa-IR"/>
        </w:rPr>
        <w:t xml:space="preserve"> أَنْ يُذِلَّ عَبْداً </w:t>
      </w:r>
      <w:r w:rsidRPr="00D10E3C">
        <w:rPr>
          <w:rStyle w:val="libFootnotenumChar"/>
          <w:rtl/>
        </w:rPr>
        <w:t>(7)</w:t>
      </w:r>
      <w:r>
        <w:rPr>
          <w:rtl/>
          <w:lang w:bidi="fa-IR"/>
        </w:rPr>
        <w:t xml:space="preserve"> ، وَضَعَهُ </w:t>
      </w:r>
      <w:r w:rsidRPr="00D10E3C">
        <w:rPr>
          <w:rStyle w:val="libFootnotenumChar"/>
          <w:rtl/>
        </w:rPr>
        <w:t>(8)</w:t>
      </w:r>
      <w:r>
        <w:rPr>
          <w:rtl/>
          <w:lang w:bidi="fa-IR"/>
        </w:rPr>
        <w:t xml:space="preserve"> فِي </w:t>
      </w:r>
      <w:r w:rsidRPr="00D10E3C">
        <w:rPr>
          <w:rStyle w:val="libFootnotenumChar"/>
          <w:rtl/>
        </w:rPr>
        <w:t>(9)</w:t>
      </w:r>
      <w:r>
        <w:rPr>
          <w:rtl/>
          <w:lang w:bidi="fa-IR"/>
        </w:rPr>
        <w:t xml:space="preserve"> عُنُقِهِ ». </w:t>
      </w:r>
      <w:r w:rsidRPr="00D10E3C">
        <w:rPr>
          <w:rStyle w:val="libFootnotenumChar"/>
          <w:rtl/>
        </w:rPr>
        <w:t>(10)</w:t>
      </w:r>
    </w:p>
    <w:p w:rsidR="00144FA6" w:rsidRDefault="00744A1C" w:rsidP="00744A1C">
      <w:pPr>
        <w:pStyle w:val="libNormal"/>
        <w:rPr>
          <w:rtl/>
          <w:lang w:bidi="fa-IR"/>
        </w:rPr>
      </w:pPr>
      <w:r>
        <w:rPr>
          <w:rtl/>
          <w:lang w:bidi="fa-IR"/>
        </w:rPr>
        <w:t>8492 / 6. مُحَمَّدُ بْنُ يَحْيى ، عَنْ أَحْمَدَ بْنِ مُحَمَّدٍ ، عَنْ مُحَمَّدِ بْنِ سِنَانٍ ، عَنْ حَمَّادِ بْنِ أَبِي طَلْحَةَ بَيَّاعِ السَّابِرِيِّ وَمُحَمَّدِ بْنِ الْفُضَيْلِ وَحَكَمٍ الْحَنَّاطِ جَمِيعاً ، عَنْ أَبِي حَمْزَةَ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61079A">
        <w:rPr>
          <w:rStyle w:val="libFootnoteBoldChar"/>
          <w:rtl/>
        </w:rPr>
        <w:t>الكافي</w:t>
      </w:r>
      <w:r w:rsidR="00744A1C">
        <w:rPr>
          <w:rtl/>
          <w:lang w:bidi="fa-IR"/>
        </w:rPr>
        <w:t xml:space="preserve"> ، كتاب القضاء والأحكام ، باب أنّ من رضي باليمين فحلف له ... ، ح 14638. وفي </w:t>
      </w:r>
      <w:r w:rsidR="00744A1C" w:rsidRPr="00C24F9C">
        <w:rPr>
          <w:rStyle w:val="libFootnoteBoldChar"/>
          <w:rtl/>
        </w:rPr>
        <w:t>التهذيب</w:t>
      </w:r>
      <w:r w:rsidR="00744A1C">
        <w:rPr>
          <w:rtl/>
          <w:lang w:bidi="fa-IR"/>
        </w:rPr>
        <w:t xml:space="preserve"> ، ج 6 ، ص 231 ، ح 566 ، معلّقاً عن عليّ بن إبراهيم ، عن أبيه ، عن محمّد بن أبي عمير ؛ </w:t>
      </w:r>
      <w:r w:rsidR="00744A1C" w:rsidRPr="00C24F9C">
        <w:rPr>
          <w:rStyle w:val="libFootnoteBoldChar"/>
          <w:rtl/>
        </w:rPr>
        <w:t>التهذيب</w:t>
      </w:r>
      <w:r w:rsidR="00744A1C">
        <w:rPr>
          <w:rtl/>
          <w:lang w:bidi="fa-IR"/>
        </w:rPr>
        <w:t xml:space="preserve"> ، ج 8 ، ص 293 ، ح 1085 ، بسنده عن ابن أبي عمير ؛ </w:t>
      </w:r>
      <w:r w:rsidR="00744A1C" w:rsidRPr="00C24F9C">
        <w:rPr>
          <w:rStyle w:val="libFootnoteBoldChar"/>
          <w:rtl/>
        </w:rPr>
        <w:t>الفقيه</w:t>
      </w:r>
      <w:r w:rsidR="00744A1C">
        <w:rPr>
          <w:rtl/>
          <w:lang w:bidi="fa-IR"/>
        </w:rPr>
        <w:t xml:space="preserve"> ، ج 3 ، ص 185 ، ح 3695 ، معلّقاً عن إبراهيم بن عبد الحميد </w:t>
      </w:r>
      <w:r w:rsidR="007A497B">
        <w:rPr>
          <w:rFonts w:hint="cs"/>
          <w:rtl/>
          <w:lang w:bidi="fa-IR"/>
        </w:rPr>
        <w:t>.</w:t>
      </w:r>
      <w:r w:rsidR="00744A1C" w:rsidRPr="00C24F9C">
        <w:rPr>
          <w:rStyle w:val="libFootnoteBoldChar"/>
          <w:rtl/>
        </w:rPr>
        <w:t>الوافي</w:t>
      </w:r>
      <w:r w:rsidR="00744A1C">
        <w:rPr>
          <w:rtl/>
          <w:lang w:bidi="fa-IR"/>
        </w:rPr>
        <w:t xml:space="preserve"> ، ج 18 ، ص 803 ، ح 18333 ؛ </w:t>
      </w:r>
      <w:r w:rsidR="00744A1C" w:rsidRPr="00C24F9C">
        <w:rPr>
          <w:rStyle w:val="libFootnoteBoldChar"/>
          <w:rtl/>
        </w:rPr>
        <w:t>الوسائل</w:t>
      </w:r>
      <w:r w:rsidR="00744A1C">
        <w:rPr>
          <w:rtl/>
          <w:lang w:bidi="fa-IR"/>
        </w:rPr>
        <w:t xml:space="preserve"> ، ج 23 ، ص 285 ، ذيل ح 2581.</w:t>
      </w:r>
    </w:p>
    <w:p w:rsidR="00744A1C" w:rsidRDefault="00E378DD" w:rsidP="00E378DD">
      <w:pPr>
        <w:pStyle w:val="libFootnote0"/>
        <w:rPr>
          <w:lang w:bidi="fa-IR"/>
        </w:rPr>
      </w:pPr>
      <w:r>
        <w:rPr>
          <w:rtl/>
          <w:lang w:bidi="fa-IR"/>
        </w:rPr>
        <w:t>(2).</w:t>
      </w:r>
      <w:r w:rsidR="007A497B">
        <w:rPr>
          <w:rtl/>
          <w:lang w:bidi="fa-IR"/>
        </w:rPr>
        <w:t xml:space="preserve"> في العلل : « ولا الجهد إل</w:t>
      </w:r>
      <w:r w:rsidR="007A497B">
        <w:rPr>
          <w:rFonts w:hint="cs"/>
          <w:rtl/>
          <w:lang w:bidi="fa-IR"/>
        </w:rPr>
        <w:t>ّ</w:t>
      </w:r>
      <w:r w:rsidR="007A497B">
        <w:rPr>
          <w:rtl/>
          <w:lang w:bidi="fa-IR"/>
        </w:rPr>
        <w:t>اجهد الدين » بدل « ولا همّ إل</w:t>
      </w:r>
      <w:r w:rsidR="007A497B">
        <w:rPr>
          <w:rFonts w:hint="cs"/>
          <w:rtl/>
          <w:lang w:bidi="fa-IR"/>
        </w:rPr>
        <w:t>ّ</w:t>
      </w:r>
      <w:r w:rsidR="007A497B">
        <w:rPr>
          <w:rtl/>
          <w:lang w:bidi="fa-IR"/>
        </w:rPr>
        <w:t>ا</w:t>
      </w:r>
      <w:r w:rsidR="007A497B">
        <w:rPr>
          <w:rFonts w:hint="cs"/>
          <w:rtl/>
          <w:lang w:bidi="fa-IR"/>
        </w:rPr>
        <w:t xml:space="preserve"> </w:t>
      </w:r>
      <w:r w:rsidR="00744A1C">
        <w:rPr>
          <w:rtl/>
          <w:lang w:bidi="fa-IR"/>
        </w:rPr>
        <w:t>همّ الدين ».</w:t>
      </w:r>
    </w:p>
    <w:p w:rsidR="00744A1C" w:rsidRDefault="00E378DD" w:rsidP="00E378DD">
      <w:pPr>
        <w:pStyle w:val="libFootnote0"/>
        <w:rPr>
          <w:lang w:bidi="fa-IR"/>
        </w:rPr>
      </w:pPr>
      <w:r>
        <w:rPr>
          <w:rtl/>
          <w:lang w:bidi="fa-IR"/>
        </w:rPr>
        <w:t>(3).</w:t>
      </w:r>
      <w:r w:rsidR="00744A1C">
        <w:rPr>
          <w:rtl/>
          <w:lang w:bidi="fa-IR"/>
        </w:rPr>
        <w:t xml:space="preserve"> </w:t>
      </w:r>
      <w:r w:rsidR="00744A1C" w:rsidRPr="003A7143">
        <w:rPr>
          <w:rStyle w:val="libFootnoteBoldChar"/>
          <w:rtl/>
        </w:rPr>
        <w:t>علل الشرائع</w:t>
      </w:r>
      <w:r w:rsidR="00744A1C">
        <w:rPr>
          <w:rtl/>
          <w:lang w:bidi="fa-IR"/>
        </w:rPr>
        <w:t xml:space="preserve"> ، ص 529 ، ح 9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F90866" w:rsidRPr="00F90866">
        <w:rPr>
          <w:rStyle w:val="libFootnoteAlaemChar"/>
          <w:rtl/>
        </w:rPr>
        <w:t>صلى‌الله‌عليه‌وآله</w:t>
      </w:r>
      <w:r w:rsidR="00744A1C">
        <w:rPr>
          <w:rtl/>
          <w:lang w:bidi="fa-IR"/>
        </w:rPr>
        <w:t xml:space="preserve"> </w:t>
      </w:r>
      <w:r w:rsidR="007A497B">
        <w:rPr>
          <w:rFonts w:hint="cs"/>
          <w:rtl/>
          <w:lang w:bidi="fa-IR"/>
        </w:rPr>
        <w:t>.</w:t>
      </w:r>
      <w:r w:rsidR="00744A1C" w:rsidRPr="00C24F9C">
        <w:rPr>
          <w:rStyle w:val="libFootnoteBoldChar"/>
          <w:rtl/>
        </w:rPr>
        <w:t>الوافي</w:t>
      </w:r>
      <w:r w:rsidR="00744A1C">
        <w:rPr>
          <w:rtl/>
          <w:lang w:bidi="fa-IR"/>
        </w:rPr>
        <w:t xml:space="preserve"> ، ج 17 ، ص 141 ، ح 17011 ؛ </w:t>
      </w:r>
      <w:r w:rsidR="00744A1C" w:rsidRPr="00C24F9C">
        <w:rPr>
          <w:rStyle w:val="libFootnoteBoldChar"/>
          <w:rtl/>
        </w:rPr>
        <w:t>الوسائل</w:t>
      </w:r>
      <w:r w:rsidR="00744A1C">
        <w:rPr>
          <w:rtl/>
          <w:lang w:bidi="fa-IR"/>
        </w:rPr>
        <w:t xml:space="preserve"> ، ج 18 ، ص 318 ، ح 23756.</w:t>
      </w:r>
    </w:p>
    <w:p w:rsidR="00744A1C" w:rsidRDefault="00E378DD" w:rsidP="00E378DD">
      <w:pPr>
        <w:pStyle w:val="libFootnote0"/>
        <w:rPr>
          <w:lang w:bidi="fa-IR"/>
        </w:rPr>
      </w:pPr>
      <w:r>
        <w:rPr>
          <w:rtl/>
          <w:lang w:bidi="fa-IR"/>
        </w:rPr>
        <w:t>(4).</w:t>
      </w:r>
      <w:r w:rsidR="00744A1C">
        <w:rPr>
          <w:rtl/>
          <w:lang w:bidi="fa-IR"/>
        </w:rPr>
        <w:t xml:space="preserve"> في </w:t>
      </w:r>
      <w:r w:rsidR="00744A1C" w:rsidRPr="007A497B">
        <w:rPr>
          <w:rtl/>
        </w:rPr>
        <w:t>الوسائل</w:t>
      </w:r>
      <w:r w:rsidR="00744A1C">
        <w:rPr>
          <w:rtl/>
          <w:lang w:bidi="fa-IR"/>
        </w:rPr>
        <w:t xml:space="preserve"> والعلل : « راية ». والربقة في الأصل : عروة في حبل ، تجعل في عنق البهيمة أو يدها تمسكها ». </w:t>
      </w:r>
      <w:r w:rsidR="00744A1C" w:rsidRPr="00877682">
        <w:rPr>
          <w:rStyle w:val="libFootnoteBoldChar"/>
          <w:rtl/>
        </w:rPr>
        <w:t>النهاية</w:t>
      </w:r>
      <w:r w:rsidR="00744A1C">
        <w:rPr>
          <w:rtl/>
          <w:lang w:bidi="fa-IR"/>
        </w:rPr>
        <w:t xml:space="preserve"> ، ج 2 ، ص 190 ( ربق ).</w:t>
      </w:r>
    </w:p>
    <w:p w:rsidR="00744A1C" w:rsidRDefault="00E378DD" w:rsidP="00E378DD">
      <w:pPr>
        <w:pStyle w:val="libFootnote0"/>
        <w:rPr>
          <w:lang w:bidi="fa-IR"/>
        </w:rPr>
      </w:pPr>
      <w:r>
        <w:rPr>
          <w:rtl/>
          <w:lang w:bidi="fa-IR"/>
        </w:rPr>
        <w:t>(5).</w:t>
      </w:r>
      <w:r w:rsidR="00744A1C">
        <w:rPr>
          <w:rtl/>
          <w:lang w:bidi="fa-IR"/>
        </w:rPr>
        <w:t xml:space="preserve"> في </w:t>
      </w:r>
      <w:r w:rsidR="00744A1C" w:rsidRPr="007A497B">
        <w:rPr>
          <w:rtl/>
        </w:rPr>
        <w:t>الوسائل</w:t>
      </w:r>
      <w:r w:rsidR="00744A1C">
        <w:rPr>
          <w:rtl/>
          <w:lang w:bidi="fa-IR"/>
        </w:rPr>
        <w:t xml:space="preserve"> : « الأرضين ».</w:t>
      </w:r>
    </w:p>
    <w:p w:rsidR="00744A1C" w:rsidRDefault="00E378DD" w:rsidP="00E378DD">
      <w:pPr>
        <w:pStyle w:val="libFootnote0"/>
        <w:rPr>
          <w:lang w:bidi="fa-IR"/>
        </w:rPr>
      </w:pPr>
      <w:r>
        <w:rPr>
          <w:rtl/>
          <w:lang w:bidi="fa-IR"/>
        </w:rPr>
        <w:t>(6).</w:t>
      </w:r>
      <w:r w:rsidR="00744A1C">
        <w:rPr>
          <w:rtl/>
          <w:lang w:bidi="fa-IR"/>
        </w:rPr>
        <w:t xml:space="preserve"> في « ى ، بح ، بس ، جد ، جن » </w:t>
      </w:r>
      <w:r w:rsidR="00744A1C" w:rsidRPr="007A497B">
        <w:rPr>
          <w:rtl/>
        </w:rPr>
        <w:t>والوسائل</w:t>
      </w:r>
      <w:r w:rsidR="00744A1C">
        <w:rPr>
          <w:rtl/>
          <w:lang w:bidi="fa-IR"/>
        </w:rPr>
        <w:t xml:space="preserve"> والعلل : - « الله ».</w:t>
      </w:r>
    </w:p>
    <w:tbl>
      <w:tblPr>
        <w:tblStyle w:val="TableGrid"/>
        <w:bidiVisual/>
        <w:tblW w:w="0" w:type="auto"/>
        <w:tblLook w:val="04A0" w:firstRow="1" w:lastRow="0" w:firstColumn="1" w:lastColumn="0" w:noHBand="0" w:noVBand="1"/>
      </w:tblPr>
      <w:tblGrid>
        <w:gridCol w:w="4006"/>
        <w:gridCol w:w="4006"/>
      </w:tblGrid>
      <w:tr w:rsidR="007A497B" w:rsidTr="007A497B">
        <w:tc>
          <w:tcPr>
            <w:tcW w:w="4006" w:type="dxa"/>
          </w:tcPr>
          <w:p w:rsidR="007A497B" w:rsidRDefault="007A497B" w:rsidP="00E378DD">
            <w:pPr>
              <w:pStyle w:val="libFootnote0"/>
              <w:rPr>
                <w:rtl/>
                <w:lang w:bidi="fa-IR"/>
              </w:rPr>
            </w:pPr>
            <w:r>
              <w:rPr>
                <w:rtl/>
                <w:lang w:bidi="fa-IR"/>
              </w:rPr>
              <w:t>(7). في « بح ، بف » : « عبده ».</w:t>
            </w:r>
          </w:p>
        </w:tc>
        <w:tc>
          <w:tcPr>
            <w:tcW w:w="4006" w:type="dxa"/>
          </w:tcPr>
          <w:p w:rsidR="007A497B" w:rsidRDefault="007A497B" w:rsidP="00E378DD">
            <w:pPr>
              <w:pStyle w:val="libFootnote0"/>
              <w:rPr>
                <w:rtl/>
                <w:lang w:bidi="fa-IR"/>
              </w:rPr>
            </w:pPr>
            <w:r>
              <w:rPr>
                <w:rtl/>
                <w:lang w:bidi="fa-IR"/>
              </w:rPr>
              <w:t>(8). في « ط » : + « الله ».</w:t>
            </w:r>
          </w:p>
        </w:tc>
      </w:tr>
    </w:tbl>
    <w:p w:rsidR="00744A1C" w:rsidRDefault="00E378DD" w:rsidP="00E378DD">
      <w:pPr>
        <w:pStyle w:val="libFootnote0"/>
        <w:rPr>
          <w:lang w:bidi="fa-IR"/>
        </w:rPr>
      </w:pPr>
      <w:r>
        <w:rPr>
          <w:rtl/>
          <w:lang w:bidi="fa-IR"/>
        </w:rPr>
        <w:t>(9).</w:t>
      </w:r>
      <w:r w:rsidR="00744A1C">
        <w:rPr>
          <w:rtl/>
          <w:lang w:bidi="fa-IR"/>
        </w:rPr>
        <w:t xml:space="preserve"> في « بخ » : « على ».</w:t>
      </w:r>
    </w:p>
    <w:p w:rsidR="00744A1C" w:rsidRDefault="00E378DD" w:rsidP="00E378DD">
      <w:pPr>
        <w:pStyle w:val="libFootnote0"/>
        <w:rPr>
          <w:lang w:bidi="fa-IR"/>
        </w:rPr>
      </w:pPr>
      <w:r>
        <w:rPr>
          <w:rtl/>
          <w:lang w:bidi="fa-IR"/>
        </w:rPr>
        <w:t>(10).</w:t>
      </w:r>
      <w:r w:rsidR="00744A1C">
        <w:rPr>
          <w:rtl/>
          <w:lang w:bidi="fa-IR"/>
        </w:rPr>
        <w:t xml:space="preserve"> </w:t>
      </w:r>
      <w:r w:rsidR="00744A1C" w:rsidRPr="003A7143">
        <w:rPr>
          <w:rStyle w:val="libFootnoteBoldChar"/>
          <w:rtl/>
        </w:rPr>
        <w:t>علل الشرائع</w:t>
      </w:r>
      <w:r w:rsidR="00744A1C">
        <w:rPr>
          <w:rtl/>
          <w:lang w:bidi="fa-IR"/>
        </w:rPr>
        <w:t xml:space="preserve"> ، ص 529 ، ح 10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7A497B">
        <w:rPr>
          <w:rFonts w:hint="cs"/>
          <w:rtl/>
          <w:lang w:bidi="fa-IR"/>
        </w:rPr>
        <w:t>.</w:t>
      </w:r>
      <w:r w:rsidR="00744A1C" w:rsidRPr="00C24F9C">
        <w:rPr>
          <w:rStyle w:val="libFootnoteBoldChar"/>
          <w:rtl/>
        </w:rPr>
        <w:t>الوافي</w:t>
      </w:r>
      <w:r w:rsidR="00744A1C">
        <w:rPr>
          <w:rtl/>
          <w:lang w:bidi="fa-IR"/>
        </w:rPr>
        <w:t xml:space="preserve"> ، ج 17 ، ص 141 ، ح 17012 ؛ </w:t>
      </w:r>
      <w:r w:rsidR="00744A1C" w:rsidRPr="00C24F9C">
        <w:rPr>
          <w:rStyle w:val="libFootnoteBoldChar"/>
          <w:rtl/>
        </w:rPr>
        <w:t>الوسائل</w:t>
      </w:r>
      <w:r w:rsidR="00744A1C">
        <w:rPr>
          <w:rtl/>
          <w:lang w:bidi="fa-IR"/>
        </w:rPr>
        <w:t xml:space="preserve"> ، ج 18 ، ص 318 ، ح 23757.</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سَمِعْتُ أَبَا جَعْفَرٍ </w:t>
      </w:r>
      <w:r w:rsidR="0061079A" w:rsidRPr="0061079A">
        <w:rPr>
          <w:rStyle w:val="libAlaemChar"/>
          <w:rtl/>
        </w:rPr>
        <w:t>عليه‌السلام</w:t>
      </w:r>
      <w:r w:rsidR="00D10E3C">
        <w:rPr>
          <w:rtl/>
          <w:lang w:bidi="fa-IR"/>
        </w:rPr>
        <w:t xml:space="preserve"> </w:t>
      </w:r>
      <w:r>
        <w:rPr>
          <w:rtl/>
          <w:lang w:bidi="fa-IR"/>
        </w:rPr>
        <w:t xml:space="preserve">يَقُولُ : « مَنْ حَبَسَ مَالَ </w:t>
      </w:r>
      <w:r w:rsidRPr="00D10E3C">
        <w:rPr>
          <w:rStyle w:val="libFootnotenumChar"/>
          <w:rtl/>
        </w:rPr>
        <w:t>(1)</w:t>
      </w:r>
      <w:r>
        <w:rPr>
          <w:rtl/>
          <w:lang w:bidi="fa-IR"/>
        </w:rPr>
        <w:t xml:space="preserve"> امْرِئٍ مُسْلِمٍ وَهُوَ قَادِرٌ </w:t>
      </w:r>
      <w:r w:rsidRPr="00D10E3C">
        <w:rPr>
          <w:rStyle w:val="libFootnotenumChar"/>
          <w:rtl/>
        </w:rPr>
        <w:t>(2)</w:t>
      </w:r>
      <w:r>
        <w:rPr>
          <w:rtl/>
          <w:lang w:bidi="fa-IR"/>
        </w:rPr>
        <w:t xml:space="preserve"> عَلى أَنْ يُعْطِيَهُ إِيَّاهُ ؛ مَخَافَةَ إِنْ خَرَجَ ذلِكَ الْحَقُّ </w:t>
      </w:r>
      <w:r w:rsidRPr="00D10E3C">
        <w:rPr>
          <w:rStyle w:val="libFootnotenumChar"/>
          <w:rtl/>
        </w:rPr>
        <w:t>(3)</w:t>
      </w:r>
      <w:r>
        <w:rPr>
          <w:rtl/>
          <w:lang w:bidi="fa-IR"/>
        </w:rPr>
        <w:t xml:space="preserve"> مِنْ يَدِهِ أَنْ يَفْتَقِرَ ، كَانَ اللهُ - عَزَّ وَجَلَّ - أَقْدَرَ عَلى أَنْ يُفْقِرَهُ مِنْهُ عَلى أَنْ يُفْنِيَ </w:t>
      </w:r>
      <w:r w:rsidRPr="00D10E3C">
        <w:rPr>
          <w:rStyle w:val="libFootnotenumChar"/>
          <w:rtl/>
        </w:rPr>
        <w:t>(4)</w:t>
      </w:r>
      <w:r>
        <w:rPr>
          <w:rtl/>
          <w:lang w:bidi="fa-IR"/>
        </w:rPr>
        <w:t xml:space="preserve"> نَفْسَهُ بِحَبْسِهِ ذلِكَ الْحَقَّ ». </w:t>
      </w:r>
      <w:r w:rsidRPr="00D10E3C">
        <w:rPr>
          <w:rStyle w:val="libFootnotenumChar"/>
          <w:rtl/>
        </w:rPr>
        <w:t>(5)</w:t>
      </w:r>
    </w:p>
    <w:p w:rsidR="00744A1C" w:rsidRDefault="00744A1C" w:rsidP="007A497B">
      <w:pPr>
        <w:pStyle w:val="Heading2Center"/>
        <w:rPr>
          <w:lang w:bidi="fa-IR"/>
        </w:rPr>
      </w:pPr>
      <w:bookmarkStart w:id="149" w:name="_Toc49261447"/>
      <w:r>
        <w:rPr>
          <w:rtl/>
          <w:lang w:bidi="fa-IR"/>
        </w:rPr>
        <w:t xml:space="preserve">26 - بَابُ إِذَا الْتَوَى </w:t>
      </w:r>
      <w:r w:rsidRPr="00D10E3C">
        <w:rPr>
          <w:rStyle w:val="libFootnotenumChar"/>
          <w:rtl/>
        </w:rPr>
        <w:t>(6)</w:t>
      </w:r>
      <w:r>
        <w:rPr>
          <w:rtl/>
          <w:lang w:bidi="fa-IR"/>
        </w:rPr>
        <w:t xml:space="preserve"> الَّذِي عَلَيْهِ الدَّيْنُ عَلَى الْغُرَمَاءِ‌</w:t>
      </w:r>
      <w:bookmarkEnd w:id="149"/>
    </w:p>
    <w:p w:rsidR="00144FA6" w:rsidRDefault="00744A1C" w:rsidP="00744A1C">
      <w:pPr>
        <w:pStyle w:val="libNormal"/>
        <w:rPr>
          <w:rtl/>
          <w:lang w:bidi="fa-IR"/>
        </w:rPr>
      </w:pPr>
      <w:r>
        <w:rPr>
          <w:rtl/>
          <w:lang w:bidi="fa-IR"/>
        </w:rPr>
        <w:t>8493 / 1. مُحَمَّدُ بْنُ يَحْيى ، عَنْ أَحْمَدَ بْنِ مُحَمَّدٍ ، عَنِ ابْنِ فَضَّالٍ ، عَنْ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أَمِيرُ الْمُؤْمِنِينَ - صَلَوَاتُ اللهِ عَلَيْهِ - يَحْبِسُ الرَّجُلَ إِذَا الْتَوى عَلى غُرَمَائِهِ ، ثُمَّ يَأْمُرُ </w:t>
      </w:r>
      <w:r w:rsidRPr="00D10E3C">
        <w:rPr>
          <w:rStyle w:val="libFootnotenumChar"/>
          <w:rtl/>
        </w:rPr>
        <w:t>(7)</w:t>
      </w:r>
      <w:r>
        <w:rPr>
          <w:rtl/>
          <w:lang w:bidi="fa-IR"/>
        </w:rPr>
        <w:t xml:space="preserve"> ، فَيَقْسِمُ </w:t>
      </w:r>
      <w:r w:rsidRPr="00D10E3C">
        <w:rPr>
          <w:rStyle w:val="libFootnotenumChar"/>
          <w:rtl/>
        </w:rPr>
        <w:t>(8)</w:t>
      </w:r>
      <w:r>
        <w:rPr>
          <w:rtl/>
          <w:lang w:bidi="fa-IR"/>
        </w:rPr>
        <w:t xml:space="preserve"> مَالَهُ بَيْنَهُمْ بِالْحِصَصِ ، فَإِنْ أَبى بَاعَهُ </w:t>
      </w:r>
      <w:r w:rsidRPr="00D10E3C">
        <w:rPr>
          <w:rStyle w:val="libFootnotenumChar"/>
          <w:rtl/>
        </w:rPr>
        <w:t>(9)</w:t>
      </w:r>
      <w:r>
        <w:rPr>
          <w:rtl/>
          <w:lang w:bidi="fa-IR"/>
        </w:rPr>
        <w:t xml:space="preserve"> ، فَيَقْسِمُ</w:t>
      </w:r>
      <w:r w:rsidRPr="00D10E3C">
        <w:rPr>
          <w:rStyle w:val="libFootnotenumChar"/>
          <w:rtl/>
        </w:rPr>
        <w:t>(10)</w:t>
      </w:r>
      <w:r>
        <w:rPr>
          <w:rtl/>
          <w:lang w:bidi="fa-IR"/>
        </w:rPr>
        <w:t xml:space="preserve">» يَعْنِي مَالَهُ.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7A497B">
        <w:rPr>
          <w:rtl/>
        </w:rPr>
        <w:t>الفقيه والتهذيب</w:t>
      </w:r>
      <w:r w:rsidR="00744A1C">
        <w:rPr>
          <w:rtl/>
          <w:lang w:bidi="fa-IR"/>
        </w:rPr>
        <w:t xml:space="preserve"> : « حقّ ».</w:t>
      </w:r>
    </w:p>
    <w:p w:rsidR="00744A1C" w:rsidRDefault="00E378DD" w:rsidP="00E378DD">
      <w:pPr>
        <w:pStyle w:val="libFootnote0"/>
        <w:rPr>
          <w:lang w:bidi="fa-IR"/>
        </w:rPr>
      </w:pPr>
      <w:r>
        <w:rPr>
          <w:rtl/>
          <w:lang w:bidi="fa-IR"/>
        </w:rPr>
        <w:t>(2).</w:t>
      </w:r>
      <w:r w:rsidR="00744A1C">
        <w:rPr>
          <w:rtl/>
          <w:lang w:bidi="fa-IR"/>
        </w:rPr>
        <w:t xml:space="preserve"> في « بخ ، بف ، جت » </w:t>
      </w:r>
      <w:r w:rsidR="00744A1C" w:rsidRPr="007A497B">
        <w:rPr>
          <w:rtl/>
        </w:rPr>
        <w:t>والوافي والفقيه والتهذيب</w:t>
      </w:r>
      <w:r w:rsidR="00744A1C">
        <w:rPr>
          <w:rtl/>
          <w:lang w:bidi="fa-IR"/>
        </w:rPr>
        <w:t xml:space="preserve"> : « يقدر ».</w:t>
      </w:r>
    </w:p>
    <w:p w:rsidR="00744A1C" w:rsidRDefault="00E378DD" w:rsidP="00E378DD">
      <w:pPr>
        <w:pStyle w:val="libFootnote0"/>
        <w:rPr>
          <w:lang w:bidi="fa-IR"/>
        </w:rPr>
      </w:pPr>
      <w:r>
        <w:rPr>
          <w:rtl/>
          <w:lang w:bidi="fa-IR"/>
        </w:rPr>
        <w:t>(3).</w:t>
      </w:r>
      <w:r w:rsidR="00744A1C">
        <w:rPr>
          <w:rtl/>
          <w:lang w:bidi="fa-IR"/>
        </w:rPr>
        <w:t xml:space="preserve"> في « بس ، جن » : « المال ».</w:t>
      </w:r>
    </w:p>
    <w:p w:rsidR="00744A1C" w:rsidRDefault="00E378DD" w:rsidP="00E378DD">
      <w:pPr>
        <w:pStyle w:val="libFootnote0"/>
        <w:rPr>
          <w:lang w:bidi="fa-IR"/>
        </w:rPr>
      </w:pPr>
      <w:r>
        <w:rPr>
          <w:rtl/>
          <w:lang w:bidi="fa-IR"/>
        </w:rPr>
        <w:t>(4).</w:t>
      </w:r>
      <w:r w:rsidR="00744A1C">
        <w:rPr>
          <w:rtl/>
          <w:lang w:bidi="fa-IR"/>
        </w:rPr>
        <w:t xml:space="preserve"> في « ط ، بح ، بخ ، بف ، جد ، جن » </w:t>
      </w:r>
      <w:r w:rsidR="00744A1C" w:rsidRPr="007A497B">
        <w:rPr>
          <w:rtl/>
        </w:rPr>
        <w:t>والوافي والفقيه والتهذيب</w:t>
      </w:r>
      <w:r w:rsidR="00744A1C">
        <w:rPr>
          <w:rtl/>
          <w:lang w:bidi="fa-IR"/>
        </w:rPr>
        <w:t xml:space="preserve"> : « أن يغني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189 ، ح 399 ، معلّقاً عن أحمد بن محمّد. </w:t>
      </w:r>
      <w:r w:rsidR="00744A1C" w:rsidRPr="00C24F9C">
        <w:rPr>
          <w:rStyle w:val="libFootnoteBoldChar"/>
          <w:rtl/>
        </w:rPr>
        <w:t>الفقيه</w:t>
      </w:r>
      <w:r w:rsidR="00744A1C">
        <w:rPr>
          <w:rtl/>
          <w:lang w:bidi="fa-IR"/>
        </w:rPr>
        <w:t xml:space="preserve"> ، ج 3 ، ص 184 ، ح 3691 ، معلّقاً عن أبي حمزة الثمالي </w:t>
      </w:r>
      <w:r w:rsidR="007A497B">
        <w:rPr>
          <w:rFonts w:hint="cs"/>
          <w:rtl/>
          <w:lang w:bidi="fa-IR"/>
        </w:rPr>
        <w:t>.</w:t>
      </w:r>
      <w:r w:rsidR="00744A1C" w:rsidRPr="00C24F9C">
        <w:rPr>
          <w:rStyle w:val="libFootnoteBoldChar"/>
          <w:rtl/>
        </w:rPr>
        <w:t>الوافي</w:t>
      </w:r>
      <w:r w:rsidR="00744A1C">
        <w:rPr>
          <w:rtl/>
          <w:lang w:bidi="fa-IR"/>
        </w:rPr>
        <w:t xml:space="preserve"> ، ج 18 ، ص 787 ، ح 18296 ؛ </w:t>
      </w:r>
      <w:r w:rsidR="00744A1C" w:rsidRPr="00C24F9C">
        <w:rPr>
          <w:rStyle w:val="libFootnoteBoldChar"/>
          <w:rtl/>
        </w:rPr>
        <w:t>الوسائل</w:t>
      </w:r>
      <w:r w:rsidR="00744A1C">
        <w:rPr>
          <w:rtl/>
          <w:lang w:bidi="fa-IR"/>
        </w:rPr>
        <w:t xml:space="preserve"> ، ج 18 ، ص 331 ، ذيل ح 23788.</w:t>
      </w:r>
    </w:p>
    <w:p w:rsidR="00744A1C" w:rsidRDefault="00E378DD" w:rsidP="007A497B">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الالتواء : من الليّ ، وهو سوء الأداء والمطل ». ويقال : التوى عنه ، أي تثاقل. راجع : </w:t>
      </w:r>
      <w:r w:rsidR="00744A1C" w:rsidRPr="00877682">
        <w:rPr>
          <w:rStyle w:val="libFootnoteBoldChar"/>
          <w:rtl/>
        </w:rPr>
        <w:t>لسان العرب</w:t>
      </w:r>
      <w:r w:rsidR="00744A1C">
        <w:rPr>
          <w:rtl/>
          <w:lang w:bidi="fa-IR"/>
        </w:rPr>
        <w:t xml:space="preserve"> ، ج 15 ، ص 263 ( لوي ).</w:t>
      </w:r>
      <w:r w:rsidR="007A497B">
        <w:rPr>
          <w:rFonts w:hint="cs"/>
          <w:rtl/>
          <w:lang w:bidi="fa-IR"/>
        </w:rPr>
        <w:t xml:space="preserve">                                  </w:t>
      </w:r>
      <w:r>
        <w:rPr>
          <w:rtl/>
          <w:lang w:bidi="fa-IR"/>
        </w:rPr>
        <w:t>(7).</w:t>
      </w:r>
      <w:r w:rsidR="00744A1C">
        <w:rPr>
          <w:rtl/>
          <w:lang w:bidi="fa-IR"/>
        </w:rPr>
        <w:t xml:space="preserve"> في « بخ ، بف » : « يأمرهم ».</w:t>
      </w:r>
    </w:p>
    <w:p w:rsidR="00744A1C" w:rsidRDefault="00E378DD" w:rsidP="00E378DD">
      <w:pPr>
        <w:pStyle w:val="libFootnote0"/>
        <w:rPr>
          <w:lang w:bidi="fa-IR"/>
        </w:rPr>
      </w:pPr>
      <w:r>
        <w:rPr>
          <w:rtl/>
          <w:lang w:bidi="fa-IR"/>
        </w:rPr>
        <w:t>(8).</w:t>
      </w:r>
      <w:r w:rsidR="00744A1C">
        <w:rPr>
          <w:rtl/>
          <w:lang w:bidi="fa-IR"/>
        </w:rPr>
        <w:t xml:space="preserve"> في « بخ » : « يقسموا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 « فإن أبي - أي قسمة ماله - باعه ، أي هو بنفسه » وفي </w:t>
      </w:r>
      <w:r w:rsidR="00744A1C" w:rsidRPr="00877682">
        <w:rPr>
          <w:rStyle w:val="libFootnoteBoldChar"/>
          <w:rtl/>
        </w:rPr>
        <w:t>مرآة العقول</w:t>
      </w:r>
      <w:r w:rsidR="007A497B">
        <w:rPr>
          <w:rtl/>
          <w:lang w:bidi="fa-IR"/>
        </w:rPr>
        <w:t xml:space="preserve"> ، ج 19 ، ص 55 : «</w:t>
      </w:r>
      <w:r w:rsidR="00744A1C">
        <w:rPr>
          <w:rtl/>
          <w:lang w:bidi="fa-IR"/>
        </w:rPr>
        <w:t xml:space="preserve">قوله </w:t>
      </w:r>
      <w:r w:rsidR="0061079A" w:rsidRPr="0061079A">
        <w:rPr>
          <w:rStyle w:val="libFootnoteAlaemChar"/>
          <w:rtl/>
        </w:rPr>
        <w:t>عليه‌السلام</w:t>
      </w:r>
      <w:r w:rsidR="00D10E3C">
        <w:rPr>
          <w:rtl/>
          <w:lang w:bidi="fa-IR"/>
        </w:rPr>
        <w:t xml:space="preserve"> </w:t>
      </w:r>
      <w:r w:rsidR="00744A1C">
        <w:rPr>
          <w:rtl/>
          <w:lang w:bidi="fa-IR"/>
        </w:rPr>
        <w:t xml:space="preserve">: ثمّ يأمر ، أي الرجل إمّا بالبيع ، أو بإرضاء الغرماء بالجنس والعروض ، فإن أبي باع </w:t>
      </w:r>
      <w:r w:rsidR="0061079A" w:rsidRPr="0061079A">
        <w:rPr>
          <w:rStyle w:val="libFootnoteAlaemChar"/>
          <w:rtl/>
        </w:rPr>
        <w:t>عليه‌السلام</w:t>
      </w:r>
      <w:r w:rsidR="00D10E3C">
        <w:rPr>
          <w:rtl/>
          <w:lang w:bidi="fa-IR"/>
        </w:rPr>
        <w:t xml:space="preserve"> </w:t>
      </w:r>
      <w:r w:rsidR="00744A1C">
        <w:rPr>
          <w:rtl/>
          <w:lang w:bidi="fa-IR"/>
        </w:rPr>
        <w:t>ماله وقسمه بينهم ».</w:t>
      </w:r>
    </w:p>
    <w:p w:rsidR="00744A1C" w:rsidRDefault="00E378DD" w:rsidP="00E378DD">
      <w:pPr>
        <w:pStyle w:val="libFootnote0"/>
        <w:rPr>
          <w:lang w:bidi="fa-IR"/>
        </w:rPr>
      </w:pPr>
      <w:r>
        <w:rPr>
          <w:rtl/>
          <w:lang w:bidi="fa-IR"/>
        </w:rPr>
        <w:t>(10).</w:t>
      </w:r>
      <w:r w:rsidR="00744A1C">
        <w:rPr>
          <w:rtl/>
          <w:lang w:bidi="fa-IR"/>
        </w:rPr>
        <w:t xml:space="preserve"> في « ط ، بخ ، بف ، جت » : « فيقسمه بينهم ». وفي </w:t>
      </w:r>
      <w:r w:rsidR="00744A1C" w:rsidRPr="007A497B">
        <w:rPr>
          <w:rtl/>
        </w:rPr>
        <w:t>الوافي</w:t>
      </w:r>
      <w:r w:rsidR="00744A1C">
        <w:rPr>
          <w:rtl/>
          <w:lang w:bidi="fa-IR"/>
        </w:rPr>
        <w:t xml:space="preserve"> : + « بينهم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191 ، ح 412 ؛ </w:t>
      </w:r>
      <w:r w:rsidR="00744A1C" w:rsidRPr="00C24F9C">
        <w:rPr>
          <w:rStyle w:val="libFootnoteBoldChar"/>
          <w:rtl/>
        </w:rPr>
        <w:t>والاستبصار</w:t>
      </w:r>
      <w:r w:rsidR="00744A1C">
        <w:rPr>
          <w:rtl/>
          <w:lang w:bidi="fa-IR"/>
        </w:rPr>
        <w:t xml:space="preserve"> ، ج 3 ، ص 7 ، ح 15 ، معلّقاً عن أحمد بن محمّد. وفي </w:t>
      </w:r>
      <w:r w:rsidR="00744A1C" w:rsidRPr="00C24F9C">
        <w:rPr>
          <w:rStyle w:val="libFootnoteBoldChar"/>
          <w:rtl/>
        </w:rPr>
        <w:t>التهذيب</w:t>
      </w:r>
      <w:r w:rsidR="00744A1C">
        <w:rPr>
          <w:rtl/>
          <w:lang w:bidi="fa-IR"/>
        </w:rPr>
        <w:t xml:space="preserve"> ، ج 6 ، ص 299 ، ح 833 و 835 ، بسند آخر عن جعفر بن محمّد ، عن أبيه </w:t>
      </w:r>
      <w:r w:rsidR="00F112A7" w:rsidRPr="00CE5A92">
        <w:rPr>
          <w:rStyle w:val="libFootnoteAlaemChar"/>
          <w:rtl/>
        </w:rPr>
        <w:t>عليهما‌السلام</w:t>
      </w:r>
      <w:r w:rsidR="00744A1C">
        <w:rPr>
          <w:rtl/>
          <w:lang w:bidi="fa-IR"/>
        </w:rPr>
        <w:t xml:space="preserve">. وفي </w:t>
      </w:r>
      <w:r w:rsidR="00744A1C" w:rsidRPr="00C24F9C">
        <w:rPr>
          <w:rStyle w:val="libFootnoteBoldChar"/>
          <w:rtl/>
        </w:rPr>
        <w:t>الفقيه</w:t>
      </w:r>
      <w:r w:rsidR="00744A1C">
        <w:rPr>
          <w:rtl/>
          <w:lang w:bidi="fa-IR"/>
        </w:rPr>
        <w:t xml:space="preserve"> ، ج 3 ، ص 28 ، ذيل ح 23958 ؛ </w:t>
      </w:r>
      <w:r w:rsidR="00744A1C" w:rsidRPr="0061079A">
        <w:rPr>
          <w:rStyle w:val="libFootnoteBoldChar"/>
          <w:rtl/>
        </w:rPr>
        <w:t>والتهذيب</w:t>
      </w:r>
      <w:r w:rsidR="00744A1C">
        <w:rPr>
          <w:rtl/>
          <w:lang w:bidi="fa-IR"/>
        </w:rPr>
        <w:t xml:space="preserve"> ، ج 6 ، ص 232 ، ذيل ح 568 ، بسند آخر عن الأصبغ بن نباتة ، في حكاية فعل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7A497B">
        <w:rPr>
          <w:rFonts w:hint="cs"/>
          <w:rtl/>
          <w:lang w:bidi="fa-IR"/>
        </w:rPr>
        <w:t>.</w:t>
      </w:r>
      <w:r w:rsidR="00744A1C" w:rsidRPr="00C24F9C">
        <w:rPr>
          <w:rStyle w:val="libFootnoteBoldChar"/>
          <w:rtl/>
        </w:rPr>
        <w:t>الوافي</w:t>
      </w:r>
      <w:r w:rsidR="00744A1C">
        <w:rPr>
          <w:rtl/>
          <w:lang w:bidi="fa-IR"/>
        </w:rPr>
        <w:t xml:space="preserve"> ، ج 16 ، ص 1071 ، ح 16708 ؛ وج 18 ، ص 793 ، ح 18311 ؛ </w:t>
      </w:r>
      <w:r w:rsidR="00744A1C" w:rsidRPr="00C24F9C">
        <w:rPr>
          <w:rStyle w:val="libFootnoteBoldChar"/>
          <w:rtl/>
        </w:rPr>
        <w:t>الوسائل</w:t>
      </w:r>
      <w:r w:rsidR="00744A1C">
        <w:rPr>
          <w:rtl/>
          <w:lang w:bidi="fa-IR"/>
        </w:rPr>
        <w:t xml:space="preserve"> ، ج 18 ، ص 416 ، ذيل ح 23958.</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8494 / 2. أَحْمَدُ بْنُ مُحَمَّدٍ </w:t>
      </w:r>
      <w:r w:rsidRPr="00D10E3C">
        <w:rPr>
          <w:rStyle w:val="libFootnotenumChar"/>
          <w:rtl/>
        </w:rPr>
        <w:t>(1)</w:t>
      </w:r>
      <w:r>
        <w:rPr>
          <w:rtl/>
          <w:lang w:bidi="fa-IR"/>
        </w:rPr>
        <w:t xml:space="preserve"> ، عَنْ عَلِيِّ بْنِ الْحَسَنِ ، عَنْ جَعْفَرِ بْنِ مُحَمَّدِ بْنِ حَكِيمٍ ، عَنْ جَمِيلِ بْنِ دَرَّاجٍ ، عَنْ مُحَمَّدِ بْنِ مُسْلِمٍ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الْغَائِبُ يُقْضى عَنْهُ </w:t>
      </w:r>
      <w:r w:rsidRPr="00D10E3C">
        <w:rPr>
          <w:rStyle w:val="libFootnotenumChar"/>
          <w:rtl/>
        </w:rPr>
        <w:t>(2)</w:t>
      </w:r>
      <w:r>
        <w:rPr>
          <w:rtl/>
          <w:lang w:bidi="fa-IR"/>
        </w:rPr>
        <w:t xml:space="preserve"> إِذَا قَامَتِ الْبَيِّنَةُ عَلَيْهِ </w:t>
      </w:r>
      <w:r w:rsidRPr="00D10E3C">
        <w:rPr>
          <w:rStyle w:val="libFootnotenumChar"/>
          <w:rtl/>
        </w:rPr>
        <w:t>(3)</w:t>
      </w:r>
      <w:r>
        <w:rPr>
          <w:rtl/>
          <w:lang w:bidi="fa-IR"/>
        </w:rPr>
        <w:t xml:space="preserve"> ، وَيُبَاعُ </w:t>
      </w:r>
      <w:r w:rsidRPr="00D10E3C">
        <w:rPr>
          <w:rStyle w:val="libFootnotenumChar"/>
          <w:rtl/>
        </w:rPr>
        <w:t>(4)</w:t>
      </w:r>
      <w:r>
        <w:rPr>
          <w:rtl/>
          <w:lang w:bidi="fa-IR"/>
        </w:rPr>
        <w:t xml:space="preserve"> مَالُهُ ، وَيُقْضى عَنْهُ </w:t>
      </w:r>
      <w:r w:rsidRPr="00D10E3C">
        <w:rPr>
          <w:rStyle w:val="libFootnotenumChar"/>
          <w:rtl/>
        </w:rPr>
        <w:t>(5)</w:t>
      </w:r>
      <w:r>
        <w:rPr>
          <w:rtl/>
          <w:lang w:bidi="fa-IR"/>
        </w:rPr>
        <w:t xml:space="preserve"> وَهُوَ غَائِبٌ ، وَيَكُونُ الْغَائِبُ عَلى حُجَّتِهِ إِذَا قَدِمَ </w:t>
      </w:r>
      <w:r w:rsidRPr="00D10E3C">
        <w:rPr>
          <w:rStyle w:val="libFootnotenumChar"/>
          <w:rtl/>
        </w:rPr>
        <w:t>(6)</w:t>
      </w:r>
      <w:r>
        <w:rPr>
          <w:rtl/>
          <w:lang w:bidi="fa-IR"/>
        </w:rPr>
        <w:t xml:space="preserve"> ، وَلَا يُدْفَعُ الْمَالُ إِلَى </w:t>
      </w:r>
      <w:r w:rsidRPr="00D10E3C">
        <w:rPr>
          <w:rStyle w:val="libFootnotenumChar"/>
          <w:rtl/>
        </w:rPr>
        <w:t>(7)</w:t>
      </w:r>
      <w:r>
        <w:rPr>
          <w:rtl/>
          <w:lang w:bidi="fa-IR"/>
        </w:rPr>
        <w:t xml:space="preserve"> الّ</w:t>
      </w:r>
      <w:r w:rsidR="00DA0468">
        <w:rPr>
          <w:rtl/>
          <w:lang w:bidi="fa-IR"/>
        </w:rPr>
        <w:t>َذِي أَقَامَ الْبَيِّنَةَ إِل</w:t>
      </w:r>
      <w:r w:rsidR="00DA0468">
        <w:rPr>
          <w:rFonts w:hint="cs"/>
          <w:rtl/>
          <w:lang w:bidi="fa-IR"/>
        </w:rPr>
        <w:t>َّ</w:t>
      </w:r>
      <w:r w:rsidR="00DA0468">
        <w:rPr>
          <w:rtl/>
          <w:lang w:bidi="fa-IR"/>
        </w:rPr>
        <w:t>ا</w:t>
      </w:r>
      <w:r>
        <w:rPr>
          <w:rtl/>
          <w:lang w:bidi="fa-IR"/>
        </w:rPr>
        <w:t xml:space="preserve"> بِكُفَلَاءَ </w:t>
      </w:r>
      <w:r w:rsidRPr="00D10E3C">
        <w:rPr>
          <w:rStyle w:val="libFootnotenumChar"/>
          <w:rtl/>
        </w:rPr>
        <w:t>(8)</w:t>
      </w:r>
      <w:r>
        <w:rPr>
          <w:rtl/>
          <w:lang w:bidi="fa-IR"/>
        </w:rPr>
        <w:t xml:space="preserve"> إِذَا لَمْ يَكُنْ مَلِيّاً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أورد الشيخ الطوسي الخبر السابق في </w:t>
      </w:r>
      <w:r w:rsidR="00744A1C" w:rsidRPr="00C24F9C">
        <w:rPr>
          <w:rStyle w:val="libFootnoteBoldChar"/>
          <w:rtl/>
        </w:rPr>
        <w:t>التهذيب</w:t>
      </w:r>
      <w:r w:rsidR="00744A1C">
        <w:rPr>
          <w:rtl/>
          <w:lang w:bidi="fa-IR"/>
        </w:rPr>
        <w:t xml:space="preserve"> ، ج 6 ، ص 191 ، ح 412 - والخبر مأخوذ من </w:t>
      </w:r>
      <w:r w:rsidR="00744A1C" w:rsidRPr="0061079A">
        <w:rPr>
          <w:rStyle w:val="libFootnoteBoldChar"/>
          <w:rtl/>
        </w:rPr>
        <w:t>الكافي</w:t>
      </w:r>
      <w:r w:rsidR="00744A1C">
        <w:rPr>
          <w:rtl/>
          <w:lang w:bidi="fa-IR"/>
        </w:rPr>
        <w:t xml:space="preserve"> - قال : « أحمد بن محمّد عن ابن فضّال ... » ثمّ أورد هذا الخبر وقال : « عنه عن عليّ بن الحسن عن جعفر بن محمّد بن حكيم » والظاهر رجوع الضمير إلى أحمد بن محمّد ، والمراد به هو أحمد بن محمّد بن عيسى كما يعلم من رواية محمّد بن يحيى عنه ، ولازم ذلك أن يكون سندنا هذا معلّقاً على سابقه ، لكن ليس في السند تعليق ؛ فإنّ عليّ بن الحسن الراوي عن جعفر بن محمّد بن حكيم هو عليّ بن الحسن بن فضّال ، وقد تقدّم غير مرّةٍ أنّ أحمد بن محمّد الراوي عنه هو العاصمي الكوفي شيخ المصنّف. راجع : </w:t>
      </w:r>
      <w:r w:rsidR="00744A1C" w:rsidRPr="0061079A">
        <w:rPr>
          <w:rStyle w:val="libFootnoteBoldChar"/>
          <w:rtl/>
        </w:rPr>
        <w:t>معجم رجال الحديث</w:t>
      </w:r>
      <w:r w:rsidR="00744A1C">
        <w:rPr>
          <w:rtl/>
          <w:lang w:bidi="fa-IR"/>
        </w:rPr>
        <w:t xml:space="preserve"> ، ج 11 ، ص 559 - 560 ، وص 569.</w:t>
      </w:r>
    </w:p>
    <w:p w:rsidR="00744A1C" w:rsidRDefault="00E378DD" w:rsidP="00E378DD">
      <w:pPr>
        <w:pStyle w:val="libFootnote0"/>
        <w:rPr>
          <w:lang w:bidi="fa-IR"/>
        </w:rPr>
      </w:pPr>
      <w:r>
        <w:rPr>
          <w:rtl/>
          <w:lang w:bidi="fa-IR"/>
        </w:rPr>
        <w:t>(2).</w:t>
      </w:r>
      <w:r w:rsidR="00744A1C">
        <w:rPr>
          <w:rtl/>
          <w:lang w:bidi="fa-IR"/>
        </w:rPr>
        <w:t xml:space="preserve"> في </w:t>
      </w:r>
      <w:r w:rsidR="00744A1C" w:rsidRPr="00DA0468">
        <w:rPr>
          <w:rtl/>
        </w:rPr>
        <w:t>الوافي</w:t>
      </w:r>
      <w:r w:rsidR="00744A1C">
        <w:rPr>
          <w:rtl/>
          <w:lang w:bidi="fa-IR"/>
        </w:rPr>
        <w:t xml:space="preserve"> عن بعض النسخ : « عليه ».</w:t>
      </w:r>
    </w:p>
    <w:p w:rsidR="00744A1C" w:rsidRDefault="00E378DD" w:rsidP="00E378DD">
      <w:pPr>
        <w:pStyle w:val="libFootnote0"/>
        <w:rPr>
          <w:lang w:bidi="fa-IR"/>
        </w:rPr>
      </w:pPr>
      <w:r>
        <w:rPr>
          <w:rtl/>
          <w:lang w:bidi="fa-IR"/>
        </w:rPr>
        <w:t>(3).</w:t>
      </w:r>
      <w:r w:rsidR="00744A1C">
        <w:rPr>
          <w:rtl/>
          <w:lang w:bidi="fa-IR"/>
        </w:rPr>
        <w:t xml:space="preserve"> في « ط » </w:t>
      </w:r>
      <w:r w:rsidR="00744A1C" w:rsidRPr="00DA0468">
        <w:rPr>
          <w:rtl/>
        </w:rPr>
        <w:t>والوافي والتهذيب</w:t>
      </w:r>
      <w:r w:rsidR="00744A1C">
        <w:rPr>
          <w:rtl/>
          <w:lang w:bidi="fa-IR"/>
        </w:rPr>
        <w:t xml:space="preserve"> ، ح 827 : « عليه البيّنة ». وفي « بح » : - « عليه ».</w:t>
      </w:r>
    </w:p>
    <w:p w:rsidR="00744A1C" w:rsidRDefault="00E378DD" w:rsidP="00E378DD">
      <w:pPr>
        <w:pStyle w:val="libFootnote0"/>
        <w:rPr>
          <w:lang w:bidi="fa-IR"/>
        </w:rPr>
      </w:pPr>
      <w:r>
        <w:rPr>
          <w:rtl/>
          <w:lang w:bidi="fa-IR"/>
        </w:rPr>
        <w:t>(4).</w:t>
      </w:r>
      <w:r w:rsidR="00744A1C">
        <w:rPr>
          <w:rtl/>
          <w:lang w:bidi="fa-IR"/>
        </w:rPr>
        <w:t xml:space="preserve"> في « بخ » : « يباع » بدون الواو.</w:t>
      </w:r>
    </w:p>
    <w:p w:rsidR="00744A1C" w:rsidRDefault="00E378DD" w:rsidP="00E378DD">
      <w:pPr>
        <w:pStyle w:val="libFootnote0"/>
        <w:rPr>
          <w:lang w:bidi="fa-IR"/>
        </w:rPr>
      </w:pPr>
      <w:r>
        <w:rPr>
          <w:rtl/>
          <w:lang w:bidi="fa-IR"/>
        </w:rPr>
        <w:t>(5).</w:t>
      </w:r>
      <w:r w:rsidR="00744A1C">
        <w:rPr>
          <w:rtl/>
          <w:lang w:bidi="fa-IR"/>
        </w:rPr>
        <w:t xml:space="preserve"> في </w:t>
      </w:r>
      <w:r w:rsidR="00744A1C" w:rsidRPr="00DA0468">
        <w:rPr>
          <w:rtl/>
        </w:rPr>
        <w:t>الوافي</w:t>
      </w:r>
      <w:r w:rsidR="00744A1C">
        <w:rPr>
          <w:rtl/>
          <w:lang w:bidi="fa-IR"/>
        </w:rPr>
        <w:t xml:space="preserve"> : + « دينه ».</w:t>
      </w:r>
    </w:p>
    <w:p w:rsidR="00744A1C" w:rsidRDefault="00E378DD" w:rsidP="00E378DD">
      <w:pPr>
        <w:pStyle w:val="libFootnote0"/>
        <w:rPr>
          <w:lang w:bidi="fa-IR"/>
        </w:rPr>
      </w:pPr>
      <w:r>
        <w:rPr>
          <w:rtl/>
          <w:lang w:bidi="fa-IR"/>
        </w:rPr>
        <w:t>(6).</w:t>
      </w:r>
      <w:r w:rsidR="00744A1C">
        <w:rPr>
          <w:rtl/>
          <w:lang w:bidi="fa-IR"/>
        </w:rPr>
        <w:t xml:space="preserve"> في </w:t>
      </w:r>
      <w:r w:rsidR="00744A1C" w:rsidRPr="00DA0468">
        <w:rPr>
          <w:rtl/>
        </w:rPr>
        <w:t>الوافي</w:t>
      </w:r>
      <w:r w:rsidR="00744A1C">
        <w:rPr>
          <w:rtl/>
          <w:lang w:bidi="fa-IR"/>
        </w:rPr>
        <w:t xml:space="preserve"> : + « قال ».</w:t>
      </w:r>
    </w:p>
    <w:p w:rsidR="00744A1C" w:rsidRDefault="00E378DD" w:rsidP="00E378DD">
      <w:pPr>
        <w:pStyle w:val="libFootnote0"/>
        <w:rPr>
          <w:lang w:bidi="fa-IR"/>
        </w:rPr>
      </w:pPr>
      <w:r>
        <w:rPr>
          <w:rtl/>
          <w:lang w:bidi="fa-IR"/>
        </w:rPr>
        <w:t>(7).</w:t>
      </w:r>
      <w:r w:rsidR="00744A1C">
        <w:rPr>
          <w:rtl/>
          <w:lang w:bidi="fa-IR"/>
        </w:rPr>
        <w:t xml:space="preserve"> في « جن » : - « إلى ».</w:t>
      </w:r>
    </w:p>
    <w:p w:rsidR="00744A1C" w:rsidRDefault="00E378DD" w:rsidP="00E378DD">
      <w:pPr>
        <w:pStyle w:val="libFootnote0"/>
        <w:rPr>
          <w:lang w:bidi="fa-IR"/>
        </w:rPr>
      </w:pPr>
      <w:r>
        <w:rPr>
          <w:rtl/>
          <w:lang w:bidi="fa-IR"/>
        </w:rPr>
        <w:t>(8).</w:t>
      </w:r>
      <w:r w:rsidR="00744A1C">
        <w:rPr>
          <w:rtl/>
          <w:lang w:bidi="fa-IR"/>
        </w:rPr>
        <w:t xml:space="preserve"> الكُفَلاء : جمع الكفيل ، وهو الضامن ؛ من الكفالة بمعنى ضمّ ذمّة إلى ذمّة في حقّ المطالبة. قال الطريحي : « وإن شئت قلت : الكفالة : هي التعهّد بالنفس ». راجع : المغرب ، ص 412 ؛ </w:t>
      </w:r>
      <w:r w:rsidR="00744A1C" w:rsidRPr="008A57EB">
        <w:rPr>
          <w:rStyle w:val="libFootnoteBoldChar"/>
          <w:rtl/>
        </w:rPr>
        <w:t>مجمع البحرين</w:t>
      </w:r>
      <w:r w:rsidR="00744A1C">
        <w:rPr>
          <w:rtl/>
          <w:lang w:bidi="fa-IR"/>
        </w:rPr>
        <w:t xml:space="preserve"> ، ج 5 ، ص 463 ( كفل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sidR="00DA0468">
        <w:rPr>
          <w:rtl/>
          <w:lang w:bidi="fa-IR"/>
        </w:rPr>
        <w:t>: إل</w:t>
      </w:r>
      <w:r w:rsidR="00DA0468">
        <w:rPr>
          <w:rFonts w:hint="cs"/>
          <w:rtl/>
          <w:lang w:bidi="fa-IR"/>
        </w:rPr>
        <w:t>ّ</w:t>
      </w:r>
      <w:r w:rsidR="00DA0468">
        <w:rPr>
          <w:rtl/>
          <w:lang w:bidi="fa-IR"/>
        </w:rPr>
        <w:t>ا</w:t>
      </w:r>
      <w:r w:rsidR="00DA0468">
        <w:rPr>
          <w:rFonts w:hint="cs"/>
          <w:rtl/>
          <w:lang w:bidi="fa-IR"/>
        </w:rPr>
        <w:t xml:space="preserve"> </w:t>
      </w:r>
      <w:r>
        <w:rPr>
          <w:rtl/>
          <w:lang w:bidi="fa-IR"/>
        </w:rPr>
        <w:t>بكفلاء ، ذهب جماعة من الأصحاب هنا إلى اليمين مع البيّنة استظهاراً ، إلحاقاً له بالميّت ، وظاهر الخبر عدمه ، وتعليلهم في ذلك معلول. وذهب جماعة إلى ما ورد في الخبر من أخذ الكفيل عن القابض بالمال الذي دفع إليه من مال الغائب ، ولم يقولوا باليمين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التهذيب</w:t>
      </w:r>
      <w:r w:rsidR="00744A1C">
        <w:rPr>
          <w:rtl/>
          <w:lang w:bidi="fa-IR"/>
        </w:rPr>
        <w:t xml:space="preserve"> ، ح 827 : - « إذا لم يكن مليّاً ». و « الملي‌ء » بالهمز : الثقة الغنيّ ، وقد ا</w:t>
      </w:r>
      <w:r w:rsidR="00DA0468">
        <w:rPr>
          <w:rFonts w:hint="cs"/>
          <w:rtl/>
          <w:lang w:bidi="fa-IR"/>
        </w:rPr>
        <w:t>ُ</w:t>
      </w:r>
      <w:r w:rsidR="00744A1C">
        <w:rPr>
          <w:rtl/>
          <w:lang w:bidi="fa-IR"/>
        </w:rPr>
        <w:t xml:space="preserve">ولع فيه الناس بترك الهمزة وتشديد الياء. ورجل ملي‌ء ، مهموز : كثير المال ، بيّن </w:t>
      </w:r>
      <w:r w:rsidR="00DA0468">
        <w:rPr>
          <w:rtl/>
          <w:lang w:bidi="fa-IR"/>
        </w:rPr>
        <w:t>الم</w:t>
      </w:r>
      <w:r w:rsidR="00DA0468">
        <w:rPr>
          <w:rFonts w:hint="cs"/>
          <w:rtl/>
          <w:lang w:bidi="fa-IR"/>
        </w:rPr>
        <w:t>ـَ</w:t>
      </w:r>
      <w:r w:rsidR="00744A1C">
        <w:rPr>
          <w:rtl/>
          <w:lang w:bidi="fa-IR"/>
        </w:rPr>
        <w:t xml:space="preserve">لاء ». </w:t>
      </w:r>
      <w:r w:rsidR="00744A1C" w:rsidRPr="00877682">
        <w:rPr>
          <w:rStyle w:val="libFootnoteBoldChar"/>
          <w:rtl/>
        </w:rPr>
        <w:t>لسان العرب</w:t>
      </w:r>
      <w:r w:rsidR="00744A1C">
        <w:rPr>
          <w:rtl/>
          <w:lang w:bidi="fa-IR"/>
        </w:rPr>
        <w:t xml:space="preserve"> ، ج 1 ، ص 159 ( ملأ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191 ، ح 413 ، معلّقاً عن أحمد بن محمّد. </w:t>
      </w:r>
      <w:r w:rsidR="00744A1C" w:rsidRPr="00DA0468">
        <w:rPr>
          <w:rStyle w:val="libFootnoteBoldChar"/>
          <w:rtl/>
        </w:rPr>
        <w:t>وفيه</w:t>
      </w:r>
      <w:r w:rsidR="00744A1C">
        <w:rPr>
          <w:rtl/>
          <w:lang w:bidi="fa-IR"/>
        </w:rPr>
        <w:t xml:space="preserve"> ، ص 296 ، ح 827 ، بسند آخر عن جميل بن درّاج ، عن جماعة من أصحابنا ، عنهما </w:t>
      </w:r>
      <w:r w:rsidR="00F112A7" w:rsidRPr="00CE5A92">
        <w:rPr>
          <w:rStyle w:val="libFootnoteAlaemChar"/>
          <w:rtl/>
        </w:rPr>
        <w:t>عليهما‌السلام</w:t>
      </w:r>
      <w:r w:rsidR="00DA0468">
        <w:rPr>
          <w:rStyle w:val="libFootnoteAlaemChar"/>
          <w:rFonts w:hint="cs"/>
          <w:rtl/>
        </w:rPr>
        <w:t>.</w:t>
      </w:r>
      <w:r w:rsidR="00744A1C" w:rsidRPr="00C24F9C">
        <w:rPr>
          <w:rStyle w:val="libFootnoteBoldChar"/>
          <w:rtl/>
        </w:rPr>
        <w:t>الوافي</w:t>
      </w:r>
      <w:r w:rsidR="00744A1C">
        <w:rPr>
          <w:rtl/>
          <w:lang w:bidi="fa-IR"/>
        </w:rPr>
        <w:t xml:space="preserve"> ، ج 16 ، ص 1074 ، ح 16716 ؛ وج 18 ، ص 793 ، ح 18312 ؛ </w:t>
      </w:r>
      <w:r w:rsidR="00744A1C" w:rsidRPr="00C24F9C">
        <w:rPr>
          <w:rStyle w:val="libFootnoteBoldChar"/>
          <w:rtl/>
        </w:rPr>
        <w:t>الوسائل</w:t>
      </w:r>
      <w:r w:rsidR="00744A1C">
        <w:rPr>
          <w:rtl/>
          <w:lang w:bidi="fa-IR"/>
        </w:rPr>
        <w:t xml:space="preserve"> ، ج 27 ، ص 294 ، ذيل ح 33782.</w:t>
      </w:r>
    </w:p>
    <w:p w:rsidR="006A5060" w:rsidRDefault="006A5060" w:rsidP="00D10E3C">
      <w:pPr>
        <w:pStyle w:val="libNormal"/>
        <w:rPr>
          <w:rtl/>
          <w:lang w:bidi="fa-IR"/>
        </w:rPr>
      </w:pPr>
      <w:r>
        <w:rPr>
          <w:rtl/>
          <w:lang w:bidi="fa-IR"/>
        </w:rPr>
        <w:br w:type="page"/>
      </w:r>
    </w:p>
    <w:p w:rsidR="00744A1C" w:rsidRDefault="00744A1C" w:rsidP="00DA0468">
      <w:pPr>
        <w:pStyle w:val="Heading2Center"/>
        <w:rPr>
          <w:lang w:bidi="fa-IR"/>
        </w:rPr>
      </w:pPr>
      <w:bookmarkStart w:id="150" w:name="_Toc49261448"/>
      <w:r>
        <w:rPr>
          <w:rtl/>
          <w:lang w:bidi="fa-IR"/>
        </w:rPr>
        <w:t>27 - بَابُ النُّزُولِ عَلَى الْغَرِيمِ‌</w:t>
      </w:r>
      <w:bookmarkEnd w:id="150"/>
    </w:p>
    <w:p w:rsidR="00144FA6" w:rsidRDefault="00744A1C" w:rsidP="00744A1C">
      <w:pPr>
        <w:pStyle w:val="libNormal"/>
        <w:rPr>
          <w:rtl/>
          <w:lang w:bidi="fa-IR"/>
        </w:rPr>
      </w:pPr>
      <w:r>
        <w:rPr>
          <w:rtl/>
          <w:lang w:bidi="fa-IR"/>
        </w:rPr>
        <w:t>8495 / 1. مُحَمَّدُ بْنُ يَحْيى ، عَنْ أَحْمَدَ بْنِ مُحَمَّدٍ ، عَنِ الْحُسَيْنِ بْنِ سَعِيدٍ ، عَنِ النَّضْرِ بْنِ سُوَيْدٍ ، عَنِ الْقَاسِمِ بْنِ سُلَيْمَانَ ، عَنْ جَرَّاحٍ الْمَدَائِنِيِّ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أَنَّهُ كَرِهَ أَنْ يَنْزِلَ الرَّجُلُ عَلَى الرَّجُلِ وَلَهُ عَلَيْهِ دَيْنٌ وَإِنْ </w:t>
      </w:r>
      <w:r w:rsidRPr="00D10E3C">
        <w:rPr>
          <w:rStyle w:val="libFootnotenumChar"/>
          <w:rtl/>
        </w:rPr>
        <w:t>(1)</w:t>
      </w:r>
      <w:r>
        <w:rPr>
          <w:rtl/>
          <w:lang w:bidi="fa-IR"/>
        </w:rPr>
        <w:t xml:space="preserve"> كَانَ قَدْ صَرَّهَا </w:t>
      </w:r>
      <w:r w:rsidRPr="00D10E3C">
        <w:rPr>
          <w:rStyle w:val="libFootnotenumChar"/>
          <w:rtl/>
        </w:rPr>
        <w:t>(2)</w:t>
      </w:r>
      <w:r>
        <w:rPr>
          <w:rtl/>
          <w:lang w:bidi="fa-IR"/>
        </w:rPr>
        <w:t xml:space="preserve"> لَهُ </w:t>
      </w:r>
      <w:r w:rsidRPr="00D10E3C">
        <w:rPr>
          <w:rStyle w:val="libFootnotenumChar"/>
          <w:rtl/>
        </w:rPr>
        <w:t>(3)</w:t>
      </w:r>
      <w:r w:rsidR="00DA0468">
        <w:rPr>
          <w:rtl/>
          <w:lang w:bidi="fa-IR"/>
        </w:rPr>
        <w:t xml:space="preserve"> إِل</w:t>
      </w:r>
      <w:r w:rsidR="00DA0468">
        <w:rPr>
          <w:rFonts w:hint="cs"/>
          <w:rtl/>
          <w:lang w:bidi="fa-IR"/>
        </w:rPr>
        <w:t>َّ</w:t>
      </w:r>
      <w:r w:rsidR="00DA0468">
        <w:rPr>
          <w:rtl/>
          <w:lang w:bidi="fa-IR"/>
        </w:rPr>
        <w:t>ا</w:t>
      </w:r>
      <w:r>
        <w:rPr>
          <w:rtl/>
          <w:lang w:bidi="fa-IR"/>
        </w:rPr>
        <w:t xml:space="preserve"> ثَلَاثَةَ أَيَّامٍ. </w:t>
      </w:r>
      <w:r w:rsidRPr="00D10E3C">
        <w:rPr>
          <w:rStyle w:val="libFootnotenumChar"/>
          <w:rtl/>
        </w:rPr>
        <w:t>(4)</w:t>
      </w:r>
    </w:p>
    <w:p w:rsidR="00144FA6" w:rsidRDefault="00744A1C" w:rsidP="00744A1C">
      <w:pPr>
        <w:pStyle w:val="libNormal"/>
        <w:rPr>
          <w:rtl/>
          <w:lang w:bidi="fa-IR"/>
        </w:rPr>
      </w:pPr>
      <w:r>
        <w:rPr>
          <w:rtl/>
          <w:lang w:bidi="fa-IR"/>
        </w:rPr>
        <w:t>8496 / 2. عِدَّةٌ مِنْ أَصْحَابِنَا ، عَنْ أَحْمَدَ بْنِ مُحَمَّدٍ ، عَنْ عُثْمَانَ بْنِ عِيسى ، عَنْ سَمَاعَةَ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الرَّجُلِ يَنْزِلُ عَلَى </w:t>
      </w:r>
      <w:r w:rsidRPr="00D10E3C">
        <w:rPr>
          <w:rStyle w:val="libFootnotenumChar"/>
          <w:rtl/>
        </w:rPr>
        <w:t>(5)</w:t>
      </w:r>
      <w:r>
        <w:rPr>
          <w:rtl/>
          <w:lang w:bidi="fa-IR"/>
        </w:rPr>
        <w:t xml:space="preserve"> الرَّجُلِ وَلَهُ عَلَيْهِ دَيْنٌ ، أَيَأْكُلُ مِنْ طَعَامِهِ؟</w:t>
      </w:r>
    </w:p>
    <w:p w:rsidR="00144FA6" w:rsidRDefault="00744A1C" w:rsidP="00744A1C">
      <w:pPr>
        <w:pStyle w:val="libNormal"/>
        <w:rPr>
          <w:rtl/>
          <w:lang w:bidi="fa-IR"/>
        </w:rPr>
      </w:pPr>
      <w:r>
        <w:rPr>
          <w:rtl/>
          <w:lang w:bidi="fa-IR"/>
        </w:rPr>
        <w:t xml:space="preserve">قَالَ </w:t>
      </w:r>
      <w:r w:rsidRPr="00D10E3C">
        <w:rPr>
          <w:rStyle w:val="libFootnotenumChar"/>
          <w:rtl/>
        </w:rPr>
        <w:t>(6)</w:t>
      </w:r>
      <w:r>
        <w:rPr>
          <w:rtl/>
          <w:lang w:bidi="fa-IR"/>
        </w:rPr>
        <w:t xml:space="preserve"> : « نَعَمْ ، يَأْكُلُ مِنْ طَعَامِهِ ثَلَاثَةَ أَيَّامٍ ، ثُمَّ لَايَأْكُلُ بَعْدَ ذلِكَ شَيْئاً ».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فإن ».</w:t>
      </w:r>
    </w:p>
    <w:p w:rsidR="00744A1C" w:rsidRDefault="00E378DD" w:rsidP="00E378DD">
      <w:pPr>
        <w:pStyle w:val="libFootnote0"/>
        <w:rPr>
          <w:lang w:bidi="fa-IR"/>
        </w:rPr>
      </w:pPr>
      <w:r>
        <w:rPr>
          <w:rtl/>
          <w:lang w:bidi="fa-IR"/>
        </w:rPr>
        <w:t>(2).</w:t>
      </w:r>
      <w:r w:rsidR="00744A1C">
        <w:rPr>
          <w:rtl/>
          <w:lang w:bidi="fa-IR"/>
        </w:rPr>
        <w:t xml:space="preserve"> « صرّها » أي جعلها في الصُّرَّة ، وهي ما تُصَرُّ فيه الدراهم ، أي تُعقَد وتُجْمَع. راجع : </w:t>
      </w:r>
      <w:r w:rsidR="00744A1C" w:rsidRPr="00877682">
        <w:rPr>
          <w:rStyle w:val="libFootnoteBoldChar"/>
          <w:rtl/>
        </w:rPr>
        <w:t>لسان العرب</w:t>
      </w:r>
      <w:r w:rsidR="00744A1C">
        <w:rPr>
          <w:rtl/>
          <w:lang w:bidi="fa-IR"/>
        </w:rPr>
        <w:t xml:space="preserve"> ، ج 4 ، ص 451 - 452 ( صرر ). وفي </w:t>
      </w:r>
      <w:r w:rsidR="00744A1C" w:rsidRPr="00C24F9C">
        <w:rPr>
          <w:rStyle w:val="libFootnoteBoldChar"/>
          <w:rtl/>
        </w:rPr>
        <w:t>الوافي</w:t>
      </w:r>
      <w:r w:rsidR="00744A1C">
        <w:rPr>
          <w:rtl/>
          <w:lang w:bidi="fa-IR"/>
        </w:rPr>
        <w:t xml:space="preserve"> : « صرّها : عقدها في صرّة وأحضرها ». وفي </w:t>
      </w:r>
      <w:r w:rsidR="00744A1C" w:rsidRPr="00877682">
        <w:rPr>
          <w:rStyle w:val="libFootnoteBoldChar"/>
          <w:rtl/>
        </w:rPr>
        <w:t>مرآة العقول</w:t>
      </w:r>
      <w:r w:rsidR="00744A1C">
        <w:rPr>
          <w:rtl/>
          <w:lang w:bidi="fa-IR"/>
        </w:rPr>
        <w:t xml:space="preserve"> ، ج 19 ، ص 56 : « قوله </w:t>
      </w:r>
      <w:r w:rsidR="0061079A" w:rsidRPr="0061079A">
        <w:rPr>
          <w:rStyle w:val="libFootnoteAlaemChar"/>
          <w:rtl/>
        </w:rPr>
        <w:t>عليه‌السلام</w:t>
      </w:r>
      <w:r w:rsidR="00D10E3C">
        <w:rPr>
          <w:rtl/>
          <w:lang w:bidi="fa-IR"/>
        </w:rPr>
        <w:t xml:space="preserve"> </w:t>
      </w:r>
      <w:r w:rsidR="00744A1C">
        <w:rPr>
          <w:rtl/>
          <w:lang w:bidi="fa-IR"/>
        </w:rPr>
        <w:t xml:space="preserve">: وإن كان قد صرّها له ، أي نقدها له وجعلها في الصرّة. وحمل في المشهور على الكراهة ، قال في </w:t>
      </w:r>
      <w:r w:rsidR="00744A1C" w:rsidRPr="00877682">
        <w:rPr>
          <w:rStyle w:val="libFootnoteBoldChar"/>
          <w:rtl/>
        </w:rPr>
        <w:t>الدروس</w:t>
      </w:r>
      <w:r w:rsidR="00744A1C">
        <w:rPr>
          <w:rtl/>
          <w:lang w:bidi="fa-IR"/>
        </w:rPr>
        <w:t xml:space="preserve"> : يكره للمدين النزول على الغريم ، فإن نزل فالإقامة ثلاثة فما دون ، وتكره الأزيد. وقال الحلبي : يحرم الزائد. وفي رواية سماعة : لا يأكل من طعامه بعد الثلاثة ». راجع : </w:t>
      </w:r>
      <w:r w:rsidR="00744A1C" w:rsidRPr="0061079A">
        <w:rPr>
          <w:rStyle w:val="libFootnoteBoldChar"/>
          <w:rtl/>
        </w:rPr>
        <w:t>الكاف</w:t>
      </w:r>
      <w:r w:rsidR="00744A1C" w:rsidRPr="00DA0468">
        <w:rPr>
          <w:rStyle w:val="libFootnoteBoldChar"/>
          <w:rtl/>
        </w:rPr>
        <w:t>ي في الفقه</w:t>
      </w:r>
      <w:r w:rsidR="00744A1C">
        <w:rPr>
          <w:rtl/>
          <w:lang w:bidi="fa-IR"/>
        </w:rPr>
        <w:t xml:space="preserve"> ، ص 331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31.</w:t>
      </w:r>
    </w:p>
    <w:p w:rsidR="00744A1C" w:rsidRDefault="00E378DD" w:rsidP="00E378DD">
      <w:pPr>
        <w:pStyle w:val="libFootnote0"/>
        <w:rPr>
          <w:lang w:bidi="fa-IR"/>
        </w:rPr>
      </w:pPr>
      <w:r>
        <w:rPr>
          <w:rtl/>
          <w:lang w:bidi="fa-IR"/>
        </w:rPr>
        <w:t>(3).</w:t>
      </w:r>
      <w:r w:rsidR="00744A1C">
        <w:rPr>
          <w:rtl/>
          <w:lang w:bidi="fa-IR"/>
        </w:rPr>
        <w:t xml:space="preserve"> في « ط ، جت » : « قد ضرّ ماله » بدل « قد صرّها له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188 ، ح 393 ، معلّقاً عن الحسين بن سعيد ، عن النضر ، عن القاسم ، عن جرّاح المدائني </w:t>
      </w:r>
      <w:r w:rsidR="00DA0468">
        <w:rPr>
          <w:rFonts w:hint="cs"/>
          <w:rtl/>
          <w:lang w:bidi="fa-IR"/>
        </w:rPr>
        <w:t>.</w:t>
      </w:r>
      <w:r w:rsidR="00744A1C" w:rsidRPr="00C24F9C">
        <w:rPr>
          <w:rStyle w:val="libFootnoteBoldChar"/>
          <w:rtl/>
        </w:rPr>
        <w:t>الوافي</w:t>
      </w:r>
      <w:r w:rsidR="00744A1C">
        <w:rPr>
          <w:rtl/>
          <w:lang w:bidi="fa-IR"/>
        </w:rPr>
        <w:t xml:space="preserve"> ، ج 18 ، ص 663 ، ح 18067 ؛ </w:t>
      </w:r>
      <w:r w:rsidR="00744A1C" w:rsidRPr="00C24F9C">
        <w:rPr>
          <w:rStyle w:val="libFootnoteBoldChar"/>
          <w:rtl/>
        </w:rPr>
        <w:t>الوسائل</w:t>
      </w:r>
      <w:r w:rsidR="00744A1C">
        <w:rPr>
          <w:rtl/>
          <w:lang w:bidi="fa-IR"/>
        </w:rPr>
        <w:t xml:space="preserve"> ، ج 18 ، ص 352 ، ح 23829.</w:t>
      </w:r>
    </w:p>
    <w:tbl>
      <w:tblPr>
        <w:tblStyle w:val="TableGrid"/>
        <w:bidiVisual/>
        <w:tblW w:w="0" w:type="auto"/>
        <w:tblLook w:val="04A0" w:firstRow="1" w:lastRow="0" w:firstColumn="1" w:lastColumn="0" w:noHBand="0" w:noVBand="1"/>
      </w:tblPr>
      <w:tblGrid>
        <w:gridCol w:w="4006"/>
        <w:gridCol w:w="4006"/>
      </w:tblGrid>
      <w:tr w:rsidR="00DA0468" w:rsidTr="00DA0468">
        <w:tc>
          <w:tcPr>
            <w:tcW w:w="4006" w:type="dxa"/>
          </w:tcPr>
          <w:p w:rsidR="00DA0468" w:rsidRDefault="00DA0468" w:rsidP="00E378DD">
            <w:pPr>
              <w:pStyle w:val="libFootnote0"/>
              <w:rPr>
                <w:rtl/>
                <w:lang w:bidi="fa-IR"/>
              </w:rPr>
            </w:pPr>
            <w:r>
              <w:rPr>
                <w:rtl/>
                <w:lang w:bidi="fa-IR"/>
              </w:rPr>
              <w:t>(5). في « ط » : « عليه ».</w:t>
            </w:r>
          </w:p>
        </w:tc>
        <w:tc>
          <w:tcPr>
            <w:tcW w:w="4006" w:type="dxa"/>
          </w:tcPr>
          <w:p w:rsidR="00DA0468" w:rsidRDefault="00DA0468" w:rsidP="00E378DD">
            <w:pPr>
              <w:pStyle w:val="libFootnote0"/>
              <w:rPr>
                <w:rtl/>
                <w:lang w:bidi="fa-IR"/>
              </w:rPr>
            </w:pPr>
            <w:r>
              <w:rPr>
                <w:rtl/>
                <w:lang w:bidi="fa-IR"/>
              </w:rPr>
              <w:t xml:space="preserve">(6). في « بخ ، بف » </w:t>
            </w:r>
            <w:r w:rsidRPr="00985EC4">
              <w:rPr>
                <w:rtl/>
              </w:rPr>
              <w:t>والوافي</w:t>
            </w:r>
            <w:r>
              <w:rPr>
                <w:rtl/>
                <w:lang w:bidi="fa-IR"/>
              </w:rPr>
              <w:t xml:space="preserve"> : « فقال ».</w:t>
            </w:r>
          </w:p>
        </w:tc>
      </w:tr>
    </w:tbl>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188 ، ح 394 ، معلّقاً عن أحمد بن محمّد. </w:t>
      </w:r>
      <w:r w:rsidR="00744A1C" w:rsidRPr="00C24F9C">
        <w:rPr>
          <w:rStyle w:val="libFootnoteBoldChar"/>
          <w:rtl/>
        </w:rPr>
        <w:t>الفقيه</w:t>
      </w:r>
      <w:r w:rsidR="00744A1C">
        <w:rPr>
          <w:rtl/>
          <w:lang w:bidi="fa-IR"/>
        </w:rPr>
        <w:t xml:space="preserve"> ، ج 3 ، ص 188 ، ح 3705 ، معلّقاً عن سماعة ؛ </w:t>
      </w:r>
      <w:r w:rsidR="00744A1C" w:rsidRPr="00C24F9C">
        <w:rPr>
          <w:rStyle w:val="libFootnoteBoldChar"/>
          <w:rtl/>
        </w:rPr>
        <w:t>التهذيب</w:t>
      </w:r>
      <w:r w:rsidR="00744A1C">
        <w:rPr>
          <w:rtl/>
          <w:lang w:bidi="fa-IR"/>
        </w:rPr>
        <w:t xml:space="preserve"> ، ج 6 ، ص 204 ، ح 464 ، بسنده عن سماعة ، من دون التصريح باسم المعصوم </w:t>
      </w:r>
      <w:r w:rsidR="0061079A" w:rsidRPr="0061079A">
        <w:rPr>
          <w:rStyle w:val="libFootnoteAlaemChar"/>
          <w:rtl/>
        </w:rPr>
        <w:t>عليه‌السلام</w:t>
      </w:r>
      <w:r w:rsidR="00D10E3C">
        <w:rPr>
          <w:rtl/>
          <w:lang w:bidi="fa-IR"/>
        </w:rPr>
        <w:t xml:space="preserve"> </w:t>
      </w:r>
      <w:r w:rsidR="00985EC4">
        <w:rPr>
          <w:rFonts w:hint="cs"/>
          <w:rtl/>
          <w:lang w:bidi="fa-IR"/>
        </w:rPr>
        <w:t>.</w:t>
      </w:r>
      <w:r w:rsidR="00744A1C" w:rsidRPr="00C24F9C">
        <w:rPr>
          <w:rStyle w:val="libFootnoteBoldChar"/>
          <w:rtl/>
        </w:rPr>
        <w:t>الوافي</w:t>
      </w:r>
      <w:r w:rsidR="00744A1C">
        <w:rPr>
          <w:rtl/>
          <w:lang w:bidi="fa-IR"/>
        </w:rPr>
        <w:t xml:space="preserve"> ، ج 18 ، ص 663 ، ح 18068 ؛ </w:t>
      </w:r>
      <w:r w:rsidR="00744A1C" w:rsidRPr="00C24F9C">
        <w:rPr>
          <w:rStyle w:val="libFootnoteBoldChar"/>
          <w:rtl/>
        </w:rPr>
        <w:t>الوسائل</w:t>
      </w:r>
      <w:r w:rsidR="00744A1C">
        <w:rPr>
          <w:rtl/>
          <w:lang w:bidi="fa-IR"/>
        </w:rPr>
        <w:t xml:space="preserve"> ، ج 18 ، ص 351 ، ذيل ح 23828.</w:t>
      </w:r>
    </w:p>
    <w:p w:rsidR="006A5060" w:rsidRDefault="006A5060" w:rsidP="00D10E3C">
      <w:pPr>
        <w:pStyle w:val="libNormal"/>
        <w:rPr>
          <w:rtl/>
          <w:lang w:bidi="fa-IR"/>
        </w:rPr>
      </w:pPr>
      <w:r>
        <w:rPr>
          <w:rtl/>
          <w:lang w:bidi="fa-IR"/>
        </w:rPr>
        <w:br w:type="page"/>
      </w:r>
    </w:p>
    <w:p w:rsidR="00744A1C" w:rsidRDefault="00744A1C" w:rsidP="00985EC4">
      <w:pPr>
        <w:pStyle w:val="Heading2Center"/>
        <w:rPr>
          <w:lang w:bidi="fa-IR"/>
        </w:rPr>
      </w:pPr>
      <w:bookmarkStart w:id="151" w:name="_Toc49261449"/>
      <w:r>
        <w:rPr>
          <w:rtl/>
          <w:lang w:bidi="fa-IR"/>
        </w:rPr>
        <w:t xml:space="preserve">28 - بَابُ هَدِيَّةِ </w:t>
      </w:r>
      <w:r w:rsidRPr="00D10E3C">
        <w:rPr>
          <w:rStyle w:val="libFootnotenumChar"/>
          <w:rtl/>
        </w:rPr>
        <w:t>(1)</w:t>
      </w:r>
      <w:r>
        <w:rPr>
          <w:rtl/>
          <w:lang w:bidi="fa-IR"/>
        </w:rPr>
        <w:t xml:space="preserve"> الْغَرِيمِ‌</w:t>
      </w:r>
      <w:bookmarkEnd w:id="151"/>
    </w:p>
    <w:p w:rsidR="00144FA6" w:rsidRDefault="00744A1C" w:rsidP="00744A1C">
      <w:pPr>
        <w:pStyle w:val="libNormal"/>
        <w:rPr>
          <w:rtl/>
          <w:lang w:bidi="fa-IR"/>
        </w:rPr>
      </w:pPr>
      <w:r>
        <w:rPr>
          <w:rtl/>
          <w:lang w:bidi="fa-IR"/>
        </w:rPr>
        <w:t>8497 / 1. مُحَمَّدُ بْنُ يَحْيى ، عَنْ أَحْمَدَ بْنِ مُحَمَّدٍ ، عَنْ مُحَمَّدِ بْنِ يَحْيى ، عَنْ غِيَاثِ بْنِ إِبْرَاهِيمَ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w:t>
      </w:r>
      <w:r w:rsidRPr="00D10E3C">
        <w:rPr>
          <w:rStyle w:val="libFootnotenumChar"/>
          <w:rtl/>
        </w:rPr>
        <w:t>(2)</w:t>
      </w:r>
      <w:r>
        <w:rPr>
          <w:rtl/>
          <w:lang w:bidi="fa-IR"/>
        </w:rPr>
        <w:t xml:space="preserve"> : « إِنَّ رَجُلاً أَتى عَلِيّاً </w:t>
      </w:r>
      <w:r w:rsidR="0061079A" w:rsidRPr="0061079A">
        <w:rPr>
          <w:rStyle w:val="libAlaemChar"/>
          <w:rtl/>
        </w:rPr>
        <w:t>عليه‌السلام</w:t>
      </w:r>
      <w:r w:rsidR="00D10E3C">
        <w:rPr>
          <w:rtl/>
          <w:lang w:bidi="fa-IR"/>
        </w:rPr>
        <w:t xml:space="preserve"> </w:t>
      </w:r>
      <w:r>
        <w:rPr>
          <w:rtl/>
          <w:lang w:bidi="fa-IR"/>
        </w:rPr>
        <w:t xml:space="preserve">، فَقَالَ لَهُ </w:t>
      </w:r>
      <w:r w:rsidRPr="00D10E3C">
        <w:rPr>
          <w:rStyle w:val="libFootnotenumChar"/>
          <w:rtl/>
        </w:rPr>
        <w:t>(3)</w:t>
      </w:r>
      <w:r>
        <w:rPr>
          <w:rtl/>
          <w:lang w:bidi="fa-IR"/>
        </w:rPr>
        <w:t xml:space="preserve"> : إِنَّ لِي عَلى رَجُلٍ دَيْناً ، فَأَهْدى إِلَيَّ هَدِيَّةً </w:t>
      </w:r>
      <w:r w:rsidRPr="00D10E3C">
        <w:rPr>
          <w:rStyle w:val="libFootnotenumChar"/>
          <w:rtl/>
        </w:rPr>
        <w:t>(4)</w:t>
      </w:r>
      <w:r>
        <w:rPr>
          <w:rtl/>
          <w:lang w:bidi="fa-IR"/>
        </w:rPr>
        <w:t xml:space="preserve"> ، قَالَ </w:t>
      </w:r>
      <w:r w:rsidRPr="00D10E3C">
        <w:rPr>
          <w:rStyle w:val="libFootnotenumChar"/>
          <w:rtl/>
        </w:rPr>
        <w:t>(5)</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احْسُبْهُ </w:t>
      </w:r>
      <w:r w:rsidRPr="00D10E3C">
        <w:rPr>
          <w:rStyle w:val="libFootnotenumChar"/>
          <w:rtl/>
        </w:rPr>
        <w:t>(6)</w:t>
      </w:r>
      <w:r>
        <w:rPr>
          <w:rtl/>
          <w:lang w:bidi="fa-IR"/>
        </w:rPr>
        <w:t xml:space="preserve"> مِنْ دَيْنِكَ </w:t>
      </w:r>
      <w:r w:rsidRPr="00D10E3C">
        <w:rPr>
          <w:rStyle w:val="libFootnotenumChar"/>
          <w:rtl/>
        </w:rPr>
        <w:t>(7)</w:t>
      </w:r>
      <w:r>
        <w:rPr>
          <w:rtl/>
          <w:lang w:bidi="fa-IR"/>
        </w:rPr>
        <w:t xml:space="preserve"> عَلَيْهِ ». </w:t>
      </w:r>
      <w:r w:rsidRPr="00D10E3C">
        <w:rPr>
          <w:rStyle w:val="libFootnotenumChar"/>
          <w:rtl/>
        </w:rPr>
        <w:t>(8)</w:t>
      </w:r>
    </w:p>
    <w:p w:rsidR="00144FA6" w:rsidRDefault="00744A1C" w:rsidP="00744A1C">
      <w:pPr>
        <w:pStyle w:val="libNormal"/>
        <w:rPr>
          <w:rtl/>
          <w:lang w:bidi="fa-IR"/>
        </w:rPr>
      </w:pPr>
      <w:r>
        <w:rPr>
          <w:rtl/>
          <w:lang w:bidi="fa-IR"/>
        </w:rPr>
        <w:t xml:space="preserve">8498 / 2. عِدَّةٌ مِنْ أَصْحَابِنَا ، عَنْ أَحْمَدَ بْنِ مُحَمَّدٍ وَسَهْلِ بْنِ زِيَادٍ ، عَنِ ابْنِ مَحْبُوبٍ ، عَنْ هُذَيْلِ بْنِ حَيَّانَ أَخِي جَعْفَرِ بْنِ حَيَّانَ الصَّيْرَفِيِّ </w:t>
      </w:r>
      <w:r w:rsidRPr="00D10E3C">
        <w:rPr>
          <w:rStyle w:val="libFootnotenumChar"/>
          <w:rtl/>
        </w:rPr>
        <w:t>(9)</w:t>
      </w:r>
      <w:r>
        <w:rPr>
          <w:rtl/>
          <w:lang w:bidi="fa-IR"/>
        </w:rPr>
        <w:t xml:space="preserve"> ، قَالَ :</w:t>
      </w:r>
    </w:p>
    <w:p w:rsidR="00744A1C" w:rsidRDefault="00744A1C" w:rsidP="00744A1C">
      <w:pPr>
        <w:pStyle w:val="libNormal"/>
        <w:rPr>
          <w:lang w:bidi="fa-IR"/>
        </w:rPr>
      </w:pPr>
      <w:r>
        <w:rPr>
          <w:rtl/>
          <w:lang w:bidi="fa-IR"/>
        </w:rPr>
        <w:t xml:space="preserve">قُلْتُ لِأَبِي عَبْدِ اللهِ </w:t>
      </w:r>
      <w:r w:rsidRPr="00D10E3C">
        <w:rPr>
          <w:rStyle w:val="libFootnotenumChar"/>
          <w:rtl/>
        </w:rPr>
        <w:t>(10)</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إِنِّي دَفَعْتُ إِلى أَخِي جَعْفَرٍ مَالاً ، فَهُوَ </w:t>
      </w:r>
      <w:r w:rsidRPr="00D10E3C">
        <w:rPr>
          <w:rStyle w:val="libFootnotenumChar"/>
          <w:rtl/>
        </w:rPr>
        <w:t>(11)</w:t>
      </w:r>
      <w:r>
        <w:rPr>
          <w:rtl/>
          <w:lang w:bidi="fa-IR"/>
        </w:rPr>
        <w:t xml:space="preserve"> يُعْطِينِي مَا أُنْفِقُهُ ، وَأَحُجُّ مِنْهُ </w:t>
      </w:r>
      <w:r w:rsidRPr="00D10E3C">
        <w:rPr>
          <w:rStyle w:val="libFootnotenumChar"/>
          <w:rtl/>
        </w:rPr>
        <w:t>(12)</w:t>
      </w:r>
      <w:r>
        <w:rPr>
          <w:rtl/>
          <w:lang w:bidi="fa-IR"/>
        </w:rPr>
        <w:t xml:space="preserve"> ، وَأَتَصَدَّقُ ، وَقَدْ سَأَلْتُ مَنْ قِبَلَنَا ، فَذَكَرُوا أَنَّ ذلِكَ فَاسِدٌ‌</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985EC4" w:rsidTr="00985EC4">
        <w:tc>
          <w:tcPr>
            <w:tcW w:w="4006" w:type="dxa"/>
          </w:tcPr>
          <w:p w:rsidR="00985EC4" w:rsidRDefault="00985EC4" w:rsidP="00D10E3C">
            <w:pPr>
              <w:pStyle w:val="libFootnote0"/>
              <w:rPr>
                <w:rtl/>
                <w:lang w:bidi="fa-IR"/>
              </w:rPr>
            </w:pPr>
            <w:r>
              <w:rPr>
                <w:rtl/>
                <w:lang w:bidi="fa-IR"/>
              </w:rPr>
              <w:t>(1). في « ط ، بخ » : « صلة ».</w:t>
            </w:r>
          </w:p>
        </w:tc>
        <w:tc>
          <w:tcPr>
            <w:tcW w:w="4006" w:type="dxa"/>
          </w:tcPr>
          <w:p w:rsidR="00985EC4" w:rsidRDefault="00985EC4" w:rsidP="00D10E3C">
            <w:pPr>
              <w:pStyle w:val="libFootnote0"/>
              <w:rPr>
                <w:rtl/>
                <w:lang w:bidi="fa-IR"/>
              </w:rPr>
            </w:pPr>
            <w:r>
              <w:rPr>
                <w:rtl/>
                <w:lang w:bidi="fa-IR"/>
              </w:rPr>
              <w:t>(2). في « ط ، بف » : - « قال ».</w:t>
            </w:r>
          </w:p>
        </w:tc>
      </w:tr>
      <w:tr w:rsidR="00985EC4" w:rsidTr="00985EC4">
        <w:tc>
          <w:tcPr>
            <w:tcW w:w="4006" w:type="dxa"/>
          </w:tcPr>
          <w:p w:rsidR="00985EC4" w:rsidRDefault="00985EC4" w:rsidP="00D10E3C">
            <w:pPr>
              <w:pStyle w:val="libFootnote0"/>
              <w:rPr>
                <w:rtl/>
                <w:lang w:bidi="fa-IR"/>
              </w:rPr>
            </w:pPr>
            <w:r>
              <w:rPr>
                <w:rtl/>
                <w:lang w:bidi="fa-IR"/>
              </w:rPr>
              <w:t xml:space="preserve">(3). في </w:t>
            </w:r>
            <w:r w:rsidRPr="00985EC4">
              <w:rPr>
                <w:rtl/>
              </w:rPr>
              <w:t>الوسائل والتهذيب والاستبصار</w:t>
            </w:r>
            <w:r>
              <w:rPr>
                <w:rtl/>
                <w:lang w:bidi="fa-IR"/>
              </w:rPr>
              <w:t xml:space="preserve"> : - « له ».</w:t>
            </w:r>
          </w:p>
        </w:tc>
        <w:tc>
          <w:tcPr>
            <w:tcW w:w="4006" w:type="dxa"/>
          </w:tcPr>
          <w:p w:rsidR="00985EC4" w:rsidRDefault="00985EC4" w:rsidP="00D10E3C">
            <w:pPr>
              <w:pStyle w:val="libFootnote0"/>
              <w:rPr>
                <w:rtl/>
                <w:lang w:bidi="fa-IR"/>
              </w:rPr>
            </w:pPr>
            <w:r>
              <w:rPr>
                <w:rtl/>
                <w:lang w:bidi="fa-IR"/>
              </w:rPr>
              <w:t xml:space="preserve">(4). في«ى»:«بهديّة».وفي «ط» </w:t>
            </w:r>
            <w:r w:rsidRPr="00985EC4">
              <w:rPr>
                <w:rtl/>
              </w:rPr>
              <w:t>والتهذيب</w:t>
            </w:r>
            <w:r>
              <w:rPr>
                <w:rtl/>
                <w:lang w:bidi="fa-IR"/>
              </w:rPr>
              <w:t>:-«هديّة».</w:t>
            </w:r>
          </w:p>
        </w:tc>
      </w:tr>
    </w:tbl>
    <w:p w:rsidR="00744A1C" w:rsidRDefault="00E378DD" w:rsidP="00E378DD">
      <w:pPr>
        <w:pStyle w:val="libFootnote0"/>
        <w:rPr>
          <w:lang w:bidi="fa-IR"/>
        </w:rPr>
      </w:pPr>
      <w:r>
        <w:rPr>
          <w:rtl/>
          <w:lang w:bidi="fa-IR"/>
        </w:rPr>
        <w:t>(5).</w:t>
      </w:r>
      <w:r w:rsidR="00744A1C">
        <w:rPr>
          <w:rtl/>
          <w:lang w:bidi="fa-IR"/>
        </w:rPr>
        <w:t xml:space="preserve"> في « بخ ، بف » : </w:t>
      </w:r>
      <w:r w:rsidR="00744A1C" w:rsidRPr="00985EC4">
        <w:rPr>
          <w:rtl/>
        </w:rPr>
        <w:t>والوافي</w:t>
      </w:r>
      <w:r w:rsidR="00744A1C">
        <w:rPr>
          <w:rtl/>
          <w:lang w:bidi="fa-IR"/>
        </w:rPr>
        <w:t xml:space="preserve"> : « فقال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ينبغي حمله على الاستحباب ، وجوّز في </w:t>
      </w:r>
      <w:r w:rsidR="00744A1C" w:rsidRPr="00985EC4">
        <w:rPr>
          <w:rStyle w:val="libFootnoteBoldChar"/>
          <w:rtl/>
        </w:rPr>
        <w:t>الاستبصار</w:t>
      </w:r>
      <w:r w:rsidR="00744A1C">
        <w:rPr>
          <w:rtl/>
          <w:lang w:bidi="fa-IR"/>
        </w:rPr>
        <w:t xml:space="preserve"> حمله على الهديّة غير المعتادة أو المشترطة أيضاً. وفيه بعد ». وقال الشيهد : « يستحبّ احتساب هديّة الغريم من دينه ؛ للرواية عن عليّ </w:t>
      </w:r>
      <w:r w:rsidR="0061079A" w:rsidRPr="0061079A">
        <w:rPr>
          <w:rStyle w:val="libFootnoteAlaemChar"/>
          <w:rtl/>
        </w:rPr>
        <w:t>عليه‌السلام</w:t>
      </w:r>
      <w:r w:rsidR="00D10E3C">
        <w:rPr>
          <w:rtl/>
          <w:lang w:bidi="fa-IR"/>
        </w:rPr>
        <w:t xml:space="preserve"> </w:t>
      </w:r>
      <w:r w:rsidR="00744A1C">
        <w:rPr>
          <w:rtl/>
          <w:lang w:bidi="fa-IR"/>
        </w:rPr>
        <w:t xml:space="preserve">، ويتأكّد في ما لم تجز عادته به ». </w:t>
      </w:r>
      <w:r w:rsidR="00744A1C" w:rsidRPr="00877682">
        <w:rPr>
          <w:rStyle w:val="libFootnoteBoldChar"/>
          <w:rtl/>
        </w:rPr>
        <w:t>الدروس</w:t>
      </w:r>
      <w:r w:rsidR="00744A1C" w:rsidRPr="00985EC4">
        <w:rPr>
          <w:rStyle w:val="libFootnoteBoldChar"/>
          <w:rtl/>
        </w:rPr>
        <w:t xml:space="preserve"> الشرعية</w:t>
      </w:r>
      <w:r w:rsidR="00744A1C">
        <w:rPr>
          <w:rtl/>
          <w:lang w:bidi="fa-IR"/>
        </w:rPr>
        <w:t xml:space="preserve"> ، ج 3 ، ص 310.</w:t>
      </w:r>
    </w:p>
    <w:p w:rsidR="00744A1C" w:rsidRDefault="00E378DD" w:rsidP="00E378DD">
      <w:pPr>
        <w:pStyle w:val="libFootnote0"/>
        <w:rPr>
          <w:lang w:bidi="fa-IR"/>
        </w:rPr>
      </w:pPr>
      <w:r>
        <w:rPr>
          <w:rtl/>
          <w:lang w:bidi="fa-IR"/>
        </w:rPr>
        <w:t>(7).</w:t>
      </w:r>
      <w:r w:rsidR="00744A1C">
        <w:rPr>
          <w:rtl/>
          <w:lang w:bidi="fa-IR"/>
        </w:rPr>
        <w:t xml:space="preserve"> في « بس » : + « الذي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190 ، ح 404 ؛ </w:t>
      </w:r>
      <w:r w:rsidR="00744A1C" w:rsidRPr="00C24F9C">
        <w:rPr>
          <w:rStyle w:val="libFootnoteBoldChar"/>
          <w:rtl/>
        </w:rPr>
        <w:t>والاستبصار</w:t>
      </w:r>
      <w:r w:rsidR="00744A1C">
        <w:rPr>
          <w:rtl/>
          <w:lang w:bidi="fa-IR"/>
        </w:rPr>
        <w:t xml:space="preserve"> ، ج 3 ، ص 9 ، ح 23 ، معلّقاً عن أحمد بن محمّد بن عيسى ، عن محمّد بن يحيى ، عن غياث بن إبراهيم ، عن جعفر ، عن أبيه </w:t>
      </w:r>
      <w:r w:rsidR="00F112A7" w:rsidRPr="00CE5A92">
        <w:rPr>
          <w:rStyle w:val="libFootnoteAlaemChar"/>
          <w:rtl/>
        </w:rPr>
        <w:t>عليهما‌السلام</w:t>
      </w:r>
      <w:r w:rsidR="00985EC4">
        <w:rPr>
          <w:rStyle w:val="libFootnoteAlaemChar"/>
          <w:rFonts w:hint="cs"/>
          <w:rtl/>
        </w:rPr>
        <w:t>.</w:t>
      </w:r>
      <w:r w:rsidR="00744A1C" w:rsidRPr="00C24F9C">
        <w:rPr>
          <w:rStyle w:val="libFootnoteBoldChar"/>
          <w:rtl/>
        </w:rPr>
        <w:t>الوافي</w:t>
      </w:r>
      <w:r w:rsidR="00744A1C">
        <w:rPr>
          <w:rtl/>
          <w:lang w:bidi="fa-IR"/>
        </w:rPr>
        <w:t xml:space="preserve"> ، ج 18 ، ص 665 ، ح 18074 ؛ </w:t>
      </w:r>
      <w:r w:rsidR="00744A1C" w:rsidRPr="00C24F9C">
        <w:rPr>
          <w:rStyle w:val="libFootnoteBoldChar"/>
          <w:rtl/>
        </w:rPr>
        <w:t>الوسائل</w:t>
      </w:r>
      <w:r w:rsidR="00744A1C">
        <w:rPr>
          <w:rtl/>
          <w:lang w:bidi="fa-IR"/>
        </w:rPr>
        <w:t xml:space="preserve"> ، ج 18 ، ص 352 ، ح 23830.</w:t>
      </w:r>
    </w:p>
    <w:p w:rsidR="00744A1C" w:rsidRDefault="00E378DD" w:rsidP="00E378DD">
      <w:pPr>
        <w:pStyle w:val="libFootnote0"/>
        <w:rPr>
          <w:lang w:bidi="fa-IR"/>
        </w:rPr>
      </w:pPr>
      <w:r>
        <w:rPr>
          <w:rtl/>
          <w:lang w:bidi="fa-IR"/>
        </w:rPr>
        <w:t>(9).</w:t>
      </w:r>
      <w:r w:rsidR="00744A1C">
        <w:rPr>
          <w:rtl/>
          <w:lang w:bidi="fa-IR"/>
        </w:rPr>
        <w:t xml:space="preserve"> في « بخ ، بف » </w:t>
      </w:r>
      <w:r w:rsidR="00744A1C" w:rsidRPr="00985EC4">
        <w:rPr>
          <w:rtl/>
        </w:rPr>
        <w:t>والوافي</w:t>
      </w:r>
      <w:r w:rsidR="00744A1C">
        <w:rPr>
          <w:rtl/>
          <w:lang w:bidi="fa-IR"/>
        </w:rPr>
        <w:t xml:space="preserve"> : « هذيل بن حنان أخي جعفر بن حنان الصيرفي ». وهكذا ورد العنوان في </w:t>
      </w:r>
      <w:r w:rsidR="00744A1C" w:rsidRPr="00C24F9C">
        <w:rPr>
          <w:rStyle w:val="libFootnoteBoldChar"/>
          <w:rtl/>
        </w:rPr>
        <w:t>الفقيه</w:t>
      </w:r>
      <w:r w:rsidR="00744A1C">
        <w:rPr>
          <w:rtl/>
          <w:lang w:bidi="fa-IR"/>
        </w:rPr>
        <w:t xml:space="preserve"> </w:t>
      </w:r>
      <w:r w:rsidR="00744A1C" w:rsidRPr="0061079A">
        <w:rPr>
          <w:rStyle w:val="libFootnoteBoldChar"/>
          <w:rtl/>
        </w:rPr>
        <w:t>والتهذيب</w:t>
      </w:r>
      <w:r w:rsidR="00744A1C">
        <w:rPr>
          <w:rtl/>
          <w:lang w:bidi="fa-IR"/>
        </w:rPr>
        <w:t xml:space="preserve"> </w:t>
      </w:r>
      <w:r w:rsidR="00744A1C" w:rsidRPr="00C24F9C">
        <w:rPr>
          <w:rStyle w:val="libFootnoteBoldChar"/>
          <w:rtl/>
        </w:rPr>
        <w:t>والاستبصار</w:t>
      </w:r>
      <w:r w:rsidR="00744A1C">
        <w:rPr>
          <w:rtl/>
          <w:lang w:bidi="fa-IR"/>
        </w:rPr>
        <w:t xml:space="preserve">. لكنّ المذكور في </w:t>
      </w:r>
      <w:r w:rsidR="00744A1C" w:rsidRPr="004D054E">
        <w:rPr>
          <w:rStyle w:val="libFootnoteBoldChar"/>
          <w:rtl/>
        </w:rPr>
        <w:t>رجال البرقي</w:t>
      </w:r>
      <w:r w:rsidR="00744A1C">
        <w:rPr>
          <w:rtl/>
          <w:lang w:bidi="fa-IR"/>
        </w:rPr>
        <w:t xml:space="preserve"> ، ص 33 هو جعفر بن حيّان أخو هذيل الصيرفي ، وفي </w:t>
      </w:r>
      <w:r w:rsidR="00744A1C" w:rsidRPr="0061079A">
        <w:rPr>
          <w:rStyle w:val="libFootnoteBoldChar"/>
          <w:rtl/>
        </w:rPr>
        <w:t>رجال الطوسي</w:t>
      </w:r>
      <w:r w:rsidR="00744A1C">
        <w:rPr>
          <w:rtl/>
          <w:lang w:bidi="fa-IR"/>
        </w:rPr>
        <w:t xml:space="preserve"> ، ص 179 ، الرقم 2135 جعفر بن حيّان الصيرفي أخو هذيل.</w:t>
      </w:r>
    </w:p>
    <w:p w:rsidR="00744A1C" w:rsidRDefault="00E378DD" w:rsidP="00E378DD">
      <w:pPr>
        <w:pStyle w:val="libFootnote0"/>
        <w:rPr>
          <w:lang w:bidi="fa-IR"/>
        </w:rPr>
      </w:pPr>
      <w:r>
        <w:rPr>
          <w:rtl/>
          <w:lang w:bidi="fa-IR"/>
        </w:rPr>
        <w:t>(10).</w:t>
      </w:r>
      <w:r w:rsidR="00744A1C">
        <w:rPr>
          <w:rtl/>
          <w:lang w:bidi="fa-IR"/>
        </w:rPr>
        <w:t xml:space="preserve"> في </w:t>
      </w:r>
      <w:r w:rsidR="00744A1C" w:rsidRPr="00985EC4">
        <w:rPr>
          <w:rtl/>
        </w:rPr>
        <w:t>الوسائل</w:t>
      </w:r>
      <w:r w:rsidR="00744A1C">
        <w:rPr>
          <w:rtl/>
          <w:lang w:bidi="fa-IR"/>
        </w:rPr>
        <w:t xml:space="preserve"> : « لأبي جعفر ».</w:t>
      </w:r>
    </w:p>
    <w:p w:rsidR="00744A1C" w:rsidRDefault="00E378DD" w:rsidP="00E378DD">
      <w:pPr>
        <w:pStyle w:val="libFootnote0"/>
        <w:rPr>
          <w:lang w:bidi="fa-IR"/>
        </w:rPr>
      </w:pPr>
      <w:r>
        <w:rPr>
          <w:rtl/>
          <w:lang w:bidi="fa-IR"/>
        </w:rPr>
        <w:t>(11).</w:t>
      </w:r>
      <w:r w:rsidR="00744A1C">
        <w:rPr>
          <w:rtl/>
          <w:lang w:bidi="fa-IR"/>
        </w:rPr>
        <w:t xml:space="preserve"> في « ى » : « وهو ».</w:t>
      </w:r>
    </w:p>
    <w:p w:rsidR="00744A1C" w:rsidRDefault="00E378DD" w:rsidP="00E378DD">
      <w:pPr>
        <w:pStyle w:val="libFootnote0"/>
        <w:rPr>
          <w:lang w:bidi="fa-IR"/>
        </w:rPr>
      </w:pPr>
      <w:r>
        <w:rPr>
          <w:rtl/>
          <w:lang w:bidi="fa-IR"/>
        </w:rPr>
        <w:t>(12).</w:t>
      </w:r>
      <w:r w:rsidR="00744A1C">
        <w:rPr>
          <w:rtl/>
          <w:lang w:bidi="fa-IR"/>
        </w:rPr>
        <w:t xml:space="preserve"> في </w:t>
      </w:r>
      <w:r w:rsidR="00744A1C" w:rsidRPr="00985EC4">
        <w:rPr>
          <w:rtl/>
        </w:rPr>
        <w:t>التهذيب</w:t>
      </w:r>
      <w:r w:rsidR="00744A1C">
        <w:rPr>
          <w:rtl/>
          <w:lang w:bidi="fa-IR"/>
        </w:rPr>
        <w:t xml:space="preserve"> ، ح 454 : « به ».</w:t>
      </w:r>
    </w:p>
    <w:p w:rsidR="006A5060" w:rsidRDefault="006A5060" w:rsidP="00D10E3C">
      <w:pPr>
        <w:pStyle w:val="libNormal"/>
        <w:rPr>
          <w:rtl/>
          <w:lang w:bidi="fa-IR"/>
        </w:rPr>
      </w:pPr>
      <w:r>
        <w:rPr>
          <w:rtl/>
          <w:lang w:bidi="fa-IR"/>
        </w:rPr>
        <w:br w:type="page"/>
      </w:r>
    </w:p>
    <w:p w:rsidR="00744A1C" w:rsidRDefault="00744A1C" w:rsidP="00985EC4">
      <w:pPr>
        <w:pStyle w:val="libNormal0"/>
        <w:rPr>
          <w:lang w:bidi="fa-IR"/>
        </w:rPr>
      </w:pPr>
      <w:r>
        <w:rPr>
          <w:rtl/>
          <w:lang w:bidi="fa-IR"/>
        </w:rPr>
        <w:t>لَا يَحِلُّ ، وَأَنَا أُحِبُّ أَنْ أَنْتَهِيَ إِلى قَوْلِكَ؟</w:t>
      </w:r>
    </w:p>
    <w:p w:rsidR="00744A1C" w:rsidRDefault="00744A1C" w:rsidP="00744A1C">
      <w:pPr>
        <w:pStyle w:val="libNormal"/>
        <w:rPr>
          <w:lang w:bidi="fa-IR"/>
        </w:rPr>
      </w:pPr>
      <w:r>
        <w:rPr>
          <w:rtl/>
          <w:lang w:bidi="fa-IR"/>
        </w:rPr>
        <w:t xml:space="preserve">فَقَالَ لِي : « أَكَانَ </w:t>
      </w:r>
      <w:r w:rsidRPr="00D10E3C">
        <w:rPr>
          <w:rStyle w:val="libFootnotenumChar"/>
          <w:rtl/>
        </w:rPr>
        <w:t>(1)</w:t>
      </w:r>
      <w:r>
        <w:rPr>
          <w:rtl/>
          <w:lang w:bidi="fa-IR"/>
        </w:rPr>
        <w:t xml:space="preserve"> يَصِلُكَ </w:t>
      </w:r>
      <w:r w:rsidRPr="00D10E3C">
        <w:rPr>
          <w:rStyle w:val="libFootnotenumChar"/>
          <w:rtl/>
        </w:rPr>
        <w:t>(2)</w:t>
      </w:r>
      <w:r>
        <w:rPr>
          <w:rtl/>
          <w:lang w:bidi="fa-IR"/>
        </w:rPr>
        <w:t xml:space="preserve"> قَبْلَ أَنْ تَدْفَعَ إِلَيْهِ مَالَكَ؟ ».</w:t>
      </w:r>
    </w:p>
    <w:p w:rsidR="00744A1C" w:rsidRDefault="00744A1C" w:rsidP="00744A1C">
      <w:pPr>
        <w:pStyle w:val="libNormal"/>
        <w:rPr>
          <w:lang w:bidi="fa-IR"/>
        </w:rPr>
      </w:pPr>
      <w:r>
        <w:rPr>
          <w:rtl/>
          <w:lang w:bidi="fa-IR"/>
        </w:rPr>
        <w:t>قُلْتُ : نَعَمْ.</w:t>
      </w:r>
    </w:p>
    <w:p w:rsidR="00144FA6" w:rsidRDefault="00744A1C" w:rsidP="00744A1C">
      <w:pPr>
        <w:pStyle w:val="libNormal"/>
        <w:rPr>
          <w:rtl/>
          <w:lang w:bidi="fa-IR"/>
        </w:rPr>
      </w:pPr>
      <w:r>
        <w:rPr>
          <w:rtl/>
          <w:lang w:bidi="fa-IR"/>
        </w:rPr>
        <w:t xml:space="preserve">قَالَ : « فَخُذْ </w:t>
      </w:r>
      <w:r w:rsidRPr="00D10E3C">
        <w:rPr>
          <w:rStyle w:val="libFootnotenumChar"/>
          <w:rtl/>
        </w:rPr>
        <w:t>(3)</w:t>
      </w:r>
      <w:r>
        <w:rPr>
          <w:rtl/>
          <w:lang w:bidi="fa-IR"/>
        </w:rPr>
        <w:t xml:space="preserve"> مِنْهُ مَا يُعْطِيكَ ، فَكُلْ مِنْهُ ، وَاشْرَبْ </w:t>
      </w:r>
      <w:r w:rsidRPr="00D10E3C">
        <w:rPr>
          <w:rStyle w:val="libFootnotenumChar"/>
          <w:rtl/>
        </w:rPr>
        <w:t>(4)</w:t>
      </w:r>
      <w:r>
        <w:rPr>
          <w:rtl/>
          <w:lang w:bidi="fa-IR"/>
        </w:rPr>
        <w:t xml:space="preserve"> ، وَحُجَّ ، وَتَصَدَّقْ ، فَإِذَا قَدِمْتَ الْعِرَاقَ ، فَقُلْ : جَعْفَرُ بْنُ مُحَمَّدٍ أَفْتَانِي بِهذَا ». </w:t>
      </w:r>
      <w:r w:rsidRPr="00D10E3C">
        <w:rPr>
          <w:rStyle w:val="libFootnotenumChar"/>
          <w:rtl/>
        </w:rPr>
        <w:t>(5)</w:t>
      </w:r>
    </w:p>
    <w:p w:rsidR="00144FA6" w:rsidRDefault="00744A1C" w:rsidP="00744A1C">
      <w:pPr>
        <w:pStyle w:val="libNormal"/>
        <w:rPr>
          <w:rtl/>
          <w:lang w:bidi="fa-IR"/>
        </w:rPr>
      </w:pPr>
      <w:r>
        <w:rPr>
          <w:rtl/>
          <w:lang w:bidi="fa-IR"/>
        </w:rPr>
        <w:t>8499 / 3. مُحَمَّدُ بْنُ يَحْيى ، عَنْ مُحَمَّدِ بْنِ الْحُسَيْنِ ، عَنْ مُوسَى بْنِ سَعْدَانَ ، عَنِ الْحُسَيْنِ بْنِ أَبِي الْعَلَاءِ ، عَنْ إِسْحَاقَ بْنِ عَمَّارٍ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سَأَلْتُهُ عَنِ الرَّجُلِ يَكُونُ لَهُ عَلى </w:t>
      </w:r>
      <w:r w:rsidRPr="00D10E3C">
        <w:rPr>
          <w:rStyle w:val="libFootnotenumChar"/>
          <w:rtl/>
        </w:rPr>
        <w:t>(6)</w:t>
      </w:r>
      <w:r>
        <w:rPr>
          <w:rtl/>
          <w:lang w:bidi="fa-IR"/>
        </w:rPr>
        <w:t xml:space="preserve"> رَجُلٍ مَالٌ قَرْضاً ، فَيُعْطِيهِ الشَّيْ‌ءَ مِنْ رِبْحِهِ مَخَافَةَ أَنْ يَقْطَعَ ذلِكَ عَنْهُ ، فَيَأْخُذَ مَالَهُ مِنْ غَيْرِ أَنْ يَكُونَ </w:t>
      </w:r>
      <w:r w:rsidRPr="00D10E3C">
        <w:rPr>
          <w:rStyle w:val="libFootnotenumChar"/>
          <w:rtl/>
        </w:rPr>
        <w:t>(7)</w:t>
      </w:r>
      <w:r>
        <w:rPr>
          <w:rtl/>
          <w:lang w:bidi="fa-IR"/>
        </w:rPr>
        <w:t xml:space="preserve"> شَرَطَ عَلَيْهِ؟</w:t>
      </w:r>
    </w:p>
    <w:p w:rsidR="00144FA6" w:rsidRDefault="00744A1C" w:rsidP="00744A1C">
      <w:pPr>
        <w:pStyle w:val="libNormal"/>
        <w:rPr>
          <w:rtl/>
          <w:lang w:bidi="fa-IR"/>
        </w:rPr>
      </w:pPr>
      <w:r>
        <w:rPr>
          <w:rtl/>
          <w:lang w:bidi="fa-IR"/>
        </w:rPr>
        <w:t xml:space="preserve">قَالَ : « لَا بَأْسَ بِذلِكَ </w:t>
      </w:r>
      <w:r w:rsidRPr="00D10E3C">
        <w:rPr>
          <w:rStyle w:val="libFootnotenumChar"/>
          <w:rtl/>
        </w:rPr>
        <w:t>(8)</w:t>
      </w:r>
      <w:r>
        <w:rPr>
          <w:rtl/>
          <w:lang w:bidi="fa-IR"/>
        </w:rPr>
        <w:t xml:space="preserve"> مَا لَمْ يَكُنْ شَرْطاً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كان » من دون همزة الاستفهام.</w:t>
      </w:r>
    </w:p>
    <w:p w:rsidR="00744A1C" w:rsidRDefault="00E378DD" w:rsidP="00E378DD">
      <w:pPr>
        <w:pStyle w:val="libFootnote0"/>
        <w:rPr>
          <w:lang w:bidi="fa-IR"/>
        </w:rPr>
      </w:pPr>
      <w:r>
        <w:rPr>
          <w:rtl/>
          <w:lang w:bidi="fa-IR"/>
        </w:rPr>
        <w:t>(2).</w:t>
      </w:r>
      <w:r w:rsidR="00744A1C">
        <w:rPr>
          <w:rtl/>
          <w:lang w:bidi="fa-IR"/>
        </w:rPr>
        <w:t xml:space="preserve"> في </w:t>
      </w:r>
      <w:r w:rsidR="00744A1C" w:rsidRPr="00985EC4">
        <w:rPr>
          <w:rtl/>
        </w:rPr>
        <w:t>التهذيب</w:t>
      </w:r>
      <w:r w:rsidR="00744A1C">
        <w:rPr>
          <w:rtl/>
          <w:lang w:bidi="fa-IR"/>
        </w:rPr>
        <w:t xml:space="preserve"> ، ح 1146 : « يعطيك ».</w:t>
      </w:r>
    </w:p>
    <w:p w:rsidR="00744A1C" w:rsidRDefault="00E378DD" w:rsidP="00E378DD">
      <w:pPr>
        <w:pStyle w:val="libFootnote0"/>
        <w:rPr>
          <w:lang w:bidi="fa-IR"/>
        </w:rPr>
      </w:pPr>
      <w:r>
        <w:rPr>
          <w:rtl/>
          <w:lang w:bidi="fa-IR"/>
        </w:rPr>
        <w:t>(3).</w:t>
      </w:r>
      <w:r w:rsidR="00744A1C">
        <w:rPr>
          <w:rtl/>
          <w:lang w:bidi="fa-IR"/>
        </w:rPr>
        <w:t xml:space="preserve"> في « ط ، بح ، بس ، جد » </w:t>
      </w:r>
      <w:r w:rsidR="00744A1C" w:rsidRPr="00985EC4">
        <w:rPr>
          <w:rtl/>
        </w:rPr>
        <w:t>والوسائل والفقيه والتهذيب والاستبصار</w:t>
      </w:r>
      <w:r w:rsidR="00744A1C">
        <w:rPr>
          <w:rtl/>
          <w:lang w:bidi="fa-IR"/>
        </w:rPr>
        <w:t xml:space="preserve"> : « خذ ».</w:t>
      </w:r>
    </w:p>
    <w:p w:rsidR="00744A1C" w:rsidRDefault="00E378DD" w:rsidP="00E378DD">
      <w:pPr>
        <w:pStyle w:val="libFootnote0"/>
        <w:rPr>
          <w:lang w:bidi="fa-IR"/>
        </w:rPr>
      </w:pPr>
      <w:r>
        <w:rPr>
          <w:rtl/>
          <w:lang w:bidi="fa-IR"/>
        </w:rPr>
        <w:t>(4).</w:t>
      </w:r>
      <w:r w:rsidR="00744A1C">
        <w:rPr>
          <w:rtl/>
          <w:lang w:bidi="fa-IR"/>
        </w:rPr>
        <w:t xml:space="preserve"> في « ط » : + « منه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الفقيه</w:t>
      </w:r>
      <w:r w:rsidR="00744A1C">
        <w:rPr>
          <w:rtl/>
          <w:lang w:bidi="fa-IR"/>
        </w:rPr>
        <w:t xml:space="preserve"> ، ج 3 ، ص 187 ، ح 3704 ؛ </w:t>
      </w:r>
      <w:r w:rsidR="00744A1C" w:rsidRPr="0061079A">
        <w:rPr>
          <w:rStyle w:val="libFootnoteBoldChar"/>
          <w:rtl/>
        </w:rPr>
        <w:t>والتهذيب</w:t>
      </w:r>
      <w:r w:rsidR="00744A1C">
        <w:rPr>
          <w:rtl/>
          <w:lang w:bidi="fa-IR"/>
        </w:rPr>
        <w:t xml:space="preserve"> ، ج 6 ، ص 202 ، ح 454 ؛ وص 386 ، ح 1146 ؛ </w:t>
      </w:r>
      <w:r w:rsidR="00744A1C" w:rsidRPr="00C24F9C">
        <w:rPr>
          <w:rStyle w:val="libFootnoteBoldChar"/>
          <w:rtl/>
        </w:rPr>
        <w:t>والاستبصار</w:t>
      </w:r>
      <w:r w:rsidR="00744A1C">
        <w:rPr>
          <w:rtl/>
          <w:lang w:bidi="fa-IR"/>
        </w:rPr>
        <w:t xml:space="preserve"> ، ج 3 ، ص 10 ، ح 25 ، وفي كلّها معلّقاً عن الحسن بن محبوب </w:t>
      </w:r>
      <w:r w:rsidR="00985EC4">
        <w:rPr>
          <w:rFonts w:hint="cs"/>
          <w:rtl/>
          <w:lang w:bidi="fa-IR"/>
        </w:rPr>
        <w:t>.</w:t>
      </w:r>
      <w:r w:rsidR="00744A1C" w:rsidRPr="00C24F9C">
        <w:rPr>
          <w:rStyle w:val="libFootnoteBoldChar"/>
          <w:rtl/>
        </w:rPr>
        <w:t>الوافي</w:t>
      </w:r>
      <w:r w:rsidR="00744A1C">
        <w:rPr>
          <w:rtl/>
          <w:lang w:bidi="fa-IR"/>
        </w:rPr>
        <w:t xml:space="preserve"> ، ج 18 ، ص 664 ، ح 18073 ؛ </w:t>
      </w:r>
      <w:r w:rsidR="00744A1C" w:rsidRPr="00C24F9C">
        <w:rPr>
          <w:rStyle w:val="libFootnoteBoldChar"/>
          <w:rtl/>
        </w:rPr>
        <w:t>الوسائل</w:t>
      </w:r>
      <w:r w:rsidR="00744A1C">
        <w:rPr>
          <w:rtl/>
          <w:lang w:bidi="fa-IR"/>
        </w:rPr>
        <w:t xml:space="preserve"> ، ج 18 ، ص 353 ، ح 23831.</w:t>
      </w:r>
    </w:p>
    <w:p w:rsidR="00744A1C" w:rsidRDefault="00E378DD" w:rsidP="00E378DD">
      <w:pPr>
        <w:pStyle w:val="libFootnote0"/>
        <w:rPr>
          <w:lang w:bidi="fa-IR"/>
        </w:rPr>
      </w:pPr>
      <w:r>
        <w:rPr>
          <w:rtl/>
          <w:lang w:bidi="fa-IR"/>
        </w:rPr>
        <w:t>(6).</w:t>
      </w:r>
      <w:r w:rsidR="00744A1C">
        <w:rPr>
          <w:rtl/>
          <w:lang w:bidi="fa-IR"/>
        </w:rPr>
        <w:t xml:space="preserve"> في جميع النسخ التي قوبلت </w:t>
      </w:r>
      <w:r w:rsidR="00744A1C" w:rsidRPr="00985EC4">
        <w:rPr>
          <w:rtl/>
        </w:rPr>
        <w:t>والوافي والوسائل والاستبصار</w:t>
      </w:r>
      <w:r w:rsidR="00744A1C">
        <w:rPr>
          <w:rtl/>
          <w:lang w:bidi="fa-IR"/>
        </w:rPr>
        <w:t xml:space="preserve"> : « مع ».</w:t>
      </w:r>
    </w:p>
    <w:p w:rsidR="00744A1C" w:rsidRDefault="00E378DD" w:rsidP="00E378DD">
      <w:pPr>
        <w:pStyle w:val="libFootnote0"/>
        <w:rPr>
          <w:lang w:bidi="fa-IR"/>
        </w:rPr>
      </w:pPr>
      <w:r>
        <w:rPr>
          <w:rtl/>
          <w:lang w:bidi="fa-IR"/>
        </w:rPr>
        <w:t>(7).</w:t>
      </w:r>
      <w:r w:rsidR="00744A1C">
        <w:rPr>
          <w:rtl/>
          <w:lang w:bidi="fa-IR"/>
        </w:rPr>
        <w:t xml:space="preserve"> في « ط » : « أن تكون ».</w:t>
      </w:r>
    </w:p>
    <w:p w:rsidR="00744A1C" w:rsidRDefault="00E378DD" w:rsidP="00E378DD">
      <w:pPr>
        <w:pStyle w:val="libFootnote0"/>
        <w:rPr>
          <w:lang w:bidi="fa-IR"/>
        </w:rPr>
      </w:pPr>
      <w:r>
        <w:rPr>
          <w:rtl/>
          <w:lang w:bidi="fa-IR"/>
        </w:rPr>
        <w:t>(8).</w:t>
      </w:r>
      <w:r w:rsidR="00744A1C">
        <w:rPr>
          <w:rtl/>
          <w:lang w:bidi="fa-IR"/>
        </w:rPr>
        <w:t xml:space="preserve"> في « ط ، بح ، بس ، جد ، جن » وحاشية « جت » </w:t>
      </w:r>
      <w:r w:rsidR="00744A1C" w:rsidRPr="00985EC4">
        <w:rPr>
          <w:rtl/>
        </w:rPr>
        <w:t>والوسائل والتهذيب</w:t>
      </w:r>
      <w:r w:rsidR="00744A1C">
        <w:rPr>
          <w:rtl/>
          <w:lang w:bidi="fa-IR"/>
        </w:rPr>
        <w:t xml:space="preserve"> : « به ».</w:t>
      </w:r>
    </w:p>
    <w:p w:rsidR="00744A1C" w:rsidRDefault="00E378DD" w:rsidP="00E378DD">
      <w:pPr>
        <w:pStyle w:val="libFootnote0"/>
        <w:rPr>
          <w:lang w:bidi="fa-IR"/>
        </w:rPr>
      </w:pPr>
      <w:r>
        <w:rPr>
          <w:rtl/>
          <w:lang w:bidi="fa-IR"/>
        </w:rPr>
        <w:t>(9).</w:t>
      </w:r>
      <w:r w:rsidR="00744A1C">
        <w:rPr>
          <w:rtl/>
          <w:lang w:bidi="fa-IR"/>
        </w:rPr>
        <w:t xml:space="preserve"> في « بخ ، بف » </w:t>
      </w:r>
      <w:r w:rsidR="00744A1C" w:rsidRPr="00985EC4">
        <w:rPr>
          <w:rtl/>
        </w:rPr>
        <w:t>والوافي</w:t>
      </w:r>
      <w:r w:rsidR="00744A1C">
        <w:rPr>
          <w:rtl/>
          <w:lang w:bidi="fa-IR"/>
        </w:rPr>
        <w:t xml:space="preserve"> : « شرط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191 ، ح 414 ؛ </w:t>
      </w:r>
      <w:r w:rsidR="00744A1C" w:rsidRPr="00C24F9C">
        <w:rPr>
          <w:rStyle w:val="libFootnoteBoldChar"/>
          <w:rtl/>
        </w:rPr>
        <w:t>والاستبصار</w:t>
      </w:r>
      <w:r w:rsidR="00744A1C">
        <w:rPr>
          <w:rtl/>
          <w:lang w:bidi="fa-IR"/>
        </w:rPr>
        <w:t xml:space="preserve"> ، ج 3 ، ص 9 ، ح 24 ، معلّقاً عن الكليني </w:t>
      </w:r>
      <w:r w:rsidR="00985EC4">
        <w:rPr>
          <w:rFonts w:hint="cs"/>
          <w:rtl/>
          <w:lang w:bidi="fa-IR"/>
        </w:rPr>
        <w:t>.</w:t>
      </w:r>
      <w:r w:rsidR="00744A1C" w:rsidRPr="00C24F9C">
        <w:rPr>
          <w:rStyle w:val="libFootnoteBoldChar"/>
          <w:rtl/>
        </w:rPr>
        <w:t>الوافي</w:t>
      </w:r>
      <w:r w:rsidR="00744A1C">
        <w:rPr>
          <w:rtl/>
          <w:lang w:bidi="fa-IR"/>
        </w:rPr>
        <w:t xml:space="preserve"> ، ج 18 ، ص 657 ، ح 18053 ؛ </w:t>
      </w:r>
      <w:r w:rsidR="00744A1C" w:rsidRPr="00985EC4">
        <w:rPr>
          <w:rtl/>
        </w:rPr>
        <w:t>الوسائل</w:t>
      </w:r>
      <w:r w:rsidR="00744A1C">
        <w:rPr>
          <w:rtl/>
          <w:lang w:bidi="fa-IR"/>
        </w:rPr>
        <w:t xml:space="preserve"> ، ج 18 ، ص 354 ، ح 23832.</w:t>
      </w:r>
    </w:p>
    <w:p w:rsidR="006A5060" w:rsidRDefault="006A5060" w:rsidP="00D10E3C">
      <w:pPr>
        <w:pStyle w:val="libNormal"/>
        <w:rPr>
          <w:rtl/>
          <w:lang w:bidi="fa-IR"/>
        </w:rPr>
      </w:pPr>
      <w:r>
        <w:rPr>
          <w:rtl/>
          <w:lang w:bidi="fa-IR"/>
        </w:rPr>
        <w:br w:type="page"/>
      </w:r>
    </w:p>
    <w:p w:rsidR="00144FA6" w:rsidRDefault="00744A1C" w:rsidP="00985EC4">
      <w:pPr>
        <w:pStyle w:val="Heading2Center"/>
        <w:rPr>
          <w:rtl/>
          <w:lang w:bidi="fa-IR"/>
        </w:rPr>
      </w:pPr>
      <w:bookmarkStart w:id="152" w:name="_Toc49261450"/>
      <w:r>
        <w:rPr>
          <w:rtl/>
          <w:lang w:bidi="fa-IR"/>
        </w:rPr>
        <w:t xml:space="preserve">29 - بَابُ الْكَفَالَةِ </w:t>
      </w:r>
      <w:r w:rsidRPr="00D10E3C">
        <w:rPr>
          <w:rStyle w:val="libFootnotenumChar"/>
          <w:rtl/>
        </w:rPr>
        <w:t>(1)</w:t>
      </w:r>
      <w:r>
        <w:rPr>
          <w:rtl/>
          <w:lang w:bidi="fa-IR"/>
        </w:rPr>
        <w:t xml:space="preserve"> وَالْحَوَالَةِ </w:t>
      </w:r>
      <w:r w:rsidRPr="00D10E3C">
        <w:rPr>
          <w:rStyle w:val="libFootnotenumChar"/>
          <w:rtl/>
        </w:rPr>
        <w:t>(2)</w:t>
      </w:r>
      <w:bookmarkEnd w:id="152"/>
    </w:p>
    <w:p w:rsidR="00985EC4" w:rsidRDefault="00744A1C" w:rsidP="00985EC4">
      <w:pPr>
        <w:pStyle w:val="libNormal"/>
        <w:rPr>
          <w:rtl/>
          <w:lang w:bidi="fa-IR"/>
        </w:rPr>
      </w:pPr>
      <w:r>
        <w:rPr>
          <w:rtl/>
          <w:lang w:bidi="fa-IR"/>
        </w:rPr>
        <w:t>8500 / 1. عَلِيُّ بْنُ إِبْرَاهِيمَ ، عَنْ أَبِيهِ ؛</w:t>
      </w:r>
    </w:p>
    <w:p w:rsidR="00144FA6" w:rsidRDefault="00985EC4" w:rsidP="00985EC4">
      <w:pPr>
        <w:pStyle w:val="libNormal"/>
        <w:rPr>
          <w:rtl/>
          <w:lang w:bidi="fa-IR"/>
        </w:rPr>
      </w:pPr>
      <w:r>
        <w:rPr>
          <w:rFonts w:hint="cs"/>
          <w:rtl/>
          <w:lang w:bidi="fa-IR"/>
        </w:rPr>
        <w:t xml:space="preserve">             </w:t>
      </w:r>
      <w:r w:rsidR="00744A1C">
        <w:rPr>
          <w:rtl/>
          <w:lang w:bidi="fa-IR"/>
        </w:rPr>
        <w:t xml:space="preserve">وَمُحَمَّدُ بْنُ إِسْمَاعِيلَ ، عَنِ الْفَضْلِ بْنِ شَاذَانَ جَمِيعاً </w:t>
      </w:r>
      <w:r w:rsidR="00744A1C" w:rsidRPr="00D10E3C">
        <w:rPr>
          <w:rStyle w:val="libFootnotenumChar"/>
          <w:rtl/>
        </w:rPr>
        <w:t>(3)</w:t>
      </w:r>
      <w:r w:rsidR="00744A1C">
        <w:rPr>
          <w:rtl/>
          <w:lang w:bidi="fa-IR"/>
        </w:rPr>
        <w:t xml:space="preserve"> ، عَنِ ابْنِ أَبِي عُمَيْرٍ ، عَنْ حَفْصِ بْنِ الْبَخْتَرِيِّ ، قَالَ :</w:t>
      </w:r>
    </w:p>
    <w:p w:rsidR="00744A1C" w:rsidRDefault="00744A1C" w:rsidP="00744A1C">
      <w:pPr>
        <w:pStyle w:val="libNormal"/>
        <w:rPr>
          <w:lang w:bidi="fa-IR"/>
        </w:rPr>
      </w:pPr>
      <w:r>
        <w:rPr>
          <w:rtl/>
          <w:lang w:bidi="fa-IR"/>
        </w:rPr>
        <w:t xml:space="preserve">أَبْطَأْتُ عَنِ الْحَجِّ ، فَقَالَ لِي أَبُو عَبْدِ اللهِ </w:t>
      </w:r>
      <w:r w:rsidR="0061079A" w:rsidRPr="0061079A">
        <w:rPr>
          <w:rStyle w:val="libAlaemChar"/>
          <w:rtl/>
        </w:rPr>
        <w:t>عليه‌السلام</w:t>
      </w:r>
      <w:r w:rsidR="00D10E3C">
        <w:rPr>
          <w:rtl/>
          <w:lang w:bidi="fa-IR"/>
        </w:rPr>
        <w:t xml:space="preserve"> </w:t>
      </w:r>
      <w:r>
        <w:rPr>
          <w:rtl/>
          <w:lang w:bidi="fa-IR"/>
        </w:rPr>
        <w:t xml:space="preserve">: « مَا أَبْطَأَ </w:t>
      </w:r>
      <w:r w:rsidRPr="00D10E3C">
        <w:rPr>
          <w:rStyle w:val="libFootnotenumChar"/>
          <w:rtl/>
        </w:rPr>
        <w:t>(4)</w:t>
      </w:r>
      <w:r>
        <w:rPr>
          <w:rtl/>
          <w:lang w:bidi="fa-IR"/>
        </w:rPr>
        <w:t xml:space="preserve"> بِكَ </w:t>
      </w:r>
      <w:r w:rsidRPr="00D10E3C">
        <w:rPr>
          <w:rStyle w:val="libFootnotenumChar"/>
          <w:rtl/>
        </w:rPr>
        <w:t>(5)</w:t>
      </w:r>
      <w:r>
        <w:rPr>
          <w:rtl/>
          <w:lang w:bidi="fa-IR"/>
        </w:rPr>
        <w:t xml:space="preserve"> عَنِ الْحَجِّ؟ ».</w:t>
      </w:r>
    </w:p>
    <w:p w:rsidR="00744A1C" w:rsidRDefault="00744A1C" w:rsidP="00744A1C">
      <w:pPr>
        <w:pStyle w:val="libNormal"/>
        <w:rPr>
          <w:lang w:bidi="fa-IR"/>
        </w:rPr>
      </w:pPr>
      <w:r>
        <w:rPr>
          <w:rtl/>
          <w:lang w:bidi="fa-IR"/>
        </w:rPr>
        <w:t xml:space="preserve">فَقُلْتُ </w:t>
      </w:r>
      <w:r w:rsidRPr="00D10E3C">
        <w:rPr>
          <w:rStyle w:val="libFootnotenumChar"/>
          <w:rtl/>
        </w:rPr>
        <w:t>(6)</w:t>
      </w:r>
      <w:r>
        <w:rPr>
          <w:rtl/>
          <w:lang w:bidi="fa-IR"/>
        </w:rPr>
        <w:t xml:space="preserve"> : جُعِلْتُ فِدَاكَ ، تَكَفَّلْتُ بِرَجُلٍ ، فَخَفَرَ </w:t>
      </w:r>
      <w:r w:rsidRPr="00D10E3C">
        <w:rPr>
          <w:rStyle w:val="libFootnotenumChar"/>
          <w:rtl/>
        </w:rPr>
        <w:t>(7)</w:t>
      </w:r>
      <w:r>
        <w:rPr>
          <w:rtl/>
          <w:lang w:bidi="fa-IR"/>
        </w:rPr>
        <w:t xml:space="preserve"> بِي </w:t>
      </w:r>
      <w:r w:rsidRPr="00D10E3C">
        <w:rPr>
          <w:rStyle w:val="libFootnotenumChar"/>
          <w:rtl/>
        </w:rPr>
        <w:t>(8)</w:t>
      </w:r>
      <w:r w:rsidR="00985EC4" w:rsidRPr="00985EC4">
        <w:rPr>
          <w:rFonts w:hint="cs"/>
          <w:rtl/>
        </w:rPr>
        <w:t>.</w:t>
      </w:r>
    </w:p>
    <w:p w:rsidR="00744A1C" w:rsidRDefault="00744A1C" w:rsidP="00744A1C">
      <w:pPr>
        <w:pStyle w:val="libNormal"/>
        <w:rPr>
          <w:lang w:bidi="fa-IR"/>
        </w:rPr>
      </w:pPr>
      <w:r>
        <w:rPr>
          <w:rtl/>
          <w:lang w:bidi="fa-IR"/>
        </w:rPr>
        <w:t xml:space="preserve">فَقَالَ : « مَا لَكَ وَالْكَفَالَاتِ </w:t>
      </w:r>
      <w:r w:rsidRPr="00D10E3C">
        <w:rPr>
          <w:rStyle w:val="libFootnotenumChar"/>
          <w:rtl/>
        </w:rPr>
        <w:t>(9)</w:t>
      </w:r>
      <w:r>
        <w:rPr>
          <w:rtl/>
          <w:lang w:bidi="fa-IR"/>
        </w:rPr>
        <w:t>؟ أَ</w:t>
      </w:r>
      <w:r w:rsidR="00985EC4">
        <w:rPr>
          <w:rFonts w:hint="cs"/>
          <w:rtl/>
          <w:lang w:bidi="fa-IR"/>
        </w:rPr>
        <w:t xml:space="preserve"> </w:t>
      </w:r>
      <w:r>
        <w:rPr>
          <w:rtl/>
          <w:lang w:bidi="fa-IR"/>
        </w:rPr>
        <w:t>مَا عَلِمْتَ أَنَّهَا أَهْلَكَتِ الْقُرُونَ الْأُولى؟ ».</w:t>
      </w:r>
    </w:p>
    <w:p w:rsidR="00744A1C" w:rsidRDefault="00744A1C" w:rsidP="00744A1C">
      <w:pPr>
        <w:pStyle w:val="libNormal"/>
        <w:rPr>
          <w:lang w:bidi="fa-IR"/>
        </w:rPr>
      </w:pPr>
      <w:r>
        <w:rPr>
          <w:rtl/>
          <w:lang w:bidi="fa-IR"/>
        </w:rPr>
        <w:t xml:space="preserve">ثُمَّ قَالَ : « إِنَّ قَوْماً أَذْنَبُوا ذُنُوباً كَثِيرَةً ، فَأَشْفَقُوا مِنْهَا ، وَخَافُوا خَوْفاً شَدِيداً ، فَجَاءَ </w:t>
      </w:r>
      <w:r w:rsidRPr="00D10E3C">
        <w:rPr>
          <w:rStyle w:val="libFootnotenumChar"/>
          <w:rtl/>
        </w:rPr>
        <w:t>(10)</w:t>
      </w:r>
      <w:r>
        <w:rPr>
          <w:rtl/>
          <w:lang w:bidi="fa-IR"/>
        </w:rPr>
        <w:t xml:space="preserve"> آخَرُونَ ، فَقَالُوا : ذُنُوبُكُمْ عَلَيْنَا ، فَأَنْزَلَ اللهُ - عَزَّ وَجَلَّ - عَلَيْهِمُ الْعَذَابَ ، ثُمَّ قَالَ </w:t>
      </w:r>
      <w:r w:rsidRPr="00D10E3C">
        <w:rPr>
          <w:rStyle w:val="libFootnotenumChar"/>
          <w:rtl/>
        </w:rPr>
        <w:t>(11)</w:t>
      </w:r>
      <w:r>
        <w:rPr>
          <w:rtl/>
          <w:lang w:bidi="fa-IR"/>
        </w:rPr>
        <w:t xml:space="preserve"> تَبَارَكَ‌</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الكفالة » : هي التعهّد بالنفس ممّن له حقّ. وقال ابن حمزة </w:t>
      </w:r>
      <w:r w:rsidR="00985EC4" w:rsidRPr="00985EC4">
        <w:rPr>
          <w:rStyle w:val="libFootnoteAlaemChar"/>
          <w:rtl/>
        </w:rPr>
        <w:t>قدس‌سره</w:t>
      </w:r>
      <w:r w:rsidR="00744A1C">
        <w:rPr>
          <w:rtl/>
          <w:lang w:bidi="fa-IR"/>
        </w:rPr>
        <w:t xml:space="preserve"> : « الكفالة : التقبّل بنفس إنسان لمن له عليه حقّ ». وقال المطرزي : « الكفالة : ضمّ ذمّة إلى ذمّة في حقّ المطالبة ». راجع : </w:t>
      </w:r>
      <w:r w:rsidR="00744A1C" w:rsidRPr="0017751E">
        <w:rPr>
          <w:rStyle w:val="libFootnoteBoldChar"/>
          <w:rtl/>
        </w:rPr>
        <w:t>الوسيلة</w:t>
      </w:r>
      <w:r w:rsidR="00744A1C">
        <w:rPr>
          <w:rtl/>
          <w:lang w:bidi="fa-IR"/>
        </w:rPr>
        <w:t xml:space="preserve"> ، ص 281 ؛ </w:t>
      </w:r>
      <w:r w:rsidR="00744A1C" w:rsidRPr="0017751E">
        <w:rPr>
          <w:rStyle w:val="libFootnoteBoldChar"/>
          <w:rtl/>
        </w:rPr>
        <w:t>المختصر النافع</w:t>
      </w:r>
      <w:r w:rsidR="00744A1C">
        <w:rPr>
          <w:rtl/>
          <w:lang w:bidi="fa-IR"/>
        </w:rPr>
        <w:t xml:space="preserve"> ، ص 143 ؛ </w:t>
      </w:r>
      <w:r w:rsidR="00744A1C" w:rsidRPr="0017751E">
        <w:rPr>
          <w:rStyle w:val="libFootnoteBoldChar"/>
          <w:rtl/>
        </w:rPr>
        <w:t>إرشاد الأذهان</w:t>
      </w:r>
      <w:r w:rsidR="00744A1C">
        <w:rPr>
          <w:rtl/>
          <w:lang w:bidi="fa-IR"/>
        </w:rPr>
        <w:t xml:space="preserve"> ، ج 1 ، ص 403 ؛ </w:t>
      </w:r>
      <w:r w:rsidR="00744A1C" w:rsidRPr="0017751E">
        <w:rPr>
          <w:rStyle w:val="libFootnoteBoldChar"/>
          <w:rtl/>
        </w:rPr>
        <w:t>المغرب</w:t>
      </w:r>
      <w:r w:rsidR="00744A1C">
        <w:rPr>
          <w:rtl/>
          <w:lang w:bidi="fa-IR"/>
        </w:rPr>
        <w:t xml:space="preserve"> ، ص 412 ( كفل ).</w:t>
      </w:r>
    </w:p>
    <w:p w:rsidR="00744A1C" w:rsidRDefault="00E378DD" w:rsidP="00E378DD">
      <w:pPr>
        <w:pStyle w:val="libFootnote0"/>
        <w:rPr>
          <w:lang w:bidi="fa-IR"/>
        </w:rPr>
      </w:pPr>
      <w:r>
        <w:rPr>
          <w:rtl/>
          <w:lang w:bidi="fa-IR"/>
        </w:rPr>
        <w:t>(2).</w:t>
      </w:r>
      <w:r w:rsidR="00744A1C">
        <w:rPr>
          <w:rtl/>
          <w:lang w:bidi="fa-IR"/>
        </w:rPr>
        <w:t xml:space="preserve"> « الحوالة » : اسم من أحال بدينه وعليه بدينه ، أي نقله من ذمّته إلى ذمّة غيرها. وعند أهل الشرع : عقد شرّع لتحويل المال من ذمّة إلى ذمّة مشغولة بمثله ، أو غير مشغولة ، على اختلاف فيه بشرط رضا الثلاثة. وقال </w:t>
      </w:r>
      <w:r w:rsidR="00744A1C" w:rsidRPr="0017751E">
        <w:rPr>
          <w:rStyle w:val="libFootnoteBoldChar"/>
          <w:rtl/>
        </w:rPr>
        <w:t>صاحب الرياض</w:t>
      </w:r>
      <w:r w:rsidR="00744A1C">
        <w:rPr>
          <w:rtl/>
          <w:lang w:bidi="fa-IR"/>
        </w:rPr>
        <w:t xml:space="preserve"> : « هو - أي الضمان - يطلق على معنيين ، أحدهما أخصّ من الآخر ، والأعمّ عبارة عن عقد شرّع للتعهّد بنفس ، أو مال ، والأوّل الكفالة ، والثاني الحوالة إن كان ممّن في ذمّته مال ، وإ</w:t>
      </w:r>
      <w:r w:rsidR="0017751E">
        <w:rPr>
          <w:rtl/>
          <w:lang w:bidi="fa-IR"/>
        </w:rPr>
        <w:t>ل</w:t>
      </w:r>
      <w:r w:rsidR="0017751E">
        <w:rPr>
          <w:rFonts w:hint="cs"/>
          <w:rtl/>
          <w:lang w:bidi="fa-IR"/>
        </w:rPr>
        <w:t>ّ</w:t>
      </w:r>
      <w:r w:rsidR="0017751E">
        <w:rPr>
          <w:rtl/>
          <w:lang w:bidi="fa-IR"/>
        </w:rPr>
        <w:t>ا</w:t>
      </w:r>
      <w:r w:rsidR="00744A1C">
        <w:rPr>
          <w:rtl/>
          <w:lang w:bidi="fa-IR"/>
        </w:rPr>
        <w:t xml:space="preserve"> فالضمان بالمعنى الأخصّ ». راجع : </w:t>
      </w:r>
      <w:r w:rsidR="00744A1C" w:rsidRPr="00E978C3">
        <w:rPr>
          <w:rStyle w:val="libFootnoteBoldChar"/>
          <w:rtl/>
        </w:rPr>
        <w:t>المصباح المنير</w:t>
      </w:r>
      <w:r w:rsidR="00744A1C">
        <w:rPr>
          <w:rtl/>
          <w:lang w:bidi="fa-IR"/>
        </w:rPr>
        <w:t xml:space="preserve"> ، ص 157 ؛ </w:t>
      </w:r>
      <w:r w:rsidR="00744A1C" w:rsidRPr="008A57EB">
        <w:rPr>
          <w:rStyle w:val="libFootnoteBoldChar"/>
          <w:rtl/>
        </w:rPr>
        <w:t>مجمع البحرين</w:t>
      </w:r>
      <w:r w:rsidR="00744A1C">
        <w:rPr>
          <w:rtl/>
          <w:lang w:bidi="fa-IR"/>
        </w:rPr>
        <w:t xml:space="preserve"> ، ج 5 ، ص 360 ( حول ) ؛ </w:t>
      </w:r>
      <w:r w:rsidR="00744A1C" w:rsidRPr="0017751E">
        <w:rPr>
          <w:rStyle w:val="libFootnoteBoldChar"/>
          <w:rtl/>
        </w:rPr>
        <w:t>رياض المسائل</w:t>
      </w:r>
      <w:r w:rsidR="00744A1C">
        <w:rPr>
          <w:rtl/>
          <w:lang w:bidi="fa-IR"/>
        </w:rPr>
        <w:t xml:space="preserve"> ، ج 8 ، ص 571.</w:t>
      </w:r>
    </w:p>
    <w:p w:rsidR="00744A1C" w:rsidRDefault="00E378DD" w:rsidP="00E378DD">
      <w:pPr>
        <w:pStyle w:val="libFootnote0"/>
        <w:rPr>
          <w:lang w:bidi="fa-IR"/>
        </w:rPr>
      </w:pPr>
      <w:r>
        <w:rPr>
          <w:rtl/>
          <w:lang w:bidi="fa-IR"/>
        </w:rPr>
        <w:t>(3).</w:t>
      </w:r>
      <w:r w:rsidR="00744A1C">
        <w:rPr>
          <w:rtl/>
          <w:lang w:bidi="fa-IR"/>
        </w:rPr>
        <w:t xml:space="preserve"> في « ط ، بف » : - « جميعاً ».</w:t>
      </w:r>
    </w:p>
    <w:tbl>
      <w:tblPr>
        <w:tblStyle w:val="TableGrid"/>
        <w:bidiVisual/>
        <w:tblW w:w="0" w:type="auto"/>
        <w:tblLook w:val="04A0" w:firstRow="1" w:lastRow="0" w:firstColumn="1" w:lastColumn="0" w:noHBand="0" w:noVBand="1"/>
      </w:tblPr>
      <w:tblGrid>
        <w:gridCol w:w="4006"/>
        <w:gridCol w:w="4006"/>
      </w:tblGrid>
      <w:tr w:rsidR="0017751E" w:rsidTr="0017751E">
        <w:tc>
          <w:tcPr>
            <w:tcW w:w="4006" w:type="dxa"/>
          </w:tcPr>
          <w:p w:rsidR="0017751E" w:rsidRDefault="0017751E" w:rsidP="00E378DD">
            <w:pPr>
              <w:pStyle w:val="libFootnote0"/>
              <w:rPr>
                <w:rtl/>
                <w:lang w:bidi="fa-IR"/>
              </w:rPr>
            </w:pPr>
            <w:r>
              <w:rPr>
                <w:rtl/>
                <w:lang w:bidi="fa-IR"/>
              </w:rPr>
              <w:t xml:space="preserve">(4). في «ط» : «ما بطّى». وفي </w:t>
            </w:r>
            <w:r w:rsidRPr="0017751E">
              <w:rPr>
                <w:rtl/>
              </w:rPr>
              <w:t>البحار</w:t>
            </w:r>
            <w:r>
              <w:rPr>
                <w:rtl/>
                <w:lang w:bidi="fa-IR"/>
              </w:rPr>
              <w:t xml:space="preserve"> : « ما بطأ ».</w:t>
            </w:r>
          </w:p>
        </w:tc>
        <w:tc>
          <w:tcPr>
            <w:tcW w:w="4006" w:type="dxa"/>
          </w:tcPr>
          <w:p w:rsidR="0017751E" w:rsidRDefault="0017751E" w:rsidP="00E378DD">
            <w:pPr>
              <w:pStyle w:val="libFootnote0"/>
              <w:rPr>
                <w:rtl/>
                <w:lang w:bidi="fa-IR"/>
              </w:rPr>
            </w:pPr>
            <w:r>
              <w:rPr>
                <w:rtl/>
                <w:lang w:bidi="fa-IR"/>
              </w:rPr>
              <w:t>(5). في « جن » : « به ».</w:t>
            </w:r>
          </w:p>
        </w:tc>
      </w:tr>
    </w:tbl>
    <w:p w:rsidR="00744A1C" w:rsidRDefault="00E378DD" w:rsidP="00E378DD">
      <w:pPr>
        <w:pStyle w:val="libFootnote0"/>
        <w:rPr>
          <w:lang w:bidi="fa-IR"/>
        </w:rPr>
      </w:pPr>
      <w:r>
        <w:rPr>
          <w:rtl/>
          <w:lang w:bidi="fa-IR"/>
        </w:rPr>
        <w:t>(6).</w:t>
      </w:r>
      <w:r w:rsidR="00744A1C">
        <w:rPr>
          <w:rtl/>
          <w:lang w:bidi="fa-IR"/>
        </w:rPr>
        <w:t xml:space="preserve"> في « ط » : + « له ».</w:t>
      </w:r>
    </w:p>
    <w:p w:rsidR="00744A1C" w:rsidRDefault="00E378DD" w:rsidP="00E378DD">
      <w:pPr>
        <w:pStyle w:val="libFootnote0"/>
        <w:rPr>
          <w:lang w:bidi="fa-IR"/>
        </w:rPr>
      </w:pPr>
      <w:r>
        <w:rPr>
          <w:rtl/>
          <w:lang w:bidi="fa-IR"/>
        </w:rPr>
        <w:t>(7).</w:t>
      </w:r>
      <w:r w:rsidR="00744A1C">
        <w:rPr>
          <w:rtl/>
          <w:lang w:bidi="fa-IR"/>
        </w:rPr>
        <w:t xml:space="preserve"> يقال : خفر به خَفْراً وأخفره ، أي نقض عهده وغدره. راجع : </w:t>
      </w:r>
      <w:r w:rsidR="00744A1C" w:rsidRPr="008A57EB">
        <w:rPr>
          <w:rStyle w:val="libFootnoteBoldChar"/>
          <w:rtl/>
        </w:rPr>
        <w:t>القاموس المحيط</w:t>
      </w:r>
      <w:r w:rsidR="00744A1C">
        <w:rPr>
          <w:rtl/>
          <w:lang w:bidi="fa-IR"/>
        </w:rPr>
        <w:t xml:space="preserve"> ، ج 1 ، ص 547 ( خفر ).</w:t>
      </w:r>
    </w:p>
    <w:p w:rsidR="00744A1C" w:rsidRDefault="00E378DD" w:rsidP="0017751E">
      <w:pPr>
        <w:pStyle w:val="libFootnote0"/>
        <w:rPr>
          <w:lang w:bidi="fa-IR"/>
        </w:rPr>
      </w:pPr>
      <w:r>
        <w:rPr>
          <w:rtl/>
          <w:lang w:bidi="fa-IR"/>
        </w:rPr>
        <w:t>(8).</w:t>
      </w:r>
      <w:r w:rsidR="00744A1C">
        <w:rPr>
          <w:rtl/>
          <w:lang w:bidi="fa-IR"/>
        </w:rPr>
        <w:t xml:space="preserve"> في « ى ، بح ، بخ ، بس ، بف ، جد ، جن » وحاشية « جت » </w:t>
      </w:r>
      <w:r w:rsidR="00744A1C" w:rsidRPr="0017751E">
        <w:rPr>
          <w:rtl/>
        </w:rPr>
        <w:t>والبحار</w:t>
      </w:r>
      <w:r w:rsidR="00744A1C">
        <w:rPr>
          <w:rtl/>
          <w:lang w:bidi="fa-IR"/>
        </w:rPr>
        <w:t xml:space="preserve"> : « فخفرني ». وفي « ط » : « فأخفرني » كلاهما بدل « فخفر بي ».</w:t>
      </w:r>
      <w:r w:rsidR="0017751E">
        <w:rPr>
          <w:rFonts w:hint="cs"/>
          <w:rtl/>
          <w:lang w:bidi="fa-IR"/>
        </w:rPr>
        <w:t xml:space="preserve">                      </w:t>
      </w:r>
      <w:r>
        <w:rPr>
          <w:rtl/>
          <w:lang w:bidi="fa-IR"/>
        </w:rPr>
        <w:t>(9).</w:t>
      </w:r>
      <w:r w:rsidR="00744A1C">
        <w:rPr>
          <w:rtl/>
          <w:lang w:bidi="fa-IR"/>
        </w:rPr>
        <w:t xml:space="preserve"> في « ط ، بح ، جت » : « وللكفالات ».</w:t>
      </w:r>
    </w:p>
    <w:p w:rsidR="00744A1C" w:rsidRDefault="00E378DD" w:rsidP="00E378DD">
      <w:pPr>
        <w:pStyle w:val="libFootnote0"/>
        <w:rPr>
          <w:lang w:bidi="fa-IR"/>
        </w:rPr>
      </w:pPr>
      <w:r>
        <w:rPr>
          <w:rtl/>
          <w:lang w:bidi="fa-IR"/>
        </w:rPr>
        <w:t>(10).</w:t>
      </w:r>
      <w:r w:rsidR="00744A1C">
        <w:rPr>
          <w:rtl/>
          <w:lang w:bidi="fa-IR"/>
        </w:rPr>
        <w:t xml:space="preserve"> هكذا في جميع النسخ </w:t>
      </w:r>
      <w:r w:rsidR="00744A1C" w:rsidRPr="0017751E">
        <w:rPr>
          <w:rtl/>
        </w:rPr>
        <w:t>والوافي والبحار والمحاسن</w:t>
      </w:r>
      <w:r w:rsidR="00744A1C">
        <w:rPr>
          <w:rtl/>
          <w:lang w:bidi="fa-IR"/>
        </w:rPr>
        <w:t>. وفي المطبوع : « وجاء ».</w:t>
      </w:r>
    </w:p>
    <w:p w:rsidR="00744A1C" w:rsidRDefault="00E378DD" w:rsidP="00E378DD">
      <w:pPr>
        <w:pStyle w:val="libFootnote0"/>
        <w:rPr>
          <w:lang w:bidi="fa-IR"/>
        </w:rPr>
      </w:pPr>
      <w:r>
        <w:rPr>
          <w:rtl/>
          <w:lang w:bidi="fa-IR"/>
        </w:rPr>
        <w:t>(11).</w:t>
      </w:r>
      <w:r w:rsidR="00744A1C">
        <w:rPr>
          <w:rtl/>
          <w:lang w:bidi="fa-IR"/>
        </w:rPr>
        <w:t xml:space="preserve"> في </w:t>
      </w:r>
      <w:r w:rsidR="00744A1C" w:rsidRPr="0017751E">
        <w:rPr>
          <w:rtl/>
        </w:rPr>
        <w:t>الوسائل</w:t>
      </w:r>
      <w:r w:rsidR="00744A1C">
        <w:rPr>
          <w:rtl/>
          <w:lang w:bidi="fa-IR"/>
        </w:rPr>
        <w:t xml:space="preserve"> : + « الله ».</w:t>
      </w:r>
    </w:p>
    <w:p w:rsidR="006A5060" w:rsidRDefault="006A5060" w:rsidP="00D10E3C">
      <w:pPr>
        <w:pStyle w:val="libNormal"/>
        <w:rPr>
          <w:rtl/>
          <w:lang w:bidi="fa-IR"/>
        </w:rPr>
      </w:pPr>
      <w:r>
        <w:rPr>
          <w:rtl/>
          <w:lang w:bidi="fa-IR"/>
        </w:rPr>
        <w:br w:type="page"/>
      </w:r>
    </w:p>
    <w:p w:rsidR="00144FA6" w:rsidRDefault="00744A1C" w:rsidP="0017751E">
      <w:pPr>
        <w:pStyle w:val="libNormal0"/>
        <w:rPr>
          <w:rtl/>
          <w:lang w:bidi="fa-IR"/>
        </w:rPr>
      </w:pPr>
      <w:r>
        <w:rPr>
          <w:rtl/>
          <w:lang w:bidi="fa-IR"/>
        </w:rPr>
        <w:t xml:space="preserve">وَتَعَالى : خَافُونِي ، وَاجْتَرَأْتُمْ عَلَيَّ ». </w:t>
      </w:r>
      <w:r w:rsidRPr="00D10E3C">
        <w:rPr>
          <w:rStyle w:val="libFootnotenumChar"/>
          <w:rtl/>
        </w:rPr>
        <w:t>(1)</w:t>
      </w:r>
    </w:p>
    <w:p w:rsidR="00144FA6" w:rsidRDefault="00744A1C" w:rsidP="00744A1C">
      <w:pPr>
        <w:pStyle w:val="libNormal"/>
        <w:rPr>
          <w:rtl/>
          <w:lang w:bidi="fa-IR"/>
        </w:rPr>
      </w:pPr>
      <w:r>
        <w:rPr>
          <w:rtl/>
          <w:lang w:bidi="fa-IR"/>
        </w:rPr>
        <w:t xml:space="preserve">8501 / 2. عَلِيُّ بْنُ إِبْرَاهِيمَ ، عَنْ أَبِيهِ ، عَنِ ابْنِ أَبِي عُمَيْرٍ ، عَنْ جَمِيلٍ </w:t>
      </w:r>
      <w:r w:rsidRPr="00D10E3C">
        <w:rPr>
          <w:rStyle w:val="libFootnotenumChar"/>
          <w:rtl/>
        </w:rPr>
        <w:t>(2)</w:t>
      </w:r>
      <w:r>
        <w:rPr>
          <w:rtl/>
          <w:lang w:bidi="fa-IR"/>
        </w:rPr>
        <w:t xml:space="preserve"> ، عَنْ زُرَارَةَ :</w:t>
      </w:r>
    </w:p>
    <w:p w:rsidR="00744A1C" w:rsidRDefault="00744A1C" w:rsidP="00744A1C">
      <w:pPr>
        <w:pStyle w:val="libNormal"/>
        <w:rPr>
          <w:lang w:bidi="fa-IR"/>
        </w:rPr>
      </w:pPr>
      <w:r>
        <w:rPr>
          <w:rtl/>
          <w:lang w:bidi="fa-IR"/>
        </w:rPr>
        <w:t xml:space="preserve">عَنْ أَحَدِهِمَا </w:t>
      </w:r>
      <w:r w:rsidR="008859AA" w:rsidRPr="008859AA">
        <w:rPr>
          <w:rStyle w:val="libAlaemChar"/>
          <w:rtl/>
        </w:rPr>
        <w:t>عليهما‌السلام</w:t>
      </w:r>
      <w:r>
        <w:rPr>
          <w:rtl/>
          <w:lang w:bidi="fa-IR"/>
        </w:rPr>
        <w:t xml:space="preserve">فِي الرَّجُلِ يُحِيلُ الرَّجُلَ بِمَالٍ كَانَ لَهُ عَلى رَجُلٍ آخَرَ ، فَيَقُولُ لَهُ الَّذِي احْتَالَ : بَرِئْتَ مِمَّا لِي </w:t>
      </w:r>
      <w:r w:rsidRPr="00D10E3C">
        <w:rPr>
          <w:rStyle w:val="libFootnotenumChar"/>
          <w:rtl/>
        </w:rPr>
        <w:t>(3)</w:t>
      </w:r>
      <w:r>
        <w:rPr>
          <w:rtl/>
          <w:lang w:bidi="fa-IR"/>
        </w:rPr>
        <w:t xml:space="preserve"> عَلَيْكَ ، قَالَ </w:t>
      </w:r>
      <w:r w:rsidRPr="00D10E3C">
        <w:rPr>
          <w:rStyle w:val="libFootnotenumChar"/>
          <w:rtl/>
        </w:rPr>
        <w:t>(4)</w:t>
      </w:r>
      <w:r>
        <w:rPr>
          <w:rtl/>
          <w:lang w:bidi="fa-IR"/>
        </w:rPr>
        <w:t xml:space="preserve"> : « إِذَا أَبْرَأَهُ فَلَيْسَ لَهُ أَنْ يَرْجِعَ عَلَيْهِ ، وَإِنْ </w:t>
      </w:r>
      <w:r w:rsidRPr="00D10E3C">
        <w:rPr>
          <w:rStyle w:val="libFootnotenumChar"/>
          <w:rtl/>
        </w:rPr>
        <w:t>(5)</w:t>
      </w:r>
      <w:r>
        <w:rPr>
          <w:rtl/>
          <w:lang w:bidi="fa-IR"/>
        </w:rPr>
        <w:t xml:space="preserve"> لَمْ يُبْرِئْهُ فَلَهُ أَنْ يَرْجِعَ عَلَى الَّذِي أَحَالَهُ </w:t>
      </w:r>
      <w:r w:rsidRPr="00D10E3C">
        <w:rPr>
          <w:rStyle w:val="libFootnotenumChar"/>
          <w:rtl/>
        </w:rPr>
        <w:t>(6)</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3A7143">
        <w:rPr>
          <w:rStyle w:val="libFootnoteBoldChar"/>
          <w:rtl/>
        </w:rPr>
        <w:t>المحاسن</w:t>
      </w:r>
      <w:r w:rsidR="00744A1C">
        <w:rPr>
          <w:rtl/>
          <w:lang w:bidi="fa-IR"/>
        </w:rPr>
        <w:t xml:space="preserve"> ، ص 116 ، كتاب عقاب الأعمال ، ح 120 ؛ </w:t>
      </w:r>
      <w:r w:rsidR="00744A1C" w:rsidRPr="004D054E">
        <w:rPr>
          <w:rStyle w:val="libFootnoteBoldChar"/>
          <w:rtl/>
        </w:rPr>
        <w:t>وثواب الأعمال</w:t>
      </w:r>
      <w:r w:rsidR="00744A1C">
        <w:rPr>
          <w:rtl/>
          <w:lang w:bidi="fa-IR"/>
        </w:rPr>
        <w:t xml:space="preserve"> ، ص 288 ، ح 1 ، بسندهما عن ابن أبي عمير ، من قوله : « إنّ قوماً أذنبوا ذنوباً كثيرة ». وفي </w:t>
      </w:r>
      <w:r w:rsidR="00744A1C" w:rsidRPr="00C24F9C">
        <w:rPr>
          <w:rStyle w:val="libFootnoteBoldChar"/>
          <w:rtl/>
        </w:rPr>
        <w:t>الفقيه</w:t>
      </w:r>
      <w:r w:rsidR="00744A1C">
        <w:rPr>
          <w:rtl/>
          <w:lang w:bidi="fa-IR"/>
        </w:rPr>
        <w:t xml:space="preserve"> ، ج 3 ، ص 95 ، ح 3401 ؛ </w:t>
      </w:r>
      <w:r w:rsidR="00744A1C" w:rsidRPr="0061079A">
        <w:rPr>
          <w:rStyle w:val="libFootnoteBoldChar"/>
          <w:rtl/>
        </w:rPr>
        <w:t>والتهذيب</w:t>
      </w:r>
      <w:r w:rsidR="00744A1C">
        <w:rPr>
          <w:rtl/>
          <w:lang w:bidi="fa-IR"/>
        </w:rPr>
        <w:t xml:space="preserve"> ، ج 6 ، ص 209 ، ح 484 ؛ </w:t>
      </w:r>
      <w:r w:rsidR="00744A1C" w:rsidRPr="0017751E">
        <w:rPr>
          <w:rStyle w:val="libFootnoteBoldChar"/>
          <w:rtl/>
        </w:rPr>
        <w:t>والخصال</w:t>
      </w:r>
      <w:r w:rsidR="00744A1C">
        <w:rPr>
          <w:rtl/>
          <w:lang w:bidi="fa-IR"/>
        </w:rPr>
        <w:t xml:space="preserve"> ، ص 12 ، باب الواحد ، ح 41 ، بسند آخر ، إلى قوله : « أهلكت القرون الا</w:t>
      </w:r>
      <w:r w:rsidR="0017751E">
        <w:rPr>
          <w:rFonts w:hint="cs"/>
          <w:rtl/>
          <w:lang w:bidi="fa-IR"/>
        </w:rPr>
        <w:t>ُ</w:t>
      </w:r>
      <w:r w:rsidR="00744A1C">
        <w:rPr>
          <w:rtl/>
          <w:lang w:bidi="fa-IR"/>
        </w:rPr>
        <w:t xml:space="preserve">ولى » مع اختلاف يسير </w:t>
      </w:r>
      <w:r w:rsidR="0017751E">
        <w:rPr>
          <w:rFonts w:hint="cs"/>
          <w:rtl/>
          <w:lang w:bidi="fa-IR"/>
        </w:rPr>
        <w:t>.</w:t>
      </w:r>
      <w:r w:rsidR="00744A1C" w:rsidRPr="00C24F9C">
        <w:rPr>
          <w:rStyle w:val="libFootnoteBoldChar"/>
          <w:rtl/>
        </w:rPr>
        <w:t>الوافي</w:t>
      </w:r>
      <w:r w:rsidR="00744A1C">
        <w:rPr>
          <w:rtl/>
          <w:lang w:bidi="fa-IR"/>
        </w:rPr>
        <w:t xml:space="preserve"> ، ج 18 ، ص 833 ، ح 18385 ؛ </w:t>
      </w:r>
      <w:r w:rsidR="00744A1C" w:rsidRPr="00C24F9C">
        <w:rPr>
          <w:rStyle w:val="libFootnoteBoldChar"/>
          <w:rtl/>
        </w:rPr>
        <w:t>الوسائل</w:t>
      </w:r>
      <w:r w:rsidR="00744A1C">
        <w:rPr>
          <w:rtl/>
          <w:lang w:bidi="fa-IR"/>
        </w:rPr>
        <w:t xml:space="preserve"> ، ج 18 ، ص 428 ، ح 23974 ؛ </w:t>
      </w:r>
      <w:r w:rsidR="00744A1C" w:rsidRPr="0061079A">
        <w:rPr>
          <w:rStyle w:val="libFootnoteBoldChar"/>
          <w:rtl/>
        </w:rPr>
        <w:t>البحار</w:t>
      </w:r>
      <w:r w:rsidR="00744A1C">
        <w:rPr>
          <w:rtl/>
          <w:lang w:bidi="fa-IR"/>
        </w:rPr>
        <w:t xml:space="preserve"> ، ج 14 ، ص 508 ، ح 35.</w:t>
      </w:r>
    </w:p>
    <w:p w:rsidR="00744A1C" w:rsidRDefault="00E378DD" w:rsidP="00E378DD">
      <w:pPr>
        <w:pStyle w:val="libFootnote0"/>
        <w:rPr>
          <w:lang w:bidi="fa-IR"/>
        </w:rPr>
      </w:pPr>
      <w:r>
        <w:rPr>
          <w:rtl/>
          <w:lang w:bidi="fa-IR"/>
        </w:rPr>
        <w:t>(2).</w:t>
      </w:r>
      <w:r w:rsidR="00744A1C">
        <w:rPr>
          <w:rtl/>
          <w:lang w:bidi="fa-IR"/>
        </w:rPr>
        <w:t xml:space="preserve"> في </w:t>
      </w:r>
      <w:r w:rsidR="00744A1C" w:rsidRPr="0017751E">
        <w:rPr>
          <w:rtl/>
        </w:rPr>
        <w:t>التهذيب</w:t>
      </w:r>
      <w:r w:rsidR="00744A1C">
        <w:rPr>
          <w:rtl/>
          <w:lang w:bidi="fa-IR"/>
        </w:rPr>
        <w:t xml:space="preserve"> : « حمّاد ، عن الحلبي » بدل « جميل ». وهو سهو ، كما يُعلم ممّا قدّمناه في </w:t>
      </w:r>
      <w:r w:rsidR="00744A1C" w:rsidRPr="0061079A">
        <w:rPr>
          <w:rStyle w:val="libFootnoteBoldChar"/>
          <w:rtl/>
        </w:rPr>
        <w:t>الكافي</w:t>
      </w:r>
      <w:r w:rsidR="00744A1C">
        <w:rPr>
          <w:rtl/>
          <w:lang w:bidi="fa-IR"/>
        </w:rPr>
        <w:t xml:space="preserve"> ، ذيل ح 4506 ، فلاحظ.</w:t>
      </w:r>
    </w:p>
    <w:p w:rsidR="00744A1C" w:rsidRDefault="00E378DD" w:rsidP="00E378DD">
      <w:pPr>
        <w:pStyle w:val="libFootnote0"/>
        <w:rPr>
          <w:lang w:bidi="fa-IR"/>
        </w:rPr>
      </w:pPr>
      <w:r>
        <w:rPr>
          <w:rtl/>
          <w:lang w:bidi="fa-IR"/>
        </w:rPr>
        <w:t>(3).</w:t>
      </w:r>
      <w:r w:rsidR="00744A1C">
        <w:rPr>
          <w:rtl/>
          <w:lang w:bidi="fa-IR"/>
        </w:rPr>
        <w:t xml:space="preserve"> في </w:t>
      </w:r>
      <w:r w:rsidR="00744A1C" w:rsidRPr="0017751E">
        <w:rPr>
          <w:rtl/>
        </w:rPr>
        <w:t>الوافي والتهذيب</w:t>
      </w:r>
      <w:r w:rsidR="00744A1C">
        <w:rPr>
          <w:rtl/>
          <w:lang w:bidi="fa-IR"/>
        </w:rPr>
        <w:t xml:space="preserve"> ، ح 496 : « من مالي » بدل « ممّا لي ».</w:t>
      </w:r>
    </w:p>
    <w:p w:rsidR="00744A1C" w:rsidRDefault="00E378DD" w:rsidP="00E378DD">
      <w:pPr>
        <w:pStyle w:val="libFootnote0"/>
        <w:rPr>
          <w:lang w:bidi="fa-IR"/>
        </w:rPr>
      </w:pPr>
      <w:r>
        <w:rPr>
          <w:rtl/>
          <w:lang w:bidi="fa-IR"/>
        </w:rPr>
        <w:t>(4).</w:t>
      </w:r>
      <w:r w:rsidR="00744A1C">
        <w:rPr>
          <w:rtl/>
          <w:lang w:bidi="fa-IR"/>
        </w:rPr>
        <w:t xml:space="preserve"> في « ى ، بح ، بس ، جد ، جن » </w:t>
      </w:r>
      <w:r w:rsidR="00744A1C" w:rsidRPr="0017751E">
        <w:rPr>
          <w:rtl/>
        </w:rPr>
        <w:t>والوسائل</w:t>
      </w:r>
      <w:r w:rsidR="00744A1C">
        <w:rPr>
          <w:rtl/>
          <w:lang w:bidi="fa-IR"/>
        </w:rPr>
        <w:t xml:space="preserve"> : « فقال ».</w:t>
      </w:r>
    </w:p>
    <w:p w:rsidR="00744A1C" w:rsidRDefault="00E378DD" w:rsidP="00E378DD">
      <w:pPr>
        <w:pStyle w:val="libFootnote0"/>
        <w:rPr>
          <w:lang w:bidi="fa-IR"/>
        </w:rPr>
      </w:pPr>
      <w:r>
        <w:rPr>
          <w:rtl/>
          <w:lang w:bidi="fa-IR"/>
        </w:rPr>
        <w:t>(5).</w:t>
      </w:r>
      <w:r w:rsidR="00744A1C">
        <w:rPr>
          <w:rtl/>
          <w:lang w:bidi="fa-IR"/>
        </w:rPr>
        <w:t xml:space="preserve"> في « ط » : « وإذا ».</w:t>
      </w:r>
    </w:p>
    <w:p w:rsidR="00144FA6" w:rsidRDefault="00E378DD" w:rsidP="00E378DD">
      <w:pPr>
        <w:pStyle w:val="libFootnote0"/>
        <w:rPr>
          <w:rtl/>
          <w:lang w:bidi="fa-IR"/>
        </w:rPr>
      </w:pPr>
      <w:r>
        <w:rPr>
          <w:rtl/>
          <w:lang w:bidi="fa-IR"/>
        </w:rPr>
        <w:t>(6).</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برئت من مالي عليك. في مفهوم الحوالة ومقتضاها وجهان :</w:t>
      </w:r>
    </w:p>
    <w:p w:rsidR="00744A1C" w:rsidRDefault="00744A1C" w:rsidP="00D10E3C">
      <w:pPr>
        <w:pStyle w:val="libFootnote0"/>
        <w:rPr>
          <w:lang w:bidi="fa-IR"/>
        </w:rPr>
      </w:pPr>
      <w:r>
        <w:rPr>
          <w:rtl/>
          <w:lang w:bidi="fa-IR"/>
        </w:rPr>
        <w:t>الأوّل : أن يكون مقتضاها مقتضى الوكالة ، فيكون المحتال بمنزلة وكيل للمحيل في استيفاء دينه من المحال عليه ، وقبضه لنفسه بدلاً عن دينه ، ويلزمه أن لا يبرأ ذمّة المحيل قبل استيفاء الحوالة ، ويكون للمحتال الرجوع إلى المحيل إن لم يؤدّ المحال عليه.</w:t>
      </w:r>
    </w:p>
    <w:p w:rsidR="00744A1C" w:rsidRDefault="00744A1C" w:rsidP="00D10E3C">
      <w:pPr>
        <w:pStyle w:val="libFootnote0"/>
        <w:rPr>
          <w:lang w:bidi="fa-IR"/>
        </w:rPr>
      </w:pPr>
      <w:r w:rsidRPr="0017751E">
        <w:rPr>
          <w:rStyle w:val="libFootnoteBoldChar"/>
          <w:rtl/>
        </w:rPr>
        <w:t>والوجه الثاني</w:t>
      </w:r>
      <w:r>
        <w:rPr>
          <w:rtl/>
          <w:lang w:bidi="fa-IR"/>
        </w:rPr>
        <w:t xml:space="preserve"> : أن يكون بمنزلة الضمان ونقل الدين من ذمّة المحيل إلى ذمّة المحال عليه ، وحينئذٍ يلزم براءة المحيل بعد تحقّق الحوالة قهراً ، ويحتمل بعيداً كونها بمنزلة الضمان الذي يقول به العامّة ؛ أعني ضمّ ذمّة إلى الذمّة ، ولا دليل على بطلانه في الحوالة وإن دلَّ الدليل على بطلانه في الضمان ، فيجوز للمحتال أن يطالب كلّ واحد من المحيل والمحال عليه ، وأيّهما أدّاه برئت ذمّة الآخر ، فيكون تعلّق الدين بالذمم نظير تعلّق الوجوب الكفائي بالمكلّفين.</w:t>
      </w:r>
    </w:p>
    <w:p w:rsidR="00144FA6" w:rsidRDefault="00744A1C" w:rsidP="00E378DD">
      <w:pPr>
        <w:pStyle w:val="libFootnote0"/>
        <w:rPr>
          <w:rtl/>
          <w:lang w:bidi="fa-IR"/>
        </w:rPr>
      </w:pPr>
      <w:r>
        <w:rPr>
          <w:rtl/>
          <w:lang w:bidi="fa-IR"/>
        </w:rPr>
        <w:t>إذا تبيّن ذلك ، فنقول : اختلفوا في قبول المحال عليه وأنّه شرط في تحقّق الحوالة ، والمشهور - كما في المختلف - اعتبار قبوله ، واختار هو عدم الاشتراط ، ولا يعلم القائل به قبله ، ولكنّه استفاد وجود القول به من كلام لابن حمزة ، واستدلّ عليه بعموم</w:t>
      </w:r>
      <w:r w:rsidR="0017751E">
        <w:rPr>
          <w:rFonts w:hint="cs"/>
          <w:rtl/>
          <w:lang w:bidi="fa-IR"/>
        </w:rPr>
        <w:t xml:space="preserve"> </w:t>
      </w:r>
      <w:r w:rsidRPr="0017751E">
        <w:rPr>
          <w:rStyle w:val="libFootnoteAlaemChar"/>
          <w:rtl/>
        </w:rPr>
        <w:t>(</w:t>
      </w:r>
      <w:r w:rsidRPr="0017751E">
        <w:rPr>
          <w:rStyle w:val="libFootnoteAieChar"/>
          <w:rtl/>
        </w:rPr>
        <w:t xml:space="preserve"> أَوْفُوا بِالْعُقُودِ </w:t>
      </w:r>
      <w:r w:rsidRPr="0017751E">
        <w:rPr>
          <w:rStyle w:val="libFootnoteAlaemChar"/>
          <w:rtl/>
        </w:rPr>
        <w:t>)</w:t>
      </w:r>
      <w:r>
        <w:rPr>
          <w:rtl/>
          <w:lang w:bidi="fa-IR"/>
        </w:rPr>
        <w:t xml:space="preserve"> [ المائدة </w:t>
      </w:r>
      <w:r w:rsidR="0017751E">
        <w:rPr>
          <w:rtl/>
          <w:lang w:bidi="fa-IR"/>
        </w:rPr>
        <w:t>(5)</w:t>
      </w:r>
      <w:r>
        <w:rPr>
          <w:rtl/>
          <w:lang w:bidi="fa-IR"/>
        </w:rPr>
        <w:t xml:space="preserve"> : 1 ] وأنّه كبيع الدين. ويمكن أن يقال : إنّ</w:t>
      </w:r>
      <w:r w:rsidR="0017751E">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D10E3C">
      <w:pPr>
        <w:pStyle w:val="libLine"/>
        <w:rPr>
          <w:lang w:bidi="fa-IR"/>
        </w:rPr>
      </w:pPr>
      <w:r>
        <w:rPr>
          <w:rtl/>
          <w:lang w:bidi="fa-IR"/>
        </w:rPr>
        <w:t>____________________</w:t>
      </w:r>
    </w:p>
    <w:p w:rsidR="00744A1C" w:rsidRDefault="0017751E" w:rsidP="00D10E3C">
      <w:pPr>
        <w:pStyle w:val="libFootnote0"/>
        <w:rPr>
          <w:lang w:bidi="fa-IR"/>
        </w:rPr>
      </w:pPr>
      <w:r>
        <w:rPr>
          <w:rFonts w:hint="cs"/>
          <w:rtl/>
          <w:lang w:bidi="fa-IR"/>
        </w:rPr>
        <w:t xml:space="preserve">= </w:t>
      </w:r>
      <w:r w:rsidR="00744A1C">
        <w:rPr>
          <w:rtl/>
          <w:lang w:bidi="fa-IR"/>
        </w:rPr>
        <w:t>اعتبار القبول إنّما هو في معاملة لا يكون القابل مجبوراً ملزماً بالفعل ، ويكون لعدم قبوله تأثير ، كالمشتري ؛ فإنّه إن لم يقبل البيع لا يكون ملزماً بأداء الثّمن ، فيعتبر قوله.</w:t>
      </w:r>
    </w:p>
    <w:p w:rsidR="00744A1C" w:rsidRDefault="00744A1C" w:rsidP="0017751E">
      <w:pPr>
        <w:pStyle w:val="libFootnote0"/>
        <w:rPr>
          <w:lang w:bidi="fa-IR"/>
        </w:rPr>
      </w:pPr>
      <w:r>
        <w:rPr>
          <w:rtl/>
          <w:lang w:bidi="fa-IR"/>
        </w:rPr>
        <w:t>وأمّا المحال عليه إن كان مديوناً للمحيل وجب عليه أداء الدين إلى المحيل ، أو إلى من ينوب عنه ، ولا يؤثّر عدم قبوله ، نعم إن لم يكن مديوناً سابقاً توقّف انتقال الدين إلى ذمّته على قبوله ، وقيل في اعتبار قبول المحال عليه وإن كان مديوناً : إنّ الدائنين مختلفون في التقاضي ، فلعلّ رجلاً رضي بالاستدانة من زيد ولا يرضى بالاستدانة من عمرو وإن كان يجب عليه الأداء ؛ إذ ربّما يكون زيد سهل الاقتضاء يرضى بالإمهال والأداء أقساطاً ونحوها ، أو يقبل العروض التي يسهّل على المديون تسليمه دون النقد مثلاً ، أو يقبل العمل والتهاتر من الا</w:t>
      </w:r>
      <w:r w:rsidR="0017751E">
        <w:rPr>
          <w:rFonts w:hint="cs"/>
          <w:rtl/>
          <w:lang w:bidi="fa-IR"/>
        </w:rPr>
        <w:t>ُ</w:t>
      </w:r>
      <w:r>
        <w:rPr>
          <w:rtl/>
          <w:lang w:bidi="fa-IR"/>
        </w:rPr>
        <w:t>جرة ولا يكون عمرو كذلك ، ولعلّ المديون لو كان يعلم أنّ دائنه ينقل الدين إلى عمرو لم يكن يرضى الاستدانة ، والجواب أنّ هذا لو كان مؤثّ</w:t>
      </w:r>
      <w:r w:rsidR="0017751E">
        <w:rPr>
          <w:rtl/>
          <w:lang w:bidi="fa-IR"/>
        </w:rPr>
        <w:t>راً منع من بيع الدين مطلقاً إل</w:t>
      </w:r>
      <w:r w:rsidR="0017751E">
        <w:rPr>
          <w:rFonts w:hint="cs"/>
          <w:rtl/>
          <w:lang w:bidi="fa-IR"/>
        </w:rPr>
        <w:t>ّ</w:t>
      </w:r>
      <w:r w:rsidR="0017751E">
        <w:rPr>
          <w:rtl/>
          <w:lang w:bidi="fa-IR"/>
        </w:rPr>
        <w:t>ا</w:t>
      </w:r>
      <w:r>
        <w:rPr>
          <w:rtl/>
          <w:lang w:bidi="fa-IR"/>
        </w:rPr>
        <w:t xml:space="preserve"> مع قبول المديون ، ثمّ من لوازم كلّ دين أن يكون الدائن متمكّناً من استيفاء دينه بكلّ وسيلة ممكنة ، فمن رضي بالاستدانة من زيد فقد رضي بكلّ ما يتوسّل به زيد لاستيفاء دينه ولو بحوالة رجل عسر</w:t>
      </w:r>
      <w:r w:rsidR="0017751E">
        <w:rPr>
          <w:rtl/>
          <w:lang w:bidi="fa-IR"/>
        </w:rPr>
        <w:t xml:space="preserve"> الاقتضاء ، وبالجملة فقول العل</w:t>
      </w:r>
      <w:r w:rsidR="0017751E">
        <w:rPr>
          <w:rFonts w:hint="cs"/>
          <w:rtl/>
          <w:lang w:bidi="fa-IR"/>
        </w:rPr>
        <w:t>ّ</w:t>
      </w:r>
      <w:r w:rsidR="0017751E">
        <w:rPr>
          <w:rtl/>
          <w:lang w:bidi="fa-IR"/>
        </w:rPr>
        <w:t>ا</w:t>
      </w:r>
      <w:r>
        <w:rPr>
          <w:rtl/>
          <w:lang w:bidi="fa-IR"/>
        </w:rPr>
        <w:t xml:space="preserve">مة </w:t>
      </w:r>
      <w:r w:rsidR="0017751E">
        <w:rPr>
          <w:rFonts w:hint="cs"/>
          <w:rtl/>
          <w:lang w:bidi="fa-IR"/>
        </w:rPr>
        <w:t>-</w:t>
      </w:r>
      <w:r>
        <w:rPr>
          <w:rtl/>
          <w:lang w:bidi="fa-IR"/>
        </w:rPr>
        <w:t xml:space="preserve"> </w:t>
      </w:r>
      <w:r w:rsidR="00877682" w:rsidRPr="0017751E">
        <w:rPr>
          <w:rtl/>
        </w:rPr>
        <w:t>رحمه</w:t>
      </w:r>
      <w:r w:rsidR="0017751E">
        <w:rPr>
          <w:rFonts w:hint="cs"/>
          <w:rtl/>
        </w:rPr>
        <w:t xml:space="preserve"> </w:t>
      </w:r>
      <w:r w:rsidR="00877682" w:rsidRPr="0017751E">
        <w:rPr>
          <w:rtl/>
        </w:rPr>
        <w:t>‌الله</w:t>
      </w:r>
      <w:r>
        <w:rPr>
          <w:rtl/>
          <w:lang w:bidi="fa-IR"/>
        </w:rPr>
        <w:t>- في الحوالة على المديون قويّ جدّاً واختارهُ صاحب الجواهر أيضاً والله العالم.</w:t>
      </w:r>
    </w:p>
    <w:p w:rsidR="00744A1C" w:rsidRDefault="00744A1C" w:rsidP="00D10E3C">
      <w:pPr>
        <w:pStyle w:val="libFootnote0"/>
        <w:rPr>
          <w:lang w:bidi="fa-IR"/>
        </w:rPr>
      </w:pPr>
      <w:r>
        <w:rPr>
          <w:rtl/>
          <w:lang w:bidi="fa-IR"/>
        </w:rPr>
        <w:t>ولا ريب في أنّه يشترط كون ما على المحال عليه من جنس ما ا</w:t>
      </w:r>
      <w:r w:rsidR="0017751E">
        <w:rPr>
          <w:rFonts w:hint="cs"/>
          <w:rtl/>
          <w:lang w:bidi="fa-IR"/>
        </w:rPr>
        <w:t>ُ</w:t>
      </w:r>
      <w:r>
        <w:rPr>
          <w:rtl/>
          <w:lang w:bidi="fa-IR"/>
        </w:rPr>
        <w:t>حيل ، فلو كان عليه الحنطة مثلاً وأحال النقدين اعتبر قبول المحال عليه قطعاً ، وكذلك سائر القيود المأخوذة في دين المحال عليه من الأجل ومكان الأداء والنجوم وغير ذلك.</w:t>
      </w:r>
    </w:p>
    <w:p w:rsidR="00744A1C" w:rsidRDefault="00744A1C" w:rsidP="00D10E3C">
      <w:pPr>
        <w:pStyle w:val="libFootnote0"/>
        <w:rPr>
          <w:lang w:bidi="fa-IR"/>
        </w:rPr>
      </w:pPr>
      <w:r>
        <w:rPr>
          <w:rtl/>
          <w:lang w:bidi="fa-IR"/>
        </w:rPr>
        <w:t>وممّا اختلف فيه براءة ذمّة المحيل بعد تحقّق الحوالة بأن رضي المحتال والمحال عليه إن قلنا باعتبار رضاه ، فقيل</w:t>
      </w:r>
      <w:r w:rsidR="006D4BC7">
        <w:rPr>
          <w:rtl/>
          <w:lang w:bidi="fa-IR"/>
        </w:rPr>
        <w:t xml:space="preserve"> : لا يبرأ ذمّة المحيل بذلك إل</w:t>
      </w:r>
      <w:r w:rsidR="006D4BC7">
        <w:rPr>
          <w:rFonts w:hint="cs"/>
          <w:rtl/>
          <w:lang w:bidi="fa-IR"/>
        </w:rPr>
        <w:t>ّ</w:t>
      </w:r>
      <w:r w:rsidR="006D4BC7">
        <w:rPr>
          <w:rtl/>
          <w:lang w:bidi="fa-IR"/>
        </w:rPr>
        <w:t>ا</w:t>
      </w:r>
      <w:r>
        <w:rPr>
          <w:rtl/>
          <w:lang w:bidi="fa-IR"/>
        </w:rPr>
        <w:t xml:space="preserve"> أن يصرّح بذلك المحتال ، فيقول بعد القبول : أبرأتُ ذمّتك من الدين وما أفاد معناه ، وأمّا محض قبول الحوالة فلا يدلّ على رضا المحتال براءته مطلقاً ؛ لأنّ كثيراً من الناس يقبلون الحوالة لزعمهم أنّ لهم الرجوع إلى المحيل إن لم يؤدّ المحال عليه ، أو ماطل ، وليس مقتضى الحوالة في ظاهر متفاهم الناس نقل الذمّة بتّاً بحيث يكون التزامهم بقبول الحوالة التزاماً ببراءة المحيل ، وإنّما يجب على المتعاملين بعد رضاهم بأصل المعاملة الالتزام بلوازمها العرفيّة والشرعيّة الظاهرة ، كانتقال المال بالبيع وحلّ البضع بالنكاح والاشتراك في المنافع بالشركة في المال ، دون ما يتردّد في ترتّبه على المعاملة شرعاً وعقلاً.</w:t>
      </w:r>
    </w:p>
    <w:p w:rsidR="00144FA6" w:rsidRDefault="00744A1C" w:rsidP="00D10E3C">
      <w:pPr>
        <w:pStyle w:val="libFootnote0"/>
        <w:rPr>
          <w:rtl/>
          <w:lang w:bidi="fa-IR"/>
        </w:rPr>
      </w:pPr>
      <w:r>
        <w:rPr>
          <w:rtl/>
          <w:lang w:bidi="fa-IR"/>
        </w:rPr>
        <w:t>والظاهر من أخبار هذا الباب أيضاً اعتبار التصريح بالبراءة. وقيل : لا يحتاج إلى التصريح بالبراءة ، ويكفي قبول الحوالة عن ذلك ؛ لأنّ انتقال الدين من ذمّة المحيل إلى ذمّة المحال عليه من لوازم الحوالة شرعاً ؛ إذ لم يقل أحد بكون</w:t>
      </w:r>
      <w:r w:rsidR="006D4BC7">
        <w:rPr>
          <w:rtl/>
          <w:lang w:bidi="fa-IR"/>
        </w:rPr>
        <w:t xml:space="preserve"> مقتضاها ضمّ ذمّةٍ إلى ذمّة إل</w:t>
      </w:r>
      <w:r w:rsidR="006D4BC7">
        <w:rPr>
          <w:rFonts w:hint="cs"/>
          <w:rtl/>
          <w:lang w:bidi="fa-IR"/>
        </w:rPr>
        <w:t>ّ</w:t>
      </w:r>
      <w:r w:rsidR="006D4BC7">
        <w:rPr>
          <w:rtl/>
          <w:lang w:bidi="fa-IR"/>
        </w:rPr>
        <w:t>ا</w:t>
      </w:r>
      <w:r w:rsidR="006D4BC7">
        <w:rPr>
          <w:rFonts w:hint="cs"/>
          <w:rtl/>
          <w:lang w:bidi="fa-IR"/>
        </w:rPr>
        <w:t xml:space="preserve"> </w:t>
      </w:r>
      <w:r>
        <w:rPr>
          <w:rtl/>
          <w:lang w:bidi="fa-IR"/>
        </w:rPr>
        <w:t>شاذّ من العامّة ، قلنا : تمتّع ذلك ؛ فإنّه أدلُّ الكلام ، والقدر المسلّم كونه من لوازم الحوالة شرعاً بعد التصريح بالبراءة ، وضمّ ذمّةٍ إلى ذمّة ممنوع بمعنى تخيّر المحال عليه في مطالبة كلٍّ منهما مطلقاً ، ونحن لا ندّعي ذلك ، بل يجب عليه أوّلاً مطالبة المحال عليه ، فإذا تغيّر عليه جاز له الرجوع على المحيل ، فهو ترتّب ذمّةٍ على ذمّة لا ضمّها إليها ، ولا دليل على امتناعه عقلاً يؤوّل ظاهر الحديث ،</w:t>
      </w:r>
      <w:r w:rsidR="006D4BC7">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6D4BC7" w:rsidP="00744A1C">
      <w:pPr>
        <w:pStyle w:val="libNormal"/>
        <w:rPr>
          <w:rtl/>
          <w:lang w:bidi="fa-IR"/>
        </w:rPr>
      </w:pPr>
      <w:r>
        <w:rPr>
          <w:rFonts w:hint="cs"/>
          <w:rtl/>
          <w:lang w:bidi="fa-IR"/>
        </w:rPr>
        <w:t xml:space="preserve">* </w:t>
      </w:r>
      <w:r w:rsidR="00744A1C">
        <w:rPr>
          <w:rtl/>
          <w:lang w:bidi="fa-IR"/>
        </w:rPr>
        <w:t xml:space="preserve">مُحَمَّدُ بْنُ يَحْيى ، عَنْ أَحْمَدَ بْنِ مُحَمَّدٍ ، عَنْ عَلِيِّ بْنِ حَدِيدٍ ، عَنْ جَمِيلٍ ، عَنْ زُرَارَةَ ، عَنْ أَحَدِهِمَا </w:t>
      </w:r>
      <w:r w:rsidR="008859AA" w:rsidRPr="008859AA">
        <w:rPr>
          <w:rStyle w:val="libAlaemChar"/>
          <w:rtl/>
        </w:rPr>
        <w:t>عليهما‌السلام</w:t>
      </w:r>
      <w:r w:rsidR="00744A1C">
        <w:rPr>
          <w:rtl/>
          <w:lang w:bidi="fa-IR"/>
        </w:rPr>
        <w:t xml:space="preserve">مِثْلَهُ. </w:t>
      </w:r>
      <w:r w:rsidR="00744A1C" w:rsidRPr="00D10E3C">
        <w:rPr>
          <w:rStyle w:val="libFootnotenumChar"/>
          <w:rtl/>
        </w:rPr>
        <w:t>(1)</w:t>
      </w:r>
    </w:p>
    <w:p w:rsidR="00144FA6" w:rsidRDefault="00744A1C" w:rsidP="00744A1C">
      <w:pPr>
        <w:pStyle w:val="libNormal"/>
        <w:rPr>
          <w:rtl/>
          <w:lang w:bidi="fa-IR"/>
        </w:rPr>
      </w:pPr>
      <w:r>
        <w:rPr>
          <w:rtl/>
          <w:lang w:bidi="fa-IR"/>
        </w:rPr>
        <w:t>8502 / 3. حُمَيْدُ بْنُ زِيَادٍ ، عَنِ الْحَسَنِ بْنِ مُحَمَّدٍ الْكِنْدِيِّ ، عَنْ أَحْمَدَ بْنِ الْحَسَنِ الْمِيثَمِيِّ ، عَنْ أَبَانِ بْنِ عُثْمَانَ ، عَنْ أَبِي الْعَبَّاسِ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رَجُلٌ كَفَلَ </w:t>
      </w:r>
      <w:r w:rsidRPr="00D10E3C">
        <w:rPr>
          <w:rStyle w:val="libFootnotenumChar"/>
          <w:rtl/>
        </w:rPr>
        <w:t>(2)</w:t>
      </w:r>
      <w:r>
        <w:rPr>
          <w:rtl/>
          <w:lang w:bidi="fa-IR"/>
        </w:rPr>
        <w:t xml:space="preserve"> لِرَجُلٍ بِنَفْسِ رَجُلٍ ، فَقَالَ </w:t>
      </w:r>
      <w:r w:rsidRPr="00D10E3C">
        <w:rPr>
          <w:rStyle w:val="libFootnotenumChar"/>
          <w:rtl/>
        </w:rPr>
        <w:t>(3)</w:t>
      </w:r>
      <w:r w:rsidR="006D4BC7">
        <w:rPr>
          <w:rtl/>
          <w:lang w:bidi="fa-IR"/>
        </w:rPr>
        <w:t xml:space="preserve"> : إِنْ جِئْتَ بِهِ ، وَإِل</w:t>
      </w:r>
      <w:r w:rsidR="006D4BC7">
        <w:rPr>
          <w:rFonts w:hint="cs"/>
          <w:rtl/>
          <w:lang w:bidi="fa-IR"/>
        </w:rPr>
        <w:t>َّ</w:t>
      </w:r>
      <w:r w:rsidR="006D4BC7">
        <w:rPr>
          <w:rtl/>
          <w:lang w:bidi="fa-IR"/>
        </w:rPr>
        <w:t>ا</w:t>
      </w:r>
      <w:r>
        <w:rPr>
          <w:rtl/>
          <w:lang w:bidi="fa-IR"/>
        </w:rPr>
        <w:t xml:space="preserve"> فَعَلَيْكَ </w:t>
      </w:r>
      <w:r w:rsidRPr="00D10E3C">
        <w:rPr>
          <w:rStyle w:val="libFootnotenumChar"/>
          <w:rtl/>
        </w:rPr>
        <w:t>(4)</w:t>
      </w:r>
      <w:r>
        <w:rPr>
          <w:rtl/>
          <w:lang w:bidi="fa-IR"/>
        </w:rPr>
        <w:t xml:space="preserve"> خَمْسُمِائَةِ دِرْهَمٍ.</w:t>
      </w:r>
    </w:p>
    <w:p w:rsidR="00744A1C" w:rsidRDefault="00744A1C" w:rsidP="00744A1C">
      <w:pPr>
        <w:pStyle w:val="libNormal"/>
        <w:rPr>
          <w:lang w:bidi="fa-IR"/>
        </w:rPr>
      </w:pPr>
      <w:r>
        <w:rPr>
          <w:rtl/>
          <w:lang w:bidi="fa-IR"/>
        </w:rPr>
        <w:t>قَالَ : « عَلَيْهِ نَفْسُهُ ، وَلَا شَيْ‌ءَ عَلَيْهِ مِنَ الدَّرَاهِمِ ».</w:t>
      </w:r>
    </w:p>
    <w:p w:rsidR="00744A1C" w:rsidRDefault="00744A1C" w:rsidP="00D10E3C">
      <w:pPr>
        <w:pStyle w:val="libLine"/>
        <w:rPr>
          <w:lang w:bidi="fa-IR"/>
        </w:rPr>
      </w:pPr>
      <w:r>
        <w:rPr>
          <w:rtl/>
          <w:lang w:bidi="fa-IR"/>
        </w:rPr>
        <w:t>____________________</w:t>
      </w:r>
    </w:p>
    <w:p w:rsidR="00744A1C" w:rsidRDefault="006D4BC7" w:rsidP="00D10E3C">
      <w:pPr>
        <w:pStyle w:val="libFootnote0"/>
        <w:rPr>
          <w:lang w:bidi="fa-IR"/>
        </w:rPr>
      </w:pPr>
      <w:r>
        <w:rPr>
          <w:rFonts w:hint="cs"/>
          <w:rtl/>
          <w:lang w:bidi="fa-IR"/>
        </w:rPr>
        <w:t xml:space="preserve">= </w:t>
      </w:r>
      <w:r w:rsidR="00744A1C">
        <w:rPr>
          <w:rtl/>
          <w:lang w:bidi="fa-IR"/>
        </w:rPr>
        <w:t xml:space="preserve">وقد قال باعتباره الشيخ ابن الجنيد والشيخ الطوسي </w:t>
      </w:r>
      <w:r w:rsidR="00877682" w:rsidRPr="00877682">
        <w:rPr>
          <w:rStyle w:val="libFootnoteAlaemChar"/>
          <w:rtl/>
        </w:rPr>
        <w:t>رحمه‌الله</w:t>
      </w:r>
      <w:r w:rsidRPr="006D4BC7">
        <w:rPr>
          <w:rFonts w:hint="cs"/>
          <w:rtl/>
        </w:rPr>
        <w:t xml:space="preserve"> </w:t>
      </w:r>
      <w:r w:rsidR="00744A1C">
        <w:rPr>
          <w:rtl/>
          <w:lang w:bidi="fa-IR"/>
        </w:rPr>
        <w:t xml:space="preserve">في </w:t>
      </w:r>
      <w:r w:rsidR="00744A1C" w:rsidRPr="00877682">
        <w:rPr>
          <w:rStyle w:val="libFootnoteBoldChar"/>
          <w:rtl/>
        </w:rPr>
        <w:t>النهاية</w:t>
      </w:r>
      <w:r w:rsidR="00744A1C">
        <w:rPr>
          <w:rtl/>
          <w:lang w:bidi="fa-IR"/>
        </w:rPr>
        <w:t xml:space="preserve"> ، وأبو الصلاح والقاضي والمفيد والمقداد في التنقيح - على ما نقل عنهم - ثمّ إنّه يستفاد من كلام الشيخ في المبسوط جواز تعلّق الدين بذمّتين على سبيل البدليّة نظير الواجب الكفائي ، فيكون المنع منه في الضمان بدليل خاصّ ، لا لعدم التعقّل والإمكان ؛ فإنّه ذكر في مسألة أنّه لو كان لرجل على رجلين كلّ واحد منهما ألف وأحال رجلاً له عليه ألف على الرجلين ، يجوز للمحتال أن يطالب كلّ واحد منهما بألف ، فإذا أخذه برئ الآخر ».</w:t>
      </w:r>
    </w:p>
    <w:p w:rsidR="00744A1C" w:rsidRDefault="00744A1C" w:rsidP="00D10E3C">
      <w:pPr>
        <w:pStyle w:val="libFootnote0"/>
        <w:rPr>
          <w:lang w:bidi="fa-IR"/>
        </w:rPr>
      </w:pPr>
      <w:r>
        <w:rPr>
          <w:rtl/>
          <w:lang w:bidi="fa-IR"/>
        </w:rPr>
        <w:t xml:space="preserve">في </w:t>
      </w:r>
      <w:r w:rsidRPr="00877682">
        <w:rPr>
          <w:rStyle w:val="libFootnoteBoldChar"/>
          <w:rtl/>
        </w:rPr>
        <w:t>مرآة العقول</w:t>
      </w:r>
      <w:r>
        <w:rPr>
          <w:rtl/>
          <w:lang w:bidi="fa-IR"/>
        </w:rPr>
        <w:t xml:space="preserve"> ، ج 19 ، ص 58 : « قوله </w:t>
      </w:r>
      <w:r w:rsidR="0061079A" w:rsidRPr="0061079A">
        <w:rPr>
          <w:rStyle w:val="libFootnoteAlaemChar"/>
          <w:rtl/>
        </w:rPr>
        <w:t>عليه‌السلام</w:t>
      </w:r>
      <w:r w:rsidR="00D10E3C">
        <w:rPr>
          <w:rtl/>
          <w:lang w:bidi="fa-IR"/>
        </w:rPr>
        <w:t xml:space="preserve"> </w:t>
      </w:r>
      <w:r>
        <w:rPr>
          <w:rtl/>
          <w:lang w:bidi="fa-IR"/>
        </w:rPr>
        <w:t xml:space="preserve">: إذا أبرأه ، يدلّ على حصول البراءة بدون الإبراء ، وهو خلاف المشهور. قال الشهيد الثاني </w:t>
      </w:r>
      <w:r w:rsidR="00877682" w:rsidRPr="00877682">
        <w:rPr>
          <w:rStyle w:val="libFootnoteAlaemChar"/>
          <w:rtl/>
        </w:rPr>
        <w:t>رحمه‌الله</w:t>
      </w:r>
      <w:r>
        <w:rPr>
          <w:rtl/>
          <w:lang w:bidi="fa-IR"/>
        </w:rPr>
        <w:t xml:space="preserve">: المحيل يبرأ من حقّ المحتال بمجرّد الحوالة ، سواء أبرأه المحتال ، أم لا ، وخالف فيه الشيخ وجماعة استناداً إلى حسنة زرارة ، وحملت على ما إذا ظهر إعسار المحال عليه حال الحوالة مع جهل المحتال بحاله ؛ فإنّ له الرجوع على المحيل إذا لم يبرئه ، وعلى ما إذا شرط المحيل البراءة ؛ فإنّه يستفيد بذلك عدم الرجوع لو ظهر إفلاس المحال عليه ، وهو حمل بعيد ، وعلى أنّ الإبراء كناية عن قبول المحتال الحوالة ؛ فمعنى قوله : برئت ممّا لي عليك ، أنّي رضيت بالحوالة الموجبة للتحويل فبرئت أنت ، فكنّى عن الملزوم باللازم ، وهكذا القول في قوله : ولو لم يبرئه فله أن يرجع ؛ لأنّ العقد بدون رضاه غير لازم ، فله أن يرجع فيه ». وراجع : </w:t>
      </w:r>
      <w:r w:rsidRPr="0061079A">
        <w:rPr>
          <w:rStyle w:val="libFootnoteBoldChar"/>
          <w:rtl/>
        </w:rPr>
        <w:t>الكافي</w:t>
      </w:r>
      <w:r>
        <w:rPr>
          <w:rtl/>
          <w:lang w:bidi="fa-IR"/>
        </w:rPr>
        <w:t xml:space="preserve"> في </w:t>
      </w:r>
      <w:r w:rsidRPr="006D4BC7">
        <w:rPr>
          <w:rStyle w:val="libFootnoteBoldChar"/>
          <w:rtl/>
        </w:rPr>
        <w:t>الفقه</w:t>
      </w:r>
      <w:r>
        <w:rPr>
          <w:rtl/>
          <w:lang w:bidi="fa-IR"/>
        </w:rPr>
        <w:t xml:space="preserve"> ، ص 340 ؛ </w:t>
      </w:r>
      <w:r w:rsidRPr="00877682">
        <w:rPr>
          <w:rStyle w:val="libFootnoteBoldChar"/>
          <w:rtl/>
        </w:rPr>
        <w:t>النهاية</w:t>
      </w:r>
      <w:r>
        <w:rPr>
          <w:rtl/>
          <w:lang w:bidi="fa-IR"/>
        </w:rPr>
        <w:t xml:space="preserve"> ، ص 316 ؛ الوسيلة ، ص 282.</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6 ، ص 211 ، ح 496 ، معلّقاً عن الكليني ، عن عليّ بن إبراهيم ، عن أبيه ، عن ابن أبي عمير ، عن حمّاد ، عن الحلبيّ ، عن زرارة ، عن أحدهما </w:t>
      </w:r>
      <w:r w:rsidR="00F112A7" w:rsidRPr="00CE5A92">
        <w:rPr>
          <w:rStyle w:val="libFootnoteAlaemChar"/>
          <w:rtl/>
        </w:rPr>
        <w:t>عليهما‌السلام</w:t>
      </w:r>
      <w:r w:rsidR="00744A1C">
        <w:rPr>
          <w:rtl/>
          <w:lang w:bidi="fa-IR"/>
        </w:rPr>
        <w:t xml:space="preserve">. وفيه ، ح 497 ، معلّقاً عن أحمد بن محمّد ، عن عليّ بن حديد </w:t>
      </w:r>
      <w:r w:rsidR="006D4BC7">
        <w:rPr>
          <w:rFonts w:hint="cs"/>
          <w:rtl/>
          <w:lang w:bidi="fa-IR"/>
        </w:rPr>
        <w:t>.</w:t>
      </w:r>
      <w:r w:rsidR="00744A1C" w:rsidRPr="00C24F9C">
        <w:rPr>
          <w:rStyle w:val="libFootnoteBoldChar"/>
          <w:rtl/>
        </w:rPr>
        <w:t>الوافي</w:t>
      </w:r>
      <w:r w:rsidR="00744A1C">
        <w:rPr>
          <w:rtl/>
          <w:lang w:bidi="fa-IR"/>
        </w:rPr>
        <w:t xml:space="preserve"> ، ج 18 ، ص 829 ، ح 18381 ؛ </w:t>
      </w:r>
      <w:r w:rsidR="00744A1C" w:rsidRPr="00C24F9C">
        <w:rPr>
          <w:rStyle w:val="libFootnoteBoldChar"/>
          <w:rtl/>
        </w:rPr>
        <w:t>الوسائل</w:t>
      </w:r>
      <w:r w:rsidR="00744A1C">
        <w:rPr>
          <w:rtl/>
          <w:lang w:bidi="fa-IR"/>
        </w:rPr>
        <w:t xml:space="preserve"> ، ج 18 ، ص 433 ، ح 23991.</w:t>
      </w:r>
    </w:p>
    <w:p w:rsidR="00744A1C" w:rsidRDefault="00E378DD" w:rsidP="00E378DD">
      <w:pPr>
        <w:pStyle w:val="libFootnote0"/>
        <w:rPr>
          <w:lang w:bidi="fa-IR"/>
        </w:rPr>
      </w:pPr>
      <w:r>
        <w:rPr>
          <w:rtl/>
          <w:lang w:bidi="fa-IR"/>
        </w:rPr>
        <w:t>(2).</w:t>
      </w:r>
      <w:r w:rsidR="00744A1C">
        <w:rPr>
          <w:rtl/>
          <w:lang w:bidi="fa-IR"/>
        </w:rPr>
        <w:t xml:space="preserve"> في </w:t>
      </w:r>
      <w:r w:rsidR="00744A1C" w:rsidRPr="006D4BC7">
        <w:rPr>
          <w:rtl/>
        </w:rPr>
        <w:t>الوافي</w:t>
      </w:r>
      <w:r w:rsidR="00744A1C">
        <w:rPr>
          <w:rtl/>
          <w:lang w:bidi="fa-IR"/>
        </w:rPr>
        <w:t xml:space="preserve"> : « تكفّل ».</w:t>
      </w:r>
    </w:p>
    <w:p w:rsidR="00744A1C" w:rsidRDefault="00E378DD" w:rsidP="00E378DD">
      <w:pPr>
        <w:pStyle w:val="libFootnote0"/>
        <w:rPr>
          <w:lang w:bidi="fa-IR"/>
        </w:rPr>
      </w:pPr>
      <w:r>
        <w:rPr>
          <w:rtl/>
          <w:lang w:bidi="fa-IR"/>
        </w:rPr>
        <w:t>(3).</w:t>
      </w:r>
      <w:r w:rsidR="00744A1C">
        <w:rPr>
          <w:rtl/>
          <w:lang w:bidi="fa-IR"/>
        </w:rPr>
        <w:t xml:space="preserve"> في « ط ، ى ، بح ، بس ، جد » وحاشية « جت » </w:t>
      </w:r>
      <w:r w:rsidR="00744A1C" w:rsidRPr="006D4BC7">
        <w:rPr>
          <w:rtl/>
        </w:rPr>
        <w:t>والوسائل</w:t>
      </w:r>
      <w:r w:rsidR="00744A1C">
        <w:rPr>
          <w:rtl/>
          <w:lang w:bidi="fa-IR"/>
        </w:rPr>
        <w:t xml:space="preserve"> : « وقال ».</w:t>
      </w:r>
    </w:p>
    <w:p w:rsidR="00744A1C" w:rsidRDefault="00E378DD" w:rsidP="00E378DD">
      <w:pPr>
        <w:pStyle w:val="libFootnote0"/>
        <w:rPr>
          <w:lang w:bidi="fa-IR"/>
        </w:rPr>
      </w:pPr>
      <w:r>
        <w:rPr>
          <w:rtl/>
          <w:lang w:bidi="fa-IR"/>
        </w:rPr>
        <w:t>(4).</w:t>
      </w:r>
      <w:r w:rsidR="00744A1C">
        <w:rPr>
          <w:rtl/>
          <w:lang w:bidi="fa-IR"/>
        </w:rPr>
        <w:t xml:space="preserve"> هكذا في « ط ، بح ، بخ ، بف ، جت » </w:t>
      </w:r>
      <w:r w:rsidR="00744A1C" w:rsidRPr="006D4BC7">
        <w:rPr>
          <w:rtl/>
        </w:rPr>
        <w:t>والوافي</w:t>
      </w:r>
      <w:r w:rsidR="00744A1C">
        <w:rPr>
          <w:rtl/>
          <w:lang w:bidi="fa-IR"/>
        </w:rPr>
        <w:t xml:space="preserve">. وفي سائر النسخ والمطبوع : « عليك ». وفي </w:t>
      </w:r>
      <w:r w:rsidR="00744A1C" w:rsidRPr="006D4BC7">
        <w:rPr>
          <w:rtl/>
        </w:rPr>
        <w:t>التهذيب</w:t>
      </w:r>
      <w:r w:rsidR="00744A1C">
        <w:rPr>
          <w:rtl/>
          <w:lang w:bidi="fa-IR"/>
        </w:rPr>
        <w:t xml:space="preserve"> : « فعليّ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فَإِنْ قَالَ : عَلَيَّ خَمْسُمِائَةِ دِرْهَمٍ إِنْ لَمْ أَدْفَعْهُ إِلَيْكَ </w:t>
      </w:r>
      <w:r w:rsidRPr="00D10E3C">
        <w:rPr>
          <w:rStyle w:val="libFootnotenumChar"/>
          <w:rtl/>
        </w:rPr>
        <w:t>(1)</w:t>
      </w:r>
      <w:r>
        <w:rPr>
          <w:rtl/>
          <w:lang w:bidi="fa-IR"/>
        </w:rPr>
        <w:t>؟</w:t>
      </w:r>
    </w:p>
    <w:p w:rsidR="00144FA6" w:rsidRDefault="00744A1C" w:rsidP="00744A1C">
      <w:pPr>
        <w:pStyle w:val="libNormal"/>
        <w:rPr>
          <w:rtl/>
          <w:lang w:bidi="fa-IR"/>
        </w:rPr>
      </w:pPr>
      <w:r>
        <w:rPr>
          <w:rtl/>
          <w:lang w:bidi="fa-IR"/>
        </w:rPr>
        <w:t xml:space="preserve">قَالَ : « تَلْزَمُهُ </w:t>
      </w:r>
      <w:r w:rsidRPr="00D10E3C">
        <w:rPr>
          <w:rStyle w:val="libFootnotenumChar"/>
          <w:rtl/>
        </w:rPr>
        <w:t>(2)</w:t>
      </w:r>
      <w:r>
        <w:rPr>
          <w:rtl/>
          <w:lang w:bidi="fa-IR"/>
        </w:rPr>
        <w:t xml:space="preserve"> الدَّرَاهِمُ إِنْ لَمْ يَدْفَعْهُ إِلَيْهِ ». </w:t>
      </w:r>
      <w:r w:rsidRPr="00D10E3C">
        <w:rPr>
          <w:rStyle w:val="libFootnotenumChar"/>
          <w:rtl/>
        </w:rPr>
        <w:t>(3)</w:t>
      </w:r>
    </w:p>
    <w:p w:rsidR="00144FA6" w:rsidRDefault="00744A1C" w:rsidP="00744A1C">
      <w:pPr>
        <w:pStyle w:val="libNormal"/>
        <w:rPr>
          <w:rtl/>
          <w:lang w:bidi="fa-IR"/>
        </w:rPr>
      </w:pPr>
      <w:r>
        <w:rPr>
          <w:rtl/>
          <w:lang w:bidi="fa-IR"/>
        </w:rPr>
        <w:t xml:space="preserve">8503 / 4. حُمَيْدٌ </w:t>
      </w:r>
      <w:r w:rsidRPr="00D10E3C">
        <w:rPr>
          <w:rStyle w:val="libFootnotenumChar"/>
          <w:rtl/>
        </w:rPr>
        <w:t>(4)</w:t>
      </w:r>
      <w:r>
        <w:rPr>
          <w:rtl/>
          <w:lang w:bidi="fa-IR"/>
        </w:rPr>
        <w:t xml:space="preserve"> ، عَنِ الْحَسَنِ بْنِ مُحَمَّدٍ </w:t>
      </w:r>
      <w:r w:rsidRPr="00D10E3C">
        <w:rPr>
          <w:rStyle w:val="libFootnotenumChar"/>
          <w:rtl/>
        </w:rPr>
        <w:t>(5)</w:t>
      </w:r>
      <w:r>
        <w:rPr>
          <w:rtl/>
          <w:lang w:bidi="fa-IR"/>
        </w:rPr>
        <w:t xml:space="preserve"> ، عَنْ جَعْفَرِ بْنِ سَمَاعَةَ ، عَنْ أَبَانٍ ، عَنْ مَنْصُورِ بْنِ حَازِمٍ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الرَّجُلِ يُحِيلُ عَلَى الرَّجُلِ بِالدَّرَاهِمِ </w:t>
      </w:r>
      <w:r w:rsidRPr="00D10E3C">
        <w:rPr>
          <w:rStyle w:val="libFootnotenumChar"/>
          <w:rtl/>
        </w:rPr>
        <w:t>(6)</w:t>
      </w:r>
      <w:r>
        <w:rPr>
          <w:rtl/>
          <w:lang w:bidi="fa-IR"/>
        </w:rPr>
        <w:t xml:space="preserve"> : أَ</w:t>
      </w:r>
      <w:r w:rsidR="006D4BC7">
        <w:rPr>
          <w:rFonts w:hint="cs"/>
          <w:rtl/>
          <w:lang w:bidi="fa-IR"/>
        </w:rPr>
        <w:t xml:space="preserve"> </w:t>
      </w:r>
      <w:r>
        <w:rPr>
          <w:rtl/>
          <w:lang w:bidi="fa-IR"/>
        </w:rPr>
        <w:t xml:space="preserve">يَرْجِعُ عَلَيْهِ </w:t>
      </w:r>
      <w:r w:rsidRPr="00D10E3C">
        <w:rPr>
          <w:rStyle w:val="libFootnotenumChar"/>
          <w:rtl/>
        </w:rPr>
        <w:t>(7)</w:t>
      </w:r>
      <w:r>
        <w:rPr>
          <w:rtl/>
          <w:lang w:bidi="fa-IR"/>
        </w:rPr>
        <w:t>؟</w:t>
      </w:r>
    </w:p>
    <w:p w:rsidR="00144FA6" w:rsidRDefault="00744A1C" w:rsidP="00744A1C">
      <w:pPr>
        <w:pStyle w:val="libNormal"/>
        <w:rPr>
          <w:rtl/>
          <w:lang w:bidi="fa-IR"/>
        </w:rPr>
      </w:pPr>
      <w:r>
        <w:rPr>
          <w:rtl/>
          <w:lang w:bidi="fa-IR"/>
        </w:rPr>
        <w:t>قَالَ : « لَا يَ</w:t>
      </w:r>
      <w:r w:rsidR="006D4BC7">
        <w:rPr>
          <w:rtl/>
          <w:lang w:bidi="fa-IR"/>
        </w:rPr>
        <w:t>رْجِعُ عَلَيْهِ أَبَداً ، إِل</w:t>
      </w:r>
      <w:r w:rsidR="006D4BC7">
        <w:rPr>
          <w:rFonts w:hint="cs"/>
          <w:rtl/>
          <w:lang w:bidi="fa-IR"/>
        </w:rPr>
        <w:t>َّ</w:t>
      </w:r>
      <w:r w:rsidR="006D4BC7">
        <w:rPr>
          <w:rtl/>
          <w:lang w:bidi="fa-IR"/>
        </w:rPr>
        <w:t>ا</w:t>
      </w:r>
      <w:r>
        <w:rPr>
          <w:rtl/>
          <w:lang w:bidi="fa-IR"/>
        </w:rPr>
        <w:t xml:space="preserve"> أَنْ يَكُونَ </w:t>
      </w:r>
      <w:r w:rsidRPr="00D10E3C">
        <w:rPr>
          <w:rStyle w:val="libFootnotenumChar"/>
          <w:rtl/>
        </w:rPr>
        <w:t>(8)</w:t>
      </w:r>
      <w:r>
        <w:rPr>
          <w:rtl/>
          <w:lang w:bidi="fa-IR"/>
        </w:rPr>
        <w:t xml:space="preserve"> قَدْ أَفْلَسَ قَبْلَ ذلِكَ ». </w:t>
      </w:r>
      <w:r w:rsidRPr="00D10E3C">
        <w:rPr>
          <w:rStyle w:val="libFootnotenumChar"/>
          <w:rtl/>
        </w:rPr>
        <w:t>(9)</w:t>
      </w:r>
    </w:p>
    <w:p w:rsidR="00144FA6" w:rsidRDefault="00744A1C" w:rsidP="00744A1C">
      <w:pPr>
        <w:pStyle w:val="libNormal"/>
        <w:rPr>
          <w:rtl/>
          <w:lang w:bidi="fa-IR"/>
        </w:rPr>
      </w:pPr>
      <w:r>
        <w:rPr>
          <w:rtl/>
          <w:lang w:bidi="fa-IR"/>
        </w:rPr>
        <w:t>8504 / 5. مُحَمَّدُ بْنُ يَحْيى ، عَنْ بَعْضِ أَصْحَابِنَا ، عَنِ الْحَسَنِ بْنِ عَلِيِّ بْنِ يَقْطِينٍ ، عَنِ الْحُسَيْنِ بْنِ خَالِدٍ ، قَالَ :</w:t>
      </w:r>
    </w:p>
    <w:p w:rsidR="00744A1C" w:rsidRDefault="00744A1C" w:rsidP="00744A1C">
      <w:pPr>
        <w:pStyle w:val="libNormal"/>
        <w:rPr>
          <w:lang w:bidi="fa-IR"/>
        </w:rPr>
      </w:pPr>
      <w:r>
        <w:rPr>
          <w:rtl/>
          <w:lang w:bidi="fa-IR"/>
        </w:rPr>
        <w:t xml:space="preserve">قُلْتُ لِأَبِي الْحَسَنِ </w:t>
      </w:r>
      <w:r w:rsidR="0061079A" w:rsidRPr="0061079A">
        <w:rPr>
          <w:rStyle w:val="libAlaemChar"/>
          <w:rtl/>
        </w:rPr>
        <w:t>عليه‌السلام</w:t>
      </w:r>
      <w:r w:rsidR="00D10E3C">
        <w:rPr>
          <w:rtl/>
          <w:lang w:bidi="fa-IR"/>
        </w:rPr>
        <w:t xml:space="preserve"> </w:t>
      </w:r>
      <w:r>
        <w:rPr>
          <w:rtl/>
          <w:lang w:bidi="fa-IR"/>
        </w:rPr>
        <w:t xml:space="preserve">: جُعِلْتُ فِدَاكَ ، قَوْلُ النَّاسِ : الضَّامِنُ غَارِمٌ </w:t>
      </w:r>
      <w:r w:rsidRPr="00D10E3C">
        <w:rPr>
          <w:rStyle w:val="libFootnotenumChar"/>
          <w:rtl/>
        </w:rPr>
        <w:t>(10)</w:t>
      </w:r>
      <w:r>
        <w:rPr>
          <w:rtl/>
          <w:lang w:bidi="fa-IR"/>
        </w:rPr>
        <w:t>؟</w:t>
      </w:r>
    </w:p>
    <w:p w:rsidR="00744A1C" w:rsidRDefault="00744A1C" w:rsidP="00744A1C">
      <w:pPr>
        <w:pStyle w:val="libNormal"/>
        <w:rPr>
          <w:lang w:bidi="fa-IR"/>
        </w:rPr>
      </w:pPr>
      <w:r>
        <w:rPr>
          <w:rtl/>
          <w:lang w:bidi="fa-IR"/>
        </w:rPr>
        <w:t xml:space="preserve">قَالَ </w:t>
      </w:r>
      <w:r w:rsidRPr="00D10E3C">
        <w:rPr>
          <w:rStyle w:val="libFootnotenumChar"/>
          <w:rtl/>
        </w:rPr>
        <w:t>(11)</w:t>
      </w:r>
      <w:r>
        <w:rPr>
          <w:rtl/>
          <w:lang w:bidi="fa-IR"/>
        </w:rPr>
        <w:t xml:space="preserve"> : فَقَالَ </w:t>
      </w:r>
      <w:r w:rsidRPr="00D10E3C">
        <w:rPr>
          <w:rStyle w:val="libFootnotenumChar"/>
          <w:rtl/>
        </w:rPr>
        <w:t>(12)</w:t>
      </w:r>
      <w:r>
        <w:rPr>
          <w:rtl/>
          <w:lang w:bidi="fa-IR"/>
        </w:rPr>
        <w:t xml:space="preserve"> : « لَيْسَ عَلَى الضَّامِنِ غُرْمٌ </w:t>
      </w:r>
      <w:r w:rsidRPr="00D10E3C">
        <w:rPr>
          <w:rStyle w:val="libFootnotenumChar"/>
          <w:rtl/>
        </w:rPr>
        <w:t>(13)</w:t>
      </w:r>
      <w:r>
        <w:rPr>
          <w:rtl/>
          <w:lang w:bidi="fa-IR"/>
        </w:rPr>
        <w:t xml:space="preserve"> ، الْغُرْمُ عَلى مَنْ أَكَلَ‌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6D4BC7">
        <w:rPr>
          <w:rtl/>
          <w:lang w:bidi="fa-IR"/>
        </w:rPr>
        <w:t xml:space="preserve"> في «ط ،</w:t>
      </w:r>
      <w:r w:rsidR="00744A1C">
        <w:rPr>
          <w:rtl/>
          <w:lang w:bidi="fa-IR"/>
        </w:rPr>
        <w:t xml:space="preserve">بح ، بخ ، بس ، بف ، جت ، جد ، جن » </w:t>
      </w:r>
      <w:r w:rsidR="00744A1C" w:rsidRPr="006D4BC7">
        <w:rPr>
          <w:rtl/>
        </w:rPr>
        <w:t>والوسائل والتهذيب</w:t>
      </w:r>
      <w:r w:rsidR="00744A1C">
        <w:rPr>
          <w:rtl/>
          <w:lang w:bidi="fa-IR"/>
        </w:rPr>
        <w:t xml:space="preserve"> : « إليه ». وفي </w:t>
      </w:r>
      <w:r w:rsidR="00744A1C" w:rsidRPr="006D4BC7">
        <w:rPr>
          <w:rtl/>
        </w:rPr>
        <w:t>الوافي</w:t>
      </w:r>
      <w:r w:rsidR="00744A1C">
        <w:rPr>
          <w:rtl/>
          <w:lang w:bidi="fa-IR"/>
        </w:rPr>
        <w:t xml:space="preserve"> </w:t>
      </w:r>
      <w:r w:rsidR="006D4BC7">
        <w:rPr>
          <w:rtl/>
          <w:lang w:bidi="fa-IR"/>
        </w:rPr>
        <w:t>: - «إليك</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 ط » : « عليه ». وفي </w:t>
      </w:r>
      <w:r w:rsidR="00744A1C" w:rsidRPr="006D4BC7">
        <w:rPr>
          <w:rtl/>
        </w:rPr>
        <w:t>التهذيب</w:t>
      </w:r>
      <w:r w:rsidR="00744A1C">
        <w:rPr>
          <w:rtl/>
          <w:lang w:bidi="fa-IR"/>
        </w:rPr>
        <w:t xml:space="preserve"> : « فقال : يلزمه » بدل « قال : تلزمه ». وفي </w:t>
      </w:r>
      <w:r w:rsidR="00744A1C" w:rsidRPr="006D4BC7">
        <w:rPr>
          <w:rtl/>
        </w:rPr>
        <w:t>الوافي</w:t>
      </w:r>
      <w:r w:rsidR="00744A1C">
        <w:rPr>
          <w:rtl/>
          <w:lang w:bidi="fa-IR"/>
        </w:rPr>
        <w:t xml:space="preserve"> : « يلزمه » بدل « تلزمه ».</w:t>
      </w:r>
    </w:p>
    <w:p w:rsidR="00744A1C" w:rsidRDefault="00E378DD" w:rsidP="006D4BC7">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210 ، ح 493 ، معلّقاً عن الكليني </w:t>
      </w:r>
      <w:r w:rsidR="006D4BC7">
        <w:rPr>
          <w:rFonts w:hint="cs"/>
          <w:rtl/>
          <w:lang w:bidi="fa-IR"/>
        </w:rPr>
        <w:t>.</w:t>
      </w:r>
      <w:r w:rsidR="00744A1C" w:rsidRPr="00C24F9C">
        <w:rPr>
          <w:rStyle w:val="libFootnoteBoldChar"/>
          <w:rtl/>
        </w:rPr>
        <w:t>الوافي</w:t>
      </w:r>
      <w:r w:rsidR="00744A1C">
        <w:rPr>
          <w:rtl/>
          <w:lang w:bidi="fa-IR"/>
        </w:rPr>
        <w:t xml:space="preserve"> ، ج 18 ، ص 835 ، ح 18393 ؛ </w:t>
      </w:r>
      <w:r w:rsidR="00744A1C" w:rsidRPr="00C24F9C">
        <w:rPr>
          <w:rStyle w:val="libFootnoteBoldChar"/>
          <w:rtl/>
        </w:rPr>
        <w:t>الوسائل</w:t>
      </w:r>
      <w:r w:rsidR="00744A1C">
        <w:rPr>
          <w:rtl/>
          <w:lang w:bidi="fa-IR"/>
        </w:rPr>
        <w:t xml:space="preserve"> ، ج 18 ، ص 432 ، ح 23988.</w:t>
      </w:r>
      <w:r w:rsidR="005D2B3B">
        <w:rPr>
          <w:rFonts w:hint="cs"/>
          <w:rtl/>
          <w:lang w:bidi="fa-IR"/>
        </w:rPr>
        <w:t xml:space="preserve">     </w:t>
      </w:r>
      <w:r w:rsidR="006D4BC7">
        <w:rPr>
          <w:rFonts w:hint="cs"/>
          <w:rtl/>
          <w:lang w:bidi="fa-IR"/>
        </w:rPr>
        <w:t xml:space="preserve">    </w:t>
      </w:r>
      <w:r>
        <w:rPr>
          <w:rtl/>
          <w:lang w:bidi="fa-IR"/>
        </w:rPr>
        <w:t>(4).</w:t>
      </w:r>
      <w:r w:rsidR="00744A1C">
        <w:rPr>
          <w:rtl/>
          <w:lang w:bidi="fa-IR"/>
        </w:rPr>
        <w:t xml:space="preserve"> في « ط » </w:t>
      </w:r>
      <w:r w:rsidR="00744A1C" w:rsidRPr="006D4BC7">
        <w:rPr>
          <w:rtl/>
        </w:rPr>
        <w:t>والوسائل والتهذيب</w:t>
      </w:r>
      <w:r w:rsidR="00744A1C">
        <w:rPr>
          <w:rtl/>
          <w:lang w:bidi="fa-IR"/>
        </w:rPr>
        <w:t xml:space="preserve"> : + « بن زياد ».</w:t>
      </w:r>
    </w:p>
    <w:tbl>
      <w:tblPr>
        <w:tblStyle w:val="TableGrid"/>
        <w:bidiVisual/>
        <w:tblW w:w="0" w:type="auto"/>
        <w:tblLook w:val="04A0" w:firstRow="1" w:lastRow="0" w:firstColumn="1" w:lastColumn="0" w:noHBand="0" w:noVBand="1"/>
      </w:tblPr>
      <w:tblGrid>
        <w:gridCol w:w="3764"/>
        <w:gridCol w:w="4248"/>
      </w:tblGrid>
      <w:tr w:rsidR="006D4BC7" w:rsidTr="006D4BC7">
        <w:tc>
          <w:tcPr>
            <w:tcW w:w="3764" w:type="dxa"/>
          </w:tcPr>
          <w:p w:rsidR="006D4BC7" w:rsidRDefault="006D4BC7" w:rsidP="00E378DD">
            <w:pPr>
              <w:pStyle w:val="libFootnote0"/>
              <w:rPr>
                <w:rtl/>
                <w:lang w:bidi="fa-IR"/>
              </w:rPr>
            </w:pPr>
            <w:r>
              <w:rPr>
                <w:rtl/>
                <w:lang w:bidi="fa-IR"/>
              </w:rPr>
              <w:t xml:space="preserve">(5). في </w:t>
            </w:r>
            <w:r w:rsidRPr="00C24F9C">
              <w:rPr>
                <w:rStyle w:val="libFootnoteBoldChar"/>
                <w:rtl/>
              </w:rPr>
              <w:t>التهذيب</w:t>
            </w:r>
            <w:r>
              <w:rPr>
                <w:rtl/>
                <w:lang w:bidi="fa-IR"/>
              </w:rPr>
              <w:t xml:space="preserve"> : - « بن محمّد ».</w:t>
            </w:r>
          </w:p>
        </w:tc>
        <w:tc>
          <w:tcPr>
            <w:tcW w:w="4248" w:type="dxa"/>
          </w:tcPr>
          <w:p w:rsidR="006D4BC7" w:rsidRDefault="006D4BC7" w:rsidP="00E378DD">
            <w:pPr>
              <w:pStyle w:val="libFootnote0"/>
              <w:rPr>
                <w:rtl/>
                <w:lang w:bidi="fa-IR"/>
              </w:rPr>
            </w:pPr>
            <w:r>
              <w:rPr>
                <w:rtl/>
                <w:lang w:bidi="fa-IR"/>
              </w:rPr>
              <w:t>(6). في «بخ،بف»</w:t>
            </w:r>
            <w:r w:rsidRPr="006D4BC7">
              <w:rPr>
                <w:rtl/>
              </w:rPr>
              <w:t>والوافي</w:t>
            </w:r>
            <w:r>
              <w:rPr>
                <w:rFonts w:hint="cs"/>
                <w:rtl/>
              </w:rPr>
              <w:t xml:space="preserve"> </w:t>
            </w:r>
            <w:r w:rsidRPr="006D4BC7">
              <w:rPr>
                <w:rtl/>
              </w:rPr>
              <w:t>والتهذيب</w:t>
            </w:r>
            <w:r>
              <w:rPr>
                <w:rtl/>
                <w:lang w:bidi="fa-IR"/>
              </w:rPr>
              <w:t>،ح 498:«بدراهم».</w:t>
            </w:r>
          </w:p>
        </w:tc>
      </w:tr>
    </w:tbl>
    <w:p w:rsidR="00744A1C" w:rsidRDefault="00E378DD" w:rsidP="00E378DD">
      <w:pPr>
        <w:pStyle w:val="libFootnote0"/>
        <w:rPr>
          <w:lang w:bidi="fa-IR"/>
        </w:rPr>
      </w:pPr>
      <w:r>
        <w:rPr>
          <w:rtl/>
          <w:lang w:bidi="fa-IR"/>
        </w:rPr>
        <w:t>(7).</w:t>
      </w:r>
      <w:r w:rsidR="00744A1C">
        <w:rPr>
          <w:rtl/>
          <w:lang w:bidi="fa-IR"/>
        </w:rPr>
        <w:t xml:space="preserve"> في حاشية « جت » : « إليه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6D4BC7">
        <w:rPr>
          <w:rtl/>
          <w:lang w:bidi="fa-IR"/>
        </w:rPr>
        <w:t>: إل</w:t>
      </w:r>
      <w:r w:rsidR="006D4BC7">
        <w:rPr>
          <w:rFonts w:hint="cs"/>
          <w:rtl/>
          <w:lang w:bidi="fa-IR"/>
        </w:rPr>
        <w:t>ّ</w:t>
      </w:r>
      <w:r w:rsidR="006D4BC7">
        <w:rPr>
          <w:rtl/>
          <w:lang w:bidi="fa-IR"/>
        </w:rPr>
        <w:t>ا</w:t>
      </w:r>
      <w:r w:rsidR="00744A1C">
        <w:rPr>
          <w:rtl/>
          <w:lang w:bidi="fa-IR"/>
        </w:rPr>
        <w:t xml:space="preserve"> أن يكون ، يدلّ على ما هو مقطوع به في كلام الأصحاب من عدم الرجوع مع العلم بالإفلاس ، وجواز الرجوع مع عدمه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212 ، ح 498 ، معلّقاً عن الكليني. وفي </w:t>
      </w:r>
      <w:r w:rsidR="00744A1C" w:rsidRPr="00C24F9C">
        <w:rPr>
          <w:rStyle w:val="libFootnoteBoldChar"/>
          <w:rtl/>
        </w:rPr>
        <w:t>الفقيه</w:t>
      </w:r>
      <w:r w:rsidR="00744A1C">
        <w:rPr>
          <w:rtl/>
          <w:lang w:bidi="fa-IR"/>
        </w:rPr>
        <w:t xml:space="preserve"> ، ج 3 ، ص 28 ، ح 3259 ؛ وص 98 ، ح 3408 ؛ </w:t>
      </w:r>
      <w:r w:rsidR="00744A1C" w:rsidRPr="0061079A">
        <w:rPr>
          <w:rStyle w:val="libFootnoteBoldChar"/>
          <w:rtl/>
        </w:rPr>
        <w:t>والتهذيب</w:t>
      </w:r>
      <w:r w:rsidR="00744A1C">
        <w:rPr>
          <w:rtl/>
          <w:lang w:bidi="fa-IR"/>
        </w:rPr>
        <w:t xml:space="preserve"> ، ج 6 ، ص 232 ، ح 569 ، بسند آخر </w:t>
      </w:r>
      <w:r w:rsidR="006D4BC7">
        <w:rPr>
          <w:rFonts w:hint="cs"/>
          <w:rtl/>
          <w:lang w:bidi="fa-IR"/>
        </w:rPr>
        <w:t>.</w:t>
      </w:r>
      <w:r w:rsidR="00744A1C" w:rsidRPr="00C24F9C">
        <w:rPr>
          <w:rStyle w:val="libFootnoteBoldChar"/>
          <w:rtl/>
        </w:rPr>
        <w:t>الوافي</w:t>
      </w:r>
      <w:r w:rsidR="00744A1C">
        <w:rPr>
          <w:rtl/>
          <w:lang w:bidi="fa-IR"/>
        </w:rPr>
        <w:t xml:space="preserve"> ، ج 18 ، ص 831 ، ح 18382 ؛ </w:t>
      </w:r>
      <w:r w:rsidR="00744A1C" w:rsidRPr="00C24F9C">
        <w:rPr>
          <w:rStyle w:val="libFootnoteBoldChar"/>
          <w:rtl/>
        </w:rPr>
        <w:t>الوسائل</w:t>
      </w:r>
      <w:r w:rsidR="00744A1C">
        <w:rPr>
          <w:rtl/>
          <w:lang w:bidi="fa-IR"/>
        </w:rPr>
        <w:t xml:space="preserve"> ، ج 18 ، ص 434 ، ح 23992.</w:t>
      </w:r>
    </w:p>
    <w:p w:rsidR="00744A1C" w:rsidRDefault="00E378DD" w:rsidP="00E378DD">
      <w:pPr>
        <w:pStyle w:val="libFootnote0"/>
        <w:rPr>
          <w:lang w:bidi="fa-IR"/>
        </w:rPr>
      </w:pPr>
      <w:r>
        <w:rPr>
          <w:rtl/>
          <w:lang w:bidi="fa-IR"/>
        </w:rPr>
        <w:t>(10).</w:t>
      </w:r>
      <w:r w:rsidR="00744A1C">
        <w:rPr>
          <w:rtl/>
          <w:lang w:bidi="fa-IR"/>
        </w:rPr>
        <w:t xml:space="preserve"> الغارم : الذي يلتزم ما ضمنه وتكفّل به ويؤدّيه. والغُرْم : أداء شي‌ء لازم. </w:t>
      </w:r>
      <w:r w:rsidR="00744A1C" w:rsidRPr="00877682">
        <w:rPr>
          <w:rStyle w:val="libFootnoteBoldChar"/>
          <w:rtl/>
        </w:rPr>
        <w:t>النهاية</w:t>
      </w:r>
      <w:r w:rsidR="00744A1C">
        <w:rPr>
          <w:rtl/>
          <w:lang w:bidi="fa-IR"/>
        </w:rPr>
        <w:t xml:space="preserve"> ، ج 3 ، ص 363 ( غرم ).</w:t>
      </w:r>
    </w:p>
    <w:tbl>
      <w:tblPr>
        <w:tblStyle w:val="TableGrid"/>
        <w:bidiVisual/>
        <w:tblW w:w="0" w:type="auto"/>
        <w:tblLook w:val="04A0" w:firstRow="1" w:lastRow="0" w:firstColumn="1" w:lastColumn="0" w:noHBand="0" w:noVBand="1"/>
      </w:tblPr>
      <w:tblGrid>
        <w:gridCol w:w="4006"/>
        <w:gridCol w:w="4006"/>
      </w:tblGrid>
      <w:tr w:rsidR="006D4BC7" w:rsidTr="006D4BC7">
        <w:tc>
          <w:tcPr>
            <w:tcW w:w="4006" w:type="dxa"/>
          </w:tcPr>
          <w:p w:rsidR="006D4BC7" w:rsidRDefault="006D4BC7" w:rsidP="00E378DD">
            <w:pPr>
              <w:pStyle w:val="libFootnote0"/>
              <w:rPr>
                <w:rtl/>
                <w:lang w:bidi="fa-IR"/>
              </w:rPr>
            </w:pPr>
            <w:r>
              <w:rPr>
                <w:rtl/>
                <w:lang w:bidi="fa-IR"/>
              </w:rPr>
              <w:t xml:space="preserve">(11). في « ط » </w:t>
            </w:r>
            <w:r w:rsidRPr="006D4BC7">
              <w:rPr>
                <w:rtl/>
              </w:rPr>
              <w:t>والفقيه</w:t>
            </w:r>
            <w:r>
              <w:rPr>
                <w:rtl/>
                <w:lang w:bidi="fa-IR"/>
              </w:rPr>
              <w:t xml:space="preserve"> : - « قال ».</w:t>
            </w:r>
          </w:p>
        </w:tc>
        <w:tc>
          <w:tcPr>
            <w:tcW w:w="4006" w:type="dxa"/>
          </w:tcPr>
          <w:p w:rsidR="006D4BC7" w:rsidRDefault="006D4BC7" w:rsidP="00E378DD">
            <w:pPr>
              <w:pStyle w:val="libFootnote0"/>
              <w:rPr>
                <w:rtl/>
                <w:lang w:bidi="fa-IR"/>
              </w:rPr>
            </w:pPr>
            <w:r>
              <w:rPr>
                <w:rtl/>
                <w:lang w:bidi="fa-IR"/>
              </w:rPr>
              <w:t>(12). في « بف » : - « فقال ».</w:t>
            </w:r>
          </w:p>
        </w:tc>
      </w:tr>
    </w:tbl>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الوافي</w:t>
      </w:r>
      <w:r w:rsidR="00744A1C">
        <w:rPr>
          <w:rtl/>
          <w:lang w:bidi="fa-IR"/>
        </w:rPr>
        <w:t xml:space="preserve"> : « أراد بالضامن الضامن للنفس ؛ أعني الكفيل ، أو يكون المراد به ضامن المال ، ويكون الوجه في نفي الغرم عنه أنّه يرجع على الغريم بما أدّاه ».</w:t>
      </w:r>
    </w:p>
    <w:p w:rsidR="006A5060" w:rsidRDefault="006A5060" w:rsidP="00D10E3C">
      <w:pPr>
        <w:pStyle w:val="libNormal"/>
        <w:rPr>
          <w:rtl/>
          <w:lang w:bidi="fa-IR"/>
        </w:rPr>
      </w:pPr>
      <w:r>
        <w:rPr>
          <w:rtl/>
          <w:lang w:bidi="fa-IR"/>
        </w:rPr>
        <w:br w:type="page"/>
      </w:r>
    </w:p>
    <w:p w:rsidR="00144FA6" w:rsidRDefault="00744A1C" w:rsidP="006D4BC7">
      <w:pPr>
        <w:pStyle w:val="libNormal0"/>
        <w:rPr>
          <w:rtl/>
          <w:lang w:bidi="fa-IR"/>
        </w:rPr>
      </w:pPr>
      <w:r>
        <w:rPr>
          <w:rtl/>
          <w:lang w:bidi="fa-IR"/>
        </w:rPr>
        <w:t xml:space="preserve">الْمَالَ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8505 / 6. مُحَمَّدُ بْنُ يَحْيى ، عَنْ أَحْمَدَ بْنِ مُحَمَّدٍ ، عَنِ ابْنِ فَضَّالٍ ، عَنْ عَمَّارٍ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أُتِيَ </w:t>
      </w:r>
      <w:r w:rsidRPr="00D10E3C">
        <w:rPr>
          <w:rStyle w:val="libFootnotenumChar"/>
          <w:rtl/>
        </w:rPr>
        <w:t>(3)</w:t>
      </w:r>
      <w:r>
        <w:rPr>
          <w:rtl/>
          <w:lang w:bidi="fa-IR"/>
        </w:rPr>
        <w:t xml:space="preserve"> أَمِيرُ الْمُؤْمِنِينَ - صَلَوَاتُ اللهِ عَلَيْهِ - بِرَجُلٍ تَكَفَّلَ </w:t>
      </w:r>
      <w:r w:rsidRPr="00D10E3C">
        <w:rPr>
          <w:rStyle w:val="libFootnotenumChar"/>
          <w:rtl/>
        </w:rPr>
        <w:t>(4)</w:t>
      </w:r>
      <w:r>
        <w:rPr>
          <w:rtl/>
          <w:lang w:bidi="fa-IR"/>
        </w:rPr>
        <w:t xml:space="preserve"> بِنَفْسِ رَجُلٍ ، فَحَبَسَهُ ، فَقَالَ </w:t>
      </w:r>
      <w:r w:rsidRPr="00D10E3C">
        <w:rPr>
          <w:rStyle w:val="libFootnotenumChar"/>
          <w:rtl/>
        </w:rPr>
        <w:t>(5)</w:t>
      </w:r>
      <w:r>
        <w:rPr>
          <w:rtl/>
          <w:lang w:bidi="fa-IR"/>
        </w:rPr>
        <w:t xml:space="preserve"> : اطْلُبْ صَاحِبَكَ </w:t>
      </w:r>
      <w:r w:rsidRPr="00D10E3C">
        <w:rPr>
          <w:rStyle w:val="libFootnotenumChar"/>
          <w:rtl/>
        </w:rPr>
        <w:t>(6)</w:t>
      </w:r>
      <w:r>
        <w:rPr>
          <w:rtl/>
          <w:lang w:bidi="fa-IR"/>
        </w:rPr>
        <w:t xml:space="preserve"> ». </w:t>
      </w:r>
      <w:r w:rsidRPr="00D10E3C">
        <w:rPr>
          <w:rStyle w:val="libFootnotenumChar"/>
          <w:rtl/>
        </w:rPr>
        <w:t>(7)</w:t>
      </w:r>
    </w:p>
    <w:p w:rsidR="00144FA6" w:rsidRDefault="00744A1C" w:rsidP="006D4BC7">
      <w:pPr>
        <w:pStyle w:val="Heading2Center"/>
        <w:rPr>
          <w:rtl/>
          <w:lang w:bidi="fa-IR"/>
        </w:rPr>
      </w:pPr>
      <w:bookmarkStart w:id="153" w:name="_Toc49261451"/>
      <w:r>
        <w:rPr>
          <w:rtl/>
          <w:lang w:bidi="fa-IR"/>
        </w:rPr>
        <w:t xml:space="preserve">30 - بَابُ عَمَلِ السُّلْطَانِ وَجَوَائِزِهِمْ </w:t>
      </w:r>
      <w:r w:rsidRPr="00D10E3C">
        <w:rPr>
          <w:rStyle w:val="libFootnotenumChar"/>
          <w:rtl/>
        </w:rPr>
        <w:t>(8)</w:t>
      </w:r>
      <w:bookmarkEnd w:id="153"/>
    </w:p>
    <w:p w:rsidR="00144FA6" w:rsidRDefault="00744A1C" w:rsidP="00744A1C">
      <w:pPr>
        <w:pStyle w:val="libNormal"/>
        <w:rPr>
          <w:rtl/>
          <w:lang w:bidi="fa-IR"/>
        </w:rPr>
      </w:pPr>
      <w:r>
        <w:rPr>
          <w:rtl/>
          <w:lang w:bidi="fa-IR"/>
        </w:rPr>
        <w:t>8506 / 1. عِدَّةٌ مِنْ أَصْحَابِنَا ، عَنْ سَهْلِ بْنِ زِيَادٍ ، عَنْ عَلِيِّ بْنِ أَسْبَاطٍ ، عَنْ مُحَمَّدِ بْنِ عُذَافِرٍ ، عَنْ أَبِيهِ ، قَالَ :</w:t>
      </w:r>
    </w:p>
    <w:p w:rsidR="00744A1C" w:rsidRDefault="00744A1C" w:rsidP="00744A1C">
      <w:pPr>
        <w:pStyle w:val="libNormal"/>
        <w:rPr>
          <w:lang w:bidi="fa-IR"/>
        </w:rPr>
      </w:pPr>
      <w:r>
        <w:rPr>
          <w:rtl/>
          <w:lang w:bidi="fa-IR"/>
        </w:rPr>
        <w:t xml:space="preserve">قَالَ لِي </w:t>
      </w:r>
      <w:r w:rsidRPr="00D10E3C">
        <w:rPr>
          <w:rStyle w:val="libFootnotenumChar"/>
          <w:rtl/>
        </w:rPr>
        <w:t>(9)</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يَا عُذَافِرُ ، نُبِّئْتُ </w:t>
      </w:r>
      <w:r w:rsidRPr="00D10E3C">
        <w:rPr>
          <w:rStyle w:val="libFootnotenumChar"/>
          <w:rtl/>
        </w:rPr>
        <w:t>(10)</w:t>
      </w:r>
      <w:r>
        <w:rPr>
          <w:rtl/>
          <w:lang w:bidi="fa-IR"/>
        </w:rPr>
        <w:t xml:space="preserve"> أَنَّكَ تُعَامِلُ أَبَا أَيُّوبَ وَالرَّبِيعَ ، فَمَا حَالُكَ إِذَا نُودِيَ بِكَ فِي أَعْوَانِ الظَّلَمَةِ؟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الغرم على من أكل المال ، لعلّه محمول على ما إذا ضمن بإذن الغريم ؛ فإنّ له الرجوع عليه بما أدّى ، فالغرم عليه لا على الضامن ».</w:t>
      </w:r>
    </w:p>
    <w:p w:rsidR="00744A1C" w:rsidRDefault="00E378DD" w:rsidP="006D4BC7">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209 ، ح 485 ، بسنده عن الحسن بن عليّ بن يقطين ؛ </w:t>
      </w:r>
      <w:r w:rsidR="00744A1C" w:rsidRPr="00C24F9C">
        <w:rPr>
          <w:rStyle w:val="libFootnoteBoldChar"/>
          <w:rtl/>
        </w:rPr>
        <w:t>الفقيه</w:t>
      </w:r>
      <w:r w:rsidR="00744A1C">
        <w:rPr>
          <w:rtl/>
          <w:lang w:bidi="fa-IR"/>
        </w:rPr>
        <w:t xml:space="preserve"> ، ج 3 ، ص 96 ، ح 3402 ، معلّقاً عن الحسين بن خالد.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257 ، مع اختلاف يسير </w:t>
      </w:r>
      <w:r w:rsidR="006D4BC7">
        <w:rPr>
          <w:rFonts w:hint="cs"/>
          <w:rtl/>
          <w:lang w:bidi="fa-IR"/>
        </w:rPr>
        <w:t>.</w:t>
      </w:r>
      <w:r w:rsidR="00744A1C" w:rsidRPr="00C24F9C">
        <w:rPr>
          <w:rStyle w:val="libFootnoteBoldChar"/>
          <w:rtl/>
        </w:rPr>
        <w:t>الوافي</w:t>
      </w:r>
      <w:r w:rsidR="00744A1C">
        <w:rPr>
          <w:rtl/>
          <w:lang w:bidi="fa-IR"/>
        </w:rPr>
        <w:t xml:space="preserve"> ، ج 18 ، ص 834 ، ح 18388 ؛ </w:t>
      </w:r>
      <w:r w:rsidR="00744A1C" w:rsidRPr="00C24F9C">
        <w:rPr>
          <w:rStyle w:val="libFootnoteBoldChar"/>
          <w:rtl/>
        </w:rPr>
        <w:t>الوسائل</w:t>
      </w:r>
      <w:r w:rsidR="00744A1C">
        <w:rPr>
          <w:rtl/>
          <w:lang w:bidi="fa-IR"/>
        </w:rPr>
        <w:t xml:space="preserve"> ، ج 18 ، ص 421 ، ذيل ح 23963.</w:t>
      </w:r>
      <w:r w:rsidR="006D4BC7">
        <w:rPr>
          <w:rFonts w:hint="cs"/>
          <w:rtl/>
          <w:lang w:bidi="fa-IR"/>
        </w:rPr>
        <w:t xml:space="preserve">  </w:t>
      </w:r>
      <w:r>
        <w:rPr>
          <w:rtl/>
          <w:lang w:bidi="fa-IR"/>
        </w:rPr>
        <w:t>(3).</w:t>
      </w:r>
      <w:r w:rsidR="00744A1C">
        <w:rPr>
          <w:rtl/>
          <w:lang w:bidi="fa-IR"/>
        </w:rPr>
        <w:t xml:space="preserve"> في </w:t>
      </w:r>
      <w:r w:rsidR="00744A1C" w:rsidRPr="006D4BC7">
        <w:rPr>
          <w:rtl/>
        </w:rPr>
        <w:t>الفقيه</w:t>
      </w:r>
      <w:r w:rsidR="00744A1C">
        <w:rPr>
          <w:rtl/>
          <w:lang w:bidi="fa-IR"/>
        </w:rPr>
        <w:t xml:space="preserve"> : « قضى ».</w:t>
      </w:r>
    </w:p>
    <w:p w:rsidR="00744A1C" w:rsidRDefault="00E378DD" w:rsidP="00E378DD">
      <w:pPr>
        <w:pStyle w:val="libFootnote0"/>
        <w:rPr>
          <w:lang w:bidi="fa-IR"/>
        </w:rPr>
      </w:pPr>
      <w:r>
        <w:rPr>
          <w:rtl/>
          <w:lang w:bidi="fa-IR"/>
        </w:rPr>
        <w:t>(4).</w:t>
      </w:r>
      <w:r w:rsidR="00744A1C">
        <w:rPr>
          <w:rtl/>
          <w:lang w:bidi="fa-IR"/>
        </w:rPr>
        <w:t xml:space="preserve"> في </w:t>
      </w:r>
      <w:r w:rsidR="00744A1C" w:rsidRPr="006D4BC7">
        <w:rPr>
          <w:rtl/>
        </w:rPr>
        <w:t>الوسائل</w:t>
      </w:r>
      <w:r w:rsidR="00744A1C">
        <w:rPr>
          <w:rtl/>
          <w:lang w:bidi="fa-IR"/>
        </w:rPr>
        <w:t xml:space="preserve"> : « قد تكفّل ». وفي </w:t>
      </w:r>
      <w:r w:rsidR="00744A1C" w:rsidRPr="006D4BC7">
        <w:rPr>
          <w:rtl/>
        </w:rPr>
        <w:t>التهذيب</w:t>
      </w:r>
      <w:r w:rsidR="00744A1C">
        <w:rPr>
          <w:rtl/>
          <w:lang w:bidi="fa-IR"/>
        </w:rPr>
        <w:t xml:space="preserve"> ، ح 487 : « قد كفل ».</w:t>
      </w:r>
    </w:p>
    <w:p w:rsidR="00744A1C" w:rsidRDefault="00E378DD" w:rsidP="00E378DD">
      <w:pPr>
        <w:pStyle w:val="libFootnote0"/>
        <w:rPr>
          <w:lang w:bidi="fa-IR"/>
        </w:rPr>
      </w:pPr>
      <w:r>
        <w:rPr>
          <w:rtl/>
          <w:lang w:bidi="fa-IR"/>
        </w:rPr>
        <w:t>(5).</w:t>
      </w:r>
      <w:r w:rsidR="00744A1C">
        <w:rPr>
          <w:rtl/>
          <w:lang w:bidi="fa-IR"/>
        </w:rPr>
        <w:t xml:space="preserve"> في « ط ، ى ، بح ، بس ، جد ، جن » </w:t>
      </w:r>
      <w:r w:rsidR="00744A1C" w:rsidRPr="006D4BC7">
        <w:rPr>
          <w:rtl/>
        </w:rPr>
        <w:t>والوافي والوسائل</w:t>
      </w:r>
      <w:r w:rsidR="00744A1C">
        <w:rPr>
          <w:rtl/>
          <w:lang w:bidi="fa-IR"/>
        </w:rPr>
        <w:t xml:space="preserve"> : « وقال ».</w:t>
      </w:r>
    </w:p>
    <w:p w:rsidR="00744A1C" w:rsidRDefault="00E378DD" w:rsidP="00E378DD">
      <w:pPr>
        <w:pStyle w:val="libFootnote0"/>
        <w:rPr>
          <w:lang w:bidi="fa-IR"/>
        </w:rPr>
      </w:pPr>
      <w:r>
        <w:rPr>
          <w:rtl/>
          <w:lang w:bidi="fa-IR"/>
        </w:rPr>
        <w:t>(6).</w:t>
      </w:r>
      <w:r w:rsidR="00744A1C">
        <w:rPr>
          <w:rtl/>
          <w:lang w:bidi="fa-IR"/>
        </w:rPr>
        <w:t xml:space="preserve"> في « جن » : « حاجتك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209 ، ح 487 ، بسنده عن ابن فضّال ، عن عمّار بن مروان ، عن جعفر ، عن أبيه ، عن عليّ </w:t>
      </w:r>
      <w:r w:rsidR="00877682" w:rsidRPr="00877682">
        <w:rPr>
          <w:rStyle w:val="libFootnoteAlaemChar"/>
          <w:rtl/>
        </w:rPr>
        <w:t>عليهم‌السلام</w:t>
      </w:r>
      <w:r w:rsidR="00744A1C">
        <w:rPr>
          <w:rtl/>
          <w:lang w:bidi="fa-IR"/>
        </w:rPr>
        <w:t xml:space="preserve"> . </w:t>
      </w:r>
      <w:r w:rsidR="00744A1C" w:rsidRPr="006D4BC7">
        <w:rPr>
          <w:rStyle w:val="libFootnoteBoldChar"/>
          <w:rtl/>
        </w:rPr>
        <w:t>وفيه</w:t>
      </w:r>
      <w:r w:rsidR="00744A1C">
        <w:rPr>
          <w:rtl/>
          <w:lang w:bidi="fa-IR"/>
        </w:rPr>
        <w:t xml:space="preserve"> ، ح 486 ، بسند آخر عن جعفر ، عن أبيه </w:t>
      </w:r>
      <w:r w:rsidR="00F112A7" w:rsidRPr="00CE5A92">
        <w:rPr>
          <w:rStyle w:val="libFootnoteAlaemChar"/>
          <w:rtl/>
        </w:rPr>
        <w:t>عليهما‌السلام</w:t>
      </w:r>
      <w:r w:rsidR="00744A1C">
        <w:rPr>
          <w:rtl/>
          <w:lang w:bidi="fa-IR"/>
        </w:rPr>
        <w:t xml:space="preserve">، مع اختلاف يسير. </w:t>
      </w:r>
      <w:r w:rsidR="00744A1C" w:rsidRPr="00C24F9C">
        <w:rPr>
          <w:rStyle w:val="libFootnoteBoldChar"/>
          <w:rtl/>
        </w:rPr>
        <w:t>الفقيه</w:t>
      </w:r>
      <w:r w:rsidR="00744A1C">
        <w:rPr>
          <w:rtl/>
          <w:lang w:bidi="fa-IR"/>
        </w:rPr>
        <w:t xml:space="preserve"> ، ج 3 ، ص 95 ، ح 3400 ، بسند آخر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مع زيادة في آخره </w:t>
      </w:r>
      <w:r w:rsidR="006D4BC7">
        <w:rPr>
          <w:rFonts w:hint="cs"/>
          <w:rtl/>
          <w:lang w:bidi="fa-IR"/>
        </w:rPr>
        <w:t>.</w:t>
      </w:r>
      <w:r w:rsidR="00744A1C" w:rsidRPr="00C24F9C">
        <w:rPr>
          <w:rStyle w:val="libFootnoteBoldChar"/>
          <w:rtl/>
        </w:rPr>
        <w:t>الوافي</w:t>
      </w:r>
      <w:r w:rsidR="00744A1C">
        <w:rPr>
          <w:rtl/>
          <w:lang w:bidi="fa-IR"/>
        </w:rPr>
        <w:t xml:space="preserve"> ، ج 18 ، ص 834 ، ح 18389 ؛ </w:t>
      </w:r>
      <w:r w:rsidR="00744A1C" w:rsidRPr="00C24F9C">
        <w:rPr>
          <w:rStyle w:val="libFootnoteBoldChar"/>
          <w:rtl/>
        </w:rPr>
        <w:t>الوسائل</w:t>
      </w:r>
      <w:r w:rsidR="00744A1C">
        <w:rPr>
          <w:rtl/>
          <w:lang w:bidi="fa-IR"/>
        </w:rPr>
        <w:t xml:space="preserve"> ، ج 18 ، ص 430 ، ح 23984.</w:t>
      </w:r>
    </w:p>
    <w:p w:rsidR="00744A1C" w:rsidRDefault="00E378DD" w:rsidP="00E378DD">
      <w:pPr>
        <w:pStyle w:val="libFootnote0"/>
        <w:rPr>
          <w:lang w:bidi="fa-IR"/>
        </w:rPr>
      </w:pPr>
      <w:r>
        <w:rPr>
          <w:rtl/>
          <w:lang w:bidi="fa-IR"/>
        </w:rPr>
        <w:t>(8).</w:t>
      </w:r>
      <w:r w:rsidR="00744A1C">
        <w:rPr>
          <w:rtl/>
          <w:lang w:bidi="fa-IR"/>
        </w:rPr>
        <w:t xml:space="preserve"> الجوائز : جمع الجائزة ، وهي العطيّة ؛ من أجازه يجيزه : إذا أعطاه. راجع : </w:t>
      </w:r>
      <w:r w:rsidR="00744A1C" w:rsidRPr="00877682">
        <w:rPr>
          <w:rStyle w:val="libFootnoteBoldChar"/>
          <w:rtl/>
        </w:rPr>
        <w:t>النهاية</w:t>
      </w:r>
      <w:r w:rsidR="00744A1C">
        <w:rPr>
          <w:rtl/>
          <w:lang w:bidi="fa-IR"/>
        </w:rPr>
        <w:t xml:space="preserve"> ، ج 1 ، ص 314 ( جوز ).</w:t>
      </w:r>
    </w:p>
    <w:p w:rsidR="00744A1C" w:rsidRDefault="00E378DD" w:rsidP="00E378DD">
      <w:pPr>
        <w:pStyle w:val="libFootnote0"/>
        <w:rPr>
          <w:lang w:bidi="fa-IR"/>
        </w:rPr>
      </w:pPr>
      <w:r>
        <w:rPr>
          <w:rtl/>
          <w:lang w:bidi="fa-IR"/>
        </w:rPr>
        <w:t>(9).</w:t>
      </w:r>
      <w:r w:rsidR="00744A1C">
        <w:rPr>
          <w:rtl/>
          <w:lang w:bidi="fa-IR"/>
        </w:rPr>
        <w:t xml:space="preserve"> في « ط ، بف » </w:t>
      </w:r>
      <w:r w:rsidR="00744A1C" w:rsidRPr="006D4BC7">
        <w:rPr>
          <w:rtl/>
        </w:rPr>
        <w:t>والوافي</w:t>
      </w:r>
      <w:r w:rsidR="00744A1C">
        <w:rPr>
          <w:rtl/>
          <w:lang w:bidi="fa-IR"/>
        </w:rPr>
        <w:t xml:space="preserve"> : - « لي ».</w:t>
      </w:r>
    </w:p>
    <w:p w:rsidR="00744A1C" w:rsidRDefault="00E378DD" w:rsidP="00E378DD">
      <w:pPr>
        <w:pStyle w:val="libFootnote0"/>
        <w:rPr>
          <w:lang w:bidi="fa-IR"/>
        </w:rPr>
      </w:pPr>
      <w:r>
        <w:rPr>
          <w:rtl/>
          <w:lang w:bidi="fa-IR"/>
        </w:rPr>
        <w:t>(10).</w:t>
      </w:r>
      <w:r w:rsidR="00744A1C">
        <w:rPr>
          <w:rtl/>
          <w:lang w:bidi="fa-IR"/>
        </w:rPr>
        <w:t xml:space="preserve"> هكذا في جميع النسخ التي قوبلت </w:t>
      </w:r>
      <w:r w:rsidR="00744A1C" w:rsidRPr="006D4BC7">
        <w:rPr>
          <w:rtl/>
        </w:rPr>
        <w:t>والوافي والوسائل</w:t>
      </w:r>
      <w:r w:rsidR="00744A1C">
        <w:rPr>
          <w:rtl/>
          <w:lang w:bidi="fa-IR"/>
        </w:rPr>
        <w:t>. وفي المطبوع : - « نبّئت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قَالَ : فَوَجَمَ </w:t>
      </w:r>
      <w:r w:rsidRPr="00D10E3C">
        <w:rPr>
          <w:rStyle w:val="libFootnotenumChar"/>
          <w:rtl/>
        </w:rPr>
        <w:t>(1)</w:t>
      </w:r>
      <w:r>
        <w:rPr>
          <w:rtl/>
          <w:lang w:bidi="fa-IR"/>
        </w:rPr>
        <w:t xml:space="preserve"> أَبِي ، فَقَالَ لَهُ </w:t>
      </w:r>
      <w:r w:rsidRPr="00D10E3C">
        <w:rPr>
          <w:rStyle w:val="libFootnotenumChar"/>
          <w:rtl/>
        </w:rPr>
        <w:t>(2)</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لَمَّا رَأى مَا أَصَابَهُ : « أَيْ عُذَافِرُ </w:t>
      </w:r>
      <w:r w:rsidRPr="00D10E3C">
        <w:rPr>
          <w:rStyle w:val="libFootnotenumChar"/>
          <w:rtl/>
        </w:rPr>
        <w:t>(3)</w:t>
      </w:r>
      <w:r>
        <w:rPr>
          <w:rtl/>
          <w:lang w:bidi="fa-IR"/>
        </w:rPr>
        <w:t xml:space="preserve"> ، إِنَّمَا </w:t>
      </w:r>
      <w:r w:rsidRPr="00D10E3C">
        <w:rPr>
          <w:rStyle w:val="libFootnotenumChar"/>
          <w:rtl/>
        </w:rPr>
        <w:t>(4)</w:t>
      </w:r>
      <w:r>
        <w:rPr>
          <w:rtl/>
          <w:lang w:bidi="fa-IR"/>
        </w:rPr>
        <w:t xml:space="preserve"> خَوَّفْتُكَ بِمَا </w:t>
      </w:r>
      <w:r w:rsidRPr="00D10E3C">
        <w:rPr>
          <w:rStyle w:val="libFootnotenumChar"/>
          <w:rtl/>
        </w:rPr>
        <w:t>(5)</w:t>
      </w:r>
      <w:r>
        <w:rPr>
          <w:rtl/>
          <w:lang w:bidi="fa-IR"/>
        </w:rPr>
        <w:t xml:space="preserve"> خَوَّفَنِي اللهُ - عَزَّ وَجَلَّ - بِهِ ».</w:t>
      </w:r>
    </w:p>
    <w:p w:rsidR="00144FA6" w:rsidRDefault="00744A1C" w:rsidP="00744A1C">
      <w:pPr>
        <w:pStyle w:val="libNormal"/>
        <w:rPr>
          <w:rtl/>
          <w:lang w:bidi="fa-IR"/>
        </w:rPr>
      </w:pPr>
      <w:r>
        <w:rPr>
          <w:rtl/>
          <w:lang w:bidi="fa-IR"/>
        </w:rPr>
        <w:t xml:space="preserve">قَالَ مُحَمَّدٌ : فَقَدِمَ أَبِي ، فَلَمْ يَزَلْ </w:t>
      </w:r>
      <w:r w:rsidRPr="00D10E3C">
        <w:rPr>
          <w:rStyle w:val="libFootnotenumChar"/>
          <w:rtl/>
        </w:rPr>
        <w:t>(6)</w:t>
      </w:r>
      <w:r>
        <w:rPr>
          <w:rtl/>
          <w:lang w:bidi="fa-IR"/>
        </w:rPr>
        <w:t xml:space="preserve"> مَغْمُوماً مَكْرُوباً حَتّى مَاتَ. </w:t>
      </w:r>
      <w:r w:rsidRPr="00D10E3C">
        <w:rPr>
          <w:rStyle w:val="libFootnotenumChar"/>
          <w:rtl/>
        </w:rPr>
        <w:t>(7)</w:t>
      </w:r>
    </w:p>
    <w:p w:rsidR="00144FA6" w:rsidRDefault="00744A1C" w:rsidP="00744A1C">
      <w:pPr>
        <w:pStyle w:val="libNormal"/>
        <w:rPr>
          <w:rtl/>
          <w:lang w:bidi="fa-IR"/>
        </w:rPr>
      </w:pPr>
      <w:r>
        <w:rPr>
          <w:rtl/>
          <w:lang w:bidi="fa-IR"/>
        </w:rPr>
        <w:t xml:space="preserve">8507 / 2. عَلِيُّ بْنُ إِبْرَاهِيمَ ، عَنْ أَبِيهِ ، عَنِ ابْنِ أَبِي عُمَيْرٍ ، عَنْ هِشَامِ بْنِ سَالِمٍ وَ </w:t>
      </w:r>
      <w:r w:rsidRPr="00D10E3C">
        <w:rPr>
          <w:rStyle w:val="libFootnotenumChar"/>
          <w:rtl/>
        </w:rPr>
        <w:t>(8)</w:t>
      </w:r>
      <w:r>
        <w:rPr>
          <w:rtl/>
          <w:lang w:bidi="fa-IR"/>
        </w:rPr>
        <w:t xml:space="preserve"> مُحَمَّدِ بْنِ حُمْرَانَ ، عَنِ الْوَلِيدِ بْنِ صَبِيحٍ ، قَالَ :</w:t>
      </w:r>
    </w:p>
    <w:p w:rsidR="00744A1C" w:rsidRDefault="00744A1C" w:rsidP="00744A1C">
      <w:pPr>
        <w:pStyle w:val="libNormal"/>
        <w:rPr>
          <w:lang w:bidi="fa-IR"/>
        </w:rPr>
      </w:pPr>
      <w:r>
        <w:rPr>
          <w:rtl/>
          <w:lang w:bidi="fa-IR"/>
        </w:rPr>
        <w:t xml:space="preserve">دَخَلْتُ عَلى أَبِي عَبْدِ اللهِ </w:t>
      </w:r>
      <w:r w:rsidR="0061079A" w:rsidRPr="0061079A">
        <w:rPr>
          <w:rStyle w:val="libAlaemChar"/>
          <w:rtl/>
        </w:rPr>
        <w:t>عليه‌السلام</w:t>
      </w:r>
      <w:r w:rsidR="00D10E3C">
        <w:rPr>
          <w:rtl/>
          <w:lang w:bidi="fa-IR"/>
        </w:rPr>
        <w:t xml:space="preserve"> </w:t>
      </w:r>
      <w:r>
        <w:rPr>
          <w:rtl/>
          <w:lang w:bidi="fa-IR"/>
        </w:rPr>
        <w:t xml:space="preserve">، فَاسْتَقْبَلَنِي زُرَارَةُ خَارِجاً مِنْ عِنْدِهِ ، فَقَالَ لِي أَبُو عَبْدِ اللهِ </w:t>
      </w:r>
      <w:r w:rsidR="0061079A" w:rsidRPr="0061079A">
        <w:rPr>
          <w:rStyle w:val="libAlaemChar"/>
          <w:rtl/>
        </w:rPr>
        <w:t>عليه‌السلام</w:t>
      </w:r>
      <w:r w:rsidR="00D10E3C">
        <w:rPr>
          <w:rtl/>
          <w:lang w:bidi="fa-IR"/>
        </w:rPr>
        <w:t xml:space="preserve"> </w:t>
      </w:r>
      <w:r>
        <w:rPr>
          <w:rtl/>
          <w:lang w:bidi="fa-IR"/>
        </w:rPr>
        <w:t>: « يَا وَلِيدُ ، أَ</w:t>
      </w:r>
      <w:r w:rsidR="006D4BC7">
        <w:rPr>
          <w:rFonts w:hint="cs"/>
          <w:rtl/>
          <w:lang w:bidi="fa-IR"/>
        </w:rPr>
        <w:t xml:space="preserve"> </w:t>
      </w:r>
      <w:r>
        <w:rPr>
          <w:rtl/>
          <w:lang w:bidi="fa-IR"/>
        </w:rPr>
        <w:t xml:space="preserve">مَا تَعْجَبُ مِنْ زُرَارَةَ سَأَلَنِي عَنْ أَعْمَالِ هؤُلَاءِ؟ أَيَّ شَيْ‌ءٍ كَانَ يُرِيدُ </w:t>
      </w:r>
      <w:r w:rsidRPr="00D10E3C">
        <w:rPr>
          <w:rStyle w:val="libFootnotenumChar"/>
          <w:rtl/>
        </w:rPr>
        <w:t>(9)</w:t>
      </w:r>
      <w:r>
        <w:rPr>
          <w:rtl/>
          <w:lang w:bidi="fa-IR"/>
        </w:rPr>
        <w:t>؟ أَ</w:t>
      </w:r>
      <w:r w:rsidR="006D4BC7">
        <w:rPr>
          <w:rFonts w:hint="cs"/>
          <w:rtl/>
          <w:lang w:bidi="fa-IR"/>
        </w:rPr>
        <w:t xml:space="preserve"> </w:t>
      </w:r>
      <w:r>
        <w:rPr>
          <w:rtl/>
          <w:lang w:bidi="fa-IR"/>
        </w:rPr>
        <w:t xml:space="preserve">يُرِيدُ </w:t>
      </w:r>
      <w:r w:rsidRPr="00D10E3C">
        <w:rPr>
          <w:rStyle w:val="libFootnotenumChar"/>
          <w:rtl/>
        </w:rPr>
        <w:t>(10)</w:t>
      </w:r>
      <w:r>
        <w:rPr>
          <w:rtl/>
          <w:lang w:bidi="fa-IR"/>
        </w:rPr>
        <w:t xml:space="preserve"> أَنْ أَقُولَ لَهُ : لَا </w:t>
      </w:r>
      <w:r w:rsidRPr="00D10E3C">
        <w:rPr>
          <w:rStyle w:val="libFootnotenumChar"/>
          <w:rtl/>
        </w:rPr>
        <w:t>(11)</w:t>
      </w:r>
      <w:r>
        <w:rPr>
          <w:rtl/>
          <w:lang w:bidi="fa-IR"/>
        </w:rPr>
        <w:t xml:space="preserve"> ، فَيَرْوِيَ ذلِكَ </w:t>
      </w:r>
      <w:r w:rsidRPr="00D10E3C">
        <w:rPr>
          <w:rStyle w:val="libFootnotenumChar"/>
          <w:rtl/>
        </w:rPr>
        <w:t>(12)</w:t>
      </w:r>
      <w:r>
        <w:rPr>
          <w:rtl/>
          <w:lang w:bidi="fa-IR"/>
        </w:rPr>
        <w:t xml:space="preserve"> عَنِّي </w:t>
      </w:r>
      <w:r w:rsidRPr="00D10E3C">
        <w:rPr>
          <w:rStyle w:val="libFootnotenumChar"/>
          <w:rtl/>
        </w:rPr>
        <w:t>(13)</w:t>
      </w:r>
      <w:r>
        <w:rPr>
          <w:rtl/>
          <w:lang w:bidi="fa-IR"/>
        </w:rPr>
        <w:t>؟ ».</w:t>
      </w:r>
    </w:p>
    <w:p w:rsidR="00744A1C" w:rsidRDefault="00744A1C" w:rsidP="00744A1C">
      <w:pPr>
        <w:pStyle w:val="libNormal"/>
        <w:rPr>
          <w:lang w:bidi="fa-IR"/>
        </w:rPr>
      </w:pPr>
      <w:r>
        <w:rPr>
          <w:rtl/>
          <w:lang w:bidi="fa-IR"/>
        </w:rPr>
        <w:t>ثُمَّ قَالَ : « يَا وَلِيدُ ، مَتى كَانَتِ الشِّيعَةُ تَسْأَلُ عَنْ أَعْمَالِهِمْ؟ إِنَّمَا كَانَتِ الشِّيعَةُ‌</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 وجم » أي سكت على غيظ ؛ من الوُجوم ، وهو السكوت على غيظ. أو هو الحزن. فهو الواجم ، وهو الذي‌</w:t>
      </w:r>
      <w:r w:rsidR="006D4BC7">
        <w:rPr>
          <w:rFonts w:hint="cs"/>
          <w:rtl/>
          <w:lang w:bidi="fa-IR"/>
        </w:rPr>
        <w:t xml:space="preserve"> </w:t>
      </w:r>
      <w:r w:rsidR="00744A1C">
        <w:rPr>
          <w:rtl/>
          <w:lang w:bidi="fa-IR"/>
        </w:rPr>
        <w:t xml:space="preserve">اشتدّ حزنه فأمسك عن الكلام. أو الذي أسكته الهمّ وعَلَتْهُ الكآبة ، أو العبوس المطرق من شدّة الحزن. راجع : </w:t>
      </w:r>
      <w:r w:rsidR="00744A1C" w:rsidRPr="00877682">
        <w:rPr>
          <w:rStyle w:val="libFootnoteBoldChar"/>
          <w:rtl/>
        </w:rPr>
        <w:t>لسان العرب</w:t>
      </w:r>
      <w:r w:rsidR="00744A1C">
        <w:rPr>
          <w:rtl/>
          <w:lang w:bidi="fa-IR"/>
        </w:rPr>
        <w:t xml:space="preserve"> ، ج 12 ، ص 630 ( وجم ).</w:t>
      </w:r>
    </w:p>
    <w:p w:rsidR="00744A1C" w:rsidRDefault="00E378DD" w:rsidP="00E378DD">
      <w:pPr>
        <w:pStyle w:val="libFootnote0"/>
        <w:rPr>
          <w:lang w:bidi="fa-IR"/>
        </w:rPr>
      </w:pPr>
      <w:r>
        <w:rPr>
          <w:rtl/>
          <w:lang w:bidi="fa-IR"/>
        </w:rPr>
        <w:t>(2).</w:t>
      </w:r>
      <w:r w:rsidR="00744A1C">
        <w:rPr>
          <w:rtl/>
          <w:lang w:bidi="fa-IR"/>
        </w:rPr>
        <w:t xml:space="preserve"> في </w:t>
      </w:r>
      <w:r w:rsidR="00744A1C" w:rsidRPr="006D4BC7">
        <w:rPr>
          <w:rtl/>
        </w:rPr>
        <w:t>الوافي</w:t>
      </w:r>
      <w:r w:rsidR="00744A1C">
        <w:rPr>
          <w:rtl/>
          <w:lang w:bidi="fa-IR"/>
        </w:rPr>
        <w:t xml:space="preserve"> : - « له ».</w:t>
      </w:r>
    </w:p>
    <w:p w:rsidR="00744A1C" w:rsidRDefault="00E378DD" w:rsidP="00E378DD">
      <w:pPr>
        <w:pStyle w:val="libFootnote0"/>
        <w:rPr>
          <w:lang w:bidi="fa-IR"/>
        </w:rPr>
      </w:pPr>
      <w:r>
        <w:rPr>
          <w:rtl/>
          <w:lang w:bidi="fa-IR"/>
        </w:rPr>
        <w:t>(3).</w:t>
      </w:r>
      <w:r w:rsidR="00744A1C">
        <w:rPr>
          <w:rtl/>
          <w:lang w:bidi="fa-IR"/>
        </w:rPr>
        <w:t xml:space="preserve"> في </w:t>
      </w:r>
      <w:r w:rsidR="00744A1C" w:rsidRPr="006D4BC7">
        <w:rPr>
          <w:rtl/>
        </w:rPr>
        <w:t>الوسائل</w:t>
      </w:r>
      <w:r w:rsidR="00744A1C">
        <w:rPr>
          <w:rtl/>
          <w:lang w:bidi="fa-IR"/>
        </w:rPr>
        <w:t xml:space="preserve"> : + « إنّي ».</w:t>
      </w:r>
    </w:p>
    <w:p w:rsidR="00744A1C" w:rsidRDefault="00E378DD" w:rsidP="00E378DD">
      <w:pPr>
        <w:pStyle w:val="libFootnote0"/>
        <w:rPr>
          <w:lang w:bidi="fa-IR"/>
        </w:rPr>
      </w:pPr>
      <w:r>
        <w:rPr>
          <w:rtl/>
          <w:lang w:bidi="fa-IR"/>
        </w:rPr>
        <w:t>(4).</w:t>
      </w:r>
      <w:r w:rsidR="00744A1C">
        <w:rPr>
          <w:rtl/>
          <w:lang w:bidi="fa-IR"/>
        </w:rPr>
        <w:t xml:space="preserve"> في « ط » : « أنا ».</w:t>
      </w:r>
    </w:p>
    <w:p w:rsidR="00744A1C" w:rsidRDefault="00E378DD" w:rsidP="00E378DD">
      <w:pPr>
        <w:pStyle w:val="libFootnote0"/>
        <w:rPr>
          <w:lang w:bidi="fa-IR"/>
        </w:rPr>
      </w:pPr>
      <w:r>
        <w:rPr>
          <w:rtl/>
          <w:lang w:bidi="fa-IR"/>
        </w:rPr>
        <w:t>(5).</w:t>
      </w:r>
      <w:r w:rsidR="00744A1C">
        <w:rPr>
          <w:rtl/>
          <w:lang w:bidi="fa-IR"/>
        </w:rPr>
        <w:t xml:space="preserve"> في « ط » : « ما ».</w:t>
      </w:r>
    </w:p>
    <w:p w:rsidR="00744A1C" w:rsidRDefault="00E378DD" w:rsidP="00E378DD">
      <w:pPr>
        <w:pStyle w:val="libFootnote0"/>
        <w:rPr>
          <w:lang w:bidi="fa-IR"/>
        </w:rPr>
      </w:pPr>
      <w:r>
        <w:rPr>
          <w:rtl/>
          <w:lang w:bidi="fa-IR"/>
        </w:rPr>
        <w:t>(6).</w:t>
      </w:r>
      <w:r w:rsidR="00744A1C">
        <w:rPr>
          <w:rtl/>
          <w:lang w:bidi="fa-IR"/>
        </w:rPr>
        <w:t xml:space="preserve"> في « ى ، بح ، بس ، جت ، جد ، جن » </w:t>
      </w:r>
      <w:r w:rsidR="00744A1C" w:rsidRPr="006D4BC7">
        <w:rPr>
          <w:rtl/>
        </w:rPr>
        <w:t>والوسائل</w:t>
      </w:r>
      <w:r w:rsidR="00744A1C">
        <w:rPr>
          <w:rtl/>
          <w:lang w:bidi="fa-IR"/>
        </w:rPr>
        <w:t xml:space="preserve"> : « فما زال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17 ، ص 151 ، ح 17028 ؛ </w:t>
      </w:r>
      <w:r w:rsidR="00744A1C" w:rsidRPr="00C24F9C">
        <w:rPr>
          <w:rStyle w:val="libFootnoteBoldChar"/>
          <w:rtl/>
        </w:rPr>
        <w:t>الوسائل</w:t>
      </w:r>
      <w:r w:rsidR="00744A1C">
        <w:rPr>
          <w:rtl/>
          <w:lang w:bidi="fa-IR"/>
        </w:rPr>
        <w:t xml:space="preserve"> ، ج 17 ، ص 178 ، ح 22291.</w:t>
      </w:r>
    </w:p>
    <w:p w:rsidR="00744A1C" w:rsidRDefault="00E378DD" w:rsidP="006D4BC7">
      <w:pPr>
        <w:pStyle w:val="libFootnote0"/>
        <w:rPr>
          <w:lang w:bidi="fa-IR"/>
        </w:rPr>
      </w:pPr>
      <w:r>
        <w:rPr>
          <w:rtl/>
          <w:lang w:bidi="fa-IR"/>
        </w:rPr>
        <w:t>(8).</w:t>
      </w:r>
      <w:r w:rsidR="00744A1C">
        <w:rPr>
          <w:rtl/>
          <w:lang w:bidi="fa-IR"/>
        </w:rPr>
        <w:t xml:space="preserve"> ورد الخبر - باختلاف يسير - في </w:t>
      </w:r>
      <w:r w:rsidR="00744A1C" w:rsidRPr="006D4BC7">
        <w:rPr>
          <w:rStyle w:val="libFootnoteBoldChar"/>
          <w:rtl/>
        </w:rPr>
        <w:t>رجال الكشّي</w:t>
      </w:r>
      <w:r w:rsidR="00744A1C">
        <w:rPr>
          <w:rtl/>
          <w:lang w:bidi="fa-IR"/>
        </w:rPr>
        <w:t xml:space="preserve"> ، ص 152 ، الرقم 247 بسنده عن ابن أبي عمير عن هشام بن‌سالم عن محمّد بن حمران. وهو سهو ظاهراً ؛ فقد روى ابن أبي عمير كتاب هشام بن سالم وكتاب محمّد بن حمران ، ووردت روايته عنهما في كثيرٍ من الأسناد. راجع : </w:t>
      </w:r>
      <w:r w:rsidR="00744A1C" w:rsidRPr="003A7143">
        <w:rPr>
          <w:rStyle w:val="libFootnoteBoldChar"/>
          <w:rtl/>
        </w:rPr>
        <w:t>رجال النجاشي</w:t>
      </w:r>
      <w:r w:rsidR="00744A1C">
        <w:rPr>
          <w:rtl/>
          <w:lang w:bidi="fa-IR"/>
        </w:rPr>
        <w:t xml:space="preserve"> ، ص 434 ، الرقم 1165 ؛ </w:t>
      </w:r>
      <w:r w:rsidR="00744A1C" w:rsidRPr="003A7143">
        <w:rPr>
          <w:rStyle w:val="libFootnoteBoldChar"/>
          <w:rtl/>
        </w:rPr>
        <w:t>الفهرست للطوسي</w:t>
      </w:r>
      <w:r w:rsidR="00744A1C">
        <w:rPr>
          <w:rtl/>
          <w:lang w:bidi="fa-IR"/>
        </w:rPr>
        <w:t xml:space="preserve"> ، ص 418 ، الرقم 638 ؛ ص 493 ، الرقم 782 ؛ </w:t>
      </w:r>
      <w:r w:rsidR="00744A1C" w:rsidRPr="0061079A">
        <w:rPr>
          <w:rStyle w:val="libFootnoteBoldChar"/>
          <w:rtl/>
        </w:rPr>
        <w:t>معجم رجال الحديث</w:t>
      </w:r>
      <w:r w:rsidR="00744A1C">
        <w:rPr>
          <w:rtl/>
          <w:lang w:bidi="fa-IR"/>
        </w:rPr>
        <w:t xml:space="preserve"> ، ج 21 ، ص 302 - 303 ، وص 319.</w:t>
      </w:r>
      <w:r w:rsidR="006D4BC7">
        <w:rPr>
          <w:rFonts w:hint="cs"/>
          <w:rtl/>
          <w:lang w:bidi="fa-IR"/>
        </w:rPr>
        <w:t xml:space="preserve">                             </w:t>
      </w:r>
      <w:r w:rsidR="005D2B3B">
        <w:rPr>
          <w:rFonts w:hint="cs"/>
          <w:rtl/>
          <w:lang w:bidi="fa-IR"/>
        </w:rPr>
        <w:t xml:space="preserve">                   </w:t>
      </w:r>
      <w:r w:rsidR="006D4BC7">
        <w:rPr>
          <w:rFonts w:hint="cs"/>
          <w:rtl/>
          <w:lang w:bidi="fa-IR"/>
        </w:rPr>
        <w:t xml:space="preserve">     </w:t>
      </w:r>
      <w:r>
        <w:rPr>
          <w:rtl/>
          <w:lang w:bidi="fa-IR"/>
        </w:rPr>
        <w:t>(9).</w:t>
      </w:r>
      <w:r w:rsidR="00744A1C">
        <w:rPr>
          <w:rtl/>
          <w:lang w:bidi="fa-IR"/>
        </w:rPr>
        <w:t xml:space="preserve"> في </w:t>
      </w:r>
      <w:r w:rsidR="00744A1C" w:rsidRPr="006D4BC7">
        <w:rPr>
          <w:rtl/>
        </w:rPr>
        <w:t>التهذيب</w:t>
      </w:r>
      <w:r w:rsidR="00744A1C">
        <w:rPr>
          <w:rtl/>
          <w:lang w:bidi="fa-IR"/>
        </w:rPr>
        <w:t xml:space="preserve"> : - « يريد ».</w:t>
      </w:r>
    </w:p>
    <w:tbl>
      <w:tblPr>
        <w:tblStyle w:val="TableGrid"/>
        <w:bidiVisual/>
        <w:tblW w:w="0" w:type="auto"/>
        <w:tblLook w:val="04A0" w:firstRow="1" w:lastRow="0" w:firstColumn="1" w:lastColumn="0" w:noHBand="0" w:noVBand="1"/>
      </w:tblPr>
      <w:tblGrid>
        <w:gridCol w:w="4006"/>
        <w:gridCol w:w="4006"/>
      </w:tblGrid>
      <w:tr w:rsidR="006D4BC7" w:rsidTr="006D4BC7">
        <w:tc>
          <w:tcPr>
            <w:tcW w:w="4006" w:type="dxa"/>
          </w:tcPr>
          <w:p w:rsidR="006D4BC7" w:rsidRDefault="006D4BC7" w:rsidP="00E378DD">
            <w:pPr>
              <w:pStyle w:val="libFootnote0"/>
              <w:rPr>
                <w:rtl/>
                <w:lang w:bidi="fa-IR"/>
              </w:rPr>
            </w:pPr>
            <w:r>
              <w:rPr>
                <w:rtl/>
                <w:lang w:bidi="fa-IR"/>
              </w:rPr>
              <w:t>(10). في « بخ » : « يريد » بدون همزة الاستفهام.</w:t>
            </w:r>
          </w:p>
        </w:tc>
        <w:tc>
          <w:tcPr>
            <w:tcW w:w="4006" w:type="dxa"/>
          </w:tcPr>
          <w:p w:rsidR="006D4BC7" w:rsidRDefault="006D4BC7" w:rsidP="00E378DD">
            <w:pPr>
              <w:pStyle w:val="libFootnote0"/>
              <w:rPr>
                <w:rtl/>
                <w:lang w:bidi="fa-IR"/>
              </w:rPr>
            </w:pPr>
            <w:r>
              <w:rPr>
                <w:rtl/>
                <w:lang w:bidi="fa-IR"/>
              </w:rPr>
              <w:t>(11). في « بف » : - « لا ».</w:t>
            </w:r>
          </w:p>
        </w:tc>
      </w:tr>
    </w:tbl>
    <w:p w:rsidR="00744A1C" w:rsidRDefault="00E378DD" w:rsidP="00E378DD">
      <w:pPr>
        <w:pStyle w:val="libFootnote0"/>
        <w:rPr>
          <w:lang w:bidi="fa-IR"/>
        </w:rPr>
      </w:pPr>
      <w:r>
        <w:rPr>
          <w:rtl/>
          <w:lang w:bidi="fa-IR"/>
        </w:rPr>
        <w:t>(12).</w:t>
      </w:r>
      <w:r w:rsidR="00744A1C">
        <w:rPr>
          <w:rtl/>
          <w:lang w:bidi="fa-IR"/>
        </w:rPr>
        <w:t xml:space="preserve"> في « بس ، جد » : « ذاك ».</w:t>
      </w:r>
    </w:p>
    <w:p w:rsidR="00744A1C" w:rsidRDefault="00E378DD" w:rsidP="00E378DD">
      <w:pPr>
        <w:pStyle w:val="libFootnote0"/>
        <w:rPr>
          <w:lang w:bidi="fa-IR"/>
        </w:rPr>
      </w:pPr>
      <w:r>
        <w:rPr>
          <w:rtl/>
          <w:lang w:bidi="fa-IR"/>
        </w:rPr>
        <w:t>(13).</w:t>
      </w:r>
      <w:r w:rsidR="00744A1C">
        <w:rPr>
          <w:rtl/>
          <w:lang w:bidi="fa-IR"/>
        </w:rPr>
        <w:t xml:space="preserve"> في « ط ، ى ، بح ، بس ، جت ، جد ، جن » </w:t>
      </w:r>
      <w:r w:rsidR="00744A1C" w:rsidRPr="006D4BC7">
        <w:rPr>
          <w:rtl/>
        </w:rPr>
        <w:t>والوسائل والتهذيب</w:t>
      </w:r>
      <w:r w:rsidR="00744A1C">
        <w:rPr>
          <w:rtl/>
          <w:lang w:bidi="fa-IR"/>
        </w:rPr>
        <w:t xml:space="preserve"> : « عليّ ».</w:t>
      </w:r>
    </w:p>
    <w:p w:rsidR="006A5060" w:rsidRDefault="006A5060" w:rsidP="00D10E3C">
      <w:pPr>
        <w:pStyle w:val="libNormal"/>
        <w:rPr>
          <w:rtl/>
          <w:lang w:bidi="fa-IR"/>
        </w:rPr>
      </w:pPr>
      <w:r>
        <w:rPr>
          <w:rtl/>
          <w:lang w:bidi="fa-IR"/>
        </w:rPr>
        <w:br w:type="page"/>
      </w:r>
    </w:p>
    <w:p w:rsidR="00144FA6" w:rsidRDefault="00744A1C" w:rsidP="006D4BC7">
      <w:pPr>
        <w:pStyle w:val="libNormal0"/>
        <w:rPr>
          <w:rtl/>
          <w:lang w:bidi="fa-IR"/>
        </w:rPr>
      </w:pPr>
      <w:r>
        <w:rPr>
          <w:rtl/>
          <w:lang w:bidi="fa-IR"/>
        </w:rPr>
        <w:t xml:space="preserve">تَقُولُ </w:t>
      </w:r>
      <w:r w:rsidRPr="00D10E3C">
        <w:rPr>
          <w:rStyle w:val="libFootnotenumChar"/>
          <w:rtl/>
        </w:rPr>
        <w:t>(1)</w:t>
      </w:r>
      <w:r>
        <w:rPr>
          <w:rtl/>
          <w:lang w:bidi="fa-IR"/>
        </w:rPr>
        <w:t xml:space="preserve"> : يُؤْكَلُ </w:t>
      </w:r>
      <w:r w:rsidRPr="00D10E3C">
        <w:rPr>
          <w:rStyle w:val="libFootnotenumChar"/>
          <w:rtl/>
        </w:rPr>
        <w:t>(2)</w:t>
      </w:r>
      <w:r>
        <w:rPr>
          <w:rtl/>
          <w:lang w:bidi="fa-IR"/>
        </w:rPr>
        <w:t xml:space="preserve"> مِنْ طَعَامِهِمْ ، وَيُشْرَبُ </w:t>
      </w:r>
      <w:r w:rsidRPr="00D10E3C">
        <w:rPr>
          <w:rStyle w:val="libFootnotenumChar"/>
          <w:rtl/>
        </w:rPr>
        <w:t>(3)</w:t>
      </w:r>
      <w:r>
        <w:rPr>
          <w:rtl/>
          <w:lang w:bidi="fa-IR"/>
        </w:rPr>
        <w:t xml:space="preserve"> مِنْ شَرَابِهِمْ ، وَيُسْتَظَلُّ بِظِلِّهِمْ ، مَتى كَانَتِ الشِّيعَةُ تَسْأَلُ عَنْ هذَا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 xml:space="preserve">8508 / 3. عِدَّةٌ مِنْ أَصْحَابِنَا ، عَنْ سَهْلِ بْنِ زِيَادٍ ، عَنِ ابْنِ مَحْبُوبٍ ، عَنْ حَدِيدٍ </w:t>
      </w:r>
      <w:r w:rsidRPr="00D10E3C">
        <w:rPr>
          <w:rStyle w:val="libFootnotenumChar"/>
          <w:rtl/>
        </w:rPr>
        <w:t>(6)</w:t>
      </w:r>
      <w:r w:rsidR="006D4BC7">
        <w:rPr>
          <w:rtl/>
          <w:lang w:bidi="fa-IR"/>
        </w:rPr>
        <w:t xml:space="preserve"> ، قَالَ</w:t>
      </w:r>
      <w:r>
        <w:rPr>
          <w:rtl/>
          <w:lang w:bidi="fa-IR"/>
        </w:rPr>
        <w:t>:</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اتَّقُوا اللهَ ، وَصُونُوا دِينَكُمْ بِالْوَرَعِ ، وَقَوُّوهُ بِالتَّقِيَّةِ </w:t>
      </w:r>
      <w:r w:rsidRPr="00D10E3C">
        <w:rPr>
          <w:rStyle w:val="libFootnotenumChar"/>
          <w:rtl/>
        </w:rPr>
        <w:t>(7)</w:t>
      </w:r>
      <w:r>
        <w:rPr>
          <w:rtl/>
          <w:lang w:bidi="fa-IR"/>
        </w:rPr>
        <w:t xml:space="preserve"> وَالا</w:t>
      </w:r>
      <w:r w:rsidR="006D4BC7">
        <w:rPr>
          <w:rFonts w:hint="cs"/>
          <w:rtl/>
          <w:lang w:bidi="fa-IR"/>
        </w:rPr>
        <w:t>ِ</w:t>
      </w:r>
      <w:r>
        <w:rPr>
          <w:rtl/>
          <w:lang w:bidi="fa-IR"/>
        </w:rPr>
        <w:t xml:space="preserve">سْتِغْنَاءِ بِاللهِ عَزَّ وَجَلَّ </w:t>
      </w:r>
      <w:r w:rsidRPr="00D10E3C">
        <w:rPr>
          <w:rStyle w:val="libFootnotenumChar"/>
          <w:rtl/>
        </w:rPr>
        <w:t>(8)</w:t>
      </w:r>
      <w:r>
        <w:rPr>
          <w:rtl/>
          <w:lang w:bidi="fa-IR"/>
        </w:rPr>
        <w:t xml:space="preserve"> ، إِنَّهُ مَنْ خَضَعَ لِصَاحِبِ سُلْطَانٍ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6D4BC7" w:rsidTr="006D4BC7">
        <w:tc>
          <w:tcPr>
            <w:tcW w:w="4006" w:type="dxa"/>
          </w:tcPr>
          <w:p w:rsidR="006D4BC7" w:rsidRDefault="006D4BC7" w:rsidP="00D10E3C">
            <w:pPr>
              <w:pStyle w:val="libFootnote0"/>
              <w:rPr>
                <w:rtl/>
                <w:lang w:bidi="fa-IR"/>
              </w:rPr>
            </w:pPr>
            <w:r>
              <w:rPr>
                <w:rtl/>
                <w:lang w:bidi="fa-IR"/>
              </w:rPr>
              <w:t>(1). في « بس » : « يقول ».</w:t>
            </w:r>
          </w:p>
        </w:tc>
        <w:tc>
          <w:tcPr>
            <w:tcW w:w="4006" w:type="dxa"/>
          </w:tcPr>
          <w:p w:rsidR="006D4BC7" w:rsidRDefault="006D4BC7" w:rsidP="00D10E3C">
            <w:pPr>
              <w:pStyle w:val="libFootnote0"/>
              <w:rPr>
                <w:rtl/>
                <w:lang w:bidi="fa-IR"/>
              </w:rPr>
            </w:pPr>
            <w:r>
              <w:rPr>
                <w:rtl/>
                <w:lang w:bidi="fa-IR"/>
              </w:rPr>
              <w:t>(2). في «بس» : «أيؤكل». وفي « بف » : «تؤكل ».</w:t>
            </w:r>
          </w:p>
        </w:tc>
      </w:tr>
    </w:tbl>
    <w:p w:rsidR="00744A1C" w:rsidRDefault="00E378DD" w:rsidP="00E378DD">
      <w:pPr>
        <w:pStyle w:val="libFootnote0"/>
        <w:rPr>
          <w:lang w:bidi="fa-IR"/>
        </w:rPr>
      </w:pPr>
      <w:r>
        <w:rPr>
          <w:rtl/>
          <w:lang w:bidi="fa-IR"/>
        </w:rPr>
        <w:t>(3).</w:t>
      </w:r>
      <w:r w:rsidR="00744A1C">
        <w:rPr>
          <w:rtl/>
          <w:lang w:bidi="fa-IR"/>
        </w:rPr>
        <w:t xml:space="preserve"> في « بف » : « وتشرب ».</w:t>
      </w:r>
    </w:p>
    <w:p w:rsidR="00744A1C" w:rsidRDefault="00E378DD" w:rsidP="00E378DD">
      <w:pPr>
        <w:pStyle w:val="libFootnote0"/>
        <w:rPr>
          <w:lang w:bidi="fa-IR"/>
        </w:rPr>
      </w:pPr>
      <w:r>
        <w:rPr>
          <w:rtl/>
          <w:lang w:bidi="fa-IR"/>
        </w:rPr>
        <w:t>(4).</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متى كانت الشيعة تسأل عن هذا ، تدلّ على قبح عمل السلطان عندهم ، وشدّة تورّعهم عنه واحترازهم ، وكون حرمته عندهم واضحاً مفروغاً عنه. ولا ريب أنّ تجويز الدخول في عملهم يستلزم تجويز ارتكاب ما لا ينفكّ عملهم عنه ممّا لا يجوز في مذهبنا ويكون في مذهبهم حقّاً وعدلاً ، كأخذ الزكاة من مال التجارة والحبوب والعسل إجباراً وإنقاذ أحكام قضاتهم وأمثال ذلك.</w:t>
      </w:r>
    </w:p>
    <w:p w:rsidR="00744A1C" w:rsidRDefault="00744A1C" w:rsidP="00D10E3C">
      <w:pPr>
        <w:pStyle w:val="libFootnote0"/>
        <w:rPr>
          <w:lang w:bidi="fa-IR"/>
        </w:rPr>
      </w:pPr>
      <w:r>
        <w:rPr>
          <w:rtl/>
          <w:lang w:bidi="fa-IR"/>
        </w:rPr>
        <w:t>وما ذكره فقهاؤنا من جواز الولاية من قبلهم محمول على ما لم يستلزم ارتكاب محرّم ، بل مخصوص بما إذا تمكّن من إجراء الحقّ ودفع الظالم وإغاثة المظلومين وقضاء حوائج الإخوان. وعليه يحمل تولّي أكابر الشيعة أعمالهم ، كعليّ بن يقطين والنجاشي والقاضي ابن البرّاج والقاضي نور الله التستري وغيرهم ، فضلاً عمّن تولّى قبل ذلك ، كسلمان الفارسيّ ، وبذلك يجمع بين الأخبار المختلفة. فالمنع محمول على الغالب من عدم التمكّن من الاحتراز عن المحرّمات</w:t>
      </w:r>
      <w:r w:rsidR="00A97BB1">
        <w:rPr>
          <w:rtl/>
          <w:lang w:bidi="fa-IR"/>
        </w:rPr>
        <w:t xml:space="preserve"> والجواز على القادر ، قال العل</w:t>
      </w:r>
      <w:r w:rsidR="00A97BB1">
        <w:rPr>
          <w:rFonts w:hint="cs"/>
          <w:rtl/>
          <w:lang w:bidi="fa-IR"/>
        </w:rPr>
        <w:t>ّ</w:t>
      </w:r>
      <w:r w:rsidR="00A97BB1">
        <w:rPr>
          <w:rtl/>
          <w:lang w:bidi="fa-IR"/>
        </w:rPr>
        <w:t>ا</w:t>
      </w:r>
      <w:r>
        <w:rPr>
          <w:rtl/>
          <w:lang w:bidi="fa-IR"/>
        </w:rPr>
        <w:t>مة في القواعد : ولا يجوز قبول الولاية من قبل الظالم إلاّ إذا عرف من نفسه التمكّن من الحكم بالحقّ ، فإن لم يعلم لم يحلّ إلاّمع الإلزام ، فيجوز تقيّة ». وراجع : قواعد الأحكام ، ج 3 ، ص 420.</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330 ، ح 917 ، معلّقاً عن الكليني. </w:t>
      </w:r>
      <w:r w:rsidR="00744A1C" w:rsidRPr="00A97BB1">
        <w:rPr>
          <w:rStyle w:val="libFootnoteBoldChar"/>
          <w:rtl/>
        </w:rPr>
        <w:t>رجال الكشّي</w:t>
      </w:r>
      <w:r w:rsidR="00744A1C">
        <w:rPr>
          <w:rtl/>
          <w:lang w:bidi="fa-IR"/>
        </w:rPr>
        <w:t xml:space="preserve"> ، ص 152 ، ح 247 ، بسنده عن ابن أبي عمير </w:t>
      </w:r>
      <w:r w:rsidR="00A97BB1">
        <w:rPr>
          <w:rFonts w:hint="cs"/>
          <w:rtl/>
          <w:lang w:bidi="fa-IR"/>
        </w:rPr>
        <w:t>.</w:t>
      </w:r>
      <w:r w:rsidR="00744A1C" w:rsidRPr="00C24F9C">
        <w:rPr>
          <w:rStyle w:val="libFootnoteBoldChar"/>
          <w:rtl/>
        </w:rPr>
        <w:t>الوافي</w:t>
      </w:r>
      <w:r w:rsidR="00744A1C">
        <w:rPr>
          <w:rtl/>
          <w:lang w:bidi="fa-IR"/>
        </w:rPr>
        <w:t xml:space="preserve"> ، ج 17 ، ص 151 ، ح 17029 ؛ </w:t>
      </w:r>
      <w:r w:rsidR="00744A1C" w:rsidRPr="00C24F9C">
        <w:rPr>
          <w:rStyle w:val="libFootnoteBoldChar"/>
          <w:rtl/>
        </w:rPr>
        <w:t>الوسائل</w:t>
      </w:r>
      <w:r w:rsidR="00744A1C">
        <w:rPr>
          <w:rtl/>
          <w:lang w:bidi="fa-IR"/>
        </w:rPr>
        <w:t xml:space="preserve"> ، ج 17 ، ص 187 ، ح 22214.</w:t>
      </w:r>
    </w:p>
    <w:p w:rsidR="00744A1C" w:rsidRDefault="00E378DD" w:rsidP="00E378DD">
      <w:pPr>
        <w:pStyle w:val="libFootnote0"/>
        <w:rPr>
          <w:lang w:bidi="fa-IR"/>
        </w:rPr>
      </w:pPr>
      <w:r>
        <w:rPr>
          <w:rtl/>
          <w:lang w:bidi="fa-IR"/>
        </w:rPr>
        <w:t>(6).</w:t>
      </w:r>
      <w:r w:rsidR="00744A1C">
        <w:rPr>
          <w:rtl/>
          <w:lang w:bidi="fa-IR"/>
        </w:rPr>
        <w:t xml:space="preserve"> في </w:t>
      </w:r>
      <w:r w:rsidR="00744A1C" w:rsidRPr="00A97BB1">
        <w:rPr>
          <w:rtl/>
        </w:rPr>
        <w:t>الوسائل</w:t>
      </w:r>
      <w:r w:rsidR="00744A1C">
        <w:rPr>
          <w:rtl/>
          <w:lang w:bidi="fa-IR"/>
        </w:rPr>
        <w:t xml:space="preserve"> : « حريز ». وهو سهو ؛ فقد تقدّم صدر الخبر في </w:t>
      </w:r>
      <w:r w:rsidR="00744A1C" w:rsidRPr="0061079A">
        <w:rPr>
          <w:rStyle w:val="libFootnoteBoldChar"/>
          <w:rtl/>
        </w:rPr>
        <w:t>الكافي</w:t>
      </w:r>
      <w:r w:rsidR="00744A1C">
        <w:rPr>
          <w:rtl/>
          <w:lang w:bidi="fa-IR"/>
        </w:rPr>
        <w:t xml:space="preserve"> ، ح 1629 عن الحسن بن محبوب عن حديد بن حكيم. وورد خبرنا هذا - باختلاف في بعض الألفاظ - في </w:t>
      </w:r>
      <w:r w:rsidR="00744A1C" w:rsidRPr="00A97BB1">
        <w:rPr>
          <w:rStyle w:val="libFootnoteBoldChar"/>
          <w:rtl/>
        </w:rPr>
        <w:t>ثواب الأعمال</w:t>
      </w:r>
      <w:r w:rsidR="00744A1C">
        <w:rPr>
          <w:rtl/>
          <w:lang w:bidi="fa-IR"/>
        </w:rPr>
        <w:t xml:space="preserve"> ، ص 294 ، ح 1 عن الحسن بن محبوب عن حديد المدائني ، وفي </w:t>
      </w:r>
      <w:r w:rsidR="00744A1C" w:rsidRPr="006368D2">
        <w:rPr>
          <w:rStyle w:val="libFootnoteBoldChar"/>
          <w:rtl/>
        </w:rPr>
        <w:t>الأمالي للمفيد</w:t>
      </w:r>
      <w:r w:rsidR="00744A1C">
        <w:rPr>
          <w:rtl/>
          <w:lang w:bidi="fa-IR"/>
        </w:rPr>
        <w:t xml:space="preserve"> ، ص 99 ، ح 2 عن الحسن بن محبوب عن حديد بن حكيم الأزدي.</w:t>
      </w:r>
    </w:p>
    <w:p w:rsidR="00744A1C" w:rsidRDefault="00744A1C" w:rsidP="00D10E3C">
      <w:pPr>
        <w:pStyle w:val="libFootnote0"/>
        <w:rPr>
          <w:lang w:bidi="fa-IR"/>
        </w:rPr>
      </w:pPr>
      <w:r>
        <w:rPr>
          <w:rtl/>
          <w:lang w:bidi="fa-IR"/>
        </w:rPr>
        <w:t>وأضف إلى ذلك كلّه أنّا لم نجد في شي‌ءٍ من الأسناد رواية ابن محبوب عمّن يسمّى بحريز.</w:t>
      </w:r>
    </w:p>
    <w:p w:rsidR="00744A1C" w:rsidRDefault="00E378DD" w:rsidP="00E378DD">
      <w:pPr>
        <w:pStyle w:val="libFootnote0"/>
        <w:rPr>
          <w:lang w:bidi="fa-IR"/>
        </w:rPr>
      </w:pPr>
      <w:r>
        <w:rPr>
          <w:rtl/>
          <w:lang w:bidi="fa-IR"/>
        </w:rPr>
        <w:t>(7).</w:t>
      </w:r>
      <w:r w:rsidR="00744A1C">
        <w:rPr>
          <w:rtl/>
          <w:lang w:bidi="fa-IR"/>
        </w:rPr>
        <w:t xml:space="preserve"> في الثواب : « وقوّة التقى » بدل « وقوّوه بالتقيّة ».</w:t>
      </w:r>
    </w:p>
    <w:p w:rsidR="00744A1C" w:rsidRDefault="00E378DD" w:rsidP="00E378DD">
      <w:pPr>
        <w:pStyle w:val="libFootnote0"/>
        <w:rPr>
          <w:lang w:bidi="fa-IR"/>
        </w:rPr>
      </w:pPr>
      <w:r>
        <w:rPr>
          <w:rtl/>
          <w:lang w:bidi="fa-IR"/>
        </w:rPr>
        <w:t>(8).</w:t>
      </w:r>
      <w:r w:rsidR="00744A1C">
        <w:rPr>
          <w:rtl/>
          <w:lang w:bidi="fa-IR"/>
        </w:rPr>
        <w:t xml:space="preserve"> في الثواب </w:t>
      </w:r>
      <w:r w:rsidR="00744A1C" w:rsidRPr="00A97BB1">
        <w:rPr>
          <w:rtl/>
        </w:rPr>
        <w:t>والأمالي للمفيد</w:t>
      </w:r>
      <w:r w:rsidR="00744A1C">
        <w:rPr>
          <w:rtl/>
          <w:lang w:bidi="fa-IR"/>
        </w:rPr>
        <w:t xml:space="preserve"> : + « عن طلب الحوائج من السلطان ، واعلموا ». في </w:t>
      </w:r>
      <w:r w:rsidR="00744A1C" w:rsidRPr="00A97BB1">
        <w:rPr>
          <w:rtl/>
        </w:rPr>
        <w:t>التهذيب</w:t>
      </w:r>
      <w:r w:rsidR="00744A1C">
        <w:rPr>
          <w:rtl/>
          <w:lang w:bidi="fa-IR"/>
        </w:rPr>
        <w:t xml:space="preserve"> والأمالي+ « عن طلب الحوائج إلى صاحب السلطان ( في الأمالي+ الدنيا ) واعلم ».</w:t>
      </w:r>
    </w:p>
    <w:p w:rsidR="006A5060" w:rsidRDefault="006A5060" w:rsidP="00D10E3C">
      <w:pPr>
        <w:pStyle w:val="libNormal"/>
        <w:rPr>
          <w:rtl/>
          <w:lang w:bidi="fa-IR"/>
        </w:rPr>
      </w:pPr>
      <w:r>
        <w:rPr>
          <w:rtl/>
          <w:lang w:bidi="fa-IR"/>
        </w:rPr>
        <w:br w:type="page"/>
      </w:r>
    </w:p>
    <w:p w:rsidR="00144FA6" w:rsidRDefault="00744A1C" w:rsidP="00A97BB1">
      <w:pPr>
        <w:pStyle w:val="libNormal0"/>
        <w:rPr>
          <w:rtl/>
          <w:lang w:bidi="fa-IR"/>
        </w:rPr>
      </w:pPr>
      <w:r>
        <w:rPr>
          <w:rtl/>
          <w:lang w:bidi="fa-IR"/>
        </w:rPr>
        <w:t xml:space="preserve">وَلِمَنْ </w:t>
      </w:r>
      <w:r w:rsidRPr="00D10E3C">
        <w:rPr>
          <w:rStyle w:val="libFootnotenumChar"/>
          <w:rtl/>
        </w:rPr>
        <w:t>(1)</w:t>
      </w:r>
      <w:r>
        <w:rPr>
          <w:rtl/>
          <w:lang w:bidi="fa-IR"/>
        </w:rPr>
        <w:t xml:space="preserve"> يُخَالِفُهُ </w:t>
      </w:r>
      <w:r w:rsidRPr="00D10E3C">
        <w:rPr>
          <w:rStyle w:val="libFootnotenumChar"/>
          <w:rtl/>
        </w:rPr>
        <w:t>(2)</w:t>
      </w:r>
      <w:r>
        <w:rPr>
          <w:rtl/>
          <w:lang w:bidi="fa-IR"/>
        </w:rPr>
        <w:t xml:space="preserve"> عَلى دِينِهِ ؛ طَلَباً لِمَا فِي يَدَيْهِ مِنْ دُنْيَاهُ ، أَخْمَلَهُ اللهُ عَزَّ وَجَلَّ </w:t>
      </w:r>
      <w:r w:rsidRPr="00D10E3C">
        <w:rPr>
          <w:rStyle w:val="libFootnotenumChar"/>
          <w:rtl/>
        </w:rPr>
        <w:t>(3)</w:t>
      </w:r>
      <w:r>
        <w:rPr>
          <w:rtl/>
          <w:lang w:bidi="fa-IR"/>
        </w:rPr>
        <w:t xml:space="preserve"> ، وَمَقَّتَهُ </w:t>
      </w:r>
      <w:r w:rsidRPr="00D10E3C">
        <w:rPr>
          <w:rStyle w:val="libFootnotenumChar"/>
          <w:rtl/>
        </w:rPr>
        <w:t>(4)</w:t>
      </w:r>
      <w:r>
        <w:rPr>
          <w:rtl/>
          <w:lang w:bidi="fa-IR"/>
        </w:rPr>
        <w:t xml:space="preserve"> عَلَيْهِ ، وَوَكَلَهُ إِلَيْهِ </w:t>
      </w:r>
      <w:r w:rsidRPr="00D10E3C">
        <w:rPr>
          <w:rStyle w:val="libFootnotenumChar"/>
          <w:rtl/>
        </w:rPr>
        <w:t>(5)</w:t>
      </w:r>
      <w:r>
        <w:rPr>
          <w:rtl/>
          <w:lang w:bidi="fa-IR"/>
        </w:rPr>
        <w:t xml:space="preserve"> ، فَإِنْ </w:t>
      </w:r>
      <w:r w:rsidRPr="00D10E3C">
        <w:rPr>
          <w:rStyle w:val="libFootnotenumChar"/>
          <w:rtl/>
        </w:rPr>
        <w:t>(6)</w:t>
      </w:r>
      <w:r>
        <w:rPr>
          <w:rtl/>
          <w:lang w:bidi="fa-IR"/>
        </w:rPr>
        <w:t xml:space="preserve"> هُوَ غَلَبَ عَلى شَيْ‌ءٍ مِنْ دُنْيَاهُ ، فَصَارَ إِلَيْهِ مِنْهُ شَيْ‌ءٌ ، نَزَعَ اللهُ - جَلَّ وَعَزَّ اسْمُهُ - الْبَرَكَةَ مِنْهُ </w:t>
      </w:r>
      <w:r w:rsidRPr="00D10E3C">
        <w:rPr>
          <w:rStyle w:val="libFootnotenumChar"/>
          <w:rtl/>
        </w:rPr>
        <w:t>(7)</w:t>
      </w:r>
      <w:r>
        <w:rPr>
          <w:rtl/>
          <w:lang w:bidi="fa-IR"/>
        </w:rPr>
        <w:t xml:space="preserve"> ، وَلَمْ يَأْجُرْهُ عَلى شَيْ‌ءٍ </w:t>
      </w:r>
      <w:r w:rsidRPr="00D10E3C">
        <w:rPr>
          <w:rStyle w:val="libFootnotenumChar"/>
          <w:rtl/>
        </w:rPr>
        <w:t>(8)</w:t>
      </w:r>
      <w:r>
        <w:rPr>
          <w:rtl/>
          <w:lang w:bidi="fa-IR"/>
        </w:rPr>
        <w:t xml:space="preserve"> يُنْفِقُهُ </w:t>
      </w:r>
      <w:r w:rsidRPr="00D10E3C">
        <w:rPr>
          <w:rStyle w:val="libFootnotenumChar"/>
          <w:rtl/>
        </w:rPr>
        <w:t>(9)</w:t>
      </w:r>
      <w:r>
        <w:rPr>
          <w:rtl/>
          <w:lang w:bidi="fa-IR"/>
        </w:rPr>
        <w:t xml:space="preserve"> فِي حَجٍّ </w:t>
      </w:r>
      <w:r w:rsidRPr="00D10E3C">
        <w:rPr>
          <w:rStyle w:val="libFootnotenumChar"/>
          <w:rtl/>
        </w:rPr>
        <w:t>(10)</w:t>
      </w:r>
      <w:r>
        <w:rPr>
          <w:rtl/>
          <w:lang w:bidi="fa-IR"/>
        </w:rPr>
        <w:t xml:space="preserve"> ، وَلَا عِتْقِ رَقَبَةٍ </w:t>
      </w:r>
      <w:r w:rsidRPr="00D10E3C">
        <w:rPr>
          <w:rStyle w:val="libFootnotenumChar"/>
          <w:rtl/>
        </w:rPr>
        <w:t>(11)</w:t>
      </w:r>
      <w:r>
        <w:rPr>
          <w:rtl/>
          <w:lang w:bidi="fa-IR"/>
        </w:rPr>
        <w:t xml:space="preserve"> ، وَلَابِرٍّ ». </w:t>
      </w:r>
      <w:r w:rsidRPr="00D10E3C">
        <w:rPr>
          <w:rStyle w:val="libFootnotenumChar"/>
          <w:rtl/>
        </w:rPr>
        <w:t>(12)</w:t>
      </w:r>
    </w:p>
    <w:p w:rsidR="00144FA6" w:rsidRDefault="00744A1C" w:rsidP="00744A1C">
      <w:pPr>
        <w:pStyle w:val="libNormal"/>
        <w:rPr>
          <w:rtl/>
          <w:lang w:bidi="fa-IR"/>
        </w:rPr>
      </w:pPr>
      <w:r>
        <w:rPr>
          <w:rtl/>
          <w:lang w:bidi="fa-IR"/>
        </w:rPr>
        <w:t>8509 / 4. عَلِيُّ بْنُ مُحَمَّدِ بْنِ بُنْدَارَ ، عَنْ إِبْرَاهِيمَ بْنِ إِسْحَاقَ ، عَنْ عَبْدِ اللهِ بْنِ حَمَّادٍ ، عَنْ عَلِيِّ بْنِ أَبِي حَمْزَةَ ، قَالَ :</w:t>
      </w:r>
    </w:p>
    <w:p w:rsidR="00144FA6" w:rsidRDefault="00744A1C" w:rsidP="00744A1C">
      <w:pPr>
        <w:pStyle w:val="libNormal"/>
        <w:rPr>
          <w:rtl/>
          <w:lang w:bidi="fa-IR"/>
        </w:rPr>
      </w:pPr>
      <w:r>
        <w:rPr>
          <w:rtl/>
          <w:lang w:bidi="fa-IR"/>
        </w:rPr>
        <w:t xml:space="preserve">كَانَ لِي صَدِيقٌ مِنْ كُتَّابِ بَنِي أُمَيَّةَ ، فَقَالَ لِي : اسْتَأْذِنْ لِي </w:t>
      </w:r>
      <w:r w:rsidRPr="00D10E3C">
        <w:rPr>
          <w:rStyle w:val="libFootnotenumChar"/>
          <w:rtl/>
        </w:rPr>
        <w:t>(13)</w:t>
      </w:r>
      <w:r>
        <w:rPr>
          <w:rtl/>
          <w:lang w:bidi="fa-IR"/>
        </w:rPr>
        <w:t xml:space="preserve"> عَلى </w:t>
      </w:r>
      <w:r w:rsidRPr="00D10E3C">
        <w:rPr>
          <w:rStyle w:val="libFootnotenumChar"/>
          <w:rtl/>
        </w:rPr>
        <w:t>(14)</w:t>
      </w:r>
      <w:r>
        <w:rPr>
          <w:rtl/>
          <w:lang w:bidi="fa-IR"/>
        </w:rPr>
        <w:t xml:space="preserve"> أَبِي عَبْدِ اللهِ </w:t>
      </w:r>
      <w:r w:rsidR="0061079A" w:rsidRPr="0061079A">
        <w:rPr>
          <w:rStyle w:val="libAlaemChar"/>
          <w:rtl/>
        </w:rPr>
        <w:t>عليه‌السلام</w:t>
      </w:r>
      <w:r w:rsidR="00D10E3C">
        <w:rPr>
          <w:rtl/>
          <w:lang w:bidi="fa-IR"/>
        </w:rPr>
        <w:t xml:space="preserve"> </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A97BB1">
        <w:rPr>
          <w:rtl/>
        </w:rPr>
        <w:t>الوافي والتهذيب</w:t>
      </w:r>
      <w:r w:rsidR="00744A1C">
        <w:rPr>
          <w:rtl/>
          <w:lang w:bidi="fa-IR"/>
        </w:rPr>
        <w:t xml:space="preserve"> والثواب </w:t>
      </w:r>
      <w:r w:rsidR="00744A1C" w:rsidRPr="00A97BB1">
        <w:rPr>
          <w:rtl/>
        </w:rPr>
        <w:t>والأمالي للمفيد</w:t>
      </w:r>
      <w:r w:rsidR="00744A1C">
        <w:rPr>
          <w:rtl/>
          <w:lang w:bidi="fa-IR"/>
        </w:rPr>
        <w:t xml:space="preserve"> : « أو لمن ».</w:t>
      </w:r>
    </w:p>
    <w:p w:rsidR="00744A1C" w:rsidRDefault="00E378DD" w:rsidP="00E378DD">
      <w:pPr>
        <w:pStyle w:val="libFootnote0"/>
        <w:rPr>
          <w:lang w:bidi="fa-IR"/>
        </w:rPr>
      </w:pPr>
      <w:r>
        <w:rPr>
          <w:rtl/>
          <w:lang w:bidi="fa-IR"/>
        </w:rPr>
        <w:t>(2).</w:t>
      </w:r>
      <w:r w:rsidR="00744A1C">
        <w:rPr>
          <w:rtl/>
          <w:lang w:bidi="fa-IR"/>
        </w:rPr>
        <w:t xml:space="preserve"> في « ط » : « ولم يخافه » بدل « ولمن يخالفه ».</w:t>
      </w:r>
    </w:p>
    <w:p w:rsidR="00744A1C" w:rsidRDefault="00E378DD" w:rsidP="00E378DD">
      <w:pPr>
        <w:pStyle w:val="libFootnote0"/>
        <w:rPr>
          <w:lang w:bidi="fa-IR"/>
        </w:rPr>
      </w:pPr>
      <w:r>
        <w:rPr>
          <w:rtl/>
          <w:lang w:bidi="fa-IR"/>
        </w:rPr>
        <w:t>(3).</w:t>
      </w:r>
      <w:r w:rsidR="00744A1C">
        <w:rPr>
          <w:rtl/>
          <w:lang w:bidi="fa-IR"/>
        </w:rPr>
        <w:t xml:space="preserve"> « أخمله الله عزّ وجلّ » أي أسقطه فهو خامل ، أي خفيّ ساقط لا نباهة له. راجع : </w:t>
      </w:r>
      <w:r w:rsidR="00744A1C" w:rsidRPr="00E978C3">
        <w:rPr>
          <w:rStyle w:val="libFootnoteBoldChar"/>
          <w:rtl/>
        </w:rPr>
        <w:t>الصحاح</w:t>
      </w:r>
      <w:r w:rsidR="00744A1C">
        <w:rPr>
          <w:rtl/>
          <w:lang w:bidi="fa-IR"/>
        </w:rPr>
        <w:t xml:space="preserve"> ، ج 4 ، ص 1690 ( خمل ).</w:t>
      </w:r>
    </w:p>
    <w:p w:rsidR="00744A1C" w:rsidRDefault="00E378DD" w:rsidP="00E378DD">
      <w:pPr>
        <w:pStyle w:val="libFootnote0"/>
        <w:rPr>
          <w:lang w:bidi="fa-IR"/>
        </w:rPr>
      </w:pPr>
      <w:r>
        <w:rPr>
          <w:rtl/>
          <w:lang w:bidi="fa-IR"/>
        </w:rPr>
        <w:t>(4).</w:t>
      </w:r>
      <w:r w:rsidR="00744A1C">
        <w:rPr>
          <w:rtl/>
          <w:lang w:bidi="fa-IR"/>
        </w:rPr>
        <w:t xml:space="preserve"> « مقّته » أي أبغضه أشدّ الإبغاض عن أمر قبيح ، وكذلك مقته من باب قتل. راجع : </w:t>
      </w:r>
      <w:r w:rsidR="00744A1C" w:rsidRPr="00877682">
        <w:rPr>
          <w:rStyle w:val="libFootnoteBoldChar"/>
          <w:rtl/>
        </w:rPr>
        <w:t>لسان العرب</w:t>
      </w:r>
      <w:r w:rsidR="00744A1C">
        <w:rPr>
          <w:rtl/>
          <w:lang w:bidi="fa-IR"/>
        </w:rPr>
        <w:t xml:space="preserve"> ، ج 2 ، ص 90 ( مقت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ووكله إليه ، أي إلى السلطان ، أو إلى نفسه ».</w:t>
      </w:r>
    </w:p>
    <w:p w:rsidR="00744A1C" w:rsidRDefault="00E378DD" w:rsidP="00E378DD">
      <w:pPr>
        <w:pStyle w:val="libFootnote0"/>
        <w:rPr>
          <w:lang w:bidi="fa-IR"/>
        </w:rPr>
      </w:pPr>
      <w:r>
        <w:rPr>
          <w:rtl/>
          <w:lang w:bidi="fa-IR"/>
        </w:rPr>
        <w:t>(6).</w:t>
      </w:r>
      <w:r w:rsidR="00744A1C">
        <w:rPr>
          <w:rtl/>
          <w:lang w:bidi="fa-IR"/>
        </w:rPr>
        <w:t xml:space="preserve"> في « بخ ، بف » </w:t>
      </w:r>
      <w:r w:rsidR="00744A1C" w:rsidRPr="00A97BB1">
        <w:rPr>
          <w:rtl/>
        </w:rPr>
        <w:t>والوافي</w:t>
      </w:r>
      <w:r w:rsidR="00744A1C">
        <w:rPr>
          <w:rtl/>
          <w:lang w:bidi="fa-IR"/>
        </w:rPr>
        <w:t xml:space="preserve"> : « فإذا ». وفي « ط » : « وإن ».</w:t>
      </w:r>
    </w:p>
    <w:p w:rsidR="00744A1C" w:rsidRDefault="00E378DD" w:rsidP="00E378DD">
      <w:pPr>
        <w:pStyle w:val="libFootnote0"/>
        <w:rPr>
          <w:lang w:bidi="fa-IR"/>
        </w:rPr>
      </w:pPr>
      <w:r>
        <w:rPr>
          <w:rtl/>
          <w:lang w:bidi="fa-IR"/>
        </w:rPr>
        <w:t>(7).</w:t>
      </w:r>
      <w:r w:rsidR="00744A1C">
        <w:rPr>
          <w:rtl/>
          <w:lang w:bidi="fa-IR"/>
        </w:rPr>
        <w:t xml:space="preserve"> في « بخ ، بف » </w:t>
      </w:r>
      <w:r w:rsidR="00744A1C" w:rsidRPr="00A97BB1">
        <w:rPr>
          <w:rtl/>
        </w:rPr>
        <w:t>والوافي</w:t>
      </w:r>
      <w:r w:rsidR="00744A1C">
        <w:rPr>
          <w:rtl/>
          <w:lang w:bidi="fa-IR"/>
        </w:rPr>
        <w:t xml:space="preserve"> : « منه البركة ».</w:t>
      </w:r>
    </w:p>
    <w:p w:rsidR="00744A1C" w:rsidRDefault="00E378DD" w:rsidP="00E378DD">
      <w:pPr>
        <w:pStyle w:val="libFootnote0"/>
        <w:rPr>
          <w:lang w:bidi="fa-IR"/>
        </w:rPr>
      </w:pPr>
      <w:r>
        <w:rPr>
          <w:rtl/>
          <w:lang w:bidi="fa-IR"/>
        </w:rPr>
        <w:t>(8).</w:t>
      </w:r>
      <w:r w:rsidR="00744A1C">
        <w:rPr>
          <w:rtl/>
          <w:lang w:bidi="fa-IR"/>
        </w:rPr>
        <w:t xml:space="preserve"> في </w:t>
      </w:r>
      <w:r w:rsidR="00744A1C" w:rsidRPr="00A97BB1">
        <w:rPr>
          <w:rtl/>
        </w:rPr>
        <w:t>الوسائل</w:t>
      </w:r>
      <w:r w:rsidR="00744A1C">
        <w:rPr>
          <w:rtl/>
          <w:lang w:bidi="fa-IR"/>
        </w:rPr>
        <w:t xml:space="preserve"> : + « منه ».</w:t>
      </w:r>
    </w:p>
    <w:p w:rsidR="00744A1C" w:rsidRDefault="00E378DD" w:rsidP="00E378DD">
      <w:pPr>
        <w:pStyle w:val="libFootnote0"/>
        <w:rPr>
          <w:lang w:bidi="fa-IR"/>
        </w:rPr>
      </w:pPr>
      <w:r>
        <w:rPr>
          <w:rtl/>
          <w:lang w:bidi="fa-IR"/>
        </w:rPr>
        <w:t>(9).</w:t>
      </w:r>
      <w:r w:rsidR="00744A1C">
        <w:rPr>
          <w:rtl/>
          <w:lang w:bidi="fa-IR"/>
        </w:rPr>
        <w:t xml:space="preserve"> في « ط ، بخ ، بف ، جت » </w:t>
      </w:r>
      <w:r w:rsidR="00744A1C" w:rsidRPr="00A97BB1">
        <w:rPr>
          <w:rtl/>
        </w:rPr>
        <w:t>والامالي للمفيد</w:t>
      </w:r>
      <w:r w:rsidR="00744A1C">
        <w:rPr>
          <w:rtl/>
          <w:lang w:bidi="fa-IR"/>
        </w:rPr>
        <w:t xml:space="preserve"> : + « منه ».</w:t>
      </w:r>
    </w:p>
    <w:p w:rsidR="00744A1C" w:rsidRDefault="00E378DD" w:rsidP="00E378DD">
      <w:pPr>
        <w:pStyle w:val="libFootnote0"/>
        <w:rPr>
          <w:lang w:bidi="fa-IR"/>
        </w:rPr>
      </w:pPr>
      <w:r>
        <w:rPr>
          <w:rtl/>
          <w:lang w:bidi="fa-IR"/>
        </w:rPr>
        <w:t>(10).</w:t>
      </w:r>
      <w:r w:rsidR="00744A1C">
        <w:rPr>
          <w:rtl/>
          <w:lang w:bidi="fa-IR"/>
        </w:rPr>
        <w:t xml:space="preserve"> في الثواب : + « ولا عمرة ».</w:t>
      </w:r>
    </w:p>
    <w:p w:rsidR="00744A1C" w:rsidRDefault="00E378DD" w:rsidP="00E378DD">
      <w:pPr>
        <w:pStyle w:val="libFootnote0"/>
        <w:rPr>
          <w:lang w:bidi="fa-IR"/>
        </w:rPr>
      </w:pPr>
      <w:r>
        <w:rPr>
          <w:rtl/>
          <w:lang w:bidi="fa-IR"/>
        </w:rPr>
        <w:t>(11).</w:t>
      </w:r>
      <w:r w:rsidR="00744A1C">
        <w:rPr>
          <w:rtl/>
          <w:lang w:bidi="fa-IR"/>
        </w:rPr>
        <w:t xml:space="preserve"> في « ط ، ى ، بح ، بس ، جد ، جن » </w:t>
      </w:r>
      <w:r w:rsidR="00744A1C" w:rsidRPr="00A97BB1">
        <w:rPr>
          <w:rtl/>
        </w:rPr>
        <w:t>والوسائل والأمالي للمفيد</w:t>
      </w:r>
      <w:r w:rsidR="00744A1C">
        <w:rPr>
          <w:rtl/>
          <w:lang w:bidi="fa-IR"/>
        </w:rPr>
        <w:t xml:space="preserve"> : - « رقبة ».</w:t>
      </w:r>
    </w:p>
    <w:p w:rsidR="00744A1C" w:rsidRDefault="00E378DD" w:rsidP="00E378DD">
      <w:pPr>
        <w:pStyle w:val="libFootnote0"/>
        <w:rPr>
          <w:lang w:bidi="fa-IR"/>
        </w:rPr>
      </w:pPr>
      <w:r>
        <w:rPr>
          <w:rtl/>
          <w:lang w:bidi="fa-IR"/>
        </w:rPr>
        <w:t>(12).</w:t>
      </w:r>
      <w:r w:rsidR="00744A1C">
        <w:rPr>
          <w:rtl/>
          <w:lang w:bidi="fa-IR"/>
        </w:rPr>
        <w:t xml:space="preserve"> </w:t>
      </w:r>
      <w:r w:rsidR="00744A1C" w:rsidRPr="0061079A">
        <w:rPr>
          <w:rStyle w:val="libFootnoteBoldChar"/>
          <w:rtl/>
        </w:rPr>
        <w:t>الكافي</w:t>
      </w:r>
      <w:r w:rsidR="00744A1C">
        <w:rPr>
          <w:rtl/>
          <w:lang w:bidi="fa-IR"/>
        </w:rPr>
        <w:t xml:space="preserve"> ، كتاب الإيمان والكفر ، باب الورع ، ح 1629 ، [ إلى قوله : « صونوا دينكم بالورع » ] ؛ </w:t>
      </w:r>
      <w:r w:rsidR="00744A1C" w:rsidRPr="004D054E">
        <w:rPr>
          <w:rStyle w:val="libFootnoteBoldChar"/>
          <w:rtl/>
        </w:rPr>
        <w:t>وثواب الأعمال</w:t>
      </w:r>
      <w:r w:rsidR="00744A1C">
        <w:rPr>
          <w:rtl/>
          <w:lang w:bidi="fa-IR"/>
        </w:rPr>
        <w:t xml:space="preserve"> ، ص 294 ، ح 1 ؛ </w:t>
      </w:r>
      <w:r w:rsidR="00744A1C" w:rsidRPr="00A97BB1">
        <w:rPr>
          <w:rStyle w:val="libFootnoteBoldChar"/>
          <w:rtl/>
        </w:rPr>
        <w:t>والأما</w:t>
      </w:r>
      <w:r w:rsidR="00744A1C" w:rsidRPr="006368D2">
        <w:rPr>
          <w:rStyle w:val="libFootnoteBoldChar"/>
          <w:rtl/>
        </w:rPr>
        <w:t>لي للمفيد</w:t>
      </w:r>
      <w:r w:rsidR="00744A1C">
        <w:rPr>
          <w:rtl/>
          <w:lang w:bidi="fa-IR"/>
        </w:rPr>
        <w:t xml:space="preserve"> ، ص 99 ، المجلس 12 ، ح 2 ، بسند آخر عن الحسن بن محبوب. </w:t>
      </w:r>
      <w:r w:rsidR="00744A1C" w:rsidRPr="00C24F9C">
        <w:rPr>
          <w:rStyle w:val="libFootnoteBoldChar"/>
          <w:rtl/>
        </w:rPr>
        <w:t>التهذيب</w:t>
      </w:r>
      <w:r w:rsidR="00744A1C">
        <w:rPr>
          <w:rtl/>
          <w:lang w:bidi="fa-IR"/>
        </w:rPr>
        <w:t xml:space="preserve"> ، ج 6 ، ص 330 ، ح 914 ، بسند آخر عن الحسن بن محبوب ، عن حريز ، عن أبي عبد الله </w:t>
      </w:r>
      <w:r w:rsidR="0061079A" w:rsidRPr="0061079A">
        <w:rPr>
          <w:rStyle w:val="libFootnoteAlaemChar"/>
          <w:rtl/>
        </w:rPr>
        <w:t>عليه‌السلام</w:t>
      </w:r>
      <w:r w:rsidR="00744A1C">
        <w:rPr>
          <w:rtl/>
          <w:lang w:bidi="fa-IR"/>
        </w:rPr>
        <w:t xml:space="preserve">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367 ، مع اختلاف يسير </w:t>
      </w:r>
      <w:r w:rsidR="00A97BB1">
        <w:rPr>
          <w:rFonts w:hint="cs"/>
          <w:rtl/>
          <w:lang w:bidi="fa-IR"/>
        </w:rPr>
        <w:t>.</w:t>
      </w:r>
      <w:r w:rsidR="00744A1C" w:rsidRPr="00C24F9C">
        <w:rPr>
          <w:rStyle w:val="libFootnoteBoldChar"/>
          <w:rtl/>
        </w:rPr>
        <w:t>الوافي</w:t>
      </w:r>
      <w:r w:rsidR="00744A1C">
        <w:rPr>
          <w:rtl/>
          <w:lang w:bidi="fa-IR"/>
        </w:rPr>
        <w:t xml:space="preserve"> ، ج 17 ، ص 152 ، ح 17030 ؛ </w:t>
      </w:r>
      <w:r w:rsidR="00744A1C" w:rsidRPr="00C24F9C">
        <w:rPr>
          <w:rStyle w:val="libFootnoteBoldChar"/>
          <w:rtl/>
        </w:rPr>
        <w:t>الوسائل</w:t>
      </w:r>
      <w:r w:rsidR="00744A1C">
        <w:rPr>
          <w:rtl/>
          <w:lang w:bidi="fa-IR"/>
        </w:rPr>
        <w:t xml:space="preserve"> ، ج 17 ، ص 178 ، ح 22292.</w:t>
      </w:r>
    </w:p>
    <w:p w:rsidR="00744A1C" w:rsidRDefault="00E378DD" w:rsidP="00E378DD">
      <w:pPr>
        <w:pStyle w:val="libFootnote0"/>
        <w:rPr>
          <w:lang w:bidi="fa-IR"/>
        </w:rPr>
      </w:pPr>
      <w:r>
        <w:rPr>
          <w:rtl/>
          <w:lang w:bidi="fa-IR"/>
        </w:rPr>
        <w:t>(13).</w:t>
      </w:r>
      <w:r w:rsidR="00744A1C">
        <w:rPr>
          <w:rtl/>
          <w:lang w:bidi="fa-IR"/>
        </w:rPr>
        <w:t xml:space="preserve"> في « جن » : - « لي ».</w:t>
      </w:r>
    </w:p>
    <w:p w:rsidR="00744A1C" w:rsidRDefault="00E378DD" w:rsidP="00E378DD">
      <w:pPr>
        <w:pStyle w:val="libFootnote0"/>
        <w:rPr>
          <w:lang w:bidi="fa-IR"/>
        </w:rPr>
      </w:pPr>
      <w:r>
        <w:rPr>
          <w:rtl/>
          <w:lang w:bidi="fa-IR"/>
        </w:rPr>
        <w:t>(14).</w:t>
      </w:r>
      <w:r w:rsidR="00744A1C">
        <w:rPr>
          <w:rtl/>
          <w:lang w:bidi="fa-IR"/>
        </w:rPr>
        <w:t xml:space="preserve"> هكذا في جميع النسخ التي قوبلت</w:t>
      </w:r>
      <w:r w:rsidR="00744A1C" w:rsidRPr="00A97BB1">
        <w:rPr>
          <w:rtl/>
        </w:rPr>
        <w:t xml:space="preserve"> والوافي</w:t>
      </w:r>
      <w:r w:rsidR="00744A1C">
        <w:rPr>
          <w:rtl/>
          <w:lang w:bidi="fa-IR"/>
        </w:rPr>
        <w:t xml:space="preserve"> </w:t>
      </w:r>
      <w:r w:rsidR="00744A1C" w:rsidRPr="00A97BB1">
        <w:rPr>
          <w:rtl/>
        </w:rPr>
        <w:t>والوسائل والبحار والتهذيب.</w:t>
      </w:r>
      <w:r w:rsidR="00744A1C">
        <w:rPr>
          <w:rtl/>
          <w:lang w:bidi="fa-IR"/>
        </w:rPr>
        <w:t xml:space="preserve"> وفي المطبوع : « عن ».</w:t>
      </w:r>
    </w:p>
    <w:p w:rsidR="006A5060" w:rsidRDefault="006A5060" w:rsidP="00D10E3C">
      <w:pPr>
        <w:pStyle w:val="libNormal"/>
        <w:rPr>
          <w:rtl/>
          <w:lang w:bidi="fa-IR"/>
        </w:rPr>
      </w:pPr>
      <w:r>
        <w:rPr>
          <w:rtl/>
          <w:lang w:bidi="fa-IR"/>
        </w:rPr>
        <w:br w:type="page"/>
      </w:r>
    </w:p>
    <w:p w:rsidR="00744A1C" w:rsidRDefault="00744A1C" w:rsidP="005D2B3B">
      <w:pPr>
        <w:pStyle w:val="libNormal0"/>
        <w:rPr>
          <w:lang w:bidi="fa-IR"/>
        </w:rPr>
      </w:pPr>
      <w:r>
        <w:rPr>
          <w:rtl/>
          <w:lang w:bidi="fa-IR"/>
        </w:rPr>
        <w:t xml:space="preserve">فَاسْتَأْذَنْتُ لَهُ عَلَيْهِ </w:t>
      </w:r>
      <w:r w:rsidRPr="00D10E3C">
        <w:rPr>
          <w:rStyle w:val="libFootnotenumChar"/>
          <w:rtl/>
        </w:rPr>
        <w:t>(1)</w:t>
      </w:r>
      <w:r>
        <w:rPr>
          <w:rtl/>
          <w:lang w:bidi="fa-IR"/>
        </w:rPr>
        <w:t xml:space="preserve"> ، فَأَذِنَ لَهُ ، فَلَمَّا أَنْ دَخَلَ سَلَّمَ وَجَلَسَ ، ثُمَّ قَالَ </w:t>
      </w:r>
      <w:r w:rsidRPr="00D10E3C">
        <w:rPr>
          <w:rStyle w:val="libFootnotenumChar"/>
          <w:rtl/>
        </w:rPr>
        <w:t>(2)</w:t>
      </w:r>
      <w:r>
        <w:rPr>
          <w:rtl/>
          <w:lang w:bidi="fa-IR"/>
        </w:rPr>
        <w:t xml:space="preserve"> : جُعِلْتُ فِدَاكَ ، إِنِّي كُنْتُ </w:t>
      </w:r>
      <w:r w:rsidRPr="00D10E3C">
        <w:rPr>
          <w:rStyle w:val="libFootnotenumChar"/>
          <w:rtl/>
        </w:rPr>
        <w:t>(3)</w:t>
      </w:r>
      <w:r>
        <w:rPr>
          <w:rtl/>
          <w:lang w:bidi="fa-IR"/>
        </w:rPr>
        <w:t xml:space="preserve"> فِي دِيوَانِ هؤُلَاءِ الْقَوْمِ ، فَأَصَبْتُ مِنْ دُنْيَاهُمْ مَالاً </w:t>
      </w:r>
      <w:r w:rsidRPr="00D10E3C">
        <w:rPr>
          <w:rStyle w:val="libFootnotenumChar"/>
          <w:rtl/>
        </w:rPr>
        <w:t>(4)</w:t>
      </w:r>
      <w:r>
        <w:rPr>
          <w:rtl/>
          <w:lang w:bidi="fa-IR"/>
        </w:rPr>
        <w:t xml:space="preserve"> كَثِيراً ، وَأَغْمَضْتُ فِي مَطَالِبِهِ.</w:t>
      </w:r>
    </w:p>
    <w:p w:rsidR="00744A1C" w:rsidRDefault="00744A1C" w:rsidP="00744A1C">
      <w:pPr>
        <w:pStyle w:val="libNormal"/>
        <w:rPr>
          <w:lang w:bidi="fa-IR"/>
        </w:rPr>
      </w:pPr>
      <w:r>
        <w:rPr>
          <w:rtl/>
          <w:lang w:bidi="fa-IR"/>
        </w:rPr>
        <w:t xml:space="preserve">فَقَالَ </w:t>
      </w:r>
      <w:r w:rsidRPr="00D10E3C">
        <w:rPr>
          <w:rStyle w:val="libFootnotenumChar"/>
          <w:rtl/>
        </w:rPr>
        <w:t>(5)</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لَوْ لَا أَنَّ بَنِي أُمَيَّةَ وَجَدُوا مَنْ يَكْتُبُ لَهُمْ ، وَيَجْبِي </w:t>
      </w:r>
      <w:r w:rsidRPr="00D10E3C">
        <w:rPr>
          <w:rStyle w:val="libFootnotenumChar"/>
          <w:rtl/>
        </w:rPr>
        <w:t>(6)</w:t>
      </w:r>
      <w:r>
        <w:rPr>
          <w:rtl/>
          <w:lang w:bidi="fa-IR"/>
        </w:rPr>
        <w:t xml:space="preserve"> لَهُمُ الْفَيْ‌ءَ </w:t>
      </w:r>
      <w:r w:rsidRPr="00D10E3C">
        <w:rPr>
          <w:rStyle w:val="libFootnotenumChar"/>
          <w:rtl/>
        </w:rPr>
        <w:t>(7)</w:t>
      </w:r>
      <w:r>
        <w:rPr>
          <w:rtl/>
          <w:lang w:bidi="fa-IR"/>
        </w:rPr>
        <w:t xml:space="preserve"> ، وَيُقَاتِلُ عَنْهُمْ ، وَيَشْهَدُ جَمَاعَتَهُمْ ، لَمَا سَلَبُونَا </w:t>
      </w:r>
      <w:r w:rsidRPr="00D10E3C">
        <w:rPr>
          <w:rStyle w:val="libFootnotenumChar"/>
          <w:rtl/>
        </w:rPr>
        <w:t>(8)</w:t>
      </w:r>
      <w:r>
        <w:rPr>
          <w:rtl/>
          <w:lang w:bidi="fa-IR"/>
        </w:rPr>
        <w:t xml:space="preserve"> حَقَّنَا ، وَلَوْ تَرَكَهُمُ النَّاسُ وَمَا فِي أَيْدِيهِمْ ، مَا </w:t>
      </w:r>
      <w:r w:rsidRPr="00D10E3C">
        <w:rPr>
          <w:rStyle w:val="libFootnotenumChar"/>
          <w:rtl/>
        </w:rPr>
        <w:t>(9)</w:t>
      </w:r>
      <w:r w:rsidR="00A97BB1">
        <w:rPr>
          <w:rtl/>
          <w:lang w:bidi="fa-IR"/>
        </w:rPr>
        <w:t xml:space="preserve"> وَجَدُوا شَيْئاً إِل</w:t>
      </w:r>
      <w:r w:rsidR="00A97BB1">
        <w:rPr>
          <w:rFonts w:hint="cs"/>
          <w:rtl/>
          <w:lang w:bidi="fa-IR"/>
        </w:rPr>
        <w:t>َّ</w:t>
      </w:r>
      <w:r w:rsidR="00A97BB1">
        <w:rPr>
          <w:rtl/>
          <w:lang w:bidi="fa-IR"/>
        </w:rPr>
        <w:t>ا</w:t>
      </w:r>
      <w:r>
        <w:rPr>
          <w:rtl/>
          <w:lang w:bidi="fa-IR"/>
        </w:rPr>
        <w:t xml:space="preserve"> مَا وَقَعَ فِي أَيْدِيهِمْ ».</w:t>
      </w:r>
    </w:p>
    <w:p w:rsidR="00744A1C" w:rsidRDefault="00744A1C" w:rsidP="00744A1C">
      <w:pPr>
        <w:pStyle w:val="libNormal"/>
        <w:rPr>
          <w:lang w:bidi="fa-IR"/>
        </w:rPr>
      </w:pPr>
      <w:r>
        <w:rPr>
          <w:rtl/>
          <w:lang w:bidi="fa-IR"/>
        </w:rPr>
        <w:t xml:space="preserve">قَالَ : فَقَالَ الْفَتى : جُعِلْتُ فِدَاكَ ، فَهَلْ لِي مَخْرَجٌ مِنْهُ؟ قَالَ : « إِنْ قُلْتُ لَكَ تَفْعَلُ؟ » قَالَ : أَفْعَلُ </w:t>
      </w:r>
      <w:r w:rsidRPr="00D10E3C">
        <w:rPr>
          <w:rStyle w:val="libFootnotenumChar"/>
          <w:rtl/>
        </w:rPr>
        <w:t>(10)</w:t>
      </w:r>
      <w:r w:rsidR="00A97BB1" w:rsidRPr="00A97BB1">
        <w:rPr>
          <w:rFonts w:hint="cs"/>
          <w:rtl/>
        </w:rPr>
        <w:t>.</w:t>
      </w:r>
    </w:p>
    <w:p w:rsidR="00744A1C" w:rsidRDefault="00744A1C" w:rsidP="00744A1C">
      <w:pPr>
        <w:pStyle w:val="libNormal"/>
        <w:rPr>
          <w:lang w:bidi="fa-IR"/>
        </w:rPr>
      </w:pPr>
      <w:r>
        <w:rPr>
          <w:rtl/>
          <w:lang w:bidi="fa-IR"/>
        </w:rPr>
        <w:t xml:space="preserve">قَالَ لَهُ </w:t>
      </w:r>
      <w:r w:rsidRPr="00D10E3C">
        <w:rPr>
          <w:rStyle w:val="libFootnotenumChar"/>
          <w:rtl/>
        </w:rPr>
        <w:t>(11)</w:t>
      </w:r>
      <w:r>
        <w:rPr>
          <w:rtl/>
          <w:lang w:bidi="fa-IR"/>
        </w:rPr>
        <w:t xml:space="preserve"> : « فَاخْرُجْ مِنْ جَمِيعِ مَا اكْتَسَبْتَ </w:t>
      </w:r>
      <w:r w:rsidRPr="00D10E3C">
        <w:rPr>
          <w:rStyle w:val="libFootnotenumChar"/>
          <w:rtl/>
        </w:rPr>
        <w:t>(12)</w:t>
      </w:r>
      <w:r>
        <w:rPr>
          <w:rtl/>
          <w:lang w:bidi="fa-IR"/>
        </w:rPr>
        <w:t xml:space="preserve"> فِي دِيوَانِهِمْ </w:t>
      </w:r>
      <w:r w:rsidRPr="00D10E3C">
        <w:rPr>
          <w:rStyle w:val="libFootnotenumChar"/>
          <w:rtl/>
        </w:rPr>
        <w:t>(13)</w:t>
      </w:r>
      <w:r>
        <w:rPr>
          <w:rtl/>
          <w:lang w:bidi="fa-IR"/>
        </w:rPr>
        <w:t xml:space="preserve"> ، فَمَنْ عَرَفْتَ مِنْهُمْ رَدَدْتَ عَلَيْهِ مَالَهُ ، وَمَنْ لَمْ تَعْرِفْ تَصَدَّقْتَ بِهِ </w:t>
      </w:r>
      <w:r w:rsidRPr="00D10E3C">
        <w:rPr>
          <w:rStyle w:val="libFootnotenumChar"/>
          <w:rtl/>
        </w:rPr>
        <w:t>(14)</w:t>
      </w:r>
      <w:r>
        <w:rPr>
          <w:rtl/>
          <w:lang w:bidi="fa-IR"/>
        </w:rPr>
        <w:t xml:space="preserve"> ، وَأَنَا أَضْمَنُ لَكَ عَلَى اللهِ - عَزَّ وَجَلَّ - الْجَنَّةَ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بح ، بس ، جد ، جن » </w:t>
      </w:r>
      <w:r w:rsidR="00744A1C" w:rsidRPr="00A97BB1">
        <w:rPr>
          <w:rtl/>
        </w:rPr>
        <w:t>والوسائل والبحار والتهذيب</w:t>
      </w:r>
      <w:r w:rsidR="00744A1C">
        <w:rPr>
          <w:rtl/>
          <w:lang w:bidi="fa-IR"/>
        </w:rPr>
        <w:t xml:space="preserve"> : - « عليه ».</w:t>
      </w:r>
    </w:p>
    <w:tbl>
      <w:tblPr>
        <w:tblStyle w:val="TableGrid"/>
        <w:bidiVisual/>
        <w:tblW w:w="0" w:type="auto"/>
        <w:tblLook w:val="04A0" w:firstRow="1" w:lastRow="0" w:firstColumn="1" w:lastColumn="0" w:noHBand="0" w:noVBand="1"/>
      </w:tblPr>
      <w:tblGrid>
        <w:gridCol w:w="4006"/>
        <w:gridCol w:w="4006"/>
      </w:tblGrid>
      <w:tr w:rsidR="00A97BB1" w:rsidTr="00A97BB1">
        <w:tc>
          <w:tcPr>
            <w:tcW w:w="4006" w:type="dxa"/>
          </w:tcPr>
          <w:p w:rsidR="00A97BB1" w:rsidRDefault="00A97BB1" w:rsidP="00E378DD">
            <w:pPr>
              <w:pStyle w:val="libFootnote0"/>
              <w:rPr>
                <w:rtl/>
                <w:lang w:bidi="fa-IR"/>
              </w:rPr>
            </w:pPr>
            <w:r>
              <w:rPr>
                <w:rtl/>
                <w:lang w:bidi="fa-IR"/>
              </w:rPr>
              <w:t xml:space="preserve">(2). في « ط » </w:t>
            </w:r>
            <w:r w:rsidRPr="00A97BB1">
              <w:rPr>
                <w:rtl/>
              </w:rPr>
              <w:t>والتهذيب</w:t>
            </w:r>
            <w:r>
              <w:rPr>
                <w:rtl/>
                <w:lang w:bidi="fa-IR"/>
              </w:rPr>
              <w:t xml:space="preserve"> : + « كلمة ».</w:t>
            </w:r>
          </w:p>
        </w:tc>
        <w:tc>
          <w:tcPr>
            <w:tcW w:w="4006" w:type="dxa"/>
          </w:tcPr>
          <w:p w:rsidR="00A97BB1" w:rsidRDefault="00A97BB1" w:rsidP="00E378DD">
            <w:pPr>
              <w:pStyle w:val="libFootnote0"/>
              <w:rPr>
                <w:rtl/>
                <w:lang w:bidi="fa-IR"/>
              </w:rPr>
            </w:pPr>
            <w:r>
              <w:rPr>
                <w:rtl/>
                <w:lang w:bidi="fa-IR"/>
              </w:rPr>
              <w:t xml:space="preserve">(3). في </w:t>
            </w:r>
            <w:r w:rsidRPr="00A97BB1">
              <w:rPr>
                <w:rtl/>
              </w:rPr>
              <w:t>التهذيب</w:t>
            </w:r>
            <w:r>
              <w:rPr>
                <w:rtl/>
                <w:lang w:bidi="fa-IR"/>
              </w:rPr>
              <w:t xml:space="preserve"> : + « أكتب ».</w:t>
            </w:r>
          </w:p>
        </w:tc>
      </w:tr>
      <w:tr w:rsidR="00A97BB1" w:rsidTr="00A97BB1">
        <w:tc>
          <w:tcPr>
            <w:tcW w:w="4006" w:type="dxa"/>
          </w:tcPr>
          <w:p w:rsidR="00A97BB1" w:rsidRDefault="00A97BB1" w:rsidP="00E378DD">
            <w:pPr>
              <w:pStyle w:val="libFootnote0"/>
              <w:rPr>
                <w:rtl/>
                <w:lang w:bidi="fa-IR"/>
              </w:rPr>
            </w:pPr>
            <w:r>
              <w:rPr>
                <w:rtl/>
                <w:lang w:bidi="fa-IR"/>
              </w:rPr>
              <w:t>(4). في « ى » : - « مالاً ».</w:t>
            </w:r>
          </w:p>
        </w:tc>
        <w:tc>
          <w:tcPr>
            <w:tcW w:w="4006" w:type="dxa"/>
          </w:tcPr>
          <w:p w:rsidR="00A97BB1" w:rsidRDefault="00A97BB1" w:rsidP="00E378DD">
            <w:pPr>
              <w:pStyle w:val="libFootnote0"/>
              <w:rPr>
                <w:rtl/>
                <w:lang w:bidi="fa-IR"/>
              </w:rPr>
            </w:pPr>
            <w:r>
              <w:rPr>
                <w:rtl/>
                <w:lang w:bidi="fa-IR"/>
              </w:rPr>
              <w:t xml:space="preserve">(5). في « بف » </w:t>
            </w:r>
            <w:r w:rsidRPr="00A97BB1">
              <w:rPr>
                <w:rtl/>
              </w:rPr>
              <w:t>والوافي</w:t>
            </w:r>
            <w:r>
              <w:rPr>
                <w:rtl/>
                <w:lang w:bidi="fa-IR"/>
              </w:rPr>
              <w:t xml:space="preserve"> : + « له ».</w:t>
            </w:r>
          </w:p>
        </w:tc>
      </w:tr>
    </w:tbl>
    <w:p w:rsidR="00744A1C" w:rsidRDefault="00E378DD" w:rsidP="00E378DD">
      <w:pPr>
        <w:pStyle w:val="libFootnote0"/>
        <w:rPr>
          <w:lang w:bidi="fa-IR"/>
        </w:rPr>
      </w:pPr>
      <w:r>
        <w:rPr>
          <w:rtl/>
          <w:lang w:bidi="fa-IR"/>
        </w:rPr>
        <w:t>(6).</w:t>
      </w:r>
      <w:r w:rsidR="00744A1C">
        <w:rPr>
          <w:rtl/>
          <w:lang w:bidi="fa-IR"/>
        </w:rPr>
        <w:t xml:space="preserve"> « يجبي » أي يجمع ؛ يقال : جبى المال والخراج والماء يجباه ويجبيه ، أي جمعه. راجع : </w:t>
      </w:r>
      <w:r w:rsidR="00744A1C" w:rsidRPr="00877682">
        <w:rPr>
          <w:rStyle w:val="libFootnoteBoldChar"/>
          <w:rtl/>
        </w:rPr>
        <w:t>لسان العرب</w:t>
      </w:r>
      <w:r w:rsidR="00744A1C">
        <w:rPr>
          <w:rtl/>
          <w:lang w:bidi="fa-IR"/>
        </w:rPr>
        <w:t xml:space="preserve"> ، ج 14 ، ص 128 ( جبي ).</w:t>
      </w:r>
    </w:p>
    <w:p w:rsidR="00744A1C" w:rsidRDefault="00E378DD" w:rsidP="00E378DD">
      <w:pPr>
        <w:pStyle w:val="libFootnote0"/>
        <w:rPr>
          <w:lang w:bidi="fa-IR"/>
        </w:rPr>
      </w:pPr>
      <w:r>
        <w:rPr>
          <w:rtl/>
          <w:lang w:bidi="fa-IR"/>
        </w:rPr>
        <w:t>(7).</w:t>
      </w:r>
      <w:r w:rsidR="00744A1C">
        <w:rPr>
          <w:rtl/>
          <w:lang w:bidi="fa-IR"/>
        </w:rPr>
        <w:t xml:space="preserve"> قال ابن الأثير : « هو - أي الفي‌ء - ما حصل للمسلمين من أموال الكفّار من غير حرب ولا جهاد. وأصل الفي‌ء : الرجوع ؛ يقال : فاء يفي‌ء فئةً وفُيوءً ، كأنّه كان في الأصل لهم فرجع ». وق</w:t>
      </w:r>
      <w:r w:rsidR="00A97BB1">
        <w:rPr>
          <w:rtl/>
          <w:lang w:bidi="fa-IR"/>
        </w:rPr>
        <w:t>ال العل</w:t>
      </w:r>
      <w:r w:rsidR="00A97BB1">
        <w:rPr>
          <w:rFonts w:hint="cs"/>
          <w:rtl/>
          <w:lang w:bidi="fa-IR"/>
        </w:rPr>
        <w:t>ّ</w:t>
      </w:r>
      <w:r w:rsidR="00A97BB1">
        <w:rPr>
          <w:rtl/>
          <w:lang w:bidi="fa-IR"/>
        </w:rPr>
        <w:t>ا</w:t>
      </w:r>
      <w:r w:rsidR="00744A1C">
        <w:rPr>
          <w:rtl/>
          <w:lang w:bidi="fa-IR"/>
        </w:rPr>
        <w:t xml:space="preserve">مة الفيض في </w:t>
      </w:r>
      <w:r w:rsidR="00744A1C" w:rsidRPr="00C24F9C">
        <w:rPr>
          <w:rStyle w:val="libFootnoteBoldChar"/>
          <w:rtl/>
        </w:rPr>
        <w:t>الوافي</w:t>
      </w:r>
      <w:r w:rsidR="00744A1C">
        <w:rPr>
          <w:rtl/>
          <w:lang w:bidi="fa-IR"/>
        </w:rPr>
        <w:t xml:space="preserve"> : « المراد بالفي‌ء الخراج ». والخراج : ما يخرج من غلّة الأرض أو الغلام. والغلّة : الدخل من كِراء دار ، أو فائدة أرض ونحو ذلك ، ثمّ سمّي الإتاوة خراجاً ، وهو ما يأخذه السلطان من أموال الناس. راجع : </w:t>
      </w:r>
      <w:r w:rsidR="00744A1C" w:rsidRPr="00877682">
        <w:rPr>
          <w:rStyle w:val="libFootnoteBoldChar"/>
          <w:rtl/>
        </w:rPr>
        <w:t>النهاية</w:t>
      </w:r>
      <w:r w:rsidR="00744A1C">
        <w:rPr>
          <w:rtl/>
          <w:lang w:bidi="fa-IR"/>
        </w:rPr>
        <w:t xml:space="preserve"> ، ج 3 ، ص 482 ( فيأ ) ؛ المغرب ، ص 141 ؛ </w:t>
      </w:r>
      <w:r w:rsidR="00744A1C" w:rsidRPr="00877682">
        <w:rPr>
          <w:rStyle w:val="libFootnoteBoldChar"/>
          <w:rtl/>
        </w:rPr>
        <w:t>لسان العرب</w:t>
      </w:r>
      <w:r w:rsidR="00744A1C">
        <w:rPr>
          <w:rtl/>
          <w:lang w:bidi="fa-IR"/>
        </w:rPr>
        <w:t xml:space="preserve"> ، ج 2 ، ص 251 ( خرج ).</w:t>
      </w:r>
    </w:p>
    <w:tbl>
      <w:tblPr>
        <w:tblStyle w:val="TableGrid"/>
        <w:bidiVisual/>
        <w:tblW w:w="0" w:type="auto"/>
        <w:tblLook w:val="04A0" w:firstRow="1" w:lastRow="0" w:firstColumn="1" w:lastColumn="0" w:noHBand="0" w:noVBand="1"/>
      </w:tblPr>
      <w:tblGrid>
        <w:gridCol w:w="4006"/>
        <w:gridCol w:w="4006"/>
      </w:tblGrid>
      <w:tr w:rsidR="00A97BB1" w:rsidTr="00A97BB1">
        <w:tc>
          <w:tcPr>
            <w:tcW w:w="4006" w:type="dxa"/>
          </w:tcPr>
          <w:p w:rsidR="00A97BB1" w:rsidRDefault="00A97BB1" w:rsidP="00E378DD">
            <w:pPr>
              <w:pStyle w:val="libFootnote0"/>
              <w:rPr>
                <w:rtl/>
                <w:lang w:bidi="fa-IR"/>
              </w:rPr>
            </w:pPr>
            <w:r>
              <w:rPr>
                <w:rtl/>
                <w:lang w:bidi="fa-IR"/>
              </w:rPr>
              <w:t>(8). في « جن » : « يسلبونا ».</w:t>
            </w:r>
          </w:p>
        </w:tc>
        <w:tc>
          <w:tcPr>
            <w:tcW w:w="4006" w:type="dxa"/>
          </w:tcPr>
          <w:p w:rsidR="00A97BB1" w:rsidRDefault="00A97BB1" w:rsidP="00E378DD">
            <w:pPr>
              <w:pStyle w:val="libFootnote0"/>
              <w:rPr>
                <w:rtl/>
                <w:lang w:bidi="fa-IR"/>
              </w:rPr>
            </w:pPr>
            <w:r>
              <w:rPr>
                <w:rtl/>
                <w:lang w:bidi="fa-IR"/>
              </w:rPr>
              <w:t xml:space="preserve">(9). في </w:t>
            </w:r>
            <w:r w:rsidRPr="00A97BB1">
              <w:rPr>
                <w:rtl/>
              </w:rPr>
              <w:t>التهذيب</w:t>
            </w:r>
            <w:r>
              <w:rPr>
                <w:rtl/>
                <w:lang w:bidi="fa-IR"/>
              </w:rPr>
              <w:t xml:space="preserve"> : « لما ».</w:t>
            </w:r>
          </w:p>
        </w:tc>
      </w:tr>
    </w:tbl>
    <w:p w:rsidR="00744A1C" w:rsidRDefault="00E378DD" w:rsidP="00E378DD">
      <w:pPr>
        <w:pStyle w:val="libFootnote0"/>
        <w:rPr>
          <w:lang w:bidi="fa-IR"/>
        </w:rPr>
      </w:pPr>
      <w:r>
        <w:rPr>
          <w:rtl/>
          <w:lang w:bidi="fa-IR"/>
        </w:rPr>
        <w:t>(10).</w:t>
      </w:r>
      <w:r w:rsidR="00744A1C">
        <w:rPr>
          <w:rtl/>
          <w:lang w:bidi="fa-IR"/>
        </w:rPr>
        <w:t xml:space="preserve"> في حاشية « بح » : + « أفعله ».</w:t>
      </w:r>
    </w:p>
    <w:p w:rsidR="00744A1C" w:rsidRDefault="00E378DD" w:rsidP="00E378DD">
      <w:pPr>
        <w:pStyle w:val="libFootnote0"/>
        <w:rPr>
          <w:lang w:bidi="fa-IR"/>
        </w:rPr>
      </w:pPr>
      <w:r>
        <w:rPr>
          <w:rtl/>
          <w:lang w:bidi="fa-IR"/>
        </w:rPr>
        <w:t>(11).</w:t>
      </w:r>
      <w:r w:rsidR="00744A1C">
        <w:rPr>
          <w:rtl/>
          <w:lang w:bidi="fa-IR"/>
        </w:rPr>
        <w:t xml:space="preserve"> في « ط ، ى ، بح ، بس ، جد » </w:t>
      </w:r>
      <w:r w:rsidR="00744A1C" w:rsidRPr="00A97BB1">
        <w:rPr>
          <w:rtl/>
        </w:rPr>
        <w:t>والبحار والتهذيب</w:t>
      </w:r>
      <w:r w:rsidR="00744A1C">
        <w:rPr>
          <w:rtl/>
          <w:lang w:bidi="fa-IR"/>
        </w:rPr>
        <w:t xml:space="preserve"> : - « له ».</w:t>
      </w:r>
    </w:p>
    <w:p w:rsidR="00744A1C" w:rsidRDefault="00E378DD" w:rsidP="00E378DD">
      <w:pPr>
        <w:pStyle w:val="libFootnote0"/>
        <w:rPr>
          <w:lang w:bidi="fa-IR"/>
        </w:rPr>
      </w:pPr>
      <w:r>
        <w:rPr>
          <w:rtl/>
          <w:lang w:bidi="fa-IR"/>
        </w:rPr>
        <w:t>(12).</w:t>
      </w:r>
      <w:r w:rsidR="00744A1C">
        <w:rPr>
          <w:rtl/>
          <w:lang w:bidi="fa-IR"/>
        </w:rPr>
        <w:t xml:space="preserve"> في « بس ، جن » وحاشية « جت » </w:t>
      </w:r>
      <w:r w:rsidR="00744A1C" w:rsidRPr="00A97BB1">
        <w:rPr>
          <w:rtl/>
        </w:rPr>
        <w:t>والوسائل والبحار والتهذيب</w:t>
      </w:r>
      <w:r w:rsidR="00744A1C">
        <w:rPr>
          <w:rtl/>
          <w:lang w:bidi="fa-IR"/>
        </w:rPr>
        <w:t xml:space="preserve"> : « كسبت ».</w:t>
      </w:r>
    </w:p>
    <w:p w:rsidR="00744A1C" w:rsidRDefault="00E378DD" w:rsidP="00E378DD">
      <w:pPr>
        <w:pStyle w:val="libFootnote0"/>
        <w:rPr>
          <w:lang w:bidi="fa-IR"/>
        </w:rPr>
      </w:pPr>
      <w:r>
        <w:rPr>
          <w:rtl/>
          <w:lang w:bidi="fa-IR"/>
        </w:rPr>
        <w:t>(13).</w:t>
      </w:r>
      <w:r w:rsidR="00744A1C">
        <w:rPr>
          <w:rtl/>
          <w:lang w:bidi="fa-IR"/>
        </w:rPr>
        <w:t xml:space="preserve"> في « ط » : « في دواوينهم ». وفي </w:t>
      </w:r>
      <w:r w:rsidR="00744A1C" w:rsidRPr="00A97BB1">
        <w:rPr>
          <w:rtl/>
        </w:rPr>
        <w:t>التهذيب</w:t>
      </w:r>
      <w:r w:rsidR="00744A1C">
        <w:rPr>
          <w:rtl/>
          <w:lang w:bidi="fa-IR"/>
        </w:rPr>
        <w:t xml:space="preserve"> : « من ديوانهم ».</w:t>
      </w:r>
    </w:p>
    <w:p w:rsidR="00744A1C" w:rsidRDefault="00E378DD" w:rsidP="00E378DD">
      <w:pPr>
        <w:pStyle w:val="libFootnote0"/>
        <w:rPr>
          <w:lang w:bidi="fa-IR"/>
        </w:rPr>
      </w:pPr>
      <w:r>
        <w:rPr>
          <w:rtl/>
          <w:lang w:bidi="fa-IR"/>
        </w:rPr>
        <w:t>(14).</w:t>
      </w:r>
      <w:r w:rsidR="00744A1C">
        <w:rPr>
          <w:rtl/>
          <w:lang w:bidi="fa-IR"/>
        </w:rPr>
        <w:t xml:space="preserve"> في </w:t>
      </w:r>
      <w:r w:rsidR="00744A1C" w:rsidRPr="00A97BB1">
        <w:rPr>
          <w:rtl/>
        </w:rPr>
        <w:t>الوافي</w:t>
      </w:r>
      <w:r w:rsidR="00744A1C">
        <w:rPr>
          <w:rtl/>
          <w:lang w:bidi="fa-IR"/>
        </w:rPr>
        <w:t xml:space="preserve"> : « له ». وفي </w:t>
      </w:r>
      <w:r w:rsidR="00744A1C" w:rsidRPr="00A97BB1">
        <w:rPr>
          <w:rtl/>
        </w:rPr>
        <w:t>التهذيب</w:t>
      </w:r>
      <w:r w:rsidR="00744A1C">
        <w:rPr>
          <w:rtl/>
          <w:lang w:bidi="fa-IR"/>
        </w:rPr>
        <w:t xml:space="preserve"> : + « له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قَالَ </w:t>
      </w:r>
      <w:r w:rsidRPr="00D10E3C">
        <w:rPr>
          <w:rStyle w:val="libFootnotenumChar"/>
          <w:rtl/>
        </w:rPr>
        <w:t>(1)</w:t>
      </w:r>
      <w:r>
        <w:rPr>
          <w:rtl/>
          <w:lang w:bidi="fa-IR"/>
        </w:rPr>
        <w:t xml:space="preserve"> : فَأَطْرَقَ الْفَتى </w:t>
      </w:r>
      <w:r w:rsidRPr="00D10E3C">
        <w:rPr>
          <w:rStyle w:val="libFootnotenumChar"/>
          <w:rtl/>
        </w:rPr>
        <w:t>(2)</w:t>
      </w:r>
      <w:r>
        <w:rPr>
          <w:rtl/>
          <w:lang w:bidi="fa-IR"/>
        </w:rPr>
        <w:t xml:space="preserve"> طَوِيلاً ، ثُمَّ قَالَ </w:t>
      </w:r>
      <w:r w:rsidRPr="00D10E3C">
        <w:rPr>
          <w:rStyle w:val="libFootnotenumChar"/>
          <w:rtl/>
        </w:rPr>
        <w:t>(3)</w:t>
      </w:r>
      <w:r>
        <w:rPr>
          <w:rtl/>
          <w:lang w:bidi="fa-IR"/>
        </w:rPr>
        <w:t xml:space="preserve"> : قَدْ </w:t>
      </w:r>
      <w:r w:rsidRPr="00D10E3C">
        <w:rPr>
          <w:rStyle w:val="libFootnotenumChar"/>
          <w:rtl/>
        </w:rPr>
        <w:t>(4)</w:t>
      </w:r>
      <w:r>
        <w:rPr>
          <w:rtl/>
          <w:lang w:bidi="fa-IR"/>
        </w:rPr>
        <w:t xml:space="preserve"> فَعَلْتُ جُعِلْتُ فِدَاكَ ، قَالَ ابْنُ أَبِي حَمْزَةَ : فَرَجَعَ الْفَتى مَعَنَا إِلَى الْكُوفَةِ ، فَمَا تَرَكَ شَيْ</w:t>
      </w:r>
      <w:r w:rsidR="00A97BB1">
        <w:rPr>
          <w:rtl/>
          <w:lang w:bidi="fa-IR"/>
        </w:rPr>
        <w:t>ئاً عَلى وَجْهِ الْأَرْضِ إِل</w:t>
      </w:r>
      <w:r w:rsidR="00A97BB1">
        <w:rPr>
          <w:rFonts w:hint="cs"/>
          <w:rtl/>
          <w:lang w:bidi="fa-IR"/>
        </w:rPr>
        <w:t>َّ</w:t>
      </w:r>
      <w:r w:rsidR="00A97BB1">
        <w:rPr>
          <w:rtl/>
          <w:lang w:bidi="fa-IR"/>
        </w:rPr>
        <w:t>ا</w:t>
      </w:r>
      <w:r>
        <w:rPr>
          <w:rtl/>
          <w:lang w:bidi="fa-IR"/>
        </w:rPr>
        <w:t xml:space="preserve"> خَرَجَ مِنْهُ </w:t>
      </w:r>
      <w:r w:rsidRPr="00D10E3C">
        <w:rPr>
          <w:rStyle w:val="libFootnotenumChar"/>
          <w:rtl/>
        </w:rPr>
        <w:t>(5)</w:t>
      </w:r>
      <w:r>
        <w:rPr>
          <w:rtl/>
          <w:lang w:bidi="fa-IR"/>
        </w:rPr>
        <w:t xml:space="preserve"> حَتّى ثِيَابِهِ الَّتِي كَانَتْ </w:t>
      </w:r>
      <w:r w:rsidRPr="00D10E3C">
        <w:rPr>
          <w:rStyle w:val="libFootnotenumChar"/>
          <w:rtl/>
        </w:rPr>
        <w:t>(6)</w:t>
      </w:r>
      <w:r>
        <w:rPr>
          <w:rtl/>
          <w:lang w:bidi="fa-IR"/>
        </w:rPr>
        <w:t xml:space="preserve"> عَلى بَدَنِهِ ، قَالَ </w:t>
      </w:r>
      <w:r w:rsidRPr="00D10E3C">
        <w:rPr>
          <w:rStyle w:val="libFootnotenumChar"/>
          <w:rtl/>
        </w:rPr>
        <w:t>(7)</w:t>
      </w:r>
      <w:r>
        <w:rPr>
          <w:rtl/>
          <w:lang w:bidi="fa-IR"/>
        </w:rPr>
        <w:t xml:space="preserve"> : فَقَسَمْتُ </w:t>
      </w:r>
      <w:r w:rsidRPr="00D10E3C">
        <w:rPr>
          <w:rStyle w:val="libFootnotenumChar"/>
          <w:rtl/>
        </w:rPr>
        <w:t>(8)</w:t>
      </w:r>
      <w:r>
        <w:rPr>
          <w:rtl/>
          <w:lang w:bidi="fa-IR"/>
        </w:rPr>
        <w:t xml:space="preserve"> لَهُ قِسْمَةً </w:t>
      </w:r>
      <w:r w:rsidRPr="00D10E3C">
        <w:rPr>
          <w:rStyle w:val="libFootnotenumChar"/>
          <w:rtl/>
        </w:rPr>
        <w:t>(9)</w:t>
      </w:r>
      <w:r>
        <w:rPr>
          <w:rtl/>
          <w:lang w:bidi="fa-IR"/>
        </w:rPr>
        <w:t xml:space="preserve"> ، وَاشْتَرَيْنَا </w:t>
      </w:r>
      <w:r w:rsidRPr="00D10E3C">
        <w:rPr>
          <w:rStyle w:val="libFootnotenumChar"/>
          <w:rtl/>
        </w:rPr>
        <w:t>(10)</w:t>
      </w:r>
      <w:r>
        <w:rPr>
          <w:rtl/>
          <w:lang w:bidi="fa-IR"/>
        </w:rPr>
        <w:t xml:space="preserve"> لَهُ ثِيَاباً ، وَبَعَثْنَا إِلَيْهِ </w:t>
      </w:r>
      <w:r w:rsidRPr="00D10E3C">
        <w:rPr>
          <w:rStyle w:val="libFootnotenumChar"/>
          <w:rtl/>
        </w:rPr>
        <w:t>(11)</w:t>
      </w:r>
      <w:r>
        <w:rPr>
          <w:rtl/>
          <w:lang w:bidi="fa-IR"/>
        </w:rPr>
        <w:t xml:space="preserve"> بِنَفَقَةٍ </w:t>
      </w:r>
      <w:r w:rsidRPr="00D10E3C">
        <w:rPr>
          <w:rStyle w:val="libFootnotenumChar"/>
          <w:rtl/>
        </w:rPr>
        <w:t>(12)</w:t>
      </w:r>
      <w:r w:rsidR="00A97BB1" w:rsidRPr="00A97BB1">
        <w:rPr>
          <w:rFonts w:hint="cs"/>
          <w:rtl/>
        </w:rPr>
        <w:t>.</w:t>
      </w:r>
    </w:p>
    <w:p w:rsidR="00744A1C" w:rsidRDefault="00744A1C" w:rsidP="00744A1C">
      <w:pPr>
        <w:pStyle w:val="libNormal"/>
        <w:rPr>
          <w:lang w:bidi="fa-IR"/>
        </w:rPr>
      </w:pPr>
      <w:r>
        <w:rPr>
          <w:rtl/>
          <w:lang w:bidi="fa-IR"/>
        </w:rPr>
        <w:t>قَ</w:t>
      </w:r>
      <w:r w:rsidR="00A97BB1">
        <w:rPr>
          <w:rtl/>
          <w:lang w:bidi="fa-IR"/>
        </w:rPr>
        <w:t>الَ : فَمَا أَتى عَلَيْهِ إِل</w:t>
      </w:r>
      <w:r w:rsidR="00A97BB1">
        <w:rPr>
          <w:rFonts w:hint="cs"/>
          <w:rtl/>
          <w:lang w:bidi="fa-IR"/>
        </w:rPr>
        <w:t>َّ</w:t>
      </w:r>
      <w:r w:rsidR="00A97BB1">
        <w:rPr>
          <w:rtl/>
          <w:lang w:bidi="fa-IR"/>
        </w:rPr>
        <w:t>ا</w:t>
      </w:r>
      <w:r>
        <w:rPr>
          <w:rtl/>
          <w:lang w:bidi="fa-IR"/>
        </w:rPr>
        <w:t xml:space="preserve"> أَشْهُرٌ قَلَائِلُ </w:t>
      </w:r>
      <w:r w:rsidRPr="00D10E3C">
        <w:rPr>
          <w:rStyle w:val="libFootnotenumChar"/>
          <w:rtl/>
        </w:rPr>
        <w:t>(13)</w:t>
      </w:r>
      <w:r>
        <w:rPr>
          <w:rtl/>
          <w:lang w:bidi="fa-IR"/>
        </w:rPr>
        <w:t xml:space="preserve"> حَتّى مَرِضَ ، فَكُنَّا نَعُودُهُ ، قَالَ : فَدَخَلْتُ عَلَيْهِ </w:t>
      </w:r>
      <w:r w:rsidRPr="00D10E3C">
        <w:rPr>
          <w:rStyle w:val="libFootnotenumChar"/>
          <w:rtl/>
        </w:rPr>
        <w:t>(14)</w:t>
      </w:r>
      <w:r>
        <w:rPr>
          <w:rtl/>
          <w:lang w:bidi="fa-IR"/>
        </w:rPr>
        <w:t xml:space="preserve"> يَوْماً وَهُوَ فِي السَّوْقِ </w:t>
      </w:r>
      <w:r w:rsidRPr="00D10E3C">
        <w:rPr>
          <w:rStyle w:val="libFootnotenumChar"/>
          <w:rtl/>
        </w:rPr>
        <w:t>(15)</w:t>
      </w:r>
      <w:r>
        <w:rPr>
          <w:rtl/>
          <w:lang w:bidi="fa-IR"/>
        </w:rPr>
        <w:t xml:space="preserve"> ، قَالَ : فَفَتَحَ عَيْنَيْهِ </w:t>
      </w:r>
      <w:r w:rsidRPr="00D10E3C">
        <w:rPr>
          <w:rStyle w:val="libFootnotenumChar"/>
          <w:rtl/>
        </w:rPr>
        <w:t>(16)</w:t>
      </w:r>
      <w:r>
        <w:rPr>
          <w:rtl/>
          <w:lang w:bidi="fa-IR"/>
        </w:rPr>
        <w:t xml:space="preserve"> ، ثُمَّ قَالَ لِي </w:t>
      </w:r>
      <w:r w:rsidRPr="00D10E3C">
        <w:rPr>
          <w:rStyle w:val="libFootnotenumChar"/>
          <w:rtl/>
        </w:rPr>
        <w:t>(17)</w:t>
      </w:r>
      <w:r>
        <w:rPr>
          <w:rtl/>
          <w:lang w:bidi="fa-IR"/>
        </w:rPr>
        <w:t xml:space="preserve"> : يَا عَلِيُّ ، وَفى لِي وَاللهِ صَاحِبُكَ.</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بح ، بس ، جد ، جن » </w:t>
      </w:r>
      <w:r w:rsidR="00744A1C" w:rsidRPr="00A97BB1">
        <w:rPr>
          <w:rtl/>
        </w:rPr>
        <w:t>والوسائل والبحار</w:t>
      </w:r>
      <w:r w:rsidR="00744A1C">
        <w:rPr>
          <w:rtl/>
          <w:lang w:bidi="fa-IR"/>
        </w:rPr>
        <w:t xml:space="preserve"> : - « قال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w:t>
      </w:r>
      <w:r w:rsidR="00744A1C" w:rsidRPr="00A97BB1">
        <w:rPr>
          <w:rtl/>
        </w:rPr>
        <w:t>والوافي والوسائل والبحار والتهذيب</w:t>
      </w:r>
      <w:r w:rsidR="00744A1C">
        <w:rPr>
          <w:rtl/>
          <w:lang w:bidi="fa-IR"/>
        </w:rPr>
        <w:t xml:space="preserve">. وفي المطبوع : + « رأسه ». يقال : أطرق الرجل ، أي سكت فلم يتكلّم ، وأرخى عينيه ينظر إلى الأرض ، أو أقبل ببصره إلى صدره وسكت ، أي سكت ناظراً إلى الأرض ، أو مقبلاً ببصرة إلى صدره. راجع : </w:t>
      </w:r>
      <w:r w:rsidR="00744A1C" w:rsidRPr="00877682">
        <w:rPr>
          <w:rStyle w:val="libFootnoteBoldChar"/>
          <w:rtl/>
        </w:rPr>
        <w:t>لسان العرب</w:t>
      </w:r>
      <w:r w:rsidR="00744A1C">
        <w:rPr>
          <w:rtl/>
          <w:lang w:bidi="fa-IR"/>
        </w:rPr>
        <w:t xml:space="preserve"> ، ج 10 ، ص 219 ( طرق ).</w:t>
      </w:r>
    </w:p>
    <w:p w:rsidR="00744A1C" w:rsidRDefault="00E378DD" w:rsidP="00E378DD">
      <w:pPr>
        <w:pStyle w:val="libFootnote0"/>
        <w:rPr>
          <w:lang w:bidi="fa-IR"/>
        </w:rPr>
      </w:pPr>
      <w:r>
        <w:rPr>
          <w:rtl/>
          <w:lang w:bidi="fa-IR"/>
        </w:rPr>
        <w:t>(3).</w:t>
      </w:r>
      <w:r w:rsidR="00744A1C">
        <w:rPr>
          <w:rtl/>
          <w:lang w:bidi="fa-IR"/>
        </w:rPr>
        <w:t xml:space="preserve"> في « ط » </w:t>
      </w:r>
      <w:r w:rsidR="00744A1C" w:rsidRPr="00A97BB1">
        <w:rPr>
          <w:rtl/>
        </w:rPr>
        <w:t>والتهذيب</w:t>
      </w:r>
      <w:r w:rsidR="00744A1C">
        <w:rPr>
          <w:rtl/>
          <w:lang w:bidi="fa-IR"/>
        </w:rPr>
        <w:t xml:space="preserve"> : « فقال ». وفي « ى ، بح ، بس ، جت ، جن » </w:t>
      </w:r>
      <w:r w:rsidR="00744A1C" w:rsidRPr="00A97BB1">
        <w:rPr>
          <w:rtl/>
        </w:rPr>
        <w:t>والوسائل والبحار والتهذيب</w:t>
      </w:r>
      <w:r w:rsidR="00744A1C">
        <w:rPr>
          <w:rtl/>
          <w:lang w:bidi="fa-IR"/>
        </w:rPr>
        <w:t xml:space="preserve"> </w:t>
      </w:r>
      <w:r w:rsidR="00A97BB1">
        <w:rPr>
          <w:rtl/>
          <w:lang w:bidi="fa-IR"/>
        </w:rPr>
        <w:t>: + « له</w:t>
      </w:r>
      <w:r w:rsidR="00744A1C">
        <w:rPr>
          <w:rtl/>
          <w:lang w:bidi="fa-IR"/>
        </w:rPr>
        <w:t>». وفي « جد » : + « له أنّي ».</w:t>
      </w:r>
    </w:p>
    <w:p w:rsidR="00744A1C" w:rsidRDefault="00E378DD" w:rsidP="00E378DD">
      <w:pPr>
        <w:pStyle w:val="libFootnote0"/>
        <w:rPr>
          <w:lang w:bidi="fa-IR"/>
        </w:rPr>
      </w:pPr>
      <w:r>
        <w:rPr>
          <w:rtl/>
          <w:lang w:bidi="fa-IR"/>
        </w:rPr>
        <w:t>(4).</w:t>
      </w:r>
      <w:r w:rsidR="00744A1C">
        <w:rPr>
          <w:rtl/>
          <w:lang w:bidi="fa-IR"/>
        </w:rPr>
        <w:t xml:space="preserve"> في </w:t>
      </w:r>
      <w:r w:rsidR="00744A1C" w:rsidRPr="00CE4D9B">
        <w:rPr>
          <w:rtl/>
        </w:rPr>
        <w:t>الوسائل</w:t>
      </w:r>
      <w:r w:rsidR="00744A1C">
        <w:rPr>
          <w:rtl/>
          <w:lang w:bidi="fa-IR"/>
        </w:rPr>
        <w:t xml:space="preserve"> : « لقد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w:t>
      </w:r>
      <w:r w:rsidR="00CE4D9B">
        <w:rPr>
          <w:rtl/>
          <w:lang w:bidi="fa-IR"/>
        </w:rPr>
        <w:t>إل</w:t>
      </w:r>
      <w:r w:rsidR="00CE4D9B">
        <w:rPr>
          <w:rFonts w:hint="cs"/>
          <w:rtl/>
          <w:lang w:bidi="fa-IR"/>
        </w:rPr>
        <w:t>ّ</w:t>
      </w:r>
      <w:r w:rsidR="00CE4D9B">
        <w:rPr>
          <w:rtl/>
          <w:lang w:bidi="fa-IR"/>
        </w:rPr>
        <w:t>ا</w:t>
      </w:r>
      <w:r w:rsidR="00744A1C">
        <w:rPr>
          <w:rtl/>
          <w:lang w:bidi="fa-IR"/>
        </w:rPr>
        <w:t xml:space="preserve"> خرج منه : فارقه وأخرجه من يده ، وفي الكلام استعارة ».</w:t>
      </w:r>
    </w:p>
    <w:p w:rsidR="00744A1C" w:rsidRDefault="00E378DD" w:rsidP="00E378DD">
      <w:pPr>
        <w:pStyle w:val="libFootnote0"/>
        <w:rPr>
          <w:lang w:bidi="fa-IR"/>
        </w:rPr>
      </w:pPr>
      <w:r>
        <w:rPr>
          <w:rtl/>
          <w:lang w:bidi="fa-IR"/>
        </w:rPr>
        <w:t>(6).</w:t>
      </w:r>
      <w:r w:rsidR="00744A1C">
        <w:rPr>
          <w:rtl/>
          <w:lang w:bidi="fa-IR"/>
        </w:rPr>
        <w:t xml:space="preserve"> في « بح ، بس ، جد » </w:t>
      </w:r>
      <w:r w:rsidR="00744A1C" w:rsidRPr="00CE4D9B">
        <w:rPr>
          <w:rtl/>
        </w:rPr>
        <w:t>والبحار والتهذيب</w:t>
      </w:r>
      <w:r w:rsidR="00744A1C">
        <w:rPr>
          <w:rtl/>
          <w:lang w:bidi="fa-IR"/>
        </w:rPr>
        <w:t xml:space="preserve"> : - « كانت ».</w:t>
      </w:r>
    </w:p>
    <w:p w:rsidR="00744A1C" w:rsidRDefault="00E378DD" w:rsidP="00E378DD">
      <w:pPr>
        <w:pStyle w:val="libFootnote0"/>
        <w:rPr>
          <w:lang w:bidi="fa-IR"/>
        </w:rPr>
      </w:pPr>
      <w:r>
        <w:rPr>
          <w:rtl/>
          <w:lang w:bidi="fa-IR"/>
        </w:rPr>
        <w:t>(7).</w:t>
      </w:r>
      <w:r w:rsidR="00744A1C">
        <w:rPr>
          <w:rtl/>
          <w:lang w:bidi="fa-IR"/>
        </w:rPr>
        <w:t xml:space="preserve"> في « جت » : « فقال ».</w:t>
      </w:r>
    </w:p>
    <w:p w:rsidR="00744A1C" w:rsidRDefault="00E378DD" w:rsidP="00E378DD">
      <w:pPr>
        <w:pStyle w:val="libFootnote0"/>
        <w:rPr>
          <w:lang w:bidi="fa-IR"/>
        </w:rPr>
      </w:pPr>
      <w:r>
        <w:rPr>
          <w:rtl/>
          <w:lang w:bidi="fa-IR"/>
        </w:rPr>
        <w:t>(8).</w:t>
      </w:r>
      <w:r w:rsidR="00744A1C">
        <w:rPr>
          <w:rtl/>
          <w:lang w:bidi="fa-IR"/>
        </w:rPr>
        <w:t xml:space="preserve"> في </w:t>
      </w:r>
      <w:r w:rsidR="00744A1C" w:rsidRPr="00CE4D9B">
        <w:rPr>
          <w:rtl/>
        </w:rPr>
        <w:t>التهذيب</w:t>
      </w:r>
      <w:r w:rsidR="00744A1C">
        <w:rPr>
          <w:rtl/>
          <w:lang w:bidi="fa-IR"/>
        </w:rPr>
        <w:t xml:space="preserve"> : « فقسمنا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 « فقسمت له قسمة : فرضت له في ما بيننا شيئاً وقسطناه على أنفسنا ». وفي </w:t>
      </w:r>
      <w:r w:rsidR="00744A1C" w:rsidRPr="00C24F9C">
        <w:rPr>
          <w:rStyle w:val="libFootnoteBoldChar"/>
          <w:rtl/>
        </w:rPr>
        <w:t>المرآة</w:t>
      </w:r>
      <w:r w:rsidR="00744A1C">
        <w:rPr>
          <w:rtl/>
          <w:lang w:bidi="fa-IR"/>
        </w:rPr>
        <w:t xml:space="preserve"> : « قوله : فقسمت ، أي أخذت من كلّ رجل من الشيعة من أصدقائي له شيئاً ».</w:t>
      </w:r>
    </w:p>
    <w:tbl>
      <w:tblPr>
        <w:tblStyle w:val="TableGrid"/>
        <w:bidiVisual/>
        <w:tblW w:w="0" w:type="auto"/>
        <w:tblLook w:val="04A0" w:firstRow="1" w:lastRow="0" w:firstColumn="1" w:lastColumn="0" w:noHBand="0" w:noVBand="1"/>
      </w:tblPr>
      <w:tblGrid>
        <w:gridCol w:w="4006"/>
        <w:gridCol w:w="4006"/>
      </w:tblGrid>
      <w:tr w:rsidR="00CE4D9B" w:rsidTr="00CE4D9B">
        <w:tc>
          <w:tcPr>
            <w:tcW w:w="4006" w:type="dxa"/>
          </w:tcPr>
          <w:p w:rsidR="00CE4D9B" w:rsidRDefault="00CE4D9B" w:rsidP="00E378DD">
            <w:pPr>
              <w:pStyle w:val="libFootnote0"/>
              <w:rPr>
                <w:rtl/>
                <w:lang w:bidi="fa-IR"/>
              </w:rPr>
            </w:pPr>
            <w:r>
              <w:rPr>
                <w:rtl/>
                <w:lang w:bidi="fa-IR"/>
              </w:rPr>
              <w:t xml:space="preserve">(10). في « بف » </w:t>
            </w:r>
            <w:r w:rsidRPr="00CE4D9B">
              <w:rPr>
                <w:rtl/>
              </w:rPr>
              <w:t>والوافي</w:t>
            </w:r>
            <w:r>
              <w:rPr>
                <w:rtl/>
                <w:lang w:bidi="fa-IR"/>
              </w:rPr>
              <w:t xml:space="preserve"> : « واشتريت ».</w:t>
            </w:r>
          </w:p>
        </w:tc>
        <w:tc>
          <w:tcPr>
            <w:tcW w:w="4006" w:type="dxa"/>
          </w:tcPr>
          <w:p w:rsidR="00CE4D9B" w:rsidRDefault="00CE4D9B" w:rsidP="00E378DD">
            <w:pPr>
              <w:pStyle w:val="libFootnote0"/>
              <w:rPr>
                <w:rtl/>
                <w:lang w:bidi="fa-IR"/>
              </w:rPr>
            </w:pPr>
            <w:r>
              <w:rPr>
                <w:rtl/>
                <w:lang w:bidi="fa-IR"/>
              </w:rPr>
              <w:t>(11). في « ط » : « له ».</w:t>
            </w:r>
          </w:p>
        </w:tc>
      </w:tr>
    </w:tbl>
    <w:p w:rsidR="00744A1C" w:rsidRDefault="00E378DD" w:rsidP="00E378DD">
      <w:pPr>
        <w:pStyle w:val="libFootnote0"/>
        <w:rPr>
          <w:lang w:bidi="fa-IR"/>
        </w:rPr>
      </w:pPr>
      <w:r>
        <w:rPr>
          <w:rtl/>
          <w:lang w:bidi="fa-IR"/>
        </w:rPr>
        <w:t>(12).</w:t>
      </w:r>
      <w:r w:rsidR="00744A1C">
        <w:rPr>
          <w:rtl/>
          <w:lang w:bidi="fa-IR"/>
        </w:rPr>
        <w:t xml:space="preserve"> في « بخ ، بف » </w:t>
      </w:r>
      <w:r w:rsidR="00744A1C" w:rsidRPr="00CE4D9B">
        <w:rPr>
          <w:rtl/>
        </w:rPr>
        <w:t>والوافي</w:t>
      </w:r>
      <w:r w:rsidR="00744A1C">
        <w:rPr>
          <w:rtl/>
          <w:lang w:bidi="fa-IR"/>
        </w:rPr>
        <w:t xml:space="preserve"> : « نفقة ».</w:t>
      </w:r>
    </w:p>
    <w:p w:rsidR="00744A1C" w:rsidRDefault="00E378DD" w:rsidP="00E378DD">
      <w:pPr>
        <w:pStyle w:val="libFootnote0"/>
        <w:rPr>
          <w:lang w:bidi="fa-IR"/>
        </w:rPr>
      </w:pPr>
      <w:r>
        <w:rPr>
          <w:rtl/>
          <w:lang w:bidi="fa-IR"/>
        </w:rPr>
        <w:t>(13).</w:t>
      </w:r>
      <w:r w:rsidR="00744A1C">
        <w:rPr>
          <w:rtl/>
          <w:lang w:bidi="fa-IR"/>
        </w:rPr>
        <w:t xml:space="preserve"> في </w:t>
      </w:r>
      <w:r w:rsidR="00744A1C" w:rsidRPr="00C24F9C">
        <w:rPr>
          <w:rStyle w:val="libFootnoteBoldChar"/>
          <w:rtl/>
        </w:rPr>
        <w:t>الوافي</w:t>
      </w:r>
      <w:r w:rsidR="00744A1C">
        <w:rPr>
          <w:rtl/>
          <w:lang w:bidi="fa-IR"/>
        </w:rPr>
        <w:t xml:space="preserve"> : « وصف الأشهر بالقلائل لتأكيد القلّة ؛ فإنّ أفعلاً من جموع القلّة ».</w:t>
      </w:r>
    </w:p>
    <w:p w:rsidR="00744A1C" w:rsidRDefault="00E378DD" w:rsidP="00E378DD">
      <w:pPr>
        <w:pStyle w:val="libFootnote0"/>
        <w:rPr>
          <w:lang w:bidi="fa-IR"/>
        </w:rPr>
      </w:pPr>
      <w:r>
        <w:rPr>
          <w:rtl/>
          <w:lang w:bidi="fa-IR"/>
        </w:rPr>
        <w:t>(14).</w:t>
      </w:r>
      <w:r w:rsidR="00744A1C">
        <w:rPr>
          <w:rtl/>
          <w:lang w:bidi="fa-IR"/>
        </w:rPr>
        <w:t xml:space="preserve"> في « بس ، جد » </w:t>
      </w:r>
      <w:r w:rsidR="00744A1C" w:rsidRPr="00CE4D9B">
        <w:rPr>
          <w:rtl/>
        </w:rPr>
        <w:t>والبحار والتهذيب</w:t>
      </w:r>
      <w:r w:rsidR="00744A1C">
        <w:rPr>
          <w:rtl/>
          <w:lang w:bidi="fa-IR"/>
        </w:rPr>
        <w:t xml:space="preserve"> : - « عليه ». وفي « ط » : « إليه ».</w:t>
      </w:r>
    </w:p>
    <w:p w:rsidR="00744A1C" w:rsidRDefault="00E378DD" w:rsidP="00CE4D9B">
      <w:pPr>
        <w:pStyle w:val="libFootnote0"/>
        <w:rPr>
          <w:lang w:bidi="fa-IR"/>
        </w:rPr>
      </w:pPr>
      <w:r>
        <w:rPr>
          <w:rtl/>
          <w:lang w:bidi="fa-IR"/>
        </w:rPr>
        <w:t>(15).</w:t>
      </w:r>
      <w:r w:rsidR="00744A1C">
        <w:rPr>
          <w:rtl/>
          <w:lang w:bidi="fa-IR"/>
        </w:rPr>
        <w:t xml:space="preserve"> في « ط » : « السياق ». و « السَّوْقُ » : النزع ، كأنّ روحه تساق لأن تخرج من بدنه ، ويقال له السياق أيضاً ، وأصله سواق. </w:t>
      </w:r>
      <w:r w:rsidR="00744A1C" w:rsidRPr="00877682">
        <w:rPr>
          <w:rStyle w:val="libFootnoteBoldChar"/>
          <w:rtl/>
        </w:rPr>
        <w:t>النهاية</w:t>
      </w:r>
      <w:r w:rsidR="00744A1C">
        <w:rPr>
          <w:rtl/>
          <w:lang w:bidi="fa-IR"/>
        </w:rPr>
        <w:t xml:space="preserve"> ، ج 2 ، ص 424 ( سوق ).</w:t>
      </w:r>
      <w:r w:rsidR="00CE4D9B">
        <w:rPr>
          <w:rFonts w:hint="cs"/>
          <w:rtl/>
          <w:lang w:bidi="fa-IR"/>
        </w:rPr>
        <w:t xml:space="preserve">  </w:t>
      </w:r>
      <w:r w:rsidR="00744A1C">
        <w:rPr>
          <w:rtl/>
          <w:lang w:bidi="fa-IR"/>
        </w:rPr>
        <w:t>(16) في « بخ ، بف » : « عينه ».</w:t>
      </w:r>
    </w:p>
    <w:p w:rsidR="00744A1C" w:rsidRDefault="00744A1C" w:rsidP="00D10E3C">
      <w:pPr>
        <w:pStyle w:val="libFootnote0"/>
        <w:rPr>
          <w:lang w:bidi="fa-IR"/>
        </w:rPr>
      </w:pPr>
      <w:r>
        <w:rPr>
          <w:rtl/>
          <w:lang w:bidi="fa-IR"/>
        </w:rPr>
        <w:t xml:space="preserve">(17) في « ط ، ى ، بح ، بخ ، بس ، بف ، جد » </w:t>
      </w:r>
      <w:r w:rsidRPr="00CE4D9B">
        <w:rPr>
          <w:rtl/>
        </w:rPr>
        <w:t>والوافي والبحار</w:t>
      </w:r>
      <w:r>
        <w:rPr>
          <w:rtl/>
          <w:lang w:bidi="fa-IR"/>
        </w:rPr>
        <w:t xml:space="preserve"> : - « لي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قَالَ </w:t>
      </w:r>
      <w:r w:rsidRPr="00D10E3C">
        <w:rPr>
          <w:rStyle w:val="libFootnotenumChar"/>
          <w:rtl/>
        </w:rPr>
        <w:t>(1)</w:t>
      </w:r>
      <w:r>
        <w:rPr>
          <w:rtl/>
          <w:lang w:bidi="fa-IR"/>
        </w:rPr>
        <w:t xml:space="preserve"> : ثُمَّ مَاتَ ، فَتَوَلَّيْنَا </w:t>
      </w:r>
      <w:r w:rsidRPr="00D10E3C">
        <w:rPr>
          <w:rStyle w:val="libFootnotenumChar"/>
          <w:rtl/>
        </w:rPr>
        <w:t>(2)</w:t>
      </w:r>
      <w:r>
        <w:rPr>
          <w:rtl/>
          <w:lang w:bidi="fa-IR"/>
        </w:rPr>
        <w:t xml:space="preserve"> أَمْرَهُ ، فَخَرَجْتُ حَتّى دَخَلْتُ عَلى أَبِي عَبْدِ اللهِ </w:t>
      </w:r>
      <w:r w:rsidR="0061079A" w:rsidRPr="0061079A">
        <w:rPr>
          <w:rStyle w:val="libAlaemChar"/>
          <w:rtl/>
        </w:rPr>
        <w:t>عليه‌السلام</w:t>
      </w:r>
      <w:r w:rsidR="00D10E3C">
        <w:rPr>
          <w:rtl/>
          <w:lang w:bidi="fa-IR"/>
        </w:rPr>
        <w:t xml:space="preserve"> </w:t>
      </w:r>
      <w:r>
        <w:rPr>
          <w:rtl/>
          <w:lang w:bidi="fa-IR"/>
        </w:rPr>
        <w:t xml:space="preserve">، فَلَمَّا نَظَرَ إِلَيَّ ، قَالَ </w:t>
      </w:r>
      <w:r w:rsidRPr="00D10E3C">
        <w:rPr>
          <w:rStyle w:val="libFootnotenumChar"/>
          <w:rtl/>
        </w:rPr>
        <w:t>(3)</w:t>
      </w:r>
      <w:r>
        <w:rPr>
          <w:rtl/>
          <w:lang w:bidi="fa-IR"/>
        </w:rPr>
        <w:t xml:space="preserve"> : « يَا عَلِيُّ ، وَفَيْنَا - وَاللهِ - لِصَاحِبِكَ ».</w:t>
      </w:r>
    </w:p>
    <w:p w:rsidR="00144FA6" w:rsidRDefault="00744A1C" w:rsidP="00744A1C">
      <w:pPr>
        <w:pStyle w:val="libNormal"/>
        <w:rPr>
          <w:rtl/>
          <w:lang w:bidi="fa-IR"/>
        </w:rPr>
      </w:pPr>
      <w:r>
        <w:rPr>
          <w:rtl/>
          <w:lang w:bidi="fa-IR"/>
        </w:rPr>
        <w:t xml:space="preserve">قَالَ : فَقُلْتُ </w:t>
      </w:r>
      <w:r w:rsidRPr="00D10E3C">
        <w:rPr>
          <w:rStyle w:val="libFootnotenumChar"/>
          <w:rtl/>
        </w:rPr>
        <w:t>(4)</w:t>
      </w:r>
      <w:r>
        <w:rPr>
          <w:rtl/>
          <w:lang w:bidi="fa-IR"/>
        </w:rPr>
        <w:t xml:space="preserve"> : صَدَقْتَ جُعِلْتُ فِدَاكَ ، هكَذَا - وَاللهِ </w:t>
      </w:r>
      <w:r w:rsidRPr="00D10E3C">
        <w:rPr>
          <w:rStyle w:val="libFootnotenumChar"/>
          <w:rtl/>
        </w:rPr>
        <w:t>(5)</w:t>
      </w:r>
      <w:r>
        <w:rPr>
          <w:rtl/>
          <w:lang w:bidi="fa-IR"/>
        </w:rPr>
        <w:t xml:space="preserve"> - قَالَ لِي عِنْدَ مَوْتِهِ. </w:t>
      </w:r>
      <w:r w:rsidRPr="00D10E3C">
        <w:rPr>
          <w:rStyle w:val="libFootnotenumChar"/>
          <w:rtl/>
        </w:rPr>
        <w:t>(6)</w:t>
      </w:r>
    </w:p>
    <w:p w:rsidR="00144FA6" w:rsidRDefault="00744A1C" w:rsidP="00744A1C">
      <w:pPr>
        <w:pStyle w:val="libNormal"/>
        <w:rPr>
          <w:rtl/>
          <w:lang w:bidi="fa-IR"/>
        </w:rPr>
      </w:pPr>
      <w:r>
        <w:rPr>
          <w:rtl/>
          <w:lang w:bidi="fa-IR"/>
        </w:rPr>
        <w:t>8510 / 5. عَلِيُّ بْنُ إِبْرَاهِيمَ ، عَنْ أَبِيهِ ، عَنِ ابْنِ أَبِي عُمَيْرٍ ، عَنْ هِشَامِ بْنِ سَالِمٍ ، عَنْ أَبِي بَصِيرٍ ، قَالَ :</w:t>
      </w:r>
    </w:p>
    <w:p w:rsidR="00744A1C" w:rsidRDefault="00744A1C" w:rsidP="00744A1C">
      <w:pPr>
        <w:pStyle w:val="libNormal"/>
        <w:rPr>
          <w:lang w:bidi="fa-IR"/>
        </w:rPr>
      </w:pPr>
      <w:r>
        <w:rPr>
          <w:rtl/>
          <w:lang w:bidi="fa-IR"/>
        </w:rPr>
        <w:t xml:space="preserve">سَأَلْتُ أَبَا جَعْفَرٍ </w:t>
      </w:r>
      <w:r w:rsidR="0061079A" w:rsidRPr="0061079A">
        <w:rPr>
          <w:rStyle w:val="libAlaemChar"/>
          <w:rtl/>
        </w:rPr>
        <w:t>عليه‌السلام</w:t>
      </w:r>
      <w:r w:rsidR="00D10E3C">
        <w:rPr>
          <w:rtl/>
          <w:lang w:bidi="fa-IR"/>
        </w:rPr>
        <w:t xml:space="preserve"> </w:t>
      </w:r>
      <w:r>
        <w:rPr>
          <w:rtl/>
          <w:lang w:bidi="fa-IR"/>
        </w:rPr>
        <w:t>عَنْ أَعْمَالِهِمْ؟</w:t>
      </w:r>
    </w:p>
    <w:p w:rsidR="00744A1C" w:rsidRDefault="00744A1C" w:rsidP="00744A1C">
      <w:pPr>
        <w:pStyle w:val="libNormal"/>
        <w:rPr>
          <w:lang w:bidi="fa-IR"/>
        </w:rPr>
      </w:pPr>
      <w:r>
        <w:rPr>
          <w:rtl/>
          <w:lang w:bidi="fa-IR"/>
        </w:rPr>
        <w:t xml:space="preserve">فَقَالَ لِي : « يَا أَبَا مُحَمَّدٍ ، لَا ، وَلَا مَدَّةً </w:t>
      </w:r>
      <w:r w:rsidRPr="00D10E3C">
        <w:rPr>
          <w:rStyle w:val="libFootnotenumChar"/>
          <w:rtl/>
        </w:rPr>
        <w:t>(7)</w:t>
      </w:r>
      <w:r>
        <w:rPr>
          <w:rtl/>
          <w:lang w:bidi="fa-IR"/>
        </w:rPr>
        <w:t xml:space="preserve"> بِقَلَمٍ </w:t>
      </w:r>
      <w:r w:rsidRPr="00D10E3C">
        <w:rPr>
          <w:rStyle w:val="libFootnotenumChar"/>
          <w:rtl/>
        </w:rPr>
        <w:t>(8)</w:t>
      </w:r>
      <w:r>
        <w:rPr>
          <w:rtl/>
          <w:lang w:bidi="fa-IR"/>
        </w:rPr>
        <w:t xml:space="preserve"> ؛ إِنَّ أَحَدَهُمْ </w:t>
      </w:r>
      <w:r w:rsidRPr="00D10E3C">
        <w:rPr>
          <w:rStyle w:val="libFootnotenumChar"/>
          <w:rtl/>
        </w:rPr>
        <w:t>(9)</w:t>
      </w:r>
      <w:r>
        <w:rPr>
          <w:rtl/>
          <w:lang w:bidi="fa-IR"/>
        </w:rPr>
        <w:t xml:space="preserve"> لَايُصِيبُ</w:t>
      </w:r>
      <w:r w:rsidR="00CE4D9B">
        <w:rPr>
          <w:rtl/>
          <w:lang w:bidi="fa-IR"/>
        </w:rPr>
        <w:t xml:space="preserve"> مِنْ دُنْيَاهُمْ شَيْئاً إِل</w:t>
      </w:r>
      <w:r w:rsidR="00CE4D9B">
        <w:rPr>
          <w:rFonts w:hint="cs"/>
          <w:rtl/>
          <w:lang w:bidi="fa-IR"/>
        </w:rPr>
        <w:t>َّ</w:t>
      </w:r>
      <w:r w:rsidR="00CE4D9B">
        <w:rPr>
          <w:rtl/>
          <w:lang w:bidi="fa-IR"/>
        </w:rPr>
        <w:t>ا</w:t>
      </w:r>
      <w:r>
        <w:rPr>
          <w:rtl/>
          <w:lang w:bidi="fa-IR"/>
        </w:rPr>
        <w:t xml:space="preserve"> أَصَابُوا مِنْ دِينِهِ مِثْلَهُ » أَوْ قَالَ </w:t>
      </w:r>
      <w:r w:rsidRPr="00D10E3C">
        <w:rPr>
          <w:rStyle w:val="libFootnotenumChar"/>
          <w:rtl/>
        </w:rPr>
        <w:t>(10)</w:t>
      </w:r>
      <w:r>
        <w:rPr>
          <w:rtl/>
          <w:lang w:bidi="fa-IR"/>
        </w:rPr>
        <w:t xml:space="preserve"> : « حَتّى يُصِيبُوا مِنْ دِينِهِ مِثْلَهُ ». </w:t>
      </w:r>
      <w:r w:rsidRPr="00D10E3C">
        <w:rPr>
          <w:rStyle w:val="libFootnotenumChar"/>
          <w:rtl/>
        </w:rPr>
        <w:t>(11)</w:t>
      </w:r>
      <w:r>
        <w:rPr>
          <w:rtl/>
          <w:lang w:bidi="fa-IR"/>
        </w:rPr>
        <w:t xml:space="preserve"> الْوَهْمُ مِنِ ابْنِ أَبِي عُمَيْرٍ.</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CE4D9B" w:rsidTr="00CE4D9B">
        <w:tc>
          <w:tcPr>
            <w:tcW w:w="4006" w:type="dxa"/>
          </w:tcPr>
          <w:p w:rsidR="00CE4D9B" w:rsidRDefault="00CE4D9B" w:rsidP="00D10E3C">
            <w:pPr>
              <w:pStyle w:val="libFootnote0"/>
              <w:rPr>
                <w:rtl/>
                <w:lang w:bidi="fa-IR"/>
              </w:rPr>
            </w:pPr>
            <w:r>
              <w:rPr>
                <w:rtl/>
                <w:lang w:bidi="fa-IR"/>
              </w:rPr>
              <w:t xml:space="preserve">(1). في « بخ ، بف » </w:t>
            </w:r>
            <w:r w:rsidRPr="00CE4D9B">
              <w:rPr>
                <w:rtl/>
              </w:rPr>
              <w:t>والوافي</w:t>
            </w:r>
            <w:r>
              <w:rPr>
                <w:rtl/>
                <w:lang w:bidi="fa-IR"/>
              </w:rPr>
              <w:t xml:space="preserve"> : - « قال ».</w:t>
            </w:r>
          </w:p>
        </w:tc>
        <w:tc>
          <w:tcPr>
            <w:tcW w:w="4006" w:type="dxa"/>
          </w:tcPr>
          <w:p w:rsidR="00CE4D9B" w:rsidRDefault="00CE4D9B" w:rsidP="00D10E3C">
            <w:pPr>
              <w:pStyle w:val="libFootnote0"/>
              <w:rPr>
                <w:rtl/>
                <w:lang w:bidi="fa-IR"/>
              </w:rPr>
            </w:pPr>
            <w:r>
              <w:rPr>
                <w:rtl/>
                <w:lang w:bidi="fa-IR"/>
              </w:rPr>
              <w:t>(2). في « ط » : « فولّينا ».</w:t>
            </w:r>
          </w:p>
        </w:tc>
      </w:tr>
      <w:tr w:rsidR="00CE4D9B" w:rsidTr="00CE4D9B">
        <w:tc>
          <w:tcPr>
            <w:tcW w:w="4006" w:type="dxa"/>
          </w:tcPr>
          <w:p w:rsidR="00CE4D9B" w:rsidRDefault="00CE4D9B" w:rsidP="00D10E3C">
            <w:pPr>
              <w:pStyle w:val="libFootnote0"/>
              <w:rPr>
                <w:rtl/>
                <w:lang w:bidi="fa-IR"/>
              </w:rPr>
            </w:pPr>
            <w:r>
              <w:rPr>
                <w:rtl/>
                <w:lang w:bidi="fa-IR"/>
              </w:rPr>
              <w:t xml:space="preserve">(3). في « بخ ، بف » </w:t>
            </w:r>
            <w:r w:rsidRPr="00CE4D9B">
              <w:rPr>
                <w:rtl/>
              </w:rPr>
              <w:t>والوسائل</w:t>
            </w:r>
            <w:r>
              <w:rPr>
                <w:rtl/>
                <w:lang w:bidi="fa-IR"/>
              </w:rPr>
              <w:t xml:space="preserve"> : + « لي ».</w:t>
            </w:r>
          </w:p>
        </w:tc>
        <w:tc>
          <w:tcPr>
            <w:tcW w:w="4006" w:type="dxa"/>
          </w:tcPr>
          <w:p w:rsidR="00CE4D9B" w:rsidRDefault="00CE4D9B" w:rsidP="00D10E3C">
            <w:pPr>
              <w:pStyle w:val="libFootnote0"/>
              <w:rPr>
                <w:rtl/>
                <w:lang w:bidi="fa-IR"/>
              </w:rPr>
            </w:pPr>
            <w:r>
              <w:rPr>
                <w:rtl/>
                <w:lang w:bidi="fa-IR"/>
              </w:rPr>
              <w:t xml:space="preserve">(4). في « جن » </w:t>
            </w:r>
            <w:r w:rsidRPr="00CE4D9B">
              <w:rPr>
                <w:rtl/>
              </w:rPr>
              <w:t>والبحار</w:t>
            </w:r>
            <w:r>
              <w:rPr>
                <w:rtl/>
                <w:lang w:bidi="fa-IR"/>
              </w:rPr>
              <w:t xml:space="preserve"> : + « له ».</w:t>
            </w:r>
          </w:p>
        </w:tc>
      </w:tr>
    </w:tbl>
    <w:p w:rsidR="00744A1C" w:rsidRDefault="00E378DD" w:rsidP="00E378DD">
      <w:pPr>
        <w:pStyle w:val="libFootnote0"/>
        <w:rPr>
          <w:lang w:bidi="fa-IR"/>
        </w:rPr>
      </w:pPr>
      <w:r>
        <w:rPr>
          <w:rtl/>
          <w:lang w:bidi="fa-IR"/>
        </w:rPr>
        <w:t>(5).</w:t>
      </w:r>
      <w:r w:rsidR="00744A1C">
        <w:rPr>
          <w:rtl/>
          <w:lang w:bidi="fa-IR"/>
        </w:rPr>
        <w:t xml:space="preserve"> في « ى » : - « والله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331 ، ح 920 ، معلّقاً عن الكليني </w:t>
      </w:r>
      <w:r w:rsidR="00CE4D9B">
        <w:rPr>
          <w:rFonts w:hint="cs"/>
          <w:rtl/>
          <w:lang w:bidi="fa-IR"/>
        </w:rPr>
        <w:t>.</w:t>
      </w:r>
      <w:r w:rsidR="00744A1C" w:rsidRPr="00C24F9C">
        <w:rPr>
          <w:rStyle w:val="libFootnoteBoldChar"/>
          <w:rtl/>
        </w:rPr>
        <w:t>الوافي</w:t>
      </w:r>
      <w:r w:rsidR="00744A1C">
        <w:rPr>
          <w:rtl/>
          <w:lang w:bidi="fa-IR"/>
        </w:rPr>
        <w:t xml:space="preserve"> ، ج 17 ، ص 153 ، ح 17031 ؛ </w:t>
      </w:r>
      <w:r w:rsidR="00744A1C" w:rsidRPr="00C24F9C">
        <w:rPr>
          <w:rStyle w:val="libFootnoteBoldChar"/>
          <w:rtl/>
        </w:rPr>
        <w:t>الوسائل</w:t>
      </w:r>
      <w:r w:rsidR="00744A1C">
        <w:rPr>
          <w:rtl/>
          <w:lang w:bidi="fa-IR"/>
        </w:rPr>
        <w:t xml:space="preserve"> ، ج 17 ، ص 199 ، ح 22343 ؛ </w:t>
      </w:r>
      <w:r w:rsidR="00744A1C" w:rsidRPr="0061079A">
        <w:rPr>
          <w:rStyle w:val="libFootnoteBoldChar"/>
          <w:rtl/>
        </w:rPr>
        <w:t>البحار</w:t>
      </w:r>
      <w:r w:rsidR="00744A1C">
        <w:rPr>
          <w:rtl/>
          <w:lang w:bidi="fa-IR"/>
        </w:rPr>
        <w:t xml:space="preserve"> ، ج 47 ، ص 382 ، ح 105.</w:t>
      </w:r>
    </w:p>
    <w:p w:rsidR="00744A1C" w:rsidRDefault="00E378DD" w:rsidP="00E378DD">
      <w:pPr>
        <w:pStyle w:val="libFootnote0"/>
        <w:rPr>
          <w:lang w:bidi="fa-IR"/>
        </w:rPr>
      </w:pPr>
      <w:r>
        <w:rPr>
          <w:rtl/>
          <w:lang w:bidi="fa-IR"/>
        </w:rPr>
        <w:t>(7).</w:t>
      </w:r>
      <w:r w:rsidR="00744A1C">
        <w:rPr>
          <w:rtl/>
          <w:lang w:bidi="fa-IR"/>
        </w:rPr>
        <w:t xml:space="preserve"> في « ط » : « مرّة ». وفي « ى » : + « من </w:t>
      </w:r>
      <w:r w:rsidR="00CE4D9B">
        <w:rPr>
          <w:rtl/>
          <w:lang w:bidi="fa-IR"/>
        </w:rPr>
        <w:t>». و « الم</w:t>
      </w:r>
      <w:r w:rsidR="00CE4D9B">
        <w:rPr>
          <w:rFonts w:hint="cs"/>
          <w:rtl/>
          <w:lang w:bidi="fa-IR"/>
        </w:rPr>
        <w:t>ـَ</w:t>
      </w:r>
      <w:r w:rsidR="00744A1C">
        <w:rPr>
          <w:rtl/>
          <w:lang w:bidi="fa-IR"/>
        </w:rPr>
        <w:t>د</w:t>
      </w:r>
      <w:r w:rsidR="00CE4D9B">
        <w:rPr>
          <w:rtl/>
          <w:lang w:bidi="fa-IR"/>
        </w:rPr>
        <w:t>َّة » ، بالفتح : الواحدة من الم</w:t>
      </w:r>
      <w:r w:rsidR="00CE4D9B">
        <w:rPr>
          <w:rFonts w:hint="cs"/>
          <w:rtl/>
          <w:lang w:bidi="fa-IR"/>
        </w:rPr>
        <w:t>ـَ</w:t>
      </w:r>
      <w:r w:rsidR="00744A1C">
        <w:rPr>
          <w:rtl/>
          <w:lang w:bidi="fa-IR"/>
        </w:rPr>
        <w:t>دّ ، وهو الاستمداد من الدواة ، أو هو أن‌يستمدّ منها مَدَّةً واحدةً ، أو هو غمس الق</w:t>
      </w:r>
      <w:r w:rsidR="00CE4D9B">
        <w:rPr>
          <w:rtl/>
          <w:lang w:bidi="fa-IR"/>
        </w:rPr>
        <w:t>لم في الدواة مرّة للكتابة. والم</w:t>
      </w:r>
      <w:r w:rsidR="00CE4D9B">
        <w:rPr>
          <w:rFonts w:hint="cs"/>
          <w:rtl/>
          <w:lang w:bidi="fa-IR"/>
        </w:rPr>
        <w:t>ـَ</w:t>
      </w:r>
      <w:r w:rsidR="00744A1C">
        <w:rPr>
          <w:rtl/>
          <w:lang w:bidi="fa-IR"/>
        </w:rPr>
        <w:t>دَّةٌ - بالضمّ - : اسم ما استمددت به من المداد على القلم.</w:t>
      </w:r>
    </w:p>
    <w:p w:rsidR="00744A1C" w:rsidRDefault="00CE4D9B" w:rsidP="00D10E3C">
      <w:pPr>
        <w:pStyle w:val="libFootnote0"/>
        <w:rPr>
          <w:lang w:bidi="fa-IR"/>
        </w:rPr>
      </w:pPr>
      <w:r>
        <w:rPr>
          <w:rtl/>
          <w:lang w:bidi="fa-IR"/>
        </w:rPr>
        <w:t>هذا ، وقد قرأه العل</w:t>
      </w:r>
      <w:r>
        <w:rPr>
          <w:rFonts w:hint="cs"/>
          <w:rtl/>
          <w:lang w:bidi="fa-IR"/>
        </w:rPr>
        <w:t>ّ</w:t>
      </w:r>
      <w:r>
        <w:rPr>
          <w:rtl/>
          <w:lang w:bidi="fa-IR"/>
        </w:rPr>
        <w:t>ا</w:t>
      </w:r>
      <w:r w:rsidR="00744A1C">
        <w:rPr>
          <w:rtl/>
          <w:lang w:bidi="fa-IR"/>
        </w:rPr>
        <w:t xml:space="preserve">مة المجلسي بالضمّ ، حيث قال : « قوله </w:t>
      </w:r>
      <w:r w:rsidR="0061079A" w:rsidRPr="0061079A">
        <w:rPr>
          <w:rStyle w:val="libFootnoteAlaemChar"/>
          <w:rtl/>
        </w:rPr>
        <w:t>عليه‌السلام</w:t>
      </w:r>
      <w:r w:rsidR="00D10E3C">
        <w:rPr>
          <w:rtl/>
          <w:lang w:bidi="fa-IR"/>
        </w:rPr>
        <w:t xml:space="preserve"> </w:t>
      </w:r>
      <w:r w:rsidR="00744A1C">
        <w:rPr>
          <w:rtl/>
          <w:lang w:bidi="fa-IR"/>
        </w:rPr>
        <w:t xml:space="preserve">: ولا مدّة ، أي لا يجوز إعطاؤهم مدّة من السواد ، ولا يجوز أخذ المدّ منهم ، ولا يجوز إعمال مدّة من السواد ، ولا يجوز أخذ المدّ منهم ، ولا يجوز إعمال مدّة قلم في ديوانهم. وقال الفيروزآبادي : المدّة - بالضمّ - : اسم ما استمددت به من المداد على القلم ». راجع : </w:t>
      </w:r>
      <w:r w:rsidR="00744A1C" w:rsidRPr="00E978C3">
        <w:rPr>
          <w:rStyle w:val="libFootnoteBoldChar"/>
          <w:rtl/>
        </w:rPr>
        <w:t>المصباح المنير</w:t>
      </w:r>
      <w:r w:rsidR="00744A1C">
        <w:rPr>
          <w:rtl/>
          <w:lang w:bidi="fa-IR"/>
        </w:rPr>
        <w:t xml:space="preserve"> ، ص 566 ؛ </w:t>
      </w:r>
      <w:r w:rsidR="00744A1C" w:rsidRPr="008A57EB">
        <w:rPr>
          <w:rStyle w:val="libFootnoteBoldChar"/>
          <w:rtl/>
        </w:rPr>
        <w:t>القاموس المحيط</w:t>
      </w:r>
      <w:r w:rsidR="00744A1C">
        <w:rPr>
          <w:rtl/>
          <w:lang w:bidi="fa-IR"/>
        </w:rPr>
        <w:t xml:space="preserve"> ، ج 1 ، ص 460 ( مدد ) ؛ </w:t>
      </w:r>
      <w:r w:rsidR="00744A1C" w:rsidRPr="00877682">
        <w:rPr>
          <w:rStyle w:val="libFootnoteBoldChar"/>
          <w:rtl/>
        </w:rPr>
        <w:t>مرآة العقول</w:t>
      </w:r>
      <w:r w:rsidR="00744A1C">
        <w:rPr>
          <w:rtl/>
          <w:lang w:bidi="fa-IR"/>
        </w:rPr>
        <w:t xml:space="preserve"> ، ج 19 ، ص 63.</w:t>
      </w:r>
    </w:p>
    <w:p w:rsidR="00744A1C" w:rsidRDefault="00E378DD" w:rsidP="00CE4D9B">
      <w:pPr>
        <w:pStyle w:val="libFootnote0"/>
        <w:rPr>
          <w:lang w:bidi="fa-IR"/>
        </w:rPr>
      </w:pPr>
      <w:r>
        <w:rPr>
          <w:rtl/>
          <w:lang w:bidi="fa-IR"/>
        </w:rPr>
        <w:t>(8).</w:t>
      </w:r>
      <w:r w:rsidR="00744A1C">
        <w:rPr>
          <w:rtl/>
          <w:lang w:bidi="fa-IR"/>
        </w:rPr>
        <w:t xml:space="preserve"> هكذا في « بح ، بخ ، بس ، بف ، جد » وحاشية « جت ، جن » </w:t>
      </w:r>
      <w:r w:rsidR="00744A1C" w:rsidRPr="00CE4D9B">
        <w:rPr>
          <w:rtl/>
        </w:rPr>
        <w:t>والوافي والتهذيب</w:t>
      </w:r>
      <w:r w:rsidR="00744A1C">
        <w:rPr>
          <w:rtl/>
          <w:lang w:bidi="fa-IR"/>
        </w:rPr>
        <w:t>. وفي « ط » : « تعلم ». وفي سائر النسخ والمطبوع : « ولا مدّة قلم ».</w:t>
      </w:r>
      <w:r w:rsidR="00CE4D9B">
        <w:rPr>
          <w:rFonts w:hint="cs"/>
          <w:rtl/>
          <w:lang w:bidi="fa-IR"/>
        </w:rPr>
        <w:t xml:space="preserve">  </w:t>
      </w:r>
      <w:r>
        <w:rPr>
          <w:rtl/>
          <w:lang w:bidi="fa-IR"/>
        </w:rPr>
        <w:t>(9).</w:t>
      </w:r>
      <w:r w:rsidR="00744A1C">
        <w:rPr>
          <w:rtl/>
          <w:lang w:bidi="fa-IR"/>
        </w:rPr>
        <w:t xml:space="preserve"> في </w:t>
      </w:r>
      <w:r w:rsidR="00744A1C" w:rsidRPr="00CE4D9B">
        <w:rPr>
          <w:rtl/>
        </w:rPr>
        <w:t>التهذيب</w:t>
      </w:r>
      <w:r w:rsidR="00744A1C">
        <w:rPr>
          <w:rtl/>
          <w:lang w:bidi="fa-IR"/>
        </w:rPr>
        <w:t xml:space="preserve"> : « أحدكم ».</w:t>
      </w:r>
    </w:p>
    <w:p w:rsidR="00744A1C" w:rsidRDefault="00E378DD" w:rsidP="00E378DD">
      <w:pPr>
        <w:pStyle w:val="libFootnote0"/>
        <w:rPr>
          <w:lang w:bidi="fa-IR"/>
        </w:rPr>
      </w:pPr>
      <w:r>
        <w:rPr>
          <w:rtl/>
          <w:lang w:bidi="fa-IR"/>
        </w:rPr>
        <w:t>(10).</w:t>
      </w:r>
      <w:r w:rsidR="00744A1C">
        <w:rPr>
          <w:rtl/>
          <w:lang w:bidi="fa-IR"/>
        </w:rPr>
        <w:t xml:space="preserve"> في « ط ، ى ، بح ، بس ، جد ، جن » </w:t>
      </w:r>
      <w:r w:rsidR="00744A1C" w:rsidRPr="00CE4D9B">
        <w:rPr>
          <w:rtl/>
        </w:rPr>
        <w:t>والتهذيب</w:t>
      </w:r>
      <w:r w:rsidR="00744A1C">
        <w:rPr>
          <w:rtl/>
          <w:lang w:bidi="fa-IR"/>
        </w:rPr>
        <w:t xml:space="preserve"> : - « قال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331 ، ح 918 ، معلّقاً عن الكليني </w:t>
      </w:r>
      <w:r w:rsidR="00CE4D9B">
        <w:rPr>
          <w:rFonts w:hint="cs"/>
          <w:rtl/>
          <w:lang w:bidi="fa-IR"/>
        </w:rPr>
        <w:t>.</w:t>
      </w:r>
      <w:r w:rsidR="00744A1C" w:rsidRPr="00C24F9C">
        <w:rPr>
          <w:rStyle w:val="libFootnoteBoldChar"/>
          <w:rtl/>
        </w:rPr>
        <w:t>الوافي</w:t>
      </w:r>
      <w:r w:rsidR="00744A1C">
        <w:rPr>
          <w:rtl/>
          <w:lang w:bidi="fa-IR"/>
        </w:rPr>
        <w:t xml:space="preserve"> ، ج 17 ، ص 154 ، ح 17032 ؛ </w:t>
      </w:r>
      <w:r w:rsidR="00744A1C" w:rsidRPr="00C24F9C">
        <w:rPr>
          <w:rStyle w:val="libFootnoteBoldChar"/>
          <w:rtl/>
        </w:rPr>
        <w:t>الوسائل</w:t>
      </w:r>
      <w:r w:rsidR="00744A1C">
        <w:rPr>
          <w:rtl/>
          <w:lang w:bidi="fa-IR"/>
        </w:rPr>
        <w:t xml:space="preserve"> ، ج 17 ، ص 179 ، ح 22293.</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8511 / 6. ابْنُ أَبِي عُمَيْرٍ </w:t>
      </w:r>
      <w:r w:rsidRPr="00D10E3C">
        <w:rPr>
          <w:rStyle w:val="libFootnotenumChar"/>
          <w:rtl/>
        </w:rPr>
        <w:t>(1)</w:t>
      </w:r>
      <w:r>
        <w:rPr>
          <w:rtl/>
          <w:lang w:bidi="fa-IR"/>
        </w:rPr>
        <w:t xml:space="preserve"> ، عَنْ هِشَامِ بْنِ سَالِمٍ ، عَنْ مُحَمَّدِ بْنِ مُسْلِمٍ ، قَالَ :</w:t>
      </w:r>
    </w:p>
    <w:p w:rsidR="00744A1C" w:rsidRDefault="00744A1C" w:rsidP="00744A1C">
      <w:pPr>
        <w:pStyle w:val="libNormal"/>
        <w:rPr>
          <w:lang w:bidi="fa-IR"/>
        </w:rPr>
      </w:pPr>
      <w:r>
        <w:rPr>
          <w:rtl/>
          <w:lang w:bidi="fa-IR"/>
        </w:rPr>
        <w:t xml:space="preserve">كُنْتُ قَاعِداً </w:t>
      </w:r>
      <w:r w:rsidRPr="00D10E3C">
        <w:rPr>
          <w:rStyle w:val="libFootnotenumChar"/>
          <w:rtl/>
        </w:rPr>
        <w:t>(2)</w:t>
      </w:r>
      <w:r>
        <w:rPr>
          <w:rtl/>
          <w:lang w:bidi="fa-IR"/>
        </w:rPr>
        <w:t xml:space="preserve"> عِنْدَ أَبِي جَعْفَرٍ </w:t>
      </w:r>
      <w:r w:rsidR="0061079A" w:rsidRPr="0061079A">
        <w:rPr>
          <w:rStyle w:val="libAlaemChar"/>
          <w:rtl/>
        </w:rPr>
        <w:t>عليه‌السلام</w:t>
      </w:r>
      <w:r w:rsidR="00D10E3C">
        <w:rPr>
          <w:rtl/>
          <w:lang w:bidi="fa-IR"/>
        </w:rPr>
        <w:t xml:space="preserve"> </w:t>
      </w:r>
      <w:r>
        <w:rPr>
          <w:rtl/>
          <w:lang w:bidi="fa-IR"/>
        </w:rPr>
        <w:t>عَلى بَابِ دَارِهِ بِالْمَدِينَةِ ، فَنَظَرَ إِلَى النَّاسِ يَمُرُّونَ أَفْوَاجاً ، فَقَالَ لِبَعْضِ مَنْ عِنْدَهُ : « حَدَثَ بِالْمَدِينَةِ أَمْرٌ؟ ».</w:t>
      </w:r>
    </w:p>
    <w:p w:rsidR="00744A1C" w:rsidRDefault="00744A1C" w:rsidP="00744A1C">
      <w:pPr>
        <w:pStyle w:val="libNormal"/>
        <w:rPr>
          <w:lang w:bidi="fa-IR"/>
        </w:rPr>
      </w:pPr>
      <w:r>
        <w:rPr>
          <w:rtl/>
          <w:lang w:bidi="fa-IR"/>
        </w:rPr>
        <w:t xml:space="preserve">فَقَالَ </w:t>
      </w:r>
      <w:r w:rsidRPr="00D10E3C">
        <w:rPr>
          <w:rStyle w:val="libFootnotenumChar"/>
          <w:rtl/>
        </w:rPr>
        <w:t>(3)</w:t>
      </w:r>
      <w:r>
        <w:rPr>
          <w:rtl/>
          <w:lang w:bidi="fa-IR"/>
        </w:rPr>
        <w:t xml:space="preserve"> : جُعِلْتُ فِدَاكَ </w:t>
      </w:r>
      <w:r w:rsidRPr="00D10E3C">
        <w:rPr>
          <w:rStyle w:val="libFootnotenumChar"/>
          <w:rtl/>
        </w:rPr>
        <w:t>(4)</w:t>
      </w:r>
      <w:r>
        <w:rPr>
          <w:rtl/>
          <w:lang w:bidi="fa-IR"/>
        </w:rPr>
        <w:t xml:space="preserve"> ، وُلِّيَ الْمَدِينَةَ وَالٍ ، فَغَدَا النَّاسُ </w:t>
      </w:r>
      <w:r w:rsidRPr="00D10E3C">
        <w:rPr>
          <w:rStyle w:val="libFootnotenumChar"/>
          <w:rtl/>
        </w:rPr>
        <w:t>(5)</w:t>
      </w:r>
      <w:r>
        <w:rPr>
          <w:rtl/>
          <w:lang w:bidi="fa-IR"/>
        </w:rPr>
        <w:t xml:space="preserve"> يُهَنِّئُونَهُ.</w:t>
      </w:r>
    </w:p>
    <w:p w:rsidR="00144FA6" w:rsidRDefault="00744A1C" w:rsidP="00744A1C">
      <w:pPr>
        <w:pStyle w:val="libNormal"/>
        <w:rPr>
          <w:rtl/>
          <w:lang w:bidi="fa-IR"/>
        </w:rPr>
      </w:pPr>
      <w:r>
        <w:rPr>
          <w:rtl/>
          <w:lang w:bidi="fa-IR"/>
        </w:rPr>
        <w:t xml:space="preserve">فَقَالَ : « إِنَّ الرَّجُلَ لَيُغْدى عَلَيْهِ بِالْأَمْرِ تَهَنَّأَ </w:t>
      </w:r>
      <w:r w:rsidRPr="00D10E3C">
        <w:rPr>
          <w:rStyle w:val="libFootnotenumChar"/>
          <w:rtl/>
        </w:rPr>
        <w:t>(6)</w:t>
      </w:r>
      <w:r>
        <w:rPr>
          <w:rtl/>
          <w:lang w:bidi="fa-IR"/>
        </w:rPr>
        <w:t xml:space="preserve"> بِهِ ، وَإِنَّهُ لَبَابٌ مِنْ أَبْوَابِ النَّارِ ». </w:t>
      </w:r>
      <w:r w:rsidRPr="00D10E3C">
        <w:rPr>
          <w:rStyle w:val="libFootnotenumChar"/>
          <w:rtl/>
        </w:rPr>
        <w:t>(7)</w:t>
      </w:r>
    </w:p>
    <w:p w:rsidR="00144FA6" w:rsidRDefault="00744A1C" w:rsidP="00744A1C">
      <w:pPr>
        <w:pStyle w:val="libNormal"/>
        <w:rPr>
          <w:rtl/>
          <w:lang w:bidi="fa-IR"/>
        </w:rPr>
      </w:pPr>
      <w:r>
        <w:rPr>
          <w:rtl/>
          <w:lang w:bidi="fa-IR"/>
        </w:rPr>
        <w:t xml:space="preserve">8512 / 7. ابْنُ أَبِي عُمَيْرٍ </w:t>
      </w:r>
      <w:r w:rsidRPr="00D10E3C">
        <w:rPr>
          <w:rStyle w:val="libFootnotenumChar"/>
          <w:rtl/>
        </w:rPr>
        <w:t>(8)</w:t>
      </w:r>
      <w:r>
        <w:rPr>
          <w:rtl/>
          <w:lang w:bidi="fa-IR"/>
        </w:rPr>
        <w:t xml:space="preserve"> ، عَنْ بَشِيرٍ </w:t>
      </w:r>
      <w:r w:rsidRPr="00D10E3C">
        <w:rPr>
          <w:rStyle w:val="libFootnotenumChar"/>
          <w:rtl/>
        </w:rPr>
        <w:t>(9)</w:t>
      </w:r>
      <w:r>
        <w:rPr>
          <w:rtl/>
          <w:lang w:bidi="fa-IR"/>
        </w:rPr>
        <w:t xml:space="preserve"> ، عَنِ ابْنِ أَبِي يَعْفُورٍ ، قَالَ :</w:t>
      </w:r>
    </w:p>
    <w:p w:rsidR="00AF2C4C" w:rsidRDefault="00744A1C" w:rsidP="00744A1C">
      <w:pPr>
        <w:pStyle w:val="libNormal"/>
        <w:rPr>
          <w:rtl/>
          <w:lang w:bidi="fa-IR"/>
        </w:rPr>
      </w:pPr>
      <w:r>
        <w:rPr>
          <w:rtl/>
          <w:lang w:bidi="fa-IR"/>
        </w:rPr>
        <w:t xml:space="preserve">كُنْتُ عِنْدَ أَبِي عَبْدِ اللهِ </w:t>
      </w:r>
      <w:r w:rsidR="0061079A" w:rsidRPr="0061079A">
        <w:rPr>
          <w:rStyle w:val="libAlaemChar"/>
          <w:rtl/>
        </w:rPr>
        <w:t>عليه‌السلام</w:t>
      </w:r>
      <w:r w:rsidR="00D10E3C">
        <w:rPr>
          <w:rtl/>
          <w:lang w:bidi="fa-IR"/>
        </w:rPr>
        <w:t xml:space="preserve"> </w:t>
      </w:r>
      <w:r>
        <w:rPr>
          <w:rtl/>
          <w:lang w:bidi="fa-IR"/>
        </w:rPr>
        <w:t xml:space="preserve">إِذْ دَخَلَ </w:t>
      </w:r>
      <w:r w:rsidRPr="00D10E3C">
        <w:rPr>
          <w:rStyle w:val="libFootnotenumChar"/>
          <w:rtl/>
        </w:rPr>
        <w:t>(10)</w:t>
      </w:r>
      <w:r>
        <w:rPr>
          <w:rtl/>
          <w:lang w:bidi="fa-IR"/>
        </w:rPr>
        <w:t xml:space="preserve"> عَلَيْهِ رَجُلٌ مِنْ أَصْحَابِنَا ، فَقَالَ لَهُ : أَصْلَحَكَ اللهُ</w:t>
      </w:r>
      <w:r w:rsidRPr="00D10E3C">
        <w:rPr>
          <w:rStyle w:val="libFootnotenumChar"/>
          <w:rtl/>
        </w:rPr>
        <w:t>(11)</w:t>
      </w:r>
      <w:r>
        <w:rPr>
          <w:rtl/>
          <w:lang w:bidi="fa-IR"/>
        </w:rPr>
        <w:t xml:space="preserve"> ، إِنَّهُ رُبَّمَا أَصَابَ الرَّجُلَ مِنَّا الضَّيْقُ أَوِ الشِّدَّةُ </w:t>
      </w:r>
      <w:r w:rsidRPr="00D10E3C">
        <w:rPr>
          <w:rStyle w:val="libFootnotenumChar"/>
          <w:rtl/>
        </w:rPr>
        <w:t>(12)</w:t>
      </w:r>
      <w:r>
        <w:rPr>
          <w:rtl/>
          <w:lang w:bidi="fa-IR"/>
        </w:rPr>
        <w:t xml:space="preserve"> ، فَيُدْعى إِلَى الْبِنَاءِ يَبْنِيهِ ، أَوِ‌</w:t>
      </w:r>
    </w:p>
    <w:p w:rsidR="00744A1C" w:rsidRDefault="00744A1C" w:rsidP="00AF2C4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السند معلّق على سابقه. ويروي عن ابن أبي عمير ، عليّ بن إبراهيم عن أبيه.</w:t>
      </w:r>
    </w:p>
    <w:tbl>
      <w:tblPr>
        <w:tblStyle w:val="TableGrid"/>
        <w:bidiVisual/>
        <w:tblW w:w="0" w:type="auto"/>
        <w:tblLook w:val="04A0" w:firstRow="1" w:lastRow="0" w:firstColumn="1" w:lastColumn="0" w:noHBand="0" w:noVBand="1"/>
      </w:tblPr>
      <w:tblGrid>
        <w:gridCol w:w="4006"/>
        <w:gridCol w:w="4006"/>
      </w:tblGrid>
      <w:tr w:rsidR="00AF2C4C" w:rsidTr="00AF2C4C">
        <w:tc>
          <w:tcPr>
            <w:tcW w:w="4006" w:type="dxa"/>
          </w:tcPr>
          <w:p w:rsidR="00AF2C4C" w:rsidRDefault="00AF2C4C" w:rsidP="00E378DD">
            <w:pPr>
              <w:pStyle w:val="libFootnote0"/>
              <w:rPr>
                <w:rtl/>
                <w:lang w:bidi="fa-IR"/>
              </w:rPr>
            </w:pPr>
            <w:r>
              <w:rPr>
                <w:rtl/>
                <w:lang w:bidi="fa-IR"/>
              </w:rPr>
              <w:t xml:space="preserve">(2). في </w:t>
            </w:r>
            <w:r w:rsidRPr="00AF2C4C">
              <w:rPr>
                <w:rtl/>
              </w:rPr>
              <w:t>الوسائل</w:t>
            </w:r>
            <w:r>
              <w:rPr>
                <w:rtl/>
                <w:lang w:bidi="fa-IR"/>
              </w:rPr>
              <w:t xml:space="preserve"> : « كنّا » بدل « كنت قاعداً ».</w:t>
            </w:r>
          </w:p>
        </w:tc>
        <w:tc>
          <w:tcPr>
            <w:tcW w:w="4006" w:type="dxa"/>
          </w:tcPr>
          <w:p w:rsidR="00AF2C4C" w:rsidRDefault="00AF2C4C" w:rsidP="00E378DD">
            <w:pPr>
              <w:pStyle w:val="libFootnote0"/>
              <w:rPr>
                <w:rtl/>
                <w:lang w:bidi="fa-IR"/>
              </w:rPr>
            </w:pPr>
            <w:r>
              <w:rPr>
                <w:rtl/>
                <w:lang w:bidi="fa-IR"/>
              </w:rPr>
              <w:t xml:space="preserve">(3). في </w:t>
            </w:r>
            <w:r w:rsidRPr="00AF2C4C">
              <w:rPr>
                <w:rtl/>
              </w:rPr>
              <w:t>الوافي</w:t>
            </w:r>
            <w:r>
              <w:rPr>
                <w:rtl/>
                <w:lang w:bidi="fa-IR"/>
              </w:rPr>
              <w:t xml:space="preserve"> : « فقلت ».</w:t>
            </w:r>
          </w:p>
        </w:tc>
      </w:tr>
    </w:tbl>
    <w:p w:rsidR="00744A1C" w:rsidRDefault="00E378DD" w:rsidP="00E378DD">
      <w:pPr>
        <w:pStyle w:val="libFootnote0"/>
        <w:rPr>
          <w:lang w:bidi="fa-IR"/>
        </w:rPr>
      </w:pPr>
      <w:r>
        <w:rPr>
          <w:rtl/>
          <w:lang w:bidi="fa-IR"/>
        </w:rPr>
        <w:t>(4).</w:t>
      </w:r>
      <w:r w:rsidR="00744A1C">
        <w:rPr>
          <w:rtl/>
          <w:lang w:bidi="fa-IR"/>
        </w:rPr>
        <w:t xml:space="preserve"> في « ى ، بح ، بس ، جد ، جن » وحاشية « جت » </w:t>
      </w:r>
      <w:r w:rsidR="00744A1C" w:rsidRPr="00AF2C4C">
        <w:rPr>
          <w:rtl/>
        </w:rPr>
        <w:t>والوسائل</w:t>
      </w:r>
      <w:r w:rsidR="00744A1C">
        <w:rPr>
          <w:rtl/>
          <w:lang w:bidi="fa-IR"/>
        </w:rPr>
        <w:t xml:space="preserve"> : « أصلحك الله ».</w:t>
      </w:r>
    </w:p>
    <w:tbl>
      <w:tblPr>
        <w:tblStyle w:val="TableGrid"/>
        <w:bidiVisual/>
        <w:tblW w:w="0" w:type="auto"/>
        <w:tblLook w:val="04A0" w:firstRow="1" w:lastRow="0" w:firstColumn="1" w:lastColumn="0" w:noHBand="0" w:noVBand="1"/>
      </w:tblPr>
      <w:tblGrid>
        <w:gridCol w:w="4006"/>
        <w:gridCol w:w="4006"/>
      </w:tblGrid>
      <w:tr w:rsidR="00AF2C4C" w:rsidTr="00AF2C4C">
        <w:tc>
          <w:tcPr>
            <w:tcW w:w="4006" w:type="dxa"/>
          </w:tcPr>
          <w:p w:rsidR="00AF2C4C" w:rsidRDefault="00AF2C4C" w:rsidP="00E378DD">
            <w:pPr>
              <w:pStyle w:val="libFootnote0"/>
              <w:rPr>
                <w:rtl/>
                <w:lang w:bidi="fa-IR"/>
              </w:rPr>
            </w:pPr>
            <w:r>
              <w:rPr>
                <w:rtl/>
                <w:lang w:bidi="fa-IR"/>
              </w:rPr>
              <w:t xml:space="preserve">(5). في «ى ،بخ ،بف ،جن » </w:t>
            </w:r>
            <w:r w:rsidRPr="00AF2C4C">
              <w:rPr>
                <w:rtl/>
              </w:rPr>
              <w:t>والوافي</w:t>
            </w:r>
            <w:r>
              <w:rPr>
                <w:rtl/>
                <w:lang w:bidi="fa-IR"/>
              </w:rPr>
              <w:t xml:space="preserve"> : + « إليه ».</w:t>
            </w:r>
          </w:p>
        </w:tc>
        <w:tc>
          <w:tcPr>
            <w:tcW w:w="4006" w:type="dxa"/>
          </w:tcPr>
          <w:p w:rsidR="00AF2C4C" w:rsidRDefault="00AF2C4C" w:rsidP="00E378DD">
            <w:pPr>
              <w:pStyle w:val="libFootnote0"/>
              <w:rPr>
                <w:rtl/>
                <w:lang w:bidi="fa-IR"/>
              </w:rPr>
            </w:pPr>
            <w:r>
              <w:rPr>
                <w:rtl/>
                <w:lang w:bidi="fa-IR"/>
              </w:rPr>
              <w:t>(6). في «ى ،بح،بخ،بس»</w:t>
            </w:r>
            <w:r w:rsidRPr="00AF2C4C">
              <w:rPr>
                <w:rtl/>
              </w:rPr>
              <w:t>والوافي والوسائل</w:t>
            </w:r>
            <w:r>
              <w:rPr>
                <w:rtl/>
                <w:lang w:bidi="fa-IR"/>
              </w:rPr>
              <w:t xml:space="preserve"> : «يهنّأ».</w:t>
            </w:r>
          </w:p>
        </w:tc>
      </w:tr>
    </w:tbl>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الوافي</w:t>
      </w:r>
      <w:r w:rsidR="00744A1C">
        <w:rPr>
          <w:rtl/>
          <w:lang w:bidi="fa-IR"/>
        </w:rPr>
        <w:t xml:space="preserve"> ، ج 17 ، ص 154 ، ح 17033 ؛ </w:t>
      </w:r>
      <w:r w:rsidR="00744A1C" w:rsidRPr="00C24F9C">
        <w:rPr>
          <w:rStyle w:val="libFootnoteBoldChar"/>
          <w:rtl/>
        </w:rPr>
        <w:t>الوسائل</w:t>
      </w:r>
      <w:r w:rsidR="00744A1C">
        <w:rPr>
          <w:rtl/>
          <w:lang w:bidi="fa-IR"/>
        </w:rPr>
        <w:t xml:space="preserve"> ، ج 17 ، ص 188 ، ح 22315.</w:t>
      </w:r>
    </w:p>
    <w:p w:rsidR="00744A1C" w:rsidRDefault="00E378DD" w:rsidP="00E378DD">
      <w:pPr>
        <w:pStyle w:val="libFootnote0"/>
        <w:rPr>
          <w:lang w:bidi="fa-IR"/>
        </w:rPr>
      </w:pPr>
      <w:r>
        <w:rPr>
          <w:rtl/>
          <w:lang w:bidi="fa-IR"/>
        </w:rPr>
        <w:t>(8).</w:t>
      </w:r>
      <w:r w:rsidR="00744A1C">
        <w:rPr>
          <w:rtl/>
          <w:lang w:bidi="fa-IR"/>
        </w:rPr>
        <w:t xml:space="preserve"> السند معلّق ، كسابقه.</w:t>
      </w:r>
    </w:p>
    <w:p w:rsidR="00744A1C" w:rsidRDefault="00E378DD" w:rsidP="00E378DD">
      <w:pPr>
        <w:pStyle w:val="libFootnote0"/>
        <w:rPr>
          <w:lang w:bidi="fa-IR"/>
        </w:rPr>
      </w:pPr>
      <w:r>
        <w:rPr>
          <w:rtl/>
          <w:lang w:bidi="fa-IR"/>
        </w:rPr>
        <w:t>(9).</w:t>
      </w:r>
      <w:r w:rsidR="00744A1C">
        <w:rPr>
          <w:rtl/>
          <w:lang w:bidi="fa-IR"/>
        </w:rPr>
        <w:t xml:space="preserve"> كذا في النسخ </w:t>
      </w:r>
      <w:r w:rsidR="00744A1C" w:rsidRPr="00AF2C4C">
        <w:rPr>
          <w:rtl/>
        </w:rPr>
        <w:t>والتهذيب</w:t>
      </w:r>
      <w:r w:rsidR="00744A1C">
        <w:rPr>
          <w:rtl/>
          <w:lang w:bidi="fa-IR"/>
        </w:rPr>
        <w:t xml:space="preserve">. لكن لم نجد رواية ابن أبي عمير عمّن يسمّى ببشير في موضعٍ ، بل يروي هو كتاب بشر بن مسلمة كما في </w:t>
      </w:r>
      <w:r w:rsidR="00744A1C" w:rsidRPr="003A7143">
        <w:rPr>
          <w:rStyle w:val="libFootnoteBoldChar"/>
          <w:rtl/>
        </w:rPr>
        <w:t>رجال النجاشي</w:t>
      </w:r>
      <w:r w:rsidR="00744A1C">
        <w:rPr>
          <w:rtl/>
          <w:lang w:bidi="fa-IR"/>
        </w:rPr>
        <w:t xml:space="preserve"> ، ص 111 ، الرقم 285 ، وروى عنه في بعض الأسناد ، منها ما ورد في </w:t>
      </w:r>
      <w:r w:rsidR="00744A1C" w:rsidRPr="0061079A">
        <w:rPr>
          <w:rStyle w:val="libFootnoteBoldChar"/>
          <w:rtl/>
        </w:rPr>
        <w:t>الكافي</w:t>
      </w:r>
      <w:r w:rsidR="00744A1C">
        <w:rPr>
          <w:rtl/>
          <w:lang w:bidi="fa-IR"/>
        </w:rPr>
        <w:t xml:space="preserve"> ، ح 9160 و 11473. وربّما يخطر بالبال صحّة « بشر » كما استصوبه الاستاد الغفّاري في تعليقته على سند </w:t>
      </w:r>
      <w:r w:rsidR="00744A1C" w:rsidRPr="00C24F9C">
        <w:rPr>
          <w:rStyle w:val="libFootnoteBoldChar"/>
          <w:rtl/>
        </w:rPr>
        <w:t>التهذيب</w:t>
      </w:r>
      <w:r w:rsidR="00744A1C">
        <w:rPr>
          <w:rtl/>
          <w:lang w:bidi="fa-IR"/>
        </w:rPr>
        <w:t xml:space="preserve">. لاحظ : </w:t>
      </w:r>
      <w:r w:rsidR="00744A1C" w:rsidRPr="00C24F9C">
        <w:rPr>
          <w:rStyle w:val="libFootnoteBoldChar"/>
          <w:rtl/>
        </w:rPr>
        <w:t>التهذيب</w:t>
      </w:r>
      <w:r w:rsidR="00744A1C">
        <w:rPr>
          <w:rtl/>
          <w:lang w:bidi="fa-IR"/>
        </w:rPr>
        <w:t xml:space="preserve"> - طبعة الغفّاري - ج 6 ، ص 380 ، ح 40.</w:t>
      </w:r>
    </w:p>
    <w:p w:rsidR="00744A1C" w:rsidRDefault="00744A1C" w:rsidP="00D10E3C">
      <w:pPr>
        <w:pStyle w:val="libFootnote0"/>
        <w:rPr>
          <w:lang w:bidi="fa-IR"/>
        </w:rPr>
      </w:pPr>
      <w:r>
        <w:rPr>
          <w:rtl/>
          <w:lang w:bidi="fa-IR"/>
        </w:rPr>
        <w:t>لكنّ الظاهر أنّ الصواب ما استظهره الا</w:t>
      </w:r>
      <w:r w:rsidR="00AF2C4C">
        <w:rPr>
          <w:rFonts w:hint="cs"/>
          <w:rtl/>
          <w:lang w:bidi="fa-IR"/>
        </w:rPr>
        <w:t>ُ</w:t>
      </w:r>
      <w:r>
        <w:rPr>
          <w:rtl/>
          <w:lang w:bidi="fa-IR"/>
        </w:rPr>
        <w:t xml:space="preserve">ستاد السيّد محمّد جواد الشبيري - دام توفيقه - في تعليقته على سندنا هذا ؛ من كون الصواب « هشام » بدل « بشير » ؛ فإنّا لم نجد مع الفحص الأكيد رواية بشر أو بشير عن ابن أبي يعفور - وهو عبد الله - في موضع. وقد وردت في </w:t>
      </w:r>
      <w:r w:rsidRPr="0061079A">
        <w:rPr>
          <w:rStyle w:val="libFootnoteBoldChar"/>
          <w:rtl/>
        </w:rPr>
        <w:t>الكافي</w:t>
      </w:r>
      <w:r>
        <w:rPr>
          <w:rtl/>
          <w:lang w:bidi="fa-IR"/>
        </w:rPr>
        <w:t xml:space="preserve"> ، ح 2516 و 8365 ، رواية عليّ بن إبراهيم عن أبيه عن ابن أبي عمير عن هشام بن سالم عن عبد الله بن أبي يعفور ، كما وردت في </w:t>
      </w:r>
      <w:r w:rsidRPr="000B1C3F">
        <w:rPr>
          <w:rStyle w:val="libFootnoteBoldChar"/>
          <w:rtl/>
        </w:rPr>
        <w:t>الأمالي للطوسي</w:t>
      </w:r>
      <w:r>
        <w:rPr>
          <w:rtl/>
          <w:lang w:bidi="fa-IR"/>
        </w:rPr>
        <w:t xml:space="preserve"> ، ص 663 ، المجلس 35 ، ح 1382 رواية محمّد بن أبي عمير عن هشام عن ابن أبي يعفور.</w:t>
      </w:r>
    </w:p>
    <w:p w:rsidR="00744A1C" w:rsidRDefault="00744A1C" w:rsidP="00AF2C4C">
      <w:pPr>
        <w:pStyle w:val="libFootnote0"/>
        <w:rPr>
          <w:lang w:bidi="fa-IR"/>
        </w:rPr>
      </w:pPr>
      <w:r>
        <w:rPr>
          <w:rtl/>
          <w:lang w:bidi="fa-IR"/>
        </w:rPr>
        <w:t>وتصحيف « هشام » ب</w:t>
      </w:r>
      <w:r w:rsidR="00AF2C4C">
        <w:rPr>
          <w:rFonts w:hint="cs"/>
          <w:rtl/>
          <w:lang w:bidi="fa-IR"/>
        </w:rPr>
        <w:t>ـ</w:t>
      </w:r>
      <w:r>
        <w:rPr>
          <w:rtl/>
          <w:lang w:bidi="fa-IR"/>
        </w:rPr>
        <w:t xml:space="preserve"> « بشير » بعد حذف ألفه كما كان مرسوماً في الخطوط القديمة ممّا لا معونة له.</w:t>
      </w:r>
    </w:p>
    <w:tbl>
      <w:tblPr>
        <w:tblStyle w:val="TableGrid"/>
        <w:bidiVisual/>
        <w:tblW w:w="0" w:type="auto"/>
        <w:tblLook w:val="04A0" w:firstRow="1" w:lastRow="0" w:firstColumn="1" w:lastColumn="0" w:noHBand="0" w:noVBand="1"/>
      </w:tblPr>
      <w:tblGrid>
        <w:gridCol w:w="4006"/>
        <w:gridCol w:w="4006"/>
      </w:tblGrid>
      <w:tr w:rsidR="00AF2C4C" w:rsidTr="00AF2C4C">
        <w:tc>
          <w:tcPr>
            <w:tcW w:w="4006" w:type="dxa"/>
          </w:tcPr>
          <w:p w:rsidR="00AF2C4C" w:rsidRDefault="00AF2C4C" w:rsidP="00E378DD">
            <w:pPr>
              <w:pStyle w:val="libFootnote0"/>
              <w:rPr>
                <w:rtl/>
                <w:lang w:bidi="fa-IR"/>
              </w:rPr>
            </w:pPr>
            <w:r>
              <w:rPr>
                <w:rtl/>
                <w:lang w:bidi="fa-IR"/>
              </w:rPr>
              <w:t>(10). في «ط،بخ،بف» : «فدخل» بدل «إذ دخل».</w:t>
            </w:r>
          </w:p>
        </w:tc>
        <w:tc>
          <w:tcPr>
            <w:tcW w:w="4006" w:type="dxa"/>
          </w:tcPr>
          <w:p w:rsidR="00AF2C4C" w:rsidRDefault="00AF2C4C" w:rsidP="00E378DD">
            <w:pPr>
              <w:pStyle w:val="libFootnote0"/>
              <w:rPr>
                <w:rtl/>
                <w:lang w:bidi="fa-IR"/>
              </w:rPr>
            </w:pPr>
            <w:r>
              <w:rPr>
                <w:rtl/>
                <w:lang w:bidi="fa-IR"/>
              </w:rPr>
              <w:t xml:space="preserve">(11). في حاشية «بح،جد» </w:t>
            </w:r>
            <w:r w:rsidRPr="00AF2C4C">
              <w:rPr>
                <w:rtl/>
              </w:rPr>
              <w:t>والوسائل</w:t>
            </w:r>
            <w:r>
              <w:rPr>
                <w:rtl/>
                <w:lang w:bidi="fa-IR"/>
              </w:rPr>
              <w:t>:«جعلت فداك».</w:t>
            </w:r>
          </w:p>
        </w:tc>
      </w:tr>
    </w:tbl>
    <w:p w:rsidR="00744A1C" w:rsidRDefault="00E378DD" w:rsidP="00E378DD">
      <w:pPr>
        <w:pStyle w:val="libFootnote0"/>
        <w:rPr>
          <w:lang w:bidi="fa-IR"/>
        </w:rPr>
      </w:pPr>
      <w:r>
        <w:rPr>
          <w:rtl/>
          <w:lang w:bidi="fa-IR"/>
        </w:rPr>
        <w:t>(12).</w:t>
      </w:r>
      <w:r w:rsidR="00744A1C">
        <w:rPr>
          <w:rtl/>
          <w:lang w:bidi="fa-IR"/>
        </w:rPr>
        <w:t xml:space="preserve"> في « ط ، بخ ، بس ، بف ، جت » </w:t>
      </w:r>
      <w:r w:rsidR="00744A1C" w:rsidRPr="00AF2C4C">
        <w:rPr>
          <w:rtl/>
        </w:rPr>
        <w:t>والوافي</w:t>
      </w:r>
      <w:r w:rsidR="00744A1C">
        <w:rPr>
          <w:rtl/>
          <w:lang w:bidi="fa-IR"/>
        </w:rPr>
        <w:t xml:space="preserve"> : « والشدّة ».</w:t>
      </w:r>
    </w:p>
    <w:p w:rsidR="006A5060" w:rsidRDefault="006A5060" w:rsidP="00D10E3C">
      <w:pPr>
        <w:pStyle w:val="libNormal"/>
        <w:rPr>
          <w:rtl/>
          <w:lang w:bidi="fa-IR"/>
        </w:rPr>
      </w:pPr>
      <w:r>
        <w:rPr>
          <w:rtl/>
          <w:lang w:bidi="fa-IR"/>
        </w:rPr>
        <w:br w:type="page"/>
      </w:r>
    </w:p>
    <w:p w:rsidR="00744A1C" w:rsidRDefault="00744A1C" w:rsidP="00AF2C4C">
      <w:pPr>
        <w:pStyle w:val="libNormal0"/>
        <w:rPr>
          <w:lang w:bidi="fa-IR"/>
        </w:rPr>
      </w:pPr>
      <w:r>
        <w:rPr>
          <w:rtl/>
          <w:lang w:bidi="fa-IR"/>
        </w:rPr>
        <w:t xml:space="preserve">النَّهَرِ </w:t>
      </w:r>
      <w:r w:rsidRPr="00D10E3C">
        <w:rPr>
          <w:rStyle w:val="libFootnotenumChar"/>
          <w:rtl/>
        </w:rPr>
        <w:t>(1)</w:t>
      </w:r>
      <w:r>
        <w:rPr>
          <w:rtl/>
          <w:lang w:bidi="fa-IR"/>
        </w:rPr>
        <w:t xml:space="preserve"> يَكْرِيهِ </w:t>
      </w:r>
      <w:r w:rsidRPr="00D10E3C">
        <w:rPr>
          <w:rStyle w:val="libFootnotenumChar"/>
          <w:rtl/>
        </w:rPr>
        <w:t>(2)</w:t>
      </w:r>
      <w:r>
        <w:rPr>
          <w:rtl/>
          <w:lang w:bidi="fa-IR"/>
        </w:rPr>
        <w:t xml:space="preserve"> ، أَوِ الْمُسَنَّاةِ </w:t>
      </w:r>
      <w:r w:rsidRPr="00D10E3C">
        <w:rPr>
          <w:rStyle w:val="libFootnotenumChar"/>
          <w:rtl/>
        </w:rPr>
        <w:t>(3)</w:t>
      </w:r>
      <w:r>
        <w:rPr>
          <w:rtl/>
          <w:lang w:bidi="fa-IR"/>
        </w:rPr>
        <w:t xml:space="preserve"> يُصْلِحُهَا ، فَمَا تَقُولُ فِي ذلِكَ؟</w:t>
      </w:r>
    </w:p>
    <w:p w:rsidR="00144FA6" w:rsidRDefault="00744A1C" w:rsidP="00744A1C">
      <w:pPr>
        <w:pStyle w:val="libNormal"/>
        <w:rPr>
          <w:rtl/>
          <w:lang w:bidi="fa-IR"/>
        </w:rPr>
      </w:pPr>
      <w:r>
        <w:rPr>
          <w:rtl/>
          <w:lang w:bidi="fa-IR"/>
        </w:rPr>
        <w:t xml:space="preserve">فَقَالَ أَبُو عَبْدِ اللهِ </w:t>
      </w:r>
      <w:r w:rsidR="0061079A" w:rsidRPr="0061079A">
        <w:rPr>
          <w:rStyle w:val="libAlaemChar"/>
          <w:rtl/>
        </w:rPr>
        <w:t>عليه‌السلام</w:t>
      </w:r>
      <w:r w:rsidR="00D10E3C">
        <w:rPr>
          <w:rtl/>
          <w:lang w:bidi="fa-IR"/>
        </w:rPr>
        <w:t xml:space="preserve"> </w:t>
      </w:r>
      <w:r>
        <w:rPr>
          <w:rtl/>
          <w:lang w:bidi="fa-IR"/>
        </w:rPr>
        <w:t xml:space="preserve">: « مَا أُحِبُّ أَنِّي عَقَدْتُ لَهُمْ عُقْدَةً </w:t>
      </w:r>
      <w:r w:rsidRPr="00D10E3C">
        <w:rPr>
          <w:rStyle w:val="libFootnotenumChar"/>
          <w:rtl/>
        </w:rPr>
        <w:t>(4)</w:t>
      </w:r>
      <w:r>
        <w:rPr>
          <w:rtl/>
          <w:lang w:bidi="fa-IR"/>
        </w:rPr>
        <w:t xml:space="preserve"> ، أَوْ وَكَيْتُ لَهُمْ وِكَاءً </w:t>
      </w:r>
      <w:r w:rsidRPr="00D10E3C">
        <w:rPr>
          <w:rStyle w:val="libFootnotenumChar"/>
          <w:rtl/>
        </w:rPr>
        <w:t>(5)</w:t>
      </w:r>
      <w:r>
        <w:rPr>
          <w:rtl/>
          <w:lang w:bidi="fa-IR"/>
        </w:rPr>
        <w:t xml:space="preserve"> ، وَإِنَّ لِي مَا بَيْنَ لَابَتَيْهَا </w:t>
      </w:r>
      <w:r w:rsidRPr="00D10E3C">
        <w:rPr>
          <w:rStyle w:val="libFootnotenumChar"/>
          <w:rtl/>
        </w:rPr>
        <w:t>(6)</w:t>
      </w:r>
      <w:r>
        <w:rPr>
          <w:rtl/>
          <w:lang w:bidi="fa-IR"/>
        </w:rPr>
        <w:t xml:space="preserve"> ، لَا ، وَلَا مَدَّةً بِقَلَمٍ </w:t>
      </w:r>
      <w:r w:rsidRPr="00D10E3C">
        <w:rPr>
          <w:rStyle w:val="libFootnotenumChar"/>
          <w:rtl/>
        </w:rPr>
        <w:t>(7)</w:t>
      </w:r>
      <w:r>
        <w:rPr>
          <w:rtl/>
          <w:lang w:bidi="fa-IR"/>
        </w:rPr>
        <w:t xml:space="preserve"> ؛ إِنَّ أَعْوَانَ الظَّلَمَةِ يَوْمَ الْقِيَامَةِ </w:t>
      </w:r>
      <w:r w:rsidRPr="00D10E3C">
        <w:rPr>
          <w:rStyle w:val="libFootnotenumChar"/>
          <w:rtl/>
        </w:rPr>
        <w:t>(8)</w:t>
      </w:r>
      <w:r>
        <w:rPr>
          <w:rtl/>
          <w:lang w:bidi="fa-IR"/>
        </w:rPr>
        <w:t xml:space="preserve"> فِي سُرَادِقٍ </w:t>
      </w:r>
      <w:r w:rsidRPr="00D10E3C">
        <w:rPr>
          <w:rStyle w:val="libFootnotenumChar"/>
          <w:rtl/>
        </w:rPr>
        <w:t>(9)</w:t>
      </w:r>
      <w:r>
        <w:rPr>
          <w:rtl/>
          <w:lang w:bidi="fa-IR"/>
        </w:rPr>
        <w:t xml:space="preserve"> مِنْ نَارٍ </w:t>
      </w:r>
      <w:r w:rsidRPr="00D10E3C">
        <w:rPr>
          <w:rStyle w:val="libFootnotenumChar"/>
          <w:rtl/>
        </w:rPr>
        <w:t>(10)</w:t>
      </w:r>
      <w:r>
        <w:rPr>
          <w:rtl/>
          <w:lang w:bidi="fa-IR"/>
        </w:rPr>
        <w:t xml:space="preserve"> حَتّى يَحْكُمَ اللهُ بَيْنَ الْعِبَادِ ». </w:t>
      </w:r>
      <w:r w:rsidRPr="00D10E3C">
        <w:rPr>
          <w:rStyle w:val="libFootnotenumChar"/>
          <w:rtl/>
        </w:rPr>
        <w:t>(11)</w:t>
      </w:r>
    </w:p>
    <w:p w:rsidR="00744A1C" w:rsidRDefault="00744A1C" w:rsidP="00744A1C">
      <w:pPr>
        <w:pStyle w:val="libNormal"/>
        <w:rPr>
          <w:lang w:bidi="fa-IR"/>
        </w:rPr>
      </w:pPr>
      <w:r>
        <w:rPr>
          <w:rtl/>
          <w:lang w:bidi="fa-IR"/>
        </w:rPr>
        <w:t xml:space="preserve">8513 / 8. مُحَمَّدُ بْنُ يَحْيى ، عَنْ أَحْمَدَ بْنِ مُحَمَّدٍ ، عَنْ مُحَمَّدِ </w:t>
      </w:r>
      <w:r w:rsidRPr="00D10E3C">
        <w:rPr>
          <w:rStyle w:val="libFootnotenumChar"/>
          <w:rtl/>
        </w:rPr>
        <w:t>(12)</w:t>
      </w:r>
      <w:r>
        <w:rPr>
          <w:rtl/>
          <w:lang w:bidi="fa-IR"/>
        </w:rPr>
        <w:t xml:space="preserve"> بْنِ سِنَانٍ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بخ ، بف » : « والنهر ».</w:t>
      </w:r>
    </w:p>
    <w:p w:rsidR="00744A1C" w:rsidRDefault="00E378DD" w:rsidP="00E378DD">
      <w:pPr>
        <w:pStyle w:val="libFootnote0"/>
        <w:rPr>
          <w:lang w:bidi="fa-IR"/>
        </w:rPr>
      </w:pPr>
      <w:r>
        <w:rPr>
          <w:rtl/>
          <w:lang w:bidi="fa-IR"/>
        </w:rPr>
        <w:t>(2).</w:t>
      </w:r>
      <w:r w:rsidR="00744A1C">
        <w:rPr>
          <w:rtl/>
          <w:lang w:bidi="fa-IR"/>
        </w:rPr>
        <w:t xml:space="preserve"> يقال : كريتُ النهر كَرْياً ، من باب رمى ، أي حفرت فيه حفرة جديدة. </w:t>
      </w:r>
      <w:r w:rsidR="00744A1C" w:rsidRPr="00E978C3">
        <w:rPr>
          <w:rStyle w:val="libFootnoteBoldChar"/>
          <w:rtl/>
        </w:rPr>
        <w:t>المصباح المنير</w:t>
      </w:r>
      <w:r w:rsidR="00744A1C">
        <w:rPr>
          <w:rtl/>
          <w:lang w:bidi="fa-IR"/>
        </w:rPr>
        <w:t xml:space="preserve"> ، ص 532 ( كرى ).</w:t>
      </w:r>
    </w:p>
    <w:p w:rsidR="00744A1C" w:rsidRDefault="00E378DD" w:rsidP="00E378DD">
      <w:pPr>
        <w:pStyle w:val="libFootnote0"/>
        <w:rPr>
          <w:lang w:bidi="fa-IR"/>
        </w:rPr>
      </w:pPr>
      <w:r>
        <w:rPr>
          <w:rtl/>
          <w:lang w:bidi="fa-IR"/>
        </w:rPr>
        <w:t>(3).</w:t>
      </w:r>
      <w:r w:rsidR="00744A1C">
        <w:rPr>
          <w:rtl/>
          <w:lang w:bidi="fa-IR"/>
        </w:rPr>
        <w:t xml:space="preserve"> المسنّاة : حائط يبنى في وجه الماء ، ويسمّى السدّ. </w:t>
      </w:r>
      <w:r w:rsidR="00744A1C" w:rsidRPr="00E978C3">
        <w:rPr>
          <w:rStyle w:val="libFootnoteBoldChar"/>
          <w:rtl/>
        </w:rPr>
        <w:t>المصباح المنير</w:t>
      </w:r>
      <w:r w:rsidR="00744A1C">
        <w:rPr>
          <w:rtl/>
          <w:lang w:bidi="fa-IR"/>
        </w:rPr>
        <w:t xml:space="preserve"> ، ص 292 ( سنن ).</w:t>
      </w:r>
    </w:p>
    <w:p w:rsidR="00744A1C" w:rsidRDefault="00E378DD" w:rsidP="00E378DD">
      <w:pPr>
        <w:pStyle w:val="libFootnote0"/>
        <w:rPr>
          <w:lang w:bidi="fa-IR"/>
        </w:rPr>
      </w:pPr>
      <w:r>
        <w:rPr>
          <w:rtl/>
          <w:lang w:bidi="fa-IR"/>
        </w:rPr>
        <w:t>(4).</w:t>
      </w:r>
      <w:r w:rsidR="00744A1C">
        <w:rPr>
          <w:rtl/>
          <w:lang w:bidi="fa-IR"/>
        </w:rPr>
        <w:t xml:space="preserve"> في « ى » : - « عقدة ».</w:t>
      </w:r>
    </w:p>
    <w:p w:rsidR="00744A1C" w:rsidRDefault="00E378DD" w:rsidP="00E378DD">
      <w:pPr>
        <w:pStyle w:val="libFootnote0"/>
        <w:rPr>
          <w:lang w:bidi="fa-IR"/>
        </w:rPr>
      </w:pPr>
      <w:r>
        <w:rPr>
          <w:rtl/>
          <w:lang w:bidi="fa-IR"/>
        </w:rPr>
        <w:t>(5).</w:t>
      </w:r>
      <w:r w:rsidR="00744A1C">
        <w:rPr>
          <w:rtl/>
          <w:lang w:bidi="fa-IR"/>
        </w:rPr>
        <w:t xml:space="preserve"> « الوِكاء » : الحبل الذي يشدّ به رأس الصرّة والكيس والقربة ونحوها ؛ يقال : وكيت السقاء ، وأوكيته ، أي شددت فمه بالوكاء. </w:t>
      </w:r>
      <w:r w:rsidR="00744A1C" w:rsidRPr="00E978C3">
        <w:rPr>
          <w:rStyle w:val="libFootnoteBoldChar"/>
          <w:rtl/>
        </w:rPr>
        <w:t>المصباح المنير</w:t>
      </w:r>
      <w:r w:rsidR="00744A1C">
        <w:rPr>
          <w:rtl/>
          <w:lang w:bidi="fa-IR"/>
        </w:rPr>
        <w:t xml:space="preserve"> ، ص 670 ( وكا ).</w:t>
      </w:r>
    </w:p>
    <w:p w:rsidR="00744A1C" w:rsidRDefault="00E378DD" w:rsidP="00E378DD">
      <w:pPr>
        <w:pStyle w:val="libFootnote0"/>
        <w:rPr>
          <w:lang w:bidi="fa-IR"/>
        </w:rPr>
      </w:pPr>
      <w:r>
        <w:rPr>
          <w:rtl/>
          <w:lang w:bidi="fa-IR"/>
        </w:rPr>
        <w:t>(6).</w:t>
      </w:r>
      <w:r w:rsidR="00744A1C">
        <w:rPr>
          <w:rtl/>
          <w:lang w:bidi="fa-IR"/>
        </w:rPr>
        <w:t xml:space="preserve"> اللاّبة : الحَرَّة ، وهي الأرض ذات الحجارة السود التي قد ألبستها لكثرتها. </w:t>
      </w:r>
      <w:r w:rsidR="00744A1C" w:rsidRPr="00877682">
        <w:rPr>
          <w:rStyle w:val="libFootnoteBoldChar"/>
          <w:rtl/>
        </w:rPr>
        <w:t>النهاية</w:t>
      </w:r>
      <w:r w:rsidR="00744A1C">
        <w:rPr>
          <w:rtl/>
          <w:lang w:bidi="fa-IR"/>
        </w:rPr>
        <w:t xml:space="preserve"> ، ج 4 ، ص 274 ( لوب ).</w:t>
      </w:r>
    </w:p>
    <w:p w:rsidR="00744A1C" w:rsidRDefault="00E378DD" w:rsidP="00E378DD">
      <w:pPr>
        <w:pStyle w:val="libFootnote0"/>
        <w:rPr>
          <w:lang w:bidi="fa-IR"/>
        </w:rPr>
      </w:pPr>
      <w:r>
        <w:rPr>
          <w:rtl/>
          <w:lang w:bidi="fa-IR"/>
        </w:rPr>
        <w:t>(7).</w:t>
      </w:r>
      <w:r w:rsidR="00744A1C">
        <w:rPr>
          <w:rtl/>
          <w:lang w:bidi="fa-IR"/>
        </w:rPr>
        <w:t xml:space="preserve"> في « بخ » : « يعلم ».</w:t>
      </w:r>
    </w:p>
    <w:p w:rsidR="00744A1C" w:rsidRDefault="00E378DD" w:rsidP="00E378DD">
      <w:pPr>
        <w:pStyle w:val="libFootnote0"/>
        <w:rPr>
          <w:lang w:bidi="fa-IR"/>
        </w:rPr>
      </w:pPr>
      <w:r>
        <w:rPr>
          <w:rtl/>
          <w:lang w:bidi="fa-IR"/>
        </w:rPr>
        <w:t>(8).</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إنّ أعوان الظلمة يوم القيامة. موضع السؤال البناء وكري النهر وإصلاح المسنّاة ، ولا ريب أنّ أمثال تلك في معرض الظلم ، ولا يخلو من يرتكب ذلك غالباً عن التصرّف في أرض مغصوبة وإفساد الزرع والإجحاف بحقوق الناس ، وإعانة الظالم في الظلم قبيحة وإن لم تستلزم ولاية.</w:t>
      </w:r>
    </w:p>
    <w:p w:rsidR="00744A1C" w:rsidRDefault="00744A1C" w:rsidP="00D10E3C">
      <w:pPr>
        <w:pStyle w:val="libFootnote0"/>
        <w:rPr>
          <w:lang w:bidi="fa-IR"/>
        </w:rPr>
      </w:pPr>
      <w:r>
        <w:rPr>
          <w:rtl/>
          <w:lang w:bidi="fa-IR"/>
        </w:rPr>
        <w:t>والحقّ أنّ بين الولاية من قبل الظالم وإعانته على الظلم عموماً من وجه ، ومورد الاجتماع معلوم ، مورد الافتراق ما يكون فيه الإعانة بغير ولاية ، كمورد السؤال من كري النهر وإصلاح المسنّاة ، أو تكون الولاية بغير إعانة ، كوالٍ مستقلّ في عمله ، يعلم من نفسه أنّه لا يصير مجبوراً في ولايته عل</w:t>
      </w:r>
      <w:r w:rsidR="004501DA">
        <w:rPr>
          <w:rtl/>
          <w:lang w:bidi="fa-IR"/>
        </w:rPr>
        <w:t>ى ارتكاب محرّم ، كما ذكره العل</w:t>
      </w:r>
      <w:r w:rsidR="004501DA">
        <w:rPr>
          <w:rFonts w:hint="cs"/>
          <w:rtl/>
          <w:lang w:bidi="fa-IR"/>
        </w:rPr>
        <w:t>ّ</w:t>
      </w:r>
      <w:r w:rsidR="004501DA">
        <w:rPr>
          <w:rtl/>
          <w:lang w:bidi="fa-IR"/>
        </w:rPr>
        <w:t>امة ونقلناه آنفاً ، وإن أبيت إل</w:t>
      </w:r>
      <w:r w:rsidR="004501DA">
        <w:rPr>
          <w:rFonts w:hint="cs"/>
          <w:rtl/>
          <w:lang w:bidi="fa-IR"/>
        </w:rPr>
        <w:t>ّ</w:t>
      </w:r>
      <w:r w:rsidR="004501DA">
        <w:rPr>
          <w:rtl/>
          <w:lang w:bidi="fa-IR"/>
        </w:rPr>
        <w:t>ا</w:t>
      </w:r>
      <w:r>
        <w:rPr>
          <w:rtl/>
          <w:lang w:bidi="fa-IR"/>
        </w:rPr>
        <w:t>عن صدق الإعانة على الوالي من قبلهم مطلقاً وإن عمل بالحقّ ، فلا ريب في كونه مستثنى من الحكم ، كما سبق.</w:t>
      </w:r>
    </w:p>
    <w:p w:rsidR="00744A1C" w:rsidRDefault="00744A1C" w:rsidP="00D10E3C">
      <w:pPr>
        <w:pStyle w:val="libFootnote0"/>
        <w:rPr>
          <w:lang w:bidi="fa-IR"/>
        </w:rPr>
      </w:pPr>
      <w:r>
        <w:rPr>
          <w:rtl/>
          <w:lang w:bidi="fa-IR"/>
        </w:rPr>
        <w:t>ويعلم بذلك أنّ إعانة الظالم في غير الظلم جائزة ؛ لأنّ المتبادر من المنع الإعانة على الظلم ، كما أنّ إعانة الفسّاق يتبادر منها الإعانة على الفسق ، لا على المباح والواجب ، فإذا أراد فاسق أن يصلّي جاز إحضار الماء لوضوئه وهدايته للقبلة بلا إشكال ».</w:t>
      </w:r>
    </w:p>
    <w:p w:rsidR="00744A1C" w:rsidRDefault="00E378DD" w:rsidP="00E378DD">
      <w:pPr>
        <w:pStyle w:val="libFootnote0"/>
        <w:rPr>
          <w:lang w:bidi="fa-IR"/>
        </w:rPr>
      </w:pPr>
      <w:r>
        <w:rPr>
          <w:rtl/>
          <w:lang w:bidi="fa-IR"/>
        </w:rPr>
        <w:t>(9).</w:t>
      </w:r>
      <w:r w:rsidR="00744A1C">
        <w:rPr>
          <w:rtl/>
          <w:lang w:bidi="fa-IR"/>
        </w:rPr>
        <w:t xml:space="preserve"> « السرادق » : كلّ ما أحاط بشي‌ء من حائط أو مَضْرَبٍ أو خِباء. </w:t>
      </w:r>
      <w:r w:rsidR="00744A1C" w:rsidRPr="00877682">
        <w:rPr>
          <w:rStyle w:val="libFootnoteBoldChar"/>
          <w:rtl/>
        </w:rPr>
        <w:t>النهاية</w:t>
      </w:r>
      <w:r w:rsidR="00744A1C">
        <w:rPr>
          <w:rtl/>
          <w:lang w:bidi="fa-IR"/>
        </w:rPr>
        <w:t xml:space="preserve"> ، ج 2 ، ص 359 ( سردق ).</w:t>
      </w:r>
    </w:p>
    <w:p w:rsidR="00744A1C" w:rsidRDefault="00E378DD" w:rsidP="00E378DD">
      <w:pPr>
        <w:pStyle w:val="libFootnote0"/>
        <w:rPr>
          <w:lang w:bidi="fa-IR"/>
        </w:rPr>
      </w:pPr>
      <w:r>
        <w:rPr>
          <w:rtl/>
          <w:lang w:bidi="fa-IR"/>
        </w:rPr>
        <w:t>(10).</w:t>
      </w:r>
      <w:r w:rsidR="00744A1C">
        <w:rPr>
          <w:rtl/>
          <w:lang w:bidi="fa-IR"/>
        </w:rPr>
        <w:t xml:space="preserve"> في « ى » وحاشية « بس » : + « جهنّم ».</w:t>
      </w:r>
    </w:p>
    <w:p w:rsidR="00744A1C" w:rsidRDefault="00E378DD" w:rsidP="004501DA">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331 ، ح 919 ، معلّقاً عن ابن أبي عمير </w:t>
      </w:r>
      <w:r w:rsidR="004501DA">
        <w:rPr>
          <w:rFonts w:hint="cs"/>
          <w:rtl/>
          <w:lang w:bidi="fa-IR"/>
        </w:rPr>
        <w:t>.</w:t>
      </w:r>
      <w:r w:rsidR="00744A1C" w:rsidRPr="00C24F9C">
        <w:rPr>
          <w:rStyle w:val="libFootnoteBoldChar"/>
          <w:rtl/>
        </w:rPr>
        <w:t>الوافي</w:t>
      </w:r>
      <w:r w:rsidR="00744A1C">
        <w:rPr>
          <w:rtl/>
          <w:lang w:bidi="fa-IR"/>
        </w:rPr>
        <w:t xml:space="preserve"> ، ج 17 ، ص 155 ، ح 17034 ؛ </w:t>
      </w:r>
      <w:r w:rsidR="00744A1C" w:rsidRPr="00C24F9C">
        <w:rPr>
          <w:rStyle w:val="libFootnoteBoldChar"/>
          <w:rtl/>
        </w:rPr>
        <w:t>الوسائل</w:t>
      </w:r>
      <w:r w:rsidR="00744A1C">
        <w:rPr>
          <w:rtl/>
          <w:lang w:bidi="fa-IR"/>
        </w:rPr>
        <w:t xml:space="preserve"> ، ج 17 ، ص 179 ، ح 22294.</w:t>
      </w:r>
      <w:r w:rsidR="004501DA">
        <w:rPr>
          <w:rFonts w:hint="cs"/>
          <w:rtl/>
          <w:lang w:bidi="fa-IR"/>
        </w:rPr>
        <w:t xml:space="preserve">  </w:t>
      </w:r>
      <w:r>
        <w:rPr>
          <w:rtl/>
          <w:lang w:bidi="fa-IR"/>
        </w:rPr>
        <w:t>(12).</w:t>
      </w:r>
      <w:r w:rsidR="00744A1C">
        <w:rPr>
          <w:rtl/>
          <w:lang w:bidi="fa-IR"/>
        </w:rPr>
        <w:t xml:space="preserve"> في « ط » : - « محمّد ».</w:t>
      </w:r>
    </w:p>
    <w:p w:rsidR="006A5060" w:rsidRDefault="006A5060" w:rsidP="00D10E3C">
      <w:pPr>
        <w:pStyle w:val="libNormal"/>
        <w:rPr>
          <w:rtl/>
          <w:lang w:bidi="fa-IR"/>
        </w:rPr>
      </w:pPr>
      <w:r>
        <w:rPr>
          <w:rtl/>
          <w:lang w:bidi="fa-IR"/>
        </w:rPr>
        <w:br w:type="page"/>
      </w:r>
    </w:p>
    <w:p w:rsidR="00144FA6" w:rsidRDefault="00744A1C" w:rsidP="004501DA">
      <w:pPr>
        <w:pStyle w:val="libNormal0"/>
        <w:rPr>
          <w:rtl/>
          <w:lang w:bidi="fa-IR"/>
        </w:rPr>
      </w:pPr>
      <w:r>
        <w:rPr>
          <w:rtl/>
          <w:lang w:bidi="fa-IR"/>
        </w:rPr>
        <w:t xml:space="preserve">يَحْيَى بْنِ إِبْرَاهِيمَ بْنِ </w:t>
      </w:r>
      <w:r w:rsidRPr="00D10E3C">
        <w:rPr>
          <w:rStyle w:val="libFootnotenumChar"/>
          <w:rtl/>
        </w:rPr>
        <w:t>(1)</w:t>
      </w:r>
      <w:r>
        <w:rPr>
          <w:rtl/>
          <w:lang w:bidi="fa-IR"/>
        </w:rPr>
        <w:t xml:space="preserve"> مُهَاجِرٍ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فُلَانٌ يُقْرِئُكَ السَّلَامَ ، وَفُلَانٌ وَفُلَانٌ </w:t>
      </w:r>
      <w:r w:rsidRPr="00D10E3C">
        <w:rPr>
          <w:rStyle w:val="libFootnotenumChar"/>
          <w:rtl/>
        </w:rPr>
        <w:t>(2)</w:t>
      </w:r>
      <w:r>
        <w:rPr>
          <w:rtl/>
          <w:lang w:bidi="fa-IR"/>
        </w:rPr>
        <w:t xml:space="preserve"> ، فَقَ</w:t>
      </w:r>
      <w:r w:rsidR="004501DA">
        <w:rPr>
          <w:rtl/>
          <w:lang w:bidi="fa-IR"/>
        </w:rPr>
        <w:t>الَ : « وَعَلَيْهِمُ السَّلَامُ</w:t>
      </w:r>
      <w:r>
        <w:rPr>
          <w:rtl/>
          <w:lang w:bidi="fa-IR"/>
        </w:rPr>
        <w:t>».</w:t>
      </w:r>
    </w:p>
    <w:p w:rsidR="00744A1C" w:rsidRDefault="00744A1C" w:rsidP="00744A1C">
      <w:pPr>
        <w:pStyle w:val="libNormal"/>
        <w:rPr>
          <w:lang w:bidi="fa-IR"/>
        </w:rPr>
      </w:pPr>
      <w:r>
        <w:rPr>
          <w:rtl/>
          <w:lang w:bidi="fa-IR"/>
        </w:rPr>
        <w:t xml:space="preserve">قُلْتُ </w:t>
      </w:r>
      <w:r w:rsidRPr="00D10E3C">
        <w:rPr>
          <w:rStyle w:val="libFootnotenumChar"/>
          <w:rtl/>
        </w:rPr>
        <w:t>(3)</w:t>
      </w:r>
      <w:r w:rsidR="004501DA">
        <w:rPr>
          <w:rtl/>
          <w:lang w:bidi="fa-IR"/>
        </w:rPr>
        <w:t xml:space="preserve"> : يَسْأَ</w:t>
      </w:r>
      <w:r>
        <w:rPr>
          <w:rtl/>
          <w:lang w:bidi="fa-IR"/>
        </w:rPr>
        <w:t xml:space="preserve">لُونَكَ الدُّعَاءَ ، فَقَالَ : « وَمَا لَهُمْ </w:t>
      </w:r>
      <w:r w:rsidRPr="00D10E3C">
        <w:rPr>
          <w:rStyle w:val="libFootnotenumChar"/>
          <w:rtl/>
        </w:rPr>
        <w:t>(4)</w:t>
      </w:r>
      <w:r>
        <w:rPr>
          <w:rtl/>
          <w:lang w:bidi="fa-IR"/>
        </w:rPr>
        <w:t>؟ ».</w:t>
      </w:r>
    </w:p>
    <w:p w:rsidR="00744A1C" w:rsidRDefault="00744A1C" w:rsidP="00744A1C">
      <w:pPr>
        <w:pStyle w:val="libNormal"/>
        <w:rPr>
          <w:lang w:bidi="fa-IR"/>
        </w:rPr>
      </w:pPr>
      <w:r>
        <w:rPr>
          <w:rtl/>
          <w:lang w:bidi="fa-IR"/>
        </w:rPr>
        <w:t xml:space="preserve">قُلْتُ : حَبَسَهُمْ أَبُو جَعْفَرٍ ، فَقَالَ : « وَمَا لَهُمْ </w:t>
      </w:r>
      <w:r w:rsidRPr="00D10E3C">
        <w:rPr>
          <w:rStyle w:val="libFootnotenumChar"/>
          <w:rtl/>
        </w:rPr>
        <w:t>(5)</w:t>
      </w:r>
      <w:r>
        <w:rPr>
          <w:rtl/>
          <w:lang w:bidi="fa-IR"/>
        </w:rPr>
        <w:t xml:space="preserve"> ، وَمَا لَهُ؟ ».</w:t>
      </w:r>
    </w:p>
    <w:p w:rsidR="00744A1C" w:rsidRDefault="00744A1C" w:rsidP="00744A1C">
      <w:pPr>
        <w:pStyle w:val="libNormal"/>
        <w:rPr>
          <w:lang w:bidi="fa-IR"/>
        </w:rPr>
      </w:pPr>
      <w:r>
        <w:rPr>
          <w:rtl/>
          <w:lang w:bidi="fa-IR"/>
        </w:rPr>
        <w:t xml:space="preserve">قُلْتُ : اسْتَعْمَلَهُمْ ، فَحَبَسَهُمْ ، فَقَالَ : « وَمَا لَهُمْ </w:t>
      </w:r>
      <w:r w:rsidRPr="00D10E3C">
        <w:rPr>
          <w:rStyle w:val="libFootnotenumChar"/>
          <w:rtl/>
        </w:rPr>
        <w:t>(6)</w:t>
      </w:r>
      <w:r>
        <w:rPr>
          <w:rtl/>
          <w:lang w:bidi="fa-IR"/>
        </w:rPr>
        <w:t xml:space="preserve"> ، وَمَا لَهُ؟ أَلَمْ أَنْهَهُمْ ، أَلَمْ أَنْهَهُمْ ، أَلَمْ أَنْهَهُمْ؟ هُمُ النَّارُ ، هُمُ النَّارُ ، هُمُ النَّارُ » قَالَ </w:t>
      </w:r>
      <w:r w:rsidRPr="00D10E3C">
        <w:rPr>
          <w:rStyle w:val="libFootnotenumChar"/>
          <w:rtl/>
        </w:rPr>
        <w:t>(7)</w:t>
      </w:r>
      <w:r>
        <w:rPr>
          <w:rtl/>
          <w:lang w:bidi="fa-IR"/>
        </w:rPr>
        <w:t xml:space="preserve"> : ثُمَّ قَالَ : « الل</w:t>
      </w:r>
      <w:r w:rsidR="004501DA">
        <w:rPr>
          <w:rFonts w:hint="cs"/>
          <w:rtl/>
          <w:lang w:bidi="fa-IR"/>
        </w:rPr>
        <w:t>ّ</w:t>
      </w:r>
      <w:r>
        <w:rPr>
          <w:rtl/>
          <w:lang w:bidi="fa-IR"/>
        </w:rPr>
        <w:t xml:space="preserve">هُمَّ اخْدَعْ </w:t>
      </w:r>
      <w:r w:rsidRPr="00D10E3C">
        <w:rPr>
          <w:rStyle w:val="libFootnotenumChar"/>
          <w:rtl/>
        </w:rPr>
        <w:t>(8)</w:t>
      </w:r>
      <w:r w:rsidR="004501DA">
        <w:rPr>
          <w:rtl/>
          <w:lang w:bidi="fa-IR"/>
        </w:rPr>
        <w:t xml:space="preserve"> عَنْهُمْ سُلْطَانَهُمْ</w:t>
      </w:r>
      <w:r>
        <w:rPr>
          <w:rtl/>
          <w:lang w:bidi="fa-IR"/>
        </w:rPr>
        <w:t>».</w:t>
      </w:r>
    </w:p>
    <w:p w:rsidR="00144FA6" w:rsidRDefault="00744A1C" w:rsidP="00744A1C">
      <w:pPr>
        <w:pStyle w:val="libNormal"/>
        <w:rPr>
          <w:rtl/>
          <w:lang w:bidi="fa-IR"/>
        </w:rPr>
      </w:pPr>
      <w:r>
        <w:rPr>
          <w:rtl/>
          <w:lang w:bidi="fa-IR"/>
        </w:rPr>
        <w:t xml:space="preserve">قَالَ : فَانْصَرَفْتُ </w:t>
      </w:r>
      <w:r w:rsidRPr="00D10E3C">
        <w:rPr>
          <w:rStyle w:val="libFootnotenumChar"/>
          <w:rtl/>
        </w:rPr>
        <w:t>(9)</w:t>
      </w:r>
      <w:r>
        <w:rPr>
          <w:rtl/>
          <w:lang w:bidi="fa-IR"/>
        </w:rPr>
        <w:t xml:space="preserve"> مِنْ مَكَّةَ ، فَسَأَلْتُ </w:t>
      </w:r>
      <w:r w:rsidRPr="00D10E3C">
        <w:rPr>
          <w:rStyle w:val="libFootnotenumChar"/>
          <w:rtl/>
        </w:rPr>
        <w:t>(10)</w:t>
      </w:r>
      <w:r>
        <w:rPr>
          <w:rtl/>
          <w:lang w:bidi="fa-IR"/>
        </w:rPr>
        <w:t xml:space="preserve"> عَنْهُمْ ، فَإِذَا هُمْ </w:t>
      </w:r>
      <w:r w:rsidRPr="00D10E3C">
        <w:rPr>
          <w:rStyle w:val="libFootnotenumChar"/>
          <w:rtl/>
        </w:rPr>
        <w:t>(11)</w:t>
      </w:r>
      <w:r>
        <w:rPr>
          <w:rtl/>
          <w:lang w:bidi="fa-IR"/>
        </w:rPr>
        <w:t xml:space="preserve"> قَدْ أُخْرِجُوا </w:t>
      </w:r>
      <w:r w:rsidRPr="00D10E3C">
        <w:rPr>
          <w:rStyle w:val="libFootnotenumChar"/>
          <w:rtl/>
        </w:rPr>
        <w:t>(12)</w:t>
      </w:r>
      <w:r>
        <w:rPr>
          <w:rtl/>
          <w:lang w:bidi="fa-IR"/>
        </w:rPr>
        <w:t xml:space="preserve"> بَعْدَ هذَا </w:t>
      </w:r>
      <w:r w:rsidRPr="00D10E3C">
        <w:rPr>
          <w:rStyle w:val="libFootnotenumChar"/>
          <w:rtl/>
        </w:rPr>
        <w:t>(13)</w:t>
      </w:r>
      <w:r>
        <w:rPr>
          <w:rtl/>
          <w:lang w:bidi="fa-IR"/>
        </w:rPr>
        <w:t xml:space="preserve"> الْكَلَامِ بِثَلَاثَةِ أَيَّامٍ. </w:t>
      </w:r>
      <w:r w:rsidRPr="00D10E3C">
        <w:rPr>
          <w:rStyle w:val="libFootnotenumChar"/>
          <w:rtl/>
        </w:rPr>
        <w:t>(14)</w:t>
      </w:r>
    </w:p>
    <w:p w:rsidR="00144FA6" w:rsidRDefault="00744A1C" w:rsidP="00744A1C">
      <w:pPr>
        <w:pStyle w:val="libNormal"/>
        <w:rPr>
          <w:rtl/>
          <w:lang w:bidi="fa-IR"/>
        </w:rPr>
      </w:pPr>
      <w:r>
        <w:rPr>
          <w:rtl/>
          <w:lang w:bidi="fa-IR"/>
        </w:rPr>
        <w:t>8514 / 9. عَلِيُّ بْنُ إِبْرَاهِيمَ ، عَنْ أَبِيهِ ، عَنِ ابْنِ أَبِي عُمَيْرٍ ، عَنْ دَاوُدَ بْنِ زُرْبِيٍّ ، قَالَ :</w:t>
      </w:r>
    </w:p>
    <w:p w:rsidR="00144FA6" w:rsidRDefault="00744A1C" w:rsidP="00744A1C">
      <w:pPr>
        <w:pStyle w:val="libNormal"/>
        <w:rPr>
          <w:rtl/>
          <w:lang w:bidi="fa-IR"/>
        </w:rPr>
      </w:pPr>
      <w:r>
        <w:rPr>
          <w:rtl/>
          <w:lang w:bidi="fa-IR"/>
        </w:rPr>
        <w:t xml:space="preserve">أَخْبَرَنِي مَوْلًى لِعَلِيِّ بْنِ الْحُسَيْنِ </w:t>
      </w:r>
      <w:r w:rsidR="008859AA" w:rsidRPr="008859AA">
        <w:rPr>
          <w:rStyle w:val="libAlaemChar"/>
          <w:rtl/>
        </w:rPr>
        <w:t>عليهما‌السلام</w:t>
      </w:r>
      <w:r>
        <w:rPr>
          <w:rtl/>
          <w:lang w:bidi="fa-IR"/>
        </w:rPr>
        <w:t xml:space="preserve">، قَالَ : كُنْتُ بِالْكُوفَةِ ، فَقَدِمَ أَبُو عَبْدِ اللهِ </w:t>
      </w:r>
      <w:r w:rsidR="0061079A" w:rsidRPr="0061079A">
        <w:rPr>
          <w:rStyle w:val="libAlaemChar"/>
          <w:rtl/>
        </w:rPr>
        <w:t>عليه‌السلام</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4501DA" w:rsidTr="004501DA">
        <w:tc>
          <w:tcPr>
            <w:tcW w:w="4006" w:type="dxa"/>
          </w:tcPr>
          <w:p w:rsidR="004501DA" w:rsidRDefault="004501DA" w:rsidP="00D10E3C">
            <w:pPr>
              <w:pStyle w:val="libFootnote0"/>
              <w:rPr>
                <w:rtl/>
                <w:lang w:bidi="fa-IR"/>
              </w:rPr>
            </w:pPr>
            <w:r>
              <w:rPr>
                <w:rtl/>
                <w:lang w:bidi="fa-IR"/>
              </w:rPr>
              <w:t xml:space="preserve">(1). في « بخ ، بف » </w:t>
            </w:r>
            <w:r w:rsidRPr="004501DA">
              <w:rPr>
                <w:rtl/>
              </w:rPr>
              <w:t>والوافي</w:t>
            </w:r>
            <w:r>
              <w:rPr>
                <w:rtl/>
                <w:lang w:bidi="fa-IR"/>
              </w:rPr>
              <w:t xml:space="preserve"> : « عن ».</w:t>
            </w:r>
          </w:p>
        </w:tc>
        <w:tc>
          <w:tcPr>
            <w:tcW w:w="4006" w:type="dxa"/>
          </w:tcPr>
          <w:p w:rsidR="004501DA" w:rsidRDefault="004501DA" w:rsidP="00D10E3C">
            <w:pPr>
              <w:pStyle w:val="libFootnote0"/>
              <w:rPr>
                <w:rtl/>
                <w:lang w:bidi="fa-IR"/>
              </w:rPr>
            </w:pPr>
            <w:r>
              <w:rPr>
                <w:rtl/>
                <w:lang w:bidi="fa-IR"/>
              </w:rPr>
              <w:t>(2). في « جن » : - « وفلان ».</w:t>
            </w:r>
          </w:p>
        </w:tc>
      </w:tr>
    </w:tbl>
    <w:p w:rsidR="00744A1C" w:rsidRDefault="00E378DD" w:rsidP="00E378DD">
      <w:pPr>
        <w:pStyle w:val="libFootnote0"/>
        <w:rPr>
          <w:lang w:bidi="fa-IR"/>
        </w:rPr>
      </w:pPr>
      <w:r>
        <w:rPr>
          <w:rtl/>
          <w:lang w:bidi="fa-IR"/>
        </w:rPr>
        <w:t>(3).</w:t>
      </w:r>
      <w:r w:rsidR="00744A1C">
        <w:rPr>
          <w:rtl/>
          <w:lang w:bidi="fa-IR"/>
        </w:rPr>
        <w:t xml:space="preserve"> في « بخ ، بف ، جت » </w:t>
      </w:r>
      <w:r w:rsidR="00744A1C" w:rsidRPr="004501DA">
        <w:rPr>
          <w:rtl/>
        </w:rPr>
        <w:t>والوافي والوسائل</w:t>
      </w:r>
      <w:r w:rsidR="00744A1C">
        <w:rPr>
          <w:rtl/>
          <w:lang w:bidi="fa-IR"/>
        </w:rPr>
        <w:t xml:space="preserve"> : « فقلت ».</w:t>
      </w:r>
    </w:p>
    <w:tbl>
      <w:tblPr>
        <w:tblStyle w:val="TableGrid"/>
        <w:bidiVisual/>
        <w:tblW w:w="0" w:type="auto"/>
        <w:tblLook w:val="04A0" w:firstRow="1" w:lastRow="0" w:firstColumn="1" w:lastColumn="0" w:noHBand="0" w:noVBand="1"/>
      </w:tblPr>
      <w:tblGrid>
        <w:gridCol w:w="4006"/>
        <w:gridCol w:w="4006"/>
      </w:tblGrid>
      <w:tr w:rsidR="004501DA" w:rsidTr="004501DA">
        <w:tc>
          <w:tcPr>
            <w:tcW w:w="4006" w:type="dxa"/>
          </w:tcPr>
          <w:p w:rsidR="004501DA" w:rsidRDefault="004501DA" w:rsidP="00E378DD">
            <w:pPr>
              <w:pStyle w:val="libFootnote0"/>
              <w:rPr>
                <w:rtl/>
                <w:lang w:bidi="fa-IR"/>
              </w:rPr>
            </w:pPr>
            <w:r>
              <w:rPr>
                <w:rtl/>
                <w:lang w:bidi="fa-IR"/>
              </w:rPr>
              <w:t>(4). في « ط » : « فما لهم ».</w:t>
            </w:r>
          </w:p>
        </w:tc>
        <w:tc>
          <w:tcPr>
            <w:tcW w:w="4006" w:type="dxa"/>
          </w:tcPr>
          <w:p w:rsidR="004501DA" w:rsidRDefault="005D2B3B" w:rsidP="00E378DD">
            <w:pPr>
              <w:pStyle w:val="libFootnote0"/>
              <w:rPr>
                <w:rtl/>
                <w:lang w:bidi="fa-IR"/>
              </w:rPr>
            </w:pPr>
            <w:r>
              <w:rPr>
                <w:rtl/>
                <w:lang w:bidi="fa-IR"/>
              </w:rPr>
              <w:t>(5). في «بخ،</w:t>
            </w:r>
            <w:r w:rsidR="004501DA">
              <w:rPr>
                <w:rtl/>
                <w:lang w:bidi="fa-IR"/>
              </w:rPr>
              <w:t>ب</w:t>
            </w:r>
            <w:r>
              <w:rPr>
                <w:rtl/>
                <w:lang w:bidi="fa-IR"/>
              </w:rPr>
              <w:t>ف</w:t>
            </w:r>
            <w:r w:rsidR="004501DA">
              <w:rPr>
                <w:rtl/>
                <w:lang w:bidi="fa-IR"/>
              </w:rPr>
              <w:t>» و</w:t>
            </w:r>
            <w:r w:rsidR="004501DA" w:rsidRPr="00C24F9C">
              <w:rPr>
                <w:rStyle w:val="libFootnoteBoldChar"/>
                <w:rtl/>
              </w:rPr>
              <w:t>الوافي</w:t>
            </w:r>
            <w:r>
              <w:rPr>
                <w:rtl/>
                <w:lang w:bidi="fa-IR"/>
              </w:rPr>
              <w:t xml:space="preserve"> : «</w:t>
            </w:r>
            <w:r w:rsidR="004501DA">
              <w:rPr>
                <w:rtl/>
                <w:lang w:bidi="fa-IR"/>
              </w:rPr>
              <w:t>ما لهم » بدون الواو.</w:t>
            </w:r>
          </w:p>
        </w:tc>
      </w:tr>
      <w:tr w:rsidR="004501DA" w:rsidTr="004501DA">
        <w:tc>
          <w:tcPr>
            <w:tcW w:w="4006" w:type="dxa"/>
          </w:tcPr>
          <w:p w:rsidR="004501DA" w:rsidRDefault="004501DA" w:rsidP="00E378DD">
            <w:pPr>
              <w:pStyle w:val="libFootnote0"/>
              <w:rPr>
                <w:rtl/>
                <w:lang w:bidi="fa-IR"/>
              </w:rPr>
            </w:pPr>
            <w:r>
              <w:rPr>
                <w:rtl/>
                <w:lang w:bidi="fa-IR"/>
              </w:rPr>
              <w:t>(6). في «بخ،بف» و</w:t>
            </w:r>
            <w:r w:rsidRPr="00C24F9C">
              <w:rPr>
                <w:rStyle w:val="libFootnoteBoldChar"/>
                <w:rtl/>
              </w:rPr>
              <w:t>الوافي</w:t>
            </w:r>
            <w:r>
              <w:rPr>
                <w:rtl/>
                <w:lang w:bidi="fa-IR"/>
              </w:rPr>
              <w:t xml:space="preserve"> : « ما لهم » بدون الواو.</w:t>
            </w:r>
          </w:p>
        </w:tc>
        <w:tc>
          <w:tcPr>
            <w:tcW w:w="4006" w:type="dxa"/>
          </w:tcPr>
          <w:p w:rsidR="004501DA" w:rsidRDefault="004501DA" w:rsidP="00E378DD">
            <w:pPr>
              <w:pStyle w:val="libFootnote0"/>
              <w:rPr>
                <w:rtl/>
                <w:lang w:bidi="fa-IR"/>
              </w:rPr>
            </w:pPr>
            <w:r>
              <w:rPr>
                <w:rtl/>
                <w:lang w:bidi="fa-IR"/>
              </w:rPr>
              <w:t xml:space="preserve">(7). في «ى،بح،بس،جد» </w:t>
            </w:r>
            <w:r w:rsidRPr="004501DA">
              <w:rPr>
                <w:rtl/>
              </w:rPr>
              <w:t>والوسائل والبحار</w:t>
            </w:r>
            <w:r>
              <w:rPr>
                <w:rtl/>
                <w:lang w:bidi="fa-IR"/>
              </w:rPr>
              <w:t>:-«قال».</w:t>
            </w:r>
          </w:p>
        </w:tc>
      </w:tr>
    </w:tbl>
    <w:p w:rsidR="00744A1C" w:rsidRDefault="00E378DD" w:rsidP="00E378DD">
      <w:pPr>
        <w:pStyle w:val="libFootnote0"/>
        <w:rPr>
          <w:lang w:bidi="fa-IR"/>
        </w:rPr>
      </w:pPr>
      <w:r>
        <w:rPr>
          <w:rtl/>
          <w:lang w:bidi="fa-IR"/>
        </w:rPr>
        <w:t>(8).</w:t>
      </w:r>
      <w:r w:rsidR="00744A1C">
        <w:rPr>
          <w:rtl/>
          <w:lang w:bidi="fa-IR"/>
        </w:rPr>
        <w:t xml:space="preserve"> في « ي » : « اجذع ». وفي « بس ، جد » </w:t>
      </w:r>
      <w:r w:rsidR="00744A1C" w:rsidRPr="004501DA">
        <w:rPr>
          <w:rtl/>
        </w:rPr>
        <w:t>والوافي والوسائل</w:t>
      </w:r>
      <w:r w:rsidR="00744A1C">
        <w:rPr>
          <w:rtl/>
          <w:lang w:bidi="fa-IR"/>
        </w:rPr>
        <w:t xml:space="preserve"> : « اجدع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الل</w:t>
      </w:r>
      <w:r w:rsidR="004501DA">
        <w:rPr>
          <w:rFonts w:hint="cs"/>
          <w:rtl/>
          <w:lang w:bidi="fa-IR"/>
        </w:rPr>
        <w:t>ّ</w:t>
      </w:r>
      <w:r w:rsidR="00744A1C">
        <w:rPr>
          <w:rtl/>
          <w:lang w:bidi="fa-IR"/>
        </w:rPr>
        <w:t>همّ اخدع ، كأنّ الخدع كناية عن تحويل قلبه عن ضررهم ، أو اشتغاله بما يصير سبباً لغفلته عنهم. وربّما يقرأ بالجيم والدال المهملة بمعنى الحبس والقطع ».</w:t>
      </w:r>
    </w:p>
    <w:p w:rsidR="00744A1C" w:rsidRDefault="00E378DD" w:rsidP="00E378DD">
      <w:pPr>
        <w:pStyle w:val="libFootnote0"/>
        <w:rPr>
          <w:lang w:bidi="fa-IR"/>
        </w:rPr>
      </w:pPr>
      <w:r>
        <w:rPr>
          <w:rtl/>
          <w:lang w:bidi="fa-IR"/>
        </w:rPr>
        <w:t>(9).</w:t>
      </w:r>
      <w:r w:rsidR="00744A1C">
        <w:rPr>
          <w:rtl/>
          <w:lang w:bidi="fa-IR"/>
        </w:rPr>
        <w:t xml:space="preserve"> في « ط ، ى ، بح ، بس ، جت ، جد ، جن » </w:t>
      </w:r>
      <w:r w:rsidR="00744A1C" w:rsidRPr="004501DA">
        <w:rPr>
          <w:rtl/>
        </w:rPr>
        <w:t>والوسائل والبحار</w:t>
      </w:r>
      <w:r w:rsidR="00744A1C">
        <w:rPr>
          <w:rtl/>
          <w:lang w:bidi="fa-IR"/>
        </w:rPr>
        <w:t xml:space="preserve"> : « فانصرفنا ».</w:t>
      </w:r>
    </w:p>
    <w:p w:rsidR="00744A1C" w:rsidRDefault="00E378DD" w:rsidP="00E378DD">
      <w:pPr>
        <w:pStyle w:val="libFootnote0"/>
        <w:rPr>
          <w:lang w:bidi="fa-IR"/>
        </w:rPr>
      </w:pPr>
      <w:r>
        <w:rPr>
          <w:rtl/>
          <w:lang w:bidi="fa-IR"/>
        </w:rPr>
        <w:t>(10).</w:t>
      </w:r>
      <w:r w:rsidR="00744A1C">
        <w:rPr>
          <w:rtl/>
          <w:lang w:bidi="fa-IR"/>
        </w:rPr>
        <w:t xml:space="preserve"> في « ى ، بح ، بس ، جت ، جد ، جن » </w:t>
      </w:r>
      <w:r w:rsidR="00744A1C" w:rsidRPr="004501DA">
        <w:rPr>
          <w:rtl/>
        </w:rPr>
        <w:t>والوسائل</w:t>
      </w:r>
      <w:r w:rsidR="00744A1C">
        <w:rPr>
          <w:rtl/>
          <w:lang w:bidi="fa-IR"/>
        </w:rPr>
        <w:t xml:space="preserve"> : « فسألنا ».</w:t>
      </w:r>
    </w:p>
    <w:tbl>
      <w:tblPr>
        <w:tblStyle w:val="TableGrid"/>
        <w:bidiVisual/>
        <w:tblW w:w="0" w:type="auto"/>
        <w:tblLook w:val="04A0" w:firstRow="1" w:lastRow="0" w:firstColumn="1" w:lastColumn="0" w:noHBand="0" w:noVBand="1"/>
      </w:tblPr>
      <w:tblGrid>
        <w:gridCol w:w="4006"/>
        <w:gridCol w:w="4006"/>
      </w:tblGrid>
      <w:tr w:rsidR="004501DA" w:rsidTr="004501DA">
        <w:tc>
          <w:tcPr>
            <w:tcW w:w="4006" w:type="dxa"/>
          </w:tcPr>
          <w:p w:rsidR="004501DA" w:rsidRDefault="004501DA" w:rsidP="00E378DD">
            <w:pPr>
              <w:pStyle w:val="libFootnote0"/>
              <w:rPr>
                <w:rtl/>
                <w:lang w:bidi="fa-IR"/>
              </w:rPr>
            </w:pPr>
            <w:r>
              <w:rPr>
                <w:rtl/>
                <w:lang w:bidi="fa-IR"/>
              </w:rPr>
              <w:t>(11). في « ى » : - « هم ».</w:t>
            </w:r>
          </w:p>
        </w:tc>
        <w:tc>
          <w:tcPr>
            <w:tcW w:w="4006" w:type="dxa"/>
          </w:tcPr>
          <w:p w:rsidR="004501DA" w:rsidRDefault="004501DA" w:rsidP="00E378DD">
            <w:pPr>
              <w:pStyle w:val="libFootnote0"/>
              <w:rPr>
                <w:rtl/>
                <w:lang w:bidi="fa-IR"/>
              </w:rPr>
            </w:pPr>
            <w:r>
              <w:rPr>
                <w:rtl/>
                <w:lang w:bidi="fa-IR"/>
              </w:rPr>
              <w:t>(12). في « جن » : « خرجوا ».</w:t>
            </w:r>
          </w:p>
        </w:tc>
      </w:tr>
    </w:tbl>
    <w:p w:rsidR="00744A1C" w:rsidRDefault="00E378DD" w:rsidP="00E378DD">
      <w:pPr>
        <w:pStyle w:val="libFootnote0"/>
        <w:rPr>
          <w:lang w:bidi="fa-IR"/>
        </w:rPr>
      </w:pPr>
      <w:r>
        <w:rPr>
          <w:rtl/>
          <w:lang w:bidi="fa-IR"/>
        </w:rPr>
        <w:t>(13).</w:t>
      </w:r>
      <w:r w:rsidR="00744A1C">
        <w:rPr>
          <w:rtl/>
          <w:lang w:bidi="fa-IR"/>
        </w:rPr>
        <w:t xml:space="preserve"> في « ط ، ى ، بح ، جن » </w:t>
      </w:r>
      <w:r w:rsidR="00744A1C" w:rsidRPr="004501DA">
        <w:rPr>
          <w:rtl/>
        </w:rPr>
        <w:t>والوسائل والبحار</w:t>
      </w:r>
      <w:r w:rsidR="00744A1C">
        <w:rPr>
          <w:rtl/>
          <w:lang w:bidi="fa-IR"/>
        </w:rPr>
        <w:t xml:space="preserve"> : - « هذا ».</w:t>
      </w:r>
    </w:p>
    <w:p w:rsidR="00744A1C" w:rsidRDefault="00E378DD" w:rsidP="00E378DD">
      <w:pPr>
        <w:pStyle w:val="libFootnote0"/>
        <w:rPr>
          <w:lang w:bidi="fa-IR"/>
        </w:rPr>
      </w:pPr>
      <w:r>
        <w:rPr>
          <w:rtl/>
          <w:lang w:bidi="fa-IR"/>
        </w:rPr>
        <w:t>(14).</w:t>
      </w:r>
      <w:r w:rsidR="00744A1C">
        <w:rPr>
          <w:rtl/>
          <w:lang w:bidi="fa-IR"/>
        </w:rPr>
        <w:t xml:space="preserve"> </w:t>
      </w:r>
      <w:r w:rsidR="00744A1C" w:rsidRPr="00C24F9C">
        <w:rPr>
          <w:rStyle w:val="libFootnoteBoldChar"/>
          <w:rtl/>
        </w:rPr>
        <w:t>الوافي</w:t>
      </w:r>
      <w:r w:rsidR="00744A1C">
        <w:rPr>
          <w:rtl/>
          <w:lang w:bidi="fa-IR"/>
        </w:rPr>
        <w:t xml:space="preserve"> ، ج 17 ، ص 156 ، ح 17035 ؛ </w:t>
      </w:r>
      <w:r w:rsidR="00744A1C" w:rsidRPr="00C24F9C">
        <w:rPr>
          <w:rStyle w:val="libFootnoteBoldChar"/>
          <w:rtl/>
        </w:rPr>
        <w:t>الوسائل</w:t>
      </w:r>
      <w:r w:rsidR="00744A1C">
        <w:rPr>
          <w:rtl/>
          <w:lang w:bidi="fa-IR"/>
        </w:rPr>
        <w:t xml:space="preserve"> ، ج 17 ، ص 188 ، ح 22316 ؛ </w:t>
      </w:r>
      <w:r w:rsidR="00744A1C" w:rsidRPr="0061079A">
        <w:rPr>
          <w:rStyle w:val="libFootnoteBoldChar"/>
          <w:rtl/>
        </w:rPr>
        <w:t>البحار</w:t>
      </w:r>
      <w:r w:rsidR="00744A1C">
        <w:rPr>
          <w:rtl/>
          <w:lang w:bidi="fa-IR"/>
        </w:rPr>
        <w:t xml:space="preserve"> ، ج 47 ، ص 158 ، ح 225.</w:t>
      </w:r>
    </w:p>
    <w:p w:rsidR="006A5060" w:rsidRDefault="006A5060" w:rsidP="00D10E3C">
      <w:pPr>
        <w:pStyle w:val="libNormal"/>
        <w:rPr>
          <w:rtl/>
          <w:lang w:bidi="fa-IR"/>
        </w:rPr>
      </w:pPr>
      <w:r>
        <w:rPr>
          <w:rtl/>
          <w:lang w:bidi="fa-IR"/>
        </w:rPr>
        <w:br w:type="page"/>
      </w:r>
    </w:p>
    <w:p w:rsidR="00744A1C" w:rsidRDefault="00744A1C" w:rsidP="004501DA">
      <w:pPr>
        <w:pStyle w:val="libNormal0"/>
        <w:rPr>
          <w:lang w:bidi="fa-IR"/>
        </w:rPr>
      </w:pPr>
      <w:r>
        <w:rPr>
          <w:rtl/>
          <w:lang w:bidi="fa-IR"/>
        </w:rPr>
        <w:t xml:space="preserve">الْحِيرَةَ </w:t>
      </w:r>
      <w:r w:rsidRPr="00D10E3C">
        <w:rPr>
          <w:rStyle w:val="libFootnotenumChar"/>
          <w:rtl/>
        </w:rPr>
        <w:t>(1)</w:t>
      </w:r>
      <w:r>
        <w:rPr>
          <w:rtl/>
          <w:lang w:bidi="fa-IR"/>
        </w:rPr>
        <w:t xml:space="preserve"> ، فَأَتَيْتُهُ ، فَقُلْتُ لَهُ </w:t>
      </w:r>
      <w:r w:rsidRPr="00D10E3C">
        <w:rPr>
          <w:rStyle w:val="libFootnotenumChar"/>
          <w:rtl/>
        </w:rPr>
        <w:t>(2)</w:t>
      </w:r>
      <w:r>
        <w:rPr>
          <w:rtl/>
          <w:lang w:bidi="fa-IR"/>
        </w:rPr>
        <w:t xml:space="preserve"> : جُعِلْتُ فِدَاكَ ، لَوْ كَلَّمْتَ دَاوُدَ بْنَ عَلِيٍّ أَوْ بَعْضَ هؤُلَاءِ ، فَأَدْخُلَ </w:t>
      </w:r>
      <w:r w:rsidRPr="00D10E3C">
        <w:rPr>
          <w:rStyle w:val="libFootnotenumChar"/>
          <w:rtl/>
        </w:rPr>
        <w:t>(3)</w:t>
      </w:r>
      <w:r>
        <w:rPr>
          <w:rtl/>
          <w:lang w:bidi="fa-IR"/>
        </w:rPr>
        <w:t xml:space="preserve"> فِي بَعْضِ هذِهِ الْوِلَايَاتِ.</w:t>
      </w:r>
    </w:p>
    <w:p w:rsidR="00744A1C" w:rsidRDefault="00744A1C" w:rsidP="00744A1C">
      <w:pPr>
        <w:pStyle w:val="libNormal"/>
        <w:rPr>
          <w:lang w:bidi="fa-IR"/>
        </w:rPr>
      </w:pPr>
      <w:r>
        <w:rPr>
          <w:rtl/>
          <w:lang w:bidi="fa-IR"/>
        </w:rPr>
        <w:t>فَقَالَ : « مَا كُنْتُ لِأَفْعَلَ ».</w:t>
      </w:r>
    </w:p>
    <w:p w:rsidR="00744A1C" w:rsidRDefault="00744A1C" w:rsidP="00744A1C">
      <w:pPr>
        <w:pStyle w:val="libNormal"/>
        <w:rPr>
          <w:lang w:bidi="fa-IR"/>
        </w:rPr>
      </w:pPr>
      <w:r>
        <w:rPr>
          <w:rtl/>
          <w:lang w:bidi="fa-IR"/>
        </w:rPr>
        <w:t xml:space="preserve">قَالَ : فَانْصَرَفْتُ إِلى مَنْزِلِي ، فَتَفَكَّرْتُ ، فَقُلْتُ : مَا أَحْسَبُهُ مَنَعَنِي </w:t>
      </w:r>
      <w:r w:rsidRPr="00D10E3C">
        <w:rPr>
          <w:rStyle w:val="libFootnotenumChar"/>
          <w:rtl/>
        </w:rPr>
        <w:t>(4)</w:t>
      </w:r>
      <w:r w:rsidR="004501DA">
        <w:rPr>
          <w:rtl/>
          <w:lang w:bidi="fa-IR"/>
        </w:rPr>
        <w:t xml:space="preserve"> إِل</w:t>
      </w:r>
      <w:r w:rsidR="004501DA">
        <w:rPr>
          <w:rFonts w:hint="cs"/>
          <w:rtl/>
          <w:lang w:bidi="fa-IR"/>
        </w:rPr>
        <w:t>َّ</w:t>
      </w:r>
      <w:r w:rsidR="004501DA">
        <w:rPr>
          <w:rtl/>
          <w:lang w:bidi="fa-IR"/>
        </w:rPr>
        <w:t>ا</w:t>
      </w:r>
      <w:r>
        <w:rPr>
          <w:rtl/>
          <w:lang w:bidi="fa-IR"/>
        </w:rPr>
        <w:t xml:space="preserve"> مَخَافَةَ أَنْ أَظْلِمَ أَوْ أَجُورَ ، وَاللهِ لآتِيَنَّهُ ، وَلَأُعْطِيَنَّهُ الطَّلَاقَ وَالْعَتَاقَ وَال</w:t>
      </w:r>
      <w:r w:rsidR="004501DA">
        <w:rPr>
          <w:rtl/>
          <w:lang w:bidi="fa-IR"/>
        </w:rPr>
        <w:t>ْأَيْمَانَ الْمُغَلَّظَةَ أَل</w:t>
      </w:r>
      <w:r w:rsidR="004501DA">
        <w:rPr>
          <w:rFonts w:hint="cs"/>
          <w:rtl/>
          <w:lang w:bidi="fa-IR"/>
        </w:rPr>
        <w:t>َّ</w:t>
      </w:r>
      <w:r w:rsidR="004501DA">
        <w:rPr>
          <w:rtl/>
          <w:lang w:bidi="fa-IR"/>
        </w:rPr>
        <w:t>ا</w:t>
      </w:r>
      <w:r>
        <w:rPr>
          <w:rtl/>
          <w:lang w:bidi="fa-IR"/>
        </w:rPr>
        <w:t xml:space="preserve"> أَظْلِمَ أَحَداً وَلَا أَجُورَ ، وَلَأَعْدِلَنَّ.</w:t>
      </w:r>
    </w:p>
    <w:p w:rsidR="00744A1C" w:rsidRDefault="00744A1C" w:rsidP="00744A1C">
      <w:pPr>
        <w:pStyle w:val="libNormal"/>
        <w:rPr>
          <w:lang w:bidi="fa-IR"/>
        </w:rPr>
      </w:pPr>
      <w:r>
        <w:rPr>
          <w:rtl/>
          <w:lang w:bidi="fa-IR"/>
        </w:rPr>
        <w:t xml:space="preserve">قَالَ : فَأَتَيْتُهُ ، فَقُلْتُ : جُعِلْتُ فِدَاكَ ، إِنِّي فَكَّرْتُ فِي إِبَائِكَ عَلَيَّ </w:t>
      </w:r>
      <w:r w:rsidRPr="00D10E3C">
        <w:rPr>
          <w:rStyle w:val="libFootnotenumChar"/>
          <w:rtl/>
        </w:rPr>
        <w:t>(5)</w:t>
      </w:r>
      <w:r>
        <w:rPr>
          <w:rtl/>
          <w:lang w:bidi="fa-IR"/>
        </w:rPr>
        <w:t xml:space="preserve"> ، فَظَنَنْتُ </w:t>
      </w:r>
      <w:r w:rsidRPr="00D10E3C">
        <w:rPr>
          <w:rStyle w:val="libFootnotenumChar"/>
          <w:rtl/>
        </w:rPr>
        <w:t>(6)</w:t>
      </w:r>
      <w:r>
        <w:rPr>
          <w:rtl/>
          <w:lang w:bidi="fa-IR"/>
        </w:rPr>
        <w:t xml:space="preserve"> أَنَّكَ إِنَّمَا مَنَعْتَنِي وَكَرِهْتَ </w:t>
      </w:r>
      <w:r w:rsidRPr="00D10E3C">
        <w:rPr>
          <w:rStyle w:val="libFootnotenumChar"/>
          <w:rtl/>
        </w:rPr>
        <w:t>(7)</w:t>
      </w:r>
      <w:r>
        <w:rPr>
          <w:rtl/>
          <w:lang w:bidi="fa-IR"/>
        </w:rPr>
        <w:t xml:space="preserve"> ذلِكَ مَخَافَةَ أَنْ أَجُورَ أَوْ أَظْلِمَ </w:t>
      </w:r>
      <w:r w:rsidRPr="00D10E3C">
        <w:rPr>
          <w:rStyle w:val="libFootnotenumChar"/>
          <w:rtl/>
        </w:rPr>
        <w:t>(8)</w:t>
      </w:r>
      <w:r>
        <w:rPr>
          <w:rtl/>
          <w:lang w:bidi="fa-IR"/>
        </w:rPr>
        <w:t xml:space="preserve"> ، وَإِنَّ كُلَّ امْرَأَةٍ لِي طَالِقٌ ، وَكُلَّ مَمْلُوكٍ لِي حُرٌّ ، وَعَلَيَّ </w:t>
      </w:r>
      <w:r w:rsidRPr="00D10E3C">
        <w:rPr>
          <w:rStyle w:val="libFootnotenumChar"/>
          <w:rtl/>
        </w:rPr>
        <w:t>(9)</w:t>
      </w:r>
      <w:r>
        <w:rPr>
          <w:rtl/>
          <w:lang w:bidi="fa-IR"/>
        </w:rPr>
        <w:t xml:space="preserve"> وَعَلَيَّ إِنْ ظَلَمْتُ أَحَداً ، أَوْ جُرْتُ عَلَيْهِ </w:t>
      </w:r>
      <w:r w:rsidRPr="00D10E3C">
        <w:rPr>
          <w:rStyle w:val="libFootnotenumChar"/>
          <w:rtl/>
        </w:rPr>
        <w:t>(10)</w:t>
      </w:r>
      <w:r>
        <w:rPr>
          <w:rtl/>
          <w:lang w:bidi="fa-IR"/>
        </w:rPr>
        <w:t xml:space="preserve"> ، وَإِنْ لَمْ أَعْدِلْ.</w:t>
      </w:r>
    </w:p>
    <w:p w:rsidR="00744A1C" w:rsidRDefault="00744A1C" w:rsidP="00744A1C">
      <w:pPr>
        <w:pStyle w:val="libNormal"/>
        <w:rPr>
          <w:lang w:bidi="fa-IR"/>
        </w:rPr>
      </w:pPr>
      <w:r>
        <w:rPr>
          <w:rtl/>
          <w:lang w:bidi="fa-IR"/>
        </w:rPr>
        <w:t xml:space="preserve">قَالَ : « كَيْفَ </w:t>
      </w:r>
      <w:r w:rsidRPr="00D10E3C">
        <w:rPr>
          <w:rStyle w:val="libFootnotenumChar"/>
          <w:rtl/>
        </w:rPr>
        <w:t>(11)</w:t>
      </w:r>
      <w:r>
        <w:rPr>
          <w:rtl/>
          <w:lang w:bidi="fa-IR"/>
        </w:rPr>
        <w:t xml:space="preserve"> قُلْتَ؟ ».</w:t>
      </w:r>
    </w:p>
    <w:p w:rsidR="00144FA6" w:rsidRDefault="00744A1C" w:rsidP="00744A1C">
      <w:pPr>
        <w:pStyle w:val="libNormal"/>
        <w:rPr>
          <w:rtl/>
          <w:lang w:bidi="fa-IR"/>
        </w:rPr>
      </w:pPr>
      <w:r>
        <w:rPr>
          <w:rtl/>
          <w:lang w:bidi="fa-IR"/>
        </w:rPr>
        <w:t xml:space="preserve">قَالَ </w:t>
      </w:r>
      <w:r w:rsidRPr="00D10E3C">
        <w:rPr>
          <w:rStyle w:val="libFootnotenumChar"/>
          <w:rtl/>
        </w:rPr>
        <w:t>(12)</w:t>
      </w:r>
      <w:r>
        <w:rPr>
          <w:rtl/>
          <w:lang w:bidi="fa-IR"/>
        </w:rPr>
        <w:t xml:space="preserve"> : فَأَعَدْتُ عَلَيْهِ الْأَيْمَانَ ، فَرَفَعَ رَأْسَهُ إِلَى السَّمَاءِ ، فَقَالَ : « تَنَاوُلُ </w:t>
      </w:r>
      <w:r w:rsidRPr="00D10E3C">
        <w:rPr>
          <w:rStyle w:val="libFootnotenumChar"/>
          <w:rtl/>
        </w:rPr>
        <w:t>(13)</w:t>
      </w:r>
      <w:r>
        <w:rPr>
          <w:rtl/>
          <w:lang w:bidi="fa-IR"/>
        </w:rPr>
        <w:t xml:space="preserve"> السَّمَاءِ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4501DA">
        <w:rPr>
          <w:rStyle w:val="libFootnoteBoldChar"/>
          <w:rtl/>
        </w:rPr>
        <w:t>معجم البلدان</w:t>
      </w:r>
      <w:r w:rsidR="00744A1C">
        <w:rPr>
          <w:rtl/>
          <w:lang w:bidi="fa-IR"/>
        </w:rPr>
        <w:t xml:space="preserve"> ، ج 2 ، ص 328 : « الحيرة - بالكسر ، ثمّ السكون وراء - : مدينة كانت على ثلاثة أميال من‌</w:t>
      </w:r>
      <w:r w:rsidR="004501DA">
        <w:rPr>
          <w:rFonts w:hint="cs"/>
          <w:rtl/>
          <w:lang w:bidi="fa-IR"/>
        </w:rPr>
        <w:t xml:space="preserve"> </w:t>
      </w:r>
      <w:r w:rsidR="00744A1C">
        <w:rPr>
          <w:rtl/>
          <w:lang w:bidi="fa-IR"/>
        </w:rPr>
        <w:t>الكوفة على موضع يقال له : النجف ، زعموا أنّ بحر فارس كان يتّصل به ».</w:t>
      </w:r>
    </w:p>
    <w:p w:rsidR="00744A1C" w:rsidRDefault="00E378DD" w:rsidP="00E378DD">
      <w:pPr>
        <w:pStyle w:val="libFootnote0"/>
        <w:rPr>
          <w:lang w:bidi="fa-IR"/>
        </w:rPr>
      </w:pPr>
      <w:r>
        <w:rPr>
          <w:rtl/>
          <w:lang w:bidi="fa-IR"/>
        </w:rPr>
        <w:t>(2).</w:t>
      </w:r>
      <w:r w:rsidR="00744A1C">
        <w:rPr>
          <w:rtl/>
          <w:lang w:bidi="fa-IR"/>
        </w:rPr>
        <w:t xml:space="preserve"> في « ط ، جد ، جن » </w:t>
      </w:r>
      <w:r w:rsidR="00744A1C" w:rsidRPr="004501DA">
        <w:rPr>
          <w:rtl/>
        </w:rPr>
        <w:t>والوسائل والبحار</w:t>
      </w:r>
      <w:r w:rsidR="00744A1C">
        <w:rPr>
          <w:rtl/>
          <w:lang w:bidi="fa-IR"/>
        </w:rPr>
        <w:t xml:space="preserve"> : - « له ».</w:t>
      </w:r>
    </w:p>
    <w:p w:rsidR="00744A1C" w:rsidRDefault="00E378DD" w:rsidP="00E378DD">
      <w:pPr>
        <w:pStyle w:val="libFootnote0"/>
        <w:rPr>
          <w:lang w:bidi="fa-IR"/>
        </w:rPr>
      </w:pPr>
      <w:r>
        <w:rPr>
          <w:rtl/>
          <w:lang w:bidi="fa-IR"/>
        </w:rPr>
        <w:t>(3).</w:t>
      </w:r>
      <w:r w:rsidR="00744A1C">
        <w:rPr>
          <w:rtl/>
          <w:lang w:bidi="fa-IR"/>
        </w:rPr>
        <w:t xml:space="preserve"> في « جن » : « وأدخل ».</w:t>
      </w:r>
    </w:p>
    <w:p w:rsidR="00744A1C" w:rsidRDefault="00E378DD" w:rsidP="00E378DD">
      <w:pPr>
        <w:pStyle w:val="libFootnote0"/>
        <w:rPr>
          <w:lang w:bidi="fa-IR"/>
        </w:rPr>
      </w:pPr>
      <w:r>
        <w:rPr>
          <w:rtl/>
          <w:lang w:bidi="fa-IR"/>
        </w:rPr>
        <w:t>(4).</w:t>
      </w:r>
      <w:r w:rsidR="00744A1C">
        <w:rPr>
          <w:rtl/>
          <w:lang w:bidi="fa-IR"/>
        </w:rPr>
        <w:t xml:space="preserve"> في « ط ، بخ ، بف » وحاشية « جت » : « منعه ».</w:t>
      </w:r>
    </w:p>
    <w:tbl>
      <w:tblPr>
        <w:tblStyle w:val="TableGrid"/>
        <w:bidiVisual/>
        <w:tblW w:w="0" w:type="auto"/>
        <w:tblLook w:val="04A0" w:firstRow="1" w:lastRow="0" w:firstColumn="1" w:lastColumn="0" w:noHBand="0" w:noVBand="1"/>
      </w:tblPr>
      <w:tblGrid>
        <w:gridCol w:w="4006"/>
        <w:gridCol w:w="4006"/>
      </w:tblGrid>
      <w:tr w:rsidR="004501DA" w:rsidTr="004501DA">
        <w:tc>
          <w:tcPr>
            <w:tcW w:w="4006" w:type="dxa"/>
          </w:tcPr>
          <w:p w:rsidR="004501DA" w:rsidRDefault="004501DA" w:rsidP="00E378DD">
            <w:pPr>
              <w:pStyle w:val="libFootnote0"/>
              <w:rPr>
                <w:rtl/>
                <w:lang w:bidi="fa-IR"/>
              </w:rPr>
            </w:pPr>
            <w:r>
              <w:rPr>
                <w:rtl/>
                <w:lang w:bidi="fa-IR"/>
              </w:rPr>
              <w:t xml:space="preserve">(5). في </w:t>
            </w:r>
            <w:r w:rsidRPr="004501DA">
              <w:rPr>
                <w:rtl/>
              </w:rPr>
              <w:t>الوسائل</w:t>
            </w:r>
            <w:r>
              <w:rPr>
                <w:rtl/>
                <w:lang w:bidi="fa-IR"/>
              </w:rPr>
              <w:t xml:space="preserve"> : - « إنّى فكّرت في إبائك عليّ ».</w:t>
            </w:r>
          </w:p>
        </w:tc>
        <w:tc>
          <w:tcPr>
            <w:tcW w:w="4006" w:type="dxa"/>
          </w:tcPr>
          <w:p w:rsidR="004501DA" w:rsidRDefault="004501DA" w:rsidP="00E378DD">
            <w:pPr>
              <w:pStyle w:val="libFootnote0"/>
              <w:rPr>
                <w:rtl/>
                <w:lang w:bidi="fa-IR"/>
              </w:rPr>
            </w:pPr>
            <w:r>
              <w:rPr>
                <w:rtl/>
                <w:lang w:bidi="fa-IR"/>
              </w:rPr>
              <w:t xml:space="preserve">(6). في </w:t>
            </w:r>
            <w:r w:rsidRPr="004501DA">
              <w:rPr>
                <w:rtl/>
              </w:rPr>
              <w:t>الوسائل</w:t>
            </w:r>
            <w:r>
              <w:rPr>
                <w:rtl/>
                <w:lang w:bidi="fa-IR"/>
              </w:rPr>
              <w:t xml:space="preserve"> : « ظننت ».</w:t>
            </w:r>
          </w:p>
        </w:tc>
      </w:tr>
    </w:tbl>
    <w:p w:rsidR="00744A1C" w:rsidRDefault="00E378DD" w:rsidP="00E378DD">
      <w:pPr>
        <w:pStyle w:val="libFootnote0"/>
        <w:rPr>
          <w:lang w:bidi="fa-IR"/>
        </w:rPr>
      </w:pPr>
      <w:r>
        <w:rPr>
          <w:rtl/>
          <w:lang w:bidi="fa-IR"/>
        </w:rPr>
        <w:t>(7).</w:t>
      </w:r>
      <w:r w:rsidR="00744A1C">
        <w:rPr>
          <w:rtl/>
          <w:lang w:bidi="fa-IR"/>
        </w:rPr>
        <w:t xml:space="preserve"> في « ط ، بح ، بس ، جد ، جن » </w:t>
      </w:r>
      <w:r w:rsidR="00744A1C" w:rsidRPr="004501DA">
        <w:rPr>
          <w:rtl/>
        </w:rPr>
        <w:t>والوسائل والبحار</w:t>
      </w:r>
      <w:r w:rsidR="00744A1C">
        <w:rPr>
          <w:rtl/>
          <w:lang w:bidi="fa-IR"/>
        </w:rPr>
        <w:t xml:space="preserve"> : « إنّما كرهت » بدل « إنّما منعتني وكرهت ».</w:t>
      </w:r>
    </w:p>
    <w:p w:rsidR="00744A1C" w:rsidRDefault="00E378DD" w:rsidP="00E378DD">
      <w:pPr>
        <w:pStyle w:val="libFootnote0"/>
        <w:rPr>
          <w:lang w:bidi="fa-IR"/>
        </w:rPr>
      </w:pPr>
      <w:r>
        <w:rPr>
          <w:rtl/>
          <w:lang w:bidi="fa-IR"/>
        </w:rPr>
        <w:t>(8).</w:t>
      </w:r>
      <w:r w:rsidR="00744A1C">
        <w:rPr>
          <w:rtl/>
          <w:lang w:bidi="fa-IR"/>
        </w:rPr>
        <w:t xml:space="preserve"> في « ى » : « وأظلم ». وفي « بح » : « أو أن أظلم ».</w:t>
      </w:r>
    </w:p>
    <w:p w:rsidR="00744A1C" w:rsidRDefault="00E378DD" w:rsidP="004501DA">
      <w:pPr>
        <w:pStyle w:val="libFootnote0"/>
        <w:rPr>
          <w:lang w:bidi="fa-IR"/>
        </w:rPr>
      </w:pPr>
      <w:r>
        <w:rPr>
          <w:rtl/>
          <w:lang w:bidi="fa-IR"/>
        </w:rPr>
        <w:t>(9).</w:t>
      </w:r>
      <w:r w:rsidR="00744A1C">
        <w:rPr>
          <w:rtl/>
          <w:lang w:bidi="fa-IR"/>
        </w:rPr>
        <w:t xml:space="preserve"> هكذا في « ط ، بح ، بس ، جت ، جد ، جن » </w:t>
      </w:r>
      <w:r w:rsidR="00744A1C" w:rsidRPr="004501DA">
        <w:rPr>
          <w:rtl/>
        </w:rPr>
        <w:t>والوافي والوسائل والبحار</w:t>
      </w:r>
      <w:r w:rsidR="00744A1C">
        <w:rPr>
          <w:rtl/>
          <w:lang w:bidi="fa-IR"/>
        </w:rPr>
        <w:t>. وفي « ى ، بخ ، بف » : - « وعليّ ». وفي المطبوع : « عليَّ » بدون الواو.</w:t>
      </w:r>
      <w:r w:rsidR="004501DA">
        <w:rPr>
          <w:rFonts w:hint="cs"/>
          <w:rtl/>
          <w:lang w:bidi="fa-IR"/>
        </w:rPr>
        <w:t xml:space="preserve">               </w:t>
      </w:r>
      <w:r>
        <w:rPr>
          <w:rtl/>
          <w:lang w:bidi="fa-IR"/>
        </w:rPr>
        <w:t>(10).</w:t>
      </w:r>
      <w:r w:rsidR="00744A1C">
        <w:rPr>
          <w:rtl/>
          <w:lang w:bidi="fa-IR"/>
        </w:rPr>
        <w:t xml:space="preserve"> في « بخ ، بف » </w:t>
      </w:r>
      <w:r w:rsidR="00744A1C" w:rsidRPr="004501DA">
        <w:rPr>
          <w:rtl/>
        </w:rPr>
        <w:t>والوافي</w:t>
      </w:r>
      <w:r w:rsidR="00744A1C">
        <w:rPr>
          <w:rtl/>
          <w:lang w:bidi="fa-IR"/>
        </w:rPr>
        <w:t xml:space="preserve"> : « على أحد ».</w:t>
      </w:r>
    </w:p>
    <w:tbl>
      <w:tblPr>
        <w:tblStyle w:val="TableGrid"/>
        <w:bidiVisual/>
        <w:tblW w:w="0" w:type="auto"/>
        <w:tblLook w:val="04A0" w:firstRow="1" w:lastRow="0" w:firstColumn="1" w:lastColumn="0" w:noHBand="0" w:noVBand="1"/>
      </w:tblPr>
      <w:tblGrid>
        <w:gridCol w:w="4006"/>
        <w:gridCol w:w="4006"/>
      </w:tblGrid>
      <w:tr w:rsidR="004501DA" w:rsidTr="004501DA">
        <w:tc>
          <w:tcPr>
            <w:tcW w:w="4006" w:type="dxa"/>
          </w:tcPr>
          <w:p w:rsidR="004501DA" w:rsidRDefault="004501DA" w:rsidP="00E378DD">
            <w:pPr>
              <w:pStyle w:val="libFootnote0"/>
              <w:rPr>
                <w:rtl/>
                <w:lang w:bidi="fa-IR"/>
              </w:rPr>
            </w:pPr>
            <w:r>
              <w:rPr>
                <w:rtl/>
                <w:lang w:bidi="fa-IR"/>
              </w:rPr>
              <w:t xml:space="preserve">(11). في « بخ ، بف » </w:t>
            </w:r>
            <w:r w:rsidRPr="004501DA">
              <w:rPr>
                <w:rtl/>
              </w:rPr>
              <w:t>والوافي</w:t>
            </w:r>
            <w:r>
              <w:rPr>
                <w:rtl/>
                <w:lang w:bidi="fa-IR"/>
              </w:rPr>
              <w:t xml:space="preserve"> : « فكيف ».</w:t>
            </w:r>
          </w:p>
        </w:tc>
        <w:tc>
          <w:tcPr>
            <w:tcW w:w="4006" w:type="dxa"/>
          </w:tcPr>
          <w:p w:rsidR="004501DA" w:rsidRDefault="004501DA" w:rsidP="00E378DD">
            <w:pPr>
              <w:pStyle w:val="libFootnote0"/>
              <w:rPr>
                <w:rtl/>
                <w:lang w:bidi="fa-IR"/>
              </w:rPr>
            </w:pPr>
            <w:r>
              <w:rPr>
                <w:rtl/>
                <w:lang w:bidi="fa-IR"/>
              </w:rPr>
              <w:t xml:space="preserve">(12). في « ط ، بف » </w:t>
            </w:r>
            <w:r w:rsidRPr="004501DA">
              <w:rPr>
                <w:rtl/>
              </w:rPr>
              <w:t>والوسائل</w:t>
            </w:r>
            <w:r>
              <w:rPr>
                <w:rtl/>
                <w:lang w:bidi="fa-IR"/>
              </w:rPr>
              <w:t xml:space="preserve"> : - « قال ».</w:t>
            </w:r>
          </w:p>
        </w:tc>
      </w:tr>
    </w:tbl>
    <w:p w:rsidR="00744A1C" w:rsidRDefault="00E378DD" w:rsidP="00E378DD">
      <w:pPr>
        <w:pStyle w:val="libFootnote0"/>
        <w:rPr>
          <w:lang w:bidi="fa-IR"/>
        </w:rPr>
      </w:pPr>
      <w:r>
        <w:rPr>
          <w:rtl/>
          <w:lang w:bidi="fa-IR"/>
        </w:rPr>
        <w:t>(13).</w:t>
      </w:r>
      <w:r w:rsidR="00744A1C">
        <w:rPr>
          <w:rtl/>
          <w:lang w:bidi="fa-IR"/>
        </w:rPr>
        <w:t xml:space="preserve"> في « ط ، بح ، بخ » : « تنال ».</w:t>
      </w:r>
    </w:p>
    <w:p w:rsidR="00744A1C" w:rsidRDefault="00E378DD" w:rsidP="00E378DD">
      <w:pPr>
        <w:pStyle w:val="libFootnote0"/>
        <w:rPr>
          <w:lang w:bidi="fa-IR"/>
        </w:rPr>
      </w:pPr>
      <w:r>
        <w:rPr>
          <w:rtl/>
          <w:lang w:bidi="fa-IR"/>
        </w:rPr>
        <w:t>(14).</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تناول السماء ، أي لا يمكنك الوفاء بتلك الأيمان ، والدخولُ في أعمال هؤلاء بغير ارتكاب ظلم محالٌ ، فتناول السماء بيدك أيسر ممّا عزمت عليه ».</w:t>
      </w:r>
    </w:p>
    <w:p w:rsidR="006A5060" w:rsidRDefault="006A5060" w:rsidP="00D10E3C">
      <w:pPr>
        <w:pStyle w:val="libNormal"/>
        <w:rPr>
          <w:rtl/>
          <w:lang w:bidi="fa-IR"/>
        </w:rPr>
      </w:pPr>
      <w:r>
        <w:rPr>
          <w:rtl/>
          <w:lang w:bidi="fa-IR"/>
        </w:rPr>
        <w:br w:type="page"/>
      </w:r>
    </w:p>
    <w:p w:rsidR="00144FA6" w:rsidRDefault="00744A1C" w:rsidP="005D2B3B">
      <w:pPr>
        <w:pStyle w:val="libNormal0"/>
        <w:rPr>
          <w:rtl/>
          <w:lang w:bidi="fa-IR"/>
        </w:rPr>
      </w:pPr>
      <w:r>
        <w:rPr>
          <w:rtl/>
          <w:lang w:bidi="fa-IR"/>
        </w:rPr>
        <w:t xml:space="preserve">أَيْسَرُ عَلَيْكَ مِنْ ذلِكَ ». </w:t>
      </w:r>
      <w:r w:rsidRPr="00D10E3C">
        <w:rPr>
          <w:rStyle w:val="libFootnotenumChar"/>
          <w:rtl/>
        </w:rPr>
        <w:t>(1)</w:t>
      </w:r>
    </w:p>
    <w:p w:rsidR="00144FA6" w:rsidRDefault="00744A1C" w:rsidP="00744A1C">
      <w:pPr>
        <w:pStyle w:val="libNormal"/>
        <w:rPr>
          <w:rtl/>
          <w:lang w:bidi="fa-IR"/>
        </w:rPr>
      </w:pPr>
      <w:r>
        <w:rPr>
          <w:rtl/>
          <w:lang w:bidi="fa-IR"/>
        </w:rPr>
        <w:t>8515 / 10. عَلِيُّ بْنُ إِبْرَاهِيمَ ، عَنْ أَبِيهِ ، عَنِ ابْنِ أَبِي عُمَيْرٍ ، عَنْ هِشَامِ بْنِ سَالِمٍ ، عَنْ جَهْمِ بْنِ حُمَيْدٍ ، قَالَ :</w:t>
      </w:r>
    </w:p>
    <w:p w:rsidR="00144FA6" w:rsidRDefault="00744A1C" w:rsidP="00744A1C">
      <w:pPr>
        <w:pStyle w:val="libNormal"/>
        <w:rPr>
          <w:rtl/>
          <w:lang w:bidi="fa-IR"/>
        </w:rPr>
      </w:pPr>
      <w:r>
        <w:rPr>
          <w:rtl/>
          <w:lang w:bidi="fa-IR"/>
        </w:rPr>
        <w:t xml:space="preserve">قَالَ لِي أَبُو عَبْدِ اللهِ </w:t>
      </w:r>
      <w:r w:rsidR="0061079A" w:rsidRPr="0061079A">
        <w:rPr>
          <w:rStyle w:val="libAlaemChar"/>
          <w:rtl/>
        </w:rPr>
        <w:t>عليه‌السلام</w:t>
      </w:r>
      <w:r w:rsidR="00D10E3C">
        <w:rPr>
          <w:rtl/>
          <w:lang w:bidi="fa-IR"/>
        </w:rPr>
        <w:t xml:space="preserve"> </w:t>
      </w:r>
      <w:r w:rsidRPr="00D10E3C">
        <w:rPr>
          <w:rStyle w:val="libFootnotenumChar"/>
          <w:rtl/>
        </w:rPr>
        <w:t>(2)</w:t>
      </w:r>
      <w:r>
        <w:rPr>
          <w:rtl/>
          <w:lang w:bidi="fa-IR"/>
        </w:rPr>
        <w:t xml:space="preserve"> : « أَمَا تَغْشى سُلْطَانَ هؤُلَاءِ </w:t>
      </w:r>
      <w:r w:rsidRPr="00D10E3C">
        <w:rPr>
          <w:rStyle w:val="libFootnotenumChar"/>
          <w:rtl/>
        </w:rPr>
        <w:t>(3)</w:t>
      </w:r>
      <w:r>
        <w:rPr>
          <w:rtl/>
          <w:lang w:bidi="fa-IR"/>
        </w:rPr>
        <w:t xml:space="preserve">؟ » قَالَ : قُلْتُ : لَا ، قَالَ </w:t>
      </w:r>
      <w:r w:rsidRPr="00D10E3C">
        <w:rPr>
          <w:rStyle w:val="libFootnotenumChar"/>
          <w:rtl/>
        </w:rPr>
        <w:t>(4)</w:t>
      </w:r>
      <w:r>
        <w:rPr>
          <w:rtl/>
          <w:lang w:bidi="fa-IR"/>
        </w:rPr>
        <w:t xml:space="preserve"> : « وَلِمَ </w:t>
      </w:r>
      <w:r w:rsidRPr="00D10E3C">
        <w:rPr>
          <w:rStyle w:val="libFootnotenumChar"/>
          <w:rtl/>
        </w:rPr>
        <w:t>(5)</w:t>
      </w:r>
      <w:r>
        <w:rPr>
          <w:rtl/>
          <w:lang w:bidi="fa-IR"/>
        </w:rPr>
        <w:t xml:space="preserve">؟ » قُلْتُ : فِرَاراً بِدِينِي ، قَالَ </w:t>
      </w:r>
      <w:r w:rsidRPr="00D10E3C">
        <w:rPr>
          <w:rStyle w:val="libFootnotenumChar"/>
          <w:rtl/>
        </w:rPr>
        <w:t>(6)</w:t>
      </w:r>
      <w:r>
        <w:rPr>
          <w:rtl/>
          <w:lang w:bidi="fa-IR"/>
        </w:rPr>
        <w:t xml:space="preserve"> : « وَعَزَمْتَ </w:t>
      </w:r>
      <w:r w:rsidRPr="00D10E3C">
        <w:rPr>
          <w:rStyle w:val="libFootnotenumChar"/>
          <w:rtl/>
        </w:rPr>
        <w:t>(7)</w:t>
      </w:r>
      <w:r>
        <w:rPr>
          <w:rtl/>
          <w:lang w:bidi="fa-IR"/>
        </w:rPr>
        <w:t xml:space="preserve"> عَلى ذلِكَ؟ » قُلْتُ : نَعَمْ ، فَقَالَ </w:t>
      </w:r>
      <w:r w:rsidRPr="00D10E3C">
        <w:rPr>
          <w:rStyle w:val="libFootnotenumChar"/>
          <w:rtl/>
        </w:rPr>
        <w:t>(8)</w:t>
      </w:r>
      <w:r>
        <w:rPr>
          <w:rtl/>
          <w:lang w:bidi="fa-IR"/>
        </w:rPr>
        <w:t xml:space="preserve"> لِي </w:t>
      </w:r>
      <w:r w:rsidRPr="00D10E3C">
        <w:rPr>
          <w:rStyle w:val="libFootnotenumChar"/>
          <w:rtl/>
        </w:rPr>
        <w:t>(9)</w:t>
      </w:r>
      <w:r>
        <w:rPr>
          <w:rtl/>
          <w:lang w:bidi="fa-IR"/>
        </w:rPr>
        <w:t xml:space="preserve"> : « الْآنَ سَلِمَ </w:t>
      </w:r>
      <w:r w:rsidRPr="00D10E3C">
        <w:rPr>
          <w:rStyle w:val="libFootnotenumChar"/>
          <w:rtl/>
        </w:rPr>
        <w:t>(10)</w:t>
      </w:r>
      <w:r>
        <w:rPr>
          <w:rtl/>
          <w:lang w:bidi="fa-IR"/>
        </w:rPr>
        <w:t xml:space="preserve"> لَكَ دِينُكَ ». </w:t>
      </w:r>
      <w:r w:rsidRPr="00D10E3C">
        <w:rPr>
          <w:rStyle w:val="libFootnotenumChar"/>
          <w:rtl/>
        </w:rPr>
        <w:t>(11)</w:t>
      </w:r>
    </w:p>
    <w:p w:rsidR="00144FA6" w:rsidRDefault="00744A1C" w:rsidP="00744A1C">
      <w:pPr>
        <w:pStyle w:val="libNormal"/>
        <w:rPr>
          <w:rtl/>
          <w:lang w:bidi="fa-IR"/>
        </w:rPr>
      </w:pPr>
      <w:r>
        <w:rPr>
          <w:rtl/>
          <w:lang w:bidi="fa-IR"/>
        </w:rPr>
        <w:t xml:space="preserve">8516 / 11. عَلِيُّ بْنُ إِبْرَاهِيمَ ، عَنْ أَبِيهِ وَعَلِيِّ بْنِ مُحَمَّدٍ الْقَاسَانِيِّ </w:t>
      </w:r>
      <w:r w:rsidRPr="00D10E3C">
        <w:rPr>
          <w:rStyle w:val="libFootnotenumChar"/>
          <w:rtl/>
        </w:rPr>
        <w:t>(12)</w:t>
      </w:r>
      <w:r>
        <w:rPr>
          <w:rtl/>
          <w:lang w:bidi="fa-IR"/>
        </w:rPr>
        <w:t xml:space="preserve"> ، عَنِ الْقَاسِمِ بْنِ مُحَمَّدٍ ، عَنْ سُلَيْمَانَ الْمِنْقَرِيِّ </w:t>
      </w:r>
      <w:r w:rsidRPr="00D10E3C">
        <w:rPr>
          <w:rStyle w:val="libFootnotenumChar"/>
          <w:rtl/>
        </w:rPr>
        <w:t>(13)</w:t>
      </w:r>
      <w:r>
        <w:rPr>
          <w:rtl/>
          <w:lang w:bidi="fa-IR"/>
        </w:rPr>
        <w:t xml:space="preserve"> ، عَنْ فُضَيْلِ بْنِ عِيَاضٍ </w:t>
      </w:r>
      <w:r w:rsidRPr="00D10E3C">
        <w:rPr>
          <w:rStyle w:val="libFootnotenumChar"/>
          <w:rtl/>
        </w:rPr>
        <w:t>(14)</w:t>
      </w:r>
      <w:r>
        <w:rPr>
          <w:rtl/>
          <w:lang w:bidi="fa-IR"/>
        </w:rPr>
        <w:t xml:space="preserve"> ، قَالَ :</w:t>
      </w:r>
    </w:p>
    <w:p w:rsidR="00144FA6" w:rsidRDefault="00744A1C" w:rsidP="00744A1C">
      <w:pPr>
        <w:pStyle w:val="libNormal"/>
        <w:rPr>
          <w:rtl/>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أَشْيَاءَ مِنَ الْمَكَاسِبِ ، فَنَهَانِي عَنْهَا ، وَقَالَ </w:t>
      </w:r>
      <w:r w:rsidRPr="00D10E3C">
        <w:rPr>
          <w:rStyle w:val="libFootnotenumChar"/>
          <w:rtl/>
        </w:rPr>
        <w:t>(15)</w:t>
      </w:r>
      <w:r>
        <w:rPr>
          <w:rtl/>
          <w:lang w:bidi="fa-IR"/>
        </w:rPr>
        <w:t xml:space="preserve"> : « يَا فُضَيْلُ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الوافي</w:t>
      </w:r>
      <w:r w:rsidR="00744A1C">
        <w:rPr>
          <w:rtl/>
          <w:lang w:bidi="fa-IR"/>
        </w:rPr>
        <w:t xml:space="preserve"> ، ج 17 ، ص 156 ، ح 17036 ؛ </w:t>
      </w:r>
      <w:r w:rsidR="00744A1C" w:rsidRPr="00C24F9C">
        <w:rPr>
          <w:rStyle w:val="libFootnoteBoldChar"/>
          <w:rtl/>
        </w:rPr>
        <w:t>الوسائل</w:t>
      </w:r>
      <w:r w:rsidR="00744A1C">
        <w:rPr>
          <w:rtl/>
          <w:lang w:bidi="fa-IR"/>
        </w:rPr>
        <w:t xml:space="preserve"> ، ج 17 ، ص 188 ، ح 22317 ؛ </w:t>
      </w:r>
      <w:r w:rsidR="00744A1C" w:rsidRPr="0061079A">
        <w:rPr>
          <w:rStyle w:val="libFootnoteBoldChar"/>
          <w:rtl/>
        </w:rPr>
        <w:t>البحار</w:t>
      </w:r>
      <w:r w:rsidR="00744A1C">
        <w:rPr>
          <w:rtl/>
          <w:lang w:bidi="fa-IR"/>
        </w:rPr>
        <w:t xml:space="preserve"> ، ج 47 ، ص 383 ، ح 106.</w:t>
      </w:r>
    </w:p>
    <w:p w:rsidR="00744A1C" w:rsidRDefault="00E378DD" w:rsidP="00E378DD">
      <w:pPr>
        <w:pStyle w:val="libFootnote0"/>
        <w:rPr>
          <w:lang w:bidi="fa-IR"/>
        </w:rPr>
      </w:pPr>
      <w:r>
        <w:rPr>
          <w:rtl/>
          <w:lang w:bidi="fa-IR"/>
        </w:rPr>
        <w:t>(2).</w:t>
      </w:r>
      <w:r w:rsidR="00744A1C">
        <w:rPr>
          <w:rtl/>
          <w:lang w:bidi="fa-IR"/>
        </w:rPr>
        <w:t xml:space="preserve"> في « ى ، بح ، بس ، جت ، جد » : + « قال أبو عبدالله لي ».</w:t>
      </w:r>
    </w:p>
    <w:p w:rsidR="00744A1C" w:rsidRDefault="00E378DD" w:rsidP="00E378DD">
      <w:pPr>
        <w:pStyle w:val="libFootnote0"/>
        <w:rPr>
          <w:lang w:bidi="fa-IR"/>
        </w:rPr>
      </w:pPr>
      <w:r>
        <w:rPr>
          <w:rtl/>
          <w:lang w:bidi="fa-IR"/>
        </w:rPr>
        <w:t>(3).</w:t>
      </w:r>
      <w:r w:rsidR="00744A1C">
        <w:rPr>
          <w:rtl/>
          <w:lang w:bidi="fa-IR"/>
        </w:rPr>
        <w:t xml:space="preserve"> « تغشى سلطان هؤلاء » أي تأتيه وتجي‌ء إليه وتدخل عليه. راجع : </w:t>
      </w:r>
      <w:r w:rsidR="00744A1C" w:rsidRPr="00877682">
        <w:rPr>
          <w:rStyle w:val="libFootnoteBoldChar"/>
          <w:rtl/>
        </w:rPr>
        <w:t>النهاية</w:t>
      </w:r>
      <w:r w:rsidR="00744A1C">
        <w:rPr>
          <w:rtl/>
          <w:lang w:bidi="fa-IR"/>
        </w:rPr>
        <w:t xml:space="preserve"> ، ج 3 ، ص 369 ( غشا ).</w:t>
      </w:r>
    </w:p>
    <w:p w:rsidR="00744A1C" w:rsidRDefault="00E378DD" w:rsidP="00E378DD">
      <w:pPr>
        <w:pStyle w:val="libFootnote0"/>
        <w:rPr>
          <w:lang w:bidi="fa-IR"/>
        </w:rPr>
      </w:pPr>
      <w:r>
        <w:rPr>
          <w:rtl/>
          <w:lang w:bidi="fa-IR"/>
        </w:rPr>
        <w:t>(4).</w:t>
      </w:r>
      <w:r w:rsidR="00744A1C">
        <w:rPr>
          <w:rtl/>
          <w:lang w:bidi="fa-IR"/>
        </w:rPr>
        <w:t xml:space="preserve"> في « جد » : + « لي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التهذيب</w:t>
      </w:r>
      <w:r w:rsidR="00744A1C">
        <w:rPr>
          <w:rtl/>
          <w:lang w:bidi="fa-IR"/>
        </w:rPr>
        <w:t xml:space="preserve"> : « فلم ».</w:t>
      </w:r>
    </w:p>
    <w:p w:rsidR="00744A1C" w:rsidRDefault="00E378DD" w:rsidP="00E378DD">
      <w:pPr>
        <w:pStyle w:val="libFootnote0"/>
        <w:rPr>
          <w:lang w:bidi="fa-IR"/>
        </w:rPr>
      </w:pPr>
      <w:r>
        <w:rPr>
          <w:rtl/>
          <w:lang w:bidi="fa-IR"/>
        </w:rPr>
        <w:t>(6).</w:t>
      </w:r>
      <w:r w:rsidR="00744A1C">
        <w:rPr>
          <w:rtl/>
          <w:lang w:bidi="fa-IR"/>
        </w:rPr>
        <w:t xml:space="preserve"> في « ى » : + « لي ».</w:t>
      </w:r>
    </w:p>
    <w:p w:rsidR="00744A1C" w:rsidRDefault="00E378DD" w:rsidP="00E378DD">
      <w:pPr>
        <w:pStyle w:val="libFootnote0"/>
        <w:rPr>
          <w:lang w:bidi="fa-IR"/>
        </w:rPr>
      </w:pPr>
      <w:r>
        <w:rPr>
          <w:rtl/>
          <w:lang w:bidi="fa-IR"/>
        </w:rPr>
        <w:t>(7).</w:t>
      </w:r>
      <w:r w:rsidR="00744A1C">
        <w:rPr>
          <w:rtl/>
          <w:lang w:bidi="fa-IR"/>
        </w:rPr>
        <w:t xml:space="preserve"> هكذا في النسخ التي قوبلت </w:t>
      </w:r>
      <w:r w:rsidR="00744A1C" w:rsidRPr="00022A32">
        <w:rPr>
          <w:rtl/>
        </w:rPr>
        <w:t xml:space="preserve">والوافي والوسائل. وفي التهذيب : « قد عزمت </w:t>
      </w:r>
      <w:r w:rsidR="00744A1C">
        <w:rPr>
          <w:rtl/>
          <w:lang w:bidi="fa-IR"/>
        </w:rPr>
        <w:t>». وفي المطبوع : « فعزمت ».</w:t>
      </w:r>
    </w:p>
    <w:p w:rsidR="00744A1C" w:rsidRDefault="00E378DD" w:rsidP="00E378DD">
      <w:pPr>
        <w:pStyle w:val="libFootnote0"/>
        <w:rPr>
          <w:lang w:bidi="fa-IR"/>
        </w:rPr>
      </w:pPr>
      <w:r>
        <w:rPr>
          <w:rtl/>
          <w:lang w:bidi="fa-IR"/>
        </w:rPr>
        <w:t>(8).</w:t>
      </w:r>
      <w:r w:rsidR="00744A1C">
        <w:rPr>
          <w:rtl/>
          <w:lang w:bidi="fa-IR"/>
        </w:rPr>
        <w:t xml:space="preserve"> في « ى ، بح ، بس ، جد ، جن » وحاشية « جت » و</w:t>
      </w:r>
      <w:r w:rsidR="00744A1C" w:rsidRPr="00C24F9C">
        <w:rPr>
          <w:rStyle w:val="libFootnoteBoldChar"/>
          <w:rtl/>
        </w:rPr>
        <w:t>الوسائل</w:t>
      </w:r>
      <w:r w:rsidR="00744A1C">
        <w:rPr>
          <w:rtl/>
          <w:lang w:bidi="fa-IR"/>
        </w:rPr>
        <w:t xml:space="preserve"> : « قال ».</w:t>
      </w:r>
    </w:p>
    <w:tbl>
      <w:tblPr>
        <w:tblStyle w:val="TableGrid"/>
        <w:bidiVisual/>
        <w:tblW w:w="0" w:type="auto"/>
        <w:tblLook w:val="04A0" w:firstRow="1" w:lastRow="0" w:firstColumn="1" w:lastColumn="0" w:noHBand="0" w:noVBand="1"/>
      </w:tblPr>
      <w:tblGrid>
        <w:gridCol w:w="4006"/>
        <w:gridCol w:w="4006"/>
      </w:tblGrid>
      <w:tr w:rsidR="002B4DD9" w:rsidTr="002B4DD9">
        <w:tc>
          <w:tcPr>
            <w:tcW w:w="4006" w:type="dxa"/>
          </w:tcPr>
          <w:p w:rsidR="002B4DD9" w:rsidRDefault="007B6F79" w:rsidP="00E378DD">
            <w:pPr>
              <w:pStyle w:val="libFootnote0"/>
              <w:rPr>
                <w:rtl/>
                <w:lang w:bidi="fa-IR"/>
              </w:rPr>
            </w:pPr>
            <w:r>
              <w:rPr>
                <w:rtl/>
                <w:lang w:bidi="fa-IR"/>
              </w:rPr>
              <w:t>(9). في « ى ، بف » : - « لي ».</w:t>
            </w:r>
          </w:p>
        </w:tc>
        <w:tc>
          <w:tcPr>
            <w:tcW w:w="4006" w:type="dxa"/>
          </w:tcPr>
          <w:p w:rsidR="002B4DD9" w:rsidRDefault="007B6F79" w:rsidP="00E378DD">
            <w:pPr>
              <w:pStyle w:val="libFootnote0"/>
              <w:rPr>
                <w:rtl/>
                <w:lang w:bidi="fa-IR"/>
              </w:rPr>
            </w:pPr>
            <w:r>
              <w:rPr>
                <w:rtl/>
                <w:lang w:bidi="fa-IR"/>
              </w:rPr>
              <w:t>(10). في « جن » : « يسلم ».</w:t>
            </w:r>
          </w:p>
        </w:tc>
      </w:tr>
    </w:tbl>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332 ، ح 921 ، معلّقاً عن الكليني </w:t>
      </w:r>
      <w:r w:rsidR="000A7FBC">
        <w:rPr>
          <w:rFonts w:hint="cs"/>
          <w:rtl/>
          <w:lang w:bidi="fa-IR"/>
        </w:rPr>
        <w:t>.</w:t>
      </w:r>
      <w:r w:rsidR="00744A1C" w:rsidRPr="00C24F9C">
        <w:rPr>
          <w:rStyle w:val="libFootnoteBoldChar"/>
          <w:rtl/>
        </w:rPr>
        <w:t>الوافي</w:t>
      </w:r>
      <w:r w:rsidR="00744A1C">
        <w:rPr>
          <w:rtl/>
          <w:lang w:bidi="fa-IR"/>
        </w:rPr>
        <w:t xml:space="preserve"> ، ج 17 ، ص 157 ، ح 17037 ؛ </w:t>
      </w:r>
      <w:r w:rsidR="00744A1C" w:rsidRPr="00C24F9C">
        <w:rPr>
          <w:rStyle w:val="libFootnoteBoldChar"/>
          <w:rtl/>
        </w:rPr>
        <w:t>الوسائل</w:t>
      </w:r>
      <w:r w:rsidR="00744A1C">
        <w:rPr>
          <w:rtl/>
          <w:lang w:bidi="fa-IR"/>
        </w:rPr>
        <w:t xml:space="preserve"> ، ج 17 ، ص 180 ، ح 22295.</w:t>
      </w:r>
    </w:p>
    <w:p w:rsidR="00744A1C" w:rsidRDefault="00E378DD" w:rsidP="00E378DD">
      <w:pPr>
        <w:pStyle w:val="libFootnote0"/>
        <w:rPr>
          <w:lang w:bidi="fa-IR"/>
        </w:rPr>
      </w:pPr>
      <w:r>
        <w:rPr>
          <w:rtl/>
          <w:lang w:bidi="fa-IR"/>
        </w:rPr>
        <w:t>(12).</w:t>
      </w:r>
      <w:r w:rsidR="00744A1C">
        <w:rPr>
          <w:rtl/>
          <w:lang w:bidi="fa-IR"/>
        </w:rPr>
        <w:t xml:space="preserve"> في « بف » : « القاشاني ». وفي </w:t>
      </w:r>
      <w:r w:rsidR="00744A1C" w:rsidRPr="0061079A">
        <w:rPr>
          <w:rStyle w:val="libFootnoteBoldChar"/>
          <w:rtl/>
        </w:rPr>
        <w:t>الكافي</w:t>
      </w:r>
      <w:r w:rsidR="00744A1C">
        <w:rPr>
          <w:rtl/>
          <w:lang w:bidi="fa-IR"/>
        </w:rPr>
        <w:t xml:space="preserve"> ، ح 1635 : - « القاساني ».</w:t>
      </w:r>
    </w:p>
    <w:p w:rsidR="00744A1C" w:rsidRDefault="00E378DD" w:rsidP="00E378DD">
      <w:pPr>
        <w:pStyle w:val="libFootnote0"/>
        <w:rPr>
          <w:lang w:bidi="fa-IR"/>
        </w:rPr>
      </w:pPr>
      <w:r>
        <w:rPr>
          <w:rtl/>
          <w:lang w:bidi="fa-IR"/>
        </w:rPr>
        <w:t>(13).</w:t>
      </w:r>
      <w:r w:rsidR="00744A1C">
        <w:rPr>
          <w:rtl/>
          <w:lang w:bidi="fa-IR"/>
        </w:rPr>
        <w:t xml:space="preserve"> في « بح » : « سليمان بن داود المنقري ».</w:t>
      </w:r>
    </w:p>
    <w:p w:rsidR="00744A1C" w:rsidRDefault="00E378DD" w:rsidP="00E378DD">
      <w:pPr>
        <w:pStyle w:val="libFootnote0"/>
        <w:rPr>
          <w:lang w:bidi="fa-IR"/>
        </w:rPr>
      </w:pPr>
      <w:r>
        <w:rPr>
          <w:rtl/>
          <w:lang w:bidi="fa-IR"/>
        </w:rPr>
        <w:t>(14).</w:t>
      </w:r>
      <w:r w:rsidR="00744A1C">
        <w:rPr>
          <w:rtl/>
          <w:lang w:bidi="fa-IR"/>
        </w:rPr>
        <w:t xml:space="preserve"> في </w:t>
      </w:r>
      <w:r w:rsidR="00744A1C" w:rsidRPr="0061079A">
        <w:rPr>
          <w:rStyle w:val="libFootnoteBoldChar"/>
          <w:rtl/>
        </w:rPr>
        <w:t>الكافي</w:t>
      </w:r>
      <w:r w:rsidR="00744A1C">
        <w:rPr>
          <w:rtl/>
          <w:lang w:bidi="fa-IR"/>
        </w:rPr>
        <w:t xml:space="preserve"> ، ح 1635 : « حفص بن غياث » بدل « فضيل بن عياض ». هذا ، وحفص بن غياث والفضيل بن عياض كلاهما من مشايخ سليمان بن داود المنقري. راجع : </w:t>
      </w:r>
      <w:r w:rsidR="00744A1C" w:rsidRPr="0061079A">
        <w:rPr>
          <w:rStyle w:val="libFootnoteBoldChar"/>
          <w:rtl/>
        </w:rPr>
        <w:t>معجم رجال الحديث</w:t>
      </w:r>
      <w:r w:rsidR="00744A1C">
        <w:rPr>
          <w:rtl/>
          <w:lang w:bidi="fa-IR"/>
        </w:rPr>
        <w:t xml:space="preserve"> ، ج 6 ، ص 366 - 369 ؛ وج 13 ، ص 331 ، الرقم 9426.</w:t>
      </w:r>
    </w:p>
    <w:p w:rsidR="00744A1C" w:rsidRDefault="00E378DD" w:rsidP="00E378DD">
      <w:pPr>
        <w:pStyle w:val="libFootnote0"/>
        <w:rPr>
          <w:lang w:bidi="fa-IR"/>
        </w:rPr>
      </w:pPr>
      <w:r>
        <w:rPr>
          <w:rtl/>
          <w:lang w:bidi="fa-IR"/>
        </w:rPr>
        <w:t>(15).</w:t>
      </w:r>
      <w:r w:rsidR="00744A1C">
        <w:rPr>
          <w:rtl/>
          <w:lang w:bidi="fa-IR"/>
        </w:rPr>
        <w:t xml:space="preserve"> هكذا في جميع النسخ التي قوبلت </w:t>
      </w:r>
      <w:r w:rsidR="00744A1C" w:rsidRPr="000A7FBC">
        <w:rPr>
          <w:rtl/>
        </w:rPr>
        <w:t>والوافي والوسائل. وفي</w:t>
      </w:r>
      <w:r w:rsidR="00744A1C">
        <w:rPr>
          <w:rtl/>
          <w:lang w:bidi="fa-IR"/>
        </w:rPr>
        <w:t xml:space="preserve"> المطبوع : « فقال ».</w:t>
      </w:r>
    </w:p>
    <w:p w:rsidR="006A5060" w:rsidRDefault="006A5060" w:rsidP="00D10E3C">
      <w:pPr>
        <w:pStyle w:val="libNormal"/>
        <w:rPr>
          <w:rtl/>
          <w:lang w:bidi="fa-IR"/>
        </w:rPr>
      </w:pPr>
      <w:r>
        <w:rPr>
          <w:rtl/>
          <w:lang w:bidi="fa-IR"/>
        </w:rPr>
        <w:br w:type="page"/>
      </w:r>
    </w:p>
    <w:p w:rsidR="00744A1C" w:rsidRDefault="00744A1C" w:rsidP="000A7FBC">
      <w:pPr>
        <w:pStyle w:val="libNormal0"/>
        <w:rPr>
          <w:lang w:bidi="fa-IR"/>
        </w:rPr>
      </w:pPr>
      <w:r>
        <w:rPr>
          <w:rtl/>
          <w:lang w:bidi="fa-IR"/>
        </w:rPr>
        <w:t xml:space="preserve">وَاللهِ لَضَرَرُ هؤُلَاءِ عَلى هذِهِ </w:t>
      </w:r>
      <w:r w:rsidRPr="00D10E3C">
        <w:rPr>
          <w:rStyle w:val="libFootnotenumChar"/>
          <w:rtl/>
        </w:rPr>
        <w:t>(1)</w:t>
      </w:r>
      <w:r>
        <w:rPr>
          <w:rtl/>
          <w:lang w:bidi="fa-IR"/>
        </w:rPr>
        <w:t xml:space="preserve"> الْأُمَّةِ أَشَدُّ مِنْ ضَرَرِ </w:t>
      </w:r>
      <w:r w:rsidRPr="00D10E3C">
        <w:rPr>
          <w:rStyle w:val="libFootnotenumChar"/>
          <w:rtl/>
        </w:rPr>
        <w:t>(2)</w:t>
      </w:r>
      <w:r>
        <w:rPr>
          <w:rtl/>
          <w:lang w:bidi="fa-IR"/>
        </w:rPr>
        <w:t xml:space="preserve"> التُّرْكِ وَالدَّيْلَمِ ».</w:t>
      </w:r>
    </w:p>
    <w:p w:rsidR="00744A1C" w:rsidRDefault="00744A1C" w:rsidP="00744A1C">
      <w:pPr>
        <w:pStyle w:val="libNormal"/>
        <w:rPr>
          <w:lang w:bidi="fa-IR"/>
        </w:rPr>
      </w:pPr>
      <w:r>
        <w:rPr>
          <w:rtl/>
          <w:lang w:bidi="fa-IR"/>
        </w:rPr>
        <w:t xml:space="preserve">قَالَ : وَسَأَلْتُهُ عَنِ الْوَرَعِ مِنَ النَّاسِ </w:t>
      </w:r>
      <w:r w:rsidRPr="00D10E3C">
        <w:rPr>
          <w:rStyle w:val="libFootnotenumChar"/>
          <w:rtl/>
        </w:rPr>
        <w:t>(3)</w:t>
      </w:r>
      <w:r>
        <w:rPr>
          <w:rtl/>
          <w:lang w:bidi="fa-IR"/>
        </w:rPr>
        <w:t>؟</w:t>
      </w:r>
    </w:p>
    <w:p w:rsidR="00144FA6" w:rsidRDefault="00744A1C" w:rsidP="00744A1C">
      <w:pPr>
        <w:pStyle w:val="libNormal"/>
        <w:rPr>
          <w:rtl/>
          <w:lang w:bidi="fa-IR"/>
        </w:rPr>
      </w:pPr>
      <w:r>
        <w:rPr>
          <w:rtl/>
          <w:lang w:bidi="fa-IR"/>
        </w:rPr>
        <w:t xml:space="preserve">فَقَالَ </w:t>
      </w:r>
      <w:r w:rsidRPr="00D10E3C">
        <w:rPr>
          <w:rStyle w:val="libFootnotenumChar"/>
          <w:rtl/>
        </w:rPr>
        <w:t>(4)</w:t>
      </w:r>
      <w:r>
        <w:rPr>
          <w:rtl/>
          <w:lang w:bidi="fa-IR"/>
        </w:rPr>
        <w:t xml:space="preserve"> : « الَّذِي يَتَوَرَّعُ عَنْ مَحَارِمِ اللهِ عَزَّ وَجَلَّ ، وَيَجْتَنِبُ </w:t>
      </w:r>
      <w:r w:rsidRPr="00D10E3C">
        <w:rPr>
          <w:rStyle w:val="libFootnotenumChar"/>
          <w:rtl/>
        </w:rPr>
        <w:t>(5)</w:t>
      </w:r>
      <w:r>
        <w:rPr>
          <w:rtl/>
          <w:lang w:bidi="fa-IR"/>
        </w:rPr>
        <w:t xml:space="preserve"> هؤُلَاءِ </w:t>
      </w:r>
      <w:r w:rsidRPr="00D10E3C">
        <w:rPr>
          <w:rStyle w:val="libFootnotenumChar"/>
          <w:rtl/>
        </w:rPr>
        <w:t>(6)</w:t>
      </w:r>
      <w:r>
        <w:rPr>
          <w:rtl/>
          <w:lang w:bidi="fa-IR"/>
        </w:rPr>
        <w:t xml:space="preserve"> ، وَإِذَا لَمْ يَتَّقِ الشُّبُهَاتِ ، وَقَعَ </w:t>
      </w:r>
      <w:r w:rsidRPr="00D10E3C">
        <w:rPr>
          <w:rStyle w:val="libFootnotenumChar"/>
          <w:rtl/>
        </w:rPr>
        <w:t>(7)</w:t>
      </w:r>
      <w:r>
        <w:rPr>
          <w:rtl/>
          <w:lang w:bidi="fa-IR"/>
        </w:rPr>
        <w:t xml:space="preserve"> فِي الْحَرَامِ وَهُوَ لَايَعْرِفُهُ ، وَإِذَا </w:t>
      </w:r>
      <w:r w:rsidRPr="00D10E3C">
        <w:rPr>
          <w:rStyle w:val="libFootnotenumChar"/>
          <w:rtl/>
        </w:rPr>
        <w:t>(8)</w:t>
      </w:r>
      <w:r>
        <w:rPr>
          <w:rtl/>
          <w:lang w:bidi="fa-IR"/>
        </w:rPr>
        <w:t xml:space="preserve"> رَأَى الْمُنْكَرَ ، فَلَمْ يُنْكِرْهُ وَهُوَ يَقْدِرُ عَلَيْهِ ، فَقَدْ أَحَبَّ أَنْ يُعْصَى اللهُ عَزَّ وَجَلَّ ، وَمَنْ أَحَبَّ أَنْ يُعْصَى اللهُ ، فَقَدْ بَارَزَ اللهَ - عَزَّ وَجَلَّ - بِالْعَدَاوَةِ ، وَمَنْ أَحَبَّ بَقَاءَ الظَّالِمِينَ ، فَقَدْ أَحَبَّ أَنْ يُعْصَى اللهُ ؛ إِنَّ اللهَ تَعَالى </w:t>
      </w:r>
      <w:r w:rsidRPr="00D10E3C">
        <w:rPr>
          <w:rStyle w:val="libFootnotenumChar"/>
          <w:rtl/>
        </w:rPr>
        <w:t>(9)</w:t>
      </w:r>
      <w:r>
        <w:rPr>
          <w:rtl/>
          <w:lang w:bidi="fa-IR"/>
        </w:rPr>
        <w:t xml:space="preserve"> حَمِدَ نَفْسَهُ عَلى هَلَاكِ الظَّالِمِينَ ، فَقَالَ : </w:t>
      </w:r>
      <w:r w:rsidRPr="004A3F91">
        <w:rPr>
          <w:rStyle w:val="libAlaemChar"/>
          <w:rtl/>
        </w:rPr>
        <w:t>(</w:t>
      </w:r>
      <w:r w:rsidRPr="004A3F91">
        <w:rPr>
          <w:rStyle w:val="libAieChar"/>
          <w:rtl/>
        </w:rPr>
        <w:t xml:space="preserve"> فَقُطِعَ دابِرُ الْقَوْمِ الَّذِينَ ظَلَمُوا وَالْحَمْدُ لِلّهِ رَبِّ الْعالَمِينَ </w:t>
      </w:r>
      <w:r w:rsidRPr="004A3F91">
        <w:rPr>
          <w:rStyle w:val="libAlaemChar"/>
          <w:rtl/>
        </w:rPr>
        <w:t>)</w:t>
      </w:r>
      <w:r>
        <w:rPr>
          <w:rtl/>
          <w:lang w:bidi="fa-IR"/>
        </w:rPr>
        <w:t xml:space="preserve"> </w:t>
      </w:r>
      <w:r w:rsidRPr="00D10E3C">
        <w:rPr>
          <w:rStyle w:val="libFootnotenumChar"/>
          <w:rtl/>
        </w:rPr>
        <w:t>(10)</w:t>
      </w:r>
      <w:r>
        <w:rPr>
          <w:rtl/>
          <w:lang w:bidi="fa-IR"/>
        </w:rPr>
        <w:t xml:space="preserve">». </w:t>
      </w:r>
      <w:r w:rsidRPr="00D10E3C">
        <w:rPr>
          <w:rStyle w:val="libFootnotenumChar"/>
          <w:rtl/>
        </w:rPr>
        <w:t>(11)</w:t>
      </w:r>
    </w:p>
    <w:p w:rsidR="00144FA6" w:rsidRDefault="00744A1C" w:rsidP="00744A1C">
      <w:pPr>
        <w:pStyle w:val="libNormal"/>
        <w:rPr>
          <w:rtl/>
          <w:lang w:bidi="fa-IR"/>
        </w:rPr>
      </w:pPr>
      <w:r>
        <w:rPr>
          <w:rtl/>
          <w:lang w:bidi="fa-IR"/>
        </w:rPr>
        <w:t>8517 / 12. عِدَّةٌ مِنْ أَصْحَابِنَا ، عَنْ سَهْلِ بْنِ زِيَادٍ رَفَعَهُ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B55B3A">
        <w:rPr>
          <w:rStyle w:val="libAlaemChar"/>
          <w:rtl/>
        </w:rPr>
        <w:t>(</w:t>
      </w:r>
      <w:r w:rsidRPr="00B55B3A">
        <w:rPr>
          <w:rStyle w:val="libAieChar"/>
          <w:rtl/>
        </w:rPr>
        <w:t xml:space="preserve"> وَلا تَرْكَنُوا إِلَى الَّذِينَ ظَلَمُوا فَتَمَسَّكُمُ النّارَ</w:t>
      </w:r>
      <w:r w:rsidRPr="00B55B3A">
        <w:rPr>
          <w:rStyle w:val="libAlaemChar"/>
          <w:rtl/>
        </w:rPr>
        <w:t>)</w:t>
      </w:r>
      <w:r>
        <w:rPr>
          <w:rtl/>
          <w:lang w:bidi="fa-IR"/>
        </w:rPr>
        <w:t xml:space="preserve"> </w:t>
      </w:r>
      <w:r w:rsidRPr="00D10E3C">
        <w:rPr>
          <w:rStyle w:val="libFootnotenumChar"/>
          <w:rtl/>
        </w:rPr>
        <w:t>(12)</w:t>
      </w:r>
      <w:r>
        <w:rPr>
          <w:rtl/>
          <w:lang w:bidi="fa-IR"/>
        </w:rPr>
        <w:t xml:space="preserve"> قَالَ : « هُوَ الرَّجُلُ يَأْتِي السُّلْطَانَ ، فَيُحِبُّ بَقَاءَهُ إِلى أَنْ يُدْخِلَ يَدَهُ إِلى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 - « هذه ».</w:t>
      </w:r>
    </w:p>
    <w:p w:rsidR="00744A1C" w:rsidRDefault="00E378DD" w:rsidP="00E378DD">
      <w:pPr>
        <w:pStyle w:val="libFootnote0"/>
        <w:rPr>
          <w:lang w:bidi="fa-IR"/>
        </w:rPr>
      </w:pPr>
      <w:r>
        <w:rPr>
          <w:rtl/>
          <w:lang w:bidi="fa-IR"/>
        </w:rPr>
        <w:t>(2).</w:t>
      </w:r>
      <w:r w:rsidR="00744A1C">
        <w:rPr>
          <w:rtl/>
          <w:lang w:bidi="fa-IR"/>
        </w:rPr>
        <w:t xml:space="preserve"> في « بح » : - « ضرر ».</w:t>
      </w:r>
    </w:p>
    <w:p w:rsidR="00744A1C" w:rsidRDefault="00E378DD" w:rsidP="00E378DD">
      <w:pPr>
        <w:pStyle w:val="libFootnote0"/>
        <w:rPr>
          <w:lang w:bidi="fa-IR"/>
        </w:rPr>
      </w:pPr>
      <w:r>
        <w:rPr>
          <w:rtl/>
          <w:lang w:bidi="fa-IR"/>
        </w:rPr>
        <w:t>(3).</w:t>
      </w:r>
      <w:r w:rsidR="00744A1C">
        <w:rPr>
          <w:rtl/>
          <w:lang w:bidi="fa-IR"/>
        </w:rPr>
        <w:t xml:space="preserve"> في </w:t>
      </w:r>
      <w:r w:rsidR="00744A1C" w:rsidRPr="00B55B3A">
        <w:rPr>
          <w:rtl/>
        </w:rPr>
        <w:t>تفسير القمّي</w:t>
      </w:r>
      <w:r w:rsidR="00744A1C">
        <w:rPr>
          <w:rtl/>
          <w:lang w:bidi="fa-IR"/>
        </w:rPr>
        <w:t xml:space="preserve"> : - « من الناس ».</w:t>
      </w:r>
    </w:p>
    <w:p w:rsidR="00744A1C" w:rsidRDefault="00E378DD" w:rsidP="00B55B3A">
      <w:pPr>
        <w:pStyle w:val="libFootnote0"/>
        <w:rPr>
          <w:lang w:bidi="fa-IR"/>
        </w:rPr>
      </w:pPr>
      <w:r>
        <w:rPr>
          <w:rtl/>
          <w:lang w:bidi="fa-IR"/>
        </w:rPr>
        <w:t>(4).</w:t>
      </w:r>
      <w:r w:rsidR="00744A1C">
        <w:rPr>
          <w:rtl/>
          <w:lang w:bidi="fa-IR"/>
        </w:rPr>
        <w:t xml:space="preserve"> هكذا في « ط ، بخ ، بف ، جت » </w:t>
      </w:r>
      <w:r w:rsidR="00744A1C" w:rsidRPr="00B55B3A">
        <w:rPr>
          <w:rtl/>
        </w:rPr>
        <w:t>والوافي والكافي</w:t>
      </w:r>
      <w:r w:rsidR="00744A1C">
        <w:rPr>
          <w:rtl/>
          <w:lang w:bidi="fa-IR"/>
        </w:rPr>
        <w:t xml:space="preserve"> ، ح 1635 </w:t>
      </w:r>
      <w:r w:rsidR="00744A1C" w:rsidRPr="00B55B3A">
        <w:rPr>
          <w:rtl/>
        </w:rPr>
        <w:t>وتفسير العيّاشي وتفسير القمّي والمعاني</w:t>
      </w:r>
      <w:r w:rsidR="00744A1C">
        <w:rPr>
          <w:rtl/>
          <w:lang w:bidi="fa-IR"/>
        </w:rPr>
        <w:t>. وفي‌سائر النسخ والمطبوع : « قال ».</w:t>
      </w:r>
      <w:r w:rsidR="00B55B3A">
        <w:rPr>
          <w:rFonts w:hint="cs"/>
          <w:rtl/>
          <w:lang w:bidi="fa-IR"/>
        </w:rPr>
        <w:t xml:space="preserve">                  </w:t>
      </w:r>
      <w:r w:rsidR="00F20780">
        <w:rPr>
          <w:rFonts w:hint="cs"/>
          <w:rtl/>
          <w:lang w:bidi="fa-IR"/>
        </w:rPr>
        <w:t xml:space="preserve">     </w:t>
      </w:r>
      <w:r w:rsidR="00B55B3A">
        <w:rPr>
          <w:rFonts w:hint="cs"/>
          <w:rtl/>
          <w:lang w:bidi="fa-IR"/>
        </w:rPr>
        <w:t xml:space="preserve">  </w:t>
      </w:r>
      <w:r>
        <w:rPr>
          <w:rtl/>
          <w:lang w:bidi="fa-IR"/>
        </w:rPr>
        <w:t>(5).</w:t>
      </w:r>
      <w:r w:rsidR="00F20780">
        <w:rPr>
          <w:rtl/>
          <w:lang w:bidi="fa-IR"/>
        </w:rPr>
        <w:t xml:space="preserve"> في«ى» وحاشية</w:t>
      </w:r>
      <w:r w:rsidR="00744A1C">
        <w:rPr>
          <w:rtl/>
          <w:lang w:bidi="fa-IR"/>
        </w:rPr>
        <w:t>« جت » و</w:t>
      </w:r>
      <w:r w:rsidR="00744A1C" w:rsidRPr="00C24F9C">
        <w:rPr>
          <w:rStyle w:val="libFootnoteBoldChar"/>
          <w:rtl/>
        </w:rPr>
        <w:t>الوافي</w:t>
      </w:r>
      <w:r w:rsidR="00744A1C">
        <w:rPr>
          <w:rtl/>
          <w:lang w:bidi="fa-IR"/>
        </w:rPr>
        <w:t xml:space="preserve"> : « ويتجنّب ».</w:t>
      </w:r>
    </w:p>
    <w:tbl>
      <w:tblPr>
        <w:tblStyle w:val="TableGrid"/>
        <w:bidiVisual/>
        <w:tblW w:w="0" w:type="auto"/>
        <w:tblLook w:val="04A0" w:firstRow="1" w:lastRow="0" w:firstColumn="1" w:lastColumn="0" w:noHBand="0" w:noVBand="1"/>
      </w:tblPr>
      <w:tblGrid>
        <w:gridCol w:w="4006"/>
        <w:gridCol w:w="4006"/>
      </w:tblGrid>
      <w:tr w:rsidR="00F20780" w:rsidTr="00F20780">
        <w:tc>
          <w:tcPr>
            <w:tcW w:w="4006" w:type="dxa"/>
          </w:tcPr>
          <w:p w:rsidR="00F20780" w:rsidRDefault="00F20780" w:rsidP="00E378DD">
            <w:pPr>
              <w:pStyle w:val="libFootnote0"/>
              <w:rPr>
                <w:rtl/>
                <w:lang w:bidi="fa-IR"/>
              </w:rPr>
            </w:pPr>
            <w:r>
              <w:rPr>
                <w:rtl/>
                <w:lang w:bidi="fa-IR"/>
              </w:rPr>
              <w:t xml:space="preserve">(6). في </w:t>
            </w:r>
            <w:r w:rsidRPr="00610FB4">
              <w:rPr>
                <w:rStyle w:val="libFootnoteBoldChar"/>
                <w:rtl/>
              </w:rPr>
              <w:t>تفسير القمّي</w:t>
            </w:r>
            <w:r>
              <w:rPr>
                <w:rtl/>
                <w:lang w:bidi="fa-IR"/>
              </w:rPr>
              <w:t xml:space="preserve"> : « الشبهات ».</w:t>
            </w:r>
          </w:p>
        </w:tc>
        <w:tc>
          <w:tcPr>
            <w:tcW w:w="4006" w:type="dxa"/>
          </w:tcPr>
          <w:p w:rsidR="00F20780" w:rsidRDefault="00F20780" w:rsidP="00E378DD">
            <w:pPr>
              <w:pStyle w:val="libFootnote0"/>
              <w:rPr>
                <w:rtl/>
                <w:lang w:bidi="fa-IR"/>
              </w:rPr>
            </w:pPr>
            <w:r>
              <w:rPr>
                <w:rtl/>
                <w:lang w:bidi="fa-IR"/>
              </w:rPr>
              <w:t>(7). في « ى » : « و</w:t>
            </w:r>
            <w:r>
              <w:rPr>
                <w:rFonts w:hint="cs"/>
                <w:rtl/>
                <w:lang w:bidi="fa-IR"/>
              </w:rPr>
              <w:t xml:space="preserve"> </w:t>
            </w:r>
            <w:r>
              <w:rPr>
                <w:rtl/>
                <w:lang w:bidi="fa-IR"/>
              </w:rPr>
              <w:t>وقع ».</w:t>
            </w:r>
          </w:p>
        </w:tc>
      </w:tr>
    </w:tbl>
    <w:p w:rsidR="00744A1C" w:rsidRDefault="00E378DD" w:rsidP="00E378DD">
      <w:pPr>
        <w:pStyle w:val="libFootnote0"/>
        <w:rPr>
          <w:lang w:bidi="fa-IR"/>
        </w:rPr>
      </w:pPr>
      <w:r>
        <w:rPr>
          <w:rtl/>
          <w:lang w:bidi="fa-IR"/>
        </w:rPr>
        <w:t>(8).</w:t>
      </w:r>
      <w:r w:rsidR="00744A1C">
        <w:rPr>
          <w:rtl/>
          <w:lang w:bidi="fa-IR"/>
        </w:rPr>
        <w:t xml:space="preserve"> في « ط ، بح ، بخ ، بف ، جت ، جد ، جن » : « إذا » بدون الواو.</w:t>
      </w:r>
    </w:p>
    <w:p w:rsidR="00744A1C" w:rsidRDefault="00E378DD" w:rsidP="00E378DD">
      <w:pPr>
        <w:pStyle w:val="libFootnote0"/>
        <w:rPr>
          <w:lang w:bidi="fa-IR"/>
        </w:rPr>
      </w:pPr>
      <w:r>
        <w:rPr>
          <w:rtl/>
          <w:lang w:bidi="fa-IR"/>
        </w:rPr>
        <w:t>(9).</w:t>
      </w:r>
      <w:r w:rsidR="00744A1C">
        <w:rPr>
          <w:rtl/>
          <w:lang w:bidi="fa-IR"/>
        </w:rPr>
        <w:t xml:space="preserve"> في « ى ، بح ، بخ ، بس ، جد ، جن » وحاشية « جت » : « تبارك وتعالى ».</w:t>
      </w:r>
    </w:p>
    <w:p w:rsidR="00744A1C" w:rsidRDefault="00E378DD" w:rsidP="00E378DD">
      <w:pPr>
        <w:pStyle w:val="libFootnote0"/>
        <w:rPr>
          <w:lang w:bidi="fa-IR"/>
        </w:rPr>
      </w:pPr>
      <w:r>
        <w:rPr>
          <w:rtl/>
          <w:lang w:bidi="fa-IR"/>
        </w:rPr>
        <w:t>(10).</w:t>
      </w:r>
      <w:r w:rsidR="00744A1C">
        <w:rPr>
          <w:rtl/>
          <w:lang w:bidi="fa-IR"/>
        </w:rPr>
        <w:t xml:space="preserve"> الأنعام </w:t>
      </w:r>
      <w:r w:rsidR="00347912">
        <w:rPr>
          <w:rtl/>
          <w:lang w:bidi="fa-IR"/>
        </w:rPr>
        <w:t>(6)</w:t>
      </w:r>
      <w:r w:rsidR="00744A1C">
        <w:rPr>
          <w:rtl/>
          <w:lang w:bidi="fa-IR"/>
        </w:rPr>
        <w:t xml:space="preserve"> : 45.</w:t>
      </w:r>
    </w:p>
    <w:p w:rsidR="00744A1C" w:rsidRDefault="00E378DD" w:rsidP="00E378DD">
      <w:pPr>
        <w:pStyle w:val="libFootnote0"/>
        <w:rPr>
          <w:lang w:bidi="fa-IR"/>
        </w:rPr>
      </w:pPr>
      <w:r>
        <w:rPr>
          <w:rtl/>
          <w:lang w:bidi="fa-IR"/>
        </w:rPr>
        <w:t>(11).</w:t>
      </w:r>
      <w:r w:rsidR="00744A1C">
        <w:rPr>
          <w:rtl/>
          <w:lang w:bidi="fa-IR"/>
        </w:rPr>
        <w:t xml:space="preserve"> </w:t>
      </w:r>
      <w:r w:rsidR="00744A1C" w:rsidRPr="0061079A">
        <w:rPr>
          <w:rStyle w:val="libFootnoteBoldChar"/>
          <w:rtl/>
        </w:rPr>
        <w:t>الكافي</w:t>
      </w:r>
      <w:r w:rsidR="00744A1C">
        <w:rPr>
          <w:rtl/>
          <w:lang w:bidi="fa-IR"/>
        </w:rPr>
        <w:t xml:space="preserve"> ، كتاب الإيمان والكفر ، باب الورع ، ح 1635 ، إلى قوله : « يتورّع عن محارم الله عزّ وجلّ ». وفي </w:t>
      </w:r>
      <w:r w:rsidR="00744A1C" w:rsidRPr="00610FB4">
        <w:rPr>
          <w:rStyle w:val="libFootnoteBoldChar"/>
          <w:rtl/>
        </w:rPr>
        <w:t>تفسير القمّي</w:t>
      </w:r>
      <w:r w:rsidR="00744A1C">
        <w:rPr>
          <w:rtl/>
          <w:lang w:bidi="fa-IR"/>
        </w:rPr>
        <w:t xml:space="preserve"> ، ج 1 ، ص 200 ، عن أبيه ، عن القاسم بن محمّد. </w:t>
      </w:r>
      <w:r w:rsidR="00744A1C" w:rsidRPr="00610FB4">
        <w:rPr>
          <w:rStyle w:val="libFootnoteBoldChar"/>
          <w:rtl/>
        </w:rPr>
        <w:t>معاني الأخبار</w:t>
      </w:r>
      <w:r w:rsidR="00744A1C">
        <w:rPr>
          <w:rtl/>
          <w:lang w:bidi="fa-IR"/>
        </w:rPr>
        <w:t xml:space="preserve"> ، ص 252 ، ح 1 ، بسنده عن القاسم بن محمّد. </w:t>
      </w:r>
      <w:r w:rsidR="00744A1C" w:rsidRPr="00A914B5">
        <w:rPr>
          <w:rStyle w:val="libFootnoteBoldChar"/>
          <w:rtl/>
        </w:rPr>
        <w:t>تفسير العيّاشي</w:t>
      </w:r>
      <w:r w:rsidR="00744A1C">
        <w:rPr>
          <w:rtl/>
          <w:lang w:bidi="fa-IR"/>
        </w:rPr>
        <w:t xml:space="preserve"> ، ج 1 ، ص 360 ، ح 25 ، عن فضيل بن عياض ، وفي كلّ المصادر من قوله : « وسألته عن الورع » </w:t>
      </w:r>
      <w:r w:rsidR="00347912">
        <w:rPr>
          <w:rFonts w:hint="cs"/>
          <w:rtl/>
          <w:lang w:bidi="fa-IR"/>
        </w:rPr>
        <w:t>.</w:t>
      </w:r>
      <w:r w:rsidR="00744A1C" w:rsidRPr="00C24F9C">
        <w:rPr>
          <w:rStyle w:val="libFootnoteBoldChar"/>
          <w:rtl/>
        </w:rPr>
        <w:t>الوافي</w:t>
      </w:r>
      <w:r w:rsidR="00744A1C">
        <w:rPr>
          <w:rtl/>
          <w:lang w:bidi="fa-IR"/>
        </w:rPr>
        <w:t xml:space="preserve"> ، ج 17 ، ص 157 ، ح 17038 ؛ </w:t>
      </w:r>
      <w:r w:rsidR="00744A1C" w:rsidRPr="00C24F9C">
        <w:rPr>
          <w:rStyle w:val="libFootnoteBoldChar"/>
          <w:rtl/>
        </w:rPr>
        <w:t>الوسائل</w:t>
      </w:r>
      <w:r w:rsidR="00744A1C">
        <w:rPr>
          <w:rtl/>
          <w:lang w:bidi="fa-IR"/>
        </w:rPr>
        <w:t xml:space="preserve"> ، ج 16 ، ص 258 ، ح 21507.</w:t>
      </w:r>
    </w:p>
    <w:tbl>
      <w:tblPr>
        <w:tblStyle w:val="TableGrid"/>
        <w:bidiVisual/>
        <w:tblW w:w="0" w:type="auto"/>
        <w:tblLook w:val="04A0" w:firstRow="1" w:lastRow="0" w:firstColumn="1" w:lastColumn="0" w:noHBand="0" w:noVBand="1"/>
      </w:tblPr>
      <w:tblGrid>
        <w:gridCol w:w="4006"/>
        <w:gridCol w:w="4006"/>
      </w:tblGrid>
      <w:tr w:rsidR="00347912" w:rsidTr="00347912">
        <w:tc>
          <w:tcPr>
            <w:tcW w:w="4006" w:type="dxa"/>
          </w:tcPr>
          <w:p w:rsidR="00347912" w:rsidRDefault="00347912" w:rsidP="00E378DD">
            <w:pPr>
              <w:pStyle w:val="libFootnote0"/>
              <w:rPr>
                <w:rtl/>
                <w:lang w:bidi="fa-IR"/>
              </w:rPr>
            </w:pPr>
            <w:r>
              <w:rPr>
                <w:rtl/>
                <w:lang w:bidi="fa-IR"/>
              </w:rPr>
              <w:t>(12). هود (11) : 113.</w:t>
            </w:r>
          </w:p>
        </w:tc>
        <w:tc>
          <w:tcPr>
            <w:tcW w:w="4006" w:type="dxa"/>
          </w:tcPr>
          <w:p w:rsidR="00347912" w:rsidRDefault="00347912" w:rsidP="00E378DD">
            <w:pPr>
              <w:pStyle w:val="libFootnote0"/>
              <w:rPr>
                <w:rtl/>
                <w:lang w:bidi="fa-IR"/>
              </w:rPr>
            </w:pPr>
            <w:r>
              <w:rPr>
                <w:rtl/>
                <w:lang w:bidi="fa-IR"/>
              </w:rPr>
              <w:t>(13). في «بخ،بف»و</w:t>
            </w:r>
            <w:r w:rsidRPr="00C24F9C">
              <w:rPr>
                <w:rStyle w:val="libFootnoteBoldChar"/>
                <w:rtl/>
              </w:rPr>
              <w:t>الوافي</w:t>
            </w:r>
            <w:r>
              <w:rPr>
                <w:rtl/>
                <w:lang w:bidi="fa-IR"/>
              </w:rPr>
              <w:t>:«في».وفي«ط»: - «إلى».</w:t>
            </w:r>
          </w:p>
        </w:tc>
      </w:tr>
    </w:tbl>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كِيسِهِ ، فَيُعْطِيَهُ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8518 / 13. مُحَمَّدُ بْنُ يَحْيى ، عَنْ أَحْمَدَ بْنِ مُحَمَّدٍ ، عَنِ الْحُسَيْنِ بْنِ سَعِيدٍ ، عَنِ النَّضْرِ بْنِ سُوَيْدٍ ، عَنْ مُحَمَّدِ بْنِ هِشَامٍ </w:t>
      </w:r>
      <w:r w:rsidRPr="00D10E3C">
        <w:rPr>
          <w:rStyle w:val="libFootnotenumChar"/>
          <w:rtl/>
        </w:rPr>
        <w:t>(3)</w:t>
      </w:r>
      <w:r>
        <w:rPr>
          <w:rtl/>
          <w:lang w:bidi="fa-IR"/>
        </w:rPr>
        <w:t xml:space="preserve"> ، عَمَّنْ أَخْبَرَهُ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 قَوْماً مِمَّنْ آمَنَ بِمُوسى </w:t>
      </w:r>
      <w:r w:rsidR="0061079A" w:rsidRPr="0061079A">
        <w:rPr>
          <w:rStyle w:val="libAlaemChar"/>
          <w:rtl/>
        </w:rPr>
        <w:t>عليه‌السلام</w:t>
      </w:r>
      <w:r w:rsidR="00D10E3C">
        <w:rPr>
          <w:rtl/>
          <w:lang w:bidi="fa-IR"/>
        </w:rPr>
        <w:t xml:space="preserve"> </w:t>
      </w:r>
      <w:r>
        <w:rPr>
          <w:rtl/>
          <w:lang w:bidi="fa-IR"/>
        </w:rPr>
        <w:t xml:space="preserve">قَالُوا : لَوْ أَتَيْنَا عَسْكَرَ فِرْعَوْنَ ، فَكُنَّا </w:t>
      </w:r>
      <w:r w:rsidRPr="00D10E3C">
        <w:rPr>
          <w:rStyle w:val="libFootnotenumChar"/>
          <w:rtl/>
        </w:rPr>
        <w:t>(4)</w:t>
      </w:r>
      <w:r>
        <w:rPr>
          <w:rtl/>
          <w:lang w:bidi="fa-IR"/>
        </w:rPr>
        <w:t xml:space="preserve"> فِيهِ وَنِلْنَا مِنْ دُنْيَاهُ ، فَإِذَا </w:t>
      </w:r>
      <w:r w:rsidRPr="00D10E3C">
        <w:rPr>
          <w:rStyle w:val="libFootnotenumChar"/>
          <w:rtl/>
        </w:rPr>
        <w:t>(5)</w:t>
      </w:r>
      <w:r>
        <w:rPr>
          <w:rtl/>
          <w:lang w:bidi="fa-IR"/>
        </w:rPr>
        <w:t xml:space="preserve"> كَانَ الَّذِي نَرْجُوهُ مِنْ ظُهُورِ مُوسى </w:t>
      </w:r>
      <w:r w:rsidR="0061079A" w:rsidRPr="0061079A">
        <w:rPr>
          <w:rStyle w:val="libAlaemChar"/>
          <w:rtl/>
        </w:rPr>
        <w:t>عليه‌السلام</w:t>
      </w:r>
      <w:r w:rsidR="00D10E3C">
        <w:rPr>
          <w:rtl/>
          <w:lang w:bidi="fa-IR"/>
        </w:rPr>
        <w:t xml:space="preserve"> </w:t>
      </w:r>
      <w:r>
        <w:rPr>
          <w:rtl/>
          <w:lang w:bidi="fa-IR"/>
        </w:rPr>
        <w:t xml:space="preserve">صِرْنَا إِلَيْهِ ، فَفَعَلُوا ، فَلَمَّا تَوَجَّهَ مُوسى </w:t>
      </w:r>
      <w:r w:rsidR="0061079A" w:rsidRPr="0061079A">
        <w:rPr>
          <w:rStyle w:val="libAlaemChar"/>
          <w:rtl/>
        </w:rPr>
        <w:t>عليه‌السلام</w:t>
      </w:r>
      <w:r w:rsidR="00D10E3C">
        <w:rPr>
          <w:rtl/>
          <w:lang w:bidi="fa-IR"/>
        </w:rPr>
        <w:t xml:space="preserve"> </w:t>
      </w:r>
      <w:r>
        <w:rPr>
          <w:rtl/>
          <w:lang w:bidi="fa-IR"/>
        </w:rPr>
        <w:t xml:space="preserve">وَمَنْ مَعَهُ </w:t>
      </w:r>
      <w:r w:rsidRPr="00D10E3C">
        <w:rPr>
          <w:rStyle w:val="libFootnotenumChar"/>
          <w:rtl/>
        </w:rPr>
        <w:t>(6)</w:t>
      </w:r>
      <w:r>
        <w:rPr>
          <w:rtl/>
          <w:lang w:bidi="fa-IR"/>
        </w:rPr>
        <w:t xml:space="preserve"> هَارِبِينَ مِنْ فِرْعَوْنَ ، رَكِبُوا دَوَابَّهُمْ ، وَأَسْرَعُوا فِي السَّيْرِ لِيَلْحَقُوا بِمُوسى </w:t>
      </w:r>
      <w:r w:rsidRPr="00D10E3C">
        <w:rPr>
          <w:rStyle w:val="libFootnotenumChar"/>
          <w:rtl/>
        </w:rPr>
        <w:t>(7)</w:t>
      </w:r>
      <w:r>
        <w:rPr>
          <w:rtl/>
          <w:lang w:bidi="fa-IR"/>
        </w:rPr>
        <w:t xml:space="preserve"> عليهلامَ</w:t>
      </w:r>
      <w:r w:rsidR="00D10E3C">
        <w:rPr>
          <w:rtl/>
          <w:lang w:bidi="fa-IR"/>
        </w:rPr>
        <w:t xml:space="preserve">  </w:t>
      </w:r>
      <w:r>
        <w:rPr>
          <w:rtl/>
          <w:lang w:bidi="fa-IR"/>
        </w:rPr>
        <w:t xml:space="preserve">وَعَسْكَرِهِ ، فَيَكُونُوا مَعَهُمْ </w:t>
      </w:r>
      <w:r w:rsidRPr="00D10E3C">
        <w:rPr>
          <w:rStyle w:val="libFootnotenumChar"/>
          <w:rtl/>
        </w:rPr>
        <w:t>(8)</w:t>
      </w:r>
      <w:r>
        <w:rPr>
          <w:rtl/>
          <w:lang w:bidi="fa-IR"/>
        </w:rPr>
        <w:t xml:space="preserve"> ، فَبَعَثَ اللهُ - عَزَّ وَجَلَّ - مَلَكاً ، فَضَرَبَ وُجُوهَ دَوَابِّهِمْ ، فَرَدَّهُمْ إِلى عَسْكَرِ فِرْعَوْنَ ، فَكَانُوا فِيمَنْ غَرِقَ مَعَ فِرْعَوْنَ ». </w:t>
      </w:r>
      <w:r w:rsidRPr="00D10E3C">
        <w:rPr>
          <w:rStyle w:val="libFootnotenumChar"/>
          <w:rtl/>
        </w:rPr>
        <w:t>(9)</w:t>
      </w:r>
    </w:p>
    <w:p w:rsidR="00144FA6" w:rsidRDefault="00744A1C" w:rsidP="00744A1C">
      <w:pPr>
        <w:pStyle w:val="libNormal"/>
        <w:rPr>
          <w:rtl/>
          <w:lang w:bidi="fa-IR"/>
        </w:rPr>
      </w:pPr>
      <w:r>
        <w:rPr>
          <w:rtl/>
          <w:lang w:bidi="fa-IR"/>
        </w:rPr>
        <w:t xml:space="preserve">8519 / 14. وَرَوَاهُ </w:t>
      </w:r>
      <w:r w:rsidRPr="00D10E3C">
        <w:rPr>
          <w:rStyle w:val="libFootnotenumChar"/>
          <w:rtl/>
        </w:rPr>
        <w:t>(10)</w:t>
      </w:r>
      <w:r>
        <w:rPr>
          <w:rtl/>
          <w:lang w:bidi="fa-IR"/>
        </w:rPr>
        <w:t xml:space="preserve"> عَنِ ابْنِ فَضَّالٍ ، عَنْ عَلِيِّ بْنِ عُقْبَةَ ، عَنْ بَعْضِ أَصْحَابِنَا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ويعطيه ». وفي « ى » : « ليعطيه ».</w:t>
      </w:r>
    </w:p>
    <w:p w:rsidR="00744A1C" w:rsidRDefault="00E378DD" w:rsidP="00E378DD">
      <w:pPr>
        <w:pStyle w:val="libFootnote0"/>
        <w:rPr>
          <w:lang w:bidi="fa-IR"/>
        </w:rPr>
      </w:pPr>
      <w:r>
        <w:rPr>
          <w:rtl/>
          <w:lang w:bidi="fa-IR"/>
        </w:rPr>
        <w:t>(2).</w:t>
      </w:r>
      <w:r w:rsidR="00744A1C">
        <w:rPr>
          <w:rtl/>
          <w:lang w:bidi="fa-IR"/>
        </w:rPr>
        <w:t xml:space="preserve"> راجع : </w:t>
      </w:r>
      <w:r w:rsidR="00744A1C" w:rsidRPr="00A914B5">
        <w:rPr>
          <w:rStyle w:val="libFootnoteBoldChar"/>
          <w:rtl/>
        </w:rPr>
        <w:t>تفسير العيّاشي</w:t>
      </w:r>
      <w:r w:rsidR="00744A1C">
        <w:rPr>
          <w:rtl/>
          <w:lang w:bidi="fa-IR"/>
        </w:rPr>
        <w:t xml:space="preserve"> ، ج 2 ، ص 161 ، ح 71 ؛ و</w:t>
      </w:r>
      <w:r w:rsidR="00744A1C" w:rsidRPr="00C24F9C">
        <w:rPr>
          <w:rStyle w:val="libFootnoteBoldChar"/>
          <w:rtl/>
        </w:rPr>
        <w:t>الفقيه</w:t>
      </w:r>
      <w:r w:rsidR="00744A1C">
        <w:rPr>
          <w:rtl/>
          <w:lang w:bidi="fa-IR"/>
        </w:rPr>
        <w:t xml:space="preserve"> ، ج 4 ، ص 11 ، ح 4968 ؛ و</w:t>
      </w:r>
      <w:r w:rsidR="00D74B3B" w:rsidRPr="00D74B3B">
        <w:rPr>
          <w:rStyle w:val="libFootnoteBoldChar"/>
          <w:rFonts w:hint="cs"/>
          <w:rtl/>
        </w:rPr>
        <w:t xml:space="preserve"> </w:t>
      </w:r>
      <w:r w:rsidR="00744A1C" w:rsidRPr="00D74B3B">
        <w:rPr>
          <w:rStyle w:val="libFootnoteBoldChar"/>
          <w:rtl/>
        </w:rPr>
        <w:t>الأمالي</w:t>
      </w:r>
      <w:r w:rsidR="00744A1C">
        <w:rPr>
          <w:rtl/>
          <w:lang w:bidi="fa-IR"/>
        </w:rPr>
        <w:t xml:space="preserve"> </w:t>
      </w:r>
      <w:r w:rsidR="00744A1C" w:rsidRPr="00D74B3B">
        <w:rPr>
          <w:rStyle w:val="libFootnoteBoldChar"/>
          <w:rtl/>
        </w:rPr>
        <w:t>للصدوق</w:t>
      </w:r>
      <w:r w:rsidR="00744A1C">
        <w:rPr>
          <w:rtl/>
          <w:lang w:bidi="fa-IR"/>
        </w:rPr>
        <w:t xml:space="preserve"> ، ص 426 ، المجلس 66 ، ح 1 </w:t>
      </w:r>
      <w:r w:rsidR="00304258">
        <w:rPr>
          <w:rFonts w:hint="cs"/>
          <w:rtl/>
          <w:lang w:bidi="fa-IR"/>
        </w:rPr>
        <w:t>.</w:t>
      </w:r>
      <w:r w:rsidR="00744A1C" w:rsidRPr="00C24F9C">
        <w:rPr>
          <w:rStyle w:val="libFootnoteBoldChar"/>
          <w:rtl/>
        </w:rPr>
        <w:t>الوافي</w:t>
      </w:r>
      <w:r w:rsidR="00744A1C">
        <w:rPr>
          <w:rtl/>
          <w:lang w:bidi="fa-IR"/>
        </w:rPr>
        <w:t xml:space="preserve"> ، ج 17 ، ص 158 ، ح 17039 ؛ </w:t>
      </w:r>
      <w:r w:rsidR="00744A1C" w:rsidRPr="00C24F9C">
        <w:rPr>
          <w:rStyle w:val="libFootnoteBoldChar"/>
          <w:rtl/>
        </w:rPr>
        <w:t>الوسائل</w:t>
      </w:r>
      <w:r w:rsidR="00744A1C">
        <w:rPr>
          <w:rtl/>
          <w:lang w:bidi="fa-IR"/>
        </w:rPr>
        <w:t xml:space="preserve"> ، ج 17 ، ص 185 ، ح 22308.</w:t>
      </w:r>
    </w:p>
    <w:p w:rsidR="00744A1C" w:rsidRDefault="00E378DD" w:rsidP="00E378DD">
      <w:pPr>
        <w:pStyle w:val="libFootnote0"/>
        <w:rPr>
          <w:lang w:bidi="fa-IR"/>
        </w:rPr>
      </w:pPr>
      <w:r>
        <w:rPr>
          <w:rtl/>
          <w:lang w:bidi="fa-IR"/>
        </w:rPr>
        <w:t>(3).</w:t>
      </w:r>
      <w:r w:rsidR="00744A1C">
        <w:rPr>
          <w:rtl/>
          <w:lang w:bidi="fa-IR"/>
        </w:rPr>
        <w:t xml:space="preserve"> ورد الخبر - باختلاف يسير - في كتاب الزهد عن النضر عن محمّد بن هاشم عن رجل عن أبي عبد الله </w:t>
      </w:r>
      <w:r w:rsidR="0061079A" w:rsidRPr="0061079A">
        <w:rPr>
          <w:rStyle w:val="libFootnoteAlaemChar"/>
          <w:rtl/>
        </w:rPr>
        <w:t>عليه‌السلام</w:t>
      </w:r>
      <w:r w:rsidR="00744A1C">
        <w:rPr>
          <w:rtl/>
          <w:lang w:bidi="fa-IR"/>
        </w:rPr>
        <w:t xml:space="preserve"> .</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و</w:t>
      </w:r>
      <w:r w:rsidR="00744A1C" w:rsidRPr="0061079A">
        <w:rPr>
          <w:rStyle w:val="libFootnoteBoldChar"/>
          <w:rtl/>
        </w:rPr>
        <w:t>البحار</w:t>
      </w:r>
      <w:r w:rsidR="00744A1C">
        <w:rPr>
          <w:rtl/>
          <w:lang w:bidi="fa-IR"/>
        </w:rPr>
        <w:t>. وفي المطبوع و</w:t>
      </w:r>
      <w:r w:rsidR="00744A1C" w:rsidRPr="00C24F9C">
        <w:rPr>
          <w:rStyle w:val="libFootnoteBoldChar"/>
          <w:rtl/>
        </w:rPr>
        <w:t>الوافي</w:t>
      </w:r>
      <w:r w:rsidR="00744A1C">
        <w:rPr>
          <w:rtl/>
          <w:lang w:bidi="fa-IR"/>
        </w:rPr>
        <w:t xml:space="preserve"> عن بعض النسخ : « وكنّا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الوسائل</w:t>
      </w:r>
      <w:r w:rsidR="00744A1C">
        <w:rPr>
          <w:rtl/>
          <w:lang w:bidi="fa-IR"/>
        </w:rPr>
        <w:t xml:space="preserve"> : « حتّى إذا ».</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304258">
        <w:rPr>
          <w:rtl/>
        </w:rPr>
        <w:t>والوسائل والبحار والزهد.</w:t>
      </w:r>
      <w:r w:rsidR="00744A1C">
        <w:rPr>
          <w:rtl/>
          <w:lang w:bidi="fa-IR"/>
        </w:rPr>
        <w:t xml:space="preserve"> وفي المطبوع </w:t>
      </w:r>
      <w:r w:rsidR="00744A1C" w:rsidRPr="00304258">
        <w:rPr>
          <w:rtl/>
        </w:rPr>
        <w:t>والوافي :</w:t>
      </w:r>
      <w:r w:rsidR="00744A1C">
        <w:rPr>
          <w:rtl/>
          <w:lang w:bidi="fa-IR"/>
        </w:rPr>
        <w:t xml:space="preserve"> + « إلى البحر ».</w:t>
      </w:r>
    </w:p>
    <w:p w:rsidR="00744A1C" w:rsidRDefault="00E378DD" w:rsidP="00E378DD">
      <w:pPr>
        <w:pStyle w:val="libFootnote0"/>
        <w:rPr>
          <w:lang w:bidi="fa-IR"/>
        </w:rPr>
      </w:pPr>
      <w:r>
        <w:rPr>
          <w:rtl/>
          <w:lang w:bidi="fa-IR"/>
        </w:rPr>
        <w:t>(7).</w:t>
      </w:r>
      <w:r w:rsidR="00744A1C">
        <w:rPr>
          <w:rtl/>
          <w:lang w:bidi="fa-IR"/>
        </w:rPr>
        <w:t xml:space="preserve"> في « ط ، ى ، بح ، بس ، جد ، جن » </w:t>
      </w:r>
      <w:r w:rsidR="00744A1C" w:rsidRPr="00304258">
        <w:rPr>
          <w:rtl/>
        </w:rPr>
        <w:t>والوسائل والبحار :</w:t>
      </w:r>
      <w:r w:rsidR="00744A1C">
        <w:rPr>
          <w:rtl/>
          <w:lang w:bidi="fa-IR"/>
        </w:rPr>
        <w:t xml:space="preserve"> « موسى ».</w:t>
      </w:r>
    </w:p>
    <w:p w:rsidR="00744A1C" w:rsidRDefault="00E378DD" w:rsidP="00E378DD">
      <w:pPr>
        <w:pStyle w:val="libFootnote0"/>
        <w:rPr>
          <w:lang w:bidi="fa-IR"/>
        </w:rPr>
      </w:pPr>
      <w:r>
        <w:rPr>
          <w:rtl/>
          <w:lang w:bidi="fa-IR"/>
        </w:rPr>
        <w:t>(8).</w:t>
      </w:r>
      <w:r w:rsidR="00744A1C">
        <w:rPr>
          <w:rtl/>
          <w:lang w:bidi="fa-IR"/>
        </w:rPr>
        <w:t xml:space="preserve"> في « بف </w:t>
      </w:r>
      <w:r w:rsidR="00744A1C" w:rsidRPr="00304258">
        <w:rPr>
          <w:rtl/>
        </w:rPr>
        <w:t>، جن » والوافي :</w:t>
      </w:r>
      <w:r w:rsidR="00744A1C">
        <w:rPr>
          <w:rtl/>
          <w:lang w:bidi="fa-IR"/>
        </w:rPr>
        <w:t xml:space="preserve"> « مَعه ».</w:t>
      </w:r>
    </w:p>
    <w:p w:rsidR="00744A1C" w:rsidRDefault="00E378DD" w:rsidP="00E378DD">
      <w:pPr>
        <w:pStyle w:val="libFootnote0"/>
        <w:rPr>
          <w:lang w:bidi="fa-IR"/>
        </w:rPr>
      </w:pPr>
      <w:r>
        <w:rPr>
          <w:rtl/>
          <w:lang w:bidi="fa-IR"/>
        </w:rPr>
        <w:t>(9).</w:t>
      </w:r>
      <w:r w:rsidR="00744A1C">
        <w:rPr>
          <w:rtl/>
          <w:lang w:bidi="fa-IR"/>
        </w:rPr>
        <w:t xml:space="preserve"> </w:t>
      </w:r>
      <w:r w:rsidR="00744A1C" w:rsidRPr="00304258">
        <w:rPr>
          <w:rStyle w:val="libFootnoteBoldChar"/>
          <w:rtl/>
        </w:rPr>
        <w:t>الزهد</w:t>
      </w:r>
      <w:r w:rsidR="00744A1C">
        <w:rPr>
          <w:rtl/>
          <w:lang w:bidi="fa-IR"/>
        </w:rPr>
        <w:t xml:space="preserve"> ، ص 133 ، ح 175 ، عن النضر ، عن محمّد بن هاشم ، عن رجل ، عن أبي عبد الله </w:t>
      </w:r>
      <w:r w:rsidR="0061079A" w:rsidRPr="0061079A">
        <w:rPr>
          <w:rStyle w:val="libFootnoteAlaemChar"/>
          <w:rtl/>
        </w:rPr>
        <w:t>عليه‌السلام</w:t>
      </w:r>
      <w:r w:rsidR="00D10E3C">
        <w:rPr>
          <w:rtl/>
          <w:lang w:bidi="fa-IR"/>
        </w:rPr>
        <w:t xml:space="preserve"> </w:t>
      </w:r>
      <w:r w:rsidR="00304258">
        <w:rPr>
          <w:rFonts w:hint="cs"/>
          <w:rtl/>
          <w:lang w:bidi="fa-IR"/>
        </w:rPr>
        <w:t>.</w:t>
      </w:r>
      <w:r w:rsidR="00744A1C" w:rsidRPr="00C24F9C">
        <w:rPr>
          <w:rStyle w:val="libFootnoteBoldChar"/>
          <w:rtl/>
        </w:rPr>
        <w:t>الوافي</w:t>
      </w:r>
      <w:r w:rsidR="00744A1C">
        <w:rPr>
          <w:rtl/>
          <w:lang w:bidi="fa-IR"/>
        </w:rPr>
        <w:t xml:space="preserve"> ، ج 17 ، ص 158 ، ح 17040 ؛ </w:t>
      </w:r>
      <w:r w:rsidR="00744A1C" w:rsidRPr="00C24F9C">
        <w:rPr>
          <w:rStyle w:val="libFootnoteBoldChar"/>
          <w:rtl/>
        </w:rPr>
        <w:t>الوسائل</w:t>
      </w:r>
      <w:r w:rsidR="00744A1C">
        <w:rPr>
          <w:rtl/>
          <w:lang w:bidi="fa-IR"/>
        </w:rPr>
        <w:t xml:space="preserve"> ، ج 17 ، ص 185 ، ح 22309 ؛ </w:t>
      </w:r>
      <w:r w:rsidR="00744A1C" w:rsidRPr="0061079A">
        <w:rPr>
          <w:rStyle w:val="libFootnoteBoldChar"/>
          <w:rtl/>
        </w:rPr>
        <w:t>البحار</w:t>
      </w:r>
      <w:r w:rsidR="00744A1C">
        <w:rPr>
          <w:rtl/>
          <w:lang w:bidi="fa-IR"/>
        </w:rPr>
        <w:t xml:space="preserve"> ، ج 13 ، ص 127 ، ح 26.</w:t>
      </w:r>
    </w:p>
    <w:p w:rsidR="00744A1C" w:rsidRDefault="00E378DD" w:rsidP="00E378DD">
      <w:pPr>
        <w:pStyle w:val="libFootnote0"/>
        <w:rPr>
          <w:lang w:bidi="fa-IR"/>
        </w:rPr>
      </w:pPr>
      <w:r>
        <w:rPr>
          <w:rtl/>
          <w:lang w:bidi="fa-IR"/>
        </w:rPr>
        <w:t>(10).</w:t>
      </w:r>
      <w:r w:rsidR="00744A1C">
        <w:rPr>
          <w:rtl/>
          <w:lang w:bidi="fa-IR"/>
        </w:rPr>
        <w:t xml:space="preserve"> الضمير المستتر في « رواه » راجع إلى أحمد بن محمّد المذكور في السند السابق ؛ فقد تكرّرت رواية أحمد بن محمّد بن عيسى - وهو المراد من أحمد بن محمّد - عن [ الحسن بن عليّ ] بن فضّال عن عليّ بن عقبة ، في الأسناد. راجع : </w:t>
      </w:r>
      <w:r w:rsidR="00744A1C" w:rsidRPr="0061079A">
        <w:rPr>
          <w:rStyle w:val="libFootnoteBoldChar"/>
          <w:rtl/>
        </w:rPr>
        <w:t>معجم رجال الحديث</w:t>
      </w:r>
      <w:r w:rsidR="00744A1C">
        <w:rPr>
          <w:rtl/>
          <w:lang w:bidi="fa-IR"/>
        </w:rPr>
        <w:t xml:space="preserve"> ، ج 5 ، ص 311 ؛ وج 23 ، ص 227.</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حَقٌّ عَلَى اللهِ - عَزَّ وَجَلَّ - أَنْ تَصِيرُوا </w:t>
      </w:r>
      <w:r w:rsidRPr="00D10E3C">
        <w:rPr>
          <w:rStyle w:val="libFootnotenumChar"/>
          <w:rtl/>
        </w:rPr>
        <w:t>(1)</w:t>
      </w:r>
      <w:r>
        <w:rPr>
          <w:rtl/>
          <w:lang w:bidi="fa-IR"/>
        </w:rPr>
        <w:t xml:space="preserve"> مَعَ مَنْ عِشْتُمْ مَعَهُ فِي دُنْيَاهُ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8520 / 15. عِدَّةٌ مِنْ أَصْحَابِنَا ، عَنْ سَهْلِ بْنِ زِيَادٍ ، عَنْ أَحْمَدَ بْنِ مُحَمَّدٍ الْبَرْقِيِّ </w:t>
      </w:r>
      <w:r w:rsidRPr="00D10E3C">
        <w:rPr>
          <w:rStyle w:val="libFootnotenumChar"/>
          <w:rtl/>
        </w:rPr>
        <w:t>(4)</w:t>
      </w:r>
      <w:r>
        <w:rPr>
          <w:rtl/>
          <w:lang w:bidi="fa-IR"/>
        </w:rPr>
        <w:t xml:space="preserve"> ، عَنْ عَلِيِّ بْنِ أَبِي رَاشِدٍ </w:t>
      </w:r>
      <w:r w:rsidRPr="00D10E3C">
        <w:rPr>
          <w:rStyle w:val="libFootnotenumChar"/>
          <w:rtl/>
        </w:rPr>
        <w:t>(5)</w:t>
      </w:r>
      <w:r>
        <w:rPr>
          <w:rtl/>
          <w:lang w:bidi="fa-IR"/>
        </w:rPr>
        <w:t xml:space="preserve"> ، عَنْ إِبْرَاهِيمَ بْنِ السِّنْدِيِّ ، عَنْ يُونُسَ بْنِ عَمَّارٍ </w:t>
      </w:r>
      <w:r w:rsidRPr="00D10E3C">
        <w:rPr>
          <w:rStyle w:val="libFootnotenumChar"/>
          <w:rtl/>
        </w:rPr>
        <w:t>(6)</w:t>
      </w:r>
      <w:r>
        <w:rPr>
          <w:rtl/>
          <w:lang w:bidi="fa-IR"/>
        </w:rPr>
        <w:t xml:space="preserve"> ، قَالَ :</w:t>
      </w:r>
    </w:p>
    <w:p w:rsidR="00744A1C" w:rsidRDefault="00744A1C" w:rsidP="00744A1C">
      <w:pPr>
        <w:pStyle w:val="libNormal"/>
        <w:rPr>
          <w:lang w:bidi="fa-IR"/>
        </w:rPr>
      </w:pPr>
      <w:r>
        <w:rPr>
          <w:rtl/>
          <w:lang w:bidi="fa-IR"/>
        </w:rPr>
        <w:t xml:space="preserve">وَصَفْتُ لِأَبِي عَبْدِ اللهِ </w:t>
      </w:r>
      <w:r w:rsidR="0061079A" w:rsidRPr="0061079A">
        <w:rPr>
          <w:rStyle w:val="libAlaemChar"/>
          <w:rtl/>
        </w:rPr>
        <w:t>عليه‌السلام</w:t>
      </w:r>
      <w:r w:rsidR="00D10E3C">
        <w:rPr>
          <w:rtl/>
          <w:lang w:bidi="fa-IR"/>
        </w:rPr>
        <w:t xml:space="preserve"> </w:t>
      </w:r>
      <w:r>
        <w:rPr>
          <w:rtl/>
          <w:lang w:bidi="fa-IR"/>
        </w:rPr>
        <w:t>مَنْ يَقُولُ بِهذَا الْأَمْرِ مِمَّنْ يَعْمَلُ عَمَلَ السُّلْطَانِ.</w:t>
      </w:r>
    </w:p>
    <w:p w:rsidR="00744A1C" w:rsidRDefault="00744A1C" w:rsidP="00744A1C">
      <w:pPr>
        <w:pStyle w:val="libNormal"/>
        <w:rPr>
          <w:lang w:bidi="fa-IR"/>
        </w:rPr>
      </w:pPr>
      <w:r>
        <w:rPr>
          <w:rtl/>
          <w:lang w:bidi="fa-IR"/>
        </w:rPr>
        <w:t xml:space="preserve">فَقَالَ : « إِذَا وَلُوكُمْ يُدْخِلُونَ عَلَيْكُمُ المَرْفِقَ </w:t>
      </w:r>
      <w:r w:rsidRPr="00D10E3C">
        <w:rPr>
          <w:rStyle w:val="libFootnotenumChar"/>
          <w:rtl/>
        </w:rPr>
        <w:t>(7)</w:t>
      </w:r>
      <w:r>
        <w:rPr>
          <w:rtl/>
          <w:lang w:bidi="fa-IR"/>
        </w:rPr>
        <w:t xml:space="preserve"> ، وَيَنْفَعُونَكُمْ فِي حَوَائِجِكُمْ؟ ».</w:t>
      </w:r>
    </w:p>
    <w:p w:rsidR="00744A1C" w:rsidRDefault="00744A1C" w:rsidP="00744A1C">
      <w:pPr>
        <w:pStyle w:val="libNormal"/>
        <w:rPr>
          <w:lang w:bidi="fa-IR"/>
        </w:rPr>
      </w:pPr>
      <w:r>
        <w:rPr>
          <w:rtl/>
          <w:lang w:bidi="fa-IR"/>
        </w:rPr>
        <w:t xml:space="preserve">قَالَ : قُلْتُ : مِنْهُمْ مَنْ يَفْعَلُ ذلِكَ </w:t>
      </w:r>
      <w:r w:rsidRPr="00D10E3C">
        <w:rPr>
          <w:rStyle w:val="libFootnotenumChar"/>
          <w:rtl/>
        </w:rPr>
        <w:t>(8)</w:t>
      </w:r>
      <w:r>
        <w:rPr>
          <w:rtl/>
          <w:lang w:bidi="fa-IR"/>
        </w:rPr>
        <w:t xml:space="preserve"> ، وَمِنْهُمْ مَنْ لَايَفْعَلُ.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أن تصيروا ».</w:t>
      </w:r>
    </w:p>
    <w:p w:rsidR="00744A1C" w:rsidRDefault="00E378DD" w:rsidP="00E378DD">
      <w:pPr>
        <w:pStyle w:val="libFootnote0"/>
        <w:rPr>
          <w:lang w:bidi="fa-IR"/>
        </w:rPr>
      </w:pPr>
      <w:r>
        <w:rPr>
          <w:rtl/>
          <w:lang w:bidi="fa-IR"/>
        </w:rPr>
        <w:t>(2).</w:t>
      </w:r>
      <w:r w:rsidR="00744A1C">
        <w:rPr>
          <w:rtl/>
          <w:lang w:bidi="fa-IR"/>
        </w:rPr>
        <w:t xml:space="preserve"> في </w:t>
      </w:r>
      <w:r w:rsidR="00744A1C" w:rsidRPr="009663FB">
        <w:rPr>
          <w:rtl/>
        </w:rPr>
        <w:t>الوافي</w:t>
      </w:r>
      <w:r w:rsidR="00744A1C">
        <w:rPr>
          <w:rtl/>
          <w:lang w:bidi="fa-IR"/>
        </w:rPr>
        <w:t xml:space="preserve"> : « الدنيا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الوافي</w:t>
      </w:r>
      <w:r w:rsidR="00744A1C">
        <w:rPr>
          <w:rtl/>
          <w:lang w:bidi="fa-IR"/>
        </w:rPr>
        <w:t xml:space="preserve"> ، ج 17 ، ص 159 ، ح 17041 ؛ </w:t>
      </w:r>
      <w:r w:rsidR="00744A1C" w:rsidRPr="00C24F9C">
        <w:rPr>
          <w:rStyle w:val="libFootnoteBoldChar"/>
          <w:rtl/>
        </w:rPr>
        <w:t>الوسائل</w:t>
      </w:r>
      <w:r w:rsidR="00744A1C">
        <w:rPr>
          <w:rtl/>
          <w:lang w:bidi="fa-IR"/>
        </w:rPr>
        <w:t xml:space="preserve"> ، ج 17 ، ص 185 ، ح 22310.</w:t>
      </w:r>
    </w:p>
    <w:p w:rsidR="00744A1C" w:rsidRDefault="00E378DD" w:rsidP="00E378DD">
      <w:pPr>
        <w:pStyle w:val="libFootnote0"/>
        <w:rPr>
          <w:lang w:bidi="fa-IR"/>
        </w:rPr>
      </w:pPr>
      <w:r>
        <w:rPr>
          <w:rtl/>
          <w:lang w:bidi="fa-IR"/>
        </w:rPr>
        <w:t>(4).</w:t>
      </w:r>
      <w:r w:rsidR="00744A1C">
        <w:rPr>
          <w:rtl/>
          <w:lang w:bidi="fa-IR"/>
        </w:rPr>
        <w:t xml:space="preserve"> في « ط ، جد » وحاشية « جن » و</w:t>
      </w:r>
      <w:r w:rsidR="00744A1C" w:rsidRPr="00C24F9C">
        <w:rPr>
          <w:rStyle w:val="libFootnoteBoldChar"/>
          <w:rtl/>
        </w:rPr>
        <w:t>الوسائل</w:t>
      </w:r>
      <w:r w:rsidR="00744A1C">
        <w:rPr>
          <w:rtl/>
          <w:lang w:bidi="fa-IR"/>
        </w:rPr>
        <w:t xml:space="preserve"> </w:t>
      </w:r>
      <w:r w:rsidR="00744A1C" w:rsidRPr="0061079A">
        <w:rPr>
          <w:rStyle w:val="libFootnoteBoldChar"/>
          <w:rtl/>
        </w:rPr>
        <w:t>والتهذيب</w:t>
      </w:r>
      <w:r w:rsidR="00744A1C">
        <w:rPr>
          <w:rtl/>
          <w:lang w:bidi="fa-IR"/>
        </w:rPr>
        <w:t xml:space="preserve"> : « البارقي ». ولم نجد أحمد بن محمّد البارقي في موضع ، كما أنّه لم يثبت رواية سهل بن زياد عن أحمد بن محمّد البرقي. وما ورد في </w:t>
      </w:r>
      <w:r w:rsidR="00744A1C" w:rsidRPr="0061079A">
        <w:rPr>
          <w:rStyle w:val="libFootnoteBoldChar"/>
          <w:rtl/>
        </w:rPr>
        <w:t>الكافي</w:t>
      </w:r>
      <w:r w:rsidR="00744A1C">
        <w:rPr>
          <w:rtl/>
          <w:lang w:bidi="fa-IR"/>
        </w:rPr>
        <w:t xml:space="preserve"> ، ح 15093 من رواية عدّة من أصحابنا عن سهل بن زياد عن أحمد بن محمّد بن خالد عن محمّد بن عليّ ، فاحتمال العطف فيه غير منفيّ ؛ لما ورد في بعض الأسناد من رواية عدّة من أصحابنا عن سهل بن زياد عن محمّد بن عليّ. راجع : </w:t>
      </w:r>
      <w:r w:rsidR="00744A1C" w:rsidRPr="0061079A">
        <w:rPr>
          <w:rStyle w:val="libFootnoteBoldChar"/>
          <w:rtl/>
        </w:rPr>
        <w:t>معجم رجال الحديث</w:t>
      </w:r>
      <w:r w:rsidR="00744A1C">
        <w:rPr>
          <w:rtl/>
          <w:lang w:bidi="fa-IR"/>
        </w:rPr>
        <w:t xml:space="preserve"> ، ج 8 ، ص 528.</w:t>
      </w:r>
    </w:p>
    <w:p w:rsidR="00744A1C" w:rsidRDefault="00E378DD" w:rsidP="00E378DD">
      <w:pPr>
        <w:pStyle w:val="libFootnote0"/>
        <w:rPr>
          <w:lang w:bidi="fa-IR"/>
        </w:rPr>
      </w:pPr>
      <w:r>
        <w:rPr>
          <w:rtl/>
          <w:lang w:bidi="fa-IR"/>
        </w:rPr>
        <w:t>(5).</w:t>
      </w:r>
      <w:r w:rsidR="00744A1C">
        <w:rPr>
          <w:rtl/>
          <w:lang w:bidi="fa-IR"/>
        </w:rPr>
        <w:t xml:space="preserve"> في </w:t>
      </w:r>
      <w:r w:rsidR="00744A1C" w:rsidRPr="009663FB">
        <w:rPr>
          <w:rtl/>
        </w:rPr>
        <w:t>التهذيب :</w:t>
      </w:r>
      <w:r w:rsidR="00744A1C">
        <w:rPr>
          <w:rtl/>
          <w:lang w:bidi="fa-IR"/>
        </w:rPr>
        <w:t xml:space="preserve"> « أبي عليّ بن راشد ».</w:t>
      </w:r>
    </w:p>
    <w:p w:rsidR="00744A1C" w:rsidRDefault="00E378DD" w:rsidP="00E378DD">
      <w:pPr>
        <w:pStyle w:val="libFootnote0"/>
        <w:rPr>
          <w:lang w:bidi="fa-IR"/>
        </w:rPr>
      </w:pPr>
      <w:r>
        <w:rPr>
          <w:rtl/>
          <w:lang w:bidi="fa-IR"/>
        </w:rPr>
        <w:t>(6).</w:t>
      </w:r>
      <w:r w:rsidR="00744A1C">
        <w:rPr>
          <w:rtl/>
          <w:lang w:bidi="fa-IR"/>
        </w:rPr>
        <w:t xml:space="preserve"> هكذا في « ط ، ى ، بخ ، بس ، بف ، جت ، جن » وحاشية « بح ، جن » </w:t>
      </w:r>
      <w:r w:rsidR="00744A1C" w:rsidRPr="005D2B3B">
        <w:rPr>
          <w:rtl/>
        </w:rPr>
        <w:t>والوافي والوسائل والتهذيب</w:t>
      </w:r>
      <w:r w:rsidR="00744A1C">
        <w:rPr>
          <w:rtl/>
          <w:lang w:bidi="fa-IR"/>
        </w:rPr>
        <w:t xml:space="preserve">. وفي « بح » والمطبوع : « يونس بن حمّاد ». والمذكور في كتب الرجال والأسناد هو يونس بن عمّار الصيرفي أخو إسحاق بن عمّار. راجع : </w:t>
      </w:r>
      <w:r w:rsidR="00744A1C" w:rsidRPr="003A7143">
        <w:rPr>
          <w:rStyle w:val="libFootnoteBoldChar"/>
          <w:rtl/>
        </w:rPr>
        <w:t>رجال النجاشي</w:t>
      </w:r>
      <w:r w:rsidR="00744A1C">
        <w:rPr>
          <w:rtl/>
          <w:lang w:bidi="fa-IR"/>
        </w:rPr>
        <w:t xml:space="preserve"> ، ص 71 ، الرقم 169 ؛ </w:t>
      </w:r>
      <w:r w:rsidR="00744A1C" w:rsidRPr="004D054E">
        <w:rPr>
          <w:rStyle w:val="libFootnoteBoldChar"/>
          <w:rtl/>
        </w:rPr>
        <w:t>رجال البرقي</w:t>
      </w:r>
      <w:r w:rsidR="00744A1C">
        <w:rPr>
          <w:rtl/>
          <w:lang w:bidi="fa-IR"/>
        </w:rPr>
        <w:t xml:space="preserve"> ، ص 29 ؛ </w:t>
      </w:r>
      <w:r w:rsidR="00744A1C" w:rsidRPr="0061079A">
        <w:rPr>
          <w:rStyle w:val="libFootnoteBoldChar"/>
          <w:rtl/>
        </w:rPr>
        <w:t>رجال الطوسي</w:t>
      </w:r>
      <w:r w:rsidR="00744A1C">
        <w:rPr>
          <w:rtl/>
          <w:lang w:bidi="fa-IR"/>
        </w:rPr>
        <w:t xml:space="preserve"> ، ص 324 ، الرقم 4851.</w:t>
      </w:r>
    </w:p>
    <w:p w:rsidR="00744A1C" w:rsidRDefault="00744A1C" w:rsidP="00D10E3C">
      <w:pPr>
        <w:pStyle w:val="libFootnote0"/>
        <w:rPr>
          <w:lang w:bidi="fa-IR"/>
        </w:rPr>
      </w:pPr>
      <w:r>
        <w:rPr>
          <w:rtl/>
          <w:lang w:bidi="fa-IR"/>
        </w:rPr>
        <w:t>وأمّا يونس بن حمّاد ، فلم يثبت وجود راوٍ بهذا العنوان.</w:t>
      </w:r>
    </w:p>
    <w:p w:rsidR="00744A1C" w:rsidRDefault="00E378DD" w:rsidP="00E378DD">
      <w:pPr>
        <w:pStyle w:val="libFootnote0"/>
        <w:rPr>
          <w:lang w:bidi="fa-IR"/>
        </w:rPr>
      </w:pPr>
      <w:r>
        <w:rPr>
          <w:rtl/>
          <w:lang w:bidi="fa-IR"/>
        </w:rPr>
        <w:t>(7).</w:t>
      </w:r>
      <w:r w:rsidR="00744A1C">
        <w:rPr>
          <w:rtl/>
          <w:lang w:bidi="fa-IR"/>
        </w:rPr>
        <w:t xml:space="preserve"> هكذا في « ط ، ى ، بح ، ب</w:t>
      </w:r>
      <w:r w:rsidR="00744A1C" w:rsidRPr="009663FB">
        <w:rPr>
          <w:rtl/>
        </w:rPr>
        <w:t xml:space="preserve">ف ، جد ، جن » والوافي والمرآة والوسائل والتهذيب. وفي </w:t>
      </w:r>
      <w:r w:rsidR="00744A1C">
        <w:rPr>
          <w:rtl/>
          <w:lang w:bidi="fa-IR"/>
        </w:rPr>
        <w:t xml:space="preserve">سائر النسخ والمطبوع : « الرفق. والرفق ». لين الجانب ، ولطافة الفعل ، وهو ضدّ العُنْف ، والرفق والمرفق من الأمر : هو ما ارتفقت به وانتفعت به ، وهو ما استعين به. وفي </w:t>
      </w:r>
      <w:r w:rsidR="00744A1C" w:rsidRPr="00C24F9C">
        <w:rPr>
          <w:rStyle w:val="libFootnoteBoldChar"/>
          <w:rtl/>
        </w:rPr>
        <w:t>الوافي</w:t>
      </w:r>
      <w:r w:rsidR="00744A1C">
        <w:rPr>
          <w:rtl/>
          <w:lang w:bidi="fa-IR"/>
        </w:rPr>
        <w:t xml:space="preserve"> : « يدخلون عليكم المرفق : يلطفون بكم ويحسنون الصنيع إليكم ؛ فإنّ الرفق هو اللطف وحسن الصنيع ». راجع : </w:t>
      </w:r>
      <w:r w:rsidR="00744A1C" w:rsidRPr="00E978C3">
        <w:rPr>
          <w:rStyle w:val="libFootnoteBoldChar"/>
          <w:rtl/>
        </w:rPr>
        <w:t>الصحاح</w:t>
      </w:r>
      <w:r w:rsidR="00744A1C">
        <w:rPr>
          <w:rtl/>
          <w:lang w:bidi="fa-IR"/>
        </w:rPr>
        <w:t xml:space="preserve"> ، ج 4 ، ص 1482 ؛ </w:t>
      </w:r>
      <w:r w:rsidR="00744A1C" w:rsidRPr="00877682">
        <w:rPr>
          <w:rStyle w:val="libFootnoteBoldChar"/>
          <w:rtl/>
        </w:rPr>
        <w:t>لسان العرب</w:t>
      </w:r>
      <w:r w:rsidR="00744A1C">
        <w:rPr>
          <w:rtl/>
          <w:lang w:bidi="fa-IR"/>
        </w:rPr>
        <w:t xml:space="preserve"> ، ج 10 ، ص 118 ( رفق ).</w:t>
      </w:r>
    </w:p>
    <w:p w:rsidR="00744A1C" w:rsidRDefault="00E378DD" w:rsidP="00E378DD">
      <w:pPr>
        <w:pStyle w:val="libFootnote0"/>
        <w:rPr>
          <w:lang w:bidi="fa-IR"/>
        </w:rPr>
      </w:pPr>
      <w:r>
        <w:rPr>
          <w:rtl/>
          <w:lang w:bidi="fa-IR"/>
        </w:rPr>
        <w:t>(8).</w:t>
      </w:r>
      <w:r w:rsidR="00744A1C">
        <w:rPr>
          <w:rtl/>
          <w:lang w:bidi="fa-IR"/>
        </w:rPr>
        <w:t xml:space="preserve"> في « ط ، ى ، بح ، بس ، جد ، جن » </w:t>
      </w:r>
      <w:r w:rsidR="00744A1C" w:rsidRPr="009663FB">
        <w:rPr>
          <w:rtl/>
        </w:rPr>
        <w:t>والوسائل والتهذيب</w:t>
      </w:r>
      <w:r w:rsidR="00744A1C">
        <w:rPr>
          <w:rtl/>
          <w:lang w:bidi="fa-IR"/>
        </w:rPr>
        <w:t xml:space="preserve"> : - « ذلك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 « مَنْ </w:t>
      </w:r>
      <w:r w:rsidRPr="00D10E3C">
        <w:rPr>
          <w:rStyle w:val="libFootnotenumChar"/>
          <w:rtl/>
        </w:rPr>
        <w:t>(1)</w:t>
      </w:r>
      <w:r>
        <w:rPr>
          <w:rtl/>
          <w:lang w:bidi="fa-IR"/>
        </w:rPr>
        <w:t xml:space="preserve"> لَمْ يَفْعَلْ ذلِكَ مِنْهُمْ ، فَابْرَؤُوا مِنْهُ ؛ بَرِئَ اللهُ مِنْهُ ». </w:t>
      </w:r>
      <w:r w:rsidRPr="00D10E3C">
        <w:rPr>
          <w:rStyle w:val="libFootnotenumChar"/>
          <w:rtl/>
        </w:rPr>
        <w:t>(2)</w:t>
      </w:r>
    </w:p>
    <w:p w:rsidR="00144FA6" w:rsidRDefault="00744A1C" w:rsidP="00744A1C">
      <w:pPr>
        <w:pStyle w:val="libNormal"/>
        <w:rPr>
          <w:rtl/>
          <w:lang w:bidi="fa-IR"/>
        </w:rPr>
      </w:pPr>
      <w:r>
        <w:rPr>
          <w:rtl/>
          <w:lang w:bidi="fa-IR"/>
        </w:rPr>
        <w:t xml:space="preserve">8521 / 16. عَلِيُّ بْنُ إِبْرَاهِيمَ ، عَنْ مُحَمَّدِ بْنِ عِيسى ، عَنْ يُونُسَ ، عَنْ حَمَّادٍ ، عَنْ حُمَيْدٍ </w:t>
      </w:r>
      <w:r w:rsidRPr="00D10E3C">
        <w:rPr>
          <w:rStyle w:val="libFootnotenumChar"/>
          <w:rtl/>
        </w:rPr>
        <w:t>(3)</w:t>
      </w:r>
      <w:r>
        <w:rPr>
          <w:rtl/>
          <w:lang w:bidi="fa-IR"/>
        </w:rPr>
        <w:t xml:space="preserve">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إِنِّي وُلِّيتُ عَمَلاً ، فَهَلْ لِي مِنْ ذلِكَ </w:t>
      </w:r>
      <w:r w:rsidRPr="00D10E3C">
        <w:rPr>
          <w:rStyle w:val="libFootnotenumChar"/>
          <w:rtl/>
        </w:rPr>
        <w:t>(4)</w:t>
      </w:r>
      <w:r>
        <w:rPr>
          <w:rtl/>
          <w:lang w:bidi="fa-IR"/>
        </w:rPr>
        <w:t xml:space="preserve"> مَخْرَجٌ؟</w:t>
      </w:r>
    </w:p>
    <w:p w:rsidR="00744A1C" w:rsidRDefault="00744A1C" w:rsidP="00744A1C">
      <w:pPr>
        <w:pStyle w:val="libNormal"/>
        <w:rPr>
          <w:lang w:bidi="fa-IR"/>
        </w:rPr>
      </w:pPr>
      <w:r>
        <w:rPr>
          <w:rtl/>
          <w:lang w:bidi="fa-IR"/>
        </w:rPr>
        <w:t xml:space="preserve">فَقَالَ : « مَا أَكْثَرَ مَنْ طَلَبَ الْمَخْرَجَ مِنْ ذلِكَ </w:t>
      </w:r>
      <w:r w:rsidRPr="00D10E3C">
        <w:rPr>
          <w:rStyle w:val="libFootnotenumChar"/>
          <w:rtl/>
        </w:rPr>
        <w:t>(5)</w:t>
      </w:r>
      <w:r>
        <w:rPr>
          <w:rtl/>
          <w:lang w:bidi="fa-IR"/>
        </w:rPr>
        <w:t xml:space="preserve"> ، فَعَسُرَ عَلَيْهِ ».</w:t>
      </w:r>
    </w:p>
    <w:p w:rsidR="00744A1C" w:rsidRDefault="00744A1C" w:rsidP="00744A1C">
      <w:pPr>
        <w:pStyle w:val="libNormal"/>
        <w:rPr>
          <w:lang w:bidi="fa-IR"/>
        </w:rPr>
      </w:pPr>
      <w:r>
        <w:rPr>
          <w:rtl/>
          <w:lang w:bidi="fa-IR"/>
        </w:rPr>
        <w:t>قُلْتُ : فَمَا تَرى؟</w:t>
      </w:r>
    </w:p>
    <w:p w:rsidR="00144FA6" w:rsidRDefault="00744A1C" w:rsidP="00744A1C">
      <w:pPr>
        <w:pStyle w:val="libNormal"/>
        <w:rPr>
          <w:rtl/>
          <w:lang w:bidi="fa-IR"/>
        </w:rPr>
      </w:pPr>
      <w:r>
        <w:rPr>
          <w:rtl/>
          <w:lang w:bidi="fa-IR"/>
        </w:rPr>
        <w:t xml:space="preserve">قَالَ : « أَرى أَنْ تَتَّقِيَ اللهَ - عَزَّ وَجَلَّ - وَلَا تَعُودَهُ </w:t>
      </w:r>
      <w:r w:rsidRPr="00D10E3C">
        <w:rPr>
          <w:rStyle w:val="libFootnotenumChar"/>
          <w:rtl/>
        </w:rPr>
        <w:t>(6)</w:t>
      </w:r>
      <w:r>
        <w:rPr>
          <w:rtl/>
          <w:lang w:bidi="fa-IR"/>
        </w:rPr>
        <w:t xml:space="preserve"> ». </w:t>
      </w:r>
      <w:r w:rsidRPr="00D10E3C">
        <w:rPr>
          <w:rStyle w:val="libFootnotenumChar"/>
          <w:rtl/>
        </w:rPr>
        <w:t>(7)</w:t>
      </w:r>
    </w:p>
    <w:p w:rsidR="00744A1C" w:rsidRDefault="00744A1C" w:rsidP="003B7B65">
      <w:pPr>
        <w:pStyle w:val="Heading2Center"/>
        <w:rPr>
          <w:lang w:bidi="fa-IR"/>
        </w:rPr>
      </w:pPr>
      <w:bookmarkStart w:id="154" w:name="_Toc49261452"/>
      <w:r>
        <w:rPr>
          <w:rtl/>
          <w:lang w:bidi="fa-IR"/>
        </w:rPr>
        <w:t xml:space="preserve">31 - بَابُ شَرْطِ </w:t>
      </w:r>
      <w:r w:rsidRPr="00D10E3C">
        <w:rPr>
          <w:rStyle w:val="libFootnotenumChar"/>
          <w:rtl/>
        </w:rPr>
        <w:t>(8)</w:t>
      </w:r>
      <w:r>
        <w:rPr>
          <w:rtl/>
          <w:lang w:bidi="fa-IR"/>
        </w:rPr>
        <w:t xml:space="preserve"> مَنْ أُذِنَ لَهُ </w:t>
      </w:r>
      <w:r w:rsidRPr="00D10E3C">
        <w:rPr>
          <w:rStyle w:val="libFootnotenumChar"/>
          <w:rtl/>
        </w:rPr>
        <w:t>(9)</w:t>
      </w:r>
      <w:r>
        <w:rPr>
          <w:rtl/>
          <w:lang w:bidi="fa-IR"/>
        </w:rPr>
        <w:t xml:space="preserve"> فِي أَعْمَالِهِمْ‌</w:t>
      </w:r>
      <w:bookmarkEnd w:id="154"/>
    </w:p>
    <w:p w:rsidR="00144FA6" w:rsidRDefault="00744A1C" w:rsidP="00744A1C">
      <w:pPr>
        <w:pStyle w:val="libNormal"/>
        <w:rPr>
          <w:rtl/>
          <w:lang w:bidi="fa-IR"/>
        </w:rPr>
      </w:pPr>
      <w:r>
        <w:rPr>
          <w:rtl/>
          <w:lang w:bidi="fa-IR"/>
        </w:rPr>
        <w:t xml:space="preserve">8522 / 1. الْحُسَيْنُ بْنُ الْحَسَنِ الْهَاشِمِيُّ ، عَنْ صَالِحِ بْنِ أَبِي حَمَّادٍ ، عَنْ مُحَمَّدِ بْنِ خَالِدٍ ، عَنْ زِيَادِ بْنِ أَبِي </w:t>
      </w:r>
      <w:r w:rsidRPr="00D10E3C">
        <w:rPr>
          <w:rStyle w:val="libFootnotenumChar"/>
          <w:rtl/>
        </w:rPr>
        <w:t>(10)</w:t>
      </w:r>
      <w:r>
        <w:rPr>
          <w:rtl/>
          <w:lang w:bidi="fa-IR"/>
        </w:rPr>
        <w:t xml:space="preserve"> سَلَمَةَ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جن » وحاشية « جت » : « ومن ». وفي </w:t>
      </w:r>
      <w:r w:rsidR="00744A1C" w:rsidRPr="00C24F9C">
        <w:rPr>
          <w:rStyle w:val="libFootnoteBoldChar"/>
          <w:rtl/>
        </w:rPr>
        <w:t>التهذيب</w:t>
      </w:r>
      <w:r w:rsidR="00744A1C">
        <w:rPr>
          <w:rtl/>
          <w:lang w:bidi="fa-IR"/>
        </w:rPr>
        <w:t xml:space="preserve"> : « فمن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332 ، ح 923 ، معلّقاً عن الكليني </w:t>
      </w:r>
      <w:r w:rsidR="00F3798B">
        <w:rPr>
          <w:rFonts w:hint="cs"/>
          <w:rtl/>
          <w:lang w:bidi="fa-IR"/>
        </w:rPr>
        <w:t>.</w:t>
      </w:r>
      <w:r w:rsidR="00744A1C" w:rsidRPr="00C24F9C">
        <w:rPr>
          <w:rStyle w:val="libFootnoteBoldChar"/>
          <w:rtl/>
        </w:rPr>
        <w:t>الوافي</w:t>
      </w:r>
      <w:r w:rsidR="00744A1C">
        <w:rPr>
          <w:rtl/>
          <w:lang w:bidi="fa-IR"/>
        </w:rPr>
        <w:t xml:space="preserve"> ، ج 17 ، ص 159 ، ح 17042 ؛ </w:t>
      </w:r>
      <w:r w:rsidR="00744A1C" w:rsidRPr="00C24F9C">
        <w:rPr>
          <w:rStyle w:val="libFootnoteBoldChar"/>
          <w:rtl/>
        </w:rPr>
        <w:t>الوسائل</w:t>
      </w:r>
      <w:r w:rsidR="00744A1C">
        <w:rPr>
          <w:rtl/>
          <w:lang w:bidi="fa-IR"/>
        </w:rPr>
        <w:t xml:space="preserve"> ، ج 17 ، ص 196 ، ح 22237.</w:t>
      </w:r>
    </w:p>
    <w:p w:rsidR="00744A1C" w:rsidRDefault="00E378DD" w:rsidP="00E378DD">
      <w:pPr>
        <w:pStyle w:val="libFootnote0"/>
        <w:rPr>
          <w:lang w:bidi="fa-IR"/>
        </w:rPr>
      </w:pPr>
      <w:r>
        <w:rPr>
          <w:rtl/>
          <w:lang w:bidi="fa-IR"/>
        </w:rPr>
        <w:t>(3).</w:t>
      </w:r>
      <w:r w:rsidR="00744A1C">
        <w:rPr>
          <w:rtl/>
          <w:lang w:bidi="fa-IR"/>
        </w:rPr>
        <w:t xml:space="preserve"> في « بس ، جت » : « جميل ».</w:t>
      </w:r>
    </w:p>
    <w:p w:rsidR="00744A1C" w:rsidRDefault="00E378DD" w:rsidP="00E378DD">
      <w:pPr>
        <w:pStyle w:val="libFootnote0"/>
        <w:rPr>
          <w:lang w:bidi="fa-IR"/>
        </w:rPr>
      </w:pPr>
      <w:r>
        <w:rPr>
          <w:rtl/>
          <w:lang w:bidi="fa-IR"/>
        </w:rPr>
        <w:t>(4).</w:t>
      </w:r>
      <w:r w:rsidR="00744A1C">
        <w:rPr>
          <w:rtl/>
          <w:lang w:bidi="fa-IR"/>
        </w:rPr>
        <w:t xml:space="preserve"> في « بخ ، بف » : + « من ».</w:t>
      </w:r>
    </w:p>
    <w:p w:rsidR="00744A1C" w:rsidRDefault="00E378DD" w:rsidP="00E378DD">
      <w:pPr>
        <w:pStyle w:val="libFootnote0"/>
        <w:rPr>
          <w:lang w:bidi="fa-IR"/>
        </w:rPr>
      </w:pPr>
      <w:r>
        <w:rPr>
          <w:rtl/>
          <w:lang w:bidi="fa-IR"/>
        </w:rPr>
        <w:t>(5).</w:t>
      </w:r>
      <w:r w:rsidR="00744A1C">
        <w:rPr>
          <w:rtl/>
          <w:lang w:bidi="fa-IR"/>
        </w:rPr>
        <w:t xml:space="preserve"> </w:t>
      </w:r>
      <w:r w:rsidR="00744A1C" w:rsidRPr="00327DD9">
        <w:rPr>
          <w:rtl/>
        </w:rPr>
        <w:t>في التهذيب :</w:t>
      </w:r>
      <w:r w:rsidR="00744A1C">
        <w:rPr>
          <w:rtl/>
          <w:lang w:bidi="fa-IR"/>
        </w:rPr>
        <w:t xml:space="preserve"> « من ذلك المخرج » بدل « المخرج من ذلك ».</w:t>
      </w:r>
    </w:p>
    <w:p w:rsidR="00744A1C" w:rsidRDefault="00E378DD" w:rsidP="00E378DD">
      <w:pPr>
        <w:pStyle w:val="libFootnote0"/>
        <w:rPr>
          <w:lang w:bidi="fa-IR"/>
        </w:rPr>
      </w:pPr>
      <w:r>
        <w:rPr>
          <w:rtl/>
          <w:lang w:bidi="fa-IR"/>
        </w:rPr>
        <w:t>(6).</w:t>
      </w:r>
      <w:r w:rsidR="00744A1C">
        <w:rPr>
          <w:rtl/>
          <w:lang w:bidi="fa-IR"/>
        </w:rPr>
        <w:t xml:space="preserve"> هكذا في « ط ، بخ ، بف » وحاشية « بح » </w:t>
      </w:r>
      <w:r w:rsidR="00744A1C" w:rsidRPr="00327DD9">
        <w:rPr>
          <w:rtl/>
        </w:rPr>
        <w:t>والوافي والتهذيب. وفي</w:t>
      </w:r>
      <w:r w:rsidR="00744A1C">
        <w:rPr>
          <w:rtl/>
          <w:lang w:bidi="fa-IR"/>
        </w:rPr>
        <w:t xml:space="preserve"> « ى ، بح ، جت ، جد ، جن » : « ولا تعد ». وفي سائر النسخ والمطبوع : « ولا تعده ». وفي « بس » </w:t>
      </w:r>
      <w:r w:rsidR="00744A1C" w:rsidRPr="00327DD9">
        <w:rPr>
          <w:rtl/>
        </w:rPr>
        <w:t>والوسائل : « ولا</w:t>
      </w:r>
      <w:r w:rsidR="00744A1C">
        <w:rPr>
          <w:rtl/>
          <w:lang w:bidi="fa-IR"/>
        </w:rPr>
        <w:t xml:space="preserve"> تعدّ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332 ، ح 922 ، معلّقاً عن الكليني </w:t>
      </w:r>
      <w:r w:rsidR="00327DD9">
        <w:rPr>
          <w:rFonts w:hint="cs"/>
          <w:rtl/>
          <w:lang w:bidi="fa-IR"/>
        </w:rPr>
        <w:t>.</w:t>
      </w:r>
      <w:r w:rsidR="00744A1C" w:rsidRPr="00C24F9C">
        <w:rPr>
          <w:rStyle w:val="libFootnoteBoldChar"/>
          <w:rtl/>
        </w:rPr>
        <w:t>الوافي</w:t>
      </w:r>
      <w:r w:rsidR="00744A1C">
        <w:rPr>
          <w:rtl/>
          <w:lang w:bidi="fa-IR"/>
        </w:rPr>
        <w:t xml:space="preserve"> ، ج 17 ، ص 159 ، ح 17043 ؛ </w:t>
      </w:r>
      <w:r w:rsidR="00744A1C" w:rsidRPr="00C24F9C">
        <w:rPr>
          <w:rStyle w:val="libFootnoteBoldChar"/>
          <w:rtl/>
        </w:rPr>
        <w:t>الوسائل</w:t>
      </w:r>
      <w:r w:rsidR="00744A1C">
        <w:rPr>
          <w:rtl/>
          <w:lang w:bidi="fa-IR"/>
        </w:rPr>
        <w:t xml:space="preserve"> ، ج 17 ، ص 189 ، ح 22318.</w:t>
      </w:r>
    </w:p>
    <w:p w:rsidR="00744A1C" w:rsidRDefault="00E378DD" w:rsidP="00E378DD">
      <w:pPr>
        <w:pStyle w:val="libFootnote0"/>
        <w:rPr>
          <w:lang w:bidi="fa-IR"/>
        </w:rPr>
      </w:pPr>
      <w:r>
        <w:rPr>
          <w:rtl/>
          <w:lang w:bidi="fa-IR"/>
        </w:rPr>
        <w:t>(8).</w:t>
      </w:r>
      <w:r w:rsidR="00744A1C">
        <w:rPr>
          <w:rtl/>
          <w:lang w:bidi="fa-IR"/>
        </w:rPr>
        <w:t xml:space="preserve"> في حاشية « جت » : « شروط ».</w:t>
      </w:r>
    </w:p>
    <w:p w:rsidR="00744A1C" w:rsidRDefault="00E378DD" w:rsidP="00E378DD">
      <w:pPr>
        <w:pStyle w:val="libFootnote0"/>
        <w:rPr>
          <w:lang w:bidi="fa-IR"/>
        </w:rPr>
      </w:pPr>
      <w:r>
        <w:rPr>
          <w:rtl/>
          <w:lang w:bidi="fa-IR"/>
        </w:rPr>
        <w:t>(9).</w:t>
      </w:r>
      <w:r w:rsidR="00744A1C">
        <w:rPr>
          <w:rtl/>
          <w:lang w:bidi="fa-IR"/>
        </w:rPr>
        <w:t xml:space="preserve"> في « بخ ، بس ، جن » : « لهم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التهذيب</w:t>
      </w:r>
      <w:r w:rsidR="00744A1C">
        <w:rPr>
          <w:rtl/>
          <w:lang w:bidi="fa-IR"/>
        </w:rPr>
        <w:t xml:space="preserve"> : - « أبي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دَخَلْتُ عَلى أَبِي الْحَسَنِ مُوسى </w:t>
      </w:r>
      <w:r w:rsidR="0061079A" w:rsidRPr="0061079A">
        <w:rPr>
          <w:rStyle w:val="libAlaemChar"/>
          <w:rtl/>
        </w:rPr>
        <w:t>عليه‌السلام</w:t>
      </w:r>
      <w:r w:rsidR="00D10E3C">
        <w:rPr>
          <w:rtl/>
          <w:lang w:bidi="fa-IR"/>
        </w:rPr>
        <w:t xml:space="preserve"> </w:t>
      </w:r>
      <w:r>
        <w:rPr>
          <w:rtl/>
          <w:lang w:bidi="fa-IR"/>
        </w:rPr>
        <w:t xml:space="preserve">، فَقَالَ لِي : « يَا زِيَادُ ، إِنَّكَ لَتَعْمَلُ عَمَلَ‌ السُّلْطَانِ؟ » قَالَ : قُلْتُ : أَجَلْ ، قَالَ لِي : « وَلِمَ؟ </w:t>
      </w:r>
      <w:r w:rsidRPr="00D10E3C">
        <w:rPr>
          <w:rStyle w:val="libFootnotenumChar"/>
          <w:rtl/>
        </w:rPr>
        <w:t>(1)</w:t>
      </w:r>
      <w:r>
        <w:rPr>
          <w:rtl/>
          <w:lang w:bidi="fa-IR"/>
        </w:rPr>
        <w:t xml:space="preserve"> » قُلْتُ : أَنَا رَجُلٌ لِي مُرُوءَةٌ </w:t>
      </w:r>
      <w:r w:rsidRPr="00D10E3C">
        <w:rPr>
          <w:rStyle w:val="libFootnotenumChar"/>
          <w:rtl/>
        </w:rPr>
        <w:t>(2)</w:t>
      </w:r>
      <w:r>
        <w:rPr>
          <w:rtl/>
          <w:lang w:bidi="fa-IR"/>
        </w:rPr>
        <w:t xml:space="preserve"> ، وَعَلَيَّ عِيَالٌ </w:t>
      </w:r>
      <w:r w:rsidRPr="00D10E3C">
        <w:rPr>
          <w:rStyle w:val="libFootnotenumChar"/>
          <w:rtl/>
        </w:rPr>
        <w:t>(3)</w:t>
      </w:r>
      <w:r>
        <w:rPr>
          <w:rtl/>
          <w:lang w:bidi="fa-IR"/>
        </w:rPr>
        <w:t xml:space="preserve"> ، وَلَيْسَ وَرَاءَ ظَهْرِي </w:t>
      </w:r>
      <w:r w:rsidRPr="00D10E3C">
        <w:rPr>
          <w:rStyle w:val="libFootnotenumChar"/>
          <w:rtl/>
        </w:rPr>
        <w:t>(4)</w:t>
      </w:r>
      <w:r>
        <w:rPr>
          <w:rtl/>
          <w:lang w:bidi="fa-IR"/>
        </w:rPr>
        <w:t xml:space="preserve"> شَيْ‌ءٌ.</w:t>
      </w:r>
    </w:p>
    <w:p w:rsidR="00744A1C" w:rsidRDefault="00744A1C" w:rsidP="00744A1C">
      <w:pPr>
        <w:pStyle w:val="libNormal"/>
        <w:rPr>
          <w:lang w:bidi="fa-IR"/>
        </w:rPr>
      </w:pPr>
      <w:r>
        <w:rPr>
          <w:rtl/>
          <w:lang w:bidi="fa-IR"/>
        </w:rPr>
        <w:t xml:space="preserve">فَقَالَ لِي : « يَا زِيَادُ ، لَأَنْ أَسْقُطَ مِنْ حَالِقٍ </w:t>
      </w:r>
      <w:r w:rsidRPr="00D10E3C">
        <w:rPr>
          <w:rStyle w:val="libFootnotenumChar"/>
          <w:rtl/>
        </w:rPr>
        <w:t>(5)</w:t>
      </w:r>
      <w:r>
        <w:rPr>
          <w:rtl/>
          <w:lang w:bidi="fa-IR"/>
        </w:rPr>
        <w:t xml:space="preserve"> ، فَأَتَقَطَّعَ </w:t>
      </w:r>
      <w:r w:rsidRPr="00D10E3C">
        <w:rPr>
          <w:rStyle w:val="libFootnotenumChar"/>
          <w:rtl/>
        </w:rPr>
        <w:t>(6)</w:t>
      </w:r>
      <w:r>
        <w:rPr>
          <w:rtl/>
          <w:lang w:bidi="fa-IR"/>
        </w:rPr>
        <w:t xml:space="preserve"> قِطْعَةً قِطْعَةً أَحَبُّ إِلَيَّ مِنْ أَنْ أَتَوَلّى لِأَحَدٍ مِنْهُمْ عَمَلاً ، أَوْ أَطَأَ بِسَاطَ رَجُلٍ مِنْهُمْ </w:t>
      </w:r>
      <w:r w:rsidRPr="00D10E3C">
        <w:rPr>
          <w:rStyle w:val="libFootnotenumChar"/>
          <w:rtl/>
        </w:rPr>
        <w:t>(7)</w:t>
      </w:r>
      <w:r w:rsidR="00327DD9">
        <w:rPr>
          <w:rtl/>
          <w:lang w:bidi="fa-IR"/>
        </w:rPr>
        <w:t xml:space="preserve"> إِل</w:t>
      </w:r>
      <w:r w:rsidR="00327DD9">
        <w:rPr>
          <w:rFonts w:hint="cs"/>
          <w:rtl/>
          <w:lang w:bidi="fa-IR"/>
        </w:rPr>
        <w:t>َّ</w:t>
      </w:r>
      <w:r w:rsidR="00327DD9">
        <w:rPr>
          <w:rtl/>
          <w:lang w:bidi="fa-IR"/>
        </w:rPr>
        <w:t>ا</w:t>
      </w:r>
      <w:r>
        <w:rPr>
          <w:rtl/>
          <w:lang w:bidi="fa-IR"/>
        </w:rPr>
        <w:t xml:space="preserve"> لِمَا ذَا؟ ».</w:t>
      </w:r>
    </w:p>
    <w:p w:rsidR="00744A1C" w:rsidRDefault="00744A1C" w:rsidP="00744A1C">
      <w:pPr>
        <w:pStyle w:val="libNormal"/>
        <w:rPr>
          <w:lang w:bidi="fa-IR"/>
        </w:rPr>
      </w:pPr>
      <w:r>
        <w:rPr>
          <w:rtl/>
          <w:lang w:bidi="fa-IR"/>
        </w:rPr>
        <w:t xml:space="preserve">قُلْتُ : لَا أَدْرِي جُعِلْتُ فِدَاكَ </w:t>
      </w:r>
      <w:r w:rsidRPr="00D10E3C">
        <w:rPr>
          <w:rStyle w:val="libFootnotenumChar"/>
          <w:rtl/>
        </w:rPr>
        <w:t>(8)</w:t>
      </w:r>
      <w:r w:rsidR="008330DE" w:rsidRPr="008330DE">
        <w:rPr>
          <w:rFonts w:hint="cs"/>
          <w:rtl/>
        </w:rPr>
        <w:t>.</w:t>
      </w:r>
    </w:p>
    <w:p w:rsidR="00144FA6" w:rsidRDefault="00744A1C" w:rsidP="00744A1C">
      <w:pPr>
        <w:pStyle w:val="libNormal"/>
        <w:rPr>
          <w:rtl/>
          <w:lang w:bidi="fa-IR"/>
        </w:rPr>
      </w:pPr>
      <w:r>
        <w:rPr>
          <w:rtl/>
          <w:lang w:bidi="fa-IR"/>
        </w:rPr>
        <w:t xml:space="preserve">فَقَالَ </w:t>
      </w:r>
      <w:r w:rsidRPr="00D10E3C">
        <w:rPr>
          <w:rStyle w:val="libFootnotenumChar"/>
          <w:rtl/>
        </w:rPr>
        <w:t>(9)</w:t>
      </w:r>
      <w:r w:rsidR="008330DE">
        <w:rPr>
          <w:rtl/>
          <w:lang w:bidi="fa-IR"/>
        </w:rPr>
        <w:t xml:space="preserve"> : « إِل</w:t>
      </w:r>
      <w:r w:rsidR="008330DE">
        <w:rPr>
          <w:rFonts w:hint="cs"/>
          <w:rtl/>
          <w:lang w:bidi="fa-IR"/>
        </w:rPr>
        <w:t>َّ</w:t>
      </w:r>
      <w:r w:rsidR="008330DE">
        <w:rPr>
          <w:rtl/>
          <w:lang w:bidi="fa-IR"/>
        </w:rPr>
        <w:t>ا</w:t>
      </w:r>
      <w:r>
        <w:rPr>
          <w:rtl/>
          <w:lang w:bidi="fa-IR"/>
        </w:rPr>
        <w:t xml:space="preserve"> لِتَفْرِيجِ كُرْبَةٍ عَنْ مُؤْمِنٍ ، أَوْ فَكِّ أَسْرِهِ ، أَوْ قَضَاءِ دَيْنِهِ ؛ يَا زِيَادُ ، إِنَّ أَهْوَنَ مَا يَصْنَعُ اللهُ بِمَنْ تَوَلّى لَهُمْ </w:t>
      </w:r>
      <w:r w:rsidRPr="00D10E3C">
        <w:rPr>
          <w:rStyle w:val="libFootnotenumChar"/>
          <w:rtl/>
        </w:rPr>
        <w:t>(10)</w:t>
      </w:r>
      <w:r>
        <w:rPr>
          <w:rtl/>
          <w:lang w:bidi="fa-IR"/>
        </w:rPr>
        <w:t xml:space="preserve"> عَمَلاً أَنْ يُضْرَبَ عَلَيْهِ سُرَادِقٌ </w:t>
      </w:r>
      <w:r w:rsidRPr="00D10E3C">
        <w:rPr>
          <w:rStyle w:val="libFootnotenumChar"/>
          <w:rtl/>
        </w:rPr>
        <w:t>(11)</w:t>
      </w:r>
      <w:r>
        <w:rPr>
          <w:rtl/>
          <w:lang w:bidi="fa-IR"/>
        </w:rPr>
        <w:t xml:space="preserve"> مِنْ نَارٍ إِلى أَنْ يَفْرُغَ اللهُ </w:t>
      </w:r>
      <w:r w:rsidRPr="00D10E3C">
        <w:rPr>
          <w:rStyle w:val="libFootnotenumChar"/>
          <w:rtl/>
        </w:rPr>
        <w:t>(12)</w:t>
      </w:r>
      <w:r>
        <w:rPr>
          <w:rtl/>
          <w:lang w:bidi="fa-IR"/>
        </w:rPr>
        <w:t xml:space="preserve"> مِنْ حِسَابِ الْخَلَائِقِ </w:t>
      </w:r>
      <w:r w:rsidRPr="00D10E3C">
        <w:rPr>
          <w:rStyle w:val="libFootnotenumChar"/>
          <w:rtl/>
        </w:rPr>
        <w:t>(13)</w:t>
      </w:r>
      <w:r>
        <w:rPr>
          <w:rtl/>
          <w:lang w:bidi="fa-IR"/>
        </w:rPr>
        <w:t xml:space="preserve"> ؛ يَا زِيَادُ ، فَإِنْ وُلِّيتَ شَيْئاً مِنْ أَعْمَالِهِمْ ، فَأَحْسِنْ إِلى إِخْوَانِكَ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 « فلم ».</w:t>
      </w:r>
    </w:p>
    <w:p w:rsidR="00744A1C" w:rsidRDefault="00E378DD" w:rsidP="00E378DD">
      <w:pPr>
        <w:pStyle w:val="libFootnote0"/>
        <w:rPr>
          <w:lang w:bidi="fa-IR"/>
        </w:rPr>
      </w:pPr>
      <w:r>
        <w:rPr>
          <w:rtl/>
          <w:lang w:bidi="fa-IR"/>
        </w:rPr>
        <w:t>(2).</w:t>
      </w:r>
      <w:r w:rsidR="00744A1C">
        <w:rPr>
          <w:rtl/>
          <w:lang w:bidi="fa-IR"/>
        </w:rPr>
        <w:t xml:space="preserve"> « ال</w:t>
      </w:r>
      <w:r w:rsidR="00DC6872">
        <w:rPr>
          <w:rFonts w:hint="cs"/>
          <w:rtl/>
          <w:lang w:bidi="fa-IR"/>
        </w:rPr>
        <w:t>ـ</w:t>
      </w:r>
      <w:r w:rsidR="00744A1C">
        <w:rPr>
          <w:rtl/>
          <w:lang w:bidi="fa-IR"/>
        </w:rPr>
        <w:t xml:space="preserve">مُرُوءة » : كمال الرجوليّة ، والمروءة : الإنسانيّة ، ولك أن تشدّد. وقيل : للأحنف : ما المروءة؟ فقال : العفّة والحِرْفَة ، وسئل آخر عن المروءة فقال : المروءة : أن لا تفعل في السرّ أمراً وأنت تستحيي أن تفعله جهراً. كذا في </w:t>
      </w:r>
      <w:r w:rsidR="00744A1C" w:rsidRPr="00877682">
        <w:rPr>
          <w:rStyle w:val="libFootnoteBoldChar"/>
          <w:rtl/>
        </w:rPr>
        <w:t>لسان العرب</w:t>
      </w:r>
      <w:r w:rsidR="00744A1C">
        <w:rPr>
          <w:rtl/>
          <w:lang w:bidi="fa-IR"/>
        </w:rPr>
        <w:t xml:space="preserve"> ، ج 1 ، ص 154 ( مرأ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 لي مروّة ، أي إحسان وفضل ، عوّدت الناس من نفسي ، أو رجاه وزيّ لا يمكنني تركه ».</w:t>
      </w:r>
    </w:p>
    <w:p w:rsidR="00744A1C" w:rsidRDefault="00E378DD" w:rsidP="00E378DD">
      <w:pPr>
        <w:pStyle w:val="libFootnote0"/>
        <w:rPr>
          <w:lang w:bidi="fa-IR"/>
        </w:rPr>
      </w:pPr>
      <w:r>
        <w:rPr>
          <w:rtl/>
          <w:lang w:bidi="fa-IR"/>
        </w:rPr>
        <w:t>(3).</w:t>
      </w:r>
      <w:r w:rsidR="00744A1C">
        <w:rPr>
          <w:rtl/>
          <w:lang w:bidi="fa-IR"/>
        </w:rPr>
        <w:t xml:space="preserve"> في « ى » : « عيالي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قوله : وراء ظهري ، أي ما أعتمد عليه من مال وضيعة ».</w:t>
      </w:r>
    </w:p>
    <w:p w:rsidR="00744A1C" w:rsidRDefault="00E378DD" w:rsidP="00E378DD">
      <w:pPr>
        <w:pStyle w:val="libFootnote0"/>
        <w:rPr>
          <w:lang w:bidi="fa-IR"/>
        </w:rPr>
      </w:pPr>
      <w:r>
        <w:rPr>
          <w:rtl/>
          <w:lang w:bidi="fa-IR"/>
        </w:rPr>
        <w:t>(5).</w:t>
      </w:r>
      <w:r w:rsidR="00744A1C">
        <w:rPr>
          <w:rtl/>
          <w:lang w:bidi="fa-IR"/>
        </w:rPr>
        <w:t xml:space="preserve"> هكذا في معظم النسخ التي قوبلت و</w:t>
      </w:r>
      <w:r w:rsidR="00744A1C" w:rsidRPr="00C24F9C">
        <w:rPr>
          <w:rStyle w:val="libFootnoteBoldChar"/>
          <w:rtl/>
        </w:rPr>
        <w:t>الوافي</w:t>
      </w:r>
      <w:r w:rsidR="00744A1C">
        <w:rPr>
          <w:rtl/>
          <w:lang w:bidi="fa-IR"/>
        </w:rPr>
        <w:t>. وفي المطبوع و</w:t>
      </w:r>
      <w:r w:rsidR="00744A1C" w:rsidRPr="00C24F9C">
        <w:rPr>
          <w:rStyle w:val="libFootnoteBoldChar"/>
          <w:rtl/>
        </w:rPr>
        <w:t>المرآة</w:t>
      </w:r>
      <w:r w:rsidR="00744A1C">
        <w:rPr>
          <w:rtl/>
          <w:lang w:bidi="fa-IR"/>
        </w:rPr>
        <w:t xml:space="preserve"> : « جالق ». والحالق : الجبل المرتفع‌والعالي ، يقال : جاء من حالق ، أي من مكان مشرف. راجع : </w:t>
      </w:r>
      <w:r w:rsidR="00744A1C" w:rsidRPr="00E978C3">
        <w:rPr>
          <w:rStyle w:val="libFootnoteBoldChar"/>
          <w:rtl/>
        </w:rPr>
        <w:t>الصحاح</w:t>
      </w:r>
      <w:r w:rsidR="00744A1C">
        <w:rPr>
          <w:rtl/>
          <w:lang w:bidi="fa-IR"/>
        </w:rPr>
        <w:t xml:space="preserve"> ، ج 4 ، ص 1463 ( حلق ).</w:t>
      </w:r>
    </w:p>
    <w:p w:rsidR="00744A1C" w:rsidRDefault="00E378DD" w:rsidP="00E378DD">
      <w:pPr>
        <w:pStyle w:val="libFootnote0"/>
        <w:rPr>
          <w:lang w:bidi="fa-IR"/>
        </w:rPr>
      </w:pPr>
      <w:r>
        <w:rPr>
          <w:rtl/>
          <w:lang w:bidi="fa-IR"/>
        </w:rPr>
        <w:t>(6).</w:t>
      </w:r>
      <w:r w:rsidR="00744A1C">
        <w:rPr>
          <w:rtl/>
          <w:lang w:bidi="fa-IR"/>
        </w:rPr>
        <w:t xml:space="preserve"> في « ى ، بح ، بس » </w:t>
      </w:r>
      <w:r w:rsidR="00744A1C" w:rsidRPr="00DC6872">
        <w:rPr>
          <w:rtl/>
        </w:rPr>
        <w:t>والبحار :</w:t>
      </w:r>
      <w:r w:rsidR="00744A1C">
        <w:rPr>
          <w:rtl/>
          <w:lang w:bidi="fa-IR"/>
        </w:rPr>
        <w:t xml:space="preserve"> « فانقطع ». وفي « بخ ، بف » : « فأقطع ». وفي « جت » : « فا</w:t>
      </w:r>
      <w:r w:rsidR="00DC6872">
        <w:rPr>
          <w:rFonts w:hint="cs"/>
          <w:rtl/>
          <w:lang w:bidi="fa-IR"/>
        </w:rPr>
        <w:t>ُ</w:t>
      </w:r>
      <w:r w:rsidR="00744A1C">
        <w:rPr>
          <w:rtl/>
          <w:lang w:bidi="fa-IR"/>
        </w:rPr>
        <w:t>قطّع ».</w:t>
      </w:r>
    </w:p>
    <w:p w:rsidR="00744A1C" w:rsidRDefault="00E378DD" w:rsidP="00DC6872">
      <w:pPr>
        <w:pStyle w:val="libFootnote0"/>
        <w:rPr>
          <w:lang w:bidi="fa-IR"/>
        </w:rPr>
      </w:pPr>
      <w:r>
        <w:rPr>
          <w:rtl/>
          <w:lang w:bidi="fa-IR"/>
        </w:rPr>
        <w:t>(7).</w:t>
      </w:r>
      <w:r w:rsidR="00744A1C">
        <w:rPr>
          <w:rtl/>
          <w:lang w:bidi="fa-IR"/>
        </w:rPr>
        <w:t xml:space="preserve"> هكذا في جميع النسخ التي </w:t>
      </w:r>
      <w:r w:rsidR="00744A1C" w:rsidRPr="00DC6872">
        <w:rPr>
          <w:rtl/>
        </w:rPr>
        <w:t>قوبلت والوافي والوسائل والبحار والتهذيب. وفي المط</w:t>
      </w:r>
      <w:r w:rsidR="00744A1C">
        <w:rPr>
          <w:rtl/>
          <w:lang w:bidi="fa-IR"/>
        </w:rPr>
        <w:t>بوع : « أحدهم » بدل « رجل منهم ».</w:t>
      </w:r>
      <w:r w:rsidR="00DC6872">
        <w:rPr>
          <w:rFonts w:hint="cs"/>
          <w:rtl/>
          <w:lang w:bidi="fa-IR"/>
        </w:rPr>
        <w:t xml:space="preserve">                                            </w:t>
      </w:r>
      <w:r>
        <w:rPr>
          <w:rtl/>
          <w:lang w:bidi="fa-IR"/>
        </w:rPr>
        <w:t>(8).</w:t>
      </w:r>
      <w:r w:rsidR="00744A1C">
        <w:rPr>
          <w:rtl/>
          <w:lang w:bidi="fa-IR"/>
        </w:rPr>
        <w:t xml:space="preserve"> في </w:t>
      </w:r>
      <w:r w:rsidR="00744A1C" w:rsidRPr="00DC6872">
        <w:rPr>
          <w:rtl/>
        </w:rPr>
        <w:t>التهذيب :</w:t>
      </w:r>
      <w:r w:rsidR="00744A1C">
        <w:rPr>
          <w:rtl/>
          <w:lang w:bidi="fa-IR"/>
        </w:rPr>
        <w:t xml:space="preserve"> - « جعلت فداك ».</w:t>
      </w:r>
    </w:p>
    <w:p w:rsidR="00744A1C" w:rsidRDefault="00E378DD" w:rsidP="00E378DD">
      <w:pPr>
        <w:pStyle w:val="libFootnote0"/>
        <w:rPr>
          <w:lang w:bidi="fa-IR"/>
        </w:rPr>
      </w:pPr>
      <w:r>
        <w:rPr>
          <w:rtl/>
          <w:lang w:bidi="fa-IR"/>
        </w:rPr>
        <w:t>(9).</w:t>
      </w:r>
      <w:r w:rsidR="00744A1C">
        <w:rPr>
          <w:rtl/>
          <w:lang w:bidi="fa-IR"/>
        </w:rPr>
        <w:t xml:space="preserve"> في « ط ، ى ، بح ، بخ ، بس ، بف ، جد » </w:t>
      </w:r>
      <w:r w:rsidR="00744A1C" w:rsidRPr="00DC6872">
        <w:rPr>
          <w:rtl/>
        </w:rPr>
        <w:t>والوافي والوسائل والبحار والتهذيب :</w:t>
      </w:r>
      <w:r w:rsidR="00744A1C">
        <w:rPr>
          <w:rtl/>
          <w:lang w:bidi="fa-IR"/>
        </w:rPr>
        <w:t xml:space="preserve"> « قال ». وفي « جن » : - « فقال ».</w:t>
      </w:r>
    </w:p>
    <w:p w:rsidR="00744A1C" w:rsidRDefault="00E378DD" w:rsidP="00E378DD">
      <w:pPr>
        <w:pStyle w:val="libFootnote0"/>
        <w:rPr>
          <w:lang w:bidi="fa-IR"/>
        </w:rPr>
      </w:pPr>
      <w:r>
        <w:rPr>
          <w:rtl/>
          <w:lang w:bidi="fa-IR"/>
        </w:rPr>
        <w:t>(10).</w:t>
      </w:r>
      <w:r w:rsidR="00DC6872">
        <w:rPr>
          <w:rtl/>
          <w:lang w:bidi="fa-IR"/>
        </w:rPr>
        <w:t xml:space="preserve"> في « بخ » : « تول</w:t>
      </w:r>
      <w:r w:rsidR="00DC6872">
        <w:rPr>
          <w:rFonts w:hint="cs"/>
          <w:rtl/>
          <w:lang w:bidi="fa-IR"/>
        </w:rPr>
        <w:t>ّ</w:t>
      </w:r>
      <w:r w:rsidR="00DC6872">
        <w:rPr>
          <w:rtl/>
          <w:lang w:bidi="fa-IR"/>
        </w:rPr>
        <w:t>ا</w:t>
      </w:r>
      <w:r w:rsidR="00744A1C">
        <w:rPr>
          <w:rtl/>
          <w:lang w:bidi="fa-IR"/>
        </w:rPr>
        <w:t>هم » بدل « تولّى لهم ».</w:t>
      </w:r>
    </w:p>
    <w:p w:rsidR="00744A1C" w:rsidRDefault="00E378DD" w:rsidP="00734763">
      <w:pPr>
        <w:pStyle w:val="libFootnote0"/>
        <w:rPr>
          <w:lang w:bidi="fa-IR"/>
        </w:rPr>
      </w:pPr>
      <w:r>
        <w:rPr>
          <w:rtl/>
          <w:lang w:bidi="fa-IR"/>
        </w:rPr>
        <w:t>(11).</w:t>
      </w:r>
      <w:r w:rsidR="00744A1C">
        <w:rPr>
          <w:rtl/>
          <w:lang w:bidi="fa-IR"/>
        </w:rPr>
        <w:t xml:space="preserve"> في « بخ ، بف » : « سرادقاً ». و « السرادق » : هو كلّ ما أحاط بشي‌ء من حائط أو مَضْرَب أو خِباء. </w:t>
      </w:r>
      <w:r w:rsidR="00744A1C" w:rsidRPr="00877682">
        <w:rPr>
          <w:rStyle w:val="libFootnoteBoldChar"/>
          <w:rtl/>
        </w:rPr>
        <w:t>النهاية</w:t>
      </w:r>
      <w:r w:rsidR="00744A1C">
        <w:rPr>
          <w:rtl/>
          <w:lang w:bidi="fa-IR"/>
        </w:rPr>
        <w:t xml:space="preserve"> ، ج 2 ، ص 359 ( سرق ).</w:t>
      </w:r>
      <w:r w:rsidR="00734763">
        <w:rPr>
          <w:rFonts w:hint="cs"/>
          <w:rtl/>
          <w:lang w:bidi="fa-IR"/>
        </w:rPr>
        <w:t xml:space="preserve">               </w:t>
      </w:r>
      <w:r>
        <w:rPr>
          <w:rtl/>
          <w:lang w:bidi="fa-IR"/>
        </w:rPr>
        <w:t>(12).</w:t>
      </w:r>
      <w:r w:rsidR="00744A1C">
        <w:rPr>
          <w:rtl/>
          <w:lang w:bidi="fa-IR"/>
        </w:rPr>
        <w:t xml:space="preserve"> في « ى ، بح ، بس ، جد » </w:t>
      </w:r>
      <w:r w:rsidR="00744A1C" w:rsidRPr="00734763">
        <w:rPr>
          <w:rtl/>
        </w:rPr>
        <w:t>والوسائل : -</w:t>
      </w:r>
      <w:r w:rsidR="00744A1C">
        <w:rPr>
          <w:rtl/>
          <w:lang w:bidi="fa-IR"/>
        </w:rPr>
        <w:t xml:space="preserve"> « الله ».</w:t>
      </w:r>
    </w:p>
    <w:p w:rsidR="00744A1C" w:rsidRDefault="00E378DD" w:rsidP="00E378DD">
      <w:pPr>
        <w:pStyle w:val="libFootnote0"/>
        <w:rPr>
          <w:lang w:bidi="fa-IR"/>
        </w:rPr>
      </w:pPr>
      <w:r>
        <w:rPr>
          <w:rtl/>
          <w:lang w:bidi="fa-IR"/>
        </w:rPr>
        <w:t>(13).</w:t>
      </w:r>
      <w:r w:rsidR="00744A1C">
        <w:rPr>
          <w:rtl/>
          <w:lang w:bidi="fa-IR"/>
        </w:rPr>
        <w:t xml:space="preserve"> في « بخ ، بف » </w:t>
      </w:r>
      <w:r w:rsidR="00744A1C" w:rsidRPr="00734763">
        <w:rPr>
          <w:rtl/>
        </w:rPr>
        <w:t>والوافي</w:t>
      </w:r>
      <w:r w:rsidR="00744A1C">
        <w:rPr>
          <w:rtl/>
          <w:lang w:bidi="fa-IR"/>
        </w:rPr>
        <w:t xml:space="preserve"> : « الخلق ».</w:t>
      </w:r>
    </w:p>
    <w:p w:rsidR="006A5060" w:rsidRDefault="006A5060" w:rsidP="00D10E3C">
      <w:pPr>
        <w:pStyle w:val="libNormal"/>
        <w:rPr>
          <w:rtl/>
          <w:lang w:bidi="fa-IR"/>
        </w:rPr>
      </w:pPr>
      <w:r>
        <w:rPr>
          <w:rtl/>
          <w:lang w:bidi="fa-IR"/>
        </w:rPr>
        <w:br w:type="page"/>
      </w:r>
    </w:p>
    <w:p w:rsidR="00144FA6" w:rsidRDefault="00744A1C" w:rsidP="00955510">
      <w:pPr>
        <w:pStyle w:val="libNormal0"/>
        <w:rPr>
          <w:rtl/>
          <w:lang w:bidi="fa-IR"/>
        </w:rPr>
      </w:pPr>
      <w:r>
        <w:rPr>
          <w:rtl/>
          <w:lang w:bidi="fa-IR"/>
        </w:rPr>
        <w:t xml:space="preserve">فَوَاحِدَةٌ بِوَاحِدَةٍ ، وَاللهُ مِنْ وَرَاءِ ذلِكَ </w:t>
      </w:r>
      <w:r w:rsidRPr="00D10E3C">
        <w:rPr>
          <w:rStyle w:val="libFootnotenumChar"/>
          <w:rtl/>
        </w:rPr>
        <w:t>(1)</w:t>
      </w:r>
      <w:r>
        <w:rPr>
          <w:rtl/>
          <w:lang w:bidi="fa-IR"/>
        </w:rPr>
        <w:t xml:space="preserve"> ؛ يَا زِيَادُ ، أَيُّمَا رَجُلٍ مِنْكُمْ تَوَلّى لِأَحَدٍ مِنْهُمْ عَمَلاً ، ثُمَّ سَاوى بَيْنَكُمْ وَبَيْنَهُمْ ، فَقُولُوا لَهُ : أَنْتَ مُنْتَحِلٌ </w:t>
      </w:r>
      <w:r w:rsidRPr="00D10E3C">
        <w:rPr>
          <w:rStyle w:val="libFootnotenumChar"/>
          <w:rtl/>
        </w:rPr>
        <w:t>(2)</w:t>
      </w:r>
      <w:r>
        <w:rPr>
          <w:rtl/>
          <w:lang w:bidi="fa-IR"/>
        </w:rPr>
        <w:t xml:space="preserve"> كَذَّابٌ ؛ يَا زِيَادُ ، إِذَا ذَكَرْتَ مَقْدُرَتَكَ عَلَى النَّاسِ ، فَاذْكُرْ مَقْدُرَةَ اللهِ عَلَيْكَ غَداً ، وَنَفَادَ مَا أَتَيْتَ إِلَيْهِمْ </w:t>
      </w:r>
      <w:r w:rsidRPr="00D10E3C">
        <w:rPr>
          <w:rStyle w:val="libFootnotenumChar"/>
          <w:rtl/>
        </w:rPr>
        <w:t>(3)</w:t>
      </w:r>
      <w:r>
        <w:rPr>
          <w:rtl/>
          <w:lang w:bidi="fa-IR"/>
        </w:rPr>
        <w:t xml:space="preserve"> عَنْهُمْ ، وَبَقَاءَ مَا أَتَيْتَ </w:t>
      </w:r>
      <w:r w:rsidRPr="00D10E3C">
        <w:rPr>
          <w:rStyle w:val="libFootnotenumChar"/>
          <w:rtl/>
        </w:rPr>
        <w:t>(4)</w:t>
      </w:r>
      <w:r>
        <w:rPr>
          <w:rtl/>
          <w:lang w:bidi="fa-IR"/>
        </w:rPr>
        <w:t xml:space="preserve"> إِلَيْهِمْ عَلَيْكَ ». </w:t>
      </w:r>
      <w:r w:rsidRPr="00D10E3C">
        <w:rPr>
          <w:rStyle w:val="libFootnotenumChar"/>
          <w:rtl/>
        </w:rPr>
        <w:t>(5)</w:t>
      </w:r>
    </w:p>
    <w:p w:rsidR="00144FA6" w:rsidRDefault="00744A1C" w:rsidP="00744A1C">
      <w:pPr>
        <w:pStyle w:val="libNormal"/>
        <w:rPr>
          <w:rtl/>
          <w:lang w:bidi="fa-IR"/>
        </w:rPr>
      </w:pPr>
      <w:r>
        <w:rPr>
          <w:rtl/>
          <w:lang w:bidi="fa-IR"/>
        </w:rPr>
        <w:t>8523 / 2. أَبُو عَلِيٍّ الْأَشْعَرِيُّ ، عَنْ مُحَمَّدِ بْنِ عَبْدِ الْجَبَّارِ ، عَنِ ابْنِ أَبِي نَجْرَانَ ، عَنِ ابْنِ سِنَانٍ ، عَنْ حَبِيبٍ ، عَنْ أَبِي بَصِيرٍ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ذُكِرَ عِنْدَهُ رَجُلٌ </w:t>
      </w:r>
      <w:r w:rsidRPr="00D10E3C">
        <w:rPr>
          <w:rStyle w:val="libFootnotenumChar"/>
          <w:rtl/>
        </w:rPr>
        <w:t>(6)</w:t>
      </w:r>
      <w:r>
        <w:rPr>
          <w:rtl/>
          <w:lang w:bidi="fa-IR"/>
        </w:rPr>
        <w:t xml:space="preserve"> مِنْ هذِهِ الْعِصَابَةِ </w:t>
      </w:r>
      <w:r w:rsidRPr="00D10E3C">
        <w:rPr>
          <w:rStyle w:val="libFootnotenumChar"/>
          <w:rtl/>
        </w:rPr>
        <w:t>(7)</w:t>
      </w:r>
      <w:r>
        <w:rPr>
          <w:rtl/>
          <w:lang w:bidi="fa-IR"/>
        </w:rPr>
        <w:t xml:space="preserve"> قَدْ </w:t>
      </w:r>
      <w:r w:rsidRPr="00D10E3C">
        <w:rPr>
          <w:rStyle w:val="libFootnotenumChar"/>
          <w:rtl/>
        </w:rPr>
        <w:t>(8)</w:t>
      </w:r>
      <w:r>
        <w:rPr>
          <w:rtl/>
          <w:lang w:bidi="fa-IR"/>
        </w:rPr>
        <w:t xml:space="preserve"> وُلِّيَ وَلَايَةً.</w:t>
      </w:r>
    </w:p>
    <w:p w:rsidR="00744A1C" w:rsidRDefault="00744A1C" w:rsidP="00744A1C">
      <w:pPr>
        <w:pStyle w:val="libNormal"/>
        <w:rPr>
          <w:lang w:bidi="fa-IR"/>
        </w:rPr>
      </w:pPr>
      <w:r>
        <w:rPr>
          <w:rtl/>
          <w:lang w:bidi="fa-IR"/>
        </w:rPr>
        <w:t xml:space="preserve">فَقَالَ : « كَيْفَ صَنِيعَتُهُ </w:t>
      </w:r>
      <w:r w:rsidRPr="00D10E3C">
        <w:rPr>
          <w:rStyle w:val="libFootnotenumChar"/>
          <w:rtl/>
        </w:rPr>
        <w:t>(9)</w:t>
      </w:r>
      <w:r>
        <w:rPr>
          <w:rtl/>
          <w:lang w:bidi="fa-IR"/>
        </w:rPr>
        <w:t xml:space="preserve"> إِلى إِخْوَانِهِ؟ ».</w:t>
      </w:r>
    </w:p>
    <w:p w:rsidR="00744A1C" w:rsidRDefault="00744A1C" w:rsidP="00744A1C">
      <w:pPr>
        <w:pStyle w:val="libNormal"/>
        <w:rPr>
          <w:lang w:bidi="fa-IR"/>
        </w:rPr>
      </w:pPr>
      <w:r>
        <w:rPr>
          <w:rtl/>
          <w:lang w:bidi="fa-IR"/>
        </w:rPr>
        <w:t>قَالَ : قُلْتُ : لَيْسَ عِنْدَهُ خَيْرٌ.</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19 ، ص 67 : « قوله </w:t>
      </w:r>
      <w:r w:rsidR="0061079A" w:rsidRPr="0061079A">
        <w:rPr>
          <w:rStyle w:val="libFootnoteAlaemChar"/>
          <w:rtl/>
        </w:rPr>
        <w:t>عليه‌السلام</w:t>
      </w:r>
      <w:r>
        <w:rPr>
          <w:rtl/>
          <w:lang w:bidi="fa-IR"/>
        </w:rPr>
        <w:t xml:space="preserve"> </w:t>
      </w:r>
      <w:r w:rsidR="00744A1C">
        <w:rPr>
          <w:rtl/>
          <w:lang w:bidi="fa-IR"/>
        </w:rPr>
        <w:t xml:space="preserve">: من وراء ذلك ، قال الوالد </w:t>
      </w:r>
      <w:r w:rsidR="00877682" w:rsidRPr="00653989">
        <w:rPr>
          <w:rtl/>
        </w:rPr>
        <w:t>رحمه</w:t>
      </w:r>
      <w:r w:rsidR="00653989">
        <w:rPr>
          <w:rFonts w:hint="cs"/>
          <w:rtl/>
        </w:rPr>
        <w:t xml:space="preserve"> </w:t>
      </w:r>
      <w:r w:rsidR="00877682" w:rsidRPr="00653989">
        <w:rPr>
          <w:rtl/>
        </w:rPr>
        <w:t>‌الله</w:t>
      </w:r>
      <w:r w:rsidR="00744A1C">
        <w:rPr>
          <w:rtl/>
          <w:lang w:bidi="fa-IR"/>
        </w:rPr>
        <w:t>: أي بالعفو والرحمة إن فعلت‌كذا ، وحقّ الله باق يلزمك أن تتوب إليه ، أو المعنى : أنّي مع ذلك لا أجزم بالعفو ؛ إذ لا يجب عليه تعالى. انتهى. وقيل : المعنى : الله تعالى يعلم قدر تخفيف العقوبة. والأظهر المعنى الأوّل الذي أفاد الوالد قد</w:t>
      </w:r>
      <w:r w:rsidR="00653989">
        <w:rPr>
          <w:rFonts w:hint="cs"/>
          <w:rtl/>
          <w:lang w:bidi="fa-IR"/>
        </w:rPr>
        <w:t>ّ</w:t>
      </w:r>
      <w:r w:rsidR="00744A1C">
        <w:rPr>
          <w:rtl/>
          <w:lang w:bidi="fa-IR"/>
        </w:rPr>
        <w:t>س</w:t>
      </w:r>
      <w:r w:rsidR="00653989">
        <w:rPr>
          <w:rFonts w:hint="cs"/>
          <w:rtl/>
          <w:lang w:bidi="fa-IR"/>
        </w:rPr>
        <w:t xml:space="preserve"> </w:t>
      </w:r>
      <w:r w:rsidR="00744A1C">
        <w:rPr>
          <w:rtl/>
          <w:lang w:bidi="fa-IR"/>
        </w:rPr>
        <w:t>سر</w:t>
      </w:r>
      <w:r w:rsidR="00653989">
        <w:rPr>
          <w:rFonts w:hint="cs"/>
          <w:rtl/>
          <w:lang w:bidi="fa-IR"/>
        </w:rPr>
        <w:t>ّ</w:t>
      </w:r>
      <w:r w:rsidR="00744A1C">
        <w:rPr>
          <w:rtl/>
          <w:lang w:bidi="fa-IR"/>
        </w:rPr>
        <w:t>ه</w:t>
      </w:r>
      <w:r>
        <w:rPr>
          <w:rtl/>
          <w:lang w:bidi="fa-IR"/>
        </w:rPr>
        <w:t xml:space="preserve"> </w:t>
      </w:r>
      <w:r w:rsidR="00744A1C">
        <w:rPr>
          <w:rtl/>
          <w:lang w:bidi="fa-IR"/>
        </w:rPr>
        <w:t>».</w:t>
      </w:r>
    </w:p>
    <w:p w:rsidR="00744A1C" w:rsidRDefault="00744A1C" w:rsidP="00D10E3C">
      <w:pPr>
        <w:pStyle w:val="libFootnote0"/>
        <w:rPr>
          <w:lang w:bidi="fa-IR"/>
        </w:rPr>
      </w:pPr>
      <w:r>
        <w:rPr>
          <w:rtl/>
          <w:lang w:bidi="fa-IR"/>
        </w:rPr>
        <w:t xml:space="preserve">وفي هامش </w:t>
      </w:r>
      <w:r w:rsidRPr="0061079A">
        <w:rPr>
          <w:rStyle w:val="libFootnoteBoldChar"/>
          <w:rtl/>
        </w:rPr>
        <w:t>الكافي</w:t>
      </w:r>
      <w:r>
        <w:rPr>
          <w:rtl/>
          <w:lang w:bidi="fa-IR"/>
        </w:rPr>
        <w:t xml:space="preserve"> المطبوع : « أي فكلّ واحدة من آحاد تلك التولية لكلّ عمل من أعمالهم في مقابلة كلّ إحسان من إحسانك إلى إخوانك ، والله تعالى هو المتصدّي لتلك المقابلة ، لا يفوته شي‌ء من موازنة هذه بهذه ؛ لقوله تعالى : </w:t>
      </w:r>
      <w:r w:rsidRPr="005B23A4">
        <w:rPr>
          <w:rStyle w:val="libFootnoteAlaemChar"/>
          <w:rtl/>
        </w:rPr>
        <w:t>(</w:t>
      </w:r>
      <w:r>
        <w:rPr>
          <w:rtl/>
          <w:lang w:bidi="fa-IR"/>
        </w:rPr>
        <w:t xml:space="preserve"> </w:t>
      </w:r>
      <w:r w:rsidRPr="005B23A4">
        <w:rPr>
          <w:rStyle w:val="libFootnoteAieChar"/>
          <w:rtl/>
        </w:rPr>
        <w:t>وَاللهُ مِنْ وَرائِهِمْ مُحِيطٌ</w:t>
      </w:r>
      <w:r>
        <w:rPr>
          <w:rtl/>
          <w:lang w:bidi="fa-IR"/>
        </w:rPr>
        <w:t xml:space="preserve"> </w:t>
      </w:r>
      <w:r w:rsidRPr="005B23A4">
        <w:rPr>
          <w:rStyle w:val="libFootnoteAlaemChar"/>
          <w:rtl/>
        </w:rPr>
        <w:t>)</w:t>
      </w:r>
      <w:r>
        <w:rPr>
          <w:rtl/>
          <w:lang w:bidi="fa-IR"/>
        </w:rPr>
        <w:t xml:space="preserve"> [ البروج (85) : 20 ] ، يشعر بذلك خبر حسن بن الحسين الأنباري ، كما سيأتي عن قريب ».</w:t>
      </w:r>
    </w:p>
    <w:p w:rsidR="00744A1C" w:rsidRDefault="00E378DD" w:rsidP="00E378DD">
      <w:pPr>
        <w:pStyle w:val="libFootnote0"/>
        <w:rPr>
          <w:lang w:bidi="fa-IR"/>
        </w:rPr>
      </w:pPr>
      <w:r>
        <w:rPr>
          <w:rtl/>
          <w:lang w:bidi="fa-IR"/>
        </w:rPr>
        <w:t>(2).</w:t>
      </w:r>
      <w:r w:rsidR="00744A1C">
        <w:rPr>
          <w:rtl/>
          <w:lang w:bidi="fa-IR"/>
        </w:rPr>
        <w:t xml:space="preserve"> في « ط » : + « أنت ». والانتحال : ادّعاء الرجل لنفسه ما ليس له. راجع : </w:t>
      </w:r>
      <w:r w:rsidR="00744A1C" w:rsidRPr="00E978C3">
        <w:rPr>
          <w:rStyle w:val="libFootnoteBoldChar"/>
          <w:rtl/>
        </w:rPr>
        <w:t>الصحاح</w:t>
      </w:r>
      <w:r w:rsidR="00744A1C">
        <w:rPr>
          <w:rtl/>
          <w:lang w:bidi="fa-IR"/>
        </w:rPr>
        <w:t xml:space="preserve"> ، ج 5 ، ص 1827 ( نحل ).</w:t>
      </w:r>
    </w:p>
    <w:p w:rsidR="00744A1C" w:rsidRDefault="00E378DD" w:rsidP="00EB4EC9">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ما أتيت إليهم ، أي أحسنت إليهم يذهب عنهم ، فلو كان معك كان يذهب عنك أيضاً ؛ أوما أتيت إليهم من الضرر. والأوّل أظهر ». وفي هامش </w:t>
      </w:r>
      <w:r w:rsidR="00744A1C" w:rsidRPr="0061079A">
        <w:rPr>
          <w:rStyle w:val="libFootnoteBoldChar"/>
          <w:rtl/>
        </w:rPr>
        <w:t>الكافي</w:t>
      </w:r>
      <w:r w:rsidR="00744A1C">
        <w:rPr>
          <w:rtl/>
          <w:lang w:bidi="fa-IR"/>
        </w:rPr>
        <w:t xml:space="preserve"> المطبوع : « أي ما أتيت إليهم من الإنعام ينفد بالنسبة إليهم ، ويبقى بالنظر إليك ».</w:t>
      </w:r>
      <w:r w:rsidR="00EB4EC9">
        <w:rPr>
          <w:rFonts w:hint="cs"/>
          <w:rtl/>
          <w:lang w:bidi="fa-IR"/>
        </w:rPr>
        <w:t xml:space="preserve">          </w:t>
      </w:r>
      <w:r w:rsidR="004C4818">
        <w:rPr>
          <w:rFonts w:hint="cs"/>
          <w:rtl/>
          <w:lang w:bidi="fa-IR"/>
        </w:rPr>
        <w:t xml:space="preserve">  </w:t>
      </w:r>
      <w:r w:rsidR="008306C6">
        <w:rPr>
          <w:rFonts w:hint="cs"/>
          <w:rtl/>
          <w:lang w:bidi="fa-IR"/>
        </w:rPr>
        <w:t xml:space="preserve"> </w:t>
      </w: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 أبقيت ».</w:t>
      </w:r>
    </w:p>
    <w:p w:rsidR="00744A1C" w:rsidRDefault="00E378DD" w:rsidP="00D11E9A">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333 ، ح 924 ، معلّقاً عن الكليني. </w:t>
      </w:r>
      <w:r w:rsidR="00744A1C" w:rsidRPr="000B1C3F">
        <w:rPr>
          <w:rStyle w:val="libFootnoteBoldChar"/>
          <w:rtl/>
        </w:rPr>
        <w:t>الأمالي للطوسي</w:t>
      </w:r>
      <w:r w:rsidR="00744A1C">
        <w:rPr>
          <w:rtl/>
          <w:lang w:bidi="fa-IR"/>
        </w:rPr>
        <w:t xml:space="preserve"> ، ص 303 ، المجلس 11 ، ح 49 ، بسند آخر ، مع اختلاف </w:t>
      </w:r>
      <w:r w:rsidR="00D11E9A">
        <w:rPr>
          <w:rFonts w:hint="cs"/>
          <w:rtl/>
          <w:lang w:bidi="fa-IR"/>
        </w:rPr>
        <w:t>.</w:t>
      </w:r>
      <w:r w:rsidR="00744A1C" w:rsidRPr="00C24F9C">
        <w:rPr>
          <w:rStyle w:val="libFootnoteBoldChar"/>
          <w:rtl/>
        </w:rPr>
        <w:t>الوافي</w:t>
      </w:r>
      <w:r w:rsidR="00744A1C">
        <w:rPr>
          <w:rtl/>
          <w:lang w:bidi="fa-IR"/>
        </w:rPr>
        <w:t xml:space="preserve"> ، ج 17 ، ص 165 ، ح 17054 ؛ </w:t>
      </w:r>
      <w:r w:rsidR="00744A1C" w:rsidRPr="00C24F9C">
        <w:rPr>
          <w:rStyle w:val="libFootnoteBoldChar"/>
          <w:rtl/>
        </w:rPr>
        <w:t>الوسائل</w:t>
      </w:r>
      <w:r w:rsidR="00744A1C">
        <w:rPr>
          <w:rtl/>
          <w:lang w:bidi="fa-IR"/>
        </w:rPr>
        <w:t xml:space="preserve"> ، ج 17 ، ص 194 ، ح 22334 ؛ </w:t>
      </w:r>
      <w:r w:rsidR="00744A1C" w:rsidRPr="0061079A">
        <w:rPr>
          <w:rStyle w:val="libFootnoteBoldChar"/>
          <w:rtl/>
        </w:rPr>
        <w:t>البحار</w:t>
      </w:r>
      <w:r w:rsidR="00744A1C">
        <w:rPr>
          <w:rtl/>
          <w:lang w:bidi="fa-IR"/>
        </w:rPr>
        <w:t xml:space="preserve"> ، ج 48 ، ص 172 ، ح 13.</w:t>
      </w:r>
      <w:r w:rsidR="00D11E9A">
        <w:rPr>
          <w:rFonts w:hint="cs"/>
          <w:rtl/>
          <w:lang w:bidi="fa-IR"/>
        </w:rPr>
        <w:t xml:space="preserve">  </w:t>
      </w:r>
      <w:r w:rsidR="00A0193B">
        <w:rPr>
          <w:rFonts w:hint="cs"/>
          <w:rtl/>
          <w:lang w:bidi="fa-IR"/>
        </w:rPr>
        <w:t xml:space="preserve"> </w:t>
      </w:r>
      <w:r>
        <w:rPr>
          <w:rtl/>
          <w:lang w:bidi="fa-IR"/>
        </w:rPr>
        <w:t>(6).</w:t>
      </w:r>
      <w:r w:rsidR="00744A1C">
        <w:rPr>
          <w:rtl/>
          <w:lang w:bidi="fa-IR"/>
        </w:rPr>
        <w:t xml:space="preserve"> في « ط » : « ذكرت عنده رجلاً ».</w:t>
      </w:r>
    </w:p>
    <w:p w:rsidR="00744A1C" w:rsidRDefault="00E378DD" w:rsidP="005C34A6">
      <w:pPr>
        <w:pStyle w:val="libFootnote0"/>
        <w:rPr>
          <w:lang w:bidi="fa-IR"/>
        </w:rPr>
      </w:pPr>
      <w:r>
        <w:rPr>
          <w:rtl/>
          <w:lang w:bidi="fa-IR"/>
        </w:rPr>
        <w:t>(7).</w:t>
      </w:r>
      <w:r w:rsidR="00744A1C">
        <w:rPr>
          <w:rtl/>
          <w:lang w:bidi="fa-IR"/>
        </w:rPr>
        <w:t xml:space="preserve"> العِصابة : هم الجماعة من الناس من العشرة إلى الأربعين ، ولا واحد لها من لفظها. </w:t>
      </w:r>
      <w:r w:rsidR="00744A1C" w:rsidRPr="00877682">
        <w:rPr>
          <w:rStyle w:val="libFootnoteBoldChar"/>
          <w:rtl/>
        </w:rPr>
        <w:t>النهاية</w:t>
      </w:r>
      <w:r w:rsidR="00744A1C">
        <w:rPr>
          <w:rtl/>
          <w:lang w:bidi="fa-IR"/>
        </w:rPr>
        <w:t xml:space="preserve"> ، ج 3 ، ص 243 ( عصب ).</w:t>
      </w:r>
      <w:r w:rsidR="005C34A6">
        <w:rPr>
          <w:rFonts w:hint="cs"/>
          <w:rtl/>
          <w:lang w:bidi="fa-IR"/>
        </w:rPr>
        <w:t xml:space="preserve">                                              </w:t>
      </w:r>
      <w:r>
        <w:rPr>
          <w:rtl/>
          <w:lang w:bidi="fa-IR"/>
        </w:rPr>
        <w:t>(8).</w:t>
      </w:r>
      <w:r w:rsidR="00744A1C">
        <w:rPr>
          <w:rtl/>
          <w:lang w:bidi="fa-IR"/>
        </w:rPr>
        <w:t xml:space="preserve"> في « بف » : « وقد ».</w:t>
      </w:r>
    </w:p>
    <w:p w:rsidR="00744A1C" w:rsidRDefault="00E378DD" w:rsidP="00E378DD">
      <w:pPr>
        <w:pStyle w:val="libFootnote0"/>
        <w:rPr>
          <w:lang w:bidi="fa-IR"/>
        </w:rPr>
      </w:pPr>
      <w:r>
        <w:rPr>
          <w:rtl/>
          <w:lang w:bidi="fa-IR"/>
        </w:rPr>
        <w:t>(9).</w:t>
      </w:r>
      <w:r w:rsidR="00744A1C">
        <w:rPr>
          <w:rtl/>
          <w:lang w:bidi="fa-IR"/>
        </w:rPr>
        <w:t xml:space="preserve"> في « بح ، جت ، جد » وحاشية « ى » </w:t>
      </w:r>
      <w:r w:rsidR="00744A1C" w:rsidRPr="004C4818">
        <w:rPr>
          <w:rtl/>
        </w:rPr>
        <w:t>والوسائل والتهذيب</w:t>
      </w:r>
      <w:r w:rsidR="00744A1C">
        <w:rPr>
          <w:rtl/>
          <w:lang w:bidi="fa-IR"/>
        </w:rPr>
        <w:t xml:space="preserve"> : « صنيعه ». وفي « بف » : « صنعه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فَقَالَ </w:t>
      </w:r>
      <w:r w:rsidRPr="00D10E3C">
        <w:rPr>
          <w:rStyle w:val="libFootnotenumChar"/>
          <w:rtl/>
        </w:rPr>
        <w:t>(1)</w:t>
      </w:r>
      <w:r>
        <w:rPr>
          <w:rtl/>
          <w:lang w:bidi="fa-IR"/>
        </w:rPr>
        <w:t xml:space="preserve"> : « أُفٍّ </w:t>
      </w:r>
      <w:r w:rsidRPr="00D10E3C">
        <w:rPr>
          <w:rStyle w:val="libFootnotenumChar"/>
          <w:rtl/>
        </w:rPr>
        <w:t>(2)</w:t>
      </w:r>
      <w:r>
        <w:rPr>
          <w:rtl/>
          <w:lang w:bidi="fa-IR"/>
        </w:rPr>
        <w:t xml:space="preserve"> ؛ يَدْخُلُونَ فِيمَا لَايَنْبَغِي لَهُمْ ، وَلَا يَصْنَعُونَ إِلى إِخْوَانِهِمْ خَيْراً ». </w:t>
      </w:r>
      <w:r w:rsidRPr="00D10E3C">
        <w:rPr>
          <w:rStyle w:val="libFootnotenumChar"/>
          <w:rtl/>
        </w:rPr>
        <w:t>(3)</w:t>
      </w:r>
    </w:p>
    <w:p w:rsidR="00144FA6" w:rsidRDefault="00744A1C" w:rsidP="00744A1C">
      <w:pPr>
        <w:pStyle w:val="libNormal"/>
        <w:rPr>
          <w:rtl/>
          <w:lang w:bidi="fa-IR"/>
        </w:rPr>
      </w:pPr>
      <w:r>
        <w:rPr>
          <w:rtl/>
          <w:lang w:bidi="fa-IR"/>
        </w:rPr>
        <w:t>8524 / 3. مُحَمَّدُ بْنُ يَحْيى ، عَمَّنْ ذَكَرَهُ ، عَنْ عَلِيِّ بْنِ أَسْبَاطٍ ، عَنْ إِبْرَاهِيمَ بْنِ أَبِي مَحْمُودٍ ، عَنْ عَلِيِّ بْنِ يَقْطِينٍ ، قَالَ :</w:t>
      </w:r>
    </w:p>
    <w:p w:rsidR="00744A1C" w:rsidRDefault="00744A1C" w:rsidP="00744A1C">
      <w:pPr>
        <w:pStyle w:val="libNormal"/>
        <w:rPr>
          <w:lang w:bidi="fa-IR"/>
        </w:rPr>
      </w:pPr>
      <w:r>
        <w:rPr>
          <w:rtl/>
          <w:lang w:bidi="fa-IR"/>
        </w:rPr>
        <w:t xml:space="preserve">قُلْتُ لِأَبِي الْحَسَنِ </w:t>
      </w:r>
      <w:r w:rsidR="0061079A" w:rsidRPr="0061079A">
        <w:rPr>
          <w:rStyle w:val="libAlaemChar"/>
          <w:rtl/>
        </w:rPr>
        <w:t>عليه‌السلام</w:t>
      </w:r>
      <w:r w:rsidR="00D10E3C">
        <w:rPr>
          <w:rtl/>
          <w:lang w:bidi="fa-IR"/>
        </w:rPr>
        <w:t xml:space="preserve"> </w:t>
      </w:r>
      <w:r>
        <w:rPr>
          <w:rtl/>
          <w:lang w:bidi="fa-IR"/>
        </w:rPr>
        <w:t>: مَا تَقُولُ فِي أَعْمَالِ هؤُلَاءِ؟</w:t>
      </w:r>
    </w:p>
    <w:p w:rsidR="00744A1C" w:rsidRDefault="00744A1C" w:rsidP="00744A1C">
      <w:pPr>
        <w:pStyle w:val="libNormal"/>
        <w:rPr>
          <w:lang w:bidi="fa-IR"/>
        </w:rPr>
      </w:pPr>
      <w:r>
        <w:rPr>
          <w:rtl/>
          <w:lang w:bidi="fa-IR"/>
        </w:rPr>
        <w:t>قَالَ : « إِنْ كُنْتَ لَابُدَّ فَاعِلاً ، فَاتَّقِ أَمْوَالَ الشِّيعَةِ ».</w:t>
      </w:r>
    </w:p>
    <w:p w:rsidR="00144FA6" w:rsidRDefault="00744A1C" w:rsidP="00744A1C">
      <w:pPr>
        <w:pStyle w:val="libNormal"/>
        <w:rPr>
          <w:rtl/>
          <w:lang w:bidi="fa-IR"/>
        </w:rPr>
      </w:pPr>
      <w:r>
        <w:rPr>
          <w:rtl/>
          <w:lang w:bidi="fa-IR"/>
        </w:rPr>
        <w:t xml:space="preserve">قَالَ : فَأَخْبَرَنِي عَلِيٌّ أَنَّهُ كَانَ يَجْبِيهَا </w:t>
      </w:r>
      <w:r w:rsidRPr="00D10E3C">
        <w:rPr>
          <w:rStyle w:val="libFootnotenumChar"/>
          <w:rtl/>
        </w:rPr>
        <w:t>(4)</w:t>
      </w:r>
      <w:r>
        <w:rPr>
          <w:rtl/>
          <w:lang w:bidi="fa-IR"/>
        </w:rPr>
        <w:t xml:space="preserve"> مِنَ الشِّيعَةِ عَلَانِيَةً ، وَيَرُدُّهَا عَلَيْهِمْ فِي السِّرِّ. </w:t>
      </w:r>
      <w:r w:rsidRPr="00D10E3C">
        <w:rPr>
          <w:rStyle w:val="libFootnotenumChar"/>
          <w:rtl/>
        </w:rPr>
        <w:t>(5)</w:t>
      </w:r>
    </w:p>
    <w:p w:rsidR="00144FA6" w:rsidRDefault="00744A1C" w:rsidP="00744A1C">
      <w:pPr>
        <w:pStyle w:val="libNormal"/>
        <w:rPr>
          <w:rtl/>
          <w:lang w:bidi="fa-IR"/>
        </w:rPr>
      </w:pPr>
      <w:r>
        <w:rPr>
          <w:rtl/>
          <w:lang w:bidi="fa-IR"/>
        </w:rPr>
        <w:t>8525 / 4. عَلِيُّ بْنُ إِبْرَاهِيمَ ، عَنْ أَبِيهِ ، عَنْ عَلِيِّ بْنِ الْحَكَمِ ، عَنِ الْحَسَنِ بْنِ الْحُسَيْنِ الْأَنْبَارِيِّ :</w:t>
      </w:r>
    </w:p>
    <w:p w:rsidR="00144FA6" w:rsidRDefault="00744A1C" w:rsidP="00744A1C">
      <w:pPr>
        <w:pStyle w:val="libNormal"/>
        <w:rPr>
          <w:rtl/>
          <w:lang w:bidi="fa-IR"/>
        </w:rPr>
      </w:pPr>
      <w:r>
        <w:rPr>
          <w:rtl/>
          <w:lang w:bidi="fa-IR"/>
        </w:rPr>
        <w:t xml:space="preserve">عَنْ أَبِي الْحَسَنِ الرِّضَا </w:t>
      </w:r>
      <w:r w:rsidR="0061079A" w:rsidRPr="0061079A">
        <w:rPr>
          <w:rStyle w:val="libAlaemChar"/>
          <w:rtl/>
        </w:rPr>
        <w:t>عليه‌السلام</w:t>
      </w:r>
      <w:r w:rsidR="00D10E3C">
        <w:rPr>
          <w:rtl/>
          <w:lang w:bidi="fa-IR"/>
        </w:rPr>
        <w:t xml:space="preserve"> </w:t>
      </w:r>
      <w:r>
        <w:rPr>
          <w:rtl/>
          <w:lang w:bidi="fa-IR"/>
        </w:rPr>
        <w:t xml:space="preserve">، قَالَ : كَتَبْتُ إِلَيْهِ أَرْبَعَ عَشْرَةَ </w:t>
      </w:r>
      <w:r w:rsidRPr="00D10E3C">
        <w:rPr>
          <w:rStyle w:val="libFootnotenumChar"/>
          <w:rtl/>
        </w:rPr>
        <w:t>(6)</w:t>
      </w:r>
      <w:r>
        <w:rPr>
          <w:rtl/>
          <w:lang w:bidi="fa-IR"/>
        </w:rPr>
        <w:t xml:space="preserve"> سَنَةً أَسْتَأْذِنُهُ فِي عَمَلِ </w:t>
      </w:r>
      <w:r w:rsidRPr="00D10E3C">
        <w:rPr>
          <w:rStyle w:val="libFootnotenumChar"/>
          <w:rtl/>
        </w:rPr>
        <w:t>(7)</w:t>
      </w:r>
      <w:r>
        <w:rPr>
          <w:rtl/>
          <w:lang w:bidi="fa-IR"/>
        </w:rPr>
        <w:t xml:space="preserve"> السُّلْطَانِ ، فَلَمَّا كَانَ فِي آخِرِ كِتَابٍ ، كَتَبْتُهُ </w:t>
      </w:r>
      <w:r w:rsidRPr="00D10E3C">
        <w:rPr>
          <w:rStyle w:val="libFootnotenumChar"/>
          <w:rtl/>
        </w:rPr>
        <w:t>(8)</w:t>
      </w:r>
      <w:r>
        <w:rPr>
          <w:rtl/>
          <w:lang w:bidi="fa-IR"/>
        </w:rPr>
        <w:t xml:space="preserve"> إِلَيْهِ أَذْكُرُ أَنِّي </w:t>
      </w:r>
      <w:r w:rsidRPr="00D10E3C">
        <w:rPr>
          <w:rStyle w:val="libFootnotenumChar"/>
          <w:rtl/>
        </w:rPr>
        <w:t>(9)</w:t>
      </w:r>
      <w:r>
        <w:rPr>
          <w:rtl/>
          <w:lang w:bidi="fa-IR"/>
        </w:rPr>
        <w:t xml:space="preserve"> أَخَافُ عَلى خَيْطِ </w:t>
      </w:r>
      <w:r w:rsidRPr="00D10E3C">
        <w:rPr>
          <w:rStyle w:val="libFootnotenumChar"/>
          <w:rtl/>
        </w:rPr>
        <w:t>(10)</w:t>
      </w:r>
      <w:r>
        <w:rPr>
          <w:rtl/>
          <w:lang w:bidi="fa-IR"/>
        </w:rPr>
        <w:t xml:space="preserve"> عُنُقِي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4C4818">
        <w:rPr>
          <w:rtl/>
        </w:rPr>
        <w:t>الوافي والوسائل والتهذيب : «</w:t>
      </w:r>
      <w:r w:rsidR="00744A1C">
        <w:rPr>
          <w:rtl/>
          <w:lang w:bidi="fa-IR"/>
        </w:rPr>
        <w:t xml:space="preserve"> قال ».</w:t>
      </w:r>
    </w:p>
    <w:p w:rsidR="00744A1C" w:rsidRDefault="00E378DD" w:rsidP="00E378DD">
      <w:pPr>
        <w:pStyle w:val="libFootnote0"/>
        <w:rPr>
          <w:lang w:bidi="fa-IR"/>
        </w:rPr>
      </w:pPr>
      <w:r>
        <w:rPr>
          <w:rtl/>
          <w:lang w:bidi="fa-IR"/>
        </w:rPr>
        <w:t>(2).</w:t>
      </w:r>
      <w:r w:rsidR="00744A1C">
        <w:rPr>
          <w:rtl/>
          <w:lang w:bidi="fa-IR"/>
        </w:rPr>
        <w:t xml:space="preserve"> « ا</w:t>
      </w:r>
      <w:r w:rsidR="001E58DF">
        <w:rPr>
          <w:rFonts w:hint="cs"/>
          <w:rtl/>
          <w:lang w:bidi="fa-IR"/>
        </w:rPr>
        <w:t>ُ</w:t>
      </w:r>
      <w:r w:rsidR="00744A1C">
        <w:rPr>
          <w:rtl/>
          <w:lang w:bidi="fa-IR"/>
        </w:rPr>
        <w:t>فٍّ » : كلمة تضجّر ، أو هي صوت إذا صوّت به الإنسان علم أنّه متضجّر متكرّه. وأصل الا</w:t>
      </w:r>
      <w:r w:rsidR="001E58DF">
        <w:rPr>
          <w:rFonts w:hint="cs"/>
          <w:rtl/>
          <w:lang w:bidi="fa-IR"/>
        </w:rPr>
        <w:t>ُ</w:t>
      </w:r>
      <w:r w:rsidR="00744A1C">
        <w:rPr>
          <w:rtl/>
          <w:lang w:bidi="fa-IR"/>
        </w:rPr>
        <w:t xml:space="preserve">فّ : كلّ مستقذر من وسخ وقلامة ظفر وما يجري مجراها ، يقال ذلك عند استقذار الشي‌ء ، ثمّ استعمل ذلك عند كلّ شي‌ء يضجر منه ويتأذّى به. وفيه ستّ لغات ، وما في المتن أفصحها وأكثرها استعمالاً. راجع : </w:t>
      </w:r>
      <w:r w:rsidR="00744A1C" w:rsidRPr="00877682">
        <w:rPr>
          <w:rStyle w:val="libFootnoteBoldChar"/>
          <w:rtl/>
        </w:rPr>
        <w:t>لسان العرب</w:t>
      </w:r>
      <w:r w:rsidR="00744A1C">
        <w:rPr>
          <w:rtl/>
          <w:lang w:bidi="fa-IR"/>
        </w:rPr>
        <w:t xml:space="preserve"> ، ج 9 ، ص 6 ( أفف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330 ، ح 916 ، بسنده عن محمّد بن عبد الجبّار </w:t>
      </w:r>
      <w:r w:rsidR="001E58DF">
        <w:rPr>
          <w:rFonts w:hint="cs"/>
          <w:rtl/>
          <w:lang w:bidi="fa-IR"/>
        </w:rPr>
        <w:t>.</w:t>
      </w:r>
      <w:r w:rsidR="00744A1C" w:rsidRPr="00C24F9C">
        <w:rPr>
          <w:rStyle w:val="libFootnoteBoldChar"/>
          <w:rtl/>
        </w:rPr>
        <w:t>الوافي</w:t>
      </w:r>
      <w:r w:rsidR="00744A1C">
        <w:rPr>
          <w:rtl/>
          <w:lang w:bidi="fa-IR"/>
        </w:rPr>
        <w:t xml:space="preserve"> ، ج 17 ، ص 166 ، ح 17055 ؛ </w:t>
      </w:r>
      <w:r w:rsidR="00744A1C" w:rsidRPr="00C24F9C">
        <w:rPr>
          <w:rStyle w:val="libFootnoteBoldChar"/>
          <w:rtl/>
        </w:rPr>
        <w:t>الوسائل</w:t>
      </w:r>
      <w:r w:rsidR="00744A1C">
        <w:rPr>
          <w:rtl/>
          <w:lang w:bidi="fa-IR"/>
        </w:rPr>
        <w:t xml:space="preserve"> ، ج 17 ، ص 195 ، ح 22335.</w:t>
      </w:r>
    </w:p>
    <w:p w:rsidR="00744A1C" w:rsidRDefault="00E378DD" w:rsidP="00E378DD">
      <w:pPr>
        <w:pStyle w:val="libFootnote0"/>
        <w:rPr>
          <w:lang w:bidi="fa-IR"/>
        </w:rPr>
      </w:pPr>
      <w:r>
        <w:rPr>
          <w:rtl/>
          <w:lang w:bidi="fa-IR"/>
        </w:rPr>
        <w:t>(4).</w:t>
      </w:r>
      <w:r w:rsidR="00744A1C">
        <w:rPr>
          <w:rtl/>
          <w:lang w:bidi="fa-IR"/>
        </w:rPr>
        <w:t xml:space="preserve"> في « بس » : « يجمعها ». وفي « بف » : « يجتنيها ». و « يجبيها » أي يجمعها. والجِباية : الجمع ، واستخراج الأموال من مظانّها. راجع : </w:t>
      </w:r>
      <w:r w:rsidR="00744A1C" w:rsidRPr="00877682">
        <w:rPr>
          <w:rStyle w:val="libFootnoteBoldChar"/>
          <w:rtl/>
        </w:rPr>
        <w:t>لسان العرب</w:t>
      </w:r>
      <w:r w:rsidR="00744A1C">
        <w:rPr>
          <w:rtl/>
          <w:lang w:bidi="fa-IR"/>
        </w:rPr>
        <w:t xml:space="preserve"> ، ج 14 ، ص 128 - 129 ( جبي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335 ، ح 927 ، معلّقاً عن الكليني. </w:t>
      </w:r>
      <w:r w:rsidR="00744A1C" w:rsidRPr="001E58DF">
        <w:rPr>
          <w:rStyle w:val="libFootnoteBoldChar"/>
          <w:rtl/>
        </w:rPr>
        <w:t>رجال الكشّي</w:t>
      </w:r>
      <w:r w:rsidR="00744A1C">
        <w:rPr>
          <w:rtl/>
          <w:lang w:bidi="fa-IR"/>
        </w:rPr>
        <w:t xml:space="preserve"> ، ص 434 ، ضمن ح 820 ، بسند آخر ، مع اختلاف </w:t>
      </w:r>
      <w:r w:rsidR="001E58DF">
        <w:rPr>
          <w:rFonts w:hint="cs"/>
          <w:rtl/>
          <w:lang w:bidi="fa-IR"/>
        </w:rPr>
        <w:t>.</w:t>
      </w:r>
      <w:r w:rsidR="00744A1C" w:rsidRPr="00C24F9C">
        <w:rPr>
          <w:rStyle w:val="libFootnoteBoldChar"/>
          <w:rtl/>
        </w:rPr>
        <w:t>الوافي</w:t>
      </w:r>
      <w:r w:rsidR="00744A1C">
        <w:rPr>
          <w:rtl/>
          <w:lang w:bidi="fa-IR"/>
        </w:rPr>
        <w:t xml:space="preserve"> ، ج 17 ، ص 166 ، ح 17056 ؛ </w:t>
      </w:r>
      <w:r w:rsidR="00744A1C" w:rsidRPr="0061079A">
        <w:rPr>
          <w:rStyle w:val="libFootnoteBoldChar"/>
          <w:rtl/>
        </w:rPr>
        <w:t>البحار</w:t>
      </w:r>
      <w:r w:rsidR="00744A1C">
        <w:rPr>
          <w:rtl/>
          <w:lang w:bidi="fa-IR"/>
        </w:rPr>
        <w:t xml:space="preserve"> ، ج 48 ، ص 158 ، ح 31.</w:t>
      </w:r>
    </w:p>
    <w:p w:rsidR="00744A1C" w:rsidRDefault="00E378DD" w:rsidP="00E378DD">
      <w:pPr>
        <w:pStyle w:val="libFootnote0"/>
        <w:rPr>
          <w:lang w:bidi="fa-IR"/>
        </w:rPr>
      </w:pPr>
      <w:r>
        <w:rPr>
          <w:rtl/>
          <w:lang w:bidi="fa-IR"/>
        </w:rPr>
        <w:t>(6).</w:t>
      </w:r>
      <w:r w:rsidR="00744A1C">
        <w:rPr>
          <w:rtl/>
          <w:lang w:bidi="fa-IR"/>
        </w:rPr>
        <w:t xml:space="preserve"> هكذا في « ط ، ى ، بح ، بس ، جد ، جن » </w:t>
      </w:r>
      <w:r w:rsidR="00744A1C" w:rsidRPr="00913814">
        <w:rPr>
          <w:rtl/>
        </w:rPr>
        <w:t>والوافي والوسائل والبحار</w:t>
      </w:r>
      <w:r w:rsidR="00744A1C">
        <w:rPr>
          <w:rtl/>
          <w:lang w:bidi="fa-IR"/>
        </w:rPr>
        <w:t>. وفي المطبوع : « أربعة عشر ».</w:t>
      </w:r>
    </w:p>
    <w:tbl>
      <w:tblPr>
        <w:tblStyle w:val="TableGrid"/>
        <w:bidiVisual/>
        <w:tblW w:w="0" w:type="auto"/>
        <w:tblLook w:val="04A0" w:firstRow="1" w:lastRow="0" w:firstColumn="1" w:lastColumn="0" w:noHBand="0" w:noVBand="1"/>
      </w:tblPr>
      <w:tblGrid>
        <w:gridCol w:w="4006"/>
        <w:gridCol w:w="4006"/>
      </w:tblGrid>
      <w:tr w:rsidR="00913814" w:rsidTr="00913814">
        <w:tc>
          <w:tcPr>
            <w:tcW w:w="4006" w:type="dxa"/>
          </w:tcPr>
          <w:p w:rsidR="00913814" w:rsidRDefault="00913814" w:rsidP="00E378DD">
            <w:pPr>
              <w:pStyle w:val="libFootnote0"/>
              <w:rPr>
                <w:rtl/>
                <w:lang w:bidi="fa-IR"/>
              </w:rPr>
            </w:pPr>
            <w:r>
              <w:rPr>
                <w:rtl/>
                <w:lang w:bidi="fa-IR"/>
              </w:rPr>
              <w:t xml:space="preserve">(7). في « بف » </w:t>
            </w:r>
            <w:r w:rsidRPr="00913814">
              <w:rPr>
                <w:rtl/>
              </w:rPr>
              <w:t xml:space="preserve">والوافي </w:t>
            </w:r>
            <w:r>
              <w:rPr>
                <w:rtl/>
                <w:lang w:bidi="fa-IR"/>
              </w:rPr>
              <w:t>: « أعمال ».</w:t>
            </w:r>
          </w:p>
        </w:tc>
        <w:tc>
          <w:tcPr>
            <w:tcW w:w="4006" w:type="dxa"/>
          </w:tcPr>
          <w:p w:rsidR="00913814" w:rsidRDefault="00913814" w:rsidP="00E378DD">
            <w:pPr>
              <w:pStyle w:val="libFootnote0"/>
              <w:rPr>
                <w:rtl/>
                <w:lang w:bidi="fa-IR"/>
              </w:rPr>
            </w:pPr>
            <w:r>
              <w:rPr>
                <w:rtl/>
                <w:lang w:bidi="fa-IR"/>
              </w:rPr>
              <w:t>(8). في « ط » : « كتبت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913814">
        <w:rPr>
          <w:rtl/>
        </w:rPr>
        <w:t>التهذيب : «</w:t>
      </w:r>
      <w:r w:rsidR="00744A1C">
        <w:rPr>
          <w:rtl/>
          <w:lang w:bidi="fa-IR"/>
        </w:rPr>
        <w:t xml:space="preserve"> أنّني ».</w:t>
      </w:r>
    </w:p>
    <w:p w:rsidR="00144FA6" w:rsidRDefault="00E378DD" w:rsidP="00E378DD">
      <w:pPr>
        <w:pStyle w:val="libFootnote0"/>
        <w:rPr>
          <w:rtl/>
          <w:lang w:bidi="fa-IR"/>
        </w:rPr>
      </w:pPr>
      <w:r>
        <w:rPr>
          <w:rtl/>
          <w:lang w:bidi="fa-IR"/>
        </w:rPr>
        <w:t>(10).</w:t>
      </w:r>
      <w:r w:rsidR="00744A1C">
        <w:rPr>
          <w:rtl/>
          <w:lang w:bidi="fa-IR"/>
        </w:rPr>
        <w:t xml:space="preserve"> هكذا في « ط ، ى ، بح ، بخ ، بس ، جت ، جد ، جن »</w:t>
      </w:r>
      <w:r w:rsidR="00744A1C" w:rsidRPr="00913814">
        <w:rPr>
          <w:rtl/>
        </w:rPr>
        <w:t xml:space="preserve"> والمرآة والوسائل والبحار والتهذيب. وفي </w:t>
      </w:r>
      <w:r w:rsidR="00744A1C">
        <w:rPr>
          <w:rtl/>
          <w:lang w:bidi="fa-IR"/>
        </w:rPr>
        <w:t>سائر النسخ</w:t>
      </w:r>
      <w:r w:rsidR="00913814">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955510">
      <w:pPr>
        <w:pStyle w:val="libNormal0"/>
        <w:rPr>
          <w:lang w:bidi="fa-IR"/>
        </w:rPr>
      </w:pPr>
      <w:r>
        <w:rPr>
          <w:rtl/>
          <w:lang w:bidi="fa-IR"/>
        </w:rPr>
        <w:t xml:space="preserve">وَأَنَّ السُّلْطَانَ يَقُولُ لِي </w:t>
      </w:r>
      <w:r w:rsidRPr="00D10E3C">
        <w:rPr>
          <w:rStyle w:val="libFootnotenumChar"/>
          <w:rtl/>
        </w:rPr>
        <w:t>(1)</w:t>
      </w:r>
      <w:r>
        <w:rPr>
          <w:rtl/>
          <w:lang w:bidi="fa-IR"/>
        </w:rPr>
        <w:t xml:space="preserve"> : إِنَّكَ </w:t>
      </w:r>
      <w:r w:rsidRPr="00D10E3C">
        <w:rPr>
          <w:rStyle w:val="libFootnotenumChar"/>
          <w:rtl/>
        </w:rPr>
        <w:t>(2)</w:t>
      </w:r>
      <w:r>
        <w:rPr>
          <w:rtl/>
          <w:lang w:bidi="fa-IR"/>
        </w:rPr>
        <w:t xml:space="preserve"> رَافِضِيٌّ ، وَلَسْنَا نَشُكُّ فِي أَنَّكَ تَرَكْتَ الْعَمَلَ لِلسُّلْطَانِ </w:t>
      </w:r>
      <w:r w:rsidRPr="00D10E3C">
        <w:rPr>
          <w:rStyle w:val="libFootnotenumChar"/>
          <w:rtl/>
        </w:rPr>
        <w:t>(3)</w:t>
      </w:r>
      <w:r>
        <w:rPr>
          <w:rtl/>
          <w:lang w:bidi="fa-IR"/>
        </w:rPr>
        <w:t xml:space="preserve"> لِلرَّفْضِ </w:t>
      </w:r>
      <w:r w:rsidRPr="00D10E3C">
        <w:rPr>
          <w:rStyle w:val="libFootnotenumChar"/>
          <w:rtl/>
        </w:rPr>
        <w:t>(4)</w:t>
      </w:r>
      <w:r w:rsidR="0059776C" w:rsidRPr="0059776C">
        <w:rPr>
          <w:rFonts w:hint="cs"/>
          <w:rtl/>
        </w:rPr>
        <w:t>.</w:t>
      </w:r>
    </w:p>
    <w:p w:rsidR="00144FA6" w:rsidRDefault="00744A1C" w:rsidP="00744A1C">
      <w:pPr>
        <w:pStyle w:val="libNormal"/>
        <w:rPr>
          <w:rtl/>
          <w:lang w:bidi="fa-IR"/>
        </w:rPr>
      </w:pPr>
      <w:r>
        <w:rPr>
          <w:rtl/>
          <w:lang w:bidi="fa-IR"/>
        </w:rPr>
        <w:t xml:space="preserve">فَكَتَبَ إِلَيَّ </w:t>
      </w:r>
      <w:r w:rsidRPr="00D10E3C">
        <w:rPr>
          <w:rStyle w:val="libFootnotenumChar"/>
          <w:rtl/>
        </w:rPr>
        <w:t>(5)</w:t>
      </w:r>
      <w:r>
        <w:rPr>
          <w:rtl/>
          <w:lang w:bidi="fa-IR"/>
        </w:rPr>
        <w:t xml:space="preserve"> أَبُو الْحَسَنِ </w:t>
      </w:r>
      <w:r w:rsidR="0061079A" w:rsidRPr="0061079A">
        <w:rPr>
          <w:rStyle w:val="libAlaemChar"/>
          <w:rtl/>
        </w:rPr>
        <w:t>عليه‌السلام</w:t>
      </w:r>
      <w:r w:rsidR="00D10E3C">
        <w:rPr>
          <w:rtl/>
          <w:lang w:bidi="fa-IR"/>
        </w:rPr>
        <w:t xml:space="preserve"> </w:t>
      </w:r>
      <w:r>
        <w:rPr>
          <w:rtl/>
          <w:lang w:bidi="fa-IR"/>
        </w:rPr>
        <w:t xml:space="preserve">: « قَدْ </w:t>
      </w:r>
      <w:r w:rsidRPr="00D10E3C">
        <w:rPr>
          <w:rStyle w:val="libFootnotenumChar"/>
          <w:rtl/>
        </w:rPr>
        <w:t>(6)</w:t>
      </w:r>
      <w:r>
        <w:rPr>
          <w:rtl/>
          <w:lang w:bidi="fa-IR"/>
        </w:rPr>
        <w:t xml:space="preserve"> فَهِمْتُ كِتَابَكَ </w:t>
      </w:r>
      <w:r w:rsidRPr="00D10E3C">
        <w:rPr>
          <w:rStyle w:val="libFootnotenumChar"/>
          <w:rtl/>
        </w:rPr>
        <w:t>(7)</w:t>
      </w:r>
      <w:r>
        <w:rPr>
          <w:rtl/>
          <w:lang w:bidi="fa-IR"/>
        </w:rPr>
        <w:t xml:space="preserve"> وَمَا ذَكَرْتَ مِنَ الْخَوْفِ عَلى نَفْسِكَ ، فَإِنْ كُنْتَ تَعْلَمُ أَنَّكَ إِذَا وُلِّيتَ عَمِلْتَ فِي عَمَلِكَ بِمَا أَمَرَ </w:t>
      </w:r>
      <w:r w:rsidRPr="00D10E3C">
        <w:rPr>
          <w:rStyle w:val="libFootnotenumChar"/>
          <w:rtl/>
        </w:rPr>
        <w:t>(8)</w:t>
      </w:r>
      <w:r>
        <w:rPr>
          <w:rtl/>
          <w:lang w:bidi="fa-IR"/>
        </w:rPr>
        <w:t xml:space="preserve"> بِهِ رَسُولُ اللهِ </w:t>
      </w:r>
      <w:r w:rsidR="0061079A" w:rsidRPr="0061079A">
        <w:rPr>
          <w:rStyle w:val="libAlaemChar"/>
          <w:rtl/>
        </w:rPr>
        <w:t>صلى‌الله‌عليه‌وآله</w:t>
      </w:r>
      <w:r w:rsidR="00D10E3C">
        <w:rPr>
          <w:rtl/>
          <w:lang w:bidi="fa-IR"/>
        </w:rPr>
        <w:t xml:space="preserve"> </w:t>
      </w:r>
      <w:r>
        <w:rPr>
          <w:rtl/>
          <w:lang w:bidi="fa-IR"/>
        </w:rPr>
        <w:t xml:space="preserve">، ثُمَّ تُصَيِّرُ </w:t>
      </w:r>
      <w:r w:rsidRPr="00D10E3C">
        <w:rPr>
          <w:rStyle w:val="libFootnotenumChar"/>
          <w:rtl/>
        </w:rPr>
        <w:t>(9)</w:t>
      </w:r>
      <w:r>
        <w:rPr>
          <w:rtl/>
          <w:lang w:bidi="fa-IR"/>
        </w:rPr>
        <w:t xml:space="preserve"> أَعْوَانَكَ وَكُتَّابَكَ </w:t>
      </w:r>
      <w:r w:rsidRPr="00D10E3C">
        <w:rPr>
          <w:rStyle w:val="libFootnotenumChar"/>
          <w:rtl/>
        </w:rPr>
        <w:t>(10)</w:t>
      </w:r>
      <w:r>
        <w:rPr>
          <w:rtl/>
          <w:lang w:bidi="fa-IR"/>
        </w:rPr>
        <w:t xml:space="preserve"> أَهْلَ مِلَّتِكَ ، فَإِذَا </w:t>
      </w:r>
      <w:r w:rsidRPr="00D10E3C">
        <w:rPr>
          <w:rStyle w:val="libFootnotenumChar"/>
          <w:rtl/>
        </w:rPr>
        <w:t>(11)</w:t>
      </w:r>
      <w:r>
        <w:rPr>
          <w:rtl/>
          <w:lang w:bidi="fa-IR"/>
        </w:rPr>
        <w:t xml:space="preserve"> صَارَ إِلَيْكَ شَيْ‌ءٌ وَاسَيْتَ بِهِ فُقَرَاءَ الْمُؤْمِنِينَ حَتّى تَكُونَ وَاحِداً مِنْه</w:t>
      </w:r>
      <w:r w:rsidR="0059776C">
        <w:rPr>
          <w:rtl/>
          <w:lang w:bidi="fa-IR"/>
        </w:rPr>
        <w:t>ُمْ ، كَانَ ذَا بِذَا ، وَإِل</w:t>
      </w:r>
      <w:r w:rsidR="0059776C">
        <w:rPr>
          <w:rFonts w:hint="cs"/>
          <w:rtl/>
          <w:lang w:bidi="fa-IR"/>
        </w:rPr>
        <w:t>َّ</w:t>
      </w:r>
      <w:r w:rsidR="0059776C">
        <w:rPr>
          <w:rtl/>
          <w:lang w:bidi="fa-IR"/>
        </w:rPr>
        <w:t>ا</w:t>
      </w:r>
      <w:r>
        <w:rPr>
          <w:rtl/>
          <w:lang w:bidi="fa-IR"/>
        </w:rPr>
        <w:t xml:space="preserve"> فَلَا ». </w:t>
      </w:r>
      <w:r w:rsidRPr="00D10E3C">
        <w:rPr>
          <w:rStyle w:val="libFootnotenumChar"/>
          <w:rtl/>
        </w:rPr>
        <w:t>(12)</w:t>
      </w:r>
    </w:p>
    <w:p w:rsidR="00144FA6" w:rsidRDefault="00744A1C" w:rsidP="00744A1C">
      <w:pPr>
        <w:pStyle w:val="libNormal"/>
        <w:rPr>
          <w:rtl/>
          <w:lang w:bidi="fa-IR"/>
        </w:rPr>
      </w:pPr>
      <w:r>
        <w:rPr>
          <w:rtl/>
          <w:lang w:bidi="fa-IR"/>
        </w:rPr>
        <w:t xml:space="preserve">8526 / 5. مُحَمَّدُ بْنُ يَحْيى ، عَنْ مُحَمَّدِ بْنِ أَحْمَدَ ، عَنْ أَحْمَدَ بْنِ الْحُسَيْنِ </w:t>
      </w:r>
      <w:r w:rsidRPr="00D10E3C">
        <w:rPr>
          <w:rStyle w:val="libFootnotenumChar"/>
          <w:rtl/>
        </w:rPr>
        <w:t>(13)</w:t>
      </w:r>
      <w:r>
        <w:rPr>
          <w:rtl/>
          <w:lang w:bidi="fa-IR"/>
        </w:rPr>
        <w:t xml:space="preserve"> ، عَنْ أَبِيهِ ، عَنْ عُثْمَانَ بْنِ عِيسى ، عَنْ مِهْرَانَ بْنِ مُحَمَّدِ بْنِ </w:t>
      </w:r>
      <w:r w:rsidRPr="00D10E3C">
        <w:rPr>
          <w:rStyle w:val="libFootnotenumChar"/>
          <w:rtl/>
        </w:rPr>
        <w:t>(14)</w:t>
      </w:r>
      <w:r>
        <w:rPr>
          <w:rtl/>
          <w:lang w:bidi="fa-IR"/>
        </w:rPr>
        <w:t xml:space="preserve"> أَبِي نَصْرٍ :</w:t>
      </w:r>
    </w:p>
    <w:p w:rsidR="00744A1C" w:rsidRDefault="00744A1C" w:rsidP="00D10E3C">
      <w:pPr>
        <w:pStyle w:val="libLine"/>
        <w:rPr>
          <w:lang w:bidi="fa-IR"/>
        </w:rPr>
      </w:pPr>
      <w:r>
        <w:rPr>
          <w:rtl/>
          <w:lang w:bidi="fa-IR"/>
        </w:rPr>
        <w:t>____________________</w:t>
      </w:r>
    </w:p>
    <w:p w:rsidR="00744A1C" w:rsidRDefault="00A628A8" w:rsidP="00D10E3C">
      <w:pPr>
        <w:pStyle w:val="libFootnote0"/>
        <w:rPr>
          <w:lang w:bidi="fa-IR"/>
        </w:rPr>
      </w:pPr>
      <w:r>
        <w:rPr>
          <w:rFonts w:hint="cs"/>
          <w:rtl/>
          <w:lang w:bidi="fa-IR"/>
        </w:rPr>
        <w:t xml:space="preserve">= </w:t>
      </w:r>
      <w:r w:rsidR="00744A1C">
        <w:rPr>
          <w:rtl/>
          <w:lang w:bidi="fa-IR"/>
        </w:rPr>
        <w:t>والمطبوع : « خبط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خبط عنقي ، بالخاء المعجمة والباء الموحّدة ، أي ضرب عنقي ؛ من خبطت الشجر خبطاً ، إذا ضربته بالعصا ليسقط ورقه ». وفي هامشه عن ابن المصنّف : « من المحتمل أن يكون بالياء المثنّاة من تحت ؛ فإنّ خيط الرقبة نخاعها ، ومنه يقال : نعامة خيطاء ، بيّنة الخيط ، إذا كانت طويلة العنق ». وفي </w:t>
      </w:r>
      <w:r w:rsidRPr="00C24F9C">
        <w:rPr>
          <w:rStyle w:val="libFootnoteBoldChar"/>
          <w:rtl/>
        </w:rPr>
        <w:t>المرآة</w:t>
      </w:r>
      <w:r>
        <w:rPr>
          <w:rtl/>
          <w:lang w:bidi="fa-IR"/>
        </w:rPr>
        <w:t xml:space="preserve"> : « قوله : خيط عنقي ، بالخاء المعجمة والياء المثنّاة ، قال الفيروز آباديّ : الخيط من الرقبة : نخاعها. انتهى. وربّما يقرأ بالباء الموحدّة ، قال الفيروز آبادي : خبطه يخبطه : ضربه شديداً ، والقوم بسيفه : جلدهم. انتهى. والأوّل هو الموافق للنسخ ، وهو أظهر ». وراجع : </w:t>
      </w:r>
      <w:r w:rsidRPr="00877682">
        <w:rPr>
          <w:rStyle w:val="libFootnoteBoldChar"/>
          <w:rtl/>
        </w:rPr>
        <w:t>النهاية</w:t>
      </w:r>
      <w:r>
        <w:rPr>
          <w:rtl/>
          <w:lang w:bidi="fa-IR"/>
        </w:rPr>
        <w:t xml:space="preserve"> ، ج 2 ، ص 7 ( خبط ) ؛ </w:t>
      </w:r>
      <w:r w:rsidRPr="008A57EB">
        <w:rPr>
          <w:rStyle w:val="libFootnoteBoldChar"/>
          <w:rtl/>
        </w:rPr>
        <w:t>القاموس المحيط</w:t>
      </w:r>
      <w:r>
        <w:rPr>
          <w:rtl/>
          <w:lang w:bidi="fa-IR"/>
        </w:rPr>
        <w:t xml:space="preserve"> ، ج 1 ، ص 900 ( خيط ).</w:t>
      </w:r>
    </w:p>
    <w:p w:rsidR="00744A1C" w:rsidRDefault="00D10E3C" w:rsidP="00D10E3C">
      <w:pPr>
        <w:pStyle w:val="libFootnote0"/>
        <w:rPr>
          <w:lang w:bidi="fa-IR"/>
        </w:rPr>
      </w:pPr>
      <w:r>
        <w:rPr>
          <w:rtl/>
          <w:lang w:bidi="fa-IR"/>
        </w:rPr>
        <w:t>(1).</w:t>
      </w:r>
      <w:r w:rsidR="00744A1C">
        <w:rPr>
          <w:rtl/>
          <w:lang w:bidi="fa-IR"/>
        </w:rPr>
        <w:t xml:space="preserve"> في « ى ، بح ، بس ، جد » </w:t>
      </w:r>
      <w:r w:rsidR="00744A1C" w:rsidRPr="009876E1">
        <w:rPr>
          <w:rtl/>
        </w:rPr>
        <w:t>والبحار والتهذيب :</w:t>
      </w:r>
      <w:r w:rsidR="00744A1C">
        <w:rPr>
          <w:rtl/>
          <w:lang w:bidi="fa-IR"/>
        </w:rPr>
        <w:t xml:space="preserve"> - « لي ».</w:t>
      </w:r>
    </w:p>
    <w:tbl>
      <w:tblPr>
        <w:tblStyle w:val="TableGrid"/>
        <w:bidiVisual/>
        <w:tblW w:w="0" w:type="auto"/>
        <w:tblLook w:val="04A0" w:firstRow="1" w:lastRow="0" w:firstColumn="1" w:lastColumn="0" w:noHBand="0" w:noVBand="1"/>
      </w:tblPr>
      <w:tblGrid>
        <w:gridCol w:w="4006"/>
        <w:gridCol w:w="4006"/>
      </w:tblGrid>
      <w:tr w:rsidR="009876E1" w:rsidTr="009876E1">
        <w:tc>
          <w:tcPr>
            <w:tcW w:w="4006" w:type="dxa"/>
          </w:tcPr>
          <w:p w:rsidR="009876E1" w:rsidRDefault="009876E1" w:rsidP="00E378DD">
            <w:pPr>
              <w:pStyle w:val="libFootnote0"/>
              <w:rPr>
                <w:rtl/>
                <w:lang w:bidi="fa-IR"/>
              </w:rPr>
            </w:pPr>
            <w:r>
              <w:rPr>
                <w:rtl/>
                <w:lang w:bidi="fa-IR"/>
              </w:rPr>
              <w:t xml:space="preserve">(2). في « بف </w:t>
            </w:r>
            <w:r w:rsidRPr="009876E1">
              <w:rPr>
                <w:rtl/>
              </w:rPr>
              <w:t>» والتهذيب :</w:t>
            </w:r>
            <w:r>
              <w:rPr>
                <w:rtl/>
                <w:lang w:bidi="fa-IR"/>
              </w:rPr>
              <w:t xml:space="preserve"> - « إنّك ».</w:t>
            </w:r>
          </w:p>
        </w:tc>
        <w:tc>
          <w:tcPr>
            <w:tcW w:w="4006" w:type="dxa"/>
          </w:tcPr>
          <w:p w:rsidR="009876E1" w:rsidRDefault="009876E1" w:rsidP="00E378DD">
            <w:pPr>
              <w:pStyle w:val="libFootnote0"/>
              <w:rPr>
                <w:rtl/>
                <w:lang w:bidi="fa-IR"/>
              </w:rPr>
            </w:pPr>
            <w:r>
              <w:rPr>
                <w:rtl/>
                <w:lang w:bidi="fa-IR"/>
              </w:rPr>
              <w:t xml:space="preserve">(3). في « ى » </w:t>
            </w:r>
            <w:r w:rsidRPr="009876E1">
              <w:rPr>
                <w:rtl/>
              </w:rPr>
              <w:t>والتهذيب :</w:t>
            </w:r>
            <w:r>
              <w:rPr>
                <w:rtl/>
                <w:lang w:bidi="fa-IR"/>
              </w:rPr>
              <w:t xml:space="preserve"> « عمل السلطان ».</w:t>
            </w:r>
          </w:p>
        </w:tc>
      </w:tr>
    </w:tbl>
    <w:p w:rsidR="00744A1C" w:rsidRDefault="00E378DD" w:rsidP="00E378DD">
      <w:pPr>
        <w:pStyle w:val="libFootnote0"/>
        <w:rPr>
          <w:lang w:bidi="fa-IR"/>
        </w:rPr>
      </w:pPr>
      <w:r>
        <w:rPr>
          <w:rtl/>
          <w:lang w:bidi="fa-IR"/>
        </w:rPr>
        <w:t>(4).</w:t>
      </w:r>
      <w:r w:rsidR="00744A1C">
        <w:rPr>
          <w:rtl/>
          <w:lang w:bidi="fa-IR"/>
        </w:rPr>
        <w:t xml:space="preserve"> في « ى ، بح ، بخ ، بس ، بف ، جد ، جن » </w:t>
      </w:r>
      <w:r w:rsidR="00744A1C" w:rsidRPr="007929A7">
        <w:rPr>
          <w:rtl/>
        </w:rPr>
        <w:t>والوافي : «</w:t>
      </w:r>
      <w:r w:rsidR="00744A1C">
        <w:rPr>
          <w:rtl/>
          <w:lang w:bidi="fa-IR"/>
        </w:rPr>
        <w:t xml:space="preserve"> للترفّض ».</w:t>
      </w:r>
    </w:p>
    <w:tbl>
      <w:tblPr>
        <w:tblStyle w:val="TableGrid"/>
        <w:bidiVisual/>
        <w:tblW w:w="0" w:type="auto"/>
        <w:tblLook w:val="04A0" w:firstRow="1" w:lastRow="0" w:firstColumn="1" w:lastColumn="0" w:noHBand="0" w:noVBand="1"/>
      </w:tblPr>
      <w:tblGrid>
        <w:gridCol w:w="4006"/>
        <w:gridCol w:w="4006"/>
      </w:tblGrid>
      <w:tr w:rsidR="007929A7" w:rsidTr="007929A7">
        <w:tc>
          <w:tcPr>
            <w:tcW w:w="4006" w:type="dxa"/>
          </w:tcPr>
          <w:p w:rsidR="007929A7" w:rsidRDefault="007929A7" w:rsidP="00E378DD">
            <w:pPr>
              <w:pStyle w:val="libFootnote0"/>
              <w:rPr>
                <w:rtl/>
                <w:lang w:bidi="fa-IR"/>
              </w:rPr>
            </w:pPr>
            <w:r>
              <w:rPr>
                <w:rtl/>
                <w:lang w:bidi="fa-IR"/>
              </w:rPr>
              <w:t xml:space="preserve">(5). في « ط » </w:t>
            </w:r>
            <w:r w:rsidRPr="007929A7">
              <w:rPr>
                <w:rtl/>
              </w:rPr>
              <w:t>والتهذيب : «</w:t>
            </w:r>
            <w:r>
              <w:rPr>
                <w:rtl/>
                <w:lang w:bidi="fa-IR"/>
              </w:rPr>
              <w:t xml:space="preserve"> إليه ».</w:t>
            </w:r>
          </w:p>
        </w:tc>
        <w:tc>
          <w:tcPr>
            <w:tcW w:w="4006" w:type="dxa"/>
          </w:tcPr>
          <w:p w:rsidR="007929A7" w:rsidRDefault="007929A7" w:rsidP="00E378DD">
            <w:pPr>
              <w:pStyle w:val="libFootnote0"/>
              <w:rPr>
                <w:rtl/>
                <w:lang w:bidi="fa-IR"/>
              </w:rPr>
            </w:pPr>
            <w:r>
              <w:rPr>
                <w:rtl/>
                <w:lang w:bidi="fa-IR"/>
              </w:rPr>
              <w:t xml:space="preserve">(6). في </w:t>
            </w:r>
            <w:r w:rsidRPr="007929A7">
              <w:rPr>
                <w:rtl/>
              </w:rPr>
              <w:t>الوسائل والتهذيب</w:t>
            </w:r>
            <w:r>
              <w:rPr>
                <w:rtl/>
                <w:lang w:bidi="fa-IR"/>
              </w:rPr>
              <w:t xml:space="preserve"> : - « قد ».</w:t>
            </w:r>
          </w:p>
        </w:tc>
      </w:tr>
      <w:tr w:rsidR="007929A7" w:rsidTr="007929A7">
        <w:tc>
          <w:tcPr>
            <w:tcW w:w="4006" w:type="dxa"/>
          </w:tcPr>
          <w:p w:rsidR="007929A7" w:rsidRDefault="00CD3B4B" w:rsidP="00E378DD">
            <w:pPr>
              <w:pStyle w:val="libFootnote0"/>
              <w:rPr>
                <w:rtl/>
                <w:lang w:bidi="fa-IR"/>
              </w:rPr>
            </w:pPr>
            <w:r>
              <w:rPr>
                <w:rtl/>
                <w:lang w:bidi="fa-IR"/>
              </w:rPr>
              <w:t>(7). في « ط ، بح ، بخ ، بف » : « كتبك ».</w:t>
            </w:r>
          </w:p>
        </w:tc>
        <w:tc>
          <w:tcPr>
            <w:tcW w:w="4006" w:type="dxa"/>
          </w:tcPr>
          <w:p w:rsidR="007929A7" w:rsidRDefault="00CD3B4B" w:rsidP="00E378DD">
            <w:pPr>
              <w:pStyle w:val="libFootnote0"/>
              <w:rPr>
                <w:rtl/>
                <w:lang w:bidi="fa-IR"/>
              </w:rPr>
            </w:pPr>
            <w:r>
              <w:rPr>
                <w:rtl/>
                <w:lang w:bidi="fa-IR"/>
              </w:rPr>
              <w:t>(8). في حاشية « جت » : « أمرك ».</w:t>
            </w:r>
          </w:p>
        </w:tc>
      </w:tr>
      <w:tr w:rsidR="007929A7" w:rsidTr="007929A7">
        <w:tc>
          <w:tcPr>
            <w:tcW w:w="4006" w:type="dxa"/>
          </w:tcPr>
          <w:p w:rsidR="007929A7" w:rsidRDefault="00CD3B4B" w:rsidP="00E378DD">
            <w:pPr>
              <w:pStyle w:val="libFootnote0"/>
              <w:rPr>
                <w:rtl/>
                <w:lang w:bidi="fa-IR"/>
              </w:rPr>
            </w:pPr>
            <w:r>
              <w:rPr>
                <w:rtl/>
                <w:lang w:bidi="fa-IR"/>
              </w:rPr>
              <w:t xml:space="preserve">(9). في « بح ، بف » </w:t>
            </w:r>
            <w:r w:rsidRPr="00CD3B4B">
              <w:rPr>
                <w:rtl/>
              </w:rPr>
              <w:t>والبحار</w:t>
            </w:r>
            <w:r>
              <w:rPr>
                <w:rtl/>
                <w:lang w:bidi="fa-IR"/>
              </w:rPr>
              <w:t xml:space="preserve"> : « يصير ».</w:t>
            </w:r>
          </w:p>
        </w:tc>
        <w:tc>
          <w:tcPr>
            <w:tcW w:w="4006" w:type="dxa"/>
          </w:tcPr>
          <w:p w:rsidR="007929A7" w:rsidRDefault="00CD3B4B" w:rsidP="00E378DD">
            <w:pPr>
              <w:pStyle w:val="libFootnote0"/>
              <w:rPr>
                <w:rtl/>
                <w:lang w:bidi="fa-IR"/>
              </w:rPr>
            </w:pPr>
            <w:r>
              <w:rPr>
                <w:rtl/>
                <w:lang w:bidi="fa-IR"/>
              </w:rPr>
              <w:t xml:space="preserve">(10). في </w:t>
            </w:r>
            <w:r w:rsidRPr="00CD3B4B">
              <w:rPr>
                <w:rtl/>
              </w:rPr>
              <w:t>التهذيب</w:t>
            </w:r>
            <w:r>
              <w:rPr>
                <w:rtl/>
                <w:lang w:bidi="fa-IR"/>
              </w:rPr>
              <w:t xml:space="preserve"> : + « من ».</w:t>
            </w:r>
          </w:p>
        </w:tc>
      </w:tr>
    </w:tbl>
    <w:p w:rsidR="00744A1C" w:rsidRDefault="00E378DD" w:rsidP="00E378DD">
      <w:pPr>
        <w:pStyle w:val="libFootnote0"/>
        <w:rPr>
          <w:lang w:bidi="fa-IR"/>
        </w:rPr>
      </w:pPr>
      <w:r>
        <w:rPr>
          <w:rtl/>
          <w:lang w:bidi="fa-IR"/>
        </w:rPr>
        <w:t>(11).</w:t>
      </w:r>
      <w:r w:rsidR="00744A1C">
        <w:rPr>
          <w:rtl/>
          <w:lang w:bidi="fa-IR"/>
        </w:rPr>
        <w:t xml:space="preserve"> في</w:t>
      </w:r>
      <w:r w:rsidR="00744A1C" w:rsidRPr="00CD3B4B">
        <w:rPr>
          <w:rtl/>
        </w:rPr>
        <w:t xml:space="preserve"> التهذيب</w:t>
      </w:r>
      <w:r w:rsidR="00744A1C">
        <w:rPr>
          <w:rtl/>
          <w:lang w:bidi="fa-IR"/>
        </w:rPr>
        <w:t xml:space="preserve"> : « وإذا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335 ، ح 928 ، معلّقاً عن الكليني </w:t>
      </w:r>
      <w:r w:rsidR="004D3C36">
        <w:rPr>
          <w:rFonts w:hint="cs"/>
          <w:rtl/>
          <w:lang w:bidi="fa-IR"/>
        </w:rPr>
        <w:t>.</w:t>
      </w:r>
      <w:r w:rsidR="00744A1C" w:rsidRPr="00C24F9C">
        <w:rPr>
          <w:rStyle w:val="libFootnoteBoldChar"/>
          <w:rtl/>
        </w:rPr>
        <w:t>الوافي</w:t>
      </w:r>
      <w:r w:rsidR="00744A1C">
        <w:rPr>
          <w:rtl/>
          <w:lang w:bidi="fa-IR"/>
        </w:rPr>
        <w:t xml:space="preserve"> ، ج 17 ، ص 167 ، ح 17057 ؛ </w:t>
      </w:r>
      <w:r w:rsidR="00744A1C" w:rsidRPr="00C24F9C">
        <w:rPr>
          <w:rStyle w:val="libFootnoteBoldChar"/>
          <w:rtl/>
        </w:rPr>
        <w:t>الوسائل</w:t>
      </w:r>
      <w:r w:rsidR="00744A1C">
        <w:rPr>
          <w:rtl/>
          <w:lang w:bidi="fa-IR"/>
        </w:rPr>
        <w:t xml:space="preserve"> ، ج 17 ، ص 201 ، ح 22344 ؛ </w:t>
      </w:r>
      <w:r w:rsidR="00744A1C" w:rsidRPr="0061079A">
        <w:rPr>
          <w:rStyle w:val="libFootnoteBoldChar"/>
          <w:rtl/>
        </w:rPr>
        <w:t>البحار</w:t>
      </w:r>
      <w:r w:rsidR="00744A1C">
        <w:rPr>
          <w:rtl/>
          <w:lang w:bidi="fa-IR"/>
        </w:rPr>
        <w:t xml:space="preserve"> ، ج 49 ، ص 277 ، ح 28.</w:t>
      </w:r>
    </w:p>
    <w:p w:rsidR="00744A1C" w:rsidRDefault="00E378DD" w:rsidP="00E378DD">
      <w:pPr>
        <w:pStyle w:val="libFootnote0"/>
        <w:rPr>
          <w:lang w:bidi="fa-IR"/>
        </w:rPr>
      </w:pPr>
      <w:r>
        <w:rPr>
          <w:rtl/>
          <w:lang w:bidi="fa-IR"/>
        </w:rPr>
        <w:t>(13).</w:t>
      </w:r>
      <w:r w:rsidR="00744A1C">
        <w:rPr>
          <w:rtl/>
          <w:lang w:bidi="fa-IR"/>
        </w:rPr>
        <w:t xml:space="preserve"> في </w:t>
      </w:r>
      <w:r w:rsidR="00744A1C" w:rsidRPr="004D3C36">
        <w:rPr>
          <w:rtl/>
        </w:rPr>
        <w:t>الوسائل :</w:t>
      </w:r>
      <w:r w:rsidR="00744A1C">
        <w:rPr>
          <w:rtl/>
          <w:lang w:bidi="fa-IR"/>
        </w:rPr>
        <w:t xml:space="preserve"> « الحسن ».</w:t>
      </w:r>
    </w:p>
    <w:p w:rsidR="00144FA6" w:rsidRDefault="00E378DD" w:rsidP="00E378DD">
      <w:pPr>
        <w:pStyle w:val="libFootnote0"/>
        <w:rPr>
          <w:rtl/>
          <w:lang w:bidi="fa-IR"/>
        </w:rPr>
      </w:pPr>
      <w:r>
        <w:rPr>
          <w:rtl/>
          <w:lang w:bidi="fa-IR"/>
        </w:rPr>
        <w:t>(14).</w:t>
      </w:r>
      <w:r w:rsidR="00744A1C">
        <w:rPr>
          <w:rtl/>
          <w:lang w:bidi="fa-IR"/>
        </w:rPr>
        <w:t xml:space="preserve"> في « بخ ، بف » : « عن » بدل « بن ». والخبر رواه الشيخ الطوسي في </w:t>
      </w:r>
      <w:r w:rsidR="00744A1C" w:rsidRPr="00C24F9C">
        <w:rPr>
          <w:rStyle w:val="libFootnoteBoldChar"/>
          <w:rtl/>
        </w:rPr>
        <w:t>التهذيب</w:t>
      </w:r>
      <w:r w:rsidR="00744A1C">
        <w:rPr>
          <w:rtl/>
          <w:lang w:bidi="fa-IR"/>
        </w:rPr>
        <w:t xml:space="preserve"> ، ج 6 ، ص 336 ، ح 929 ، بإسناده</w:t>
      </w:r>
      <w:r w:rsidR="004D3C36">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سَمِعْتُهُ يَقُ</w:t>
      </w:r>
      <w:r w:rsidR="00137FA0">
        <w:rPr>
          <w:rtl/>
          <w:lang w:bidi="fa-IR"/>
        </w:rPr>
        <w:t>ولُ : « مَا مِنْ جَبَّارٍ إِل</w:t>
      </w:r>
      <w:r w:rsidR="00137FA0">
        <w:rPr>
          <w:rFonts w:hint="cs"/>
          <w:rtl/>
          <w:lang w:bidi="fa-IR"/>
        </w:rPr>
        <w:t>َّ</w:t>
      </w:r>
      <w:r w:rsidR="00137FA0">
        <w:rPr>
          <w:rtl/>
          <w:lang w:bidi="fa-IR"/>
        </w:rPr>
        <w:t>ا</w:t>
      </w:r>
      <w:r>
        <w:rPr>
          <w:rtl/>
          <w:lang w:bidi="fa-IR"/>
        </w:rPr>
        <w:t xml:space="preserve"> وَمَعَهُ مُؤْمِنٌ يَدْفَعُ اللهُ بِهِ عَنِ الْمُؤْمِنِينَ ، وَهُوَ أَقَلُّهُمْ حَظّاً فِي الْآخِرَةِ » يَعْنِي أَقَلَّ الْمُؤْمِنِينَ حَظّاً ؛ لِصُحْبَةِ </w:t>
      </w:r>
      <w:r w:rsidRPr="00D10E3C">
        <w:rPr>
          <w:rStyle w:val="libFootnotenumChar"/>
          <w:rtl/>
        </w:rPr>
        <w:t>(1)</w:t>
      </w:r>
      <w:r>
        <w:rPr>
          <w:rtl/>
          <w:lang w:bidi="fa-IR"/>
        </w:rPr>
        <w:t xml:space="preserve"> الْجَبَّارِ. </w:t>
      </w:r>
      <w:r w:rsidRPr="00D10E3C">
        <w:rPr>
          <w:rStyle w:val="libFootnotenumChar"/>
          <w:rtl/>
        </w:rPr>
        <w:t>(2)</w:t>
      </w:r>
    </w:p>
    <w:p w:rsidR="00144FA6" w:rsidRDefault="00744A1C" w:rsidP="00744A1C">
      <w:pPr>
        <w:pStyle w:val="libNormal"/>
        <w:rPr>
          <w:rtl/>
          <w:lang w:bidi="fa-IR"/>
        </w:rPr>
      </w:pPr>
      <w:r>
        <w:rPr>
          <w:rtl/>
          <w:lang w:bidi="fa-IR"/>
        </w:rPr>
        <w:t xml:space="preserve">8527 / 6. مُحَمَّدُ بْنُ يَحْيى ، عَنْ مُحَمَّدِ </w:t>
      </w:r>
      <w:r w:rsidRPr="00D10E3C">
        <w:rPr>
          <w:rStyle w:val="libFootnotenumChar"/>
          <w:rtl/>
        </w:rPr>
        <w:t>(3)</w:t>
      </w:r>
      <w:r>
        <w:rPr>
          <w:rtl/>
          <w:lang w:bidi="fa-IR"/>
        </w:rPr>
        <w:t xml:space="preserve"> بْنِ أَحْمَدَ ، عَنِ السَّيَّارِيِّ ، عَنْ أَحْمَدَ بْنِ زَكَرِيَّا الصَّيْدَلَانِيِّ </w:t>
      </w:r>
      <w:r w:rsidRPr="00D10E3C">
        <w:rPr>
          <w:rStyle w:val="libFootnotenumChar"/>
          <w:rtl/>
        </w:rPr>
        <w:t>(4)</w:t>
      </w:r>
      <w:r>
        <w:rPr>
          <w:rtl/>
          <w:lang w:bidi="fa-IR"/>
        </w:rPr>
        <w:t xml:space="preserve"> ، عَنْ رَجُلٍ مِنْ بَنِي حَنِيفَةَ </w:t>
      </w:r>
      <w:r w:rsidRPr="00D10E3C">
        <w:rPr>
          <w:rStyle w:val="libFootnotenumChar"/>
          <w:rtl/>
        </w:rPr>
        <w:t>(5)</w:t>
      </w:r>
      <w:r>
        <w:rPr>
          <w:rtl/>
          <w:lang w:bidi="fa-IR"/>
        </w:rPr>
        <w:t xml:space="preserve"> مِنْ أَهْلِ بُسْتَ </w:t>
      </w:r>
      <w:r w:rsidRPr="00D10E3C">
        <w:rPr>
          <w:rStyle w:val="libFootnotenumChar"/>
          <w:rtl/>
        </w:rPr>
        <w:t>(6)</w:t>
      </w:r>
      <w:r>
        <w:rPr>
          <w:rtl/>
          <w:lang w:bidi="fa-IR"/>
        </w:rPr>
        <w:t xml:space="preserve"> وَسِجِسْتَانَ </w:t>
      </w:r>
      <w:r w:rsidRPr="00D10E3C">
        <w:rPr>
          <w:rStyle w:val="libFootnotenumChar"/>
          <w:rtl/>
        </w:rPr>
        <w:t>(7)</w:t>
      </w:r>
      <w:r>
        <w:rPr>
          <w:rtl/>
          <w:lang w:bidi="fa-IR"/>
        </w:rPr>
        <w:t xml:space="preserve"> ، قَالَ :</w:t>
      </w:r>
    </w:p>
    <w:p w:rsidR="00744A1C" w:rsidRDefault="00744A1C" w:rsidP="00D10E3C">
      <w:pPr>
        <w:pStyle w:val="libLine"/>
        <w:rPr>
          <w:lang w:bidi="fa-IR"/>
        </w:rPr>
      </w:pPr>
      <w:r>
        <w:rPr>
          <w:rtl/>
          <w:lang w:bidi="fa-IR"/>
        </w:rPr>
        <w:t>____________________</w:t>
      </w:r>
    </w:p>
    <w:p w:rsidR="00744A1C" w:rsidRDefault="0013752C" w:rsidP="00D10E3C">
      <w:pPr>
        <w:pStyle w:val="libFootnote0"/>
        <w:rPr>
          <w:lang w:bidi="fa-IR"/>
        </w:rPr>
      </w:pPr>
      <w:r>
        <w:rPr>
          <w:rFonts w:hint="cs"/>
          <w:rtl/>
          <w:lang w:bidi="fa-IR"/>
        </w:rPr>
        <w:t xml:space="preserve">= </w:t>
      </w:r>
      <w:r w:rsidR="00744A1C">
        <w:rPr>
          <w:rtl/>
          <w:lang w:bidi="fa-IR"/>
        </w:rPr>
        <w:t xml:space="preserve">عن محمّد بن أحمد ، عن أحمد بن الحسين ، عن أبيه ، عن عثمان بن عيسى ، عن مهران بن محمّد ، عن أبي بصير. والمذكور في بعض نسخه هو مهران بن محمّد بن أبي نصر. وهو الصواب ومهران بن محمّد ، هو مهران بن محمّد بن أبي نصر السكوني والد إسماعيل بن مهران وقد وردت في </w:t>
      </w:r>
      <w:r w:rsidR="00744A1C" w:rsidRPr="0061079A">
        <w:rPr>
          <w:rStyle w:val="libFootnoteBoldChar"/>
          <w:rtl/>
        </w:rPr>
        <w:t>الكافي</w:t>
      </w:r>
      <w:r w:rsidR="00744A1C">
        <w:rPr>
          <w:rtl/>
          <w:lang w:bidi="fa-IR"/>
        </w:rPr>
        <w:t xml:space="preserve"> ، ح 4673 و 4675 ؛ و</w:t>
      </w:r>
      <w:r w:rsidR="00744A1C" w:rsidRPr="00C24F9C">
        <w:rPr>
          <w:rStyle w:val="libFootnoteBoldChar"/>
          <w:rtl/>
        </w:rPr>
        <w:t>الفقيه</w:t>
      </w:r>
      <w:r w:rsidR="00744A1C">
        <w:rPr>
          <w:rtl/>
          <w:lang w:bidi="fa-IR"/>
        </w:rPr>
        <w:t xml:space="preserve"> ، ج 4 ، ص 244 ، ح 5578 رواية عثمان بن عيسى عن مهران بن محمّد عن أبي عبدالله </w:t>
      </w:r>
      <w:r w:rsidR="0061079A" w:rsidRPr="0061079A">
        <w:rPr>
          <w:rStyle w:val="libFootnoteAlaemChar"/>
          <w:rtl/>
        </w:rPr>
        <w:t>عليه‌السلام</w:t>
      </w:r>
      <w:r w:rsidR="00744A1C">
        <w:rPr>
          <w:rtl/>
          <w:lang w:bidi="fa-IR"/>
        </w:rPr>
        <w:t xml:space="preserve"> . راجع : </w:t>
      </w:r>
      <w:r w:rsidR="00744A1C" w:rsidRPr="003A7143">
        <w:rPr>
          <w:rStyle w:val="libFootnoteBoldChar"/>
          <w:rtl/>
        </w:rPr>
        <w:t>رجال النجاشي</w:t>
      </w:r>
      <w:r w:rsidR="00744A1C">
        <w:rPr>
          <w:rtl/>
          <w:lang w:bidi="fa-IR"/>
        </w:rPr>
        <w:t xml:space="preserve"> ، ص 423 ، الرقم 1135 ؛ </w:t>
      </w:r>
      <w:r w:rsidR="00744A1C" w:rsidRPr="003A7143">
        <w:rPr>
          <w:rStyle w:val="libFootnoteBoldChar"/>
          <w:rtl/>
        </w:rPr>
        <w:t>الفهرست للطوسي</w:t>
      </w:r>
      <w:r w:rsidR="00744A1C">
        <w:rPr>
          <w:rtl/>
          <w:lang w:bidi="fa-IR"/>
        </w:rPr>
        <w:t xml:space="preserve"> ، ص 27 ، الرقم 32.</w:t>
      </w:r>
    </w:p>
    <w:p w:rsidR="00744A1C" w:rsidRDefault="00D10E3C" w:rsidP="00D10E3C">
      <w:pPr>
        <w:pStyle w:val="libFootnote0"/>
        <w:rPr>
          <w:lang w:bidi="fa-IR"/>
        </w:rPr>
      </w:pPr>
      <w:r>
        <w:rPr>
          <w:rtl/>
          <w:lang w:bidi="fa-IR"/>
        </w:rPr>
        <w:t>(1).</w:t>
      </w:r>
      <w:r w:rsidR="00744A1C">
        <w:rPr>
          <w:rtl/>
          <w:lang w:bidi="fa-IR"/>
        </w:rPr>
        <w:t xml:space="preserve"> في « ط ، بح ، بخ ، بس ، بف ، جد ، جن » : « لصحبته ». وفي </w:t>
      </w:r>
      <w:r w:rsidR="00744A1C" w:rsidRPr="00C24F9C">
        <w:rPr>
          <w:rStyle w:val="libFootnoteBoldChar"/>
          <w:rtl/>
        </w:rPr>
        <w:t>الوسائل</w:t>
      </w:r>
      <w:r w:rsidR="00744A1C">
        <w:rPr>
          <w:rtl/>
          <w:lang w:bidi="fa-IR"/>
        </w:rPr>
        <w:t xml:space="preserve"> : « بصحبة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336 ، ح 929 ، معلّقاً عن محمّد بن أحمد ، عن أحمد بن الحسين ، عن أبيه ، عن عثمان بن عيسى ، عن مهران بن محمّد ، عن أبي بصير ، عن أبي عبد الله </w:t>
      </w:r>
      <w:r w:rsidR="0061079A" w:rsidRPr="0061079A">
        <w:rPr>
          <w:rStyle w:val="libFootnoteAlaemChar"/>
          <w:rtl/>
        </w:rPr>
        <w:t>عليه‌السلام</w:t>
      </w:r>
      <w:r w:rsidR="00744A1C">
        <w:rPr>
          <w:rtl/>
          <w:lang w:bidi="fa-IR"/>
        </w:rPr>
        <w:t xml:space="preserve"> . </w:t>
      </w:r>
      <w:r w:rsidR="00744A1C" w:rsidRPr="00211914">
        <w:rPr>
          <w:rStyle w:val="libFootnoteBoldChar"/>
          <w:rtl/>
        </w:rPr>
        <w:t>الاختصاص</w:t>
      </w:r>
      <w:r w:rsidR="00744A1C">
        <w:rPr>
          <w:rtl/>
          <w:lang w:bidi="fa-IR"/>
        </w:rPr>
        <w:t xml:space="preserve"> ، ص 261 ، بسند آخر ، إلى قوله : « يدفع الله به عن المؤمنين » مع اختلاف </w:t>
      </w:r>
      <w:r w:rsidR="00234D63">
        <w:rPr>
          <w:rFonts w:hint="cs"/>
          <w:rtl/>
          <w:lang w:bidi="fa-IR"/>
        </w:rPr>
        <w:t>.</w:t>
      </w:r>
      <w:r w:rsidR="00744A1C" w:rsidRPr="00C24F9C">
        <w:rPr>
          <w:rStyle w:val="libFootnoteBoldChar"/>
          <w:rtl/>
        </w:rPr>
        <w:t>الوافي</w:t>
      </w:r>
      <w:r w:rsidR="00744A1C">
        <w:rPr>
          <w:rtl/>
          <w:lang w:bidi="fa-IR"/>
        </w:rPr>
        <w:t xml:space="preserve"> ، ج 17 ، ص 167 ، ح 17058 ؛ </w:t>
      </w:r>
      <w:r w:rsidR="00744A1C" w:rsidRPr="00C24F9C">
        <w:rPr>
          <w:rStyle w:val="libFootnoteBoldChar"/>
          <w:rtl/>
        </w:rPr>
        <w:t>الوسائل</w:t>
      </w:r>
      <w:r w:rsidR="00744A1C">
        <w:rPr>
          <w:rtl/>
          <w:lang w:bidi="fa-IR"/>
        </w:rPr>
        <w:t xml:space="preserve"> ، ج 17 ، ص 186 ، ح 22311.</w:t>
      </w:r>
    </w:p>
    <w:p w:rsidR="00744A1C" w:rsidRDefault="00E378DD" w:rsidP="00E378DD">
      <w:pPr>
        <w:pStyle w:val="libFootnote0"/>
        <w:rPr>
          <w:lang w:bidi="fa-IR"/>
        </w:rPr>
      </w:pPr>
      <w:r>
        <w:rPr>
          <w:rtl/>
          <w:lang w:bidi="fa-IR"/>
        </w:rPr>
        <w:t>(3).</w:t>
      </w:r>
      <w:r w:rsidR="00744A1C">
        <w:rPr>
          <w:rtl/>
          <w:lang w:bidi="fa-IR"/>
        </w:rPr>
        <w:t xml:space="preserve"> في </w:t>
      </w:r>
      <w:r w:rsidR="00744A1C" w:rsidRPr="00234D63">
        <w:rPr>
          <w:rtl/>
        </w:rPr>
        <w:t>البحار</w:t>
      </w:r>
      <w:r w:rsidR="00744A1C">
        <w:rPr>
          <w:rtl/>
          <w:lang w:bidi="fa-IR"/>
        </w:rPr>
        <w:t xml:space="preserve"> ، ج 46 و 50 : « ومحمّد » بدل « عن محمّد ». وهو سهو ؛ فإنّه لم يثبت رواية الكليني عن محمّد بن‌أحمد - وهو محمّد بن أحمد بن يحيى بن عمران الأشعري - مباشرة. فكرّرت في الأسناد رواية محمّد بن يحيى ، عن محمّد بن أحمد ، عن [ أحمد بن محمّد ] السيّاري. راجع : </w:t>
      </w:r>
      <w:r w:rsidR="00744A1C" w:rsidRPr="0061079A">
        <w:rPr>
          <w:rStyle w:val="libFootnoteBoldChar"/>
          <w:rtl/>
        </w:rPr>
        <w:t>معجم رجال الحديث</w:t>
      </w:r>
      <w:r w:rsidR="00744A1C">
        <w:rPr>
          <w:rtl/>
          <w:lang w:bidi="fa-IR"/>
        </w:rPr>
        <w:t xml:space="preserve"> ، ج 14 ، ص 439 ؛ وص 447.</w:t>
      </w:r>
    </w:p>
    <w:p w:rsidR="00744A1C" w:rsidRDefault="00E378DD" w:rsidP="00234D63">
      <w:pPr>
        <w:pStyle w:val="libFootnote0"/>
        <w:rPr>
          <w:lang w:bidi="fa-IR"/>
        </w:rPr>
      </w:pPr>
      <w:r>
        <w:rPr>
          <w:rtl/>
          <w:lang w:bidi="fa-IR"/>
        </w:rPr>
        <w:t>(4).</w:t>
      </w:r>
      <w:r w:rsidR="00744A1C">
        <w:rPr>
          <w:rtl/>
          <w:lang w:bidi="fa-IR"/>
        </w:rPr>
        <w:t xml:space="preserve"> في « ى ، جت ، جد » وحاشية « جن » : « الصيدناني ». وقد تقدّم ، ذيل ح 8393 ، أنّ الصيدلاني والصيدناني بمعنى واحدٍ.</w:t>
      </w:r>
      <w:r w:rsidR="00234D63">
        <w:rPr>
          <w:rFonts w:hint="cs"/>
          <w:rtl/>
          <w:lang w:bidi="fa-IR"/>
        </w:rPr>
        <w:t xml:space="preserve">                               </w:t>
      </w:r>
      <w:r>
        <w:rPr>
          <w:rtl/>
          <w:lang w:bidi="fa-IR"/>
        </w:rPr>
        <w:t>(5).</w:t>
      </w:r>
      <w:r w:rsidR="00744A1C">
        <w:rPr>
          <w:rtl/>
          <w:lang w:bidi="fa-IR"/>
        </w:rPr>
        <w:t xml:space="preserve"> في </w:t>
      </w:r>
      <w:r w:rsidR="00744A1C" w:rsidRPr="00234D63">
        <w:rPr>
          <w:rtl/>
        </w:rPr>
        <w:t>الوافي</w:t>
      </w:r>
      <w:r w:rsidR="00744A1C">
        <w:rPr>
          <w:rtl/>
          <w:lang w:bidi="fa-IR"/>
        </w:rPr>
        <w:t xml:space="preserve"> : « حليفة ».</w:t>
      </w:r>
    </w:p>
    <w:p w:rsidR="00744A1C" w:rsidRDefault="00E378DD" w:rsidP="00E378DD">
      <w:pPr>
        <w:pStyle w:val="libFootnote0"/>
        <w:rPr>
          <w:lang w:bidi="fa-IR"/>
        </w:rPr>
      </w:pPr>
      <w:r>
        <w:rPr>
          <w:rtl/>
          <w:lang w:bidi="fa-IR"/>
        </w:rPr>
        <w:t>(6).</w:t>
      </w:r>
      <w:r w:rsidR="00744A1C">
        <w:rPr>
          <w:rtl/>
          <w:lang w:bidi="fa-IR"/>
        </w:rPr>
        <w:t xml:space="preserve"> في </w:t>
      </w:r>
      <w:r w:rsidR="00744A1C" w:rsidRPr="00234D63">
        <w:rPr>
          <w:rStyle w:val="libFootnoteBoldChar"/>
          <w:rtl/>
        </w:rPr>
        <w:t>معجم البلدان</w:t>
      </w:r>
      <w:r w:rsidR="00744A1C">
        <w:rPr>
          <w:rtl/>
          <w:lang w:bidi="fa-IR"/>
        </w:rPr>
        <w:t xml:space="preserve"> ، ج 1 ، ص 414 : « بُسْت - بالضمّ - : مدينة بين سجستان وغزنين وهراة ، وأظنّها من أعمال كابل ؛ فإنّ قياس ما نجده من أخبارها في الأخبار والفتوح كذا يقتضي ، وهي من البلاد الحارّ المزاج ، وهي كبيرة ، ويقال لناحيتها اليوم : گرم سير ، معناه النواحي الحارّة المزاج ».</w:t>
      </w:r>
    </w:p>
    <w:p w:rsidR="00744A1C" w:rsidRDefault="00E378DD" w:rsidP="00E378DD">
      <w:pPr>
        <w:pStyle w:val="libFootnote0"/>
        <w:rPr>
          <w:lang w:bidi="fa-IR"/>
        </w:rPr>
      </w:pPr>
      <w:r>
        <w:rPr>
          <w:rtl/>
          <w:lang w:bidi="fa-IR"/>
        </w:rPr>
        <w:t>(7).</w:t>
      </w:r>
      <w:r w:rsidR="00744A1C">
        <w:rPr>
          <w:rtl/>
          <w:lang w:bidi="fa-IR"/>
        </w:rPr>
        <w:t xml:space="preserve"> في معجم البلدان ، ج 3 ، ص 190 : « سجستان ، بكسر أوّله وثانيه ، وسين ا</w:t>
      </w:r>
      <w:r w:rsidR="00234D63">
        <w:rPr>
          <w:rFonts w:hint="cs"/>
          <w:rtl/>
          <w:lang w:bidi="fa-IR"/>
        </w:rPr>
        <w:t>ُ</w:t>
      </w:r>
      <w:r w:rsidR="00744A1C">
        <w:rPr>
          <w:rtl/>
          <w:lang w:bidi="fa-IR"/>
        </w:rPr>
        <w:t>خرى مهملة ، وتاء مثنّاة من فوق ، وآخره نون : وهي ناحية كبيرة و</w:t>
      </w:r>
      <w:r w:rsidR="00234D63">
        <w:rPr>
          <w:rFonts w:hint="cs"/>
          <w:rtl/>
          <w:lang w:bidi="fa-IR"/>
        </w:rPr>
        <w:t xml:space="preserve"> </w:t>
      </w:r>
      <w:r w:rsidR="00744A1C">
        <w:rPr>
          <w:rtl/>
          <w:lang w:bidi="fa-IR"/>
        </w:rPr>
        <w:t>ولاية واسعة ، ذهب بعضهم إلى أنّ سجستان اسم للناحية وأنّ اسم مدينتها زرنج ، وبينها وبين هراة عشرة أيّام ثمانون فرسخاً ، وهي جنوبيّ هراة ، وأرضها رملة سبخة ، والرياح لا تسكن فيها أبداً ولا تزال شديدة تدير رحاهم ، وطحنهم على تلك الرحى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رَافَقْتُ </w:t>
      </w:r>
      <w:r w:rsidRPr="00D10E3C">
        <w:rPr>
          <w:rStyle w:val="libFootnotenumChar"/>
          <w:rtl/>
        </w:rPr>
        <w:t>(1)</w:t>
      </w:r>
      <w:r>
        <w:rPr>
          <w:rtl/>
          <w:lang w:bidi="fa-IR"/>
        </w:rPr>
        <w:t xml:space="preserve"> أَبَا جَعْفَرٍ </w:t>
      </w:r>
      <w:r w:rsidR="0061079A" w:rsidRPr="0061079A">
        <w:rPr>
          <w:rStyle w:val="libAlaemChar"/>
          <w:rtl/>
        </w:rPr>
        <w:t>عليه‌السلام</w:t>
      </w:r>
      <w:r w:rsidR="00D10E3C">
        <w:rPr>
          <w:rtl/>
          <w:lang w:bidi="fa-IR"/>
        </w:rPr>
        <w:t xml:space="preserve"> </w:t>
      </w:r>
      <w:r>
        <w:rPr>
          <w:rtl/>
          <w:lang w:bidi="fa-IR"/>
        </w:rPr>
        <w:t>فِي السَّنَةِ الَّتِي حَجَّ فِيهَا فِي أَوَّلِ خِلَافَةِ الْمُعْتَصِمِ ، فَقُلْتُ لَهُ - وَأَنَا مَعَهُ عَلَى الْمَائِدَةِ ، وَهُنَاكَ جَمَاعَةٌ مِنْ أَوْلِيَاءِ السُّلْطَانِ - : إِنَّ وَالِيَنَا - جُعِل</w:t>
      </w:r>
      <w:r w:rsidR="00234D63">
        <w:rPr>
          <w:rtl/>
          <w:lang w:bidi="fa-IR"/>
        </w:rPr>
        <w:t>ْتُ فِدَاكَ - رَجُلٌ يَتَوَل</w:t>
      </w:r>
      <w:r w:rsidR="007D3E1B">
        <w:rPr>
          <w:rFonts w:hint="cs"/>
          <w:rtl/>
          <w:lang w:bidi="fa-IR"/>
        </w:rPr>
        <w:t>َّ</w:t>
      </w:r>
      <w:r w:rsidR="00234D63">
        <w:rPr>
          <w:rtl/>
          <w:lang w:bidi="fa-IR"/>
        </w:rPr>
        <w:t>ا</w:t>
      </w:r>
      <w:r>
        <w:rPr>
          <w:rtl/>
          <w:lang w:bidi="fa-IR"/>
        </w:rPr>
        <w:t xml:space="preserve">كُمْ أَهْلَ الْبَيْتِ ، وَيُحِبُّكُمْ ، وَعَلَيَّ فِي دِيوَانِهِ خَرَاجٌ </w:t>
      </w:r>
      <w:r w:rsidRPr="00D10E3C">
        <w:rPr>
          <w:rStyle w:val="libFootnotenumChar"/>
          <w:rtl/>
        </w:rPr>
        <w:t>(2)</w:t>
      </w:r>
      <w:r>
        <w:rPr>
          <w:rtl/>
          <w:lang w:bidi="fa-IR"/>
        </w:rPr>
        <w:t xml:space="preserve"> ، فَإِنْ رَأَيْتَ - جَعَلَنِيَ اللهُ فِدَاكَ </w:t>
      </w:r>
      <w:r w:rsidRPr="00D10E3C">
        <w:rPr>
          <w:rStyle w:val="libFootnotenumChar"/>
          <w:rtl/>
        </w:rPr>
        <w:t>(3)</w:t>
      </w:r>
      <w:r>
        <w:rPr>
          <w:rtl/>
          <w:lang w:bidi="fa-IR"/>
        </w:rPr>
        <w:t xml:space="preserve"> - أَنْ تَكْتُبَ </w:t>
      </w:r>
      <w:r w:rsidRPr="00D10E3C">
        <w:rPr>
          <w:rStyle w:val="libFootnotenumChar"/>
          <w:rtl/>
        </w:rPr>
        <w:t>(4)</w:t>
      </w:r>
      <w:r>
        <w:rPr>
          <w:rtl/>
          <w:lang w:bidi="fa-IR"/>
        </w:rPr>
        <w:t xml:space="preserve"> إِلَيْهِ </w:t>
      </w:r>
      <w:r w:rsidRPr="00D10E3C">
        <w:rPr>
          <w:rStyle w:val="libFootnotenumChar"/>
          <w:rtl/>
        </w:rPr>
        <w:t>(5)</w:t>
      </w:r>
      <w:r>
        <w:rPr>
          <w:rtl/>
          <w:lang w:bidi="fa-IR"/>
        </w:rPr>
        <w:t xml:space="preserve"> بِالْإِحْسَانِ إِلَيَّ.</w:t>
      </w:r>
    </w:p>
    <w:p w:rsidR="00744A1C" w:rsidRDefault="00744A1C" w:rsidP="00744A1C">
      <w:pPr>
        <w:pStyle w:val="libNormal"/>
        <w:rPr>
          <w:lang w:bidi="fa-IR"/>
        </w:rPr>
      </w:pPr>
      <w:r>
        <w:rPr>
          <w:rtl/>
          <w:lang w:bidi="fa-IR"/>
        </w:rPr>
        <w:t xml:space="preserve">فَقَالَ لِي </w:t>
      </w:r>
      <w:r w:rsidRPr="00D10E3C">
        <w:rPr>
          <w:rStyle w:val="libFootnotenumChar"/>
          <w:rtl/>
        </w:rPr>
        <w:t>(6)</w:t>
      </w:r>
      <w:r>
        <w:rPr>
          <w:rtl/>
          <w:lang w:bidi="fa-IR"/>
        </w:rPr>
        <w:t xml:space="preserve"> : « لَا أَعْرِفُهُ ».</w:t>
      </w:r>
    </w:p>
    <w:p w:rsidR="00744A1C" w:rsidRDefault="00744A1C" w:rsidP="00744A1C">
      <w:pPr>
        <w:pStyle w:val="libNormal"/>
        <w:rPr>
          <w:lang w:bidi="fa-IR"/>
        </w:rPr>
      </w:pPr>
      <w:r>
        <w:rPr>
          <w:rtl/>
          <w:lang w:bidi="fa-IR"/>
        </w:rPr>
        <w:t xml:space="preserve">فَقُلْتُ </w:t>
      </w:r>
      <w:r w:rsidRPr="00D10E3C">
        <w:rPr>
          <w:rStyle w:val="libFootnotenumChar"/>
          <w:rtl/>
        </w:rPr>
        <w:t>(7)</w:t>
      </w:r>
      <w:r>
        <w:rPr>
          <w:rtl/>
          <w:lang w:bidi="fa-IR"/>
        </w:rPr>
        <w:t xml:space="preserve"> : جُعِلْتُ فِدَاكَ </w:t>
      </w:r>
      <w:r w:rsidRPr="00D10E3C">
        <w:rPr>
          <w:rStyle w:val="libFootnotenumChar"/>
          <w:rtl/>
        </w:rPr>
        <w:t>(8)</w:t>
      </w:r>
      <w:r>
        <w:rPr>
          <w:rtl/>
          <w:lang w:bidi="fa-IR"/>
        </w:rPr>
        <w:t xml:space="preserve"> ، إِنَّهُ - عَلى مَا قُلْتُ - مِنْ مُحِبِّيكُمْ </w:t>
      </w:r>
      <w:r w:rsidRPr="00D10E3C">
        <w:rPr>
          <w:rStyle w:val="libFootnotenumChar"/>
          <w:rtl/>
        </w:rPr>
        <w:t>(9)</w:t>
      </w:r>
      <w:r>
        <w:rPr>
          <w:rtl/>
          <w:lang w:bidi="fa-IR"/>
        </w:rPr>
        <w:t xml:space="preserve"> أَهْلَ الْبَيْتِ ، وَكِتَابُكَ يَنْفَعُنِي عِنْدَهُ.</w:t>
      </w:r>
    </w:p>
    <w:p w:rsidR="00744A1C" w:rsidRDefault="00744A1C" w:rsidP="00744A1C">
      <w:pPr>
        <w:pStyle w:val="libNormal"/>
        <w:rPr>
          <w:lang w:bidi="fa-IR"/>
        </w:rPr>
      </w:pPr>
      <w:r>
        <w:rPr>
          <w:rtl/>
          <w:lang w:bidi="fa-IR"/>
        </w:rPr>
        <w:t xml:space="preserve">فَأَخَذَ الْقِرْطَاسَ ، وَكَتَبَ </w:t>
      </w:r>
      <w:r w:rsidRPr="00D10E3C">
        <w:rPr>
          <w:rStyle w:val="libFootnotenumChar"/>
          <w:rtl/>
        </w:rPr>
        <w:t>(10)</w:t>
      </w:r>
      <w:r>
        <w:rPr>
          <w:rtl/>
          <w:lang w:bidi="fa-IR"/>
        </w:rPr>
        <w:t xml:space="preserve"> : « بِسْمِ اللهِ الرَّحْمنِ الرَّحِيمِ ، أَمَّا بَعْدُ ، فَإِنَّ مُوصِلَ كِتَابِي هذَا ذَكَرَ عَنْكَ مَذْهَباً جَمِيلاً ، وَإِنَّ مَا </w:t>
      </w:r>
      <w:r w:rsidRPr="00D10E3C">
        <w:rPr>
          <w:rStyle w:val="libFootnotenumChar"/>
          <w:rtl/>
        </w:rPr>
        <w:t>(11)</w:t>
      </w:r>
      <w:r>
        <w:rPr>
          <w:rtl/>
          <w:lang w:bidi="fa-IR"/>
        </w:rPr>
        <w:t xml:space="preserve"> لَكَ مِنْ عَمَلِكَ </w:t>
      </w:r>
      <w:r w:rsidRPr="00D10E3C">
        <w:rPr>
          <w:rStyle w:val="libFootnotenumChar"/>
          <w:rtl/>
        </w:rPr>
        <w:t>(12)</w:t>
      </w:r>
      <w:r>
        <w:rPr>
          <w:rtl/>
          <w:lang w:bidi="fa-IR"/>
        </w:rPr>
        <w:t xml:space="preserve"> مَا أَحْسَنْتَ فِيهِ ، فَأَحْسِنْ إِلى إِخْوَانِكَ ، وَاعْلَمْ أَنَّ اللهَ - عَزَّ وَجَلَّ - سَائِلُكَ عَنْ مَثَاقِيلِ الذَّرِّ وَالْخَرْدَلِ ».</w:t>
      </w:r>
    </w:p>
    <w:p w:rsidR="00744A1C" w:rsidRDefault="00744A1C" w:rsidP="00744A1C">
      <w:pPr>
        <w:pStyle w:val="libNormal"/>
        <w:rPr>
          <w:lang w:bidi="fa-IR"/>
        </w:rPr>
      </w:pPr>
      <w:r>
        <w:rPr>
          <w:rtl/>
          <w:lang w:bidi="fa-IR"/>
        </w:rPr>
        <w:t xml:space="preserve">قَالَ : فَلَمَّا وَرَدْتُ سِجِسْتَانَ ، سَبَقَ الْخَبَرُ إِلَى </w:t>
      </w:r>
      <w:r w:rsidRPr="00D10E3C">
        <w:rPr>
          <w:rStyle w:val="libFootnotenumChar"/>
          <w:rtl/>
        </w:rPr>
        <w:t>(13)</w:t>
      </w:r>
      <w:r>
        <w:rPr>
          <w:rtl/>
          <w:lang w:bidi="fa-IR"/>
        </w:rPr>
        <w:t xml:space="preserve"> الْحُسَيْنِ </w:t>
      </w:r>
      <w:r w:rsidRPr="00D10E3C">
        <w:rPr>
          <w:rStyle w:val="libFootnotenumChar"/>
          <w:rtl/>
        </w:rPr>
        <w:t>(14)</w:t>
      </w:r>
      <w:r>
        <w:rPr>
          <w:rtl/>
          <w:lang w:bidi="fa-IR"/>
        </w:rPr>
        <w:t xml:space="preserve"> بْنِ عَبْدِ اللهِ‌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w:t>
      </w:r>
      <w:r w:rsidR="00744A1C" w:rsidRPr="00556779">
        <w:rPr>
          <w:rtl/>
        </w:rPr>
        <w:t>والوسائل</w:t>
      </w:r>
      <w:r w:rsidR="00744A1C">
        <w:rPr>
          <w:rtl/>
          <w:lang w:bidi="fa-IR"/>
        </w:rPr>
        <w:t xml:space="preserve"> : « وافقت ».</w:t>
      </w:r>
    </w:p>
    <w:p w:rsidR="00744A1C" w:rsidRDefault="00E378DD" w:rsidP="00E378DD">
      <w:pPr>
        <w:pStyle w:val="libFootnote0"/>
        <w:rPr>
          <w:lang w:bidi="fa-IR"/>
        </w:rPr>
      </w:pPr>
      <w:r>
        <w:rPr>
          <w:rtl/>
          <w:lang w:bidi="fa-IR"/>
        </w:rPr>
        <w:t>(2).</w:t>
      </w:r>
      <w:r w:rsidR="00744A1C">
        <w:rPr>
          <w:rtl/>
          <w:lang w:bidi="fa-IR"/>
        </w:rPr>
        <w:t xml:space="preserve"> الخَراج : ما يخرج من غَلّة الأرض أو الغلام. والغلّة : الدخل من كراء دار ، أو فائدة أرض ونحو ذلك ، ثمّ سمّي‌الإتاوة خراجاً ، وهو ما يأخذه السلطان من أموال الناس. راجع : </w:t>
      </w:r>
      <w:r w:rsidR="00744A1C" w:rsidRPr="00556779">
        <w:rPr>
          <w:rStyle w:val="libFootnoteBoldChar"/>
          <w:rtl/>
        </w:rPr>
        <w:t>المغرب</w:t>
      </w:r>
      <w:r w:rsidR="00744A1C">
        <w:rPr>
          <w:rtl/>
          <w:lang w:bidi="fa-IR"/>
        </w:rPr>
        <w:t xml:space="preserve"> ، ص 141 ؛ </w:t>
      </w:r>
      <w:r w:rsidR="00744A1C" w:rsidRPr="00877682">
        <w:rPr>
          <w:rStyle w:val="libFootnoteBoldChar"/>
          <w:rtl/>
        </w:rPr>
        <w:t>لسان العرب</w:t>
      </w:r>
      <w:r w:rsidR="00744A1C">
        <w:rPr>
          <w:rtl/>
          <w:lang w:bidi="fa-IR"/>
        </w:rPr>
        <w:t xml:space="preserve"> ، ج 2 ، ص 251 ( خرج ).</w:t>
      </w:r>
    </w:p>
    <w:p w:rsidR="00744A1C" w:rsidRDefault="00E378DD" w:rsidP="00E378DD">
      <w:pPr>
        <w:pStyle w:val="libFootnote0"/>
        <w:rPr>
          <w:lang w:bidi="fa-IR"/>
        </w:rPr>
      </w:pPr>
      <w:r>
        <w:rPr>
          <w:rtl/>
          <w:lang w:bidi="fa-IR"/>
        </w:rPr>
        <w:t>(3).</w:t>
      </w:r>
      <w:r w:rsidR="00744A1C">
        <w:rPr>
          <w:rtl/>
          <w:lang w:bidi="fa-IR"/>
        </w:rPr>
        <w:t xml:space="preserve"> في « ط ، بخ ، بف » : « جعلت فداك ».</w:t>
      </w:r>
    </w:p>
    <w:p w:rsidR="00744A1C" w:rsidRDefault="00E378DD" w:rsidP="00E378DD">
      <w:pPr>
        <w:pStyle w:val="libFootnote0"/>
        <w:rPr>
          <w:lang w:bidi="fa-IR"/>
        </w:rPr>
      </w:pPr>
      <w:r>
        <w:rPr>
          <w:rtl/>
          <w:lang w:bidi="fa-IR"/>
        </w:rPr>
        <w:t>(4).</w:t>
      </w:r>
      <w:r w:rsidR="00744A1C">
        <w:rPr>
          <w:rtl/>
          <w:lang w:bidi="fa-IR"/>
        </w:rPr>
        <w:t xml:space="preserve"> في « جت » : + « لي ».</w:t>
      </w:r>
    </w:p>
    <w:p w:rsidR="00744A1C" w:rsidRDefault="00E378DD" w:rsidP="00E378DD">
      <w:pPr>
        <w:pStyle w:val="libFootnote0"/>
        <w:rPr>
          <w:lang w:bidi="fa-IR"/>
        </w:rPr>
      </w:pPr>
      <w:r>
        <w:rPr>
          <w:rtl/>
          <w:lang w:bidi="fa-IR"/>
        </w:rPr>
        <w:t>(5).</w:t>
      </w:r>
      <w:r w:rsidR="00744A1C">
        <w:rPr>
          <w:rtl/>
          <w:lang w:bidi="fa-IR"/>
        </w:rPr>
        <w:t xml:space="preserve"> هكذا في النسخ التي قوبلت </w:t>
      </w:r>
      <w:r w:rsidR="00744A1C" w:rsidRPr="00556779">
        <w:rPr>
          <w:rtl/>
        </w:rPr>
        <w:t>والوافي والوسائل والبحار</w:t>
      </w:r>
      <w:r w:rsidR="00744A1C">
        <w:rPr>
          <w:rtl/>
          <w:lang w:bidi="fa-IR"/>
        </w:rPr>
        <w:t xml:space="preserve"> ، ج 46 و 50 </w:t>
      </w:r>
      <w:r w:rsidR="00744A1C" w:rsidRPr="0061079A">
        <w:rPr>
          <w:rStyle w:val="libFootnoteBoldChar"/>
          <w:rtl/>
        </w:rPr>
        <w:t>والتهذيب</w:t>
      </w:r>
      <w:r w:rsidR="00744A1C">
        <w:rPr>
          <w:rtl/>
          <w:lang w:bidi="fa-IR"/>
        </w:rPr>
        <w:t>. وفي المطبوع : + « كتاباً ».</w:t>
      </w:r>
    </w:p>
    <w:p w:rsidR="00744A1C" w:rsidRDefault="00E378DD" w:rsidP="00E378DD">
      <w:pPr>
        <w:pStyle w:val="libFootnote0"/>
        <w:rPr>
          <w:lang w:bidi="fa-IR"/>
        </w:rPr>
      </w:pPr>
      <w:r>
        <w:rPr>
          <w:rtl/>
          <w:lang w:bidi="fa-IR"/>
        </w:rPr>
        <w:t>(6).</w:t>
      </w:r>
      <w:r w:rsidR="00744A1C">
        <w:rPr>
          <w:rtl/>
          <w:lang w:bidi="fa-IR"/>
        </w:rPr>
        <w:t xml:space="preserve"> في « ط ، ى ، بح ، جد ، جن » </w:t>
      </w:r>
      <w:r w:rsidR="00744A1C" w:rsidRPr="00556779">
        <w:rPr>
          <w:rtl/>
        </w:rPr>
        <w:t>والبحار</w:t>
      </w:r>
      <w:r w:rsidR="00744A1C">
        <w:rPr>
          <w:rtl/>
          <w:lang w:bidi="fa-IR"/>
        </w:rPr>
        <w:t xml:space="preserve"> ، ج 46 و 50 </w:t>
      </w:r>
      <w:r w:rsidR="00744A1C" w:rsidRPr="00556779">
        <w:rPr>
          <w:rtl/>
        </w:rPr>
        <w:t>والتهذيب</w:t>
      </w:r>
      <w:r w:rsidR="00744A1C">
        <w:rPr>
          <w:rtl/>
          <w:lang w:bidi="fa-IR"/>
        </w:rPr>
        <w:t xml:space="preserve"> : - « لي ».</w:t>
      </w:r>
    </w:p>
    <w:tbl>
      <w:tblPr>
        <w:tblStyle w:val="TableGrid"/>
        <w:bidiVisual/>
        <w:tblW w:w="0" w:type="auto"/>
        <w:tblLook w:val="04A0" w:firstRow="1" w:lastRow="0" w:firstColumn="1" w:lastColumn="0" w:noHBand="0" w:noVBand="1"/>
      </w:tblPr>
      <w:tblGrid>
        <w:gridCol w:w="4006"/>
        <w:gridCol w:w="4006"/>
      </w:tblGrid>
      <w:tr w:rsidR="00556779" w:rsidTr="00556779">
        <w:tc>
          <w:tcPr>
            <w:tcW w:w="4006" w:type="dxa"/>
          </w:tcPr>
          <w:p w:rsidR="00556779" w:rsidRDefault="00556779" w:rsidP="00E378DD">
            <w:pPr>
              <w:pStyle w:val="libFootnote0"/>
              <w:rPr>
                <w:rtl/>
                <w:lang w:bidi="fa-IR"/>
              </w:rPr>
            </w:pPr>
            <w:r>
              <w:rPr>
                <w:rtl/>
                <w:lang w:bidi="fa-IR"/>
              </w:rPr>
              <w:t>(7). في « ط ، بف » و</w:t>
            </w:r>
            <w:r w:rsidRPr="00C24F9C">
              <w:rPr>
                <w:rStyle w:val="libFootnoteBoldChar"/>
                <w:rtl/>
              </w:rPr>
              <w:t>الوافي</w:t>
            </w:r>
            <w:r>
              <w:rPr>
                <w:rtl/>
                <w:lang w:bidi="fa-IR"/>
              </w:rPr>
              <w:t xml:space="preserve"> : + « له ».</w:t>
            </w:r>
          </w:p>
        </w:tc>
        <w:tc>
          <w:tcPr>
            <w:tcW w:w="4006" w:type="dxa"/>
          </w:tcPr>
          <w:p w:rsidR="00556779" w:rsidRDefault="00556779" w:rsidP="00E378DD">
            <w:pPr>
              <w:pStyle w:val="libFootnote0"/>
              <w:rPr>
                <w:rtl/>
                <w:lang w:bidi="fa-IR"/>
              </w:rPr>
            </w:pPr>
            <w:r>
              <w:rPr>
                <w:rtl/>
                <w:lang w:bidi="fa-IR"/>
              </w:rPr>
              <w:t>(8). في « ط ، بف » : - « جعلت فداك ».</w:t>
            </w:r>
          </w:p>
        </w:tc>
      </w:tr>
    </w:tbl>
    <w:p w:rsidR="00744A1C" w:rsidRDefault="00E378DD" w:rsidP="00E378DD">
      <w:pPr>
        <w:pStyle w:val="libFootnote0"/>
        <w:rPr>
          <w:lang w:bidi="fa-IR"/>
        </w:rPr>
      </w:pPr>
      <w:r>
        <w:rPr>
          <w:rtl/>
          <w:lang w:bidi="fa-IR"/>
        </w:rPr>
        <w:t>(9).</w:t>
      </w:r>
      <w:r w:rsidR="00744A1C">
        <w:rPr>
          <w:rtl/>
          <w:lang w:bidi="fa-IR"/>
        </w:rPr>
        <w:t xml:space="preserve"> في « ط » وحاشية « جت » : « محبّتكم ».</w:t>
      </w:r>
    </w:p>
    <w:p w:rsidR="00744A1C" w:rsidRDefault="00E378DD" w:rsidP="00E378DD">
      <w:pPr>
        <w:pStyle w:val="libFootnote0"/>
        <w:rPr>
          <w:lang w:bidi="fa-IR"/>
        </w:rPr>
      </w:pPr>
      <w:r>
        <w:rPr>
          <w:rtl/>
          <w:lang w:bidi="fa-IR"/>
        </w:rPr>
        <w:t>(10).</w:t>
      </w:r>
      <w:r w:rsidR="00744A1C">
        <w:rPr>
          <w:rtl/>
          <w:lang w:bidi="fa-IR"/>
        </w:rPr>
        <w:t xml:space="preserve"> في « ى ، بح ، بس ، جت ، جد ، جن » </w:t>
      </w:r>
      <w:r w:rsidR="00744A1C" w:rsidRPr="004722CE">
        <w:rPr>
          <w:rtl/>
        </w:rPr>
        <w:t>والوسائل والبحار ،</w:t>
      </w:r>
      <w:r w:rsidR="00744A1C">
        <w:rPr>
          <w:rtl/>
          <w:lang w:bidi="fa-IR"/>
        </w:rPr>
        <w:t xml:space="preserve"> ج 46 و 50 : « فكتب ».</w:t>
      </w:r>
    </w:p>
    <w:p w:rsidR="00744A1C" w:rsidRDefault="00E378DD" w:rsidP="00E378DD">
      <w:pPr>
        <w:pStyle w:val="libFootnote0"/>
        <w:rPr>
          <w:lang w:bidi="fa-IR"/>
        </w:rPr>
      </w:pPr>
      <w:r>
        <w:rPr>
          <w:rtl/>
          <w:lang w:bidi="fa-IR"/>
        </w:rPr>
        <w:t>(11).</w:t>
      </w:r>
      <w:r w:rsidR="00744A1C">
        <w:rPr>
          <w:rtl/>
          <w:lang w:bidi="fa-IR"/>
        </w:rPr>
        <w:t xml:space="preserve"> في « بخ ، بف » و</w:t>
      </w:r>
      <w:r w:rsidR="00744A1C" w:rsidRPr="00C24F9C">
        <w:rPr>
          <w:rStyle w:val="libFootnoteBoldChar"/>
          <w:rtl/>
        </w:rPr>
        <w:t>الوسائل</w:t>
      </w:r>
      <w:r w:rsidR="00744A1C">
        <w:rPr>
          <w:rtl/>
          <w:lang w:bidi="fa-IR"/>
        </w:rPr>
        <w:t xml:space="preserve"> : « وإنّما ».</w:t>
      </w:r>
    </w:p>
    <w:p w:rsidR="00744A1C" w:rsidRDefault="00E378DD" w:rsidP="00E378DD">
      <w:pPr>
        <w:pStyle w:val="libFootnote0"/>
        <w:rPr>
          <w:lang w:bidi="fa-IR"/>
        </w:rPr>
      </w:pPr>
      <w:r>
        <w:rPr>
          <w:rtl/>
          <w:lang w:bidi="fa-IR"/>
        </w:rPr>
        <w:t>(12).</w:t>
      </w:r>
      <w:r w:rsidR="00744A1C">
        <w:rPr>
          <w:rtl/>
          <w:lang w:bidi="fa-IR"/>
        </w:rPr>
        <w:t xml:space="preserve"> في</w:t>
      </w:r>
      <w:r w:rsidR="004722CE">
        <w:rPr>
          <w:rtl/>
          <w:lang w:bidi="fa-IR"/>
        </w:rPr>
        <w:t xml:space="preserve"> « ى ، بس ، جد ، جن » : + « إل</w:t>
      </w:r>
      <w:r w:rsidR="004722CE">
        <w:rPr>
          <w:rFonts w:hint="cs"/>
          <w:rtl/>
          <w:lang w:bidi="fa-IR"/>
        </w:rPr>
        <w:t>ّ</w:t>
      </w:r>
      <w:r w:rsidR="004722CE">
        <w:rPr>
          <w:rtl/>
          <w:lang w:bidi="fa-IR"/>
        </w:rPr>
        <w:t>ا</w:t>
      </w:r>
      <w:r w:rsidR="00744A1C">
        <w:rPr>
          <w:rtl/>
          <w:lang w:bidi="fa-IR"/>
        </w:rPr>
        <w:t xml:space="preserve"> ». وفي </w:t>
      </w:r>
      <w:r w:rsidR="00744A1C" w:rsidRPr="004722CE">
        <w:rPr>
          <w:rtl/>
        </w:rPr>
        <w:t>التهذيب :</w:t>
      </w:r>
      <w:r w:rsidR="00744A1C">
        <w:rPr>
          <w:rtl/>
          <w:lang w:bidi="fa-IR"/>
        </w:rPr>
        <w:t xml:space="preserve"> </w:t>
      </w:r>
      <w:r w:rsidR="004722CE">
        <w:rPr>
          <w:rtl/>
          <w:lang w:bidi="fa-IR"/>
        </w:rPr>
        <w:t>« أعمالك إل</w:t>
      </w:r>
      <w:r w:rsidR="004722CE">
        <w:rPr>
          <w:rFonts w:hint="cs"/>
          <w:rtl/>
          <w:lang w:bidi="fa-IR"/>
        </w:rPr>
        <w:t>ّ</w:t>
      </w:r>
      <w:r w:rsidR="004722CE">
        <w:rPr>
          <w:rtl/>
          <w:lang w:bidi="fa-IR"/>
        </w:rPr>
        <w:t>ا</w:t>
      </w:r>
      <w:r w:rsidR="00744A1C">
        <w:rPr>
          <w:rtl/>
          <w:lang w:bidi="fa-IR"/>
        </w:rPr>
        <w:t xml:space="preserve"> » بدل « عملك ».</w:t>
      </w:r>
    </w:p>
    <w:tbl>
      <w:tblPr>
        <w:tblStyle w:val="TableGrid"/>
        <w:bidiVisual/>
        <w:tblW w:w="0" w:type="auto"/>
        <w:tblLook w:val="04A0" w:firstRow="1" w:lastRow="0" w:firstColumn="1" w:lastColumn="0" w:noHBand="0" w:noVBand="1"/>
      </w:tblPr>
      <w:tblGrid>
        <w:gridCol w:w="4006"/>
        <w:gridCol w:w="4006"/>
      </w:tblGrid>
      <w:tr w:rsidR="004722CE" w:rsidTr="004722CE">
        <w:tc>
          <w:tcPr>
            <w:tcW w:w="4006" w:type="dxa"/>
          </w:tcPr>
          <w:p w:rsidR="004722CE" w:rsidRDefault="004722CE" w:rsidP="00E378DD">
            <w:pPr>
              <w:pStyle w:val="libFootnote0"/>
              <w:rPr>
                <w:rtl/>
                <w:lang w:bidi="fa-IR"/>
              </w:rPr>
            </w:pPr>
            <w:r>
              <w:rPr>
                <w:rtl/>
                <w:lang w:bidi="fa-IR"/>
              </w:rPr>
              <w:t>(13). في « بف » : + « أبي ».</w:t>
            </w:r>
          </w:p>
        </w:tc>
        <w:tc>
          <w:tcPr>
            <w:tcW w:w="4006" w:type="dxa"/>
          </w:tcPr>
          <w:p w:rsidR="004722CE" w:rsidRDefault="004722CE" w:rsidP="00E378DD">
            <w:pPr>
              <w:pStyle w:val="libFootnote0"/>
              <w:rPr>
                <w:rtl/>
                <w:lang w:bidi="fa-IR"/>
              </w:rPr>
            </w:pPr>
            <w:r>
              <w:rPr>
                <w:rtl/>
                <w:lang w:bidi="fa-IR"/>
              </w:rPr>
              <w:t>(14). في « ط » : « الحسن ».</w:t>
            </w:r>
          </w:p>
        </w:tc>
      </w:tr>
    </w:tbl>
    <w:p w:rsidR="006A5060" w:rsidRDefault="006A5060" w:rsidP="00D10E3C">
      <w:pPr>
        <w:pStyle w:val="libNormal"/>
        <w:rPr>
          <w:rtl/>
          <w:lang w:bidi="fa-IR"/>
        </w:rPr>
      </w:pPr>
      <w:r>
        <w:rPr>
          <w:rtl/>
          <w:lang w:bidi="fa-IR"/>
        </w:rPr>
        <w:br w:type="page"/>
      </w:r>
    </w:p>
    <w:p w:rsidR="00144FA6" w:rsidRDefault="00744A1C" w:rsidP="00955510">
      <w:pPr>
        <w:pStyle w:val="libNormal0"/>
        <w:rPr>
          <w:rtl/>
          <w:lang w:bidi="fa-IR"/>
        </w:rPr>
      </w:pPr>
      <w:r>
        <w:rPr>
          <w:rtl/>
          <w:lang w:bidi="fa-IR"/>
        </w:rPr>
        <w:t xml:space="preserve">النَّيْسَابُورِيِّ </w:t>
      </w:r>
      <w:r w:rsidRPr="00D10E3C">
        <w:rPr>
          <w:rStyle w:val="libFootnotenumChar"/>
          <w:rtl/>
        </w:rPr>
        <w:t>(1)</w:t>
      </w:r>
      <w:r>
        <w:rPr>
          <w:rtl/>
          <w:lang w:bidi="fa-IR"/>
        </w:rPr>
        <w:t xml:space="preserve"> وَهُوَ الْوَالِي ، فَاسْتَقْبَلَنِي عَلى فَرْسَخَيْنِ مِنَ الْمَدِينَةِ </w:t>
      </w:r>
      <w:r w:rsidRPr="00D10E3C">
        <w:rPr>
          <w:rStyle w:val="libFootnotenumChar"/>
          <w:rtl/>
        </w:rPr>
        <w:t>(2)</w:t>
      </w:r>
      <w:r>
        <w:rPr>
          <w:rtl/>
          <w:lang w:bidi="fa-IR"/>
        </w:rPr>
        <w:t xml:space="preserve"> ، فَدَفَعْتُ إِلَيْهِ‌ الْكِتَابَ ، فَقَبَّلَهُ ، وَوَضَعَهُ عَلى عَيْنَيْهِ </w:t>
      </w:r>
      <w:r w:rsidRPr="00D10E3C">
        <w:rPr>
          <w:rStyle w:val="libFootnotenumChar"/>
          <w:rtl/>
        </w:rPr>
        <w:t>(3)</w:t>
      </w:r>
      <w:r>
        <w:rPr>
          <w:rtl/>
          <w:lang w:bidi="fa-IR"/>
        </w:rPr>
        <w:t xml:space="preserve"> ، ثُمَّ قَالَ </w:t>
      </w:r>
      <w:r w:rsidRPr="00D10E3C">
        <w:rPr>
          <w:rStyle w:val="libFootnotenumChar"/>
          <w:rtl/>
        </w:rPr>
        <w:t>(4)</w:t>
      </w:r>
      <w:r>
        <w:rPr>
          <w:rtl/>
          <w:lang w:bidi="fa-IR"/>
        </w:rPr>
        <w:t xml:space="preserve"> لِي </w:t>
      </w:r>
      <w:r w:rsidRPr="00D10E3C">
        <w:rPr>
          <w:rStyle w:val="libFootnotenumChar"/>
          <w:rtl/>
        </w:rPr>
        <w:t>(5)</w:t>
      </w:r>
      <w:r>
        <w:rPr>
          <w:rtl/>
          <w:lang w:bidi="fa-IR"/>
        </w:rPr>
        <w:t xml:space="preserve"> : مَا </w:t>
      </w:r>
      <w:r w:rsidRPr="00D10E3C">
        <w:rPr>
          <w:rStyle w:val="libFootnotenumChar"/>
          <w:rtl/>
        </w:rPr>
        <w:t>(6)</w:t>
      </w:r>
      <w:r>
        <w:rPr>
          <w:rtl/>
          <w:lang w:bidi="fa-IR"/>
        </w:rPr>
        <w:t xml:space="preserve"> حَاجَتُكَ؟ فَقُلْتُ : خَرَاجٌ عَلَيَّ فِي دِيوَانِكَ ، قَالَ </w:t>
      </w:r>
      <w:r w:rsidRPr="00D10E3C">
        <w:rPr>
          <w:rStyle w:val="libFootnotenumChar"/>
          <w:rtl/>
        </w:rPr>
        <w:t>(7)</w:t>
      </w:r>
      <w:r>
        <w:rPr>
          <w:rtl/>
          <w:lang w:bidi="fa-IR"/>
        </w:rPr>
        <w:t xml:space="preserve"> : فَأَمَرَ بِطَرْحِهِ عَنِّي ، وَقَالَ لِي </w:t>
      </w:r>
      <w:r w:rsidRPr="00D10E3C">
        <w:rPr>
          <w:rStyle w:val="libFootnotenumChar"/>
          <w:rtl/>
        </w:rPr>
        <w:t>(8)</w:t>
      </w:r>
      <w:r>
        <w:rPr>
          <w:rtl/>
          <w:lang w:bidi="fa-IR"/>
        </w:rPr>
        <w:t xml:space="preserve"> : لَاتُؤَدِّ خَرَاجاً مَا دَامَ لِي عَمَلٌ ، ثُمَّ سَأَلَنِي عَنْ عِيَالِي ، فَأَخْبَرْتُهُ بِمَبْلَغِهِمْ ، فَأَمَرَ </w:t>
      </w:r>
      <w:r w:rsidRPr="00D10E3C">
        <w:rPr>
          <w:rStyle w:val="libFootnotenumChar"/>
          <w:rtl/>
        </w:rPr>
        <w:t>(9)</w:t>
      </w:r>
      <w:r>
        <w:rPr>
          <w:rtl/>
          <w:lang w:bidi="fa-IR"/>
        </w:rPr>
        <w:t xml:space="preserve"> لِي وَلَهُمْ بِمَا يَقُوتُنَا </w:t>
      </w:r>
      <w:r w:rsidRPr="00D10E3C">
        <w:rPr>
          <w:rStyle w:val="libFootnotenumChar"/>
          <w:rtl/>
        </w:rPr>
        <w:t>(10)</w:t>
      </w:r>
      <w:r>
        <w:rPr>
          <w:rtl/>
          <w:lang w:bidi="fa-IR"/>
        </w:rPr>
        <w:t xml:space="preserve"> وَفَضْلاً ، فَمَا أَدَّيْتُ فِي عَمَلِهِ خَرَاجاً مَا دَامَ حَيّاً ، وَلَا قَطَعَ عَنِّي صِلَتَهُ </w:t>
      </w:r>
      <w:r w:rsidRPr="00D10E3C">
        <w:rPr>
          <w:rStyle w:val="libFootnotenumChar"/>
          <w:rtl/>
        </w:rPr>
        <w:t>(11)</w:t>
      </w:r>
      <w:r>
        <w:rPr>
          <w:rtl/>
          <w:lang w:bidi="fa-IR"/>
        </w:rPr>
        <w:t xml:space="preserve"> حَتّى مَاتَ. </w:t>
      </w:r>
      <w:r w:rsidRPr="00D10E3C">
        <w:rPr>
          <w:rStyle w:val="libFootnotenumChar"/>
          <w:rtl/>
        </w:rPr>
        <w:t>(12)</w:t>
      </w:r>
    </w:p>
    <w:p w:rsidR="00144FA6" w:rsidRDefault="00744A1C" w:rsidP="00744A1C">
      <w:pPr>
        <w:pStyle w:val="libNormal"/>
        <w:rPr>
          <w:rtl/>
          <w:lang w:bidi="fa-IR"/>
        </w:rPr>
      </w:pPr>
      <w:r>
        <w:rPr>
          <w:rtl/>
          <w:lang w:bidi="fa-IR"/>
        </w:rPr>
        <w:t>8528 / 7. عَلِيُّ بْنُ إِبْرَاهِيمَ ، عَنْ أَبِيهِ ، عَنِ ابْنِ أَبِي عُمَيْرٍ ، عَنْ بَعْضِ أَصْحَابِنَا ، عَنْ عَلِيِّ بْنِ يَقْطِينٍ ، قَالَ :</w:t>
      </w:r>
    </w:p>
    <w:p w:rsidR="00744A1C" w:rsidRDefault="00744A1C" w:rsidP="00744A1C">
      <w:pPr>
        <w:pStyle w:val="libNormal"/>
        <w:rPr>
          <w:lang w:bidi="fa-IR"/>
        </w:rPr>
      </w:pPr>
      <w:r>
        <w:rPr>
          <w:rtl/>
          <w:lang w:bidi="fa-IR"/>
        </w:rPr>
        <w:t xml:space="preserve">قَالَ لِي أَبُو الْحَسَنِ </w:t>
      </w:r>
      <w:r w:rsidR="000F3F68" w:rsidRPr="000F3F68">
        <w:rPr>
          <w:rStyle w:val="libAlaemChar"/>
          <w:rtl/>
        </w:rPr>
        <w:t>عليه‌السلام</w:t>
      </w:r>
      <w:r>
        <w:rPr>
          <w:rtl/>
          <w:lang w:bidi="fa-IR"/>
        </w:rPr>
        <w:t xml:space="preserve"> : « إِنَّ لِلّهِ - عَزَّ وَجَلَّ - مَعَ السُّلْطَانِ أَوْلِيَاءَ يَدْفَعُ بِهِمْ عَنْ‌</w:t>
      </w:r>
    </w:p>
    <w:p w:rsidR="00144FA6" w:rsidRDefault="00744A1C" w:rsidP="00744A1C">
      <w:pPr>
        <w:pStyle w:val="libNormal"/>
        <w:rPr>
          <w:rtl/>
          <w:lang w:bidi="fa-IR"/>
        </w:rPr>
      </w:pPr>
      <w:r>
        <w:rPr>
          <w:rtl/>
          <w:lang w:bidi="fa-IR"/>
        </w:rPr>
        <w:t xml:space="preserve">أَوْلِيَائِهِ ». </w:t>
      </w:r>
      <w:r w:rsidRPr="00D10E3C">
        <w:rPr>
          <w:rStyle w:val="libFootnotenumChar"/>
          <w:rtl/>
        </w:rPr>
        <w:t>(13)</w:t>
      </w:r>
    </w:p>
    <w:p w:rsidR="00744A1C" w:rsidRDefault="00744A1C" w:rsidP="004722CE">
      <w:pPr>
        <w:pStyle w:val="Heading2Center"/>
        <w:rPr>
          <w:lang w:bidi="fa-IR"/>
        </w:rPr>
      </w:pPr>
      <w:bookmarkStart w:id="155" w:name="_Toc49261453"/>
      <w:r>
        <w:rPr>
          <w:rtl/>
          <w:lang w:bidi="fa-IR"/>
        </w:rPr>
        <w:t>32 - بَابُ بَيْعِ السِّلَاحِ مِنْهُمْ‌</w:t>
      </w:r>
      <w:bookmarkEnd w:id="155"/>
    </w:p>
    <w:p w:rsidR="00744A1C" w:rsidRDefault="00744A1C" w:rsidP="00744A1C">
      <w:pPr>
        <w:pStyle w:val="libNormal"/>
        <w:rPr>
          <w:lang w:bidi="fa-IR"/>
        </w:rPr>
      </w:pPr>
      <w:r>
        <w:rPr>
          <w:rtl/>
          <w:lang w:bidi="fa-IR"/>
        </w:rPr>
        <w:t>8529 / 1. عِدَّةٌ مِنْ أَصْحَابِنَا ، عَنْ أَحْمَدَ بْنِ مُحَمَّدٍ ، عَنْ عَلِيِّ بْنِ الْحَكَمِ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جن » : « النيشابوري ».</w:t>
      </w:r>
    </w:p>
    <w:p w:rsidR="00744A1C" w:rsidRDefault="00E378DD" w:rsidP="00E378DD">
      <w:pPr>
        <w:pStyle w:val="libFootnote0"/>
        <w:rPr>
          <w:lang w:bidi="fa-IR"/>
        </w:rPr>
      </w:pPr>
      <w:r>
        <w:rPr>
          <w:rtl/>
          <w:lang w:bidi="fa-IR"/>
        </w:rPr>
        <w:t>(2).</w:t>
      </w:r>
      <w:r w:rsidR="00744A1C">
        <w:rPr>
          <w:rtl/>
          <w:lang w:bidi="fa-IR"/>
        </w:rPr>
        <w:t xml:space="preserve"> في « ط » : « فاستقبله من المدينة على فرسخين » بدل « فاستقبلني على فرسخين من المدينة ».</w:t>
      </w:r>
    </w:p>
    <w:p w:rsidR="00744A1C" w:rsidRDefault="00E378DD" w:rsidP="00E378DD">
      <w:pPr>
        <w:pStyle w:val="libFootnote0"/>
        <w:rPr>
          <w:lang w:bidi="fa-IR"/>
        </w:rPr>
      </w:pPr>
      <w:r>
        <w:rPr>
          <w:rtl/>
          <w:lang w:bidi="fa-IR"/>
        </w:rPr>
        <w:t>(3).</w:t>
      </w:r>
      <w:r w:rsidR="00744A1C">
        <w:rPr>
          <w:rtl/>
          <w:lang w:bidi="fa-IR"/>
        </w:rPr>
        <w:t xml:space="preserve"> في « بف » : « عينه ».</w:t>
      </w:r>
    </w:p>
    <w:p w:rsidR="00744A1C" w:rsidRDefault="00E378DD" w:rsidP="00E378DD">
      <w:pPr>
        <w:pStyle w:val="libFootnote0"/>
        <w:rPr>
          <w:lang w:bidi="fa-IR"/>
        </w:rPr>
      </w:pPr>
      <w:r>
        <w:rPr>
          <w:rtl/>
          <w:lang w:bidi="fa-IR"/>
        </w:rPr>
        <w:t>(4).</w:t>
      </w:r>
      <w:r w:rsidR="00744A1C">
        <w:rPr>
          <w:rtl/>
          <w:lang w:bidi="fa-IR"/>
        </w:rPr>
        <w:t xml:space="preserve"> في « ى ، بح ، بس ، جد ، جن » وحاشية « جت » </w:t>
      </w:r>
      <w:r w:rsidR="00744A1C" w:rsidRPr="004722CE">
        <w:rPr>
          <w:rtl/>
        </w:rPr>
        <w:t>والوسائل والبحار</w:t>
      </w:r>
      <w:r w:rsidR="00744A1C">
        <w:rPr>
          <w:rtl/>
          <w:lang w:bidi="fa-IR"/>
        </w:rPr>
        <w:t xml:space="preserve"> ، ج 50 : « وقال ».</w:t>
      </w:r>
    </w:p>
    <w:p w:rsidR="00744A1C" w:rsidRDefault="00E378DD" w:rsidP="00E378DD">
      <w:pPr>
        <w:pStyle w:val="libFootnote0"/>
        <w:rPr>
          <w:lang w:bidi="fa-IR"/>
        </w:rPr>
      </w:pPr>
      <w:r>
        <w:rPr>
          <w:rtl/>
          <w:lang w:bidi="fa-IR"/>
        </w:rPr>
        <w:t>(5).</w:t>
      </w:r>
      <w:r w:rsidR="00744A1C">
        <w:rPr>
          <w:rtl/>
          <w:lang w:bidi="fa-IR"/>
        </w:rPr>
        <w:t xml:space="preserve"> في </w:t>
      </w:r>
      <w:r w:rsidR="00744A1C" w:rsidRPr="004722CE">
        <w:rPr>
          <w:rtl/>
        </w:rPr>
        <w:t>الوسائل :</w:t>
      </w:r>
      <w:r w:rsidR="00744A1C">
        <w:rPr>
          <w:rtl/>
          <w:lang w:bidi="fa-IR"/>
        </w:rPr>
        <w:t xml:space="preserve"> - « لي ».</w:t>
      </w:r>
    </w:p>
    <w:p w:rsidR="00744A1C" w:rsidRDefault="00E378DD" w:rsidP="00E378DD">
      <w:pPr>
        <w:pStyle w:val="libFootnote0"/>
        <w:rPr>
          <w:lang w:bidi="fa-IR"/>
        </w:rPr>
      </w:pPr>
      <w:r>
        <w:rPr>
          <w:rtl/>
          <w:lang w:bidi="fa-IR"/>
        </w:rPr>
        <w:t>(6).</w:t>
      </w:r>
      <w:r w:rsidR="00744A1C">
        <w:rPr>
          <w:rtl/>
          <w:lang w:bidi="fa-IR"/>
        </w:rPr>
        <w:t xml:space="preserve"> في « ط ، ى ، بح ، بخ ، بس ، بف ، جت ، جد » و</w:t>
      </w:r>
      <w:r w:rsidR="00744A1C" w:rsidRPr="0061079A">
        <w:rPr>
          <w:rStyle w:val="libFootnoteBoldChar"/>
          <w:rtl/>
        </w:rPr>
        <w:t>البحار</w:t>
      </w:r>
      <w:r w:rsidR="00744A1C">
        <w:rPr>
          <w:rtl/>
          <w:lang w:bidi="fa-IR"/>
        </w:rPr>
        <w:t xml:space="preserve"> ، ج 46 و 50 : - « ما ».</w:t>
      </w:r>
    </w:p>
    <w:p w:rsidR="00744A1C" w:rsidRDefault="00E378DD" w:rsidP="00E378DD">
      <w:pPr>
        <w:pStyle w:val="libFootnote0"/>
        <w:rPr>
          <w:lang w:bidi="fa-IR"/>
        </w:rPr>
      </w:pPr>
      <w:r>
        <w:rPr>
          <w:rtl/>
          <w:lang w:bidi="fa-IR"/>
        </w:rPr>
        <w:t>(7).</w:t>
      </w:r>
      <w:r w:rsidR="00744A1C">
        <w:rPr>
          <w:rtl/>
          <w:lang w:bidi="fa-IR"/>
        </w:rPr>
        <w:t xml:space="preserve"> في</w:t>
      </w:r>
      <w:r w:rsidR="00744A1C" w:rsidRPr="004722CE">
        <w:rPr>
          <w:rtl/>
        </w:rPr>
        <w:t xml:space="preserve"> الوسائل</w:t>
      </w:r>
      <w:r w:rsidR="00744A1C">
        <w:rPr>
          <w:rtl/>
          <w:lang w:bidi="fa-IR"/>
        </w:rPr>
        <w:t xml:space="preserve"> : - « قال ».</w:t>
      </w:r>
    </w:p>
    <w:p w:rsidR="00744A1C" w:rsidRDefault="00E378DD" w:rsidP="00E378DD">
      <w:pPr>
        <w:pStyle w:val="libFootnote0"/>
        <w:rPr>
          <w:lang w:bidi="fa-IR"/>
        </w:rPr>
      </w:pPr>
      <w:r>
        <w:rPr>
          <w:rtl/>
          <w:lang w:bidi="fa-IR"/>
        </w:rPr>
        <w:t>(8).</w:t>
      </w:r>
      <w:r w:rsidR="00744A1C">
        <w:rPr>
          <w:rtl/>
          <w:lang w:bidi="fa-IR"/>
        </w:rPr>
        <w:t xml:space="preserve"> في « ط ، ى ، بح ، بس ، جد ، جن » </w:t>
      </w:r>
      <w:r w:rsidR="00744A1C" w:rsidRPr="004722CE">
        <w:rPr>
          <w:rtl/>
        </w:rPr>
        <w:t>والوسائل والبحار ،</w:t>
      </w:r>
      <w:r w:rsidR="00744A1C">
        <w:rPr>
          <w:rtl/>
          <w:lang w:bidi="fa-IR"/>
        </w:rPr>
        <w:t xml:space="preserve"> ج 46 و 50 </w:t>
      </w:r>
      <w:r w:rsidR="00744A1C" w:rsidRPr="004722CE">
        <w:rPr>
          <w:rtl/>
        </w:rPr>
        <w:t xml:space="preserve">والتهذيب : </w:t>
      </w:r>
      <w:r w:rsidR="00744A1C">
        <w:rPr>
          <w:rtl/>
          <w:lang w:bidi="fa-IR"/>
        </w:rPr>
        <w:t>- « لي ».</w:t>
      </w:r>
    </w:p>
    <w:tbl>
      <w:tblPr>
        <w:tblStyle w:val="TableGrid"/>
        <w:bidiVisual/>
        <w:tblW w:w="0" w:type="auto"/>
        <w:tblLook w:val="04A0" w:firstRow="1" w:lastRow="0" w:firstColumn="1" w:lastColumn="0" w:noHBand="0" w:noVBand="1"/>
      </w:tblPr>
      <w:tblGrid>
        <w:gridCol w:w="4006"/>
        <w:gridCol w:w="4006"/>
      </w:tblGrid>
      <w:tr w:rsidR="004722CE" w:rsidTr="004722CE">
        <w:tc>
          <w:tcPr>
            <w:tcW w:w="4006" w:type="dxa"/>
          </w:tcPr>
          <w:p w:rsidR="004722CE" w:rsidRDefault="004722CE" w:rsidP="00E378DD">
            <w:pPr>
              <w:pStyle w:val="libFootnote0"/>
              <w:rPr>
                <w:rtl/>
                <w:lang w:bidi="fa-IR"/>
              </w:rPr>
            </w:pPr>
            <w:r>
              <w:rPr>
                <w:rtl/>
                <w:lang w:bidi="fa-IR"/>
              </w:rPr>
              <w:t>(9). في « ط » : « وأمر ».</w:t>
            </w:r>
          </w:p>
        </w:tc>
        <w:tc>
          <w:tcPr>
            <w:tcW w:w="4006" w:type="dxa"/>
          </w:tcPr>
          <w:p w:rsidR="004722CE" w:rsidRDefault="004722CE" w:rsidP="00E378DD">
            <w:pPr>
              <w:pStyle w:val="libFootnote0"/>
              <w:rPr>
                <w:rtl/>
                <w:lang w:bidi="fa-IR"/>
              </w:rPr>
            </w:pPr>
            <w:r>
              <w:rPr>
                <w:rtl/>
                <w:lang w:bidi="fa-IR"/>
              </w:rPr>
              <w:t>(10). في « بف » : « بقوّتنا » بدل « بما يقوتنا ».</w:t>
            </w:r>
          </w:p>
        </w:tc>
      </w:tr>
    </w:tbl>
    <w:p w:rsidR="00744A1C" w:rsidRDefault="00E378DD" w:rsidP="00E378DD">
      <w:pPr>
        <w:pStyle w:val="libFootnote0"/>
        <w:rPr>
          <w:lang w:bidi="fa-IR"/>
        </w:rPr>
      </w:pPr>
      <w:r>
        <w:rPr>
          <w:rtl/>
          <w:lang w:bidi="fa-IR"/>
        </w:rPr>
        <w:t>(11).</w:t>
      </w:r>
      <w:r w:rsidR="00744A1C">
        <w:rPr>
          <w:rtl/>
          <w:lang w:bidi="fa-IR"/>
        </w:rPr>
        <w:t xml:space="preserve"> في « ط » : « صلتي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334 ، ح 926 ، معلّقاً عن محمّد بن أحمد </w:t>
      </w:r>
      <w:r w:rsidR="004722CE">
        <w:rPr>
          <w:rFonts w:hint="cs"/>
          <w:rtl/>
          <w:lang w:bidi="fa-IR"/>
        </w:rPr>
        <w:t>.</w:t>
      </w:r>
      <w:r w:rsidR="00744A1C" w:rsidRPr="00C24F9C">
        <w:rPr>
          <w:rStyle w:val="libFootnoteBoldChar"/>
          <w:rtl/>
        </w:rPr>
        <w:t>الوافي</w:t>
      </w:r>
      <w:r w:rsidR="00744A1C">
        <w:rPr>
          <w:rtl/>
          <w:lang w:bidi="fa-IR"/>
        </w:rPr>
        <w:t xml:space="preserve"> ، ج 17 ، ص 168 ، ح 17059 ؛ </w:t>
      </w:r>
      <w:r w:rsidR="00744A1C" w:rsidRPr="00C24F9C">
        <w:rPr>
          <w:rStyle w:val="libFootnoteBoldChar"/>
          <w:rtl/>
        </w:rPr>
        <w:t>الوسائل</w:t>
      </w:r>
      <w:r w:rsidR="00744A1C">
        <w:rPr>
          <w:rtl/>
          <w:lang w:bidi="fa-IR"/>
        </w:rPr>
        <w:t xml:space="preserve"> ، ج 17 ، ص 195 ، ح 22336 ؛ </w:t>
      </w:r>
      <w:r w:rsidR="00744A1C" w:rsidRPr="0061079A">
        <w:rPr>
          <w:rStyle w:val="libFootnoteBoldChar"/>
          <w:rtl/>
        </w:rPr>
        <w:t>البحار</w:t>
      </w:r>
      <w:r w:rsidR="00744A1C">
        <w:rPr>
          <w:rtl/>
          <w:lang w:bidi="fa-IR"/>
        </w:rPr>
        <w:t xml:space="preserve"> ، ج 46 ، ص 339 ، ح 29 ؛ وج 50 ، ص 86 ، ح 2.</w:t>
      </w:r>
    </w:p>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الفقيه</w:t>
      </w:r>
      <w:r w:rsidR="00744A1C">
        <w:rPr>
          <w:rtl/>
          <w:lang w:bidi="fa-IR"/>
        </w:rPr>
        <w:t xml:space="preserve"> ، ج 3 ، ص 176 ، ح 3664 ، معلّقاً عن عليّ بن يقطين ، عن أبي الحسن موسى بن جعفر </w:t>
      </w:r>
      <w:r w:rsidR="0061079A" w:rsidRPr="0061079A">
        <w:rPr>
          <w:rStyle w:val="libFootnoteAlaemChar"/>
          <w:rtl/>
        </w:rPr>
        <w:t>عليه‌السلام</w:t>
      </w:r>
      <w:r w:rsidR="00D10E3C">
        <w:rPr>
          <w:rtl/>
          <w:lang w:bidi="fa-IR"/>
        </w:rPr>
        <w:t xml:space="preserve"> </w:t>
      </w:r>
      <w:r w:rsidR="004722CE">
        <w:rPr>
          <w:rFonts w:hint="cs"/>
          <w:rtl/>
          <w:lang w:bidi="fa-IR"/>
        </w:rPr>
        <w:t>.</w:t>
      </w:r>
      <w:r w:rsidR="00744A1C" w:rsidRPr="00C24F9C">
        <w:rPr>
          <w:rStyle w:val="libFootnoteBoldChar"/>
          <w:rtl/>
        </w:rPr>
        <w:t>الوافي</w:t>
      </w:r>
      <w:r w:rsidR="00744A1C">
        <w:rPr>
          <w:rtl/>
          <w:lang w:bidi="fa-IR"/>
        </w:rPr>
        <w:t xml:space="preserve"> ، ج 17 ، ص 169 ، ح 17060 ؛ </w:t>
      </w:r>
      <w:r w:rsidR="00744A1C" w:rsidRPr="00C24F9C">
        <w:rPr>
          <w:rStyle w:val="libFootnoteBoldChar"/>
          <w:rtl/>
        </w:rPr>
        <w:t>الوسائل</w:t>
      </w:r>
      <w:r w:rsidR="00744A1C">
        <w:rPr>
          <w:rtl/>
          <w:lang w:bidi="fa-IR"/>
        </w:rPr>
        <w:t xml:space="preserve"> ، ج 17 ، ص 192 ، ذيل ح 22326.</w:t>
      </w:r>
    </w:p>
    <w:p w:rsidR="006A5060" w:rsidRDefault="006A5060" w:rsidP="00D10E3C">
      <w:pPr>
        <w:pStyle w:val="libNormal"/>
        <w:rPr>
          <w:rtl/>
          <w:lang w:bidi="fa-IR"/>
        </w:rPr>
      </w:pPr>
      <w:r>
        <w:rPr>
          <w:rtl/>
          <w:lang w:bidi="fa-IR"/>
        </w:rPr>
        <w:br w:type="page"/>
      </w:r>
    </w:p>
    <w:p w:rsidR="00144FA6" w:rsidRDefault="00744A1C" w:rsidP="00955510">
      <w:pPr>
        <w:pStyle w:val="libNormal0"/>
        <w:rPr>
          <w:rtl/>
          <w:lang w:bidi="fa-IR"/>
        </w:rPr>
      </w:pPr>
      <w:r>
        <w:rPr>
          <w:rtl/>
          <w:lang w:bidi="fa-IR"/>
        </w:rPr>
        <w:t>سَيْفِ بْنِ عَمِيرَةَ ، عَنْ أَبِي بَكْرٍ الْحَضْرَمِيِّ ، قَالَ :</w:t>
      </w:r>
    </w:p>
    <w:p w:rsidR="00744A1C" w:rsidRDefault="00744A1C" w:rsidP="00744A1C">
      <w:pPr>
        <w:pStyle w:val="libNormal"/>
        <w:rPr>
          <w:lang w:bidi="fa-IR"/>
        </w:rPr>
      </w:pPr>
      <w:r>
        <w:rPr>
          <w:rtl/>
          <w:lang w:bidi="fa-IR"/>
        </w:rPr>
        <w:t xml:space="preserve">دَخَلْنَا </w:t>
      </w:r>
      <w:r w:rsidRPr="00D10E3C">
        <w:rPr>
          <w:rStyle w:val="libFootnotenumChar"/>
          <w:rtl/>
        </w:rPr>
        <w:t>(1)</w:t>
      </w:r>
      <w:r>
        <w:rPr>
          <w:rtl/>
          <w:lang w:bidi="fa-IR"/>
        </w:rPr>
        <w:t xml:space="preserve"> عَلى أَبِي عَبْدِ اللهِ </w:t>
      </w:r>
      <w:r w:rsidRPr="00D10E3C">
        <w:rPr>
          <w:rStyle w:val="libFootnotenumChar"/>
          <w:rtl/>
        </w:rPr>
        <w:t>(2)</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فَقَالَ لَهُ حَكَمٌ السَّرَّاجُ : مَا تَرى </w:t>
      </w:r>
      <w:r w:rsidRPr="00D10E3C">
        <w:rPr>
          <w:rStyle w:val="libFootnotenumChar"/>
          <w:rtl/>
        </w:rPr>
        <w:t>(3)</w:t>
      </w:r>
      <w:r>
        <w:rPr>
          <w:rtl/>
          <w:lang w:bidi="fa-IR"/>
        </w:rPr>
        <w:t xml:space="preserve"> فِيمَنْ </w:t>
      </w:r>
      <w:r w:rsidRPr="00D10E3C">
        <w:rPr>
          <w:rStyle w:val="libFootnotenumChar"/>
          <w:rtl/>
        </w:rPr>
        <w:t>(4)</w:t>
      </w:r>
      <w:r>
        <w:rPr>
          <w:rtl/>
          <w:lang w:bidi="fa-IR"/>
        </w:rPr>
        <w:t xml:space="preserve"> يَحْمِلُ إِلَى الشَّامِ السُّرُوجَ </w:t>
      </w:r>
      <w:r w:rsidRPr="00D10E3C">
        <w:rPr>
          <w:rStyle w:val="libFootnotenumChar"/>
          <w:rtl/>
        </w:rPr>
        <w:t>(5)</w:t>
      </w:r>
      <w:r>
        <w:rPr>
          <w:rtl/>
          <w:lang w:bidi="fa-IR"/>
        </w:rPr>
        <w:t xml:space="preserve"> وَأَدَاتَهَا؟</w:t>
      </w:r>
    </w:p>
    <w:p w:rsidR="00144FA6" w:rsidRDefault="00744A1C" w:rsidP="00744A1C">
      <w:pPr>
        <w:pStyle w:val="libNormal"/>
        <w:rPr>
          <w:rtl/>
          <w:lang w:bidi="fa-IR"/>
        </w:rPr>
      </w:pPr>
      <w:r>
        <w:rPr>
          <w:rtl/>
          <w:lang w:bidi="fa-IR"/>
        </w:rPr>
        <w:t xml:space="preserve">فَقَالَ : « لَا بَأْسَ ، أَنْتُمُ الْيَوْمَ بِمَنْزِلَةِ أَصْحَابِ رَسُولِ اللهِ </w:t>
      </w:r>
      <w:r w:rsidRPr="00D10E3C">
        <w:rPr>
          <w:rStyle w:val="libFootnotenumChar"/>
          <w:rtl/>
        </w:rPr>
        <w:t>(6)</w:t>
      </w:r>
      <w:r>
        <w:rPr>
          <w:rtl/>
          <w:lang w:bidi="fa-IR"/>
        </w:rPr>
        <w:t xml:space="preserve"> </w:t>
      </w:r>
      <w:r w:rsidR="00B7470D" w:rsidRPr="00B7470D">
        <w:rPr>
          <w:rStyle w:val="libAlaemChar"/>
          <w:rtl/>
        </w:rPr>
        <w:t>صلى‌الله‌عليه‌وآله</w:t>
      </w:r>
      <w:r w:rsidR="00D10E3C">
        <w:rPr>
          <w:rtl/>
          <w:lang w:bidi="fa-IR"/>
        </w:rPr>
        <w:t xml:space="preserve"> </w:t>
      </w:r>
      <w:r w:rsidRPr="00D10E3C">
        <w:rPr>
          <w:rStyle w:val="libFootnotenumChar"/>
          <w:rtl/>
        </w:rPr>
        <w:t>(7)</w:t>
      </w:r>
      <w:r>
        <w:rPr>
          <w:rtl/>
          <w:lang w:bidi="fa-IR"/>
        </w:rPr>
        <w:t xml:space="preserve"> ، إِنَّكُمْ فِي هُدْنَةٍ </w:t>
      </w:r>
      <w:r w:rsidRPr="00D10E3C">
        <w:rPr>
          <w:rStyle w:val="libFootnotenumChar"/>
          <w:rtl/>
        </w:rPr>
        <w:t>(8)</w:t>
      </w:r>
      <w:r>
        <w:rPr>
          <w:rtl/>
          <w:lang w:bidi="fa-IR"/>
        </w:rPr>
        <w:t xml:space="preserve"> ، فَإِذَا كَانَتِ الْمُبَايَنَةُ حَرُمَ عَلَيْكُمْ أَنْ تَحْمِلُوا إِلَيْهِمُ </w:t>
      </w:r>
      <w:r w:rsidRPr="00D10E3C">
        <w:rPr>
          <w:rStyle w:val="libFootnotenumChar"/>
          <w:rtl/>
        </w:rPr>
        <w:t>(9)</w:t>
      </w:r>
      <w:r>
        <w:rPr>
          <w:rtl/>
          <w:lang w:bidi="fa-IR"/>
        </w:rPr>
        <w:t xml:space="preserve"> السُّرُوجَ وَالسِّلَاحَ </w:t>
      </w:r>
      <w:r w:rsidRPr="00D10E3C">
        <w:rPr>
          <w:rStyle w:val="libFootnotenumChar"/>
          <w:rtl/>
        </w:rPr>
        <w:t>(10)</w:t>
      </w:r>
      <w:r>
        <w:rPr>
          <w:rtl/>
          <w:lang w:bidi="fa-IR"/>
        </w:rPr>
        <w:t xml:space="preserve"> ». </w:t>
      </w:r>
      <w:r w:rsidRPr="00D10E3C">
        <w:rPr>
          <w:rStyle w:val="libFootnotenumChar"/>
          <w:rtl/>
        </w:rPr>
        <w:t>(11)</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4722CE" w:rsidTr="004722CE">
        <w:tc>
          <w:tcPr>
            <w:tcW w:w="4006" w:type="dxa"/>
          </w:tcPr>
          <w:p w:rsidR="004722CE" w:rsidRDefault="004722CE" w:rsidP="00D10E3C">
            <w:pPr>
              <w:pStyle w:val="libFootnote0"/>
              <w:rPr>
                <w:rtl/>
                <w:lang w:bidi="fa-IR"/>
              </w:rPr>
            </w:pPr>
            <w:r>
              <w:rPr>
                <w:rtl/>
                <w:lang w:bidi="fa-IR"/>
              </w:rPr>
              <w:t>(1). في « ط ، بف » : « دخلت ».</w:t>
            </w:r>
          </w:p>
        </w:tc>
        <w:tc>
          <w:tcPr>
            <w:tcW w:w="4006" w:type="dxa"/>
          </w:tcPr>
          <w:p w:rsidR="004722CE" w:rsidRDefault="004722CE" w:rsidP="00D10E3C">
            <w:pPr>
              <w:pStyle w:val="libFootnote0"/>
              <w:rPr>
                <w:rtl/>
                <w:lang w:bidi="fa-IR"/>
              </w:rPr>
            </w:pPr>
            <w:r>
              <w:rPr>
                <w:rtl/>
                <w:lang w:bidi="fa-IR"/>
              </w:rPr>
              <w:t>(2). في « بخ ، بف » : + « جعفر بن محمّد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الوسائل</w:t>
      </w:r>
      <w:r w:rsidR="00744A1C">
        <w:rPr>
          <w:rtl/>
          <w:lang w:bidi="fa-IR"/>
        </w:rPr>
        <w:t xml:space="preserve"> : « تقول ».</w:t>
      </w:r>
    </w:p>
    <w:p w:rsidR="00744A1C" w:rsidRDefault="00E378DD" w:rsidP="00E378DD">
      <w:pPr>
        <w:pStyle w:val="libFootnote0"/>
        <w:rPr>
          <w:lang w:bidi="fa-IR"/>
        </w:rPr>
      </w:pPr>
      <w:r>
        <w:rPr>
          <w:rtl/>
          <w:lang w:bidi="fa-IR"/>
        </w:rPr>
        <w:t>(4).</w:t>
      </w:r>
      <w:r w:rsidR="00744A1C">
        <w:rPr>
          <w:rtl/>
          <w:lang w:bidi="fa-IR"/>
        </w:rPr>
        <w:t xml:space="preserve"> في « بخ ، بف » وحاشية « بح » </w:t>
      </w:r>
      <w:r w:rsidR="00744A1C" w:rsidRPr="00FC6819">
        <w:rPr>
          <w:rtl/>
        </w:rPr>
        <w:t>والوافي والتهذيب والاستبصار</w:t>
      </w:r>
      <w:r w:rsidR="00744A1C">
        <w:rPr>
          <w:rtl/>
          <w:lang w:bidi="fa-IR"/>
        </w:rPr>
        <w:t xml:space="preserve"> : « فيما ».</w:t>
      </w:r>
    </w:p>
    <w:p w:rsidR="00744A1C" w:rsidRDefault="00E378DD" w:rsidP="00FC6819">
      <w:pPr>
        <w:pStyle w:val="libFootnote0"/>
        <w:rPr>
          <w:lang w:bidi="fa-IR"/>
        </w:rPr>
      </w:pPr>
      <w:r>
        <w:rPr>
          <w:rtl/>
          <w:lang w:bidi="fa-IR"/>
        </w:rPr>
        <w:t>(5).</w:t>
      </w:r>
      <w:r w:rsidR="00744A1C">
        <w:rPr>
          <w:rtl/>
          <w:lang w:bidi="fa-IR"/>
        </w:rPr>
        <w:t xml:space="preserve"> هكذا في جميع النسخ التي قوبلت </w:t>
      </w:r>
      <w:r w:rsidR="00744A1C" w:rsidRPr="00FC6819">
        <w:rPr>
          <w:rtl/>
        </w:rPr>
        <w:t>والوسائل.</w:t>
      </w:r>
      <w:r w:rsidR="00744A1C">
        <w:rPr>
          <w:rtl/>
          <w:lang w:bidi="fa-IR"/>
        </w:rPr>
        <w:t xml:space="preserve"> وفي المطبوع : « يحمل السروج إلى الشام ». وفي </w:t>
      </w:r>
      <w:r w:rsidR="00744A1C" w:rsidRPr="00FC6819">
        <w:rPr>
          <w:rtl/>
        </w:rPr>
        <w:t>الوافي :</w:t>
      </w:r>
      <w:r w:rsidR="00744A1C">
        <w:rPr>
          <w:rtl/>
          <w:lang w:bidi="fa-IR"/>
        </w:rPr>
        <w:t xml:space="preserve"> « يحمل إلى الشام من السروج ».</w:t>
      </w:r>
      <w:r w:rsidR="00FC6819">
        <w:rPr>
          <w:rFonts w:hint="cs"/>
          <w:rtl/>
          <w:lang w:bidi="fa-IR"/>
        </w:rPr>
        <w:t xml:space="preserve">                                       </w:t>
      </w: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أصحابه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بمنزلة أصحاب رسول الله </w:t>
      </w:r>
      <w:r w:rsidR="00F90866" w:rsidRPr="00F90866">
        <w:rPr>
          <w:rStyle w:val="libFootnoteAlaemChar"/>
          <w:rtl/>
        </w:rPr>
        <w:t>صلى‌الله‌عليه‌وآله</w:t>
      </w:r>
      <w:r w:rsidR="00744A1C">
        <w:rPr>
          <w:rtl/>
          <w:lang w:bidi="fa-IR"/>
        </w:rPr>
        <w:t xml:space="preserve"> ؛ يعني بعد وفاته </w:t>
      </w:r>
      <w:r w:rsidR="00F90866" w:rsidRPr="00F90866">
        <w:rPr>
          <w:rStyle w:val="libFootnoteAlaemChar"/>
          <w:rtl/>
        </w:rPr>
        <w:t>صلى‌الله‌عليه‌وآله</w:t>
      </w:r>
      <w:r w:rsidR="00744A1C">
        <w:rPr>
          <w:rtl/>
          <w:lang w:bidi="fa-IR"/>
        </w:rPr>
        <w:t xml:space="preserve"> واستقرار أمر الخلافة ، ويبيّنه قوله : « إنّكم في هدنة » أي في سكون ومصالحة ».</w:t>
      </w:r>
    </w:p>
    <w:p w:rsidR="00744A1C" w:rsidRDefault="00744A1C" w:rsidP="00FC6819">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19 ، ص 70 : « قوله </w:t>
      </w:r>
      <w:r w:rsidR="0061079A" w:rsidRPr="0061079A">
        <w:rPr>
          <w:rStyle w:val="libFootnoteAlaemChar"/>
          <w:rtl/>
        </w:rPr>
        <w:t>عليه‌السلام</w:t>
      </w:r>
      <w:r w:rsidR="00D10E3C">
        <w:rPr>
          <w:rtl/>
          <w:lang w:bidi="fa-IR"/>
        </w:rPr>
        <w:t xml:space="preserve"> </w:t>
      </w:r>
      <w:r>
        <w:rPr>
          <w:rtl/>
          <w:lang w:bidi="fa-IR"/>
        </w:rPr>
        <w:t xml:space="preserve">: بمنزلة أصحابه </w:t>
      </w:r>
      <w:r w:rsidR="0061079A" w:rsidRPr="0061079A">
        <w:rPr>
          <w:rStyle w:val="libFootnoteAlaemChar"/>
          <w:rtl/>
        </w:rPr>
        <w:t>عليه‌السلام</w:t>
      </w:r>
      <w:r w:rsidR="00D10E3C">
        <w:rPr>
          <w:rtl/>
          <w:lang w:bidi="fa-IR"/>
        </w:rPr>
        <w:t xml:space="preserve"> </w:t>
      </w:r>
      <w:r>
        <w:rPr>
          <w:rtl/>
          <w:lang w:bidi="fa-IR"/>
        </w:rPr>
        <w:t xml:space="preserve">، أي كمعاملة مؤمني أصحاب الرسول </w:t>
      </w:r>
      <w:r w:rsidR="00B7470D" w:rsidRPr="00955510">
        <w:rPr>
          <w:rStyle w:val="libFootnoteAlaemChar"/>
          <w:rtl/>
        </w:rPr>
        <w:t>صلى‌الله‌عليه‌وآله</w:t>
      </w:r>
      <w:r w:rsidR="00D10E3C">
        <w:rPr>
          <w:rtl/>
          <w:lang w:bidi="fa-IR"/>
        </w:rPr>
        <w:t xml:space="preserve"> </w:t>
      </w:r>
      <w:r>
        <w:rPr>
          <w:rtl/>
          <w:lang w:bidi="fa-IR"/>
        </w:rPr>
        <w:t xml:space="preserve">مع منافقيهم ؛ فإنّهم كانوا يجرون عليهم أحكام المسلمين ، وقيل : كمعاملة أصحابه </w:t>
      </w:r>
      <w:r w:rsidR="00F90866" w:rsidRPr="00F90866">
        <w:rPr>
          <w:rStyle w:val="libFootnoteAlaemChar"/>
          <w:rtl/>
        </w:rPr>
        <w:t>صلى‌الله‌عليه‌وآله</w:t>
      </w:r>
      <w:r>
        <w:rPr>
          <w:rtl/>
          <w:lang w:bidi="fa-IR"/>
        </w:rPr>
        <w:t xml:space="preserve"> بعد وفاته واستقرار الخلافة على الغاصبين ، وقيل : أي كمعاملة أصحابه </w:t>
      </w:r>
      <w:r w:rsidR="00FC6819" w:rsidRPr="00F90866">
        <w:rPr>
          <w:rStyle w:val="libFootnoteAlaemChar"/>
          <w:rtl/>
        </w:rPr>
        <w:t>صلى‌الله‌عليه‌وآله</w:t>
      </w:r>
      <w:r w:rsidR="00FC6819">
        <w:rPr>
          <w:rtl/>
          <w:lang w:bidi="fa-IR"/>
        </w:rPr>
        <w:t xml:space="preserve"> </w:t>
      </w:r>
      <w:r>
        <w:rPr>
          <w:rtl/>
          <w:lang w:bidi="fa-IR"/>
        </w:rPr>
        <w:t xml:space="preserve">‌وسلم قبل الهجرة ؛ فإنّهم كانوا يبيعون السلاح من الكفّار. وقال الشهيد الثاني </w:t>
      </w:r>
      <w:r w:rsidR="00877682" w:rsidRPr="00877682">
        <w:rPr>
          <w:rStyle w:val="libFootnoteAlaemChar"/>
          <w:rtl/>
        </w:rPr>
        <w:t>رحمه‌الله</w:t>
      </w:r>
      <w:r w:rsidR="00FC6819" w:rsidRPr="00FC6819">
        <w:rPr>
          <w:rFonts w:hint="cs"/>
          <w:rtl/>
        </w:rPr>
        <w:t xml:space="preserve"> </w:t>
      </w:r>
      <w:r>
        <w:rPr>
          <w:rtl/>
          <w:lang w:bidi="fa-IR"/>
        </w:rPr>
        <w:t xml:space="preserve">في </w:t>
      </w:r>
      <w:r w:rsidRPr="00FC6819">
        <w:rPr>
          <w:rStyle w:val="libFootnoteBoldChar"/>
          <w:rtl/>
        </w:rPr>
        <w:t>المسالك</w:t>
      </w:r>
      <w:r>
        <w:rPr>
          <w:rtl/>
          <w:lang w:bidi="fa-IR"/>
        </w:rPr>
        <w:t xml:space="preserve"> : إنّما يحرم بيع السلاح مع قصد المساعدة ، أو في حال الحرب أو التهيّؤ له ، أمّا بدونهما فلا ، ولو باعهم ليستعينوا به على قتال الكفّار لم يحرم ، كما دلت عليه الرواية. وهذا كلّه فيما يعدُّ سلاحاً ، كالسيف والرمح ، وأمّا ما يعدُّ جنّة ، كالبيضة والدرع ونحوهما فلا يحرم ، وعلى تقدير النهي لو باع هل يصحّ ويملك الثمن ، أو يبطل؟ قولان : أظهرهما الثاني ؛ لرجوع النهي إلى نفس المعوَّض ». وراجع : </w:t>
      </w:r>
      <w:r w:rsidRPr="00877682">
        <w:rPr>
          <w:rStyle w:val="libFootnoteBoldChar"/>
          <w:rtl/>
        </w:rPr>
        <w:t>مسالك الأفهام</w:t>
      </w:r>
      <w:r>
        <w:rPr>
          <w:rtl/>
          <w:lang w:bidi="fa-IR"/>
        </w:rPr>
        <w:t xml:space="preserve"> ، ج 3 ، ص 123.</w:t>
      </w:r>
    </w:p>
    <w:p w:rsidR="00744A1C" w:rsidRDefault="00E378DD" w:rsidP="00517FEF">
      <w:pPr>
        <w:pStyle w:val="libFootnote0"/>
        <w:rPr>
          <w:lang w:bidi="fa-IR"/>
        </w:rPr>
      </w:pPr>
      <w:r>
        <w:rPr>
          <w:rtl/>
          <w:lang w:bidi="fa-IR"/>
        </w:rPr>
        <w:t>(8).</w:t>
      </w:r>
      <w:r w:rsidR="00744A1C">
        <w:rPr>
          <w:rtl/>
          <w:lang w:bidi="fa-IR"/>
        </w:rPr>
        <w:t xml:space="preserve"> « الهُدْنة » : السكون ، والهدنة : الصلح والموادعة بين المسلمين والكفّار وبين كلّ متحاربين. </w:t>
      </w:r>
      <w:r w:rsidR="00744A1C" w:rsidRPr="00877682">
        <w:rPr>
          <w:rStyle w:val="libFootnoteBoldChar"/>
          <w:rtl/>
        </w:rPr>
        <w:t>النهاية</w:t>
      </w:r>
      <w:r w:rsidR="00744A1C">
        <w:rPr>
          <w:rtl/>
          <w:lang w:bidi="fa-IR"/>
        </w:rPr>
        <w:t xml:space="preserve"> ، ج 5 ، ص 252 ( هدن ).</w:t>
      </w:r>
      <w:r w:rsidR="00517FEF">
        <w:rPr>
          <w:rFonts w:hint="cs"/>
          <w:rtl/>
          <w:lang w:bidi="fa-IR"/>
        </w:rPr>
        <w:t xml:space="preserve">                                    </w:t>
      </w:r>
      <w:r>
        <w:rPr>
          <w:rtl/>
          <w:lang w:bidi="fa-IR"/>
        </w:rPr>
        <w:t>(9).</w:t>
      </w:r>
      <w:r w:rsidR="00744A1C">
        <w:rPr>
          <w:rtl/>
          <w:lang w:bidi="fa-IR"/>
        </w:rPr>
        <w:t xml:space="preserve"> في « ط » : - « إليهم ».</w:t>
      </w:r>
    </w:p>
    <w:p w:rsidR="00144FA6" w:rsidRDefault="00E378DD" w:rsidP="00E378DD">
      <w:pPr>
        <w:pStyle w:val="libFootnote0"/>
        <w:rPr>
          <w:rtl/>
          <w:lang w:bidi="fa-IR"/>
        </w:rPr>
      </w:pPr>
      <w:r>
        <w:rPr>
          <w:rtl/>
          <w:lang w:bidi="fa-IR"/>
        </w:rPr>
        <w:t>(10).</w:t>
      </w:r>
      <w:r w:rsidR="00744A1C">
        <w:rPr>
          <w:rtl/>
          <w:lang w:bidi="fa-IR"/>
        </w:rPr>
        <w:t xml:space="preserve"> في هامش </w:t>
      </w:r>
      <w:r w:rsidR="00744A1C" w:rsidRPr="00C24F9C">
        <w:rPr>
          <w:rStyle w:val="libFootnoteBoldChar"/>
          <w:rtl/>
        </w:rPr>
        <w:t>الوافي</w:t>
      </w:r>
      <w:r w:rsidR="00744A1C">
        <w:rPr>
          <w:rtl/>
          <w:lang w:bidi="fa-IR"/>
        </w:rPr>
        <w:t xml:space="preserve"> عن المحقّق الشعراني : « بيع السلاح لأعداء الدين حرام ، سواء كان في حال الحرب ، أو حال الهدنة ، أمّا حال الحرب فواضح ، وأمّا حال الهدنة فلأنّ بيع السلاح لهم تقوية على المسلمين ومظنّة الإضرار دائماً. ولكنّ الكلام في بيع السلاح لهم نظير الكلام في إعانة الظالمين ، والمتبادر منه العدوّ من حيث هو عدوّ بأن يكون السلاح بيدهم سبباً لتضعيف المؤمنين وقهرهم ، فإن باع السلاح لعدوّ يدفع به عدوّاً أشدّ وأقوى جاز ، مثل أن يبيع السلاح لأهل</w:t>
      </w:r>
      <w:r w:rsidR="00517FEF">
        <w:rPr>
          <w:rFonts w:hint="cs"/>
          <w:rtl/>
          <w:lang w:bidi="fa-IR"/>
        </w:rPr>
        <w:t xml:space="preserve"> </w:t>
      </w:r>
      <w:r w:rsidR="000365AC">
        <w:rPr>
          <w:rtl/>
          <w:lang w:bidi="fa-IR"/>
        </w:rPr>
        <w:t xml:space="preserve">الذمّة ليدفعوا المشركين. وقد جوّز في هذا الخبر وما بعده بيع السلاح لأهل </w:t>
      </w:r>
      <w:r w:rsidR="00517FEF">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8530 / 2. أَحْمَدُ بْنُ مُحَمَّدٍ </w:t>
      </w:r>
      <w:r w:rsidRPr="00D10E3C">
        <w:rPr>
          <w:rStyle w:val="libFootnotenumChar"/>
          <w:rtl/>
        </w:rPr>
        <w:t>(1)</w:t>
      </w:r>
      <w:r>
        <w:rPr>
          <w:rtl/>
          <w:lang w:bidi="fa-IR"/>
        </w:rPr>
        <w:t xml:space="preserve"> ، عَنِ ابْنِ مَحْبُوبٍ ، عَنْ عَلِيِّ بْنِ الْحَسَنِ </w:t>
      </w:r>
      <w:r w:rsidRPr="00D10E3C">
        <w:rPr>
          <w:rStyle w:val="libFootnotenumChar"/>
          <w:rtl/>
        </w:rPr>
        <w:t>(2)</w:t>
      </w:r>
      <w:r>
        <w:rPr>
          <w:rtl/>
          <w:lang w:bidi="fa-IR"/>
        </w:rPr>
        <w:t xml:space="preserve"> بْنِ رِبَاطٍ ، عَنْ أَبِي سَارَةَ ، عَنْ هِنْدٍ السَّرَّاجِ ، قَالَ :</w:t>
      </w:r>
    </w:p>
    <w:p w:rsidR="00744A1C" w:rsidRDefault="00744A1C" w:rsidP="00744A1C">
      <w:pPr>
        <w:pStyle w:val="libNormal"/>
        <w:rPr>
          <w:lang w:bidi="fa-IR"/>
        </w:rPr>
      </w:pPr>
      <w:r>
        <w:rPr>
          <w:rtl/>
          <w:lang w:bidi="fa-IR"/>
        </w:rPr>
        <w:t xml:space="preserve">قُلْتُ لِأَبِي جَعْفَرٍ </w:t>
      </w:r>
      <w:r w:rsidR="0061079A" w:rsidRPr="0061079A">
        <w:rPr>
          <w:rStyle w:val="libAlaemChar"/>
          <w:rtl/>
        </w:rPr>
        <w:t>عليه‌السلام</w:t>
      </w:r>
      <w:r w:rsidR="00D10E3C">
        <w:rPr>
          <w:rtl/>
          <w:lang w:bidi="fa-IR"/>
        </w:rPr>
        <w:t xml:space="preserve"> </w:t>
      </w:r>
      <w:r>
        <w:rPr>
          <w:rtl/>
          <w:lang w:bidi="fa-IR"/>
        </w:rPr>
        <w:t xml:space="preserve">: أَصْلَحَكَ اللهُ ، إِنِّي كُنْتُ أَحْمِلُ السِّلَاحَ إِلى أَهْلِ الشَّامِ ، فَأَبِيعُهُ مِنْهُمْ ، فَلَمَّا أَنْ </w:t>
      </w:r>
      <w:r w:rsidRPr="00D10E3C">
        <w:rPr>
          <w:rStyle w:val="libFootnotenumChar"/>
          <w:rtl/>
        </w:rPr>
        <w:t>(3)</w:t>
      </w:r>
      <w:r>
        <w:rPr>
          <w:rtl/>
          <w:lang w:bidi="fa-IR"/>
        </w:rPr>
        <w:t xml:space="preserve"> عَرَّفَنِيَ اللهُ هذَا الْأَمْرَ ضِقْتُ بِذلِكَ ، وَقُلْتُ : لَا أَحْمِلُ إِلى أَعْدَاءِ اللهِ.</w:t>
      </w:r>
    </w:p>
    <w:p w:rsidR="00144FA6" w:rsidRDefault="00744A1C" w:rsidP="00744A1C">
      <w:pPr>
        <w:pStyle w:val="libNormal"/>
        <w:rPr>
          <w:rtl/>
          <w:lang w:bidi="fa-IR"/>
        </w:rPr>
      </w:pPr>
      <w:r>
        <w:rPr>
          <w:rtl/>
          <w:lang w:bidi="fa-IR"/>
        </w:rPr>
        <w:t xml:space="preserve">فَقَالَ لِي </w:t>
      </w:r>
      <w:r w:rsidRPr="00D10E3C">
        <w:rPr>
          <w:rStyle w:val="libFootnotenumChar"/>
          <w:rtl/>
        </w:rPr>
        <w:t>(4)</w:t>
      </w:r>
      <w:r>
        <w:rPr>
          <w:rtl/>
          <w:lang w:bidi="fa-IR"/>
        </w:rPr>
        <w:t xml:space="preserve"> : « احْمِلْ إِلَيْهِمْ ؛ فَإِنَّ اللهَ يَدْفَعُ بِهِمْ عَدُوَّنَا وَعَدُوَّكُمْ </w:t>
      </w:r>
      <w:r w:rsidRPr="00D10E3C">
        <w:rPr>
          <w:rStyle w:val="libFootnotenumChar"/>
          <w:rtl/>
        </w:rPr>
        <w:t>(5)</w:t>
      </w:r>
      <w:r>
        <w:rPr>
          <w:rtl/>
          <w:lang w:bidi="fa-IR"/>
        </w:rPr>
        <w:t xml:space="preserve"> - يَعْنِي الرُّومَ - وَبِعْهُمْ </w:t>
      </w:r>
      <w:r w:rsidRPr="00D10E3C">
        <w:rPr>
          <w:rStyle w:val="libFootnotenumChar"/>
          <w:rtl/>
        </w:rPr>
        <w:t>(6)</w:t>
      </w:r>
      <w:r>
        <w:rPr>
          <w:rtl/>
          <w:lang w:bidi="fa-IR"/>
        </w:rPr>
        <w:t xml:space="preserve"> ، فَإِذَا كَانَتِ الْحَرْبُ بَيْنَنَا فَلَا تَحْمِلُوا </w:t>
      </w:r>
      <w:r w:rsidRPr="00D10E3C">
        <w:rPr>
          <w:rStyle w:val="libFootnotenumChar"/>
          <w:rtl/>
        </w:rPr>
        <w:t>(7)</w:t>
      </w:r>
      <w:r>
        <w:rPr>
          <w:rtl/>
          <w:lang w:bidi="fa-IR"/>
        </w:rPr>
        <w:t xml:space="preserve"> ، فَمَنْ حَمَلَ إِلى عَدُوِّنَا سِلَاحاً يَسْتَعِينُونَ بِهِ عَلَيْنَا ، فَهُوَ مُشْرِكٌ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0365AC" w:rsidP="00D10E3C">
      <w:pPr>
        <w:pStyle w:val="libFootnote0"/>
        <w:rPr>
          <w:lang w:bidi="fa-IR"/>
        </w:rPr>
      </w:pPr>
      <w:r>
        <w:rPr>
          <w:rFonts w:hint="cs"/>
          <w:rtl/>
          <w:lang w:bidi="fa-IR"/>
        </w:rPr>
        <w:t xml:space="preserve">= </w:t>
      </w:r>
      <w:r w:rsidR="00744A1C">
        <w:rPr>
          <w:rtl/>
          <w:lang w:bidi="fa-IR"/>
        </w:rPr>
        <w:t>الشام ليدفعوا الروم ، وكان أهل الشام متظاهرين بالإسلام يدفعون عنه كفرة الروم ، ولا تدلّ هذه الروايات على جواز بيع السلاح لأعداء الدين من حيث هم أعداء في حال الهدنة ، بل على جواز بيعه لمن يحفظ به الدين ويدفع به عن حوزة المسلمين.</w:t>
      </w:r>
    </w:p>
    <w:p w:rsidR="00744A1C" w:rsidRDefault="00744A1C" w:rsidP="00D10E3C">
      <w:pPr>
        <w:pStyle w:val="libFootnote0"/>
        <w:rPr>
          <w:lang w:bidi="fa-IR"/>
        </w:rPr>
      </w:pPr>
      <w:r>
        <w:rPr>
          <w:rtl/>
          <w:lang w:bidi="fa-IR"/>
        </w:rPr>
        <w:t>ومذهب ابن إدريس أنّه يجوز البيع في حال الهدنة وعدم التهيّؤ. والأصحّ المنع مطلقاً. وحكى شيخنا الأنصاري عن حواشي الشهيد أنّ بيع السلاح حرامٌ مطلقاً في حال الحرب والصلح والهدنة ؛ لأنّ فيه تقوية الكافر على المسلم ، فلا يجوز على كلّ حال. انتهى.</w:t>
      </w:r>
    </w:p>
    <w:p w:rsidR="00744A1C" w:rsidRDefault="00744A1C" w:rsidP="00D10E3C">
      <w:pPr>
        <w:pStyle w:val="libFootnote0"/>
        <w:rPr>
          <w:lang w:bidi="fa-IR"/>
        </w:rPr>
      </w:pPr>
      <w:r>
        <w:rPr>
          <w:rtl/>
          <w:lang w:bidi="fa-IR"/>
        </w:rPr>
        <w:t>قال بعد الحكاية : إنّه اجتهاد في مقابل النصّ.</w:t>
      </w:r>
    </w:p>
    <w:p w:rsidR="00744A1C" w:rsidRDefault="00744A1C" w:rsidP="00D10E3C">
      <w:pPr>
        <w:pStyle w:val="libFootnote0"/>
        <w:rPr>
          <w:lang w:bidi="fa-IR"/>
        </w:rPr>
      </w:pPr>
      <w:r>
        <w:rPr>
          <w:rtl/>
          <w:lang w:bidi="fa-IR"/>
        </w:rPr>
        <w:t xml:space="preserve">وليس كذلك ؛ لأنّ مادَلّ النصُّ على جوازه هو البيع من العدوّ ، لا من حيث هو عدوّ ، بل من حيث هو ناصرٌ ومعين في الجملة ، وأمّا العدوّ من حيث هو عدوّ فلا يجوز تقويته ولو في حال الصلح ، كما قال الشهيد </w:t>
      </w:r>
      <w:r w:rsidR="00877682" w:rsidRPr="00877682">
        <w:rPr>
          <w:rStyle w:val="libFootnoteAlaemChar"/>
          <w:rtl/>
        </w:rPr>
        <w:t>رحمه‌الله</w:t>
      </w:r>
      <w:r>
        <w:rPr>
          <w:rtl/>
          <w:lang w:bidi="fa-IR"/>
        </w:rPr>
        <w:t>».</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354 ، ح 1005 ؛ </w:t>
      </w:r>
      <w:r w:rsidR="00744A1C" w:rsidRPr="00C24F9C">
        <w:rPr>
          <w:rStyle w:val="libFootnoteBoldChar"/>
          <w:rtl/>
        </w:rPr>
        <w:t>والاستبصار</w:t>
      </w:r>
      <w:r w:rsidR="00744A1C">
        <w:rPr>
          <w:rtl/>
          <w:lang w:bidi="fa-IR"/>
        </w:rPr>
        <w:t xml:space="preserve"> ، ج 3 ، ص 57 ، ح 187 ، معلّقاً عن أحمد بن محمّد </w:t>
      </w:r>
      <w:r w:rsidR="00AC0B83">
        <w:rPr>
          <w:rFonts w:hint="cs"/>
          <w:rtl/>
          <w:lang w:bidi="fa-IR"/>
        </w:rPr>
        <w:t>.</w:t>
      </w:r>
      <w:r w:rsidR="00744A1C" w:rsidRPr="00C24F9C">
        <w:rPr>
          <w:rStyle w:val="libFootnoteBoldChar"/>
          <w:rtl/>
        </w:rPr>
        <w:t>الوافي</w:t>
      </w:r>
      <w:r w:rsidR="00744A1C">
        <w:rPr>
          <w:rtl/>
          <w:lang w:bidi="fa-IR"/>
        </w:rPr>
        <w:t xml:space="preserve"> ، ج 17 ، ص 173 ، ح 17066 ؛ </w:t>
      </w:r>
      <w:r w:rsidR="00744A1C" w:rsidRPr="00C24F9C">
        <w:rPr>
          <w:rStyle w:val="libFootnoteBoldChar"/>
          <w:rtl/>
        </w:rPr>
        <w:t>الوسائل</w:t>
      </w:r>
      <w:r w:rsidR="00744A1C">
        <w:rPr>
          <w:rtl/>
          <w:lang w:bidi="fa-IR"/>
        </w:rPr>
        <w:t xml:space="preserve"> ، ج 17 ، ص 101 ، ح 22086.</w:t>
      </w:r>
    </w:p>
    <w:p w:rsidR="00744A1C" w:rsidRDefault="00D10E3C" w:rsidP="00D10E3C">
      <w:pPr>
        <w:pStyle w:val="libFootnote0"/>
        <w:rPr>
          <w:lang w:bidi="fa-IR"/>
        </w:rPr>
      </w:pPr>
      <w:r>
        <w:rPr>
          <w:rtl/>
          <w:lang w:bidi="fa-IR"/>
        </w:rPr>
        <w:t>(1).</w:t>
      </w:r>
      <w:r w:rsidR="00744A1C">
        <w:rPr>
          <w:rtl/>
          <w:lang w:bidi="fa-IR"/>
        </w:rPr>
        <w:t xml:space="preserve"> السند معلّق على سابقه. ويروي عن أحمد بن محمّد ، عدّة من أصحابنا.</w:t>
      </w:r>
    </w:p>
    <w:p w:rsidR="00744A1C" w:rsidRDefault="00E378DD" w:rsidP="00E378DD">
      <w:pPr>
        <w:pStyle w:val="libFootnote0"/>
        <w:rPr>
          <w:lang w:bidi="fa-IR"/>
        </w:rPr>
      </w:pPr>
      <w:r>
        <w:rPr>
          <w:rtl/>
          <w:lang w:bidi="fa-IR"/>
        </w:rPr>
        <w:t>(2).</w:t>
      </w:r>
      <w:r w:rsidR="00744A1C">
        <w:rPr>
          <w:rtl/>
          <w:lang w:bidi="fa-IR"/>
        </w:rPr>
        <w:t xml:space="preserve"> في « ى ، بس ، بف ، جد ، جن » وحاشية « جت » : « الحسين ». وهو سهو ؛ فقد روى الحسن بن محبوب كتاب عليّ بن الحسن بن رباط ، ووردت روايته عنه في عدّة من الأسناد. راجع : </w:t>
      </w:r>
      <w:r w:rsidR="00744A1C" w:rsidRPr="003A7143">
        <w:rPr>
          <w:rStyle w:val="libFootnoteBoldChar"/>
          <w:rtl/>
        </w:rPr>
        <w:t>الفهرست للطوسي</w:t>
      </w:r>
      <w:r w:rsidR="00744A1C">
        <w:rPr>
          <w:rtl/>
          <w:lang w:bidi="fa-IR"/>
        </w:rPr>
        <w:t xml:space="preserve"> ، ص 269 ، الرقم 388 ؛ </w:t>
      </w:r>
      <w:r w:rsidR="00744A1C" w:rsidRPr="0061079A">
        <w:rPr>
          <w:rStyle w:val="libFootnoteBoldChar"/>
          <w:rtl/>
        </w:rPr>
        <w:t>معجم رجال الحديث</w:t>
      </w:r>
      <w:r w:rsidR="00744A1C">
        <w:rPr>
          <w:rtl/>
          <w:lang w:bidi="fa-IR"/>
        </w:rPr>
        <w:t xml:space="preserve"> ، ج 5 ، ص 359 ، وج 23 ، ص 270.</w:t>
      </w:r>
    </w:p>
    <w:p w:rsidR="00744A1C" w:rsidRDefault="00E378DD" w:rsidP="00E378DD">
      <w:pPr>
        <w:pStyle w:val="libFootnote0"/>
        <w:rPr>
          <w:lang w:bidi="fa-IR"/>
        </w:rPr>
      </w:pPr>
      <w:r>
        <w:rPr>
          <w:rtl/>
          <w:lang w:bidi="fa-IR"/>
        </w:rPr>
        <w:t>(3).</w:t>
      </w:r>
      <w:r w:rsidR="00744A1C">
        <w:rPr>
          <w:rtl/>
          <w:lang w:bidi="fa-IR"/>
        </w:rPr>
        <w:t xml:space="preserve"> في « ط ، بح ، بس ، جت ، ج</w:t>
      </w:r>
      <w:r w:rsidR="00744A1C" w:rsidRPr="00AC0B83">
        <w:rPr>
          <w:rtl/>
        </w:rPr>
        <w:t xml:space="preserve">د ، جن » والوسائل والفقيه والتهذيب والاستبصار </w:t>
      </w:r>
      <w:r w:rsidR="00744A1C">
        <w:rPr>
          <w:rtl/>
          <w:lang w:bidi="fa-IR"/>
        </w:rPr>
        <w:t>: - « أن ».</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w:t>
      </w:r>
      <w:r w:rsidR="00744A1C" w:rsidRPr="00AC0B83">
        <w:rPr>
          <w:rtl/>
        </w:rPr>
        <w:t>والوسائل والتهذيب والاستبصار.</w:t>
      </w:r>
      <w:r w:rsidR="00744A1C">
        <w:rPr>
          <w:rtl/>
          <w:lang w:bidi="fa-IR"/>
        </w:rPr>
        <w:t xml:space="preserve"> وفي المطبوع و</w:t>
      </w:r>
      <w:r w:rsidR="00744A1C" w:rsidRPr="00C24F9C">
        <w:rPr>
          <w:rStyle w:val="libFootnoteBoldChar"/>
          <w:rtl/>
        </w:rPr>
        <w:t>الوافي</w:t>
      </w:r>
      <w:r w:rsidR="00744A1C">
        <w:rPr>
          <w:rtl/>
          <w:lang w:bidi="fa-IR"/>
        </w:rPr>
        <w:t xml:space="preserve"> : - « لي ».</w:t>
      </w:r>
    </w:p>
    <w:tbl>
      <w:tblPr>
        <w:tblStyle w:val="TableGrid"/>
        <w:bidiVisual/>
        <w:tblW w:w="0" w:type="auto"/>
        <w:tblLook w:val="04A0" w:firstRow="1" w:lastRow="0" w:firstColumn="1" w:lastColumn="0" w:noHBand="0" w:noVBand="1"/>
      </w:tblPr>
      <w:tblGrid>
        <w:gridCol w:w="4006"/>
        <w:gridCol w:w="4006"/>
      </w:tblGrid>
      <w:tr w:rsidR="00AC0B83" w:rsidTr="00AC0B83">
        <w:tc>
          <w:tcPr>
            <w:tcW w:w="4006" w:type="dxa"/>
          </w:tcPr>
          <w:p w:rsidR="00AC0B83" w:rsidRDefault="00AC0B83" w:rsidP="00E378DD">
            <w:pPr>
              <w:pStyle w:val="libFootnote0"/>
              <w:rPr>
                <w:rtl/>
                <w:lang w:bidi="fa-IR"/>
              </w:rPr>
            </w:pPr>
            <w:r>
              <w:rPr>
                <w:rtl/>
                <w:lang w:bidi="fa-IR"/>
              </w:rPr>
              <w:t>(5). في « ط » : « عدوّكم وعدوّنا ».</w:t>
            </w:r>
          </w:p>
        </w:tc>
        <w:tc>
          <w:tcPr>
            <w:tcW w:w="4006" w:type="dxa"/>
          </w:tcPr>
          <w:p w:rsidR="00AC0B83" w:rsidRDefault="00AC0B83" w:rsidP="00E378DD">
            <w:pPr>
              <w:pStyle w:val="libFootnote0"/>
              <w:rPr>
                <w:rtl/>
                <w:lang w:bidi="fa-IR"/>
              </w:rPr>
            </w:pPr>
            <w:r>
              <w:rPr>
                <w:rtl/>
                <w:lang w:bidi="fa-IR"/>
              </w:rPr>
              <w:t>(6). في« جد»وحاشية « جن » و</w:t>
            </w:r>
            <w:r w:rsidRPr="00C24F9C">
              <w:rPr>
                <w:rStyle w:val="libFootnoteBoldChar"/>
                <w:rtl/>
              </w:rPr>
              <w:t>الوسائل</w:t>
            </w:r>
            <w:r>
              <w:rPr>
                <w:rtl/>
                <w:lang w:bidi="fa-IR"/>
              </w:rPr>
              <w:t xml:space="preserve"> : « وبعه ».</w:t>
            </w:r>
          </w:p>
        </w:tc>
      </w:tr>
    </w:tbl>
    <w:p w:rsidR="00744A1C" w:rsidRDefault="00E378DD" w:rsidP="00E378DD">
      <w:pPr>
        <w:pStyle w:val="libFootnote0"/>
        <w:rPr>
          <w:lang w:bidi="fa-IR"/>
        </w:rPr>
      </w:pPr>
      <w:r>
        <w:rPr>
          <w:rtl/>
          <w:lang w:bidi="fa-IR"/>
        </w:rPr>
        <w:t>(7).</w:t>
      </w:r>
      <w:r w:rsidR="00744A1C">
        <w:rPr>
          <w:rtl/>
          <w:lang w:bidi="fa-IR"/>
        </w:rPr>
        <w:t xml:space="preserve"> في « ط ، ى ، بح ، بس ، جد </w:t>
      </w:r>
      <w:r w:rsidR="00744A1C" w:rsidRPr="00AC0B83">
        <w:rPr>
          <w:rtl/>
        </w:rPr>
        <w:t>» والفقيه والتهذيب والاستبصار</w:t>
      </w:r>
      <w:r w:rsidR="00744A1C">
        <w:rPr>
          <w:rtl/>
          <w:lang w:bidi="fa-IR"/>
        </w:rPr>
        <w:t xml:space="preserve"> : - « فلا تحملوا ». وفي « جن » : « فلا تحمل ».</w:t>
      </w:r>
    </w:p>
    <w:p w:rsidR="00144FA6" w:rsidRDefault="00E378DD" w:rsidP="00E378DD">
      <w:pPr>
        <w:pStyle w:val="libFootnote0"/>
        <w:rPr>
          <w:rtl/>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3 ، ص 175 ، ح 3661 ؛ </w:t>
      </w:r>
      <w:r w:rsidR="00744A1C" w:rsidRPr="0061079A">
        <w:rPr>
          <w:rStyle w:val="libFootnoteBoldChar"/>
          <w:rtl/>
        </w:rPr>
        <w:t>والتهذيب</w:t>
      </w:r>
      <w:r w:rsidR="00744A1C">
        <w:rPr>
          <w:rtl/>
          <w:lang w:bidi="fa-IR"/>
        </w:rPr>
        <w:t xml:space="preserve"> ، ج 6 ، ص 353 ، ح 1004 ، </w:t>
      </w:r>
      <w:r w:rsidR="00744A1C" w:rsidRPr="00C24F9C">
        <w:rPr>
          <w:rStyle w:val="libFootnoteBoldChar"/>
          <w:rtl/>
        </w:rPr>
        <w:t>والاستبصار</w:t>
      </w:r>
      <w:r w:rsidR="00744A1C">
        <w:rPr>
          <w:rtl/>
          <w:lang w:bidi="fa-IR"/>
        </w:rPr>
        <w:t xml:space="preserve"> ، ج 3 ، ص 58 ،</w:t>
      </w:r>
      <w:r w:rsidR="00AC0B83">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8531 / 3. أَحْمَدُ بْنُ مُحَمَّدٍ </w:t>
      </w:r>
      <w:r w:rsidRPr="00D10E3C">
        <w:rPr>
          <w:rStyle w:val="libFootnotenumChar"/>
          <w:rtl/>
        </w:rPr>
        <w:t>(1)</w:t>
      </w:r>
      <w:r>
        <w:rPr>
          <w:rtl/>
          <w:lang w:bidi="fa-IR"/>
        </w:rPr>
        <w:t xml:space="preserve"> ، عَنْ عَلِيِّ بْنِ الْحَكَمِ ، عَنْ هِشَامِ بْنِ سَالِمٍ ، عَنْ مُحَمَّدِ بْنِ قَيْسٍ ، قَالَ :</w:t>
      </w:r>
    </w:p>
    <w:p w:rsidR="00144FA6" w:rsidRDefault="00744A1C" w:rsidP="00744A1C">
      <w:pPr>
        <w:pStyle w:val="libNormal"/>
        <w:rPr>
          <w:rtl/>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الْفِئَتَيْنِ تَلْتَقِيَانِ </w:t>
      </w:r>
      <w:r w:rsidRPr="00D10E3C">
        <w:rPr>
          <w:rStyle w:val="libFootnotenumChar"/>
          <w:rtl/>
        </w:rPr>
        <w:t>(2)</w:t>
      </w:r>
      <w:r>
        <w:rPr>
          <w:rtl/>
          <w:lang w:bidi="fa-IR"/>
        </w:rPr>
        <w:t xml:space="preserve"> مِنْ أَهْلِ الْبَاطِلِ ، أَبِيعُهُمَا </w:t>
      </w:r>
      <w:r w:rsidRPr="00D10E3C">
        <w:rPr>
          <w:rStyle w:val="libFootnotenumChar"/>
          <w:rtl/>
        </w:rPr>
        <w:t>(3)</w:t>
      </w:r>
      <w:r>
        <w:rPr>
          <w:rtl/>
          <w:lang w:bidi="fa-IR"/>
        </w:rPr>
        <w:t xml:space="preserve"> السِّلَاحَ؟ فَقَالَ </w:t>
      </w:r>
      <w:r w:rsidRPr="00D10E3C">
        <w:rPr>
          <w:rStyle w:val="libFootnotenumChar"/>
          <w:rtl/>
        </w:rPr>
        <w:t>(4)</w:t>
      </w:r>
      <w:r>
        <w:rPr>
          <w:rtl/>
          <w:lang w:bidi="fa-IR"/>
        </w:rPr>
        <w:t xml:space="preserve"> : « بِعْهُمَا مَا يَكُنُّهُمَا </w:t>
      </w:r>
      <w:r w:rsidRPr="00D10E3C">
        <w:rPr>
          <w:rStyle w:val="libFootnotenumChar"/>
          <w:rtl/>
        </w:rPr>
        <w:t>(5)</w:t>
      </w:r>
      <w:r>
        <w:rPr>
          <w:rtl/>
          <w:lang w:bidi="fa-IR"/>
        </w:rPr>
        <w:t xml:space="preserve"> : الدِّرْعَ </w:t>
      </w:r>
      <w:r w:rsidRPr="00D10E3C">
        <w:rPr>
          <w:rStyle w:val="libFootnotenumChar"/>
          <w:rtl/>
        </w:rPr>
        <w:t>(6)</w:t>
      </w:r>
      <w:r>
        <w:rPr>
          <w:rtl/>
          <w:lang w:bidi="fa-IR"/>
        </w:rPr>
        <w:t xml:space="preserve"> وَالْخُفَّيْنِ </w:t>
      </w:r>
      <w:r w:rsidRPr="00D10E3C">
        <w:rPr>
          <w:rStyle w:val="libFootnotenumChar"/>
          <w:rtl/>
        </w:rPr>
        <w:t>(7)</w:t>
      </w:r>
      <w:r>
        <w:rPr>
          <w:rtl/>
          <w:lang w:bidi="fa-IR"/>
        </w:rPr>
        <w:t xml:space="preserve"> وَنَحْوَ هذَا ». </w:t>
      </w:r>
      <w:r w:rsidRPr="00D10E3C">
        <w:rPr>
          <w:rStyle w:val="libFootnotenumChar"/>
          <w:rtl/>
        </w:rPr>
        <w:t>(8)</w:t>
      </w:r>
    </w:p>
    <w:p w:rsidR="00144FA6" w:rsidRDefault="00744A1C" w:rsidP="00744A1C">
      <w:pPr>
        <w:pStyle w:val="libNormal"/>
        <w:rPr>
          <w:rtl/>
          <w:lang w:bidi="fa-IR"/>
        </w:rPr>
      </w:pPr>
      <w:r>
        <w:rPr>
          <w:rtl/>
          <w:lang w:bidi="fa-IR"/>
        </w:rPr>
        <w:t xml:space="preserve">8532 / 4. أَحْمَدُ بْنُ مُحَمَّدٍ </w:t>
      </w:r>
      <w:r w:rsidRPr="00D10E3C">
        <w:rPr>
          <w:rStyle w:val="libFootnotenumChar"/>
          <w:rtl/>
        </w:rPr>
        <w:t>(9)</w:t>
      </w:r>
      <w:r>
        <w:rPr>
          <w:rtl/>
          <w:lang w:bidi="fa-IR"/>
        </w:rPr>
        <w:t xml:space="preserve"> ، عَنْ أَبِي عَبْدِ اللهِ الْبَرْقِيِّ ، عَنِ السَّرَّادِ </w:t>
      </w:r>
      <w:r w:rsidRPr="00D10E3C">
        <w:rPr>
          <w:rStyle w:val="libFootnotenumChar"/>
          <w:rtl/>
        </w:rPr>
        <w:t>(10)</w:t>
      </w:r>
      <w:r>
        <w:rPr>
          <w:rtl/>
          <w:lang w:bidi="fa-IR"/>
        </w:rPr>
        <w:t xml:space="preserve"> :</w:t>
      </w:r>
    </w:p>
    <w:p w:rsidR="00744A1C" w:rsidRDefault="00744A1C" w:rsidP="00D10E3C">
      <w:pPr>
        <w:pStyle w:val="libLine"/>
        <w:rPr>
          <w:lang w:bidi="fa-IR"/>
        </w:rPr>
      </w:pPr>
      <w:r>
        <w:rPr>
          <w:rtl/>
          <w:lang w:bidi="fa-IR"/>
        </w:rPr>
        <w:t>____________________</w:t>
      </w:r>
    </w:p>
    <w:p w:rsidR="00744A1C" w:rsidRDefault="00C921F7" w:rsidP="00D10E3C">
      <w:pPr>
        <w:pStyle w:val="libFootnote0"/>
        <w:rPr>
          <w:lang w:bidi="fa-IR"/>
        </w:rPr>
      </w:pPr>
      <w:r>
        <w:rPr>
          <w:rFonts w:hint="cs"/>
          <w:rtl/>
          <w:lang w:bidi="fa-IR"/>
        </w:rPr>
        <w:t xml:space="preserve">= </w:t>
      </w:r>
      <w:r w:rsidR="00744A1C">
        <w:rPr>
          <w:rtl/>
          <w:lang w:bidi="fa-IR"/>
        </w:rPr>
        <w:t xml:space="preserve">ح 189 ، معلّقاً عن الحسن بن محبوب </w:t>
      </w:r>
      <w:r>
        <w:rPr>
          <w:rFonts w:hint="cs"/>
          <w:rtl/>
          <w:lang w:bidi="fa-IR"/>
        </w:rPr>
        <w:t>.</w:t>
      </w:r>
      <w:r w:rsidR="00744A1C" w:rsidRPr="00C24F9C">
        <w:rPr>
          <w:rStyle w:val="libFootnoteBoldChar"/>
          <w:rtl/>
        </w:rPr>
        <w:t>الوافي</w:t>
      </w:r>
      <w:r w:rsidR="00744A1C">
        <w:rPr>
          <w:rtl/>
          <w:lang w:bidi="fa-IR"/>
        </w:rPr>
        <w:t xml:space="preserve"> ، ج 17 ، ص 174 ، ح 17067 ؛ </w:t>
      </w:r>
      <w:r w:rsidR="00744A1C" w:rsidRPr="00C24F9C">
        <w:rPr>
          <w:rStyle w:val="libFootnoteBoldChar"/>
          <w:rtl/>
        </w:rPr>
        <w:t>الوسائل</w:t>
      </w:r>
      <w:r w:rsidR="00744A1C">
        <w:rPr>
          <w:rtl/>
          <w:lang w:bidi="fa-IR"/>
        </w:rPr>
        <w:t xml:space="preserve"> ، ج 17 ، ص 101 ، ح 22087.</w:t>
      </w:r>
    </w:p>
    <w:tbl>
      <w:tblPr>
        <w:tblStyle w:val="TableGrid"/>
        <w:bidiVisual/>
        <w:tblW w:w="0" w:type="auto"/>
        <w:tblLook w:val="04A0" w:firstRow="1" w:lastRow="0" w:firstColumn="1" w:lastColumn="0" w:noHBand="0" w:noVBand="1"/>
      </w:tblPr>
      <w:tblGrid>
        <w:gridCol w:w="4006"/>
        <w:gridCol w:w="4006"/>
      </w:tblGrid>
      <w:tr w:rsidR="00C921F7" w:rsidTr="00C921F7">
        <w:tc>
          <w:tcPr>
            <w:tcW w:w="4006" w:type="dxa"/>
          </w:tcPr>
          <w:p w:rsidR="00C921F7" w:rsidRDefault="00C921F7" w:rsidP="00D10E3C">
            <w:pPr>
              <w:pStyle w:val="libFootnote0"/>
              <w:rPr>
                <w:rtl/>
                <w:lang w:bidi="fa-IR"/>
              </w:rPr>
            </w:pPr>
            <w:r>
              <w:rPr>
                <w:rtl/>
                <w:lang w:bidi="fa-IR"/>
              </w:rPr>
              <w:t>(1). السند معلّق ، كسابقه.</w:t>
            </w:r>
          </w:p>
        </w:tc>
        <w:tc>
          <w:tcPr>
            <w:tcW w:w="4006" w:type="dxa"/>
          </w:tcPr>
          <w:p w:rsidR="00C921F7" w:rsidRDefault="00C921F7" w:rsidP="00D10E3C">
            <w:pPr>
              <w:pStyle w:val="libFootnote0"/>
              <w:rPr>
                <w:rtl/>
                <w:lang w:bidi="fa-IR"/>
              </w:rPr>
            </w:pPr>
            <w:r>
              <w:rPr>
                <w:rtl/>
                <w:lang w:bidi="fa-IR"/>
              </w:rPr>
              <w:t>(2). في « بف ، جت ، جد » والتحف : « يلتقيان ».</w:t>
            </w:r>
          </w:p>
        </w:tc>
      </w:tr>
    </w:tbl>
    <w:p w:rsidR="00744A1C" w:rsidRDefault="00E378DD" w:rsidP="00E378DD">
      <w:pPr>
        <w:pStyle w:val="libFootnote0"/>
        <w:rPr>
          <w:lang w:bidi="fa-IR"/>
        </w:rPr>
      </w:pPr>
      <w:r>
        <w:rPr>
          <w:rtl/>
          <w:lang w:bidi="fa-IR"/>
        </w:rPr>
        <w:t>(3).</w:t>
      </w:r>
      <w:r w:rsidR="00744A1C">
        <w:rPr>
          <w:rtl/>
          <w:lang w:bidi="fa-IR"/>
        </w:rPr>
        <w:t xml:space="preserve"> هكذا في « ط ، ى ، بح ، بف ، جت ، جد </w:t>
      </w:r>
      <w:r w:rsidR="00744A1C" w:rsidRPr="00C921F7">
        <w:rPr>
          <w:rtl/>
        </w:rPr>
        <w:t>» والوافي والوسائل والتهذيب والاستبصار</w:t>
      </w:r>
      <w:r w:rsidR="00744A1C">
        <w:rPr>
          <w:rtl/>
          <w:lang w:bidi="fa-IR"/>
        </w:rPr>
        <w:t xml:space="preserve"> والتحف. وفي سائر النسخ والمطبوع : « أنبيعهما ».</w:t>
      </w:r>
    </w:p>
    <w:p w:rsidR="00744A1C" w:rsidRDefault="00E378DD" w:rsidP="00E378DD">
      <w:pPr>
        <w:pStyle w:val="libFootnote0"/>
        <w:rPr>
          <w:lang w:bidi="fa-IR"/>
        </w:rPr>
      </w:pPr>
      <w:r>
        <w:rPr>
          <w:rtl/>
          <w:lang w:bidi="fa-IR"/>
        </w:rPr>
        <w:t>(4).</w:t>
      </w:r>
      <w:r w:rsidR="00744A1C">
        <w:rPr>
          <w:rtl/>
          <w:lang w:bidi="fa-IR"/>
        </w:rPr>
        <w:t xml:space="preserve"> هكذا في معظم النسخ التي قوبلت </w:t>
      </w:r>
      <w:r w:rsidR="00744A1C" w:rsidRPr="00C921F7">
        <w:rPr>
          <w:rtl/>
        </w:rPr>
        <w:t>والوافي والوسائل والاستبصار والتحف</w:t>
      </w:r>
      <w:r w:rsidR="00744A1C">
        <w:rPr>
          <w:rtl/>
          <w:lang w:bidi="fa-IR"/>
        </w:rPr>
        <w:t>. وفي « ط » : - « فقال ». وفي المطبوع : « قال ».</w:t>
      </w:r>
    </w:p>
    <w:p w:rsidR="00744A1C" w:rsidRDefault="00E378DD" w:rsidP="00E378DD">
      <w:pPr>
        <w:pStyle w:val="libFootnote0"/>
        <w:rPr>
          <w:lang w:bidi="fa-IR"/>
        </w:rPr>
      </w:pPr>
      <w:r>
        <w:rPr>
          <w:rtl/>
          <w:lang w:bidi="fa-IR"/>
        </w:rPr>
        <w:t>(5).</w:t>
      </w:r>
      <w:r w:rsidR="00744A1C">
        <w:rPr>
          <w:rtl/>
          <w:lang w:bidi="fa-IR"/>
        </w:rPr>
        <w:t xml:space="preserve"> في « ط » : « يكفيهما ». و « يكنّهما » أي يسترهما ، يقال : كننته أكنّه ، من باب قتل ، أي سترته في كِنّه ، بالكسر ، وهو السُّتْرة ، وأكننته ، بالألف : أخفيته. راجع : </w:t>
      </w:r>
      <w:r w:rsidR="00744A1C" w:rsidRPr="00E978C3">
        <w:rPr>
          <w:rStyle w:val="libFootnoteBoldChar"/>
          <w:rtl/>
        </w:rPr>
        <w:t>المصباح المنير</w:t>
      </w:r>
      <w:r w:rsidR="00744A1C">
        <w:rPr>
          <w:rtl/>
          <w:lang w:bidi="fa-IR"/>
        </w:rPr>
        <w:t xml:space="preserve"> ، ص 542 ( كنن ).</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C921F7">
        <w:rPr>
          <w:rtl/>
        </w:rPr>
        <w:t>والوافي والوسائل والاستبصار والتحف</w:t>
      </w:r>
      <w:r w:rsidR="00744A1C">
        <w:rPr>
          <w:rtl/>
          <w:lang w:bidi="fa-IR"/>
        </w:rPr>
        <w:t>. وفي المطبوع : « كالدرع ».</w:t>
      </w:r>
    </w:p>
    <w:p w:rsidR="00744A1C" w:rsidRDefault="00E378DD" w:rsidP="00E378DD">
      <w:pPr>
        <w:pStyle w:val="libFootnote0"/>
        <w:rPr>
          <w:lang w:bidi="fa-IR"/>
        </w:rPr>
      </w:pPr>
      <w:r>
        <w:rPr>
          <w:rtl/>
          <w:lang w:bidi="fa-IR"/>
        </w:rPr>
        <w:t>(7).</w:t>
      </w:r>
      <w:r w:rsidR="00744A1C">
        <w:rPr>
          <w:rtl/>
          <w:lang w:bidi="fa-IR"/>
        </w:rPr>
        <w:t xml:space="preserve"> في التحف : « الخفّتان والبيضة » بدل « الخفّين ».</w:t>
      </w:r>
    </w:p>
    <w:p w:rsidR="00744A1C" w:rsidRDefault="00E378DD" w:rsidP="00C921F7">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354 ، ح 1007 ؛ </w:t>
      </w:r>
      <w:r w:rsidR="00744A1C" w:rsidRPr="00C24F9C">
        <w:rPr>
          <w:rStyle w:val="libFootnoteBoldChar"/>
          <w:rtl/>
        </w:rPr>
        <w:t>والاستبصار</w:t>
      </w:r>
      <w:r w:rsidR="00744A1C">
        <w:rPr>
          <w:rtl/>
          <w:lang w:bidi="fa-IR"/>
        </w:rPr>
        <w:t xml:space="preserve"> ، ج 3 ، ص 57 ، ح 188 ، معلّقاً عن أحمد بن محمّد. </w:t>
      </w:r>
      <w:r w:rsidR="00744A1C" w:rsidRPr="007D61A8">
        <w:rPr>
          <w:rStyle w:val="libFootnoteBoldChar"/>
          <w:rtl/>
        </w:rPr>
        <w:t>تحف العقول</w:t>
      </w:r>
      <w:r w:rsidR="00744A1C">
        <w:rPr>
          <w:rtl/>
          <w:lang w:bidi="fa-IR"/>
        </w:rPr>
        <w:t xml:space="preserve"> ، ص 374 ، عن محمّد بن قيس ، عن أبي عبد الله </w:t>
      </w:r>
      <w:r w:rsidR="0061079A" w:rsidRPr="0061079A">
        <w:rPr>
          <w:rStyle w:val="libFootnoteAlaemChar"/>
          <w:rtl/>
        </w:rPr>
        <w:t>عليه‌السلام</w:t>
      </w:r>
      <w:r w:rsidR="00D10E3C">
        <w:rPr>
          <w:rtl/>
          <w:lang w:bidi="fa-IR"/>
        </w:rPr>
        <w:t xml:space="preserve"> </w:t>
      </w:r>
      <w:r w:rsidR="00C921F7">
        <w:rPr>
          <w:rFonts w:hint="cs"/>
          <w:rtl/>
          <w:lang w:bidi="fa-IR"/>
        </w:rPr>
        <w:t>.</w:t>
      </w:r>
      <w:r w:rsidR="00744A1C" w:rsidRPr="00C24F9C">
        <w:rPr>
          <w:rStyle w:val="libFootnoteBoldChar"/>
          <w:rtl/>
        </w:rPr>
        <w:t>الوافي</w:t>
      </w:r>
      <w:r w:rsidR="00744A1C">
        <w:rPr>
          <w:rtl/>
          <w:lang w:bidi="fa-IR"/>
        </w:rPr>
        <w:t xml:space="preserve"> ، ج 17 ، ص 174 ، ح 17068 ؛ </w:t>
      </w:r>
      <w:r w:rsidR="00744A1C" w:rsidRPr="00C24F9C">
        <w:rPr>
          <w:rStyle w:val="libFootnoteBoldChar"/>
          <w:rtl/>
        </w:rPr>
        <w:t>الوسائل</w:t>
      </w:r>
      <w:r w:rsidR="00744A1C">
        <w:rPr>
          <w:rtl/>
          <w:lang w:bidi="fa-IR"/>
        </w:rPr>
        <w:t xml:space="preserve"> ، ج 17 ، ص 102 ، ح 22088.</w:t>
      </w:r>
      <w:r w:rsidR="00C921F7">
        <w:rPr>
          <w:rFonts w:hint="cs"/>
          <w:rtl/>
          <w:lang w:bidi="fa-IR"/>
        </w:rPr>
        <w:t xml:space="preserve">    </w:t>
      </w:r>
      <w:r>
        <w:rPr>
          <w:rtl/>
          <w:lang w:bidi="fa-IR"/>
        </w:rPr>
        <w:t>(9).</w:t>
      </w:r>
      <w:r w:rsidR="00744A1C">
        <w:rPr>
          <w:rtl/>
          <w:lang w:bidi="fa-IR"/>
        </w:rPr>
        <w:t xml:space="preserve"> السند معلّق ، كسابقيه.</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الوسائل</w:t>
      </w:r>
      <w:r w:rsidR="00744A1C">
        <w:rPr>
          <w:rtl/>
          <w:lang w:bidi="fa-IR"/>
        </w:rPr>
        <w:t xml:space="preserve"> : « السرّاج » ، لكن لم نجد رواية أبي عبد الله البرقي - وهو محمّد بن خالد - عمّن يلقّب بالسّراج في موضع.</w:t>
      </w:r>
    </w:p>
    <w:p w:rsidR="00744A1C" w:rsidRDefault="00744A1C" w:rsidP="00D10E3C">
      <w:pPr>
        <w:pStyle w:val="libFootnote0"/>
        <w:rPr>
          <w:lang w:bidi="fa-IR"/>
        </w:rPr>
      </w:pPr>
      <w:r>
        <w:rPr>
          <w:rtl/>
          <w:lang w:bidi="fa-IR"/>
        </w:rPr>
        <w:t xml:space="preserve">ثمّ إنّ الخبر رواه الشيخ الطوسي في </w:t>
      </w:r>
      <w:r w:rsidRPr="00C24F9C">
        <w:rPr>
          <w:rStyle w:val="libFootnoteBoldChar"/>
          <w:rtl/>
        </w:rPr>
        <w:t>التهذيب</w:t>
      </w:r>
      <w:r>
        <w:rPr>
          <w:rtl/>
          <w:lang w:bidi="fa-IR"/>
        </w:rPr>
        <w:t xml:space="preserve"> ، ج 6 ، ص 354 ، ح 1007 وسنده هكذا : « عنه - والضمير راجع إلى أحمد بن محمّد - عن أبي عبد الله البرقي عن السرّاد » لكنّ الخبر ورد في </w:t>
      </w:r>
      <w:r w:rsidRPr="00C921F7">
        <w:rPr>
          <w:rStyle w:val="libFootnoteBoldChar"/>
          <w:rtl/>
        </w:rPr>
        <w:t>الاستبصار</w:t>
      </w:r>
      <w:r>
        <w:rPr>
          <w:rtl/>
          <w:lang w:bidi="fa-IR"/>
        </w:rPr>
        <w:t xml:space="preserve"> ، ج 3 ، ص 57 ، ح 186 ، عن أحمد بن محمّد عن أبي عبد الله البرقي عن السرّاد عن رجل عن أبي عبد الله </w:t>
      </w:r>
      <w:r w:rsidR="0061079A" w:rsidRPr="0061079A">
        <w:rPr>
          <w:rStyle w:val="libFootnoteAlaemChar"/>
          <w:rtl/>
        </w:rPr>
        <w:t>عليه‌السلام</w:t>
      </w:r>
      <w:r>
        <w:rPr>
          <w:rtl/>
          <w:lang w:bidi="fa-IR"/>
        </w:rPr>
        <w:t xml:space="preserve"> .</w:t>
      </w:r>
    </w:p>
    <w:p w:rsidR="00744A1C" w:rsidRDefault="00744A1C" w:rsidP="00D10E3C">
      <w:pPr>
        <w:pStyle w:val="libFootnote0"/>
        <w:rPr>
          <w:lang w:bidi="fa-IR"/>
        </w:rPr>
      </w:pPr>
      <w:r>
        <w:rPr>
          <w:rtl/>
          <w:lang w:bidi="fa-IR"/>
        </w:rPr>
        <w:t xml:space="preserve">والظاهر أنّ الصواب ما ورد في الاستبصار ؛ فإنّ المراد من السرّاد هو الحسن بن محبوب وقد عُدَّ من أصحاب الكاظم والرضا </w:t>
      </w:r>
      <w:r w:rsidR="00F112A7" w:rsidRPr="00CE5A92">
        <w:rPr>
          <w:rStyle w:val="libFootnoteAlaemChar"/>
          <w:rtl/>
        </w:rPr>
        <w:t>عليهما‌السلام</w:t>
      </w:r>
      <w:r>
        <w:rPr>
          <w:rtl/>
          <w:lang w:bidi="fa-IR"/>
        </w:rPr>
        <w:t xml:space="preserve">، وذكر الشيخ الطوسي في ترجمته أنّه روى عن ستّين رجلاً من أصحاب أبي عبد الله </w:t>
      </w:r>
      <w:r w:rsidR="0061079A" w:rsidRPr="0061079A">
        <w:rPr>
          <w:rStyle w:val="libFootnoteAlaemChar"/>
          <w:rtl/>
        </w:rPr>
        <w:t>عليه‌السلام</w:t>
      </w:r>
      <w:r>
        <w:rPr>
          <w:rtl/>
          <w:lang w:bidi="fa-IR"/>
        </w:rPr>
        <w:t xml:space="preserve"> . راجع : </w:t>
      </w:r>
      <w:r w:rsidRPr="003A7143">
        <w:rPr>
          <w:rStyle w:val="libFootnoteBoldChar"/>
          <w:rtl/>
        </w:rPr>
        <w:t>الفهرست للطوسي</w:t>
      </w:r>
      <w:r>
        <w:rPr>
          <w:rtl/>
          <w:lang w:bidi="fa-IR"/>
        </w:rPr>
        <w:t xml:space="preserve"> ، ص 122 ، الرقم 162 ؛ </w:t>
      </w:r>
      <w:r w:rsidRPr="0061079A">
        <w:rPr>
          <w:rStyle w:val="libFootnoteBoldChar"/>
          <w:rtl/>
        </w:rPr>
        <w:t>رجال الطوسي</w:t>
      </w:r>
      <w:r>
        <w:rPr>
          <w:rtl/>
          <w:lang w:bidi="fa-IR"/>
        </w:rPr>
        <w:t xml:space="preserve"> ، ص 334 ، الرقم 4978 وص 354 ، الرقم 5251.</w:t>
      </w:r>
      <w:r w:rsidR="00C921F7">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 إِنِّي أَبِيعُ السِّلَاحَ ، قَالَ </w:t>
      </w:r>
      <w:r w:rsidRPr="00D10E3C">
        <w:rPr>
          <w:rStyle w:val="libFootnotenumChar"/>
          <w:rtl/>
        </w:rPr>
        <w:t>(1)</w:t>
      </w:r>
      <w:r>
        <w:rPr>
          <w:rtl/>
          <w:lang w:bidi="fa-IR"/>
        </w:rPr>
        <w:t xml:space="preserve"> : « لَا تَبِعْهُ فِي فِتْنَةٍ </w:t>
      </w:r>
      <w:r w:rsidRPr="00D10E3C">
        <w:rPr>
          <w:rStyle w:val="libFootnotenumChar"/>
          <w:rtl/>
        </w:rPr>
        <w:t>(2)</w:t>
      </w:r>
      <w:r>
        <w:rPr>
          <w:rtl/>
          <w:lang w:bidi="fa-IR"/>
        </w:rPr>
        <w:t>».</w:t>
      </w:r>
      <w:r w:rsidRPr="00D10E3C">
        <w:rPr>
          <w:rStyle w:val="libFootnotenumChar"/>
          <w:rtl/>
        </w:rPr>
        <w:t>(3)</w:t>
      </w:r>
    </w:p>
    <w:p w:rsidR="00744A1C" w:rsidRDefault="00744A1C" w:rsidP="007C6A0B">
      <w:pPr>
        <w:pStyle w:val="Heading2Center"/>
        <w:rPr>
          <w:lang w:bidi="fa-IR"/>
        </w:rPr>
      </w:pPr>
      <w:bookmarkStart w:id="156" w:name="_Toc49261454"/>
      <w:r>
        <w:rPr>
          <w:rtl/>
          <w:lang w:bidi="fa-IR"/>
        </w:rPr>
        <w:t>33 - بَابُ الصِّنَاعَاتِ‌</w:t>
      </w:r>
      <w:bookmarkEnd w:id="156"/>
    </w:p>
    <w:p w:rsidR="00144FA6" w:rsidRDefault="00744A1C" w:rsidP="00744A1C">
      <w:pPr>
        <w:pStyle w:val="libNormal"/>
        <w:rPr>
          <w:rtl/>
          <w:lang w:bidi="fa-IR"/>
        </w:rPr>
      </w:pPr>
      <w:r>
        <w:rPr>
          <w:rtl/>
          <w:lang w:bidi="fa-IR"/>
        </w:rPr>
        <w:t>8533 / 1. عِدَّةٌ مِنْ أَصْحَابِنَا ، عَنْ أَحْمَدَ بْنِ مُحَمَّدٍ ، عَنِ الْقَاسِمِ بْنِ يَحْيى ، عَنْ جَدِّهِ الْحَسَنِ بْنِ رَاشِدٍ ، عَنْ مُحَمَّدِ بْنِ مُسْلِمٍ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w:t>
      </w:r>
      <w:r w:rsidR="0061079A" w:rsidRPr="0061079A">
        <w:rPr>
          <w:rStyle w:val="libAlaemChar"/>
          <w:rtl/>
        </w:rPr>
        <w:t>عليه‌السلام</w:t>
      </w:r>
      <w:r w:rsidR="00D10E3C">
        <w:rPr>
          <w:rtl/>
          <w:lang w:bidi="fa-IR"/>
        </w:rPr>
        <w:t xml:space="preserve"> </w:t>
      </w:r>
      <w:r>
        <w:rPr>
          <w:rtl/>
          <w:lang w:bidi="fa-IR"/>
        </w:rPr>
        <w:t xml:space="preserve">: إِنَّ اللهَ - عَزَّ وَجَلَّ - يُحِبُّ الْمُحْتَرِفَ </w:t>
      </w:r>
      <w:r w:rsidRPr="00D10E3C">
        <w:rPr>
          <w:rStyle w:val="libFootnotenumChar"/>
          <w:rtl/>
        </w:rPr>
        <w:t>(4)</w:t>
      </w:r>
      <w:r>
        <w:rPr>
          <w:rtl/>
          <w:lang w:bidi="fa-IR"/>
        </w:rPr>
        <w:t xml:space="preserve"> الْأَمِينَ » </w:t>
      </w:r>
      <w:r w:rsidRPr="00D10E3C">
        <w:rPr>
          <w:rStyle w:val="libFootnotenumChar"/>
          <w:rtl/>
        </w:rPr>
        <w:t>(5)</w:t>
      </w:r>
    </w:p>
    <w:p w:rsidR="00144FA6" w:rsidRDefault="00744A1C" w:rsidP="00744A1C">
      <w:pPr>
        <w:pStyle w:val="libNormal"/>
        <w:rPr>
          <w:rtl/>
          <w:lang w:bidi="fa-IR"/>
        </w:rPr>
      </w:pPr>
      <w:r>
        <w:rPr>
          <w:rtl/>
          <w:lang w:bidi="fa-IR"/>
        </w:rPr>
        <w:t xml:space="preserve">8534 / 2. وَفِي رِوَايَةٍ أُخْرى : « إِنَّ اللهَ تَعَالى يُحِبُّ الْمُؤْمِنَ الْمُحْتَرِفَ ». </w:t>
      </w:r>
      <w:r w:rsidRPr="00D10E3C">
        <w:rPr>
          <w:rStyle w:val="libFootnotenumChar"/>
          <w:rtl/>
        </w:rPr>
        <w:t>(6)</w:t>
      </w:r>
    </w:p>
    <w:p w:rsidR="00744A1C" w:rsidRDefault="00744A1C" w:rsidP="00744A1C">
      <w:pPr>
        <w:pStyle w:val="libNormal"/>
        <w:rPr>
          <w:lang w:bidi="fa-IR"/>
        </w:rPr>
      </w:pPr>
      <w:r>
        <w:rPr>
          <w:rtl/>
          <w:lang w:bidi="fa-IR"/>
        </w:rPr>
        <w:t xml:space="preserve">8535 / 3. عَلِيُّ بْنُ إِبْرَاهِيمَ </w:t>
      </w:r>
      <w:r w:rsidRPr="00D10E3C">
        <w:rPr>
          <w:rStyle w:val="libFootnotenumChar"/>
          <w:rtl/>
        </w:rPr>
        <w:t>(7)</w:t>
      </w:r>
      <w:r>
        <w:rPr>
          <w:rtl/>
          <w:lang w:bidi="fa-IR"/>
        </w:rPr>
        <w:t xml:space="preserve"> ،</w:t>
      </w:r>
      <w:r w:rsidR="007C6A0B">
        <w:rPr>
          <w:rtl/>
          <w:lang w:bidi="fa-IR"/>
        </w:rPr>
        <w:t xml:space="preserve"> عَنْ صَالِحِ بْنِ السِّنْدِيِّ،عَنْ جَعْفَرِ بْنِ بَشِيرٍ</w:t>
      </w:r>
      <w:r>
        <w:rPr>
          <w:rtl/>
          <w:lang w:bidi="fa-IR"/>
        </w:rPr>
        <w:t>، عَنْ خَالِدِ بْنِ‌</w:t>
      </w:r>
    </w:p>
    <w:p w:rsidR="00744A1C" w:rsidRDefault="00744A1C" w:rsidP="00D10E3C">
      <w:pPr>
        <w:pStyle w:val="libLine"/>
        <w:rPr>
          <w:lang w:bidi="fa-IR"/>
        </w:rPr>
      </w:pPr>
      <w:r>
        <w:rPr>
          <w:rtl/>
          <w:lang w:bidi="fa-IR"/>
        </w:rPr>
        <w:t>____________________</w:t>
      </w:r>
    </w:p>
    <w:p w:rsidR="007C6A0B" w:rsidRDefault="007C6A0B" w:rsidP="007C6A0B">
      <w:pPr>
        <w:pStyle w:val="libFootnote0"/>
        <w:rPr>
          <w:lang w:bidi="fa-IR"/>
        </w:rPr>
      </w:pPr>
      <w:r>
        <w:rPr>
          <w:rFonts w:hint="cs"/>
          <w:rtl/>
          <w:lang w:bidi="fa-IR"/>
        </w:rPr>
        <w:t xml:space="preserve">= </w:t>
      </w:r>
      <w:r>
        <w:rPr>
          <w:rtl/>
          <w:lang w:bidi="fa-IR"/>
        </w:rPr>
        <w:t xml:space="preserve">هذا ، وقد وردت رواية أبي عبد الله البرقي عن [ الحسن ] بن محبوب في </w:t>
      </w:r>
      <w:r w:rsidRPr="003A7143">
        <w:rPr>
          <w:rStyle w:val="libFootnoteBoldChar"/>
          <w:rtl/>
        </w:rPr>
        <w:t>المحاسن</w:t>
      </w:r>
      <w:r>
        <w:rPr>
          <w:rtl/>
          <w:lang w:bidi="fa-IR"/>
        </w:rPr>
        <w:t xml:space="preserve"> ، ص 300 ، ح 6 ، ص 307 ، ح 21 ، ص 319 ، ح 49 ؛ وفي </w:t>
      </w:r>
      <w:r w:rsidRPr="00211914">
        <w:rPr>
          <w:rStyle w:val="libFootnoteBoldChar"/>
          <w:rtl/>
        </w:rPr>
        <w:t>بصائر الدرجات</w:t>
      </w:r>
      <w:r>
        <w:rPr>
          <w:rtl/>
          <w:lang w:bidi="fa-IR"/>
        </w:rPr>
        <w:t xml:space="preserve"> ، ص 518 ، ح 51.</w:t>
      </w:r>
    </w:p>
    <w:tbl>
      <w:tblPr>
        <w:tblStyle w:val="TableGrid"/>
        <w:bidiVisual/>
        <w:tblW w:w="0" w:type="auto"/>
        <w:tblLook w:val="04A0" w:firstRow="1" w:lastRow="0" w:firstColumn="1" w:lastColumn="0" w:noHBand="0" w:noVBand="1"/>
      </w:tblPr>
      <w:tblGrid>
        <w:gridCol w:w="4006"/>
        <w:gridCol w:w="4006"/>
      </w:tblGrid>
      <w:tr w:rsidR="007879AF" w:rsidTr="007879AF">
        <w:tc>
          <w:tcPr>
            <w:tcW w:w="4006" w:type="dxa"/>
          </w:tcPr>
          <w:p w:rsidR="007879AF" w:rsidRDefault="007879AF" w:rsidP="00D10E3C">
            <w:pPr>
              <w:pStyle w:val="libFootnote0"/>
              <w:rPr>
                <w:rtl/>
                <w:lang w:bidi="fa-IR"/>
              </w:rPr>
            </w:pPr>
            <w:r>
              <w:rPr>
                <w:rtl/>
                <w:lang w:bidi="fa-IR"/>
              </w:rPr>
              <w:t>(1). في « بس » : « فقال ».</w:t>
            </w:r>
          </w:p>
        </w:tc>
        <w:tc>
          <w:tcPr>
            <w:tcW w:w="4006" w:type="dxa"/>
          </w:tcPr>
          <w:p w:rsidR="007879AF" w:rsidRDefault="007879AF" w:rsidP="00D10E3C">
            <w:pPr>
              <w:pStyle w:val="libFootnote0"/>
              <w:rPr>
                <w:rtl/>
                <w:lang w:bidi="fa-IR"/>
              </w:rPr>
            </w:pPr>
            <w:r>
              <w:rPr>
                <w:rtl/>
                <w:lang w:bidi="fa-IR"/>
              </w:rPr>
              <w:t>(2). في « جن » : « فتنته ».</w:t>
            </w:r>
          </w:p>
        </w:tc>
      </w:tr>
    </w:tbl>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354 ، ح 1007 ، معلّقاً عن أحمد بن محمّد ؛ </w:t>
      </w:r>
      <w:r w:rsidR="00744A1C" w:rsidRPr="007879AF">
        <w:rPr>
          <w:rStyle w:val="libFootnoteBoldChar"/>
          <w:rtl/>
        </w:rPr>
        <w:t>الاستبصار</w:t>
      </w:r>
      <w:r w:rsidR="00744A1C">
        <w:rPr>
          <w:rtl/>
          <w:lang w:bidi="fa-IR"/>
        </w:rPr>
        <w:t xml:space="preserve"> ، ج 3 ، ص 57 ، ح 186 ، معلّقاً عن أحمد بن محمّد ، عن أبي عبد الله البرقي ، عن السرّاد ، عن رجل ، عن أبي عبد الله </w:t>
      </w:r>
      <w:r w:rsidR="0061079A" w:rsidRPr="0061079A">
        <w:rPr>
          <w:rStyle w:val="libFootnoteAlaemChar"/>
          <w:rtl/>
        </w:rPr>
        <w:t>عليه‌السلام</w:t>
      </w:r>
      <w:r w:rsidR="00D10E3C">
        <w:rPr>
          <w:rtl/>
          <w:lang w:bidi="fa-IR"/>
        </w:rPr>
        <w:t xml:space="preserve"> </w:t>
      </w:r>
      <w:r w:rsidR="007879AF">
        <w:rPr>
          <w:rFonts w:hint="cs"/>
          <w:rtl/>
          <w:lang w:bidi="fa-IR"/>
        </w:rPr>
        <w:t>.</w:t>
      </w:r>
      <w:r w:rsidR="00744A1C" w:rsidRPr="00C24F9C">
        <w:rPr>
          <w:rStyle w:val="libFootnoteBoldChar"/>
          <w:rtl/>
        </w:rPr>
        <w:t>الوافي</w:t>
      </w:r>
      <w:r w:rsidR="00744A1C">
        <w:rPr>
          <w:rtl/>
          <w:lang w:bidi="fa-IR"/>
        </w:rPr>
        <w:t xml:space="preserve"> ، ج 17 ، ص 175 ، ح 17069 ؛ </w:t>
      </w:r>
      <w:r w:rsidR="00744A1C" w:rsidRPr="00C24F9C">
        <w:rPr>
          <w:rStyle w:val="libFootnoteBoldChar"/>
          <w:rtl/>
        </w:rPr>
        <w:t>الوسائل</w:t>
      </w:r>
      <w:r w:rsidR="00744A1C">
        <w:rPr>
          <w:rtl/>
          <w:lang w:bidi="fa-IR"/>
        </w:rPr>
        <w:t xml:space="preserve"> ، ج 17 ، ص 102 ، ح 22089.</w:t>
      </w:r>
    </w:p>
    <w:p w:rsidR="00744A1C" w:rsidRDefault="00E378DD" w:rsidP="00E378DD">
      <w:pPr>
        <w:pStyle w:val="libFootnote0"/>
        <w:rPr>
          <w:lang w:bidi="fa-IR"/>
        </w:rPr>
      </w:pPr>
      <w:r>
        <w:rPr>
          <w:rtl/>
          <w:lang w:bidi="fa-IR"/>
        </w:rPr>
        <w:t>(4).</w:t>
      </w:r>
      <w:r w:rsidR="00744A1C">
        <w:rPr>
          <w:rtl/>
          <w:lang w:bidi="fa-IR"/>
        </w:rPr>
        <w:t xml:space="preserve"> « المحترف » : المكتسب ، يقال : هو يحترف لعياله ، أي يكتسب. راجع : </w:t>
      </w:r>
      <w:r w:rsidR="00744A1C" w:rsidRPr="00877682">
        <w:rPr>
          <w:rStyle w:val="libFootnoteBoldChar"/>
          <w:rtl/>
        </w:rPr>
        <w:t>النهاية</w:t>
      </w:r>
      <w:r w:rsidR="00744A1C">
        <w:rPr>
          <w:rtl/>
          <w:lang w:bidi="fa-IR"/>
        </w:rPr>
        <w:t xml:space="preserve"> ، ج 1 ، ص 369 ( حرف ).</w:t>
      </w:r>
    </w:p>
    <w:p w:rsidR="00744A1C" w:rsidRDefault="00E378DD" w:rsidP="00E378DD">
      <w:pPr>
        <w:pStyle w:val="libFootnote0"/>
        <w:rPr>
          <w:lang w:bidi="fa-IR"/>
        </w:rPr>
      </w:pPr>
      <w:r>
        <w:rPr>
          <w:rtl/>
          <w:lang w:bidi="fa-IR"/>
        </w:rPr>
        <w:t>(5).</w:t>
      </w:r>
      <w:r w:rsidR="00744A1C">
        <w:rPr>
          <w:rtl/>
          <w:lang w:bidi="fa-IR"/>
        </w:rPr>
        <w:t xml:space="preserve"> </w:t>
      </w:r>
      <w:r w:rsidR="00744A1C" w:rsidRPr="007879AF">
        <w:rPr>
          <w:rStyle w:val="libFootnoteBoldChar"/>
          <w:rtl/>
        </w:rPr>
        <w:t>الخصال</w:t>
      </w:r>
      <w:r w:rsidR="00744A1C">
        <w:rPr>
          <w:rtl/>
          <w:lang w:bidi="fa-IR"/>
        </w:rPr>
        <w:t xml:space="preserve"> ، ص 620 ، أبواب الثمانين وما فوقه ، ضمن الحديث الطويل 10 ، بسنده عن القاسم بن يحيى ، عن جدّه الحسن بن راشد ، عن أبي بصير ومحمّد بن مسلم ، عن أبي عبد الله ، عن آبائه ، عن أمير المؤمنين </w:t>
      </w:r>
      <w:r w:rsidR="00877682" w:rsidRPr="00877682">
        <w:rPr>
          <w:rStyle w:val="libFootnoteAlaemChar"/>
          <w:rtl/>
        </w:rPr>
        <w:t>عليهم‌السلام</w:t>
      </w:r>
      <w:r w:rsidR="00744A1C">
        <w:rPr>
          <w:rtl/>
          <w:lang w:bidi="fa-IR"/>
        </w:rPr>
        <w:t xml:space="preserve"> . </w:t>
      </w:r>
      <w:r w:rsidR="00744A1C" w:rsidRPr="00C24F9C">
        <w:rPr>
          <w:rStyle w:val="libFootnoteBoldChar"/>
          <w:rtl/>
        </w:rPr>
        <w:t>الفقيه</w:t>
      </w:r>
      <w:r w:rsidR="00744A1C">
        <w:rPr>
          <w:rtl/>
          <w:lang w:bidi="fa-IR"/>
        </w:rPr>
        <w:t xml:space="preserve"> ، ج 3 ، ص 158 ، ح 3580 ، مرسلاً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7D61A8">
        <w:rPr>
          <w:rStyle w:val="libFootnoteBoldChar"/>
          <w:rtl/>
        </w:rPr>
        <w:t>تحف العقول</w:t>
      </w:r>
      <w:r w:rsidR="00744A1C">
        <w:rPr>
          <w:rtl/>
          <w:lang w:bidi="fa-IR"/>
        </w:rPr>
        <w:t xml:space="preserve"> ، ص 110 ، عن أمير المؤمنين </w:t>
      </w:r>
      <w:r w:rsidR="0061079A" w:rsidRPr="0061079A">
        <w:rPr>
          <w:rStyle w:val="libFootnoteAlaemChar"/>
          <w:rtl/>
        </w:rPr>
        <w:t>عليه‌السلام</w:t>
      </w:r>
      <w:r w:rsidR="00D10E3C">
        <w:rPr>
          <w:rtl/>
          <w:lang w:bidi="fa-IR"/>
        </w:rPr>
        <w:t xml:space="preserve"> </w:t>
      </w:r>
      <w:r w:rsidR="007879AF">
        <w:rPr>
          <w:rFonts w:hint="cs"/>
          <w:rtl/>
          <w:lang w:bidi="fa-IR"/>
        </w:rPr>
        <w:t>.</w:t>
      </w:r>
      <w:r w:rsidR="00744A1C" w:rsidRPr="00C24F9C">
        <w:rPr>
          <w:rStyle w:val="libFootnoteBoldChar"/>
          <w:rtl/>
        </w:rPr>
        <w:t>الوافي</w:t>
      </w:r>
      <w:r w:rsidR="00744A1C">
        <w:rPr>
          <w:rtl/>
          <w:lang w:bidi="fa-IR"/>
        </w:rPr>
        <w:t xml:space="preserve"> ، ج 17 ، ص 181 ، ح 17073 ؛ </w:t>
      </w:r>
      <w:r w:rsidR="00744A1C" w:rsidRPr="00C24F9C">
        <w:rPr>
          <w:rStyle w:val="libFootnoteBoldChar"/>
          <w:rtl/>
        </w:rPr>
        <w:t>الوسائل</w:t>
      </w:r>
      <w:r w:rsidR="00744A1C">
        <w:rPr>
          <w:rtl/>
          <w:lang w:bidi="fa-IR"/>
        </w:rPr>
        <w:t xml:space="preserve"> ، ج 17 ، ص 134 ، ح 22182.</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17 ، ص 181 ، ح 17073 ؛ </w:t>
      </w:r>
      <w:r w:rsidR="00744A1C" w:rsidRPr="00C24F9C">
        <w:rPr>
          <w:rStyle w:val="libFootnoteBoldChar"/>
          <w:rtl/>
        </w:rPr>
        <w:t>الوسائل</w:t>
      </w:r>
      <w:r w:rsidR="00744A1C">
        <w:rPr>
          <w:rtl/>
          <w:lang w:bidi="fa-IR"/>
        </w:rPr>
        <w:t xml:space="preserve"> ، ج 17 ، ص 134 ، ح 22183.</w:t>
      </w:r>
    </w:p>
    <w:p w:rsidR="00744A1C" w:rsidRDefault="00E378DD" w:rsidP="00E378DD">
      <w:pPr>
        <w:pStyle w:val="libFootnote0"/>
        <w:rPr>
          <w:lang w:bidi="fa-IR"/>
        </w:rPr>
      </w:pPr>
      <w:r>
        <w:rPr>
          <w:rtl/>
          <w:lang w:bidi="fa-IR"/>
        </w:rPr>
        <w:t>(7).</w:t>
      </w:r>
      <w:r w:rsidR="00744A1C">
        <w:rPr>
          <w:rtl/>
          <w:lang w:bidi="fa-IR"/>
        </w:rPr>
        <w:t xml:space="preserve"> هكذا في « ط ». وفي « ى ، بح ، بخ ، بس ، بف ، جت ، جد ، جن » والمطبوع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xml:space="preserve"> </w:t>
      </w:r>
      <w:r w:rsidR="00744A1C" w:rsidRPr="007879AF">
        <w:rPr>
          <w:rtl/>
        </w:rPr>
        <w:t>والتهذيب والاستبصار</w:t>
      </w:r>
      <w:r w:rsidR="00744A1C">
        <w:rPr>
          <w:rtl/>
          <w:lang w:bidi="fa-IR"/>
        </w:rPr>
        <w:t xml:space="preserve"> : + « عن أبيه ».</w:t>
      </w:r>
    </w:p>
    <w:p w:rsidR="00744A1C" w:rsidRDefault="00744A1C" w:rsidP="00D10E3C">
      <w:pPr>
        <w:pStyle w:val="libFootnote0"/>
        <w:rPr>
          <w:lang w:bidi="fa-IR"/>
        </w:rPr>
      </w:pPr>
      <w:r>
        <w:rPr>
          <w:rtl/>
          <w:lang w:bidi="fa-IR"/>
        </w:rPr>
        <w:t>وما أثبتناه هو الظاهر ، كما تقدّم تفصيل الكلام ذيل ح 3695 فلاحظ.</w:t>
      </w:r>
    </w:p>
    <w:p w:rsidR="006A5060" w:rsidRDefault="006A5060" w:rsidP="00D10E3C">
      <w:pPr>
        <w:pStyle w:val="libNormal"/>
        <w:rPr>
          <w:rtl/>
          <w:lang w:bidi="fa-IR"/>
        </w:rPr>
      </w:pPr>
      <w:r>
        <w:rPr>
          <w:rtl/>
          <w:lang w:bidi="fa-IR"/>
        </w:rPr>
        <w:br w:type="page"/>
      </w:r>
    </w:p>
    <w:p w:rsidR="00144FA6" w:rsidRDefault="00744A1C" w:rsidP="00955510">
      <w:pPr>
        <w:pStyle w:val="libNormal0"/>
        <w:rPr>
          <w:rtl/>
          <w:lang w:bidi="fa-IR"/>
        </w:rPr>
      </w:pPr>
      <w:r>
        <w:rPr>
          <w:rtl/>
          <w:lang w:bidi="fa-IR"/>
        </w:rPr>
        <w:t xml:space="preserve">عُمَارَةَ </w:t>
      </w:r>
      <w:r w:rsidRPr="00D10E3C">
        <w:rPr>
          <w:rStyle w:val="libFootnotenumChar"/>
          <w:rtl/>
        </w:rPr>
        <w:t>(1)</w:t>
      </w:r>
      <w:r>
        <w:rPr>
          <w:rtl/>
          <w:lang w:bidi="fa-IR"/>
        </w:rPr>
        <w:t xml:space="preserve"> ، عَنْ سَدِيرٍ الصَّيْرَفِيِّ ، قَالَ :</w:t>
      </w:r>
    </w:p>
    <w:p w:rsidR="00744A1C" w:rsidRDefault="00744A1C" w:rsidP="00744A1C">
      <w:pPr>
        <w:pStyle w:val="libNormal"/>
        <w:rPr>
          <w:lang w:bidi="fa-IR"/>
        </w:rPr>
      </w:pPr>
      <w:r>
        <w:rPr>
          <w:rtl/>
          <w:lang w:bidi="fa-IR"/>
        </w:rPr>
        <w:t xml:space="preserve">قُلْتُ لِأَبِي جَعْفَرٍ </w:t>
      </w:r>
      <w:r w:rsidR="0061079A" w:rsidRPr="0061079A">
        <w:rPr>
          <w:rStyle w:val="libAlaemChar"/>
          <w:rtl/>
        </w:rPr>
        <w:t>عليه‌السلام</w:t>
      </w:r>
      <w:r w:rsidR="00D10E3C">
        <w:rPr>
          <w:rtl/>
          <w:lang w:bidi="fa-IR"/>
        </w:rPr>
        <w:t xml:space="preserve"> </w:t>
      </w:r>
      <w:r>
        <w:rPr>
          <w:rtl/>
          <w:lang w:bidi="fa-IR"/>
        </w:rPr>
        <w:t xml:space="preserve">: حَدِيثٌ بَلَغَنِي عَنِ الْحَسَنِ الْبَصْرِيِّ </w:t>
      </w:r>
      <w:r w:rsidRPr="00D10E3C">
        <w:rPr>
          <w:rStyle w:val="libFootnotenumChar"/>
          <w:rtl/>
        </w:rPr>
        <w:t>(2)</w:t>
      </w:r>
      <w:r>
        <w:rPr>
          <w:rtl/>
          <w:lang w:bidi="fa-IR"/>
        </w:rPr>
        <w:t xml:space="preserve"> ، فَإِنْ </w:t>
      </w:r>
      <w:r w:rsidRPr="00D10E3C">
        <w:rPr>
          <w:rStyle w:val="libFootnotenumChar"/>
          <w:rtl/>
        </w:rPr>
        <w:t>(3)</w:t>
      </w:r>
      <w:r>
        <w:rPr>
          <w:rtl/>
          <w:lang w:bidi="fa-IR"/>
        </w:rPr>
        <w:t xml:space="preserve"> كَانَ حَقّاً ، فَإِنَّا لِلّهِ وَإِنَّا إِلَيْهِ رَاجِعُونَ.</w:t>
      </w:r>
    </w:p>
    <w:p w:rsidR="00744A1C" w:rsidRDefault="00744A1C" w:rsidP="00744A1C">
      <w:pPr>
        <w:pStyle w:val="libNormal"/>
        <w:rPr>
          <w:lang w:bidi="fa-IR"/>
        </w:rPr>
      </w:pPr>
      <w:r>
        <w:rPr>
          <w:rtl/>
          <w:lang w:bidi="fa-IR"/>
        </w:rPr>
        <w:t xml:space="preserve">قَالَ </w:t>
      </w:r>
      <w:r w:rsidRPr="00D10E3C">
        <w:rPr>
          <w:rStyle w:val="libFootnotenumChar"/>
          <w:rtl/>
        </w:rPr>
        <w:t>(4)</w:t>
      </w:r>
      <w:r>
        <w:rPr>
          <w:rtl/>
          <w:lang w:bidi="fa-IR"/>
        </w:rPr>
        <w:t xml:space="preserve"> : « وَمَا هُوَ؟ ».</w:t>
      </w:r>
    </w:p>
    <w:p w:rsidR="00744A1C" w:rsidRDefault="00744A1C" w:rsidP="00744A1C">
      <w:pPr>
        <w:pStyle w:val="libNormal"/>
        <w:rPr>
          <w:lang w:bidi="fa-IR"/>
        </w:rPr>
      </w:pPr>
      <w:r>
        <w:rPr>
          <w:rtl/>
          <w:lang w:bidi="fa-IR"/>
        </w:rPr>
        <w:t xml:space="preserve">قُلْتُ </w:t>
      </w:r>
      <w:r w:rsidRPr="00D10E3C">
        <w:rPr>
          <w:rStyle w:val="libFootnotenumChar"/>
          <w:rtl/>
        </w:rPr>
        <w:t>(5)</w:t>
      </w:r>
      <w:r>
        <w:rPr>
          <w:rtl/>
          <w:lang w:bidi="fa-IR"/>
        </w:rPr>
        <w:t xml:space="preserve"> : بَلَغَنِي أَنَّ الْحَسَنَ الْبَصْرِيَّ </w:t>
      </w:r>
      <w:r w:rsidRPr="00D10E3C">
        <w:rPr>
          <w:rStyle w:val="libFootnotenumChar"/>
          <w:rtl/>
        </w:rPr>
        <w:t>(6)</w:t>
      </w:r>
      <w:r>
        <w:rPr>
          <w:rtl/>
          <w:lang w:bidi="fa-IR"/>
        </w:rPr>
        <w:t xml:space="preserve"> كَانَ </w:t>
      </w:r>
      <w:r w:rsidRPr="00D10E3C">
        <w:rPr>
          <w:rStyle w:val="libFootnotenumChar"/>
          <w:rtl/>
        </w:rPr>
        <w:t>(7)</w:t>
      </w:r>
      <w:r>
        <w:rPr>
          <w:rtl/>
          <w:lang w:bidi="fa-IR"/>
        </w:rPr>
        <w:t xml:space="preserve"> يَقُولُ : لَوْ غَلى دِمَاغُهُ مِنْ </w:t>
      </w:r>
      <w:r w:rsidRPr="00D10E3C">
        <w:rPr>
          <w:rStyle w:val="libFootnotenumChar"/>
          <w:rtl/>
        </w:rPr>
        <w:t>(8)</w:t>
      </w:r>
      <w:r>
        <w:rPr>
          <w:rtl/>
          <w:lang w:bidi="fa-IR"/>
        </w:rPr>
        <w:t xml:space="preserve"> حَرِّ الشَّمْسِ ، مَا اسْتَظَلَّ بِحَائِطِ صَيْرَفِيٍّ </w:t>
      </w:r>
      <w:r w:rsidRPr="00D10E3C">
        <w:rPr>
          <w:rStyle w:val="libFootnotenumChar"/>
          <w:rtl/>
        </w:rPr>
        <w:t>(9)</w:t>
      </w:r>
      <w:r>
        <w:rPr>
          <w:rtl/>
          <w:lang w:bidi="fa-IR"/>
        </w:rPr>
        <w:t xml:space="preserve"> ، وَلَوْ تَفَرَّثَ </w:t>
      </w:r>
      <w:r w:rsidRPr="00D10E3C">
        <w:rPr>
          <w:rStyle w:val="libFootnotenumChar"/>
          <w:rtl/>
        </w:rPr>
        <w:t>(10)</w:t>
      </w:r>
      <w:r>
        <w:rPr>
          <w:rtl/>
          <w:lang w:bidi="fa-IR"/>
        </w:rPr>
        <w:t xml:space="preserve"> كَبِدُهُ </w:t>
      </w:r>
      <w:r w:rsidRPr="00D10E3C">
        <w:rPr>
          <w:rStyle w:val="libFootnotenumChar"/>
          <w:rtl/>
        </w:rPr>
        <w:t>(11)</w:t>
      </w:r>
      <w:r>
        <w:rPr>
          <w:rtl/>
          <w:lang w:bidi="fa-IR"/>
        </w:rPr>
        <w:t xml:space="preserve"> عَطَشاً ، لَمْ يَسْتَسْقِ </w:t>
      </w:r>
      <w:r w:rsidRPr="00D10E3C">
        <w:rPr>
          <w:rStyle w:val="libFootnotenumChar"/>
          <w:rtl/>
        </w:rPr>
        <w:t>(12)</w:t>
      </w:r>
      <w:r>
        <w:rPr>
          <w:rtl/>
          <w:lang w:bidi="fa-IR"/>
        </w:rPr>
        <w:t xml:space="preserve"> مِنْ دَارِ صَيْرَفِيٍّ </w:t>
      </w:r>
      <w:r w:rsidRPr="00D10E3C">
        <w:rPr>
          <w:rStyle w:val="libFootnotenumChar"/>
          <w:rtl/>
        </w:rPr>
        <w:t>(13)</w:t>
      </w:r>
      <w:r>
        <w:rPr>
          <w:rtl/>
          <w:lang w:bidi="fa-IR"/>
        </w:rPr>
        <w:t xml:space="preserve"> مَاءً ، وَهُوَ عَمَلِي وَتِجَارَتِي ، وَفِيهِ </w:t>
      </w:r>
      <w:r w:rsidRPr="00D10E3C">
        <w:rPr>
          <w:rStyle w:val="libFootnotenumChar"/>
          <w:rtl/>
        </w:rPr>
        <w:t>(14)</w:t>
      </w:r>
      <w:r>
        <w:rPr>
          <w:rtl/>
          <w:lang w:bidi="fa-IR"/>
        </w:rPr>
        <w:t xml:space="preserve"> نَبَتَ لَحْمِي وَدَمِي ، وَمِنْهُ حَجِّي وَعُمْرَتِي </w:t>
      </w:r>
      <w:r w:rsidRPr="00D10E3C">
        <w:rPr>
          <w:rStyle w:val="libFootnotenumChar"/>
          <w:rtl/>
        </w:rPr>
        <w:t>(15)</w:t>
      </w:r>
    </w:p>
    <w:p w:rsidR="00144FA6" w:rsidRDefault="00744A1C" w:rsidP="00744A1C">
      <w:pPr>
        <w:pStyle w:val="libNormal"/>
        <w:rPr>
          <w:rtl/>
          <w:lang w:bidi="fa-IR"/>
        </w:rPr>
      </w:pPr>
      <w:r>
        <w:rPr>
          <w:rtl/>
          <w:lang w:bidi="fa-IR"/>
        </w:rPr>
        <w:t xml:space="preserve">فَجَلَسَ ، ثُمَّ قَالَ : « كَذَبَ الْحَسَنُ ، خُذْ سَوَاءً </w:t>
      </w:r>
      <w:r w:rsidRPr="00D10E3C">
        <w:rPr>
          <w:rStyle w:val="libFootnotenumChar"/>
          <w:rtl/>
        </w:rPr>
        <w:t>(16)</w:t>
      </w:r>
      <w:r>
        <w:rPr>
          <w:rtl/>
          <w:lang w:bidi="fa-IR"/>
        </w:rPr>
        <w:t xml:space="preserve"> ، وَأَعْطِ سَوَاءً ، فَإِذَا حَضَرَتِ الصَّلَاةُ‌ فَدَعْ </w:t>
      </w:r>
      <w:r w:rsidRPr="00D10E3C">
        <w:rPr>
          <w:rStyle w:val="libFootnotenumChar"/>
          <w:rtl/>
        </w:rPr>
        <w:t>(17)</w:t>
      </w:r>
      <w:r>
        <w:rPr>
          <w:rtl/>
          <w:lang w:bidi="fa-IR"/>
        </w:rPr>
        <w:t xml:space="preserve"> مَا بِيَدِكَ </w:t>
      </w:r>
      <w:r w:rsidRPr="00D10E3C">
        <w:rPr>
          <w:rStyle w:val="libFootnotenumChar"/>
          <w:rtl/>
        </w:rPr>
        <w:t>(18)</w:t>
      </w:r>
      <w:r>
        <w:rPr>
          <w:rtl/>
          <w:lang w:bidi="fa-IR"/>
        </w:rPr>
        <w:t xml:space="preserve"> ، وَانْهَضْ إِلَى الصَّلَاةِ ، أَمَا عَلِمْتَ أَنَّ أَصْحَابَ الْكَهْفِ كَانُوا صَيَارِفَةً </w:t>
      </w:r>
      <w:r w:rsidRPr="00D10E3C">
        <w:rPr>
          <w:rStyle w:val="libFootnotenumChar"/>
          <w:rtl/>
        </w:rPr>
        <w:t>(19)</w:t>
      </w:r>
      <w:r w:rsidR="007879AF">
        <w:rPr>
          <w:rtl/>
          <w:lang w:bidi="fa-IR"/>
        </w:rPr>
        <w:t>؟</w:t>
      </w:r>
      <w:r>
        <w:rPr>
          <w:rtl/>
          <w:lang w:bidi="fa-IR"/>
        </w:rPr>
        <w:t>».</w:t>
      </w:r>
      <w:r w:rsidRPr="00D10E3C">
        <w:rPr>
          <w:rStyle w:val="libFootnotenumChar"/>
          <w:rtl/>
        </w:rPr>
        <w:t>(20)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حاشية « بف » : « عمّار ».</w:t>
      </w:r>
    </w:p>
    <w:p w:rsidR="00744A1C" w:rsidRDefault="00E378DD" w:rsidP="00E378DD">
      <w:pPr>
        <w:pStyle w:val="libFootnote0"/>
        <w:rPr>
          <w:lang w:bidi="fa-IR"/>
        </w:rPr>
      </w:pPr>
      <w:r>
        <w:rPr>
          <w:rtl/>
          <w:lang w:bidi="fa-IR"/>
        </w:rPr>
        <w:t>(2).</w:t>
      </w:r>
      <w:r w:rsidR="00744A1C">
        <w:rPr>
          <w:rtl/>
          <w:lang w:bidi="fa-IR"/>
        </w:rPr>
        <w:t xml:space="preserve"> </w:t>
      </w:r>
      <w:r w:rsidR="00744A1C" w:rsidRPr="007879AF">
        <w:rPr>
          <w:rtl/>
        </w:rPr>
        <w:t>في الوسائل والفقيه والتهذيب والاستبصار : - « البص</w:t>
      </w:r>
      <w:r w:rsidR="00744A1C">
        <w:rPr>
          <w:rtl/>
          <w:lang w:bidi="fa-IR"/>
        </w:rPr>
        <w:t>ري ».</w:t>
      </w:r>
    </w:p>
    <w:tbl>
      <w:tblPr>
        <w:tblStyle w:val="TableGrid"/>
        <w:bidiVisual/>
        <w:tblW w:w="0" w:type="auto"/>
        <w:tblLook w:val="04A0" w:firstRow="1" w:lastRow="0" w:firstColumn="1" w:lastColumn="0" w:noHBand="0" w:noVBand="1"/>
      </w:tblPr>
      <w:tblGrid>
        <w:gridCol w:w="4006"/>
        <w:gridCol w:w="4006"/>
      </w:tblGrid>
      <w:tr w:rsidR="007879AF" w:rsidTr="007879AF">
        <w:tc>
          <w:tcPr>
            <w:tcW w:w="4006" w:type="dxa"/>
          </w:tcPr>
          <w:p w:rsidR="007879AF" w:rsidRDefault="007879AF" w:rsidP="00E378DD">
            <w:pPr>
              <w:pStyle w:val="libFootnote0"/>
              <w:rPr>
                <w:rtl/>
                <w:lang w:bidi="fa-IR"/>
              </w:rPr>
            </w:pPr>
            <w:r>
              <w:rPr>
                <w:rtl/>
                <w:lang w:bidi="fa-IR"/>
              </w:rPr>
              <w:t>(3). في « ط » : « وإن ».</w:t>
            </w:r>
          </w:p>
        </w:tc>
        <w:tc>
          <w:tcPr>
            <w:tcW w:w="4006" w:type="dxa"/>
          </w:tcPr>
          <w:p w:rsidR="007879AF" w:rsidRDefault="007879AF" w:rsidP="00E378DD">
            <w:pPr>
              <w:pStyle w:val="libFootnote0"/>
              <w:rPr>
                <w:rtl/>
                <w:lang w:bidi="fa-IR"/>
              </w:rPr>
            </w:pPr>
            <w:r>
              <w:rPr>
                <w:rtl/>
                <w:lang w:bidi="fa-IR"/>
              </w:rPr>
              <w:t xml:space="preserve">(4). في « بخ ، بف » </w:t>
            </w:r>
            <w:r w:rsidRPr="007879AF">
              <w:rPr>
                <w:rtl/>
              </w:rPr>
              <w:t xml:space="preserve">والوافي </w:t>
            </w:r>
            <w:r>
              <w:rPr>
                <w:rtl/>
                <w:lang w:bidi="fa-IR"/>
              </w:rPr>
              <w:t>: « فقال ».</w:t>
            </w:r>
          </w:p>
        </w:tc>
      </w:tr>
      <w:tr w:rsidR="007879AF" w:rsidTr="007879AF">
        <w:tc>
          <w:tcPr>
            <w:tcW w:w="4006" w:type="dxa"/>
          </w:tcPr>
          <w:p w:rsidR="007879AF" w:rsidRDefault="007879AF" w:rsidP="00E378DD">
            <w:pPr>
              <w:pStyle w:val="libFootnote0"/>
              <w:rPr>
                <w:rtl/>
                <w:lang w:bidi="fa-IR"/>
              </w:rPr>
            </w:pPr>
            <w:r>
              <w:rPr>
                <w:rtl/>
                <w:lang w:bidi="fa-IR"/>
              </w:rPr>
              <w:t xml:space="preserve">(5). في </w:t>
            </w:r>
            <w:r w:rsidRPr="007879AF">
              <w:rPr>
                <w:rtl/>
              </w:rPr>
              <w:t>الوافي :</w:t>
            </w:r>
            <w:r>
              <w:rPr>
                <w:rtl/>
                <w:lang w:bidi="fa-IR"/>
              </w:rPr>
              <w:t xml:space="preserve"> « فقلت ».</w:t>
            </w:r>
          </w:p>
        </w:tc>
        <w:tc>
          <w:tcPr>
            <w:tcW w:w="4006" w:type="dxa"/>
          </w:tcPr>
          <w:p w:rsidR="007879AF" w:rsidRDefault="007879AF" w:rsidP="00E378DD">
            <w:pPr>
              <w:pStyle w:val="libFootnote0"/>
              <w:rPr>
                <w:rtl/>
                <w:lang w:bidi="fa-IR"/>
              </w:rPr>
            </w:pPr>
            <w:r>
              <w:rPr>
                <w:rtl/>
                <w:lang w:bidi="fa-IR"/>
              </w:rPr>
              <w:t xml:space="preserve">(6). في « بخ ، بف </w:t>
            </w:r>
            <w:r w:rsidRPr="007879AF">
              <w:rPr>
                <w:rtl/>
              </w:rPr>
              <w:t>» والوافي</w:t>
            </w:r>
            <w:r>
              <w:rPr>
                <w:rtl/>
                <w:lang w:bidi="fa-IR"/>
              </w:rPr>
              <w:t xml:space="preserve"> : - « البصري ».</w:t>
            </w:r>
          </w:p>
        </w:tc>
      </w:tr>
      <w:tr w:rsidR="007879AF" w:rsidTr="007879AF">
        <w:tc>
          <w:tcPr>
            <w:tcW w:w="4006" w:type="dxa"/>
          </w:tcPr>
          <w:p w:rsidR="007879AF" w:rsidRDefault="007879AF" w:rsidP="00E378DD">
            <w:pPr>
              <w:pStyle w:val="libFootnote0"/>
              <w:rPr>
                <w:rtl/>
                <w:lang w:bidi="fa-IR"/>
              </w:rPr>
            </w:pPr>
            <w:r>
              <w:rPr>
                <w:rtl/>
                <w:lang w:bidi="fa-IR"/>
              </w:rPr>
              <w:t>(7). في « ى » : - « كان ».</w:t>
            </w:r>
          </w:p>
        </w:tc>
        <w:tc>
          <w:tcPr>
            <w:tcW w:w="4006" w:type="dxa"/>
          </w:tcPr>
          <w:p w:rsidR="007879AF" w:rsidRDefault="007879AF" w:rsidP="00E378DD">
            <w:pPr>
              <w:pStyle w:val="libFootnote0"/>
              <w:rPr>
                <w:rtl/>
                <w:lang w:bidi="fa-IR"/>
              </w:rPr>
            </w:pPr>
            <w:r>
              <w:rPr>
                <w:rtl/>
                <w:lang w:bidi="fa-IR"/>
              </w:rPr>
              <w:t xml:space="preserve">(8). في </w:t>
            </w:r>
            <w:r w:rsidRPr="007879AF">
              <w:rPr>
                <w:rtl/>
              </w:rPr>
              <w:t>التهذيب</w:t>
            </w:r>
            <w:r>
              <w:rPr>
                <w:rtl/>
                <w:lang w:bidi="fa-IR"/>
              </w:rPr>
              <w:t xml:space="preserve"> : - « من ».</w:t>
            </w:r>
          </w:p>
        </w:tc>
      </w:tr>
    </w:tbl>
    <w:p w:rsidR="00744A1C" w:rsidRDefault="00E378DD" w:rsidP="00E378DD">
      <w:pPr>
        <w:pStyle w:val="libFootnote0"/>
        <w:rPr>
          <w:lang w:bidi="fa-IR"/>
        </w:rPr>
      </w:pPr>
      <w:r>
        <w:rPr>
          <w:rtl/>
          <w:lang w:bidi="fa-IR"/>
        </w:rPr>
        <w:t>(9).</w:t>
      </w:r>
      <w:r w:rsidR="00744A1C">
        <w:rPr>
          <w:rtl/>
          <w:lang w:bidi="fa-IR"/>
        </w:rPr>
        <w:t xml:space="preserve"> يقال : « صرفت الذهب بالدراهم : بعته. واسم الفاعل من هذا : صَيْرَفيّ ، وصَيْرف وصرّاف للمبالغة. قال ابن‌فارس : الصرف : فضل الدرهم في الجودة على الدرهم ، ومنه اشتقاق الصيرفيّ. </w:t>
      </w:r>
      <w:r w:rsidR="00744A1C" w:rsidRPr="00E978C3">
        <w:rPr>
          <w:rStyle w:val="libFootnoteBoldChar"/>
          <w:rtl/>
        </w:rPr>
        <w:t>المصباح المنير</w:t>
      </w:r>
      <w:r w:rsidR="00744A1C">
        <w:rPr>
          <w:rtl/>
          <w:lang w:bidi="fa-IR"/>
        </w:rPr>
        <w:t xml:space="preserve"> ، ص 338 ( صرف ).</w:t>
      </w:r>
    </w:p>
    <w:p w:rsidR="00744A1C" w:rsidRDefault="00E378DD" w:rsidP="00E378DD">
      <w:pPr>
        <w:pStyle w:val="libFootnote0"/>
        <w:rPr>
          <w:lang w:bidi="fa-IR"/>
        </w:rPr>
      </w:pPr>
      <w:r>
        <w:rPr>
          <w:rtl/>
          <w:lang w:bidi="fa-IR"/>
        </w:rPr>
        <w:t>(10).</w:t>
      </w:r>
      <w:r w:rsidR="00744A1C">
        <w:rPr>
          <w:rtl/>
          <w:lang w:bidi="fa-IR"/>
        </w:rPr>
        <w:t xml:space="preserve"> في </w:t>
      </w:r>
      <w:r w:rsidR="00744A1C" w:rsidRPr="00835764">
        <w:rPr>
          <w:rtl/>
        </w:rPr>
        <w:t>الوافي</w:t>
      </w:r>
      <w:r w:rsidR="00744A1C">
        <w:rPr>
          <w:rtl/>
          <w:lang w:bidi="fa-IR"/>
        </w:rPr>
        <w:t xml:space="preserve"> : « تفرّثت ». وفي </w:t>
      </w:r>
      <w:r w:rsidR="00744A1C" w:rsidRPr="00835764">
        <w:rPr>
          <w:rtl/>
        </w:rPr>
        <w:t>التهذيب</w:t>
      </w:r>
      <w:r w:rsidR="00744A1C">
        <w:rPr>
          <w:rtl/>
          <w:lang w:bidi="fa-IR"/>
        </w:rPr>
        <w:t xml:space="preserve"> : « تبقّرت ». وفي الاستبصار : « تنقّرت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 « تفرّثت كبده : تشقّقت وانتثرت ». وراجع : </w:t>
      </w:r>
      <w:r w:rsidR="00744A1C" w:rsidRPr="008A57EB">
        <w:rPr>
          <w:rStyle w:val="libFootnoteBoldChar"/>
          <w:rtl/>
        </w:rPr>
        <w:t>القاموس المحيط</w:t>
      </w:r>
      <w:r w:rsidR="00744A1C">
        <w:rPr>
          <w:rtl/>
          <w:lang w:bidi="fa-IR"/>
        </w:rPr>
        <w:t xml:space="preserve"> ، ج 1 ، ص 275 ( فرث ).</w:t>
      </w:r>
    </w:p>
    <w:tbl>
      <w:tblPr>
        <w:tblStyle w:val="TableGrid"/>
        <w:bidiVisual/>
        <w:tblW w:w="0" w:type="auto"/>
        <w:tblLook w:val="04A0" w:firstRow="1" w:lastRow="0" w:firstColumn="1" w:lastColumn="0" w:noHBand="0" w:noVBand="1"/>
      </w:tblPr>
      <w:tblGrid>
        <w:gridCol w:w="4006"/>
        <w:gridCol w:w="4006"/>
      </w:tblGrid>
      <w:tr w:rsidR="00835764" w:rsidTr="00835764">
        <w:tc>
          <w:tcPr>
            <w:tcW w:w="4006" w:type="dxa"/>
          </w:tcPr>
          <w:p w:rsidR="00835764" w:rsidRDefault="00835764" w:rsidP="00E378DD">
            <w:pPr>
              <w:pStyle w:val="libFootnote0"/>
              <w:rPr>
                <w:rtl/>
                <w:lang w:bidi="fa-IR"/>
              </w:rPr>
            </w:pPr>
            <w:r>
              <w:rPr>
                <w:rtl/>
                <w:lang w:bidi="fa-IR"/>
              </w:rPr>
              <w:t>(12). في « جن » : « لم يستق ».</w:t>
            </w:r>
          </w:p>
        </w:tc>
        <w:tc>
          <w:tcPr>
            <w:tcW w:w="4006" w:type="dxa"/>
          </w:tcPr>
          <w:p w:rsidR="00835764" w:rsidRDefault="00835764" w:rsidP="00E378DD">
            <w:pPr>
              <w:pStyle w:val="libFootnote0"/>
              <w:rPr>
                <w:rtl/>
                <w:lang w:bidi="fa-IR"/>
              </w:rPr>
            </w:pPr>
            <w:r>
              <w:rPr>
                <w:rtl/>
                <w:lang w:bidi="fa-IR"/>
              </w:rPr>
              <w:t xml:space="preserve">(13). في </w:t>
            </w:r>
            <w:r w:rsidRPr="00C24F9C">
              <w:rPr>
                <w:rStyle w:val="libFootnoteBoldChar"/>
                <w:rtl/>
              </w:rPr>
              <w:t>الفقيه</w:t>
            </w:r>
            <w:r>
              <w:rPr>
                <w:rtl/>
                <w:lang w:bidi="fa-IR"/>
              </w:rPr>
              <w:t>:-«عطشاً لم يستسق من دار صيرفي ».</w:t>
            </w:r>
          </w:p>
        </w:tc>
      </w:tr>
      <w:tr w:rsidR="00835764" w:rsidTr="00835764">
        <w:tc>
          <w:tcPr>
            <w:tcW w:w="4006" w:type="dxa"/>
          </w:tcPr>
          <w:p w:rsidR="00835764" w:rsidRDefault="00835764" w:rsidP="00E378DD">
            <w:pPr>
              <w:pStyle w:val="libFootnote0"/>
              <w:rPr>
                <w:rtl/>
                <w:lang w:bidi="fa-IR"/>
              </w:rPr>
            </w:pPr>
            <w:r>
              <w:rPr>
                <w:rtl/>
                <w:lang w:bidi="fa-IR"/>
              </w:rPr>
              <w:t xml:space="preserve">(14). في </w:t>
            </w:r>
            <w:r w:rsidRPr="00835764">
              <w:rPr>
                <w:rtl/>
              </w:rPr>
              <w:t>البحار ، ج 14 والفقيه</w:t>
            </w:r>
            <w:r>
              <w:rPr>
                <w:rtl/>
                <w:lang w:bidi="fa-IR"/>
              </w:rPr>
              <w:t xml:space="preserve"> : « وعليه ».</w:t>
            </w:r>
          </w:p>
        </w:tc>
        <w:tc>
          <w:tcPr>
            <w:tcW w:w="4006" w:type="dxa"/>
          </w:tcPr>
          <w:p w:rsidR="00835764" w:rsidRDefault="00835764" w:rsidP="00E378DD">
            <w:pPr>
              <w:pStyle w:val="libFootnote0"/>
              <w:rPr>
                <w:rtl/>
                <w:lang w:bidi="fa-IR"/>
              </w:rPr>
            </w:pPr>
            <w:r>
              <w:rPr>
                <w:rtl/>
                <w:lang w:bidi="fa-IR"/>
              </w:rPr>
              <w:t xml:space="preserve">(15). في </w:t>
            </w:r>
            <w:r w:rsidRPr="00835764">
              <w:rPr>
                <w:rtl/>
              </w:rPr>
              <w:t>الوسائل والفقيه :</w:t>
            </w:r>
            <w:r>
              <w:rPr>
                <w:rtl/>
                <w:lang w:bidi="fa-IR"/>
              </w:rPr>
              <w:t xml:space="preserve"> + « قال ».</w:t>
            </w:r>
          </w:p>
        </w:tc>
      </w:tr>
    </w:tbl>
    <w:p w:rsidR="00744A1C" w:rsidRDefault="00744A1C" w:rsidP="00D10E3C">
      <w:pPr>
        <w:pStyle w:val="libFootnote0"/>
        <w:rPr>
          <w:lang w:bidi="fa-IR"/>
        </w:rPr>
      </w:pPr>
      <w:r>
        <w:rPr>
          <w:rtl/>
          <w:lang w:bidi="fa-IR"/>
        </w:rPr>
        <w:t xml:space="preserve">(16) في </w:t>
      </w:r>
      <w:r w:rsidRPr="00877682">
        <w:rPr>
          <w:rStyle w:val="libFootnoteBoldChar"/>
          <w:rtl/>
        </w:rPr>
        <w:t>مرآة العقول</w:t>
      </w:r>
      <w:r>
        <w:rPr>
          <w:rtl/>
          <w:lang w:bidi="fa-IR"/>
        </w:rPr>
        <w:t xml:space="preserve"> ، ج 19 ، ص 71 : « قوله </w:t>
      </w:r>
      <w:r w:rsidR="0061079A" w:rsidRPr="0061079A">
        <w:rPr>
          <w:rStyle w:val="libFootnoteAlaemChar"/>
          <w:rtl/>
        </w:rPr>
        <w:t>عليه‌السلام</w:t>
      </w:r>
      <w:r w:rsidR="00D10E3C">
        <w:rPr>
          <w:rtl/>
          <w:lang w:bidi="fa-IR"/>
        </w:rPr>
        <w:t xml:space="preserve"> </w:t>
      </w:r>
      <w:r>
        <w:rPr>
          <w:rtl/>
          <w:lang w:bidi="fa-IR"/>
        </w:rPr>
        <w:t>: خذ سواء ، أي لا تأخذ أكثر من حقّك ولا تعطهم أقلّ من حقّهم ، أويجب التساوي في الجنس الواحد حذراً من الربا. والأوّل أظهر ».</w:t>
      </w:r>
    </w:p>
    <w:tbl>
      <w:tblPr>
        <w:tblStyle w:val="TableGrid"/>
        <w:bidiVisual/>
        <w:tblW w:w="0" w:type="auto"/>
        <w:tblLook w:val="04A0" w:firstRow="1" w:lastRow="0" w:firstColumn="1" w:lastColumn="0" w:noHBand="0" w:noVBand="1"/>
      </w:tblPr>
      <w:tblGrid>
        <w:gridCol w:w="4006"/>
        <w:gridCol w:w="4006"/>
      </w:tblGrid>
      <w:tr w:rsidR="00970C5C" w:rsidTr="00970C5C">
        <w:tc>
          <w:tcPr>
            <w:tcW w:w="4006" w:type="dxa"/>
          </w:tcPr>
          <w:p w:rsidR="00970C5C" w:rsidRDefault="00970C5C" w:rsidP="00D10E3C">
            <w:pPr>
              <w:pStyle w:val="libFootnote0"/>
              <w:rPr>
                <w:rtl/>
                <w:lang w:bidi="fa-IR"/>
              </w:rPr>
            </w:pPr>
            <w:r>
              <w:rPr>
                <w:rtl/>
                <w:lang w:bidi="fa-IR"/>
              </w:rPr>
              <w:t xml:space="preserve">(17) في </w:t>
            </w:r>
            <w:r w:rsidRPr="00970C5C">
              <w:rPr>
                <w:rtl/>
              </w:rPr>
              <w:t>البحار</w:t>
            </w:r>
            <w:r>
              <w:rPr>
                <w:rtl/>
                <w:lang w:bidi="fa-IR"/>
              </w:rPr>
              <w:t xml:space="preserve"> ، ج 14 : « دع ».</w:t>
            </w:r>
          </w:p>
        </w:tc>
        <w:tc>
          <w:tcPr>
            <w:tcW w:w="4006" w:type="dxa"/>
          </w:tcPr>
          <w:p w:rsidR="00970C5C" w:rsidRDefault="00970C5C" w:rsidP="00D10E3C">
            <w:pPr>
              <w:pStyle w:val="libFootnote0"/>
              <w:rPr>
                <w:rtl/>
                <w:lang w:bidi="fa-IR"/>
              </w:rPr>
            </w:pPr>
            <w:r>
              <w:rPr>
                <w:rtl/>
                <w:lang w:bidi="fa-IR"/>
              </w:rPr>
              <w:t>(18) في</w:t>
            </w:r>
            <w:r w:rsidRPr="00970C5C">
              <w:rPr>
                <w:rtl/>
              </w:rPr>
              <w:t xml:space="preserve"> التهذيب والاستبصار </w:t>
            </w:r>
            <w:r>
              <w:rPr>
                <w:rtl/>
                <w:lang w:bidi="fa-IR"/>
              </w:rPr>
              <w:t>: « ما في يدك ».</w:t>
            </w:r>
          </w:p>
        </w:tc>
      </w:tr>
    </w:tbl>
    <w:p w:rsidR="00144FA6" w:rsidRDefault="00744A1C" w:rsidP="00D10E3C">
      <w:pPr>
        <w:pStyle w:val="libFootnote0"/>
        <w:rPr>
          <w:rtl/>
          <w:lang w:bidi="fa-IR"/>
        </w:rPr>
      </w:pPr>
      <w:r>
        <w:rPr>
          <w:rtl/>
          <w:lang w:bidi="fa-IR"/>
        </w:rPr>
        <w:t xml:space="preserve">(19) في </w:t>
      </w:r>
      <w:r w:rsidRPr="00C24F9C">
        <w:rPr>
          <w:rStyle w:val="libFootnoteBoldChar"/>
          <w:rtl/>
        </w:rPr>
        <w:t>الوافي</w:t>
      </w:r>
      <w:r>
        <w:rPr>
          <w:rtl/>
          <w:lang w:bidi="fa-IR"/>
        </w:rPr>
        <w:t xml:space="preserve"> : « وفي </w:t>
      </w:r>
      <w:r w:rsidRPr="00C24F9C">
        <w:rPr>
          <w:rStyle w:val="libFootnoteBoldChar"/>
          <w:rtl/>
        </w:rPr>
        <w:t>الفقيه</w:t>
      </w:r>
      <w:r>
        <w:rPr>
          <w:rtl/>
          <w:lang w:bidi="fa-IR"/>
        </w:rPr>
        <w:t xml:space="preserve"> في آخر الحديث « يعني صيارفة الكلام ولم يعن صيارفة الدراهم » هذا كلامه ولم</w:t>
      </w:r>
      <w:r w:rsidR="00970C5C">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8536 / 4. مُحَمَّدُ بْنُ يَحْيى ، عَنْ أَحْمَدَ بْنِ مُحَمَّدٍ ، عَنِ ابْنِ فَضَّالٍ ، قَالَ :</w:t>
      </w:r>
    </w:p>
    <w:p w:rsidR="00144FA6" w:rsidRDefault="00744A1C" w:rsidP="00744A1C">
      <w:pPr>
        <w:pStyle w:val="libNormal"/>
        <w:rPr>
          <w:rtl/>
          <w:lang w:bidi="fa-IR"/>
        </w:rPr>
      </w:pPr>
      <w:r>
        <w:rPr>
          <w:rtl/>
          <w:lang w:bidi="fa-IR"/>
        </w:rPr>
        <w:t xml:space="preserve">سَمِعْتُ رَجُلاً يَسْأَلُ أَبَا الْحَسَنِ الرِّضَا </w:t>
      </w:r>
      <w:r w:rsidR="0061079A" w:rsidRPr="0061079A">
        <w:rPr>
          <w:rStyle w:val="libAlaemChar"/>
          <w:rtl/>
        </w:rPr>
        <w:t>عليه‌السلام</w:t>
      </w:r>
      <w:r w:rsidR="00D10E3C">
        <w:rPr>
          <w:rtl/>
          <w:lang w:bidi="fa-IR"/>
        </w:rPr>
        <w:t xml:space="preserve"> </w:t>
      </w:r>
      <w:r>
        <w:rPr>
          <w:rtl/>
          <w:lang w:bidi="fa-IR"/>
        </w:rPr>
        <w:t xml:space="preserve">، فَقَالَ : إِنِّي أُعَالِجُ </w:t>
      </w:r>
      <w:r w:rsidRPr="00D10E3C">
        <w:rPr>
          <w:rStyle w:val="libFootnotenumChar"/>
          <w:rtl/>
        </w:rPr>
        <w:t>(1)</w:t>
      </w:r>
    </w:p>
    <w:p w:rsidR="00744A1C" w:rsidRDefault="00744A1C" w:rsidP="00D10E3C">
      <w:pPr>
        <w:pStyle w:val="libLine"/>
        <w:rPr>
          <w:lang w:bidi="fa-IR"/>
        </w:rPr>
      </w:pPr>
      <w:r>
        <w:rPr>
          <w:rtl/>
          <w:lang w:bidi="fa-IR"/>
        </w:rPr>
        <w:t>____________________</w:t>
      </w:r>
    </w:p>
    <w:p w:rsidR="00744A1C" w:rsidRDefault="000A191C" w:rsidP="00D10E3C">
      <w:pPr>
        <w:pStyle w:val="libFootnote0"/>
        <w:rPr>
          <w:lang w:bidi="fa-IR"/>
        </w:rPr>
      </w:pPr>
      <w:r>
        <w:rPr>
          <w:rFonts w:hint="cs"/>
          <w:rtl/>
          <w:lang w:bidi="fa-IR"/>
        </w:rPr>
        <w:t xml:space="preserve">= </w:t>
      </w:r>
      <w:r w:rsidR="00744A1C">
        <w:rPr>
          <w:rtl/>
          <w:lang w:bidi="fa-IR"/>
        </w:rPr>
        <w:t>أدر ما عنى به ».</w:t>
      </w:r>
    </w:p>
    <w:p w:rsidR="00744A1C" w:rsidRDefault="00744A1C" w:rsidP="00D10E3C">
      <w:pPr>
        <w:pStyle w:val="libFootnote0"/>
        <w:rPr>
          <w:lang w:bidi="fa-IR"/>
        </w:rPr>
      </w:pPr>
      <w:r>
        <w:rPr>
          <w:rtl/>
          <w:lang w:bidi="fa-IR"/>
        </w:rPr>
        <w:t xml:space="preserve">وفي هامشه عن سلطان </w:t>
      </w:r>
      <w:r w:rsidR="00877682" w:rsidRPr="00877682">
        <w:rPr>
          <w:rStyle w:val="libFootnoteAlaemChar"/>
          <w:rtl/>
        </w:rPr>
        <w:t>رحمه‌الله</w:t>
      </w:r>
      <w:r>
        <w:rPr>
          <w:rtl/>
          <w:lang w:bidi="fa-IR"/>
        </w:rPr>
        <w:t xml:space="preserve">: « قوله : ولم أدر ما عنى به. قوله : يعني صيارفة الكلام ، من كلام الصدوق لا تتمّة الحديث ، ومعناهُ أنّ الباقر </w:t>
      </w:r>
      <w:r w:rsidR="0061079A" w:rsidRPr="0061079A">
        <w:rPr>
          <w:rStyle w:val="libFootnoteAlaemChar"/>
          <w:rtl/>
        </w:rPr>
        <w:t>عليه‌السلام</w:t>
      </w:r>
      <w:r w:rsidR="00D10E3C">
        <w:rPr>
          <w:rtl/>
          <w:lang w:bidi="fa-IR"/>
        </w:rPr>
        <w:t xml:space="preserve"> </w:t>
      </w:r>
      <w:r>
        <w:rPr>
          <w:rtl/>
          <w:lang w:bidi="fa-IR"/>
        </w:rPr>
        <w:t xml:space="preserve">إنّما عنى بقوله : كانوا صيارفة ، صيارفة الكلام لا الدرهم ، فكأنّه قال لسدير : مالك ولقول حسن البصري ، أما علمت أنّ أصحاب الكهف كانوا صيارفة الكلام ونقدة الأقاويل ، فاتّبعوا الحقّ ورفضوا الباطل ولم يستمعوا قول الضلاّل والأكاذيب الباطلة ، فأنت أيضاً كن صيرفيّاً لما يبلغك من الأقاويل آخذاً الحقّ ، رافضاً للباطل ( من شرح </w:t>
      </w:r>
      <w:r w:rsidRPr="00C24F9C">
        <w:rPr>
          <w:rStyle w:val="libFootnoteBoldChar"/>
          <w:rtl/>
        </w:rPr>
        <w:t>الفقيه</w:t>
      </w:r>
      <w:r>
        <w:rPr>
          <w:rtl/>
          <w:lang w:bidi="fa-IR"/>
        </w:rPr>
        <w:t xml:space="preserve"> ).</w:t>
      </w:r>
    </w:p>
    <w:p w:rsidR="00744A1C" w:rsidRDefault="00744A1C" w:rsidP="00D10E3C">
      <w:pPr>
        <w:pStyle w:val="libFootnote0"/>
        <w:rPr>
          <w:lang w:bidi="fa-IR"/>
        </w:rPr>
      </w:pPr>
      <w:r>
        <w:rPr>
          <w:rtl/>
          <w:lang w:bidi="fa-IR"/>
        </w:rPr>
        <w:t xml:space="preserve">غاية ما يوجّه متن الحديث - إن سلم عن النقص ، وتوافقت فيه النسخ - أن يكون « يعنى » بصيغة المفعول ، وكذا « لم يعن » فيكون المراد أنّ الحسن وهم من تأويل ما روي في الصيارفة ؛ فإنّ المعنيّ بها صيارفة الكلام ، لا صيارفة الدرهم على ما ورد في قول رسول الله </w:t>
      </w:r>
      <w:r w:rsidR="004D054E" w:rsidRPr="000A191C">
        <w:rPr>
          <w:rStyle w:val="libFootnoteAlaemChar"/>
          <w:rtl/>
        </w:rPr>
        <w:t>صلى‌الله‌عليه‌وآله</w:t>
      </w:r>
      <w:r w:rsidR="00D10E3C">
        <w:rPr>
          <w:rtl/>
          <w:lang w:bidi="fa-IR"/>
        </w:rPr>
        <w:t xml:space="preserve"> </w:t>
      </w:r>
      <w:r>
        <w:rPr>
          <w:rtl/>
          <w:lang w:bidi="fa-IR"/>
        </w:rPr>
        <w:t>من التهديد لمن يصرف الكلام في المواعيد وغيرها.</w:t>
      </w:r>
    </w:p>
    <w:p w:rsidR="00744A1C" w:rsidRDefault="00744A1C" w:rsidP="000A191C">
      <w:pPr>
        <w:pStyle w:val="libFootnote0"/>
        <w:rPr>
          <w:lang w:bidi="fa-IR"/>
        </w:rPr>
      </w:pPr>
      <w:r>
        <w:rPr>
          <w:rtl/>
          <w:lang w:bidi="fa-IR"/>
        </w:rPr>
        <w:t xml:space="preserve">وظاهر ذيل عبارة هذا الفاضل </w:t>
      </w:r>
      <w:r w:rsidR="00877682" w:rsidRPr="00877682">
        <w:rPr>
          <w:rStyle w:val="libFootnoteAlaemChar"/>
          <w:rtl/>
        </w:rPr>
        <w:t>رحمه‌الله</w:t>
      </w:r>
      <w:r w:rsidR="000A191C" w:rsidRPr="000A191C">
        <w:rPr>
          <w:rFonts w:hint="cs"/>
          <w:rtl/>
        </w:rPr>
        <w:t xml:space="preserve"> </w:t>
      </w:r>
      <w:r>
        <w:rPr>
          <w:rtl/>
          <w:lang w:bidi="fa-IR"/>
        </w:rPr>
        <w:t xml:space="preserve">يشعر بأنّ قوله : « يعني ... » تتمّة الحديث. ولا يخفى له أنّ هذا الحديث موجود في </w:t>
      </w:r>
      <w:r w:rsidRPr="000A191C">
        <w:rPr>
          <w:rtl/>
        </w:rPr>
        <w:t>الكافي والتهذيب ولم</w:t>
      </w:r>
      <w:r>
        <w:rPr>
          <w:rtl/>
          <w:lang w:bidi="fa-IR"/>
        </w:rPr>
        <w:t xml:space="preserve"> يكن فيها هذه التتمّة ، فالظاهر أنّها من عبارة المصنّف ولا يأتي ذلك عن توجيهه </w:t>
      </w:r>
      <w:r w:rsidR="00877682" w:rsidRPr="00877682">
        <w:rPr>
          <w:rStyle w:val="libFootnoteAlaemChar"/>
          <w:rtl/>
        </w:rPr>
        <w:t>رحمه‌الله</w:t>
      </w:r>
      <w:r w:rsidR="000A191C" w:rsidRPr="000A191C">
        <w:rPr>
          <w:rFonts w:hint="cs"/>
          <w:rtl/>
        </w:rPr>
        <w:t xml:space="preserve"> </w:t>
      </w:r>
      <w:r>
        <w:rPr>
          <w:rtl/>
          <w:lang w:bidi="fa-IR"/>
        </w:rPr>
        <w:t xml:space="preserve">أيضاً ؛ إذ المقصود على أيّ تقدير بيان وجه توهّم الحسن البصري. ويمكن أن يكون بصيغة المعلوم أيضاً ، والفاعل ضميرٌ راجع إلى الرسول </w:t>
      </w:r>
      <w:r w:rsidR="000A191C" w:rsidRPr="000A191C">
        <w:rPr>
          <w:rStyle w:val="libFootnoteAlaemChar"/>
          <w:rtl/>
        </w:rPr>
        <w:t>صلى‌الله‌عليه‌وآله</w:t>
      </w:r>
      <w:r w:rsidR="000A191C">
        <w:rPr>
          <w:rtl/>
          <w:lang w:bidi="fa-IR"/>
        </w:rPr>
        <w:t xml:space="preserve"> </w:t>
      </w:r>
      <w:r>
        <w:rPr>
          <w:rtl/>
          <w:lang w:bidi="fa-IR"/>
        </w:rPr>
        <w:t>، أو من توهّم الحسن من كلامه ما توهّم ».</w:t>
      </w:r>
    </w:p>
    <w:p w:rsidR="00144FA6" w:rsidRDefault="00744A1C" w:rsidP="00D10E3C">
      <w:pPr>
        <w:pStyle w:val="libFootnote0"/>
        <w:rPr>
          <w:rtl/>
          <w:lang w:bidi="fa-IR"/>
        </w:rPr>
      </w:pPr>
      <w:r>
        <w:rPr>
          <w:rtl/>
          <w:lang w:bidi="fa-IR"/>
        </w:rPr>
        <w:t xml:space="preserve">وفي هامش </w:t>
      </w:r>
      <w:r w:rsidRPr="0061079A">
        <w:rPr>
          <w:rStyle w:val="libFootnoteBoldChar"/>
          <w:rtl/>
        </w:rPr>
        <w:t>الكافي</w:t>
      </w:r>
      <w:r>
        <w:rPr>
          <w:rtl/>
          <w:lang w:bidi="fa-IR"/>
        </w:rPr>
        <w:t xml:space="preserve"> المطبوع نقلاً عن رفيع الدين :</w:t>
      </w:r>
    </w:p>
    <w:p w:rsidR="00744A1C" w:rsidRDefault="00744A1C" w:rsidP="00D10E3C">
      <w:pPr>
        <w:pStyle w:val="libFootnote0"/>
        <w:rPr>
          <w:lang w:bidi="fa-IR"/>
        </w:rPr>
      </w:pPr>
      <w:r>
        <w:rPr>
          <w:rtl/>
          <w:lang w:bidi="fa-IR"/>
        </w:rPr>
        <w:t xml:space="preserve">« في </w:t>
      </w:r>
      <w:r w:rsidRPr="00C24F9C">
        <w:rPr>
          <w:rStyle w:val="libFootnoteBoldChar"/>
          <w:rtl/>
        </w:rPr>
        <w:t>الفقيه</w:t>
      </w:r>
      <w:r>
        <w:rPr>
          <w:rtl/>
          <w:lang w:bidi="fa-IR"/>
        </w:rPr>
        <w:t xml:space="preserve"> بعد قوله : « كانوا صيارفة » : يعني صيارفة الكلام ولم يعن صيارفة الدرهم. انتهى. وقال المجلسي الأوّل </w:t>
      </w:r>
      <w:r w:rsidR="00877682" w:rsidRPr="00877682">
        <w:rPr>
          <w:rStyle w:val="libFootnoteAlaemChar"/>
          <w:rtl/>
        </w:rPr>
        <w:t>رحمه‌الله</w:t>
      </w:r>
      <w:r>
        <w:rPr>
          <w:rtl/>
          <w:lang w:bidi="fa-IR"/>
        </w:rPr>
        <w:t xml:space="preserve">في شرحه على </w:t>
      </w:r>
      <w:r w:rsidRPr="00C24F9C">
        <w:rPr>
          <w:rStyle w:val="libFootnoteBoldChar"/>
          <w:rtl/>
        </w:rPr>
        <w:t>الفقيه</w:t>
      </w:r>
      <w:r>
        <w:rPr>
          <w:rtl/>
          <w:lang w:bidi="fa-IR"/>
        </w:rPr>
        <w:t xml:space="preserve"> : فكأنّه </w:t>
      </w:r>
      <w:r w:rsidR="0061079A" w:rsidRPr="0061079A">
        <w:rPr>
          <w:rStyle w:val="libFootnoteAlaemChar"/>
          <w:rtl/>
        </w:rPr>
        <w:t>عليه‌السلام</w:t>
      </w:r>
      <w:r w:rsidR="00D10E3C">
        <w:rPr>
          <w:rtl/>
          <w:lang w:bidi="fa-IR"/>
        </w:rPr>
        <w:t xml:space="preserve"> </w:t>
      </w:r>
      <w:r>
        <w:rPr>
          <w:rtl/>
          <w:lang w:bidi="fa-IR"/>
        </w:rPr>
        <w:t>قال لسدير : مالك ولقول الحسن البصريّ؟ أما علمت أنّ أصحاب الكهف كانوا صيارفة الكلام ونقدة الأقاويل فانتقدوا ما قرع أسماعهم فأخذوا الحقّ ورفضوا الباطل ولم يسمعوا أمانيّ أهل الضلال وأكاذيب رهط السفاهة ، فأنت أيضاً كن صيرفيّاً لما قرع سمعك من الأقاويل ، ناقداً منتقداً فخذ الحقّ واترك الباطل. هذا ملخّص كلامه ، أعلى الله مقامه. وإليه ذهب الشيخ حسن بن الشهيد الثاني ، والذي حمل الصدوق على هذا التأويل في المقام من حمل الصيرفيّ على صيرفيّ الكلام تواتر أنّ أصحاب الكهف كانوا من أبناء الملوك وأشراف الروم ولم يكونوا تجّاراً ». وراجع : روضة المتّقين ، ج 6 ، ص 412.</w:t>
      </w:r>
    </w:p>
    <w:p w:rsidR="00744A1C" w:rsidRDefault="00744A1C" w:rsidP="00D10E3C">
      <w:pPr>
        <w:pStyle w:val="libFootnote0"/>
        <w:rPr>
          <w:lang w:bidi="fa-IR"/>
        </w:rPr>
      </w:pPr>
      <w:r>
        <w:rPr>
          <w:rtl/>
          <w:lang w:bidi="fa-IR"/>
        </w:rPr>
        <w:t xml:space="preserve">(20) </w:t>
      </w:r>
      <w:r w:rsidRPr="00C24F9C">
        <w:rPr>
          <w:rStyle w:val="libFootnoteBoldChar"/>
          <w:rtl/>
        </w:rPr>
        <w:t>التهذيب</w:t>
      </w:r>
      <w:r>
        <w:rPr>
          <w:rtl/>
          <w:lang w:bidi="fa-IR"/>
        </w:rPr>
        <w:t xml:space="preserve"> ، ج 6 ، ص 363 ، ح 1040 ؛ </w:t>
      </w:r>
      <w:r w:rsidRPr="00C24F9C">
        <w:rPr>
          <w:rStyle w:val="libFootnoteBoldChar"/>
          <w:rtl/>
        </w:rPr>
        <w:t>والاستبصار</w:t>
      </w:r>
      <w:r>
        <w:rPr>
          <w:rtl/>
          <w:lang w:bidi="fa-IR"/>
        </w:rPr>
        <w:t xml:space="preserve"> ، ج 3 ، ص 64 ، ح 211 ، معلّقاً عن الكليني. </w:t>
      </w:r>
      <w:r w:rsidRPr="00C24F9C">
        <w:rPr>
          <w:rStyle w:val="libFootnoteBoldChar"/>
          <w:rtl/>
        </w:rPr>
        <w:t>الفقيه</w:t>
      </w:r>
      <w:r>
        <w:rPr>
          <w:rtl/>
          <w:lang w:bidi="fa-IR"/>
        </w:rPr>
        <w:t xml:space="preserve"> ، ج 3 ، ص 159 ، ح 3583 ، معلّقاً عن سدير الصيرفيّ. وراجع : </w:t>
      </w:r>
      <w:r w:rsidRPr="00A914B5">
        <w:rPr>
          <w:rStyle w:val="libFootnoteBoldChar"/>
          <w:rtl/>
        </w:rPr>
        <w:t>تفسير العيّاشي</w:t>
      </w:r>
      <w:r>
        <w:rPr>
          <w:rtl/>
          <w:lang w:bidi="fa-IR"/>
        </w:rPr>
        <w:t xml:space="preserve"> ، ج 2 ، ص 322 ، ح 7 </w:t>
      </w:r>
      <w:r w:rsidR="0051190B">
        <w:rPr>
          <w:rFonts w:hint="cs"/>
          <w:rtl/>
          <w:lang w:bidi="fa-IR"/>
        </w:rPr>
        <w:t>.</w:t>
      </w:r>
      <w:r w:rsidRPr="00C24F9C">
        <w:rPr>
          <w:rStyle w:val="libFootnoteBoldChar"/>
          <w:rtl/>
        </w:rPr>
        <w:t>الوافي</w:t>
      </w:r>
      <w:r>
        <w:rPr>
          <w:rtl/>
          <w:lang w:bidi="fa-IR"/>
        </w:rPr>
        <w:t xml:space="preserve"> ، ج 17 ، ص 181 ، ح 17075 ؛ </w:t>
      </w:r>
      <w:r w:rsidRPr="00C24F9C">
        <w:rPr>
          <w:rStyle w:val="libFootnoteBoldChar"/>
          <w:rtl/>
        </w:rPr>
        <w:t>الوسائل</w:t>
      </w:r>
      <w:r>
        <w:rPr>
          <w:rtl/>
          <w:lang w:bidi="fa-IR"/>
        </w:rPr>
        <w:t xml:space="preserve"> ، ج 17 ، ص 139 ، ح 22192 ؛ </w:t>
      </w:r>
      <w:r w:rsidRPr="0061079A">
        <w:rPr>
          <w:rStyle w:val="libFootnoteBoldChar"/>
          <w:rtl/>
        </w:rPr>
        <w:t>البحار</w:t>
      </w:r>
      <w:r>
        <w:rPr>
          <w:rtl/>
          <w:lang w:bidi="fa-IR"/>
        </w:rPr>
        <w:t xml:space="preserve"> ، ج 14 ، ص 429 ، ح 15 ؛ وج 42 ، ص 143 ، ح 6.</w:t>
      </w:r>
    </w:p>
    <w:p w:rsidR="00144FA6" w:rsidRDefault="00D10E3C" w:rsidP="00D10E3C">
      <w:pPr>
        <w:pStyle w:val="libFootnote0"/>
        <w:rPr>
          <w:rtl/>
          <w:lang w:bidi="fa-IR"/>
        </w:rPr>
      </w:pPr>
      <w:r>
        <w:rPr>
          <w:rtl/>
          <w:lang w:bidi="fa-IR"/>
        </w:rPr>
        <w:t>(1).</w:t>
      </w:r>
      <w:r w:rsidR="00744A1C">
        <w:rPr>
          <w:rtl/>
          <w:lang w:bidi="fa-IR"/>
        </w:rPr>
        <w:t xml:space="preserve"> العِلاج : العمل والمزاولة ، وكلّ شي‌ء زاولته وما رسته وعملت به فقد عالجته. راجع : </w:t>
      </w:r>
      <w:r w:rsidR="00744A1C" w:rsidRPr="00877682">
        <w:rPr>
          <w:rStyle w:val="libFootnoteBoldChar"/>
          <w:rtl/>
        </w:rPr>
        <w:t>لسان العرب</w:t>
      </w:r>
      <w:r w:rsidR="00744A1C">
        <w:rPr>
          <w:rtl/>
          <w:lang w:bidi="fa-IR"/>
        </w:rPr>
        <w:t xml:space="preserve"> ،</w:t>
      </w:r>
      <w:r w:rsidR="0051190B">
        <w:rPr>
          <w:rFonts w:hint="cs"/>
          <w:rtl/>
          <w:lang w:bidi="fa-IR"/>
        </w:rPr>
        <w:t>=</w:t>
      </w:r>
    </w:p>
    <w:p w:rsidR="006A5060" w:rsidRDefault="006A5060" w:rsidP="00D10E3C">
      <w:pPr>
        <w:pStyle w:val="libNormal"/>
        <w:rPr>
          <w:rtl/>
          <w:lang w:bidi="fa-IR"/>
        </w:rPr>
      </w:pPr>
      <w:r>
        <w:rPr>
          <w:rtl/>
          <w:lang w:bidi="fa-IR"/>
        </w:rPr>
        <w:br w:type="page"/>
      </w:r>
    </w:p>
    <w:p w:rsidR="00744A1C" w:rsidRDefault="00744A1C" w:rsidP="00955510">
      <w:pPr>
        <w:pStyle w:val="libNormal0"/>
        <w:rPr>
          <w:lang w:bidi="fa-IR"/>
        </w:rPr>
      </w:pPr>
      <w:r>
        <w:rPr>
          <w:rtl/>
          <w:lang w:bidi="fa-IR"/>
        </w:rPr>
        <w:t xml:space="preserve">الدَّقِيقَ </w:t>
      </w:r>
      <w:r w:rsidRPr="00D10E3C">
        <w:rPr>
          <w:rStyle w:val="libFootnotenumChar"/>
          <w:rtl/>
        </w:rPr>
        <w:t>(1)</w:t>
      </w:r>
      <w:r>
        <w:rPr>
          <w:rtl/>
          <w:lang w:bidi="fa-IR"/>
        </w:rPr>
        <w:t xml:space="preserve"> وَأَبِيعُهُ ، </w:t>
      </w:r>
      <w:r w:rsidRPr="00D10E3C">
        <w:rPr>
          <w:rStyle w:val="libFootnotenumChar"/>
          <w:rtl/>
        </w:rPr>
        <w:t>(2)</w:t>
      </w:r>
      <w:r>
        <w:rPr>
          <w:rtl/>
          <w:lang w:bidi="fa-IR"/>
        </w:rPr>
        <w:t xml:space="preserve"> وَالنَّاسُ يَقُولُونَ : لَايَنْبَغِي.</w:t>
      </w:r>
    </w:p>
    <w:p w:rsidR="00144FA6" w:rsidRDefault="00744A1C" w:rsidP="00744A1C">
      <w:pPr>
        <w:pStyle w:val="libNormal"/>
        <w:rPr>
          <w:rtl/>
          <w:lang w:bidi="fa-IR"/>
        </w:rPr>
      </w:pPr>
      <w:r>
        <w:rPr>
          <w:rtl/>
          <w:lang w:bidi="fa-IR"/>
        </w:rPr>
        <w:t xml:space="preserve">فَقَالَ لَهُ </w:t>
      </w:r>
      <w:r w:rsidRPr="00D10E3C">
        <w:rPr>
          <w:rStyle w:val="libFootnotenumChar"/>
          <w:rtl/>
        </w:rPr>
        <w:t>(3)</w:t>
      </w:r>
      <w:r>
        <w:rPr>
          <w:rtl/>
          <w:lang w:bidi="fa-IR"/>
        </w:rPr>
        <w:t xml:space="preserve"> الرِّضَا </w:t>
      </w:r>
      <w:r w:rsidR="0061079A" w:rsidRPr="0061079A">
        <w:rPr>
          <w:rStyle w:val="libAlaemChar"/>
          <w:rtl/>
        </w:rPr>
        <w:t>عليه‌السلام</w:t>
      </w:r>
      <w:r w:rsidR="00D10E3C">
        <w:rPr>
          <w:rtl/>
          <w:lang w:bidi="fa-IR"/>
        </w:rPr>
        <w:t xml:space="preserve"> </w:t>
      </w:r>
      <w:r>
        <w:rPr>
          <w:rtl/>
          <w:lang w:bidi="fa-IR"/>
        </w:rPr>
        <w:t>: « وَمَا بَأْسُهُ؟ كُلُّ شَيْ‌ءٍ مِمَّا يُبَاعُ إِذَا اتَّقَى اللهَ</w:t>
      </w:r>
      <w:r w:rsidR="00955510">
        <w:rPr>
          <w:rtl/>
          <w:lang w:bidi="fa-IR"/>
        </w:rPr>
        <w:t xml:space="preserve"> فِيهِ الْعَبْدُ ، فَلَا بَأْسَ</w:t>
      </w:r>
      <w:r>
        <w:rPr>
          <w:rtl/>
          <w:lang w:bidi="fa-IR"/>
        </w:rPr>
        <w:t>».</w:t>
      </w:r>
      <w:r w:rsidRPr="00D10E3C">
        <w:rPr>
          <w:rStyle w:val="libFootnotenumChar"/>
          <w:rtl/>
        </w:rPr>
        <w:t>(4)</w:t>
      </w:r>
    </w:p>
    <w:p w:rsidR="00144FA6" w:rsidRDefault="00744A1C" w:rsidP="00744A1C">
      <w:pPr>
        <w:pStyle w:val="libNormal"/>
        <w:rPr>
          <w:rtl/>
          <w:lang w:bidi="fa-IR"/>
        </w:rPr>
      </w:pPr>
      <w:r>
        <w:rPr>
          <w:rtl/>
          <w:lang w:bidi="fa-IR"/>
        </w:rPr>
        <w:t>8537 / 5. مُحَمَّدُ بْنُ يَحْيى ، عَنْ أَحْمَدَ بْنِ مُحَمَّدٍ ، عَنْ جَعْفَرِ بْنِ يَحْيَى الْخُزَاعِيِّ ، عَنْ أَبِيهِ يَحْيَى بْنِ أَبِي الْعَلَاءِ ، عَنْ إِسْحَاقَ بْنِ عَمَّارٍ ، قَالَ :</w:t>
      </w:r>
    </w:p>
    <w:p w:rsidR="00744A1C" w:rsidRDefault="00744A1C" w:rsidP="00744A1C">
      <w:pPr>
        <w:pStyle w:val="libNormal"/>
        <w:rPr>
          <w:lang w:bidi="fa-IR"/>
        </w:rPr>
      </w:pPr>
      <w:r>
        <w:rPr>
          <w:rtl/>
          <w:lang w:bidi="fa-IR"/>
        </w:rPr>
        <w:t xml:space="preserve">دَخَلْتُ عَلى أَبِي عَبْدِ اللهِ </w:t>
      </w:r>
      <w:r w:rsidR="0061079A" w:rsidRPr="0061079A">
        <w:rPr>
          <w:rStyle w:val="libAlaemChar"/>
          <w:rtl/>
        </w:rPr>
        <w:t>عليه‌السلام</w:t>
      </w:r>
      <w:r w:rsidR="00D10E3C">
        <w:rPr>
          <w:rtl/>
          <w:lang w:bidi="fa-IR"/>
        </w:rPr>
        <w:t xml:space="preserve"> </w:t>
      </w:r>
      <w:r>
        <w:rPr>
          <w:rtl/>
          <w:lang w:bidi="fa-IR"/>
        </w:rPr>
        <w:t xml:space="preserve">، فَخَبَّرْتُهُ </w:t>
      </w:r>
      <w:r w:rsidRPr="00D10E3C">
        <w:rPr>
          <w:rStyle w:val="libFootnotenumChar"/>
          <w:rtl/>
        </w:rPr>
        <w:t>(5)</w:t>
      </w:r>
      <w:r>
        <w:rPr>
          <w:rtl/>
          <w:lang w:bidi="fa-IR"/>
        </w:rPr>
        <w:t xml:space="preserve"> أَنَّهُ وُلِدَ لِي غُلَامٌ.</w:t>
      </w:r>
    </w:p>
    <w:p w:rsidR="00744A1C" w:rsidRDefault="00744A1C" w:rsidP="00744A1C">
      <w:pPr>
        <w:pStyle w:val="libNormal"/>
        <w:rPr>
          <w:lang w:bidi="fa-IR"/>
        </w:rPr>
      </w:pPr>
      <w:r>
        <w:rPr>
          <w:rtl/>
          <w:lang w:bidi="fa-IR"/>
        </w:rPr>
        <w:t>فَقَالَ : « أَلَاسَمَّيْتَهُ مُحَمَّداً؟ ».</w:t>
      </w:r>
    </w:p>
    <w:p w:rsidR="00744A1C" w:rsidRDefault="00744A1C" w:rsidP="00744A1C">
      <w:pPr>
        <w:pStyle w:val="libNormal"/>
        <w:rPr>
          <w:lang w:bidi="fa-IR"/>
        </w:rPr>
      </w:pPr>
      <w:r>
        <w:rPr>
          <w:rtl/>
          <w:lang w:bidi="fa-IR"/>
        </w:rPr>
        <w:t>قَالَ : قُلْتُ : قَدْ فَعَلْتُ.</w:t>
      </w:r>
    </w:p>
    <w:p w:rsidR="00744A1C" w:rsidRDefault="00744A1C" w:rsidP="00744A1C">
      <w:pPr>
        <w:pStyle w:val="libNormal"/>
        <w:rPr>
          <w:lang w:bidi="fa-IR"/>
        </w:rPr>
      </w:pPr>
      <w:r>
        <w:rPr>
          <w:rtl/>
          <w:lang w:bidi="fa-IR"/>
        </w:rPr>
        <w:t xml:space="preserve">قَالَ : « فَلَا تَضْرِبْ مُحَمَّداً ، وَلَا تَسُبَّهُ </w:t>
      </w:r>
      <w:r w:rsidRPr="00D10E3C">
        <w:rPr>
          <w:rStyle w:val="libFootnotenumChar"/>
          <w:rtl/>
        </w:rPr>
        <w:t>(6)</w:t>
      </w:r>
      <w:r>
        <w:rPr>
          <w:rtl/>
          <w:lang w:bidi="fa-IR"/>
        </w:rPr>
        <w:t xml:space="preserve"> ، جَعَلَهُ اللهُ قُرَّةَ عَيْنٍ لَكَ فِي حَيَاتِكَ ، وَخَلَفَ صِدْقٍ مِنْ </w:t>
      </w:r>
      <w:r w:rsidRPr="00D10E3C">
        <w:rPr>
          <w:rStyle w:val="libFootnotenumChar"/>
          <w:rtl/>
        </w:rPr>
        <w:t>(7)</w:t>
      </w:r>
      <w:r>
        <w:rPr>
          <w:rtl/>
          <w:lang w:bidi="fa-IR"/>
        </w:rPr>
        <w:t xml:space="preserve"> بَعْدِكَ ».</w:t>
      </w:r>
    </w:p>
    <w:p w:rsidR="00744A1C" w:rsidRDefault="00744A1C" w:rsidP="00744A1C">
      <w:pPr>
        <w:pStyle w:val="libNormal"/>
        <w:rPr>
          <w:lang w:bidi="fa-IR"/>
        </w:rPr>
      </w:pPr>
      <w:r>
        <w:rPr>
          <w:rtl/>
          <w:lang w:bidi="fa-IR"/>
        </w:rPr>
        <w:t xml:space="preserve">قُلْتُ </w:t>
      </w:r>
      <w:r w:rsidRPr="00D10E3C">
        <w:rPr>
          <w:rStyle w:val="libFootnotenumChar"/>
          <w:rtl/>
        </w:rPr>
        <w:t>(8)</w:t>
      </w:r>
      <w:r>
        <w:rPr>
          <w:rtl/>
          <w:lang w:bidi="fa-IR"/>
        </w:rPr>
        <w:t xml:space="preserve"> : جُعِلْتُ فِدَاكَ ، فِي أَيِّ الْأَعْمَالِ أَضَعُهُ؟</w:t>
      </w:r>
    </w:p>
    <w:p w:rsidR="00144FA6" w:rsidRDefault="00744A1C" w:rsidP="00744A1C">
      <w:pPr>
        <w:pStyle w:val="libNormal"/>
        <w:rPr>
          <w:rtl/>
          <w:lang w:bidi="fa-IR"/>
        </w:rPr>
      </w:pPr>
      <w:r>
        <w:rPr>
          <w:rtl/>
          <w:lang w:bidi="fa-IR"/>
        </w:rPr>
        <w:t xml:space="preserve">قَالَ </w:t>
      </w:r>
      <w:r w:rsidRPr="00D10E3C">
        <w:rPr>
          <w:rStyle w:val="libFootnotenumChar"/>
          <w:rtl/>
        </w:rPr>
        <w:t>(9)</w:t>
      </w:r>
      <w:r>
        <w:rPr>
          <w:rtl/>
          <w:lang w:bidi="fa-IR"/>
        </w:rPr>
        <w:t xml:space="preserve"> : « إِذَا عَدَلْتَهُ </w:t>
      </w:r>
      <w:r w:rsidRPr="00D10E3C">
        <w:rPr>
          <w:rStyle w:val="libFootnotenumChar"/>
          <w:rtl/>
        </w:rPr>
        <w:t>(10)</w:t>
      </w:r>
      <w:r>
        <w:rPr>
          <w:rtl/>
          <w:lang w:bidi="fa-IR"/>
        </w:rPr>
        <w:t xml:space="preserve"> عَنْ خَمْسَةِ أَشْيَاءَ ، فَضَعْهُ حَيْثُ شِئْتَ :</w:t>
      </w:r>
    </w:p>
    <w:p w:rsidR="00744A1C" w:rsidRDefault="00744A1C" w:rsidP="00D10E3C">
      <w:pPr>
        <w:pStyle w:val="libLine"/>
        <w:rPr>
          <w:lang w:bidi="fa-IR"/>
        </w:rPr>
      </w:pPr>
      <w:r>
        <w:rPr>
          <w:rtl/>
          <w:lang w:bidi="fa-IR"/>
        </w:rPr>
        <w:t>____________________</w:t>
      </w:r>
    </w:p>
    <w:p w:rsidR="00744A1C" w:rsidRDefault="00F6107A" w:rsidP="00D10E3C">
      <w:pPr>
        <w:pStyle w:val="libFootnote0"/>
        <w:rPr>
          <w:lang w:bidi="fa-IR"/>
        </w:rPr>
      </w:pPr>
      <w:r>
        <w:rPr>
          <w:rFonts w:hint="cs"/>
          <w:rtl/>
          <w:lang w:bidi="fa-IR"/>
        </w:rPr>
        <w:t xml:space="preserve">= </w:t>
      </w:r>
      <w:r w:rsidR="00744A1C">
        <w:rPr>
          <w:rtl/>
          <w:lang w:bidi="fa-IR"/>
        </w:rPr>
        <w:t>ج 2 ، ص 327 ( علج ).</w:t>
      </w:r>
    </w:p>
    <w:p w:rsidR="00744A1C" w:rsidRDefault="00D10E3C" w:rsidP="00D10E3C">
      <w:pPr>
        <w:pStyle w:val="libFootnote0"/>
        <w:rPr>
          <w:lang w:bidi="fa-IR"/>
        </w:rPr>
      </w:pPr>
      <w:r>
        <w:rPr>
          <w:rtl/>
          <w:lang w:bidi="fa-IR"/>
        </w:rPr>
        <w:t>(1).</w:t>
      </w:r>
      <w:r w:rsidR="00744A1C">
        <w:rPr>
          <w:rtl/>
          <w:lang w:bidi="fa-IR"/>
        </w:rPr>
        <w:t xml:space="preserve"> في « ى ، بح ، بخ ، بس ، جت ، جن » وحاشية « </w:t>
      </w:r>
      <w:r w:rsidR="00744A1C" w:rsidRPr="00100073">
        <w:rPr>
          <w:rtl/>
        </w:rPr>
        <w:t>بف » والوسائل والتهذيب والاستبصار :</w:t>
      </w:r>
      <w:r w:rsidR="00744A1C">
        <w:rPr>
          <w:rtl/>
          <w:lang w:bidi="fa-IR"/>
        </w:rPr>
        <w:t xml:space="preserve"> « الرقيق ».</w:t>
      </w:r>
    </w:p>
    <w:p w:rsidR="00744A1C" w:rsidRDefault="00E378DD" w:rsidP="00E378DD">
      <w:pPr>
        <w:pStyle w:val="libFootnote0"/>
        <w:rPr>
          <w:lang w:bidi="fa-IR"/>
        </w:rPr>
      </w:pPr>
      <w:r>
        <w:rPr>
          <w:rtl/>
          <w:lang w:bidi="fa-IR"/>
        </w:rPr>
        <w:t>(2).</w:t>
      </w:r>
      <w:r w:rsidR="00744A1C">
        <w:rPr>
          <w:rtl/>
          <w:lang w:bidi="fa-IR"/>
        </w:rPr>
        <w:t xml:space="preserve"> في « ى ، بح ، بس ، جت ، جد ، جن » </w:t>
      </w:r>
      <w:r w:rsidR="00744A1C" w:rsidRPr="00100073">
        <w:rPr>
          <w:rtl/>
        </w:rPr>
        <w:t>والوسائل والتهذيب والاستبصار</w:t>
      </w:r>
      <w:r w:rsidR="00744A1C">
        <w:rPr>
          <w:rtl/>
          <w:lang w:bidi="fa-IR"/>
        </w:rPr>
        <w:t xml:space="preserve"> : « فأبيعه ».</w:t>
      </w:r>
    </w:p>
    <w:p w:rsidR="00744A1C" w:rsidRDefault="00E378DD" w:rsidP="00E378DD">
      <w:pPr>
        <w:pStyle w:val="libFootnote0"/>
        <w:rPr>
          <w:lang w:bidi="fa-IR"/>
        </w:rPr>
      </w:pPr>
      <w:r>
        <w:rPr>
          <w:rtl/>
          <w:lang w:bidi="fa-IR"/>
        </w:rPr>
        <w:t>(3).</w:t>
      </w:r>
      <w:r w:rsidR="00744A1C">
        <w:rPr>
          <w:rtl/>
          <w:lang w:bidi="fa-IR"/>
        </w:rPr>
        <w:t xml:space="preserve"> في </w:t>
      </w:r>
      <w:r w:rsidR="00744A1C" w:rsidRPr="00100073">
        <w:rPr>
          <w:rtl/>
        </w:rPr>
        <w:t>الوسائل :</w:t>
      </w:r>
      <w:r w:rsidR="00744A1C">
        <w:rPr>
          <w:rtl/>
          <w:lang w:bidi="fa-IR"/>
        </w:rPr>
        <w:t xml:space="preserve"> - « له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362 ، ح 1039 ؛ </w:t>
      </w:r>
      <w:r w:rsidR="00744A1C" w:rsidRPr="00C24F9C">
        <w:rPr>
          <w:rStyle w:val="libFootnoteBoldChar"/>
          <w:rtl/>
        </w:rPr>
        <w:t>والاستبصار</w:t>
      </w:r>
      <w:r w:rsidR="00744A1C">
        <w:rPr>
          <w:rtl/>
          <w:lang w:bidi="fa-IR"/>
        </w:rPr>
        <w:t xml:space="preserve"> ، ج 3 ، ص 63 ، ح 210 ، معلّقاً عن أحمد بن محمّد </w:t>
      </w:r>
      <w:r w:rsidR="00100073">
        <w:rPr>
          <w:rFonts w:hint="cs"/>
          <w:rtl/>
          <w:lang w:bidi="fa-IR"/>
        </w:rPr>
        <w:t>.</w:t>
      </w:r>
      <w:r w:rsidR="00744A1C" w:rsidRPr="00C24F9C">
        <w:rPr>
          <w:rStyle w:val="libFootnoteBoldChar"/>
          <w:rtl/>
        </w:rPr>
        <w:t>الوافي</w:t>
      </w:r>
      <w:r w:rsidR="00744A1C">
        <w:rPr>
          <w:rtl/>
          <w:lang w:bidi="fa-IR"/>
        </w:rPr>
        <w:t xml:space="preserve"> ، ج 17 ، ص 182 ، ح 17076 ؛ </w:t>
      </w:r>
      <w:r w:rsidR="00744A1C" w:rsidRPr="00C24F9C">
        <w:rPr>
          <w:rStyle w:val="libFootnoteBoldChar"/>
          <w:rtl/>
        </w:rPr>
        <w:t>الوسائل</w:t>
      </w:r>
      <w:r w:rsidR="00744A1C">
        <w:rPr>
          <w:rtl/>
          <w:lang w:bidi="fa-IR"/>
        </w:rPr>
        <w:t xml:space="preserve"> ، ج 17 ، ص 135 ، ح 22185.</w:t>
      </w:r>
    </w:p>
    <w:p w:rsidR="00744A1C" w:rsidRDefault="00E378DD" w:rsidP="00E378DD">
      <w:pPr>
        <w:pStyle w:val="libFootnote0"/>
        <w:rPr>
          <w:lang w:bidi="fa-IR"/>
        </w:rPr>
      </w:pPr>
      <w:r>
        <w:rPr>
          <w:rtl/>
          <w:lang w:bidi="fa-IR"/>
        </w:rPr>
        <w:t>(5).</w:t>
      </w:r>
      <w:r w:rsidR="00744A1C">
        <w:rPr>
          <w:rtl/>
          <w:lang w:bidi="fa-IR"/>
        </w:rPr>
        <w:t xml:space="preserve"> في « بخ ، بف » وحاشية « جت » </w:t>
      </w:r>
      <w:r w:rsidR="00744A1C" w:rsidRPr="00100073">
        <w:rPr>
          <w:rtl/>
        </w:rPr>
        <w:t>والوافي والاستبصار :</w:t>
      </w:r>
      <w:r w:rsidR="00744A1C">
        <w:rPr>
          <w:rtl/>
          <w:lang w:bidi="fa-IR"/>
        </w:rPr>
        <w:t xml:space="preserve"> « فأخبرته ».</w:t>
      </w:r>
    </w:p>
    <w:p w:rsidR="00744A1C" w:rsidRDefault="00E378DD" w:rsidP="00E378DD">
      <w:pPr>
        <w:pStyle w:val="libFootnote0"/>
        <w:rPr>
          <w:lang w:bidi="fa-IR"/>
        </w:rPr>
      </w:pPr>
      <w:r>
        <w:rPr>
          <w:rtl/>
          <w:lang w:bidi="fa-IR"/>
        </w:rPr>
        <w:t>(6).</w:t>
      </w:r>
      <w:r w:rsidR="00744A1C">
        <w:rPr>
          <w:rtl/>
          <w:lang w:bidi="fa-IR"/>
        </w:rPr>
        <w:t xml:space="preserve"> في « ط ، بخ ، بف » وحاشية « جت » </w:t>
      </w:r>
      <w:r w:rsidR="00744A1C" w:rsidRPr="00100073">
        <w:rPr>
          <w:rtl/>
        </w:rPr>
        <w:t>والوافي والوسائل والتهذيب والاستبصار والعلل :</w:t>
      </w:r>
      <w:r w:rsidR="00744A1C">
        <w:rPr>
          <w:rtl/>
          <w:lang w:bidi="fa-IR"/>
        </w:rPr>
        <w:t xml:space="preserve"> « ولا تشتمه ».</w:t>
      </w:r>
    </w:p>
    <w:p w:rsidR="00744A1C" w:rsidRDefault="00E378DD" w:rsidP="00E378DD">
      <w:pPr>
        <w:pStyle w:val="libFootnote0"/>
        <w:rPr>
          <w:lang w:bidi="fa-IR"/>
        </w:rPr>
      </w:pPr>
      <w:r>
        <w:rPr>
          <w:rtl/>
          <w:lang w:bidi="fa-IR"/>
        </w:rPr>
        <w:t>(7).</w:t>
      </w:r>
      <w:r w:rsidR="00744A1C">
        <w:rPr>
          <w:rtl/>
          <w:lang w:bidi="fa-IR"/>
        </w:rPr>
        <w:t xml:space="preserve"> في « ى ، بح ، بس ، جد » : - « من ».</w:t>
      </w:r>
    </w:p>
    <w:p w:rsidR="00744A1C" w:rsidRDefault="00E378DD" w:rsidP="00100073">
      <w:pPr>
        <w:pStyle w:val="libFootnote0"/>
        <w:rPr>
          <w:lang w:bidi="fa-IR"/>
        </w:rPr>
      </w:pPr>
      <w:r>
        <w:rPr>
          <w:rtl/>
          <w:lang w:bidi="fa-IR"/>
        </w:rPr>
        <w:t>(8).</w:t>
      </w:r>
      <w:r w:rsidR="00744A1C">
        <w:rPr>
          <w:rtl/>
          <w:lang w:bidi="fa-IR"/>
        </w:rPr>
        <w:t xml:space="preserve"> هكذا في « ط ، ى ، بخ ، بس ، بف ، جد ، جن » </w:t>
      </w:r>
      <w:r w:rsidR="00744A1C" w:rsidRPr="00100073">
        <w:rPr>
          <w:rtl/>
        </w:rPr>
        <w:t>والوافي والوسائل والتهذيب والاستبصار. وفي</w:t>
      </w:r>
      <w:r w:rsidR="00744A1C">
        <w:rPr>
          <w:rtl/>
          <w:lang w:bidi="fa-IR"/>
        </w:rPr>
        <w:t xml:space="preserve"> « بح » : - « قلت ». وفي « جت » والمطبوع : « فقلت ».</w:t>
      </w:r>
      <w:r w:rsidR="00100073">
        <w:rPr>
          <w:rFonts w:hint="cs"/>
          <w:rtl/>
          <w:lang w:bidi="fa-IR"/>
        </w:rPr>
        <w:t xml:space="preserve">         </w:t>
      </w:r>
      <w:r>
        <w:rPr>
          <w:rtl/>
          <w:lang w:bidi="fa-IR"/>
        </w:rPr>
        <w:t>(9).</w:t>
      </w:r>
      <w:r w:rsidR="00744A1C">
        <w:rPr>
          <w:rtl/>
          <w:lang w:bidi="fa-IR"/>
        </w:rPr>
        <w:t xml:space="preserve"> في « جت » : « فقال ». وفي </w:t>
      </w:r>
      <w:r w:rsidR="00744A1C" w:rsidRPr="00C24F9C">
        <w:rPr>
          <w:rStyle w:val="libFootnoteBoldChar"/>
          <w:rtl/>
        </w:rPr>
        <w:t>الوافي</w:t>
      </w:r>
      <w:r w:rsidR="00744A1C">
        <w:rPr>
          <w:rtl/>
          <w:lang w:bidi="fa-IR"/>
        </w:rPr>
        <w:t xml:space="preserve"> : + « إنّه ».</w:t>
      </w:r>
    </w:p>
    <w:p w:rsidR="00744A1C" w:rsidRDefault="00E378DD" w:rsidP="00E378DD">
      <w:pPr>
        <w:pStyle w:val="libFootnote0"/>
        <w:rPr>
          <w:lang w:bidi="fa-IR"/>
        </w:rPr>
      </w:pPr>
      <w:r>
        <w:rPr>
          <w:rtl/>
          <w:lang w:bidi="fa-IR"/>
        </w:rPr>
        <w:t>(10).</w:t>
      </w:r>
      <w:r w:rsidR="00744A1C">
        <w:rPr>
          <w:rtl/>
          <w:lang w:bidi="fa-IR"/>
        </w:rPr>
        <w:t xml:space="preserve"> في « بخ ، بف » وحاشية « جت » و</w:t>
      </w:r>
      <w:r w:rsidR="00744A1C" w:rsidRPr="00C24F9C">
        <w:rPr>
          <w:rStyle w:val="libFootnoteBoldChar"/>
          <w:rtl/>
        </w:rPr>
        <w:t>الوافي</w:t>
      </w:r>
      <w:r w:rsidR="00744A1C">
        <w:rPr>
          <w:rtl/>
          <w:lang w:bidi="fa-IR"/>
        </w:rPr>
        <w:t xml:space="preserve"> : « عدلت به ». وفي الاستبصار والعلل : « عزلته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لَا تُسْلِمْهُ </w:t>
      </w:r>
      <w:r w:rsidRPr="00D10E3C">
        <w:rPr>
          <w:rStyle w:val="libFootnotenumChar"/>
          <w:rtl/>
        </w:rPr>
        <w:t>(1)</w:t>
      </w:r>
      <w:r>
        <w:rPr>
          <w:rtl/>
          <w:lang w:bidi="fa-IR"/>
        </w:rPr>
        <w:t xml:space="preserve"> صَيْرَفِيّاً ، فَإِنَّ الصَّيْرَفِيَّ لَايَسْلَمُ مِنَ الرِّبَا ؛ وَلَا تُسْلِمْهُ بَيَّاعَ الْأَكْفَانِ </w:t>
      </w:r>
      <w:r w:rsidRPr="00D10E3C">
        <w:rPr>
          <w:rStyle w:val="libFootnotenumChar"/>
          <w:rtl/>
        </w:rPr>
        <w:t>(2)</w:t>
      </w:r>
      <w:r>
        <w:rPr>
          <w:rtl/>
          <w:lang w:bidi="fa-IR"/>
        </w:rPr>
        <w:t xml:space="preserve"> ، فَإِنَّ صَاحِبَ الْأَكْفَانِ يَسُرُّهُ الْوَبَاءُ إِذَا كَانَ </w:t>
      </w:r>
      <w:r w:rsidRPr="00D10E3C">
        <w:rPr>
          <w:rStyle w:val="libFootnotenumChar"/>
          <w:rtl/>
        </w:rPr>
        <w:t>(3)</w:t>
      </w:r>
      <w:r>
        <w:rPr>
          <w:rtl/>
          <w:lang w:bidi="fa-IR"/>
        </w:rPr>
        <w:t xml:space="preserve"> ؛ وَلَا تُسْلِمْهُ بَيَّاعَ الطَّعَامِ </w:t>
      </w:r>
      <w:r w:rsidRPr="00D10E3C">
        <w:rPr>
          <w:rStyle w:val="libFootnotenumChar"/>
          <w:rtl/>
        </w:rPr>
        <w:t>(4)</w:t>
      </w:r>
      <w:r>
        <w:rPr>
          <w:rtl/>
          <w:lang w:bidi="fa-IR"/>
        </w:rPr>
        <w:t xml:space="preserve"> ، فَإِنَّهُ لَايَسْلَمُ مِنَ الاحْتِكَارِ ؛ وَلَا تُسْلِمْهُ جَزَّاراً ، فَإِنَّ الْجَزَّارَ </w:t>
      </w:r>
      <w:r w:rsidRPr="00D10E3C">
        <w:rPr>
          <w:rStyle w:val="libFootnotenumChar"/>
          <w:rtl/>
        </w:rPr>
        <w:t>(5)</w:t>
      </w:r>
      <w:r>
        <w:rPr>
          <w:rtl/>
          <w:lang w:bidi="fa-IR"/>
        </w:rPr>
        <w:t xml:space="preserve"> تُسْلَبُ مِنْهُ الرَّحْمَةُ ؛ وَلَا تُسْلِمْهُ نَخَّاساً </w:t>
      </w:r>
      <w:r w:rsidRPr="00D10E3C">
        <w:rPr>
          <w:rStyle w:val="libFootnotenumChar"/>
          <w:rtl/>
        </w:rPr>
        <w:t>(6)</w:t>
      </w:r>
      <w:r>
        <w:rPr>
          <w:rtl/>
          <w:lang w:bidi="fa-IR"/>
        </w:rPr>
        <w:t xml:space="preserve"> ، فَإِنَّ رَسُولَ اللهِ </w:t>
      </w:r>
      <w:r w:rsidR="00AE01C7" w:rsidRPr="00AE01C7">
        <w:rPr>
          <w:rStyle w:val="libFootnoteAlaemChar"/>
          <w:rtl/>
        </w:rPr>
        <w:t>صلى‌الله‌عليه‌وآله</w:t>
      </w:r>
      <w:r w:rsidR="00D10E3C">
        <w:rPr>
          <w:rtl/>
          <w:lang w:bidi="fa-IR"/>
        </w:rPr>
        <w:t xml:space="preserve"> </w:t>
      </w:r>
      <w:r>
        <w:rPr>
          <w:rtl/>
          <w:lang w:bidi="fa-IR"/>
        </w:rPr>
        <w:t xml:space="preserve">قَالَ : شَرُّ النَّاسِ مَنْ بَاعَ النَّاسَ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 xml:space="preserve">8538 / 6. أَحْمَدُ بْنُ مُحَمَّدٍ </w:t>
      </w:r>
      <w:r w:rsidRPr="00D10E3C">
        <w:rPr>
          <w:rStyle w:val="libFootnotenumChar"/>
          <w:rtl/>
        </w:rPr>
        <w:t>(9)</w:t>
      </w:r>
      <w:r>
        <w:rPr>
          <w:rtl/>
          <w:lang w:bidi="fa-IR"/>
        </w:rPr>
        <w:t xml:space="preserve"> ، عَنْ مُحَمَّدِ بْنِ يَحْيى ، عَنْ طَلْحَةَ بْنِ زَيْدٍ :</w:t>
      </w:r>
    </w:p>
    <w:p w:rsidR="00744A1C" w:rsidRDefault="00744A1C" w:rsidP="00744A1C">
      <w:pPr>
        <w:pStyle w:val="libNormal"/>
        <w:rPr>
          <w:lang w:bidi="fa-IR"/>
        </w:rPr>
      </w:pPr>
      <w:r>
        <w:rPr>
          <w:rtl/>
          <w:lang w:bidi="fa-IR"/>
        </w:rPr>
        <w:t xml:space="preserve">عَنْ أَبِي عَبْدِ اللهِ جَعْفَرِ بْنِ مُحَمَّدٍ </w:t>
      </w:r>
      <w:r w:rsidR="008859AA" w:rsidRPr="008859AA">
        <w:rPr>
          <w:rStyle w:val="libAlaemChar"/>
          <w:rtl/>
        </w:rPr>
        <w:t>عليهما‌السلام</w:t>
      </w:r>
      <w:r>
        <w:rPr>
          <w:rtl/>
          <w:lang w:bidi="fa-IR"/>
        </w:rPr>
        <w:t xml:space="preserve">، قَالَ : « إِنَّ رَسُولَ اللهِ </w:t>
      </w:r>
      <w:r w:rsidR="005E465D" w:rsidRPr="005E465D">
        <w:rPr>
          <w:rStyle w:val="libAlaemChar"/>
          <w:rtl/>
        </w:rPr>
        <w:t>صلى‌الله‌عليه‌وآله</w:t>
      </w:r>
      <w:r w:rsidR="00D10E3C">
        <w:rPr>
          <w:rtl/>
          <w:lang w:bidi="fa-IR"/>
        </w:rPr>
        <w:t xml:space="preserve"> </w:t>
      </w:r>
      <w:r>
        <w:rPr>
          <w:rtl/>
          <w:lang w:bidi="fa-IR"/>
        </w:rPr>
        <w:t xml:space="preserve">قَالَ </w:t>
      </w:r>
      <w:r w:rsidRPr="00D10E3C">
        <w:rPr>
          <w:rStyle w:val="libFootnotenumChar"/>
          <w:rtl/>
        </w:rPr>
        <w:t>(10)</w:t>
      </w:r>
      <w:r>
        <w:rPr>
          <w:rtl/>
          <w:lang w:bidi="fa-IR"/>
        </w:rPr>
        <w:t xml:space="preserve"> : إِنِّي‌</w:t>
      </w:r>
    </w:p>
    <w:p w:rsidR="00744A1C" w:rsidRDefault="00744A1C" w:rsidP="00D10E3C">
      <w:pPr>
        <w:pStyle w:val="libLine"/>
        <w:rPr>
          <w:lang w:bidi="fa-IR"/>
        </w:rPr>
      </w:pPr>
      <w:r>
        <w:rPr>
          <w:rtl/>
          <w:lang w:bidi="fa-IR"/>
        </w:rPr>
        <w:t>____________________</w:t>
      </w:r>
    </w:p>
    <w:p w:rsidR="00744A1C" w:rsidRDefault="00F270CE" w:rsidP="00D10E3C">
      <w:pPr>
        <w:pStyle w:val="libFootnote0"/>
        <w:rPr>
          <w:lang w:bidi="fa-IR"/>
        </w:rPr>
      </w:pPr>
      <w:r>
        <w:rPr>
          <w:rFonts w:hint="cs"/>
          <w:rtl/>
          <w:lang w:bidi="fa-IR"/>
        </w:rPr>
        <w:t xml:space="preserve">= </w:t>
      </w:r>
      <w:r w:rsidR="00744A1C">
        <w:rPr>
          <w:rtl/>
          <w:lang w:bidi="fa-IR"/>
        </w:rPr>
        <w:t xml:space="preserve">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إذا عدلته ، المشهور بين الأصحاب كراهة هذه الصنائع الخمسة ، وحملوا الأخبار السابقة على نفي التحريم ، وإن كان ظاهرها عدم الكراهة لمن يثق من نفسه عدم الوقوع في محرّم ، وبه يمكن الجمع بين الأخبار ».</w:t>
      </w:r>
    </w:p>
    <w:p w:rsidR="00744A1C" w:rsidRDefault="00D10E3C" w:rsidP="00D10E3C">
      <w:pPr>
        <w:pStyle w:val="libFootnote0"/>
        <w:rPr>
          <w:lang w:bidi="fa-IR"/>
        </w:rPr>
      </w:pPr>
      <w:r>
        <w:rPr>
          <w:rtl/>
          <w:lang w:bidi="fa-IR"/>
        </w:rPr>
        <w:t>(1).</w:t>
      </w:r>
      <w:r w:rsidR="00744A1C">
        <w:rPr>
          <w:rtl/>
          <w:lang w:bidi="fa-IR"/>
        </w:rPr>
        <w:t xml:space="preserve"> في « ى ، بس » : « لا تسلّمنّه ». وفي « بح ، جد ، جن » : « لا تسلمنّه ». وفي </w:t>
      </w:r>
      <w:r w:rsidR="00744A1C" w:rsidRPr="00C24F9C">
        <w:rPr>
          <w:rStyle w:val="libFootnoteBoldChar"/>
          <w:rtl/>
        </w:rPr>
        <w:t>الوافي</w:t>
      </w:r>
      <w:r w:rsidR="00744A1C">
        <w:rPr>
          <w:rtl/>
          <w:lang w:bidi="fa-IR"/>
        </w:rPr>
        <w:t xml:space="preserve"> : « لا تسلمه ، من أسلمه ، أي لاتعطه لمن يعلّمه إحدى هذه الصنائع ، كذا في </w:t>
      </w:r>
      <w:r w:rsidR="00744A1C" w:rsidRPr="00877682">
        <w:rPr>
          <w:rStyle w:val="libFootnoteBoldChar"/>
          <w:rtl/>
        </w:rPr>
        <w:t>النهاية</w:t>
      </w:r>
      <w:r w:rsidR="00744A1C">
        <w:rPr>
          <w:rtl/>
          <w:lang w:bidi="fa-IR"/>
        </w:rPr>
        <w:t xml:space="preserve"> ». راجع : </w:t>
      </w:r>
      <w:r w:rsidR="00744A1C" w:rsidRPr="00877682">
        <w:rPr>
          <w:rStyle w:val="libFootnoteBoldChar"/>
          <w:rtl/>
        </w:rPr>
        <w:t>النهاية</w:t>
      </w:r>
      <w:r w:rsidR="00744A1C">
        <w:rPr>
          <w:rtl/>
          <w:lang w:bidi="fa-IR"/>
        </w:rPr>
        <w:t xml:space="preserve"> ، ج 2 ، ص 394 ( سلم ).</w:t>
      </w:r>
    </w:p>
    <w:p w:rsidR="00744A1C" w:rsidRDefault="00E378DD" w:rsidP="00E378DD">
      <w:pPr>
        <w:pStyle w:val="libFootnote0"/>
        <w:rPr>
          <w:lang w:bidi="fa-IR"/>
        </w:rPr>
      </w:pPr>
      <w:r>
        <w:rPr>
          <w:rtl/>
          <w:lang w:bidi="fa-IR"/>
        </w:rPr>
        <w:t>(2).</w:t>
      </w:r>
      <w:r w:rsidR="00744A1C">
        <w:rPr>
          <w:rtl/>
          <w:lang w:bidi="fa-IR"/>
        </w:rPr>
        <w:t xml:space="preserve"> في « ى ، بح ، بس ، جد » : « أكفان ».</w:t>
      </w:r>
    </w:p>
    <w:p w:rsidR="00744A1C" w:rsidRDefault="00E378DD" w:rsidP="00E378DD">
      <w:pPr>
        <w:pStyle w:val="libFootnote0"/>
        <w:rPr>
          <w:lang w:bidi="fa-IR"/>
        </w:rPr>
      </w:pPr>
      <w:r>
        <w:rPr>
          <w:rtl/>
          <w:lang w:bidi="fa-IR"/>
        </w:rPr>
        <w:t>(3).</w:t>
      </w:r>
      <w:r w:rsidR="00744A1C">
        <w:rPr>
          <w:rtl/>
          <w:lang w:bidi="fa-IR"/>
        </w:rPr>
        <w:t xml:space="preserve"> في « ط ، بخ ، بف » والعلل : - « إذا كان ».</w:t>
      </w:r>
    </w:p>
    <w:p w:rsidR="00744A1C" w:rsidRDefault="00E378DD" w:rsidP="00E378DD">
      <w:pPr>
        <w:pStyle w:val="libFootnote0"/>
        <w:rPr>
          <w:lang w:bidi="fa-IR"/>
        </w:rPr>
      </w:pPr>
      <w:r>
        <w:rPr>
          <w:rtl/>
          <w:lang w:bidi="fa-IR"/>
        </w:rPr>
        <w:t>(4).</w:t>
      </w:r>
      <w:r w:rsidR="00744A1C">
        <w:rPr>
          <w:rtl/>
          <w:lang w:bidi="fa-IR"/>
        </w:rPr>
        <w:t xml:space="preserve"> في « ط ، ى ، بح ، بس ، بف ، جد ، جن » : « طعام ». وفي « بخ » : « طعامه ».</w:t>
      </w:r>
    </w:p>
    <w:p w:rsidR="00744A1C" w:rsidRDefault="00E378DD" w:rsidP="00E378DD">
      <w:pPr>
        <w:pStyle w:val="libFootnote0"/>
        <w:rPr>
          <w:lang w:bidi="fa-IR"/>
        </w:rPr>
      </w:pPr>
      <w:r>
        <w:rPr>
          <w:rtl/>
          <w:lang w:bidi="fa-IR"/>
        </w:rPr>
        <w:t>(5).</w:t>
      </w:r>
      <w:r w:rsidR="00744A1C">
        <w:rPr>
          <w:rtl/>
          <w:lang w:bidi="fa-IR"/>
        </w:rPr>
        <w:t xml:space="preserve"> « الجزّار » : الفاعل من جزرتُ الجزورَ وغيرها ، من باب قتل ، أي نحرتها. راجع : </w:t>
      </w:r>
      <w:r w:rsidR="00744A1C" w:rsidRPr="00E978C3">
        <w:rPr>
          <w:rStyle w:val="libFootnoteBoldChar"/>
          <w:rtl/>
        </w:rPr>
        <w:t>المصباح المنير</w:t>
      </w:r>
      <w:r w:rsidR="00744A1C">
        <w:rPr>
          <w:rtl/>
          <w:lang w:bidi="fa-IR"/>
        </w:rPr>
        <w:t xml:space="preserve"> ، ص 98 ( جزر ).</w:t>
      </w:r>
    </w:p>
    <w:p w:rsidR="00744A1C" w:rsidRDefault="00E378DD" w:rsidP="00E378DD">
      <w:pPr>
        <w:pStyle w:val="libFootnote0"/>
        <w:rPr>
          <w:lang w:bidi="fa-IR"/>
        </w:rPr>
      </w:pPr>
      <w:r>
        <w:rPr>
          <w:rtl/>
          <w:lang w:bidi="fa-IR"/>
        </w:rPr>
        <w:t>(6).</w:t>
      </w:r>
      <w:r w:rsidR="00744A1C">
        <w:rPr>
          <w:rtl/>
          <w:lang w:bidi="fa-IR"/>
        </w:rPr>
        <w:t xml:space="preserve"> النَخْس : طعنك جنب الدابّة أو مؤخّرها بعود أو غيره فتهيج ، والفاعل : نخّاس ، مبالغة. ومنه قيل لدلاّل الدوابّ وبائعها ونحوها : نخّاس ، سمّي بذلك لنخسه إيّاها حتّى تَنْشَط ، وقد يسمّى بائع الرقيق نخّاساً. والأوّل هو الأصل. راجع : </w:t>
      </w:r>
      <w:r w:rsidR="00744A1C" w:rsidRPr="00877682">
        <w:rPr>
          <w:rStyle w:val="libFootnoteBoldChar"/>
          <w:rtl/>
        </w:rPr>
        <w:t>لسان العرب</w:t>
      </w:r>
      <w:r w:rsidR="00744A1C">
        <w:rPr>
          <w:rtl/>
          <w:lang w:bidi="fa-IR"/>
        </w:rPr>
        <w:t xml:space="preserve"> ، ج 6 ، ص 228 ( نخس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من باع الناس ، أي الأحرار ، فالتعليل على سياق ما سبق ، أي لا تفعل ذلك ؛ فإنّه قد يفضي إلى مثل هذا الفعل ، أو مطلقاً ، فالمراد به نوع من الشرّ يجتمع مع الكراهة ».</w:t>
      </w:r>
    </w:p>
    <w:p w:rsidR="00744A1C" w:rsidRDefault="00E378DD" w:rsidP="00E378DD">
      <w:pPr>
        <w:pStyle w:val="libFootnote0"/>
        <w:rPr>
          <w:lang w:bidi="fa-IR"/>
        </w:rPr>
      </w:pPr>
      <w:r>
        <w:rPr>
          <w:rtl/>
          <w:lang w:bidi="fa-IR"/>
        </w:rPr>
        <w:t>(8).</w:t>
      </w:r>
      <w:r w:rsidR="00744A1C">
        <w:rPr>
          <w:rtl/>
          <w:lang w:bidi="fa-IR"/>
        </w:rPr>
        <w:t xml:space="preserve"> </w:t>
      </w:r>
      <w:r w:rsidR="00744A1C" w:rsidRPr="003A7143">
        <w:rPr>
          <w:rStyle w:val="libFootnoteBoldChar"/>
          <w:rtl/>
        </w:rPr>
        <w:t>علل الشرائع</w:t>
      </w:r>
      <w:r w:rsidR="00744A1C">
        <w:rPr>
          <w:rtl/>
          <w:lang w:bidi="fa-IR"/>
        </w:rPr>
        <w:t xml:space="preserve"> ، ص 530 ، ح 1 ، بسنده عن أحمد بن محمّد. وفي </w:t>
      </w:r>
      <w:r w:rsidR="00744A1C" w:rsidRPr="00C24F9C">
        <w:rPr>
          <w:rStyle w:val="libFootnoteBoldChar"/>
          <w:rtl/>
        </w:rPr>
        <w:t>التهذيب</w:t>
      </w:r>
      <w:r w:rsidR="00744A1C">
        <w:rPr>
          <w:rtl/>
          <w:lang w:bidi="fa-IR"/>
        </w:rPr>
        <w:t xml:space="preserve"> ، ج 6 ، ص 361 ، ح 1037 ؛ </w:t>
      </w:r>
      <w:r w:rsidR="00744A1C" w:rsidRPr="00C24F9C">
        <w:rPr>
          <w:rStyle w:val="libFootnoteBoldChar"/>
          <w:rtl/>
        </w:rPr>
        <w:t>والاستبصار</w:t>
      </w:r>
      <w:r w:rsidR="00744A1C">
        <w:rPr>
          <w:rtl/>
          <w:lang w:bidi="fa-IR"/>
        </w:rPr>
        <w:t xml:space="preserve"> ، ج 3 ، ص 62 ، ح 208 ، معلّقاً عن أحمد بن محمّد </w:t>
      </w:r>
      <w:r w:rsidR="00F270CE">
        <w:rPr>
          <w:rFonts w:hint="cs"/>
          <w:rtl/>
          <w:lang w:bidi="fa-IR"/>
        </w:rPr>
        <w:t>.</w:t>
      </w:r>
      <w:r w:rsidR="00744A1C" w:rsidRPr="00C24F9C">
        <w:rPr>
          <w:rStyle w:val="libFootnoteBoldChar"/>
          <w:rtl/>
        </w:rPr>
        <w:t>الوافي</w:t>
      </w:r>
      <w:r w:rsidR="00744A1C">
        <w:rPr>
          <w:rtl/>
          <w:lang w:bidi="fa-IR"/>
        </w:rPr>
        <w:t xml:space="preserve"> ، ج 17 ، ص 183 ، ح 17077 ؛ </w:t>
      </w:r>
      <w:r w:rsidR="00744A1C" w:rsidRPr="00C24F9C">
        <w:rPr>
          <w:rStyle w:val="libFootnoteBoldChar"/>
          <w:rtl/>
        </w:rPr>
        <w:t>الوسائل</w:t>
      </w:r>
      <w:r w:rsidR="00744A1C">
        <w:rPr>
          <w:rtl/>
          <w:lang w:bidi="fa-IR"/>
        </w:rPr>
        <w:t xml:space="preserve"> ، ج 17 ، ص 135 ، ح 22186.</w:t>
      </w:r>
    </w:p>
    <w:p w:rsidR="00744A1C" w:rsidRDefault="00E378DD" w:rsidP="00E378DD">
      <w:pPr>
        <w:pStyle w:val="libFootnote0"/>
        <w:rPr>
          <w:lang w:bidi="fa-IR"/>
        </w:rPr>
      </w:pPr>
      <w:r>
        <w:rPr>
          <w:rtl/>
          <w:lang w:bidi="fa-IR"/>
        </w:rPr>
        <w:t>(9).</w:t>
      </w:r>
      <w:r w:rsidR="00744A1C">
        <w:rPr>
          <w:rtl/>
          <w:lang w:bidi="fa-IR"/>
        </w:rPr>
        <w:t xml:space="preserve"> السند معلّق على سابقه. ويروي عن أحمد بن محمّد ، محمّد بن يحيى.</w:t>
      </w:r>
    </w:p>
    <w:p w:rsidR="00744A1C" w:rsidRDefault="00E378DD" w:rsidP="00E378DD">
      <w:pPr>
        <w:pStyle w:val="libFootnote0"/>
        <w:rPr>
          <w:lang w:bidi="fa-IR"/>
        </w:rPr>
      </w:pPr>
      <w:r>
        <w:rPr>
          <w:rtl/>
          <w:lang w:bidi="fa-IR"/>
        </w:rPr>
        <w:t>(10).</w:t>
      </w:r>
      <w:r w:rsidR="00744A1C">
        <w:rPr>
          <w:rtl/>
          <w:lang w:bidi="fa-IR"/>
        </w:rPr>
        <w:t xml:space="preserve"> في « بخ » : « عن جعفر ، قال : قال رسول الله </w:t>
      </w:r>
      <w:r w:rsidR="00E843EA" w:rsidRPr="00E843EA">
        <w:rPr>
          <w:rStyle w:val="libFootnoteAlaemChar"/>
          <w:rtl/>
        </w:rPr>
        <w:t>صلى‌الله‌عليه‌وآله</w:t>
      </w:r>
      <w:r w:rsidR="00D10E3C">
        <w:rPr>
          <w:rtl/>
          <w:lang w:bidi="fa-IR"/>
        </w:rPr>
        <w:t xml:space="preserve"> </w:t>
      </w:r>
      <w:r w:rsidR="00744A1C">
        <w:rPr>
          <w:rtl/>
          <w:lang w:bidi="fa-IR"/>
        </w:rPr>
        <w:t xml:space="preserve">». وفي « ط » </w:t>
      </w:r>
      <w:r w:rsidR="00744A1C" w:rsidRPr="00F270CE">
        <w:rPr>
          <w:rtl/>
        </w:rPr>
        <w:t>والوافي والتهذيب والاستبصار</w:t>
      </w:r>
      <w:r w:rsidR="00744A1C">
        <w:rPr>
          <w:rtl/>
          <w:lang w:bidi="fa-IR"/>
        </w:rPr>
        <w:t xml:space="preserve"> : « عن جعفر </w:t>
      </w:r>
      <w:r w:rsidR="0061079A" w:rsidRPr="0061079A">
        <w:rPr>
          <w:rStyle w:val="libFootnoteAlaemChar"/>
          <w:rtl/>
        </w:rPr>
        <w:t>عليه‌السلام</w:t>
      </w:r>
      <w:r w:rsidR="00D10E3C">
        <w:rPr>
          <w:rtl/>
          <w:lang w:bidi="fa-IR"/>
        </w:rPr>
        <w:t xml:space="preserve"> </w:t>
      </w:r>
      <w:r w:rsidR="00744A1C">
        <w:rPr>
          <w:rtl/>
          <w:lang w:bidi="fa-IR"/>
        </w:rPr>
        <w:t xml:space="preserve">، قال : إنّ رسول الله </w:t>
      </w:r>
      <w:r w:rsidR="00E843EA" w:rsidRPr="00E843EA">
        <w:rPr>
          <w:rStyle w:val="libFootnoteAlaemChar"/>
          <w:rtl/>
        </w:rPr>
        <w:t>صلى‌الله‌عليه‌وآله</w:t>
      </w:r>
      <w:r w:rsidR="00D10E3C">
        <w:rPr>
          <w:rtl/>
          <w:lang w:bidi="fa-IR"/>
        </w:rPr>
        <w:t xml:space="preserve"> </w:t>
      </w:r>
      <w:r w:rsidR="00744A1C">
        <w:rPr>
          <w:rtl/>
          <w:lang w:bidi="fa-IR"/>
        </w:rPr>
        <w:t xml:space="preserve">، قال ». وفي « بف » : « عن جعفر </w:t>
      </w:r>
      <w:r w:rsidR="0061079A" w:rsidRPr="0061079A">
        <w:rPr>
          <w:rStyle w:val="libFootnoteAlaemChar"/>
          <w:rtl/>
        </w:rPr>
        <w:t>عليه‌السلام</w:t>
      </w:r>
      <w:r w:rsidR="00D10E3C">
        <w:rPr>
          <w:rtl/>
          <w:lang w:bidi="fa-IR"/>
        </w:rPr>
        <w:t xml:space="preserve"> </w:t>
      </w:r>
      <w:r w:rsidR="00744A1C">
        <w:rPr>
          <w:rtl/>
          <w:lang w:bidi="fa-IR"/>
        </w:rPr>
        <w:t xml:space="preserve">، قال : قال رسول الله </w:t>
      </w:r>
      <w:r w:rsidR="00F90866" w:rsidRPr="00F90866">
        <w:rPr>
          <w:rStyle w:val="libFootnoteAlaemChar"/>
          <w:rtl/>
        </w:rPr>
        <w:t>صلى‌الله‌عليه‌وآله</w:t>
      </w:r>
      <w:r w:rsidR="00744A1C">
        <w:rPr>
          <w:rtl/>
          <w:lang w:bidi="fa-IR"/>
        </w:rPr>
        <w:t xml:space="preserve"> ».</w:t>
      </w:r>
    </w:p>
    <w:p w:rsidR="006A5060" w:rsidRDefault="006A5060" w:rsidP="00D10E3C">
      <w:pPr>
        <w:pStyle w:val="libNormal"/>
        <w:rPr>
          <w:rtl/>
          <w:lang w:bidi="fa-IR"/>
        </w:rPr>
      </w:pPr>
      <w:r>
        <w:rPr>
          <w:rtl/>
          <w:lang w:bidi="fa-IR"/>
        </w:rPr>
        <w:br w:type="page"/>
      </w:r>
    </w:p>
    <w:p w:rsidR="00144FA6" w:rsidRDefault="00744A1C" w:rsidP="00955510">
      <w:pPr>
        <w:pStyle w:val="libNormal0"/>
        <w:rPr>
          <w:rtl/>
          <w:lang w:bidi="fa-IR"/>
        </w:rPr>
      </w:pPr>
      <w:r>
        <w:rPr>
          <w:rtl/>
          <w:lang w:bidi="fa-IR"/>
        </w:rPr>
        <w:t xml:space="preserve">أَعْطَيْتُ خَالَتِي غُلَاماً ، وَنَهَيْتُهَا </w:t>
      </w:r>
      <w:r w:rsidRPr="00D10E3C">
        <w:rPr>
          <w:rStyle w:val="libFootnotenumChar"/>
          <w:rtl/>
        </w:rPr>
        <w:t>(1)</w:t>
      </w:r>
      <w:r>
        <w:rPr>
          <w:rtl/>
          <w:lang w:bidi="fa-IR"/>
        </w:rPr>
        <w:t xml:space="preserve"> أَنْ تَجْعَلَهُ قَصَّاباً ، أَوْ حَجَّاماً ، أَوْ صَائِغاً ». </w:t>
      </w:r>
      <w:r w:rsidRPr="00D10E3C">
        <w:rPr>
          <w:rStyle w:val="libFootnotenumChar"/>
          <w:rtl/>
        </w:rPr>
        <w:t>(2)</w:t>
      </w:r>
    </w:p>
    <w:p w:rsidR="00144FA6" w:rsidRDefault="00744A1C" w:rsidP="00744A1C">
      <w:pPr>
        <w:pStyle w:val="libNormal"/>
        <w:rPr>
          <w:rtl/>
          <w:lang w:bidi="fa-IR"/>
        </w:rPr>
      </w:pPr>
      <w:r>
        <w:rPr>
          <w:rtl/>
          <w:lang w:bidi="fa-IR"/>
        </w:rPr>
        <w:t xml:space="preserve">8539 / 7. عَلِيُّ بْنُ مُحَمَّدِ بْنِ بُنْدَارَ ، عَنْ أَحْمَدَ بْنِ أَبِي عَبْدِ اللهِ ، عَنِ الْقَاسِمِ بْنِ إِسْحَاقَ بْنِ إِبْرَاهِيمَ ، عَنْ مُوسَى بْنِ زَنْجَوَيْهِ </w:t>
      </w:r>
      <w:r w:rsidRPr="00D10E3C">
        <w:rPr>
          <w:rStyle w:val="libFootnotenumChar"/>
          <w:rtl/>
        </w:rPr>
        <w:t>(3)</w:t>
      </w:r>
      <w:r>
        <w:rPr>
          <w:rtl/>
          <w:lang w:bidi="fa-IR"/>
        </w:rPr>
        <w:t xml:space="preserve"> التَّفْلِيسِيِّ ، عَنْ أَبِي عُمَرَ </w:t>
      </w:r>
      <w:r w:rsidRPr="00D10E3C">
        <w:rPr>
          <w:rStyle w:val="libFootnotenumChar"/>
          <w:rtl/>
        </w:rPr>
        <w:t>(4)</w:t>
      </w:r>
      <w:r>
        <w:rPr>
          <w:rtl/>
          <w:lang w:bidi="fa-IR"/>
        </w:rPr>
        <w:t xml:space="preserve"> الْحَنَّاطِ </w:t>
      </w:r>
      <w:r w:rsidRPr="00D10E3C">
        <w:rPr>
          <w:rStyle w:val="libFootnotenumChar"/>
          <w:rtl/>
        </w:rPr>
        <w:t>(5)</w:t>
      </w:r>
      <w:r>
        <w:rPr>
          <w:rtl/>
          <w:lang w:bidi="fa-IR"/>
        </w:rPr>
        <w:t xml:space="preserve"> ، عَنْ أبِي </w:t>
      </w:r>
      <w:r w:rsidRPr="00D10E3C">
        <w:rPr>
          <w:rStyle w:val="libFootnotenumChar"/>
          <w:rtl/>
        </w:rPr>
        <w:t>(6)</w:t>
      </w:r>
      <w:r>
        <w:rPr>
          <w:rtl/>
          <w:lang w:bidi="fa-IR"/>
        </w:rPr>
        <w:t xml:space="preserve"> إِسْمَاعِيلَ الصَّيْقَلِ الرَّازِيِّ ، قَالَ :</w:t>
      </w:r>
    </w:p>
    <w:p w:rsidR="00744A1C" w:rsidRDefault="00744A1C" w:rsidP="00744A1C">
      <w:pPr>
        <w:pStyle w:val="libNormal"/>
        <w:rPr>
          <w:lang w:bidi="fa-IR"/>
        </w:rPr>
      </w:pPr>
      <w:r>
        <w:rPr>
          <w:rtl/>
          <w:lang w:bidi="fa-IR"/>
        </w:rPr>
        <w:t xml:space="preserve">دَخَلْتُ عَلى أَبِي عَبْدِ اللهِ </w:t>
      </w:r>
      <w:r w:rsidR="0061079A" w:rsidRPr="0061079A">
        <w:rPr>
          <w:rStyle w:val="libAlaemChar"/>
          <w:rtl/>
        </w:rPr>
        <w:t>عليه‌السلام</w:t>
      </w:r>
      <w:r w:rsidR="00D10E3C">
        <w:rPr>
          <w:rtl/>
          <w:lang w:bidi="fa-IR"/>
        </w:rPr>
        <w:t xml:space="preserve"> </w:t>
      </w:r>
      <w:r>
        <w:rPr>
          <w:rtl/>
          <w:lang w:bidi="fa-IR"/>
        </w:rPr>
        <w:t xml:space="preserve">وَمَعِي ثَوْبَانِ ، فَقَالَ لِي </w:t>
      </w:r>
      <w:r w:rsidRPr="00D10E3C">
        <w:rPr>
          <w:rStyle w:val="libFootnotenumChar"/>
          <w:rtl/>
        </w:rPr>
        <w:t>(7)</w:t>
      </w:r>
      <w:r>
        <w:rPr>
          <w:rtl/>
          <w:lang w:bidi="fa-IR"/>
        </w:rPr>
        <w:t xml:space="preserve"> : « يَا أَبَا إِسْمَاعِيلَ ، يَجِيئُنِي مِنْ قِبَلِكُمْ أَثْوَابٌ كَثِيرَةٌ ، وَلَيْسَ يَجِيئُنِي مِثْلُ هذَيْنِ الثَّوْبَيْنِ اللَّذَيْنِ تَحْمِلُهُمَا أَنْتَ </w:t>
      </w:r>
      <w:r w:rsidRPr="00D10E3C">
        <w:rPr>
          <w:rStyle w:val="libFootnotenumChar"/>
          <w:rtl/>
        </w:rPr>
        <w:t>(8)</w:t>
      </w:r>
      <w:r>
        <w:rPr>
          <w:rtl/>
          <w:lang w:bidi="fa-IR"/>
        </w:rPr>
        <w:t xml:space="preserve"> ».</w:t>
      </w:r>
    </w:p>
    <w:p w:rsidR="00744A1C" w:rsidRDefault="00744A1C" w:rsidP="00744A1C">
      <w:pPr>
        <w:pStyle w:val="libNormal"/>
        <w:rPr>
          <w:lang w:bidi="fa-IR"/>
        </w:rPr>
      </w:pPr>
      <w:r>
        <w:rPr>
          <w:rtl/>
          <w:lang w:bidi="fa-IR"/>
        </w:rPr>
        <w:t xml:space="preserve">فَقُلْتُ : جُعِلْتُ فِدَاكَ ، تَغْزِلُهُمَا أُمُّ إِسْمَاعِيلَ ، وَأَنْسِجُهُمَا أَنَا ، فَقَالَ لِي : « حَائِكٌ؟ » قُلْتُ : نَعَمْ ، فَقَالَ </w:t>
      </w:r>
      <w:r w:rsidRPr="00D10E3C">
        <w:rPr>
          <w:rStyle w:val="libFootnotenumChar"/>
          <w:rtl/>
        </w:rPr>
        <w:t>(9)</w:t>
      </w:r>
      <w:r>
        <w:rPr>
          <w:rtl/>
          <w:lang w:bidi="fa-IR"/>
        </w:rPr>
        <w:t xml:space="preserve"> : « لَا تَكُنْ حَائِكاً » قُلْتُ : فَمَا أَكُونُ؟ قَالَ : « كُنْ صَيْقَلاً </w:t>
      </w:r>
      <w:r w:rsidRPr="00D10E3C">
        <w:rPr>
          <w:rStyle w:val="libFootnotenumChar"/>
          <w:rtl/>
        </w:rPr>
        <w:t>(10)</w:t>
      </w:r>
      <w:r>
        <w:rPr>
          <w:rtl/>
          <w:lang w:bidi="fa-IR"/>
        </w:rPr>
        <w:t xml:space="preserve"> ».</w:t>
      </w:r>
    </w:p>
    <w:p w:rsidR="00144FA6" w:rsidRDefault="00744A1C" w:rsidP="00744A1C">
      <w:pPr>
        <w:pStyle w:val="libNormal"/>
        <w:rPr>
          <w:rtl/>
          <w:lang w:bidi="fa-IR"/>
        </w:rPr>
      </w:pPr>
      <w:r>
        <w:rPr>
          <w:rtl/>
          <w:lang w:bidi="fa-IR"/>
        </w:rPr>
        <w:t xml:space="preserve">وَكَانَتْ </w:t>
      </w:r>
      <w:r w:rsidRPr="00D10E3C">
        <w:rPr>
          <w:rStyle w:val="libFootnotenumChar"/>
          <w:rtl/>
        </w:rPr>
        <w:t>(11)</w:t>
      </w:r>
      <w:r>
        <w:rPr>
          <w:rtl/>
          <w:lang w:bidi="fa-IR"/>
        </w:rPr>
        <w:t xml:space="preserve"> مَعِي مِائَتَا دِرْهَمٍ ، فَاشْتَرَيْتُ </w:t>
      </w:r>
      <w:r w:rsidRPr="00D10E3C">
        <w:rPr>
          <w:rStyle w:val="libFootnotenumChar"/>
          <w:rtl/>
        </w:rPr>
        <w:t>(12)</w:t>
      </w:r>
      <w:r>
        <w:rPr>
          <w:rtl/>
          <w:lang w:bidi="fa-IR"/>
        </w:rPr>
        <w:t xml:space="preserve"> بِهَا سُيُوفاً وَمَرَايَا </w:t>
      </w:r>
      <w:r w:rsidRPr="00D10E3C">
        <w:rPr>
          <w:rStyle w:val="libFootnotenumChar"/>
          <w:rtl/>
        </w:rPr>
        <w:t>(13)</w:t>
      </w:r>
      <w:r>
        <w:rPr>
          <w:rtl/>
          <w:lang w:bidi="fa-IR"/>
        </w:rPr>
        <w:t xml:space="preserve"> عُتُقاً </w:t>
      </w:r>
      <w:r w:rsidRPr="00D10E3C">
        <w:rPr>
          <w:rStyle w:val="libFootnotenumChar"/>
          <w:rtl/>
        </w:rPr>
        <w:t>(14)</w:t>
      </w:r>
      <w:r>
        <w:rPr>
          <w:rtl/>
          <w:lang w:bidi="fa-IR"/>
        </w:rPr>
        <w:t xml:space="preserve"> ، وَقَدِمْتُ بِهَا </w:t>
      </w:r>
      <w:r w:rsidRPr="00D10E3C">
        <w:rPr>
          <w:rStyle w:val="libFootnotenumChar"/>
          <w:rtl/>
        </w:rPr>
        <w:t>(15)</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F270CE">
        <w:rPr>
          <w:rtl/>
        </w:rPr>
        <w:t>في الوافي : «</w:t>
      </w:r>
      <w:r w:rsidR="00744A1C">
        <w:rPr>
          <w:rtl/>
          <w:lang w:bidi="fa-IR"/>
        </w:rPr>
        <w:t xml:space="preserve"> فنهيتها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363 ، ح 1041 ؛ </w:t>
      </w:r>
      <w:r w:rsidR="00744A1C" w:rsidRPr="00C24F9C">
        <w:rPr>
          <w:rStyle w:val="libFootnoteBoldChar"/>
          <w:rtl/>
        </w:rPr>
        <w:t>والاستبصار</w:t>
      </w:r>
      <w:r w:rsidR="00744A1C">
        <w:rPr>
          <w:rtl/>
          <w:lang w:bidi="fa-IR"/>
        </w:rPr>
        <w:t xml:space="preserve"> ، ج 3 ، ص 64 ، ح 212 ، معلّقاً عن أحمد بن محمّد ؛ </w:t>
      </w:r>
      <w:r w:rsidR="00744A1C" w:rsidRPr="003A7143">
        <w:rPr>
          <w:rStyle w:val="libFootnoteBoldChar"/>
          <w:rtl/>
        </w:rPr>
        <w:t>علل الشرائع</w:t>
      </w:r>
      <w:r w:rsidR="00744A1C">
        <w:rPr>
          <w:rtl/>
          <w:lang w:bidi="fa-IR"/>
        </w:rPr>
        <w:t xml:space="preserve"> ، ص 530 ، ح 3 ، بسنده عن أحمد بن محمّد ، عن محمّد بن يحيى الخزّاز ، عن طلحة بن زيد ، عن جعفر بن محمّد ، عن أبيه </w:t>
      </w:r>
      <w:r w:rsidR="00F112A7" w:rsidRPr="00CE5A92">
        <w:rPr>
          <w:rStyle w:val="libFootnoteAlaemChar"/>
          <w:rtl/>
        </w:rPr>
        <w:t>عليهما‌السلام</w:t>
      </w:r>
      <w:r w:rsidR="00744A1C">
        <w:rPr>
          <w:rtl/>
          <w:lang w:bidi="fa-IR"/>
        </w:rPr>
        <w:t xml:space="preserve">عن رسول الله </w:t>
      </w:r>
      <w:r w:rsidR="00E843EA" w:rsidRPr="00E843EA">
        <w:rPr>
          <w:rStyle w:val="libFootnoteAlaemChar"/>
          <w:rtl/>
        </w:rPr>
        <w:t>صلى‌الله‌عليه‌وآله</w:t>
      </w:r>
      <w:r w:rsidR="00D10E3C">
        <w:rPr>
          <w:rtl/>
          <w:lang w:bidi="fa-IR"/>
        </w:rPr>
        <w:t xml:space="preserve"> </w:t>
      </w:r>
      <w:r w:rsidR="00F270CE">
        <w:rPr>
          <w:rFonts w:hint="cs"/>
          <w:rtl/>
          <w:lang w:bidi="fa-IR"/>
        </w:rPr>
        <w:t>.</w:t>
      </w:r>
      <w:r w:rsidR="00744A1C" w:rsidRPr="00C24F9C">
        <w:rPr>
          <w:rStyle w:val="libFootnoteBoldChar"/>
          <w:rtl/>
        </w:rPr>
        <w:t>الوافي</w:t>
      </w:r>
      <w:r w:rsidR="00744A1C">
        <w:rPr>
          <w:rtl/>
          <w:lang w:bidi="fa-IR"/>
        </w:rPr>
        <w:t xml:space="preserve"> ، ج 17 ، ص 184 ، ح 17078 ؛ </w:t>
      </w:r>
      <w:r w:rsidR="00744A1C" w:rsidRPr="00C24F9C">
        <w:rPr>
          <w:rStyle w:val="libFootnoteBoldChar"/>
          <w:rtl/>
        </w:rPr>
        <w:t>الوسائل</w:t>
      </w:r>
      <w:r w:rsidR="00744A1C">
        <w:rPr>
          <w:rtl/>
          <w:lang w:bidi="fa-IR"/>
        </w:rPr>
        <w:t xml:space="preserve"> ، ج 17 ، ص 106 ، ح 22100 ؛ وص 136 ، ح 22187.</w:t>
      </w:r>
    </w:p>
    <w:p w:rsidR="00744A1C" w:rsidRDefault="00E378DD" w:rsidP="00E378DD">
      <w:pPr>
        <w:pStyle w:val="libFootnote0"/>
        <w:rPr>
          <w:lang w:bidi="fa-IR"/>
        </w:rPr>
      </w:pPr>
      <w:r>
        <w:rPr>
          <w:rtl/>
          <w:lang w:bidi="fa-IR"/>
        </w:rPr>
        <w:t>(3).</w:t>
      </w:r>
      <w:r w:rsidR="00744A1C">
        <w:rPr>
          <w:rtl/>
          <w:lang w:bidi="fa-IR"/>
        </w:rPr>
        <w:t xml:space="preserve"> في « بح ، بخ ، بف ، جت ، جن » : « رنجويه » ، لكن تقدّم ذيل ح 938 أنّ الصواب هو زنجويه ، فلاحظ.</w:t>
      </w:r>
    </w:p>
    <w:p w:rsidR="00744A1C" w:rsidRDefault="00E378DD" w:rsidP="00E378DD">
      <w:pPr>
        <w:pStyle w:val="libFootnote0"/>
        <w:rPr>
          <w:lang w:bidi="fa-IR"/>
        </w:rPr>
      </w:pPr>
      <w:r>
        <w:rPr>
          <w:rtl/>
          <w:lang w:bidi="fa-IR"/>
        </w:rPr>
        <w:t>(4).</w:t>
      </w:r>
      <w:r w:rsidR="00744A1C">
        <w:rPr>
          <w:rtl/>
          <w:lang w:bidi="fa-IR"/>
        </w:rPr>
        <w:t xml:space="preserve"> في « بخ ، بف » وحاشية « </w:t>
      </w:r>
      <w:r w:rsidR="00744A1C" w:rsidRPr="00F270CE">
        <w:rPr>
          <w:rtl/>
        </w:rPr>
        <w:t>جن » والوافي : «</w:t>
      </w:r>
      <w:r w:rsidR="00744A1C">
        <w:rPr>
          <w:rtl/>
          <w:lang w:bidi="fa-IR"/>
        </w:rPr>
        <w:t xml:space="preserve"> أبي عمير ».</w:t>
      </w:r>
    </w:p>
    <w:p w:rsidR="00744A1C" w:rsidRDefault="00E378DD" w:rsidP="00E378DD">
      <w:pPr>
        <w:pStyle w:val="libFootnote0"/>
        <w:rPr>
          <w:lang w:bidi="fa-IR"/>
        </w:rPr>
      </w:pPr>
      <w:r>
        <w:rPr>
          <w:rtl/>
          <w:lang w:bidi="fa-IR"/>
        </w:rPr>
        <w:t>(5).</w:t>
      </w:r>
      <w:r w:rsidR="00744A1C">
        <w:rPr>
          <w:rtl/>
          <w:lang w:bidi="fa-IR"/>
        </w:rPr>
        <w:t xml:space="preserve"> في « بح ، بخ ، بس ، جت » </w:t>
      </w:r>
      <w:r w:rsidR="00744A1C" w:rsidRPr="00F270CE">
        <w:rPr>
          <w:rtl/>
        </w:rPr>
        <w:t>والوافي :</w:t>
      </w:r>
      <w:r w:rsidR="00744A1C">
        <w:rPr>
          <w:rtl/>
          <w:lang w:bidi="fa-IR"/>
        </w:rPr>
        <w:t xml:space="preserve"> « الخيّاط ».</w:t>
      </w:r>
    </w:p>
    <w:p w:rsidR="00744A1C" w:rsidRDefault="00E378DD" w:rsidP="00E378DD">
      <w:pPr>
        <w:pStyle w:val="libFootnote0"/>
        <w:rPr>
          <w:lang w:bidi="fa-IR"/>
        </w:rPr>
      </w:pPr>
      <w:r>
        <w:rPr>
          <w:rtl/>
          <w:lang w:bidi="fa-IR"/>
        </w:rPr>
        <w:t>(6).</w:t>
      </w:r>
      <w:r w:rsidR="00744A1C">
        <w:rPr>
          <w:rtl/>
          <w:lang w:bidi="fa-IR"/>
        </w:rPr>
        <w:t xml:space="preserve"> هكذا في « ط ، ى ، بح ، بخ ، بس ، بف ، جت ، جد ، جن » </w:t>
      </w:r>
      <w:r w:rsidR="00744A1C" w:rsidRPr="00F270CE">
        <w:rPr>
          <w:rtl/>
        </w:rPr>
        <w:t>والوافي والوسائل والتهذيب والاستبصار.</w:t>
      </w:r>
      <w:r w:rsidR="00744A1C">
        <w:rPr>
          <w:rtl/>
          <w:lang w:bidi="fa-IR"/>
        </w:rPr>
        <w:t xml:space="preserve"> وفي المطبوع : - « أبي » ، وهو سهو كما يظهر من متن الخبر.</w:t>
      </w:r>
    </w:p>
    <w:tbl>
      <w:tblPr>
        <w:tblStyle w:val="TableGrid"/>
        <w:bidiVisual/>
        <w:tblW w:w="0" w:type="auto"/>
        <w:tblLook w:val="04A0" w:firstRow="1" w:lastRow="0" w:firstColumn="1" w:lastColumn="0" w:noHBand="0" w:noVBand="1"/>
      </w:tblPr>
      <w:tblGrid>
        <w:gridCol w:w="4006"/>
        <w:gridCol w:w="4006"/>
      </w:tblGrid>
      <w:tr w:rsidR="00F270CE" w:rsidTr="00F270CE">
        <w:tc>
          <w:tcPr>
            <w:tcW w:w="4006" w:type="dxa"/>
          </w:tcPr>
          <w:p w:rsidR="00F270CE" w:rsidRDefault="00F270CE" w:rsidP="00E378DD">
            <w:pPr>
              <w:pStyle w:val="libFootnote0"/>
              <w:rPr>
                <w:rtl/>
                <w:lang w:bidi="fa-IR"/>
              </w:rPr>
            </w:pPr>
            <w:r>
              <w:rPr>
                <w:rtl/>
                <w:lang w:bidi="fa-IR"/>
              </w:rPr>
              <w:t>(7). في « ى » : - « لي ».</w:t>
            </w:r>
          </w:p>
        </w:tc>
        <w:tc>
          <w:tcPr>
            <w:tcW w:w="4006" w:type="dxa"/>
          </w:tcPr>
          <w:p w:rsidR="00F270CE" w:rsidRDefault="00F270CE" w:rsidP="00E378DD">
            <w:pPr>
              <w:pStyle w:val="libFootnote0"/>
              <w:rPr>
                <w:rtl/>
                <w:lang w:bidi="fa-IR"/>
              </w:rPr>
            </w:pPr>
            <w:r>
              <w:rPr>
                <w:rtl/>
                <w:lang w:bidi="fa-IR"/>
              </w:rPr>
              <w:t xml:space="preserve">(8). في </w:t>
            </w:r>
            <w:r w:rsidRPr="00C24F9C">
              <w:rPr>
                <w:rStyle w:val="libFootnoteBoldChar"/>
                <w:rtl/>
              </w:rPr>
              <w:t>الوسائل</w:t>
            </w:r>
            <w:r>
              <w:rPr>
                <w:rtl/>
                <w:lang w:bidi="fa-IR"/>
              </w:rPr>
              <w:t xml:space="preserve"> : - « اللذين تحملهما أنت ».</w:t>
            </w:r>
          </w:p>
        </w:tc>
      </w:tr>
    </w:tbl>
    <w:p w:rsidR="00744A1C" w:rsidRDefault="00E378DD" w:rsidP="00E378DD">
      <w:pPr>
        <w:pStyle w:val="libFootnote0"/>
        <w:rPr>
          <w:lang w:bidi="fa-IR"/>
        </w:rPr>
      </w:pPr>
      <w:r>
        <w:rPr>
          <w:rtl/>
          <w:lang w:bidi="fa-IR"/>
        </w:rPr>
        <w:t>(9).</w:t>
      </w:r>
      <w:r w:rsidR="00744A1C">
        <w:rPr>
          <w:rtl/>
          <w:lang w:bidi="fa-IR"/>
        </w:rPr>
        <w:t xml:space="preserve"> في « ى ، بخ ، بس ، بف ، جد » </w:t>
      </w:r>
      <w:r w:rsidR="00744A1C" w:rsidRPr="00F270CE">
        <w:rPr>
          <w:rtl/>
        </w:rPr>
        <w:t>والوافي : «</w:t>
      </w:r>
      <w:r w:rsidR="00744A1C">
        <w:rPr>
          <w:rtl/>
          <w:lang w:bidi="fa-IR"/>
        </w:rPr>
        <w:t xml:space="preserve"> قال ».</w:t>
      </w:r>
    </w:p>
    <w:p w:rsidR="00744A1C" w:rsidRDefault="00E378DD" w:rsidP="00E378DD">
      <w:pPr>
        <w:pStyle w:val="libFootnote0"/>
        <w:rPr>
          <w:lang w:bidi="fa-IR"/>
        </w:rPr>
      </w:pPr>
      <w:r>
        <w:rPr>
          <w:rtl/>
          <w:lang w:bidi="fa-IR"/>
        </w:rPr>
        <w:t>(10).</w:t>
      </w:r>
      <w:r w:rsidR="00744A1C">
        <w:rPr>
          <w:rtl/>
          <w:lang w:bidi="fa-IR"/>
        </w:rPr>
        <w:t xml:space="preserve"> </w:t>
      </w:r>
      <w:r w:rsidR="00F270CE">
        <w:rPr>
          <w:rtl/>
          <w:lang w:bidi="fa-IR"/>
        </w:rPr>
        <w:t>الصَّيْقَلُ : شحّاذ السيوف وجل</w:t>
      </w:r>
      <w:r w:rsidR="00F270CE">
        <w:rPr>
          <w:rFonts w:hint="cs"/>
          <w:rtl/>
          <w:lang w:bidi="fa-IR"/>
        </w:rPr>
        <w:t>ّ</w:t>
      </w:r>
      <w:r w:rsidR="00F270CE">
        <w:rPr>
          <w:rtl/>
          <w:lang w:bidi="fa-IR"/>
        </w:rPr>
        <w:t>ا</w:t>
      </w:r>
      <w:r w:rsidR="00744A1C">
        <w:rPr>
          <w:rtl/>
          <w:lang w:bidi="fa-IR"/>
        </w:rPr>
        <w:t xml:space="preserve">ؤها. </w:t>
      </w:r>
      <w:r w:rsidR="00744A1C" w:rsidRPr="00877682">
        <w:rPr>
          <w:rStyle w:val="libFootnoteBoldChar"/>
          <w:rtl/>
        </w:rPr>
        <w:t>لسان العرب</w:t>
      </w:r>
      <w:r w:rsidR="00744A1C">
        <w:rPr>
          <w:rtl/>
          <w:lang w:bidi="fa-IR"/>
        </w:rPr>
        <w:t xml:space="preserve"> ، ج 11 ، ص 380 ( صقل ).</w:t>
      </w:r>
    </w:p>
    <w:p w:rsidR="00744A1C" w:rsidRDefault="00E378DD" w:rsidP="00E378DD">
      <w:pPr>
        <w:pStyle w:val="libFootnote0"/>
        <w:rPr>
          <w:lang w:bidi="fa-IR"/>
        </w:rPr>
      </w:pPr>
      <w:r>
        <w:rPr>
          <w:rtl/>
          <w:lang w:bidi="fa-IR"/>
        </w:rPr>
        <w:t>(11).</w:t>
      </w:r>
      <w:r w:rsidR="00744A1C">
        <w:rPr>
          <w:rtl/>
          <w:lang w:bidi="fa-IR"/>
        </w:rPr>
        <w:t xml:space="preserve"> في حاشية « بح » : « فكانت ».</w:t>
      </w:r>
    </w:p>
    <w:p w:rsidR="00744A1C" w:rsidRDefault="00E378DD" w:rsidP="00E378DD">
      <w:pPr>
        <w:pStyle w:val="libFootnote0"/>
        <w:rPr>
          <w:lang w:bidi="fa-IR"/>
        </w:rPr>
      </w:pPr>
      <w:r>
        <w:rPr>
          <w:rtl/>
          <w:lang w:bidi="fa-IR"/>
        </w:rPr>
        <w:t>(12).</w:t>
      </w:r>
      <w:r w:rsidR="00744A1C">
        <w:rPr>
          <w:rtl/>
          <w:lang w:bidi="fa-IR"/>
        </w:rPr>
        <w:t xml:space="preserve"> في « ط » : + « معي دراهم فاشتريت بمائتي درهم » بدل « معي مائتا درهم ، فاشتريت ».</w:t>
      </w:r>
    </w:p>
    <w:p w:rsidR="00744A1C" w:rsidRDefault="00E378DD" w:rsidP="00E378DD">
      <w:pPr>
        <w:pStyle w:val="libFootnote0"/>
        <w:rPr>
          <w:lang w:bidi="fa-IR"/>
        </w:rPr>
      </w:pPr>
      <w:r>
        <w:rPr>
          <w:rtl/>
          <w:lang w:bidi="fa-IR"/>
        </w:rPr>
        <w:t>(13).</w:t>
      </w:r>
      <w:r w:rsidR="00744A1C">
        <w:rPr>
          <w:rtl/>
          <w:lang w:bidi="fa-IR"/>
        </w:rPr>
        <w:t xml:space="preserve"> في الاستبصار : + « قرابا ».</w:t>
      </w:r>
    </w:p>
    <w:p w:rsidR="00744A1C" w:rsidRDefault="00E378DD" w:rsidP="00016C12">
      <w:pPr>
        <w:pStyle w:val="libFootnote0"/>
        <w:rPr>
          <w:lang w:bidi="fa-IR"/>
        </w:rPr>
      </w:pPr>
      <w:r>
        <w:rPr>
          <w:rtl/>
          <w:lang w:bidi="fa-IR"/>
        </w:rPr>
        <w:t>(14).</w:t>
      </w:r>
      <w:r w:rsidR="00744A1C">
        <w:rPr>
          <w:rtl/>
          <w:lang w:bidi="fa-IR"/>
        </w:rPr>
        <w:t xml:space="preserve"> العُتُق : جمع العتيق ، وهو الكريم الرائع من كلّ شي‌ء. راجع : </w:t>
      </w:r>
      <w:r w:rsidR="00744A1C" w:rsidRPr="00877682">
        <w:rPr>
          <w:rStyle w:val="libFootnoteBoldChar"/>
          <w:rtl/>
        </w:rPr>
        <w:t>النهاية</w:t>
      </w:r>
      <w:r w:rsidR="00744A1C">
        <w:rPr>
          <w:rtl/>
          <w:lang w:bidi="fa-IR"/>
        </w:rPr>
        <w:t xml:space="preserve"> ، ج 3 ، ص 179 ؛ </w:t>
      </w:r>
      <w:r w:rsidR="00744A1C" w:rsidRPr="00E978C3">
        <w:rPr>
          <w:rStyle w:val="libFootnoteBoldChar"/>
          <w:rtl/>
        </w:rPr>
        <w:t>المصباح المنير</w:t>
      </w:r>
      <w:r w:rsidR="00744A1C">
        <w:rPr>
          <w:rtl/>
          <w:lang w:bidi="fa-IR"/>
        </w:rPr>
        <w:t xml:space="preserve"> ، ص 392 ( عتق ).</w:t>
      </w:r>
      <w:r w:rsidR="00016C12">
        <w:rPr>
          <w:rFonts w:hint="cs"/>
          <w:rtl/>
          <w:lang w:bidi="fa-IR"/>
        </w:rPr>
        <w:t xml:space="preserve">                      </w:t>
      </w:r>
      <w:r>
        <w:rPr>
          <w:rtl/>
          <w:lang w:bidi="fa-IR"/>
        </w:rPr>
        <w:t>(15).</w:t>
      </w:r>
      <w:r w:rsidR="00744A1C">
        <w:rPr>
          <w:rtl/>
          <w:lang w:bidi="fa-IR"/>
        </w:rPr>
        <w:t xml:space="preserve"> في « بخ ، بف » و</w:t>
      </w:r>
      <w:r w:rsidR="00744A1C" w:rsidRPr="00C24F9C">
        <w:rPr>
          <w:rStyle w:val="libFootnoteBoldChar"/>
          <w:rtl/>
        </w:rPr>
        <w:t>الوافي</w:t>
      </w:r>
      <w:r w:rsidR="00744A1C">
        <w:rPr>
          <w:rtl/>
          <w:lang w:bidi="fa-IR"/>
        </w:rPr>
        <w:t xml:space="preserve"> : + « إلى ».</w:t>
      </w:r>
    </w:p>
    <w:p w:rsidR="006A5060" w:rsidRDefault="006A5060" w:rsidP="00D10E3C">
      <w:pPr>
        <w:pStyle w:val="libNormal"/>
        <w:rPr>
          <w:rtl/>
          <w:lang w:bidi="fa-IR"/>
        </w:rPr>
      </w:pPr>
      <w:r>
        <w:rPr>
          <w:rtl/>
          <w:lang w:bidi="fa-IR"/>
        </w:rPr>
        <w:br w:type="page"/>
      </w:r>
    </w:p>
    <w:p w:rsidR="00144FA6" w:rsidRDefault="00744A1C" w:rsidP="00955510">
      <w:pPr>
        <w:pStyle w:val="libNormal0"/>
        <w:rPr>
          <w:rtl/>
          <w:lang w:bidi="fa-IR"/>
        </w:rPr>
      </w:pPr>
      <w:r>
        <w:rPr>
          <w:rtl/>
          <w:lang w:bidi="fa-IR"/>
        </w:rPr>
        <w:t xml:space="preserve">الرَّيَّ ، فَبِعْتُهَا </w:t>
      </w:r>
      <w:r w:rsidRPr="00D10E3C">
        <w:rPr>
          <w:rStyle w:val="libFootnotenumChar"/>
          <w:rtl/>
        </w:rPr>
        <w:t>(1)</w:t>
      </w:r>
      <w:r>
        <w:rPr>
          <w:rtl/>
          <w:lang w:bidi="fa-IR"/>
        </w:rPr>
        <w:t xml:space="preserve"> بِرِبْحٍ كَثِيرٍ. </w:t>
      </w:r>
      <w:r w:rsidRPr="00D10E3C">
        <w:rPr>
          <w:rStyle w:val="libFootnotenumChar"/>
          <w:rtl/>
        </w:rPr>
        <w:t>(2)</w:t>
      </w:r>
    </w:p>
    <w:p w:rsidR="00144FA6" w:rsidRDefault="00744A1C" w:rsidP="00744A1C">
      <w:pPr>
        <w:pStyle w:val="libNormal"/>
        <w:rPr>
          <w:rtl/>
          <w:lang w:bidi="fa-IR"/>
        </w:rPr>
      </w:pPr>
      <w:r>
        <w:rPr>
          <w:rtl/>
          <w:lang w:bidi="fa-IR"/>
        </w:rPr>
        <w:t xml:space="preserve">8540 / 8. عَلِيُّ بْنُ إِبْرَاهِيمَ ، عَنْ أَبِيهِ ، قَالَ : حَدَّثَنِي شَيْخٌ مِنْ أَصْحَابِنَا </w:t>
      </w:r>
      <w:r w:rsidRPr="00D10E3C">
        <w:rPr>
          <w:rStyle w:val="libFootnotenumChar"/>
          <w:rtl/>
        </w:rPr>
        <w:t>(3)</w:t>
      </w:r>
      <w:r>
        <w:rPr>
          <w:rtl/>
          <w:lang w:bidi="fa-IR"/>
        </w:rPr>
        <w:t xml:space="preserve"> الْكُوفِيِّينَ ، قَالَ :</w:t>
      </w:r>
    </w:p>
    <w:p w:rsidR="00744A1C" w:rsidRDefault="00744A1C" w:rsidP="00744A1C">
      <w:pPr>
        <w:pStyle w:val="libNormal"/>
        <w:rPr>
          <w:lang w:bidi="fa-IR"/>
        </w:rPr>
      </w:pPr>
      <w:r>
        <w:rPr>
          <w:rtl/>
          <w:lang w:bidi="fa-IR"/>
        </w:rPr>
        <w:t xml:space="preserve">دَخَلَ عِيسَى بْنُ شَفَقِيٍّ </w:t>
      </w:r>
      <w:r w:rsidRPr="00D10E3C">
        <w:rPr>
          <w:rStyle w:val="libFootnotenumChar"/>
          <w:rtl/>
        </w:rPr>
        <w:t>(4)</w:t>
      </w:r>
      <w:r>
        <w:rPr>
          <w:rtl/>
          <w:lang w:bidi="fa-IR"/>
        </w:rPr>
        <w:t xml:space="preserve"> عَلى أَبِي عَبْدِ اللهِ </w:t>
      </w:r>
      <w:r w:rsidR="0061079A" w:rsidRPr="0061079A">
        <w:rPr>
          <w:rStyle w:val="libAlaemChar"/>
          <w:rtl/>
        </w:rPr>
        <w:t>عليه‌السلام</w:t>
      </w:r>
      <w:r w:rsidR="00D10E3C">
        <w:rPr>
          <w:rtl/>
          <w:lang w:bidi="fa-IR"/>
        </w:rPr>
        <w:t xml:space="preserve"> </w:t>
      </w:r>
      <w:r>
        <w:rPr>
          <w:rtl/>
          <w:lang w:bidi="fa-IR"/>
        </w:rPr>
        <w:t xml:space="preserve">وَكَانَ سَاحِراً يَأْتِيهِ النَّاسُ ، وَيَأْخُذُ عَلى ذلِكَ الْأَجْرَ ، فَقَالَ لَهُ : جُعِلْتُ فِدَاكَ ، أَنَا رَجُلٌ كَانَتْ </w:t>
      </w:r>
      <w:r w:rsidRPr="00D10E3C">
        <w:rPr>
          <w:rStyle w:val="libFootnotenumChar"/>
          <w:rtl/>
        </w:rPr>
        <w:t>(5)</w:t>
      </w:r>
      <w:r>
        <w:rPr>
          <w:rtl/>
          <w:lang w:bidi="fa-IR"/>
        </w:rPr>
        <w:t xml:space="preserve"> صِنَاعَتِيَ السِّحْرَ ، وَكُنْتُ آخُذُ عَلَيْهِ </w:t>
      </w:r>
      <w:r w:rsidRPr="00D10E3C">
        <w:rPr>
          <w:rStyle w:val="libFootnotenumChar"/>
          <w:rtl/>
        </w:rPr>
        <w:t>(6)</w:t>
      </w:r>
      <w:r>
        <w:rPr>
          <w:rtl/>
          <w:lang w:bidi="fa-IR"/>
        </w:rPr>
        <w:t xml:space="preserve"> الْأَجْرَ ، وَكَانَ مَعَاشِي </w:t>
      </w:r>
      <w:r w:rsidRPr="00D10E3C">
        <w:rPr>
          <w:rStyle w:val="libFootnotenumChar"/>
          <w:rtl/>
        </w:rPr>
        <w:t>(7)</w:t>
      </w:r>
      <w:r>
        <w:rPr>
          <w:rtl/>
          <w:lang w:bidi="fa-IR"/>
        </w:rPr>
        <w:t xml:space="preserve"> ، وَقَدْ حَجَجْتُ مِنْهُ </w:t>
      </w:r>
      <w:r w:rsidRPr="00D10E3C">
        <w:rPr>
          <w:rStyle w:val="libFootnotenumChar"/>
          <w:rtl/>
        </w:rPr>
        <w:t>(8)</w:t>
      </w:r>
      <w:r>
        <w:rPr>
          <w:rtl/>
          <w:lang w:bidi="fa-IR"/>
        </w:rPr>
        <w:t xml:space="preserve"> ، وَمَنَّ اللهُ عَلَيَّ بِلِقَائِكَ ، وَقَدْ تُبْتُ إِلَى اللهِ عَزَّ وَجَلَّ ، فَهَلْ لِي فِي </w:t>
      </w:r>
      <w:r w:rsidRPr="00D10E3C">
        <w:rPr>
          <w:rStyle w:val="libFootnotenumChar"/>
          <w:rtl/>
        </w:rPr>
        <w:t>(9)</w:t>
      </w:r>
      <w:r>
        <w:rPr>
          <w:rtl/>
          <w:lang w:bidi="fa-IR"/>
        </w:rPr>
        <w:t xml:space="preserve"> شَيْ‌ءٍ مِنْ ذلِكَ </w:t>
      </w:r>
      <w:r w:rsidRPr="00D10E3C">
        <w:rPr>
          <w:rStyle w:val="libFootnotenumChar"/>
          <w:rtl/>
        </w:rPr>
        <w:t>(10)</w:t>
      </w:r>
      <w:r>
        <w:rPr>
          <w:rtl/>
          <w:lang w:bidi="fa-IR"/>
        </w:rPr>
        <w:t xml:space="preserve"> مَخْرَجٌ؟</w:t>
      </w:r>
    </w:p>
    <w:p w:rsidR="00144FA6" w:rsidRDefault="00744A1C" w:rsidP="00744A1C">
      <w:pPr>
        <w:pStyle w:val="libNormal"/>
        <w:rPr>
          <w:rtl/>
          <w:lang w:bidi="fa-IR"/>
        </w:rPr>
      </w:pPr>
      <w:r>
        <w:rPr>
          <w:rtl/>
          <w:lang w:bidi="fa-IR"/>
        </w:rPr>
        <w:t xml:space="preserve">قَالَ : فَقَالَ لَهُ أَبُو عَبْدِ اللهِ </w:t>
      </w:r>
      <w:r w:rsidR="0061079A" w:rsidRPr="0061079A">
        <w:rPr>
          <w:rStyle w:val="libAlaemChar"/>
          <w:rtl/>
        </w:rPr>
        <w:t>عليه‌السلام</w:t>
      </w:r>
      <w:r w:rsidR="00D10E3C">
        <w:rPr>
          <w:rtl/>
          <w:lang w:bidi="fa-IR"/>
        </w:rPr>
        <w:t xml:space="preserve"> </w:t>
      </w:r>
      <w:r>
        <w:rPr>
          <w:rtl/>
          <w:lang w:bidi="fa-IR"/>
        </w:rPr>
        <w:t xml:space="preserve">: « حُلَّ ، وَلَا تَعْقِدْ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بح ، بس ، جد ، جن » : « وبعتها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363 ، ح 1042 ؛ </w:t>
      </w:r>
      <w:r w:rsidR="00744A1C" w:rsidRPr="00C24F9C">
        <w:rPr>
          <w:rStyle w:val="libFootnoteBoldChar"/>
          <w:rtl/>
        </w:rPr>
        <w:t>والاستبصار</w:t>
      </w:r>
      <w:r w:rsidR="00744A1C">
        <w:rPr>
          <w:rtl/>
          <w:lang w:bidi="fa-IR"/>
        </w:rPr>
        <w:t xml:space="preserve"> ، ج 3 ، ص 64 ، ح 213 ، معلّقاً عن أحمد بن أبي عبد الله ، عن القاسم بن إسحاق بن إبراهيم بن موسى بن زنجويه [ </w:t>
      </w:r>
      <w:r w:rsidR="00744A1C" w:rsidRPr="00EF7DD8">
        <w:rPr>
          <w:rtl/>
        </w:rPr>
        <w:t>في التهذيب</w:t>
      </w:r>
      <w:r w:rsidR="00744A1C">
        <w:rPr>
          <w:rtl/>
          <w:lang w:bidi="fa-IR"/>
        </w:rPr>
        <w:t xml:space="preserve"> : « رنجويه » ] التفليسي ، عن أبي عمرو الحنّاط [ في </w:t>
      </w:r>
      <w:r w:rsidR="00744A1C" w:rsidRPr="00EF7DD8">
        <w:rPr>
          <w:rtl/>
        </w:rPr>
        <w:t>التهذيب</w:t>
      </w:r>
      <w:r w:rsidR="00744A1C">
        <w:rPr>
          <w:rtl/>
          <w:lang w:bidi="fa-IR"/>
        </w:rPr>
        <w:t xml:space="preserve"> : « الخيّاط » ] </w:t>
      </w:r>
      <w:r w:rsidR="00EF7DD8">
        <w:rPr>
          <w:rFonts w:hint="cs"/>
          <w:rtl/>
          <w:lang w:bidi="fa-IR"/>
        </w:rPr>
        <w:t>.</w:t>
      </w:r>
      <w:r w:rsidR="00744A1C" w:rsidRPr="00C24F9C">
        <w:rPr>
          <w:rStyle w:val="libFootnoteBoldChar"/>
          <w:rtl/>
        </w:rPr>
        <w:t>الوافي</w:t>
      </w:r>
      <w:r w:rsidR="00744A1C">
        <w:rPr>
          <w:rtl/>
          <w:lang w:bidi="fa-IR"/>
        </w:rPr>
        <w:t xml:space="preserve"> ، ج 17 ، ص 184 ، ح 17079 ؛ </w:t>
      </w:r>
      <w:r w:rsidR="00744A1C" w:rsidRPr="00C24F9C">
        <w:rPr>
          <w:rStyle w:val="libFootnoteBoldChar"/>
          <w:rtl/>
        </w:rPr>
        <w:t>الوسائل</w:t>
      </w:r>
      <w:r w:rsidR="00744A1C">
        <w:rPr>
          <w:rtl/>
          <w:lang w:bidi="fa-IR"/>
        </w:rPr>
        <w:t xml:space="preserve"> ، ج 17 ، ص 140 ، ح 22193.</w:t>
      </w:r>
    </w:p>
    <w:p w:rsidR="00744A1C" w:rsidRDefault="00E378DD" w:rsidP="00E378DD">
      <w:pPr>
        <w:pStyle w:val="libFootnote0"/>
        <w:rPr>
          <w:lang w:bidi="fa-IR"/>
        </w:rPr>
      </w:pPr>
      <w:r>
        <w:rPr>
          <w:rtl/>
          <w:lang w:bidi="fa-IR"/>
        </w:rPr>
        <w:t>(3).</w:t>
      </w:r>
      <w:r w:rsidR="00744A1C">
        <w:rPr>
          <w:rtl/>
          <w:lang w:bidi="fa-IR"/>
        </w:rPr>
        <w:t xml:space="preserve"> في « ط ، بخ ، بف » </w:t>
      </w:r>
      <w:r w:rsidR="00744A1C" w:rsidRPr="00EF7DD8">
        <w:rPr>
          <w:rtl/>
        </w:rPr>
        <w:t>والتهذيب</w:t>
      </w:r>
      <w:r w:rsidR="00744A1C">
        <w:rPr>
          <w:rtl/>
          <w:lang w:bidi="fa-IR"/>
        </w:rPr>
        <w:t xml:space="preserve"> : + « من ».</w:t>
      </w:r>
    </w:p>
    <w:p w:rsidR="00744A1C" w:rsidRDefault="00E378DD" w:rsidP="00E378DD">
      <w:pPr>
        <w:pStyle w:val="libFootnote0"/>
        <w:rPr>
          <w:lang w:bidi="fa-IR"/>
        </w:rPr>
      </w:pPr>
      <w:r>
        <w:rPr>
          <w:rtl/>
          <w:lang w:bidi="fa-IR"/>
        </w:rPr>
        <w:t>(4).</w:t>
      </w:r>
      <w:r w:rsidR="00744A1C">
        <w:rPr>
          <w:rtl/>
          <w:lang w:bidi="fa-IR"/>
        </w:rPr>
        <w:t xml:space="preserve"> في « بح ، جت » </w:t>
      </w:r>
      <w:r w:rsidR="00744A1C" w:rsidRPr="00EF7DD8">
        <w:rPr>
          <w:rtl/>
        </w:rPr>
        <w:t>والوافي والتهذيب</w:t>
      </w:r>
      <w:r w:rsidR="00744A1C">
        <w:rPr>
          <w:rtl/>
          <w:lang w:bidi="fa-IR"/>
        </w:rPr>
        <w:t xml:space="preserve"> : « شقفي ». وفي هامش المطبوع نقلاً من بعض النسخ : « سيفي ».</w:t>
      </w:r>
    </w:p>
    <w:p w:rsidR="00744A1C" w:rsidRDefault="00744A1C" w:rsidP="00EF7DD8">
      <w:pPr>
        <w:pStyle w:val="libFootnote0"/>
        <w:rPr>
          <w:lang w:bidi="fa-IR"/>
        </w:rPr>
      </w:pPr>
      <w:r>
        <w:rPr>
          <w:rtl/>
          <w:lang w:bidi="fa-IR"/>
        </w:rPr>
        <w:t xml:space="preserve">والخبر رواه الشيخ الصدوق في </w:t>
      </w:r>
      <w:r w:rsidRPr="00C24F9C">
        <w:rPr>
          <w:rStyle w:val="libFootnoteBoldChar"/>
          <w:rtl/>
        </w:rPr>
        <w:t>الفقيه</w:t>
      </w:r>
      <w:r>
        <w:rPr>
          <w:rtl/>
          <w:lang w:bidi="fa-IR"/>
        </w:rPr>
        <w:t xml:space="preserve"> ، ج 3 ، ص 180 ، ح 3677 قال : « وروي عن عيسى بن شقفي ». ورواه عبد الله بن جعفر الحميري أيضاً في </w:t>
      </w:r>
      <w:r w:rsidRPr="00877682">
        <w:rPr>
          <w:rStyle w:val="libFootnoteBoldChar"/>
          <w:rtl/>
        </w:rPr>
        <w:t>قرب الإسناد</w:t>
      </w:r>
      <w:r>
        <w:rPr>
          <w:rtl/>
          <w:lang w:bidi="fa-IR"/>
        </w:rPr>
        <w:t xml:space="preserve"> ، ص 52 ، ح 169 بسنده عن عيسى بن سقفي. والرجل مجهول لم نعرفه.</w:t>
      </w:r>
      <w:r w:rsidR="00EF7DD8">
        <w:rPr>
          <w:rFonts w:hint="cs"/>
          <w:rtl/>
          <w:lang w:bidi="fa-IR"/>
        </w:rPr>
        <w:t xml:space="preserve">                               </w:t>
      </w:r>
      <w:r w:rsidR="00955510">
        <w:rPr>
          <w:rFonts w:hint="cs"/>
          <w:rtl/>
          <w:lang w:bidi="fa-IR"/>
        </w:rPr>
        <w:t xml:space="preserve">                              </w:t>
      </w:r>
      <w:r w:rsidR="00EF7DD8">
        <w:rPr>
          <w:rFonts w:hint="cs"/>
          <w:rtl/>
          <w:lang w:bidi="fa-IR"/>
        </w:rPr>
        <w:t xml:space="preserve">   </w:t>
      </w:r>
      <w:r w:rsidR="00E378DD">
        <w:rPr>
          <w:rtl/>
          <w:lang w:bidi="fa-IR"/>
        </w:rPr>
        <w:t>(5).</w:t>
      </w:r>
      <w:r>
        <w:rPr>
          <w:rtl/>
          <w:lang w:bidi="fa-IR"/>
        </w:rPr>
        <w:t xml:space="preserve"> في « بخ » : « كان ».</w:t>
      </w:r>
    </w:p>
    <w:p w:rsidR="00744A1C" w:rsidRDefault="00E378DD" w:rsidP="00EF7DD8">
      <w:pPr>
        <w:pStyle w:val="libFootnote0"/>
        <w:rPr>
          <w:lang w:bidi="fa-IR"/>
        </w:rPr>
      </w:pPr>
      <w:r>
        <w:rPr>
          <w:rtl/>
          <w:lang w:bidi="fa-IR"/>
        </w:rPr>
        <w:t>(6).</w:t>
      </w:r>
      <w:r w:rsidR="00744A1C">
        <w:rPr>
          <w:rtl/>
          <w:lang w:bidi="fa-IR"/>
        </w:rPr>
        <w:t xml:space="preserve"> هكذا في « ط ، ى ، بح ، بخ ، بس ، جد ، جن » وحاشية « جت » </w:t>
      </w:r>
      <w:r w:rsidR="00744A1C" w:rsidRPr="00EF7DD8">
        <w:rPr>
          <w:rtl/>
        </w:rPr>
        <w:t>والوسائل والفقيه والتهذيب وقرب</w:t>
      </w:r>
      <w:r w:rsidR="00744A1C" w:rsidRPr="00877682">
        <w:rPr>
          <w:rStyle w:val="libFootnoteBoldChar"/>
          <w:rtl/>
        </w:rPr>
        <w:t xml:space="preserve"> </w:t>
      </w:r>
      <w:r w:rsidR="00744A1C" w:rsidRPr="00EF7DD8">
        <w:rPr>
          <w:rtl/>
        </w:rPr>
        <w:t>الإسناد. وفي‌سائر</w:t>
      </w:r>
      <w:r w:rsidR="00744A1C">
        <w:rPr>
          <w:rtl/>
          <w:lang w:bidi="fa-IR"/>
        </w:rPr>
        <w:t xml:space="preserve"> النسخ والمطبوع : « على ذلك ».</w:t>
      </w:r>
      <w:r w:rsidR="00EF7DD8">
        <w:rPr>
          <w:rFonts w:hint="cs"/>
          <w:rtl/>
          <w:lang w:bidi="fa-IR"/>
        </w:rPr>
        <w:t xml:space="preserve">                     </w:t>
      </w:r>
      <w:r>
        <w:rPr>
          <w:rtl/>
          <w:lang w:bidi="fa-IR"/>
        </w:rPr>
        <w:t>(7).</w:t>
      </w:r>
      <w:r w:rsidR="00744A1C">
        <w:rPr>
          <w:rtl/>
          <w:lang w:bidi="fa-IR"/>
        </w:rPr>
        <w:t xml:space="preserve"> في </w:t>
      </w:r>
      <w:r w:rsidR="00744A1C" w:rsidRPr="00C24F9C">
        <w:rPr>
          <w:rStyle w:val="libFootnoteBoldChar"/>
          <w:rtl/>
        </w:rPr>
        <w:t>الفقيه</w:t>
      </w:r>
      <w:r w:rsidR="00744A1C">
        <w:rPr>
          <w:rtl/>
          <w:lang w:bidi="fa-IR"/>
        </w:rPr>
        <w:t xml:space="preserve"> : - « وكان معاشي ».</w:t>
      </w:r>
    </w:p>
    <w:p w:rsidR="00744A1C" w:rsidRDefault="00E378DD" w:rsidP="00E378DD">
      <w:pPr>
        <w:pStyle w:val="libFootnote0"/>
        <w:rPr>
          <w:lang w:bidi="fa-IR"/>
        </w:rPr>
      </w:pPr>
      <w:r>
        <w:rPr>
          <w:rtl/>
          <w:lang w:bidi="fa-IR"/>
        </w:rPr>
        <w:t>(8).</w:t>
      </w:r>
      <w:r w:rsidR="00744A1C">
        <w:rPr>
          <w:rtl/>
          <w:lang w:bidi="fa-IR"/>
        </w:rPr>
        <w:t xml:space="preserve"> في « ى ، بح ، بس » </w:t>
      </w:r>
      <w:r w:rsidR="00744A1C" w:rsidRPr="00EF7DD8">
        <w:rPr>
          <w:rtl/>
        </w:rPr>
        <w:t>والفقيه والتهذيب والقرب</w:t>
      </w:r>
      <w:r w:rsidR="00744A1C">
        <w:rPr>
          <w:rtl/>
          <w:lang w:bidi="fa-IR"/>
        </w:rPr>
        <w:t xml:space="preserve"> : - « منه ».</w:t>
      </w:r>
    </w:p>
    <w:p w:rsidR="00744A1C" w:rsidRDefault="00E378DD" w:rsidP="00E378DD">
      <w:pPr>
        <w:pStyle w:val="libFootnote0"/>
        <w:rPr>
          <w:lang w:bidi="fa-IR"/>
        </w:rPr>
      </w:pPr>
      <w:r>
        <w:rPr>
          <w:rtl/>
          <w:lang w:bidi="fa-IR"/>
        </w:rPr>
        <w:t>(9).</w:t>
      </w:r>
      <w:r w:rsidR="00744A1C">
        <w:rPr>
          <w:rtl/>
          <w:lang w:bidi="fa-IR"/>
        </w:rPr>
        <w:t xml:space="preserve"> في « بف ، جت » : « من ».</w:t>
      </w:r>
    </w:p>
    <w:p w:rsidR="00744A1C" w:rsidRDefault="00E378DD" w:rsidP="00E378DD">
      <w:pPr>
        <w:pStyle w:val="libFootnote0"/>
        <w:rPr>
          <w:lang w:bidi="fa-IR"/>
        </w:rPr>
      </w:pPr>
      <w:r>
        <w:rPr>
          <w:rtl/>
          <w:lang w:bidi="fa-IR"/>
        </w:rPr>
        <w:t>(10).</w:t>
      </w:r>
      <w:r w:rsidR="00744A1C">
        <w:rPr>
          <w:rtl/>
          <w:lang w:bidi="fa-IR"/>
        </w:rPr>
        <w:t xml:space="preserve"> في « ط ، بف » </w:t>
      </w:r>
      <w:r w:rsidR="00744A1C" w:rsidRPr="00EF7DD8">
        <w:rPr>
          <w:rtl/>
        </w:rPr>
        <w:t>والوافي والفقيه والتهذيب والقرب</w:t>
      </w:r>
      <w:r w:rsidR="00744A1C">
        <w:rPr>
          <w:rtl/>
          <w:lang w:bidi="fa-IR"/>
        </w:rPr>
        <w:t xml:space="preserve"> : « منه » بدل « من ذلك ». وقال السلطان </w:t>
      </w:r>
      <w:r w:rsidR="00877682" w:rsidRPr="00877682">
        <w:rPr>
          <w:rStyle w:val="libFootnoteAlaemChar"/>
          <w:rtl/>
        </w:rPr>
        <w:t>رحمه‌الله</w:t>
      </w:r>
      <w:r w:rsidR="00EF7DD8" w:rsidRPr="00EF7DD8">
        <w:rPr>
          <w:rFonts w:hint="cs"/>
          <w:rtl/>
        </w:rPr>
        <w:t xml:space="preserve"> </w:t>
      </w:r>
      <w:r w:rsidR="00744A1C">
        <w:rPr>
          <w:rtl/>
          <w:lang w:bidi="fa-IR"/>
        </w:rPr>
        <w:t xml:space="preserve">في هامش </w:t>
      </w:r>
      <w:r w:rsidR="00744A1C" w:rsidRPr="00C24F9C">
        <w:rPr>
          <w:rStyle w:val="libFootnoteBoldChar"/>
          <w:rtl/>
        </w:rPr>
        <w:t>الوافي</w:t>
      </w:r>
      <w:r w:rsidR="00744A1C">
        <w:rPr>
          <w:rtl/>
          <w:lang w:bidi="fa-IR"/>
        </w:rPr>
        <w:t xml:space="preserve"> : « قوله : منه مخرج ، يحوز تعلّقه بشي‌ء ، فيكون بياناً وصفة للشي‌ء ، ويجوز تعلّقه بمخرج ، فالمراد بالشي‌ء هو الذي سبّب الخروج ، وعلى التقديرين فالضمير راجع للسحر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حلّ ولا تعقد ، ظاهره جواز السحر لدفع السحر ، وحمله الأصحاب على ما إذا كان الحلّ بغير السحر ، كالقرآن والذكر والإقسام والكلام المباح ».</w:t>
      </w:r>
    </w:p>
    <w:p w:rsidR="00144FA6" w:rsidRDefault="00744A1C" w:rsidP="00D10E3C">
      <w:pPr>
        <w:pStyle w:val="libFootnote0"/>
        <w:rPr>
          <w:rtl/>
          <w:lang w:bidi="fa-IR"/>
        </w:rPr>
      </w:pPr>
      <w:r>
        <w:rPr>
          <w:rtl/>
          <w:lang w:bidi="fa-IR"/>
        </w:rPr>
        <w:t xml:space="preserve">وقال المحقّق الشعراني في هامش </w:t>
      </w:r>
      <w:r w:rsidRPr="00C24F9C">
        <w:rPr>
          <w:rStyle w:val="libFootnoteBoldChar"/>
          <w:rtl/>
        </w:rPr>
        <w:t>الوافي</w:t>
      </w:r>
      <w:r>
        <w:rPr>
          <w:rtl/>
          <w:lang w:bidi="fa-IR"/>
        </w:rPr>
        <w:t xml:space="preserve"> : « وبالجملة هذا الحديث يدلّ على عدم وجوب قتل الساحر مطلقاً ،</w:t>
      </w:r>
      <w:r w:rsidR="00EF7DD8">
        <w:rPr>
          <w:rFonts w:hint="cs"/>
          <w:rtl/>
          <w:lang w:bidi="fa-IR"/>
        </w:rPr>
        <w:t>=</w:t>
      </w:r>
    </w:p>
    <w:p w:rsidR="006A5060" w:rsidRDefault="006A5060" w:rsidP="00D10E3C">
      <w:pPr>
        <w:pStyle w:val="libNormal"/>
        <w:rPr>
          <w:rtl/>
          <w:lang w:bidi="fa-IR"/>
        </w:rPr>
      </w:pPr>
      <w:r>
        <w:rPr>
          <w:rtl/>
          <w:lang w:bidi="fa-IR"/>
        </w:rPr>
        <w:br w:type="page"/>
      </w:r>
    </w:p>
    <w:p w:rsidR="00744A1C" w:rsidRDefault="00744A1C" w:rsidP="000F34CF">
      <w:pPr>
        <w:pStyle w:val="Heading2Center"/>
        <w:rPr>
          <w:lang w:bidi="fa-IR"/>
        </w:rPr>
      </w:pPr>
      <w:bookmarkStart w:id="157" w:name="_Toc49261455"/>
      <w:r>
        <w:rPr>
          <w:rtl/>
          <w:lang w:bidi="fa-IR"/>
        </w:rPr>
        <w:t>34 - بَابُ كَسْبِ الْحَجَّامِ‌</w:t>
      </w:r>
      <w:bookmarkEnd w:id="157"/>
    </w:p>
    <w:p w:rsidR="00144FA6" w:rsidRDefault="00744A1C" w:rsidP="00744A1C">
      <w:pPr>
        <w:pStyle w:val="libNormal"/>
        <w:rPr>
          <w:rtl/>
          <w:lang w:bidi="fa-IR"/>
        </w:rPr>
      </w:pPr>
      <w:r>
        <w:rPr>
          <w:rtl/>
          <w:lang w:bidi="fa-IR"/>
        </w:rPr>
        <w:t>8541 / 1. عِدَّةٌ مِنْ أَصْحَابِنَا ، عَنْ سَهْلِ بْنِ زِيَادٍ ، عَنِ ابْنِ مَحْبُوبٍ ، عَنِ ابْنِ رِئَابٍ ، عَنْ أَبِي بَصِيرٍ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قَالَ : سَأَلْتُهُ عَنْ كَسْبِ الْحَجَّامِ؟</w:t>
      </w:r>
    </w:p>
    <w:p w:rsidR="00144FA6" w:rsidRDefault="00744A1C" w:rsidP="00744A1C">
      <w:pPr>
        <w:pStyle w:val="libNormal"/>
        <w:rPr>
          <w:rtl/>
          <w:lang w:bidi="fa-IR"/>
        </w:rPr>
      </w:pPr>
      <w:r>
        <w:rPr>
          <w:rtl/>
          <w:lang w:bidi="fa-IR"/>
        </w:rPr>
        <w:t xml:space="preserve">فَقَالَ : « لَا بَأْسَ بِهِ إِذَا لَمْ يُشَارِطْ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8542 / 2. سَهْلُ بْنُ زِيَادٍ </w:t>
      </w:r>
      <w:r w:rsidRPr="00D10E3C">
        <w:rPr>
          <w:rStyle w:val="libFootnotenumChar"/>
          <w:rtl/>
        </w:rPr>
        <w:t>(3)</w:t>
      </w:r>
      <w:r>
        <w:rPr>
          <w:rtl/>
          <w:lang w:bidi="fa-IR"/>
        </w:rPr>
        <w:t xml:space="preserve"> ، عَنْ أَحْمَدَ بْنِ مُحَمَّدِ بْنِ أَبِي نَصْرٍ ، عَ</w:t>
      </w:r>
      <w:r w:rsidR="000F34CF">
        <w:rPr>
          <w:rtl/>
          <w:lang w:bidi="fa-IR"/>
        </w:rPr>
        <w:t>نْ حَنَانِ بْنِ سَدِيرٍ ، قَالَ</w:t>
      </w:r>
      <w:r>
        <w:rPr>
          <w:rtl/>
          <w:lang w:bidi="fa-IR"/>
        </w:rPr>
        <w:t>:</w:t>
      </w:r>
    </w:p>
    <w:p w:rsidR="00744A1C" w:rsidRDefault="00744A1C" w:rsidP="00D10E3C">
      <w:pPr>
        <w:pStyle w:val="libLine"/>
        <w:rPr>
          <w:lang w:bidi="fa-IR"/>
        </w:rPr>
      </w:pPr>
      <w:r>
        <w:rPr>
          <w:rtl/>
          <w:lang w:bidi="fa-IR"/>
        </w:rPr>
        <w:t>____________________</w:t>
      </w:r>
    </w:p>
    <w:p w:rsidR="00744A1C" w:rsidRDefault="000F34CF" w:rsidP="00D10E3C">
      <w:pPr>
        <w:pStyle w:val="libFootnote0"/>
        <w:rPr>
          <w:lang w:bidi="fa-IR"/>
        </w:rPr>
      </w:pPr>
      <w:r>
        <w:rPr>
          <w:rFonts w:hint="cs"/>
          <w:rtl/>
          <w:lang w:bidi="fa-IR"/>
        </w:rPr>
        <w:t xml:space="preserve">= </w:t>
      </w:r>
      <w:r w:rsidR="00744A1C">
        <w:rPr>
          <w:rtl/>
          <w:lang w:bidi="fa-IR"/>
        </w:rPr>
        <w:t>وقد شرحنا معنى السحر وحكم الحدّ فيه في الجزء الت</w:t>
      </w:r>
      <w:r w:rsidR="000267A0">
        <w:rPr>
          <w:rtl/>
          <w:lang w:bidi="fa-IR"/>
        </w:rPr>
        <w:t>اسع في أبواب الحدود. وقال العل</w:t>
      </w:r>
      <w:r w:rsidR="000267A0">
        <w:rPr>
          <w:rFonts w:hint="cs"/>
          <w:rtl/>
          <w:lang w:bidi="fa-IR"/>
        </w:rPr>
        <w:t>ّ</w:t>
      </w:r>
      <w:r w:rsidR="000267A0">
        <w:rPr>
          <w:rtl/>
          <w:lang w:bidi="fa-IR"/>
        </w:rPr>
        <w:t>ا</w:t>
      </w:r>
      <w:r w:rsidR="00744A1C">
        <w:rPr>
          <w:rtl/>
          <w:lang w:bidi="fa-IR"/>
        </w:rPr>
        <w:t xml:space="preserve">مة المجلسي </w:t>
      </w:r>
      <w:r w:rsidR="00877682" w:rsidRPr="00877682">
        <w:rPr>
          <w:rStyle w:val="libFootnoteAlaemChar"/>
          <w:rtl/>
        </w:rPr>
        <w:t>رحمه‌الله</w:t>
      </w:r>
      <w:r w:rsidR="00744A1C">
        <w:rPr>
          <w:rtl/>
          <w:lang w:bidi="fa-IR"/>
        </w:rPr>
        <w:t>: حمله العلماء على تجويز الحلّ بغير السحر. وهو بعيد. والحقّ ما ذكره المصنّف من جواز هذا النوع من السحر الذي يحلّ به. وقال الشيخ المحقّق الأنصاري قدسسرهه : وظاهر المقابلة بين الحلّ والعقد في الجواز والعدم كون كلّ منهما بالسحر ، فحمل الحلّ على ما كان بغير السحر من الدعاء والآيات ونحوهما - كما عن بعض - لا يخلو من بعد. انتهى.</w:t>
      </w:r>
    </w:p>
    <w:p w:rsidR="00744A1C" w:rsidRDefault="00744A1C" w:rsidP="00D10E3C">
      <w:pPr>
        <w:pStyle w:val="libFootnote0"/>
        <w:rPr>
          <w:lang w:bidi="fa-IR"/>
        </w:rPr>
      </w:pPr>
      <w:r>
        <w:rPr>
          <w:rtl/>
          <w:lang w:bidi="fa-IR"/>
        </w:rPr>
        <w:t>والسحر قد يكون موجباً للحدّ ، وهو القتل ، وقد لا يكون مضرّاً ولا نافعاً ، فيكون أكل المال بإزائه أكلاً بالباطل ، وقد يتصوّر فيه نفع عقلي ، فيجوز أخذ الاجرة عليه ، وهذا الخبر محمول عليه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364 ، ح 1043 ، معلّقاً عن الكليني. </w:t>
      </w:r>
      <w:r w:rsidR="00744A1C" w:rsidRPr="00877682">
        <w:rPr>
          <w:rStyle w:val="libFootnoteBoldChar"/>
          <w:rtl/>
        </w:rPr>
        <w:t>قرب الإسناد</w:t>
      </w:r>
      <w:r w:rsidR="00744A1C">
        <w:rPr>
          <w:rtl/>
          <w:lang w:bidi="fa-IR"/>
        </w:rPr>
        <w:t xml:space="preserve"> ، ص 52 ، ح 169 ، عن الهيثم بن أبي مسروق النهدي ، عن أبيه ، عن عيسى بن سقفي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C24F9C">
        <w:rPr>
          <w:rStyle w:val="libFootnoteBoldChar"/>
          <w:rtl/>
        </w:rPr>
        <w:t>الفقيه</w:t>
      </w:r>
      <w:r w:rsidR="00744A1C">
        <w:rPr>
          <w:rtl/>
          <w:lang w:bidi="fa-IR"/>
        </w:rPr>
        <w:t xml:space="preserve"> ، ج 3 ، ص 180 ، ح 3677 ، معلّقاً عن عيسى بن شقفي وفي الأخيرين مع اختلاف يسير </w:t>
      </w:r>
      <w:r w:rsidR="009F1BE2">
        <w:rPr>
          <w:rFonts w:hint="cs"/>
          <w:rtl/>
          <w:lang w:bidi="fa-IR"/>
        </w:rPr>
        <w:t>.</w:t>
      </w:r>
      <w:r w:rsidR="00744A1C" w:rsidRPr="00C24F9C">
        <w:rPr>
          <w:rStyle w:val="libFootnoteBoldChar"/>
          <w:rtl/>
        </w:rPr>
        <w:t>الوافي</w:t>
      </w:r>
      <w:r w:rsidR="00744A1C">
        <w:rPr>
          <w:rtl/>
          <w:lang w:bidi="fa-IR"/>
        </w:rPr>
        <w:t xml:space="preserve"> ، ج 17 ، ص 184 ، ح 17080 ؛ </w:t>
      </w:r>
      <w:r w:rsidR="00744A1C" w:rsidRPr="00C24F9C">
        <w:rPr>
          <w:rStyle w:val="libFootnoteBoldChar"/>
          <w:rtl/>
        </w:rPr>
        <w:t>الوسائل</w:t>
      </w:r>
      <w:r w:rsidR="00744A1C">
        <w:rPr>
          <w:rtl/>
          <w:lang w:bidi="fa-IR"/>
        </w:rPr>
        <w:t xml:space="preserve"> ، ج 17 ، ص 145 ، ح 22207.</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19 ، ص 74 : « يدلّ على كراهة الحجامة مع الشر</w:t>
      </w:r>
      <w:r w:rsidR="00955510">
        <w:rPr>
          <w:rtl/>
          <w:lang w:bidi="fa-IR"/>
        </w:rPr>
        <w:t>ط وعدمها بدونه ، كما هو المشهور</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354 ، ح 1008 ؛ </w:t>
      </w:r>
      <w:r w:rsidR="00744A1C" w:rsidRPr="00C24F9C">
        <w:rPr>
          <w:rStyle w:val="libFootnoteBoldChar"/>
          <w:rtl/>
        </w:rPr>
        <w:t>والاستبصار</w:t>
      </w:r>
      <w:r w:rsidR="00744A1C">
        <w:rPr>
          <w:rtl/>
          <w:lang w:bidi="fa-IR"/>
        </w:rPr>
        <w:t xml:space="preserve"> ، ج 3 ، ص 58 ، ح 190 ، معلّقاً عن الحسن بن محبوب. </w:t>
      </w:r>
      <w:r w:rsidR="00744A1C" w:rsidRPr="009F1BE2">
        <w:rPr>
          <w:rStyle w:val="libFootnoteBoldChar"/>
          <w:rtl/>
        </w:rPr>
        <w:t>المقنعة</w:t>
      </w:r>
      <w:r w:rsidR="00744A1C">
        <w:rPr>
          <w:rtl/>
          <w:lang w:bidi="fa-IR"/>
        </w:rPr>
        <w:t xml:space="preserve"> ، ص 587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وتمامه هكذا : « كسب الحجّام حلال ». راجع : </w:t>
      </w:r>
      <w:r w:rsidR="00744A1C" w:rsidRPr="00C24F9C">
        <w:rPr>
          <w:rStyle w:val="libFootnoteBoldChar"/>
          <w:rtl/>
        </w:rPr>
        <w:t>التهذيب</w:t>
      </w:r>
      <w:r w:rsidR="00744A1C">
        <w:rPr>
          <w:rtl/>
          <w:lang w:bidi="fa-IR"/>
        </w:rPr>
        <w:t xml:space="preserve"> ، ج 6 ، ص 356 ، ح 1014 و 1015 ؛ </w:t>
      </w:r>
      <w:r w:rsidR="00744A1C" w:rsidRPr="00C24F9C">
        <w:rPr>
          <w:rStyle w:val="libFootnoteBoldChar"/>
          <w:rtl/>
        </w:rPr>
        <w:t>والاستبصار</w:t>
      </w:r>
      <w:r w:rsidR="00744A1C">
        <w:rPr>
          <w:rtl/>
          <w:lang w:bidi="fa-IR"/>
        </w:rPr>
        <w:t xml:space="preserve"> ، ج 3 ، ص 60 ، ح 196 و 197 ؛ ومسائل عليّ بن جعفر ، ص 148 </w:t>
      </w:r>
      <w:r w:rsidR="009F1BE2">
        <w:rPr>
          <w:rFonts w:hint="cs"/>
          <w:rtl/>
          <w:lang w:bidi="fa-IR"/>
        </w:rPr>
        <w:t>.</w:t>
      </w:r>
      <w:r w:rsidR="00744A1C" w:rsidRPr="00C24F9C">
        <w:rPr>
          <w:rStyle w:val="libFootnoteBoldChar"/>
          <w:rtl/>
        </w:rPr>
        <w:t>الوافي</w:t>
      </w:r>
      <w:r w:rsidR="00744A1C">
        <w:rPr>
          <w:rtl/>
          <w:lang w:bidi="fa-IR"/>
        </w:rPr>
        <w:t xml:space="preserve"> ، ج 17 ، ص 191 ، ح 17093 ؛ </w:t>
      </w:r>
      <w:r w:rsidR="00744A1C" w:rsidRPr="00C24F9C">
        <w:rPr>
          <w:rStyle w:val="libFootnoteBoldChar"/>
          <w:rtl/>
        </w:rPr>
        <w:t>الوسائل</w:t>
      </w:r>
      <w:r w:rsidR="00744A1C">
        <w:rPr>
          <w:rtl/>
          <w:lang w:bidi="fa-IR"/>
        </w:rPr>
        <w:t xml:space="preserve"> ، ج 17 ، ص 104 ، ذيل ح 22093 ؛ وج 23 ، ص 190 ، ح 29348.</w:t>
      </w:r>
    </w:p>
    <w:p w:rsidR="00744A1C" w:rsidRDefault="00E378DD" w:rsidP="00E378DD">
      <w:pPr>
        <w:pStyle w:val="libFootnote0"/>
        <w:rPr>
          <w:lang w:bidi="fa-IR"/>
        </w:rPr>
      </w:pPr>
      <w:r>
        <w:rPr>
          <w:rtl/>
          <w:lang w:bidi="fa-IR"/>
        </w:rPr>
        <w:t>(3).</w:t>
      </w:r>
      <w:r w:rsidR="00744A1C">
        <w:rPr>
          <w:rtl/>
          <w:lang w:bidi="fa-IR"/>
        </w:rPr>
        <w:t xml:space="preserve"> السند معلّق على سابقه. ويروي عن سهل بن زياد ، عدّة من أصحابنا.</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دَخَلْنَا </w:t>
      </w:r>
      <w:r w:rsidRPr="00D10E3C">
        <w:rPr>
          <w:rStyle w:val="libFootnotenumChar"/>
          <w:rtl/>
        </w:rPr>
        <w:t>(1)</w:t>
      </w:r>
      <w:r>
        <w:rPr>
          <w:rtl/>
          <w:lang w:bidi="fa-IR"/>
        </w:rPr>
        <w:t xml:space="preserve"> عَلى أَبِي عَبْدِ اللهِ </w:t>
      </w:r>
      <w:r w:rsidR="0061079A" w:rsidRPr="0061079A">
        <w:rPr>
          <w:rStyle w:val="libAlaemChar"/>
          <w:rtl/>
        </w:rPr>
        <w:t>عليه‌السلام</w:t>
      </w:r>
      <w:r w:rsidR="00D10E3C">
        <w:rPr>
          <w:rtl/>
          <w:lang w:bidi="fa-IR"/>
        </w:rPr>
        <w:t xml:space="preserve"> </w:t>
      </w:r>
      <w:r>
        <w:rPr>
          <w:rtl/>
          <w:lang w:bidi="fa-IR"/>
        </w:rPr>
        <w:t xml:space="preserve">وَمَعَنَا فَرْقَدٌ الْحَجَّامُ ، فَقَالَ لَهُ </w:t>
      </w:r>
      <w:r w:rsidRPr="00D10E3C">
        <w:rPr>
          <w:rStyle w:val="libFootnotenumChar"/>
          <w:rtl/>
        </w:rPr>
        <w:t>(2)</w:t>
      </w:r>
      <w:r>
        <w:rPr>
          <w:rtl/>
          <w:lang w:bidi="fa-IR"/>
        </w:rPr>
        <w:t xml:space="preserve"> : جُعِلْتُ فِدَاكَ ، إِنِّي‌ أَعْمَلُ عَمَلاً ، وَقَدْ سَأَلْتُ عَنْهُ </w:t>
      </w:r>
      <w:r w:rsidRPr="00D10E3C">
        <w:rPr>
          <w:rStyle w:val="libFootnotenumChar"/>
          <w:rtl/>
        </w:rPr>
        <w:t>(3)</w:t>
      </w:r>
      <w:r>
        <w:rPr>
          <w:rtl/>
          <w:lang w:bidi="fa-IR"/>
        </w:rPr>
        <w:t xml:space="preserve"> غَيْرَ وَاحِدٍ وَلَا اثْنَيْنِ ، فَزَعَمُوا أَنَّهُ عَمَلٌ مَكْرُوهٌ ، وَأَنَا </w:t>
      </w:r>
      <w:r w:rsidRPr="00D10E3C">
        <w:rPr>
          <w:rStyle w:val="libFootnotenumChar"/>
          <w:rtl/>
        </w:rPr>
        <w:t>(4)</w:t>
      </w:r>
      <w:r>
        <w:rPr>
          <w:rtl/>
          <w:lang w:bidi="fa-IR"/>
        </w:rPr>
        <w:t xml:space="preserve"> أُحِبُّ أَنْ أَسْأَلَكَ عَنْهُ </w:t>
      </w:r>
      <w:r w:rsidRPr="00D10E3C">
        <w:rPr>
          <w:rStyle w:val="libFootnotenumChar"/>
          <w:rtl/>
        </w:rPr>
        <w:t>(5)</w:t>
      </w:r>
      <w:r>
        <w:rPr>
          <w:rtl/>
          <w:lang w:bidi="fa-IR"/>
        </w:rPr>
        <w:t xml:space="preserve"> ، فَإِنْ كَانَ مَكْرُوهاً انْتَهَيْتُ عَنْهُ ، وَعَمِلْتُ غَيْرَهُ مِنَ الْأَعْمَالِ ، فَإِنِّي مُنْتَهٍ فِي ذلِكَ إِلى قَوْلِكَ ، قَالَ : « وَمَا هُوَ؟ » قَالَ : حَجَّامٌ.</w:t>
      </w:r>
    </w:p>
    <w:p w:rsidR="00744A1C" w:rsidRDefault="00744A1C" w:rsidP="00744A1C">
      <w:pPr>
        <w:pStyle w:val="libNormal"/>
        <w:rPr>
          <w:lang w:bidi="fa-IR"/>
        </w:rPr>
      </w:pPr>
      <w:r>
        <w:rPr>
          <w:rtl/>
          <w:lang w:bidi="fa-IR"/>
        </w:rPr>
        <w:t xml:space="preserve">قَالَ : « كُلْ مِنْ كَسْبِكَ يَا ابْنَ أَخٍ </w:t>
      </w:r>
      <w:r w:rsidRPr="00D10E3C">
        <w:rPr>
          <w:rStyle w:val="libFootnotenumChar"/>
          <w:rtl/>
        </w:rPr>
        <w:t>(6)</w:t>
      </w:r>
      <w:r>
        <w:rPr>
          <w:rtl/>
          <w:lang w:bidi="fa-IR"/>
        </w:rPr>
        <w:t xml:space="preserve"> ، وَتَصَدَّقْ </w:t>
      </w:r>
      <w:r w:rsidRPr="00D10E3C">
        <w:rPr>
          <w:rStyle w:val="libFootnotenumChar"/>
          <w:rtl/>
        </w:rPr>
        <w:t>(7)</w:t>
      </w:r>
      <w:r>
        <w:rPr>
          <w:rtl/>
          <w:lang w:bidi="fa-IR"/>
        </w:rPr>
        <w:t xml:space="preserve"> ، وَحُجَّ مِنْهُ </w:t>
      </w:r>
      <w:r w:rsidRPr="00D10E3C">
        <w:rPr>
          <w:rStyle w:val="libFootnotenumChar"/>
          <w:rtl/>
        </w:rPr>
        <w:t>(8)</w:t>
      </w:r>
      <w:r>
        <w:rPr>
          <w:rtl/>
          <w:lang w:bidi="fa-IR"/>
        </w:rPr>
        <w:t xml:space="preserve"> ، وَتَزَوَّجْ ؛ فَإِنَّ نَبِيَّ اللهِ </w:t>
      </w:r>
      <w:r w:rsidRPr="00D10E3C">
        <w:rPr>
          <w:rStyle w:val="libFootnotenumChar"/>
          <w:rtl/>
        </w:rPr>
        <w:t>(9)</w:t>
      </w:r>
      <w:r>
        <w:rPr>
          <w:rtl/>
          <w:lang w:bidi="fa-IR"/>
        </w:rPr>
        <w:t xml:space="preserve"> </w:t>
      </w:r>
      <w:r w:rsidR="0017097C" w:rsidRPr="0017097C">
        <w:rPr>
          <w:rStyle w:val="libAlaemChar"/>
          <w:rtl/>
        </w:rPr>
        <w:t>صلى‌الله‌عليه‌وآله</w:t>
      </w:r>
      <w:r w:rsidR="00D10E3C">
        <w:rPr>
          <w:rtl/>
          <w:lang w:bidi="fa-IR"/>
        </w:rPr>
        <w:t xml:space="preserve"> </w:t>
      </w:r>
      <w:r>
        <w:rPr>
          <w:rtl/>
          <w:lang w:bidi="fa-IR"/>
        </w:rPr>
        <w:t>قَدِ احْتَجَمَ وَأَعْطَى الْأَجْرَ ، وَلَوْ كَانَ حَرَاماً مَا أَعْطَاهُ ».</w:t>
      </w:r>
    </w:p>
    <w:p w:rsidR="00744A1C" w:rsidRDefault="00744A1C" w:rsidP="00744A1C">
      <w:pPr>
        <w:pStyle w:val="libNormal"/>
        <w:rPr>
          <w:lang w:bidi="fa-IR"/>
        </w:rPr>
      </w:pPr>
      <w:r>
        <w:rPr>
          <w:rtl/>
          <w:lang w:bidi="fa-IR"/>
        </w:rPr>
        <w:t xml:space="preserve">قَالَ : جَعَلَنِيَ اللهُ فِدَاكَ </w:t>
      </w:r>
      <w:r w:rsidRPr="00D10E3C">
        <w:rPr>
          <w:rStyle w:val="libFootnotenumChar"/>
          <w:rtl/>
        </w:rPr>
        <w:t>(10)</w:t>
      </w:r>
      <w:r>
        <w:rPr>
          <w:rtl/>
          <w:lang w:bidi="fa-IR"/>
        </w:rPr>
        <w:t xml:space="preserve"> ، إِنَّ لِي تَيْساً </w:t>
      </w:r>
      <w:r w:rsidRPr="00D10E3C">
        <w:rPr>
          <w:rStyle w:val="libFootnotenumChar"/>
          <w:rtl/>
        </w:rPr>
        <w:t>(11)</w:t>
      </w:r>
      <w:r>
        <w:rPr>
          <w:rtl/>
          <w:lang w:bidi="fa-IR"/>
        </w:rPr>
        <w:t xml:space="preserve"> أُكْرِيهِ ، فَمَا تَقُولُ فِي كَسْبِهِ؟</w:t>
      </w:r>
    </w:p>
    <w:p w:rsidR="00744A1C" w:rsidRDefault="00744A1C" w:rsidP="00744A1C">
      <w:pPr>
        <w:pStyle w:val="libNormal"/>
        <w:rPr>
          <w:lang w:bidi="fa-IR"/>
        </w:rPr>
      </w:pPr>
      <w:r>
        <w:rPr>
          <w:rtl/>
          <w:lang w:bidi="fa-IR"/>
        </w:rPr>
        <w:t xml:space="preserve">قَالَ </w:t>
      </w:r>
      <w:r w:rsidRPr="00D10E3C">
        <w:rPr>
          <w:rStyle w:val="libFootnotenumChar"/>
          <w:rtl/>
        </w:rPr>
        <w:t>(12)</w:t>
      </w:r>
      <w:r>
        <w:rPr>
          <w:rtl/>
          <w:lang w:bidi="fa-IR"/>
        </w:rPr>
        <w:t xml:space="preserve"> : « كُلْ </w:t>
      </w:r>
      <w:r w:rsidRPr="00D10E3C">
        <w:rPr>
          <w:rStyle w:val="libFootnotenumChar"/>
          <w:rtl/>
        </w:rPr>
        <w:t>(13)</w:t>
      </w:r>
      <w:r>
        <w:rPr>
          <w:rtl/>
          <w:lang w:bidi="fa-IR"/>
        </w:rPr>
        <w:t xml:space="preserve"> كَسْبَهُ ؛ فَإِنَّهُ لَكَ حَلَالٌ ، وَالنَّاسُ يَكْرَهُونَهُ </w:t>
      </w:r>
      <w:r w:rsidRPr="00D10E3C">
        <w:rPr>
          <w:rStyle w:val="libFootnotenumChar"/>
          <w:rtl/>
        </w:rPr>
        <w:t>(14)</w:t>
      </w:r>
      <w:r>
        <w:rPr>
          <w:rtl/>
          <w:lang w:bidi="fa-IR"/>
        </w:rPr>
        <w:t xml:space="preserve"> ».</w:t>
      </w:r>
    </w:p>
    <w:p w:rsidR="00744A1C" w:rsidRDefault="00744A1C" w:rsidP="00744A1C">
      <w:pPr>
        <w:pStyle w:val="libNormal"/>
        <w:rPr>
          <w:lang w:bidi="fa-IR"/>
        </w:rPr>
      </w:pPr>
      <w:r>
        <w:rPr>
          <w:rtl/>
          <w:lang w:bidi="fa-IR"/>
        </w:rPr>
        <w:t xml:space="preserve">قَالَ حَنَانٌ : قُلْتُ </w:t>
      </w:r>
      <w:r w:rsidRPr="00D10E3C">
        <w:rPr>
          <w:rStyle w:val="libFootnotenumChar"/>
          <w:rtl/>
        </w:rPr>
        <w:t>(15)</w:t>
      </w:r>
      <w:r>
        <w:rPr>
          <w:rtl/>
          <w:lang w:bidi="fa-IR"/>
        </w:rPr>
        <w:t xml:space="preserve"> : لِأَيِّ شَيْ‌ءٍ يَكْرَهُونَهُ وَهُوَ حَلَالٌ؟</w:t>
      </w:r>
    </w:p>
    <w:p w:rsidR="00144FA6" w:rsidRDefault="00744A1C" w:rsidP="00744A1C">
      <w:pPr>
        <w:pStyle w:val="libNormal"/>
        <w:rPr>
          <w:rtl/>
          <w:lang w:bidi="fa-IR"/>
        </w:rPr>
      </w:pPr>
      <w:r>
        <w:rPr>
          <w:rtl/>
          <w:lang w:bidi="fa-IR"/>
        </w:rPr>
        <w:t xml:space="preserve">قَالَ </w:t>
      </w:r>
      <w:r w:rsidRPr="00D10E3C">
        <w:rPr>
          <w:rStyle w:val="libFootnotenumChar"/>
          <w:rtl/>
        </w:rPr>
        <w:t>(16)</w:t>
      </w:r>
      <w:r>
        <w:rPr>
          <w:rtl/>
          <w:lang w:bidi="fa-IR"/>
        </w:rPr>
        <w:t xml:space="preserve"> : « لِتَعْيِيرِ </w:t>
      </w:r>
      <w:r w:rsidRPr="00D10E3C">
        <w:rPr>
          <w:rStyle w:val="libFootnotenumChar"/>
          <w:rtl/>
        </w:rPr>
        <w:t>(17)</w:t>
      </w:r>
      <w:r>
        <w:rPr>
          <w:rtl/>
          <w:lang w:bidi="fa-IR"/>
        </w:rPr>
        <w:t xml:space="preserve"> النَّاسِ بَعْضِهِمْ بَعْضاً ». </w:t>
      </w:r>
      <w:r w:rsidRPr="00D10E3C">
        <w:rPr>
          <w:rStyle w:val="libFootnotenumChar"/>
          <w:rtl/>
        </w:rPr>
        <w:t>(18)</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9F1BE2" w:rsidTr="009F1BE2">
        <w:tc>
          <w:tcPr>
            <w:tcW w:w="4006" w:type="dxa"/>
          </w:tcPr>
          <w:p w:rsidR="009F1BE2" w:rsidRDefault="009F1BE2" w:rsidP="00D10E3C">
            <w:pPr>
              <w:pStyle w:val="libFootnote0"/>
              <w:rPr>
                <w:rtl/>
                <w:lang w:bidi="fa-IR"/>
              </w:rPr>
            </w:pPr>
            <w:r>
              <w:rPr>
                <w:rtl/>
                <w:lang w:bidi="fa-IR"/>
              </w:rPr>
              <w:t>(1). في « ط » : « دخلت ».</w:t>
            </w:r>
          </w:p>
        </w:tc>
        <w:tc>
          <w:tcPr>
            <w:tcW w:w="4006" w:type="dxa"/>
          </w:tcPr>
          <w:p w:rsidR="009F1BE2" w:rsidRDefault="009F1BE2" w:rsidP="00D10E3C">
            <w:pPr>
              <w:pStyle w:val="libFootnote0"/>
              <w:rPr>
                <w:rtl/>
                <w:lang w:bidi="fa-IR"/>
              </w:rPr>
            </w:pPr>
            <w:r>
              <w:rPr>
                <w:rtl/>
                <w:lang w:bidi="fa-IR"/>
              </w:rPr>
              <w:t>(2). في «ط،بخ ، بف»</w:t>
            </w:r>
            <w:r w:rsidRPr="009F1BE2">
              <w:rPr>
                <w:rtl/>
              </w:rPr>
              <w:t>والتهذيب والاستبصار</w:t>
            </w:r>
            <w:r>
              <w:rPr>
                <w:rtl/>
                <w:lang w:bidi="fa-IR"/>
              </w:rPr>
              <w:t>:- «له».</w:t>
            </w:r>
          </w:p>
        </w:tc>
      </w:tr>
      <w:tr w:rsidR="009F1BE2" w:rsidTr="009F1BE2">
        <w:tc>
          <w:tcPr>
            <w:tcW w:w="4006" w:type="dxa"/>
          </w:tcPr>
          <w:p w:rsidR="009F1BE2" w:rsidRDefault="009F1BE2" w:rsidP="00D10E3C">
            <w:pPr>
              <w:pStyle w:val="libFootnote0"/>
              <w:rPr>
                <w:rtl/>
                <w:lang w:bidi="fa-IR"/>
              </w:rPr>
            </w:pPr>
            <w:r>
              <w:rPr>
                <w:rtl/>
                <w:lang w:bidi="fa-IR"/>
              </w:rPr>
              <w:t>(3). في « ى » : - « عنه ».</w:t>
            </w:r>
          </w:p>
        </w:tc>
        <w:tc>
          <w:tcPr>
            <w:tcW w:w="4006" w:type="dxa"/>
          </w:tcPr>
          <w:p w:rsidR="009F1BE2" w:rsidRDefault="009F1BE2" w:rsidP="00D10E3C">
            <w:pPr>
              <w:pStyle w:val="libFootnote0"/>
              <w:rPr>
                <w:rtl/>
                <w:lang w:bidi="fa-IR"/>
              </w:rPr>
            </w:pPr>
            <w:r>
              <w:rPr>
                <w:rtl/>
                <w:lang w:bidi="fa-IR"/>
              </w:rPr>
              <w:t>(4). في « جد » : - « وأنا ».</w:t>
            </w:r>
          </w:p>
        </w:tc>
      </w:tr>
    </w:tbl>
    <w:p w:rsidR="00744A1C" w:rsidRDefault="00E378DD" w:rsidP="00E378DD">
      <w:pPr>
        <w:pStyle w:val="libFootnote0"/>
        <w:rPr>
          <w:lang w:bidi="fa-IR"/>
        </w:rPr>
      </w:pPr>
      <w:r>
        <w:rPr>
          <w:rtl/>
          <w:lang w:bidi="fa-IR"/>
        </w:rPr>
        <w:t>(5).</w:t>
      </w:r>
      <w:r w:rsidR="00744A1C">
        <w:rPr>
          <w:rtl/>
          <w:lang w:bidi="fa-IR"/>
        </w:rPr>
        <w:t xml:space="preserve"> في « ط ، جد » </w:t>
      </w:r>
      <w:r w:rsidR="00744A1C" w:rsidRPr="007B54DF">
        <w:rPr>
          <w:rtl/>
        </w:rPr>
        <w:t>والوسائل</w:t>
      </w:r>
      <w:r w:rsidR="00744A1C">
        <w:rPr>
          <w:rtl/>
          <w:lang w:bidi="fa-IR"/>
        </w:rPr>
        <w:t xml:space="preserve"> ، ح 22097 </w:t>
      </w:r>
      <w:r w:rsidR="00744A1C" w:rsidRPr="007B54DF">
        <w:rPr>
          <w:rtl/>
        </w:rPr>
        <w:t>والتهذيب والاستبصار</w:t>
      </w:r>
      <w:r w:rsidR="00744A1C">
        <w:rPr>
          <w:rtl/>
          <w:lang w:bidi="fa-IR"/>
        </w:rPr>
        <w:t xml:space="preserve"> : - « عنه ».</w:t>
      </w:r>
    </w:p>
    <w:tbl>
      <w:tblPr>
        <w:tblStyle w:val="TableGrid"/>
        <w:bidiVisual/>
        <w:tblW w:w="0" w:type="auto"/>
        <w:tblLook w:val="04A0" w:firstRow="1" w:lastRow="0" w:firstColumn="1" w:lastColumn="0" w:noHBand="0" w:noVBand="1"/>
      </w:tblPr>
      <w:tblGrid>
        <w:gridCol w:w="4006"/>
        <w:gridCol w:w="4006"/>
      </w:tblGrid>
      <w:tr w:rsidR="007B54DF" w:rsidTr="007B54DF">
        <w:tc>
          <w:tcPr>
            <w:tcW w:w="4006" w:type="dxa"/>
          </w:tcPr>
          <w:p w:rsidR="007B54DF" w:rsidRDefault="007B54DF" w:rsidP="00E378DD">
            <w:pPr>
              <w:pStyle w:val="libFootnote0"/>
              <w:rPr>
                <w:rtl/>
                <w:lang w:bidi="fa-IR"/>
              </w:rPr>
            </w:pPr>
            <w:r>
              <w:rPr>
                <w:rtl/>
                <w:lang w:bidi="fa-IR"/>
              </w:rPr>
              <w:t xml:space="preserve">(6). في </w:t>
            </w:r>
            <w:r w:rsidRPr="00C24F9C">
              <w:rPr>
                <w:rStyle w:val="libFootnoteBoldChar"/>
                <w:rtl/>
              </w:rPr>
              <w:t>الوسائل</w:t>
            </w:r>
            <w:r>
              <w:rPr>
                <w:rtl/>
                <w:lang w:bidi="fa-IR"/>
              </w:rPr>
              <w:t xml:space="preserve"> ، ح 22097 : « أخي ».</w:t>
            </w:r>
          </w:p>
        </w:tc>
        <w:tc>
          <w:tcPr>
            <w:tcW w:w="4006" w:type="dxa"/>
          </w:tcPr>
          <w:p w:rsidR="007B54DF" w:rsidRDefault="007B54DF" w:rsidP="00E378DD">
            <w:pPr>
              <w:pStyle w:val="libFootnote0"/>
              <w:rPr>
                <w:rtl/>
                <w:lang w:bidi="fa-IR"/>
              </w:rPr>
            </w:pPr>
            <w:r>
              <w:rPr>
                <w:rtl/>
                <w:lang w:bidi="fa-IR"/>
              </w:rPr>
              <w:t>(7). في « جت » : + « منه ».</w:t>
            </w:r>
          </w:p>
        </w:tc>
      </w:tr>
    </w:tbl>
    <w:p w:rsidR="00744A1C" w:rsidRDefault="00E378DD" w:rsidP="00E378DD">
      <w:pPr>
        <w:pStyle w:val="libFootnote0"/>
        <w:rPr>
          <w:lang w:bidi="fa-IR"/>
        </w:rPr>
      </w:pPr>
      <w:r>
        <w:rPr>
          <w:rtl/>
          <w:lang w:bidi="fa-IR"/>
        </w:rPr>
        <w:t>(8).</w:t>
      </w:r>
      <w:r w:rsidR="00744A1C">
        <w:rPr>
          <w:rtl/>
          <w:lang w:bidi="fa-IR"/>
        </w:rPr>
        <w:t xml:space="preserve"> في « بخ ، بف » </w:t>
      </w:r>
      <w:r w:rsidR="00744A1C" w:rsidRPr="009315BC">
        <w:rPr>
          <w:rtl/>
        </w:rPr>
        <w:t>والوافي</w:t>
      </w:r>
      <w:r w:rsidR="00744A1C">
        <w:rPr>
          <w:rtl/>
          <w:lang w:bidi="fa-IR"/>
        </w:rPr>
        <w:t xml:space="preserve"> : « وتصدّق منه وحجّ ».</w:t>
      </w:r>
    </w:p>
    <w:p w:rsidR="00744A1C" w:rsidRDefault="00E378DD" w:rsidP="00E378DD">
      <w:pPr>
        <w:pStyle w:val="libFootnote0"/>
        <w:rPr>
          <w:lang w:bidi="fa-IR"/>
        </w:rPr>
      </w:pPr>
      <w:r>
        <w:rPr>
          <w:rtl/>
          <w:lang w:bidi="fa-IR"/>
        </w:rPr>
        <w:t>(9).</w:t>
      </w:r>
      <w:r w:rsidR="00744A1C">
        <w:rPr>
          <w:rtl/>
          <w:lang w:bidi="fa-IR"/>
        </w:rPr>
        <w:t xml:space="preserve"> هكذا في جميع النسخ التي قوبلت </w:t>
      </w:r>
      <w:r w:rsidR="00744A1C" w:rsidRPr="007B54DF">
        <w:rPr>
          <w:rtl/>
        </w:rPr>
        <w:t>والوافي والوسائل والتهذيب والاستبصار</w:t>
      </w:r>
      <w:r w:rsidR="00744A1C">
        <w:rPr>
          <w:rtl/>
          <w:lang w:bidi="fa-IR"/>
        </w:rPr>
        <w:t>. وفي المطبوع : « فإنّ النبيّ ».</w:t>
      </w:r>
    </w:p>
    <w:p w:rsidR="00744A1C" w:rsidRDefault="00E378DD" w:rsidP="00E378DD">
      <w:pPr>
        <w:pStyle w:val="libFootnote0"/>
        <w:rPr>
          <w:lang w:bidi="fa-IR"/>
        </w:rPr>
      </w:pPr>
      <w:r>
        <w:rPr>
          <w:rtl/>
          <w:lang w:bidi="fa-IR"/>
        </w:rPr>
        <w:t>(10).</w:t>
      </w:r>
      <w:r w:rsidR="00744A1C">
        <w:rPr>
          <w:rtl/>
          <w:lang w:bidi="fa-IR"/>
        </w:rPr>
        <w:t xml:space="preserve"> في « ط » : « جعلت فداك ».</w:t>
      </w:r>
    </w:p>
    <w:p w:rsidR="00744A1C" w:rsidRDefault="00E378DD" w:rsidP="00E378DD">
      <w:pPr>
        <w:pStyle w:val="libFootnote0"/>
        <w:rPr>
          <w:lang w:bidi="fa-IR"/>
        </w:rPr>
      </w:pPr>
      <w:r>
        <w:rPr>
          <w:rtl/>
          <w:lang w:bidi="fa-IR"/>
        </w:rPr>
        <w:t>(11).</w:t>
      </w:r>
      <w:r w:rsidR="00744A1C">
        <w:rPr>
          <w:rtl/>
          <w:lang w:bidi="fa-IR"/>
        </w:rPr>
        <w:t xml:space="preserve"> التَيْسُ : الذكر من المعز إذا أتى عليه حول ، وقبل الحول هو جدي ، والجمع : تُيُوس ، مثل فلس وفلوس. </w:t>
      </w:r>
      <w:r w:rsidR="00744A1C" w:rsidRPr="00E978C3">
        <w:rPr>
          <w:rStyle w:val="libFootnoteBoldChar"/>
          <w:rtl/>
        </w:rPr>
        <w:t>المصباح المنير</w:t>
      </w:r>
      <w:r w:rsidR="00744A1C">
        <w:rPr>
          <w:rtl/>
          <w:lang w:bidi="fa-IR"/>
        </w:rPr>
        <w:t xml:space="preserve"> ، ص 79 ( تيس ).</w:t>
      </w:r>
    </w:p>
    <w:p w:rsidR="00744A1C" w:rsidRDefault="00E378DD" w:rsidP="009315BC">
      <w:pPr>
        <w:pStyle w:val="libFootnote0"/>
        <w:rPr>
          <w:lang w:bidi="fa-IR"/>
        </w:rPr>
      </w:pPr>
      <w:r>
        <w:rPr>
          <w:rtl/>
          <w:lang w:bidi="fa-IR"/>
        </w:rPr>
        <w:t>(12).</w:t>
      </w:r>
      <w:r w:rsidR="00744A1C">
        <w:rPr>
          <w:rtl/>
          <w:lang w:bidi="fa-IR"/>
        </w:rPr>
        <w:t xml:space="preserve"> هكذا في جميع النسخ التي قوبلت </w:t>
      </w:r>
      <w:r w:rsidR="00744A1C" w:rsidRPr="009315BC">
        <w:rPr>
          <w:rtl/>
        </w:rPr>
        <w:t>والوافي والوسائل ، ح 22112</w:t>
      </w:r>
      <w:r w:rsidR="00744A1C">
        <w:rPr>
          <w:rtl/>
          <w:lang w:bidi="fa-IR"/>
        </w:rPr>
        <w:t xml:space="preserve"> </w:t>
      </w:r>
      <w:r w:rsidR="00744A1C" w:rsidRPr="009315BC">
        <w:rPr>
          <w:rtl/>
        </w:rPr>
        <w:t>والتهذيب والاستبصار. وفي المط</w:t>
      </w:r>
      <w:r w:rsidR="00744A1C">
        <w:rPr>
          <w:rtl/>
          <w:lang w:bidi="fa-IR"/>
        </w:rPr>
        <w:t>بوع : « فقال ».</w:t>
      </w:r>
      <w:r w:rsidR="009315BC">
        <w:rPr>
          <w:rFonts w:hint="cs"/>
          <w:rtl/>
          <w:lang w:bidi="fa-IR"/>
        </w:rPr>
        <w:t xml:space="preserve">                                           </w:t>
      </w:r>
      <w:r w:rsidR="00955510">
        <w:rPr>
          <w:rFonts w:hint="cs"/>
          <w:rtl/>
          <w:lang w:bidi="fa-IR"/>
        </w:rPr>
        <w:t xml:space="preserve">         </w:t>
      </w:r>
      <w:r w:rsidR="009315BC">
        <w:rPr>
          <w:rFonts w:hint="cs"/>
          <w:rtl/>
          <w:lang w:bidi="fa-IR"/>
        </w:rPr>
        <w:t xml:space="preserve">    </w:t>
      </w:r>
      <w:r>
        <w:rPr>
          <w:rtl/>
          <w:lang w:bidi="fa-IR"/>
        </w:rPr>
        <w:t>(13).</w:t>
      </w:r>
      <w:r w:rsidR="00744A1C">
        <w:rPr>
          <w:rtl/>
          <w:lang w:bidi="fa-IR"/>
        </w:rPr>
        <w:t xml:space="preserve"> في </w:t>
      </w:r>
      <w:r w:rsidR="00744A1C" w:rsidRPr="009315BC">
        <w:rPr>
          <w:rtl/>
        </w:rPr>
        <w:t>التهذيب</w:t>
      </w:r>
      <w:r w:rsidR="00744A1C">
        <w:rPr>
          <w:rtl/>
          <w:lang w:bidi="fa-IR"/>
        </w:rPr>
        <w:t xml:space="preserve"> : + « من ».</w:t>
      </w:r>
    </w:p>
    <w:p w:rsidR="00744A1C" w:rsidRDefault="00E378DD" w:rsidP="00E378DD">
      <w:pPr>
        <w:pStyle w:val="libFootnote0"/>
        <w:rPr>
          <w:lang w:bidi="fa-IR"/>
        </w:rPr>
      </w:pPr>
      <w:r>
        <w:rPr>
          <w:rtl/>
          <w:lang w:bidi="fa-IR"/>
        </w:rPr>
        <w:t>(14).</w:t>
      </w:r>
      <w:r w:rsidR="00744A1C">
        <w:rPr>
          <w:rtl/>
          <w:lang w:bidi="fa-IR"/>
        </w:rPr>
        <w:t xml:space="preserve"> في </w:t>
      </w:r>
      <w:r w:rsidR="00744A1C" w:rsidRPr="00C24F9C">
        <w:rPr>
          <w:rStyle w:val="libFootnoteBoldChar"/>
          <w:rtl/>
        </w:rPr>
        <w:t>المرآة</w:t>
      </w:r>
      <w:r w:rsidR="00744A1C">
        <w:rPr>
          <w:rtl/>
          <w:lang w:bidi="fa-IR"/>
        </w:rPr>
        <w:t xml:space="preserve"> : « يدلّ على جواز ا</w:t>
      </w:r>
      <w:r w:rsidR="009315BC">
        <w:rPr>
          <w:rFonts w:hint="cs"/>
          <w:rtl/>
          <w:lang w:bidi="fa-IR"/>
        </w:rPr>
        <w:t>ُ</w:t>
      </w:r>
      <w:r w:rsidR="00744A1C">
        <w:rPr>
          <w:rtl/>
          <w:lang w:bidi="fa-IR"/>
        </w:rPr>
        <w:t>خذ الا</w:t>
      </w:r>
      <w:r w:rsidR="009315BC">
        <w:rPr>
          <w:rFonts w:hint="cs"/>
          <w:rtl/>
          <w:lang w:bidi="fa-IR"/>
        </w:rPr>
        <w:t>ُ</w:t>
      </w:r>
      <w:r w:rsidR="00744A1C">
        <w:rPr>
          <w:rtl/>
          <w:lang w:bidi="fa-IR"/>
        </w:rPr>
        <w:t>جرة لفعل الضراب ، والمشهور الكراهة ».</w:t>
      </w:r>
    </w:p>
    <w:tbl>
      <w:tblPr>
        <w:tblStyle w:val="TableGrid"/>
        <w:bidiVisual/>
        <w:tblW w:w="0" w:type="auto"/>
        <w:tblLook w:val="04A0" w:firstRow="1" w:lastRow="0" w:firstColumn="1" w:lastColumn="0" w:noHBand="0" w:noVBand="1"/>
      </w:tblPr>
      <w:tblGrid>
        <w:gridCol w:w="4006"/>
        <w:gridCol w:w="4006"/>
      </w:tblGrid>
      <w:tr w:rsidR="009315BC" w:rsidTr="009315BC">
        <w:tc>
          <w:tcPr>
            <w:tcW w:w="4006" w:type="dxa"/>
          </w:tcPr>
          <w:p w:rsidR="009315BC" w:rsidRDefault="009315BC" w:rsidP="00E378DD">
            <w:pPr>
              <w:pStyle w:val="libFootnote0"/>
              <w:rPr>
                <w:rtl/>
                <w:lang w:bidi="fa-IR"/>
              </w:rPr>
            </w:pPr>
            <w:r>
              <w:rPr>
                <w:rtl/>
                <w:lang w:bidi="fa-IR"/>
              </w:rPr>
              <w:t>(15). في « بف » : - « قلت ».</w:t>
            </w:r>
          </w:p>
        </w:tc>
        <w:tc>
          <w:tcPr>
            <w:tcW w:w="4006" w:type="dxa"/>
          </w:tcPr>
          <w:p w:rsidR="009315BC" w:rsidRDefault="009315BC" w:rsidP="00E378DD">
            <w:pPr>
              <w:pStyle w:val="libFootnote0"/>
              <w:rPr>
                <w:rtl/>
                <w:lang w:bidi="fa-IR"/>
              </w:rPr>
            </w:pPr>
            <w:r>
              <w:rPr>
                <w:rtl/>
                <w:lang w:bidi="fa-IR"/>
              </w:rPr>
              <w:t>(16) في « ط ، بخ ، بف » : + « قال ».</w:t>
            </w:r>
          </w:p>
        </w:tc>
      </w:tr>
    </w:tbl>
    <w:p w:rsidR="00744A1C" w:rsidRDefault="00744A1C" w:rsidP="00D10E3C">
      <w:pPr>
        <w:pStyle w:val="libFootnote0"/>
        <w:rPr>
          <w:lang w:bidi="fa-IR"/>
        </w:rPr>
      </w:pPr>
      <w:r>
        <w:rPr>
          <w:rtl/>
          <w:lang w:bidi="fa-IR"/>
        </w:rPr>
        <w:t xml:space="preserve">(17) التعيير : الذمّ ، والتقبيح. راجع : </w:t>
      </w:r>
      <w:r w:rsidRPr="002D57AD">
        <w:rPr>
          <w:rStyle w:val="libFootnoteBoldChar"/>
          <w:rtl/>
        </w:rPr>
        <w:t>المفردات للراغب</w:t>
      </w:r>
      <w:r>
        <w:rPr>
          <w:rtl/>
          <w:lang w:bidi="fa-IR"/>
        </w:rPr>
        <w:t xml:space="preserve"> ، ص 596 ؛ </w:t>
      </w:r>
      <w:r w:rsidRPr="00E978C3">
        <w:rPr>
          <w:rStyle w:val="libFootnoteBoldChar"/>
          <w:rtl/>
        </w:rPr>
        <w:t>المصباح المنير</w:t>
      </w:r>
      <w:r>
        <w:rPr>
          <w:rtl/>
          <w:lang w:bidi="fa-IR"/>
        </w:rPr>
        <w:t xml:space="preserve"> ، ص 439 ( عير ).</w:t>
      </w:r>
    </w:p>
    <w:p w:rsidR="00144FA6" w:rsidRDefault="00744A1C" w:rsidP="00D10E3C">
      <w:pPr>
        <w:pStyle w:val="libFootnote0"/>
        <w:rPr>
          <w:rtl/>
          <w:lang w:bidi="fa-IR"/>
        </w:rPr>
      </w:pPr>
      <w:r>
        <w:rPr>
          <w:rtl/>
          <w:lang w:bidi="fa-IR"/>
        </w:rPr>
        <w:t xml:space="preserve">(18) </w:t>
      </w:r>
      <w:r w:rsidRPr="00C24F9C">
        <w:rPr>
          <w:rStyle w:val="libFootnoteBoldChar"/>
          <w:rtl/>
        </w:rPr>
        <w:t>التهذيب</w:t>
      </w:r>
      <w:r>
        <w:rPr>
          <w:rtl/>
          <w:lang w:bidi="fa-IR"/>
        </w:rPr>
        <w:t xml:space="preserve"> ، ج 6 ، ص 354 ، ح 1009 ؛ </w:t>
      </w:r>
      <w:r w:rsidRPr="00C24F9C">
        <w:rPr>
          <w:rStyle w:val="libFootnoteBoldChar"/>
          <w:rtl/>
        </w:rPr>
        <w:t>والاستبصار</w:t>
      </w:r>
      <w:r>
        <w:rPr>
          <w:rtl/>
          <w:lang w:bidi="fa-IR"/>
        </w:rPr>
        <w:t xml:space="preserve"> ، ج 3 ، ص 58 ، ح 191 ، معلّقاً عن الكليني </w:t>
      </w:r>
      <w:r w:rsidRPr="00C24F9C">
        <w:rPr>
          <w:rStyle w:val="libFootnoteBoldChar"/>
          <w:rtl/>
        </w:rPr>
        <w:t>الوافي</w:t>
      </w:r>
      <w:r>
        <w:rPr>
          <w:rtl/>
          <w:lang w:bidi="fa-IR"/>
        </w:rPr>
        <w:t xml:space="preserve"> ، ج 17 ،</w:t>
      </w:r>
      <w:r w:rsidR="009315BC">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8543 / 3. أَبُو عَلِيٍّ الْأَشْعَرِيُّ ، عَنْ مُحَمَّدِ بْنِ عَبْدِ الْجَبَّارِ ، عَنْ أَحْمَدَ بْنِ النَّضْرِ ، عَنْ عَمْرِو بْنِ شِمْرٍ ، عَنْ جَابِرٍ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احْتَجَمَ رَسُولُ اللهِ </w:t>
      </w:r>
      <w:r w:rsidR="0017097C" w:rsidRPr="0017097C">
        <w:rPr>
          <w:rStyle w:val="libAlaemChar"/>
          <w:rtl/>
        </w:rPr>
        <w:t>صلى‌الله‌عليه‌وآله</w:t>
      </w:r>
      <w:r w:rsidR="00D10E3C">
        <w:rPr>
          <w:rtl/>
          <w:lang w:bidi="fa-IR"/>
        </w:rPr>
        <w:t xml:space="preserve"> </w:t>
      </w:r>
      <w:r>
        <w:rPr>
          <w:rtl/>
          <w:lang w:bidi="fa-IR"/>
        </w:rPr>
        <w:t xml:space="preserve">، حَجَمَهُ </w:t>
      </w:r>
      <w:r w:rsidRPr="00D10E3C">
        <w:rPr>
          <w:rStyle w:val="libFootnotenumChar"/>
          <w:rtl/>
        </w:rPr>
        <w:t>(1)</w:t>
      </w:r>
      <w:r>
        <w:rPr>
          <w:rtl/>
          <w:lang w:bidi="fa-IR"/>
        </w:rPr>
        <w:t xml:space="preserve"> مَوْلًى لِبَنِي </w:t>
      </w:r>
      <w:r w:rsidRPr="00D10E3C">
        <w:rPr>
          <w:rStyle w:val="libFootnotenumChar"/>
          <w:rtl/>
        </w:rPr>
        <w:t>(2)</w:t>
      </w:r>
      <w:r>
        <w:rPr>
          <w:rtl/>
          <w:lang w:bidi="fa-IR"/>
        </w:rPr>
        <w:t xml:space="preserve"> بَيَاضَةَ ، وَأَعْطَاهُ </w:t>
      </w:r>
      <w:r w:rsidRPr="00D10E3C">
        <w:rPr>
          <w:rStyle w:val="libFootnotenumChar"/>
          <w:rtl/>
        </w:rPr>
        <w:t>(3)</w:t>
      </w:r>
      <w:r>
        <w:rPr>
          <w:rtl/>
          <w:lang w:bidi="fa-IR"/>
        </w:rPr>
        <w:t xml:space="preserve"> ، وَلَوْ كَانَ حَرَاماً مَا </w:t>
      </w:r>
      <w:r w:rsidRPr="00D10E3C">
        <w:rPr>
          <w:rStyle w:val="libFootnotenumChar"/>
          <w:rtl/>
        </w:rPr>
        <w:t>(4)</w:t>
      </w:r>
      <w:r>
        <w:rPr>
          <w:rtl/>
          <w:lang w:bidi="fa-IR"/>
        </w:rPr>
        <w:t xml:space="preserve"> أَعْطَاهُ ، فَلَمَّا فَرَغَ قَالَ لَهُ رَسُولُ اللهِ </w:t>
      </w:r>
      <w:r w:rsidR="0017097C" w:rsidRPr="0017097C">
        <w:rPr>
          <w:rStyle w:val="libAlaemChar"/>
          <w:rtl/>
        </w:rPr>
        <w:t>صلى‌الله‌عليه‌وآله</w:t>
      </w:r>
      <w:r w:rsidR="00D10E3C">
        <w:rPr>
          <w:rtl/>
          <w:lang w:bidi="fa-IR"/>
        </w:rPr>
        <w:t xml:space="preserve"> </w:t>
      </w:r>
      <w:r>
        <w:rPr>
          <w:rtl/>
          <w:lang w:bidi="fa-IR"/>
        </w:rPr>
        <w:t xml:space="preserve">: أَيْنَ الدَّمُ؟ قَالَ : شَرِبْتُهُ </w:t>
      </w:r>
      <w:r w:rsidRPr="00D10E3C">
        <w:rPr>
          <w:rStyle w:val="libFootnotenumChar"/>
          <w:rtl/>
        </w:rPr>
        <w:t>(5)</w:t>
      </w:r>
      <w:r>
        <w:rPr>
          <w:rtl/>
          <w:lang w:bidi="fa-IR"/>
        </w:rPr>
        <w:t xml:space="preserve"> يَا رَسُولَ اللهِ ، فَقَالَ </w:t>
      </w:r>
      <w:r w:rsidRPr="00D10E3C">
        <w:rPr>
          <w:rStyle w:val="libFootnotenumChar"/>
          <w:rtl/>
        </w:rPr>
        <w:t>(6)</w:t>
      </w:r>
      <w:r>
        <w:rPr>
          <w:rtl/>
          <w:lang w:bidi="fa-IR"/>
        </w:rPr>
        <w:t xml:space="preserve"> : مَا كَانَ يَنْبَغِي لَكَ أَنْ تَفْعَلَ ، وَقَدْ جَعَلَهُ اللهُ - عَزَّ وَجَلَّ - لَكَ حِجَاباً </w:t>
      </w:r>
      <w:r w:rsidRPr="00D10E3C">
        <w:rPr>
          <w:rStyle w:val="libFootnotenumChar"/>
          <w:rtl/>
        </w:rPr>
        <w:t>(7)</w:t>
      </w:r>
      <w:r>
        <w:rPr>
          <w:rtl/>
          <w:lang w:bidi="fa-IR"/>
        </w:rPr>
        <w:t xml:space="preserve"> مِنَ النَّارِ </w:t>
      </w:r>
      <w:r w:rsidRPr="00D10E3C">
        <w:rPr>
          <w:rStyle w:val="libFootnotenumChar"/>
          <w:rtl/>
        </w:rPr>
        <w:t>(8)</w:t>
      </w:r>
      <w:r>
        <w:rPr>
          <w:rtl/>
          <w:lang w:bidi="fa-IR"/>
        </w:rPr>
        <w:t xml:space="preserve"> ، فَلَا تَعُدْ ». </w:t>
      </w:r>
      <w:r w:rsidRPr="00D10E3C">
        <w:rPr>
          <w:rStyle w:val="libFootnotenumChar"/>
          <w:rtl/>
        </w:rPr>
        <w:t>(9)</w:t>
      </w:r>
    </w:p>
    <w:p w:rsidR="00144FA6" w:rsidRDefault="00744A1C" w:rsidP="00744A1C">
      <w:pPr>
        <w:pStyle w:val="libNormal"/>
        <w:rPr>
          <w:rtl/>
          <w:lang w:bidi="fa-IR"/>
        </w:rPr>
      </w:pPr>
      <w:r>
        <w:rPr>
          <w:rtl/>
          <w:lang w:bidi="fa-IR"/>
        </w:rPr>
        <w:t xml:space="preserve">8544 / 4. مُحَمَّدُ بْنُ يَحْيى ، عَنْ أَحْمَدَ بْنِ مُحَمَّدٍ ، عَنِ ابْنِ فَضَّالٍ ، عَنِ ابْنِ بُكَيْرٍ </w:t>
      </w:r>
      <w:r w:rsidRPr="00D10E3C">
        <w:rPr>
          <w:rStyle w:val="libFootnotenumChar"/>
          <w:rtl/>
        </w:rPr>
        <w:t>(10)</w:t>
      </w:r>
      <w:r>
        <w:rPr>
          <w:rtl/>
          <w:lang w:bidi="fa-IR"/>
        </w:rPr>
        <w:t xml:space="preserve"> ، عَنْ زُرَارَةَ ، قَالَ :</w:t>
      </w:r>
    </w:p>
    <w:p w:rsidR="00744A1C" w:rsidRDefault="00744A1C" w:rsidP="00744A1C">
      <w:pPr>
        <w:pStyle w:val="libNormal"/>
        <w:rPr>
          <w:lang w:bidi="fa-IR"/>
        </w:rPr>
      </w:pPr>
      <w:r>
        <w:rPr>
          <w:rtl/>
          <w:lang w:bidi="fa-IR"/>
        </w:rPr>
        <w:t xml:space="preserve">سَأَلْتُ أَبَا جَعْفَرٍ </w:t>
      </w:r>
      <w:r w:rsidR="0061079A" w:rsidRPr="0061079A">
        <w:rPr>
          <w:rStyle w:val="libAlaemChar"/>
          <w:rtl/>
        </w:rPr>
        <w:t>عليه‌السلام</w:t>
      </w:r>
      <w:r w:rsidR="00D10E3C">
        <w:rPr>
          <w:rtl/>
          <w:lang w:bidi="fa-IR"/>
        </w:rPr>
        <w:t xml:space="preserve"> </w:t>
      </w:r>
      <w:r>
        <w:rPr>
          <w:rtl/>
          <w:lang w:bidi="fa-IR"/>
        </w:rPr>
        <w:t>عَنْ كَسْبِ الْحَجَّامِ؟</w:t>
      </w:r>
    </w:p>
    <w:p w:rsidR="00744A1C" w:rsidRDefault="00744A1C" w:rsidP="00D10E3C">
      <w:pPr>
        <w:pStyle w:val="libLine"/>
        <w:rPr>
          <w:lang w:bidi="fa-IR"/>
        </w:rPr>
      </w:pPr>
      <w:r>
        <w:rPr>
          <w:rtl/>
          <w:lang w:bidi="fa-IR"/>
        </w:rPr>
        <w:t>____________________</w:t>
      </w:r>
    </w:p>
    <w:p w:rsidR="00744A1C" w:rsidRDefault="009315BC" w:rsidP="00D10E3C">
      <w:pPr>
        <w:pStyle w:val="libFootnote0"/>
        <w:rPr>
          <w:lang w:bidi="fa-IR"/>
        </w:rPr>
      </w:pPr>
      <w:r>
        <w:rPr>
          <w:rFonts w:hint="cs"/>
          <w:rtl/>
          <w:lang w:bidi="fa-IR"/>
        </w:rPr>
        <w:t xml:space="preserve">= </w:t>
      </w:r>
      <w:r w:rsidR="00744A1C">
        <w:rPr>
          <w:rtl/>
          <w:lang w:bidi="fa-IR"/>
        </w:rPr>
        <w:t xml:space="preserve">ص 191 ، ح 17094 ؛ </w:t>
      </w:r>
      <w:r w:rsidR="00744A1C" w:rsidRPr="00C24F9C">
        <w:rPr>
          <w:rStyle w:val="libFootnoteBoldChar"/>
          <w:rtl/>
        </w:rPr>
        <w:t>الوسائل</w:t>
      </w:r>
      <w:r w:rsidR="00744A1C">
        <w:rPr>
          <w:rtl/>
          <w:lang w:bidi="fa-IR"/>
        </w:rPr>
        <w:t xml:space="preserve"> ، ج 17 ، ص 111 ، ح 22112 ؛ </w:t>
      </w:r>
      <w:r w:rsidR="00744A1C" w:rsidRPr="009315BC">
        <w:rPr>
          <w:rStyle w:val="libFootnoteBoldChar"/>
          <w:rtl/>
        </w:rPr>
        <w:t>وفيه</w:t>
      </w:r>
      <w:r w:rsidR="00744A1C">
        <w:rPr>
          <w:rtl/>
          <w:lang w:bidi="fa-IR"/>
        </w:rPr>
        <w:t xml:space="preserve"> ، ص 105 ، ح 22097 ؛ إلى قوله : « ولو كان حراماً ما أعطاه ».</w:t>
      </w:r>
    </w:p>
    <w:p w:rsidR="00744A1C" w:rsidRDefault="00D10E3C" w:rsidP="00D10E3C">
      <w:pPr>
        <w:pStyle w:val="libFootnote0"/>
        <w:rPr>
          <w:lang w:bidi="fa-IR"/>
        </w:rPr>
      </w:pPr>
      <w:r>
        <w:rPr>
          <w:rtl/>
          <w:lang w:bidi="fa-IR"/>
        </w:rPr>
        <w:t>(1).</w:t>
      </w:r>
      <w:r w:rsidR="00744A1C">
        <w:rPr>
          <w:rtl/>
          <w:lang w:bidi="fa-IR"/>
        </w:rPr>
        <w:t xml:space="preserve"> في « بخ ، بف » </w:t>
      </w:r>
      <w:r w:rsidR="00744A1C" w:rsidRPr="009315BC">
        <w:rPr>
          <w:rtl/>
        </w:rPr>
        <w:t>والوافي</w:t>
      </w:r>
      <w:r w:rsidR="00744A1C">
        <w:rPr>
          <w:rtl/>
          <w:lang w:bidi="fa-IR"/>
        </w:rPr>
        <w:t xml:space="preserve"> : « وحجمه ».</w:t>
      </w:r>
    </w:p>
    <w:p w:rsidR="00744A1C" w:rsidRDefault="00E378DD" w:rsidP="00E378DD">
      <w:pPr>
        <w:pStyle w:val="libFootnote0"/>
        <w:rPr>
          <w:lang w:bidi="fa-IR"/>
        </w:rPr>
      </w:pPr>
      <w:r>
        <w:rPr>
          <w:rtl/>
          <w:lang w:bidi="fa-IR"/>
        </w:rPr>
        <w:t>(2).</w:t>
      </w:r>
      <w:r w:rsidR="00744A1C">
        <w:rPr>
          <w:rtl/>
          <w:lang w:bidi="fa-IR"/>
        </w:rPr>
        <w:t xml:space="preserve"> في « ط » : - « لبني ».</w:t>
      </w:r>
    </w:p>
    <w:p w:rsidR="00744A1C" w:rsidRDefault="00E378DD" w:rsidP="00E378DD">
      <w:pPr>
        <w:pStyle w:val="libFootnote0"/>
        <w:rPr>
          <w:lang w:bidi="fa-IR"/>
        </w:rPr>
      </w:pPr>
      <w:r>
        <w:rPr>
          <w:rtl/>
          <w:lang w:bidi="fa-IR"/>
        </w:rPr>
        <w:t>(3).</w:t>
      </w:r>
      <w:r w:rsidR="00744A1C">
        <w:rPr>
          <w:rtl/>
          <w:lang w:bidi="fa-IR"/>
        </w:rPr>
        <w:t xml:space="preserve"> في </w:t>
      </w:r>
      <w:r w:rsidR="00744A1C" w:rsidRPr="009315BC">
        <w:rPr>
          <w:rtl/>
        </w:rPr>
        <w:t>التهذيب</w:t>
      </w:r>
      <w:r w:rsidR="00744A1C">
        <w:rPr>
          <w:rtl/>
          <w:lang w:bidi="fa-IR"/>
        </w:rPr>
        <w:t xml:space="preserve"> : + « الأجر ».</w:t>
      </w:r>
    </w:p>
    <w:p w:rsidR="00744A1C" w:rsidRDefault="00E378DD" w:rsidP="00E378DD">
      <w:pPr>
        <w:pStyle w:val="libFootnote0"/>
        <w:rPr>
          <w:lang w:bidi="fa-IR"/>
        </w:rPr>
      </w:pPr>
      <w:r>
        <w:rPr>
          <w:rtl/>
          <w:lang w:bidi="fa-IR"/>
        </w:rPr>
        <w:t>(4).</w:t>
      </w:r>
      <w:r w:rsidR="00744A1C">
        <w:rPr>
          <w:rtl/>
          <w:lang w:bidi="fa-IR"/>
        </w:rPr>
        <w:t xml:space="preserve"> في الاستبصار : « لما ».</w:t>
      </w:r>
    </w:p>
    <w:p w:rsidR="00744A1C" w:rsidRDefault="00E378DD" w:rsidP="00E378DD">
      <w:pPr>
        <w:pStyle w:val="libFootnote0"/>
        <w:rPr>
          <w:lang w:bidi="fa-IR"/>
        </w:rPr>
      </w:pPr>
      <w:r>
        <w:rPr>
          <w:rtl/>
          <w:lang w:bidi="fa-IR"/>
        </w:rPr>
        <w:t>(5).</w:t>
      </w:r>
      <w:r w:rsidR="00744A1C">
        <w:rPr>
          <w:rtl/>
          <w:lang w:bidi="fa-IR"/>
        </w:rPr>
        <w:t xml:space="preserve"> في « جن » : « شربت ».</w:t>
      </w:r>
    </w:p>
    <w:p w:rsidR="00744A1C" w:rsidRDefault="00E378DD" w:rsidP="00E378DD">
      <w:pPr>
        <w:pStyle w:val="libFootnote0"/>
        <w:rPr>
          <w:lang w:bidi="fa-IR"/>
        </w:rPr>
      </w:pPr>
      <w:r>
        <w:rPr>
          <w:rtl/>
          <w:lang w:bidi="fa-IR"/>
        </w:rPr>
        <w:t>(6).</w:t>
      </w:r>
      <w:r w:rsidR="00744A1C">
        <w:rPr>
          <w:rtl/>
          <w:lang w:bidi="fa-IR"/>
        </w:rPr>
        <w:t xml:space="preserve"> في « ى ، بح ، بس ، جد ، جن » </w:t>
      </w:r>
      <w:r w:rsidR="00744A1C" w:rsidRPr="009315BC">
        <w:rPr>
          <w:rtl/>
        </w:rPr>
        <w:t>والوافي والوسائل :</w:t>
      </w:r>
      <w:r w:rsidR="00744A1C">
        <w:rPr>
          <w:rtl/>
          <w:lang w:bidi="fa-IR"/>
        </w:rPr>
        <w:t xml:space="preserve"> « قال ».</w:t>
      </w:r>
    </w:p>
    <w:p w:rsidR="00744A1C" w:rsidRDefault="00E378DD" w:rsidP="00E378DD">
      <w:pPr>
        <w:pStyle w:val="libFootnote0"/>
        <w:rPr>
          <w:lang w:bidi="fa-IR"/>
        </w:rPr>
      </w:pPr>
      <w:r>
        <w:rPr>
          <w:rtl/>
          <w:lang w:bidi="fa-IR"/>
        </w:rPr>
        <w:t>(7).</w:t>
      </w:r>
      <w:r w:rsidR="00744A1C">
        <w:rPr>
          <w:rtl/>
          <w:lang w:bidi="fa-IR"/>
        </w:rPr>
        <w:t xml:space="preserve"> في </w:t>
      </w:r>
      <w:r w:rsidR="00744A1C" w:rsidRPr="009315BC">
        <w:rPr>
          <w:rtl/>
        </w:rPr>
        <w:t>التهذيب والاستبصار</w:t>
      </w:r>
      <w:r w:rsidR="00744A1C">
        <w:rPr>
          <w:rtl/>
          <w:lang w:bidi="fa-IR"/>
        </w:rPr>
        <w:t xml:space="preserve"> : « حجاباً لك » بدل « لك حجاباً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حجاباً من النار ، لعلّ ترتّب الثواب وعدم الزجر واللوم البليغ لجهالته ، وكونه معذوراً بها. ولا يبعد أن يكون ذلك قبل تحريم الدم. وأمّا جعل « من » في قوله : من النار ، بيانيّة فلا يخفى بعده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355 ، ح 1010 ؛ </w:t>
      </w:r>
      <w:r w:rsidR="00744A1C" w:rsidRPr="00C24F9C">
        <w:rPr>
          <w:rStyle w:val="libFootnoteBoldChar"/>
          <w:rtl/>
        </w:rPr>
        <w:t>والاستبصار</w:t>
      </w:r>
      <w:r w:rsidR="00744A1C">
        <w:rPr>
          <w:rtl/>
          <w:lang w:bidi="fa-IR"/>
        </w:rPr>
        <w:t xml:space="preserve"> ، ج 3 ، ص 59 ، ح 192 ، معلّقاً عن الكليني. </w:t>
      </w:r>
      <w:r w:rsidR="00744A1C" w:rsidRPr="00C24F9C">
        <w:rPr>
          <w:rStyle w:val="libFootnoteBoldChar"/>
          <w:rtl/>
        </w:rPr>
        <w:t>الفقيه</w:t>
      </w:r>
      <w:r w:rsidR="00744A1C">
        <w:rPr>
          <w:rtl/>
          <w:lang w:bidi="fa-IR"/>
        </w:rPr>
        <w:t xml:space="preserve"> ، ج 3 ، ص 160 ، ح 3585 ، معلّقاً عن عمر بن شمر </w:t>
      </w:r>
      <w:r w:rsidR="009315BC">
        <w:rPr>
          <w:rFonts w:hint="cs"/>
          <w:rtl/>
          <w:lang w:bidi="fa-IR"/>
        </w:rPr>
        <w:t>.</w:t>
      </w:r>
      <w:r w:rsidR="00744A1C" w:rsidRPr="00C24F9C">
        <w:rPr>
          <w:rStyle w:val="libFootnoteBoldChar"/>
          <w:rtl/>
        </w:rPr>
        <w:t>الوافي</w:t>
      </w:r>
      <w:r w:rsidR="00744A1C">
        <w:rPr>
          <w:rtl/>
          <w:lang w:bidi="fa-IR"/>
        </w:rPr>
        <w:t xml:space="preserve"> ، ج 17 ، ص 192 ، ح 17108 ؛ </w:t>
      </w:r>
      <w:r w:rsidR="00744A1C" w:rsidRPr="00C24F9C">
        <w:rPr>
          <w:rStyle w:val="libFootnoteBoldChar"/>
          <w:rtl/>
        </w:rPr>
        <w:t>الوسائل</w:t>
      </w:r>
      <w:r w:rsidR="00744A1C">
        <w:rPr>
          <w:rtl/>
          <w:lang w:bidi="fa-IR"/>
        </w:rPr>
        <w:t xml:space="preserve"> ، ج 17 ، ص 105 ، ح 22099.</w:t>
      </w:r>
    </w:p>
    <w:p w:rsidR="00744A1C" w:rsidRDefault="00E378DD" w:rsidP="00E378DD">
      <w:pPr>
        <w:pStyle w:val="libFootnote0"/>
        <w:rPr>
          <w:lang w:bidi="fa-IR"/>
        </w:rPr>
      </w:pPr>
      <w:r>
        <w:rPr>
          <w:rtl/>
          <w:lang w:bidi="fa-IR"/>
        </w:rPr>
        <w:t>(10).</w:t>
      </w:r>
      <w:r w:rsidR="00744A1C">
        <w:rPr>
          <w:rtl/>
          <w:lang w:bidi="fa-IR"/>
        </w:rPr>
        <w:t xml:space="preserve"> ورد الخبر في </w:t>
      </w:r>
      <w:r w:rsidR="00744A1C" w:rsidRPr="009315BC">
        <w:rPr>
          <w:rStyle w:val="libFootnoteBoldChar"/>
          <w:rtl/>
        </w:rPr>
        <w:t>الاستبصار</w:t>
      </w:r>
      <w:r w:rsidR="00744A1C">
        <w:rPr>
          <w:rtl/>
          <w:lang w:bidi="fa-IR"/>
        </w:rPr>
        <w:t xml:space="preserve"> ، ج 3 ، ص 59 ، ح 193 ، عن أحمد بن محمّد ، عن ابن فضّال ، عن ابن أبي عمير ، عن‌زرارة. وهو سهو ؛ فإنّا لم نجد توسّط ابن أبي عمير بين ابن فضّال وبين زرارة. وأمّا ابن بكير ، فقد توسّط بينهما في كثيرٍ من الأسناد. راجع : </w:t>
      </w:r>
      <w:r w:rsidR="00744A1C" w:rsidRPr="0061079A">
        <w:rPr>
          <w:rStyle w:val="libFootnoteBoldChar"/>
          <w:rtl/>
        </w:rPr>
        <w:t>معجم رجال الحديث</w:t>
      </w:r>
      <w:r w:rsidR="00744A1C">
        <w:rPr>
          <w:rtl/>
          <w:lang w:bidi="fa-IR"/>
        </w:rPr>
        <w:t xml:space="preserve"> ، ج 22 ، ص 368 - 369.</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فَقَالَ : « مَكْرُوهٌ لَهُ أَنْ يُشَارِطَ ، وَلَا بَأْسَ عَلَيْكَ أَنْ تُشَارِطَهُ </w:t>
      </w:r>
      <w:r w:rsidRPr="00D10E3C">
        <w:rPr>
          <w:rStyle w:val="libFootnotenumChar"/>
          <w:rtl/>
        </w:rPr>
        <w:t>(1)</w:t>
      </w:r>
      <w:r>
        <w:rPr>
          <w:rtl/>
          <w:lang w:bidi="fa-IR"/>
        </w:rPr>
        <w:t xml:space="preserve"> وَتُمَاكِسَهُ </w:t>
      </w:r>
      <w:r w:rsidRPr="00D10E3C">
        <w:rPr>
          <w:rStyle w:val="libFootnotenumChar"/>
          <w:rtl/>
        </w:rPr>
        <w:t>(2)</w:t>
      </w:r>
      <w:r>
        <w:rPr>
          <w:rtl/>
          <w:lang w:bidi="fa-IR"/>
        </w:rPr>
        <w:t xml:space="preserve"> ، وَإِنَّمَا يُكْرَهُ لَهُ ، وَلَا بَأْسَ عَلَيْكَ ». </w:t>
      </w:r>
      <w:r w:rsidRPr="00D10E3C">
        <w:rPr>
          <w:rStyle w:val="libFootnotenumChar"/>
          <w:rtl/>
        </w:rPr>
        <w:t>(3)</w:t>
      </w:r>
    </w:p>
    <w:p w:rsidR="009315BC" w:rsidRDefault="00744A1C" w:rsidP="009315BC">
      <w:pPr>
        <w:pStyle w:val="libNormal"/>
        <w:rPr>
          <w:rtl/>
          <w:lang w:bidi="fa-IR"/>
        </w:rPr>
      </w:pPr>
      <w:r>
        <w:rPr>
          <w:rtl/>
          <w:lang w:bidi="fa-IR"/>
        </w:rPr>
        <w:t>8545 / 5. عَلِيُّ بْنُ إِبْرَاهِيمَ ، عَنْ أَبِيهِ ؛</w:t>
      </w:r>
    </w:p>
    <w:p w:rsidR="00144FA6" w:rsidRDefault="009315BC" w:rsidP="009315BC">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(4)</w:t>
      </w:r>
      <w:r w:rsidR="00744A1C">
        <w:rPr>
          <w:rtl/>
          <w:lang w:bidi="fa-IR"/>
        </w:rPr>
        <w:t xml:space="preserve"> مُحَمَّدُ بْنُ إِسْمَاعِيلَ ، عَنِ الْفَضْلِ بْنِ شَاذَانَ ، عَنِ ابْنِ أَبِي عُمَيْرٍ ، عَنْ مُعَاوِيَةَ بْنِ عَمَّارٍ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كَسْبِ الْحَجَّامِ؟</w:t>
      </w:r>
    </w:p>
    <w:p w:rsidR="00744A1C" w:rsidRDefault="00744A1C" w:rsidP="00744A1C">
      <w:pPr>
        <w:pStyle w:val="libNormal"/>
        <w:rPr>
          <w:lang w:bidi="fa-IR"/>
        </w:rPr>
      </w:pPr>
      <w:r>
        <w:rPr>
          <w:rtl/>
          <w:lang w:bidi="fa-IR"/>
        </w:rPr>
        <w:t>فَقَالَ : « لَا بَأْسَ بِهِ ».</w:t>
      </w:r>
    </w:p>
    <w:p w:rsidR="00744A1C" w:rsidRDefault="00744A1C" w:rsidP="00744A1C">
      <w:pPr>
        <w:pStyle w:val="libNormal"/>
        <w:rPr>
          <w:lang w:bidi="fa-IR"/>
        </w:rPr>
      </w:pPr>
      <w:r>
        <w:rPr>
          <w:rtl/>
          <w:lang w:bidi="fa-IR"/>
        </w:rPr>
        <w:t xml:space="preserve">قُلْتُ </w:t>
      </w:r>
      <w:r w:rsidRPr="00D10E3C">
        <w:rPr>
          <w:rStyle w:val="libFootnotenumChar"/>
          <w:rtl/>
        </w:rPr>
        <w:t>(5)</w:t>
      </w:r>
      <w:r>
        <w:rPr>
          <w:rtl/>
          <w:lang w:bidi="fa-IR"/>
        </w:rPr>
        <w:t xml:space="preserve"> : أَجْرُ التُّيُوسِ؟</w:t>
      </w:r>
    </w:p>
    <w:p w:rsidR="00144FA6" w:rsidRDefault="00744A1C" w:rsidP="00744A1C">
      <w:pPr>
        <w:pStyle w:val="libNormal"/>
        <w:rPr>
          <w:rtl/>
          <w:lang w:bidi="fa-IR"/>
        </w:rPr>
      </w:pPr>
      <w:r>
        <w:rPr>
          <w:rtl/>
          <w:lang w:bidi="fa-IR"/>
        </w:rPr>
        <w:t xml:space="preserve">قَالَ : « إِنْ كَانَتِ الْعَرَبُ لَتَعَايَرُ </w:t>
      </w:r>
      <w:r w:rsidRPr="00D10E3C">
        <w:rPr>
          <w:rStyle w:val="libFootnotenumChar"/>
          <w:rtl/>
        </w:rPr>
        <w:t>(6)</w:t>
      </w:r>
      <w:r>
        <w:rPr>
          <w:rtl/>
          <w:lang w:bidi="fa-IR"/>
        </w:rPr>
        <w:t xml:space="preserve"> بِهِ ، وَلَا بَأْسَ ». </w:t>
      </w:r>
      <w:r w:rsidRPr="00D10E3C">
        <w:rPr>
          <w:rStyle w:val="libFootnotenumChar"/>
          <w:rtl/>
        </w:rPr>
        <w:t>(7)</w:t>
      </w:r>
    </w:p>
    <w:p w:rsidR="00744A1C" w:rsidRDefault="00744A1C" w:rsidP="00792E91">
      <w:pPr>
        <w:pStyle w:val="Heading2Center"/>
        <w:rPr>
          <w:lang w:bidi="fa-IR"/>
        </w:rPr>
      </w:pPr>
      <w:bookmarkStart w:id="158" w:name="_Toc49261456"/>
      <w:r>
        <w:rPr>
          <w:rtl/>
          <w:lang w:bidi="fa-IR"/>
        </w:rPr>
        <w:t>35 - بَابُ كَسْبِ النَّائِحَةِ‌</w:t>
      </w:r>
      <w:bookmarkEnd w:id="158"/>
    </w:p>
    <w:p w:rsidR="00744A1C" w:rsidRDefault="00744A1C" w:rsidP="00744A1C">
      <w:pPr>
        <w:pStyle w:val="libNormal"/>
        <w:rPr>
          <w:lang w:bidi="fa-IR"/>
        </w:rPr>
      </w:pPr>
      <w:r>
        <w:rPr>
          <w:rtl/>
          <w:lang w:bidi="fa-IR"/>
        </w:rPr>
        <w:t>8546 / 1. عِدَّةٌ مِنْ أَصْحَابِنَا ، عَنْ أَحْمَدَ بْنِ مُحَمَّدٍ ، عَنْ عَلِيِّ بْنِ الْحَكَمِ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 « أن تشارط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قال في </w:t>
      </w:r>
      <w:r w:rsidR="00744A1C" w:rsidRPr="00792E91">
        <w:rPr>
          <w:rStyle w:val="libFootnoteBoldChar"/>
          <w:rtl/>
        </w:rPr>
        <w:t>المسالك</w:t>
      </w:r>
      <w:r w:rsidR="00744A1C">
        <w:rPr>
          <w:rtl/>
          <w:lang w:bidi="fa-IR"/>
        </w:rPr>
        <w:t xml:space="preserve"> : يكره الحجامة مع اشتراط الا</w:t>
      </w:r>
      <w:r w:rsidR="00792E91">
        <w:rPr>
          <w:rFonts w:hint="cs"/>
          <w:rtl/>
          <w:lang w:bidi="fa-IR"/>
        </w:rPr>
        <w:t>ُ</w:t>
      </w:r>
      <w:r w:rsidR="00744A1C">
        <w:rPr>
          <w:rtl/>
          <w:lang w:bidi="fa-IR"/>
        </w:rPr>
        <w:t xml:space="preserve">جرة على فعله ، سواء عيّنها أم أطلق ، فلا يكره لو عمل بغير شرط وإن بذلت له بعد ذلك ، كما دلّت عليه الأخبار. هذا في طرف الحاجم ، أمّا المحجوم فعلى الضدّ ، يكره له أن يستعمل من غير شرط ولا يكره معه ». وراجع : </w:t>
      </w:r>
      <w:r w:rsidR="00744A1C" w:rsidRPr="00877682">
        <w:rPr>
          <w:rStyle w:val="libFootnoteBoldChar"/>
          <w:rtl/>
        </w:rPr>
        <w:t>مسالك الأفهام</w:t>
      </w:r>
      <w:r w:rsidR="00744A1C">
        <w:rPr>
          <w:rtl/>
          <w:lang w:bidi="fa-IR"/>
        </w:rPr>
        <w:t xml:space="preserve"> ، ج 3 ، ص 134.</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355 ، ح 1011 ، معلّقاً عن أحمد بن محمّد ؛ </w:t>
      </w:r>
      <w:r w:rsidR="00744A1C" w:rsidRPr="00792E91">
        <w:rPr>
          <w:rStyle w:val="libFootnoteBoldChar"/>
          <w:rtl/>
        </w:rPr>
        <w:t>الاستبصار</w:t>
      </w:r>
      <w:r w:rsidR="00744A1C">
        <w:rPr>
          <w:rtl/>
          <w:lang w:bidi="fa-IR"/>
        </w:rPr>
        <w:t xml:space="preserve"> ، ج 3 ، ص 59 ، ح 193 ، معلّقاً عن أحمد بن محمّد ، عن ابن فضّال ، عن ابن أبي عمير ، عن زرارة </w:t>
      </w:r>
      <w:r w:rsidR="00792E91">
        <w:rPr>
          <w:rFonts w:hint="cs"/>
          <w:rtl/>
          <w:lang w:bidi="fa-IR"/>
        </w:rPr>
        <w:t>.</w:t>
      </w:r>
      <w:r w:rsidR="00744A1C" w:rsidRPr="00C24F9C">
        <w:rPr>
          <w:rStyle w:val="libFootnoteBoldChar"/>
          <w:rtl/>
        </w:rPr>
        <w:t>الوافي</w:t>
      </w:r>
      <w:r w:rsidR="00744A1C">
        <w:rPr>
          <w:rtl/>
          <w:lang w:bidi="fa-IR"/>
        </w:rPr>
        <w:t xml:space="preserve"> ، ج 17 ، ص 192 ، ح 17096 ؛ </w:t>
      </w:r>
      <w:r w:rsidR="00744A1C" w:rsidRPr="00C24F9C">
        <w:rPr>
          <w:rStyle w:val="libFootnoteBoldChar"/>
          <w:rtl/>
        </w:rPr>
        <w:t>الوسائل</w:t>
      </w:r>
      <w:r w:rsidR="00744A1C">
        <w:rPr>
          <w:rtl/>
          <w:lang w:bidi="fa-IR"/>
        </w:rPr>
        <w:t xml:space="preserve"> ، ج 17 ، ص 106 ، ح 22101 ؛ وج 23 ، ص 190 ، ح 29347.</w:t>
      </w:r>
    </w:p>
    <w:p w:rsidR="00744A1C" w:rsidRDefault="00E378DD" w:rsidP="00E378DD">
      <w:pPr>
        <w:pStyle w:val="libFootnote0"/>
        <w:rPr>
          <w:lang w:bidi="fa-IR"/>
        </w:rPr>
      </w:pPr>
      <w:r>
        <w:rPr>
          <w:rtl/>
          <w:lang w:bidi="fa-IR"/>
        </w:rPr>
        <w:t>(4).</w:t>
      </w:r>
      <w:r w:rsidR="00744A1C">
        <w:rPr>
          <w:rtl/>
          <w:lang w:bidi="fa-IR"/>
        </w:rPr>
        <w:t xml:space="preserve"> في السند تحويل بعطف « محمّد بن إسماعيل ، عن الفضل بن شاذان » على « عليّ بن إبراهيم ، عن أبيه ».</w:t>
      </w:r>
    </w:p>
    <w:tbl>
      <w:tblPr>
        <w:tblStyle w:val="TableGrid"/>
        <w:bidiVisual/>
        <w:tblW w:w="0" w:type="auto"/>
        <w:tblLook w:val="04A0" w:firstRow="1" w:lastRow="0" w:firstColumn="1" w:lastColumn="0" w:noHBand="0" w:noVBand="1"/>
      </w:tblPr>
      <w:tblGrid>
        <w:gridCol w:w="4006"/>
        <w:gridCol w:w="4006"/>
      </w:tblGrid>
      <w:tr w:rsidR="00C340B4" w:rsidTr="00C340B4">
        <w:tc>
          <w:tcPr>
            <w:tcW w:w="4006" w:type="dxa"/>
          </w:tcPr>
          <w:p w:rsidR="00C340B4" w:rsidRDefault="00C340B4" w:rsidP="00E378DD">
            <w:pPr>
              <w:pStyle w:val="libFootnote0"/>
              <w:rPr>
                <w:rtl/>
                <w:lang w:bidi="fa-IR"/>
              </w:rPr>
            </w:pPr>
            <w:r>
              <w:rPr>
                <w:rtl/>
                <w:lang w:bidi="fa-IR"/>
              </w:rPr>
              <w:t xml:space="preserve">(5). في « بخ ، بس ، بف » </w:t>
            </w:r>
            <w:r w:rsidRPr="00C340B4">
              <w:rPr>
                <w:rtl/>
              </w:rPr>
              <w:t>والوافي</w:t>
            </w:r>
            <w:r>
              <w:rPr>
                <w:rtl/>
                <w:lang w:bidi="fa-IR"/>
              </w:rPr>
              <w:t xml:space="preserve"> : « فقلت ».</w:t>
            </w:r>
          </w:p>
        </w:tc>
        <w:tc>
          <w:tcPr>
            <w:tcW w:w="4006" w:type="dxa"/>
          </w:tcPr>
          <w:p w:rsidR="00C340B4" w:rsidRDefault="00C340B4" w:rsidP="00E378DD">
            <w:pPr>
              <w:pStyle w:val="libFootnote0"/>
              <w:rPr>
                <w:rtl/>
                <w:lang w:bidi="fa-IR"/>
              </w:rPr>
            </w:pPr>
            <w:r>
              <w:rPr>
                <w:rtl/>
                <w:lang w:bidi="fa-IR"/>
              </w:rPr>
              <w:t>(6). في « بح » : « لتغاير ».</w:t>
            </w:r>
          </w:p>
        </w:tc>
      </w:tr>
    </w:tbl>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355 ، ح 1012 ؛ </w:t>
      </w:r>
      <w:r w:rsidR="00744A1C" w:rsidRPr="00C24F9C">
        <w:rPr>
          <w:rStyle w:val="libFootnoteBoldChar"/>
          <w:rtl/>
        </w:rPr>
        <w:t>والاستبصار</w:t>
      </w:r>
      <w:r w:rsidR="00744A1C">
        <w:rPr>
          <w:rtl/>
          <w:lang w:bidi="fa-IR"/>
        </w:rPr>
        <w:t xml:space="preserve"> ، ج 3 ، ص 59 ، ح 194 ، معلّقاً عن الفضل بن شاذان. </w:t>
      </w:r>
      <w:r w:rsidR="00744A1C" w:rsidRPr="00C24F9C">
        <w:rPr>
          <w:rStyle w:val="libFootnoteBoldChar"/>
          <w:rtl/>
        </w:rPr>
        <w:t>الفقيه</w:t>
      </w:r>
      <w:r w:rsidR="00744A1C">
        <w:rPr>
          <w:rtl/>
          <w:lang w:bidi="fa-IR"/>
        </w:rPr>
        <w:t xml:space="preserve"> ، ج 3 ، ص 170 ، ح 3645 ، معلّقاً عن معاوية بن عمّار ، إلى قوله : « فقال : لا بأس به » </w:t>
      </w:r>
      <w:r w:rsidR="00005875">
        <w:rPr>
          <w:rFonts w:hint="cs"/>
          <w:rtl/>
          <w:lang w:bidi="fa-IR"/>
        </w:rPr>
        <w:t>.</w:t>
      </w:r>
      <w:r w:rsidR="00744A1C" w:rsidRPr="00C24F9C">
        <w:rPr>
          <w:rStyle w:val="libFootnoteBoldChar"/>
          <w:rtl/>
        </w:rPr>
        <w:t>الوافي</w:t>
      </w:r>
      <w:r w:rsidR="00744A1C">
        <w:rPr>
          <w:rtl/>
          <w:lang w:bidi="fa-IR"/>
        </w:rPr>
        <w:t xml:space="preserve"> ، ج 17 ، ص 193 ، ح 17097 ؛ </w:t>
      </w:r>
      <w:r w:rsidR="00744A1C" w:rsidRPr="00C24F9C">
        <w:rPr>
          <w:rStyle w:val="libFootnoteBoldChar"/>
          <w:rtl/>
        </w:rPr>
        <w:t>الوسائل</w:t>
      </w:r>
      <w:r w:rsidR="00744A1C">
        <w:rPr>
          <w:rtl/>
          <w:lang w:bidi="fa-IR"/>
        </w:rPr>
        <w:t xml:space="preserve"> ، ج 17 ، ص 105 ، ح 22098 ، إلى قوله : « فقال : لا بأس به » ؛ وفيه ، ص 111 ، ح 22113 ، من قوله : « قلت : أجر التيوس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يُونُسَ بْنِ يَعْقُوبَ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لِي أَبِي : يَا جَعْفَرُ ، أَوْقِفْ لِي مِنْ مَالِي كَذَا وَكَذَا </w:t>
      </w:r>
      <w:r w:rsidRPr="00D10E3C">
        <w:rPr>
          <w:rStyle w:val="libFootnotenumChar"/>
          <w:rtl/>
        </w:rPr>
        <w:t>(1)</w:t>
      </w:r>
      <w:r>
        <w:rPr>
          <w:rtl/>
          <w:lang w:bidi="fa-IR"/>
        </w:rPr>
        <w:t xml:space="preserve"> لِنَوَادِبَ </w:t>
      </w:r>
      <w:r w:rsidRPr="00D10E3C">
        <w:rPr>
          <w:rStyle w:val="libFootnotenumChar"/>
          <w:rtl/>
        </w:rPr>
        <w:t>(2)</w:t>
      </w:r>
      <w:r>
        <w:rPr>
          <w:rtl/>
          <w:lang w:bidi="fa-IR"/>
        </w:rPr>
        <w:t xml:space="preserve"> تَنْدُبُنِي </w:t>
      </w:r>
      <w:r w:rsidRPr="00D10E3C">
        <w:rPr>
          <w:rStyle w:val="libFootnotenumChar"/>
          <w:rtl/>
        </w:rPr>
        <w:t>(3)</w:t>
      </w:r>
      <w:r>
        <w:rPr>
          <w:rtl/>
          <w:lang w:bidi="fa-IR"/>
        </w:rPr>
        <w:t xml:space="preserve"> عَشْرَ سِنِينَ بِمِنًى أَيَّامَ مِنًى ». </w:t>
      </w:r>
      <w:r w:rsidRPr="00D10E3C">
        <w:rPr>
          <w:rStyle w:val="libFootnotenumChar"/>
          <w:rtl/>
        </w:rPr>
        <w:t>(4)</w:t>
      </w:r>
    </w:p>
    <w:p w:rsidR="00144FA6" w:rsidRDefault="00744A1C" w:rsidP="00744A1C">
      <w:pPr>
        <w:pStyle w:val="libNormal"/>
        <w:rPr>
          <w:rtl/>
          <w:lang w:bidi="fa-IR"/>
        </w:rPr>
      </w:pPr>
      <w:r>
        <w:rPr>
          <w:rtl/>
          <w:lang w:bidi="fa-IR"/>
        </w:rPr>
        <w:t xml:space="preserve">8547 / 2. أَحْمَدُ بْنُ مُحَمَّدٍ </w:t>
      </w:r>
      <w:r w:rsidRPr="00D10E3C">
        <w:rPr>
          <w:rStyle w:val="libFootnotenumChar"/>
          <w:rtl/>
        </w:rPr>
        <w:t>(5)</w:t>
      </w:r>
      <w:r>
        <w:rPr>
          <w:rtl/>
          <w:lang w:bidi="fa-IR"/>
        </w:rPr>
        <w:t xml:space="preserve"> ، عَنْ عَلِيِّ بْنِ الْحَكَمِ ، عَنْ مَالِكِ بْنِ عَطِيَّةَ ، عَنْ أَبِي حَمْزَةَ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مَاتَ وَلِيدُ بْنُ الْوَلِيدِ بْنِ الْمُغِيرَةِ </w:t>
      </w:r>
      <w:r w:rsidRPr="00D10E3C">
        <w:rPr>
          <w:rStyle w:val="libFootnotenumChar"/>
          <w:rtl/>
        </w:rPr>
        <w:t>(6)</w:t>
      </w:r>
      <w:r>
        <w:rPr>
          <w:rtl/>
          <w:lang w:bidi="fa-IR"/>
        </w:rPr>
        <w:t xml:space="preserve"> ، فَقَالَتْ أُمُّ سَلَمَةَ لِلنَّبِيِّ </w:t>
      </w:r>
      <w:r w:rsidR="000F3F68" w:rsidRPr="000F3F68">
        <w:rPr>
          <w:rStyle w:val="libAlaemChar"/>
          <w:rtl/>
        </w:rPr>
        <w:t>صلى‌الله‌عليه‌وآله</w:t>
      </w:r>
      <w:r w:rsidR="00D10E3C">
        <w:rPr>
          <w:rtl/>
          <w:lang w:bidi="fa-IR"/>
        </w:rPr>
        <w:t xml:space="preserve"> </w:t>
      </w:r>
      <w:r>
        <w:rPr>
          <w:rtl/>
          <w:lang w:bidi="fa-IR"/>
        </w:rPr>
        <w:t xml:space="preserve">: إِنَّ آلَ الْمُغِيرَةِ قَدْ أَقَامُوا مَنَاحَةً ، فَأَذْهَبُ إِلَيْهِمْ؟ فَأَذِنَ لَهَا ، فَلَبِسَتْ ثِيَابَهَا وَتَهَيَّأَتْ ، وَكَانَتْ مِنْ حُسْنِهَا كَأَ نَّهَا جَانٌّ ، وَكَانَتْ إِذَا قَامَتْ ، فَأَرْخَتْ </w:t>
      </w:r>
      <w:r w:rsidRPr="00D10E3C">
        <w:rPr>
          <w:rStyle w:val="libFootnotenumChar"/>
          <w:rtl/>
        </w:rPr>
        <w:t>(7)</w:t>
      </w:r>
      <w:r>
        <w:rPr>
          <w:rtl/>
          <w:lang w:bidi="fa-IR"/>
        </w:rPr>
        <w:t xml:space="preserve"> شَعْرَهَا ، جَلَّلَ‌</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 « كذي وكذي ».</w:t>
      </w:r>
    </w:p>
    <w:p w:rsidR="00744A1C" w:rsidRDefault="00E378DD" w:rsidP="00E378DD">
      <w:pPr>
        <w:pStyle w:val="libFootnote0"/>
        <w:rPr>
          <w:lang w:bidi="fa-IR"/>
        </w:rPr>
      </w:pPr>
      <w:r>
        <w:rPr>
          <w:rtl/>
          <w:lang w:bidi="fa-IR"/>
        </w:rPr>
        <w:t>(2).</w:t>
      </w:r>
      <w:r w:rsidR="00744A1C">
        <w:rPr>
          <w:rtl/>
          <w:lang w:bidi="fa-IR"/>
        </w:rPr>
        <w:t xml:space="preserve"> هكذا في معظم النسخ التي قوبلت. وفي « بف » : « لنوادبة ». وفي المطبوع : « النوادب ».</w:t>
      </w:r>
    </w:p>
    <w:p w:rsidR="00744A1C" w:rsidRDefault="00E378DD" w:rsidP="00E378DD">
      <w:pPr>
        <w:pStyle w:val="libFootnote0"/>
        <w:rPr>
          <w:lang w:bidi="fa-IR"/>
        </w:rPr>
      </w:pPr>
      <w:r>
        <w:rPr>
          <w:rtl/>
          <w:lang w:bidi="fa-IR"/>
        </w:rPr>
        <w:t>(3).</w:t>
      </w:r>
      <w:r w:rsidR="00744A1C">
        <w:rPr>
          <w:rtl/>
          <w:lang w:bidi="fa-IR"/>
        </w:rPr>
        <w:t xml:space="preserve"> في « ى » : « تندبنني ». وفي « ط ، بس » : « يندبني ». وفي « بح ، جد » وحاشية « جت » : « يندبنني ». وقال الجوهري : « ندب الميّتَ ، أي بكى عليه وعدّد محاسنه ». وقال ابن الأثير : « الندب : أن تذكر النائحة الميّت بأحسن أوصافه وأفعاله ». </w:t>
      </w:r>
      <w:r w:rsidR="00744A1C" w:rsidRPr="00E978C3">
        <w:rPr>
          <w:rStyle w:val="libFootnoteBoldChar"/>
          <w:rtl/>
        </w:rPr>
        <w:t>الصحاح</w:t>
      </w:r>
      <w:r w:rsidR="00744A1C">
        <w:rPr>
          <w:rtl/>
          <w:lang w:bidi="fa-IR"/>
        </w:rPr>
        <w:t xml:space="preserve"> ، ج 1 ، ص 223 ؛ </w:t>
      </w:r>
      <w:r w:rsidR="00744A1C" w:rsidRPr="00877682">
        <w:rPr>
          <w:rStyle w:val="libFootnoteBoldChar"/>
          <w:rtl/>
        </w:rPr>
        <w:t>النهاية</w:t>
      </w:r>
      <w:r w:rsidR="00744A1C">
        <w:rPr>
          <w:rtl/>
          <w:lang w:bidi="fa-IR"/>
        </w:rPr>
        <w:t xml:space="preserve"> ، ج 5 ، ص 34 ( ندب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19 ، ص 76 : « يدلّ على رجحان الندبة عليهم وإقامة مآتم لهم ؛ لما فيه من تشييد حبّهم وبغض ظالميهم في القلوب ، وهما العمدة في الإيمان. والظاهر اختصاصه بهم </w:t>
      </w:r>
      <w:r w:rsidR="00877682" w:rsidRPr="00877682">
        <w:rPr>
          <w:rStyle w:val="libFootnoteAlaemChar"/>
          <w:rtl/>
        </w:rPr>
        <w:t>عليهم‌السلام</w:t>
      </w:r>
      <w:r w:rsidR="00D10E3C">
        <w:rPr>
          <w:rtl/>
          <w:lang w:bidi="fa-IR"/>
        </w:rPr>
        <w:t xml:space="preserve"> </w:t>
      </w:r>
      <w:r>
        <w:rPr>
          <w:rtl/>
          <w:lang w:bidi="fa-IR"/>
        </w:rPr>
        <w:t xml:space="preserve">لما ذكرناه ». وقال المحقّق الشعراني في هامش </w:t>
      </w:r>
      <w:r w:rsidRPr="00C24F9C">
        <w:rPr>
          <w:rStyle w:val="libFootnoteBoldChar"/>
          <w:rtl/>
        </w:rPr>
        <w:t>الوافي</w:t>
      </w:r>
      <w:r>
        <w:rPr>
          <w:rtl/>
          <w:lang w:bidi="fa-IR"/>
        </w:rPr>
        <w:t xml:space="preserve"> : « قوله : لنوادب تندبني ، لا تخلو الندبة عن لحن محزن وتركيب تنمّ على وجه يناسب النوح ، ويعلم من ذلك أنّ كلَّ صوت مشتمل على لحن شجيّ غير لهو جائزٌ ، ولا يتصوّر الحرمة في ألحان تناسب مراثي أبي عبد الله الحسين </w:t>
      </w:r>
      <w:r w:rsidR="0061079A" w:rsidRPr="0061079A">
        <w:rPr>
          <w:rStyle w:val="libFootnoteAlaemChar"/>
          <w:rtl/>
        </w:rPr>
        <w:t>عليه‌السلام</w:t>
      </w:r>
      <w:r w:rsidR="00D10E3C">
        <w:rPr>
          <w:rtl/>
          <w:lang w:bidi="fa-IR"/>
        </w:rPr>
        <w:t xml:space="preserve"> </w:t>
      </w:r>
      <w:r>
        <w:rPr>
          <w:rtl/>
          <w:lang w:bidi="fa-IR"/>
        </w:rPr>
        <w:t xml:space="preserve">وسائر الأئمّة </w:t>
      </w:r>
      <w:r w:rsidR="00877682" w:rsidRPr="00877682">
        <w:rPr>
          <w:rStyle w:val="libFootnoteAlaemChar"/>
          <w:rtl/>
        </w:rPr>
        <w:t>عليهم‌السلام</w:t>
      </w:r>
      <w:r w:rsidR="00D10E3C">
        <w:rPr>
          <w:rtl/>
          <w:lang w:bidi="fa-IR"/>
        </w:rPr>
        <w:t xml:space="preserve"> </w:t>
      </w:r>
      <w:r>
        <w:rPr>
          <w:rtl/>
          <w:lang w:bidi="fa-IR"/>
        </w:rPr>
        <w:t xml:space="preserve">؛ لأنّ الغناء المحرّم - كما يأتي - هو اللهو ، ورثاء الأئمّة </w:t>
      </w:r>
      <w:r w:rsidR="00877682" w:rsidRPr="00877682">
        <w:rPr>
          <w:rStyle w:val="libFootnoteAlaemChar"/>
          <w:rtl/>
        </w:rPr>
        <w:t>عليهم‌السلام</w:t>
      </w:r>
      <w:r w:rsidR="00D10E3C">
        <w:rPr>
          <w:rtl/>
          <w:lang w:bidi="fa-IR"/>
        </w:rPr>
        <w:t xml:space="preserve"> </w:t>
      </w:r>
      <w:r>
        <w:rPr>
          <w:rtl/>
          <w:lang w:bidi="fa-IR"/>
        </w:rPr>
        <w:t>ليس لهواً ، فهو خارج عن الغناء المحرّم موضوعاً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358 ، ح 1025 ، معلّقاً عن أحمد بن محمّد </w:t>
      </w:r>
      <w:r w:rsidR="00005875">
        <w:rPr>
          <w:rFonts w:hint="cs"/>
          <w:rtl/>
          <w:lang w:bidi="fa-IR"/>
        </w:rPr>
        <w:t>.</w:t>
      </w:r>
      <w:r w:rsidR="00744A1C" w:rsidRPr="00C24F9C">
        <w:rPr>
          <w:rStyle w:val="libFootnoteBoldChar"/>
          <w:rtl/>
        </w:rPr>
        <w:t>الوافي</w:t>
      </w:r>
      <w:r w:rsidR="00744A1C">
        <w:rPr>
          <w:rtl/>
          <w:lang w:bidi="fa-IR"/>
        </w:rPr>
        <w:t xml:space="preserve"> ، ج 17 ، ص 197 ، ح 17105 ؛ </w:t>
      </w:r>
      <w:r w:rsidR="00744A1C" w:rsidRPr="00C24F9C">
        <w:rPr>
          <w:rStyle w:val="libFootnoteBoldChar"/>
          <w:rtl/>
        </w:rPr>
        <w:t>الوسائل</w:t>
      </w:r>
      <w:r w:rsidR="00744A1C">
        <w:rPr>
          <w:rtl/>
          <w:lang w:bidi="fa-IR"/>
        </w:rPr>
        <w:t xml:space="preserve"> ، ج 17 ، ص 125 ، ح 22156 ؛ </w:t>
      </w:r>
      <w:r w:rsidR="00744A1C" w:rsidRPr="0061079A">
        <w:rPr>
          <w:rStyle w:val="libFootnoteBoldChar"/>
          <w:rtl/>
        </w:rPr>
        <w:t>البحار</w:t>
      </w:r>
      <w:r w:rsidR="00744A1C">
        <w:rPr>
          <w:rtl/>
          <w:lang w:bidi="fa-IR"/>
        </w:rPr>
        <w:t xml:space="preserve"> ، ج 46 ، ص 220 ، ح 35.</w:t>
      </w:r>
    </w:p>
    <w:p w:rsidR="00744A1C" w:rsidRDefault="00E378DD" w:rsidP="00E378DD">
      <w:pPr>
        <w:pStyle w:val="libFootnote0"/>
        <w:rPr>
          <w:lang w:bidi="fa-IR"/>
        </w:rPr>
      </w:pPr>
      <w:r>
        <w:rPr>
          <w:rtl/>
          <w:lang w:bidi="fa-IR"/>
        </w:rPr>
        <w:t>(5).</w:t>
      </w:r>
      <w:r w:rsidR="00744A1C">
        <w:rPr>
          <w:rtl/>
          <w:lang w:bidi="fa-IR"/>
        </w:rPr>
        <w:t xml:space="preserve"> السند معلّق على سابقه ، كما هو واضح.</w:t>
      </w:r>
    </w:p>
    <w:p w:rsidR="00744A1C" w:rsidRDefault="00E378DD" w:rsidP="00E378DD">
      <w:pPr>
        <w:pStyle w:val="libFootnote0"/>
        <w:rPr>
          <w:lang w:bidi="fa-IR"/>
        </w:rPr>
      </w:pPr>
      <w:r>
        <w:rPr>
          <w:rtl/>
          <w:lang w:bidi="fa-IR"/>
        </w:rPr>
        <w:t>(6).</w:t>
      </w:r>
      <w:r w:rsidR="00744A1C">
        <w:rPr>
          <w:rtl/>
          <w:lang w:bidi="fa-IR"/>
        </w:rPr>
        <w:t xml:space="preserve"> هكذا في « ط » ، وهو الصحيح بقرينة ما في الذيل من الشعر. وفي سائر النسخ والمطبوع </w:t>
      </w:r>
      <w:r w:rsidR="00744A1C" w:rsidRPr="00B11271">
        <w:rPr>
          <w:rtl/>
        </w:rPr>
        <w:t>والوافي</w:t>
      </w:r>
      <w:r w:rsidR="00744A1C">
        <w:rPr>
          <w:rtl/>
          <w:lang w:bidi="fa-IR"/>
        </w:rPr>
        <w:t xml:space="preserve"> : « مات‌الوليد بن المغيرة ». وفي </w:t>
      </w:r>
      <w:r w:rsidR="00744A1C" w:rsidRPr="00B11271">
        <w:rPr>
          <w:rtl/>
        </w:rPr>
        <w:t>التهذيب</w:t>
      </w:r>
      <w:r w:rsidR="00744A1C">
        <w:rPr>
          <w:rtl/>
          <w:lang w:bidi="fa-IR"/>
        </w:rPr>
        <w:t xml:space="preserve"> : « مات ابن الوليد بن المغيرة ».</w:t>
      </w:r>
    </w:p>
    <w:p w:rsidR="00744A1C" w:rsidRDefault="00744A1C" w:rsidP="00D10E3C">
      <w:pPr>
        <w:pStyle w:val="libFootnote0"/>
        <w:rPr>
          <w:lang w:bidi="fa-IR"/>
        </w:rPr>
      </w:pPr>
      <w:r>
        <w:rPr>
          <w:rtl/>
          <w:lang w:bidi="fa-IR"/>
        </w:rPr>
        <w:t xml:space="preserve">وقال المحقّق الشعراني في هامش </w:t>
      </w:r>
      <w:r w:rsidRPr="00C24F9C">
        <w:rPr>
          <w:rStyle w:val="libFootnoteBoldChar"/>
          <w:rtl/>
        </w:rPr>
        <w:t>الوافي</w:t>
      </w:r>
      <w:r>
        <w:rPr>
          <w:rtl/>
          <w:lang w:bidi="fa-IR"/>
        </w:rPr>
        <w:t xml:space="preserve"> : « قوله : الوليد بن المغيرة ، والصحيح : الوليد بن الوليد بن المغيرة ؛ فإنّه الذي أسلم وهاجر إلى المدينة وكان ابن عمّ ا</w:t>
      </w:r>
      <w:r w:rsidR="00B11271">
        <w:rPr>
          <w:rFonts w:hint="cs"/>
          <w:rtl/>
          <w:lang w:bidi="fa-IR"/>
        </w:rPr>
        <w:t>ُ</w:t>
      </w:r>
      <w:r>
        <w:rPr>
          <w:rtl/>
          <w:lang w:bidi="fa-IR"/>
        </w:rPr>
        <w:t xml:space="preserve">مّ سلمة زوجة النبيّ </w:t>
      </w:r>
      <w:r w:rsidR="00F90866" w:rsidRPr="00F90866">
        <w:rPr>
          <w:rStyle w:val="libFootnoteAlaemChar"/>
          <w:rtl/>
        </w:rPr>
        <w:t>صلى‌الله‌عليه‌وآله</w:t>
      </w:r>
      <w:r>
        <w:rPr>
          <w:rtl/>
          <w:lang w:bidi="fa-IR"/>
        </w:rPr>
        <w:t xml:space="preserve"> ، وأمّا الوليد بن المغيرة فكان عمّها ولم يؤمن ، وا</w:t>
      </w:r>
      <w:r w:rsidR="00BB76FE">
        <w:rPr>
          <w:rFonts w:hint="cs"/>
          <w:rtl/>
          <w:lang w:bidi="fa-IR"/>
        </w:rPr>
        <w:t>ُ</w:t>
      </w:r>
      <w:r>
        <w:rPr>
          <w:rtl/>
          <w:lang w:bidi="fa-IR"/>
        </w:rPr>
        <w:t>مّ سلمة كانت بنت أبي ا</w:t>
      </w:r>
      <w:r w:rsidR="00BB76FE">
        <w:rPr>
          <w:rFonts w:hint="cs"/>
          <w:rtl/>
          <w:lang w:bidi="fa-IR"/>
        </w:rPr>
        <w:t>ُ</w:t>
      </w:r>
      <w:r>
        <w:rPr>
          <w:rtl/>
          <w:lang w:bidi="fa-IR"/>
        </w:rPr>
        <w:t>ميّة بن المغيرة ، والوليد هذا أخو خالد بن الوليد ، وقد روت العامّة هذه الأشعار مع اختلاف يسير ».</w:t>
      </w:r>
    </w:p>
    <w:p w:rsidR="00744A1C" w:rsidRDefault="00E378DD" w:rsidP="00E378DD">
      <w:pPr>
        <w:pStyle w:val="libFootnote0"/>
        <w:rPr>
          <w:lang w:bidi="fa-IR"/>
        </w:rPr>
      </w:pPr>
      <w:r>
        <w:rPr>
          <w:rtl/>
          <w:lang w:bidi="fa-IR"/>
        </w:rPr>
        <w:t>(7).</w:t>
      </w:r>
      <w:r w:rsidR="00744A1C">
        <w:rPr>
          <w:rtl/>
          <w:lang w:bidi="fa-IR"/>
        </w:rPr>
        <w:t xml:space="preserve"> في « ط ، بف » </w:t>
      </w:r>
      <w:r w:rsidR="00744A1C" w:rsidRPr="00143B4F">
        <w:rPr>
          <w:rtl/>
        </w:rPr>
        <w:t>والوافي</w:t>
      </w:r>
      <w:r w:rsidR="00744A1C">
        <w:rPr>
          <w:rtl/>
          <w:lang w:bidi="fa-IR"/>
        </w:rPr>
        <w:t xml:space="preserve"> : « وأرخت ». والإرخاء : الإرسال. </w:t>
      </w:r>
      <w:r w:rsidR="00744A1C" w:rsidRPr="00E978C3">
        <w:rPr>
          <w:rStyle w:val="libFootnoteBoldChar"/>
          <w:rtl/>
        </w:rPr>
        <w:t>الصحاح</w:t>
      </w:r>
      <w:r w:rsidR="00744A1C">
        <w:rPr>
          <w:rtl/>
          <w:lang w:bidi="fa-IR"/>
        </w:rPr>
        <w:t xml:space="preserve"> ، ج 6 ، ص 2354 ( رخا ).</w:t>
      </w:r>
    </w:p>
    <w:p w:rsidR="006A5060" w:rsidRDefault="006A5060" w:rsidP="00D10E3C">
      <w:pPr>
        <w:pStyle w:val="libNormal"/>
        <w:rPr>
          <w:rtl/>
          <w:lang w:bidi="fa-IR"/>
        </w:rPr>
      </w:pPr>
      <w:r>
        <w:rPr>
          <w:rtl/>
          <w:lang w:bidi="fa-IR"/>
        </w:rPr>
        <w:br w:type="page"/>
      </w:r>
    </w:p>
    <w:p w:rsidR="00144FA6" w:rsidRDefault="00744A1C" w:rsidP="00955510">
      <w:pPr>
        <w:pStyle w:val="libNormal0"/>
        <w:rPr>
          <w:rtl/>
          <w:lang w:bidi="fa-IR"/>
        </w:rPr>
      </w:pPr>
      <w:r>
        <w:rPr>
          <w:rtl/>
          <w:lang w:bidi="fa-IR"/>
        </w:rPr>
        <w:t xml:space="preserve">جَسَدَهَا </w:t>
      </w:r>
      <w:r w:rsidRPr="00D10E3C">
        <w:rPr>
          <w:rStyle w:val="libFootnotenumChar"/>
          <w:rtl/>
        </w:rPr>
        <w:t>(1)</w:t>
      </w:r>
      <w:r>
        <w:rPr>
          <w:rtl/>
          <w:lang w:bidi="fa-IR"/>
        </w:rPr>
        <w:t xml:space="preserve"> ، وَعَقَدَتْ </w:t>
      </w:r>
      <w:r w:rsidRPr="00D10E3C">
        <w:rPr>
          <w:rStyle w:val="libFootnotenumChar"/>
          <w:rtl/>
        </w:rPr>
        <w:t>(2)</w:t>
      </w:r>
      <w:r>
        <w:rPr>
          <w:rtl/>
          <w:lang w:bidi="fa-IR"/>
        </w:rPr>
        <w:t xml:space="preserve"> بِطَرَفَيْهِ </w:t>
      </w:r>
      <w:r w:rsidRPr="00D10E3C">
        <w:rPr>
          <w:rStyle w:val="libFootnotenumChar"/>
          <w:rtl/>
        </w:rPr>
        <w:t>(3)</w:t>
      </w:r>
      <w:r>
        <w:rPr>
          <w:rtl/>
          <w:lang w:bidi="fa-IR"/>
        </w:rPr>
        <w:t xml:space="preserve"> خَلْخَالَهَا </w:t>
      </w:r>
      <w:r w:rsidRPr="00D10E3C">
        <w:rPr>
          <w:rStyle w:val="libFootnotenumChar"/>
          <w:rtl/>
        </w:rPr>
        <w:t>(4)</w:t>
      </w:r>
      <w:r>
        <w:rPr>
          <w:rtl/>
          <w:lang w:bidi="fa-IR"/>
        </w:rPr>
        <w:t xml:space="preserve"> ، فَنَدَبَتِ ابْنَ عَمِّهَا بَيْنَ يَدَيْ رَسُولِ اللهِ </w:t>
      </w:r>
      <w:r w:rsidR="007D61A8" w:rsidRPr="007D61A8">
        <w:rPr>
          <w:rStyle w:val="libFootnoteAlaemChar"/>
          <w:rtl/>
        </w:rPr>
        <w:t>صلى‌الله‌عليه‌وآله</w:t>
      </w:r>
      <w:r w:rsidR="00D10E3C">
        <w:rPr>
          <w:rtl/>
          <w:lang w:bidi="fa-IR"/>
        </w:rPr>
        <w:t xml:space="preserve"> </w:t>
      </w:r>
      <w:r>
        <w:rPr>
          <w:rtl/>
          <w:lang w:bidi="fa-IR"/>
        </w:rPr>
        <w:t>، فَقَالَتْ :</w:t>
      </w:r>
    </w:p>
    <w:tbl>
      <w:tblPr>
        <w:tblStyle w:val="TableGrid"/>
        <w:bidiVisual/>
        <w:tblW w:w="4562" w:type="pct"/>
        <w:tblInd w:w="384" w:type="dxa"/>
        <w:tblLook w:val="01E0" w:firstRow="1" w:lastRow="1" w:firstColumn="1" w:lastColumn="1" w:noHBand="0" w:noVBand="0"/>
      </w:tblPr>
      <w:tblGrid>
        <w:gridCol w:w="3535"/>
        <w:gridCol w:w="272"/>
        <w:gridCol w:w="3503"/>
      </w:tblGrid>
      <w:tr w:rsidR="00347B21" w:rsidTr="006B722B">
        <w:trPr>
          <w:trHeight w:val="350"/>
        </w:trPr>
        <w:tc>
          <w:tcPr>
            <w:tcW w:w="3920" w:type="dxa"/>
            <w:shd w:val="clear" w:color="auto" w:fill="auto"/>
          </w:tcPr>
          <w:p w:rsidR="00347B21" w:rsidRDefault="00347B21" w:rsidP="006B722B">
            <w:pPr>
              <w:pStyle w:val="libPoem"/>
            </w:pPr>
            <w:r>
              <w:rPr>
                <w:rtl/>
                <w:lang w:bidi="fa-IR"/>
              </w:rPr>
              <w:t xml:space="preserve">أَنْعَى </w:t>
            </w:r>
            <w:r w:rsidRPr="00D10E3C">
              <w:rPr>
                <w:rStyle w:val="libFootnotenumChar"/>
                <w:rtl/>
              </w:rPr>
              <w:t>(5)</w:t>
            </w:r>
            <w:r>
              <w:rPr>
                <w:rtl/>
                <w:lang w:bidi="fa-IR"/>
              </w:rPr>
              <w:t xml:space="preserve"> الْوَلِيدَ بْنَ الْوَلِيدِ</w:t>
            </w:r>
            <w:r w:rsidRPr="00725071">
              <w:rPr>
                <w:rStyle w:val="libPoemTiniChar0"/>
                <w:rtl/>
              </w:rPr>
              <w:br/>
              <w:t> </w:t>
            </w:r>
          </w:p>
        </w:tc>
        <w:tc>
          <w:tcPr>
            <w:tcW w:w="279" w:type="dxa"/>
            <w:shd w:val="clear" w:color="auto" w:fill="auto"/>
          </w:tcPr>
          <w:p w:rsidR="00347B21" w:rsidRDefault="00347B21" w:rsidP="006B722B">
            <w:pPr>
              <w:pStyle w:val="libPoem"/>
              <w:rPr>
                <w:rtl/>
              </w:rPr>
            </w:pPr>
          </w:p>
        </w:tc>
        <w:tc>
          <w:tcPr>
            <w:tcW w:w="3881" w:type="dxa"/>
            <w:shd w:val="clear" w:color="auto" w:fill="auto"/>
          </w:tcPr>
          <w:p w:rsidR="00347B21" w:rsidRDefault="00347B21" w:rsidP="006B722B">
            <w:pPr>
              <w:pStyle w:val="libPoem"/>
            </w:pPr>
            <w:r>
              <w:rPr>
                <w:rtl/>
                <w:lang w:bidi="fa-IR"/>
              </w:rPr>
              <w:t>أَبَا الْوَلِيدِ فَتَى الْعَشِيرَة</w:t>
            </w:r>
            <w:r w:rsidRPr="00725071">
              <w:rPr>
                <w:rStyle w:val="libPoemTiniChar0"/>
                <w:rtl/>
              </w:rPr>
              <w:br/>
              <w:t> </w:t>
            </w:r>
          </w:p>
        </w:tc>
      </w:tr>
      <w:tr w:rsidR="00347B21" w:rsidTr="006B722B">
        <w:trPr>
          <w:trHeight w:val="350"/>
        </w:trPr>
        <w:tc>
          <w:tcPr>
            <w:tcW w:w="3920" w:type="dxa"/>
          </w:tcPr>
          <w:p w:rsidR="00347B21" w:rsidRDefault="00347B21" w:rsidP="006B722B">
            <w:pPr>
              <w:pStyle w:val="libPoem"/>
            </w:pPr>
            <w:r>
              <w:rPr>
                <w:rtl/>
                <w:lang w:bidi="fa-IR"/>
              </w:rPr>
              <w:t xml:space="preserve">حَامِي الْحَقِيقَةِ </w:t>
            </w:r>
            <w:r w:rsidRPr="00D10E3C">
              <w:rPr>
                <w:rStyle w:val="libFootnotenumChar"/>
                <w:rtl/>
              </w:rPr>
              <w:t>(6)</w:t>
            </w:r>
            <w:r>
              <w:rPr>
                <w:rtl/>
                <w:lang w:bidi="fa-IR"/>
              </w:rPr>
              <w:t xml:space="preserve"> مَاجِدٌ </w:t>
            </w:r>
            <w:r w:rsidRPr="00D10E3C">
              <w:rPr>
                <w:rStyle w:val="libFootnotenumChar"/>
                <w:rtl/>
              </w:rPr>
              <w:t>(7)</w:t>
            </w:r>
            <w:r w:rsidRPr="00725071">
              <w:rPr>
                <w:rStyle w:val="libPoemTiniChar0"/>
                <w:rtl/>
              </w:rPr>
              <w:br/>
              <w:t> </w:t>
            </w:r>
          </w:p>
        </w:tc>
        <w:tc>
          <w:tcPr>
            <w:tcW w:w="279" w:type="dxa"/>
          </w:tcPr>
          <w:p w:rsidR="00347B21" w:rsidRDefault="00347B21" w:rsidP="006B722B">
            <w:pPr>
              <w:pStyle w:val="libPoem"/>
              <w:rPr>
                <w:rtl/>
              </w:rPr>
            </w:pPr>
          </w:p>
        </w:tc>
        <w:tc>
          <w:tcPr>
            <w:tcW w:w="3881" w:type="dxa"/>
          </w:tcPr>
          <w:p w:rsidR="00347B21" w:rsidRDefault="00347B21" w:rsidP="006B722B">
            <w:pPr>
              <w:pStyle w:val="libPoem"/>
            </w:pPr>
            <w:r>
              <w:rPr>
                <w:rtl/>
                <w:lang w:bidi="fa-IR"/>
              </w:rPr>
              <w:t xml:space="preserve">يَسْمُو </w:t>
            </w:r>
            <w:r w:rsidRPr="00D10E3C">
              <w:rPr>
                <w:rStyle w:val="libFootnotenumChar"/>
                <w:rtl/>
              </w:rPr>
              <w:t>(8)</w:t>
            </w:r>
            <w:r>
              <w:rPr>
                <w:rtl/>
                <w:lang w:bidi="fa-IR"/>
              </w:rPr>
              <w:t xml:space="preserve"> إِلى طَلَبِ الْوَتِيرَة </w:t>
            </w:r>
            <w:r w:rsidRPr="00D10E3C">
              <w:rPr>
                <w:rStyle w:val="libFootnotenumChar"/>
                <w:rtl/>
              </w:rPr>
              <w:t>(9)</w:t>
            </w:r>
            <w:r w:rsidRPr="00725071">
              <w:rPr>
                <w:rStyle w:val="libPoemTiniChar0"/>
                <w:rtl/>
              </w:rPr>
              <w:br/>
              <w:t> </w:t>
            </w:r>
          </w:p>
        </w:tc>
      </w:tr>
      <w:tr w:rsidR="00347B21" w:rsidTr="006B722B">
        <w:trPr>
          <w:trHeight w:val="350"/>
        </w:trPr>
        <w:tc>
          <w:tcPr>
            <w:tcW w:w="3920" w:type="dxa"/>
          </w:tcPr>
          <w:p w:rsidR="00347B21" w:rsidRDefault="00347B21" w:rsidP="006B722B">
            <w:pPr>
              <w:pStyle w:val="libPoem"/>
            </w:pPr>
            <w:r>
              <w:rPr>
                <w:rtl/>
                <w:lang w:bidi="fa-IR"/>
              </w:rPr>
              <w:t xml:space="preserve">قَدْ كَانَ غَيْثاً فِي السِّنِينَ </w:t>
            </w:r>
            <w:r w:rsidRPr="00D10E3C">
              <w:rPr>
                <w:rStyle w:val="libFootnotenumChar"/>
                <w:rtl/>
              </w:rPr>
              <w:t>(10)</w:t>
            </w:r>
            <w:r w:rsidRPr="00725071">
              <w:rPr>
                <w:rStyle w:val="libPoemTiniChar0"/>
                <w:rtl/>
              </w:rPr>
              <w:br/>
              <w:t> </w:t>
            </w:r>
          </w:p>
        </w:tc>
        <w:tc>
          <w:tcPr>
            <w:tcW w:w="279" w:type="dxa"/>
          </w:tcPr>
          <w:p w:rsidR="00347B21" w:rsidRDefault="00347B21" w:rsidP="006B722B">
            <w:pPr>
              <w:pStyle w:val="libPoem"/>
              <w:rPr>
                <w:rtl/>
              </w:rPr>
            </w:pPr>
          </w:p>
        </w:tc>
        <w:tc>
          <w:tcPr>
            <w:tcW w:w="3881" w:type="dxa"/>
          </w:tcPr>
          <w:p w:rsidR="00347B21" w:rsidRDefault="00347B21" w:rsidP="006B722B">
            <w:pPr>
              <w:pStyle w:val="libPoem"/>
            </w:pPr>
            <w:r>
              <w:rPr>
                <w:rtl/>
                <w:lang w:bidi="fa-IR"/>
              </w:rPr>
              <w:t xml:space="preserve">وَجَعْفَراً </w:t>
            </w:r>
            <w:r w:rsidRPr="00D10E3C">
              <w:rPr>
                <w:rStyle w:val="libFootnotenumChar"/>
                <w:rtl/>
              </w:rPr>
              <w:t>(11)</w:t>
            </w:r>
            <w:r>
              <w:rPr>
                <w:rtl/>
                <w:lang w:bidi="fa-IR"/>
              </w:rPr>
              <w:t xml:space="preserve"> غَدَقاً </w:t>
            </w:r>
            <w:r w:rsidRPr="00D10E3C">
              <w:rPr>
                <w:rStyle w:val="libFootnotenumChar"/>
                <w:rtl/>
              </w:rPr>
              <w:t>(12)</w:t>
            </w:r>
            <w:r>
              <w:rPr>
                <w:rtl/>
                <w:lang w:bidi="fa-IR"/>
              </w:rPr>
              <w:t xml:space="preserve"> وَمِيرَة </w:t>
            </w:r>
            <w:r w:rsidRPr="00D10E3C">
              <w:rPr>
                <w:rStyle w:val="libFootnotenumChar"/>
                <w:rtl/>
              </w:rPr>
              <w:t>(13)</w:t>
            </w:r>
            <w:r w:rsidRPr="00725071">
              <w:rPr>
                <w:rStyle w:val="libPoemTiniChar0"/>
                <w:rtl/>
              </w:rPr>
              <w:br/>
              <w:t> </w:t>
            </w:r>
          </w:p>
        </w:tc>
      </w:tr>
    </w:tbl>
    <w:p w:rsidR="00744A1C" w:rsidRDefault="00744A1C" w:rsidP="00744A1C">
      <w:pPr>
        <w:pStyle w:val="libNormal"/>
        <w:rPr>
          <w:lang w:bidi="fa-IR"/>
        </w:rPr>
      </w:pPr>
      <w:r>
        <w:rPr>
          <w:rtl/>
          <w:lang w:bidi="fa-IR"/>
        </w:rPr>
        <w:t xml:space="preserve">فَمَا </w:t>
      </w:r>
      <w:r w:rsidRPr="00D10E3C">
        <w:rPr>
          <w:rStyle w:val="libFootnotenumChar"/>
          <w:rtl/>
        </w:rPr>
        <w:t>(14)</w:t>
      </w:r>
      <w:r>
        <w:rPr>
          <w:rtl/>
          <w:lang w:bidi="fa-IR"/>
        </w:rPr>
        <w:t xml:space="preserve"> عَابَ ذلِكَ عَلَيْهَا النَّبِيُّ </w:t>
      </w:r>
      <w:r w:rsidR="00CB3856" w:rsidRPr="00CB3856">
        <w:rPr>
          <w:rStyle w:val="libAlaemChar"/>
          <w:rtl/>
        </w:rPr>
        <w:t>صلى‌الله‌عليه‌وآله</w:t>
      </w:r>
      <w:r w:rsidR="00D10E3C">
        <w:rPr>
          <w:rtl/>
          <w:lang w:bidi="fa-IR"/>
        </w:rPr>
        <w:t xml:space="preserve"> </w:t>
      </w:r>
      <w:r w:rsidRPr="00D10E3C">
        <w:rPr>
          <w:rStyle w:val="libFootnotenumChar"/>
          <w:rtl/>
        </w:rPr>
        <w:t>(15)</w:t>
      </w:r>
      <w:r>
        <w:rPr>
          <w:rtl/>
          <w:lang w:bidi="fa-IR"/>
        </w:rPr>
        <w:t xml:space="preserve"> ، وَلَا قَالَ‌</w:t>
      </w:r>
      <w:r w:rsidR="00C927FE">
        <w:rPr>
          <w:rFonts w:hint="cs"/>
          <w:rtl/>
          <w:lang w:bidi="fa-IR"/>
        </w:rPr>
        <w:t>.....................</w:t>
      </w:r>
      <w:r w:rsidR="00C927FE">
        <w:rPr>
          <w:rFonts w:hint="cs"/>
          <w:rtl/>
          <w:lang w:bidi="fa-IR"/>
        </w:rPr>
        <w:tab/>
      </w:r>
    </w:p>
    <w:p w:rsidR="00744A1C" w:rsidRDefault="00744A1C" w:rsidP="00D10E3C">
      <w:pPr>
        <w:pStyle w:val="libLine"/>
        <w:rPr>
          <w:lang w:bidi="fa-IR"/>
        </w:rPr>
      </w:pPr>
      <w:r>
        <w:rPr>
          <w:rtl/>
          <w:lang w:bidi="fa-IR"/>
        </w:rPr>
        <w:t>____________________</w:t>
      </w:r>
    </w:p>
    <w:p w:rsidR="00744A1C" w:rsidRDefault="00D10E3C" w:rsidP="00052F52">
      <w:pPr>
        <w:pStyle w:val="libFootnote0"/>
        <w:rPr>
          <w:lang w:bidi="fa-IR"/>
        </w:rPr>
      </w:pPr>
      <w:r>
        <w:rPr>
          <w:rtl/>
          <w:lang w:bidi="fa-IR"/>
        </w:rPr>
        <w:t>(1).</w:t>
      </w:r>
      <w:r w:rsidR="00744A1C">
        <w:rPr>
          <w:rtl/>
          <w:lang w:bidi="fa-IR"/>
        </w:rPr>
        <w:t xml:space="preserve"> في « ط » : « جلّلت » بدل « جلّل جسدها ». والتجليل : التغطية ، يقال : جلّل الشي‌ءَ ، إذا غطّاه. راجع : </w:t>
      </w:r>
      <w:r w:rsidR="00744A1C" w:rsidRPr="00052F52">
        <w:rPr>
          <w:rStyle w:val="libFootnoteBoldChar"/>
          <w:rtl/>
        </w:rPr>
        <w:t>المصباح‌المنير</w:t>
      </w:r>
      <w:r w:rsidR="00744A1C">
        <w:rPr>
          <w:rtl/>
          <w:lang w:bidi="fa-IR"/>
        </w:rPr>
        <w:t xml:space="preserve"> ، ص 106 ( جلل ).</w:t>
      </w:r>
      <w:r w:rsidR="00052F52">
        <w:rPr>
          <w:rFonts w:hint="cs"/>
          <w:rtl/>
          <w:lang w:bidi="fa-IR"/>
        </w:rPr>
        <w:t xml:space="preserve">                       </w:t>
      </w:r>
      <w:r w:rsidR="00E378DD">
        <w:rPr>
          <w:rtl/>
          <w:lang w:bidi="fa-IR"/>
        </w:rPr>
        <w:t>(2).</w:t>
      </w:r>
      <w:r w:rsidR="00744A1C">
        <w:rPr>
          <w:rtl/>
          <w:lang w:bidi="fa-IR"/>
        </w:rPr>
        <w:t xml:space="preserve"> في </w:t>
      </w:r>
      <w:r w:rsidR="00744A1C" w:rsidRPr="00052F52">
        <w:rPr>
          <w:rtl/>
        </w:rPr>
        <w:t>البحار</w:t>
      </w:r>
      <w:r w:rsidR="00744A1C">
        <w:rPr>
          <w:rtl/>
          <w:lang w:bidi="fa-IR"/>
        </w:rPr>
        <w:t xml:space="preserve"> : « وعقد ».</w:t>
      </w:r>
    </w:p>
    <w:p w:rsidR="00744A1C" w:rsidRDefault="00E378DD" w:rsidP="00E378DD">
      <w:pPr>
        <w:pStyle w:val="libFootnote0"/>
        <w:rPr>
          <w:lang w:bidi="fa-IR"/>
        </w:rPr>
      </w:pPr>
      <w:r>
        <w:rPr>
          <w:rtl/>
          <w:lang w:bidi="fa-IR"/>
        </w:rPr>
        <w:t>(3).</w:t>
      </w:r>
      <w:r w:rsidR="00744A1C">
        <w:rPr>
          <w:rtl/>
          <w:lang w:bidi="fa-IR"/>
        </w:rPr>
        <w:t xml:space="preserve"> في « ط ، بف » </w:t>
      </w:r>
      <w:r w:rsidR="00744A1C" w:rsidRPr="00052F52">
        <w:rPr>
          <w:rtl/>
        </w:rPr>
        <w:t>والوافي</w:t>
      </w:r>
      <w:r w:rsidR="00744A1C">
        <w:rPr>
          <w:rtl/>
          <w:lang w:bidi="fa-IR"/>
        </w:rPr>
        <w:t xml:space="preserve"> : « طرفه ». وفي حاشية « جت » : « بطرفه ».</w:t>
      </w:r>
    </w:p>
    <w:p w:rsidR="00744A1C" w:rsidRDefault="00E378DD" w:rsidP="00E378DD">
      <w:pPr>
        <w:pStyle w:val="libFootnote0"/>
        <w:rPr>
          <w:lang w:bidi="fa-IR"/>
        </w:rPr>
      </w:pPr>
      <w:r>
        <w:rPr>
          <w:rtl/>
          <w:lang w:bidi="fa-IR"/>
        </w:rPr>
        <w:t>(4).</w:t>
      </w:r>
      <w:r w:rsidR="00744A1C">
        <w:rPr>
          <w:rtl/>
          <w:lang w:bidi="fa-IR"/>
        </w:rPr>
        <w:t xml:space="preserve"> في « بف » </w:t>
      </w:r>
      <w:r w:rsidR="00744A1C" w:rsidRPr="006E1F20">
        <w:rPr>
          <w:rtl/>
        </w:rPr>
        <w:t>والوافي</w:t>
      </w:r>
      <w:r w:rsidR="00744A1C">
        <w:rPr>
          <w:rtl/>
          <w:lang w:bidi="fa-IR"/>
        </w:rPr>
        <w:t xml:space="preserve"> : « بخلخالها ».</w:t>
      </w:r>
    </w:p>
    <w:p w:rsidR="00744A1C" w:rsidRDefault="00744A1C" w:rsidP="00D10E3C">
      <w:pPr>
        <w:pStyle w:val="libFootnote0"/>
        <w:rPr>
          <w:lang w:bidi="fa-IR"/>
        </w:rPr>
      </w:pPr>
      <w:r>
        <w:rPr>
          <w:rtl/>
          <w:lang w:bidi="fa-IR"/>
        </w:rPr>
        <w:t xml:space="preserve">وقال المحقّق الشعراني في هامش </w:t>
      </w:r>
      <w:r w:rsidRPr="00C24F9C">
        <w:rPr>
          <w:rStyle w:val="libFootnoteBoldChar"/>
          <w:rtl/>
        </w:rPr>
        <w:t>الوافي</w:t>
      </w:r>
      <w:r>
        <w:rPr>
          <w:rtl/>
          <w:lang w:bidi="fa-IR"/>
        </w:rPr>
        <w:t xml:space="preserve"> : « قوله : وقد عقدت طرفه بخلخالها ، أي عقدت طرف شعرها بخلخالها ، يدلّ على طول شعرها بحيث كان يصل إلى كعبي الرجلين ، ولعلّ إرخاء الشعر كان شعار المصاب ».</w:t>
      </w:r>
    </w:p>
    <w:p w:rsidR="00744A1C" w:rsidRDefault="00E378DD" w:rsidP="00E378DD">
      <w:pPr>
        <w:pStyle w:val="libFootnote0"/>
        <w:rPr>
          <w:lang w:bidi="fa-IR"/>
        </w:rPr>
      </w:pPr>
      <w:r>
        <w:rPr>
          <w:rtl/>
          <w:lang w:bidi="fa-IR"/>
        </w:rPr>
        <w:t>(5).</w:t>
      </w:r>
      <w:r w:rsidR="00744A1C">
        <w:rPr>
          <w:rtl/>
          <w:lang w:bidi="fa-IR"/>
        </w:rPr>
        <w:t xml:space="preserve"> النَعْي : خبر الموت والإخبار به ، يقال : نعى الميّتَ ينعاه نَعْياً ونَعِيّاً ، إذا أذاع موته وأخبربه ، وإذا ندبه. راجع : </w:t>
      </w:r>
      <w:r w:rsidR="00744A1C" w:rsidRPr="00877682">
        <w:rPr>
          <w:rStyle w:val="libFootnoteBoldChar"/>
          <w:rtl/>
        </w:rPr>
        <w:t>النهاية</w:t>
      </w:r>
      <w:r w:rsidR="00744A1C">
        <w:rPr>
          <w:rtl/>
          <w:lang w:bidi="fa-IR"/>
        </w:rPr>
        <w:t xml:space="preserve"> ، ج 5 ، ص 85 ( نعا ).</w:t>
      </w:r>
    </w:p>
    <w:p w:rsidR="00744A1C" w:rsidRDefault="00E378DD" w:rsidP="00624A17">
      <w:pPr>
        <w:pStyle w:val="libFootnote0"/>
        <w:rPr>
          <w:lang w:bidi="fa-IR"/>
        </w:rPr>
      </w:pPr>
      <w:r>
        <w:rPr>
          <w:rtl/>
          <w:lang w:bidi="fa-IR"/>
        </w:rPr>
        <w:t>(6).</w:t>
      </w:r>
      <w:r w:rsidR="00744A1C">
        <w:rPr>
          <w:rtl/>
          <w:lang w:bidi="fa-IR"/>
        </w:rPr>
        <w:t xml:space="preserve"> حقيقة الرجل : ما يلزمه حفظه ومنعه ويحقّ عليه الدفاع عنه من أهل بيته. </w:t>
      </w:r>
      <w:r w:rsidR="00744A1C" w:rsidRPr="00877682">
        <w:rPr>
          <w:rStyle w:val="libFootnoteBoldChar"/>
          <w:rtl/>
        </w:rPr>
        <w:t>لسان العرب</w:t>
      </w:r>
      <w:r w:rsidR="00744A1C">
        <w:rPr>
          <w:rtl/>
          <w:lang w:bidi="fa-IR"/>
        </w:rPr>
        <w:t xml:space="preserve"> ، ج 10 ، ص 52 ( حقق ).</w:t>
      </w:r>
      <w:r w:rsidR="00624A17">
        <w:rPr>
          <w:rFonts w:hint="cs"/>
          <w:rtl/>
          <w:lang w:bidi="fa-IR"/>
        </w:rPr>
        <w:t xml:space="preserve">                                                </w:t>
      </w: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ماجداً ».</w:t>
      </w:r>
    </w:p>
    <w:p w:rsidR="00744A1C" w:rsidRDefault="00E378DD" w:rsidP="00E378DD">
      <w:pPr>
        <w:pStyle w:val="libFootnote0"/>
        <w:rPr>
          <w:lang w:bidi="fa-IR"/>
        </w:rPr>
      </w:pPr>
      <w:r>
        <w:rPr>
          <w:rtl/>
          <w:lang w:bidi="fa-IR"/>
        </w:rPr>
        <w:t>(8).</w:t>
      </w:r>
      <w:r w:rsidR="00744A1C">
        <w:rPr>
          <w:rtl/>
          <w:lang w:bidi="fa-IR"/>
        </w:rPr>
        <w:t xml:space="preserve"> « يسمو » أي يعلو ، يقال : سما الشي‌ءُ يسمو سُمُوّاً ، أي ارتفع وعلا. راجع : </w:t>
      </w:r>
      <w:r w:rsidR="00744A1C" w:rsidRPr="00877682">
        <w:rPr>
          <w:rStyle w:val="libFootnoteBoldChar"/>
          <w:rtl/>
        </w:rPr>
        <w:t>النهاية</w:t>
      </w:r>
      <w:r w:rsidR="00744A1C">
        <w:rPr>
          <w:rtl/>
          <w:lang w:bidi="fa-IR"/>
        </w:rPr>
        <w:t xml:space="preserve"> ، ج 2 ، ص 405 ( سمو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 « الوتيرة ، كأنّها من الوتر بمعنى الجناية التي يجنيها الرجل على غيره من قتل أو نهب أو سبي ؛ تعني أنّه كان يغلب على إدراك دم قتيله وما يجنى به على عشيرته ». راجع : </w:t>
      </w:r>
      <w:r w:rsidR="00744A1C" w:rsidRPr="00877682">
        <w:rPr>
          <w:rStyle w:val="libFootnoteBoldChar"/>
          <w:rtl/>
        </w:rPr>
        <w:t>النهاية</w:t>
      </w:r>
      <w:r w:rsidR="00744A1C">
        <w:rPr>
          <w:rtl/>
          <w:lang w:bidi="fa-IR"/>
        </w:rPr>
        <w:t xml:space="preserve"> ، ج 5 ، ص 148 ( وتر ).</w:t>
      </w:r>
    </w:p>
    <w:p w:rsidR="00744A1C" w:rsidRDefault="00E378DD" w:rsidP="00E378DD">
      <w:pPr>
        <w:pStyle w:val="libFootnote0"/>
        <w:rPr>
          <w:lang w:bidi="fa-IR"/>
        </w:rPr>
      </w:pPr>
      <w:r>
        <w:rPr>
          <w:rtl/>
          <w:lang w:bidi="fa-IR"/>
        </w:rPr>
        <w:t>(10).</w:t>
      </w:r>
      <w:r w:rsidR="00744A1C">
        <w:rPr>
          <w:rtl/>
          <w:lang w:bidi="fa-IR"/>
        </w:rPr>
        <w:t xml:space="preserve"> السنون : جمع السَّنَة ، وهوالجدب والقحط. راجع : </w:t>
      </w:r>
      <w:r w:rsidR="00744A1C" w:rsidRPr="008A57EB">
        <w:rPr>
          <w:rStyle w:val="libFootnoteBoldChar"/>
          <w:rtl/>
        </w:rPr>
        <w:t>القاموس المحيط</w:t>
      </w:r>
      <w:r w:rsidR="00744A1C">
        <w:rPr>
          <w:rtl/>
          <w:lang w:bidi="fa-IR"/>
        </w:rPr>
        <w:t xml:space="preserve"> ، ج 2 ، ص 1700 ( سنو ).</w:t>
      </w:r>
    </w:p>
    <w:p w:rsidR="00744A1C" w:rsidRDefault="00E378DD" w:rsidP="00E378DD">
      <w:pPr>
        <w:pStyle w:val="libFootnote0"/>
        <w:rPr>
          <w:lang w:bidi="fa-IR"/>
        </w:rPr>
      </w:pPr>
      <w:r>
        <w:rPr>
          <w:rtl/>
          <w:lang w:bidi="fa-IR"/>
        </w:rPr>
        <w:t>(11).</w:t>
      </w:r>
      <w:r w:rsidR="00744A1C">
        <w:rPr>
          <w:rtl/>
          <w:lang w:bidi="fa-IR"/>
        </w:rPr>
        <w:t xml:space="preserve"> الجعفر : النهر الواسع الكبير ، أو النهر الصغير ، أو النهر عامّةً. راجع : </w:t>
      </w:r>
      <w:r w:rsidR="00744A1C" w:rsidRPr="00877682">
        <w:rPr>
          <w:rStyle w:val="libFootnoteBoldChar"/>
          <w:rtl/>
        </w:rPr>
        <w:t>لسان العرب</w:t>
      </w:r>
      <w:r w:rsidR="00744A1C">
        <w:rPr>
          <w:rtl/>
          <w:lang w:bidi="fa-IR"/>
        </w:rPr>
        <w:t xml:space="preserve"> ، ج 4 ، ص 142 ( جعفر ).</w:t>
      </w:r>
    </w:p>
    <w:p w:rsidR="00744A1C" w:rsidRDefault="00E378DD" w:rsidP="00E378DD">
      <w:pPr>
        <w:pStyle w:val="libFootnote0"/>
        <w:rPr>
          <w:lang w:bidi="fa-IR"/>
        </w:rPr>
      </w:pPr>
      <w:r>
        <w:rPr>
          <w:rtl/>
          <w:lang w:bidi="fa-IR"/>
        </w:rPr>
        <w:t>(12).</w:t>
      </w:r>
      <w:r w:rsidR="00744A1C">
        <w:rPr>
          <w:rtl/>
          <w:lang w:bidi="fa-IR"/>
        </w:rPr>
        <w:t xml:space="preserve"> الغَدَق : كثرة الماء ، والماء الكثير ، والمطر الكبار القطر. </w:t>
      </w:r>
      <w:r w:rsidR="00744A1C" w:rsidRPr="00877682">
        <w:rPr>
          <w:rStyle w:val="libFootnoteBoldChar"/>
          <w:rtl/>
        </w:rPr>
        <w:t>لسان العرب</w:t>
      </w:r>
      <w:r w:rsidR="00744A1C">
        <w:rPr>
          <w:rtl/>
          <w:lang w:bidi="fa-IR"/>
        </w:rPr>
        <w:t xml:space="preserve"> ، ج 10 ، ص 282 ( غدق ).</w:t>
      </w:r>
    </w:p>
    <w:p w:rsidR="00744A1C" w:rsidRDefault="00E378DD" w:rsidP="00E378DD">
      <w:pPr>
        <w:pStyle w:val="libFootnote0"/>
        <w:rPr>
          <w:lang w:bidi="fa-IR"/>
        </w:rPr>
      </w:pPr>
      <w:r>
        <w:rPr>
          <w:rtl/>
          <w:lang w:bidi="fa-IR"/>
        </w:rPr>
        <w:t>(13).</w:t>
      </w:r>
      <w:r w:rsidR="00744A1C">
        <w:rPr>
          <w:rtl/>
          <w:lang w:bidi="fa-IR"/>
        </w:rPr>
        <w:t xml:space="preserve"> الميرة : الطعام ، يمتاره الإنسان ، أي يأتي به ويجلبه. راجع : </w:t>
      </w:r>
      <w:r w:rsidR="00744A1C" w:rsidRPr="00E978C3">
        <w:rPr>
          <w:rStyle w:val="libFootnoteBoldChar"/>
          <w:rtl/>
        </w:rPr>
        <w:t>الصحاح</w:t>
      </w:r>
      <w:r w:rsidR="00744A1C">
        <w:rPr>
          <w:rtl/>
          <w:lang w:bidi="fa-IR"/>
        </w:rPr>
        <w:t xml:space="preserve"> ، ج 2 ، ص 821 ( مير ).</w:t>
      </w:r>
    </w:p>
    <w:p w:rsidR="00744A1C" w:rsidRDefault="00E378DD" w:rsidP="00E378DD">
      <w:pPr>
        <w:pStyle w:val="libFootnote0"/>
        <w:rPr>
          <w:lang w:bidi="fa-IR"/>
        </w:rPr>
      </w:pPr>
      <w:r>
        <w:rPr>
          <w:rtl/>
          <w:lang w:bidi="fa-IR"/>
        </w:rPr>
        <w:t>(14).</w:t>
      </w:r>
      <w:r w:rsidR="00624A17">
        <w:rPr>
          <w:rtl/>
          <w:lang w:bidi="fa-IR"/>
        </w:rPr>
        <w:t xml:space="preserve"> هكذا في «ط</w:t>
      </w:r>
      <w:r w:rsidR="00744A1C">
        <w:rPr>
          <w:rtl/>
          <w:lang w:bidi="fa-IR"/>
        </w:rPr>
        <w:t xml:space="preserve">، </w:t>
      </w:r>
      <w:r w:rsidR="00624A17">
        <w:rPr>
          <w:rtl/>
          <w:lang w:bidi="fa-IR"/>
        </w:rPr>
        <w:t>ى ، بح،بخ،بس،بف،جد،جن</w:t>
      </w:r>
      <w:r w:rsidR="00744A1C">
        <w:rPr>
          <w:rtl/>
          <w:lang w:bidi="fa-IR"/>
        </w:rPr>
        <w:t xml:space="preserve">» </w:t>
      </w:r>
      <w:r w:rsidR="00744A1C" w:rsidRPr="00624A17">
        <w:rPr>
          <w:rtl/>
        </w:rPr>
        <w:t>والوافي والوسائل والبحار والتهذيب</w:t>
      </w:r>
      <w:r w:rsidR="00624A17">
        <w:rPr>
          <w:rtl/>
          <w:lang w:bidi="fa-IR"/>
        </w:rPr>
        <w:t>.وفي المطبوع:«قال : فما</w:t>
      </w:r>
      <w:r w:rsidR="00744A1C">
        <w:rPr>
          <w:rtl/>
          <w:lang w:bidi="fa-IR"/>
        </w:rPr>
        <w:t>».</w:t>
      </w:r>
    </w:p>
    <w:p w:rsidR="00744A1C" w:rsidRDefault="00E378DD" w:rsidP="00E378DD">
      <w:pPr>
        <w:pStyle w:val="libFootnote0"/>
        <w:rPr>
          <w:lang w:bidi="fa-IR"/>
        </w:rPr>
      </w:pPr>
      <w:r>
        <w:rPr>
          <w:rtl/>
          <w:lang w:bidi="fa-IR"/>
        </w:rPr>
        <w:t>(15).</w:t>
      </w:r>
      <w:r w:rsidR="00744A1C">
        <w:rPr>
          <w:rtl/>
          <w:lang w:bidi="fa-IR"/>
        </w:rPr>
        <w:t xml:space="preserve"> في « ى ، بس ، جد ، جن » و</w:t>
      </w:r>
      <w:r w:rsidR="00744A1C" w:rsidRPr="00C24F9C">
        <w:rPr>
          <w:rStyle w:val="libFootnoteBoldChar"/>
          <w:rtl/>
        </w:rPr>
        <w:t>الوسائل</w:t>
      </w:r>
      <w:r w:rsidR="00744A1C">
        <w:rPr>
          <w:rtl/>
          <w:lang w:bidi="fa-IR"/>
        </w:rPr>
        <w:t xml:space="preserve"> : « فما عاب رسول الله </w:t>
      </w:r>
      <w:r w:rsidR="007D61A8" w:rsidRPr="007D61A8">
        <w:rPr>
          <w:rStyle w:val="libFootnoteAlaemChar"/>
          <w:rtl/>
        </w:rPr>
        <w:t>صلى‌الله‌عليه‌وآله</w:t>
      </w:r>
      <w:r w:rsidR="00D10E3C">
        <w:rPr>
          <w:rtl/>
          <w:lang w:bidi="fa-IR"/>
        </w:rPr>
        <w:t xml:space="preserve"> </w:t>
      </w:r>
      <w:r w:rsidR="00744A1C">
        <w:rPr>
          <w:rtl/>
          <w:lang w:bidi="fa-IR"/>
        </w:rPr>
        <w:t>ذلك ». وفي « بخ ، بف ، جت » و</w:t>
      </w:r>
      <w:r w:rsidR="00744A1C" w:rsidRPr="00C24F9C">
        <w:rPr>
          <w:rStyle w:val="libFootnoteBoldChar"/>
          <w:rtl/>
        </w:rPr>
        <w:t>الوافي</w:t>
      </w:r>
      <w:r w:rsidR="00744A1C">
        <w:rPr>
          <w:rtl/>
          <w:lang w:bidi="fa-IR"/>
        </w:rPr>
        <w:t xml:space="preserve"> : « فما عاب عليها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ذلك ». وفي « ط » : « فما عاب النبيّ </w:t>
      </w:r>
      <w:r w:rsidR="004D054E" w:rsidRPr="00624A17">
        <w:rPr>
          <w:rStyle w:val="libFootnoteAlaemChar"/>
          <w:rtl/>
        </w:rPr>
        <w:t>صلى‌الله‌عليه‌وآله</w:t>
      </w:r>
      <w:r w:rsidR="00D10E3C">
        <w:rPr>
          <w:rtl/>
          <w:lang w:bidi="fa-IR"/>
        </w:rPr>
        <w:t xml:space="preserve"> </w:t>
      </w:r>
      <w:r w:rsidR="00624A17">
        <w:rPr>
          <w:rtl/>
          <w:lang w:bidi="fa-IR"/>
        </w:rPr>
        <w:t>عليها ذلك ». وفي «بح»:«</w:t>
      </w:r>
      <w:r w:rsidR="00744A1C">
        <w:rPr>
          <w:rtl/>
          <w:lang w:bidi="fa-IR"/>
        </w:rPr>
        <w:t xml:space="preserve">فما عاب عليها النبيّ </w:t>
      </w:r>
      <w:r w:rsidR="007D61A8" w:rsidRPr="007D61A8">
        <w:rPr>
          <w:rStyle w:val="libFootnoteAlaemChar"/>
          <w:rtl/>
        </w:rPr>
        <w:t>صلى‌الله‌عليه‌وآله</w:t>
      </w:r>
      <w:r w:rsidR="00D10E3C">
        <w:rPr>
          <w:rtl/>
          <w:lang w:bidi="fa-IR"/>
        </w:rPr>
        <w:t xml:space="preserve"> </w:t>
      </w:r>
      <w:r w:rsidR="00744A1C">
        <w:rPr>
          <w:rtl/>
          <w:lang w:bidi="fa-IR"/>
        </w:rPr>
        <w:t xml:space="preserve">في ذلك ». وفي حاشية « بح » </w:t>
      </w:r>
      <w:r w:rsidR="00744A1C" w:rsidRPr="00624A17">
        <w:rPr>
          <w:rtl/>
        </w:rPr>
        <w:t>والبحار والتهذيب «</w:t>
      </w:r>
      <w:r w:rsidR="00744A1C">
        <w:rPr>
          <w:rtl/>
          <w:lang w:bidi="fa-IR"/>
        </w:rPr>
        <w:t xml:space="preserve"> فما عاب رسول الله </w:t>
      </w:r>
      <w:r w:rsidR="005E465D" w:rsidRPr="005E465D">
        <w:rPr>
          <w:rStyle w:val="libFootnoteAlaemChar"/>
          <w:rtl/>
        </w:rPr>
        <w:t>صلى‌الله‌عليه‌وآله</w:t>
      </w:r>
      <w:r w:rsidR="00D10E3C">
        <w:rPr>
          <w:rtl/>
          <w:lang w:bidi="fa-IR"/>
        </w:rPr>
        <w:t xml:space="preserve"> </w:t>
      </w:r>
      <w:r w:rsidR="00624A17">
        <w:rPr>
          <w:rtl/>
          <w:lang w:bidi="fa-IR"/>
        </w:rPr>
        <w:t>في ذلك</w:t>
      </w:r>
      <w:r w:rsidR="00744A1C">
        <w:rPr>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شَيْئاً </w:t>
      </w:r>
      <w:r w:rsidRPr="00D10E3C">
        <w:rPr>
          <w:rStyle w:val="libFootnotenumChar"/>
          <w:rtl/>
        </w:rPr>
        <w:t>(1)</w:t>
      </w:r>
      <w:r>
        <w:rPr>
          <w:rtl/>
          <w:lang w:bidi="fa-IR"/>
        </w:rPr>
        <w:t xml:space="preserve"> ». </w:t>
      </w:r>
      <w:r w:rsidRPr="00D10E3C">
        <w:rPr>
          <w:rStyle w:val="libFootnotenumChar"/>
          <w:rtl/>
        </w:rPr>
        <w:t>(2)</w:t>
      </w:r>
    </w:p>
    <w:p w:rsidR="00624A17" w:rsidRDefault="00744A1C" w:rsidP="00624A17">
      <w:pPr>
        <w:pStyle w:val="libNormal"/>
        <w:rPr>
          <w:rtl/>
          <w:lang w:bidi="fa-IR"/>
        </w:rPr>
      </w:pPr>
      <w:r>
        <w:rPr>
          <w:rtl/>
          <w:lang w:bidi="fa-IR"/>
        </w:rPr>
        <w:t>8548 / 3. عَلِيُّ بْنُ إِبْرَاهِيمَ ، عَنْ أَبِيهِ ؛</w:t>
      </w:r>
    </w:p>
    <w:p w:rsidR="00144FA6" w:rsidRDefault="00624A17" w:rsidP="00624A17">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مُحَمَّدُ بْنُ يَحْيى ، عَنْ أَحْمَدَ بْنِ مُحَمَّدٍ ، عَنْ مُحَمَّدِ بْنِ إِسْمَاعِيلَ </w:t>
      </w:r>
      <w:r w:rsidR="00744A1C" w:rsidRPr="00D10E3C">
        <w:rPr>
          <w:rStyle w:val="libFootnotenumChar"/>
          <w:rtl/>
        </w:rPr>
        <w:t>(3)</w:t>
      </w:r>
      <w:r w:rsidR="00744A1C">
        <w:rPr>
          <w:rtl/>
          <w:lang w:bidi="fa-IR"/>
        </w:rPr>
        <w:t xml:space="preserve"> جَمِيعاً ، عَنْ حَنَانِ بْنِ سَدِيرٍ ، قَالَ :</w:t>
      </w:r>
    </w:p>
    <w:p w:rsidR="00744A1C" w:rsidRDefault="00744A1C" w:rsidP="00744A1C">
      <w:pPr>
        <w:pStyle w:val="libNormal"/>
        <w:rPr>
          <w:lang w:bidi="fa-IR"/>
        </w:rPr>
      </w:pPr>
      <w:r>
        <w:rPr>
          <w:rtl/>
          <w:lang w:bidi="fa-IR"/>
        </w:rPr>
        <w:t xml:space="preserve">كَانَتِ امْرَأَةٌ مَعَنَا فِي الْحَيِّ ، وَلَهَا جَارِيَةٌ نَائِحَةٌ ، فَجَاءَتْ إِلى أَبِي ، فَقَالَتْ : يَا عَمِّ ، أَنْتَ تَعْلَمُ أَنَّ مَعِيشَتِي مِنَ اللهِ عَزَّ وَجَلَّ ، ثُمَّ مِنْ هذِهِ الْجَارِيَةِ النَّائِحَةِ </w:t>
      </w:r>
      <w:r w:rsidRPr="00D10E3C">
        <w:rPr>
          <w:rStyle w:val="libFootnotenumChar"/>
          <w:rtl/>
        </w:rPr>
        <w:t>(4)</w:t>
      </w:r>
      <w:r>
        <w:rPr>
          <w:rtl/>
          <w:lang w:bidi="fa-IR"/>
        </w:rPr>
        <w:t xml:space="preserve"> ، وَقَدْ أَحْبَبْتُ </w:t>
      </w:r>
      <w:r w:rsidRPr="00D10E3C">
        <w:rPr>
          <w:rStyle w:val="libFootnotenumChar"/>
          <w:rtl/>
        </w:rPr>
        <w:t>(5)</w:t>
      </w:r>
      <w:r>
        <w:rPr>
          <w:rtl/>
          <w:lang w:bidi="fa-IR"/>
        </w:rPr>
        <w:t xml:space="preserve"> أَنْ تَسْأَلَ أَبَا عَبْدِ اللهِ </w:t>
      </w:r>
      <w:r w:rsidR="0061079A" w:rsidRPr="0061079A">
        <w:rPr>
          <w:rStyle w:val="libAlaemChar"/>
          <w:rtl/>
        </w:rPr>
        <w:t>عليه‌السلام</w:t>
      </w:r>
      <w:r w:rsidR="00D10E3C">
        <w:rPr>
          <w:rtl/>
          <w:lang w:bidi="fa-IR"/>
        </w:rPr>
        <w:t xml:space="preserve"> </w:t>
      </w:r>
      <w:r>
        <w:rPr>
          <w:rtl/>
          <w:lang w:bidi="fa-IR"/>
        </w:rPr>
        <w:t xml:space="preserve">عَنْ ذلِكَ ، </w:t>
      </w:r>
      <w:r w:rsidR="00624A17">
        <w:rPr>
          <w:rtl/>
          <w:lang w:bidi="fa-IR"/>
        </w:rPr>
        <w:t>فَإِنْ كَانَ حَلَالاً ، وَإِل</w:t>
      </w:r>
      <w:r w:rsidR="00624A17">
        <w:rPr>
          <w:rFonts w:hint="cs"/>
          <w:rtl/>
          <w:lang w:bidi="fa-IR"/>
        </w:rPr>
        <w:t>َّ</w:t>
      </w:r>
      <w:r w:rsidR="00624A17">
        <w:rPr>
          <w:rtl/>
          <w:lang w:bidi="fa-IR"/>
        </w:rPr>
        <w:t>ا</w:t>
      </w:r>
      <w:r>
        <w:rPr>
          <w:rtl/>
          <w:lang w:bidi="fa-IR"/>
        </w:rPr>
        <w:t xml:space="preserve"> بِعْتُهَا ، وَأَكَلْتُ مِنْ ثَمَنِهَا حَتّى‌ يَأْتِيَ اللهُ بِالْفَرَجِ.</w:t>
      </w:r>
    </w:p>
    <w:p w:rsidR="00744A1C" w:rsidRDefault="00744A1C" w:rsidP="00744A1C">
      <w:pPr>
        <w:pStyle w:val="libNormal"/>
        <w:rPr>
          <w:lang w:bidi="fa-IR"/>
        </w:rPr>
      </w:pPr>
      <w:r>
        <w:rPr>
          <w:rtl/>
          <w:lang w:bidi="fa-IR"/>
        </w:rPr>
        <w:t xml:space="preserve">فَقَالَ لَهَا أَبِي : وَاللهِ إِنِّي لَأُعْظِمُ أَبَا عَبْدِ اللهِ </w:t>
      </w:r>
      <w:r w:rsidR="0061079A" w:rsidRPr="0061079A">
        <w:rPr>
          <w:rStyle w:val="libAlaemChar"/>
          <w:rtl/>
        </w:rPr>
        <w:t>عليه‌السلام</w:t>
      </w:r>
      <w:r w:rsidR="00D10E3C">
        <w:rPr>
          <w:rtl/>
          <w:lang w:bidi="fa-IR"/>
        </w:rPr>
        <w:t xml:space="preserve"> </w:t>
      </w:r>
      <w:r>
        <w:rPr>
          <w:rtl/>
          <w:lang w:bidi="fa-IR"/>
        </w:rPr>
        <w:t>أَنْ أَسْأَلَهُ عَنْ هذِهِ الْمَسْأَلَةِ.</w:t>
      </w:r>
    </w:p>
    <w:p w:rsidR="00744A1C" w:rsidRDefault="00744A1C" w:rsidP="00744A1C">
      <w:pPr>
        <w:pStyle w:val="libNormal"/>
        <w:rPr>
          <w:lang w:bidi="fa-IR"/>
        </w:rPr>
      </w:pPr>
      <w:r>
        <w:rPr>
          <w:rtl/>
          <w:lang w:bidi="fa-IR"/>
        </w:rPr>
        <w:t xml:space="preserve">قَالَ : فَلَمَّا قَدِمْنَا عَلَيْهِ ، أَخْبَرْتُهُ أَنَا بِذلِكَ ، فَقَالَ أَبُو عَبْدِ اللهِ </w:t>
      </w:r>
      <w:r w:rsidR="0061079A" w:rsidRPr="0061079A">
        <w:rPr>
          <w:rStyle w:val="libAlaemChar"/>
          <w:rtl/>
        </w:rPr>
        <w:t>عليه‌السلام</w:t>
      </w:r>
      <w:r w:rsidR="00D10E3C">
        <w:rPr>
          <w:rtl/>
          <w:lang w:bidi="fa-IR"/>
        </w:rPr>
        <w:t xml:space="preserve"> </w:t>
      </w:r>
      <w:r>
        <w:rPr>
          <w:rtl/>
          <w:lang w:bidi="fa-IR"/>
        </w:rPr>
        <w:t>: « أَتُشَارِطُ؟ ».</w:t>
      </w:r>
    </w:p>
    <w:p w:rsidR="00744A1C" w:rsidRDefault="00744A1C" w:rsidP="00744A1C">
      <w:pPr>
        <w:pStyle w:val="libNormal"/>
        <w:rPr>
          <w:lang w:bidi="fa-IR"/>
        </w:rPr>
      </w:pPr>
      <w:r>
        <w:rPr>
          <w:rtl/>
          <w:lang w:bidi="fa-IR"/>
        </w:rPr>
        <w:t xml:space="preserve">قُلْتُ : وَاللهِ مَا أَدْرِي تُشَارِطُ </w:t>
      </w:r>
      <w:r w:rsidRPr="00D10E3C">
        <w:rPr>
          <w:rStyle w:val="libFootnotenumChar"/>
          <w:rtl/>
        </w:rPr>
        <w:t>(6)</w:t>
      </w:r>
      <w:r>
        <w:rPr>
          <w:rtl/>
          <w:lang w:bidi="fa-IR"/>
        </w:rPr>
        <w:t xml:space="preserve"> ، أَمْ لَا.</w:t>
      </w:r>
    </w:p>
    <w:p w:rsidR="00144FA6" w:rsidRDefault="00744A1C" w:rsidP="00744A1C">
      <w:pPr>
        <w:pStyle w:val="libNormal"/>
        <w:rPr>
          <w:rtl/>
          <w:lang w:bidi="fa-IR"/>
        </w:rPr>
      </w:pPr>
      <w:r>
        <w:rPr>
          <w:rtl/>
          <w:lang w:bidi="fa-IR"/>
        </w:rPr>
        <w:t xml:space="preserve">فَقَالَ </w:t>
      </w:r>
      <w:r w:rsidRPr="00D10E3C">
        <w:rPr>
          <w:rStyle w:val="libFootnotenumChar"/>
          <w:rtl/>
        </w:rPr>
        <w:t>(7)</w:t>
      </w:r>
      <w:r>
        <w:rPr>
          <w:rtl/>
          <w:lang w:bidi="fa-IR"/>
        </w:rPr>
        <w:t xml:space="preserve"> : « قُلْ لَهَا : لَاتُشَارِطُ ، وَتَقْبَلُ مَا أُعْطِيَتْ </w:t>
      </w:r>
      <w:r w:rsidRPr="00D10E3C">
        <w:rPr>
          <w:rStyle w:val="libFootnotenumChar"/>
          <w:rtl/>
        </w:rPr>
        <w:t>(8)</w:t>
      </w:r>
      <w:r>
        <w:rPr>
          <w:rtl/>
          <w:lang w:bidi="fa-IR"/>
        </w:rPr>
        <w:t xml:space="preserve"> ».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يدلّ على جواز النوحة ، وقيّد في المشهور بما إذا كانت بحقّ ، أي لا تصف الميّت بما ليس فيه ، وبأن لا تسمع صوتها الأجانب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358 ، ح 1027 ، معلّقاً عن أحمد بن محمّد </w:t>
      </w:r>
      <w:r w:rsidR="009D6CC9">
        <w:rPr>
          <w:rFonts w:hint="cs"/>
          <w:rtl/>
          <w:lang w:bidi="fa-IR"/>
        </w:rPr>
        <w:t>.</w:t>
      </w:r>
      <w:r w:rsidR="00744A1C" w:rsidRPr="00C24F9C">
        <w:rPr>
          <w:rStyle w:val="libFootnoteBoldChar"/>
          <w:rtl/>
        </w:rPr>
        <w:t>الوافي</w:t>
      </w:r>
      <w:r w:rsidR="00744A1C">
        <w:rPr>
          <w:rtl/>
          <w:lang w:bidi="fa-IR"/>
        </w:rPr>
        <w:t xml:space="preserve"> ، ج 17 ، ص 198 ، ح 17106 ؛ </w:t>
      </w:r>
      <w:r w:rsidR="00744A1C" w:rsidRPr="00C24F9C">
        <w:rPr>
          <w:rStyle w:val="libFootnoteBoldChar"/>
          <w:rtl/>
        </w:rPr>
        <w:t>الوسائل</w:t>
      </w:r>
      <w:r w:rsidR="00744A1C">
        <w:rPr>
          <w:rtl/>
          <w:lang w:bidi="fa-IR"/>
        </w:rPr>
        <w:t xml:space="preserve"> ، ج 17 ، ص 125 ، ح 22157 ؛ </w:t>
      </w:r>
      <w:r w:rsidR="00744A1C" w:rsidRPr="0061079A">
        <w:rPr>
          <w:rStyle w:val="libFootnoteBoldChar"/>
          <w:rtl/>
        </w:rPr>
        <w:t>البحار</w:t>
      </w:r>
      <w:r w:rsidR="00744A1C">
        <w:rPr>
          <w:rtl/>
          <w:lang w:bidi="fa-IR"/>
        </w:rPr>
        <w:t xml:space="preserve"> ، ج 22 ، ص 225 ، ح 7.</w:t>
      </w:r>
    </w:p>
    <w:p w:rsidR="00744A1C" w:rsidRDefault="00E378DD" w:rsidP="00E378DD">
      <w:pPr>
        <w:pStyle w:val="libFootnote0"/>
        <w:rPr>
          <w:lang w:bidi="fa-IR"/>
        </w:rPr>
      </w:pPr>
      <w:r>
        <w:rPr>
          <w:rtl/>
          <w:lang w:bidi="fa-IR"/>
        </w:rPr>
        <w:t>(3).</w:t>
      </w:r>
      <w:r w:rsidR="00744A1C">
        <w:rPr>
          <w:rtl/>
          <w:lang w:bidi="fa-IR"/>
        </w:rPr>
        <w:t xml:space="preserve"> هكذا في « ط ، ى ، بح ، بخ ، بس ، بف ، جت ، جد ، جن » و</w:t>
      </w:r>
      <w:r w:rsidR="00744A1C" w:rsidRPr="00C24F9C">
        <w:rPr>
          <w:rStyle w:val="libFootnoteBoldChar"/>
          <w:rtl/>
        </w:rPr>
        <w:t>الوسائل</w:t>
      </w:r>
      <w:r w:rsidR="00744A1C">
        <w:rPr>
          <w:rtl/>
          <w:lang w:bidi="fa-IR"/>
        </w:rPr>
        <w:t>. وفي المطبوع : « أحمد بن محمّد بن‌إسماعيل ». وهو سهوٌ أوجبه جواز النظر من « محمّد » في « أحمد بن محمّد » إلى « محمّد » في « محمّد بن إسماعيل » فوقع السقط.</w:t>
      </w:r>
    </w:p>
    <w:p w:rsidR="00744A1C" w:rsidRDefault="00744A1C" w:rsidP="00E90FD1">
      <w:pPr>
        <w:pStyle w:val="libFootnote0"/>
        <w:rPr>
          <w:lang w:bidi="fa-IR"/>
        </w:rPr>
      </w:pPr>
      <w:r>
        <w:rPr>
          <w:rtl/>
          <w:lang w:bidi="fa-IR"/>
        </w:rPr>
        <w:t>والمراد من محمّد بن إسماعيل هذا ، هو ابن بزيع ؛ فقد روى محمّد بن يحيى عن أحمد بن محمّد [ بن عيسى ] عن محمّد بن إسماعيل بن بزيع عن حنان [ بن سدير ] في عددٍ من الأسناد. ا</w:t>
      </w:r>
      <w:r w:rsidR="009D6CC9">
        <w:rPr>
          <w:rFonts w:hint="cs"/>
          <w:rtl/>
          <w:lang w:bidi="fa-IR"/>
        </w:rPr>
        <w:t>ُ</w:t>
      </w:r>
      <w:r>
        <w:rPr>
          <w:rtl/>
          <w:lang w:bidi="fa-IR"/>
        </w:rPr>
        <w:t xml:space="preserve">نظر على سبيل المثال : </w:t>
      </w:r>
      <w:r w:rsidRPr="0061079A">
        <w:rPr>
          <w:rStyle w:val="libFootnoteBoldChar"/>
          <w:rtl/>
        </w:rPr>
        <w:t>الكافي</w:t>
      </w:r>
      <w:r>
        <w:rPr>
          <w:rtl/>
          <w:lang w:bidi="fa-IR"/>
        </w:rPr>
        <w:t xml:space="preserve"> ، ح 1633 و 1984 و 2025 و 4379 و 9047.</w:t>
      </w:r>
      <w:r w:rsidR="00955510">
        <w:rPr>
          <w:rFonts w:hint="cs"/>
          <w:rtl/>
          <w:lang w:bidi="fa-IR"/>
        </w:rPr>
        <w:t xml:space="preserve">             </w:t>
      </w:r>
      <w:r w:rsidR="00E90FD1">
        <w:rPr>
          <w:rFonts w:hint="cs"/>
          <w:rtl/>
          <w:lang w:bidi="fa-IR"/>
        </w:rPr>
        <w:t xml:space="preserve">      </w:t>
      </w:r>
      <w:r w:rsidR="00E378DD">
        <w:rPr>
          <w:rtl/>
          <w:lang w:bidi="fa-IR"/>
        </w:rPr>
        <w:t>(4).</w:t>
      </w:r>
      <w:r>
        <w:rPr>
          <w:rtl/>
          <w:lang w:bidi="fa-IR"/>
        </w:rPr>
        <w:t xml:space="preserve"> في </w:t>
      </w:r>
      <w:r w:rsidRPr="00C24F9C">
        <w:rPr>
          <w:rStyle w:val="libFootnoteBoldChar"/>
          <w:rtl/>
        </w:rPr>
        <w:t>الوسائل</w:t>
      </w:r>
      <w:r>
        <w:rPr>
          <w:rtl/>
          <w:lang w:bidi="fa-IR"/>
        </w:rPr>
        <w:t xml:space="preserve"> : - « النائحة ».</w:t>
      </w:r>
    </w:p>
    <w:tbl>
      <w:tblPr>
        <w:tblStyle w:val="TableGrid"/>
        <w:bidiVisual/>
        <w:tblW w:w="0" w:type="auto"/>
        <w:tblLook w:val="04A0" w:firstRow="1" w:lastRow="0" w:firstColumn="1" w:lastColumn="0" w:noHBand="0" w:noVBand="1"/>
      </w:tblPr>
      <w:tblGrid>
        <w:gridCol w:w="4006"/>
        <w:gridCol w:w="4006"/>
      </w:tblGrid>
      <w:tr w:rsidR="00B96149" w:rsidTr="00B96149">
        <w:tc>
          <w:tcPr>
            <w:tcW w:w="4006" w:type="dxa"/>
          </w:tcPr>
          <w:p w:rsidR="00B96149" w:rsidRDefault="00B96149" w:rsidP="00E378DD">
            <w:pPr>
              <w:pStyle w:val="libFootnote0"/>
              <w:rPr>
                <w:rtl/>
                <w:lang w:bidi="fa-IR"/>
              </w:rPr>
            </w:pPr>
            <w:r>
              <w:rPr>
                <w:rtl/>
                <w:lang w:bidi="fa-IR"/>
              </w:rPr>
              <w:t xml:space="preserve">(5). في </w:t>
            </w:r>
            <w:r w:rsidRPr="00B96149">
              <w:rPr>
                <w:rtl/>
              </w:rPr>
              <w:t>الوسائل</w:t>
            </w:r>
            <w:r>
              <w:rPr>
                <w:rtl/>
                <w:lang w:bidi="fa-IR"/>
              </w:rPr>
              <w:t xml:space="preserve"> : « فا</w:t>
            </w:r>
            <w:r>
              <w:rPr>
                <w:rFonts w:hint="cs"/>
                <w:rtl/>
                <w:lang w:bidi="fa-IR"/>
              </w:rPr>
              <w:t>ُ</w:t>
            </w:r>
            <w:r>
              <w:rPr>
                <w:rtl/>
                <w:lang w:bidi="fa-IR"/>
              </w:rPr>
              <w:t>حبّ » بدل « وقد أحببت ».</w:t>
            </w:r>
          </w:p>
        </w:tc>
        <w:tc>
          <w:tcPr>
            <w:tcW w:w="4006" w:type="dxa"/>
          </w:tcPr>
          <w:p w:rsidR="00B96149" w:rsidRDefault="00877445" w:rsidP="00E378DD">
            <w:pPr>
              <w:pStyle w:val="libFootnote0"/>
              <w:rPr>
                <w:rtl/>
                <w:lang w:bidi="fa-IR"/>
              </w:rPr>
            </w:pPr>
            <w:r>
              <w:rPr>
                <w:rtl/>
                <w:lang w:bidi="fa-IR"/>
              </w:rPr>
              <w:t>(6). في «بخ،بف»</w:t>
            </w:r>
            <w:r w:rsidRPr="00877445">
              <w:rPr>
                <w:rtl/>
              </w:rPr>
              <w:t>والتهذيب والاستبصار</w:t>
            </w:r>
            <w:r>
              <w:rPr>
                <w:rtl/>
                <w:lang w:bidi="fa-IR"/>
              </w:rPr>
              <w:t>:« أتشارط ».</w:t>
            </w:r>
          </w:p>
        </w:tc>
      </w:tr>
      <w:tr w:rsidR="00471F93" w:rsidTr="00471F93">
        <w:tc>
          <w:tcPr>
            <w:tcW w:w="4006" w:type="dxa"/>
          </w:tcPr>
          <w:p w:rsidR="00471F93" w:rsidRDefault="00471F93" w:rsidP="00E378DD">
            <w:pPr>
              <w:pStyle w:val="libFootnote0"/>
              <w:rPr>
                <w:rtl/>
                <w:lang w:bidi="fa-IR"/>
              </w:rPr>
            </w:pPr>
            <w:r>
              <w:rPr>
                <w:rtl/>
                <w:lang w:bidi="fa-IR"/>
              </w:rPr>
              <w:t>(7). في «بخ،بف»و</w:t>
            </w:r>
            <w:r w:rsidRPr="00C24F9C">
              <w:rPr>
                <w:rStyle w:val="libFootnoteBoldChar"/>
                <w:rtl/>
              </w:rPr>
              <w:t>الوافي</w:t>
            </w:r>
            <w:r>
              <w:rPr>
                <w:rtl/>
                <w:lang w:bidi="fa-IR"/>
              </w:rPr>
              <w:t xml:space="preserve"> :+ «أبو عبد الله </w:t>
            </w:r>
            <w:r w:rsidRPr="0061079A">
              <w:rPr>
                <w:rStyle w:val="libFootnoteAlaemChar"/>
                <w:rtl/>
              </w:rPr>
              <w:t>عليه‌السلام</w:t>
            </w:r>
            <w:r>
              <w:rPr>
                <w:rtl/>
                <w:lang w:bidi="fa-IR"/>
              </w:rPr>
              <w:t xml:space="preserve"> ».</w:t>
            </w:r>
          </w:p>
        </w:tc>
        <w:tc>
          <w:tcPr>
            <w:tcW w:w="4006" w:type="dxa"/>
          </w:tcPr>
          <w:p w:rsidR="00471F93" w:rsidRDefault="00471F93" w:rsidP="00E378DD">
            <w:pPr>
              <w:pStyle w:val="libFootnote0"/>
              <w:rPr>
                <w:rtl/>
                <w:lang w:bidi="fa-IR"/>
              </w:rPr>
            </w:pPr>
            <w:r>
              <w:rPr>
                <w:rtl/>
                <w:lang w:bidi="fa-IR"/>
              </w:rPr>
              <w:t xml:space="preserve">(8). في </w:t>
            </w:r>
            <w:r w:rsidRPr="00C24F9C">
              <w:rPr>
                <w:rStyle w:val="libFootnoteBoldChar"/>
                <w:rtl/>
              </w:rPr>
              <w:t>المرآة</w:t>
            </w:r>
            <w:r>
              <w:rPr>
                <w:rtl/>
                <w:lang w:bidi="fa-IR"/>
              </w:rPr>
              <w:t xml:space="preserve"> : « يدلّ على كراهة الاشتراط ».</w:t>
            </w:r>
          </w:p>
        </w:tc>
      </w:tr>
    </w:tbl>
    <w:p w:rsidR="00144FA6" w:rsidRDefault="00E378DD" w:rsidP="00E378DD">
      <w:pPr>
        <w:pStyle w:val="libFootnote0"/>
        <w:rPr>
          <w:rtl/>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358 ، ح 1026 ؛ </w:t>
      </w:r>
      <w:r w:rsidR="00744A1C" w:rsidRPr="00C24F9C">
        <w:rPr>
          <w:rStyle w:val="libFootnoteBoldChar"/>
          <w:rtl/>
        </w:rPr>
        <w:t>والاستبصار</w:t>
      </w:r>
      <w:r w:rsidR="00744A1C">
        <w:rPr>
          <w:rtl/>
          <w:lang w:bidi="fa-IR"/>
        </w:rPr>
        <w:t xml:space="preserve"> ، ج 3 ، ص 60 ، ح 200 ، معلّقاً عن أحمد بن محمّد ،</w:t>
      </w:r>
      <w:r w:rsidR="008354E0">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8549 / 4. عَلِيُّ بْنُ إِبْرَاهِيمَ ، عَنْ أَبِيهِ ، عَنِ ابْنِ أَبِي عُمَيْرٍ ، عَنِ الْحَسَنِ بْنِ عَطِيَّةَ ، عَنْ عُذَافِرٍ ، قَالَ :</w:t>
      </w:r>
    </w:p>
    <w:p w:rsidR="00144FA6" w:rsidRDefault="00744A1C" w:rsidP="00744A1C">
      <w:pPr>
        <w:pStyle w:val="libNormal"/>
        <w:rPr>
          <w:rtl/>
          <w:lang w:bidi="fa-IR"/>
        </w:rPr>
      </w:pPr>
      <w:r>
        <w:rPr>
          <w:rtl/>
          <w:lang w:bidi="fa-IR"/>
        </w:rPr>
        <w:t xml:space="preserve">سَمِعْتُ </w:t>
      </w:r>
      <w:r w:rsidRPr="00D10E3C">
        <w:rPr>
          <w:rStyle w:val="libFootnotenumChar"/>
          <w:rtl/>
        </w:rPr>
        <w:t>(1)</w:t>
      </w:r>
      <w:r>
        <w:rPr>
          <w:rtl/>
          <w:lang w:bidi="fa-IR"/>
        </w:rPr>
        <w:t xml:space="preserve"> أَبَا عَبْدِ اللهِ </w:t>
      </w:r>
      <w:r w:rsidR="0061079A" w:rsidRPr="0061079A">
        <w:rPr>
          <w:rStyle w:val="libAlaemChar"/>
          <w:rtl/>
        </w:rPr>
        <w:t>عليه‌السلام</w:t>
      </w:r>
      <w:r w:rsidR="00D10E3C">
        <w:rPr>
          <w:rtl/>
          <w:lang w:bidi="fa-IR"/>
        </w:rPr>
        <w:t xml:space="preserve"> </w:t>
      </w:r>
      <w:r w:rsidRPr="00D10E3C">
        <w:rPr>
          <w:rStyle w:val="libFootnotenumChar"/>
          <w:rtl/>
        </w:rPr>
        <w:t>(2)</w:t>
      </w:r>
      <w:r>
        <w:rPr>
          <w:rtl/>
          <w:lang w:bidi="fa-IR"/>
        </w:rPr>
        <w:t xml:space="preserve"> - وَقَدْ </w:t>
      </w:r>
      <w:r w:rsidRPr="00D10E3C">
        <w:rPr>
          <w:rStyle w:val="libFootnotenumChar"/>
          <w:rtl/>
        </w:rPr>
        <w:t>(3)</w:t>
      </w:r>
      <w:r>
        <w:rPr>
          <w:rtl/>
          <w:lang w:bidi="fa-IR"/>
        </w:rPr>
        <w:t xml:space="preserve"> سُئِلَ </w:t>
      </w:r>
      <w:r w:rsidRPr="00D10E3C">
        <w:rPr>
          <w:rStyle w:val="libFootnotenumChar"/>
          <w:rtl/>
        </w:rPr>
        <w:t>(4)</w:t>
      </w:r>
      <w:r>
        <w:rPr>
          <w:rtl/>
          <w:lang w:bidi="fa-IR"/>
        </w:rPr>
        <w:t xml:space="preserve"> عَنْ كَسْبِ النَّائِحَةِ - قَالَ </w:t>
      </w:r>
      <w:r w:rsidRPr="00D10E3C">
        <w:rPr>
          <w:rStyle w:val="libFootnotenumChar"/>
          <w:rtl/>
        </w:rPr>
        <w:t>(5)</w:t>
      </w:r>
      <w:r>
        <w:rPr>
          <w:rtl/>
          <w:lang w:bidi="fa-IR"/>
        </w:rPr>
        <w:t xml:space="preserve"> : « تَسْتَحِلُّهُ بِضَرْبِ </w:t>
      </w:r>
      <w:r w:rsidRPr="00D10E3C">
        <w:rPr>
          <w:rStyle w:val="libFootnotenumChar"/>
          <w:rtl/>
        </w:rPr>
        <w:t>(6)</w:t>
      </w:r>
      <w:r>
        <w:rPr>
          <w:rtl/>
          <w:lang w:bidi="fa-IR"/>
        </w:rPr>
        <w:t xml:space="preserve"> إِحْدى يَدَيْهَا عَلَى الْأُخْرى </w:t>
      </w:r>
      <w:r w:rsidRPr="00D10E3C">
        <w:rPr>
          <w:rStyle w:val="libFootnotenumChar"/>
          <w:rtl/>
        </w:rPr>
        <w:t>(7)</w:t>
      </w:r>
      <w:r>
        <w:rPr>
          <w:rtl/>
          <w:lang w:bidi="fa-IR"/>
        </w:rPr>
        <w:t xml:space="preserve"> ». </w:t>
      </w:r>
      <w:r w:rsidRPr="00D10E3C">
        <w:rPr>
          <w:rStyle w:val="libFootnotenumChar"/>
          <w:rtl/>
        </w:rPr>
        <w:t>(8)</w:t>
      </w:r>
    </w:p>
    <w:p w:rsidR="00744A1C" w:rsidRDefault="00744A1C" w:rsidP="008354E0">
      <w:pPr>
        <w:pStyle w:val="Heading2Center"/>
        <w:rPr>
          <w:lang w:bidi="fa-IR"/>
        </w:rPr>
      </w:pPr>
      <w:bookmarkStart w:id="159" w:name="_Toc49261457"/>
      <w:r>
        <w:rPr>
          <w:rtl/>
          <w:lang w:bidi="fa-IR"/>
        </w:rPr>
        <w:t>36 - بَابُ كَسْبِ الْمَاشِطَةِ وَالْخَافِضَةِ‌</w:t>
      </w:r>
      <w:bookmarkEnd w:id="159"/>
    </w:p>
    <w:p w:rsidR="00144FA6" w:rsidRDefault="00744A1C" w:rsidP="00744A1C">
      <w:pPr>
        <w:pStyle w:val="libNormal"/>
        <w:rPr>
          <w:rtl/>
          <w:lang w:bidi="fa-IR"/>
        </w:rPr>
      </w:pPr>
      <w:r>
        <w:rPr>
          <w:rtl/>
          <w:lang w:bidi="fa-IR"/>
        </w:rPr>
        <w:t>8550 / 1. عِدَّةٌ مِنْ أَصْحَابِنَا ، عَنْ أَحْمَدَ بْنِ مُحَمَّدِ بْنِ عِيسى ، عَنْ أَحْمَدَ بْنِ مُحَمَّدِ بْنِ أَبِي نَصْرٍ ، عَنْ هَارُونَ بْنِ الْجَهْمِ ، عَنْ مُحَمَّدِ بْنِ مُسْلِمٍ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لَمَّا هَاجَرَتِ </w:t>
      </w:r>
      <w:r w:rsidRPr="00D10E3C">
        <w:rPr>
          <w:rStyle w:val="libFootnotenumChar"/>
          <w:rtl/>
        </w:rPr>
        <w:t>(9)</w:t>
      </w:r>
      <w:r>
        <w:rPr>
          <w:rtl/>
          <w:lang w:bidi="fa-IR"/>
        </w:rPr>
        <w:t xml:space="preserve"> النِّسَاءُ إِلى رَسُولِ اللهِ </w:t>
      </w:r>
      <w:r w:rsidR="0017097C" w:rsidRPr="0017097C">
        <w:rPr>
          <w:rStyle w:val="libAlaemChar"/>
          <w:rtl/>
        </w:rPr>
        <w:t>صلى‌الله‌عليه‌وآله</w:t>
      </w:r>
      <w:r>
        <w:rPr>
          <w:rtl/>
          <w:lang w:bidi="fa-IR"/>
        </w:rPr>
        <w:t xml:space="preserve"> ، هَاجَرَتْ فِيهِنَّ امْرَأَةٌ يُقَالُ لَهَا : أُمُّ حَبِيبٍ ، وَكَانَتْ خَافِضَةً </w:t>
      </w:r>
      <w:r w:rsidRPr="00D10E3C">
        <w:rPr>
          <w:rStyle w:val="libFootnotenumChar"/>
          <w:rtl/>
        </w:rPr>
        <w:t>(10)</w:t>
      </w:r>
      <w:r>
        <w:rPr>
          <w:rtl/>
          <w:lang w:bidi="fa-IR"/>
        </w:rPr>
        <w:t xml:space="preserve"> تَخْفِضُ الْجَوَارِيَ ، فَلَمَّا رَآهَا‌</w:t>
      </w:r>
    </w:p>
    <w:p w:rsidR="00744A1C" w:rsidRDefault="00744A1C" w:rsidP="00D10E3C">
      <w:pPr>
        <w:pStyle w:val="libLine"/>
        <w:rPr>
          <w:lang w:bidi="fa-IR"/>
        </w:rPr>
      </w:pPr>
      <w:r>
        <w:rPr>
          <w:rtl/>
          <w:lang w:bidi="fa-IR"/>
        </w:rPr>
        <w:t>____________________</w:t>
      </w:r>
    </w:p>
    <w:p w:rsidR="00744A1C" w:rsidRDefault="008354E0" w:rsidP="00D10E3C">
      <w:pPr>
        <w:pStyle w:val="libFootnote0"/>
        <w:rPr>
          <w:lang w:bidi="fa-IR"/>
        </w:rPr>
      </w:pPr>
      <w:r>
        <w:rPr>
          <w:rFonts w:hint="cs"/>
          <w:rtl/>
          <w:lang w:bidi="fa-IR"/>
        </w:rPr>
        <w:t xml:space="preserve">= </w:t>
      </w:r>
      <w:r w:rsidR="00744A1C">
        <w:rPr>
          <w:rtl/>
          <w:lang w:bidi="fa-IR"/>
        </w:rPr>
        <w:t xml:space="preserve">عن محمّد بن إسماعيل ، عن حنان بن سدير. </w:t>
      </w:r>
      <w:r w:rsidR="00744A1C" w:rsidRPr="00877682">
        <w:rPr>
          <w:rStyle w:val="libFootnoteBoldChar"/>
          <w:rtl/>
        </w:rPr>
        <w:t>قرب الإسناد</w:t>
      </w:r>
      <w:r w:rsidR="00744A1C">
        <w:rPr>
          <w:rtl/>
          <w:lang w:bidi="fa-IR"/>
        </w:rPr>
        <w:t xml:space="preserve"> ، ص 123 ، ح 434 ، بسنده عن حنان بن سدير ، مع اختلاف يسير </w:t>
      </w:r>
      <w:r>
        <w:rPr>
          <w:rFonts w:hint="cs"/>
          <w:rtl/>
          <w:lang w:bidi="fa-IR"/>
        </w:rPr>
        <w:t>.</w:t>
      </w:r>
      <w:r w:rsidR="00744A1C" w:rsidRPr="00C24F9C">
        <w:rPr>
          <w:rStyle w:val="libFootnoteBoldChar"/>
          <w:rtl/>
        </w:rPr>
        <w:t>الوافي</w:t>
      </w:r>
      <w:r w:rsidR="00744A1C">
        <w:rPr>
          <w:rtl/>
          <w:lang w:bidi="fa-IR"/>
        </w:rPr>
        <w:t xml:space="preserve"> ، ج 17 ، ص 199 ، ح 17107 ؛ </w:t>
      </w:r>
      <w:r w:rsidR="00744A1C" w:rsidRPr="00C24F9C">
        <w:rPr>
          <w:rStyle w:val="libFootnoteBoldChar"/>
          <w:rtl/>
        </w:rPr>
        <w:t>الوسائل</w:t>
      </w:r>
      <w:r w:rsidR="00744A1C">
        <w:rPr>
          <w:rtl/>
          <w:lang w:bidi="fa-IR"/>
        </w:rPr>
        <w:t xml:space="preserve"> ، ج 17 ، ص 126 ، ح 22158.</w:t>
      </w:r>
    </w:p>
    <w:tbl>
      <w:tblPr>
        <w:tblStyle w:val="TableGrid"/>
        <w:bidiVisual/>
        <w:tblW w:w="0" w:type="auto"/>
        <w:tblLook w:val="04A0" w:firstRow="1" w:lastRow="0" w:firstColumn="1" w:lastColumn="0" w:noHBand="0" w:noVBand="1"/>
      </w:tblPr>
      <w:tblGrid>
        <w:gridCol w:w="4006"/>
        <w:gridCol w:w="4006"/>
      </w:tblGrid>
      <w:tr w:rsidR="008354E0" w:rsidTr="008354E0">
        <w:tc>
          <w:tcPr>
            <w:tcW w:w="4006" w:type="dxa"/>
          </w:tcPr>
          <w:p w:rsidR="008354E0" w:rsidRDefault="008354E0" w:rsidP="00D10E3C">
            <w:pPr>
              <w:pStyle w:val="libFootnote0"/>
              <w:rPr>
                <w:rtl/>
                <w:lang w:bidi="fa-IR"/>
              </w:rPr>
            </w:pPr>
            <w:r>
              <w:rPr>
                <w:rtl/>
                <w:lang w:bidi="fa-IR"/>
              </w:rPr>
              <w:t>(1). في « ط ، بخ ، بف » و</w:t>
            </w:r>
            <w:r w:rsidRPr="00C24F9C">
              <w:rPr>
                <w:rStyle w:val="libFootnoteBoldChar"/>
                <w:rtl/>
              </w:rPr>
              <w:t>الوافي</w:t>
            </w:r>
            <w:r>
              <w:rPr>
                <w:rtl/>
                <w:lang w:bidi="fa-IR"/>
              </w:rPr>
              <w:t xml:space="preserve"> : « سألت ».</w:t>
            </w:r>
          </w:p>
        </w:tc>
        <w:tc>
          <w:tcPr>
            <w:tcW w:w="4006" w:type="dxa"/>
          </w:tcPr>
          <w:p w:rsidR="008354E0" w:rsidRDefault="008354E0" w:rsidP="00D10E3C">
            <w:pPr>
              <w:pStyle w:val="libFootnote0"/>
              <w:rPr>
                <w:rtl/>
                <w:lang w:bidi="fa-IR"/>
              </w:rPr>
            </w:pPr>
            <w:r>
              <w:rPr>
                <w:rtl/>
                <w:lang w:bidi="fa-IR"/>
              </w:rPr>
              <w:t>(2). في « ى » : + « يقول ».</w:t>
            </w:r>
          </w:p>
        </w:tc>
      </w:tr>
    </w:tbl>
    <w:p w:rsidR="00744A1C" w:rsidRDefault="00E378DD" w:rsidP="00E378DD">
      <w:pPr>
        <w:pStyle w:val="libFootnote0"/>
        <w:rPr>
          <w:lang w:bidi="fa-IR"/>
        </w:rPr>
      </w:pPr>
      <w:r>
        <w:rPr>
          <w:rtl/>
          <w:lang w:bidi="fa-IR"/>
        </w:rPr>
        <w:t>(3).</w:t>
      </w:r>
      <w:r w:rsidR="00744A1C">
        <w:rPr>
          <w:rtl/>
          <w:lang w:bidi="fa-IR"/>
        </w:rPr>
        <w:t xml:space="preserve"> في « ى ، بح ، بس ، جد ، جن » و</w:t>
      </w:r>
      <w:r w:rsidR="00744A1C" w:rsidRPr="00C24F9C">
        <w:rPr>
          <w:rStyle w:val="libFootnoteBoldChar"/>
          <w:rtl/>
        </w:rPr>
        <w:t>الوسائل</w:t>
      </w:r>
      <w:r w:rsidR="00744A1C">
        <w:rPr>
          <w:rtl/>
          <w:lang w:bidi="fa-IR"/>
        </w:rPr>
        <w:t xml:space="preserve"> : - « قد ».</w:t>
      </w:r>
    </w:p>
    <w:p w:rsidR="00744A1C" w:rsidRDefault="00E378DD" w:rsidP="00E378DD">
      <w:pPr>
        <w:pStyle w:val="libFootnote0"/>
        <w:rPr>
          <w:lang w:bidi="fa-IR"/>
        </w:rPr>
      </w:pPr>
      <w:r>
        <w:rPr>
          <w:rtl/>
          <w:lang w:bidi="fa-IR"/>
        </w:rPr>
        <w:t>(4).</w:t>
      </w:r>
      <w:r w:rsidR="00744A1C">
        <w:rPr>
          <w:rtl/>
          <w:lang w:bidi="fa-IR"/>
        </w:rPr>
        <w:t xml:space="preserve"> في « جن » : « يسئل ». وفي « ط ، بخ ، بف » و</w:t>
      </w:r>
      <w:r w:rsidR="00744A1C" w:rsidRPr="00C24F9C">
        <w:rPr>
          <w:rStyle w:val="libFootnoteBoldChar"/>
          <w:rtl/>
        </w:rPr>
        <w:t>الوافي</w:t>
      </w:r>
      <w:r w:rsidR="00744A1C">
        <w:rPr>
          <w:rtl/>
          <w:lang w:bidi="fa-IR"/>
        </w:rPr>
        <w:t xml:space="preserve"> : - « وقد سئل ».</w:t>
      </w:r>
    </w:p>
    <w:p w:rsidR="00744A1C" w:rsidRDefault="00E378DD" w:rsidP="00E378DD">
      <w:pPr>
        <w:pStyle w:val="libFootnote0"/>
        <w:rPr>
          <w:lang w:bidi="fa-IR"/>
        </w:rPr>
      </w:pPr>
      <w:r>
        <w:rPr>
          <w:rtl/>
          <w:lang w:bidi="fa-IR"/>
        </w:rPr>
        <w:t>(5).</w:t>
      </w:r>
      <w:r w:rsidR="00744A1C">
        <w:rPr>
          <w:rtl/>
          <w:lang w:bidi="fa-IR"/>
        </w:rPr>
        <w:t xml:space="preserve"> في « ط ، بح ، بخ ، جت ، جد » </w:t>
      </w:r>
      <w:r w:rsidR="00744A1C" w:rsidRPr="0040172A">
        <w:rPr>
          <w:rtl/>
        </w:rPr>
        <w:t>والوافي : «</w:t>
      </w:r>
      <w:r w:rsidR="00744A1C">
        <w:rPr>
          <w:rtl/>
          <w:lang w:bidi="fa-IR"/>
        </w:rPr>
        <w:t xml:space="preserve"> فقال ». وفي « بف » : - « قال ».</w:t>
      </w:r>
    </w:p>
    <w:p w:rsidR="00744A1C" w:rsidRDefault="00E378DD" w:rsidP="00E378DD">
      <w:pPr>
        <w:pStyle w:val="libFootnote0"/>
        <w:rPr>
          <w:lang w:bidi="fa-IR"/>
        </w:rPr>
      </w:pPr>
      <w:r>
        <w:rPr>
          <w:rtl/>
          <w:lang w:bidi="fa-IR"/>
        </w:rPr>
        <w:t>(6).</w:t>
      </w:r>
      <w:r w:rsidR="00744A1C">
        <w:rPr>
          <w:rtl/>
          <w:lang w:bidi="fa-IR"/>
        </w:rPr>
        <w:t xml:space="preserve"> في « بف » : « فبضرب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تستحلّه ، لعلّ المراد بها تعمل أعمالاً شاقّة فيها تستحقّ الا</w:t>
      </w:r>
      <w:r w:rsidR="0040172A">
        <w:rPr>
          <w:rFonts w:hint="cs"/>
          <w:rtl/>
          <w:lang w:bidi="fa-IR"/>
        </w:rPr>
        <w:t>ُ</w:t>
      </w:r>
      <w:r w:rsidR="00744A1C">
        <w:rPr>
          <w:rtl/>
          <w:lang w:bidi="fa-IR"/>
        </w:rPr>
        <w:t>جرة ، أو هو إشارة إلى أنّه لا ينبغي أن تأخذ الأجر على النياحة ، بل على ما يضمّ إليها من الأعمال. وقيل : هو كناية عن عدم اشتراط الا</w:t>
      </w:r>
      <w:r w:rsidR="00B07757">
        <w:rPr>
          <w:rFonts w:hint="cs"/>
          <w:rtl/>
          <w:lang w:bidi="fa-IR"/>
        </w:rPr>
        <w:t>ُ</w:t>
      </w:r>
      <w:r w:rsidR="00744A1C">
        <w:rPr>
          <w:rtl/>
          <w:lang w:bidi="fa-IR"/>
        </w:rPr>
        <w:t>جرة ، ولا يخفى ما فيه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1 ، ص 183 ، ذيل ح 552 ؛ وج 3 ، ص 162 ، ح 3592 ، مرسلاً من دون التصريح باسم المعصوم </w:t>
      </w:r>
      <w:r w:rsidR="0061079A" w:rsidRPr="0061079A">
        <w:rPr>
          <w:rStyle w:val="libFootnoteAlaemChar"/>
          <w:rtl/>
        </w:rPr>
        <w:t>عليه‌السلام</w:t>
      </w:r>
      <w:r w:rsidR="00D10E3C">
        <w:rPr>
          <w:rtl/>
          <w:lang w:bidi="fa-IR"/>
        </w:rPr>
        <w:t xml:space="preserve"> </w:t>
      </w:r>
      <w:r w:rsidR="00B07757">
        <w:rPr>
          <w:rFonts w:hint="cs"/>
          <w:rtl/>
          <w:lang w:bidi="fa-IR"/>
        </w:rPr>
        <w:t>.</w:t>
      </w:r>
      <w:r w:rsidR="00744A1C" w:rsidRPr="00C24F9C">
        <w:rPr>
          <w:rStyle w:val="libFootnoteBoldChar"/>
          <w:rtl/>
        </w:rPr>
        <w:t>الوافي</w:t>
      </w:r>
      <w:r w:rsidR="00744A1C">
        <w:rPr>
          <w:rtl/>
          <w:lang w:bidi="fa-IR"/>
        </w:rPr>
        <w:t xml:space="preserve"> ، ج 17 ، ص 199 ، ح 17108 ؛ </w:t>
      </w:r>
      <w:r w:rsidR="00744A1C" w:rsidRPr="00C24F9C">
        <w:rPr>
          <w:rStyle w:val="libFootnoteBoldChar"/>
          <w:rtl/>
        </w:rPr>
        <w:t>الوسائل</w:t>
      </w:r>
      <w:r w:rsidR="00744A1C">
        <w:rPr>
          <w:rtl/>
          <w:lang w:bidi="fa-IR"/>
        </w:rPr>
        <w:t xml:space="preserve"> : ج 17 ، ص 126 ، ح 22159.</w:t>
      </w:r>
    </w:p>
    <w:p w:rsidR="00744A1C" w:rsidRDefault="00E378DD" w:rsidP="00E378DD">
      <w:pPr>
        <w:pStyle w:val="libFootnote0"/>
        <w:rPr>
          <w:lang w:bidi="fa-IR"/>
        </w:rPr>
      </w:pPr>
      <w:r>
        <w:rPr>
          <w:rtl/>
          <w:lang w:bidi="fa-IR"/>
        </w:rPr>
        <w:t>(9).</w:t>
      </w:r>
      <w:r w:rsidR="00744A1C">
        <w:rPr>
          <w:rtl/>
          <w:lang w:bidi="fa-IR"/>
        </w:rPr>
        <w:t xml:space="preserve"> في « بف » و</w:t>
      </w:r>
      <w:r w:rsidR="00744A1C" w:rsidRPr="0061079A">
        <w:rPr>
          <w:rStyle w:val="libFootnoteBoldChar"/>
          <w:rtl/>
        </w:rPr>
        <w:t>الكافي</w:t>
      </w:r>
      <w:r w:rsidR="00744A1C">
        <w:rPr>
          <w:rtl/>
          <w:lang w:bidi="fa-IR"/>
        </w:rPr>
        <w:t xml:space="preserve"> ، ح 10559 </w:t>
      </w:r>
      <w:r w:rsidR="00744A1C" w:rsidRPr="0061079A">
        <w:rPr>
          <w:rStyle w:val="libFootnoteBoldChar"/>
          <w:rtl/>
        </w:rPr>
        <w:t>والتهذيب</w:t>
      </w:r>
      <w:r w:rsidR="00744A1C">
        <w:rPr>
          <w:rtl/>
          <w:lang w:bidi="fa-IR"/>
        </w:rPr>
        <w:t xml:space="preserve"> : « هاجر ».</w:t>
      </w:r>
    </w:p>
    <w:p w:rsidR="00744A1C" w:rsidRDefault="00E378DD" w:rsidP="00E378DD">
      <w:pPr>
        <w:pStyle w:val="libFootnote0"/>
        <w:rPr>
          <w:lang w:bidi="fa-IR"/>
        </w:rPr>
      </w:pPr>
      <w:r>
        <w:rPr>
          <w:rtl/>
          <w:lang w:bidi="fa-IR"/>
        </w:rPr>
        <w:t>(10).</w:t>
      </w:r>
      <w:r w:rsidR="00744A1C">
        <w:rPr>
          <w:rtl/>
          <w:lang w:bidi="fa-IR"/>
        </w:rPr>
        <w:t xml:space="preserve"> الخفض للنساء كالختان للرجال ، ويقال : خفضتُ الجارية ، مثل ختنتُ الغلام ، والخافضة : الخاتنة. راجع : </w:t>
      </w:r>
      <w:r w:rsidR="00744A1C" w:rsidRPr="00E978C3">
        <w:rPr>
          <w:rStyle w:val="libFootnoteBoldChar"/>
          <w:rtl/>
        </w:rPr>
        <w:t>الصحاح</w:t>
      </w:r>
      <w:r w:rsidR="00744A1C">
        <w:rPr>
          <w:rtl/>
          <w:lang w:bidi="fa-IR"/>
        </w:rPr>
        <w:t xml:space="preserve"> ، ج 3 ، ص 1074 ؛ </w:t>
      </w:r>
      <w:r w:rsidR="00744A1C" w:rsidRPr="00877682">
        <w:rPr>
          <w:rStyle w:val="libFootnoteBoldChar"/>
          <w:rtl/>
        </w:rPr>
        <w:t>النهاية</w:t>
      </w:r>
      <w:r w:rsidR="00744A1C">
        <w:rPr>
          <w:rtl/>
          <w:lang w:bidi="fa-IR"/>
        </w:rPr>
        <w:t xml:space="preserve"> ، ج 2 ، ص 54 ( خفض ).</w:t>
      </w:r>
    </w:p>
    <w:p w:rsidR="006A5060" w:rsidRDefault="006A5060" w:rsidP="00D10E3C">
      <w:pPr>
        <w:pStyle w:val="libNormal"/>
        <w:rPr>
          <w:rtl/>
          <w:lang w:bidi="fa-IR"/>
        </w:rPr>
      </w:pPr>
      <w:r>
        <w:rPr>
          <w:rtl/>
          <w:lang w:bidi="fa-IR"/>
        </w:rPr>
        <w:br w:type="page"/>
      </w:r>
    </w:p>
    <w:p w:rsidR="00144FA6" w:rsidRDefault="00744A1C" w:rsidP="00474B95">
      <w:pPr>
        <w:pStyle w:val="libNormal"/>
        <w:rPr>
          <w:rtl/>
          <w:lang w:bidi="fa-IR"/>
        </w:rPr>
      </w:pPr>
      <w:r>
        <w:rPr>
          <w:rtl/>
          <w:lang w:bidi="fa-IR"/>
        </w:rPr>
        <w:t xml:space="preserve">رَسُولُ اللهِ </w:t>
      </w:r>
      <w:r w:rsidR="007B299E" w:rsidRPr="007B299E">
        <w:rPr>
          <w:rStyle w:val="libAlaemChar"/>
          <w:rtl/>
        </w:rPr>
        <w:t>صلى‌الله‌عليه‌وآله</w:t>
      </w:r>
      <w:r w:rsidR="00D10E3C">
        <w:rPr>
          <w:rtl/>
          <w:lang w:bidi="fa-IR"/>
        </w:rPr>
        <w:t xml:space="preserve"> </w:t>
      </w:r>
      <w:r>
        <w:rPr>
          <w:rtl/>
          <w:lang w:bidi="fa-IR"/>
        </w:rPr>
        <w:t>، قَالَ لَهَا : يَا أُمَّ حَبِيبٍ ، الْعَمَلُ الَّذِي كَانَ فِي يَدِكِ هُوَ فِي يَدِكِ الْيَوْمَ؟ قَالَتْ : نَعَمْ يَا رَسُولَ الله</w:t>
      </w:r>
      <w:r w:rsidR="00E75241">
        <w:rPr>
          <w:rtl/>
          <w:lang w:bidi="fa-IR"/>
        </w:rPr>
        <w:t>ِ إِل</w:t>
      </w:r>
      <w:r w:rsidR="00E75241">
        <w:rPr>
          <w:rFonts w:hint="cs"/>
          <w:rtl/>
          <w:lang w:bidi="fa-IR"/>
        </w:rPr>
        <w:t>َّ</w:t>
      </w:r>
      <w:r w:rsidR="00E75241">
        <w:rPr>
          <w:rtl/>
          <w:lang w:bidi="fa-IR"/>
        </w:rPr>
        <w:t>ا</w:t>
      </w:r>
      <w:r>
        <w:rPr>
          <w:rtl/>
          <w:lang w:bidi="fa-IR"/>
        </w:rPr>
        <w:t xml:space="preserve"> أَنْ يَكُونَ حَرَاماً ، فَتَنْهَانِي عَنْهُ ، فَقَالَ </w:t>
      </w:r>
      <w:r w:rsidRPr="00D10E3C">
        <w:rPr>
          <w:rStyle w:val="libFootnotenumChar"/>
          <w:rtl/>
        </w:rPr>
        <w:t>(1)</w:t>
      </w:r>
      <w:r>
        <w:rPr>
          <w:rtl/>
          <w:lang w:bidi="fa-IR"/>
        </w:rPr>
        <w:t xml:space="preserve"> : لَا </w:t>
      </w:r>
      <w:r w:rsidRPr="00D10E3C">
        <w:rPr>
          <w:rStyle w:val="libFootnotenumChar"/>
          <w:rtl/>
        </w:rPr>
        <w:t>(2)</w:t>
      </w:r>
      <w:r>
        <w:rPr>
          <w:rtl/>
          <w:lang w:bidi="fa-IR"/>
        </w:rPr>
        <w:t xml:space="preserve"> ، بَلْ حَلَالٌ ، فَادْنِي مِنِّي حَتّى أُعَلِّمَكِ. قَالَتْ </w:t>
      </w:r>
      <w:r w:rsidRPr="00D10E3C">
        <w:rPr>
          <w:rStyle w:val="libFootnotenumChar"/>
          <w:rtl/>
        </w:rPr>
        <w:t>(3)</w:t>
      </w:r>
      <w:r>
        <w:rPr>
          <w:rtl/>
          <w:lang w:bidi="fa-IR"/>
        </w:rPr>
        <w:t xml:space="preserve"> : فَدَنَوْتُ </w:t>
      </w:r>
      <w:r w:rsidRPr="00D10E3C">
        <w:rPr>
          <w:rStyle w:val="libFootnotenumChar"/>
          <w:rtl/>
        </w:rPr>
        <w:t>(4)</w:t>
      </w:r>
      <w:r>
        <w:rPr>
          <w:rtl/>
          <w:lang w:bidi="fa-IR"/>
        </w:rPr>
        <w:t xml:space="preserve"> مِنْهُ ، فَقَالَ : يَا أُمَّ حَبِيبٍ ، إِذَا أَنْتِ فَعَلْتِ فَلَا تَنْهَكِي - أَيْ لَاتَسْتَأْصِلِي - وَأَشِمِّي </w:t>
      </w:r>
      <w:r w:rsidRPr="00D10E3C">
        <w:rPr>
          <w:rStyle w:val="libFootnotenumChar"/>
          <w:rtl/>
        </w:rPr>
        <w:t>(5)</w:t>
      </w:r>
      <w:r>
        <w:rPr>
          <w:rtl/>
          <w:lang w:bidi="fa-IR"/>
        </w:rPr>
        <w:t xml:space="preserve"> ؛ فَإِنَّهُ أَشْرَقُ لِلْوَجْهِ ، وَأَحْظى عِنْدَ الزَّوْجِ </w:t>
      </w:r>
      <w:r w:rsidRPr="00D10E3C">
        <w:rPr>
          <w:rStyle w:val="libFootnotenumChar"/>
          <w:rtl/>
        </w:rPr>
        <w:t>(6)</w:t>
      </w:r>
      <w:r>
        <w:rPr>
          <w:rtl/>
          <w:lang w:bidi="fa-IR"/>
        </w:rPr>
        <w:t xml:space="preserve"> ».</w:t>
      </w:r>
      <w:r>
        <w:rPr>
          <w:lang w:bidi="fa-IR"/>
        </w:rPr>
        <w:cr/>
      </w:r>
      <w:r>
        <w:rPr>
          <w:rtl/>
          <w:lang w:bidi="fa-IR"/>
        </w:rPr>
        <w:t xml:space="preserve">قَالَ : « وَكَانَ لِأُمِّ حَبِيبٍ أُخْتٌ يُقَالُ لَهَا : أُمُّ عَطِيَّةَ ، وَكَانَتْ مُقَيِّنَةً </w:t>
      </w:r>
      <w:r w:rsidRPr="00D10E3C">
        <w:rPr>
          <w:rStyle w:val="libFootnotenumChar"/>
          <w:rtl/>
        </w:rPr>
        <w:t>(7)</w:t>
      </w:r>
      <w:r>
        <w:rPr>
          <w:rtl/>
          <w:lang w:bidi="fa-IR"/>
        </w:rPr>
        <w:t xml:space="preserve"> - يَعْنِي مَاشِطَةً - فَلَمَّا انْصَرَفَتْ أُمُّ حَبِيبٍ إِلى أُخْتِهَا ، أَخْبَرَتْهَا بِمَا قَالَ لَهَا رَسُولُ اللهِ </w:t>
      </w:r>
      <w:r w:rsidR="0017097C" w:rsidRPr="0017097C">
        <w:rPr>
          <w:rStyle w:val="libAlaemChar"/>
          <w:rtl/>
        </w:rPr>
        <w:t>صلى‌الله‌عليه‌وآله</w:t>
      </w:r>
      <w:r w:rsidR="00D10E3C">
        <w:rPr>
          <w:rtl/>
          <w:lang w:bidi="fa-IR"/>
        </w:rPr>
        <w:t xml:space="preserve"> </w:t>
      </w:r>
      <w:r w:rsidRPr="00D10E3C">
        <w:rPr>
          <w:rStyle w:val="libFootnotenumChar"/>
          <w:rtl/>
        </w:rPr>
        <w:t>(8)</w:t>
      </w:r>
      <w:r>
        <w:rPr>
          <w:rtl/>
          <w:lang w:bidi="fa-IR"/>
        </w:rPr>
        <w:t xml:space="preserve"> ، فَأَقْبَلَتْ أُمُّ عَطِيَّةَ إِلَى النَّبِيِّ </w:t>
      </w:r>
      <w:r w:rsidR="000F3F68" w:rsidRPr="000F3F68">
        <w:rPr>
          <w:rStyle w:val="libAlaemChar"/>
          <w:rtl/>
        </w:rPr>
        <w:t>صلى‌الله‌عليه‌وآله</w:t>
      </w:r>
      <w:r w:rsidR="00D10E3C">
        <w:rPr>
          <w:rtl/>
          <w:lang w:bidi="fa-IR"/>
        </w:rPr>
        <w:t xml:space="preserve"> </w:t>
      </w:r>
      <w:r>
        <w:rPr>
          <w:rtl/>
          <w:lang w:bidi="fa-IR"/>
        </w:rPr>
        <w:t xml:space="preserve">، فَأَخْبَرَتْهُ بِمَا قَالَتْ لَهَا أُخْتُهَا ، فَقَالَ لَهَا رَسُولُ اللهِ </w:t>
      </w:r>
      <w:r w:rsidR="004D054E" w:rsidRPr="004D054E">
        <w:rPr>
          <w:rStyle w:val="libAlaemChar"/>
          <w:rtl/>
        </w:rPr>
        <w:t>صلى‌الله‌عليه‌وآله</w:t>
      </w:r>
      <w:r w:rsidR="00D10E3C">
        <w:rPr>
          <w:rtl/>
          <w:lang w:bidi="fa-IR"/>
        </w:rPr>
        <w:t xml:space="preserve"> </w:t>
      </w:r>
      <w:r w:rsidRPr="00D10E3C">
        <w:rPr>
          <w:rStyle w:val="libFootnotenumChar"/>
          <w:rtl/>
        </w:rPr>
        <w:t>(9)</w:t>
      </w:r>
      <w:r>
        <w:rPr>
          <w:rtl/>
          <w:lang w:bidi="fa-IR"/>
        </w:rPr>
        <w:t xml:space="preserve"> : ادْنِي مِنِّي يَا أُمَّ عَطِيَّةَ ، إِذَا أَنْتِ قَيَّنْتِ الْجَارِيَةَ ، فَلَا تَغْسِلِي وَجْهَهَا بِالْخِرْقَةِ ؛ فَإِنَّ الْخِرْقَةَ تَشْرَبُ مَاءَ </w:t>
      </w:r>
      <w:r w:rsidRPr="00D10E3C">
        <w:rPr>
          <w:rStyle w:val="libFootnotenumChar"/>
          <w:rtl/>
        </w:rPr>
        <w:t>(10)</w:t>
      </w:r>
      <w:r>
        <w:rPr>
          <w:rtl/>
          <w:lang w:bidi="fa-IR"/>
        </w:rPr>
        <w:t xml:space="preserve"> الْوَجْهِ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بح ، بس ، جد ، جن » </w:t>
      </w:r>
      <w:r w:rsidR="00744A1C" w:rsidRPr="00F4458B">
        <w:rPr>
          <w:rtl/>
        </w:rPr>
        <w:t>والوسائل والبحار والكافي</w:t>
      </w:r>
      <w:r w:rsidR="00744A1C">
        <w:rPr>
          <w:rtl/>
          <w:lang w:bidi="fa-IR"/>
        </w:rPr>
        <w:t xml:space="preserve"> ، ح </w:t>
      </w:r>
      <w:r w:rsidR="00744A1C" w:rsidRPr="00F4458B">
        <w:rPr>
          <w:rtl/>
        </w:rPr>
        <w:t>10559 والتهذيب ،</w:t>
      </w:r>
      <w:r w:rsidR="00955510">
        <w:rPr>
          <w:rtl/>
          <w:lang w:bidi="fa-IR"/>
        </w:rPr>
        <w:t xml:space="preserve"> ج 6 : « قال</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F4458B" w:rsidTr="00F4458B">
        <w:tc>
          <w:tcPr>
            <w:tcW w:w="4006" w:type="dxa"/>
          </w:tcPr>
          <w:p w:rsidR="00F4458B" w:rsidRDefault="00F4458B" w:rsidP="00E378DD">
            <w:pPr>
              <w:pStyle w:val="libFootnote0"/>
              <w:rPr>
                <w:rtl/>
                <w:lang w:bidi="fa-IR"/>
              </w:rPr>
            </w:pPr>
            <w:r>
              <w:rPr>
                <w:rtl/>
                <w:lang w:bidi="fa-IR"/>
              </w:rPr>
              <w:t>(2). في « بس ، جد » و</w:t>
            </w:r>
            <w:r w:rsidRPr="00C24F9C">
              <w:rPr>
                <w:rStyle w:val="libFootnoteBoldChar"/>
                <w:rtl/>
              </w:rPr>
              <w:t>الوسائل</w:t>
            </w:r>
            <w:r>
              <w:rPr>
                <w:rtl/>
                <w:lang w:bidi="fa-IR"/>
              </w:rPr>
              <w:t xml:space="preserve"> : - « لا ».</w:t>
            </w:r>
          </w:p>
        </w:tc>
        <w:tc>
          <w:tcPr>
            <w:tcW w:w="4006" w:type="dxa"/>
          </w:tcPr>
          <w:p w:rsidR="00F4458B" w:rsidRDefault="00F4458B" w:rsidP="00E378DD">
            <w:pPr>
              <w:pStyle w:val="libFootnote0"/>
              <w:rPr>
                <w:rtl/>
                <w:lang w:bidi="fa-IR"/>
              </w:rPr>
            </w:pPr>
            <w:r>
              <w:rPr>
                <w:rtl/>
                <w:lang w:bidi="fa-IR"/>
              </w:rPr>
              <w:t xml:space="preserve">(3). في«ط،بح،بس،جت ، جن » </w:t>
            </w:r>
            <w:r w:rsidRPr="00F4458B">
              <w:rPr>
                <w:rtl/>
              </w:rPr>
              <w:t>والبحار</w:t>
            </w:r>
            <w:r>
              <w:rPr>
                <w:rtl/>
                <w:lang w:bidi="fa-IR"/>
              </w:rPr>
              <w:t xml:space="preserve"> : « قال ».</w:t>
            </w:r>
          </w:p>
        </w:tc>
      </w:tr>
    </w:tbl>
    <w:p w:rsidR="00744A1C" w:rsidRDefault="00E378DD" w:rsidP="00E378DD">
      <w:pPr>
        <w:pStyle w:val="libFootnote0"/>
        <w:rPr>
          <w:lang w:bidi="fa-IR"/>
        </w:rPr>
      </w:pPr>
      <w:r>
        <w:rPr>
          <w:rtl/>
          <w:lang w:bidi="fa-IR"/>
        </w:rPr>
        <w:t>(4).</w:t>
      </w:r>
      <w:r w:rsidR="00744A1C">
        <w:rPr>
          <w:rtl/>
          <w:lang w:bidi="fa-IR"/>
        </w:rPr>
        <w:t xml:space="preserve"> في « ط ، ى ، بس ، جت » </w:t>
      </w:r>
      <w:r w:rsidR="00744A1C" w:rsidRPr="009D5782">
        <w:rPr>
          <w:rtl/>
        </w:rPr>
        <w:t>والبحار :</w:t>
      </w:r>
      <w:r w:rsidR="00744A1C">
        <w:rPr>
          <w:rtl/>
          <w:lang w:bidi="fa-IR"/>
        </w:rPr>
        <w:t xml:space="preserve"> « فدنت ».</w:t>
      </w:r>
    </w:p>
    <w:p w:rsidR="00744A1C" w:rsidRDefault="00E378DD" w:rsidP="00E378DD">
      <w:pPr>
        <w:pStyle w:val="libFootnote0"/>
        <w:rPr>
          <w:lang w:bidi="fa-IR"/>
        </w:rPr>
      </w:pPr>
      <w:r>
        <w:rPr>
          <w:rtl/>
          <w:lang w:bidi="fa-IR"/>
        </w:rPr>
        <w:t>(5).</w:t>
      </w:r>
      <w:r w:rsidR="00744A1C">
        <w:rPr>
          <w:rtl/>
          <w:lang w:bidi="fa-IR"/>
        </w:rPr>
        <w:t xml:space="preserve"> قال ابن الأثير : « وفي حديث ا</w:t>
      </w:r>
      <w:r w:rsidR="009D5782">
        <w:rPr>
          <w:rFonts w:hint="cs"/>
          <w:rtl/>
          <w:lang w:bidi="fa-IR"/>
        </w:rPr>
        <w:t>ُ</w:t>
      </w:r>
      <w:r w:rsidR="00744A1C">
        <w:rPr>
          <w:rtl/>
          <w:lang w:bidi="fa-IR"/>
        </w:rPr>
        <w:t>مّ عطيّة : أشمّي ولا تنهكي ، شبّه القطعَ اليسير بإشمام الرائحة ، والنهكَ بالمبالغة فيه ، أي اقطعي بعض النواة ولا تستأصليها ». وقال أيضاً : « ومنه ... حديث الخافضة : قال لها : أشمّي ولا تنهكي ، أي لا تبالغي في استقصاء الختان ».</w:t>
      </w:r>
    </w:p>
    <w:p w:rsidR="00744A1C" w:rsidRDefault="00E378DD" w:rsidP="00E378DD">
      <w:pPr>
        <w:pStyle w:val="libFootnote0"/>
        <w:rPr>
          <w:lang w:bidi="fa-IR"/>
        </w:rPr>
      </w:pPr>
      <w:r>
        <w:rPr>
          <w:rtl/>
          <w:lang w:bidi="fa-IR"/>
        </w:rPr>
        <w:t>(6).</w:t>
      </w:r>
      <w:r w:rsidR="00744A1C">
        <w:rPr>
          <w:rtl/>
          <w:lang w:bidi="fa-IR"/>
        </w:rPr>
        <w:t xml:space="preserve"> « أحظى عند الزوج » أي أحبّ ، يقال : حظيت </w:t>
      </w:r>
      <w:r w:rsidR="00744A1C" w:rsidRPr="00C24F9C">
        <w:rPr>
          <w:rStyle w:val="libFootnoteBoldChar"/>
          <w:rtl/>
        </w:rPr>
        <w:t>المرأة</w:t>
      </w:r>
      <w:r w:rsidR="00744A1C">
        <w:rPr>
          <w:rtl/>
          <w:lang w:bidi="fa-IR"/>
        </w:rPr>
        <w:t xml:space="preserve"> عند زوجها تحظى حُظْوَةً وحِظْوَةً ، أي سعدت به ودنت من قلبه وأحبّها. راجع : </w:t>
      </w:r>
      <w:r w:rsidR="00744A1C" w:rsidRPr="00877682">
        <w:rPr>
          <w:rStyle w:val="libFootnoteBoldChar"/>
          <w:rtl/>
        </w:rPr>
        <w:t>النهاية</w:t>
      </w:r>
      <w:r w:rsidR="00744A1C">
        <w:rPr>
          <w:rtl/>
          <w:lang w:bidi="fa-IR"/>
        </w:rPr>
        <w:t xml:space="preserve"> ، ج 1 ، ص 405 ( خطا ).</w:t>
      </w:r>
    </w:p>
    <w:p w:rsidR="00744A1C" w:rsidRDefault="00E378DD" w:rsidP="00E378DD">
      <w:pPr>
        <w:pStyle w:val="libFootnote0"/>
        <w:rPr>
          <w:lang w:bidi="fa-IR"/>
        </w:rPr>
      </w:pPr>
      <w:r>
        <w:rPr>
          <w:rtl/>
          <w:lang w:bidi="fa-IR"/>
        </w:rPr>
        <w:t>(7).</w:t>
      </w:r>
      <w:r w:rsidR="00744A1C">
        <w:rPr>
          <w:rtl/>
          <w:lang w:bidi="fa-IR"/>
        </w:rPr>
        <w:t xml:space="preserve"> « مقيّنة » أي مزيّنة ، وتقيين العروس : تزيينها. راجع : </w:t>
      </w:r>
      <w:r w:rsidR="00744A1C" w:rsidRPr="00E978C3">
        <w:rPr>
          <w:rStyle w:val="libFootnoteBoldChar"/>
          <w:rtl/>
        </w:rPr>
        <w:t>الصحاح</w:t>
      </w:r>
      <w:r w:rsidR="00744A1C">
        <w:rPr>
          <w:rtl/>
          <w:lang w:bidi="fa-IR"/>
        </w:rPr>
        <w:t xml:space="preserve"> ، ج 6 ، ص 2186 ( قين ).</w:t>
      </w:r>
    </w:p>
    <w:p w:rsidR="00744A1C" w:rsidRDefault="00E378DD" w:rsidP="00E378DD">
      <w:pPr>
        <w:pStyle w:val="libFootnote0"/>
        <w:rPr>
          <w:lang w:bidi="fa-IR"/>
        </w:rPr>
      </w:pPr>
      <w:r>
        <w:rPr>
          <w:rtl/>
          <w:lang w:bidi="fa-IR"/>
        </w:rPr>
        <w:t>(8).</w:t>
      </w:r>
      <w:r w:rsidR="00744A1C">
        <w:rPr>
          <w:rtl/>
          <w:lang w:bidi="fa-IR"/>
        </w:rPr>
        <w:t xml:space="preserve"> في « بخ ، بف ، جت ، جد » و</w:t>
      </w:r>
      <w:r w:rsidR="00744A1C" w:rsidRPr="00C24F9C">
        <w:rPr>
          <w:rStyle w:val="libFootnoteBoldChar"/>
          <w:rtl/>
        </w:rPr>
        <w:t>الوافي</w:t>
      </w:r>
      <w:r w:rsidR="00744A1C">
        <w:rPr>
          <w:rtl/>
          <w:lang w:bidi="fa-IR"/>
        </w:rPr>
        <w:t xml:space="preserve"> : « بما قال رسول الله </w:t>
      </w:r>
      <w:r w:rsidR="005E465D" w:rsidRPr="009D5782">
        <w:rPr>
          <w:rStyle w:val="libFootnoteAlaemChar"/>
          <w:rtl/>
        </w:rPr>
        <w:t>صلى‌الله‌عليه‌وآله</w:t>
      </w:r>
      <w:r w:rsidR="00744A1C">
        <w:rPr>
          <w:rtl/>
          <w:lang w:bidi="fa-IR"/>
        </w:rPr>
        <w:t xml:space="preserve"> لها ».</w:t>
      </w:r>
    </w:p>
    <w:tbl>
      <w:tblPr>
        <w:tblStyle w:val="TableGrid"/>
        <w:bidiVisual/>
        <w:tblW w:w="0" w:type="auto"/>
        <w:tblLook w:val="04A0" w:firstRow="1" w:lastRow="0" w:firstColumn="1" w:lastColumn="0" w:noHBand="0" w:noVBand="1"/>
      </w:tblPr>
      <w:tblGrid>
        <w:gridCol w:w="4006"/>
        <w:gridCol w:w="4006"/>
      </w:tblGrid>
      <w:tr w:rsidR="009D5782" w:rsidTr="009D5782">
        <w:tc>
          <w:tcPr>
            <w:tcW w:w="4006" w:type="dxa"/>
          </w:tcPr>
          <w:p w:rsidR="009D5782" w:rsidRDefault="009D5782" w:rsidP="00E378DD">
            <w:pPr>
              <w:pStyle w:val="libFootnote0"/>
              <w:rPr>
                <w:rtl/>
                <w:lang w:bidi="fa-IR"/>
              </w:rPr>
            </w:pPr>
            <w:r>
              <w:rPr>
                <w:rtl/>
                <w:lang w:bidi="fa-IR"/>
              </w:rPr>
              <w:t xml:space="preserve">(9). في « بخ ، بف » : - « رسول الله </w:t>
            </w:r>
            <w:r w:rsidRPr="00024D6D">
              <w:rPr>
                <w:rStyle w:val="libFootnoteAlaemChar"/>
                <w:rtl/>
              </w:rPr>
              <w:t>صلى‌الله‌عليه‌وآله</w:t>
            </w:r>
            <w:r>
              <w:rPr>
                <w:rtl/>
                <w:lang w:bidi="fa-IR"/>
              </w:rPr>
              <w:t xml:space="preserve"> ».</w:t>
            </w:r>
          </w:p>
        </w:tc>
        <w:tc>
          <w:tcPr>
            <w:tcW w:w="4006" w:type="dxa"/>
          </w:tcPr>
          <w:p w:rsidR="009D5782" w:rsidRDefault="009D5782" w:rsidP="00E378DD">
            <w:pPr>
              <w:pStyle w:val="libFootnote0"/>
              <w:rPr>
                <w:rtl/>
                <w:lang w:bidi="fa-IR"/>
              </w:rPr>
            </w:pPr>
            <w:r>
              <w:rPr>
                <w:rtl/>
                <w:lang w:bidi="fa-IR"/>
              </w:rPr>
              <w:t xml:space="preserve">(10). في </w:t>
            </w:r>
            <w:r w:rsidRPr="009D5782">
              <w:rPr>
                <w:rtl/>
              </w:rPr>
              <w:t>التهذيب</w:t>
            </w:r>
            <w:r>
              <w:rPr>
                <w:rtl/>
                <w:lang w:bidi="fa-IR"/>
              </w:rPr>
              <w:t>:«</w:t>
            </w:r>
            <w:r w:rsidR="00AA5C25">
              <w:rPr>
                <w:rtl/>
                <w:lang w:bidi="fa-IR"/>
              </w:rPr>
              <w:t>تذهب بماء</w:t>
            </w:r>
            <w:r>
              <w:rPr>
                <w:rtl/>
                <w:lang w:bidi="fa-IR"/>
              </w:rPr>
              <w:t>» بدل « تشرب ماء ».</w:t>
            </w:r>
          </w:p>
        </w:tc>
      </w:tr>
    </w:tbl>
    <w:p w:rsidR="00744A1C" w:rsidRDefault="00E378DD" w:rsidP="00E378DD">
      <w:pPr>
        <w:pStyle w:val="libFootnote0"/>
        <w:rPr>
          <w:lang w:bidi="fa-IR"/>
        </w:rPr>
      </w:pPr>
      <w:r>
        <w:rPr>
          <w:rtl/>
          <w:lang w:bidi="fa-IR"/>
        </w:rPr>
        <w:t>(11).</w:t>
      </w:r>
      <w:r w:rsidR="00744A1C">
        <w:rPr>
          <w:rtl/>
          <w:lang w:bidi="fa-IR"/>
        </w:rPr>
        <w:t xml:space="preserve"> في </w:t>
      </w:r>
      <w:r w:rsidR="00744A1C" w:rsidRPr="00877682">
        <w:rPr>
          <w:rStyle w:val="libFootnoteBoldChar"/>
          <w:rtl/>
        </w:rPr>
        <w:t>مرآة العقول</w:t>
      </w:r>
      <w:r w:rsidR="00744A1C">
        <w:rPr>
          <w:rtl/>
          <w:lang w:bidi="fa-IR"/>
        </w:rPr>
        <w:t xml:space="preserve"> ، ج 19 ، ص 78 : « ثمّ إنّ هذا الخبر يدلّ على جواز فعل الماشطة وحلّيّة أجرها ، وحمل على عدم الغشّ ، كوصل الشعر بالشعر وشمّ الخدود وتحميرها ونقش الأيدي والأرجل ، كما قال في </w:t>
      </w:r>
      <w:r w:rsidR="00744A1C" w:rsidRPr="00DA27EC">
        <w:rPr>
          <w:rStyle w:val="libFootnoteBoldChar"/>
          <w:rtl/>
        </w:rPr>
        <w:t>التحرير</w:t>
      </w:r>
      <w:r w:rsidR="00744A1C">
        <w:rPr>
          <w:rtl/>
          <w:lang w:bidi="fa-IR"/>
        </w:rPr>
        <w:t xml:space="preserve"> ، وعلى جواز الا</w:t>
      </w:r>
      <w:r w:rsidR="00DA27EC">
        <w:rPr>
          <w:rFonts w:hint="cs"/>
          <w:rtl/>
          <w:lang w:bidi="fa-IR"/>
        </w:rPr>
        <w:t>ُ</w:t>
      </w:r>
      <w:r w:rsidR="00744A1C">
        <w:rPr>
          <w:rtl/>
          <w:lang w:bidi="fa-IR"/>
        </w:rPr>
        <w:t xml:space="preserve">جرة على خفض الجواري ، كما هو المشهور ». وراجع : </w:t>
      </w:r>
      <w:r w:rsidR="00744A1C" w:rsidRPr="00DA27EC">
        <w:rPr>
          <w:rStyle w:val="libFootnoteBoldChar"/>
          <w:rtl/>
        </w:rPr>
        <w:t xml:space="preserve">تحرير الأحكام </w:t>
      </w:r>
      <w:r w:rsidR="00744A1C">
        <w:rPr>
          <w:rtl/>
          <w:lang w:bidi="fa-IR"/>
        </w:rPr>
        <w:t>، ج 2 ، ص 267 ، المسألة 3041.</w:t>
      </w:r>
    </w:p>
    <w:p w:rsidR="00144FA6" w:rsidRDefault="00E378DD" w:rsidP="00E378DD">
      <w:pPr>
        <w:pStyle w:val="libFootnote0"/>
        <w:rPr>
          <w:rtl/>
          <w:lang w:bidi="fa-IR"/>
        </w:rPr>
      </w:pPr>
      <w:r>
        <w:rPr>
          <w:rtl/>
          <w:lang w:bidi="fa-IR"/>
        </w:rPr>
        <w:t>(12).</w:t>
      </w:r>
      <w:r w:rsidR="00744A1C">
        <w:rPr>
          <w:rtl/>
          <w:lang w:bidi="fa-IR"/>
        </w:rPr>
        <w:t xml:space="preserve"> </w:t>
      </w:r>
      <w:r w:rsidR="00744A1C" w:rsidRPr="0061079A">
        <w:rPr>
          <w:rStyle w:val="libFootnoteBoldChar"/>
          <w:rtl/>
        </w:rPr>
        <w:t>الكافي</w:t>
      </w:r>
      <w:r w:rsidR="00744A1C">
        <w:rPr>
          <w:rtl/>
          <w:lang w:bidi="fa-IR"/>
        </w:rPr>
        <w:t xml:space="preserve"> ، كتاب العقيقة ، باب خفض الجواري ، ح 10559. وفي </w:t>
      </w:r>
      <w:r w:rsidR="00744A1C" w:rsidRPr="00C24F9C">
        <w:rPr>
          <w:rStyle w:val="libFootnoteBoldChar"/>
          <w:rtl/>
        </w:rPr>
        <w:t>التهذيب</w:t>
      </w:r>
      <w:r w:rsidR="00744A1C">
        <w:rPr>
          <w:rtl/>
          <w:lang w:bidi="fa-IR"/>
        </w:rPr>
        <w:t xml:space="preserve"> ، ج 7 ، ص 446 ، ح 1785 ، معلّقاً عن</w:t>
      </w:r>
      <w:r w:rsidR="00DA27EC">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8551 / 2. أَحْمَدُ بْنُ مُحَمَّدٍ </w:t>
      </w:r>
      <w:r w:rsidRPr="00D10E3C">
        <w:rPr>
          <w:rStyle w:val="libFootnotenumChar"/>
          <w:rtl/>
        </w:rPr>
        <w:t>(1)</w:t>
      </w:r>
      <w:r>
        <w:rPr>
          <w:rtl/>
          <w:lang w:bidi="fa-IR"/>
        </w:rPr>
        <w:t xml:space="preserve"> ، عَنْ عَلِيِّ بْنِ أَحْمَدَ بْنِ أَشْيَمَ ، عَنِ ابْ</w:t>
      </w:r>
      <w:r w:rsidR="002B60AC">
        <w:rPr>
          <w:rtl/>
          <w:lang w:bidi="fa-IR"/>
        </w:rPr>
        <w:t>نِ أَبِي عُمَيْرٍ ،عَنْ رَجُلٍ</w:t>
      </w:r>
      <w:r>
        <w:rPr>
          <w:rtl/>
          <w:lang w:bidi="fa-IR"/>
        </w:rPr>
        <w:t>:</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دَخَلَتْ مَاشِطَةٌ عَلى رَسُولِ اللهِ </w:t>
      </w:r>
      <w:r w:rsidR="0017097C" w:rsidRPr="00826080">
        <w:rPr>
          <w:rStyle w:val="libAlaemChar"/>
          <w:rtl/>
        </w:rPr>
        <w:t>صلى‌الله‌عليه‌وآله</w:t>
      </w:r>
      <w:r>
        <w:rPr>
          <w:rtl/>
          <w:lang w:bidi="fa-IR"/>
        </w:rPr>
        <w:t xml:space="preserve"> ، فَقَالَ لَهَا : هَلْ </w:t>
      </w:r>
      <w:r w:rsidRPr="00D10E3C">
        <w:rPr>
          <w:rStyle w:val="libFootnotenumChar"/>
          <w:rtl/>
        </w:rPr>
        <w:t>(2)</w:t>
      </w:r>
      <w:r>
        <w:rPr>
          <w:rtl/>
          <w:lang w:bidi="fa-IR"/>
        </w:rPr>
        <w:t xml:space="preserve"> تَرَكْتِ عَمَلَكِ ، أَوْ أَقَمْتِ عَلَيْهِ؟ قَالَتْ </w:t>
      </w:r>
      <w:r w:rsidRPr="00D10E3C">
        <w:rPr>
          <w:rStyle w:val="libFootnotenumChar"/>
          <w:rtl/>
        </w:rPr>
        <w:t>(3)</w:t>
      </w:r>
      <w:r>
        <w:rPr>
          <w:rtl/>
          <w:lang w:bidi="fa-IR"/>
        </w:rPr>
        <w:t xml:space="preserve"> : يَا رَسُولَ</w:t>
      </w:r>
      <w:r w:rsidR="00826080">
        <w:rPr>
          <w:rtl/>
          <w:lang w:bidi="fa-IR"/>
        </w:rPr>
        <w:t xml:space="preserve"> اللهِ ، أَنَا أَعْمَلُهُ إِل</w:t>
      </w:r>
      <w:r w:rsidR="00826080">
        <w:rPr>
          <w:rFonts w:hint="cs"/>
          <w:rtl/>
          <w:lang w:bidi="fa-IR"/>
        </w:rPr>
        <w:t>َّ</w:t>
      </w:r>
      <w:r w:rsidR="00826080">
        <w:rPr>
          <w:rtl/>
          <w:lang w:bidi="fa-IR"/>
        </w:rPr>
        <w:t>ا</w:t>
      </w:r>
      <w:r>
        <w:rPr>
          <w:rtl/>
          <w:lang w:bidi="fa-IR"/>
        </w:rPr>
        <w:t xml:space="preserve"> أَنْ تَنْهَانِي عَنْهُ </w:t>
      </w:r>
      <w:r w:rsidRPr="00D10E3C">
        <w:rPr>
          <w:rStyle w:val="libFootnotenumChar"/>
          <w:rtl/>
        </w:rPr>
        <w:t>(4)</w:t>
      </w:r>
      <w:r>
        <w:rPr>
          <w:rtl/>
          <w:lang w:bidi="fa-IR"/>
        </w:rPr>
        <w:t xml:space="preserve"> ، فَأَنْتَهِيَ عَنْهُ </w:t>
      </w:r>
      <w:r w:rsidRPr="00D10E3C">
        <w:rPr>
          <w:rStyle w:val="libFootnotenumChar"/>
          <w:rtl/>
        </w:rPr>
        <w:t>(5)</w:t>
      </w:r>
      <w:r>
        <w:rPr>
          <w:rtl/>
          <w:lang w:bidi="fa-IR"/>
        </w:rPr>
        <w:t xml:space="preserve"> ، فَقَالَ </w:t>
      </w:r>
      <w:r w:rsidRPr="00D10E3C">
        <w:rPr>
          <w:rStyle w:val="libFootnotenumChar"/>
          <w:rtl/>
        </w:rPr>
        <w:t>(6)</w:t>
      </w:r>
      <w:r>
        <w:rPr>
          <w:rtl/>
          <w:lang w:bidi="fa-IR"/>
        </w:rPr>
        <w:t xml:space="preserve"> : افْعَلِي ، فَإِذَا مَشَطْتِ فَلَا تَجْلِي </w:t>
      </w:r>
      <w:r w:rsidRPr="00D10E3C">
        <w:rPr>
          <w:rStyle w:val="libFootnotenumChar"/>
          <w:rtl/>
        </w:rPr>
        <w:t>(7)</w:t>
      </w:r>
      <w:r>
        <w:rPr>
          <w:rtl/>
          <w:lang w:bidi="fa-IR"/>
        </w:rPr>
        <w:t xml:space="preserve"> الْوَجْهَ بِالْخِرَقِ </w:t>
      </w:r>
      <w:r w:rsidRPr="00D10E3C">
        <w:rPr>
          <w:rStyle w:val="libFootnotenumChar"/>
          <w:rtl/>
        </w:rPr>
        <w:t>(8)</w:t>
      </w:r>
      <w:r>
        <w:rPr>
          <w:rtl/>
          <w:lang w:bidi="fa-IR"/>
        </w:rPr>
        <w:t xml:space="preserve"> ؛ فَإِنَّهُ يَذْهَبُ </w:t>
      </w:r>
      <w:r w:rsidRPr="00D10E3C">
        <w:rPr>
          <w:rStyle w:val="libFootnotenumChar"/>
          <w:rtl/>
        </w:rPr>
        <w:t>(9)</w:t>
      </w:r>
      <w:r>
        <w:rPr>
          <w:rtl/>
          <w:lang w:bidi="fa-IR"/>
        </w:rPr>
        <w:t xml:space="preserve"> بِمَاءِ الْوَجْهِ ، وَلَا تَصِلِي </w:t>
      </w:r>
      <w:r w:rsidRPr="00D10E3C">
        <w:rPr>
          <w:rStyle w:val="libFootnotenumChar"/>
          <w:rtl/>
        </w:rPr>
        <w:t>(10)</w:t>
      </w:r>
      <w:r>
        <w:rPr>
          <w:rtl/>
          <w:lang w:bidi="fa-IR"/>
        </w:rPr>
        <w:t xml:space="preserve"> الشَّعْرَ بِالشَّعْرِ ». </w:t>
      </w:r>
      <w:r w:rsidRPr="00D10E3C">
        <w:rPr>
          <w:rStyle w:val="libFootnotenumChar"/>
          <w:rtl/>
        </w:rPr>
        <w:t>(11)</w:t>
      </w:r>
    </w:p>
    <w:p w:rsidR="00144FA6" w:rsidRDefault="00744A1C" w:rsidP="00744A1C">
      <w:pPr>
        <w:pStyle w:val="libNormal"/>
        <w:rPr>
          <w:rtl/>
          <w:lang w:bidi="fa-IR"/>
        </w:rPr>
      </w:pPr>
      <w:r>
        <w:rPr>
          <w:rtl/>
          <w:lang w:bidi="fa-IR"/>
        </w:rPr>
        <w:t xml:space="preserve">8552 / 3. مُحَمَّدُ بْنُ يَحْيى ، عَنْ مُحَمَّدِ بْنِ الْحُسَيْنِ </w:t>
      </w:r>
      <w:r w:rsidRPr="00D10E3C">
        <w:rPr>
          <w:rStyle w:val="libFootnotenumChar"/>
          <w:rtl/>
        </w:rPr>
        <w:t>(12)</w:t>
      </w:r>
      <w:r>
        <w:rPr>
          <w:rtl/>
          <w:lang w:bidi="fa-IR"/>
        </w:rPr>
        <w:t xml:space="preserve"> ، عَنْ عَبْدِ الرَّحْمنِ بْنِ أَبِي هَاشِمٍ ، عَنْ سَالِمِ بْنِ مُكْرَمٍ ، عَنْ سَعْدٍ الْإِسْكَافِ ، قَالَ :</w:t>
      </w:r>
    </w:p>
    <w:p w:rsidR="00744A1C" w:rsidRDefault="00744A1C" w:rsidP="00D10E3C">
      <w:pPr>
        <w:pStyle w:val="libLine"/>
        <w:rPr>
          <w:lang w:bidi="fa-IR"/>
        </w:rPr>
      </w:pPr>
      <w:r>
        <w:rPr>
          <w:rtl/>
          <w:lang w:bidi="fa-IR"/>
        </w:rPr>
        <w:t>____________________</w:t>
      </w:r>
    </w:p>
    <w:p w:rsidR="00744A1C" w:rsidRDefault="00826080" w:rsidP="00D10E3C">
      <w:pPr>
        <w:pStyle w:val="libFootnote0"/>
        <w:rPr>
          <w:lang w:bidi="fa-IR"/>
        </w:rPr>
      </w:pPr>
      <w:r>
        <w:rPr>
          <w:rFonts w:hint="cs"/>
          <w:rtl/>
          <w:lang w:bidi="fa-IR"/>
        </w:rPr>
        <w:t xml:space="preserve">= </w:t>
      </w:r>
      <w:r w:rsidR="00744A1C">
        <w:rPr>
          <w:rtl/>
          <w:lang w:bidi="fa-IR"/>
        </w:rPr>
        <w:t xml:space="preserve">الكليني ، وفيهما إلى قوله : « وأحظى عند الزوج ». </w:t>
      </w:r>
      <w:r w:rsidR="00744A1C" w:rsidRPr="00C24F9C">
        <w:rPr>
          <w:rStyle w:val="libFootnoteBoldChar"/>
          <w:rtl/>
        </w:rPr>
        <w:t>التهذيب</w:t>
      </w:r>
      <w:r w:rsidR="00744A1C">
        <w:rPr>
          <w:rtl/>
          <w:lang w:bidi="fa-IR"/>
        </w:rPr>
        <w:t xml:space="preserve"> ، ج 6 ، ص 360 ، ح 1035 ، معلّقاً عن أحمد بن محمّد ، عن أحمد بن محمّد بن أبي نصر </w:t>
      </w:r>
      <w:r>
        <w:rPr>
          <w:rFonts w:hint="cs"/>
          <w:rtl/>
          <w:lang w:bidi="fa-IR"/>
        </w:rPr>
        <w:t>.</w:t>
      </w:r>
      <w:r w:rsidR="00744A1C" w:rsidRPr="00C24F9C">
        <w:rPr>
          <w:rStyle w:val="libFootnoteBoldChar"/>
          <w:rtl/>
        </w:rPr>
        <w:t>الوافي</w:t>
      </w:r>
      <w:r w:rsidR="00744A1C">
        <w:rPr>
          <w:rtl/>
          <w:lang w:bidi="fa-IR"/>
        </w:rPr>
        <w:t xml:space="preserve"> ، ج 17 ، ص 199 ، ح 17114 ؛ </w:t>
      </w:r>
      <w:r w:rsidR="00744A1C" w:rsidRPr="00C24F9C">
        <w:rPr>
          <w:rStyle w:val="libFootnoteBoldChar"/>
          <w:rtl/>
        </w:rPr>
        <w:t>الوسائل</w:t>
      </w:r>
      <w:r w:rsidR="00744A1C">
        <w:rPr>
          <w:rtl/>
          <w:lang w:bidi="fa-IR"/>
        </w:rPr>
        <w:t xml:space="preserve"> ، ج 17 ، ص 129 ، ح 22170 ، إلى قوله : « وأحظى عند الزوج » ؛ </w:t>
      </w:r>
      <w:r w:rsidR="00744A1C" w:rsidRPr="0061079A">
        <w:rPr>
          <w:rStyle w:val="libFootnoteBoldChar"/>
          <w:rtl/>
        </w:rPr>
        <w:t>البحار</w:t>
      </w:r>
      <w:r w:rsidR="00744A1C">
        <w:rPr>
          <w:rtl/>
          <w:lang w:bidi="fa-IR"/>
        </w:rPr>
        <w:t xml:space="preserve"> ، ج 22 ، ص 132 ، ح 112.</w:t>
      </w:r>
    </w:p>
    <w:p w:rsidR="00744A1C" w:rsidRDefault="00D10E3C" w:rsidP="00D10E3C">
      <w:pPr>
        <w:pStyle w:val="libFootnote0"/>
        <w:rPr>
          <w:lang w:bidi="fa-IR"/>
        </w:rPr>
      </w:pPr>
      <w:r>
        <w:rPr>
          <w:rtl/>
          <w:lang w:bidi="fa-IR"/>
        </w:rPr>
        <w:t>(1).</w:t>
      </w:r>
      <w:r w:rsidR="00744A1C">
        <w:rPr>
          <w:rtl/>
          <w:lang w:bidi="fa-IR"/>
        </w:rPr>
        <w:t xml:space="preserve"> السند معلّق على سابقه. ويروي عن أحمد بن محمّد ، عدّة من أصحابنا.</w:t>
      </w:r>
    </w:p>
    <w:p w:rsidR="00744A1C" w:rsidRDefault="00E378DD" w:rsidP="00E378DD">
      <w:pPr>
        <w:pStyle w:val="libFootnote0"/>
        <w:rPr>
          <w:lang w:bidi="fa-IR"/>
        </w:rPr>
      </w:pPr>
      <w:r>
        <w:rPr>
          <w:rtl/>
          <w:lang w:bidi="fa-IR"/>
        </w:rPr>
        <w:t>(2).</w:t>
      </w:r>
      <w:r w:rsidR="00744A1C">
        <w:rPr>
          <w:rtl/>
          <w:lang w:bidi="fa-IR"/>
        </w:rPr>
        <w:t xml:space="preserve"> في « ط » : - « هل ».</w:t>
      </w:r>
    </w:p>
    <w:p w:rsidR="00744A1C" w:rsidRDefault="00E378DD" w:rsidP="00E378DD">
      <w:pPr>
        <w:pStyle w:val="libFootnote0"/>
        <w:rPr>
          <w:lang w:bidi="fa-IR"/>
        </w:rPr>
      </w:pPr>
      <w:r>
        <w:rPr>
          <w:rtl/>
          <w:lang w:bidi="fa-IR"/>
        </w:rPr>
        <w:t>(3).</w:t>
      </w:r>
      <w:r w:rsidR="00744A1C">
        <w:rPr>
          <w:rtl/>
          <w:lang w:bidi="fa-IR"/>
        </w:rPr>
        <w:t xml:space="preserve"> هكذا في النسخ التي قوبلت و</w:t>
      </w:r>
      <w:r w:rsidR="00744A1C" w:rsidRPr="00C24F9C">
        <w:rPr>
          <w:rStyle w:val="libFootnoteBoldChar"/>
          <w:rtl/>
        </w:rPr>
        <w:t>الوافي</w:t>
      </w:r>
      <w:r w:rsidR="00744A1C">
        <w:rPr>
          <w:rtl/>
          <w:lang w:bidi="fa-IR"/>
        </w:rPr>
        <w:t>. وفي المطبوع : « فقالت ».</w:t>
      </w:r>
    </w:p>
    <w:tbl>
      <w:tblPr>
        <w:tblStyle w:val="TableGrid"/>
        <w:bidiVisual/>
        <w:tblW w:w="0" w:type="auto"/>
        <w:tblLook w:val="04A0" w:firstRow="1" w:lastRow="0" w:firstColumn="1" w:lastColumn="0" w:noHBand="0" w:noVBand="1"/>
      </w:tblPr>
      <w:tblGrid>
        <w:gridCol w:w="4006"/>
        <w:gridCol w:w="4006"/>
      </w:tblGrid>
      <w:tr w:rsidR="00826080" w:rsidTr="00826080">
        <w:tc>
          <w:tcPr>
            <w:tcW w:w="4006" w:type="dxa"/>
          </w:tcPr>
          <w:p w:rsidR="00826080" w:rsidRDefault="00826080" w:rsidP="00E378DD">
            <w:pPr>
              <w:pStyle w:val="libFootnote0"/>
              <w:rPr>
                <w:rtl/>
                <w:lang w:bidi="fa-IR"/>
              </w:rPr>
            </w:pPr>
            <w:r>
              <w:rPr>
                <w:rtl/>
                <w:lang w:bidi="fa-IR"/>
              </w:rPr>
              <w:t>(4). في « بح » : - « عنه ».</w:t>
            </w:r>
          </w:p>
        </w:tc>
        <w:tc>
          <w:tcPr>
            <w:tcW w:w="4006" w:type="dxa"/>
          </w:tcPr>
          <w:p w:rsidR="00826080" w:rsidRDefault="00826080" w:rsidP="00E378DD">
            <w:pPr>
              <w:pStyle w:val="libFootnote0"/>
              <w:rPr>
                <w:rtl/>
                <w:lang w:bidi="fa-IR"/>
              </w:rPr>
            </w:pPr>
            <w:r>
              <w:rPr>
                <w:rtl/>
                <w:lang w:bidi="fa-IR"/>
              </w:rPr>
              <w:t>(5). في « ط » : - « عنه ».</w:t>
            </w:r>
          </w:p>
        </w:tc>
      </w:tr>
    </w:tbl>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826080">
        <w:rPr>
          <w:rtl/>
        </w:rPr>
        <w:t>والوافي والوسائل والتهذيب.</w:t>
      </w:r>
      <w:r w:rsidR="00744A1C">
        <w:rPr>
          <w:rtl/>
          <w:lang w:bidi="fa-IR"/>
        </w:rPr>
        <w:t xml:space="preserve"> وفي المطبوع : + « لها ».</w:t>
      </w:r>
    </w:p>
    <w:p w:rsidR="00744A1C" w:rsidRDefault="00E378DD" w:rsidP="00E378DD">
      <w:pPr>
        <w:pStyle w:val="libFootnote0"/>
        <w:rPr>
          <w:lang w:bidi="fa-IR"/>
        </w:rPr>
      </w:pPr>
      <w:r>
        <w:rPr>
          <w:rtl/>
          <w:lang w:bidi="fa-IR"/>
        </w:rPr>
        <w:t>(7).</w:t>
      </w:r>
      <w:r w:rsidR="00744A1C">
        <w:rPr>
          <w:rtl/>
          <w:lang w:bidi="fa-IR"/>
        </w:rPr>
        <w:t xml:space="preserve"> في « ى ، بس » : « فلا تجلّي ». وفي « بف » : « فلا تخلي » وفي </w:t>
      </w:r>
      <w:r w:rsidR="00744A1C" w:rsidRPr="00C24F9C">
        <w:rPr>
          <w:rStyle w:val="libFootnoteBoldChar"/>
          <w:rtl/>
        </w:rPr>
        <w:t>التهذيب</w:t>
      </w:r>
      <w:r w:rsidR="00744A1C">
        <w:rPr>
          <w:rtl/>
          <w:lang w:bidi="fa-IR"/>
        </w:rPr>
        <w:t xml:space="preserve"> : « فلا تحكي ».</w:t>
      </w:r>
    </w:p>
    <w:p w:rsidR="00744A1C" w:rsidRDefault="00E378DD" w:rsidP="00E378DD">
      <w:pPr>
        <w:pStyle w:val="libFootnote0"/>
        <w:rPr>
          <w:lang w:bidi="fa-IR"/>
        </w:rPr>
      </w:pPr>
      <w:r>
        <w:rPr>
          <w:rtl/>
          <w:lang w:bidi="fa-IR"/>
        </w:rPr>
        <w:t>(8).</w:t>
      </w:r>
      <w:r w:rsidR="00744A1C">
        <w:rPr>
          <w:rtl/>
          <w:lang w:bidi="fa-IR"/>
        </w:rPr>
        <w:t xml:space="preserve"> في « بخ ، بف » </w:t>
      </w:r>
      <w:r w:rsidR="00744A1C" w:rsidRPr="00726971">
        <w:rPr>
          <w:rtl/>
        </w:rPr>
        <w:t>والوافي</w:t>
      </w:r>
      <w:r w:rsidR="00744A1C">
        <w:rPr>
          <w:rtl/>
          <w:lang w:bidi="fa-IR"/>
        </w:rPr>
        <w:t xml:space="preserve"> : « بالخرقة ». وفي </w:t>
      </w:r>
      <w:r w:rsidR="00744A1C" w:rsidRPr="00C24F9C">
        <w:rPr>
          <w:rStyle w:val="libFootnoteBoldChar"/>
          <w:rtl/>
        </w:rPr>
        <w:t>التهذيب</w:t>
      </w:r>
      <w:r w:rsidR="00744A1C">
        <w:rPr>
          <w:rtl/>
          <w:lang w:bidi="fa-IR"/>
        </w:rPr>
        <w:t xml:space="preserve"> : « بالخزف ».</w:t>
      </w:r>
    </w:p>
    <w:p w:rsidR="00744A1C" w:rsidRDefault="00E378DD" w:rsidP="00E378DD">
      <w:pPr>
        <w:pStyle w:val="libFootnote0"/>
        <w:rPr>
          <w:lang w:bidi="fa-IR"/>
        </w:rPr>
      </w:pPr>
      <w:r>
        <w:rPr>
          <w:rtl/>
          <w:lang w:bidi="fa-IR"/>
        </w:rPr>
        <w:t>(9).</w:t>
      </w:r>
      <w:r w:rsidR="00744A1C">
        <w:rPr>
          <w:rtl/>
          <w:lang w:bidi="fa-IR"/>
        </w:rPr>
        <w:t xml:space="preserve"> هكذا في جميع النسخ التي قوبلت </w:t>
      </w:r>
      <w:r w:rsidR="00744A1C" w:rsidRPr="00826080">
        <w:rPr>
          <w:rtl/>
        </w:rPr>
        <w:t>والوافي والوسائل والتهذيب. وفي</w:t>
      </w:r>
      <w:r w:rsidR="00744A1C">
        <w:rPr>
          <w:rtl/>
          <w:lang w:bidi="fa-IR"/>
        </w:rPr>
        <w:t xml:space="preserve"> المطبوع : « فإنّها تذهب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لا تصلي ، كأنّه لعدم جواز الصلاة ، أو للتدليس إذا أرادت التزويج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359 ، ح 1031 ، معلّقاً عن أحمد بن محمّد </w:t>
      </w:r>
      <w:r w:rsidR="00726971">
        <w:rPr>
          <w:rFonts w:hint="cs"/>
          <w:rtl/>
          <w:lang w:bidi="fa-IR"/>
        </w:rPr>
        <w:t>.</w:t>
      </w:r>
      <w:r w:rsidR="00744A1C" w:rsidRPr="00C24F9C">
        <w:rPr>
          <w:rStyle w:val="libFootnoteBoldChar"/>
          <w:rtl/>
        </w:rPr>
        <w:t>الوافي</w:t>
      </w:r>
      <w:r w:rsidR="00744A1C">
        <w:rPr>
          <w:rtl/>
          <w:lang w:bidi="fa-IR"/>
        </w:rPr>
        <w:t xml:space="preserve"> ، ج 17 ، ص 202 ، ح 17115 ؛ </w:t>
      </w:r>
      <w:r w:rsidR="00744A1C" w:rsidRPr="00C24F9C">
        <w:rPr>
          <w:rStyle w:val="libFootnoteBoldChar"/>
          <w:rtl/>
        </w:rPr>
        <w:t>الوسائل</w:t>
      </w:r>
      <w:r w:rsidR="00744A1C">
        <w:rPr>
          <w:rtl/>
          <w:lang w:bidi="fa-IR"/>
        </w:rPr>
        <w:t xml:space="preserve"> ، ج 17 ، ص 131 ، ح 22174.</w:t>
      </w:r>
    </w:p>
    <w:p w:rsidR="00744A1C" w:rsidRDefault="00E378DD" w:rsidP="00E378DD">
      <w:pPr>
        <w:pStyle w:val="libFootnote0"/>
        <w:rPr>
          <w:lang w:bidi="fa-IR"/>
        </w:rPr>
      </w:pPr>
      <w:r>
        <w:rPr>
          <w:rtl/>
          <w:lang w:bidi="fa-IR"/>
        </w:rPr>
        <w:t>(12).</w:t>
      </w:r>
      <w:r w:rsidR="00744A1C">
        <w:rPr>
          <w:rtl/>
          <w:lang w:bidi="fa-IR"/>
        </w:rPr>
        <w:t xml:space="preserve"> في </w:t>
      </w:r>
      <w:r w:rsidR="00744A1C" w:rsidRPr="00726971">
        <w:rPr>
          <w:rtl/>
        </w:rPr>
        <w:t>التهذيب</w:t>
      </w:r>
      <w:r w:rsidR="00744A1C">
        <w:rPr>
          <w:rtl/>
          <w:lang w:bidi="fa-IR"/>
        </w:rPr>
        <w:t xml:space="preserve"> : « أحمد بن الحسن ». وهو سهو ؛ فقد روى محمّد بن الحسين عن عبد الرحمن بن أبي هاشم‌كتاب أبي خديجة سالم بن مكرم ، وتكرّرت في الأسناد رواية محمّد بن الحسين عن عبد الرحمن بن أبي هاشم عن سالم بن مكرم بعناوينه المختلفة. راجع : </w:t>
      </w:r>
      <w:r w:rsidR="00744A1C" w:rsidRPr="003A7143">
        <w:rPr>
          <w:rStyle w:val="libFootnoteBoldChar"/>
          <w:rtl/>
        </w:rPr>
        <w:t>الفهرست للطوسي</w:t>
      </w:r>
      <w:r w:rsidR="00744A1C">
        <w:rPr>
          <w:rtl/>
          <w:lang w:bidi="fa-IR"/>
        </w:rPr>
        <w:t xml:space="preserve"> ، ص 226 ، الرقم 337 ؛ </w:t>
      </w:r>
      <w:r w:rsidR="00744A1C" w:rsidRPr="0061079A">
        <w:rPr>
          <w:rStyle w:val="libFootnoteBoldChar"/>
          <w:rtl/>
        </w:rPr>
        <w:t>معجم رجال الحديث</w:t>
      </w:r>
      <w:r w:rsidR="00744A1C">
        <w:rPr>
          <w:rtl/>
          <w:lang w:bidi="fa-IR"/>
        </w:rPr>
        <w:t xml:space="preserve"> ، ج 9 ، ص 524 - 525.</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سُئِلَ أَبُو جَعْفَرٍ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عَنِ الْقَرَامِلِ </w:t>
      </w:r>
      <w:r w:rsidRPr="00D10E3C">
        <w:rPr>
          <w:rStyle w:val="libFootnotenumChar"/>
          <w:rtl/>
        </w:rPr>
        <w:t>(2)</w:t>
      </w:r>
      <w:r>
        <w:rPr>
          <w:rtl/>
          <w:lang w:bidi="fa-IR"/>
        </w:rPr>
        <w:t xml:space="preserve"> الَّتِي تَضَعُهَا </w:t>
      </w:r>
      <w:r w:rsidRPr="00D10E3C">
        <w:rPr>
          <w:rStyle w:val="libFootnotenumChar"/>
          <w:rtl/>
        </w:rPr>
        <w:t>(3)</w:t>
      </w:r>
      <w:r>
        <w:rPr>
          <w:rtl/>
          <w:lang w:bidi="fa-IR"/>
        </w:rPr>
        <w:t xml:space="preserve"> النِّسَاءُ فِي رُؤُوسِهِنَّ يَصِلْنَهُ بِشُعُورِهِنَّ </w:t>
      </w:r>
      <w:r w:rsidRPr="00D10E3C">
        <w:rPr>
          <w:rStyle w:val="libFootnotenumChar"/>
          <w:rtl/>
        </w:rPr>
        <w:t>(4)</w:t>
      </w:r>
      <w:r>
        <w:rPr>
          <w:rtl/>
          <w:lang w:bidi="fa-IR"/>
        </w:rPr>
        <w:t>؟</w:t>
      </w:r>
    </w:p>
    <w:p w:rsidR="00744A1C" w:rsidRDefault="00744A1C" w:rsidP="00744A1C">
      <w:pPr>
        <w:pStyle w:val="libNormal"/>
        <w:rPr>
          <w:lang w:bidi="fa-IR"/>
        </w:rPr>
      </w:pPr>
      <w:r>
        <w:rPr>
          <w:rtl/>
          <w:lang w:bidi="fa-IR"/>
        </w:rPr>
        <w:t xml:space="preserve">فَقَالَ : « لَا بَأْسَ </w:t>
      </w:r>
      <w:r w:rsidRPr="00D10E3C">
        <w:rPr>
          <w:rStyle w:val="libFootnotenumChar"/>
          <w:rtl/>
        </w:rPr>
        <w:t>(5)</w:t>
      </w:r>
      <w:r>
        <w:rPr>
          <w:rtl/>
          <w:lang w:bidi="fa-IR"/>
        </w:rPr>
        <w:t xml:space="preserve"> عَلَى الْمَرْأَةِ بِمَا </w:t>
      </w:r>
      <w:r w:rsidRPr="00D10E3C">
        <w:rPr>
          <w:rStyle w:val="libFootnotenumChar"/>
          <w:rtl/>
        </w:rPr>
        <w:t>(6)</w:t>
      </w:r>
      <w:r>
        <w:rPr>
          <w:rtl/>
          <w:lang w:bidi="fa-IR"/>
        </w:rPr>
        <w:t xml:space="preserve"> تَزَيَّنَتْ بِهِ لِزَوْجِهَا ».</w:t>
      </w:r>
    </w:p>
    <w:p w:rsidR="00744A1C" w:rsidRDefault="00744A1C" w:rsidP="00744A1C">
      <w:pPr>
        <w:pStyle w:val="libNormal"/>
        <w:rPr>
          <w:lang w:bidi="fa-IR"/>
        </w:rPr>
      </w:pPr>
      <w:r>
        <w:rPr>
          <w:rtl/>
          <w:lang w:bidi="fa-IR"/>
        </w:rPr>
        <w:t xml:space="preserve">قَالَ : فَقُلْتُ لَهُ </w:t>
      </w:r>
      <w:r w:rsidRPr="00D10E3C">
        <w:rPr>
          <w:rStyle w:val="libFootnotenumChar"/>
          <w:rtl/>
        </w:rPr>
        <w:t>(7)</w:t>
      </w:r>
      <w:r>
        <w:rPr>
          <w:rtl/>
          <w:lang w:bidi="fa-IR"/>
        </w:rPr>
        <w:t xml:space="preserve"> : بَلَغَنَا أَنَّ رَسُولَ اللهِ </w:t>
      </w:r>
      <w:r w:rsidR="007B299E" w:rsidRPr="007B299E">
        <w:rPr>
          <w:rStyle w:val="libAlaemChar"/>
          <w:rtl/>
        </w:rPr>
        <w:t>صلى‌الله‌عليه‌وآله</w:t>
      </w:r>
      <w:r w:rsidR="00D10E3C">
        <w:rPr>
          <w:rtl/>
          <w:lang w:bidi="fa-IR"/>
        </w:rPr>
        <w:t xml:space="preserve"> </w:t>
      </w:r>
      <w:r>
        <w:rPr>
          <w:rtl/>
          <w:lang w:bidi="fa-IR"/>
        </w:rPr>
        <w:t>لَعَنَ الْوَاصِلَةَ وَالْمَوْصُولَةَ.</w:t>
      </w:r>
    </w:p>
    <w:p w:rsidR="00144FA6" w:rsidRDefault="00744A1C" w:rsidP="00744A1C">
      <w:pPr>
        <w:pStyle w:val="libNormal"/>
        <w:rPr>
          <w:rtl/>
          <w:lang w:bidi="fa-IR"/>
        </w:rPr>
      </w:pPr>
      <w:r>
        <w:rPr>
          <w:rtl/>
          <w:lang w:bidi="fa-IR"/>
        </w:rPr>
        <w:t xml:space="preserve">فَقَالَ : « لَيْسَ هُنَاكَ ، إِنَّمَا لَعَنَ رَسُولُ اللهِ </w:t>
      </w:r>
      <w:r w:rsidR="007B299E" w:rsidRPr="007B299E">
        <w:rPr>
          <w:rStyle w:val="libAlaemChar"/>
          <w:rtl/>
        </w:rPr>
        <w:t>صلى‌الله‌عليه‌وآله</w:t>
      </w:r>
      <w:r w:rsidR="00D10E3C">
        <w:rPr>
          <w:rtl/>
          <w:lang w:bidi="fa-IR"/>
        </w:rPr>
        <w:t xml:space="preserve"> </w:t>
      </w:r>
      <w:r>
        <w:rPr>
          <w:rtl/>
          <w:lang w:bidi="fa-IR"/>
        </w:rPr>
        <w:t xml:space="preserve">الْوَاصِلَةَ </w:t>
      </w:r>
      <w:r w:rsidRPr="00D10E3C">
        <w:rPr>
          <w:rStyle w:val="libFootnotenumChar"/>
          <w:rtl/>
        </w:rPr>
        <w:t>(8)</w:t>
      </w:r>
      <w:r>
        <w:rPr>
          <w:rtl/>
          <w:lang w:bidi="fa-IR"/>
        </w:rPr>
        <w:t xml:space="preserve"> الَّتِي تَزْنِي فِي شَبَابِهَا ، فَلَمَّا كَبِرَتْ قَادَتِ النِّسَاءَ </w:t>
      </w:r>
      <w:r w:rsidRPr="00D10E3C">
        <w:rPr>
          <w:rStyle w:val="libFootnotenumChar"/>
          <w:rtl/>
        </w:rPr>
        <w:t>(9)</w:t>
      </w:r>
      <w:r>
        <w:rPr>
          <w:rtl/>
          <w:lang w:bidi="fa-IR"/>
        </w:rPr>
        <w:t xml:space="preserve"> إِلَى الرِّجَالِ ، فَتِلْكَ </w:t>
      </w:r>
      <w:r w:rsidRPr="00D10E3C">
        <w:rPr>
          <w:rStyle w:val="libFootnotenumChar"/>
          <w:rtl/>
        </w:rPr>
        <w:t>(10)</w:t>
      </w:r>
      <w:r>
        <w:rPr>
          <w:rtl/>
          <w:lang w:bidi="fa-IR"/>
        </w:rPr>
        <w:t xml:space="preserve"> الْوَاصِلَةُ وَالْمَوْصُولَةُ ». </w:t>
      </w:r>
      <w:r w:rsidRPr="00D10E3C">
        <w:rPr>
          <w:rStyle w:val="libFootnotenumChar"/>
          <w:rtl/>
        </w:rPr>
        <w:t>(11)</w:t>
      </w:r>
    </w:p>
    <w:p w:rsidR="00144FA6" w:rsidRDefault="00744A1C" w:rsidP="00744A1C">
      <w:pPr>
        <w:pStyle w:val="libNormal"/>
        <w:rPr>
          <w:rtl/>
          <w:lang w:bidi="fa-IR"/>
        </w:rPr>
      </w:pPr>
      <w:r>
        <w:rPr>
          <w:rtl/>
          <w:lang w:bidi="fa-IR"/>
        </w:rPr>
        <w:t>8553 / 4. عِدَّةٌ مِنْ أَصْحَابِنَا ، عَنْ سَهْلِ بْنِ زِيَادٍ ، عَنْ عَلِيِّ بْنِ أَسْبَاطٍ ، عَنْ خَلَفِ بْنِ حَمَّادٍ ، عَنْ عَمْرِو بْنِ ثَابِتٍ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726971">
        <w:rPr>
          <w:rtl/>
        </w:rPr>
        <w:t>الكافي ،</w:t>
      </w:r>
      <w:r w:rsidR="00744A1C">
        <w:rPr>
          <w:rtl/>
          <w:lang w:bidi="fa-IR"/>
        </w:rPr>
        <w:t xml:space="preserve"> ح 10227 : « عن أبي جعفر </w:t>
      </w:r>
      <w:r w:rsidR="0061079A" w:rsidRPr="0061079A">
        <w:rPr>
          <w:rStyle w:val="libFootnoteAlaemChar"/>
          <w:rtl/>
        </w:rPr>
        <w:t>عليه‌السلام</w:t>
      </w:r>
      <w:r>
        <w:rPr>
          <w:rtl/>
          <w:lang w:bidi="fa-IR"/>
        </w:rPr>
        <w:t xml:space="preserve"> </w:t>
      </w:r>
      <w:r w:rsidR="00744A1C">
        <w:rPr>
          <w:rtl/>
          <w:lang w:bidi="fa-IR"/>
        </w:rPr>
        <w:t xml:space="preserve">، قال : سئل » بدل « قال : سئل أبو جعفر </w:t>
      </w:r>
      <w:r w:rsidR="0061079A" w:rsidRPr="0061079A">
        <w:rPr>
          <w:rStyle w:val="libFootnoteAlaemChar"/>
          <w:rtl/>
        </w:rPr>
        <w:t>عليه‌السلام</w:t>
      </w:r>
      <w:r>
        <w:rPr>
          <w:rtl/>
          <w:lang w:bidi="fa-IR"/>
        </w:rPr>
        <w:t xml:space="preserve"> </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 القرامل » : هي ضفائر من شعر أوصوف أو إبريسم ، تصل به </w:t>
      </w:r>
      <w:r w:rsidR="00744A1C" w:rsidRPr="00726971">
        <w:rPr>
          <w:rtl/>
        </w:rPr>
        <w:t>المرأة</w:t>
      </w:r>
      <w:r w:rsidR="00744A1C">
        <w:rPr>
          <w:rtl/>
          <w:lang w:bidi="fa-IR"/>
        </w:rPr>
        <w:t xml:space="preserve"> شعرها. </w:t>
      </w:r>
      <w:r w:rsidR="00744A1C" w:rsidRPr="00877682">
        <w:rPr>
          <w:rStyle w:val="libFootnoteBoldChar"/>
          <w:rtl/>
        </w:rPr>
        <w:t>النهاية</w:t>
      </w:r>
      <w:r w:rsidR="00955510">
        <w:rPr>
          <w:rtl/>
          <w:lang w:bidi="fa-IR"/>
        </w:rPr>
        <w:t xml:space="preserve"> ، ج 4 ، ص 51 ( قرمل</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في « بح ، بس » </w:t>
      </w:r>
      <w:r w:rsidR="00744A1C" w:rsidRPr="00726971">
        <w:rPr>
          <w:rtl/>
        </w:rPr>
        <w:t>والوافي والكافي ،</w:t>
      </w:r>
      <w:r w:rsidR="00744A1C">
        <w:rPr>
          <w:rtl/>
          <w:lang w:bidi="fa-IR"/>
        </w:rPr>
        <w:t xml:space="preserve"> ح 10227 </w:t>
      </w:r>
      <w:r w:rsidR="00744A1C" w:rsidRPr="0061079A">
        <w:rPr>
          <w:rStyle w:val="libFootnoteBoldChar"/>
          <w:rtl/>
        </w:rPr>
        <w:t>والتهذيب</w:t>
      </w:r>
      <w:r w:rsidR="00744A1C">
        <w:rPr>
          <w:rtl/>
          <w:lang w:bidi="fa-IR"/>
        </w:rPr>
        <w:t xml:space="preserve"> : « تصنعها ». وفي « بف » : « تضعهنّ ».</w:t>
      </w:r>
    </w:p>
    <w:p w:rsidR="00744A1C" w:rsidRDefault="00E378DD" w:rsidP="00E378DD">
      <w:pPr>
        <w:pStyle w:val="libFootnote0"/>
        <w:rPr>
          <w:lang w:bidi="fa-IR"/>
        </w:rPr>
      </w:pPr>
      <w:r>
        <w:rPr>
          <w:rtl/>
          <w:lang w:bidi="fa-IR"/>
        </w:rPr>
        <w:t>(4).</w:t>
      </w:r>
      <w:r w:rsidR="00744A1C">
        <w:rPr>
          <w:rtl/>
          <w:lang w:bidi="fa-IR"/>
        </w:rPr>
        <w:t xml:space="preserve"> في « بخ ، بف » </w:t>
      </w:r>
      <w:r w:rsidR="00744A1C" w:rsidRPr="00726971">
        <w:rPr>
          <w:rtl/>
        </w:rPr>
        <w:t>والوافي</w:t>
      </w:r>
      <w:r w:rsidR="00744A1C">
        <w:rPr>
          <w:rtl/>
          <w:lang w:bidi="fa-IR"/>
        </w:rPr>
        <w:t xml:space="preserve"> : « يصلن به شعورهنّ ».</w:t>
      </w:r>
    </w:p>
    <w:tbl>
      <w:tblPr>
        <w:tblStyle w:val="TableGrid"/>
        <w:bidiVisual/>
        <w:tblW w:w="0" w:type="auto"/>
        <w:tblLook w:val="04A0" w:firstRow="1" w:lastRow="0" w:firstColumn="1" w:lastColumn="0" w:noHBand="0" w:noVBand="1"/>
      </w:tblPr>
      <w:tblGrid>
        <w:gridCol w:w="4006"/>
        <w:gridCol w:w="4006"/>
      </w:tblGrid>
      <w:tr w:rsidR="00726971" w:rsidTr="00726971">
        <w:tc>
          <w:tcPr>
            <w:tcW w:w="4006" w:type="dxa"/>
          </w:tcPr>
          <w:p w:rsidR="00726971" w:rsidRDefault="00726971" w:rsidP="00E378DD">
            <w:pPr>
              <w:pStyle w:val="libFootnote0"/>
              <w:rPr>
                <w:rtl/>
                <w:lang w:bidi="fa-IR"/>
              </w:rPr>
            </w:pPr>
            <w:r>
              <w:rPr>
                <w:rtl/>
                <w:lang w:bidi="fa-IR"/>
              </w:rPr>
              <w:t xml:space="preserve">(5). في « ط ، بف » </w:t>
            </w:r>
            <w:r w:rsidRPr="00726971">
              <w:rPr>
                <w:rtl/>
              </w:rPr>
              <w:t>والوافي والتهذيب</w:t>
            </w:r>
            <w:r>
              <w:rPr>
                <w:rtl/>
                <w:lang w:bidi="fa-IR"/>
              </w:rPr>
              <w:t xml:space="preserve"> : + « به ».</w:t>
            </w:r>
          </w:p>
        </w:tc>
        <w:tc>
          <w:tcPr>
            <w:tcW w:w="4006" w:type="dxa"/>
          </w:tcPr>
          <w:p w:rsidR="00726971" w:rsidRDefault="00726971" w:rsidP="00E378DD">
            <w:pPr>
              <w:pStyle w:val="libFootnote0"/>
              <w:rPr>
                <w:rtl/>
                <w:lang w:bidi="fa-IR"/>
              </w:rPr>
            </w:pPr>
            <w:r>
              <w:rPr>
                <w:rtl/>
                <w:lang w:bidi="fa-IR"/>
              </w:rPr>
              <w:t xml:space="preserve">(6). في </w:t>
            </w:r>
            <w:r w:rsidRPr="00C24F9C">
              <w:rPr>
                <w:rStyle w:val="libFootnoteBoldChar"/>
                <w:rtl/>
              </w:rPr>
              <w:t>التهذيب</w:t>
            </w:r>
            <w:r>
              <w:rPr>
                <w:rtl/>
                <w:lang w:bidi="fa-IR"/>
              </w:rPr>
              <w:t xml:space="preserve"> : « ما ».</w:t>
            </w:r>
          </w:p>
        </w:tc>
      </w:tr>
    </w:tbl>
    <w:p w:rsidR="00744A1C" w:rsidRDefault="00E378DD" w:rsidP="00E378DD">
      <w:pPr>
        <w:pStyle w:val="libFootnote0"/>
        <w:rPr>
          <w:lang w:bidi="fa-IR"/>
        </w:rPr>
      </w:pPr>
      <w:r>
        <w:rPr>
          <w:rtl/>
          <w:lang w:bidi="fa-IR"/>
        </w:rPr>
        <w:t>(7).</w:t>
      </w:r>
      <w:r w:rsidR="00744A1C">
        <w:rPr>
          <w:rtl/>
          <w:lang w:bidi="fa-IR"/>
        </w:rPr>
        <w:t xml:space="preserve"> في « بس ، جت ، جد ، جن » و</w:t>
      </w:r>
      <w:r w:rsidR="00744A1C" w:rsidRPr="00C24F9C">
        <w:rPr>
          <w:rStyle w:val="libFootnoteBoldChar"/>
          <w:rtl/>
        </w:rPr>
        <w:t>الوسائل</w:t>
      </w:r>
      <w:r w:rsidR="00744A1C">
        <w:rPr>
          <w:rtl/>
          <w:lang w:bidi="fa-IR"/>
        </w:rPr>
        <w:t xml:space="preserve"> ، ح 22175 و</w:t>
      </w:r>
      <w:r w:rsidR="00744A1C" w:rsidRPr="0061079A">
        <w:rPr>
          <w:rStyle w:val="libFootnoteBoldChar"/>
          <w:rtl/>
        </w:rPr>
        <w:t>الكافي</w:t>
      </w:r>
      <w:r w:rsidR="00744A1C">
        <w:rPr>
          <w:rtl/>
          <w:lang w:bidi="fa-IR"/>
        </w:rPr>
        <w:t xml:space="preserve"> ، ح 10227 </w:t>
      </w:r>
      <w:r w:rsidR="00744A1C" w:rsidRPr="0061079A">
        <w:rPr>
          <w:rStyle w:val="libFootnoteBoldChar"/>
          <w:rtl/>
        </w:rPr>
        <w:t>والتهذيب</w:t>
      </w:r>
      <w:r w:rsidR="00744A1C">
        <w:rPr>
          <w:rtl/>
          <w:lang w:bidi="fa-IR"/>
        </w:rPr>
        <w:t xml:space="preserve"> : - « له ».</w:t>
      </w:r>
    </w:p>
    <w:p w:rsidR="00744A1C" w:rsidRDefault="00E378DD" w:rsidP="00E378DD">
      <w:pPr>
        <w:pStyle w:val="libFootnote0"/>
        <w:rPr>
          <w:lang w:bidi="fa-IR"/>
        </w:rPr>
      </w:pPr>
      <w:r>
        <w:rPr>
          <w:rtl/>
          <w:lang w:bidi="fa-IR"/>
        </w:rPr>
        <w:t>(8).</w:t>
      </w:r>
      <w:r w:rsidR="00744A1C">
        <w:rPr>
          <w:rtl/>
          <w:lang w:bidi="fa-IR"/>
        </w:rPr>
        <w:t xml:space="preserve"> في </w:t>
      </w:r>
      <w:r w:rsidR="00744A1C" w:rsidRPr="0061079A">
        <w:rPr>
          <w:rStyle w:val="libFootnoteBoldChar"/>
          <w:rtl/>
        </w:rPr>
        <w:t>الكافي</w:t>
      </w:r>
      <w:r w:rsidR="00744A1C">
        <w:rPr>
          <w:rtl/>
          <w:lang w:bidi="fa-IR"/>
        </w:rPr>
        <w:t xml:space="preserve"> ، ح 10227 : + « والموصولة ». وقال ابن الأثير : « وفيه أنّه لعن الواصلة والمستوصلة ، الواصلة : التي‌تصل شعرها بشعرٍ آخَرَ زورٍ ، والمستوصلة : التي تأمر من يفعل بها ذلك ». </w:t>
      </w:r>
      <w:r w:rsidR="00744A1C" w:rsidRPr="00877682">
        <w:rPr>
          <w:rStyle w:val="libFootnoteBoldChar"/>
          <w:rtl/>
        </w:rPr>
        <w:t>النهاية</w:t>
      </w:r>
      <w:r w:rsidR="00744A1C">
        <w:rPr>
          <w:rtl/>
          <w:lang w:bidi="fa-IR"/>
        </w:rPr>
        <w:t xml:space="preserve"> ، ج 5 ، ص 192 ( وصل ).</w:t>
      </w:r>
    </w:p>
    <w:p w:rsidR="00744A1C" w:rsidRDefault="00E378DD" w:rsidP="00E378DD">
      <w:pPr>
        <w:pStyle w:val="libFootnote0"/>
        <w:rPr>
          <w:lang w:bidi="fa-IR"/>
        </w:rPr>
      </w:pPr>
      <w:r>
        <w:rPr>
          <w:rtl/>
          <w:lang w:bidi="fa-IR"/>
        </w:rPr>
        <w:t>(9).</w:t>
      </w:r>
      <w:r w:rsidR="00744A1C">
        <w:rPr>
          <w:rtl/>
          <w:lang w:bidi="fa-IR"/>
        </w:rPr>
        <w:t xml:space="preserve"> « قادت النساء » أي جمعت بينهنّ وبينهم للفجور ؛ من القيادة ، وهي السعي بين الشخصين لجمعهما على الوطي المحرّم. وقال المحقّق : « أمّا القيادة فهي الجمع بين الرجال والنساء للزنا ، أو الرجال والصبيان للّواط ». راجع : </w:t>
      </w:r>
      <w:r w:rsidR="00744A1C" w:rsidRPr="00877682">
        <w:rPr>
          <w:rStyle w:val="libFootnoteBoldChar"/>
          <w:rtl/>
        </w:rPr>
        <w:t>النهاية</w:t>
      </w:r>
      <w:r w:rsidR="00744A1C">
        <w:rPr>
          <w:rtl/>
          <w:lang w:bidi="fa-IR"/>
        </w:rPr>
        <w:t xml:space="preserve"> ، ص 710 ؛ </w:t>
      </w:r>
      <w:r w:rsidR="00744A1C" w:rsidRPr="00726971">
        <w:rPr>
          <w:rStyle w:val="libFootnoteBoldChar"/>
          <w:rtl/>
        </w:rPr>
        <w:t>المختصر النافع</w:t>
      </w:r>
      <w:r w:rsidR="00744A1C">
        <w:rPr>
          <w:rtl/>
          <w:lang w:bidi="fa-IR"/>
        </w:rPr>
        <w:t xml:space="preserve"> ، ص 219 ؛ كتاب </w:t>
      </w:r>
      <w:r w:rsidR="00744A1C" w:rsidRPr="00726971">
        <w:rPr>
          <w:rStyle w:val="libFootnoteBoldChar"/>
          <w:rtl/>
        </w:rPr>
        <w:t>المكاسب</w:t>
      </w:r>
      <w:r w:rsidR="00744A1C">
        <w:rPr>
          <w:rtl/>
          <w:lang w:bidi="fa-IR"/>
        </w:rPr>
        <w:t xml:space="preserve"> للشيخ الأعظم ، ج 1 ، ص 385.</w:t>
      </w:r>
    </w:p>
    <w:p w:rsidR="00744A1C" w:rsidRDefault="00E378DD" w:rsidP="00E378DD">
      <w:pPr>
        <w:pStyle w:val="libFootnote0"/>
        <w:rPr>
          <w:lang w:bidi="fa-IR"/>
        </w:rPr>
      </w:pPr>
      <w:r>
        <w:rPr>
          <w:rtl/>
          <w:lang w:bidi="fa-IR"/>
        </w:rPr>
        <w:t>(10).</w:t>
      </w:r>
      <w:r w:rsidR="00744A1C">
        <w:rPr>
          <w:rtl/>
          <w:lang w:bidi="fa-IR"/>
        </w:rPr>
        <w:t xml:space="preserve"> في « بف » : « فقال ». وفي « بخ » : - « فتلك ».</w:t>
      </w:r>
    </w:p>
    <w:p w:rsidR="00744A1C" w:rsidRDefault="00E378DD" w:rsidP="00E378DD">
      <w:pPr>
        <w:pStyle w:val="libFootnote0"/>
        <w:rPr>
          <w:lang w:bidi="fa-IR"/>
        </w:rPr>
      </w:pPr>
      <w:r>
        <w:rPr>
          <w:rtl/>
          <w:lang w:bidi="fa-IR"/>
        </w:rPr>
        <w:t>(11).</w:t>
      </w:r>
      <w:r w:rsidR="00744A1C">
        <w:rPr>
          <w:rtl/>
          <w:lang w:bidi="fa-IR"/>
        </w:rPr>
        <w:t xml:space="preserve"> </w:t>
      </w:r>
      <w:r w:rsidR="00744A1C" w:rsidRPr="0061079A">
        <w:rPr>
          <w:rStyle w:val="libFootnoteBoldChar"/>
          <w:rtl/>
        </w:rPr>
        <w:t>الكافي</w:t>
      </w:r>
      <w:r w:rsidR="00744A1C">
        <w:rPr>
          <w:rtl/>
          <w:lang w:bidi="fa-IR"/>
        </w:rPr>
        <w:t xml:space="preserve"> ، كتاب النكاح ، باب النهي عن خلال تكره لهنّ ، ح 10227. وفي </w:t>
      </w:r>
      <w:r w:rsidR="00744A1C" w:rsidRPr="00C24F9C">
        <w:rPr>
          <w:rStyle w:val="libFootnoteBoldChar"/>
          <w:rtl/>
        </w:rPr>
        <w:t>التهذيب</w:t>
      </w:r>
      <w:r w:rsidR="00744A1C">
        <w:rPr>
          <w:rtl/>
          <w:lang w:bidi="fa-IR"/>
        </w:rPr>
        <w:t xml:space="preserve"> ، ج 6 ، ص 360 ، ح 1032 ، معلّقاً عن الكليني. </w:t>
      </w:r>
      <w:r w:rsidR="00744A1C" w:rsidRPr="003A7143">
        <w:rPr>
          <w:rStyle w:val="libFootnoteBoldChar"/>
          <w:rtl/>
        </w:rPr>
        <w:t>المحاسن</w:t>
      </w:r>
      <w:r w:rsidR="00744A1C">
        <w:rPr>
          <w:rtl/>
          <w:lang w:bidi="fa-IR"/>
        </w:rPr>
        <w:t xml:space="preserve"> ، ص 114 ، كتاب عقاب الأعمال ، ح 115 ، بسنده عن عبد الرحمن بن أبي هاشم ، عن أبي خديجة ، عن سعد ،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من قوله : « فقلت له : بلغنا ». راجع : </w:t>
      </w:r>
      <w:r w:rsidR="00744A1C" w:rsidRPr="0061079A">
        <w:rPr>
          <w:rStyle w:val="libFootnoteBoldChar"/>
          <w:rtl/>
        </w:rPr>
        <w:t>الكافي</w:t>
      </w:r>
      <w:r w:rsidR="00744A1C">
        <w:rPr>
          <w:rtl/>
          <w:lang w:bidi="fa-IR"/>
        </w:rPr>
        <w:t xml:space="preserve"> ، كتاب الحيض ، باب غسل الحائض ... ، ح 4172 ؛ وكتاب النكاح ، باب النهي عن خلال تكره لهنّ ، ح 10226 ؛ و</w:t>
      </w:r>
      <w:r w:rsidR="00744A1C" w:rsidRPr="00C24F9C">
        <w:rPr>
          <w:rStyle w:val="libFootnoteBoldChar"/>
          <w:rtl/>
        </w:rPr>
        <w:t>الفقيه</w:t>
      </w:r>
      <w:r w:rsidR="00744A1C">
        <w:rPr>
          <w:rtl/>
          <w:lang w:bidi="fa-IR"/>
        </w:rPr>
        <w:t xml:space="preserve"> ، ج 4 ، ص 47 ، ح 5062 ؛ </w:t>
      </w:r>
      <w:r w:rsidR="00744A1C" w:rsidRPr="00877682">
        <w:rPr>
          <w:rStyle w:val="libFootnoteBoldChar"/>
          <w:rtl/>
        </w:rPr>
        <w:t>و</w:t>
      </w:r>
      <w:r w:rsidR="00744A1C" w:rsidRPr="00610FB4">
        <w:rPr>
          <w:rStyle w:val="libFootnoteBoldChar"/>
          <w:rtl/>
        </w:rPr>
        <w:t>معاني الأخبار</w:t>
      </w:r>
      <w:r w:rsidR="00744A1C">
        <w:rPr>
          <w:rtl/>
          <w:lang w:bidi="fa-IR"/>
        </w:rPr>
        <w:t xml:space="preserve"> ، ص 249 ، ح 1 ؛ وص 250 ، ح 1 </w:t>
      </w:r>
      <w:r w:rsidR="00726971">
        <w:rPr>
          <w:rFonts w:hint="cs"/>
          <w:rtl/>
          <w:lang w:bidi="fa-IR"/>
        </w:rPr>
        <w:t>.</w:t>
      </w:r>
      <w:r w:rsidR="00744A1C" w:rsidRPr="00C24F9C">
        <w:rPr>
          <w:rStyle w:val="libFootnoteBoldChar"/>
          <w:rtl/>
        </w:rPr>
        <w:t>الوافي</w:t>
      </w:r>
      <w:r w:rsidR="00744A1C">
        <w:rPr>
          <w:rtl/>
          <w:lang w:bidi="fa-IR"/>
        </w:rPr>
        <w:t xml:space="preserve"> ، ج 17 ، ص 202 ، ح 17116 ؛ </w:t>
      </w:r>
      <w:r w:rsidR="00744A1C" w:rsidRPr="00C24F9C">
        <w:rPr>
          <w:rStyle w:val="libFootnoteBoldChar"/>
          <w:rtl/>
        </w:rPr>
        <w:t>الوسائل</w:t>
      </w:r>
      <w:r w:rsidR="00744A1C">
        <w:rPr>
          <w:rtl/>
          <w:lang w:bidi="fa-IR"/>
        </w:rPr>
        <w:t xml:space="preserve"> ، ج 17 ، ص 132 ، ح 22175 ؛ وج 20 ، ص 187 ، ذيل ح 25387.</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كَانَتِ امْرَأَةٌ يُقَالُ لَهَا : أُمُّ </w:t>
      </w:r>
      <w:r w:rsidRPr="00D10E3C">
        <w:rPr>
          <w:rStyle w:val="libFootnotenumChar"/>
          <w:rtl/>
        </w:rPr>
        <w:t>(1)</w:t>
      </w:r>
      <w:r>
        <w:rPr>
          <w:rtl/>
          <w:lang w:bidi="fa-IR"/>
        </w:rPr>
        <w:t xml:space="preserve"> طَيْبَةَ </w:t>
      </w:r>
      <w:r w:rsidRPr="00D10E3C">
        <w:rPr>
          <w:rStyle w:val="libFootnotenumChar"/>
          <w:rtl/>
        </w:rPr>
        <w:t>(2)</w:t>
      </w:r>
      <w:r>
        <w:rPr>
          <w:rtl/>
          <w:lang w:bidi="fa-IR"/>
        </w:rPr>
        <w:t xml:space="preserve"> تَخْفِضُ الْجَوَارِيَ ، فَدَعَاهَا النَّبِيُّ </w:t>
      </w:r>
      <w:r w:rsidRPr="00D10E3C">
        <w:rPr>
          <w:rStyle w:val="libFootnotenumChar"/>
          <w:rtl/>
        </w:rPr>
        <w:t>(3)</w:t>
      </w:r>
      <w:r>
        <w:rPr>
          <w:rtl/>
          <w:lang w:bidi="fa-IR"/>
        </w:rPr>
        <w:t xml:space="preserve"> </w:t>
      </w:r>
      <w:r w:rsidR="0017097C" w:rsidRPr="0017097C">
        <w:rPr>
          <w:rStyle w:val="libAlaemChar"/>
          <w:rtl/>
        </w:rPr>
        <w:t>صلى‌الله‌عليه‌وآله</w:t>
      </w:r>
      <w:r w:rsidR="00D10E3C">
        <w:rPr>
          <w:rtl/>
          <w:lang w:bidi="fa-IR"/>
        </w:rPr>
        <w:t xml:space="preserve"> </w:t>
      </w:r>
      <w:r>
        <w:rPr>
          <w:rtl/>
          <w:lang w:bidi="fa-IR"/>
        </w:rPr>
        <w:t xml:space="preserve">، فَقَالَ </w:t>
      </w:r>
      <w:r w:rsidRPr="00D10E3C">
        <w:rPr>
          <w:rStyle w:val="libFootnotenumChar"/>
          <w:rtl/>
        </w:rPr>
        <w:t>(4)</w:t>
      </w:r>
      <w:r>
        <w:rPr>
          <w:rtl/>
          <w:lang w:bidi="fa-IR"/>
        </w:rPr>
        <w:t xml:space="preserve"> لَهَا : يَا أُمَّ طَيْبَةَ </w:t>
      </w:r>
      <w:r w:rsidRPr="00D10E3C">
        <w:rPr>
          <w:rStyle w:val="libFootnotenumChar"/>
          <w:rtl/>
        </w:rPr>
        <w:t>(5)</w:t>
      </w:r>
      <w:r>
        <w:rPr>
          <w:rtl/>
          <w:lang w:bidi="fa-IR"/>
        </w:rPr>
        <w:t xml:space="preserve"> ، إِذَا خَفَضْتِ </w:t>
      </w:r>
      <w:r w:rsidRPr="00D10E3C">
        <w:rPr>
          <w:rStyle w:val="libFootnotenumChar"/>
          <w:rtl/>
        </w:rPr>
        <w:t>(6)</w:t>
      </w:r>
      <w:r>
        <w:rPr>
          <w:rtl/>
          <w:lang w:bidi="fa-IR"/>
        </w:rPr>
        <w:t xml:space="preserve"> فَأَشِمِّي ، وَلَا تُجْحِفِي </w:t>
      </w:r>
      <w:r w:rsidRPr="00D10E3C">
        <w:rPr>
          <w:rStyle w:val="libFootnotenumChar"/>
          <w:rtl/>
        </w:rPr>
        <w:t>(7)</w:t>
      </w:r>
      <w:r>
        <w:rPr>
          <w:rtl/>
          <w:lang w:bidi="fa-IR"/>
        </w:rPr>
        <w:t xml:space="preserve"> ؛ فَإِنَّهُ أَصْفى لِلَوْنِ الْوَجْهِ </w:t>
      </w:r>
      <w:r w:rsidRPr="00D10E3C">
        <w:rPr>
          <w:rStyle w:val="libFootnotenumChar"/>
          <w:rtl/>
        </w:rPr>
        <w:t>(8)</w:t>
      </w:r>
      <w:r>
        <w:rPr>
          <w:rtl/>
          <w:lang w:bidi="fa-IR"/>
        </w:rPr>
        <w:t xml:space="preserve"> ، وَأَحْظى عِنْدَ الْبَعْلِ ». </w:t>
      </w:r>
      <w:r w:rsidRPr="00D10E3C">
        <w:rPr>
          <w:rStyle w:val="libFootnotenumChar"/>
          <w:rtl/>
        </w:rPr>
        <w:t>(9)</w:t>
      </w:r>
    </w:p>
    <w:p w:rsidR="00744A1C" w:rsidRDefault="00744A1C" w:rsidP="00726971">
      <w:pPr>
        <w:pStyle w:val="Heading2Center"/>
        <w:rPr>
          <w:lang w:bidi="fa-IR"/>
        </w:rPr>
      </w:pPr>
      <w:bookmarkStart w:id="160" w:name="_Toc49261458"/>
      <w:r>
        <w:rPr>
          <w:rtl/>
          <w:lang w:bidi="fa-IR"/>
        </w:rPr>
        <w:t>37 - بَابُ كَسْبِ الْمُغَنِّيَةِ وَشِرَائِهَا‌</w:t>
      </w:r>
      <w:bookmarkEnd w:id="160"/>
    </w:p>
    <w:p w:rsidR="00144FA6" w:rsidRDefault="00744A1C" w:rsidP="00744A1C">
      <w:pPr>
        <w:pStyle w:val="libNormal"/>
        <w:rPr>
          <w:rtl/>
          <w:lang w:bidi="fa-IR"/>
        </w:rPr>
      </w:pPr>
      <w:r>
        <w:rPr>
          <w:rtl/>
          <w:lang w:bidi="fa-IR"/>
        </w:rPr>
        <w:t>8554 / 1. عِدَّةٌ مِنْ أَصْحَابِنَا ، عَنْ أَحْمَدَ بْنِ مُحَمَّدٍ ، عَنِ الْحُسَيْنِ بْنِ سَعِيدٍ ، عَنْ عَلِيِّ بْنِ أَبِي حَمْزَةَ ، عَنْ أَبِي بَصِيرٍ ، قَالَ :</w:t>
      </w:r>
    </w:p>
    <w:p w:rsidR="00744A1C" w:rsidRDefault="00744A1C" w:rsidP="00744A1C">
      <w:pPr>
        <w:pStyle w:val="libNormal"/>
        <w:rPr>
          <w:lang w:bidi="fa-IR"/>
        </w:rPr>
      </w:pPr>
      <w:r>
        <w:rPr>
          <w:rtl/>
          <w:lang w:bidi="fa-IR"/>
        </w:rPr>
        <w:t xml:space="preserve">سَأَلْتُ أَبَا جَعْفَرٍ </w:t>
      </w:r>
      <w:r w:rsidRPr="00D10E3C">
        <w:rPr>
          <w:rStyle w:val="libFootnotenumChar"/>
          <w:rtl/>
        </w:rPr>
        <w:t>(10)</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عَنْ كَسْبِ الْمُغَنِّيَاتِ </w:t>
      </w:r>
      <w:r w:rsidRPr="00D10E3C">
        <w:rPr>
          <w:rStyle w:val="libFootnotenumChar"/>
          <w:rtl/>
        </w:rPr>
        <w:t>(11)</w:t>
      </w:r>
      <w:r>
        <w:rPr>
          <w:rtl/>
          <w:lang w:bidi="fa-IR"/>
        </w:rPr>
        <w:t>؟</w:t>
      </w:r>
    </w:p>
    <w:p w:rsidR="00744A1C" w:rsidRDefault="00744A1C" w:rsidP="00744A1C">
      <w:pPr>
        <w:pStyle w:val="libNormal"/>
        <w:rPr>
          <w:lang w:bidi="fa-IR"/>
        </w:rPr>
      </w:pPr>
      <w:r>
        <w:rPr>
          <w:rtl/>
          <w:lang w:bidi="fa-IR"/>
        </w:rPr>
        <w:t xml:space="preserve">فَقَالَ : « الَّتِي يَدْخُلُ </w:t>
      </w:r>
      <w:r w:rsidRPr="00D10E3C">
        <w:rPr>
          <w:rStyle w:val="libFootnotenumChar"/>
          <w:rtl/>
        </w:rPr>
        <w:t>(12)</w:t>
      </w:r>
      <w:r>
        <w:rPr>
          <w:rtl/>
          <w:lang w:bidi="fa-IR"/>
        </w:rPr>
        <w:t xml:space="preserve"> عَلَيْهَا الرِّجَالُ حَرَامٌ ، وَالَّتِي تُدْعى إِلَى الْأَعْرَاسِ </w:t>
      </w:r>
      <w:r w:rsidRPr="00D10E3C">
        <w:rPr>
          <w:rStyle w:val="libFootnotenumChar"/>
          <w:rtl/>
        </w:rPr>
        <w:t>(13)</w:t>
      </w:r>
      <w:r>
        <w:rPr>
          <w:rtl/>
          <w:lang w:bidi="fa-IR"/>
        </w:rPr>
        <w:t xml:space="preserve"> لَيْسَ‌</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بف » : - « ا</w:t>
      </w:r>
      <w:r w:rsidR="009F5E16">
        <w:rPr>
          <w:rFonts w:hint="cs"/>
          <w:rtl/>
          <w:lang w:bidi="fa-IR"/>
        </w:rPr>
        <w:t>ُ</w:t>
      </w:r>
      <w:r w:rsidR="00744A1C">
        <w:rPr>
          <w:rtl/>
          <w:lang w:bidi="fa-IR"/>
        </w:rPr>
        <w:t>مّ ».</w:t>
      </w:r>
    </w:p>
    <w:p w:rsidR="00744A1C" w:rsidRDefault="00E378DD" w:rsidP="00E378DD">
      <w:pPr>
        <w:pStyle w:val="libFootnote0"/>
        <w:rPr>
          <w:lang w:bidi="fa-IR"/>
        </w:rPr>
      </w:pPr>
      <w:r>
        <w:rPr>
          <w:rtl/>
          <w:lang w:bidi="fa-IR"/>
        </w:rPr>
        <w:t>(2).</w:t>
      </w:r>
      <w:r w:rsidR="00744A1C">
        <w:rPr>
          <w:rtl/>
          <w:lang w:bidi="fa-IR"/>
        </w:rPr>
        <w:t xml:space="preserve"> في « ط ، بف ، جد » وحاشية « ى » : « ظبية ». وفي « بس » : « طَبِيَّة ».</w:t>
      </w:r>
    </w:p>
    <w:tbl>
      <w:tblPr>
        <w:tblStyle w:val="TableGrid"/>
        <w:bidiVisual/>
        <w:tblW w:w="0" w:type="auto"/>
        <w:tblLook w:val="04A0" w:firstRow="1" w:lastRow="0" w:firstColumn="1" w:lastColumn="0" w:noHBand="0" w:noVBand="1"/>
      </w:tblPr>
      <w:tblGrid>
        <w:gridCol w:w="4006"/>
        <w:gridCol w:w="4006"/>
      </w:tblGrid>
      <w:tr w:rsidR="009F5E16" w:rsidTr="009F5E16">
        <w:tc>
          <w:tcPr>
            <w:tcW w:w="4006" w:type="dxa"/>
          </w:tcPr>
          <w:p w:rsidR="009F5E16" w:rsidRDefault="009F5E16" w:rsidP="00E378DD">
            <w:pPr>
              <w:pStyle w:val="libFootnote0"/>
              <w:rPr>
                <w:rtl/>
                <w:lang w:bidi="fa-IR"/>
              </w:rPr>
            </w:pPr>
            <w:r>
              <w:rPr>
                <w:rtl/>
                <w:lang w:bidi="fa-IR"/>
              </w:rPr>
              <w:t xml:space="preserve">(3). في </w:t>
            </w:r>
            <w:r w:rsidRPr="006911DF">
              <w:rPr>
                <w:rtl/>
              </w:rPr>
              <w:t>الكافي</w:t>
            </w:r>
            <w:r>
              <w:rPr>
                <w:rtl/>
                <w:lang w:bidi="fa-IR"/>
              </w:rPr>
              <w:t xml:space="preserve"> ، ح 10558 : « رسول الله ».</w:t>
            </w:r>
          </w:p>
        </w:tc>
        <w:tc>
          <w:tcPr>
            <w:tcW w:w="4006" w:type="dxa"/>
          </w:tcPr>
          <w:p w:rsidR="009F5E16" w:rsidRDefault="009F5E16" w:rsidP="00E378DD">
            <w:pPr>
              <w:pStyle w:val="libFootnote0"/>
              <w:rPr>
                <w:rtl/>
                <w:lang w:bidi="fa-IR"/>
              </w:rPr>
            </w:pPr>
            <w:r>
              <w:rPr>
                <w:rtl/>
                <w:lang w:bidi="fa-IR"/>
              </w:rPr>
              <w:t xml:space="preserve">(4). في « بخ ، بف » </w:t>
            </w:r>
            <w:r w:rsidRPr="009F5E16">
              <w:rPr>
                <w:rtl/>
              </w:rPr>
              <w:t>والوافي</w:t>
            </w:r>
            <w:r>
              <w:rPr>
                <w:rtl/>
                <w:lang w:bidi="fa-IR"/>
              </w:rPr>
              <w:t xml:space="preserve"> : « وقال ».</w:t>
            </w:r>
          </w:p>
        </w:tc>
      </w:tr>
    </w:tbl>
    <w:p w:rsidR="00744A1C" w:rsidRDefault="00E378DD" w:rsidP="00E378DD">
      <w:pPr>
        <w:pStyle w:val="libFootnote0"/>
        <w:rPr>
          <w:lang w:bidi="fa-IR"/>
        </w:rPr>
      </w:pPr>
      <w:r>
        <w:rPr>
          <w:rtl/>
          <w:lang w:bidi="fa-IR"/>
        </w:rPr>
        <w:t>(5).</w:t>
      </w:r>
      <w:r w:rsidR="00744A1C">
        <w:rPr>
          <w:rtl/>
          <w:lang w:bidi="fa-IR"/>
        </w:rPr>
        <w:t xml:space="preserve"> في « ط ، بف ، جد » وحاشية « ى » : « ظبية ». وفي « بس » : « طَبِيَّة ».</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و</w:t>
      </w:r>
      <w:r w:rsidR="00744A1C" w:rsidRPr="00C24F9C">
        <w:rPr>
          <w:rStyle w:val="libFootnoteBoldChar"/>
          <w:rtl/>
        </w:rPr>
        <w:t>الوسائل</w:t>
      </w:r>
      <w:r w:rsidR="00744A1C">
        <w:rPr>
          <w:rtl/>
          <w:lang w:bidi="fa-IR"/>
        </w:rPr>
        <w:t xml:space="preserve">. وفي المطبوع : + « الجواري ». وفي </w:t>
      </w:r>
      <w:r w:rsidR="00744A1C" w:rsidRPr="0061079A">
        <w:rPr>
          <w:rStyle w:val="libFootnoteBoldChar"/>
          <w:rtl/>
        </w:rPr>
        <w:t>الكافي</w:t>
      </w:r>
      <w:r w:rsidR="00744A1C">
        <w:rPr>
          <w:rtl/>
          <w:lang w:bidi="fa-IR"/>
        </w:rPr>
        <w:t xml:space="preserve"> ، ح 10558 : « إذا أنت خفضت امرأة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الإجحاف - بتقديم الجيم على المهملة - : الإذهاب رأساً ». راجع : </w:t>
      </w:r>
      <w:r w:rsidR="00744A1C" w:rsidRPr="006911DF">
        <w:rPr>
          <w:rStyle w:val="libFootnoteBoldChar"/>
          <w:rtl/>
        </w:rPr>
        <w:t>المغرب</w:t>
      </w:r>
      <w:r w:rsidR="00744A1C">
        <w:rPr>
          <w:rtl/>
          <w:lang w:bidi="fa-IR"/>
        </w:rPr>
        <w:t xml:space="preserve"> ، ص 76 ( جحف ).</w:t>
      </w:r>
    </w:p>
    <w:p w:rsidR="00744A1C" w:rsidRDefault="00E378DD" w:rsidP="00E378DD">
      <w:pPr>
        <w:pStyle w:val="libFootnote0"/>
        <w:rPr>
          <w:lang w:bidi="fa-IR"/>
        </w:rPr>
      </w:pPr>
      <w:r>
        <w:rPr>
          <w:rtl/>
          <w:lang w:bidi="fa-IR"/>
        </w:rPr>
        <w:t>(8).</w:t>
      </w:r>
      <w:r w:rsidR="00744A1C">
        <w:rPr>
          <w:rtl/>
          <w:lang w:bidi="fa-IR"/>
        </w:rPr>
        <w:t xml:space="preserve"> في « ط ، بف » </w:t>
      </w:r>
      <w:r w:rsidR="00744A1C" w:rsidRPr="006911DF">
        <w:rPr>
          <w:rtl/>
        </w:rPr>
        <w:t>والوافي والكافي ،</w:t>
      </w:r>
      <w:r w:rsidR="00744A1C">
        <w:rPr>
          <w:rtl/>
          <w:lang w:bidi="fa-IR"/>
        </w:rPr>
        <w:t xml:space="preserve"> ح 10558 </w:t>
      </w:r>
      <w:r w:rsidR="00744A1C" w:rsidRPr="0061079A">
        <w:rPr>
          <w:rStyle w:val="libFootnoteBoldChar"/>
          <w:rtl/>
        </w:rPr>
        <w:t>والتهذيب</w:t>
      </w:r>
      <w:r w:rsidR="00744A1C">
        <w:rPr>
          <w:rtl/>
          <w:lang w:bidi="fa-IR"/>
        </w:rPr>
        <w:t xml:space="preserve"> : « للّون » بدل « للون الوجه ». وفي « ى » : « للوجه » بدلها.</w:t>
      </w:r>
    </w:p>
    <w:p w:rsidR="00744A1C" w:rsidRDefault="00E378DD" w:rsidP="00E378DD">
      <w:pPr>
        <w:pStyle w:val="libFootnote0"/>
        <w:rPr>
          <w:lang w:bidi="fa-IR"/>
        </w:rPr>
      </w:pPr>
      <w:r>
        <w:rPr>
          <w:rtl/>
          <w:lang w:bidi="fa-IR"/>
        </w:rPr>
        <w:t>(9).</w:t>
      </w:r>
      <w:r w:rsidR="00744A1C">
        <w:rPr>
          <w:rtl/>
          <w:lang w:bidi="fa-IR"/>
        </w:rPr>
        <w:t xml:space="preserve"> </w:t>
      </w:r>
      <w:r w:rsidR="00744A1C" w:rsidRPr="0061079A">
        <w:rPr>
          <w:rStyle w:val="libFootnoteBoldChar"/>
          <w:rtl/>
        </w:rPr>
        <w:t>الكافي</w:t>
      </w:r>
      <w:r w:rsidR="00744A1C">
        <w:rPr>
          <w:rtl/>
          <w:lang w:bidi="fa-IR"/>
        </w:rPr>
        <w:t xml:space="preserve"> ، كتاب العقيقة ، باب خفض الجواري ، ح 10558. وفي </w:t>
      </w:r>
      <w:r w:rsidR="00744A1C" w:rsidRPr="00C24F9C">
        <w:rPr>
          <w:rStyle w:val="libFootnoteBoldChar"/>
          <w:rtl/>
        </w:rPr>
        <w:t>التهذيب</w:t>
      </w:r>
      <w:r w:rsidR="00744A1C">
        <w:rPr>
          <w:rtl/>
          <w:lang w:bidi="fa-IR"/>
        </w:rPr>
        <w:t xml:space="preserve"> ، ج 6 ، ص 360 ، ح 1034 ، معلّقاً عن الكليني </w:t>
      </w:r>
      <w:r w:rsidR="006911DF">
        <w:rPr>
          <w:rFonts w:hint="cs"/>
          <w:rtl/>
          <w:lang w:bidi="fa-IR"/>
        </w:rPr>
        <w:t>.</w:t>
      </w:r>
      <w:r w:rsidR="00744A1C" w:rsidRPr="00C24F9C">
        <w:rPr>
          <w:rStyle w:val="libFootnoteBoldChar"/>
          <w:rtl/>
        </w:rPr>
        <w:t>الوافي</w:t>
      </w:r>
      <w:r w:rsidR="00744A1C">
        <w:rPr>
          <w:rtl/>
          <w:lang w:bidi="fa-IR"/>
        </w:rPr>
        <w:t xml:space="preserve"> ، ج 17 ، ص 203 ، ح 17117 ؛ </w:t>
      </w:r>
      <w:r w:rsidR="00744A1C" w:rsidRPr="00C24F9C">
        <w:rPr>
          <w:rStyle w:val="libFootnoteBoldChar"/>
          <w:rtl/>
        </w:rPr>
        <w:t>الوسائل</w:t>
      </w:r>
      <w:r w:rsidR="00744A1C">
        <w:rPr>
          <w:rtl/>
          <w:lang w:bidi="fa-IR"/>
        </w:rPr>
        <w:t xml:space="preserve"> ، ج 17 ، ص 130 ، ح 22171.</w:t>
      </w:r>
    </w:p>
    <w:p w:rsidR="00744A1C" w:rsidRDefault="00E378DD" w:rsidP="00E378DD">
      <w:pPr>
        <w:pStyle w:val="libFootnote0"/>
        <w:rPr>
          <w:lang w:bidi="fa-IR"/>
        </w:rPr>
      </w:pPr>
      <w:r>
        <w:rPr>
          <w:rtl/>
          <w:lang w:bidi="fa-IR"/>
        </w:rPr>
        <w:t>(10).</w:t>
      </w:r>
      <w:r w:rsidR="00744A1C">
        <w:rPr>
          <w:rtl/>
          <w:lang w:bidi="fa-IR"/>
        </w:rPr>
        <w:t xml:space="preserve"> في « ى » </w:t>
      </w:r>
      <w:r w:rsidR="00744A1C" w:rsidRPr="00EC4C66">
        <w:rPr>
          <w:rtl/>
        </w:rPr>
        <w:t>والوسائل</w:t>
      </w:r>
      <w:r w:rsidR="00744A1C">
        <w:rPr>
          <w:rtl/>
          <w:lang w:bidi="fa-IR"/>
        </w:rPr>
        <w:t xml:space="preserve"> : « أبا عبد الله ».</w:t>
      </w:r>
    </w:p>
    <w:p w:rsidR="00744A1C" w:rsidRDefault="00E378DD" w:rsidP="00E378DD">
      <w:pPr>
        <w:pStyle w:val="libFootnote0"/>
        <w:rPr>
          <w:lang w:bidi="fa-IR"/>
        </w:rPr>
      </w:pPr>
      <w:r>
        <w:rPr>
          <w:rtl/>
          <w:lang w:bidi="fa-IR"/>
        </w:rPr>
        <w:t>(11).</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عن كسب المغنّيات ، ذكر الشيخ المحقّق الأنصاري - قدّس الله تربته - في الغناء وحكمه ما لا يزيد عليه ولم يبق لأحد بعده كلام ، وحاصل مذهبه أنّ الصوت من حيث هو صوت قد يكون بحيث لا يمكن أن يتصوّر فيه غير كونه لهواً ، وهو حرام ، سواء قارنه فعل محرّم أم لا ، فالحرمة ثابتة لنوع من الأصوات ».</w:t>
      </w:r>
    </w:p>
    <w:p w:rsidR="00744A1C" w:rsidRDefault="00E378DD" w:rsidP="00E378DD">
      <w:pPr>
        <w:pStyle w:val="libFootnote0"/>
        <w:rPr>
          <w:lang w:bidi="fa-IR"/>
        </w:rPr>
      </w:pPr>
      <w:r>
        <w:rPr>
          <w:rtl/>
          <w:lang w:bidi="fa-IR"/>
        </w:rPr>
        <w:t>(12).</w:t>
      </w:r>
      <w:r w:rsidR="00744A1C">
        <w:rPr>
          <w:rtl/>
          <w:lang w:bidi="fa-IR"/>
        </w:rPr>
        <w:t xml:space="preserve"> في « ط ، بخ ، بف » </w:t>
      </w:r>
      <w:r w:rsidR="00744A1C" w:rsidRPr="00EC4C66">
        <w:rPr>
          <w:rtl/>
        </w:rPr>
        <w:t>والتهذيب والاستبصار</w:t>
      </w:r>
      <w:r w:rsidR="00744A1C">
        <w:rPr>
          <w:rtl/>
          <w:lang w:bidi="fa-IR"/>
        </w:rPr>
        <w:t xml:space="preserve"> : « تدخل ». وفي « جن » بالتاء والياء معاً.</w:t>
      </w:r>
    </w:p>
    <w:p w:rsidR="00144FA6" w:rsidRDefault="00E378DD" w:rsidP="00E378DD">
      <w:pPr>
        <w:pStyle w:val="libFootnote0"/>
        <w:rPr>
          <w:rtl/>
          <w:lang w:bidi="fa-IR"/>
        </w:rPr>
      </w:pPr>
      <w:r>
        <w:rPr>
          <w:rtl/>
          <w:lang w:bidi="fa-IR"/>
        </w:rPr>
        <w:t>(13).</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التي يدخل عليها الرجال حرام والتي تدعى إلى</w:t>
      </w:r>
      <w:r w:rsidR="00EC4C66">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بِهِ بَأْسٌ </w:t>
      </w:r>
      <w:r w:rsidRPr="00D10E3C">
        <w:rPr>
          <w:rStyle w:val="libFootnotenumChar"/>
          <w:rtl/>
        </w:rPr>
        <w:t>(1)</w:t>
      </w:r>
      <w:r>
        <w:rPr>
          <w:rtl/>
          <w:lang w:bidi="fa-IR"/>
        </w:rPr>
        <w:t xml:space="preserve"> ، وَهُوَ قَوْلُ اللهِ عَزَّ وَجَلَّ : </w:t>
      </w:r>
      <w:r w:rsidRPr="00164B90">
        <w:rPr>
          <w:rStyle w:val="libAlaemChar"/>
          <w:rtl/>
        </w:rPr>
        <w:t>(</w:t>
      </w:r>
      <w:r w:rsidRPr="00164B90">
        <w:rPr>
          <w:rStyle w:val="libAieChar"/>
          <w:rtl/>
        </w:rPr>
        <w:t xml:space="preserve"> وَمِنَ النّاسِ مَنْ يَشْتَرِي لَهْوَ الْحَدِيثِ </w:t>
      </w:r>
      <w:r w:rsidRPr="00D10E3C">
        <w:rPr>
          <w:rStyle w:val="libFootnotenumChar"/>
          <w:rtl/>
        </w:rPr>
        <w:t>(2)</w:t>
      </w:r>
      <w:r>
        <w:rPr>
          <w:rtl/>
          <w:lang w:bidi="fa-IR"/>
        </w:rPr>
        <w:t xml:space="preserve"> </w:t>
      </w:r>
      <w:r w:rsidRPr="00164B90">
        <w:rPr>
          <w:rStyle w:val="libAieChar"/>
          <w:rtl/>
        </w:rPr>
        <w:t>لِيُضِلَّ عَنْ سَبِيلِ اللهِ</w:t>
      </w:r>
      <w:r>
        <w:rPr>
          <w:rtl/>
          <w:lang w:bidi="fa-IR"/>
        </w:rPr>
        <w:t xml:space="preserve"> </w:t>
      </w:r>
      <w:r w:rsidRPr="00164B90">
        <w:rPr>
          <w:rStyle w:val="libAlaemChar"/>
          <w:rtl/>
        </w:rPr>
        <w:t>)</w:t>
      </w:r>
      <w:r>
        <w:rPr>
          <w:rtl/>
          <w:lang w:bidi="fa-IR"/>
        </w:rPr>
        <w:t xml:space="preserve"> </w:t>
      </w:r>
      <w:r w:rsidRPr="00D10E3C">
        <w:rPr>
          <w:rStyle w:val="libFootnotenumChar"/>
          <w:rtl/>
        </w:rPr>
        <w:t>(3)</w:t>
      </w:r>
      <w:r>
        <w:rPr>
          <w:rtl/>
          <w:lang w:bidi="fa-IR"/>
        </w:rPr>
        <w:t xml:space="preserve"> ». </w:t>
      </w:r>
      <w:r w:rsidRPr="00D10E3C">
        <w:rPr>
          <w:rStyle w:val="libFootnotenumChar"/>
          <w:rtl/>
        </w:rPr>
        <w:t>(4)</w:t>
      </w:r>
    </w:p>
    <w:p w:rsidR="00744A1C" w:rsidRDefault="00744A1C" w:rsidP="00744A1C">
      <w:pPr>
        <w:pStyle w:val="libNormal"/>
        <w:rPr>
          <w:lang w:bidi="fa-IR"/>
        </w:rPr>
      </w:pPr>
      <w:r>
        <w:rPr>
          <w:rtl/>
          <w:lang w:bidi="fa-IR"/>
        </w:rPr>
        <w:t xml:space="preserve">8555 / 2. عَنْهُ </w:t>
      </w:r>
      <w:r w:rsidRPr="00D10E3C">
        <w:rPr>
          <w:rStyle w:val="libFootnotenumChar"/>
          <w:rtl/>
        </w:rPr>
        <w:t>(5)</w:t>
      </w:r>
      <w:r>
        <w:rPr>
          <w:rtl/>
          <w:lang w:bidi="fa-IR"/>
        </w:rPr>
        <w:t xml:space="preserve"> ، عَنْ‌</w:t>
      </w:r>
      <w:r w:rsidR="00164B90">
        <w:rPr>
          <w:rFonts w:hint="cs"/>
          <w:rtl/>
          <w:lang w:bidi="fa-IR"/>
        </w:rPr>
        <w:t>........................................</w:t>
      </w:r>
      <w:r w:rsidR="00164B90">
        <w:rPr>
          <w:rFonts w:hint="cs"/>
          <w:rtl/>
          <w:lang w:bidi="fa-IR"/>
        </w:rPr>
        <w:tab/>
      </w:r>
    </w:p>
    <w:p w:rsidR="00744A1C" w:rsidRDefault="00744A1C" w:rsidP="00D10E3C">
      <w:pPr>
        <w:pStyle w:val="libLine"/>
        <w:rPr>
          <w:lang w:bidi="fa-IR"/>
        </w:rPr>
      </w:pPr>
      <w:r>
        <w:rPr>
          <w:rtl/>
          <w:lang w:bidi="fa-IR"/>
        </w:rPr>
        <w:t>____________________</w:t>
      </w:r>
    </w:p>
    <w:p w:rsidR="00744A1C" w:rsidRDefault="00FA058B" w:rsidP="00FA058B">
      <w:pPr>
        <w:pStyle w:val="libFootnote0"/>
        <w:rPr>
          <w:lang w:bidi="fa-IR"/>
        </w:rPr>
      </w:pPr>
      <w:r>
        <w:rPr>
          <w:rFonts w:hint="cs"/>
          <w:rtl/>
          <w:lang w:bidi="fa-IR"/>
        </w:rPr>
        <w:t xml:space="preserve">= </w:t>
      </w:r>
      <w:r w:rsidR="00744A1C">
        <w:rPr>
          <w:rtl/>
          <w:lang w:bidi="fa-IR"/>
        </w:rPr>
        <w:t xml:space="preserve">الأعراس ، يدلّ على أنّ حرمة الغناء لأجل سماع صوت </w:t>
      </w:r>
      <w:r w:rsidR="00744A1C" w:rsidRPr="00C24F9C">
        <w:rPr>
          <w:rStyle w:val="libFootnoteBoldChar"/>
          <w:rtl/>
        </w:rPr>
        <w:t>المرأة</w:t>
      </w:r>
      <w:r w:rsidR="00744A1C">
        <w:rPr>
          <w:rtl/>
          <w:lang w:bidi="fa-IR"/>
        </w:rPr>
        <w:t xml:space="preserve"> الأجنبيّة شهوة وتلذّذاً ، وفي معناه الحديث التالي - وهو التالي هنا أيضاً - ، وروي عن عليّ بن جعفر عن أخيه </w:t>
      </w:r>
      <w:r w:rsidRPr="00FA058B">
        <w:rPr>
          <w:rFonts w:eastAsiaTheme="minorHAnsi"/>
          <w:rtl/>
        </w:rPr>
        <w:t>عليهما</w:t>
      </w:r>
      <w:r w:rsidRPr="00FA058B">
        <w:rPr>
          <w:rFonts w:eastAsiaTheme="minorHAnsi" w:hint="cs"/>
          <w:rtl/>
        </w:rPr>
        <w:t xml:space="preserve"> </w:t>
      </w:r>
      <w:r w:rsidRPr="00FA058B">
        <w:rPr>
          <w:rFonts w:eastAsiaTheme="minorHAnsi"/>
          <w:rtl/>
        </w:rPr>
        <w:t xml:space="preserve">‌السلام </w:t>
      </w:r>
      <w:r w:rsidR="00744A1C">
        <w:rPr>
          <w:rtl/>
          <w:lang w:bidi="fa-IR"/>
        </w:rPr>
        <w:t xml:space="preserve">عن الغناء في الفطر والأضحى والفرح ، قال : لا بأس ما لم يعص به ، أو لم يرمز به ، وهذا الحديث يدلّ على خلاف مذهب الشيخ </w:t>
      </w:r>
      <w:r w:rsidR="00877682" w:rsidRPr="00877682">
        <w:rPr>
          <w:rStyle w:val="libFootnoteAlaemChar"/>
          <w:rtl/>
        </w:rPr>
        <w:t>رحمه‌الله</w:t>
      </w:r>
      <w:r w:rsidRPr="00FA058B">
        <w:rPr>
          <w:rFonts w:hint="cs"/>
          <w:rtl/>
        </w:rPr>
        <w:t xml:space="preserve"> </w:t>
      </w:r>
      <w:r w:rsidR="00744A1C">
        <w:rPr>
          <w:rtl/>
          <w:lang w:bidi="fa-IR"/>
        </w:rPr>
        <w:t>وأنّه ليس في الصوت من حيث هو صوت حرمة ».</w:t>
      </w:r>
    </w:p>
    <w:p w:rsidR="00744A1C" w:rsidRDefault="00D10E3C" w:rsidP="00D10E3C">
      <w:pPr>
        <w:pStyle w:val="libFootnote0"/>
        <w:rPr>
          <w:lang w:bidi="fa-IR"/>
        </w:rPr>
      </w:pPr>
      <w:r>
        <w:rPr>
          <w:rtl/>
          <w:lang w:bidi="fa-IR"/>
        </w:rPr>
        <w:t>(1).</w:t>
      </w:r>
      <w:r w:rsidR="00744A1C">
        <w:rPr>
          <w:rtl/>
          <w:lang w:bidi="fa-IR"/>
        </w:rPr>
        <w:t xml:space="preserve"> في </w:t>
      </w:r>
      <w:r w:rsidR="00744A1C" w:rsidRPr="00877682">
        <w:rPr>
          <w:rStyle w:val="libFootnoteBoldChar"/>
          <w:rtl/>
        </w:rPr>
        <w:t>مرآة العقول</w:t>
      </w:r>
      <w:r w:rsidR="00744A1C">
        <w:rPr>
          <w:rtl/>
          <w:lang w:bidi="fa-IR"/>
        </w:rPr>
        <w:t xml:space="preserve"> ، ج 19 ، ص 80 : « قال في </w:t>
      </w:r>
      <w:r w:rsidR="00744A1C" w:rsidRPr="00877682">
        <w:rPr>
          <w:rStyle w:val="libFootnoteBoldChar"/>
          <w:rtl/>
        </w:rPr>
        <w:t>الدروس</w:t>
      </w:r>
      <w:r w:rsidR="00744A1C">
        <w:rPr>
          <w:rtl/>
          <w:lang w:bidi="fa-IR"/>
        </w:rPr>
        <w:t xml:space="preserve"> : يحرم الغناء وتعلّمه و</w:t>
      </w:r>
      <w:r w:rsidR="00FA058B">
        <w:rPr>
          <w:rtl/>
          <w:lang w:bidi="fa-IR"/>
        </w:rPr>
        <w:t>تعليمه واستماعه والتكسّب به إل</w:t>
      </w:r>
      <w:r w:rsidR="004D015D">
        <w:rPr>
          <w:rFonts w:hint="cs"/>
          <w:rtl/>
          <w:lang w:bidi="fa-IR"/>
        </w:rPr>
        <w:t>ّ</w:t>
      </w:r>
      <w:r w:rsidR="00FA058B">
        <w:rPr>
          <w:rtl/>
          <w:lang w:bidi="fa-IR"/>
        </w:rPr>
        <w:t>ا</w:t>
      </w:r>
      <w:r w:rsidR="00FA058B">
        <w:rPr>
          <w:rFonts w:hint="cs"/>
          <w:rtl/>
          <w:lang w:bidi="fa-IR"/>
        </w:rPr>
        <w:t xml:space="preserve"> </w:t>
      </w:r>
      <w:r w:rsidR="00744A1C">
        <w:rPr>
          <w:rtl/>
          <w:lang w:bidi="fa-IR"/>
        </w:rPr>
        <w:t xml:space="preserve">غناء العرس إذا لم تدخل الرجال على </w:t>
      </w:r>
      <w:r w:rsidR="00744A1C" w:rsidRPr="00C24F9C">
        <w:rPr>
          <w:rStyle w:val="libFootnoteBoldChar"/>
          <w:rtl/>
        </w:rPr>
        <w:t>المرأة</w:t>
      </w:r>
      <w:r w:rsidR="00744A1C">
        <w:rPr>
          <w:rtl/>
          <w:lang w:bidi="fa-IR"/>
        </w:rPr>
        <w:t xml:space="preserve"> ، ولم تتكلّم بالباطل ، ولم تلعب بالملاهي. وكرهه القاضي ، وحرّمه ابن إدريس والفاضل في التذكرة ، والإباحة أصحّ طريقاً وأخصّ دلالة ». وراجع : </w:t>
      </w:r>
      <w:r w:rsidR="00744A1C" w:rsidRPr="004D015D">
        <w:rPr>
          <w:rStyle w:val="libFootnoteBoldChar"/>
          <w:rtl/>
        </w:rPr>
        <w:t>المهذّب</w:t>
      </w:r>
      <w:r w:rsidR="00744A1C">
        <w:rPr>
          <w:rtl/>
          <w:lang w:bidi="fa-IR"/>
        </w:rPr>
        <w:t xml:space="preserve"> ، ج 1 ، ص 346 ، </w:t>
      </w:r>
      <w:r w:rsidR="00744A1C" w:rsidRPr="00877682">
        <w:rPr>
          <w:rStyle w:val="libFootnoteBoldChar"/>
          <w:rtl/>
        </w:rPr>
        <w:t>السرائر</w:t>
      </w:r>
      <w:r w:rsidR="00744A1C">
        <w:rPr>
          <w:rtl/>
          <w:lang w:bidi="fa-IR"/>
        </w:rPr>
        <w:t xml:space="preserve"> ، ج 2 ، ص 222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162 ، الدرس 231.</w:t>
      </w:r>
    </w:p>
    <w:p w:rsidR="00744A1C" w:rsidRDefault="00E378DD" w:rsidP="004D015D">
      <w:pPr>
        <w:pStyle w:val="libFootnote0"/>
        <w:rPr>
          <w:lang w:bidi="fa-IR"/>
        </w:rPr>
      </w:pPr>
      <w:r>
        <w:rPr>
          <w:rtl/>
          <w:lang w:bidi="fa-IR"/>
        </w:rPr>
        <w:t>(2).</w:t>
      </w:r>
      <w:r w:rsidR="00744A1C">
        <w:rPr>
          <w:rtl/>
          <w:lang w:bidi="fa-IR"/>
        </w:rPr>
        <w:t xml:space="preserve"> في </w:t>
      </w:r>
      <w:r w:rsidR="00744A1C" w:rsidRPr="004D015D">
        <w:rPr>
          <w:rStyle w:val="libFootnoteBoldChar"/>
          <w:rtl/>
        </w:rPr>
        <w:t>مجمع البيان</w:t>
      </w:r>
      <w:r w:rsidR="00744A1C">
        <w:rPr>
          <w:rtl/>
          <w:lang w:bidi="fa-IR"/>
        </w:rPr>
        <w:t xml:space="preserve"> ، ج 8 ، ص 86 : « أي باطل الحديث ، وأكثر المفسّرين على أنّ المراد بلهو الحديث الغناء ، وهو قول ابن عبّاس وابن مسعود وغيرهما ، وهو المرويّ عن أبي جعفر وأبي عبد الله وأبي الحسن الرضا </w:t>
      </w:r>
      <w:r w:rsidR="00877682" w:rsidRPr="00877682">
        <w:rPr>
          <w:rStyle w:val="libFootnoteAlaemChar"/>
          <w:rtl/>
        </w:rPr>
        <w:t>عليهم‌السلام</w:t>
      </w:r>
      <w:r w:rsidR="00D10E3C">
        <w:rPr>
          <w:rtl/>
          <w:lang w:bidi="fa-IR"/>
        </w:rPr>
        <w:t xml:space="preserve"> </w:t>
      </w:r>
      <w:r w:rsidR="00744A1C">
        <w:rPr>
          <w:rtl/>
          <w:lang w:bidi="fa-IR"/>
        </w:rPr>
        <w:t>، قالوا : منه الغناء ».</w:t>
      </w:r>
      <w:r w:rsidR="004D015D">
        <w:rPr>
          <w:rFonts w:hint="cs"/>
          <w:rtl/>
          <w:lang w:bidi="fa-IR"/>
        </w:rPr>
        <w:t xml:space="preserve">                                              </w:t>
      </w:r>
      <w:r>
        <w:rPr>
          <w:rtl/>
          <w:lang w:bidi="fa-IR"/>
        </w:rPr>
        <w:t>(3).</w:t>
      </w:r>
      <w:r w:rsidR="00744A1C">
        <w:rPr>
          <w:rtl/>
          <w:lang w:bidi="fa-IR"/>
        </w:rPr>
        <w:t xml:space="preserve"> لقمان (31) : 6.</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358 ، ح 1024 ؛ </w:t>
      </w:r>
      <w:r w:rsidR="00744A1C" w:rsidRPr="00C24F9C">
        <w:rPr>
          <w:rStyle w:val="libFootnoteBoldChar"/>
          <w:rtl/>
        </w:rPr>
        <w:t>والاستبصار</w:t>
      </w:r>
      <w:r w:rsidR="00744A1C">
        <w:rPr>
          <w:rtl/>
          <w:lang w:bidi="fa-IR"/>
        </w:rPr>
        <w:t xml:space="preserve"> ، ج 3 ، ص 62 ، ح 207 ، معلّقاً عن الحسين بن سعيد </w:t>
      </w:r>
      <w:r w:rsidR="000F1F51">
        <w:rPr>
          <w:rFonts w:hint="cs"/>
          <w:rtl/>
          <w:lang w:bidi="fa-IR"/>
        </w:rPr>
        <w:t>.</w:t>
      </w:r>
      <w:r w:rsidR="00744A1C" w:rsidRPr="00C24F9C">
        <w:rPr>
          <w:rStyle w:val="libFootnoteBoldChar"/>
          <w:rtl/>
        </w:rPr>
        <w:t>الوافي</w:t>
      </w:r>
      <w:r w:rsidR="00744A1C">
        <w:rPr>
          <w:rtl/>
          <w:lang w:bidi="fa-IR"/>
        </w:rPr>
        <w:t xml:space="preserve"> ، ج 17 ، ص 205 ، ح 17121 ؛ </w:t>
      </w:r>
      <w:r w:rsidR="00744A1C" w:rsidRPr="00C24F9C">
        <w:rPr>
          <w:rStyle w:val="libFootnoteBoldChar"/>
          <w:rtl/>
        </w:rPr>
        <w:t>الوسائل</w:t>
      </w:r>
      <w:r w:rsidR="00744A1C">
        <w:rPr>
          <w:rtl/>
          <w:lang w:bidi="fa-IR"/>
        </w:rPr>
        <w:t xml:space="preserve"> ، ج 17 ، ص 120 ، ح 22144.</w:t>
      </w:r>
    </w:p>
    <w:p w:rsidR="00744A1C" w:rsidRDefault="00E378DD" w:rsidP="00E378DD">
      <w:pPr>
        <w:pStyle w:val="libFootnote0"/>
        <w:rPr>
          <w:lang w:bidi="fa-IR"/>
        </w:rPr>
      </w:pPr>
      <w:r>
        <w:rPr>
          <w:rtl/>
          <w:lang w:bidi="fa-IR"/>
        </w:rPr>
        <w:t>(5).</w:t>
      </w:r>
      <w:r w:rsidR="00744A1C">
        <w:rPr>
          <w:rtl/>
          <w:lang w:bidi="fa-IR"/>
        </w:rPr>
        <w:t xml:space="preserve"> لا ريب في وقوع التعليق في السند وعدم رجوع الضمير إلى عدّة من أصحابنا ، كما هو واضح. لكن اختُلِف‌في مرجع الضمير ؛ فقد أرجعه في </w:t>
      </w:r>
      <w:r w:rsidR="00744A1C" w:rsidRPr="00C24F9C">
        <w:rPr>
          <w:rStyle w:val="libFootnoteBoldChar"/>
          <w:rtl/>
        </w:rPr>
        <w:t>الوسائل</w:t>
      </w:r>
      <w:r w:rsidR="00744A1C">
        <w:rPr>
          <w:rtl/>
          <w:lang w:bidi="fa-IR"/>
        </w:rPr>
        <w:t xml:space="preserve"> ، ج 17 ، ص 121 ، ح 22145 إلى أحمد بن محمّد ، وأمّا </w:t>
      </w:r>
      <w:r w:rsidR="00744A1C" w:rsidRPr="007E6AE3">
        <w:rPr>
          <w:rStyle w:val="libFootnoteBoldChar"/>
          <w:rtl/>
        </w:rPr>
        <w:t>الشيخ الطوسي</w:t>
      </w:r>
      <w:r w:rsidR="00744A1C">
        <w:rPr>
          <w:rtl/>
          <w:lang w:bidi="fa-IR"/>
        </w:rPr>
        <w:t xml:space="preserve"> ، فقد أرجع الضمير إلى الحسين بن سعيد كما هو ظاهر من </w:t>
      </w:r>
      <w:r w:rsidR="00744A1C" w:rsidRPr="00C24F9C">
        <w:rPr>
          <w:rStyle w:val="libFootnoteBoldChar"/>
          <w:rtl/>
        </w:rPr>
        <w:t>التهذيب</w:t>
      </w:r>
      <w:r w:rsidR="00744A1C">
        <w:rPr>
          <w:rtl/>
          <w:lang w:bidi="fa-IR"/>
        </w:rPr>
        <w:t xml:space="preserve"> ، ج 6 ، ص 357 - 358 ح 1022 - 1024 - والظاهر أخذ الأخبار الثلاثة من </w:t>
      </w:r>
      <w:r w:rsidR="00744A1C" w:rsidRPr="0061079A">
        <w:rPr>
          <w:rStyle w:val="libFootnoteBoldChar"/>
          <w:rtl/>
        </w:rPr>
        <w:t>الكافي</w:t>
      </w:r>
      <w:r w:rsidR="00744A1C">
        <w:rPr>
          <w:rtl/>
          <w:lang w:bidi="fa-IR"/>
        </w:rPr>
        <w:t xml:space="preserve"> من غير تصريح - وقد صرّح برجوع الضمير إلى الحسين بن سعيد في </w:t>
      </w:r>
      <w:r w:rsidR="00744A1C" w:rsidRPr="0061079A">
        <w:rPr>
          <w:rStyle w:val="libFootnoteBoldChar"/>
          <w:rtl/>
        </w:rPr>
        <w:t>معجم رجال الحديث</w:t>
      </w:r>
      <w:r w:rsidR="00744A1C">
        <w:rPr>
          <w:rtl/>
          <w:lang w:bidi="fa-IR"/>
        </w:rPr>
        <w:t xml:space="preserve"> ، ج 6 ، ص 181 ، الرقم 3881 ، أيضاً.</w:t>
      </w:r>
    </w:p>
    <w:p w:rsidR="00144FA6" w:rsidRDefault="00744A1C" w:rsidP="00D10E3C">
      <w:pPr>
        <w:pStyle w:val="libFootnote0"/>
        <w:rPr>
          <w:rtl/>
          <w:lang w:bidi="fa-IR"/>
        </w:rPr>
      </w:pPr>
      <w:r>
        <w:rPr>
          <w:rtl/>
          <w:lang w:bidi="fa-IR"/>
        </w:rPr>
        <w:t xml:space="preserve">ويؤيّد رجوع الضمير إلى الحسين بن سعيد ما ورد في </w:t>
      </w:r>
      <w:r w:rsidRPr="0061079A">
        <w:rPr>
          <w:rStyle w:val="libFootnoteBoldChar"/>
          <w:rtl/>
        </w:rPr>
        <w:t>الكافي</w:t>
      </w:r>
      <w:r>
        <w:rPr>
          <w:rtl/>
          <w:lang w:bidi="fa-IR"/>
        </w:rPr>
        <w:t xml:space="preserve"> ، ح 1510 ؛ من رواية أحمد بن محمّد عن الحسين بن سعيد عن حكم بن أيمن ؛ فإنّ الظاهر أنّ المراد من حكم الحنّاط ( الخيّاط ) في ما نحن فيه ، هو الحكم بن أيمن الحنّاط ( الخيّاط ) المذكور في </w:t>
      </w:r>
      <w:r w:rsidRPr="003A7143">
        <w:rPr>
          <w:rStyle w:val="libFootnoteBoldChar"/>
          <w:rtl/>
        </w:rPr>
        <w:t>رجال النجاشي</w:t>
      </w:r>
      <w:r>
        <w:rPr>
          <w:rtl/>
          <w:lang w:bidi="fa-IR"/>
        </w:rPr>
        <w:t xml:space="preserve"> ، ص 137 ، الرقم 354 ؛ و</w:t>
      </w:r>
      <w:r w:rsidRPr="004D054E">
        <w:rPr>
          <w:rStyle w:val="libFootnoteBoldChar"/>
          <w:rtl/>
        </w:rPr>
        <w:t>رجال البرقي</w:t>
      </w:r>
      <w:r>
        <w:rPr>
          <w:rtl/>
          <w:lang w:bidi="fa-IR"/>
        </w:rPr>
        <w:t xml:space="preserve"> ، ص 38 ؛ و</w:t>
      </w:r>
      <w:r w:rsidRPr="0061079A">
        <w:rPr>
          <w:rStyle w:val="libFootnoteBoldChar"/>
          <w:rtl/>
        </w:rPr>
        <w:t>رجال الطوسي</w:t>
      </w:r>
      <w:r>
        <w:rPr>
          <w:rtl/>
          <w:lang w:bidi="fa-IR"/>
        </w:rPr>
        <w:t xml:space="preserve"> ، ص 185 ، الرقم 2250. لكن هذا الاحتمال - أي رجوع الضمير إلى الحسين بن سعيد - يواجه إشكالاً وهو أنّ الراوي لكتاب الحكم بن أيمن هو ابن أبي عمير كما صُرِّح به في </w:t>
      </w:r>
      <w:r w:rsidRPr="003A7143">
        <w:rPr>
          <w:rStyle w:val="libFootnoteBoldChar"/>
          <w:rtl/>
        </w:rPr>
        <w:t>رجال النجاشي</w:t>
      </w:r>
      <w:r>
        <w:rPr>
          <w:rtl/>
          <w:lang w:bidi="fa-IR"/>
        </w:rPr>
        <w:t xml:space="preserve"> ، ص 137 ، الرقم 354 ؛ و</w:t>
      </w:r>
      <w:r w:rsidRPr="003A7143">
        <w:rPr>
          <w:rStyle w:val="libFootnoteBoldChar"/>
          <w:rtl/>
        </w:rPr>
        <w:t>الفهرست للطوسي</w:t>
      </w:r>
      <w:r>
        <w:rPr>
          <w:rtl/>
          <w:lang w:bidi="fa-IR"/>
        </w:rPr>
        <w:t xml:space="preserve"> ، ص 160 ، الرقم 246 وابن أبي عمير هو أكثر رواة الحكم روايةً عنه وقد ورد الخبر المذكور في </w:t>
      </w:r>
      <w:r w:rsidRPr="0061079A">
        <w:rPr>
          <w:rStyle w:val="libFootnoteBoldChar"/>
          <w:rtl/>
        </w:rPr>
        <w:t>الكافي</w:t>
      </w:r>
      <w:r>
        <w:rPr>
          <w:rtl/>
          <w:lang w:bidi="fa-IR"/>
        </w:rPr>
        <w:t xml:space="preserve"> ، ح 1510 عن ابن أبي عمير عن الحكم بن أيمن في </w:t>
      </w:r>
      <w:r w:rsidRPr="0061079A">
        <w:rPr>
          <w:rStyle w:val="libFootnoteBoldChar"/>
          <w:rtl/>
        </w:rPr>
        <w:t>الكافي</w:t>
      </w:r>
      <w:r>
        <w:rPr>
          <w:rtl/>
          <w:lang w:bidi="fa-IR"/>
        </w:rPr>
        <w:t xml:space="preserve"> ، ح 1505 ؛ و</w:t>
      </w:r>
      <w:r w:rsidRPr="003A7143">
        <w:rPr>
          <w:rStyle w:val="libFootnoteBoldChar"/>
          <w:rtl/>
        </w:rPr>
        <w:t>المحاسن</w:t>
      </w:r>
      <w:r>
        <w:rPr>
          <w:rtl/>
          <w:lang w:bidi="fa-IR"/>
        </w:rPr>
        <w:t xml:space="preserve"> ،</w:t>
      </w:r>
      <w:r w:rsidR="007E6AE3">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حَكَمٍ </w:t>
      </w:r>
      <w:r w:rsidRPr="00D10E3C">
        <w:rPr>
          <w:rStyle w:val="libFootnotenumChar"/>
          <w:rtl/>
        </w:rPr>
        <w:t>(1)</w:t>
      </w:r>
      <w:r>
        <w:rPr>
          <w:rtl/>
          <w:lang w:bidi="fa-IR"/>
        </w:rPr>
        <w:t xml:space="preserve"> الْحَنَّاطِ </w:t>
      </w:r>
      <w:r w:rsidRPr="00D10E3C">
        <w:rPr>
          <w:rStyle w:val="libFootnotenumChar"/>
          <w:rtl/>
        </w:rPr>
        <w:t>(2)</w:t>
      </w:r>
      <w:r>
        <w:rPr>
          <w:rtl/>
          <w:lang w:bidi="fa-IR"/>
        </w:rPr>
        <w:t xml:space="preserve"> ، عَنْ أَبِي بَصِيرٍ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الْمُغَنِّيَةُ الَّتِي تَزُفُّ </w:t>
      </w:r>
      <w:r w:rsidRPr="00D10E3C">
        <w:rPr>
          <w:rStyle w:val="libFootnotenumChar"/>
          <w:rtl/>
        </w:rPr>
        <w:t>(3)</w:t>
      </w:r>
      <w:r>
        <w:rPr>
          <w:rtl/>
          <w:lang w:bidi="fa-IR"/>
        </w:rPr>
        <w:t xml:space="preserve"> الْعَرَائِسَ لَابَأْسَ بِكَسْبِهَا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 xml:space="preserve">8556 / 3. أَحْمَدُ بْنُ مُحَمَّدٍ </w:t>
      </w:r>
      <w:r w:rsidRPr="00D10E3C">
        <w:rPr>
          <w:rStyle w:val="libFootnotenumChar"/>
          <w:rtl/>
        </w:rPr>
        <w:t>(6)</w:t>
      </w:r>
      <w:r>
        <w:rPr>
          <w:rtl/>
          <w:lang w:bidi="fa-IR"/>
        </w:rPr>
        <w:t xml:space="preserve"> ، عَنِ الْحُسَيْنِ بْنِ سَعِيدٍ ، عَنِ النَّضْرِ بْنِ سُوَيْدٍ ، عَنْ يَحْيَى الْحَلَبِيِّ ، عَنْ أَيُّوبَ بْنِ الْحُرِّ ، عَنْ أَبِي بَصِيرٍ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أَجْرُ الْمُغَنِّيَةِ الَّتِي تَزُفُّ الْعَرَائِسَ </w:t>
      </w:r>
      <w:r w:rsidRPr="00D10E3C">
        <w:rPr>
          <w:rStyle w:val="libFootnotenumChar"/>
          <w:rtl/>
        </w:rPr>
        <w:t>(7)</w:t>
      </w:r>
      <w:r>
        <w:rPr>
          <w:rtl/>
          <w:lang w:bidi="fa-IR"/>
        </w:rPr>
        <w:t xml:space="preserve"> لَيْسَ بِهِ بَأْسٌ ، لَيْسَتْ‌</w:t>
      </w:r>
    </w:p>
    <w:p w:rsidR="00744A1C" w:rsidRDefault="00744A1C" w:rsidP="00D10E3C">
      <w:pPr>
        <w:pStyle w:val="libLine"/>
        <w:rPr>
          <w:lang w:bidi="fa-IR"/>
        </w:rPr>
      </w:pPr>
      <w:r>
        <w:rPr>
          <w:rtl/>
          <w:lang w:bidi="fa-IR"/>
        </w:rPr>
        <w:t>____________________</w:t>
      </w:r>
    </w:p>
    <w:p w:rsidR="00744A1C" w:rsidRDefault="00B55856" w:rsidP="00D10E3C">
      <w:pPr>
        <w:pStyle w:val="libFootnote0"/>
        <w:rPr>
          <w:lang w:bidi="fa-IR"/>
        </w:rPr>
      </w:pPr>
      <w:r>
        <w:rPr>
          <w:rFonts w:hint="cs"/>
          <w:rtl/>
          <w:lang w:bidi="fa-IR"/>
        </w:rPr>
        <w:t xml:space="preserve">= </w:t>
      </w:r>
      <w:r w:rsidR="00744A1C">
        <w:rPr>
          <w:rtl/>
          <w:lang w:bidi="fa-IR"/>
        </w:rPr>
        <w:t xml:space="preserve">ص 285 ، ح 423. بل روى الحسين بن سعيد نفسه في كتاب </w:t>
      </w:r>
      <w:r w:rsidR="00744A1C" w:rsidRPr="005C1171">
        <w:rPr>
          <w:rStyle w:val="libFootnoteBoldChar"/>
          <w:rtl/>
        </w:rPr>
        <w:t>الزهد</w:t>
      </w:r>
      <w:r w:rsidR="00744A1C">
        <w:rPr>
          <w:rtl/>
          <w:lang w:bidi="fa-IR"/>
        </w:rPr>
        <w:t xml:space="preserve"> ، ص 78 ، ح 209 عن محمّد بن أبي عمير عن الحكم بن أيمن. وابن أبي عمير من مشايخ الحسين بن سعيد ورواية الحسين عنه في الأسناد كثيرة. بل ورد في </w:t>
      </w:r>
      <w:r w:rsidR="00744A1C" w:rsidRPr="003A7143">
        <w:rPr>
          <w:rStyle w:val="libFootnoteBoldChar"/>
          <w:rtl/>
        </w:rPr>
        <w:t>المحاسن</w:t>
      </w:r>
      <w:r w:rsidR="00744A1C">
        <w:rPr>
          <w:rtl/>
          <w:lang w:bidi="fa-IR"/>
        </w:rPr>
        <w:t xml:space="preserve"> ، ص 165 ، ح 120 رواية جميل بن درّاج عن حكم بن أيمن ، وجميل من مشايخ ابن أبي عمير.</w:t>
      </w:r>
    </w:p>
    <w:p w:rsidR="00744A1C" w:rsidRDefault="00744A1C" w:rsidP="00D10E3C">
      <w:pPr>
        <w:pStyle w:val="libFootnote0"/>
        <w:rPr>
          <w:lang w:bidi="fa-IR"/>
        </w:rPr>
      </w:pPr>
      <w:r>
        <w:rPr>
          <w:rtl/>
          <w:lang w:bidi="fa-IR"/>
        </w:rPr>
        <w:t>فعليه الظاهر - بملاحظة مامرّ - أنّ رجوع الضمير إلى الحسين بن سعيد لا يخلو من خلل.</w:t>
      </w:r>
    </w:p>
    <w:p w:rsidR="00744A1C" w:rsidRDefault="00744A1C" w:rsidP="00D10E3C">
      <w:pPr>
        <w:pStyle w:val="libFootnote0"/>
        <w:rPr>
          <w:lang w:bidi="fa-IR"/>
        </w:rPr>
      </w:pPr>
      <w:r>
        <w:rPr>
          <w:rtl/>
          <w:lang w:bidi="fa-IR"/>
        </w:rPr>
        <w:t>والظاهر ارتباط هذا الخلل بما تقدّم في السند السابق من رواية الحسين بن سعيد عن عليّ بن أبي حمزة مباشرة ؛ فإنّ المتتبّع في الأسناد يرى أنّ الحسين يروي عن عليّ بن أبي حمزة بالواسطة ، وما ورد في بعض الأسناد القليلة من روايته عنه مباشرةً لا يخلو من خللٍ.</w:t>
      </w:r>
    </w:p>
    <w:p w:rsidR="00744A1C" w:rsidRDefault="005C1171" w:rsidP="00D10E3C">
      <w:pPr>
        <w:pStyle w:val="libFootnote0"/>
        <w:rPr>
          <w:lang w:bidi="fa-IR"/>
        </w:rPr>
      </w:pPr>
      <w:r>
        <w:rPr>
          <w:rtl/>
          <w:lang w:bidi="fa-IR"/>
        </w:rPr>
        <w:t>وقد نبّه على هذا الإشكال العل</w:t>
      </w:r>
      <w:r>
        <w:rPr>
          <w:rFonts w:hint="cs"/>
          <w:rtl/>
          <w:lang w:bidi="fa-IR"/>
        </w:rPr>
        <w:t>ّ</w:t>
      </w:r>
      <w:r>
        <w:rPr>
          <w:rtl/>
          <w:lang w:bidi="fa-IR"/>
        </w:rPr>
        <w:t>ا</w:t>
      </w:r>
      <w:r w:rsidR="00744A1C">
        <w:rPr>
          <w:rtl/>
          <w:lang w:bidi="fa-IR"/>
        </w:rPr>
        <w:t xml:space="preserve">مة الخبير السيّد موسى الشبيري - دام ظلّه - في تعليقته على السند حيث قال : « إنّ الحسين بن سعيد لم يرو عن عليّ بن أبي حمزة بلا واسطة في الكتب الأربعة في غير هذا الخبر ، والاعتبار يقضي بأخذ الحديث عن عليّ بن أبي حمزة قبل وقفه ، ولم يدرك الحسين تلك الأيّام ، وظاهر </w:t>
      </w:r>
      <w:r w:rsidR="00744A1C" w:rsidRPr="00C24F9C">
        <w:rPr>
          <w:rStyle w:val="libFootnoteBoldChar"/>
          <w:rtl/>
        </w:rPr>
        <w:t>التهذيب</w:t>
      </w:r>
      <w:r w:rsidR="00744A1C">
        <w:rPr>
          <w:rtl/>
          <w:lang w:bidi="fa-IR"/>
        </w:rPr>
        <w:t>ين رواية الحسين بن سعيد عن الحكم الخيّاط مع أنّ الطبقة تشهد بثبوت الواسطة بينهما ، فالمظنون أنّ خبري عليّ بن أبي حمزة والحكم كليهما كانا في الأصل معلّقين ، وقد خفي تعليق الخبر على الكليني والشيخ فأورداهما بدون ذكر الواسطة المحذوفة » انتهى ما أردنا نقله.</w:t>
      </w:r>
    </w:p>
    <w:p w:rsidR="00744A1C" w:rsidRDefault="00D10E3C" w:rsidP="00D10E3C">
      <w:pPr>
        <w:pStyle w:val="libFootnote0"/>
        <w:rPr>
          <w:lang w:bidi="fa-IR"/>
        </w:rPr>
      </w:pPr>
      <w:r>
        <w:rPr>
          <w:rtl/>
          <w:lang w:bidi="fa-IR"/>
        </w:rPr>
        <w:t>(1).</w:t>
      </w:r>
      <w:r w:rsidR="00744A1C">
        <w:rPr>
          <w:rtl/>
          <w:lang w:bidi="fa-IR"/>
        </w:rPr>
        <w:t xml:space="preserve"> في « ط ، ى ، بح ، بف ، جد » : « الحكم ».</w:t>
      </w:r>
    </w:p>
    <w:p w:rsidR="00744A1C" w:rsidRDefault="00E378DD" w:rsidP="00E378DD">
      <w:pPr>
        <w:pStyle w:val="libFootnote0"/>
        <w:rPr>
          <w:lang w:bidi="fa-IR"/>
        </w:rPr>
      </w:pPr>
      <w:r>
        <w:rPr>
          <w:rtl/>
          <w:lang w:bidi="fa-IR"/>
        </w:rPr>
        <w:t>(2).</w:t>
      </w:r>
      <w:r w:rsidR="00744A1C">
        <w:rPr>
          <w:rtl/>
          <w:lang w:bidi="fa-IR"/>
        </w:rPr>
        <w:t xml:space="preserve"> في « بف » </w:t>
      </w:r>
      <w:r w:rsidR="00744A1C" w:rsidRPr="005D7F7D">
        <w:rPr>
          <w:rtl/>
        </w:rPr>
        <w:t>والوسائل</w:t>
      </w:r>
      <w:r w:rsidR="00744A1C">
        <w:rPr>
          <w:rtl/>
          <w:lang w:bidi="fa-IR"/>
        </w:rPr>
        <w:t xml:space="preserve"> : « الخيّاط ».</w:t>
      </w:r>
    </w:p>
    <w:p w:rsidR="00744A1C" w:rsidRDefault="00E378DD" w:rsidP="00E378DD">
      <w:pPr>
        <w:pStyle w:val="libFootnote0"/>
        <w:rPr>
          <w:lang w:bidi="fa-IR"/>
        </w:rPr>
      </w:pPr>
      <w:r>
        <w:rPr>
          <w:rtl/>
          <w:lang w:bidi="fa-IR"/>
        </w:rPr>
        <w:t>(3).</w:t>
      </w:r>
      <w:r w:rsidR="00744A1C">
        <w:rPr>
          <w:rtl/>
          <w:lang w:bidi="fa-IR"/>
        </w:rPr>
        <w:t xml:space="preserve"> « تزفّ » أي تهدي ؛ من الزفاف ، وهو إهداؤها إلى زوجها. راجع : </w:t>
      </w:r>
      <w:r w:rsidR="00744A1C" w:rsidRPr="00E978C3">
        <w:rPr>
          <w:rStyle w:val="libFootnoteBoldChar"/>
          <w:rtl/>
        </w:rPr>
        <w:t>المصباح المنير</w:t>
      </w:r>
      <w:r w:rsidR="00744A1C">
        <w:rPr>
          <w:rtl/>
          <w:lang w:bidi="fa-IR"/>
        </w:rPr>
        <w:t xml:space="preserve"> ، ص 254 ( زفف ).</w:t>
      </w:r>
    </w:p>
    <w:p w:rsidR="00744A1C" w:rsidRDefault="00E378DD" w:rsidP="00E378DD">
      <w:pPr>
        <w:pStyle w:val="libFootnote0"/>
        <w:rPr>
          <w:lang w:bidi="fa-IR"/>
        </w:rPr>
      </w:pPr>
      <w:r>
        <w:rPr>
          <w:rtl/>
          <w:lang w:bidi="fa-IR"/>
        </w:rPr>
        <w:t>(4).</w:t>
      </w:r>
      <w:r w:rsidR="00744A1C">
        <w:rPr>
          <w:rtl/>
          <w:lang w:bidi="fa-IR"/>
        </w:rPr>
        <w:t xml:space="preserve"> في « بخ ، بف » : « بها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357 ، ح 1023 ؛ </w:t>
      </w:r>
      <w:r w:rsidR="00744A1C" w:rsidRPr="00C24F9C">
        <w:rPr>
          <w:rStyle w:val="libFootnoteBoldChar"/>
          <w:rtl/>
        </w:rPr>
        <w:t>والاستبصار</w:t>
      </w:r>
      <w:r w:rsidR="00744A1C">
        <w:rPr>
          <w:rtl/>
          <w:lang w:bidi="fa-IR"/>
        </w:rPr>
        <w:t xml:space="preserve"> ، ج 3 ، ص 62 ، ح 206 ، معلّقاً عن الحسين بن سعيد </w:t>
      </w:r>
      <w:r w:rsidR="005D7F7D">
        <w:rPr>
          <w:rFonts w:hint="cs"/>
          <w:rtl/>
          <w:lang w:bidi="fa-IR"/>
        </w:rPr>
        <w:t>.</w:t>
      </w:r>
      <w:r w:rsidR="00744A1C" w:rsidRPr="00C24F9C">
        <w:rPr>
          <w:rStyle w:val="libFootnoteBoldChar"/>
          <w:rtl/>
        </w:rPr>
        <w:t>الوافي</w:t>
      </w:r>
      <w:r w:rsidR="00744A1C">
        <w:rPr>
          <w:rtl/>
          <w:lang w:bidi="fa-IR"/>
        </w:rPr>
        <w:t xml:space="preserve"> ، ج 17 ، ص 206 ، ح 17122 ؛ </w:t>
      </w:r>
      <w:r w:rsidR="00744A1C" w:rsidRPr="00C24F9C">
        <w:rPr>
          <w:rStyle w:val="libFootnoteBoldChar"/>
          <w:rtl/>
        </w:rPr>
        <w:t>الوسائل</w:t>
      </w:r>
      <w:r w:rsidR="00744A1C">
        <w:rPr>
          <w:rtl/>
          <w:lang w:bidi="fa-IR"/>
        </w:rPr>
        <w:t xml:space="preserve"> ، ج 17 ، ص 121 ، ح 22145.</w:t>
      </w:r>
    </w:p>
    <w:p w:rsidR="00744A1C" w:rsidRDefault="00E378DD" w:rsidP="00E378DD">
      <w:pPr>
        <w:pStyle w:val="libFootnote0"/>
        <w:rPr>
          <w:lang w:bidi="fa-IR"/>
        </w:rPr>
      </w:pPr>
      <w:r>
        <w:rPr>
          <w:rtl/>
          <w:lang w:bidi="fa-IR"/>
        </w:rPr>
        <w:t>(6).</w:t>
      </w:r>
      <w:r w:rsidR="00744A1C">
        <w:rPr>
          <w:rtl/>
          <w:lang w:bidi="fa-IR"/>
        </w:rPr>
        <w:t xml:space="preserve"> السند معلّق. ويروي عن أحمد بن محمّد ، عدّة من أصحابنا.</w:t>
      </w:r>
    </w:p>
    <w:p w:rsidR="00744A1C" w:rsidRDefault="00E378DD" w:rsidP="00E378DD">
      <w:pPr>
        <w:pStyle w:val="libFootnote0"/>
        <w:rPr>
          <w:lang w:bidi="fa-IR"/>
        </w:rPr>
      </w:pPr>
      <w:r>
        <w:rPr>
          <w:rtl/>
          <w:lang w:bidi="fa-IR"/>
        </w:rPr>
        <w:t>(7).</w:t>
      </w:r>
      <w:r w:rsidR="00744A1C">
        <w:rPr>
          <w:rtl/>
          <w:lang w:bidi="fa-IR"/>
        </w:rPr>
        <w:t xml:space="preserve"> في « ط ، ى ، بح ، بس ، جت ، جد ، جن » : « العروس ».</w:t>
      </w:r>
    </w:p>
    <w:p w:rsidR="006A5060" w:rsidRDefault="006A5060" w:rsidP="00D10E3C">
      <w:pPr>
        <w:pStyle w:val="libNormal"/>
        <w:rPr>
          <w:rtl/>
          <w:lang w:bidi="fa-IR"/>
        </w:rPr>
      </w:pPr>
      <w:r>
        <w:rPr>
          <w:rtl/>
          <w:lang w:bidi="fa-IR"/>
        </w:rPr>
        <w:br w:type="page"/>
      </w:r>
    </w:p>
    <w:p w:rsidR="00144FA6" w:rsidRDefault="00744A1C" w:rsidP="00955510">
      <w:pPr>
        <w:pStyle w:val="libNormal0"/>
        <w:rPr>
          <w:rtl/>
          <w:lang w:bidi="fa-IR"/>
        </w:rPr>
      </w:pPr>
      <w:r>
        <w:rPr>
          <w:rtl/>
          <w:lang w:bidi="fa-IR"/>
        </w:rPr>
        <w:t xml:space="preserve">بِالَّتِي يَدْخُلُ </w:t>
      </w:r>
      <w:r w:rsidRPr="00D10E3C">
        <w:rPr>
          <w:rStyle w:val="libFootnotenumChar"/>
          <w:rtl/>
        </w:rPr>
        <w:t>(1)</w:t>
      </w:r>
      <w:r>
        <w:rPr>
          <w:rtl/>
          <w:lang w:bidi="fa-IR"/>
        </w:rPr>
        <w:t xml:space="preserve"> عَلَيْهَا الرِّجَالُ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8557 / 4. عِدَّةٌ مِنْ أَصْحَابِنَا ، عَنْ سَهْلِ بْنِ زِيَادٍ ، عَنِ الْحَسَنِ بْنِ عَلِيٍّ الْوَشَّاءِ ، قَالَ :</w:t>
      </w:r>
    </w:p>
    <w:p w:rsidR="00744A1C" w:rsidRDefault="00744A1C" w:rsidP="00744A1C">
      <w:pPr>
        <w:pStyle w:val="libNormal"/>
        <w:rPr>
          <w:lang w:bidi="fa-IR"/>
        </w:rPr>
      </w:pPr>
      <w:r>
        <w:rPr>
          <w:rtl/>
          <w:lang w:bidi="fa-IR"/>
        </w:rPr>
        <w:t xml:space="preserve">سُئِلَ أَبُو الْحَسَنِ الرِّضَا </w:t>
      </w:r>
      <w:r w:rsidRPr="00D10E3C">
        <w:rPr>
          <w:rStyle w:val="libFootnotenumChar"/>
          <w:rtl/>
        </w:rPr>
        <w:t>(4)</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عَنْ شِرَاءِ الْمُغَنِّيَةِ؟</w:t>
      </w:r>
    </w:p>
    <w:p w:rsidR="00744A1C" w:rsidRDefault="00744A1C" w:rsidP="00744A1C">
      <w:pPr>
        <w:pStyle w:val="libNormal"/>
        <w:rPr>
          <w:lang w:bidi="fa-IR"/>
        </w:rPr>
      </w:pPr>
      <w:r>
        <w:rPr>
          <w:rtl/>
          <w:lang w:bidi="fa-IR"/>
        </w:rPr>
        <w:t xml:space="preserve">فَقَالَ </w:t>
      </w:r>
      <w:r w:rsidRPr="00D10E3C">
        <w:rPr>
          <w:rStyle w:val="libFootnotenumChar"/>
          <w:rtl/>
        </w:rPr>
        <w:t>(5)</w:t>
      </w:r>
      <w:r>
        <w:rPr>
          <w:rtl/>
          <w:lang w:bidi="fa-IR"/>
        </w:rPr>
        <w:t xml:space="preserve"> : « قَدْ تَكُونُ </w:t>
      </w:r>
      <w:r w:rsidRPr="00D10E3C">
        <w:rPr>
          <w:rStyle w:val="libFootnotenumChar"/>
          <w:rtl/>
        </w:rPr>
        <w:t>(6)</w:t>
      </w:r>
      <w:r>
        <w:rPr>
          <w:rtl/>
          <w:lang w:bidi="fa-IR"/>
        </w:rPr>
        <w:t xml:space="preserve"> لِلرَّجُلِ الْجَارِيَةُ تُ</w:t>
      </w:r>
      <w:r w:rsidR="0021161C">
        <w:rPr>
          <w:rtl/>
          <w:lang w:bidi="fa-IR"/>
        </w:rPr>
        <w:t>لْهِيهِ ، وَمَا ثَمَنُهَا إِل</w:t>
      </w:r>
      <w:r w:rsidR="0021161C">
        <w:rPr>
          <w:rFonts w:hint="cs"/>
          <w:rtl/>
          <w:lang w:bidi="fa-IR"/>
        </w:rPr>
        <w:t>َّ</w:t>
      </w:r>
      <w:r w:rsidR="0021161C">
        <w:rPr>
          <w:rtl/>
          <w:lang w:bidi="fa-IR"/>
        </w:rPr>
        <w:t>ا</w:t>
      </w:r>
      <w:r>
        <w:rPr>
          <w:rtl/>
          <w:lang w:bidi="fa-IR"/>
        </w:rPr>
        <w:t xml:space="preserve"> ثَمَنُ كَلْبٍ </w:t>
      </w:r>
      <w:r w:rsidRPr="00D10E3C">
        <w:rPr>
          <w:rStyle w:val="libFootnotenumChar"/>
          <w:rtl/>
        </w:rPr>
        <w:t>(7)</w:t>
      </w:r>
      <w:r>
        <w:rPr>
          <w:rtl/>
          <w:lang w:bidi="fa-IR"/>
        </w:rPr>
        <w:t xml:space="preserve"> ، وَثَمَنُ الْكَلْبِ سُحْتٌ </w:t>
      </w:r>
      <w:r w:rsidRPr="00D10E3C">
        <w:rPr>
          <w:rStyle w:val="libFootnotenumChar"/>
          <w:rtl/>
        </w:rPr>
        <w:t>(8)</w:t>
      </w:r>
      <w:r>
        <w:rPr>
          <w:rtl/>
          <w:lang w:bidi="fa-IR"/>
        </w:rPr>
        <w:t xml:space="preserve"> ، وَالسُّحْتُ فِي‌</w:t>
      </w:r>
      <w:r w:rsidR="00FA68B7">
        <w:rPr>
          <w:rFonts w:hint="cs"/>
          <w:rtl/>
          <w:lang w:bidi="fa-IR"/>
        </w:rPr>
        <w:t>.............................................</w:t>
      </w:r>
      <w:r w:rsidR="00FA68B7">
        <w:rPr>
          <w:rFonts w:hint="cs"/>
          <w:rtl/>
          <w:lang w:bidi="fa-IR"/>
        </w:rPr>
        <w:tab/>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جت » : « تدخل ». وفي « جن » بالتاء والياء معاً.</w:t>
      </w:r>
    </w:p>
    <w:p w:rsidR="00744A1C" w:rsidRDefault="00E378DD" w:rsidP="00E378DD">
      <w:pPr>
        <w:pStyle w:val="libFootnote0"/>
        <w:rPr>
          <w:lang w:bidi="fa-IR"/>
        </w:rPr>
      </w:pPr>
      <w:r>
        <w:rPr>
          <w:rtl/>
          <w:lang w:bidi="fa-IR"/>
        </w:rPr>
        <w:t>(2).</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ليست بالتي يدخل عليها الرجال ، يشعر بأنّ حرمة أجر المغنّية إنّما هي لأجل عدم احترازها عن الرجال ، لا لحرمة الصوت في نفسه ، وليس استثناء الغناء في العرائس لخصوص الزفاف ، بل لعدم دخول الرجال عليهنّ ، فلو انعكس الأمر بأن يكون الغناء في العرائس ممّا يدخل الرجال عليهنّ وفي غير العرائس ممّا لا يدخلون عليهنّ ، انعكس الحكم ، وحاصل الكلام أنّ المغنّية إن كانت ممّن تغنّي للهو في مجالس الرجال فا</w:t>
      </w:r>
      <w:r w:rsidR="00E258E8">
        <w:rPr>
          <w:rFonts w:hint="cs"/>
          <w:rtl/>
          <w:lang w:bidi="fa-IR"/>
        </w:rPr>
        <w:t>ُ</w:t>
      </w:r>
      <w:r w:rsidR="00744A1C">
        <w:rPr>
          <w:rtl/>
          <w:lang w:bidi="fa-IR"/>
        </w:rPr>
        <w:t>جرته محرّمة ، وإن كانت ممّن تغنّي في المجالس المخصوصة بالنساء وإن كان لهواً - كما في العرائس والزفاف - فا</w:t>
      </w:r>
      <w:r w:rsidR="001C7D8E">
        <w:rPr>
          <w:rFonts w:hint="cs"/>
          <w:rtl/>
          <w:lang w:bidi="fa-IR"/>
        </w:rPr>
        <w:t>ُ</w:t>
      </w:r>
      <w:r w:rsidR="00744A1C">
        <w:rPr>
          <w:rtl/>
          <w:lang w:bidi="fa-IR"/>
        </w:rPr>
        <w:t>جرته محلّلة ، وأمّا المغنّي أعني الرجل فلم يذكروه ؛ لأنّ الغالب في المغنّيات الا</w:t>
      </w:r>
      <w:r w:rsidR="00453C98">
        <w:rPr>
          <w:rFonts w:hint="cs"/>
          <w:rtl/>
          <w:lang w:bidi="fa-IR"/>
        </w:rPr>
        <w:t>ُ</w:t>
      </w:r>
      <w:r w:rsidR="00744A1C">
        <w:rPr>
          <w:rtl/>
          <w:lang w:bidi="fa-IR"/>
        </w:rPr>
        <w:t>نوثة ، كما في زماننا ، والرجل لا يطلب غالباً في اللهو وإن كان أحسن صوتاً ، وإنّما يطلب أصوات الرجال نادراً لمن له إعجاب بالتأمّل في المهارة في الصنعة وحسن تركيب النغم ، فيبقى صوت الرجل للرجل بغير آلات الملاهي الخالي عن الفحش والكفر وسائر المعاصي من أفراد الغناء الذي اختلف في حكمه ، ومنه صوت الرجل في الغناء الحماسي للحروب وإيثار الحميّة والمفاخرة والهوسة للعرب الآن ؛ فإنّها نغم موزونة على أتمّ ما يمكن أن يكون في الصناعة ويميل إلى استماعه الطباع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357 ، ح 1022 ؛ </w:t>
      </w:r>
      <w:r w:rsidR="00744A1C" w:rsidRPr="00C24F9C">
        <w:rPr>
          <w:rStyle w:val="libFootnoteBoldChar"/>
          <w:rtl/>
        </w:rPr>
        <w:t>والاستبصار</w:t>
      </w:r>
      <w:r w:rsidR="00744A1C">
        <w:rPr>
          <w:rtl/>
          <w:lang w:bidi="fa-IR"/>
        </w:rPr>
        <w:t xml:space="preserve"> ، ج 3 ، ص 62 ، ح 205 ، معلّقاً عن الحسين بن سعيد. </w:t>
      </w:r>
      <w:r w:rsidR="00744A1C" w:rsidRPr="00C24F9C">
        <w:rPr>
          <w:rStyle w:val="libFootnoteBoldChar"/>
          <w:rtl/>
        </w:rPr>
        <w:t>الفقيه</w:t>
      </w:r>
      <w:r w:rsidR="00744A1C">
        <w:rPr>
          <w:rtl/>
          <w:lang w:bidi="fa-IR"/>
        </w:rPr>
        <w:t xml:space="preserve"> ، ج 3 ، ص 161 ، ح 3589 ، معلّقاً عن أيّوب بن الحرّ ، عن أبي بصير ، عن أبي عبد الله ، عن أبيه </w:t>
      </w:r>
      <w:r w:rsidR="00F112A7" w:rsidRPr="00CE5A92">
        <w:rPr>
          <w:rStyle w:val="libFootnoteAlaemChar"/>
          <w:rtl/>
        </w:rPr>
        <w:t>عليهما‌السلام</w:t>
      </w:r>
      <w:r w:rsidR="00744A1C">
        <w:rPr>
          <w:rtl/>
          <w:lang w:bidi="fa-IR"/>
        </w:rPr>
        <w:t xml:space="preserve">، مع زيادة في أوّله </w:t>
      </w:r>
      <w:r w:rsidR="00411C99">
        <w:rPr>
          <w:rFonts w:hint="cs"/>
          <w:rtl/>
          <w:lang w:bidi="fa-IR"/>
        </w:rPr>
        <w:t>.</w:t>
      </w:r>
      <w:r w:rsidR="00744A1C" w:rsidRPr="00C24F9C">
        <w:rPr>
          <w:rStyle w:val="libFootnoteBoldChar"/>
          <w:rtl/>
        </w:rPr>
        <w:t>الوافي</w:t>
      </w:r>
      <w:r w:rsidR="00744A1C">
        <w:rPr>
          <w:rtl/>
          <w:lang w:bidi="fa-IR"/>
        </w:rPr>
        <w:t xml:space="preserve"> ، ج 17 ، ص 206 ، ح 17123 ؛ </w:t>
      </w:r>
      <w:r w:rsidR="00744A1C" w:rsidRPr="00C24F9C">
        <w:rPr>
          <w:rStyle w:val="libFootnoteBoldChar"/>
          <w:rtl/>
        </w:rPr>
        <w:t>الوسائل</w:t>
      </w:r>
      <w:r w:rsidR="00744A1C">
        <w:rPr>
          <w:rtl/>
          <w:lang w:bidi="fa-IR"/>
        </w:rPr>
        <w:t xml:space="preserve"> ، ج 17 ، ص 121 ، ح 22146.</w:t>
      </w:r>
    </w:p>
    <w:tbl>
      <w:tblPr>
        <w:tblStyle w:val="TableGrid"/>
        <w:bidiVisual/>
        <w:tblW w:w="0" w:type="auto"/>
        <w:tblLook w:val="04A0" w:firstRow="1" w:lastRow="0" w:firstColumn="1" w:lastColumn="0" w:noHBand="0" w:noVBand="1"/>
      </w:tblPr>
      <w:tblGrid>
        <w:gridCol w:w="4006"/>
        <w:gridCol w:w="4006"/>
      </w:tblGrid>
      <w:tr w:rsidR="00411C99" w:rsidTr="00411C99">
        <w:tc>
          <w:tcPr>
            <w:tcW w:w="4006" w:type="dxa"/>
          </w:tcPr>
          <w:p w:rsidR="00411C99" w:rsidRDefault="00411C99" w:rsidP="00E378DD">
            <w:pPr>
              <w:pStyle w:val="libFootnote0"/>
              <w:rPr>
                <w:rtl/>
                <w:lang w:bidi="fa-IR"/>
              </w:rPr>
            </w:pPr>
            <w:r>
              <w:rPr>
                <w:rtl/>
                <w:lang w:bidi="fa-IR"/>
              </w:rPr>
              <w:t>(4). في « بف » : - « الرضا ».</w:t>
            </w:r>
          </w:p>
        </w:tc>
        <w:tc>
          <w:tcPr>
            <w:tcW w:w="4006" w:type="dxa"/>
          </w:tcPr>
          <w:p w:rsidR="00411C99" w:rsidRDefault="00411C99" w:rsidP="00E378DD">
            <w:pPr>
              <w:pStyle w:val="libFootnote0"/>
              <w:rPr>
                <w:rtl/>
                <w:lang w:bidi="fa-IR"/>
              </w:rPr>
            </w:pPr>
            <w:r>
              <w:rPr>
                <w:rtl/>
                <w:lang w:bidi="fa-IR"/>
              </w:rPr>
              <w:t>(5). في « ى ، بح ، بس ، جد ، جن » : « قال ».</w:t>
            </w:r>
          </w:p>
        </w:tc>
      </w:tr>
    </w:tbl>
    <w:p w:rsidR="00744A1C" w:rsidRDefault="00E378DD" w:rsidP="00E378DD">
      <w:pPr>
        <w:pStyle w:val="libFootnote0"/>
        <w:rPr>
          <w:lang w:bidi="fa-IR"/>
        </w:rPr>
      </w:pPr>
      <w:r>
        <w:rPr>
          <w:rtl/>
          <w:lang w:bidi="fa-IR"/>
        </w:rPr>
        <w:t>(6).</w:t>
      </w:r>
      <w:r w:rsidR="00744A1C">
        <w:rPr>
          <w:rtl/>
          <w:lang w:bidi="fa-IR"/>
        </w:rPr>
        <w:t xml:space="preserve"> في « ط ، ى ، بخ ، بس ، بف ، جد ، جن » </w:t>
      </w:r>
      <w:r w:rsidR="00744A1C" w:rsidRPr="002D4D95">
        <w:rPr>
          <w:rtl/>
        </w:rPr>
        <w:t>والوافي والتهذيب والاستبصار :</w:t>
      </w:r>
      <w:r w:rsidR="00744A1C">
        <w:rPr>
          <w:rtl/>
          <w:lang w:bidi="fa-IR"/>
        </w:rPr>
        <w:t xml:space="preserve"> « يكون ».</w:t>
      </w:r>
    </w:p>
    <w:p w:rsidR="00744A1C" w:rsidRDefault="00E378DD" w:rsidP="00E378DD">
      <w:pPr>
        <w:pStyle w:val="libFootnote0"/>
        <w:rPr>
          <w:lang w:bidi="fa-IR"/>
        </w:rPr>
      </w:pPr>
      <w:r>
        <w:rPr>
          <w:rtl/>
          <w:lang w:bidi="fa-IR"/>
        </w:rPr>
        <w:t>(7).</w:t>
      </w:r>
      <w:r w:rsidR="00744A1C">
        <w:rPr>
          <w:rtl/>
          <w:lang w:bidi="fa-IR"/>
        </w:rPr>
        <w:t xml:space="preserve"> في « ط » : « الكلب ». وقال المحقّق الشعراني في هامش </w:t>
      </w:r>
      <w:r w:rsidR="00744A1C" w:rsidRPr="00C24F9C">
        <w:rPr>
          <w:rStyle w:val="libFootnoteBoldChar"/>
          <w:rtl/>
        </w:rPr>
        <w:t>الوافي</w:t>
      </w:r>
      <w:r w:rsidR="00744A1C">
        <w:rPr>
          <w:rtl/>
          <w:lang w:bidi="fa-IR"/>
        </w:rPr>
        <w:t xml:space="preserve"> : « قوله : إن</w:t>
      </w:r>
      <w:r w:rsidR="002D4D95">
        <w:rPr>
          <w:rtl/>
          <w:lang w:bidi="fa-IR"/>
        </w:rPr>
        <w:t>ّ الجارية تلهيه ، وما ثمنها إل</w:t>
      </w:r>
      <w:r w:rsidR="00D73C5E">
        <w:rPr>
          <w:rFonts w:hint="cs"/>
          <w:rtl/>
          <w:lang w:bidi="fa-IR"/>
        </w:rPr>
        <w:t>ّ</w:t>
      </w:r>
      <w:r w:rsidR="002D4D95">
        <w:rPr>
          <w:rtl/>
          <w:lang w:bidi="fa-IR"/>
        </w:rPr>
        <w:t>ا</w:t>
      </w:r>
      <w:r w:rsidR="002D4D95">
        <w:rPr>
          <w:rFonts w:hint="cs"/>
          <w:rtl/>
          <w:lang w:bidi="fa-IR"/>
        </w:rPr>
        <w:t xml:space="preserve"> </w:t>
      </w:r>
      <w:r w:rsidR="00744A1C">
        <w:rPr>
          <w:rtl/>
          <w:lang w:bidi="fa-IR"/>
        </w:rPr>
        <w:t xml:space="preserve">ثمن كلب ، ظاهره أنّ غرض السائل حكم بيع هذه الجارية لاستماع صوتها ، فكان الرجل يشتري الجواري ويعلّمهنّ الغناء والضرب بالعود ويستمع إليهنّ ، ثمّ يبيعهنّ بثمن أكثر ، فسأل [ عنه ] </w:t>
      </w:r>
      <w:r w:rsidR="0061079A" w:rsidRPr="0061079A">
        <w:rPr>
          <w:rStyle w:val="libFootnoteAlaemChar"/>
          <w:rtl/>
        </w:rPr>
        <w:t>عليه‌السلام</w:t>
      </w:r>
      <w:r w:rsidR="00D10E3C">
        <w:rPr>
          <w:rtl/>
          <w:lang w:bidi="fa-IR"/>
        </w:rPr>
        <w:t xml:space="preserve"> </w:t>
      </w:r>
      <w:r w:rsidR="00744A1C">
        <w:rPr>
          <w:rtl/>
          <w:lang w:bidi="fa-IR"/>
        </w:rPr>
        <w:t>عن كسب هؤلاء ، وليس السؤال عن حكم الغناء ».</w:t>
      </w:r>
    </w:p>
    <w:p w:rsidR="00744A1C" w:rsidRDefault="00E378DD" w:rsidP="00E378DD">
      <w:pPr>
        <w:pStyle w:val="libFootnote0"/>
        <w:rPr>
          <w:lang w:bidi="fa-IR"/>
        </w:rPr>
      </w:pPr>
      <w:r>
        <w:rPr>
          <w:rtl/>
          <w:lang w:bidi="fa-IR"/>
        </w:rPr>
        <w:t>(8).</w:t>
      </w:r>
      <w:r w:rsidR="00744A1C">
        <w:rPr>
          <w:rtl/>
          <w:lang w:bidi="fa-IR"/>
        </w:rPr>
        <w:t xml:space="preserve"> « السحت » : الحرام ، وقال ابن الأثير : « السحت : الحرام الذي لا يحلّ كسبه ؛ لأنّه يسحت البركة ، أي يذهبها ». راجع : </w:t>
      </w:r>
      <w:r w:rsidR="00744A1C" w:rsidRPr="00E978C3">
        <w:rPr>
          <w:rStyle w:val="libFootnoteBoldChar"/>
          <w:rtl/>
        </w:rPr>
        <w:t>الصحاح</w:t>
      </w:r>
      <w:r w:rsidR="00744A1C">
        <w:rPr>
          <w:rtl/>
          <w:lang w:bidi="fa-IR"/>
        </w:rPr>
        <w:t xml:space="preserve"> ، ج 1 ، ص 252 ؛ </w:t>
      </w:r>
      <w:r w:rsidR="00744A1C" w:rsidRPr="00877682">
        <w:rPr>
          <w:rStyle w:val="libFootnoteBoldChar"/>
          <w:rtl/>
        </w:rPr>
        <w:t>النهاية</w:t>
      </w:r>
      <w:r w:rsidR="00744A1C">
        <w:rPr>
          <w:rtl/>
          <w:lang w:bidi="fa-IR"/>
        </w:rPr>
        <w:t xml:space="preserve"> ، ج 2 ، ص 345 ( سحت ).</w:t>
      </w:r>
    </w:p>
    <w:p w:rsidR="006A5060" w:rsidRDefault="006A5060" w:rsidP="00D10E3C">
      <w:pPr>
        <w:pStyle w:val="libNormal"/>
        <w:rPr>
          <w:rtl/>
          <w:lang w:bidi="fa-IR"/>
        </w:rPr>
      </w:pPr>
      <w:r>
        <w:rPr>
          <w:rtl/>
          <w:lang w:bidi="fa-IR"/>
        </w:rPr>
        <w:br w:type="page"/>
      </w:r>
    </w:p>
    <w:p w:rsidR="00144FA6" w:rsidRDefault="00744A1C" w:rsidP="00D73C5E">
      <w:pPr>
        <w:pStyle w:val="libNormal0"/>
        <w:rPr>
          <w:rtl/>
          <w:lang w:bidi="fa-IR"/>
        </w:rPr>
      </w:pPr>
      <w:r>
        <w:rPr>
          <w:rtl/>
          <w:lang w:bidi="fa-IR"/>
        </w:rPr>
        <w:t xml:space="preserve">النَّارِ </w:t>
      </w:r>
      <w:r w:rsidRPr="00D10E3C">
        <w:rPr>
          <w:rStyle w:val="libFootnotenumChar"/>
          <w:rtl/>
        </w:rPr>
        <w:t>(1)</w:t>
      </w:r>
      <w:r>
        <w:rPr>
          <w:rtl/>
          <w:lang w:bidi="fa-IR"/>
        </w:rPr>
        <w:t xml:space="preserve"> ». </w:t>
      </w:r>
      <w:r w:rsidRPr="00D10E3C">
        <w:rPr>
          <w:rStyle w:val="libFootnotenumChar"/>
          <w:rtl/>
        </w:rPr>
        <w:t>(2)</w:t>
      </w:r>
    </w:p>
    <w:p w:rsidR="00CC5815" w:rsidRDefault="00744A1C" w:rsidP="00CC5815">
      <w:pPr>
        <w:pStyle w:val="libNormal"/>
        <w:rPr>
          <w:rtl/>
          <w:lang w:bidi="fa-IR"/>
        </w:rPr>
      </w:pPr>
      <w:r>
        <w:rPr>
          <w:rtl/>
          <w:lang w:bidi="fa-IR"/>
        </w:rPr>
        <w:t>8558 / 5. عِدَّةٌ مِنْ أَصْحَابِنَا ، عَنْ سَهْلِ بْنِ زِيَادٍ ؛</w:t>
      </w:r>
    </w:p>
    <w:p w:rsidR="00144FA6" w:rsidRDefault="00CC5815" w:rsidP="00CC5815">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عَلِيُّ بْنُ إِبْرَاهِيمَ ، عَنْ أَبِيهِ جَمِيعاً </w:t>
      </w:r>
      <w:r w:rsidR="00744A1C" w:rsidRPr="00D10E3C">
        <w:rPr>
          <w:rStyle w:val="libFootnotenumChar"/>
          <w:rtl/>
        </w:rPr>
        <w:t>(3)</w:t>
      </w:r>
      <w:r w:rsidR="00744A1C">
        <w:rPr>
          <w:rtl/>
          <w:lang w:bidi="fa-IR"/>
        </w:rPr>
        <w:t xml:space="preserve"> ، عَنِ ابْنِ فَضَّالٍ ، عَنْ سَعْدِ بْنِ مُحَمَّدٍ الطَّاطِرِيِّ </w:t>
      </w:r>
      <w:r w:rsidR="00744A1C" w:rsidRPr="00D10E3C">
        <w:rPr>
          <w:rStyle w:val="libFootnotenumChar"/>
          <w:rtl/>
        </w:rPr>
        <w:t>(4)</w:t>
      </w:r>
      <w:r w:rsidR="00744A1C">
        <w:rPr>
          <w:rtl/>
          <w:lang w:bidi="fa-IR"/>
        </w:rPr>
        <w:t xml:space="preserve"> ، عَنْ أَبِيهِ </w:t>
      </w:r>
      <w:r w:rsidR="00744A1C" w:rsidRPr="00D10E3C">
        <w:rPr>
          <w:rStyle w:val="libFootnotenumChar"/>
          <w:rtl/>
        </w:rPr>
        <w:t>(5)</w:t>
      </w:r>
      <w:r w:rsidR="00744A1C">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سَأَلَهُ رَجُلٌ </w:t>
      </w:r>
      <w:r w:rsidRPr="00D10E3C">
        <w:rPr>
          <w:rStyle w:val="libFootnotenumChar"/>
          <w:rtl/>
        </w:rPr>
        <w:t>(6)</w:t>
      </w:r>
      <w:r>
        <w:rPr>
          <w:rtl/>
          <w:lang w:bidi="fa-IR"/>
        </w:rPr>
        <w:t xml:space="preserve"> عَنْ بَيْعِ الْجَوَارِي الْمُغَنِّيَاتِ </w:t>
      </w:r>
      <w:r w:rsidRPr="00D10E3C">
        <w:rPr>
          <w:rStyle w:val="libFootnotenumChar"/>
          <w:rtl/>
        </w:rPr>
        <w:t>(7)</w:t>
      </w:r>
      <w:r>
        <w:rPr>
          <w:rtl/>
          <w:lang w:bidi="fa-IR"/>
        </w:rPr>
        <w:t>؟</w:t>
      </w:r>
    </w:p>
    <w:p w:rsidR="00144FA6" w:rsidRDefault="00744A1C" w:rsidP="00744A1C">
      <w:pPr>
        <w:pStyle w:val="libNormal"/>
        <w:rPr>
          <w:rtl/>
          <w:lang w:bidi="fa-IR"/>
        </w:rPr>
      </w:pPr>
      <w:r>
        <w:rPr>
          <w:rtl/>
          <w:lang w:bidi="fa-IR"/>
        </w:rPr>
        <w:t xml:space="preserve">فَقَالَ : « شِرَاؤُهُنَّ وَبَيْعُهُنَّ </w:t>
      </w:r>
      <w:r w:rsidRPr="00D10E3C">
        <w:rPr>
          <w:rStyle w:val="libFootnotenumChar"/>
          <w:rtl/>
        </w:rPr>
        <w:t>(8)</w:t>
      </w:r>
      <w:r>
        <w:rPr>
          <w:rtl/>
          <w:lang w:bidi="fa-IR"/>
        </w:rPr>
        <w:t xml:space="preserve"> حَرَامٌ ، وَتَعْلِيمُهُنَّ كُفْرٌ ، وَاسْتِمَاعُهُنَّ نِفَاقٌ ». </w:t>
      </w:r>
      <w:r w:rsidRPr="00D10E3C">
        <w:rPr>
          <w:rStyle w:val="libFootnotenumChar"/>
          <w:rtl/>
        </w:rPr>
        <w:t>(9)</w:t>
      </w:r>
    </w:p>
    <w:p w:rsidR="00144FA6" w:rsidRDefault="00744A1C" w:rsidP="00744A1C">
      <w:pPr>
        <w:pStyle w:val="libNormal"/>
        <w:rPr>
          <w:rtl/>
          <w:lang w:bidi="fa-IR"/>
        </w:rPr>
      </w:pPr>
      <w:r>
        <w:rPr>
          <w:rtl/>
          <w:lang w:bidi="fa-IR"/>
        </w:rPr>
        <w:t xml:space="preserve">8559 / 6. أَبُو عَلِيٍّ الْأَشْعَرِيُّ ، عَنِ الْحَسَنِ بْنِ عَلِيٍّ ، عَنْ إِسْحَاقَ بْنِ إِبْرَاهِيمَ ، عَنْ نَصْرِ </w:t>
      </w:r>
      <w:r w:rsidRPr="00D10E3C">
        <w:rPr>
          <w:rStyle w:val="libFootnotenumChar"/>
          <w:rtl/>
        </w:rPr>
        <w:t>(10)</w:t>
      </w:r>
      <w:r>
        <w:rPr>
          <w:rtl/>
          <w:lang w:bidi="fa-IR"/>
        </w:rPr>
        <w:t xml:space="preserve"> بْنِ قَابُوسَ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يدلّ على تحريم الغناء وثمن المغنّية ، وعلى عدم جواز بيع الكلب وتحريم ثمنه ».</w:t>
      </w:r>
    </w:p>
    <w:p w:rsidR="00744A1C" w:rsidRDefault="00E378DD" w:rsidP="002A7D56">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955510">
        <w:rPr>
          <w:rtl/>
          <w:lang w:bidi="fa-IR"/>
        </w:rPr>
        <w:t xml:space="preserve"> ، ج 6، ص 357، ح 1019</w:t>
      </w:r>
      <w:r w:rsidR="00744A1C">
        <w:rPr>
          <w:rtl/>
          <w:lang w:bidi="fa-IR"/>
        </w:rPr>
        <w:t xml:space="preserve">؛ </w:t>
      </w:r>
      <w:r w:rsidR="00744A1C" w:rsidRPr="00C24F9C">
        <w:rPr>
          <w:rStyle w:val="libFootnoteBoldChar"/>
          <w:rtl/>
        </w:rPr>
        <w:t>والاستبصار</w:t>
      </w:r>
      <w:r w:rsidR="00955510">
        <w:rPr>
          <w:rtl/>
          <w:lang w:bidi="fa-IR"/>
        </w:rPr>
        <w:t>، ج 3، ص 61، ح 202</w:t>
      </w:r>
      <w:r w:rsidR="00744A1C">
        <w:rPr>
          <w:rtl/>
          <w:lang w:bidi="fa-IR"/>
        </w:rPr>
        <w:t xml:space="preserve">، معلّقاً عن سهل بن زياد. </w:t>
      </w:r>
      <w:r w:rsidR="00744A1C" w:rsidRPr="00A914B5">
        <w:rPr>
          <w:rStyle w:val="libFootnoteBoldChar"/>
          <w:rtl/>
        </w:rPr>
        <w:t>تفسير العيّاشي</w:t>
      </w:r>
      <w:r w:rsidR="00955510">
        <w:rPr>
          <w:rtl/>
          <w:lang w:bidi="fa-IR"/>
        </w:rPr>
        <w:t xml:space="preserve"> ، ج 1، ص 321</w:t>
      </w:r>
      <w:r w:rsidR="00744A1C">
        <w:rPr>
          <w:rtl/>
          <w:lang w:bidi="fa-IR"/>
        </w:rPr>
        <w:t>،</w:t>
      </w:r>
      <w:r w:rsidR="00955510">
        <w:rPr>
          <w:rtl/>
          <w:lang w:bidi="fa-IR"/>
        </w:rPr>
        <w:t xml:space="preserve"> ح 111، عن الحسن بن عليّ الوشّاء</w:t>
      </w:r>
      <w:r w:rsidR="00744A1C">
        <w:rPr>
          <w:rtl/>
          <w:lang w:bidi="fa-IR"/>
        </w:rPr>
        <w:t xml:space="preserve">، وتمام الرواية فيه : </w:t>
      </w:r>
      <w:r w:rsidR="00955510">
        <w:rPr>
          <w:rtl/>
          <w:lang w:bidi="fa-IR"/>
        </w:rPr>
        <w:t>« ثمن الكلب سحت والسحت في النار</w:t>
      </w:r>
      <w:r w:rsidR="00744A1C">
        <w:rPr>
          <w:rtl/>
          <w:lang w:bidi="fa-IR"/>
        </w:rPr>
        <w:t xml:space="preserve">». وراجع : </w:t>
      </w:r>
      <w:r w:rsidR="00744A1C" w:rsidRPr="00877682">
        <w:rPr>
          <w:rStyle w:val="libFootnoteBoldChar"/>
          <w:rtl/>
        </w:rPr>
        <w:t>قرب الإسناد</w:t>
      </w:r>
      <w:r w:rsidR="00955510">
        <w:rPr>
          <w:rtl/>
          <w:lang w:bidi="fa-IR"/>
        </w:rPr>
        <w:t>، ص 305 ، ح 1195</w:t>
      </w:r>
      <w:r w:rsidR="004275D1">
        <w:rPr>
          <w:rFonts w:hint="cs"/>
          <w:rtl/>
          <w:lang w:bidi="fa-IR"/>
        </w:rPr>
        <w:t>.</w:t>
      </w:r>
      <w:r w:rsidR="00744A1C" w:rsidRPr="00C24F9C">
        <w:rPr>
          <w:rStyle w:val="libFootnoteBoldChar"/>
          <w:rtl/>
        </w:rPr>
        <w:t>الوافي</w:t>
      </w:r>
      <w:r w:rsidR="00955510">
        <w:rPr>
          <w:rtl/>
          <w:lang w:bidi="fa-IR"/>
        </w:rPr>
        <w:t xml:space="preserve"> ، ج 17، ص 207، ح 17124</w:t>
      </w:r>
      <w:r w:rsidR="00744A1C">
        <w:rPr>
          <w:rtl/>
          <w:lang w:bidi="fa-IR"/>
        </w:rPr>
        <w:t xml:space="preserve">؛ </w:t>
      </w:r>
      <w:r w:rsidR="00744A1C" w:rsidRPr="00C24F9C">
        <w:rPr>
          <w:rStyle w:val="libFootnoteBoldChar"/>
          <w:rtl/>
        </w:rPr>
        <w:t>الوسائل</w:t>
      </w:r>
      <w:r w:rsidR="00955510">
        <w:rPr>
          <w:rtl/>
          <w:lang w:bidi="fa-IR"/>
        </w:rPr>
        <w:t>، ج 17، ص 124</w:t>
      </w:r>
      <w:r w:rsidR="00744A1C">
        <w:rPr>
          <w:rtl/>
          <w:lang w:bidi="fa-IR"/>
        </w:rPr>
        <w:t>، ح 22154.</w:t>
      </w:r>
      <w:r w:rsidR="00955510">
        <w:rPr>
          <w:rFonts w:hint="cs"/>
          <w:rtl/>
          <w:lang w:bidi="fa-IR"/>
        </w:rPr>
        <w:t xml:space="preserve"> </w:t>
      </w:r>
      <w:r w:rsidR="002A7D56">
        <w:rPr>
          <w:rFonts w:hint="cs"/>
          <w:rtl/>
          <w:lang w:bidi="fa-IR"/>
        </w:rPr>
        <w:t xml:space="preserve"> </w:t>
      </w:r>
      <w:r>
        <w:rPr>
          <w:rtl/>
          <w:lang w:bidi="fa-IR"/>
        </w:rPr>
        <w:t>(3).</w:t>
      </w:r>
      <w:r w:rsidR="00744A1C">
        <w:rPr>
          <w:rtl/>
          <w:lang w:bidi="fa-IR"/>
        </w:rPr>
        <w:t xml:space="preserve"> في </w:t>
      </w:r>
      <w:r w:rsidR="00744A1C" w:rsidRPr="002A7D56">
        <w:rPr>
          <w:rtl/>
        </w:rPr>
        <w:t>التهذيب والاستبصار</w:t>
      </w:r>
      <w:r w:rsidR="00955510">
        <w:rPr>
          <w:rtl/>
          <w:lang w:bidi="fa-IR"/>
        </w:rPr>
        <w:t xml:space="preserve"> : - «وعليّ بن إبراهيم</w:t>
      </w:r>
      <w:r w:rsidR="00744A1C">
        <w:rPr>
          <w:rtl/>
          <w:lang w:bidi="fa-IR"/>
        </w:rPr>
        <w:t>، عن</w:t>
      </w:r>
      <w:r w:rsidR="00955510">
        <w:rPr>
          <w:rtl/>
          <w:lang w:bidi="fa-IR"/>
        </w:rPr>
        <w:t xml:space="preserve"> أبيه جميعاً</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هكذا في « ط ». وفي « ى ، بح ، بخ ، بس ، بف ، جت ، جد ، جن » </w:t>
      </w:r>
      <w:r w:rsidR="00744A1C" w:rsidRPr="002A7D56">
        <w:rPr>
          <w:rtl/>
        </w:rPr>
        <w:t xml:space="preserve">والوافي والوسائل والتهذيب </w:t>
      </w:r>
      <w:r w:rsidR="00744A1C">
        <w:rPr>
          <w:rtl/>
          <w:lang w:bidi="fa-IR"/>
        </w:rPr>
        <w:t>: « سعيد بن محمّد الطاطري ». وفي المطبوع : « سعيد بن محمّد الطاهري ». وفي الا</w:t>
      </w:r>
      <w:r w:rsidR="00955510">
        <w:rPr>
          <w:rtl/>
          <w:lang w:bidi="fa-IR"/>
        </w:rPr>
        <w:t>ستبصار : « سعد بن محمّد الطاهري</w:t>
      </w:r>
      <w:r w:rsidR="00744A1C">
        <w:rPr>
          <w:rtl/>
          <w:lang w:bidi="fa-IR"/>
        </w:rPr>
        <w:t>».</w:t>
      </w:r>
    </w:p>
    <w:p w:rsidR="00744A1C" w:rsidRDefault="00744A1C" w:rsidP="00D10E3C">
      <w:pPr>
        <w:pStyle w:val="libFootnote0"/>
        <w:rPr>
          <w:lang w:bidi="fa-IR"/>
        </w:rPr>
      </w:pPr>
      <w:r>
        <w:rPr>
          <w:rtl/>
          <w:lang w:bidi="fa-IR"/>
        </w:rPr>
        <w:t xml:space="preserve">والصواب ما أثبتناه. وسعد هذا هو سعد بن محمّد الطاطري عمّ عليّ بن الحسن الطاطري. راجع : </w:t>
      </w:r>
      <w:r w:rsidRPr="003A7143">
        <w:rPr>
          <w:rStyle w:val="libFootnoteBoldChar"/>
          <w:rtl/>
        </w:rPr>
        <w:t>رجال النجاشي</w:t>
      </w:r>
      <w:r>
        <w:rPr>
          <w:rtl/>
          <w:lang w:bidi="fa-IR"/>
        </w:rPr>
        <w:t xml:space="preserve"> ، ص 162 ، الرقم 430.</w:t>
      </w:r>
    </w:p>
    <w:p w:rsidR="00744A1C" w:rsidRDefault="00744A1C" w:rsidP="00D10E3C">
      <w:pPr>
        <w:pStyle w:val="libFootnote0"/>
        <w:rPr>
          <w:lang w:bidi="fa-IR"/>
        </w:rPr>
      </w:pPr>
      <w:r>
        <w:rPr>
          <w:rtl/>
          <w:lang w:bidi="fa-IR"/>
        </w:rPr>
        <w:t>وأمّا سعيد بن محمّد الطاهري فلم نجد له ذكراً في شي‌ء من الأسناد وغيرها.</w:t>
      </w:r>
    </w:p>
    <w:p w:rsidR="00744A1C" w:rsidRDefault="00E378DD" w:rsidP="00E378DD">
      <w:pPr>
        <w:pStyle w:val="libFootnote0"/>
        <w:rPr>
          <w:lang w:bidi="fa-IR"/>
        </w:rPr>
      </w:pPr>
      <w:r>
        <w:rPr>
          <w:rtl/>
          <w:lang w:bidi="fa-IR"/>
        </w:rPr>
        <w:t>(5).</w:t>
      </w:r>
      <w:r w:rsidR="00744A1C">
        <w:rPr>
          <w:rtl/>
          <w:lang w:bidi="fa-IR"/>
        </w:rPr>
        <w:t xml:space="preserve"> في </w:t>
      </w:r>
      <w:r w:rsidR="00744A1C" w:rsidRPr="002A7D56">
        <w:rPr>
          <w:rtl/>
        </w:rPr>
        <w:t>التهذيب</w:t>
      </w:r>
      <w:r w:rsidR="00744A1C">
        <w:rPr>
          <w:rtl/>
          <w:lang w:bidi="fa-IR"/>
        </w:rPr>
        <w:t xml:space="preserve"> : - « عن أبيه » ، لكنّه مذكور في بعض نسخه.</w:t>
      </w:r>
    </w:p>
    <w:p w:rsidR="00744A1C" w:rsidRDefault="00E378DD" w:rsidP="00E378DD">
      <w:pPr>
        <w:pStyle w:val="libFootnote0"/>
        <w:rPr>
          <w:lang w:bidi="fa-IR"/>
        </w:rPr>
      </w:pPr>
      <w:r>
        <w:rPr>
          <w:rtl/>
          <w:lang w:bidi="fa-IR"/>
        </w:rPr>
        <w:t>(6).</w:t>
      </w:r>
      <w:r w:rsidR="00744A1C">
        <w:rPr>
          <w:rtl/>
          <w:lang w:bidi="fa-IR"/>
        </w:rPr>
        <w:t xml:space="preserve"> في « ط » </w:t>
      </w:r>
      <w:r w:rsidR="00744A1C" w:rsidRPr="002A7D56">
        <w:rPr>
          <w:rtl/>
        </w:rPr>
        <w:t>والتهذيب</w:t>
      </w:r>
      <w:r w:rsidR="00744A1C">
        <w:rPr>
          <w:rtl/>
          <w:lang w:bidi="fa-IR"/>
        </w:rPr>
        <w:t xml:space="preserve"> : « سألته » بدل « سأله رجل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الوافي</w:t>
      </w:r>
      <w:r w:rsidR="00744A1C">
        <w:rPr>
          <w:rtl/>
          <w:lang w:bidi="fa-IR"/>
        </w:rPr>
        <w:t xml:space="preserve"> : « في بعض النسخ : القينات ، بالقاف وتقديم المثنّاة التحتانيّة على النون بدل المغنّيات ، والقينة : الأمة المغنّية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شراؤهنّ وبيعهنّ ، حمل على ما إذا كان الشراء والبيع للغناء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356 ، ح 1018 ؛ </w:t>
      </w:r>
      <w:r w:rsidR="00744A1C" w:rsidRPr="00C24F9C">
        <w:rPr>
          <w:rStyle w:val="libFootnoteBoldChar"/>
          <w:rtl/>
        </w:rPr>
        <w:t>والاستبصار</w:t>
      </w:r>
      <w:r w:rsidR="00744A1C">
        <w:rPr>
          <w:rtl/>
          <w:lang w:bidi="fa-IR"/>
        </w:rPr>
        <w:t xml:space="preserve"> ، ج 3 ، ص 61 ، ح 201 ، معلّقاً عن الكليني </w:t>
      </w:r>
      <w:r w:rsidR="002A7D56">
        <w:rPr>
          <w:rFonts w:hint="cs"/>
          <w:rtl/>
          <w:lang w:bidi="fa-IR"/>
        </w:rPr>
        <w:t>.</w:t>
      </w:r>
      <w:r w:rsidR="00744A1C" w:rsidRPr="00C24F9C">
        <w:rPr>
          <w:rStyle w:val="libFootnoteBoldChar"/>
          <w:rtl/>
        </w:rPr>
        <w:t>الوافي</w:t>
      </w:r>
      <w:r w:rsidR="00744A1C">
        <w:rPr>
          <w:rtl/>
          <w:lang w:bidi="fa-IR"/>
        </w:rPr>
        <w:t xml:space="preserve"> ، ج 17 ، ص 207 ، ح 17125 ؛ </w:t>
      </w:r>
      <w:r w:rsidR="00744A1C" w:rsidRPr="00C24F9C">
        <w:rPr>
          <w:rStyle w:val="libFootnoteBoldChar"/>
          <w:rtl/>
        </w:rPr>
        <w:t>الوسائل</w:t>
      </w:r>
      <w:r w:rsidR="00744A1C">
        <w:rPr>
          <w:rtl/>
          <w:lang w:bidi="fa-IR"/>
        </w:rPr>
        <w:t xml:space="preserve"> ، ج 17 ، ص 124 ، ح 22155.</w:t>
      </w:r>
    </w:p>
    <w:p w:rsidR="00144FA6" w:rsidRDefault="00E378DD" w:rsidP="00E378DD">
      <w:pPr>
        <w:pStyle w:val="libFootnote0"/>
        <w:rPr>
          <w:rtl/>
          <w:lang w:bidi="fa-IR"/>
        </w:rPr>
      </w:pPr>
      <w:r>
        <w:rPr>
          <w:rtl/>
          <w:lang w:bidi="fa-IR"/>
        </w:rPr>
        <w:t>(10).</w:t>
      </w:r>
      <w:r w:rsidR="00744A1C">
        <w:rPr>
          <w:rtl/>
          <w:lang w:bidi="fa-IR"/>
        </w:rPr>
        <w:t xml:space="preserve"> في « ى ، بخ ، بس ، بف » و</w:t>
      </w:r>
      <w:r w:rsidR="00744A1C" w:rsidRPr="00C24F9C">
        <w:rPr>
          <w:rStyle w:val="libFootnoteBoldChar"/>
          <w:rtl/>
        </w:rPr>
        <w:t>الوسائل</w:t>
      </w:r>
      <w:r w:rsidR="00744A1C">
        <w:rPr>
          <w:rtl/>
          <w:lang w:bidi="fa-IR"/>
        </w:rPr>
        <w:t xml:space="preserve"> : « نضر ». وهو سهو. ونصر هذا ، هو نصر بن قابوس اللَّخمي. راجع :</w:t>
      </w:r>
      <w:r w:rsidR="002A7D56">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الْمُغَنِّيَةُ مَلْعُونَةٌ ، مَلْعُونٌ مَنْ أَكَلَ </w:t>
      </w:r>
      <w:r w:rsidRPr="00D10E3C">
        <w:rPr>
          <w:rStyle w:val="libFootnotenumChar"/>
          <w:rtl/>
        </w:rPr>
        <w:t>(1)</w:t>
      </w:r>
      <w:r>
        <w:rPr>
          <w:rtl/>
          <w:lang w:bidi="fa-IR"/>
        </w:rPr>
        <w:t xml:space="preserve"> كَسْبَهَا ». </w:t>
      </w:r>
      <w:r w:rsidRPr="00D10E3C">
        <w:rPr>
          <w:rStyle w:val="libFootnotenumChar"/>
          <w:rtl/>
        </w:rPr>
        <w:t>(2)</w:t>
      </w:r>
    </w:p>
    <w:p w:rsidR="00144FA6" w:rsidRDefault="00744A1C" w:rsidP="00744A1C">
      <w:pPr>
        <w:pStyle w:val="libNormal"/>
        <w:rPr>
          <w:rtl/>
          <w:lang w:bidi="fa-IR"/>
        </w:rPr>
      </w:pPr>
      <w:r>
        <w:rPr>
          <w:rtl/>
          <w:lang w:bidi="fa-IR"/>
        </w:rPr>
        <w:t>8560 / 7. مُحَمَّدُ بْنُ يَحْيى ، عَنْ بَعْضِ أَصْحَابِهِ ، عَنْ مُحَمَّدِ بْنِ إِسْمَاعِيلَ ، عَنْ إِبْرَاهِيمَ بْنِ أَبِي الْبِلَادِ ، قَالَ :</w:t>
      </w:r>
    </w:p>
    <w:p w:rsidR="00744A1C" w:rsidRDefault="00744A1C" w:rsidP="00744A1C">
      <w:pPr>
        <w:pStyle w:val="libNormal"/>
        <w:rPr>
          <w:lang w:bidi="fa-IR"/>
        </w:rPr>
      </w:pPr>
      <w:r>
        <w:rPr>
          <w:rtl/>
          <w:lang w:bidi="fa-IR"/>
        </w:rPr>
        <w:t xml:space="preserve">أَوْصى إِسْحَاقُ بْنُ عُمَرَ عِنْدَ وَفَاتِهِ </w:t>
      </w:r>
      <w:r w:rsidRPr="00D10E3C">
        <w:rPr>
          <w:rStyle w:val="libFootnotenumChar"/>
          <w:rtl/>
        </w:rPr>
        <w:t>(3)</w:t>
      </w:r>
      <w:r>
        <w:rPr>
          <w:rtl/>
          <w:lang w:bidi="fa-IR"/>
        </w:rPr>
        <w:t xml:space="preserve"> بِجَوَارٍ لَهُ مُغَنِّيَاتٍ أَنْ نَبِيعَهُنَّ </w:t>
      </w:r>
      <w:r w:rsidRPr="00D10E3C">
        <w:rPr>
          <w:rStyle w:val="libFootnotenumChar"/>
          <w:rtl/>
        </w:rPr>
        <w:t>(4)</w:t>
      </w:r>
      <w:r>
        <w:rPr>
          <w:rtl/>
          <w:lang w:bidi="fa-IR"/>
        </w:rPr>
        <w:t xml:space="preserve"> ، وَنَحْمِلَ </w:t>
      </w:r>
      <w:r w:rsidRPr="00D10E3C">
        <w:rPr>
          <w:rStyle w:val="libFootnotenumChar"/>
          <w:rtl/>
        </w:rPr>
        <w:t>(5)</w:t>
      </w:r>
      <w:r>
        <w:rPr>
          <w:rtl/>
          <w:lang w:bidi="fa-IR"/>
        </w:rPr>
        <w:t xml:space="preserve"> ثَمَنَهُنَّ إِلى أَبِي الْحَسَنِ </w:t>
      </w:r>
      <w:r w:rsidR="0061079A" w:rsidRPr="0061079A">
        <w:rPr>
          <w:rStyle w:val="libAlaemChar"/>
          <w:rtl/>
        </w:rPr>
        <w:t>عليه‌السلام</w:t>
      </w:r>
      <w:r>
        <w:rPr>
          <w:rtl/>
          <w:lang w:bidi="fa-IR"/>
        </w:rPr>
        <w:t xml:space="preserve"> .</w:t>
      </w:r>
    </w:p>
    <w:p w:rsidR="00744A1C" w:rsidRDefault="00744A1C" w:rsidP="00744A1C">
      <w:pPr>
        <w:pStyle w:val="libNormal"/>
        <w:rPr>
          <w:lang w:bidi="fa-IR"/>
        </w:rPr>
      </w:pPr>
      <w:r>
        <w:rPr>
          <w:rtl/>
          <w:lang w:bidi="fa-IR"/>
        </w:rPr>
        <w:t xml:space="preserve">قَالَ إِبْرَاهِيمُ : فَبِعْتُ الْجَوَارِيَ بِثَلَاثِمِائَةِ أَلْفِ دِرْهَمٍ ، وَحَمَلْتُ الثَّمَنَ إِلَيْهِ ، فَقُلْتُ </w:t>
      </w:r>
      <w:r w:rsidRPr="00D10E3C">
        <w:rPr>
          <w:rStyle w:val="libFootnotenumChar"/>
          <w:rtl/>
        </w:rPr>
        <w:t>(6)</w:t>
      </w:r>
      <w:r>
        <w:rPr>
          <w:rtl/>
          <w:lang w:bidi="fa-IR"/>
        </w:rPr>
        <w:t xml:space="preserve"> لَهُ : إِنَّ مَوْلًى لَكَ - يُقَالُ لَهُ : إِسْحَاقُ بْنُ عُمَرَ - أَوْصى </w:t>
      </w:r>
      <w:r w:rsidRPr="00D10E3C">
        <w:rPr>
          <w:rStyle w:val="libFootnotenumChar"/>
          <w:rtl/>
        </w:rPr>
        <w:t>(7)</w:t>
      </w:r>
      <w:r>
        <w:rPr>
          <w:rtl/>
          <w:lang w:bidi="fa-IR"/>
        </w:rPr>
        <w:t xml:space="preserve"> عِنْدَ وَفَاتِهِ </w:t>
      </w:r>
      <w:r w:rsidRPr="00D10E3C">
        <w:rPr>
          <w:rStyle w:val="libFootnotenumChar"/>
          <w:rtl/>
        </w:rPr>
        <w:t>(8)</w:t>
      </w:r>
      <w:r>
        <w:rPr>
          <w:rtl/>
          <w:lang w:bidi="fa-IR"/>
        </w:rPr>
        <w:t xml:space="preserve"> بِبَيْعِ جَوَارٍ لَهُ مُغَنِّيَاتٍ ، وَحَمْلِ الثَّمَنِ إِلَيْكَ ، وَقَدْ بِعْتُهُنَّ </w:t>
      </w:r>
      <w:r w:rsidRPr="00D10E3C">
        <w:rPr>
          <w:rStyle w:val="libFootnotenumChar"/>
          <w:rtl/>
        </w:rPr>
        <w:t>(9)</w:t>
      </w:r>
      <w:r>
        <w:rPr>
          <w:rtl/>
          <w:lang w:bidi="fa-IR"/>
        </w:rPr>
        <w:t xml:space="preserve"> وَهذَا </w:t>
      </w:r>
      <w:r w:rsidRPr="00D10E3C">
        <w:rPr>
          <w:rStyle w:val="libFootnotenumChar"/>
          <w:rtl/>
        </w:rPr>
        <w:t>(10)</w:t>
      </w:r>
      <w:r>
        <w:rPr>
          <w:rtl/>
          <w:lang w:bidi="fa-IR"/>
        </w:rPr>
        <w:t xml:space="preserve"> الثَّمَنُ ثَلَاثُمِائَةِ أَلْفِ دِرْهَمٍ </w:t>
      </w:r>
      <w:r w:rsidRPr="00D10E3C">
        <w:rPr>
          <w:rStyle w:val="libFootnotenumChar"/>
          <w:rtl/>
        </w:rPr>
        <w:t>(11)</w:t>
      </w:r>
      <w:r w:rsidR="00AA3935" w:rsidRPr="00AA3935">
        <w:rPr>
          <w:rFonts w:hint="cs"/>
          <w:rtl/>
        </w:rPr>
        <w:t>.</w:t>
      </w:r>
    </w:p>
    <w:p w:rsidR="00744A1C" w:rsidRDefault="00744A1C" w:rsidP="00744A1C">
      <w:pPr>
        <w:pStyle w:val="libNormal"/>
        <w:rPr>
          <w:lang w:bidi="fa-IR"/>
        </w:rPr>
      </w:pPr>
      <w:r>
        <w:rPr>
          <w:rtl/>
          <w:lang w:bidi="fa-IR"/>
        </w:rPr>
        <w:t xml:space="preserve">فَقَالَ : « لَا حَاجَةَ لِي فِيهِ ؛ إِنَّ هذَا سُحْتٌ ، وَتَعْلِيمَهُنَّ </w:t>
      </w:r>
      <w:r w:rsidRPr="00D10E3C">
        <w:rPr>
          <w:rStyle w:val="libFootnotenumChar"/>
          <w:rtl/>
        </w:rPr>
        <w:t>(12)</w:t>
      </w:r>
      <w:r>
        <w:rPr>
          <w:rtl/>
          <w:lang w:bidi="fa-IR"/>
        </w:rPr>
        <w:t xml:space="preserve"> كُفْرٌ ، وَالاسْتِمَاعَ مِنْهُنَّ‌</w:t>
      </w:r>
    </w:p>
    <w:p w:rsidR="00744A1C" w:rsidRDefault="00744A1C" w:rsidP="00D10E3C">
      <w:pPr>
        <w:pStyle w:val="libLine"/>
        <w:rPr>
          <w:lang w:bidi="fa-IR"/>
        </w:rPr>
      </w:pPr>
      <w:r>
        <w:rPr>
          <w:rtl/>
          <w:lang w:bidi="fa-IR"/>
        </w:rPr>
        <w:t>____________________</w:t>
      </w:r>
    </w:p>
    <w:p w:rsidR="00744A1C" w:rsidRDefault="00AA3935" w:rsidP="00D10E3C">
      <w:pPr>
        <w:pStyle w:val="libFootnote0"/>
        <w:rPr>
          <w:lang w:bidi="fa-IR"/>
        </w:rPr>
      </w:pPr>
      <w:r w:rsidRPr="00AA3935">
        <w:rPr>
          <w:rFonts w:hint="cs"/>
          <w:rtl/>
        </w:rPr>
        <w:t xml:space="preserve">= </w:t>
      </w:r>
      <w:r w:rsidR="00744A1C" w:rsidRPr="003A7143">
        <w:rPr>
          <w:rStyle w:val="libFootnoteBoldChar"/>
          <w:rtl/>
        </w:rPr>
        <w:t>رجال النجاشي</w:t>
      </w:r>
      <w:r w:rsidR="00744A1C">
        <w:rPr>
          <w:rtl/>
          <w:lang w:bidi="fa-IR"/>
        </w:rPr>
        <w:t xml:space="preserve"> ، ص 427 ، الرقم 1146 ؛ </w:t>
      </w:r>
      <w:r w:rsidR="00744A1C" w:rsidRPr="004D054E">
        <w:rPr>
          <w:rStyle w:val="libFootnoteBoldChar"/>
          <w:rtl/>
        </w:rPr>
        <w:t>رجال البرقي</w:t>
      </w:r>
      <w:r w:rsidR="00744A1C">
        <w:rPr>
          <w:rtl/>
          <w:lang w:bidi="fa-IR"/>
        </w:rPr>
        <w:t xml:space="preserve"> ، ص 39 ؛ </w:t>
      </w:r>
      <w:r w:rsidR="00744A1C" w:rsidRPr="0061079A">
        <w:rPr>
          <w:rStyle w:val="libFootnoteBoldChar"/>
          <w:rtl/>
        </w:rPr>
        <w:t>رجال الطوسي</w:t>
      </w:r>
      <w:r w:rsidR="00744A1C">
        <w:rPr>
          <w:rtl/>
          <w:lang w:bidi="fa-IR"/>
        </w:rPr>
        <w:t xml:space="preserve"> ، ص 314 ، الرقم 4675.</w:t>
      </w:r>
    </w:p>
    <w:p w:rsidR="00744A1C" w:rsidRDefault="00D10E3C" w:rsidP="00D10E3C">
      <w:pPr>
        <w:pStyle w:val="libFootnote0"/>
        <w:rPr>
          <w:lang w:bidi="fa-IR"/>
        </w:rPr>
      </w:pPr>
      <w:r>
        <w:rPr>
          <w:rtl/>
          <w:lang w:bidi="fa-IR"/>
        </w:rPr>
        <w:t>(1).</w:t>
      </w:r>
      <w:r w:rsidR="00744A1C">
        <w:rPr>
          <w:rtl/>
          <w:lang w:bidi="fa-IR"/>
        </w:rPr>
        <w:t xml:space="preserve"> في </w:t>
      </w:r>
      <w:r w:rsidR="00744A1C" w:rsidRPr="00AA3935">
        <w:rPr>
          <w:rtl/>
        </w:rPr>
        <w:t>التهذيب والاستبصار :</w:t>
      </w:r>
      <w:r w:rsidR="00744A1C">
        <w:rPr>
          <w:rtl/>
          <w:lang w:bidi="fa-IR"/>
        </w:rPr>
        <w:t xml:space="preserve"> + « من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357 ، ح 1020 ؛ </w:t>
      </w:r>
      <w:r w:rsidR="00744A1C" w:rsidRPr="00C24F9C">
        <w:rPr>
          <w:rStyle w:val="libFootnoteBoldChar"/>
          <w:rtl/>
        </w:rPr>
        <w:t>والاستبصار</w:t>
      </w:r>
      <w:r w:rsidR="00744A1C">
        <w:rPr>
          <w:rtl/>
          <w:lang w:bidi="fa-IR"/>
        </w:rPr>
        <w:t xml:space="preserve"> ، ج 3 ، ص 61 ، ح 203 ، معلّقاً عن الكليني. </w:t>
      </w:r>
      <w:r w:rsidR="00744A1C" w:rsidRPr="00AA3935">
        <w:rPr>
          <w:rStyle w:val="libFootnoteBoldChar"/>
          <w:rtl/>
        </w:rPr>
        <w:t>الخصال</w:t>
      </w:r>
      <w:r w:rsidR="00744A1C">
        <w:rPr>
          <w:rtl/>
          <w:lang w:bidi="fa-IR"/>
        </w:rPr>
        <w:t xml:space="preserve"> ، ص 297 ، باب الخمسة ، ضمن ح 67 ، بسنده عن الحسن بن عليّ الكوفي ، عن إسحاق بن إبراهيم ، مع اختلاف يسير </w:t>
      </w:r>
      <w:r w:rsidR="00AA3935">
        <w:rPr>
          <w:rFonts w:hint="cs"/>
          <w:rtl/>
          <w:lang w:bidi="fa-IR"/>
        </w:rPr>
        <w:t>.</w:t>
      </w:r>
      <w:r w:rsidR="00744A1C" w:rsidRPr="00C24F9C">
        <w:rPr>
          <w:rStyle w:val="libFootnoteBoldChar"/>
          <w:rtl/>
        </w:rPr>
        <w:t>الوافي</w:t>
      </w:r>
      <w:r w:rsidR="00744A1C">
        <w:rPr>
          <w:rtl/>
          <w:lang w:bidi="fa-IR"/>
        </w:rPr>
        <w:t xml:space="preserve"> ، ج 17 ، ص 207 ، ح 17126 ؛ </w:t>
      </w:r>
      <w:r w:rsidR="00744A1C" w:rsidRPr="00C24F9C">
        <w:rPr>
          <w:rStyle w:val="libFootnoteBoldChar"/>
          <w:rtl/>
        </w:rPr>
        <w:t>الوسائل</w:t>
      </w:r>
      <w:r w:rsidR="00744A1C">
        <w:rPr>
          <w:rtl/>
          <w:lang w:bidi="fa-IR"/>
        </w:rPr>
        <w:t xml:space="preserve"> ، ج 17 ، ص 121 ، ح 22147.</w:t>
      </w:r>
    </w:p>
    <w:p w:rsidR="00744A1C" w:rsidRDefault="00E378DD" w:rsidP="00E378DD">
      <w:pPr>
        <w:pStyle w:val="libFootnote0"/>
        <w:rPr>
          <w:lang w:bidi="fa-IR"/>
        </w:rPr>
      </w:pPr>
      <w:r>
        <w:rPr>
          <w:rtl/>
          <w:lang w:bidi="fa-IR"/>
        </w:rPr>
        <w:t>(3).</w:t>
      </w:r>
      <w:r w:rsidR="00744A1C">
        <w:rPr>
          <w:rtl/>
          <w:lang w:bidi="fa-IR"/>
        </w:rPr>
        <w:t xml:space="preserve"> في </w:t>
      </w:r>
      <w:r w:rsidR="00744A1C" w:rsidRPr="00D4601F">
        <w:rPr>
          <w:rtl/>
        </w:rPr>
        <w:t>الوسائل</w:t>
      </w:r>
      <w:r w:rsidR="00744A1C">
        <w:rPr>
          <w:rtl/>
          <w:lang w:bidi="fa-IR"/>
        </w:rPr>
        <w:t xml:space="preserve"> : - « عند وفاته ».</w:t>
      </w:r>
    </w:p>
    <w:p w:rsidR="00744A1C" w:rsidRDefault="00E378DD" w:rsidP="00E378DD">
      <w:pPr>
        <w:pStyle w:val="libFootnote0"/>
        <w:rPr>
          <w:lang w:bidi="fa-IR"/>
        </w:rPr>
      </w:pPr>
      <w:r>
        <w:rPr>
          <w:rtl/>
          <w:lang w:bidi="fa-IR"/>
        </w:rPr>
        <w:t>(4).</w:t>
      </w:r>
      <w:r w:rsidR="00744A1C">
        <w:rPr>
          <w:rtl/>
          <w:lang w:bidi="fa-IR"/>
        </w:rPr>
        <w:t xml:space="preserve"> في « جد ، جن » : « أن يبيعهنّ ». وفي « بح » و</w:t>
      </w:r>
      <w:r w:rsidR="00744A1C" w:rsidRPr="00C24F9C">
        <w:rPr>
          <w:rStyle w:val="libFootnoteBoldChar"/>
          <w:rtl/>
        </w:rPr>
        <w:t>الوسائل</w:t>
      </w:r>
      <w:r w:rsidR="00744A1C">
        <w:rPr>
          <w:rtl/>
          <w:lang w:bidi="fa-IR"/>
        </w:rPr>
        <w:t xml:space="preserve"> : « أن تبيعهنّ ». وفي </w:t>
      </w:r>
      <w:r w:rsidR="00744A1C" w:rsidRPr="00D4601F">
        <w:rPr>
          <w:rtl/>
        </w:rPr>
        <w:t>الوافي والتهذيب</w:t>
      </w:r>
      <w:r w:rsidR="00744A1C">
        <w:rPr>
          <w:rtl/>
          <w:lang w:bidi="fa-IR"/>
        </w:rPr>
        <w:t xml:space="preserve"> </w:t>
      </w:r>
      <w:r w:rsidR="00744A1C" w:rsidRPr="00D4601F">
        <w:rPr>
          <w:rtl/>
        </w:rPr>
        <w:t xml:space="preserve">والاستبصار </w:t>
      </w:r>
      <w:r w:rsidR="00744A1C">
        <w:rPr>
          <w:rtl/>
          <w:lang w:bidi="fa-IR"/>
        </w:rPr>
        <w:t>: « أن يبعن ».</w:t>
      </w:r>
    </w:p>
    <w:p w:rsidR="00744A1C" w:rsidRDefault="00E378DD" w:rsidP="00E378DD">
      <w:pPr>
        <w:pStyle w:val="libFootnote0"/>
        <w:rPr>
          <w:lang w:bidi="fa-IR"/>
        </w:rPr>
      </w:pPr>
      <w:r>
        <w:rPr>
          <w:rtl/>
          <w:lang w:bidi="fa-IR"/>
        </w:rPr>
        <w:t>(5).</w:t>
      </w:r>
      <w:r w:rsidR="00744A1C">
        <w:rPr>
          <w:rtl/>
          <w:lang w:bidi="fa-IR"/>
        </w:rPr>
        <w:t xml:space="preserve"> في « ى ، بخ ، بف ، جد ، جن </w:t>
      </w:r>
      <w:r w:rsidR="00744A1C" w:rsidRPr="00D4601F">
        <w:rPr>
          <w:rtl/>
        </w:rPr>
        <w:t>» والوافي والوسائل والتهذيب والاستبصار : « و</w:t>
      </w:r>
      <w:r w:rsidR="00744A1C">
        <w:rPr>
          <w:rtl/>
          <w:lang w:bidi="fa-IR"/>
        </w:rPr>
        <w:t>يحمل ». وفي « بح » : « وتحمل ».</w:t>
      </w:r>
    </w:p>
    <w:p w:rsidR="00744A1C" w:rsidRDefault="00E378DD" w:rsidP="00E378DD">
      <w:pPr>
        <w:pStyle w:val="libFootnote0"/>
        <w:rPr>
          <w:lang w:bidi="fa-IR"/>
        </w:rPr>
      </w:pPr>
      <w:r>
        <w:rPr>
          <w:rtl/>
          <w:lang w:bidi="fa-IR"/>
        </w:rPr>
        <w:t>(6).</w:t>
      </w:r>
      <w:r w:rsidR="00744A1C">
        <w:rPr>
          <w:rtl/>
          <w:lang w:bidi="fa-IR"/>
        </w:rPr>
        <w:t xml:space="preserve"> في الاستبصار : « وقلت ».</w:t>
      </w:r>
    </w:p>
    <w:p w:rsidR="00744A1C" w:rsidRDefault="00E378DD" w:rsidP="00E378DD">
      <w:pPr>
        <w:pStyle w:val="libFootnote0"/>
        <w:rPr>
          <w:lang w:bidi="fa-IR"/>
        </w:rPr>
      </w:pPr>
      <w:r>
        <w:rPr>
          <w:rtl/>
          <w:lang w:bidi="fa-IR"/>
        </w:rPr>
        <w:t>(7).</w:t>
      </w:r>
      <w:r w:rsidR="00744A1C">
        <w:rPr>
          <w:rtl/>
          <w:lang w:bidi="fa-IR"/>
        </w:rPr>
        <w:t xml:space="preserve"> هكذا في معظم النسخ التي قوبلت </w:t>
      </w:r>
      <w:r w:rsidR="00744A1C" w:rsidRPr="00D4601F">
        <w:rPr>
          <w:rtl/>
        </w:rPr>
        <w:t>والوافي والوسائل والتهذيب والاستبصار.</w:t>
      </w:r>
      <w:r w:rsidR="00744A1C">
        <w:rPr>
          <w:rtl/>
          <w:lang w:bidi="fa-IR"/>
        </w:rPr>
        <w:t xml:space="preserve"> وفي المطبوع : « قد أوصى ». وفي « بح ، جد » : « وصّى ».</w:t>
      </w:r>
    </w:p>
    <w:p w:rsidR="00744A1C" w:rsidRDefault="00E378DD" w:rsidP="00E378DD">
      <w:pPr>
        <w:pStyle w:val="libFootnote0"/>
        <w:rPr>
          <w:lang w:bidi="fa-IR"/>
        </w:rPr>
      </w:pPr>
      <w:r>
        <w:rPr>
          <w:rtl/>
          <w:lang w:bidi="fa-IR"/>
        </w:rPr>
        <w:t>(8).</w:t>
      </w:r>
      <w:r w:rsidR="00744A1C">
        <w:rPr>
          <w:rtl/>
          <w:lang w:bidi="fa-IR"/>
        </w:rPr>
        <w:t xml:space="preserve"> هكذا في جميع النس</w:t>
      </w:r>
      <w:r w:rsidR="00744A1C" w:rsidRPr="00D4601F">
        <w:rPr>
          <w:rtl/>
        </w:rPr>
        <w:t>خ التي قوبلت والوافي والوسائل والاستبصار.</w:t>
      </w:r>
      <w:r w:rsidR="00744A1C">
        <w:rPr>
          <w:rtl/>
          <w:lang w:bidi="fa-IR"/>
        </w:rPr>
        <w:t xml:space="preserve"> وفي المطبوع : « عند موته ».</w:t>
      </w:r>
    </w:p>
    <w:p w:rsidR="00744A1C" w:rsidRDefault="00E378DD" w:rsidP="00E378DD">
      <w:pPr>
        <w:pStyle w:val="libFootnote0"/>
        <w:rPr>
          <w:lang w:bidi="fa-IR"/>
        </w:rPr>
      </w:pPr>
      <w:r>
        <w:rPr>
          <w:rtl/>
          <w:lang w:bidi="fa-IR"/>
        </w:rPr>
        <w:t>(9).</w:t>
      </w:r>
      <w:r w:rsidR="00744A1C">
        <w:rPr>
          <w:rtl/>
          <w:lang w:bidi="fa-IR"/>
        </w:rPr>
        <w:t xml:space="preserve"> في « ط » : « وقد فعلت وقد بعتهنّ ». وفي « بف » و</w:t>
      </w:r>
      <w:r w:rsidR="00744A1C" w:rsidRPr="00C24F9C">
        <w:rPr>
          <w:rStyle w:val="libFootnoteBoldChar"/>
          <w:rtl/>
        </w:rPr>
        <w:t>الوافي</w:t>
      </w:r>
      <w:r w:rsidR="00744A1C">
        <w:rPr>
          <w:rtl/>
          <w:lang w:bidi="fa-IR"/>
        </w:rPr>
        <w:t xml:space="preserve"> « وقد فعلت وبعتهنّ ».</w:t>
      </w:r>
    </w:p>
    <w:p w:rsidR="00744A1C" w:rsidRDefault="00E378DD" w:rsidP="00E378DD">
      <w:pPr>
        <w:pStyle w:val="libFootnote0"/>
        <w:rPr>
          <w:lang w:bidi="fa-IR"/>
        </w:rPr>
      </w:pPr>
      <w:r>
        <w:rPr>
          <w:rtl/>
          <w:lang w:bidi="fa-IR"/>
        </w:rPr>
        <w:t>(10).</w:t>
      </w:r>
      <w:r w:rsidR="00744A1C">
        <w:rPr>
          <w:rtl/>
          <w:lang w:bidi="fa-IR"/>
        </w:rPr>
        <w:t xml:space="preserve"> في « ط » : « فهذا ».</w:t>
      </w:r>
    </w:p>
    <w:p w:rsidR="00744A1C" w:rsidRDefault="00E378DD" w:rsidP="00E378DD">
      <w:pPr>
        <w:pStyle w:val="libFootnote0"/>
        <w:rPr>
          <w:lang w:bidi="fa-IR"/>
        </w:rPr>
      </w:pPr>
      <w:r>
        <w:rPr>
          <w:rtl/>
          <w:lang w:bidi="fa-IR"/>
        </w:rPr>
        <w:t>(11).</w:t>
      </w:r>
      <w:r w:rsidR="00744A1C">
        <w:rPr>
          <w:rtl/>
          <w:lang w:bidi="fa-IR"/>
        </w:rPr>
        <w:t xml:space="preserve"> في « بف » : - « درهم ».</w:t>
      </w:r>
    </w:p>
    <w:p w:rsidR="00744A1C" w:rsidRDefault="00E378DD" w:rsidP="00E378DD">
      <w:pPr>
        <w:pStyle w:val="libFootnote0"/>
        <w:rPr>
          <w:lang w:bidi="fa-IR"/>
        </w:rPr>
      </w:pPr>
      <w:r>
        <w:rPr>
          <w:rtl/>
          <w:lang w:bidi="fa-IR"/>
        </w:rPr>
        <w:t>(12).</w:t>
      </w:r>
      <w:r w:rsidR="00744A1C">
        <w:rPr>
          <w:rtl/>
          <w:lang w:bidi="fa-IR"/>
        </w:rPr>
        <w:t xml:space="preserve"> في « ط ، بس ، جد » : « تعليمهنّ » بدون الواو.</w:t>
      </w:r>
    </w:p>
    <w:p w:rsidR="006A5060" w:rsidRDefault="006A5060" w:rsidP="00D10E3C">
      <w:pPr>
        <w:pStyle w:val="libNormal"/>
        <w:rPr>
          <w:rtl/>
          <w:lang w:bidi="fa-IR"/>
        </w:rPr>
      </w:pPr>
      <w:r>
        <w:rPr>
          <w:rtl/>
          <w:lang w:bidi="fa-IR"/>
        </w:rPr>
        <w:br w:type="page"/>
      </w:r>
    </w:p>
    <w:p w:rsidR="00144FA6" w:rsidRDefault="00744A1C" w:rsidP="00955510">
      <w:pPr>
        <w:pStyle w:val="libNormal0"/>
        <w:rPr>
          <w:rtl/>
          <w:lang w:bidi="fa-IR"/>
        </w:rPr>
      </w:pPr>
      <w:r>
        <w:rPr>
          <w:rtl/>
          <w:lang w:bidi="fa-IR"/>
        </w:rPr>
        <w:t xml:space="preserve">نِفَاقٌ ، وَثَمَنَهُنَّ سُحْتٌ ». </w:t>
      </w:r>
      <w:r w:rsidRPr="00D10E3C">
        <w:rPr>
          <w:rStyle w:val="libFootnotenumChar"/>
          <w:rtl/>
        </w:rPr>
        <w:t>(1)</w:t>
      </w:r>
    </w:p>
    <w:p w:rsidR="00744A1C" w:rsidRDefault="00744A1C" w:rsidP="00D4601F">
      <w:pPr>
        <w:pStyle w:val="Heading2Center"/>
        <w:rPr>
          <w:lang w:bidi="fa-IR"/>
        </w:rPr>
      </w:pPr>
      <w:bookmarkStart w:id="161" w:name="_Toc49261459"/>
      <w:r>
        <w:rPr>
          <w:rtl/>
          <w:lang w:bidi="fa-IR"/>
        </w:rPr>
        <w:t>38 - بَابُ كَسْبِ الْمُعَلِّمِ‌</w:t>
      </w:r>
      <w:bookmarkEnd w:id="161"/>
    </w:p>
    <w:p w:rsidR="00144FA6" w:rsidRDefault="00744A1C" w:rsidP="00744A1C">
      <w:pPr>
        <w:pStyle w:val="libNormal"/>
        <w:rPr>
          <w:rtl/>
          <w:lang w:bidi="fa-IR"/>
        </w:rPr>
      </w:pPr>
      <w:r>
        <w:rPr>
          <w:rtl/>
          <w:lang w:bidi="fa-IR"/>
        </w:rPr>
        <w:t xml:space="preserve">8561 / 1. عِدَّةٌ مِنْ أَصْحَابِنَا ، عَنْ أَحْمَدَ بْنِ مُحَمَّدٍ ، عَنْ مُحَمَّدِ بْنِ إِسْمَاعِيلَ بْنِ بَزِيعٍ ، عَنِ الْفَضْلِ </w:t>
      </w:r>
      <w:r w:rsidRPr="00D10E3C">
        <w:rPr>
          <w:rStyle w:val="libFootnotenumChar"/>
          <w:rtl/>
        </w:rPr>
        <w:t>(2)</w:t>
      </w:r>
      <w:r>
        <w:rPr>
          <w:rtl/>
          <w:lang w:bidi="fa-IR"/>
        </w:rPr>
        <w:t xml:space="preserve"> بْنِ كَثِيرٍ ، عَنْ حَسَّانَ الْمُعَلِّمِ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التَّعْلِيمِ </w:t>
      </w:r>
      <w:r w:rsidRPr="00D10E3C">
        <w:rPr>
          <w:rStyle w:val="libFootnotenumChar"/>
          <w:rtl/>
        </w:rPr>
        <w:t>(3)</w:t>
      </w:r>
      <w:r>
        <w:rPr>
          <w:rtl/>
          <w:lang w:bidi="fa-IR"/>
        </w:rPr>
        <w:t>؟</w:t>
      </w:r>
    </w:p>
    <w:p w:rsidR="00744A1C" w:rsidRDefault="00744A1C" w:rsidP="00744A1C">
      <w:pPr>
        <w:pStyle w:val="libNormal"/>
        <w:rPr>
          <w:lang w:bidi="fa-IR"/>
        </w:rPr>
      </w:pPr>
      <w:r>
        <w:rPr>
          <w:rtl/>
          <w:lang w:bidi="fa-IR"/>
        </w:rPr>
        <w:t xml:space="preserve">فَقَالَ : « لَا تَأْخُذْ </w:t>
      </w:r>
      <w:r w:rsidRPr="00D10E3C">
        <w:rPr>
          <w:rStyle w:val="libFootnotenumChar"/>
          <w:rtl/>
        </w:rPr>
        <w:t>(4)</w:t>
      </w:r>
      <w:r>
        <w:rPr>
          <w:rtl/>
          <w:lang w:bidi="fa-IR"/>
        </w:rPr>
        <w:t xml:space="preserve"> عَلَى التَّعْلِيمِ أَجْراً ».</w:t>
      </w:r>
    </w:p>
    <w:p w:rsidR="00744A1C" w:rsidRDefault="00744A1C" w:rsidP="00744A1C">
      <w:pPr>
        <w:pStyle w:val="libNormal"/>
        <w:rPr>
          <w:lang w:bidi="fa-IR"/>
        </w:rPr>
      </w:pPr>
      <w:r>
        <w:rPr>
          <w:rtl/>
          <w:lang w:bidi="fa-IR"/>
        </w:rPr>
        <w:t xml:space="preserve">قُلْتُ : الشِّعْرُ </w:t>
      </w:r>
      <w:r w:rsidRPr="00D10E3C">
        <w:rPr>
          <w:rStyle w:val="libFootnotenumChar"/>
          <w:rtl/>
        </w:rPr>
        <w:t>(5)</w:t>
      </w:r>
      <w:r>
        <w:rPr>
          <w:rtl/>
          <w:lang w:bidi="fa-IR"/>
        </w:rPr>
        <w:t xml:space="preserve"> وَالرَّسَائِلُ وَمَا أَشْبَهَ ذلِكَ أُشَارِطُ عَلَيْهِ؟</w:t>
      </w:r>
    </w:p>
    <w:p w:rsidR="00144FA6" w:rsidRDefault="00744A1C" w:rsidP="00744A1C">
      <w:pPr>
        <w:pStyle w:val="libNormal"/>
        <w:rPr>
          <w:rtl/>
          <w:lang w:bidi="fa-IR"/>
        </w:rPr>
      </w:pPr>
      <w:r>
        <w:rPr>
          <w:rtl/>
          <w:lang w:bidi="fa-IR"/>
        </w:rPr>
        <w:t xml:space="preserve">قَالَ : « نَعَمْ </w:t>
      </w:r>
      <w:r w:rsidRPr="00D10E3C">
        <w:rPr>
          <w:rStyle w:val="libFootnotenumChar"/>
          <w:rtl/>
        </w:rPr>
        <w:t>(6)</w:t>
      </w:r>
      <w:r>
        <w:rPr>
          <w:rtl/>
          <w:lang w:bidi="fa-IR"/>
        </w:rPr>
        <w:t xml:space="preserve"> ، بَعْدَ أَنْ يَكُونَ الصِّبْيَانُ عِنْدَكَ سَوَاءً </w:t>
      </w:r>
      <w:r w:rsidRPr="00D10E3C">
        <w:rPr>
          <w:rStyle w:val="libFootnotenumChar"/>
          <w:rtl/>
        </w:rPr>
        <w:t>(7)</w:t>
      </w:r>
      <w:r>
        <w:rPr>
          <w:rtl/>
          <w:lang w:bidi="fa-IR"/>
        </w:rPr>
        <w:t xml:space="preserve"> فِي التَّعْلِيمِ ، لَاتُفَضِّلُ بَعْضَهُمْ عَلى بَعْضٍ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6 ، ص 357 ، ح 1021 ؛ </w:t>
      </w:r>
      <w:r w:rsidR="00744A1C" w:rsidRPr="00C24F9C">
        <w:rPr>
          <w:rStyle w:val="libFootnoteBoldChar"/>
          <w:rtl/>
        </w:rPr>
        <w:t>والاستبصار</w:t>
      </w:r>
      <w:r w:rsidR="00744A1C">
        <w:rPr>
          <w:rtl/>
          <w:lang w:bidi="fa-IR"/>
        </w:rPr>
        <w:t xml:space="preserve"> ، ج 3 ، ص 61 ، ح 204 ، معلّقاً عن الكليني </w:t>
      </w:r>
      <w:r w:rsidR="00D4601F">
        <w:rPr>
          <w:rFonts w:hint="cs"/>
          <w:rtl/>
          <w:lang w:bidi="fa-IR"/>
        </w:rPr>
        <w:t>.</w:t>
      </w:r>
      <w:r w:rsidR="00744A1C" w:rsidRPr="00C24F9C">
        <w:rPr>
          <w:rStyle w:val="libFootnoteBoldChar"/>
          <w:rtl/>
        </w:rPr>
        <w:t>الوافي</w:t>
      </w:r>
      <w:r w:rsidR="00744A1C">
        <w:rPr>
          <w:rtl/>
          <w:lang w:bidi="fa-IR"/>
        </w:rPr>
        <w:t xml:space="preserve"> ، ج 17 ، ص 208 ، ح 17128 ؛ </w:t>
      </w:r>
      <w:r w:rsidR="00744A1C" w:rsidRPr="00C24F9C">
        <w:rPr>
          <w:rStyle w:val="libFootnoteBoldChar"/>
          <w:rtl/>
        </w:rPr>
        <w:t>الوسائل</w:t>
      </w:r>
      <w:r w:rsidR="00744A1C">
        <w:rPr>
          <w:rtl/>
          <w:lang w:bidi="fa-IR"/>
        </w:rPr>
        <w:t xml:space="preserve"> ، ج 17 ، ص 123 ، ح 22153.</w:t>
      </w:r>
    </w:p>
    <w:p w:rsidR="00744A1C" w:rsidRDefault="00E378DD" w:rsidP="00E378DD">
      <w:pPr>
        <w:pStyle w:val="libFootnote0"/>
        <w:rPr>
          <w:lang w:bidi="fa-IR"/>
        </w:rPr>
      </w:pPr>
      <w:r>
        <w:rPr>
          <w:rtl/>
          <w:lang w:bidi="fa-IR"/>
        </w:rPr>
        <w:t>(2).</w:t>
      </w:r>
      <w:r w:rsidR="00744A1C">
        <w:rPr>
          <w:rtl/>
          <w:lang w:bidi="fa-IR"/>
        </w:rPr>
        <w:t xml:space="preserve"> في « بف » </w:t>
      </w:r>
      <w:r w:rsidR="00744A1C" w:rsidRPr="00D4601F">
        <w:rPr>
          <w:rtl/>
        </w:rPr>
        <w:t>والوافي</w:t>
      </w:r>
      <w:r w:rsidR="00744A1C">
        <w:rPr>
          <w:rtl/>
          <w:lang w:bidi="fa-IR"/>
        </w:rPr>
        <w:t xml:space="preserve"> : « الفضيل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ا</w:t>
      </w:r>
      <w:r w:rsidR="00D4601F">
        <w:rPr>
          <w:rFonts w:hint="cs"/>
          <w:rtl/>
          <w:lang w:bidi="fa-IR"/>
        </w:rPr>
        <w:t>ُ</w:t>
      </w:r>
      <w:r w:rsidR="00744A1C">
        <w:rPr>
          <w:rtl/>
          <w:lang w:bidi="fa-IR"/>
        </w:rPr>
        <w:t>ريد بالتعليم الأوّل والثاني تعليم القرآن ، وبالثالث تعليم الشعر والرسائل وما أشبهها ».</w:t>
      </w:r>
    </w:p>
    <w:p w:rsidR="00744A1C" w:rsidRDefault="00E378DD" w:rsidP="00E378DD">
      <w:pPr>
        <w:pStyle w:val="libFootnote0"/>
        <w:rPr>
          <w:lang w:bidi="fa-IR"/>
        </w:rPr>
      </w:pPr>
      <w:r>
        <w:rPr>
          <w:rtl/>
          <w:lang w:bidi="fa-IR"/>
        </w:rPr>
        <w:t>(4).</w:t>
      </w:r>
      <w:r w:rsidR="00744A1C">
        <w:rPr>
          <w:rtl/>
          <w:lang w:bidi="fa-IR"/>
        </w:rPr>
        <w:t xml:space="preserve"> في </w:t>
      </w:r>
      <w:r w:rsidR="00744A1C" w:rsidRPr="00877682">
        <w:rPr>
          <w:rStyle w:val="libFootnoteBoldChar"/>
          <w:rtl/>
        </w:rPr>
        <w:t>مرآة العقول</w:t>
      </w:r>
      <w:r w:rsidR="00744A1C">
        <w:rPr>
          <w:rtl/>
          <w:lang w:bidi="fa-IR"/>
        </w:rPr>
        <w:t xml:space="preserve"> ، ج 19 ، ص 82 : « قوله </w:t>
      </w:r>
      <w:r w:rsidR="0061079A" w:rsidRPr="0061079A">
        <w:rPr>
          <w:rStyle w:val="libFootnoteAlaemChar"/>
          <w:rtl/>
        </w:rPr>
        <w:t>عليه‌السلام</w:t>
      </w:r>
      <w:r w:rsidR="00D10E3C">
        <w:rPr>
          <w:rtl/>
          <w:lang w:bidi="fa-IR"/>
        </w:rPr>
        <w:t xml:space="preserve"> </w:t>
      </w:r>
      <w:r w:rsidR="00744A1C">
        <w:rPr>
          <w:rtl/>
          <w:lang w:bidi="fa-IR"/>
        </w:rPr>
        <w:t xml:space="preserve">: لا تأخذ ، قال في </w:t>
      </w:r>
      <w:r w:rsidR="00744A1C" w:rsidRPr="00877682">
        <w:rPr>
          <w:rStyle w:val="libFootnoteBoldChar"/>
          <w:rtl/>
        </w:rPr>
        <w:t>الدروس</w:t>
      </w:r>
      <w:r w:rsidR="00744A1C">
        <w:rPr>
          <w:rtl/>
          <w:lang w:bidi="fa-IR"/>
        </w:rPr>
        <w:t xml:space="preserve"> : لو أخذ الاجرة على ما زاد على الواجب من الفقه والقرآن جاز على كراهة ، ويتأكّد مع الشرط ولا يحرم. ولو استأجره لقراءة ما يهدي إلى الميّت أوحيّ لم يحرم ، وإن كان تركه أولى ، ولو دفع إليه بغير شرط فلا كراهة. والرواية بمنع الا</w:t>
      </w:r>
      <w:r w:rsidR="00BD1804">
        <w:rPr>
          <w:rFonts w:hint="cs"/>
          <w:rtl/>
          <w:lang w:bidi="fa-IR"/>
        </w:rPr>
        <w:t>ُ</w:t>
      </w:r>
      <w:r w:rsidR="00744A1C">
        <w:rPr>
          <w:rtl/>
          <w:lang w:bidi="fa-IR"/>
        </w:rPr>
        <w:t xml:space="preserve">جرة على تعليم القرآن تحمل على الواجب أو على الكراهة ». وراجع : </w:t>
      </w:r>
      <w:r w:rsidR="00744A1C" w:rsidRPr="00877682">
        <w:rPr>
          <w:rStyle w:val="libFootnoteBoldChar"/>
          <w:rtl/>
        </w:rPr>
        <w:t>الدروس</w:t>
      </w:r>
      <w:r w:rsidR="00744A1C">
        <w:rPr>
          <w:rtl/>
          <w:lang w:bidi="fa-IR"/>
        </w:rPr>
        <w:t xml:space="preserve"> ، ج 3 ، ص 173 ، الدرس 234.</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الوسائل</w:t>
      </w:r>
      <w:r w:rsidR="00744A1C">
        <w:rPr>
          <w:rtl/>
          <w:lang w:bidi="fa-IR"/>
        </w:rPr>
        <w:t xml:space="preserve"> ، ح 22226 و 22684 : « فالشعر ».</w:t>
      </w:r>
    </w:p>
    <w:p w:rsidR="00744A1C" w:rsidRDefault="00E378DD" w:rsidP="00E378DD">
      <w:pPr>
        <w:pStyle w:val="libFootnote0"/>
        <w:rPr>
          <w:lang w:bidi="fa-IR"/>
        </w:rPr>
      </w:pPr>
      <w:r>
        <w:rPr>
          <w:rtl/>
          <w:lang w:bidi="fa-IR"/>
        </w:rPr>
        <w:t>(6).</w:t>
      </w:r>
      <w:r w:rsidR="00744A1C">
        <w:rPr>
          <w:rtl/>
          <w:lang w:bidi="fa-IR"/>
        </w:rPr>
        <w:t xml:space="preserve"> في « ط ، بخ ، بف » : + « التعليم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سواء ، حمل على الاستحباب ، قال في </w:t>
      </w:r>
      <w:r w:rsidR="00744A1C" w:rsidRPr="00133F1C">
        <w:rPr>
          <w:rStyle w:val="libFootnoteBoldChar"/>
          <w:rtl/>
        </w:rPr>
        <w:t>التحرير</w:t>
      </w:r>
      <w:r w:rsidR="00744A1C">
        <w:rPr>
          <w:rtl/>
          <w:lang w:bidi="fa-IR"/>
        </w:rPr>
        <w:t xml:space="preserve"> : ينبغي للمعلّم التسوية بين الصبيان في التعليم والأخذ عليهم إذا استوجر لتعليم الجميع على الإطلاق ، تفاوتت ا</w:t>
      </w:r>
      <w:r w:rsidR="00133F1C">
        <w:rPr>
          <w:rFonts w:hint="cs"/>
          <w:rtl/>
          <w:lang w:bidi="fa-IR"/>
        </w:rPr>
        <w:t>ُ</w:t>
      </w:r>
      <w:r w:rsidR="00744A1C">
        <w:rPr>
          <w:rtl/>
          <w:lang w:bidi="fa-IR"/>
        </w:rPr>
        <w:t xml:space="preserve">جرتهم ، أو اتّفقت. ولو آجر نفسه لبعضهم لتعليم مخصوص جاز التفضيل بحسب ما وقع العقد عليه ». وراجع : </w:t>
      </w:r>
      <w:r w:rsidR="00744A1C" w:rsidRPr="00BD31AF">
        <w:rPr>
          <w:rStyle w:val="libFootnoteBoldChar"/>
          <w:rtl/>
        </w:rPr>
        <w:t>تحرير الأحكام</w:t>
      </w:r>
      <w:r w:rsidR="00744A1C">
        <w:rPr>
          <w:rtl/>
          <w:lang w:bidi="fa-IR"/>
        </w:rPr>
        <w:t xml:space="preserve"> ، ج 2 ، ص 266 ، المسألة 3039.</w:t>
      </w:r>
    </w:p>
    <w:p w:rsidR="00144FA6" w:rsidRDefault="00E378DD" w:rsidP="00E378DD">
      <w:pPr>
        <w:pStyle w:val="libFootnote0"/>
        <w:rPr>
          <w:rtl/>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364 ، ح 1045 ؛ </w:t>
      </w:r>
      <w:r w:rsidR="00744A1C" w:rsidRPr="00C24F9C">
        <w:rPr>
          <w:rStyle w:val="libFootnoteBoldChar"/>
          <w:rtl/>
        </w:rPr>
        <w:t>والاستبصار</w:t>
      </w:r>
      <w:r w:rsidR="00744A1C">
        <w:rPr>
          <w:rtl/>
          <w:lang w:bidi="fa-IR"/>
        </w:rPr>
        <w:t xml:space="preserve"> ، ج 3 ، ص 95 ، ح 214 ، معلّقاً عن أحمد بن محمّد</w:t>
      </w:r>
      <w:r w:rsidR="00BD31AF">
        <w:rPr>
          <w:rFonts w:hint="cs"/>
          <w:rtl/>
          <w:lang w:bidi="fa-IR"/>
        </w:rPr>
        <w:t>.</w:t>
      </w:r>
      <w:r w:rsidR="007C4F71">
        <w:rPr>
          <w:rFonts w:hint="cs"/>
          <w:rtl/>
          <w:lang w:bidi="fa-IR"/>
        </w:rPr>
        <w:t xml:space="preserve"> </w:t>
      </w:r>
      <w:r w:rsidR="00BD31AF">
        <w:rPr>
          <w:rFonts w:hint="cs"/>
          <w:rtl/>
          <w:lang w:bidi="fa-IR"/>
        </w:rPr>
        <w:t>=</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8562 / 2. عَلِيُّ بْنُ مُحَمَّدِ بْنِ بُنْدَارَ ، عَنْ أَحْمَدَ بْنِ أَبِي عَبْدِ اللهِ ، عَنْ شَرِيفِ بْنِ سَابِقٍ ، عَنِ الْفَضْلِ بْنِ أَبِي قُرَّةَ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sidRPr="00D10E3C">
        <w:rPr>
          <w:rStyle w:val="libFootnotenumChar"/>
          <w:rtl/>
        </w:rPr>
        <w:t>(1)</w:t>
      </w:r>
      <w:r>
        <w:rPr>
          <w:rtl/>
          <w:lang w:bidi="fa-IR"/>
        </w:rPr>
        <w:t xml:space="preserve"> : هؤُلَاءِ يَقُولُونَ : إِنَّ </w:t>
      </w:r>
      <w:r w:rsidRPr="00D10E3C">
        <w:rPr>
          <w:rStyle w:val="libFootnotenumChar"/>
          <w:rtl/>
        </w:rPr>
        <w:t>(2)</w:t>
      </w:r>
      <w:r>
        <w:rPr>
          <w:rtl/>
          <w:lang w:bidi="fa-IR"/>
        </w:rPr>
        <w:t xml:space="preserve"> كَسْبَ الْمُعَلِّمِ سُحْتٌ </w:t>
      </w:r>
      <w:r w:rsidRPr="00D10E3C">
        <w:rPr>
          <w:rStyle w:val="libFootnotenumChar"/>
          <w:rtl/>
        </w:rPr>
        <w:t>(3)</w:t>
      </w:r>
      <w:r w:rsidR="007C4F71" w:rsidRPr="007C4F71">
        <w:rPr>
          <w:rFonts w:hint="cs"/>
          <w:rtl/>
        </w:rPr>
        <w:t>.</w:t>
      </w:r>
    </w:p>
    <w:p w:rsidR="00144FA6" w:rsidRDefault="00744A1C" w:rsidP="00744A1C">
      <w:pPr>
        <w:pStyle w:val="libNormal"/>
        <w:rPr>
          <w:rtl/>
          <w:lang w:bidi="fa-IR"/>
        </w:rPr>
      </w:pPr>
      <w:r>
        <w:rPr>
          <w:rtl/>
          <w:lang w:bidi="fa-IR"/>
        </w:rPr>
        <w:t xml:space="preserve">فَقَالَ : « كَذَبُوا أَعْدَاءُ اللهِ ، إِنَّمَا أَرَادُوا أَنْ لَايُعَلِّمُوا </w:t>
      </w:r>
      <w:r w:rsidRPr="00D10E3C">
        <w:rPr>
          <w:rStyle w:val="libFootnotenumChar"/>
          <w:rtl/>
        </w:rPr>
        <w:t>(4)</w:t>
      </w:r>
      <w:r>
        <w:rPr>
          <w:rtl/>
          <w:lang w:bidi="fa-IR"/>
        </w:rPr>
        <w:t xml:space="preserve"> الْقُرْآنَ ، وَلَوْ </w:t>
      </w:r>
      <w:r w:rsidRPr="00D10E3C">
        <w:rPr>
          <w:rStyle w:val="libFootnotenumChar"/>
          <w:rtl/>
        </w:rPr>
        <w:t>(5)</w:t>
      </w:r>
      <w:r>
        <w:rPr>
          <w:rtl/>
          <w:lang w:bidi="fa-IR"/>
        </w:rPr>
        <w:t xml:space="preserve"> أَنَّ الْمُعَلِّمَ أَعْطَاهُ رَجُلٌ دِيَةَ وَلَدِهِ </w:t>
      </w:r>
      <w:r w:rsidRPr="00D10E3C">
        <w:rPr>
          <w:rStyle w:val="libFootnotenumChar"/>
          <w:rtl/>
        </w:rPr>
        <w:t>(6)</w:t>
      </w:r>
      <w:r>
        <w:rPr>
          <w:rtl/>
          <w:lang w:bidi="fa-IR"/>
        </w:rPr>
        <w:t xml:space="preserve"> ، لَكَانَ </w:t>
      </w:r>
      <w:r w:rsidRPr="00D10E3C">
        <w:rPr>
          <w:rStyle w:val="libFootnotenumChar"/>
          <w:rtl/>
        </w:rPr>
        <w:t>(7)</w:t>
      </w:r>
      <w:r>
        <w:rPr>
          <w:rtl/>
          <w:lang w:bidi="fa-IR"/>
        </w:rPr>
        <w:t xml:space="preserve"> لِلْمُعَلِّمِ مُبَاحاً ». </w:t>
      </w:r>
      <w:r w:rsidRPr="00D10E3C">
        <w:rPr>
          <w:rStyle w:val="libFootnotenumChar"/>
          <w:rtl/>
        </w:rPr>
        <w:t>(8)</w:t>
      </w:r>
    </w:p>
    <w:p w:rsidR="00744A1C" w:rsidRDefault="00744A1C" w:rsidP="007C4F71">
      <w:pPr>
        <w:pStyle w:val="Heading2Center"/>
        <w:rPr>
          <w:lang w:bidi="fa-IR"/>
        </w:rPr>
      </w:pPr>
      <w:bookmarkStart w:id="162" w:name="_Toc49261460"/>
      <w:r>
        <w:rPr>
          <w:rtl/>
          <w:lang w:bidi="fa-IR"/>
        </w:rPr>
        <w:t>39 - بَابُ بَيْعِ الْمَصَاحِفِ‌</w:t>
      </w:r>
      <w:bookmarkEnd w:id="162"/>
    </w:p>
    <w:p w:rsidR="00144FA6" w:rsidRDefault="00744A1C" w:rsidP="00744A1C">
      <w:pPr>
        <w:pStyle w:val="libNormal"/>
        <w:rPr>
          <w:rtl/>
          <w:lang w:bidi="fa-IR"/>
        </w:rPr>
      </w:pPr>
      <w:r>
        <w:rPr>
          <w:rtl/>
          <w:lang w:bidi="fa-IR"/>
        </w:rPr>
        <w:t xml:space="preserve">8563 / 1. مُحَمَّدُ بْنُ يَحْيى ، عَنْ عَبْدِ اللهِ بْنِ مُحَمَّدٍ ، عَنْ عَلِيِّ بْنِ الْحَكَمِ ، عَنْ أَبَانٍ ، عَنْ عَبْدِ الرَّحْمنِ بْنِ سُلَيْمَانَ </w:t>
      </w:r>
      <w:r w:rsidRPr="00D10E3C">
        <w:rPr>
          <w:rStyle w:val="libFootnotenumChar"/>
          <w:rtl/>
        </w:rPr>
        <w:t>(9)</w:t>
      </w:r>
      <w:r>
        <w:rPr>
          <w:rtl/>
          <w:lang w:bidi="fa-IR"/>
        </w:rPr>
        <w:t xml:space="preserve"> :</w:t>
      </w:r>
    </w:p>
    <w:p w:rsidR="00744A1C" w:rsidRDefault="00744A1C" w:rsidP="00D10E3C">
      <w:pPr>
        <w:pStyle w:val="libLine"/>
        <w:rPr>
          <w:lang w:bidi="fa-IR"/>
        </w:rPr>
      </w:pPr>
      <w:r>
        <w:rPr>
          <w:rtl/>
          <w:lang w:bidi="fa-IR"/>
        </w:rPr>
        <w:t>____________________</w:t>
      </w:r>
    </w:p>
    <w:p w:rsidR="00744A1C" w:rsidRDefault="00467C1E" w:rsidP="00D10E3C">
      <w:pPr>
        <w:pStyle w:val="libFootnote0"/>
        <w:rPr>
          <w:lang w:bidi="fa-IR"/>
        </w:rPr>
      </w:pPr>
      <w:r w:rsidRPr="00467C1E">
        <w:rPr>
          <w:rFonts w:hint="cs"/>
          <w:rtl/>
        </w:rPr>
        <w:t xml:space="preserve">= </w:t>
      </w:r>
      <w:r w:rsidR="00744A1C" w:rsidRPr="00C24F9C">
        <w:rPr>
          <w:rStyle w:val="libFootnoteBoldChar"/>
          <w:rtl/>
        </w:rPr>
        <w:t>الوافي</w:t>
      </w:r>
      <w:r w:rsidR="00744A1C">
        <w:rPr>
          <w:rtl/>
          <w:lang w:bidi="fa-IR"/>
        </w:rPr>
        <w:t xml:space="preserve"> ، ج 17 ، ص 237 ، ح 17186 ؛ </w:t>
      </w:r>
      <w:r w:rsidR="00744A1C" w:rsidRPr="00C24F9C">
        <w:rPr>
          <w:rStyle w:val="libFootnoteBoldChar"/>
          <w:rtl/>
        </w:rPr>
        <w:t>الوسائل</w:t>
      </w:r>
      <w:r w:rsidR="00744A1C">
        <w:rPr>
          <w:rtl/>
          <w:lang w:bidi="fa-IR"/>
        </w:rPr>
        <w:t xml:space="preserve"> ، ج 17 ، ص 154 ، ح 22226 ؛ وفيه ، ص 328 ، ح 22684 ، إلى قوله : « ا</w:t>
      </w:r>
      <w:r>
        <w:rPr>
          <w:rFonts w:hint="cs"/>
          <w:rtl/>
          <w:lang w:bidi="fa-IR"/>
        </w:rPr>
        <w:t>ُ</w:t>
      </w:r>
      <w:r w:rsidR="00744A1C">
        <w:rPr>
          <w:rtl/>
          <w:lang w:bidi="fa-IR"/>
        </w:rPr>
        <w:t>شارط عليه قال : نعم ».</w:t>
      </w:r>
    </w:p>
    <w:p w:rsidR="00744A1C" w:rsidRDefault="00D10E3C" w:rsidP="00D10E3C">
      <w:pPr>
        <w:pStyle w:val="libFootnote0"/>
        <w:rPr>
          <w:lang w:bidi="fa-IR"/>
        </w:rPr>
      </w:pPr>
      <w:r>
        <w:rPr>
          <w:rtl/>
          <w:lang w:bidi="fa-IR"/>
        </w:rPr>
        <w:t>(1).</w:t>
      </w:r>
      <w:r w:rsidR="00744A1C">
        <w:rPr>
          <w:rtl/>
          <w:lang w:bidi="fa-IR"/>
        </w:rPr>
        <w:t xml:space="preserve"> في « ط ، بخ ، بف ، جن » </w:t>
      </w:r>
      <w:r w:rsidR="00744A1C" w:rsidRPr="00467C1E">
        <w:rPr>
          <w:rtl/>
        </w:rPr>
        <w:t>والوافي والتهذيب والاستبصار :</w:t>
      </w:r>
      <w:r w:rsidR="00744A1C">
        <w:rPr>
          <w:rtl/>
          <w:lang w:bidi="fa-IR"/>
        </w:rPr>
        <w:t xml:space="preserve"> + « إنّ ».</w:t>
      </w:r>
    </w:p>
    <w:p w:rsidR="00744A1C" w:rsidRDefault="00E378DD" w:rsidP="00E378DD">
      <w:pPr>
        <w:pStyle w:val="libFootnote0"/>
        <w:rPr>
          <w:lang w:bidi="fa-IR"/>
        </w:rPr>
      </w:pPr>
      <w:r>
        <w:rPr>
          <w:rtl/>
          <w:lang w:bidi="fa-IR"/>
        </w:rPr>
        <w:t>(2).</w:t>
      </w:r>
      <w:r w:rsidR="00744A1C">
        <w:rPr>
          <w:rtl/>
          <w:lang w:bidi="fa-IR"/>
        </w:rPr>
        <w:t xml:space="preserve"> في « ط » : - « إنّ ».</w:t>
      </w:r>
    </w:p>
    <w:p w:rsidR="00744A1C" w:rsidRDefault="00E378DD" w:rsidP="00E378DD">
      <w:pPr>
        <w:pStyle w:val="libFootnote0"/>
        <w:rPr>
          <w:lang w:bidi="fa-IR"/>
        </w:rPr>
      </w:pPr>
      <w:r>
        <w:rPr>
          <w:rtl/>
          <w:lang w:bidi="fa-IR"/>
        </w:rPr>
        <w:t>(3).</w:t>
      </w:r>
      <w:r w:rsidR="00744A1C">
        <w:rPr>
          <w:rtl/>
          <w:lang w:bidi="fa-IR"/>
        </w:rPr>
        <w:t xml:space="preserve"> « السحت » : الحرام ، وقال ابن الأثير : « السحت : الحرام الذي لا يحلّ كسبه ؛ لأنّه يسحت البركة ، أي يذهبها ». راجع : </w:t>
      </w:r>
      <w:r w:rsidR="00744A1C" w:rsidRPr="00E978C3">
        <w:rPr>
          <w:rStyle w:val="libFootnoteBoldChar"/>
          <w:rtl/>
        </w:rPr>
        <w:t>الصحاح</w:t>
      </w:r>
      <w:r w:rsidR="00744A1C">
        <w:rPr>
          <w:rtl/>
          <w:lang w:bidi="fa-IR"/>
        </w:rPr>
        <w:t xml:space="preserve"> ، ج 1 ، ص 252 ؛ </w:t>
      </w:r>
      <w:r w:rsidR="00744A1C" w:rsidRPr="00877682">
        <w:rPr>
          <w:rStyle w:val="libFootnoteBoldChar"/>
          <w:rtl/>
        </w:rPr>
        <w:t>النهاية</w:t>
      </w:r>
      <w:r w:rsidR="00744A1C">
        <w:rPr>
          <w:rtl/>
          <w:lang w:bidi="fa-IR"/>
        </w:rPr>
        <w:t xml:space="preserve"> ، ج 2 ، ص 345 ( سحت ).</w:t>
      </w:r>
    </w:p>
    <w:p w:rsidR="00744A1C" w:rsidRDefault="00E378DD" w:rsidP="00E378DD">
      <w:pPr>
        <w:pStyle w:val="libFootnote0"/>
        <w:rPr>
          <w:lang w:bidi="fa-IR"/>
        </w:rPr>
      </w:pPr>
      <w:r>
        <w:rPr>
          <w:rtl/>
          <w:lang w:bidi="fa-IR"/>
        </w:rPr>
        <w:t>(4).</w:t>
      </w:r>
      <w:r w:rsidR="00744A1C">
        <w:rPr>
          <w:rtl/>
          <w:lang w:bidi="fa-IR"/>
        </w:rPr>
        <w:t xml:space="preserve"> في « ى » : « أن لا يعلّم ». وفي « ط ، بس ، جد » : « أن لا تعلّموا ». وفي </w:t>
      </w:r>
      <w:r w:rsidR="00744A1C" w:rsidRPr="00467C1E">
        <w:rPr>
          <w:rtl/>
        </w:rPr>
        <w:t>الفقيه</w:t>
      </w:r>
      <w:r w:rsidR="00744A1C">
        <w:rPr>
          <w:rtl/>
          <w:lang w:bidi="fa-IR"/>
        </w:rPr>
        <w:t xml:space="preserve"> : + « أولادهم ».</w:t>
      </w:r>
    </w:p>
    <w:p w:rsidR="00744A1C" w:rsidRDefault="00E378DD" w:rsidP="00E378DD">
      <w:pPr>
        <w:pStyle w:val="libFootnote0"/>
        <w:rPr>
          <w:lang w:bidi="fa-IR"/>
        </w:rPr>
      </w:pPr>
      <w:r>
        <w:rPr>
          <w:rtl/>
          <w:lang w:bidi="fa-IR"/>
        </w:rPr>
        <w:t>(5).</w:t>
      </w:r>
      <w:r w:rsidR="00744A1C">
        <w:rPr>
          <w:rtl/>
          <w:lang w:bidi="fa-IR"/>
        </w:rPr>
        <w:t xml:space="preserve"> في « ط ، ى ، بح ، بس ، جد ، جن » </w:t>
      </w:r>
      <w:r w:rsidR="00744A1C" w:rsidRPr="00467C1E">
        <w:rPr>
          <w:rtl/>
        </w:rPr>
        <w:t>والوسائل والفقيه</w:t>
      </w:r>
      <w:r w:rsidR="00744A1C">
        <w:rPr>
          <w:rtl/>
          <w:lang w:bidi="fa-IR"/>
        </w:rPr>
        <w:t xml:space="preserve"> : « لو » بدون الواو.</w:t>
      </w:r>
    </w:p>
    <w:p w:rsidR="00744A1C" w:rsidRDefault="00E378DD" w:rsidP="00E378DD">
      <w:pPr>
        <w:pStyle w:val="libFootnote0"/>
        <w:rPr>
          <w:lang w:bidi="fa-IR"/>
        </w:rPr>
      </w:pPr>
      <w:r>
        <w:rPr>
          <w:rtl/>
          <w:lang w:bidi="fa-IR"/>
        </w:rPr>
        <w:t>(6).</w:t>
      </w:r>
      <w:r w:rsidR="00744A1C">
        <w:rPr>
          <w:rtl/>
          <w:lang w:bidi="fa-IR"/>
        </w:rPr>
        <w:t xml:space="preserve"> عن السلطان </w:t>
      </w:r>
      <w:r w:rsidR="00877682" w:rsidRPr="00877682">
        <w:rPr>
          <w:rStyle w:val="libFootnoteAlaemChar"/>
          <w:rtl/>
        </w:rPr>
        <w:t>رحمه‌الله</w:t>
      </w:r>
      <w:r w:rsidR="00467C1E" w:rsidRPr="00467C1E">
        <w:rPr>
          <w:rFonts w:hint="cs"/>
          <w:rtl/>
        </w:rPr>
        <w:t xml:space="preserve"> </w:t>
      </w:r>
      <w:r w:rsidR="00744A1C">
        <w:rPr>
          <w:rtl/>
          <w:lang w:bidi="fa-IR"/>
        </w:rPr>
        <w:t xml:space="preserve">في هامش </w:t>
      </w:r>
      <w:r w:rsidR="00744A1C" w:rsidRPr="00C24F9C">
        <w:rPr>
          <w:rStyle w:val="libFootnoteBoldChar"/>
          <w:rtl/>
        </w:rPr>
        <w:t>الوافي</w:t>
      </w:r>
      <w:r w:rsidR="00744A1C">
        <w:rPr>
          <w:rtl/>
          <w:lang w:bidi="fa-IR"/>
        </w:rPr>
        <w:t xml:space="preserve"> : « قوله : إنّما أرادوا أن لا يعلّموا القرآن ، لعلّ المراد أنّه إذا لم يحصل لهم القدرة على القراءة والكتابة يعسر عليهم تعليم القرآن ، فالا</w:t>
      </w:r>
      <w:r w:rsidR="00467C1E">
        <w:rPr>
          <w:rFonts w:hint="cs"/>
          <w:rtl/>
          <w:lang w:bidi="fa-IR"/>
        </w:rPr>
        <w:t>ُ</w:t>
      </w:r>
      <w:r w:rsidR="00744A1C">
        <w:rPr>
          <w:rtl/>
          <w:lang w:bidi="fa-IR"/>
        </w:rPr>
        <w:t>جرة على حصول ذلك القدر ، لا على تعليم القرآن ، فلا ينافي ما سبق. ويمكن أنّ المراد فيما سبق القدر الواجب منه ، وهنا الزائد عليه.</w:t>
      </w:r>
    </w:p>
    <w:p w:rsidR="00744A1C" w:rsidRDefault="00744A1C" w:rsidP="00D10E3C">
      <w:pPr>
        <w:pStyle w:val="libFootnote0"/>
        <w:rPr>
          <w:lang w:bidi="fa-IR"/>
        </w:rPr>
      </w:pPr>
      <w:r>
        <w:rPr>
          <w:rtl/>
          <w:lang w:bidi="fa-IR"/>
        </w:rPr>
        <w:t>قوله : دية ولده ، يمكن أن يكون إشارة إلى أنّه لو لم يتعلّم كان بمنزلة المقتول والميّت ».</w:t>
      </w:r>
    </w:p>
    <w:p w:rsidR="00744A1C" w:rsidRDefault="00E378DD" w:rsidP="00E378DD">
      <w:pPr>
        <w:pStyle w:val="libFootnote0"/>
        <w:rPr>
          <w:lang w:bidi="fa-IR"/>
        </w:rPr>
      </w:pPr>
      <w:r>
        <w:rPr>
          <w:rtl/>
          <w:lang w:bidi="fa-IR"/>
        </w:rPr>
        <w:t>(7).</w:t>
      </w:r>
      <w:r w:rsidR="00744A1C">
        <w:rPr>
          <w:rtl/>
          <w:lang w:bidi="fa-IR"/>
        </w:rPr>
        <w:t xml:space="preserve"> في « ط ، ى ، بح ، بس ، جد ، جن » </w:t>
      </w:r>
      <w:r w:rsidR="00744A1C" w:rsidRPr="00467C1E">
        <w:rPr>
          <w:rtl/>
        </w:rPr>
        <w:t>والفقيه والتهذيب والاستبصار</w:t>
      </w:r>
      <w:r w:rsidR="00744A1C">
        <w:rPr>
          <w:rtl/>
          <w:lang w:bidi="fa-IR"/>
        </w:rPr>
        <w:t xml:space="preserve"> : « كان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3 ، ص 163 ، ح 3597 ؛ </w:t>
      </w:r>
      <w:r w:rsidR="00744A1C" w:rsidRPr="0061079A">
        <w:rPr>
          <w:rStyle w:val="libFootnoteBoldChar"/>
          <w:rtl/>
        </w:rPr>
        <w:t>والتهذيب</w:t>
      </w:r>
      <w:r w:rsidR="00744A1C">
        <w:rPr>
          <w:rtl/>
          <w:lang w:bidi="fa-IR"/>
        </w:rPr>
        <w:t xml:space="preserve"> ، ج 6 ، ص 364 ، ح 1046 ؛ </w:t>
      </w:r>
      <w:r w:rsidR="00744A1C" w:rsidRPr="00C24F9C">
        <w:rPr>
          <w:rStyle w:val="libFootnoteBoldChar"/>
          <w:rtl/>
        </w:rPr>
        <w:t>والاستبصار</w:t>
      </w:r>
      <w:r w:rsidR="00744A1C">
        <w:rPr>
          <w:rtl/>
          <w:lang w:bidi="fa-IR"/>
        </w:rPr>
        <w:t xml:space="preserve"> ، ج 3 ، ص 65 ، ح 216 ، معلّقاً عن أحمد بن أبي عبد الله </w:t>
      </w:r>
      <w:r w:rsidR="00467C1E">
        <w:rPr>
          <w:rFonts w:hint="cs"/>
          <w:rtl/>
          <w:lang w:bidi="fa-IR"/>
        </w:rPr>
        <w:t>.</w:t>
      </w:r>
      <w:r w:rsidR="00744A1C" w:rsidRPr="00C24F9C">
        <w:rPr>
          <w:rStyle w:val="libFootnoteBoldChar"/>
          <w:rtl/>
        </w:rPr>
        <w:t>الوافي</w:t>
      </w:r>
      <w:r w:rsidR="00744A1C">
        <w:rPr>
          <w:rtl/>
          <w:lang w:bidi="fa-IR"/>
        </w:rPr>
        <w:t xml:space="preserve"> ، ج 17 ، ص 237 ، ح 17187 ؛ </w:t>
      </w:r>
      <w:r w:rsidR="00744A1C" w:rsidRPr="00C24F9C">
        <w:rPr>
          <w:rStyle w:val="libFootnoteBoldChar"/>
          <w:rtl/>
        </w:rPr>
        <w:t>الوسائل</w:t>
      </w:r>
      <w:r w:rsidR="00744A1C">
        <w:rPr>
          <w:rtl/>
          <w:lang w:bidi="fa-IR"/>
        </w:rPr>
        <w:t xml:space="preserve"> ، ج 17 ، ص 154 ، ح 22227.</w:t>
      </w:r>
    </w:p>
    <w:p w:rsidR="00144FA6" w:rsidRDefault="00E378DD" w:rsidP="00E378DD">
      <w:pPr>
        <w:pStyle w:val="libFootnote0"/>
        <w:rPr>
          <w:rtl/>
          <w:lang w:bidi="fa-IR"/>
        </w:rPr>
      </w:pPr>
      <w:r>
        <w:rPr>
          <w:rtl/>
          <w:lang w:bidi="fa-IR"/>
        </w:rPr>
        <w:t>(9).</w:t>
      </w:r>
      <w:r w:rsidR="00744A1C">
        <w:rPr>
          <w:rtl/>
          <w:lang w:bidi="fa-IR"/>
        </w:rPr>
        <w:t xml:space="preserve"> لم نجد رواية أبان - وهو ابن عثمان - عن عبد الرحمن بن سليمان في موضعٍ. بل روى هو عن عبد الله بن</w:t>
      </w:r>
      <w:r w:rsidR="00467C1E">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سَمِعْتُهُ يَقُولُ : « إِنَّ الْمَصَاحِفَ لَنْ تُشْتَرى </w:t>
      </w:r>
      <w:r w:rsidRPr="00D10E3C">
        <w:rPr>
          <w:rStyle w:val="libFootnotenumChar"/>
          <w:rtl/>
        </w:rPr>
        <w:t>(1)</w:t>
      </w:r>
      <w:r>
        <w:rPr>
          <w:rtl/>
          <w:lang w:bidi="fa-IR"/>
        </w:rPr>
        <w:t xml:space="preserve"> ، فَإِذَا‌</w:t>
      </w:r>
    </w:p>
    <w:p w:rsidR="00744A1C" w:rsidRDefault="00744A1C" w:rsidP="00D10E3C">
      <w:pPr>
        <w:pStyle w:val="libLine"/>
        <w:rPr>
          <w:lang w:bidi="fa-IR"/>
        </w:rPr>
      </w:pPr>
      <w:r>
        <w:rPr>
          <w:rtl/>
          <w:lang w:bidi="fa-IR"/>
        </w:rPr>
        <w:t>____________________</w:t>
      </w:r>
    </w:p>
    <w:p w:rsidR="00744A1C" w:rsidRDefault="00763830" w:rsidP="00D10E3C">
      <w:pPr>
        <w:pStyle w:val="libFootnote0"/>
        <w:rPr>
          <w:lang w:bidi="fa-IR"/>
        </w:rPr>
      </w:pPr>
      <w:r>
        <w:rPr>
          <w:rFonts w:hint="cs"/>
          <w:rtl/>
          <w:lang w:bidi="fa-IR"/>
        </w:rPr>
        <w:t xml:space="preserve">= </w:t>
      </w:r>
      <w:r w:rsidR="00744A1C">
        <w:rPr>
          <w:rtl/>
          <w:lang w:bidi="fa-IR"/>
        </w:rPr>
        <w:t xml:space="preserve">سليمان في بعض الأسناد ، ومضمون الخبر ورد في </w:t>
      </w:r>
      <w:r w:rsidR="00744A1C" w:rsidRPr="00C24F9C">
        <w:rPr>
          <w:rStyle w:val="libFootnoteBoldChar"/>
          <w:rtl/>
        </w:rPr>
        <w:t>التهذيب</w:t>
      </w:r>
      <w:r w:rsidR="00744A1C">
        <w:rPr>
          <w:rtl/>
          <w:lang w:bidi="fa-IR"/>
        </w:rPr>
        <w:t xml:space="preserve"> ، ج 6 ، ص 365 ، ح 1050 عن الحسين بن سعيد - وقد عبّر عنه بالضمير - عن فضالة عن أبان عن أبي عبد الله بن سليمان - لكن لم يرد لفظة « أبي » في بعض نسخ </w:t>
      </w:r>
      <w:r w:rsidR="00744A1C" w:rsidRPr="00C24F9C">
        <w:rPr>
          <w:rStyle w:val="libFootnoteBoldChar"/>
          <w:rtl/>
        </w:rPr>
        <w:t>التهذيب</w:t>
      </w:r>
      <w:r w:rsidR="00744A1C">
        <w:rPr>
          <w:rtl/>
          <w:lang w:bidi="fa-IR"/>
        </w:rPr>
        <w:t xml:space="preserve"> ، كما أنّه لم يذكر في </w:t>
      </w:r>
      <w:r w:rsidR="00744A1C" w:rsidRPr="00C24F9C">
        <w:rPr>
          <w:rStyle w:val="libFootnoteBoldChar"/>
          <w:rtl/>
        </w:rPr>
        <w:t>الوسائل</w:t>
      </w:r>
      <w:r w:rsidR="00744A1C">
        <w:rPr>
          <w:rtl/>
          <w:lang w:bidi="fa-IR"/>
        </w:rPr>
        <w:t xml:space="preserve"> ، ج 17 ، ص 159 ، ح 22240 - فلا يبعد أن يكون الصواب في ما نحن فيه أيضاً هو عبد الله بن سليمان.</w:t>
      </w:r>
    </w:p>
    <w:p w:rsidR="00744A1C" w:rsidRDefault="00D10E3C" w:rsidP="00D10E3C">
      <w:pPr>
        <w:pStyle w:val="libFootnote0"/>
        <w:rPr>
          <w:lang w:bidi="fa-IR"/>
        </w:rPr>
      </w:pPr>
      <w:r>
        <w:rPr>
          <w:rtl/>
          <w:lang w:bidi="fa-IR"/>
        </w:rPr>
        <w:t>(1).</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إنّ المصاحف لَنْ تشترى ، البيع والشراء لابدّ أن يتعلّقا بشي‌ءموجود خارجي مادّي ، أو معنى ذهني معتبر عرفاً ، فمن خصّه بالموجود العيني فقد أخطأ ؛ إذ يقال عرفاً : إنّه باع حقّه ، أو باع دينه ، أو باع حوالة وأمثال ذلك ، وقد يباع ورقاً باعتبار دلالته على دين أو مال ، لا باعتبار القرطاس ونقوش الكتابة ، كالطوابع والنوط ، فالورقة نظير المعنى الحرفي لا ينظر إليها لذاتها ، بل هي آلة لملاحظة المال الذي يستخلص بها ، ول</w:t>
      </w:r>
      <w:r w:rsidR="00763830">
        <w:rPr>
          <w:rFonts w:hint="cs"/>
          <w:rtl/>
          <w:lang w:bidi="fa-IR"/>
        </w:rPr>
        <w:t>ـ</w:t>
      </w:r>
      <w:r w:rsidR="00744A1C">
        <w:rPr>
          <w:rtl/>
          <w:lang w:bidi="fa-IR"/>
        </w:rPr>
        <w:t>مّا كانت أوراق المصاحف قراطيس ، لها قيمة وزادت قيمتها بالنقوش وعمل الكتابة ، ويتبادر منها عند إطلاق لفظ المصحف الدلالة على الكلام الإلهي المدلول عليه بهذه النقوش الموجودة ، فإذا قال البائع : بعتك هذا المصحف ، انصرف الذهن إلى بيع الورق المنقوش الدالّ على الكلام الإلهي من حيث دلالة النقوش على الكلام ، نظير دلالة الورقة الدالّة على الدين والمال ، اقتضى الأدب أن يتوجّه البائعون إلى أن يقصروا نظرهم في البيع إلى نفس الأوراق والنقوش والآلات من غير أن يجعلوا المدلول ، أي الكلام الإلهي متعلّقاً للبيع والشراء ، نظير المال الذي يدلّ عليه أوراق الحوالات ؛ فإنّه يصير متعلّقاً للبيع باعتبار كونه مدلولاً. وبالجملة فيجب عند بيع المصاحب أن يجرّد النظر إلى الدالّ ، ولا يقصد بيع المدلول ، كما يكون في نظائرها من أوراق الحوالات.</w:t>
      </w:r>
    </w:p>
    <w:p w:rsidR="00144FA6" w:rsidRDefault="00744A1C" w:rsidP="00D10E3C">
      <w:pPr>
        <w:pStyle w:val="libFootnote0"/>
        <w:rPr>
          <w:rtl/>
          <w:lang w:bidi="fa-IR"/>
        </w:rPr>
      </w:pPr>
      <w:r>
        <w:rPr>
          <w:rtl/>
          <w:lang w:bidi="fa-IR"/>
        </w:rPr>
        <w:t>وأمّا بيع القرآن فإن كان المقصود من القرآن هو المصحف - كما يطلق في زماننا كثيراً - كان حكمه حكم بيع المصحف ، وأمّا إن أراد المعنى الصحيح الحقيقي من هذه اللفظة ، وهو الكلام المقروّ ، فظاهر أنّه لا يجوز بيعه وشراؤه ، وهو المدلول الذي قلنا : إنّ ملاحظته توجب بطلا</w:t>
      </w:r>
      <w:r w:rsidR="00763830">
        <w:rPr>
          <w:rtl/>
          <w:lang w:bidi="fa-IR"/>
        </w:rPr>
        <w:t>ن بيع المصحف فيكون بيعه مستقل</w:t>
      </w:r>
      <w:r w:rsidR="00763830">
        <w:rPr>
          <w:rFonts w:hint="cs"/>
          <w:rtl/>
          <w:lang w:bidi="fa-IR"/>
        </w:rPr>
        <w:t>ّ</w:t>
      </w:r>
      <w:r w:rsidR="00763830">
        <w:rPr>
          <w:rtl/>
          <w:lang w:bidi="fa-IR"/>
        </w:rPr>
        <w:t>ا</w:t>
      </w:r>
      <w:r w:rsidR="00763830">
        <w:rPr>
          <w:rFonts w:hint="cs"/>
          <w:rtl/>
          <w:lang w:bidi="fa-IR"/>
        </w:rPr>
        <w:t>ً</w:t>
      </w:r>
      <w:r>
        <w:rPr>
          <w:rtl/>
          <w:lang w:bidi="fa-IR"/>
        </w:rPr>
        <w:t xml:space="preserve"> أولى بالبطلان ، فظهر أنّ حرمة بيع المصحف تشريف وتعظيم وأدب وتكليف ، متع</w:t>
      </w:r>
      <w:r w:rsidR="00CC0EFC">
        <w:rPr>
          <w:rtl/>
          <w:lang w:bidi="fa-IR"/>
        </w:rPr>
        <w:t>لّق بقصد البائع والمشتري ، وإل</w:t>
      </w:r>
      <w:r w:rsidR="00CC0EFC">
        <w:rPr>
          <w:rFonts w:hint="cs"/>
          <w:rtl/>
          <w:lang w:bidi="fa-IR"/>
        </w:rPr>
        <w:t>ّ</w:t>
      </w:r>
      <w:r w:rsidR="00CC0EFC">
        <w:rPr>
          <w:rtl/>
          <w:lang w:bidi="fa-IR"/>
        </w:rPr>
        <w:t>ا</w:t>
      </w:r>
      <w:r>
        <w:rPr>
          <w:rtl/>
          <w:lang w:bidi="fa-IR"/>
        </w:rPr>
        <w:t xml:space="preserve"> فلا ريب أنّ القراطيس والنقوش والحليّ وسائر الآلات تدخل في ملك المشتري وتخرج من ملك البائع ، وأنّ النقوش من حيث هي نقوش وكتابة قابلة للانتقال من مالك إلى مالك ، وأنّ النقوش من الصفات المنضمّة إلى الأعيان بالنسبة التي تزيد بسببها الرغبة وتزيد بها القيمة ، وأنّ نقلها مقصود للمتبايعين ، كما عبّر عنه في حديث عبد الله بن سليمان : أشترى منك ورقة وأديمة وعمل يديك بكذا وكذا ، والمقصود بقوله : عمل يديك. مازاد في الأوراق من الصفات بعمل يديك. والشيخ المحقّق الأنصاري </w:t>
      </w:r>
      <w:r w:rsidR="00877682" w:rsidRPr="00877682">
        <w:rPr>
          <w:rStyle w:val="libFootnoteAlaemChar"/>
          <w:rtl/>
        </w:rPr>
        <w:t>رحمه‌الله</w:t>
      </w:r>
      <w:r w:rsidR="003B4D6B" w:rsidRPr="003B4D6B">
        <w:rPr>
          <w:rFonts w:hint="cs"/>
          <w:rtl/>
        </w:rPr>
        <w:t xml:space="preserve"> </w:t>
      </w:r>
      <w:r>
        <w:rPr>
          <w:rtl/>
          <w:lang w:bidi="fa-IR"/>
        </w:rPr>
        <w:t>إستشكل في بيع النقوش ، وحاصل كلامه أنّ النقوش إن عُدَّت من الصفات لا تكون متعلّقة للبيع فلا معنى للنهي عنه ، وإن عدّت من الأعيان فلابدّ إمّا أن تنتقل الى المشتري وهو البيع المنهيّ عنه ، أو يبقى على ملك البائع فيبقى شريكاً للمشتري ؛ فإنّه يملك النقوش والمشتري الأوراق ، ثمّ قال : فالظاهر أنّه لا مناص عن التزام التكليف الصوري ، أو يقال : إنّ الخطّ</w:t>
      </w:r>
      <w:r w:rsidR="00F21DA1">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CE21C5">
      <w:pPr>
        <w:pStyle w:val="libNormal0"/>
        <w:rPr>
          <w:rtl/>
          <w:lang w:bidi="fa-IR"/>
        </w:rPr>
      </w:pPr>
      <w:r>
        <w:rPr>
          <w:rtl/>
          <w:lang w:bidi="fa-IR"/>
        </w:rPr>
        <w:t xml:space="preserve">اشْتَرَيْتَ فَقُلْ : إِنَّمَا أَشْتَرِي </w:t>
      </w:r>
      <w:r w:rsidRPr="00D10E3C">
        <w:rPr>
          <w:rStyle w:val="libFootnotenumChar"/>
          <w:rtl/>
        </w:rPr>
        <w:t>(1)</w:t>
      </w:r>
      <w:r>
        <w:rPr>
          <w:rtl/>
          <w:lang w:bidi="fa-IR"/>
        </w:rPr>
        <w:t xml:space="preserve"> ، مِنْكَ الْوَرَقَ وَمَا فِيهِ مِنَ الْأَدَمِ </w:t>
      </w:r>
      <w:r w:rsidRPr="00D10E3C">
        <w:rPr>
          <w:rStyle w:val="libFootnotenumChar"/>
          <w:rtl/>
        </w:rPr>
        <w:t>(2)</w:t>
      </w:r>
      <w:r>
        <w:rPr>
          <w:rtl/>
          <w:lang w:bidi="fa-IR"/>
        </w:rPr>
        <w:t xml:space="preserve"> وَحِلْيَتِهِ </w:t>
      </w:r>
      <w:r w:rsidRPr="00D10E3C">
        <w:rPr>
          <w:rStyle w:val="libFootnotenumChar"/>
          <w:rtl/>
        </w:rPr>
        <w:t>(3)</w:t>
      </w:r>
      <w:r>
        <w:rPr>
          <w:rtl/>
          <w:lang w:bidi="fa-IR"/>
        </w:rPr>
        <w:t xml:space="preserve"> وَمَا فِيهِ مِنْ عَمَلِ يَدِكَ </w:t>
      </w:r>
      <w:r w:rsidRPr="00D10E3C">
        <w:rPr>
          <w:rStyle w:val="libFootnotenumChar"/>
          <w:rtl/>
        </w:rPr>
        <w:t>(4)</w:t>
      </w:r>
      <w:r>
        <w:rPr>
          <w:rtl/>
          <w:lang w:bidi="fa-IR"/>
        </w:rPr>
        <w:t xml:space="preserve"> بِكَذَا وَكَذَا ». </w:t>
      </w:r>
      <w:r w:rsidRPr="00D10E3C">
        <w:rPr>
          <w:rStyle w:val="libFootnotenumChar"/>
          <w:rtl/>
        </w:rPr>
        <w:t>(5)</w:t>
      </w:r>
    </w:p>
    <w:p w:rsidR="00144FA6" w:rsidRDefault="00744A1C" w:rsidP="00744A1C">
      <w:pPr>
        <w:pStyle w:val="libNormal"/>
        <w:rPr>
          <w:rtl/>
          <w:lang w:bidi="fa-IR"/>
        </w:rPr>
      </w:pPr>
      <w:r>
        <w:rPr>
          <w:rtl/>
          <w:lang w:bidi="fa-IR"/>
        </w:rPr>
        <w:t>8564 / 2. عِدَّةٌ مِنْ أَصْحَابِنَا ، عَنْ أَحْمَدَ بْنِ مُحَمَّدٍ ، عَنْ عُثْمَانَ بْنِ عِيسى ، عَنْ سَمَاعَةَ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عَنْ بَيْعِ </w:t>
      </w:r>
      <w:r w:rsidRPr="00D10E3C">
        <w:rPr>
          <w:rStyle w:val="libFootnotenumChar"/>
          <w:rtl/>
        </w:rPr>
        <w:t>(6)</w:t>
      </w:r>
      <w:r>
        <w:rPr>
          <w:rtl/>
          <w:lang w:bidi="fa-IR"/>
        </w:rPr>
        <w:t xml:space="preserve"> الْمَصَاحِفِ وَشِرَائِهَا؟</w:t>
      </w:r>
    </w:p>
    <w:p w:rsidR="00744A1C" w:rsidRDefault="00744A1C" w:rsidP="00744A1C">
      <w:pPr>
        <w:pStyle w:val="libNormal"/>
        <w:rPr>
          <w:lang w:bidi="fa-IR"/>
        </w:rPr>
      </w:pPr>
      <w:r>
        <w:rPr>
          <w:rtl/>
          <w:lang w:bidi="fa-IR"/>
        </w:rPr>
        <w:t xml:space="preserve">فَقَالَ </w:t>
      </w:r>
      <w:r w:rsidRPr="00D10E3C">
        <w:rPr>
          <w:rStyle w:val="libFootnotenumChar"/>
          <w:rtl/>
        </w:rPr>
        <w:t>(7)</w:t>
      </w:r>
      <w:r>
        <w:rPr>
          <w:rtl/>
          <w:lang w:bidi="fa-IR"/>
        </w:rPr>
        <w:t xml:space="preserve"> : « لَا تَشْتَرِ </w:t>
      </w:r>
      <w:r w:rsidRPr="00D10E3C">
        <w:rPr>
          <w:rStyle w:val="libFootnotenumChar"/>
          <w:rtl/>
        </w:rPr>
        <w:t>(8)</w:t>
      </w:r>
      <w:r>
        <w:rPr>
          <w:rtl/>
          <w:lang w:bidi="fa-IR"/>
        </w:rPr>
        <w:t xml:space="preserve"> كِتَابَ اللهِ </w:t>
      </w:r>
      <w:r w:rsidRPr="00D10E3C">
        <w:rPr>
          <w:rStyle w:val="libFootnotenumChar"/>
          <w:rtl/>
        </w:rPr>
        <w:t>(9)</w:t>
      </w:r>
      <w:r>
        <w:rPr>
          <w:rtl/>
          <w:lang w:bidi="fa-IR"/>
        </w:rPr>
        <w:t xml:space="preserve"> عَزَّ وَجَلَّ ، وَلكِنِ اشْتَرِ‌</w:t>
      </w:r>
      <w:r w:rsidR="00955510">
        <w:rPr>
          <w:rFonts w:hint="cs"/>
          <w:rtl/>
          <w:lang w:bidi="fa-IR"/>
        </w:rPr>
        <w:t xml:space="preserve"> ............</w:t>
      </w:r>
      <w:r w:rsidR="00CE21C5">
        <w:rPr>
          <w:rFonts w:hint="cs"/>
          <w:rtl/>
          <w:lang w:bidi="fa-IR"/>
        </w:rPr>
        <w:t>......</w:t>
      </w:r>
      <w:r w:rsidR="00CE21C5">
        <w:rPr>
          <w:rFonts w:hint="cs"/>
          <w:rtl/>
          <w:lang w:bidi="fa-IR"/>
        </w:rPr>
        <w:tab/>
      </w:r>
    </w:p>
    <w:p w:rsidR="00744A1C" w:rsidRDefault="00744A1C" w:rsidP="00D10E3C">
      <w:pPr>
        <w:pStyle w:val="libLine"/>
        <w:rPr>
          <w:lang w:bidi="fa-IR"/>
        </w:rPr>
      </w:pPr>
      <w:r>
        <w:rPr>
          <w:rtl/>
          <w:lang w:bidi="fa-IR"/>
        </w:rPr>
        <w:t>____________________</w:t>
      </w:r>
    </w:p>
    <w:p w:rsidR="00744A1C" w:rsidRDefault="00AC1D1F" w:rsidP="00D10E3C">
      <w:pPr>
        <w:pStyle w:val="libFootnote0"/>
        <w:rPr>
          <w:lang w:bidi="fa-IR"/>
        </w:rPr>
      </w:pPr>
      <w:r>
        <w:rPr>
          <w:rFonts w:hint="cs"/>
          <w:rtl/>
          <w:lang w:bidi="fa-IR"/>
        </w:rPr>
        <w:t xml:space="preserve">= </w:t>
      </w:r>
      <w:r w:rsidR="00744A1C">
        <w:rPr>
          <w:rtl/>
          <w:lang w:bidi="fa-IR"/>
        </w:rPr>
        <w:t>لا يدخل في الملك شرعاً. انتهى.</w:t>
      </w:r>
    </w:p>
    <w:p w:rsidR="00744A1C" w:rsidRDefault="00744A1C" w:rsidP="00D10E3C">
      <w:pPr>
        <w:pStyle w:val="libFootnote0"/>
        <w:rPr>
          <w:lang w:bidi="fa-IR"/>
        </w:rPr>
      </w:pPr>
      <w:r>
        <w:rPr>
          <w:rtl/>
          <w:lang w:bidi="fa-IR"/>
        </w:rPr>
        <w:t>أقول : والتكليف الصوري فيه غموض ؛ إذ لا ريب في أنّ هذا تكليف شرعي ، يترتّب على التخلّف عنه العقوبة وبطلان المعاملة ، فما الفرق بينه وبين سائر التكاليف التي ليست بصورته؟ وعلى ما ذكرنا يمكن أن يقال : إنّه تكليف أدبي لتعظيم القرآن وتشريفه بأن لا يجعل مورداً للبيع والشراء ، وأن يتوجّه البيع إلى الحاكي ، لا إلى المحكيّ عنه.</w:t>
      </w:r>
    </w:p>
    <w:p w:rsidR="00744A1C" w:rsidRDefault="00744A1C" w:rsidP="00D10E3C">
      <w:pPr>
        <w:pStyle w:val="libFootnote0"/>
        <w:rPr>
          <w:lang w:bidi="fa-IR"/>
        </w:rPr>
      </w:pPr>
      <w:r>
        <w:rPr>
          <w:rtl/>
          <w:lang w:bidi="fa-IR"/>
        </w:rPr>
        <w:t>فإن قيل : المنتقل من البائع إلى المشتري هذا الجسم الموجود مع النقش ، فلا يفرق الأمر فيه بأن يعتبر كونه حاكياً ، أو ينظر إليه بنفسه ؛ لأنّ هذا الاعتبار لا يزيد في ماليّته عرفاً ولا ينقص.</w:t>
      </w:r>
    </w:p>
    <w:p w:rsidR="00744A1C" w:rsidRDefault="00744A1C" w:rsidP="00D10E3C">
      <w:pPr>
        <w:pStyle w:val="libFootnote0"/>
        <w:rPr>
          <w:lang w:bidi="fa-IR"/>
        </w:rPr>
      </w:pPr>
      <w:r>
        <w:rPr>
          <w:rtl/>
          <w:lang w:bidi="fa-IR"/>
        </w:rPr>
        <w:t>قلنا : نعم لا يزيد ولا ينقص من الماليّة ، بل ينقص من الأدب والإكرام للقرآن.</w:t>
      </w:r>
    </w:p>
    <w:p w:rsidR="00744A1C" w:rsidRDefault="00744A1C" w:rsidP="00D10E3C">
      <w:pPr>
        <w:pStyle w:val="libFootnote0"/>
        <w:rPr>
          <w:lang w:bidi="fa-IR"/>
        </w:rPr>
      </w:pPr>
      <w:r>
        <w:rPr>
          <w:rtl/>
          <w:lang w:bidi="fa-IR"/>
        </w:rPr>
        <w:t>فإن قيل : لا عبرة في العرف عند المعاملة ، لا بالأوراق والنقوش ، ولا يعتبر كونه حاكياً عن كلام الله ، وفرق بينه وبين الأوراق الماليّة.</w:t>
      </w:r>
    </w:p>
    <w:p w:rsidR="00744A1C" w:rsidRDefault="00744A1C" w:rsidP="00D10E3C">
      <w:pPr>
        <w:pStyle w:val="libFootnote0"/>
        <w:rPr>
          <w:lang w:bidi="fa-IR"/>
        </w:rPr>
      </w:pPr>
      <w:r w:rsidRPr="00142ED2">
        <w:rPr>
          <w:rStyle w:val="libFootnoteBoldChar"/>
          <w:rtl/>
        </w:rPr>
        <w:t>قلنا</w:t>
      </w:r>
      <w:r>
        <w:rPr>
          <w:rtl/>
          <w:lang w:bidi="fa-IR"/>
        </w:rPr>
        <w:t xml:space="preserve"> : لا يمكن للمسلم أن يتصوّر مفهوم القرآن أو يتلفّظ بكلمة المصحف ولا يعتبر كونه حاكياً ، ولذلك منع الناس من مسّ كتابة القرآن بلا طهارة ؛ لأنّ الكتابة حاكية دائماً عن كلام الله تعالى ، فاوجب على الناس تكليفاً أن يجرّدوا النظر عند البيع إلى الأوراق والنقوش والآلات بنفسها من غير اعتبار حكايتها ».</w:t>
      </w:r>
    </w:p>
    <w:p w:rsidR="00744A1C" w:rsidRDefault="00D10E3C" w:rsidP="00D10E3C">
      <w:pPr>
        <w:pStyle w:val="libFootnote0"/>
        <w:rPr>
          <w:lang w:bidi="fa-IR"/>
        </w:rPr>
      </w:pPr>
      <w:r>
        <w:rPr>
          <w:rtl/>
          <w:lang w:bidi="fa-IR"/>
        </w:rPr>
        <w:t>(1).</w:t>
      </w:r>
      <w:r w:rsidR="00744A1C">
        <w:rPr>
          <w:rtl/>
          <w:lang w:bidi="fa-IR"/>
        </w:rPr>
        <w:t xml:space="preserve"> في « ط » : « اشتريت ».</w:t>
      </w:r>
    </w:p>
    <w:p w:rsidR="00744A1C" w:rsidRDefault="00E378DD" w:rsidP="00142ED2">
      <w:pPr>
        <w:pStyle w:val="libFootnote0"/>
        <w:rPr>
          <w:lang w:bidi="fa-IR"/>
        </w:rPr>
      </w:pPr>
      <w:r>
        <w:rPr>
          <w:rtl/>
          <w:lang w:bidi="fa-IR"/>
        </w:rPr>
        <w:t>(2).</w:t>
      </w:r>
      <w:r w:rsidR="00744A1C">
        <w:rPr>
          <w:rtl/>
          <w:lang w:bidi="fa-IR"/>
        </w:rPr>
        <w:t xml:space="preserve"> في </w:t>
      </w:r>
      <w:r w:rsidR="00744A1C" w:rsidRPr="00142ED2">
        <w:rPr>
          <w:rtl/>
        </w:rPr>
        <w:t>الوسائل</w:t>
      </w:r>
      <w:r w:rsidR="00744A1C">
        <w:rPr>
          <w:rtl/>
          <w:lang w:bidi="fa-IR"/>
        </w:rPr>
        <w:t xml:space="preserve"> : « الأديم ». والأَدَمُ ، بفتحتين : اسم لجمع أديم ، وهو الجلد المدبوغ المصلح بالدباغ. </w:t>
      </w:r>
      <w:r w:rsidR="00744A1C" w:rsidRPr="00142ED2">
        <w:rPr>
          <w:rStyle w:val="libFootnoteBoldChar"/>
          <w:rtl/>
        </w:rPr>
        <w:t>المغرب</w:t>
      </w:r>
      <w:r w:rsidR="00744A1C">
        <w:rPr>
          <w:rtl/>
          <w:lang w:bidi="fa-IR"/>
        </w:rPr>
        <w:t xml:space="preserve"> ، ص 22 ( أدم ).</w:t>
      </w:r>
      <w:r w:rsidR="00142ED2">
        <w:rPr>
          <w:rFonts w:hint="cs"/>
          <w:rtl/>
          <w:lang w:bidi="fa-IR"/>
        </w:rPr>
        <w:t xml:space="preserve">                          </w:t>
      </w:r>
      <w:r w:rsidR="00955510">
        <w:rPr>
          <w:rFonts w:hint="cs"/>
          <w:rtl/>
          <w:lang w:bidi="fa-IR"/>
        </w:rPr>
        <w:t xml:space="preserve">             </w:t>
      </w:r>
      <w:r w:rsidR="00142ED2">
        <w:rPr>
          <w:rFonts w:hint="cs"/>
          <w:rtl/>
          <w:lang w:bidi="fa-IR"/>
        </w:rPr>
        <w:t xml:space="preserve">     </w:t>
      </w:r>
      <w:r>
        <w:rPr>
          <w:rtl/>
          <w:lang w:bidi="fa-IR"/>
        </w:rPr>
        <w:t>(3).</w:t>
      </w:r>
      <w:r w:rsidR="00744A1C">
        <w:rPr>
          <w:rtl/>
          <w:lang w:bidi="fa-IR"/>
        </w:rPr>
        <w:t xml:space="preserve"> في « بخ » : « وحليه ». وفي </w:t>
      </w:r>
      <w:r w:rsidR="00744A1C" w:rsidRPr="002D3068">
        <w:rPr>
          <w:rtl/>
        </w:rPr>
        <w:t>الوافي</w:t>
      </w:r>
      <w:r w:rsidR="00744A1C">
        <w:rPr>
          <w:rtl/>
          <w:lang w:bidi="fa-IR"/>
        </w:rPr>
        <w:t xml:space="preserve"> : « وحيله ».</w:t>
      </w:r>
    </w:p>
    <w:p w:rsidR="00744A1C" w:rsidRDefault="00E378DD" w:rsidP="00E378DD">
      <w:pPr>
        <w:pStyle w:val="libFootnote0"/>
        <w:rPr>
          <w:lang w:bidi="fa-IR"/>
        </w:rPr>
      </w:pPr>
      <w:r>
        <w:rPr>
          <w:rtl/>
          <w:lang w:bidi="fa-IR"/>
        </w:rPr>
        <w:t>(4).</w:t>
      </w:r>
      <w:r w:rsidR="00744A1C">
        <w:rPr>
          <w:rtl/>
          <w:lang w:bidi="fa-IR"/>
        </w:rPr>
        <w:t xml:space="preserve"> في </w:t>
      </w:r>
      <w:r w:rsidR="00744A1C" w:rsidRPr="00877682">
        <w:rPr>
          <w:rStyle w:val="libFootnoteBoldChar"/>
          <w:rtl/>
        </w:rPr>
        <w:t>مرآة العقول</w:t>
      </w:r>
      <w:r w:rsidR="00744A1C">
        <w:rPr>
          <w:rtl/>
          <w:lang w:bidi="fa-IR"/>
        </w:rPr>
        <w:t xml:space="preserve"> ، ج 19 ، ص 83 : « قوله </w:t>
      </w:r>
      <w:r w:rsidR="0061079A" w:rsidRPr="0061079A">
        <w:rPr>
          <w:rStyle w:val="libFootnoteAlaemChar"/>
          <w:rtl/>
        </w:rPr>
        <w:t>عليه‌السلام</w:t>
      </w:r>
      <w:r w:rsidR="00D10E3C">
        <w:rPr>
          <w:rtl/>
          <w:lang w:bidi="fa-IR"/>
        </w:rPr>
        <w:t xml:space="preserve"> </w:t>
      </w:r>
      <w:r w:rsidR="00744A1C">
        <w:rPr>
          <w:rtl/>
          <w:lang w:bidi="fa-IR"/>
        </w:rPr>
        <w:t>: وما فيه من عمل يدك ، أي في غير الكتابة ، ويحتمل الأعمّ. ويدلّ على ما هو المشهور من تحريم بيع المصحف وجواز بيع القرطاس والجلد. ولا يبعد حمله على الكراهة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365 ، ح 1050 ، بسنده عن أبي عبد الله بن سليمان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2D3068">
        <w:rPr>
          <w:rFonts w:hint="cs"/>
          <w:rtl/>
          <w:lang w:bidi="fa-IR"/>
        </w:rPr>
        <w:t>.</w:t>
      </w:r>
      <w:r w:rsidR="00744A1C" w:rsidRPr="00C24F9C">
        <w:rPr>
          <w:rStyle w:val="libFootnoteBoldChar"/>
          <w:rtl/>
        </w:rPr>
        <w:t>الوافي</w:t>
      </w:r>
      <w:r w:rsidR="00744A1C">
        <w:rPr>
          <w:rtl/>
          <w:lang w:bidi="fa-IR"/>
        </w:rPr>
        <w:t xml:space="preserve"> ، ج 17 ، ص 243 ، ح 17194 ؛ </w:t>
      </w:r>
      <w:r w:rsidR="00744A1C" w:rsidRPr="00C24F9C">
        <w:rPr>
          <w:rStyle w:val="libFootnoteBoldChar"/>
          <w:rtl/>
        </w:rPr>
        <w:t>الوسائل</w:t>
      </w:r>
      <w:r w:rsidR="00744A1C">
        <w:rPr>
          <w:rtl/>
          <w:lang w:bidi="fa-IR"/>
        </w:rPr>
        <w:t xml:space="preserve"> ، ج 17 ، ص 158 ، ح 22235.</w:t>
      </w:r>
    </w:p>
    <w:tbl>
      <w:tblPr>
        <w:tblStyle w:val="TableGrid"/>
        <w:bidiVisual/>
        <w:tblW w:w="0" w:type="auto"/>
        <w:tblLook w:val="04A0" w:firstRow="1" w:lastRow="0" w:firstColumn="1" w:lastColumn="0" w:noHBand="0" w:noVBand="1"/>
      </w:tblPr>
      <w:tblGrid>
        <w:gridCol w:w="4006"/>
        <w:gridCol w:w="4006"/>
      </w:tblGrid>
      <w:tr w:rsidR="002D3068" w:rsidTr="002D3068">
        <w:tc>
          <w:tcPr>
            <w:tcW w:w="4006" w:type="dxa"/>
          </w:tcPr>
          <w:p w:rsidR="002D3068" w:rsidRDefault="002D3068" w:rsidP="00E378DD">
            <w:pPr>
              <w:pStyle w:val="libFootnote0"/>
              <w:rPr>
                <w:rtl/>
                <w:lang w:bidi="fa-IR"/>
              </w:rPr>
            </w:pPr>
            <w:r>
              <w:rPr>
                <w:rtl/>
                <w:lang w:bidi="fa-IR"/>
              </w:rPr>
              <w:t>(6). في « ط » : - « بيع ».</w:t>
            </w:r>
          </w:p>
        </w:tc>
        <w:tc>
          <w:tcPr>
            <w:tcW w:w="4006" w:type="dxa"/>
          </w:tcPr>
          <w:p w:rsidR="002D3068" w:rsidRDefault="002D3068" w:rsidP="00E378DD">
            <w:pPr>
              <w:pStyle w:val="libFootnote0"/>
              <w:rPr>
                <w:rtl/>
                <w:lang w:bidi="fa-IR"/>
              </w:rPr>
            </w:pPr>
            <w:r>
              <w:rPr>
                <w:rtl/>
                <w:lang w:bidi="fa-IR"/>
              </w:rPr>
              <w:t>(7).</w:t>
            </w:r>
            <w:r w:rsidR="002C34EA">
              <w:rPr>
                <w:rtl/>
                <w:lang w:bidi="fa-IR"/>
              </w:rPr>
              <w:t xml:space="preserve"> في</w:t>
            </w:r>
            <w:r>
              <w:rPr>
                <w:rtl/>
                <w:lang w:bidi="fa-IR"/>
              </w:rPr>
              <w:t>« بح ، بس ، جد ، جن » و</w:t>
            </w:r>
            <w:r w:rsidRPr="00C24F9C">
              <w:rPr>
                <w:rStyle w:val="libFootnoteBoldChar"/>
                <w:rtl/>
              </w:rPr>
              <w:t>الوافي</w:t>
            </w:r>
            <w:r>
              <w:rPr>
                <w:rtl/>
                <w:lang w:bidi="fa-IR"/>
              </w:rPr>
              <w:t xml:space="preserve"> : « قال ».</w:t>
            </w:r>
          </w:p>
        </w:tc>
      </w:tr>
    </w:tbl>
    <w:p w:rsidR="00744A1C" w:rsidRDefault="00E378DD" w:rsidP="00E378DD">
      <w:pPr>
        <w:pStyle w:val="libFootnote0"/>
        <w:rPr>
          <w:lang w:bidi="fa-IR"/>
        </w:rPr>
      </w:pPr>
      <w:r>
        <w:rPr>
          <w:rtl/>
          <w:lang w:bidi="fa-IR"/>
        </w:rPr>
        <w:t>(8).</w:t>
      </w:r>
      <w:r w:rsidR="00744A1C">
        <w:rPr>
          <w:rtl/>
          <w:lang w:bidi="fa-IR"/>
        </w:rPr>
        <w:t xml:space="preserve"> في « ط » : « لا يُشترى ».</w:t>
      </w:r>
    </w:p>
    <w:p w:rsidR="00144FA6" w:rsidRDefault="00E378DD" w:rsidP="00E378DD">
      <w:pPr>
        <w:pStyle w:val="libFootnote0"/>
        <w:rPr>
          <w:rtl/>
          <w:lang w:bidi="fa-IR"/>
        </w:rPr>
      </w:pPr>
      <w:r>
        <w:rPr>
          <w:rtl/>
          <w:lang w:bidi="fa-IR"/>
        </w:rPr>
        <w:t>(9).</w:t>
      </w:r>
      <w:r w:rsidR="00744A1C">
        <w:rPr>
          <w:rtl/>
          <w:lang w:bidi="fa-IR"/>
        </w:rPr>
        <w:t xml:space="preserve"> قال </w:t>
      </w:r>
      <w:r w:rsidR="00744A1C" w:rsidRPr="00C91D3A">
        <w:rPr>
          <w:rStyle w:val="libFootnoteBoldChar"/>
          <w:rtl/>
        </w:rPr>
        <w:t>المحقّق الشعراني</w:t>
      </w:r>
      <w:r w:rsidR="00744A1C">
        <w:rPr>
          <w:rtl/>
          <w:lang w:bidi="fa-IR"/>
        </w:rPr>
        <w:t xml:space="preserve"> في هامش </w:t>
      </w:r>
      <w:r w:rsidR="00744A1C" w:rsidRPr="00C24F9C">
        <w:rPr>
          <w:rStyle w:val="libFootnoteBoldChar"/>
          <w:rtl/>
        </w:rPr>
        <w:t>الوافي</w:t>
      </w:r>
      <w:r w:rsidR="00744A1C">
        <w:rPr>
          <w:rtl/>
          <w:lang w:bidi="fa-IR"/>
        </w:rPr>
        <w:t xml:space="preserve"> : « قوله : لا تشتر كتاب الله ، أي لا تقل : أشتري منك كتاب الله ؛ فإنّه</w:t>
      </w:r>
      <w:r w:rsidR="00C91D3A">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الْحَدِيدَ </w:t>
      </w:r>
      <w:r w:rsidRPr="00D10E3C">
        <w:rPr>
          <w:rStyle w:val="libFootnotenumChar"/>
          <w:rtl/>
        </w:rPr>
        <w:t>(1)</w:t>
      </w:r>
      <w:r>
        <w:rPr>
          <w:rtl/>
          <w:lang w:bidi="fa-IR"/>
        </w:rPr>
        <w:t xml:space="preserve"> وَالْوَرَقَ وَالدَّفَّتَيْنِ </w:t>
      </w:r>
      <w:r w:rsidRPr="00D10E3C">
        <w:rPr>
          <w:rStyle w:val="libFootnotenumChar"/>
          <w:rtl/>
        </w:rPr>
        <w:t>(2)</w:t>
      </w:r>
      <w:r>
        <w:rPr>
          <w:rtl/>
          <w:lang w:bidi="fa-IR"/>
        </w:rPr>
        <w:t xml:space="preserve"> ، وَقُلْ : أَشْتَرِي </w:t>
      </w:r>
      <w:r w:rsidRPr="00D10E3C">
        <w:rPr>
          <w:rStyle w:val="libFootnotenumChar"/>
          <w:rtl/>
        </w:rPr>
        <w:t>(3)</w:t>
      </w:r>
      <w:r>
        <w:rPr>
          <w:rtl/>
          <w:lang w:bidi="fa-IR"/>
        </w:rPr>
        <w:t xml:space="preserve"> مِنْكَ هذَا </w:t>
      </w:r>
      <w:r w:rsidRPr="00D10E3C">
        <w:rPr>
          <w:rStyle w:val="libFootnotenumChar"/>
          <w:rtl/>
        </w:rPr>
        <w:t>(4)</w:t>
      </w:r>
      <w:r>
        <w:rPr>
          <w:rtl/>
          <w:lang w:bidi="fa-IR"/>
        </w:rPr>
        <w:t xml:space="preserve"> بِكَذَا وَكَذَا ». </w:t>
      </w:r>
      <w:r w:rsidRPr="00D10E3C">
        <w:rPr>
          <w:rStyle w:val="libFootnotenumChar"/>
          <w:rtl/>
        </w:rPr>
        <w:t>(5)</w:t>
      </w:r>
    </w:p>
    <w:p w:rsidR="00144FA6" w:rsidRDefault="00744A1C" w:rsidP="00744A1C">
      <w:pPr>
        <w:pStyle w:val="libNormal"/>
        <w:rPr>
          <w:rtl/>
          <w:lang w:bidi="fa-IR"/>
        </w:rPr>
      </w:pPr>
      <w:r>
        <w:rPr>
          <w:rtl/>
          <w:lang w:bidi="fa-IR"/>
        </w:rPr>
        <w:t xml:space="preserve">8565 / 3. أَحْمَدُ بْنُ مُحَمَّدٍ </w:t>
      </w:r>
      <w:r w:rsidRPr="00D10E3C">
        <w:rPr>
          <w:rStyle w:val="libFootnotenumChar"/>
          <w:rtl/>
        </w:rPr>
        <w:t>(6)</w:t>
      </w:r>
      <w:r>
        <w:rPr>
          <w:rtl/>
          <w:lang w:bidi="fa-IR"/>
        </w:rPr>
        <w:t xml:space="preserve"> ، عَنِ ابْنِ فَضَّالٍ ، عَنْ غَالِبِ بْنِ عُثْمَانَ ، عَنْ رَوْحِ بْنِ عَبْدِ الرَّحِيمِ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w:t>
      </w:r>
      <w:r w:rsidRPr="00D10E3C">
        <w:rPr>
          <w:rStyle w:val="libFootnotenumChar"/>
          <w:rtl/>
        </w:rPr>
        <w:t>(7)</w:t>
      </w:r>
      <w:r>
        <w:rPr>
          <w:rtl/>
          <w:lang w:bidi="fa-IR"/>
        </w:rPr>
        <w:t xml:space="preserve"> عَنْ شِرَاءِ الْمَصَاحِفِ وَبَيْعِهَا؟</w:t>
      </w:r>
    </w:p>
    <w:p w:rsidR="00144FA6" w:rsidRDefault="00744A1C" w:rsidP="00744A1C">
      <w:pPr>
        <w:pStyle w:val="libNormal"/>
        <w:rPr>
          <w:rtl/>
          <w:lang w:bidi="fa-IR"/>
        </w:rPr>
      </w:pPr>
      <w:r>
        <w:rPr>
          <w:rtl/>
          <w:lang w:bidi="fa-IR"/>
        </w:rPr>
        <w:t xml:space="preserve">فَقَالَ </w:t>
      </w:r>
      <w:r w:rsidRPr="00D10E3C">
        <w:rPr>
          <w:rStyle w:val="libFootnotenumChar"/>
          <w:rtl/>
        </w:rPr>
        <w:t>(8)</w:t>
      </w:r>
      <w:r>
        <w:rPr>
          <w:rtl/>
          <w:lang w:bidi="fa-IR"/>
        </w:rPr>
        <w:t xml:space="preserve"> : « إِنَّمَا كَانَ يُوضَعُ </w:t>
      </w:r>
      <w:r w:rsidRPr="00D10E3C">
        <w:rPr>
          <w:rStyle w:val="libFootnotenumChar"/>
          <w:rtl/>
        </w:rPr>
        <w:t>(9)</w:t>
      </w:r>
      <w:r>
        <w:rPr>
          <w:rtl/>
          <w:lang w:bidi="fa-IR"/>
        </w:rPr>
        <w:t xml:space="preserve"> الْوَرَقُ </w:t>
      </w:r>
      <w:r w:rsidRPr="00D10E3C">
        <w:rPr>
          <w:rStyle w:val="libFootnotenumChar"/>
          <w:rtl/>
        </w:rPr>
        <w:t>(10)</w:t>
      </w:r>
      <w:r>
        <w:rPr>
          <w:rtl/>
          <w:lang w:bidi="fa-IR"/>
        </w:rPr>
        <w:t xml:space="preserve"> عِنْدَ الْمِنْبَرِ ، وَكَانَ مَا بَيْنَ </w:t>
      </w:r>
      <w:r w:rsidRPr="00D10E3C">
        <w:rPr>
          <w:rStyle w:val="libFootnotenumChar"/>
          <w:rtl/>
        </w:rPr>
        <w:t>(11)</w:t>
      </w:r>
      <w:r>
        <w:rPr>
          <w:rtl/>
          <w:lang w:bidi="fa-IR"/>
        </w:rPr>
        <w:t xml:space="preserve"> الْمِنْبَرِ وَالْحَائِطِ قَدْرَ مَا تَمُرُّ الشَّاةُ </w:t>
      </w:r>
      <w:r w:rsidRPr="00D10E3C">
        <w:rPr>
          <w:rStyle w:val="libFootnotenumChar"/>
          <w:rtl/>
        </w:rPr>
        <w:t>(12)</w:t>
      </w:r>
      <w:r>
        <w:rPr>
          <w:rtl/>
          <w:lang w:bidi="fa-IR"/>
        </w:rPr>
        <w:t xml:space="preserve"> أَوْ رَجُلٌ مُنْحَرِفٌ </w:t>
      </w:r>
      <w:r w:rsidRPr="00D10E3C">
        <w:rPr>
          <w:rStyle w:val="libFootnotenumChar"/>
          <w:rtl/>
        </w:rPr>
        <w:t>(13)</w:t>
      </w:r>
      <w:r>
        <w:rPr>
          <w:rtl/>
          <w:lang w:bidi="fa-IR"/>
        </w:rPr>
        <w:t xml:space="preserve"> » قَالَ :</w:t>
      </w:r>
      <w:r w:rsidR="00FC4D58">
        <w:rPr>
          <w:rFonts w:hint="cs"/>
          <w:rtl/>
          <w:lang w:bidi="fa-IR"/>
        </w:rPr>
        <w:t>.....................................</w:t>
      </w:r>
      <w:r w:rsidR="00FC4D58">
        <w:rPr>
          <w:rFonts w:hint="cs"/>
          <w:rtl/>
          <w:lang w:bidi="fa-IR"/>
        </w:rPr>
        <w:tab/>
      </w:r>
    </w:p>
    <w:p w:rsidR="00744A1C" w:rsidRDefault="00744A1C" w:rsidP="00D10E3C">
      <w:pPr>
        <w:pStyle w:val="libLine"/>
        <w:rPr>
          <w:lang w:bidi="fa-IR"/>
        </w:rPr>
      </w:pPr>
      <w:r>
        <w:rPr>
          <w:rtl/>
          <w:lang w:bidi="fa-IR"/>
        </w:rPr>
        <w:t>____________________</w:t>
      </w:r>
    </w:p>
    <w:p w:rsidR="00744A1C" w:rsidRDefault="00FC0E2A" w:rsidP="00D10E3C">
      <w:pPr>
        <w:pStyle w:val="libFootnote0"/>
        <w:rPr>
          <w:lang w:bidi="fa-IR"/>
        </w:rPr>
      </w:pPr>
      <w:r>
        <w:rPr>
          <w:rFonts w:hint="cs"/>
          <w:rtl/>
          <w:lang w:bidi="fa-IR"/>
        </w:rPr>
        <w:t xml:space="preserve">= </w:t>
      </w:r>
      <w:r w:rsidR="00744A1C">
        <w:rPr>
          <w:rtl/>
          <w:lang w:bidi="fa-IR"/>
        </w:rPr>
        <w:t>ينصرف إلى النقوش الحاكية من حيث هي حاكية عن المحكيّ ، فيدخل المحكيّ في الاشتراء. ولكن اشتر الحديد إلى آخره ، والمصاحف كانت تكتب تارة على الأوراق المتعدّدة فيجمعونها ، كما في زماننا ، وتارة على ورق واحد طويل يطوونه كطومار حول محور من حديد ودفّتين مدوّرتين على طرفي الطومار المطويّ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اشتر الحديد ، أي الحديد الذي كانوا يعملونه في جلد المصحف ؛ ليغلق ويقفل عليه ».</w:t>
      </w:r>
    </w:p>
    <w:p w:rsidR="00744A1C" w:rsidRDefault="00E378DD" w:rsidP="00FC0E2A">
      <w:pPr>
        <w:pStyle w:val="libFootnote0"/>
        <w:rPr>
          <w:lang w:bidi="fa-IR"/>
        </w:rPr>
      </w:pPr>
      <w:r>
        <w:rPr>
          <w:rtl/>
          <w:lang w:bidi="fa-IR"/>
        </w:rPr>
        <w:t>(2).</w:t>
      </w:r>
      <w:r w:rsidR="00744A1C">
        <w:rPr>
          <w:rtl/>
          <w:lang w:bidi="fa-IR"/>
        </w:rPr>
        <w:t xml:space="preserve"> في </w:t>
      </w:r>
      <w:r w:rsidR="00744A1C" w:rsidRPr="00FC0E2A">
        <w:rPr>
          <w:rtl/>
        </w:rPr>
        <w:t>التهذيب</w:t>
      </w:r>
      <w:r w:rsidR="00744A1C">
        <w:rPr>
          <w:rtl/>
          <w:lang w:bidi="fa-IR"/>
        </w:rPr>
        <w:t xml:space="preserve"> ، ج 6 ، ص 365 : « الجلود والدفتر » بدل « الورق والدفّتين ». والدَّفُّ : الجنب من كلّ شي‌ء ، والجمع : دُفوف ، مثل فلس وفلوس ، وقد يؤنّث بالهاء فيقال : الدفّة ، ومنه دفّتا المصحف للوجهين من الجانبين. </w:t>
      </w:r>
      <w:r w:rsidR="00744A1C" w:rsidRPr="00E978C3">
        <w:rPr>
          <w:rStyle w:val="libFootnoteBoldChar"/>
          <w:rtl/>
        </w:rPr>
        <w:t>المصباح المنير</w:t>
      </w:r>
      <w:r w:rsidR="00744A1C">
        <w:rPr>
          <w:rtl/>
          <w:lang w:bidi="fa-IR"/>
        </w:rPr>
        <w:t xml:space="preserve"> ، ص 196 ( دفف ).</w:t>
      </w:r>
      <w:r w:rsidR="00FC0E2A">
        <w:rPr>
          <w:rFonts w:hint="cs"/>
          <w:rtl/>
          <w:lang w:bidi="fa-IR"/>
        </w:rPr>
        <w:t xml:space="preserve">                         </w:t>
      </w:r>
      <w:r>
        <w:rPr>
          <w:rtl/>
          <w:lang w:bidi="fa-IR"/>
        </w:rPr>
        <w:t>(3).</w:t>
      </w:r>
      <w:r w:rsidR="00744A1C">
        <w:rPr>
          <w:rtl/>
          <w:lang w:bidi="fa-IR"/>
        </w:rPr>
        <w:t xml:space="preserve"> في « ط ، بخ ، بف » : « اشتريت ».</w:t>
      </w:r>
    </w:p>
    <w:p w:rsidR="00744A1C" w:rsidRDefault="00E378DD" w:rsidP="00E378DD">
      <w:pPr>
        <w:pStyle w:val="libFootnote0"/>
        <w:rPr>
          <w:lang w:bidi="fa-IR"/>
        </w:rPr>
      </w:pPr>
      <w:r>
        <w:rPr>
          <w:rtl/>
          <w:lang w:bidi="fa-IR"/>
        </w:rPr>
        <w:t>(4).</w:t>
      </w:r>
      <w:r w:rsidR="00744A1C">
        <w:rPr>
          <w:rtl/>
          <w:lang w:bidi="fa-IR"/>
        </w:rPr>
        <w:t xml:space="preserve"> في « بخ ، بف » : - « هذا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365 ، ح 1048 ، بسنده عن عثمان بن عيسى ، عمّن سمعه ، من دون التصريح باسم المعصوم </w:t>
      </w:r>
      <w:r w:rsidR="0061079A" w:rsidRPr="0061079A">
        <w:rPr>
          <w:rStyle w:val="libFootnoteAlaemChar"/>
          <w:rtl/>
        </w:rPr>
        <w:t>عليه‌السلام</w:t>
      </w:r>
      <w:r w:rsidR="00744A1C">
        <w:rPr>
          <w:rtl/>
          <w:lang w:bidi="fa-IR"/>
        </w:rPr>
        <w:t xml:space="preserve"> . وفيه ، ص 366 ، ح 1050 ، بسند آخر ، مع اختلاف ؛ </w:t>
      </w:r>
      <w:r w:rsidR="00744A1C" w:rsidRPr="00C24F9C">
        <w:rPr>
          <w:rStyle w:val="libFootnoteBoldChar"/>
          <w:rtl/>
        </w:rPr>
        <w:t>التهذيب</w:t>
      </w:r>
      <w:r w:rsidR="00744A1C">
        <w:rPr>
          <w:rtl/>
          <w:lang w:bidi="fa-IR"/>
        </w:rPr>
        <w:t xml:space="preserve"> ، ج 7 ، ص 231 ، ح 1007 ، بسند آخر ، مع اختلاف يسير وزيادة في أوّله وآخره </w:t>
      </w:r>
      <w:r w:rsidR="00FC0E2A">
        <w:rPr>
          <w:rFonts w:hint="cs"/>
          <w:rtl/>
          <w:lang w:bidi="fa-IR"/>
        </w:rPr>
        <w:t>.</w:t>
      </w:r>
      <w:r w:rsidR="00744A1C" w:rsidRPr="00C24F9C">
        <w:rPr>
          <w:rStyle w:val="libFootnoteBoldChar"/>
          <w:rtl/>
        </w:rPr>
        <w:t>الوافي</w:t>
      </w:r>
      <w:r w:rsidR="00744A1C">
        <w:rPr>
          <w:rtl/>
          <w:lang w:bidi="fa-IR"/>
        </w:rPr>
        <w:t xml:space="preserve"> ، ج 17 ، ص 244 ، ح 17194 ؛ </w:t>
      </w:r>
      <w:r w:rsidR="00744A1C" w:rsidRPr="00C24F9C">
        <w:rPr>
          <w:rStyle w:val="libFootnoteBoldChar"/>
          <w:rtl/>
        </w:rPr>
        <w:t>الوسائل</w:t>
      </w:r>
      <w:r w:rsidR="00744A1C">
        <w:rPr>
          <w:rtl/>
          <w:lang w:bidi="fa-IR"/>
        </w:rPr>
        <w:t xml:space="preserve"> ، ج 17 ، ص 158 ، ح 22236.</w:t>
      </w:r>
    </w:p>
    <w:p w:rsidR="00744A1C" w:rsidRDefault="00E378DD" w:rsidP="00E378DD">
      <w:pPr>
        <w:pStyle w:val="libFootnote0"/>
        <w:rPr>
          <w:lang w:bidi="fa-IR"/>
        </w:rPr>
      </w:pPr>
      <w:r>
        <w:rPr>
          <w:rtl/>
          <w:lang w:bidi="fa-IR"/>
        </w:rPr>
        <w:t>(6).</w:t>
      </w:r>
      <w:r w:rsidR="00744A1C">
        <w:rPr>
          <w:rtl/>
          <w:lang w:bidi="fa-IR"/>
        </w:rPr>
        <w:t xml:space="preserve"> السند معلّق على سابقه. ويروي عن أحمد بن محمّد ، عدّة من أصحابنا.</w:t>
      </w:r>
    </w:p>
    <w:tbl>
      <w:tblPr>
        <w:tblStyle w:val="TableGrid"/>
        <w:bidiVisual/>
        <w:tblW w:w="0" w:type="auto"/>
        <w:tblLook w:val="04A0" w:firstRow="1" w:lastRow="0" w:firstColumn="1" w:lastColumn="0" w:noHBand="0" w:noVBand="1"/>
      </w:tblPr>
      <w:tblGrid>
        <w:gridCol w:w="4006"/>
        <w:gridCol w:w="4006"/>
      </w:tblGrid>
      <w:tr w:rsidR="00FC0E2A" w:rsidTr="00FC0E2A">
        <w:tc>
          <w:tcPr>
            <w:tcW w:w="4006" w:type="dxa"/>
          </w:tcPr>
          <w:p w:rsidR="00FC0E2A" w:rsidRDefault="00FC0E2A" w:rsidP="00E378DD">
            <w:pPr>
              <w:pStyle w:val="libFootnote0"/>
              <w:rPr>
                <w:rtl/>
                <w:lang w:bidi="fa-IR"/>
              </w:rPr>
            </w:pPr>
            <w:r>
              <w:rPr>
                <w:rtl/>
                <w:lang w:bidi="fa-IR"/>
              </w:rPr>
              <w:t>(7). في « بح » : « سألت ».</w:t>
            </w:r>
          </w:p>
        </w:tc>
        <w:tc>
          <w:tcPr>
            <w:tcW w:w="4006" w:type="dxa"/>
          </w:tcPr>
          <w:p w:rsidR="00FC0E2A" w:rsidRDefault="00FC0E2A" w:rsidP="00E378DD">
            <w:pPr>
              <w:pStyle w:val="libFootnote0"/>
              <w:rPr>
                <w:rtl/>
                <w:lang w:bidi="fa-IR"/>
              </w:rPr>
            </w:pPr>
            <w:r>
              <w:rPr>
                <w:rtl/>
                <w:lang w:bidi="fa-IR"/>
              </w:rPr>
              <w:t xml:space="preserve">(8). في « بخ ، بف » </w:t>
            </w:r>
            <w:r w:rsidRPr="00CF0ED2">
              <w:rPr>
                <w:rtl/>
              </w:rPr>
              <w:t>والوافي</w:t>
            </w:r>
            <w:r>
              <w:rPr>
                <w:rtl/>
                <w:lang w:bidi="fa-IR"/>
              </w:rPr>
              <w:t xml:space="preserve"> : « قال ».</w:t>
            </w:r>
          </w:p>
        </w:tc>
      </w:tr>
    </w:tbl>
    <w:p w:rsidR="00744A1C" w:rsidRDefault="00E378DD" w:rsidP="00E378DD">
      <w:pPr>
        <w:pStyle w:val="libFootnote0"/>
        <w:rPr>
          <w:lang w:bidi="fa-IR"/>
        </w:rPr>
      </w:pPr>
      <w:r>
        <w:rPr>
          <w:rtl/>
          <w:lang w:bidi="fa-IR"/>
        </w:rPr>
        <w:t>(9).</w:t>
      </w:r>
      <w:r w:rsidR="00744A1C">
        <w:rPr>
          <w:rtl/>
          <w:lang w:bidi="fa-IR"/>
        </w:rPr>
        <w:t xml:space="preserve"> في « بح ، بخ ، جت </w:t>
      </w:r>
      <w:r w:rsidR="00744A1C" w:rsidRPr="00CE5790">
        <w:rPr>
          <w:rtl/>
        </w:rPr>
        <w:t>» والوافي</w:t>
      </w:r>
      <w:r w:rsidR="00744A1C">
        <w:rPr>
          <w:rtl/>
          <w:lang w:bidi="fa-IR"/>
        </w:rPr>
        <w:t xml:space="preserve"> : « توضع ». وفي « ط » : « موضع ». وفي « بس ، جد ، جن » بالتاء والياء معاً.</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توضع الورق ، الحاصل أنّ بيع المصاحف محدثة ، لم تكن في ما مضى ».</w:t>
      </w:r>
    </w:p>
    <w:p w:rsidR="00744A1C" w:rsidRDefault="00E378DD" w:rsidP="00E378DD">
      <w:pPr>
        <w:pStyle w:val="libFootnote0"/>
        <w:rPr>
          <w:lang w:bidi="fa-IR"/>
        </w:rPr>
      </w:pPr>
      <w:r>
        <w:rPr>
          <w:rtl/>
          <w:lang w:bidi="fa-IR"/>
        </w:rPr>
        <w:t>(11).</w:t>
      </w:r>
      <w:r w:rsidR="00744A1C">
        <w:rPr>
          <w:rtl/>
          <w:lang w:bidi="fa-IR"/>
        </w:rPr>
        <w:t xml:space="preserve"> في « بف » : - « ما بين ».</w:t>
      </w:r>
    </w:p>
    <w:p w:rsidR="00744A1C" w:rsidRDefault="00E378DD" w:rsidP="00E378DD">
      <w:pPr>
        <w:pStyle w:val="libFootnote0"/>
        <w:rPr>
          <w:lang w:bidi="fa-IR"/>
        </w:rPr>
      </w:pPr>
      <w:r>
        <w:rPr>
          <w:rtl/>
          <w:lang w:bidi="fa-IR"/>
        </w:rPr>
        <w:t>(12).</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قدر ما تمرّ الشاة ، كأنّ المراد أنّ المصحف الذي كتب بأمرعثمان كان موضوعاً على المنبر ، وكان الناس يقفون خلف المنبر بينه وبين الجدار الجنوبي من المسجد النبوي </w:t>
      </w:r>
      <w:r w:rsidR="00E843EA" w:rsidRPr="00E843EA">
        <w:rPr>
          <w:rStyle w:val="libFootnoteAlaemChar"/>
          <w:rtl/>
        </w:rPr>
        <w:t>صلى‌الله‌عليه‌وآله</w:t>
      </w:r>
      <w:r w:rsidR="00D10E3C">
        <w:rPr>
          <w:rtl/>
          <w:lang w:bidi="fa-IR"/>
        </w:rPr>
        <w:t xml:space="preserve"> </w:t>
      </w:r>
      <w:r w:rsidR="00744A1C">
        <w:rPr>
          <w:rtl/>
          <w:lang w:bidi="fa-IR"/>
        </w:rPr>
        <w:t>فيكتبون من المصحف ».</w:t>
      </w:r>
    </w:p>
    <w:p w:rsidR="00144FA6" w:rsidRDefault="00E378DD" w:rsidP="00E378DD">
      <w:pPr>
        <w:pStyle w:val="libFootnote0"/>
        <w:rPr>
          <w:rtl/>
          <w:lang w:bidi="fa-IR"/>
        </w:rPr>
      </w:pPr>
      <w:r>
        <w:rPr>
          <w:rtl/>
          <w:lang w:bidi="fa-IR"/>
        </w:rPr>
        <w:t>(13).</w:t>
      </w:r>
      <w:r w:rsidR="00744A1C">
        <w:rPr>
          <w:rtl/>
          <w:lang w:bidi="fa-IR"/>
        </w:rPr>
        <w:t xml:space="preserve"> في « ط » : « منحوف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أو رجل منحرف ، أي كان المكان ضيّقاً بحيث لا يمكن</w:t>
      </w:r>
      <w:r w:rsidR="00D939FE">
        <w:rPr>
          <w:rFonts w:hint="cs"/>
          <w:rtl/>
          <w:lang w:bidi="fa-IR"/>
        </w:rPr>
        <w:t xml:space="preserve"> =</w:t>
      </w:r>
    </w:p>
    <w:p w:rsidR="006A5060" w:rsidRDefault="006A5060" w:rsidP="00D10E3C">
      <w:pPr>
        <w:pStyle w:val="libNormal"/>
        <w:rPr>
          <w:rtl/>
          <w:lang w:bidi="fa-IR"/>
        </w:rPr>
      </w:pPr>
      <w:r>
        <w:rPr>
          <w:rtl/>
          <w:lang w:bidi="fa-IR"/>
        </w:rPr>
        <w:br w:type="page"/>
      </w:r>
    </w:p>
    <w:p w:rsidR="00744A1C" w:rsidRDefault="00744A1C" w:rsidP="00BB4E58">
      <w:pPr>
        <w:pStyle w:val="libNormal0"/>
        <w:rPr>
          <w:lang w:bidi="fa-IR"/>
        </w:rPr>
      </w:pPr>
      <w:r>
        <w:rPr>
          <w:rtl/>
          <w:lang w:bidi="fa-IR"/>
        </w:rPr>
        <w:t xml:space="preserve">« فَكَانَ </w:t>
      </w:r>
      <w:r w:rsidRPr="00D10E3C">
        <w:rPr>
          <w:rStyle w:val="libFootnotenumChar"/>
          <w:rtl/>
        </w:rPr>
        <w:t>(1)</w:t>
      </w:r>
      <w:r>
        <w:rPr>
          <w:rtl/>
          <w:lang w:bidi="fa-IR"/>
        </w:rPr>
        <w:t xml:space="preserve"> الرَّجُلُ يَأْتِي ، فَيَكْتُبُ </w:t>
      </w:r>
      <w:r w:rsidRPr="00D10E3C">
        <w:rPr>
          <w:rStyle w:val="libFootnotenumChar"/>
          <w:rtl/>
        </w:rPr>
        <w:t>(2)</w:t>
      </w:r>
      <w:r>
        <w:rPr>
          <w:rtl/>
          <w:lang w:bidi="fa-IR"/>
        </w:rPr>
        <w:t xml:space="preserve"> مِنْ ذلِكَ ، ثُمَّ إِنَّهُمُ اشْتَرَوْا بَعْدَ ذلِكَ </w:t>
      </w:r>
      <w:r w:rsidRPr="00D10E3C">
        <w:rPr>
          <w:rStyle w:val="libFootnotenumChar"/>
          <w:rtl/>
        </w:rPr>
        <w:t>(3)</w:t>
      </w:r>
      <w:r>
        <w:rPr>
          <w:rtl/>
          <w:lang w:bidi="fa-IR"/>
        </w:rPr>
        <w:t xml:space="preserve"> ».</w:t>
      </w:r>
    </w:p>
    <w:p w:rsidR="00744A1C" w:rsidRDefault="00744A1C" w:rsidP="00744A1C">
      <w:pPr>
        <w:pStyle w:val="libNormal"/>
        <w:rPr>
          <w:lang w:bidi="fa-IR"/>
        </w:rPr>
      </w:pPr>
      <w:r>
        <w:rPr>
          <w:rtl/>
          <w:lang w:bidi="fa-IR"/>
        </w:rPr>
        <w:t xml:space="preserve">قُلْتُ </w:t>
      </w:r>
      <w:r w:rsidRPr="00D10E3C">
        <w:rPr>
          <w:rStyle w:val="libFootnotenumChar"/>
          <w:rtl/>
        </w:rPr>
        <w:t>(4)</w:t>
      </w:r>
      <w:r>
        <w:rPr>
          <w:rtl/>
          <w:lang w:bidi="fa-IR"/>
        </w:rPr>
        <w:t xml:space="preserve"> : فَمَا تَرى فِي ذلِكَ؟</w:t>
      </w:r>
    </w:p>
    <w:p w:rsidR="00744A1C" w:rsidRDefault="00744A1C" w:rsidP="00744A1C">
      <w:pPr>
        <w:pStyle w:val="libNormal"/>
        <w:rPr>
          <w:lang w:bidi="fa-IR"/>
        </w:rPr>
      </w:pPr>
      <w:r>
        <w:rPr>
          <w:rtl/>
          <w:lang w:bidi="fa-IR"/>
        </w:rPr>
        <w:t xml:space="preserve">قَالَ </w:t>
      </w:r>
      <w:r w:rsidRPr="00D10E3C">
        <w:rPr>
          <w:rStyle w:val="libFootnotenumChar"/>
          <w:rtl/>
        </w:rPr>
        <w:t>(5)</w:t>
      </w:r>
      <w:r>
        <w:rPr>
          <w:rtl/>
          <w:lang w:bidi="fa-IR"/>
        </w:rPr>
        <w:t xml:space="preserve"> لِي </w:t>
      </w:r>
      <w:r w:rsidRPr="00D10E3C">
        <w:rPr>
          <w:rStyle w:val="libFootnotenumChar"/>
          <w:rtl/>
        </w:rPr>
        <w:t>(6)</w:t>
      </w:r>
      <w:r>
        <w:rPr>
          <w:rtl/>
          <w:lang w:bidi="fa-IR"/>
        </w:rPr>
        <w:t xml:space="preserve"> : « أَشْتَرِي أَحَبُّ إِلَيَّ مِنْ أَنْ أَبِيعَهُ ».</w:t>
      </w:r>
    </w:p>
    <w:p w:rsidR="00744A1C" w:rsidRDefault="00744A1C" w:rsidP="00744A1C">
      <w:pPr>
        <w:pStyle w:val="libNormal"/>
        <w:rPr>
          <w:lang w:bidi="fa-IR"/>
        </w:rPr>
      </w:pPr>
      <w:r>
        <w:rPr>
          <w:rtl/>
          <w:lang w:bidi="fa-IR"/>
        </w:rPr>
        <w:t xml:space="preserve">قُلْتُ : فَمَا </w:t>
      </w:r>
      <w:r w:rsidRPr="00D10E3C">
        <w:rPr>
          <w:rStyle w:val="libFootnotenumChar"/>
          <w:rtl/>
        </w:rPr>
        <w:t>(7)</w:t>
      </w:r>
      <w:r>
        <w:rPr>
          <w:rtl/>
          <w:lang w:bidi="fa-IR"/>
        </w:rPr>
        <w:t xml:space="preserve"> تَرى أَنْ أُعْطِيَ عَلى كِتَابَتِهِ أَجْراً؟</w:t>
      </w:r>
    </w:p>
    <w:p w:rsidR="00144FA6" w:rsidRDefault="00744A1C" w:rsidP="00744A1C">
      <w:pPr>
        <w:pStyle w:val="libNormal"/>
        <w:rPr>
          <w:rtl/>
          <w:lang w:bidi="fa-IR"/>
        </w:rPr>
      </w:pPr>
      <w:r>
        <w:rPr>
          <w:rtl/>
          <w:lang w:bidi="fa-IR"/>
        </w:rPr>
        <w:t xml:space="preserve">قَالَ : « لَا بَأْسَ ، وَلكِنْ هكَذَا </w:t>
      </w:r>
      <w:r w:rsidRPr="00D10E3C">
        <w:rPr>
          <w:rStyle w:val="libFootnotenumChar"/>
          <w:rtl/>
        </w:rPr>
        <w:t>(8)</w:t>
      </w:r>
      <w:r>
        <w:rPr>
          <w:rtl/>
          <w:lang w:bidi="fa-IR"/>
        </w:rPr>
        <w:t xml:space="preserve"> كَانُوا يَصْنَعُونَ </w:t>
      </w:r>
      <w:r w:rsidRPr="00D10E3C">
        <w:rPr>
          <w:rStyle w:val="libFootnotenumChar"/>
          <w:rtl/>
        </w:rPr>
        <w:t>(9)</w:t>
      </w:r>
      <w:r>
        <w:rPr>
          <w:rtl/>
          <w:lang w:bidi="fa-IR"/>
        </w:rPr>
        <w:t xml:space="preserve"> ». </w:t>
      </w:r>
      <w:r w:rsidRPr="00D10E3C">
        <w:rPr>
          <w:rStyle w:val="libFootnotenumChar"/>
          <w:rtl/>
        </w:rPr>
        <w:t>(10)</w:t>
      </w:r>
    </w:p>
    <w:p w:rsidR="00144FA6" w:rsidRDefault="00744A1C" w:rsidP="00744A1C">
      <w:pPr>
        <w:pStyle w:val="libNormal"/>
        <w:rPr>
          <w:rtl/>
          <w:lang w:bidi="fa-IR"/>
        </w:rPr>
      </w:pPr>
      <w:r>
        <w:rPr>
          <w:rtl/>
          <w:lang w:bidi="fa-IR"/>
        </w:rPr>
        <w:t>8566 / 4. عَلِيُّ بْنُ مُحَمَّدٍ ، عَنْ أَحْمَدَ بْنِ أَبِي عَبْدِ اللهِ ، عَنْ مُحَمَّدِ بْنِ عَلِيٍّ ، عَنْ عَبْدِ الرَّحْمنِ بْنِ أَبِي هَاشِمٍ ، عَنْ سَابِقٍ السِّنْدِيِّ ، عَنْ عَنْبَسَةَ الْوَرَّاقِ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فَقُلْتُ : أَنَا رَجُلٌ أَبِيعُ الْمَصَاحِفَ ، فَإِنْ نَهَيْتَنِي لَمْ أَبِعْهَا.</w:t>
      </w:r>
    </w:p>
    <w:p w:rsidR="00744A1C" w:rsidRDefault="00744A1C" w:rsidP="00744A1C">
      <w:pPr>
        <w:pStyle w:val="libNormal"/>
        <w:rPr>
          <w:lang w:bidi="fa-IR"/>
        </w:rPr>
      </w:pPr>
      <w:r>
        <w:rPr>
          <w:rtl/>
          <w:lang w:bidi="fa-IR"/>
        </w:rPr>
        <w:t>فَقَالَ : « أَلَسْتَ تَشْتَرِي وَرَقاً ، وَتَكْتُبُ فِيهِ؟ ».</w:t>
      </w:r>
    </w:p>
    <w:p w:rsidR="00744A1C" w:rsidRDefault="00744A1C" w:rsidP="00D10E3C">
      <w:pPr>
        <w:pStyle w:val="libLine"/>
        <w:rPr>
          <w:lang w:bidi="fa-IR"/>
        </w:rPr>
      </w:pPr>
      <w:r>
        <w:rPr>
          <w:rtl/>
          <w:lang w:bidi="fa-IR"/>
        </w:rPr>
        <w:t>____________________</w:t>
      </w:r>
    </w:p>
    <w:p w:rsidR="00744A1C" w:rsidRDefault="00BB4E58" w:rsidP="00D10E3C">
      <w:pPr>
        <w:pStyle w:val="libFootnote0"/>
        <w:rPr>
          <w:lang w:bidi="fa-IR"/>
        </w:rPr>
      </w:pPr>
      <w:r>
        <w:rPr>
          <w:rFonts w:hint="cs"/>
          <w:rtl/>
          <w:lang w:bidi="fa-IR"/>
        </w:rPr>
        <w:t xml:space="preserve">= </w:t>
      </w:r>
      <w:r>
        <w:rPr>
          <w:rtl/>
          <w:lang w:bidi="fa-IR"/>
        </w:rPr>
        <w:t>للإنسان أن يمرّ بالعرض إل</w:t>
      </w:r>
      <w:r>
        <w:rPr>
          <w:rFonts w:hint="cs"/>
          <w:rtl/>
          <w:lang w:bidi="fa-IR"/>
        </w:rPr>
        <w:t>ّ</w:t>
      </w:r>
      <w:r>
        <w:rPr>
          <w:rtl/>
          <w:lang w:bidi="fa-IR"/>
        </w:rPr>
        <w:t>ا</w:t>
      </w:r>
      <w:r w:rsidR="00744A1C">
        <w:rPr>
          <w:rtl/>
          <w:lang w:bidi="fa-IR"/>
        </w:rPr>
        <w:t xml:space="preserve">منحرفاً ، وكان القرآن موضوعاً في ذلك الموضع. وظاهر الخبر الكراهة ، كما هو المشهور ، وقال </w:t>
      </w:r>
      <w:r w:rsidR="00744A1C" w:rsidRPr="00877682">
        <w:rPr>
          <w:rStyle w:val="libFootnoteBoldChar"/>
          <w:rtl/>
        </w:rPr>
        <w:t>الدروس</w:t>
      </w:r>
      <w:r w:rsidR="00744A1C">
        <w:rPr>
          <w:rtl/>
          <w:lang w:bidi="fa-IR"/>
        </w:rPr>
        <w:t xml:space="preserve"> : يجوز أخذ الا</w:t>
      </w:r>
      <w:r w:rsidR="00415F2E">
        <w:rPr>
          <w:rFonts w:hint="cs"/>
          <w:rtl/>
          <w:lang w:bidi="fa-IR"/>
        </w:rPr>
        <w:t>ُ</w:t>
      </w:r>
      <w:r w:rsidR="00744A1C">
        <w:rPr>
          <w:rtl/>
          <w:lang w:bidi="fa-IR"/>
        </w:rPr>
        <w:t xml:space="preserve">جرة على كتابة العلوم المباحة ، ويكره على كتابة القرآن مع الشرط ؛ لفحوى الرواية ». 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175 ، ذيل الدرس 234.</w:t>
      </w:r>
    </w:p>
    <w:p w:rsidR="00744A1C" w:rsidRDefault="00D10E3C" w:rsidP="00D10E3C">
      <w:pPr>
        <w:pStyle w:val="libFootnote0"/>
        <w:rPr>
          <w:lang w:bidi="fa-IR"/>
        </w:rPr>
      </w:pPr>
      <w:r>
        <w:rPr>
          <w:rtl/>
          <w:lang w:bidi="fa-IR"/>
        </w:rPr>
        <w:t>(1).</w:t>
      </w:r>
      <w:r w:rsidR="00744A1C">
        <w:rPr>
          <w:rtl/>
          <w:lang w:bidi="fa-IR"/>
        </w:rPr>
        <w:t xml:space="preserve"> في « بخ ، بف » : « وكان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w:t>
      </w:r>
      <w:r w:rsidR="00744A1C" w:rsidRPr="00415F2E">
        <w:rPr>
          <w:rtl/>
        </w:rPr>
        <w:t>والوسائل.</w:t>
      </w:r>
      <w:r w:rsidR="00744A1C">
        <w:rPr>
          <w:rtl/>
          <w:lang w:bidi="fa-IR"/>
        </w:rPr>
        <w:t xml:space="preserve"> وفي المطبوع : « ويكتب ».</w:t>
      </w:r>
    </w:p>
    <w:p w:rsidR="00744A1C" w:rsidRDefault="00E378DD" w:rsidP="00E378DD">
      <w:pPr>
        <w:pStyle w:val="libFootnote0"/>
        <w:rPr>
          <w:lang w:bidi="fa-IR"/>
        </w:rPr>
      </w:pPr>
      <w:r>
        <w:rPr>
          <w:rtl/>
          <w:lang w:bidi="fa-IR"/>
        </w:rPr>
        <w:t>(3).</w:t>
      </w:r>
      <w:r w:rsidR="00744A1C">
        <w:rPr>
          <w:rtl/>
          <w:lang w:bidi="fa-IR"/>
        </w:rPr>
        <w:t xml:space="preserve"> في « ى ، بح ، بس ، جن » </w:t>
      </w:r>
      <w:r w:rsidR="00744A1C" w:rsidRPr="00415F2E">
        <w:rPr>
          <w:rtl/>
        </w:rPr>
        <w:t>والوسائل :</w:t>
      </w:r>
      <w:r w:rsidR="00744A1C">
        <w:rPr>
          <w:rtl/>
          <w:lang w:bidi="fa-IR"/>
        </w:rPr>
        <w:t xml:space="preserve"> - « ذلك ».</w:t>
      </w:r>
    </w:p>
    <w:p w:rsidR="00744A1C" w:rsidRDefault="00E378DD" w:rsidP="00E378DD">
      <w:pPr>
        <w:pStyle w:val="libFootnote0"/>
        <w:rPr>
          <w:lang w:bidi="fa-IR"/>
        </w:rPr>
      </w:pPr>
      <w:r>
        <w:rPr>
          <w:rtl/>
          <w:lang w:bidi="fa-IR"/>
        </w:rPr>
        <w:t>(4).</w:t>
      </w:r>
      <w:r w:rsidR="00744A1C">
        <w:rPr>
          <w:rtl/>
          <w:lang w:bidi="fa-IR"/>
        </w:rPr>
        <w:t xml:space="preserve"> في « ى ، بح ، بس ، جت ، جد ، جن » : - « قلت ».</w:t>
      </w:r>
    </w:p>
    <w:p w:rsidR="00744A1C" w:rsidRDefault="00E378DD" w:rsidP="00E378DD">
      <w:pPr>
        <w:pStyle w:val="libFootnote0"/>
        <w:rPr>
          <w:lang w:bidi="fa-IR"/>
        </w:rPr>
      </w:pPr>
      <w:r>
        <w:rPr>
          <w:rtl/>
          <w:lang w:bidi="fa-IR"/>
        </w:rPr>
        <w:t>(5).</w:t>
      </w:r>
      <w:r w:rsidR="00744A1C">
        <w:rPr>
          <w:rtl/>
          <w:lang w:bidi="fa-IR"/>
        </w:rPr>
        <w:t xml:space="preserve"> في « ط ، ى ، بح ، بس ، جت ، جد ، جن » : « فقال ».</w:t>
      </w:r>
    </w:p>
    <w:tbl>
      <w:tblPr>
        <w:tblStyle w:val="TableGrid"/>
        <w:bidiVisual/>
        <w:tblW w:w="0" w:type="auto"/>
        <w:tblLook w:val="04A0" w:firstRow="1" w:lastRow="0" w:firstColumn="1" w:lastColumn="0" w:noHBand="0" w:noVBand="1"/>
      </w:tblPr>
      <w:tblGrid>
        <w:gridCol w:w="4006"/>
        <w:gridCol w:w="4006"/>
      </w:tblGrid>
      <w:tr w:rsidR="003B4FE7" w:rsidTr="003B4FE7">
        <w:tc>
          <w:tcPr>
            <w:tcW w:w="4006" w:type="dxa"/>
          </w:tcPr>
          <w:p w:rsidR="003B4FE7" w:rsidRDefault="003B4FE7" w:rsidP="00E378DD">
            <w:pPr>
              <w:pStyle w:val="libFootnote0"/>
              <w:rPr>
                <w:rtl/>
                <w:lang w:bidi="fa-IR"/>
              </w:rPr>
            </w:pPr>
            <w:r>
              <w:rPr>
                <w:rtl/>
                <w:lang w:bidi="fa-IR"/>
              </w:rPr>
              <w:t xml:space="preserve">(6). في « بخ ، بف » </w:t>
            </w:r>
            <w:r w:rsidRPr="003B4FE7">
              <w:rPr>
                <w:rtl/>
              </w:rPr>
              <w:t>والوافي :</w:t>
            </w:r>
            <w:r>
              <w:rPr>
                <w:rtl/>
                <w:lang w:bidi="fa-IR"/>
              </w:rPr>
              <w:t xml:space="preserve"> - « لي ».</w:t>
            </w:r>
          </w:p>
        </w:tc>
        <w:tc>
          <w:tcPr>
            <w:tcW w:w="4006" w:type="dxa"/>
          </w:tcPr>
          <w:p w:rsidR="003B4FE7" w:rsidRDefault="003B4FE7" w:rsidP="00E378DD">
            <w:pPr>
              <w:pStyle w:val="libFootnote0"/>
              <w:rPr>
                <w:rtl/>
                <w:lang w:bidi="fa-IR"/>
              </w:rPr>
            </w:pPr>
            <w:r>
              <w:rPr>
                <w:rtl/>
                <w:lang w:bidi="fa-IR"/>
              </w:rPr>
              <w:t>(7). في « ط » : « ما ».</w:t>
            </w:r>
          </w:p>
        </w:tc>
      </w:tr>
    </w:tbl>
    <w:p w:rsidR="00744A1C" w:rsidRDefault="00E378DD" w:rsidP="00E378DD">
      <w:pPr>
        <w:pStyle w:val="libFootnote0"/>
        <w:rPr>
          <w:lang w:bidi="fa-IR"/>
        </w:rPr>
      </w:pPr>
      <w:r>
        <w:rPr>
          <w:rtl/>
          <w:lang w:bidi="fa-IR"/>
        </w:rPr>
        <w:t>(8).</w:t>
      </w:r>
      <w:r w:rsidR="00744A1C">
        <w:rPr>
          <w:rtl/>
          <w:lang w:bidi="fa-IR"/>
        </w:rPr>
        <w:t xml:space="preserve"> في « بخ ، بف » : « كذلك ». وفي « ط » : - « هكذا ».</w:t>
      </w:r>
    </w:p>
    <w:p w:rsidR="00744A1C" w:rsidRDefault="00E378DD" w:rsidP="00E378DD">
      <w:pPr>
        <w:pStyle w:val="libFootnote0"/>
        <w:rPr>
          <w:lang w:bidi="fa-IR"/>
        </w:rPr>
      </w:pPr>
      <w:r>
        <w:rPr>
          <w:rtl/>
          <w:lang w:bidi="fa-IR"/>
        </w:rPr>
        <w:t>(9).</w:t>
      </w:r>
      <w:r w:rsidR="00744A1C">
        <w:rPr>
          <w:rtl/>
          <w:lang w:bidi="fa-IR"/>
        </w:rPr>
        <w:t xml:space="preserve"> في هامش </w:t>
      </w:r>
      <w:r w:rsidR="00744A1C" w:rsidRPr="0061079A">
        <w:rPr>
          <w:rStyle w:val="libFootnoteBoldChar"/>
          <w:rtl/>
        </w:rPr>
        <w:t>الكافي</w:t>
      </w:r>
      <w:r w:rsidR="00744A1C">
        <w:rPr>
          <w:rtl/>
          <w:lang w:bidi="fa-IR"/>
        </w:rPr>
        <w:t xml:space="preserve"> المطبوع : « حاصله أنّه لم يكن في زمن رسول الله </w:t>
      </w:r>
      <w:r w:rsidR="00E834A2" w:rsidRPr="00E834A2">
        <w:rPr>
          <w:rStyle w:val="libFootnoteAlaemChar"/>
          <w:rtl/>
        </w:rPr>
        <w:t>صلى‌الله‌عليه‌وآله</w:t>
      </w:r>
      <w:r w:rsidR="00D10E3C">
        <w:rPr>
          <w:rtl/>
          <w:lang w:bidi="fa-IR"/>
        </w:rPr>
        <w:t xml:space="preserve"> </w:t>
      </w:r>
      <w:r w:rsidR="00744A1C">
        <w:rPr>
          <w:rtl/>
          <w:lang w:bidi="fa-IR"/>
        </w:rPr>
        <w:t xml:space="preserve">بيع وشراء للمصاحف غير كتابته عند منبر رسول الله </w:t>
      </w:r>
      <w:r w:rsidR="007D61A8" w:rsidRPr="007D61A8">
        <w:rPr>
          <w:rStyle w:val="libFootnoteAlaemChar"/>
          <w:rtl/>
        </w:rPr>
        <w:t>صلى‌الله‌عليه‌وآله</w:t>
      </w:r>
      <w:r w:rsidR="00D10E3C">
        <w:rPr>
          <w:rtl/>
          <w:lang w:bidi="fa-IR"/>
        </w:rPr>
        <w:t xml:space="preserve"> </w:t>
      </w:r>
      <w:r w:rsidR="00744A1C">
        <w:rPr>
          <w:rtl/>
          <w:lang w:bidi="fa-IR"/>
        </w:rPr>
        <w:t xml:space="preserve">من المصحف الموضوع عنده ، لكن وقع ذلك البيع والشراء بعد زمن رسول الله </w:t>
      </w:r>
      <w:r w:rsidR="004D054E" w:rsidRPr="00955510">
        <w:rPr>
          <w:rStyle w:val="libFootnoteAlaemChar"/>
          <w:rtl/>
        </w:rPr>
        <w:t>صلى‌الله‌عليه‌وآله</w:t>
      </w:r>
      <w:r w:rsidR="00D10E3C">
        <w:rPr>
          <w:rtl/>
          <w:lang w:bidi="fa-IR"/>
        </w:rPr>
        <w:t xml:space="preserve"> </w:t>
      </w:r>
      <w:r w:rsidR="00744A1C">
        <w:rPr>
          <w:rtl/>
          <w:lang w:bidi="fa-IR"/>
        </w:rPr>
        <w:t xml:space="preserve">، كما هو المتعارف في زماننا هذا. وقوله : موضع الورق : المراد من الورق المصحف مجازاً ، كما يدلّ عليه سوق عبارة الحديث. وقوله </w:t>
      </w:r>
      <w:r w:rsidR="0061079A" w:rsidRPr="0061079A">
        <w:rPr>
          <w:rStyle w:val="libFootnoteAlaemChar"/>
          <w:rtl/>
        </w:rPr>
        <w:t>عليه‌السلام</w:t>
      </w:r>
      <w:r w:rsidR="00D10E3C">
        <w:rPr>
          <w:rtl/>
          <w:lang w:bidi="fa-IR"/>
        </w:rPr>
        <w:t xml:space="preserve"> </w:t>
      </w:r>
      <w:r w:rsidR="00744A1C">
        <w:rPr>
          <w:rtl/>
          <w:lang w:bidi="fa-IR"/>
        </w:rPr>
        <w:t>: هكذا كانوا يصنعون ، أي الكتابة عند المنبر بدون شراء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366 ، ح 1053 ، معلّقاً عن أحمد بن محمّد ، عن عليّ بن فضّال. وفيه ، ح 1052 ، بسند آخر ، إلى قوله : « أحبّ إليّ من أن أبيعه » مع اختلاف يسير </w:t>
      </w:r>
      <w:r w:rsidR="00AA4D66">
        <w:rPr>
          <w:rFonts w:hint="cs"/>
          <w:rtl/>
          <w:lang w:bidi="fa-IR"/>
        </w:rPr>
        <w:t>.</w:t>
      </w:r>
      <w:r w:rsidR="00744A1C" w:rsidRPr="00C24F9C">
        <w:rPr>
          <w:rStyle w:val="libFootnoteBoldChar"/>
          <w:rtl/>
        </w:rPr>
        <w:t>الوافي</w:t>
      </w:r>
      <w:r w:rsidR="00744A1C">
        <w:rPr>
          <w:rtl/>
          <w:lang w:bidi="fa-IR"/>
        </w:rPr>
        <w:t xml:space="preserve"> ، ج 17 ، ص 245 ، ح 17196 ؛ </w:t>
      </w:r>
      <w:r w:rsidR="00744A1C" w:rsidRPr="00C24F9C">
        <w:rPr>
          <w:rStyle w:val="libFootnoteBoldChar"/>
          <w:rtl/>
        </w:rPr>
        <w:t>الوسائل</w:t>
      </w:r>
      <w:r w:rsidR="00744A1C">
        <w:rPr>
          <w:rtl/>
          <w:lang w:bidi="fa-IR"/>
        </w:rPr>
        <w:t xml:space="preserve"> ، ج 17 ، ص 158 ، ح 22238.</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قُلْتُ </w:t>
      </w:r>
      <w:r w:rsidRPr="00D10E3C">
        <w:rPr>
          <w:rStyle w:val="libFootnotenumChar"/>
          <w:rtl/>
        </w:rPr>
        <w:t>(1)</w:t>
      </w:r>
      <w:r>
        <w:rPr>
          <w:rtl/>
          <w:lang w:bidi="fa-IR"/>
        </w:rPr>
        <w:t xml:space="preserve"> : بَلى ، وَأُعَالِجُهَا </w:t>
      </w:r>
      <w:r w:rsidRPr="00D10E3C">
        <w:rPr>
          <w:rStyle w:val="libFootnotenumChar"/>
          <w:rtl/>
        </w:rPr>
        <w:t>(2)</w:t>
      </w:r>
      <w:r w:rsidR="00AA4D66" w:rsidRPr="00AA4D66">
        <w:rPr>
          <w:rFonts w:hint="cs"/>
          <w:rtl/>
        </w:rPr>
        <w:t>.</w:t>
      </w:r>
    </w:p>
    <w:p w:rsidR="00144FA6" w:rsidRDefault="00744A1C" w:rsidP="00744A1C">
      <w:pPr>
        <w:pStyle w:val="libNormal"/>
        <w:rPr>
          <w:rtl/>
          <w:lang w:bidi="fa-IR"/>
        </w:rPr>
      </w:pPr>
      <w:r>
        <w:rPr>
          <w:rtl/>
          <w:lang w:bidi="fa-IR"/>
        </w:rPr>
        <w:t xml:space="preserve">قَالَ </w:t>
      </w:r>
      <w:r w:rsidRPr="00D10E3C">
        <w:rPr>
          <w:rStyle w:val="libFootnotenumChar"/>
          <w:rtl/>
        </w:rPr>
        <w:t>(3)</w:t>
      </w:r>
      <w:r>
        <w:rPr>
          <w:rtl/>
          <w:lang w:bidi="fa-IR"/>
        </w:rPr>
        <w:t xml:space="preserve"> : « لَا بَأْسَ بِهَا </w:t>
      </w:r>
      <w:r w:rsidRPr="00D10E3C">
        <w:rPr>
          <w:rStyle w:val="libFootnotenumChar"/>
          <w:rtl/>
        </w:rPr>
        <w:t>(4)</w:t>
      </w:r>
      <w:r>
        <w:rPr>
          <w:rtl/>
          <w:lang w:bidi="fa-IR"/>
        </w:rPr>
        <w:t xml:space="preserve"> ». </w:t>
      </w:r>
      <w:r w:rsidRPr="00D10E3C">
        <w:rPr>
          <w:rStyle w:val="libFootnotenumChar"/>
          <w:rtl/>
        </w:rPr>
        <w:t>(5)</w:t>
      </w:r>
    </w:p>
    <w:p w:rsidR="00144FA6" w:rsidRDefault="00744A1C" w:rsidP="00AA4D66">
      <w:pPr>
        <w:pStyle w:val="Heading2Center"/>
        <w:rPr>
          <w:rtl/>
          <w:lang w:bidi="fa-IR"/>
        </w:rPr>
      </w:pPr>
      <w:bookmarkStart w:id="163" w:name="_Toc49261461"/>
      <w:r>
        <w:rPr>
          <w:rtl/>
          <w:lang w:bidi="fa-IR"/>
        </w:rPr>
        <w:t xml:space="preserve">40 - بَابُ الْقِمَارِ وَالنُّهْبَةِ </w:t>
      </w:r>
      <w:r w:rsidRPr="00D10E3C">
        <w:rPr>
          <w:rStyle w:val="libFootnotenumChar"/>
          <w:rtl/>
        </w:rPr>
        <w:t>(6)</w:t>
      </w:r>
      <w:bookmarkEnd w:id="163"/>
    </w:p>
    <w:p w:rsidR="00144FA6" w:rsidRDefault="00744A1C" w:rsidP="00744A1C">
      <w:pPr>
        <w:pStyle w:val="libNormal"/>
        <w:rPr>
          <w:rtl/>
          <w:lang w:bidi="fa-IR"/>
        </w:rPr>
      </w:pPr>
      <w:r>
        <w:rPr>
          <w:rtl/>
          <w:lang w:bidi="fa-IR"/>
        </w:rPr>
        <w:t xml:space="preserve">8567 / 1. عِدَّةٌ مِنْ أَصْحَابِنَا ، عَنْ أَحْمَدَ بْنِ مُحَمَّدٍ ، عَنْ عَلِيِّ بْنِ الْحَكَمِ ، عَنْ سَيْفِ بْنِ عَمِيرَةَ ، عَنْ زِيَادِ بْنِ عِيسى </w:t>
      </w:r>
      <w:r w:rsidRPr="00D10E3C">
        <w:rPr>
          <w:rStyle w:val="libFootnotenumChar"/>
          <w:rtl/>
        </w:rPr>
        <w:t>(7)</w:t>
      </w:r>
      <w:r>
        <w:rPr>
          <w:rtl/>
          <w:lang w:bidi="fa-IR"/>
        </w:rPr>
        <w:t xml:space="preserve">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قَوْلِ اللهِ </w:t>
      </w:r>
      <w:r w:rsidRPr="00D10E3C">
        <w:rPr>
          <w:rStyle w:val="libFootnotenumChar"/>
          <w:rtl/>
        </w:rPr>
        <w:t>(8)</w:t>
      </w:r>
      <w:r>
        <w:rPr>
          <w:rtl/>
          <w:lang w:bidi="fa-IR"/>
        </w:rPr>
        <w:t xml:space="preserve"> عَزَّ وَجَلَّ : </w:t>
      </w:r>
      <w:r w:rsidRPr="00AA4D66">
        <w:rPr>
          <w:rStyle w:val="libAlaemChar"/>
          <w:rtl/>
        </w:rPr>
        <w:t>(</w:t>
      </w:r>
      <w:r w:rsidRPr="00AA4D66">
        <w:rPr>
          <w:rStyle w:val="libAieChar"/>
          <w:rtl/>
        </w:rPr>
        <w:t xml:space="preserve"> وَلا تَأْكُلُوا أَمْوالَكُمْ بَيْنَكُمْ بِالْباطِلِ</w:t>
      </w:r>
      <w:r w:rsidRPr="00AA4D66">
        <w:rPr>
          <w:rStyle w:val="libAlaemChar"/>
          <w:rtl/>
        </w:rPr>
        <w:t>)</w:t>
      </w:r>
      <w:r>
        <w:rPr>
          <w:rtl/>
          <w:lang w:bidi="fa-IR"/>
        </w:rPr>
        <w:t xml:space="preserve"> </w:t>
      </w:r>
      <w:r w:rsidRPr="00D10E3C">
        <w:rPr>
          <w:rStyle w:val="libFootnotenumChar"/>
          <w:rtl/>
        </w:rPr>
        <w:t>(9)</w:t>
      </w:r>
      <w:r>
        <w:rPr>
          <w:rtl/>
          <w:lang w:bidi="fa-IR"/>
        </w:rPr>
        <w:t>؟</w:t>
      </w:r>
    </w:p>
    <w:p w:rsidR="00144FA6" w:rsidRDefault="00744A1C" w:rsidP="00744A1C">
      <w:pPr>
        <w:pStyle w:val="libNormal"/>
        <w:rPr>
          <w:rtl/>
          <w:lang w:bidi="fa-IR"/>
        </w:rPr>
      </w:pPr>
      <w:r>
        <w:rPr>
          <w:rtl/>
          <w:lang w:bidi="fa-IR"/>
        </w:rPr>
        <w:t>فَقَالَ : « كَانَتْ قُرَيْشٌ تُقَامِرُ الرَّجُلَ بِأَهْلِهِ وَمَالِهِ ، فَنَهَاهُمُ اللهُ - عَزَّ وَجَلَّ - عَنْ ذلِكَ ».</w:t>
      </w:r>
      <w:r w:rsidRPr="00D10E3C">
        <w:rPr>
          <w:rStyle w:val="libFootnotenumChar"/>
          <w:rtl/>
        </w:rPr>
        <w:t>(10)</w:t>
      </w:r>
    </w:p>
    <w:p w:rsidR="00144FA6" w:rsidRDefault="00744A1C" w:rsidP="00744A1C">
      <w:pPr>
        <w:pStyle w:val="libNormal"/>
        <w:rPr>
          <w:rtl/>
          <w:lang w:bidi="fa-IR"/>
        </w:rPr>
      </w:pPr>
      <w:r>
        <w:rPr>
          <w:rtl/>
          <w:lang w:bidi="fa-IR"/>
        </w:rPr>
        <w:t>8568 / 2. أَبُو عَلِيٍّ الْأَشْعَرِيُّ ، عَنْ مُحَمَّدِ بْنِ عَبْدِ الْجَبَّارِ ، عَنْ أَحْمَدَ بْنِ النَّضْرِ ، عَنْ عَمْرِو بْنِ شِمْرٍ ، عَنْ جَابِرٍ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فقلت ».</w:t>
      </w:r>
    </w:p>
    <w:p w:rsidR="00744A1C" w:rsidRDefault="00E378DD" w:rsidP="00E378DD">
      <w:pPr>
        <w:pStyle w:val="libFootnote0"/>
        <w:rPr>
          <w:lang w:bidi="fa-IR"/>
        </w:rPr>
      </w:pPr>
      <w:r>
        <w:rPr>
          <w:rtl/>
          <w:lang w:bidi="fa-IR"/>
        </w:rPr>
        <w:t>(2).</w:t>
      </w:r>
      <w:r w:rsidR="00744A1C">
        <w:rPr>
          <w:rtl/>
          <w:lang w:bidi="fa-IR"/>
        </w:rPr>
        <w:t xml:space="preserve"> المعالجة : المزاولة والممارسة ، وكلّ شي‌ء زاولته وما رسته وعملت به فقد عالجته. راجع : </w:t>
      </w:r>
      <w:r w:rsidR="00744A1C" w:rsidRPr="00877682">
        <w:rPr>
          <w:rStyle w:val="libFootnoteBoldChar"/>
          <w:rtl/>
        </w:rPr>
        <w:t>لسان العرب</w:t>
      </w:r>
      <w:r w:rsidR="00744A1C">
        <w:rPr>
          <w:rtl/>
          <w:lang w:bidi="fa-IR"/>
        </w:rPr>
        <w:t xml:space="preserve"> ، ج 2 ، ص 337 ( علج ).</w:t>
      </w:r>
    </w:p>
    <w:p w:rsidR="00744A1C" w:rsidRDefault="00E378DD" w:rsidP="00E378DD">
      <w:pPr>
        <w:pStyle w:val="libFootnote0"/>
        <w:rPr>
          <w:lang w:bidi="fa-IR"/>
        </w:rPr>
      </w:pPr>
      <w:r>
        <w:rPr>
          <w:rtl/>
          <w:lang w:bidi="fa-IR"/>
        </w:rPr>
        <w:t>(3).</w:t>
      </w:r>
      <w:r w:rsidR="00744A1C">
        <w:rPr>
          <w:rtl/>
          <w:lang w:bidi="fa-IR"/>
        </w:rPr>
        <w:t xml:space="preserve"> في « ى ، بح ، بس ، جت ، جد ، جن » : « فقال ».</w:t>
      </w:r>
    </w:p>
    <w:p w:rsidR="00744A1C" w:rsidRDefault="00E378DD" w:rsidP="00E378DD">
      <w:pPr>
        <w:pStyle w:val="libFootnote0"/>
        <w:rPr>
          <w:lang w:bidi="fa-IR"/>
        </w:rPr>
      </w:pPr>
      <w:r>
        <w:rPr>
          <w:rtl/>
          <w:lang w:bidi="fa-IR"/>
        </w:rPr>
        <w:t>(4).</w:t>
      </w:r>
      <w:r w:rsidR="00744A1C">
        <w:rPr>
          <w:rtl/>
          <w:lang w:bidi="fa-IR"/>
        </w:rPr>
        <w:t xml:space="preserve"> في « بف » : « به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17 ، ص 246 ، ح 17197 ؛ </w:t>
      </w:r>
      <w:r w:rsidR="00744A1C" w:rsidRPr="00C24F9C">
        <w:rPr>
          <w:rStyle w:val="libFootnoteBoldChar"/>
          <w:rtl/>
        </w:rPr>
        <w:t>الوسائل</w:t>
      </w:r>
      <w:r w:rsidR="00744A1C">
        <w:rPr>
          <w:rtl/>
          <w:lang w:bidi="fa-IR"/>
        </w:rPr>
        <w:t xml:space="preserve"> ، ج 17 ، ص 159 ، ح 22239.</w:t>
      </w:r>
    </w:p>
    <w:p w:rsidR="00744A1C" w:rsidRDefault="00E378DD" w:rsidP="00E378DD">
      <w:pPr>
        <w:pStyle w:val="libFootnote0"/>
        <w:rPr>
          <w:lang w:bidi="fa-IR"/>
        </w:rPr>
      </w:pPr>
      <w:r>
        <w:rPr>
          <w:rtl/>
          <w:lang w:bidi="fa-IR"/>
        </w:rPr>
        <w:t>(6).</w:t>
      </w:r>
      <w:r w:rsidR="00744A1C">
        <w:rPr>
          <w:rtl/>
          <w:lang w:bidi="fa-IR"/>
        </w:rPr>
        <w:t xml:space="preserve"> « النُهْبَةُ » : اسم من النهب والانتهاب ، والنهب : الغنيمة ، والانتهاب : أن يأخذها من شاء. والنهب أيضاً : الغارة والسلب ، وهو المراد هاهنا. راجع : </w:t>
      </w:r>
      <w:r w:rsidR="00744A1C" w:rsidRPr="00877682">
        <w:rPr>
          <w:rStyle w:val="libFootnoteBoldChar"/>
          <w:rtl/>
        </w:rPr>
        <w:t>لسان العرب</w:t>
      </w:r>
      <w:r w:rsidR="00744A1C">
        <w:rPr>
          <w:rtl/>
          <w:lang w:bidi="fa-IR"/>
        </w:rPr>
        <w:t xml:space="preserve"> ، ج 1 ، ص 773 ( نهب ).</w:t>
      </w:r>
    </w:p>
    <w:p w:rsidR="00744A1C" w:rsidRDefault="00E378DD" w:rsidP="00E378DD">
      <w:pPr>
        <w:pStyle w:val="libFootnote0"/>
        <w:rPr>
          <w:lang w:bidi="fa-IR"/>
        </w:rPr>
      </w:pPr>
      <w:r>
        <w:rPr>
          <w:rtl/>
          <w:lang w:bidi="fa-IR"/>
        </w:rPr>
        <w:t>(7).</w:t>
      </w:r>
      <w:r w:rsidR="00744A1C">
        <w:rPr>
          <w:rtl/>
          <w:lang w:bidi="fa-IR"/>
        </w:rPr>
        <w:t xml:space="preserve"> هكذا في « ط ، ى ، بح ، بس ، جت ، جد ، جن » و</w:t>
      </w:r>
      <w:r w:rsidR="00744A1C" w:rsidRPr="00C24F9C">
        <w:rPr>
          <w:rStyle w:val="libFootnoteBoldChar"/>
          <w:rtl/>
        </w:rPr>
        <w:t>الوسائل</w:t>
      </w:r>
      <w:r w:rsidR="00744A1C">
        <w:rPr>
          <w:rtl/>
          <w:lang w:bidi="fa-IR"/>
        </w:rPr>
        <w:t>. وفي « بخ ، بف » والمطبوع : + « وهو أبو عبيدة الحذّاء ». والظاهر أنّ هذه العبارة كانت زيادة تفسيريّة ا</w:t>
      </w:r>
      <w:r w:rsidR="00AA4D66">
        <w:rPr>
          <w:rFonts w:hint="cs"/>
          <w:rtl/>
          <w:lang w:bidi="fa-IR"/>
        </w:rPr>
        <w:t>ُ</w:t>
      </w:r>
      <w:r w:rsidR="00744A1C">
        <w:rPr>
          <w:rtl/>
          <w:lang w:bidi="fa-IR"/>
        </w:rPr>
        <w:t>درجت في متن بعض النسخ بتخيّل سقوطها منه.</w:t>
      </w:r>
    </w:p>
    <w:p w:rsidR="00744A1C" w:rsidRDefault="00E378DD" w:rsidP="00E378DD">
      <w:pPr>
        <w:pStyle w:val="libFootnote0"/>
        <w:rPr>
          <w:lang w:bidi="fa-IR"/>
        </w:rPr>
      </w:pPr>
      <w:r>
        <w:rPr>
          <w:rtl/>
          <w:lang w:bidi="fa-IR"/>
        </w:rPr>
        <w:t>(8).</w:t>
      </w:r>
      <w:r w:rsidR="00744A1C">
        <w:rPr>
          <w:rtl/>
          <w:lang w:bidi="fa-IR"/>
        </w:rPr>
        <w:t xml:space="preserve"> في « ط » : - « عن قول الله ». وفي « بح ، بخ ، بف ، جد » وحاشية « جت » و</w:t>
      </w:r>
      <w:r w:rsidR="00744A1C" w:rsidRPr="00C24F9C">
        <w:rPr>
          <w:rStyle w:val="libFootnoteBoldChar"/>
          <w:rtl/>
        </w:rPr>
        <w:t>الوسائل</w:t>
      </w:r>
      <w:r w:rsidR="00744A1C">
        <w:rPr>
          <w:rtl/>
          <w:lang w:bidi="fa-IR"/>
        </w:rPr>
        <w:t xml:space="preserve"> : « عن قوله ».</w:t>
      </w:r>
    </w:p>
    <w:p w:rsidR="00744A1C" w:rsidRDefault="00E378DD" w:rsidP="00E378DD">
      <w:pPr>
        <w:pStyle w:val="libFootnote0"/>
        <w:rPr>
          <w:lang w:bidi="fa-IR"/>
        </w:rPr>
      </w:pPr>
      <w:r>
        <w:rPr>
          <w:rtl/>
          <w:lang w:bidi="fa-IR"/>
        </w:rPr>
        <w:t>(9).</w:t>
      </w:r>
      <w:r w:rsidR="00744A1C">
        <w:rPr>
          <w:rtl/>
          <w:lang w:bidi="fa-IR"/>
        </w:rPr>
        <w:t xml:space="preserve"> البقرة </w:t>
      </w:r>
      <w:r w:rsidR="00AA4D66">
        <w:rPr>
          <w:rtl/>
          <w:lang w:bidi="fa-IR"/>
        </w:rPr>
        <w:t>(2)</w:t>
      </w:r>
      <w:r w:rsidR="00744A1C">
        <w:rPr>
          <w:rtl/>
          <w:lang w:bidi="fa-IR"/>
        </w:rPr>
        <w:t xml:space="preserve"> : 188.</w:t>
      </w:r>
    </w:p>
    <w:p w:rsidR="00744A1C" w:rsidRDefault="00E378DD" w:rsidP="00E378DD">
      <w:pPr>
        <w:pStyle w:val="libFootnote0"/>
        <w:rPr>
          <w:lang w:bidi="fa-IR"/>
        </w:rPr>
      </w:pPr>
      <w:r>
        <w:rPr>
          <w:rtl/>
          <w:lang w:bidi="fa-IR"/>
        </w:rPr>
        <w:t>(10).</w:t>
      </w:r>
      <w:r w:rsidR="00744A1C">
        <w:rPr>
          <w:rtl/>
          <w:lang w:bidi="fa-IR"/>
        </w:rPr>
        <w:t xml:space="preserve"> </w:t>
      </w:r>
      <w:r w:rsidR="00744A1C" w:rsidRPr="00A914B5">
        <w:rPr>
          <w:rStyle w:val="libFootnoteBoldChar"/>
          <w:rtl/>
        </w:rPr>
        <w:t>تفسير العيّاشي</w:t>
      </w:r>
      <w:r w:rsidR="00744A1C">
        <w:rPr>
          <w:rtl/>
          <w:lang w:bidi="fa-IR"/>
        </w:rPr>
        <w:t xml:space="preserve"> ، ج 1 ، ص 84 ، ح 204 ، عن زياد بن عيسى ، عن أبي عبد الله </w:t>
      </w:r>
      <w:r w:rsidR="0061079A" w:rsidRPr="0061079A">
        <w:rPr>
          <w:rStyle w:val="libFootnoteAlaemChar"/>
          <w:rtl/>
        </w:rPr>
        <w:t>عليه‌السلام</w:t>
      </w:r>
      <w:r w:rsidR="00744A1C">
        <w:rPr>
          <w:rtl/>
          <w:lang w:bidi="fa-IR"/>
        </w:rPr>
        <w:t xml:space="preserve"> . وفيه ، ص 236 ، ح 103 ، عن محمّد بن عليّ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مع زيادة في آخره </w:t>
      </w:r>
      <w:r w:rsidR="00AA4D66">
        <w:rPr>
          <w:rFonts w:hint="cs"/>
          <w:rtl/>
          <w:lang w:bidi="fa-IR"/>
        </w:rPr>
        <w:t>.</w:t>
      </w:r>
      <w:r w:rsidR="00744A1C" w:rsidRPr="00C24F9C">
        <w:rPr>
          <w:rStyle w:val="libFootnoteBoldChar"/>
          <w:rtl/>
        </w:rPr>
        <w:t>الوافي</w:t>
      </w:r>
      <w:r w:rsidR="00744A1C">
        <w:rPr>
          <w:rtl/>
          <w:lang w:bidi="fa-IR"/>
        </w:rPr>
        <w:t xml:space="preserve"> ، ج 17 ، ص 225 ، ح 17156 ؛ </w:t>
      </w:r>
      <w:r w:rsidR="00744A1C" w:rsidRPr="00C24F9C">
        <w:rPr>
          <w:rStyle w:val="libFootnoteBoldChar"/>
          <w:rtl/>
        </w:rPr>
        <w:t>الوسائل</w:t>
      </w:r>
      <w:r w:rsidR="00744A1C">
        <w:rPr>
          <w:rtl/>
          <w:lang w:bidi="fa-IR"/>
        </w:rPr>
        <w:t xml:space="preserve"> ، ج 17 ، ص 164 ، ح 22254.</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لَمَّا أَنْزَلَ اللهُ - عَزَّ وَجَلَّ - عَلى رَسُولِ اللهِ </w:t>
      </w:r>
      <w:r w:rsidRPr="00D10E3C">
        <w:rPr>
          <w:rStyle w:val="libFootnotenumChar"/>
          <w:rtl/>
        </w:rPr>
        <w:t>(1)</w:t>
      </w:r>
      <w:r>
        <w:rPr>
          <w:rtl/>
          <w:lang w:bidi="fa-IR"/>
        </w:rPr>
        <w:t xml:space="preserve"> </w:t>
      </w:r>
      <w:r w:rsidR="00B7470D" w:rsidRPr="00B7470D">
        <w:rPr>
          <w:rStyle w:val="libAlaemChar"/>
          <w:rtl/>
        </w:rPr>
        <w:t>صلى‌الله‌عليه‌وآله</w:t>
      </w:r>
      <w:r w:rsidR="00D10E3C">
        <w:rPr>
          <w:rtl/>
          <w:lang w:bidi="fa-IR"/>
        </w:rPr>
        <w:t xml:space="preserve"> </w:t>
      </w:r>
      <w:r>
        <w:rPr>
          <w:rtl/>
          <w:lang w:bidi="fa-IR"/>
        </w:rPr>
        <w:t xml:space="preserve">: </w:t>
      </w:r>
      <w:r w:rsidRPr="00AA4D66">
        <w:rPr>
          <w:rStyle w:val="libAlaemChar"/>
          <w:rtl/>
        </w:rPr>
        <w:t>(</w:t>
      </w:r>
      <w:r w:rsidRPr="00AA4D66">
        <w:rPr>
          <w:rStyle w:val="libAieChar"/>
          <w:rtl/>
        </w:rPr>
        <w:t xml:space="preserve"> إِنَّمَا الْخَمْرُ وَالْمَيْسِرُ وَالْأَنْصابُ وَالْأَزْل</w:t>
      </w:r>
      <w:r w:rsidR="00AA4D66">
        <w:rPr>
          <w:rStyle w:val="libAieChar"/>
          <w:rFonts w:hint="cs"/>
          <w:rtl/>
        </w:rPr>
        <w:t>َ</w:t>
      </w:r>
      <w:r w:rsidRPr="00AA4D66">
        <w:rPr>
          <w:rStyle w:val="libAieChar"/>
          <w:rtl/>
        </w:rPr>
        <w:t xml:space="preserve">امُ رِجْسٌ مِنْ عَمَلِ الشَّيْطانِ فَاجْتَنِبُوهُ </w:t>
      </w:r>
      <w:r w:rsidRPr="00AA4D66">
        <w:rPr>
          <w:rStyle w:val="libAlaemChar"/>
          <w:rtl/>
        </w:rPr>
        <w:t>)</w:t>
      </w:r>
      <w:r>
        <w:rPr>
          <w:rtl/>
          <w:lang w:bidi="fa-IR"/>
        </w:rPr>
        <w:t xml:space="preserve"> </w:t>
      </w:r>
      <w:r w:rsidRPr="00D10E3C">
        <w:rPr>
          <w:rStyle w:val="libFootnotenumChar"/>
          <w:rtl/>
        </w:rPr>
        <w:t>(2)</w:t>
      </w:r>
      <w:r>
        <w:rPr>
          <w:rtl/>
          <w:lang w:bidi="fa-IR"/>
        </w:rPr>
        <w:t xml:space="preserve"> قِيلَ : يَا رَسُولَ اللهِ ، مَا( الْمَيْسِرِ )؟</w:t>
      </w:r>
    </w:p>
    <w:p w:rsidR="00744A1C" w:rsidRDefault="00744A1C" w:rsidP="00744A1C">
      <w:pPr>
        <w:pStyle w:val="libNormal"/>
        <w:rPr>
          <w:lang w:bidi="fa-IR"/>
        </w:rPr>
      </w:pPr>
      <w:r>
        <w:rPr>
          <w:rtl/>
          <w:lang w:bidi="fa-IR"/>
        </w:rPr>
        <w:t xml:space="preserve">فَقَالَ </w:t>
      </w:r>
      <w:r w:rsidRPr="00D10E3C">
        <w:rPr>
          <w:rStyle w:val="libFootnotenumChar"/>
          <w:rtl/>
        </w:rPr>
        <w:t>(3)</w:t>
      </w:r>
      <w:r>
        <w:rPr>
          <w:rtl/>
          <w:lang w:bidi="fa-IR"/>
        </w:rPr>
        <w:t xml:space="preserve"> : كُلُّ </w:t>
      </w:r>
      <w:r w:rsidRPr="00D10E3C">
        <w:rPr>
          <w:rStyle w:val="libFootnotenumChar"/>
          <w:rtl/>
        </w:rPr>
        <w:t>(4)</w:t>
      </w:r>
      <w:r>
        <w:rPr>
          <w:rtl/>
          <w:lang w:bidi="fa-IR"/>
        </w:rPr>
        <w:t xml:space="preserve"> مَا تُقُومِرَ </w:t>
      </w:r>
      <w:r w:rsidRPr="00D10E3C">
        <w:rPr>
          <w:rStyle w:val="libFootnotenumChar"/>
          <w:rtl/>
        </w:rPr>
        <w:t>(5)</w:t>
      </w:r>
      <w:r>
        <w:rPr>
          <w:rtl/>
          <w:lang w:bidi="fa-IR"/>
        </w:rPr>
        <w:t xml:space="preserve"> بِهِ حَتّى الْكِعَابُ </w:t>
      </w:r>
      <w:r w:rsidRPr="00D10E3C">
        <w:rPr>
          <w:rStyle w:val="libFootnotenumChar"/>
          <w:rtl/>
        </w:rPr>
        <w:t>(6)</w:t>
      </w:r>
      <w:r>
        <w:rPr>
          <w:rtl/>
          <w:lang w:bidi="fa-IR"/>
        </w:rPr>
        <w:t xml:space="preserve"> وَالْجَوْزُ.</w:t>
      </w:r>
    </w:p>
    <w:p w:rsidR="00744A1C" w:rsidRDefault="00744A1C" w:rsidP="00744A1C">
      <w:pPr>
        <w:pStyle w:val="libNormal"/>
        <w:rPr>
          <w:lang w:bidi="fa-IR"/>
        </w:rPr>
      </w:pPr>
      <w:r>
        <w:rPr>
          <w:rtl/>
          <w:lang w:bidi="fa-IR"/>
        </w:rPr>
        <w:t xml:space="preserve">قِيلَ : فَمَا </w:t>
      </w:r>
      <w:r w:rsidRPr="00D10E3C">
        <w:rPr>
          <w:rStyle w:val="libFootnotenumChar"/>
          <w:rtl/>
        </w:rPr>
        <w:t>(7)</w:t>
      </w:r>
      <w:r>
        <w:rPr>
          <w:rtl/>
          <w:lang w:bidi="fa-IR"/>
        </w:rPr>
        <w:t xml:space="preserve"> </w:t>
      </w:r>
      <w:r w:rsidRPr="00AA4D66">
        <w:rPr>
          <w:rStyle w:val="libAlaemChar"/>
          <w:rtl/>
        </w:rPr>
        <w:t>(</w:t>
      </w:r>
      <w:r w:rsidRPr="00AA4D66">
        <w:rPr>
          <w:rStyle w:val="libAieChar"/>
          <w:rtl/>
        </w:rPr>
        <w:t xml:space="preserve"> الْأَنْصابُ</w:t>
      </w:r>
      <w:r>
        <w:rPr>
          <w:rtl/>
          <w:lang w:bidi="fa-IR"/>
        </w:rPr>
        <w:t xml:space="preserve"> </w:t>
      </w:r>
      <w:r w:rsidRPr="00AA4D66">
        <w:rPr>
          <w:rStyle w:val="libAlaemChar"/>
          <w:rtl/>
        </w:rPr>
        <w:t>)</w:t>
      </w:r>
      <w:r>
        <w:rPr>
          <w:rtl/>
          <w:lang w:bidi="fa-IR"/>
        </w:rPr>
        <w:t xml:space="preserve"> </w:t>
      </w:r>
      <w:r w:rsidRPr="00D10E3C">
        <w:rPr>
          <w:rStyle w:val="libFootnotenumChar"/>
          <w:rtl/>
        </w:rPr>
        <w:t>(8)</w:t>
      </w:r>
      <w:r>
        <w:rPr>
          <w:rtl/>
          <w:lang w:bidi="fa-IR"/>
        </w:rPr>
        <w:t>؟</w:t>
      </w:r>
    </w:p>
    <w:p w:rsidR="00744A1C" w:rsidRDefault="00744A1C" w:rsidP="00744A1C">
      <w:pPr>
        <w:pStyle w:val="libNormal"/>
        <w:rPr>
          <w:lang w:bidi="fa-IR"/>
        </w:rPr>
      </w:pPr>
      <w:r>
        <w:rPr>
          <w:rtl/>
          <w:lang w:bidi="fa-IR"/>
        </w:rPr>
        <w:t xml:space="preserve">قَالَ </w:t>
      </w:r>
      <w:r w:rsidRPr="00D10E3C">
        <w:rPr>
          <w:rStyle w:val="libFootnotenumChar"/>
          <w:rtl/>
        </w:rPr>
        <w:t>(9)</w:t>
      </w:r>
      <w:r>
        <w:rPr>
          <w:rtl/>
          <w:lang w:bidi="fa-IR"/>
        </w:rPr>
        <w:t xml:space="preserve"> : مَا ذَبَحُوهُ </w:t>
      </w:r>
      <w:r w:rsidRPr="00D10E3C">
        <w:rPr>
          <w:rStyle w:val="libFootnotenumChar"/>
          <w:rtl/>
        </w:rPr>
        <w:t>(10)</w:t>
      </w:r>
      <w:r>
        <w:rPr>
          <w:rtl/>
          <w:lang w:bidi="fa-IR"/>
        </w:rPr>
        <w:t xml:space="preserve"> لآِلِهَتِهِمْ </w:t>
      </w:r>
      <w:r w:rsidRPr="00D10E3C">
        <w:rPr>
          <w:rStyle w:val="libFootnotenumChar"/>
          <w:rtl/>
        </w:rPr>
        <w:t>(11)</w:t>
      </w:r>
    </w:p>
    <w:p w:rsidR="00744A1C" w:rsidRDefault="00744A1C" w:rsidP="00744A1C">
      <w:pPr>
        <w:pStyle w:val="libNormal"/>
        <w:rPr>
          <w:lang w:bidi="fa-IR"/>
        </w:rPr>
      </w:pPr>
      <w:r>
        <w:rPr>
          <w:rtl/>
          <w:lang w:bidi="fa-IR"/>
        </w:rPr>
        <w:t xml:space="preserve">قِيلَ : فَمَا </w:t>
      </w:r>
      <w:r w:rsidRPr="00AA4D66">
        <w:rPr>
          <w:rStyle w:val="libAlaemChar"/>
          <w:rtl/>
        </w:rPr>
        <w:t>(</w:t>
      </w:r>
      <w:r>
        <w:rPr>
          <w:rtl/>
          <w:lang w:bidi="fa-IR"/>
        </w:rPr>
        <w:t xml:space="preserve"> </w:t>
      </w:r>
      <w:r w:rsidRPr="00AA4D66">
        <w:rPr>
          <w:rStyle w:val="libAieChar"/>
          <w:rtl/>
        </w:rPr>
        <w:t>الأزلام</w:t>
      </w:r>
      <w:r>
        <w:rPr>
          <w:rtl/>
          <w:lang w:bidi="fa-IR"/>
        </w:rPr>
        <w:t xml:space="preserve"> </w:t>
      </w:r>
      <w:r w:rsidRPr="00AA4D66">
        <w:rPr>
          <w:rStyle w:val="libAlaemChar"/>
          <w:rtl/>
        </w:rPr>
        <w:t>)</w:t>
      </w:r>
      <w:r>
        <w:rPr>
          <w:rtl/>
          <w:lang w:bidi="fa-IR"/>
        </w:rPr>
        <w:t>؟</w:t>
      </w:r>
    </w:p>
    <w:p w:rsidR="00144FA6" w:rsidRDefault="00744A1C" w:rsidP="00744A1C">
      <w:pPr>
        <w:pStyle w:val="libNormal"/>
        <w:rPr>
          <w:rtl/>
          <w:lang w:bidi="fa-IR"/>
        </w:rPr>
      </w:pPr>
      <w:r>
        <w:rPr>
          <w:rtl/>
          <w:lang w:bidi="fa-IR"/>
        </w:rPr>
        <w:t xml:space="preserve">قَالَ </w:t>
      </w:r>
      <w:r w:rsidRPr="00D10E3C">
        <w:rPr>
          <w:rStyle w:val="libFootnotenumChar"/>
          <w:rtl/>
        </w:rPr>
        <w:t>(12)</w:t>
      </w:r>
      <w:r>
        <w:rPr>
          <w:rtl/>
          <w:lang w:bidi="fa-IR"/>
        </w:rPr>
        <w:t xml:space="preserve"> : قِدَاحُهُمُ </w:t>
      </w:r>
      <w:r w:rsidRPr="00D10E3C">
        <w:rPr>
          <w:rStyle w:val="libFootnotenumChar"/>
          <w:rtl/>
        </w:rPr>
        <w:t>(13)</w:t>
      </w:r>
      <w:r>
        <w:rPr>
          <w:rtl/>
          <w:lang w:bidi="fa-IR"/>
        </w:rPr>
        <w:t xml:space="preserve"> الَّتِي يَسْتَقْسِمُونَ </w:t>
      </w:r>
      <w:r w:rsidRPr="00D10E3C">
        <w:rPr>
          <w:rStyle w:val="libFootnotenumChar"/>
          <w:rtl/>
        </w:rPr>
        <w:t>(14)</w:t>
      </w:r>
      <w:r w:rsidR="00DB2BE6" w:rsidRPr="00DB2BE6">
        <w:rPr>
          <w:rFonts w:hint="cs"/>
          <w:rtl/>
        </w:rPr>
        <w:t xml:space="preserve"> </w:t>
      </w:r>
      <w:r w:rsidR="00DB2BE6">
        <w:rPr>
          <w:rFonts w:hint="cs"/>
          <w:rtl/>
        </w:rPr>
        <w:t>..................</w:t>
      </w:r>
      <w:r w:rsidR="00DB2BE6">
        <w:rPr>
          <w:rFonts w:hint="cs"/>
          <w:rtl/>
        </w:rPr>
        <w:tab/>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بح ، بخ ، بس ، بف » </w:t>
      </w:r>
      <w:r w:rsidR="00744A1C" w:rsidRPr="00DB2BE6">
        <w:rPr>
          <w:rtl/>
        </w:rPr>
        <w:t>والوافي والوسائل والتهذيب :</w:t>
      </w:r>
      <w:r w:rsidR="00744A1C">
        <w:rPr>
          <w:rtl/>
          <w:lang w:bidi="fa-IR"/>
        </w:rPr>
        <w:t xml:space="preserve"> « على رسوله ».</w:t>
      </w:r>
    </w:p>
    <w:p w:rsidR="00744A1C" w:rsidRDefault="00E378DD" w:rsidP="00E378DD">
      <w:pPr>
        <w:pStyle w:val="libFootnote0"/>
        <w:rPr>
          <w:lang w:bidi="fa-IR"/>
        </w:rPr>
      </w:pPr>
      <w:r>
        <w:rPr>
          <w:rtl/>
          <w:lang w:bidi="fa-IR"/>
        </w:rPr>
        <w:t>(2).</w:t>
      </w:r>
      <w:r w:rsidR="00744A1C">
        <w:rPr>
          <w:rtl/>
          <w:lang w:bidi="fa-IR"/>
        </w:rPr>
        <w:t xml:space="preserve"> المائدة </w:t>
      </w:r>
      <w:r w:rsidR="00DB2BE6">
        <w:rPr>
          <w:rtl/>
          <w:lang w:bidi="fa-IR"/>
        </w:rPr>
        <w:t>(5)</w:t>
      </w:r>
      <w:r w:rsidR="00744A1C">
        <w:rPr>
          <w:rtl/>
          <w:lang w:bidi="fa-IR"/>
        </w:rPr>
        <w:t xml:space="preserve"> : 90. وفي « بف » </w:t>
      </w:r>
      <w:r w:rsidR="00744A1C" w:rsidRPr="00DB2BE6">
        <w:rPr>
          <w:rtl/>
        </w:rPr>
        <w:t xml:space="preserve">والوافي والتهذيب : - </w:t>
      </w:r>
      <w:r w:rsidR="00744A1C" w:rsidRPr="00DB2BE6">
        <w:rPr>
          <w:rStyle w:val="libFootnoteAlaemChar"/>
          <w:rtl/>
        </w:rPr>
        <w:t>(</w:t>
      </w:r>
      <w:r w:rsidR="00744A1C" w:rsidRPr="00DB2BE6">
        <w:rPr>
          <w:rStyle w:val="libFootnoteAieChar"/>
          <w:rtl/>
        </w:rPr>
        <w:t xml:space="preserve"> فَاجْتَنِبُوهُ</w:t>
      </w:r>
      <w:r w:rsidR="00744A1C">
        <w:rPr>
          <w:rtl/>
          <w:lang w:bidi="fa-IR"/>
        </w:rPr>
        <w:t xml:space="preserve"> </w:t>
      </w:r>
      <w:r w:rsidR="00744A1C" w:rsidRPr="00DB2BE6">
        <w:rPr>
          <w:rStyle w:val="libFootnoteAlaemChar"/>
          <w:rtl/>
        </w:rPr>
        <w:t>)</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2F6CB4" w:rsidTr="002F6CB4">
        <w:tc>
          <w:tcPr>
            <w:tcW w:w="4006" w:type="dxa"/>
          </w:tcPr>
          <w:p w:rsidR="002F6CB4" w:rsidRDefault="002F6CB4" w:rsidP="00E378DD">
            <w:pPr>
              <w:pStyle w:val="libFootnote0"/>
              <w:rPr>
                <w:rtl/>
                <w:lang w:bidi="fa-IR"/>
              </w:rPr>
            </w:pPr>
            <w:r>
              <w:rPr>
                <w:rtl/>
                <w:lang w:bidi="fa-IR"/>
              </w:rPr>
              <w:t>(3). في « بخ ، بف » و</w:t>
            </w:r>
            <w:r w:rsidRPr="00C24F9C">
              <w:rPr>
                <w:rStyle w:val="libFootnoteBoldChar"/>
                <w:rtl/>
              </w:rPr>
              <w:t>الوافي</w:t>
            </w:r>
            <w:r>
              <w:rPr>
                <w:rtl/>
                <w:lang w:bidi="fa-IR"/>
              </w:rPr>
              <w:t xml:space="preserve"> : « قال ».</w:t>
            </w:r>
          </w:p>
        </w:tc>
        <w:tc>
          <w:tcPr>
            <w:tcW w:w="4006" w:type="dxa"/>
          </w:tcPr>
          <w:p w:rsidR="002F6CB4" w:rsidRDefault="002F6CB4" w:rsidP="00E378DD">
            <w:pPr>
              <w:pStyle w:val="libFootnote0"/>
              <w:rPr>
                <w:rtl/>
                <w:lang w:bidi="fa-IR"/>
              </w:rPr>
            </w:pPr>
            <w:r>
              <w:rPr>
                <w:rtl/>
                <w:lang w:bidi="fa-IR"/>
              </w:rPr>
              <w:t xml:space="preserve">(4). في </w:t>
            </w:r>
            <w:r w:rsidRPr="002F6CB4">
              <w:rPr>
                <w:rtl/>
              </w:rPr>
              <w:t>الوافي</w:t>
            </w:r>
            <w:r>
              <w:rPr>
                <w:rtl/>
                <w:lang w:bidi="fa-IR"/>
              </w:rPr>
              <w:t xml:space="preserve"> : - « كلّ ».</w:t>
            </w:r>
          </w:p>
        </w:tc>
      </w:tr>
    </w:tbl>
    <w:p w:rsidR="00744A1C" w:rsidRDefault="00E378DD" w:rsidP="00E378DD">
      <w:pPr>
        <w:pStyle w:val="libFootnote0"/>
        <w:rPr>
          <w:lang w:bidi="fa-IR"/>
        </w:rPr>
      </w:pPr>
      <w:r>
        <w:rPr>
          <w:rtl/>
          <w:lang w:bidi="fa-IR"/>
        </w:rPr>
        <w:t>(5).</w:t>
      </w:r>
      <w:r w:rsidR="00744A1C">
        <w:rPr>
          <w:rtl/>
          <w:lang w:bidi="fa-IR"/>
        </w:rPr>
        <w:t xml:space="preserve"> في « ط » : « يقامر ».</w:t>
      </w:r>
    </w:p>
    <w:p w:rsidR="00744A1C" w:rsidRDefault="00E378DD" w:rsidP="00E378DD">
      <w:pPr>
        <w:pStyle w:val="libFootnote0"/>
        <w:rPr>
          <w:lang w:bidi="fa-IR"/>
        </w:rPr>
      </w:pPr>
      <w:r>
        <w:rPr>
          <w:rtl/>
          <w:lang w:bidi="fa-IR"/>
        </w:rPr>
        <w:t>(6).</w:t>
      </w:r>
      <w:r w:rsidR="00744A1C">
        <w:rPr>
          <w:rtl/>
          <w:lang w:bidi="fa-IR"/>
        </w:rPr>
        <w:t xml:space="preserve"> « الكِعاب » : فصوص النرد ، واحدها : كَعْب وكَعْبة. راجع : </w:t>
      </w:r>
      <w:r w:rsidR="00744A1C" w:rsidRPr="00877682">
        <w:rPr>
          <w:rStyle w:val="libFootnoteBoldChar"/>
          <w:rtl/>
        </w:rPr>
        <w:t>النهاية</w:t>
      </w:r>
      <w:r w:rsidR="00744A1C">
        <w:rPr>
          <w:rtl/>
          <w:lang w:bidi="fa-IR"/>
        </w:rPr>
        <w:t xml:space="preserve"> ، ج 4 ، ص 179 ( كعب ).</w:t>
      </w:r>
    </w:p>
    <w:p w:rsidR="00744A1C" w:rsidRDefault="00E378DD" w:rsidP="00E378DD">
      <w:pPr>
        <w:pStyle w:val="libFootnote0"/>
        <w:rPr>
          <w:lang w:bidi="fa-IR"/>
        </w:rPr>
      </w:pPr>
      <w:r>
        <w:rPr>
          <w:rtl/>
          <w:lang w:bidi="fa-IR"/>
        </w:rPr>
        <w:t>(7).</w:t>
      </w:r>
      <w:r w:rsidR="00744A1C">
        <w:rPr>
          <w:rtl/>
          <w:lang w:bidi="fa-IR"/>
        </w:rPr>
        <w:t xml:space="preserve"> في « بخ ، بف » وحاشية « جت » </w:t>
      </w:r>
      <w:r w:rsidR="00744A1C" w:rsidRPr="002F6CB4">
        <w:rPr>
          <w:rtl/>
        </w:rPr>
        <w:t>والوافي والتهذيب :</w:t>
      </w:r>
      <w:r w:rsidR="00744A1C">
        <w:rPr>
          <w:rtl/>
          <w:lang w:bidi="fa-IR"/>
        </w:rPr>
        <w:t xml:space="preserve"> « ما ».</w:t>
      </w:r>
    </w:p>
    <w:p w:rsidR="00744A1C" w:rsidRDefault="00E378DD" w:rsidP="00E378DD">
      <w:pPr>
        <w:pStyle w:val="libFootnote0"/>
        <w:rPr>
          <w:lang w:bidi="fa-IR"/>
        </w:rPr>
      </w:pPr>
      <w:r>
        <w:rPr>
          <w:rtl/>
          <w:lang w:bidi="fa-IR"/>
        </w:rPr>
        <w:t>(8).</w:t>
      </w:r>
      <w:r w:rsidR="00744A1C">
        <w:rPr>
          <w:rtl/>
          <w:lang w:bidi="fa-IR"/>
        </w:rPr>
        <w:t xml:space="preserve"> قال الجوهري : « النَصْب : ما نُصب فعُبد من دون الله تعالى ، وكذلك النُصْب ، وقد يحرّك ... والجمع : الأنصاب ». وقال ابن الأثير : « النصب - بضمّ الصاد وسكونها - : حجر كانوا ينصبونه في الجاهليّة ويتّخذونه صنماً فيعبدونه ، والجمع : أنصاب ». </w:t>
      </w:r>
      <w:r w:rsidR="00744A1C" w:rsidRPr="00E978C3">
        <w:rPr>
          <w:rStyle w:val="libFootnoteBoldChar"/>
          <w:rtl/>
        </w:rPr>
        <w:t>الصحاح</w:t>
      </w:r>
      <w:r w:rsidR="00744A1C">
        <w:rPr>
          <w:rtl/>
          <w:lang w:bidi="fa-IR"/>
        </w:rPr>
        <w:t xml:space="preserve"> ، ج 1 ، ص 225 ؛ </w:t>
      </w:r>
      <w:r w:rsidR="00744A1C" w:rsidRPr="00877682">
        <w:rPr>
          <w:rStyle w:val="libFootnoteBoldChar"/>
          <w:rtl/>
        </w:rPr>
        <w:t>النهاية</w:t>
      </w:r>
      <w:r w:rsidR="00744A1C">
        <w:rPr>
          <w:rtl/>
          <w:lang w:bidi="fa-IR"/>
        </w:rPr>
        <w:t xml:space="preserve"> ، ج 5 ، ص 60 ( نصب ).</w:t>
      </w:r>
    </w:p>
    <w:p w:rsidR="00744A1C" w:rsidRDefault="00E378DD" w:rsidP="00E378DD">
      <w:pPr>
        <w:pStyle w:val="libFootnote0"/>
        <w:rPr>
          <w:lang w:bidi="fa-IR"/>
        </w:rPr>
      </w:pPr>
      <w:r>
        <w:rPr>
          <w:rtl/>
          <w:lang w:bidi="fa-IR"/>
        </w:rPr>
        <w:t>(9).</w:t>
      </w:r>
      <w:r w:rsidR="00744A1C">
        <w:rPr>
          <w:rtl/>
          <w:lang w:bidi="fa-IR"/>
        </w:rPr>
        <w:t xml:space="preserve"> في « ط » : + « كلّ ».</w:t>
      </w:r>
    </w:p>
    <w:p w:rsidR="00744A1C" w:rsidRDefault="00E378DD" w:rsidP="00E378DD">
      <w:pPr>
        <w:pStyle w:val="libFootnote0"/>
        <w:rPr>
          <w:lang w:bidi="fa-IR"/>
        </w:rPr>
      </w:pPr>
      <w:r>
        <w:rPr>
          <w:rtl/>
          <w:lang w:bidi="fa-IR"/>
        </w:rPr>
        <w:t>(10).</w:t>
      </w:r>
      <w:r w:rsidR="00744A1C">
        <w:rPr>
          <w:rtl/>
          <w:lang w:bidi="fa-IR"/>
        </w:rPr>
        <w:t xml:space="preserve"> في « ى ، بخ ، بس ، بف ، جت ، جد ، جن » </w:t>
      </w:r>
      <w:r w:rsidR="00744A1C" w:rsidRPr="00443989">
        <w:rPr>
          <w:rtl/>
        </w:rPr>
        <w:t>والوسائل والفقيه والتهذيب</w:t>
      </w:r>
      <w:r w:rsidR="00744A1C">
        <w:rPr>
          <w:rtl/>
          <w:lang w:bidi="fa-IR"/>
        </w:rPr>
        <w:t xml:space="preserve"> : « ذبحوا ».</w:t>
      </w:r>
    </w:p>
    <w:p w:rsidR="00744A1C" w:rsidRDefault="00E378DD" w:rsidP="007B44F7">
      <w:pPr>
        <w:pStyle w:val="libFootnote0"/>
        <w:rPr>
          <w:lang w:bidi="fa-IR"/>
        </w:rPr>
      </w:pPr>
      <w:r>
        <w:rPr>
          <w:rtl/>
          <w:lang w:bidi="fa-IR"/>
        </w:rPr>
        <w:t>(11).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ما ذ</w:t>
      </w:r>
      <w:r w:rsidR="00443989">
        <w:rPr>
          <w:rtl/>
          <w:lang w:bidi="fa-IR"/>
        </w:rPr>
        <w:t>بحوه لآلهتهم ، قال الوالد العل</w:t>
      </w:r>
      <w:r w:rsidR="00443989">
        <w:rPr>
          <w:rFonts w:hint="cs"/>
          <w:rtl/>
          <w:lang w:bidi="fa-IR"/>
        </w:rPr>
        <w:t>ّ</w:t>
      </w:r>
      <w:r w:rsidR="00443989">
        <w:rPr>
          <w:rtl/>
          <w:lang w:bidi="fa-IR"/>
        </w:rPr>
        <w:t>ا</w:t>
      </w:r>
      <w:r w:rsidR="00744A1C">
        <w:rPr>
          <w:rtl/>
          <w:lang w:bidi="fa-IR"/>
        </w:rPr>
        <w:t xml:space="preserve">مة - قدّس الله روحه - : أي تقرّباً إليها ، كما قال تعالى : </w:t>
      </w:r>
      <w:r w:rsidR="00744A1C" w:rsidRPr="007B44F7">
        <w:rPr>
          <w:rStyle w:val="libFootnoteAlaemChar"/>
          <w:rtl/>
        </w:rPr>
        <w:t>(</w:t>
      </w:r>
      <w:r w:rsidR="00744A1C" w:rsidRPr="007B44F7">
        <w:rPr>
          <w:rStyle w:val="libFootnoteAieChar"/>
          <w:rtl/>
        </w:rPr>
        <w:t xml:space="preserve"> وَ</w:t>
      </w:r>
      <w:r w:rsidR="007B44F7" w:rsidRPr="007B44F7">
        <w:rPr>
          <w:rStyle w:val="libFootnoteAieChar"/>
          <w:rFonts w:hint="cs"/>
          <w:rtl/>
        </w:rPr>
        <w:t xml:space="preserve"> </w:t>
      </w:r>
      <w:r w:rsidR="00744A1C" w:rsidRPr="007B44F7">
        <w:rPr>
          <w:rStyle w:val="libFootnoteAieChar"/>
          <w:rtl/>
        </w:rPr>
        <w:t>م</w:t>
      </w:r>
      <w:r w:rsidR="007B44F7" w:rsidRPr="007B44F7">
        <w:rPr>
          <w:rStyle w:val="libFootnoteAieChar"/>
          <w:rFonts w:hint="cs"/>
          <w:rtl/>
        </w:rPr>
        <w:t>َ</w:t>
      </w:r>
      <w:r w:rsidR="00744A1C" w:rsidRPr="007B44F7">
        <w:rPr>
          <w:rStyle w:val="libFootnoteAieChar"/>
          <w:rtl/>
        </w:rPr>
        <w:t xml:space="preserve">ا ذُبِحَ عَلَى النُّصُبِ </w:t>
      </w:r>
      <w:r w:rsidR="00744A1C" w:rsidRPr="007B44F7">
        <w:rPr>
          <w:rStyle w:val="libFootnoteAlaemChar"/>
          <w:rtl/>
        </w:rPr>
        <w:t>)</w:t>
      </w:r>
      <w:r w:rsidR="00744A1C">
        <w:rPr>
          <w:rtl/>
          <w:lang w:bidi="fa-IR"/>
        </w:rPr>
        <w:t xml:space="preserve"> [ المائدة </w:t>
      </w:r>
      <w:r w:rsidR="007B44F7">
        <w:rPr>
          <w:rtl/>
          <w:lang w:bidi="fa-IR"/>
        </w:rPr>
        <w:t>(5)</w:t>
      </w:r>
      <w:r w:rsidR="00744A1C">
        <w:rPr>
          <w:rtl/>
          <w:lang w:bidi="fa-IR"/>
        </w:rPr>
        <w:t xml:space="preserve"> : 3 ] ، أي لها ، والمشهور بين المفسّرين أنّ المراد بها عبادة الأصنام ، فعلى هذا يكون المراد أنّ هذا أيضاً عبادة لها. وقيل : المراد ما ذبحوا باسم الأصنام ، ولا شكّ في حرمة الجميع ، وإن كان الأخير في المقام أظهر ».</w:t>
      </w:r>
      <w:r w:rsidR="007B44F7">
        <w:rPr>
          <w:rFonts w:hint="cs"/>
          <w:rtl/>
          <w:lang w:bidi="fa-IR"/>
        </w:rPr>
        <w:t xml:space="preserve">               </w:t>
      </w:r>
      <w:r>
        <w:rPr>
          <w:rtl/>
          <w:lang w:bidi="fa-IR"/>
        </w:rPr>
        <w:t>(12).</w:t>
      </w:r>
      <w:r w:rsidR="00744A1C">
        <w:rPr>
          <w:rtl/>
          <w:lang w:bidi="fa-IR"/>
        </w:rPr>
        <w:t xml:space="preserve"> في « ط » : « قيل ».</w:t>
      </w:r>
    </w:p>
    <w:p w:rsidR="00744A1C" w:rsidRDefault="00E378DD" w:rsidP="007B44F7">
      <w:pPr>
        <w:pStyle w:val="libFootnote0"/>
        <w:rPr>
          <w:lang w:bidi="fa-IR"/>
        </w:rPr>
      </w:pPr>
      <w:r>
        <w:rPr>
          <w:rtl/>
          <w:lang w:bidi="fa-IR"/>
        </w:rPr>
        <w:t>(13).</w:t>
      </w:r>
      <w:r w:rsidR="00744A1C">
        <w:rPr>
          <w:rtl/>
          <w:lang w:bidi="fa-IR"/>
        </w:rPr>
        <w:t xml:space="preserve"> الأقداح : جمع قِدْح ، وهو السهم الذي كانوا يستقسمون به ، أو الذي يرمى به عن القوس. يقال للسهم أوّل ما يقطع : قِطْعٌ ، ثمّ ينحت ويبرى فيسمّى بَرِيّاً ، ثمّ يقوّم فيسمّى قِدْحاً ، ثمّ يراش ويركَّب نصله فيسمّى سهماً. </w:t>
      </w:r>
      <w:r w:rsidR="00744A1C" w:rsidRPr="00877682">
        <w:rPr>
          <w:rStyle w:val="libFootnoteBoldChar"/>
          <w:rtl/>
        </w:rPr>
        <w:t>النهاية</w:t>
      </w:r>
      <w:r w:rsidR="00744A1C">
        <w:rPr>
          <w:rtl/>
          <w:lang w:bidi="fa-IR"/>
        </w:rPr>
        <w:t xml:space="preserve"> ، ج 4 ، ص 20 ( قدح ).</w:t>
      </w:r>
      <w:r w:rsidR="007B44F7">
        <w:rPr>
          <w:rFonts w:hint="cs"/>
          <w:rtl/>
          <w:lang w:bidi="fa-IR"/>
        </w:rPr>
        <w:t xml:space="preserve">                       </w:t>
      </w:r>
      <w:r>
        <w:rPr>
          <w:rtl/>
          <w:lang w:bidi="fa-IR"/>
        </w:rPr>
        <w:t>(14).</w:t>
      </w:r>
      <w:r w:rsidR="00744A1C">
        <w:rPr>
          <w:rtl/>
          <w:lang w:bidi="fa-IR"/>
        </w:rPr>
        <w:t xml:space="preserve"> في « ط » : « تستقسمون ».</w:t>
      </w:r>
    </w:p>
    <w:p w:rsidR="006A5060" w:rsidRDefault="006A5060" w:rsidP="00D10E3C">
      <w:pPr>
        <w:pStyle w:val="libNormal"/>
        <w:rPr>
          <w:rtl/>
          <w:lang w:bidi="fa-IR"/>
        </w:rPr>
      </w:pPr>
      <w:r>
        <w:rPr>
          <w:rtl/>
          <w:lang w:bidi="fa-IR"/>
        </w:rPr>
        <w:br w:type="page"/>
      </w:r>
    </w:p>
    <w:p w:rsidR="00144FA6" w:rsidRDefault="00744A1C" w:rsidP="00BE7575">
      <w:pPr>
        <w:pStyle w:val="libNormal0"/>
        <w:rPr>
          <w:rtl/>
          <w:lang w:bidi="fa-IR"/>
        </w:rPr>
      </w:pPr>
      <w:r>
        <w:rPr>
          <w:rtl/>
          <w:lang w:bidi="fa-IR"/>
        </w:rPr>
        <w:t xml:space="preserve">بِهَا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8569 / 3. عِدَّةٌ مِنْ أَصْحَابِنَا ، عَنْ سَهْلِ بْنِ زِيَادٍ وَأَحْمَدَ بْنِ مُحَمَّدٍ جَمِيعاً ، عَنِ ابْنِ مَحْبُوبٍ ، عَنْ يُونُسَ بْنِ يَعْقُوبَ ، عَنْ عَبْدِ الْحَمِيدِ بْنِ سَعْدٍ </w:t>
      </w:r>
      <w:r w:rsidRPr="00D10E3C">
        <w:rPr>
          <w:rStyle w:val="libFootnotenumChar"/>
          <w:rtl/>
        </w:rPr>
        <w:t>(3)</w:t>
      </w:r>
      <w:r>
        <w:rPr>
          <w:rtl/>
          <w:lang w:bidi="fa-IR"/>
        </w:rPr>
        <w:t xml:space="preserve"> ، قَالَ :</w:t>
      </w:r>
    </w:p>
    <w:p w:rsidR="00144FA6" w:rsidRDefault="00744A1C" w:rsidP="00744A1C">
      <w:pPr>
        <w:pStyle w:val="libNormal"/>
        <w:rPr>
          <w:rtl/>
          <w:lang w:bidi="fa-IR"/>
        </w:rPr>
      </w:pPr>
      <w:r>
        <w:rPr>
          <w:rtl/>
          <w:lang w:bidi="fa-IR"/>
        </w:rPr>
        <w:t xml:space="preserve">بَعَثَ أَبُو الْحَسَنِ </w:t>
      </w:r>
      <w:r w:rsidR="0061079A" w:rsidRPr="0061079A">
        <w:rPr>
          <w:rStyle w:val="libAlaemChar"/>
          <w:rtl/>
        </w:rPr>
        <w:t>عليه‌السلام</w:t>
      </w:r>
      <w:r w:rsidR="00D10E3C">
        <w:rPr>
          <w:rtl/>
          <w:lang w:bidi="fa-IR"/>
        </w:rPr>
        <w:t xml:space="preserve"> </w:t>
      </w:r>
      <w:r>
        <w:rPr>
          <w:rtl/>
          <w:lang w:bidi="fa-IR"/>
        </w:rPr>
        <w:t xml:space="preserve">غُلَاماً يَشْتَرِي لَهُ بَيْضاً ، فَأَخَذَ الْغُلَامُ بَيْضَةً أَوْ بَيْضَتَيْنِ ، فَقَامَرَ بِهَا </w:t>
      </w:r>
      <w:r w:rsidRPr="00D10E3C">
        <w:rPr>
          <w:rStyle w:val="libFootnotenumChar"/>
          <w:rtl/>
        </w:rPr>
        <w:t>(4)</w:t>
      </w:r>
      <w:r>
        <w:rPr>
          <w:rtl/>
          <w:lang w:bidi="fa-IR"/>
        </w:rPr>
        <w:t xml:space="preserve"> ، فَلَمَّا أَتى بِهِ أَكَلَهُ ، فَقَالَ لَهُ </w:t>
      </w:r>
      <w:r w:rsidRPr="00D10E3C">
        <w:rPr>
          <w:rStyle w:val="libFootnotenumChar"/>
          <w:rtl/>
        </w:rPr>
        <w:t>(5)</w:t>
      </w:r>
      <w:r>
        <w:rPr>
          <w:rtl/>
          <w:lang w:bidi="fa-IR"/>
        </w:rPr>
        <w:t xml:space="preserve"> مَوْلًى لَهُ : إِنَّ فِيهِ مِنَ الْقِمَارِ ، قَالَ </w:t>
      </w:r>
      <w:r w:rsidRPr="00D10E3C">
        <w:rPr>
          <w:rStyle w:val="libFootnotenumChar"/>
          <w:rtl/>
        </w:rPr>
        <w:t>(6)</w:t>
      </w:r>
      <w:r>
        <w:rPr>
          <w:rtl/>
          <w:lang w:bidi="fa-IR"/>
        </w:rPr>
        <w:t xml:space="preserve"> : فَدَعَا بِطَشْتٍ </w:t>
      </w:r>
      <w:r w:rsidRPr="00D10E3C">
        <w:rPr>
          <w:rStyle w:val="libFootnotenumChar"/>
          <w:rtl/>
        </w:rPr>
        <w:t>(7)</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الزُّلُم والزَّلَم : واحد الأزلام ، وهي القداح التي كانت في الجاهليّة ، عليها مكتوب الأمر والنهى : افعل ولا تفعل ، كان الرجل منهم يضعها في وعاء له ، فإذا أراد سفراً أو زواجاً أو أمراً مهمّاً أدخل يده فأخرج منها زلماً ، فإن خرج الأمر مضى لشأنه ، وإن خرج النهي كفّ عنه ولم يفعله. كذا في </w:t>
      </w:r>
      <w:r w:rsidR="00744A1C" w:rsidRPr="00877682">
        <w:rPr>
          <w:rStyle w:val="libFootnoteBoldChar"/>
          <w:rtl/>
        </w:rPr>
        <w:t>النهاية</w:t>
      </w:r>
      <w:r w:rsidR="00744A1C">
        <w:rPr>
          <w:rtl/>
          <w:lang w:bidi="fa-IR"/>
        </w:rPr>
        <w:t xml:space="preserve"> ، ج 2 ، ص 311 ( زلم ) ، وفي </w:t>
      </w:r>
      <w:r w:rsidR="00744A1C" w:rsidRPr="00C24F9C">
        <w:rPr>
          <w:rStyle w:val="libFootnoteBoldChar"/>
          <w:rtl/>
        </w:rPr>
        <w:t>المرآة</w:t>
      </w:r>
      <w:r w:rsidR="00744A1C">
        <w:rPr>
          <w:rtl/>
          <w:lang w:bidi="fa-IR"/>
        </w:rPr>
        <w:t xml:space="preserve"> : « الاستقسام بالأزلام ، إمّا المراد به طلب ما قسّم لهم بالأزلام ، أي بالقداح ، وذلك أنّهم كانوا إذا قصدوا فعلاً مبهماً ضربوا ثلاثة قداح ، مكتوب على أحدها : أمرني ربّي ، وعلى الآخر : نهاني ربّي ، والثالث غفل لا كتابة عليها ، فإن خرج الأمر فعلوا ، أو النهي تركوا ، أو الثالث أجالوها ثانياً ، أو المراد به استقسام الجزور بالقداح ، وكان قماراً معروفاً عندهم ».</w:t>
      </w:r>
    </w:p>
    <w:p w:rsidR="00744A1C" w:rsidRDefault="00744A1C" w:rsidP="00BE7575">
      <w:pPr>
        <w:pStyle w:val="libFootnote0"/>
        <w:rPr>
          <w:lang w:bidi="fa-IR"/>
        </w:rPr>
      </w:pPr>
      <w:r>
        <w:rPr>
          <w:rtl/>
          <w:lang w:bidi="fa-IR"/>
        </w:rPr>
        <w:t xml:space="preserve">وأمّا المراد باستقسام الجذور ففي </w:t>
      </w:r>
      <w:r w:rsidRPr="008A57EB">
        <w:rPr>
          <w:rStyle w:val="libFootnoteBoldChar"/>
          <w:rtl/>
        </w:rPr>
        <w:t>مجمع البحرين</w:t>
      </w:r>
      <w:r>
        <w:rPr>
          <w:rtl/>
          <w:lang w:bidi="fa-IR"/>
        </w:rPr>
        <w:t xml:space="preserve"> ، ج 6 ، ص 80 ( زلم ) : « والقصّة في ذلك أنّه كان يجتمع العشرة من الرجال فيشترون بعيراً فيما بينهم وينحرونه ويقسّمونه عشرة أجزاء ، وكان لهم عشرة قداح ، لها أسماء ، وهي : الفَذُّ ، وله سهم ، والتَوْأم ، وله سهمان ، والرقيب ، وله ثلاثة ، والحَلَس ، وله أربعة ، والنافس ، وله خمسة ، وال</w:t>
      </w:r>
      <w:r w:rsidR="00BE7575">
        <w:rPr>
          <w:rFonts w:hint="cs"/>
          <w:rtl/>
          <w:lang w:bidi="fa-IR"/>
        </w:rPr>
        <w:t>ـ</w:t>
      </w:r>
      <w:r>
        <w:rPr>
          <w:rtl/>
          <w:lang w:bidi="fa-IR"/>
        </w:rPr>
        <w:t>مُسبل ، وله ستّة ، والمعلّى ، وله سبعة ، وثلاثة لا أنصباء لها ، وهي ال</w:t>
      </w:r>
      <w:r w:rsidR="00684B76">
        <w:rPr>
          <w:rFonts w:hint="cs"/>
          <w:rtl/>
          <w:lang w:bidi="fa-IR"/>
        </w:rPr>
        <w:t>ـ</w:t>
      </w:r>
      <w:r>
        <w:rPr>
          <w:rtl/>
          <w:lang w:bidi="fa-IR"/>
        </w:rPr>
        <w:t>مَنيح والسَفِيح والوَغَد ... وكانوا يجعلون القداح في خريطة ، ويضعونها على يد من يثقون به ، فيحرّكها ويدخل يده في تلك الخريطة ويخرج باسم كلّ قدحاً ، فمن خرج له قدح من الأقداح التي لا أنصباء لها لم يأخذ شيئاً وا</w:t>
      </w:r>
      <w:r w:rsidR="00684B76">
        <w:rPr>
          <w:rFonts w:hint="cs"/>
          <w:rtl/>
          <w:lang w:bidi="fa-IR"/>
        </w:rPr>
        <w:t>ُ</w:t>
      </w:r>
      <w:r>
        <w:rPr>
          <w:rtl/>
          <w:lang w:bidi="fa-IR"/>
        </w:rPr>
        <w:t xml:space="preserve">لزم بأداء ثلث قيمة البعير ، فلا يزال يخرج واحداً بعد واحد حتّى يأخذ أصحاب الأنصباء السبعة أنصباءهم ، ويغرم الثلاثة الذين لا أنصباء لهم قيمة البعير ، وهو القمار الذي حرّم الله تعالى فقال : </w:t>
      </w:r>
      <w:r w:rsidRPr="00684B76">
        <w:rPr>
          <w:rStyle w:val="libFootnoteAlaemChar"/>
          <w:rtl/>
        </w:rPr>
        <w:t>(</w:t>
      </w:r>
      <w:r w:rsidRPr="00684B76">
        <w:rPr>
          <w:rStyle w:val="libFootnoteAieChar"/>
          <w:rtl/>
        </w:rPr>
        <w:t xml:space="preserve"> وَأَنْ تَسْتَقْسِمُوا بِالْأَزْل</w:t>
      </w:r>
      <w:r w:rsidR="00684B76">
        <w:rPr>
          <w:rStyle w:val="libFootnoteAieChar"/>
          <w:rFonts w:hint="cs"/>
          <w:rtl/>
        </w:rPr>
        <w:t>َ</w:t>
      </w:r>
      <w:r w:rsidRPr="00684B76">
        <w:rPr>
          <w:rStyle w:val="libFootnoteAieChar"/>
          <w:rtl/>
        </w:rPr>
        <w:t xml:space="preserve">امِ ذلِكُمْ فِسْقٌ </w:t>
      </w:r>
      <w:r w:rsidRPr="00684B76">
        <w:rPr>
          <w:rStyle w:val="libFootnoteAlaemChar"/>
          <w:rtl/>
        </w:rPr>
        <w:t>)</w:t>
      </w:r>
      <w:r>
        <w:rPr>
          <w:rtl/>
          <w:lang w:bidi="fa-IR"/>
        </w:rPr>
        <w:t xml:space="preserve"> [ المائدة </w:t>
      </w:r>
      <w:r w:rsidR="00684B76">
        <w:rPr>
          <w:rtl/>
          <w:lang w:bidi="fa-IR"/>
        </w:rPr>
        <w:t>(5)</w:t>
      </w:r>
      <w:r>
        <w:rPr>
          <w:rtl/>
          <w:lang w:bidi="fa-IR"/>
        </w:rPr>
        <w:t xml:space="preserve"> : 3 ] ؛ يعني حراماً. ومعنى الاستقسام بالأزلام : طلب معرفة ما يقسم لهم بها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371 ، ح 1075 ، بسنده عن أبي عليّ الأشعري. </w:t>
      </w:r>
      <w:r w:rsidR="00744A1C" w:rsidRPr="00C24F9C">
        <w:rPr>
          <w:rStyle w:val="libFootnoteBoldChar"/>
          <w:rtl/>
        </w:rPr>
        <w:t>الفقيه</w:t>
      </w:r>
      <w:r w:rsidR="00744A1C">
        <w:rPr>
          <w:rtl/>
          <w:lang w:bidi="fa-IR"/>
        </w:rPr>
        <w:t xml:space="preserve"> ، ج 3 ، ص 160 ، ح 3587 ، معلّقاً عن عمرو بن شمر. راجع : </w:t>
      </w:r>
      <w:r w:rsidR="00744A1C" w:rsidRPr="0061079A">
        <w:rPr>
          <w:rStyle w:val="libFootnoteBoldChar"/>
          <w:rtl/>
        </w:rPr>
        <w:t>الكافي</w:t>
      </w:r>
      <w:r w:rsidR="00744A1C">
        <w:rPr>
          <w:rtl/>
          <w:lang w:bidi="fa-IR"/>
        </w:rPr>
        <w:t xml:space="preserve"> ، كتاب الأشربة ، باب النرد والشطرنج ، ح 12417 ؛ و</w:t>
      </w:r>
      <w:r w:rsidR="00744A1C" w:rsidRPr="00610FB4">
        <w:rPr>
          <w:rStyle w:val="libFootnoteBoldChar"/>
          <w:rtl/>
        </w:rPr>
        <w:t>تفسير القمّي</w:t>
      </w:r>
      <w:r w:rsidR="00744A1C">
        <w:rPr>
          <w:rtl/>
          <w:lang w:bidi="fa-IR"/>
        </w:rPr>
        <w:t xml:space="preserve"> ، ج 1 ، ص 180 </w:t>
      </w:r>
      <w:r w:rsidR="00684B76">
        <w:rPr>
          <w:rFonts w:hint="cs"/>
          <w:rtl/>
          <w:lang w:bidi="fa-IR"/>
        </w:rPr>
        <w:t>.</w:t>
      </w:r>
      <w:r w:rsidR="00744A1C" w:rsidRPr="00C24F9C">
        <w:rPr>
          <w:rStyle w:val="libFootnoteBoldChar"/>
          <w:rtl/>
        </w:rPr>
        <w:t>الوافي</w:t>
      </w:r>
      <w:r w:rsidR="00744A1C">
        <w:rPr>
          <w:rtl/>
          <w:lang w:bidi="fa-IR"/>
        </w:rPr>
        <w:t xml:space="preserve"> ، ج 17 ، ص 225 ، ح 17157 ؛ </w:t>
      </w:r>
      <w:r w:rsidR="00744A1C" w:rsidRPr="00C24F9C">
        <w:rPr>
          <w:rStyle w:val="libFootnoteBoldChar"/>
          <w:rtl/>
        </w:rPr>
        <w:t>الوسائل</w:t>
      </w:r>
      <w:r w:rsidR="00744A1C">
        <w:rPr>
          <w:rtl/>
          <w:lang w:bidi="fa-IR"/>
        </w:rPr>
        <w:t xml:space="preserve"> ، ج 17 ، ص 165 ، ح 22257.</w:t>
      </w:r>
    </w:p>
    <w:p w:rsidR="00744A1C" w:rsidRDefault="00E378DD" w:rsidP="00E378DD">
      <w:pPr>
        <w:pStyle w:val="libFootnote0"/>
        <w:rPr>
          <w:lang w:bidi="fa-IR"/>
        </w:rPr>
      </w:pPr>
      <w:r>
        <w:rPr>
          <w:rtl/>
          <w:lang w:bidi="fa-IR"/>
        </w:rPr>
        <w:t>(3).</w:t>
      </w:r>
      <w:r w:rsidR="00744A1C">
        <w:rPr>
          <w:rtl/>
          <w:lang w:bidi="fa-IR"/>
        </w:rPr>
        <w:t xml:space="preserve"> هكذا في « ط ». وفي « ى ، بح ، بخ ، بس ، بف ، جت ، جد ، جن » والمطبوع </w:t>
      </w:r>
      <w:r w:rsidR="00744A1C" w:rsidRPr="00684B76">
        <w:rPr>
          <w:rtl/>
        </w:rPr>
        <w:t>والوسائل : «</w:t>
      </w:r>
      <w:r w:rsidR="00744A1C">
        <w:rPr>
          <w:rtl/>
          <w:lang w:bidi="fa-IR"/>
        </w:rPr>
        <w:t xml:space="preserve"> سعيد ».</w:t>
      </w:r>
    </w:p>
    <w:p w:rsidR="00744A1C" w:rsidRDefault="00744A1C" w:rsidP="00D10E3C">
      <w:pPr>
        <w:pStyle w:val="libFootnote0"/>
        <w:rPr>
          <w:lang w:bidi="fa-IR"/>
        </w:rPr>
      </w:pPr>
      <w:r>
        <w:rPr>
          <w:rtl/>
          <w:lang w:bidi="fa-IR"/>
        </w:rPr>
        <w:t xml:space="preserve">وقد تقدّم في </w:t>
      </w:r>
      <w:r w:rsidRPr="0061079A">
        <w:rPr>
          <w:rStyle w:val="libFootnoteBoldChar"/>
          <w:rtl/>
        </w:rPr>
        <w:t>الكافي</w:t>
      </w:r>
      <w:r>
        <w:rPr>
          <w:rtl/>
          <w:lang w:bidi="fa-IR"/>
        </w:rPr>
        <w:t xml:space="preserve"> ، ذيل ح 4489 ، أنّ المظنون صحّة عبد الحميد بن سعد ، فلاحظ.</w:t>
      </w:r>
    </w:p>
    <w:tbl>
      <w:tblPr>
        <w:tblStyle w:val="TableGrid"/>
        <w:bidiVisual/>
        <w:tblW w:w="0" w:type="auto"/>
        <w:tblLook w:val="04A0" w:firstRow="1" w:lastRow="0" w:firstColumn="1" w:lastColumn="0" w:noHBand="0" w:noVBand="1"/>
      </w:tblPr>
      <w:tblGrid>
        <w:gridCol w:w="4006"/>
        <w:gridCol w:w="4006"/>
      </w:tblGrid>
      <w:tr w:rsidR="00684B76" w:rsidTr="00684B76">
        <w:tc>
          <w:tcPr>
            <w:tcW w:w="4006" w:type="dxa"/>
          </w:tcPr>
          <w:p w:rsidR="00684B76" w:rsidRDefault="00684B76" w:rsidP="00E378DD">
            <w:pPr>
              <w:pStyle w:val="libFootnote0"/>
              <w:rPr>
                <w:rtl/>
                <w:lang w:bidi="fa-IR"/>
              </w:rPr>
            </w:pPr>
            <w:r>
              <w:rPr>
                <w:rtl/>
                <w:lang w:bidi="fa-IR"/>
              </w:rPr>
              <w:t>(4). في حاشية « بح » : « بهما ».</w:t>
            </w:r>
          </w:p>
        </w:tc>
        <w:tc>
          <w:tcPr>
            <w:tcW w:w="4006" w:type="dxa"/>
          </w:tcPr>
          <w:p w:rsidR="00684B76" w:rsidRDefault="00684B76" w:rsidP="00E378DD">
            <w:pPr>
              <w:pStyle w:val="libFootnote0"/>
              <w:rPr>
                <w:rtl/>
                <w:lang w:bidi="fa-IR"/>
              </w:rPr>
            </w:pPr>
            <w:r>
              <w:rPr>
                <w:rtl/>
                <w:lang w:bidi="fa-IR"/>
              </w:rPr>
              <w:t>(5). في « ط ، ى ، بخ ، بف » و</w:t>
            </w:r>
            <w:r w:rsidRPr="00C24F9C">
              <w:rPr>
                <w:rStyle w:val="libFootnoteBoldChar"/>
                <w:rtl/>
              </w:rPr>
              <w:t>الوافي</w:t>
            </w:r>
            <w:r>
              <w:rPr>
                <w:rtl/>
                <w:lang w:bidi="fa-IR"/>
              </w:rPr>
              <w:t xml:space="preserve"> : - « له ».</w:t>
            </w:r>
          </w:p>
        </w:tc>
      </w:tr>
      <w:tr w:rsidR="00684B76" w:rsidTr="00684B76">
        <w:tc>
          <w:tcPr>
            <w:tcW w:w="4006" w:type="dxa"/>
          </w:tcPr>
          <w:p w:rsidR="00684B76" w:rsidRDefault="00684B76" w:rsidP="00E378DD">
            <w:pPr>
              <w:pStyle w:val="libFootnote0"/>
              <w:rPr>
                <w:rtl/>
                <w:lang w:bidi="fa-IR"/>
              </w:rPr>
            </w:pPr>
            <w:r>
              <w:rPr>
                <w:rtl/>
                <w:lang w:bidi="fa-IR"/>
              </w:rPr>
              <w:t>(6). في « بخ ، بف » : - « قال ».</w:t>
            </w:r>
          </w:p>
        </w:tc>
        <w:tc>
          <w:tcPr>
            <w:tcW w:w="4006" w:type="dxa"/>
          </w:tcPr>
          <w:p w:rsidR="00684B76" w:rsidRDefault="00684B76" w:rsidP="00E378DD">
            <w:pPr>
              <w:pStyle w:val="libFootnote0"/>
              <w:rPr>
                <w:rtl/>
                <w:lang w:bidi="fa-IR"/>
              </w:rPr>
            </w:pPr>
            <w:r>
              <w:rPr>
                <w:rtl/>
                <w:lang w:bidi="fa-IR"/>
              </w:rPr>
              <w:t>(7). في « بس » : « بطست ».</w:t>
            </w:r>
          </w:p>
        </w:tc>
      </w:tr>
    </w:tbl>
    <w:p w:rsidR="006A5060" w:rsidRDefault="006A5060" w:rsidP="00D10E3C">
      <w:pPr>
        <w:pStyle w:val="libNormal"/>
        <w:rPr>
          <w:rtl/>
          <w:lang w:bidi="fa-IR"/>
        </w:rPr>
      </w:pPr>
      <w:r>
        <w:rPr>
          <w:rtl/>
          <w:lang w:bidi="fa-IR"/>
        </w:rPr>
        <w:br w:type="page"/>
      </w:r>
    </w:p>
    <w:p w:rsidR="00144FA6" w:rsidRDefault="00744A1C" w:rsidP="004D3E91">
      <w:pPr>
        <w:pStyle w:val="libNormal"/>
        <w:rPr>
          <w:rtl/>
          <w:lang w:bidi="fa-IR"/>
        </w:rPr>
      </w:pPr>
      <w:r>
        <w:rPr>
          <w:rtl/>
          <w:lang w:bidi="fa-IR"/>
        </w:rPr>
        <w:t xml:space="preserve">فَتَقَيَّأَهُ </w:t>
      </w:r>
      <w:r w:rsidRPr="00D10E3C">
        <w:rPr>
          <w:rStyle w:val="libFootnotenumChar"/>
          <w:rtl/>
        </w:rPr>
        <w:t>(1)</w:t>
      </w:r>
      <w:r w:rsidR="004D3E91">
        <w:rPr>
          <w:rFonts w:hint="cs"/>
          <w:rtl/>
          <w:lang w:bidi="fa-IR"/>
        </w:rPr>
        <w:t>.</w:t>
      </w:r>
      <w:r w:rsidRPr="00D10E3C">
        <w:rPr>
          <w:rStyle w:val="libFootnotenumChar"/>
          <w:rtl/>
        </w:rPr>
        <w:t>(2)</w:t>
      </w:r>
    </w:p>
    <w:p w:rsidR="00144FA6" w:rsidRDefault="00744A1C" w:rsidP="006B722B">
      <w:pPr>
        <w:pStyle w:val="libNormal"/>
        <w:rPr>
          <w:rtl/>
          <w:lang w:bidi="fa-IR"/>
        </w:rPr>
      </w:pPr>
      <w:r>
        <w:rPr>
          <w:rtl/>
          <w:lang w:bidi="fa-IR"/>
        </w:rPr>
        <w:t>8570 / 4. مُحَمَّدُ بْنُ يَحْيى ، عَنْ مُحَمَّدِ بْنِ الْحُسَيْنِ ، عَنْ مُحَمَّدِ بْنِ سِنَانٍ ، عَنْ أَبِي الْجَارُودِ ، قَالَ :</w:t>
      </w:r>
    </w:p>
    <w:p w:rsidR="00744A1C" w:rsidRDefault="00744A1C" w:rsidP="00744A1C">
      <w:pPr>
        <w:pStyle w:val="libNormal"/>
        <w:rPr>
          <w:lang w:bidi="fa-IR"/>
        </w:rPr>
      </w:pPr>
      <w:r>
        <w:rPr>
          <w:rtl/>
          <w:lang w:bidi="fa-IR"/>
        </w:rPr>
        <w:t xml:space="preserve">سَمِعْتُ أَبَا جَعْفَرٍ </w:t>
      </w:r>
      <w:r w:rsidR="0061079A" w:rsidRPr="0061079A">
        <w:rPr>
          <w:rStyle w:val="libAlaemChar"/>
          <w:rtl/>
        </w:rPr>
        <w:t>عليه‌السلام</w:t>
      </w:r>
      <w:r w:rsidR="00D10E3C">
        <w:rPr>
          <w:rtl/>
          <w:lang w:bidi="fa-IR"/>
        </w:rPr>
        <w:t xml:space="preserve"> </w:t>
      </w:r>
      <w:r>
        <w:rPr>
          <w:rtl/>
          <w:lang w:bidi="fa-IR"/>
        </w:rPr>
        <w:t xml:space="preserve">يَقُولُ : « قَالَ رَسُولُ اللهِ </w:t>
      </w:r>
      <w:r w:rsidR="00AE01C7" w:rsidRPr="00AE01C7">
        <w:rPr>
          <w:rStyle w:val="libFootnoteAlaemChar"/>
          <w:rtl/>
        </w:rPr>
        <w:t>صلى‌الله‌عليه‌وآله</w:t>
      </w:r>
      <w:r w:rsidR="00D10E3C">
        <w:rPr>
          <w:rtl/>
          <w:lang w:bidi="fa-IR"/>
        </w:rPr>
        <w:t xml:space="preserve"> </w:t>
      </w:r>
      <w:r>
        <w:rPr>
          <w:rtl/>
          <w:lang w:bidi="fa-IR"/>
        </w:rPr>
        <w:t xml:space="preserve">: لَايَزْنِي الزَّانِي حِينَ يَزْنِي </w:t>
      </w:r>
      <w:r w:rsidRPr="00D10E3C">
        <w:rPr>
          <w:rStyle w:val="libFootnotenumChar"/>
          <w:rtl/>
        </w:rPr>
        <w:t>(3)</w:t>
      </w:r>
      <w:r>
        <w:rPr>
          <w:rtl/>
          <w:lang w:bidi="fa-IR"/>
        </w:rPr>
        <w:t xml:space="preserve"> وَهُوَ مُؤْمِنٌ ، وَلَا يَسْرِقُ السَّارِقُ حِينَ يَسْرِقُ </w:t>
      </w:r>
      <w:r w:rsidRPr="00D10E3C">
        <w:rPr>
          <w:rStyle w:val="libFootnotenumChar"/>
          <w:rtl/>
        </w:rPr>
        <w:t>(4)</w:t>
      </w:r>
      <w:r>
        <w:rPr>
          <w:rtl/>
          <w:lang w:bidi="fa-IR"/>
        </w:rPr>
        <w:t xml:space="preserve"> وَهُوَ مُؤْمِنٌ ، وَلَا يَنْهَبُ نُهْبَةً </w:t>
      </w:r>
      <w:r w:rsidRPr="00D10E3C">
        <w:rPr>
          <w:rStyle w:val="libFootnotenumChar"/>
          <w:rtl/>
        </w:rPr>
        <w:t>(5)</w:t>
      </w:r>
      <w:r>
        <w:rPr>
          <w:rtl/>
          <w:lang w:bidi="fa-IR"/>
        </w:rPr>
        <w:t xml:space="preserve"> ذَاتَ سَرَفٍ </w:t>
      </w:r>
      <w:r w:rsidRPr="00D10E3C">
        <w:rPr>
          <w:rStyle w:val="libFootnotenumChar"/>
          <w:rtl/>
        </w:rPr>
        <w:t>(6)</w:t>
      </w:r>
      <w:r>
        <w:rPr>
          <w:rtl/>
          <w:lang w:bidi="fa-IR"/>
        </w:rPr>
        <w:t xml:space="preserve"> حِينَ يَنْهَبُهَا وَهُوَ مُؤْمِنٌ ».</w:t>
      </w:r>
    </w:p>
    <w:p w:rsidR="00744A1C" w:rsidRDefault="00744A1C" w:rsidP="00744A1C">
      <w:pPr>
        <w:pStyle w:val="libNormal"/>
        <w:rPr>
          <w:lang w:bidi="fa-IR"/>
        </w:rPr>
      </w:pPr>
      <w:r>
        <w:rPr>
          <w:rtl/>
          <w:lang w:bidi="fa-IR"/>
        </w:rPr>
        <w:t xml:space="preserve">قَالَ </w:t>
      </w:r>
      <w:r w:rsidRPr="00D10E3C">
        <w:rPr>
          <w:rStyle w:val="libFootnotenumChar"/>
          <w:rtl/>
        </w:rPr>
        <w:t>(7)</w:t>
      </w:r>
      <w:r>
        <w:rPr>
          <w:rtl/>
          <w:lang w:bidi="fa-IR"/>
        </w:rPr>
        <w:t xml:space="preserve"> ابْنُ سِنَانٍ : قُلْتُ لِأَبِي الْجَارُودِ : وَمَا نُهْبَةٌ ذَاتُ سَرَفٍ </w:t>
      </w:r>
      <w:r w:rsidRPr="00D10E3C">
        <w:rPr>
          <w:rStyle w:val="libFootnotenumChar"/>
          <w:rtl/>
        </w:rPr>
        <w:t>(8)</w:t>
      </w:r>
      <w:r>
        <w:rPr>
          <w:rtl/>
          <w:lang w:bidi="fa-IR"/>
        </w:rPr>
        <w:t>؟</w:t>
      </w:r>
    </w:p>
    <w:p w:rsidR="00144FA6" w:rsidRDefault="00744A1C" w:rsidP="00744A1C">
      <w:pPr>
        <w:pStyle w:val="libNormal"/>
        <w:rPr>
          <w:rtl/>
          <w:lang w:bidi="fa-IR"/>
        </w:rPr>
      </w:pPr>
      <w:r>
        <w:rPr>
          <w:rtl/>
          <w:lang w:bidi="fa-IR"/>
        </w:rPr>
        <w:t xml:space="preserve">قَالَ </w:t>
      </w:r>
      <w:r w:rsidRPr="00D10E3C">
        <w:rPr>
          <w:rStyle w:val="libFootnotenumChar"/>
          <w:rtl/>
        </w:rPr>
        <w:t>(9)</w:t>
      </w:r>
      <w:r>
        <w:rPr>
          <w:rtl/>
          <w:lang w:bidi="fa-IR"/>
        </w:rPr>
        <w:t xml:space="preserve"> : نَحْوُ مَا صَنَعَ حَاتِمٌ حِينَ قَالَ : مَنْ أَخَذَ شَيْئاً فَهُوَ لَهُ.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بح ، جد ، جن » : « فتقيّأ ». وفي « بح ، بس » : « فقاءه ». وفي </w:t>
      </w:r>
      <w:r w:rsidR="00744A1C" w:rsidRPr="006B722B">
        <w:rPr>
          <w:rtl/>
        </w:rPr>
        <w:t>الوافي والوسائل والبحار</w:t>
      </w:r>
      <w:r w:rsidR="00744A1C">
        <w:rPr>
          <w:rtl/>
          <w:lang w:bidi="fa-IR"/>
        </w:rPr>
        <w:t xml:space="preserve"> : « فتقيّأ فقاءه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17 ، ص 227 ، ح 17161 ؛ </w:t>
      </w:r>
      <w:r w:rsidR="00744A1C" w:rsidRPr="00C24F9C">
        <w:rPr>
          <w:rStyle w:val="libFootnoteBoldChar"/>
          <w:rtl/>
        </w:rPr>
        <w:t>الوسائل</w:t>
      </w:r>
      <w:r w:rsidR="00744A1C">
        <w:rPr>
          <w:rtl/>
          <w:lang w:bidi="fa-IR"/>
        </w:rPr>
        <w:t xml:space="preserve"> ، ج 17 ، ص 165 ، ح 22255 ؛ </w:t>
      </w:r>
      <w:r w:rsidR="00744A1C" w:rsidRPr="0061079A">
        <w:rPr>
          <w:rStyle w:val="libFootnoteBoldChar"/>
          <w:rtl/>
        </w:rPr>
        <w:t>البحار</w:t>
      </w:r>
      <w:r w:rsidR="00744A1C">
        <w:rPr>
          <w:rtl/>
          <w:lang w:bidi="fa-IR"/>
        </w:rPr>
        <w:t xml:space="preserve"> ، ج 48 ، ص 117 ، ح 32.</w:t>
      </w:r>
    </w:p>
    <w:tbl>
      <w:tblPr>
        <w:tblStyle w:val="TableGrid"/>
        <w:bidiVisual/>
        <w:tblW w:w="0" w:type="auto"/>
        <w:tblLook w:val="04A0" w:firstRow="1" w:lastRow="0" w:firstColumn="1" w:lastColumn="0" w:noHBand="0" w:noVBand="1"/>
      </w:tblPr>
      <w:tblGrid>
        <w:gridCol w:w="4006"/>
        <w:gridCol w:w="4006"/>
      </w:tblGrid>
      <w:tr w:rsidR="006B722B" w:rsidTr="006B722B">
        <w:tc>
          <w:tcPr>
            <w:tcW w:w="4006" w:type="dxa"/>
          </w:tcPr>
          <w:p w:rsidR="006B722B" w:rsidRDefault="006B722B" w:rsidP="00E378DD">
            <w:pPr>
              <w:pStyle w:val="libFootnote0"/>
              <w:rPr>
                <w:rtl/>
                <w:lang w:bidi="fa-IR"/>
              </w:rPr>
            </w:pPr>
            <w:r>
              <w:rPr>
                <w:rtl/>
                <w:lang w:bidi="fa-IR"/>
              </w:rPr>
              <w:t>(3). في « بف » : - « حين يزني ».</w:t>
            </w:r>
          </w:p>
        </w:tc>
        <w:tc>
          <w:tcPr>
            <w:tcW w:w="4006" w:type="dxa"/>
          </w:tcPr>
          <w:p w:rsidR="006B722B" w:rsidRDefault="006B722B" w:rsidP="00E378DD">
            <w:pPr>
              <w:pStyle w:val="libFootnote0"/>
              <w:rPr>
                <w:rtl/>
                <w:lang w:bidi="fa-IR"/>
              </w:rPr>
            </w:pPr>
            <w:r>
              <w:rPr>
                <w:rtl/>
                <w:lang w:bidi="fa-IR"/>
              </w:rPr>
              <w:t>(4). في « بف » : - « حين يسرق ».</w:t>
            </w:r>
          </w:p>
        </w:tc>
      </w:tr>
    </w:tbl>
    <w:p w:rsidR="00744A1C" w:rsidRDefault="00E378DD" w:rsidP="00E378DD">
      <w:pPr>
        <w:pStyle w:val="libFootnote0"/>
        <w:rPr>
          <w:lang w:bidi="fa-IR"/>
        </w:rPr>
      </w:pPr>
      <w:r>
        <w:rPr>
          <w:rtl/>
          <w:lang w:bidi="fa-IR"/>
        </w:rPr>
        <w:t>(5).</w:t>
      </w:r>
      <w:r w:rsidR="00744A1C">
        <w:rPr>
          <w:rtl/>
          <w:lang w:bidi="fa-IR"/>
        </w:rPr>
        <w:t xml:space="preserve"> قد مضى معنى النهبة ذيل عنوان الباب.</w:t>
      </w:r>
    </w:p>
    <w:p w:rsidR="00744A1C" w:rsidRDefault="00E378DD" w:rsidP="00E378DD">
      <w:pPr>
        <w:pStyle w:val="libFootnote0"/>
        <w:rPr>
          <w:lang w:bidi="fa-IR"/>
        </w:rPr>
      </w:pPr>
      <w:r>
        <w:rPr>
          <w:rtl/>
          <w:lang w:bidi="fa-IR"/>
        </w:rPr>
        <w:t>(6).</w:t>
      </w:r>
      <w:r w:rsidR="00744A1C">
        <w:rPr>
          <w:rtl/>
          <w:lang w:bidi="fa-IR"/>
        </w:rPr>
        <w:t xml:space="preserve"> هكذا في « ط ، بف » </w:t>
      </w:r>
      <w:r w:rsidR="00744A1C" w:rsidRPr="006B722B">
        <w:rPr>
          <w:rtl/>
        </w:rPr>
        <w:t>والوافي</w:t>
      </w:r>
      <w:r w:rsidR="00744A1C">
        <w:rPr>
          <w:rtl/>
          <w:lang w:bidi="fa-IR"/>
        </w:rPr>
        <w:t>. وفي سائر النسخ وال</w:t>
      </w:r>
      <w:r w:rsidR="006B722B">
        <w:rPr>
          <w:rtl/>
          <w:lang w:bidi="fa-IR"/>
        </w:rPr>
        <w:t>مطبوع : « ذات شرف ». وقال العل</w:t>
      </w:r>
      <w:r w:rsidR="006B722B">
        <w:rPr>
          <w:rFonts w:hint="cs"/>
          <w:rtl/>
          <w:lang w:bidi="fa-IR"/>
        </w:rPr>
        <w:t>ّ</w:t>
      </w:r>
      <w:r w:rsidR="006B722B">
        <w:rPr>
          <w:rtl/>
          <w:lang w:bidi="fa-IR"/>
        </w:rPr>
        <w:t>ا</w:t>
      </w:r>
      <w:r w:rsidR="00744A1C">
        <w:rPr>
          <w:rtl/>
          <w:lang w:bidi="fa-IR"/>
        </w:rPr>
        <w:t xml:space="preserve">مة الفيض في </w:t>
      </w:r>
      <w:r w:rsidR="00744A1C" w:rsidRPr="00C24F9C">
        <w:rPr>
          <w:rStyle w:val="libFootnoteBoldChar"/>
          <w:rtl/>
        </w:rPr>
        <w:t>الوافي</w:t>
      </w:r>
      <w:r w:rsidR="00744A1C">
        <w:rPr>
          <w:rtl/>
          <w:lang w:bidi="fa-IR"/>
        </w:rPr>
        <w:t xml:space="preserve"> : « ذات سرف ، بالمهملة في النسخ التي رأيناها ، ومعناه ظاهر ، وبالمعجمة على رواية العامّة ، أي ذات قدر وقيمة واستشراف ورفعة يرفع الناس أبصارهم للنظر إليها ويستشرفونها. وقيل : الشرف هو المكان العالي ، أي لا يأخذ مال أحد قهراً ومكابرة وعياناً ، وهم ينظرون إليه ولا يقدرون على دفعه ، وهو خلاف ما يظهر من كلام أبي الجارود وتمثيله بفعل حاتم ».</w:t>
      </w:r>
    </w:p>
    <w:p w:rsidR="00744A1C" w:rsidRDefault="006B722B" w:rsidP="006B722B">
      <w:pPr>
        <w:pStyle w:val="libFootnote0"/>
        <w:rPr>
          <w:lang w:bidi="fa-IR"/>
        </w:rPr>
      </w:pPr>
      <w:r>
        <w:rPr>
          <w:rtl/>
          <w:lang w:bidi="fa-IR"/>
        </w:rPr>
        <w:t>وقال العل</w:t>
      </w:r>
      <w:r>
        <w:rPr>
          <w:rFonts w:hint="cs"/>
          <w:rtl/>
          <w:lang w:bidi="fa-IR"/>
        </w:rPr>
        <w:t>ّ</w:t>
      </w:r>
      <w:r>
        <w:rPr>
          <w:rtl/>
          <w:lang w:bidi="fa-IR"/>
        </w:rPr>
        <w:t>ا</w:t>
      </w:r>
      <w:r w:rsidR="00744A1C">
        <w:rPr>
          <w:rtl/>
          <w:lang w:bidi="fa-IR"/>
        </w:rPr>
        <w:t xml:space="preserve">مة المجلسي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ذات شرف ، أي ذات قدر وقيمة ورفعة يرفع الناس أبصارهم بالنظر إليها ويستشرفونها ، كذا في </w:t>
      </w:r>
      <w:r w:rsidR="00744A1C" w:rsidRPr="00877682">
        <w:rPr>
          <w:rStyle w:val="libFootnoteBoldChar"/>
          <w:rtl/>
        </w:rPr>
        <w:t>النهاية</w:t>
      </w:r>
      <w:r w:rsidR="00744A1C">
        <w:rPr>
          <w:rtl/>
          <w:lang w:bidi="fa-IR"/>
        </w:rPr>
        <w:t xml:space="preserve">. وفي أكثر نسخ </w:t>
      </w:r>
      <w:r w:rsidR="00744A1C" w:rsidRPr="00C24F9C">
        <w:rPr>
          <w:rStyle w:val="libFootnoteBoldChar"/>
          <w:rtl/>
        </w:rPr>
        <w:t>التهذيب</w:t>
      </w:r>
      <w:r w:rsidR="00744A1C">
        <w:rPr>
          <w:rtl/>
          <w:lang w:bidi="fa-IR"/>
        </w:rPr>
        <w:t xml:space="preserve"> بالسين المهملة من الإسراف ، والتفسير الذي في الخبر أشدّ انطباقاً عليه ، وأورده في </w:t>
      </w:r>
      <w:r w:rsidR="00744A1C" w:rsidRPr="006B722B">
        <w:rPr>
          <w:rStyle w:val="libFootnoteBoldChar"/>
          <w:rtl/>
        </w:rPr>
        <w:t>القاموس</w:t>
      </w:r>
      <w:r w:rsidR="00744A1C">
        <w:rPr>
          <w:rtl/>
          <w:lang w:bidi="fa-IR"/>
        </w:rPr>
        <w:t xml:space="preserve"> بالسين » ، ثمّ نقل عن </w:t>
      </w:r>
      <w:r>
        <w:rPr>
          <w:rtl/>
          <w:lang w:bidi="fa-IR"/>
        </w:rPr>
        <w:t>الطيّبي ما يقرب ممّا نسبه العل</w:t>
      </w:r>
      <w:r>
        <w:rPr>
          <w:rFonts w:hint="cs"/>
          <w:rtl/>
          <w:lang w:bidi="fa-IR"/>
        </w:rPr>
        <w:t>ّ</w:t>
      </w:r>
      <w:r>
        <w:rPr>
          <w:rtl/>
          <w:lang w:bidi="fa-IR"/>
        </w:rPr>
        <w:t>ا</w:t>
      </w:r>
      <w:r w:rsidR="00744A1C">
        <w:rPr>
          <w:rtl/>
          <w:lang w:bidi="fa-IR"/>
        </w:rPr>
        <w:t xml:space="preserve">مة الفيض إلى القيل. وراجع : </w:t>
      </w:r>
      <w:r w:rsidR="00744A1C" w:rsidRPr="00877682">
        <w:rPr>
          <w:rStyle w:val="libFootnoteBoldChar"/>
          <w:rtl/>
        </w:rPr>
        <w:t>النهاية</w:t>
      </w:r>
      <w:r w:rsidR="00744A1C">
        <w:rPr>
          <w:rtl/>
          <w:lang w:bidi="fa-IR"/>
        </w:rPr>
        <w:t xml:space="preserve"> ، ج 2 ، ص 461 ( شرف ) ؛ </w:t>
      </w:r>
      <w:r w:rsidR="00744A1C" w:rsidRPr="008A57EB">
        <w:rPr>
          <w:rStyle w:val="libFootnoteBoldChar"/>
          <w:rtl/>
        </w:rPr>
        <w:t>القاموس المحيط</w:t>
      </w:r>
      <w:r w:rsidR="00744A1C">
        <w:rPr>
          <w:rtl/>
          <w:lang w:bidi="fa-IR"/>
        </w:rPr>
        <w:t xml:space="preserve"> ، ج 2 ، ص 1091 ( سرف ) ، وفيه : « وروي بالشين أيضاً ».</w:t>
      </w:r>
      <w:r>
        <w:rPr>
          <w:rFonts w:hint="cs"/>
          <w:rtl/>
          <w:lang w:bidi="fa-IR"/>
        </w:rPr>
        <w:t xml:space="preserve">                    </w:t>
      </w:r>
      <w:r w:rsidR="00955510">
        <w:rPr>
          <w:rFonts w:hint="cs"/>
          <w:rtl/>
          <w:lang w:bidi="fa-IR"/>
        </w:rPr>
        <w:t xml:space="preserve">                     </w:t>
      </w:r>
      <w:r>
        <w:rPr>
          <w:rFonts w:hint="cs"/>
          <w:rtl/>
          <w:lang w:bidi="fa-IR"/>
        </w:rPr>
        <w:t xml:space="preserve">   </w:t>
      </w:r>
      <w:r w:rsidR="00E378DD">
        <w:rPr>
          <w:rtl/>
          <w:lang w:bidi="fa-IR"/>
        </w:rPr>
        <w:t>(7).</w:t>
      </w:r>
      <w:r w:rsidR="00744A1C">
        <w:rPr>
          <w:rtl/>
          <w:lang w:bidi="fa-IR"/>
        </w:rPr>
        <w:t xml:space="preserve"> في « بس » : « وقال ».</w:t>
      </w:r>
    </w:p>
    <w:p w:rsidR="00744A1C" w:rsidRDefault="00E378DD" w:rsidP="00E378DD">
      <w:pPr>
        <w:pStyle w:val="libFootnote0"/>
        <w:rPr>
          <w:lang w:bidi="fa-IR"/>
        </w:rPr>
      </w:pPr>
      <w:r>
        <w:rPr>
          <w:rtl/>
          <w:lang w:bidi="fa-IR"/>
        </w:rPr>
        <w:t>(8).</w:t>
      </w:r>
      <w:r w:rsidR="00744A1C">
        <w:rPr>
          <w:rtl/>
          <w:lang w:bidi="fa-IR"/>
        </w:rPr>
        <w:t xml:space="preserve"> هكذا في « ط ، بخ » وحاشية « بف ، جت » </w:t>
      </w:r>
      <w:r w:rsidR="00744A1C" w:rsidRPr="006B722B">
        <w:rPr>
          <w:rtl/>
        </w:rPr>
        <w:t>والوافي</w:t>
      </w:r>
      <w:r w:rsidR="00744A1C">
        <w:rPr>
          <w:rtl/>
          <w:lang w:bidi="fa-IR"/>
        </w:rPr>
        <w:t>. وفي سائر النسخ والمطبوع : « ذات شرف ».</w:t>
      </w:r>
    </w:p>
    <w:p w:rsidR="00744A1C" w:rsidRDefault="00E378DD" w:rsidP="00E378DD">
      <w:pPr>
        <w:pStyle w:val="libFootnote0"/>
        <w:rPr>
          <w:lang w:bidi="fa-IR"/>
        </w:rPr>
      </w:pPr>
      <w:r>
        <w:rPr>
          <w:rtl/>
          <w:lang w:bidi="fa-IR"/>
        </w:rPr>
        <w:t>(9).</w:t>
      </w:r>
      <w:r w:rsidR="00744A1C">
        <w:rPr>
          <w:rtl/>
          <w:lang w:bidi="fa-IR"/>
        </w:rPr>
        <w:t xml:space="preserve"> في « ط » : « فقال ».</w:t>
      </w:r>
    </w:p>
    <w:p w:rsidR="006B722B" w:rsidRDefault="00E378DD" w:rsidP="006B722B">
      <w:pPr>
        <w:pStyle w:val="libFootnote0"/>
        <w:rPr>
          <w:rtl/>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371 ، ح 1074 ، معلّقاً عن محمّد بن يحيى ، عن محمّد بن سنان. وراجع : </w:t>
      </w:r>
      <w:r w:rsidR="00744A1C" w:rsidRPr="0061079A">
        <w:rPr>
          <w:rStyle w:val="libFootnoteBoldChar"/>
          <w:rtl/>
        </w:rPr>
        <w:t>الكافي</w:t>
      </w:r>
      <w:r w:rsidR="00744A1C">
        <w:rPr>
          <w:rtl/>
          <w:lang w:bidi="fa-IR"/>
        </w:rPr>
        <w:t xml:space="preserve"> ، كتاب الإيمان والكفر ، باب ( غير معنون ) ، ح 1518 ؛ وباب الكبائر ، ح 2463 و 2464 ومصادره </w:t>
      </w:r>
      <w:r w:rsidR="006B722B">
        <w:rPr>
          <w:rFonts w:hint="cs"/>
          <w:rtl/>
          <w:lang w:bidi="fa-IR"/>
        </w:rPr>
        <w:t>.</w:t>
      </w:r>
      <w:r w:rsidR="00744A1C" w:rsidRPr="00C24F9C">
        <w:rPr>
          <w:rStyle w:val="libFootnoteBoldChar"/>
          <w:rtl/>
        </w:rPr>
        <w:t>الوافي</w:t>
      </w:r>
      <w:r w:rsidR="00744A1C">
        <w:rPr>
          <w:rtl/>
          <w:lang w:bidi="fa-IR"/>
        </w:rPr>
        <w:t xml:space="preserve"> ، ج 17 ، ص 233 ، ح 17181 ؛ </w:t>
      </w:r>
      <w:r w:rsidR="00744A1C" w:rsidRPr="00C24F9C">
        <w:rPr>
          <w:rStyle w:val="libFootnoteBoldChar"/>
          <w:rtl/>
        </w:rPr>
        <w:t>الوسائل</w:t>
      </w:r>
      <w:r w:rsidR="00744A1C">
        <w:rPr>
          <w:rtl/>
          <w:lang w:bidi="fa-IR"/>
        </w:rPr>
        <w:t xml:space="preserve"> ، ج 17 ، ص 169 ، ح 22270.</w:t>
      </w:r>
    </w:p>
    <w:p w:rsidR="006A5060" w:rsidRDefault="006A5060" w:rsidP="006B722B">
      <w:pPr>
        <w:pStyle w:val="libNormal"/>
        <w:rPr>
          <w:rtl/>
          <w:lang w:bidi="fa-IR"/>
        </w:rPr>
      </w:pPr>
      <w:r>
        <w:rPr>
          <w:rtl/>
          <w:lang w:bidi="fa-IR"/>
        </w:rPr>
        <w:br w:type="page"/>
      </w:r>
    </w:p>
    <w:p w:rsidR="00144FA6" w:rsidRDefault="00744A1C" w:rsidP="00744A1C">
      <w:pPr>
        <w:pStyle w:val="libNormal"/>
        <w:rPr>
          <w:rtl/>
          <w:lang w:bidi="fa-IR"/>
        </w:rPr>
      </w:pPr>
      <w:r>
        <w:rPr>
          <w:rtl/>
          <w:lang w:bidi="fa-IR"/>
        </w:rPr>
        <w:t>8571 / 5. مُحَمَّدُ بْنُ يَحْيى ، عَنْ مُحَمَّدِ بْنِ الْحُسَيْنِ ، عَنْ صَفْوَانَ ، عَنِ الْعَلَاءِ ، عَنْ مُحَمَّدِ بْنِ مُسْلِمٍ :</w:t>
      </w:r>
    </w:p>
    <w:p w:rsidR="00144FA6" w:rsidRDefault="00744A1C" w:rsidP="00744A1C">
      <w:pPr>
        <w:pStyle w:val="libNormal"/>
        <w:rPr>
          <w:rtl/>
          <w:lang w:bidi="fa-IR"/>
        </w:rPr>
      </w:pPr>
      <w:r>
        <w:rPr>
          <w:rtl/>
          <w:lang w:bidi="fa-IR"/>
        </w:rPr>
        <w:t xml:space="preserve">عَنْ أَحَدِهِمَا </w:t>
      </w:r>
      <w:r w:rsidR="008859AA" w:rsidRPr="008859AA">
        <w:rPr>
          <w:rStyle w:val="libAlaemChar"/>
          <w:rtl/>
        </w:rPr>
        <w:t>عليهما‌السلام</w:t>
      </w:r>
      <w:r>
        <w:rPr>
          <w:rtl/>
          <w:lang w:bidi="fa-IR"/>
        </w:rPr>
        <w:t xml:space="preserve">، قَالَ : « لَا تَصْلُحُ </w:t>
      </w:r>
      <w:r w:rsidRPr="00D10E3C">
        <w:rPr>
          <w:rStyle w:val="libFootnotenumChar"/>
          <w:rtl/>
        </w:rPr>
        <w:t>(1)</w:t>
      </w:r>
      <w:r>
        <w:rPr>
          <w:rtl/>
          <w:lang w:bidi="fa-IR"/>
        </w:rPr>
        <w:t xml:space="preserve"> الْمُقَامَرَةُ ، وَلَا النُّهْبَةُ ». </w:t>
      </w:r>
      <w:r w:rsidRPr="00D10E3C">
        <w:rPr>
          <w:rStyle w:val="libFootnotenumChar"/>
          <w:rtl/>
        </w:rPr>
        <w:t>(2)</w:t>
      </w:r>
    </w:p>
    <w:p w:rsidR="00144FA6" w:rsidRDefault="00744A1C" w:rsidP="00744A1C">
      <w:pPr>
        <w:pStyle w:val="libNormal"/>
        <w:rPr>
          <w:rtl/>
          <w:lang w:bidi="fa-IR"/>
        </w:rPr>
      </w:pPr>
      <w:r>
        <w:rPr>
          <w:rtl/>
          <w:lang w:bidi="fa-IR"/>
        </w:rPr>
        <w:t xml:space="preserve">8572 / 6. عَلِيُّ بْنُ إِبْرَاهِيمَ </w:t>
      </w:r>
      <w:r w:rsidRPr="00D10E3C">
        <w:rPr>
          <w:rStyle w:val="libFootnotenumChar"/>
          <w:rtl/>
        </w:rPr>
        <w:t>(3)</w:t>
      </w:r>
      <w:r>
        <w:rPr>
          <w:rtl/>
          <w:lang w:bidi="fa-IR"/>
        </w:rPr>
        <w:t xml:space="preserve">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كَانَ يَنْهى عَنِ الْجَوْزِ يَجِي‌ءُ بِهِ الصِّبْيَانُ مِنَ الْقِمَارِ أَنْ يُؤْكَلَ ، وَقَالَ : « هُوَ سُحْتٌ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 xml:space="preserve">8573 / 7. مُحَمَّدُ بْنُ يَحْيى </w:t>
      </w:r>
      <w:r w:rsidRPr="00D10E3C">
        <w:rPr>
          <w:rStyle w:val="libFootnotenumChar"/>
          <w:rtl/>
        </w:rPr>
        <w:t>(6)</w:t>
      </w:r>
      <w:r>
        <w:rPr>
          <w:rtl/>
          <w:lang w:bidi="fa-IR"/>
        </w:rPr>
        <w:t xml:space="preserve"> ، عَنِ الْعَمْرَكِيِّ بْنِ عَلِيٍّ ، عَنْ عَلِيِّ بْنِ جَعْفَرٍ :</w:t>
      </w:r>
    </w:p>
    <w:p w:rsidR="00744A1C" w:rsidRDefault="00744A1C" w:rsidP="00744A1C">
      <w:pPr>
        <w:pStyle w:val="libNormal"/>
        <w:rPr>
          <w:lang w:bidi="fa-IR"/>
        </w:rPr>
      </w:pPr>
      <w:r>
        <w:rPr>
          <w:rtl/>
          <w:lang w:bidi="fa-IR"/>
        </w:rPr>
        <w:t xml:space="preserve">عَنْ أَخِيهِ أَبِي الْحَسَنِ </w:t>
      </w:r>
      <w:r w:rsidR="0061079A" w:rsidRPr="0061079A">
        <w:rPr>
          <w:rStyle w:val="libAlaemChar"/>
          <w:rtl/>
        </w:rPr>
        <w:t>عليه‌السلام</w:t>
      </w:r>
      <w:r w:rsidR="00D10E3C">
        <w:rPr>
          <w:rtl/>
          <w:lang w:bidi="fa-IR"/>
        </w:rPr>
        <w:t xml:space="preserve"> </w:t>
      </w:r>
      <w:r>
        <w:rPr>
          <w:rtl/>
          <w:lang w:bidi="fa-IR"/>
        </w:rPr>
        <w:t xml:space="preserve">، قَالَ : سَأَلْتُهُ عَنِ النِّثَارِ مِنَ السُّكَّرِ وَاللَّوْزِ وَأَشْبَاهِهِ </w:t>
      </w:r>
      <w:r w:rsidRPr="00D10E3C">
        <w:rPr>
          <w:rStyle w:val="libFootnotenumChar"/>
          <w:rtl/>
        </w:rPr>
        <w:t>(7)</w:t>
      </w:r>
      <w:r>
        <w:rPr>
          <w:rtl/>
          <w:lang w:bidi="fa-IR"/>
        </w:rPr>
        <w:t xml:space="preserve"> : أَيَحِلُّ أَكْلُهُ؟</w:t>
      </w:r>
    </w:p>
    <w:p w:rsidR="00144FA6" w:rsidRDefault="00744A1C" w:rsidP="00744A1C">
      <w:pPr>
        <w:pStyle w:val="libNormal"/>
        <w:rPr>
          <w:rtl/>
          <w:lang w:bidi="fa-IR"/>
        </w:rPr>
      </w:pPr>
      <w:r>
        <w:rPr>
          <w:rtl/>
          <w:lang w:bidi="fa-IR"/>
        </w:rPr>
        <w:t xml:space="preserve">قَالَ : « يُكْرَهُ أَكْلُ </w:t>
      </w:r>
      <w:r w:rsidRPr="00D10E3C">
        <w:rPr>
          <w:rStyle w:val="libFootnotenumChar"/>
          <w:rtl/>
        </w:rPr>
        <w:t>(8)</w:t>
      </w:r>
      <w:r>
        <w:rPr>
          <w:rtl/>
          <w:lang w:bidi="fa-IR"/>
        </w:rPr>
        <w:t xml:space="preserve"> مَا </w:t>
      </w:r>
      <w:r w:rsidRPr="00D10E3C">
        <w:rPr>
          <w:rStyle w:val="libFootnotenumChar"/>
          <w:rtl/>
        </w:rPr>
        <w:t>(9)</w:t>
      </w:r>
      <w:r>
        <w:rPr>
          <w:rtl/>
          <w:lang w:bidi="fa-IR"/>
        </w:rPr>
        <w:t xml:space="preserve"> انْتُهِبَ </w:t>
      </w:r>
      <w:r w:rsidRPr="00D10E3C">
        <w:rPr>
          <w:rStyle w:val="libFootnotenumChar"/>
          <w:rtl/>
        </w:rPr>
        <w:t>(10)</w:t>
      </w:r>
      <w:r>
        <w:rPr>
          <w:rtl/>
          <w:lang w:bidi="fa-IR"/>
        </w:rPr>
        <w:t xml:space="preserve">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جن » : « لا يصلح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17 ، ص 234 ، ح 17182 ؛ </w:t>
      </w:r>
      <w:r w:rsidR="00744A1C" w:rsidRPr="00C24F9C">
        <w:rPr>
          <w:rStyle w:val="libFootnoteBoldChar"/>
          <w:rtl/>
        </w:rPr>
        <w:t>الوسائل</w:t>
      </w:r>
      <w:r w:rsidR="00744A1C">
        <w:rPr>
          <w:rtl/>
          <w:lang w:bidi="fa-IR"/>
        </w:rPr>
        <w:t xml:space="preserve"> ، ج 17 ، ص 165 ، ح 22258 ؛ وص 168 ، ح 22268.</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التهذيب</w:t>
      </w:r>
      <w:r w:rsidR="00744A1C">
        <w:rPr>
          <w:rtl/>
          <w:lang w:bidi="fa-IR"/>
        </w:rPr>
        <w:t xml:space="preserve"> : - « بن إبراهيم ».</w:t>
      </w:r>
    </w:p>
    <w:p w:rsidR="00744A1C" w:rsidRDefault="00E378DD" w:rsidP="00E378DD">
      <w:pPr>
        <w:pStyle w:val="libFootnote0"/>
        <w:rPr>
          <w:lang w:bidi="fa-IR"/>
        </w:rPr>
      </w:pPr>
      <w:r>
        <w:rPr>
          <w:rtl/>
          <w:lang w:bidi="fa-IR"/>
        </w:rPr>
        <w:t>(4).</w:t>
      </w:r>
      <w:r w:rsidR="00744A1C">
        <w:rPr>
          <w:rtl/>
          <w:lang w:bidi="fa-IR"/>
        </w:rPr>
        <w:t xml:space="preserve"> السحت : الحرام ، وقال ابن الأثير : « السحت : الحرام الذي لا يحلّ كسبه </w:t>
      </w:r>
      <w:r w:rsidR="00866C84">
        <w:rPr>
          <w:rtl/>
          <w:lang w:bidi="fa-IR"/>
        </w:rPr>
        <w:t>؛ لأنّه يسحت البركة ، أي يذهبها</w:t>
      </w:r>
      <w:r w:rsidR="00744A1C">
        <w:rPr>
          <w:rtl/>
          <w:lang w:bidi="fa-IR"/>
        </w:rPr>
        <w:t xml:space="preserve">». راجع : </w:t>
      </w:r>
      <w:r w:rsidR="00744A1C" w:rsidRPr="00E978C3">
        <w:rPr>
          <w:rStyle w:val="libFootnoteBoldChar"/>
          <w:rtl/>
        </w:rPr>
        <w:t>الصحاح</w:t>
      </w:r>
      <w:r w:rsidR="00744A1C">
        <w:rPr>
          <w:rtl/>
          <w:lang w:bidi="fa-IR"/>
        </w:rPr>
        <w:t xml:space="preserve"> ، ج 1 ، ص 252 ؛ </w:t>
      </w:r>
      <w:r w:rsidR="00744A1C" w:rsidRPr="00877682">
        <w:rPr>
          <w:rStyle w:val="libFootnoteBoldChar"/>
          <w:rtl/>
        </w:rPr>
        <w:t>النهاية</w:t>
      </w:r>
      <w:r w:rsidR="00744A1C">
        <w:rPr>
          <w:rtl/>
          <w:lang w:bidi="fa-IR"/>
        </w:rPr>
        <w:t xml:space="preserve"> ، ج 2 ، ص 345 ( سحت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370 ، ح 1070 ، معلّقاً عن الكليني. </w:t>
      </w:r>
      <w:r w:rsidR="00744A1C" w:rsidRPr="00C24F9C">
        <w:rPr>
          <w:rStyle w:val="libFootnoteBoldChar"/>
          <w:rtl/>
        </w:rPr>
        <w:t>الفقيه</w:t>
      </w:r>
      <w:r w:rsidR="00744A1C">
        <w:rPr>
          <w:rtl/>
          <w:lang w:bidi="fa-IR"/>
        </w:rPr>
        <w:t xml:space="preserve"> ، ج 3 ، ص 161 ، ح 3588 ، معلّقاً عن السكوني ، عن أبي عبد الله ، عن أبيه </w:t>
      </w:r>
      <w:r w:rsidR="00F112A7" w:rsidRPr="00CE5A92">
        <w:rPr>
          <w:rStyle w:val="libFootnoteAlaemChar"/>
          <w:rtl/>
        </w:rPr>
        <w:t>عليهما‌السلام</w:t>
      </w:r>
      <w:r w:rsidR="00744A1C">
        <w:rPr>
          <w:rtl/>
          <w:lang w:bidi="fa-IR"/>
        </w:rPr>
        <w:t xml:space="preserve">. </w:t>
      </w:r>
      <w:r w:rsidR="00744A1C" w:rsidRPr="00A914B5">
        <w:rPr>
          <w:rStyle w:val="libFootnoteBoldChar"/>
          <w:rtl/>
        </w:rPr>
        <w:t>تفسير العيّاشي</w:t>
      </w:r>
      <w:r w:rsidR="00744A1C">
        <w:rPr>
          <w:rtl/>
          <w:lang w:bidi="fa-IR"/>
        </w:rPr>
        <w:t xml:space="preserve"> ، ج 1 ، ص 322 ، ح 116 ، عن السكوني ، عن أبي جعفر ، عن أبيه </w:t>
      </w:r>
      <w:r w:rsidR="00F112A7" w:rsidRPr="00CE5A92">
        <w:rPr>
          <w:rStyle w:val="libFootnoteAlaemChar"/>
          <w:rtl/>
        </w:rPr>
        <w:t>عليهما‌السلام</w:t>
      </w:r>
      <w:r w:rsidR="00744A1C">
        <w:rPr>
          <w:rtl/>
          <w:lang w:bidi="fa-IR"/>
        </w:rPr>
        <w:t xml:space="preserve">. راجع : </w:t>
      </w:r>
      <w:r w:rsidR="00744A1C" w:rsidRPr="00C24F9C">
        <w:rPr>
          <w:rStyle w:val="libFootnoteBoldChar"/>
          <w:rtl/>
        </w:rPr>
        <w:t>الفقيه</w:t>
      </w:r>
      <w:r w:rsidR="00744A1C">
        <w:rPr>
          <w:rtl/>
          <w:lang w:bidi="fa-IR"/>
        </w:rPr>
        <w:t xml:space="preserve"> ، ج 4 ، ص 58 ، ح 5093 ؛ </w:t>
      </w:r>
      <w:r w:rsidR="00744A1C" w:rsidRPr="00866C84">
        <w:rPr>
          <w:rStyle w:val="libFootnoteBoldChar"/>
          <w:rtl/>
        </w:rPr>
        <w:t>وفق</w:t>
      </w:r>
      <w:r w:rsidR="00744A1C" w:rsidRPr="003A7143">
        <w:rPr>
          <w:rStyle w:val="libFootnoteBoldChar"/>
          <w:rtl/>
        </w:rPr>
        <w:t>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284 </w:t>
      </w:r>
      <w:r w:rsidR="00866C84">
        <w:rPr>
          <w:rFonts w:hint="cs"/>
          <w:rtl/>
          <w:lang w:bidi="fa-IR"/>
        </w:rPr>
        <w:t>.</w:t>
      </w:r>
      <w:r w:rsidR="00744A1C" w:rsidRPr="00C24F9C">
        <w:rPr>
          <w:rStyle w:val="libFootnoteBoldChar"/>
          <w:rtl/>
        </w:rPr>
        <w:t>الوافي</w:t>
      </w:r>
      <w:r w:rsidR="00744A1C">
        <w:rPr>
          <w:rtl/>
          <w:lang w:bidi="fa-IR"/>
        </w:rPr>
        <w:t xml:space="preserve"> ، ج 17 ، ص 226 ، ح 17160 ؛ </w:t>
      </w:r>
      <w:r w:rsidR="00744A1C" w:rsidRPr="00C24F9C">
        <w:rPr>
          <w:rStyle w:val="libFootnoteBoldChar"/>
          <w:rtl/>
        </w:rPr>
        <w:t>الوسائل</w:t>
      </w:r>
      <w:r w:rsidR="00744A1C">
        <w:rPr>
          <w:rtl/>
          <w:lang w:bidi="fa-IR"/>
        </w:rPr>
        <w:t xml:space="preserve"> ، ج 17 ، ص 166 ، ح 22259.</w:t>
      </w:r>
    </w:p>
    <w:p w:rsidR="00744A1C" w:rsidRDefault="00E378DD" w:rsidP="00E378DD">
      <w:pPr>
        <w:pStyle w:val="libFootnote0"/>
        <w:rPr>
          <w:lang w:bidi="fa-IR"/>
        </w:rPr>
      </w:pPr>
      <w:r>
        <w:rPr>
          <w:rtl/>
          <w:lang w:bidi="fa-IR"/>
        </w:rPr>
        <w:t>(6).</w:t>
      </w:r>
      <w:r w:rsidR="00744A1C">
        <w:rPr>
          <w:rtl/>
          <w:lang w:bidi="fa-IR"/>
        </w:rPr>
        <w:t xml:space="preserve"> في « ط ، ى ، جد » : - « بن يحيى ».</w:t>
      </w:r>
    </w:p>
    <w:p w:rsidR="00744A1C" w:rsidRDefault="00E378DD" w:rsidP="00E378DD">
      <w:pPr>
        <w:pStyle w:val="libFootnote0"/>
        <w:rPr>
          <w:lang w:bidi="fa-IR"/>
        </w:rPr>
      </w:pPr>
      <w:r>
        <w:rPr>
          <w:rtl/>
          <w:lang w:bidi="fa-IR"/>
        </w:rPr>
        <w:t>(7).</w:t>
      </w:r>
      <w:r w:rsidR="00744A1C">
        <w:rPr>
          <w:rtl/>
          <w:lang w:bidi="fa-IR"/>
        </w:rPr>
        <w:t xml:space="preserve"> في مسائل عليّ بن جعفر : « النشر للسكر في العرس أو غيره » بدل « النثار من السكر واللوز وأشباهه ».</w:t>
      </w:r>
    </w:p>
    <w:tbl>
      <w:tblPr>
        <w:tblStyle w:val="TableGrid"/>
        <w:bidiVisual/>
        <w:tblW w:w="0" w:type="auto"/>
        <w:tblLook w:val="04A0" w:firstRow="1" w:lastRow="0" w:firstColumn="1" w:lastColumn="0" w:noHBand="0" w:noVBand="1"/>
      </w:tblPr>
      <w:tblGrid>
        <w:gridCol w:w="4006"/>
        <w:gridCol w:w="4006"/>
      </w:tblGrid>
      <w:tr w:rsidR="00866C84" w:rsidTr="00866C84">
        <w:tc>
          <w:tcPr>
            <w:tcW w:w="4006" w:type="dxa"/>
          </w:tcPr>
          <w:p w:rsidR="00866C84" w:rsidRDefault="00866C84" w:rsidP="00E378DD">
            <w:pPr>
              <w:pStyle w:val="libFootnote0"/>
              <w:rPr>
                <w:rtl/>
                <w:lang w:bidi="fa-IR"/>
              </w:rPr>
            </w:pPr>
            <w:r>
              <w:rPr>
                <w:rtl/>
                <w:lang w:bidi="fa-IR"/>
              </w:rPr>
              <w:t>(8). في « ط » : « كلّ ».</w:t>
            </w:r>
          </w:p>
        </w:tc>
        <w:tc>
          <w:tcPr>
            <w:tcW w:w="4006" w:type="dxa"/>
          </w:tcPr>
          <w:p w:rsidR="00866C84" w:rsidRDefault="00866C84" w:rsidP="00E378DD">
            <w:pPr>
              <w:pStyle w:val="libFootnote0"/>
              <w:rPr>
                <w:rtl/>
                <w:lang w:bidi="fa-IR"/>
              </w:rPr>
            </w:pPr>
            <w:r>
              <w:rPr>
                <w:rtl/>
                <w:lang w:bidi="fa-IR"/>
              </w:rPr>
              <w:t xml:space="preserve">(9). في «بخ ،بف » </w:t>
            </w:r>
            <w:r w:rsidRPr="00866C84">
              <w:rPr>
                <w:rtl/>
              </w:rPr>
              <w:t>والوافي</w:t>
            </w:r>
            <w:r>
              <w:rPr>
                <w:rtl/>
                <w:lang w:bidi="fa-IR"/>
              </w:rPr>
              <w:t xml:space="preserve"> : «كلّما» بدل «أكل ما».</w:t>
            </w:r>
          </w:p>
        </w:tc>
      </w:tr>
    </w:tbl>
    <w:p w:rsidR="00744A1C" w:rsidRDefault="00E378DD" w:rsidP="00E378DD">
      <w:pPr>
        <w:pStyle w:val="libFootnote0"/>
        <w:rPr>
          <w:lang w:bidi="fa-IR"/>
        </w:rPr>
      </w:pPr>
      <w:r>
        <w:rPr>
          <w:rtl/>
          <w:lang w:bidi="fa-IR"/>
        </w:rPr>
        <w:t>(10).</w:t>
      </w:r>
      <w:r w:rsidR="00744A1C">
        <w:rPr>
          <w:rtl/>
          <w:lang w:bidi="fa-IR"/>
        </w:rPr>
        <w:t xml:space="preserve"> في « بخ » : « انتهبت ». وفي </w:t>
      </w:r>
      <w:r w:rsidR="00744A1C" w:rsidRPr="00C24F9C">
        <w:rPr>
          <w:rStyle w:val="libFootnoteBoldChar"/>
          <w:rtl/>
        </w:rPr>
        <w:t>المرآة</w:t>
      </w:r>
      <w:r w:rsidR="00744A1C">
        <w:rPr>
          <w:rtl/>
          <w:lang w:bidi="fa-IR"/>
        </w:rPr>
        <w:t xml:space="preserve"> : « المشهور بين الأصحاب أنّه يجوز النثر ، وقيل : يكره ويجوز الأكل منه بشاهد الحال ، ولا يجوز أ</w:t>
      </w:r>
      <w:r w:rsidR="00866C84">
        <w:rPr>
          <w:rtl/>
          <w:lang w:bidi="fa-IR"/>
        </w:rPr>
        <w:t>خذه من غير أن يؤكل في محلّه إل</w:t>
      </w:r>
      <w:r w:rsidR="00866C84">
        <w:rPr>
          <w:rFonts w:hint="cs"/>
          <w:rtl/>
          <w:lang w:bidi="fa-IR"/>
        </w:rPr>
        <w:t>ّ</w:t>
      </w:r>
      <w:r w:rsidR="00866C84">
        <w:rPr>
          <w:rtl/>
          <w:lang w:bidi="fa-IR"/>
        </w:rPr>
        <w:t>ا</w:t>
      </w:r>
      <w:r w:rsidR="00866C84">
        <w:rPr>
          <w:rFonts w:hint="cs"/>
          <w:rtl/>
          <w:lang w:bidi="fa-IR"/>
        </w:rPr>
        <w:t xml:space="preserve"> </w:t>
      </w:r>
      <w:r w:rsidR="00744A1C">
        <w:rPr>
          <w:rtl/>
          <w:lang w:bidi="fa-IR"/>
        </w:rPr>
        <w:t>بإذن أربابه صريحاً أو بشاهد الحال ».</w:t>
      </w:r>
    </w:p>
    <w:p w:rsidR="00144FA6" w:rsidRDefault="00E378DD" w:rsidP="00E378DD">
      <w:pPr>
        <w:pStyle w:val="libFootnote0"/>
        <w:rPr>
          <w:rtl/>
          <w:lang w:bidi="fa-IR"/>
        </w:rPr>
      </w:pPr>
      <w:r>
        <w:rPr>
          <w:rtl/>
          <w:lang w:bidi="fa-IR"/>
        </w:rPr>
        <w:t>(11).</w:t>
      </w:r>
      <w:r w:rsidR="00744A1C">
        <w:rPr>
          <w:rtl/>
          <w:lang w:bidi="fa-IR"/>
        </w:rPr>
        <w:t xml:space="preserve"> مسائل عليّ بن جعفر ، ص 139. وفي </w:t>
      </w:r>
      <w:r w:rsidR="00744A1C" w:rsidRPr="00C24F9C">
        <w:rPr>
          <w:rStyle w:val="libFootnoteBoldChar"/>
          <w:rtl/>
        </w:rPr>
        <w:t>التهذيب</w:t>
      </w:r>
      <w:r w:rsidR="00744A1C">
        <w:rPr>
          <w:rtl/>
          <w:lang w:bidi="fa-IR"/>
        </w:rPr>
        <w:t xml:space="preserve"> ، ج 6 ، ص 370 ، ح 1072 ، معلّقاً عن الكليني. </w:t>
      </w:r>
      <w:r w:rsidR="00744A1C" w:rsidRPr="00866C84">
        <w:rPr>
          <w:rStyle w:val="libFootnoteBoldChar"/>
          <w:rtl/>
        </w:rPr>
        <w:t>الاستبصار</w:t>
      </w:r>
      <w:r w:rsidR="00744A1C">
        <w:rPr>
          <w:rtl/>
          <w:lang w:bidi="fa-IR"/>
        </w:rPr>
        <w:t xml:space="preserve"> ، ج 3 ،</w:t>
      </w:r>
      <w:r w:rsidR="00866C84">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8574 / 8. عِدَّةٌ مِنْ أَصْحَابِنَا ، عَنْ أَحْمَدَ بْنِ أَبِي عَبْدِ اللهِ ، عَنْ مُحَمَّدِ بْنِ عَلِيٍّ ، عَنْ عَبْدِ‌ اللهِ بْنِ جَبَلَةَ ، عَنْ إِسْحَاقَ بْنِ عَمَّارٍ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الْإِمْلَاكُ </w:t>
      </w:r>
      <w:r w:rsidRPr="00D10E3C">
        <w:rPr>
          <w:rStyle w:val="libFootnotenumChar"/>
          <w:rtl/>
        </w:rPr>
        <w:t>(1)</w:t>
      </w:r>
      <w:r>
        <w:rPr>
          <w:rtl/>
          <w:lang w:bidi="fa-IR"/>
        </w:rPr>
        <w:t xml:space="preserve"> يَكُونُ وَالْعُرْسُ ، فَيُنْثَرُ </w:t>
      </w:r>
      <w:r w:rsidRPr="00D10E3C">
        <w:rPr>
          <w:rStyle w:val="libFootnotenumChar"/>
          <w:rtl/>
        </w:rPr>
        <w:t>(2)</w:t>
      </w:r>
      <w:r>
        <w:rPr>
          <w:rtl/>
          <w:lang w:bidi="fa-IR"/>
        </w:rPr>
        <w:t xml:space="preserve"> عَلَى الْقَوْمِ؟</w:t>
      </w:r>
    </w:p>
    <w:p w:rsidR="00144FA6" w:rsidRDefault="00744A1C" w:rsidP="00744A1C">
      <w:pPr>
        <w:pStyle w:val="libNormal"/>
        <w:rPr>
          <w:rtl/>
          <w:lang w:bidi="fa-IR"/>
        </w:rPr>
      </w:pPr>
      <w:r>
        <w:rPr>
          <w:rtl/>
          <w:lang w:bidi="fa-IR"/>
        </w:rPr>
        <w:t xml:space="preserve">فَقَالَ : « حَرَامٌ ، وَلكِنْ </w:t>
      </w:r>
      <w:r w:rsidRPr="00D10E3C">
        <w:rPr>
          <w:rStyle w:val="libFootnotenumChar"/>
          <w:rtl/>
        </w:rPr>
        <w:t>(3)</w:t>
      </w:r>
      <w:r>
        <w:rPr>
          <w:rtl/>
          <w:lang w:bidi="fa-IR"/>
        </w:rPr>
        <w:t xml:space="preserve"> مَا أَعْطَوْكَ مِنْهُ فَخُذْهُ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8575 / 9. عِدَّةٌ مِنْ أَصْحَابِنَا ، عَنْ سَهْلِ بْنِ زِيَادٍ ، عَنِ الْوَشَّاءِ :</w:t>
      </w:r>
    </w:p>
    <w:p w:rsidR="00144FA6" w:rsidRDefault="00744A1C" w:rsidP="00744A1C">
      <w:pPr>
        <w:pStyle w:val="libNormal"/>
        <w:rPr>
          <w:rtl/>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سَمِعْتُهُ يَقُولُ : « </w:t>
      </w:r>
      <w:r w:rsidRPr="00866C84">
        <w:rPr>
          <w:rStyle w:val="libAlaemChar"/>
          <w:rtl/>
        </w:rPr>
        <w:t>(</w:t>
      </w:r>
      <w:r w:rsidRPr="00866C84">
        <w:rPr>
          <w:rStyle w:val="libAieChar"/>
          <w:rtl/>
        </w:rPr>
        <w:t xml:space="preserve"> الْمَيْسِرِ </w:t>
      </w:r>
      <w:r w:rsidRPr="00866C84">
        <w:rPr>
          <w:rStyle w:val="libAlaemChar"/>
          <w:rtl/>
        </w:rPr>
        <w:t>)</w:t>
      </w:r>
      <w:r>
        <w:rPr>
          <w:rtl/>
          <w:lang w:bidi="fa-IR"/>
        </w:rPr>
        <w:t xml:space="preserve"> </w:t>
      </w:r>
      <w:r w:rsidRPr="00D10E3C">
        <w:rPr>
          <w:rStyle w:val="libFootnotenumChar"/>
          <w:rtl/>
        </w:rPr>
        <w:t>(6)</w:t>
      </w:r>
      <w:r>
        <w:rPr>
          <w:rtl/>
          <w:lang w:bidi="fa-IR"/>
        </w:rPr>
        <w:t xml:space="preserve"> : هُوَ الْقِمَارُ </w:t>
      </w:r>
      <w:r w:rsidRPr="00D10E3C">
        <w:rPr>
          <w:rStyle w:val="libFootnotenumChar"/>
          <w:rtl/>
        </w:rPr>
        <w:t>(7)</w:t>
      </w:r>
      <w:r>
        <w:rPr>
          <w:rtl/>
          <w:lang w:bidi="fa-IR"/>
        </w:rPr>
        <w:t xml:space="preserve">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866C84" w:rsidP="00D10E3C">
      <w:pPr>
        <w:pStyle w:val="libFootnote0"/>
        <w:rPr>
          <w:lang w:bidi="fa-IR"/>
        </w:rPr>
      </w:pPr>
      <w:r>
        <w:rPr>
          <w:rFonts w:hint="cs"/>
          <w:rtl/>
          <w:lang w:bidi="fa-IR"/>
        </w:rPr>
        <w:t xml:space="preserve">= </w:t>
      </w:r>
      <w:r w:rsidR="00744A1C">
        <w:rPr>
          <w:rtl/>
          <w:lang w:bidi="fa-IR"/>
        </w:rPr>
        <w:t xml:space="preserve">ص 66 ، ح 221 ، معلّقاً عن محمّد بن يحيى. </w:t>
      </w:r>
      <w:r w:rsidR="00744A1C" w:rsidRPr="00877682">
        <w:rPr>
          <w:rStyle w:val="libFootnoteBoldChar"/>
          <w:rtl/>
        </w:rPr>
        <w:t>قرب الإسناد</w:t>
      </w:r>
      <w:r w:rsidR="00744A1C">
        <w:rPr>
          <w:rtl/>
          <w:lang w:bidi="fa-IR"/>
        </w:rPr>
        <w:t xml:space="preserve"> ، ص 273 ، ح 1087 ، بسنده عن عليّ بن جعفر. </w:t>
      </w:r>
      <w:r w:rsidR="00744A1C" w:rsidRPr="00C24F9C">
        <w:rPr>
          <w:rStyle w:val="libFootnoteBoldChar"/>
          <w:rtl/>
        </w:rPr>
        <w:t>الفقيه</w:t>
      </w:r>
      <w:r w:rsidR="00744A1C">
        <w:rPr>
          <w:rtl/>
          <w:lang w:bidi="fa-IR"/>
        </w:rPr>
        <w:t xml:space="preserve"> ، ج 3 ، ص 160 ، ح 3586 ، معلّقاً عن عليّ بن جعفر </w:t>
      </w:r>
      <w:r>
        <w:rPr>
          <w:rFonts w:hint="cs"/>
          <w:rtl/>
          <w:lang w:bidi="fa-IR"/>
        </w:rPr>
        <w:t>.</w:t>
      </w:r>
      <w:r w:rsidR="00744A1C" w:rsidRPr="00C24F9C">
        <w:rPr>
          <w:rStyle w:val="libFootnoteBoldChar"/>
          <w:rtl/>
        </w:rPr>
        <w:t>الوافي</w:t>
      </w:r>
      <w:r w:rsidR="00744A1C">
        <w:rPr>
          <w:rtl/>
          <w:lang w:bidi="fa-IR"/>
        </w:rPr>
        <w:t xml:space="preserve"> ، ج 17 ، ص 234 ، ح 17183 ؛ </w:t>
      </w:r>
      <w:r w:rsidR="00744A1C" w:rsidRPr="00C24F9C">
        <w:rPr>
          <w:rStyle w:val="libFootnoteBoldChar"/>
          <w:rtl/>
        </w:rPr>
        <w:t>الوسائل</w:t>
      </w:r>
      <w:r w:rsidR="00744A1C">
        <w:rPr>
          <w:rtl/>
          <w:lang w:bidi="fa-IR"/>
        </w:rPr>
        <w:t xml:space="preserve"> ، ج 17 ، ص 168 ، ح 22269.</w:t>
      </w:r>
    </w:p>
    <w:p w:rsidR="00744A1C" w:rsidRDefault="00D10E3C" w:rsidP="00866C84">
      <w:pPr>
        <w:pStyle w:val="libFootnote0"/>
        <w:rPr>
          <w:lang w:bidi="fa-IR"/>
        </w:rPr>
      </w:pPr>
      <w:r>
        <w:rPr>
          <w:rtl/>
          <w:lang w:bidi="fa-IR"/>
        </w:rPr>
        <w:t>(1).</w:t>
      </w:r>
      <w:r w:rsidR="00744A1C">
        <w:rPr>
          <w:rtl/>
          <w:lang w:bidi="fa-IR"/>
        </w:rPr>
        <w:t xml:space="preserve"> الإملاك : التزويج وعقد النكاح ، يقال : قد أملكنا فلاناً فلانةَ ، إذا زوّجناه إيّاها. راجع : </w:t>
      </w:r>
      <w:r w:rsidR="00744A1C" w:rsidRPr="00E978C3">
        <w:rPr>
          <w:rStyle w:val="libFootnoteBoldChar"/>
          <w:rtl/>
        </w:rPr>
        <w:t>الصحاح</w:t>
      </w:r>
      <w:r w:rsidR="00744A1C">
        <w:rPr>
          <w:rtl/>
          <w:lang w:bidi="fa-IR"/>
        </w:rPr>
        <w:t xml:space="preserve"> ، ج 4 ، ص 1610 ( ملك ).</w:t>
      </w:r>
      <w:r w:rsidR="00866C84">
        <w:rPr>
          <w:rFonts w:hint="cs"/>
          <w:rtl/>
          <w:lang w:bidi="fa-IR"/>
        </w:rPr>
        <w:t xml:space="preserve">                           </w:t>
      </w:r>
      <w:r w:rsidR="00E378DD">
        <w:rPr>
          <w:rtl/>
          <w:lang w:bidi="fa-IR"/>
        </w:rPr>
        <w:t>(2).</w:t>
      </w:r>
      <w:r w:rsidR="00744A1C">
        <w:rPr>
          <w:rtl/>
          <w:lang w:bidi="fa-IR"/>
        </w:rPr>
        <w:t xml:space="preserve"> في </w:t>
      </w:r>
      <w:r w:rsidR="00744A1C" w:rsidRPr="00866C84">
        <w:rPr>
          <w:rtl/>
        </w:rPr>
        <w:t>الوسائل</w:t>
      </w:r>
      <w:r w:rsidR="00744A1C">
        <w:rPr>
          <w:rtl/>
          <w:lang w:bidi="fa-IR"/>
        </w:rPr>
        <w:t xml:space="preserve"> : « فينثرون ».</w:t>
      </w:r>
    </w:p>
    <w:p w:rsidR="00744A1C" w:rsidRDefault="00E378DD" w:rsidP="00E378DD">
      <w:pPr>
        <w:pStyle w:val="libFootnote0"/>
        <w:rPr>
          <w:lang w:bidi="fa-IR"/>
        </w:rPr>
      </w:pPr>
      <w:r>
        <w:rPr>
          <w:rtl/>
          <w:lang w:bidi="fa-IR"/>
        </w:rPr>
        <w:t>(3).</w:t>
      </w:r>
      <w:r w:rsidR="00744A1C">
        <w:rPr>
          <w:rtl/>
          <w:lang w:bidi="fa-IR"/>
        </w:rPr>
        <w:t xml:space="preserve"> في </w:t>
      </w:r>
      <w:r w:rsidR="00744A1C" w:rsidRPr="00866C84">
        <w:rPr>
          <w:rtl/>
        </w:rPr>
        <w:t>التهذيب والاستبصار</w:t>
      </w:r>
      <w:r w:rsidR="00744A1C">
        <w:rPr>
          <w:rtl/>
          <w:lang w:bidi="fa-IR"/>
        </w:rPr>
        <w:t xml:space="preserve"> : + « كُلْ ».</w:t>
      </w:r>
    </w:p>
    <w:p w:rsidR="00744A1C" w:rsidRDefault="00E378DD" w:rsidP="00E378DD">
      <w:pPr>
        <w:pStyle w:val="libFootnote0"/>
        <w:rPr>
          <w:lang w:bidi="fa-IR"/>
        </w:rPr>
      </w:pPr>
      <w:r>
        <w:rPr>
          <w:rtl/>
          <w:lang w:bidi="fa-IR"/>
        </w:rPr>
        <w:t>(4).</w:t>
      </w:r>
      <w:r w:rsidR="00744A1C">
        <w:rPr>
          <w:rtl/>
          <w:lang w:bidi="fa-IR"/>
        </w:rPr>
        <w:t xml:space="preserve"> في « بح ، بخ ، بف » </w:t>
      </w:r>
      <w:r w:rsidR="00744A1C" w:rsidRPr="00866C84">
        <w:rPr>
          <w:rtl/>
        </w:rPr>
        <w:t>والوافي والوسائل</w:t>
      </w:r>
      <w:r w:rsidR="00744A1C">
        <w:rPr>
          <w:rtl/>
          <w:lang w:bidi="fa-IR"/>
        </w:rPr>
        <w:t xml:space="preserve"> : « فخذ ». وفي « ط » </w:t>
      </w:r>
      <w:r w:rsidR="00744A1C" w:rsidRPr="00866C84">
        <w:rPr>
          <w:rtl/>
        </w:rPr>
        <w:t>والتهذيب والاستبصار</w:t>
      </w:r>
      <w:r w:rsidR="00744A1C">
        <w:rPr>
          <w:rtl/>
          <w:lang w:bidi="fa-IR"/>
        </w:rPr>
        <w:t xml:space="preserve"> : - « فخذه ». وفي </w:t>
      </w:r>
      <w:r w:rsidR="00744A1C" w:rsidRPr="00C24F9C">
        <w:rPr>
          <w:rStyle w:val="libFootnoteBoldChar"/>
          <w:rtl/>
        </w:rPr>
        <w:t>المرآة</w:t>
      </w:r>
      <w:r w:rsidR="00744A1C">
        <w:rPr>
          <w:rtl/>
          <w:lang w:bidi="fa-IR"/>
        </w:rPr>
        <w:t xml:space="preserve"> : « حمل على الكراهة ، أو على عدم دلالة القرائن على الإذن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370 ، ح 1071 ؛ </w:t>
      </w:r>
      <w:r w:rsidR="00744A1C" w:rsidRPr="00C24F9C">
        <w:rPr>
          <w:rStyle w:val="libFootnoteBoldChar"/>
          <w:rtl/>
        </w:rPr>
        <w:t>والاستبصار</w:t>
      </w:r>
      <w:r w:rsidR="00744A1C">
        <w:rPr>
          <w:rtl/>
          <w:lang w:bidi="fa-IR"/>
        </w:rPr>
        <w:t xml:space="preserve"> ، ج 3 ، ص 66 ، ح 220 ، معلّقاً عن أحمد بن أبي عبدالله </w:t>
      </w:r>
      <w:r w:rsidR="00866C84">
        <w:rPr>
          <w:rFonts w:hint="cs"/>
          <w:rtl/>
          <w:lang w:bidi="fa-IR"/>
        </w:rPr>
        <w:t>.</w:t>
      </w:r>
      <w:r w:rsidR="00744A1C" w:rsidRPr="00C24F9C">
        <w:rPr>
          <w:rStyle w:val="libFootnoteBoldChar"/>
          <w:rtl/>
        </w:rPr>
        <w:t>الوافي</w:t>
      </w:r>
      <w:r w:rsidR="00744A1C">
        <w:rPr>
          <w:rtl/>
          <w:lang w:bidi="fa-IR"/>
        </w:rPr>
        <w:t xml:space="preserve"> ، ج 17 ، ص 234 ، ح 17184 ؛ </w:t>
      </w:r>
      <w:r w:rsidR="00744A1C" w:rsidRPr="00C24F9C">
        <w:rPr>
          <w:rStyle w:val="libFootnoteBoldChar"/>
          <w:rtl/>
        </w:rPr>
        <w:t>الوسائل</w:t>
      </w:r>
      <w:r w:rsidR="00744A1C">
        <w:rPr>
          <w:rtl/>
          <w:lang w:bidi="fa-IR"/>
        </w:rPr>
        <w:t xml:space="preserve"> ، ج 17 ، ص 169 ، ح 22271.</w:t>
      </w:r>
    </w:p>
    <w:p w:rsidR="00744A1C" w:rsidRDefault="00E378DD" w:rsidP="00E378DD">
      <w:pPr>
        <w:pStyle w:val="libFootnote0"/>
        <w:rPr>
          <w:lang w:bidi="fa-IR"/>
        </w:rPr>
      </w:pPr>
      <w:r>
        <w:rPr>
          <w:rtl/>
          <w:lang w:bidi="fa-IR"/>
        </w:rPr>
        <w:t>(6).</w:t>
      </w:r>
      <w:r w:rsidR="00744A1C">
        <w:rPr>
          <w:rtl/>
          <w:lang w:bidi="fa-IR"/>
        </w:rPr>
        <w:t xml:space="preserve"> المائدة </w:t>
      </w:r>
      <w:r w:rsidR="00866C84">
        <w:rPr>
          <w:rtl/>
          <w:lang w:bidi="fa-IR"/>
        </w:rPr>
        <w:t>(5)</w:t>
      </w:r>
      <w:r w:rsidR="00744A1C">
        <w:rPr>
          <w:rtl/>
          <w:lang w:bidi="fa-IR"/>
        </w:rPr>
        <w:t xml:space="preserve"> : 90.</w:t>
      </w:r>
    </w:p>
    <w:p w:rsidR="00744A1C" w:rsidRDefault="00E378DD" w:rsidP="00E378DD">
      <w:pPr>
        <w:pStyle w:val="libFootnote0"/>
        <w:rPr>
          <w:lang w:bidi="fa-IR"/>
        </w:rPr>
      </w:pPr>
      <w:r>
        <w:rPr>
          <w:rtl/>
          <w:lang w:bidi="fa-IR"/>
        </w:rPr>
        <w:t>(7).</w:t>
      </w:r>
      <w:r w:rsidR="00744A1C">
        <w:rPr>
          <w:rtl/>
          <w:lang w:bidi="fa-IR"/>
        </w:rPr>
        <w:t xml:space="preserve"> قال المحقّق الشعراني في هامش </w:t>
      </w:r>
      <w:r w:rsidR="00744A1C" w:rsidRPr="00866C84">
        <w:rPr>
          <w:rStyle w:val="libFootnoteBoldChar"/>
          <w:rtl/>
        </w:rPr>
        <w:t>الوافي</w:t>
      </w:r>
      <w:r w:rsidR="00744A1C">
        <w:rPr>
          <w:rtl/>
          <w:lang w:bidi="fa-IR"/>
        </w:rPr>
        <w:t xml:space="preserve"> : « قوله : الميسر هو القمار ، حرمة الميسر صريح الق</w:t>
      </w:r>
      <w:r w:rsidR="00866C84">
        <w:rPr>
          <w:rtl/>
          <w:lang w:bidi="fa-IR"/>
        </w:rPr>
        <w:t>رآن ، ولا يمكن أن يناقش فيه إل</w:t>
      </w:r>
      <w:r w:rsidR="00866C84">
        <w:rPr>
          <w:rFonts w:hint="cs"/>
          <w:rtl/>
          <w:lang w:bidi="fa-IR"/>
        </w:rPr>
        <w:t>ّ</w:t>
      </w:r>
      <w:r w:rsidR="00866C84">
        <w:rPr>
          <w:rtl/>
          <w:lang w:bidi="fa-IR"/>
        </w:rPr>
        <w:t>ا</w:t>
      </w:r>
      <w:r w:rsidR="00744A1C">
        <w:rPr>
          <w:rtl/>
          <w:lang w:bidi="fa-IR"/>
        </w:rPr>
        <w:t xml:space="preserve"> أنّ القمار المشهور بين العرب كان الاستقسام بالأزلام ، وهي القداح ، وكانوا يتفأّلون أيضاً بالقداح فيجعلون قدحاً أمراً ، وقدحاً نهياً ، وقدحاً ثالثاً لغواً ، لا أمر ولا نهي ويسمّونه : غفل ، ويأخذون أحدها بعد النيّة والدعاء عند أصنامهم ، نظير الاستخارة عند المسل</w:t>
      </w:r>
      <w:r w:rsidR="00866C84">
        <w:rPr>
          <w:rtl/>
          <w:lang w:bidi="fa-IR"/>
        </w:rPr>
        <w:t>مين ، وقد فعل ذلك امرؤ القيس لم</w:t>
      </w:r>
      <w:r w:rsidR="00866C84">
        <w:rPr>
          <w:rFonts w:hint="cs"/>
          <w:rtl/>
          <w:lang w:bidi="fa-IR"/>
        </w:rPr>
        <w:t>ـّ</w:t>
      </w:r>
      <w:r w:rsidR="00744A1C">
        <w:rPr>
          <w:rtl/>
          <w:lang w:bidi="fa-IR"/>
        </w:rPr>
        <w:t>ا أراد أخذ ثأر أبيه.</w:t>
      </w:r>
    </w:p>
    <w:p w:rsidR="00744A1C" w:rsidRDefault="00744A1C" w:rsidP="00D10E3C">
      <w:pPr>
        <w:pStyle w:val="libFootnote0"/>
        <w:rPr>
          <w:lang w:bidi="fa-IR"/>
        </w:rPr>
      </w:pPr>
      <w:r>
        <w:rPr>
          <w:rtl/>
          <w:lang w:bidi="fa-IR"/>
        </w:rPr>
        <w:t xml:space="preserve">وبالجملة حمل كثير من المخالفين الميسر على القمار بالأقداح فقط ، وهو باطل ؛ لأنّ الأزلام مذكورة بعد الميسر بالخصوص ، فلابدّ أن يكون الميسر غير الأزلام أو أعمّ منها. ومذهبنا أنّ كلّ ما تقومر عليه فهو ميسر ، ووافقنا أبو حنيفة ومالك ، وخالف الشافعي فمنع من النرد وجوّز الشطرنج ، ولا وجه له بعد صدق الميسر عليهما معاً ، وإن لم يصدق على أحدهما لا يصدق على الآخر ، والمنع عنهما بالخصوص وارد عن النبيّ </w:t>
      </w:r>
      <w:r w:rsidR="00024D6D" w:rsidRPr="00024D6D">
        <w:rPr>
          <w:rStyle w:val="libFootnoteAlaemChar"/>
          <w:rtl/>
        </w:rPr>
        <w:t>صلى‌الله‌عليه‌وآله</w:t>
      </w:r>
      <w:r w:rsidR="00D10E3C">
        <w:rPr>
          <w:rtl/>
          <w:lang w:bidi="fa-IR"/>
        </w:rPr>
        <w:t xml:space="preserve"> </w:t>
      </w:r>
      <w:r>
        <w:rPr>
          <w:rtl/>
          <w:lang w:bidi="fa-IR"/>
        </w:rPr>
        <w:t>».</w:t>
      </w:r>
    </w:p>
    <w:p w:rsidR="00144FA6" w:rsidRDefault="00E378DD" w:rsidP="00E378DD">
      <w:pPr>
        <w:pStyle w:val="libFootnote0"/>
        <w:rPr>
          <w:rtl/>
          <w:lang w:bidi="fa-IR"/>
        </w:rPr>
      </w:pPr>
      <w:r>
        <w:rPr>
          <w:rtl/>
          <w:lang w:bidi="fa-IR"/>
        </w:rPr>
        <w:t>(8).</w:t>
      </w:r>
      <w:r w:rsidR="00744A1C">
        <w:rPr>
          <w:rtl/>
          <w:lang w:bidi="fa-IR"/>
        </w:rPr>
        <w:t xml:space="preserve"> </w:t>
      </w:r>
      <w:r w:rsidR="00744A1C" w:rsidRPr="00A914B5">
        <w:rPr>
          <w:rStyle w:val="libFootnoteBoldChar"/>
          <w:rtl/>
        </w:rPr>
        <w:t>تفسير العيّاشي</w:t>
      </w:r>
      <w:r w:rsidR="00744A1C">
        <w:rPr>
          <w:rtl/>
          <w:lang w:bidi="fa-IR"/>
        </w:rPr>
        <w:t xml:space="preserve"> ، ج 1 ، ص 339 ، ح 181 ، عن أبي الحسن الرضا </w:t>
      </w:r>
      <w:r w:rsidR="0061079A" w:rsidRPr="0061079A">
        <w:rPr>
          <w:rStyle w:val="libFootnoteAlaemChar"/>
          <w:rtl/>
        </w:rPr>
        <w:t>عليه‌السلام</w:t>
      </w:r>
      <w:r w:rsidR="00D10E3C">
        <w:rPr>
          <w:rtl/>
          <w:lang w:bidi="fa-IR"/>
        </w:rPr>
        <w:t xml:space="preserve"> </w:t>
      </w:r>
      <w:r w:rsidR="00866C84">
        <w:rPr>
          <w:rFonts w:hint="cs"/>
          <w:rtl/>
          <w:lang w:bidi="fa-IR"/>
        </w:rPr>
        <w:t>.</w:t>
      </w:r>
      <w:r w:rsidR="00744A1C" w:rsidRPr="00C24F9C">
        <w:rPr>
          <w:rStyle w:val="libFootnoteBoldChar"/>
          <w:rtl/>
        </w:rPr>
        <w:t>الوافي</w:t>
      </w:r>
      <w:r w:rsidR="00744A1C">
        <w:rPr>
          <w:rtl/>
          <w:lang w:bidi="fa-IR"/>
        </w:rPr>
        <w:t xml:space="preserve"> ، ج 17 ، ص 226 ، ح 17158 ؛</w:t>
      </w:r>
      <w:r w:rsidR="00866C84">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8576 / 10. الْحُسَيْنُ بْنُ مُحَمَّدٍ ، عَنْ مُحَمَّدِ بْنِ أَحْمَدَ النَّهْدِيِّ ، عَنْ يَعْقُوبَ بْنِ يَزِيدَ ، عَنْ عَبْدِ اللهِ بْنِ جَبَلَةَ ، عَنْ إِسْحَاقَ بْنِ عَمَّارٍ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الصِّبْيَانُ يَلْعَبُونَ بِالْجَوْزِ وَالْبَيْضِ ، وَيُقَامِرُونَ </w:t>
      </w:r>
      <w:r w:rsidRPr="00D10E3C">
        <w:rPr>
          <w:rStyle w:val="libFootnotenumChar"/>
          <w:rtl/>
        </w:rPr>
        <w:t>(1)</w:t>
      </w:r>
      <w:r w:rsidR="00866C84" w:rsidRPr="00866C84">
        <w:rPr>
          <w:rFonts w:hint="cs"/>
          <w:rtl/>
        </w:rPr>
        <w:t>.</w:t>
      </w:r>
    </w:p>
    <w:p w:rsidR="00144FA6" w:rsidRDefault="00744A1C" w:rsidP="00744A1C">
      <w:pPr>
        <w:pStyle w:val="libNormal"/>
        <w:rPr>
          <w:rtl/>
          <w:lang w:bidi="fa-IR"/>
        </w:rPr>
      </w:pPr>
      <w:r>
        <w:rPr>
          <w:rtl/>
          <w:lang w:bidi="fa-IR"/>
        </w:rPr>
        <w:t xml:space="preserve">فَقَالَ : « لَا تَأْكُلْ مِنْهُ </w:t>
      </w:r>
      <w:r w:rsidRPr="00D10E3C">
        <w:rPr>
          <w:rStyle w:val="libFootnotenumChar"/>
          <w:rtl/>
        </w:rPr>
        <w:t>(2)</w:t>
      </w:r>
      <w:r>
        <w:rPr>
          <w:rtl/>
          <w:lang w:bidi="fa-IR"/>
        </w:rPr>
        <w:t xml:space="preserve"> ؛ فَإِنَّهُ حَرَامٌ ». </w:t>
      </w:r>
      <w:r w:rsidRPr="00D10E3C">
        <w:rPr>
          <w:rStyle w:val="libFootnotenumChar"/>
          <w:rtl/>
        </w:rPr>
        <w:t>(3)</w:t>
      </w:r>
    </w:p>
    <w:p w:rsidR="00744A1C" w:rsidRDefault="00744A1C" w:rsidP="00866C84">
      <w:pPr>
        <w:pStyle w:val="Heading2Center"/>
        <w:rPr>
          <w:lang w:bidi="fa-IR"/>
        </w:rPr>
      </w:pPr>
      <w:bookmarkStart w:id="164" w:name="_Toc49261462"/>
      <w:r>
        <w:rPr>
          <w:rtl/>
          <w:lang w:bidi="fa-IR"/>
        </w:rPr>
        <w:t>41 - بَابُ الْمَكَاسِبِ الْحَرَامِ‌</w:t>
      </w:r>
      <w:bookmarkEnd w:id="164"/>
    </w:p>
    <w:p w:rsidR="00144FA6" w:rsidRDefault="00744A1C" w:rsidP="00744A1C">
      <w:pPr>
        <w:pStyle w:val="libNormal"/>
        <w:rPr>
          <w:rtl/>
          <w:lang w:bidi="fa-IR"/>
        </w:rPr>
      </w:pPr>
      <w:r>
        <w:rPr>
          <w:rtl/>
          <w:lang w:bidi="fa-IR"/>
        </w:rPr>
        <w:t>8577 / 1. عِدَّةٌ مِنْ أَصْحَابِنَا ، عَنْ أَحْمَدَ بْنِ أَبِي عَبْدِ اللهِ ، عَنْ أَبِيهِ ، عَمَّنْ ذَكَرَهُ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5E465D" w:rsidRPr="005E465D">
        <w:rPr>
          <w:rStyle w:val="libAlaemChar"/>
          <w:rtl/>
        </w:rPr>
        <w:t>صلى‌الله‌عليه‌وآله</w:t>
      </w:r>
      <w:r w:rsidR="00D10E3C">
        <w:rPr>
          <w:rtl/>
          <w:lang w:bidi="fa-IR"/>
        </w:rPr>
        <w:t xml:space="preserve"> </w:t>
      </w:r>
      <w:r>
        <w:rPr>
          <w:rtl/>
          <w:lang w:bidi="fa-IR"/>
        </w:rPr>
        <w:t xml:space="preserve">: إِنَّ أَخْوَفَ مَا أَخَافُ عَلى أُمَّتِي مِنْ بَعْدِي </w:t>
      </w:r>
      <w:r w:rsidRPr="00D10E3C">
        <w:rPr>
          <w:rStyle w:val="libFootnotenumChar"/>
          <w:rtl/>
        </w:rPr>
        <w:t>(4)</w:t>
      </w:r>
      <w:r>
        <w:rPr>
          <w:rtl/>
          <w:lang w:bidi="fa-IR"/>
        </w:rPr>
        <w:t xml:space="preserve"> هذِهِ الْمَكَاسِبُ الْحَرَامُ ، وَالشَّهْوَةُ الْخَفِيَّةِ </w:t>
      </w:r>
      <w:r w:rsidRPr="00D10E3C">
        <w:rPr>
          <w:rStyle w:val="libFootnotenumChar"/>
          <w:rtl/>
        </w:rPr>
        <w:t>(5)</w:t>
      </w:r>
      <w:r>
        <w:rPr>
          <w:rtl/>
          <w:lang w:bidi="fa-IR"/>
        </w:rPr>
        <w:t xml:space="preserve"> ،</w:t>
      </w:r>
    </w:p>
    <w:p w:rsidR="00744A1C" w:rsidRDefault="00744A1C" w:rsidP="00D10E3C">
      <w:pPr>
        <w:pStyle w:val="libLine"/>
        <w:rPr>
          <w:lang w:bidi="fa-IR"/>
        </w:rPr>
      </w:pPr>
      <w:r>
        <w:rPr>
          <w:rtl/>
          <w:lang w:bidi="fa-IR"/>
        </w:rPr>
        <w:t>____________________</w:t>
      </w:r>
    </w:p>
    <w:p w:rsidR="00744A1C" w:rsidRDefault="00866C84" w:rsidP="00D10E3C">
      <w:pPr>
        <w:pStyle w:val="libFootnote0"/>
        <w:rPr>
          <w:lang w:bidi="fa-IR"/>
        </w:rPr>
      </w:pPr>
      <w:r w:rsidRPr="00866C84">
        <w:rPr>
          <w:rFonts w:hint="cs"/>
          <w:rtl/>
        </w:rPr>
        <w:t xml:space="preserve">= </w:t>
      </w:r>
      <w:r w:rsidR="00744A1C" w:rsidRPr="00C24F9C">
        <w:rPr>
          <w:rStyle w:val="libFootnoteBoldChar"/>
          <w:rtl/>
        </w:rPr>
        <w:t>الوسائل</w:t>
      </w:r>
      <w:r w:rsidR="00744A1C">
        <w:rPr>
          <w:rtl/>
          <w:lang w:bidi="fa-IR"/>
        </w:rPr>
        <w:t xml:space="preserve"> ، ج 17 ، ص 165 ، ح 22256.</w:t>
      </w:r>
    </w:p>
    <w:p w:rsidR="00744A1C" w:rsidRDefault="00D10E3C" w:rsidP="00D10E3C">
      <w:pPr>
        <w:pStyle w:val="libFootnote0"/>
        <w:rPr>
          <w:lang w:bidi="fa-IR"/>
        </w:rPr>
      </w:pPr>
      <w:r>
        <w:rPr>
          <w:rtl/>
          <w:lang w:bidi="fa-IR"/>
        </w:rPr>
        <w:t>(1).</w:t>
      </w:r>
      <w:r w:rsidR="00744A1C">
        <w:rPr>
          <w:rtl/>
          <w:lang w:bidi="fa-IR"/>
        </w:rPr>
        <w:t xml:space="preserve"> في « ى ، جن » : « فيقامرون ».</w:t>
      </w:r>
    </w:p>
    <w:p w:rsidR="00744A1C" w:rsidRDefault="00E378DD" w:rsidP="00E378DD">
      <w:pPr>
        <w:pStyle w:val="libFootnote0"/>
        <w:rPr>
          <w:lang w:bidi="fa-IR"/>
        </w:rPr>
      </w:pPr>
      <w:r>
        <w:rPr>
          <w:rtl/>
          <w:lang w:bidi="fa-IR"/>
        </w:rPr>
        <w:t>(2).</w:t>
      </w:r>
      <w:r w:rsidR="00744A1C">
        <w:rPr>
          <w:rtl/>
          <w:lang w:bidi="fa-IR"/>
        </w:rPr>
        <w:t xml:space="preserve"> في « بس » : - « منه ».</w:t>
      </w:r>
    </w:p>
    <w:p w:rsidR="00744A1C" w:rsidRDefault="00E378DD" w:rsidP="00B83622">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370 ، ح 1069 ، معلّقاً عن الكليني </w:t>
      </w:r>
      <w:r w:rsidR="00B83622">
        <w:rPr>
          <w:rFonts w:hint="cs"/>
          <w:rtl/>
          <w:lang w:bidi="fa-IR"/>
        </w:rPr>
        <w:t>.</w:t>
      </w:r>
      <w:r w:rsidR="00744A1C" w:rsidRPr="00C24F9C">
        <w:rPr>
          <w:rStyle w:val="libFootnoteBoldChar"/>
          <w:rtl/>
        </w:rPr>
        <w:t>الوافي</w:t>
      </w:r>
      <w:r w:rsidR="00744A1C">
        <w:rPr>
          <w:rtl/>
          <w:lang w:bidi="fa-IR"/>
        </w:rPr>
        <w:t xml:space="preserve"> ، ج 17 ، ص 226 ، ح 17159 ؛ </w:t>
      </w:r>
      <w:r w:rsidR="00744A1C" w:rsidRPr="00C24F9C">
        <w:rPr>
          <w:rStyle w:val="libFootnoteBoldChar"/>
          <w:rtl/>
        </w:rPr>
        <w:t>الوسائل</w:t>
      </w:r>
      <w:r w:rsidR="00744A1C">
        <w:rPr>
          <w:rtl/>
          <w:lang w:bidi="fa-IR"/>
        </w:rPr>
        <w:t xml:space="preserve"> ، ج 17 ، ص 166 ، ح 22260.</w:t>
      </w:r>
      <w:r w:rsidR="00B83622">
        <w:rPr>
          <w:rFonts w:hint="cs"/>
          <w:rtl/>
          <w:lang w:bidi="fa-IR"/>
        </w:rPr>
        <w:t xml:space="preserve">   </w:t>
      </w:r>
      <w:r>
        <w:rPr>
          <w:rtl/>
          <w:lang w:bidi="fa-IR"/>
        </w:rPr>
        <w:t>(4).</w:t>
      </w:r>
      <w:r w:rsidR="00744A1C">
        <w:rPr>
          <w:rtl/>
          <w:lang w:bidi="fa-IR"/>
        </w:rPr>
        <w:t xml:space="preserve"> في </w:t>
      </w:r>
      <w:r w:rsidR="00744A1C" w:rsidRPr="00B83622">
        <w:rPr>
          <w:rtl/>
        </w:rPr>
        <w:t>الوسائل</w:t>
      </w:r>
      <w:r w:rsidR="00744A1C">
        <w:rPr>
          <w:rtl/>
          <w:lang w:bidi="fa-IR"/>
        </w:rPr>
        <w:t xml:space="preserve"> : - « من بعدي ».</w:t>
      </w:r>
    </w:p>
    <w:p w:rsidR="00744A1C" w:rsidRDefault="00E378DD" w:rsidP="00E378DD">
      <w:pPr>
        <w:pStyle w:val="libFootnote0"/>
        <w:rPr>
          <w:lang w:bidi="fa-IR"/>
        </w:rPr>
      </w:pPr>
      <w:r>
        <w:rPr>
          <w:rtl/>
          <w:lang w:bidi="fa-IR"/>
        </w:rPr>
        <w:t>(5).</w:t>
      </w:r>
      <w:r w:rsidR="00744A1C">
        <w:rPr>
          <w:rtl/>
          <w:lang w:bidi="fa-IR"/>
        </w:rPr>
        <w:t xml:space="preserve"> في « جت » : « فالخفيّة » بدل « والشهوة الخفيّة ». وفي </w:t>
      </w:r>
      <w:r w:rsidR="00744A1C" w:rsidRPr="00877682">
        <w:rPr>
          <w:rStyle w:val="libFootnoteBoldChar"/>
          <w:rtl/>
        </w:rPr>
        <w:t>النهاية</w:t>
      </w:r>
      <w:r w:rsidR="00744A1C">
        <w:rPr>
          <w:rtl/>
          <w:lang w:bidi="fa-IR"/>
        </w:rPr>
        <w:t xml:space="preserve"> ، ج 2 ، ص 516 ( شها ) : « في حديث شدّاد بن أوس عن النبيّ </w:t>
      </w:r>
      <w:r w:rsidR="005E465D" w:rsidRPr="00B83622">
        <w:rPr>
          <w:rStyle w:val="libFootnoteAlaemChar"/>
          <w:rtl/>
        </w:rPr>
        <w:t>صلى‌الله‌عليه‌وآله</w:t>
      </w:r>
      <w:r w:rsidR="00744A1C">
        <w:rPr>
          <w:rtl/>
          <w:lang w:bidi="fa-IR"/>
        </w:rPr>
        <w:t xml:space="preserve"> : إنّ أخوف ما أخاف عليكم الرياء والشهوة الخفيّة ، قيل : هي كلّ شي‌ء من المعاصي يضمره صاحبه ويصرّ عليه وإن لم يعمله. وقيل : هو أن يرى جارية حسناء فيغضّ طرفه ، ثمّ ينظر بقلبه ، كما كان ينظر بعينه. قال الأزهري : والقول الأوّل ، غير أنّي أستحسن أن أنصب الشهوة الخفيّة وأجعل الواو بمعنى مع ، كأنّه قال : إنّ أخوف ما أخاف عليكم الرياء مع الشهوة الخفيّة للمعاصي ، فكأنّه يرائي الناس بتركه المعاصي ، والشهوة في قلبه مخفاة. وقيل : الرياء : ما كان ظاهراً من العمل ، والشهوة الخفيّة : حبّ اطّلاع الناس على العمل ».</w:t>
      </w:r>
    </w:p>
    <w:p w:rsidR="00744A1C" w:rsidRDefault="00B83622" w:rsidP="00D10E3C">
      <w:pPr>
        <w:pStyle w:val="libFootnote0"/>
        <w:rPr>
          <w:lang w:bidi="fa-IR"/>
        </w:rPr>
      </w:pPr>
      <w:r>
        <w:rPr>
          <w:rtl/>
          <w:lang w:bidi="fa-IR"/>
        </w:rPr>
        <w:t>وقال العل</w:t>
      </w:r>
      <w:r>
        <w:rPr>
          <w:rFonts w:hint="cs"/>
          <w:rtl/>
          <w:lang w:bidi="fa-IR"/>
        </w:rPr>
        <w:t>ّ</w:t>
      </w:r>
      <w:r>
        <w:rPr>
          <w:rtl/>
          <w:lang w:bidi="fa-IR"/>
        </w:rPr>
        <w:t>ا</w:t>
      </w:r>
      <w:r w:rsidR="00744A1C">
        <w:rPr>
          <w:rtl/>
          <w:lang w:bidi="fa-IR"/>
        </w:rPr>
        <w:t xml:space="preserve">مة الفيض في </w:t>
      </w:r>
      <w:r w:rsidR="00744A1C" w:rsidRPr="00C24F9C">
        <w:rPr>
          <w:rStyle w:val="libFootnoteBoldChar"/>
          <w:rtl/>
        </w:rPr>
        <w:t>الوافي</w:t>
      </w:r>
      <w:r w:rsidR="00744A1C">
        <w:rPr>
          <w:rtl/>
          <w:lang w:bidi="fa-IR"/>
        </w:rPr>
        <w:t xml:space="preserve"> : « هذا الحديث ممّا رواه العامّة والخاصّة بطرق متعدّدة » ثمّ ذكر ما نقلناه عن ابن الأثير وقال بعد تفسير الأزهري : « وهذا القائل روى الحديث بتقديم الرياء على الشهوة ويجري تفسيره مع التأخير أيضاً » إلى أن قال : « أقول : ويحتمل أن يكون المراد بها ما خفي على صاحبه من الأهواء المردية الكامنة في نفسه ، فظنّ هو أنّه بري‌ء منها لعدم تيسّر أسبابها له ، فإذا تيسّرت ظهرت وانبعثت الدواعي على تحصيلها وركوبها ».</w:t>
      </w:r>
      <w:r>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B83622">
      <w:pPr>
        <w:pStyle w:val="libNormal0"/>
        <w:rPr>
          <w:rtl/>
          <w:lang w:bidi="fa-IR"/>
        </w:rPr>
      </w:pPr>
      <w:r>
        <w:rPr>
          <w:rtl/>
          <w:lang w:bidi="fa-IR"/>
        </w:rPr>
        <w:t xml:space="preserve">وَالرِّبَا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8578 / 2. عَلِيُّ بْنُ إِبْرَاهِيمَ ، عَنْ صَالِحِ بْنِ السِّنْدِيِّ ، عَنْ جَعْفَرِ بْنِ بَشِيرٍ ، عَنْ عِيسَى الْفَرَّاءِ ، عَنْ أَبَانِ بْنِ عُثْمَانَ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w:t>
      </w:r>
      <w:r w:rsidRPr="00D10E3C">
        <w:rPr>
          <w:rStyle w:val="libFootnotenumChar"/>
          <w:rtl/>
        </w:rPr>
        <w:t>(3)</w:t>
      </w:r>
      <w:r>
        <w:rPr>
          <w:rtl/>
          <w:lang w:bidi="fa-IR"/>
        </w:rPr>
        <w:t xml:space="preserve"> : « أَرْبَعَةٌ </w:t>
      </w:r>
      <w:r w:rsidRPr="00D10E3C">
        <w:rPr>
          <w:rStyle w:val="libFootnotenumChar"/>
          <w:rtl/>
        </w:rPr>
        <w:t>(4)</w:t>
      </w:r>
      <w:r>
        <w:rPr>
          <w:rtl/>
          <w:lang w:bidi="fa-IR"/>
        </w:rPr>
        <w:t xml:space="preserve"> لَايَجُزْنَ </w:t>
      </w:r>
      <w:r w:rsidRPr="00D10E3C">
        <w:rPr>
          <w:rStyle w:val="libFootnotenumChar"/>
          <w:rtl/>
        </w:rPr>
        <w:t>(5)</w:t>
      </w:r>
      <w:r>
        <w:rPr>
          <w:rtl/>
          <w:lang w:bidi="fa-IR"/>
        </w:rPr>
        <w:t xml:space="preserve"> فِي أَرْبَعٍ </w:t>
      </w:r>
      <w:r w:rsidRPr="00D10E3C">
        <w:rPr>
          <w:rStyle w:val="libFootnotenumChar"/>
          <w:rtl/>
        </w:rPr>
        <w:t>(6)</w:t>
      </w:r>
      <w:r>
        <w:rPr>
          <w:rtl/>
          <w:lang w:bidi="fa-IR"/>
        </w:rPr>
        <w:t xml:space="preserve"> : الْخِيَانَةُ ، وَالْغُلُولُ </w:t>
      </w:r>
      <w:r w:rsidRPr="00D10E3C">
        <w:rPr>
          <w:rStyle w:val="libFootnotenumChar"/>
          <w:rtl/>
        </w:rPr>
        <w:t>(7)</w:t>
      </w:r>
      <w:r>
        <w:rPr>
          <w:rtl/>
          <w:lang w:bidi="fa-IR"/>
        </w:rPr>
        <w:t xml:space="preserve"> ، وَالسَّرِقَةُ ، وَالرِّبَا ، لَايَجُزْنَ </w:t>
      </w:r>
      <w:r w:rsidRPr="00D10E3C">
        <w:rPr>
          <w:rStyle w:val="libFootnotenumChar"/>
          <w:rtl/>
        </w:rPr>
        <w:t>(8)</w:t>
      </w:r>
      <w:r>
        <w:rPr>
          <w:rtl/>
          <w:lang w:bidi="fa-IR"/>
        </w:rPr>
        <w:t xml:space="preserve"> : فِي حَجٍّ ، وَلَا عُمْرَةٍ ، وَلَا </w:t>
      </w:r>
      <w:r w:rsidRPr="00D10E3C">
        <w:rPr>
          <w:rStyle w:val="libFootnotenumChar"/>
          <w:rtl/>
        </w:rPr>
        <w:t>(9)</w:t>
      </w:r>
      <w:r>
        <w:rPr>
          <w:rtl/>
          <w:lang w:bidi="fa-IR"/>
        </w:rPr>
        <w:t xml:space="preserve"> جِهَادٍ ، وَلَا صَدَقَةٍ ». </w:t>
      </w:r>
      <w:r w:rsidRPr="00D10E3C">
        <w:rPr>
          <w:rStyle w:val="libFootnotenumChar"/>
          <w:rtl/>
        </w:rPr>
        <w:t>(10)</w:t>
      </w:r>
    </w:p>
    <w:p w:rsidR="00144FA6" w:rsidRDefault="00744A1C" w:rsidP="00744A1C">
      <w:pPr>
        <w:pStyle w:val="libNormal"/>
        <w:rPr>
          <w:rtl/>
          <w:lang w:bidi="fa-IR"/>
        </w:rPr>
      </w:pPr>
      <w:r>
        <w:rPr>
          <w:rtl/>
          <w:lang w:bidi="fa-IR"/>
        </w:rPr>
        <w:t>8579 / 3. عِدَّةٌ مِنْ أَصْحَابِنَا ، عَنْ أَحْمَدَ بْنِ مُحَمَّدٍ ، عَنِ ابْنِ فَضَّالٍ ، عَنِ ابْنِ بُكَيْرٍ ،</w:t>
      </w:r>
    </w:p>
    <w:p w:rsidR="00744A1C" w:rsidRDefault="00744A1C" w:rsidP="00D10E3C">
      <w:pPr>
        <w:pStyle w:val="libLine"/>
        <w:rPr>
          <w:lang w:bidi="fa-IR"/>
        </w:rPr>
      </w:pPr>
      <w:r>
        <w:rPr>
          <w:rtl/>
          <w:lang w:bidi="fa-IR"/>
        </w:rPr>
        <w:t>____________________</w:t>
      </w:r>
    </w:p>
    <w:p w:rsidR="00744A1C" w:rsidRDefault="00B83622" w:rsidP="00D10E3C">
      <w:pPr>
        <w:pStyle w:val="libFootnote0"/>
        <w:rPr>
          <w:lang w:bidi="fa-IR"/>
        </w:rPr>
      </w:pPr>
      <w:r>
        <w:rPr>
          <w:rFonts w:hint="cs"/>
          <w:rtl/>
          <w:lang w:bidi="fa-IR"/>
        </w:rPr>
        <w:t xml:space="preserve">= </w:t>
      </w:r>
      <w:r>
        <w:rPr>
          <w:rtl/>
          <w:lang w:bidi="fa-IR"/>
        </w:rPr>
        <w:t>ونقل العل</w:t>
      </w:r>
      <w:r>
        <w:rPr>
          <w:rFonts w:hint="cs"/>
          <w:rtl/>
          <w:lang w:bidi="fa-IR"/>
        </w:rPr>
        <w:t>ّ</w:t>
      </w:r>
      <w:r>
        <w:rPr>
          <w:rtl/>
          <w:lang w:bidi="fa-IR"/>
        </w:rPr>
        <w:t>ا</w:t>
      </w:r>
      <w:r w:rsidR="00744A1C">
        <w:rPr>
          <w:rtl/>
          <w:lang w:bidi="fa-IR"/>
        </w:rPr>
        <w:t xml:space="preserve">مة المجلسي في </w:t>
      </w:r>
      <w:r w:rsidR="00744A1C" w:rsidRPr="00877682">
        <w:rPr>
          <w:rStyle w:val="libFootnoteBoldChar"/>
          <w:rtl/>
        </w:rPr>
        <w:t>مرآة العقول</w:t>
      </w:r>
      <w:r w:rsidR="00744A1C">
        <w:rPr>
          <w:rtl/>
          <w:lang w:bidi="fa-IR"/>
        </w:rPr>
        <w:t xml:space="preserve"> ، ج 19 ، ص 88 ما نقلناه عن ابن الأثير ، ثمّ قال : « وقيل : الشهوة الخفيّة أن يكون في طاعة من طاعات الله فيعرض شهوة من شهواته ، كالأهل والجماع وغيرهما ، فيرجّح جانب النفس على جانب الله ، فيدخل في زمرة</w:t>
      </w:r>
      <w:r>
        <w:rPr>
          <w:rFonts w:hint="cs"/>
          <w:rtl/>
          <w:lang w:bidi="fa-IR"/>
        </w:rPr>
        <w:t xml:space="preserve"> </w:t>
      </w:r>
      <w:r w:rsidR="00744A1C" w:rsidRPr="00B83622">
        <w:rPr>
          <w:rStyle w:val="libFootnoteAlaemChar"/>
          <w:rtl/>
        </w:rPr>
        <w:t>(</w:t>
      </w:r>
      <w:r w:rsidR="00744A1C" w:rsidRPr="00B83622">
        <w:rPr>
          <w:rStyle w:val="libFootnoteAieChar"/>
          <w:rtl/>
        </w:rPr>
        <w:t xml:space="preserve"> فَأَمّا مَنْ طَغى </w:t>
      </w:r>
      <w:r w:rsidRPr="00B83622">
        <w:rPr>
          <w:rStyle w:val="libFootnoteAieChar"/>
          <w:rFonts w:hint="cs"/>
          <w:rtl/>
        </w:rPr>
        <w:t xml:space="preserve">* </w:t>
      </w:r>
      <w:r w:rsidR="00744A1C" w:rsidRPr="00B83622">
        <w:rPr>
          <w:rStyle w:val="libFootnoteAieChar"/>
          <w:rtl/>
        </w:rPr>
        <w:t xml:space="preserve">وَآثَرَ الْحَياةَ الدُّنْيا </w:t>
      </w:r>
      <w:r w:rsidR="00744A1C" w:rsidRPr="00B83622">
        <w:rPr>
          <w:rStyle w:val="libFootnoteAlaemChar"/>
          <w:rtl/>
        </w:rPr>
        <w:t>)</w:t>
      </w:r>
      <w:r w:rsidR="00744A1C">
        <w:rPr>
          <w:rtl/>
          <w:lang w:bidi="fa-IR"/>
        </w:rPr>
        <w:t xml:space="preserve"> [ النازعات (79) : 37 و 38 ]. وسمّي خفيّاً لخفاء هلاكه. أقول : لا يبعد أن يراد بها الشهوة الكامنة في النفس ، وهي العشق ، أو الشهوات الكامنة التي يحسب الإنسان خلوّ النفس عنهما ، ويظهر أثرها بعد حين ».</w:t>
      </w:r>
    </w:p>
    <w:p w:rsidR="00744A1C" w:rsidRDefault="00D10E3C" w:rsidP="00D10E3C">
      <w:pPr>
        <w:pStyle w:val="libFootnote0"/>
        <w:rPr>
          <w:lang w:bidi="fa-IR"/>
        </w:rPr>
      </w:pPr>
      <w:r>
        <w:rPr>
          <w:rtl/>
          <w:lang w:bidi="fa-IR"/>
        </w:rPr>
        <w:t>(1).</w:t>
      </w:r>
      <w:r w:rsidR="00744A1C">
        <w:rPr>
          <w:rtl/>
          <w:lang w:bidi="fa-IR"/>
        </w:rPr>
        <w:t xml:space="preserve"> في « ى ، بس » وحاشية « جت » و</w:t>
      </w:r>
      <w:r w:rsidR="00744A1C" w:rsidRPr="00C24F9C">
        <w:rPr>
          <w:rStyle w:val="libFootnoteBoldChar"/>
          <w:rtl/>
        </w:rPr>
        <w:t>الوافي</w:t>
      </w:r>
      <w:r w:rsidR="00744A1C">
        <w:rPr>
          <w:rtl/>
          <w:lang w:bidi="fa-IR"/>
        </w:rPr>
        <w:t xml:space="preserve"> : « والرياء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17 ، ص 59 ، ح 16854 ؛ </w:t>
      </w:r>
      <w:r w:rsidR="00744A1C" w:rsidRPr="00C24F9C">
        <w:rPr>
          <w:rStyle w:val="libFootnoteBoldChar"/>
          <w:rtl/>
        </w:rPr>
        <w:t>الوسائل</w:t>
      </w:r>
      <w:r w:rsidR="00744A1C">
        <w:rPr>
          <w:rtl/>
          <w:lang w:bidi="fa-IR"/>
        </w:rPr>
        <w:t xml:space="preserve"> ، ج 17 ، ص 81 ، ح 22041.</w:t>
      </w:r>
    </w:p>
    <w:p w:rsidR="00744A1C" w:rsidRDefault="00E378DD" w:rsidP="00E378DD">
      <w:pPr>
        <w:pStyle w:val="libFootnote0"/>
        <w:rPr>
          <w:lang w:bidi="fa-IR"/>
        </w:rPr>
      </w:pPr>
      <w:r>
        <w:rPr>
          <w:rtl/>
          <w:lang w:bidi="fa-IR"/>
        </w:rPr>
        <w:t>(3).</w:t>
      </w:r>
      <w:r w:rsidR="00744A1C">
        <w:rPr>
          <w:rtl/>
          <w:lang w:bidi="fa-IR"/>
        </w:rPr>
        <w:t xml:space="preserve"> في « ط » : - « قال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أربعة ، لعلّ التخصيص بالأربع لبيان أنّه يصير سبباً لحبط أجرها ؛ فإنّه لا يجوز التصرّف فيها بوجه ».</w:t>
      </w:r>
    </w:p>
    <w:p w:rsidR="00744A1C" w:rsidRDefault="00E378DD" w:rsidP="00E378DD">
      <w:pPr>
        <w:pStyle w:val="libFootnote0"/>
        <w:rPr>
          <w:lang w:bidi="fa-IR"/>
        </w:rPr>
      </w:pPr>
      <w:r>
        <w:rPr>
          <w:rtl/>
          <w:lang w:bidi="fa-IR"/>
        </w:rPr>
        <w:t>(5).</w:t>
      </w:r>
      <w:r w:rsidR="00744A1C">
        <w:rPr>
          <w:rtl/>
          <w:lang w:bidi="fa-IR"/>
        </w:rPr>
        <w:t xml:space="preserve"> في « بخ ، بف » </w:t>
      </w:r>
      <w:r w:rsidR="00744A1C" w:rsidRPr="00B83622">
        <w:rPr>
          <w:rtl/>
        </w:rPr>
        <w:t>والفقيه والتهذيب</w:t>
      </w:r>
      <w:r w:rsidR="00744A1C">
        <w:rPr>
          <w:rtl/>
          <w:lang w:bidi="fa-IR"/>
        </w:rPr>
        <w:t xml:space="preserve"> : « لا يجوز ». وفي </w:t>
      </w:r>
      <w:r w:rsidR="00744A1C" w:rsidRPr="00B83622">
        <w:rPr>
          <w:rtl/>
        </w:rPr>
        <w:t>الوافي</w:t>
      </w:r>
      <w:r w:rsidR="00744A1C">
        <w:rPr>
          <w:rtl/>
          <w:lang w:bidi="fa-IR"/>
        </w:rPr>
        <w:t xml:space="preserve"> : « لا تجوز ».</w:t>
      </w:r>
    </w:p>
    <w:p w:rsidR="00744A1C" w:rsidRDefault="00E378DD" w:rsidP="00E378DD">
      <w:pPr>
        <w:pStyle w:val="libFootnote0"/>
        <w:rPr>
          <w:lang w:bidi="fa-IR"/>
        </w:rPr>
      </w:pPr>
      <w:r>
        <w:rPr>
          <w:rtl/>
          <w:lang w:bidi="fa-IR"/>
        </w:rPr>
        <w:t>(6).</w:t>
      </w:r>
      <w:r w:rsidR="00744A1C">
        <w:rPr>
          <w:rtl/>
          <w:lang w:bidi="fa-IR"/>
        </w:rPr>
        <w:t xml:space="preserve"> في </w:t>
      </w:r>
      <w:r w:rsidR="00744A1C" w:rsidRPr="00B83622">
        <w:rPr>
          <w:rtl/>
        </w:rPr>
        <w:t>الوافي والوسائل</w:t>
      </w:r>
      <w:r w:rsidR="00744A1C">
        <w:rPr>
          <w:rtl/>
          <w:lang w:bidi="fa-IR"/>
        </w:rPr>
        <w:t xml:space="preserve"> ، ح 22054 و 32197 </w:t>
      </w:r>
      <w:r w:rsidR="00744A1C" w:rsidRPr="00B83622">
        <w:rPr>
          <w:rtl/>
        </w:rPr>
        <w:t>والفقيه والتهذيب</w:t>
      </w:r>
      <w:r w:rsidR="00744A1C">
        <w:rPr>
          <w:rtl/>
          <w:lang w:bidi="fa-IR"/>
        </w:rPr>
        <w:t xml:space="preserve"> : « أربعة ».</w:t>
      </w:r>
    </w:p>
    <w:p w:rsidR="00744A1C" w:rsidRDefault="00E378DD" w:rsidP="00E378DD">
      <w:pPr>
        <w:pStyle w:val="libFootnote0"/>
        <w:rPr>
          <w:lang w:bidi="fa-IR"/>
        </w:rPr>
      </w:pPr>
      <w:r>
        <w:rPr>
          <w:rtl/>
          <w:lang w:bidi="fa-IR"/>
        </w:rPr>
        <w:t>(7).</w:t>
      </w:r>
      <w:r w:rsidR="00744A1C">
        <w:rPr>
          <w:rtl/>
          <w:lang w:bidi="fa-IR"/>
        </w:rPr>
        <w:t xml:space="preserve"> قد تكرّر ذكر الغلول في الحديث ، وهو الخيانة في المغنم والسرقة من الغنيمة قبل القسمة ، يقال : غَلَّ في المغنم يَغُلُّ غُلُولاً فهو غالّ ، وكلّ من خان في شي‌ء خفية فقد غلّ. وسمّيت غلولاً لأنّ الأيدي فيها مغلولة ، أي ممنوعة مجعول فيها غلّ ، وهو الحديدة التي تجمع يد الأسير إلى عنقه ، ويقال لها : جامعة ، أيضاً. كذا في </w:t>
      </w:r>
      <w:r w:rsidR="00744A1C" w:rsidRPr="00877682">
        <w:rPr>
          <w:rStyle w:val="libFootnoteBoldChar"/>
          <w:rtl/>
        </w:rPr>
        <w:t>النهاية</w:t>
      </w:r>
      <w:r w:rsidR="00744A1C">
        <w:rPr>
          <w:rtl/>
          <w:lang w:bidi="fa-IR"/>
        </w:rPr>
        <w:t xml:space="preserve"> ، ج 3 ، ص 380 ( غلل ).</w:t>
      </w:r>
    </w:p>
    <w:p w:rsidR="00744A1C" w:rsidRDefault="00E378DD" w:rsidP="00E378DD">
      <w:pPr>
        <w:pStyle w:val="libFootnote0"/>
        <w:rPr>
          <w:lang w:bidi="fa-IR"/>
        </w:rPr>
      </w:pPr>
      <w:r>
        <w:rPr>
          <w:rtl/>
          <w:lang w:bidi="fa-IR"/>
        </w:rPr>
        <w:t>(8).</w:t>
      </w:r>
      <w:r w:rsidR="00744A1C">
        <w:rPr>
          <w:rtl/>
          <w:lang w:bidi="fa-IR"/>
        </w:rPr>
        <w:t xml:space="preserve"> في « بخ ، بف » </w:t>
      </w:r>
      <w:r w:rsidR="00744A1C" w:rsidRPr="00B83622">
        <w:rPr>
          <w:rtl/>
        </w:rPr>
        <w:t>والفقيه والتهذيب</w:t>
      </w:r>
      <w:r w:rsidR="00744A1C">
        <w:rPr>
          <w:rtl/>
          <w:lang w:bidi="fa-IR"/>
        </w:rPr>
        <w:t xml:space="preserve"> : « لا يجوز ». وفي </w:t>
      </w:r>
      <w:r w:rsidR="00744A1C" w:rsidRPr="00B83622">
        <w:rPr>
          <w:rtl/>
        </w:rPr>
        <w:t>الوافي</w:t>
      </w:r>
      <w:r w:rsidR="00744A1C">
        <w:rPr>
          <w:rtl/>
          <w:lang w:bidi="fa-IR"/>
        </w:rPr>
        <w:t xml:space="preserve"> : « لا تجوز ».</w:t>
      </w:r>
    </w:p>
    <w:p w:rsidR="00744A1C" w:rsidRDefault="00E378DD" w:rsidP="00E378DD">
      <w:pPr>
        <w:pStyle w:val="libFootnote0"/>
        <w:rPr>
          <w:lang w:bidi="fa-IR"/>
        </w:rPr>
      </w:pPr>
      <w:r>
        <w:rPr>
          <w:rtl/>
          <w:lang w:bidi="fa-IR"/>
        </w:rPr>
        <w:t>(9).</w:t>
      </w:r>
      <w:r w:rsidR="00744A1C">
        <w:rPr>
          <w:rtl/>
          <w:lang w:bidi="fa-IR"/>
        </w:rPr>
        <w:t xml:space="preserve"> في </w:t>
      </w:r>
      <w:r w:rsidR="00744A1C" w:rsidRPr="00B83622">
        <w:rPr>
          <w:rtl/>
        </w:rPr>
        <w:t>التهذيب</w:t>
      </w:r>
      <w:r w:rsidR="00744A1C">
        <w:rPr>
          <w:rtl/>
          <w:lang w:bidi="fa-IR"/>
        </w:rPr>
        <w:t xml:space="preserve"> : + « في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368 ، ح 1063 ، معلّقاً عن الكليني. </w:t>
      </w:r>
      <w:r w:rsidR="00744A1C" w:rsidRPr="00C24F9C">
        <w:rPr>
          <w:rStyle w:val="libFootnoteBoldChar"/>
          <w:rtl/>
        </w:rPr>
        <w:t>الفقيه</w:t>
      </w:r>
      <w:r w:rsidR="00744A1C">
        <w:rPr>
          <w:rtl/>
          <w:lang w:bidi="fa-IR"/>
        </w:rPr>
        <w:t xml:space="preserve"> ، ج 3 ، ص 161 ، ح 3590 ، معلّقاً عن أبان بن عثمان. </w:t>
      </w:r>
      <w:r w:rsidR="00744A1C" w:rsidRPr="00B83622">
        <w:rPr>
          <w:rStyle w:val="libFootnoteBoldChar"/>
          <w:rtl/>
        </w:rPr>
        <w:t>الخصال</w:t>
      </w:r>
      <w:r w:rsidR="00744A1C">
        <w:rPr>
          <w:rtl/>
          <w:lang w:bidi="fa-IR"/>
        </w:rPr>
        <w:t xml:space="preserve"> ، ص 216 ، ح 38 ، بسنده عن أبان بن عثمان الأحمر. </w:t>
      </w:r>
      <w:r w:rsidR="00744A1C" w:rsidRPr="007D61A8">
        <w:rPr>
          <w:rStyle w:val="libFootnoteBoldChar"/>
          <w:rtl/>
        </w:rPr>
        <w:t>تحف العقول</w:t>
      </w:r>
      <w:r w:rsidR="00744A1C">
        <w:rPr>
          <w:rtl/>
          <w:lang w:bidi="fa-IR"/>
        </w:rPr>
        <w:t xml:space="preserve"> ، ص 374 </w:t>
      </w:r>
      <w:r w:rsidR="00B83622">
        <w:rPr>
          <w:rFonts w:hint="cs"/>
          <w:rtl/>
          <w:lang w:bidi="fa-IR"/>
        </w:rPr>
        <w:t>.</w:t>
      </w:r>
      <w:r w:rsidR="00744A1C" w:rsidRPr="00C24F9C">
        <w:rPr>
          <w:rStyle w:val="libFootnoteBoldChar"/>
          <w:rtl/>
        </w:rPr>
        <w:t>الوافي</w:t>
      </w:r>
      <w:r w:rsidR="00744A1C">
        <w:rPr>
          <w:rtl/>
          <w:lang w:bidi="fa-IR"/>
        </w:rPr>
        <w:t xml:space="preserve"> ، ج 17 ، ص 60 ، ح 16855 ؛ </w:t>
      </w:r>
      <w:r w:rsidR="00744A1C" w:rsidRPr="00C24F9C">
        <w:rPr>
          <w:rStyle w:val="libFootnoteBoldChar"/>
          <w:rtl/>
        </w:rPr>
        <w:t>الوسائل</w:t>
      </w:r>
      <w:r w:rsidR="00744A1C">
        <w:rPr>
          <w:rtl/>
          <w:lang w:bidi="fa-IR"/>
        </w:rPr>
        <w:t xml:space="preserve"> ، ج 17 ، ص 90 ، ح 22054 ؛ وج 25 ، ص 389 ، ح 32197.</w:t>
      </w:r>
    </w:p>
    <w:p w:rsidR="006A5060" w:rsidRDefault="006A5060" w:rsidP="00D10E3C">
      <w:pPr>
        <w:pStyle w:val="libNormal"/>
        <w:rPr>
          <w:rtl/>
          <w:lang w:bidi="fa-IR"/>
        </w:rPr>
      </w:pPr>
      <w:r>
        <w:rPr>
          <w:rtl/>
          <w:lang w:bidi="fa-IR"/>
        </w:rPr>
        <w:br w:type="page"/>
      </w:r>
    </w:p>
    <w:p w:rsidR="00144FA6" w:rsidRDefault="00744A1C" w:rsidP="00B83622">
      <w:pPr>
        <w:pStyle w:val="libNormal0"/>
        <w:rPr>
          <w:rtl/>
          <w:lang w:bidi="fa-IR"/>
        </w:rPr>
      </w:pPr>
      <w:r>
        <w:rPr>
          <w:rtl/>
          <w:lang w:bidi="fa-IR"/>
        </w:rPr>
        <w:t>عَمَّنْ ذَكَرَهُ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إِذَا اكْتَسَبَ الرَّجُلُ مَالاً مِنْ غَيْرِ حِلِّهِ ، ثُمَّ حَجَّ فَلَبّى ، نُودِيَ : لَالَبَّيْكَ وَلَا سَعْدَيْكَ ، وَإِنْ كَانَ مِنْ حِلِّهِ فَلَبّى </w:t>
      </w:r>
      <w:r w:rsidRPr="00D10E3C">
        <w:rPr>
          <w:rStyle w:val="libFootnotenumChar"/>
          <w:rtl/>
        </w:rPr>
        <w:t>(1)</w:t>
      </w:r>
      <w:r>
        <w:rPr>
          <w:rtl/>
          <w:lang w:bidi="fa-IR"/>
        </w:rPr>
        <w:t xml:space="preserve"> ، نُودِيَ : لَبَّيْكَ وَسَعْدَيْكَ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8580 / 4. أَحْمَدُ </w:t>
      </w:r>
      <w:r w:rsidRPr="00D10E3C">
        <w:rPr>
          <w:rStyle w:val="libFootnotenumChar"/>
          <w:rtl/>
        </w:rPr>
        <w:t>(4)</w:t>
      </w:r>
      <w:r>
        <w:rPr>
          <w:rtl/>
          <w:lang w:bidi="fa-IR"/>
        </w:rPr>
        <w:t xml:space="preserve"> ، عَنِ ابْنِ فَضَّالٍ ، عَنِ ابْنِ بُكَيْرٍ ، عَنْ عُبَيْدِ بْنِ زُرَارَةَ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كَسْبُ الْحَرَامِ يَبِينُ </w:t>
      </w:r>
      <w:r w:rsidRPr="00D10E3C">
        <w:rPr>
          <w:rStyle w:val="libFootnotenumChar"/>
          <w:rtl/>
        </w:rPr>
        <w:t>(5)</w:t>
      </w:r>
      <w:r>
        <w:rPr>
          <w:rtl/>
          <w:lang w:bidi="fa-IR"/>
        </w:rPr>
        <w:t xml:space="preserve"> فِي الذُّرِّيَّةِ ». </w:t>
      </w:r>
      <w:r w:rsidRPr="00D10E3C">
        <w:rPr>
          <w:rStyle w:val="libFootnotenumChar"/>
          <w:rtl/>
        </w:rPr>
        <w:t>(6)</w:t>
      </w:r>
    </w:p>
    <w:p w:rsidR="00144FA6" w:rsidRDefault="00744A1C" w:rsidP="00744A1C">
      <w:pPr>
        <w:pStyle w:val="libNormal"/>
        <w:rPr>
          <w:rtl/>
          <w:lang w:bidi="fa-IR"/>
        </w:rPr>
      </w:pPr>
      <w:r>
        <w:rPr>
          <w:rtl/>
          <w:lang w:bidi="fa-IR"/>
        </w:rPr>
        <w:t>8581 / 5. عَلِيُّ بْنُ إِبْرَاهِيمَ ، عَنْ أَبِيهِ ، عَنِ النَّوْفَلِيِّ ، عَنِ السَّكُونِيِّ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أَتى رَجُلٌ أَمِيرَ الْمُؤْمِنِينَ - صَلَوَاتُ اللهِ عَلَيْهِ - فَقَالَ : إِنِّي </w:t>
      </w:r>
      <w:r w:rsidRPr="00D10E3C">
        <w:rPr>
          <w:rStyle w:val="libFootnotenumChar"/>
          <w:rtl/>
        </w:rPr>
        <w:t>(7)</w:t>
      </w:r>
      <w:r>
        <w:rPr>
          <w:rtl/>
          <w:lang w:bidi="fa-IR"/>
        </w:rPr>
        <w:t xml:space="preserve"> كَسَبْتُ </w:t>
      </w:r>
      <w:r w:rsidRPr="00D10E3C">
        <w:rPr>
          <w:rStyle w:val="libFootnotenumChar"/>
          <w:rtl/>
        </w:rPr>
        <w:t>(8)</w:t>
      </w:r>
      <w:r>
        <w:rPr>
          <w:rtl/>
          <w:lang w:bidi="fa-IR"/>
        </w:rPr>
        <w:t xml:space="preserve"> مَالاً أَغْمَضْتُ </w:t>
      </w:r>
      <w:r w:rsidRPr="00D10E3C">
        <w:rPr>
          <w:rStyle w:val="libFootnotenumChar"/>
          <w:rtl/>
        </w:rPr>
        <w:t>(9)</w:t>
      </w:r>
      <w:r>
        <w:rPr>
          <w:rtl/>
          <w:lang w:bidi="fa-IR"/>
        </w:rPr>
        <w:t xml:space="preserve"> فِي مَطَالِبِهِ حَلَالاً وَحَرَاماً </w:t>
      </w:r>
      <w:r w:rsidRPr="00D10E3C">
        <w:rPr>
          <w:rStyle w:val="libFootnotenumChar"/>
          <w:rtl/>
        </w:rPr>
        <w:t>(10)</w:t>
      </w:r>
      <w:r>
        <w:rPr>
          <w:rtl/>
          <w:lang w:bidi="fa-IR"/>
        </w:rPr>
        <w:t xml:space="preserve"> ، وَقَدْ أَرَدْتُ التَّوْبَةَ ، وَلَا أَدْرِي </w:t>
      </w:r>
      <w:r w:rsidRPr="00D10E3C">
        <w:rPr>
          <w:rStyle w:val="libFootnotenumChar"/>
          <w:rtl/>
        </w:rPr>
        <w:t>(11)</w:t>
      </w:r>
      <w:r>
        <w:rPr>
          <w:rtl/>
          <w:lang w:bidi="fa-IR"/>
        </w:rPr>
        <w:t xml:space="preserve"> الْحَلَالَ مِنْهُ </w:t>
      </w:r>
      <w:r w:rsidRPr="00D10E3C">
        <w:rPr>
          <w:rStyle w:val="libFootnotenumChar"/>
          <w:rtl/>
        </w:rPr>
        <w:t>(12)</w:t>
      </w:r>
      <w:r>
        <w:rPr>
          <w:rtl/>
          <w:lang w:bidi="fa-IR"/>
        </w:rPr>
        <w:t xml:space="preserve"> وَالْحَرَامَ ، وَقَدِ اخْتَلَطَ عَلَيَّ.</w:t>
      </w:r>
    </w:p>
    <w:p w:rsidR="00744A1C" w:rsidRDefault="00744A1C" w:rsidP="00744A1C">
      <w:pPr>
        <w:pStyle w:val="libNormal"/>
        <w:rPr>
          <w:lang w:bidi="fa-IR"/>
        </w:rPr>
      </w:pPr>
      <w:r>
        <w:rPr>
          <w:rtl/>
          <w:lang w:bidi="fa-IR"/>
        </w:rPr>
        <w:t xml:space="preserve">فَقَالَ أَمِيرُ الْمُؤْمِنِينَ </w:t>
      </w:r>
      <w:r w:rsidR="0061079A" w:rsidRPr="0061079A">
        <w:rPr>
          <w:rStyle w:val="libAlaemChar"/>
          <w:rtl/>
        </w:rPr>
        <w:t>عليه‌السلام</w:t>
      </w:r>
      <w:r w:rsidR="00D10E3C">
        <w:rPr>
          <w:rtl/>
          <w:lang w:bidi="fa-IR"/>
        </w:rPr>
        <w:t xml:space="preserve"> </w:t>
      </w:r>
      <w:r>
        <w:rPr>
          <w:rtl/>
          <w:lang w:bidi="fa-IR"/>
        </w:rPr>
        <w:t xml:space="preserve">: تَصَدَّقْ بِخُمُسِ </w:t>
      </w:r>
      <w:r w:rsidRPr="00D10E3C">
        <w:rPr>
          <w:rStyle w:val="libFootnotenumChar"/>
          <w:rtl/>
        </w:rPr>
        <w:t>(13)</w:t>
      </w:r>
      <w:r>
        <w:rPr>
          <w:rtl/>
          <w:lang w:bidi="fa-IR"/>
        </w:rPr>
        <w:t xml:space="preserve"> مَالِكَ </w:t>
      </w:r>
      <w:r w:rsidRPr="00D10E3C">
        <w:rPr>
          <w:rStyle w:val="libFootnotenumChar"/>
          <w:rtl/>
        </w:rPr>
        <w:t>(14)</w:t>
      </w:r>
      <w:r>
        <w:rPr>
          <w:rtl/>
          <w:lang w:bidi="fa-IR"/>
        </w:rPr>
        <w:t xml:space="preserve"> ؛ فَإِنَّ اللهَ - جَلَّ اسْمُهُ - رَضِيَ‌</w:t>
      </w:r>
      <w:r w:rsidR="00A0290C">
        <w:rPr>
          <w:rFonts w:hint="cs"/>
          <w:rtl/>
          <w:lang w:bidi="fa-IR"/>
        </w:rPr>
        <w:t xml:space="preserve"> مِنَ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بخ ، بف » : - « فلبّى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يدلّ على أنّ الحجّ بالمال الحرام غير مقبول ، فإذا اشترى ثوبي الإحرام أو الهدي بعينه كان الحجّ باط</w:t>
      </w:r>
      <w:r w:rsidR="00A0290C">
        <w:rPr>
          <w:rtl/>
          <w:lang w:bidi="fa-IR"/>
        </w:rPr>
        <w:t>لاً على المشهور ، وإل</w:t>
      </w:r>
      <w:r w:rsidR="00A0290C">
        <w:rPr>
          <w:rFonts w:hint="cs"/>
          <w:rtl/>
          <w:lang w:bidi="fa-IR"/>
        </w:rPr>
        <w:t>ّ</w:t>
      </w:r>
      <w:r w:rsidR="00A0290C">
        <w:rPr>
          <w:rtl/>
          <w:lang w:bidi="fa-IR"/>
        </w:rPr>
        <w:t>ا</w:t>
      </w:r>
      <w:r w:rsidR="00744A1C">
        <w:rPr>
          <w:rtl/>
          <w:lang w:bidi="fa-IR"/>
        </w:rPr>
        <w:t xml:space="preserve"> كان صحيحاً غير مقبول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368 ، ح 1064 ، معلّقاً عن أحمد بن محمّد </w:t>
      </w:r>
      <w:r w:rsidR="00A0290C">
        <w:rPr>
          <w:rFonts w:hint="cs"/>
          <w:rtl/>
          <w:lang w:bidi="fa-IR"/>
        </w:rPr>
        <w:t>.</w:t>
      </w:r>
      <w:r w:rsidR="00744A1C" w:rsidRPr="00C24F9C">
        <w:rPr>
          <w:rStyle w:val="libFootnoteBoldChar"/>
          <w:rtl/>
        </w:rPr>
        <w:t>الوافي</w:t>
      </w:r>
      <w:r w:rsidR="00744A1C">
        <w:rPr>
          <w:rtl/>
          <w:lang w:bidi="fa-IR"/>
        </w:rPr>
        <w:t xml:space="preserve"> ، ج 17 ، ص 60 ، ح 16856 ؛ </w:t>
      </w:r>
      <w:r w:rsidR="00744A1C" w:rsidRPr="00C24F9C">
        <w:rPr>
          <w:rStyle w:val="libFootnoteBoldChar"/>
          <w:rtl/>
        </w:rPr>
        <w:t>الوسائل</w:t>
      </w:r>
      <w:r w:rsidR="00744A1C">
        <w:rPr>
          <w:rtl/>
          <w:lang w:bidi="fa-IR"/>
        </w:rPr>
        <w:t xml:space="preserve"> ، ج 17 ، ص 79 ، ح 22052.</w:t>
      </w:r>
    </w:p>
    <w:p w:rsidR="00744A1C" w:rsidRDefault="00E378DD" w:rsidP="00E378DD">
      <w:pPr>
        <w:pStyle w:val="libFootnote0"/>
        <w:rPr>
          <w:lang w:bidi="fa-IR"/>
        </w:rPr>
      </w:pPr>
      <w:r>
        <w:rPr>
          <w:rtl/>
          <w:lang w:bidi="fa-IR"/>
        </w:rPr>
        <w:t>(4).</w:t>
      </w:r>
      <w:r w:rsidR="00744A1C">
        <w:rPr>
          <w:rtl/>
          <w:lang w:bidi="fa-IR"/>
        </w:rPr>
        <w:t xml:space="preserve"> السند معلّق على سابقه. ويروي عن أحمد ، عدّة من أصحابنا.</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يبين ، بفتح الياء من البيان ، وبيانه فيهم إنّما يكون بسوء حالهم من فقر أو جهل أو فسق أو نحو ذلك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يبين ، أي أثره من الفقر وسوء الحال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الوافي</w:t>
      </w:r>
      <w:r w:rsidR="00744A1C">
        <w:rPr>
          <w:rtl/>
          <w:lang w:bidi="fa-IR"/>
        </w:rPr>
        <w:t xml:space="preserve"> ، ج 17 ، ص 60 ، ح 16857 ؛ </w:t>
      </w:r>
      <w:r w:rsidR="00744A1C" w:rsidRPr="00C24F9C">
        <w:rPr>
          <w:rStyle w:val="libFootnoteBoldChar"/>
          <w:rtl/>
        </w:rPr>
        <w:t>الوسائل</w:t>
      </w:r>
      <w:r w:rsidR="00744A1C">
        <w:rPr>
          <w:rtl/>
          <w:lang w:bidi="fa-IR"/>
        </w:rPr>
        <w:t xml:space="preserve"> ، ج 17 ، ص 81 ، ح 22043.</w:t>
      </w:r>
    </w:p>
    <w:tbl>
      <w:tblPr>
        <w:tblStyle w:val="TableGrid"/>
        <w:bidiVisual/>
        <w:tblW w:w="0" w:type="auto"/>
        <w:tblLook w:val="04A0" w:firstRow="1" w:lastRow="0" w:firstColumn="1" w:lastColumn="0" w:noHBand="0" w:noVBand="1"/>
      </w:tblPr>
      <w:tblGrid>
        <w:gridCol w:w="4006"/>
        <w:gridCol w:w="4006"/>
      </w:tblGrid>
      <w:tr w:rsidR="00A0290C" w:rsidTr="00A0290C">
        <w:tc>
          <w:tcPr>
            <w:tcW w:w="4006" w:type="dxa"/>
          </w:tcPr>
          <w:p w:rsidR="00A0290C" w:rsidRDefault="00A0290C" w:rsidP="00E378DD">
            <w:pPr>
              <w:pStyle w:val="libFootnote0"/>
              <w:rPr>
                <w:rtl/>
                <w:lang w:bidi="fa-IR"/>
              </w:rPr>
            </w:pPr>
            <w:r>
              <w:rPr>
                <w:rtl/>
                <w:lang w:bidi="fa-IR"/>
              </w:rPr>
              <w:t>(7). في « ى » : « إنّما ».</w:t>
            </w:r>
          </w:p>
        </w:tc>
        <w:tc>
          <w:tcPr>
            <w:tcW w:w="4006" w:type="dxa"/>
          </w:tcPr>
          <w:p w:rsidR="00A0290C" w:rsidRDefault="00A0290C" w:rsidP="00E378DD">
            <w:pPr>
              <w:pStyle w:val="libFootnote0"/>
              <w:rPr>
                <w:rtl/>
                <w:lang w:bidi="fa-IR"/>
              </w:rPr>
            </w:pPr>
            <w:r>
              <w:rPr>
                <w:rtl/>
                <w:lang w:bidi="fa-IR"/>
              </w:rPr>
              <w:t xml:space="preserve">(8). في </w:t>
            </w:r>
            <w:r w:rsidRPr="00C24F9C">
              <w:rPr>
                <w:rStyle w:val="libFootnoteBoldChar"/>
                <w:rtl/>
              </w:rPr>
              <w:t>الوافي</w:t>
            </w:r>
            <w:r>
              <w:rPr>
                <w:rtl/>
                <w:lang w:bidi="fa-IR"/>
              </w:rPr>
              <w:t xml:space="preserve"> </w:t>
            </w:r>
            <w:r w:rsidRPr="0061079A">
              <w:rPr>
                <w:rStyle w:val="libFootnoteBoldChar"/>
                <w:rtl/>
              </w:rPr>
              <w:t>والتهذيب</w:t>
            </w:r>
            <w:r>
              <w:rPr>
                <w:rtl/>
                <w:lang w:bidi="fa-IR"/>
              </w:rPr>
              <w:t xml:space="preserve"> : « اكتسبت ».</w:t>
            </w:r>
          </w:p>
        </w:tc>
      </w:tr>
    </w:tbl>
    <w:p w:rsidR="00744A1C" w:rsidRDefault="00E378DD" w:rsidP="00E378DD">
      <w:pPr>
        <w:pStyle w:val="libFootnote0"/>
        <w:rPr>
          <w:lang w:bidi="fa-IR"/>
        </w:rPr>
      </w:pPr>
      <w:r>
        <w:rPr>
          <w:rtl/>
          <w:lang w:bidi="fa-IR"/>
        </w:rPr>
        <w:t>(9).</w:t>
      </w:r>
      <w:r w:rsidR="00744A1C">
        <w:rPr>
          <w:rtl/>
          <w:lang w:bidi="fa-IR"/>
        </w:rPr>
        <w:t xml:space="preserve"> الإغماض : المسامحة والمساهلة كذا في </w:t>
      </w:r>
      <w:r w:rsidR="00744A1C" w:rsidRPr="00877682">
        <w:rPr>
          <w:rStyle w:val="libFootnoteBoldChar"/>
          <w:rtl/>
        </w:rPr>
        <w:t>النهاية</w:t>
      </w:r>
      <w:r w:rsidR="00744A1C">
        <w:rPr>
          <w:rtl/>
          <w:lang w:bidi="fa-IR"/>
        </w:rPr>
        <w:t xml:space="preserve"> ، ج 3 ، ص 387 ( غمض ). وفي </w:t>
      </w:r>
      <w:r w:rsidR="00744A1C" w:rsidRPr="00C24F9C">
        <w:rPr>
          <w:rStyle w:val="libFootnoteBoldChar"/>
          <w:rtl/>
        </w:rPr>
        <w:t>الوافي</w:t>
      </w:r>
      <w:r w:rsidR="00744A1C">
        <w:rPr>
          <w:rtl/>
          <w:lang w:bidi="fa-IR"/>
        </w:rPr>
        <w:t xml:space="preserve"> : « أغمضت في مطالبه ، أي تساهلت في تحصيله ولم أجتنب من الحرام والشبهات ، وأصله من إغماض العين. ومصرف هذا الخمس الفقراء والمساكين ، دون بني هاشم ، كما زعمته طائفة. وقد مضى تحقيقه ».</w:t>
      </w:r>
    </w:p>
    <w:tbl>
      <w:tblPr>
        <w:tblStyle w:val="TableGrid"/>
        <w:bidiVisual/>
        <w:tblW w:w="0" w:type="auto"/>
        <w:tblLook w:val="04A0" w:firstRow="1" w:lastRow="0" w:firstColumn="1" w:lastColumn="0" w:noHBand="0" w:noVBand="1"/>
      </w:tblPr>
      <w:tblGrid>
        <w:gridCol w:w="4006"/>
        <w:gridCol w:w="4006"/>
      </w:tblGrid>
      <w:tr w:rsidR="00A0290C" w:rsidTr="00A0290C">
        <w:tc>
          <w:tcPr>
            <w:tcW w:w="4006" w:type="dxa"/>
          </w:tcPr>
          <w:p w:rsidR="00A0290C" w:rsidRDefault="00A0290C" w:rsidP="00E378DD">
            <w:pPr>
              <w:pStyle w:val="libFootnote0"/>
              <w:rPr>
                <w:rtl/>
                <w:lang w:bidi="fa-IR"/>
              </w:rPr>
            </w:pPr>
            <w:r>
              <w:rPr>
                <w:rtl/>
                <w:lang w:bidi="fa-IR"/>
              </w:rPr>
              <w:t xml:space="preserve">(10). في « بف » </w:t>
            </w:r>
            <w:r w:rsidRPr="00A0290C">
              <w:rPr>
                <w:rtl/>
              </w:rPr>
              <w:t>والوافي</w:t>
            </w:r>
            <w:r>
              <w:rPr>
                <w:rtl/>
                <w:lang w:bidi="fa-IR"/>
              </w:rPr>
              <w:t xml:space="preserve"> : « حلال وحرام ».</w:t>
            </w:r>
          </w:p>
        </w:tc>
        <w:tc>
          <w:tcPr>
            <w:tcW w:w="4006" w:type="dxa"/>
          </w:tcPr>
          <w:p w:rsidR="00A0290C" w:rsidRDefault="00A0290C" w:rsidP="00E378DD">
            <w:pPr>
              <w:pStyle w:val="libFootnote0"/>
              <w:rPr>
                <w:rtl/>
                <w:lang w:bidi="fa-IR"/>
              </w:rPr>
            </w:pPr>
            <w:r>
              <w:rPr>
                <w:rtl/>
                <w:lang w:bidi="fa-IR"/>
              </w:rPr>
              <w:t>(11). في حاشية « جت » : « ولا أرى ».</w:t>
            </w:r>
          </w:p>
        </w:tc>
      </w:tr>
      <w:tr w:rsidR="00A0290C" w:rsidTr="00A0290C">
        <w:tc>
          <w:tcPr>
            <w:tcW w:w="4006" w:type="dxa"/>
          </w:tcPr>
          <w:p w:rsidR="00A0290C" w:rsidRDefault="00A0290C" w:rsidP="00E378DD">
            <w:pPr>
              <w:pStyle w:val="libFootnote0"/>
              <w:rPr>
                <w:rtl/>
                <w:lang w:bidi="fa-IR"/>
              </w:rPr>
            </w:pPr>
            <w:r>
              <w:rPr>
                <w:rtl/>
                <w:lang w:bidi="fa-IR"/>
              </w:rPr>
              <w:t>(12). في « ى » : - « منه ».</w:t>
            </w:r>
          </w:p>
        </w:tc>
        <w:tc>
          <w:tcPr>
            <w:tcW w:w="4006" w:type="dxa"/>
          </w:tcPr>
          <w:p w:rsidR="00A0290C" w:rsidRDefault="00A0290C" w:rsidP="00E378DD">
            <w:pPr>
              <w:pStyle w:val="libFootnote0"/>
              <w:rPr>
                <w:rtl/>
                <w:lang w:bidi="fa-IR"/>
              </w:rPr>
            </w:pPr>
            <w:r>
              <w:rPr>
                <w:rtl/>
                <w:lang w:bidi="fa-IR"/>
              </w:rPr>
              <w:t xml:space="preserve">(13). في </w:t>
            </w:r>
            <w:r w:rsidRPr="00A0290C">
              <w:rPr>
                <w:rtl/>
              </w:rPr>
              <w:t>الفقيه</w:t>
            </w:r>
            <w:r>
              <w:rPr>
                <w:rtl/>
                <w:lang w:bidi="fa-IR"/>
              </w:rPr>
              <w:t xml:space="preserve"> : « فقال عليّ </w:t>
            </w:r>
            <w:r w:rsidRPr="0061079A">
              <w:rPr>
                <w:rStyle w:val="libFootnoteAlaemChar"/>
                <w:rtl/>
              </w:rPr>
              <w:t>عليه‌السلام</w:t>
            </w:r>
            <w:r>
              <w:rPr>
                <w:rtl/>
                <w:lang w:bidi="fa-IR"/>
              </w:rPr>
              <w:t xml:space="preserve"> : أخرج خمس ».</w:t>
            </w:r>
          </w:p>
        </w:tc>
      </w:tr>
    </w:tbl>
    <w:p w:rsidR="00144FA6" w:rsidRDefault="00E378DD" w:rsidP="00E378DD">
      <w:pPr>
        <w:pStyle w:val="libFootnote0"/>
        <w:rPr>
          <w:rtl/>
          <w:lang w:bidi="fa-IR"/>
        </w:rPr>
      </w:pPr>
      <w:r>
        <w:rPr>
          <w:rtl/>
          <w:lang w:bidi="fa-IR"/>
        </w:rPr>
        <w:t>(14).</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تصدّق بخمس مالك ، خصّصه الأصحاب بما إذا جهل قدر الحرام ومالكه ، فلو</w:t>
      </w:r>
      <w:r w:rsidR="00A0290C">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A0290C">
      <w:pPr>
        <w:pStyle w:val="libNormal0"/>
        <w:rPr>
          <w:rtl/>
          <w:lang w:bidi="fa-IR"/>
        </w:rPr>
      </w:pPr>
      <w:r>
        <w:rPr>
          <w:rtl/>
          <w:lang w:bidi="fa-IR"/>
        </w:rPr>
        <w:t xml:space="preserve">مِنَ الْأَشْيَاءِ </w:t>
      </w:r>
      <w:r w:rsidRPr="00D10E3C">
        <w:rPr>
          <w:rStyle w:val="libFootnotenumChar"/>
          <w:rtl/>
        </w:rPr>
        <w:t>(1)</w:t>
      </w:r>
      <w:r w:rsidR="00A0290C">
        <w:rPr>
          <w:rtl/>
          <w:lang w:bidi="fa-IR"/>
        </w:rPr>
        <w:t xml:space="preserve"> بِالْخُمُسِ ، وَسَائِرُ الم</w:t>
      </w:r>
      <w:r w:rsidR="00A0290C">
        <w:rPr>
          <w:rFonts w:hint="cs"/>
          <w:rtl/>
          <w:lang w:bidi="fa-IR"/>
        </w:rPr>
        <w:t>ـَ</w:t>
      </w:r>
      <w:r>
        <w:rPr>
          <w:rtl/>
          <w:lang w:bidi="fa-IR"/>
        </w:rPr>
        <w:t xml:space="preserve">الِ </w:t>
      </w:r>
      <w:r w:rsidRPr="00D10E3C">
        <w:rPr>
          <w:rStyle w:val="libFootnotenumChar"/>
          <w:rtl/>
        </w:rPr>
        <w:t>(2)</w:t>
      </w:r>
      <w:r>
        <w:rPr>
          <w:rtl/>
          <w:lang w:bidi="fa-IR"/>
        </w:rPr>
        <w:t xml:space="preserve"> لَكَ حَلَالٌ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 xml:space="preserve">8582 / 6. عَلِيُّ بْنُ إِبْرَاهِيمَ </w:t>
      </w:r>
      <w:r w:rsidRPr="00D10E3C">
        <w:rPr>
          <w:rStyle w:val="libFootnotenumChar"/>
          <w:rtl/>
        </w:rPr>
        <w:t>(5)</w:t>
      </w:r>
      <w:r>
        <w:rPr>
          <w:rtl/>
          <w:lang w:bidi="fa-IR"/>
        </w:rPr>
        <w:t xml:space="preserve"> ، عَنْ عَلِيِّ بْنِ مُحَمَّدٍ الْقَاسَانِيِّ </w:t>
      </w:r>
      <w:r w:rsidRPr="00D10E3C">
        <w:rPr>
          <w:rStyle w:val="libFootnotenumChar"/>
          <w:rtl/>
        </w:rPr>
        <w:t>(6)</w:t>
      </w:r>
      <w:r>
        <w:rPr>
          <w:rtl/>
          <w:lang w:bidi="fa-IR"/>
        </w:rPr>
        <w:t xml:space="preserve"> ، عَنْ رَجُلٍ سَمَّاهُ </w:t>
      </w:r>
      <w:r w:rsidRPr="00D10E3C">
        <w:rPr>
          <w:rStyle w:val="libFootnotenumChar"/>
          <w:rtl/>
        </w:rPr>
        <w:t>(7)</w:t>
      </w:r>
      <w:r>
        <w:rPr>
          <w:rtl/>
          <w:lang w:bidi="fa-IR"/>
        </w:rPr>
        <w:t xml:space="preserve"> ، عَنْ عَبْدِ اللهِ بْنِ الْقَاسِمِ الْجَعْفَرِيِّ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تَشَوَّفَتِ </w:t>
      </w:r>
      <w:r w:rsidRPr="00D10E3C">
        <w:rPr>
          <w:rStyle w:val="libFootnotenumChar"/>
          <w:rtl/>
        </w:rPr>
        <w:t>(8)</w:t>
      </w:r>
      <w:r>
        <w:rPr>
          <w:rtl/>
          <w:lang w:bidi="fa-IR"/>
        </w:rPr>
        <w:t xml:space="preserve"> الدُّنْيَا‌</w:t>
      </w:r>
      <w:r w:rsidR="00A0290C">
        <w:rPr>
          <w:rFonts w:hint="cs"/>
          <w:rtl/>
          <w:lang w:bidi="fa-IR"/>
        </w:rPr>
        <w:t xml:space="preserve"> ..........................</w:t>
      </w:r>
      <w:r w:rsidR="00A0290C">
        <w:rPr>
          <w:rFonts w:hint="cs"/>
          <w:rtl/>
          <w:lang w:bidi="fa-IR"/>
        </w:rPr>
        <w:tab/>
      </w:r>
    </w:p>
    <w:p w:rsidR="00744A1C" w:rsidRDefault="00744A1C" w:rsidP="00D10E3C">
      <w:pPr>
        <w:pStyle w:val="libLine"/>
        <w:rPr>
          <w:lang w:bidi="fa-IR"/>
        </w:rPr>
      </w:pPr>
      <w:r>
        <w:rPr>
          <w:rtl/>
          <w:lang w:bidi="fa-IR"/>
        </w:rPr>
        <w:t>____________________</w:t>
      </w:r>
    </w:p>
    <w:p w:rsidR="00744A1C" w:rsidRDefault="00A0290C" w:rsidP="00D10E3C">
      <w:pPr>
        <w:pStyle w:val="libFootnote0"/>
        <w:rPr>
          <w:lang w:bidi="fa-IR"/>
        </w:rPr>
      </w:pPr>
      <w:r>
        <w:rPr>
          <w:rFonts w:hint="cs"/>
          <w:rtl/>
          <w:lang w:bidi="fa-IR"/>
        </w:rPr>
        <w:t xml:space="preserve">= </w:t>
      </w:r>
      <w:r w:rsidR="00744A1C">
        <w:rPr>
          <w:rtl/>
          <w:lang w:bidi="fa-IR"/>
        </w:rPr>
        <w:t>عرفهما تعيّن الدفع إلى المالك بأجمعه ، ولو علم المالك ولم يعلم القدر صالحه ، ولو علم القدر خاصّة وجبت الصدقة به وإن زاد على الخمس. واختلفوا أيضاً في أنّه خمس أو صدقة ، والأخير أشهر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الفقيه</w:t>
      </w:r>
      <w:r w:rsidR="00744A1C">
        <w:rPr>
          <w:rtl/>
          <w:lang w:bidi="fa-IR"/>
        </w:rPr>
        <w:t xml:space="preserve"> : « الإنسان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w:t>
      </w:r>
      <w:r w:rsidR="00744A1C" w:rsidRPr="00A0290C">
        <w:rPr>
          <w:rtl/>
        </w:rPr>
        <w:t>والوافي والوسائل والفقيه والتهذيب والمحاسن</w:t>
      </w:r>
      <w:r w:rsidR="00744A1C">
        <w:rPr>
          <w:rtl/>
          <w:lang w:bidi="fa-IR"/>
        </w:rPr>
        <w:t>. وفي المطبوع : « الأموال ».</w:t>
      </w:r>
    </w:p>
    <w:p w:rsidR="00744A1C" w:rsidRDefault="00E378DD" w:rsidP="00E378DD">
      <w:pPr>
        <w:pStyle w:val="libFootnote0"/>
        <w:rPr>
          <w:lang w:bidi="fa-IR"/>
        </w:rPr>
      </w:pPr>
      <w:r>
        <w:rPr>
          <w:rtl/>
          <w:lang w:bidi="fa-IR"/>
        </w:rPr>
        <w:t>(3).</w:t>
      </w:r>
      <w:r w:rsidR="00744A1C">
        <w:rPr>
          <w:rtl/>
          <w:lang w:bidi="fa-IR"/>
        </w:rPr>
        <w:t xml:space="preserve"> في </w:t>
      </w:r>
      <w:r w:rsidR="00744A1C" w:rsidRPr="00A0290C">
        <w:rPr>
          <w:rtl/>
        </w:rPr>
        <w:t>التهذيب</w:t>
      </w:r>
      <w:r w:rsidR="00744A1C">
        <w:rPr>
          <w:rtl/>
          <w:lang w:bidi="fa-IR"/>
        </w:rPr>
        <w:t xml:space="preserve"> : - « حلال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368 ، ح 1065 ، معلّقاً عن الكليني. </w:t>
      </w:r>
      <w:r w:rsidR="00744A1C" w:rsidRPr="003A7143">
        <w:rPr>
          <w:rStyle w:val="libFootnoteBoldChar"/>
          <w:rtl/>
        </w:rPr>
        <w:t>المحاسن</w:t>
      </w:r>
      <w:r w:rsidR="00744A1C">
        <w:rPr>
          <w:rtl/>
          <w:lang w:bidi="fa-IR"/>
        </w:rPr>
        <w:t xml:space="preserve"> ، ص 320 ، ح 59 ، بسنده عن النوفلي ، عن السكوني ، عن أبي عبد الله ، عن آبائه ، عن عليّ </w:t>
      </w:r>
      <w:r w:rsidR="00877682" w:rsidRPr="00877682">
        <w:rPr>
          <w:rStyle w:val="libFootnoteAlaemChar"/>
          <w:rtl/>
        </w:rPr>
        <w:t>عليهم‌السلام</w:t>
      </w:r>
      <w:r w:rsidR="00744A1C">
        <w:rPr>
          <w:rtl/>
          <w:lang w:bidi="fa-IR"/>
        </w:rPr>
        <w:t xml:space="preserve"> . </w:t>
      </w:r>
      <w:r w:rsidR="00744A1C" w:rsidRPr="00C24F9C">
        <w:rPr>
          <w:rStyle w:val="libFootnoteBoldChar"/>
          <w:rtl/>
        </w:rPr>
        <w:t>الفقيه</w:t>
      </w:r>
      <w:r w:rsidR="00744A1C">
        <w:rPr>
          <w:rtl/>
          <w:lang w:bidi="fa-IR"/>
        </w:rPr>
        <w:t xml:space="preserve"> ، ج 3 ، ص 189 ، ح 3713 ، معلّقاً عن السكوني ، عن أبي عبد الله ، عن آبائه ، عن عليّ </w:t>
      </w:r>
      <w:r w:rsidR="00877682" w:rsidRPr="00877682">
        <w:rPr>
          <w:rStyle w:val="libFootnoteAlaemChar"/>
          <w:rtl/>
        </w:rPr>
        <w:t>عليهم‌السلام</w:t>
      </w:r>
      <w:r w:rsidR="00D10E3C">
        <w:rPr>
          <w:rtl/>
          <w:lang w:bidi="fa-IR"/>
        </w:rPr>
        <w:t xml:space="preserve"> </w:t>
      </w:r>
      <w:r w:rsidR="00A0290C">
        <w:rPr>
          <w:rFonts w:hint="cs"/>
          <w:rtl/>
          <w:lang w:bidi="fa-IR"/>
        </w:rPr>
        <w:t>.</w:t>
      </w:r>
      <w:r w:rsidR="00744A1C" w:rsidRPr="00C24F9C">
        <w:rPr>
          <w:rStyle w:val="libFootnoteBoldChar"/>
          <w:rtl/>
        </w:rPr>
        <w:t>الوافي</w:t>
      </w:r>
      <w:r w:rsidR="00744A1C">
        <w:rPr>
          <w:rtl/>
          <w:lang w:bidi="fa-IR"/>
        </w:rPr>
        <w:t xml:space="preserve"> ، ج 17 ، ص 61 ، ح 16858 ؛ </w:t>
      </w:r>
      <w:r w:rsidR="00744A1C" w:rsidRPr="00C24F9C">
        <w:rPr>
          <w:rStyle w:val="libFootnoteBoldChar"/>
          <w:rtl/>
        </w:rPr>
        <w:t>الوسائل</w:t>
      </w:r>
      <w:r w:rsidR="00744A1C">
        <w:rPr>
          <w:rtl/>
          <w:lang w:bidi="fa-IR"/>
        </w:rPr>
        <w:t xml:space="preserve"> ، ج 9 ، ص 506 ، ح 12594.</w:t>
      </w:r>
    </w:p>
    <w:p w:rsidR="00744A1C" w:rsidRDefault="00E378DD" w:rsidP="00E378DD">
      <w:pPr>
        <w:pStyle w:val="libFootnote0"/>
        <w:rPr>
          <w:lang w:bidi="fa-IR"/>
        </w:rPr>
      </w:pPr>
      <w:r>
        <w:rPr>
          <w:rtl/>
          <w:lang w:bidi="fa-IR"/>
        </w:rPr>
        <w:t>(5).</w:t>
      </w:r>
      <w:r w:rsidR="00744A1C">
        <w:rPr>
          <w:rtl/>
          <w:lang w:bidi="fa-IR"/>
        </w:rPr>
        <w:t xml:space="preserve"> هكذا في « ط ». وفي « ى ، بح ، بخ ، بس ، بف ، جت ، جد ، جن » </w:t>
      </w:r>
      <w:r w:rsidR="00744A1C" w:rsidRPr="00A0290C">
        <w:rPr>
          <w:rtl/>
        </w:rPr>
        <w:t>والتهذيب</w:t>
      </w:r>
      <w:r w:rsidR="00955510">
        <w:rPr>
          <w:rtl/>
          <w:lang w:bidi="fa-IR"/>
        </w:rPr>
        <w:t xml:space="preserve"> والمطبوع : + « عن أبيه</w:t>
      </w:r>
      <w:r w:rsidR="00744A1C">
        <w:rPr>
          <w:rtl/>
          <w:lang w:bidi="fa-IR"/>
        </w:rPr>
        <w:t>». وفي</w:t>
      </w:r>
      <w:r w:rsidR="00A0290C">
        <w:rPr>
          <w:rFonts w:hint="cs"/>
          <w:rtl/>
          <w:lang w:bidi="fa-IR"/>
        </w:rPr>
        <w:t xml:space="preserve"> </w:t>
      </w:r>
      <w:r w:rsidR="00744A1C" w:rsidRPr="00A0290C">
        <w:rPr>
          <w:rtl/>
        </w:rPr>
        <w:t>‌الوسائل</w:t>
      </w:r>
      <w:r w:rsidR="00744A1C">
        <w:rPr>
          <w:rtl/>
          <w:lang w:bidi="fa-IR"/>
        </w:rPr>
        <w:t xml:space="preserve"> : + « عن أبيه و».</w:t>
      </w:r>
    </w:p>
    <w:p w:rsidR="00744A1C" w:rsidRDefault="00744A1C" w:rsidP="00D10E3C">
      <w:pPr>
        <w:pStyle w:val="libFootnote0"/>
        <w:rPr>
          <w:lang w:bidi="fa-IR"/>
        </w:rPr>
      </w:pPr>
      <w:r>
        <w:rPr>
          <w:rtl/>
          <w:lang w:bidi="fa-IR"/>
        </w:rPr>
        <w:t xml:space="preserve">وما أثبتناه هو الظاهر ؛ فإنّه مضافاً إلى عدم ثبوت توسّط إبراهيم بن هاشم بين ولده وبين عليّ بن محمّد القاساني - كما تقدّم في </w:t>
      </w:r>
      <w:r w:rsidRPr="0061079A">
        <w:rPr>
          <w:rStyle w:val="libFootnoteBoldChar"/>
          <w:rtl/>
        </w:rPr>
        <w:t>الكافي</w:t>
      </w:r>
      <w:r>
        <w:rPr>
          <w:rtl/>
          <w:lang w:bidi="fa-IR"/>
        </w:rPr>
        <w:t xml:space="preserve"> ، ذيل ح 1903 - ورد في </w:t>
      </w:r>
      <w:r w:rsidRPr="0061079A">
        <w:rPr>
          <w:rStyle w:val="libFootnoteBoldChar"/>
          <w:rtl/>
        </w:rPr>
        <w:t>الكافي</w:t>
      </w:r>
      <w:r>
        <w:rPr>
          <w:rtl/>
          <w:lang w:bidi="fa-IR"/>
        </w:rPr>
        <w:t xml:space="preserve"> ، ح 1902 ، خبرٌ رواه عليّ بن إبراهيم عن عليّ بن محمّد القاساني عمّن ذكره عن عبد الله بن القاسم عن أبي عبد الله </w:t>
      </w:r>
      <w:r w:rsidR="0061079A" w:rsidRPr="0061079A">
        <w:rPr>
          <w:rStyle w:val="libFootnoteAlaemChar"/>
          <w:rtl/>
        </w:rPr>
        <w:t>عليه‌السلام</w:t>
      </w:r>
      <w:r w:rsidR="00D10E3C">
        <w:rPr>
          <w:rtl/>
          <w:lang w:bidi="fa-IR"/>
        </w:rPr>
        <w:t xml:space="preserve"> </w:t>
      </w:r>
      <w:r>
        <w:rPr>
          <w:rtl/>
          <w:lang w:bidi="fa-IR"/>
        </w:rPr>
        <w:t>، والظاهر من مقارنة ذاك الخبر مع خبرنا هذا أنّهما قطعتان من خبر واحد.</w:t>
      </w:r>
    </w:p>
    <w:p w:rsidR="00144FA6" w:rsidRDefault="00744A1C" w:rsidP="00D10E3C">
      <w:pPr>
        <w:pStyle w:val="libFootnote0"/>
        <w:rPr>
          <w:rtl/>
          <w:lang w:bidi="fa-IR"/>
        </w:rPr>
      </w:pPr>
      <w:r>
        <w:rPr>
          <w:rtl/>
          <w:lang w:bidi="fa-IR"/>
        </w:rPr>
        <w:t xml:space="preserve">وأمّا ما ورد في </w:t>
      </w:r>
      <w:r w:rsidRPr="00C24F9C">
        <w:rPr>
          <w:rStyle w:val="libFootnoteBoldChar"/>
          <w:rtl/>
        </w:rPr>
        <w:t>الوسائل</w:t>
      </w:r>
      <w:r>
        <w:rPr>
          <w:rtl/>
          <w:lang w:bidi="fa-IR"/>
        </w:rPr>
        <w:t xml:space="preserve"> من زيادة « عن أبيه و» ، فإنّه وإن كان موافقاً لما ورد في كثير من الأسناد من رواية عليّ بن إبراهيم عن أبيه وعليّ بن محمّد القاساني </w:t>
      </w:r>
      <w:r w:rsidR="00A0290C">
        <w:rPr>
          <w:rtl/>
          <w:lang w:bidi="fa-IR"/>
        </w:rPr>
        <w:t>، لكنّه لا يمكن الاعتماد عليه ل</w:t>
      </w:r>
      <w:r>
        <w:rPr>
          <w:rtl/>
          <w:lang w:bidi="fa-IR"/>
        </w:rPr>
        <w:t>ا</w:t>
      </w:r>
      <w:r w:rsidR="00A0290C">
        <w:rPr>
          <w:rFonts w:hint="cs"/>
          <w:rtl/>
          <w:lang w:bidi="fa-IR"/>
        </w:rPr>
        <w:t>ُ</w:t>
      </w:r>
      <w:r>
        <w:rPr>
          <w:rtl/>
          <w:lang w:bidi="fa-IR"/>
        </w:rPr>
        <w:t>مور ثلاثة :</w:t>
      </w:r>
    </w:p>
    <w:p w:rsidR="00744A1C" w:rsidRDefault="00744A1C" w:rsidP="00D10E3C">
      <w:pPr>
        <w:pStyle w:val="libFootnote0"/>
        <w:rPr>
          <w:lang w:bidi="fa-IR"/>
        </w:rPr>
      </w:pPr>
      <w:r>
        <w:rPr>
          <w:rtl/>
          <w:lang w:bidi="fa-IR"/>
        </w:rPr>
        <w:t xml:space="preserve">الأوّل : ما تقدّم آنفاً من استظهار وحدة منشأ خبرنا هذا وما ورد في </w:t>
      </w:r>
      <w:r w:rsidRPr="0061079A">
        <w:rPr>
          <w:rStyle w:val="libFootnoteBoldChar"/>
          <w:rtl/>
        </w:rPr>
        <w:t>الكافي</w:t>
      </w:r>
      <w:r>
        <w:rPr>
          <w:rtl/>
          <w:lang w:bidi="fa-IR"/>
        </w:rPr>
        <w:t xml:space="preserve"> ، ح 1902.</w:t>
      </w:r>
    </w:p>
    <w:p w:rsidR="00744A1C" w:rsidRDefault="00744A1C" w:rsidP="00D10E3C">
      <w:pPr>
        <w:pStyle w:val="libFootnote0"/>
        <w:rPr>
          <w:lang w:bidi="fa-IR"/>
        </w:rPr>
      </w:pPr>
      <w:r>
        <w:rPr>
          <w:rtl/>
          <w:lang w:bidi="fa-IR"/>
        </w:rPr>
        <w:t>الثاني : أنّ ما أشرنا إليه من رواية عليّ بن إبراهيم عن أبيه وعليّ بن محمّد القاساني ، هو الطريق المعهود إلى رواية القاسم بن محمّد الإصفهاني عن سليمان بن داود المنقري ، وقلّما ورد ذكره جدّاً لغير هذا المنظور.</w:t>
      </w:r>
    </w:p>
    <w:p w:rsidR="00744A1C" w:rsidRDefault="00744A1C" w:rsidP="00A0290C">
      <w:pPr>
        <w:pStyle w:val="libFootnote0"/>
        <w:rPr>
          <w:lang w:bidi="fa-IR"/>
        </w:rPr>
      </w:pPr>
      <w:r>
        <w:rPr>
          <w:rtl/>
          <w:lang w:bidi="fa-IR"/>
        </w:rPr>
        <w:t xml:space="preserve">الثالث : إمكان الجمع في نسخة </w:t>
      </w:r>
      <w:r w:rsidRPr="00C24F9C">
        <w:rPr>
          <w:rStyle w:val="libFootnoteBoldChar"/>
          <w:rtl/>
        </w:rPr>
        <w:t>الوسائل</w:t>
      </w:r>
      <w:r>
        <w:rPr>
          <w:rtl/>
          <w:lang w:bidi="fa-IR"/>
        </w:rPr>
        <w:t xml:space="preserve"> بين ما كان في المتن وهي « عن » وبين ما ذُكر في الحاشية بياناً للوجه الصحيح وهي « و».</w:t>
      </w:r>
      <w:r w:rsidR="00A0290C">
        <w:rPr>
          <w:rFonts w:hint="cs"/>
          <w:rtl/>
          <w:lang w:bidi="fa-IR"/>
        </w:rPr>
        <w:t xml:space="preserve">                            </w:t>
      </w:r>
      <w:r w:rsidR="00E378DD">
        <w:rPr>
          <w:rtl/>
          <w:lang w:bidi="fa-IR"/>
        </w:rPr>
        <w:t>(6).</w:t>
      </w:r>
      <w:r>
        <w:rPr>
          <w:rtl/>
          <w:lang w:bidi="fa-IR"/>
        </w:rPr>
        <w:t xml:space="preserve"> في « بف ، جد » : « القاشاني ».</w:t>
      </w:r>
    </w:p>
    <w:p w:rsidR="00744A1C" w:rsidRDefault="00E378DD" w:rsidP="00E378DD">
      <w:pPr>
        <w:pStyle w:val="libFootnote0"/>
        <w:rPr>
          <w:lang w:bidi="fa-IR"/>
        </w:rPr>
      </w:pPr>
      <w:r>
        <w:rPr>
          <w:rtl/>
          <w:lang w:bidi="fa-IR"/>
        </w:rPr>
        <w:t>(7).</w:t>
      </w:r>
      <w:r w:rsidR="00744A1C">
        <w:rPr>
          <w:rtl/>
          <w:lang w:bidi="fa-IR"/>
        </w:rPr>
        <w:t xml:space="preserve"> في </w:t>
      </w:r>
      <w:r w:rsidR="00744A1C" w:rsidRPr="00A0290C">
        <w:rPr>
          <w:rtl/>
        </w:rPr>
        <w:t>الوسائل</w:t>
      </w:r>
      <w:r w:rsidR="00744A1C">
        <w:rPr>
          <w:rtl/>
          <w:lang w:bidi="fa-IR"/>
        </w:rPr>
        <w:t xml:space="preserve"> : - « سمّاه ».</w:t>
      </w:r>
    </w:p>
    <w:p w:rsidR="00144FA6" w:rsidRDefault="00E378DD" w:rsidP="00E378DD">
      <w:pPr>
        <w:pStyle w:val="libFootnote0"/>
        <w:rPr>
          <w:rtl/>
          <w:lang w:bidi="fa-IR"/>
        </w:rPr>
      </w:pPr>
      <w:r>
        <w:rPr>
          <w:rtl/>
          <w:lang w:bidi="fa-IR"/>
        </w:rPr>
        <w:t>(8).</w:t>
      </w:r>
      <w:r w:rsidR="00744A1C">
        <w:rPr>
          <w:rtl/>
          <w:lang w:bidi="fa-IR"/>
        </w:rPr>
        <w:t xml:space="preserve"> في « بف ، جن » </w:t>
      </w:r>
      <w:r w:rsidR="00744A1C" w:rsidRPr="008F1A16">
        <w:rPr>
          <w:rtl/>
        </w:rPr>
        <w:t>والتهذيب</w:t>
      </w:r>
      <w:r w:rsidR="00744A1C">
        <w:rPr>
          <w:rtl/>
          <w:lang w:bidi="fa-IR"/>
        </w:rPr>
        <w:t xml:space="preserve"> : «</w:t>
      </w:r>
      <w:r w:rsidR="008F1A16">
        <w:rPr>
          <w:rtl/>
          <w:lang w:bidi="fa-IR"/>
        </w:rPr>
        <w:t>تشوّقت». ويقال : تشوّفت الجارية، أي تزيّنت، وتشوّفت إلى الشي‌ء</w:t>
      </w:r>
      <w:r w:rsidR="00744A1C">
        <w:rPr>
          <w:rtl/>
          <w:lang w:bidi="fa-IR"/>
        </w:rPr>
        <w:t>، أي‌</w:t>
      </w:r>
      <w:r w:rsidR="008F1A16">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8F1A16">
      <w:pPr>
        <w:pStyle w:val="libNormal0"/>
        <w:rPr>
          <w:rtl/>
          <w:lang w:bidi="fa-IR"/>
        </w:rPr>
      </w:pPr>
      <w:r>
        <w:rPr>
          <w:rtl/>
          <w:lang w:bidi="fa-IR"/>
        </w:rPr>
        <w:t xml:space="preserve">لِقَوْمٍ </w:t>
      </w:r>
      <w:r w:rsidRPr="00D10E3C">
        <w:rPr>
          <w:rStyle w:val="libFootnotenumChar"/>
          <w:rtl/>
        </w:rPr>
        <w:t>(1)</w:t>
      </w:r>
      <w:r>
        <w:rPr>
          <w:rtl/>
          <w:lang w:bidi="fa-IR"/>
        </w:rPr>
        <w:t xml:space="preserve"> حَلَالاً مَحْضاً ، فَلَمْ يُرِيدُوهَا ، فَدَرَجُوا </w:t>
      </w:r>
      <w:r w:rsidRPr="00D10E3C">
        <w:rPr>
          <w:rStyle w:val="libFootnotenumChar"/>
          <w:rtl/>
        </w:rPr>
        <w:t>(2)</w:t>
      </w:r>
      <w:r>
        <w:rPr>
          <w:rtl/>
          <w:lang w:bidi="fa-IR"/>
        </w:rPr>
        <w:t xml:space="preserve"> ، ثُمَّ تَشَوَّفَتْ </w:t>
      </w:r>
      <w:r w:rsidRPr="00D10E3C">
        <w:rPr>
          <w:rStyle w:val="libFootnotenumChar"/>
          <w:rtl/>
        </w:rPr>
        <w:t>(3)</w:t>
      </w:r>
      <w:r>
        <w:rPr>
          <w:rtl/>
          <w:lang w:bidi="fa-IR"/>
        </w:rPr>
        <w:t xml:space="preserve"> لِقَوْمٍ </w:t>
      </w:r>
      <w:r w:rsidRPr="00D10E3C">
        <w:rPr>
          <w:rStyle w:val="libFootnotenumChar"/>
          <w:rtl/>
        </w:rPr>
        <w:t>(4)</w:t>
      </w:r>
      <w:r>
        <w:rPr>
          <w:rtl/>
          <w:lang w:bidi="fa-IR"/>
        </w:rPr>
        <w:t xml:space="preserve"> حَلَالاً وَ </w:t>
      </w:r>
      <w:r w:rsidRPr="00D10E3C">
        <w:rPr>
          <w:rStyle w:val="libFootnotenumChar"/>
          <w:rtl/>
        </w:rPr>
        <w:t>(5)</w:t>
      </w:r>
      <w:r>
        <w:rPr>
          <w:rtl/>
          <w:lang w:bidi="fa-IR"/>
        </w:rPr>
        <w:t xml:space="preserve"> شُبْهَةً ، فَقَالُوا : لَا حَاجَةَ لَنَا فِي الشُّبْهَةِ ، وَتَوَسَّعُوا مِنَ </w:t>
      </w:r>
      <w:r w:rsidRPr="00D10E3C">
        <w:rPr>
          <w:rStyle w:val="libFootnotenumChar"/>
          <w:rtl/>
        </w:rPr>
        <w:t>(6)</w:t>
      </w:r>
      <w:r>
        <w:rPr>
          <w:rtl/>
          <w:lang w:bidi="fa-IR"/>
        </w:rPr>
        <w:t xml:space="preserve"> الْحَلَالِ ، ثُمَّ تَشَوَّفَتْ </w:t>
      </w:r>
      <w:r w:rsidRPr="00D10E3C">
        <w:rPr>
          <w:rStyle w:val="libFootnotenumChar"/>
          <w:rtl/>
        </w:rPr>
        <w:t>(7)</w:t>
      </w:r>
      <w:r>
        <w:rPr>
          <w:rtl/>
          <w:lang w:bidi="fa-IR"/>
        </w:rPr>
        <w:t xml:space="preserve"> لِقَوْمٍ </w:t>
      </w:r>
      <w:r w:rsidRPr="00D10E3C">
        <w:rPr>
          <w:rStyle w:val="libFootnotenumChar"/>
          <w:rtl/>
        </w:rPr>
        <w:t>(8)</w:t>
      </w:r>
      <w:r>
        <w:rPr>
          <w:rtl/>
          <w:lang w:bidi="fa-IR"/>
        </w:rPr>
        <w:t xml:space="preserve"> حَرَاماً وَشُبْهَةً ، فَقَالُوا : لَاحَاجَةَ لَنَا فِي الْحَرَامِ </w:t>
      </w:r>
      <w:r w:rsidRPr="00D10E3C">
        <w:rPr>
          <w:rStyle w:val="libFootnotenumChar"/>
          <w:rtl/>
        </w:rPr>
        <w:t>(9)</w:t>
      </w:r>
      <w:r>
        <w:rPr>
          <w:rtl/>
          <w:lang w:bidi="fa-IR"/>
        </w:rPr>
        <w:t xml:space="preserve"> ، وَتَوَسَّعُوا </w:t>
      </w:r>
      <w:r w:rsidRPr="00D10E3C">
        <w:rPr>
          <w:rStyle w:val="libFootnotenumChar"/>
          <w:rtl/>
        </w:rPr>
        <w:t>(10)</w:t>
      </w:r>
      <w:r>
        <w:rPr>
          <w:rtl/>
          <w:lang w:bidi="fa-IR"/>
        </w:rPr>
        <w:t xml:space="preserve"> فِي الشُّبْهَةِ ، ثُمَّ تَشَوَّفَتْ </w:t>
      </w:r>
      <w:r w:rsidRPr="00D10E3C">
        <w:rPr>
          <w:rStyle w:val="libFootnotenumChar"/>
          <w:rtl/>
        </w:rPr>
        <w:t>(11)</w:t>
      </w:r>
      <w:r>
        <w:rPr>
          <w:rtl/>
          <w:lang w:bidi="fa-IR"/>
        </w:rPr>
        <w:t xml:space="preserve"> لِقَوْمٍ </w:t>
      </w:r>
      <w:r w:rsidRPr="00D10E3C">
        <w:rPr>
          <w:rStyle w:val="libFootnotenumChar"/>
          <w:rtl/>
        </w:rPr>
        <w:t>(12)</w:t>
      </w:r>
      <w:r>
        <w:rPr>
          <w:rtl/>
          <w:lang w:bidi="fa-IR"/>
        </w:rPr>
        <w:t xml:space="preserve"> حَرَاماً مَحْضاً ، فَيَطْلُبُونَهَا </w:t>
      </w:r>
      <w:r w:rsidRPr="00D10E3C">
        <w:rPr>
          <w:rStyle w:val="libFootnotenumChar"/>
          <w:rtl/>
        </w:rPr>
        <w:t>(13)</w:t>
      </w:r>
      <w:r>
        <w:rPr>
          <w:rtl/>
          <w:lang w:bidi="fa-IR"/>
        </w:rPr>
        <w:t xml:space="preserve"> ، فَلَا يَجِدُونَهَا </w:t>
      </w:r>
      <w:r w:rsidRPr="00D10E3C">
        <w:rPr>
          <w:rStyle w:val="libFootnotenumChar"/>
          <w:rtl/>
        </w:rPr>
        <w:t>(14)</w:t>
      </w:r>
      <w:r>
        <w:rPr>
          <w:rtl/>
          <w:lang w:bidi="fa-IR"/>
        </w:rPr>
        <w:t xml:space="preserve"> ؛ وَالْمُؤْمِنُ فِي الدُّنْيَا يَأْكُلُ </w:t>
      </w:r>
      <w:r w:rsidRPr="00D10E3C">
        <w:rPr>
          <w:rStyle w:val="libFootnotenumChar"/>
          <w:rtl/>
        </w:rPr>
        <w:t>(15)</w:t>
      </w:r>
      <w:r>
        <w:rPr>
          <w:rtl/>
          <w:lang w:bidi="fa-IR"/>
        </w:rPr>
        <w:t xml:space="preserve"> بِمَنْزِلَةِ الْمُضْطَرِّ ». </w:t>
      </w:r>
      <w:r w:rsidRPr="00D10E3C">
        <w:rPr>
          <w:rStyle w:val="libFootnotenumChar"/>
          <w:rtl/>
        </w:rPr>
        <w:t>(16)</w:t>
      </w:r>
    </w:p>
    <w:p w:rsidR="00144FA6" w:rsidRDefault="00744A1C" w:rsidP="00744A1C">
      <w:pPr>
        <w:pStyle w:val="libNormal"/>
        <w:rPr>
          <w:rtl/>
          <w:lang w:bidi="fa-IR"/>
        </w:rPr>
      </w:pPr>
      <w:r>
        <w:rPr>
          <w:rtl/>
          <w:lang w:bidi="fa-IR"/>
        </w:rPr>
        <w:t>8583 / 7. عَلِيُّ بْنُ إِبْرَاهِيمَ ، عَمَّنْ ذَكَرَهُ ، عَنْ دَاوُدَ الصَّرْمِيِّ ، قَالَ :</w:t>
      </w:r>
    </w:p>
    <w:p w:rsidR="00144FA6" w:rsidRDefault="00744A1C" w:rsidP="00744A1C">
      <w:pPr>
        <w:pStyle w:val="libNormal"/>
        <w:rPr>
          <w:rtl/>
          <w:lang w:bidi="fa-IR"/>
        </w:rPr>
      </w:pPr>
      <w:r>
        <w:rPr>
          <w:rtl/>
          <w:lang w:bidi="fa-IR"/>
        </w:rPr>
        <w:t xml:space="preserve">قَالَ أَبُو الْحَسَنِ </w:t>
      </w:r>
      <w:r w:rsidR="0061079A" w:rsidRPr="0061079A">
        <w:rPr>
          <w:rStyle w:val="libAlaemChar"/>
          <w:rtl/>
        </w:rPr>
        <w:t>عليه‌السلام</w:t>
      </w:r>
      <w:r w:rsidR="00D10E3C">
        <w:rPr>
          <w:rtl/>
          <w:lang w:bidi="fa-IR"/>
        </w:rPr>
        <w:t xml:space="preserve"> </w:t>
      </w:r>
      <w:r>
        <w:rPr>
          <w:rtl/>
          <w:lang w:bidi="fa-IR"/>
        </w:rPr>
        <w:t xml:space="preserve">: « يَا دَاوُدُ ، إِنَّ الْحَرَامَ لَايَنْمِي ، وَإِنْ نَمى </w:t>
      </w:r>
      <w:r w:rsidRPr="00D10E3C">
        <w:rPr>
          <w:rStyle w:val="libFootnotenumChar"/>
          <w:rtl/>
        </w:rPr>
        <w:t>(17)</w:t>
      </w:r>
      <w:r>
        <w:rPr>
          <w:rtl/>
          <w:lang w:bidi="fa-IR"/>
        </w:rPr>
        <w:t xml:space="preserve"> لَايُبَارَكُ </w:t>
      </w:r>
      <w:r w:rsidRPr="00D10E3C">
        <w:rPr>
          <w:rStyle w:val="libFootnotenumChar"/>
          <w:rtl/>
        </w:rPr>
        <w:t>(18)</w:t>
      </w:r>
      <w:r>
        <w:rPr>
          <w:rtl/>
          <w:lang w:bidi="fa-IR"/>
        </w:rPr>
        <w:t xml:space="preserve"> لَهُ </w:t>
      </w:r>
      <w:r w:rsidRPr="00D10E3C">
        <w:rPr>
          <w:rStyle w:val="libFootnotenumChar"/>
          <w:rtl/>
        </w:rPr>
        <w:t>(19)</w:t>
      </w:r>
    </w:p>
    <w:p w:rsidR="00744A1C" w:rsidRDefault="00744A1C" w:rsidP="00D10E3C">
      <w:pPr>
        <w:pStyle w:val="libLine"/>
        <w:rPr>
          <w:lang w:bidi="fa-IR"/>
        </w:rPr>
      </w:pPr>
      <w:r>
        <w:rPr>
          <w:rtl/>
          <w:lang w:bidi="fa-IR"/>
        </w:rPr>
        <w:t>____________________</w:t>
      </w:r>
    </w:p>
    <w:p w:rsidR="00744A1C" w:rsidRDefault="008F1A16" w:rsidP="00D10E3C">
      <w:pPr>
        <w:pStyle w:val="libFootnote0"/>
        <w:rPr>
          <w:lang w:bidi="fa-IR"/>
        </w:rPr>
      </w:pPr>
      <w:r>
        <w:rPr>
          <w:rFonts w:hint="cs"/>
          <w:rtl/>
          <w:lang w:bidi="fa-IR"/>
        </w:rPr>
        <w:t xml:space="preserve">= </w:t>
      </w:r>
      <w:r w:rsidR="00744A1C">
        <w:rPr>
          <w:rtl/>
          <w:lang w:bidi="fa-IR"/>
        </w:rPr>
        <w:t xml:space="preserve">تطلّعت إليه ، ويقال : النساء يتشوّفن من السطوح ، أي ينظرن ويتطاولن. كذا في </w:t>
      </w:r>
      <w:r w:rsidR="00744A1C" w:rsidRPr="00E978C3">
        <w:rPr>
          <w:rStyle w:val="libFootnoteBoldChar"/>
          <w:rtl/>
        </w:rPr>
        <w:t>الصحاح</w:t>
      </w:r>
      <w:r w:rsidR="00744A1C">
        <w:rPr>
          <w:rtl/>
          <w:lang w:bidi="fa-IR"/>
        </w:rPr>
        <w:t xml:space="preserve"> ، ج 4 ، ص 1383 ( شوف ). وفي </w:t>
      </w:r>
      <w:r w:rsidR="00744A1C" w:rsidRPr="00C24F9C">
        <w:rPr>
          <w:rStyle w:val="libFootnoteBoldChar"/>
          <w:rtl/>
        </w:rPr>
        <w:t>الوافي</w:t>
      </w:r>
      <w:r w:rsidR="00744A1C">
        <w:rPr>
          <w:rtl/>
          <w:lang w:bidi="fa-IR"/>
        </w:rPr>
        <w:t xml:space="preserve"> : « تشوّفت - بالمعجمة والفاء - : تزيّنت وعرضت نفسها لهم بحيث تيسّر لهم التمتّع منها على الوجه الحلال المحض ، أو على الوجوه الا</w:t>
      </w:r>
      <w:r>
        <w:rPr>
          <w:rFonts w:hint="cs"/>
          <w:rtl/>
          <w:lang w:bidi="fa-IR"/>
        </w:rPr>
        <w:t>ُ</w:t>
      </w:r>
      <w:r w:rsidR="00744A1C">
        <w:rPr>
          <w:rtl/>
          <w:lang w:bidi="fa-IR"/>
        </w:rPr>
        <w:t>خر ، كما ذكر ».</w:t>
      </w:r>
    </w:p>
    <w:p w:rsidR="00744A1C" w:rsidRDefault="00D10E3C" w:rsidP="00D10E3C">
      <w:pPr>
        <w:pStyle w:val="libFootnote0"/>
        <w:rPr>
          <w:lang w:bidi="fa-IR"/>
        </w:rPr>
      </w:pPr>
      <w:r>
        <w:rPr>
          <w:rtl/>
          <w:lang w:bidi="fa-IR"/>
        </w:rPr>
        <w:t>(1).</w:t>
      </w:r>
      <w:r w:rsidR="00744A1C">
        <w:rPr>
          <w:rtl/>
          <w:lang w:bidi="fa-IR"/>
        </w:rPr>
        <w:t xml:space="preserve"> في </w:t>
      </w:r>
      <w:r w:rsidR="00744A1C" w:rsidRPr="008F1A16">
        <w:rPr>
          <w:rtl/>
        </w:rPr>
        <w:t>التهذيب</w:t>
      </w:r>
      <w:r w:rsidR="00744A1C">
        <w:rPr>
          <w:rtl/>
          <w:lang w:bidi="fa-IR"/>
        </w:rPr>
        <w:t xml:space="preserve"> : « إلى قوم ».</w:t>
      </w:r>
    </w:p>
    <w:p w:rsidR="00744A1C" w:rsidRDefault="00E378DD" w:rsidP="00E378DD">
      <w:pPr>
        <w:pStyle w:val="libFootnote0"/>
        <w:rPr>
          <w:lang w:bidi="fa-IR"/>
        </w:rPr>
      </w:pPr>
      <w:r>
        <w:rPr>
          <w:rtl/>
          <w:lang w:bidi="fa-IR"/>
        </w:rPr>
        <w:t>(2).</w:t>
      </w:r>
      <w:r w:rsidR="00744A1C">
        <w:rPr>
          <w:rtl/>
          <w:lang w:bidi="fa-IR"/>
        </w:rPr>
        <w:t xml:space="preserve"> « درجوا » أي انقرضوا ومضوا لسبيلهم. راجع : </w:t>
      </w:r>
      <w:r w:rsidR="00744A1C" w:rsidRPr="00E978C3">
        <w:rPr>
          <w:rStyle w:val="libFootnoteBoldChar"/>
          <w:rtl/>
        </w:rPr>
        <w:t>الصحاح</w:t>
      </w:r>
      <w:r w:rsidR="00744A1C">
        <w:rPr>
          <w:rtl/>
          <w:lang w:bidi="fa-IR"/>
        </w:rPr>
        <w:t xml:space="preserve"> ، ج 1 ، ص 313 ( درج ).</w:t>
      </w:r>
    </w:p>
    <w:p w:rsidR="00744A1C" w:rsidRDefault="00E378DD" w:rsidP="00E378DD">
      <w:pPr>
        <w:pStyle w:val="libFootnote0"/>
        <w:rPr>
          <w:lang w:bidi="fa-IR"/>
        </w:rPr>
      </w:pPr>
      <w:r>
        <w:rPr>
          <w:rtl/>
          <w:lang w:bidi="fa-IR"/>
        </w:rPr>
        <w:t>(3).</w:t>
      </w:r>
      <w:r w:rsidR="00744A1C">
        <w:rPr>
          <w:rtl/>
          <w:lang w:bidi="fa-IR"/>
        </w:rPr>
        <w:t xml:space="preserve"> في « بف ، جن » </w:t>
      </w:r>
      <w:r w:rsidR="00744A1C" w:rsidRPr="008F1A16">
        <w:rPr>
          <w:rtl/>
        </w:rPr>
        <w:t>والتهذيب</w:t>
      </w:r>
      <w:r w:rsidR="00744A1C">
        <w:rPr>
          <w:rtl/>
          <w:lang w:bidi="fa-IR"/>
        </w:rPr>
        <w:t xml:space="preserve"> : « تشوّقت ». وفي « ط » : + « الدنيا ».</w:t>
      </w:r>
    </w:p>
    <w:p w:rsidR="00744A1C" w:rsidRDefault="00E378DD" w:rsidP="00E378DD">
      <w:pPr>
        <w:pStyle w:val="libFootnote0"/>
        <w:rPr>
          <w:lang w:bidi="fa-IR"/>
        </w:rPr>
      </w:pPr>
      <w:r>
        <w:rPr>
          <w:rtl/>
          <w:lang w:bidi="fa-IR"/>
        </w:rPr>
        <w:t>(4).</w:t>
      </w:r>
      <w:r w:rsidR="00744A1C">
        <w:rPr>
          <w:rtl/>
          <w:lang w:bidi="fa-IR"/>
        </w:rPr>
        <w:t xml:space="preserve"> في </w:t>
      </w:r>
      <w:r w:rsidR="00744A1C" w:rsidRPr="008F1A16">
        <w:rPr>
          <w:rtl/>
        </w:rPr>
        <w:t>التهذيب</w:t>
      </w:r>
      <w:r w:rsidR="00744A1C">
        <w:rPr>
          <w:rtl/>
          <w:lang w:bidi="fa-IR"/>
        </w:rPr>
        <w:t xml:space="preserve"> : « إلى قوم ».</w:t>
      </w:r>
    </w:p>
    <w:p w:rsidR="00744A1C" w:rsidRDefault="00E378DD" w:rsidP="00E378DD">
      <w:pPr>
        <w:pStyle w:val="libFootnote0"/>
        <w:rPr>
          <w:lang w:bidi="fa-IR"/>
        </w:rPr>
      </w:pPr>
      <w:r>
        <w:rPr>
          <w:rtl/>
          <w:lang w:bidi="fa-IR"/>
        </w:rPr>
        <w:t>(5).</w:t>
      </w:r>
      <w:r w:rsidR="00744A1C">
        <w:rPr>
          <w:rtl/>
          <w:lang w:bidi="fa-IR"/>
        </w:rPr>
        <w:t xml:space="preserve"> في « بف » : - « حلالاً و».</w:t>
      </w:r>
    </w:p>
    <w:p w:rsidR="00744A1C" w:rsidRDefault="00E378DD" w:rsidP="00E378DD">
      <w:pPr>
        <w:pStyle w:val="libFootnote0"/>
        <w:rPr>
          <w:lang w:bidi="fa-IR"/>
        </w:rPr>
      </w:pPr>
      <w:r>
        <w:rPr>
          <w:rtl/>
          <w:lang w:bidi="fa-IR"/>
        </w:rPr>
        <w:t>(6).</w:t>
      </w:r>
      <w:r w:rsidR="00744A1C">
        <w:rPr>
          <w:rtl/>
          <w:lang w:bidi="fa-IR"/>
        </w:rPr>
        <w:t xml:space="preserve"> في حاشية « جت » </w:t>
      </w:r>
      <w:r w:rsidR="00744A1C" w:rsidRPr="008F1A16">
        <w:rPr>
          <w:rtl/>
        </w:rPr>
        <w:t>والوسائل والتهذيب</w:t>
      </w:r>
      <w:r w:rsidR="00744A1C">
        <w:rPr>
          <w:rtl/>
          <w:lang w:bidi="fa-IR"/>
        </w:rPr>
        <w:t xml:space="preserve"> : « في ».</w:t>
      </w:r>
    </w:p>
    <w:p w:rsidR="00744A1C" w:rsidRDefault="00E378DD" w:rsidP="00E378DD">
      <w:pPr>
        <w:pStyle w:val="libFootnote0"/>
        <w:rPr>
          <w:lang w:bidi="fa-IR"/>
        </w:rPr>
      </w:pPr>
      <w:r>
        <w:rPr>
          <w:rtl/>
          <w:lang w:bidi="fa-IR"/>
        </w:rPr>
        <w:t>(7).</w:t>
      </w:r>
      <w:r w:rsidR="00744A1C">
        <w:rPr>
          <w:rtl/>
          <w:lang w:bidi="fa-IR"/>
        </w:rPr>
        <w:t xml:space="preserve"> في « بف » </w:t>
      </w:r>
      <w:r w:rsidR="00744A1C" w:rsidRPr="008F1A16">
        <w:rPr>
          <w:rtl/>
        </w:rPr>
        <w:t>والتهذيب</w:t>
      </w:r>
      <w:r w:rsidR="00744A1C">
        <w:rPr>
          <w:rtl/>
          <w:lang w:bidi="fa-IR"/>
        </w:rPr>
        <w:t xml:space="preserve"> : « تشوّقت ».</w:t>
      </w:r>
    </w:p>
    <w:p w:rsidR="00744A1C" w:rsidRDefault="00E378DD" w:rsidP="008F1A16">
      <w:pPr>
        <w:pStyle w:val="libFootnote0"/>
        <w:rPr>
          <w:lang w:bidi="fa-IR"/>
        </w:rPr>
      </w:pPr>
      <w:r>
        <w:rPr>
          <w:rtl/>
          <w:lang w:bidi="fa-IR"/>
        </w:rPr>
        <w:t>(8).</w:t>
      </w:r>
      <w:r w:rsidR="00744A1C">
        <w:rPr>
          <w:rtl/>
          <w:lang w:bidi="fa-IR"/>
        </w:rPr>
        <w:t xml:space="preserve"> هكذا في جميع النسخ التي قوبلت </w:t>
      </w:r>
      <w:r w:rsidR="00744A1C" w:rsidRPr="008F1A16">
        <w:rPr>
          <w:rtl/>
        </w:rPr>
        <w:t>والوافي والوسائل</w:t>
      </w:r>
      <w:r w:rsidR="00744A1C">
        <w:rPr>
          <w:rtl/>
          <w:lang w:bidi="fa-IR"/>
        </w:rPr>
        <w:t xml:space="preserve">. وفي المطبوع : + « آخرين ». وفي </w:t>
      </w:r>
      <w:r w:rsidR="00744A1C" w:rsidRPr="008F1A16">
        <w:rPr>
          <w:rtl/>
        </w:rPr>
        <w:t>التهذيب</w:t>
      </w:r>
      <w:r w:rsidR="00744A1C">
        <w:rPr>
          <w:rtl/>
          <w:lang w:bidi="fa-IR"/>
        </w:rPr>
        <w:t xml:space="preserve"> : « إلى قوم » بدل « لقوم ».</w:t>
      </w:r>
      <w:r w:rsidR="008F1A16">
        <w:rPr>
          <w:rFonts w:hint="cs"/>
          <w:rtl/>
          <w:lang w:bidi="fa-IR"/>
        </w:rPr>
        <w:t xml:space="preserve">       </w:t>
      </w:r>
      <w:r w:rsidR="00955510">
        <w:rPr>
          <w:rFonts w:hint="cs"/>
          <w:rtl/>
          <w:lang w:bidi="fa-IR"/>
        </w:rPr>
        <w:t xml:space="preserve">                             </w:t>
      </w:r>
      <w:r w:rsidR="008F1A16">
        <w:rPr>
          <w:rFonts w:hint="cs"/>
          <w:rtl/>
          <w:lang w:bidi="fa-IR"/>
        </w:rPr>
        <w:t xml:space="preserve">        </w:t>
      </w:r>
      <w:r>
        <w:rPr>
          <w:rtl/>
          <w:lang w:bidi="fa-IR"/>
        </w:rPr>
        <w:t>(9).</w:t>
      </w:r>
      <w:r w:rsidR="00744A1C">
        <w:rPr>
          <w:rtl/>
          <w:lang w:bidi="fa-IR"/>
        </w:rPr>
        <w:t xml:space="preserve"> في حاشية « جت » : « بالحرام ».</w:t>
      </w:r>
    </w:p>
    <w:tbl>
      <w:tblPr>
        <w:tblStyle w:val="TableGrid"/>
        <w:bidiVisual/>
        <w:tblW w:w="0" w:type="auto"/>
        <w:tblLook w:val="04A0" w:firstRow="1" w:lastRow="0" w:firstColumn="1" w:lastColumn="0" w:noHBand="0" w:noVBand="1"/>
      </w:tblPr>
      <w:tblGrid>
        <w:gridCol w:w="4006"/>
        <w:gridCol w:w="4006"/>
      </w:tblGrid>
      <w:tr w:rsidR="008F1A16" w:rsidTr="008F1A16">
        <w:tc>
          <w:tcPr>
            <w:tcW w:w="4006" w:type="dxa"/>
          </w:tcPr>
          <w:p w:rsidR="008F1A16" w:rsidRDefault="008F1A16" w:rsidP="00E378DD">
            <w:pPr>
              <w:pStyle w:val="libFootnote0"/>
              <w:rPr>
                <w:rtl/>
                <w:lang w:bidi="fa-IR"/>
              </w:rPr>
            </w:pPr>
            <w:r>
              <w:rPr>
                <w:rtl/>
                <w:lang w:bidi="fa-IR"/>
              </w:rPr>
              <w:t>(10). في « بف » : « ووسّعوا ».</w:t>
            </w:r>
          </w:p>
        </w:tc>
        <w:tc>
          <w:tcPr>
            <w:tcW w:w="4006" w:type="dxa"/>
          </w:tcPr>
          <w:p w:rsidR="008F1A16" w:rsidRDefault="008F1A16" w:rsidP="00E378DD">
            <w:pPr>
              <w:pStyle w:val="libFootnote0"/>
              <w:rPr>
                <w:rtl/>
                <w:lang w:bidi="fa-IR"/>
              </w:rPr>
            </w:pPr>
            <w:r>
              <w:rPr>
                <w:rtl/>
                <w:lang w:bidi="fa-IR"/>
              </w:rPr>
              <w:t xml:space="preserve">(11). في « بف » </w:t>
            </w:r>
            <w:r w:rsidRPr="008F1A16">
              <w:rPr>
                <w:rtl/>
              </w:rPr>
              <w:t>والتهذيب</w:t>
            </w:r>
            <w:r>
              <w:rPr>
                <w:rtl/>
                <w:lang w:bidi="fa-IR"/>
              </w:rPr>
              <w:t xml:space="preserve"> : « تشوّقت ».</w:t>
            </w:r>
          </w:p>
        </w:tc>
      </w:tr>
    </w:tbl>
    <w:p w:rsidR="00744A1C" w:rsidRDefault="00E378DD" w:rsidP="00E378DD">
      <w:pPr>
        <w:pStyle w:val="libFootnote0"/>
        <w:rPr>
          <w:lang w:bidi="fa-IR"/>
        </w:rPr>
      </w:pPr>
      <w:r>
        <w:rPr>
          <w:rtl/>
          <w:lang w:bidi="fa-IR"/>
        </w:rPr>
        <w:t>(12).</w:t>
      </w:r>
      <w:r w:rsidR="00744A1C">
        <w:rPr>
          <w:rtl/>
          <w:lang w:bidi="fa-IR"/>
        </w:rPr>
        <w:t xml:space="preserve"> في </w:t>
      </w:r>
      <w:r w:rsidR="00744A1C" w:rsidRPr="008F1A16">
        <w:rPr>
          <w:rtl/>
        </w:rPr>
        <w:t>التهذيب</w:t>
      </w:r>
      <w:r w:rsidR="00744A1C">
        <w:rPr>
          <w:rtl/>
          <w:lang w:bidi="fa-IR"/>
        </w:rPr>
        <w:t xml:space="preserve"> : « إلى قوم ».</w:t>
      </w:r>
    </w:p>
    <w:p w:rsidR="00744A1C" w:rsidRDefault="00E378DD" w:rsidP="008F1A16">
      <w:pPr>
        <w:pStyle w:val="libFootnote0"/>
        <w:rPr>
          <w:lang w:bidi="fa-IR"/>
        </w:rPr>
      </w:pPr>
      <w:r>
        <w:rPr>
          <w:rtl/>
          <w:lang w:bidi="fa-IR"/>
        </w:rPr>
        <w:t>(13).</w:t>
      </w:r>
      <w:r w:rsidR="00744A1C">
        <w:rPr>
          <w:rtl/>
          <w:lang w:bidi="fa-IR"/>
        </w:rPr>
        <w:t xml:space="preserve"> في « بخ ، بف » </w:t>
      </w:r>
      <w:r w:rsidR="00744A1C" w:rsidRPr="008F1A16">
        <w:rPr>
          <w:rtl/>
        </w:rPr>
        <w:t>والوافي والتهذيب</w:t>
      </w:r>
      <w:r w:rsidR="00744A1C">
        <w:rPr>
          <w:rtl/>
          <w:lang w:bidi="fa-IR"/>
        </w:rPr>
        <w:t xml:space="preserve"> : « فطلبوها ». وفي </w:t>
      </w:r>
      <w:r w:rsidR="00744A1C" w:rsidRPr="00C24F9C">
        <w:rPr>
          <w:rStyle w:val="libFootnoteBoldChar"/>
          <w:rtl/>
        </w:rPr>
        <w:t>الوافي</w:t>
      </w:r>
      <w:r w:rsidR="00744A1C">
        <w:rPr>
          <w:rtl/>
          <w:lang w:bidi="fa-IR"/>
        </w:rPr>
        <w:t xml:space="preserve"> : « فطلبوها ، أي زيادة على ما تيسّر لهم من حرامها المحض المعروض لهم ». ونحوه في </w:t>
      </w:r>
      <w:r w:rsidR="00744A1C" w:rsidRPr="00C24F9C">
        <w:rPr>
          <w:rStyle w:val="libFootnoteBoldChar"/>
          <w:rtl/>
        </w:rPr>
        <w:t>المرآة</w:t>
      </w:r>
      <w:r w:rsidR="00744A1C">
        <w:rPr>
          <w:rtl/>
          <w:lang w:bidi="fa-IR"/>
        </w:rPr>
        <w:t>.</w:t>
      </w:r>
      <w:r w:rsidR="008F1A16">
        <w:rPr>
          <w:rFonts w:hint="cs"/>
          <w:rtl/>
          <w:lang w:bidi="fa-IR"/>
        </w:rPr>
        <w:t xml:space="preserve">        </w:t>
      </w:r>
      <w:r w:rsidR="00955510">
        <w:rPr>
          <w:rFonts w:hint="cs"/>
          <w:rtl/>
          <w:lang w:bidi="fa-IR"/>
        </w:rPr>
        <w:t xml:space="preserve">  </w:t>
      </w:r>
      <w:r w:rsidR="008F1A16">
        <w:rPr>
          <w:rFonts w:hint="cs"/>
          <w:rtl/>
          <w:lang w:bidi="fa-IR"/>
        </w:rPr>
        <w:t xml:space="preserve">  </w:t>
      </w:r>
      <w:r>
        <w:rPr>
          <w:rtl/>
          <w:lang w:bidi="fa-IR"/>
        </w:rPr>
        <w:t>(14).</w:t>
      </w:r>
      <w:r w:rsidR="008F1A16">
        <w:rPr>
          <w:rtl/>
          <w:lang w:bidi="fa-IR"/>
        </w:rPr>
        <w:t xml:space="preserve"> في «بخ ،بف»</w:t>
      </w:r>
      <w:r w:rsidR="00744A1C" w:rsidRPr="008F1A16">
        <w:rPr>
          <w:rtl/>
        </w:rPr>
        <w:t>والوافي والتهذيب</w:t>
      </w:r>
      <w:r w:rsidR="00744A1C">
        <w:rPr>
          <w:rtl/>
          <w:lang w:bidi="fa-IR"/>
        </w:rPr>
        <w:t xml:space="preserve"> : « فلم يجدوها ».</w:t>
      </w:r>
    </w:p>
    <w:p w:rsidR="00744A1C" w:rsidRDefault="00E378DD" w:rsidP="00E378DD">
      <w:pPr>
        <w:pStyle w:val="libFootnote0"/>
        <w:rPr>
          <w:lang w:bidi="fa-IR"/>
        </w:rPr>
      </w:pPr>
      <w:r>
        <w:rPr>
          <w:rtl/>
          <w:lang w:bidi="fa-IR"/>
        </w:rPr>
        <w:t>(15).</w:t>
      </w:r>
      <w:r w:rsidR="00744A1C">
        <w:rPr>
          <w:rtl/>
          <w:lang w:bidi="fa-IR"/>
        </w:rPr>
        <w:t xml:space="preserve"> </w:t>
      </w:r>
      <w:r w:rsidR="00744A1C" w:rsidRPr="008F1A16">
        <w:rPr>
          <w:rtl/>
        </w:rPr>
        <w:t>في الوسائل والتهذيب</w:t>
      </w:r>
      <w:r w:rsidR="00744A1C">
        <w:rPr>
          <w:rtl/>
          <w:lang w:bidi="fa-IR"/>
        </w:rPr>
        <w:t xml:space="preserve"> : « يأكل في الدنيا » بدل « في الدنيا يأكل ».</w:t>
      </w:r>
    </w:p>
    <w:p w:rsidR="00744A1C" w:rsidRDefault="00744A1C" w:rsidP="008F1A16">
      <w:pPr>
        <w:pStyle w:val="libFootnote0"/>
        <w:rPr>
          <w:lang w:bidi="fa-IR"/>
        </w:rPr>
      </w:pPr>
      <w:r>
        <w:rPr>
          <w:rtl/>
          <w:lang w:bidi="fa-IR"/>
        </w:rPr>
        <w:t xml:space="preserve">(16) </w:t>
      </w:r>
      <w:r w:rsidRPr="00C24F9C">
        <w:rPr>
          <w:rStyle w:val="libFootnoteBoldChar"/>
          <w:rtl/>
        </w:rPr>
        <w:t>التهذيب</w:t>
      </w:r>
      <w:r>
        <w:rPr>
          <w:rtl/>
          <w:lang w:bidi="fa-IR"/>
        </w:rPr>
        <w:t xml:space="preserve"> ، ج 6 ، ص 369 ، ح 1066 ، معلّقاً عن الكليني </w:t>
      </w:r>
      <w:r w:rsidR="008F1A16">
        <w:rPr>
          <w:rFonts w:hint="cs"/>
          <w:rtl/>
          <w:lang w:bidi="fa-IR"/>
        </w:rPr>
        <w:t>.</w:t>
      </w:r>
      <w:r w:rsidRPr="00C24F9C">
        <w:rPr>
          <w:rStyle w:val="libFootnoteBoldChar"/>
          <w:rtl/>
        </w:rPr>
        <w:t>الوافي</w:t>
      </w:r>
      <w:r>
        <w:rPr>
          <w:rtl/>
          <w:lang w:bidi="fa-IR"/>
        </w:rPr>
        <w:t xml:space="preserve"> ، ج 17 ، ص 63 ، ح 16863 ؛ </w:t>
      </w:r>
      <w:r w:rsidRPr="00C24F9C">
        <w:rPr>
          <w:rStyle w:val="libFootnoteBoldChar"/>
          <w:rtl/>
        </w:rPr>
        <w:t>الوسائل</w:t>
      </w:r>
      <w:r>
        <w:rPr>
          <w:rtl/>
          <w:lang w:bidi="fa-IR"/>
        </w:rPr>
        <w:t xml:space="preserve"> ، ج 17 ، ص 82 ، ح 22044.</w:t>
      </w:r>
      <w:r w:rsidR="008F1A16">
        <w:rPr>
          <w:rFonts w:hint="cs"/>
          <w:rtl/>
          <w:lang w:bidi="fa-IR"/>
        </w:rPr>
        <w:t xml:space="preserve">          </w:t>
      </w:r>
      <w:r w:rsidR="00955510">
        <w:rPr>
          <w:rFonts w:hint="cs"/>
          <w:rtl/>
          <w:lang w:bidi="fa-IR"/>
        </w:rPr>
        <w:t xml:space="preserve">   </w:t>
      </w:r>
      <w:r w:rsidR="008F1A16">
        <w:rPr>
          <w:rFonts w:hint="cs"/>
          <w:rtl/>
          <w:lang w:bidi="fa-IR"/>
        </w:rPr>
        <w:t xml:space="preserve">  </w:t>
      </w:r>
      <w:r>
        <w:rPr>
          <w:rtl/>
          <w:lang w:bidi="fa-IR"/>
        </w:rPr>
        <w:t>(17) في « ط » : « نما ».</w:t>
      </w:r>
    </w:p>
    <w:p w:rsidR="00744A1C" w:rsidRDefault="00744A1C" w:rsidP="00D10E3C">
      <w:pPr>
        <w:pStyle w:val="libFootnote0"/>
        <w:rPr>
          <w:lang w:bidi="fa-IR"/>
        </w:rPr>
      </w:pPr>
      <w:r>
        <w:rPr>
          <w:rtl/>
          <w:lang w:bidi="fa-IR"/>
        </w:rPr>
        <w:t xml:space="preserve">(18) في « ى ، بح ، بس ، جت » </w:t>
      </w:r>
      <w:r w:rsidRPr="008F1A16">
        <w:rPr>
          <w:rtl/>
        </w:rPr>
        <w:t>والوافي والوسائل</w:t>
      </w:r>
      <w:r>
        <w:rPr>
          <w:rtl/>
          <w:lang w:bidi="fa-IR"/>
        </w:rPr>
        <w:t xml:space="preserve"> : « لم يبارك ».</w:t>
      </w:r>
    </w:p>
    <w:p w:rsidR="00744A1C" w:rsidRDefault="00744A1C" w:rsidP="00D10E3C">
      <w:pPr>
        <w:pStyle w:val="libFootnote0"/>
        <w:rPr>
          <w:lang w:bidi="fa-IR"/>
        </w:rPr>
      </w:pPr>
      <w:r>
        <w:rPr>
          <w:rtl/>
          <w:lang w:bidi="fa-IR"/>
        </w:rPr>
        <w:t xml:space="preserve">(19) في « بح ، بف » </w:t>
      </w:r>
      <w:r w:rsidRPr="008F1A16">
        <w:rPr>
          <w:rtl/>
        </w:rPr>
        <w:t>والوافي</w:t>
      </w:r>
      <w:r>
        <w:rPr>
          <w:rtl/>
          <w:lang w:bidi="fa-IR"/>
        </w:rPr>
        <w:t xml:space="preserve"> : - « له ».</w:t>
      </w:r>
    </w:p>
    <w:p w:rsidR="006A5060" w:rsidRDefault="006A5060" w:rsidP="00D10E3C">
      <w:pPr>
        <w:pStyle w:val="libNormal"/>
        <w:rPr>
          <w:rtl/>
          <w:lang w:bidi="fa-IR"/>
        </w:rPr>
      </w:pPr>
      <w:r>
        <w:rPr>
          <w:rtl/>
          <w:lang w:bidi="fa-IR"/>
        </w:rPr>
        <w:br w:type="page"/>
      </w:r>
    </w:p>
    <w:p w:rsidR="00144FA6" w:rsidRDefault="00744A1C" w:rsidP="008F1A16">
      <w:pPr>
        <w:pStyle w:val="libNormal0"/>
        <w:rPr>
          <w:rtl/>
          <w:lang w:bidi="fa-IR"/>
        </w:rPr>
      </w:pPr>
      <w:r>
        <w:rPr>
          <w:rtl/>
          <w:lang w:bidi="fa-IR"/>
        </w:rPr>
        <w:t xml:space="preserve">فِيهِ ، وَمَا أَنْفَقَهُ لَمْ يُؤْجَرْ عَلَيْهِ ، وَمَا خَلَّفَهُ </w:t>
      </w:r>
      <w:r w:rsidRPr="00D10E3C">
        <w:rPr>
          <w:rStyle w:val="libFootnotenumChar"/>
          <w:rtl/>
        </w:rPr>
        <w:t>(1)</w:t>
      </w:r>
      <w:r>
        <w:rPr>
          <w:rtl/>
          <w:lang w:bidi="fa-IR"/>
        </w:rPr>
        <w:t xml:space="preserve"> كَانَ زَادَهُ إِلَى النَّارِ ». </w:t>
      </w:r>
      <w:r w:rsidRPr="00D10E3C">
        <w:rPr>
          <w:rStyle w:val="libFootnotenumChar"/>
          <w:rtl/>
        </w:rPr>
        <w:t>(2)</w:t>
      </w:r>
    </w:p>
    <w:p w:rsidR="00144FA6" w:rsidRDefault="00744A1C" w:rsidP="00744A1C">
      <w:pPr>
        <w:pStyle w:val="libNormal"/>
        <w:rPr>
          <w:rtl/>
          <w:lang w:bidi="fa-IR"/>
        </w:rPr>
      </w:pPr>
      <w:r>
        <w:rPr>
          <w:rtl/>
          <w:lang w:bidi="fa-IR"/>
        </w:rPr>
        <w:t>8584 / 8. مُحَمَّدُ بْنُ يَحْيى ، قَالَ :</w:t>
      </w:r>
    </w:p>
    <w:p w:rsidR="00744A1C" w:rsidRDefault="00744A1C" w:rsidP="00744A1C">
      <w:pPr>
        <w:pStyle w:val="libNormal"/>
        <w:rPr>
          <w:lang w:bidi="fa-IR"/>
        </w:rPr>
      </w:pPr>
      <w:r>
        <w:rPr>
          <w:rtl/>
          <w:lang w:bidi="fa-IR"/>
        </w:rPr>
        <w:t xml:space="preserve">كَتَبَ مُحَمَّدُ بْنُ الْحَسَنِ إِلى أَبِي مُحَمَّدٍ </w:t>
      </w:r>
      <w:r w:rsidR="0061079A" w:rsidRPr="0061079A">
        <w:rPr>
          <w:rStyle w:val="libAlaemChar"/>
          <w:rtl/>
        </w:rPr>
        <w:t>عليه‌السلام</w:t>
      </w:r>
      <w:r w:rsidR="00D10E3C">
        <w:rPr>
          <w:rtl/>
          <w:lang w:bidi="fa-IR"/>
        </w:rPr>
        <w:t xml:space="preserve"> </w:t>
      </w:r>
      <w:r>
        <w:rPr>
          <w:rtl/>
          <w:lang w:bidi="fa-IR"/>
        </w:rPr>
        <w:t xml:space="preserve">: رَجُلٌ اشْتَرى مِنْ رَجُلٍ </w:t>
      </w:r>
      <w:r w:rsidRPr="00D10E3C">
        <w:rPr>
          <w:rStyle w:val="libFootnotenumChar"/>
          <w:rtl/>
        </w:rPr>
        <w:t>(3)</w:t>
      </w:r>
      <w:r>
        <w:rPr>
          <w:rtl/>
          <w:lang w:bidi="fa-IR"/>
        </w:rPr>
        <w:t xml:space="preserve"> ضَيْعَةً أَوْ خَادِماً بِمَالٍ أَخَذَهُ مِنْ قَطْعِ الطَّرِيقِ ، أَوْ مِنْ سَرِقَةٍ : هَلْ يَحِلُّ لَهُ مَا يَدْخُلُ عَلَيْهِ مِنْ ثَمَرَةِ </w:t>
      </w:r>
      <w:r w:rsidRPr="00D10E3C">
        <w:rPr>
          <w:rStyle w:val="libFootnotenumChar"/>
          <w:rtl/>
        </w:rPr>
        <w:t>(4)</w:t>
      </w:r>
      <w:r>
        <w:rPr>
          <w:rtl/>
          <w:lang w:bidi="fa-IR"/>
        </w:rPr>
        <w:t xml:space="preserve"> هذِهِ الضَّيْعَةِ </w:t>
      </w:r>
      <w:r w:rsidRPr="00D10E3C">
        <w:rPr>
          <w:rStyle w:val="libFootnotenumChar"/>
          <w:rtl/>
        </w:rPr>
        <w:t>(5)</w:t>
      </w:r>
      <w:r>
        <w:rPr>
          <w:rtl/>
          <w:lang w:bidi="fa-IR"/>
        </w:rPr>
        <w:t xml:space="preserve"> ، أَوْ يَحِلُّ لَهُ أَنْ يَطَأَ هذَا الْفَرْجَ الَّذِي اشْتَرَاهُ مِنَ </w:t>
      </w:r>
      <w:r w:rsidRPr="00D10E3C">
        <w:rPr>
          <w:rStyle w:val="libFootnotenumChar"/>
          <w:rtl/>
        </w:rPr>
        <w:t>(6)</w:t>
      </w:r>
      <w:r>
        <w:rPr>
          <w:rtl/>
          <w:lang w:bidi="fa-IR"/>
        </w:rPr>
        <w:t xml:space="preserve"> السَّرِقَةِ </w:t>
      </w:r>
      <w:r w:rsidRPr="00D10E3C">
        <w:rPr>
          <w:rStyle w:val="libFootnotenumChar"/>
          <w:rtl/>
        </w:rPr>
        <w:t>(7)</w:t>
      </w:r>
      <w:r>
        <w:rPr>
          <w:rtl/>
          <w:lang w:bidi="fa-IR"/>
        </w:rPr>
        <w:t xml:space="preserve"> ، أَوْ مِنْ </w:t>
      </w:r>
      <w:r w:rsidRPr="00D10E3C">
        <w:rPr>
          <w:rStyle w:val="libFootnotenumChar"/>
          <w:rtl/>
        </w:rPr>
        <w:t>(8)</w:t>
      </w:r>
      <w:r>
        <w:rPr>
          <w:rtl/>
          <w:lang w:bidi="fa-IR"/>
        </w:rPr>
        <w:t xml:space="preserve"> قَطْعِ الطَّرِيقِ؟</w:t>
      </w:r>
    </w:p>
    <w:p w:rsidR="00144FA6" w:rsidRDefault="00744A1C" w:rsidP="00744A1C">
      <w:pPr>
        <w:pStyle w:val="libNormal"/>
        <w:rPr>
          <w:rtl/>
          <w:lang w:bidi="fa-IR"/>
        </w:rPr>
      </w:pPr>
      <w:r>
        <w:rPr>
          <w:rtl/>
          <w:lang w:bidi="fa-IR"/>
        </w:rPr>
        <w:t xml:space="preserve">فَوَقَّعَ </w:t>
      </w:r>
      <w:r w:rsidR="0061079A" w:rsidRPr="0061079A">
        <w:rPr>
          <w:rStyle w:val="libAlaemChar"/>
          <w:rtl/>
        </w:rPr>
        <w:t>عليه‌السلام</w:t>
      </w:r>
      <w:r w:rsidR="00D10E3C">
        <w:rPr>
          <w:rtl/>
          <w:lang w:bidi="fa-IR"/>
        </w:rPr>
        <w:t xml:space="preserve"> </w:t>
      </w:r>
      <w:r>
        <w:rPr>
          <w:rtl/>
          <w:lang w:bidi="fa-IR"/>
        </w:rPr>
        <w:t xml:space="preserve">: « لَا خَيْرَ فِي شَيْ‌ءٍ </w:t>
      </w:r>
      <w:r w:rsidRPr="00D10E3C">
        <w:rPr>
          <w:rStyle w:val="libFootnotenumChar"/>
          <w:rtl/>
        </w:rPr>
        <w:t>(9)</w:t>
      </w:r>
      <w:r>
        <w:rPr>
          <w:rtl/>
          <w:lang w:bidi="fa-IR"/>
        </w:rPr>
        <w:t xml:space="preserve"> أَصْلُهُ حَرَامٌ ، وَلَا يَحِلُّ اسْتِعْمَالُهُ ». </w:t>
      </w:r>
      <w:r w:rsidRPr="00D10E3C">
        <w:rPr>
          <w:rStyle w:val="libFootnotenumChar"/>
          <w:rtl/>
        </w:rPr>
        <w:t>(10)</w:t>
      </w:r>
    </w:p>
    <w:p w:rsidR="00144FA6" w:rsidRDefault="00744A1C" w:rsidP="00744A1C">
      <w:pPr>
        <w:pStyle w:val="libNormal"/>
        <w:rPr>
          <w:rtl/>
          <w:lang w:bidi="fa-IR"/>
        </w:rPr>
      </w:pPr>
      <w:r>
        <w:rPr>
          <w:rtl/>
          <w:lang w:bidi="fa-IR"/>
        </w:rPr>
        <w:t xml:space="preserve">8585 / 9. عِدَّةٌ مِنْ أَصْحَابِنَا ، عَنْ أَحْمَدَ بْنِ مُحَمَّدٍ ، عَنِ ابْنِ مَحْبُوبٍ ، عَنْ أَبِي أَيُّوبَ ، عَنْ سَمَاعَةَ </w:t>
      </w:r>
      <w:r w:rsidRPr="00D10E3C">
        <w:rPr>
          <w:rStyle w:val="libFootnotenumChar"/>
          <w:rtl/>
        </w:rPr>
        <w:t>(11)</w:t>
      </w:r>
      <w:r>
        <w:rPr>
          <w:rtl/>
          <w:lang w:bidi="fa-IR"/>
        </w:rPr>
        <w:t xml:space="preserve">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ما خلّفه » بدون الواو.</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17 ، ص 64 ، ح 16865 ؛ </w:t>
      </w:r>
      <w:r w:rsidR="00744A1C" w:rsidRPr="00C24F9C">
        <w:rPr>
          <w:rStyle w:val="libFootnoteBoldChar"/>
          <w:rtl/>
        </w:rPr>
        <w:t>الوسائل</w:t>
      </w:r>
      <w:r w:rsidR="00744A1C">
        <w:rPr>
          <w:rtl/>
          <w:lang w:bidi="fa-IR"/>
        </w:rPr>
        <w:t xml:space="preserve"> ، ج 17 ، ص 82 ، ح 22045.</w:t>
      </w:r>
    </w:p>
    <w:p w:rsidR="00744A1C" w:rsidRDefault="00E378DD" w:rsidP="00E378DD">
      <w:pPr>
        <w:pStyle w:val="libFootnote0"/>
        <w:rPr>
          <w:lang w:bidi="fa-IR"/>
        </w:rPr>
      </w:pPr>
      <w:r>
        <w:rPr>
          <w:rtl/>
          <w:lang w:bidi="fa-IR"/>
        </w:rPr>
        <w:t>(3).</w:t>
      </w:r>
      <w:r w:rsidR="00744A1C">
        <w:rPr>
          <w:rtl/>
          <w:lang w:bidi="fa-IR"/>
        </w:rPr>
        <w:t xml:space="preserve"> في « ط ، ى ، جن » </w:t>
      </w:r>
      <w:r w:rsidR="00744A1C" w:rsidRPr="0061079A">
        <w:rPr>
          <w:rStyle w:val="libFootnoteBoldChar"/>
          <w:rtl/>
        </w:rPr>
        <w:t>والتهذيب</w:t>
      </w:r>
      <w:r w:rsidR="00744A1C">
        <w:rPr>
          <w:rtl/>
          <w:lang w:bidi="fa-IR"/>
        </w:rPr>
        <w:t xml:space="preserve"> ، ج 6 و 7 </w:t>
      </w:r>
      <w:r w:rsidR="00744A1C" w:rsidRPr="00C24F9C">
        <w:rPr>
          <w:rStyle w:val="libFootnoteBoldChar"/>
          <w:rtl/>
        </w:rPr>
        <w:t>والاستبصار</w:t>
      </w:r>
      <w:r w:rsidR="00744A1C">
        <w:rPr>
          <w:rtl/>
          <w:lang w:bidi="fa-IR"/>
        </w:rPr>
        <w:t xml:space="preserve"> : - « من رجل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التهذيب</w:t>
      </w:r>
      <w:r w:rsidR="00744A1C">
        <w:rPr>
          <w:rtl/>
          <w:lang w:bidi="fa-IR"/>
        </w:rPr>
        <w:t xml:space="preserve"> ، ج 7 : - « ثمرة ».</w:t>
      </w:r>
    </w:p>
    <w:p w:rsidR="00744A1C" w:rsidRDefault="00E378DD" w:rsidP="00E378DD">
      <w:pPr>
        <w:pStyle w:val="libFootnote0"/>
        <w:rPr>
          <w:lang w:bidi="fa-IR"/>
        </w:rPr>
      </w:pPr>
      <w:r>
        <w:rPr>
          <w:rtl/>
          <w:lang w:bidi="fa-IR"/>
        </w:rPr>
        <w:t>(5).</w:t>
      </w:r>
      <w:r w:rsidR="008F1A16">
        <w:rPr>
          <w:rtl/>
          <w:lang w:bidi="fa-IR"/>
        </w:rPr>
        <w:t xml:space="preserve"> الضيعة : الأرض الم</w:t>
      </w:r>
      <w:r w:rsidR="008F1A16">
        <w:rPr>
          <w:rFonts w:hint="cs"/>
          <w:rtl/>
          <w:lang w:bidi="fa-IR"/>
        </w:rPr>
        <w:t>ـُ</w:t>
      </w:r>
      <w:r w:rsidR="00744A1C">
        <w:rPr>
          <w:rtl/>
          <w:lang w:bidi="fa-IR"/>
        </w:rPr>
        <w:t xml:space="preserve">غلّة ، والعقار ، وهو كلّ ملك ثابت له أصل ، كالدار والنخل والكَرْم والأرض. راجع : </w:t>
      </w:r>
      <w:r w:rsidR="00744A1C" w:rsidRPr="008A57EB">
        <w:rPr>
          <w:rStyle w:val="libFootnoteBoldChar"/>
          <w:rtl/>
        </w:rPr>
        <w:t>القاموس المحيط</w:t>
      </w:r>
      <w:r w:rsidR="00744A1C">
        <w:rPr>
          <w:rtl/>
          <w:lang w:bidi="fa-IR"/>
        </w:rPr>
        <w:t xml:space="preserve"> ، ج 2 ، ص 996 ( ضيع ).</w:t>
      </w:r>
    </w:p>
    <w:p w:rsidR="00744A1C" w:rsidRDefault="00E378DD" w:rsidP="00E378DD">
      <w:pPr>
        <w:pStyle w:val="libFootnote0"/>
        <w:rPr>
          <w:lang w:bidi="fa-IR"/>
        </w:rPr>
      </w:pPr>
      <w:r>
        <w:rPr>
          <w:rtl/>
          <w:lang w:bidi="fa-IR"/>
        </w:rPr>
        <w:t>(6).</w:t>
      </w:r>
      <w:r w:rsidR="00744A1C">
        <w:rPr>
          <w:rtl/>
          <w:lang w:bidi="fa-IR"/>
        </w:rPr>
        <w:t xml:space="preserve"> في « ط » : + « هذه ».</w:t>
      </w:r>
    </w:p>
    <w:p w:rsidR="00744A1C" w:rsidRDefault="00E378DD" w:rsidP="00E378DD">
      <w:pPr>
        <w:pStyle w:val="libFootnote0"/>
        <w:rPr>
          <w:lang w:bidi="fa-IR"/>
        </w:rPr>
      </w:pPr>
      <w:r>
        <w:rPr>
          <w:rtl/>
          <w:lang w:bidi="fa-IR"/>
        </w:rPr>
        <w:t>(7).</w:t>
      </w:r>
      <w:r w:rsidR="00744A1C">
        <w:rPr>
          <w:rtl/>
          <w:lang w:bidi="fa-IR"/>
        </w:rPr>
        <w:t xml:space="preserve"> في « ى ، بس ، جت » </w:t>
      </w:r>
      <w:r w:rsidR="00744A1C" w:rsidRPr="008F1A16">
        <w:rPr>
          <w:rtl/>
        </w:rPr>
        <w:t>والوسائل والتهذيب</w:t>
      </w:r>
      <w:r w:rsidR="00744A1C">
        <w:rPr>
          <w:rtl/>
          <w:lang w:bidi="fa-IR"/>
        </w:rPr>
        <w:t xml:space="preserve"> ، ج 6 </w:t>
      </w:r>
      <w:r w:rsidR="00744A1C" w:rsidRPr="008F1A16">
        <w:rPr>
          <w:rtl/>
        </w:rPr>
        <w:t>والاستبصار</w:t>
      </w:r>
      <w:r w:rsidR="00744A1C">
        <w:rPr>
          <w:rtl/>
          <w:lang w:bidi="fa-IR"/>
        </w:rPr>
        <w:t xml:space="preserve"> : « سرقة ».</w:t>
      </w:r>
    </w:p>
    <w:p w:rsidR="00744A1C" w:rsidRDefault="00E378DD" w:rsidP="00E378DD">
      <w:pPr>
        <w:pStyle w:val="libFootnote0"/>
        <w:rPr>
          <w:lang w:bidi="fa-IR"/>
        </w:rPr>
      </w:pPr>
      <w:r>
        <w:rPr>
          <w:rtl/>
          <w:lang w:bidi="fa-IR"/>
        </w:rPr>
        <w:t>(8).</w:t>
      </w:r>
      <w:r w:rsidR="00744A1C">
        <w:rPr>
          <w:rtl/>
          <w:lang w:bidi="fa-IR"/>
        </w:rPr>
        <w:t xml:space="preserve"> في « ط ، ى ، بخ ، بف ، جن » </w:t>
      </w:r>
      <w:r w:rsidR="00744A1C" w:rsidRPr="008F1A16">
        <w:rPr>
          <w:rtl/>
        </w:rPr>
        <w:t>والتهذيب</w:t>
      </w:r>
      <w:r w:rsidR="00744A1C">
        <w:rPr>
          <w:rtl/>
          <w:lang w:bidi="fa-IR"/>
        </w:rPr>
        <w:t xml:space="preserve"> ، ج 7 : - « من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لا خير في شي‌ء ، كأنّه محمول على ما إذا اشترى بالعين بقرينة قوله : بمال. ويمكن أن يكون عدم الحلّ أعمّ من الكراهة والحرمة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369 ، ح 1067 ؛ وج 7 ، ص 138 ، ح 614 ؛ </w:t>
      </w:r>
      <w:r w:rsidR="00744A1C" w:rsidRPr="00C24F9C">
        <w:rPr>
          <w:rStyle w:val="libFootnoteBoldChar"/>
          <w:rtl/>
        </w:rPr>
        <w:t>والاستبصار</w:t>
      </w:r>
      <w:r w:rsidR="00744A1C">
        <w:rPr>
          <w:rtl/>
          <w:lang w:bidi="fa-IR"/>
        </w:rPr>
        <w:t xml:space="preserve"> ، ج 3 ، ص 67 ، ح 224 ، معلّقاً عن محمّد بن الحسن الصفّار </w:t>
      </w:r>
      <w:r w:rsidR="008F1A16">
        <w:rPr>
          <w:rFonts w:hint="cs"/>
          <w:rtl/>
          <w:lang w:bidi="fa-IR"/>
        </w:rPr>
        <w:t>.</w:t>
      </w:r>
      <w:r w:rsidR="00744A1C" w:rsidRPr="00C24F9C">
        <w:rPr>
          <w:rStyle w:val="libFootnoteBoldChar"/>
          <w:rtl/>
        </w:rPr>
        <w:t>الوافي</w:t>
      </w:r>
      <w:r w:rsidR="00744A1C">
        <w:rPr>
          <w:rtl/>
          <w:lang w:bidi="fa-IR"/>
        </w:rPr>
        <w:t xml:space="preserve"> ، ج 17 ، ص 64 ، ح 16866 ؛ </w:t>
      </w:r>
      <w:r w:rsidR="00744A1C" w:rsidRPr="00C24F9C">
        <w:rPr>
          <w:rStyle w:val="libFootnoteBoldChar"/>
          <w:rtl/>
        </w:rPr>
        <w:t>الوسائل</w:t>
      </w:r>
      <w:r w:rsidR="00744A1C">
        <w:rPr>
          <w:rtl/>
          <w:lang w:bidi="fa-IR"/>
        </w:rPr>
        <w:t xml:space="preserve"> ، ج 17 ، ص 86 ، ح 22048.</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الوسائل</w:t>
      </w:r>
      <w:r w:rsidR="00744A1C">
        <w:rPr>
          <w:rtl/>
          <w:lang w:bidi="fa-IR"/>
        </w:rPr>
        <w:t xml:space="preserve"> ، ح 14486 : « زرعة ». وهو سهو ؛ فإنّا لم نجد رواية أبي أيّوب - بعناوينه المختلفة - عن زرعة في موضع. وقد تكرّرت في الأسناد رواية [ الحسن ] بن محبوب ، عن أبي أيّوب ، عن سماعة [ بن مهران ]. راجع : </w:t>
      </w:r>
      <w:r w:rsidR="00744A1C" w:rsidRPr="0061079A">
        <w:rPr>
          <w:rStyle w:val="libFootnoteBoldChar"/>
          <w:rtl/>
        </w:rPr>
        <w:t>معجم رجال الحديث</w:t>
      </w:r>
      <w:r w:rsidR="00744A1C">
        <w:rPr>
          <w:rtl/>
          <w:lang w:bidi="fa-IR"/>
        </w:rPr>
        <w:t xml:space="preserve"> ، ج 21 ، ص 288 - 289.</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sidRPr="00D10E3C">
        <w:rPr>
          <w:rStyle w:val="libFootnotenumChar"/>
          <w:rtl/>
        </w:rPr>
        <w:t>(1)</w:t>
      </w:r>
      <w:r>
        <w:rPr>
          <w:rtl/>
          <w:lang w:bidi="fa-IR"/>
        </w:rPr>
        <w:t xml:space="preserve"> عَنْ رَجُلٍ أَصَابَ مَالاً مِنْ عَمَلِ بَنِي أُمَيَّةَ ، وَهُوَ </w:t>
      </w:r>
      <w:r w:rsidRPr="00D10E3C">
        <w:rPr>
          <w:rStyle w:val="libFootnotenumChar"/>
          <w:rtl/>
        </w:rPr>
        <w:t>(2)</w:t>
      </w:r>
      <w:r>
        <w:rPr>
          <w:rtl/>
          <w:lang w:bidi="fa-IR"/>
        </w:rPr>
        <w:t xml:space="preserve"> يَتَصَدَّقُ مِنْهُ ، وَيَصِلُ مِنْهُ قَرَابَتَهُ ، وَيَحُجُّ </w:t>
      </w:r>
      <w:r w:rsidRPr="00D10E3C">
        <w:rPr>
          <w:rStyle w:val="libFootnotenumChar"/>
          <w:rtl/>
        </w:rPr>
        <w:t>(3)</w:t>
      </w:r>
      <w:r>
        <w:rPr>
          <w:rtl/>
          <w:lang w:bidi="fa-IR"/>
        </w:rPr>
        <w:t xml:space="preserve"> لِيُغْفَرَ </w:t>
      </w:r>
      <w:r w:rsidRPr="00D10E3C">
        <w:rPr>
          <w:rStyle w:val="libFootnotenumChar"/>
          <w:rtl/>
        </w:rPr>
        <w:t>(4)</w:t>
      </w:r>
      <w:r>
        <w:rPr>
          <w:rtl/>
          <w:lang w:bidi="fa-IR"/>
        </w:rPr>
        <w:t xml:space="preserve"> لَهُ مَا اكْتَسَبَ وَهُوَ </w:t>
      </w:r>
      <w:r w:rsidRPr="00D10E3C">
        <w:rPr>
          <w:rStyle w:val="libFootnotenumChar"/>
          <w:rtl/>
        </w:rPr>
        <w:t>(5)</w:t>
      </w:r>
      <w:r>
        <w:rPr>
          <w:rtl/>
          <w:lang w:bidi="fa-IR"/>
        </w:rPr>
        <w:t xml:space="preserve"> يَقُولُ : </w:t>
      </w:r>
      <w:r w:rsidRPr="008F1A16">
        <w:rPr>
          <w:rStyle w:val="libAlaemChar"/>
          <w:rtl/>
        </w:rPr>
        <w:t>(</w:t>
      </w:r>
      <w:r w:rsidRPr="008F1A16">
        <w:rPr>
          <w:rStyle w:val="libAieChar"/>
          <w:rtl/>
        </w:rPr>
        <w:t xml:space="preserve"> إِنَّ الْحَسَناتِ يُذْهِبْنَ السَّيِّئاتِ </w:t>
      </w:r>
      <w:r w:rsidRPr="008F1A16">
        <w:rPr>
          <w:rStyle w:val="libAlaemChar"/>
          <w:rtl/>
        </w:rPr>
        <w:t>)</w:t>
      </w:r>
      <w:r>
        <w:rPr>
          <w:rtl/>
          <w:lang w:bidi="fa-IR"/>
        </w:rPr>
        <w:t xml:space="preserve"> </w:t>
      </w:r>
      <w:r w:rsidRPr="00D10E3C">
        <w:rPr>
          <w:rStyle w:val="libFootnotenumChar"/>
          <w:rtl/>
        </w:rPr>
        <w:t>(6)</w:t>
      </w:r>
      <w:r>
        <w:rPr>
          <w:rtl/>
          <w:lang w:bidi="fa-IR"/>
        </w:rPr>
        <w:t>؟</w:t>
      </w:r>
    </w:p>
    <w:p w:rsidR="00744A1C" w:rsidRDefault="00744A1C" w:rsidP="00744A1C">
      <w:pPr>
        <w:pStyle w:val="libNormal"/>
        <w:rPr>
          <w:lang w:bidi="fa-IR"/>
        </w:rPr>
      </w:pPr>
      <w:r>
        <w:rPr>
          <w:rtl/>
          <w:lang w:bidi="fa-IR"/>
        </w:rPr>
        <w:t xml:space="preserve">فَقَالَ أَبُو عَبْدِ اللهِ </w:t>
      </w:r>
      <w:r w:rsidR="0061079A" w:rsidRPr="0061079A">
        <w:rPr>
          <w:rStyle w:val="libAlaemChar"/>
          <w:rtl/>
        </w:rPr>
        <w:t>عليه‌السلام</w:t>
      </w:r>
      <w:r w:rsidR="00D10E3C">
        <w:rPr>
          <w:rtl/>
          <w:lang w:bidi="fa-IR"/>
        </w:rPr>
        <w:t xml:space="preserve"> </w:t>
      </w:r>
      <w:r>
        <w:rPr>
          <w:rtl/>
          <w:lang w:bidi="fa-IR"/>
        </w:rPr>
        <w:t xml:space="preserve">: « إِنَّ الْخَطِيئَةَ لَاتُكَفِّرُ الْخَطِيئَةَ ، وَلكِنَّ </w:t>
      </w:r>
      <w:r w:rsidRPr="00D10E3C">
        <w:rPr>
          <w:rStyle w:val="libFootnotenumChar"/>
          <w:rtl/>
        </w:rPr>
        <w:t>(7)</w:t>
      </w:r>
      <w:r>
        <w:rPr>
          <w:rtl/>
          <w:lang w:bidi="fa-IR"/>
        </w:rPr>
        <w:t xml:space="preserve"> الْحَسَنَةَ تَحُطُّ </w:t>
      </w:r>
      <w:r w:rsidRPr="00D10E3C">
        <w:rPr>
          <w:rStyle w:val="libFootnotenumChar"/>
          <w:rtl/>
        </w:rPr>
        <w:t>(8)</w:t>
      </w:r>
      <w:r>
        <w:rPr>
          <w:rtl/>
          <w:lang w:bidi="fa-IR"/>
        </w:rPr>
        <w:t xml:space="preserve"> الْخَطِيئَةَ ».</w:t>
      </w:r>
    </w:p>
    <w:p w:rsidR="00144FA6" w:rsidRDefault="00744A1C" w:rsidP="00744A1C">
      <w:pPr>
        <w:pStyle w:val="libNormal"/>
        <w:rPr>
          <w:rtl/>
          <w:lang w:bidi="fa-IR"/>
        </w:rPr>
      </w:pPr>
      <w:r>
        <w:rPr>
          <w:rtl/>
          <w:lang w:bidi="fa-IR"/>
        </w:rPr>
        <w:t xml:space="preserve">ثُمَّ قَالَ </w:t>
      </w:r>
      <w:r w:rsidRPr="00D10E3C">
        <w:rPr>
          <w:rStyle w:val="libFootnotenumChar"/>
          <w:rtl/>
        </w:rPr>
        <w:t>(9)</w:t>
      </w:r>
      <w:r>
        <w:rPr>
          <w:rtl/>
          <w:lang w:bidi="fa-IR"/>
        </w:rPr>
        <w:t xml:space="preserve"> : « إِنْ كَانَ خَلَطَ الْحَلَالَ </w:t>
      </w:r>
      <w:r w:rsidRPr="00D10E3C">
        <w:rPr>
          <w:rStyle w:val="libFootnotenumChar"/>
          <w:rtl/>
        </w:rPr>
        <w:t>(10)</w:t>
      </w:r>
      <w:r>
        <w:rPr>
          <w:rtl/>
          <w:lang w:bidi="fa-IR"/>
        </w:rPr>
        <w:t xml:space="preserve"> بِالْحَرَامِ </w:t>
      </w:r>
      <w:r w:rsidRPr="00D10E3C">
        <w:rPr>
          <w:rStyle w:val="libFootnotenumChar"/>
          <w:rtl/>
        </w:rPr>
        <w:t>(11)</w:t>
      </w:r>
      <w:r>
        <w:rPr>
          <w:rtl/>
          <w:lang w:bidi="fa-IR"/>
        </w:rPr>
        <w:t xml:space="preserve"> ، فَاخْتَلَطَا جَمِيعاً ، فَلَا يَعْرِفُ </w:t>
      </w:r>
      <w:r w:rsidRPr="00D10E3C">
        <w:rPr>
          <w:rStyle w:val="libFootnotenumChar"/>
          <w:rtl/>
        </w:rPr>
        <w:t>(12)</w:t>
      </w:r>
      <w:r>
        <w:rPr>
          <w:rtl/>
          <w:lang w:bidi="fa-IR"/>
        </w:rPr>
        <w:t xml:space="preserve"> الْحَلَالَ مِنَ الْحَرَامِ </w:t>
      </w:r>
      <w:r w:rsidRPr="00D10E3C">
        <w:rPr>
          <w:rStyle w:val="libFootnotenumChar"/>
          <w:rtl/>
        </w:rPr>
        <w:t>(13)</w:t>
      </w:r>
      <w:r>
        <w:rPr>
          <w:rtl/>
          <w:lang w:bidi="fa-IR"/>
        </w:rPr>
        <w:t xml:space="preserve"> ، فَلَا بَأْسَ </w:t>
      </w:r>
      <w:r w:rsidRPr="00D10E3C">
        <w:rPr>
          <w:rStyle w:val="libFootnotenumChar"/>
          <w:rtl/>
        </w:rPr>
        <w:t>(14)</w:t>
      </w:r>
      <w:r>
        <w:rPr>
          <w:rtl/>
          <w:lang w:bidi="fa-IR"/>
        </w:rPr>
        <w:t xml:space="preserve"> ». </w:t>
      </w:r>
      <w:r w:rsidRPr="00D10E3C">
        <w:rPr>
          <w:rStyle w:val="libFootnotenumChar"/>
          <w:rtl/>
        </w:rPr>
        <w:t>(15)</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الوسائل</w:t>
      </w:r>
      <w:r w:rsidR="00744A1C">
        <w:rPr>
          <w:rtl/>
          <w:lang w:bidi="fa-IR"/>
        </w:rPr>
        <w:t xml:space="preserve"> ، ح 14486 </w:t>
      </w:r>
      <w:r w:rsidR="00744A1C" w:rsidRPr="008860D1">
        <w:rPr>
          <w:rtl/>
        </w:rPr>
        <w:t>وتفسير العيّاشي</w:t>
      </w:r>
      <w:r w:rsidR="00744A1C">
        <w:rPr>
          <w:rtl/>
          <w:lang w:bidi="fa-IR"/>
        </w:rPr>
        <w:t xml:space="preserve"> : « سأل أبا عبد الله </w:t>
      </w:r>
      <w:r w:rsidR="0061079A" w:rsidRPr="0061079A">
        <w:rPr>
          <w:rStyle w:val="libFootnoteAlaemChar"/>
          <w:rtl/>
        </w:rPr>
        <w:t>عليه‌السلام</w:t>
      </w:r>
      <w:r>
        <w:rPr>
          <w:rtl/>
          <w:lang w:bidi="fa-IR"/>
        </w:rPr>
        <w:t xml:space="preserve"> </w:t>
      </w:r>
      <w:r w:rsidR="00744A1C">
        <w:rPr>
          <w:rtl/>
          <w:lang w:bidi="fa-IR"/>
        </w:rPr>
        <w:t xml:space="preserve">رجل من أهل الجبال » بدل « سألت أبا عبدالله </w:t>
      </w:r>
      <w:r w:rsidR="0061079A" w:rsidRPr="0061079A">
        <w:rPr>
          <w:rStyle w:val="libFootnoteAlaemChar"/>
          <w:rtl/>
        </w:rPr>
        <w:t>عليه‌السلام</w:t>
      </w:r>
      <w:r>
        <w:rPr>
          <w:rtl/>
          <w:lang w:bidi="fa-IR"/>
        </w:rPr>
        <w:t xml:space="preserve"> </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w:t>
      </w:r>
      <w:r w:rsidR="00744A1C" w:rsidRPr="008860D1">
        <w:rPr>
          <w:rtl/>
        </w:rPr>
        <w:t>الوسائل</w:t>
      </w:r>
      <w:r w:rsidR="00744A1C">
        <w:rPr>
          <w:rtl/>
          <w:lang w:bidi="fa-IR"/>
        </w:rPr>
        <w:t xml:space="preserve"> ، ح 14486 وتفسير العيّاشى : « من أعمال السلطان فهو » بدل « من عمل بني ا</w:t>
      </w:r>
      <w:r w:rsidR="008860D1">
        <w:rPr>
          <w:rFonts w:hint="cs"/>
          <w:rtl/>
          <w:lang w:bidi="fa-IR"/>
        </w:rPr>
        <w:t>ُ</w:t>
      </w:r>
      <w:r w:rsidR="00744A1C">
        <w:rPr>
          <w:rtl/>
          <w:lang w:bidi="fa-IR"/>
        </w:rPr>
        <w:t>ميّة وهو ».</w:t>
      </w:r>
    </w:p>
    <w:p w:rsidR="00744A1C" w:rsidRDefault="00E378DD" w:rsidP="00E378DD">
      <w:pPr>
        <w:pStyle w:val="libFootnote0"/>
        <w:rPr>
          <w:lang w:bidi="fa-IR"/>
        </w:rPr>
      </w:pPr>
      <w:r>
        <w:rPr>
          <w:rtl/>
          <w:lang w:bidi="fa-IR"/>
        </w:rPr>
        <w:t>(3).</w:t>
      </w:r>
      <w:r w:rsidR="00744A1C">
        <w:rPr>
          <w:rtl/>
          <w:lang w:bidi="fa-IR"/>
        </w:rPr>
        <w:t xml:space="preserve"> في </w:t>
      </w:r>
      <w:r w:rsidR="00744A1C" w:rsidRPr="008860D1">
        <w:rPr>
          <w:rtl/>
        </w:rPr>
        <w:t>الوسائل</w:t>
      </w:r>
      <w:r w:rsidR="00744A1C">
        <w:rPr>
          <w:rtl/>
          <w:lang w:bidi="fa-IR"/>
        </w:rPr>
        <w:t xml:space="preserve"> : « أو يحجّ ».</w:t>
      </w:r>
    </w:p>
    <w:p w:rsidR="00744A1C" w:rsidRDefault="00E378DD" w:rsidP="00E378DD">
      <w:pPr>
        <w:pStyle w:val="libFootnote0"/>
        <w:rPr>
          <w:lang w:bidi="fa-IR"/>
        </w:rPr>
      </w:pPr>
      <w:r>
        <w:rPr>
          <w:rtl/>
          <w:lang w:bidi="fa-IR"/>
        </w:rPr>
        <w:t>(4).</w:t>
      </w:r>
      <w:r w:rsidR="00744A1C">
        <w:rPr>
          <w:rtl/>
          <w:lang w:bidi="fa-IR"/>
        </w:rPr>
        <w:t xml:space="preserve"> في </w:t>
      </w:r>
      <w:r w:rsidR="00744A1C" w:rsidRPr="008860D1">
        <w:rPr>
          <w:rtl/>
        </w:rPr>
        <w:t>التهذيب</w:t>
      </w:r>
      <w:r w:rsidR="00744A1C">
        <w:rPr>
          <w:rtl/>
          <w:lang w:bidi="fa-IR"/>
        </w:rPr>
        <w:t xml:space="preserve"> : + « الله ».</w:t>
      </w:r>
    </w:p>
    <w:tbl>
      <w:tblPr>
        <w:tblStyle w:val="TableGrid"/>
        <w:bidiVisual/>
        <w:tblW w:w="0" w:type="auto"/>
        <w:tblLook w:val="04A0" w:firstRow="1" w:lastRow="0" w:firstColumn="1" w:lastColumn="0" w:noHBand="0" w:noVBand="1"/>
      </w:tblPr>
      <w:tblGrid>
        <w:gridCol w:w="4006"/>
        <w:gridCol w:w="4006"/>
      </w:tblGrid>
      <w:tr w:rsidR="008860D1" w:rsidTr="008860D1">
        <w:tc>
          <w:tcPr>
            <w:tcW w:w="4006" w:type="dxa"/>
          </w:tcPr>
          <w:p w:rsidR="008860D1" w:rsidRDefault="008860D1" w:rsidP="00E378DD">
            <w:pPr>
              <w:pStyle w:val="libFootnote0"/>
              <w:rPr>
                <w:rtl/>
                <w:lang w:bidi="fa-IR"/>
              </w:rPr>
            </w:pPr>
            <w:r>
              <w:rPr>
                <w:rtl/>
                <w:lang w:bidi="fa-IR"/>
              </w:rPr>
              <w:t>(5). في « ى ، بس ، جن » : - « هو ».</w:t>
            </w:r>
          </w:p>
        </w:tc>
        <w:tc>
          <w:tcPr>
            <w:tcW w:w="4006" w:type="dxa"/>
          </w:tcPr>
          <w:p w:rsidR="008860D1" w:rsidRDefault="008860D1" w:rsidP="00E378DD">
            <w:pPr>
              <w:pStyle w:val="libFootnote0"/>
              <w:rPr>
                <w:rtl/>
                <w:lang w:bidi="fa-IR"/>
              </w:rPr>
            </w:pPr>
            <w:r>
              <w:rPr>
                <w:rtl/>
                <w:lang w:bidi="fa-IR"/>
              </w:rPr>
              <w:t>(6). هود (11). : 114.</w:t>
            </w:r>
          </w:p>
        </w:tc>
      </w:tr>
      <w:tr w:rsidR="008860D1" w:rsidTr="008860D1">
        <w:tc>
          <w:tcPr>
            <w:tcW w:w="4006" w:type="dxa"/>
          </w:tcPr>
          <w:p w:rsidR="008860D1" w:rsidRDefault="008860D1" w:rsidP="00E378DD">
            <w:pPr>
              <w:pStyle w:val="libFootnote0"/>
              <w:rPr>
                <w:rtl/>
                <w:lang w:bidi="fa-IR"/>
              </w:rPr>
            </w:pPr>
            <w:r>
              <w:rPr>
                <w:rtl/>
                <w:lang w:bidi="fa-IR"/>
              </w:rPr>
              <w:t xml:space="preserve">(7). في </w:t>
            </w:r>
            <w:r w:rsidRPr="008860D1">
              <w:rPr>
                <w:rtl/>
              </w:rPr>
              <w:t>الوسائل</w:t>
            </w:r>
            <w:r>
              <w:rPr>
                <w:rtl/>
                <w:lang w:bidi="fa-IR"/>
              </w:rPr>
              <w:t xml:space="preserve"> ، ح 22051 : « وإنّ ».</w:t>
            </w:r>
          </w:p>
        </w:tc>
        <w:tc>
          <w:tcPr>
            <w:tcW w:w="4006" w:type="dxa"/>
          </w:tcPr>
          <w:p w:rsidR="008860D1" w:rsidRDefault="008860D1" w:rsidP="00E378DD">
            <w:pPr>
              <w:pStyle w:val="libFootnote0"/>
              <w:rPr>
                <w:rtl/>
                <w:lang w:bidi="fa-IR"/>
              </w:rPr>
            </w:pPr>
            <w:r>
              <w:rPr>
                <w:rtl/>
                <w:lang w:bidi="fa-IR"/>
              </w:rPr>
              <w:t xml:space="preserve">(8). في </w:t>
            </w:r>
            <w:r w:rsidRPr="008860D1">
              <w:rPr>
                <w:rtl/>
              </w:rPr>
              <w:t>تفسير العيّاشي</w:t>
            </w:r>
            <w:r>
              <w:rPr>
                <w:rtl/>
                <w:lang w:bidi="fa-IR"/>
              </w:rPr>
              <w:t xml:space="preserve"> : « تكفّر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8860D1">
        <w:rPr>
          <w:rtl/>
        </w:rPr>
        <w:t>الوسائل</w:t>
      </w:r>
      <w:r w:rsidR="00744A1C">
        <w:rPr>
          <w:rtl/>
          <w:lang w:bidi="fa-IR"/>
        </w:rPr>
        <w:t xml:space="preserve"> ، ح 14486 </w:t>
      </w:r>
      <w:r w:rsidR="00744A1C" w:rsidRPr="008860D1">
        <w:rPr>
          <w:rtl/>
        </w:rPr>
        <w:t>وتفسير العيّاشي</w:t>
      </w:r>
      <w:r w:rsidR="00744A1C">
        <w:rPr>
          <w:rtl/>
          <w:lang w:bidi="fa-IR"/>
        </w:rPr>
        <w:t xml:space="preserve"> : + « أبو عبد الله </w:t>
      </w:r>
      <w:r w:rsidR="0061079A" w:rsidRPr="0061079A">
        <w:rPr>
          <w:rStyle w:val="libFootnoteAlaemChar"/>
          <w:rtl/>
        </w:rPr>
        <w:t>عليه‌السلام</w:t>
      </w:r>
      <w:r w:rsidR="00D10E3C">
        <w:rPr>
          <w:rtl/>
          <w:lang w:bidi="fa-IR"/>
        </w:rPr>
        <w:t xml:space="preserve"> </w:t>
      </w:r>
      <w:r w:rsidR="00744A1C">
        <w:rPr>
          <w:rtl/>
          <w:lang w:bidi="fa-IR"/>
        </w:rPr>
        <w:t>».</w:t>
      </w:r>
    </w:p>
    <w:p w:rsidR="00744A1C" w:rsidRDefault="00E378DD" w:rsidP="00E378DD">
      <w:pPr>
        <w:pStyle w:val="libFootnote0"/>
        <w:rPr>
          <w:lang w:bidi="fa-IR"/>
        </w:rPr>
      </w:pPr>
      <w:r>
        <w:rPr>
          <w:rtl/>
          <w:lang w:bidi="fa-IR"/>
        </w:rPr>
        <w:t>(10).</w:t>
      </w:r>
      <w:r w:rsidR="00744A1C">
        <w:rPr>
          <w:rtl/>
          <w:lang w:bidi="fa-IR"/>
        </w:rPr>
        <w:t xml:space="preserve"> في « بح ، بس ، جد ، جن » </w:t>
      </w:r>
      <w:r w:rsidR="00744A1C" w:rsidRPr="008860D1">
        <w:rPr>
          <w:rtl/>
        </w:rPr>
        <w:t>والوسائل</w:t>
      </w:r>
      <w:r w:rsidR="00744A1C">
        <w:rPr>
          <w:rtl/>
          <w:lang w:bidi="fa-IR"/>
        </w:rPr>
        <w:t xml:space="preserve"> ، ح 14486 و 22051 </w:t>
      </w:r>
      <w:r w:rsidR="00744A1C" w:rsidRPr="008860D1">
        <w:rPr>
          <w:rtl/>
        </w:rPr>
        <w:t>والتهذيب</w:t>
      </w:r>
      <w:r w:rsidR="00744A1C">
        <w:rPr>
          <w:rtl/>
          <w:lang w:bidi="fa-IR"/>
        </w:rPr>
        <w:t xml:space="preserve"> : « الحرام ». وفي « ى » وحاشية « جت » : « حلالاً ».</w:t>
      </w:r>
    </w:p>
    <w:p w:rsidR="00744A1C" w:rsidRDefault="00E378DD" w:rsidP="00E378DD">
      <w:pPr>
        <w:pStyle w:val="libFootnote0"/>
        <w:rPr>
          <w:lang w:bidi="fa-IR"/>
        </w:rPr>
      </w:pPr>
      <w:r>
        <w:rPr>
          <w:rtl/>
          <w:lang w:bidi="fa-IR"/>
        </w:rPr>
        <w:t>(11).</w:t>
      </w:r>
      <w:r w:rsidR="00744A1C">
        <w:rPr>
          <w:rtl/>
          <w:lang w:bidi="fa-IR"/>
        </w:rPr>
        <w:t xml:space="preserve"> في « ط ، ي » : « الحرام ». وفي « بف » : « والحرام ». وفي « بح ، بس ، جد » </w:t>
      </w:r>
      <w:r w:rsidR="00744A1C" w:rsidRPr="008860D1">
        <w:rPr>
          <w:rtl/>
        </w:rPr>
        <w:t>والوسائل</w:t>
      </w:r>
      <w:r w:rsidR="00744A1C">
        <w:rPr>
          <w:rtl/>
          <w:lang w:bidi="fa-IR"/>
        </w:rPr>
        <w:t xml:space="preserve"> ، ح 14486 و 22051 </w:t>
      </w:r>
      <w:r w:rsidR="00744A1C" w:rsidRPr="008860D1">
        <w:rPr>
          <w:rtl/>
        </w:rPr>
        <w:t>والتهذيب</w:t>
      </w:r>
      <w:r w:rsidR="00744A1C">
        <w:rPr>
          <w:rtl/>
          <w:lang w:bidi="fa-IR"/>
        </w:rPr>
        <w:t xml:space="preserve"> : « حلالاً ». وفي حاشية « جن » : « بالحلال ». وفي حاشية « جت » : « خلط الحرام بحلال » بدل « خلط الحلال بالحرام ».</w:t>
      </w:r>
    </w:p>
    <w:p w:rsidR="00744A1C" w:rsidRDefault="00E378DD" w:rsidP="00E378DD">
      <w:pPr>
        <w:pStyle w:val="libFootnote0"/>
        <w:rPr>
          <w:lang w:bidi="fa-IR"/>
        </w:rPr>
      </w:pPr>
      <w:r>
        <w:rPr>
          <w:rtl/>
          <w:lang w:bidi="fa-IR"/>
        </w:rPr>
        <w:t>(12).</w:t>
      </w:r>
      <w:r w:rsidR="00744A1C">
        <w:rPr>
          <w:rtl/>
          <w:lang w:bidi="fa-IR"/>
        </w:rPr>
        <w:t xml:space="preserve"> في </w:t>
      </w:r>
      <w:r w:rsidR="00744A1C" w:rsidRPr="008860D1">
        <w:rPr>
          <w:rtl/>
        </w:rPr>
        <w:t>الوسائل</w:t>
      </w:r>
      <w:r w:rsidR="00744A1C">
        <w:rPr>
          <w:rtl/>
          <w:lang w:bidi="fa-IR"/>
        </w:rPr>
        <w:t xml:space="preserve"> ، ح 14486 و 22051 </w:t>
      </w:r>
      <w:r w:rsidR="00744A1C" w:rsidRPr="008860D1">
        <w:rPr>
          <w:rtl/>
        </w:rPr>
        <w:t>وتفسير العيّاشي</w:t>
      </w:r>
      <w:r w:rsidR="00744A1C">
        <w:rPr>
          <w:rtl/>
          <w:lang w:bidi="fa-IR"/>
        </w:rPr>
        <w:t xml:space="preserve"> : « فلم يعرف ».</w:t>
      </w:r>
    </w:p>
    <w:p w:rsidR="00744A1C" w:rsidRDefault="00E378DD" w:rsidP="00E378DD">
      <w:pPr>
        <w:pStyle w:val="libFootnote0"/>
        <w:rPr>
          <w:lang w:bidi="fa-IR"/>
        </w:rPr>
      </w:pPr>
      <w:r>
        <w:rPr>
          <w:rtl/>
          <w:lang w:bidi="fa-IR"/>
        </w:rPr>
        <w:t>(13).</w:t>
      </w:r>
      <w:r w:rsidR="00744A1C">
        <w:rPr>
          <w:rtl/>
          <w:lang w:bidi="fa-IR"/>
        </w:rPr>
        <w:t xml:space="preserve"> في « جد » </w:t>
      </w:r>
      <w:r w:rsidR="00744A1C" w:rsidRPr="008860D1">
        <w:rPr>
          <w:rtl/>
        </w:rPr>
        <w:t>والوسائل</w:t>
      </w:r>
      <w:r w:rsidR="00744A1C">
        <w:rPr>
          <w:rtl/>
          <w:lang w:bidi="fa-IR"/>
        </w:rPr>
        <w:t xml:space="preserve"> ، ح 14486 و 22051 : « الحرام من الحلال ».</w:t>
      </w:r>
    </w:p>
    <w:p w:rsidR="00744A1C" w:rsidRDefault="00E378DD" w:rsidP="00E378DD">
      <w:pPr>
        <w:pStyle w:val="libFootnote0"/>
        <w:rPr>
          <w:lang w:bidi="fa-IR"/>
        </w:rPr>
      </w:pPr>
      <w:r>
        <w:rPr>
          <w:rtl/>
          <w:lang w:bidi="fa-IR"/>
        </w:rPr>
        <w:t>(14).</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فلا بأس ، لعلّه محمول على ما إذا لم يعلم قدر المال ولا المالك ، ويكون ما يصرف في وجوه الخير بقدر الخمس. ولعلّ فيه دلالة على عدم وجوب إخراج هذا الخمس إلى بني هاشم ».</w:t>
      </w:r>
    </w:p>
    <w:p w:rsidR="00744A1C" w:rsidRDefault="00E378DD" w:rsidP="00E378DD">
      <w:pPr>
        <w:pStyle w:val="libFootnote0"/>
        <w:rPr>
          <w:lang w:bidi="fa-IR"/>
        </w:rPr>
      </w:pPr>
      <w:r>
        <w:rPr>
          <w:rtl/>
          <w:lang w:bidi="fa-IR"/>
        </w:rPr>
        <w:t>(15).</w:t>
      </w:r>
      <w:r w:rsidR="00744A1C">
        <w:rPr>
          <w:rtl/>
          <w:lang w:bidi="fa-IR"/>
        </w:rPr>
        <w:t xml:space="preserve"> </w:t>
      </w:r>
      <w:r w:rsidR="00744A1C" w:rsidRPr="00C24F9C">
        <w:rPr>
          <w:rStyle w:val="libFootnoteBoldChar"/>
          <w:rtl/>
        </w:rPr>
        <w:t>التهذيب</w:t>
      </w:r>
      <w:r w:rsidR="00744A1C">
        <w:rPr>
          <w:rtl/>
          <w:lang w:bidi="fa-IR"/>
        </w:rPr>
        <w:t xml:space="preserve"> ، ج 6 ، ص 369 ، ح 1068 ، معلّقاً عن الحسن بن محبوب. </w:t>
      </w:r>
      <w:r w:rsidR="00744A1C" w:rsidRPr="00A914B5">
        <w:rPr>
          <w:rStyle w:val="libFootnoteBoldChar"/>
          <w:rtl/>
        </w:rPr>
        <w:t>تفسير العيّاشي</w:t>
      </w:r>
      <w:r w:rsidR="00744A1C">
        <w:rPr>
          <w:rtl/>
          <w:lang w:bidi="fa-IR"/>
        </w:rPr>
        <w:t xml:space="preserve"> ، ج 2 ، ص 162 ، ح 77 ، عن سماعة بن مهران </w:t>
      </w:r>
      <w:r w:rsidR="008860D1">
        <w:rPr>
          <w:rFonts w:hint="cs"/>
          <w:rtl/>
          <w:lang w:bidi="fa-IR"/>
        </w:rPr>
        <w:t>.</w:t>
      </w:r>
      <w:r w:rsidR="00744A1C" w:rsidRPr="00C24F9C">
        <w:rPr>
          <w:rStyle w:val="libFootnoteBoldChar"/>
          <w:rtl/>
        </w:rPr>
        <w:t>الوافي</w:t>
      </w:r>
      <w:r w:rsidR="00744A1C">
        <w:rPr>
          <w:rtl/>
          <w:lang w:bidi="fa-IR"/>
        </w:rPr>
        <w:t xml:space="preserve"> ، ج 17 ، ص 65 ، ح 16869 ؛ </w:t>
      </w:r>
      <w:r w:rsidR="00744A1C" w:rsidRPr="00C24F9C">
        <w:rPr>
          <w:rStyle w:val="libFootnoteBoldChar"/>
          <w:rtl/>
        </w:rPr>
        <w:t>الوسائل</w:t>
      </w:r>
      <w:r w:rsidR="00744A1C">
        <w:rPr>
          <w:rtl/>
          <w:lang w:bidi="fa-IR"/>
        </w:rPr>
        <w:t xml:space="preserve"> ، ج 11 ، ص 146 ، ح 14486 ؛ وج 17 ، ص 88 ، ح 22051.</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8586 / 10. عَلِيُّ بْنُ مُحَمَّدٍ ، عَنْ صَالِحِ بْنِ أَبِي حَمَّادٍ ، عَنِ ابْنِ أَبِي عُمَيْرٍ ، عَنْ بَعْضِ أَصْحَابِهِ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قَوْلِهِ </w:t>
      </w:r>
      <w:r w:rsidRPr="00D10E3C">
        <w:rPr>
          <w:rStyle w:val="libFootnotenumChar"/>
          <w:rtl/>
        </w:rPr>
        <w:t>(1)</w:t>
      </w:r>
      <w:r>
        <w:rPr>
          <w:rtl/>
          <w:lang w:bidi="fa-IR"/>
        </w:rPr>
        <w:t xml:space="preserve"> عَزَّ وَجَلَّ : </w:t>
      </w:r>
      <w:r w:rsidRPr="008860D1">
        <w:rPr>
          <w:rStyle w:val="libAlaemChar"/>
          <w:rtl/>
        </w:rPr>
        <w:t>(</w:t>
      </w:r>
      <w:r w:rsidRPr="008860D1">
        <w:rPr>
          <w:rStyle w:val="libAieChar"/>
          <w:rtl/>
        </w:rPr>
        <w:t xml:space="preserve"> وَقَدِمْنا إِلى ما عَمِلُوا مِنْ عَمَلٍ فَجَعَلْناهُ هَباءً مَنْثُوراً </w:t>
      </w:r>
      <w:r w:rsidRPr="008860D1">
        <w:rPr>
          <w:rStyle w:val="libAlaemChar"/>
          <w:rtl/>
        </w:rPr>
        <w:t>)</w:t>
      </w:r>
      <w:r>
        <w:rPr>
          <w:rtl/>
          <w:lang w:bidi="fa-IR"/>
        </w:rPr>
        <w:t xml:space="preserve"> </w:t>
      </w:r>
      <w:r w:rsidRPr="00D10E3C">
        <w:rPr>
          <w:rStyle w:val="libFootnotenumChar"/>
          <w:rtl/>
        </w:rPr>
        <w:t>(2)</w:t>
      </w:r>
      <w:r>
        <w:rPr>
          <w:rtl/>
          <w:lang w:bidi="fa-IR"/>
        </w:rPr>
        <w:t xml:space="preserve"> قَالَ </w:t>
      </w:r>
      <w:r w:rsidRPr="00D10E3C">
        <w:rPr>
          <w:rStyle w:val="libFootnotenumChar"/>
          <w:rtl/>
        </w:rPr>
        <w:t>(3)</w:t>
      </w:r>
      <w:r>
        <w:rPr>
          <w:rtl/>
          <w:lang w:bidi="fa-IR"/>
        </w:rPr>
        <w:t xml:space="preserve"> : « إِنْ كَانَتْ أَعْمَالُهُمْ لَأَشَدَّ </w:t>
      </w:r>
      <w:r w:rsidRPr="00D10E3C">
        <w:rPr>
          <w:rStyle w:val="libFootnotenumChar"/>
          <w:rtl/>
        </w:rPr>
        <w:t>(4)</w:t>
      </w:r>
      <w:r>
        <w:rPr>
          <w:rtl/>
          <w:lang w:bidi="fa-IR"/>
        </w:rPr>
        <w:t xml:space="preserve"> بَيَاضاً مِنَ الْقَبَاطِيِّ </w:t>
      </w:r>
      <w:r w:rsidRPr="00D10E3C">
        <w:rPr>
          <w:rStyle w:val="libFootnotenumChar"/>
          <w:rtl/>
        </w:rPr>
        <w:t>(5)</w:t>
      </w:r>
      <w:r>
        <w:rPr>
          <w:rtl/>
          <w:lang w:bidi="fa-IR"/>
        </w:rPr>
        <w:t xml:space="preserve"> ، فَيَقُولُ اللهُ - عَزَّ وَجَلَّ - لَهَا : كُونِي هَبَاءً </w:t>
      </w:r>
      <w:r w:rsidRPr="00D10E3C">
        <w:rPr>
          <w:rStyle w:val="libFootnotenumChar"/>
          <w:rtl/>
        </w:rPr>
        <w:t>(6)</w:t>
      </w:r>
      <w:r>
        <w:rPr>
          <w:rtl/>
          <w:lang w:bidi="fa-IR"/>
        </w:rPr>
        <w:t xml:space="preserve"> ، وَذلِكَ أَنَّهُمْ كَانُوا إِذَا شَرَعَ </w:t>
      </w:r>
      <w:r w:rsidRPr="00D10E3C">
        <w:rPr>
          <w:rStyle w:val="libFootnotenumChar"/>
          <w:rtl/>
        </w:rPr>
        <w:t>(7)</w:t>
      </w:r>
      <w:r>
        <w:rPr>
          <w:rtl/>
          <w:lang w:bidi="fa-IR"/>
        </w:rPr>
        <w:t xml:space="preserve"> لَهُمُ الْحَرَامَ </w:t>
      </w:r>
      <w:r w:rsidRPr="00D10E3C">
        <w:rPr>
          <w:rStyle w:val="libFootnotenumChar"/>
          <w:rtl/>
        </w:rPr>
        <w:t>(8)</w:t>
      </w:r>
      <w:r>
        <w:rPr>
          <w:rtl/>
          <w:lang w:bidi="fa-IR"/>
        </w:rPr>
        <w:t xml:space="preserve"> ، أَخَذُوهُ </w:t>
      </w:r>
      <w:r w:rsidRPr="00D10E3C">
        <w:rPr>
          <w:rStyle w:val="libFootnotenumChar"/>
          <w:rtl/>
        </w:rPr>
        <w:t>(9)</w:t>
      </w:r>
      <w:r>
        <w:rPr>
          <w:rtl/>
          <w:lang w:bidi="fa-IR"/>
        </w:rPr>
        <w:t xml:space="preserve"> ». </w:t>
      </w:r>
      <w:r w:rsidRPr="00D10E3C">
        <w:rPr>
          <w:rStyle w:val="libFootnotenumChar"/>
          <w:rtl/>
        </w:rPr>
        <w:t>(10)</w:t>
      </w:r>
    </w:p>
    <w:p w:rsidR="00744A1C" w:rsidRDefault="00744A1C" w:rsidP="00FF04A4">
      <w:pPr>
        <w:pStyle w:val="Heading2Center"/>
        <w:rPr>
          <w:lang w:bidi="fa-IR"/>
        </w:rPr>
      </w:pPr>
      <w:bookmarkStart w:id="165" w:name="_Toc49261463"/>
      <w:r>
        <w:rPr>
          <w:rtl/>
          <w:lang w:bidi="fa-IR"/>
        </w:rPr>
        <w:t>42 - بَابُ السُّحْتِ‌</w:t>
      </w:r>
      <w:bookmarkEnd w:id="165"/>
    </w:p>
    <w:p w:rsidR="00144FA6" w:rsidRDefault="00744A1C" w:rsidP="00744A1C">
      <w:pPr>
        <w:pStyle w:val="libNormal"/>
        <w:rPr>
          <w:rtl/>
          <w:lang w:bidi="fa-IR"/>
        </w:rPr>
      </w:pPr>
      <w:r>
        <w:rPr>
          <w:rtl/>
          <w:lang w:bidi="fa-IR"/>
        </w:rPr>
        <w:t>8587 / 1. عِدَّةٌ مِنْ أَصْحَابِنَا ، عَنْ سَهْلِ بْنِ زِيَادٍ وَأَحْمَدَ بْنِ مُحَمَّدٍ ، عَنِ ابْنِ مَحْبُوبٍ ، عَنِ ابْنِ رِئَابٍ ، عَنْ عَمَّارِ بْنِ مَرْوَانَ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w:t>
      </w:r>
      <w:r w:rsidR="00744A1C" w:rsidRPr="00FF04A4">
        <w:rPr>
          <w:rtl/>
        </w:rPr>
        <w:t>والوسائل والبحار والكافي</w:t>
      </w:r>
      <w:r w:rsidR="00744A1C">
        <w:rPr>
          <w:rtl/>
          <w:lang w:bidi="fa-IR"/>
        </w:rPr>
        <w:t xml:space="preserve"> ، ح 1655 : « قول الله ».</w:t>
      </w:r>
    </w:p>
    <w:p w:rsidR="00744A1C" w:rsidRDefault="00E378DD" w:rsidP="00E378DD">
      <w:pPr>
        <w:pStyle w:val="libFootnote0"/>
        <w:rPr>
          <w:lang w:bidi="fa-IR"/>
        </w:rPr>
      </w:pPr>
      <w:r>
        <w:rPr>
          <w:rtl/>
          <w:lang w:bidi="fa-IR"/>
        </w:rPr>
        <w:t>(2).</w:t>
      </w:r>
      <w:r w:rsidR="00744A1C">
        <w:rPr>
          <w:rtl/>
          <w:lang w:bidi="fa-IR"/>
        </w:rPr>
        <w:t xml:space="preserve"> الفرقان (25) : 23.</w:t>
      </w:r>
    </w:p>
    <w:p w:rsidR="00744A1C" w:rsidRDefault="00E378DD" w:rsidP="00E378DD">
      <w:pPr>
        <w:pStyle w:val="libFootnote0"/>
        <w:rPr>
          <w:lang w:bidi="fa-IR"/>
        </w:rPr>
      </w:pPr>
      <w:r>
        <w:rPr>
          <w:rtl/>
          <w:lang w:bidi="fa-IR"/>
        </w:rPr>
        <w:t>(3).</w:t>
      </w:r>
      <w:r w:rsidR="00744A1C">
        <w:rPr>
          <w:rtl/>
          <w:lang w:bidi="fa-IR"/>
        </w:rPr>
        <w:t xml:space="preserve"> هكذا في « ط ، ى ، بح ، بس ، جت ، جد ، جن » </w:t>
      </w:r>
      <w:r w:rsidR="00744A1C" w:rsidRPr="00FF04A4">
        <w:rPr>
          <w:rtl/>
        </w:rPr>
        <w:t>والوسائل والبحار والكافي</w:t>
      </w:r>
      <w:r w:rsidR="00744A1C">
        <w:rPr>
          <w:rtl/>
          <w:lang w:bidi="fa-IR"/>
        </w:rPr>
        <w:t xml:space="preserve"> ، ح 1655. وفي بعض النسخ والمطبوع : « فقال ». وفي </w:t>
      </w:r>
      <w:r w:rsidR="00744A1C" w:rsidRPr="0061079A">
        <w:rPr>
          <w:rStyle w:val="libFootnoteBoldChar"/>
          <w:rtl/>
        </w:rPr>
        <w:t>الكافي</w:t>
      </w:r>
      <w:r w:rsidR="00744A1C">
        <w:rPr>
          <w:rtl/>
          <w:lang w:bidi="fa-IR"/>
        </w:rPr>
        <w:t xml:space="preserve"> ، ح 1655 : + « أما والله ».</w:t>
      </w:r>
    </w:p>
    <w:p w:rsidR="00744A1C" w:rsidRDefault="00E378DD" w:rsidP="00E378DD">
      <w:pPr>
        <w:pStyle w:val="libFootnote0"/>
        <w:rPr>
          <w:lang w:bidi="fa-IR"/>
        </w:rPr>
      </w:pPr>
      <w:r>
        <w:rPr>
          <w:rtl/>
          <w:lang w:bidi="fa-IR"/>
        </w:rPr>
        <w:t>(4).</w:t>
      </w:r>
      <w:r w:rsidR="00744A1C">
        <w:rPr>
          <w:rtl/>
          <w:lang w:bidi="fa-IR"/>
        </w:rPr>
        <w:t xml:space="preserve"> في « بخ ، بف » </w:t>
      </w:r>
      <w:r w:rsidR="00744A1C" w:rsidRPr="00FF04A4">
        <w:rPr>
          <w:rtl/>
        </w:rPr>
        <w:t>والكافي</w:t>
      </w:r>
      <w:r w:rsidR="00744A1C">
        <w:rPr>
          <w:rtl/>
          <w:lang w:bidi="fa-IR"/>
        </w:rPr>
        <w:t xml:space="preserve"> ، ح 1655 : « أشدّ ».</w:t>
      </w:r>
    </w:p>
    <w:p w:rsidR="00744A1C" w:rsidRDefault="00E378DD" w:rsidP="00E378DD">
      <w:pPr>
        <w:pStyle w:val="libFootnote0"/>
        <w:rPr>
          <w:lang w:bidi="fa-IR"/>
        </w:rPr>
      </w:pPr>
      <w:r>
        <w:rPr>
          <w:rtl/>
          <w:lang w:bidi="fa-IR"/>
        </w:rPr>
        <w:t>(5).</w:t>
      </w:r>
      <w:r w:rsidR="00744A1C">
        <w:rPr>
          <w:rtl/>
          <w:lang w:bidi="fa-IR"/>
        </w:rPr>
        <w:t xml:space="preserve"> « القباطيُّ » : جمع : القُبطيّة ، وهي ثياب بيض رقاق من كتّان ، تتّخذ بمصر ، منسوب إلى قبط ، وهم أهل مصر. وقد يضمّ ؛ لأنّهم يغيّرون في النسبة. </w:t>
      </w:r>
      <w:r w:rsidR="00744A1C" w:rsidRPr="00E978C3">
        <w:rPr>
          <w:rStyle w:val="libFootnoteBoldChar"/>
          <w:rtl/>
        </w:rPr>
        <w:t>الصحاح</w:t>
      </w:r>
      <w:r w:rsidR="00744A1C">
        <w:rPr>
          <w:rtl/>
          <w:lang w:bidi="fa-IR"/>
        </w:rPr>
        <w:t xml:space="preserve"> ، ج 3 ، ص 1150 ( قبط ).</w:t>
      </w:r>
    </w:p>
    <w:p w:rsidR="00744A1C" w:rsidRDefault="00E378DD" w:rsidP="00E378DD">
      <w:pPr>
        <w:pStyle w:val="libFootnote0"/>
        <w:rPr>
          <w:lang w:bidi="fa-IR"/>
        </w:rPr>
      </w:pPr>
      <w:r>
        <w:rPr>
          <w:rtl/>
          <w:lang w:bidi="fa-IR"/>
        </w:rPr>
        <w:t>(6).</w:t>
      </w:r>
      <w:r w:rsidR="00744A1C">
        <w:rPr>
          <w:rtl/>
          <w:lang w:bidi="fa-IR"/>
        </w:rPr>
        <w:t xml:space="preserve"> في </w:t>
      </w:r>
      <w:r w:rsidR="00744A1C" w:rsidRPr="0061079A">
        <w:rPr>
          <w:rStyle w:val="libFootnoteBoldChar"/>
          <w:rtl/>
        </w:rPr>
        <w:t>الكافي</w:t>
      </w:r>
      <w:r w:rsidR="00744A1C">
        <w:rPr>
          <w:rtl/>
          <w:lang w:bidi="fa-IR"/>
        </w:rPr>
        <w:t xml:space="preserve"> ، ح 1655 : - « فيقول الله عزّ وجلّ لها : كوني هباء ». والهباء في الأصل : ما ارتفع تحت سنابك الخيل ، والشي‌ء المنبثّ الذي تراه في ضوء الشمس. </w:t>
      </w:r>
      <w:r w:rsidR="00744A1C" w:rsidRPr="00877682">
        <w:rPr>
          <w:rStyle w:val="libFootnoteBoldChar"/>
          <w:rtl/>
        </w:rPr>
        <w:t>النهاية</w:t>
      </w:r>
      <w:r w:rsidR="00744A1C">
        <w:rPr>
          <w:rtl/>
          <w:lang w:bidi="fa-IR"/>
        </w:rPr>
        <w:t xml:space="preserve"> ، ج 5 ، ص 242 ( هبا ).</w:t>
      </w:r>
    </w:p>
    <w:p w:rsidR="00744A1C" w:rsidRDefault="00E378DD" w:rsidP="00E378DD">
      <w:pPr>
        <w:pStyle w:val="libFootnote0"/>
        <w:rPr>
          <w:lang w:bidi="fa-IR"/>
        </w:rPr>
      </w:pPr>
      <w:r>
        <w:rPr>
          <w:rtl/>
          <w:lang w:bidi="fa-IR"/>
        </w:rPr>
        <w:t>(7).</w:t>
      </w:r>
      <w:r w:rsidR="00744A1C">
        <w:rPr>
          <w:rtl/>
          <w:lang w:bidi="fa-IR"/>
        </w:rPr>
        <w:t xml:space="preserve"> في </w:t>
      </w:r>
      <w:r w:rsidR="00744A1C" w:rsidRPr="0061079A">
        <w:rPr>
          <w:rStyle w:val="libFootnoteBoldChar"/>
          <w:rtl/>
        </w:rPr>
        <w:t>الكافي</w:t>
      </w:r>
      <w:r w:rsidR="00744A1C">
        <w:rPr>
          <w:rtl/>
          <w:lang w:bidi="fa-IR"/>
        </w:rPr>
        <w:t xml:space="preserve"> ، ح 1655 : « عرض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شرع لهم الحرام : تيسّر أسبابه ». ويحتمل أن يكون مجهولاً من التشريع ، أي فُتح ، يقال : شرّع البابَ ، أي فتحه. راجع : </w:t>
      </w:r>
      <w:r w:rsidR="00744A1C" w:rsidRPr="008A57EB">
        <w:rPr>
          <w:rStyle w:val="libFootnoteBoldChar"/>
          <w:rtl/>
        </w:rPr>
        <w:t>القاموس المحيط</w:t>
      </w:r>
      <w:r w:rsidR="00744A1C">
        <w:rPr>
          <w:rtl/>
          <w:lang w:bidi="fa-IR"/>
        </w:rPr>
        <w:t xml:space="preserve"> ، ج 2 ، ص 983 ( شرع ) ؛ </w:t>
      </w:r>
      <w:r w:rsidR="00744A1C" w:rsidRPr="00877682">
        <w:rPr>
          <w:rStyle w:val="libFootnoteBoldChar"/>
          <w:rtl/>
        </w:rPr>
        <w:t>مرآة العقول</w:t>
      </w:r>
      <w:r w:rsidR="00744A1C">
        <w:rPr>
          <w:rtl/>
          <w:lang w:bidi="fa-IR"/>
        </w:rPr>
        <w:t xml:space="preserve"> ، ج 19 ، ص 91.</w:t>
      </w:r>
    </w:p>
    <w:p w:rsidR="00744A1C" w:rsidRDefault="00E378DD" w:rsidP="00E378DD">
      <w:pPr>
        <w:pStyle w:val="libFootnote0"/>
        <w:rPr>
          <w:lang w:bidi="fa-IR"/>
        </w:rPr>
      </w:pPr>
      <w:r>
        <w:rPr>
          <w:rtl/>
          <w:lang w:bidi="fa-IR"/>
        </w:rPr>
        <w:t>(9).</w:t>
      </w:r>
      <w:r w:rsidR="00744A1C">
        <w:rPr>
          <w:rtl/>
          <w:lang w:bidi="fa-IR"/>
        </w:rPr>
        <w:t xml:space="preserve"> في </w:t>
      </w:r>
      <w:r w:rsidR="00744A1C" w:rsidRPr="0061079A">
        <w:rPr>
          <w:rStyle w:val="libFootnoteBoldChar"/>
          <w:rtl/>
        </w:rPr>
        <w:t>الكافي</w:t>
      </w:r>
      <w:r w:rsidR="00744A1C">
        <w:rPr>
          <w:rtl/>
          <w:lang w:bidi="fa-IR"/>
        </w:rPr>
        <w:t xml:space="preserve"> ، ح 1655 : « لم يدعوه ».</w:t>
      </w:r>
    </w:p>
    <w:p w:rsidR="00744A1C" w:rsidRDefault="00E378DD" w:rsidP="00E378DD">
      <w:pPr>
        <w:pStyle w:val="libFootnote0"/>
        <w:rPr>
          <w:lang w:bidi="fa-IR"/>
        </w:rPr>
      </w:pPr>
      <w:r>
        <w:rPr>
          <w:rtl/>
          <w:lang w:bidi="fa-IR"/>
        </w:rPr>
        <w:t>(10).</w:t>
      </w:r>
      <w:r w:rsidR="00744A1C">
        <w:rPr>
          <w:rtl/>
          <w:lang w:bidi="fa-IR"/>
        </w:rPr>
        <w:t xml:space="preserve"> </w:t>
      </w:r>
      <w:r w:rsidR="00744A1C" w:rsidRPr="0061079A">
        <w:rPr>
          <w:rStyle w:val="libFootnoteBoldChar"/>
          <w:rtl/>
        </w:rPr>
        <w:t>الكافي</w:t>
      </w:r>
      <w:r w:rsidR="00744A1C">
        <w:rPr>
          <w:rtl/>
          <w:lang w:bidi="fa-IR"/>
        </w:rPr>
        <w:t xml:space="preserve"> ، كتاب الإيمان والكفر ، باب اجتناب المحارم ، ح 1655 ، بسند آخر. </w:t>
      </w:r>
      <w:r w:rsidR="00744A1C" w:rsidRPr="00610FB4">
        <w:rPr>
          <w:rStyle w:val="libFootnoteBoldChar"/>
          <w:rtl/>
        </w:rPr>
        <w:t>تفسير القمّي</w:t>
      </w:r>
      <w:r w:rsidR="00744A1C">
        <w:rPr>
          <w:rtl/>
          <w:lang w:bidi="fa-IR"/>
        </w:rPr>
        <w:t xml:space="preserve"> ، ج 2 ، ص 112 ، بسند آخر عن أبي جعفر </w:t>
      </w:r>
      <w:r w:rsidR="0061079A" w:rsidRPr="0061079A">
        <w:rPr>
          <w:rStyle w:val="libFootnoteAlaemChar"/>
          <w:rtl/>
        </w:rPr>
        <w:t>عليه‌السلام</w:t>
      </w:r>
      <w:r w:rsidR="00744A1C">
        <w:rPr>
          <w:rtl/>
          <w:lang w:bidi="fa-IR"/>
        </w:rPr>
        <w:t xml:space="preserve">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256 ، وفيهما مع اختلاف يسير </w:t>
      </w:r>
      <w:r w:rsidR="00FF04A4">
        <w:rPr>
          <w:rFonts w:hint="cs"/>
          <w:rtl/>
          <w:lang w:bidi="fa-IR"/>
        </w:rPr>
        <w:t>.</w:t>
      </w:r>
      <w:r w:rsidR="00744A1C" w:rsidRPr="00C24F9C">
        <w:rPr>
          <w:rStyle w:val="libFootnoteBoldChar"/>
          <w:rtl/>
        </w:rPr>
        <w:t>الوافي</w:t>
      </w:r>
      <w:r w:rsidR="00744A1C">
        <w:rPr>
          <w:rtl/>
          <w:lang w:bidi="fa-IR"/>
        </w:rPr>
        <w:t xml:space="preserve"> ، ج 17 ، ص 65 ، ح 16870 ؛ </w:t>
      </w:r>
      <w:r w:rsidR="00744A1C" w:rsidRPr="00C24F9C">
        <w:rPr>
          <w:rStyle w:val="libFootnoteBoldChar"/>
          <w:rtl/>
        </w:rPr>
        <w:t>الوسائل</w:t>
      </w:r>
      <w:r w:rsidR="00744A1C">
        <w:rPr>
          <w:rtl/>
          <w:lang w:bidi="fa-IR"/>
        </w:rPr>
        <w:t xml:space="preserve"> ، ج 17 ، ص 82 ، ح 22046 ؛ </w:t>
      </w:r>
      <w:r w:rsidR="00744A1C" w:rsidRPr="0061079A">
        <w:rPr>
          <w:rStyle w:val="libFootnoteBoldChar"/>
          <w:rtl/>
        </w:rPr>
        <w:t>البحار</w:t>
      </w:r>
      <w:r w:rsidR="00744A1C">
        <w:rPr>
          <w:rtl/>
          <w:lang w:bidi="fa-IR"/>
        </w:rPr>
        <w:t xml:space="preserve"> ، ج 7 ، ص 205 ، ح 91.</w:t>
      </w:r>
    </w:p>
    <w:p w:rsidR="006A5060" w:rsidRDefault="006A5060"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سَأَلْتُ أَبَا جَعْفَرٍ </w:t>
      </w:r>
      <w:r w:rsidRPr="00D10E3C">
        <w:rPr>
          <w:rStyle w:val="libFootnotenumChar"/>
          <w:rtl/>
        </w:rPr>
        <w:t>(1)</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عَنِ الْغُلُولِ </w:t>
      </w:r>
      <w:r w:rsidRPr="00D10E3C">
        <w:rPr>
          <w:rStyle w:val="libFootnotenumChar"/>
          <w:rtl/>
        </w:rPr>
        <w:t>(2)</w:t>
      </w:r>
      <w:r>
        <w:rPr>
          <w:rtl/>
          <w:lang w:bidi="fa-IR"/>
        </w:rPr>
        <w:t>؟</w:t>
      </w:r>
    </w:p>
    <w:p w:rsidR="00144FA6" w:rsidRDefault="00744A1C" w:rsidP="00744A1C">
      <w:pPr>
        <w:pStyle w:val="libNormal"/>
        <w:rPr>
          <w:rtl/>
          <w:lang w:bidi="fa-IR"/>
        </w:rPr>
      </w:pPr>
      <w:r>
        <w:rPr>
          <w:rtl/>
          <w:lang w:bidi="fa-IR"/>
        </w:rPr>
        <w:t xml:space="preserve">فَقَالَ </w:t>
      </w:r>
      <w:r w:rsidRPr="00D10E3C">
        <w:rPr>
          <w:rStyle w:val="libFootnotenumChar"/>
          <w:rtl/>
        </w:rPr>
        <w:t>(3)</w:t>
      </w:r>
      <w:r>
        <w:rPr>
          <w:rtl/>
          <w:lang w:bidi="fa-IR"/>
        </w:rPr>
        <w:t xml:space="preserve"> : « كُلُّ شَيْ‌ءٍ غُلَّ مِنَ الْإِمَامِ فَهُوَ سُحْتٌ </w:t>
      </w:r>
      <w:r w:rsidRPr="00D10E3C">
        <w:rPr>
          <w:rStyle w:val="libFootnotenumChar"/>
          <w:rtl/>
        </w:rPr>
        <w:t>(4)</w:t>
      </w:r>
      <w:r>
        <w:rPr>
          <w:rtl/>
          <w:lang w:bidi="fa-IR"/>
        </w:rPr>
        <w:t xml:space="preserve"> ، وَأَكْلُ مَالِ الْيَتِيمِ وَشِبْهُهُ </w:t>
      </w:r>
      <w:r w:rsidRPr="00D10E3C">
        <w:rPr>
          <w:rStyle w:val="libFootnotenumChar"/>
          <w:rtl/>
        </w:rPr>
        <w:t>(5)</w:t>
      </w:r>
      <w:r>
        <w:rPr>
          <w:rtl/>
          <w:lang w:bidi="fa-IR"/>
        </w:rPr>
        <w:t xml:space="preserve"> سُحْتٌ ، وَالسُّحْتُ أَنْوَاعٌ كَثِيرَةٌ : مِنْهَا </w:t>
      </w:r>
      <w:r w:rsidRPr="00D10E3C">
        <w:rPr>
          <w:rStyle w:val="libFootnotenumChar"/>
          <w:rtl/>
        </w:rPr>
        <w:t>(6)</w:t>
      </w:r>
      <w:r>
        <w:rPr>
          <w:rtl/>
          <w:lang w:bidi="fa-IR"/>
        </w:rPr>
        <w:t xml:space="preserve"> أُجُورُ الْفَوَاجِرِ ، وَثَمَنُ الْخَمْرِ وَالنَّبِيذِ الْمُسْكِرِ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بض » </w:t>
      </w:r>
      <w:r w:rsidR="00744A1C" w:rsidRPr="00572BEB">
        <w:rPr>
          <w:rtl/>
        </w:rPr>
        <w:t>والوافي</w:t>
      </w:r>
      <w:r w:rsidR="00744A1C">
        <w:rPr>
          <w:rtl/>
          <w:lang w:bidi="fa-IR"/>
        </w:rPr>
        <w:t xml:space="preserve"> : « أبا عبدالله ». وقد تكرّرت في الأسناد رواية عمّار بن مروان عن أبي عبدالله </w:t>
      </w:r>
      <w:r w:rsidR="0061079A" w:rsidRPr="0061079A">
        <w:rPr>
          <w:rStyle w:val="libFootnoteAlaemChar"/>
          <w:rtl/>
        </w:rPr>
        <w:t>عليه‌السلام</w:t>
      </w:r>
      <w:r>
        <w:rPr>
          <w:rtl/>
          <w:lang w:bidi="fa-IR"/>
        </w:rPr>
        <w:t xml:space="preserve"> </w:t>
      </w:r>
      <w:r w:rsidR="00744A1C">
        <w:rPr>
          <w:rtl/>
          <w:lang w:bidi="fa-IR"/>
        </w:rPr>
        <w:t xml:space="preserve">، ولم نجد روايته عن أبي جعفر </w:t>
      </w:r>
      <w:r w:rsidR="0061079A" w:rsidRPr="0061079A">
        <w:rPr>
          <w:rStyle w:val="libFootnoteAlaemChar"/>
          <w:rtl/>
        </w:rPr>
        <w:t>عليه‌السلام</w:t>
      </w:r>
      <w:r>
        <w:rPr>
          <w:rtl/>
          <w:lang w:bidi="fa-IR"/>
        </w:rPr>
        <w:t xml:space="preserve"> </w:t>
      </w:r>
      <w:r w:rsidR="00572BEB">
        <w:rPr>
          <w:rtl/>
          <w:lang w:bidi="fa-IR"/>
        </w:rPr>
        <w:t>مباشرة إل</w:t>
      </w:r>
      <w:r w:rsidR="00572BEB">
        <w:rPr>
          <w:rFonts w:hint="cs"/>
          <w:rtl/>
          <w:lang w:bidi="fa-IR"/>
        </w:rPr>
        <w:t>ّ</w:t>
      </w:r>
      <w:r w:rsidR="00572BEB">
        <w:rPr>
          <w:rtl/>
          <w:lang w:bidi="fa-IR"/>
        </w:rPr>
        <w:t>ا</w:t>
      </w:r>
      <w:r w:rsidR="00572BEB">
        <w:rPr>
          <w:rFonts w:hint="cs"/>
          <w:rtl/>
          <w:lang w:bidi="fa-IR"/>
        </w:rPr>
        <w:t xml:space="preserve"> </w:t>
      </w:r>
      <w:r w:rsidR="00744A1C">
        <w:rPr>
          <w:rtl/>
          <w:lang w:bidi="fa-IR"/>
        </w:rPr>
        <w:t xml:space="preserve">في هذا الخبر وما ورد في </w:t>
      </w:r>
      <w:r w:rsidR="00744A1C" w:rsidRPr="00211914">
        <w:rPr>
          <w:rStyle w:val="libFootnoteBoldChar"/>
          <w:rtl/>
        </w:rPr>
        <w:t>بصائر الدرجات</w:t>
      </w:r>
      <w:r w:rsidR="00744A1C">
        <w:rPr>
          <w:rtl/>
          <w:lang w:bidi="fa-IR"/>
        </w:rPr>
        <w:t xml:space="preserve"> ، ص 288 ، ح 1 و 3 ، ولم يرد الحديث الثالث من </w:t>
      </w:r>
      <w:r w:rsidR="00744A1C" w:rsidRPr="00211914">
        <w:rPr>
          <w:rStyle w:val="libFootnoteBoldChar"/>
          <w:rtl/>
        </w:rPr>
        <w:t>بصائر الدرجات</w:t>
      </w:r>
      <w:r w:rsidR="00744A1C">
        <w:rPr>
          <w:rtl/>
          <w:lang w:bidi="fa-IR"/>
        </w:rPr>
        <w:t xml:space="preserve"> في بعض نسخه المعتبرة.</w:t>
      </w:r>
    </w:p>
    <w:p w:rsidR="00744A1C" w:rsidRDefault="00744A1C" w:rsidP="00D10E3C">
      <w:pPr>
        <w:pStyle w:val="libFootnote0"/>
        <w:rPr>
          <w:lang w:bidi="fa-IR"/>
        </w:rPr>
      </w:pPr>
      <w:r>
        <w:rPr>
          <w:rtl/>
          <w:lang w:bidi="fa-IR"/>
        </w:rPr>
        <w:t xml:space="preserve">فعليه ، الظاهر وقوع الخلل في سند الخبرين : خبرنا هذا وما ورد في البصائر. أمّا خبر البصائر ، فقد ورد في </w:t>
      </w:r>
      <w:r w:rsidRPr="00211914">
        <w:rPr>
          <w:rStyle w:val="libFootnoteBoldChar"/>
          <w:rtl/>
        </w:rPr>
        <w:t>الاختصاص</w:t>
      </w:r>
      <w:r>
        <w:rPr>
          <w:rtl/>
          <w:lang w:bidi="fa-IR"/>
        </w:rPr>
        <w:t xml:space="preserve"> ، ص 278 ، بسنده عن عمّار بن مروان ، عن جابر بن يزيد ، عن أبي جعفر </w:t>
      </w:r>
      <w:r w:rsidR="0061079A" w:rsidRPr="0061079A">
        <w:rPr>
          <w:rStyle w:val="libFootnoteAlaemChar"/>
          <w:rtl/>
        </w:rPr>
        <w:t>عليه‌السلام</w:t>
      </w:r>
      <w:r>
        <w:rPr>
          <w:rtl/>
          <w:lang w:bidi="fa-IR"/>
        </w:rPr>
        <w:t xml:space="preserve"> . وقد توسّط جابر في بعض الأسناد بين عمّار بن مروان وبين أبي جعفر </w:t>
      </w:r>
      <w:r w:rsidR="0061079A" w:rsidRPr="0061079A">
        <w:rPr>
          <w:rStyle w:val="libFootnoteAlaemChar"/>
          <w:rtl/>
        </w:rPr>
        <w:t>عليه‌السلام</w:t>
      </w:r>
      <w:r>
        <w:rPr>
          <w:rtl/>
          <w:lang w:bidi="fa-IR"/>
        </w:rPr>
        <w:t xml:space="preserve"> .</w:t>
      </w:r>
    </w:p>
    <w:p w:rsidR="00744A1C" w:rsidRDefault="00744A1C" w:rsidP="00D10E3C">
      <w:pPr>
        <w:pStyle w:val="libFootnote0"/>
        <w:rPr>
          <w:lang w:bidi="fa-IR"/>
        </w:rPr>
      </w:pPr>
      <w:r>
        <w:rPr>
          <w:rtl/>
          <w:lang w:bidi="fa-IR"/>
        </w:rPr>
        <w:t xml:space="preserve">وأمّا خبرنا هذا ، فقد ورد مع زيادة في </w:t>
      </w:r>
      <w:r w:rsidRPr="00A914B5">
        <w:rPr>
          <w:rStyle w:val="libFootnoteBoldChar"/>
          <w:rtl/>
        </w:rPr>
        <w:t>تفسير العيّاشي</w:t>
      </w:r>
      <w:r>
        <w:rPr>
          <w:rtl/>
          <w:lang w:bidi="fa-IR"/>
        </w:rPr>
        <w:t xml:space="preserve"> ، ج 1 ، ص 321 ، ح 115 ؛ </w:t>
      </w:r>
      <w:r w:rsidRPr="00877682">
        <w:rPr>
          <w:rStyle w:val="libFootnoteBoldChar"/>
          <w:rtl/>
        </w:rPr>
        <w:t>و</w:t>
      </w:r>
      <w:r w:rsidRPr="00610FB4">
        <w:rPr>
          <w:rStyle w:val="libFootnoteBoldChar"/>
          <w:rtl/>
        </w:rPr>
        <w:t>معاني الأخبار</w:t>
      </w:r>
      <w:r>
        <w:rPr>
          <w:rtl/>
          <w:lang w:bidi="fa-IR"/>
        </w:rPr>
        <w:t xml:space="preserve"> ، ص 211 ، ح 1 ، عن عمّار بن مروان ، قال : سألت أبا عبدالله </w:t>
      </w:r>
      <w:r w:rsidR="0061079A" w:rsidRPr="0061079A">
        <w:rPr>
          <w:rStyle w:val="libFootnoteAlaemChar"/>
          <w:rtl/>
        </w:rPr>
        <w:t>عليه‌السلام</w:t>
      </w:r>
      <w:r>
        <w:rPr>
          <w:rtl/>
          <w:lang w:bidi="fa-IR"/>
        </w:rPr>
        <w:t xml:space="preserve"> . وورد أيضاً - مع اختلاف يسير - في </w:t>
      </w:r>
      <w:r w:rsidRPr="00572BEB">
        <w:rPr>
          <w:rStyle w:val="libFootnoteBoldChar"/>
          <w:rtl/>
        </w:rPr>
        <w:t>الخصال</w:t>
      </w:r>
      <w:r>
        <w:rPr>
          <w:rtl/>
          <w:lang w:bidi="fa-IR"/>
        </w:rPr>
        <w:t xml:space="preserve"> ، ص 329 ، ح 26 ، عن عمّار بن مروان ، قال : قال أبو عبدالله </w:t>
      </w:r>
      <w:r w:rsidR="0061079A" w:rsidRPr="0061079A">
        <w:rPr>
          <w:rStyle w:val="libFootnoteAlaemChar"/>
          <w:rtl/>
        </w:rPr>
        <w:t>عليه‌السلام</w:t>
      </w:r>
      <w:r>
        <w:rPr>
          <w:rtl/>
          <w:lang w:bidi="fa-IR"/>
        </w:rPr>
        <w:t xml:space="preserve"> .</w:t>
      </w:r>
    </w:p>
    <w:p w:rsidR="00744A1C" w:rsidRDefault="00744A1C" w:rsidP="00572BEB">
      <w:pPr>
        <w:pStyle w:val="libFootnote0"/>
        <w:rPr>
          <w:lang w:bidi="fa-IR"/>
        </w:rPr>
      </w:pPr>
      <w:r>
        <w:rPr>
          <w:rtl/>
          <w:lang w:bidi="fa-IR"/>
        </w:rPr>
        <w:t>هذا ، والمظنون في بادي الرأي إمكان تصحيح المتن ب</w:t>
      </w:r>
      <w:r w:rsidR="00572BEB">
        <w:rPr>
          <w:rFonts w:hint="cs"/>
          <w:rtl/>
          <w:lang w:bidi="fa-IR"/>
        </w:rPr>
        <w:t>ـ</w:t>
      </w:r>
      <w:r>
        <w:rPr>
          <w:rtl/>
          <w:lang w:bidi="fa-IR"/>
        </w:rPr>
        <w:t xml:space="preserve"> « أبا عبدالله » ، لكن بعد تضافر النسخ - فيها أقدمها - على « أباجعفر » ، وورد الخبر في </w:t>
      </w:r>
      <w:r w:rsidRPr="00C24F9C">
        <w:rPr>
          <w:rStyle w:val="libFootnoteBoldChar"/>
          <w:rtl/>
        </w:rPr>
        <w:t>التهذيب</w:t>
      </w:r>
      <w:r>
        <w:rPr>
          <w:rtl/>
          <w:lang w:bidi="fa-IR"/>
        </w:rPr>
        <w:t xml:space="preserve"> ، ج 6 ، ص 368 ، ح 1062 ، عن الحسن بن محبوب ، عن عليّ بن رئاب ، عن عمّار بن مروان ، قال : سألت أبا جعفر </w:t>
      </w:r>
      <w:r w:rsidR="0061079A" w:rsidRPr="0061079A">
        <w:rPr>
          <w:rStyle w:val="libFootnoteAlaemChar"/>
          <w:rtl/>
        </w:rPr>
        <w:t>عليه‌السلام</w:t>
      </w:r>
      <w:r w:rsidR="00D10E3C">
        <w:rPr>
          <w:rtl/>
          <w:lang w:bidi="fa-IR"/>
        </w:rPr>
        <w:t xml:space="preserve"> </w:t>
      </w:r>
      <w:r>
        <w:rPr>
          <w:rtl/>
          <w:lang w:bidi="fa-IR"/>
        </w:rPr>
        <w:t xml:space="preserve">- والخبر مأخوذ من </w:t>
      </w:r>
      <w:r w:rsidRPr="0061079A">
        <w:rPr>
          <w:rStyle w:val="libFootnoteBoldChar"/>
          <w:rtl/>
        </w:rPr>
        <w:t>الكافي</w:t>
      </w:r>
      <w:r>
        <w:rPr>
          <w:rtl/>
          <w:lang w:bidi="fa-IR"/>
        </w:rPr>
        <w:t xml:space="preserve"> من غير تصريح - واحتمال التصحيح الاجتهادي احتمالاً قويّاً ، لابدّ من التوقف في تصحيح المتن. ويؤكّد ذلك أن نسخة « بض » مختومة بخاتَم الفيض صاحب </w:t>
      </w:r>
      <w:r w:rsidRPr="00C24F9C">
        <w:rPr>
          <w:rStyle w:val="libFootnoteBoldChar"/>
          <w:rtl/>
        </w:rPr>
        <w:t>الوافي</w:t>
      </w:r>
      <w:r>
        <w:rPr>
          <w:rtl/>
          <w:lang w:bidi="fa-IR"/>
        </w:rPr>
        <w:t xml:space="preserve"> </w:t>
      </w:r>
      <w:r w:rsidR="00572BEB" w:rsidRPr="00572BEB">
        <w:rPr>
          <w:rStyle w:val="libFootnoteAlaemChar"/>
          <w:rtl/>
        </w:rPr>
        <w:t>قدس‌سره</w:t>
      </w:r>
      <w:r>
        <w:rPr>
          <w:rtl/>
          <w:lang w:bidi="fa-IR"/>
        </w:rPr>
        <w:t xml:space="preserve"> ، فلايكون مفاده تقريراً مستقلاً.</w:t>
      </w:r>
    </w:p>
    <w:p w:rsidR="00744A1C" w:rsidRDefault="00E378DD" w:rsidP="00E378DD">
      <w:pPr>
        <w:pStyle w:val="libFootnote0"/>
        <w:rPr>
          <w:lang w:bidi="fa-IR"/>
        </w:rPr>
      </w:pPr>
      <w:r>
        <w:rPr>
          <w:rtl/>
          <w:lang w:bidi="fa-IR"/>
        </w:rPr>
        <w:t>(2).</w:t>
      </w:r>
      <w:r w:rsidR="00744A1C">
        <w:rPr>
          <w:rtl/>
          <w:lang w:bidi="fa-IR"/>
        </w:rPr>
        <w:t xml:space="preserve"> قد تكرّر ذكر الغلول في الحديث ، وهو الخيانة في المغنم والسرقة من الغنيمة قبل القسمة ، يقال : غَلَّ في المغنم يَغُلُّ غُلُولاً فهو غالّ ، وكلّ من خان في شي‌ء خفية فقد غلّ ، وسمّيت غلولاً لأنّ الأيدي فيها مغلولة ، أي ممنوعة مجعول فيها غلّ ، وهو الحديدة التي تجمع يد الأسير إلى عنقه ، ويقال لها : جامعة ، أيضاً. </w:t>
      </w:r>
      <w:r w:rsidR="00744A1C" w:rsidRPr="00877682">
        <w:rPr>
          <w:rStyle w:val="libFootnoteBoldChar"/>
          <w:rtl/>
        </w:rPr>
        <w:t>النهاية</w:t>
      </w:r>
      <w:r w:rsidR="00744A1C">
        <w:rPr>
          <w:rtl/>
          <w:lang w:bidi="fa-IR"/>
        </w:rPr>
        <w:t xml:space="preserve"> ، ج 3 ، ص 380 ( غلل ).</w:t>
      </w:r>
    </w:p>
    <w:p w:rsidR="00744A1C" w:rsidRDefault="00E378DD" w:rsidP="00E378DD">
      <w:pPr>
        <w:pStyle w:val="libFootnote0"/>
        <w:rPr>
          <w:lang w:bidi="fa-IR"/>
        </w:rPr>
      </w:pPr>
      <w:r>
        <w:rPr>
          <w:rtl/>
          <w:lang w:bidi="fa-IR"/>
        </w:rPr>
        <w:t>(3).</w:t>
      </w:r>
      <w:r w:rsidR="00744A1C">
        <w:rPr>
          <w:rtl/>
          <w:lang w:bidi="fa-IR"/>
        </w:rPr>
        <w:t xml:space="preserve"> هكذا في جميع النسخ التي قوبلت </w:t>
      </w:r>
      <w:r w:rsidR="00744A1C" w:rsidRPr="00572BEB">
        <w:rPr>
          <w:rtl/>
        </w:rPr>
        <w:t>والوسائل والتهذيب</w:t>
      </w:r>
      <w:r w:rsidR="00744A1C">
        <w:rPr>
          <w:rtl/>
          <w:lang w:bidi="fa-IR"/>
        </w:rPr>
        <w:t xml:space="preserve"> والمعاني. وفي المطبوع : « قال ».</w:t>
      </w:r>
    </w:p>
    <w:p w:rsidR="00744A1C" w:rsidRDefault="00E378DD" w:rsidP="00E378DD">
      <w:pPr>
        <w:pStyle w:val="libFootnote0"/>
        <w:rPr>
          <w:lang w:bidi="fa-IR"/>
        </w:rPr>
      </w:pPr>
      <w:r>
        <w:rPr>
          <w:rtl/>
          <w:lang w:bidi="fa-IR"/>
        </w:rPr>
        <w:t>(4).</w:t>
      </w:r>
      <w:r w:rsidR="00744A1C">
        <w:rPr>
          <w:rtl/>
          <w:lang w:bidi="fa-IR"/>
        </w:rPr>
        <w:t xml:space="preserve"> السحت : الحرام ، وقال ابن الأثير : « السحت : الحرام الذي لا يحلّ كسبه </w:t>
      </w:r>
      <w:r w:rsidR="00572BEB">
        <w:rPr>
          <w:rtl/>
          <w:lang w:bidi="fa-IR"/>
        </w:rPr>
        <w:t>؛ لأنّه يسحت البركة ، أي يذهبها». وقال العل</w:t>
      </w:r>
      <w:r w:rsidR="00572BEB">
        <w:rPr>
          <w:rFonts w:hint="cs"/>
          <w:rtl/>
          <w:lang w:bidi="fa-IR"/>
        </w:rPr>
        <w:t>ّ</w:t>
      </w:r>
      <w:r w:rsidR="00572BEB">
        <w:rPr>
          <w:rtl/>
          <w:lang w:bidi="fa-IR"/>
        </w:rPr>
        <w:t>ا</w:t>
      </w:r>
      <w:r w:rsidR="00744A1C">
        <w:rPr>
          <w:rtl/>
          <w:lang w:bidi="fa-IR"/>
        </w:rPr>
        <w:t xml:space="preserve">مة المجلسي </w:t>
      </w:r>
      <w:r w:rsidR="00877682" w:rsidRPr="00877682">
        <w:rPr>
          <w:rStyle w:val="libFootnoteAlaemChar"/>
          <w:rtl/>
        </w:rPr>
        <w:t>رحمه‌الله</w:t>
      </w:r>
      <w:r w:rsidR="00572BEB" w:rsidRPr="00572BEB">
        <w:rPr>
          <w:rFonts w:hint="cs"/>
          <w:rtl/>
        </w:rPr>
        <w:t xml:space="preserve"> </w:t>
      </w:r>
      <w:r w:rsidR="00744A1C">
        <w:rPr>
          <w:rtl/>
          <w:lang w:bidi="fa-IR"/>
        </w:rPr>
        <w:t xml:space="preserve">في </w:t>
      </w:r>
      <w:r w:rsidR="00744A1C" w:rsidRPr="00C24F9C">
        <w:rPr>
          <w:rStyle w:val="libFootnoteBoldChar"/>
          <w:rtl/>
        </w:rPr>
        <w:t>المرآة</w:t>
      </w:r>
      <w:r w:rsidR="00744A1C">
        <w:rPr>
          <w:rtl/>
          <w:lang w:bidi="fa-IR"/>
        </w:rPr>
        <w:t xml:space="preserve"> : « السحت إمّا بمعنى مطلق الحرام ، أو الحرام الشديد الذي يسحت ويهلك ، وهو أظهر ». راجع : </w:t>
      </w:r>
      <w:r w:rsidR="00744A1C" w:rsidRPr="00E978C3">
        <w:rPr>
          <w:rStyle w:val="libFootnoteBoldChar"/>
          <w:rtl/>
        </w:rPr>
        <w:t>الصحاح</w:t>
      </w:r>
      <w:r w:rsidR="00744A1C">
        <w:rPr>
          <w:rtl/>
          <w:lang w:bidi="fa-IR"/>
        </w:rPr>
        <w:t xml:space="preserve"> ، ج 1 ، ص 252 ؛ </w:t>
      </w:r>
      <w:r w:rsidR="00744A1C" w:rsidRPr="00877682">
        <w:rPr>
          <w:rStyle w:val="libFootnoteBoldChar"/>
          <w:rtl/>
        </w:rPr>
        <w:t>النهاية</w:t>
      </w:r>
      <w:r w:rsidR="00744A1C">
        <w:rPr>
          <w:rtl/>
          <w:lang w:bidi="fa-IR"/>
        </w:rPr>
        <w:t xml:space="preserve"> ، ج 2 ، ص 345 ( سحت ).</w:t>
      </w:r>
    </w:p>
    <w:p w:rsidR="00744A1C" w:rsidRDefault="00E378DD" w:rsidP="00E378DD">
      <w:pPr>
        <w:pStyle w:val="libFootnote0"/>
        <w:rPr>
          <w:lang w:bidi="fa-IR"/>
        </w:rPr>
      </w:pPr>
      <w:r>
        <w:rPr>
          <w:rtl/>
          <w:lang w:bidi="fa-IR"/>
        </w:rPr>
        <w:t>(5).</w:t>
      </w:r>
      <w:r w:rsidR="00744A1C">
        <w:rPr>
          <w:rtl/>
          <w:lang w:bidi="fa-IR"/>
        </w:rPr>
        <w:t xml:space="preserve"> في « بخ ، بف » : + « فهو ». وفي المعاني : - « وشبهه ».</w:t>
      </w:r>
    </w:p>
    <w:p w:rsidR="00744A1C" w:rsidRDefault="00E378DD" w:rsidP="00E378DD">
      <w:pPr>
        <w:pStyle w:val="libFootnote0"/>
        <w:rPr>
          <w:lang w:bidi="fa-IR"/>
        </w:rPr>
      </w:pPr>
      <w:r>
        <w:rPr>
          <w:rtl/>
          <w:lang w:bidi="fa-IR"/>
        </w:rPr>
        <w:t>(6).</w:t>
      </w:r>
      <w:r w:rsidR="00744A1C">
        <w:rPr>
          <w:rtl/>
          <w:lang w:bidi="fa-IR"/>
        </w:rPr>
        <w:t xml:space="preserve"> في </w:t>
      </w:r>
      <w:r w:rsidR="00744A1C" w:rsidRPr="00A914B5">
        <w:rPr>
          <w:rStyle w:val="libFootnoteBoldChar"/>
          <w:rtl/>
        </w:rPr>
        <w:t>تفسير العيّاشي</w:t>
      </w:r>
      <w:r w:rsidR="00744A1C">
        <w:rPr>
          <w:rtl/>
          <w:lang w:bidi="fa-IR"/>
        </w:rPr>
        <w:t xml:space="preserve"> ، ج 1 ، ص 321 والمعاني والخصال : + « ما ا</w:t>
      </w:r>
      <w:r w:rsidR="00572BEB">
        <w:rPr>
          <w:rFonts w:hint="cs"/>
          <w:rtl/>
          <w:lang w:bidi="fa-IR"/>
        </w:rPr>
        <w:t>ُ</w:t>
      </w:r>
      <w:r w:rsidR="00744A1C">
        <w:rPr>
          <w:rtl/>
          <w:lang w:bidi="fa-IR"/>
        </w:rPr>
        <w:t>صيب من أعمال الولاة الظلمة ومنها ا</w:t>
      </w:r>
      <w:r w:rsidR="00572BEB">
        <w:rPr>
          <w:rFonts w:hint="cs"/>
          <w:rtl/>
          <w:lang w:bidi="fa-IR"/>
        </w:rPr>
        <w:t>ُ</w:t>
      </w:r>
      <w:r w:rsidR="00744A1C">
        <w:rPr>
          <w:rtl/>
          <w:lang w:bidi="fa-IR"/>
        </w:rPr>
        <w:t>جورالقضاة و».</w:t>
      </w:r>
    </w:p>
    <w:p w:rsidR="006A5060" w:rsidRDefault="006A5060" w:rsidP="00D10E3C">
      <w:pPr>
        <w:pStyle w:val="libNormal"/>
        <w:rPr>
          <w:rtl/>
          <w:lang w:bidi="fa-IR"/>
        </w:rPr>
      </w:pPr>
      <w:r>
        <w:rPr>
          <w:rtl/>
          <w:lang w:bidi="fa-IR"/>
        </w:rPr>
        <w:br w:type="page"/>
      </w:r>
    </w:p>
    <w:p w:rsidR="00144FA6" w:rsidRDefault="00744A1C" w:rsidP="00572BEB">
      <w:pPr>
        <w:pStyle w:val="libNormal0"/>
        <w:rPr>
          <w:rtl/>
          <w:lang w:bidi="fa-IR"/>
        </w:rPr>
      </w:pPr>
      <w:r>
        <w:rPr>
          <w:rtl/>
          <w:lang w:bidi="fa-IR"/>
        </w:rPr>
        <w:t xml:space="preserve">وَالرِّبَا بَعْدَ الْبَيِّنَةِ </w:t>
      </w:r>
      <w:r w:rsidRPr="00D10E3C">
        <w:rPr>
          <w:rStyle w:val="libFootnotenumChar"/>
          <w:rtl/>
        </w:rPr>
        <w:t>(1)</w:t>
      </w:r>
      <w:r>
        <w:rPr>
          <w:rtl/>
          <w:lang w:bidi="fa-IR"/>
        </w:rPr>
        <w:t xml:space="preserve"> ، فَأَمَّا </w:t>
      </w:r>
      <w:r w:rsidRPr="00D10E3C">
        <w:rPr>
          <w:rStyle w:val="libFootnotenumChar"/>
          <w:rtl/>
        </w:rPr>
        <w:t>(2)</w:t>
      </w:r>
      <w:r>
        <w:rPr>
          <w:rtl/>
          <w:lang w:bidi="fa-IR"/>
        </w:rPr>
        <w:t xml:space="preserve"> الرِّشَا </w:t>
      </w:r>
      <w:r w:rsidRPr="00D10E3C">
        <w:rPr>
          <w:rStyle w:val="libFootnotenumChar"/>
          <w:rtl/>
        </w:rPr>
        <w:t>(3)</w:t>
      </w:r>
      <w:r>
        <w:rPr>
          <w:rtl/>
          <w:lang w:bidi="fa-IR"/>
        </w:rPr>
        <w:t xml:space="preserve"> فِي الْحُكْمِ ، فَإِنَّ ذلِكَ </w:t>
      </w:r>
      <w:r w:rsidRPr="00D10E3C">
        <w:rPr>
          <w:rStyle w:val="libFootnotenumChar"/>
          <w:rtl/>
        </w:rPr>
        <w:t>(4)</w:t>
      </w:r>
      <w:r>
        <w:rPr>
          <w:rtl/>
          <w:lang w:bidi="fa-IR"/>
        </w:rPr>
        <w:t xml:space="preserve"> الْكُفْرُ بِاللهِ الْعَظِيمِ وَبِرَسُولِهِ </w:t>
      </w:r>
      <w:r w:rsidR="000F3F68" w:rsidRPr="000F3F68">
        <w:rPr>
          <w:rStyle w:val="libAlaemChar"/>
          <w:rtl/>
        </w:rPr>
        <w:t>صلى‌الله‌عليه‌وآله</w:t>
      </w:r>
      <w:r w:rsidR="00D10E3C">
        <w:rPr>
          <w:rtl/>
          <w:lang w:bidi="fa-IR"/>
        </w:rPr>
        <w:t xml:space="preserve"> </w:t>
      </w:r>
      <w:r w:rsidR="00572BEB" w:rsidRPr="00D10E3C">
        <w:rPr>
          <w:rStyle w:val="libFootnotenumChar"/>
          <w:rtl/>
        </w:rPr>
        <w:t>(5)</w:t>
      </w:r>
      <w:r>
        <w:rPr>
          <w:rtl/>
          <w:lang w:bidi="fa-IR"/>
        </w:rPr>
        <w:t xml:space="preserve">». </w:t>
      </w:r>
      <w:r w:rsidRPr="00D10E3C">
        <w:rPr>
          <w:rStyle w:val="libFootnotenumChar"/>
          <w:rtl/>
        </w:rPr>
        <w:t>(6)</w:t>
      </w:r>
    </w:p>
    <w:p w:rsidR="00144FA6" w:rsidRDefault="00744A1C" w:rsidP="00744A1C">
      <w:pPr>
        <w:pStyle w:val="libNormal"/>
        <w:rPr>
          <w:rtl/>
          <w:lang w:bidi="fa-IR"/>
        </w:rPr>
      </w:pPr>
      <w:r>
        <w:rPr>
          <w:rtl/>
          <w:lang w:bidi="fa-IR"/>
        </w:rPr>
        <w:t>8588 / 2.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السُّحْتُ : ثَمَنُ الْمَيْتَةِ ، وَثَمَنُ الْكَلْبِ </w:t>
      </w:r>
      <w:r w:rsidRPr="00D10E3C">
        <w:rPr>
          <w:rStyle w:val="libFootnotenumChar"/>
          <w:rtl/>
        </w:rPr>
        <w:t>(7)</w:t>
      </w:r>
      <w:r>
        <w:rPr>
          <w:rtl/>
          <w:lang w:bidi="fa-IR"/>
        </w:rPr>
        <w:t xml:space="preserve"> ، وَثَمَنُ الْخَمْرِ </w:t>
      </w:r>
      <w:r w:rsidRPr="00D10E3C">
        <w:rPr>
          <w:rStyle w:val="libFootnotenumChar"/>
          <w:rtl/>
        </w:rPr>
        <w:t>(8)</w:t>
      </w:r>
      <w:r>
        <w:rPr>
          <w:rtl/>
          <w:lang w:bidi="fa-IR"/>
        </w:rPr>
        <w:t xml:space="preserve"> ، وَمَهْرُ الْبَغِيِّ </w:t>
      </w:r>
      <w:r w:rsidRPr="00D10E3C">
        <w:rPr>
          <w:rStyle w:val="libFootnotenumChar"/>
          <w:rtl/>
        </w:rPr>
        <w:t>(9)</w:t>
      </w:r>
      <w:r>
        <w:rPr>
          <w:rtl/>
          <w:lang w:bidi="fa-IR"/>
        </w:rPr>
        <w:t xml:space="preserve"> ، وَالرِّشْوَةُ فِي الْحُكْمِ ، وَأَجْرُ </w:t>
      </w:r>
      <w:r w:rsidRPr="00D10E3C">
        <w:rPr>
          <w:rStyle w:val="libFootnotenumChar"/>
          <w:rtl/>
        </w:rPr>
        <w:t>(10)</w:t>
      </w:r>
      <w:r>
        <w:rPr>
          <w:rtl/>
          <w:lang w:bidi="fa-IR"/>
        </w:rPr>
        <w:t xml:space="preserve"> الْكَاهِنِ ». </w:t>
      </w:r>
      <w:r w:rsidRPr="00D10E3C">
        <w:rPr>
          <w:rStyle w:val="libFootnotenumChar"/>
          <w:rtl/>
        </w:rPr>
        <w:t>(11)</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572BEB" w:rsidTr="00572BEB">
        <w:tc>
          <w:tcPr>
            <w:tcW w:w="4006" w:type="dxa"/>
          </w:tcPr>
          <w:p w:rsidR="00572BEB" w:rsidRDefault="00572BEB" w:rsidP="00D10E3C">
            <w:pPr>
              <w:pStyle w:val="libFootnote0"/>
              <w:rPr>
                <w:rtl/>
                <w:lang w:bidi="fa-IR"/>
              </w:rPr>
            </w:pPr>
            <w:r>
              <w:rPr>
                <w:rtl/>
                <w:lang w:bidi="fa-IR"/>
              </w:rPr>
              <w:t>(1). في « بف » : « التنبّه ».</w:t>
            </w:r>
          </w:p>
        </w:tc>
        <w:tc>
          <w:tcPr>
            <w:tcW w:w="4006" w:type="dxa"/>
          </w:tcPr>
          <w:p w:rsidR="00572BEB" w:rsidRDefault="00257F76" w:rsidP="00D10E3C">
            <w:pPr>
              <w:pStyle w:val="libFootnote0"/>
              <w:rPr>
                <w:rtl/>
                <w:lang w:bidi="fa-IR"/>
              </w:rPr>
            </w:pPr>
            <w:r>
              <w:rPr>
                <w:rtl/>
                <w:lang w:bidi="fa-IR"/>
              </w:rPr>
              <w:t>(2). في « ط » : « وأمّا ».</w:t>
            </w:r>
          </w:p>
        </w:tc>
      </w:tr>
      <w:tr w:rsidR="00572BEB" w:rsidTr="00572BEB">
        <w:tc>
          <w:tcPr>
            <w:tcW w:w="4006" w:type="dxa"/>
          </w:tcPr>
          <w:p w:rsidR="00572BEB" w:rsidRDefault="00257F76" w:rsidP="00D10E3C">
            <w:pPr>
              <w:pStyle w:val="libFootnote0"/>
              <w:rPr>
                <w:rtl/>
                <w:lang w:bidi="fa-IR"/>
              </w:rPr>
            </w:pPr>
            <w:r>
              <w:rPr>
                <w:rtl/>
                <w:lang w:bidi="fa-IR"/>
              </w:rPr>
              <w:t>(3). في «بخ» : «الرشاء». وفي المعاني : « الرشوة ».</w:t>
            </w:r>
          </w:p>
        </w:tc>
        <w:tc>
          <w:tcPr>
            <w:tcW w:w="4006" w:type="dxa"/>
          </w:tcPr>
          <w:p w:rsidR="00572BEB" w:rsidRDefault="00257F76" w:rsidP="00D10E3C">
            <w:pPr>
              <w:pStyle w:val="libFootnote0"/>
              <w:rPr>
                <w:rtl/>
                <w:lang w:bidi="fa-IR"/>
              </w:rPr>
            </w:pPr>
            <w:r>
              <w:rPr>
                <w:rtl/>
                <w:lang w:bidi="fa-IR"/>
              </w:rPr>
              <w:t xml:space="preserve">(4). في </w:t>
            </w:r>
            <w:r w:rsidRPr="00257F76">
              <w:rPr>
                <w:rtl/>
              </w:rPr>
              <w:t>الوافي</w:t>
            </w:r>
            <w:r>
              <w:rPr>
                <w:rtl/>
                <w:lang w:bidi="fa-IR"/>
              </w:rPr>
              <w:t xml:space="preserve"> : « فهو » بدل « فإنّ ذلك ».</w:t>
            </w:r>
          </w:p>
        </w:tc>
      </w:tr>
    </w:tbl>
    <w:p w:rsidR="00744A1C" w:rsidRDefault="00E378DD" w:rsidP="00E378DD">
      <w:pPr>
        <w:pStyle w:val="libFootnote0"/>
        <w:rPr>
          <w:lang w:bidi="fa-IR"/>
        </w:rPr>
      </w:pPr>
      <w:r>
        <w:rPr>
          <w:rtl/>
          <w:lang w:bidi="fa-IR"/>
        </w:rPr>
        <w:t>(5).</w:t>
      </w:r>
      <w:r w:rsidR="00744A1C">
        <w:rPr>
          <w:rtl/>
          <w:lang w:bidi="fa-IR"/>
        </w:rPr>
        <w:t xml:space="preserve"> في « جد » : « وبرسول الله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368 ، ح 1062 ، معلّقاً عن الحسن بن محبوب. </w:t>
      </w:r>
      <w:r w:rsidR="00744A1C" w:rsidRPr="00257F76">
        <w:rPr>
          <w:rStyle w:val="libFootnoteBoldChar"/>
          <w:rtl/>
        </w:rPr>
        <w:t>الخصال</w:t>
      </w:r>
      <w:r w:rsidR="00744A1C">
        <w:rPr>
          <w:rtl/>
          <w:lang w:bidi="fa-IR"/>
        </w:rPr>
        <w:t xml:space="preserve"> ، ص 329 ، باب الستّة ، ح 26 ، بسنده عن أحمد بن محمّد بن عيسى ، عن الحسن بن محبوب ، عن أبي أيّوب ، عن عمّار بن مروان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من قوله : « السحت أنواع كثيرة » ؛ </w:t>
      </w:r>
      <w:r w:rsidR="00744A1C" w:rsidRPr="00610FB4">
        <w:rPr>
          <w:rStyle w:val="libFootnoteBoldChar"/>
          <w:rtl/>
        </w:rPr>
        <w:t>معاني الأخبار</w:t>
      </w:r>
      <w:r w:rsidR="00744A1C">
        <w:rPr>
          <w:rtl/>
          <w:lang w:bidi="fa-IR"/>
        </w:rPr>
        <w:t xml:space="preserve"> ، ص 211 ، ح 1 ، بسنده عن الحسن بن محبوب ، عن أبي أيّوب ، عن عمّار بن مروان ، عن أبي عبد 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التهذيب</w:t>
      </w:r>
      <w:r w:rsidR="00744A1C">
        <w:rPr>
          <w:rtl/>
          <w:lang w:bidi="fa-IR"/>
        </w:rPr>
        <w:t xml:space="preserve"> ، ج 6 ، ص 352 ، ح 997 ، بسند آخر ، مع اختلاف يسير. </w:t>
      </w:r>
      <w:r w:rsidR="00744A1C" w:rsidRPr="00A914B5">
        <w:rPr>
          <w:rStyle w:val="libFootnoteBoldChar"/>
          <w:rtl/>
        </w:rPr>
        <w:t>تفسير العيّاشي</w:t>
      </w:r>
      <w:r w:rsidR="00744A1C">
        <w:rPr>
          <w:rtl/>
          <w:lang w:bidi="fa-IR"/>
        </w:rPr>
        <w:t xml:space="preserve"> ، ج 1 ، ص 321 ، ح 115 ، عن عمّار بن مروان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257F76">
        <w:rPr>
          <w:rStyle w:val="libFootnoteBoldChar"/>
          <w:rtl/>
        </w:rPr>
        <w:t>وفيه</w:t>
      </w:r>
      <w:r w:rsidR="00744A1C">
        <w:rPr>
          <w:rtl/>
          <w:lang w:bidi="fa-IR"/>
        </w:rPr>
        <w:t xml:space="preserve"> ، ص 205 ، ح 148 ، عن سماعة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أكل مال اليتيم وشبهه » مع اختلاف يسير. وراجع : </w:t>
      </w:r>
      <w:r w:rsidR="00744A1C" w:rsidRPr="00C24F9C">
        <w:rPr>
          <w:rStyle w:val="libFootnoteBoldChar"/>
          <w:rtl/>
        </w:rPr>
        <w:t>الفقيه</w:t>
      </w:r>
      <w:r w:rsidR="00744A1C">
        <w:rPr>
          <w:rtl/>
          <w:lang w:bidi="fa-IR"/>
        </w:rPr>
        <w:t xml:space="preserve"> ، ج 3 ، ص 171 ، ح 3648 </w:t>
      </w:r>
      <w:r w:rsidR="00257F76">
        <w:rPr>
          <w:rFonts w:hint="cs"/>
          <w:rtl/>
          <w:lang w:bidi="fa-IR"/>
        </w:rPr>
        <w:t>.</w:t>
      </w:r>
      <w:r w:rsidR="00744A1C" w:rsidRPr="00C24F9C">
        <w:rPr>
          <w:rStyle w:val="libFootnoteBoldChar"/>
          <w:rtl/>
        </w:rPr>
        <w:t>الوافي</w:t>
      </w:r>
      <w:r w:rsidR="00744A1C">
        <w:rPr>
          <w:rtl/>
          <w:lang w:bidi="fa-IR"/>
        </w:rPr>
        <w:t xml:space="preserve"> ، ج 17 ، ص 280 ، ح 17284 ؛ </w:t>
      </w:r>
      <w:r w:rsidR="00744A1C" w:rsidRPr="00C24F9C">
        <w:rPr>
          <w:rStyle w:val="libFootnoteBoldChar"/>
          <w:rtl/>
        </w:rPr>
        <w:t>الوسائل</w:t>
      </w:r>
      <w:r w:rsidR="00744A1C">
        <w:rPr>
          <w:rtl/>
          <w:lang w:bidi="fa-IR"/>
        </w:rPr>
        <w:t xml:space="preserve"> ، ج 17 ، ص 92 ، ح 22057.</w:t>
      </w:r>
    </w:p>
    <w:p w:rsidR="00744A1C" w:rsidRDefault="00E378DD" w:rsidP="00E378DD">
      <w:pPr>
        <w:pStyle w:val="libFootnote0"/>
        <w:rPr>
          <w:lang w:bidi="fa-IR"/>
        </w:rPr>
      </w:pPr>
      <w:r>
        <w:rPr>
          <w:rtl/>
          <w:lang w:bidi="fa-IR"/>
        </w:rPr>
        <w:t>(7).</w:t>
      </w:r>
      <w:r w:rsidR="00744A1C">
        <w:rPr>
          <w:rtl/>
          <w:lang w:bidi="fa-IR"/>
        </w:rPr>
        <w:t xml:space="preserve"> في </w:t>
      </w:r>
      <w:r w:rsidR="00744A1C" w:rsidRPr="00877682">
        <w:rPr>
          <w:rStyle w:val="libFootnoteBoldChar"/>
          <w:rtl/>
        </w:rPr>
        <w:t>مرآة العقول</w:t>
      </w:r>
      <w:r w:rsidR="00744A1C">
        <w:rPr>
          <w:rtl/>
          <w:lang w:bidi="fa-IR"/>
        </w:rPr>
        <w:t xml:space="preserve"> ، ج 19 ، ص 92 : « قوله </w:t>
      </w:r>
      <w:r w:rsidR="0061079A" w:rsidRPr="0061079A">
        <w:rPr>
          <w:rStyle w:val="libFootnoteAlaemChar"/>
          <w:rtl/>
        </w:rPr>
        <w:t>عليه‌السلام</w:t>
      </w:r>
      <w:r w:rsidR="00D10E3C">
        <w:rPr>
          <w:rtl/>
          <w:lang w:bidi="fa-IR"/>
        </w:rPr>
        <w:t xml:space="preserve"> </w:t>
      </w:r>
      <w:r w:rsidR="00744A1C">
        <w:rPr>
          <w:rtl/>
          <w:lang w:bidi="fa-IR"/>
        </w:rPr>
        <w:t xml:space="preserve">: وثمن الكلب ، ظاهره تحريم بيع الكلب ، وخصّه الأصحاب بماعدا الكلاب الأربعة ، قال في </w:t>
      </w:r>
      <w:r w:rsidR="00744A1C" w:rsidRPr="00257F76">
        <w:rPr>
          <w:rStyle w:val="libFootnoteBoldChar"/>
          <w:rtl/>
        </w:rPr>
        <w:t>المسالك</w:t>
      </w:r>
      <w:r w:rsidR="00744A1C">
        <w:rPr>
          <w:rtl/>
          <w:lang w:bidi="fa-IR"/>
        </w:rPr>
        <w:t xml:space="preserve"> : لا خلاف في جواز بيع كلب الصيد في الجملة ، لكن خصّه الشيخ </w:t>
      </w:r>
      <w:r w:rsidR="00877682" w:rsidRPr="00877682">
        <w:rPr>
          <w:rStyle w:val="libFootnoteAlaemChar"/>
          <w:rtl/>
        </w:rPr>
        <w:t>رحمه‌الله</w:t>
      </w:r>
      <w:r w:rsidR="00257F76" w:rsidRPr="00257F76">
        <w:rPr>
          <w:rFonts w:hint="cs"/>
          <w:rtl/>
        </w:rPr>
        <w:t xml:space="preserve"> </w:t>
      </w:r>
      <w:r w:rsidR="00744A1C">
        <w:rPr>
          <w:rtl/>
          <w:lang w:bidi="fa-IR"/>
        </w:rPr>
        <w:t xml:space="preserve">بالسلوقيّ ، كما لا خلاف في عدم صحّة بيع كلب الهراش ، وهو ما خرج عن الكلاب الأربعة ، أي كلب الماشية والزرع والصيد والحائط ، ولم يكن جرواً. والأصحّ جواز بيع الكلاب الثلاثة ؛ لمشاركتها لكلب الصيد في المعنى المسوّغ لبيعه ، ودليل المنع ضعيف السند ، قاصر الدلالة. وفي حكمها الجرو القابل للتعليم ، ولا يشترط في اقتنائها وجود ما اضيفت إليه. وكلب الدار يلحق بكلب الحائط ». وراجع : </w:t>
      </w:r>
      <w:r w:rsidR="00744A1C" w:rsidRPr="00877682">
        <w:rPr>
          <w:rStyle w:val="libFootnoteBoldChar"/>
          <w:rtl/>
        </w:rPr>
        <w:t>النهاية</w:t>
      </w:r>
      <w:r w:rsidR="00744A1C">
        <w:rPr>
          <w:rtl/>
          <w:lang w:bidi="fa-IR"/>
        </w:rPr>
        <w:t xml:space="preserve"> ، ص 364 ؛ </w:t>
      </w:r>
      <w:r w:rsidR="00744A1C" w:rsidRPr="00877682">
        <w:rPr>
          <w:rStyle w:val="libFootnoteBoldChar"/>
          <w:rtl/>
        </w:rPr>
        <w:t>مسالك الأفهام</w:t>
      </w:r>
      <w:r w:rsidR="00744A1C">
        <w:rPr>
          <w:rtl/>
          <w:lang w:bidi="fa-IR"/>
        </w:rPr>
        <w:t xml:space="preserve"> ، ج 3 ، ص 135.</w:t>
      </w:r>
    </w:p>
    <w:p w:rsidR="00744A1C" w:rsidRDefault="00E378DD" w:rsidP="00E378DD">
      <w:pPr>
        <w:pStyle w:val="libFootnote0"/>
        <w:rPr>
          <w:lang w:bidi="fa-IR"/>
        </w:rPr>
      </w:pPr>
      <w:r>
        <w:rPr>
          <w:rtl/>
          <w:lang w:bidi="fa-IR"/>
        </w:rPr>
        <w:t>(8).</w:t>
      </w:r>
      <w:r w:rsidR="00744A1C">
        <w:rPr>
          <w:rtl/>
          <w:lang w:bidi="fa-IR"/>
        </w:rPr>
        <w:t xml:space="preserve"> في </w:t>
      </w:r>
      <w:r w:rsidR="00744A1C" w:rsidRPr="00610FB4">
        <w:rPr>
          <w:rStyle w:val="libFootnoteBoldChar"/>
          <w:rtl/>
        </w:rPr>
        <w:t>تفسير القمّي</w:t>
      </w:r>
      <w:r w:rsidR="00744A1C">
        <w:rPr>
          <w:rtl/>
          <w:lang w:bidi="fa-IR"/>
        </w:rPr>
        <w:t xml:space="preserve"> : - « وثمن الخمر ».</w:t>
      </w:r>
    </w:p>
    <w:p w:rsidR="00744A1C" w:rsidRDefault="00E378DD" w:rsidP="00257F76">
      <w:pPr>
        <w:pStyle w:val="libFootnote0"/>
        <w:rPr>
          <w:lang w:bidi="fa-IR"/>
        </w:rPr>
      </w:pPr>
      <w:r>
        <w:rPr>
          <w:rtl/>
          <w:lang w:bidi="fa-IR"/>
        </w:rPr>
        <w:t>(9).</w:t>
      </w:r>
      <w:r w:rsidR="00744A1C">
        <w:rPr>
          <w:rtl/>
          <w:lang w:bidi="fa-IR"/>
        </w:rPr>
        <w:t xml:space="preserve"> في </w:t>
      </w:r>
      <w:r w:rsidR="00744A1C" w:rsidRPr="00C24F9C">
        <w:rPr>
          <w:rStyle w:val="libFootnoteBoldChar"/>
          <w:rtl/>
        </w:rPr>
        <w:t>الفقيه</w:t>
      </w:r>
      <w:r w:rsidR="00744A1C">
        <w:rPr>
          <w:rtl/>
          <w:lang w:bidi="fa-IR"/>
        </w:rPr>
        <w:t xml:space="preserve"> : « الزانية ». والبغيّ : الفاجرة الزانية ، والجمع : البَغايا ، وهو وصف مختصّ </w:t>
      </w:r>
      <w:r w:rsidR="00744A1C" w:rsidRPr="00257F76">
        <w:rPr>
          <w:rtl/>
        </w:rPr>
        <w:t>بالمرأة</w:t>
      </w:r>
      <w:r w:rsidR="00744A1C">
        <w:rPr>
          <w:rtl/>
          <w:lang w:bidi="fa-IR"/>
        </w:rPr>
        <w:t xml:space="preserve"> ، ولا يقال للرجل : بغيّ. راجع : </w:t>
      </w:r>
      <w:r w:rsidR="00744A1C" w:rsidRPr="00E978C3">
        <w:rPr>
          <w:rStyle w:val="libFootnoteBoldChar"/>
          <w:rtl/>
        </w:rPr>
        <w:t>المصباح المنير</w:t>
      </w:r>
      <w:r w:rsidR="00744A1C">
        <w:rPr>
          <w:rtl/>
          <w:lang w:bidi="fa-IR"/>
        </w:rPr>
        <w:t xml:space="preserve"> ، ص 57 ( بغي ).</w:t>
      </w:r>
      <w:r w:rsidR="00257F76">
        <w:rPr>
          <w:rFonts w:hint="cs"/>
          <w:rtl/>
          <w:lang w:bidi="fa-IR"/>
        </w:rPr>
        <w:t xml:space="preserve">   </w:t>
      </w:r>
      <w:r>
        <w:rPr>
          <w:rtl/>
          <w:lang w:bidi="fa-IR"/>
        </w:rPr>
        <w:t>(10).</w:t>
      </w:r>
      <w:r w:rsidR="00744A1C">
        <w:rPr>
          <w:rtl/>
          <w:lang w:bidi="fa-IR"/>
        </w:rPr>
        <w:t xml:space="preserve"> في </w:t>
      </w:r>
      <w:r w:rsidR="00744A1C" w:rsidRPr="00257F76">
        <w:rPr>
          <w:rtl/>
        </w:rPr>
        <w:t>التهذيب</w:t>
      </w:r>
      <w:r w:rsidR="00744A1C">
        <w:rPr>
          <w:rtl/>
          <w:lang w:bidi="fa-IR"/>
        </w:rPr>
        <w:t xml:space="preserve"> والخصال : « واجرة ».</w:t>
      </w:r>
    </w:p>
    <w:p w:rsidR="00144FA6" w:rsidRDefault="00E378DD" w:rsidP="00E378DD">
      <w:pPr>
        <w:pStyle w:val="libFootnote0"/>
        <w:rPr>
          <w:rtl/>
          <w:lang w:bidi="fa-IR"/>
        </w:rPr>
      </w:pPr>
      <w:r>
        <w:rPr>
          <w:rtl/>
          <w:lang w:bidi="fa-IR"/>
        </w:rPr>
        <w:t>(11).</w:t>
      </w:r>
      <w:r w:rsidR="00744A1C">
        <w:rPr>
          <w:rtl/>
          <w:lang w:bidi="fa-IR"/>
        </w:rPr>
        <w:t xml:space="preserve"> </w:t>
      </w:r>
      <w:r w:rsidR="00744A1C" w:rsidRPr="00610FB4">
        <w:rPr>
          <w:rStyle w:val="libFootnoteBoldChar"/>
          <w:rtl/>
        </w:rPr>
        <w:t>تفسير القمّي</w:t>
      </w:r>
      <w:r w:rsidR="00744A1C">
        <w:rPr>
          <w:rtl/>
          <w:lang w:bidi="fa-IR"/>
        </w:rPr>
        <w:t xml:space="preserve"> ، ج 1 ، ص 170 ، عن أبيه ، عن النوفلي ، عن السكوني ، عن أبي عبد الله ، عن أمير المؤمنين </w:t>
      </w:r>
      <w:r w:rsidR="00F112A7" w:rsidRPr="00CE5A92">
        <w:rPr>
          <w:rStyle w:val="libFootnoteAlaemChar"/>
          <w:rtl/>
        </w:rPr>
        <w:t>عليهما‌السلام</w:t>
      </w:r>
      <w:r w:rsidR="00744A1C">
        <w:rPr>
          <w:rtl/>
          <w:lang w:bidi="fa-IR"/>
        </w:rPr>
        <w:t xml:space="preserve">. </w:t>
      </w:r>
      <w:r w:rsidR="00744A1C" w:rsidRPr="00C24F9C">
        <w:rPr>
          <w:rStyle w:val="libFootnoteBoldChar"/>
          <w:rtl/>
        </w:rPr>
        <w:t>التهذيب</w:t>
      </w:r>
      <w:r w:rsidR="00744A1C">
        <w:rPr>
          <w:rtl/>
          <w:lang w:bidi="fa-IR"/>
        </w:rPr>
        <w:t xml:space="preserve"> ، ج 6 ، ص 368 ، ح 1061 ، معلّقاً عن الكليني. </w:t>
      </w:r>
      <w:r w:rsidR="00744A1C" w:rsidRPr="00257F76">
        <w:rPr>
          <w:rStyle w:val="libFootnoteBoldChar"/>
          <w:rtl/>
        </w:rPr>
        <w:t>الخصال</w:t>
      </w:r>
      <w:r w:rsidR="00744A1C">
        <w:rPr>
          <w:rtl/>
          <w:lang w:bidi="fa-IR"/>
        </w:rPr>
        <w:t xml:space="preserve"> ، ص 329 ، باب الستّة ، ح 25 ، بسنده عن</w:t>
      </w:r>
      <w:r w:rsidR="00257F76">
        <w:rPr>
          <w:rFonts w:hint="cs"/>
          <w:rtl/>
          <w:lang w:bidi="fa-IR"/>
        </w:rPr>
        <w:t xml:space="preserve"> =</w:t>
      </w:r>
    </w:p>
    <w:p w:rsidR="006A5060" w:rsidRDefault="006A5060"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8589 / 3. عِدَّةٌ مِنْ أَصْحَابِنَا ، عَنْ أَحْمَدَ بْنِ أَبِي عَبْدِ اللهِ ، عَنِ الْجَامُورَانِيِّ ، عَنِ الْحَسَنِ بْنِ عَلِيِّ بْنِ أَبِي حَمْزَةَ ، عَنْ زُرْعَةَ ، عَنْ سَمَاعَةَ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السُّحْتُ أَنْوَاعٌ كَثِيرَةٌ </w:t>
      </w:r>
      <w:r w:rsidRPr="00D10E3C">
        <w:rPr>
          <w:rStyle w:val="libFootnotenumChar"/>
          <w:rtl/>
        </w:rPr>
        <w:t>(1)</w:t>
      </w:r>
      <w:r>
        <w:rPr>
          <w:rtl/>
          <w:lang w:bidi="fa-IR"/>
        </w:rPr>
        <w:t xml:space="preserve"> ، مِنْهَا كَسْبُ الْحَجَّامِ </w:t>
      </w:r>
      <w:r w:rsidRPr="00D10E3C">
        <w:rPr>
          <w:rStyle w:val="libFootnotenumChar"/>
          <w:rtl/>
        </w:rPr>
        <w:t>(2)</w:t>
      </w:r>
      <w:r>
        <w:rPr>
          <w:rtl/>
          <w:lang w:bidi="fa-IR"/>
        </w:rPr>
        <w:t xml:space="preserve"> إِذَا شَارَطَ </w:t>
      </w:r>
      <w:r w:rsidRPr="00D10E3C">
        <w:rPr>
          <w:rStyle w:val="libFootnotenumChar"/>
          <w:rtl/>
        </w:rPr>
        <w:t>(3)</w:t>
      </w:r>
      <w:r>
        <w:rPr>
          <w:rtl/>
          <w:lang w:bidi="fa-IR"/>
        </w:rPr>
        <w:t xml:space="preserve"> ، وَأَجْرُ الزَّانِيَةِ ، وَثَمَنُ الْخَمْرِ ، فَأَمَّا </w:t>
      </w:r>
      <w:r w:rsidRPr="00D10E3C">
        <w:rPr>
          <w:rStyle w:val="libFootnotenumChar"/>
          <w:rtl/>
        </w:rPr>
        <w:t>(4)</w:t>
      </w:r>
      <w:r>
        <w:rPr>
          <w:rtl/>
          <w:lang w:bidi="fa-IR"/>
        </w:rPr>
        <w:t xml:space="preserve"> الرِّشَا فِي الْحُكْمِ ، فَهُوَ الْكُفْرُ بِاللهِ الْعَظِيمِ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8590 / 4. مُحَمَّدُ بْنُ يَحْيى ، عَنْ أَحْمَدَ بْنِ مُحَمَّدٍ ، عَنْ مُحَمَّدِ بْنِ سِنَانٍ ، عَنِ ابْنِ مُسْكَانَ ، عَنْ يَزِيدَ بْنِ فَرْقَدٍ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عَنِ السُّحْتِ؟ فَقَالَ </w:t>
      </w:r>
      <w:r w:rsidRPr="00D10E3C">
        <w:rPr>
          <w:rStyle w:val="libFootnotenumChar"/>
          <w:rtl/>
        </w:rPr>
        <w:t>(7)</w:t>
      </w:r>
      <w:r>
        <w:rPr>
          <w:rtl/>
          <w:lang w:bidi="fa-IR"/>
        </w:rPr>
        <w:t xml:space="preserve"> : « الرِّشَا فِي الْحُكْمِ ». </w:t>
      </w:r>
      <w:r w:rsidRPr="00D10E3C">
        <w:rPr>
          <w:rStyle w:val="libFootnotenumChar"/>
          <w:rtl/>
        </w:rPr>
        <w:t>(8)</w:t>
      </w:r>
    </w:p>
    <w:p w:rsidR="00144FA6" w:rsidRDefault="00744A1C" w:rsidP="00744A1C">
      <w:pPr>
        <w:pStyle w:val="libNormal"/>
        <w:rPr>
          <w:rtl/>
          <w:lang w:bidi="fa-IR"/>
        </w:rPr>
      </w:pPr>
      <w:r>
        <w:rPr>
          <w:rtl/>
          <w:lang w:bidi="fa-IR"/>
        </w:rPr>
        <w:t>8591 / 5. عَلِيُّ بْنُ مُحَمَّدِ بْنِ بُنْدَارَ ، عَنْ أَحْمَدَ بْنِ أَبِي عَبْدِ اللهِ ، عَنْ مُحَمَّدِ بْنِ عَلِيٍّ ،</w:t>
      </w:r>
    </w:p>
    <w:p w:rsidR="00744A1C" w:rsidRDefault="00744A1C" w:rsidP="00D10E3C">
      <w:pPr>
        <w:pStyle w:val="libLine"/>
        <w:rPr>
          <w:lang w:bidi="fa-IR"/>
        </w:rPr>
      </w:pPr>
      <w:r>
        <w:rPr>
          <w:rtl/>
          <w:lang w:bidi="fa-IR"/>
        </w:rPr>
        <w:t>____________________</w:t>
      </w:r>
    </w:p>
    <w:p w:rsidR="00744A1C" w:rsidRDefault="00257F76" w:rsidP="00D10E3C">
      <w:pPr>
        <w:pStyle w:val="libFootnote0"/>
        <w:rPr>
          <w:lang w:bidi="fa-IR"/>
        </w:rPr>
      </w:pPr>
      <w:r>
        <w:rPr>
          <w:rFonts w:hint="cs"/>
          <w:rtl/>
          <w:lang w:bidi="fa-IR"/>
        </w:rPr>
        <w:t xml:space="preserve">= </w:t>
      </w:r>
      <w:r w:rsidR="00744A1C">
        <w:rPr>
          <w:rtl/>
          <w:lang w:bidi="fa-IR"/>
        </w:rPr>
        <w:t xml:space="preserve">السكوني ، عن جعفر بن محمّد ، عن آبائه ، عن عليّ </w:t>
      </w:r>
      <w:r w:rsidR="00877682" w:rsidRPr="00877682">
        <w:rPr>
          <w:rStyle w:val="libFootnoteAlaemChar"/>
          <w:rtl/>
        </w:rPr>
        <w:t>عليهم‌السلام</w:t>
      </w:r>
      <w:r w:rsidR="00744A1C">
        <w:rPr>
          <w:rtl/>
          <w:lang w:bidi="fa-IR"/>
        </w:rPr>
        <w:t xml:space="preserve"> . </w:t>
      </w:r>
      <w:r w:rsidR="00744A1C" w:rsidRPr="00877682">
        <w:rPr>
          <w:rStyle w:val="libFootnoteBoldChar"/>
          <w:rtl/>
        </w:rPr>
        <w:t>الجعفريّات</w:t>
      </w:r>
      <w:r w:rsidR="00744A1C">
        <w:rPr>
          <w:rtl/>
          <w:lang w:bidi="fa-IR"/>
        </w:rPr>
        <w:t xml:space="preserve"> ، ص 180 ، بسند آخر عن جعفر بن محمّد ، عن آبائه ، عن أمير المؤمنين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يسير. </w:t>
      </w:r>
      <w:r w:rsidR="00744A1C" w:rsidRPr="00C24F9C">
        <w:rPr>
          <w:rStyle w:val="libFootnoteBoldChar"/>
          <w:rtl/>
        </w:rPr>
        <w:t>الفقيه</w:t>
      </w:r>
      <w:r w:rsidR="00744A1C">
        <w:rPr>
          <w:rtl/>
          <w:lang w:bidi="fa-IR"/>
        </w:rPr>
        <w:t xml:space="preserve"> ، ج 4 ، ص 362 ، ضمن الحديث الطويل 5762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النبيّ </w:t>
      </w:r>
      <w:r w:rsidRPr="00257F76">
        <w:rPr>
          <w:rStyle w:val="libFootnoteAlaemChar"/>
          <w:rtl/>
        </w:rPr>
        <w:t>صلى‌الله‌عليه‌وآله</w:t>
      </w:r>
      <w:r w:rsidR="00744A1C">
        <w:rPr>
          <w:rtl/>
          <w:lang w:bidi="fa-IR"/>
        </w:rPr>
        <w:t xml:space="preserve"> . </w:t>
      </w:r>
      <w:r w:rsidR="00744A1C" w:rsidRPr="00A914B5">
        <w:rPr>
          <w:rStyle w:val="libFootnoteBoldChar"/>
          <w:rtl/>
        </w:rPr>
        <w:t>تفسير العيّاشي</w:t>
      </w:r>
      <w:r w:rsidR="00744A1C">
        <w:rPr>
          <w:rtl/>
          <w:lang w:bidi="fa-IR"/>
        </w:rPr>
        <w:t xml:space="preserve"> ، ج 1 ، ص 322 ، ح 117 ، عن السكوني ، عن أبي جعفر ، عن أبيه ، عن عليّ </w:t>
      </w:r>
      <w:r w:rsidR="00877682" w:rsidRPr="00877682">
        <w:rPr>
          <w:rStyle w:val="libFootnoteAlaemChar"/>
          <w:rtl/>
        </w:rPr>
        <w:t>عليهم‌السلام</w:t>
      </w:r>
      <w:r w:rsidR="00D10E3C">
        <w:rPr>
          <w:rtl/>
          <w:lang w:bidi="fa-IR"/>
        </w:rPr>
        <w:t xml:space="preserve"> </w:t>
      </w:r>
      <w:r>
        <w:rPr>
          <w:rFonts w:hint="cs"/>
          <w:rtl/>
          <w:lang w:bidi="fa-IR"/>
        </w:rPr>
        <w:t>.</w:t>
      </w:r>
      <w:r w:rsidR="00744A1C" w:rsidRPr="00C24F9C">
        <w:rPr>
          <w:rStyle w:val="libFootnoteBoldChar"/>
          <w:rtl/>
        </w:rPr>
        <w:t>الوافي</w:t>
      </w:r>
      <w:r w:rsidR="00744A1C">
        <w:rPr>
          <w:rtl/>
          <w:lang w:bidi="fa-IR"/>
        </w:rPr>
        <w:t xml:space="preserve"> ، ج 17 ، ص 280 ، ح 17282 ؛ </w:t>
      </w:r>
      <w:r w:rsidR="00744A1C" w:rsidRPr="00C24F9C">
        <w:rPr>
          <w:rStyle w:val="libFootnoteBoldChar"/>
          <w:rtl/>
        </w:rPr>
        <w:t>الوسائل</w:t>
      </w:r>
      <w:r w:rsidR="00744A1C">
        <w:rPr>
          <w:rtl/>
          <w:lang w:bidi="fa-IR"/>
        </w:rPr>
        <w:t xml:space="preserve"> ، ج 17 ، ص 93 ، ح 22061.</w:t>
      </w:r>
    </w:p>
    <w:p w:rsidR="00744A1C" w:rsidRDefault="00D10E3C" w:rsidP="00D10E3C">
      <w:pPr>
        <w:pStyle w:val="libFootnote0"/>
        <w:rPr>
          <w:lang w:bidi="fa-IR"/>
        </w:rPr>
      </w:pPr>
      <w:r>
        <w:rPr>
          <w:rtl/>
          <w:lang w:bidi="fa-IR"/>
        </w:rPr>
        <w:t>(1).</w:t>
      </w:r>
      <w:r w:rsidR="00744A1C">
        <w:rPr>
          <w:rtl/>
          <w:lang w:bidi="fa-IR"/>
        </w:rPr>
        <w:t xml:space="preserve"> في « ط ، ى ، بح ، بس ، جد ، جن » : - « كثيرة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حمل كسب الحجّام على الكراهة ، كما عرفت ».</w:t>
      </w:r>
    </w:p>
    <w:tbl>
      <w:tblPr>
        <w:tblStyle w:val="TableGrid"/>
        <w:bidiVisual/>
        <w:tblW w:w="0" w:type="auto"/>
        <w:tblLook w:val="04A0" w:firstRow="1" w:lastRow="0" w:firstColumn="1" w:lastColumn="0" w:noHBand="0" w:noVBand="1"/>
      </w:tblPr>
      <w:tblGrid>
        <w:gridCol w:w="4006"/>
        <w:gridCol w:w="4006"/>
      </w:tblGrid>
      <w:tr w:rsidR="00257F76" w:rsidTr="00257F76">
        <w:tc>
          <w:tcPr>
            <w:tcW w:w="4006" w:type="dxa"/>
          </w:tcPr>
          <w:p w:rsidR="00257F76" w:rsidRDefault="00257F76" w:rsidP="00E378DD">
            <w:pPr>
              <w:pStyle w:val="libFootnote0"/>
              <w:rPr>
                <w:rtl/>
                <w:lang w:bidi="fa-IR"/>
              </w:rPr>
            </w:pPr>
            <w:r>
              <w:rPr>
                <w:rtl/>
                <w:lang w:bidi="fa-IR"/>
              </w:rPr>
              <w:t xml:space="preserve">(3). في </w:t>
            </w:r>
            <w:r w:rsidRPr="00257F76">
              <w:rPr>
                <w:rtl/>
              </w:rPr>
              <w:t>التهذيب والاستبصار</w:t>
            </w:r>
            <w:r>
              <w:rPr>
                <w:rtl/>
                <w:lang w:bidi="fa-IR"/>
              </w:rPr>
              <w:t xml:space="preserve"> : - « إذا شارط ».</w:t>
            </w:r>
          </w:p>
        </w:tc>
        <w:tc>
          <w:tcPr>
            <w:tcW w:w="4006" w:type="dxa"/>
          </w:tcPr>
          <w:p w:rsidR="00257F76" w:rsidRDefault="00257F76" w:rsidP="00E378DD">
            <w:pPr>
              <w:pStyle w:val="libFootnote0"/>
              <w:rPr>
                <w:rtl/>
                <w:lang w:bidi="fa-IR"/>
              </w:rPr>
            </w:pPr>
            <w:r>
              <w:rPr>
                <w:rtl/>
                <w:lang w:bidi="fa-IR"/>
              </w:rPr>
              <w:t xml:space="preserve">(4). في « ط » </w:t>
            </w:r>
            <w:r w:rsidRPr="00257F76">
              <w:rPr>
                <w:rtl/>
              </w:rPr>
              <w:t>والوسائل</w:t>
            </w:r>
            <w:r>
              <w:rPr>
                <w:rtl/>
                <w:lang w:bidi="fa-IR"/>
              </w:rPr>
              <w:t xml:space="preserve"> : « وأمّا ».</w:t>
            </w:r>
          </w:p>
        </w:tc>
      </w:tr>
    </w:tbl>
    <w:p w:rsidR="00744A1C" w:rsidRDefault="00E378DD" w:rsidP="00E378DD">
      <w:pPr>
        <w:pStyle w:val="libFootnote0"/>
        <w:rPr>
          <w:lang w:bidi="fa-IR"/>
        </w:rPr>
      </w:pPr>
      <w:r>
        <w:rPr>
          <w:rtl/>
          <w:lang w:bidi="fa-IR"/>
        </w:rPr>
        <w:t>(5).</w:t>
      </w:r>
      <w:r w:rsidR="00744A1C">
        <w:rPr>
          <w:rtl/>
          <w:lang w:bidi="fa-IR"/>
        </w:rPr>
        <w:t xml:space="preserve"> في </w:t>
      </w:r>
      <w:r w:rsidR="00744A1C" w:rsidRPr="00257F76">
        <w:rPr>
          <w:rtl/>
        </w:rPr>
        <w:t>الوافي وتفسير العيّاشي</w:t>
      </w:r>
      <w:r w:rsidR="00744A1C">
        <w:rPr>
          <w:rtl/>
          <w:lang w:bidi="fa-IR"/>
        </w:rPr>
        <w:t xml:space="preserve"> : - « العظيم ».</w:t>
      </w:r>
    </w:p>
    <w:p w:rsidR="00744A1C" w:rsidRDefault="00E378DD" w:rsidP="00E378DD">
      <w:pPr>
        <w:pStyle w:val="libFootnote0"/>
        <w:rPr>
          <w:lang w:bidi="fa-IR"/>
        </w:rPr>
      </w:pPr>
      <w:r>
        <w:rPr>
          <w:rtl/>
          <w:lang w:bidi="fa-IR"/>
        </w:rPr>
        <w:t>(6).</w:t>
      </w:r>
      <w:r w:rsidR="00744A1C">
        <w:rPr>
          <w:rtl/>
          <w:lang w:bidi="fa-IR"/>
        </w:rPr>
        <w:t xml:space="preserve"> </w:t>
      </w:r>
      <w:r w:rsidR="00744A1C" w:rsidRPr="0061079A">
        <w:rPr>
          <w:rStyle w:val="libFootnoteBoldChar"/>
          <w:rtl/>
        </w:rPr>
        <w:t>الكافي</w:t>
      </w:r>
      <w:r w:rsidR="00744A1C">
        <w:rPr>
          <w:rtl/>
          <w:lang w:bidi="fa-IR"/>
        </w:rPr>
        <w:t xml:space="preserve"> ، كتاب القضاء والأحكام ، باب أخذ الا</w:t>
      </w:r>
      <w:r w:rsidR="00257F76">
        <w:rPr>
          <w:rFonts w:hint="cs"/>
          <w:rtl/>
          <w:lang w:bidi="fa-IR"/>
        </w:rPr>
        <w:t>ُ</w:t>
      </w:r>
      <w:r w:rsidR="00744A1C">
        <w:rPr>
          <w:rtl/>
          <w:lang w:bidi="fa-IR"/>
        </w:rPr>
        <w:t xml:space="preserve">جرة والرشا على الحكم ، ح 14607 ، بسنده عن زرعة ، وتمام الرواية فيه : « الرشا في الحكم هو الكفر بالله ». وفي </w:t>
      </w:r>
      <w:r w:rsidR="00744A1C" w:rsidRPr="00C24F9C">
        <w:rPr>
          <w:rStyle w:val="libFootnoteBoldChar"/>
          <w:rtl/>
        </w:rPr>
        <w:t>التهذيب</w:t>
      </w:r>
      <w:r w:rsidR="00744A1C">
        <w:rPr>
          <w:rtl/>
          <w:lang w:bidi="fa-IR"/>
        </w:rPr>
        <w:t xml:space="preserve"> ، ج 6 ، ص 355 ، ح 1013 ؛ </w:t>
      </w:r>
      <w:r w:rsidR="00744A1C" w:rsidRPr="00C24F9C">
        <w:rPr>
          <w:rStyle w:val="libFootnoteBoldChar"/>
          <w:rtl/>
        </w:rPr>
        <w:t>والاستبصار</w:t>
      </w:r>
      <w:r w:rsidR="00744A1C">
        <w:rPr>
          <w:rtl/>
          <w:lang w:bidi="fa-IR"/>
        </w:rPr>
        <w:t xml:space="preserve"> ، ج 3 ، ص 59 ، ح 195 ، بسندهما عن سماعة ،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وثمن الخمر ». </w:t>
      </w:r>
      <w:r w:rsidR="00744A1C" w:rsidRPr="00A914B5">
        <w:rPr>
          <w:rStyle w:val="libFootnoteBoldChar"/>
          <w:rtl/>
        </w:rPr>
        <w:t>تفسير العيّاشي</w:t>
      </w:r>
      <w:r w:rsidR="00744A1C">
        <w:rPr>
          <w:rtl/>
          <w:lang w:bidi="fa-IR"/>
        </w:rPr>
        <w:t xml:space="preserve"> ، ج 1 ، ص 321 ، ح 112 ، عن سماعة بن مهران ، عن أبي عبد الله وأبي الحسن موسى </w:t>
      </w:r>
      <w:r w:rsidR="00F112A7" w:rsidRPr="00CE5A92">
        <w:rPr>
          <w:rStyle w:val="libFootnoteAlaemChar"/>
          <w:rtl/>
        </w:rPr>
        <w:t>عليهما‌السلام</w:t>
      </w:r>
      <w:r w:rsidR="00257F76">
        <w:rPr>
          <w:rStyle w:val="libFootnoteAlaemChar"/>
          <w:rFonts w:hint="cs"/>
          <w:rtl/>
        </w:rPr>
        <w:t>.</w:t>
      </w:r>
      <w:r w:rsidR="00744A1C" w:rsidRPr="00C24F9C">
        <w:rPr>
          <w:rStyle w:val="libFootnoteBoldChar"/>
          <w:rtl/>
        </w:rPr>
        <w:t>الوافي</w:t>
      </w:r>
      <w:r w:rsidR="00744A1C">
        <w:rPr>
          <w:rtl/>
          <w:lang w:bidi="fa-IR"/>
        </w:rPr>
        <w:t xml:space="preserve"> ، ج 16 ، ص 908 ، ح 16378 ؛ </w:t>
      </w:r>
      <w:r w:rsidR="00744A1C" w:rsidRPr="00C24F9C">
        <w:rPr>
          <w:rStyle w:val="libFootnoteBoldChar"/>
          <w:rtl/>
        </w:rPr>
        <w:t>الوسائل</w:t>
      </w:r>
      <w:r w:rsidR="00744A1C">
        <w:rPr>
          <w:rtl/>
          <w:lang w:bidi="fa-IR"/>
        </w:rPr>
        <w:t xml:space="preserve"> ، ج 17 ، ص 92 ، ح 22058.</w:t>
      </w:r>
    </w:p>
    <w:p w:rsidR="00744A1C" w:rsidRDefault="00E378DD" w:rsidP="00E378DD">
      <w:pPr>
        <w:pStyle w:val="libFootnote0"/>
        <w:rPr>
          <w:lang w:bidi="fa-IR"/>
        </w:rPr>
      </w:pPr>
      <w:r>
        <w:rPr>
          <w:rtl/>
          <w:lang w:bidi="fa-IR"/>
        </w:rPr>
        <w:t>(7).</w:t>
      </w:r>
      <w:r w:rsidR="00744A1C">
        <w:rPr>
          <w:rtl/>
          <w:lang w:bidi="fa-IR"/>
        </w:rPr>
        <w:t xml:space="preserve"> في « ط » : « قال ».</w:t>
      </w:r>
    </w:p>
    <w:p w:rsidR="00744A1C" w:rsidRDefault="00E378DD" w:rsidP="00E378DD">
      <w:pPr>
        <w:pStyle w:val="libFootnote0"/>
        <w:rPr>
          <w:lang w:bidi="fa-IR"/>
        </w:rPr>
      </w:pPr>
      <w:r>
        <w:rPr>
          <w:rtl/>
          <w:lang w:bidi="fa-IR"/>
        </w:rPr>
        <w:t>(8).</w:t>
      </w:r>
      <w:r w:rsidR="00744A1C">
        <w:rPr>
          <w:rtl/>
          <w:lang w:bidi="fa-IR"/>
        </w:rPr>
        <w:t xml:space="preserve"> </w:t>
      </w:r>
      <w:r w:rsidR="00744A1C" w:rsidRPr="0061079A">
        <w:rPr>
          <w:rStyle w:val="libFootnoteBoldChar"/>
          <w:rtl/>
        </w:rPr>
        <w:t>الكافي</w:t>
      </w:r>
      <w:r w:rsidR="00744A1C">
        <w:rPr>
          <w:rtl/>
          <w:lang w:bidi="fa-IR"/>
        </w:rPr>
        <w:t xml:space="preserve"> ، كتاب القضاء والأحكام ، باب أخذ الا</w:t>
      </w:r>
      <w:r w:rsidR="00257F76">
        <w:rPr>
          <w:rFonts w:hint="cs"/>
          <w:rtl/>
          <w:lang w:bidi="fa-IR"/>
        </w:rPr>
        <w:t>ُ</w:t>
      </w:r>
      <w:r w:rsidR="00744A1C">
        <w:rPr>
          <w:rtl/>
          <w:lang w:bidi="fa-IR"/>
        </w:rPr>
        <w:t xml:space="preserve">جرة والرشا على الحكم ، ح 14608. وفي </w:t>
      </w:r>
      <w:r w:rsidR="00744A1C" w:rsidRPr="00C24F9C">
        <w:rPr>
          <w:rStyle w:val="libFootnoteBoldChar"/>
          <w:rtl/>
        </w:rPr>
        <w:t>التهذيب</w:t>
      </w:r>
      <w:r w:rsidR="00744A1C">
        <w:rPr>
          <w:rtl/>
          <w:lang w:bidi="fa-IR"/>
        </w:rPr>
        <w:t xml:space="preserve"> ، ج 6 ، ص 222 ، ح 525 ، معلّقاً عن أحمد بن محمّد </w:t>
      </w:r>
      <w:r w:rsidR="00257F76">
        <w:rPr>
          <w:rFonts w:hint="cs"/>
          <w:rtl/>
          <w:lang w:bidi="fa-IR"/>
        </w:rPr>
        <w:t>.</w:t>
      </w:r>
      <w:r w:rsidR="00744A1C" w:rsidRPr="00C24F9C">
        <w:rPr>
          <w:rStyle w:val="libFootnoteBoldChar"/>
          <w:rtl/>
        </w:rPr>
        <w:t>الوافي</w:t>
      </w:r>
      <w:r w:rsidR="00744A1C">
        <w:rPr>
          <w:rtl/>
          <w:lang w:bidi="fa-IR"/>
        </w:rPr>
        <w:t xml:space="preserve"> ، ج 19 ، ص 907 ، ح 16377 ؛ </w:t>
      </w:r>
      <w:r w:rsidR="00744A1C" w:rsidRPr="00C24F9C">
        <w:rPr>
          <w:rStyle w:val="libFootnoteBoldChar"/>
          <w:rtl/>
        </w:rPr>
        <w:t>الوسائل</w:t>
      </w:r>
      <w:r w:rsidR="00744A1C">
        <w:rPr>
          <w:rtl/>
          <w:lang w:bidi="fa-IR"/>
        </w:rPr>
        <w:t xml:space="preserve"> ، ج 17 ، ص 93 ، ح 22060.</w:t>
      </w:r>
    </w:p>
    <w:p w:rsidR="006A5060" w:rsidRDefault="006A5060" w:rsidP="00D10E3C">
      <w:pPr>
        <w:pStyle w:val="libNormal"/>
        <w:rPr>
          <w:rtl/>
          <w:lang w:bidi="fa-IR"/>
        </w:rPr>
      </w:pPr>
      <w:r>
        <w:rPr>
          <w:rtl/>
          <w:lang w:bidi="fa-IR"/>
        </w:rPr>
        <w:br w:type="page"/>
      </w:r>
    </w:p>
    <w:p w:rsidR="00144FA6" w:rsidRDefault="00744A1C" w:rsidP="00257F76">
      <w:pPr>
        <w:pStyle w:val="libNormal0"/>
        <w:rPr>
          <w:rtl/>
          <w:lang w:bidi="fa-IR"/>
        </w:rPr>
      </w:pPr>
      <w:r>
        <w:rPr>
          <w:rtl/>
          <w:lang w:bidi="fa-IR"/>
        </w:rPr>
        <w:t xml:space="preserve">عَنْ عَبْدِ الرَّحْمنِ بْنِ أَبِي هَاشِمٍ ، عَنِ الْقَاسِمِ بْنِ الْوَلِيدِ الْعَمَّارِيِّ </w:t>
      </w:r>
      <w:r w:rsidRPr="00D10E3C">
        <w:rPr>
          <w:rStyle w:val="libFootnotenumChar"/>
          <w:rtl/>
        </w:rPr>
        <w:t>(1)</w:t>
      </w:r>
      <w:r>
        <w:rPr>
          <w:rtl/>
          <w:lang w:bidi="fa-IR"/>
        </w:rPr>
        <w:t xml:space="preserve">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ثَمَنِ الْكَلْبِ الَّذِي لَايَصِيدُ </w:t>
      </w:r>
      <w:r w:rsidRPr="00D10E3C">
        <w:rPr>
          <w:rStyle w:val="libFootnotenumChar"/>
          <w:rtl/>
        </w:rPr>
        <w:t>(2)</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ط ». وفي « ى ، بح ، جت ، جن » والمطبوع : + « عن عبد الرحمن الأصمّ عن مسمع بن عبد الملك عن أبي عبد الله العامري ». وقد ورد هذه الزيادة في « بخ » </w:t>
      </w:r>
      <w:r w:rsidR="00257F76">
        <w:rPr>
          <w:rtl/>
          <w:lang w:bidi="fa-IR"/>
        </w:rPr>
        <w:t>إل</w:t>
      </w:r>
      <w:r w:rsidR="00257F76">
        <w:rPr>
          <w:rFonts w:hint="cs"/>
          <w:rtl/>
          <w:lang w:bidi="fa-IR"/>
        </w:rPr>
        <w:t>ّا</w:t>
      </w:r>
      <w:r w:rsidR="00744A1C">
        <w:rPr>
          <w:rtl/>
          <w:lang w:bidi="fa-IR"/>
        </w:rPr>
        <w:t xml:space="preserve"> أنّ فيها « العماري » بدل « العامري ». وأمّا في « جد » ، فلم يرد قيد « العامري » بعد « أبي عبد الله ». وفي « بس » : + « عن عبد الرحمن الأصمّ عن مسمع بن عبد الملك ». وفي </w:t>
      </w:r>
      <w:r w:rsidR="00744A1C" w:rsidRPr="00257F76">
        <w:rPr>
          <w:rtl/>
        </w:rPr>
        <w:t>الوسائل</w:t>
      </w:r>
      <w:r w:rsidR="00744A1C">
        <w:rPr>
          <w:rtl/>
          <w:lang w:bidi="fa-IR"/>
        </w:rPr>
        <w:t xml:space="preserve"> : + « عن عبد الرحمن الأصمّ عن مسمع بن عبد الملك عن عبد الله العامري ».</w:t>
      </w:r>
    </w:p>
    <w:p w:rsidR="00744A1C" w:rsidRDefault="00744A1C" w:rsidP="00D10E3C">
      <w:pPr>
        <w:pStyle w:val="libFootnote0"/>
        <w:rPr>
          <w:lang w:bidi="fa-IR"/>
        </w:rPr>
      </w:pPr>
      <w:r>
        <w:rPr>
          <w:rtl/>
          <w:lang w:bidi="fa-IR"/>
        </w:rPr>
        <w:t xml:space="preserve">وما أثبتناه هو الظاهر ؛ فقد عدَّ النجاشي والبرقي والشيخ الطوسي القاسم بن الوليد العماري من رواة أبي عبد الله </w:t>
      </w:r>
      <w:r w:rsidR="0061079A" w:rsidRPr="0061079A">
        <w:rPr>
          <w:rStyle w:val="libFootnoteAlaemChar"/>
          <w:rtl/>
        </w:rPr>
        <w:t>عليه‌السلام</w:t>
      </w:r>
      <w:r w:rsidR="00D10E3C">
        <w:rPr>
          <w:rtl/>
          <w:lang w:bidi="fa-IR"/>
        </w:rPr>
        <w:t xml:space="preserve"> </w:t>
      </w:r>
      <w:r>
        <w:rPr>
          <w:rtl/>
          <w:lang w:bidi="fa-IR"/>
        </w:rPr>
        <w:t xml:space="preserve">، ولم نجد - مع الفحص الأكيد - روايته عن أبي عبد الله </w:t>
      </w:r>
      <w:r w:rsidR="0061079A" w:rsidRPr="0061079A">
        <w:rPr>
          <w:rStyle w:val="libFootnoteAlaemChar"/>
          <w:rtl/>
        </w:rPr>
        <w:t>عليه‌السلام</w:t>
      </w:r>
      <w:r w:rsidR="00D10E3C">
        <w:rPr>
          <w:rtl/>
          <w:lang w:bidi="fa-IR"/>
        </w:rPr>
        <w:t xml:space="preserve"> </w:t>
      </w:r>
      <w:r>
        <w:rPr>
          <w:rtl/>
          <w:lang w:bidi="fa-IR"/>
        </w:rPr>
        <w:t xml:space="preserve">بواسطة واحدة ، فضلاً عن واسطتين أو ثلاث وسائط. راجع : </w:t>
      </w:r>
      <w:r w:rsidRPr="003A7143">
        <w:rPr>
          <w:rStyle w:val="libFootnoteBoldChar"/>
          <w:rtl/>
        </w:rPr>
        <w:t>رجال النجاشي</w:t>
      </w:r>
      <w:r>
        <w:rPr>
          <w:rtl/>
          <w:lang w:bidi="fa-IR"/>
        </w:rPr>
        <w:t xml:space="preserve"> ، ص 313 ، الرقم 855 ؛ </w:t>
      </w:r>
      <w:r w:rsidRPr="004D054E">
        <w:rPr>
          <w:rStyle w:val="libFootnoteBoldChar"/>
          <w:rtl/>
        </w:rPr>
        <w:t>رجال البرقي</w:t>
      </w:r>
      <w:r>
        <w:rPr>
          <w:rtl/>
          <w:lang w:bidi="fa-IR"/>
        </w:rPr>
        <w:t xml:space="preserve"> ، ص 25 ؛ </w:t>
      </w:r>
      <w:r w:rsidRPr="0061079A">
        <w:rPr>
          <w:rStyle w:val="libFootnoteBoldChar"/>
          <w:rtl/>
        </w:rPr>
        <w:t>رجال الطوسي</w:t>
      </w:r>
      <w:r>
        <w:rPr>
          <w:rtl/>
          <w:lang w:bidi="fa-IR"/>
        </w:rPr>
        <w:t xml:space="preserve"> ، ص 271 ، الرقم 3900.</w:t>
      </w:r>
    </w:p>
    <w:p w:rsidR="00744A1C" w:rsidRDefault="00744A1C" w:rsidP="00D10E3C">
      <w:pPr>
        <w:pStyle w:val="libFootnote0"/>
        <w:rPr>
          <w:lang w:bidi="fa-IR"/>
        </w:rPr>
      </w:pPr>
      <w:r>
        <w:rPr>
          <w:rtl/>
          <w:lang w:bidi="fa-IR"/>
        </w:rPr>
        <w:t xml:space="preserve">ويؤيِّد ذلك ما ورد في </w:t>
      </w:r>
      <w:r w:rsidRPr="00C24F9C">
        <w:rPr>
          <w:rStyle w:val="libFootnoteBoldChar"/>
          <w:rtl/>
        </w:rPr>
        <w:t>التهذيب</w:t>
      </w:r>
      <w:r>
        <w:rPr>
          <w:rtl/>
          <w:lang w:bidi="fa-IR"/>
        </w:rPr>
        <w:t xml:space="preserve"> ، ج 6 ، ص 367 ، ح 1060 ، من نقل الخبر عن أحمد بن أبي عبد الله ، عن محمّد بن عليّ ، عن عبد الرحمن بن القاسم - والصواب عبد الرحمن بن أبي هاشم - عن القاسم بن الوليد العامري قال : سألت أبا عبد الله </w:t>
      </w:r>
      <w:r w:rsidR="0061079A" w:rsidRPr="0061079A">
        <w:rPr>
          <w:rStyle w:val="libFootnoteAlaemChar"/>
          <w:rtl/>
        </w:rPr>
        <w:t>عليه‌السلام</w:t>
      </w:r>
      <w:r w:rsidR="00D10E3C">
        <w:rPr>
          <w:rtl/>
          <w:lang w:bidi="fa-IR"/>
        </w:rPr>
        <w:t xml:space="preserve"> </w:t>
      </w:r>
      <w:r>
        <w:rPr>
          <w:rtl/>
          <w:lang w:bidi="fa-IR"/>
        </w:rPr>
        <w:t xml:space="preserve">، كما يؤيِّده ما ورد في </w:t>
      </w:r>
      <w:r w:rsidRPr="00C24F9C">
        <w:rPr>
          <w:rStyle w:val="libFootnoteBoldChar"/>
          <w:rtl/>
        </w:rPr>
        <w:t>التهذيب</w:t>
      </w:r>
      <w:r>
        <w:rPr>
          <w:rtl/>
          <w:lang w:bidi="fa-IR"/>
        </w:rPr>
        <w:t xml:space="preserve"> ، ج 9 ، ص 80 ، ح 342 ، بسنده عن البرقي أحمد بن أبي عبد الله عن محمّد بن عبد الله - وهو غير مذكور في بعض نسخه - عن محمّد بن عليّ ، عن عبد الرحمن بن أبي هاشم ، عن القاسم بن الوليد العماري ، قال : سألت أبا عبد الله </w:t>
      </w:r>
      <w:r w:rsidR="0061079A" w:rsidRPr="0061079A">
        <w:rPr>
          <w:rStyle w:val="libFootnoteAlaemChar"/>
          <w:rtl/>
        </w:rPr>
        <w:t>عليه‌السلام</w:t>
      </w:r>
      <w:r>
        <w:rPr>
          <w:rtl/>
          <w:lang w:bidi="fa-IR"/>
        </w:rPr>
        <w:t xml:space="preserve"> .</w:t>
      </w:r>
    </w:p>
    <w:p w:rsidR="00144FA6" w:rsidRDefault="00E378DD" w:rsidP="00E378DD">
      <w:pPr>
        <w:pStyle w:val="libFootnote0"/>
        <w:rPr>
          <w:rtl/>
          <w:lang w:bidi="fa-IR"/>
        </w:rPr>
      </w:pPr>
      <w:r>
        <w:rPr>
          <w:rtl/>
          <w:lang w:bidi="fa-IR"/>
        </w:rPr>
        <w:t>(2).</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w:t>
      </w:r>
    </w:p>
    <w:p w:rsidR="00744A1C" w:rsidRDefault="00744A1C" w:rsidP="00D10E3C">
      <w:pPr>
        <w:pStyle w:val="libFootnote0"/>
        <w:rPr>
          <w:lang w:bidi="fa-IR"/>
        </w:rPr>
      </w:pPr>
      <w:r>
        <w:rPr>
          <w:rtl/>
          <w:lang w:bidi="fa-IR"/>
        </w:rPr>
        <w:t>« قوله : ثمن الكلب الذي لا يصيد ، الظاهر أنّ الكلب الذي لا يصيد مساوق للكلب الهراش الذي لا فائدة عقليّة في اقتنائه ، والنهي عن بيعه نظير النهي عن بيع القرد ؛ لعدم الفائدة لا للنجاسة ؛ لأنّ النجاسة في الحيوان الحيّ والإنسان غير مانعة عن البيع ، والمنع عن بيع النجاسة منصرف إلى ما يتناول ويباشر ويتلوّث المستعمل به في العادة ، فيبقى الكلب داخلاً تحت عموم أدلّة البيع إذا كان له فائدة مشروعة محلّلة.</w:t>
      </w:r>
    </w:p>
    <w:p w:rsidR="00744A1C" w:rsidRDefault="00744A1C" w:rsidP="00D10E3C">
      <w:pPr>
        <w:pStyle w:val="libFootnote0"/>
        <w:rPr>
          <w:lang w:bidi="fa-IR"/>
        </w:rPr>
      </w:pPr>
      <w:r>
        <w:rPr>
          <w:rtl/>
          <w:lang w:bidi="fa-IR"/>
        </w:rPr>
        <w:t>وقال في الغنية : احترزنا بقولنا : ينتفع به منفعة محلّلة ، عمّا يحرم الانت</w:t>
      </w:r>
      <w:r w:rsidR="005439FB">
        <w:rPr>
          <w:rtl/>
          <w:lang w:bidi="fa-IR"/>
        </w:rPr>
        <w:t>فاع به ، ويدخل في ذلك النجس إل</w:t>
      </w:r>
      <w:r w:rsidR="005439FB">
        <w:rPr>
          <w:rFonts w:hint="cs"/>
          <w:rtl/>
          <w:lang w:bidi="fa-IR"/>
        </w:rPr>
        <w:t>ّ</w:t>
      </w:r>
      <w:r w:rsidR="005439FB">
        <w:rPr>
          <w:rtl/>
          <w:lang w:bidi="fa-IR"/>
        </w:rPr>
        <w:t>ا</w:t>
      </w:r>
      <w:r w:rsidR="005439FB">
        <w:rPr>
          <w:rFonts w:hint="cs"/>
          <w:rtl/>
          <w:lang w:bidi="fa-IR"/>
        </w:rPr>
        <w:t xml:space="preserve"> </w:t>
      </w:r>
      <w:r>
        <w:rPr>
          <w:rtl/>
          <w:lang w:bidi="fa-IR"/>
        </w:rPr>
        <w:t>ما خرج بالدليل من الكلب المعلّم للصيد. انتهى.</w:t>
      </w:r>
    </w:p>
    <w:p w:rsidR="00744A1C" w:rsidRDefault="00744A1C" w:rsidP="00D10E3C">
      <w:pPr>
        <w:pStyle w:val="libFootnote0"/>
        <w:rPr>
          <w:lang w:bidi="fa-IR"/>
        </w:rPr>
      </w:pPr>
      <w:r>
        <w:rPr>
          <w:rtl/>
          <w:lang w:bidi="fa-IR"/>
        </w:rPr>
        <w:t>ويستفاد منه أنّ غير الصيود هراش لاينتفع به.</w:t>
      </w:r>
    </w:p>
    <w:p w:rsidR="00744A1C" w:rsidRDefault="00744A1C" w:rsidP="00D10E3C">
      <w:pPr>
        <w:pStyle w:val="libFootnote0"/>
        <w:rPr>
          <w:lang w:bidi="fa-IR"/>
        </w:rPr>
      </w:pPr>
      <w:r>
        <w:rPr>
          <w:rtl/>
          <w:lang w:bidi="fa-IR"/>
        </w:rPr>
        <w:t>فإن قيل : قسم الكلب في هذه الأخبار على صيود وغير صيود ، وأجيز الأوّل دون الثاني ، والثاني يشمل كلب الماشية والزرع والبستان ، فيحرم بيع جميعها ؛ لأنّها غير صيود ، ولادليل على تخصيصه بالهراش.</w:t>
      </w:r>
    </w:p>
    <w:p w:rsidR="00744A1C" w:rsidRDefault="00744A1C" w:rsidP="00D10E3C">
      <w:pPr>
        <w:pStyle w:val="libFootnote0"/>
        <w:rPr>
          <w:lang w:bidi="fa-IR"/>
        </w:rPr>
      </w:pPr>
      <w:r>
        <w:rPr>
          <w:rtl/>
          <w:lang w:bidi="fa-IR"/>
        </w:rPr>
        <w:t>قلنا : اقتناء الكلاب لهذه الا</w:t>
      </w:r>
      <w:r w:rsidR="005439FB">
        <w:rPr>
          <w:rFonts w:hint="cs"/>
          <w:rtl/>
          <w:lang w:bidi="fa-IR"/>
        </w:rPr>
        <w:t>ُ</w:t>
      </w:r>
      <w:r>
        <w:rPr>
          <w:rtl/>
          <w:lang w:bidi="fa-IR"/>
        </w:rPr>
        <w:t xml:space="preserve">مور لم يكن كثير التداول عندهم ، وكلب الصيد مذكور في القرآن ، وكان حاضراً في الأذهان دائماً ، وقد شاع الحصر الإضافي في لغة العرب وبحث عنه </w:t>
      </w:r>
      <w:r w:rsidR="005439FB">
        <w:rPr>
          <w:rtl/>
          <w:lang w:bidi="fa-IR"/>
        </w:rPr>
        <w:t>علماء البيان ، نحو : ما زيد إل</w:t>
      </w:r>
      <w:r w:rsidR="005439FB">
        <w:rPr>
          <w:rFonts w:hint="cs"/>
          <w:rtl/>
          <w:lang w:bidi="fa-IR"/>
        </w:rPr>
        <w:t>ّ</w:t>
      </w:r>
      <w:r w:rsidR="005439FB">
        <w:rPr>
          <w:rtl/>
          <w:lang w:bidi="fa-IR"/>
        </w:rPr>
        <w:t>ا</w:t>
      </w:r>
      <w:r w:rsidR="005439FB">
        <w:rPr>
          <w:rFonts w:hint="cs"/>
          <w:rtl/>
          <w:lang w:bidi="fa-IR"/>
        </w:rPr>
        <w:t xml:space="preserve"> </w:t>
      </w:r>
      <w:r>
        <w:rPr>
          <w:rtl/>
          <w:lang w:bidi="fa-IR"/>
        </w:rPr>
        <w:t>شاعر ، في مقابل من يتوهّم كونه شاعراً وكاتباً.</w:t>
      </w:r>
    </w:p>
    <w:p w:rsidR="006D42F6" w:rsidRDefault="006D42F6" w:rsidP="00D10E3C">
      <w:pPr>
        <w:pStyle w:val="libNormal"/>
        <w:rPr>
          <w:rtl/>
          <w:lang w:bidi="fa-IR"/>
        </w:rPr>
      </w:pPr>
      <w:r>
        <w:rPr>
          <w:rtl/>
          <w:lang w:bidi="fa-IR"/>
        </w:rPr>
        <w:br w:type="page"/>
      </w:r>
    </w:p>
    <w:p w:rsidR="00144FA6" w:rsidRDefault="00744A1C" w:rsidP="005439FB">
      <w:pPr>
        <w:pStyle w:val="libNormal0"/>
        <w:rPr>
          <w:rtl/>
          <w:lang w:bidi="fa-IR"/>
        </w:rPr>
      </w:pPr>
      <w:r>
        <w:rPr>
          <w:rtl/>
          <w:lang w:bidi="fa-IR"/>
        </w:rPr>
        <w:t xml:space="preserve">فَقَالَ : « سُحْتٌ ، وَأَمَّا </w:t>
      </w:r>
      <w:r w:rsidRPr="00D10E3C">
        <w:rPr>
          <w:rStyle w:val="libFootnotenumChar"/>
          <w:rtl/>
        </w:rPr>
        <w:t>(1)</w:t>
      </w:r>
      <w:r>
        <w:rPr>
          <w:rtl/>
          <w:lang w:bidi="fa-IR"/>
        </w:rPr>
        <w:t xml:space="preserve"> الصَّيُودُ </w:t>
      </w:r>
      <w:r w:rsidRPr="00D10E3C">
        <w:rPr>
          <w:rStyle w:val="libFootnotenumChar"/>
          <w:rtl/>
        </w:rPr>
        <w:t>(2)</w:t>
      </w:r>
      <w:r>
        <w:rPr>
          <w:rtl/>
          <w:lang w:bidi="fa-IR"/>
        </w:rPr>
        <w:t xml:space="preserve"> فَلَا بَأْسَ ». </w:t>
      </w:r>
      <w:r w:rsidRPr="00D10E3C">
        <w:rPr>
          <w:rStyle w:val="libFootnotenumChar"/>
          <w:rtl/>
        </w:rPr>
        <w:t>(3)</w:t>
      </w:r>
    </w:p>
    <w:p w:rsidR="00744A1C" w:rsidRDefault="00744A1C" w:rsidP="00D10E3C">
      <w:pPr>
        <w:pStyle w:val="libLine"/>
        <w:rPr>
          <w:lang w:bidi="fa-IR"/>
        </w:rPr>
      </w:pPr>
      <w:r>
        <w:rPr>
          <w:rtl/>
          <w:lang w:bidi="fa-IR"/>
        </w:rPr>
        <w:t>____________________</w:t>
      </w:r>
    </w:p>
    <w:p w:rsidR="00744A1C" w:rsidRDefault="005439FB" w:rsidP="00D10E3C">
      <w:pPr>
        <w:pStyle w:val="libFootnote0"/>
        <w:rPr>
          <w:lang w:bidi="fa-IR"/>
        </w:rPr>
      </w:pPr>
      <w:r>
        <w:rPr>
          <w:rFonts w:hint="cs"/>
          <w:rtl/>
          <w:lang w:bidi="fa-IR"/>
        </w:rPr>
        <w:t xml:space="preserve">= </w:t>
      </w:r>
      <w:r w:rsidR="00744A1C">
        <w:rPr>
          <w:rtl/>
          <w:lang w:bidi="fa-IR"/>
        </w:rPr>
        <w:t>هكذا كان في أذهان الناس كلبان : الصيود ، وغير الصيود ، أي الهراش ، وحصر الحلّ في الأوّل ، وأمّا الكلاب الا</w:t>
      </w:r>
      <w:r>
        <w:rPr>
          <w:rFonts w:hint="cs"/>
          <w:rtl/>
          <w:lang w:bidi="fa-IR"/>
        </w:rPr>
        <w:t>ُ</w:t>
      </w:r>
      <w:r w:rsidR="00744A1C">
        <w:rPr>
          <w:rtl/>
          <w:lang w:bidi="fa-IR"/>
        </w:rPr>
        <w:t>خر فلم يكن حاضرة في الأذهان ؛ لقلّة التداول وعدم ذكرها في القرآن ، كما أنّ زيداً في مثال علماء البيان كان له صفات كثيرة ، ولم تكن حاضرة في ذهن المخاطب غير كونه شاعراً وكاتباً. وفهم فقهاؤنا رضوان الله عليهم من ألفاظ هذه الأخبار أنّها في مقام الحصر الإضافي ولهم الاعتماد على الفهم المستند إلى القرائن في استنباط هذه الا</w:t>
      </w:r>
      <w:r>
        <w:rPr>
          <w:rFonts w:hint="cs"/>
          <w:rtl/>
          <w:lang w:bidi="fa-IR"/>
        </w:rPr>
        <w:t>ُ</w:t>
      </w:r>
      <w:r w:rsidR="00744A1C">
        <w:rPr>
          <w:rtl/>
          <w:lang w:bidi="fa-IR"/>
        </w:rPr>
        <w:t xml:space="preserve">مور المتعلّقة بالألفاظ. قال في </w:t>
      </w:r>
      <w:r w:rsidR="00744A1C" w:rsidRPr="005439FB">
        <w:rPr>
          <w:rStyle w:val="libFootnoteBoldChar"/>
          <w:rtl/>
        </w:rPr>
        <w:t>التذكرة</w:t>
      </w:r>
      <w:r w:rsidR="00744A1C">
        <w:rPr>
          <w:rtl/>
          <w:lang w:bidi="fa-IR"/>
        </w:rPr>
        <w:t xml:space="preserve"> : يجوز بيع هذه الكلاب عندنا ، وعن الشهيد في بعض حواشيه أنّ أحداً لم يفرّق بين الكلاب الأربعة ، فمن اقتصر في التجويز على كلب الصيد ولم يذكر الثلاثة الباقية ، مراده الحصر الإضافي ، كما حمل عليه الأخبار.</w:t>
      </w:r>
    </w:p>
    <w:p w:rsidR="00744A1C" w:rsidRDefault="00744A1C" w:rsidP="00D10E3C">
      <w:pPr>
        <w:pStyle w:val="libFootnote0"/>
        <w:rPr>
          <w:lang w:bidi="fa-IR"/>
        </w:rPr>
      </w:pPr>
      <w:r>
        <w:rPr>
          <w:rtl/>
          <w:lang w:bidi="fa-IR"/>
        </w:rPr>
        <w:t xml:space="preserve">فإن قيل : دلّ بعض الروايات على أنّ في قتل كلب الماشية دية مقدّرة ، وهذا يدلّ </w:t>
      </w:r>
      <w:r w:rsidR="005439FB">
        <w:rPr>
          <w:rtl/>
          <w:lang w:bidi="fa-IR"/>
        </w:rPr>
        <w:t>على عدم كونه ملكاً شرعاً ، وإل</w:t>
      </w:r>
      <w:r w:rsidR="005439FB">
        <w:rPr>
          <w:rFonts w:hint="cs"/>
          <w:rtl/>
          <w:lang w:bidi="fa-IR"/>
        </w:rPr>
        <w:t>ّ</w:t>
      </w:r>
      <w:r w:rsidR="005439FB">
        <w:rPr>
          <w:rtl/>
          <w:lang w:bidi="fa-IR"/>
        </w:rPr>
        <w:t>ا</w:t>
      </w:r>
      <w:r>
        <w:rPr>
          <w:rtl/>
          <w:lang w:bidi="fa-IR"/>
        </w:rPr>
        <w:t xml:space="preserve"> لأثبت فيه قيمته السوقية.</w:t>
      </w:r>
    </w:p>
    <w:p w:rsidR="00744A1C" w:rsidRDefault="00744A1C" w:rsidP="00D10E3C">
      <w:pPr>
        <w:pStyle w:val="libFootnote0"/>
        <w:rPr>
          <w:lang w:bidi="fa-IR"/>
        </w:rPr>
      </w:pPr>
      <w:r>
        <w:rPr>
          <w:rtl/>
          <w:lang w:bidi="fa-IR"/>
        </w:rPr>
        <w:t>قلنا : يجوز أن يكون الكلب غير ثابت القيمة عندهم غالباً ، مختلفة باختلاف الرغبات جدّاً ؛ لقلّة تداول بيعه وشرائه بينهم ، وكلّ شي‌ء قليل التداول لا قيمة له ، ولذلك ترى النقوش والخطوط العتيقة والمصنوعات القديمة ونسخ الكتب المخطوطة وبعض الجواهر النادرة ، يختلف أنظار أهل الخبرة في قيمتها جدّاً ، بل لا قيمة لها حقيقةً ؛ لاختلاف الرغبات ، وكلّ ما لا يتداول بيعه في السوق ، كالحنطة والشعير والشاة والثياب وغيرها ، فقيمته على حسب ما تراضى البائعان عليه ، وعلى ذلك يحمل الدية في كلب الماشية ، وإنّما يعرف بإثبات الدية شرعاً فيه أنّه مال في نظر الشارع وله حرمة بملاحظة نفعه لمالكه وأنّه لايرضى بإخراجه من يده غصباً وإتلافه مجّاناً ، وهذا معنى الملك الم</w:t>
      </w:r>
      <w:r w:rsidR="005439FB">
        <w:rPr>
          <w:rtl/>
          <w:lang w:bidi="fa-IR"/>
        </w:rPr>
        <w:t>جوّز للبيع ، ولذلك استدلّ العل</w:t>
      </w:r>
      <w:r w:rsidR="005439FB">
        <w:rPr>
          <w:rFonts w:hint="cs"/>
          <w:rtl/>
          <w:lang w:bidi="fa-IR"/>
        </w:rPr>
        <w:t>ّ</w:t>
      </w:r>
      <w:r w:rsidR="005439FB">
        <w:rPr>
          <w:rtl/>
          <w:lang w:bidi="fa-IR"/>
        </w:rPr>
        <w:t>ا</w:t>
      </w:r>
      <w:r>
        <w:rPr>
          <w:rtl/>
          <w:lang w:bidi="fa-IR"/>
        </w:rPr>
        <w:t xml:space="preserve">مة </w:t>
      </w:r>
      <w:r w:rsidR="00877682" w:rsidRPr="00877682">
        <w:rPr>
          <w:rStyle w:val="libFootnoteAlaemChar"/>
          <w:rtl/>
        </w:rPr>
        <w:t>رحمه‌الله</w:t>
      </w:r>
      <w:r w:rsidR="005439FB" w:rsidRPr="005439FB">
        <w:rPr>
          <w:rFonts w:hint="cs"/>
          <w:rtl/>
        </w:rPr>
        <w:t xml:space="preserve"> </w:t>
      </w:r>
      <w:r>
        <w:rPr>
          <w:rtl/>
          <w:lang w:bidi="fa-IR"/>
        </w:rPr>
        <w:t>على صحّة بيع هذه الكلاب بأنّ تقدير الدية لها يدلّ على مقابلتها بالمال ».</w:t>
      </w:r>
    </w:p>
    <w:p w:rsidR="00744A1C" w:rsidRDefault="00D10E3C" w:rsidP="00D10E3C">
      <w:pPr>
        <w:pStyle w:val="libFootnote0"/>
        <w:rPr>
          <w:lang w:bidi="fa-IR"/>
        </w:rPr>
      </w:pPr>
      <w:r>
        <w:rPr>
          <w:rtl/>
          <w:lang w:bidi="fa-IR"/>
        </w:rPr>
        <w:t>(1).</w:t>
      </w:r>
      <w:r w:rsidR="00744A1C">
        <w:rPr>
          <w:rtl/>
          <w:lang w:bidi="fa-IR"/>
        </w:rPr>
        <w:t xml:space="preserve"> هكذا في معظم النسخ التي قوبلت </w:t>
      </w:r>
      <w:r w:rsidR="00744A1C" w:rsidRPr="005439FB">
        <w:rPr>
          <w:rtl/>
        </w:rPr>
        <w:t>والوافي</w:t>
      </w:r>
      <w:r w:rsidR="00744A1C">
        <w:rPr>
          <w:rtl/>
          <w:lang w:bidi="fa-IR"/>
        </w:rPr>
        <w:t>. وفي « جت » والمطبوع : « فأمّا ».</w:t>
      </w:r>
    </w:p>
    <w:p w:rsidR="00744A1C" w:rsidRDefault="00E378DD" w:rsidP="00E378DD">
      <w:pPr>
        <w:pStyle w:val="libFootnote0"/>
        <w:rPr>
          <w:lang w:bidi="fa-IR"/>
        </w:rPr>
      </w:pPr>
      <w:r>
        <w:rPr>
          <w:rtl/>
          <w:lang w:bidi="fa-IR"/>
        </w:rPr>
        <w:t>(2).</w:t>
      </w:r>
      <w:r w:rsidR="00744A1C">
        <w:rPr>
          <w:rtl/>
          <w:lang w:bidi="fa-IR"/>
        </w:rPr>
        <w:t xml:space="preserve"> « الصيود » ، كقبول : الصيّاد ، وفَعول من أبنية المبالغة. راجع : </w:t>
      </w:r>
      <w:r w:rsidR="00744A1C" w:rsidRPr="00877682">
        <w:rPr>
          <w:rStyle w:val="libFootnoteBoldChar"/>
          <w:rtl/>
        </w:rPr>
        <w:t>النهاية</w:t>
      </w:r>
      <w:r w:rsidR="00744A1C">
        <w:rPr>
          <w:rtl/>
          <w:lang w:bidi="fa-IR"/>
        </w:rPr>
        <w:t xml:space="preserve"> ، ج 3 ، ص 65 ؛ </w:t>
      </w:r>
      <w:r w:rsidR="00744A1C" w:rsidRPr="008A57EB">
        <w:rPr>
          <w:rStyle w:val="libFootnoteBoldChar"/>
          <w:rtl/>
        </w:rPr>
        <w:t>القاموس المحيط</w:t>
      </w:r>
      <w:r w:rsidR="00744A1C">
        <w:rPr>
          <w:rtl/>
          <w:lang w:bidi="fa-IR"/>
        </w:rPr>
        <w:t xml:space="preserve"> ، ج 1 ، ص 429 ( صيد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367 ، ح 1060 ، معلّقاً عن أحمد بن أبي عبد الله ، عن محمّد بن عليّ ، عن عبد الرحمن بن القاسم ، عن القاسم بن الوليد العامري ، عن أبي عبد 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التهذيب</w:t>
      </w:r>
      <w:r w:rsidR="00744A1C">
        <w:rPr>
          <w:rtl/>
          <w:lang w:bidi="fa-IR"/>
        </w:rPr>
        <w:t xml:space="preserve"> ، ج 9 ، ص 80 ، ح 342 ، بسنده عن البرقي أحمد بن أبي عبد الله ، عن محمّد بن عبد الله ، عن محمّد بن عليّ ، عن عبد الرحمن بن أبي هاشم ، عن القاسم بن الوليد العامري ، عن أبي عبد الله </w:t>
      </w:r>
      <w:r w:rsidR="0061079A" w:rsidRPr="0061079A">
        <w:rPr>
          <w:rStyle w:val="libFootnoteAlaemChar"/>
          <w:rtl/>
        </w:rPr>
        <w:t>عليه‌السلام</w:t>
      </w:r>
      <w:r w:rsidR="00744A1C">
        <w:rPr>
          <w:rtl/>
          <w:lang w:bidi="fa-IR"/>
        </w:rPr>
        <w:t xml:space="preserve"> . وفي </w:t>
      </w:r>
      <w:r w:rsidR="00744A1C" w:rsidRPr="00C24F9C">
        <w:rPr>
          <w:rStyle w:val="libFootnoteBoldChar"/>
          <w:rtl/>
        </w:rPr>
        <w:t>التهذيب</w:t>
      </w:r>
      <w:r w:rsidR="00744A1C">
        <w:rPr>
          <w:rtl/>
          <w:lang w:bidi="fa-IR"/>
        </w:rPr>
        <w:t xml:space="preserve"> ، ج 6 ، ص 356 ، ح 1017 ؛ وج 7 ، ص 135 ، ذيل ح 599 ؛ وج 9 ، ص 80 ، ح 343 ، بسند آخر ، مع اختلاف يسير. </w:t>
      </w:r>
      <w:r w:rsidR="00744A1C" w:rsidRPr="00A914B5">
        <w:rPr>
          <w:rStyle w:val="libFootnoteBoldChar"/>
          <w:rtl/>
        </w:rPr>
        <w:t>تفسير العيّاشي</w:t>
      </w:r>
      <w:r w:rsidR="00744A1C">
        <w:rPr>
          <w:rtl/>
          <w:lang w:bidi="fa-IR"/>
        </w:rPr>
        <w:t xml:space="preserve"> ، ج 1 ، ص 321 ، ح 114 ، عن محمّد بن مسلم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مع زيادة في آخره.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253 ؛ </w:t>
      </w:r>
      <w:r w:rsidR="00744A1C" w:rsidRPr="00C24F9C">
        <w:rPr>
          <w:rStyle w:val="libFootnoteBoldChar"/>
          <w:rtl/>
        </w:rPr>
        <w:t>الفقيه</w:t>
      </w:r>
      <w:r w:rsidR="00744A1C">
        <w:rPr>
          <w:rtl/>
          <w:lang w:bidi="fa-IR"/>
        </w:rPr>
        <w:t xml:space="preserve"> ، ج 3 ، ص 171 ، ح 3648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زيادة في أوّله. وفي الثلاثة الأخيرة مع اختلاف يسير </w:t>
      </w:r>
      <w:r w:rsidR="002812BC">
        <w:rPr>
          <w:rFonts w:hint="cs"/>
          <w:rtl/>
          <w:lang w:bidi="fa-IR"/>
        </w:rPr>
        <w:t>.</w:t>
      </w:r>
      <w:r w:rsidR="00744A1C" w:rsidRPr="00C24F9C">
        <w:rPr>
          <w:rStyle w:val="libFootnoteBoldChar"/>
          <w:rtl/>
        </w:rPr>
        <w:t>الوافي</w:t>
      </w:r>
      <w:r w:rsidR="00744A1C">
        <w:rPr>
          <w:rtl/>
          <w:lang w:bidi="fa-IR"/>
        </w:rPr>
        <w:t xml:space="preserve"> ، ج 17 ، ص 276 ، ح 17276 ؛ </w:t>
      </w:r>
      <w:r w:rsidR="00744A1C" w:rsidRPr="00C24F9C">
        <w:rPr>
          <w:rStyle w:val="libFootnoteBoldChar"/>
          <w:rtl/>
        </w:rPr>
        <w:t>الوسائل</w:t>
      </w:r>
      <w:r w:rsidR="00744A1C">
        <w:rPr>
          <w:rtl/>
          <w:lang w:bidi="fa-IR"/>
        </w:rPr>
        <w:t xml:space="preserve"> ، ج 17 ، ص 118 ، ح 22135.</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8592 / 6. عَلِيُّ بْنُ مُحَمَّدٍ ، عَنْ صَالِحِ بْنِ أَبِي حَمَّادٍ ، عَنْ غَيْرِ وَاحِدٍ ، عَنِ الشَّعِيرِيِّ </w:t>
      </w:r>
      <w:r w:rsidRPr="00D10E3C">
        <w:rPr>
          <w:rStyle w:val="libFootnotenumChar"/>
          <w:rtl/>
        </w:rPr>
        <w:t>(1)</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بَاتَ سَاهِراً فِي كَسْبٍ ، وَلَمْ يُعْطِ الْعَيْنَ حَظَّهَا </w:t>
      </w:r>
      <w:r w:rsidRPr="00D10E3C">
        <w:rPr>
          <w:rStyle w:val="libFootnotenumChar"/>
          <w:rtl/>
        </w:rPr>
        <w:t>(2)</w:t>
      </w:r>
      <w:r>
        <w:rPr>
          <w:rtl/>
          <w:lang w:bidi="fa-IR"/>
        </w:rPr>
        <w:t xml:space="preserve"> مِنَ النَّوْمِ ، فَكَسْبُهُ ذلِكَ حَرَامٌ ». </w:t>
      </w:r>
      <w:r w:rsidRPr="00D10E3C">
        <w:rPr>
          <w:rStyle w:val="libFootnotenumChar"/>
          <w:rtl/>
        </w:rPr>
        <w:t>(3)</w:t>
      </w:r>
    </w:p>
    <w:p w:rsidR="00144FA6" w:rsidRDefault="00744A1C" w:rsidP="00744A1C">
      <w:pPr>
        <w:pStyle w:val="libNormal"/>
        <w:rPr>
          <w:rtl/>
          <w:lang w:bidi="fa-IR"/>
        </w:rPr>
      </w:pPr>
      <w:r>
        <w:rPr>
          <w:rtl/>
          <w:lang w:bidi="fa-IR"/>
        </w:rPr>
        <w:t>8593 / 7. عِدَّةٌ مِنْ أَصْحَابِنَا ، عَنْ سَهْلِ بْنِ زِيَادٍ ، عَنْ مُحَمَّدِ بْنِ الْحَسَنِ بْنِ شَمُّونٍ ، عَنْ عَبْدِ اللهِ بْنِ عَبْدِ الرَّحْمنِ الْأَصَمِّ ، عَنْ مِسْمَعِ بْنِ عَبْدِ الْمَلِكِ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الصُّنَّاعُ </w:t>
      </w:r>
      <w:r w:rsidRPr="00D10E3C">
        <w:rPr>
          <w:rStyle w:val="libFootnotenumChar"/>
          <w:rtl/>
        </w:rPr>
        <w:t>(4)</w:t>
      </w:r>
      <w:r>
        <w:rPr>
          <w:rtl/>
          <w:lang w:bidi="fa-IR"/>
        </w:rPr>
        <w:t xml:space="preserve"> إِذَا سَهِرُوا اللَّيْلَ كُلَّهُ ، فَهُوَ سُحْتٌ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8594 / 8.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نَهى رَسُولُ اللهِ </w:t>
      </w:r>
      <w:r w:rsidR="0061079A" w:rsidRPr="0061079A">
        <w:rPr>
          <w:rStyle w:val="libAlaemChar"/>
          <w:rtl/>
        </w:rPr>
        <w:t>صلى‌الله‌عليه‌وآله</w:t>
      </w:r>
      <w:r w:rsidR="00D10E3C">
        <w:rPr>
          <w:rtl/>
          <w:lang w:bidi="fa-IR"/>
        </w:rPr>
        <w:t xml:space="preserve"> </w:t>
      </w:r>
      <w:r>
        <w:rPr>
          <w:rtl/>
          <w:lang w:bidi="fa-IR"/>
        </w:rPr>
        <w:t xml:space="preserve">عَنْ كَسْبِ الْإِمَاءِ ؛ فَإِنَّهَا إِنْ لَمْ تَجِدْ </w:t>
      </w:r>
      <w:r w:rsidRPr="00D10E3C">
        <w:rPr>
          <w:rStyle w:val="libFootnotenumChar"/>
          <w:rtl/>
        </w:rPr>
        <w:t>(7)</w:t>
      </w:r>
      <w:r w:rsidR="002812BC">
        <w:rPr>
          <w:rtl/>
          <w:lang w:bidi="fa-IR"/>
        </w:rPr>
        <w:t xml:space="preserve"> زَنَتْ ، إِل</w:t>
      </w:r>
      <w:r w:rsidR="002812BC">
        <w:rPr>
          <w:rFonts w:hint="cs"/>
          <w:rtl/>
          <w:lang w:bidi="fa-IR"/>
        </w:rPr>
        <w:t>َّ</w:t>
      </w:r>
      <w:r w:rsidR="002812BC">
        <w:rPr>
          <w:rtl/>
          <w:lang w:bidi="fa-IR"/>
        </w:rPr>
        <w:t>ا</w:t>
      </w:r>
      <w:r>
        <w:rPr>
          <w:rtl/>
          <w:lang w:bidi="fa-IR"/>
        </w:rPr>
        <w:t xml:space="preserve"> أَمَةً قَدْ </w:t>
      </w:r>
      <w:r w:rsidRPr="00D10E3C">
        <w:rPr>
          <w:rStyle w:val="libFootnotenumChar"/>
          <w:rtl/>
        </w:rPr>
        <w:t>(8)</w:t>
      </w:r>
      <w:r>
        <w:rPr>
          <w:rtl/>
          <w:lang w:bidi="fa-IR"/>
        </w:rPr>
        <w:t xml:space="preserve"> عُرِفَتْ بِصَنْعَةِ يَدٍ </w:t>
      </w:r>
      <w:r w:rsidRPr="00D10E3C">
        <w:rPr>
          <w:rStyle w:val="libFootnotenumChar"/>
          <w:rtl/>
        </w:rPr>
        <w:t>(9)</w:t>
      </w:r>
      <w:r>
        <w:rPr>
          <w:rtl/>
          <w:lang w:bidi="fa-IR"/>
        </w:rPr>
        <w:t xml:space="preserve"> ؛ وَنَهى عَنْ كَسْبِ الْغُلَامِ الصَّغِيرِ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الأشعري ».</w:t>
      </w:r>
    </w:p>
    <w:p w:rsidR="00744A1C" w:rsidRDefault="00E378DD" w:rsidP="00E378DD">
      <w:pPr>
        <w:pStyle w:val="libFootnote0"/>
        <w:rPr>
          <w:lang w:bidi="fa-IR"/>
        </w:rPr>
      </w:pPr>
      <w:r>
        <w:rPr>
          <w:rtl/>
          <w:lang w:bidi="fa-IR"/>
        </w:rPr>
        <w:t>(2).</w:t>
      </w:r>
      <w:r w:rsidR="00744A1C">
        <w:rPr>
          <w:rtl/>
          <w:lang w:bidi="fa-IR"/>
        </w:rPr>
        <w:t xml:space="preserve"> في حاشية « ى ، بس ، جت ، جن » : « حقّها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367 ، ح 1059 ، معلّقاً عن الكليني </w:t>
      </w:r>
      <w:r w:rsidR="002812BC">
        <w:rPr>
          <w:rFonts w:hint="cs"/>
          <w:rtl/>
          <w:lang w:bidi="fa-IR"/>
        </w:rPr>
        <w:t>.</w:t>
      </w:r>
      <w:r w:rsidR="00744A1C" w:rsidRPr="00C24F9C">
        <w:rPr>
          <w:rStyle w:val="libFootnoteBoldChar"/>
          <w:rtl/>
        </w:rPr>
        <w:t>الوافي</w:t>
      </w:r>
      <w:r w:rsidR="00744A1C">
        <w:rPr>
          <w:rtl/>
          <w:lang w:bidi="fa-IR"/>
        </w:rPr>
        <w:t xml:space="preserve"> ، ج 17 ، ص 189 ، ح 17090 ؛ </w:t>
      </w:r>
      <w:r w:rsidR="00744A1C" w:rsidRPr="00C24F9C">
        <w:rPr>
          <w:rStyle w:val="libFootnoteBoldChar"/>
          <w:rtl/>
        </w:rPr>
        <w:t>الوسائل</w:t>
      </w:r>
      <w:r w:rsidR="00744A1C">
        <w:rPr>
          <w:rtl/>
          <w:lang w:bidi="fa-IR"/>
        </w:rPr>
        <w:t xml:space="preserve"> ، ج 17 ، ص 164 ، ح 22253.</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الصنّاع ، يحتمل أن يكون بالمهملتين والنون ، وأن يكون بالصاد المهملة والغين المعجمة والمثنّاة التحتانيّة ، والذي رأيناه في النسخ هو الثاني ، وكأنّ الأوّل هو الصواب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2812BC">
        <w:rPr>
          <w:rtl/>
          <w:lang w:bidi="fa-IR"/>
        </w:rPr>
        <w:t xml:space="preserve"> : « قال الوالد العل</w:t>
      </w:r>
      <w:r w:rsidR="002812BC">
        <w:rPr>
          <w:rFonts w:hint="cs"/>
          <w:rtl/>
          <w:lang w:bidi="fa-IR"/>
        </w:rPr>
        <w:t>ّ</w:t>
      </w:r>
      <w:r w:rsidR="002812BC">
        <w:rPr>
          <w:rtl/>
          <w:lang w:bidi="fa-IR"/>
        </w:rPr>
        <w:t>ا</w:t>
      </w:r>
      <w:r w:rsidR="00744A1C">
        <w:rPr>
          <w:rtl/>
          <w:lang w:bidi="fa-IR"/>
        </w:rPr>
        <w:t>مة - قدّس الله روحه - : الحرام والسحت محمولان على الكراهة الشديدة ، وربّما كان حراماً إذا علم ، أ</w:t>
      </w:r>
      <w:r w:rsidR="002812BC">
        <w:rPr>
          <w:rtl/>
          <w:lang w:bidi="fa-IR"/>
        </w:rPr>
        <w:t>و ظنّ الضرر ، كما هو الشائع إل</w:t>
      </w:r>
      <w:r w:rsidR="002812BC">
        <w:rPr>
          <w:rFonts w:hint="cs"/>
          <w:rtl/>
          <w:lang w:bidi="fa-IR"/>
        </w:rPr>
        <w:t>ّ</w:t>
      </w:r>
      <w:r w:rsidR="002812BC">
        <w:rPr>
          <w:rtl/>
          <w:lang w:bidi="fa-IR"/>
        </w:rPr>
        <w:t>ا</w:t>
      </w:r>
      <w:r w:rsidR="00744A1C">
        <w:rPr>
          <w:rtl/>
          <w:lang w:bidi="fa-IR"/>
        </w:rPr>
        <w:t xml:space="preserve"> أن يكون مضطرّاً إليه. وقال في </w:t>
      </w:r>
      <w:r w:rsidR="00744A1C" w:rsidRPr="00877682">
        <w:rPr>
          <w:rStyle w:val="libFootnoteBoldChar"/>
          <w:rtl/>
        </w:rPr>
        <w:t>الدروس</w:t>
      </w:r>
      <w:r w:rsidR="00744A1C">
        <w:rPr>
          <w:rtl/>
          <w:lang w:bidi="fa-IR"/>
        </w:rPr>
        <w:t xml:space="preserve"> : من الآداب إعطاء الصانع العين حظّها من النوم ، فروى مسمع أنّ سهره الليل كلّه سحت ». وراجع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185 ، الدرس 237.</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367 ، ح 1058 ، معلّقاً عن الكليني </w:t>
      </w:r>
      <w:r w:rsidR="002812BC">
        <w:rPr>
          <w:rFonts w:hint="cs"/>
          <w:rtl/>
          <w:lang w:bidi="fa-IR"/>
        </w:rPr>
        <w:t>.</w:t>
      </w:r>
      <w:r w:rsidR="00744A1C" w:rsidRPr="00C24F9C">
        <w:rPr>
          <w:rStyle w:val="libFootnoteBoldChar"/>
          <w:rtl/>
        </w:rPr>
        <w:t>الوافي</w:t>
      </w:r>
      <w:r w:rsidR="00744A1C">
        <w:rPr>
          <w:rtl/>
          <w:lang w:bidi="fa-IR"/>
        </w:rPr>
        <w:t xml:space="preserve"> ، ج 17 ، ص 189 ، ح 17091 ؛ </w:t>
      </w:r>
      <w:r w:rsidR="00744A1C" w:rsidRPr="00C24F9C">
        <w:rPr>
          <w:rStyle w:val="libFootnoteBoldChar"/>
          <w:rtl/>
        </w:rPr>
        <w:t>الوسائل</w:t>
      </w:r>
      <w:r w:rsidR="00744A1C">
        <w:rPr>
          <w:rtl/>
          <w:lang w:bidi="fa-IR"/>
        </w:rPr>
        <w:t xml:space="preserve"> ، ج 17 ، ص 163 ، ح 22252.</w:t>
      </w:r>
    </w:p>
    <w:p w:rsidR="00744A1C" w:rsidRDefault="00E378DD" w:rsidP="00E378DD">
      <w:pPr>
        <w:pStyle w:val="libFootnote0"/>
        <w:rPr>
          <w:lang w:bidi="fa-IR"/>
        </w:rPr>
      </w:pPr>
      <w:r>
        <w:rPr>
          <w:rtl/>
          <w:lang w:bidi="fa-IR"/>
        </w:rPr>
        <w:t>(7).</w:t>
      </w:r>
      <w:r w:rsidR="00744A1C">
        <w:rPr>
          <w:rtl/>
          <w:lang w:bidi="fa-IR"/>
        </w:rPr>
        <w:t xml:space="preserve"> في </w:t>
      </w:r>
      <w:r w:rsidR="00744A1C" w:rsidRPr="002812BC">
        <w:rPr>
          <w:rtl/>
        </w:rPr>
        <w:t>التهذيب</w:t>
      </w:r>
      <w:r w:rsidR="00744A1C">
        <w:rPr>
          <w:rtl/>
          <w:lang w:bidi="fa-IR"/>
        </w:rPr>
        <w:t xml:space="preserve"> : « لم تجده ».</w:t>
      </w:r>
    </w:p>
    <w:p w:rsidR="00744A1C" w:rsidRDefault="00E378DD" w:rsidP="00E378DD">
      <w:pPr>
        <w:pStyle w:val="libFootnote0"/>
        <w:rPr>
          <w:lang w:bidi="fa-IR"/>
        </w:rPr>
      </w:pPr>
      <w:r>
        <w:rPr>
          <w:rtl/>
          <w:lang w:bidi="fa-IR"/>
        </w:rPr>
        <w:t>(8).</w:t>
      </w:r>
      <w:r w:rsidR="00744A1C">
        <w:rPr>
          <w:rtl/>
          <w:lang w:bidi="fa-IR"/>
        </w:rPr>
        <w:t xml:space="preserve"> في « بح » : « إذا ».</w:t>
      </w:r>
    </w:p>
    <w:p w:rsidR="00744A1C" w:rsidRDefault="00E378DD" w:rsidP="00E378DD">
      <w:pPr>
        <w:pStyle w:val="libFootnote0"/>
        <w:rPr>
          <w:lang w:bidi="fa-IR"/>
        </w:rPr>
      </w:pPr>
      <w:r>
        <w:rPr>
          <w:rtl/>
          <w:lang w:bidi="fa-IR"/>
        </w:rPr>
        <w:t>(9).</w:t>
      </w:r>
      <w:r w:rsidR="00744A1C">
        <w:rPr>
          <w:rtl/>
          <w:lang w:bidi="fa-IR"/>
        </w:rPr>
        <w:t xml:space="preserve"> في « ى » : - « يد ».</w:t>
      </w:r>
    </w:p>
    <w:p w:rsidR="00744A1C" w:rsidRDefault="00E378DD" w:rsidP="00E378DD">
      <w:pPr>
        <w:pStyle w:val="libFootnote0"/>
        <w:rPr>
          <w:lang w:bidi="fa-IR"/>
        </w:rPr>
      </w:pPr>
      <w:r>
        <w:rPr>
          <w:rtl/>
          <w:lang w:bidi="fa-IR"/>
        </w:rPr>
        <w:t>(10).</w:t>
      </w:r>
      <w:r w:rsidR="00744A1C">
        <w:rPr>
          <w:rtl/>
          <w:lang w:bidi="fa-IR"/>
        </w:rPr>
        <w:t xml:space="preserve"> هكذا في جميع النسخ التي قوبلت </w:t>
      </w:r>
      <w:r w:rsidR="00744A1C" w:rsidRPr="002812BC">
        <w:rPr>
          <w:rtl/>
        </w:rPr>
        <w:t>والوسائل والتهذيب</w:t>
      </w:r>
      <w:r w:rsidR="00744A1C">
        <w:rPr>
          <w:rtl/>
          <w:lang w:bidi="fa-IR"/>
        </w:rPr>
        <w:t>. وفي المطبوع : - « الصغير ».</w:t>
      </w:r>
    </w:p>
    <w:p w:rsidR="006D42F6" w:rsidRDefault="006D42F6" w:rsidP="00D10E3C">
      <w:pPr>
        <w:pStyle w:val="libNormal"/>
        <w:rPr>
          <w:rtl/>
          <w:lang w:bidi="fa-IR"/>
        </w:rPr>
      </w:pPr>
      <w:r>
        <w:rPr>
          <w:rtl/>
          <w:lang w:bidi="fa-IR"/>
        </w:rPr>
        <w:br w:type="page"/>
      </w:r>
    </w:p>
    <w:p w:rsidR="00144FA6" w:rsidRDefault="00744A1C" w:rsidP="002812BC">
      <w:pPr>
        <w:pStyle w:val="libNormal0"/>
        <w:rPr>
          <w:rtl/>
          <w:lang w:bidi="fa-IR"/>
        </w:rPr>
      </w:pPr>
      <w:r>
        <w:rPr>
          <w:rtl/>
          <w:lang w:bidi="fa-IR"/>
        </w:rPr>
        <w:t xml:space="preserve">الَّذِي لَايُحْسِنُ صِنَاعَةً بِيَدِهِ </w:t>
      </w:r>
      <w:r w:rsidRPr="00D10E3C">
        <w:rPr>
          <w:rStyle w:val="libFootnotenumChar"/>
          <w:rtl/>
        </w:rPr>
        <w:t>(1)</w:t>
      </w:r>
      <w:r>
        <w:rPr>
          <w:rtl/>
          <w:lang w:bidi="fa-IR"/>
        </w:rPr>
        <w:t xml:space="preserve"> ؛ فَإِنَّهُ إِنْ لَمْ يَجِدْ سَرَقَ ». </w:t>
      </w:r>
      <w:r w:rsidRPr="00D10E3C">
        <w:rPr>
          <w:rStyle w:val="libFootnotenumChar"/>
          <w:rtl/>
        </w:rPr>
        <w:t>(2)</w:t>
      </w:r>
    </w:p>
    <w:p w:rsidR="00744A1C" w:rsidRDefault="00744A1C" w:rsidP="002812BC">
      <w:pPr>
        <w:pStyle w:val="Heading2Center"/>
        <w:rPr>
          <w:lang w:bidi="fa-IR"/>
        </w:rPr>
      </w:pPr>
      <w:bookmarkStart w:id="166" w:name="_Toc49261464"/>
      <w:r>
        <w:rPr>
          <w:rtl/>
          <w:lang w:bidi="fa-IR"/>
        </w:rPr>
        <w:t>43 - بَابُ أَكْلِ مَالِ الْيَتِيمِ‌</w:t>
      </w:r>
      <w:bookmarkEnd w:id="166"/>
    </w:p>
    <w:p w:rsidR="00144FA6" w:rsidRDefault="00744A1C" w:rsidP="00744A1C">
      <w:pPr>
        <w:pStyle w:val="libNormal"/>
        <w:rPr>
          <w:rtl/>
          <w:lang w:bidi="fa-IR"/>
        </w:rPr>
      </w:pPr>
      <w:r>
        <w:rPr>
          <w:rtl/>
          <w:lang w:bidi="fa-IR"/>
        </w:rPr>
        <w:t>8595 / 1. عِدَّةٌ مِنْ أَصْحَابِنَا ، عَنْ أَحْمَدَ بْنِ مُحَمَّدٍ ، عَنْ عُثْمَانَ بْنِ عِيسى ، عَنْ سَمَاعَةَ ، قَالَ :</w:t>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أَوْعَدَ اللهُ - عَزَّ وَجَلَّ - فِي </w:t>
      </w:r>
      <w:r w:rsidRPr="00D10E3C">
        <w:rPr>
          <w:rStyle w:val="libFootnotenumChar"/>
          <w:rtl/>
        </w:rPr>
        <w:t>(3)</w:t>
      </w:r>
      <w:r>
        <w:rPr>
          <w:rtl/>
          <w:lang w:bidi="fa-IR"/>
        </w:rPr>
        <w:t xml:space="preserve"> مَالِ الْيَتِيمِ بِعُقُوبَتَيْنِ </w:t>
      </w:r>
      <w:r w:rsidRPr="00D10E3C">
        <w:rPr>
          <w:rStyle w:val="libFootnotenumChar"/>
          <w:rtl/>
        </w:rPr>
        <w:t>(4)</w:t>
      </w:r>
      <w:r>
        <w:rPr>
          <w:rtl/>
          <w:lang w:bidi="fa-IR"/>
        </w:rPr>
        <w:t xml:space="preserve"> : إِحْدَاهُمَا عُقُوبَةُ الْآخِرَةِ </w:t>
      </w:r>
      <w:r w:rsidRPr="00D10E3C">
        <w:rPr>
          <w:rStyle w:val="libFootnotenumChar"/>
          <w:rtl/>
        </w:rPr>
        <w:t>(5)</w:t>
      </w:r>
      <w:r>
        <w:rPr>
          <w:rtl/>
          <w:lang w:bidi="fa-IR"/>
        </w:rPr>
        <w:t xml:space="preserve"> النَّارُ </w:t>
      </w:r>
      <w:r w:rsidRPr="00D10E3C">
        <w:rPr>
          <w:rStyle w:val="libFootnotenumChar"/>
          <w:rtl/>
        </w:rPr>
        <w:t>(6)</w:t>
      </w:r>
      <w:r>
        <w:rPr>
          <w:rtl/>
          <w:lang w:bidi="fa-IR"/>
        </w:rPr>
        <w:t xml:space="preserve"> ، وَأَمَّا عُقُوبَةُ الدُّنْيَا ، فَقَوْلُهُ عَزَّ وَجَلَّ : </w:t>
      </w:r>
      <w:r w:rsidRPr="002812BC">
        <w:rPr>
          <w:rStyle w:val="libAlaemChar"/>
          <w:rtl/>
        </w:rPr>
        <w:t>(</w:t>
      </w:r>
      <w:r w:rsidRPr="002812BC">
        <w:rPr>
          <w:rStyle w:val="libAieChar"/>
          <w:rtl/>
        </w:rPr>
        <w:t xml:space="preserve"> وَلْيَخْشَ الَّذِينَ لَوْ تَرَكُوا مِنْ خَلْفِهِمْ ذُرِّيَّةً ضِعافاً خافُوا عَلَيْهِمْ </w:t>
      </w:r>
      <w:r w:rsidRPr="002812BC">
        <w:rPr>
          <w:rStyle w:val="libAlaemChar"/>
          <w:rtl/>
        </w:rPr>
        <w:t>)</w:t>
      </w:r>
      <w:r>
        <w:rPr>
          <w:rtl/>
          <w:lang w:bidi="fa-IR"/>
        </w:rPr>
        <w:t xml:space="preserve"> </w:t>
      </w:r>
      <w:r w:rsidRPr="00D10E3C">
        <w:rPr>
          <w:rStyle w:val="libFootnotenumChar"/>
          <w:rtl/>
        </w:rPr>
        <w:t>(7)</w:t>
      </w:r>
      <w:r>
        <w:rPr>
          <w:rtl/>
          <w:lang w:bidi="fa-IR"/>
        </w:rPr>
        <w:t xml:space="preserve"> الْآيَةَ ، يَعْنِي لِيَخْشَ أَنْ أَخْلُفَهُ </w:t>
      </w:r>
      <w:r w:rsidRPr="00D10E3C">
        <w:rPr>
          <w:rStyle w:val="libFootnotenumChar"/>
          <w:rtl/>
        </w:rPr>
        <w:t>(8)</w:t>
      </w:r>
      <w:r>
        <w:rPr>
          <w:rtl/>
          <w:lang w:bidi="fa-IR"/>
        </w:rPr>
        <w:t xml:space="preserve"> فِي ذُرِّيَّتِهِ </w:t>
      </w:r>
      <w:r w:rsidRPr="00D10E3C">
        <w:rPr>
          <w:rStyle w:val="libFootnotenumChar"/>
          <w:rtl/>
        </w:rPr>
        <w:t>(9)</w:t>
      </w:r>
      <w:r>
        <w:rPr>
          <w:rtl/>
          <w:lang w:bidi="fa-IR"/>
        </w:rPr>
        <w:t xml:space="preserve"> كَمَا صَنَعَ بِهؤُلَاءِ </w:t>
      </w:r>
      <w:r w:rsidRPr="00D10E3C">
        <w:rPr>
          <w:rStyle w:val="libFootnotenumChar"/>
          <w:rtl/>
        </w:rPr>
        <w:t>(10)</w:t>
      </w:r>
      <w:r>
        <w:rPr>
          <w:rtl/>
          <w:lang w:bidi="fa-IR"/>
        </w:rPr>
        <w:t xml:space="preserve"> الْيَتَامى ». </w:t>
      </w:r>
      <w:r w:rsidRPr="00D10E3C">
        <w:rPr>
          <w:rStyle w:val="libFootnotenumChar"/>
          <w:rtl/>
        </w:rPr>
        <w:t>(11)</w:t>
      </w:r>
    </w:p>
    <w:p w:rsidR="00744A1C" w:rsidRDefault="002812BC" w:rsidP="00D10E3C">
      <w:pPr>
        <w:pStyle w:val="libLine"/>
        <w:rPr>
          <w:lang w:bidi="fa-IR"/>
        </w:rPr>
      </w:pPr>
      <w:r>
        <w:rPr>
          <w:rFonts w:hint="cs"/>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جد » : « يده ». وفي </w:t>
      </w:r>
      <w:r w:rsidR="00744A1C" w:rsidRPr="002812BC">
        <w:rPr>
          <w:rtl/>
        </w:rPr>
        <w:t>التهذيب</w:t>
      </w:r>
      <w:r w:rsidR="00744A1C">
        <w:rPr>
          <w:rtl/>
          <w:lang w:bidi="fa-IR"/>
        </w:rPr>
        <w:t xml:space="preserve"> : - « بيده ». وفي </w:t>
      </w:r>
      <w:r w:rsidR="00744A1C" w:rsidRPr="00C24F9C">
        <w:rPr>
          <w:rStyle w:val="libFootnoteBoldChar"/>
          <w:rtl/>
        </w:rPr>
        <w:t>المرآة</w:t>
      </w:r>
      <w:r w:rsidR="00744A1C">
        <w:rPr>
          <w:rtl/>
          <w:lang w:bidi="fa-IR"/>
        </w:rPr>
        <w:t xml:space="preserve"> : « قال في المسالك : يكره كسب الصبيان ، أي الكسب المجهول أصله ؛ فإنّه يكره لوليّهم التصرّف فيه على الوجه السائغ ، وكذا يكره لغيره شراؤه من الوليّ ؛ لما يدخله من الشبهة الناشئة من اجتراء الصبيّ على ما لا يحلّ لجهله ، أو لعلمه بارتفاع القلم عنه ، ولو علم يقيناً اكتسابه له من المباح فلا كراهة ، كما أنّه لو علم تحصيله أو بعضه بحيث لا يتميّز من الحرام وجب اجتنابه. وفي حكمهم من لا يتورّع عن المحارم كالإماء ». وراجع : </w:t>
      </w:r>
      <w:r w:rsidR="00744A1C" w:rsidRPr="00877682">
        <w:rPr>
          <w:rStyle w:val="libFootnoteBoldChar"/>
          <w:rtl/>
        </w:rPr>
        <w:t>مسالك الأفهام</w:t>
      </w:r>
      <w:r w:rsidR="00744A1C">
        <w:rPr>
          <w:rtl/>
          <w:lang w:bidi="fa-IR"/>
        </w:rPr>
        <w:t xml:space="preserve"> ، ج 3 ، ص 134.</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367 ، ح 1057 ، معلّقاً عن الكليني </w:t>
      </w:r>
      <w:r w:rsidR="002812BC">
        <w:rPr>
          <w:rFonts w:hint="cs"/>
          <w:rtl/>
          <w:lang w:bidi="fa-IR"/>
        </w:rPr>
        <w:t>.</w:t>
      </w:r>
      <w:r w:rsidR="00744A1C" w:rsidRPr="00C24F9C">
        <w:rPr>
          <w:rStyle w:val="libFootnoteBoldChar"/>
          <w:rtl/>
        </w:rPr>
        <w:t>الوافي</w:t>
      </w:r>
      <w:r w:rsidR="00744A1C">
        <w:rPr>
          <w:rtl/>
          <w:lang w:bidi="fa-IR"/>
        </w:rPr>
        <w:t xml:space="preserve"> ، ج 17 ، ص 189 ، ح 17089 ؛ </w:t>
      </w:r>
      <w:r w:rsidR="00744A1C" w:rsidRPr="00C24F9C">
        <w:rPr>
          <w:rStyle w:val="libFootnoteBoldChar"/>
          <w:rtl/>
        </w:rPr>
        <w:t>الوسائل</w:t>
      </w:r>
      <w:r w:rsidR="00744A1C">
        <w:rPr>
          <w:rtl/>
          <w:lang w:bidi="fa-IR"/>
        </w:rPr>
        <w:t xml:space="preserve"> ، ج 17 ، ص 163 ، ح 22251.</w:t>
      </w:r>
    </w:p>
    <w:p w:rsidR="00744A1C" w:rsidRDefault="00E378DD" w:rsidP="00E378DD">
      <w:pPr>
        <w:pStyle w:val="libFootnote0"/>
        <w:rPr>
          <w:lang w:bidi="fa-IR"/>
        </w:rPr>
      </w:pPr>
      <w:r>
        <w:rPr>
          <w:rtl/>
          <w:lang w:bidi="fa-IR"/>
        </w:rPr>
        <w:t>(3).</w:t>
      </w:r>
      <w:r w:rsidR="00744A1C">
        <w:rPr>
          <w:rtl/>
          <w:lang w:bidi="fa-IR"/>
        </w:rPr>
        <w:t xml:space="preserve"> في </w:t>
      </w:r>
      <w:r w:rsidR="00744A1C" w:rsidRPr="002812BC">
        <w:rPr>
          <w:rtl/>
        </w:rPr>
        <w:t>الوسائل</w:t>
      </w:r>
      <w:r w:rsidR="00744A1C">
        <w:rPr>
          <w:rtl/>
          <w:lang w:bidi="fa-IR"/>
        </w:rPr>
        <w:t xml:space="preserve"> ، ح 22439 و 32196 </w:t>
      </w:r>
      <w:r w:rsidR="00744A1C" w:rsidRPr="002812BC">
        <w:rPr>
          <w:rStyle w:val="libFootnoteBoldChar"/>
          <w:rtl/>
        </w:rPr>
        <w:t>والف</w:t>
      </w:r>
      <w:r w:rsidR="00744A1C" w:rsidRPr="00C24F9C">
        <w:rPr>
          <w:rStyle w:val="libFootnoteBoldChar"/>
          <w:rtl/>
        </w:rPr>
        <w:t>قيه</w:t>
      </w:r>
      <w:r w:rsidR="00744A1C">
        <w:rPr>
          <w:rtl/>
          <w:lang w:bidi="fa-IR"/>
        </w:rPr>
        <w:t xml:space="preserve"> ، ح 4945 : + « أكل ».</w:t>
      </w:r>
    </w:p>
    <w:tbl>
      <w:tblPr>
        <w:tblStyle w:val="TableGrid"/>
        <w:bidiVisual/>
        <w:tblW w:w="0" w:type="auto"/>
        <w:tblLook w:val="04A0" w:firstRow="1" w:lastRow="0" w:firstColumn="1" w:lastColumn="0" w:noHBand="0" w:noVBand="1"/>
      </w:tblPr>
      <w:tblGrid>
        <w:gridCol w:w="4006"/>
        <w:gridCol w:w="4006"/>
      </w:tblGrid>
      <w:tr w:rsidR="002812BC" w:rsidTr="002812BC">
        <w:tc>
          <w:tcPr>
            <w:tcW w:w="4006" w:type="dxa"/>
          </w:tcPr>
          <w:p w:rsidR="002812BC" w:rsidRDefault="002812BC" w:rsidP="00E378DD">
            <w:pPr>
              <w:pStyle w:val="libFootnote0"/>
              <w:rPr>
                <w:rtl/>
                <w:lang w:bidi="fa-IR"/>
              </w:rPr>
            </w:pPr>
            <w:r>
              <w:rPr>
                <w:rtl/>
                <w:lang w:bidi="fa-IR"/>
              </w:rPr>
              <w:t xml:space="preserve">(4). في </w:t>
            </w:r>
            <w:r w:rsidRPr="002812BC">
              <w:rPr>
                <w:rtl/>
              </w:rPr>
              <w:t>الوسائل</w:t>
            </w:r>
            <w:r>
              <w:rPr>
                <w:rtl/>
                <w:lang w:bidi="fa-IR"/>
              </w:rPr>
              <w:t xml:space="preserve"> ، ح 32196 : « عقوبتين ».</w:t>
            </w:r>
          </w:p>
        </w:tc>
        <w:tc>
          <w:tcPr>
            <w:tcW w:w="4006" w:type="dxa"/>
          </w:tcPr>
          <w:p w:rsidR="002812BC" w:rsidRDefault="002812BC" w:rsidP="00E378DD">
            <w:pPr>
              <w:pStyle w:val="libFootnote0"/>
              <w:rPr>
                <w:rtl/>
                <w:lang w:bidi="fa-IR"/>
              </w:rPr>
            </w:pPr>
            <w:r>
              <w:rPr>
                <w:rtl/>
                <w:lang w:bidi="fa-IR"/>
              </w:rPr>
              <w:t xml:space="preserve">(5). في </w:t>
            </w:r>
            <w:r w:rsidRPr="002812BC">
              <w:rPr>
                <w:rtl/>
              </w:rPr>
              <w:t>البحار</w:t>
            </w:r>
            <w:r>
              <w:rPr>
                <w:rtl/>
                <w:lang w:bidi="fa-IR"/>
              </w:rPr>
              <w:t xml:space="preserve"> : « الآخر ».</w:t>
            </w:r>
          </w:p>
        </w:tc>
      </w:tr>
      <w:tr w:rsidR="002812BC" w:rsidTr="002812BC">
        <w:tc>
          <w:tcPr>
            <w:tcW w:w="4006" w:type="dxa"/>
          </w:tcPr>
          <w:p w:rsidR="002812BC" w:rsidRDefault="002812BC" w:rsidP="00E378DD">
            <w:pPr>
              <w:pStyle w:val="libFootnote0"/>
              <w:rPr>
                <w:rtl/>
                <w:lang w:bidi="fa-IR"/>
              </w:rPr>
            </w:pPr>
            <w:r>
              <w:rPr>
                <w:rtl/>
                <w:lang w:bidi="fa-IR"/>
              </w:rPr>
              <w:t>(6). في « جن » : - « النار ».</w:t>
            </w:r>
          </w:p>
        </w:tc>
        <w:tc>
          <w:tcPr>
            <w:tcW w:w="4006" w:type="dxa"/>
          </w:tcPr>
          <w:p w:rsidR="002812BC" w:rsidRDefault="002812BC" w:rsidP="00E378DD">
            <w:pPr>
              <w:pStyle w:val="libFootnote0"/>
              <w:rPr>
                <w:rtl/>
                <w:lang w:bidi="fa-IR"/>
              </w:rPr>
            </w:pPr>
            <w:r>
              <w:rPr>
                <w:rtl/>
                <w:lang w:bidi="fa-IR"/>
              </w:rPr>
              <w:t>(7). النساء (4) : 9.</w:t>
            </w:r>
          </w:p>
        </w:tc>
      </w:tr>
      <w:tr w:rsidR="002812BC" w:rsidTr="002812BC">
        <w:tc>
          <w:tcPr>
            <w:tcW w:w="4006" w:type="dxa"/>
          </w:tcPr>
          <w:p w:rsidR="002812BC" w:rsidRDefault="002812BC" w:rsidP="00E378DD">
            <w:pPr>
              <w:pStyle w:val="libFootnote0"/>
              <w:rPr>
                <w:rtl/>
                <w:lang w:bidi="fa-IR"/>
              </w:rPr>
            </w:pPr>
            <w:r>
              <w:rPr>
                <w:rtl/>
                <w:lang w:bidi="fa-IR"/>
              </w:rPr>
              <w:t xml:space="preserve">(8). في « بف » </w:t>
            </w:r>
            <w:r w:rsidRPr="002812BC">
              <w:rPr>
                <w:rtl/>
              </w:rPr>
              <w:t>والوافي</w:t>
            </w:r>
            <w:r>
              <w:rPr>
                <w:rtl/>
                <w:lang w:bidi="fa-IR"/>
              </w:rPr>
              <w:t xml:space="preserve"> : « أن خلفه ».</w:t>
            </w:r>
          </w:p>
        </w:tc>
        <w:tc>
          <w:tcPr>
            <w:tcW w:w="4006" w:type="dxa"/>
          </w:tcPr>
          <w:p w:rsidR="002812BC" w:rsidRDefault="002812BC" w:rsidP="00E378DD">
            <w:pPr>
              <w:pStyle w:val="libFootnote0"/>
              <w:rPr>
                <w:rtl/>
                <w:lang w:bidi="fa-IR"/>
              </w:rPr>
            </w:pPr>
            <w:r>
              <w:rPr>
                <w:rtl/>
                <w:lang w:bidi="fa-IR"/>
              </w:rPr>
              <w:t xml:space="preserve">(9). في </w:t>
            </w:r>
            <w:r w:rsidRPr="00E834A2">
              <w:rPr>
                <w:rtl/>
              </w:rPr>
              <w:t>الوافي</w:t>
            </w:r>
            <w:r>
              <w:rPr>
                <w:rtl/>
                <w:lang w:bidi="fa-IR"/>
              </w:rPr>
              <w:t xml:space="preserve"> : « ذرّيّة ».</w:t>
            </w:r>
          </w:p>
        </w:tc>
      </w:tr>
    </w:tbl>
    <w:p w:rsidR="00744A1C" w:rsidRDefault="00E378DD" w:rsidP="00E378DD">
      <w:pPr>
        <w:pStyle w:val="libFootnote0"/>
        <w:rPr>
          <w:lang w:bidi="fa-IR"/>
        </w:rPr>
      </w:pPr>
      <w:r>
        <w:rPr>
          <w:rtl/>
          <w:lang w:bidi="fa-IR"/>
        </w:rPr>
        <w:t>(10).</w:t>
      </w:r>
      <w:r w:rsidR="00744A1C">
        <w:rPr>
          <w:rtl/>
          <w:lang w:bidi="fa-IR"/>
        </w:rPr>
        <w:t xml:space="preserve"> في « بخ ، بف » : « لهؤلاء ».</w:t>
      </w:r>
    </w:p>
    <w:p w:rsidR="00144FA6" w:rsidRDefault="00E378DD" w:rsidP="00E378DD">
      <w:pPr>
        <w:pStyle w:val="libFootnote0"/>
        <w:rPr>
          <w:rtl/>
          <w:lang w:bidi="fa-IR"/>
        </w:rPr>
      </w:pPr>
      <w:r>
        <w:rPr>
          <w:rtl/>
          <w:lang w:bidi="fa-IR"/>
        </w:rPr>
        <w:t>(11).</w:t>
      </w:r>
      <w:r w:rsidR="00744A1C">
        <w:rPr>
          <w:rtl/>
          <w:lang w:bidi="fa-IR"/>
        </w:rPr>
        <w:t xml:space="preserve"> </w:t>
      </w:r>
      <w:r w:rsidR="00744A1C" w:rsidRPr="00C24F9C">
        <w:rPr>
          <w:rStyle w:val="libFootnoteBoldChar"/>
          <w:rtl/>
        </w:rPr>
        <w:t>الفقيه</w:t>
      </w:r>
      <w:r w:rsidR="00744A1C">
        <w:rPr>
          <w:rtl/>
          <w:lang w:bidi="fa-IR"/>
        </w:rPr>
        <w:t xml:space="preserve"> ، ج 3 ، ص 569 ، ح 4945 ؛ </w:t>
      </w:r>
      <w:r w:rsidR="00744A1C" w:rsidRPr="004D054E">
        <w:rPr>
          <w:rStyle w:val="libFootnoteBoldChar"/>
          <w:rtl/>
        </w:rPr>
        <w:t>وثواب الأعمال</w:t>
      </w:r>
      <w:r w:rsidR="00744A1C">
        <w:rPr>
          <w:rtl/>
          <w:lang w:bidi="fa-IR"/>
        </w:rPr>
        <w:t xml:space="preserve"> ، ص 278 ، ح 2 ، بسندهما عن سماعة بن مهران ، من دون التصريح باسم المعصوم </w:t>
      </w:r>
      <w:r w:rsidR="0061079A" w:rsidRPr="0061079A">
        <w:rPr>
          <w:rStyle w:val="libFootnoteAlaemChar"/>
          <w:rtl/>
        </w:rPr>
        <w:t>عليه‌السلام</w:t>
      </w:r>
      <w:r w:rsidR="00744A1C">
        <w:rPr>
          <w:rtl/>
          <w:lang w:bidi="fa-IR"/>
        </w:rPr>
        <w:t xml:space="preserve"> . </w:t>
      </w:r>
      <w:r w:rsidR="00744A1C" w:rsidRPr="00E834A2">
        <w:rPr>
          <w:rStyle w:val="libFootnoteBoldChar"/>
          <w:rtl/>
        </w:rPr>
        <w:t>ثواب الأعمال</w:t>
      </w:r>
      <w:r w:rsidR="00744A1C">
        <w:rPr>
          <w:rtl/>
          <w:lang w:bidi="fa-IR"/>
        </w:rPr>
        <w:t xml:space="preserve"> ، ص 277 ، ح 1 ، بسند آخر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عن كتاب عليّ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وفي </w:t>
      </w:r>
      <w:r w:rsidR="00744A1C" w:rsidRPr="00C24F9C">
        <w:rPr>
          <w:rStyle w:val="libFootnoteBoldChar"/>
          <w:rtl/>
        </w:rPr>
        <w:t>الفقيه</w:t>
      </w:r>
      <w:r w:rsidR="00744A1C">
        <w:rPr>
          <w:rtl/>
          <w:lang w:bidi="fa-IR"/>
        </w:rPr>
        <w:t xml:space="preserve"> ، ج 3 ، ص 565 ، ضمن الحديث الطويل 4934 ؛ </w:t>
      </w:r>
      <w:r w:rsidR="00744A1C" w:rsidRPr="00E834A2">
        <w:rPr>
          <w:rStyle w:val="libFootnoteBoldChar"/>
          <w:rtl/>
        </w:rPr>
        <w:t>وع</w:t>
      </w:r>
      <w:r w:rsidR="00744A1C" w:rsidRPr="00877682">
        <w:rPr>
          <w:rStyle w:val="libFootnoteBoldChar"/>
          <w:rtl/>
        </w:rPr>
        <w:t>يون الأخبار</w:t>
      </w:r>
      <w:r w:rsidR="00744A1C">
        <w:rPr>
          <w:rtl/>
          <w:lang w:bidi="fa-IR"/>
        </w:rPr>
        <w:t xml:space="preserve"> ، ج 2 ، ص 92 ، ضمن الحديث الطويل 1 ؛ </w:t>
      </w:r>
      <w:r w:rsidR="00744A1C" w:rsidRPr="00E834A2">
        <w:rPr>
          <w:rStyle w:val="libFootnoteBoldChar"/>
          <w:rtl/>
        </w:rPr>
        <w:t>وع</w:t>
      </w:r>
      <w:r w:rsidR="00744A1C" w:rsidRPr="003A7143">
        <w:rPr>
          <w:rStyle w:val="libFootnoteBoldChar"/>
          <w:rtl/>
        </w:rPr>
        <w:t>لل الشرائع</w:t>
      </w:r>
      <w:r w:rsidR="00744A1C">
        <w:rPr>
          <w:rtl/>
          <w:lang w:bidi="fa-IR"/>
        </w:rPr>
        <w:t xml:space="preserve"> ، ص 480 ، ذيل ح 1 ، بسند آخر عن الرضا ، عن أبي جعفر </w:t>
      </w:r>
      <w:r w:rsidR="00F112A7" w:rsidRPr="00CE5A92">
        <w:rPr>
          <w:rStyle w:val="libFootnoteAlaemChar"/>
          <w:rtl/>
        </w:rPr>
        <w:t>عليهما‌السلام</w:t>
      </w:r>
      <w:r w:rsidR="00744A1C">
        <w:rPr>
          <w:rtl/>
          <w:lang w:bidi="fa-IR"/>
        </w:rPr>
        <w:t>، مع</w:t>
      </w:r>
      <w:r w:rsidR="00E834A2">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8596 / 2. عَلِيُّ بْنُ إِبْرَاهِيمَ ، عَنْ أَبِيهِ ، عَنِ ابْنِ أَبِي عُمَيْرٍ ، عَنْ هِشَامِ بْنِ سَالِمٍ ، عَنْ عَجْلَانَ أَبِي </w:t>
      </w:r>
      <w:r w:rsidRPr="00D10E3C">
        <w:rPr>
          <w:rStyle w:val="libFootnotenumChar"/>
          <w:rtl/>
        </w:rPr>
        <w:t>(1)</w:t>
      </w:r>
      <w:r>
        <w:rPr>
          <w:rtl/>
          <w:lang w:bidi="fa-IR"/>
        </w:rPr>
        <w:t xml:space="preserve"> صَالِحٍ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عَنْ أَكْلِ مَالِ الْيَتِيمِ؟</w:t>
      </w:r>
    </w:p>
    <w:p w:rsidR="00744A1C" w:rsidRDefault="00744A1C" w:rsidP="00744A1C">
      <w:pPr>
        <w:pStyle w:val="libNormal"/>
        <w:rPr>
          <w:lang w:bidi="fa-IR"/>
        </w:rPr>
      </w:pPr>
      <w:r>
        <w:rPr>
          <w:rtl/>
          <w:lang w:bidi="fa-IR"/>
        </w:rPr>
        <w:t xml:space="preserve">فَقَالَ : « هُوَ كَمَا قَالَ اللهُ عَزَّ وَجَلَّ : </w:t>
      </w:r>
      <w:r w:rsidRPr="00E834A2">
        <w:rPr>
          <w:rStyle w:val="libAlaemChar"/>
          <w:rtl/>
        </w:rPr>
        <w:t>(</w:t>
      </w:r>
      <w:r w:rsidRPr="00E834A2">
        <w:rPr>
          <w:rStyle w:val="libAieChar"/>
          <w:rtl/>
        </w:rPr>
        <w:t xml:space="preserve"> إِنَّ الَّذِينَ يَأْكُلُونَ أَمْوالَ الْيَتامى ظُلْماً </w:t>
      </w:r>
      <w:r w:rsidRPr="00E834A2">
        <w:rPr>
          <w:rStyle w:val="libFootnotenumChar"/>
          <w:rtl/>
        </w:rPr>
        <w:t>(2)</w:t>
      </w:r>
      <w:r w:rsidRPr="00E834A2">
        <w:rPr>
          <w:rStyle w:val="libAieChar"/>
          <w:rtl/>
        </w:rPr>
        <w:t xml:space="preserve"> إِنَّما يَأْكُلُونَ فِي بُطُونِهِمْ ناراً وَسَيَصْلَوْنَ سَعِيراً </w:t>
      </w:r>
      <w:r w:rsidRPr="00E834A2">
        <w:rPr>
          <w:rStyle w:val="libAlaemChar"/>
          <w:rtl/>
        </w:rPr>
        <w:t>)</w:t>
      </w:r>
      <w:r>
        <w:rPr>
          <w:rtl/>
          <w:lang w:bidi="fa-IR"/>
        </w:rPr>
        <w:t xml:space="preserve"> </w:t>
      </w:r>
      <w:r w:rsidRPr="00D10E3C">
        <w:rPr>
          <w:rStyle w:val="libFootnotenumChar"/>
          <w:rtl/>
        </w:rPr>
        <w:t>(3)</w:t>
      </w:r>
      <w:r>
        <w:rPr>
          <w:rtl/>
          <w:lang w:bidi="fa-IR"/>
        </w:rPr>
        <w:t xml:space="preserve"> ».</w:t>
      </w:r>
    </w:p>
    <w:p w:rsidR="00744A1C" w:rsidRDefault="00744A1C" w:rsidP="00744A1C">
      <w:pPr>
        <w:pStyle w:val="libNormal"/>
        <w:rPr>
          <w:lang w:bidi="fa-IR"/>
        </w:rPr>
      </w:pPr>
      <w:r>
        <w:rPr>
          <w:rtl/>
          <w:lang w:bidi="fa-IR"/>
        </w:rPr>
        <w:t xml:space="preserve">ثُمَّ قَالَ مِنْ غَيْرِ أَنْ أَسْأَلَهُ : « مَنْ عَالَ يَتِيماً حَتّى يَنْقَطِعَ يُتْمُهُ </w:t>
      </w:r>
      <w:r w:rsidRPr="00D10E3C">
        <w:rPr>
          <w:rStyle w:val="libFootnotenumChar"/>
          <w:rtl/>
        </w:rPr>
        <w:t>(4)</w:t>
      </w:r>
      <w:r>
        <w:rPr>
          <w:rtl/>
          <w:lang w:bidi="fa-IR"/>
        </w:rPr>
        <w:t xml:space="preserve"> ، أَوْ يَسْتَغْنِيَ‌</w:t>
      </w:r>
    </w:p>
    <w:p w:rsidR="00744A1C" w:rsidRDefault="00744A1C" w:rsidP="00D10E3C">
      <w:pPr>
        <w:pStyle w:val="libLine"/>
        <w:rPr>
          <w:lang w:bidi="fa-IR"/>
        </w:rPr>
      </w:pPr>
      <w:r>
        <w:rPr>
          <w:rtl/>
          <w:lang w:bidi="fa-IR"/>
        </w:rPr>
        <w:t>____________________</w:t>
      </w:r>
    </w:p>
    <w:p w:rsidR="00744A1C" w:rsidRDefault="00E834A2" w:rsidP="00D10E3C">
      <w:pPr>
        <w:pStyle w:val="libFootnote0"/>
        <w:rPr>
          <w:lang w:bidi="fa-IR"/>
        </w:rPr>
      </w:pPr>
      <w:r>
        <w:rPr>
          <w:rFonts w:hint="cs"/>
          <w:rtl/>
          <w:lang w:bidi="fa-IR"/>
        </w:rPr>
        <w:t xml:space="preserve">= </w:t>
      </w:r>
      <w:r w:rsidR="00744A1C">
        <w:rPr>
          <w:rtl/>
          <w:lang w:bidi="fa-IR"/>
        </w:rPr>
        <w:t xml:space="preserve">اختلاف يسير. </w:t>
      </w:r>
      <w:r w:rsidR="00744A1C" w:rsidRPr="00A914B5">
        <w:rPr>
          <w:rStyle w:val="libFootnoteBoldChar"/>
          <w:rtl/>
        </w:rPr>
        <w:t>تفسير العيّاشي</w:t>
      </w:r>
      <w:r w:rsidR="00744A1C">
        <w:rPr>
          <w:rtl/>
          <w:lang w:bidi="fa-IR"/>
        </w:rPr>
        <w:t xml:space="preserve"> ، ج 1 ، ص 223 ، ح 38 ، عن سماعة ، عن أبي عبد الله أو أبي الحسن </w:t>
      </w:r>
      <w:r w:rsidR="00F112A7" w:rsidRPr="00CE5A92">
        <w:rPr>
          <w:rStyle w:val="libFootnoteAlaemChar"/>
          <w:rtl/>
        </w:rPr>
        <w:t>عليهما‌السلام</w:t>
      </w:r>
      <w:r w:rsidR="00744A1C">
        <w:rPr>
          <w:rtl/>
          <w:lang w:bidi="fa-IR"/>
        </w:rPr>
        <w:t xml:space="preserve">؛ </w:t>
      </w:r>
      <w:r w:rsidR="00744A1C" w:rsidRPr="00E834A2">
        <w:rPr>
          <w:rStyle w:val="libFootnoteBoldChar"/>
          <w:rtl/>
        </w:rPr>
        <w:t>وفيه</w:t>
      </w:r>
      <w:r w:rsidR="00744A1C">
        <w:rPr>
          <w:rtl/>
          <w:lang w:bidi="fa-IR"/>
        </w:rPr>
        <w:t xml:space="preserve"> ، ح 39 ، عن الحلبي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عن كتاب عليّ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راجع : </w:t>
      </w:r>
      <w:r w:rsidR="00744A1C" w:rsidRPr="00C24F9C">
        <w:rPr>
          <w:rStyle w:val="libFootnoteBoldChar"/>
          <w:rtl/>
        </w:rPr>
        <w:t>الفقيه</w:t>
      </w:r>
      <w:r w:rsidR="00744A1C">
        <w:rPr>
          <w:rtl/>
          <w:lang w:bidi="fa-IR"/>
        </w:rPr>
        <w:t xml:space="preserve"> ، ج 3 ، ص 173 ، ح 3652 ؛ </w:t>
      </w:r>
      <w:r w:rsidR="00744A1C" w:rsidRPr="00E834A2">
        <w:rPr>
          <w:rStyle w:val="libFootnoteBoldChar"/>
          <w:rtl/>
        </w:rPr>
        <w:t>وتف</w:t>
      </w:r>
      <w:r w:rsidR="00744A1C" w:rsidRPr="00610FB4">
        <w:rPr>
          <w:rStyle w:val="libFootnoteBoldChar"/>
          <w:rtl/>
        </w:rPr>
        <w:t>سير القمّي</w:t>
      </w:r>
      <w:r w:rsidR="00744A1C">
        <w:rPr>
          <w:rtl/>
          <w:lang w:bidi="fa-IR"/>
        </w:rPr>
        <w:t xml:space="preserve"> ، ج 1 ، ص 131 ؛ </w:t>
      </w:r>
      <w:r w:rsidR="00744A1C" w:rsidRPr="004D054E">
        <w:rPr>
          <w:rStyle w:val="libFootnoteBoldChar"/>
          <w:rtl/>
        </w:rPr>
        <w:t>وثواب الأعمال</w:t>
      </w:r>
      <w:r w:rsidR="00744A1C">
        <w:rPr>
          <w:rtl/>
          <w:lang w:bidi="fa-IR"/>
        </w:rPr>
        <w:t xml:space="preserve"> ، ص 278 ، ح 3 </w:t>
      </w:r>
      <w:r>
        <w:rPr>
          <w:rFonts w:hint="cs"/>
          <w:rtl/>
          <w:lang w:bidi="fa-IR"/>
        </w:rPr>
        <w:t>.</w:t>
      </w:r>
      <w:r w:rsidR="00744A1C" w:rsidRPr="00C24F9C">
        <w:rPr>
          <w:rStyle w:val="libFootnoteBoldChar"/>
          <w:rtl/>
        </w:rPr>
        <w:t>الوافي</w:t>
      </w:r>
      <w:r w:rsidR="00744A1C">
        <w:rPr>
          <w:rtl/>
          <w:lang w:bidi="fa-IR"/>
        </w:rPr>
        <w:t xml:space="preserve"> ، ج 17 ، ص 189 ، ح 17089 ؛ </w:t>
      </w:r>
      <w:r w:rsidR="00744A1C" w:rsidRPr="00C24F9C">
        <w:rPr>
          <w:rStyle w:val="libFootnoteBoldChar"/>
          <w:rtl/>
        </w:rPr>
        <w:t>الوسائل</w:t>
      </w:r>
      <w:r w:rsidR="00744A1C">
        <w:rPr>
          <w:rtl/>
          <w:lang w:bidi="fa-IR"/>
        </w:rPr>
        <w:t xml:space="preserve"> ، ج 17 ، ص 245 ، ح 22439 ؛ وج 25 ، ص 388 ، ح 32196 ؛ </w:t>
      </w:r>
      <w:r w:rsidR="00744A1C" w:rsidRPr="0061079A">
        <w:rPr>
          <w:rStyle w:val="libFootnoteBoldChar"/>
          <w:rtl/>
        </w:rPr>
        <w:t>البحار</w:t>
      </w:r>
      <w:r w:rsidR="00744A1C">
        <w:rPr>
          <w:rtl/>
          <w:lang w:bidi="fa-IR"/>
        </w:rPr>
        <w:t xml:space="preserve"> ، ج 79 ، ص 271 ، ح 15.</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بن » بدل « أبي ». والمذكور في الأسناد وكتب الرجال عجلان أبوصالح. راجع : </w:t>
      </w:r>
      <w:r w:rsidR="00744A1C" w:rsidRPr="0061079A">
        <w:rPr>
          <w:rStyle w:val="libFootnoteBoldChar"/>
          <w:rtl/>
        </w:rPr>
        <w:t>معجم رجال الحديث</w:t>
      </w:r>
      <w:r w:rsidR="00744A1C">
        <w:rPr>
          <w:rtl/>
          <w:lang w:bidi="fa-IR"/>
        </w:rPr>
        <w:t xml:space="preserve"> ، ج 11 ، ص 132 ، الرقم 7638.</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19 ، ص 95 : « قوله تعالى : </w:t>
      </w:r>
      <w:r w:rsidR="00744A1C" w:rsidRPr="00E834A2">
        <w:rPr>
          <w:rStyle w:val="libFootnoteAlaemChar"/>
          <w:rtl/>
        </w:rPr>
        <w:t>(</w:t>
      </w:r>
      <w:r w:rsidR="00744A1C" w:rsidRPr="00E834A2">
        <w:rPr>
          <w:rStyle w:val="libFootnoteAieChar"/>
          <w:rtl/>
        </w:rPr>
        <w:t xml:space="preserve"> ظُلْماً </w:t>
      </w:r>
      <w:r w:rsidR="00744A1C" w:rsidRPr="00E834A2">
        <w:rPr>
          <w:rStyle w:val="libFootnoteAlaemChar"/>
          <w:rtl/>
        </w:rPr>
        <w:t>)</w:t>
      </w:r>
      <w:r w:rsidR="00744A1C">
        <w:rPr>
          <w:rtl/>
          <w:lang w:bidi="fa-IR"/>
        </w:rPr>
        <w:t xml:space="preserve"> ، قال المحقّق الأردبيلي </w:t>
      </w:r>
      <w:r w:rsidR="00877682" w:rsidRPr="00877682">
        <w:rPr>
          <w:rStyle w:val="libFootnoteAlaemChar"/>
          <w:rtl/>
        </w:rPr>
        <w:t>رحمه‌الله</w:t>
      </w:r>
      <w:r w:rsidR="00744A1C">
        <w:rPr>
          <w:rtl/>
          <w:lang w:bidi="fa-IR"/>
        </w:rPr>
        <w:t>: يحتمل أن يكون حالاً وتمييزاً. ويحتمل أن يكون المراد بالأكل التصرّف مطلقاً ، كما هو شائع. ولعلّ ذكر البطن للتأكيد ، مثل</w:t>
      </w:r>
      <w:r w:rsidR="00E834A2">
        <w:rPr>
          <w:rFonts w:hint="cs"/>
          <w:rtl/>
          <w:lang w:bidi="fa-IR"/>
        </w:rPr>
        <w:t xml:space="preserve"> </w:t>
      </w:r>
      <w:r w:rsidR="00744A1C" w:rsidRPr="00E834A2">
        <w:rPr>
          <w:rStyle w:val="libFootnoteAlaemChar"/>
          <w:rtl/>
        </w:rPr>
        <w:t>(</w:t>
      </w:r>
      <w:r w:rsidR="00744A1C" w:rsidRPr="00E834A2">
        <w:rPr>
          <w:rStyle w:val="libFootnoteAieChar"/>
          <w:rtl/>
        </w:rPr>
        <w:t xml:space="preserve"> يَطِيرُ بِجَناحَيْهِ </w:t>
      </w:r>
      <w:r w:rsidR="00744A1C" w:rsidRPr="00E834A2">
        <w:rPr>
          <w:rStyle w:val="libFootnoteAlaemChar"/>
          <w:rtl/>
        </w:rPr>
        <w:t>)</w:t>
      </w:r>
      <w:r w:rsidR="00744A1C">
        <w:rPr>
          <w:rtl/>
          <w:lang w:bidi="fa-IR"/>
        </w:rPr>
        <w:t xml:space="preserve"> [ الأنعام </w:t>
      </w:r>
      <w:r>
        <w:rPr>
          <w:rtl/>
          <w:lang w:bidi="fa-IR"/>
        </w:rPr>
        <w:t>(6).</w:t>
      </w:r>
      <w:r w:rsidR="00744A1C">
        <w:rPr>
          <w:rtl/>
          <w:lang w:bidi="fa-IR"/>
        </w:rPr>
        <w:t xml:space="preserve"> : 38 ] أي إنّما يأكل ما يوجب النار ، أو هو كناية عن دخول النار ».</w:t>
      </w:r>
    </w:p>
    <w:p w:rsidR="00744A1C" w:rsidRDefault="00E378DD" w:rsidP="00E378DD">
      <w:pPr>
        <w:pStyle w:val="libFootnote0"/>
        <w:rPr>
          <w:lang w:bidi="fa-IR"/>
        </w:rPr>
      </w:pPr>
      <w:r>
        <w:rPr>
          <w:rtl/>
          <w:lang w:bidi="fa-IR"/>
        </w:rPr>
        <w:t>(3).</w:t>
      </w:r>
      <w:r w:rsidR="00744A1C">
        <w:rPr>
          <w:rtl/>
          <w:lang w:bidi="fa-IR"/>
        </w:rPr>
        <w:t xml:space="preserve"> النساء </w:t>
      </w:r>
      <w:r w:rsidR="00E834A2">
        <w:rPr>
          <w:rtl/>
          <w:lang w:bidi="fa-IR"/>
        </w:rPr>
        <w:t>(4)</w:t>
      </w:r>
      <w:r w:rsidR="00744A1C">
        <w:rPr>
          <w:rtl/>
          <w:lang w:bidi="fa-IR"/>
        </w:rPr>
        <w:t xml:space="preserve"> : 10.</w:t>
      </w:r>
    </w:p>
    <w:p w:rsidR="00744A1C" w:rsidRDefault="00E378DD" w:rsidP="00E378DD">
      <w:pPr>
        <w:pStyle w:val="libFootnote0"/>
        <w:rPr>
          <w:lang w:bidi="fa-IR"/>
        </w:rPr>
      </w:pPr>
      <w:r>
        <w:rPr>
          <w:rtl/>
          <w:lang w:bidi="fa-IR"/>
        </w:rPr>
        <w:t>(4).</w:t>
      </w:r>
      <w:r w:rsidR="00744A1C">
        <w:rPr>
          <w:rtl/>
          <w:lang w:bidi="fa-IR"/>
        </w:rPr>
        <w:t xml:space="preserve"> اليُتْم في الناس : فقد الصبيّ أباه قبل البلوغ ، وفي الدوابّ فقد الا</w:t>
      </w:r>
      <w:r w:rsidR="00E834A2">
        <w:rPr>
          <w:rFonts w:hint="cs"/>
          <w:rtl/>
          <w:lang w:bidi="fa-IR"/>
        </w:rPr>
        <w:t>ُ</w:t>
      </w:r>
      <w:r w:rsidR="00744A1C">
        <w:rPr>
          <w:rtl/>
          <w:lang w:bidi="fa-IR"/>
        </w:rPr>
        <w:t xml:space="preserve">مّ. وأصل اليتم - بالضمّ والفتح - : الانفراد ، وقيل : الغفلة. </w:t>
      </w:r>
      <w:r w:rsidR="00744A1C" w:rsidRPr="00877682">
        <w:rPr>
          <w:rStyle w:val="libFootnoteBoldChar"/>
          <w:rtl/>
        </w:rPr>
        <w:t>النهاية</w:t>
      </w:r>
      <w:r w:rsidR="00744A1C">
        <w:rPr>
          <w:rtl/>
          <w:lang w:bidi="fa-IR"/>
        </w:rPr>
        <w:t xml:space="preserve"> ، ج 5 ، ص 291 ( يتم ).</w:t>
      </w:r>
    </w:p>
    <w:p w:rsidR="00144FA6" w:rsidRDefault="00744A1C" w:rsidP="00D10E3C">
      <w:pPr>
        <w:pStyle w:val="libFootnote0"/>
        <w:rPr>
          <w:rtl/>
          <w:lang w:bidi="fa-IR"/>
        </w:rPr>
      </w:pPr>
      <w:r>
        <w:rPr>
          <w:rtl/>
          <w:lang w:bidi="fa-IR"/>
        </w:rPr>
        <w:t xml:space="preserve">وقال المحقّق الشعراني في هامش </w:t>
      </w:r>
      <w:r w:rsidRPr="00C24F9C">
        <w:rPr>
          <w:rStyle w:val="libFootnoteBoldChar"/>
          <w:rtl/>
        </w:rPr>
        <w:t>الوافي</w:t>
      </w:r>
      <w:r>
        <w:rPr>
          <w:rtl/>
          <w:lang w:bidi="fa-IR"/>
        </w:rPr>
        <w:t xml:space="preserve"> :</w:t>
      </w:r>
    </w:p>
    <w:p w:rsidR="00744A1C" w:rsidRDefault="00744A1C" w:rsidP="00D10E3C">
      <w:pPr>
        <w:pStyle w:val="libFootnote0"/>
        <w:rPr>
          <w:lang w:bidi="fa-IR"/>
        </w:rPr>
      </w:pPr>
      <w:r>
        <w:rPr>
          <w:rtl/>
          <w:lang w:bidi="fa-IR"/>
        </w:rPr>
        <w:t xml:space="preserve">« قوله : مَنْ عالَ يَتيماً حتّى ينقطع يُتمُهُ ، هذا مطلق يشمل الوصيّ المنصوص من قبل الوليّ ، أو القيّم المنصوب من قبل الحاكم الشرعيّ ، أو الواحد من عدول المسلمين إذا تولّى ذلك. ويمكن أن يتوهّم شمول إطلاقه لجميع الناس ، فلا يشترط في صحّة عمله شي‌ء من إذن الحاكم أو نصّ الوليّ ، ومثله كثير في الأخبار لم يشر في شي‌ءٍ منها إلى إذن الحاكم الشرعي. ولعلّ الوجه فيه أنّ الفقهاء في عصر الأئمّة </w:t>
      </w:r>
      <w:r w:rsidR="00877682" w:rsidRPr="00877682">
        <w:rPr>
          <w:rStyle w:val="libFootnoteAlaemChar"/>
          <w:rtl/>
        </w:rPr>
        <w:t>عليهم‌السلام</w:t>
      </w:r>
      <w:r w:rsidR="00D10E3C">
        <w:rPr>
          <w:rtl/>
          <w:lang w:bidi="fa-IR"/>
        </w:rPr>
        <w:t xml:space="preserve"> </w:t>
      </w:r>
      <w:r>
        <w:rPr>
          <w:rtl/>
          <w:lang w:bidi="fa-IR"/>
        </w:rPr>
        <w:t xml:space="preserve">لم يكونوا متمكّنين من النظر غالباً ، وكان قضاة العامّة في كلّ بلد يداخلون في أمر الأيتام ، فكان التصريح بالاستيذان من الفقهاء لغواً غالباً ؛ لعدم إمكانه ولشدّة التقيّة ، ولا يدلّ سكوتهم </w:t>
      </w:r>
      <w:r w:rsidR="00877682" w:rsidRPr="00E834A2">
        <w:rPr>
          <w:rtl/>
        </w:rPr>
        <w:t>عليهم</w:t>
      </w:r>
      <w:r w:rsidR="00E834A2">
        <w:rPr>
          <w:rFonts w:hint="cs"/>
          <w:rtl/>
        </w:rPr>
        <w:t xml:space="preserve"> </w:t>
      </w:r>
      <w:r w:rsidR="00877682" w:rsidRPr="00E834A2">
        <w:rPr>
          <w:rtl/>
        </w:rPr>
        <w:t>‌السلام</w:t>
      </w:r>
      <w:r w:rsidR="00D10E3C">
        <w:rPr>
          <w:rtl/>
          <w:lang w:bidi="fa-IR"/>
        </w:rPr>
        <w:t xml:space="preserve"> </w:t>
      </w:r>
      <w:r>
        <w:rPr>
          <w:rtl/>
          <w:lang w:bidi="fa-IR"/>
        </w:rPr>
        <w:t xml:space="preserve">في الغالب على عدم الاحتياج. ويكفي في ذلك مثلُ قوله </w:t>
      </w:r>
      <w:r w:rsidR="0061079A" w:rsidRPr="0061079A">
        <w:rPr>
          <w:rStyle w:val="libFootnoteAlaemChar"/>
          <w:rtl/>
        </w:rPr>
        <w:t>عليه‌السلام</w:t>
      </w:r>
      <w:r w:rsidR="00D10E3C">
        <w:rPr>
          <w:rtl/>
          <w:lang w:bidi="fa-IR"/>
        </w:rPr>
        <w:t xml:space="preserve"> </w:t>
      </w:r>
      <w:r>
        <w:rPr>
          <w:rtl/>
          <w:lang w:bidi="fa-IR"/>
        </w:rPr>
        <w:t>في مقبولة عمر بن حنظلة : جعلتهُ حاكماً ، ودليلُ العقل وسيرة المسلمين من العامّة والخاصّة على عدم استقلال الناس في هذه الا</w:t>
      </w:r>
      <w:r w:rsidR="00E834A2">
        <w:rPr>
          <w:rFonts w:hint="cs"/>
          <w:rtl/>
          <w:lang w:bidi="fa-IR"/>
        </w:rPr>
        <w:t>ُ</w:t>
      </w:r>
      <w:r>
        <w:rPr>
          <w:rtl/>
          <w:lang w:bidi="fa-IR"/>
        </w:rPr>
        <w:t>مور.</w:t>
      </w:r>
      <w:r w:rsidR="00E834A2">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E834A2">
      <w:pPr>
        <w:pStyle w:val="libNormal0"/>
        <w:rPr>
          <w:rtl/>
          <w:lang w:bidi="fa-IR"/>
        </w:rPr>
      </w:pPr>
      <w:r>
        <w:rPr>
          <w:rtl/>
          <w:lang w:bidi="fa-IR"/>
        </w:rPr>
        <w:t xml:space="preserve">بِنَفْسِهِ ، أَوْجَبَ اللهُ - عَزَّ وَجَلَّ - لَهُ الْجَنَّةَ ، كَمَا أَوْجَبَ </w:t>
      </w:r>
      <w:r w:rsidRPr="00D10E3C">
        <w:rPr>
          <w:rStyle w:val="libFootnotenumChar"/>
          <w:rtl/>
        </w:rPr>
        <w:t>(1)</w:t>
      </w:r>
      <w:r>
        <w:rPr>
          <w:rtl/>
          <w:lang w:bidi="fa-IR"/>
        </w:rPr>
        <w:t xml:space="preserve"> النَّارَ لِمَنْ أَكَلَ مَالَ الْيَتِيمِ ». </w:t>
      </w:r>
      <w:r w:rsidRPr="00D10E3C">
        <w:rPr>
          <w:rStyle w:val="libFootnotenumChar"/>
          <w:rtl/>
        </w:rPr>
        <w:t>(2)</w:t>
      </w:r>
    </w:p>
    <w:p w:rsidR="00744A1C" w:rsidRDefault="00744A1C" w:rsidP="00D10E3C">
      <w:pPr>
        <w:pStyle w:val="libLine"/>
        <w:rPr>
          <w:lang w:bidi="fa-IR"/>
        </w:rPr>
      </w:pPr>
      <w:r>
        <w:rPr>
          <w:rtl/>
          <w:lang w:bidi="fa-IR"/>
        </w:rPr>
        <w:t>____________________</w:t>
      </w:r>
    </w:p>
    <w:p w:rsidR="00744A1C" w:rsidRDefault="00E834A2" w:rsidP="00D10E3C">
      <w:pPr>
        <w:pStyle w:val="libFootnote0"/>
        <w:rPr>
          <w:lang w:bidi="fa-IR"/>
        </w:rPr>
      </w:pPr>
      <w:r>
        <w:rPr>
          <w:rFonts w:hint="cs"/>
          <w:rtl/>
          <w:lang w:bidi="fa-IR"/>
        </w:rPr>
        <w:t xml:space="preserve">= </w:t>
      </w:r>
      <w:r w:rsidR="00744A1C">
        <w:rPr>
          <w:rtl/>
          <w:lang w:bidi="fa-IR"/>
        </w:rPr>
        <w:t>ويمكن أن يقال : إنّ شرط الإذن من الحاكم الشرعي لدفع التنازع ، كشرط العدالة في الوصيّ المنصوص للثقة وقبول خبره ، لا لنفوذ الأمر واقعاً ، فإن تصدّى الوصيّ الفاسق ولم يفسد ، جاز عمله واقعاً بينه وبين الله وإن لم يكف إخباره ولم يقبل القاضي الشرعي عمله ظاهراً إلاّ أن ينظر فيه فيرى إجازة الفضولي ، وكذلك إذا تصدّى رجل أمر اليتيم وأصلح ولم يستأذن الحاكم ولم يقع تنازع وتخاصم ، جاز أمره واقعاً ، وإنّما يكون إذن الحاكم لحفظ النظام ودفع التنازع ، ولا يختلّ بعدمه شرط من شروط البيع. والظاهر هو الأوّل ، وإن غيّر المأذون لا ينفّذ عمله مطلقاً.</w:t>
      </w:r>
    </w:p>
    <w:p w:rsidR="00744A1C" w:rsidRDefault="00744A1C" w:rsidP="00D10E3C">
      <w:pPr>
        <w:pStyle w:val="libFootnote0"/>
        <w:rPr>
          <w:lang w:bidi="fa-IR"/>
        </w:rPr>
      </w:pPr>
      <w:r>
        <w:rPr>
          <w:rtl/>
          <w:lang w:bidi="fa-IR"/>
        </w:rPr>
        <w:t xml:space="preserve">واستدلّ الشيخ المحقّق الأنصاري </w:t>
      </w:r>
      <w:r w:rsidR="00877682" w:rsidRPr="00877682">
        <w:rPr>
          <w:rStyle w:val="libFootnoteAlaemChar"/>
          <w:rtl/>
        </w:rPr>
        <w:t>رحمه‌الله</w:t>
      </w:r>
      <w:r w:rsidR="00E834A2" w:rsidRPr="00E834A2">
        <w:rPr>
          <w:rFonts w:hint="cs"/>
          <w:rtl/>
        </w:rPr>
        <w:t xml:space="preserve"> </w:t>
      </w:r>
      <w:r>
        <w:rPr>
          <w:rtl/>
          <w:lang w:bidi="fa-IR"/>
        </w:rPr>
        <w:t xml:space="preserve">بمرسلة </w:t>
      </w:r>
      <w:r w:rsidRPr="00E834A2">
        <w:rPr>
          <w:rStyle w:val="libFootnoteBoldChar"/>
          <w:rtl/>
        </w:rPr>
        <w:t>الاحتجاج</w:t>
      </w:r>
      <w:r>
        <w:rPr>
          <w:rtl/>
          <w:lang w:bidi="fa-IR"/>
        </w:rPr>
        <w:t xml:space="preserve"> وفيها : أمّا الحوادث الواقعة فارجعوا فيها إلى رواة. انتهى. والمرسل لا يحتجّ به و « الحوادث الواقعة » مجمل لا نعرفها ولا نعرف مقصود السائل من سؤاله ولا معنى الرجوع ، وهل هو لما يعتقده الشيعة من وجود المعصوم في كلّ عصر واحتياجهم إليه أو للإذن في التصرّف في مال الأيتام والقاصرين؟ والأول أظهر ؛ لأنّهم كانوا يرون الحاجة إلى السؤال عمّا أشكل عليهم من المسائل دائماً ، حتّى أنّ الصغار مع علمه وجلالته كاتب العسكريّ </w:t>
      </w:r>
      <w:r w:rsidR="0061079A" w:rsidRPr="0061079A">
        <w:rPr>
          <w:rStyle w:val="libFootnoteAlaemChar"/>
          <w:rtl/>
        </w:rPr>
        <w:t>عليه‌السلام</w:t>
      </w:r>
      <w:r w:rsidR="00D10E3C">
        <w:rPr>
          <w:rtl/>
          <w:lang w:bidi="fa-IR"/>
        </w:rPr>
        <w:t xml:space="preserve"> </w:t>
      </w:r>
      <w:r w:rsidR="00E834A2">
        <w:rPr>
          <w:rtl/>
          <w:lang w:bidi="fa-IR"/>
        </w:rPr>
        <w:t>مراراً ، والسائل لم</w:t>
      </w:r>
      <w:r w:rsidR="00E834A2">
        <w:rPr>
          <w:rFonts w:hint="cs"/>
          <w:rtl/>
          <w:lang w:bidi="fa-IR"/>
        </w:rPr>
        <w:t>ـّ</w:t>
      </w:r>
      <w:r>
        <w:rPr>
          <w:rtl/>
          <w:lang w:bidi="fa-IR"/>
        </w:rPr>
        <w:t xml:space="preserve">ا توحّش من الغيبة ؛ أعني الغيبة الصغرى ؛ لعدم وصولهم إلى الإمام </w:t>
      </w:r>
      <w:r w:rsidR="0061079A" w:rsidRPr="0061079A">
        <w:rPr>
          <w:rStyle w:val="libFootnoteAlaemChar"/>
          <w:rtl/>
        </w:rPr>
        <w:t>عليه‌السلام</w:t>
      </w:r>
      <w:r w:rsidR="00D10E3C">
        <w:rPr>
          <w:rtl/>
          <w:lang w:bidi="fa-IR"/>
        </w:rPr>
        <w:t xml:space="preserve"> </w:t>
      </w:r>
      <w:r>
        <w:rPr>
          <w:rtl/>
          <w:lang w:bidi="fa-IR"/>
        </w:rPr>
        <w:t xml:space="preserve">بالسهولة ، سأل عن تكليفهم في هذا الحال ، وليس السؤال عن حال الغيبة الكبرى ؛ لأنّ السائل كان قبل ذلك بنحو من أربعين سنة ، فأجاب </w:t>
      </w:r>
      <w:r w:rsidR="0061079A" w:rsidRPr="0061079A">
        <w:rPr>
          <w:rStyle w:val="libFootnoteAlaemChar"/>
          <w:rtl/>
        </w:rPr>
        <w:t>عليه‌السلام</w:t>
      </w:r>
      <w:r w:rsidR="00D10E3C">
        <w:rPr>
          <w:rtl/>
          <w:lang w:bidi="fa-IR"/>
        </w:rPr>
        <w:t xml:space="preserve"> </w:t>
      </w:r>
      <w:r>
        <w:rPr>
          <w:rtl/>
          <w:lang w:bidi="fa-IR"/>
        </w:rPr>
        <w:t>بأنّ في أيدي العلماء ما يكفيهم من الأحاديث.</w:t>
      </w:r>
    </w:p>
    <w:p w:rsidR="00744A1C" w:rsidRDefault="00744A1C" w:rsidP="00D10E3C">
      <w:pPr>
        <w:pStyle w:val="libFootnote0"/>
        <w:rPr>
          <w:lang w:bidi="fa-IR"/>
        </w:rPr>
      </w:pPr>
      <w:r>
        <w:rPr>
          <w:rtl/>
          <w:lang w:bidi="fa-IR"/>
        </w:rPr>
        <w:t>وقال الشيخ المحقّق الأنصاريّ : إنّ مثل إسحاق بن يعقوب - أي السائل في هذه المكاتبة - لم يكن يخفى عليه الرجوع إلى العلماء بالاستفتاء ، فليس سؤاله عنه.</w:t>
      </w:r>
    </w:p>
    <w:p w:rsidR="00744A1C" w:rsidRDefault="00744A1C" w:rsidP="00D10E3C">
      <w:pPr>
        <w:pStyle w:val="libFootnote0"/>
        <w:rPr>
          <w:lang w:bidi="fa-IR"/>
        </w:rPr>
      </w:pPr>
      <w:r>
        <w:rPr>
          <w:rtl/>
          <w:lang w:bidi="fa-IR"/>
        </w:rPr>
        <w:t>وفيه : أنّا لا نعرف إسحاق بن يعقوب ، ولا ذكر له في كتب الرجال ، ولا نعرف أنّه ممّن يخفى عن مثله هذه الا</w:t>
      </w:r>
      <w:r w:rsidR="00E834A2">
        <w:rPr>
          <w:rFonts w:hint="cs"/>
          <w:rtl/>
          <w:lang w:bidi="fa-IR"/>
        </w:rPr>
        <w:t>ُ</w:t>
      </w:r>
      <w:r>
        <w:rPr>
          <w:rtl/>
          <w:lang w:bidi="fa-IR"/>
        </w:rPr>
        <w:t xml:space="preserve">مور أو لا يخفى ، ولعلّ الشيخ اطّلع على حاله فيما لم يطّلع عليه من الكتب. وثانياً أنّ الاحتياج إلى الإمام </w:t>
      </w:r>
      <w:r w:rsidR="000F3F68" w:rsidRPr="000F3F68">
        <w:rPr>
          <w:rStyle w:val="libAlaemChar"/>
          <w:rtl/>
        </w:rPr>
        <w:t>عليه‌السلام</w:t>
      </w:r>
      <w:r>
        <w:rPr>
          <w:rtl/>
          <w:lang w:bidi="fa-IR"/>
        </w:rPr>
        <w:t xml:space="preserve"> في مذهبنا واضح مركوزاً في الأذهان ، ونعتقد أنّه لا بدّ في كلّ عصر من حجّة معصوم ، ولا يك</w:t>
      </w:r>
      <w:r w:rsidR="00E834A2">
        <w:rPr>
          <w:rtl/>
          <w:lang w:bidi="fa-IR"/>
        </w:rPr>
        <w:t>في وجود العلماء عن الحجّة ، ولم</w:t>
      </w:r>
      <w:r w:rsidR="00E834A2">
        <w:rPr>
          <w:rFonts w:hint="cs"/>
          <w:rtl/>
          <w:lang w:bidi="fa-IR"/>
        </w:rPr>
        <w:t>ـّ</w:t>
      </w:r>
      <w:r>
        <w:rPr>
          <w:rtl/>
          <w:lang w:bidi="fa-IR"/>
        </w:rPr>
        <w:t xml:space="preserve">ا كان أوّل أمر الغيبة ولم يكن جميع الناس يعرف حكمتها ، سأل سائل عن الحجّة في زمان الغيبة الصغرى ؛ فإنّ غيبته </w:t>
      </w:r>
      <w:r w:rsidR="0061079A" w:rsidRPr="0061079A">
        <w:rPr>
          <w:rStyle w:val="libFootnoteAlaemChar"/>
          <w:rtl/>
        </w:rPr>
        <w:t>عليه‌السلام</w:t>
      </w:r>
      <w:r w:rsidR="00D10E3C">
        <w:rPr>
          <w:rtl/>
          <w:lang w:bidi="fa-IR"/>
        </w:rPr>
        <w:t xml:space="preserve"> </w:t>
      </w:r>
      <w:r>
        <w:rPr>
          <w:rtl/>
          <w:lang w:bidi="fa-IR"/>
        </w:rPr>
        <w:t xml:space="preserve">كعدمه ظاهراً في أنّه يتعطّل الأحكام ، والمذهب وجود الحجّة في كلّ عصر لرجوع الناس إليه ، وليس هذا السؤال بعيداً حتّى من أعاظم العلماء ، فضلاً عن إسحاق بن يعقوب الذي لا نعرفه ولعلّه كان من عامّة الناس ، فالدليل على ولاية </w:t>
      </w:r>
      <w:r w:rsidRPr="00E834A2">
        <w:rPr>
          <w:rtl/>
        </w:rPr>
        <w:t>الفقيه</w:t>
      </w:r>
      <w:r>
        <w:rPr>
          <w:rtl/>
          <w:lang w:bidi="fa-IR"/>
        </w:rPr>
        <w:t xml:space="preserve"> ضرورة العقل إلى ت</w:t>
      </w:r>
      <w:r w:rsidR="00E834A2">
        <w:rPr>
          <w:rtl/>
          <w:lang w:bidi="fa-IR"/>
        </w:rPr>
        <w:t>صدّي رجل لأموال القاصرين ؛ لئل</w:t>
      </w:r>
      <w:r w:rsidR="00E834A2">
        <w:rPr>
          <w:rFonts w:hint="cs"/>
          <w:rtl/>
          <w:lang w:bidi="fa-IR"/>
        </w:rPr>
        <w:t>ّ</w:t>
      </w:r>
      <w:r w:rsidR="00E834A2">
        <w:rPr>
          <w:rtl/>
          <w:lang w:bidi="fa-IR"/>
        </w:rPr>
        <w:t>ا</w:t>
      </w:r>
      <w:r>
        <w:rPr>
          <w:rtl/>
          <w:lang w:bidi="fa-IR"/>
        </w:rPr>
        <w:t xml:space="preserve"> يهملوا ولا يتنازع الناس في تولّي ا</w:t>
      </w:r>
      <w:r w:rsidR="00E834A2">
        <w:rPr>
          <w:rFonts w:hint="cs"/>
          <w:rtl/>
          <w:lang w:bidi="fa-IR"/>
        </w:rPr>
        <w:t>ُ</w:t>
      </w:r>
      <w:r>
        <w:rPr>
          <w:rtl/>
          <w:lang w:bidi="fa-IR"/>
        </w:rPr>
        <w:t xml:space="preserve">مورهم ، </w:t>
      </w:r>
      <w:r w:rsidRPr="00E834A2">
        <w:rPr>
          <w:rStyle w:val="libFootnoteBoldChar"/>
          <w:rtl/>
        </w:rPr>
        <w:t>وال</w:t>
      </w:r>
      <w:r w:rsidRPr="00C24F9C">
        <w:rPr>
          <w:rStyle w:val="libFootnoteBoldChar"/>
          <w:rtl/>
        </w:rPr>
        <w:t>فقيه</w:t>
      </w:r>
      <w:r>
        <w:rPr>
          <w:rtl/>
          <w:lang w:bidi="fa-IR"/>
        </w:rPr>
        <w:t xml:space="preserve"> العادل أولى بذلك من غيره ، ويجعل مقبولة عمر بن حنظلة وأمثالها مؤيّدة ، بل يكفي في ذلك الإجماع المنقول ؛ لتوفّر القرائن على صحّته ».</w:t>
      </w:r>
    </w:p>
    <w:p w:rsidR="00744A1C" w:rsidRDefault="00D10E3C" w:rsidP="00D10E3C">
      <w:pPr>
        <w:pStyle w:val="libFootnote0"/>
        <w:rPr>
          <w:lang w:bidi="fa-IR"/>
        </w:rPr>
      </w:pPr>
      <w:r>
        <w:rPr>
          <w:rtl/>
          <w:lang w:bidi="fa-IR"/>
        </w:rPr>
        <w:t>(1).</w:t>
      </w:r>
      <w:r w:rsidR="00744A1C">
        <w:rPr>
          <w:rtl/>
          <w:lang w:bidi="fa-IR"/>
        </w:rPr>
        <w:t xml:space="preserve"> في حاشية « جن » : + « الله ».</w:t>
      </w:r>
    </w:p>
    <w:p w:rsidR="00144FA6" w:rsidRDefault="00E378DD" w:rsidP="00E378DD">
      <w:pPr>
        <w:pStyle w:val="libFootnote0"/>
        <w:rPr>
          <w:rtl/>
          <w:lang w:bidi="fa-IR"/>
        </w:rPr>
      </w:pPr>
      <w:r>
        <w:rPr>
          <w:rtl/>
          <w:lang w:bidi="fa-IR"/>
        </w:rPr>
        <w:t>(2).</w:t>
      </w:r>
      <w:r w:rsidR="00744A1C">
        <w:rPr>
          <w:rtl/>
          <w:lang w:bidi="fa-IR"/>
        </w:rPr>
        <w:t xml:space="preserve"> </w:t>
      </w:r>
      <w:r w:rsidR="00744A1C" w:rsidRPr="0061079A">
        <w:rPr>
          <w:rStyle w:val="libFootnoteBoldChar"/>
          <w:rtl/>
        </w:rPr>
        <w:t>الكافي</w:t>
      </w:r>
      <w:r w:rsidR="00744A1C">
        <w:rPr>
          <w:rtl/>
          <w:lang w:bidi="fa-IR"/>
        </w:rPr>
        <w:t xml:space="preserve"> ، كتاب الوصايا ، باب صدقات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 ، ضمن الحديث الطويل 13276 ، بسند آخر عن أبي الحسن موسى ، عن أمير المؤمنين </w:t>
      </w:r>
      <w:r w:rsidR="00F112A7" w:rsidRPr="00CE5A92">
        <w:rPr>
          <w:rStyle w:val="libFootnoteAlaemChar"/>
          <w:rtl/>
        </w:rPr>
        <w:t>عليهما‌السلام</w:t>
      </w:r>
      <w:r w:rsidR="00744A1C">
        <w:rPr>
          <w:rtl/>
          <w:lang w:bidi="fa-IR"/>
        </w:rPr>
        <w:t xml:space="preserve">عن رسول الله </w:t>
      </w:r>
      <w:r w:rsidR="00E834A2" w:rsidRPr="00E834A2">
        <w:rPr>
          <w:rStyle w:val="libFootnoteAlaemChar"/>
          <w:rtl/>
        </w:rPr>
        <w:t>صلى‌الله‌عليه‌وآله</w:t>
      </w:r>
      <w:r w:rsidR="00D10E3C">
        <w:rPr>
          <w:rtl/>
          <w:lang w:bidi="fa-IR"/>
        </w:rPr>
        <w:t xml:space="preserve"> </w:t>
      </w:r>
      <w:r w:rsidR="00744A1C">
        <w:rPr>
          <w:rtl/>
          <w:lang w:bidi="fa-IR"/>
        </w:rPr>
        <w:t xml:space="preserve">؛ </w:t>
      </w:r>
      <w:r w:rsidR="00744A1C" w:rsidRPr="000B1C3F">
        <w:rPr>
          <w:rStyle w:val="libFootnoteBoldChar"/>
          <w:rtl/>
        </w:rPr>
        <w:t>الأمالي للطوسي</w:t>
      </w:r>
      <w:r w:rsidR="00744A1C">
        <w:rPr>
          <w:rtl/>
          <w:lang w:bidi="fa-IR"/>
        </w:rPr>
        <w:t xml:space="preserve"> ، ص 522 ، المجلس 18 ، ح 62 ، بسند آخر</w:t>
      </w:r>
      <w:r w:rsidR="00E834A2">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8597 / 3. عِدَّةٌ مِنْ أَصْحَابِنَا ، عَنْ سَهْلِ بْنِ زِيَادٍ ، عَنْ أَحْمَدَ بْنِ مُحَ</w:t>
      </w:r>
      <w:r w:rsidR="00E834A2">
        <w:rPr>
          <w:rtl/>
          <w:lang w:bidi="fa-IR"/>
        </w:rPr>
        <w:t>مَّدِ بْنِ أَبِي نَصْرٍ ، قَالَ</w:t>
      </w:r>
      <w:r>
        <w:rPr>
          <w:rtl/>
          <w:lang w:bidi="fa-IR"/>
        </w:rPr>
        <w:t>:</w:t>
      </w:r>
    </w:p>
    <w:p w:rsidR="00744A1C" w:rsidRDefault="00744A1C" w:rsidP="00744A1C">
      <w:pPr>
        <w:pStyle w:val="libNormal"/>
        <w:rPr>
          <w:lang w:bidi="fa-IR"/>
        </w:rPr>
      </w:pPr>
      <w:r>
        <w:rPr>
          <w:rtl/>
          <w:lang w:bidi="fa-IR"/>
        </w:rPr>
        <w:t xml:space="preserve">سَأَلْتُ أَبَا الْحَسَنِ </w:t>
      </w:r>
      <w:r w:rsidR="0061079A" w:rsidRPr="0061079A">
        <w:rPr>
          <w:rStyle w:val="libAlaemChar"/>
          <w:rtl/>
        </w:rPr>
        <w:t>عليه‌السلام</w:t>
      </w:r>
      <w:r w:rsidR="00D10E3C">
        <w:rPr>
          <w:rtl/>
          <w:lang w:bidi="fa-IR"/>
        </w:rPr>
        <w:t xml:space="preserve"> </w:t>
      </w:r>
      <w:r>
        <w:rPr>
          <w:rtl/>
          <w:lang w:bidi="fa-IR"/>
        </w:rPr>
        <w:t xml:space="preserve">عَنِ الرَّجُلِ </w:t>
      </w:r>
      <w:r w:rsidRPr="00D10E3C">
        <w:rPr>
          <w:rStyle w:val="libFootnotenumChar"/>
          <w:rtl/>
        </w:rPr>
        <w:t>(1)</w:t>
      </w:r>
      <w:r>
        <w:rPr>
          <w:rtl/>
          <w:lang w:bidi="fa-IR"/>
        </w:rPr>
        <w:t xml:space="preserve"> يَكُونُ فِي يَدِهِ مَالٌ لِأَيْتَامٍ </w:t>
      </w:r>
      <w:r w:rsidRPr="00D10E3C">
        <w:rPr>
          <w:rStyle w:val="libFootnotenumChar"/>
          <w:rtl/>
        </w:rPr>
        <w:t>(2)</w:t>
      </w:r>
      <w:r>
        <w:rPr>
          <w:rtl/>
          <w:lang w:bidi="fa-IR"/>
        </w:rPr>
        <w:t xml:space="preserve"> ، فَيَحْتَاجُ إِلَيْهِ ، فَيَمُدُّ يَدَهُ </w:t>
      </w:r>
      <w:r w:rsidRPr="00D10E3C">
        <w:rPr>
          <w:rStyle w:val="libFootnotenumChar"/>
          <w:rtl/>
        </w:rPr>
        <w:t>(3)</w:t>
      </w:r>
      <w:r>
        <w:rPr>
          <w:rtl/>
          <w:lang w:bidi="fa-IR"/>
        </w:rPr>
        <w:t xml:space="preserve"> ، فَيَأْخُذُهُ </w:t>
      </w:r>
      <w:r w:rsidRPr="00D10E3C">
        <w:rPr>
          <w:rStyle w:val="libFootnotenumChar"/>
          <w:rtl/>
        </w:rPr>
        <w:t>(4)</w:t>
      </w:r>
      <w:r>
        <w:rPr>
          <w:rtl/>
          <w:lang w:bidi="fa-IR"/>
        </w:rPr>
        <w:t xml:space="preserve"> ، وَيَنْوِي أَنْ يَرُدَّهُ؟</w:t>
      </w:r>
    </w:p>
    <w:p w:rsidR="00144FA6" w:rsidRDefault="00744A1C" w:rsidP="00744A1C">
      <w:pPr>
        <w:pStyle w:val="libNormal"/>
        <w:rPr>
          <w:rtl/>
          <w:lang w:bidi="fa-IR"/>
        </w:rPr>
      </w:pPr>
      <w:r>
        <w:rPr>
          <w:rtl/>
          <w:lang w:bidi="fa-IR"/>
        </w:rPr>
        <w:t>فَقَالَ : « لَا يَن</w:t>
      </w:r>
      <w:r w:rsidR="00E834A2">
        <w:rPr>
          <w:rtl/>
          <w:lang w:bidi="fa-IR"/>
        </w:rPr>
        <w:t>ْبَغِي لَهُ أَنْ يَأْكُلَ إِل</w:t>
      </w:r>
      <w:r w:rsidR="00E834A2">
        <w:rPr>
          <w:rFonts w:hint="cs"/>
          <w:rtl/>
          <w:lang w:bidi="fa-IR"/>
        </w:rPr>
        <w:t>َّ</w:t>
      </w:r>
      <w:r w:rsidR="00E834A2">
        <w:rPr>
          <w:rtl/>
          <w:lang w:bidi="fa-IR"/>
        </w:rPr>
        <w:t>ا</w:t>
      </w:r>
      <w:r>
        <w:rPr>
          <w:rtl/>
          <w:lang w:bidi="fa-IR"/>
        </w:rPr>
        <w:t xml:space="preserve"> الْقَصْدَ </w:t>
      </w:r>
      <w:r w:rsidRPr="00D10E3C">
        <w:rPr>
          <w:rStyle w:val="libFootnotenumChar"/>
          <w:rtl/>
        </w:rPr>
        <w:t>(5)</w:t>
      </w:r>
      <w:r>
        <w:rPr>
          <w:rtl/>
          <w:lang w:bidi="fa-IR"/>
        </w:rPr>
        <w:t xml:space="preserve"> لَايُسْرِفُ </w:t>
      </w:r>
      <w:r w:rsidRPr="00D10E3C">
        <w:rPr>
          <w:rStyle w:val="libFootnotenumChar"/>
          <w:rtl/>
        </w:rPr>
        <w:t>(6)</w:t>
      </w:r>
      <w:r>
        <w:rPr>
          <w:rtl/>
          <w:lang w:bidi="fa-IR"/>
        </w:rPr>
        <w:t xml:space="preserve"> ، فَإِنْ </w:t>
      </w:r>
      <w:r w:rsidRPr="00D10E3C">
        <w:rPr>
          <w:rStyle w:val="libFootnotenumChar"/>
          <w:rtl/>
        </w:rPr>
        <w:t>(7)</w:t>
      </w:r>
      <w:r>
        <w:rPr>
          <w:rtl/>
          <w:lang w:bidi="fa-IR"/>
        </w:rPr>
        <w:t xml:space="preserve"> كَانَ مِنْ نِيَّتِهِ أَنْ لَايَرُدَّهُ </w:t>
      </w:r>
      <w:r w:rsidRPr="00D10E3C">
        <w:rPr>
          <w:rStyle w:val="libFootnotenumChar"/>
          <w:rtl/>
        </w:rPr>
        <w:t>(8)</w:t>
      </w:r>
      <w:r>
        <w:rPr>
          <w:rtl/>
          <w:lang w:bidi="fa-IR"/>
        </w:rPr>
        <w:t xml:space="preserve"> عَلَيْهِمْ </w:t>
      </w:r>
      <w:r w:rsidRPr="00D10E3C">
        <w:rPr>
          <w:rStyle w:val="libFootnotenumChar"/>
          <w:rtl/>
        </w:rPr>
        <w:t>(9)</w:t>
      </w:r>
      <w:r>
        <w:rPr>
          <w:rtl/>
          <w:lang w:bidi="fa-IR"/>
        </w:rPr>
        <w:t xml:space="preserve"> ، فَهُوَ بِالْمَنْزِلِ الَّذِي قَالَ اللهُ عَزَّ وَجَلَّ : </w:t>
      </w:r>
      <w:r w:rsidRPr="00E834A2">
        <w:rPr>
          <w:rStyle w:val="libAlaemChar"/>
          <w:rtl/>
        </w:rPr>
        <w:t>(</w:t>
      </w:r>
      <w:r w:rsidRPr="00E834A2">
        <w:rPr>
          <w:rStyle w:val="libAieChar"/>
          <w:rtl/>
        </w:rPr>
        <w:t xml:space="preserve"> إِنَّ الَّذِينَ يَأْكُلُونَ أَمْوالَ الْيَتامى ظُلْماً </w:t>
      </w:r>
      <w:r w:rsidRPr="00E834A2">
        <w:rPr>
          <w:rStyle w:val="libAlaemChar"/>
          <w:rtl/>
        </w:rPr>
        <w:t>)</w:t>
      </w:r>
      <w:r>
        <w:rPr>
          <w:rtl/>
          <w:lang w:bidi="fa-IR"/>
        </w:rPr>
        <w:t xml:space="preserve"> </w:t>
      </w:r>
      <w:r w:rsidRPr="00D10E3C">
        <w:rPr>
          <w:rStyle w:val="libFootnotenumChar"/>
          <w:rtl/>
        </w:rPr>
        <w:t>(10)</w:t>
      </w:r>
      <w:r>
        <w:rPr>
          <w:rtl/>
          <w:lang w:bidi="fa-IR"/>
        </w:rPr>
        <w:t xml:space="preserve">». </w:t>
      </w:r>
      <w:r w:rsidRPr="00D10E3C">
        <w:rPr>
          <w:rStyle w:val="libFootnotenumChar"/>
          <w:rtl/>
        </w:rPr>
        <w:t>(11)</w:t>
      </w:r>
    </w:p>
    <w:p w:rsidR="00744A1C" w:rsidRDefault="00744A1C" w:rsidP="00744A1C">
      <w:pPr>
        <w:pStyle w:val="libNormal"/>
        <w:rPr>
          <w:lang w:bidi="fa-IR"/>
        </w:rPr>
      </w:pPr>
      <w:r>
        <w:rPr>
          <w:rtl/>
          <w:lang w:bidi="fa-IR"/>
        </w:rPr>
        <w:t>8598 / 4. مُحَمَّدُ بْنُ يَحْيى ، عَنْ أَحْمَدَ بْنِ مُحَمَّدٍ ، عَنْ عَلِيِّ بْنِ الْحَكَمِ ، عَنْ‌</w:t>
      </w:r>
    </w:p>
    <w:p w:rsidR="00744A1C" w:rsidRDefault="00744A1C" w:rsidP="00D10E3C">
      <w:pPr>
        <w:pStyle w:val="libLine"/>
        <w:rPr>
          <w:lang w:bidi="fa-IR"/>
        </w:rPr>
      </w:pPr>
      <w:r>
        <w:rPr>
          <w:rtl/>
          <w:lang w:bidi="fa-IR"/>
        </w:rPr>
        <w:t>____________________</w:t>
      </w:r>
    </w:p>
    <w:p w:rsidR="00744A1C" w:rsidRDefault="00E834A2" w:rsidP="00D10E3C">
      <w:pPr>
        <w:pStyle w:val="libFootnote0"/>
        <w:rPr>
          <w:lang w:bidi="fa-IR"/>
        </w:rPr>
      </w:pPr>
      <w:r>
        <w:rPr>
          <w:rFonts w:hint="cs"/>
          <w:rtl/>
          <w:lang w:bidi="fa-IR"/>
        </w:rPr>
        <w:t xml:space="preserve">= </w:t>
      </w:r>
      <w:r w:rsidR="00744A1C">
        <w:rPr>
          <w:rtl/>
          <w:lang w:bidi="fa-IR"/>
        </w:rPr>
        <w:t xml:space="preserve">عن الرضا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4D054E" w:rsidRPr="00E834A2">
        <w:rPr>
          <w:rStyle w:val="libFootnoteAlaemChar"/>
          <w:rtl/>
        </w:rPr>
        <w:t>صلى‌الله‌عليه‌وآله</w:t>
      </w:r>
      <w:r w:rsidR="00744A1C">
        <w:rPr>
          <w:rtl/>
          <w:lang w:bidi="fa-IR"/>
        </w:rPr>
        <w:t xml:space="preserve"> . وفي </w:t>
      </w:r>
      <w:r w:rsidR="00744A1C" w:rsidRPr="00C24F9C">
        <w:rPr>
          <w:rStyle w:val="libFootnoteBoldChar"/>
          <w:rtl/>
        </w:rPr>
        <w:t>الفقيه</w:t>
      </w:r>
      <w:r w:rsidR="00744A1C">
        <w:rPr>
          <w:rtl/>
          <w:lang w:bidi="fa-IR"/>
        </w:rPr>
        <w:t xml:space="preserve"> ، ج 4 ، ص 189 ، ضمن الحديث الطويل 5433 ؛ </w:t>
      </w:r>
      <w:r w:rsidR="00744A1C" w:rsidRPr="0061079A">
        <w:rPr>
          <w:rStyle w:val="libFootnoteBoldChar"/>
          <w:rtl/>
        </w:rPr>
        <w:t>والتهذيب</w:t>
      </w:r>
      <w:r w:rsidR="00744A1C">
        <w:rPr>
          <w:rtl/>
          <w:lang w:bidi="fa-IR"/>
        </w:rPr>
        <w:t xml:space="preserve"> ، ج 9 ، ص 176 ، ضمن الحديث الطويل 714 ، بسند آخر 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E843EA" w:rsidRPr="00E843EA">
        <w:rPr>
          <w:rStyle w:val="libFootnoteAlaemChar"/>
          <w:rtl/>
        </w:rPr>
        <w:t>صلى‌الله‌عليه‌وآله</w:t>
      </w:r>
      <w:r w:rsidR="00D10E3C">
        <w:rPr>
          <w:rtl/>
          <w:lang w:bidi="fa-IR"/>
        </w:rPr>
        <w:t xml:space="preserve"> </w:t>
      </w:r>
      <w:r w:rsidR="00744A1C">
        <w:rPr>
          <w:rtl/>
          <w:lang w:bidi="fa-IR"/>
        </w:rPr>
        <w:t xml:space="preserve">، وفي كلّها مع اختلاف يسير. </w:t>
      </w:r>
      <w:r w:rsidR="00744A1C" w:rsidRPr="00A914B5">
        <w:rPr>
          <w:rStyle w:val="libFootnoteBoldChar"/>
          <w:rtl/>
        </w:rPr>
        <w:t>تفسير العيّاشي</w:t>
      </w:r>
      <w:r w:rsidR="00744A1C">
        <w:rPr>
          <w:rtl/>
          <w:lang w:bidi="fa-IR"/>
        </w:rPr>
        <w:t xml:space="preserve"> ، ج 1 ، ص 224 ، ح 44 ، عن عجلان ، عن أبي عبدالله </w:t>
      </w:r>
      <w:r w:rsidR="0061079A" w:rsidRPr="0061079A">
        <w:rPr>
          <w:rStyle w:val="libFootnoteAlaemChar"/>
          <w:rtl/>
        </w:rPr>
        <w:t>عليه‌السلام</w:t>
      </w:r>
      <w:r w:rsidR="00744A1C">
        <w:rPr>
          <w:rtl/>
          <w:lang w:bidi="fa-IR"/>
        </w:rPr>
        <w:t xml:space="preserve"> . </w:t>
      </w:r>
      <w:r w:rsidR="00744A1C" w:rsidRPr="007D61A8">
        <w:rPr>
          <w:rStyle w:val="libFootnoteBoldChar"/>
          <w:rtl/>
        </w:rPr>
        <w:t>تحف العقول</w:t>
      </w:r>
      <w:r w:rsidR="00744A1C">
        <w:rPr>
          <w:rtl/>
          <w:lang w:bidi="fa-IR"/>
        </w:rPr>
        <w:t xml:space="preserve"> ، ص 197 ، عن أميرالمؤمنين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744A1C">
        <w:rPr>
          <w:rtl/>
          <w:lang w:bidi="fa-IR"/>
        </w:rPr>
        <w:t xml:space="preserve">، مع اختلاف يسير </w:t>
      </w:r>
      <w:r>
        <w:rPr>
          <w:rFonts w:hint="cs"/>
          <w:rtl/>
          <w:lang w:bidi="fa-IR"/>
        </w:rPr>
        <w:t>.</w:t>
      </w:r>
      <w:r w:rsidR="00744A1C" w:rsidRPr="00C24F9C">
        <w:rPr>
          <w:rStyle w:val="libFootnoteBoldChar"/>
          <w:rtl/>
        </w:rPr>
        <w:t>الوافي</w:t>
      </w:r>
      <w:r w:rsidR="00744A1C">
        <w:rPr>
          <w:rtl/>
          <w:lang w:bidi="fa-IR"/>
        </w:rPr>
        <w:t xml:space="preserve"> ، ج 17 ، ص 305 ، ح 17322 ؛ </w:t>
      </w:r>
      <w:r w:rsidR="00744A1C" w:rsidRPr="00C24F9C">
        <w:rPr>
          <w:rStyle w:val="libFootnoteBoldChar"/>
          <w:rtl/>
        </w:rPr>
        <w:t>الوسائل</w:t>
      </w:r>
      <w:r w:rsidR="00744A1C">
        <w:rPr>
          <w:rtl/>
          <w:lang w:bidi="fa-IR"/>
        </w:rPr>
        <w:t xml:space="preserve"> ، ج 17 ، ص 244 ، ح 22438 ؛ </w:t>
      </w:r>
      <w:r w:rsidR="00744A1C" w:rsidRPr="0061079A">
        <w:rPr>
          <w:rStyle w:val="libFootnoteBoldChar"/>
          <w:rtl/>
        </w:rPr>
        <w:t>البحار</w:t>
      </w:r>
      <w:r w:rsidR="00744A1C">
        <w:rPr>
          <w:rtl/>
          <w:lang w:bidi="fa-IR"/>
        </w:rPr>
        <w:t xml:space="preserve"> ، ج 79 ، ص 271 ، ح 16.</w:t>
      </w:r>
    </w:p>
    <w:p w:rsidR="00744A1C" w:rsidRDefault="00D10E3C" w:rsidP="00D10E3C">
      <w:pPr>
        <w:pStyle w:val="libFootnote0"/>
        <w:rPr>
          <w:lang w:bidi="fa-IR"/>
        </w:rPr>
      </w:pPr>
      <w:r>
        <w:rPr>
          <w:rtl/>
          <w:lang w:bidi="fa-IR"/>
        </w:rPr>
        <w:t>(1).</w:t>
      </w:r>
      <w:r w:rsidR="00744A1C">
        <w:rPr>
          <w:rtl/>
          <w:lang w:bidi="fa-IR"/>
        </w:rPr>
        <w:t xml:space="preserve"> في </w:t>
      </w:r>
      <w:r w:rsidR="00744A1C" w:rsidRPr="00E834A2">
        <w:rPr>
          <w:rtl/>
        </w:rPr>
        <w:t>التهذيب</w:t>
      </w:r>
      <w:r w:rsidR="00744A1C">
        <w:rPr>
          <w:rtl/>
          <w:lang w:bidi="fa-IR"/>
        </w:rPr>
        <w:t xml:space="preserve"> : « رجل ».</w:t>
      </w:r>
    </w:p>
    <w:p w:rsidR="00744A1C" w:rsidRDefault="00E378DD" w:rsidP="00E378DD">
      <w:pPr>
        <w:pStyle w:val="libFootnote0"/>
        <w:rPr>
          <w:lang w:bidi="fa-IR"/>
        </w:rPr>
      </w:pPr>
      <w:r>
        <w:rPr>
          <w:rtl/>
          <w:lang w:bidi="fa-IR"/>
        </w:rPr>
        <w:t>(2).</w:t>
      </w:r>
      <w:r w:rsidR="00744A1C">
        <w:rPr>
          <w:rtl/>
          <w:lang w:bidi="fa-IR"/>
        </w:rPr>
        <w:t xml:space="preserve"> في « بخ ، بف » </w:t>
      </w:r>
      <w:r w:rsidR="00744A1C" w:rsidRPr="00E834A2">
        <w:rPr>
          <w:rtl/>
        </w:rPr>
        <w:t>والوافي والبحار</w:t>
      </w:r>
      <w:r w:rsidR="00744A1C">
        <w:rPr>
          <w:rtl/>
          <w:lang w:bidi="fa-IR"/>
        </w:rPr>
        <w:t xml:space="preserve"> : « الأيتام ».</w:t>
      </w:r>
    </w:p>
    <w:tbl>
      <w:tblPr>
        <w:tblStyle w:val="TableGrid"/>
        <w:bidiVisual/>
        <w:tblW w:w="0" w:type="auto"/>
        <w:tblLook w:val="04A0" w:firstRow="1" w:lastRow="0" w:firstColumn="1" w:lastColumn="0" w:noHBand="0" w:noVBand="1"/>
      </w:tblPr>
      <w:tblGrid>
        <w:gridCol w:w="4006"/>
        <w:gridCol w:w="4006"/>
      </w:tblGrid>
      <w:tr w:rsidR="00E834A2" w:rsidTr="00E834A2">
        <w:tc>
          <w:tcPr>
            <w:tcW w:w="4006" w:type="dxa"/>
          </w:tcPr>
          <w:p w:rsidR="00E834A2" w:rsidRDefault="00E834A2" w:rsidP="00E378DD">
            <w:pPr>
              <w:pStyle w:val="libFootnote0"/>
              <w:rPr>
                <w:rtl/>
                <w:lang w:bidi="fa-IR"/>
              </w:rPr>
            </w:pPr>
            <w:r>
              <w:rPr>
                <w:rtl/>
                <w:lang w:bidi="fa-IR"/>
              </w:rPr>
              <w:t>(3). في « جن » : « إليه ».</w:t>
            </w:r>
          </w:p>
        </w:tc>
        <w:tc>
          <w:tcPr>
            <w:tcW w:w="4006" w:type="dxa"/>
          </w:tcPr>
          <w:p w:rsidR="00E834A2" w:rsidRDefault="00E834A2" w:rsidP="00E378DD">
            <w:pPr>
              <w:pStyle w:val="libFootnote0"/>
              <w:rPr>
                <w:rtl/>
                <w:lang w:bidi="fa-IR"/>
              </w:rPr>
            </w:pPr>
            <w:r>
              <w:rPr>
                <w:rtl/>
                <w:lang w:bidi="fa-IR"/>
              </w:rPr>
              <w:t xml:space="preserve">(4). في </w:t>
            </w:r>
            <w:r w:rsidRPr="00E834A2">
              <w:rPr>
                <w:rtl/>
              </w:rPr>
              <w:t>البحار</w:t>
            </w:r>
            <w:r>
              <w:rPr>
                <w:rtl/>
                <w:lang w:bidi="fa-IR"/>
              </w:rPr>
              <w:t xml:space="preserve"> : « ويأخذه ».</w:t>
            </w:r>
          </w:p>
        </w:tc>
      </w:tr>
      <w:tr w:rsidR="00E834A2" w:rsidTr="00E834A2">
        <w:tc>
          <w:tcPr>
            <w:tcW w:w="4006" w:type="dxa"/>
          </w:tcPr>
          <w:p w:rsidR="00E834A2" w:rsidRDefault="00E834A2" w:rsidP="00E378DD">
            <w:pPr>
              <w:pStyle w:val="libFootnote0"/>
              <w:rPr>
                <w:rtl/>
                <w:lang w:bidi="fa-IR"/>
              </w:rPr>
            </w:pPr>
            <w:r>
              <w:rPr>
                <w:rtl/>
                <w:lang w:bidi="fa-IR"/>
              </w:rPr>
              <w:t>(5). في « ط » : « الفضل ».</w:t>
            </w:r>
          </w:p>
        </w:tc>
        <w:tc>
          <w:tcPr>
            <w:tcW w:w="4006" w:type="dxa"/>
          </w:tcPr>
          <w:p w:rsidR="00E834A2" w:rsidRDefault="00E834A2" w:rsidP="00E378DD">
            <w:pPr>
              <w:pStyle w:val="libFootnote0"/>
              <w:rPr>
                <w:rtl/>
                <w:lang w:bidi="fa-IR"/>
              </w:rPr>
            </w:pPr>
            <w:r>
              <w:rPr>
                <w:rtl/>
                <w:lang w:bidi="fa-IR"/>
              </w:rPr>
              <w:t xml:space="preserve">(6). في « جن » </w:t>
            </w:r>
            <w:r w:rsidRPr="00E834A2">
              <w:rPr>
                <w:rtl/>
              </w:rPr>
              <w:t>والبحار</w:t>
            </w:r>
            <w:r>
              <w:rPr>
                <w:rtl/>
                <w:lang w:bidi="fa-IR"/>
              </w:rPr>
              <w:t xml:space="preserve"> : « ولا يسرف ».</w:t>
            </w:r>
          </w:p>
        </w:tc>
      </w:tr>
      <w:tr w:rsidR="00E834A2" w:rsidTr="00E834A2">
        <w:tc>
          <w:tcPr>
            <w:tcW w:w="4006" w:type="dxa"/>
          </w:tcPr>
          <w:p w:rsidR="00E834A2" w:rsidRDefault="00E834A2" w:rsidP="00E378DD">
            <w:pPr>
              <w:pStyle w:val="libFootnote0"/>
              <w:rPr>
                <w:rtl/>
                <w:lang w:bidi="fa-IR"/>
              </w:rPr>
            </w:pPr>
            <w:r>
              <w:rPr>
                <w:rtl/>
                <w:lang w:bidi="fa-IR"/>
              </w:rPr>
              <w:t xml:space="preserve">(7). في « بف » </w:t>
            </w:r>
            <w:r w:rsidRPr="00E834A2">
              <w:rPr>
                <w:rtl/>
              </w:rPr>
              <w:t>والوافي والبحار</w:t>
            </w:r>
            <w:r>
              <w:rPr>
                <w:rtl/>
                <w:lang w:bidi="fa-IR"/>
              </w:rPr>
              <w:t xml:space="preserve"> : « وإن ».</w:t>
            </w:r>
          </w:p>
        </w:tc>
        <w:tc>
          <w:tcPr>
            <w:tcW w:w="4006" w:type="dxa"/>
          </w:tcPr>
          <w:p w:rsidR="00E834A2" w:rsidRDefault="00E834A2" w:rsidP="00E378DD">
            <w:pPr>
              <w:pStyle w:val="libFootnote0"/>
              <w:rPr>
                <w:rtl/>
                <w:lang w:bidi="fa-IR"/>
              </w:rPr>
            </w:pPr>
            <w:r>
              <w:rPr>
                <w:rtl/>
                <w:lang w:bidi="fa-IR"/>
              </w:rPr>
              <w:t xml:space="preserve">(8). في </w:t>
            </w:r>
            <w:r w:rsidRPr="00E834A2">
              <w:rPr>
                <w:rtl/>
              </w:rPr>
              <w:t>البحار</w:t>
            </w:r>
            <w:r>
              <w:rPr>
                <w:rtl/>
                <w:lang w:bidi="fa-IR"/>
              </w:rPr>
              <w:t xml:space="preserve"> : « يردّ ».</w:t>
            </w:r>
          </w:p>
        </w:tc>
      </w:tr>
    </w:tbl>
    <w:p w:rsidR="00744A1C" w:rsidRDefault="00E378DD" w:rsidP="00E378DD">
      <w:pPr>
        <w:pStyle w:val="libFootnote0"/>
        <w:rPr>
          <w:lang w:bidi="fa-IR"/>
        </w:rPr>
      </w:pPr>
      <w:r>
        <w:rPr>
          <w:rtl/>
          <w:lang w:bidi="fa-IR"/>
        </w:rPr>
        <w:t>(9).</w:t>
      </w:r>
      <w:r w:rsidR="00744A1C">
        <w:rPr>
          <w:rtl/>
          <w:lang w:bidi="fa-IR"/>
        </w:rPr>
        <w:t xml:space="preserve"> في « بف » </w:t>
      </w:r>
      <w:r w:rsidR="00744A1C" w:rsidRPr="00E834A2">
        <w:rPr>
          <w:rtl/>
        </w:rPr>
        <w:t>والتهذيب</w:t>
      </w:r>
      <w:r w:rsidR="00744A1C">
        <w:rPr>
          <w:rtl/>
          <w:lang w:bidi="fa-IR"/>
        </w:rPr>
        <w:t xml:space="preserve"> : « إليهم ».</w:t>
      </w:r>
    </w:p>
    <w:p w:rsidR="00744A1C" w:rsidRDefault="00E378DD" w:rsidP="00E378DD">
      <w:pPr>
        <w:pStyle w:val="libFootnote0"/>
        <w:rPr>
          <w:lang w:bidi="fa-IR"/>
        </w:rPr>
      </w:pPr>
      <w:r>
        <w:rPr>
          <w:rtl/>
          <w:lang w:bidi="fa-IR"/>
        </w:rPr>
        <w:t>(10).</w:t>
      </w:r>
      <w:r w:rsidR="00744A1C">
        <w:rPr>
          <w:rtl/>
          <w:lang w:bidi="fa-IR"/>
        </w:rPr>
        <w:t xml:space="preserve"> النساء </w:t>
      </w:r>
      <w:r>
        <w:rPr>
          <w:rtl/>
          <w:lang w:bidi="fa-IR"/>
        </w:rPr>
        <w:t>(4).</w:t>
      </w:r>
      <w:r w:rsidR="00744A1C">
        <w:rPr>
          <w:rtl/>
          <w:lang w:bidi="fa-IR"/>
        </w:rPr>
        <w:t xml:space="preserve"> : 10. وفي </w:t>
      </w:r>
      <w:r w:rsidR="00744A1C" w:rsidRPr="00E834A2">
        <w:rPr>
          <w:rtl/>
        </w:rPr>
        <w:t>التهذيب</w:t>
      </w:r>
      <w:r w:rsidR="00744A1C">
        <w:rPr>
          <w:rtl/>
          <w:lang w:bidi="fa-IR"/>
        </w:rPr>
        <w:t xml:space="preserve"> : + </w:t>
      </w:r>
      <w:r w:rsidR="00744A1C" w:rsidRPr="00E834A2">
        <w:rPr>
          <w:rStyle w:val="libFootnoteAlaemChar"/>
          <w:rtl/>
        </w:rPr>
        <w:t>(</w:t>
      </w:r>
      <w:r w:rsidR="00744A1C" w:rsidRPr="00E834A2">
        <w:rPr>
          <w:rStyle w:val="libFootnoteAieChar"/>
          <w:rtl/>
        </w:rPr>
        <w:t xml:space="preserve"> إِنَّمَا يَأْكُلُونَ فِى بُطُونِهِمْ نَارًا </w:t>
      </w:r>
      <w:r w:rsidR="00744A1C" w:rsidRPr="00E834A2">
        <w:rPr>
          <w:rStyle w:val="libFootnoteAlaemChar"/>
          <w:rtl/>
        </w:rPr>
        <w:t>)</w:t>
      </w:r>
      <w:r w:rsidR="00744A1C">
        <w:rPr>
          <w:rtl/>
          <w:lang w:bidi="fa-IR"/>
        </w:rPr>
        <w:t xml:space="preserve">. وفي </w:t>
      </w:r>
      <w:r w:rsidR="00744A1C" w:rsidRPr="00C24F9C">
        <w:rPr>
          <w:rStyle w:val="libFootnoteBoldChar"/>
          <w:rtl/>
        </w:rPr>
        <w:t>المرآة</w:t>
      </w:r>
      <w:r w:rsidR="00744A1C">
        <w:rPr>
          <w:rtl/>
          <w:lang w:bidi="fa-IR"/>
        </w:rPr>
        <w:t xml:space="preserve"> : « يدلّ على جواز أكل الوليّ من مال الطفل بالمعروف من غير إسراف. قال في التحرير : الوليّ إذا كان موسراً لا يأكل من مال اليتيم شيئاً ، وإن كان فقيراً قال الشيخ : يأخذ أقلّ الأمرين من ا</w:t>
      </w:r>
      <w:r w:rsidR="00E834A2">
        <w:rPr>
          <w:rFonts w:hint="cs"/>
          <w:rtl/>
          <w:lang w:bidi="fa-IR"/>
        </w:rPr>
        <w:t>ُ</w:t>
      </w:r>
      <w:r w:rsidR="00744A1C">
        <w:rPr>
          <w:rtl/>
          <w:lang w:bidi="fa-IR"/>
        </w:rPr>
        <w:t xml:space="preserve">جرة المثل وقدر الكفاية. وهو حسن. وقال ابن إدريس : يأخذ قدر كفايته. إذا عرفت هذا فلو استغنى الوليّ لم يجب عليه إعادة ما أكل إلى اليتيم أباً أو غيره ». وراجع : </w:t>
      </w:r>
      <w:r w:rsidR="00744A1C" w:rsidRPr="00E834A2">
        <w:rPr>
          <w:rStyle w:val="libFootnoteBoldChar"/>
          <w:rtl/>
        </w:rPr>
        <w:t>المبسوط</w:t>
      </w:r>
      <w:r w:rsidR="00744A1C">
        <w:rPr>
          <w:rtl/>
          <w:lang w:bidi="fa-IR"/>
        </w:rPr>
        <w:t xml:space="preserve"> ، ج 2 ، ص 163 ؛ </w:t>
      </w:r>
      <w:r w:rsidR="00744A1C" w:rsidRPr="00E834A2">
        <w:rPr>
          <w:rStyle w:val="libFootnoteBoldChar"/>
          <w:rtl/>
        </w:rPr>
        <w:t>الخلاف</w:t>
      </w:r>
      <w:r w:rsidR="00744A1C">
        <w:rPr>
          <w:rtl/>
          <w:lang w:bidi="fa-IR"/>
        </w:rPr>
        <w:t xml:space="preserve"> ، ج 3 ، ص 179 ، المسألة 295 ؛ </w:t>
      </w:r>
      <w:r w:rsidR="00744A1C" w:rsidRPr="00877682">
        <w:rPr>
          <w:rStyle w:val="libFootnoteBoldChar"/>
          <w:rtl/>
        </w:rPr>
        <w:t>السرائر</w:t>
      </w:r>
      <w:r w:rsidR="00744A1C">
        <w:rPr>
          <w:rtl/>
          <w:lang w:bidi="fa-IR"/>
        </w:rPr>
        <w:t xml:space="preserve"> ، ج 2 ، ص 212 ؛ </w:t>
      </w:r>
      <w:r w:rsidR="00744A1C" w:rsidRPr="00E834A2">
        <w:rPr>
          <w:rStyle w:val="libFootnoteBoldChar"/>
          <w:rtl/>
        </w:rPr>
        <w:t>تحرير الأحكام</w:t>
      </w:r>
      <w:r w:rsidR="00744A1C">
        <w:rPr>
          <w:rtl/>
          <w:lang w:bidi="fa-IR"/>
        </w:rPr>
        <w:t xml:space="preserve"> ، ج 2 ، ص 543 ، المسألة 3897.</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339 ، ح 946 ، معلّقاً عن الكليني. </w:t>
      </w:r>
      <w:r w:rsidR="00744A1C" w:rsidRPr="00A914B5">
        <w:rPr>
          <w:rStyle w:val="libFootnoteBoldChar"/>
          <w:rtl/>
        </w:rPr>
        <w:t>تفسير العيّاشي</w:t>
      </w:r>
      <w:r w:rsidR="00744A1C">
        <w:rPr>
          <w:rtl/>
          <w:lang w:bidi="fa-IR"/>
        </w:rPr>
        <w:t xml:space="preserve"> ، ج 1 ، ص 224 ، ح 42 ، عن أحمد بن محمّد ، عن أبي الحسن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وزيادة في آخره </w:t>
      </w:r>
      <w:r w:rsidR="00E834A2">
        <w:rPr>
          <w:rFonts w:hint="cs"/>
          <w:rtl/>
          <w:lang w:bidi="fa-IR"/>
        </w:rPr>
        <w:t>.</w:t>
      </w:r>
      <w:r w:rsidR="00744A1C" w:rsidRPr="00C24F9C">
        <w:rPr>
          <w:rStyle w:val="libFootnoteBoldChar"/>
          <w:rtl/>
        </w:rPr>
        <w:t>الوافي</w:t>
      </w:r>
      <w:r w:rsidR="00744A1C">
        <w:rPr>
          <w:rtl/>
          <w:lang w:bidi="fa-IR"/>
        </w:rPr>
        <w:t xml:space="preserve"> ، ج 17 ، ص 307 ، ح 17324 ؛ </w:t>
      </w:r>
      <w:r w:rsidR="00744A1C" w:rsidRPr="00C24F9C">
        <w:rPr>
          <w:rStyle w:val="libFootnoteBoldChar"/>
          <w:rtl/>
        </w:rPr>
        <w:t>الوسائل</w:t>
      </w:r>
      <w:r w:rsidR="00744A1C">
        <w:rPr>
          <w:rtl/>
          <w:lang w:bidi="fa-IR"/>
        </w:rPr>
        <w:t xml:space="preserve"> ، ج 17 ، ص 259 ، ح 22472 ؛ </w:t>
      </w:r>
      <w:r w:rsidR="00744A1C" w:rsidRPr="0061079A">
        <w:rPr>
          <w:rStyle w:val="libFootnoteBoldChar"/>
          <w:rtl/>
        </w:rPr>
        <w:t>البحار</w:t>
      </w:r>
      <w:r w:rsidR="00744A1C">
        <w:rPr>
          <w:rtl/>
          <w:lang w:bidi="fa-IR"/>
        </w:rPr>
        <w:t xml:space="preserve"> ، ج 79 ، ص 271 ، ح 17.</w:t>
      </w:r>
    </w:p>
    <w:p w:rsidR="006D42F6" w:rsidRDefault="006D42F6" w:rsidP="00D10E3C">
      <w:pPr>
        <w:pStyle w:val="libNormal"/>
        <w:rPr>
          <w:rtl/>
          <w:lang w:bidi="fa-IR"/>
        </w:rPr>
      </w:pPr>
      <w:r>
        <w:rPr>
          <w:rtl/>
          <w:lang w:bidi="fa-IR"/>
        </w:rPr>
        <w:br w:type="page"/>
      </w:r>
    </w:p>
    <w:p w:rsidR="00144FA6" w:rsidRDefault="00744A1C" w:rsidP="00E834A2">
      <w:pPr>
        <w:pStyle w:val="libNormal0"/>
        <w:rPr>
          <w:rtl/>
          <w:lang w:bidi="fa-IR"/>
        </w:rPr>
      </w:pPr>
      <w:r>
        <w:rPr>
          <w:rtl/>
          <w:lang w:bidi="fa-IR"/>
        </w:rPr>
        <w:t>عَبْدِ اللهِ بْنِ يَحْيَى الْكَاهِلِيِّ ، قَالَ :</w:t>
      </w:r>
    </w:p>
    <w:p w:rsidR="00744A1C" w:rsidRDefault="00744A1C" w:rsidP="00744A1C">
      <w:pPr>
        <w:pStyle w:val="libNormal"/>
        <w:rPr>
          <w:lang w:bidi="fa-IR"/>
        </w:rPr>
      </w:pPr>
      <w:r>
        <w:rPr>
          <w:rtl/>
          <w:lang w:bidi="fa-IR"/>
        </w:rPr>
        <w:t xml:space="preserve">قِيلَ لِأَبِي عَبْدِ اللهِ </w:t>
      </w:r>
      <w:r w:rsidR="0061079A" w:rsidRPr="0061079A">
        <w:rPr>
          <w:rStyle w:val="libAlaemChar"/>
          <w:rtl/>
        </w:rPr>
        <w:t>عليه‌السلام</w:t>
      </w:r>
      <w:r w:rsidR="00D10E3C">
        <w:rPr>
          <w:rtl/>
          <w:lang w:bidi="fa-IR"/>
        </w:rPr>
        <w:t xml:space="preserve"> </w:t>
      </w:r>
      <w:r>
        <w:rPr>
          <w:rtl/>
          <w:lang w:bidi="fa-IR"/>
        </w:rPr>
        <w:t xml:space="preserve">: إِنَّا نَدْخُلُ عَلى أَخٍ لَنَا فِي بَيْتِ </w:t>
      </w:r>
      <w:r w:rsidRPr="00D10E3C">
        <w:rPr>
          <w:rStyle w:val="libFootnotenumChar"/>
          <w:rtl/>
        </w:rPr>
        <w:t>(1)</w:t>
      </w:r>
      <w:r>
        <w:rPr>
          <w:rtl/>
          <w:lang w:bidi="fa-IR"/>
        </w:rPr>
        <w:t xml:space="preserve"> أَيْتَامٍ ، وَمَعَهُمْ </w:t>
      </w:r>
      <w:r w:rsidRPr="00D10E3C">
        <w:rPr>
          <w:rStyle w:val="libFootnotenumChar"/>
          <w:rtl/>
        </w:rPr>
        <w:t>(2)</w:t>
      </w:r>
      <w:r>
        <w:rPr>
          <w:rtl/>
          <w:lang w:bidi="fa-IR"/>
        </w:rPr>
        <w:t xml:space="preserve"> خَادِمٌ لَهُمْ ، فَنَقْعُدُ عَلى بِسَاطِهِمْ ، وَنَشْرَبُ مِنْ مَائِهِمْ ، وَيَخْدُمُنَا </w:t>
      </w:r>
      <w:r w:rsidRPr="00D10E3C">
        <w:rPr>
          <w:rStyle w:val="libFootnotenumChar"/>
          <w:rtl/>
        </w:rPr>
        <w:t>(3)</w:t>
      </w:r>
      <w:r>
        <w:rPr>
          <w:rtl/>
          <w:lang w:bidi="fa-IR"/>
        </w:rPr>
        <w:t xml:space="preserve"> خَادِمُهُمْ ، وَرُبَّمَا طَعِمْنَا </w:t>
      </w:r>
      <w:r w:rsidRPr="00D10E3C">
        <w:rPr>
          <w:rStyle w:val="libFootnotenumChar"/>
          <w:rtl/>
        </w:rPr>
        <w:t>(4)</w:t>
      </w:r>
      <w:r>
        <w:rPr>
          <w:rtl/>
          <w:lang w:bidi="fa-IR"/>
        </w:rPr>
        <w:t xml:space="preserve"> فِيهِ </w:t>
      </w:r>
      <w:r w:rsidRPr="00D10E3C">
        <w:rPr>
          <w:rStyle w:val="libFootnotenumChar"/>
          <w:rtl/>
        </w:rPr>
        <w:t>(5)</w:t>
      </w:r>
      <w:r>
        <w:rPr>
          <w:rtl/>
          <w:lang w:bidi="fa-IR"/>
        </w:rPr>
        <w:t xml:space="preserve"> الطَّعَامَ مِنْ عِنْدِ صَاحِبِنَا وَفِيهِ مِنْ طَعَامِهِمْ ، فَمَا تَرى فِي ذلِكَ؟</w:t>
      </w:r>
    </w:p>
    <w:p w:rsidR="00144FA6" w:rsidRDefault="00744A1C" w:rsidP="00744A1C">
      <w:pPr>
        <w:pStyle w:val="libNormal"/>
        <w:rPr>
          <w:rtl/>
          <w:lang w:bidi="fa-IR"/>
        </w:rPr>
      </w:pPr>
      <w:r>
        <w:rPr>
          <w:rtl/>
          <w:lang w:bidi="fa-IR"/>
        </w:rPr>
        <w:t xml:space="preserve">فَقَالَ : « إِنْ كَانَ فِي </w:t>
      </w:r>
      <w:r w:rsidRPr="00D10E3C">
        <w:rPr>
          <w:rStyle w:val="libFootnotenumChar"/>
          <w:rtl/>
        </w:rPr>
        <w:t>(6)</w:t>
      </w:r>
      <w:r>
        <w:rPr>
          <w:rtl/>
          <w:lang w:bidi="fa-IR"/>
        </w:rPr>
        <w:t xml:space="preserve"> دُخُولِكُمْ </w:t>
      </w:r>
      <w:r w:rsidRPr="00D10E3C">
        <w:rPr>
          <w:rStyle w:val="libFootnotenumChar"/>
          <w:rtl/>
        </w:rPr>
        <w:t>(7)</w:t>
      </w:r>
      <w:r>
        <w:rPr>
          <w:rtl/>
          <w:lang w:bidi="fa-IR"/>
        </w:rPr>
        <w:t xml:space="preserve"> عَلَيْهِمْ مَنْفَعَةٌ لَهُمْ ، فَلَا بَأْسَ ، وَإِنْ كَانَ فِيهِ ضَرَرٌ </w:t>
      </w:r>
      <w:r w:rsidRPr="00D10E3C">
        <w:rPr>
          <w:rStyle w:val="libFootnotenumChar"/>
          <w:rtl/>
        </w:rPr>
        <w:t>(8)</w:t>
      </w:r>
      <w:r>
        <w:rPr>
          <w:rtl/>
          <w:lang w:bidi="fa-IR"/>
        </w:rPr>
        <w:t xml:space="preserve"> ، فَلَا </w:t>
      </w:r>
      <w:r w:rsidRPr="00D10E3C">
        <w:rPr>
          <w:rStyle w:val="libFootnotenumChar"/>
          <w:rtl/>
        </w:rPr>
        <w:t>(9)</w:t>
      </w:r>
      <w:r>
        <w:rPr>
          <w:rtl/>
          <w:lang w:bidi="fa-IR"/>
        </w:rPr>
        <w:t xml:space="preserve"> » وَقَالَ </w:t>
      </w:r>
      <w:r w:rsidR="0061079A" w:rsidRPr="0061079A">
        <w:rPr>
          <w:rStyle w:val="libAlaemChar"/>
          <w:rtl/>
        </w:rPr>
        <w:t>عليه‌السلام</w:t>
      </w:r>
      <w:r w:rsidR="00D10E3C">
        <w:rPr>
          <w:rtl/>
          <w:lang w:bidi="fa-IR"/>
        </w:rPr>
        <w:t xml:space="preserve"> </w:t>
      </w:r>
      <w:r>
        <w:rPr>
          <w:rtl/>
          <w:lang w:bidi="fa-IR"/>
        </w:rPr>
        <w:t xml:space="preserve">: « </w:t>
      </w:r>
      <w:r w:rsidRPr="00E834A2">
        <w:rPr>
          <w:rStyle w:val="libAlaemChar"/>
          <w:rtl/>
        </w:rPr>
        <w:t>(</w:t>
      </w:r>
      <w:r w:rsidRPr="00E834A2">
        <w:rPr>
          <w:rStyle w:val="libAieChar"/>
          <w:rtl/>
        </w:rPr>
        <w:t xml:space="preserve"> بَلِ الْإِنْسانُ عَلى نَفْسِهِ بَصِيرَةٌ </w:t>
      </w:r>
      <w:r w:rsidRPr="00E834A2">
        <w:rPr>
          <w:rStyle w:val="libAlaemChar"/>
          <w:rtl/>
        </w:rPr>
        <w:t>)</w:t>
      </w:r>
      <w:r>
        <w:rPr>
          <w:rtl/>
          <w:lang w:bidi="fa-IR"/>
        </w:rPr>
        <w:t xml:space="preserve"> </w:t>
      </w:r>
      <w:r w:rsidRPr="00D10E3C">
        <w:rPr>
          <w:rStyle w:val="libFootnotenumChar"/>
          <w:rtl/>
        </w:rPr>
        <w:t>(10)</w:t>
      </w:r>
      <w:r>
        <w:rPr>
          <w:rtl/>
          <w:lang w:bidi="fa-IR"/>
        </w:rPr>
        <w:t xml:space="preserve"> فَأَنْتُمْ لَايَخْفى عَلَيْكُمْ </w:t>
      </w:r>
      <w:r w:rsidRPr="00D10E3C">
        <w:rPr>
          <w:rStyle w:val="libFootnotenumChar"/>
          <w:rtl/>
        </w:rPr>
        <w:t>(11)</w:t>
      </w:r>
      <w:r>
        <w:rPr>
          <w:rtl/>
          <w:lang w:bidi="fa-IR"/>
        </w:rPr>
        <w:t xml:space="preserve"> ، وَقَدْ قَالَ </w:t>
      </w:r>
      <w:r w:rsidRPr="00D10E3C">
        <w:rPr>
          <w:rStyle w:val="libFootnotenumChar"/>
          <w:rtl/>
        </w:rPr>
        <w:t>(12)</w:t>
      </w:r>
      <w:r>
        <w:rPr>
          <w:rtl/>
          <w:lang w:bidi="fa-IR"/>
        </w:rPr>
        <w:t xml:space="preserve"> اللهُ عَزَّ وَجَلَّ : </w:t>
      </w:r>
      <w:r w:rsidRPr="00E834A2">
        <w:rPr>
          <w:rStyle w:val="libAlaemChar"/>
          <w:rtl/>
        </w:rPr>
        <w:t>(</w:t>
      </w:r>
      <w:r w:rsidRPr="00E834A2">
        <w:rPr>
          <w:rStyle w:val="libAieChar"/>
          <w:rtl/>
        </w:rPr>
        <w:t xml:space="preserve"> وَإِنْ تُخالِطُوهُمْ فَإِخْوانُكُمْ </w:t>
      </w:r>
      <w:r w:rsidRPr="00D10E3C">
        <w:rPr>
          <w:rStyle w:val="libFootnotenumChar"/>
          <w:rtl/>
        </w:rPr>
        <w:t>(13)</w:t>
      </w:r>
      <w:r>
        <w:rPr>
          <w:rtl/>
          <w:lang w:bidi="fa-IR"/>
        </w:rPr>
        <w:t xml:space="preserve"> </w:t>
      </w:r>
      <w:r w:rsidRPr="0093310D">
        <w:rPr>
          <w:rStyle w:val="libAieChar"/>
          <w:rtl/>
        </w:rPr>
        <w:t xml:space="preserve">وَاللهُ يَعْلَمُ الْمُفْسِدَ مِنَ الْمُصْلِحِ </w:t>
      </w:r>
      <w:r w:rsidRPr="0093310D">
        <w:rPr>
          <w:rStyle w:val="libAlaemChar"/>
          <w:rtl/>
        </w:rPr>
        <w:t>)</w:t>
      </w:r>
      <w:r>
        <w:rPr>
          <w:rtl/>
          <w:lang w:bidi="fa-IR"/>
        </w:rPr>
        <w:t xml:space="preserve"> </w:t>
      </w:r>
      <w:r w:rsidRPr="00D10E3C">
        <w:rPr>
          <w:rStyle w:val="libFootnotenumChar"/>
          <w:rtl/>
        </w:rPr>
        <w:t>(14)</w:t>
      </w:r>
      <w:r>
        <w:rPr>
          <w:rtl/>
          <w:lang w:bidi="fa-IR"/>
        </w:rPr>
        <w:t xml:space="preserve"> ». </w:t>
      </w:r>
      <w:r w:rsidRPr="00D10E3C">
        <w:rPr>
          <w:rStyle w:val="libFootnotenumChar"/>
          <w:rtl/>
        </w:rPr>
        <w:t>(15)</w:t>
      </w:r>
    </w:p>
    <w:p w:rsidR="00744A1C" w:rsidRDefault="00744A1C" w:rsidP="00744A1C">
      <w:pPr>
        <w:pStyle w:val="libNormal"/>
        <w:rPr>
          <w:lang w:bidi="fa-IR"/>
        </w:rPr>
      </w:pPr>
      <w:r>
        <w:rPr>
          <w:rtl/>
          <w:lang w:bidi="fa-IR"/>
        </w:rPr>
        <w:t>8599 / 5. مُحَمَّدُ بْنُ يَحْيى ، عَنْ مُحَمَّدِ بْنِ الْحُسَيْنِ ، عَنْ ذُبْيَانَ بْنِ حَكِيمٍ الْأَوْدِيِّ ، عَنْ‌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بيته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الوسائل</w:t>
      </w:r>
      <w:r w:rsidR="00744A1C">
        <w:rPr>
          <w:rtl/>
          <w:lang w:bidi="fa-IR"/>
        </w:rPr>
        <w:t xml:space="preserve"> : « ومعه ».</w:t>
      </w:r>
    </w:p>
    <w:p w:rsidR="00744A1C" w:rsidRDefault="00E378DD" w:rsidP="00E378DD">
      <w:pPr>
        <w:pStyle w:val="libFootnote0"/>
        <w:rPr>
          <w:lang w:bidi="fa-IR"/>
        </w:rPr>
      </w:pPr>
      <w:r>
        <w:rPr>
          <w:rtl/>
          <w:lang w:bidi="fa-IR"/>
        </w:rPr>
        <w:t>(3).</w:t>
      </w:r>
      <w:r w:rsidR="00744A1C">
        <w:rPr>
          <w:rtl/>
          <w:lang w:bidi="fa-IR"/>
        </w:rPr>
        <w:t xml:space="preserve"> في « ى ، بس » : « تخدمنا ».</w:t>
      </w:r>
    </w:p>
    <w:p w:rsidR="00744A1C" w:rsidRDefault="00E378DD" w:rsidP="00E378DD">
      <w:pPr>
        <w:pStyle w:val="libFootnote0"/>
        <w:rPr>
          <w:lang w:bidi="fa-IR"/>
        </w:rPr>
      </w:pPr>
      <w:r>
        <w:rPr>
          <w:rtl/>
          <w:lang w:bidi="fa-IR"/>
        </w:rPr>
        <w:t>(4).</w:t>
      </w:r>
      <w:r w:rsidR="00744A1C">
        <w:rPr>
          <w:rtl/>
          <w:lang w:bidi="fa-IR"/>
        </w:rPr>
        <w:t xml:space="preserve"> في « بف » </w:t>
      </w:r>
      <w:r w:rsidR="00744A1C" w:rsidRPr="0093310D">
        <w:rPr>
          <w:rtl/>
        </w:rPr>
        <w:t>والوافي والبحار وتفسير العيّاشي</w:t>
      </w:r>
      <w:r w:rsidR="00744A1C">
        <w:rPr>
          <w:rtl/>
          <w:lang w:bidi="fa-IR"/>
        </w:rPr>
        <w:t xml:space="preserve"> : « أطعمنا ».</w:t>
      </w:r>
    </w:p>
    <w:tbl>
      <w:tblPr>
        <w:tblStyle w:val="TableGrid"/>
        <w:bidiVisual/>
        <w:tblW w:w="0" w:type="auto"/>
        <w:tblLook w:val="04A0" w:firstRow="1" w:lastRow="0" w:firstColumn="1" w:lastColumn="0" w:noHBand="0" w:noVBand="1"/>
      </w:tblPr>
      <w:tblGrid>
        <w:gridCol w:w="4006"/>
        <w:gridCol w:w="4006"/>
      </w:tblGrid>
      <w:tr w:rsidR="0093310D" w:rsidTr="0093310D">
        <w:tc>
          <w:tcPr>
            <w:tcW w:w="4006" w:type="dxa"/>
          </w:tcPr>
          <w:p w:rsidR="0093310D" w:rsidRDefault="0093310D" w:rsidP="00E378DD">
            <w:pPr>
              <w:pStyle w:val="libFootnote0"/>
              <w:rPr>
                <w:rtl/>
                <w:lang w:bidi="fa-IR"/>
              </w:rPr>
            </w:pPr>
            <w:r>
              <w:rPr>
                <w:rtl/>
                <w:lang w:bidi="fa-IR"/>
              </w:rPr>
              <w:t>(5). في « ط » : « من ».</w:t>
            </w:r>
          </w:p>
        </w:tc>
        <w:tc>
          <w:tcPr>
            <w:tcW w:w="4006" w:type="dxa"/>
          </w:tcPr>
          <w:p w:rsidR="0093310D" w:rsidRDefault="0093310D" w:rsidP="00E378DD">
            <w:pPr>
              <w:pStyle w:val="libFootnote0"/>
              <w:rPr>
                <w:rtl/>
                <w:lang w:bidi="fa-IR"/>
              </w:rPr>
            </w:pPr>
            <w:r>
              <w:rPr>
                <w:rtl/>
                <w:lang w:bidi="fa-IR"/>
              </w:rPr>
              <w:t xml:space="preserve">(6). في « ط » </w:t>
            </w:r>
            <w:r w:rsidRPr="0093310D">
              <w:rPr>
                <w:rtl/>
              </w:rPr>
              <w:t>والتهذيب</w:t>
            </w:r>
            <w:r>
              <w:rPr>
                <w:rtl/>
                <w:lang w:bidi="fa-IR"/>
              </w:rPr>
              <w:t xml:space="preserve"> : - « في ».</w:t>
            </w:r>
          </w:p>
        </w:tc>
      </w:tr>
      <w:tr w:rsidR="0093310D" w:rsidTr="0093310D">
        <w:tc>
          <w:tcPr>
            <w:tcW w:w="4006" w:type="dxa"/>
          </w:tcPr>
          <w:p w:rsidR="0093310D" w:rsidRDefault="0093310D" w:rsidP="00E378DD">
            <w:pPr>
              <w:pStyle w:val="libFootnote0"/>
              <w:rPr>
                <w:rtl/>
                <w:lang w:bidi="fa-IR"/>
              </w:rPr>
            </w:pPr>
            <w:r>
              <w:rPr>
                <w:rtl/>
                <w:lang w:bidi="fa-IR"/>
              </w:rPr>
              <w:t>(7). في « بف » : « دخولهم ».</w:t>
            </w:r>
          </w:p>
        </w:tc>
        <w:tc>
          <w:tcPr>
            <w:tcW w:w="4006" w:type="dxa"/>
          </w:tcPr>
          <w:p w:rsidR="0093310D" w:rsidRDefault="0093310D" w:rsidP="00E378DD">
            <w:pPr>
              <w:pStyle w:val="libFootnote0"/>
              <w:rPr>
                <w:rtl/>
                <w:lang w:bidi="fa-IR"/>
              </w:rPr>
            </w:pPr>
            <w:r>
              <w:rPr>
                <w:rtl/>
                <w:lang w:bidi="fa-IR"/>
              </w:rPr>
              <w:t xml:space="preserve">(8). في </w:t>
            </w:r>
            <w:r w:rsidRPr="0093310D">
              <w:rPr>
                <w:rtl/>
              </w:rPr>
              <w:t>البحار</w:t>
            </w:r>
            <w:r>
              <w:rPr>
                <w:rtl/>
                <w:lang w:bidi="fa-IR"/>
              </w:rPr>
              <w:t xml:space="preserve"> : « ضرراً ».</w:t>
            </w:r>
          </w:p>
        </w:tc>
      </w:tr>
    </w:tbl>
    <w:p w:rsidR="00744A1C" w:rsidRDefault="00E378DD" w:rsidP="00E378DD">
      <w:pPr>
        <w:pStyle w:val="libFootnote0"/>
        <w:rPr>
          <w:lang w:bidi="fa-IR"/>
        </w:rPr>
      </w:pPr>
      <w:r>
        <w:rPr>
          <w:rtl/>
          <w:lang w:bidi="fa-IR"/>
        </w:rPr>
        <w:t>(9).</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وإن كان فيه ضرر فلا ، ربما يقال : يحتمل هنا احتمال ثالث‌</w:t>
      </w:r>
      <w:r w:rsidR="0093310D">
        <w:rPr>
          <w:rFonts w:hint="cs"/>
          <w:rtl/>
          <w:lang w:bidi="fa-IR"/>
        </w:rPr>
        <w:t xml:space="preserve"> </w:t>
      </w:r>
      <w:r w:rsidR="00744A1C">
        <w:rPr>
          <w:rtl/>
          <w:lang w:bidi="fa-IR"/>
        </w:rPr>
        <w:t>غير مذكور ، وهو أن لا يكون نفع ولا ضرر ، والجواب : أنّ الضرر بالفعل معلوم ؛ فإنّه أكل من مالهم ، فإن كا</w:t>
      </w:r>
      <w:r w:rsidR="0093310D">
        <w:rPr>
          <w:rtl/>
          <w:lang w:bidi="fa-IR"/>
        </w:rPr>
        <w:t>ن له نفع جابر بضررهم فهو ، وإل</w:t>
      </w:r>
      <w:r w:rsidR="0093310D">
        <w:rPr>
          <w:rFonts w:hint="cs"/>
          <w:rtl/>
          <w:lang w:bidi="fa-IR"/>
        </w:rPr>
        <w:t>ّ</w:t>
      </w:r>
      <w:r w:rsidR="0093310D">
        <w:rPr>
          <w:rtl/>
          <w:lang w:bidi="fa-IR"/>
        </w:rPr>
        <w:t>ا فليس إل</w:t>
      </w:r>
      <w:r w:rsidR="0093310D">
        <w:rPr>
          <w:rFonts w:hint="cs"/>
          <w:rtl/>
          <w:lang w:bidi="fa-IR"/>
        </w:rPr>
        <w:t>ّ</w:t>
      </w:r>
      <w:r w:rsidR="0093310D">
        <w:rPr>
          <w:rtl/>
          <w:lang w:bidi="fa-IR"/>
        </w:rPr>
        <w:t>ا</w:t>
      </w:r>
      <w:r w:rsidR="00744A1C">
        <w:rPr>
          <w:rtl/>
          <w:lang w:bidi="fa-IR"/>
        </w:rPr>
        <w:t xml:space="preserve"> الضرر ، ولا واسطة ».</w:t>
      </w:r>
    </w:p>
    <w:p w:rsidR="00744A1C" w:rsidRDefault="00E378DD" w:rsidP="00E378DD">
      <w:pPr>
        <w:pStyle w:val="libFootnote0"/>
        <w:rPr>
          <w:lang w:bidi="fa-IR"/>
        </w:rPr>
      </w:pPr>
      <w:r>
        <w:rPr>
          <w:rtl/>
          <w:lang w:bidi="fa-IR"/>
        </w:rPr>
        <w:t>(10).</w:t>
      </w:r>
      <w:r w:rsidR="00744A1C">
        <w:rPr>
          <w:rtl/>
          <w:lang w:bidi="fa-IR"/>
        </w:rPr>
        <w:t xml:space="preserve"> القيامة </w:t>
      </w:r>
      <w:r w:rsidR="0093310D">
        <w:rPr>
          <w:rtl/>
          <w:lang w:bidi="fa-IR"/>
        </w:rPr>
        <w:t>(15)</w:t>
      </w:r>
      <w:r w:rsidR="00744A1C">
        <w:rPr>
          <w:rtl/>
          <w:lang w:bidi="fa-IR"/>
        </w:rPr>
        <w:t xml:space="preserve"> : 14.</w:t>
      </w:r>
    </w:p>
    <w:p w:rsidR="00744A1C" w:rsidRDefault="00E378DD" w:rsidP="00E378DD">
      <w:pPr>
        <w:pStyle w:val="libFootnote0"/>
        <w:rPr>
          <w:lang w:bidi="fa-IR"/>
        </w:rPr>
      </w:pPr>
      <w:r>
        <w:rPr>
          <w:rtl/>
          <w:lang w:bidi="fa-IR"/>
        </w:rPr>
        <w:t>(11).</w:t>
      </w:r>
      <w:r w:rsidR="00744A1C">
        <w:rPr>
          <w:rtl/>
          <w:lang w:bidi="fa-IR"/>
        </w:rPr>
        <w:t xml:space="preserve"> في </w:t>
      </w:r>
      <w:r w:rsidR="00744A1C" w:rsidRPr="0093310D">
        <w:rPr>
          <w:rtl/>
        </w:rPr>
        <w:t>البحار</w:t>
      </w:r>
      <w:r w:rsidR="00744A1C">
        <w:rPr>
          <w:rtl/>
          <w:lang w:bidi="fa-IR"/>
        </w:rPr>
        <w:t xml:space="preserve"> : - « وقال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93310D">
        <w:rPr>
          <w:rStyle w:val="libFootnoteAlaemChar"/>
          <w:rtl/>
        </w:rPr>
        <w:t>(</w:t>
      </w:r>
      <w:r w:rsidR="00744A1C" w:rsidRPr="0093310D">
        <w:rPr>
          <w:rStyle w:val="libFootnoteAieChar"/>
          <w:rtl/>
        </w:rPr>
        <w:t xml:space="preserve"> بَلِ الْإِنْسانُ عَلى نَفْسِهِ بَصِيرَةٌ </w:t>
      </w:r>
      <w:r w:rsidR="00744A1C" w:rsidRPr="0093310D">
        <w:rPr>
          <w:rStyle w:val="libFootnoteAlaemChar"/>
          <w:rtl/>
        </w:rPr>
        <w:t>)</w:t>
      </w:r>
      <w:r w:rsidR="00744A1C">
        <w:rPr>
          <w:rtl/>
          <w:lang w:bidi="fa-IR"/>
        </w:rPr>
        <w:t xml:space="preserve"> فأنتم لا يخفى عليكم ».</w:t>
      </w:r>
    </w:p>
    <w:p w:rsidR="00744A1C" w:rsidRDefault="00E378DD" w:rsidP="00E378DD">
      <w:pPr>
        <w:pStyle w:val="libFootnote0"/>
        <w:rPr>
          <w:lang w:bidi="fa-IR"/>
        </w:rPr>
      </w:pPr>
      <w:r>
        <w:rPr>
          <w:rtl/>
          <w:lang w:bidi="fa-IR"/>
        </w:rPr>
        <w:t>(12).</w:t>
      </w:r>
      <w:r w:rsidR="00744A1C">
        <w:rPr>
          <w:rtl/>
          <w:lang w:bidi="fa-IR"/>
        </w:rPr>
        <w:t xml:space="preserve"> في </w:t>
      </w:r>
      <w:r w:rsidR="00744A1C" w:rsidRPr="0093310D">
        <w:rPr>
          <w:rtl/>
        </w:rPr>
        <w:t>البحار</w:t>
      </w:r>
      <w:r w:rsidR="00744A1C">
        <w:rPr>
          <w:rtl/>
          <w:lang w:bidi="fa-IR"/>
        </w:rPr>
        <w:t xml:space="preserve"> : « وقال » بدل « وقد قال ».</w:t>
      </w:r>
    </w:p>
    <w:p w:rsidR="00744A1C" w:rsidRDefault="00E378DD" w:rsidP="00E378DD">
      <w:pPr>
        <w:pStyle w:val="libFootnote0"/>
        <w:rPr>
          <w:lang w:bidi="fa-IR"/>
        </w:rPr>
      </w:pPr>
      <w:r>
        <w:rPr>
          <w:rtl/>
          <w:lang w:bidi="fa-IR"/>
        </w:rPr>
        <w:t>(13).</w:t>
      </w:r>
      <w:r w:rsidR="00744A1C">
        <w:rPr>
          <w:rtl/>
          <w:lang w:bidi="fa-IR"/>
        </w:rPr>
        <w:t xml:space="preserve"> هكذا في المصحف و « ط ، بخ ، بف » </w:t>
      </w:r>
      <w:r w:rsidR="00744A1C" w:rsidRPr="0093310D">
        <w:rPr>
          <w:rtl/>
        </w:rPr>
        <w:t>والوافي والبحار والتهذيب</w:t>
      </w:r>
      <w:r w:rsidR="00744A1C">
        <w:rPr>
          <w:rtl/>
          <w:lang w:bidi="fa-IR"/>
        </w:rPr>
        <w:t xml:space="preserve">. وفي سائر النسخ والمطبوع : + « في الدين ». وفي هامش المطبوع : « قوله </w:t>
      </w:r>
      <w:r w:rsidR="0061079A" w:rsidRPr="0061079A">
        <w:rPr>
          <w:rStyle w:val="libFootnoteAlaemChar"/>
          <w:rtl/>
        </w:rPr>
        <w:t>عليه‌السلام</w:t>
      </w:r>
      <w:r w:rsidR="00D10E3C">
        <w:rPr>
          <w:rtl/>
          <w:lang w:bidi="fa-IR"/>
        </w:rPr>
        <w:t xml:space="preserve"> </w:t>
      </w:r>
      <w:r w:rsidR="00744A1C">
        <w:rPr>
          <w:rtl/>
          <w:lang w:bidi="fa-IR"/>
        </w:rPr>
        <w:t>: في الدين ، ذكره توضيحاً ».</w:t>
      </w:r>
    </w:p>
    <w:p w:rsidR="00744A1C" w:rsidRDefault="00E378DD" w:rsidP="00E378DD">
      <w:pPr>
        <w:pStyle w:val="libFootnote0"/>
        <w:rPr>
          <w:lang w:bidi="fa-IR"/>
        </w:rPr>
      </w:pPr>
      <w:r>
        <w:rPr>
          <w:rtl/>
          <w:lang w:bidi="fa-IR"/>
        </w:rPr>
        <w:t>(14).</w:t>
      </w:r>
      <w:r w:rsidR="00744A1C">
        <w:rPr>
          <w:rtl/>
          <w:lang w:bidi="fa-IR"/>
        </w:rPr>
        <w:t xml:space="preserve"> البقرة </w:t>
      </w:r>
      <w:r w:rsidR="0093310D">
        <w:rPr>
          <w:rtl/>
          <w:lang w:bidi="fa-IR"/>
        </w:rPr>
        <w:t>(2)</w:t>
      </w:r>
      <w:r w:rsidR="00744A1C">
        <w:rPr>
          <w:rtl/>
          <w:lang w:bidi="fa-IR"/>
        </w:rPr>
        <w:t xml:space="preserve"> : 220.</w:t>
      </w:r>
    </w:p>
    <w:p w:rsidR="00744A1C" w:rsidRDefault="00E378DD" w:rsidP="00E378DD">
      <w:pPr>
        <w:pStyle w:val="libFootnote0"/>
        <w:rPr>
          <w:lang w:bidi="fa-IR"/>
        </w:rPr>
      </w:pPr>
      <w:r>
        <w:rPr>
          <w:rtl/>
          <w:lang w:bidi="fa-IR"/>
        </w:rPr>
        <w:t>(15).</w:t>
      </w:r>
      <w:r w:rsidR="00744A1C">
        <w:rPr>
          <w:rtl/>
          <w:lang w:bidi="fa-IR"/>
        </w:rPr>
        <w:t xml:space="preserve"> </w:t>
      </w:r>
      <w:r w:rsidR="00744A1C" w:rsidRPr="00C24F9C">
        <w:rPr>
          <w:rStyle w:val="libFootnoteBoldChar"/>
          <w:rtl/>
        </w:rPr>
        <w:t>التهذيب</w:t>
      </w:r>
      <w:r w:rsidR="00744A1C">
        <w:rPr>
          <w:rtl/>
          <w:lang w:bidi="fa-IR"/>
        </w:rPr>
        <w:t xml:space="preserve"> ، ج 6 ، ص 339 ، ح 947 ، معلّقاً عن أحمد بن محمّد. </w:t>
      </w:r>
      <w:r w:rsidR="00744A1C" w:rsidRPr="00A914B5">
        <w:rPr>
          <w:rStyle w:val="libFootnoteBoldChar"/>
          <w:rtl/>
        </w:rPr>
        <w:t>تفسير العيّاشي</w:t>
      </w:r>
      <w:r w:rsidR="00744A1C">
        <w:rPr>
          <w:rtl/>
          <w:lang w:bidi="fa-IR"/>
        </w:rPr>
        <w:t xml:space="preserve"> ، ج 1 ، ص 107 ، ح 320 ، عن الكاهلي ، عن أبي عبد الله </w:t>
      </w:r>
      <w:r w:rsidR="0061079A" w:rsidRPr="0061079A">
        <w:rPr>
          <w:rStyle w:val="libFootnoteAlaemChar"/>
          <w:rtl/>
        </w:rPr>
        <w:t>عليه‌السلام</w:t>
      </w:r>
      <w:r w:rsidR="00D10E3C">
        <w:rPr>
          <w:rtl/>
          <w:lang w:bidi="fa-IR"/>
        </w:rPr>
        <w:t xml:space="preserve"> </w:t>
      </w:r>
      <w:r w:rsidR="0093310D">
        <w:rPr>
          <w:rFonts w:hint="cs"/>
          <w:rtl/>
          <w:lang w:bidi="fa-IR"/>
        </w:rPr>
        <w:t>.</w:t>
      </w:r>
      <w:r w:rsidR="00744A1C" w:rsidRPr="00C24F9C">
        <w:rPr>
          <w:rStyle w:val="libFootnoteBoldChar"/>
          <w:rtl/>
        </w:rPr>
        <w:t>الوافي</w:t>
      </w:r>
      <w:r w:rsidR="00744A1C">
        <w:rPr>
          <w:rtl/>
          <w:lang w:bidi="fa-IR"/>
        </w:rPr>
        <w:t xml:space="preserve"> ، ج 17 ، ص 307 ، ح 17325 ؛ </w:t>
      </w:r>
      <w:r w:rsidR="00744A1C" w:rsidRPr="00C24F9C">
        <w:rPr>
          <w:rStyle w:val="libFootnoteBoldChar"/>
          <w:rtl/>
        </w:rPr>
        <w:t>الوسائل</w:t>
      </w:r>
      <w:r w:rsidR="00744A1C">
        <w:rPr>
          <w:rtl/>
          <w:lang w:bidi="fa-IR"/>
        </w:rPr>
        <w:t xml:space="preserve"> ، ج 17 ، ص 248 ، ح 22446 ؛ </w:t>
      </w:r>
      <w:r w:rsidR="00744A1C" w:rsidRPr="0061079A">
        <w:rPr>
          <w:rStyle w:val="libFootnoteBoldChar"/>
          <w:rtl/>
        </w:rPr>
        <w:t>البحار</w:t>
      </w:r>
      <w:r w:rsidR="00744A1C">
        <w:rPr>
          <w:rtl/>
          <w:lang w:bidi="fa-IR"/>
        </w:rPr>
        <w:t xml:space="preserve"> ، ج 79 ، ص 272 ، ح 18.</w:t>
      </w:r>
    </w:p>
    <w:p w:rsidR="006D42F6" w:rsidRDefault="006D42F6" w:rsidP="00D10E3C">
      <w:pPr>
        <w:pStyle w:val="libNormal"/>
        <w:rPr>
          <w:rtl/>
          <w:lang w:bidi="fa-IR"/>
        </w:rPr>
      </w:pPr>
      <w:r>
        <w:rPr>
          <w:rtl/>
          <w:lang w:bidi="fa-IR"/>
        </w:rPr>
        <w:br w:type="page"/>
      </w:r>
    </w:p>
    <w:p w:rsidR="00144FA6" w:rsidRDefault="00744A1C" w:rsidP="0093310D">
      <w:pPr>
        <w:pStyle w:val="libNormal0"/>
        <w:rPr>
          <w:rtl/>
          <w:lang w:bidi="fa-IR"/>
        </w:rPr>
      </w:pPr>
      <w:r>
        <w:rPr>
          <w:rtl/>
          <w:lang w:bidi="fa-IR"/>
        </w:rPr>
        <w:t xml:space="preserve">عَلِيِّ بْنِ أَبِي </w:t>
      </w:r>
      <w:r w:rsidRPr="00D10E3C">
        <w:rPr>
          <w:rStyle w:val="libFootnotenumChar"/>
          <w:rtl/>
        </w:rPr>
        <w:t>(1)</w:t>
      </w:r>
      <w:r>
        <w:rPr>
          <w:rtl/>
          <w:lang w:bidi="fa-IR"/>
        </w:rPr>
        <w:t xml:space="preserve"> الْمُغِيرَةِ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 لِيَ ابْنَةَ أَخٍ يَتِيمَةً ، فَرُبَّمَا أُهْدِيَ لَهَا الشَّيْ‌ءُ </w:t>
      </w:r>
      <w:r w:rsidRPr="00D10E3C">
        <w:rPr>
          <w:rStyle w:val="libFootnotenumChar"/>
          <w:rtl/>
        </w:rPr>
        <w:t>(2)</w:t>
      </w:r>
      <w:r>
        <w:rPr>
          <w:rtl/>
          <w:lang w:bidi="fa-IR"/>
        </w:rPr>
        <w:t xml:space="preserve"> ، فَآكُلُ مِنْهُ ، ثُمَّ أُطْعِمُهَا بَعْدَ ذلِكَ الشَّيْ‌ءَ </w:t>
      </w:r>
      <w:r w:rsidRPr="00D10E3C">
        <w:rPr>
          <w:rStyle w:val="libFootnotenumChar"/>
          <w:rtl/>
        </w:rPr>
        <w:t>(3)</w:t>
      </w:r>
      <w:r>
        <w:rPr>
          <w:rtl/>
          <w:lang w:bidi="fa-IR"/>
        </w:rPr>
        <w:t xml:space="preserve"> مِنْ مَالِي ، فَأَقُولُ : يَا رَبِّ ، هذَا بِهذَا </w:t>
      </w:r>
      <w:r w:rsidRPr="00D10E3C">
        <w:rPr>
          <w:rStyle w:val="libFootnotenumChar"/>
          <w:rtl/>
        </w:rPr>
        <w:t>(4)</w:t>
      </w:r>
      <w:r w:rsidR="0093310D" w:rsidRPr="0093310D">
        <w:rPr>
          <w:rFonts w:hint="cs"/>
          <w:rtl/>
        </w:rPr>
        <w:t>.</w:t>
      </w:r>
    </w:p>
    <w:p w:rsidR="00144FA6" w:rsidRDefault="00744A1C" w:rsidP="00744A1C">
      <w:pPr>
        <w:pStyle w:val="libNormal"/>
        <w:rPr>
          <w:rtl/>
          <w:lang w:bidi="fa-IR"/>
        </w:rPr>
      </w:pPr>
      <w:r>
        <w:rPr>
          <w:rtl/>
          <w:lang w:bidi="fa-IR"/>
        </w:rPr>
        <w:t xml:space="preserve">فَقَالَ </w:t>
      </w:r>
      <w:r w:rsidR="0061079A" w:rsidRPr="0061079A">
        <w:rPr>
          <w:rStyle w:val="libAlaemChar"/>
          <w:rtl/>
        </w:rPr>
        <w:t>عليه‌السلام</w:t>
      </w:r>
      <w:r w:rsidR="00D10E3C">
        <w:rPr>
          <w:rtl/>
          <w:lang w:bidi="fa-IR"/>
        </w:rPr>
        <w:t xml:space="preserve"> </w:t>
      </w:r>
      <w:r>
        <w:rPr>
          <w:rtl/>
          <w:lang w:bidi="fa-IR"/>
        </w:rPr>
        <w:t xml:space="preserve">: « لَا بَأْسَ ». </w:t>
      </w:r>
      <w:r w:rsidRPr="00D10E3C">
        <w:rPr>
          <w:rStyle w:val="libFootnotenumChar"/>
          <w:rtl/>
        </w:rPr>
        <w:t>(5)</w:t>
      </w:r>
    </w:p>
    <w:p w:rsidR="00744A1C" w:rsidRDefault="00744A1C" w:rsidP="0093310D">
      <w:pPr>
        <w:pStyle w:val="Heading2Center"/>
        <w:rPr>
          <w:lang w:bidi="fa-IR"/>
        </w:rPr>
      </w:pPr>
      <w:bookmarkStart w:id="167" w:name="_Toc49261465"/>
      <w:r>
        <w:rPr>
          <w:rtl/>
          <w:lang w:bidi="fa-IR"/>
        </w:rPr>
        <w:t xml:space="preserve">44 - بَابُ مَا يَحِلُّ لِقَيِّمِ مَالِ الْيَتِيمِ </w:t>
      </w:r>
      <w:r w:rsidRPr="00D10E3C">
        <w:rPr>
          <w:rStyle w:val="libFootnotenumChar"/>
          <w:rtl/>
        </w:rPr>
        <w:t>(6)</w:t>
      </w:r>
      <w:r>
        <w:rPr>
          <w:rtl/>
          <w:lang w:bidi="fa-IR"/>
        </w:rPr>
        <w:t xml:space="preserve"> مِنْهُ‌</w:t>
      </w:r>
      <w:bookmarkEnd w:id="167"/>
    </w:p>
    <w:p w:rsidR="00144FA6" w:rsidRDefault="00744A1C" w:rsidP="00744A1C">
      <w:pPr>
        <w:pStyle w:val="libNormal"/>
        <w:rPr>
          <w:rtl/>
          <w:lang w:bidi="fa-IR"/>
        </w:rPr>
      </w:pPr>
      <w:r>
        <w:rPr>
          <w:rtl/>
          <w:lang w:bidi="fa-IR"/>
        </w:rPr>
        <w:t>8600 / 1. عِدَّةٌ مِنْ أَصْحَابِنَا ، عَنْ أَحْمَدَ بْنِ مُحَمَّدٍ ، عَنْ عُثْمَانَ بْنِ عِيسى ، عَنْ سَمَاعَةَ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93310D">
        <w:rPr>
          <w:rStyle w:val="libAlaemChar"/>
          <w:rtl/>
        </w:rPr>
        <w:t>(</w:t>
      </w:r>
      <w:r w:rsidRPr="0093310D">
        <w:rPr>
          <w:rStyle w:val="libAieChar"/>
          <w:rtl/>
        </w:rPr>
        <w:t xml:space="preserve"> وَمَنْ كانَ فَقِيراً فَلْيَأْكُلْ بِالْمَعْرُوفِ ) </w:t>
      </w:r>
      <w:r w:rsidRPr="00D10E3C">
        <w:rPr>
          <w:rStyle w:val="libFootnotenumChar"/>
          <w:rtl/>
        </w:rPr>
        <w:t>(7)</w:t>
      </w:r>
      <w:r>
        <w:rPr>
          <w:rtl/>
          <w:lang w:bidi="fa-IR"/>
        </w:rPr>
        <w:t xml:space="preserve"> قَالَ </w:t>
      </w:r>
      <w:r w:rsidRPr="00D10E3C">
        <w:rPr>
          <w:rStyle w:val="libFootnotenumChar"/>
          <w:rtl/>
        </w:rPr>
        <w:t>(8)</w:t>
      </w:r>
      <w:r>
        <w:rPr>
          <w:rtl/>
          <w:lang w:bidi="fa-IR"/>
        </w:rPr>
        <w:t xml:space="preserve"> : « مَنْ كَانَ يَلِي شَيْئاً لِلْيَتَامى وَهُوَ مُحْتَاجٌ </w:t>
      </w:r>
      <w:r w:rsidRPr="00D10E3C">
        <w:rPr>
          <w:rStyle w:val="libFootnotenumChar"/>
          <w:rtl/>
        </w:rPr>
        <w:t>(9)</w:t>
      </w:r>
      <w:r>
        <w:rPr>
          <w:rtl/>
          <w:lang w:bidi="fa-IR"/>
        </w:rPr>
        <w:t xml:space="preserve"> لَيْسَ لَهُ مَا يُقِيمُهُ ، فَهُوَ يَتَقَاضى أَمْوَالَهُمْ </w:t>
      </w:r>
      <w:r w:rsidRPr="00D10E3C">
        <w:rPr>
          <w:rStyle w:val="libFootnotenumChar"/>
          <w:rtl/>
        </w:rPr>
        <w:t>(10)</w:t>
      </w:r>
      <w:r>
        <w:rPr>
          <w:rtl/>
          <w:lang w:bidi="fa-IR"/>
        </w:rPr>
        <w:t xml:space="preserve"> ، وَيَقُومُ فِي ضَيْعَتِهِمْ </w:t>
      </w:r>
      <w:r w:rsidRPr="00D10E3C">
        <w:rPr>
          <w:rStyle w:val="libFootnotenumChar"/>
          <w:rtl/>
        </w:rPr>
        <w:t>(11)</w:t>
      </w:r>
      <w:r>
        <w:rPr>
          <w:rtl/>
          <w:lang w:bidi="fa-IR"/>
        </w:rPr>
        <w:t xml:space="preserve"> ، فَلْيَأْكُلْ‌</w:t>
      </w:r>
      <w:r w:rsidR="0093310D">
        <w:rPr>
          <w:rFonts w:hint="cs"/>
          <w:rtl/>
          <w:lang w:bidi="fa-IR"/>
        </w:rPr>
        <w:t xml:space="preserve"> .............................................</w:t>
      </w:r>
      <w:r w:rsidR="0093310D">
        <w:rPr>
          <w:rFonts w:hint="cs"/>
          <w:rtl/>
          <w:lang w:bidi="fa-IR"/>
        </w:rPr>
        <w:tab/>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هكذا في « ط ». وفي « ى ، بح ، بخ ، بس ، بف ، جت ، جد ، جن » والمطبوع </w:t>
      </w:r>
      <w:r w:rsidR="00744A1C" w:rsidRPr="0093310D">
        <w:rPr>
          <w:rtl/>
        </w:rPr>
        <w:t>والوسائل</w:t>
      </w:r>
      <w:r w:rsidR="00744A1C">
        <w:rPr>
          <w:rtl/>
          <w:lang w:bidi="fa-IR"/>
        </w:rPr>
        <w:t xml:space="preserve"> : - « أبي ».</w:t>
      </w:r>
    </w:p>
    <w:p w:rsidR="00744A1C" w:rsidRDefault="00744A1C" w:rsidP="00D10E3C">
      <w:pPr>
        <w:pStyle w:val="libFootnote0"/>
        <w:rPr>
          <w:lang w:bidi="fa-IR"/>
        </w:rPr>
      </w:pPr>
      <w:r>
        <w:rPr>
          <w:rtl/>
          <w:lang w:bidi="fa-IR"/>
        </w:rPr>
        <w:t xml:space="preserve">وما أثبتناه هو الظاهر ، كما تقدّم في </w:t>
      </w:r>
      <w:r w:rsidRPr="0061079A">
        <w:rPr>
          <w:rStyle w:val="libFootnoteBoldChar"/>
          <w:rtl/>
        </w:rPr>
        <w:t>الكافي</w:t>
      </w:r>
      <w:r>
        <w:rPr>
          <w:rtl/>
          <w:lang w:bidi="fa-IR"/>
        </w:rPr>
        <w:t xml:space="preserve"> ، ذيل ح 3927 ، فلاحظ.</w:t>
      </w:r>
    </w:p>
    <w:tbl>
      <w:tblPr>
        <w:tblStyle w:val="TableGrid"/>
        <w:bidiVisual/>
        <w:tblW w:w="0" w:type="auto"/>
        <w:tblLook w:val="04A0" w:firstRow="1" w:lastRow="0" w:firstColumn="1" w:lastColumn="0" w:noHBand="0" w:noVBand="1"/>
      </w:tblPr>
      <w:tblGrid>
        <w:gridCol w:w="4006"/>
        <w:gridCol w:w="4006"/>
      </w:tblGrid>
      <w:tr w:rsidR="0093310D" w:rsidTr="0093310D">
        <w:tc>
          <w:tcPr>
            <w:tcW w:w="4006" w:type="dxa"/>
          </w:tcPr>
          <w:p w:rsidR="0093310D" w:rsidRDefault="0093310D" w:rsidP="00E378DD">
            <w:pPr>
              <w:pStyle w:val="libFootnote0"/>
              <w:rPr>
                <w:rtl/>
                <w:lang w:bidi="fa-IR"/>
              </w:rPr>
            </w:pPr>
            <w:r>
              <w:rPr>
                <w:rtl/>
                <w:lang w:bidi="fa-IR"/>
              </w:rPr>
              <w:t xml:space="preserve">(2). في « بخ ، بف » </w:t>
            </w:r>
            <w:r w:rsidRPr="0093310D">
              <w:rPr>
                <w:rtl/>
              </w:rPr>
              <w:t>والوافي والبحار</w:t>
            </w:r>
            <w:r>
              <w:rPr>
                <w:rtl/>
                <w:lang w:bidi="fa-IR"/>
              </w:rPr>
              <w:t xml:space="preserve"> : « شي‌ء ».</w:t>
            </w:r>
          </w:p>
        </w:tc>
        <w:tc>
          <w:tcPr>
            <w:tcW w:w="4006" w:type="dxa"/>
          </w:tcPr>
          <w:p w:rsidR="0093310D" w:rsidRDefault="00326EED" w:rsidP="00E378DD">
            <w:pPr>
              <w:pStyle w:val="libFootnote0"/>
              <w:rPr>
                <w:rtl/>
                <w:lang w:bidi="fa-IR"/>
              </w:rPr>
            </w:pPr>
            <w:r>
              <w:rPr>
                <w:rtl/>
                <w:lang w:bidi="fa-IR"/>
              </w:rPr>
              <w:t>(3). في«بخ،بف»وحاشية</w:t>
            </w:r>
            <w:r w:rsidR="0093310D">
              <w:rPr>
                <w:rtl/>
                <w:lang w:bidi="fa-IR"/>
              </w:rPr>
              <w:t>«بح»</w:t>
            </w:r>
            <w:r w:rsidR="0093310D" w:rsidRPr="0093310D">
              <w:rPr>
                <w:rtl/>
              </w:rPr>
              <w:t>والوافي والبحار</w:t>
            </w:r>
            <w:r w:rsidR="0093310D">
              <w:rPr>
                <w:rtl/>
              </w:rPr>
              <w:t>:«</w:t>
            </w:r>
            <w:r w:rsidR="0093310D" w:rsidRPr="0093310D">
              <w:rPr>
                <w:rtl/>
              </w:rPr>
              <w:t>ش</w:t>
            </w:r>
            <w:r w:rsidR="0093310D">
              <w:rPr>
                <w:rtl/>
                <w:lang w:bidi="fa-IR"/>
              </w:rPr>
              <w:t>يئاً».</w:t>
            </w:r>
          </w:p>
        </w:tc>
      </w:tr>
    </w:tbl>
    <w:p w:rsidR="00744A1C" w:rsidRDefault="00E378DD" w:rsidP="00E378DD">
      <w:pPr>
        <w:pStyle w:val="libFootnote0"/>
        <w:rPr>
          <w:lang w:bidi="fa-IR"/>
        </w:rPr>
      </w:pPr>
      <w:r>
        <w:rPr>
          <w:rtl/>
          <w:lang w:bidi="fa-IR"/>
        </w:rPr>
        <w:t>(4).</w:t>
      </w:r>
      <w:r w:rsidR="00744A1C">
        <w:rPr>
          <w:rtl/>
          <w:lang w:bidi="fa-IR"/>
        </w:rPr>
        <w:t xml:space="preserve"> في « ى ، بح ، بس ، جد ، جن » </w:t>
      </w:r>
      <w:r w:rsidR="00744A1C" w:rsidRPr="00326EED">
        <w:rPr>
          <w:rtl/>
        </w:rPr>
        <w:t>والوسائل</w:t>
      </w:r>
      <w:r w:rsidR="00744A1C">
        <w:rPr>
          <w:rtl/>
          <w:lang w:bidi="fa-IR"/>
        </w:rPr>
        <w:t xml:space="preserve"> : « بذا ». وفي « ط » : « بذاك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الوافي</w:t>
      </w:r>
      <w:r w:rsidR="00744A1C">
        <w:rPr>
          <w:rtl/>
          <w:lang w:bidi="fa-IR"/>
        </w:rPr>
        <w:t xml:space="preserve"> ، ج 17 ، ص 308 ، ح 17326 ؛ </w:t>
      </w:r>
      <w:r w:rsidR="00744A1C" w:rsidRPr="00C24F9C">
        <w:rPr>
          <w:rStyle w:val="libFootnoteBoldChar"/>
          <w:rtl/>
        </w:rPr>
        <w:t>الوسائل</w:t>
      </w:r>
      <w:r w:rsidR="00744A1C">
        <w:rPr>
          <w:rtl/>
          <w:lang w:bidi="fa-IR"/>
        </w:rPr>
        <w:t xml:space="preserve"> ، ج 17 ، ص 249 ، ح 22447 ؛ </w:t>
      </w:r>
      <w:r w:rsidR="00744A1C" w:rsidRPr="0061079A">
        <w:rPr>
          <w:rStyle w:val="libFootnoteBoldChar"/>
          <w:rtl/>
        </w:rPr>
        <w:t>البحار</w:t>
      </w:r>
      <w:r w:rsidR="00744A1C">
        <w:rPr>
          <w:rtl/>
          <w:lang w:bidi="fa-IR"/>
        </w:rPr>
        <w:t xml:space="preserve"> ، ج 79 ، ص 272 ، ح 19.</w:t>
      </w:r>
    </w:p>
    <w:p w:rsidR="00744A1C" w:rsidRDefault="00E378DD" w:rsidP="00E378DD">
      <w:pPr>
        <w:pStyle w:val="libFootnote0"/>
        <w:rPr>
          <w:lang w:bidi="fa-IR"/>
        </w:rPr>
      </w:pPr>
      <w:r>
        <w:rPr>
          <w:rtl/>
          <w:lang w:bidi="fa-IR"/>
        </w:rPr>
        <w:t>(6).</w:t>
      </w:r>
      <w:r w:rsidR="00744A1C">
        <w:rPr>
          <w:rtl/>
          <w:lang w:bidi="fa-IR"/>
        </w:rPr>
        <w:t xml:space="preserve"> في « بخ » : « الأيتام ».</w:t>
      </w:r>
    </w:p>
    <w:p w:rsidR="00744A1C" w:rsidRDefault="00E378DD" w:rsidP="00E378DD">
      <w:pPr>
        <w:pStyle w:val="libFootnote0"/>
        <w:rPr>
          <w:lang w:bidi="fa-IR"/>
        </w:rPr>
      </w:pPr>
      <w:r>
        <w:rPr>
          <w:rtl/>
          <w:lang w:bidi="fa-IR"/>
        </w:rPr>
        <w:t>(7).</w:t>
      </w:r>
      <w:r w:rsidR="00744A1C">
        <w:rPr>
          <w:rtl/>
          <w:lang w:bidi="fa-IR"/>
        </w:rPr>
        <w:t xml:space="preserve"> النساء </w:t>
      </w:r>
      <w:r w:rsidR="00326EED">
        <w:rPr>
          <w:rtl/>
          <w:lang w:bidi="fa-IR"/>
        </w:rPr>
        <w:t>(4)</w:t>
      </w:r>
      <w:r w:rsidR="00744A1C">
        <w:rPr>
          <w:rtl/>
          <w:lang w:bidi="fa-IR"/>
        </w:rPr>
        <w:t xml:space="preserve"> : 6. وفي </w:t>
      </w:r>
      <w:r w:rsidR="00744A1C" w:rsidRPr="00326EED">
        <w:rPr>
          <w:rStyle w:val="libFootnoteBoldChar"/>
          <w:rtl/>
        </w:rPr>
        <w:t>مجمع البيان</w:t>
      </w:r>
      <w:r w:rsidR="00744A1C">
        <w:rPr>
          <w:rtl/>
          <w:lang w:bidi="fa-IR"/>
        </w:rPr>
        <w:t xml:space="preserve"> ، ج 3 ، ص 21 : « معناه : من كان فقيراً فليأخذ من مال اليتيم قدر الحاجة</w:t>
      </w:r>
      <w:r w:rsidR="00326EED">
        <w:rPr>
          <w:rFonts w:hint="cs"/>
          <w:rtl/>
          <w:lang w:bidi="fa-IR"/>
        </w:rPr>
        <w:t xml:space="preserve"> </w:t>
      </w:r>
      <w:r w:rsidR="00744A1C">
        <w:rPr>
          <w:rtl/>
          <w:lang w:bidi="fa-IR"/>
        </w:rPr>
        <w:t xml:space="preserve">والكفاية على جهة القرض ، ثمّ يردّ عليه ما أخذ منه إذا وجد ... وهو المرويّ عن الباقر </w:t>
      </w:r>
      <w:r w:rsidR="0061079A" w:rsidRPr="0061079A">
        <w:rPr>
          <w:rStyle w:val="libFootnoteAlaemChar"/>
          <w:rtl/>
        </w:rPr>
        <w:t>عليه‌السلام</w:t>
      </w:r>
      <w:r w:rsidR="00744A1C">
        <w:rPr>
          <w:rtl/>
          <w:lang w:bidi="fa-IR"/>
        </w:rPr>
        <w:t xml:space="preserve"> . وقيل : معناه : يأخذ قدر ما يسدّ به جوعته ويستر عورته لا على جهة القرض ، عن عطاء بن أبي رباح وقتادة وجماعة ، ولم يوجبوا اجرة المثل ؛ لأنّ ا</w:t>
      </w:r>
      <w:r w:rsidR="00326EED">
        <w:rPr>
          <w:rFonts w:hint="cs"/>
          <w:rtl/>
          <w:lang w:bidi="fa-IR"/>
        </w:rPr>
        <w:t>ُ</w:t>
      </w:r>
      <w:r w:rsidR="00744A1C">
        <w:rPr>
          <w:rtl/>
          <w:lang w:bidi="fa-IR"/>
        </w:rPr>
        <w:t>جرة المثل ربما كانت أكثر من قدر الحاجة. والظاهر في روايات أصحابنا أنّ له اجرة المثل ، سواء كان قدر كفايته ، أو لم يكن ».</w:t>
      </w:r>
    </w:p>
    <w:p w:rsidR="00744A1C" w:rsidRDefault="00E378DD" w:rsidP="00E378DD">
      <w:pPr>
        <w:pStyle w:val="libFootnote0"/>
        <w:rPr>
          <w:lang w:bidi="fa-IR"/>
        </w:rPr>
      </w:pPr>
      <w:r>
        <w:rPr>
          <w:rtl/>
          <w:lang w:bidi="fa-IR"/>
        </w:rPr>
        <w:t>(8).</w:t>
      </w:r>
      <w:r w:rsidR="00744A1C">
        <w:rPr>
          <w:rtl/>
          <w:lang w:bidi="fa-IR"/>
        </w:rPr>
        <w:t xml:space="preserve"> هكذا في « ط ، ى ، بح ، بس ، جد ، جن » </w:t>
      </w:r>
      <w:r w:rsidR="00744A1C" w:rsidRPr="00326EED">
        <w:rPr>
          <w:rtl/>
        </w:rPr>
        <w:t>والوسائل والتهذيب</w:t>
      </w:r>
      <w:r w:rsidR="00744A1C">
        <w:rPr>
          <w:rtl/>
          <w:lang w:bidi="fa-IR"/>
        </w:rPr>
        <w:t>. وفي سائر النسخ والمطبوع : « فقال ».</w:t>
      </w:r>
    </w:p>
    <w:p w:rsidR="00744A1C" w:rsidRDefault="00E378DD" w:rsidP="00E378DD">
      <w:pPr>
        <w:pStyle w:val="libFootnote0"/>
        <w:rPr>
          <w:lang w:bidi="fa-IR"/>
        </w:rPr>
      </w:pPr>
      <w:r>
        <w:rPr>
          <w:rtl/>
          <w:lang w:bidi="fa-IR"/>
        </w:rPr>
        <w:t>(9).</w:t>
      </w:r>
      <w:r w:rsidR="00744A1C">
        <w:rPr>
          <w:rtl/>
          <w:lang w:bidi="fa-IR"/>
        </w:rPr>
        <w:t xml:space="preserve"> في « بس » : + « إليه ».</w:t>
      </w:r>
    </w:p>
    <w:p w:rsidR="00744A1C" w:rsidRDefault="00E378DD" w:rsidP="00E378DD">
      <w:pPr>
        <w:pStyle w:val="libFootnote0"/>
        <w:rPr>
          <w:lang w:bidi="fa-IR"/>
        </w:rPr>
      </w:pPr>
      <w:r>
        <w:rPr>
          <w:rtl/>
          <w:lang w:bidi="fa-IR"/>
        </w:rPr>
        <w:t>(10).</w:t>
      </w:r>
      <w:r w:rsidR="00744A1C">
        <w:rPr>
          <w:rtl/>
          <w:lang w:bidi="fa-IR"/>
        </w:rPr>
        <w:t xml:space="preserve"> « يتقاضى » أي يطلب ، أو يقبض ، راجع : </w:t>
      </w:r>
      <w:r w:rsidR="00744A1C" w:rsidRPr="00326EED">
        <w:rPr>
          <w:rStyle w:val="libFootnoteBoldChar"/>
          <w:rtl/>
        </w:rPr>
        <w:t>تاج العروس</w:t>
      </w:r>
      <w:r w:rsidR="00744A1C">
        <w:rPr>
          <w:rtl/>
          <w:lang w:bidi="fa-IR"/>
        </w:rPr>
        <w:t xml:space="preserve"> ، ج 20 ، ص 85 ( قضى ) ، وفي هامش </w:t>
      </w:r>
      <w:r w:rsidR="00744A1C" w:rsidRPr="0061079A">
        <w:rPr>
          <w:rStyle w:val="libFootnoteBoldChar"/>
          <w:rtl/>
        </w:rPr>
        <w:t>الكافي</w:t>
      </w:r>
      <w:r w:rsidR="00744A1C">
        <w:rPr>
          <w:rtl/>
          <w:lang w:bidi="fa-IR"/>
        </w:rPr>
        <w:t xml:space="preserve"> المطبوع : « التقاضي بالدين : مطالبته ، والمراد أنّ القيّم يطالب بديونهم التي في ذمّة الناس من أموالهم ».</w:t>
      </w:r>
    </w:p>
    <w:p w:rsidR="00144FA6" w:rsidRDefault="00E378DD" w:rsidP="00E378DD">
      <w:pPr>
        <w:pStyle w:val="libFootnote0"/>
        <w:rPr>
          <w:rtl/>
          <w:lang w:bidi="fa-IR"/>
        </w:rPr>
      </w:pPr>
      <w:r>
        <w:rPr>
          <w:rtl/>
          <w:lang w:bidi="fa-IR"/>
        </w:rPr>
        <w:t>(11).</w:t>
      </w:r>
      <w:r w:rsidR="00744A1C">
        <w:rPr>
          <w:rtl/>
          <w:lang w:bidi="fa-IR"/>
        </w:rPr>
        <w:t xml:space="preserve"> الضيعة الأرض المغلّة ، والعقار ، وهو كلّ ملك ثابت له أصل ، كالدار والنخل والكَرْم والأرض.</w:t>
      </w:r>
      <w:r w:rsidR="00326EED">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955510">
      <w:pPr>
        <w:pStyle w:val="libNormal"/>
        <w:rPr>
          <w:rtl/>
          <w:lang w:bidi="fa-IR"/>
        </w:rPr>
      </w:pPr>
      <w:r>
        <w:rPr>
          <w:rtl/>
          <w:lang w:bidi="fa-IR"/>
        </w:rPr>
        <w:t xml:space="preserve">بِقَدَرٍ </w:t>
      </w:r>
      <w:r w:rsidRPr="00D10E3C">
        <w:rPr>
          <w:rStyle w:val="libFootnotenumChar"/>
          <w:rtl/>
        </w:rPr>
        <w:t>(1)</w:t>
      </w:r>
      <w:r>
        <w:rPr>
          <w:rtl/>
          <w:lang w:bidi="fa-IR"/>
        </w:rPr>
        <w:t xml:space="preserve"> ، وَلَا يُسْرِفْ ؛ وَإِنْ </w:t>
      </w:r>
      <w:r w:rsidRPr="00D10E3C">
        <w:rPr>
          <w:rStyle w:val="libFootnotenumChar"/>
          <w:rtl/>
        </w:rPr>
        <w:t>(2)</w:t>
      </w:r>
      <w:r>
        <w:rPr>
          <w:rtl/>
          <w:lang w:bidi="fa-IR"/>
        </w:rPr>
        <w:t xml:space="preserve"> كَانَتْ </w:t>
      </w:r>
      <w:r w:rsidRPr="00D10E3C">
        <w:rPr>
          <w:rStyle w:val="libFootnotenumChar"/>
          <w:rtl/>
        </w:rPr>
        <w:t>(3)</w:t>
      </w:r>
      <w:r>
        <w:rPr>
          <w:rtl/>
          <w:lang w:bidi="fa-IR"/>
        </w:rPr>
        <w:t xml:space="preserve"> ضَيْعَتُهُمْ لَاتَشْغَلُهُ عَمَّا يُعَالِجُ </w:t>
      </w:r>
      <w:r w:rsidRPr="00D10E3C">
        <w:rPr>
          <w:rStyle w:val="libFootnotenumChar"/>
          <w:rtl/>
        </w:rPr>
        <w:t>(4)</w:t>
      </w:r>
      <w:r>
        <w:rPr>
          <w:rtl/>
          <w:lang w:bidi="fa-IR"/>
        </w:rPr>
        <w:t xml:space="preserve"> لِنَفْسِهِ ، فَلَا يَرْزَأَنَّ </w:t>
      </w:r>
      <w:r w:rsidRPr="00D10E3C">
        <w:rPr>
          <w:rStyle w:val="libFootnotenumChar"/>
          <w:rtl/>
        </w:rPr>
        <w:t>(5)</w:t>
      </w:r>
      <w:r>
        <w:rPr>
          <w:rtl/>
          <w:lang w:bidi="fa-IR"/>
        </w:rPr>
        <w:t xml:space="preserve"> مِنْ أَمْوَالِهِمْ شَيْئاً ». </w:t>
      </w:r>
      <w:r w:rsidRPr="00D10E3C">
        <w:rPr>
          <w:rStyle w:val="libFootnotenumChar"/>
          <w:rtl/>
        </w:rPr>
        <w:t>(6)</w:t>
      </w:r>
    </w:p>
    <w:p w:rsidR="00144FA6" w:rsidRDefault="00744A1C" w:rsidP="00744A1C">
      <w:pPr>
        <w:pStyle w:val="libNormal"/>
        <w:rPr>
          <w:rtl/>
          <w:lang w:bidi="fa-IR"/>
        </w:rPr>
      </w:pPr>
      <w:r>
        <w:rPr>
          <w:rtl/>
          <w:lang w:bidi="fa-IR"/>
        </w:rPr>
        <w:t xml:space="preserve">8601 / 2. عُثْمَانُ </w:t>
      </w:r>
      <w:r w:rsidRPr="00D10E3C">
        <w:rPr>
          <w:rStyle w:val="libFootnotenumChar"/>
          <w:rtl/>
        </w:rPr>
        <w:t>(7)</w:t>
      </w:r>
      <w:r>
        <w:rPr>
          <w:rtl/>
          <w:lang w:bidi="fa-IR"/>
        </w:rPr>
        <w:t xml:space="preserve"> ، عَنْ سَمَاعَةَ ، قَالَ :</w:t>
      </w:r>
    </w:p>
    <w:p w:rsidR="00744A1C" w:rsidRDefault="00744A1C" w:rsidP="00744A1C">
      <w:pPr>
        <w:pStyle w:val="libNormal"/>
        <w:rPr>
          <w:lang w:bidi="fa-IR"/>
        </w:rPr>
      </w:pPr>
      <w:r>
        <w:rPr>
          <w:rtl/>
          <w:lang w:bidi="fa-IR"/>
        </w:rPr>
        <w:t xml:space="preserve">سَأَلْتُ </w:t>
      </w:r>
      <w:r w:rsidRPr="00D10E3C">
        <w:rPr>
          <w:rStyle w:val="libFootnotenumChar"/>
          <w:rtl/>
        </w:rPr>
        <w:t>(8)</w:t>
      </w:r>
      <w:r>
        <w:rPr>
          <w:rtl/>
          <w:lang w:bidi="fa-IR"/>
        </w:rPr>
        <w:t xml:space="preserve"> أَبَا عَبْدِ اللهِ </w:t>
      </w:r>
      <w:r w:rsidR="0061079A" w:rsidRPr="0061079A">
        <w:rPr>
          <w:rStyle w:val="libAlaemChar"/>
          <w:rtl/>
        </w:rPr>
        <w:t>عليه‌السلام</w:t>
      </w:r>
      <w:r w:rsidR="00D10E3C">
        <w:rPr>
          <w:rtl/>
          <w:lang w:bidi="fa-IR"/>
        </w:rPr>
        <w:t xml:space="preserve"> </w:t>
      </w:r>
      <w:r>
        <w:rPr>
          <w:rtl/>
          <w:lang w:bidi="fa-IR"/>
        </w:rPr>
        <w:t xml:space="preserve">عَنْ قَوْلِ اللهِ عَزَّ وَجَلَّ : </w:t>
      </w:r>
      <w:r w:rsidRPr="00326EED">
        <w:rPr>
          <w:rStyle w:val="libAlaemChar"/>
          <w:rtl/>
        </w:rPr>
        <w:t>(</w:t>
      </w:r>
      <w:r w:rsidRPr="00326EED">
        <w:rPr>
          <w:rStyle w:val="libAieChar"/>
          <w:rtl/>
        </w:rPr>
        <w:t xml:space="preserve"> وَإِنْ تُخالِطُوهُمْ فَإِخْوانُكُمْ </w:t>
      </w:r>
      <w:r w:rsidRPr="00326EED">
        <w:rPr>
          <w:rStyle w:val="libAlaemChar"/>
          <w:rtl/>
        </w:rPr>
        <w:t>)</w:t>
      </w:r>
      <w:r>
        <w:rPr>
          <w:rtl/>
          <w:lang w:bidi="fa-IR"/>
        </w:rPr>
        <w:t xml:space="preserve"> </w:t>
      </w:r>
      <w:r w:rsidRPr="00D10E3C">
        <w:rPr>
          <w:rStyle w:val="libFootnotenumChar"/>
          <w:rtl/>
        </w:rPr>
        <w:t>(9)</w:t>
      </w:r>
      <w:r>
        <w:rPr>
          <w:rtl/>
          <w:lang w:bidi="fa-IR"/>
        </w:rPr>
        <w:t>؟</w:t>
      </w:r>
    </w:p>
    <w:p w:rsidR="00144FA6" w:rsidRDefault="00744A1C" w:rsidP="00744A1C">
      <w:pPr>
        <w:pStyle w:val="libNormal"/>
        <w:rPr>
          <w:rtl/>
          <w:lang w:bidi="fa-IR"/>
        </w:rPr>
      </w:pPr>
      <w:r>
        <w:rPr>
          <w:rtl/>
          <w:lang w:bidi="fa-IR"/>
        </w:rPr>
        <w:t xml:space="preserve">قَالَ </w:t>
      </w:r>
      <w:r w:rsidRPr="00D10E3C">
        <w:rPr>
          <w:rStyle w:val="libFootnotenumChar"/>
          <w:rtl/>
        </w:rPr>
        <w:t>(10)</w:t>
      </w:r>
      <w:r>
        <w:rPr>
          <w:rtl/>
          <w:lang w:bidi="fa-IR"/>
        </w:rPr>
        <w:t xml:space="preserve"> : « يَعْنِي الْيَتَامى إِذَا كَانَ الرَّجُلُ يَلِي لِأَيْتَامٍ </w:t>
      </w:r>
      <w:r w:rsidRPr="00D10E3C">
        <w:rPr>
          <w:rStyle w:val="libFootnotenumChar"/>
          <w:rtl/>
        </w:rPr>
        <w:t>(11)</w:t>
      </w:r>
      <w:r>
        <w:rPr>
          <w:rtl/>
          <w:lang w:bidi="fa-IR"/>
        </w:rPr>
        <w:t xml:space="preserve"> فِي حَجْرِهِ </w:t>
      </w:r>
      <w:r w:rsidRPr="00D10E3C">
        <w:rPr>
          <w:rStyle w:val="libFootnotenumChar"/>
          <w:rtl/>
        </w:rPr>
        <w:t>(12)</w:t>
      </w:r>
      <w:r>
        <w:rPr>
          <w:rtl/>
          <w:lang w:bidi="fa-IR"/>
        </w:rPr>
        <w:t xml:space="preserve"> ، فَلْيُخْرِجْ مِنْ مَالِهِ </w:t>
      </w:r>
      <w:r w:rsidRPr="00D10E3C">
        <w:rPr>
          <w:rStyle w:val="libFootnotenumChar"/>
          <w:rtl/>
        </w:rPr>
        <w:t>(13)</w:t>
      </w:r>
      <w:r>
        <w:rPr>
          <w:rtl/>
          <w:lang w:bidi="fa-IR"/>
        </w:rPr>
        <w:t xml:space="preserve"> عَلى </w:t>
      </w:r>
      <w:r w:rsidRPr="00D10E3C">
        <w:rPr>
          <w:rStyle w:val="libFootnotenumChar"/>
          <w:rtl/>
        </w:rPr>
        <w:t>(14)</w:t>
      </w:r>
      <w:r>
        <w:rPr>
          <w:rtl/>
          <w:lang w:bidi="fa-IR"/>
        </w:rPr>
        <w:t xml:space="preserve"> قَدْرِ مَا يُخْرِجُ </w:t>
      </w:r>
      <w:r w:rsidRPr="00D10E3C">
        <w:rPr>
          <w:rStyle w:val="libFootnotenumChar"/>
          <w:rtl/>
        </w:rPr>
        <w:t>(15)</w:t>
      </w:r>
      <w:r>
        <w:rPr>
          <w:rtl/>
          <w:lang w:bidi="fa-IR"/>
        </w:rPr>
        <w:t xml:space="preserve"> لِكُلِّ إِنْسَانٍ مِنْهُمْ ، فَيُخَالِطُهُمْ </w:t>
      </w:r>
      <w:r w:rsidRPr="00D10E3C">
        <w:rPr>
          <w:rStyle w:val="libFootnotenumChar"/>
          <w:rtl/>
        </w:rPr>
        <w:t>(16)</w:t>
      </w:r>
      <w:r>
        <w:rPr>
          <w:rtl/>
          <w:lang w:bidi="fa-IR"/>
        </w:rPr>
        <w:t xml:space="preserve"> وَيَأْكُلُونَ جَمِيعاً ، وَلَا يَرْزَأَنَّ مِنْ أَمْوَالِهِمْ شَيْئاً ؛ إِنَّمَا هِيَ النَّارُ ». </w:t>
      </w:r>
      <w:r w:rsidRPr="00D10E3C">
        <w:rPr>
          <w:rStyle w:val="libFootnotenumChar"/>
          <w:rtl/>
        </w:rPr>
        <w:t>(17)</w:t>
      </w:r>
    </w:p>
    <w:p w:rsidR="00744A1C" w:rsidRDefault="00744A1C" w:rsidP="00D10E3C">
      <w:pPr>
        <w:pStyle w:val="libLine"/>
        <w:rPr>
          <w:lang w:bidi="fa-IR"/>
        </w:rPr>
      </w:pPr>
      <w:r>
        <w:rPr>
          <w:rtl/>
          <w:lang w:bidi="fa-IR"/>
        </w:rPr>
        <w:t>____________________</w:t>
      </w:r>
    </w:p>
    <w:p w:rsidR="00744A1C" w:rsidRDefault="00326EED" w:rsidP="00D10E3C">
      <w:pPr>
        <w:pStyle w:val="libFootnote0"/>
        <w:rPr>
          <w:lang w:bidi="fa-IR"/>
        </w:rPr>
      </w:pPr>
      <w:r w:rsidRPr="00326EED">
        <w:rPr>
          <w:rFonts w:hint="cs"/>
          <w:rtl/>
        </w:rPr>
        <w:t xml:space="preserve">= </w:t>
      </w:r>
      <w:r w:rsidR="00744A1C" w:rsidRPr="008A57EB">
        <w:rPr>
          <w:rStyle w:val="libFootnoteBoldChar"/>
          <w:rtl/>
        </w:rPr>
        <w:t>القاموس المحيط</w:t>
      </w:r>
      <w:r w:rsidR="00744A1C">
        <w:rPr>
          <w:rtl/>
          <w:lang w:bidi="fa-IR"/>
        </w:rPr>
        <w:t xml:space="preserve"> ، ج 2 ، ص 996 ( ضيع ).</w:t>
      </w:r>
    </w:p>
    <w:tbl>
      <w:tblPr>
        <w:tblStyle w:val="TableGrid"/>
        <w:bidiVisual/>
        <w:tblW w:w="0" w:type="auto"/>
        <w:tblLook w:val="04A0" w:firstRow="1" w:lastRow="0" w:firstColumn="1" w:lastColumn="0" w:noHBand="0" w:noVBand="1"/>
      </w:tblPr>
      <w:tblGrid>
        <w:gridCol w:w="4006"/>
        <w:gridCol w:w="4006"/>
      </w:tblGrid>
      <w:tr w:rsidR="00326EED" w:rsidTr="00326EED">
        <w:tc>
          <w:tcPr>
            <w:tcW w:w="4006" w:type="dxa"/>
          </w:tcPr>
          <w:p w:rsidR="00326EED" w:rsidRDefault="00326EED" w:rsidP="00D10E3C">
            <w:pPr>
              <w:pStyle w:val="libFootnote0"/>
              <w:rPr>
                <w:rtl/>
                <w:lang w:bidi="fa-IR"/>
              </w:rPr>
            </w:pPr>
            <w:r>
              <w:rPr>
                <w:rtl/>
                <w:lang w:bidi="fa-IR"/>
              </w:rPr>
              <w:t xml:space="preserve">(1). في </w:t>
            </w:r>
            <w:r w:rsidRPr="00326EED">
              <w:rPr>
                <w:rtl/>
              </w:rPr>
              <w:t>تفسير العيّاشي</w:t>
            </w:r>
            <w:r>
              <w:rPr>
                <w:rtl/>
                <w:lang w:bidi="fa-IR"/>
              </w:rPr>
              <w:t xml:space="preserve"> : + « الحاجة ».</w:t>
            </w:r>
          </w:p>
        </w:tc>
        <w:tc>
          <w:tcPr>
            <w:tcW w:w="4006" w:type="dxa"/>
          </w:tcPr>
          <w:p w:rsidR="00326EED" w:rsidRDefault="00326EED" w:rsidP="00D10E3C">
            <w:pPr>
              <w:pStyle w:val="libFootnote0"/>
              <w:rPr>
                <w:rtl/>
                <w:lang w:bidi="fa-IR"/>
              </w:rPr>
            </w:pPr>
            <w:r>
              <w:rPr>
                <w:rtl/>
                <w:lang w:bidi="fa-IR"/>
              </w:rPr>
              <w:t xml:space="preserve">(2). في «ى ،بح ،بس،جد،جن» </w:t>
            </w:r>
            <w:r w:rsidRPr="00326EED">
              <w:rPr>
                <w:rtl/>
              </w:rPr>
              <w:t>والوسائل</w:t>
            </w:r>
            <w:r>
              <w:rPr>
                <w:rtl/>
                <w:lang w:bidi="fa-IR"/>
              </w:rPr>
              <w:t xml:space="preserve"> : «فإن ».</w:t>
            </w:r>
          </w:p>
        </w:tc>
      </w:tr>
    </w:tbl>
    <w:p w:rsidR="00744A1C" w:rsidRDefault="00E378DD" w:rsidP="00E378DD">
      <w:pPr>
        <w:pStyle w:val="libFootnote0"/>
        <w:rPr>
          <w:lang w:bidi="fa-IR"/>
        </w:rPr>
      </w:pPr>
      <w:r>
        <w:rPr>
          <w:rtl/>
          <w:lang w:bidi="fa-IR"/>
        </w:rPr>
        <w:t>(3).</w:t>
      </w:r>
      <w:r w:rsidR="00744A1C">
        <w:rPr>
          <w:rtl/>
          <w:lang w:bidi="fa-IR"/>
        </w:rPr>
        <w:t xml:space="preserve"> هكذا في « ط ، ى ، بخ ، بس ، جد ، جن » </w:t>
      </w:r>
      <w:r w:rsidR="00744A1C" w:rsidRPr="00326EED">
        <w:rPr>
          <w:rtl/>
        </w:rPr>
        <w:t>والوافي والوسائل والتهذيب</w:t>
      </w:r>
      <w:r w:rsidR="00744A1C">
        <w:rPr>
          <w:rtl/>
          <w:lang w:bidi="fa-IR"/>
        </w:rPr>
        <w:t>. وفي سا</w:t>
      </w:r>
      <w:r w:rsidR="00326EED">
        <w:rPr>
          <w:rtl/>
          <w:lang w:bidi="fa-IR"/>
        </w:rPr>
        <w:t>ئر النسخ والمطبوع : « كان</w:t>
      </w:r>
      <w:r w:rsidR="00744A1C">
        <w:rPr>
          <w:rtl/>
          <w:lang w:bidi="fa-IR"/>
        </w:rPr>
        <w:t>».</w:t>
      </w:r>
    </w:p>
    <w:p w:rsidR="00744A1C" w:rsidRDefault="00E378DD" w:rsidP="00E378DD">
      <w:pPr>
        <w:pStyle w:val="libFootnote0"/>
        <w:rPr>
          <w:lang w:bidi="fa-IR"/>
        </w:rPr>
      </w:pPr>
      <w:r>
        <w:rPr>
          <w:rtl/>
          <w:lang w:bidi="fa-IR"/>
        </w:rPr>
        <w:t>(4).</w:t>
      </w:r>
      <w:r w:rsidR="00744A1C">
        <w:rPr>
          <w:rtl/>
          <w:lang w:bidi="fa-IR"/>
        </w:rPr>
        <w:t xml:space="preserve"> المعالجة : المزاولة والممارسة ، وكلّ شي‌ء زاولته ومارسته وعملت به فقد عالجته. راجع : </w:t>
      </w:r>
      <w:r w:rsidR="00744A1C" w:rsidRPr="00877682">
        <w:rPr>
          <w:rStyle w:val="libFootnoteBoldChar"/>
          <w:rtl/>
        </w:rPr>
        <w:t>لسان العرب</w:t>
      </w:r>
      <w:r w:rsidR="00744A1C">
        <w:rPr>
          <w:rtl/>
          <w:lang w:bidi="fa-IR"/>
        </w:rPr>
        <w:t xml:space="preserve"> ، ج 2 ، ص 337 ( علج ).</w:t>
      </w:r>
    </w:p>
    <w:p w:rsidR="00744A1C" w:rsidRDefault="00E378DD" w:rsidP="00E378DD">
      <w:pPr>
        <w:pStyle w:val="libFootnote0"/>
        <w:rPr>
          <w:lang w:bidi="fa-IR"/>
        </w:rPr>
      </w:pPr>
      <w:r>
        <w:rPr>
          <w:rtl/>
          <w:lang w:bidi="fa-IR"/>
        </w:rPr>
        <w:t>(5).</w:t>
      </w:r>
      <w:r w:rsidR="00744A1C">
        <w:rPr>
          <w:rtl/>
          <w:lang w:bidi="fa-IR"/>
        </w:rPr>
        <w:t xml:space="preserve"> « فلا يرزأنّ » أي لا ينقصنّ ولا يأخذنّ ولا يصيبنّ من أموالهم شيئاً ؛ من الرُزْء ، وهو النقص. راجع : </w:t>
      </w:r>
      <w:r w:rsidR="00744A1C" w:rsidRPr="00877682">
        <w:rPr>
          <w:rStyle w:val="libFootnoteBoldChar"/>
          <w:rtl/>
        </w:rPr>
        <w:t>لسان العرب</w:t>
      </w:r>
      <w:r w:rsidR="00744A1C">
        <w:rPr>
          <w:rtl/>
          <w:lang w:bidi="fa-IR"/>
        </w:rPr>
        <w:t xml:space="preserve"> ، ج 1 ، ص 85 ( رزأ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340 ، ح 948 ، معلّقاً عن أحمد بن محمّد. </w:t>
      </w:r>
      <w:r w:rsidR="00744A1C" w:rsidRPr="00A914B5">
        <w:rPr>
          <w:rStyle w:val="libFootnoteBoldChar"/>
          <w:rtl/>
        </w:rPr>
        <w:t>تفسير العيّاشي</w:t>
      </w:r>
      <w:r w:rsidR="00744A1C">
        <w:rPr>
          <w:rtl/>
          <w:lang w:bidi="fa-IR"/>
        </w:rPr>
        <w:t xml:space="preserve"> ، ج 1 ، ص 221 ، ح 30 ، عن سماعة ، عن أبي عبد الله أو أبي الحسن </w:t>
      </w:r>
      <w:r w:rsidR="00F112A7" w:rsidRPr="00CE5A92">
        <w:rPr>
          <w:rStyle w:val="libFootnoteAlaemChar"/>
          <w:rtl/>
        </w:rPr>
        <w:t>عليهما‌السلام</w:t>
      </w:r>
      <w:r w:rsidR="00326EED">
        <w:rPr>
          <w:rStyle w:val="libFootnoteAlaemChar"/>
          <w:rFonts w:hint="cs"/>
          <w:rtl/>
        </w:rPr>
        <w:t>.</w:t>
      </w:r>
      <w:r w:rsidR="00744A1C" w:rsidRPr="00C24F9C">
        <w:rPr>
          <w:rStyle w:val="libFootnoteBoldChar"/>
          <w:rtl/>
        </w:rPr>
        <w:t>الوافي</w:t>
      </w:r>
      <w:r w:rsidR="00744A1C">
        <w:rPr>
          <w:rtl/>
          <w:lang w:bidi="fa-IR"/>
        </w:rPr>
        <w:t xml:space="preserve"> ، ج 17 ، ص 311 ، ح 17329 ؛ </w:t>
      </w:r>
      <w:r w:rsidR="00744A1C" w:rsidRPr="00C24F9C">
        <w:rPr>
          <w:rStyle w:val="libFootnoteBoldChar"/>
          <w:rtl/>
        </w:rPr>
        <w:t>الوسائل</w:t>
      </w:r>
      <w:r w:rsidR="00744A1C">
        <w:rPr>
          <w:rtl/>
          <w:lang w:bidi="fa-IR"/>
        </w:rPr>
        <w:t xml:space="preserve"> ، ج 17 ، ص 251 ، ح 221.</w:t>
      </w:r>
    </w:p>
    <w:p w:rsidR="00744A1C" w:rsidRDefault="00E378DD" w:rsidP="00E378DD">
      <w:pPr>
        <w:pStyle w:val="libFootnote0"/>
        <w:rPr>
          <w:lang w:bidi="fa-IR"/>
        </w:rPr>
      </w:pPr>
      <w:r>
        <w:rPr>
          <w:rtl/>
          <w:lang w:bidi="fa-IR"/>
        </w:rPr>
        <w:t>(7).</w:t>
      </w:r>
      <w:r w:rsidR="00744A1C">
        <w:rPr>
          <w:rtl/>
          <w:lang w:bidi="fa-IR"/>
        </w:rPr>
        <w:t xml:space="preserve"> السند معلّق على سابقه. ويروي عن عثمان ، عدّة من أصحابنا عن أحمد بن محمّد.</w:t>
      </w:r>
    </w:p>
    <w:tbl>
      <w:tblPr>
        <w:tblStyle w:val="TableGrid"/>
        <w:bidiVisual/>
        <w:tblW w:w="0" w:type="auto"/>
        <w:tblLook w:val="04A0" w:firstRow="1" w:lastRow="0" w:firstColumn="1" w:lastColumn="0" w:noHBand="0" w:noVBand="1"/>
      </w:tblPr>
      <w:tblGrid>
        <w:gridCol w:w="4006"/>
        <w:gridCol w:w="4006"/>
      </w:tblGrid>
      <w:tr w:rsidR="00326EED" w:rsidTr="00326EED">
        <w:tc>
          <w:tcPr>
            <w:tcW w:w="4006" w:type="dxa"/>
          </w:tcPr>
          <w:p w:rsidR="00326EED" w:rsidRDefault="00326EED" w:rsidP="00E378DD">
            <w:pPr>
              <w:pStyle w:val="libFootnote0"/>
              <w:rPr>
                <w:rtl/>
                <w:lang w:bidi="fa-IR"/>
              </w:rPr>
            </w:pPr>
            <w:r>
              <w:rPr>
                <w:rtl/>
                <w:lang w:bidi="fa-IR"/>
              </w:rPr>
              <w:t>(8). في « ط » : « وسألت ».</w:t>
            </w:r>
          </w:p>
        </w:tc>
        <w:tc>
          <w:tcPr>
            <w:tcW w:w="4006" w:type="dxa"/>
          </w:tcPr>
          <w:p w:rsidR="00326EED" w:rsidRDefault="00326EED" w:rsidP="00326EED">
            <w:pPr>
              <w:pStyle w:val="libFootnote0"/>
              <w:rPr>
                <w:rtl/>
                <w:lang w:bidi="fa-IR"/>
              </w:rPr>
            </w:pPr>
            <w:r>
              <w:rPr>
                <w:rtl/>
                <w:lang w:bidi="fa-IR"/>
              </w:rPr>
              <w:t xml:space="preserve">(9). البقرة (2) :220. وفي «جت»:+ </w:t>
            </w:r>
            <w:r w:rsidRPr="00326EED">
              <w:rPr>
                <w:rStyle w:val="libFootnoteAlaemChar"/>
                <w:rFonts w:hint="cs"/>
                <w:rtl/>
              </w:rPr>
              <w:t>(</w:t>
            </w:r>
            <w:r w:rsidRPr="00326EED">
              <w:rPr>
                <w:rStyle w:val="libFootnoteAieChar"/>
                <w:rtl/>
              </w:rPr>
              <w:t>فِى الدّ</w:t>
            </w:r>
            <w:r w:rsidRPr="00326EED">
              <w:rPr>
                <w:rStyle w:val="libFootnoteAieChar"/>
                <w:rFonts w:hint="cs"/>
                <w:rtl/>
              </w:rPr>
              <w:t>ِ</w:t>
            </w:r>
            <w:r w:rsidRPr="00326EED">
              <w:rPr>
                <w:rStyle w:val="libFootnoteAieChar"/>
                <w:rtl/>
              </w:rPr>
              <w:t>ينِ</w:t>
            </w:r>
            <w:r w:rsidRPr="00326EED">
              <w:rPr>
                <w:rStyle w:val="libFootnoteAlaemChar"/>
                <w:rFonts w:hint="cs"/>
                <w:rtl/>
              </w:rPr>
              <w:t>)</w:t>
            </w:r>
            <w:r>
              <w:rPr>
                <w:rtl/>
                <w:lang w:bidi="fa-IR"/>
              </w:rPr>
              <w:t>.</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326EED">
        <w:rPr>
          <w:rtl/>
        </w:rPr>
        <w:t>الوسائل</w:t>
      </w:r>
      <w:r w:rsidR="00744A1C">
        <w:rPr>
          <w:rtl/>
          <w:lang w:bidi="fa-IR"/>
        </w:rPr>
        <w:t xml:space="preserve"> : « فقال ».</w:t>
      </w:r>
    </w:p>
    <w:p w:rsidR="00744A1C" w:rsidRDefault="00E378DD" w:rsidP="00E378DD">
      <w:pPr>
        <w:pStyle w:val="libFootnote0"/>
        <w:rPr>
          <w:lang w:bidi="fa-IR"/>
        </w:rPr>
      </w:pPr>
      <w:r>
        <w:rPr>
          <w:rtl/>
          <w:lang w:bidi="fa-IR"/>
        </w:rPr>
        <w:t>(11).</w:t>
      </w:r>
      <w:r w:rsidR="00744A1C">
        <w:rPr>
          <w:rtl/>
          <w:lang w:bidi="fa-IR"/>
        </w:rPr>
        <w:t xml:space="preserve"> في « ى ، بخ ، بف ، جت ، جن » </w:t>
      </w:r>
      <w:r w:rsidR="00744A1C" w:rsidRPr="00326EED">
        <w:rPr>
          <w:rtl/>
        </w:rPr>
        <w:t>والوافي والتهذيب</w:t>
      </w:r>
      <w:r w:rsidR="00744A1C">
        <w:rPr>
          <w:rtl/>
          <w:lang w:bidi="fa-IR"/>
        </w:rPr>
        <w:t xml:space="preserve"> : « الأيتام ».</w:t>
      </w:r>
    </w:p>
    <w:p w:rsidR="00744A1C" w:rsidRDefault="00E378DD" w:rsidP="00E378DD">
      <w:pPr>
        <w:pStyle w:val="libFootnote0"/>
        <w:rPr>
          <w:lang w:bidi="fa-IR"/>
        </w:rPr>
      </w:pPr>
      <w:r>
        <w:rPr>
          <w:rtl/>
          <w:lang w:bidi="fa-IR"/>
        </w:rPr>
        <w:t>(12).</w:t>
      </w:r>
      <w:r w:rsidR="00744A1C">
        <w:rPr>
          <w:rtl/>
          <w:lang w:bidi="fa-IR"/>
        </w:rPr>
        <w:t xml:space="preserve"> حجر الإنسان - بالفتح وقد يكسر - : حِضْنه ، وهو ما دون إبطه إلى الكشح ، وهو في حجره ، أي في كنفه وحمايته. </w:t>
      </w:r>
      <w:r w:rsidR="00744A1C" w:rsidRPr="00E978C3">
        <w:rPr>
          <w:rStyle w:val="libFootnoteBoldChar"/>
          <w:rtl/>
        </w:rPr>
        <w:t>المصباح المنير</w:t>
      </w:r>
      <w:r w:rsidR="00744A1C">
        <w:rPr>
          <w:rtl/>
          <w:lang w:bidi="fa-IR"/>
        </w:rPr>
        <w:t xml:space="preserve"> ، ص 121 ( حجر ).</w:t>
      </w:r>
      <w:r w:rsidR="00326EED">
        <w:rPr>
          <w:rFonts w:hint="cs"/>
          <w:rtl/>
          <w:lang w:bidi="fa-IR"/>
        </w:rPr>
        <w:t xml:space="preserve">           </w:t>
      </w:r>
      <w:r w:rsidR="00744A1C">
        <w:rPr>
          <w:rtl/>
          <w:lang w:bidi="fa-IR"/>
        </w:rPr>
        <w:t xml:space="preserve"> </w:t>
      </w:r>
      <w:r>
        <w:rPr>
          <w:rtl/>
          <w:lang w:bidi="fa-IR"/>
        </w:rPr>
        <w:t>(13).</w:t>
      </w:r>
      <w:r w:rsidR="00744A1C">
        <w:rPr>
          <w:rtl/>
          <w:lang w:bidi="fa-IR"/>
        </w:rPr>
        <w:t xml:space="preserve"> في </w:t>
      </w:r>
      <w:r w:rsidR="00744A1C" w:rsidRPr="00326EED">
        <w:rPr>
          <w:rtl/>
        </w:rPr>
        <w:t>الوسائل والتهذيب</w:t>
      </w:r>
      <w:r w:rsidR="00326EED">
        <w:rPr>
          <w:rtl/>
          <w:lang w:bidi="fa-IR"/>
        </w:rPr>
        <w:t>:+«على قدر ما يحتاج إليه</w:t>
      </w:r>
      <w:r w:rsidR="00744A1C">
        <w:rPr>
          <w:rtl/>
          <w:lang w:bidi="fa-IR"/>
        </w:rPr>
        <w:t>».</w:t>
      </w:r>
    </w:p>
    <w:tbl>
      <w:tblPr>
        <w:tblStyle w:val="TableGrid"/>
        <w:bidiVisual/>
        <w:tblW w:w="0" w:type="auto"/>
        <w:tblLook w:val="04A0" w:firstRow="1" w:lastRow="0" w:firstColumn="1" w:lastColumn="0" w:noHBand="0" w:noVBand="1"/>
      </w:tblPr>
      <w:tblGrid>
        <w:gridCol w:w="4006"/>
        <w:gridCol w:w="4006"/>
      </w:tblGrid>
      <w:tr w:rsidR="00326EED" w:rsidTr="00326EED">
        <w:tc>
          <w:tcPr>
            <w:tcW w:w="4006" w:type="dxa"/>
          </w:tcPr>
          <w:p w:rsidR="00326EED" w:rsidRDefault="00326EED" w:rsidP="00E378DD">
            <w:pPr>
              <w:pStyle w:val="libFootnote0"/>
              <w:rPr>
                <w:rtl/>
                <w:lang w:bidi="fa-IR"/>
              </w:rPr>
            </w:pPr>
            <w:r>
              <w:rPr>
                <w:rtl/>
                <w:lang w:bidi="fa-IR"/>
              </w:rPr>
              <w:t>(14). في « ى » : - « على ».</w:t>
            </w:r>
          </w:p>
        </w:tc>
        <w:tc>
          <w:tcPr>
            <w:tcW w:w="4006" w:type="dxa"/>
          </w:tcPr>
          <w:p w:rsidR="00326EED" w:rsidRDefault="00326EED" w:rsidP="00E378DD">
            <w:pPr>
              <w:pStyle w:val="libFootnote0"/>
              <w:rPr>
                <w:rtl/>
                <w:lang w:bidi="fa-IR"/>
              </w:rPr>
            </w:pPr>
            <w:r>
              <w:rPr>
                <w:rtl/>
                <w:lang w:bidi="fa-IR"/>
              </w:rPr>
              <w:t xml:space="preserve">(15). في </w:t>
            </w:r>
            <w:r w:rsidRPr="00326EED">
              <w:rPr>
                <w:rtl/>
              </w:rPr>
              <w:t>الوسائل</w:t>
            </w:r>
            <w:r>
              <w:rPr>
                <w:rtl/>
                <w:lang w:bidi="fa-IR"/>
              </w:rPr>
              <w:t xml:space="preserve"> : « يخرجه ».</w:t>
            </w:r>
          </w:p>
        </w:tc>
      </w:tr>
    </w:tbl>
    <w:p w:rsidR="00744A1C" w:rsidRDefault="00744A1C" w:rsidP="00D10E3C">
      <w:pPr>
        <w:pStyle w:val="libFootnote0"/>
        <w:rPr>
          <w:lang w:bidi="fa-IR"/>
        </w:rPr>
      </w:pPr>
      <w:r>
        <w:rPr>
          <w:rtl/>
          <w:lang w:bidi="fa-IR"/>
        </w:rPr>
        <w:t>(16) في « بخ » : « فخالطهم ».</w:t>
      </w:r>
    </w:p>
    <w:p w:rsidR="00144FA6" w:rsidRDefault="00744A1C" w:rsidP="00D10E3C">
      <w:pPr>
        <w:pStyle w:val="libFootnote0"/>
        <w:rPr>
          <w:rtl/>
          <w:lang w:bidi="fa-IR"/>
        </w:rPr>
      </w:pPr>
      <w:r>
        <w:rPr>
          <w:rtl/>
          <w:lang w:bidi="fa-IR"/>
        </w:rPr>
        <w:t xml:space="preserve">(17) </w:t>
      </w:r>
      <w:r w:rsidRPr="00C24F9C">
        <w:rPr>
          <w:rStyle w:val="libFootnoteBoldChar"/>
          <w:rtl/>
        </w:rPr>
        <w:t>التهذيب</w:t>
      </w:r>
      <w:r>
        <w:rPr>
          <w:rtl/>
          <w:lang w:bidi="fa-IR"/>
        </w:rPr>
        <w:t xml:space="preserve"> ، ج 6 ، ص 340 ، ح 949 ، معلّقاً عن أحمد بن محمّد ، عن عثمان بن عيسى ، عن سماعة. تفسير</w:t>
      </w:r>
      <w:r w:rsidR="00326EED">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8602 / 3. عِدَّةٌ مِنْ أَصْحَابِنَا ، عَنْ سَهْلِ بْنِ زِيَادٍ وَأَحْمَدَ بْنِ مُحَمَّدٍ جَمِيعاً ، عَنِ ابْنِ مَحْبُوبٍ ، عَنْ عَبْدِ اللهِ بْنِ سِنَانٍ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326EED">
        <w:rPr>
          <w:rStyle w:val="libAlaemChar"/>
          <w:rtl/>
        </w:rPr>
        <w:t>(</w:t>
      </w:r>
      <w:r w:rsidRPr="00326EED">
        <w:rPr>
          <w:rStyle w:val="libAieChar"/>
          <w:rtl/>
        </w:rPr>
        <w:t xml:space="preserve"> فَلْيَأْكُلْ بِالْمَعْرُوفِ </w:t>
      </w:r>
      <w:r w:rsidRPr="00326EED">
        <w:rPr>
          <w:rStyle w:val="libAlaemChar"/>
          <w:rtl/>
        </w:rPr>
        <w:t>)</w:t>
      </w:r>
      <w:r>
        <w:rPr>
          <w:rtl/>
          <w:lang w:bidi="fa-IR"/>
        </w:rPr>
        <w:t xml:space="preserve"> </w:t>
      </w:r>
      <w:r w:rsidRPr="00D10E3C">
        <w:rPr>
          <w:rStyle w:val="libFootnotenumChar"/>
          <w:rtl/>
        </w:rPr>
        <w:t>(1)</w:t>
      </w:r>
      <w:r>
        <w:rPr>
          <w:rtl/>
          <w:lang w:bidi="fa-IR"/>
        </w:rPr>
        <w:t xml:space="preserve"> قَالَ : « الْمَعْرُوفُ هُوَ الْقُوتُ </w:t>
      </w:r>
      <w:r w:rsidRPr="00D10E3C">
        <w:rPr>
          <w:rStyle w:val="libFootnotenumChar"/>
          <w:rtl/>
        </w:rPr>
        <w:t>(2)</w:t>
      </w:r>
      <w:r>
        <w:rPr>
          <w:rtl/>
          <w:lang w:bidi="fa-IR"/>
        </w:rPr>
        <w:t xml:space="preserve"> ، وَإِنَّمَا عَنى الْوَصِيَّ أَوِ الْقَيِّمَ </w:t>
      </w:r>
      <w:r w:rsidRPr="00D10E3C">
        <w:rPr>
          <w:rStyle w:val="libFootnotenumChar"/>
          <w:rtl/>
        </w:rPr>
        <w:t>(3)</w:t>
      </w:r>
      <w:r>
        <w:rPr>
          <w:rtl/>
          <w:lang w:bidi="fa-IR"/>
        </w:rPr>
        <w:t xml:space="preserve"> فِي أَمْوَالِهِمْ وَمَا يُصْلِحُهُمْ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8603 / 4. مُحَمَّدُ بْنُ يَحْيى ، عَنْ أَحْمَدَ بْنِ مُحَمَّدٍ ، عَنْ مُحَمَّدِ بْنِ إِسْمَاعِيلَ ، عَنْ حَنَانِ بْنِ سَدِيرٍ ، قَالَ :</w:t>
      </w:r>
    </w:p>
    <w:p w:rsidR="00BD6D92" w:rsidRDefault="00744A1C" w:rsidP="00BD6D92">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سَأَلَنِي عِيسَى بْنُ مُوسى عَنِ الْقَيِّمِ لِلْأَيْتَامِ </w:t>
      </w:r>
      <w:r w:rsidRPr="00D10E3C">
        <w:rPr>
          <w:rStyle w:val="libFootnotenumChar"/>
          <w:rtl/>
        </w:rPr>
        <w:t>(6)</w:t>
      </w:r>
      <w:r>
        <w:rPr>
          <w:rtl/>
          <w:lang w:bidi="fa-IR"/>
        </w:rPr>
        <w:t xml:space="preserve"> فِي الْإِبِلِ ، وَ </w:t>
      </w:r>
      <w:r w:rsidRPr="00D10E3C">
        <w:rPr>
          <w:rStyle w:val="libFootnotenumChar"/>
          <w:rtl/>
        </w:rPr>
        <w:t>(7)</w:t>
      </w:r>
      <w:r>
        <w:rPr>
          <w:rtl/>
          <w:lang w:bidi="fa-IR"/>
        </w:rPr>
        <w:t xml:space="preserve"> مَا‌</w:t>
      </w:r>
      <w:r w:rsidR="00BD6D92">
        <w:rPr>
          <w:rFonts w:hint="cs"/>
          <w:rtl/>
          <w:lang w:bidi="fa-IR"/>
        </w:rPr>
        <w:t xml:space="preserve"> </w:t>
      </w:r>
      <w:r w:rsidR="00BD6D92">
        <w:rPr>
          <w:rtl/>
          <w:lang w:bidi="fa-IR"/>
        </w:rPr>
        <w:t>يَحِلُّ لَهُ مِنْهَا؟</w:t>
      </w:r>
    </w:p>
    <w:p w:rsidR="00744A1C" w:rsidRDefault="00744A1C" w:rsidP="00D10E3C">
      <w:pPr>
        <w:pStyle w:val="libLine"/>
        <w:rPr>
          <w:lang w:bidi="fa-IR"/>
        </w:rPr>
      </w:pPr>
      <w:r>
        <w:rPr>
          <w:rtl/>
          <w:lang w:bidi="fa-IR"/>
        </w:rPr>
        <w:t>____________________</w:t>
      </w:r>
    </w:p>
    <w:p w:rsidR="00744A1C" w:rsidRDefault="00326EED" w:rsidP="00D10E3C">
      <w:pPr>
        <w:pStyle w:val="libFootnote0"/>
        <w:rPr>
          <w:lang w:bidi="fa-IR"/>
        </w:rPr>
      </w:pPr>
      <w:r>
        <w:rPr>
          <w:rFonts w:hint="cs"/>
          <w:rtl/>
          <w:lang w:bidi="fa-IR"/>
        </w:rPr>
        <w:t xml:space="preserve">= </w:t>
      </w:r>
      <w:r w:rsidR="00744A1C" w:rsidRPr="00326EED">
        <w:rPr>
          <w:rStyle w:val="libFootnoteBoldChar"/>
          <w:rtl/>
        </w:rPr>
        <w:t>العيّاشي</w:t>
      </w:r>
      <w:r w:rsidR="00744A1C">
        <w:rPr>
          <w:rtl/>
          <w:lang w:bidi="fa-IR"/>
        </w:rPr>
        <w:t xml:space="preserve"> ، ج 1 ، ص 107 ، ح 319 ، عن سماعة ، عن أبي عبد الله أو أبي الحسن </w:t>
      </w:r>
      <w:r w:rsidR="00F112A7" w:rsidRPr="00CE5A92">
        <w:rPr>
          <w:rStyle w:val="libFootnoteAlaemChar"/>
          <w:rtl/>
        </w:rPr>
        <w:t>عليهما‌السلام</w:t>
      </w:r>
      <w:r>
        <w:rPr>
          <w:rStyle w:val="libFootnoteAlaemChar"/>
          <w:rFonts w:hint="cs"/>
          <w:rtl/>
        </w:rPr>
        <w:t>.</w:t>
      </w:r>
      <w:r w:rsidR="00744A1C" w:rsidRPr="00C24F9C">
        <w:rPr>
          <w:rStyle w:val="libFootnoteBoldChar"/>
          <w:rtl/>
        </w:rPr>
        <w:t>الوافي</w:t>
      </w:r>
      <w:r w:rsidR="00744A1C">
        <w:rPr>
          <w:rtl/>
          <w:lang w:bidi="fa-IR"/>
        </w:rPr>
        <w:t xml:space="preserve"> ، ج 17 ، ص 311 ، ح 17330 ؛ </w:t>
      </w:r>
      <w:r w:rsidR="00744A1C" w:rsidRPr="00C24F9C">
        <w:rPr>
          <w:rStyle w:val="libFootnoteBoldChar"/>
          <w:rtl/>
        </w:rPr>
        <w:t>الوسائل</w:t>
      </w:r>
      <w:r w:rsidR="00744A1C">
        <w:rPr>
          <w:rtl/>
          <w:lang w:bidi="fa-IR"/>
        </w:rPr>
        <w:t xml:space="preserve"> ، ج 17 ، ص 254 ، ح 22460.</w:t>
      </w:r>
    </w:p>
    <w:p w:rsidR="00744A1C" w:rsidRDefault="00D10E3C" w:rsidP="00E378DD">
      <w:pPr>
        <w:pStyle w:val="libFootnote0"/>
        <w:rPr>
          <w:lang w:bidi="fa-IR"/>
        </w:rPr>
      </w:pPr>
      <w:r>
        <w:rPr>
          <w:rtl/>
          <w:lang w:bidi="fa-IR"/>
        </w:rPr>
        <w:t>(1).</w:t>
      </w:r>
      <w:r w:rsidR="00744A1C">
        <w:rPr>
          <w:rtl/>
          <w:lang w:bidi="fa-IR"/>
        </w:rPr>
        <w:t xml:space="preserve"> النساء </w:t>
      </w:r>
      <w:r w:rsidR="00326EED">
        <w:rPr>
          <w:rtl/>
          <w:lang w:bidi="fa-IR"/>
        </w:rPr>
        <w:t>(4)</w:t>
      </w:r>
      <w:r w:rsidR="00744A1C">
        <w:rPr>
          <w:rtl/>
          <w:lang w:bidi="fa-IR"/>
        </w:rPr>
        <w:t xml:space="preserve"> : 6.</w:t>
      </w:r>
    </w:p>
    <w:p w:rsidR="00144FA6" w:rsidRDefault="00E378DD" w:rsidP="00E378DD">
      <w:pPr>
        <w:pStyle w:val="libFootnote0"/>
        <w:rPr>
          <w:rtl/>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19 ، ص 97 : « قوله </w:t>
      </w:r>
      <w:r w:rsidR="0061079A" w:rsidRPr="0061079A">
        <w:rPr>
          <w:rStyle w:val="libFootnoteAlaemChar"/>
          <w:rtl/>
        </w:rPr>
        <w:t>عليه‌السلام</w:t>
      </w:r>
      <w:r w:rsidR="00D10E3C">
        <w:rPr>
          <w:rtl/>
          <w:lang w:bidi="fa-IR"/>
        </w:rPr>
        <w:t xml:space="preserve"> </w:t>
      </w:r>
      <w:r w:rsidR="00744A1C">
        <w:rPr>
          <w:rtl/>
          <w:lang w:bidi="fa-IR"/>
        </w:rPr>
        <w:t>: هو القوت ، أقول : الأقوال في ذلك خمسة :</w:t>
      </w:r>
    </w:p>
    <w:p w:rsidR="00744A1C" w:rsidRDefault="00744A1C" w:rsidP="00D10E3C">
      <w:pPr>
        <w:pStyle w:val="libFootnote0"/>
        <w:rPr>
          <w:lang w:bidi="fa-IR"/>
        </w:rPr>
      </w:pPr>
      <w:r>
        <w:rPr>
          <w:rtl/>
          <w:lang w:bidi="fa-IR"/>
        </w:rPr>
        <w:t>الأوّل : أنّ من له ولاية شرعيّة على الطفل ، سواء كان بالأصالة ، كالأب والجدّ ، أم لا ، كالوصيّ ، له أن يأخذ ا</w:t>
      </w:r>
      <w:r w:rsidR="00326EED">
        <w:rPr>
          <w:rFonts w:hint="cs"/>
          <w:rtl/>
          <w:lang w:bidi="fa-IR"/>
        </w:rPr>
        <w:t>ُ</w:t>
      </w:r>
      <w:r>
        <w:rPr>
          <w:rtl/>
          <w:lang w:bidi="fa-IR"/>
        </w:rPr>
        <w:t>جرة مثل عمله ، اختاره المحقّق في الشرائع.</w:t>
      </w:r>
    </w:p>
    <w:p w:rsidR="00744A1C" w:rsidRDefault="00744A1C" w:rsidP="00D10E3C">
      <w:pPr>
        <w:pStyle w:val="libFootnote0"/>
        <w:rPr>
          <w:lang w:bidi="fa-IR"/>
        </w:rPr>
      </w:pPr>
      <w:r>
        <w:rPr>
          <w:rtl/>
          <w:lang w:bidi="fa-IR"/>
        </w:rPr>
        <w:t xml:space="preserve">الثانى : أن يأخذ قدر كفايته ؛ لقوله تعالى : </w:t>
      </w:r>
      <w:r w:rsidRPr="00326EED">
        <w:rPr>
          <w:rStyle w:val="libFootnoteAlaemChar"/>
          <w:rtl/>
        </w:rPr>
        <w:t>(</w:t>
      </w:r>
      <w:r w:rsidRPr="00326EED">
        <w:rPr>
          <w:rStyle w:val="libFootnoteAieChar"/>
          <w:rtl/>
        </w:rPr>
        <w:t xml:space="preserve"> فَلْيَأْكُلْ بِالْمَعْرُوفِ </w:t>
      </w:r>
      <w:r w:rsidRPr="00326EED">
        <w:rPr>
          <w:rStyle w:val="libFootnoteAlaemChar"/>
          <w:rtl/>
        </w:rPr>
        <w:t>)</w:t>
      </w:r>
      <w:r>
        <w:rPr>
          <w:rtl/>
          <w:lang w:bidi="fa-IR"/>
        </w:rPr>
        <w:t>.</w:t>
      </w:r>
    </w:p>
    <w:p w:rsidR="00744A1C" w:rsidRDefault="00744A1C" w:rsidP="00D10E3C">
      <w:pPr>
        <w:pStyle w:val="libFootnote0"/>
        <w:rPr>
          <w:lang w:bidi="fa-IR"/>
        </w:rPr>
      </w:pPr>
      <w:r>
        <w:rPr>
          <w:rtl/>
          <w:lang w:bidi="fa-IR"/>
        </w:rPr>
        <w:t>الثالث : أنّه يأخذ أقلّ الأمرين منهما.</w:t>
      </w:r>
    </w:p>
    <w:p w:rsidR="00744A1C" w:rsidRDefault="00744A1C" w:rsidP="00D10E3C">
      <w:pPr>
        <w:pStyle w:val="libFootnote0"/>
        <w:rPr>
          <w:lang w:bidi="fa-IR"/>
        </w:rPr>
      </w:pPr>
      <w:r>
        <w:rPr>
          <w:rtl/>
          <w:lang w:bidi="fa-IR"/>
        </w:rPr>
        <w:t>الرابع : وجوب استعفافه إن كان غنيّاً ، واستحقاق ا</w:t>
      </w:r>
      <w:r w:rsidR="00BD6D92">
        <w:rPr>
          <w:rFonts w:hint="cs"/>
          <w:rtl/>
          <w:lang w:bidi="fa-IR"/>
        </w:rPr>
        <w:t>ُ</w:t>
      </w:r>
      <w:r>
        <w:rPr>
          <w:rtl/>
          <w:lang w:bidi="fa-IR"/>
        </w:rPr>
        <w:t>جرة المثل مع فقره.</w:t>
      </w:r>
    </w:p>
    <w:p w:rsidR="00744A1C" w:rsidRDefault="00744A1C" w:rsidP="00D10E3C">
      <w:pPr>
        <w:pStyle w:val="libFootnote0"/>
        <w:rPr>
          <w:lang w:bidi="fa-IR"/>
        </w:rPr>
      </w:pPr>
      <w:r>
        <w:rPr>
          <w:rtl/>
          <w:lang w:bidi="fa-IR"/>
        </w:rPr>
        <w:t>الخامس : وجوب الاستعفاف مع الغنا ، وجواز أقلّ الأمرين مع الفقر. ومثبتوا أقلّ الأمرين من غير تقييد حملوا الأمر بالاستعفاف في الآية على الاستحباب ، وادّعوا أنّ لفظ الاستعفاف مشعر به. وقيّد الأكثر جواز الأخذ بنيّة أخذ العوض بعمله ، أمّا لونوى التبرّع لم يكن له أخذ شي‌ء مطلقاً ».</w:t>
      </w:r>
    </w:p>
    <w:tbl>
      <w:tblPr>
        <w:tblStyle w:val="TableGrid"/>
        <w:bidiVisual/>
        <w:tblW w:w="0" w:type="auto"/>
        <w:tblLook w:val="04A0" w:firstRow="1" w:lastRow="0" w:firstColumn="1" w:lastColumn="0" w:noHBand="0" w:noVBand="1"/>
      </w:tblPr>
      <w:tblGrid>
        <w:gridCol w:w="4006"/>
        <w:gridCol w:w="4006"/>
      </w:tblGrid>
      <w:tr w:rsidR="00BD6D92" w:rsidTr="00BD6D92">
        <w:tc>
          <w:tcPr>
            <w:tcW w:w="4006" w:type="dxa"/>
          </w:tcPr>
          <w:p w:rsidR="00BD6D92" w:rsidRDefault="00BD6D92" w:rsidP="00E378DD">
            <w:pPr>
              <w:pStyle w:val="libFootnote0"/>
              <w:rPr>
                <w:rtl/>
                <w:lang w:bidi="fa-IR"/>
              </w:rPr>
            </w:pPr>
            <w:r>
              <w:rPr>
                <w:rtl/>
                <w:lang w:bidi="fa-IR"/>
              </w:rPr>
              <w:t xml:space="preserve">(3). في « بخ ، بف » </w:t>
            </w:r>
            <w:r w:rsidRPr="00BD6D92">
              <w:rPr>
                <w:rtl/>
              </w:rPr>
              <w:t>والتهذيب</w:t>
            </w:r>
            <w:r>
              <w:rPr>
                <w:rtl/>
                <w:lang w:bidi="fa-IR"/>
              </w:rPr>
              <w:t xml:space="preserve"> ، ج 6 : « والقيّم ».</w:t>
            </w:r>
          </w:p>
        </w:tc>
        <w:tc>
          <w:tcPr>
            <w:tcW w:w="4006" w:type="dxa"/>
          </w:tcPr>
          <w:p w:rsidR="00BD6D92" w:rsidRDefault="00BD6D92" w:rsidP="00E378DD">
            <w:pPr>
              <w:pStyle w:val="libFootnote0"/>
              <w:rPr>
                <w:rtl/>
                <w:lang w:bidi="fa-IR"/>
              </w:rPr>
            </w:pPr>
            <w:r>
              <w:rPr>
                <w:rtl/>
                <w:lang w:bidi="fa-IR"/>
              </w:rPr>
              <w:t>(4). في « بف » : « ما يصلحهم » بدون الواو.</w:t>
            </w:r>
          </w:p>
        </w:tc>
      </w:tr>
    </w:tbl>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340 ، ح 950 ؛ وج 9 ، ص 244 ، ذيل ح 949 ، معلّقاً عن الحسن بن محبوب ، وفي الأخير مع اختلاف يسير </w:t>
      </w:r>
      <w:r w:rsidR="00BD6D92">
        <w:rPr>
          <w:rFonts w:hint="cs"/>
          <w:rtl/>
          <w:lang w:bidi="fa-IR"/>
        </w:rPr>
        <w:t>.</w:t>
      </w:r>
      <w:r w:rsidR="00744A1C" w:rsidRPr="00C24F9C">
        <w:rPr>
          <w:rStyle w:val="libFootnoteBoldChar"/>
          <w:rtl/>
        </w:rPr>
        <w:t>الوافي</w:t>
      </w:r>
      <w:r w:rsidR="00744A1C">
        <w:rPr>
          <w:rtl/>
          <w:lang w:bidi="fa-IR"/>
        </w:rPr>
        <w:t xml:space="preserve"> ، ج 17 ، ص 312 ، ح 17331 ؛ </w:t>
      </w:r>
      <w:r w:rsidR="00744A1C" w:rsidRPr="00C24F9C">
        <w:rPr>
          <w:rStyle w:val="libFootnoteBoldChar"/>
          <w:rtl/>
        </w:rPr>
        <w:t>الوسائل</w:t>
      </w:r>
      <w:r w:rsidR="00744A1C">
        <w:rPr>
          <w:rtl/>
          <w:lang w:bidi="fa-IR"/>
        </w:rPr>
        <w:t xml:space="preserve"> ، ج 17 ، ص 250 ، ح 22448.</w:t>
      </w:r>
    </w:p>
    <w:p w:rsidR="00744A1C" w:rsidRDefault="00E378DD" w:rsidP="00E378DD">
      <w:pPr>
        <w:pStyle w:val="libFootnote0"/>
        <w:rPr>
          <w:lang w:bidi="fa-IR"/>
        </w:rPr>
      </w:pPr>
      <w:r>
        <w:rPr>
          <w:rtl/>
          <w:lang w:bidi="fa-IR"/>
        </w:rPr>
        <w:t>(6).</w:t>
      </w:r>
      <w:r w:rsidR="00744A1C">
        <w:rPr>
          <w:rtl/>
          <w:lang w:bidi="fa-IR"/>
        </w:rPr>
        <w:t xml:space="preserve"> هكذا في « ط ، ى ، بح ، جن » وحاشية « بخ ، جت » </w:t>
      </w:r>
      <w:r w:rsidR="00744A1C" w:rsidRPr="00BD6D92">
        <w:rPr>
          <w:rtl/>
        </w:rPr>
        <w:t>والوافي والوسائل والتهذيب</w:t>
      </w:r>
      <w:r w:rsidR="00744A1C">
        <w:rPr>
          <w:rtl/>
          <w:lang w:bidi="fa-IR"/>
        </w:rPr>
        <w:t>. وفي « بخ ، بف » : « بالأيتام ». وفي « جت » : « لليتيم ». وفي « بس ، جد » والمطبوع : « لليتامى ».</w:t>
      </w:r>
    </w:p>
    <w:p w:rsidR="00744A1C" w:rsidRDefault="00E378DD" w:rsidP="00E378DD">
      <w:pPr>
        <w:pStyle w:val="libFootnote0"/>
        <w:rPr>
          <w:lang w:bidi="fa-IR"/>
        </w:rPr>
      </w:pPr>
      <w:r>
        <w:rPr>
          <w:rtl/>
          <w:lang w:bidi="fa-IR"/>
        </w:rPr>
        <w:t>(7).</w:t>
      </w:r>
      <w:r w:rsidR="00744A1C">
        <w:rPr>
          <w:rtl/>
          <w:lang w:bidi="fa-IR"/>
        </w:rPr>
        <w:t xml:space="preserve"> في </w:t>
      </w:r>
      <w:r w:rsidR="00744A1C" w:rsidRPr="00BD6D92">
        <w:rPr>
          <w:rtl/>
        </w:rPr>
        <w:t>قرب الإسناد</w:t>
      </w:r>
      <w:r w:rsidR="00744A1C">
        <w:rPr>
          <w:rtl/>
          <w:lang w:bidi="fa-IR"/>
        </w:rPr>
        <w:t xml:space="preserve"> : « عن الغنم للأيتام وعن الإبل المؤبّلة » بدل « عن القيّم لليتامى في الإبل و».</w:t>
      </w:r>
    </w:p>
    <w:p w:rsidR="006D42F6" w:rsidRDefault="006D42F6" w:rsidP="00D10E3C">
      <w:pPr>
        <w:pStyle w:val="libNormal"/>
        <w:rPr>
          <w:rtl/>
          <w:lang w:bidi="fa-IR"/>
        </w:rPr>
      </w:pPr>
      <w:r>
        <w:rPr>
          <w:rtl/>
          <w:lang w:bidi="fa-IR"/>
        </w:rPr>
        <w:br w:type="page"/>
      </w:r>
    </w:p>
    <w:p w:rsidR="00144FA6" w:rsidRDefault="00744A1C" w:rsidP="00BD6D92">
      <w:pPr>
        <w:pStyle w:val="libNormal0"/>
        <w:rPr>
          <w:rtl/>
          <w:lang w:bidi="fa-IR"/>
        </w:rPr>
      </w:pPr>
      <w:r>
        <w:rPr>
          <w:rtl/>
          <w:lang w:bidi="fa-IR"/>
        </w:rPr>
        <w:t xml:space="preserve">قُلْتُ </w:t>
      </w:r>
      <w:r w:rsidRPr="00D10E3C">
        <w:rPr>
          <w:rStyle w:val="libFootnotenumChar"/>
          <w:rtl/>
        </w:rPr>
        <w:t>(1)</w:t>
      </w:r>
      <w:r>
        <w:rPr>
          <w:rtl/>
          <w:lang w:bidi="fa-IR"/>
        </w:rPr>
        <w:t xml:space="preserve"> : إِذَا لَاطَ حَوْضَهَا </w:t>
      </w:r>
      <w:r w:rsidRPr="00D10E3C">
        <w:rPr>
          <w:rStyle w:val="libFootnotenumChar"/>
          <w:rtl/>
        </w:rPr>
        <w:t>(2)</w:t>
      </w:r>
      <w:r>
        <w:rPr>
          <w:rtl/>
          <w:lang w:bidi="fa-IR"/>
        </w:rPr>
        <w:t xml:space="preserve"> ، وَطَلَبَ ضَالَّتَهَا ، وَهَنَأَ جَرْبَاهَا </w:t>
      </w:r>
      <w:r w:rsidRPr="00D10E3C">
        <w:rPr>
          <w:rStyle w:val="libFootnotenumChar"/>
          <w:rtl/>
        </w:rPr>
        <w:t>(3)</w:t>
      </w:r>
      <w:r>
        <w:rPr>
          <w:rtl/>
          <w:lang w:bidi="fa-IR"/>
        </w:rPr>
        <w:t xml:space="preserve"> ، فَلَهُ أَنْ يُصِيبَ مِنْ لَبَنِهَا مِنْ </w:t>
      </w:r>
      <w:r w:rsidRPr="00D10E3C">
        <w:rPr>
          <w:rStyle w:val="libFootnotenumChar"/>
          <w:rtl/>
        </w:rPr>
        <w:t>(4)</w:t>
      </w:r>
      <w:r>
        <w:rPr>
          <w:rtl/>
          <w:lang w:bidi="fa-IR"/>
        </w:rPr>
        <w:t xml:space="preserve"> غَيْرِ نَهْكٍ </w:t>
      </w:r>
      <w:r w:rsidRPr="00D10E3C">
        <w:rPr>
          <w:rStyle w:val="libFootnotenumChar"/>
          <w:rtl/>
        </w:rPr>
        <w:t>(5)</w:t>
      </w:r>
      <w:r>
        <w:rPr>
          <w:rtl/>
          <w:lang w:bidi="fa-IR"/>
        </w:rPr>
        <w:t xml:space="preserve"> بِضَرْعٍ </w:t>
      </w:r>
      <w:r w:rsidRPr="00D10E3C">
        <w:rPr>
          <w:rStyle w:val="libFootnotenumChar"/>
          <w:rtl/>
        </w:rPr>
        <w:t>(6)</w:t>
      </w:r>
      <w:r>
        <w:rPr>
          <w:rtl/>
          <w:lang w:bidi="fa-IR"/>
        </w:rPr>
        <w:t xml:space="preserve"> ، وَلَا فَسَادٍ </w:t>
      </w:r>
      <w:r w:rsidRPr="00D10E3C">
        <w:rPr>
          <w:rStyle w:val="libFootnotenumChar"/>
          <w:rtl/>
        </w:rPr>
        <w:t>(7)</w:t>
      </w:r>
      <w:r>
        <w:rPr>
          <w:rtl/>
          <w:lang w:bidi="fa-IR"/>
        </w:rPr>
        <w:t xml:space="preserve"> لِنَسْلٍ ». </w:t>
      </w:r>
      <w:r w:rsidRPr="00D10E3C">
        <w:rPr>
          <w:rStyle w:val="libFootnotenumChar"/>
          <w:rtl/>
        </w:rPr>
        <w:t>(8)</w:t>
      </w:r>
    </w:p>
    <w:p w:rsidR="00144FA6" w:rsidRDefault="00744A1C" w:rsidP="00744A1C">
      <w:pPr>
        <w:pStyle w:val="libNormal"/>
        <w:rPr>
          <w:rtl/>
          <w:lang w:bidi="fa-IR"/>
        </w:rPr>
      </w:pPr>
      <w:r>
        <w:rPr>
          <w:rtl/>
          <w:lang w:bidi="fa-IR"/>
        </w:rPr>
        <w:t xml:space="preserve">8604 / 5. أَحْمَدُ بْنُ مُحَمَّدٍ </w:t>
      </w:r>
      <w:r w:rsidRPr="00D10E3C">
        <w:rPr>
          <w:rStyle w:val="libFootnotenumChar"/>
          <w:rtl/>
        </w:rPr>
        <w:t>(9)</w:t>
      </w:r>
      <w:r>
        <w:rPr>
          <w:rtl/>
          <w:lang w:bidi="fa-IR"/>
        </w:rPr>
        <w:t xml:space="preserve"> ، عَنْ مُحَمَّدِ بْنِ الْفُضَيْلِ ، عَنْ أَبِي الصَّبَّاحِ الْكِنَانِيِّ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قَوْلِ اللهِ عَزَّ وَجَلَّ : </w:t>
      </w:r>
      <w:r w:rsidRPr="00BD6D92">
        <w:rPr>
          <w:rStyle w:val="libAlaemChar"/>
          <w:rtl/>
        </w:rPr>
        <w:t>(</w:t>
      </w:r>
      <w:r w:rsidRPr="00BD6D92">
        <w:rPr>
          <w:rStyle w:val="libAieChar"/>
          <w:rtl/>
        </w:rPr>
        <w:t xml:space="preserve"> وَمَنْ كانَ فَقِيراً فَلْيَأْكُلْ بِالْمَعْرُوفِ </w:t>
      </w:r>
      <w:r w:rsidRPr="00BD6D92">
        <w:rPr>
          <w:rStyle w:val="libAlaemChar"/>
          <w:rtl/>
        </w:rPr>
        <w:t>)</w:t>
      </w:r>
      <w:r>
        <w:rPr>
          <w:rtl/>
          <w:lang w:bidi="fa-IR"/>
        </w:rPr>
        <w:t xml:space="preserve"> </w:t>
      </w:r>
      <w:r w:rsidRPr="00D10E3C">
        <w:rPr>
          <w:rStyle w:val="libFootnotenumChar"/>
          <w:rtl/>
        </w:rPr>
        <w:t>(10)</w:t>
      </w:r>
      <w:r>
        <w:rPr>
          <w:rtl/>
          <w:lang w:bidi="fa-IR"/>
        </w:rPr>
        <w:t xml:space="preserve"> فَقَالَ : « ذلِكَ </w:t>
      </w:r>
      <w:r w:rsidRPr="00D10E3C">
        <w:rPr>
          <w:rStyle w:val="libFootnotenumChar"/>
          <w:rtl/>
        </w:rPr>
        <w:t>(11)</w:t>
      </w:r>
      <w:r>
        <w:rPr>
          <w:rtl/>
          <w:lang w:bidi="fa-IR"/>
        </w:rPr>
        <w:t xml:space="preserve"> رَجُلٌ يَحْبِسُ نَفْسَهُ </w:t>
      </w:r>
      <w:r w:rsidRPr="00D10E3C">
        <w:rPr>
          <w:rStyle w:val="libFootnotenumChar"/>
          <w:rtl/>
        </w:rPr>
        <w:t>(12)</w:t>
      </w:r>
      <w:r>
        <w:rPr>
          <w:rtl/>
          <w:lang w:bidi="fa-IR"/>
        </w:rPr>
        <w:t xml:space="preserve"> عَنِ </w:t>
      </w:r>
      <w:r w:rsidRPr="00D10E3C">
        <w:rPr>
          <w:rStyle w:val="libFootnotenumChar"/>
          <w:rtl/>
        </w:rPr>
        <w:t>(13)</w:t>
      </w:r>
      <w:r>
        <w:rPr>
          <w:rtl/>
          <w:lang w:bidi="fa-IR"/>
        </w:rPr>
        <w:t xml:space="preserve"> الْمَعِيشَةِ ، فَلَا بَأْسَ أَنْ يَأْكُلَ بِالْمَعْرُوفِ إِذَا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بح ، بس ، جد » </w:t>
      </w:r>
      <w:r w:rsidR="00744A1C" w:rsidRPr="00BD6D92">
        <w:rPr>
          <w:rtl/>
        </w:rPr>
        <w:t>والتهذيب</w:t>
      </w:r>
      <w:r w:rsidR="00744A1C">
        <w:rPr>
          <w:rtl/>
          <w:lang w:bidi="fa-IR"/>
        </w:rPr>
        <w:t xml:space="preserve"> : « فقلت ». وفي « ط » : « قال ». وفي </w:t>
      </w:r>
      <w:r w:rsidR="00744A1C" w:rsidRPr="00BD6D92">
        <w:rPr>
          <w:rtl/>
        </w:rPr>
        <w:t>الوسائل</w:t>
      </w:r>
      <w:r w:rsidR="00744A1C">
        <w:rPr>
          <w:rtl/>
          <w:lang w:bidi="fa-IR"/>
        </w:rPr>
        <w:t xml:space="preserve"> : « فقلت له ». وفي </w:t>
      </w:r>
      <w:r w:rsidR="00744A1C" w:rsidRPr="00BD6D92">
        <w:rPr>
          <w:rtl/>
        </w:rPr>
        <w:t>قرب الإسناد</w:t>
      </w:r>
      <w:r w:rsidR="00744A1C">
        <w:rPr>
          <w:rtl/>
          <w:lang w:bidi="fa-IR"/>
        </w:rPr>
        <w:t xml:space="preserve"> : « فقلت له : إنّ ابن عبّاس كان يقول ».</w:t>
      </w:r>
    </w:p>
    <w:p w:rsidR="00744A1C" w:rsidRDefault="00E378DD" w:rsidP="00E378DD">
      <w:pPr>
        <w:pStyle w:val="libFootnote0"/>
        <w:rPr>
          <w:lang w:bidi="fa-IR"/>
        </w:rPr>
      </w:pPr>
      <w:r>
        <w:rPr>
          <w:rtl/>
          <w:lang w:bidi="fa-IR"/>
        </w:rPr>
        <w:t>(2).</w:t>
      </w:r>
      <w:r w:rsidR="00744A1C">
        <w:rPr>
          <w:rtl/>
          <w:lang w:bidi="fa-IR"/>
        </w:rPr>
        <w:t xml:space="preserve"> « لاط حوضها » أي طيّنها وأصلحها ، يقال : لُطْتُ الحوض بالطين لَوْطاً ، أي مَلَطته وطيّنته. وأصله من اللصوق. راجع : </w:t>
      </w:r>
      <w:r w:rsidR="00744A1C" w:rsidRPr="00877682">
        <w:rPr>
          <w:rStyle w:val="libFootnoteBoldChar"/>
          <w:rtl/>
        </w:rPr>
        <w:t>النهاية</w:t>
      </w:r>
      <w:r w:rsidR="00744A1C">
        <w:rPr>
          <w:rtl/>
          <w:lang w:bidi="fa-IR"/>
        </w:rPr>
        <w:t xml:space="preserve"> ، ج 4 ، ص 277 ( لوط ).</w:t>
      </w:r>
    </w:p>
    <w:p w:rsidR="00744A1C" w:rsidRDefault="00E378DD" w:rsidP="00BD6D92">
      <w:pPr>
        <w:pStyle w:val="libFootnote0"/>
        <w:rPr>
          <w:lang w:bidi="fa-IR"/>
        </w:rPr>
      </w:pPr>
      <w:r>
        <w:rPr>
          <w:rtl/>
          <w:lang w:bidi="fa-IR"/>
        </w:rPr>
        <w:t>(3).</w:t>
      </w:r>
      <w:r w:rsidR="00744A1C">
        <w:rPr>
          <w:rtl/>
          <w:lang w:bidi="fa-IR"/>
        </w:rPr>
        <w:t xml:space="preserve"> يقال : هنأت البعير أهنؤه ، إذا طليته بالهِناء ، وهو القَطِران ، ومنه حديث ابن عبّاس في مال اليتيم : إن كنت تهنأ جرباها ، أي تعالج جرب إبله بالقطران. والجَرْباء : التي أصابها الجرب ، وهو خلط غليظ يحدث تحت الجلد من مخالطة البلغم الملح للدم ، يكون معه بُثور وربّما حصل معه هُزال لكثرته. والقطران : ما يتحلّل من شجر الأبْهل ويطلى به الإبل وغيرها. راجع : </w:t>
      </w:r>
      <w:r w:rsidR="00744A1C" w:rsidRPr="00877682">
        <w:rPr>
          <w:rStyle w:val="libFootnoteBoldChar"/>
          <w:rtl/>
        </w:rPr>
        <w:t>النهاية</w:t>
      </w:r>
      <w:r w:rsidR="00744A1C">
        <w:rPr>
          <w:rtl/>
          <w:lang w:bidi="fa-IR"/>
        </w:rPr>
        <w:t xml:space="preserve"> ، ج 5 ، ص 277 ( هنأ ) ؛ </w:t>
      </w:r>
      <w:r w:rsidR="00744A1C" w:rsidRPr="00E978C3">
        <w:rPr>
          <w:rStyle w:val="libFootnoteBoldChar"/>
          <w:rtl/>
        </w:rPr>
        <w:t>المصباح المنير</w:t>
      </w:r>
      <w:r w:rsidR="00744A1C">
        <w:rPr>
          <w:rtl/>
          <w:lang w:bidi="fa-IR"/>
        </w:rPr>
        <w:t xml:space="preserve"> ، ص 95 ( جرب ) ، وص 508 ( قطر ).</w:t>
      </w:r>
      <w:r w:rsidR="00BD6D92">
        <w:rPr>
          <w:rFonts w:hint="cs"/>
          <w:rtl/>
          <w:lang w:bidi="fa-IR"/>
        </w:rPr>
        <w:t xml:space="preserve">                        </w:t>
      </w:r>
      <w:r>
        <w:rPr>
          <w:rtl/>
          <w:lang w:bidi="fa-IR"/>
        </w:rPr>
        <w:t>(4).</w:t>
      </w:r>
      <w:r w:rsidR="00744A1C">
        <w:rPr>
          <w:rtl/>
          <w:lang w:bidi="fa-IR"/>
        </w:rPr>
        <w:t xml:space="preserve"> في « ط ، ى ، بح ، بس ، جت ، جد ، جن » </w:t>
      </w:r>
      <w:r w:rsidR="00744A1C" w:rsidRPr="00BD6D92">
        <w:rPr>
          <w:rtl/>
        </w:rPr>
        <w:t>والوسائل</w:t>
      </w:r>
      <w:r w:rsidR="00744A1C">
        <w:rPr>
          <w:rtl/>
          <w:lang w:bidi="fa-IR"/>
        </w:rPr>
        <w:t xml:space="preserve"> : « في ».</w:t>
      </w:r>
    </w:p>
    <w:p w:rsidR="00744A1C" w:rsidRDefault="00E378DD" w:rsidP="00E378DD">
      <w:pPr>
        <w:pStyle w:val="libFootnote0"/>
        <w:rPr>
          <w:lang w:bidi="fa-IR"/>
        </w:rPr>
      </w:pPr>
      <w:r>
        <w:rPr>
          <w:rtl/>
          <w:lang w:bidi="fa-IR"/>
        </w:rPr>
        <w:t>(5).</w:t>
      </w:r>
      <w:r w:rsidR="00744A1C">
        <w:rPr>
          <w:rtl/>
          <w:lang w:bidi="fa-IR"/>
        </w:rPr>
        <w:t xml:space="preserve"> « من غير نهك » أي من غير مبالغة ، يقال : نهكت النافة حلباً أنهكها ، إذا لم تبق في ضرعها لبناً ، ونهك الضرع‌</w:t>
      </w:r>
      <w:r w:rsidR="00BD6D92">
        <w:rPr>
          <w:rFonts w:hint="cs"/>
          <w:rtl/>
          <w:lang w:bidi="fa-IR"/>
        </w:rPr>
        <w:t xml:space="preserve"> </w:t>
      </w:r>
      <w:r w:rsidR="00744A1C">
        <w:rPr>
          <w:rtl/>
          <w:lang w:bidi="fa-IR"/>
        </w:rPr>
        <w:t xml:space="preserve">نهكاً ، إذا استوفى جميع ما فيه. والنهك : التنقّص ، والمبالغة في كلّ شي‌ء. راجع : </w:t>
      </w:r>
      <w:r w:rsidR="00744A1C" w:rsidRPr="00877682">
        <w:rPr>
          <w:rStyle w:val="libFootnoteBoldChar"/>
          <w:rtl/>
        </w:rPr>
        <w:t>لسان العرب</w:t>
      </w:r>
      <w:r w:rsidR="00744A1C">
        <w:rPr>
          <w:rtl/>
          <w:lang w:bidi="fa-IR"/>
        </w:rPr>
        <w:t xml:space="preserve"> ، ج 10 ، ص 499 و 500 ( نهك ).</w:t>
      </w:r>
    </w:p>
    <w:p w:rsidR="00744A1C" w:rsidRDefault="00E378DD" w:rsidP="00E378DD">
      <w:pPr>
        <w:pStyle w:val="libFootnote0"/>
        <w:rPr>
          <w:lang w:bidi="fa-IR"/>
        </w:rPr>
      </w:pPr>
      <w:r>
        <w:rPr>
          <w:rtl/>
          <w:lang w:bidi="fa-IR"/>
        </w:rPr>
        <w:t>(6).</w:t>
      </w:r>
      <w:r w:rsidR="00744A1C">
        <w:rPr>
          <w:rtl/>
          <w:lang w:bidi="fa-IR"/>
        </w:rPr>
        <w:t xml:space="preserve"> في « ط ، ى ، بس ، جت ، جد ، جن » </w:t>
      </w:r>
      <w:r w:rsidR="00744A1C" w:rsidRPr="00BD6D92">
        <w:rPr>
          <w:rtl/>
        </w:rPr>
        <w:t>والوسائل والتهذيب وقرب الإسناد</w:t>
      </w:r>
      <w:r w:rsidR="00744A1C">
        <w:rPr>
          <w:rtl/>
          <w:lang w:bidi="fa-IR"/>
        </w:rPr>
        <w:t xml:space="preserve"> : « لضرع ».</w:t>
      </w:r>
    </w:p>
    <w:p w:rsidR="00744A1C" w:rsidRDefault="00E378DD" w:rsidP="00E378DD">
      <w:pPr>
        <w:pStyle w:val="libFootnote0"/>
        <w:rPr>
          <w:lang w:bidi="fa-IR"/>
        </w:rPr>
      </w:pPr>
      <w:r>
        <w:rPr>
          <w:rtl/>
          <w:lang w:bidi="fa-IR"/>
        </w:rPr>
        <w:t>(7).</w:t>
      </w:r>
      <w:r w:rsidR="00744A1C">
        <w:rPr>
          <w:rtl/>
          <w:lang w:bidi="fa-IR"/>
        </w:rPr>
        <w:t xml:space="preserve"> في « جن » : « والإفساد » بدل « ولا فساد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340 ، ح 951 ، معلّقاً عن أحمد بن محمّد. </w:t>
      </w:r>
      <w:r w:rsidR="00744A1C" w:rsidRPr="00877682">
        <w:rPr>
          <w:rStyle w:val="libFootnoteBoldChar"/>
          <w:rtl/>
        </w:rPr>
        <w:t>قرب الإسناد</w:t>
      </w:r>
      <w:r w:rsidR="00744A1C">
        <w:rPr>
          <w:rtl/>
          <w:lang w:bidi="fa-IR"/>
        </w:rPr>
        <w:t xml:space="preserve"> ، ص 98 ، ح 331 ، بسنده عن حنان بن سدير </w:t>
      </w:r>
      <w:r w:rsidR="00BD6D92">
        <w:rPr>
          <w:rFonts w:hint="cs"/>
          <w:rtl/>
          <w:lang w:bidi="fa-IR"/>
        </w:rPr>
        <w:t>.</w:t>
      </w:r>
      <w:r w:rsidR="00744A1C" w:rsidRPr="00C24F9C">
        <w:rPr>
          <w:rStyle w:val="libFootnoteBoldChar"/>
          <w:rtl/>
        </w:rPr>
        <w:t>الوافي</w:t>
      </w:r>
      <w:r w:rsidR="00744A1C">
        <w:rPr>
          <w:rtl/>
          <w:lang w:bidi="fa-IR"/>
        </w:rPr>
        <w:t xml:space="preserve"> ، ج 17 ، ص 313 ، ح 17333 ؛ </w:t>
      </w:r>
      <w:r w:rsidR="00744A1C" w:rsidRPr="00C24F9C">
        <w:rPr>
          <w:rStyle w:val="libFootnoteBoldChar"/>
          <w:rtl/>
        </w:rPr>
        <w:t>الوسائل</w:t>
      </w:r>
      <w:r w:rsidR="00744A1C">
        <w:rPr>
          <w:rtl/>
          <w:lang w:bidi="fa-IR"/>
        </w:rPr>
        <w:t xml:space="preserve"> ، ج 17 ، ص 250 ، ح 22449.</w:t>
      </w:r>
    </w:p>
    <w:p w:rsidR="00744A1C" w:rsidRDefault="00E378DD" w:rsidP="00E378DD">
      <w:pPr>
        <w:pStyle w:val="libFootnote0"/>
        <w:rPr>
          <w:lang w:bidi="fa-IR"/>
        </w:rPr>
      </w:pPr>
      <w:r>
        <w:rPr>
          <w:rtl/>
          <w:lang w:bidi="fa-IR"/>
        </w:rPr>
        <w:t>(9).</w:t>
      </w:r>
      <w:r w:rsidR="00744A1C">
        <w:rPr>
          <w:rtl/>
          <w:lang w:bidi="fa-IR"/>
        </w:rPr>
        <w:t xml:space="preserve"> السند معلّق على سابقه. ويروي عن أحمد بن محمّد ، محمّد بن يحيى.</w:t>
      </w:r>
    </w:p>
    <w:p w:rsidR="00744A1C" w:rsidRDefault="00744A1C" w:rsidP="00D10E3C">
      <w:pPr>
        <w:pStyle w:val="libFootnote0"/>
        <w:rPr>
          <w:lang w:bidi="fa-IR"/>
        </w:rPr>
      </w:pPr>
      <w:r>
        <w:rPr>
          <w:rtl/>
          <w:lang w:bidi="fa-IR"/>
        </w:rPr>
        <w:t>ثمّ إنّه تقدّم ذيل ح 5314 عدم ثبوت رواية أحمد بن محمّد - وهو ابن عيسى - عن محمّد بن الفضيل ، وتقدّم ذيل ح 7185 ، أنّ الظاهر في ما روى أحمد بن محمّد [ بن عيسى ] عن محمّد بن الفضيل ، سقوط الواسطة بين أحمد بن محمّد ومحمّد بن الفضيل ، والساقط هو محمّد بن إسماعيل ، فلاحظ.</w:t>
      </w:r>
    </w:p>
    <w:tbl>
      <w:tblPr>
        <w:tblStyle w:val="TableGrid"/>
        <w:bidiVisual/>
        <w:tblW w:w="0" w:type="auto"/>
        <w:tblLook w:val="04A0" w:firstRow="1" w:lastRow="0" w:firstColumn="1" w:lastColumn="0" w:noHBand="0" w:noVBand="1"/>
      </w:tblPr>
      <w:tblGrid>
        <w:gridCol w:w="4006"/>
        <w:gridCol w:w="4006"/>
      </w:tblGrid>
      <w:tr w:rsidR="00BD6D92" w:rsidTr="00BD6D92">
        <w:tc>
          <w:tcPr>
            <w:tcW w:w="4006" w:type="dxa"/>
          </w:tcPr>
          <w:p w:rsidR="00BD6D92" w:rsidRDefault="00BD6D92" w:rsidP="00E378DD">
            <w:pPr>
              <w:pStyle w:val="libFootnote0"/>
              <w:rPr>
                <w:rtl/>
                <w:lang w:bidi="fa-IR"/>
              </w:rPr>
            </w:pPr>
            <w:r>
              <w:rPr>
                <w:rtl/>
                <w:lang w:bidi="fa-IR"/>
              </w:rPr>
              <w:t>(10). النساء (4) : 6.</w:t>
            </w:r>
          </w:p>
        </w:tc>
        <w:tc>
          <w:tcPr>
            <w:tcW w:w="4006" w:type="dxa"/>
          </w:tcPr>
          <w:p w:rsidR="00BD6D92" w:rsidRDefault="00BD6D92" w:rsidP="00E378DD">
            <w:pPr>
              <w:pStyle w:val="libFootnote0"/>
              <w:rPr>
                <w:rtl/>
                <w:lang w:bidi="fa-IR"/>
              </w:rPr>
            </w:pPr>
            <w:r>
              <w:rPr>
                <w:rtl/>
                <w:lang w:bidi="fa-IR"/>
              </w:rPr>
              <w:t xml:space="preserve">(11). في « ط ، بخ ، بف » </w:t>
            </w:r>
            <w:r w:rsidRPr="00BD6D92">
              <w:rPr>
                <w:rtl/>
              </w:rPr>
              <w:t>والوافي</w:t>
            </w:r>
            <w:r>
              <w:rPr>
                <w:rtl/>
                <w:lang w:bidi="fa-IR"/>
              </w:rPr>
              <w:t xml:space="preserve"> : « ذاك ».</w:t>
            </w:r>
          </w:p>
        </w:tc>
      </w:tr>
    </w:tbl>
    <w:p w:rsidR="00744A1C" w:rsidRDefault="00E378DD" w:rsidP="00E378DD">
      <w:pPr>
        <w:pStyle w:val="libFootnote0"/>
        <w:rPr>
          <w:lang w:bidi="fa-IR"/>
        </w:rPr>
      </w:pPr>
      <w:r>
        <w:rPr>
          <w:rtl/>
          <w:lang w:bidi="fa-IR"/>
        </w:rPr>
        <w:t>(12).</w:t>
      </w:r>
      <w:r w:rsidR="00744A1C">
        <w:rPr>
          <w:rtl/>
          <w:lang w:bidi="fa-IR"/>
        </w:rPr>
        <w:t xml:space="preserve"> في </w:t>
      </w:r>
      <w:r w:rsidR="00744A1C" w:rsidRPr="00BD6D92">
        <w:rPr>
          <w:rtl/>
        </w:rPr>
        <w:t>تفسير العيّاشي</w:t>
      </w:r>
      <w:r w:rsidR="00744A1C">
        <w:rPr>
          <w:rtl/>
          <w:lang w:bidi="fa-IR"/>
        </w:rPr>
        <w:t xml:space="preserve"> : + « على أموال اليتامى ، فيقوم لهم فيها ، ويقوم لهم عليها ، فقد شغل نفسه ».</w:t>
      </w:r>
    </w:p>
    <w:tbl>
      <w:tblPr>
        <w:tblStyle w:val="TableGrid"/>
        <w:bidiVisual/>
        <w:tblW w:w="0" w:type="auto"/>
        <w:tblLook w:val="04A0" w:firstRow="1" w:lastRow="0" w:firstColumn="1" w:lastColumn="0" w:noHBand="0" w:noVBand="1"/>
      </w:tblPr>
      <w:tblGrid>
        <w:gridCol w:w="4006"/>
        <w:gridCol w:w="4006"/>
      </w:tblGrid>
      <w:tr w:rsidR="00BD6D92" w:rsidTr="00BD6D92">
        <w:tc>
          <w:tcPr>
            <w:tcW w:w="4006" w:type="dxa"/>
          </w:tcPr>
          <w:p w:rsidR="00BD6D92" w:rsidRDefault="00BD6D92" w:rsidP="00E378DD">
            <w:pPr>
              <w:pStyle w:val="libFootnote0"/>
              <w:rPr>
                <w:rtl/>
                <w:lang w:bidi="fa-IR"/>
              </w:rPr>
            </w:pPr>
            <w:r>
              <w:rPr>
                <w:rtl/>
                <w:lang w:bidi="fa-IR"/>
              </w:rPr>
              <w:t xml:space="preserve">(13). في </w:t>
            </w:r>
            <w:r w:rsidRPr="00BD6D92">
              <w:rPr>
                <w:rtl/>
              </w:rPr>
              <w:t>تفسير العيّاشي</w:t>
            </w:r>
            <w:r>
              <w:rPr>
                <w:rtl/>
                <w:lang w:bidi="fa-IR"/>
              </w:rPr>
              <w:t xml:space="preserve"> : + « طلب ».</w:t>
            </w:r>
          </w:p>
        </w:tc>
        <w:tc>
          <w:tcPr>
            <w:tcW w:w="4006" w:type="dxa"/>
          </w:tcPr>
          <w:p w:rsidR="00BD6D92" w:rsidRDefault="00BD6D92" w:rsidP="00E378DD">
            <w:pPr>
              <w:pStyle w:val="libFootnote0"/>
              <w:rPr>
                <w:rtl/>
                <w:lang w:bidi="fa-IR"/>
              </w:rPr>
            </w:pPr>
            <w:r>
              <w:rPr>
                <w:rtl/>
                <w:lang w:bidi="fa-IR"/>
              </w:rPr>
              <w:t>(14). في « ى » : « وإذا ».</w:t>
            </w:r>
          </w:p>
        </w:tc>
      </w:tr>
    </w:tbl>
    <w:p w:rsidR="006D42F6" w:rsidRDefault="006D42F6" w:rsidP="00D10E3C">
      <w:pPr>
        <w:pStyle w:val="libNormal"/>
        <w:rPr>
          <w:rtl/>
          <w:lang w:bidi="fa-IR"/>
        </w:rPr>
      </w:pPr>
      <w:r>
        <w:rPr>
          <w:rtl/>
          <w:lang w:bidi="fa-IR"/>
        </w:rPr>
        <w:br w:type="page"/>
      </w:r>
    </w:p>
    <w:p w:rsidR="00744A1C" w:rsidRDefault="00744A1C" w:rsidP="00BD6D92">
      <w:pPr>
        <w:pStyle w:val="libNormal0"/>
        <w:rPr>
          <w:lang w:bidi="fa-IR"/>
        </w:rPr>
      </w:pPr>
      <w:r>
        <w:rPr>
          <w:rtl/>
          <w:lang w:bidi="fa-IR"/>
        </w:rPr>
        <w:t>كَانَ يُصْلِحُ لَهُمْ أَمْوَالَهُمْ ؛ فَإِنْ كَانَ الْمَالُ قَلِيلاً ، فَلَا يَأْكُلْ مِنْهُ شَيْئاً ».</w:t>
      </w:r>
    </w:p>
    <w:p w:rsidR="00744A1C" w:rsidRDefault="00744A1C" w:rsidP="00744A1C">
      <w:pPr>
        <w:pStyle w:val="libNormal"/>
        <w:rPr>
          <w:lang w:bidi="fa-IR"/>
        </w:rPr>
      </w:pPr>
      <w:r>
        <w:rPr>
          <w:rtl/>
          <w:lang w:bidi="fa-IR"/>
        </w:rPr>
        <w:t xml:space="preserve">قَالَ : قُلْتُ : أَرَأَيْتَ قَوْلَ اللهِ عَزَّ وَجَلَّ : </w:t>
      </w:r>
      <w:r w:rsidRPr="00BD6D92">
        <w:rPr>
          <w:rStyle w:val="libAlaemChar"/>
          <w:rtl/>
        </w:rPr>
        <w:t>(</w:t>
      </w:r>
      <w:r w:rsidRPr="00BD6D92">
        <w:rPr>
          <w:rStyle w:val="libAieChar"/>
          <w:rtl/>
        </w:rPr>
        <w:t>وَإِنْ تُخالِطُوهُمْ فَإِخْوانُكُمْ</w:t>
      </w:r>
      <w:r w:rsidRPr="00BD6D92">
        <w:rPr>
          <w:rStyle w:val="libAlaemChar"/>
          <w:rtl/>
        </w:rPr>
        <w:t>)</w:t>
      </w:r>
      <w:r>
        <w:rPr>
          <w:rtl/>
          <w:lang w:bidi="fa-IR"/>
        </w:rPr>
        <w:t xml:space="preserve"> </w:t>
      </w:r>
      <w:r w:rsidRPr="00D10E3C">
        <w:rPr>
          <w:rStyle w:val="libFootnotenumChar"/>
          <w:rtl/>
        </w:rPr>
        <w:t>(1)</w:t>
      </w:r>
      <w:r>
        <w:rPr>
          <w:rtl/>
          <w:lang w:bidi="fa-IR"/>
        </w:rPr>
        <w:t>؟</w:t>
      </w:r>
    </w:p>
    <w:p w:rsidR="00744A1C" w:rsidRDefault="00744A1C" w:rsidP="00744A1C">
      <w:pPr>
        <w:pStyle w:val="libNormal"/>
        <w:rPr>
          <w:lang w:bidi="fa-IR"/>
        </w:rPr>
      </w:pPr>
      <w:r>
        <w:rPr>
          <w:rtl/>
          <w:lang w:bidi="fa-IR"/>
        </w:rPr>
        <w:t xml:space="preserve">قَالَ : « تُخْرِجُ </w:t>
      </w:r>
      <w:r w:rsidRPr="00D10E3C">
        <w:rPr>
          <w:rStyle w:val="libFootnotenumChar"/>
          <w:rtl/>
        </w:rPr>
        <w:t>(2)</w:t>
      </w:r>
      <w:r>
        <w:rPr>
          <w:rtl/>
          <w:lang w:bidi="fa-IR"/>
        </w:rPr>
        <w:t xml:space="preserve"> مِنْ أَمْوَالِهِمْ بِقَدْرِ </w:t>
      </w:r>
      <w:r w:rsidRPr="00D10E3C">
        <w:rPr>
          <w:rStyle w:val="libFootnotenumChar"/>
          <w:rtl/>
        </w:rPr>
        <w:t>(3)</w:t>
      </w:r>
      <w:r>
        <w:rPr>
          <w:rtl/>
          <w:lang w:bidi="fa-IR"/>
        </w:rPr>
        <w:t xml:space="preserve"> مَا يَكْفِيهِمْ ، وَتُخْرِجُ مِنْ مَالِكَ قَدْرَ </w:t>
      </w:r>
      <w:r w:rsidRPr="00D10E3C">
        <w:rPr>
          <w:rStyle w:val="libFootnotenumChar"/>
          <w:rtl/>
        </w:rPr>
        <w:t>(4)</w:t>
      </w:r>
      <w:r>
        <w:rPr>
          <w:rtl/>
          <w:lang w:bidi="fa-IR"/>
        </w:rPr>
        <w:t xml:space="preserve"> مَا يَكْفِيكَ ، ثُمَّ تُنْفِقُهُ ».</w:t>
      </w:r>
    </w:p>
    <w:p w:rsidR="00744A1C" w:rsidRDefault="00744A1C" w:rsidP="00744A1C">
      <w:pPr>
        <w:pStyle w:val="libNormal"/>
        <w:rPr>
          <w:lang w:bidi="fa-IR"/>
        </w:rPr>
      </w:pPr>
      <w:r>
        <w:rPr>
          <w:rtl/>
          <w:lang w:bidi="fa-IR"/>
        </w:rPr>
        <w:t xml:space="preserve">قُلْتُ : أَرَأَيْتَ إِنْ كَانُوا يَتَامى صِغَاراً وَكِبَاراً ، وَبَعْضُهُمْ </w:t>
      </w:r>
      <w:r w:rsidRPr="00D10E3C">
        <w:rPr>
          <w:rStyle w:val="libFootnotenumChar"/>
          <w:rtl/>
        </w:rPr>
        <w:t>(5)</w:t>
      </w:r>
      <w:r>
        <w:rPr>
          <w:rtl/>
          <w:lang w:bidi="fa-IR"/>
        </w:rPr>
        <w:t xml:space="preserve"> أَعْلى كِسْوَةً مِنْ بَعْضٍ ، وَبَعْضُهُمْ آكَلُ مِنْ بَعْضٍ ، وَمَالُهُمْ جَمِيعاً؟</w:t>
      </w:r>
    </w:p>
    <w:p w:rsidR="00144FA6" w:rsidRDefault="00744A1C" w:rsidP="00744A1C">
      <w:pPr>
        <w:pStyle w:val="libNormal"/>
        <w:rPr>
          <w:rtl/>
          <w:lang w:bidi="fa-IR"/>
        </w:rPr>
      </w:pPr>
      <w:r>
        <w:rPr>
          <w:rtl/>
          <w:lang w:bidi="fa-IR"/>
        </w:rPr>
        <w:t xml:space="preserve">فَقَالَ : « أَمَّا الْكِسْوَةُ ، فَعَلى كُلِّ إِنْسَانٍ مِنْهُمْ </w:t>
      </w:r>
      <w:r w:rsidRPr="00D10E3C">
        <w:rPr>
          <w:rStyle w:val="libFootnotenumChar"/>
          <w:rtl/>
        </w:rPr>
        <w:t>(6)</w:t>
      </w:r>
      <w:r>
        <w:rPr>
          <w:rtl/>
          <w:lang w:bidi="fa-IR"/>
        </w:rPr>
        <w:t xml:space="preserve"> ثَمَنُ كِسْوَتِهِ ؛ وَأَمَّا </w:t>
      </w:r>
      <w:r w:rsidRPr="00D10E3C">
        <w:rPr>
          <w:rStyle w:val="libFootnotenumChar"/>
          <w:rtl/>
        </w:rPr>
        <w:t>(7)</w:t>
      </w:r>
      <w:r>
        <w:rPr>
          <w:rtl/>
          <w:lang w:bidi="fa-IR"/>
        </w:rPr>
        <w:t xml:space="preserve"> الطَّعَامُ ، فَاجْعَلُوهُ جَمِيعاً ، فَإِنَّ الصَّغِيرَ يُوشِكُ </w:t>
      </w:r>
      <w:r w:rsidRPr="00D10E3C">
        <w:rPr>
          <w:rStyle w:val="libFootnotenumChar"/>
          <w:rtl/>
        </w:rPr>
        <w:t>(8)</w:t>
      </w:r>
      <w:r>
        <w:rPr>
          <w:rtl/>
          <w:lang w:bidi="fa-IR"/>
        </w:rPr>
        <w:t xml:space="preserve"> أَنْ يَأْكُلَ مِثْلَ الْكَبِيرِ ». </w:t>
      </w:r>
      <w:r w:rsidRPr="00D10E3C">
        <w:rPr>
          <w:rStyle w:val="libFootnotenumChar"/>
          <w:rtl/>
        </w:rPr>
        <w:t>(9)</w:t>
      </w:r>
    </w:p>
    <w:p w:rsidR="00144FA6" w:rsidRDefault="00744A1C" w:rsidP="00744A1C">
      <w:pPr>
        <w:pStyle w:val="libNormal"/>
        <w:rPr>
          <w:rtl/>
          <w:lang w:bidi="fa-IR"/>
        </w:rPr>
      </w:pPr>
      <w:r>
        <w:rPr>
          <w:rtl/>
          <w:lang w:bidi="fa-IR"/>
        </w:rPr>
        <w:t>8605 / 6. أَبُو عَلِيٍّ الْأَشْعَرِيُّ ، عَنْ مُحَمَّدِ بْنِ عَبْدِ الْجَبَّارِ ، عَنْ بَعْضِ أَصْحَابِنَا ، عَنْ عِيصِ بْنِ الْقَاسِمِ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الْيَتِيمِ يَكُونُ </w:t>
      </w:r>
      <w:r w:rsidRPr="00D10E3C">
        <w:rPr>
          <w:rStyle w:val="libFootnotenumChar"/>
          <w:rtl/>
        </w:rPr>
        <w:t>(10)</w:t>
      </w:r>
      <w:r>
        <w:rPr>
          <w:rtl/>
          <w:lang w:bidi="fa-IR"/>
        </w:rPr>
        <w:t xml:space="preserve"> غَلَّتُهُ </w:t>
      </w:r>
      <w:r w:rsidRPr="00D10E3C">
        <w:rPr>
          <w:rStyle w:val="libFootnotenumChar"/>
          <w:rtl/>
        </w:rPr>
        <w:t>(11)</w:t>
      </w:r>
      <w:r>
        <w:rPr>
          <w:rtl/>
          <w:lang w:bidi="fa-IR"/>
        </w:rPr>
        <w:t xml:space="preserve"> فِي الشَّهْرِ عِشْرِينَ دِرْهَماً : كَيْفَ‌</w:t>
      </w:r>
    </w:p>
    <w:p w:rsidR="00744A1C" w:rsidRDefault="00744A1C" w:rsidP="00D10E3C">
      <w:pPr>
        <w:pStyle w:val="libLine"/>
        <w:rPr>
          <w:lang w:bidi="fa-IR"/>
        </w:rPr>
      </w:pPr>
      <w:r>
        <w:rPr>
          <w:rtl/>
          <w:lang w:bidi="fa-IR"/>
        </w:rPr>
        <w:t>____________________</w:t>
      </w:r>
    </w:p>
    <w:p w:rsidR="00744A1C" w:rsidRDefault="00D10E3C" w:rsidP="00E378DD">
      <w:pPr>
        <w:pStyle w:val="libFootnote0"/>
        <w:rPr>
          <w:lang w:bidi="fa-IR"/>
        </w:rPr>
      </w:pPr>
      <w:r>
        <w:rPr>
          <w:rtl/>
          <w:lang w:bidi="fa-IR"/>
        </w:rPr>
        <w:t>(1).</w:t>
      </w:r>
      <w:r w:rsidR="00744A1C">
        <w:rPr>
          <w:rtl/>
          <w:lang w:bidi="fa-IR"/>
        </w:rPr>
        <w:t xml:space="preserve"> البقرة </w:t>
      </w:r>
      <w:r w:rsidR="00BD6D92">
        <w:rPr>
          <w:rtl/>
          <w:lang w:bidi="fa-IR"/>
        </w:rPr>
        <w:t>(2)</w:t>
      </w:r>
      <w:r w:rsidR="00744A1C">
        <w:rPr>
          <w:rtl/>
          <w:lang w:bidi="fa-IR"/>
        </w:rPr>
        <w:t xml:space="preserve"> : 22. وفي « ط » : + </w:t>
      </w:r>
      <w:r w:rsidR="00744A1C" w:rsidRPr="00BD6D92">
        <w:rPr>
          <w:rStyle w:val="libFootnoteAlaemChar"/>
          <w:rtl/>
        </w:rPr>
        <w:t>(</w:t>
      </w:r>
      <w:r w:rsidR="00744A1C" w:rsidRPr="00BD6D92">
        <w:rPr>
          <w:rStyle w:val="libFootnoteAieChar"/>
          <w:rtl/>
        </w:rPr>
        <w:t xml:space="preserve"> فِى الدّ</w:t>
      </w:r>
      <w:r w:rsidR="00BD6D92">
        <w:rPr>
          <w:rStyle w:val="libFootnoteAieChar"/>
          <w:rFonts w:hint="cs"/>
          <w:rtl/>
        </w:rPr>
        <w:t>ِ</w:t>
      </w:r>
      <w:r w:rsidR="00744A1C" w:rsidRPr="00BD6D92">
        <w:rPr>
          <w:rStyle w:val="libFootnoteAieChar"/>
          <w:rtl/>
        </w:rPr>
        <w:t xml:space="preserve">ينِ </w:t>
      </w:r>
      <w:r w:rsidR="00744A1C" w:rsidRPr="00BD6D92">
        <w:rPr>
          <w:rStyle w:val="libFootnoteAlaemChar"/>
          <w:rtl/>
        </w:rPr>
        <w:t>)</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 بس » بالتاء والياء معاً. وفي </w:t>
      </w:r>
      <w:r w:rsidR="00744A1C" w:rsidRPr="00BD6D92">
        <w:rPr>
          <w:rtl/>
        </w:rPr>
        <w:t>التهذيب</w:t>
      </w:r>
      <w:r w:rsidR="00744A1C">
        <w:rPr>
          <w:rtl/>
          <w:lang w:bidi="fa-IR"/>
        </w:rPr>
        <w:t xml:space="preserve"> : « يخرج ».</w:t>
      </w:r>
    </w:p>
    <w:p w:rsidR="00744A1C" w:rsidRDefault="00E378DD" w:rsidP="00E378DD">
      <w:pPr>
        <w:pStyle w:val="libFootnote0"/>
        <w:rPr>
          <w:lang w:bidi="fa-IR"/>
        </w:rPr>
      </w:pPr>
      <w:r>
        <w:rPr>
          <w:rtl/>
          <w:lang w:bidi="fa-IR"/>
        </w:rPr>
        <w:t>(3).</w:t>
      </w:r>
      <w:r w:rsidR="00744A1C">
        <w:rPr>
          <w:rtl/>
          <w:lang w:bidi="fa-IR"/>
        </w:rPr>
        <w:t xml:space="preserve"> في « ط ، ى ، بح ، جد ، جن » </w:t>
      </w:r>
      <w:r w:rsidR="00744A1C" w:rsidRPr="00BD6D92">
        <w:rPr>
          <w:rtl/>
        </w:rPr>
        <w:t>والوافي والوسائل</w:t>
      </w:r>
      <w:r w:rsidR="00744A1C">
        <w:rPr>
          <w:rtl/>
          <w:lang w:bidi="fa-IR"/>
        </w:rPr>
        <w:t xml:space="preserve"> ، ح 22459 </w:t>
      </w:r>
      <w:r w:rsidR="00744A1C" w:rsidRPr="00BD6D92">
        <w:rPr>
          <w:rtl/>
        </w:rPr>
        <w:t>والتهذيب</w:t>
      </w:r>
      <w:r w:rsidR="00744A1C">
        <w:rPr>
          <w:rtl/>
          <w:lang w:bidi="fa-IR"/>
        </w:rPr>
        <w:t xml:space="preserve"> : « قدر ».</w:t>
      </w:r>
    </w:p>
    <w:tbl>
      <w:tblPr>
        <w:tblStyle w:val="TableGrid"/>
        <w:bidiVisual/>
        <w:tblW w:w="0" w:type="auto"/>
        <w:tblLook w:val="04A0" w:firstRow="1" w:lastRow="0" w:firstColumn="1" w:lastColumn="0" w:noHBand="0" w:noVBand="1"/>
      </w:tblPr>
      <w:tblGrid>
        <w:gridCol w:w="4006"/>
        <w:gridCol w:w="4006"/>
      </w:tblGrid>
      <w:tr w:rsidR="00BD6D92" w:rsidTr="00BD6D92">
        <w:tc>
          <w:tcPr>
            <w:tcW w:w="4006" w:type="dxa"/>
          </w:tcPr>
          <w:p w:rsidR="00BD6D92" w:rsidRDefault="00BD6D92" w:rsidP="00E378DD">
            <w:pPr>
              <w:pStyle w:val="libFootnote0"/>
              <w:rPr>
                <w:rtl/>
                <w:lang w:bidi="fa-IR"/>
              </w:rPr>
            </w:pPr>
            <w:r>
              <w:rPr>
                <w:rtl/>
                <w:lang w:bidi="fa-IR"/>
              </w:rPr>
              <w:t>(4). في « ط ، بخ ، بف » : - « قدر ».</w:t>
            </w:r>
          </w:p>
        </w:tc>
        <w:tc>
          <w:tcPr>
            <w:tcW w:w="4006" w:type="dxa"/>
          </w:tcPr>
          <w:p w:rsidR="00BD6D92" w:rsidRDefault="00BD6D92" w:rsidP="00E378DD">
            <w:pPr>
              <w:pStyle w:val="libFootnote0"/>
              <w:rPr>
                <w:rtl/>
                <w:lang w:bidi="fa-IR"/>
              </w:rPr>
            </w:pPr>
            <w:r>
              <w:rPr>
                <w:rtl/>
                <w:lang w:bidi="fa-IR"/>
              </w:rPr>
              <w:t>(5). في « ط ، بخ ، بف ، جن » : « أو بعضهم ».</w:t>
            </w:r>
          </w:p>
        </w:tc>
      </w:tr>
    </w:tbl>
    <w:p w:rsidR="00744A1C" w:rsidRDefault="00E378DD" w:rsidP="00E378DD">
      <w:pPr>
        <w:pStyle w:val="libFootnote0"/>
        <w:rPr>
          <w:lang w:bidi="fa-IR"/>
        </w:rPr>
      </w:pPr>
      <w:r>
        <w:rPr>
          <w:rtl/>
          <w:lang w:bidi="fa-IR"/>
        </w:rPr>
        <w:t>(6).</w:t>
      </w:r>
      <w:r w:rsidR="00744A1C">
        <w:rPr>
          <w:rtl/>
          <w:lang w:bidi="fa-IR"/>
        </w:rPr>
        <w:t xml:space="preserve"> في « جن » : « منه ». وفي « جد » </w:t>
      </w:r>
      <w:r w:rsidR="00744A1C" w:rsidRPr="00BD6D92">
        <w:rPr>
          <w:rtl/>
        </w:rPr>
        <w:t>والتهذيب</w:t>
      </w:r>
      <w:r w:rsidR="00744A1C">
        <w:rPr>
          <w:rtl/>
          <w:lang w:bidi="fa-IR"/>
        </w:rPr>
        <w:t xml:space="preserve"> : - « منهم ».</w:t>
      </w:r>
    </w:p>
    <w:p w:rsidR="00744A1C" w:rsidRDefault="00E378DD" w:rsidP="00E378DD">
      <w:pPr>
        <w:pStyle w:val="libFootnote0"/>
        <w:rPr>
          <w:lang w:bidi="fa-IR"/>
        </w:rPr>
      </w:pPr>
      <w:r>
        <w:rPr>
          <w:rtl/>
          <w:lang w:bidi="fa-IR"/>
        </w:rPr>
        <w:t>(7).</w:t>
      </w:r>
      <w:r w:rsidR="00744A1C">
        <w:rPr>
          <w:rtl/>
          <w:lang w:bidi="fa-IR"/>
        </w:rPr>
        <w:t xml:space="preserve"> هكذا في جميع النسخ التي قوبلت </w:t>
      </w:r>
      <w:r w:rsidR="00744A1C" w:rsidRPr="00850C5C">
        <w:rPr>
          <w:rtl/>
        </w:rPr>
        <w:t>والوافي والوسائل</w:t>
      </w:r>
      <w:r w:rsidR="00744A1C">
        <w:rPr>
          <w:rtl/>
          <w:lang w:bidi="fa-IR"/>
        </w:rPr>
        <w:t xml:space="preserve"> ، ح 22459 </w:t>
      </w:r>
      <w:r w:rsidR="00744A1C" w:rsidRPr="00850C5C">
        <w:rPr>
          <w:rtl/>
        </w:rPr>
        <w:t>والتهذيب</w:t>
      </w:r>
      <w:r w:rsidR="00744A1C">
        <w:rPr>
          <w:rtl/>
          <w:lang w:bidi="fa-IR"/>
        </w:rPr>
        <w:t>. وفي المطبوع : + « [ أكل ]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يوشك ، حمل على ما إذا لم يكن خلافه معلوماً ، كما هو الظاهر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341 ، ح 952 ، معلّقاً عن أحمد بن محمّد. </w:t>
      </w:r>
      <w:r w:rsidR="00744A1C" w:rsidRPr="00A914B5">
        <w:rPr>
          <w:rStyle w:val="libFootnoteBoldChar"/>
          <w:rtl/>
        </w:rPr>
        <w:t>تفسير العيّاشي</w:t>
      </w:r>
      <w:r w:rsidR="00744A1C">
        <w:rPr>
          <w:rtl/>
          <w:lang w:bidi="fa-IR"/>
        </w:rPr>
        <w:t xml:space="preserve"> ، ج 1 ، ص 221 ، ح 29 ، عن أبي ا</w:t>
      </w:r>
      <w:r w:rsidR="00850C5C">
        <w:rPr>
          <w:rFonts w:hint="cs"/>
          <w:rtl/>
          <w:lang w:bidi="fa-IR"/>
        </w:rPr>
        <w:t>ُ</w:t>
      </w:r>
      <w:r w:rsidR="00744A1C">
        <w:rPr>
          <w:rtl/>
          <w:lang w:bidi="fa-IR"/>
        </w:rPr>
        <w:t xml:space="preserve">سامة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فلا يأكل منه شيئاً ». </w:t>
      </w:r>
      <w:r w:rsidR="00744A1C" w:rsidRPr="00610FB4">
        <w:rPr>
          <w:rStyle w:val="libFootnoteBoldChar"/>
          <w:rtl/>
        </w:rPr>
        <w:t>تفسير القمّي</w:t>
      </w:r>
      <w:r w:rsidR="00744A1C">
        <w:rPr>
          <w:rtl/>
          <w:lang w:bidi="fa-IR"/>
        </w:rPr>
        <w:t xml:space="preserve"> ، ج 1 ، ص 72 ، مرسلاً ، من قوله : « قلت : أرأيت إن كانوا يتامى » مع اختلاف </w:t>
      </w:r>
      <w:r w:rsidR="00850C5C">
        <w:rPr>
          <w:rFonts w:hint="cs"/>
          <w:rtl/>
          <w:lang w:bidi="fa-IR"/>
        </w:rPr>
        <w:t>.</w:t>
      </w:r>
      <w:r w:rsidR="00744A1C" w:rsidRPr="00C24F9C">
        <w:rPr>
          <w:rStyle w:val="libFootnoteBoldChar"/>
          <w:rtl/>
        </w:rPr>
        <w:t>الوافي</w:t>
      </w:r>
      <w:r w:rsidR="00744A1C">
        <w:rPr>
          <w:rtl/>
          <w:lang w:bidi="fa-IR"/>
        </w:rPr>
        <w:t xml:space="preserve"> ، ج 17 ، ص 313 ، ح 17334 ؛ </w:t>
      </w:r>
      <w:r w:rsidR="00744A1C" w:rsidRPr="00C24F9C">
        <w:rPr>
          <w:rStyle w:val="libFootnoteBoldChar"/>
          <w:rtl/>
        </w:rPr>
        <w:t>الوسائل</w:t>
      </w:r>
      <w:r w:rsidR="00744A1C">
        <w:rPr>
          <w:rtl/>
          <w:lang w:bidi="fa-IR"/>
        </w:rPr>
        <w:t xml:space="preserve"> ، ج 17 ، ص 251 ، ح 22450 ، إلى قوله : « فلا يأكل منه شيئاً » ؛ </w:t>
      </w:r>
      <w:r w:rsidR="00744A1C" w:rsidRPr="00850C5C">
        <w:rPr>
          <w:rStyle w:val="libFootnoteBoldChar"/>
          <w:rtl/>
        </w:rPr>
        <w:t>وفيه</w:t>
      </w:r>
      <w:r w:rsidR="00744A1C">
        <w:rPr>
          <w:rtl/>
          <w:lang w:bidi="fa-IR"/>
        </w:rPr>
        <w:t xml:space="preserve"> ، ص 254 ، ح 22459 ، من قوله : « قال : قلت : أرأيت قول الله عزّ وجلّ ... ».</w:t>
      </w:r>
    </w:p>
    <w:p w:rsidR="00744A1C" w:rsidRDefault="00E378DD" w:rsidP="00E378DD">
      <w:pPr>
        <w:pStyle w:val="libFootnote0"/>
        <w:rPr>
          <w:lang w:bidi="fa-IR"/>
        </w:rPr>
      </w:pPr>
      <w:r>
        <w:rPr>
          <w:rtl/>
          <w:lang w:bidi="fa-IR"/>
        </w:rPr>
        <w:t>(10).</w:t>
      </w:r>
      <w:r w:rsidR="00744A1C">
        <w:rPr>
          <w:rtl/>
          <w:lang w:bidi="fa-IR"/>
        </w:rPr>
        <w:t xml:space="preserve"> في « جن » </w:t>
      </w:r>
      <w:r w:rsidR="00744A1C" w:rsidRPr="00850C5C">
        <w:rPr>
          <w:rtl/>
        </w:rPr>
        <w:t>والوسائل</w:t>
      </w:r>
      <w:r w:rsidR="00744A1C">
        <w:rPr>
          <w:rtl/>
          <w:lang w:bidi="fa-IR"/>
        </w:rPr>
        <w:t xml:space="preserve"> : « تكون ».</w:t>
      </w:r>
    </w:p>
    <w:p w:rsidR="00744A1C" w:rsidRDefault="00E378DD" w:rsidP="00E378DD">
      <w:pPr>
        <w:pStyle w:val="libFootnote0"/>
        <w:rPr>
          <w:lang w:bidi="fa-IR"/>
        </w:rPr>
      </w:pPr>
      <w:r>
        <w:rPr>
          <w:rtl/>
          <w:lang w:bidi="fa-IR"/>
        </w:rPr>
        <w:t>(11).</w:t>
      </w:r>
      <w:r w:rsidR="00744A1C">
        <w:rPr>
          <w:rtl/>
          <w:lang w:bidi="fa-IR"/>
        </w:rPr>
        <w:t xml:space="preserve"> الغلّة : الدخل الذي يحصل من الزرع والثمر واللبن والإجارة والنتاج ونحو ذلك. </w:t>
      </w:r>
      <w:r w:rsidR="00744A1C" w:rsidRPr="00877682">
        <w:rPr>
          <w:rStyle w:val="libFootnoteBoldChar"/>
          <w:rtl/>
        </w:rPr>
        <w:t>لسان العرب</w:t>
      </w:r>
      <w:r w:rsidR="00744A1C">
        <w:rPr>
          <w:rtl/>
          <w:lang w:bidi="fa-IR"/>
        </w:rPr>
        <w:t xml:space="preserve"> ، ج 11 ، ص 504 ( غلل ).</w:t>
      </w:r>
    </w:p>
    <w:p w:rsidR="006D42F6" w:rsidRDefault="006D42F6" w:rsidP="00D10E3C">
      <w:pPr>
        <w:pStyle w:val="libNormal"/>
        <w:rPr>
          <w:rtl/>
          <w:lang w:bidi="fa-IR"/>
        </w:rPr>
      </w:pPr>
      <w:r>
        <w:rPr>
          <w:rtl/>
          <w:lang w:bidi="fa-IR"/>
        </w:rPr>
        <w:br w:type="page"/>
      </w:r>
    </w:p>
    <w:p w:rsidR="00744A1C" w:rsidRDefault="00744A1C" w:rsidP="00850C5C">
      <w:pPr>
        <w:pStyle w:val="libNormal0"/>
        <w:rPr>
          <w:lang w:bidi="fa-IR"/>
        </w:rPr>
      </w:pPr>
      <w:r>
        <w:rPr>
          <w:rtl/>
          <w:lang w:bidi="fa-IR"/>
        </w:rPr>
        <w:t xml:space="preserve">يُنْفَقُ عَلَيْهِ مِنْهَا </w:t>
      </w:r>
      <w:r w:rsidRPr="00D10E3C">
        <w:rPr>
          <w:rStyle w:val="libFootnotenumChar"/>
          <w:rtl/>
        </w:rPr>
        <w:t>(1)</w:t>
      </w:r>
      <w:r>
        <w:rPr>
          <w:rtl/>
          <w:lang w:bidi="fa-IR"/>
        </w:rPr>
        <w:t>؟</w:t>
      </w:r>
    </w:p>
    <w:p w:rsidR="00744A1C" w:rsidRDefault="00744A1C" w:rsidP="00744A1C">
      <w:pPr>
        <w:pStyle w:val="libNormal"/>
        <w:rPr>
          <w:lang w:bidi="fa-IR"/>
        </w:rPr>
      </w:pPr>
      <w:r>
        <w:rPr>
          <w:rtl/>
          <w:lang w:bidi="fa-IR"/>
        </w:rPr>
        <w:t>قَالَ : « قُوتُهُ مِنَ الطَّعَامِ وَالتَّمْرِ ».</w:t>
      </w:r>
    </w:p>
    <w:p w:rsidR="00744A1C" w:rsidRDefault="00744A1C" w:rsidP="00744A1C">
      <w:pPr>
        <w:pStyle w:val="libNormal"/>
        <w:rPr>
          <w:lang w:bidi="fa-IR"/>
        </w:rPr>
      </w:pPr>
      <w:r>
        <w:rPr>
          <w:rtl/>
          <w:lang w:bidi="fa-IR"/>
        </w:rPr>
        <w:t xml:space="preserve">وَسَأَلْتُهُ : أُنْفِقُ </w:t>
      </w:r>
      <w:r w:rsidRPr="00D10E3C">
        <w:rPr>
          <w:rStyle w:val="libFootnotenumChar"/>
          <w:rtl/>
        </w:rPr>
        <w:t>(2)</w:t>
      </w:r>
      <w:r>
        <w:rPr>
          <w:rtl/>
          <w:lang w:bidi="fa-IR"/>
        </w:rPr>
        <w:t xml:space="preserve"> عَلَيْهِ ثُلُثَهَا </w:t>
      </w:r>
      <w:r w:rsidRPr="00D10E3C">
        <w:rPr>
          <w:rStyle w:val="libFootnotenumChar"/>
          <w:rtl/>
        </w:rPr>
        <w:t>(3)</w:t>
      </w:r>
      <w:r>
        <w:rPr>
          <w:rtl/>
          <w:lang w:bidi="fa-IR"/>
        </w:rPr>
        <w:t>؟</w:t>
      </w:r>
    </w:p>
    <w:p w:rsidR="00144FA6" w:rsidRDefault="00744A1C" w:rsidP="00744A1C">
      <w:pPr>
        <w:pStyle w:val="libNormal"/>
        <w:rPr>
          <w:rtl/>
          <w:lang w:bidi="fa-IR"/>
        </w:rPr>
      </w:pPr>
      <w:r>
        <w:rPr>
          <w:rtl/>
          <w:lang w:bidi="fa-IR"/>
        </w:rPr>
        <w:t xml:space="preserve">قَالَ : « نَعَمْ ، وَنِصْفَهَا ». </w:t>
      </w:r>
      <w:r w:rsidRPr="00D10E3C">
        <w:rPr>
          <w:rStyle w:val="libFootnotenumChar"/>
          <w:rtl/>
        </w:rPr>
        <w:t>(4)</w:t>
      </w:r>
    </w:p>
    <w:p w:rsidR="00744A1C" w:rsidRDefault="00744A1C" w:rsidP="00850C5C">
      <w:pPr>
        <w:pStyle w:val="Heading2Center"/>
        <w:rPr>
          <w:lang w:bidi="fa-IR"/>
        </w:rPr>
      </w:pPr>
      <w:bookmarkStart w:id="168" w:name="_Toc49261466"/>
      <w:r>
        <w:rPr>
          <w:rtl/>
          <w:lang w:bidi="fa-IR"/>
        </w:rPr>
        <w:t>45 - بَابُ التِّجَارَةِ فِي مَالِ الْيَتِيمِ وَالْقَرْضِ مِنْهُ‌</w:t>
      </w:r>
      <w:bookmarkEnd w:id="168"/>
    </w:p>
    <w:p w:rsidR="00144FA6" w:rsidRDefault="00744A1C" w:rsidP="00744A1C">
      <w:pPr>
        <w:pStyle w:val="libNormal"/>
        <w:rPr>
          <w:rtl/>
          <w:lang w:bidi="fa-IR"/>
        </w:rPr>
      </w:pPr>
      <w:r>
        <w:rPr>
          <w:rtl/>
          <w:lang w:bidi="fa-IR"/>
        </w:rPr>
        <w:t>8606 / 1. مُحَمَّدُ بْنُ يَحْيى ، عَنْ أَحْمَدَ بْنِ مُحَمَّدٍ ، عَنْ عَلِيِّ بْنِ الْحَكَمِ ، عَنْ أَسْبَاطِ بْنِ سَالِمٍ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كَانَ لِي أَخٌ هَلَكَ ، فَأَوْصى </w:t>
      </w:r>
      <w:r w:rsidRPr="00D10E3C">
        <w:rPr>
          <w:rStyle w:val="libFootnotenumChar"/>
          <w:rtl/>
        </w:rPr>
        <w:t>(5)</w:t>
      </w:r>
      <w:r>
        <w:rPr>
          <w:rtl/>
          <w:lang w:bidi="fa-IR"/>
        </w:rPr>
        <w:t xml:space="preserve"> إِلى أَخٍ أَكْبَرَ مِنِّي ، وَأَدْخَلَنِي </w:t>
      </w:r>
      <w:r w:rsidRPr="00D10E3C">
        <w:rPr>
          <w:rStyle w:val="libFootnotenumChar"/>
          <w:rtl/>
        </w:rPr>
        <w:t>(6)</w:t>
      </w:r>
      <w:r>
        <w:rPr>
          <w:rtl/>
          <w:lang w:bidi="fa-IR"/>
        </w:rPr>
        <w:t xml:space="preserve"> مَعَهُ فِي الْوَصِيَّةِ ، وَتَرَكَ ابْناً لَهُ </w:t>
      </w:r>
      <w:r w:rsidRPr="00D10E3C">
        <w:rPr>
          <w:rStyle w:val="libFootnotenumChar"/>
          <w:rtl/>
        </w:rPr>
        <w:t>(7)</w:t>
      </w:r>
      <w:r>
        <w:rPr>
          <w:rtl/>
          <w:lang w:bidi="fa-IR"/>
        </w:rPr>
        <w:t xml:space="preserve"> صَغِيراً وَلَهُ مَالٌ ، أَ</w:t>
      </w:r>
      <w:r w:rsidR="00850C5C">
        <w:rPr>
          <w:rFonts w:hint="cs"/>
          <w:rtl/>
          <w:lang w:bidi="fa-IR"/>
        </w:rPr>
        <w:t xml:space="preserve"> </w:t>
      </w:r>
      <w:r>
        <w:rPr>
          <w:rtl/>
          <w:lang w:bidi="fa-IR"/>
        </w:rPr>
        <w:t xml:space="preserve">فَيَضْرِبُ </w:t>
      </w:r>
      <w:r w:rsidRPr="00D10E3C">
        <w:rPr>
          <w:rStyle w:val="libFootnotenumChar"/>
          <w:rtl/>
        </w:rPr>
        <w:t>(8)</w:t>
      </w:r>
      <w:r>
        <w:rPr>
          <w:rtl/>
          <w:lang w:bidi="fa-IR"/>
        </w:rPr>
        <w:t xml:space="preserve"> بِهِ أَخِي </w:t>
      </w:r>
      <w:r w:rsidRPr="00D10E3C">
        <w:rPr>
          <w:rStyle w:val="libFootnotenumChar"/>
          <w:rtl/>
        </w:rPr>
        <w:t>(9)</w:t>
      </w:r>
      <w:r>
        <w:rPr>
          <w:rtl/>
          <w:lang w:bidi="fa-IR"/>
        </w:rPr>
        <w:t xml:space="preserve"> ، فَمَا كَانَ مِنْ فَضْلٍ سَلَّمَهُ لِلْيَتِيمِ </w:t>
      </w:r>
      <w:r w:rsidRPr="00D10E3C">
        <w:rPr>
          <w:rStyle w:val="libFootnotenumChar"/>
          <w:rtl/>
        </w:rPr>
        <w:t>(10)</w:t>
      </w:r>
      <w:r>
        <w:rPr>
          <w:rtl/>
          <w:lang w:bidi="fa-IR"/>
        </w:rPr>
        <w:t xml:space="preserve"> ، وَضَمِنَ لَهُ </w:t>
      </w:r>
      <w:r w:rsidRPr="00D10E3C">
        <w:rPr>
          <w:rStyle w:val="libFootnotenumChar"/>
          <w:rtl/>
        </w:rPr>
        <w:t>(11)</w:t>
      </w:r>
      <w:r>
        <w:rPr>
          <w:rtl/>
          <w:lang w:bidi="fa-IR"/>
        </w:rPr>
        <w:t xml:space="preserve"> مَالَهُ؟</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850C5C" w:rsidTr="00850C5C">
        <w:tc>
          <w:tcPr>
            <w:tcW w:w="4006" w:type="dxa"/>
          </w:tcPr>
          <w:p w:rsidR="00850C5C" w:rsidRDefault="00850C5C" w:rsidP="00D10E3C">
            <w:pPr>
              <w:pStyle w:val="libFootnote0"/>
              <w:rPr>
                <w:rtl/>
                <w:lang w:bidi="fa-IR"/>
              </w:rPr>
            </w:pPr>
            <w:r>
              <w:rPr>
                <w:rtl/>
                <w:lang w:bidi="fa-IR"/>
              </w:rPr>
              <w:t>(1). في « ى » : - « منها ».</w:t>
            </w:r>
          </w:p>
        </w:tc>
        <w:tc>
          <w:tcPr>
            <w:tcW w:w="4006" w:type="dxa"/>
          </w:tcPr>
          <w:p w:rsidR="00850C5C" w:rsidRDefault="00850C5C" w:rsidP="00D10E3C">
            <w:pPr>
              <w:pStyle w:val="libFootnote0"/>
              <w:rPr>
                <w:rtl/>
                <w:lang w:bidi="fa-IR"/>
              </w:rPr>
            </w:pPr>
            <w:r>
              <w:rPr>
                <w:rtl/>
                <w:lang w:bidi="fa-IR"/>
              </w:rPr>
              <w:t>(2). في « ط » : « أينفق ».</w:t>
            </w:r>
          </w:p>
        </w:tc>
      </w:tr>
    </w:tbl>
    <w:p w:rsidR="00744A1C" w:rsidRDefault="00E378DD" w:rsidP="00E378DD">
      <w:pPr>
        <w:pStyle w:val="libFootnote0"/>
        <w:rPr>
          <w:lang w:bidi="fa-IR"/>
        </w:rPr>
      </w:pPr>
      <w:r>
        <w:rPr>
          <w:rtl/>
          <w:lang w:bidi="fa-IR"/>
        </w:rPr>
        <w:t>(3).</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ا</w:t>
      </w:r>
      <w:r w:rsidR="00850C5C">
        <w:rPr>
          <w:rFonts w:hint="cs"/>
          <w:rtl/>
          <w:lang w:bidi="fa-IR"/>
        </w:rPr>
        <w:t>ُ</w:t>
      </w:r>
      <w:r w:rsidR="00744A1C">
        <w:rPr>
          <w:rtl/>
          <w:lang w:bidi="fa-IR"/>
        </w:rPr>
        <w:t>نفق عليه ثلثها ، كأنّ المصنّف حمله على الإنفاق على نفسه لا على اليتيم حتّى يكون من أخبار الباب - وهو نفس الباب هاهنا -. ويحتمل الإنفاق على اليتيم ، ويكون السؤال عن جواز الإنفاق على اليتيم حتّى يظهر التقليل في غلّته. وبالجملة كأنّ السائل يرى أنّ إنفاق جميع غلّة اليتيم عليه إفساد ، و</w:t>
      </w:r>
      <w:r w:rsidR="00850C5C">
        <w:rPr>
          <w:rtl/>
          <w:lang w:bidi="fa-IR"/>
        </w:rPr>
        <w:t>يجب القناعة بأقلّ ما يمكن ، ولم</w:t>
      </w:r>
      <w:r w:rsidR="00850C5C">
        <w:rPr>
          <w:rFonts w:hint="cs"/>
          <w:rtl/>
          <w:lang w:bidi="fa-IR"/>
        </w:rPr>
        <w:t>ـّ</w:t>
      </w:r>
      <w:r w:rsidR="00744A1C">
        <w:rPr>
          <w:rtl/>
          <w:lang w:bidi="fa-IR"/>
        </w:rPr>
        <w:t>ا كان الغلّة قليلة جدّاً وكان الاكتفاء بالقليل أيضاً مجحفاً ، سأل عن إنفاق النصف أيضاً ، وهذا محمول على كفايته</w:t>
      </w:r>
      <w:r w:rsidR="00850C5C">
        <w:rPr>
          <w:rtl/>
          <w:lang w:bidi="fa-IR"/>
        </w:rPr>
        <w:t xml:space="preserve"> ، وإل</w:t>
      </w:r>
      <w:r w:rsidR="00850C5C">
        <w:rPr>
          <w:rFonts w:hint="cs"/>
          <w:rtl/>
          <w:lang w:bidi="fa-IR"/>
        </w:rPr>
        <w:t>ّ</w:t>
      </w:r>
      <w:r w:rsidR="00850C5C">
        <w:rPr>
          <w:rtl/>
          <w:lang w:bidi="fa-IR"/>
        </w:rPr>
        <w:t>ا</w:t>
      </w:r>
      <w:r w:rsidR="00744A1C">
        <w:rPr>
          <w:rtl/>
          <w:lang w:bidi="fa-IR"/>
        </w:rPr>
        <w:t xml:space="preserve"> فلولزم إنفاق الجميع لجاز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17 ، ص 314 ، ح 17335 ؛ </w:t>
      </w:r>
      <w:r w:rsidR="00744A1C" w:rsidRPr="00C24F9C">
        <w:rPr>
          <w:rStyle w:val="libFootnoteBoldChar"/>
          <w:rtl/>
        </w:rPr>
        <w:t>الوسائل</w:t>
      </w:r>
      <w:r w:rsidR="00744A1C">
        <w:rPr>
          <w:rtl/>
          <w:lang w:bidi="fa-IR"/>
        </w:rPr>
        <w:t xml:space="preserve"> ، ج 17 ، ص 256 ، ح 22465.</w:t>
      </w:r>
    </w:p>
    <w:tbl>
      <w:tblPr>
        <w:tblStyle w:val="TableGrid"/>
        <w:bidiVisual/>
        <w:tblW w:w="0" w:type="auto"/>
        <w:tblLook w:val="04A0" w:firstRow="1" w:lastRow="0" w:firstColumn="1" w:lastColumn="0" w:noHBand="0" w:noVBand="1"/>
      </w:tblPr>
      <w:tblGrid>
        <w:gridCol w:w="4006"/>
        <w:gridCol w:w="4006"/>
      </w:tblGrid>
      <w:tr w:rsidR="00850C5C" w:rsidTr="00850C5C">
        <w:tc>
          <w:tcPr>
            <w:tcW w:w="4006" w:type="dxa"/>
          </w:tcPr>
          <w:p w:rsidR="00850C5C" w:rsidRDefault="00850C5C" w:rsidP="00E378DD">
            <w:pPr>
              <w:pStyle w:val="libFootnote0"/>
              <w:rPr>
                <w:rtl/>
                <w:lang w:bidi="fa-IR"/>
              </w:rPr>
            </w:pPr>
            <w:r>
              <w:rPr>
                <w:rtl/>
                <w:lang w:bidi="fa-IR"/>
              </w:rPr>
              <w:t>(5). في « ى ، بح ، بس ، جد » : « فوصّى ».</w:t>
            </w:r>
          </w:p>
        </w:tc>
        <w:tc>
          <w:tcPr>
            <w:tcW w:w="4006" w:type="dxa"/>
          </w:tcPr>
          <w:p w:rsidR="00850C5C" w:rsidRDefault="00850C5C" w:rsidP="00E378DD">
            <w:pPr>
              <w:pStyle w:val="libFootnote0"/>
              <w:rPr>
                <w:rtl/>
                <w:lang w:bidi="fa-IR"/>
              </w:rPr>
            </w:pPr>
            <w:r>
              <w:rPr>
                <w:rtl/>
                <w:lang w:bidi="fa-IR"/>
              </w:rPr>
              <w:t>(6). في « ط » : « فأدخلني ».</w:t>
            </w:r>
          </w:p>
        </w:tc>
      </w:tr>
    </w:tbl>
    <w:p w:rsidR="00744A1C" w:rsidRDefault="00E378DD" w:rsidP="00E378DD">
      <w:pPr>
        <w:pStyle w:val="libFootnote0"/>
        <w:rPr>
          <w:lang w:bidi="fa-IR"/>
        </w:rPr>
      </w:pPr>
      <w:r>
        <w:rPr>
          <w:rtl/>
          <w:lang w:bidi="fa-IR"/>
        </w:rPr>
        <w:t>(7).</w:t>
      </w:r>
      <w:r w:rsidR="00744A1C">
        <w:rPr>
          <w:rtl/>
          <w:lang w:bidi="fa-IR"/>
        </w:rPr>
        <w:t xml:space="preserve"> في « ط » </w:t>
      </w:r>
      <w:r w:rsidR="00744A1C" w:rsidRPr="00850C5C">
        <w:rPr>
          <w:rtl/>
        </w:rPr>
        <w:t>والتهذيب</w:t>
      </w:r>
      <w:r w:rsidR="00744A1C">
        <w:rPr>
          <w:rtl/>
          <w:lang w:bidi="fa-IR"/>
        </w:rPr>
        <w:t xml:space="preserve"> : - « له ».</w:t>
      </w:r>
    </w:p>
    <w:p w:rsidR="00744A1C" w:rsidRDefault="00E378DD" w:rsidP="00850C5C">
      <w:pPr>
        <w:pStyle w:val="libFootnote0"/>
        <w:rPr>
          <w:lang w:bidi="fa-IR"/>
        </w:rPr>
      </w:pPr>
      <w:r>
        <w:rPr>
          <w:rtl/>
          <w:lang w:bidi="fa-IR"/>
        </w:rPr>
        <w:t>(8).</w:t>
      </w:r>
      <w:r w:rsidR="00744A1C">
        <w:rPr>
          <w:rtl/>
          <w:lang w:bidi="fa-IR"/>
        </w:rPr>
        <w:t xml:space="preserve"> هكذا في « ط ، بخ ، بس ، بف ، جت ، جد ، جن » </w:t>
      </w:r>
      <w:r w:rsidR="00744A1C" w:rsidRPr="00850C5C">
        <w:rPr>
          <w:rtl/>
        </w:rPr>
        <w:t>والوافي والوسائل والتهذيب</w:t>
      </w:r>
      <w:r w:rsidR="00744A1C">
        <w:rPr>
          <w:rtl/>
          <w:lang w:bidi="fa-IR"/>
        </w:rPr>
        <w:t xml:space="preserve">. وفي سائر النسخ والمطبوع : « فيضرب ». وفي </w:t>
      </w:r>
      <w:r w:rsidR="00744A1C" w:rsidRPr="00C24F9C">
        <w:rPr>
          <w:rStyle w:val="libFootnoteBoldChar"/>
          <w:rtl/>
        </w:rPr>
        <w:t>الوافي</w:t>
      </w:r>
      <w:r w:rsidR="00744A1C">
        <w:rPr>
          <w:rtl/>
          <w:lang w:bidi="fa-IR"/>
        </w:rPr>
        <w:t xml:space="preserve"> : « أفيضرب به : يسافر به للتجارة ». وتقول : ضربتُ في الأرض ، إذا سافرت. راجع : </w:t>
      </w:r>
      <w:r w:rsidR="00744A1C" w:rsidRPr="00877682">
        <w:rPr>
          <w:rStyle w:val="libFootnoteBoldChar"/>
          <w:rtl/>
        </w:rPr>
        <w:t>النهاية</w:t>
      </w:r>
      <w:r w:rsidR="00744A1C">
        <w:rPr>
          <w:rtl/>
          <w:lang w:bidi="fa-IR"/>
        </w:rPr>
        <w:t xml:space="preserve"> ، ج 3 ، ص 79 ( ضرب ).</w:t>
      </w:r>
      <w:r w:rsidR="00850C5C">
        <w:rPr>
          <w:rFonts w:hint="cs"/>
          <w:rtl/>
          <w:lang w:bidi="fa-IR"/>
        </w:rPr>
        <w:t xml:space="preserve">                        </w:t>
      </w:r>
      <w:r>
        <w:rPr>
          <w:rtl/>
          <w:lang w:bidi="fa-IR"/>
        </w:rPr>
        <w:t>(9).</w:t>
      </w:r>
      <w:r w:rsidR="00744A1C">
        <w:rPr>
          <w:rtl/>
          <w:lang w:bidi="fa-IR"/>
        </w:rPr>
        <w:t xml:space="preserve"> في </w:t>
      </w:r>
      <w:r w:rsidR="00744A1C" w:rsidRPr="00850C5C">
        <w:rPr>
          <w:rtl/>
        </w:rPr>
        <w:t>التهذيب</w:t>
      </w:r>
      <w:r w:rsidR="00744A1C">
        <w:rPr>
          <w:rtl/>
          <w:lang w:bidi="fa-IR"/>
        </w:rPr>
        <w:t xml:space="preserve"> : « للابن ».</w:t>
      </w:r>
    </w:p>
    <w:p w:rsidR="00744A1C" w:rsidRDefault="00E378DD" w:rsidP="00E378DD">
      <w:pPr>
        <w:pStyle w:val="libFootnote0"/>
        <w:rPr>
          <w:lang w:bidi="fa-IR"/>
        </w:rPr>
      </w:pPr>
      <w:r>
        <w:rPr>
          <w:rtl/>
          <w:lang w:bidi="fa-IR"/>
        </w:rPr>
        <w:t>(10).</w:t>
      </w:r>
      <w:r w:rsidR="00744A1C">
        <w:rPr>
          <w:rtl/>
          <w:lang w:bidi="fa-IR"/>
        </w:rPr>
        <w:t xml:space="preserve"> في « بخ ، بف ، جن » وحاشية « جت » </w:t>
      </w:r>
      <w:r w:rsidR="00744A1C" w:rsidRPr="00850C5C">
        <w:rPr>
          <w:rtl/>
        </w:rPr>
        <w:t>والوافي</w:t>
      </w:r>
      <w:r w:rsidR="00744A1C">
        <w:rPr>
          <w:rtl/>
          <w:lang w:bidi="fa-IR"/>
        </w:rPr>
        <w:t xml:space="preserve"> : « إلى اليتيم ».</w:t>
      </w:r>
    </w:p>
    <w:p w:rsidR="00144FA6" w:rsidRDefault="00744A1C" w:rsidP="00D10E3C">
      <w:pPr>
        <w:pStyle w:val="libFootnote0"/>
        <w:rPr>
          <w:rtl/>
          <w:lang w:bidi="fa-IR"/>
        </w:rPr>
      </w:pPr>
      <w:r>
        <w:rPr>
          <w:rtl/>
          <w:lang w:bidi="fa-IR"/>
        </w:rPr>
        <w:t xml:space="preserve">وقال المحقّق الشعراني في هامش </w:t>
      </w:r>
      <w:r w:rsidRPr="00C24F9C">
        <w:rPr>
          <w:rStyle w:val="libFootnoteBoldChar"/>
          <w:rtl/>
        </w:rPr>
        <w:t>الوافي</w:t>
      </w:r>
      <w:r>
        <w:rPr>
          <w:rtl/>
          <w:lang w:bidi="fa-IR"/>
        </w:rPr>
        <w:t xml:space="preserve"> : « قوله : من فضل سلّمه إلى اليتيم ، يدلّ على أنّه يجوز التجارة لليتيم ،</w:t>
      </w:r>
      <w:r w:rsidR="00850C5C">
        <w:rPr>
          <w:rFonts w:hint="cs"/>
          <w:rtl/>
          <w:lang w:bidi="fa-IR"/>
        </w:rPr>
        <w:t xml:space="preserve"> =</w:t>
      </w:r>
    </w:p>
    <w:p w:rsidR="006D42F6" w:rsidRDefault="006D42F6" w:rsidP="00D10E3C">
      <w:pPr>
        <w:pStyle w:val="libNormal"/>
        <w:rPr>
          <w:rtl/>
          <w:lang w:bidi="fa-IR"/>
        </w:rPr>
      </w:pPr>
      <w:r>
        <w:rPr>
          <w:rtl/>
          <w:lang w:bidi="fa-IR"/>
        </w:rPr>
        <w:br w:type="page"/>
      </w:r>
    </w:p>
    <w:p w:rsidR="00744A1C" w:rsidRDefault="00744A1C" w:rsidP="00D10E3C">
      <w:pPr>
        <w:pStyle w:val="libLine"/>
        <w:rPr>
          <w:lang w:bidi="fa-IR"/>
        </w:rPr>
      </w:pPr>
      <w:r>
        <w:rPr>
          <w:rtl/>
          <w:lang w:bidi="fa-IR"/>
        </w:rPr>
        <w:t>____________________</w:t>
      </w:r>
    </w:p>
    <w:p w:rsidR="00744A1C" w:rsidRDefault="00850C5C" w:rsidP="00D10E3C">
      <w:pPr>
        <w:pStyle w:val="libFootnote0"/>
        <w:rPr>
          <w:lang w:bidi="fa-IR"/>
        </w:rPr>
      </w:pPr>
      <w:r>
        <w:rPr>
          <w:rFonts w:hint="cs"/>
          <w:rtl/>
          <w:lang w:bidi="fa-IR"/>
        </w:rPr>
        <w:t xml:space="preserve">= </w:t>
      </w:r>
      <w:r w:rsidR="00744A1C">
        <w:rPr>
          <w:rtl/>
          <w:lang w:bidi="fa-IR"/>
        </w:rPr>
        <w:t>ويجوز أيضاً أن يستقرض من مال اليتيم ويتّجر لنفسه ، وشرطه في الحالين أن يكون مليّاً ، أي أن يكون له مال بقدر ما يحيط بمال اليتيم حتّى يضمن إن عطب. وقد مضى ما يدلّ على عدم الجواز ، وهو محمول على الكراهة ، أو عدم كونه مليّاً. وهذا الاشتراط يدلّ على الضمان مطلقاً ، فالوليّ إذا اتّجر بمال اليتيم فهو له ضامن ، سواء استقرض واتّجر لنفسه ، وهو ظاهر ، أو اتّجر لليتيم. ولو لم يكن ضمان ، لم يكن معنى لاشتراط كونه مليّاً. واستثنى من ذلك الأب والجدّ فيجوز لهما الاستقراض ولو مع الإعسار ، والله العالم.</w:t>
      </w:r>
    </w:p>
    <w:p w:rsidR="00744A1C" w:rsidRDefault="00744A1C" w:rsidP="00E378DD">
      <w:pPr>
        <w:pStyle w:val="libFootnote0"/>
        <w:rPr>
          <w:lang w:bidi="fa-IR"/>
        </w:rPr>
      </w:pPr>
      <w:r>
        <w:rPr>
          <w:rtl/>
          <w:lang w:bidi="fa-IR"/>
        </w:rPr>
        <w:t xml:space="preserve">ولا ريب أنّه لا يجب التجارة لليتيم ولو مع ظهور النفع ؛ لأنّ خطر التلف يعارضه ، فيجوز ترك المال الصامت ؛ أعني النقدين </w:t>
      </w:r>
      <w:r w:rsidR="00850C5C">
        <w:rPr>
          <w:rtl/>
          <w:lang w:bidi="fa-IR"/>
        </w:rPr>
        <w:t>والأمتعة من غير أن يحرّكه ، إل</w:t>
      </w:r>
      <w:r w:rsidR="00850C5C">
        <w:rPr>
          <w:rFonts w:hint="cs"/>
          <w:rtl/>
          <w:lang w:bidi="fa-IR"/>
        </w:rPr>
        <w:t>ّ</w:t>
      </w:r>
      <w:r w:rsidR="00850C5C">
        <w:rPr>
          <w:rtl/>
          <w:lang w:bidi="fa-IR"/>
        </w:rPr>
        <w:t>ا</w:t>
      </w:r>
      <w:r>
        <w:rPr>
          <w:rtl/>
          <w:lang w:bidi="fa-IR"/>
        </w:rPr>
        <w:t xml:space="preserve"> أن يكون ممّا يفسده البقاء ، فيجب بيعه وتعويضه بما لا يفسد ، مثل اللبن المحلوب والفواكه إذا حصل من أنعام اليتيم وبساتينه ، ولا يجوز تركها بحالها. وهكذا يجب حصاد زرعه ودوسه. وقيل : إنّ الآية الكريمة</w:t>
      </w:r>
      <w:r w:rsidR="00850C5C">
        <w:rPr>
          <w:rFonts w:hint="cs"/>
          <w:rtl/>
          <w:lang w:bidi="fa-IR"/>
        </w:rPr>
        <w:t xml:space="preserve"> </w:t>
      </w:r>
      <w:r w:rsidRPr="00850C5C">
        <w:rPr>
          <w:rStyle w:val="libFootnoteAlaemChar"/>
          <w:rtl/>
        </w:rPr>
        <w:t>(</w:t>
      </w:r>
      <w:r w:rsidRPr="00850C5C">
        <w:rPr>
          <w:rStyle w:val="libFootnoteAieChar"/>
          <w:rtl/>
        </w:rPr>
        <w:t xml:space="preserve"> وَل</w:t>
      </w:r>
      <w:r w:rsidR="00850C5C">
        <w:rPr>
          <w:rStyle w:val="libFootnoteAieChar"/>
          <w:rFonts w:hint="cs"/>
          <w:rtl/>
        </w:rPr>
        <w:t>ّ</w:t>
      </w:r>
      <w:r w:rsidRPr="00850C5C">
        <w:rPr>
          <w:rStyle w:val="libFootnoteAieChar"/>
          <w:rtl/>
        </w:rPr>
        <w:t>ا تَقْرَبُوا م</w:t>
      </w:r>
      <w:r w:rsidR="00850C5C">
        <w:rPr>
          <w:rStyle w:val="libFootnoteAieChar"/>
          <w:rFonts w:hint="cs"/>
          <w:rtl/>
        </w:rPr>
        <w:t>َ</w:t>
      </w:r>
      <w:r w:rsidRPr="00850C5C">
        <w:rPr>
          <w:rStyle w:val="libFootnoteAieChar"/>
          <w:rtl/>
        </w:rPr>
        <w:t>الَ</w:t>
      </w:r>
      <w:r w:rsidR="00850C5C">
        <w:rPr>
          <w:rStyle w:val="libFootnoteAieChar"/>
          <w:rtl/>
        </w:rPr>
        <w:t xml:space="preserve"> الْيَتِيمِ إِل</w:t>
      </w:r>
      <w:r w:rsidR="00850C5C">
        <w:rPr>
          <w:rStyle w:val="libFootnoteAieChar"/>
          <w:rFonts w:hint="cs"/>
          <w:rtl/>
        </w:rPr>
        <w:t>ّ</w:t>
      </w:r>
      <w:r w:rsidR="00850C5C">
        <w:rPr>
          <w:rStyle w:val="libFootnoteAieChar"/>
          <w:rtl/>
        </w:rPr>
        <w:t>ا</w:t>
      </w:r>
      <w:r w:rsidRPr="00850C5C">
        <w:rPr>
          <w:rStyle w:val="libFootnoteAieChar"/>
          <w:rtl/>
        </w:rPr>
        <w:t xml:space="preserve"> بِالَّتِي هِيَ أَحْسَنُ </w:t>
      </w:r>
      <w:r w:rsidRPr="00850C5C">
        <w:rPr>
          <w:rStyle w:val="libFootnoteAlaemChar"/>
          <w:rtl/>
        </w:rPr>
        <w:t>)</w:t>
      </w:r>
      <w:r>
        <w:rPr>
          <w:rtl/>
          <w:lang w:bidi="fa-IR"/>
        </w:rPr>
        <w:t xml:space="preserve"> [ الأنعام </w:t>
      </w:r>
      <w:r w:rsidR="00850C5C">
        <w:rPr>
          <w:rtl/>
          <w:lang w:bidi="fa-IR"/>
        </w:rPr>
        <w:t>(6)</w:t>
      </w:r>
      <w:r>
        <w:rPr>
          <w:rtl/>
          <w:lang w:bidi="fa-IR"/>
        </w:rPr>
        <w:t xml:space="preserve"> : 152 ؛ الإسراء (17) : 34 ] تدلّ على أنّ الفعل الثبوتي يجب أن يكون مشتملاً على مصلحة ، وأمّا ترك مال اليتيم بحاله وعدم التعرّض له بشي‌ء فهو جائز وإن لم يكن مصلحة في الترك أصلاً. وهذا قول ضعيف ، بل لا فرق بين الفعل والترك ، وكلاهما يجب أن يكونا لمصلحة ، وإنّما لا تجب التجارة ؛ لأنّها تحصيل مال مع تعرّض لخطر ، وتحصيل المال غير واجب ، وأمّا حفظ المال الموجود فواجب ، سواء كان بالفعل الإيجابي أو الترك. ويحرم كلّ شي‌ء يضرّ بمال اليتيم وينقصه ، سواء كان بالفعل الإيجابي أو الترك أيضاً ، على أنّي لا احقّق وجود هذا القول وإنّما سمعت مشافهة ولم أر مكتوباً.</w:t>
      </w:r>
    </w:p>
    <w:p w:rsidR="00744A1C" w:rsidRDefault="00744A1C" w:rsidP="00D10E3C">
      <w:pPr>
        <w:pStyle w:val="libFootnote0"/>
        <w:rPr>
          <w:lang w:bidi="fa-IR"/>
        </w:rPr>
      </w:pPr>
      <w:r>
        <w:rPr>
          <w:rtl/>
          <w:lang w:bidi="fa-IR"/>
        </w:rPr>
        <w:t>ويستفاد من كلام الشيخ المحقّق الأنصاري قدسسرهة إنّ الفعل الإيجابي ، أي التصرّف في مال اليتيم يجب أن يكون على الوجه الأصلح ، أمّا تركه بحاله وعدم التصرّف فيكفي فيه عدم المفسدة ، ولكن ظاهرهم جواز الاستقراض من مال اليتيم ، وهو فعل إيجابي مع عدم مصلحة فيه ، بل يكفي عدم المفسدة بأن يكون الولي مليّاً ، فلو قيل بعدم الفرق كان حسناً ، مع أنّ تحرّي الأصلح حرج شديد ، بل هو أمر غير محدود.</w:t>
      </w:r>
    </w:p>
    <w:p w:rsidR="00744A1C" w:rsidRDefault="00744A1C" w:rsidP="00D10E3C">
      <w:pPr>
        <w:pStyle w:val="libFootnote0"/>
        <w:rPr>
          <w:lang w:bidi="fa-IR"/>
        </w:rPr>
      </w:pPr>
      <w:r>
        <w:rPr>
          <w:rtl/>
          <w:lang w:bidi="fa-IR"/>
        </w:rPr>
        <w:t xml:space="preserve">قال الشهيد في </w:t>
      </w:r>
      <w:r w:rsidRPr="00850C5C">
        <w:rPr>
          <w:rStyle w:val="libFootnoteBoldChar"/>
          <w:rtl/>
        </w:rPr>
        <w:t>القواعد</w:t>
      </w:r>
      <w:r>
        <w:rPr>
          <w:rtl/>
          <w:lang w:bidi="fa-IR"/>
        </w:rPr>
        <w:t xml:space="preserve"> : هل يجب على الوليّ مراعاة المصلحة في مال المولّى عليه ، أو يكفي نفي المفسدة؟ يحتمل الأوّل ؛ لأنّه منصوب لها ، ولأصالة بقاء الملك على حاله ، ولأنّ النقل والانتقال لا بدّ لهما من غاية ، والعدميّات لاتكاد تقع غاية. وعلى هذا هل الحريّ الأصلح ، أم يكتفى بمطلق المصلحة؟ وجهان : نعم ؛ لمثل ما قلنا. لا ؛ لأنّ ذلك لا يتناهى.</w:t>
      </w:r>
    </w:p>
    <w:p w:rsidR="00744A1C" w:rsidRDefault="00850C5C" w:rsidP="00D10E3C">
      <w:pPr>
        <w:pStyle w:val="libFootnote0"/>
        <w:rPr>
          <w:lang w:bidi="fa-IR"/>
        </w:rPr>
      </w:pPr>
      <w:r>
        <w:rPr>
          <w:rtl/>
          <w:lang w:bidi="fa-IR"/>
        </w:rPr>
        <w:t>أقول : لا يصدر الفعل عن أحد إل</w:t>
      </w:r>
      <w:r>
        <w:rPr>
          <w:rFonts w:hint="cs"/>
          <w:rtl/>
          <w:lang w:bidi="fa-IR"/>
        </w:rPr>
        <w:t>ّ</w:t>
      </w:r>
      <w:r>
        <w:rPr>
          <w:rtl/>
          <w:lang w:bidi="fa-IR"/>
        </w:rPr>
        <w:t>ا</w:t>
      </w:r>
      <w:r>
        <w:rPr>
          <w:rFonts w:hint="cs"/>
          <w:rtl/>
          <w:lang w:bidi="fa-IR"/>
        </w:rPr>
        <w:t xml:space="preserve"> </w:t>
      </w:r>
      <w:r w:rsidR="00744A1C">
        <w:rPr>
          <w:rtl/>
          <w:lang w:bidi="fa-IR"/>
        </w:rPr>
        <w:t>لترجّح ومصلحة ، وفائدة البحث إنّما تظهر في أنّ الوليّ إن تصرّف في مال اليتيم تصرّفاً لا يضرّ اليتيم ولكن يفيد غيره ، أو يفيد الوليّ ، كأن يبدّل دراهمه دنانير ؛ لأنّ حفظ الدنانير أسهل عليه من حفظ الدراهم ، أو أخذ بالشفعة ؛ لأنّ حفظ المال المختصّ أسهل من المشترك على الوليّ ، أو باع طعامه وتمره من قوم جياع ؛ لأنّه لا يضرّ اليتيم ويفيد المشترين بسدّ الجوع ، وهذا ؛ فالأولى الحكم بالجواز مع عدم المفسدة.</w:t>
      </w:r>
      <w:r>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فَقَالَ : « إِنْ كَانَ لِأَخِيكَ </w:t>
      </w:r>
      <w:r w:rsidRPr="00D10E3C">
        <w:rPr>
          <w:rStyle w:val="libFootnotenumChar"/>
          <w:rtl/>
        </w:rPr>
        <w:t>(1)</w:t>
      </w:r>
      <w:r>
        <w:rPr>
          <w:rtl/>
          <w:lang w:bidi="fa-IR"/>
        </w:rPr>
        <w:t xml:space="preserve"> مَالٌ يُحِيطُ بِمَالِ الْيَتِيمِ إِنْ تَلِفَ ، فَلَا بَأْسَ بِهِ ؛ وَإِنْ لَمْ يَكُنْ لَهُ مَالٌ ، فَلَا يَعْرِضْ </w:t>
      </w:r>
      <w:r w:rsidRPr="00D10E3C">
        <w:rPr>
          <w:rStyle w:val="libFootnotenumChar"/>
          <w:rtl/>
        </w:rPr>
        <w:t>(2)</w:t>
      </w:r>
      <w:r>
        <w:rPr>
          <w:rtl/>
          <w:lang w:bidi="fa-IR"/>
        </w:rPr>
        <w:t xml:space="preserve"> لِمَالِ الْيَتِيمِ ». </w:t>
      </w:r>
      <w:r w:rsidRPr="00D10E3C">
        <w:rPr>
          <w:rStyle w:val="libFootnotenumChar"/>
          <w:rtl/>
        </w:rPr>
        <w:t>(3)</w:t>
      </w:r>
    </w:p>
    <w:p w:rsidR="00144FA6" w:rsidRDefault="00744A1C" w:rsidP="00744A1C">
      <w:pPr>
        <w:pStyle w:val="libNormal"/>
        <w:rPr>
          <w:rtl/>
          <w:lang w:bidi="fa-IR"/>
        </w:rPr>
      </w:pPr>
      <w:r>
        <w:rPr>
          <w:rtl/>
          <w:lang w:bidi="fa-IR"/>
        </w:rPr>
        <w:t>8607 / 2. عَلِيُّ بْنُ إِبْرَاهِيمَ ، عَنْ أَبِيهِ ، عَنْ حَمَّادِ بْنِ عِيسى ، عَنْ حَرِيزٍ ، عَنْ مُحَمَّدِ بْنِ مُسْلِمٍ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فِي مَالِ الْيَتِيمِ ، قَالَ : « الْعَامِلُ بِهِ ضَامِنٌ ، وَلِلْيَتِيمِ الرِّبْحُ إِذَا‌</w:t>
      </w:r>
    </w:p>
    <w:p w:rsidR="00744A1C" w:rsidRDefault="00744A1C" w:rsidP="00D10E3C">
      <w:pPr>
        <w:pStyle w:val="libLine"/>
        <w:rPr>
          <w:lang w:bidi="fa-IR"/>
        </w:rPr>
      </w:pPr>
      <w:r>
        <w:rPr>
          <w:rtl/>
          <w:lang w:bidi="fa-IR"/>
        </w:rPr>
        <w:t>____________________</w:t>
      </w:r>
    </w:p>
    <w:p w:rsidR="00744A1C" w:rsidRDefault="00850C5C" w:rsidP="00D10E3C">
      <w:pPr>
        <w:pStyle w:val="libFootnote0"/>
        <w:rPr>
          <w:lang w:bidi="fa-IR"/>
        </w:rPr>
      </w:pPr>
      <w:r>
        <w:rPr>
          <w:rFonts w:hint="cs"/>
          <w:rtl/>
          <w:lang w:bidi="fa-IR"/>
        </w:rPr>
        <w:t xml:space="preserve">= </w:t>
      </w:r>
      <w:r w:rsidR="00744A1C">
        <w:rPr>
          <w:rtl/>
          <w:lang w:bidi="fa-IR"/>
        </w:rPr>
        <w:t>فإن قيل : الآية الشريفة تدلّ على وجوب تحرّي الأصلح ، فلا يكفي المصلحة فضلاً عن المفسدة.</w:t>
      </w:r>
    </w:p>
    <w:p w:rsidR="00744A1C" w:rsidRDefault="00744A1C" w:rsidP="00E378DD">
      <w:pPr>
        <w:pStyle w:val="libFootnote0"/>
        <w:rPr>
          <w:lang w:bidi="fa-IR"/>
        </w:rPr>
      </w:pPr>
      <w:r>
        <w:rPr>
          <w:rtl/>
          <w:lang w:bidi="fa-IR"/>
        </w:rPr>
        <w:t>قلنا : أوّلاً إنّ المراد من</w:t>
      </w:r>
      <w:r w:rsidR="00850C5C">
        <w:rPr>
          <w:rFonts w:hint="cs"/>
          <w:rtl/>
          <w:lang w:bidi="fa-IR"/>
        </w:rPr>
        <w:t xml:space="preserve"> </w:t>
      </w:r>
      <w:r w:rsidRPr="00850C5C">
        <w:rPr>
          <w:rStyle w:val="libFootnoteAlaemChar"/>
          <w:rtl/>
        </w:rPr>
        <w:t>(</w:t>
      </w:r>
      <w:r w:rsidRPr="00850C5C">
        <w:rPr>
          <w:rStyle w:val="libFootnoteAieChar"/>
          <w:rtl/>
        </w:rPr>
        <w:t xml:space="preserve"> لا تَقْرَبُوا </w:t>
      </w:r>
      <w:r w:rsidRPr="00850C5C">
        <w:rPr>
          <w:rStyle w:val="libFootnoteAlaemChar"/>
          <w:rtl/>
        </w:rPr>
        <w:t>)</w:t>
      </w:r>
      <w:r>
        <w:rPr>
          <w:rtl/>
          <w:lang w:bidi="fa-IR"/>
        </w:rPr>
        <w:t xml:space="preserve"> النهي عن أكل مال اليتيم وأخذ الوليّ إيّاه لنفسه ، والتي هي أحسن الاكتفاء بالقوت ، أو ا</w:t>
      </w:r>
      <w:r w:rsidR="00850C5C">
        <w:rPr>
          <w:rFonts w:hint="cs"/>
          <w:rtl/>
          <w:lang w:bidi="fa-IR"/>
        </w:rPr>
        <w:t>ُ</w:t>
      </w:r>
      <w:r>
        <w:rPr>
          <w:rtl/>
          <w:lang w:bidi="fa-IR"/>
        </w:rPr>
        <w:t xml:space="preserve">جرة المثل ، وهذا هو الأظهر عند المفسّرين ، ويظهر من الطبرسي </w:t>
      </w:r>
      <w:r w:rsidR="00877682" w:rsidRPr="00877682">
        <w:rPr>
          <w:rStyle w:val="libFootnoteAlaemChar"/>
          <w:rtl/>
        </w:rPr>
        <w:t>رحمه‌الله</w:t>
      </w:r>
      <w:r w:rsidR="00850C5C" w:rsidRPr="00850C5C">
        <w:rPr>
          <w:rFonts w:hint="cs"/>
          <w:rtl/>
        </w:rPr>
        <w:t xml:space="preserve"> </w:t>
      </w:r>
      <w:r>
        <w:rPr>
          <w:rtl/>
          <w:lang w:bidi="fa-IR"/>
        </w:rPr>
        <w:t xml:space="preserve">في مواضع أنّه مراد الآية عنده ، ثانياً سلّمنا أنّ المراد مطلق التصرّف ولو لليتيم مع بعده فنقول : بعد ما علمنا من الأخبار جواز التجارة والاستقراض وتشريك الأيتام في الإطعام ظهر لنا أنّ الحصر في الآية الشريفة إضافي بالنسبة إلى ما كانوا يفعلون ، أو يتوهّمون جوازه ، أو ما يرتكبونه عصياناً ومسامحة من الإسراف والتبذير والإهمال والتقصير في الإنفاق عليهم ، أو التوسّع في الإنفاق على أنفسهم ، وذلك لأنّ الفرق بين وجود المصلحة وعدم المفسدة ليس شيئاً يتوجّه أذهان الناس إليه غالباً ، وإنّما يلتفت إليه المدقّقون بعد التوجيه والتنبيه ، فلا يناسب أن يكون الحصر في الآية متوجّهاً إليه ، والآية الشريفة في سورة النساء : </w:t>
      </w:r>
      <w:r w:rsidRPr="00850C5C">
        <w:rPr>
          <w:rStyle w:val="libFootnoteAlaemChar"/>
          <w:rtl/>
        </w:rPr>
        <w:t>(</w:t>
      </w:r>
      <w:r w:rsidRPr="00850C5C">
        <w:rPr>
          <w:rStyle w:val="libFootnoteAieChar"/>
          <w:rtl/>
        </w:rPr>
        <w:t xml:space="preserve"> إِنَّ الَّذِينَ يَأْكُلُونَ أَمْوالَ الْيَتامى ظُلْماً إِنَّما يَأْكُلُونَ فِي بُطُونِهِمْ ناراً </w:t>
      </w:r>
      <w:r w:rsidRPr="00850C5C">
        <w:rPr>
          <w:rStyle w:val="libFootnoteAlaemChar"/>
          <w:rtl/>
        </w:rPr>
        <w:t>)</w:t>
      </w:r>
      <w:r>
        <w:rPr>
          <w:rtl/>
          <w:lang w:bidi="fa-IR"/>
        </w:rPr>
        <w:t xml:space="preserve"> [ النساء </w:t>
      </w:r>
      <w:r w:rsidR="00850C5C">
        <w:rPr>
          <w:rtl/>
          <w:lang w:bidi="fa-IR"/>
        </w:rPr>
        <w:t>(4)</w:t>
      </w:r>
      <w:r>
        <w:rPr>
          <w:rtl/>
          <w:lang w:bidi="fa-IR"/>
        </w:rPr>
        <w:t xml:space="preserve"> : 10 ] تؤيّد كون الحصر بالنسبة إلى أمثال ذلك ، وكذا</w:t>
      </w:r>
      <w:r w:rsidR="00850C5C">
        <w:rPr>
          <w:rFonts w:hint="cs"/>
          <w:rtl/>
          <w:lang w:bidi="fa-IR"/>
        </w:rPr>
        <w:t xml:space="preserve"> </w:t>
      </w:r>
      <w:r w:rsidRPr="00850C5C">
        <w:rPr>
          <w:rStyle w:val="libFootnoteAlaemChar"/>
          <w:rtl/>
        </w:rPr>
        <w:t>(</w:t>
      </w:r>
      <w:r w:rsidRPr="00850C5C">
        <w:rPr>
          <w:rStyle w:val="libFootnoteAieChar"/>
          <w:rtl/>
        </w:rPr>
        <w:t xml:space="preserve"> لا تَأْكُلُوها إِسْرافاً وَبِداراً أَنْ يَكْبَرُوا </w:t>
      </w:r>
      <w:r w:rsidRPr="00850C5C">
        <w:rPr>
          <w:rStyle w:val="libFootnoteAlaemChar"/>
          <w:rtl/>
        </w:rPr>
        <w:t>)</w:t>
      </w:r>
      <w:r>
        <w:rPr>
          <w:rtl/>
          <w:lang w:bidi="fa-IR"/>
        </w:rPr>
        <w:t xml:space="preserve"> [ النساء </w:t>
      </w:r>
      <w:r w:rsidR="00850C5C">
        <w:rPr>
          <w:rtl/>
          <w:lang w:bidi="fa-IR"/>
        </w:rPr>
        <w:t>(4)</w:t>
      </w:r>
      <w:r>
        <w:rPr>
          <w:rtl/>
          <w:lang w:bidi="fa-IR"/>
        </w:rPr>
        <w:t xml:space="preserve"> : 6 ] </w:t>
      </w:r>
      <w:r w:rsidR="00850C5C">
        <w:rPr>
          <w:rtl/>
          <w:lang w:bidi="fa-IR"/>
        </w:rPr>
        <w:t>هذا كلّه على فرض التنزّل ، وإل</w:t>
      </w:r>
      <w:r w:rsidR="00850C5C">
        <w:rPr>
          <w:rFonts w:hint="cs"/>
          <w:rtl/>
          <w:lang w:bidi="fa-IR"/>
        </w:rPr>
        <w:t>ّ</w:t>
      </w:r>
      <w:r w:rsidR="00850C5C">
        <w:rPr>
          <w:rtl/>
          <w:lang w:bidi="fa-IR"/>
        </w:rPr>
        <w:t>ا</w:t>
      </w:r>
      <w:r>
        <w:rPr>
          <w:rtl/>
          <w:lang w:bidi="fa-IR"/>
        </w:rPr>
        <w:t xml:space="preserve"> فالحقّ في تفسير القرب ما ذكرناه أوّلاً.</w:t>
      </w:r>
    </w:p>
    <w:p w:rsidR="00744A1C" w:rsidRDefault="00744A1C" w:rsidP="00D10E3C">
      <w:pPr>
        <w:pStyle w:val="libFootnote0"/>
        <w:rPr>
          <w:lang w:bidi="fa-IR"/>
        </w:rPr>
      </w:pPr>
      <w:r>
        <w:rPr>
          <w:rtl/>
          <w:lang w:bidi="fa-IR"/>
        </w:rPr>
        <w:t xml:space="preserve">قال الطبرسي </w:t>
      </w:r>
      <w:r w:rsidR="00877682" w:rsidRPr="00877682">
        <w:rPr>
          <w:rStyle w:val="libFootnoteAlaemChar"/>
          <w:rtl/>
        </w:rPr>
        <w:t>رحمه‌الله</w:t>
      </w:r>
      <w:r>
        <w:rPr>
          <w:rtl/>
          <w:lang w:bidi="fa-IR"/>
        </w:rPr>
        <w:t xml:space="preserve">: والمراد بالقرب التصرّف فيه ، وإنّما خصَّ مال اليتيم بالذكر ؛ لأنّه لا يستطيع الدفاع عن نفسه ولا عن ماله ، فيكون الطمع في ماله أشدّ ، ويد الرغبة إليه أمدّ ، فأكّد سبحانه النهي عن التصرّف في ماله وإن كان ذلك واجباً في مال كلّ أحد. انتهى كلام الطبرسي </w:t>
      </w:r>
      <w:r w:rsidR="00877682" w:rsidRPr="00877682">
        <w:rPr>
          <w:rStyle w:val="libFootnoteAlaemChar"/>
          <w:rtl/>
        </w:rPr>
        <w:t>رحمه‌الله</w:t>
      </w:r>
      <w:r>
        <w:rPr>
          <w:rtl/>
          <w:lang w:bidi="fa-IR"/>
        </w:rPr>
        <w:t>.</w:t>
      </w:r>
    </w:p>
    <w:p w:rsidR="00744A1C" w:rsidRDefault="00744A1C" w:rsidP="00D10E3C">
      <w:pPr>
        <w:pStyle w:val="libFootnote0"/>
        <w:rPr>
          <w:lang w:bidi="fa-IR"/>
        </w:rPr>
      </w:pPr>
      <w:r>
        <w:rPr>
          <w:rtl/>
          <w:lang w:bidi="fa-IR"/>
        </w:rPr>
        <w:t>وعلى هذا فيكون الاستثناء متّصلاً ، والتي هي أحسن الاكتفاء بالقوت وا</w:t>
      </w:r>
      <w:r w:rsidR="00850C5C">
        <w:rPr>
          <w:rFonts w:hint="cs"/>
          <w:rtl/>
          <w:lang w:bidi="fa-IR"/>
        </w:rPr>
        <w:t>ُ</w:t>
      </w:r>
      <w:r>
        <w:rPr>
          <w:rtl/>
          <w:lang w:bidi="fa-IR"/>
        </w:rPr>
        <w:t xml:space="preserve">جرة المثل ، أو منقطعاً ويشمل الحفظ والاتّجار لليتيم ، ولا يخفى أنّ تفسير الطبرسي </w:t>
      </w:r>
      <w:r w:rsidR="00877682" w:rsidRPr="00877682">
        <w:rPr>
          <w:rStyle w:val="libFootnoteAlaemChar"/>
          <w:rtl/>
        </w:rPr>
        <w:t>رحمه‌الله</w:t>
      </w:r>
      <w:r w:rsidR="00850C5C" w:rsidRPr="00850C5C">
        <w:rPr>
          <w:rFonts w:hint="cs"/>
          <w:rtl/>
        </w:rPr>
        <w:t xml:space="preserve"> </w:t>
      </w:r>
      <w:r>
        <w:rPr>
          <w:rtl/>
          <w:lang w:bidi="fa-IR"/>
        </w:rPr>
        <w:t xml:space="preserve">أولى ممّا ذكر الشيخ المحقّق الأنصاري </w:t>
      </w:r>
      <w:r w:rsidR="00E843EA" w:rsidRPr="00E843EA">
        <w:rPr>
          <w:rStyle w:val="libFootnoteAlaemChar"/>
          <w:rtl/>
        </w:rPr>
        <w:t>قدس‌سره</w:t>
      </w:r>
      <w:r>
        <w:rPr>
          <w:rtl/>
          <w:lang w:bidi="fa-IR"/>
        </w:rPr>
        <w:t xml:space="preserve"> في معنى الآية ». وراجع : </w:t>
      </w:r>
      <w:r w:rsidRPr="00850C5C">
        <w:rPr>
          <w:rStyle w:val="libFootnoteBoldChar"/>
          <w:rtl/>
        </w:rPr>
        <w:t>القواعد والفوائد</w:t>
      </w:r>
      <w:r>
        <w:rPr>
          <w:rtl/>
          <w:lang w:bidi="fa-IR"/>
        </w:rPr>
        <w:t xml:space="preserve"> ، ج 1 ، ص 352 ، القاعدة 133.</w:t>
      </w:r>
    </w:p>
    <w:p w:rsidR="00744A1C" w:rsidRDefault="00E378DD" w:rsidP="00E378DD">
      <w:pPr>
        <w:pStyle w:val="libFootnote0"/>
        <w:rPr>
          <w:lang w:bidi="fa-IR"/>
        </w:rPr>
      </w:pPr>
      <w:r>
        <w:rPr>
          <w:rtl/>
          <w:lang w:bidi="fa-IR"/>
        </w:rPr>
        <w:t>(11).</w:t>
      </w:r>
      <w:r w:rsidR="00744A1C">
        <w:rPr>
          <w:rtl/>
          <w:lang w:bidi="fa-IR"/>
        </w:rPr>
        <w:t xml:space="preserve"> في « بخ ، بف » : - « له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إن كان لأخيك مال ، يدلّ على اشتراط الملاءة في جواز اقتراض الوليّ من مال اليتيم. واستثنى المتأخّرون الأب والجدّ ، وسوّغوا لهما اقتراض مال اليتيم مع العسر واليسر. وهو مشكل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الوافي</w:t>
      </w:r>
      <w:r w:rsidR="00744A1C">
        <w:rPr>
          <w:rtl/>
          <w:lang w:bidi="fa-IR"/>
        </w:rPr>
        <w:t xml:space="preserve"> : « فلا يعرض : فلا يتعرّض » أي فلا يتصدّى. راجع : </w:t>
      </w:r>
      <w:r w:rsidR="00744A1C" w:rsidRPr="00877682">
        <w:rPr>
          <w:rStyle w:val="libFootnoteBoldChar"/>
          <w:rtl/>
        </w:rPr>
        <w:t>لسان العرب</w:t>
      </w:r>
      <w:r w:rsidR="00850C5C">
        <w:rPr>
          <w:rtl/>
          <w:lang w:bidi="fa-IR"/>
        </w:rPr>
        <w:t xml:space="preserve"> ، ج 7 ، ص 178 ( عرض</w:t>
      </w:r>
      <w:r w:rsidR="00744A1C">
        <w:rPr>
          <w:rtl/>
          <w:lang w:bidi="fa-IR"/>
        </w:rPr>
        <w:t>).</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342 ، ح 957 ، معلّقاً عن أحمد بن محمّد </w:t>
      </w:r>
      <w:r w:rsidR="00850C5C">
        <w:rPr>
          <w:rFonts w:hint="cs"/>
          <w:rtl/>
          <w:lang w:bidi="fa-IR"/>
        </w:rPr>
        <w:t>.</w:t>
      </w:r>
      <w:r w:rsidR="00744A1C" w:rsidRPr="00C24F9C">
        <w:rPr>
          <w:rStyle w:val="libFootnoteBoldChar"/>
          <w:rtl/>
        </w:rPr>
        <w:t>الوافي</w:t>
      </w:r>
      <w:r w:rsidR="00744A1C">
        <w:rPr>
          <w:rtl/>
          <w:lang w:bidi="fa-IR"/>
        </w:rPr>
        <w:t xml:space="preserve"> ، ج 17 ، ص 315 ، ح 17337 ؛ </w:t>
      </w:r>
      <w:r w:rsidR="00744A1C" w:rsidRPr="00C24F9C">
        <w:rPr>
          <w:rStyle w:val="libFootnoteBoldChar"/>
          <w:rtl/>
        </w:rPr>
        <w:t>الوسائل</w:t>
      </w:r>
      <w:r w:rsidR="00744A1C">
        <w:rPr>
          <w:rtl/>
          <w:lang w:bidi="fa-IR"/>
        </w:rPr>
        <w:t xml:space="preserve"> ، ج 17 ، ص 257 ، ح 22446.</w:t>
      </w:r>
    </w:p>
    <w:p w:rsidR="006D42F6" w:rsidRDefault="006D42F6" w:rsidP="00D10E3C">
      <w:pPr>
        <w:pStyle w:val="libNormal"/>
        <w:rPr>
          <w:rtl/>
          <w:lang w:bidi="fa-IR"/>
        </w:rPr>
      </w:pPr>
      <w:r>
        <w:rPr>
          <w:rtl/>
          <w:lang w:bidi="fa-IR"/>
        </w:rPr>
        <w:br w:type="page"/>
      </w:r>
    </w:p>
    <w:p w:rsidR="00144FA6" w:rsidRDefault="00744A1C" w:rsidP="00850C5C">
      <w:pPr>
        <w:pStyle w:val="libNormal0"/>
        <w:rPr>
          <w:rtl/>
          <w:lang w:bidi="fa-IR"/>
        </w:rPr>
      </w:pPr>
      <w:r>
        <w:rPr>
          <w:rtl/>
          <w:lang w:bidi="fa-IR"/>
        </w:rPr>
        <w:t xml:space="preserve">لَمْ يَكُنْ لِلْعَامِلِ بِهِ </w:t>
      </w:r>
      <w:r w:rsidRPr="00D10E3C">
        <w:rPr>
          <w:rStyle w:val="libFootnotenumChar"/>
          <w:rtl/>
        </w:rPr>
        <w:t>(1)</w:t>
      </w:r>
      <w:r>
        <w:rPr>
          <w:rtl/>
          <w:lang w:bidi="fa-IR"/>
        </w:rPr>
        <w:t xml:space="preserve"> مَالٌ </w:t>
      </w:r>
      <w:r w:rsidRPr="00D10E3C">
        <w:rPr>
          <w:rStyle w:val="libFootnotenumChar"/>
          <w:rtl/>
        </w:rPr>
        <w:t>(2)</w:t>
      </w:r>
      <w:r>
        <w:rPr>
          <w:rtl/>
          <w:lang w:bidi="fa-IR"/>
        </w:rPr>
        <w:t xml:space="preserve"> » وَقَالَ </w:t>
      </w:r>
      <w:r w:rsidRPr="00D10E3C">
        <w:rPr>
          <w:rStyle w:val="libFootnotenumChar"/>
          <w:rtl/>
        </w:rPr>
        <w:t>(3)</w:t>
      </w:r>
      <w:r>
        <w:rPr>
          <w:rtl/>
          <w:lang w:bidi="fa-IR"/>
        </w:rPr>
        <w:t xml:space="preserve"> : « إِنْ عُطِبَ </w:t>
      </w:r>
      <w:r w:rsidRPr="00D10E3C">
        <w:rPr>
          <w:rStyle w:val="libFootnotenumChar"/>
          <w:rtl/>
        </w:rPr>
        <w:t>(4)</w:t>
      </w:r>
      <w:r>
        <w:rPr>
          <w:rtl/>
          <w:lang w:bidi="fa-IR"/>
        </w:rPr>
        <w:t xml:space="preserve"> ، أَدَّاهُ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8608 / 3. مُحَمَّدُ بْنُ إِسْمَاعِيلَ ، عَنِ الْفَضْلِ بْنِ شَاذَانَ ، عَنِ ابْنِ أَبِي عُمَيْرٍ ، عَنْ رِبْعِيِّ بْنِ عَبْدِ اللهِ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w:t>
      </w:r>
      <w:r w:rsidRPr="00D10E3C">
        <w:rPr>
          <w:rStyle w:val="libFootnotenumChar"/>
          <w:rtl/>
        </w:rPr>
        <w:t>(7)</w:t>
      </w:r>
      <w:r>
        <w:rPr>
          <w:rtl/>
          <w:lang w:bidi="fa-IR"/>
        </w:rPr>
        <w:t xml:space="preserve"> فِي رَجُلٍ عِنْدَهُ مَالُ الْيَتِيمِ </w:t>
      </w:r>
      <w:r w:rsidRPr="00D10E3C">
        <w:rPr>
          <w:rStyle w:val="libFootnotenumChar"/>
          <w:rtl/>
        </w:rPr>
        <w:t>(8)</w:t>
      </w:r>
      <w:r>
        <w:rPr>
          <w:rtl/>
          <w:lang w:bidi="fa-IR"/>
        </w:rPr>
        <w:t xml:space="preserve"> ، فَقَالَ : « إِنْ كَانَ مُحْتَاجاً وَلَيْسَ </w:t>
      </w:r>
      <w:r w:rsidRPr="00D10E3C">
        <w:rPr>
          <w:rStyle w:val="libFootnotenumChar"/>
          <w:rtl/>
        </w:rPr>
        <w:t>(9)</w:t>
      </w:r>
      <w:r>
        <w:rPr>
          <w:rtl/>
          <w:lang w:bidi="fa-IR"/>
        </w:rPr>
        <w:t xml:space="preserve"> لَهُ </w:t>
      </w:r>
      <w:r w:rsidRPr="00D10E3C">
        <w:rPr>
          <w:rStyle w:val="libFootnotenumChar"/>
          <w:rtl/>
        </w:rPr>
        <w:t>(10)</w:t>
      </w:r>
      <w:r>
        <w:rPr>
          <w:rtl/>
          <w:lang w:bidi="fa-IR"/>
        </w:rPr>
        <w:t xml:space="preserve"> مَالٌ ، فَلَا يَمَسَّ مَالَهُ ؛ وَإِنْ هُوَ اتَّجَرَ بِهِ ، فَالرِّبْحُ لِلْيَتِيمِ وَهُوَ ضَامِنٌ ». </w:t>
      </w:r>
      <w:r w:rsidRPr="00D10E3C">
        <w:rPr>
          <w:rStyle w:val="libFootnotenumChar"/>
          <w:rtl/>
        </w:rPr>
        <w:t>(11)</w:t>
      </w:r>
    </w:p>
    <w:p w:rsidR="00144FA6" w:rsidRDefault="00744A1C" w:rsidP="00744A1C">
      <w:pPr>
        <w:pStyle w:val="libNormal"/>
        <w:rPr>
          <w:rtl/>
          <w:lang w:bidi="fa-IR"/>
        </w:rPr>
      </w:pPr>
      <w:r>
        <w:rPr>
          <w:rtl/>
          <w:lang w:bidi="fa-IR"/>
        </w:rPr>
        <w:t xml:space="preserve">8609 / 4. عِدَّةٌ مِنْ أَصْحَابِنَا ، عَنْ سَهْلِ بْنِ زِيَادٍ ، عَنْ عَلِيِّ بْنِ أَسْبَاطٍ ، عَنْ أَسْبَاطِ بْنِ سَالِمٍ </w:t>
      </w:r>
      <w:r w:rsidRPr="00D10E3C">
        <w:rPr>
          <w:rStyle w:val="libFootnotenumChar"/>
          <w:rtl/>
        </w:rPr>
        <w:t>(12)</w:t>
      </w:r>
      <w:r>
        <w:rPr>
          <w:rtl/>
          <w:lang w:bidi="fa-IR"/>
        </w:rPr>
        <w:t xml:space="preserve">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 فَقُلْتُ </w:t>
      </w:r>
      <w:r w:rsidRPr="00D10E3C">
        <w:rPr>
          <w:rStyle w:val="libFootnotenumChar"/>
          <w:rtl/>
        </w:rPr>
        <w:t>(13)</w:t>
      </w:r>
      <w:r>
        <w:rPr>
          <w:rtl/>
          <w:lang w:bidi="fa-IR"/>
        </w:rPr>
        <w:t xml:space="preserve"> : أَخِي أَمَرَنِي </w:t>
      </w:r>
      <w:r w:rsidRPr="00D10E3C">
        <w:rPr>
          <w:rStyle w:val="libFootnotenumChar"/>
          <w:rtl/>
        </w:rPr>
        <w:t>(14)</w:t>
      </w:r>
      <w:r>
        <w:rPr>
          <w:rtl/>
          <w:lang w:bidi="fa-IR"/>
        </w:rPr>
        <w:t xml:space="preserve"> أَنْ أَسْأَ لَكَ عَنْ مَالِ يَتِيمٍ </w:t>
      </w:r>
      <w:r w:rsidRPr="00D10E3C">
        <w:rPr>
          <w:rStyle w:val="libFootnotenumChar"/>
          <w:rtl/>
        </w:rPr>
        <w:t>(15)</w:t>
      </w:r>
      <w:r>
        <w:rPr>
          <w:rtl/>
          <w:lang w:bidi="fa-IR"/>
        </w:rPr>
        <w:t xml:space="preserve"> فِي حَجْرِهِ يَتَّجِرُ بِهِ؟</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850C5C" w:rsidTr="00850C5C">
        <w:tc>
          <w:tcPr>
            <w:tcW w:w="4006" w:type="dxa"/>
          </w:tcPr>
          <w:p w:rsidR="00850C5C" w:rsidRDefault="00850C5C" w:rsidP="00D10E3C">
            <w:pPr>
              <w:pStyle w:val="libFootnote0"/>
              <w:rPr>
                <w:rtl/>
                <w:lang w:bidi="fa-IR"/>
              </w:rPr>
            </w:pPr>
            <w:r>
              <w:rPr>
                <w:rtl/>
                <w:lang w:bidi="fa-IR"/>
              </w:rPr>
              <w:t xml:space="preserve">(1). في « ط » : «العامل له». وفي </w:t>
            </w:r>
            <w:r w:rsidRPr="00850C5C">
              <w:rPr>
                <w:rtl/>
              </w:rPr>
              <w:t>الوسائل</w:t>
            </w:r>
            <w:r>
              <w:rPr>
                <w:rtl/>
                <w:lang w:bidi="fa-IR"/>
              </w:rPr>
              <w:t>: - «به».</w:t>
            </w:r>
          </w:p>
        </w:tc>
        <w:tc>
          <w:tcPr>
            <w:tcW w:w="4006" w:type="dxa"/>
          </w:tcPr>
          <w:p w:rsidR="00850C5C" w:rsidRDefault="00850C5C" w:rsidP="00D10E3C">
            <w:pPr>
              <w:pStyle w:val="libFootnote0"/>
              <w:rPr>
                <w:rtl/>
                <w:lang w:bidi="fa-IR"/>
              </w:rPr>
            </w:pPr>
            <w:r>
              <w:rPr>
                <w:rtl/>
                <w:lang w:bidi="fa-IR"/>
              </w:rPr>
              <w:t>(2). في « ى » : - « مال ».</w:t>
            </w:r>
          </w:p>
        </w:tc>
      </w:tr>
    </w:tbl>
    <w:p w:rsidR="00744A1C" w:rsidRDefault="00E378DD" w:rsidP="00E378DD">
      <w:pPr>
        <w:pStyle w:val="libFootnote0"/>
        <w:rPr>
          <w:lang w:bidi="fa-IR"/>
        </w:rPr>
      </w:pPr>
      <w:r>
        <w:rPr>
          <w:rtl/>
          <w:lang w:bidi="fa-IR"/>
        </w:rPr>
        <w:t>(3).</w:t>
      </w:r>
      <w:r w:rsidR="00744A1C">
        <w:rPr>
          <w:rtl/>
          <w:lang w:bidi="fa-IR"/>
        </w:rPr>
        <w:t xml:space="preserve"> في « ط » : « قال : قال » بدل « وقال ».</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w:t>
      </w:r>
      <w:r w:rsidR="00744A1C" w:rsidRPr="00850C5C">
        <w:rPr>
          <w:rtl/>
        </w:rPr>
        <w:t>والوافي والوسائل والتهذيب</w:t>
      </w:r>
      <w:r w:rsidR="00744A1C">
        <w:rPr>
          <w:rtl/>
          <w:lang w:bidi="fa-IR"/>
        </w:rPr>
        <w:t>. وفي المطبوع : « ا</w:t>
      </w:r>
      <w:r w:rsidR="00850C5C">
        <w:rPr>
          <w:rFonts w:hint="cs"/>
          <w:rtl/>
          <w:lang w:bidi="fa-IR"/>
        </w:rPr>
        <w:t>ُ</w:t>
      </w:r>
      <w:r w:rsidR="00744A1C">
        <w:rPr>
          <w:rtl/>
          <w:lang w:bidi="fa-IR"/>
        </w:rPr>
        <w:t xml:space="preserve">عطب ». و « عَطِبَ » ، من باب تعب ، أي هلك وتلف ، وأعطبته ، بالألف للتعدية. راجع : </w:t>
      </w:r>
      <w:r w:rsidR="00744A1C" w:rsidRPr="00E978C3">
        <w:rPr>
          <w:rStyle w:val="libFootnoteBoldChar"/>
          <w:rtl/>
        </w:rPr>
        <w:t>المصباح المنير</w:t>
      </w:r>
      <w:r w:rsidR="00744A1C">
        <w:rPr>
          <w:rtl/>
          <w:lang w:bidi="fa-IR"/>
        </w:rPr>
        <w:t xml:space="preserve"> ، ص 416 ( عطب ).</w:t>
      </w:r>
    </w:p>
    <w:p w:rsidR="00744A1C" w:rsidRDefault="00E378DD" w:rsidP="00E378DD">
      <w:pPr>
        <w:pStyle w:val="libFootnote0"/>
        <w:rPr>
          <w:lang w:bidi="fa-IR"/>
        </w:rPr>
      </w:pPr>
      <w:r>
        <w:rPr>
          <w:rtl/>
          <w:lang w:bidi="fa-IR"/>
        </w:rPr>
        <w:t>(5).</w:t>
      </w:r>
      <w:r w:rsidR="00744A1C">
        <w:rPr>
          <w:rtl/>
          <w:lang w:bidi="fa-IR"/>
        </w:rPr>
        <w:t xml:space="preserve"> في « بف » : « أدّى ».</w:t>
      </w:r>
    </w:p>
    <w:p w:rsidR="00744A1C" w:rsidRDefault="00E378DD" w:rsidP="00850C5C">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342 ، ح 956 ، معلّقاً عن الكليني </w:t>
      </w:r>
      <w:r w:rsidR="00850C5C">
        <w:rPr>
          <w:rFonts w:hint="cs"/>
          <w:rtl/>
          <w:lang w:bidi="fa-IR"/>
        </w:rPr>
        <w:t>.</w:t>
      </w:r>
      <w:r w:rsidR="00744A1C" w:rsidRPr="00C24F9C">
        <w:rPr>
          <w:rStyle w:val="libFootnoteBoldChar"/>
          <w:rtl/>
        </w:rPr>
        <w:t>الوافي</w:t>
      </w:r>
      <w:r w:rsidR="00744A1C">
        <w:rPr>
          <w:rtl/>
          <w:lang w:bidi="fa-IR"/>
        </w:rPr>
        <w:t xml:space="preserve"> ، ج 17 ، ص 317 ، ح 17338 ؛ </w:t>
      </w:r>
      <w:r w:rsidR="00744A1C" w:rsidRPr="00C24F9C">
        <w:rPr>
          <w:rStyle w:val="libFootnoteBoldChar"/>
          <w:rtl/>
        </w:rPr>
        <w:t>الوسائل</w:t>
      </w:r>
      <w:r w:rsidR="00744A1C">
        <w:rPr>
          <w:rtl/>
          <w:lang w:bidi="fa-IR"/>
        </w:rPr>
        <w:t xml:space="preserve"> ، ج 17 ، ص 257 ، ح 22467.</w:t>
      </w:r>
      <w:r w:rsidR="00850C5C">
        <w:rPr>
          <w:rFonts w:hint="cs"/>
          <w:rtl/>
          <w:lang w:bidi="fa-IR"/>
        </w:rPr>
        <w:t xml:space="preserve">             </w:t>
      </w:r>
      <w:r>
        <w:rPr>
          <w:rtl/>
          <w:lang w:bidi="fa-IR"/>
        </w:rPr>
        <w:t>(7).</w:t>
      </w:r>
      <w:r w:rsidR="00744A1C">
        <w:rPr>
          <w:rtl/>
          <w:lang w:bidi="fa-IR"/>
        </w:rPr>
        <w:t xml:space="preserve"> في « ط ، بف » </w:t>
      </w:r>
      <w:r w:rsidR="00744A1C" w:rsidRPr="00850C5C">
        <w:rPr>
          <w:rtl/>
        </w:rPr>
        <w:t>والوافي والتهذيب</w:t>
      </w:r>
      <w:r w:rsidR="00744A1C">
        <w:rPr>
          <w:rtl/>
          <w:lang w:bidi="fa-IR"/>
        </w:rPr>
        <w:t xml:space="preserve"> : - « قال ».</w:t>
      </w:r>
    </w:p>
    <w:p w:rsidR="00744A1C" w:rsidRDefault="00E378DD" w:rsidP="00E378DD">
      <w:pPr>
        <w:pStyle w:val="libFootnote0"/>
        <w:rPr>
          <w:lang w:bidi="fa-IR"/>
        </w:rPr>
      </w:pPr>
      <w:r>
        <w:rPr>
          <w:rtl/>
          <w:lang w:bidi="fa-IR"/>
        </w:rPr>
        <w:t>(8).</w:t>
      </w:r>
      <w:r w:rsidR="00744A1C">
        <w:rPr>
          <w:rtl/>
          <w:lang w:bidi="fa-IR"/>
        </w:rPr>
        <w:t xml:space="preserve"> في « ط ، جت ، جن » </w:t>
      </w:r>
      <w:r w:rsidR="00744A1C" w:rsidRPr="00850C5C">
        <w:rPr>
          <w:rtl/>
        </w:rPr>
        <w:t>والوافي</w:t>
      </w:r>
      <w:r w:rsidR="00744A1C">
        <w:rPr>
          <w:rtl/>
          <w:lang w:bidi="fa-IR"/>
        </w:rPr>
        <w:t xml:space="preserve"> : « ليتيم ».</w:t>
      </w:r>
    </w:p>
    <w:p w:rsidR="00744A1C" w:rsidRDefault="00E378DD" w:rsidP="00E378DD">
      <w:pPr>
        <w:pStyle w:val="libFootnote0"/>
        <w:rPr>
          <w:lang w:bidi="fa-IR"/>
        </w:rPr>
      </w:pPr>
      <w:r>
        <w:rPr>
          <w:rtl/>
          <w:lang w:bidi="fa-IR"/>
        </w:rPr>
        <w:t>(9).</w:t>
      </w:r>
      <w:r w:rsidR="00744A1C">
        <w:rPr>
          <w:rtl/>
          <w:lang w:bidi="fa-IR"/>
        </w:rPr>
        <w:t xml:space="preserve"> في « ط ، ى ، بح ، بس ، جد ، جن » </w:t>
      </w:r>
      <w:r w:rsidR="00744A1C" w:rsidRPr="0061079A">
        <w:rPr>
          <w:rStyle w:val="libFootnoteBoldChar"/>
          <w:rtl/>
        </w:rPr>
        <w:t>والتهذيب</w:t>
      </w:r>
      <w:r w:rsidR="00744A1C">
        <w:rPr>
          <w:rtl/>
          <w:lang w:bidi="fa-IR"/>
        </w:rPr>
        <w:t xml:space="preserve"> : « ليس » بدون الواو.</w:t>
      </w:r>
    </w:p>
    <w:p w:rsidR="00744A1C" w:rsidRDefault="00E378DD" w:rsidP="00E378DD">
      <w:pPr>
        <w:pStyle w:val="libFootnote0"/>
        <w:rPr>
          <w:lang w:bidi="fa-IR"/>
        </w:rPr>
      </w:pPr>
      <w:r>
        <w:rPr>
          <w:rtl/>
          <w:lang w:bidi="fa-IR"/>
        </w:rPr>
        <w:t>(10).</w:t>
      </w:r>
      <w:r w:rsidR="00744A1C">
        <w:rPr>
          <w:rtl/>
          <w:lang w:bidi="fa-IR"/>
        </w:rPr>
        <w:t xml:space="preserve"> في « بخ ، بف » </w:t>
      </w:r>
      <w:r w:rsidR="00744A1C" w:rsidRPr="00594672">
        <w:rPr>
          <w:rtl/>
        </w:rPr>
        <w:t>والوافي</w:t>
      </w:r>
      <w:r w:rsidR="00744A1C">
        <w:rPr>
          <w:rtl/>
          <w:lang w:bidi="fa-IR"/>
        </w:rPr>
        <w:t xml:space="preserve"> : « عنده ».</w:t>
      </w:r>
    </w:p>
    <w:p w:rsidR="00744A1C" w:rsidRDefault="00E378DD" w:rsidP="00E378DD">
      <w:pPr>
        <w:pStyle w:val="libFootnote0"/>
        <w:rPr>
          <w:lang w:bidi="fa-IR"/>
        </w:rPr>
      </w:pPr>
      <w:r>
        <w:rPr>
          <w:rtl/>
          <w:lang w:bidi="fa-IR"/>
        </w:rPr>
        <w:t>(11).</w:t>
      </w:r>
      <w:r w:rsidR="00744A1C">
        <w:rPr>
          <w:rtl/>
          <w:lang w:bidi="fa-IR"/>
        </w:rPr>
        <w:t xml:space="preserve"> </w:t>
      </w:r>
      <w:r w:rsidR="00744A1C" w:rsidRPr="00C24F9C">
        <w:rPr>
          <w:rStyle w:val="libFootnoteBoldChar"/>
          <w:rtl/>
        </w:rPr>
        <w:t>التهذيب</w:t>
      </w:r>
      <w:r w:rsidR="00744A1C">
        <w:rPr>
          <w:rtl/>
          <w:lang w:bidi="fa-IR"/>
        </w:rPr>
        <w:t xml:space="preserve"> ، ج 6 ، ص 341 ، ح 955 ، معلّقاً عن الكليني. وراجع : </w:t>
      </w:r>
      <w:r w:rsidR="00744A1C" w:rsidRPr="0061079A">
        <w:rPr>
          <w:rStyle w:val="libFootnoteBoldChar"/>
          <w:rtl/>
        </w:rPr>
        <w:t>الكافي</w:t>
      </w:r>
      <w:r w:rsidR="00744A1C">
        <w:rPr>
          <w:rtl/>
          <w:lang w:bidi="fa-IR"/>
        </w:rPr>
        <w:t xml:space="preserve"> ، كتاب الزكاة ، باب زكاة مال اليتيم ، ح 5879 ومصادره </w:t>
      </w:r>
      <w:r w:rsidR="00594672">
        <w:rPr>
          <w:rFonts w:hint="cs"/>
          <w:rtl/>
          <w:lang w:bidi="fa-IR"/>
        </w:rPr>
        <w:t>.</w:t>
      </w:r>
      <w:r w:rsidR="00744A1C" w:rsidRPr="00C24F9C">
        <w:rPr>
          <w:rStyle w:val="libFootnoteBoldChar"/>
          <w:rtl/>
        </w:rPr>
        <w:t>الوافي</w:t>
      </w:r>
      <w:r w:rsidR="00744A1C">
        <w:rPr>
          <w:rtl/>
          <w:lang w:bidi="fa-IR"/>
        </w:rPr>
        <w:t xml:space="preserve"> ، ج 17 ، ص 317 ، ح 17339 ؛ </w:t>
      </w:r>
      <w:r w:rsidR="00744A1C" w:rsidRPr="00C24F9C">
        <w:rPr>
          <w:rStyle w:val="libFootnoteBoldChar"/>
          <w:rtl/>
        </w:rPr>
        <w:t>الوسائل</w:t>
      </w:r>
      <w:r w:rsidR="00744A1C">
        <w:rPr>
          <w:rtl/>
          <w:lang w:bidi="fa-IR"/>
        </w:rPr>
        <w:t xml:space="preserve"> ، ج 17 ، ص 257 ، ح 22468.</w:t>
      </w:r>
    </w:p>
    <w:p w:rsidR="00744A1C" w:rsidRDefault="00E378DD" w:rsidP="00594672">
      <w:pPr>
        <w:pStyle w:val="libFootnote0"/>
        <w:rPr>
          <w:lang w:bidi="fa-IR"/>
        </w:rPr>
      </w:pPr>
      <w:r>
        <w:rPr>
          <w:rtl/>
          <w:lang w:bidi="fa-IR"/>
        </w:rPr>
        <w:t>(12).</w:t>
      </w:r>
      <w:r w:rsidR="00744A1C">
        <w:rPr>
          <w:rtl/>
          <w:lang w:bidi="fa-IR"/>
        </w:rPr>
        <w:t xml:space="preserve"> في </w:t>
      </w:r>
      <w:r w:rsidR="00744A1C" w:rsidRPr="00C24F9C">
        <w:rPr>
          <w:rStyle w:val="libFootnoteBoldChar"/>
          <w:rtl/>
        </w:rPr>
        <w:t>التهذيب</w:t>
      </w:r>
      <w:r w:rsidR="00744A1C">
        <w:rPr>
          <w:rtl/>
          <w:lang w:bidi="fa-IR"/>
        </w:rPr>
        <w:t xml:space="preserve"> : + « عن أبيه ». وهو سهو ، وأسباط بن سالم هو والد عليّ بن أسباط ، فتأمّل. راجع : </w:t>
      </w:r>
      <w:r w:rsidR="00744A1C" w:rsidRPr="003A7143">
        <w:rPr>
          <w:rStyle w:val="libFootnoteBoldChar"/>
          <w:rtl/>
        </w:rPr>
        <w:t>رجال النجاشي</w:t>
      </w:r>
      <w:r w:rsidR="00744A1C">
        <w:rPr>
          <w:rtl/>
          <w:lang w:bidi="fa-IR"/>
        </w:rPr>
        <w:t xml:space="preserve"> ، ص 252 ، الرقم 663.</w:t>
      </w:r>
      <w:r w:rsidR="00594672">
        <w:rPr>
          <w:rFonts w:hint="cs"/>
          <w:rtl/>
          <w:lang w:bidi="fa-IR"/>
        </w:rPr>
        <w:t xml:space="preserve">   </w:t>
      </w:r>
      <w:r>
        <w:rPr>
          <w:rtl/>
          <w:lang w:bidi="fa-IR"/>
        </w:rPr>
        <w:t>(13).</w:t>
      </w:r>
      <w:r w:rsidR="00744A1C">
        <w:rPr>
          <w:rtl/>
          <w:lang w:bidi="fa-IR"/>
        </w:rPr>
        <w:t xml:space="preserve"> في « ط ، ى ، بح ، بس ، جد ، جن » </w:t>
      </w:r>
      <w:r w:rsidR="00744A1C" w:rsidRPr="00594672">
        <w:rPr>
          <w:rtl/>
        </w:rPr>
        <w:t>والتهذيب</w:t>
      </w:r>
      <w:r w:rsidR="00744A1C">
        <w:rPr>
          <w:rtl/>
          <w:lang w:bidi="fa-IR"/>
        </w:rPr>
        <w:t xml:space="preserve"> : « قلت ».</w:t>
      </w:r>
    </w:p>
    <w:p w:rsidR="00744A1C" w:rsidRDefault="00E378DD" w:rsidP="00594672">
      <w:pPr>
        <w:pStyle w:val="libFootnote0"/>
        <w:rPr>
          <w:lang w:bidi="fa-IR"/>
        </w:rPr>
      </w:pPr>
      <w:r>
        <w:rPr>
          <w:rtl/>
          <w:lang w:bidi="fa-IR"/>
        </w:rPr>
        <w:t>(14).</w:t>
      </w:r>
      <w:r w:rsidR="00744A1C">
        <w:rPr>
          <w:rtl/>
          <w:lang w:bidi="fa-IR"/>
        </w:rPr>
        <w:t xml:space="preserve"> هكذا في « ط ، ى ، بح ، بس ، جت ، جد ، جن » </w:t>
      </w:r>
      <w:r w:rsidR="00744A1C" w:rsidRPr="00594672">
        <w:rPr>
          <w:rtl/>
        </w:rPr>
        <w:t>والوسائل والتهذيب</w:t>
      </w:r>
      <w:r w:rsidR="00744A1C">
        <w:rPr>
          <w:rtl/>
          <w:lang w:bidi="fa-IR"/>
        </w:rPr>
        <w:t>. وفي سائر النسخ وال</w:t>
      </w:r>
      <w:r w:rsidR="00594672">
        <w:rPr>
          <w:rtl/>
          <w:lang w:bidi="fa-IR"/>
        </w:rPr>
        <w:t>مطبوع : «</w:t>
      </w:r>
      <w:r w:rsidR="00744A1C">
        <w:rPr>
          <w:rtl/>
          <w:lang w:bidi="fa-IR"/>
        </w:rPr>
        <w:t>أمرني أخي ».</w:t>
      </w:r>
      <w:r w:rsidR="00594672">
        <w:rPr>
          <w:rFonts w:hint="cs"/>
          <w:rtl/>
          <w:lang w:bidi="fa-IR"/>
        </w:rPr>
        <w:t xml:space="preserve">                        </w:t>
      </w:r>
      <w:r>
        <w:rPr>
          <w:rtl/>
          <w:lang w:bidi="fa-IR"/>
        </w:rPr>
        <w:t>(15).</w:t>
      </w:r>
      <w:r w:rsidR="00744A1C">
        <w:rPr>
          <w:rtl/>
          <w:lang w:bidi="fa-IR"/>
        </w:rPr>
        <w:t xml:space="preserve"> في « بح » وحاشية « جت » </w:t>
      </w:r>
      <w:r w:rsidR="00744A1C" w:rsidRPr="00594672">
        <w:rPr>
          <w:rtl/>
        </w:rPr>
        <w:t>والوسائل</w:t>
      </w:r>
      <w:r w:rsidR="00744A1C">
        <w:rPr>
          <w:rtl/>
          <w:lang w:bidi="fa-IR"/>
        </w:rPr>
        <w:t xml:space="preserve"> : « اليتيم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فَقَالَ </w:t>
      </w:r>
      <w:r w:rsidRPr="00D10E3C">
        <w:rPr>
          <w:rStyle w:val="libFootnotenumChar"/>
          <w:rtl/>
        </w:rPr>
        <w:t>(1)</w:t>
      </w:r>
      <w:r>
        <w:rPr>
          <w:rtl/>
          <w:lang w:bidi="fa-IR"/>
        </w:rPr>
        <w:t xml:space="preserve"> : « إِنْ كَانَ لِأَخِيكَ مَالٌ يُحِيطُ </w:t>
      </w:r>
      <w:r w:rsidRPr="00D10E3C">
        <w:rPr>
          <w:rStyle w:val="libFootnotenumChar"/>
          <w:rtl/>
        </w:rPr>
        <w:t>(2)</w:t>
      </w:r>
      <w:r>
        <w:rPr>
          <w:rtl/>
          <w:lang w:bidi="fa-IR"/>
        </w:rPr>
        <w:t xml:space="preserve"> بِمَالِ الْيَتِيمِ إِنْ تَلِفَ ، أَوْ أَصَابَهُ </w:t>
      </w:r>
      <w:r w:rsidR="00594672">
        <w:rPr>
          <w:rtl/>
          <w:lang w:bidi="fa-IR"/>
        </w:rPr>
        <w:t>شَيْ‌ءٌ غَرِمَهُ لَهُ ، وَإِل</w:t>
      </w:r>
      <w:r w:rsidR="00594672">
        <w:rPr>
          <w:rFonts w:hint="cs"/>
          <w:rtl/>
          <w:lang w:bidi="fa-IR"/>
        </w:rPr>
        <w:t>َّ</w:t>
      </w:r>
      <w:r w:rsidR="00594672">
        <w:rPr>
          <w:rtl/>
          <w:lang w:bidi="fa-IR"/>
        </w:rPr>
        <w:t>ا</w:t>
      </w:r>
      <w:r>
        <w:rPr>
          <w:rtl/>
          <w:lang w:bidi="fa-IR"/>
        </w:rPr>
        <w:t xml:space="preserve"> فَلَا يَتَعَرَّضْ </w:t>
      </w:r>
      <w:r w:rsidRPr="00D10E3C">
        <w:rPr>
          <w:rStyle w:val="libFootnotenumChar"/>
          <w:rtl/>
        </w:rPr>
        <w:t>(3)</w:t>
      </w:r>
      <w:r>
        <w:rPr>
          <w:rtl/>
          <w:lang w:bidi="fa-IR"/>
        </w:rPr>
        <w:t xml:space="preserve"> لِمَالِ </w:t>
      </w:r>
      <w:r w:rsidRPr="00D10E3C">
        <w:rPr>
          <w:rStyle w:val="libFootnotenumChar"/>
          <w:rtl/>
        </w:rPr>
        <w:t>(4)</w:t>
      </w:r>
      <w:r>
        <w:rPr>
          <w:rtl/>
          <w:lang w:bidi="fa-IR"/>
        </w:rPr>
        <w:t xml:space="preserve"> الْيَتِيمِ ». </w:t>
      </w:r>
      <w:r w:rsidRPr="00D10E3C">
        <w:rPr>
          <w:rStyle w:val="libFootnotenumChar"/>
          <w:rtl/>
        </w:rPr>
        <w:t>(5)</w:t>
      </w:r>
    </w:p>
    <w:p w:rsidR="00144FA6" w:rsidRDefault="00744A1C" w:rsidP="00744A1C">
      <w:pPr>
        <w:pStyle w:val="libNormal"/>
        <w:rPr>
          <w:rtl/>
          <w:lang w:bidi="fa-IR"/>
        </w:rPr>
      </w:pPr>
      <w:r>
        <w:rPr>
          <w:rtl/>
          <w:lang w:bidi="fa-IR"/>
        </w:rPr>
        <w:t>8610 / 5. أَبُو عَلِيٍّ الْأَشْعَرِيُّ ، عَنْ مُحَمَّدِ بْنِ عَبْدِ الْجَبَّارِ ، عَنْ صَفْوَانَ بْنِ يَحْيى ، عَنْ مَنْصُورِ بْنِ حَازِمٍ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رَجُلٍ وُلِّيَ مَالَ يَتِيمٍ </w:t>
      </w:r>
      <w:r w:rsidRPr="00D10E3C">
        <w:rPr>
          <w:rStyle w:val="libFootnotenumChar"/>
          <w:rtl/>
        </w:rPr>
        <w:t>(6)</w:t>
      </w:r>
      <w:r>
        <w:rPr>
          <w:rtl/>
          <w:lang w:bidi="fa-IR"/>
        </w:rPr>
        <w:t xml:space="preserve"> ، أَ</w:t>
      </w:r>
      <w:r w:rsidR="00594672">
        <w:rPr>
          <w:rFonts w:hint="cs"/>
          <w:rtl/>
          <w:lang w:bidi="fa-IR"/>
        </w:rPr>
        <w:t xml:space="preserve"> </w:t>
      </w:r>
      <w:r>
        <w:rPr>
          <w:rtl/>
          <w:lang w:bidi="fa-IR"/>
        </w:rPr>
        <w:t xml:space="preserve">يَسْتَقْرِضُ </w:t>
      </w:r>
      <w:r w:rsidRPr="00D10E3C">
        <w:rPr>
          <w:rStyle w:val="libFootnotenumChar"/>
          <w:rtl/>
        </w:rPr>
        <w:t>(7)</w:t>
      </w:r>
      <w:r>
        <w:rPr>
          <w:rtl/>
          <w:lang w:bidi="fa-IR"/>
        </w:rPr>
        <w:t xml:space="preserve"> مِنْهُ؟</w:t>
      </w:r>
    </w:p>
    <w:p w:rsidR="00144FA6" w:rsidRDefault="00744A1C" w:rsidP="00744A1C">
      <w:pPr>
        <w:pStyle w:val="libNormal"/>
        <w:rPr>
          <w:rtl/>
          <w:lang w:bidi="fa-IR"/>
        </w:rPr>
      </w:pPr>
      <w:r>
        <w:rPr>
          <w:rtl/>
          <w:lang w:bidi="fa-IR"/>
        </w:rPr>
        <w:t xml:space="preserve">فَقَالَ </w:t>
      </w:r>
      <w:r w:rsidRPr="00D10E3C">
        <w:rPr>
          <w:rStyle w:val="libFootnotenumChar"/>
          <w:rtl/>
        </w:rPr>
        <w:t>(8)</w:t>
      </w:r>
      <w:r>
        <w:rPr>
          <w:rtl/>
          <w:lang w:bidi="fa-IR"/>
        </w:rPr>
        <w:t xml:space="preserve"> : « إِنَّ عَلِيَّ بْنَ الْحُسَيْنِ </w:t>
      </w:r>
      <w:r w:rsidR="008859AA" w:rsidRPr="008859AA">
        <w:rPr>
          <w:rStyle w:val="libAlaemChar"/>
          <w:rtl/>
        </w:rPr>
        <w:t>عليهما‌السلام</w:t>
      </w:r>
      <w:r>
        <w:rPr>
          <w:rtl/>
          <w:lang w:bidi="fa-IR"/>
        </w:rPr>
        <w:t xml:space="preserve">قَدْ كَانَ يَسْتَقْرِضُ </w:t>
      </w:r>
      <w:r w:rsidRPr="00D10E3C">
        <w:rPr>
          <w:rStyle w:val="libFootnotenumChar"/>
          <w:rtl/>
        </w:rPr>
        <w:t>(9)</w:t>
      </w:r>
      <w:r>
        <w:rPr>
          <w:rtl/>
          <w:lang w:bidi="fa-IR"/>
        </w:rPr>
        <w:t xml:space="preserve"> مِنْ مَالِ أَيْتَامٍ </w:t>
      </w:r>
      <w:r w:rsidRPr="00D10E3C">
        <w:rPr>
          <w:rStyle w:val="libFootnotenumChar"/>
          <w:rtl/>
        </w:rPr>
        <w:t>(10)</w:t>
      </w:r>
      <w:r>
        <w:rPr>
          <w:rtl/>
          <w:lang w:bidi="fa-IR"/>
        </w:rPr>
        <w:t xml:space="preserve"> كَانُوا فِي حَجْرِهِ </w:t>
      </w:r>
      <w:r w:rsidRPr="00D10E3C">
        <w:rPr>
          <w:rStyle w:val="libFootnotenumChar"/>
          <w:rtl/>
        </w:rPr>
        <w:t>(11)</w:t>
      </w:r>
      <w:r>
        <w:rPr>
          <w:rtl/>
          <w:lang w:bidi="fa-IR"/>
        </w:rPr>
        <w:t xml:space="preserve"> ، فَلَا بَأْسَ بِذلِكَ ». </w:t>
      </w:r>
      <w:r w:rsidRPr="00D10E3C">
        <w:rPr>
          <w:rStyle w:val="libFootnotenumChar"/>
          <w:rtl/>
        </w:rPr>
        <w:t>(12)</w:t>
      </w:r>
    </w:p>
    <w:p w:rsidR="00144FA6" w:rsidRDefault="00744A1C" w:rsidP="00744A1C">
      <w:pPr>
        <w:pStyle w:val="libNormal"/>
        <w:rPr>
          <w:rtl/>
          <w:lang w:bidi="fa-IR"/>
        </w:rPr>
      </w:pPr>
      <w:r>
        <w:rPr>
          <w:rtl/>
          <w:lang w:bidi="fa-IR"/>
        </w:rPr>
        <w:t>8611 / 6. الْحُسَيْنُ بْنُ مُحَمَّدٍ ، عَنْ مُعَلَّى بْنِ مُحَمَّدٍ ، عَنِ الْحَسَنِ بْنِ عَلِيٍّ ، عَنْ أَبَانِ بْنِ عُثْمَانَ ، عَنْ مَنْصُورِ بْنِ حَازِمٍ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 رَجُلٌ وُلِّيَ مَالَ يَتِيمٍ </w:t>
      </w:r>
      <w:r w:rsidRPr="00D10E3C">
        <w:rPr>
          <w:rStyle w:val="libFootnotenumChar"/>
          <w:rtl/>
        </w:rPr>
        <w:t>(13)</w:t>
      </w:r>
      <w:r>
        <w:rPr>
          <w:rtl/>
          <w:lang w:bidi="fa-IR"/>
        </w:rPr>
        <w:t xml:space="preserve"> ، أَيَسْتَقْرِضُ </w:t>
      </w:r>
      <w:r w:rsidRPr="00D10E3C">
        <w:rPr>
          <w:rStyle w:val="libFootnotenumChar"/>
          <w:rtl/>
        </w:rPr>
        <w:t>(14)</w:t>
      </w:r>
      <w:r>
        <w:rPr>
          <w:rtl/>
          <w:lang w:bidi="fa-IR"/>
        </w:rPr>
        <w:t xml:space="preserve"> مِنْهُ؟</w:t>
      </w:r>
    </w:p>
    <w:p w:rsidR="00744A1C" w:rsidRDefault="00744A1C" w:rsidP="00744A1C">
      <w:pPr>
        <w:pStyle w:val="libNormal"/>
        <w:rPr>
          <w:lang w:bidi="fa-IR"/>
        </w:rPr>
      </w:pPr>
      <w:r>
        <w:rPr>
          <w:rtl/>
          <w:lang w:bidi="fa-IR"/>
        </w:rPr>
        <w:t xml:space="preserve">قَالَ </w:t>
      </w:r>
      <w:r w:rsidRPr="00D10E3C">
        <w:rPr>
          <w:rStyle w:val="libFootnotenumChar"/>
          <w:rtl/>
        </w:rPr>
        <w:t>(15)</w:t>
      </w:r>
      <w:r>
        <w:rPr>
          <w:rtl/>
          <w:lang w:bidi="fa-IR"/>
        </w:rPr>
        <w:t xml:space="preserve"> : « كَانَ </w:t>
      </w:r>
      <w:r w:rsidRPr="00D10E3C">
        <w:rPr>
          <w:rStyle w:val="libFootnotenumChar"/>
          <w:rtl/>
        </w:rPr>
        <w:t>(16)</w:t>
      </w:r>
      <w:r>
        <w:rPr>
          <w:rtl/>
          <w:lang w:bidi="fa-IR"/>
        </w:rPr>
        <w:t xml:space="preserve"> عَلِيُّ بْنُ الْحُسَيْنِ </w:t>
      </w:r>
      <w:r w:rsidR="008859AA" w:rsidRPr="008859AA">
        <w:rPr>
          <w:rStyle w:val="libAlaemChar"/>
          <w:rtl/>
        </w:rPr>
        <w:t>عليهما‌السلام</w:t>
      </w:r>
      <w:r w:rsidRPr="00D10E3C">
        <w:rPr>
          <w:rStyle w:val="libFootnotenumChar"/>
          <w:rtl/>
        </w:rPr>
        <w:t>(17)</w:t>
      </w:r>
      <w:r>
        <w:rPr>
          <w:rtl/>
          <w:lang w:bidi="fa-IR"/>
        </w:rPr>
        <w:t xml:space="preserve"> يَسْتَقْرِضُ مِنْ مَالِ يَتِيمٍ </w:t>
      </w:r>
      <w:r w:rsidRPr="00D10E3C">
        <w:rPr>
          <w:rStyle w:val="libFootnotenumChar"/>
          <w:rtl/>
        </w:rPr>
        <w:t>(18)</w:t>
      </w:r>
      <w:r>
        <w:rPr>
          <w:rtl/>
          <w:lang w:bidi="fa-IR"/>
        </w:rPr>
        <w:t xml:space="preserve"> كَانَ </w:t>
      </w:r>
      <w:r w:rsidRPr="00D10E3C">
        <w:rPr>
          <w:rStyle w:val="libFootnotenumChar"/>
          <w:rtl/>
        </w:rPr>
        <w:t>(19)</w:t>
      </w:r>
      <w:r>
        <w:rPr>
          <w:rtl/>
          <w:lang w:bidi="fa-IR"/>
        </w:rPr>
        <w:t xml:space="preserve"> فِي‌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بح ، بس ، جت ، جد ، جن » : « قال ».</w:t>
      </w:r>
    </w:p>
    <w:p w:rsidR="00744A1C" w:rsidRDefault="00E378DD" w:rsidP="00E378DD">
      <w:pPr>
        <w:pStyle w:val="libFootnote0"/>
        <w:rPr>
          <w:lang w:bidi="fa-IR"/>
        </w:rPr>
      </w:pPr>
      <w:r>
        <w:rPr>
          <w:rtl/>
          <w:lang w:bidi="fa-IR"/>
        </w:rPr>
        <w:t>(2).</w:t>
      </w:r>
      <w:r w:rsidR="00744A1C">
        <w:rPr>
          <w:rtl/>
          <w:lang w:bidi="fa-IR"/>
        </w:rPr>
        <w:t xml:space="preserve"> في « بخ » : « بمال يحيط ». وفي « بف » : « مال محيط ».</w:t>
      </w:r>
    </w:p>
    <w:tbl>
      <w:tblPr>
        <w:tblStyle w:val="TableGrid"/>
        <w:bidiVisual/>
        <w:tblW w:w="0" w:type="auto"/>
        <w:tblLook w:val="04A0" w:firstRow="1" w:lastRow="0" w:firstColumn="1" w:lastColumn="0" w:noHBand="0" w:noVBand="1"/>
      </w:tblPr>
      <w:tblGrid>
        <w:gridCol w:w="4006"/>
        <w:gridCol w:w="4006"/>
      </w:tblGrid>
      <w:tr w:rsidR="00594672" w:rsidTr="00594672">
        <w:tc>
          <w:tcPr>
            <w:tcW w:w="4006" w:type="dxa"/>
          </w:tcPr>
          <w:p w:rsidR="00594672" w:rsidRDefault="00594672" w:rsidP="00E378DD">
            <w:pPr>
              <w:pStyle w:val="libFootnote0"/>
              <w:rPr>
                <w:rtl/>
                <w:lang w:bidi="fa-IR"/>
              </w:rPr>
            </w:pPr>
            <w:r>
              <w:rPr>
                <w:rtl/>
                <w:lang w:bidi="fa-IR"/>
              </w:rPr>
              <w:t>(3). في « جت » : « فلا يعرض ».</w:t>
            </w:r>
          </w:p>
        </w:tc>
        <w:tc>
          <w:tcPr>
            <w:tcW w:w="4006" w:type="dxa"/>
          </w:tcPr>
          <w:p w:rsidR="00594672" w:rsidRDefault="00594672" w:rsidP="00E378DD">
            <w:pPr>
              <w:pStyle w:val="libFootnote0"/>
              <w:rPr>
                <w:rtl/>
                <w:lang w:bidi="fa-IR"/>
              </w:rPr>
            </w:pPr>
            <w:r>
              <w:rPr>
                <w:rtl/>
                <w:lang w:bidi="fa-IR"/>
              </w:rPr>
              <w:t>(4). فى « بف » : « بمال ».</w:t>
            </w:r>
          </w:p>
        </w:tc>
      </w:tr>
    </w:tbl>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341 ، ح 954 ، معلّقاً عن الكليني </w:t>
      </w:r>
      <w:r w:rsidR="00594672">
        <w:rPr>
          <w:rFonts w:hint="cs"/>
          <w:rtl/>
          <w:lang w:bidi="fa-IR"/>
        </w:rPr>
        <w:t>.</w:t>
      </w:r>
      <w:r w:rsidR="00744A1C" w:rsidRPr="00C24F9C">
        <w:rPr>
          <w:rStyle w:val="libFootnoteBoldChar"/>
          <w:rtl/>
        </w:rPr>
        <w:t>الوافي</w:t>
      </w:r>
      <w:r w:rsidR="00744A1C">
        <w:rPr>
          <w:rtl/>
          <w:lang w:bidi="fa-IR"/>
        </w:rPr>
        <w:t xml:space="preserve"> ، ج 17 ، ص 318 ، ح 17340 ؛ </w:t>
      </w:r>
      <w:r w:rsidR="00744A1C" w:rsidRPr="00C24F9C">
        <w:rPr>
          <w:rStyle w:val="libFootnoteBoldChar"/>
          <w:rtl/>
        </w:rPr>
        <w:t>الوسائل</w:t>
      </w:r>
      <w:r w:rsidR="00744A1C">
        <w:rPr>
          <w:rtl/>
          <w:lang w:bidi="fa-IR"/>
        </w:rPr>
        <w:t xml:space="preserve"> ، ج 17 ، ص 258 ، ح 22469.</w:t>
      </w:r>
      <w:r w:rsidR="00594672">
        <w:rPr>
          <w:rFonts w:hint="cs"/>
          <w:rtl/>
          <w:lang w:bidi="fa-IR"/>
        </w:rPr>
        <w:t xml:space="preserve">             </w:t>
      </w:r>
      <w:r w:rsidR="00744A1C">
        <w:rPr>
          <w:rtl/>
          <w:lang w:bidi="fa-IR"/>
        </w:rPr>
        <w:t xml:space="preserve"> </w:t>
      </w:r>
      <w:r>
        <w:rPr>
          <w:rtl/>
          <w:lang w:bidi="fa-IR"/>
        </w:rPr>
        <w:t>(6).</w:t>
      </w:r>
      <w:r w:rsidR="00744A1C">
        <w:rPr>
          <w:rtl/>
          <w:lang w:bidi="fa-IR"/>
        </w:rPr>
        <w:t xml:space="preserve"> في « بح » وحاشية « جن » </w:t>
      </w:r>
      <w:r w:rsidR="00744A1C" w:rsidRPr="00594672">
        <w:rPr>
          <w:rtl/>
        </w:rPr>
        <w:t>والوافي</w:t>
      </w:r>
      <w:r w:rsidR="00744A1C">
        <w:rPr>
          <w:rtl/>
          <w:lang w:bidi="fa-IR"/>
        </w:rPr>
        <w:t xml:space="preserve"> : « اليتيم ».</w:t>
      </w:r>
    </w:p>
    <w:p w:rsidR="00744A1C" w:rsidRDefault="00E378DD" w:rsidP="00E378DD">
      <w:pPr>
        <w:pStyle w:val="libFootnote0"/>
        <w:rPr>
          <w:lang w:bidi="fa-IR"/>
        </w:rPr>
      </w:pPr>
      <w:r>
        <w:rPr>
          <w:rtl/>
          <w:lang w:bidi="fa-IR"/>
        </w:rPr>
        <w:t>(7).</w:t>
      </w:r>
      <w:r w:rsidR="00744A1C">
        <w:rPr>
          <w:rtl/>
          <w:lang w:bidi="fa-IR"/>
        </w:rPr>
        <w:t xml:space="preserve"> في « ط ، بح ، جد » وحاشية « جت » : « استقرض ».</w:t>
      </w:r>
    </w:p>
    <w:tbl>
      <w:tblPr>
        <w:tblStyle w:val="TableGrid"/>
        <w:bidiVisual/>
        <w:tblW w:w="0" w:type="auto"/>
        <w:tblLook w:val="04A0" w:firstRow="1" w:lastRow="0" w:firstColumn="1" w:lastColumn="0" w:noHBand="0" w:noVBand="1"/>
      </w:tblPr>
      <w:tblGrid>
        <w:gridCol w:w="4006"/>
        <w:gridCol w:w="4006"/>
      </w:tblGrid>
      <w:tr w:rsidR="00594672" w:rsidTr="00594672">
        <w:tc>
          <w:tcPr>
            <w:tcW w:w="4006" w:type="dxa"/>
          </w:tcPr>
          <w:p w:rsidR="00594672" w:rsidRDefault="00594672" w:rsidP="00E378DD">
            <w:pPr>
              <w:pStyle w:val="libFootnote0"/>
              <w:rPr>
                <w:rtl/>
                <w:lang w:bidi="fa-IR"/>
              </w:rPr>
            </w:pPr>
            <w:r>
              <w:rPr>
                <w:rtl/>
                <w:lang w:bidi="fa-IR"/>
              </w:rPr>
              <w:t>(8). في « جت » : « قال ».</w:t>
            </w:r>
          </w:p>
        </w:tc>
        <w:tc>
          <w:tcPr>
            <w:tcW w:w="4006" w:type="dxa"/>
          </w:tcPr>
          <w:p w:rsidR="00594672" w:rsidRDefault="00594672" w:rsidP="00E378DD">
            <w:pPr>
              <w:pStyle w:val="libFootnote0"/>
              <w:rPr>
                <w:rtl/>
                <w:lang w:bidi="fa-IR"/>
              </w:rPr>
            </w:pPr>
            <w:r>
              <w:rPr>
                <w:rtl/>
                <w:lang w:bidi="fa-IR"/>
              </w:rPr>
              <w:t>(9). في « ى » : « استقرض ».</w:t>
            </w:r>
          </w:p>
        </w:tc>
      </w:tr>
    </w:tbl>
    <w:p w:rsidR="00744A1C" w:rsidRDefault="00E378DD" w:rsidP="00E378DD">
      <w:pPr>
        <w:pStyle w:val="libFootnote0"/>
        <w:rPr>
          <w:lang w:bidi="fa-IR"/>
        </w:rPr>
      </w:pPr>
      <w:r>
        <w:rPr>
          <w:rtl/>
          <w:lang w:bidi="fa-IR"/>
        </w:rPr>
        <w:t>(10).</w:t>
      </w:r>
      <w:r w:rsidR="00744A1C">
        <w:rPr>
          <w:rtl/>
          <w:lang w:bidi="fa-IR"/>
        </w:rPr>
        <w:t xml:space="preserve"> في « جد » : « يتيم ».</w:t>
      </w:r>
    </w:p>
    <w:p w:rsidR="00744A1C" w:rsidRDefault="00E378DD" w:rsidP="00E378DD">
      <w:pPr>
        <w:pStyle w:val="libFootnote0"/>
        <w:rPr>
          <w:lang w:bidi="fa-IR"/>
        </w:rPr>
      </w:pPr>
      <w:r>
        <w:rPr>
          <w:rtl/>
          <w:lang w:bidi="fa-IR"/>
        </w:rPr>
        <w:t>(11).</w:t>
      </w:r>
      <w:r w:rsidR="00744A1C">
        <w:rPr>
          <w:rtl/>
          <w:lang w:bidi="fa-IR"/>
        </w:rPr>
        <w:t xml:space="preserve"> حجر الإنسان - بالفتح وقد يكسر - : حِضْنه ، وهو ما دون إبطه إلى الكشح ، وهو في حجره : أي في كنفه وحمايته. </w:t>
      </w:r>
      <w:r w:rsidR="00744A1C" w:rsidRPr="00E978C3">
        <w:rPr>
          <w:rStyle w:val="libFootnoteBoldChar"/>
          <w:rtl/>
        </w:rPr>
        <w:t>المصباح المنير</w:t>
      </w:r>
      <w:r w:rsidR="00744A1C">
        <w:rPr>
          <w:rtl/>
          <w:lang w:bidi="fa-IR"/>
        </w:rPr>
        <w:t xml:space="preserve"> ، ص 121 ( حجر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الوافي</w:t>
      </w:r>
      <w:r w:rsidR="00744A1C">
        <w:rPr>
          <w:rtl/>
          <w:lang w:bidi="fa-IR"/>
        </w:rPr>
        <w:t xml:space="preserve"> ، ج 17 ، ص 319 ، ح 17344 ؛ </w:t>
      </w:r>
      <w:r w:rsidR="00744A1C" w:rsidRPr="00C24F9C">
        <w:rPr>
          <w:rStyle w:val="libFootnoteBoldChar"/>
          <w:rtl/>
        </w:rPr>
        <w:t>الوسائل</w:t>
      </w:r>
      <w:r w:rsidR="00744A1C">
        <w:rPr>
          <w:rtl/>
          <w:lang w:bidi="fa-IR"/>
        </w:rPr>
        <w:t xml:space="preserve"> ، ج 17 ، ص 258 ، ح 22471.</w:t>
      </w:r>
    </w:p>
    <w:tbl>
      <w:tblPr>
        <w:tblStyle w:val="TableGrid"/>
        <w:bidiVisual/>
        <w:tblW w:w="0" w:type="auto"/>
        <w:tblLook w:val="04A0" w:firstRow="1" w:lastRow="0" w:firstColumn="1" w:lastColumn="0" w:noHBand="0" w:noVBand="1"/>
      </w:tblPr>
      <w:tblGrid>
        <w:gridCol w:w="4006"/>
        <w:gridCol w:w="4006"/>
      </w:tblGrid>
      <w:tr w:rsidR="00594672" w:rsidTr="00594672">
        <w:tc>
          <w:tcPr>
            <w:tcW w:w="4006" w:type="dxa"/>
          </w:tcPr>
          <w:p w:rsidR="00594672" w:rsidRDefault="00594672" w:rsidP="00E378DD">
            <w:pPr>
              <w:pStyle w:val="libFootnote0"/>
              <w:rPr>
                <w:rtl/>
                <w:lang w:bidi="fa-IR"/>
              </w:rPr>
            </w:pPr>
            <w:r>
              <w:rPr>
                <w:rtl/>
                <w:lang w:bidi="fa-IR"/>
              </w:rPr>
              <w:t xml:space="preserve">(13). في « بح » </w:t>
            </w:r>
            <w:r w:rsidRPr="00594672">
              <w:rPr>
                <w:rtl/>
              </w:rPr>
              <w:t>والوافي</w:t>
            </w:r>
            <w:r>
              <w:rPr>
                <w:rtl/>
                <w:lang w:bidi="fa-IR"/>
              </w:rPr>
              <w:t xml:space="preserve"> : « اليتيم ».</w:t>
            </w:r>
          </w:p>
        </w:tc>
        <w:tc>
          <w:tcPr>
            <w:tcW w:w="4006" w:type="dxa"/>
          </w:tcPr>
          <w:p w:rsidR="00594672" w:rsidRDefault="00594672" w:rsidP="00594672">
            <w:pPr>
              <w:pStyle w:val="libFootnote0"/>
              <w:rPr>
                <w:rtl/>
                <w:lang w:bidi="fa-IR"/>
              </w:rPr>
            </w:pPr>
            <w:r>
              <w:rPr>
                <w:rtl/>
                <w:lang w:bidi="fa-IR"/>
              </w:rPr>
              <w:t>(14). في «ط،ى،بح» وحاشية «جت»:«استقرض».</w:t>
            </w:r>
          </w:p>
        </w:tc>
      </w:tr>
      <w:tr w:rsidR="00594672" w:rsidTr="00594672">
        <w:tc>
          <w:tcPr>
            <w:tcW w:w="4006" w:type="dxa"/>
          </w:tcPr>
          <w:p w:rsidR="00594672" w:rsidRDefault="00594672" w:rsidP="00E378DD">
            <w:pPr>
              <w:pStyle w:val="libFootnote0"/>
              <w:rPr>
                <w:rtl/>
                <w:lang w:bidi="fa-IR"/>
              </w:rPr>
            </w:pPr>
            <w:r>
              <w:rPr>
                <w:rtl/>
                <w:lang w:bidi="fa-IR"/>
              </w:rPr>
              <w:t xml:space="preserve">(15). في « بخ ، بف ، جت » </w:t>
            </w:r>
            <w:r w:rsidRPr="00594672">
              <w:rPr>
                <w:rtl/>
              </w:rPr>
              <w:t>والوافي</w:t>
            </w:r>
            <w:r>
              <w:rPr>
                <w:rtl/>
                <w:lang w:bidi="fa-IR"/>
              </w:rPr>
              <w:t xml:space="preserve"> : « فقال ».</w:t>
            </w:r>
          </w:p>
        </w:tc>
        <w:tc>
          <w:tcPr>
            <w:tcW w:w="4006" w:type="dxa"/>
          </w:tcPr>
          <w:p w:rsidR="00594672" w:rsidRDefault="00594672" w:rsidP="00E378DD">
            <w:pPr>
              <w:pStyle w:val="libFootnote0"/>
              <w:rPr>
                <w:rtl/>
                <w:lang w:bidi="fa-IR"/>
              </w:rPr>
            </w:pPr>
            <w:r>
              <w:rPr>
                <w:rtl/>
                <w:lang w:bidi="fa-IR"/>
              </w:rPr>
              <w:t xml:space="preserve">(16) في </w:t>
            </w:r>
            <w:r w:rsidRPr="00594672">
              <w:rPr>
                <w:rtl/>
              </w:rPr>
              <w:t>الوافي</w:t>
            </w:r>
            <w:r>
              <w:rPr>
                <w:rtl/>
                <w:lang w:bidi="fa-IR"/>
              </w:rPr>
              <w:t xml:space="preserve"> : « إنّ ».</w:t>
            </w:r>
          </w:p>
        </w:tc>
      </w:tr>
      <w:tr w:rsidR="00594672" w:rsidTr="00594672">
        <w:tc>
          <w:tcPr>
            <w:tcW w:w="4006" w:type="dxa"/>
          </w:tcPr>
          <w:p w:rsidR="00594672" w:rsidRDefault="00594672" w:rsidP="00E378DD">
            <w:pPr>
              <w:pStyle w:val="libFootnote0"/>
              <w:rPr>
                <w:rtl/>
                <w:lang w:bidi="fa-IR"/>
              </w:rPr>
            </w:pPr>
            <w:r>
              <w:rPr>
                <w:rtl/>
                <w:lang w:bidi="fa-IR"/>
              </w:rPr>
              <w:t xml:space="preserve">(17) في </w:t>
            </w:r>
            <w:r w:rsidRPr="00594672">
              <w:rPr>
                <w:rtl/>
              </w:rPr>
              <w:t>الوافي</w:t>
            </w:r>
            <w:r>
              <w:rPr>
                <w:rtl/>
                <w:lang w:bidi="fa-IR"/>
              </w:rPr>
              <w:t xml:space="preserve"> : + « قد كان ».</w:t>
            </w:r>
          </w:p>
        </w:tc>
        <w:tc>
          <w:tcPr>
            <w:tcW w:w="4006" w:type="dxa"/>
          </w:tcPr>
          <w:p w:rsidR="00594672" w:rsidRDefault="00594672" w:rsidP="00E378DD">
            <w:pPr>
              <w:pStyle w:val="libFootnote0"/>
              <w:rPr>
                <w:rtl/>
                <w:lang w:bidi="fa-IR"/>
              </w:rPr>
            </w:pPr>
            <w:r>
              <w:rPr>
                <w:rtl/>
                <w:lang w:bidi="fa-IR"/>
              </w:rPr>
              <w:t xml:space="preserve">(18) في </w:t>
            </w:r>
            <w:r w:rsidRPr="00594672">
              <w:rPr>
                <w:rtl/>
              </w:rPr>
              <w:t>الوافي</w:t>
            </w:r>
            <w:r>
              <w:rPr>
                <w:rtl/>
                <w:lang w:bidi="fa-IR"/>
              </w:rPr>
              <w:t xml:space="preserve"> : « أيتام ».</w:t>
            </w:r>
          </w:p>
        </w:tc>
      </w:tr>
    </w:tbl>
    <w:p w:rsidR="00744A1C" w:rsidRDefault="00744A1C" w:rsidP="00D10E3C">
      <w:pPr>
        <w:pStyle w:val="libFootnote0"/>
        <w:rPr>
          <w:lang w:bidi="fa-IR"/>
        </w:rPr>
      </w:pPr>
      <w:r>
        <w:rPr>
          <w:rtl/>
          <w:lang w:bidi="fa-IR"/>
        </w:rPr>
        <w:t xml:space="preserve">(19) في « ط ، بف » : - « كان ». وفي </w:t>
      </w:r>
      <w:r w:rsidRPr="00594672">
        <w:rPr>
          <w:rtl/>
        </w:rPr>
        <w:t>الوافي</w:t>
      </w:r>
      <w:r>
        <w:rPr>
          <w:rtl/>
          <w:lang w:bidi="fa-IR"/>
        </w:rPr>
        <w:t xml:space="preserve"> : « كانوا ».</w:t>
      </w:r>
    </w:p>
    <w:p w:rsidR="006D42F6" w:rsidRDefault="006D42F6" w:rsidP="00D10E3C">
      <w:pPr>
        <w:pStyle w:val="libNormal"/>
        <w:rPr>
          <w:rtl/>
          <w:lang w:bidi="fa-IR"/>
        </w:rPr>
      </w:pPr>
      <w:r>
        <w:rPr>
          <w:rtl/>
          <w:lang w:bidi="fa-IR"/>
        </w:rPr>
        <w:br w:type="page"/>
      </w:r>
    </w:p>
    <w:p w:rsidR="00144FA6" w:rsidRDefault="00744A1C" w:rsidP="00594672">
      <w:pPr>
        <w:pStyle w:val="libNormal0"/>
        <w:rPr>
          <w:rtl/>
          <w:lang w:bidi="fa-IR"/>
        </w:rPr>
      </w:pPr>
      <w:r>
        <w:rPr>
          <w:rtl/>
          <w:lang w:bidi="fa-IR"/>
        </w:rPr>
        <w:t xml:space="preserve">حَجْرِهِ ». </w:t>
      </w:r>
      <w:r w:rsidRPr="00D10E3C">
        <w:rPr>
          <w:rStyle w:val="libFootnotenumChar"/>
          <w:rtl/>
        </w:rPr>
        <w:t>(1)</w:t>
      </w:r>
    </w:p>
    <w:p w:rsidR="00594672" w:rsidRDefault="00744A1C" w:rsidP="00594672">
      <w:pPr>
        <w:pStyle w:val="libNormal"/>
        <w:rPr>
          <w:rtl/>
          <w:lang w:bidi="fa-IR"/>
        </w:rPr>
      </w:pPr>
      <w:r>
        <w:rPr>
          <w:rtl/>
          <w:lang w:bidi="fa-IR"/>
        </w:rPr>
        <w:t>8612 / 7. عَلِيُّ بْنُ إِبْرَاهِيمَ ، عَنْ أَبِيهِ ؛</w:t>
      </w:r>
    </w:p>
    <w:p w:rsidR="00144FA6" w:rsidRDefault="00594672" w:rsidP="00594672">
      <w:pPr>
        <w:pStyle w:val="libNormal"/>
        <w:rPr>
          <w:rtl/>
          <w:lang w:bidi="fa-IR"/>
        </w:rPr>
      </w:pPr>
      <w:r>
        <w:rPr>
          <w:rFonts w:hint="cs"/>
          <w:rtl/>
          <w:lang w:bidi="fa-IR"/>
        </w:rPr>
        <w:t xml:space="preserve">             </w:t>
      </w:r>
      <w:r w:rsidR="00744A1C">
        <w:rPr>
          <w:rtl/>
          <w:lang w:bidi="fa-IR"/>
        </w:rPr>
        <w:t xml:space="preserve">وَ </w:t>
      </w:r>
      <w:r w:rsidR="00744A1C" w:rsidRPr="00D10E3C">
        <w:rPr>
          <w:rStyle w:val="libFootnotenumChar"/>
          <w:rtl/>
        </w:rPr>
        <w:t>(2)</w:t>
      </w:r>
      <w:r w:rsidR="00744A1C">
        <w:rPr>
          <w:rtl/>
          <w:lang w:bidi="fa-IR"/>
        </w:rPr>
        <w:t xml:space="preserve"> مُحَمَّدُ بْنُ إِسْمَاعِيلَ ، عَنِ الْفَضْلِ بْنِ شَاذَانَ ، عَنِ ابْنِ أَبِي عُمَيْرٍ وَصَفْوَانَ </w:t>
      </w:r>
      <w:r w:rsidR="00744A1C" w:rsidRPr="00D10E3C">
        <w:rPr>
          <w:rStyle w:val="libFootnotenumChar"/>
          <w:rtl/>
        </w:rPr>
        <w:t>(3)</w:t>
      </w:r>
      <w:r w:rsidR="00744A1C">
        <w:rPr>
          <w:rtl/>
          <w:lang w:bidi="fa-IR"/>
        </w:rPr>
        <w:t xml:space="preserve"> ، عَنْ عَبْدِ الرَّحْمنِ بْنِ الْحَجَّاجِ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فِي الرَّجُلِ يَكُونُ عِ</w:t>
      </w:r>
      <w:r w:rsidR="00594672">
        <w:rPr>
          <w:rtl/>
          <w:lang w:bidi="fa-IR"/>
        </w:rPr>
        <w:t>نْدَ بَعْضِ أَهْلِ بَيْتِهِ الم</w:t>
      </w:r>
      <w:r w:rsidR="00594672">
        <w:rPr>
          <w:rFonts w:hint="cs"/>
          <w:rtl/>
          <w:lang w:bidi="fa-IR"/>
        </w:rPr>
        <w:t>ـَ</w:t>
      </w:r>
      <w:r>
        <w:rPr>
          <w:rtl/>
          <w:lang w:bidi="fa-IR"/>
        </w:rPr>
        <w:t xml:space="preserve">الُ </w:t>
      </w:r>
      <w:r w:rsidRPr="00D10E3C">
        <w:rPr>
          <w:rStyle w:val="libFootnotenumChar"/>
          <w:rtl/>
        </w:rPr>
        <w:t>(4)</w:t>
      </w:r>
      <w:r>
        <w:rPr>
          <w:rtl/>
          <w:lang w:bidi="fa-IR"/>
        </w:rPr>
        <w:t xml:space="preserve"> لِأَيْتَامٍ ، فَيَدْفَعُهُ </w:t>
      </w:r>
      <w:r w:rsidRPr="00D10E3C">
        <w:rPr>
          <w:rStyle w:val="libFootnotenumChar"/>
          <w:rtl/>
        </w:rPr>
        <w:t>(5)</w:t>
      </w:r>
      <w:r>
        <w:rPr>
          <w:rtl/>
          <w:lang w:bidi="fa-IR"/>
        </w:rPr>
        <w:t xml:space="preserve"> إِلَيْهِ ، فَيَأْخُذُ مِنْهُ دَرَاهِمَ يَحْتَاجُ إِلَيْهَا ، وَلَا يُعْلِمُ الَّذِي كَانَ عِنْدَهُ الْمَالُ لِلْأَيْتَامِ أَنَّهُ أَخَذَ مِنْ أَمْوَالِهِمْ شَيْئاً ، ثُمَّ تَيَسَّرَ </w:t>
      </w:r>
      <w:r w:rsidRPr="00D10E3C">
        <w:rPr>
          <w:rStyle w:val="libFootnotenumChar"/>
          <w:rtl/>
        </w:rPr>
        <w:t>(6)</w:t>
      </w:r>
      <w:r>
        <w:rPr>
          <w:rtl/>
          <w:lang w:bidi="fa-IR"/>
        </w:rPr>
        <w:t xml:space="preserve"> بَعْدَ ذلِكَ ، أَيُّ ذلِكَ خَيْرٌ لَهُ : أَ</w:t>
      </w:r>
      <w:r w:rsidR="00594672">
        <w:rPr>
          <w:rFonts w:hint="cs"/>
          <w:rtl/>
          <w:lang w:bidi="fa-IR"/>
        </w:rPr>
        <w:t xml:space="preserve"> </w:t>
      </w:r>
      <w:r>
        <w:rPr>
          <w:rtl/>
          <w:lang w:bidi="fa-IR"/>
        </w:rPr>
        <w:t xml:space="preserve">يُعْطِيهِ </w:t>
      </w:r>
      <w:r w:rsidRPr="00D10E3C">
        <w:rPr>
          <w:rStyle w:val="libFootnotenumChar"/>
          <w:rtl/>
        </w:rPr>
        <w:t>(7)</w:t>
      </w:r>
      <w:r>
        <w:rPr>
          <w:rtl/>
          <w:lang w:bidi="fa-IR"/>
        </w:rPr>
        <w:t xml:space="preserve"> الَّذِي كَانَ فِي يَدِهِ ، أَمْ يَدْفَعُهُ </w:t>
      </w:r>
      <w:r w:rsidRPr="00D10E3C">
        <w:rPr>
          <w:rStyle w:val="libFootnotenumChar"/>
          <w:rtl/>
        </w:rPr>
        <w:t>(8)</w:t>
      </w:r>
      <w:r>
        <w:rPr>
          <w:rtl/>
          <w:lang w:bidi="fa-IR"/>
        </w:rPr>
        <w:t xml:space="preserve"> إِلَى الْيَتِيمِ وَقَدْ بَلَغَ؟ وَهَلْ </w:t>
      </w:r>
      <w:r w:rsidRPr="00D10E3C">
        <w:rPr>
          <w:rStyle w:val="libFootnotenumChar"/>
          <w:rtl/>
        </w:rPr>
        <w:t>(9)</w:t>
      </w:r>
      <w:r>
        <w:rPr>
          <w:rtl/>
          <w:lang w:bidi="fa-IR"/>
        </w:rPr>
        <w:t xml:space="preserve"> يُجْزِئُهُ أَنْ يَدْفَعَهُ إِلى صَاحِبِهِ عَلى وَجْهِ الصِّلَةِ وَلَا يُعْلِمُهُ أَنَّهُ أَخَذَ لَهُ مَالاً؟</w:t>
      </w:r>
    </w:p>
    <w:p w:rsidR="00744A1C" w:rsidRDefault="00744A1C" w:rsidP="00744A1C">
      <w:pPr>
        <w:pStyle w:val="libNormal"/>
        <w:rPr>
          <w:lang w:bidi="fa-IR"/>
        </w:rPr>
      </w:pPr>
      <w:r>
        <w:rPr>
          <w:rtl/>
          <w:lang w:bidi="fa-IR"/>
        </w:rPr>
        <w:t xml:space="preserve">فَقَالَ : « يُجْزِئُهُ أَيُّ ذلِكَ فَعَلَ إِذَا أَوْصَلَهُ إِلى صَاحِبِهِ ؛ فَإِنَّ هذَا مِنَ السَّرَائِرِ إِذَا كَانَ مِنْ نِيَّتِهِ ، إِنْ شَاءَ رَدَّهُ إِلَى الْيَتِيمِ إِنْ كَانَ قَدْ </w:t>
      </w:r>
      <w:r w:rsidRPr="00D10E3C">
        <w:rPr>
          <w:rStyle w:val="libFootnotenumChar"/>
          <w:rtl/>
        </w:rPr>
        <w:t>(10)</w:t>
      </w:r>
      <w:r>
        <w:rPr>
          <w:rtl/>
          <w:lang w:bidi="fa-IR"/>
        </w:rPr>
        <w:t xml:space="preserve"> بَلَغَ عَلى أَيِّ وَجْهٍ شَاءَ وَإِنْ </w:t>
      </w:r>
      <w:r w:rsidRPr="00D10E3C">
        <w:rPr>
          <w:rStyle w:val="libFootnotenumChar"/>
          <w:rtl/>
        </w:rPr>
        <w:t>(11)</w:t>
      </w:r>
      <w:r>
        <w:rPr>
          <w:rtl/>
          <w:lang w:bidi="fa-IR"/>
        </w:rPr>
        <w:t xml:space="preserve"> لَمْ يُعْلِمْهُ أَنَّهُ </w:t>
      </w:r>
      <w:r w:rsidRPr="00D10E3C">
        <w:rPr>
          <w:rStyle w:val="libFootnotenumChar"/>
          <w:rtl/>
        </w:rPr>
        <w:t>(12)</w:t>
      </w:r>
      <w:r>
        <w:rPr>
          <w:rtl/>
          <w:lang w:bidi="fa-IR"/>
        </w:rPr>
        <w:t xml:space="preserve"> كَانَ </w:t>
      </w:r>
      <w:r w:rsidRPr="00D10E3C">
        <w:rPr>
          <w:rStyle w:val="libFootnotenumChar"/>
          <w:rtl/>
        </w:rPr>
        <w:t>(13)</w:t>
      </w:r>
      <w:r>
        <w:rPr>
          <w:rtl/>
          <w:lang w:bidi="fa-IR"/>
        </w:rPr>
        <w:t xml:space="preserve"> قَبَضَ لَهُ شَيْئاً ، وَإِنْ شَاءَ رَدَّهُ إِلَى الَّذِي كَانَ فِي يَدِهِ </w:t>
      </w:r>
      <w:r w:rsidRPr="00D10E3C">
        <w:rPr>
          <w:rStyle w:val="libFootnotenumChar"/>
          <w:rtl/>
        </w:rPr>
        <w:t>(14)</w:t>
      </w:r>
      <w:r>
        <w:rPr>
          <w:rtl/>
          <w:lang w:bidi="fa-IR"/>
        </w:rPr>
        <w:t xml:space="preserve">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الوافي</w:t>
      </w:r>
      <w:r w:rsidR="00744A1C">
        <w:rPr>
          <w:rtl/>
          <w:lang w:bidi="fa-IR"/>
        </w:rPr>
        <w:t xml:space="preserve"> ، ج 17 ، ص 319 ، ح 17343 ؛ </w:t>
      </w:r>
      <w:r w:rsidR="00744A1C" w:rsidRPr="00C24F9C">
        <w:rPr>
          <w:rStyle w:val="libFootnoteBoldChar"/>
          <w:rtl/>
        </w:rPr>
        <w:t>الوسائل</w:t>
      </w:r>
      <w:r w:rsidR="00744A1C">
        <w:rPr>
          <w:rtl/>
          <w:lang w:bidi="fa-IR"/>
        </w:rPr>
        <w:t xml:space="preserve"> ، ج 17 ، ص 258 ، ذيل ح 22471.</w:t>
      </w:r>
    </w:p>
    <w:p w:rsidR="00744A1C" w:rsidRDefault="00E378DD" w:rsidP="00E378DD">
      <w:pPr>
        <w:pStyle w:val="libFootnote0"/>
        <w:rPr>
          <w:lang w:bidi="fa-IR"/>
        </w:rPr>
      </w:pPr>
      <w:r>
        <w:rPr>
          <w:rtl/>
          <w:lang w:bidi="fa-IR"/>
        </w:rPr>
        <w:t>(2).</w:t>
      </w:r>
      <w:r w:rsidR="00744A1C">
        <w:rPr>
          <w:rtl/>
          <w:lang w:bidi="fa-IR"/>
        </w:rPr>
        <w:t xml:space="preserve"> في السند تحويل بعطف « محمّد بن إسماعيل ، عن الفضل بن شاذان » على « عليّ بن إبراهيم ، عن أبيه ».</w:t>
      </w:r>
    </w:p>
    <w:p w:rsidR="00744A1C" w:rsidRDefault="00E378DD" w:rsidP="00E378DD">
      <w:pPr>
        <w:pStyle w:val="libFootnote0"/>
        <w:rPr>
          <w:lang w:bidi="fa-IR"/>
        </w:rPr>
      </w:pPr>
      <w:r>
        <w:rPr>
          <w:rtl/>
          <w:lang w:bidi="fa-IR"/>
        </w:rPr>
        <w:t>(3).</w:t>
      </w:r>
      <w:r w:rsidR="00744A1C">
        <w:rPr>
          <w:rtl/>
          <w:lang w:bidi="fa-IR"/>
        </w:rPr>
        <w:t xml:space="preserve"> في </w:t>
      </w:r>
      <w:r w:rsidR="00744A1C" w:rsidRPr="00594672">
        <w:rPr>
          <w:rtl/>
        </w:rPr>
        <w:t>التهذيب</w:t>
      </w:r>
      <w:r w:rsidR="00744A1C">
        <w:rPr>
          <w:rtl/>
          <w:lang w:bidi="fa-IR"/>
        </w:rPr>
        <w:t xml:space="preserve"> : - « وصفوان ».</w:t>
      </w:r>
    </w:p>
    <w:p w:rsidR="00744A1C" w:rsidRDefault="00E378DD" w:rsidP="00E378DD">
      <w:pPr>
        <w:pStyle w:val="libFootnote0"/>
        <w:rPr>
          <w:lang w:bidi="fa-IR"/>
        </w:rPr>
      </w:pPr>
      <w:r>
        <w:rPr>
          <w:rtl/>
          <w:lang w:bidi="fa-IR"/>
        </w:rPr>
        <w:t>(4).</w:t>
      </w:r>
      <w:r w:rsidR="00744A1C">
        <w:rPr>
          <w:rtl/>
          <w:lang w:bidi="fa-IR"/>
        </w:rPr>
        <w:t xml:space="preserve"> هكذا في معظم النسخ التي قوبلت وحاشية « جت » </w:t>
      </w:r>
      <w:r w:rsidR="00744A1C" w:rsidRPr="00594672">
        <w:rPr>
          <w:rtl/>
        </w:rPr>
        <w:t>والوسائل والتهذيب</w:t>
      </w:r>
      <w:r w:rsidR="00744A1C">
        <w:rPr>
          <w:rtl/>
          <w:lang w:bidi="fa-IR"/>
        </w:rPr>
        <w:t>. وفي « جت » والمطبوع : « مال ».</w:t>
      </w:r>
    </w:p>
    <w:tbl>
      <w:tblPr>
        <w:tblStyle w:val="TableGrid"/>
        <w:bidiVisual/>
        <w:tblW w:w="0" w:type="auto"/>
        <w:tblLook w:val="04A0" w:firstRow="1" w:lastRow="0" w:firstColumn="1" w:lastColumn="0" w:noHBand="0" w:noVBand="1"/>
      </w:tblPr>
      <w:tblGrid>
        <w:gridCol w:w="4006"/>
        <w:gridCol w:w="4006"/>
      </w:tblGrid>
      <w:tr w:rsidR="00594672" w:rsidTr="00594672">
        <w:tc>
          <w:tcPr>
            <w:tcW w:w="4006" w:type="dxa"/>
          </w:tcPr>
          <w:p w:rsidR="00594672" w:rsidRDefault="00594672" w:rsidP="00E378DD">
            <w:pPr>
              <w:pStyle w:val="libFootnote0"/>
              <w:rPr>
                <w:rtl/>
                <w:lang w:bidi="fa-IR"/>
              </w:rPr>
            </w:pPr>
            <w:r>
              <w:rPr>
                <w:rtl/>
                <w:lang w:bidi="fa-IR"/>
              </w:rPr>
              <w:t xml:space="preserve">(5). في « بخ ، بف » </w:t>
            </w:r>
            <w:r w:rsidRPr="00594672">
              <w:rPr>
                <w:rtl/>
              </w:rPr>
              <w:t>والوافي</w:t>
            </w:r>
            <w:r>
              <w:rPr>
                <w:rtl/>
                <w:lang w:bidi="fa-IR"/>
              </w:rPr>
              <w:t xml:space="preserve"> : « ويدفعه ».</w:t>
            </w:r>
          </w:p>
        </w:tc>
        <w:tc>
          <w:tcPr>
            <w:tcW w:w="4006" w:type="dxa"/>
          </w:tcPr>
          <w:p w:rsidR="00594672" w:rsidRDefault="00594672" w:rsidP="00E378DD">
            <w:pPr>
              <w:pStyle w:val="libFootnote0"/>
              <w:rPr>
                <w:rtl/>
                <w:lang w:bidi="fa-IR"/>
              </w:rPr>
            </w:pPr>
            <w:r>
              <w:rPr>
                <w:rtl/>
                <w:lang w:bidi="fa-IR"/>
              </w:rPr>
              <w:t xml:space="preserve">(6). في </w:t>
            </w:r>
            <w:r w:rsidRPr="00594672">
              <w:rPr>
                <w:rtl/>
              </w:rPr>
              <w:t>الوسائل والتهذيب</w:t>
            </w:r>
            <w:r>
              <w:rPr>
                <w:rtl/>
                <w:lang w:bidi="fa-IR"/>
              </w:rPr>
              <w:t xml:space="preserve"> : « ييسّر ».</w:t>
            </w:r>
          </w:p>
        </w:tc>
      </w:tr>
    </w:tbl>
    <w:p w:rsidR="00744A1C" w:rsidRDefault="00E378DD" w:rsidP="00E378DD">
      <w:pPr>
        <w:pStyle w:val="libFootnote0"/>
        <w:rPr>
          <w:lang w:bidi="fa-IR"/>
        </w:rPr>
      </w:pPr>
      <w:r>
        <w:rPr>
          <w:rtl/>
          <w:lang w:bidi="fa-IR"/>
        </w:rPr>
        <w:t>(7).</w:t>
      </w:r>
      <w:r w:rsidR="00744A1C">
        <w:rPr>
          <w:rtl/>
          <w:lang w:bidi="fa-IR"/>
        </w:rPr>
        <w:t xml:space="preserve"> في « بف » </w:t>
      </w:r>
      <w:r w:rsidR="00744A1C" w:rsidRPr="00594672">
        <w:rPr>
          <w:rtl/>
        </w:rPr>
        <w:t>والوافي</w:t>
      </w:r>
      <w:r w:rsidR="00744A1C">
        <w:rPr>
          <w:rtl/>
          <w:lang w:bidi="fa-IR"/>
        </w:rPr>
        <w:t xml:space="preserve"> : « يعطيه » بدون همزة الاستفهام.</w:t>
      </w:r>
    </w:p>
    <w:p w:rsidR="00744A1C" w:rsidRDefault="00E378DD" w:rsidP="00E378DD">
      <w:pPr>
        <w:pStyle w:val="libFootnote0"/>
        <w:rPr>
          <w:lang w:bidi="fa-IR"/>
        </w:rPr>
      </w:pPr>
      <w:r>
        <w:rPr>
          <w:rtl/>
          <w:lang w:bidi="fa-IR"/>
        </w:rPr>
        <w:t>(8).</w:t>
      </w:r>
      <w:r w:rsidR="00744A1C">
        <w:rPr>
          <w:rtl/>
          <w:lang w:bidi="fa-IR"/>
        </w:rPr>
        <w:t xml:space="preserve"> في </w:t>
      </w:r>
      <w:r w:rsidR="00744A1C" w:rsidRPr="00594672">
        <w:rPr>
          <w:rtl/>
        </w:rPr>
        <w:t>الوسائل</w:t>
      </w:r>
      <w:r w:rsidR="00744A1C">
        <w:rPr>
          <w:rtl/>
          <w:lang w:bidi="fa-IR"/>
        </w:rPr>
        <w:t xml:space="preserve"> : « يدفع ».</w:t>
      </w:r>
    </w:p>
    <w:p w:rsidR="00744A1C" w:rsidRDefault="00E378DD" w:rsidP="00E378DD">
      <w:pPr>
        <w:pStyle w:val="libFootnote0"/>
        <w:rPr>
          <w:lang w:bidi="fa-IR"/>
        </w:rPr>
      </w:pPr>
      <w:r>
        <w:rPr>
          <w:rtl/>
          <w:lang w:bidi="fa-IR"/>
        </w:rPr>
        <w:t>(9).</w:t>
      </w:r>
      <w:r w:rsidR="00744A1C">
        <w:rPr>
          <w:rtl/>
          <w:lang w:bidi="fa-IR"/>
        </w:rPr>
        <w:t xml:space="preserve"> في « بخ ، بف ، جد » : « فهل ».</w:t>
      </w:r>
    </w:p>
    <w:tbl>
      <w:tblPr>
        <w:tblStyle w:val="TableGrid"/>
        <w:bidiVisual/>
        <w:tblW w:w="0" w:type="auto"/>
        <w:tblLook w:val="04A0" w:firstRow="1" w:lastRow="0" w:firstColumn="1" w:lastColumn="0" w:noHBand="0" w:noVBand="1"/>
      </w:tblPr>
      <w:tblGrid>
        <w:gridCol w:w="4006"/>
        <w:gridCol w:w="4006"/>
      </w:tblGrid>
      <w:tr w:rsidR="00594672" w:rsidTr="00594672">
        <w:tc>
          <w:tcPr>
            <w:tcW w:w="4006" w:type="dxa"/>
          </w:tcPr>
          <w:p w:rsidR="00594672" w:rsidRDefault="00594672" w:rsidP="00E378DD">
            <w:pPr>
              <w:pStyle w:val="libFootnote0"/>
              <w:rPr>
                <w:rtl/>
                <w:lang w:bidi="fa-IR"/>
              </w:rPr>
            </w:pPr>
            <w:r>
              <w:rPr>
                <w:rtl/>
                <w:lang w:bidi="fa-IR"/>
              </w:rPr>
              <w:t>(10). في « ط ، بف » : - « قد ».</w:t>
            </w:r>
          </w:p>
        </w:tc>
        <w:tc>
          <w:tcPr>
            <w:tcW w:w="4006" w:type="dxa"/>
          </w:tcPr>
          <w:p w:rsidR="00594672" w:rsidRDefault="00594672" w:rsidP="00E378DD">
            <w:pPr>
              <w:pStyle w:val="libFootnote0"/>
              <w:rPr>
                <w:rtl/>
                <w:lang w:bidi="fa-IR"/>
              </w:rPr>
            </w:pPr>
            <w:r>
              <w:rPr>
                <w:rtl/>
                <w:lang w:bidi="fa-IR"/>
              </w:rPr>
              <w:t xml:space="preserve">(11). في </w:t>
            </w:r>
            <w:r w:rsidRPr="00594672">
              <w:rPr>
                <w:rtl/>
              </w:rPr>
              <w:t>التهذيب</w:t>
            </w:r>
            <w:r>
              <w:rPr>
                <w:rtl/>
                <w:lang w:bidi="fa-IR"/>
              </w:rPr>
              <w:t xml:space="preserve"> : + « كان ».</w:t>
            </w:r>
          </w:p>
        </w:tc>
      </w:tr>
    </w:tbl>
    <w:p w:rsidR="00744A1C" w:rsidRDefault="00E378DD" w:rsidP="00E378DD">
      <w:pPr>
        <w:pStyle w:val="libFootnote0"/>
        <w:rPr>
          <w:lang w:bidi="fa-IR"/>
        </w:rPr>
      </w:pPr>
      <w:r>
        <w:rPr>
          <w:rtl/>
          <w:lang w:bidi="fa-IR"/>
        </w:rPr>
        <w:t>(12).</w:t>
      </w:r>
      <w:r w:rsidR="00744A1C">
        <w:rPr>
          <w:rtl/>
          <w:lang w:bidi="fa-IR"/>
        </w:rPr>
        <w:t xml:space="preserve"> هكذا في جميع النسخ التي قوبلت </w:t>
      </w:r>
      <w:r w:rsidR="00744A1C" w:rsidRPr="00594672">
        <w:rPr>
          <w:rtl/>
        </w:rPr>
        <w:t>والوافي والوسائل والتهذيب</w:t>
      </w:r>
      <w:r w:rsidR="00744A1C">
        <w:rPr>
          <w:rtl/>
          <w:lang w:bidi="fa-IR"/>
        </w:rPr>
        <w:t>. وفي المطبوع : « إن ».</w:t>
      </w:r>
    </w:p>
    <w:p w:rsidR="00744A1C" w:rsidRDefault="00E378DD" w:rsidP="00E378DD">
      <w:pPr>
        <w:pStyle w:val="libFootnote0"/>
        <w:rPr>
          <w:lang w:bidi="fa-IR"/>
        </w:rPr>
      </w:pPr>
      <w:r>
        <w:rPr>
          <w:rtl/>
          <w:lang w:bidi="fa-IR"/>
        </w:rPr>
        <w:t>(13).</w:t>
      </w:r>
      <w:r w:rsidR="00744A1C">
        <w:rPr>
          <w:rtl/>
          <w:lang w:bidi="fa-IR"/>
        </w:rPr>
        <w:t xml:space="preserve"> في « بح » : « قد ».</w:t>
      </w:r>
    </w:p>
    <w:p w:rsidR="00744A1C" w:rsidRDefault="00E378DD" w:rsidP="00E378DD">
      <w:pPr>
        <w:pStyle w:val="libFootnote0"/>
        <w:rPr>
          <w:lang w:bidi="fa-IR"/>
        </w:rPr>
      </w:pPr>
      <w:r>
        <w:rPr>
          <w:rtl/>
          <w:lang w:bidi="fa-IR"/>
        </w:rPr>
        <w:t>(14).</w:t>
      </w:r>
      <w:r w:rsidR="00744A1C">
        <w:rPr>
          <w:rtl/>
          <w:lang w:bidi="fa-IR"/>
        </w:rPr>
        <w:t xml:space="preserve"> في « بخ ، بف ، جت » وحاشية « جن » </w:t>
      </w:r>
      <w:r w:rsidR="00744A1C" w:rsidRPr="00594672">
        <w:rPr>
          <w:rtl/>
        </w:rPr>
        <w:t>والوافي</w:t>
      </w:r>
      <w:r w:rsidR="00744A1C">
        <w:rPr>
          <w:rtl/>
          <w:lang w:bidi="fa-IR"/>
        </w:rPr>
        <w:t xml:space="preserve"> : + « المال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وَقَالَ </w:t>
      </w:r>
      <w:r w:rsidRPr="00D10E3C">
        <w:rPr>
          <w:rStyle w:val="libFootnotenumChar"/>
          <w:rtl/>
        </w:rPr>
        <w:t>(1)</w:t>
      </w:r>
      <w:r>
        <w:rPr>
          <w:rtl/>
          <w:lang w:bidi="fa-IR"/>
        </w:rPr>
        <w:t xml:space="preserve"> : « إذَا </w:t>
      </w:r>
      <w:r w:rsidRPr="00D10E3C">
        <w:rPr>
          <w:rStyle w:val="libFootnotenumChar"/>
          <w:rtl/>
        </w:rPr>
        <w:t>(2)</w:t>
      </w:r>
      <w:r>
        <w:rPr>
          <w:rtl/>
          <w:lang w:bidi="fa-IR"/>
        </w:rPr>
        <w:t xml:space="preserve"> كَانَ صَاحِبُ الْمَالِ غَائِباً ، فَلْيَدْفَعْهُ إِلَى الَّذِي كَانَ </w:t>
      </w:r>
      <w:r w:rsidRPr="00D10E3C">
        <w:rPr>
          <w:rStyle w:val="libFootnotenumChar"/>
          <w:rtl/>
        </w:rPr>
        <w:t>(3)</w:t>
      </w:r>
      <w:r>
        <w:rPr>
          <w:rtl/>
          <w:lang w:bidi="fa-IR"/>
        </w:rPr>
        <w:t xml:space="preserve"> الْمَالُ </w:t>
      </w:r>
      <w:r w:rsidRPr="00D10E3C">
        <w:rPr>
          <w:rStyle w:val="libFootnotenumChar"/>
          <w:rtl/>
        </w:rPr>
        <w:t>(4)</w:t>
      </w:r>
      <w:r>
        <w:rPr>
          <w:rtl/>
          <w:lang w:bidi="fa-IR"/>
        </w:rPr>
        <w:t xml:space="preserve"> فِي يَدِهِ</w:t>
      </w:r>
      <w:r w:rsidRPr="00D10E3C">
        <w:rPr>
          <w:rStyle w:val="libFootnotenumChar"/>
          <w:rtl/>
        </w:rPr>
        <w:t>(5)</w:t>
      </w:r>
      <w:r>
        <w:rPr>
          <w:rtl/>
          <w:lang w:bidi="fa-IR"/>
        </w:rPr>
        <w:t xml:space="preserve">». </w:t>
      </w:r>
      <w:r w:rsidRPr="00D10E3C">
        <w:rPr>
          <w:rStyle w:val="libFootnotenumChar"/>
          <w:rtl/>
        </w:rPr>
        <w:t>(6)</w:t>
      </w:r>
    </w:p>
    <w:p w:rsidR="00144FA6" w:rsidRDefault="00744A1C" w:rsidP="00744A1C">
      <w:pPr>
        <w:pStyle w:val="libNormal"/>
        <w:rPr>
          <w:rtl/>
          <w:lang w:bidi="fa-IR"/>
        </w:rPr>
      </w:pPr>
      <w:r>
        <w:rPr>
          <w:rtl/>
          <w:lang w:bidi="fa-IR"/>
        </w:rPr>
        <w:t>8613 / 8. مُحَمَّدُ بْنُ يَحْيى ، عَنْ أَحْمَدَ بْنِ مُحَمَّدٍ ، عَنِ ابْنِ مَحْبُوبٍ ، عَنْ خَالِدِ بْنِ جَرِيرٍ ، عَنْ أَبِي الرَّبِيعِ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سُئِلَ عَنْ رَجُلٍ وُلِّيَ مَالَ يَتِيمٍ </w:t>
      </w:r>
      <w:r w:rsidRPr="00D10E3C">
        <w:rPr>
          <w:rStyle w:val="libFootnotenumChar"/>
          <w:rtl/>
        </w:rPr>
        <w:t>(7)</w:t>
      </w:r>
      <w:r>
        <w:rPr>
          <w:rtl/>
          <w:lang w:bidi="fa-IR"/>
        </w:rPr>
        <w:t xml:space="preserve"> ، فَاسْتَقْرَضَ مِنْهُ شَيْئاً؟</w:t>
      </w:r>
    </w:p>
    <w:p w:rsidR="00144FA6" w:rsidRDefault="00744A1C" w:rsidP="00744A1C">
      <w:pPr>
        <w:pStyle w:val="libNormal"/>
        <w:rPr>
          <w:rtl/>
          <w:lang w:bidi="fa-IR"/>
        </w:rPr>
      </w:pPr>
      <w:r>
        <w:rPr>
          <w:rtl/>
          <w:lang w:bidi="fa-IR"/>
        </w:rPr>
        <w:t xml:space="preserve">فَقَالَ : « إِنَّ عَلِيَّ بْنَ الْحُسَيْنِ </w:t>
      </w:r>
      <w:r w:rsidR="008859AA" w:rsidRPr="008859AA">
        <w:rPr>
          <w:rStyle w:val="libAlaemChar"/>
          <w:rtl/>
        </w:rPr>
        <w:t>عليهما‌السلام</w:t>
      </w:r>
      <w:r>
        <w:rPr>
          <w:rtl/>
          <w:lang w:bidi="fa-IR"/>
        </w:rPr>
        <w:t xml:space="preserve">كَانَ اسْتَقْرَضَ </w:t>
      </w:r>
      <w:r w:rsidRPr="00D10E3C">
        <w:rPr>
          <w:rStyle w:val="libFootnotenumChar"/>
          <w:rtl/>
        </w:rPr>
        <w:t>(8)</w:t>
      </w:r>
      <w:r>
        <w:rPr>
          <w:rtl/>
          <w:lang w:bidi="fa-IR"/>
        </w:rPr>
        <w:t xml:space="preserve"> مَالاً لِأَيْتَامٍ فِي حَجْرِهِ ». </w:t>
      </w:r>
      <w:r w:rsidRPr="00D10E3C">
        <w:rPr>
          <w:rStyle w:val="libFootnotenumChar"/>
          <w:rtl/>
        </w:rPr>
        <w:t>(9)</w:t>
      </w:r>
    </w:p>
    <w:p w:rsidR="00744A1C" w:rsidRDefault="00744A1C" w:rsidP="00594672">
      <w:pPr>
        <w:pStyle w:val="Heading2Center"/>
        <w:rPr>
          <w:lang w:bidi="fa-IR"/>
        </w:rPr>
      </w:pPr>
      <w:bookmarkStart w:id="169" w:name="_Toc49261467"/>
      <w:r>
        <w:rPr>
          <w:rtl/>
          <w:lang w:bidi="fa-IR"/>
        </w:rPr>
        <w:t>46 - بَابُ أَدَاءِ الْأَمَانَةِ‌</w:t>
      </w:r>
      <w:bookmarkEnd w:id="169"/>
    </w:p>
    <w:p w:rsidR="00144FA6" w:rsidRDefault="00744A1C" w:rsidP="00744A1C">
      <w:pPr>
        <w:pStyle w:val="libNormal"/>
        <w:rPr>
          <w:rtl/>
          <w:lang w:bidi="fa-IR"/>
        </w:rPr>
      </w:pPr>
      <w:r>
        <w:rPr>
          <w:rtl/>
          <w:lang w:bidi="fa-IR"/>
        </w:rPr>
        <w:t>8614 / 1. عَلِيُّ بْنُ إِبْرَاهِيمَ ، عَنْ أَبِيهِ ، عَنِ ابْنِ أَبِي عُمَيْرٍ ، عَنِ الْحُسَيْنِ بْنِ مُصْعَبٍ الْهَمْدَانِيِّ ، قَالَ :</w:t>
      </w:r>
    </w:p>
    <w:p w:rsidR="00744A1C" w:rsidRDefault="008E62BD" w:rsidP="008E62BD">
      <w:pPr>
        <w:pStyle w:val="libNormal"/>
        <w:rPr>
          <w:lang w:bidi="fa-IR"/>
        </w:rPr>
      </w:pPr>
      <w:r>
        <w:rPr>
          <w:rFonts w:hint="cs"/>
          <w:rtl/>
          <w:lang w:bidi="fa-IR"/>
        </w:rPr>
        <w:t xml:space="preserve">سَمِعْتُ أَبَا عَبْدِ الله  يَقُولُ : </w:t>
      </w:r>
      <w:r>
        <w:rPr>
          <w:rtl/>
          <w:lang w:bidi="fa-IR"/>
        </w:rPr>
        <w:t>«</w:t>
      </w:r>
      <w:r>
        <w:rPr>
          <w:rFonts w:hint="cs"/>
          <w:rtl/>
          <w:lang w:bidi="fa-IR"/>
        </w:rPr>
        <w:t xml:space="preserve"> ثَلَاثَةٌ </w:t>
      </w:r>
      <w:r w:rsidR="00744A1C" w:rsidRPr="00D10E3C">
        <w:rPr>
          <w:rStyle w:val="libFootnotenumChar"/>
          <w:rtl/>
        </w:rPr>
        <w:t>(10)</w:t>
      </w:r>
      <w:r w:rsidR="00744A1C">
        <w:rPr>
          <w:rtl/>
          <w:lang w:bidi="fa-IR"/>
        </w:rPr>
        <w:t xml:space="preserve"> لَاعُذْرَ لِأَحَدٍ فِيهَا : أَدَاءُ الْأَمَانَةِ إِلَى الْبَرِّ‌</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جن » : « قال » بدون الواو. وفي </w:t>
      </w:r>
      <w:r w:rsidR="00744A1C" w:rsidRPr="008E62BD">
        <w:rPr>
          <w:rtl/>
        </w:rPr>
        <w:t>التهذيب</w:t>
      </w:r>
      <w:r w:rsidR="00744A1C">
        <w:rPr>
          <w:rtl/>
          <w:lang w:bidi="fa-IR"/>
        </w:rPr>
        <w:t xml:space="preserve"> : + « إنّه ».</w:t>
      </w:r>
    </w:p>
    <w:p w:rsidR="00744A1C" w:rsidRDefault="00E378DD" w:rsidP="00E378DD">
      <w:pPr>
        <w:pStyle w:val="libFootnote0"/>
        <w:rPr>
          <w:lang w:bidi="fa-IR"/>
        </w:rPr>
      </w:pPr>
      <w:r>
        <w:rPr>
          <w:rtl/>
          <w:lang w:bidi="fa-IR"/>
        </w:rPr>
        <w:t>(2).</w:t>
      </w:r>
      <w:r w:rsidR="00744A1C">
        <w:rPr>
          <w:rtl/>
          <w:lang w:bidi="fa-IR"/>
        </w:rPr>
        <w:t xml:space="preserve"> هكذا في جميع النسخ التي قوبلت </w:t>
      </w:r>
      <w:r w:rsidR="00744A1C" w:rsidRPr="008E62BD">
        <w:rPr>
          <w:rtl/>
        </w:rPr>
        <w:t>والوسائل والتهذيب</w:t>
      </w:r>
      <w:r w:rsidR="00744A1C">
        <w:rPr>
          <w:rtl/>
          <w:lang w:bidi="fa-IR"/>
        </w:rPr>
        <w:t>. وفي المطبوع : « إن ».</w:t>
      </w:r>
    </w:p>
    <w:tbl>
      <w:tblPr>
        <w:tblStyle w:val="TableGrid"/>
        <w:bidiVisual/>
        <w:tblW w:w="0" w:type="auto"/>
        <w:tblLook w:val="04A0" w:firstRow="1" w:lastRow="0" w:firstColumn="1" w:lastColumn="0" w:noHBand="0" w:noVBand="1"/>
      </w:tblPr>
      <w:tblGrid>
        <w:gridCol w:w="4006"/>
        <w:gridCol w:w="4006"/>
      </w:tblGrid>
      <w:tr w:rsidR="008E62BD" w:rsidTr="008E62BD">
        <w:tc>
          <w:tcPr>
            <w:tcW w:w="4006" w:type="dxa"/>
          </w:tcPr>
          <w:p w:rsidR="008E62BD" w:rsidRDefault="008E62BD" w:rsidP="00E378DD">
            <w:pPr>
              <w:pStyle w:val="libFootnote0"/>
              <w:rPr>
                <w:rtl/>
                <w:lang w:bidi="fa-IR"/>
              </w:rPr>
            </w:pPr>
            <w:r>
              <w:rPr>
                <w:rtl/>
                <w:lang w:bidi="fa-IR"/>
              </w:rPr>
              <w:t>(3). في « ط ، بف » : + « له ».</w:t>
            </w:r>
          </w:p>
        </w:tc>
        <w:tc>
          <w:tcPr>
            <w:tcW w:w="4006" w:type="dxa"/>
          </w:tcPr>
          <w:p w:rsidR="008E62BD" w:rsidRDefault="008E62BD" w:rsidP="00E378DD">
            <w:pPr>
              <w:pStyle w:val="libFootnote0"/>
              <w:rPr>
                <w:rtl/>
                <w:lang w:bidi="fa-IR"/>
              </w:rPr>
            </w:pPr>
            <w:r>
              <w:rPr>
                <w:rtl/>
                <w:lang w:bidi="fa-IR"/>
              </w:rPr>
              <w:t xml:space="preserve">(4). في </w:t>
            </w:r>
            <w:r w:rsidRPr="008E62BD">
              <w:rPr>
                <w:rtl/>
              </w:rPr>
              <w:t>المرآة</w:t>
            </w:r>
            <w:r>
              <w:rPr>
                <w:rtl/>
                <w:lang w:bidi="fa-IR"/>
              </w:rPr>
              <w:t xml:space="preserve"> : - « المال ».</w:t>
            </w:r>
          </w:p>
        </w:tc>
      </w:tr>
    </w:tbl>
    <w:p w:rsidR="00744A1C" w:rsidRDefault="00E378DD" w:rsidP="00E378DD">
      <w:pPr>
        <w:pStyle w:val="libFootnote0"/>
        <w:rPr>
          <w:lang w:bidi="fa-IR"/>
        </w:rPr>
      </w:pPr>
      <w:r>
        <w:rPr>
          <w:rtl/>
          <w:lang w:bidi="fa-IR"/>
        </w:rPr>
        <w:t>(5).</w:t>
      </w:r>
      <w:r w:rsidR="00744A1C">
        <w:rPr>
          <w:rtl/>
          <w:lang w:bidi="fa-IR"/>
        </w:rPr>
        <w:t xml:space="preserve"> في « ط ، بف » : « في يده المال ». وفي حاشية « جن » : « المال بيده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إلى الذي كان في يده ، يمكن حمله على ما إذا كان ثقة يعلم أنّه يو</w:t>
      </w:r>
      <w:r w:rsidR="008E62BD">
        <w:rPr>
          <w:rtl/>
          <w:lang w:bidi="fa-IR"/>
        </w:rPr>
        <w:t>صله إليه ، أو كان وكيلاً ، وإل</w:t>
      </w:r>
      <w:r w:rsidR="008E62BD">
        <w:rPr>
          <w:rFonts w:hint="cs"/>
          <w:rtl/>
          <w:lang w:bidi="fa-IR"/>
        </w:rPr>
        <w:t>ّ</w:t>
      </w:r>
      <w:r w:rsidR="008E62BD">
        <w:rPr>
          <w:rtl/>
          <w:lang w:bidi="fa-IR"/>
        </w:rPr>
        <w:t>ا</w:t>
      </w:r>
      <w:r w:rsidR="00744A1C">
        <w:rPr>
          <w:rtl/>
          <w:lang w:bidi="fa-IR"/>
        </w:rPr>
        <w:t xml:space="preserve"> فيشكل الاكتفاء بإعطائه إلى الوصيّ بعد البلوغ ».</w:t>
      </w:r>
    </w:p>
    <w:p w:rsidR="00744A1C" w:rsidRDefault="00E378DD" w:rsidP="008E62B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342 ، ح 958 ، معلّقاً عن الكليني </w:t>
      </w:r>
      <w:r w:rsidR="008E62BD">
        <w:rPr>
          <w:rFonts w:hint="cs"/>
          <w:rtl/>
          <w:lang w:bidi="fa-IR"/>
        </w:rPr>
        <w:t>.</w:t>
      </w:r>
      <w:r w:rsidR="00744A1C" w:rsidRPr="00C24F9C">
        <w:rPr>
          <w:rStyle w:val="libFootnoteBoldChar"/>
          <w:rtl/>
        </w:rPr>
        <w:t>الوافي</w:t>
      </w:r>
      <w:r w:rsidR="00744A1C">
        <w:rPr>
          <w:rtl/>
          <w:lang w:bidi="fa-IR"/>
        </w:rPr>
        <w:t xml:space="preserve"> ، ج 17 ، ص 319 ، ح 17346 ؛ </w:t>
      </w:r>
      <w:r w:rsidR="00744A1C" w:rsidRPr="00C24F9C">
        <w:rPr>
          <w:rStyle w:val="libFootnoteBoldChar"/>
          <w:rtl/>
        </w:rPr>
        <w:t>الوسائل</w:t>
      </w:r>
      <w:r w:rsidR="00744A1C">
        <w:rPr>
          <w:rtl/>
          <w:lang w:bidi="fa-IR"/>
        </w:rPr>
        <w:t xml:space="preserve"> ، ج 17 ، ص 261 ، ح 22476.</w:t>
      </w:r>
      <w:r w:rsidR="008E62BD">
        <w:rPr>
          <w:rFonts w:hint="cs"/>
          <w:rtl/>
          <w:lang w:bidi="fa-IR"/>
        </w:rPr>
        <w:t xml:space="preserve">           </w:t>
      </w:r>
      <w:r>
        <w:rPr>
          <w:rtl/>
          <w:lang w:bidi="fa-IR"/>
        </w:rPr>
        <w:t>(7).</w:t>
      </w:r>
      <w:r w:rsidR="00744A1C">
        <w:rPr>
          <w:rtl/>
          <w:lang w:bidi="fa-IR"/>
        </w:rPr>
        <w:t xml:space="preserve"> في « ى » : « اليتيم ». وفي « جن » : « أيتام ».</w:t>
      </w:r>
    </w:p>
    <w:p w:rsidR="00744A1C" w:rsidRDefault="00E378DD" w:rsidP="00E378DD">
      <w:pPr>
        <w:pStyle w:val="libFootnote0"/>
        <w:rPr>
          <w:lang w:bidi="fa-IR"/>
        </w:rPr>
      </w:pPr>
      <w:r>
        <w:rPr>
          <w:rtl/>
          <w:lang w:bidi="fa-IR"/>
        </w:rPr>
        <w:t>(8).</w:t>
      </w:r>
      <w:r w:rsidR="00744A1C">
        <w:rPr>
          <w:rtl/>
          <w:lang w:bidi="fa-IR"/>
        </w:rPr>
        <w:t xml:space="preserve"> في « جن » وحاشية « بح ، جت » </w:t>
      </w:r>
      <w:r w:rsidR="00744A1C" w:rsidRPr="008E62BD">
        <w:rPr>
          <w:rtl/>
        </w:rPr>
        <w:t>والتهذيب</w:t>
      </w:r>
      <w:r w:rsidR="00744A1C">
        <w:rPr>
          <w:rtl/>
          <w:lang w:bidi="fa-IR"/>
        </w:rPr>
        <w:t xml:space="preserve"> : « يستقرض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341 ، ح 953 ، معلّقاً عن الحسن بن محبوب ، مع زيادة في آخره </w:t>
      </w:r>
      <w:r w:rsidR="008E62BD">
        <w:rPr>
          <w:rFonts w:hint="cs"/>
          <w:rtl/>
          <w:lang w:bidi="fa-IR"/>
        </w:rPr>
        <w:t>.</w:t>
      </w:r>
      <w:r w:rsidR="00744A1C" w:rsidRPr="00C24F9C">
        <w:rPr>
          <w:rStyle w:val="libFootnoteBoldChar"/>
          <w:rtl/>
        </w:rPr>
        <w:t>الوافي</w:t>
      </w:r>
      <w:r w:rsidR="00744A1C">
        <w:rPr>
          <w:rtl/>
          <w:lang w:bidi="fa-IR"/>
        </w:rPr>
        <w:t xml:space="preserve"> ، ج 17 ، ص 319 ، ح 17346 ؛ </w:t>
      </w:r>
      <w:r w:rsidR="00744A1C" w:rsidRPr="00C24F9C">
        <w:rPr>
          <w:rStyle w:val="libFootnoteBoldChar"/>
          <w:rtl/>
        </w:rPr>
        <w:t>الوسائل</w:t>
      </w:r>
      <w:r w:rsidR="00744A1C">
        <w:rPr>
          <w:rtl/>
          <w:lang w:bidi="fa-IR"/>
        </w:rPr>
        <w:t xml:space="preserve"> ، ج 17 ، ص 258 ، ذيل ح 22471.</w:t>
      </w:r>
    </w:p>
    <w:p w:rsidR="00744A1C" w:rsidRDefault="00E378DD" w:rsidP="00E378DD">
      <w:pPr>
        <w:pStyle w:val="libFootnote0"/>
        <w:rPr>
          <w:lang w:bidi="fa-IR"/>
        </w:rPr>
      </w:pPr>
      <w:r>
        <w:rPr>
          <w:rtl/>
          <w:lang w:bidi="fa-IR"/>
        </w:rPr>
        <w:t>(10).</w:t>
      </w:r>
      <w:r w:rsidR="00744A1C">
        <w:rPr>
          <w:rtl/>
          <w:lang w:bidi="fa-IR"/>
        </w:rPr>
        <w:t xml:space="preserve"> في « بح ، بس » وحاشية « جت » : « ثلاث ».</w:t>
      </w:r>
    </w:p>
    <w:p w:rsidR="006D42F6" w:rsidRDefault="006D42F6" w:rsidP="00D10E3C">
      <w:pPr>
        <w:pStyle w:val="libNormal"/>
        <w:rPr>
          <w:rtl/>
          <w:lang w:bidi="fa-IR"/>
        </w:rPr>
      </w:pPr>
      <w:r>
        <w:rPr>
          <w:rtl/>
          <w:lang w:bidi="fa-IR"/>
        </w:rPr>
        <w:br w:type="page"/>
      </w:r>
    </w:p>
    <w:p w:rsidR="00144FA6" w:rsidRDefault="00744A1C" w:rsidP="008E62BD">
      <w:pPr>
        <w:pStyle w:val="libNormal0"/>
        <w:rPr>
          <w:rtl/>
          <w:lang w:bidi="fa-IR"/>
        </w:rPr>
      </w:pPr>
      <w:r>
        <w:rPr>
          <w:rtl/>
          <w:lang w:bidi="fa-IR"/>
        </w:rPr>
        <w:t xml:space="preserve">وَالْفَاجِرِ ، وَالْوَفَاءُ بِالْعَهْدِ إِلَى الْبَرِّ وَالْفَاجِرِ ، وَبِرُّ الْوَالِدَيْنِ ، بَرَّيْنِ كَانَا أَوْ فَاجِرَيْنِ ». </w:t>
      </w:r>
      <w:r w:rsidRPr="00D10E3C">
        <w:rPr>
          <w:rStyle w:val="libFootnotenumChar"/>
          <w:rtl/>
        </w:rPr>
        <w:t>(1)</w:t>
      </w:r>
    </w:p>
    <w:p w:rsidR="00144FA6" w:rsidRDefault="00744A1C" w:rsidP="00744A1C">
      <w:pPr>
        <w:pStyle w:val="libNormal"/>
        <w:rPr>
          <w:rtl/>
          <w:lang w:bidi="fa-IR"/>
        </w:rPr>
      </w:pPr>
      <w:r>
        <w:rPr>
          <w:rtl/>
          <w:lang w:bidi="fa-IR"/>
        </w:rPr>
        <w:t xml:space="preserve">8615 / 2. عِدَّةٌ مِنْ أَصْحَابِنَا ، عَنْ أَحْمَدَ بْنِ مُحَمَّدٍ ، عَنْ عَلِيِّ بْنِ الْحَكَمِ ، عَنِ ابْنِ بُكَيْرٍ </w:t>
      </w:r>
      <w:r w:rsidRPr="00D10E3C">
        <w:rPr>
          <w:rStyle w:val="libFootnotenumChar"/>
          <w:rtl/>
        </w:rPr>
        <w:t>(2)</w:t>
      </w:r>
      <w:r>
        <w:rPr>
          <w:rtl/>
          <w:lang w:bidi="fa-IR"/>
        </w:rPr>
        <w:t xml:space="preserve"> ، عَنِ الْحُسَيْنِ الشَّيْبَانِيِّ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قُلْتُ لَهُ </w:t>
      </w:r>
      <w:r w:rsidRPr="00D10E3C">
        <w:rPr>
          <w:rStyle w:val="libFootnotenumChar"/>
          <w:rtl/>
        </w:rPr>
        <w:t>(3)</w:t>
      </w:r>
      <w:r>
        <w:rPr>
          <w:rtl/>
          <w:lang w:bidi="fa-IR"/>
        </w:rPr>
        <w:t xml:space="preserve"> : رَجُلٌ </w:t>
      </w:r>
      <w:r w:rsidRPr="00D10E3C">
        <w:rPr>
          <w:rStyle w:val="libFootnotenumChar"/>
          <w:rtl/>
        </w:rPr>
        <w:t>(4)</w:t>
      </w:r>
      <w:r>
        <w:rPr>
          <w:rtl/>
          <w:lang w:bidi="fa-IR"/>
        </w:rPr>
        <w:t xml:space="preserve"> مِنْ مَوَالِيكَ يَسْتَحِلُّ مَالَ بَنِي أُمَيَّةَ وَدِمَاءَهُمْ ، وَإِنَّهُ وَقَعَ لَهُمْ عِنْدَهُ وَدِيعَةٌ.</w:t>
      </w:r>
    </w:p>
    <w:p w:rsidR="00144FA6" w:rsidRDefault="00744A1C" w:rsidP="00744A1C">
      <w:pPr>
        <w:pStyle w:val="libNormal"/>
        <w:rPr>
          <w:rtl/>
          <w:lang w:bidi="fa-IR"/>
        </w:rPr>
      </w:pPr>
      <w:r>
        <w:rPr>
          <w:rtl/>
          <w:lang w:bidi="fa-IR"/>
        </w:rPr>
        <w:t xml:space="preserve">فَقَالَ : « أَدُّوا الْأَمَانَاتِ إِلى أَهْلِهَا وَإِنْ كَانُوا مَجُوسَاً </w:t>
      </w:r>
      <w:r w:rsidRPr="00D10E3C">
        <w:rPr>
          <w:rStyle w:val="libFootnotenumChar"/>
          <w:rtl/>
        </w:rPr>
        <w:t>(5)</w:t>
      </w:r>
      <w:r>
        <w:rPr>
          <w:rtl/>
          <w:lang w:bidi="fa-IR"/>
        </w:rPr>
        <w:t xml:space="preserve"> ؛ فَإِنَّ ذلِكَ لَايَكُونُ حَتّى يَقُومَ قَائِمُنَا </w:t>
      </w:r>
      <w:r w:rsidRPr="00D10E3C">
        <w:rPr>
          <w:rStyle w:val="libFootnotenumChar"/>
          <w:rtl/>
        </w:rPr>
        <w:t>(6)</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 فَيُحِلَّ وَيُحَرِّمَ </w:t>
      </w:r>
      <w:r w:rsidRPr="00D10E3C">
        <w:rPr>
          <w:rStyle w:val="libFootnotenumChar"/>
          <w:rtl/>
        </w:rPr>
        <w:t>(7)</w:t>
      </w:r>
      <w:r>
        <w:rPr>
          <w:rtl/>
          <w:lang w:bidi="fa-IR"/>
        </w:rPr>
        <w:t xml:space="preserve"> ». </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8E62BD">
        <w:rPr>
          <w:rStyle w:val="libFootnoteBoldChar"/>
          <w:rtl/>
        </w:rPr>
        <w:t>الخصال</w:t>
      </w:r>
      <w:r w:rsidR="00744A1C">
        <w:rPr>
          <w:rtl/>
          <w:lang w:bidi="fa-IR"/>
        </w:rPr>
        <w:t xml:space="preserve"> ، ص 123 ، باب الثلاثة ، ح 118 ، بسنده عن محمّد بن أبي عمير ؛ </w:t>
      </w:r>
      <w:r w:rsidR="00744A1C" w:rsidRPr="00C24F9C">
        <w:rPr>
          <w:rStyle w:val="libFootnoteBoldChar"/>
          <w:rtl/>
        </w:rPr>
        <w:t>التهذيب</w:t>
      </w:r>
      <w:r w:rsidR="00744A1C">
        <w:rPr>
          <w:rtl/>
          <w:lang w:bidi="fa-IR"/>
        </w:rPr>
        <w:t xml:space="preserve"> ، ج 6 ، ص 350 ، ح 988 ، معلّقاً عن ابن أبي عمير. </w:t>
      </w:r>
      <w:r w:rsidR="00744A1C" w:rsidRPr="008E62BD">
        <w:rPr>
          <w:rStyle w:val="libFootnoteBoldChar"/>
          <w:rtl/>
        </w:rPr>
        <w:t>الخصال</w:t>
      </w:r>
      <w:r w:rsidR="00744A1C">
        <w:rPr>
          <w:rtl/>
          <w:lang w:bidi="fa-IR"/>
        </w:rPr>
        <w:t xml:space="preserve"> ، ص 128 ، باب الثلاثة ، ح 129 ، بسند آخر. </w:t>
      </w:r>
      <w:r w:rsidR="00744A1C" w:rsidRPr="0061079A">
        <w:rPr>
          <w:rStyle w:val="libFootnoteBoldChar"/>
          <w:rtl/>
        </w:rPr>
        <w:t>الكافي</w:t>
      </w:r>
      <w:r w:rsidR="00744A1C">
        <w:rPr>
          <w:rtl/>
          <w:lang w:bidi="fa-IR"/>
        </w:rPr>
        <w:t xml:space="preserve"> ، كتاب الإيمان والكفر ، باب البرّ بالوالدين ، ح 2021 ، بسند آخر عن أبي جعفر </w:t>
      </w:r>
      <w:r w:rsidR="0061079A" w:rsidRPr="0061079A">
        <w:rPr>
          <w:rStyle w:val="libFootnoteAlaemChar"/>
          <w:rtl/>
        </w:rPr>
        <w:t>عليه‌السلام</w:t>
      </w:r>
      <w:r w:rsidR="00744A1C">
        <w:rPr>
          <w:rtl/>
          <w:lang w:bidi="fa-IR"/>
        </w:rPr>
        <w:t xml:space="preserve"> . </w:t>
      </w:r>
      <w:r w:rsidR="00744A1C" w:rsidRPr="007D61A8">
        <w:rPr>
          <w:rStyle w:val="libFootnoteBoldChar"/>
          <w:rtl/>
        </w:rPr>
        <w:t>تحف العقول</w:t>
      </w:r>
      <w:r w:rsidR="00744A1C">
        <w:rPr>
          <w:rtl/>
          <w:lang w:bidi="fa-IR"/>
        </w:rPr>
        <w:t xml:space="preserve"> ، ص 367 ، وفي كلّ المصادر مع اختلاف يسير </w:t>
      </w:r>
      <w:r w:rsidR="008E62BD">
        <w:rPr>
          <w:rFonts w:hint="cs"/>
          <w:rtl/>
          <w:lang w:bidi="fa-IR"/>
        </w:rPr>
        <w:t>.</w:t>
      </w:r>
      <w:r w:rsidR="00744A1C" w:rsidRPr="00C24F9C">
        <w:rPr>
          <w:rStyle w:val="libFootnoteBoldChar"/>
          <w:rtl/>
        </w:rPr>
        <w:t>الوافي</w:t>
      </w:r>
      <w:r w:rsidR="00744A1C">
        <w:rPr>
          <w:rtl/>
          <w:lang w:bidi="fa-IR"/>
        </w:rPr>
        <w:t xml:space="preserve"> ، ج 4 ، ص 432 ، ح 2271 ؛ </w:t>
      </w:r>
      <w:r w:rsidR="00744A1C" w:rsidRPr="00C24F9C">
        <w:rPr>
          <w:rStyle w:val="libFootnoteBoldChar"/>
          <w:rtl/>
        </w:rPr>
        <w:t>الوسائل</w:t>
      </w:r>
      <w:r w:rsidR="00744A1C">
        <w:rPr>
          <w:rtl/>
          <w:lang w:bidi="fa-IR"/>
        </w:rPr>
        <w:t xml:space="preserve"> ، ج 19 ، ص 71 ، ح 24176.</w:t>
      </w:r>
    </w:p>
    <w:p w:rsidR="00744A1C" w:rsidRDefault="00E378DD" w:rsidP="00E378DD">
      <w:pPr>
        <w:pStyle w:val="libFootnote0"/>
        <w:rPr>
          <w:lang w:bidi="fa-IR"/>
        </w:rPr>
      </w:pPr>
      <w:r>
        <w:rPr>
          <w:rtl/>
          <w:lang w:bidi="fa-IR"/>
        </w:rPr>
        <w:t>(2).</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6 ، ص 351 ، ح 993 ، عن أحمد بن محمّد عن عليّ بن الحكم عن ابن بكر ، وفي بعض نسخه « ابن بكير » وهو الظاهر ؛ فقد روى عليّ بن الحكم عن [ عبد الله ] بن بكير في عدّة من الأسناد. راجع : </w:t>
      </w:r>
      <w:r w:rsidR="00744A1C" w:rsidRPr="0061079A">
        <w:rPr>
          <w:rStyle w:val="libFootnoteBoldChar"/>
          <w:rtl/>
        </w:rPr>
        <w:t>معجم رجال الحديث</w:t>
      </w:r>
      <w:r w:rsidR="00744A1C">
        <w:rPr>
          <w:rtl/>
          <w:lang w:bidi="fa-IR"/>
        </w:rPr>
        <w:t xml:space="preserve"> ، ج 11 ، ص 585 ، وص 603.</w:t>
      </w:r>
    </w:p>
    <w:p w:rsidR="00744A1C" w:rsidRDefault="00E378DD" w:rsidP="00E378DD">
      <w:pPr>
        <w:pStyle w:val="libFootnote0"/>
        <w:rPr>
          <w:lang w:bidi="fa-IR"/>
        </w:rPr>
      </w:pPr>
      <w:r>
        <w:rPr>
          <w:rtl/>
          <w:lang w:bidi="fa-IR"/>
        </w:rPr>
        <w:t>(3).</w:t>
      </w:r>
      <w:r w:rsidR="00744A1C">
        <w:rPr>
          <w:rtl/>
          <w:lang w:bidi="fa-IR"/>
        </w:rPr>
        <w:t xml:space="preserve"> في « ط » : « إنّ ». وفي « بخ ، بف » </w:t>
      </w:r>
      <w:r w:rsidR="00744A1C" w:rsidRPr="008E62BD">
        <w:rPr>
          <w:rtl/>
        </w:rPr>
        <w:t>والوافي والتهذيب</w:t>
      </w:r>
      <w:r w:rsidR="00744A1C">
        <w:rPr>
          <w:rtl/>
          <w:lang w:bidi="fa-IR"/>
        </w:rPr>
        <w:t xml:space="preserve"> : + « إنّ ».</w:t>
      </w:r>
    </w:p>
    <w:p w:rsidR="00744A1C" w:rsidRDefault="00E378DD" w:rsidP="00E378DD">
      <w:pPr>
        <w:pStyle w:val="libFootnote0"/>
        <w:rPr>
          <w:lang w:bidi="fa-IR"/>
        </w:rPr>
      </w:pPr>
      <w:r>
        <w:rPr>
          <w:rtl/>
          <w:lang w:bidi="fa-IR"/>
        </w:rPr>
        <w:t>(4).</w:t>
      </w:r>
      <w:r w:rsidR="00744A1C">
        <w:rPr>
          <w:rtl/>
          <w:lang w:bidi="fa-IR"/>
        </w:rPr>
        <w:t xml:space="preserve"> في « ط ، بخ ، بف » </w:t>
      </w:r>
      <w:r w:rsidR="00744A1C" w:rsidRPr="008E62BD">
        <w:rPr>
          <w:rtl/>
        </w:rPr>
        <w:t>والوافي والتهذيب</w:t>
      </w:r>
      <w:r w:rsidR="00744A1C">
        <w:rPr>
          <w:rtl/>
          <w:lang w:bidi="fa-IR"/>
        </w:rPr>
        <w:t xml:space="preserve"> : « رجلاً ».</w:t>
      </w:r>
    </w:p>
    <w:p w:rsidR="00744A1C" w:rsidRDefault="00E378DD" w:rsidP="00E378DD">
      <w:pPr>
        <w:pStyle w:val="libFootnote0"/>
        <w:rPr>
          <w:lang w:bidi="fa-IR"/>
        </w:rPr>
      </w:pPr>
      <w:r>
        <w:rPr>
          <w:rtl/>
          <w:lang w:bidi="fa-IR"/>
        </w:rPr>
        <w:t>(5).</w:t>
      </w:r>
      <w:r w:rsidR="00744A1C">
        <w:rPr>
          <w:rtl/>
          <w:lang w:bidi="fa-IR"/>
        </w:rPr>
        <w:t xml:space="preserve"> هكذا في جميع النسخ التي قوبلت </w:t>
      </w:r>
      <w:r w:rsidR="00744A1C" w:rsidRPr="008E62BD">
        <w:rPr>
          <w:rtl/>
        </w:rPr>
        <w:t>والوافي والوسائل والتهذيب</w:t>
      </w:r>
      <w:r w:rsidR="00744A1C">
        <w:rPr>
          <w:rtl/>
          <w:lang w:bidi="fa-IR"/>
        </w:rPr>
        <w:t>. وفي المطبوع : « مجوسيّاً ». والمجوس : هم‌القائلون بالأصلين ، يسمّون أحدهما النور ، وبالفارسيّة يزدان ، والآخر الظلمة ، وبالفارسيّة أهرمن ، يزعمون أنّ الخير والنفع والصلاح من النور ، والشرّ والضرّ والفساد من الظلمة. وعن ابن سيده : « هو معرّب ، أصله : مِنْج كُوش ، وكان رجلاً صغير الا</w:t>
      </w:r>
      <w:r w:rsidR="008E62BD">
        <w:rPr>
          <w:rFonts w:hint="cs"/>
          <w:rtl/>
          <w:lang w:bidi="fa-IR"/>
        </w:rPr>
        <w:t>ُ</w:t>
      </w:r>
      <w:r w:rsidR="00744A1C">
        <w:rPr>
          <w:rtl/>
          <w:lang w:bidi="fa-IR"/>
        </w:rPr>
        <w:t xml:space="preserve">ذنين ، كان أوّل من دان بدين المجوس ودعا الناس إليه ، فعرّبته العرب فقال : مجوس ، ونزل القرآن به ». راجع : الملل والنحل للشهرستاني ، ج 1 ، ص 232 وما بعدها ؛ </w:t>
      </w:r>
      <w:r w:rsidR="00744A1C" w:rsidRPr="00877682">
        <w:rPr>
          <w:rStyle w:val="libFootnoteBoldChar"/>
          <w:rtl/>
        </w:rPr>
        <w:t>النهاية</w:t>
      </w:r>
      <w:r w:rsidR="00744A1C">
        <w:rPr>
          <w:rtl/>
          <w:lang w:bidi="fa-IR"/>
        </w:rPr>
        <w:t xml:space="preserve"> ، ج 4 ، ص 299 ؛ </w:t>
      </w:r>
      <w:r w:rsidR="00744A1C" w:rsidRPr="00877682">
        <w:rPr>
          <w:rStyle w:val="libFootnoteBoldChar"/>
          <w:rtl/>
        </w:rPr>
        <w:t>لسان العرب</w:t>
      </w:r>
      <w:r w:rsidR="00744A1C">
        <w:rPr>
          <w:rtl/>
          <w:lang w:bidi="fa-IR"/>
        </w:rPr>
        <w:t xml:space="preserve"> ، ج 6 ، ص 215 ( مجس ).</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8E62BD">
        <w:rPr>
          <w:rtl/>
        </w:rPr>
        <w:t>والوافي والوسائل والتهذيب</w:t>
      </w:r>
      <w:r w:rsidR="00744A1C">
        <w:rPr>
          <w:rtl/>
          <w:lang w:bidi="fa-IR"/>
        </w:rPr>
        <w:t>. وفي المطبوع : + « أهل البيت ».</w:t>
      </w:r>
    </w:p>
    <w:p w:rsidR="00744A1C" w:rsidRDefault="00E378DD" w:rsidP="00E378DD">
      <w:pPr>
        <w:pStyle w:val="libFootnote0"/>
        <w:rPr>
          <w:lang w:bidi="fa-IR"/>
        </w:rPr>
      </w:pPr>
      <w:r>
        <w:rPr>
          <w:rtl/>
          <w:lang w:bidi="fa-IR"/>
        </w:rPr>
        <w:t>(7).</w:t>
      </w:r>
      <w:r w:rsidR="00744A1C">
        <w:rPr>
          <w:rtl/>
          <w:lang w:bidi="fa-IR"/>
        </w:rPr>
        <w:t xml:space="preserve"> في « ط » : + « على مولانا السلام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351 ، ح 993 ، معلّقاً عن أحمد بن محمّد ، عن عليّ بن الحكم ، عن ابن بكر ، عن الحسين الشيباني </w:t>
      </w:r>
      <w:r w:rsidR="009D3F47">
        <w:rPr>
          <w:rFonts w:hint="cs"/>
          <w:rtl/>
          <w:lang w:bidi="fa-IR"/>
        </w:rPr>
        <w:t>.</w:t>
      </w:r>
      <w:r w:rsidR="00744A1C" w:rsidRPr="00C24F9C">
        <w:rPr>
          <w:rStyle w:val="libFootnoteBoldChar"/>
          <w:rtl/>
        </w:rPr>
        <w:t>الوافي</w:t>
      </w:r>
      <w:r w:rsidR="00744A1C">
        <w:rPr>
          <w:rtl/>
          <w:lang w:bidi="fa-IR"/>
        </w:rPr>
        <w:t xml:space="preserve"> ، ج 18 ، ص 822 ، ح 18370 ؛ </w:t>
      </w:r>
      <w:r w:rsidR="00744A1C" w:rsidRPr="00C24F9C">
        <w:rPr>
          <w:rStyle w:val="libFootnoteBoldChar"/>
          <w:rtl/>
        </w:rPr>
        <w:t>الوسائل</w:t>
      </w:r>
      <w:r w:rsidR="00744A1C">
        <w:rPr>
          <w:rtl/>
          <w:lang w:bidi="fa-IR"/>
        </w:rPr>
        <w:t xml:space="preserve"> ، ج 19 ، ص 73 ، ح 24180.</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8616 / 3. عِدَّةٌ مِنْ أَصْحَابِنَا ، عَنْ أَحْمَدَ بْنِ مُحَمَّدِ بْنِ خَالِدٍ </w:t>
      </w:r>
      <w:r w:rsidRPr="00D10E3C">
        <w:rPr>
          <w:rStyle w:val="libFootnotenumChar"/>
          <w:rtl/>
        </w:rPr>
        <w:t>(1)</w:t>
      </w:r>
      <w:r>
        <w:rPr>
          <w:rtl/>
          <w:lang w:bidi="fa-IR"/>
        </w:rPr>
        <w:t xml:space="preserve"> ، عَنِ الْقَاسِمِ بْنِ يَحْيى ، عَنْ جَدِّهِ الْحَسَنِ بْنِ رَاشِدٍ ، عَنْ مُحَمَّدِ بْنِ مُسْلِمٍ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صَلَوَاتُ اللهِ عَلَيْهِ : أَدُّوا الْأَمَانَةَ </w:t>
      </w:r>
      <w:r w:rsidRPr="00D10E3C">
        <w:rPr>
          <w:rStyle w:val="libFootnotenumChar"/>
          <w:rtl/>
        </w:rPr>
        <w:t>(2)</w:t>
      </w:r>
      <w:r>
        <w:rPr>
          <w:rtl/>
          <w:lang w:bidi="fa-IR"/>
        </w:rPr>
        <w:t xml:space="preserve"> وَلَوْ </w:t>
      </w:r>
      <w:r w:rsidRPr="00D10E3C">
        <w:rPr>
          <w:rStyle w:val="libFootnotenumChar"/>
          <w:rtl/>
        </w:rPr>
        <w:t>(3)</w:t>
      </w:r>
      <w:r>
        <w:rPr>
          <w:rtl/>
          <w:lang w:bidi="fa-IR"/>
        </w:rPr>
        <w:t xml:space="preserve"> إِلى قَاتِلِ وُلْدِ </w:t>
      </w:r>
      <w:r w:rsidRPr="00D10E3C">
        <w:rPr>
          <w:rStyle w:val="libFootnotenumChar"/>
          <w:rtl/>
        </w:rPr>
        <w:t>(4)</w:t>
      </w:r>
      <w:r>
        <w:rPr>
          <w:rtl/>
          <w:lang w:bidi="fa-IR"/>
        </w:rPr>
        <w:t xml:space="preserve"> الْأَنْبِيَاءِ ». </w:t>
      </w:r>
      <w:r w:rsidRPr="00D10E3C">
        <w:rPr>
          <w:rStyle w:val="libFootnotenumChar"/>
          <w:rtl/>
        </w:rPr>
        <w:t>(5)</w:t>
      </w:r>
    </w:p>
    <w:p w:rsidR="00144FA6" w:rsidRDefault="00744A1C" w:rsidP="00744A1C">
      <w:pPr>
        <w:pStyle w:val="libNormal"/>
        <w:rPr>
          <w:rtl/>
          <w:lang w:bidi="fa-IR"/>
        </w:rPr>
      </w:pPr>
      <w:r>
        <w:rPr>
          <w:rtl/>
          <w:lang w:bidi="fa-IR"/>
        </w:rPr>
        <w:t>8617 / 4. عَلِيُّ بْنُ إِبْرَاهِيمَ ، عَنْ أَبِيهِ ، عَنْ إِسْمَاعِيلَ بْنِ مَرَّارٍ ، عَنْ يُونُسَ ، عَنْ عُمَرَ بْنِ أَبِي حَفْصٍ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 xml:space="preserve">يَقُولُ : « اتَّقُوا اللهَ ، وَعَلَيْكُمْ بِأَدَاءِ الْأَمَانَةِ إِلى مَنِ ائْتَمَنَكُمْ ، وَلَوْ </w:t>
      </w:r>
      <w:r w:rsidRPr="00D10E3C">
        <w:rPr>
          <w:rStyle w:val="libFootnotenumChar"/>
          <w:rtl/>
        </w:rPr>
        <w:t>(6)</w:t>
      </w:r>
      <w:r>
        <w:rPr>
          <w:rtl/>
          <w:lang w:bidi="fa-IR"/>
        </w:rPr>
        <w:t xml:space="preserve"> أَنَّ قَاتِلَ عَلِيِّ بْنِ أَبِي طَالِبٍ </w:t>
      </w:r>
      <w:r w:rsidRPr="00D10E3C">
        <w:rPr>
          <w:rStyle w:val="libFootnotenumChar"/>
          <w:rtl/>
        </w:rPr>
        <w:t>(7)</w:t>
      </w:r>
      <w:r>
        <w:rPr>
          <w:rtl/>
          <w:lang w:bidi="fa-IR"/>
        </w:rPr>
        <w:t xml:space="preserve"> </w:t>
      </w:r>
      <w:r w:rsidR="0061079A" w:rsidRPr="0061079A">
        <w:rPr>
          <w:rStyle w:val="libAlaemChar"/>
          <w:rtl/>
        </w:rPr>
        <w:t>عليه‌السلام</w:t>
      </w:r>
      <w:r w:rsidR="00D10E3C">
        <w:rPr>
          <w:rtl/>
          <w:lang w:bidi="fa-IR"/>
        </w:rPr>
        <w:t xml:space="preserve"> </w:t>
      </w:r>
      <w:r>
        <w:rPr>
          <w:rtl/>
          <w:lang w:bidi="fa-IR"/>
        </w:rPr>
        <w:t xml:space="preserve">ائْتَمَنَنِي عَلى أَمَانَةٍ </w:t>
      </w:r>
      <w:r w:rsidRPr="00D10E3C">
        <w:rPr>
          <w:rStyle w:val="libFootnotenumChar"/>
          <w:rtl/>
        </w:rPr>
        <w:t>(8)</w:t>
      </w:r>
      <w:r>
        <w:rPr>
          <w:rtl/>
          <w:lang w:bidi="fa-IR"/>
        </w:rPr>
        <w:t xml:space="preserve"> ، لَأَدَّيْتُهَا إِلَيْهِ ». </w:t>
      </w:r>
      <w:r w:rsidRPr="00D10E3C">
        <w:rPr>
          <w:rStyle w:val="libFootnotenumChar"/>
          <w:rtl/>
        </w:rPr>
        <w:t>(9)</w:t>
      </w:r>
    </w:p>
    <w:p w:rsidR="00144FA6" w:rsidRDefault="00744A1C" w:rsidP="00744A1C">
      <w:pPr>
        <w:pStyle w:val="libNormal"/>
        <w:rPr>
          <w:rtl/>
          <w:lang w:bidi="fa-IR"/>
        </w:rPr>
      </w:pPr>
      <w:r>
        <w:rPr>
          <w:rtl/>
          <w:lang w:bidi="fa-IR"/>
        </w:rPr>
        <w:t xml:space="preserve">8618 / 5. مُحَمَّدُ بْنُ يَحْيى ، عَنْ أَحْمَدَ بْنِ مُحَمَّدٍ ، عَنْ مُحَمَّدِ </w:t>
      </w:r>
      <w:r w:rsidRPr="00D10E3C">
        <w:rPr>
          <w:rStyle w:val="libFootnotenumChar"/>
          <w:rtl/>
        </w:rPr>
        <w:t>(10)</w:t>
      </w:r>
      <w:r>
        <w:rPr>
          <w:rtl/>
          <w:lang w:bidi="fa-IR"/>
        </w:rPr>
        <w:t xml:space="preserve"> بْنِ سِنَانٍ ، عَنْ عَمَّارِ بْنِ مَرْوَانَ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أحمد بن أبي عبد الله ». والمراد من كلا العنوانين واحد.</w:t>
      </w:r>
    </w:p>
    <w:p w:rsidR="00744A1C" w:rsidRDefault="00E378DD" w:rsidP="00E378DD">
      <w:pPr>
        <w:pStyle w:val="libFootnote0"/>
        <w:rPr>
          <w:lang w:bidi="fa-IR"/>
        </w:rPr>
      </w:pPr>
      <w:r>
        <w:rPr>
          <w:rtl/>
          <w:lang w:bidi="fa-IR"/>
        </w:rPr>
        <w:t>(2).</w:t>
      </w:r>
      <w:r w:rsidR="00744A1C">
        <w:rPr>
          <w:rtl/>
          <w:lang w:bidi="fa-IR"/>
        </w:rPr>
        <w:t xml:space="preserve"> في « ى ، بح ، بس ، جن » وحاشية « جت » : « الأمانات ».</w:t>
      </w:r>
    </w:p>
    <w:tbl>
      <w:tblPr>
        <w:tblStyle w:val="TableGrid"/>
        <w:bidiVisual/>
        <w:tblW w:w="0" w:type="auto"/>
        <w:tblLook w:val="04A0" w:firstRow="1" w:lastRow="0" w:firstColumn="1" w:lastColumn="0" w:noHBand="0" w:noVBand="1"/>
      </w:tblPr>
      <w:tblGrid>
        <w:gridCol w:w="4006"/>
        <w:gridCol w:w="4006"/>
      </w:tblGrid>
      <w:tr w:rsidR="009D3F47" w:rsidTr="009D3F47">
        <w:tc>
          <w:tcPr>
            <w:tcW w:w="4006" w:type="dxa"/>
          </w:tcPr>
          <w:p w:rsidR="009D3F47" w:rsidRDefault="009D3F47" w:rsidP="00E378DD">
            <w:pPr>
              <w:pStyle w:val="libFootnote0"/>
              <w:rPr>
                <w:rtl/>
                <w:lang w:bidi="fa-IR"/>
              </w:rPr>
            </w:pPr>
            <w:r>
              <w:rPr>
                <w:rtl/>
                <w:lang w:bidi="fa-IR"/>
              </w:rPr>
              <w:t xml:space="preserve">(3). في </w:t>
            </w:r>
            <w:r w:rsidRPr="009D3F47">
              <w:rPr>
                <w:rtl/>
              </w:rPr>
              <w:t>الوافي</w:t>
            </w:r>
            <w:r>
              <w:rPr>
                <w:rtl/>
                <w:lang w:bidi="fa-IR"/>
              </w:rPr>
              <w:t xml:space="preserve"> : « فلو ».</w:t>
            </w:r>
          </w:p>
        </w:tc>
        <w:tc>
          <w:tcPr>
            <w:tcW w:w="4006" w:type="dxa"/>
          </w:tcPr>
          <w:p w:rsidR="009D3F47" w:rsidRDefault="009D3F47" w:rsidP="00E378DD">
            <w:pPr>
              <w:pStyle w:val="libFootnote0"/>
              <w:rPr>
                <w:rtl/>
                <w:lang w:bidi="fa-IR"/>
              </w:rPr>
            </w:pPr>
            <w:r>
              <w:rPr>
                <w:rtl/>
                <w:lang w:bidi="fa-IR"/>
              </w:rPr>
              <w:t>(4). في « بح ، جن » وحاشية « جت » : « أولاد ».</w:t>
            </w:r>
          </w:p>
        </w:tc>
      </w:tr>
    </w:tbl>
    <w:p w:rsidR="00744A1C" w:rsidRDefault="00E378DD" w:rsidP="00E378DD">
      <w:pPr>
        <w:pStyle w:val="libFootnote0"/>
        <w:rPr>
          <w:lang w:bidi="fa-IR"/>
        </w:rPr>
      </w:pPr>
      <w:r>
        <w:rPr>
          <w:rtl/>
          <w:lang w:bidi="fa-IR"/>
        </w:rPr>
        <w:t>(5).</w:t>
      </w:r>
      <w:r w:rsidR="00744A1C">
        <w:rPr>
          <w:rtl/>
          <w:lang w:bidi="fa-IR"/>
        </w:rPr>
        <w:t xml:space="preserve"> </w:t>
      </w:r>
      <w:r w:rsidR="00744A1C" w:rsidRPr="007D61A8">
        <w:rPr>
          <w:rStyle w:val="libFootnoteBoldChar"/>
          <w:rtl/>
        </w:rPr>
        <w:t>تحف العقول</w:t>
      </w:r>
      <w:r w:rsidR="00744A1C">
        <w:rPr>
          <w:rtl/>
          <w:lang w:bidi="fa-IR"/>
        </w:rPr>
        <w:t xml:space="preserve"> ، ص 217 ، عن أمير المؤمنين </w:t>
      </w:r>
      <w:r w:rsidR="0061079A" w:rsidRPr="0061079A">
        <w:rPr>
          <w:rStyle w:val="libFootnoteAlaemChar"/>
          <w:rtl/>
        </w:rPr>
        <w:t>عليه‌السلام</w:t>
      </w:r>
      <w:r w:rsidR="00D10E3C">
        <w:rPr>
          <w:rtl/>
          <w:lang w:bidi="fa-IR"/>
        </w:rPr>
        <w:t xml:space="preserve"> </w:t>
      </w:r>
      <w:r w:rsidR="009D3F47">
        <w:rPr>
          <w:rFonts w:hint="cs"/>
          <w:rtl/>
          <w:lang w:bidi="fa-IR"/>
        </w:rPr>
        <w:t>.</w:t>
      </w:r>
      <w:r w:rsidR="00744A1C" w:rsidRPr="00C24F9C">
        <w:rPr>
          <w:rStyle w:val="libFootnoteBoldChar"/>
          <w:rtl/>
        </w:rPr>
        <w:t>الوافي</w:t>
      </w:r>
      <w:r w:rsidR="00744A1C">
        <w:rPr>
          <w:rtl/>
          <w:lang w:bidi="fa-IR"/>
        </w:rPr>
        <w:t xml:space="preserve"> ، ج 18 ، ص 823 ، ح 18371 ؛ </w:t>
      </w:r>
      <w:r w:rsidR="00744A1C" w:rsidRPr="00C24F9C">
        <w:rPr>
          <w:rStyle w:val="libFootnoteBoldChar"/>
          <w:rtl/>
        </w:rPr>
        <w:t>الوسائل</w:t>
      </w:r>
      <w:r w:rsidR="00744A1C">
        <w:rPr>
          <w:rtl/>
          <w:lang w:bidi="fa-IR"/>
        </w:rPr>
        <w:t xml:space="preserve"> ، ج 19 ، ص 73 ، ح 24181.</w:t>
      </w:r>
    </w:p>
    <w:p w:rsidR="00744A1C" w:rsidRDefault="00E378DD" w:rsidP="00E378DD">
      <w:pPr>
        <w:pStyle w:val="libFootnote0"/>
        <w:rPr>
          <w:lang w:bidi="fa-IR"/>
        </w:rPr>
      </w:pPr>
      <w:r>
        <w:rPr>
          <w:rtl/>
          <w:lang w:bidi="fa-IR"/>
        </w:rPr>
        <w:t>(6).</w:t>
      </w:r>
      <w:r w:rsidR="00744A1C">
        <w:rPr>
          <w:rtl/>
          <w:lang w:bidi="fa-IR"/>
        </w:rPr>
        <w:t xml:space="preserve"> في « ط ، بح ، بس ، جت ، جد ، جن » </w:t>
      </w:r>
      <w:r w:rsidR="00744A1C" w:rsidRPr="009D3F47">
        <w:rPr>
          <w:rtl/>
        </w:rPr>
        <w:t>والوسائل والتهذيب</w:t>
      </w:r>
      <w:r w:rsidR="00744A1C">
        <w:rPr>
          <w:rtl/>
          <w:lang w:bidi="fa-IR"/>
        </w:rPr>
        <w:t xml:space="preserve"> والأمالي للصدوق ، ص 245 : « فلو ».</w:t>
      </w:r>
    </w:p>
    <w:p w:rsidR="00744A1C" w:rsidRDefault="00E378DD" w:rsidP="00E378DD">
      <w:pPr>
        <w:pStyle w:val="libFootnote0"/>
        <w:rPr>
          <w:lang w:bidi="fa-IR"/>
        </w:rPr>
      </w:pPr>
      <w:r>
        <w:rPr>
          <w:rtl/>
          <w:lang w:bidi="fa-IR"/>
        </w:rPr>
        <w:t>(7).</w:t>
      </w:r>
      <w:r w:rsidR="00744A1C">
        <w:rPr>
          <w:rtl/>
          <w:lang w:bidi="fa-IR"/>
        </w:rPr>
        <w:t xml:space="preserve"> في « ط ، ى ، بس ، جد » </w:t>
      </w:r>
      <w:r w:rsidR="00744A1C" w:rsidRPr="009D3F47">
        <w:rPr>
          <w:rtl/>
        </w:rPr>
        <w:t>والتهذيب والوسائل</w:t>
      </w:r>
      <w:r w:rsidR="00744A1C">
        <w:rPr>
          <w:rtl/>
          <w:lang w:bidi="fa-IR"/>
        </w:rPr>
        <w:t xml:space="preserve"> : - « بن أبي طالب ».</w:t>
      </w:r>
    </w:p>
    <w:p w:rsidR="00744A1C" w:rsidRDefault="00E378DD" w:rsidP="00E378DD">
      <w:pPr>
        <w:pStyle w:val="libFootnote0"/>
        <w:rPr>
          <w:lang w:bidi="fa-IR"/>
        </w:rPr>
      </w:pPr>
      <w:r>
        <w:rPr>
          <w:rtl/>
          <w:lang w:bidi="fa-IR"/>
        </w:rPr>
        <w:t>(8).</w:t>
      </w:r>
      <w:r w:rsidR="00744A1C">
        <w:rPr>
          <w:rtl/>
          <w:lang w:bidi="fa-IR"/>
        </w:rPr>
        <w:t xml:space="preserve"> في « ط » : « الأمانة ». وفي </w:t>
      </w:r>
      <w:r w:rsidR="00744A1C" w:rsidRPr="009D3F47">
        <w:rPr>
          <w:rtl/>
        </w:rPr>
        <w:t>التهذيب</w:t>
      </w:r>
      <w:r w:rsidR="00744A1C">
        <w:rPr>
          <w:rtl/>
          <w:lang w:bidi="fa-IR"/>
        </w:rPr>
        <w:t xml:space="preserve"> : « أداء الأمانة ».</w:t>
      </w:r>
    </w:p>
    <w:p w:rsidR="00744A1C" w:rsidRDefault="00E378DD" w:rsidP="00E378DD">
      <w:pPr>
        <w:pStyle w:val="libFootnote0"/>
        <w:rPr>
          <w:lang w:bidi="fa-IR"/>
        </w:rPr>
      </w:pPr>
      <w:r>
        <w:rPr>
          <w:rtl/>
          <w:lang w:bidi="fa-IR"/>
        </w:rPr>
        <w:t>(9).</w:t>
      </w:r>
      <w:r w:rsidR="00744A1C">
        <w:rPr>
          <w:rtl/>
          <w:lang w:bidi="fa-IR"/>
        </w:rPr>
        <w:t xml:space="preserve"> </w:t>
      </w:r>
      <w:r w:rsidR="00744A1C" w:rsidRPr="00C24F9C">
        <w:rPr>
          <w:rStyle w:val="libFootnoteBoldChar"/>
          <w:rtl/>
        </w:rPr>
        <w:t>التهذيب</w:t>
      </w:r>
      <w:r w:rsidR="00744A1C">
        <w:rPr>
          <w:rtl/>
          <w:lang w:bidi="fa-IR"/>
        </w:rPr>
        <w:t xml:space="preserve"> ، ج 6 ، ص 351 ، ح 995 ، معلّقاً عن الكليني. </w:t>
      </w:r>
      <w:r w:rsidR="00744A1C" w:rsidRPr="009D3F47">
        <w:rPr>
          <w:rStyle w:val="libFootnoteBoldChar"/>
          <w:rtl/>
        </w:rPr>
        <w:t>الأمالي للصدوق</w:t>
      </w:r>
      <w:r w:rsidR="00744A1C">
        <w:rPr>
          <w:rtl/>
          <w:lang w:bidi="fa-IR"/>
        </w:rPr>
        <w:t xml:space="preserve"> ، ص 245 ، المجلس 43 ، ح 5 ، بسنده عن إبراهيم بن هاشم ، عن إسماعيل بن مرّار ، عن يونس بن عبد الرحمن ، عن عمر بن يزيد ، عن أبي عبد الله </w:t>
      </w:r>
      <w:r w:rsidR="0061079A" w:rsidRPr="0061079A">
        <w:rPr>
          <w:rStyle w:val="libFootnoteAlaemChar"/>
          <w:rtl/>
        </w:rPr>
        <w:t>عليه‌السلام</w:t>
      </w:r>
      <w:r w:rsidR="00744A1C">
        <w:rPr>
          <w:rtl/>
          <w:lang w:bidi="fa-IR"/>
        </w:rPr>
        <w:t xml:space="preserve"> . </w:t>
      </w:r>
      <w:r w:rsidR="00744A1C" w:rsidRPr="009D3F47">
        <w:rPr>
          <w:rStyle w:val="libFootnoteBoldChar"/>
          <w:rtl/>
        </w:rPr>
        <w:t>وفيه</w:t>
      </w:r>
      <w:r w:rsidR="00744A1C">
        <w:rPr>
          <w:rtl/>
          <w:lang w:bidi="fa-IR"/>
        </w:rPr>
        <w:t xml:space="preserve"> ، ص 246 ، المجلس 43 ، ح 6 ، بسند آخر عن عليّ بن الحسين </w:t>
      </w:r>
      <w:r w:rsidR="0061079A" w:rsidRPr="0061079A">
        <w:rPr>
          <w:rStyle w:val="libFootnoteAlaemChar"/>
          <w:rtl/>
        </w:rPr>
        <w:t>عليه‌السلام</w:t>
      </w:r>
      <w:r w:rsidR="00744A1C">
        <w:rPr>
          <w:rtl/>
          <w:lang w:bidi="fa-IR"/>
        </w:rPr>
        <w:t xml:space="preserve"> . </w:t>
      </w:r>
      <w:r w:rsidR="00744A1C" w:rsidRPr="00610FB4">
        <w:rPr>
          <w:rStyle w:val="libFootnoteBoldChar"/>
          <w:rtl/>
        </w:rPr>
        <w:t>معاني الأخبار</w:t>
      </w:r>
      <w:r w:rsidR="00744A1C">
        <w:rPr>
          <w:rtl/>
          <w:lang w:bidi="fa-IR"/>
        </w:rPr>
        <w:t xml:space="preserve"> ، ص 107 ، ح 1 ، بسند آخر عن موسى بن جعفر ، عن آبائه ، عن عليّ بن الحسين </w:t>
      </w:r>
      <w:r w:rsidR="00877682" w:rsidRPr="00877682">
        <w:rPr>
          <w:rStyle w:val="libFootnoteAlaemChar"/>
          <w:rtl/>
        </w:rPr>
        <w:t>عليهم‌السلام</w:t>
      </w:r>
      <w:r w:rsidR="00D10E3C">
        <w:rPr>
          <w:rtl/>
          <w:lang w:bidi="fa-IR"/>
        </w:rPr>
        <w:t xml:space="preserve"> </w:t>
      </w:r>
      <w:r w:rsidR="00744A1C">
        <w:rPr>
          <w:rtl/>
          <w:lang w:bidi="fa-IR"/>
        </w:rPr>
        <w:t xml:space="preserve">، وفي الأخيرين مع اختلاف. </w:t>
      </w:r>
      <w:r w:rsidR="00744A1C" w:rsidRPr="00211914">
        <w:rPr>
          <w:rStyle w:val="libFootnoteBoldChar"/>
          <w:rtl/>
        </w:rPr>
        <w:t>الاختصاص</w:t>
      </w:r>
      <w:r w:rsidR="00744A1C">
        <w:rPr>
          <w:rtl/>
          <w:lang w:bidi="fa-IR"/>
        </w:rPr>
        <w:t xml:space="preserve"> ، ص 241 ، مرسلاً ؛ </w:t>
      </w:r>
      <w:r w:rsidR="00744A1C" w:rsidRPr="007D61A8">
        <w:rPr>
          <w:rStyle w:val="libFootnoteBoldChar"/>
          <w:rtl/>
        </w:rPr>
        <w:t>تحف العقول</w:t>
      </w:r>
      <w:r w:rsidR="00744A1C">
        <w:rPr>
          <w:rtl/>
          <w:lang w:bidi="fa-IR"/>
        </w:rPr>
        <w:t xml:space="preserve"> ، ص 299 ، عن الباقر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مع اختلاف يسير </w:t>
      </w:r>
      <w:r w:rsidR="009D3F47">
        <w:rPr>
          <w:rFonts w:hint="cs"/>
          <w:rtl/>
          <w:lang w:bidi="fa-IR"/>
        </w:rPr>
        <w:t>.</w:t>
      </w:r>
      <w:r w:rsidR="00744A1C" w:rsidRPr="00C24F9C">
        <w:rPr>
          <w:rStyle w:val="libFootnoteBoldChar"/>
          <w:rtl/>
        </w:rPr>
        <w:t>الوافي</w:t>
      </w:r>
      <w:r w:rsidR="00744A1C">
        <w:rPr>
          <w:rtl/>
          <w:lang w:bidi="fa-IR"/>
        </w:rPr>
        <w:t xml:space="preserve"> ، ج 18 ، ص 824 ، ح 18372 ؛ </w:t>
      </w:r>
      <w:r w:rsidR="00744A1C" w:rsidRPr="00C24F9C">
        <w:rPr>
          <w:rStyle w:val="libFootnoteBoldChar"/>
          <w:rtl/>
        </w:rPr>
        <w:t>الوسائل</w:t>
      </w:r>
      <w:r w:rsidR="00744A1C">
        <w:rPr>
          <w:rtl/>
          <w:lang w:bidi="fa-IR"/>
        </w:rPr>
        <w:t xml:space="preserve"> ، ج 19 ، ص 72 ، ح 24177.</w:t>
      </w:r>
    </w:p>
    <w:p w:rsidR="00744A1C" w:rsidRDefault="00E378DD" w:rsidP="00E378DD">
      <w:pPr>
        <w:pStyle w:val="libFootnote0"/>
        <w:rPr>
          <w:lang w:bidi="fa-IR"/>
        </w:rPr>
      </w:pPr>
      <w:r>
        <w:rPr>
          <w:rtl/>
          <w:lang w:bidi="fa-IR"/>
        </w:rPr>
        <w:t>(10).</w:t>
      </w:r>
      <w:r w:rsidR="00744A1C">
        <w:rPr>
          <w:rtl/>
          <w:lang w:bidi="fa-IR"/>
        </w:rPr>
        <w:t xml:space="preserve"> في « ط » : - « محمّد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فِي وَصِيَّةٍ </w:t>
      </w:r>
      <w:r w:rsidRPr="00D10E3C">
        <w:rPr>
          <w:rStyle w:val="libFootnotenumChar"/>
          <w:rtl/>
        </w:rPr>
        <w:t>(1)</w:t>
      </w:r>
      <w:r>
        <w:rPr>
          <w:rtl/>
          <w:lang w:bidi="fa-IR"/>
        </w:rPr>
        <w:t xml:space="preserve"> لَهُ : « اعْلَمْ أَنَّ ضَارِبَ عَلِيٍّ </w:t>
      </w:r>
      <w:r w:rsidR="0061079A" w:rsidRPr="0061079A">
        <w:rPr>
          <w:rStyle w:val="libAlaemChar"/>
          <w:rtl/>
        </w:rPr>
        <w:t>عليه‌السلام</w:t>
      </w:r>
      <w:r w:rsidR="00D10E3C">
        <w:rPr>
          <w:rtl/>
          <w:lang w:bidi="fa-IR"/>
        </w:rPr>
        <w:t xml:space="preserve"> </w:t>
      </w:r>
      <w:r>
        <w:rPr>
          <w:rtl/>
          <w:lang w:bidi="fa-IR"/>
        </w:rPr>
        <w:t xml:space="preserve">بِالسَّيْفِ وَقَاتِلَهُ لَوِ ائْتَمَنَنِي وَاسْتَنْصَحَنِي </w:t>
      </w:r>
      <w:r w:rsidRPr="00D10E3C">
        <w:rPr>
          <w:rStyle w:val="libFootnotenumChar"/>
          <w:rtl/>
        </w:rPr>
        <w:t>(2)</w:t>
      </w:r>
      <w:r>
        <w:rPr>
          <w:rtl/>
          <w:lang w:bidi="fa-IR"/>
        </w:rPr>
        <w:t xml:space="preserve"> وَاسْتَشَارَنِي ، ثُمَّ قَبِلْتُ ذلِكَ مِنْهُ ، لَأَدَّيْتُ إِلَيْهِ </w:t>
      </w:r>
      <w:r w:rsidRPr="00D10E3C">
        <w:rPr>
          <w:rStyle w:val="libFootnotenumChar"/>
          <w:rtl/>
        </w:rPr>
        <w:t>(3)</w:t>
      </w:r>
      <w:r>
        <w:rPr>
          <w:rtl/>
          <w:lang w:bidi="fa-IR"/>
        </w:rPr>
        <w:t xml:space="preserve"> الْأَمَانَةَ ». </w:t>
      </w:r>
      <w:r w:rsidRPr="00D10E3C">
        <w:rPr>
          <w:rStyle w:val="libFootnotenumChar"/>
          <w:rtl/>
        </w:rPr>
        <w:t>(4)</w:t>
      </w:r>
    </w:p>
    <w:p w:rsidR="00144FA6" w:rsidRDefault="00744A1C" w:rsidP="00744A1C">
      <w:pPr>
        <w:pStyle w:val="libNormal"/>
        <w:rPr>
          <w:rtl/>
          <w:lang w:bidi="fa-IR"/>
        </w:rPr>
      </w:pPr>
      <w:r>
        <w:rPr>
          <w:rtl/>
          <w:lang w:bidi="fa-IR"/>
        </w:rPr>
        <w:t>8619 / 6. أَبُو عَلِيٍّ الْأَشْعَرِيُّ ، عَنْ مُحَمَّدِ بْنِ عَبْدِ الْجَبَّارِ ، عَنْ صَفْوَانَ بْنِ يَحْيى ، عَنْ إِسْحَاقَ بْنِ عَمَّارٍ ، عَنْ حَفْصِ بْنِ قُرْطٍ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امْرَأَةٌ بِالْمَدِينَةِ كَانَ النَّاسُ يَضَعُونَ عِنْدَهَا </w:t>
      </w:r>
      <w:r w:rsidRPr="00D10E3C">
        <w:rPr>
          <w:rStyle w:val="libFootnotenumChar"/>
          <w:rtl/>
        </w:rPr>
        <w:t>(5)</w:t>
      </w:r>
      <w:r>
        <w:rPr>
          <w:rtl/>
          <w:lang w:bidi="fa-IR"/>
        </w:rPr>
        <w:t xml:space="preserve"> الْجَوَارِيَ </w:t>
      </w:r>
      <w:r w:rsidRPr="00D10E3C">
        <w:rPr>
          <w:rStyle w:val="libFootnotenumChar"/>
          <w:rtl/>
        </w:rPr>
        <w:t>(6)</w:t>
      </w:r>
      <w:r>
        <w:rPr>
          <w:rtl/>
          <w:lang w:bidi="fa-IR"/>
        </w:rPr>
        <w:t xml:space="preserve"> ، فَتُصْلِحُهُنَّ </w:t>
      </w:r>
      <w:r w:rsidRPr="00D10E3C">
        <w:rPr>
          <w:rStyle w:val="libFootnotenumChar"/>
          <w:rtl/>
        </w:rPr>
        <w:t>(7)</w:t>
      </w:r>
      <w:r>
        <w:rPr>
          <w:rtl/>
          <w:lang w:bidi="fa-IR"/>
        </w:rPr>
        <w:t xml:space="preserve"> ، وَقُلْنَا : مَا رَأَيْنَا مِثْلَ مَا صُبَّ عَلَيْهَا مِنَ الرِّزْقِ.</w:t>
      </w:r>
    </w:p>
    <w:p w:rsidR="00744A1C" w:rsidRDefault="00744A1C" w:rsidP="00744A1C">
      <w:pPr>
        <w:pStyle w:val="libNormal"/>
        <w:rPr>
          <w:lang w:bidi="fa-IR"/>
        </w:rPr>
      </w:pPr>
      <w:r>
        <w:rPr>
          <w:rtl/>
          <w:lang w:bidi="fa-IR"/>
        </w:rPr>
        <w:t>فَقَالَ : « إِنَّهَا صَدَقَتِ الْحَدِيثَ ، وَأَدَّتِ الْأَمَانَةَ ، وَذلِكَ يَجْلِبُ الرِّزْقَ ».</w:t>
      </w:r>
    </w:p>
    <w:p w:rsidR="00144FA6" w:rsidRDefault="00744A1C" w:rsidP="00744A1C">
      <w:pPr>
        <w:pStyle w:val="libNormal"/>
        <w:rPr>
          <w:rtl/>
          <w:lang w:bidi="fa-IR"/>
        </w:rPr>
      </w:pPr>
      <w:r>
        <w:rPr>
          <w:rtl/>
          <w:lang w:bidi="fa-IR"/>
        </w:rPr>
        <w:t xml:space="preserve">قَالَ صَفْوَانُ : وَسَمِعْتُهُ مِنْ </w:t>
      </w:r>
      <w:r w:rsidRPr="00D10E3C">
        <w:rPr>
          <w:rStyle w:val="libFootnotenumChar"/>
          <w:rtl/>
        </w:rPr>
        <w:t>(8)</w:t>
      </w:r>
      <w:r>
        <w:rPr>
          <w:rtl/>
          <w:lang w:bidi="fa-IR"/>
        </w:rPr>
        <w:t xml:space="preserve"> حَفْصٍ بَعْدَ ذلِكَ. </w:t>
      </w:r>
      <w:r w:rsidRPr="00D10E3C">
        <w:rPr>
          <w:rStyle w:val="libFootnotenumChar"/>
          <w:rtl/>
        </w:rPr>
        <w:t>(9)</w:t>
      </w:r>
    </w:p>
    <w:p w:rsidR="00144FA6" w:rsidRDefault="00744A1C" w:rsidP="00744A1C">
      <w:pPr>
        <w:pStyle w:val="libNormal"/>
        <w:rPr>
          <w:rtl/>
          <w:lang w:bidi="fa-IR"/>
        </w:rPr>
      </w:pPr>
      <w:r>
        <w:rPr>
          <w:rtl/>
          <w:lang w:bidi="fa-IR"/>
        </w:rPr>
        <w:t>8620 / 7. عَلِيُّ بْنُ إِبْرَاهِيمَ ، عَنْ أَبِيهِ ، عَنِ النَّوْفَلِيِّ ، عَنِ السَّكُونِيِّ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17097C" w:rsidRPr="0017097C">
        <w:rPr>
          <w:rStyle w:val="libAlaemChar"/>
          <w:rtl/>
        </w:rPr>
        <w:t>صلى‌الله‌عليه‌وآله</w:t>
      </w:r>
      <w:r w:rsidR="00D10E3C">
        <w:rPr>
          <w:rtl/>
          <w:lang w:bidi="fa-IR"/>
        </w:rPr>
        <w:t xml:space="preserve"> </w:t>
      </w:r>
      <w:r>
        <w:rPr>
          <w:rtl/>
          <w:lang w:bidi="fa-IR"/>
        </w:rPr>
        <w:t xml:space="preserve">: لَيْسَ مِنَّا مَنْ أَخْلَفَ بِالْأَمَانَةِ </w:t>
      </w:r>
      <w:r w:rsidRPr="00D10E3C">
        <w:rPr>
          <w:rStyle w:val="libFootnotenumChar"/>
          <w:rtl/>
        </w:rPr>
        <w:t>(10)</w:t>
      </w:r>
      <w:r>
        <w:rPr>
          <w:rtl/>
          <w:lang w:bidi="fa-IR"/>
        </w:rPr>
        <w:t xml:space="preserve"> ».</w:t>
      </w:r>
    </w:p>
    <w:p w:rsidR="00144FA6" w:rsidRDefault="00744A1C" w:rsidP="00744A1C">
      <w:pPr>
        <w:pStyle w:val="libNormal"/>
        <w:rPr>
          <w:rtl/>
          <w:lang w:bidi="fa-IR"/>
        </w:rPr>
      </w:pPr>
      <w:r>
        <w:rPr>
          <w:rtl/>
          <w:lang w:bidi="fa-IR"/>
        </w:rPr>
        <w:t xml:space="preserve">وَقَالَ : « قَالَ </w:t>
      </w:r>
      <w:r w:rsidRPr="00D10E3C">
        <w:rPr>
          <w:rStyle w:val="libFootnotenumChar"/>
          <w:rtl/>
        </w:rPr>
        <w:t>(11)</w:t>
      </w:r>
      <w:r>
        <w:rPr>
          <w:rtl/>
          <w:lang w:bidi="fa-IR"/>
        </w:rPr>
        <w:t xml:space="preserve"> رَسُولُ اللهِ </w:t>
      </w:r>
      <w:r w:rsidR="004D054E" w:rsidRPr="004D054E">
        <w:rPr>
          <w:rStyle w:val="libAlaemChar"/>
          <w:rtl/>
        </w:rPr>
        <w:t>صلى‌الله‌عليه‌وآله</w:t>
      </w:r>
      <w:r w:rsidR="00D10E3C">
        <w:rPr>
          <w:rtl/>
          <w:lang w:bidi="fa-IR"/>
        </w:rPr>
        <w:t xml:space="preserve"> </w:t>
      </w:r>
      <w:r w:rsidRPr="00D10E3C">
        <w:rPr>
          <w:rStyle w:val="libFootnotenumChar"/>
          <w:rtl/>
        </w:rPr>
        <w:t>(12)</w:t>
      </w:r>
      <w:r>
        <w:rPr>
          <w:rtl/>
          <w:lang w:bidi="fa-IR"/>
        </w:rPr>
        <w:t xml:space="preserve"> : الْأَمَانَةُ تَجْلِبُ </w:t>
      </w:r>
      <w:r w:rsidRPr="00D10E3C">
        <w:rPr>
          <w:rStyle w:val="libFootnotenumChar"/>
          <w:rtl/>
        </w:rPr>
        <w:t>(13)</w:t>
      </w:r>
      <w:r>
        <w:rPr>
          <w:rtl/>
          <w:lang w:bidi="fa-IR"/>
        </w:rPr>
        <w:t xml:space="preserve"> الرِّزْقَ ، وَالْخِيَانَةُ تَجْلِبُ </w:t>
      </w:r>
      <w:r w:rsidRPr="00D10E3C">
        <w:rPr>
          <w:rStyle w:val="libFootnotenumChar"/>
          <w:rtl/>
        </w:rPr>
        <w:t>(14)</w:t>
      </w:r>
      <w:r w:rsidR="009D3F47">
        <w:rPr>
          <w:rtl/>
          <w:lang w:bidi="fa-IR"/>
        </w:rPr>
        <w:t xml:space="preserve"> الْفَقْرَ</w:t>
      </w:r>
      <w:r>
        <w:rPr>
          <w:rtl/>
          <w:lang w:bidi="fa-IR"/>
        </w:rPr>
        <w:t>».</w:t>
      </w:r>
      <w:r w:rsidRPr="00D10E3C">
        <w:rPr>
          <w:rStyle w:val="libFootnotenumChar"/>
          <w:rtl/>
        </w:rPr>
        <w:t>(15)</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9D3F47" w:rsidTr="009D3F47">
        <w:tc>
          <w:tcPr>
            <w:tcW w:w="4006" w:type="dxa"/>
          </w:tcPr>
          <w:p w:rsidR="009D3F47" w:rsidRDefault="009D3F47" w:rsidP="00E378DD">
            <w:pPr>
              <w:pStyle w:val="libFootnote0"/>
              <w:rPr>
                <w:rtl/>
                <w:lang w:bidi="fa-IR"/>
              </w:rPr>
            </w:pPr>
            <w:r>
              <w:rPr>
                <w:rtl/>
                <w:lang w:bidi="fa-IR"/>
              </w:rPr>
              <w:t xml:space="preserve">(1). في </w:t>
            </w:r>
            <w:r w:rsidRPr="009D3F47">
              <w:rPr>
                <w:rtl/>
              </w:rPr>
              <w:t>الوسائل</w:t>
            </w:r>
            <w:r>
              <w:rPr>
                <w:rtl/>
                <w:lang w:bidi="fa-IR"/>
              </w:rPr>
              <w:t xml:space="preserve"> : « وصيّته ».</w:t>
            </w:r>
          </w:p>
        </w:tc>
        <w:tc>
          <w:tcPr>
            <w:tcW w:w="4006" w:type="dxa"/>
          </w:tcPr>
          <w:p w:rsidR="009D3F47" w:rsidRDefault="009D3F47" w:rsidP="00E378DD">
            <w:pPr>
              <w:pStyle w:val="libFootnote0"/>
              <w:rPr>
                <w:rtl/>
                <w:lang w:bidi="fa-IR"/>
              </w:rPr>
            </w:pPr>
            <w:r>
              <w:rPr>
                <w:rtl/>
                <w:lang w:bidi="fa-IR"/>
              </w:rPr>
              <w:t xml:space="preserve">(2). في </w:t>
            </w:r>
            <w:r w:rsidRPr="009D3F47">
              <w:rPr>
                <w:rtl/>
              </w:rPr>
              <w:t>التهذيب</w:t>
            </w:r>
            <w:r>
              <w:rPr>
                <w:rtl/>
                <w:lang w:bidi="fa-IR"/>
              </w:rPr>
              <w:t>:«على سيف » بدل « واستنصحني».</w:t>
            </w:r>
          </w:p>
        </w:tc>
      </w:tr>
    </w:tbl>
    <w:p w:rsidR="00744A1C" w:rsidRDefault="00E378DD" w:rsidP="00E378DD">
      <w:pPr>
        <w:pStyle w:val="libFootnote0"/>
        <w:rPr>
          <w:lang w:bidi="fa-IR"/>
        </w:rPr>
      </w:pPr>
      <w:r>
        <w:rPr>
          <w:rtl/>
          <w:lang w:bidi="fa-IR"/>
        </w:rPr>
        <w:t>(3).</w:t>
      </w:r>
      <w:r w:rsidR="00744A1C">
        <w:rPr>
          <w:rtl/>
          <w:lang w:bidi="fa-IR"/>
        </w:rPr>
        <w:t xml:space="preserve"> في « ط ، بف » : - « إليه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351 ، ح 994 ، معلّقاً عن أحمد بن محمّد. </w:t>
      </w:r>
      <w:r w:rsidR="00744A1C" w:rsidRPr="007D61A8">
        <w:rPr>
          <w:rStyle w:val="libFootnoteBoldChar"/>
          <w:rtl/>
        </w:rPr>
        <w:t>تحف العقول</w:t>
      </w:r>
      <w:r w:rsidR="00744A1C">
        <w:rPr>
          <w:rtl/>
          <w:lang w:bidi="fa-IR"/>
        </w:rPr>
        <w:t xml:space="preserve"> ، ص 374 </w:t>
      </w:r>
      <w:r w:rsidR="009D3F47">
        <w:rPr>
          <w:rFonts w:hint="cs"/>
          <w:rtl/>
          <w:lang w:bidi="fa-IR"/>
        </w:rPr>
        <w:t>.</w:t>
      </w:r>
      <w:r w:rsidR="00744A1C" w:rsidRPr="00C24F9C">
        <w:rPr>
          <w:rStyle w:val="libFootnoteBoldChar"/>
          <w:rtl/>
        </w:rPr>
        <w:t>الوافي</w:t>
      </w:r>
      <w:r w:rsidR="00744A1C">
        <w:rPr>
          <w:rtl/>
          <w:lang w:bidi="fa-IR"/>
        </w:rPr>
        <w:t xml:space="preserve"> ، ج 18 ، ص 824 ، ح 18373 ؛ </w:t>
      </w:r>
      <w:r w:rsidR="00744A1C" w:rsidRPr="00C24F9C">
        <w:rPr>
          <w:rStyle w:val="libFootnoteBoldChar"/>
          <w:rtl/>
        </w:rPr>
        <w:t>الوسائل</w:t>
      </w:r>
      <w:r w:rsidR="00744A1C">
        <w:rPr>
          <w:rtl/>
          <w:lang w:bidi="fa-IR"/>
        </w:rPr>
        <w:t xml:space="preserve"> ، ج 19 ، ص 74 ، ح 24183.</w:t>
      </w:r>
    </w:p>
    <w:tbl>
      <w:tblPr>
        <w:tblStyle w:val="TableGrid"/>
        <w:bidiVisual/>
        <w:tblW w:w="0" w:type="auto"/>
        <w:tblLook w:val="04A0" w:firstRow="1" w:lastRow="0" w:firstColumn="1" w:lastColumn="0" w:noHBand="0" w:noVBand="1"/>
      </w:tblPr>
      <w:tblGrid>
        <w:gridCol w:w="4006"/>
        <w:gridCol w:w="4006"/>
      </w:tblGrid>
      <w:tr w:rsidR="009D3F47" w:rsidTr="009D3F47">
        <w:tc>
          <w:tcPr>
            <w:tcW w:w="4006" w:type="dxa"/>
          </w:tcPr>
          <w:p w:rsidR="009D3F47" w:rsidRDefault="009D3F47" w:rsidP="00E378DD">
            <w:pPr>
              <w:pStyle w:val="libFootnote0"/>
              <w:rPr>
                <w:rtl/>
                <w:lang w:bidi="fa-IR"/>
              </w:rPr>
            </w:pPr>
            <w:r>
              <w:rPr>
                <w:rtl/>
                <w:lang w:bidi="fa-IR"/>
              </w:rPr>
              <w:t>(5). في « ى » : « عنده ».</w:t>
            </w:r>
          </w:p>
        </w:tc>
        <w:tc>
          <w:tcPr>
            <w:tcW w:w="4006" w:type="dxa"/>
          </w:tcPr>
          <w:p w:rsidR="009D3F47" w:rsidRDefault="009D3F47" w:rsidP="00E378DD">
            <w:pPr>
              <w:pStyle w:val="libFootnote0"/>
              <w:rPr>
                <w:rtl/>
                <w:lang w:bidi="fa-IR"/>
              </w:rPr>
            </w:pPr>
            <w:r>
              <w:rPr>
                <w:rtl/>
                <w:lang w:bidi="fa-IR"/>
              </w:rPr>
              <w:t>(6). في حاشية « جت » : « الجرار ».</w:t>
            </w:r>
          </w:p>
        </w:tc>
      </w:tr>
    </w:tbl>
    <w:p w:rsidR="00744A1C" w:rsidRDefault="00E378DD" w:rsidP="00E378DD">
      <w:pPr>
        <w:pStyle w:val="libFootnote0"/>
        <w:rPr>
          <w:lang w:bidi="fa-IR"/>
        </w:rPr>
      </w:pPr>
      <w:r>
        <w:rPr>
          <w:rtl/>
          <w:lang w:bidi="fa-IR"/>
        </w:rPr>
        <w:t>(7).</w:t>
      </w:r>
      <w:r w:rsidR="00744A1C">
        <w:rPr>
          <w:rtl/>
          <w:lang w:bidi="fa-IR"/>
        </w:rPr>
        <w:t xml:space="preserve"> في « ى » : « فيصلحهنّ ». وفي </w:t>
      </w:r>
      <w:r w:rsidR="00744A1C" w:rsidRPr="009D3F47">
        <w:rPr>
          <w:rtl/>
        </w:rPr>
        <w:t>الوسائل</w:t>
      </w:r>
      <w:r w:rsidR="00744A1C">
        <w:rPr>
          <w:rtl/>
          <w:lang w:bidi="fa-IR"/>
        </w:rPr>
        <w:t xml:space="preserve"> : « فيصلحن » بالتخفيف.</w:t>
      </w:r>
    </w:p>
    <w:p w:rsidR="00744A1C" w:rsidRDefault="00E378DD" w:rsidP="00E378DD">
      <w:pPr>
        <w:pStyle w:val="libFootnote0"/>
        <w:rPr>
          <w:lang w:bidi="fa-IR"/>
        </w:rPr>
      </w:pPr>
      <w:r>
        <w:rPr>
          <w:rtl/>
          <w:lang w:bidi="fa-IR"/>
        </w:rPr>
        <w:t>(8).</w:t>
      </w:r>
      <w:r w:rsidR="00744A1C">
        <w:rPr>
          <w:rtl/>
          <w:lang w:bidi="fa-IR"/>
        </w:rPr>
        <w:t xml:space="preserve"> في « بف » : + « عمر بن ». وفي </w:t>
      </w:r>
      <w:r w:rsidR="00744A1C" w:rsidRPr="009D3F47">
        <w:rPr>
          <w:rtl/>
        </w:rPr>
        <w:t>الوافي</w:t>
      </w:r>
      <w:r w:rsidR="00744A1C">
        <w:rPr>
          <w:rtl/>
          <w:lang w:bidi="fa-IR"/>
        </w:rPr>
        <w:t xml:space="preserve"> : « عن ».</w:t>
      </w:r>
    </w:p>
    <w:p w:rsidR="00744A1C" w:rsidRDefault="00E378DD" w:rsidP="00247726">
      <w:pPr>
        <w:pStyle w:val="libFootnote0"/>
        <w:rPr>
          <w:lang w:bidi="fa-IR"/>
        </w:rPr>
      </w:pPr>
      <w:r>
        <w:rPr>
          <w:rtl/>
          <w:lang w:bidi="fa-IR"/>
        </w:rPr>
        <w:t>(9).</w:t>
      </w:r>
      <w:r w:rsidR="00744A1C">
        <w:rPr>
          <w:rtl/>
          <w:lang w:bidi="fa-IR"/>
        </w:rPr>
        <w:t xml:space="preserve"> راجع : </w:t>
      </w:r>
      <w:r w:rsidR="00744A1C" w:rsidRPr="000B1C3F">
        <w:rPr>
          <w:rStyle w:val="libFootnoteBoldChar"/>
          <w:rtl/>
        </w:rPr>
        <w:t>الأمالي للطوسي</w:t>
      </w:r>
      <w:r w:rsidR="00744A1C">
        <w:rPr>
          <w:rtl/>
          <w:lang w:bidi="fa-IR"/>
        </w:rPr>
        <w:t xml:space="preserve"> ، ص 676 ، المجلس 37 ، ح 8 </w:t>
      </w:r>
      <w:r w:rsidR="00247726">
        <w:rPr>
          <w:rFonts w:hint="cs"/>
          <w:rtl/>
          <w:lang w:bidi="fa-IR"/>
        </w:rPr>
        <w:t>.</w:t>
      </w:r>
      <w:r w:rsidR="00744A1C" w:rsidRPr="00C24F9C">
        <w:rPr>
          <w:rStyle w:val="libFootnoteBoldChar"/>
          <w:rtl/>
        </w:rPr>
        <w:t>الوافي</w:t>
      </w:r>
      <w:r w:rsidR="00744A1C">
        <w:rPr>
          <w:rtl/>
          <w:lang w:bidi="fa-IR"/>
        </w:rPr>
        <w:t xml:space="preserve"> ، ج 4 ، ص 432 ، ح 2270 ؛ </w:t>
      </w:r>
      <w:r w:rsidR="00744A1C" w:rsidRPr="00C24F9C">
        <w:rPr>
          <w:rStyle w:val="libFootnoteBoldChar"/>
          <w:rtl/>
        </w:rPr>
        <w:t>الوسائل</w:t>
      </w:r>
      <w:r w:rsidR="00744A1C">
        <w:rPr>
          <w:rtl/>
          <w:lang w:bidi="fa-IR"/>
        </w:rPr>
        <w:t xml:space="preserve"> ، ج 19 ، ص 68 ، ح 24170.</w:t>
      </w:r>
      <w:r w:rsidR="00247726">
        <w:rPr>
          <w:rFonts w:hint="cs"/>
          <w:rtl/>
          <w:lang w:bidi="fa-IR"/>
        </w:rPr>
        <w:t xml:space="preserve">  </w:t>
      </w:r>
      <w:r>
        <w:rPr>
          <w:rtl/>
          <w:lang w:bidi="fa-IR"/>
        </w:rPr>
        <w:t>(10).</w:t>
      </w:r>
      <w:r w:rsidR="00247726">
        <w:rPr>
          <w:rtl/>
          <w:lang w:bidi="fa-IR"/>
        </w:rPr>
        <w:t xml:space="preserve"> في «ط ،بخ ،بف» وحاشية «جت</w:t>
      </w:r>
      <w:r w:rsidR="00744A1C">
        <w:rPr>
          <w:rtl/>
          <w:lang w:bidi="fa-IR"/>
        </w:rPr>
        <w:t xml:space="preserve">» </w:t>
      </w:r>
      <w:r w:rsidR="00744A1C" w:rsidRPr="00247726">
        <w:rPr>
          <w:rtl/>
        </w:rPr>
        <w:t>والوافي</w:t>
      </w:r>
      <w:r w:rsidR="00744A1C">
        <w:rPr>
          <w:rtl/>
          <w:lang w:bidi="fa-IR"/>
        </w:rPr>
        <w:t xml:space="preserve"> : « الأمانة ».</w:t>
      </w:r>
    </w:p>
    <w:tbl>
      <w:tblPr>
        <w:tblStyle w:val="TableGrid"/>
        <w:bidiVisual/>
        <w:tblW w:w="0" w:type="auto"/>
        <w:tblLook w:val="04A0" w:firstRow="1" w:lastRow="0" w:firstColumn="1" w:lastColumn="0" w:noHBand="0" w:noVBand="1"/>
      </w:tblPr>
      <w:tblGrid>
        <w:gridCol w:w="4006"/>
        <w:gridCol w:w="4006"/>
      </w:tblGrid>
      <w:tr w:rsidR="00247726" w:rsidTr="00247726">
        <w:tc>
          <w:tcPr>
            <w:tcW w:w="4006" w:type="dxa"/>
          </w:tcPr>
          <w:p w:rsidR="00247726" w:rsidRDefault="00247726" w:rsidP="00E378DD">
            <w:pPr>
              <w:pStyle w:val="libFootnote0"/>
              <w:rPr>
                <w:rtl/>
                <w:lang w:bidi="fa-IR"/>
              </w:rPr>
            </w:pPr>
            <w:r>
              <w:rPr>
                <w:rtl/>
                <w:lang w:bidi="fa-IR"/>
              </w:rPr>
              <w:t>(11). في « بخ ، بف » : - « قال ».</w:t>
            </w:r>
          </w:p>
        </w:tc>
        <w:tc>
          <w:tcPr>
            <w:tcW w:w="4006" w:type="dxa"/>
          </w:tcPr>
          <w:p w:rsidR="00247726" w:rsidRDefault="00247726" w:rsidP="00E378DD">
            <w:pPr>
              <w:pStyle w:val="libFootnote0"/>
              <w:rPr>
                <w:rtl/>
                <w:lang w:bidi="fa-IR"/>
              </w:rPr>
            </w:pPr>
            <w:r>
              <w:rPr>
                <w:rtl/>
                <w:lang w:bidi="fa-IR"/>
              </w:rPr>
              <w:t xml:space="preserve">(12). في «بف» وحاشية «جن» </w:t>
            </w:r>
            <w:r w:rsidRPr="00247726">
              <w:rPr>
                <w:rtl/>
              </w:rPr>
              <w:t>والوافي</w:t>
            </w:r>
            <w:r>
              <w:rPr>
                <w:rtl/>
                <w:lang w:bidi="fa-IR"/>
              </w:rPr>
              <w:t xml:space="preserve"> : + « أداء ».</w:t>
            </w:r>
          </w:p>
        </w:tc>
      </w:tr>
      <w:tr w:rsidR="00247726" w:rsidTr="00247726">
        <w:tc>
          <w:tcPr>
            <w:tcW w:w="4006" w:type="dxa"/>
          </w:tcPr>
          <w:p w:rsidR="00247726" w:rsidRDefault="00247726" w:rsidP="00E378DD">
            <w:pPr>
              <w:pStyle w:val="libFootnote0"/>
              <w:rPr>
                <w:rtl/>
                <w:lang w:bidi="fa-IR"/>
              </w:rPr>
            </w:pPr>
            <w:r>
              <w:rPr>
                <w:rtl/>
                <w:lang w:bidi="fa-IR"/>
              </w:rPr>
              <w:t xml:space="preserve">(13). في « ى ، بف » </w:t>
            </w:r>
            <w:r w:rsidRPr="00247726">
              <w:rPr>
                <w:rtl/>
              </w:rPr>
              <w:t>والوافي</w:t>
            </w:r>
            <w:r>
              <w:rPr>
                <w:rtl/>
                <w:lang w:bidi="fa-IR"/>
              </w:rPr>
              <w:t xml:space="preserve"> : « يجلب ».</w:t>
            </w:r>
          </w:p>
        </w:tc>
        <w:tc>
          <w:tcPr>
            <w:tcW w:w="4006" w:type="dxa"/>
          </w:tcPr>
          <w:p w:rsidR="00247726" w:rsidRDefault="00247726" w:rsidP="00E378DD">
            <w:pPr>
              <w:pStyle w:val="libFootnote0"/>
              <w:rPr>
                <w:rtl/>
                <w:lang w:bidi="fa-IR"/>
              </w:rPr>
            </w:pPr>
            <w:r>
              <w:rPr>
                <w:rtl/>
                <w:lang w:bidi="fa-IR"/>
              </w:rPr>
              <w:t>(14). في «جد»:«يجلب».وفي «جت»بالتاء والياء معاً.</w:t>
            </w:r>
          </w:p>
        </w:tc>
      </w:tr>
    </w:tbl>
    <w:p w:rsidR="00144FA6" w:rsidRDefault="00E378DD" w:rsidP="00E378DD">
      <w:pPr>
        <w:pStyle w:val="libFootnote0"/>
        <w:rPr>
          <w:rtl/>
          <w:lang w:bidi="fa-IR"/>
        </w:rPr>
      </w:pPr>
      <w:r>
        <w:rPr>
          <w:rtl/>
          <w:lang w:bidi="fa-IR"/>
        </w:rPr>
        <w:t>(15).</w:t>
      </w:r>
      <w:r w:rsidR="00744A1C">
        <w:rPr>
          <w:rtl/>
          <w:lang w:bidi="fa-IR"/>
        </w:rPr>
        <w:t xml:space="preserve"> </w:t>
      </w:r>
      <w:r w:rsidR="00744A1C" w:rsidRPr="00877682">
        <w:rPr>
          <w:rStyle w:val="libFootnoteBoldChar"/>
          <w:rtl/>
        </w:rPr>
        <w:t>قرب الإسناد</w:t>
      </w:r>
      <w:r w:rsidR="00744A1C">
        <w:rPr>
          <w:rtl/>
          <w:lang w:bidi="fa-IR"/>
        </w:rPr>
        <w:t xml:space="preserve"> ، ص 116 ، ح 408 ، بسند آخر عن جعفر ، عن أبيه </w:t>
      </w:r>
      <w:r w:rsidR="00F112A7" w:rsidRPr="00CE5A92">
        <w:rPr>
          <w:rStyle w:val="libFootnoteAlaemChar"/>
          <w:rtl/>
        </w:rPr>
        <w:t>عليهما‌السلام</w:t>
      </w:r>
      <w:r w:rsidR="00744A1C">
        <w:rPr>
          <w:rtl/>
          <w:lang w:bidi="fa-IR"/>
        </w:rPr>
        <w:t xml:space="preserve">عن رسول الله </w:t>
      </w:r>
      <w:r w:rsidR="00024D6D" w:rsidRPr="00024D6D">
        <w:rPr>
          <w:rStyle w:val="libFootnoteAlaemChar"/>
          <w:rtl/>
        </w:rPr>
        <w:t>صلى‌الله‌عليه‌وآله</w:t>
      </w:r>
      <w:r w:rsidR="00744A1C">
        <w:rPr>
          <w:rtl/>
          <w:lang w:bidi="fa-IR"/>
        </w:rPr>
        <w:t xml:space="preserve"> . </w:t>
      </w:r>
      <w:r w:rsidR="00744A1C" w:rsidRPr="007D61A8">
        <w:rPr>
          <w:rStyle w:val="libFootnoteBoldChar"/>
          <w:rtl/>
        </w:rPr>
        <w:t>تحف العقول</w:t>
      </w:r>
      <w:r w:rsidR="00744A1C">
        <w:rPr>
          <w:rtl/>
          <w:lang w:bidi="fa-IR"/>
        </w:rPr>
        <w:t xml:space="preserve"> ، ص 45 ، عن رسول الله </w:t>
      </w:r>
      <w:r w:rsidR="00F90866" w:rsidRPr="00F90866">
        <w:rPr>
          <w:rStyle w:val="libFootnoteAlaemChar"/>
          <w:rtl/>
        </w:rPr>
        <w:t>صلى‌الله‌عليه‌وآله</w:t>
      </w:r>
      <w:r w:rsidR="00744A1C">
        <w:rPr>
          <w:rtl/>
          <w:lang w:bidi="fa-IR"/>
        </w:rPr>
        <w:t xml:space="preserve"> ؛ </w:t>
      </w:r>
      <w:r w:rsidR="00744A1C" w:rsidRPr="00247726">
        <w:rPr>
          <w:rStyle w:val="libFootnoteBoldChar"/>
          <w:rtl/>
        </w:rPr>
        <w:t>وفيه</w:t>
      </w:r>
      <w:r w:rsidR="00744A1C">
        <w:rPr>
          <w:rtl/>
          <w:lang w:bidi="fa-IR"/>
        </w:rPr>
        <w:t xml:space="preserve"> ، ص 403 ، عن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D10E3C">
        <w:rPr>
          <w:rtl/>
          <w:lang w:bidi="fa-IR"/>
        </w:rPr>
        <w:t xml:space="preserve"> </w:t>
      </w:r>
      <w:r w:rsidR="00744A1C">
        <w:rPr>
          <w:rtl/>
          <w:lang w:bidi="fa-IR"/>
        </w:rPr>
        <w:t>، مع زيادة ؛ وفيه أيضاً ، ص 221 ،</w:t>
      </w:r>
      <w:r w:rsidR="00247726">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8621 / 8. مُحَمَّدُ بْنُ يَحْيى ، عَنْ أَحْمَدَ بْنِ مُحَمَّدِ بْنِ عِيسى ، عَنْ مُحَمَّدِ بْنِ خَالِدٍ ، عَنِ الْقَاسِمِ بْنِ مُحَمَّدٍ </w:t>
      </w:r>
      <w:r w:rsidRPr="00D10E3C">
        <w:rPr>
          <w:rStyle w:val="libFootnotenumChar"/>
          <w:rtl/>
        </w:rPr>
        <w:t>(1)</w:t>
      </w:r>
      <w:r>
        <w:rPr>
          <w:rtl/>
          <w:lang w:bidi="fa-IR"/>
        </w:rPr>
        <w:t xml:space="preserve"> ، عَنْ مُحَمَّدِ بْنِ الْقَاسِمِ ، قَالَ :</w:t>
      </w:r>
    </w:p>
    <w:p w:rsidR="00744A1C" w:rsidRDefault="00744A1C" w:rsidP="00744A1C">
      <w:pPr>
        <w:pStyle w:val="libNormal"/>
        <w:rPr>
          <w:lang w:bidi="fa-IR"/>
        </w:rPr>
      </w:pPr>
      <w:r>
        <w:rPr>
          <w:rtl/>
          <w:lang w:bidi="fa-IR"/>
        </w:rPr>
        <w:t xml:space="preserve">سَأَلْتُ أَبَا الْحَسَنِ - يَعْنِي </w:t>
      </w:r>
      <w:r w:rsidRPr="00D10E3C">
        <w:rPr>
          <w:rStyle w:val="libFootnotenumChar"/>
          <w:rtl/>
        </w:rPr>
        <w:t>(2)</w:t>
      </w:r>
      <w:r>
        <w:rPr>
          <w:rtl/>
          <w:lang w:bidi="fa-IR"/>
        </w:rPr>
        <w:t xml:space="preserve"> مُوسى </w:t>
      </w:r>
      <w:r w:rsidR="0061079A" w:rsidRPr="0061079A">
        <w:rPr>
          <w:rStyle w:val="libAlaemChar"/>
          <w:rtl/>
        </w:rPr>
        <w:t>عليه‌السلام</w:t>
      </w:r>
      <w:r w:rsidR="00D10E3C">
        <w:rPr>
          <w:rtl/>
          <w:lang w:bidi="fa-IR"/>
        </w:rPr>
        <w:t xml:space="preserve"> </w:t>
      </w:r>
      <w:r>
        <w:rPr>
          <w:rtl/>
          <w:lang w:bidi="fa-IR"/>
        </w:rPr>
        <w:t xml:space="preserve">- عَنْ رَجُلٍ اسْتَوْدَعَ رَجُلاً </w:t>
      </w:r>
      <w:r w:rsidRPr="00D10E3C">
        <w:rPr>
          <w:rStyle w:val="libFootnotenumChar"/>
          <w:rtl/>
        </w:rPr>
        <w:t>(3)</w:t>
      </w:r>
      <w:r>
        <w:rPr>
          <w:rtl/>
          <w:lang w:bidi="fa-IR"/>
        </w:rPr>
        <w:t xml:space="preserve"> مَالاً لَهُ قِيمَةٌ ، وَالرَّجُلُ الَّذِي عَلَيْهِ الْمَالُ رَجُلٌ مِنَ الْعَرَبِ يَقْدِرُ عَلى أَنْ لَا </w:t>
      </w:r>
      <w:r w:rsidRPr="00D10E3C">
        <w:rPr>
          <w:rStyle w:val="libFootnotenumChar"/>
          <w:rtl/>
        </w:rPr>
        <w:t>(4)</w:t>
      </w:r>
      <w:r>
        <w:rPr>
          <w:rtl/>
          <w:lang w:bidi="fa-IR"/>
        </w:rPr>
        <w:t xml:space="preserve"> يُعْطِيَهُ شَيْئاً ، وَلَا يَقْدِرُ‌</w:t>
      </w:r>
    </w:p>
    <w:p w:rsidR="00744A1C" w:rsidRDefault="00744A1C" w:rsidP="00D10E3C">
      <w:pPr>
        <w:pStyle w:val="libLine"/>
        <w:rPr>
          <w:lang w:bidi="fa-IR"/>
        </w:rPr>
      </w:pPr>
      <w:r>
        <w:rPr>
          <w:rtl/>
          <w:lang w:bidi="fa-IR"/>
        </w:rPr>
        <w:t>____________________</w:t>
      </w:r>
    </w:p>
    <w:p w:rsidR="00744A1C" w:rsidRDefault="00247726" w:rsidP="00D10E3C">
      <w:pPr>
        <w:pStyle w:val="libFootnote0"/>
        <w:rPr>
          <w:lang w:bidi="fa-IR"/>
        </w:rPr>
      </w:pPr>
      <w:r>
        <w:rPr>
          <w:rFonts w:hint="cs"/>
          <w:rtl/>
          <w:lang w:bidi="fa-IR"/>
        </w:rPr>
        <w:t xml:space="preserve">= </w:t>
      </w:r>
      <w:r w:rsidR="00744A1C">
        <w:rPr>
          <w:rtl/>
          <w:lang w:bidi="fa-IR"/>
        </w:rPr>
        <w:t xml:space="preserve">عن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مع اختلاف يسير ، وفي كلّ المصادر من قوله : « الأمانة تجلب الرزق ». وراجع : </w:t>
      </w:r>
      <w:r w:rsidR="00744A1C" w:rsidRPr="00247726">
        <w:rPr>
          <w:rStyle w:val="libFootnoteBoldChar"/>
          <w:rtl/>
        </w:rPr>
        <w:t>الخصال</w:t>
      </w:r>
      <w:r w:rsidR="00744A1C">
        <w:rPr>
          <w:rtl/>
          <w:lang w:bidi="fa-IR"/>
        </w:rPr>
        <w:t xml:space="preserve"> ، ص 504 ، أبواب الستّة عشر ، ح 2 </w:t>
      </w:r>
      <w:r>
        <w:rPr>
          <w:rFonts w:hint="cs"/>
          <w:rtl/>
          <w:lang w:bidi="fa-IR"/>
        </w:rPr>
        <w:t>.</w:t>
      </w:r>
      <w:r w:rsidR="00744A1C" w:rsidRPr="00C24F9C">
        <w:rPr>
          <w:rStyle w:val="libFootnoteBoldChar"/>
          <w:rtl/>
        </w:rPr>
        <w:t>الوافي</w:t>
      </w:r>
      <w:r w:rsidR="00744A1C">
        <w:rPr>
          <w:rtl/>
          <w:lang w:bidi="fa-IR"/>
        </w:rPr>
        <w:t xml:space="preserve"> ، ج 18 ، ص 824 ، ح 18374 ؛ </w:t>
      </w:r>
      <w:r w:rsidR="00744A1C" w:rsidRPr="00C24F9C">
        <w:rPr>
          <w:rStyle w:val="libFootnoteBoldChar"/>
          <w:rtl/>
        </w:rPr>
        <w:t>الوسائل</w:t>
      </w:r>
      <w:r w:rsidR="00744A1C">
        <w:rPr>
          <w:rtl/>
          <w:lang w:bidi="fa-IR"/>
        </w:rPr>
        <w:t xml:space="preserve"> ، ج 19 ، ص 76 ، ح 24190.</w:t>
      </w:r>
    </w:p>
    <w:p w:rsidR="00744A1C" w:rsidRDefault="00D10E3C" w:rsidP="00D10E3C">
      <w:pPr>
        <w:pStyle w:val="libFootnote0"/>
        <w:rPr>
          <w:lang w:bidi="fa-IR"/>
        </w:rPr>
      </w:pPr>
      <w:r>
        <w:rPr>
          <w:rtl/>
          <w:lang w:bidi="fa-IR"/>
        </w:rPr>
        <w:t>(1).</w:t>
      </w:r>
      <w:r w:rsidR="00744A1C">
        <w:rPr>
          <w:rtl/>
          <w:lang w:bidi="fa-IR"/>
        </w:rPr>
        <w:t xml:space="preserve"> القاسم بن محمّد في مشايخ محمّد بن خالد - وهو البرقي بقرينة راويه - هو القاسم بن محمّد الجوهري ، ولم نجد روايته عمّن يسمّى بمحمّد بن القاسم في غير سند هذا الخبر. والظاهر أنّ أحد العنوانين محرّف من الآخر ، والجمع بينهما من باب الجمع بين النسخة وبدلها.</w:t>
      </w:r>
    </w:p>
    <w:p w:rsidR="00744A1C" w:rsidRDefault="00744A1C" w:rsidP="00D10E3C">
      <w:pPr>
        <w:pStyle w:val="libFootnote0"/>
        <w:rPr>
          <w:lang w:bidi="fa-IR"/>
        </w:rPr>
      </w:pPr>
      <w:r>
        <w:rPr>
          <w:rtl/>
          <w:lang w:bidi="fa-IR"/>
        </w:rPr>
        <w:t>والظاهر أنّ « عن القاسم بن محمّد » زائدٌ في</w:t>
      </w:r>
      <w:r w:rsidR="00247726">
        <w:rPr>
          <w:rtl/>
          <w:lang w:bidi="fa-IR"/>
        </w:rPr>
        <w:t xml:space="preserve"> السند - كما نبّه على ذلك العل</w:t>
      </w:r>
      <w:r w:rsidR="00247726">
        <w:rPr>
          <w:rFonts w:hint="cs"/>
          <w:rtl/>
          <w:lang w:bidi="fa-IR"/>
        </w:rPr>
        <w:t>ّ</w:t>
      </w:r>
      <w:r w:rsidR="00247726">
        <w:rPr>
          <w:rtl/>
          <w:lang w:bidi="fa-IR"/>
        </w:rPr>
        <w:t>ا</w:t>
      </w:r>
      <w:r>
        <w:rPr>
          <w:rtl/>
          <w:lang w:bidi="fa-IR"/>
        </w:rPr>
        <w:t xml:space="preserve">مة الخبير السيّد موسى الشبيري - دام ظلّه - في تعليقته على السند ، والمراد من محمّد بن القاسم هو محمّد بن القاسم بن الفضيل بن يسار ؛ فإنّا لم نجد رواية محمّد بن خالد البرقي عن القاسم بن محمّد الجوهري عن أحدٍ من المعصومين </w:t>
      </w:r>
      <w:r w:rsidR="00877682" w:rsidRPr="00877682">
        <w:rPr>
          <w:rStyle w:val="libFootnoteAlaemChar"/>
          <w:rtl/>
        </w:rPr>
        <w:t>عليهم‌السلام</w:t>
      </w:r>
      <w:r w:rsidR="00D10E3C">
        <w:rPr>
          <w:rtl/>
          <w:lang w:bidi="fa-IR"/>
        </w:rPr>
        <w:t xml:space="preserve"> </w:t>
      </w:r>
      <w:r>
        <w:rPr>
          <w:rtl/>
          <w:lang w:bidi="fa-IR"/>
        </w:rPr>
        <w:t xml:space="preserve">سواء أكان أبا الحسن </w:t>
      </w:r>
      <w:r w:rsidR="0061079A" w:rsidRPr="0061079A">
        <w:rPr>
          <w:rStyle w:val="libFootnoteAlaemChar"/>
          <w:rtl/>
        </w:rPr>
        <w:t>عليه‌السلام</w:t>
      </w:r>
      <w:r w:rsidR="00D10E3C">
        <w:rPr>
          <w:rtl/>
          <w:lang w:bidi="fa-IR"/>
        </w:rPr>
        <w:t xml:space="preserve"> </w:t>
      </w:r>
      <w:r>
        <w:rPr>
          <w:rtl/>
          <w:lang w:bidi="fa-IR"/>
        </w:rPr>
        <w:t>أو غيره.</w:t>
      </w:r>
    </w:p>
    <w:p w:rsidR="00744A1C" w:rsidRDefault="00744A1C" w:rsidP="00D10E3C">
      <w:pPr>
        <w:pStyle w:val="libFootnote0"/>
        <w:rPr>
          <w:lang w:bidi="fa-IR"/>
        </w:rPr>
      </w:pPr>
      <w:r>
        <w:rPr>
          <w:rtl/>
          <w:lang w:bidi="fa-IR"/>
        </w:rPr>
        <w:t xml:space="preserve">وأمّا أنّ المراد من محمّد بن القاسم هو ابن الفضيل بن يسار ؛ فقد ورد ذيل الخبر في </w:t>
      </w:r>
      <w:r w:rsidRPr="00C24F9C">
        <w:rPr>
          <w:rStyle w:val="libFootnoteBoldChar"/>
          <w:rtl/>
        </w:rPr>
        <w:t>التهذيب</w:t>
      </w:r>
      <w:r>
        <w:rPr>
          <w:rtl/>
          <w:lang w:bidi="fa-IR"/>
        </w:rPr>
        <w:t xml:space="preserve"> ، ج 6 ، ص 339 ، ح 945 بسنده عن البرقي عن محمّد بن القاسم بن فضيل ، قال : سألت أبا الحسن الأوّل </w:t>
      </w:r>
      <w:r w:rsidR="0061079A" w:rsidRPr="0061079A">
        <w:rPr>
          <w:rStyle w:val="libFootnoteAlaemChar"/>
          <w:rtl/>
        </w:rPr>
        <w:t>عليه‌السلام</w:t>
      </w:r>
      <w:r>
        <w:rPr>
          <w:rtl/>
          <w:lang w:bidi="fa-IR"/>
        </w:rPr>
        <w:t xml:space="preserve"> .</w:t>
      </w:r>
    </w:p>
    <w:p w:rsidR="00744A1C" w:rsidRDefault="00744A1C" w:rsidP="00D10E3C">
      <w:pPr>
        <w:pStyle w:val="libFootnote0"/>
        <w:rPr>
          <w:lang w:bidi="fa-IR"/>
        </w:rPr>
      </w:pPr>
      <w:r>
        <w:rPr>
          <w:rtl/>
          <w:lang w:bidi="fa-IR"/>
        </w:rPr>
        <w:t xml:space="preserve">لا يقال : ورد الخبر في </w:t>
      </w:r>
      <w:r w:rsidRPr="00C24F9C">
        <w:rPr>
          <w:rStyle w:val="libFootnoteBoldChar"/>
          <w:rtl/>
        </w:rPr>
        <w:t>التهذيب</w:t>
      </w:r>
      <w:r>
        <w:rPr>
          <w:rtl/>
          <w:lang w:bidi="fa-IR"/>
        </w:rPr>
        <w:t xml:space="preserve"> ، ج 7 ، ص 181 ، ح 795 ، عن أحمد بن محمّد عن البرقي عن محمّد بن القاسم عن فضيل ، وفي الاستبصار ، ج 3 ، ص 123 ، ح 439 عن أحمد بن محمّد عن البرقي عن القاسم بن محمّد عن فضيل ، فلا يحصل الجزم بما استظهرته.</w:t>
      </w:r>
    </w:p>
    <w:p w:rsidR="00744A1C" w:rsidRDefault="00744A1C" w:rsidP="00D10E3C">
      <w:pPr>
        <w:pStyle w:val="libFootnote0"/>
        <w:rPr>
          <w:lang w:bidi="fa-IR"/>
        </w:rPr>
      </w:pPr>
      <w:r>
        <w:rPr>
          <w:rtl/>
          <w:lang w:bidi="fa-IR"/>
        </w:rPr>
        <w:t>فإنّه يقال : أمّا سند الاستبصار ، فقد ورد في بعض نسخه ، محمّد بن القاسم بدل القاسم بن محمّد.</w:t>
      </w:r>
    </w:p>
    <w:p w:rsidR="00744A1C" w:rsidRDefault="00744A1C" w:rsidP="00D10E3C">
      <w:pPr>
        <w:pStyle w:val="libFootnote0"/>
        <w:rPr>
          <w:lang w:bidi="fa-IR"/>
        </w:rPr>
      </w:pPr>
      <w:r>
        <w:rPr>
          <w:rtl/>
          <w:lang w:bidi="fa-IR"/>
        </w:rPr>
        <w:t xml:space="preserve">وأمّا رواية فضيل - وهو منصرف إلى الفضيل بن يسار - عن أبي الحسن </w:t>
      </w:r>
      <w:r w:rsidR="0061079A" w:rsidRPr="0061079A">
        <w:rPr>
          <w:rStyle w:val="libFootnoteAlaemChar"/>
          <w:rtl/>
        </w:rPr>
        <w:t>عليه‌السلام</w:t>
      </w:r>
      <w:r w:rsidR="00D10E3C">
        <w:rPr>
          <w:rtl/>
          <w:lang w:bidi="fa-IR"/>
        </w:rPr>
        <w:t xml:space="preserve"> </w:t>
      </w:r>
      <w:r>
        <w:rPr>
          <w:rtl/>
          <w:lang w:bidi="fa-IR"/>
        </w:rPr>
        <w:t xml:space="preserve">، ففيه ما لا يخفى ؛ فقد مات الفضيل بن يسار في حياة أبي عبد الله </w:t>
      </w:r>
      <w:r w:rsidR="0061079A" w:rsidRPr="0061079A">
        <w:rPr>
          <w:rStyle w:val="libFootnoteAlaemChar"/>
          <w:rtl/>
        </w:rPr>
        <w:t>عليه‌السلام</w:t>
      </w:r>
      <w:r w:rsidR="00D10E3C">
        <w:rPr>
          <w:rtl/>
          <w:lang w:bidi="fa-IR"/>
        </w:rPr>
        <w:t xml:space="preserve"> </w:t>
      </w:r>
      <w:r>
        <w:rPr>
          <w:rtl/>
          <w:lang w:bidi="fa-IR"/>
        </w:rPr>
        <w:t xml:space="preserve">، كما ورد ذلك في </w:t>
      </w:r>
      <w:r w:rsidRPr="003A7143">
        <w:rPr>
          <w:rStyle w:val="libFootnoteBoldChar"/>
          <w:rtl/>
        </w:rPr>
        <w:t>رجال النجاشي</w:t>
      </w:r>
      <w:r>
        <w:rPr>
          <w:rtl/>
          <w:lang w:bidi="fa-IR"/>
        </w:rPr>
        <w:t xml:space="preserve"> ، ص 309 ، الرقم 846 ؛ ورجال الكشّي ، ص 213 ، الرقم 381 ؛ و</w:t>
      </w:r>
      <w:r w:rsidRPr="0061079A">
        <w:rPr>
          <w:rStyle w:val="libFootnoteBoldChar"/>
          <w:rtl/>
        </w:rPr>
        <w:t>رجال الطوسي</w:t>
      </w:r>
      <w:r>
        <w:rPr>
          <w:rtl/>
          <w:lang w:bidi="fa-IR"/>
        </w:rPr>
        <w:t xml:space="preserve"> ، ص 269 ، الرقم 3868.</w:t>
      </w:r>
    </w:p>
    <w:p w:rsidR="00744A1C" w:rsidRDefault="00744A1C" w:rsidP="00D10E3C">
      <w:pPr>
        <w:pStyle w:val="libFootnote0"/>
        <w:rPr>
          <w:lang w:bidi="fa-IR"/>
        </w:rPr>
      </w:pPr>
      <w:r>
        <w:rPr>
          <w:rtl/>
          <w:lang w:bidi="fa-IR"/>
        </w:rPr>
        <w:t xml:space="preserve">فعليه الظاهر أنّ الصواب في سند </w:t>
      </w:r>
      <w:r w:rsidRPr="00373B7F">
        <w:rPr>
          <w:rtl/>
        </w:rPr>
        <w:t>التهذيبي</w:t>
      </w:r>
      <w:r>
        <w:rPr>
          <w:rtl/>
          <w:lang w:bidi="fa-IR"/>
        </w:rPr>
        <w:t>ن هو محمّد بن القاسم بن فضيل ، وهو المطلوب.</w:t>
      </w:r>
    </w:p>
    <w:p w:rsidR="00744A1C" w:rsidRDefault="00744A1C" w:rsidP="00D10E3C">
      <w:pPr>
        <w:pStyle w:val="libFootnote0"/>
        <w:rPr>
          <w:lang w:bidi="fa-IR"/>
        </w:rPr>
      </w:pPr>
      <w:r>
        <w:rPr>
          <w:rtl/>
          <w:lang w:bidi="fa-IR"/>
        </w:rPr>
        <w:t xml:space="preserve">ويؤيّد ذلك أنّ لِمحمّد بن القاسم بن الفضيل بن يسار كتاباً رواه أحمد بن محمّد بن خالد عن أبيه. راجع : </w:t>
      </w:r>
      <w:r w:rsidRPr="003A7143">
        <w:rPr>
          <w:rStyle w:val="libFootnoteBoldChar"/>
          <w:rtl/>
        </w:rPr>
        <w:t>رجال النجاشي</w:t>
      </w:r>
      <w:r>
        <w:rPr>
          <w:rtl/>
          <w:lang w:bidi="fa-IR"/>
        </w:rPr>
        <w:t xml:space="preserve"> ، ص 362 ، الرقم 973.</w:t>
      </w:r>
    </w:p>
    <w:p w:rsidR="00744A1C" w:rsidRDefault="00E378DD" w:rsidP="00E378DD">
      <w:pPr>
        <w:pStyle w:val="libFootnote0"/>
        <w:rPr>
          <w:lang w:bidi="fa-IR"/>
        </w:rPr>
      </w:pPr>
      <w:r>
        <w:rPr>
          <w:rtl/>
          <w:lang w:bidi="fa-IR"/>
        </w:rPr>
        <w:t>(2).</w:t>
      </w:r>
      <w:r w:rsidR="00744A1C">
        <w:rPr>
          <w:rtl/>
          <w:lang w:bidi="fa-IR"/>
        </w:rPr>
        <w:t xml:space="preserve"> في « ط ، ى ، بح ، بس ، جد ، جن » </w:t>
      </w:r>
      <w:r w:rsidR="00744A1C" w:rsidRPr="00373B7F">
        <w:rPr>
          <w:rtl/>
        </w:rPr>
        <w:t>والتهذيب</w:t>
      </w:r>
      <w:r w:rsidR="00744A1C">
        <w:rPr>
          <w:rtl/>
          <w:lang w:bidi="fa-IR"/>
        </w:rPr>
        <w:t xml:space="preserve"> ، ج 6 : - « يعني ».</w:t>
      </w:r>
    </w:p>
    <w:p w:rsidR="00744A1C" w:rsidRDefault="00E378DD" w:rsidP="00E378DD">
      <w:pPr>
        <w:pStyle w:val="libFootnote0"/>
        <w:rPr>
          <w:lang w:bidi="fa-IR"/>
        </w:rPr>
      </w:pPr>
      <w:r>
        <w:rPr>
          <w:rtl/>
          <w:lang w:bidi="fa-IR"/>
        </w:rPr>
        <w:t>(3).</w:t>
      </w:r>
      <w:r w:rsidR="00744A1C">
        <w:rPr>
          <w:rtl/>
          <w:lang w:bidi="fa-IR"/>
        </w:rPr>
        <w:t xml:space="preserve"> في </w:t>
      </w:r>
      <w:r w:rsidR="00744A1C" w:rsidRPr="00373B7F">
        <w:rPr>
          <w:rtl/>
        </w:rPr>
        <w:t>الوافي</w:t>
      </w:r>
      <w:r w:rsidR="00744A1C">
        <w:rPr>
          <w:rtl/>
          <w:lang w:bidi="fa-IR"/>
        </w:rPr>
        <w:t xml:space="preserve"> ، ح 18375 </w:t>
      </w:r>
      <w:r w:rsidR="00744A1C" w:rsidRPr="00373B7F">
        <w:rPr>
          <w:rtl/>
        </w:rPr>
        <w:t>والتهذيب</w:t>
      </w:r>
      <w:r w:rsidR="00744A1C">
        <w:rPr>
          <w:rtl/>
          <w:lang w:bidi="fa-IR"/>
        </w:rPr>
        <w:t xml:space="preserve"> ، ج 7 </w:t>
      </w:r>
      <w:r w:rsidR="00744A1C" w:rsidRPr="00373B7F">
        <w:rPr>
          <w:rtl/>
        </w:rPr>
        <w:t>والاستبصار</w:t>
      </w:r>
      <w:r w:rsidR="00744A1C">
        <w:rPr>
          <w:rtl/>
          <w:lang w:bidi="fa-IR"/>
        </w:rPr>
        <w:t xml:space="preserve"> : + « من مواليك ».</w:t>
      </w:r>
    </w:p>
    <w:p w:rsidR="00744A1C" w:rsidRDefault="00E378DD" w:rsidP="00E378DD">
      <w:pPr>
        <w:pStyle w:val="libFootnote0"/>
        <w:rPr>
          <w:lang w:bidi="fa-IR"/>
        </w:rPr>
      </w:pPr>
      <w:r>
        <w:rPr>
          <w:rtl/>
          <w:lang w:bidi="fa-IR"/>
        </w:rPr>
        <w:t>(4).</w:t>
      </w:r>
      <w:r w:rsidR="00744A1C">
        <w:rPr>
          <w:rtl/>
          <w:lang w:bidi="fa-IR"/>
        </w:rPr>
        <w:t xml:space="preserve"> في « ط » : - « لا ».</w:t>
      </w:r>
    </w:p>
    <w:p w:rsidR="006D42F6" w:rsidRDefault="006D42F6" w:rsidP="00D10E3C">
      <w:pPr>
        <w:pStyle w:val="libNormal"/>
        <w:rPr>
          <w:rtl/>
          <w:lang w:bidi="fa-IR"/>
        </w:rPr>
      </w:pPr>
      <w:r>
        <w:rPr>
          <w:rtl/>
          <w:lang w:bidi="fa-IR"/>
        </w:rPr>
        <w:br w:type="page"/>
      </w:r>
    </w:p>
    <w:p w:rsidR="00744A1C" w:rsidRDefault="00744A1C" w:rsidP="00373B7F">
      <w:pPr>
        <w:pStyle w:val="libNormal0"/>
        <w:rPr>
          <w:lang w:bidi="fa-IR"/>
        </w:rPr>
      </w:pPr>
      <w:r>
        <w:rPr>
          <w:rtl/>
          <w:lang w:bidi="fa-IR"/>
        </w:rPr>
        <w:t xml:space="preserve">لَهُ عَلى شَيْ‌ءٍ </w:t>
      </w:r>
      <w:r w:rsidRPr="00D10E3C">
        <w:rPr>
          <w:rStyle w:val="libFootnotenumChar"/>
          <w:rtl/>
        </w:rPr>
        <w:t>(1)</w:t>
      </w:r>
      <w:r>
        <w:rPr>
          <w:rtl/>
          <w:lang w:bidi="fa-IR"/>
        </w:rPr>
        <w:t xml:space="preserve"> ، وَالرَّجُلُ الَّذِي اسْتَوْدَعَهُ خَبِيثٌ خَارِجِيٌّ </w:t>
      </w:r>
      <w:r w:rsidRPr="00D10E3C">
        <w:rPr>
          <w:rStyle w:val="libFootnotenumChar"/>
          <w:rtl/>
        </w:rPr>
        <w:t>(2)</w:t>
      </w:r>
      <w:r>
        <w:rPr>
          <w:rtl/>
          <w:lang w:bidi="fa-IR"/>
        </w:rPr>
        <w:t xml:space="preserve"> ، فَلَمْ أَدَعْ شَيْئاً </w:t>
      </w:r>
      <w:r w:rsidRPr="00D10E3C">
        <w:rPr>
          <w:rStyle w:val="libFootnotenumChar"/>
          <w:rtl/>
        </w:rPr>
        <w:t>(3)</w:t>
      </w:r>
      <w:r>
        <w:rPr>
          <w:rtl/>
          <w:lang w:bidi="fa-IR"/>
        </w:rPr>
        <w:t>؟</w:t>
      </w:r>
    </w:p>
    <w:p w:rsidR="00744A1C" w:rsidRDefault="00744A1C" w:rsidP="00744A1C">
      <w:pPr>
        <w:pStyle w:val="libNormal"/>
        <w:rPr>
          <w:lang w:bidi="fa-IR"/>
        </w:rPr>
      </w:pPr>
      <w:r>
        <w:rPr>
          <w:rtl/>
          <w:lang w:bidi="fa-IR"/>
        </w:rPr>
        <w:t xml:space="preserve">فَقَالَ لِي </w:t>
      </w:r>
      <w:r w:rsidRPr="00D10E3C">
        <w:rPr>
          <w:rStyle w:val="libFootnotenumChar"/>
          <w:rtl/>
        </w:rPr>
        <w:t>(4)</w:t>
      </w:r>
      <w:r>
        <w:rPr>
          <w:rtl/>
          <w:lang w:bidi="fa-IR"/>
        </w:rPr>
        <w:t xml:space="preserve"> : « قُلْ لَهُ </w:t>
      </w:r>
      <w:r w:rsidRPr="00D10E3C">
        <w:rPr>
          <w:rStyle w:val="libFootnotenumChar"/>
          <w:rtl/>
        </w:rPr>
        <w:t>(5)</w:t>
      </w:r>
      <w:r>
        <w:rPr>
          <w:rtl/>
          <w:lang w:bidi="fa-IR"/>
        </w:rPr>
        <w:t xml:space="preserve"> : رُدَّهُ </w:t>
      </w:r>
      <w:r w:rsidRPr="00D10E3C">
        <w:rPr>
          <w:rStyle w:val="libFootnotenumChar"/>
          <w:rtl/>
        </w:rPr>
        <w:t>(6)</w:t>
      </w:r>
      <w:r>
        <w:rPr>
          <w:rtl/>
          <w:lang w:bidi="fa-IR"/>
        </w:rPr>
        <w:t xml:space="preserve"> عَلَيْهِ ؛ فَإِنَّهُ ائْتَمَنَهُ عَلَيْهِ </w:t>
      </w:r>
      <w:r w:rsidRPr="00D10E3C">
        <w:rPr>
          <w:rStyle w:val="libFootnotenumChar"/>
          <w:rtl/>
        </w:rPr>
        <w:t>(7)</w:t>
      </w:r>
      <w:r>
        <w:rPr>
          <w:rtl/>
          <w:lang w:bidi="fa-IR"/>
        </w:rPr>
        <w:t xml:space="preserve"> بِأَمَانَةِ اللهِ عَزَّ وَجَلَّ ».</w:t>
      </w:r>
    </w:p>
    <w:p w:rsidR="00744A1C" w:rsidRDefault="00744A1C" w:rsidP="00744A1C">
      <w:pPr>
        <w:pStyle w:val="libNormal"/>
        <w:rPr>
          <w:lang w:bidi="fa-IR"/>
        </w:rPr>
      </w:pPr>
      <w:r>
        <w:rPr>
          <w:rtl/>
          <w:lang w:bidi="fa-IR"/>
        </w:rPr>
        <w:t xml:space="preserve">قُلْتُ : فَرَجُلٌ اشْتَرى مِنِ امْرَأَةٍ مِنَ الْعَبَّاسِيِّينَ بَعْضَ قَطَائِعِهِمْ </w:t>
      </w:r>
      <w:r w:rsidRPr="00D10E3C">
        <w:rPr>
          <w:rStyle w:val="libFootnotenumChar"/>
          <w:rtl/>
        </w:rPr>
        <w:t>(8)</w:t>
      </w:r>
      <w:r>
        <w:rPr>
          <w:rtl/>
          <w:lang w:bidi="fa-IR"/>
        </w:rPr>
        <w:t xml:space="preserve"> ، فَكَتَبَ عَلَيْهَا </w:t>
      </w:r>
      <w:r w:rsidRPr="00D10E3C">
        <w:rPr>
          <w:rStyle w:val="libFootnotenumChar"/>
          <w:rtl/>
        </w:rPr>
        <w:t>(9)</w:t>
      </w:r>
      <w:r>
        <w:rPr>
          <w:rtl/>
          <w:lang w:bidi="fa-IR"/>
        </w:rPr>
        <w:t xml:space="preserve"> كِتَاباً أَنَّهَا </w:t>
      </w:r>
      <w:r w:rsidRPr="00D10E3C">
        <w:rPr>
          <w:rStyle w:val="libFootnotenumChar"/>
          <w:rtl/>
        </w:rPr>
        <w:t>(10)</w:t>
      </w:r>
      <w:r>
        <w:rPr>
          <w:rtl/>
          <w:lang w:bidi="fa-IR"/>
        </w:rPr>
        <w:t xml:space="preserve"> قَدْ </w:t>
      </w:r>
      <w:r w:rsidRPr="00D10E3C">
        <w:rPr>
          <w:rStyle w:val="libFootnotenumChar"/>
          <w:rtl/>
        </w:rPr>
        <w:t>(11)</w:t>
      </w:r>
      <w:r>
        <w:rPr>
          <w:rtl/>
          <w:lang w:bidi="fa-IR"/>
        </w:rPr>
        <w:t xml:space="preserve"> قَبَضَتِ الْمَالَ ، وَلَمْ تَقْبِضْهُ ، فَيُعْطِيهَا الْمَالَ </w:t>
      </w:r>
      <w:r w:rsidRPr="00D10E3C">
        <w:rPr>
          <w:rStyle w:val="libFootnotenumChar"/>
          <w:rtl/>
        </w:rPr>
        <w:t>(12)</w:t>
      </w:r>
      <w:r>
        <w:rPr>
          <w:rtl/>
          <w:lang w:bidi="fa-IR"/>
        </w:rPr>
        <w:t xml:space="preserve"> ، أَمْ </w:t>
      </w:r>
      <w:r w:rsidRPr="00D10E3C">
        <w:rPr>
          <w:rStyle w:val="libFootnotenumChar"/>
          <w:rtl/>
        </w:rPr>
        <w:t>(13)</w:t>
      </w:r>
      <w:r>
        <w:rPr>
          <w:rtl/>
          <w:lang w:bidi="fa-IR"/>
        </w:rPr>
        <w:t xml:space="preserve"> يَمْنَعُهَا؟</w:t>
      </w:r>
    </w:p>
    <w:p w:rsidR="00744A1C" w:rsidRDefault="00744A1C" w:rsidP="00744A1C">
      <w:pPr>
        <w:pStyle w:val="libNormal"/>
        <w:rPr>
          <w:lang w:bidi="fa-IR"/>
        </w:rPr>
      </w:pPr>
      <w:r>
        <w:rPr>
          <w:rtl/>
          <w:lang w:bidi="fa-IR"/>
        </w:rPr>
        <w:t xml:space="preserve">قَالَ لِي </w:t>
      </w:r>
      <w:r w:rsidRPr="00D10E3C">
        <w:rPr>
          <w:rStyle w:val="libFootnotenumChar"/>
          <w:rtl/>
        </w:rPr>
        <w:t>(14)</w:t>
      </w:r>
      <w:r>
        <w:rPr>
          <w:rtl/>
          <w:lang w:bidi="fa-IR"/>
        </w:rPr>
        <w:t xml:space="preserve"> : « قُلْ </w:t>
      </w:r>
      <w:r w:rsidRPr="00D10E3C">
        <w:rPr>
          <w:rStyle w:val="libFootnotenumChar"/>
          <w:rtl/>
        </w:rPr>
        <w:t>(15)</w:t>
      </w:r>
      <w:r>
        <w:rPr>
          <w:rtl/>
          <w:lang w:bidi="fa-IR"/>
        </w:rPr>
        <w:t xml:space="preserve"> لَهُ : يَمْنَعُهَا </w:t>
      </w:r>
      <w:r w:rsidRPr="00D10E3C">
        <w:rPr>
          <w:rStyle w:val="libFootnotenumChar"/>
          <w:rtl/>
        </w:rPr>
        <w:t>(16)</w:t>
      </w:r>
      <w:r>
        <w:rPr>
          <w:rtl/>
          <w:lang w:bidi="fa-IR"/>
        </w:rPr>
        <w:t xml:space="preserve"> أَشَدَّ الْمَنْعِ ؛</w:t>
      </w:r>
      <w:r w:rsidR="00373B7F">
        <w:rPr>
          <w:rFonts w:hint="cs"/>
          <w:rtl/>
          <w:lang w:bidi="fa-IR"/>
        </w:rPr>
        <w:t xml:space="preserve"> ..............</w:t>
      </w:r>
      <w:r w:rsidR="00373B7F">
        <w:rPr>
          <w:rFonts w:hint="cs"/>
          <w:rtl/>
          <w:lang w:bidi="fa-IR"/>
        </w:rPr>
        <w:tab/>
        <w:t>..........</w:t>
      </w:r>
      <w:r w:rsidR="00373B7F">
        <w:rPr>
          <w:rFonts w:hint="cs"/>
          <w:rtl/>
          <w:lang w:bidi="fa-IR"/>
        </w:rPr>
        <w:tab/>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373B7F">
        <w:rPr>
          <w:rtl/>
        </w:rPr>
        <w:t>التهذيب</w:t>
      </w:r>
      <w:r w:rsidR="00744A1C">
        <w:rPr>
          <w:rtl/>
          <w:lang w:bidi="fa-IR"/>
        </w:rPr>
        <w:t xml:space="preserve"> ، ج 7 </w:t>
      </w:r>
      <w:r w:rsidR="00744A1C" w:rsidRPr="00373B7F">
        <w:rPr>
          <w:rtl/>
        </w:rPr>
        <w:t>والاستبصار</w:t>
      </w:r>
      <w:r w:rsidR="00744A1C">
        <w:rPr>
          <w:rtl/>
          <w:lang w:bidi="fa-IR"/>
        </w:rPr>
        <w:t xml:space="preserve"> : - « ولا يقدر له على شي‌ء ».</w:t>
      </w:r>
    </w:p>
    <w:p w:rsidR="00744A1C" w:rsidRDefault="00E378DD" w:rsidP="00E378DD">
      <w:pPr>
        <w:pStyle w:val="libFootnote0"/>
        <w:rPr>
          <w:lang w:bidi="fa-IR"/>
        </w:rPr>
      </w:pPr>
      <w:r>
        <w:rPr>
          <w:rtl/>
          <w:lang w:bidi="fa-IR"/>
        </w:rPr>
        <w:t>(2).</w:t>
      </w:r>
      <w:r w:rsidR="00744A1C">
        <w:rPr>
          <w:rtl/>
          <w:lang w:bidi="fa-IR"/>
        </w:rPr>
        <w:t xml:space="preserve"> في </w:t>
      </w:r>
      <w:r w:rsidR="00744A1C" w:rsidRPr="00373B7F">
        <w:rPr>
          <w:rtl/>
        </w:rPr>
        <w:t>الوافي</w:t>
      </w:r>
      <w:r w:rsidR="00744A1C">
        <w:rPr>
          <w:rtl/>
          <w:lang w:bidi="fa-IR"/>
        </w:rPr>
        <w:t xml:space="preserve"> ، ح 18375 </w:t>
      </w:r>
      <w:r w:rsidR="00744A1C" w:rsidRPr="00373B7F">
        <w:rPr>
          <w:rtl/>
        </w:rPr>
        <w:t>والتهذيب</w:t>
      </w:r>
      <w:r w:rsidR="00744A1C">
        <w:rPr>
          <w:rtl/>
          <w:lang w:bidi="fa-IR"/>
        </w:rPr>
        <w:t xml:space="preserve"> ، ج 7 </w:t>
      </w:r>
      <w:r w:rsidR="00744A1C" w:rsidRPr="00373B7F">
        <w:rPr>
          <w:rtl/>
        </w:rPr>
        <w:t>والاستبصار</w:t>
      </w:r>
      <w:r w:rsidR="00744A1C">
        <w:rPr>
          <w:rtl/>
          <w:lang w:bidi="fa-IR"/>
        </w:rPr>
        <w:t xml:space="preserve"> : + « شيطان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فلم أدع شيئاً ؛ يعني من الألفاظ الدالّة على ذمّه ».</w:t>
      </w:r>
    </w:p>
    <w:tbl>
      <w:tblPr>
        <w:tblStyle w:val="TableGrid"/>
        <w:bidiVisual/>
        <w:tblW w:w="0" w:type="auto"/>
        <w:tblLook w:val="04A0" w:firstRow="1" w:lastRow="0" w:firstColumn="1" w:lastColumn="0" w:noHBand="0" w:noVBand="1"/>
      </w:tblPr>
      <w:tblGrid>
        <w:gridCol w:w="4006"/>
        <w:gridCol w:w="4006"/>
      </w:tblGrid>
      <w:tr w:rsidR="00373B7F" w:rsidTr="00373B7F">
        <w:tc>
          <w:tcPr>
            <w:tcW w:w="4006" w:type="dxa"/>
          </w:tcPr>
          <w:p w:rsidR="00373B7F" w:rsidRDefault="00373B7F" w:rsidP="00E378DD">
            <w:pPr>
              <w:pStyle w:val="libFootnote0"/>
              <w:rPr>
                <w:rtl/>
                <w:lang w:bidi="fa-IR"/>
              </w:rPr>
            </w:pPr>
            <w:r>
              <w:rPr>
                <w:rtl/>
                <w:lang w:bidi="fa-IR"/>
              </w:rPr>
              <w:t>(4). في « ط » : - « لي ».</w:t>
            </w:r>
          </w:p>
        </w:tc>
        <w:tc>
          <w:tcPr>
            <w:tcW w:w="4006" w:type="dxa"/>
          </w:tcPr>
          <w:p w:rsidR="00373B7F" w:rsidRDefault="00373B7F" w:rsidP="00E378DD">
            <w:pPr>
              <w:pStyle w:val="libFootnote0"/>
              <w:rPr>
                <w:rtl/>
                <w:lang w:bidi="fa-IR"/>
              </w:rPr>
            </w:pPr>
            <w:r>
              <w:rPr>
                <w:rtl/>
                <w:lang w:bidi="fa-IR"/>
              </w:rPr>
              <w:t>(5). في « بف » : - « له ».</w:t>
            </w:r>
          </w:p>
        </w:tc>
      </w:tr>
    </w:tbl>
    <w:p w:rsidR="00744A1C" w:rsidRDefault="00E378DD" w:rsidP="00E378DD">
      <w:pPr>
        <w:pStyle w:val="libFootnote0"/>
        <w:rPr>
          <w:lang w:bidi="fa-IR"/>
        </w:rPr>
      </w:pPr>
      <w:r>
        <w:rPr>
          <w:rtl/>
          <w:lang w:bidi="fa-IR"/>
        </w:rPr>
        <w:t>(6).</w:t>
      </w:r>
      <w:r w:rsidR="00744A1C">
        <w:rPr>
          <w:rtl/>
          <w:lang w:bidi="fa-IR"/>
        </w:rPr>
        <w:t xml:space="preserve"> في « ى ، بس ، بح ، جد » </w:t>
      </w:r>
      <w:r w:rsidR="00744A1C" w:rsidRPr="00C24F9C">
        <w:rPr>
          <w:rStyle w:val="libFootnoteBoldChar"/>
          <w:rtl/>
        </w:rPr>
        <w:t>والاستبصار</w:t>
      </w:r>
      <w:r w:rsidR="00744A1C">
        <w:rPr>
          <w:rtl/>
          <w:lang w:bidi="fa-IR"/>
        </w:rPr>
        <w:t xml:space="preserve"> : « ردّ ». وفي « جن » و</w:t>
      </w:r>
      <w:r w:rsidR="00744A1C" w:rsidRPr="00C24F9C">
        <w:rPr>
          <w:rStyle w:val="libFootnoteBoldChar"/>
          <w:rtl/>
        </w:rPr>
        <w:t>الوسائل</w:t>
      </w:r>
      <w:r w:rsidR="00744A1C">
        <w:rPr>
          <w:rtl/>
          <w:lang w:bidi="fa-IR"/>
        </w:rPr>
        <w:t xml:space="preserve"> : « يردّ ».</w:t>
      </w:r>
    </w:p>
    <w:p w:rsidR="00744A1C" w:rsidRDefault="00E378DD" w:rsidP="00E378DD">
      <w:pPr>
        <w:pStyle w:val="libFootnote0"/>
        <w:rPr>
          <w:lang w:bidi="fa-IR"/>
        </w:rPr>
      </w:pPr>
      <w:r>
        <w:rPr>
          <w:rtl/>
          <w:lang w:bidi="fa-IR"/>
        </w:rPr>
        <w:t>(7).</w:t>
      </w:r>
      <w:r w:rsidR="00744A1C">
        <w:rPr>
          <w:rtl/>
          <w:lang w:bidi="fa-IR"/>
        </w:rPr>
        <w:t xml:space="preserve"> في « بخ ، بف » : - « عليه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القطائع : مح</w:t>
      </w:r>
      <w:r w:rsidR="00DD64EB">
        <w:rPr>
          <w:rtl/>
          <w:lang w:bidi="fa-IR"/>
        </w:rPr>
        <w:t>الّ ببغداد كان أقطعها المنصور ل</w:t>
      </w:r>
      <w:r w:rsidR="00744A1C">
        <w:rPr>
          <w:rtl/>
          <w:lang w:bidi="fa-IR"/>
        </w:rPr>
        <w:t>ا</w:t>
      </w:r>
      <w:r w:rsidR="00DD64EB">
        <w:rPr>
          <w:rFonts w:hint="cs"/>
          <w:rtl/>
          <w:lang w:bidi="fa-IR"/>
        </w:rPr>
        <w:t>ُ</w:t>
      </w:r>
      <w:r w:rsidR="00744A1C">
        <w:rPr>
          <w:rtl/>
          <w:lang w:bidi="fa-IR"/>
        </w:rPr>
        <w:t xml:space="preserve">ناس من أعيان دولته ؛ ليعمروها ويسكنوها ، وإنّمالم تملكها لأنّها كانت مال الإمام </w:t>
      </w:r>
      <w:r w:rsidR="0061079A" w:rsidRPr="0061079A">
        <w:rPr>
          <w:rStyle w:val="libFootnoteAlaemChar"/>
          <w:rtl/>
        </w:rPr>
        <w:t>عليه‌السلام</w:t>
      </w:r>
      <w:r w:rsidR="00D10E3C">
        <w:rPr>
          <w:rtl/>
          <w:lang w:bidi="fa-IR"/>
        </w:rPr>
        <w:t xml:space="preserve"> </w:t>
      </w:r>
      <w:r w:rsidR="00744A1C">
        <w:rPr>
          <w:rtl/>
          <w:lang w:bidi="fa-IR"/>
        </w:rPr>
        <w:t xml:space="preserve">». والقطائع : جميع القطيعة ، وهي طائفة من أرض الخراج ، واسم للشي‌ء الذي يُقْطَع ، واسم لما ينقل من المال ، كالقرى والأراضي والأبراج والحصون. راجع : </w:t>
      </w:r>
      <w:r w:rsidR="00744A1C" w:rsidRPr="008A57EB">
        <w:rPr>
          <w:rStyle w:val="libFootnoteBoldChar"/>
          <w:rtl/>
        </w:rPr>
        <w:t>القاموس المحيط</w:t>
      </w:r>
      <w:r w:rsidR="00744A1C">
        <w:rPr>
          <w:rtl/>
          <w:lang w:bidi="fa-IR"/>
        </w:rPr>
        <w:t xml:space="preserve"> ، ج 2 ، ص 1008 ؛ </w:t>
      </w:r>
      <w:r w:rsidR="00744A1C" w:rsidRPr="008A57EB">
        <w:rPr>
          <w:rStyle w:val="libFootnoteBoldChar"/>
          <w:rtl/>
        </w:rPr>
        <w:t>مجمع البحرين</w:t>
      </w:r>
      <w:r w:rsidR="00744A1C">
        <w:rPr>
          <w:rtl/>
          <w:lang w:bidi="fa-IR"/>
        </w:rPr>
        <w:t xml:space="preserve"> ، ج 4 ، ص 381 ( قطع ).</w:t>
      </w:r>
    </w:p>
    <w:p w:rsidR="00744A1C" w:rsidRDefault="00E378DD" w:rsidP="00E378DD">
      <w:pPr>
        <w:pStyle w:val="libFootnote0"/>
        <w:rPr>
          <w:lang w:bidi="fa-IR"/>
        </w:rPr>
      </w:pPr>
      <w:r>
        <w:rPr>
          <w:rtl/>
          <w:lang w:bidi="fa-IR"/>
        </w:rPr>
        <w:t>(9).</w:t>
      </w:r>
      <w:r w:rsidR="00744A1C">
        <w:rPr>
          <w:rtl/>
          <w:lang w:bidi="fa-IR"/>
        </w:rPr>
        <w:t xml:space="preserve"> في « بح » : « إليها ».</w:t>
      </w:r>
    </w:p>
    <w:p w:rsidR="00744A1C" w:rsidRDefault="00E378DD" w:rsidP="00E378DD">
      <w:pPr>
        <w:pStyle w:val="libFootnote0"/>
        <w:rPr>
          <w:lang w:bidi="fa-IR"/>
        </w:rPr>
      </w:pPr>
      <w:r>
        <w:rPr>
          <w:rtl/>
          <w:lang w:bidi="fa-IR"/>
        </w:rPr>
        <w:t>(10).</w:t>
      </w:r>
      <w:r w:rsidR="00744A1C">
        <w:rPr>
          <w:rtl/>
          <w:lang w:bidi="fa-IR"/>
        </w:rPr>
        <w:t xml:space="preserve"> في « ط ، بخ ، بف » </w:t>
      </w:r>
      <w:r w:rsidR="00744A1C" w:rsidRPr="00DD64EB">
        <w:rPr>
          <w:rtl/>
        </w:rPr>
        <w:t>والوافي</w:t>
      </w:r>
      <w:r w:rsidR="00744A1C">
        <w:rPr>
          <w:rtl/>
          <w:lang w:bidi="fa-IR"/>
        </w:rPr>
        <w:t xml:space="preserve"> ، ح 17310 </w:t>
      </w:r>
      <w:r w:rsidR="00744A1C" w:rsidRPr="00DD64EB">
        <w:rPr>
          <w:rtl/>
        </w:rPr>
        <w:t>والتهذيب</w:t>
      </w:r>
      <w:r w:rsidR="00744A1C">
        <w:rPr>
          <w:rtl/>
          <w:lang w:bidi="fa-IR"/>
        </w:rPr>
        <w:t xml:space="preserve"> ، ج 6 : « بأنّها ».</w:t>
      </w:r>
    </w:p>
    <w:tbl>
      <w:tblPr>
        <w:tblStyle w:val="TableGrid"/>
        <w:bidiVisual/>
        <w:tblW w:w="0" w:type="auto"/>
        <w:tblLook w:val="04A0" w:firstRow="1" w:lastRow="0" w:firstColumn="1" w:lastColumn="0" w:noHBand="0" w:noVBand="1"/>
      </w:tblPr>
      <w:tblGrid>
        <w:gridCol w:w="4006"/>
        <w:gridCol w:w="4006"/>
      </w:tblGrid>
      <w:tr w:rsidR="00DD64EB" w:rsidTr="00DD64EB">
        <w:tc>
          <w:tcPr>
            <w:tcW w:w="4006" w:type="dxa"/>
          </w:tcPr>
          <w:p w:rsidR="00DD64EB" w:rsidRDefault="00DD64EB" w:rsidP="00E378DD">
            <w:pPr>
              <w:pStyle w:val="libFootnote0"/>
              <w:rPr>
                <w:rtl/>
                <w:lang w:bidi="fa-IR"/>
              </w:rPr>
            </w:pPr>
            <w:r>
              <w:rPr>
                <w:rtl/>
                <w:lang w:bidi="fa-IR"/>
              </w:rPr>
              <w:t>(11). في « بف » : - « قد ».</w:t>
            </w:r>
          </w:p>
        </w:tc>
        <w:tc>
          <w:tcPr>
            <w:tcW w:w="4006" w:type="dxa"/>
          </w:tcPr>
          <w:p w:rsidR="00DD64EB" w:rsidRDefault="00DD64EB" w:rsidP="00E378DD">
            <w:pPr>
              <w:pStyle w:val="libFootnote0"/>
              <w:rPr>
                <w:rtl/>
                <w:lang w:bidi="fa-IR"/>
              </w:rPr>
            </w:pPr>
            <w:r>
              <w:rPr>
                <w:rtl/>
                <w:lang w:bidi="fa-IR"/>
              </w:rPr>
              <w:t>(12). في « بخ ، بف » : - « المال ».</w:t>
            </w:r>
          </w:p>
        </w:tc>
      </w:tr>
      <w:tr w:rsidR="00DD64EB" w:rsidTr="00DD64EB">
        <w:tc>
          <w:tcPr>
            <w:tcW w:w="4006" w:type="dxa"/>
          </w:tcPr>
          <w:p w:rsidR="00DD64EB" w:rsidRDefault="00DD64EB" w:rsidP="00E378DD">
            <w:pPr>
              <w:pStyle w:val="libFootnote0"/>
              <w:rPr>
                <w:rtl/>
                <w:lang w:bidi="fa-IR"/>
              </w:rPr>
            </w:pPr>
            <w:r>
              <w:rPr>
                <w:rtl/>
                <w:lang w:bidi="fa-IR"/>
              </w:rPr>
              <w:t>(13). في « ط » : « أو ».</w:t>
            </w:r>
          </w:p>
        </w:tc>
        <w:tc>
          <w:tcPr>
            <w:tcW w:w="4006" w:type="dxa"/>
          </w:tcPr>
          <w:p w:rsidR="00DD64EB" w:rsidRDefault="00DD64EB" w:rsidP="00E378DD">
            <w:pPr>
              <w:pStyle w:val="libFootnote0"/>
              <w:rPr>
                <w:rtl/>
                <w:lang w:bidi="fa-IR"/>
              </w:rPr>
            </w:pPr>
            <w:r>
              <w:rPr>
                <w:rtl/>
                <w:lang w:bidi="fa-IR"/>
              </w:rPr>
              <w:t xml:space="preserve">(14). في «ط،بخ،بف» </w:t>
            </w:r>
            <w:r w:rsidRPr="00DD64EB">
              <w:rPr>
                <w:rtl/>
              </w:rPr>
              <w:t>والوافي</w:t>
            </w:r>
            <w:r>
              <w:rPr>
                <w:rtl/>
                <w:lang w:bidi="fa-IR"/>
              </w:rPr>
              <w:t>،ح 17310:-«لي».</w:t>
            </w:r>
          </w:p>
        </w:tc>
      </w:tr>
    </w:tbl>
    <w:p w:rsidR="00744A1C" w:rsidRDefault="00E378DD" w:rsidP="00E378DD">
      <w:pPr>
        <w:pStyle w:val="libFootnote0"/>
        <w:rPr>
          <w:lang w:bidi="fa-IR"/>
        </w:rPr>
      </w:pPr>
      <w:r>
        <w:rPr>
          <w:rtl/>
          <w:lang w:bidi="fa-IR"/>
        </w:rPr>
        <w:t>(15).</w:t>
      </w:r>
      <w:r w:rsidR="00744A1C">
        <w:rPr>
          <w:rtl/>
          <w:lang w:bidi="fa-IR"/>
        </w:rPr>
        <w:t xml:space="preserve"> في </w:t>
      </w:r>
      <w:r w:rsidR="00744A1C" w:rsidRPr="00DD64EB">
        <w:rPr>
          <w:rtl/>
        </w:rPr>
        <w:t>الوافي</w:t>
      </w:r>
      <w:r w:rsidR="00744A1C">
        <w:rPr>
          <w:rtl/>
          <w:lang w:bidi="fa-IR"/>
        </w:rPr>
        <w:t xml:space="preserve"> ، ح 17310 : « فليقل ».</w:t>
      </w:r>
    </w:p>
    <w:p w:rsidR="00744A1C" w:rsidRDefault="00744A1C" w:rsidP="00D10E3C">
      <w:pPr>
        <w:pStyle w:val="libFootnote0"/>
        <w:rPr>
          <w:lang w:bidi="fa-IR"/>
        </w:rPr>
      </w:pPr>
      <w:r>
        <w:rPr>
          <w:rtl/>
          <w:lang w:bidi="fa-IR"/>
        </w:rPr>
        <w:t xml:space="preserve">(16) في </w:t>
      </w:r>
      <w:r w:rsidRPr="00DD64EB">
        <w:rPr>
          <w:rtl/>
        </w:rPr>
        <w:t>الوافي</w:t>
      </w:r>
      <w:r>
        <w:rPr>
          <w:rtl/>
          <w:lang w:bidi="fa-IR"/>
        </w:rPr>
        <w:t xml:space="preserve"> : « ليمنعها » بدل « يمنعها ». وفي </w:t>
      </w:r>
      <w:r w:rsidRPr="00DD64EB">
        <w:rPr>
          <w:rtl/>
        </w:rPr>
        <w:t>الوسائل والتهذيب</w:t>
      </w:r>
      <w:r>
        <w:rPr>
          <w:rtl/>
          <w:lang w:bidi="fa-IR"/>
        </w:rPr>
        <w:t xml:space="preserve"> ، ج 7 : « ليمنعها » بدل « لي ، قل له : يمنعها ». في </w:t>
      </w:r>
      <w:r w:rsidRPr="00877682">
        <w:rPr>
          <w:rStyle w:val="libFootnoteBoldChar"/>
          <w:rtl/>
        </w:rPr>
        <w:t>مرآة العقول</w:t>
      </w:r>
      <w:r>
        <w:rPr>
          <w:rtl/>
          <w:lang w:bidi="fa-IR"/>
        </w:rPr>
        <w:t xml:space="preserve"> ، ج 19 ، ص 103 : « قوله </w:t>
      </w:r>
      <w:r w:rsidR="0061079A" w:rsidRPr="0061079A">
        <w:rPr>
          <w:rStyle w:val="libFootnoteAlaemChar"/>
          <w:rtl/>
        </w:rPr>
        <w:t>عليه‌السلام</w:t>
      </w:r>
      <w:r w:rsidR="00D10E3C">
        <w:rPr>
          <w:rtl/>
          <w:lang w:bidi="fa-IR"/>
        </w:rPr>
        <w:t xml:space="preserve"> </w:t>
      </w:r>
      <w:r>
        <w:rPr>
          <w:rtl/>
          <w:lang w:bidi="fa-IR"/>
        </w:rPr>
        <w:t>: قل له : يمنعها ، يدلّ على كراهة أخذ أموالهم إذا كانت أمانة ، والجواز في غيرها ، سيّما ثمن المبيع الذي كان من الأراضي المفتوحة عنوة. ويحتمل أن يكون من باب « ألزموهم بما ألزموا به أنفسهم » ؛ فإنّ العامّة لا يجوّزون هذا البيع وأمثاله ، ونحن نجوّزه ، إمّا مطلقاً ، أو تبعاً للآثار ».</w:t>
      </w:r>
    </w:p>
    <w:p w:rsidR="00144FA6" w:rsidRDefault="00744A1C" w:rsidP="00D10E3C">
      <w:pPr>
        <w:pStyle w:val="libFootnote0"/>
        <w:rPr>
          <w:rtl/>
          <w:lang w:bidi="fa-IR"/>
        </w:rPr>
      </w:pPr>
      <w:r>
        <w:rPr>
          <w:rtl/>
          <w:lang w:bidi="fa-IR"/>
        </w:rPr>
        <w:t xml:space="preserve">وقال المحقّق الشعراني في هامش </w:t>
      </w:r>
      <w:r w:rsidRPr="00C24F9C">
        <w:rPr>
          <w:rStyle w:val="libFootnoteBoldChar"/>
          <w:rtl/>
        </w:rPr>
        <w:t>الوافي</w:t>
      </w:r>
      <w:r>
        <w:rPr>
          <w:rtl/>
          <w:lang w:bidi="fa-IR"/>
        </w:rPr>
        <w:t xml:space="preserve"> ، ج 17 ، ح 294 :</w:t>
      </w:r>
    </w:p>
    <w:p w:rsidR="00144FA6" w:rsidRDefault="00744A1C" w:rsidP="00D10E3C">
      <w:pPr>
        <w:pStyle w:val="libFootnote0"/>
        <w:rPr>
          <w:rtl/>
          <w:lang w:bidi="fa-IR"/>
        </w:rPr>
      </w:pPr>
      <w:r>
        <w:rPr>
          <w:rtl/>
          <w:lang w:bidi="fa-IR"/>
        </w:rPr>
        <w:t>« قوله : ليمنعها أشدّ المنع ، أ</w:t>
      </w:r>
      <w:r w:rsidR="00DD64EB">
        <w:rPr>
          <w:rtl/>
          <w:lang w:bidi="fa-IR"/>
        </w:rPr>
        <w:t>راضي العراق من المفتوح عنوة إل</w:t>
      </w:r>
      <w:r w:rsidR="00DD64EB">
        <w:rPr>
          <w:rFonts w:hint="cs"/>
          <w:rtl/>
          <w:lang w:bidi="fa-IR"/>
        </w:rPr>
        <w:t>ّ</w:t>
      </w:r>
      <w:r w:rsidR="00DD64EB">
        <w:rPr>
          <w:rtl/>
          <w:lang w:bidi="fa-IR"/>
        </w:rPr>
        <w:t>ا</w:t>
      </w:r>
      <w:r>
        <w:rPr>
          <w:rtl/>
          <w:lang w:bidi="fa-IR"/>
        </w:rPr>
        <w:t>ماشذّ ، كما قلنا في كتاب الزكاة ، وليس رقبة الأرض ممّا تباع أو توهب ، ومع ذلك كانوا يبيعون ويشترون ويهبون ويقفون في سبيل الله باعتبار الآثار</w:t>
      </w:r>
      <w:r w:rsidR="00DD64EB">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فَإِنَّهَا </w:t>
      </w:r>
      <w:r w:rsidRPr="00D10E3C">
        <w:rPr>
          <w:rStyle w:val="libFootnotenumChar"/>
          <w:rtl/>
        </w:rPr>
        <w:t>(1)</w:t>
      </w:r>
      <w:r>
        <w:rPr>
          <w:rtl/>
          <w:lang w:bidi="fa-IR"/>
        </w:rPr>
        <w:t xml:space="preserve"> بَاعَتْهُ </w:t>
      </w:r>
      <w:r w:rsidRPr="00D10E3C">
        <w:rPr>
          <w:rStyle w:val="libFootnotenumChar"/>
          <w:rtl/>
        </w:rPr>
        <w:t>(2)</w:t>
      </w:r>
      <w:r>
        <w:rPr>
          <w:rtl/>
          <w:lang w:bidi="fa-IR"/>
        </w:rPr>
        <w:t xml:space="preserve"> مَا لَمْ تَمْلِكْهُ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8622 / 9. الْحُسَيْنُ بْنُ مُحَمَّدٍ ، عَنْ مُحَمَّدِ بْنِ أَحْمَدَ النَّهْدِيِّ ، عَنْ كَثِيرِ بْنِ يُونُسَ ، عَنْ عَبْدِ الرَّحْمنِ بْنِ سَيَابَةَ ، قَالَ :</w:t>
      </w:r>
    </w:p>
    <w:p w:rsidR="00DD64EB" w:rsidRDefault="00744A1C" w:rsidP="00744A1C">
      <w:pPr>
        <w:pStyle w:val="libNormal"/>
        <w:rPr>
          <w:rtl/>
          <w:lang w:bidi="fa-IR"/>
        </w:rPr>
      </w:pPr>
      <w:r>
        <w:rPr>
          <w:rtl/>
          <w:lang w:bidi="fa-IR"/>
        </w:rPr>
        <w:t xml:space="preserve">لَمَّا أَنْ </w:t>
      </w:r>
      <w:r w:rsidRPr="00D10E3C">
        <w:rPr>
          <w:rStyle w:val="libFootnotenumChar"/>
          <w:rtl/>
        </w:rPr>
        <w:t>(5)</w:t>
      </w:r>
      <w:r>
        <w:rPr>
          <w:rtl/>
          <w:lang w:bidi="fa-IR"/>
        </w:rPr>
        <w:t xml:space="preserve"> هَلَكَ أَبِي سَيَابَةُ ، جَاءَ رَجُلٌ مِنْ إِخْوَانِهِ إِلَيَّ ، فَضَرَبَ الْبَابَ عَلَيَّ </w:t>
      </w:r>
      <w:r w:rsidRPr="00D10E3C">
        <w:rPr>
          <w:rStyle w:val="libFootnotenumChar"/>
          <w:rtl/>
        </w:rPr>
        <w:t>(6)</w:t>
      </w:r>
      <w:r>
        <w:rPr>
          <w:rtl/>
          <w:lang w:bidi="fa-IR"/>
        </w:rPr>
        <w:t xml:space="preserve"> ، فَخَرَجْتُ إِلَيْهِ ، فَعَزَّانِي </w:t>
      </w:r>
      <w:r w:rsidRPr="00D10E3C">
        <w:rPr>
          <w:rStyle w:val="libFootnotenumChar"/>
          <w:rtl/>
        </w:rPr>
        <w:t>(7)</w:t>
      </w:r>
      <w:r>
        <w:rPr>
          <w:rtl/>
          <w:lang w:bidi="fa-IR"/>
        </w:rPr>
        <w:t xml:space="preserve"> ، وَقَالَ لِي : هَلْ تَرَكَ أَبُوكَ شَيْئاً؟ فَقُلْتُ لَهُ : لَا ، فَدَفَعَ إِلَيَّ كِيساً فِيهِ أَلْفُ‌</w:t>
      </w:r>
    </w:p>
    <w:p w:rsidR="00744A1C" w:rsidRDefault="00744A1C" w:rsidP="00D10E3C">
      <w:pPr>
        <w:pStyle w:val="libLine"/>
        <w:rPr>
          <w:lang w:bidi="fa-IR"/>
        </w:rPr>
      </w:pPr>
      <w:r>
        <w:rPr>
          <w:rtl/>
          <w:lang w:bidi="fa-IR"/>
        </w:rPr>
        <w:t>____________________</w:t>
      </w:r>
    </w:p>
    <w:p w:rsidR="00744A1C" w:rsidRDefault="00DD64EB" w:rsidP="00D10E3C">
      <w:pPr>
        <w:pStyle w:val="libFootnote0"/>
        <w:rPr>
          <w:lang w:bidi="fa-IR"/>
        </w:rPr>
      </w:pPr>
      <w:r>
        <w:rPr>
          <w:rFonts w:hint="cs"/>
          <w:rtl/>
          <w:lang w:bidi="fa-IR"/>
        </w:rPr>
        <w:t xml:space="preserve">= </w:t>
      </w:r>
      <w:r w:rsidR="00744A1C">
        <w:rPr>
          <w:rtl/>
          <w:lang w:bidi="fa-IR"/>
        </w:rPr>
        <w:t xml:space="preserve">والحقوق الثابتة فيها ، وكذلك الإقطاع - إن صحّ إطلاق لفظه وإرادة معناه في تلك الأراضي - هو بمعنى إقطاع الآثار والأبنية ومقتضى القواعد صحّته وجواز بيعه وكون المقطع له مالك ، وذلك لأنّه لا ريب في جواز قبالة الأراضي الخراجيّة ، كما يأتي في محلّه بأن يتعهّد المتقبّل أداء الخراج إلى السلطان ويكون الزرع والانتفاع والآثار له ، ورقبة الأرض ملك المسلمين ، فتلك </w:t>
      </w:r>
      <w:r w:rsidR="00744A1C" w:rsidRPr="00DD64EB">
        <w:rPr>
          <w:rtl/>
        </w:rPr>
        <w:t>المرأة</w:t>
      </w:r>
      <w:r w:rsidR="00744A1C">
        <w:rPr>
          <w:rtl/>
          <w:lang w:bidi="fa-IR"/>
        </w:rPr>
        <w:t xml:space="preserve"> من آل فلان إن كانت قصدت بيع الآثار صحّ بيعه ، كبيع سائر أملاك العراق وسائر الأراضي ، وإن كانت قصدت بيع رقبة الأرض لم يجز بحال ولا يحلّ للمشتري أيضاً ، وظاهر الخبر أنّه يحلّ للمشتري. فالصحيح في توجيه الحديث أن يقال : الإقطاع كما يتبادر منه إلى الذهن بمعنى تمليك رقبة الأرض وعدم أخذ الخراج من تلك </w:t>
      </w:r>
      <w:r w:rsidR="00744A1C" w:rsidRPr="00C24F9C">
        <w:rPr>
          <w:rStyle w:val="libFootnoteBoldChar"/>
          <w:rtl/>
        </w:rPr>
        <w:t>المرأة</w:t>
      </w:r>
      <w:r w:rsidR="00744A1C">
        <w:rPr>
          <w:rtl/>
          <w:lang w:bidi="fa-IR"/>
        </w:rPr>
        <w:t xml:space="preserve"> ، كما يؤخذ من سائر مالكي الأراضي ، وهذا باطل في الأراضي المفتوحة عنوة ؛ إذ يجب أخذ الخراج منها لبيت مال المسلمين أيّاً ما كان كان مالكها ، سواء كان من أقارب الخليفة أو غيرها ، وكانت تلك </w:t>
      </w:r>
      <w:r w:rsidR="00744A1C" w:rsidRPr="00C24F9C">
        <w:rPr>
          <w:rStyle w:val="libFootnoteBoldChar"/>
          <w:rtl/>
        </w:rPr>
        <w:t>المرأة</w:t>
      </w:r>
      <w:r w:rsidR="00744A1C">
        <w:rPr>
          <w:rtl/>
          <w:lang w:bidi="fa-IR"/>
        </w:rPr>
        <w:t xml:space="preserve"> أخذت الأرض ؛ أعني رقبتها مجّاناً بغير خراج ، وهذا باطل والأرض للمسلمين ، فأجاز الإمام </w:t>
      </w:r>
      <w:r w:rsidR="0061079A" w:rsidRPr="0061079A">
        <w:rPr>
          <w:rStyle w:val="libFootnoteAlaemChar"/>
          <w:rtl/>
        </w:rPr>
        <w:t>عليه‌السلام</w:t>
      </w:r>
      <w:r w:rsidR="00744A1C">
        <w:rPr>
          <w:rtl/>
          <w:lang w:bidi="fa-IR"/>
        </w:rPr>
        <w:t xml:space="preserve"> امتناع المشتري من أداء الثمن وجعل الأرض بيده استنقاذاً لأرض المسلمين من يد المتغلّب عليها ، فيكون حاصلها له وخراجها عليه ، كسائر المتصرّفين في أراضي العراق ، ويؤدّي خراجها إلى أهله ».</w:t>
      </w:r>
    </w:p>
    <w:p w:rsidR="00744A1C" w:rsidRDefault="00D10E3C" w:rsidP="00D10E3C">
      <w:pPr>
        <w:pStyle w:val="libFootnote0"/>
        <w:rPr>
          <w:lang w:bidi="fa-IR"/>
        </w:rPr>
      </w:pPr>
      <w:r>
        <w:rPr>
          <w:rtl/>
          <w:lang w:bidi="fa-IR"/>
        </w:rPr>
        <w:t>(1).</w:t>
      </w:r>
      <w:r w:rsidR="00744A1C">
        <w:rPr>
          <w:rtl/>
          <w:lang w:bidi="fa-IR"/>
        </w:rPr>
        <w:t xml:space="preserve"> في « ى ، بس » </w:t>
      </w:r>
      <w:r w:rsidR="00744A1C" w:rsidRPr="00F73B39">
        <w:rPr>
          <w:rtl/>
        </w:rPr>
        <w:t>والتهذيب</w:t>
      </w:r>
      <w:r w:rsidR="00744A1C">
        <w:rPr>
          <w:rtl/>
          <w:lang w:bidi="fa-IR"/>
        </w:rPr>
        <w:t xml:space="preserve"> ، ج 7 : « فإنّما ».</w:t>
      </w:r>
    </w:p>
    <w:p w:rsidR="00744A1C" w:rsidRDefault="00E378DD" w:rsidP="00E378DD">
      <w:pPr>
        <w:pStyle w:val="libFootnote0"/>
        <w:rPr>
          <w:lang w:bidi="fa-IR"/>
        </w:rPr>
      </w:pPr>
      <w:r>
        <w:rPr>
          <w:rtl/>
          <w:lang w:bidi="fa-IR"/>
        </w:rPr>
        <w:t>(2).</w:t>
      </w:r>
      <w:r w:rsidR="00744A1C">
        <w:rPr>
          <w:rtl/>
          <w:lang w:bidi="fa-IR"/>
        </w:rPr>
        <w:t xml:space="preserve"> في حاشية « جت » : « باعت ».</w:t>
      </w:r>
    </w:p>
    <w:p w:rsidR="00744A1C" w:rsidRDefault="00E378DD" w:rsidP="00E378DD">
      <w:pPr>
        <w:pStyle w:val="libFootnote0"/>
        <w:rPr>
          <w:lang w:bidi="fa-IR"/>
        </w:rPr>
      </w:pPr>
      <w:r>
        <w:rPr>
          <w:rtl/>
          <w:lang w:bidi="fa-IR"/>
        </w:rPr>
        <w:t>(3).</w:t>
      </w:r>
      <w:r w:rsidR="00744A1C">
        <w:rPr>
          <w:rtl/>
          <w:lang w:bidi="fa-IR"/>
        </w:rPr>
        <w:t xml:space="preserve"> في « بخ ، بف » وحاشية « جت » : « ما لا تملك ». وفي « ط » و</w:t>
      </w:r>
      <w:r w:rsidR="00744A1C" w:rsidRPr="00C24F9C">
        <w:rPr>
          <w:rStyle w:val="libFootnoteBoldChar"/>
          <w:rtl/>
        </w:rPr>
        <w:t>الوسائل</w:t>
      </w:r>
      <w:r w:rsidR="00744A1C">
        <w:rPr>
          <w:rtl/>
          <w:lang w:bidi="fa-IR"/>
        </w:rPr>
        <w:t xml:space="preserve"> : « ما لم تملك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351 ، ح 996 ، معلّقاً عن أحمد بن محمّد بن عيسى. </w:t>
      </w:r>
      <w:r w:rsidR="00744A1C" w:rsidRPr="00C24F9C">
        <w:rPr>
          <w:rStyle w:val="libFootnoteBoldChar"/>
          <w:rtl/>
        </w:rPr>
        <w:t>التهذيب</w:t>
      </w:r>
      <w:r w:rsidR="00744A1C">
        <w:rPr>
          <w:rtl/>
          <w:lang w:bidi="fa-IR"/>
        </w:rPr>
        <w:t xml:space="preserve"> ، ج 7 ، ص 181 ، ح 795 ، معلّقاً عن أحمد بن محمّد ، عن البرقي ، عن محمّد بن القاسم ، عن فضيل ، عن أبي الحسن </w:t>
      </w:r>
      <w:r w:rsidR="0061079A" w:rsidRPr="0061079A">
        <w:rPr>
          <w:rStyle w:val="libFootnoteAlaemChar"/>
          <w:rtl/>
        </w:rPr>
        <w:t>عليه‌السلام</w:t>
      </w:r>
      <w:r w:rsidR="00D10E3C">
        <w:rPr>
          <w:rtl/>
          <w:lang w:bidi="fa-IR"/>
        </w:rPr>
        <w:t xml:space="preserve"> </w:t>
      </w:r>
      <w:r w:rsidR="00744A1C">
        <w:rPr>
          <w:rtl/>
          <w:lang w:bidi="fa-IR"/>
        </w:rPr>
        <w:t xml:space="preserve">؛ </w:t>
      </w:r>
      <w:r w:rsidR="00744A1C" w:rsidRPr="00F73B39">
        <w:rPr>
          <w:rStyle w:val="libFootnoteBoldChar"/>
          <w:rtl/>
        </w:rPr>
        <w:t>الاستبصار</w:t>
      </w:r>
      <w:r w:rsidR="00744A1C">
        <w:rPr>
          <w:rtl/>
          <w:lang w:bidi="fa-IR"/>
        </w:rPr>
        <w:t xml:space="preserve"> ، ج 3 ، ص 123 ، ح 439 ، معلّقاً عن أحمد بن محمّد ، عن البرقي ، عن القاسم بن محمّد ، عن فضيل ، عن أبي الحسن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عليه بأمانة الله » </w:t>
      </w:r>
      <w:r w:rsidR="00F73B39">
        <w:rPr>
          <w:rFonts w:hint="cs"/>
          <w:rtl/>
          <w:lang w:bidi="fa-IR"/>
        </w:rPr>
        <w:t>.</w:t>
      </w:r>
      <w:r w:rsidR="00744A1C" w:rsidRPr="00C24F9C">
        <w:rPr>
          <w:rStyle w:val="libFootnoteBoldChar"/>
          <w:rtl/>
        </w:rPr>
        <w:t>الوافي</w:t>
      </w:r>
      <w:r w:rsidR="00744A1C">
        <w:rPr>
          <w:rtl/>
          <w:lang w:bidi="fa-IR"/>
        </w:rPr>
        <w:t xml:space="preserve"> ، ج 17 ، ص 294 ، ح 17310 ، من قوله : « قلت : فرجل اشترى من امرأة » ؛ وفيه ، ج 18 ، ص 824 ، ح 18375 ، إلى قوله : « بأمانة الله عزّوجلّ » ؛ </w:t>
      </w:r>
      <w:r w:rsidR="00744A1C" w:rsidRPr="00C24F9C">
        <w:rPr>
          <w:rStyle w:val="libFootnoteBoldChar"/>
          <w:rtl/>
        </w:rPr>
        <w:t>الوسائل</w:t>
      </w:r>
      <w:r w:rsidR="00744A1C">
        <w:rPr>
          <w:rtl/>
          <w:lang w:bidi="fa-IR"/>
        </w:rPr>
        <w:t xml:space="preserve"> ، ج 19 ، ص 74 ، ح 24184.</w:t>
      </w:r>
    </w:p>
    <w:p w:rsidR="00744A1C" w:rsidRDefault="00E378DD" w:rsidP="00E378DD">
      <w:pPr>
        <w:pStyle w:val="libFootnote0"/>
        <w:rPr>
          <w:lang w:bidi="fa-IR"/>
        </w:rPr>
      </w:pPr>
      <w:r>
        <w:rPr>
          <w:rtl/>
          <w:lang w:bidi="fa-IR"/>
        </w:rPr>
        <w:t>(5).</w:t>
      </w:r>
      <w:r w:rsidR="00744A1C">
        <w:rPr>
          <w:rtl/>
          <w:lang w:bidi="fa-IR"/>
        </w:rPr>
        <w:t xml:space="preserve"> هكذا في جميع النسخ التي قوبلت </w:t>
      </w:r>
      <w:r w:rsidR="00744A1C" w:rsidRPr="00F73B39">
        <w:rPr>
          <w:rtl/>
        </w:rPr>
        <w:t>والوافي والبحار</w:t>
      </w:r>
      <w:r w:rsidR="00744A1C">
        <w:rPr>
          <w:rtl/>
          <w:lang w:bidi="fa-IR"/>
        </w:rPr>
        <w:t>. وفي المطبوع : - « أن ».</w:t>
      </w:r>
    </w:p>
    <w:p w:rsidR="00744A1C" w:rsidRDefault="00E378DD" w:rsidP="00E378DD">
      <w:pPr>
        <w:pStyle w:val="libFootnote0"/>
        <w:rPr>
          <w:lang w:bidi="fa-IR"/>
        </w:rPr>
      </w:pPr>
      <w:r>
        <w:rPr>
          <w:rtl/>
          <w:lang w:bidi="fa-IR"/>
        </w:rPr>
        <w:t>(6).</w:t>
      </w:r>
      <w:r w:rsidR="00744A1C">
        <w:rPr>
          <w:rtl/>
          <w:lang w:bidi="fa-IR"/>
        </w:rPr>
        <w:t xml:space="preserve"> في « بخ ، بف » : - « عليّ ».</w:t>
      </w:r>
    </w:p>
    <w:p w:rsidR="00744A1C" w:rsidRDefault="00E378DD" w:rsidP="00E378DD">
      <w:pPr>
        <w:pStyle w:val="libFootnote0"/>
        <w:rPr>
          <w:lang w:bidi="fa-IR"/>
        </w:rPr>
      </w:pPr>
      <w:r>
        <w:rPr>
          <w:rtl/>
          <w:lang w:bidi="fa-IR"/>
        </w:rPr>
        <w:t>(7).</w:t>
      </w:r>
      <w:r w:rsidR="00744A1C">
        <w:rPr>
          <w:rtl/>
          <w:lang w:bidi="fa-IR"/>
        </w:rPr>
        <w:t xml:space="preserve"> « فعزّاني » أي قال لي : أحسن الله عزاءك ، أي رزقك الصبر الحسن. راجع : </w:t>
      </w:r>
      <w:r w:rsidR="00744A1C" w:rsidRPr="00E978C3">
        <w:rPr>
          <w:rStyle w:val="libFootnoteBoldChar"/>
          <w:rtl/>
        </w:rPr>
        <w:t>المصباح المنير</w:t>
      </w:r>
      <w:r w:rsidR="00F73B39">
        <w:rPr>
          <w:rtl/>
          <w:lang w:bidi="fa-IR"/>
        </w:rPr>
        <w:t xml:space="preserve"> ، ص 408 ( عزا</w:t>
      </w:r>
      <w:r w:rsidR="00744A1C">
        <w:rPr>
          <w:rtl/>
          <w:lang w:bidi="fa-IR"/>
        </w:rPr>
        <w:t>).</w:t>
      </w:r>
    </w:p>
    <w:p w:rsidR="006D42F6" w:rsidRDefault="006D42F6" w:rsidP="00D10E3C">
      <w:pPr>
        <w:pStyle w:val="libNormal"/>
        <w:rPr>
          <w:rtl/>
          <w:lang w:bidi="fa-IR"/>
        </w:rPr>
      </w:pPr>
      <w:r>
        <w:rPr>
          <w:rtl/>
          <w:lang w:bidi="fa-IR"/>
        </w:rPr>
        <w:br w:type="page"/>
      </w:r>
    </w:p>
    <w:p w:rsidR="00744A1C" w:rsidRDefault="00744A1C" w:rsidP="00F73B39">
      <w:pPr>
        <w:pStyle w:val="libNormal0"/>
        <w:rPr>
          <w:lang w:bidi="fa-IR"/>
        </w:rPr>
      </w:pPr>
      <w:r>
        <w:rPr>
          <w:rtl/>
          <w:lang w:bidi="fa-IR"/>
        </w:rPr>
        <w:t xml:space="preserve">دِرْهَمٍ ، وَقَالَ لِي </w:t>
      </w:r>
      <w:r w:rsidRPr="00D10E3C">
        <w:rPr>
          <w:rStyle w:val="libFootnotenumChar"/>
          <w:rtl/>
        </w:rPr>
        <w:t>(1)</w:t>
      </w:r>
      <w:r>
        <w:rPr>
          <w:rtl/>
          <w:lang w:bidi="fa-IR"/>
        </w:rPr>
        <w:t xml:space="preserve"> : أَحْسِنْ حِفْظَهَا ، وَكُلْ فَضْلَهَا </w:t>
      </w:r>
      <w:r w:rsidRPr="00D10E3C">
        <w:rPr>
          <w:rStyle w:val="libFootnotenumChar"/>
          <w:rtl/>
        </w:rPr>
        <w:t>(2)</w:t>
      </w:r>
      <w:r>
        <w:rPr>
          <w:rtl/>
          <w:lang w:bidi="fa-IR"/>
        </w:rPr>
        <w:t xml:space="preserve"> ، فَدَخَلْتُ إِلى أُمِّي وَأَنَا فَرِحٌ ، فَأَخْبَرْتُهَا</w:t>
      </w:r>
      <w:r w:rsidRPr="00D10E3C">
        <w:rPr>
          <w:rStyle w:val="libFootnotenumChar"/>
          <w:rtl/>
        </w:rPr>
        <w:t>(3)</w:t>
      </w:r>
      <w:r w:rsidR="00F73B39" w:rsidRPr="00F73B39">
        <w:rPr>
          <w:rStyle w:val="libNormalChar"/>
          <w:rFonts w:hint="cs"/>
          <w:rtl/>
        </w:rPr>
        <w:t>.</w:t>
      </w:r>
    </w:p>
    <w:p w:rsidR="00744A1C" w:rsidRDefault="00744A1C" w:rsidP="00744A1C">
      <w:pPr>
        <w:pStyle w:val="libNormal"/>
        <w:rPr>
          <w:lang w:bidi="fa-IR"/>
        </w:rPr>
      </w:pPr>
      <w:r>
        <w:rPr>
          <w:rtl/>
          <w:lang w:bidi="fa-IR"/>
        </w:rPr>
        <w:t xml:space="preserve">فَلَمَّا كَانَ بِالْعَشِيِّ ، أَتَيْتُ صَدِيقاً كَانَ </w:t>
      </w:r>
      <w:r w:rsidRPr="00D10E3C">
        <w:rPr>
          <w:rStyle w:val="libFootnotenumChar"/>
          <w:rtl/>
        </w:rPr>
        <w:t>(4)</w:t>
      </w:r>
      <w:r>
        <w:rPr>
          <w:rtl/>
          <w:lang w:bidi="fa-IR"/>
        </w:rPr>
        <w:t xml:space="preserve"> لِأَبِي </w:t>
      </w:r>
      <w:r w:rsidRPr="00D10E3C">
        <w:rPr>
          <w:rStyle w:val="libFootnotenumChar"/>
          <w:rtl/>
        </w:rPr>
        <w:t>(5)</w:t>
      </w:r>
      <w:r>
        <w:rPr>
          <w:rtl/>
          <w:lang w:bidi="fa-IR"/>
        </w:rPr>
        <w:t xml:space="preserve"> ، فَاشْتَرى لِي بَضَائِعَ </w:t>
      </w:r>
      <w:r w:rsidRPr="00D10E3C">
        <w:rPr>
          <w:rStyle w:val="libFootnotenumChar"/>
          <w:rtl/>
        </w:rPr>
        <w:t>(6)</w:t>
      </w:r>
      <w:r>
        <w:rPr>
          <w:rtl/>
          <w:lang w:bidi="fa-IR"/>
        </w:rPr>
        <w:t xml:space="preserve"> سَابِرِيٍّ </w:t>
      </w:r>
      <w:r w:rsidRPr="00D10E3C">
        <w:rPr>
          <w:rStyle w:val="libFootnotenumChar"/>
          <w:rtl/>
        </w:rPr>
        <w:t>(7)</w:t>
      </w:r>
      <w:r>
        <w:rPr>
          <w:rtl/>
          <w:lang w:bidi="fa-IR"/>
        </w:rPr>
        <w:t xml:space="preserve"> ، وَجَلَسْتُ فِي حَانُوتٍ </w:t>
      </w:r>
      <w:r w:rsidRPr="00D10E3C">
        <w:rPr>
          <w:rStyle w:val="libFootnotenumChar"/>
          <w:rtl/>
        </w:rPr>
        <w:t>(8)</w:t>
      </w:r>
      <w:r>
        <w:rPr>
          <w:rtl/>
          <w:lang w:bidi="fa-IR"/>
        </w:rPr>
        <w:t xml:space="preserve"> ، فَرَزَقَ اللهُ - جَلَّ وَعَزَّ - فِيهَا خَيْراً كَثِيراً </w:t>
      </w:r>
      <w:r w:rsidRPr="00D10E3C">
        <w:rPr>
          <w:rStyle w:val="libFootnotenumChar"/>
          <w:rtl/>
        </w:rPr>
        <w:t>(9)</w:t>
      </w:r>
      <w:r w:rsidR="00F73B39" w:rsidRPr="00F73B39">
        <w:rPr>
          <w:rFonts w:hint="cs"/>
          <w:rtl/>
        </w:rPr>
        <w:t>.</w:t>
      </w:r>
    </w:p>
    <w:p w:rsidR="00144FA6" w:rsidRDefault="00744A1C" w:rsidP="00744A1C">
      <w:pPr>
        <w:pStyle w:val="libNormal"/>
        <w:rPr>
          <w:rtl/>
          <w:lang w:bidi="fa-IR"/>
        </w:rPr>
      </w:pPr>
      <w:r>
        <w:rPr>
          <w:rtl/>
          <w:lang w:bidi="fa-IR"/>
        </w:rPr>
        <w:t xml:space="preserve">وَحَضَرَ </w:t>
      </w:r>
      <w:r w:rsidRPr="00D10E3C">
        <w:rPr>
          <w:rStyle w:val="libFootnotenumChar"/>
          <w:rtl/>
        </w:rPr>
        <w:t>(10)</w:t>
      </w:r>
      <w:r>
        <w:rPr>
          <w:rtl/>
          <w:lang w:bidi="fa-IR"/>
        </w:rPr>
        <w:t xml:space="preserve"> الْحَجُّ ، فَوَقَعَ فِي قَلْبِي ، فَجِئْتُ إِلى أُمِّي ، وَقُلْتُ </w:t>
      </w:r>
      <w:r w:rsidRPr="00D10E3C">
        <w:rPr>
          <w:rStyle w:val="libFootnotenumChar"/>
          <w:rtl/>
        </w:rPr>
        <w:t>(11)</w:t>
      </w:r>
      <w:r>
        <w:rPr>
          <w:rtl/>
          <w:lang w:bidi="fa-IR"/>
        </w:rPr>
        <w:t xml:space="preserve"> لَهَا : إِنَّهُ </w:t>
      </w:r>
      <w:r w:rsidRPr="00D10E3C">
        <w:rPr>
          <w:rStyle w:val="libFootnotenumChar"/>
          <w:rtl/>
        </w:rPr>
        <w:t>(12)</w:t>
      </w:r>
      <w:r>
        <w:rPr>
          <w:rtl/>
          <w:lang w:bidi="fa-IR"/>
        </w:rPr>
        <w:t xml:space="preserve"> قَدْ وَقَعَ فِي قَلْبِي أَنْ أَخْرُجَ إِلى مَكَّةَ ، فَقَالَتْ لِي </w:t>
      </w:r>
      <w:r w:rsidRPr="00D10E3C">
        <w:rPr>
          <w:rStyle w:val="libFootnotenumChar"/>
          <w:rtl/>
        </w:rPr>
        <w:t>(13)</w:t>
      </w:r>
      <w:r>
        <w:rPr>
          <w:rtl/>
          <w:lang w:bidi="fa-IR"/>
        </w:rPr>
        <w:t xml:space="preserve"> : فَرُدَّ </w:t>
      </w:r>
      <w:r w:rsidRPr="00D10E3C">
        <w:rPr>
          <w:rStyle w:val="libFootnotenumChar"/>
          <w:rtl/>
        </w:rPr>
        <w:t>(14)</w:t>
      </w:r>
      <w:r>
        <w:rPr>
          <w:rtl/>
          <w:lang w:bidi="fa-IR"/>
        </w:rPr>
        <w:t xml:space="preserve"> دَرَاهِمَ فُلَانٍ عَلَيْهِ ، فَهَاتِهَا </w:t>
      </w:r>
      <w:r w:rsidRPr="00D10E3C">
        <w:rPr>
          <w:rStyle w:val="libFootnotenumChar"/>
          <w:rtl/>
        </w:rPr>
        <w:t>(15)</w:t>
      </w:r>
      <w:r>
        <w:rPr>
          <w:rtl/>
          <w:lang w:bidi="fa-IR"/>
        </w:rPr>
        <w:t xml:space="preserve"> ، وَجِئْتُ بِهَا إِلَيْهِ ، فَدَفَعْتُهَا إِلَيْهِ ، فَكَأَنِّي </w:t>
      </w:r>
      <w:r w:rsidRPr="00D10E3C">
        <w:rPr>
          <w:rStyle w:val="libFootnotenumChar"/>
          <w:rtl/>
        </w:rPr>
        <w:t>(16)</w:t>
      </w:r>
      <w:r>
        <w:rPr>
          <w:rtl/>
          <w:lang w:bidi="fa-IR"/>
        </w:rPr>
        <w:t xml:space="preserve"> وَهَبْتُهَا لَهُ ، فَقَالَ : لَعَلَّكَ اسْتَقْلَلْتَهَا ، فَأَزِيدَكَ؟ قُلْتُ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بف » </w:t>
      </w:r>
      <w:r w:rsidR="00744A1C" w:rsidRPr="00F73B39">
        <w:rPr>
          <w:rtl/>
        </w:rPr>
        <w:t>والوافي</w:t>
      </w:r>
      <w:r w:rsidR="00744A1C">
        <w:rPr>
          <w:rtl/>
          <w:lang w:bidi="fa-IR"/>
        </w:rPr>
        <w:t xml:space="preserve"> : - « لي ».</w:t>
      </w:r>
    </w:p>
    <w:p w:rsidR="00744A1C" w:rsidRDefault="00E378DD" w:rsidP="00E378DD">
      <w:pPr>
        <w:pStyle w:val="libFootnote0"/>
        <w:rPr>
          <w:lang w:bidi="fa-IR"/>
        </w:rPr>
      </w:pPr>
      <w:r>
        <w:rPr>
          <w:rtl/>
          <w:lang w:bidi="fa-IR"/>
        </w:rPr>
        <w:t>(2).</w:t>
      </w:r>
      <w:r w:rsidR="00744A1C">
        <w:rPr>
          <w:rtl/>
          <w:lang w:bidi="fa-IR"/>
        </w:rPr>
        <w:t xml:space="preserve"> في « بح ، بخ ، بف ، جت » وحاشية « ى » </w:t>
      </w:r>
      <w:r w:rsidR="00744A1C" w:rsidRPr="00F73B39">
        <w:rPr>
          <w:rtl/>
        </w:rPr>
        <w:t>والوافي</w:t>
      </w:r>
      <w:r w:rsidR="00744A1C">
        <w:rPr>
          <w:rtl/>
          <w:lang w:bidi="fa-IR"/>
        </w:rPr>
        <w:t xml:space="preserve"> : « كسبها ».</w:t>
      </w:r>
    </w:p>
    <w:p w:rsidR="00744A1C" w:rsidRDefault="00E378DD" w:rsidP="00E378DD">
      <w:pPr>
        <w:pStyle w:val="libFootnote0"/>
        <w:rPr>
          <w:lang w:bidi="fa-IR"/>
        </w:rPr>
      </w:pPr>
      <w:r>
        <w:rPr>
          <w:rtl/>
          <w:lang w:bidi="fa-IR"/>
        </w:rPr>
        <w:t>(3).</w:t>
      </w:r>
      <w:r w:rsidR="00744A1C">
        <w:rPr>
          <w:rtl/>
          <w:lang w:bidi="fa-IR"/>
        </w:rPr>
        <w:t xml:space="preserve"> في « ط » : + « الخبر ».</w:t>
      </w:r>
    </w:p>
    <w:p w:rsidR="00744A1C" w:rsidRDefault="00E378DD" w:rsidP="00E378DD">
      <w:pPr>
        <w:pStyle w:val="libFootnote0"/>
        <w:rPr>
          <w:lang w:bidi="fa-IR"/>
        </w:rPr>
      </w:pPr>
      <w:r>
        <w:rPr>
          <w:rtl/>
          <w:lang w:bidi="fa-IR"/>
        </w:rPr>
        <w:t>(4).</w:t>
      </w:r>
      <w:r w:rsidR="00744A1C">
        <w:rPr>
          <w:rtl/>
          <w:lang w:bidi="fa-IR"/>
        </w:rPr>
        <w:t xml:space="preserve"> في « ط ، ى ، جد » : - « كان ».</w:t>
      </w:r>
    </w:p>
    <w:p w:rsidR="00744A1C" w:rsidRDefault="00E378DD" w:rsidP="00E378DD">
      <w:pPr>
        <w:pStyle w:val="libFootnote0"/>
        <w:rPr>
          <w:lang w:bidi="fa-IR"/>
        </w:rPr>
      </w:pPr>
      <w:r>
        <w:rPr>
          <w:rtl/>
          <w:lang w:bidi="fa-IR"/>
        </w:rPr>
        <w:t>(5).</w:t>
      </w:r>
      <w:r w:rsidR="00744A1C">
        <w:rPr>
          <w:rtl/>
          <w:lang w:bidi="fa-IR"/>
        </w:rPr>
        <w:t xml:space="preserve"> في « ط » : « لي ».</w:t>
      </w:r>
    </w:p>
    <w:p w:rsidR="00744A1C" w:rsidRDefault="00E378DD" w:rsidP="00E378DD">
      <w:pPr>
        <w:pStyle w:val="libFootnote0"/>
        <w:rPr>
          <w:lang w:bidi="fa-IR"/>
        </w:rPr>
      </w:pPr>
      <w:r>
        <w:rPr>
          <w:rtl/>
          <w:lang w:bidi="fa-IR"/>
        </w:rPr>
        <w:t>(6).</w:t>
      </w:r>
      <w:r w:rsidR="00744A1C">
        <w:rPr>
          <w:rtl/>
          <w:lang w:bidi="fa-IR"/>
        </w:rPr>
        <w:t xml:space="preserve"> في « بخ ، بف » وحاشية « بح » </w:t>
      </w:r>
      <w:r w:rsidR="00744A1C" w:rsidRPr="00F73B39">
        <w:rPr>
          <w:rtl/>
        </w:rPr>
        <w:t>والوافي</w:t>
      </w:r>
      <w:r w:rsidR="00744A1C">
        <w:rPr>
          <w:rtl/>
          <w:lang w:bidi="fa-IR"/>
        </w:rPr>
        <w:t xml:space="preserve"> : + « من ». والبضائع : جمع البِضاعة ، وهي طائفة من مالك تبعثها للتجارة أو السلعة ، وأصلها من المال الذي يتّجر فيه ؛ وأصلها من البَضْع ، وهو القطع. راجع : </w:t>
      </w:r>
      <w:r w:rsidR="00744A1C" w:rsidRPr="00877682">
        <w:rPr>
          <w:rStyle w:val="libFootnoteBoldChar"/>
          <w:rtl/>
        </w:rPr>
        <w:t>لسان العرب</w:t>
      </w:r>
      <w:r w:rsidR="00744A1C">
        <w:rPr>
          <w:rtl/>
          <w:lang w:bidi="fa-IR"/>
        </w:rPr>
        <w:t xml:space="preserve"> ، ج 8 ، ص 15 ( يضع ).</w:t>
      </w:r>
    </w:p>
    <w:p w:rsidR="00744A1C" w:rsidRDefault="00E378DD" w:rsidP="00E378DD">
      <w:pPr>
        <w:pStyle w:val="libFootnote0"/>
        <w:rPr>
          <w:lang w:bidi="fa-IR"/>
        </w:rPr>
      </w:pPr>
      <w:r>
        <w:rPr>
          <w:rtl/>
          <w:lang w:bidi="fa-IR"/>
        </w:rPr>
        <w:t>(7).</w:t>
      </w:r>
      <w:r w:rsidR="00744A1C">
        <w:rPr>
          <w:rtl/>
          <w:lang w:bidi="fa-IR"/>
        </w:rPr>
        <w:t xml:space="preserve"> في </w:t>
      </w:r>
      <w:r w:rsidR="00744A1C" w:rsidRPr="0061079A">
        <w:rPr>
          <w:rStyle w:val="libFootnoteBoldChar"/>
          <w:rtl/>
        </w:rPr>
        <w:t>البحار</w:t>
      </w:r>
      <w:r w:rsidR="00744A1C">
        <w:rPr>
          <w:rtl/>
          <w:lang w:bidi="fa-IR"/>
        </w:rPr>
        <w:t xml:space="preserve"> : « سابريّاً ». والسابريّ : ضرب من الثياب رقيق يُعمل بسابور موضع بفارس. والسابريّ أيضاً : ضرب من التمر ، يقال : أجود تمر بالكوفة النِرسيان والسابريّ. راجع : </w:t>
      </w:r>
      <w:r w:rsidR="00744A1C" w:rsidRPr="00E978C3">
        <w:rPr>
          <w:rStyle w:val="libFootnoteBoldChar"/>
          <w:rtl/>
        </w:rPr>
        <w:t>الصحاح</w:t>
      </w:r>
      <w:r w:rsidR="00744A1C">
        <w:rPr>
          <w:rtl/>
          <w:lang w:bidi="fa-IR"/>
        </w:rPr>
        <w:t xml:space="preserve"> ، ج 2 ، ص 676 ؛ المغرب ، ص 215 ( سبر ).</w:t>
      </w:r>
    </w:p>
    <w:p w:rsidR="00744A1C" w:rsidRDefault="00E378DD" w:rsidP="00E378DD">
      <w:pPr>
        <w:pStyle w:val="libFootnote0"/>
        <w:rPr>
          <w:lang w:bidi="fa-IR"/>
        </w:rPr>
      </w:pPr>
      <w:r>
        <w:rPr>
          <w:rtl/>
          <w:lang w:bidi="fa-IR"/>
        </w:rPr>
        <w:t>(8).</w:t>
      </w:r>
      <w:r w:rsidR="00744A1C">
        <w:rPr>
          <w:rtl/>
          <w:lang w:bidi="fa-IR"/>
        </w:rPr>
        <w:t xml:space="preserve"> « الحانوت » : دكّان البائع ، يذكّر ويؤنّث ، واختلف في وزنها ، فقال الجوهري : « أصله : حانُوَة ، مثل ترقوة ، فلمّا سُكّنت الواو انقلبت هاء التأنيث ياءً ، والجمع : الحوانيت ». وقيل غير ذلك. راجع : </w:t>
      </w:r>
      <w:r w:rsidR="00744A1C" w:rsidRPr="00E978C3">
        <w:rPr>
          <w:rStyle w:val="libFootnoteBoldChar"/>
          <w:rtl/>
        </w:rPr>
        <w:t>الصحاح</w:t>
      </w:r>
      <w:r w:rsidR="00744A1C">
        <w:rPr>
          <w:rtl/>
          <w:lang w:bidi="fa-IR"/>
        </w:rPr>
        <w:t xml:space="preserve"> ، ج 5 ، ص 2106 ( حين ) ؛ </w:t>
      </w:r>
      <w:r w:rsidR="00744A1C" w:rsidRPr="00E978C3">
        <w:rPr>
          <w:rStyle w:val="libFootnoteBoldChar"/>
          <w:rtl/>
        </w:rPr>
        <w:t>المصباح المنير</w:t>
      </w:r>
      <w:r w:rsidR="00744A1C">
        <w:rPr>
          <w:rtl/>
          <w:lang w:bidi="fa-IR"/>
        </w:rPr>
        <w:t xml:space="preserve"> ، ص 158 ( حون ).</w:t>
      </w:r>
    </w:p>
    <w:p w:rsidR="00744A1C" w:rsidRDefault="00E378DD" w:rsidP="00E378DD">
      <w:pPr>
        <w:pStyle w:val="libFootnote0"/>
        <w:rPr>
          <w:lang w:bidi="fa-IR"/>
        </w:rPr>
      </w:pPr>
      <w:r>
        <w:rPr>
          <w:rtl/>
          <w:lang w:bidi="fa-IR"/>
        </w:rPr>
        <w:t>(9).</w:t>
      </w:r>
      <w:r w:rsidR="00744A1C">
        <w:rPr>
          <w:rtl/>
          <w:lang w:bidi="fa-IR"/>
        </w:rPr>
        <w:t xml:space="preserve"> في « ط ، بح ، بس ، جت ، جد ، جن » </w:t>
      </w:r>
      <w:r w:rsidR="00744A1C" w:rsidRPr="00F73B39">
        <w:rPr>
          <w:rtl/>
        </w:rPr>
        <w:t>والبحار</w:t>
      </w:r>
      <w:r w:rsidR="00744A1C">
        <w:rPr>
          <w:rtl/>
          <w:lang w:bidi="fa-IR"/>
        </w:rPr>
        <w:t xml:space="preserve"> : - « كثيراً ».</w:t>
      </w:r>
    </w:p>
    <w:tbl>
      <w:tblPr>
        <w:tblStyle w:val="TableGrid"/>
        <w:bidiVisual/>
        <w:tblW w:w="0" w:type="auto"/>
        <w:tblLook w:val="04A0" w:firstRow="1" w:lastRow="0" w:firstColumn="1" w:lastColumn="0" w:noHBand="0" w:noVBand="1"/>
      </w:tblPr>
      <w:tblGrid>
        <w:gridCol w:w="4006"/>
        <w:gridCol w:w="4006"/>
      </w:tblGrid>
      <w:tr w:rsidR="00F73B39" w:rsidTr="00F73B39">
        <w:tc>
          <w:tcPr>
            <w:tcW w:w="4006" w:type="dxa"/>
          </w:tcPr>
          <w:p w:rsidR="00F73B39" w:rsidRDefault="00F73B39" w:rsidP="00E378DD">
            <w:pPr>
              <w:pStyle w:val="libFootnote0"/>
              <w:rPr>
                <w:rtl/>
                <w:lang w:bidi="fa-IR"/>
              </w:rPr>
            </w:pPr>
            <w:r>
              <w:rPr>
                <w:rtl/>
                <w:lang w:bidi="fa-IR"/>
              </w:rPr>
              <w:t xml:space="preserve">(10). في </w:t>
            </w:r>
            <w:r w:rsidRPr="00F73B39">
              <w:rPr>
                <w:rtl/>
              </w:rPr>
              <w:t>الوافي</w:t>
            </w:r>
            <w:r>
              <w:rPr>
                <w:rtl/>
                <w:lang w:bidi="fa-IR"/>
              </w:rPr>
              <w:t xml:space="preserve"> : « فحضر ».</w:t>
            </w:r>
          </w:p>
        </w:tc>
        <w:tc>
          <w:tcPr>
            <w:tcW w:w="4006" w:type="dxa"/>
          </w:tcPr>
          <w:p w:rsidR="00F73B39" w:rsidRDefault="00F73B39" w:rsidP="00E378DD">
            <w:pPr>
              <w:pStyle w:val="libFootnote0"/>
              <w:rPr>
                <w:rtl/>
                <w:lang w:bidi="fa-IR"/>
              </w:rPr>
            </w:pPr>
            <w:r>
              <w:rPr>
                <w:rtl/>
                <w:lang w:bidi="fa-IR"/>
              </w:rPr>
              <w:t>(11). في «ى،بح،بس،جد،جن»</w:t>
            </w:r>
            <w:r w:rsidRPr="00F73B39">
              <w:rPr>
                <w:rtl/>
              </w:rPr>
              <w:t>والبحار</w:t>
            </w:r>
            <w:r>
              <w:rPr>
                <w:rtl/>
                <w:lang w:bidi="fa-IR"/>
              </w:rPr>
              <w:t>:«فقلت».</w:t>
            </w:r>
          </w:p>
        </w:tc>
      </w:tr>
    </w:tbl>
    <w:p w:rsidR="00744A1C" w:rsidRDefault="00E378DD" w:rsidP="00E378DD">
      <w:pPr>
        <w:pStyle w:val="libFootnote0"/>
        <w:rPr>
          <w:lang w:bidi="fa-IR"/>
        </w:rPr>
      </w:pPr>
      <w:r>
        <w:rPr>
          <w:rtl/>
          <w:lang w:bidi="fa-IR"/>
        </w:rPr>
        <w:t>(12).</w:t>
      </w:r>
      <w:r w:rsidR="00744A1C">
        <w:rPr>
          <w:rtl/>
          <w:lang w:bidi="fa-IR"/>
        </w:rPr>
        <w:t xml:space="preserve"> هكذا في جميع النسخ التي قوبلت </w:t>
      </w:r>
      <w:r w:rsidR="00744A1C" w:rsidRPr="00F73B39">
        <w:rPr>
          <w:rtl/>
        </w:rPr>
        <w:t>والوافي والبحار.</w:t>
      </w:r>
      <w:r w:rsidR="00744A1C">
        <w:rPr>
          <w:rtl/>
          <w:lang w:bidi="fa-IR"/>
        </w:rPr>
        <w:t xml:space="preserve"> وفي المطبوع : « إنّها ».</w:t>
      </w:r>
    </w:p>
    <w:tbl>
      <w:tblPr>
        <w:tblStyle w:val="TableGrid"/>
        <w:bidiVisual/>
        <w:tblW w:w="0" w:type="auto"/>
        <w:tblLook w:val="04A0" w:firstRow="1" w:lastRow="0" w:firstColumn="1" w:lastColumn="0" w:noHBand="0" w:noVBand="1"/>
      </w:tblPr>
      <w:tblGrid>
        <w:gridCol w:w="4006"/>
        <w:gridCol w:w="4006"/>
      </w:tblGrid>
      <w:tr w:rsidR="00F73B39" w:rsidTr="00F73B39">
        <w:tc>
          <w:tcPr>
            <w:tcW w:w="4006" w:type="dxa"/>
          </w:tcPr>
          <w:p w:rsidR="00F73B39" w:rsidRDefault="00F73B39" w:rsidP="00E378DD">
            <w:pPr>
              <w:pStyle w:val="libFootnote0"/>
              <w:rPr>
                <w:rtl/>
                <w:lang w:bidi="fa-IR"/>
              </w:rPr>
            </w:pPr>
            <w:r>
              <w:rPr>
                <w:rtl/>
                <w:lang w:bidi="fa-IR"/>
              </w:rPr>
              <w:t>(13). في « ط ، ى » : - « لي ».</w:t>
            </w:r>
          </w:p>
        </w:tc>
        <w:tc>
          <w:tcPr>
            <w:tcW w:w="4006" w:type="dxa"/>
          </w:tcPr>
          <w:p w:rsidR="00F73B39" w:rsidRDefault="00F73B39" w:rsidP="00E378DD">
            <w:pPr>
              <w:pStyle w:val="libFootnote0"/>
              <w:rPr>
                <w:rtl/>
                <w:lang w:bidi="fa-IR"/>
              </w:rPr>
            </w:pPr>
            <w:r>
              <w:rPr>
                <w:rtl/>
                <w:lang w:bidi="fa-IR"/>
              </w:rPr>
              <w:t xml:space="preserve">(14). في « بخ ، بف » </w:t>
            </w:r>
            <w:r w:rsidRPr="00F73B39">
              <w:rPr>
                <w:rtl/>
              </w:rPr>
              <w:t>والوافي</w:t>
            </w:r>
            <w:r>
              <w:rPr>
                <w:rtl/>
                <w:lang w:bidi="fa-IR"/>
              </w:rPr>
              <w:t xml:space="preserve"> : « ردّ ».</w:t>
            </w:r>
          </w:p>
        </w:tc>
      </w:tr>
    </w:tbl>
    <w:p w:rsidR="00744A1C" w:rsidRDefault="00E378DD" w:rsidP="00E378DD">
      <w:pPr>
        <w:pStyle w:val="libFootnote0"/>
        <w:rPr>
          <w:lang w:bidi="fa-IR"/>
        </w:rPr>
      </w:pPr>
      <w:r>
        <w:rPr>
          <w:rtl/>
          <w:lang w:bidi="fa-IR"/>
        </w:rPr>
        <w:t>(15).</w:t>
      </w:r>
      <w:r w:rsidR="00744A1C">
        <w:rPr>
          <w:rtl/>
          <w:lang w:bidi="fa-IR"/>
        </w:rPr>
        <w:t xml:space="preserve"> في « جت ، جد » </w:t>
      </w:r>
      <w:r w:rsidR="00744A1C" w:rsidRPr="00F73B39">
        <w:rPr>
          <w:rtl/>
        </w:rPr>
        <w:t>والوافي والبحار</w:t>
      </w:r>
      <w:r w:rsidR="00744A1C">
        <w:rPr>
          <w:rtl/>
          <w:lang w:bidi="fa-IR"/>
        </w:rPr>
        <w:t xml:space="preserve"> : « فهيأتها ». وفي « ى ، بس ، بف ، جن » : « فهيئاتها ».</w:t>
      </w:r>
    </w:p>
    <w:p w:rsidR="00744A1C" w:rsidRDefault="00744A1C" w:rsidP="00D10E3C">
      <w:pPr>
        <w:pStyle w:val="libFootnote0"/>
        <w:rPr>
          <w:lang w:bidi="fa-IR"/>
        </w:rPr>
      </w:pPr>
      <w:r>
        <w:rPr>
          <w:rtl/>
          <w:lang w:bidi="fa-IR"/>
        </w:rPr>
        <w:t xml:space="preserve">(16) في </w:t>
      </w:r>
      <w:r w:rsidRPr="00F73B39">
        <w:rPr>
          <w:rtl/>
        </w:rPr>
        <w:t>الوافي</w:t>
      </w:r>
      <w:r>
        <w:rPr>
          <w:rtl/>
          <w:lang w:bidi="fa-IR"/>
        </w:rPr>
        <w:t xml:space="preserve"> : « وكأنّي ».</w:t>
      </w:r>
    </w:p>
    <w:p w:rsidR="006D42F6" w:rsidRDefault="006D42F6" w:rsidP="00D10E3C">
      <w:pPr>
        <w:pStyle w:val="libNormal"/>
        <w:rPr>
          <w:rtl/>
          <w:lang w:bidi="fa-IR"/>
        </w:rPr>
      </w:pPr>
      <w:r>
        <w:rPr>
          <w:rtl/>
          <w:lang w:bidi="fa-IR"/>
        </w:rPr>
        <w:br w:type="page"/>
      </w:r>
    </w:p>
    <w:p w:rsidR="00744A1C" w:rsidRDefault="00744A1C" w:rsidP="00F73B39">
      <w:pPr>
        <w:pStyle w:val="libNormal0"/>
        <w:rPr>
          <w:lang w:bidi="fa-IR"/>
        </w:rPr>
      </w:pPr>
      <w:r>
        <w:rPr>
          <w:rtl/>
          <w:lang w:bidi="fa-IR"/>
        </w:rPr>
        <w:t xml:space="preserve">لَا ، وَلكِنْ قَدْ </w:t>
      </w:r>
      <w:r w:rsidRPr="00D10E3C">
        <w:rPr>
          <w:rStyle w:val="libFootnotenumChar"/>
          <w:rtl/>
        </w:rPr>
        <w:t>(1)</w:t>
      </w:r>
      <w:r>
        <w:rPr>
          <w:rtl/>
          <w:lang w:bidi="fa-IR"/>
        </w:rPr>
        <w:t xml:space="preserve"> وَقَعَ فِي قَلْبِيَ الْحَجُّ ، فَأَحْبَبْتُ </w:t>
      </w:r>
      <w:r w:rsidRPr="00D10E3C">
        <w:rPr>
          <w:rStyle w:val="libFootnotenumChar"/>
          <w:rtl/>
        </w:rPr>
        <w:t>(2)</w:t>
      </w:r>
      <w:r>
        <w:rPr>
          <w:rtl/>
          <w:lang w:bidi="fa-IR"/>
        </w:rPr>
        <w:t xml:space="preserve"> أَنْ يَكُونَ شَيْئُكَ عِنْدَكَ ، ثُمَّ خَرَجْتُ ، فَقَضَيْتُ نُسُكِي.</w:t>
      </w:r>
    </w:p>
    <w:p w:rsidR="00744A1C" w:rsidRDefault="00744A1C" w:rsidP="00744A1C">
      <w:pPr>
        <w:pStyle w:val="libNormal"/>
        <w:rPr>
          <w:lang w:bidi="fa-IR"/>
        </w:rPr>
      </w:pPr>
      <w:r>
        <w:rPr>
          <w:rtl/>
          <w:lang w:bidi="fa-IR"/>
        </w:rPr>
        <w:t xml:space="preserve">ثُمَّ رَجَعْتُ إِلَى الْمَدِينَةِ ، فَدَخَلْتُ مَعَ النَّاسِ عَلى أَبِي عَبْدِ اللهِ </w:t>
      </w:r>
      <w:r w:rsidR="0061079A" w:rsidRPr="0061079A">
        <w:rPr>
          <w:rStyle w:val="libAlaemChar"/>
          <w:rtl/>
        </w:rPr>
        <w:t>عليه‌السلام</w:t>
      </w:r>
      <w:r w:rsidR="00D10E3C">
        <w:rPr>
          <w:rtl/>
          <w:lang w:bidi="fa-IR"/>
        </w:rPr>
        <w:t xml:space="preserve"> </w:t>
      </w:r>
      <w:r>
        <w:rPr>
          <w:rtl/>
          <w:lang w:bidi="fa-IR"/>
        </w:rPr>
        <w:t xml:space="preserve">، وَكَانَ يَأْذَنُ إِذْناً عَامّاً ، فَجَلَسْتُ فِي مَوَاخِيرِ </w:t>
      </w:r>
      <w:r w:rsidRPr="00D10E3C">
        <w:rPr>
          <w:rStyle w:val="libFootnotenumChar"/>
          <w:rtl/>
        </w:rPr>
        <w:t>(3)</w:t>
      </w:r>
      <w:r>
        <w:rPr>
          <w:rtl/>
          <w:lang w:bidi="fa-IR"/>
        </w:rPr>
        <w:t xml:space="preserve"> النَّاسِ ، وَكُنْتُ حَد</w:t>
      </w:r>
      <w:r w:rsidR="00F73B39">
        <w:rPr>
          <w:rtl/>
          <w:lang w:bidi="fa-IR"/>
        </w:rPr>
        <w:t>َثاً ، فَأَخَذَ النَّاسُ يَسْأَ</w:t>
      </w:r>
      <w:r>
        <w:rPr>
          <w:rtl/>
          <w:lang w:bidi="fa-IR"/>
        </w:rPr>
        <w:t xml:space="preserve">لُونَهُ وَيُجِيبُهُمْ ، فَلَمَّا خَفَّ النَّاسُ عَنْهُ ، أَشَارَ إِلَيَّ ، فَدَنَوْتُ إِلَيْهِ ، فَقَالَ لِي </w:t>
      </w:r>
      <w:r w:rsidRPr="00D10E3C">
        <w:rPr>
          <w:rStyle w:val="libFootnotenumChar"/>
          <w:rtl/>
        </w:rPr>
        <w:t>(4)</w:t>
      </w:r>
      <w:r>
        <w:rPr>
          <w:rtl/>
          <w:lang w:bidi="fa-IR"/>
        </w:rPr>
        <w:t xml:space="preserve"> : « أَلَكَ حَاجَةٌ؟ » فَقُلْتُ </w:t>
      </w:r>
      <w:r w:rsidRPr="00D10E3C">
        <w:rPr>
          <w:rStyle w:val="libFootnotenumChar"/>
          <w:rtl/>
        </w:rPr>
        <w:t>(5)</w:t>
      </w:r>
      <w:r>
        <w:rPr>
          <w:rtl/>
          <w:lang w:bidi="fa-IR"/>
        </w:rPr>
        <w:t xml:space="preserve"> : جُعِلْتُ فِدَاكَ ، أَنَا عَبْدُ الرَّحْمنِ بْنُ سَيَابَةَ ، فَقَالَ </w:t>
      </w:r>
      <w:r w:rsidRPr="00D10E3C">
        <w:rPr>
          <w:rStyle w:val="libFootnotenumChar"/>
          <w:rtl/>
        </w:rPr>
        <w:t>(6)</w:t>
      </w:r>
      <w:r>
        <w:rPr>
          <w:rtl/>
          <w:lang w:bidi="fa-IR"/>
        </w:rPr>
        <w:t xml:space="preserve"> لِي </w:t>
      </w:r>
      <w:r w:rsidRPr="00D10E3C">
        <w:rPr>
          <w:rStyle w:val="libFootnotenumChar"/>
          <w:rtl/>
        </w:rPr>
        <w:t>(7)</w:t>
      </w:r>
      <w:r>
        <w:rPr>
          <w:rtl/>
          <w:lang w:bidi="fa-IR"/>
        </w:rPr>
        <w:t xml:space="preserve"> : « مَا فَعَلَ أَبُوكَ؟ » فَقُلْتُ </w:t>
      </w:r>
      <w:r w:rsidRPr="00D10E3C">
        <w:rPr>
          <w:rStyle w:val="libFootnotenumChar"/>
          <w:rtl/>
        </w:rPr>
        <w:t>(8)</w:t>
      </w:r>
      <w:r>
        <w:rPr>
          <w:rtl/>
          <w:lang w:bidi="fa-IR"/>
        </w:rPr>
        <w:t xml:space="preserve"> : هَلَكَ ، قَالَ : فَتَوَجَّعَ </w:t>
      </w:r>
      <w:r w:rsidRPr="00D10E3C">
        <w:rPr>
          <w:rStyle w:val="libFootnotenumChar"/>
          <w:rtl/>
        </w:rPr>
        <w:t>(9)</w:t>
      </w:r>
      <w:r>
        <w:rPr>
          <w:rtl/>
          <w:lang w:bidi="fa-IR"/>
        </w:rPr>
        <w:t xml:space="preserve"> ، وَتَرَحَّمَ ، قَالَ : ثُمَّ قَالَ لِي : « أَ</w:t>
      </w:r>
      <w:r w:rsidR="00F73B39">
        <w:rPr>
          <w:rFonts w:hint="cs"/>
          <w:rtl/>
          <w:lang w:bidi="fa-IR"/>
        </w:rPr>
        <w:t xml:space="preserve"> </w:t>
      </w:r>
      <w:r>
        <w:rPr>
          <w:rtl/>
          <w:lang w:bidi="fa-IR"/>
        </w:rPr>
        <w:t xml:space="preserve">فَتَرَكَ </w:t>
      </w:r>
      <w:r w:rsidRPr="00D10E3C">
        <w:rPr>
          <w:rStyle w:val="libFootnotenumChar"/>
          <w:rtl/>
        </w:rPr>
        <w:t>(10)</w:t>
      </w:r>
      <w:r>
        <w:rPr>
          <w:rtl/>
          <w:lang w:bidi="fa-IR"/>
        </w:rPr>
        <w:t xml:space="preserve"> شَيْئاً؟ » قُلْتُ : لَا ، قَ</w:t>
      </w:r>
      <w:r w:rsidR="00F73B39">
        <w:rPr>
          <w:rtl/>
          <w:lang w:bidi="fa-IR"/>
        </w:rPr>
        <w:t>الَ : « فَمِنْ أَيْنَ حَجَجْتَ؟</w:t>
      </w:r>
      <w:r>
        <w:rPr>
          <w:rtl/>
          <w:lang w:bidi="fa-IR"/>
        </w:rPr>
        <w:t>».</w:t>
      </w:r>
    </w:p>
    <w:p w:rsidR="00744A1C" w:rsidRDefault="00744A1C" w:rsidP="00744A1C">
      <w:pPr>
        <w:pStyle w:val="libNormal"/>
        <w:rPr>
          <w:lang w:bidi="fa-IR"/>
        </w:rPr>
      </w:pPr>
      <w:r>
        <w:rPr>
          <w:rtl/>
          <w:lang w:bidi="fa-IR"/>
        </w:rPr>
        <w:t xml:space="preserve">قَالَ : فَابْتَدَأْتُ ، فَحَدَّثْتُهُ بِقِصَّةِ الرَّجُلِ ، قَالَ </w:t>
      </w:r>
      <w:r w:rsidRPr="00D10E3C">
        <w:rPr>
          <w:rStyle w:val="libFootnotenumChar"/>
          <w:rtl/>
        </w:rPr>
        <w:t>(11)</w:t>
      </w:r>
      <w:r>
        <w:rPr>
          <w:rtl/>
          <w:lang w:bidi="fa-IR"/>
        </w:rPr>
        <w:t xml:space="preserve"> : فَمَا تَرَكَنِي أَفْرُغُ مِنْهَا حَتّى قَالَ لِي : « فَمَا فَعَلْتَ فِي </w:t>
      </w:r>
      <w:r w:rsidRPr="00D10E3C">
        <w:rPr>
          <w:rStyle w:val="libFootnotenumChar"/>
          <w:rtl/>
        </w:rPr>
        <w:t>(12)</w:t>
      </w:r>
      <w:r>
        <w:rPr>
          <w:rtl/>
          <w:lang w:bidi="fa-IR"/>
        </w:rPr>
        <w:t xml:space="preserve"> الْأَلْفِ؟ » قَالَ : قُلْتُ : رَدَدْتُهَا عَلى صَاحِبِهَا ، قَالَ : فَقَالَ لِي </w:t>
      </w:r>
      <w:r w:rsidRPr="00D10E3C">
        <w:rPr>
          <w:rStyle w:val="libFootnotenumChar"/>
          <w:rtl/>
        </w:rPr>
        <w:t>(13)</w:t>
      </w:r>
      <w:r>
        <w:rPr>
          <w:rtl/>
          <w:lang w:bidi="fa-IR"/>
        </w:rPr>
        <w:t xml:space="preserve"> : « قَدْ أَحْسَنْتَ ».</w:t>
      </w:r>
    </w:p>
    <w:p w:rsidR="00744A1C" w:rsidRDefault="00744A1C" w:rsidP="00744A1C">
      <w:pPr>
        <w:pStyle w:val="libNormal"/>
        <w:rPr>
          <w:lang w:bidi="fa-IR"/>
        </w:rPr>
      </w:pPr>
      <w:r>
        <w:rPr>
          <w:rtl/>
          <w:lang w:bidi="fa-IR"/>
        </w:rPr>
        <w:t xml:space="preserve">وَقَالَ لِي </w:t>
      </w:r>
      <w:r w:rsidRPr="00D10E3C">
        <w:rPr>
          <w:rStyle w:val="libFootnotenumChar"/>
          <w:rtl/>
        </w:rPr>
        <w:t>(14)</w:t>
      </w:r>
      <w:r>
        <w:rPr>
          <w:rtl/>
          <w:lang w:bidi="fa-IR"/>
        </w:rPr>
        <w:t xml:space="preserve"> : « أَ</w:t>
      </w:r>
      <w:r w:rsidR="00F73B39">
        <w:rPr>
          <w:rFonts w:hint="cs"/>
          <w:rtl/>
          <w:lang w:bidi="fa-IR"/>
        </w:rPr>
        <w:t xml:space="preserve"> </w:t>
      </w:r>
      <w:r>
        <w:rPr>
          <w:rtl/>
          <w:lang w:bidi="fa-IR"/>
        </w:rPr>
        <w:t xml:space="preserve">لَا أُوصِيكَ؟ » قُلْتُ : بَلى جُعِلْتُ فِدَاكَ </w:t>
      </w:r>
      <w:r w:rsidRPr="00D10E3C">
        <w:rPr>
          <w:rStyle w:val="libFootnotenumChar"/>
          <w:rtl/>
        </w:rPr>
        <w:t>(15)</w:t>
      </w:r>
      <w:r w:rsidR="00F73B39" w:rsidRPr="00F73B39">
        <w:rPr>
          <w:rFonts w:hint="cs"/>
          <w:rtl/>
        </w:rPr>
        <w:t>.</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F73B39" w:rsidTr="00F73B39">
        <w:tc>
          <w:tcPr>
            <w:tcW w:w="4006" w:type="dxa"/>
          </w:tcPr>
          <w:p w:rsidR="00F73B39" w:rsidRDefault="00F73B39" w:rsidP="00D10E3C">
            <w:pPr>
              <w:pStyle w:val="libFootnote0"/>
              <w:rPr>
                <w:rtl/>
                <w:lang w:bidi="fa-IR"/>
              </w:rPr>
            </w:pPr>
            <w:r>
              <w:rPr>
                <w:rtl/>
                <w:lang w:bidi="fa-IR"/>
              </w:rPr>
              <w:t>(1). في «ط ،ى ،بح ،جد ،جن»</w:t>
            </w:r>
            <w:r w:rsidRPr="00F73B39">
              <w:rPr>
                <w:rtl/>
              </w:rPr>
              <w:t>والبحار</w:t>
            </w:r>
            <w:r>
              <w:rPr>
                <w:rtl/>
                <w:lang w:bidi="fa-IR"/>
              </w:rPr>
              <w:t xml:space="preserve"> : - « قد ».</w:t>
            </w:r>
          </w:p>
        </w:tc>
        <w:tc>
          <w:tcPr>
            <w:tcW w:w="4006" w:type="dxa"/>
          </w:tcPr>
          <w:p w:rsidR="00F73B39" w:rsidRDefault="00F73B39" w:rsidP="00D10E3C">
            <w:pPr>
              <w:pStyle w:val="libFootnote0"/>
              <w:rPr>
                <w:rtl/>
                <w:lang w:bidi="fa-IR"/>
              </w:rPr>
            </w:pPr>
            <w:r>
              <w:rPr>
                <w:rtl/>
                <w:lang w:bidi="fa-IR"/>
              </w:rPr>
              <w:t>(2). في «</w:t>
            </w:r>
            <w:r w:rsidR="00D37D14">
              <w:rPr>
                <w:rtl/>
                <w:lang w:bidi="fa-IR"/>
              </w:rPr>
              <w:t>ط</w:t>
            </w:r>
            <w:r>
              <w:rPr>
                <w:rtl/>
                <w:lang w:bidi="fa-IR"/>
              </w:rPr>
              <w:t>،</w:t>
            </w:r>
            <w:r w:rsidR="00D37D14">
              <w:rPr>
                <w:rtl/>
                <w:lang w:bidi="fa-IR"/>
              </w:rPr>
              <w:t>ى</w:t>
            </w:r>
            <w:r>
              <w:rPr>
                <w:rtl/>
                <w:lang w:bidi="fa-IR"/>
              </w:rPr>
              <w:t xml:space="preserve">،بح ،جد ،جن» </w:t>
            </w:r>
            <w:r w:rsidRPr="00D37D14">
              <w:rPr>
                <w:rtl/>
              </w:rPr>
              <w:t>والبحار</w:t>
            </w:r>
            <w:r>
              <w:rPr>
                <w:rtl/>
                <w:lang w:bidi="fa-IR"/>
              </w:rPr>
              <w:t xml:space="preserve"> </w:t>
            </w:r>
            <w:r w:rsidR="00D37D14">
              <w:rPr>
                <w:rtl/>
                <w:lang w:bidi="fa-IR"/>
              </w:rPr>
              <w:t>: «وأحببت</w:t>
            </w:r>
            <w:r>
              <w:rPr>
                <w:rtl/>
                <w:lang w:bidi="fa-IR"/>
              </w:rPr>
              <w:t>».</w:t>
            </w:r>
          </w:p>
        </w:tc>
      </w:tr>
      <w:tr w:rsidR="00F73B39" w:rsidTr="00F73B39">
        <w:tc>
          <w:tcPr>
            <w:tcW w:w="4006" w:type="dxa"/>
          </w:tcPr>
          <w:p w:rsidR="00F73B39" w:rsidRDefault="00F73B39" w:rsidP="00D10E3C">
            <w:pPr>
              <w:pStyle w:val="libFootnote0"/>
              <w:rPr>
                <w:rtl/>
                <w:lang w:bidi="fa-IR"/>
              </w:rPr>
            </w:pPr>
            <w:r>
              <w:rPr>
                <w:rtl/>
                <w:lang w:bidi="fa-IR"/>
              </w:rPr>
              <w:t>(3). في « جن » : « مواخر ».</w:t>
            </w:r>
          </w:p>
        </w:tc>
        <w:tc>
          <w:tcPr>
            <w:tcW w:w="4006" w:type="dxa"/>
          </w:tcPr>
          <w:p w:rsidR="00F73B39" w:rsidRDefault="00F73B39" w:rsidP="00D10E3C">
            <w:pPr>
              <w:pStyle w:val="libFootnote0"/>
              <w:rPr>
                <w:rtl/>
                <w:lang w:bidi="fa-IR"/>
              </w:rPr>
            </w:pPr>
            <w:r>
              <w:rPr>
                <w:rtl/>
                <w:lang w:bidi="fa-IR"/>
              </w:rPr>
              <w:t xml:space="preserve">(4). في « ى » </w:t>
            </w:r>
            <w:r w:rsidRPr="00D37D14">
              <w:rPr>
                <w:rtl/>
              </w:rPr>
              <w:t>والوافي</w:t>
            </w:r>
            <w:r>
              <w:rPr>
                <w:rtl/>
                <w:lang w:bidi="fa-IR"/>
              </w:rPr>
              <w:t xml:space="preserve"> : - « لي ».</w:t>
            </w:r>
          </w:p>
        </w:tc>
      </w:tr>
    </w:tbl>
    <w:p w:rsidR="00744A1C" w:rsidRDefault="00E378DD" w:rsidP="00E378DD">
      <w:pPr>
        <w:pStyle w:val="libFootnote0"/>
        <w:rPr>
          <w:lang w:bidi="fa-IR"/>
        </w:rPr>
      </w:pPr>
      <w:r>
        <w:rPr>
          <w:rtl/>
          <w:lang w:bidi="fa-IR"/>
        </w:rPr>
        <w:t>(5).</w:t>
      </w:r>
      <w:r w:rsidR="00744A1C">
        <w:rPr>
          <w:rtl/>
          <w:lang w:bidi="fa-IR"/>
        </w:rPr>
        <w:t xml:space="preserve"> في « بس » : « قلت ». وفي « بح ، بخ ، بف ، جت ، جن » </w:t>
      </w:r>
      <w:r w:rsidR="00744A1C" w:rsidRPr="00D37D14">
        <w:rPr>
          <w:rtl/>
        </w:rPr>
        <w:t>والوافي</w:t>
      </w:r>
      <w:r w:rsidR="00744A1C">
        <w:rPr>
          <w:rtl/>
          <w:lang w:bidi="fa-IR"/>
        </w:rPr>
        <w:t xml:space="preserve"> : + « له ».</w:t>
      </w:r>
    </w:p>
    <w:p w:rsidR="00744A1C" w:rsidRDefault="00E378DD" w:rsidP="00E378DD">
      <w:pPr>
        <w:pStyle w:val="libFootnote0"/>
        <w:rPr>
          <w:lang w:bidi="fa-IR"/>
        </w:rPr>
      </w:pPr>
      <w:r>
        <w:rPr>
          <w:rtl/>
          <w:lang w:bidi="fa-IR"/>
        </w:rPr>
        <w:t>(6).</w:t>
      </w:r>
      <w:r w:rsidR="00744A1C">
        <w:rPr>
          <w:rtl/>
          <w:lang w:bidi="fa-IR"/>
        </w:rPr>
        <w:t xml:space="preserve"> في « بف » </w:t>
      </w:r>
      <w:r w:rsidR="00744A1C" w:rsidRPr="00D37D14">
        <w:rPr>
          <w:rtl/>
        </w:rPr>
        <w:t>والوافي</w:t>
      </w:r>
      <w:r w:rsidR="00744A1C">
        <w:rPr>
          <w:rtl/>
          <w:lang w:bidi="fa-IR"/>
        </w:rPr>
        <w:t xml:space="preserve"> : « قال ».</w:t>
      </w:r>
    </w:p>
    <w:p w:rsidR="00744A1C" w:rsidRDefault="00E378DD" w:rsidP="00E378DD">
      <w:pPr>
        <w:pStyle w:val="libFootnote0"/>
        <w:rPr>
          <w:lang w:bidi="fa-IR"/>
        </w:rPr>
      </w:pPr>
      <w:r>
        <w:rPr>
          <w:rtl/>
          <w:lang w:bidi="fa-IR"/>
        </w:rPr>
        <w:t>(7).</w:t>
      </w:r>
      <w:r w:rsidR="00744A1C">
        <w:rPr>
          <w:rtl/>
          <w:lang w:bidi="fa-IR"/>
        </w:rPr>
        <w:t xml:space="preserve"> في « ط ، بح ، بخ ، بف ، جد ، جن » </w:t>
      </w:r>
      <w:r w:rsidR="00744A1C" w:rsidRPr="00D37D14">
        <w:rPr>
          <w:rtl/>
        </w:rPr>
        <w:t>والوافي والبحار</w:t>
      </w:r>
      <w:r w:rsidR="00744A1C">
        <w:rPr>
          <w:rtl/>
          <w:lang w:bidi="fa-IR"/>
        </w:rPr>
        <w:t xml:space="preserve"> : - « لي ».</w:t>
      </w:r>
    </w:p>
    <w:p w:rsidR="00744A1C" w:rsidRDefault="00E378DD" w:rsidP="00E378DD">
      <w:pPr>
        <w:pStyle w:val="libFootnote0"/>
        <w:rPr>
          <w:lang w:bidi="fa-IR"/>
        </w:rPr>
      </w:pPr>
      <w:r>
        <w:rPr>
          <w:rtl/>
          <w:lang w:bidi="fa-IR"/>
        </w:rPr>
        <w:t>(8).</w:t>
      </w:r>
      <w:r w:rsidR="00744A1C">
        <w:rPr>
          <w:rtl/>
          <w:lang w:bidi="fa-IR"/>
        </w:rPr>
        <w:t xml:space="preserve"> في « ط ، بف » </w:t>
      </w:r>
      <w:r w:rsidR="00744A1C" w:rsidRPr="00D37D14">
        <w:rPr>
          <w:rtl/>
        </w:rPr>
        <w:t>والوافي</w:t>
      </w:r>
      <w:r w:rsidR="00744A1C">
        <w:rPr>
          <w:rtl/>
          <w:lang w:bidi="fa-IR"/>
        </w:rPr>
        <w:t xml:space="preserve"> : « قلت ». وفي </w:t>
      </w:r>
      <w:r w:rsidR="00744A1C" w:rsidRPr="00D37D14">
        <w:rPr>
          <w:rtl/>
        </w:rPr>
        <w:t>البحار</w:t>
      </w:r>
      <w:r w:rsidR="00744A1C">
        <w:rPr>
          <w:rtl/>
          <w:lang w:bidi="fa-IR"/>
        </w:rPr>
        <w:t xml:space="preserve"> : + « له ».</w:t>
      </w:r>
    </w:p>
    <w:p w:rsidR="00744A1C" w:rsidRDefault="00E378DD" w:rsidP="00E378DD">
      <w:pPr>
        <w:pStyle w:val="libFootnote0"/>
        <w:rPr>
          <w:lang w:bidi="fa-IR"/>
        </w:rPr>
      </w:pPr>
      <w:r>
        <w:rPr>
          <w:rtl/>
          <w:lang w:bidi="fa-IR"/>
        </w:rPr>
        <w:t>(9).</w:t>
      </w:r>
      <w:r w:rsidR="00744A1C">
        <w:rPr>
          <w:rtl/>
          <w:lang w:bidi="fa-IR"/>
        </w:rPr>
        <w:t xml:space="preserve"> في « بخ ، بس ، جت » وحاشية « ى » : « فترجّع ». و « فتوجّع » ، أي رثى ، يقال : توجّع له ممّا نزل به ، أي رثى له من‌مكروه نازل. راجع : </w:t>
      </w:r>
      <w:r w:rsidR="00744A1C" w:rsidRPr="00877682">
        <w:rPr>
          <w:rStyle w:val="libFootnoteBoldChar"/>
          <w:rtl/>
        </w:rPr>
        <w:t>لسان العرب</w:t>
      </w:r>
      <w:r w:rsidR="00744A1C">
        <w:rPr>
          <w:rtl/>
          <w:lang w:bidi="fa-IR"/>
        </w:rPr>
        <w:t xml:space="preserve"> ، ج 8 ، ص 380 ( وجع ).</w:t>
      </w:r>
    </w:p>
    <w:p w:rsidR="00744A1C" w:rsidRDefault="00E378DD" w:rsidP="00E378DD">
      <w:pPr>
        <w:pStyle w:val="libFootnote0"/>
        <w:rPr>
          <w:lang w:bidi="fa-IR"/>
        </w:rPr>
      </w:pPr>
      <w:r>
        <w:rPr>
          <w:rtl/>
          <w:lang w:bidi="fa-IR"/>
        </w:rPr>
        <w:t>(10).</w:t>
      </w:r>
      <w:r w:rsidR="00744A1C">
        <w:rPr>
          <w:rtl/>
          <w:lang w:bidi="fa-IR"/>
        </w:rPr>
        <w:t xml:space="preserve"> في « ط ، بخ ، بف » </w:t>
      </w:r>
      <w:r w:rsidR="00744A1C" w:rsidRPr="00D37D14">
        <w:rPr>
          <w:rtl/>
        </w:rPr>
        <w:t>والوافي</w:t>
      </w:r>
      <w:r w:rsidR="00744A1C">
        <w:rPr>
          <w:rtl/>
          <w:lang w:bidi="fa-IR"/>
        </w:rPr>
        <w:t xml:space="preserve"> : « فترك » بدون همزة الاستفهام.</w:t>
      </w:r>
    </w:p>
    <w:p w:rsidR="00744A1C" w:rsidRDefault="00E378DD" w:rsidP="00E378DD">
      <w:pPr>
        <w:pStyle w:val="libFootnote0"/>
        <w:rPr>
          <w:lang w:bidi="fa-IR"/>
        </w:rPr>
      </w:pPr>
      <w:r>
        <w:rPr>
          <w:rtl/>
          <w:lang w:bidi="fa-IR"/>
        </w:rPr>
        <w:t>(11).</w:t>
      </w:r>
      <w:r w:rsidR="00744A1C">
        <w:rPr>
          <w:rtl/>
          <w:lang w:bidi="fa-IR"/>
        </w:rPr>
        <w:t xml:space="preserve"> في « ط » : - « قال ».</w:t>
      </w:r>
    </w:p>
    <w:p w:rsidR="00744A1C" w:rsidRDefault="00E378DD" w:rsidP="00E378DD">
      <w:pPr>
        <w:pStyle w:val="libFootnote0"/>
        <w:rPr>
          <w:lang w:bidi="fa-IR"/>
        </w:rPr>
      </w:pPr>
      <w:r>
        <w:rPr>
          <w:rtl/>
          <w:lang w:bidi="fa-IR"/>
        </w:rPr>
        <w:t>(12).</w:t>
      </w:r>
      <w:r w:rsidR="00744A1C">
        <w:rPr>
          <w:rtl/>
          <w:lang w:bidi="fa-IR"/>
        </w:rPr>
        <w:t xml:space="preserve"> في « ط ، بح ، بخ ، بف ، جت ، جد ، جن » </w:t>
      </w:r>
      <w:r w:rsidR="00744A1C" w:rsidRPr="00D37D14">
        <w:rPr>
          <w:rtl/>
        </w:rPr>
        <w:t>والبحار</w:t>
      </w:r>
      <w:r w:rsidR="00744A1C">
        <w:rPr>
          <w:rtl/>
          <w:lang w:bidi="fa-IR"/>
        </w:rPr>
        <w:t xml:space="preserve"> : - « في ».</w:t>
      </w:r>
    </w:p>
    <w:tbl>
      <w:tblPr>
        <w:tblStyle w:val="TableGrid"/>
        <w:bidiVisual/>
        <w:tblW w:w="0" w:type="auto"/>
        <w:tblLook w:val="04A0" w:firstRow="1" w:lastRow="0" w:firstColumn="1" w:lastColumn="0" w:noHBand="0" w:noVBand="1"/>
      </w:tblPr>
      <w:tblGrid>
        <w:gridCol w:w="4006"/>
        <w:gridCol w:w="4006"/>
      </w:tblGrid>
      <w:tr w:rsidR="00D37D14" w:rsidTr="00D37D14">
        <w:tc>
          <w:tcPr>
            <w:tcW w:w="4006" w:type="dxa"/>
          </w:tcPr>
          <w:p w:rsidR="00D37D14" w:rsidRDefault="00D37D14" w:rsidP="00E378DD">
            <w:pPr>
              <w:pStyle w:val="libFootnote0"/>
              <w:rPr>
                <w:rtl/>
                <w:lang w:bidi="fa-IR"/>
              </w:rPr>
            </w:pPr>
            <w:r>
              <w:rPr>
                <w:rtl/>
                <w:lang w:bidi="fa-IR"/>
              </w:rPr>
              <w:t xml:space="preserve">(13). في « ط ، بف ، جت » </w:t>
            </w:r>
            <w:r w:rsidRPr="00D37D14">
              <w:rPr>
                <w:rtl/>
              </w:rPr>
              <w:t>والوافي</w:t>
            </w:r>
            <w:r>
              <w:rPr>
                <w:rtl/>
                <w:lang w:bidi="fa-IR"/>
              </w:rPr>
              <w:t xml:space="preserve"> : - « لي ».</w:t>
            </w:r>
          </w:p>
        </w:tc>
        <w:tc>
          <w:tcPr>
            <w:tcW w:w="4006" w:type="dxa"/>
          </w:tcPr>
          <w:p w:rsidR="00D37D14" w:rsidRDefault="00D37D14" w:rsidP="00E378DD">
            <w:pPr>
              <w:pStyle w:val="libFootnote0"/>
              <w:rPr>
                <w:rtl/>
                <w:lang w:bidi="fa-IR"/>
              </w:rPr>
            </w:pPr>
            <w:r>
              <w:rPr>
                <w:rtl/>
                <w:lang w:bidi="fa-IR"/>
              </w:rPr>
              <w:t>(14). في « ط » : - « لي ».</w:t>
            </w:r>
          </w:p>
        </w:tc>
      </w:tr>
    </w:tbl>
    <w:p w:rsidR="00744A1C" w:rsidRDefault="00E378DD" w:rsidP="00E378DD">
      <w:pPr>
        <w:pStyle w:val="libFootnote0"/>
        <w:rPr>
          <w:lang w:bidi="fa-IR"/>
        </w:rPr>
      </w:pPr>
      <w:r>
        <w:rPr>
          <w:rtl/>
          <w:lang w:bidi="fa-IR"/>
        </w:rPr>
        <w:t>(15).</w:t>
      </w:r>
      <w:r w:rsidR="00744A1C">
        <w:rPr>
          <w:rtl/>
          <w:lang w:bidi="fa-IR"/>
        </w:rPr>
        <w:t xml:space="preserve"> في </w:t>
      </w:r>
      <w:r w:rsidR="00744A1C" w:rsidRPr="00D37D14">
        <w:rPr>
          <w:rtl/>
        </w:rPr>
        <w:t>الوسائل</w:t>
      </w:r>
      <w:r w:rsidR="00744A1C">
        <w:rPr>
          <w:rtl/>
          <w:lang w:bidi="fa-IR"/>
        </w:rPr>
        <w:t xml:space="preserve"> : - « جعلت فداك ».</w:t>
      </w:r>
    </w:p>
    <w:p w:rsidR="006D42F6" w:rsidRDefault="006D42F6"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فَقَالَ </w:t>
      </w:r>
      <w:r w:rsidRPr="00D10E3C">
        <w:rPr>
          <w:rStyle w:val="libFootnotenumChar"/>
          <w:rtl/>
        </w:rPr>
        <w:t>(1)</w:t>
      </w:r>
      <w:r>
        <w:rPr>
          <w:rtl/>
          <w:lang w:bidi="fa-IR"/>
        </w:rPr>
        <w:t xml:space="preserve"> : « عَلَيْكَ بِصِدْقِ الْحَدِيثِ ، وَأَدَاءِ الْأَمَانَةِ ؛ تَشْرَكُ النَّاسَ فِي أَمْوَالِهِمْ هكَذَا » وَجَمَعَ بَيْنَ أَصَابِعِهِ </w:t>
      </w:r>
      <w:r w:rsidRPr="00D10E3C">
        <w:rPr>
          <w:rStyle w:val="libFootnotenumChar"/>
          <w:rtl/>
        </w:rPr>
        <w:t>(2)</w:t>
      </w:r>
      <w:r w:rsidR="00D37D14" w:rsidRPr="00D37D14">
        <w:rPr>
          <w:rFonts w:hint="cs"/>
          <w:rtl/>
        </w:rPr>
        <w:t>.</w:t>
      </w:r>
    </w:p>
    <w:p w:rsidR="00144FA6" w:rsidRDefault="00744A1C" w:rsidP="00744A1C">
      <w:pPr>
        <w:pStyle w:val="libNormal"/>
        <w:rPr>
          <w:rtl/>
          <w:lang w:bidi="fa-IR"/>
        </w:rPr>
      </w:pPr>
      <w:r>
        <w:rPr>
          <w:rtl/>
          <w:lang w:bidi="fa-IR"/>
        </w:rPr>
        <w:t xml:space="preserve">قَالَ : فَحَفِظْتُ ذلِكَ عَنْهُ ، فَزَكَّيْتُ </w:t>
      </w:r>
      <w:r w:rsidRPr="00D10E3C">
        <w:rPr>
          <w:rStyle w:val="libFootnotenumChar"/>
          <w:rtl/>
        </w:rPr>
        <w:t>(3)</w:t>
      </w:r>
      <w:r>
        <w:rPr>
          <w:rtl/>
          <w:lang w:bidi="fa-IR"/>
        </w:rPr>
        <w:t xml:space="preserve"> ثَلَاثَمِائَةِ أَلْفِ دِرْهَمٍ. </w:t>
      </w:r>
      <w:r w:rsidRPr="00D10E3C">
        <w:rPr>
          <w:rStyle w:val="libFootnotenumChar"/>
          <w:rtl/>
        </w:rPr>
        <w:t>(4)</w:t>
      </w:r>
    </w:p>
    <w:p w:rsidR="00144FA6" w:rsidRDefault="00744A1C" w:rsidP="00D37D14">
      <w:pPr>
        <w:pStyle w:val="Heading2Center"/>
        <w:rPr>
          <w:rtl/>
          <w:lang w:bidi="fa-IR"/>
        </w:rPr>
      </w:pPr>
      <w:bookmarkStart w:id="170" w:name="_Toc49261468"/>
      <w:r>
        <w:rPr>
          <w:rtl/>
          <w:lang w:bidi="fa-IR"/>
        </w:rPr>
        <w:t xml:space="preserve">47 - بَابُ الرَّجُلِ يَأْخُذُ مِنْ مَالِ وَلَدِهِ وَالْوَلَدِ يَأْخُذُ مِنْ مَالِ أَبِيهِ </w:t>
      </w:r>
      <w:r w:rsidRPr="00D10E3C">
        <w:rPr>
          <w:rStyle w:val="libFootnotenumChar"/>
          <w:rtl/>
        </w:rPr>
        <w:t>(5)</w:t>
      </w:r>
      <w:bookmarkEnd w:id="170"/>
    </w:p>
    <w:p w:rsidR="00144FA6" w:rsidRDefault="00744A1C" w:rsidP="00744A1C">
      <w:pPr>
        <w:pStyle w:val="libNormal"/>
        <w:rPr>
          <w:rtl/>
          <w:lang w:bidi="fa-IR"/>
        </w:rPr>
      </w:pPr>
      <w:r>
        <w:rPr>
          <w:rtl/>
          <w:lang w:bidi="fa-IR"/>
        </w:rPr>
        <w:t>8623 / 1. عَلِيُّ بْنُ إِبْرَاهِيمَ ، عَنْ أَبِيهِ ، عَنْ حَمَّادٍ ، عَنْ حَرِيزٍ ، عَنْ مُحَمَّدِ بْنِ مُسْلِمٍ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عَنْ رَجُلٍ لِابْنِهِ مَالٌ ، فَيَحْتَاجُ </w:t>
      </w:r>
      <w:r w:rsidRPr="00D10E3C">
        <w:rPr>
          <w:rStyle w:val="libFootnotenumChar"/>
          <w:rtl/>
        </w:rPr>
        <w:t>(6)</w:t>
      </w:r>
      <w:r>
        <w:rPr>
          <w:rtl/>
          <w:lang w:bidi="fa-IR"/>
        </w:rPr>
        <w:t xml:space="preserve"> الْأَبُ </w:t>
      </w:r>
      <w:r w:rsidRPr="00D10E3C">
        <w:rPr>
          <w:rStyle w:val="libFootnotenumChar"/>
          <w:rtl/>
        </w:rPr>
        <w:t>(7)</w:t>
      </w:r>
      <w:r>
        <w:rPr>
          <w:rtl/>
          <w:lang w:bidi="fa-IR"/>
        </w:rPr>
        <w:t>؟</w:t>
      </w:r>
    </w:p>
    <w:p w:rsidR="00144FA6" w:rsidRDefault="00744A1C" w:rsidP="00744A1C">
      <w:pPr>
        <w:pStyle w:val="libNormal"/>
        <w:rPr>
          <w:rtl/>
          <w:lang w:bidi="fa-IR"/>
        </w:rPr>
      </w:pPr>
      <w:r>
        <w:rPr>
          <w:rtl/>
          <w:lang w:bidi="fa-IR"/>
        </w:rPr>
        <w:t xml:space="preserve">قَالَ : « يَأْكُلُ مِنْهُ ، فَأَمَّا الْأُمُّ فَلَا تَأْكُلُ </w:t>
      </w:r>
      <w:r w:rsidRPr="00D10E3C">
        <w:rPr>
          <w:rStyle w:val="libFootnotenumChar"/>
          <w:rtl/>
        </w:rPr>
        <w:t>(8)</w:t>
      </w:r>
      <w:r w:rsidR="00D37D14">
        <w:rPr>
          <w:rtl/>
          <w:lang w:bidi="fa-IR"/>
        </w:rPr>
        <w:t xml:space="preserve"> مِنْهُ إِل</w:t>
      </w:r>
      <w:r w:rsidR="00D37D14">
        <w:rPr>
          <w:rFonts w:hint="cs"/>
          <w:rtl/>
          <w:lang w:bidi="fa-IR"/>
        </w:rPr>
        <w:t>َّ</w:t>
      </w:r>
      <w:r w:rsidR="00D37D14">
        <w:rPr>
          <w:rtl/>
          <w:lang w:bidi="fa-IR"/>
        </w:rPr>
        <w:t>ا</w:t>
      </w:r>
      <w:r>
        <w:rPr>
          <w:rtl/>
          <w:lang w:bidi="fa-IR"/>
        </w:rPr>
        <w:t xml:space="preserve"> قَرْضاً عَلى نَفْسِهَا </w:t>
      </w:r>
      <w:r w:rsidRPr="00D10E3C">
        <w:rPr>
          <w:rStyle w:val="libFootnotenumChar"/>
          <w:rtl/>
        </w:rPr>
        <w:t>(9)</w:t>
      </w:r>
      <w:r>
        <w:rPr>
          <w:rtl/>
          <w:lang w:bidi="fa-IR"/>
        </w:rPr>
        <w:t xml:space="preserve"> ». </w:t>
      </w:r>
      <w:r w:rsidRPr="00D10E3C">
        <w:rPr>
          <w:rStyle w:val="libFootnotenumChar"/>
          <w:rtl/>
        </w:rPr>
        <w:t>(10)</w:t>
      </w:r>
    </w:p>
    <w:p w:rsidR="00144FA6" w:rsidRDefault="00744A1C" w:rsidP="00744A1C">
      <w:pPr>
        <w:pStyle w:val="libNormal"/>
        <w:rPr>
          <w:rtl/>
          <w:lang w:bidi="fa-IR"/>
        </w:rPr>
      </w:pPr>
      <w:r>
        <w:rPr>
          <w:rtl/>
          <w:lang w:bidi="fa-IR"/>
        </w:rPr>
        <w:t>8624 / 2. عِدَّةٌ مِنْ أَصْحَابِنَا ، عَنْ سَهْلِ بْنِ زِيَادٍ ، عَنْ عَلِيِّ بْنِ أَسْبَاطٍ ، عَنْ عَلِيِّ بْنِ جَعْفَرٍ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بخ ، بس ، بف ، جد ، جن » </w:t>
      </w:r>
      <w:r w:rsidR="00744A1C" w:rsidRPr="00794BCA">
        <w:rPr>
          <w:rtl/>
        </w:rPr>
        <w:t>والوافي والوسائل والبحار</w:t>
      </w:r>
      <w:r w:rsidR="00744A1C">
        <w:rPr>
          <w:rtl/>
          <w:lang w:bidi="fa-IR"/>
        </w:rPr>
        <w:t xml:space="preserve"> : « قال ».</w:t>
      </w:r>
    </w:p>
    <w:p w:rsidR="00744A1C" w:rsidRDefault="00E378DD" w:rsidP="00E378DD">
      <w:pPr>
        <w:pStyle w:val="libFootnote0"/>
        <w:rPr>
          <w:lang w:bidi="fa-IR"/>
        </w:rPr>
      </w:pPr>
      <w:r>
        <w:rPr>
          <w:rtl/>
          <w:lang w:bidi="fa-IR"/>
        </w:rPr>
        <w:t>(2).</w:t>
      </w:r>
      <w:r w:rsidR="00744A1C">
        <w:rPr>
          <w:rtl/>
          <w:lang w:bidi="fa-IR"/>
        </w:rPr>
        <w:t xml:space="preserve"> في « ط ، بخ ، بف ، جت » </w:t>
      </w:r>
      <w:r w:rsidR="00744A1C" w:rsidRPr="00D37D14">
        <w:rPr>
          <w:rtl/>
        </w:rPr>
        <w:t>والوافي</w:t>
      </w:r>
      <w:r w:rsidR="00744A1C">
        <w:rPr>
          <w:rtl/>
          <w:lang w:bidi="fa-IR"/>
        </w:rPr>
        <w:t xml:space="preserve"> : « إصبعيه ». وفي هامش </w:t>
      </w:r>
      <w:r w:rsidR="00744A1C" w:rsidRPr="0061079A">
        <w:rPr>
          <w:rStyle w:val="libFootnoteBoldChar"/>
          <w:rtl/>
        </w:rPr>
        <w:t>الكافي</w:t>
      </w:r>
      <w:r w:rsidR="00744A1C">
        <w:rPr>
          <w:rtl/>
          <w:lang w:bidi="fa-IR"/>
        </w:rPr>
        <w:t xml:space="preserve"> المطبوع : « أي شبّك أصابع يده في أصابع يده الا</w:t>
      </w:r>
      <w:r w:rsidR="00D37D14">
        <w:rPr>
          <w:rFonts w:hint="cs"/>
          <w:rtl/>
          <w:lang w:bidi="fa-IR"/>
        </w:rPr>
        <w:t>ُ</w:t>
      </w:r>
      <w:r w:rsidR="00744A1C">
        <w:rPr>
          <w:rtl/>
          <w:lang w:bidi="fa-IR"/>
        </w:rPr>
        <w:t>خرى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قوله : فزكّيت ، كناية عن كثرة ماله ببركة العمل بالوصيّة ». وفي هامش المطبوع : « قوله : فزكّيت ، أي صرت متموّلاً حتّى وجبت عليّ الزكاة فأخرجت الزكاة ».</w:t>
      </w:r>
    </w:p>
    <w:p w:rsidR="00744A1C" w:rsidRDefault="00E378DD" w:rsidP="00D37D14">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18 ، ص 826 ، ح 18377 ؛ </w:t>
      </w:r>
      <w:r w:rsidR="00744A1C" w:rsidRPr="00C24F9C">
        <w:rPr>
          <w:rStyle w:val="libFootnoteBoldChar"/>
          <w:rtl/>
        </w:rPr>
        <w:t>الوسائل</w:t>
      </w:r>
      <w:r w:rsidR="00744A1C">
        <w:rPr>
          <w:rtl/>
          <w:lang w:bidi="fa-IR"/>
        </w:rPr>
        <w:t xml:space="preserve"> ، ج 19 ، ص 68 ، ح 24171 ، من قوله : « وقال لي : ألا أوصيك » ؛ </w:t>
      </w:r>
      <w:r w:rsidR="00744A1C" w:rsidRPr="0061079A">
        <w:rPr>
          <w:rStyle w:val="libFootnoteBoldChar"/>
          <w:rtl/>
        </w:rPr>
        <w:t>البحار</w:t>
      </w:r>
      <w:r w:rsidR="00744A1C">
        <w:rPr>
          <w:rtl/>
          <w:lang w:bidi="fa-IR"/>
        </w:rPr>
        <w:t xml:space="preserve"> ، ج 47 ، ص 384 ، ح 170.</w:t>
      </w:r>
      <w:r w:rsidR="00D37D14">
        <w:rPr>
          <w:rFonts w:hint="cs"/>
          <w:rtl/>
          <w:lang w:bidi="fa-IR"/>
        </w:rPr>
        <w:t xml:space="preserve">   </w:t>
      </w:r>
      <w:r>
        <w:rPr>
          <w:rtl/>
          <w:lang w:bidi="fa-IR"/>
        </w:rPr>
        <w:t>(5).</w:t>
      </w:r>
      <w:r w:rsidR="00D37D14">
        <w:rPr>
          <w:rtl/>
          <w:lang w:bidi="fa-IR"/>
        </w:rPr>
        <w:t>في«ط،ى،بح،بخ،جت،جد</w:t>
      </w:r>
      <w:r w:rsidR="00744A1C">
        <w:rPr>
          <w:rtl/>
          <w:lang w:bidi="fa-IR"/>
        </w:rPr>
        <w:t xml:space="preserve">» </w:t>
      </w:r>
      <w:r w:rsidR="00744A1C" w:rsidRPr="00D37D14">
        <w:rPr>
          <w:rtl/>
        </w:rPr>
        <w:t>والمرآة</w:t>
      </w:r>
      <w:r w:rsidR="00D37D14">
        <w:rPr>
          <w:rtl/>
          <w:lang w:bidi="fa-IR"/>
        </w:rPr>
        <w:t>: «والده</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هكذا في جميع النسخ التي قوبلت </w:t>
      </w:r>
      <w:r w:rsidR="00744A1C" w:rsidRPr="00D37D14">
        <w:rPr>
          <w:rtl/>
        </w:rPr>
        <w:t>والوافي</w:t>
      </w:r>
      <w:r w:rsidR="00744A1C">
        <w:rPr>
          <w:rtl/>
          <w:lang w:bidi="fa-IR"/>
        </w:rPr>
        <w:t>. وفي المطبوع : + « إليه ».</w:t>
      </w:r>
    </w:p>
    <w:tbl>
      <w:tblPr>
        <w:tblStyle w:val="TableGrid"/>
        <w:bidiVisual/>
        <w:tblW w:w="0" w:type="auto"/>
        <w:tblLook w:val="04A0" w:firstRow="1" w:lastRow="0" w:firstColumn="1" w:lastColumn="0" w:noHBand="0" w:noVBand="1"/>
      </w:tblPr>
      <w:tblGrid>
        <w:gridCol w:w="4006"/>
        <w:gridCol w:w="4006"/>
      </w:tblGrid>
      <w:tr w:rsidR="00D37D14" w:rsidTr="00D37D14">
        <w:tc>
          <w:tcPr>
            <w:tcW w:w="4006" w:type="dxa"/>
          </w:tcPr>
          <w:p w:rsidR="00D37D14" w:rsidRDefault="00D37D14" w:rsidP="00E378DD">
            <w:pPr>
              <w:pStyle w:val="libFootnote0"/>
              <w:rPr>
                <w:rtl/>
                <w:lang w:bidi="fa-IR"/>
              </w:rPr>
            </w:pPr>
            <w:r>
              <w:rPr>
                <w:rtl/>
                <w:lang w:bidi="fa-IR"/>
              </w:rPr>
              <w:t xml:space="preserve">(7). في </w:t>
            </w:r>
            <w:r w:rsidRPr="00D37D14">
              <w:rPr>
                <w:rtl/>
              </w:rPr>
              <w:t>الوسائل والتهذيب والاستبصار</w:t>
            </w:r>
            <w:r>
              <w:rPr>
                <w:rtl/>
                <w:lang w:bidi="fa-IR"/>
              </w:rPr>
              <w:t xml:space="preserve"> : + « إليه ».</w:t>
            </w:r>
          </w:p>
        </w:tc>
        <w:tc>
          <w:tcPr>
            <w:tcW w:w="4006" w:type="dxa"/>
          </w:tcPr>
          <w:p w:rsidR="00D37D14" w:rsidRDefault="00D37D14" w:rsidP="00E378DD">
            <w:pPr>
              <w:pStyle w:val="libFootnote0"/>
              <w:rPr>
                <w:rtl/>
                <w:lang w:bidi="fa-IR"/>
              </w:rPr>
            </w:pPr>
            <w:r>
              <w:rPr>
                <w:rtl/>
                <w:lang w:bidi="fa-IR"/>
              </w:rPr>
              <w:t xml:space="preserve">(8). في </w:t>
            </w:r>
            <w:r w:rsidRPr="00D37D14">
              <w:rPr>
                <w:rtl/>
              </w:rPr>
              <w:t>الفقيه</w:t>
            </w:r>
            <w:r>
              <w:rPr>
                <w:rtl/>
                <w:lang w:bidi="fa-IR"/>
              </w:rPr>
              <w:t xml:space="preserve"> : « فلا تأخذ ».</w:t>
            </w:r>
          </w:p>
        </w:tc>
      </w:tr>
    </w:tbl>
    <w:p w:rsidR="00744A1C" w:rsidRDefault="00E378DD" w:rsidP="00E378DD">
      <w:pPr>
        <w:pStyle w:val="libFootnote0"/>
        <w:rPr>
          <w:lang w:bidi="fa-IR"/>
        </w:rPr>
      </w:pPr>
      <w:r>
        <w:rPr>
          <w:rtl/>
          <w:lang w:bidi="fa-IR"/>
        </w:rPr>
        <w:t>(9).</w:t>
      </w:r>
      <w:r w:rsidR="00744A1C">
        <w:rPr>
          <w:rtl/>
          <w:lang w:bidi="fa-IR"/>
        </w:rPr>
        <w:t xml:space="preserve"> في </w:t>
      </w:r>
      <w:r w:rsidR="00744A1C" w:rsidRPr="00877682">
        <w:rPr>
          <w:rStyle w:val="libFootnoteBoldChar"/>
          <w:rtl/>
        </w:rPr>
        <w:t>مرآة العقول</w:t>
      </w:r>
      <w:r w:rsidR="00744A1C">
        <w:rPr>
          <w:rtl/>
          <w:lang w:bidi="fa-IR"/>
        </w:rPr>
        <w:t xml:space="preserve"> ، ج 19 ، ص 104 : « يدلّ على جواز أخذ الوالد من مال ولده بغير قرض ، وهو مخالف للمشهور ، وأيضاً جواز أخذ الا</w:t>
      </w:r>
      <w:r w:rsidR="00D37D14">
        <w:rPr>
          <w:rFonts w:hint="cs"/>
          <w:rtl/>
          <w:lang w:bidi="fa-IR"/>
        </w:rPr>
        <w:t>ُ</w:t>
      </w:r>
      <w:r w:rsidR="00D37D14">
        <w:rPr>
          <w:rtl/>
          <w:lang w:bidi="fa-IR"/>
        </w:rPr>
        <w:t>مّ قرضاً خلاف المشهور إل</w:t>
      </w:r>
      <w:r w:rsidR="00D37D14">
        <w:rPr>
          <w:rFonts w:hint="cs"/>
          <w:rtl/>
          <w:lang w:bidi="fa-IR"/>
        </w:rPr>
        <w:t>ّ</w:t>
      </w:r>
      <w:r w:rsidR="00D37D14">
        <w:rPr>
          <w:rtl/>
          <w:lang w:bidi="fa-IR"/>
        </w:rPr>
        <w:t>ا</w:t>
      </w:r>
      <w:r w:rsidR="00744A1C">
        <w:rPr>
          <w:rtl/>
          <w:lang w:bidi="fa-IR"/>
        </w:rPr>
        <w:t xml:space="preserve"> أن يحمل على ما إذا كانت قيّمة ، أو كان الأخذ بإذن الوليّ ، وال</w:t>
      </w:r>
      <w:r w:rsidR="00D37D14">
        <w:rPr>
          <w:rtl/>
          <w:lang w:bidi="fa-IR"/>
        </w:rPr>
        <w:t>حمل على النفقة مشترك بينهما إل</w:t>
      </w:r>
      <w:r w:rsidR="00D37D14">
        <w:rPr>
          <w:rFonts w:hint="cs"/>
          <w:rtl/>
          <w:lang w:bidi="fa-IR"/>
        </w:rPr>
        <w:t>ّ</w:t>
      </w:r>
      <w:r w:rsidR="00D37D14">
        <w:rPr>
          <w:rtl/>
          <w:lang w:bidi="fa-IR"/>
        </w:rPr>
        <w:t>ا</w:t>
      </w:r>
      <w:r w:rsidR="00744A1C">
        <w:rPr>
          <w:rtl/>
          <w:lang w:bidi="fa-IR"/>
        </w:rPr>
        <w:t xml:space="preserve"> أن يحمل على أنّها تأخذ قرضاً للنفقة إلى أن‌</w:t>
      </w:r>
      <w:r w:rsidR="00D37D14">
        <w:rPr>
          <w:rFonts w:hint="cs"/>
          <w:rtl/>
          <w:lang w:bidi="fa-IR"/>
        </w:rPr>
        <w:t xml:space="preserve"> </w:t>
      </w:r>
      <w:r w:rsidR="00744A1C">
        <w:rPr>
          <w:rtl/>
          <w:lang w:bidi="fa-IR"/>
        </w:rPr>
        <w:t>ترى الوليّ فينفذه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344 ، ح 964 ؛ </w:t>
      </w:r>
      <w:r w:rsidR="00744A1C" w:rsidRPr="00C24F9C">
        <w:rPr>
          <w:rStyle w:val="libFootnoteBoldChar"/>
          <w:rtl/>
        </w:rPr>
        <w:t>والاستبصار</w:t>
      </w:r>
      <w:r w:rsidR="00744A1C">
        <w:rPr>
          <w:rtl/>
          <w:lang w:bidi="fa-IR"/>
        </w:rPr>
        <w:t xml:space="preserve"> ، ج 3 ، ص 49 ، ح 160 ، معلّقاً عن الكليني. </w:t>
      </w:r>
      <w:r w:rsidR="00744A1C" w:rsidRPr="00C24F9C">
        <w:rPr>
          <w:rStyle w:val="libFootnoteBoldChar"/>
          <w:rtl/>
        </w:rPr>
        <w:t>الفقيه</w:t>
      </w:r>
      <w:r w:rsidR="00744A1C">
        <w:rPr>
          <w:rtl/>
          <w:lang w:bidi="fa-IR"/>
        </w:rPr>
        <w:t xml:space="preserve"> ، ج 3 ، ص 176 ، ح 3668 ، معلّقاً عن حريز </w:t>
      </w:r>
      <w:r w:rsidR="00D37D14">
        <w:rPr>
          <w:rFonts w:hint="cs"/>
          <w:rtl/>
          <w:lang w:bidi="fa-IR"/>
        </w:rPr>
        <w:t>.</w:t>
      </w:r>
      <w:r w:rsidR="00744A1C" w:rsidRPr="00C24F9C">
        <w:rPr>
          <w:rStyle w:val="libFootnoteBoldChar"/>
          <w:rtl/>
        </w:rPr>
        <w:t>الوافي</w:t>
      </w:r>
      <w:r w:rsidR="00744A1C">
        <w:rPr>
          <w:rtl/>
          <w:lang w:bidi="fa-IR"/>
        </w:rPr>
        <w:t xml:space="preserve"> ، ج 17 ، ص 321 ، ح 17347 ؛ </w:t>
      </w:r>
      <w:r w:rsidR="00744A1C" w:rsidRPr="00C24F9C">
        <w:rPr>
          <w:rStyle w:val="libFootnoteBoldChar"/>
          <w:rtl/>
        </w:rPr>
        <w:t>الوسائل</w:t>
      </w:r>
      <w:r w:rsidR="00744A1C">
        <w:rPr>
          <w:rtl/>
          <w:lang w:bidi="fa-IR"/>
        </w:rPr>
        <w:t xml:space="preserve"> ، ج 17 ، ص 264 ، ح 22483.</w:t>
      </w:r>
    </w:p>
    <w:p w:rsidR="006D42F6" w:rsidRDefault="006D42F6"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عَنْ أَبِي إِبْرَاهِيمَ </w:t>
      </w:r>
      <w:r w:rsidR="0061079A" w:rsidRPr="0061079A">
        <w:rPr>
          <w:rStyle w:val="libAlaemChar"/>
          <w:rtl/>
        </w:rPr>
        <w:t>عليه‌السلام</w:t>
      </w:r>
      <w:r w:rsidR="00D10E3C">
        <w:rPr>
          <w:rtl/>
          <w:lang w:bidi="fa-IR"/>
        </w:rPr>
        <w:t xml:space="preserve"> </w:t>
      </w:r>
      <w:r>
        <w:rPr>
          <w:rtl/>
          <w:lang w:bidi="fa-IR"/>
        </w:rPr>
        <w:t xml:space="preserve">، قَالَ : سَأَلْتُهُ عَنِ الرَّجُلِ يَأْكُلُ </w:t>
      </w:r>
      <w:r w:rsidRPr="00D10E3C">
        <w:rPr>
          <w:rStyle w:val="libFootnotenumChar"/>
          <w:rtl/>
        </w:rPr>
        <w:t>(1)</w:t>
      </w:r>
      <w:r>
        <w:rPr>
          <w:rtl/>
          <w:lang w:bidi="fa-IR"/>
        </w:rPr>
        <w:t xml:space="preserve"> مِنْ مَالِ وَلَدِهِ؟</w:t>
      </w:r>
    </w:p>
    <w:p w:rsidR="00144FA6" w:rsidRDefault="00D37D14" w:rsidP="00744A1C">
      <w:pPr>
        <w:pStyle w:val="libNormal"/>
        <w:rPr>
          <w:rtl/>
          <w:lang w:bidi="fa-IR"/>
        </w:rPr>
      </w:pPr>
      <w:r>
        <w:rPr>
          <w:rtl/>
          <w:lang w:bidi="fa-IR"/>
        </w:rPr>
        <w:t>قَالَ : « لَا ، إِل</w:t>
      </w:r>
      <w:r>
        <w:rPr>
          <w:rFonts w:hint="cs"/>
          <w:rtl/>
          <w:lang w:bidi="fa-IR"/>
        </w:rPr>
        <w:t>َّ</w:t>
      </w:r>
      <w:r>
        <w:rPr>
          <w:rtl/>
          <w:lang w:bidi="fa-IR"/>
        </w:rPr>
        <w:t>ا</w:t>
      </w:r>
      <w:r w:rsidR="00744A1C">
        <w:rPr>
          <w:rtl/>
          <w:lang w:bidi="fa-IR"/>
        </w:rPr>
        <w:t xml:space="preserve"> أَنْ يُضْطَرَّ إِلَيْهِ </w:t>
      </w:r>
      <w:r w:rsidR="00744A1C" w:rsidRPr="00D10E3C">
        <w:rPr>
          <w:rStyle w:val="libFootnotenumChar"/>
          <w:rtl/>
        </w:rPr>
        <w:t>(2)</w:t>
      </w:r>
      <w:r w:rsidR="00744A1C">
        <w:rPr>
          <w:rtl/>
          <w:lang w:bidi="fa-IR"/>
        </w:rPr>
        <w:t xml:space="preserve"> ، فَيَأْكُلَ مِنْهُ بِالْمَعْرُوفِ </w:t>
      </w:r>
      <w:r w:rsidR="00744A1C" w:rsidRPr="00D10E3C">
        <w:rPr>
          <w:rStyle w:val="libFootnotenumChar"/>
          <w:rtl/>
        </w:rPr>
        <w:t>(3)</w:t>
      </w:r>
      <w:r w:rsidR="00744A1C">
        <w:rPr>
          <w:rtl/>
          <w:lang w:bidi="fa-IR"/>
        </w:rPr>
        <w:t xml:space="preserve"> ؛ وَلَا يَصْلُحُ لِلْوَلَدِ أَنْ يَأْخُذَ </w:t>
      </w:r>
      <w:r w:rsidR="00744A1C" w:rsidRPr="00D10E3C">
        <w:rPr>
          <w:rStyle w:val="libFootnotenumChar"/>
          <w:rtl/>
        </w:rPr>
        <w:t>(4)</w:t>
      </w:r>
      <w:r w:rsidR="00744A1C">
        <w:rPr>
          <w:rtl/>
          <w:lang w:bidi="fa-IR"/>
        </w:rPr>
        <w:t xml:space="preserve"> مِن</w:t>
      </w:r>
      <w:r>
        <w:rPr>
          <w:rtl/>
          <w:lang w:bidi="fa-IR"/>
        </w:rPr>
        <w:t>ْ مَالِ وَالِدِهِ شَيْئاً إِل</w:t>
      </w:r>
      <w:r>
        <w:rPr>
          <w:rFonts w:hint="cs"/>
          <w:rtl/>
          <w:lang w:bidi="fa-IR"/>
        </w:rPr>
        <w:t>َّ</w:t>
      </w:r>
      <w:r>
        <w:rPr>
          <w:rtl/>
          <w:lang w:bidi="fa-IR"/>
        </w:rPr>
        <w:t>ا</w:t>
      </w:r>
      <w:r w:rsidR="00744A1C">
        <w:rPr>
          <w:rtl/>
          <w:lang w:bidi="fa-IR"/>
        </w:rPr>
        <w:t xml:space="preserve"> بِإِذْنِ </w:t>
      </w:r>
      <w:r w:rsidR="00744A1C" w:rsidRPr="00D10E3C">
        <w:rPr>
          <w:rStyle w:val="libFootnotenumChar"/>
          <w:rtl/>
        </w:rPr>
        <w:t>(5)</w:t>
      </w:r>
      <w:r w:rsidR="00744A1C">
        <w:rPr>
          <w:rtl/>
          <w:lang w:bidi="fa-IR"/>
        </w:rPr>
        <w:t xml:space="preserve"> وَالِدِهِ </w:t>
      </w:r>
      <w:r w:rsidR="00744A1C" w:rsidRPr="00D10E3C">
        <w:rPr>
          <w:rStyle w:val="libFootnotenumChar"/>
          <w:rtl/>
        </w:rPr>
        <w:t>(6)</w:t>
      </w:r>
      <w:r w:rsidR="00744A1C">
        <w:rPr>
          <w:rtl/>
          <w:lang w:bidi="fa-IR"/>
        </w:rPr>
        <w:t xml:space="preserve"> ». </w:t>
      </w:r>
      <w:r w:rsidR="00744A1C" w:rsidRPr="00D10E3C">
        <w:rPr>
          <w:rStyle w:val="libFootnotenumChar"/>
          <w:rtl/>
        </w:rPr>
        <w:t>(7)</w:t>
      </w:r>
    </w:p>
    <w:p w:rsidR="00144FA6" w:rsidRDefault="00744A1C" w:rsidP="00744A1C">
      <w:pPr>
        <w:pStyle w:val="libNormal"/>
        <w:rPr>
          <w:rtl/>
          <w:lang w:bidi="fa-IR"/>
        </w:rPr>
      </w:pPr>
      <w:r>
        <w:rPr>
          <w:rtl/>
          <w:lang w:bidi="fa-IR"/>
        </w:rPr>
        <w:t xml:space="preserve">8625 / 3. سَهْلُ بْنُ زِيَادٍ </w:t>
      </w:r>
      <w:r w:rsidRPr="00D10E3C">
        <w:rPr>
          <w:rStyle w:val="libFootnotenumChar"/>
          <w:rtl/>
        </w:rPr>
        <w:t>(8)</w:t>
      </w:r>
      <w:r>
        <w:rPr>
          <w:rtl/>
          <w:lang w:bidi="fa-IR"/>
        </w:rPr>
        <w:t xml:space="preserve"> ، عَنِ ابْنِ مَحْبُوبٍ ، عَنْ أَبِي حَمْزَةَ الثُّمَالِيِّ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5E465D" w:rsidRPr="005E465D">
        <w:rPr>
          <w:rStyle w:val="libAlaemChar"/>
          <w:rtl/>
        </w:rPr>
        <w:t>صلى‌الله‌عليه‌وآله</w:t>
      </w:r>
      <w:r>
        <w:rPr>
          <w:rtl/>
          <w:lang w:bidi="fa-IR"/>
        </w:rPr>
        <w:t xml:space="preserve"> لِرَجُلٍ : أَنْتَ وَمَالُكَ لِأَبِيكَ ».</w:t>
      </w:r>
    </w:p>
    <w:p w:rsidR="00144FA6" w:rsidRDefault="00744A1C" w:rsidP="00744A1C">
      <w:pPr>
        <w:pStyle w:val="libNormal"/>
        <w:rPr>
          <w:rtl/>
          <w:lang w:bidi="fa-IR"/>
        </w:rPr>
      </w:pPr>
      <w:r>
        <w:rPr>
          <w:rtl/>
          <w:lang w:bidi="fa-IR"/>
        </w:rPr>
        <w:t xml:space="preserve">ثُمَّ قَالَ أَبُو جَعْفَرٍ </w:t>
      </w:r>
      <w:r w:rsidR="0061079A" w:rsidRPr="0061079A">
        <w:rPr>
          <w:rStyle w:val="libAlaemChar"/>
          <w:rtl/>
        </w:rPr>
        <w:t>عليه‌السلام</w:t>
      </w:r>
      <w:r w:rsidR="00D10E3C">
        <w:rPr>
          <w:rtl/>
          <w:lang w:bidi="fa-IR"/>
        </w:rPr>
        <w:t xml:space="preserve"> </w:t>
      </w:r>
      <w:r>
        <w:rPr>
          <w:rtl/>
          <w:lang w:bidi="fa-IR"/>
        </w:rPr>
        <w:t xml:space="preserve">: « وَمَا أُحِبُّ </w:t>
      </w:r>
      <w:r w:rsidRPr="00D10E3C">
        <w:rPr>
          <w:rStyle w:val="libFootnotenumChar"/>
          <w:rtl/>
        </w:rPr>
        <w:t>(9)</w:t>
      </w:r>
      <w:r>
        <w:rPr>
          <w:rtl/>
          <w:lang w:bidi="fa-IR"/>
        </w:rPr>
        <w:t xml:space="preserve"> لَهُ </w:t>
      </w:r>
      <w:r w:rsidRPr="00D10E3C">
        <w:rPr>
          <w:rStyle w:val="libFootnotenumChar"/>
          <w:rtl/>
        </w:rPr>
        <w:t>(10)</w:t>
      </w:r>
      <w:r>
        <w:rPr>
          <w:rtl/>
          <w:lang w:bidi="fa-IR"/>
        </w:rPr>
        <w:t xml:space="preserve"> أَنْ يَ</w:t>
      </w:r>
      <w:r w:rsidR="00D37D14">
        <w:rPr>
          <w:rtl/>
          <w:lang w:bidi="fa-IR"/>
        </w:rPr>
        <w:t>أْخُذَ مِنْ مَالِ ابْنِهِ إِل</w:t>
      </w:r>
      <w:r w:rsidR="00D37D14">
        <w:rPr>
          <w:rFonts w:hint="cs"/>
          <w:rtl/>
          <w:lang w:bidi="fa-IR"/>
        </w:rPr>
        <w:t>َّ</w:t>
      </w:r>
      <w:r w:rsidR="00D37D14">
        <w:rPr>
          <w:rtl/>
          <w:lang w:bidi="fa-IR"/>
        </w:rPr>
        <w:t>ا</w:t>
      </w:r>
      <w:r>
        <w:rPr>
          <w:rtl/>
          <w:lang w:bidi="fa-IR"/>
        </w:rPr>
        <w:t xml:space="preserve"> مَا احْتَاجَ </w:t>
      </w:r>
      <w:r w:rsidRPr="00D10E3C">
        <w:rPr>
          <w:rStyle w:val="libFootnotenumChar"/>
          <w:rtl/>
        </w:rPr>
        <w:t>(11)</w:t>
      </w:r>
      <w:r>
        <w:rPr>
          <w:rtl/>
          <w:lang w:bidi="fa-IR"/>
        </w:rPr>
        <w:t xml:space="preserve"> إِلَيْهِ مِمَّا </w:t>
      </w:r>
      <w:r w:rsidRPr="00D10E3C">
        <w:rPr>
          <w:rStyle w:val="libFootnotenumChar"/>
          <w:rtl/>
        </w:rPr>
        <w:t>(12)</w:t>
      </w:r>
      <w:r>
        <w:rPr>
          <w:rtl/>
          <w:lang w:bidi="fa-IR"/>
        </w:rPr>
        <w:t xml:space="preserve"> لَابُدَّ لَهُ </w:t>
      </w:r>
      <w:r w:rsidRPr="00D10E3C">
        <w:rPr>
          <w:rStyle w:val="libFootnotenumChar"/>
          <w:rtl/>
        </w:rPr>
        <w:t>(13)</w:t>
      </w:r>
      <w:r>
        <w:rPr>
          <w:rtl/>
          <w:lang w:bidi="fa-IR"/>
        </w:rPr>
        <w:t xml:space="preserve"> مِنْهُ ؛ إِنَّ اللهَ - عَزَّ وَجَلَّ - لَايُحِبُّ الْفَسَادَ ». </w:t>
      </w:r>
      <w:r w:rsidRPr="00D10E3C">
        <w:rPr>
          <w:rStyle w:val="libFootnotenumChar"/>
          <w:rtl/>
        </w:rPr>
        <w:t>(14)</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القرب : « يأخذ ».</w:t>
      </w:r>
    </w:p>
    <w:p w:rsidR="00744A1C" w:rsidRDefault="00E378DD" w:rsidP="00E378DD">
      <w:pPr>
        <w:pStyle w:val="libFootnote0"/>
        <w:rPr>
          <w:lang w:bidi="fa-IR"/>
        </w:rPr>
      </w:pPr>
      <w:r>
        <w:rPr>
          <w:rtl/>
          <w:lang w:bidi="fa-IR"/>
        </w:rPr>
        <w:t>(2).</w:t>
      </w:r>
      <w:r w:rsidR="00D37D14">
        <w:rPr>
          <w:rtl/>
          <w:lang w:bidi="fa-IR"/>
        </w:rPr>
        <w:t xml:space="preserve"> في القرب : « إل</w:t>
      </w:r>
      <w:r w:rsidR="00D37D14">
        <w:rPr>
          <w:rFonts w:hint="cs"/>
          <w:rtl/>
          <w:lang w:bidi="fa-IR"/>
        </w:rPr>
        <w:t>ّ</w:t>
      </w:r>
      <w:r w:rsidR="00D37D14">
        <w:rPr>
          <w:rtl/>
          <w:lang w:bidi="fa-IR"/>
        </w:rPr>
        <w:t>ا</w:t>
      </w:r>
      <w:r w:rsidR="00744A1C">
        <w:rPr>
          <w:rtl/>
          <w:lang w:bidi="fa-IR"/>
        </w:rPr>
        <w:t xml:space="preserve"> بإذنه أ</w:t>
      </w:r>
      <w:r w:rsidR="00887AF8">
        <w:rPr>
          <w:rtl/>
          <w:lang w:bidi="fa-IR"/>
        </w:rPr>
        <w:t>و يضطرّ » بدل « إل</w:t>
      </w:r>
      <w:r w:rsidR="00887AF8">
        <w:rPr>
          <w:rFonts w:hint="cs"/>
          <w:rtl/>
          <w:lang w:bidi="fa-IR"/>
        </w:rPr>
        <w:t>ّ</w:t>
      </w:r>
      <w:r w:rsidR="00887AF8">
        <w:rPr>
          <w:rtl/>
          <w:lang w:bidi="fa-IR"/>
        </w:rPr>
        <w:t>ا</w:t>
      </w:r>
      <w:r w:rsidR="00744A1C">
        <w:rPr>
          <w:rtl/>
          <w:lang w:bidi="fa-IR"/>
        </w:rPr>
        <w:t xml:space="preserve"> أن يضطرّ إليه ».</w:t>
      </w:r>
    </w:p>
    <w:p w:rsidR="00744A1C" w:rsidRDefault="00E378DD" w:rsidP="00E378DD">
      <w:pPr>
        <w:pStyle w:val="libFootnote0"/>
        <w:rPr>
          <w:lang w:bidi="fa-IR"/>
        </w:rPr>
      </w:pPr>
      <w:r>
        <w:rPr>
          <w:rtl/>
          <w:lang w:bidi="fa-IR"/>
        </w:rPr>
        <w:t>(3).</w:t>
      </w:r>
      <w:r w:rsidR="00744A1C">
        <w:rPr>
          <w:rtl/>
          <w:lang w:bidi="fa-IR"/>
        </w:rPr>
        <w:t xml:space="preserve"> في القرب : + « أو يستقرض منه حتّى يعطيه إذا أيسر ».</w:t>
      </w:r>
    </w:p>
    <w:p w:rsidR="00744A1C" w:rsidRDefault="00E378DD" w:rsidP="00E378DD">
      <w:pPr>
        <w:pStyle w:val="libFootnote0"/>
        <w:rPr>
          <w:lang w:bidi="fa-IR"/>
        </w:rPr>
      </w:pPr>
      <w:r>
        <w:rPr>
          <w:rtl/>
          <w:lang w:bidi="fa-IR"/>
        </w:rPr>
        <w:t>(4).</w:t>
      </w:r>
      <w:r w:rsidR="00744A1C">
        <w:rPr>
          <w:rtl/>
          <w:lang w:bidi="fa-IR"/>
        </w:rPr>
        <w:t xml:space="preserve"> في الاستبصار : « ولا يصلح أن يأخذ الولد ».</w:t>
      </w:r>
    </w:p>
    <w:p w:rsidR="00744A1C" w:rsidRDefault="00E378DD" w:rsidP="00E378DD">
      <w:pPr>
        <w:pStyle w:val="libFootnote0"/>
        <w:rPr>
          <w:lang w:bidi="fa-IR"/>
        </w:rPr>
      </w:pPr>
      <w:r>
        <w:rPr>
          <w:rtl/>
          <w:lang w:bidi="fa-IR"/>
        </w:rPr>
        <w:t>(5).</w:t>
      </w:r>
      <w:r w:rsidR="00744A1C">
        <w:rPr>
          <w:rtl/>
          <w:lang w:bidi="fa-IR"/>
        </w:rPr>
        <w:t xml:space="preserve"> هكذا في « ط ، ى ، بخ ، بس ، بف ، جد ، جن » وحاشية « بح » </w:t>
      </w:r>
      <w:r w:rsidR="00744A1C" w:rsidRPr="00794BCA">
        <w:rPr>
          <w:rtl/>
        </w:rPr>
        <w:t>والوافي والمرآة والوسائل والتهذيب والاستبصار وقرب الإسناد</w:t>
      </w:r>
      <w:r w:rsidR="00744A1C">
        <w:rPr>
          <w:rtl/>
          <w:lang w:bidi="fa-IR"/>
        </w:rPr>
        <w:t xml:space="preserve">. </w:t>
      </w:r>
      <w:r w:rsidR="00887AF8">
        <w:rPr>
          <w:rtl/>
          <w:lang w:bidi="fa-IR"/>
        </w:rPr>
        <w:t>وفي سائر النسخ والمطبوع : « إل</w:t>
      </w:r>
      <w:r w:rsidR="00887AF8">
        <w:rPr>
          <w:rFonts w:hint="cs"/>
          <w:rtl/>
          <w:lang w:bidi="fa-IR"/>
        </w:rPr>
        <w:t>ّ</w:t>
      </w:r>
      <w:r w:rsidR="00887AF8">
        <w:rPr>
          <w:rtl/>
          <w:lang w:bidi="fa-IR"/>
        </w:rPr>
        <w:t>ا</w:t>
      </w:r>
      <w:r w:rsidR="00744A1C">
        <w:rPr>
          <w:rtl/>
          <w:lang w:bidi="fa-IR"/>
        </w:rPr>
        <w:t xml:space="preserve"> أن يأذن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887AF8">
        <w:rPr>
          <w:rtl/>
          <w:lang w:bidi="fa-IR"/>
        </w:rPr>
        <w:t>: إل</w:t>
      </w:r>
      <w:r w:rsidR="00887AF8">
        <w:rPr>
          <w:rFonts w:hint="cs"/>
          <w:rtl/>
          <w:lang w:bidi="fa-IR"/>
        </w:rPr>
        <w:t>ّ</w:t>
      </w:r>
      <w:r w:rsidR="00887AF8">
        <w:rPr>
          <w:rtl/>
          <w:lang w:bidi="fa-IR"/>
        </w:rPr>
        <w:t>ا</w:t>
      </w:r>
      <w:r w:rsidR="00744A1C">
        <w:rPr>
          <w:rtl/>
          <w:lang w:bidi="fa-IR"/>
        </w:rPr>
        <w:t>بإذن والده ، قال في التحرير : يحرم على الرجل أن يأخذ من مال والده شيئاً وإن قلّ بغير إذنه إلاّمع الضرورة التي يخاف منها على نفسه التلف ، فيأخذ ما يمسك به رمقه إن كان الوالد ينفق على الولد ، أو كان الوالد غنيّاً. ولو لم ينفق مع وجوب النفقة أجبره الحاكم ، فإن فقد الح</w:t>
      </w:r>
      <w:r w:rsidR="00887AF8">
        <w:rPr>
          <w:rtl/>
          <w:lang w:bidi="fa-IR"/>
        </w:rPr>
        <w:t>اكم جاز أخذ الواجب وإن كره الأب</w:t>
      </w:r>
      <w:r w:rsidR="00744A1C">
        <w:rPr>
          <w:rtl/>
          <w:lang w:bidi="fa-IR"/>
        </w:rPr>
        <w:t xml:space="preserve">». وراجع : </w:t>
      </w:r>
      <w:r w:rsidR="00744A1C" w:rsidRPr="00887AF8">
        <w:rPr>
          <w:rStyle w:val="libFootnoteBoldChar"/>
          <w:rtl/>
        </w:rPr>
        <w:t>تحرير الأحكام</w:t>
      </w:r>
      <w:r w:rsidR="00744A1C">
        <w:rPr>
          <w:rtl/>
          <w:lang w:bidi="fa-IR"/>
        </w:rPr>
        <w:t xml:space="preserve"> ، ج 2 ، ص 272 ، المسألة 3062.</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344 ، ح 963 ؛ </w:t>
      </w:r>
      <w:r w:rsidR="00744A1C" w:rsidRPr="00C24F9C">
        <w:rPr>
          <w:rStyle w:val="libFootnoteBoldChar"/>
          <w:rtl/>
        </w:rPr>
        <w:t>والاستبصار</w:t>
      </w:r>
      <w:r w:rsidR="00744A1C">
        <w:rPr>
          <w:rtl/>
          <w:lang w:bidi="fa-IR"/>
        </w:rPr>
        <w:t xml:space="preserve"> ، ج 3 ، ص 48 ، ح 159 ، معلّقاً عن الكليني. </w:t>
      </w:r>
      <w:r w:rsidR="00744A1C" w:rsidRPr="00877682">
        <w:rPr>
          <w:rStyle w:val="libFootnoteBoldChar"/>
          <w:rtl/>
        </w:rPr>
        <w:t>قرب الإسناد</w:t>
      </w:r>
      <w:r w:rsidR="00744A1C">
        <w:rPr>
          <w:rtl/>
          <w:lang w:bidi="fa-IR"/>
        </w:rPr>
        <w:t xml:space="preserve"> ، ص 285 ، ح 1127 ، بسنده عن عليّ بن جعفر ، عن موسى بن جعفر </w:t>
      </w:r>
      <w:r w:rsidR="0061079A" w:rsidRPr="0061079A">
        <w:rPr>
          <w:rStyle w:val="libFootnoteAlaemChar"/>
          <w:rtl/>
        </w:rPr>
        <w:t>عليه‌السلام</w:t>
      </w:r>
      <w:r w:rsidR="00D10E3C">
        <w:rPr>
          <w:rtl/>
          <w:lang w:bidi="fa-IR"/>
        </w:rPr>
        <w:t xml:space="preserve"> </w:t>
      </w:r>
      <w:r w:rsidR="00887AF8">
        <w:rPr>
          <w:rFonts w:hint="cs"/>
          <w:rtl/>
          <w:lang w:bidi="fa-IR"/>
        </w:rPr>
        <w:t>.</w:t>
      </w:r>
      <w:r w:rsidR="00744A1C" w:rsidRPr="00C24F9C">
        <w:rPr>
          <w:rStyle w:val="libFootnoteBoldChar"/>
          <w:rtl/>
        </w:rPr>
        <w:t>الوافي</w:t>
      </w:r>
      <w:r w:rsidR="00744A1C">
        <w:rPr>
          <w:rtl/>
          <w:lang w:bidi="fa-IR"/>
        </w:rPr>
        <w:t xml:space="preserve"> ، ج 17 ، ص 321 ، ح 17348 ؛ </w:t>
      </w:r>
      <w:r w:rsidR="00744A1C" w:rsidRPr="00C24F9C">
        <w:rPr>
          <w:rStyle w:val="libFootnoteBoldChar"/>
          <w:rtl/>
        </w:rPr>
        <w:t>الوسائل</w:t>
      </w:r>
      <w:r w:rsidR="00744A1C">
        <w:rPr>
          <w:rtl/>
          <w:lang w:bidi="fa-IR"/>
        </w:rPr>
        <w:t xml:space="preserve"> ، ج 17 ، ص 264 ، ح 22484.</w:t>
      </w:r>
    </w:p>
    <w:p w:rsidR="00744A1C" w:rsidRDefault="00E378DD" w:rsidP="00E378DD">
      <w:pPr>
        <w:pStyle w:val="libFootnote0"/>
        <w:rPr>
          <w:lang w:bidi="fa-IR"/>
        </w:rPr>
      </w:pPr>
      <w:r>
        <w:rPr>
          <w:rtl/>
          <w:lang w:bidi="fa-IR"/>
        </w:rPr>
        <w:t>(8).</w:t>
      </w:r>
      <w:r w:rsidR="00744A1C">
        <w:rPr>
          <w:rtl/>
          <w:lang w:bidi="fa-IR"/>
        </w:rPr>
        <w:t xml:space="preserve"> السند معلّق على سابقه. ويروي عن سهل بن زياد ، عدّة من أصحابنا.</w:t>
      </w:r>
    </w:p>
    <w:p w:rsidR="00744A1C" w:rsidRDefault="00E378DD" w:rsidP="00E378DD">
      <w:pPr>
        <w:pStyle w:val="libFootnote0"/>
        <w:rPr>
          <w:lang w:bidi="fa-IR"/>
        </w:rPr>
      </w:pPr>
      <w:r>
        <w:rPr>
          <w:rtl/>
          <w:lang w:bidi="fa-IR"/>
        </w:rPr>
        <w:t>(9).</w:t>
      </w:r>
      <w:r w:rsidR="00744A1C">
        <w:rPr>
          <w:rtl/>
          <w:lang w:bidi="fa-IR"/>
        </w:rPr>
        <w:t xml:space="preserve"> في « ى ، بس ، جد » وحاشية « بح » : « ولا ا</w:t>
      </w:r>
      <w:r w:rsidR="00887AF8">
        <w:rPr>
          <w:rFonts w:hint="cs"/>
          <w:rtl/>
          <w:lang w:bidi="fa-IR"/>
        </w:rPr>
        <w:t>ُ</w:t>
      </w:r>
      <w:r w:rsidR="00744A1C">
        <w:rPr>
          <w:rtl/>
          <w:lang w:bidi="fa-IR"/>
        </w:rPr>
        <w:t>حبّ ».</w:t>
      </w:r>
    </w:p>
    <w:tbl>
      <w:tblPr>
        <w:tblStyle w:val="TableGrid"/>
        <w:bidiVisual/>
        <w:tblW w:w="0" w:type="auto"/>
        <w:tblLook w:val="04A0" w:firstRow="1" w:lastRow="0" w:firstColumn="1" w:lastColumn="0" w:noHBand="0" w:noVBand="1"/>
      </w:tblPr>
      <w:tblGrid>
        <w:gridCol w:w="4006"/>
        <w:gridCol w:w="4006"/>
      </w:tblGrid>
      <w:tr w:rsidR="00887AF8" w:rsidTr="00887AF8">
        <w:tc>
          <w:tcPr>
            <w:tcW w:w="4006" w:type="dxa"/>
          </w:tcPr>
          <w:p w:rsidR="00887AF8" w:rsidRDefault="00887AF8" w:rsidP="00E378DD">
            <w:pPr>
              <w:pStyle w:val="libFootnote0"/>
              <w:rPr>
                <w:rtl/>
                <w:lang w:bidi="fa-IR"/>
              </w:rPr>
            </w:pPr>
            <w:r>
              <w:rPr>
                <w:rtl/>
                <w:lang w:bidi="fa-IR"/>
              </w:rPr>
              <w:t>(10). في « جن » : - « له ».</w:t>
            </w:r>
          </w:p>
        </w:tc>
        <w:tc>
          <w:tcPr>
            <w:tcW w:w="4006" w:type="dxa"/>
          </w:tcPr>
          <w:p w:rsidR="00887AF8" w:rsidRDefault="00887AF8" w:rsidP="00E378DD">
            <w:pPr>
              <w:pStyle w:val="libFootnote0"/>
              <w:rPr>
                <w:rtl/>
                <w:lang w:bidi="fa-IR"/>
              </w:rPr>
            </w:pPr>
            <w:r>
              <w:rPr>
                <w:rtl/>
                <w:lang w:bidi="fa-IR"/>
              </w:rPr>
              <w:t>(11). في « بخ ، بف » : « ما يحتاج ».</w:t>
            </w:r>
          </w:p>
        </w:tc>
      </w:tr>
    </w:tbl>
    <w:p w:rsidR="00744A1C" w:rsidRDefault="00E378DD" w:rsidP="00E378DD">
      <w:pPr>
        <w:pStyle w:val="libFootnote0"/>
        <w:rPr>
          <w:lang w:bidi="fa-IR"/>
        </w:rPr>
      </w:pPr>
      <w:r>
        <w:rPr>
          <w:rtl/>
          <w:lang w:bidi="fa-IR"/>
        </w:rPr>
        <w:t>(12).</w:t>
      </w:r>
      <w:r w:rsidR="00744A1C">
        <w:rPr>
          <w:rtl/>
          <w:lang w:bidi="fa-IR"/>
        </w:rPr>
        <w:t xml:space="preserve"> في « بح » : « فيما ». وفي « ط » : « ما ».</w:t>
      </w:r>
    </w:p>
    <w:p w:rsidR="00744A1C" w:rsidRDefault="00E378DD" w:rsidP="00E378DD">
      <w:pPr>
        <w:pStyle w:val="libFootnote0"/>
        <w:rPr>
          <w:lang w:bidi="fa-IR"/>
        </w:rPr>
      </w:pPr>
      <w:r>
        <w:rPr>
          <w:rtl/>
          <w:lang w:bidi="fa-IR"/>
        </w:rPr>
        <w:t>(13).</w:t>
      </w:r>
      <w:r w:rsidR="00744A1C">
        <w:rPr>
          <w:rtl/>
          <w:lang w:bidi="fa-IR"/>
        </w:rPr>
        <w:t xml:space="preserve"> هكذا في جميع النسخ التي قوبلت. وفي المطبوع </w:t>
      </w:r>
      <w:r w:rsidR="00744A1C" w:rsidRPr="00887AF8">
        <w:rPr>
          <w:rtl/>
        </w:rPr>
        <w:t>والوافي</w:t>
      </w:r>
      <w:r w:rsidR="00744A1C">
        <w:rPr>
          <w:rtl/>
          <w:lang w:bidi="fa-IR"/>
        </w:rPr>
        <w:t xml:space="preserve"> : - « له ».</w:t>
      </w:r>
    </w:p>
    <w:p w:rsidR="00744A1C" w:rsidRDefault="00E378DD" w:rsidP="00E378DD">
      <w:pPr>
        <w:pStyle w:val="libFootnote0"/>
        <w:rPr>
          <w:lang w:bidi="fa-IR"/>
        </w:rPr>
      </w:pPr>
      <w:r>
        <w:rPr>
          <w:rtl/>
          <w:lang w:bidi="fa-IR"/>
        </w:rPr>
        <w:t>(14).</w:t>
      </w:r>
      <w:r w:rsidR="00744A1C">
        <w:rPr>
          <w:rtl/>
          <w:lang w:bidi="fa-IR"/>
        </w:rPr>
        <w:t xml:space="preserve"> </w:t>
      </w:r>
      <w:r w:rsidR="00744A1C" w:rsidRPr="00C24F9C">
        <w:rPr>
          <w:rStyle w:val="libFootnoteBoldChar"/>
          <w:rtl/>
        </w:rPr>
        <w:t>التهذيب</w:t>
      </w:r>
      <w:r w:rsidR="00744A1C">
        <w:rPr>
          <w:rtl/>
          <w:lang w:bidi="fa-IR"/>
        </w:rPr>
        <w:t xml:space="preserve"> ، ج 6 ، ص 343 ، ح 962 ؛ </w:t>
      </w:r>
      <w:r w:rsidR="00744A1C" w:rsidRPr="00C24F9C">
        <w:rPr>
          <w:rStyle w:val="libFootnoteBoldChar"/>
          <w:rtl/>
        </w:rPr>
        <w:t>والاستبصار</w:t>
      </w:r>
      <w:r w:rsidR="00744A1C">
        <w:rPr>
          <w:rtl/>
          <w:lang w:bidi="fa-IR"/>
        </w:rPr>
        <w:t xml:space="preserve"> ، ج 3 ، ص 48 ، ح 158 ، معلّقاً عن الحسن بن محبوب </w:t>
      </w:r>
      <w:r w:rsidR="00887AF8">
        <w:rPr>
          <w:rFonts w:hint="cs"/>
          <w:rtl/>
          <w:lang w:bidi="fa-IR"/>
        </w:rPr>
        <w:t>.</w:t>
      </w:r>
      <w:r w:rsidR="00744A1C" w:rsidRPr="00C24F9C">
        <w:rPr>
          <w:rStyle w:val="libFootnoteBoldChar"/>
          <w:rtl/>
        </w:rPr>
        <w:t>الوافي</w:t>
      </w:r>
      <w:r w:rsidR="00744A1C">
        <w:rPr>
          <w:rtl/>
          <w:lang w:bidi="fa-IR"/>
        </w:rPr>
        <w:t xml:space="preserve"> ، ج 17 ، ص 322 ، ح 17349 ؛ </w:t>
      </w:r>
      <w:r w:rsidR="00744A1C" w:rsidRPr="00C24F9C">
        <w:rPr>
          <w:rStyle w:val="libFootnoteBoldChar"/>
          <w:rtl/>
        </w:rPr>
        <w:t>الوسائل</w:t>
      </w:r>
      <w:r w:rsidR="00744A1C">
        <w:rPr>
          <w:rtl/>
          <w:lang w:bidi="fa-IR"/>
        </w:rPr>
        <w:t xml:space="preserve"> ، ج 17 ، ص 263 ، ذيل ح 22480.</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8626 / 4. أَبُو عَلِيٍّ الْأَشْعَرِيُّ ، عَنِ الْحَسَنِ </w:t>
      </w:r>
      <w:r w:rsidRPr="00D10E3C">
        <w:rPr>
          <w:rStyle w:val="libFootnotenumChar"/>
          <w:rtl/>
        </w:rPr>
        <w:t>(1)</w:t>
      </w:r>
      <w:r>
        <w:rPr>
          <w:rtl/>
          <w:lang w:bidi="fa-IR"/>
        </w:rPr>
        <w:t xml:space="preserve"> بْنِ عَلِيٍّ الْكُوفِيِّ ، عَنْ عُبَيْسِ بْنِ هِشَامٍ ، عَنْ عَبْدِ الْكَرِيمِ ، عَنِ ابْنِ أَبِي يَعْفُورٍ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فِي الرَّجُلِ </w:t>
      </w:r>
      <w:r w:rsidRPr="00D10E3C">
        <w:rPr>
          <w:rStyle w:val="libFootnotenumChar"/>
          <w:rtl/>
        </w:rPr>
        <w:t>(2)</w:t>
      </w:r>
      <w:r>
        <w:rPr>
          <w:rtl/>
          <w:lang w:bidi="fa-IR"/>
        </w:rPr>
        <w:t xml:space="preserve"> يَكُونُ لِوَلَدِهِ مَالٌ ، فَأَحَبَّ أَنْ يَأْخُذَ مِنْهُ ، قَالَ : « فَلْيَأْخُذْ </w:t>
      </w:r>
      <w:r w:rsidRPr="00D10E3C">
        <w:rPr>
          <w:rStyle w:val="libFootnotenumChar"/>
          <w:rtl/>
        </w:rPr>
        <w:t>(3)</w:t>
      </w:r>
      <w:r>
        <w:rPr>
          <w:rtl/>
          <w:lang w:bidi="fa-IR"/>
        </w:rPr>
        <w:t xml:space="preserve"> ، فَإِنْ </w:t>
      </w:r>
      <w:r w:rsidRPr="00D10E3C">
        <w:rPr>
          <w:rStyle w:val="libFootnotenumChar"/>
          <w:rtl/>
        </w:rPr>
        <w:t>(4)</w:t>
      </w:r>
      <w:r>
        <w:rPr>
          <w:rtl/>
          <w:lang w:bidi="fa-IR"/>
        </w:rPr>
        <w:t xml:space="preserve"> كَانَتْ أُمُّهُ حَيَّةً ، فَمَا أُحِبُّ أَنْ تَأْخُذَ </w:t>
      </w:r>
      <w:r w:rsidRPr="00D10E3C">
        <w:rPr>
          <w:rStyle w:val="libFootnotenumChar"/>
          <w:rtl/>
        </w:rPr>
        <w:t>(5)</w:t>
      </w:r>
      <w:r w:rsidR="00887AF8">
        <w:rPr>
          <w:rtl/>
          <w:lang w:bidi="fa-IR"/>
        </w:rPr>
        <w:t xml:space="preserve"> مِنْهُ شَيْئاً إِل</w:t>
      </w:r>
      <w:r w:rsidR="00887AF8">
        <w:rPr>
          <w:rFonts w:hint="cs"/>
          <w:rtl/>
          <w:lang w:bidi="fa-IR"/>
        </w:rPr>
        <w:t>َّ</w:t>
      </w:r>
      <w:r w:rsidR="00887AF8">
        <w:rPr>
          <w:rtl/>
          <w:lang w:bidi="fa-IR"/>
        </w:rPr>
        <w:t>ا</w:t>
      </w:r>
      <w:r>
        <w:rPr>
          <w:rtl/>
          <w:lang w:bidi="fa-IR"/>
        </w:rPr>
        <w:t xml:space="preserve"> قَرْضاً عَلى نَفْسِهَا</w:t>
      </w:r>
      <w:r w:rsidRPr="00D10E3C">
        <w:rPr>
          <w:rStyle w:val="libFootnotenumChar"/>
          <w:rtl/>
        </w:rPr>
        <w:t>(6)</w:t>
      </w:r>
      <w:r>
        <w:rPr>
          <w:rtl/>
          <w:lang w:bidi="fa-IR"/>
        </w:rPr>
        <w:t>».</w:t>
      </w:r>
      <w:r w:rsidRPr="00D10E3C">
        <w:rPr>
          <w:rStyle w:val="libFootnotenumChar"/>
          <w:rtl/>
        </w:rPr>
        <w:t>(7)</w:t>
      </w:r>
    </w:p>
    <w:p w:rsidR="00144FA6" w:rsidRDefault="00744A1C" w:rsidP="00744A1C">
      <w:pPr>
        <w:pStyle w:val="libNormal"/>
        <w:rPr>
          <w:rtl/>
          <w:lang w:bidi="fa-IR"/>
        </w:rPr>
      </w:pPr>
      <w:r>
        <w:rPr>
          <w:rtl/>
          <w:lang w:bidi="fa-IR"/>
        </w:rPr>
        <w:t xml:space="preserve">8627 / 5. سَهْلُ بْنُ زِيَادٍ </w:t>
      </w:r>
      <w:r w:rsidRPr="00D10E3C">
        <w:rPr>
          <w:rStyle w:val="libFootnotenumChar"/>
          <w:rtl/>
        </w:rPr>
        <w:t>(8)</w:t>
      </w:r>
      <w:r>
        <w:rPr>
          <w:rtl/>
          <w:lang w:bidi="fa-IR"/>
        </w:rPr>
        <w:t xml:space="preserve"> ، عَنِ ابْنِ مَحْبُوبٍ ، عَنِ الْعَلَاءِ بْنِ رَزِينٍ</w:t>
      </w:r>
      <w:r w:rsidR="00887AF8">
        <w:rPr>
          <w:rtl/>
          <w:lang w:bidi="fa-IR"/>
        </w:rPr>
        <w:t xml:space="preserve"> ، عَنْ مُحَمَّدِ بْنِ مُسْلِمٍ</w:t>
      </w:r>
      <w:r>
        <w:rPr>
          <w:rtl/>
          <w:lang w:bidi="fa-IR"/>
        </w:rPr>
        <w:t>:</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قَالَ : سَأَلْتُهُ عَنِ الرَّجُلِ يَحْتَاجُ إِلى مَالِ ابْنِهِ؟</w:t>
      </w:r>
    </w:p>
    <w:p w:rsidR="00744A1C" w:rsidRDefault="00744A1C" w:rsidP="00744A1C">
      <w:pPr>
        <w:pStyle w:val="libNormal"/>
        <w:rPr>
          <w:lang w:bidi="fa-IR"/>
        </w:rPr>
      </w:pPr>
      <w:r>
        <w:rPr>
          <w:rtl/>
          <w:lang w:bidi="fa-IR"/>
        </w:rPr>
        <w:t>قَالَ : « يَأْكُلُ مِنْهُ مَا شَاءَ مِنْ غَيْرِ سَرَفٍ ».</w:t>
      </w:r>
    </w:p>
    <w:p w:rsidR="00744A1C" w:rsidRDefault="00744A1C" w:rsidP="00744A1C">
      <w:pPr>
        <w:pStyle w:val="libNormal"/>
        <w:rPr>
          <w:lang w:bidi="fa-IR"/>
        </w:rPr>
      </w:pPr>
      <w:r>
        <w:rPr>
          <w:rtl/>
          <w:lang w:bidi="fa-IR"/>
        </w:rPr>
        <w:t xml:space="preserve">وَقَالَ : « فِي كِتَابِ عَلِيِّ </w:t>
      </w:r>
      <w:r w:rsidR="0061079A" w:rsidRPr="0061079A">
        <w:rPr>
          <w:rStyle w:val="libAlaemChar"/>
          <w:rtl/>
        </w:rPr>
        <w:t>عليه‌السلام</w:t>
      </w:r>
      <w:r w:rsidR="00D10E3C">
        <w:rPr>
          <w:rtl/>
          <w:lang w:bidi="fa-IR"/>
        </w:rPr>
        <w:t xml:space="preserve"> </w:t>
      </w:r>
      <w:r>
        <w:rPr>
          <w:rtl/>
          <w:lang w:bidi="fa-IR"/>
        </w:rPr>
        <w:t>: إِنَّ الْوَلَدَ لَايَأْخُذُ مِن</w:t>
      </w:r>
      <w:r w:rsidR="00887AF8">
        <w:rPr>
          <w:rtl/>
          <w:lang w:bidi="fa-IR"/>
        </w:rPr>
        <w:t>ْ مَالِ وَالِدِهِ شَيْئاً إِل</w:t>
      </w:r>
      <w:r w:rsidR="00887AF8">
        <w:rPr>
          <w:rFonts w:hint="cs"/>
          <w:rtl/>
          <w:lang w:bidi="fa-IR"/>
        </w:rPr>
        <w:t>َّ</w:t>
      </w:r>
      <w:r w:rsidR="00887AF8">
        <w:rPr>
          <w:rtl/>
          <w:lang w:bidi="fa-IR"/>
        </w:rPr>
        <w:t>ا</w:t>
      </w:r>
      <w:r>
        <w:rPr>
          <w:rtl/>
          <w:lang w:bidi="fa-IR"/>
        </w:rPr>
        <w:t xml:space="preserve"> بِإِذْنِهِ </w:t>
      </w:r>
      <w:r w:rsidRPr="00D10E3C">
        <w:rPr>
          <w:rStyle w:val="libFootnotenumChar"/>
          <w:rtl/>
        </w:rPr>
        <w:t>(9)</w:t>
      </w:r>
      <w:r>
        <w:rPr>
          <w:rtl/>
          <w:lang w:bidi="fa-IR"/>
        </w:rPr>
        <w:t xml:space="preserve"> ، وَالْوَالِدَ يَأْخُذُ مِنْ مَالِ ابْنِهِ </w:t>
      </w:r>
      <w:r w:rsidRPr="00D10E3C">
        <w:rPr>
          <w:rStyle w:val="libFootnotenumChar"/>
          <w:rtl/>
        </w:rPr>
        <w:t>(10)</w:t>
      </w:r>
      <w:r>
        <w:rPr>
          <w:rtl/>
          <w:lang w:bidi="fa-IR"/>
        </w:rPr>
        <w:t xml:space="preserve"> مَا شَاءَ ، وَلَهُ أَنْ يَقَعَ عَلى جَارِيَةِ ابْنِهِ إِذَا </w:t>
      </w:r>
      <w:r w:rsidRPr="00D10E3C">
        <w:rPr>
          <w:rStyle w:val="libFootnotenumChar"/>
          <w:rtl/>
        </w:rPr>
        <w:t>(11)</w:t>
      </w:r>
      <w:r>
        <w:rPr>
          <w:rtl/>
          <w:lang w:bidi="fa-IR"/>
        </w:rPr>
        <w:t xml:space="preserve"> لَمْ يَكُنِ الابْنُ وَقَعَ عَلَيْهَا</w:t>
      </w:r>
      <w:r w:rsidRPr="00D10E3C">
        <w:rPr>
          <w:rStyle w:val="libFootnotenumChar"/>
          <w:rtl/>
        </w:rPr>
        <w:t>(12)</w:t>
      </w:r>
      <w:r>
        <w:rPr>
          <w:rtl/>
          <w:lang w:bidi="fa-IR"/>
        </w:rPr>
        <w:t>».</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887AF8">
        <w:rPr>
          <w:rtl/>
        </w:rPr>
        <w:t>التهذيب</w:t>
      </w:r>
      <w:r w:rsidR="00744A1C">
        <w:rPr>
          <w:rtl/>
          <w:lang w:bidi="fa-IR"/>
        </w:rPr>
        <w:t xml:space="preserve"> : « الحسين ». وهو سهو ؛ فإنّ المراد من الحسن بن عليّ الكوفي هو الحسن بن عليّ بن عبدالله بن</w:t>
      </w:r>
      <w:r w:rsidR="00887AF8">
        <w:rPr>
          <w:rFonts w:hint="cs"/>
          <w:rtl/>
          <w:lang w:bidi="fa-IR"/>
        </w:rPr>
        <w:t xml:space="preserve"> </w:t>
      </w:r>
      <w:r w:rsidR="00744A1C">
        <w:rPr>
          <w:rtl/>
          <w:lang w:bidi="fa-IR"/>
        </w:rPr>
        <w:t>‌المغيرة ، كما تقدّم في الكافى ، ذيل ح 3183 ، فلاحظ.</w:t>
      </w:r>
    </w:p>
    <w:p w:rsidR="00744A1C" w:rsidRDefault="00E378DD" w:rsidP="00E378DD">
      <w:pPr>
        <w:pStyle w:val="libFootnote0"/>
        <w:rPr>
          <w:lang w:bidi="fa-IR"/>
        </w:rPr>
      </w:pPr>
      <w:r>
        <w:rPr>
          <w:rtl/>
          <w:lang w:bidi="fa-IR"/>
        </w:rPr>
        <w:t>(2).</w:t>
      </w:r>
      <w:r w:rsidR="00744A1C">
        <w:rPr>
          <w:rtl/>
          <w:lang w:bidi="fa-IR"/>
        </w:rPr>
        <w:t xml:space="preserve"> في « بح » : « رجل ».</w:t>
      </w:r>
    </w:p>
    <w:p w:rsidR="00744A1C" w:rsidRDefault="00E378DD" w:rsidP="00E378DD">
      <w:pPr>
        <w:pStyle w:val="libFootnote0"/>
        <w:rPr>
          <w:lang w:bidi="fa-IR"/>
        </w:rPr>
      </w:pPr>
      <w:r>
        <w:rPr>
          <w:rtl/>
          <w:lang w:bidi="fa-IR"/>
        </w:rPr>
        <w:t>(3).</w:t>
      </w:r>
      <w:r w:rsidR="00744A1C">
        <w:rPr>
          <w:rtl/>
          <w:lang w:bidi="fa-IR"/>
        </w:rPr>
        <w:t xml:space="preserve"> في </w:t>
      </w:r>
      <w:r w:rsidR="00744A1C" w:rsidRPr="00887AF8">
        <w:rPr>
          <w:rtl/>
        </w:rPr>
        <w:t>التهذيب</w:t>
      </w:r>
      <w:r w:rsidR="00744A1C">
        <w:rPr>
          <w:rtl/>
          <w:lang w:bidi="fa-IR"/>
        </w:rPr>
        <w:t xml:space="preserve"> : + « منه ».</w:t>
      </w:r>
    </w:p>
    <w:p w:rsidR="00744A1C" w:rsidRDefault="00E378DD" w:rsidP="00E378DD">
      <w:pPr>
        <w:pStyle w:val="libFootnote0"/>
        <w:rPr>
          <w:lang w:bidi="fa-IR"/>
        </w:rPr>
      </w:pPr>
      <w:r>
        <w:rPr>
          <w:rtl/>
          <w:lang w:bidi="fa-IR"/>
        </w:rPr>
        <w:t>(4).</w:t>
      </w:r>
      <w:r w:rsidR="00744A1C">
        <w:rPr>
          <w:rtl/>
          <w:lang w:bidi="fa-IR"/>
        </w:rPr>
        <w:t xml:space="preserve"> في « ط ، بح ، بخ ، بس ، بف ، جد » </w:t>
      </w:r>
      <w:r w:rsidR="00744A1C" w:rsidRPr="00794BCA">
        <w:rPr>
          <w:rtl/>
        </w:rPr>
        <w:t>والوسائل والتهذيب والاستبصار</w:t>
      </w:r>
      <w:r w:rsidR="00744A1C">
        <w:rPr>
          <w:rtl/>
          <w:lang w:bidi="fa-IR"/>
        </w:rPr>
        <w:t xml:space="preserve"> : « وإن ».</w:t>
      </w:r>
    </w:p>
    <w:p w:rsidR="00744A1C" w:rsidRDefault="00E378DD" w:rsidP="00E378DD">
      <w:pPr>
        <w:pStyle w:val="libFootnote0"/>
        <w:rPr>
          <w:lang w:bidi="fa-IR"/>
        </w:rPr>
      </w:pPr>
      <w:r>
        <w:rPr>
          <w:rtl/>
          <w:lang w:bidi="fa-IR"/>
        </w:rPr>
        <w:t>(5).</w:t>
      </w:r>
      <w:r w:rsidR="00744A1C">
        <w:rPr>
          <w:rtl/>
          <w:lang w:bidi="fa-IR"/>
        </w:rPr>
        <w:t xml:space="preserve"> في « بخ » : « أن يأخذ ». وفي « جن » بالتاء والياء معاً.</w:t>
      </w:r>
    </w:p>
    <w:p w:rsidR="00744A1C" w:rsidRDefault="00E378DD" w:rsidP="00E378DD">
      <w:pPr>
        <w:pStyle w:val="libFootnote0"/>
        <w:rPr>
          <w:lang w:bidi="fa-IR"/>
        </w:rPr>
      </w:pPr>
      <w:r>
        <w:rPr>
          <w:rtl/>
          <w:lang w:bidi="fa-IR"/>
        </w:rPr>
        <w:t>(6).</w:t>
      </w:r>
      <w:r w:rsidR="00744A1C">
        <w:rPr>
          <w:rtl/>
          <w:lang w:bidi="fa-IR"/>
        </w:rPr>
        <w:t xml:space="preserve"> في « ى » : « نفسه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344 ، ح 965 ؛ </w:t>
      </w:r>
      <w:r w:rsidR="00744A1C" w:rsidRPr="00C24F9C">
        <w:rPr>
          <w:rStyle w:val="libFootnoteBoldChar"/>
          <w:rtl/>
        </w:rPr>
        <w:t>والاستبصار</w:t>
      </w:r>
      <w:r w:rsidR="00744A1C">
        <w:rPr>
          <w:rtl/>
          <w:lang w:bidi="fa-IR"/>
        </w:rPr>
        <w:t xml:space="preserve"> ، ج 3 ، ص 49 ، ح 161 ، معلّقاً عن الكليني </w:t>
      </w:r>
      <w:r w:rsidR="00887AF8">
        <w:rPr>
          <w:rFonts w:hint="cs"/>
          <w:rtl/>
          <w:lang w:bidi="fa-IR"/>
        </w:rPr>
        <w:t>.</w:t>
      </w:r>
      <w:r w:rsidR="00744A1C" w:rsidRPr="00C24F9C">
        <w:rPr>
          <w:rStyle w:val="libFootnoteBoldChar"/>
          <w:rtl/>
        </w:rPr>
        <w:t>الوافي</w:t>
      </w:r>
      <w:r w:rsidR="00744A1C">
        <w:rPr>
          <w:rtl/>
          <w:lang w:bidi="fa-IR"/>
        </w:rPr>
        <w:t xml:space="preserve"> ، ج 17 ، ص 322 ، ح 17350 ؛ </w:t>
      </w:r>
      <w:r w:rsidR="00744A1C" w:rsidRPr="00C24F9C">
        <w:rPr>
          <w:rStyle w:val="libFootnoteBoldChar"/>
          <w:rtl/>
        </w:rPr>
        <w:t>الوسائل</w:t>
      </w:r>
      <w:r w:rsidR="00744A1C">
        <w:rPr>
          <w:rtl/>
          <w:lang w:bidi="fa-IR"/>
        </w:rPr>
        <w:t xml:space="preserve"> ، ج 17 ، ص 265 ، ح 22485.</w:t>
      </w:r>
    </w:p>
    <w:p w:rsidR="00744A1C" w:rsidRDefault="00E378DD" w:rsidP="00E378DD">
      <w:pPr>
        <w:pStyle w:val="libFootnote0"/>
        <w:rPr>
          <w:lang w:bidi="fa-IR"/>
        </w:rPr>
      </w:pPr>
      <w:r>
        <w:rPr>
          <w:rtl/>
          <w:lang w:bidi="fa-IR"/>
        </w:rPr>
        <w:t>(8).</w:t>
      </w:r>
      <w:r w:rsidR="00744A1C">
        <w:rPr>
          <w:rtl/>
          <w:lang w:bidi="fa-IR"/>
        </w:rPr>
        <w:t xml:space="preserve"> السند معلّق على سند الحديث الثاني ، كما هو واضح.</w:t>
      </w:r>
    </w:p>
    <w:tbl>
      <w:tblPr>
        <w:tblStyle w:val="TableGrid"/>
        <w:bidiVisual/>
        <w:tblW w:w="0" w:type="auto"/>
        <w:tblLook w:val="04A0" w:firstRow="1" w:lastRow="0" w:firstColumn="1" w:lastColumn="0" w:noHBand="0" w:noVBand="1"/>
      </w:tblPr>
      <w:tblGrid>
        <w:gridCol w:w="4006"/>
        <w:gridCol w:w="4006"/>
      </w:tblGrid>
      <w:tr w:rsidR="00887AF8" w:rsidTr="00887AF8">
        <w:tc>
          <w:tcPr>
            <w:tcW w:w="4006" w:type="dxa"/>
          </w:tcPr>
          <w:p w:rsidR="00887AF8" w:rsidRDefault="00887AF8" w:rsidP="00E378DD">
            <w:pPr>
              <w:pStyle w:val="libFootnote0"/>
              <w:rPr>
                <w:rtl/>
                <w:lang w:bidi="fa-IR"/>
              </w:rPr>
            </w:pPr>
            <w:r>
              <w:rPr>
                <w:rtl/>
                <w:lang w:bidi="fa-IR"/>
              </w:rPr>
              <w:t xml:space="preserve">(9). في </w:t>
            </w:r>
            <w:r w:rsidRPr="00C24F9C">
              <w:rPr>
                <w:rStyle w:val="libFootnoteBoldChar"/>
                <w:rtl/>
              </w:rPr>
              <w:t>الفقيه</w:t>
            </w:r>
            <w:r>
              <w:rPr>
                <w:rtl/>
                <w:lang w:bidi="fa-IR"/>
              </w:rPr>
              <w:t xml:space="preserve"> : - « إل</w:t>
            </w:r>
            <w:r>
              <w:rPr>
                <w:rFonts w:hint="cs"/>
                <w:rtl/>
                <w:lang w:bidi="fa-IR"/>
              </w:rPr>
              <w:t>ّ</w:t>
            </w:r>
            <w:r>
              <w:rPr>
                <w:rtl/>
                <w:lang w:bidi="fa-IR"/>
              </w:rPr>
              <w:t>ا بإذنه ».</w:t>
            </w:r>
          </w:p>
        </w:tc>
        <w:tc>
          <w:tcPr>
            <w:tcW w:w="4006" w:type="dxa"/>
          </w:tcPr>
          <w:p w:rsidR="00887AF8" w:rsidRDefault="00887AF8" w:rsidP="00E378DD">
            <w:pPr>
              <w:pStyle w:val="libFootnote0"/>
              <w:rPr>
                <w:rtl/>
                <w:lang w:bidi="fa-IR"/>
              </w:rPr>
            </w:pPr>
            <w:r>
              <w:rPr>
                <w:rtl/>
                <w:lang w:bidi="fa-IR"/>
              </w:rPr>
              <w:t xml:space="preserve">(10). في حاشية « جت » </w:t>
            </w:r>
            <w:r w:rsidRPr="00887AF8">
              <w:rPr>
                <w:rtl/>
              </w:rPr>
              <w:t>والفقيه</w:t>
            </w:r>
            <w:r>
              <w:rPr>
                <w:rtl/>
                <w:lang w:bidi="fa-IR"/>
              </w:rPr>
              <w:t xml:space="preserve"> : « ولده ».</w:t>
            </w:r>
          </w:p>
        </w:tc>
      </w:tr>
      <w:tr w:rsidR="00887AF8" w:rsidTr="00887AF8">
        <w:tc>
          <w:tcPr>
            <w:tcW w:w="4006" w:type="dxa"/>
          </w:tcPr>
          <w:p w:rsidR="00887AF8" w:rsidRDefault="00887AF8" w:rsidP="00E378DD">
            <w:pPr>
              <w:pStyle w:val="libFootnote0"/>
              <w:rPr>
                <w:rtl/>
                <w:lang w:bidi="fa-IR"/>
              </w:rPr>
            </w:pPr>
            <w:r>
              <w:rPr>
                <w:rtl/>
                <w:lang w:bidi="fa-IR"/>
              </w:rPr>
              <w:t xml:space="preserve">(11). في «ط ،بخ ،بف » </w:t>
            </w:r>
            <w:r w:rsidRPr="00887AF8">
              <w:rPr>
                <w:rtl/>
              </w:rPr>
              <w:t>والوافي والفقيه</w:t>
            </w:r>
            <w:r>
              <w:rPr>
                <w:rtl/>
                <w:lang w:bidi="fa-IR"/>
              </w:rPr>
              <w:t xml:space="preserve"> : « إن ».</w:t>
            </w:r>
          </w:p>
        </w:tc>
        <w:tc>
          <w:tcPr>
            <w:tcW w:w="4006" w:type="dxa"/>
          </w:tcPr>
          <w:p w:rsidR="00887AF8" w:rsidRDefault="00887AF8" w:rsidP="00E378DD">
            <w:pPr>
              <w:pStyle w:val="libFootnote0"/>
              <w:rPr>
                <w:rtl/>
                <w:lang w:bidi="fa-IR"/>
              </w:rPr>
            </w:pPr>
            <w:r>
              <w:rPr>
                <w:rtl/>
                <w:lang w:bidi="fa-IR"/>
              </w:rPr>
              <w:t>(12). في « ى » : « عليه ».</w:t>
            </w:r>
          </w:p>
        </w:tc>
      </w:tr>
    </w:tbl>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وَذَكَرَ أَنَّ رَسُولَ اللهِ </w:t>
      </w:r>
      <w:r w:rsidR="00CB3856" w:rsidRPr="00CB3856">
        <w:rPr>
          <w:rStyle w:val="libAlaemChar"/>
          <w:rtl/>
        </w:rPr>
        <w:t>صلى‌الله‌عليه‌وآله</w:t>
      </w:r>
      <w:r w:rsidR="00D10E3C">
        <w:rPr>
          <w:rtl/>
          <w:lang w:bidi="fa-IR"/>
        </w:rPr>
        <w:t xml:space="preserve"> </w:t>
      </w:r>
      <w:r>
        <w:rPr>
          <w:rtl/>
          <w:lang w:bidi="fa-IR"/>
        </w:rPr>
        <w:t xml:space="preserve">قَالَ لِرَجُلٍ : « أَنْتَ وَمَالُكَ لِأَبِيكَ ». </w:t>
      </w:r>
      <w:r w:rsidRPr="00D10E3C">
        <w:rPr>
          <w:rStyle w:val="libFootnotenumChar"/>
          <w:rtl/>
        </w:rPr>
        <w:t>(1)</w:t>
      </w:r>
    </w:p>
    <w:p w:rsidR="00144FA6" w:rsidRDefault="00744A1C" w:rsidP="00744A1C">
      <w:pPr>
        <w:pStyle w:val="libNormal"/>
        <w:rPr>
          <w:rtl/>
          <w:lang w:bidi="fa-IR"/>
        </w:rPr>
      </w:pPr>
      <w:r>
        <w:rPr>
          <w:rtl/>
          <w:lang w:bidi="fa-IR"/>
        </w:rPr>
        <w:t>8628 / 6. مُحَمَّدُ بْنُ يَحْيى ، عَنْ عَبْدِ اللهِ بْنِ مُحَمَّدٍ ، عَنْ عَلِيِّ بْنِ الْحَكَمِ ، عَنِ الْحُسَيْنِ بْنِ أَبِي الْعَلَاءِ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مَا يَحِلُّ لِلرَّجُلِ مِنْ مَالِ وَلَدِهِ؟</w:t>
      </w:r>
    </w:p>
    <w:p w:rsidR="00744A1C" w:rsidRDefault="00744A1C" w:rsidP="00744A1C">
      <w:pPr>
        <w:pStyle w:val="libNormal"/>
        <w:rPr>
          <w:lang w:bidi="fa-IR"/>
        </w:rPr>
      </w:pPr>
      <w:r>
        <w:rPr>
          <w:rtl/>
          <w:lang w:bidi="fa-IR"/>
        </w:rPr>
        <w:t xml:space="preserve">قَالَ : « قُوتُهُ </w:t>
      </w:r>
      <w:r w:rsidRPr="00D10E3C">
        <w:rPr>
          <w:rStyle w:val="libFootnotenumChar"/>
          <w:rtl/>
        </w:rPr>
        <w:t>(2)</w:t>
      </w:r>
      <w:r>
        <w:rPr>
          <w:rtl/>
          <w:lang w:bidi="fa-IR"/>
        </w:rPr>
        <w:t xml:space="preserve"> بِغَيْرِ سَرَفٍ إِذَا اضْطُرَّ إِلَيْهِ ».</w:t>
      </w:r>
    </w:p>
    <w:p w:rsidR="00744A1C" w:rsidRDefault="00744A1C" w:rsidP="00744A1C">
      <w:pPr>
        <w:pStyle w:val="libNormal"/>
        <w:rPr>
          <w:lang w:bidi="fa-IR"/>
        </w:rPr>
      </w:pPr>
      <w:r>
        <w:rPr>
          <w:rtl/>
          <w:lang w:bidi="fa-IR"/>
        </w:rPr>
        <w:t xml:space="preserve">قَالَ : فَقُلْتُ لَهُ : فَقَوْلُ رَسُولِ اللهِ </w:t>
      </w:r>
      <w:r w:rsidR="005E465D" w:rsidRPr="005E465D">
        <w:rPr>
          <w:rStyle w:val="libAlaemChar"/>
          <w:rtl/>
        </w:rPr>
        <w:t>صلى‌الله‌عليه‌وآله</w:t>
      </w:r>
      <w:r w:rsidR="00D10E3C">
        <w:rPr>
          <w:rtl/>
          <w:lang w:bidi="fa-IR"/>
        </w:rPr>
        <w:t xml:space="preserve"> </w:t>
      </w:r>
      <w:r>
        <w:rPr>
          <w:rtl/>
          <w:lang w:bidi="fa-IR"/>
        </w:rPr>
        <w:t xml:space="preserve">لِلرَّجُلِ الَّذِي أَتَاهُ ، فَقَدَّمَ </w:t>
      </w:r>
      <w:r w:rsidRPr="00D10E3C">
        <w:rPr>
          <w:rStyle w:val="libFootnotenumChar"/>
          <w:rtl/>
        </w:rPr>
        <w:t>(3)</w:t>
      </w:r>
      <w:r>
        <w:rPr>
          <w:rtl/>
          <w:lang w:bidi="fa-IR"/>
        </w:rPr>
        <w:t xml:space="preserve"> أَبَاهُ ، فَقَالَ لَهُ </w:t>
      </w:r>
      <w:r w:rsidRPr="00D10E3C">
        <w:rPr>
          <w:rStyle w:val="libFootnotenumChar"/>
          <w:rtl/>
        </w:rPr>
        <w:t>(4)</w:t>
      </w:r>
      <w:r w:rsidR="00AD79A3">
        <w:rPr>
          <w:rtl/>
          <w:lang w:bidi="fa-IR"/>
        </w:rPr>
        <w:t xml:space="preserve"> : «</w:t>
      </w:r>
      <w:r>
        <w:rPr>
          <w:rtl/>
          <w:lang w:bidi="fa-IR"/>
        </w:rPr>
        <w:t>أَنْتَ وَمَالُكَ لِأَبِيكَ؟ ».</w:t>
      </w:r>
    </w:p>
    <w:p w:rsidR="00144FA6" w:rsidRDefault="00744A1C" w:rsidP="00744A1C">
      <w:pPr>
        <w:pStyle w:val="libNormal"/>
        <w:rPr>
          <w:rtl/>
          <w:lang w:bidi="fa-IR"/>
        </w:rPr>
      </w:pPr>
      <w:r>
        <w:rPr>
          <w:rtl/>
          <w:lang w:bidi="fa-IR"/>
        </w:rPr>
        <w:t xml:space="preserve">فَقَالَ </w:t>
      </w:r>
      <w:r w:rsidRPr="00D10E3C">
        <w:rPr>
          <w:rStyle w:val="libFootnotenumChar"/>
          <w:rtl/>
        </w:rPr>
        <w:t>(5)</w:t>
      </w:r>
      <w:r>
        <w:rPr>
          <w:rtl/>
          <w:lang w:bidi="fa-IR"/>
        </w:rPr>
        <w:t xml:space="preserve"> : « إِنَّمَا جَاءَ بِأَبِيهِ إِلَى النَّبِيِّ </w:t>
      </w:r>
      <w:r w:rsidR="007B299E" w:rsidRPr="007B299E">
        <w:rPr>
          <w:rStyle w:val="libAlaemChar"/>
          <w:rtl/>
        </w:rPr>
        <w:t>صلى‌الله‌عليه‌وآله</w:t>
      </w:r>
      <w:r w:rsidR="00D10E3C">
        <w:rPr>
          <w:rtl/>
          <w:lang w:bidi="fa-IR"/>
        </w:rPr>
        <w:t xml:space="preserve"> </w:t>
      </w:r>
      <w:r>
        <w:rPr>
          <w:rtl/>
          <w:lang w:bidi="fa-IR"/>
        </w:rPr>
        <w:t xml:space="preserve">، فَقَالَ </w:t>
      </w:r>
      <w:r w:rsidRPr="00D10E3C">
        <w:rPr>
          <w:rStyle w:val="libFootnotenumChar"/>
          <w:rtl/>
        </w:rPr>
        <w:t>(6)</w:t>
      </w:r>
      <w:r>
        <w:rPr>
          <w:rtl/>
          <w:lang w:bidi="fa-IR"/>
        </w:rPr>
        <w:t xml:space="preserve"> : يَا رَسُولَ اللهِ ، هذَا أَبِي وَقَدْ </w:t>
      </w:r>
      <w:r w:rsidRPr="00D10E3C">
        <w:rPr>
          <w:rStyle w:val="libFootnotenumChar"/>
          <w:rtl/>
        </w:rPr>
        <w:t>(7)</w:t>
      </w:r>
      <w:r>
        <w:rPr>
          <w:rtl/>
          <w:lang w:bidi="fa-IR"/>
        </w:rPr>
        <w:t xml:space="preserve"> ظَلَمَنِي مِيرَاثِي مِنْ أُمِّي ، فَأَخْبَرَهُ الْأَبُ أَنَّهُ قَدْ أَنْفَقَهُ عَلَيْهِ وَعَلى نَفْسِهِ ، فَقَالَ </w:t>
      </w:r>
      <w:r w:rsidRPr="00D10E3C">
        <w:rPr>
          <w:rStyle w:val="libFootnotenumChar"/>
          <w:rtl/>
        </w:rPr>
        <w:t>(8)</w:t>
      </w:r>
      <w:r>
        <w:rPr>
          <w:rtl/>
          <w:lang w:bidi="fa-IR"/>
        </w:rPr>
        <w:t xml:space="preserve"> : أَنْتَ وَمَالُكَ لِأَبِيكَ ، وَلَمْ يَكُنْ عِنْدَ الرَّجُلِ شَيْ‌ءٌ ، أَفَكَانَ </w:t>
      </w:r>
      <w:r w:rsidRPr="00D10E3C">
        <w:rPr>
          <w:rStyle w:val="libFootnotenumChar"/>
          <w:rtl/>
        </w:rPr>
        <w:t>(9)</w:t>
      </w:r>
      <w:r>
        <w:rPr>
          <w:rtl/>
          <w:lang w:bidi="fa-IR"/>
        </w:rPr>
        <w:t xml:space="preserve"> رَسُولُ اللهِ </w:t>
      </w:r>
      <w:r w:rsidR="00E45E68" w:rsidRPr="00E45E68">
        <w:rPr>
          <w:rStyle w:val="libAlaemChar"/>
          <w:rtl/>
        </w:rPr>
        <w:t>صلى‌الله‌عليه‌وآله</w:t>
      </w:r>
      <w:r w:rsidR="00D10E3C">
        <w:rPr>
          <w:rtl/>
          <w:lang w:bidi="fa-IR"/>
        </w:rPr>
        <w:t xml:space="preserve"> </w:t>
      </w:r>
      <w:r>
        <w:rPr>
          <w:rtl/>
          <w:lang w:bidi="fa-IR"/>
        </w:rPr>
        <w:t xml:space="preserve">يَحْبِسُ الْأَبَ لِلِابْنِ؟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w:t>
      </w:r>
      <w:r w:rsidR="00744A1C" w:rsidRPr="00C24F9C">
        <w:rPr>
          <w:rStyle w:val="libFootnoteBoldChar"/>
          <w:rtl/>
        </w:rPr>
        <w:t>التهذيب</w:t>
      </w:r>
      <w:r w:rsidR="00744A1C">
        <w:rPr>
          <w:rtl/>
          <w:lang w:bidi="fa-IR"/>
        </w:rPr>
        <w:t xml:space="preserve"> ، ج 6 ، ص 343 ، ح 961 ؛ </w:t>
      </w:r>
      <w:r w:rsidR="00744A1C" w:rsidRPr="00C24F9C">
        <w:rPr>
          <w:rStyle w:val="libFootnoteBoldChar"/>
          <w:rtl/>
        </w:rPr>
        <w:t>والاستبصار</w:t>
      </w:r>
      <w:r w:rsidR="00744A1C">
        <w:rPr>
          <w:rtl/>
          <w:lang w:bidi="fa-IR"/>
        </w:rPr>
        <w:t xml:space="preserve"> ، ج 3 ، ص 48 ، ح 157 ، معلّقاً عن الحسن بن محبوب. </w:t>
      </w:r>
      <w:r w:rsidR="00744A1C" w:rsidRPr="00C24F9C">
        <w:rPr>
          <w:rStyle w:val="libFootnoteBoldChar"/>
          <w:rtl/>
        </w:rPr>
        <w:t>الفقيه</w:t>
      </w:r>
      <w:r w:rsidR="00744A1C">
        <w:rPr>
          <w:rtl/>
          <w:lang w:bidi="fa-IR"/>
        </w:rPr>
        <w:t xml:space="preserve"> ، ج 3 ، ص 452 ، ح 4561 ، معلّقاً عن العلاء ، إلى قوله : « إذا لم يكن الابن وقع عليها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Pr>
          <w:rtl/>
          <w:lang w:bidi="fa-IR"/>
        </w:rPr>
        <w:t xml:space="preserve"> </w:t>
      </w:r>
      <w:r w:rsidR="00744A1C">
        <w:rPr>
          <w:rtl/>
          <w:lang w:bidi="fa-IR"/>
        </w:rPr>
        <w:t xml:space="preserve">، ص 255 ، من قوله : « إنّ الولد لا يأخذ » إلى قوله : « من مال ابنه ما شاء » مع اختلاف يسير. وراجع : </w:t>
      </w:r>
      <w:r w:rsidR="00744A1C" w:rsidRPr="0061079A">
        <w:rPr>
          <w:rStyle w:val="libFootnoteBoldChar"/>
          <w:rtl/>
        </w:rPr>
        <w:t>الكافي</w:t>
      </w:r>
      <w:r w:rsidR="00744A1C">
        <w:rPr>
          <w:rtl/>
          <w:lang w:bidi="fa-IR"/>
        </w:rPr>
        <w:t xml:space="preserve"> ، كتاب النكاح ، باب الرجل تكون لولده الجارية يريد أن يطأها ، ح 10024 </w:t>
      </w:r>
      <w:r w:rsidR="00AD79A3">
        <w:rPr>
          <w:rFonts w:hint="cs"/>
          <w:rtl/>
          <w:lang w:bidi="fa-IR"/>
        </w:rPr>
        <w:t>.</w:t>
      </w:r>
      <w:r w:rsidR="00744A1C" w:rsidRPr="00C24F9C">
        <w:rPr>
          <w:rStyle w:val="libFootnoteBoldChar"/>
          <w:rtl/>
        </w:rPr>
        <w:t>الوافي</w:t>
      </w:r>
      <w:r w:rsidR="00744A1C">
        <w:rPr>
          <w:rtl/>
          <w:lang w:bidi="fa-IR"/>
        </w:rPr>
        <w:t xml:space="preserve"> ، ج 17 ، ص 322 ح 17351 ؛ </w:t>
      </w:r>
      <w:r w:rsidR="00744A1C" w:rsidRPr="00C24F9C">
        <w:rPr>
          <w:rStyle w:val="libFootnoteBoldChar"/>
          <w:rtl/>
        </w:rPr>
        <w:t>الوسائل</w:t>
      </w:r>
      <w:r w:rsidR="00744A1C">
        <w:rPr>
          <w:rtl/>
          <w:lang w:bidi="fa-IR"/>
        </w:rPr>
        <w:t xml:space="preserve"> ، ج 17 ، ص 262 ، ذيل ح 22479.</w:t>
      </w:r>
    </w:p>
    <w:p w:rsidR="00744A1C" w:rsidRDefault="00E378DD" w:rsidP="00E378DD">
      <w:pPr>
        <w:pStyle w:val="libFootnote0"/>
        <w:rPr>
          <w:lang w:bidi="fa-IR"/>
        </w:rPr>
      </w:pPr>
      <w:r>
        <w:rPr>
          <w:rtl/>
          <w:lang w:bidi="fa-IR"/>
        </w:rPr>
        <w:t>(2).</w:t>
      </w:r>
      <w:r w:rsidR="00744A1C">
        <w:rPr>
          <w:rtl/>
          <w:lang w:bidi="fa-IR"/>
        </w:rPr>
        <w:t xml:space="preserve"> في « ى ، بح ، بس » وحاشية « جن » : « قوت ».</w:t>
      </w:r>
    </w:p>
    <w:p w:rsidR="00744A1C" w:rsidRDefault="00E378DD" w:rsidP="00E378DD">
      <w:pPr>
        <w:pStyle w:val="libFootnote0"/>
        <w:rPr>
          <w:lang w:bidi="fa-IR"/>
        </w:rPr>
      </w:pPr>
      <w:r>
        <w:rPr>
          <w:rtl/>
          <w:lang w:bidi="fa-IR"/>
        </w:rPr>
        <w:t>(3).</w:t>
      </w:r>
      <w:r w:rsidR="00744A1C">
        <w:rPr>
          <w:rtl/>
          <w:lang w:bidi="fa-IR"/>
        </w:rPr>
        <w:t xml:space="preserve"> في المعاني : + « إليه ».</w:t>
      </w:r>
    </w:p>
    <w:p w:rsidR="00744A1C" w:rsidRDefault="00E378DD" w:rsidP="00E378DD">
      <w:pPr>
        <w:pStyle w:val="libFootnote0"/>
        <w:rPr>
          <w:lang w:bidi="fa-IR"/>
        </w:rPr>
      </w:pPr>
      <w:r>
        <w:rPr>
          <w:rtl/>
          <w:lang w:bidi="fa-IR"/>
        </w:rPr>
        <w:t>(4).</w:t>
      </w:r>
      <w:r w:rsidR="00744A1C">
        <w:rPr>
          <w:rtl/>
          <w:lang w:bidi="fa-IR"/>
        </w:rPr>
        <w:t xml:space="preserve"> في </w:t>
      </w:r>
      <w:r w:rsidR="00744A1C" w:rsidRPr="00AD79A3">
        <w:rPr>
          <w:rtl/>
        </w:rPr>
        <w:t>الفقيه</w:t>
      </w:r>
      <w:r w:rsidR="00744A1C">
        <w:rPr>
          <w:rtl/>
          <w:lang w:bidi="fa-IR"/>
        </w:rPr>
        <w:t xml:space="preserve"> : - « للرجل الذي أتاه ، فقدّم أباه ، فقال له ». وفي </w:t>
      </w:r>
      <w:r w:rsidR="00744A1C" w:rsidRPr="00AD79A3">
        <w:rPr>
          <w:rtl/>
        </w:rPr>
        <w:t>التهذيب والاستبصار</w:t>
      </w:r>
      <w:r w:rsidR="00744A1C">
        <w:rPr>
          <w:rtl/>
          <w:lang w:bidi="fa-IR"/>
        </w:rPr>
        <w:t xml:space="preserve"> والمعاني : - « له ».</w:t>
      </w:r>
    </w:p>
    <w:tbl>
      <w:tblPr>
        <w:tblStyle w:val="TableGrid"/>
        <w:bidiVisual/>
        <w:tblW w:w="0" w:type="auto"/>
        <w:tblLook w:val="04A0" w:firstRow="1" w:lastRow="0" w:firstColumn="1" w:lastColumn="0" w:noHBand="0" w:noVBand="1"/>
      </w:tblPr>
      <w:tblGrid>
        <w:gridCol w:w="4006"/>
        <w:gridCol w:w="4006"/>
      </w:tblGrid>
      <w:tr w:rsidR="00AD79A3" w:rsidTr="00AD79A3">
        <w:tc>
          <w:tcPr>
            <w:tcW w:w="4006" w:type="dxa"/>
          </w:tcPr>
          <w:p w:rsidR="00AD79A3" w:rsidRDefault="00AD79A3" w:rsidP="00E378DD">
            <w:pPr>
              <w:pStyle w:val="libFootnote0"/>
              <w:rPr>
                <w:rtl/>
                <w:lang w:bidi="fa-IR"/>
              </w:rPr>
            </w:pPr>
            <w:r>
              <w:rPr>
                <w:rtl/>
                <w:lang w:bidi="fa-IR"/>
              </w:rPr>
              <w:t xml:space="preserve">(5). في « بخ ، بف » </w:t>
            </w:r>
            <w:r w:rsidRPr="00AD79A3">
              <w:rPr>
                <w:rtl/>
              </w:rPr>
              <w:t>والوافي</w:t>
            </w:r>
            <w:r>
              <w:rPr>
                <w:rtl/>
                <w:lang w:bidi="fa-IR"/>
              </w:rPr>
              <w:t xml:space="preserve"> : « قال ».</w:t>
            </w:r>
          </w:p>
        </w:tc>
        <w:tc>
          <w:tcPr>
            <w:tcW w:w="4006" w:type="dxa"/>
          </w:tcPr>
          <w:p w:rsidR="00AD79A3" w:rsidRDefault="00AD79A3" w:rsidP="00E378DD">
            <w:pPr>
              <w:pStyle w:val="libFootnote0"/>
              <w:rPr>
                <w:rtl/>
                <w:lang w:bidi="fa-IR"/>
              </w:rPr>
            </w:pPr>
            <w:r>
              <w:rPr>
                <w:rtl/>
                <w:lang w:bidi="fa-IR"/>
              </w:rPr>
              <w:t xml:space="preserve">(6). في « ط ، بخ ، بف » </w:t>
            </w:r>
            <w:r w:rsidRPr="00AD79A3">
              <w:rPr>
                <w:rtl/>
              </w:rPr>
              <w:t>والوافي</w:t>
            </w:r>
            <w:r>
              <w:rPr>
                <w:rtl/>
                <w:lang w:bidi="fa-IR"/>
              </w:rPr>
              <w:t xml:space="preserve"> : + « له ».</w:t>
            </w:r>
          </w:p>
        </w:tc>
      </w:tr>
    </w:tbl>
    <w:p w:rsidR="00744A1C" w:rsidRDefault="00E378DD" w:rsidP="00E378DD">
      <w:pPr>
        <w:pStyle w:val="libFootnote0"/>
        <w:rPr>
          <w:lang w:bidi="fa-IR"/>
        </w:rPr>
      </w:pPr>
      <w:r>
        <w:rPr>
          <w:rtl/>
          <w:lang w:bidi="fa-IR"/>
        </w:rPr>
        <w:t>(7).</w:t>
      </w:r>
      <w:r w:rsidR="00744A1C">
        <w:rPr>
          <w:rtl/>
          <w:lang w:bidi="fa-IR"/>
        </w:rPr>
        <w:t xml:space="preserve"> في « بخ ، بف » </w:t>
      </w:r>
      <w:r w:rsidR="00744A1C" w:rsidRPr="00AD79A3">
        <w:rPr>
          <w:rtl/>
        </w:rPr>
        <w:t>والتهذيب والاستبصار : « ق</w:t>
      </w:r>
      <w:r w:rsidR="00744A1C">
        <w:rPr>
          <w:rtl/>
          <w:lang w:bidi="fa-IR"/>
        </w:rPr>
        <w:t>د » بدون الواو.</w:t>
      </w:r>
    </w:p>
    <w:p w:rsidR="00744A1C" w:rsidRDefault="00E378DD" w:rsidP="00E378DD">
      <w:pPr>
        <w:pStyle w:val="libFootnote0"/>
        <w:rPr>
          <w:lang w:bidi="fa-IR"/>
        </w:rPr>
      </w:pPr>
      <w:r>
        <w:rPr>
          <w:rtl/>
          <w:lang w:bidi="fa-IR"/>
        </w:rPr>
        <w:t>(8).</w:t>
      </w:r>
      <w:r w:rsidR="00744A1C">
        <w:rPr>
          <w:rtl/>
          <w:lang w:bidi="fa-IR"/>
        </w:rPr>
        <w:t xml:space="preserve"> في « ط » </w:t>
      </w:r>
      <w:r w:rsidR="00744A1C" w:rsidRPr="00C00971">
        <w:rPr>
          <w:rtl/>
        </w:rPr>
        <w:t>والوسائل</w:t>
      </w:r>
      <w:r w:rsidR="00744A1C">
        <w:rPr>
          <w:rtl/>
          <w:lang w:bidi="fa-IR"/>
        </w:rPr>
        <w:t xml:space="preserve"> : « وقال ». وفي « بح » : + « له ».</w:t>
      </w:r>
    </w:p>
    <w:p w:rsidR="00744A1C" w:rsidRDefault="00E378DD" w:rsidP="00E378DD">
      <w:pPr>
        <w:pStyle w:val="libFootnote0"/>
        <w:rPr>
          <w:lang w:bidi="fa-IR"/>
        </w:rPr>
      </w:pPr>
      <w:r>
        <w:rPr>
          <w:rtl/>
          <w:lang w:bidi="fa-IR"/>
        </w:rPr>
        <w:t>(9).</w:t>
      </w:r>
      <w:r w:rsidR="00744A1C">
        <w:rPr>
          <w:rtl/>
          <w:lang w:bidi="fa-IR"/>
        </w:rPr>
        <w:t xml:space="preserve"> في « ى ، بح ، بس ، جت » : « أو كان ». وفي « بخ ، بف » و</w:t>
      </w:r>
      <w:r w:rsidR="00744A1C" w:rsidRPr="00C24F9C">
        <w:rPr>
          <w:rStyle w:val="libFootnoteBoldChar"/>
          <w:rtl/>
        </w:rPr>
        <w:t>الوسائل</w:t>
      </w:r>
      <w:r w:rsidR="00744A1C">
        <w:rPr>
          <w:rtl/>
          <w:lang w:bidi="fa-IR"/>
        </w:rPr>
        <w:t xml:space="preserve"> والمعاني : « وكان ».</w:t>
      </w:r>
    </w:p>
    <w:p w:rsidR="00744A1C" w:rsidRDefault="00E378DD" w:rsidP="00E378DD">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344 ، ح 966 ، معلّقاً عن الكليني. </w:t>
      </w:r>
      <w:r w:rsidR="00744A1C" w:rsidRPr="00C00971">
        <w:rPr>
          <w:rStyle w:val="libFootnoteBoldChar"/>
          <w:rtl/>
        </w:rPr>
        <w:t>الاستبصار</w:t>
      </w:r>
      <w:r w:rsidR="00744A1C">
        <w:rPr>
          <w:rtl/>
          <w:lang w:bidi="fa-IR"/>
        </w:rPr>
        <w:t xml:space="preserve"> ، ج 3 ، ص 49 ، ح 162 ، معلّقاً عن محمّد بن يحيى. </w:t>
      </w:r>
      <w:r w:rsidR="00744A1C" w:rsidRPr="00610FB4">
        <w:rPr>
          <w:rStyle w:val="libFootnoteBoldChar"/>
          <w:rtl/>
        </w:rPr>
        <w:t>معاني الأخبار</w:t>
      </w:r>
      <w:r w:rsidR="00744A1C">
        <w:rPr>
          <w:rtl/>
          <w:lang w:bidi="fa-IR"/>
        </w:rPr>
        <w:t xml:space="preserve"> ، ص 155 ، ح 1 ، بسنده عن عليّ بن الحكم. </w:t>
      </w:r>
      <w:r w:rsidR="00744A1C" w:rsidRPr="00C24F9C">
        <w:rPr>
          <w:rStyle w:val="libFootnoteBoldChar"/>
          <w:rtl/>
        </w:rPr>
        <w:t>الفقيه</w:t>
      </w:r>
      <w:r w:rsidR="00744A1C">
        <w:rPr>
          <w:rtl/>
          <w:lang w:bidi="fa-IR"/>
        </w:rPr>
        <w:t xml:space="preserve"> ، ج 3 ، ص 177 ، ح 3669 ، معلّقاً عن الحسين بن أبي العلاء </w:t>
      </w:r>
      <w:r w:rsidR="00C00971">
        <w:rPr>
          <w:rFonts w:hint="cs"/>
          <w:rtl/>
          <w:lang w:bidi="fa-IR"/>
        </w:rPr>
        <w:t>.</w:t>
      </w:r>
      <w:r w:rsidR="00744A1C" w:rsidRPr="00C24F9C">
        <w:rPr>
          <w:rStyle w:val="libFootnoteBoldChar"/>
          <w:rtl/>
        </w:rPr>
        <w:t>الوافي</w:t>
      </w:r>
      <w:r w:rsidR="00744A1C">
        <w:rPr>
          <w:rtl/>
          <w:lang w:bidi="fa-IR"/>
        </w:rPr>
        <w:t xml:space="preserve"> ، ج 17 ، ص 323 ، 17353 ؛ </w:t>
      </w:r>
      <w:r w:rsidR="00744A1C" w:rsidRPr="00C24F9C">
        <w:rPr>
          <w:rStyle w:val="libFootnoteBoldChar"/>
          <w:rtl/>
        </w:rPr>
        <w:t>الوسائل</w:t>
      </w:r>
      <w:r w:rsidR="00744A1C">
        <w:rPr>
          <w:rtl/>
          <w:lang w:bidi="fa-IR"/>
        </w:rPr>
        <w:t xml:space="preserve"> ، ج 17 ، ص 265 ، ح 22486.</w:t>
      </w:r>
    </w:p>
    <w:p w:rsidR="006D42F6" w:rsidRDefault="006D42F6" w:rsidP="00D10E3C">
      <w:pPr>
        <w:pStyle w:val="libNormal"/>
        <w:rPr>
          <w:rtl/>
          <w:lang w:bidi="fa-IR"/>
        </w:rPr>
      </w:pPr>
      <w:r>
        <w:rPr>
          <w:rtl/>
          <w:lang w:bidi="fa-IR"/>
        </w:rPr>
        <w:br w:type="page"/>
      </w:r>
    </w:p>
    <w:p w:rsidR="00744A1C" w:rsidRDefault="00744A1C" w:rsidP="00794BCA">
      <w:pPr>
        <w:pStyle w:val="Heading2Center"/>
        <w:rPr>
          <w:lang w:bidi="fa-IR"/>
        </w:rPr>
      </w:pPr>
      <w:bookmarkStart w:id="171" w:name="_Toc49261469"/>
      <w:r>
        <w:rPr>
          <w:rtl/>
          <w:lang w:bidi="fa-IR"/>
        </w:rPr>
        <w:t xml:space="preserve">48 - بَابُ الرَّجُلِ يَأْخُذُ مِنْ مَالِ امْرَأَتِهِ </w:t>
      </w:r>
      <w:r w:rsidRPr="00D10E3C">
        <w:rPr>
          <w:rStyle w:val="libFootnotenumChar"/>
          <w:rtl/>
        </w:rPr>
        <w:t>(1)</w:t>
      </w:r>
      <w:r>
        <w:rPr>
          <w:rtl/>
          <w:lang w:bidi="fa-IR"/>
        </w:rPr>
        <w:t xml:space="preserve"> وَالْمَرْأَةِ تَأْخُذُ مِنْ مَالِ زَوْجِهَا‌</w:t>
      </w:r>
      <w:bookmarkEnd w:id="171"/>
    </w:p>
    <w:p w:rsidR="00144FA6" w:rsidRDefault="00744A1C" w:rsidP="00744A1C">
      <w:pPr>
        <w:pStyle w:val="libNormal"/>
        <w:rPr>
          <w:rtl/>
          <w:lang w:bidi="fa-IR"/>
        </w:rPr>
      </w:pPr>
      <w:r>
        <w:rPr>
          <w:rtl/>
          <w:lang w:bidi="fa-IR"/>
        </w:rPr>
        <w:t>8629 / 1. عِدَّةٌ مِنْ أَصْحَابِنَا ، عَنْ أَحْمَدَ بْنِ مُحَمَّدٍ ، عَنِ الْحُسَيْنِ بْنِ سَعِيدٍ ، عَنْ عُثْمَانَ بْنِ عِيسى ، عَنْ سَعِيدِ بْنِ يَسَارٍ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جُعِلْتُ فِدَاكَ ، امْرَأَةٌ دَفَعَتْ إِلى زَوْجِهَا مَالاً مِنْ مَالِهَا لِيَعْمَلَ بِهِ ، وَقَالَتْ لَهُ حِينَ دَفَعَتْ </w:t>
      </w:r>
      <w:r w:rsidRPr="00D10E3C">
        <w:rPr>
          <w:rStyle w:val="libFootnotenumChar"/>
          <w:rtl/>
        </w:rPr>
        <w:t>(2)</w:t>
      </w:r>
      <w:r>
        <w:rPr>
          <w:rtl/>
          <w:lang w:bidi="fa-IR"/>
        </w:rPr>
        <w:t xml:space="preserve"> إِلَيْهِ : أَنْفِقْ مِنْهُ ، فَإِنْ </w:t>
      </w:r>
      <w:r w:rsidRPr="00D10E3C">
        <w:rPr>
          <w:rStyle w:val="libFootnotenumChar"/>
          <w:rtl/>
        </w:rPr>
        <w:t>(3)</w:t>
      </w:r>
      <w:r>
        <w:rPr>
          <w:rtl/>
          <w:lang w:bidi="fa-IR"/>
        </w:rPr>
        <w:t xml:space="preserve"> حَدَثَ بِكَ حَدَثٌ </w:t>
      </w:r>
      <w:r w:rsidRPr="00D10E3C">
        <w:rPr>
          <w:rStyle w:val="libFootnotenumChar"/>
          <w:rtl/>
        </w:rPr>
        <w:t>(4)</w:t>
      </w:r>
      <w:r>
        <w:rPr>
          <w:rtl/>
          <w:lang w:bidi="fa-IR"/>
        </w:rPr>
        <w:t xml:space="preserve"> ، فَمَا أَنْفَقْتَ مِنْهُ </w:t>
      </w:r>
      <w:r w:rsidRPr="00D10E3C">
        <w:rPr>
          <w:rStyle w:val="libFootnotenumChar"/>
          <w:rtl/>
        </w:rPr>
        <w:t>(5)</w:t>
      </w:r>
      <w:r>
        <w:rPr>
          <w:rtl/>
          <w:lang w:bidi="fa-IR"/>
        </w:rPr>
        <w:t xml:space="preserve"> حَلَالاً طَيِّباً </w:t>
      </w:r>
      <w:r w:rsidRPr="00D10E3C">
        <w:rPr>
          <w:rStyle w:val="libFootnotenumChar"/>
          <w:rtl/>
        </w:rPr>
        <w:t>(6)</w:t>
      </w:r>
      <w:r>
        <w:rPr>
          <w:rtl/>
          <w:lang w:bidi="fa-IR"/>
        </w:rPr>
        <w:t xml:space="preserve"> ، فَإِنْ </w:t>
      </w:r>
      <w:r w:rsidRPr="00D10E3C">
        <w:rPr>
          <w:rStyle w:val="libFootnotenumChar"/>
          <w:rtl/>
        </w:rPr>
        <w:t>(7)</w:t>
      </w:r>
      <w:r>
        <w:rPr>
          <w:rtl/>
          <w:lang w:bidi="fa-IR"/>
        </w:rPr>
        <w:t xml:space="preserve"> حَدَثَ بِي حَدَثٌ </w:t>
      </w:r>
      <w:r w:rsidRPr="00D10E3C">
        <w:rPr>
          <w:rStyle w:val="libFootnotenumChar"/>
          <w:rtl/>
        </w:rPr>
        <w:t>(8)</w:t>
      </w:r>
      <w:r>
        <w:rPr>
          <w:rtl/>
          <w:lang w:bidi="fa-IR"/>
        </w:rPr>
        <w:t xml:space="preserve"> ، فَمَا أَنْفَقْتَ مِنْهُ ، فَهُوَ </w:t>
      </w:r>
      <w:r w:rsidRPr="00D10E3C">
        <w:rPr>
          <w:rStyle w:val="libFootnotenumChar"/>
          <w:rtl/>
        </w:rPr>
        <w:t>(9)</w:t>
      </w:r>
      <w:r>
        <w:rPr>
          <w:rtl/>
          <w:lang w:bidi="fa-IR"/>
        </w:rPr>
        <w:t xml:space="preserve"> حَلَالٌ طَيِّبٌ </w:t>
      </w:r>
      <w:r w:rsidRPr="00D10E3C">
        <w:rPr>
          <w:rStyle w:val="libFootnotenumChar"/>
          <w:rtl/>
        </w:rPr>
        <w:t>(10)</w:t>
      </w:r>
    </w:p>
    <w:p w:rsidR="00744A1C" w:rsidRDefault="00744A1C" w:rsidP="00744A1C">
      <w:pPr>
        <w:pStyle w:val="libNormal"/>
        <w:rPr>
          <w:lang w:bidi="fa-IR"/>
        </w:rPr>
      </w:pPr>
      <w:r>
        <w:rPr>
          <w:rtl/>
          <w:lang w:bidi="fa-IR"/>
        </w:rPr>
        <w:t xml:space="preserve">فَقَالَ : « أَعِدْ عَلَيَّ يَا سَعِيدُ </w:t>
      </w:r>
      <w:r w:rsidRPr="00D10E3C">
        <w:rPr>
          <w:rStyle w:val="libFootnotenumChar"/>
          <w:rtl/>
        </w:rPr>
        <w:t>(11)</w:t>
      </w:r>
      <w:r>
        <w:rPr>
          <w:rtl/>
          <w:lang w:bidi="fa-IR"/>
        </w:rPr>
        <w:t xml:space="preserve"> الْمَسْأَ لَةَ </w:t>
      </w:r>
      <w:r w:rsidRPr="00D10E3C">
        <w:rPr>
          <w:rStyle w:val="libFootnotenumChar"/>
          <w:rtl/>
        </w:rPr>
        <w:t>(12)</w:t>
      </w:r>
      <w:r>
        <w:rPr>
          <w:rtl/>
          <w:lang w:bidi="fa-IR"/>
        </w:rPr>
        <w:t xml:space="preserve"> ».</w:t>
      </w:r>
    </w:p>
    <w:p w:rsidR="00744A1C" w:rsidRDefault="00744A1C" w:rsidP="00744A1C">
      <w:pPr>
        <w:pStyle w:val="libNormal"/>
        <w:rPr>
          <w:lang w:bidi="fa-IR"/>
        </w:rPr>
      </w:pPr>
      <w:r>
        <w:rPr>
          <w:rtl/>
          <w:lang w:bidi="fa-IR"/>
        </w:rPr>
        <w:t xml:space="preserve">فَلَمَّا ذَهَبْتُ أُعِيدُ عَلَيْهِ الْمَسْأَ لَةَ </w:t>
      </w:r>
      <w:r w:rsidRPr="00D10E3C">
        <w:rPr>
          <w:rStyle w:val="libFootnotenumChar"/>
          <w:rtl/>
        </w:rPr>
        <w:t>(13)</w:t>
      </w:r>
      <w:r>
        <w:rPr>
          <w:rtl/>
          <w:lang w:bidi="fa-IR"/>
        </w:rPr>
        <w:t xml:space="preserve"> ، اعْتَرَضَ </w:t>
      </w:r>
      <w:r w:rsidRPr="00D10E3C">
        <w:rPr>
          <w:rStyle w:val="libFootnotenumChar"/>
          <w:rtl/>
        </w:rPr>
        <w:t>(14)</w:t>
      </w:r>
      <w:r>
        <w:rPr>
          <w:rtl/>
          <w:lang w:bidi="fa-IR"/>
        </w:rPr>
        <w:t xml:space="preserve"> فِيهَا صَاحِبُهَا ، وَكَانَ مَعِي حَاضِراً </w:t>
      </w:r>
      <w:r w:rsidRPr="00D10E3C">
        <w:rPr>
          <w:rStyle w:val="libFootnotenumChar"/>
          <w:rtl/>
        </w:rPr>
        <w:t>(15)</w:t>
      </w:r>
      <w:r>
        <w:rPr>
          <w:rtl/>
          <w:lang w:bidi="fa-IR"/>
        </w:rPr>
        <w:t xml:space="preserve"> ، فَأَعَادَ عَلَيْهِ مِثْلَ ذلِكَ.</w:t>
      </w:r>
    </w:p>
    <w:p w:rsidR="00744A1C" w:rsidRDefault="00744A1C" w:rsidP="00744A1C">
      <w:pPr>
        <w:pStyle w:val="libNormal"/>
        <w:rPr>
          <w:lang w:bidi="fa-IR"/>
        </w:rPr>
      </w:pPr>
      <w:r>
        <w:rPr>
          <w:rtl/>
          <w:lang w:bidi="fa-IR"/>
        </w:rPr>
        <w:t xml:space="preserve">فَلَمَّا فَرَغَ أَشَارَ بِإِصْبَعِهِ إِلى صَاحِبِ الْمَسْأَلَةِ فَقَالَ </w:t>
      </w:r>
      <w:r w:rsidRPr="00D10E3C">
        <w:rPr>
          <w:rStyle w:val="libFootnotenumChar"/>
          <w:rtl/>
        </w:rPr>
        <w:t>(16)</w:t>
      </w:r>
      <w:r>
        <w:rPr>
          <w:rtl/>
          <w:lang w:bidi="fa-IR"/>
        </w:rPr>
        <w:t xml:space="preserve"> : « يَا هذَا ، إِنْ كُنْتَ تَعْلَمُ‌</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C00971" w:rsidTr="00C00971">
        <w:tc>
          <w:tcPr>
            <w:tcW w:w="4006" w:type="dxa"/>
          </w:tcPr>
          <w:p w:rsidR="00C00971" w:rsidRDefault="00C00971" w:rsidP="00D10E3C">
            <w:pPr>
              <w:pStyle w:val="libFootnote0"/>
              <w:rPr>
                <w:rtl/>
                <w:lang w:bidi="fa-IR"/>
              </w:rPr>
            </w:pPr>
            <w:r>
              <w:rPr>
                <w:rtl/>
                <w:lang w:bidi="fa-IR"/>
              </w:rPr>
              <w:t xml:space="preserve">(1). في « جت » : « </w:t>
            </w:r>
            <w:r w:rsidRPr="00C00971">
              <w:rPr>
                <w:rtl/>
              </w:rPr>
              <w:t>المرأة</w:t>
            </w:r>
            <w:r>
              <w:rPr>
                <w:rtl/>
                <w:lang w:bidi="fa-IR"/>
              </w:rPr>
              <w:t xml:space="preserve"> ».</w:t>
            </w:r>
          </w:p>
        </w:tc>
        <w:tc>
          <w:tcPr>
            <w:tcW w:w="4006" w:type="dxa"/>
          </w:tcPr>
          <w:p w:rsidR="00C00971" w:rsidRDefault="00C00971" w:rsidP="00D10E3C">
            <w:pPr>
              <w:pStyle w:val="libFootnote0"/>
              <w:rPr>
                <w:rtl/>
                <w:lang w:bidi="fa-IR"/>
              </w:rPr>
            </w:pPr>
            <w:r>
              <w:rPr>
                <w:rtl/>
                <w:lang w:bidi="fa-IR"/>
              </w:rPr>
              <w:t xml:space="preserve">(2). في </w:t>
            </w:r>
            <w:r w:rsidRPr="00C00971">
              <w:rPr>
                <w:rtl/>
              </w:rPr>
              <w:t>الوسائل وتفسير العيّاشي :</w:t>
            </w:r>
            <w:r>
              <w:rPr>
                <w:rtl/>
                <w:lang w:bidi="fa-IR"/>
              </w:rPr>
              <w:t xml:space="preserve"> « دفعته ».</w:t>
            </w:r>
          </w:p>
        </w:tc>
      </w:tr>
      <w:tr w:rsidR="00C00971" w:rsidTr="00C00971">
        <w:tc>
          <w:tcPr>
            <w:tcW w:w="4006" w:type="dxa"/>
          </w:tcPr>
          <w:p w:rsidR="00C00971" w:rsidRDefault="00C94930" w:rsidP="00D10E3C">
            <w:pPr>
              <w:pStyle w:val="libFootnote0"/>
              <w:rPr>
                <w:rtl/>
                <w:lang w:bidi="fa-IR"/>
              </w:rPr>
            </w:pPr>
            <w:r>
              <w:rPr>
                <w:rtl/>
                <w:lang w:bidi="fa-IR"/>
              </w:rPr>
              <w:t>(3). في « ط » : « وإن ».</w:t>
            </w:r>
          </w:p>
        </w:tc>
        <w:tc>
          <w:tcPr>
            <w:tcW w:w="4006" w:type="dxa"/>
          </w:tcPr>
          <w:p w:rsidR="00C00971" w:rsidRDefault="00C94930" w:rsidP="00D10E3C">
            <w:pPr>
              <w:pStyle w:val="libFootnote0"/>
              <w:rPr>
                <w:rtl/>
                <w:lang w:bidi="fa-IR"/>
              </w:rPr>
            </w:pPr>
            <w:r>
              <w:rPr>
                <w:rtl/>
                <w:lang w:bidi="fa-IR"/>
              </w:rPr>
              <w:t xml:space="preserve">(4). في </w:t>
            </w:r>
            <w:r w:rsidRPr="00C94930">
              <w:rPr>
                <w:rtl/>
              </w:rPr>
              <w:t>الوافي</w:t>
            </w:r>
            <w:r>
              <w:rPr>
                <w:rtl/>
                <w:lang w:bidi="fa-IR"/>
              </w:rPr>
              <w:t xml:space="preserve"> : « حادث ».</w:t>
            </w:r>
          </w:p>
        </w:tc>
      </w:tr>
    </w:tbl>
    <w:p w:rsidR="00744A1C" w:rsidRDefault="00E378DD" w:rsidP="00E378DD">
      <w:pPr>
        <w:pStyle w:val="libFootnote0"/>
        <w:rPr>
          <w:lang w:bidi="fa-IR"/>
        </w:rPr>
      </w:pPr>
      <w:r>
        <w:rPr>
          <w:rtl/>
          <w:lang w:bidi="fa-IR"/>
        </w:rPr>
        <w:t>(5).</w:t>
      </w:r>
      <w:r w:rsidR="00744A1C">
        <w:rPr>
          <w:rtl/>
          <w:lang w:bidi="fa-IR"/>
        </w:rPr>
        <w:t xml:space="preserve"> في « ى » : + « فهو ». وفي « بخ ، بف » </w:t>
      </w:r>
      <w:r w:rsidR="00744A1C" w:rsidRPr="001342EC">
        <w:rPr>
          <w:rtl/>
        </w:rPr>
        <w:t>وتفسير العيّاشي :</w:t>
      </w:r>
      <w:r w:rsidR="00744A1C">
        <w:rPr>
          <w:rtl/>
          <w:lang w:bidi="fa-IR"/>
        </w:rPr>
        <w:t xml:space="preserve"> « فلك ». وفي </w:t>
      </w:r>
      <w:r w:rsidR="00744A1C" w:rsidRPr="001342EC">
        <w:rPr>
          <w:rtl/>
        </w:rPr>
        <w:t>الوافي والتهذيب</w:t>
      </w:r>
      <w:r w:rsidR="00744A1C">
        <w:rPr>
          <w:rtl/>
          <w:lang w:bidi="fa-IR"/>
        </w:rPr>
        <w:t xml:space="preserve"> : « لك ».</w:t>
      </w:r>
    </w:p>
    <w:p w:rsidR="00744A1C" w:rsidRDefault="00E378DD" w:rsidP="00E378DD">
      <w:pPr>
        <w:pStyle w:val="libFootnote0"/>
        <w:rPr>
          <w:lang w:bidi="fa-IR"/>
        </w:rPr>
      </w:pPr>
      <w:r>
        <w:rPr>
          <w:rtl/>
          <w:lang w:bidi="fa-IR"/>
        </w:rPr>
        <w:t>(6).</w:t>
      </w:r>
      <w:r w:rsidR="00744A1C">
        <w:rPr>
          <w:rtl/>
          <w:lang w:bidi="fa-IR"/>
        </w:rPr>
        <w:t xml:space="preserve"> فى « ى ، بخ ، بف » </w:t>
      </w:r>
      <w:r w:rsidR="00744A1C" w:rsidRPr="001342EC">
        <w:rPr>
          <w:rtl/>
        </w:rPr>
        <w:t>والوافي والتهذيب وتفسير العيّاشي</w:t>
      </w:r>
      <w:r w:rsidR="00744A1C">
        <w:rPr>
          <w:rtl/>
          <w:lang w:bidi="fa-IR"/>
        </w:rPr>
        <w:t xml:space="preserve"> : « حلال طيّب ».</w:t>
      </w:r>
    </w:p>
    <w:p w:rsidR="00744A1C" w:rsidRDefault="00E378DD" w:rsidP="00E378DD">
      <w:pPr>
        <w:pStyle w:val="libFootnote0"/>
        <w:rPr>
          <w:lang w:bidi="fa-IR"/>
        </w:rPr>
      </w:pPr>
      <w:r>
        <w:rPr>
          <w:rtl/>
          <w:lang w:bidi="fa-IR"/>
        </w:rPr>
        <w:t>(7).</w:t>
      </w:r>
      <w:r w:rsidR="00744A1C">
        <w:rPr>
          <w:rtl/>
          <w:lang w:bidi="fa-IR"/>
        </w:rPr>
        <w:t xml:space="preserve"> فى « ط » </w:t>
      </w:r>
      <w:r w:rsidR="00744A1C" w:rsidRPr="001342EC">
        <w:rPr>
          <w:rtl/>
        </w:rPr>
        <w:t>والوافي والوسائل والتهذيب وتفسير العيّاشي :</w:t>
      </w:r>
      <w:r w:rsidR="00744A1C">
        <w:rPr>
          <w:rtl/>
          <w:lang w:bidi="fa-IR"/>
        </w:rPr>
        <w:t xml:space="preserve"> « وإن ».</w:t>
      </w:r>
    </w:p>
    <w:p w:rsidR="00744A1C" w:rsidRDefault="00E378DD" w:rsidP="00E378DD">
      <w:pPr>
        <w:pStyle w:val="libFootnote0"/>
        <w:rPr>
          <w:lang w:bidi="fa-IR"/>
        </w:rPr>
      </w:pPr>
      <w:r>
        <w:rPr>
          <w:rtl/>
          <w:lang w:bidi="fa-IR"/>
        </w:rPr>
        <w:t>(8).</w:t>
      </w:r>
      <w:r w:rsidR="00744A1C">
        <w:rPr>
          <w:rtl/>
          <w:lang w:bidi="fa-IR"/>
        </w:rPr>
        <w:t xml:space="preserve"> فى </w:t>
      </w:r>
      <w:r w:rsidR="00744A1C" w:rsidRPr="001342EC">
        <w:rPr>
          <w:rtl/>
        </w:rPr>
        <w:t>الوافي</w:t>
      </w:r>
      <w:r w:rsidR="00744A1C">
        <w:rPr>
          <w:rtl/>
          <w:lang w:bidi="fa-IR"/>
        </w:rPr>
        <w:t xml:space="preserve"> : « حادث ».</w:t>
      </w:r>
    </w:p>
    <w:p w:rsidR="00744A1C" w:rsidRDefault="00E378DD" w:rsidP="00E378DD">
      <w:pPr>
        <w:pStyle w:val="libFootnote0"/>
        <w:rPr>
          <w:lang w:bidi="fa-IR"/>
        </w:rPr>
      </w:pPr>
      <w:r>
        <w:rPr>
          <w:rtl/>
          <w:lang w:bidi="fa-IR"/>
        </w:rPr>
        <w:t>(9).</w:t>
      </w:r>
      <w:r w:rsidR="00744A1C">
        <w:rPr>
          <w:rtl/>
          <w:lang w:bidi="fa-IR"/>
        </w:rPr>
        <w:t xml:space="preserve"> في « ط » : + « لك ». وفي </w:t>
      </w:r>
      <w:r w:rsidR="00744A1C" w:rsidRPr="001342EC">
        <w:rPr>
          <w:rtl/>
        </w:rPr>
        <w:t>التهذيب : «</w:t>
      </w:r>
      <w:r w:rsidR="00744A1C">
        <w:rPr>
          <w:rtl/>
          <w:lang w:bidi="fa-IR"/>
        </w:rPr>
        <w:t xml:space="preserve"> لك ». وفي </w:t>
      </w:r>
      <w:r w:rsidR="00744A1C" w:rsidRPr="001342EC">
        <w:rPr>
          <w:rtl/>
        </w:rPr>
        <w:t>الوافي وتفسير العيّاشي</w:t>
      </w:r>
      <w:r w:rsidR="00744A1C">
        <w:rPr>
          <w:rtl/>
          <w:lang w:bidi="fa-IR"/>
        </w:rPr>
        <w:t xml:space="preserve"> : « فلك ».</w:t>
      </w:r>
    </w:p>
    <w:p w:rsidR="00744A1C" w:rsidRDefault="00E378DD" w:rsidP="00E378DD">
      <w:pPr>
        <w:pStyle w:val="libFootnote0"/>
        <w:rPr>
          <w:lang w:bidi="fa-IR"/>
        </w:rPr>
      </w:pPr>
      <w:r>
        <w:rPr>
          <w:rtl/>
          <w:lang w:bidi="fa-IR"/>
        </w:rPr>
        <w:t>(10).</w:t>
      </w:r>
      <w:r w:rsidR="00744A1C">
        <w:rPr>
          <w:rtl/>
          <w:lang w:bidi="fa-IR"/>
        </w:rPr>
        <w:t xml:space="preserve"> في « بخ ، بف » : - « فإن حدث بي حدث ، فما أنفقت منه فهو حلال طيّب ».</w:t>
      </w:r>
    </w:p>
    <w:tbl>
      <w:tblPr>
        <w:tblStyle w:val="TableGrid"/>
        <w:bidiVisual/>
        <w:tblW w:w="0" w:type="auto"/>
        <w:tblLook w:val="04A0" w:firstRow="1" w:lastRow="0" w:firstColumn="1" w:lastColumn="0" w:noHBand="0" w:noVBand="1"/>
      </w:tblPr>
      <w:tblGrid>
        <w:gridCol w:w="4006"/>
        <w:gridCol w:w="4006"/>
      </w:tblGrid>
      <w:tr w:rsidR="001342EC" w:rsidTr="001342EC">
        <w:tc>
          <w:tcPr>
            <w:tcW w:w="4006" w:type="dxa"/>
          </w:tcPr>
          <w:p w:rsidR="001342EC" w:rsidRDefault="001342EC" w:rsidP="00E378DD">
            <w:pPr>
              <w:pStyle w:val="libFootnote0"/>
              <w:rPr>
                <w:rtl/>
                <w:lang w:bidi="fa-IR"/>
              </w:rPr>
            </w:pPr>
            <w:r>
              <w:rPr>
                <w:rtl/>
                <w:lang w:bidi="fa-IR"/>
              </w:rPr>
              <w:t>(11). في « بف » : « يا با سعيد ».</w:t>
            </w:r>
          </w:p>
        </w:tc>
        <w:tc>
          <w:tcPr>
            <w:tcW w:w="4006" w:type="dxa"/>
          </w:tcPr>
          <w:p w:rsidR="001342EC" w:rsidRDefault="001342EC" w:rsidP="00E378DD">
            <w:pPr>
              <w:pStyle w:val="libFootnote0"/>
              <w:rPr>
                <w:rtl/>
                <w:lang w:bidi="fa-IR"/>
              </w:rPr>
            </w:pPr>
            <w:r>
              <w:rPr>
                <w:rtl/>
                <w:lang w:bidi="fa-IR"/>
              </w:rPr>
              <w:t xml:space="preserve">(12). في </w:t>
            </w:r>
            <w:r w:rsidRPr="001342EC">
              <w:rPr>
                <w:rtl/>
              </w:rPr>
              <w:t>التهذيب</w:t>
            </w:r>
            <w:r>
              <w:rPr>
                <w:rtl/>
                <w:lang w:bidi="fa-IR"/>
              </w:rPr>
              <w:t xml:space="preserve"> : - « المسألة ».</w:t>
            </w:r>
          </w:p>
        </w:tc>
      </w:tr>
    </w:tbl>
    <w:p w:rsidR="00744A1C" w:rsidRDefault="00E378DD" w:rsidP="00E378DD">
      <w:pPr>
        <w:pStyle w:val="libFootnote0"/>
        <w:rPr>
          <w:lang w:bidi="fa-IR"/>
        </w:rPr>
      </w:pPr>
      <w:r>
        <w:rPr>
          <w:rtl/>
          <w:lang w:bidi="fa-IR"/>
        </w:rPr>
        <w:t>(13).</w:t>
      </w:r>
      <w:r w:rsidR="00744A1C">
        <w:rPr>
          <w:rtl/>
          <w:lang w:bidi="fa-IR"/>
        </w:rPr>
        <w:t xml:space="preserve"> هكذا في جميع النسخ التي قوبلت </w:t>
      </w:r>
      <w:r w:rsidR="00744A1C" w:rsidRPr="001342EC">
        <w:rPr>
          <w:rtl/>
        </w:rPr>
        <w:t>والوافي والوسائل وتفسير العيّاشي. وفي</w:t>
      </w:r>
      <w:r w:rsidR="00744A1C">
        <w:rPr>
          <w:rtl/>
          <w:lang w:bidi="fa-IR"/>
        </w:rPr>
        <w:t xml:space="preserve"> المطبوع : « ا</w:t>
      </w:r>
      <w:r w:rsidR="00F603CE">
        <w:rPr>
          <w:rFonts w:hint="cs"/>
          <w:rtl/>
          <w:lang w:bidi="fa-IR"/>
        </w:rPr>
        <w:t>ُ</w:t>
      </w:r>
      <w:r w:rsidR="00744A1C">
        <w:rPr>
          <w:rtl/>
          <w:lang w:bidi="fa-IR"/>
        </w:rPr>
        <w:t xml:space="preserve">عيد المسألة عليه ». وفي </w:t>
      </w:r>
      <w:r w:rsidR="00744A1C" w:rsidRPr="00F603CE">
        <w:rPr>
          <w:rtl/>
        </w:rPr>
        <w:t>التهذيب</w:t>
      </w:r>
      <w:r w:rsidR="00744A1C">
        <w:rPr>
          <w:rtl/>
          <w:lang w:bidi="fa-IR"/>
        </w:rPr>
        <w:t xml:space="preserve"> : - « المسألة ».</w:t>
      </w:r>
    </w:p>
    <w:p w:rsidR="00744A1C" w:rsidRDefault="00E378DD" w:rsidP="00E378DD">
      <w:pPr>
        <w:pStyle w:val="libFootnote0"/>
        <w:rPr>
          <w:lang w:bidi="fa-IR"/>
        </w:rPr>
      </w:pPr>
      <w:r>
        <w:rPr>
          <w:rtl/>
          <w:lang w:bidi="fa-IR"/>
        </w:rPr>
        <w:t>(14).</w:t>
      </w:r>
      <w:r w:rsidR="00744A1C">
        <w:rPr>
          <w:rtl/>
          <w:lang w:bidi="fa-IR"/>
        </w:rPr>
        <w:t xml:space="preserve"> في « ط ، بح ، جت ، جد ، جن » </w:t>
      </w:r>
      <w:r w:rsidR="00744A1C" w:rsidRPr="00F603CE">
        <w:rPr>
          <w:rtl/>
        </w:rPr>
        <w:t>والتهذيب والوسائل وتفسير العيّاشي</w:t>
      </w:r>
      <w:r w:rsidR="00744A1C">
        <w:rPr>
          <w:rtl/>
          <w:lang w:bidi="fa-IR"/>
        </w:rPr>
        <w:t xml:space="preserve"> : « عرض ». وفي حاشية « بح » : « أعرض ».</w:t>
      </w:r>
    </w:p>
    <w:p w:rsidR="00744A1C" w:rsidRDefault="00E378DD" w:rsidP="00E378DD">
      <w:pPr>
        <w:pStyle w:val="libFootnote0"/>
        <w:rPr>
          <w:lang w:bidi="fa-IR"/>
        </w:rPr>
      </w:pPr>
      <w:r>
        <w:rPr>
          <w:rtl/>
          <w:lang w:bidi="fa-IR"/>
        </w:rPr>
        <w:t>(15).</w:t>
      </w:r>
      <w:r w:rsidR="00744A1C">
        <w:rPr>
          <w:rtl/>
          <w:lang w:bidi="fa-IR"/>
        </w:rPr>
        <w:t xml:space="preserve"> في « بف » </w:t>
      </w:r>
      <w:r w:rsidR="00744A1C" w:rsidRPr="00F603CE">
        <w:rPr>
          <w:rtl/>
        </w:rPr>
        <w:t>والتهذيب وتفسير العيّاشي</w:t>
      </w:r>
      <w:r w:rsidR="00744A1C">
        <w:rPr>
          <w:rtl/>
          <w:lang w:bidi="fa-IR"/>
        </w:rPr>
        <w:t xml:space="preserve"> : - « حاضراً ».</w:t>
      </w:r>
    </w:p>
    <w:p w:rsidR="00744A1C" w:rsidRDefault="00744A1C" w:rsidP="00D10E3C">
      <w:pPr>
        <w:pStyle w:val="libFootnote0"/>
        <w:rPr>
          <w:lang w:bidi="fa-IR"/>
        </w:rPr>
      </w:pPr>
      <w:r>
        <w:rPr>
          <w:rtl/>
          <w:lang w:bidi="fa-IR"/>
        </w:rPr>
        <w:t xml:space="preserve">(16) في « بخ ، بف » </w:t>
      </w:r>
      <w:r w:rsidRPr="00F603CE">
        <w:rPr>
          <w:rtl/>
        </w:rPr>
        <w:t>والوافي والتهذيب :</w:t>
      </w:r>
      <w:r>
        <w:rPr>
          <w:rtl/>
          <w:lang w:bidi="fa-IR"/>
        </w:rPr>
        <w:t xml:space="preserve"> « وقال ».</w:t>
      </w:r>
    </w:p>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أَنَّهَا قَدْ </w:t>
      </w:r>
      <w:r w:rsidRPr="00D10E3C">
        <w:rPr>
          <w:rStyle w:val="libFootnotenumChar"/>
          <w:rtl/>
        </w:rPr>
        <w:t>(1)</w:t>
      </w:r>
      <w:r>
        <w:rPr>
          <w:rtl/>
          <w:lang w:bidi="fa-IR"/>
        </w:rPr>
        <w:t xml:space="preserve"> أَفْضَتْ </w:t>
      </w:r>
      <w:r w:rsidRPr="00D10E3C">
        <w:rPr>
          <w:rStyle w:val="libFootnotenumChar"/>
          <w:rtl/>
        </w:rPr>
        <w:t>(2)</w:t>
      </w:r>
      <w:r>
        <w:rPr>
          <w:rtl/>
          <w:lang w:bidi="fa-IR"/>
        </w:rPr>
        <w:t xml:space="preserve"> بِذلِكَ إِلَيْكَ </w:t>
      </w:r>
      <w:r w:rsidRPr="00D10E3C">
        <w:rPr>
          <w:rStyle w:val="libFootnotenumChar"/>
          <w:rtl/>
        </w:rPr>
        <w:t>(3)</w:t>
      </w:r>
      <w:r>
        <w:rPr>
          <w:rtl/>
          <w:lang w:bidi="fa-IR"/>
        </w:rPr>
        <w:t xml:space="preserve"> فِيمَا بَيْنَكَ وَبَيْنَهَا وَبَيْنَ اللهِ - عَزَّ وَجَلَّ - فَحَلَالٌ </w:t>
      </w:r>
      <w:r w:rsidRPr="00D10E3C">
        <w:rPr>
          <w:rStyle w:val="libFootnotenumChar"/>
          <w:rtl/>
        </w:rPr>
        <w:t>(4)</w:t>
      </w:r>
      <w:r>
        <w:rPr>
          <w:rtl/>
          <w:lang w:bidi="fa-IR"/>
        </w:rPr>
        <w:t xml:space="preserve"> طَيِّبٌ </w:t>
      </w:r>
      <w:r w:rsidRPr="00D10E3C">
        <w:rPr>
          <w:rStyle w:val="libFootnotenumChar"/>
          <w:rtl/>
        </w:rPr>
        <w:t>(5)</w:t>
      </w:r>
      <w:r>
        <w:rPr>
          <w:rtl/>
          <w:lang w:bidi="fa-IR"/>
        </w:rPr>
        <w:t xml:space="preserve"> » ثَلَاثَ مَرَّاتٍ ، ثُمَّ </w:t>
      </w:r>
      <w:r w:rsidRPr="00D10E3C">
        <w:rPr>
          <w:rStyle w:val="libFootnotenumChar"/>
          <w:rtl/>
        </w:rPr>
        <w:t>(6)</w:t>
      </w:r>
      <w:r>
        <w:rPr>
          <w:rtl/>
          <w:lang w:bidi="fa-IR"/>
        </w:rPr>
        <w:t xml:space="preserve"> قَالَ : « يَقُولُ اللهُ - جَلَّ اسْمُهُ - فِي كِتَابِهِ : </w:t>
      </w:r>
      <w:r w:rsidRPr="00F603CE">
        <w:rPr>
          <w:rStyle w:val="libAlaemChar"/>
          <w:rtl/>
        </w:rPr>
        <w:t>(</w:t>
      </w:r>
      <w:r w:rsidRPr="00F603CE">
        <w:rPr>
          <w:rStyle w:val="libAieChar"/>
          <w:rtl/>
        </w:rPr>
        <w:t xml:space="preserve"> فَإِنْ طِبْنَ لَكُمْ عَنْ شَيْ‌ءٍ مِنْهُ نَفْساً فَكُلُوهُ هَنِيئاً مَرِيئاً </w:t>
      </w:r>
      <w:r w:rsidRPr="00F603CE">
        <w:rPr>
          <w:rStyle w:val="libAlaemChar"/>
          <w:rtl/>
        </w:rPr>
        <w:t>)</w:t>
      </w:r>
      <w:r>
        <w:rPr>
          <w:rtl/>
          <w:lang w:bidi="fa-IR"/>
        </w:rPr>
        <w:t xml:space="preserve">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8630 / 2. مُحَمَّدُ بْنُ يَحْيى ، عَنْ أَحْمَدَ بْنِ مُحَمَّدٍ ، عَنِ ابْنِ فَضَّالٍ ، عَنِ ابْنِ بُكَيْرٍ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عَمَّا يَحِلُّ لِلْمَرْأَةِ أَنْ تَتَصَدَّقَ </w:t>
      </w:r>
      <w:r w:rsidRPr="00D10E3C">
        <w:rPr>
          <w:rStyle w:val="libFootnotenumChar"/>
          <w:rtl/>
        </w:rPr>
        <w:t>(9)</w:t>
      </w:r>
      <w:r>
        <w:rPr>
          <w:rtl/>
          <w:lang w:bidi="fa-IR"/>
        </w:rPr>
        <w:t xml:space="preserve"> بِهِ مِنْ بَيْتِ </w:t>
      </w:r>
      <w:r w:rsidRPr="00D10E3C">
        <w:rPr>
          <w:rStyle w:val="libFootnotenumChar"/>
          <w:rtl/>
        </w:rPr>
        <w:t>(10)</w:t>
      </w:r>
      <w:r>
        <w:rPr>
          <w:rtl/>
          <w:lang w:bidi="fa-IR"/>
        </w:rPr>
        <w:t xml:space="preserve"> زَوْجِهَا بِغَيْرِ إِذْنِهِ؟</w:t>
      </w:r>
    </w:p>
    <w:p w:rsidR="00144FA6" w:rsidRDefault="00744A1C" w:rsidP="00744A1C">
      <w:pPr>
        <w:pStyle w:val="libNormal"/>
        <w:rPr>
          <w:rtl/>
          <w:lang w:bidi="fa-IR"/>
        </w:rPr>
      </w:pPr>
      <w:r>
        <w:rPr>
          <w:rtl/>
          <w:lang w:bidi="fa-IR"/>
        </w:rPr>
        <w:t xml:space="preserve">قَالَ : « الْمَأْدُومُ </w:t>
      </w:r>
      <w:r w:rsidRPr="00D10E3C">
        <w:rPr>
          <w:rStyle w:val="libFootnotenumChar"/>
          <w:rtl/>
        </w:rPr>
        <w:t>(11)</w:t>
      </w:r>
      <w:r>
        <w:rPr>
          <w:rtl/>
          <w:lang w:bidi="fa-IR"/>
        </w:rPr>
        <w:t xml:space="preserve"> ». </w:t>
      </w:r>
      <w:r w:rsidRPr="00D10E3C">
        <w:rPr>
          <w:rStyle w:val="libFootnotenumChar"/>
          <w:rtl/>
        </w:rPr>
        <w:t>(12)</w:t>
      </w:r>
    </w:p>
    <w:p w:rsidR="00744A1C" w:rsidRDefault="00744A1C" w:rsidP="00F603CE">
      <w:pPr>
        <w:pStyle w:val="Heading2Center"/>
        <w:rPr>
          <w:lang w:bidi="fa-IR"/>
        </w:rPr>
      </w:pPr>
      <w:bookmarkStart w:id="172" w:name="_Toc49261470"/>
      <w:r>
        <w:rPr>
          <w:rtl/>
          <w:lang w:bidi="fa-IR"/>
        </w:rPr>
        <w:t xml:space="preserve">49 - بَابُ اللُّقَطَةِ </w:t>
      </w:r>
      <w:r w:rsidRPr="00D10E3C">
        <w:rPr>
          <w:rStyle w:val="libFootnotenumChar"/>
          <w:rtl/>
        </w:rPr>
        <w:t>(13)</w:t>
      </w:r>
      <w:r>
        <w:rPr>
          <w:rtl/>
          <w:lang w:bidi="fa-IR"/>
        </w:rPr>
        <w:t xml:space="preserve"> وَالضَّالَّةِ‌</w:t>
      </w:r>
      <w:bookmarkEnd w:id="172"/>
    </w:p>
    <w:p w:rsidR="00744A1C" w:rsidRDefault="00744A1C" w:rsidP="00744A1C">
      <w:pPr>
        <w:pStyle w:val="libNormal"/>
        <w:rPr>
          <w:lang w:bidi="fa-IR"/>
        </w:rPr>
      </w:pPr>
      <w:r>
        <w:rPr>
          <w:rtl/>
          <w:lang w:bidi="fa-IR"/>
        </w:rPr>
        <w:t>8631 / 1. الْحُسَيْنُ بْنُ مُحَمَّدٍ ، عَنْ مُعَلَّى بْنِ مُحَمَّدٍ ؛</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F603CE" w:rsidTr="00F603CE">
        <w:tc>
          <w:tcPr>
            <w:tcW w:w="4006" w:type="dxa"/>
          </w:tcPr>
          <w:p w:rsidR="00F603CE" w:rsidRDefault="00F603CE" w:rsidP="00D10E3C">
            <w:pPr>
              <w:pStyle w:val="libFootnote0"/>
              <w:rPr>
                <w:rtl/>
                <w:lang w:bidi="fa-IR"/>
              </w:rPr>
            </w:pPr>
            <w:r>
              <w:rPr>
                <w:rtl/>
                <w:lang w:bidi="fa-IR"/>
              </w:rPr>
              <w:t>(1). في « بف » : - « قد ».</w:t>
            </w:r>
          </w:p>
        </w:tc>
        <w:tc>
          <w:tcPr>
            <w:tcW w:w="4006" w:type="dxa"/>
          </w:tcPr>
          <w:p w:rsidR="00F603CE" w:rsidRDefault="00F603CE" w:rsidP="00D10E3C">
            <w:pPr>
              <w:pStyle w:val="libFootnote0"/>
              <w:rPr>
                <w:rtl/>
                <w:lang w:bidi="fa-IR"/>
              </w:rPr>
            </w:pPr>
            <w:r>
              <w:rPr>
                <w:rtl/>
                <w:lang w:bidi="fa-IR"/>
              </w:rPr>
              <w:t>(2). في</w:t>
            </w:r>
            <w:r w:rsidRPr="00F603CE">
              <w:rPr>
                <w:rtl/>
              </w:rPr>
              <w:t xml:space="preserve"> التهذيب</w:t>
            </w:r>
            <w:r>
              <w:rPr>
                <w:rtl/>
                <w:lang w:bidi="fa-IR"/>
              </w:rPr>
              <w:t xml:space="preserve"> : « أوصت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قد أفضت بذلك إليك : سلّمت أمره إليك ».</w:t>
      </w:r>
    </w:p>
    <w:tbl>
      <w:tblPr>
        <w:tblStyle w:val="TableGrid"/>
        <w:bidiVisual/>
        <w:tblW w:w="0" w:type="auto"/>
        <w:tblLook w:val="04A0" w:firstRow="1" w:lastRow="0" w:firstColumn="1" w:lastColumn="0" w:noHBand="0" w:noVBand="1"/>
      </w:tblPr>
      <w:tblGrid>
        <w:gridCol w:w="4006"/>
        <w:gridCol w:w="4006"/>
      </w:tblGrid>
      <w:tr w:rsidR="00E27B70" w:rsidTr="00E27B70">
        <w:tc>
          <w:tcPr>
            <w:tcW w:w="4006" w:type="dxa"/>
          </w:tcPr>
          <w:p w:rsidR="00E27B70" w:rsidRDefault="00E27B70" w:rsidP="00E378DD">
            <w:pPr>
              <w:pStyle w:val="libFootnote0"/>
              <w:rPr>
                <w:rtl/>
                <w:lang w:bidi="fa-IR"/>
              </w:rPr>
            </w:pPr>
            <w:r>
              <w:rPr>
                <w:rtl/>
                <w:lang w:bidi="fa-IR"/>
              </w:rPr>
              <w:t xml:space="preserve">(4). في « بخ ، بف » </w:t>
            </w:r>
            <w:r w:rsidRPr="00E27B70">
              <w:rPr>
                <w:rtl/>
              </w:rPr>
              <w:t>والوافي</w:t>
            </w:r>
            <w:r>
              <w:rPr>
                <w:rtl/>
                <w:lang w:bidi="fa-IR"/>
              </w:rPr>
              <w:t xml:space="preserve"> : + « لك ».</w:t>
            </w:r>
          </w:p>
        </w:tc>
        <w:tc>
          <w:tcPr>
            <w:tcW w:w="4006" w:type="dxa"/>
          </w:tcPr>
          <w:p w:rsidR="00E27B70" w:rsidRDefault="00E27B70" w:rsidP="00E378DD">
            <w:pPr>
              <w:pStyle w:val="libFootnote0"/>
              <w:rPr>
                <w:rtl/>
                <w:lang w:bidi="fa-IR"/>
              </w:rPr>
            </w:pPr>
            <w:r>
              <w:rPr>
                <w:rtl/>
                <w:lang w:bidi="fa-IR"/>
              </w:rPr>
              <w:t>(5). في حاشية « جن » : « لك ».</w:t>
            </w:r>
          </w:p>
        </w:tc>
      </w:tr>
      <w:tr w:rsidR="00E27B70" w:rsidTr="00E27B70">
        <w:tc>
          <w:tcPr>
            <w:tcW w:w="4006" w:type="dxa"/>
          </w:tcPr>
          <w:p w:rsidR="00E27B70" w:rsidRDefault="00E27B70" w:rsidP="00E378DD">
            <w:pPr>
              <w:pStyle w:val="libFootnote0"/>
              <w:rPr>
                <w:rtl/>
                <w:lang w:bidi="fa-IR"/>
              </w:rPr>
            </w:pPr>
            <w:r>
              <w:rPr>
                <w:rtl/>
                <w:lang w:bidi="fa-IR"/>
              </w:rPr>
              <w:t>(6). في « جن » : - « ثمّ ».</w:t>
            </w:r>
          </w:p>
        </w:tc>
        <w:tc>
          <w:tcPr>
            <w:tcW w:w="4006" w:type="dxa"/>
          </w:tcPr>
          <w:p w:rsidR="00E27B70" w:rsidRDefault="00E27B70" w:rsidP="00E378DD">
            <w:pPr>
              <w:pStyle w:val="libFootnote0"/>
              <w:rPr>
                <w:rtl/>
                <w:lang w:bidi="fa-IR"/>
              </w:rPr>
            </w:pPr>
            <w:r>
              <w:rPr>
                <w:rtl/>
                <w:lang w:bidi="fa-IR"/>
              </w:rPr>
              <w:t>(7). النساء (4) : 4.</w:t>
            </w:r>
          </w:p>
        </w:tc>
      </w:tr>
    </w:tbl>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346 ، ح 971 ، معلّقاً عن الحسين بن سعيد. </w:t>
      </w:r>
      <w:r w:rsidR="00744A1C" w:rsidRPr="00A914B5">
        <w:rPr>
          <w:rStyle w:val="libFootnoteBoldChar"/>
          <w:rtl/>
        </w:rPr>
        <w:t>تفسير العيّاشي</w:t>
      </w:r>
      <w:r w:rsidR="00744A1C">
        <w:rPr>
          <w:rtl/>
          <w:lang w:bidi="fa-IR"/>
        </w:rPr>
        <w:t xml:space="preserve"> ، ج 1 ، ص 219 ، ح 17 ، عن سعيد بن يسار </w:t>
      </w:r>
      <w:r w:rsidR="0098463E">
        <w:rPr>
          <w:rFonts w:hint="cs"/>
          <w:rtl/>
          <w:lang w:bidi="fa-IR"/>
        </w:rPr>
        <w:t>.</w:t>
      </w:r>
      <w:r w:rsidR="00744A1C" w:rsidRPr="00C24F9C">
        <w:rPr>
          <w:rStyle w:val="libFootnoteBoldChar"/>
          <w:rtl/>
        </w:rPr>
        <w:t>الوافي</w:t>
      </w:r>
      <w:r w:rsidR="00744A1C">
        <w:rPr>
          <w:rtl/>
          <w:lang w:bidi="fa-IR"/>
        </w:rPr>
        <w:t xml:space="preserve"> ، ج 17 ، ص 327 ، ح 17358 ؛ </w:t>
      </w:r>
      <w:r w:rsidR="00744A1C" w:rsidRPr="00C24F9C">
        <w:rPr>
          <w:rStyle w:val="libFootnoteBoldChar"/>
          <w:rtl/>
        </w:rPr>
        <w:t>الوسائل</w:t>
      </w:r>
      <w:r w:rsidR="00744A1C">
        <w:rPr>
          <w:rtl/>
          <w:lang w:bidi="fa-IR"/>
        </w:rPr>
        <w:t xml:space="preserve"> ، ج 17 ، ص 268 ، ح 22491.</w:t>
      </w:r>
    </w:p>
    <w:p w:rsidR="00744A1C" w:rsidRDefault="00E378DD" w:rsidP="00E378DD">
      <w:pPr>
        <w:pStyle w:val="libFootnote0"/>
        <w:rPr>
          <w:lang w:bidi="fa-IR"/>
        </w:rPr>
      </w:pPr>
      <w:r>
        <w:rPr>
          <w:rtl/>
          <w:lang w:bidi="fa-IR"/>
        </w:rPr>
        <w:t>(9).</w:t>
      </w:r>
      <w:r w:rsidR="00744A1C">
        <w:rPr>
          <w:rtl/>
          <w:lang w:bidi="fa-IR"/>
        </w:rPr>
        <w:t xml:space="preserve"> في « بخ ، بف » : « أن يتصدّق ». وفي « جن » : « أن تصدّق ».</w:t>
      </w:r>
    </w:p>
    <w:p w:rsidR="00744A1C" w:rsidRDefault="00E378DD" w:rsidP="00E378DD">
      <w:pPr>
        <w:pStyle w:val="libFootnote0"/>
        <w:rPr>
          <w:lang w:bidi="fa-IR"/>
        </w:rPr>
      </w:pPr>
      <w:r>
        <w:rPr>
          <w:rtl/>
          <w:lang w:bidi="fa-IR"/>
        </w:rPr>
        <w:t>(10).</w:t>
      </w:r>
      <w:r w:rsidR="00744A1C">
        <w:rPr>
          <w:rtl/>
          <w:lang w:bidi="fa-IR"/>
        </w:rPr>
        <w:t xml:space="preserve"> في « ط ، بخ ، بف ، جت » وحاشية « بح » </w:t>
      </w:r>
      <w:r w:rsidR="00744A1C" w:rsidRPr="0098463E">
        <w:rPr>
          <w:rtl/>
        </w:rPr>
        <w:t>والوافي والتهذيب</w:t>
      </w:r>
      <w:r w:rsidR="00744A1C">
        <w:rPr>
          <w:rtl/>
          <w:lang w:bidi="fa-IR"/>
        </w:rPr>
        <w:t xml:space="preserve"> : « مال ».</w:t>
      </w:r>
    </w:p>
    <w:p w:rsidR="00744A1C" w:rsidRDefault="00E378DD" w:rsidP="00E378DD">
      <w:pPr>
        <w:pStyle w:val="libFootnote0"/>
        <w:rPr>
          <w:lang w:bidi="fa-IR"/>
        </w:rPr>
      </w:pPr>
      <w:r>
        <w:rPr>
          <w:rtl/>
          <w:lang w:bidi="fa-IR"/>
        </w:rPr>
        <w:t>(11).</w:t>
      </w:r>
      <w:r w:rsidR="00744A1C">
        <w:rPr>
          <w:rtl/>
          <w:lang w:bidi="fa-IR"/>
        </w:rPr>
        <w:t xml:space="preserve"> « المأدوم » : الخبر المخلوط بالإدام ، وهو ما يؤكل مع الخبر ، مثل اللحم والخلّ والدهن. راجع : </w:t>
      </w:r>
      <w:r w:rsidR="00744A1C" w:rsidRPr="00877682">
        <w:rPr>
          <w:rStyle w:val="libFootnoteBoldChar"/>
          <w:rtl/>
        </w:rPr>
        <w:t>لسان العرب</w:t>
      </w:r>
      <w:r w:rsidR="00744A1C">
        <w:rPr>
          <w:rtl/>
          <w:lang w:bidi="fa-IR"/>
        </w:rPr>
        <w:t xml:space="preserve"> ، ج 9 ، ص 12 ( أدم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346 ، ح 973 ، معلّقاً عن أحمد بن محمّد. </w:t>
      </w:r>
      <w:r w:rsidR="00744A1C" w:rsidRPr="00877682">
        <w:rPr>
          <w:rStyle w:val="libFootnoteBoldChar"/>
          <w:rtl/>
        </w:rPr>
        <w:t>قرب الإسناد</w:t>
      </w:r>
      <w:r w:rsidR="00744A1C">
        <w:rPr>
          <w:rtl/>
          <w:lang w:bidi="fa-IR"/>
        </w:rPr>
        <w:t xml:space="preserve"> ، ص 172 ، ح 633 ، بسنده عن عبد الله بن بكير.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255 ، مع اختلاف يسير. راجع : </w:t>
      </w:r>
      <w:r w:rsidR="00744A1C" w:rsidRPr="0061079A">
        <w:rPr>
          <w:rStyle w:val="libFootnoteBoldChar"/>
          <w:rtl/>
        </w:rPr>
        <w:t>الكافي</w:t>
      </w:r>
      <w:r w:rsidR="00744A1C">
        <w:rPr>
          <w:rtl/>
          <w:lang w:bidi="fa-IR"/>
        </w:rPr>
        <w:t xml:space="preserve"> ، كتاب الأطعمة ، باب أكل الرجل في منزل أخيه بغير إذنه ، ح 11598 ؛ </w:t>
      </w:r>
      <w:r w:rsidR="00744A1C" w:rsidRPr="0061079A">
        <w:rPr>
          <w:rStyle w:val="libFootnoteBoldChar"/>
          <w:rtl/>
        </w:rPr>
        <w:t>والتهذيب</w:t>
      </w:r>
      <w:r w:rsidR="00744A1C">
        <w:rPr>
          <w:rtl/>
          <w:lang w:bidi="fa-IR"/>
        </w:rPr>
        <w:t xml:space="preserve"> ، ج 9 ، ص 96 ، ح 417 ؛ و</w:t>
      </w:r>
      <w:r w:rsidR="00744A1C" w:rsidRPr="003A7143">
        <w:rPr>
          <w:rStyle w:val="libFootnoteBoldChar"/>
          <w:rtl/>
        </w:rPr>
        <w:t>المحاسن</w:t>
      </w:r>
      <w:r w:rsidR="00744A1C">
        <w:rPr>
          <w:rtl/>
          <w:lang w:bidi="fa-IR"/>
        </w:rPr>
        <w:t xml:space="preserve"> ، ص 416 ، كتاب المآكل ، ح 174 </w:t>
      </w:r>
      <w:r w:rsidR="0098463E">
        <w:rPr>
          <w:rFonts w:hint="cs"/>
          <w:rtl/>
          <w:lang w:bidi="fa-IR"/>
        </w:rPr>
        <w:t>.</w:t>
      </w:r>
      <w:r w:rsidR="00744A1C" w:rsidRPr="00C24F9C">
        <w:rPr>
          <w:rStyle w:val="libFootnoteBoldChar"/>
          <w:rtl/>
        </w:rPr>
        <w:t>الوافي</w:t>
      </w:r>
      <w:r w:rsidR="00744A1C">
        <w:rPr>
          <w:rtl/>
          <w:lang w:bidi="fa-IR"/>
        </w:rPr>
        <w:t xml:space="preserve"> ، ج 17 ، ص 328 ، ح 17359 ؛ </w:t>
      </w:r>
      <w:r w:rsidR="00744A1C" w:rsidRPr="00C24F9C">
        <w:rPr>
          <w:rStyle w:val="libFootnoteBoldChar"/>
          <w:rtl/>
        </w:rPr>
        <w:t>الوسائل</w:t>
      </w:r>
      <w:r w:rsidR="00744A1C">
        <w:rPr>
          <w:rtl/>
          <w:lang w:bidi="fa-IR"/>
        </w:rPr>
        <w:t xml:space="preserve"> ، ج 17 ، ص 270 ، ذيل ح 22496.</w:t>
      </w:r>
    </w:p>
    <w:p w:rsidR="00144FA6" w:rsidRDefault="00E378DD" w:rsidP="00E378DD">
      <w:pPr>
        <w:pStyle w:val="libFootnote0"/>
        <w:rPr>
          <w:rtl/>
          <w:lang w:bidi="fa-IR"/>
        </w:rPr>
      </w:pPr>
      <w:r>
        <w:rPr>
          <w:rtl/>
          <w:lang w:bidi="fa-IR"/>
        </w:rPr>
        <w:t>(13).</w:t>
      </w:r>
      <w:r w:rsidR="00744A1C">
        <w:rPr>
          <w:rtl/>
          <w:lang w:bidi="fa-IR"/>
        </w:rPr>
        <w:t xml:space="preserve"> قال ابن الأثير : « اللقطة بضمّ اللام وفتح القاف : اسم المال الملقوط ، أي الموجود ، والالتقاط : أن يعثر</w:t>
      </w:r>
      <w:r w:rsidR="0098463E">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A97F2F" w:rsidP="00744A1C">
      <w:pPr>
        <w:pStyle w:val="libNormal"/>
        <w:rPr>
          <w:rtl/>
          <w:lang w:bidi="fa-IR"/>
        </w:rPr>
      </w:pPr>
      <w:r>
        <w:rPr>
          <w:rFonts w:hint="cs"/>
          <w:rtl/>
          <w:lang w:bidi="fa-IR"/>
        </w:rPr>
        <w:t xml:space="preserve">                 </w:t>
      </w:r>
      <w:r w:rsidR="00744A1C">
        <w:rPr>
          <w:rtl/>
          <w:lang w:bidi="fa-IR"/>
        </w:rPr>
        <w:t>وَ</w:t>
      </w:r>
      <w:r>
        <w:rPr>
          <w:rFonts w:hint="cs"/>
          <w:rtl/>
          <w:lang w:bidi="fa-IR"/>
        </w:rPr>
        <w:t xml:space="preserve"> </w:t>
      </w:r>
      <w:r w:rsidR="00744A1C">
        <w:rPr>
          <w:rtl/>
          <w:lang w:bidi="fa-IR"/>
        </w:rPr>
        <w:t xml:space="preserve">عَلِيِّ بْنِ مُحَمَّدٍ </w:t>
      </w:r>
      <w:r w:rsidR="00744A1C" w:rsidRPr="00D10E3C">
        <w:rPr>
          <w:rStyle w:val="libFootnotenumChar"/>
          <w:rtl/>
        </w:rPr>
        <w:t>(1)</w:t>
      </w:r>
      <w:r w:rsidR="00744A1C">
        <w:rPr>
          <w:rtl/>
          <w:lang w:bidi="fa-IR"/>
        </w:rPr>
        <w:t xml:space="preserve"> ، عَنْ صَالِحِ بْنِ أَبِي حَمَّادٍ جَمِيعاً ، عَنِ الْوَشَّاءِ ، عَنْ أَحْمَدَ بْنِ عَائِذٍ ، عَنْ أَبِي خَدِيجَةَ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 النَّاسُ فِي الزَّمَنِ الْأَوَّلِ إِذَا وَجَدُوا شَيْئاً فَأَخَذُوهُ ، احْتَبَسَ </w:t>
      </w:r>
      <w:r w:rsidRPr="00D10E3C">
        <w:rPr>
          <w:rStyle w:val="libFootnotenumChar"/>
          <w:rtl/>
        </w:rPr>
        <w:t>(2)</w:t>
      </w:r>
      <w:r>
        <w:rPr>
          <w:rtl/>
          <w:lang w:bidi="fa-IR"/>
        </w:rPr>
        <w:t xml:space="preserve"> ، فَلَمْ يَسْتَطِعْ أَنْ يَخْطُوَ </w:t>
      </w:r>
      <w:r w:rsidRPr="00D10E3C">
        <w:rPr>
          <w:rStyle w:val="libFootnotenumChar"/>
          <w:rtl/>
        </w:rPr>
        <w:t>(3)</w:t>
      </w:r>
      <w:r>
        <w:rPr>
          <w:rtl/>
          <w:lang w:bidi="fa-IR"/>
        </w:rPr>
        <w:t xml:space="preserve"> حَتّى يَرْمِيَ بِهِ ، فَيَجِي‌ءَ طَالِبُهُ </w:t>
      </w:r>
      <w:r w:rsidRPr="00D10E3C">
        <w:rPr>
          <w:rStyle w:val="libFootnotenumChar"/>
          <w:rtl/>
        </w:rPr>
        <w:t>(4)</w:t>
      </w:r>
      <w:r>
        <w:rPr>
          <w:rtl/>
          <w:lang w:bidi="fa-IR"/>
        </w:rPr>
        <w:t xml:space="preserve"> مِنْ بَعْدِهِ ، فَيَأْخُذَهُ ؛ وَإِنَّ النَّاسَ قَدِ اجْتَرَؤُوا عَلى مَا هُوَ أَكْثَرُ </w:t>
      </w:r>
      <w:r w:rsidRPr="00D10E3C">
        <w:rPr>
          <w:rStyle w:val="libFootnotenumChar"/>
          <w:rtl/>
        </w:rPr>
        <w:t>(5)</w:t>
      </w:r>
      <w:r>
        <w:rPr>
          <w:rtl/>
          <w:lang w:bidi="fa-IR"/>
        </w:rPr>
        <w:t xml:space="preserve"> مِنْ ذلِكَ ، وَسَيَعُودُ </w:t>
      </w:r>
      <w:r w:rsidRPr="00D10E3C">
        <w:rPr>
          <w:rStyle w:val="libFootnotenumChar"/>
          <w:rtl/>
        </w:rPr>
        <w:t>(6)</w:t>
      </w:r>
    </w:p>
    <w:p w:rsidR="00744A1C" w:rsidRDefault="00744A1C" w:rsidP="00D10E3C">
      <w:pPr>
        <w:pStyle w:val="libLine"/>
        <w:rPr>
          <w:lang w:bidi="fa-IR"/>
        </w:rPr>
      </w:pPr>
      <w:r>
        <w:rPr>
          <w:rtl/>
          <w:lang w:bidi="fa-IR"/>
        </w:rPr>
        <w:t>____________________</w:t>
      </w:r>
    </w:p>
    <w:p w:rsidR="00744A1C" w:rsidRDefault="00A97F2F" w:rsidP="00D10E3C">
      <w:pPr>
        <w:pStyle w:val="libFootnote0"/>
        <w:rPr>
          <w:lang w:bidi="fa-IR"/>
        </w:rPr>
      </w:pPr>
      <w:r>
        <w:rPr>
          <w:rFonts w:hint="cs"/>
          <w:rtl/>
          <w:lang w:bidi="fa-IR"/>
        </w:rPr>
        <w:t xml:space="preserve">= </w:t>
      </w:r>
      <w:r w:rsidR="00744A1C">
        <w:rPr>
          <w:rtl/>
          <w:lang w:bidi="fa-IR"/>
        </w:rPr>
        <w:t xml:space="preserve">على الشي‌ء من غير قصد وطلب ». وقال الفيّومي : « قال الأزهري : اللقطة ، بفتح القاف : اسم الشي‌ء الذي تجده ملقى فتأخذه ، قال : وهذا قول جميع أهل اللغة وحذّاق النحويّين ». </w:t>
      </w:r>
      <w:r w:rsidR="00744A1C" w:rsidRPr="00877682">
        <w:rPr>
          <w:rStyle w:val="libFootnoteBoldChar"/>
          <w:rtl/>
        </w:rPr>
        <w:t>النهاية</w:t>
      </w:r>
      <w:r w:rsidR="00744A1C">
        <w:rPr>
          <w:rtl/>
          <w:lang w:bidi="fa-IR"/>
        </w:rPr>
        <w:t xml:space="preserve"> ، ج 4 ، ص 264 ؛ </w:t>
      </w:r>
      <w:r w:rsidR="00744A1C" w:rsidRPr="00E978C3">
        <w:rPr>
          <w:rStyle w:val="libFootnoteBoldChar"/>
          <w:rtl/>
        </w:rPr>
        <w:t>المصباح المنير</w:t>
      </w:r>
      <w:r w:rsidR="00744A1C">
        <w:rPr>
          <w:rtl/>
          <w:lang w:bidi="fa-IR"/>
        </w:rPr>
        <w:t xml:space="preserve"> ، ص 557 ( لقط ).</w:t>
      </w:r>
    </w:p>
    <w:p w:rsidR="00E7267D" w:rsidRDefault="00D10E3C" w:rsidP="00E7267D">
      <w:pPr>
        <w:pStyle w:val="libFootnote0"/>
        <w:rPr>
          <w:rtl/>
          <w:lang w:bidi="fa-IR"/>
        </w:rPr>
      </w:pPr>
      <w:r>
        <w:rPr>
          <w:rtl/>
          <w:lang w:bidi="fa-IR"/>
        </w:rPr>
        <w:t>(1).</w:t>
      </w:r>
      <w:r w:rsidR="00744A1C">
        <w:rPr>
          <w:rtl/>
          <w:lang w:bidi="fa-IR"/>
        </w:rPr>
        <w:t xml:space="preserve"> هكذا في « ط ، بح ، بخ ، بس ، بف ، جت ، جد ، جن » </w:t>
      </w:r>
      <w:r w:rsidR="00744A1C" w:rsidRPr="00E7267D">
        <w:rPr>
          <w:rtl/>
        </w:rPr>
        <w:t>والوسائل. وفي</w:t>
      </w:r>
      <w:r w:rsidR="00744A1C">
        <w:rPr>
          <w:rtl/>
          <w:lang w:bidi="fa-IR"/>
        </w:rPr>
        <w:t xml:space="preserve"> « ى » : + « القاساني ».وفي المطبوع : + « القاشاني ».</w:t>
      </w:r>
    </w:p>
    <w:p w:rsidR="00744A1C" w:rsidRDefault="00744A1C" w:rsidP="00E7267D">
      <w:pPr>
        <w:pStyle w:val="libFootnote0"/>
        <w:rPr>
          <w:lang w:bidi="fa-IR"/>
        </w:rPr>
      </w:pPr>
      <w:r>
        <w:rPr>
          <w:rtl/>
          <w:lang w:bidi="fa-IR"/>
        </w:rPr>
        <w:t xml:space="preserve">والصواب ما أثبتناه ؛ فقد روى الكليني عن عليّ بن محمّد [ الكليني ] عن صالح بن أبي حمّاد في أسنادٍ عديدة ، وليس عليّ بن محمّد القاساني من مشايخه بل يروي عنه بتوسّط عليّ بن إبراهيم. راجع : </w:t>
      </w:r>
      <w:r w:rsidRPr="0061079A">
        <w:rPr>
          <w:rStyle w:val="libFootnoteBoldChar"/>
          <w:rtl/>
        </w:rPr>
        <w:t>معجم رجال الحديث</w:t>
      </w:r>
      <w:r>
        <w:rPr>
          <w:rtl/>
          <w:lang w:bidi="fa-IR"/>
        </w:rPr>
        <w:t xml:space="preserve"> ، ج 11 ، ص 447 - 478 ؛ ج 12 ، ص 175 وص 321 - 322.</w:t>
      </w:r>
    </w:p>
    <w:p w:rsidR="00744A1C" w:rsidRDefault="00E378DD" w:rsidP="00E378DD">
      <w:pPr>
        <w:pStyle w:val="libFootnote0"/>
        <w:rPr>
          <w:lang w:bidi="fa-IR"/>
        </w:rPr>
      </w:pPr>
      <w:r>
        <w:rPr>
          <w:rtl/>
          <w:lang w:bidi="fa-IR"/>
        </w:rPr>
        <w:t>(2).</w:t>
      </w:r>
      <w:r w:rsidR="00744A1C">
        <w:rPr>
          <w:rtl/>
          <w:lang w:bidi="fa-IR"/>
        </w:rPr>
        <w:t xml:space="preserve"> في « ى » : + « في ذلك المكان ». وفي </w:t>
      </w:r>
      <w:r w:rsidR="00744A1C" w:rsidRPr="00C24F9C">
        <w:rPr>
          <w:rStyle w:val="libFootnoteBoldChar"/>
          <w:rtl/>
        </w:rPr>
        <w:t>الوسائل</w:t>
      </w:r>
      <w:r w:rsidR="00744A1C">
        <w:rPr>
          <w:rtl/>
          <w:lang w:bidi="fa-IR"/>
        </w:rPr>
        <w:t xml:space="preserve"> : « احتسبوا ».</w:t>
      </w:r>
    </w:p>
    <w:p w:rsidR="00744A1C" w:rsidRDefault="00E378DD" w:rsidP="00E378DD">
      <w:pPr>
        <w:pStyle w:val="libFootnote0"/>
        <w:rPr>
          <w:lang w:bidi="fa-IR"/>
        </w:rPr>
      </w:pPr>
      <w:r>
        <w:rPr>
          <w:rtl/>
          <w:lang w:bidi="fa-IR"/>
        </w:rPr>
        <w:t>(3).</w:t>
      </w:r>
      <w:r w:rsidR="00744A1C">
        <w:rPr>
          <w:rtl/>
          <w:lang w:bidi="fa-IR"/>
        </w:rPr>
        <w:t xml:space="preserve"> في هامش المطبوع : « كذا ، أي احتبس الآخذ في مكانه ولم يقدر أن يخطو ؛ ليتجاوز من المكان الذي احتبس فيه حتّى يرمي به ، فإذا رمى به صار قادراً على الخطوة والتجاوز ». وقال المحقّق الشعراني في هامش </w:t>
      </w:r>
      <w:r w:rsidR="00744A1C" w:rsidRPr="00C24F9C">
        <w:rPr>
          <w:rStyle w:val="libFootnoteBoldChar"/>
          <w:rtl/>
        </w:rPr>
        <w:t>الوافي</w:t>
      </w:r>
      <w:r w:rsidR="00744A1C">
        <w:rPr>
          <w:rtl/>
          <w:lang w:bidi="fa-IR"/>
        </w:rPr>
        <w:t xml:space="preserve"> : « قوله : فلم يستطع أن يخطو ؛ يعني كان شدّة تمسّكهم بالدين وحرصهم على أداء أموال الناس وحقوقهم إليهم بحيث لم يتجرّؤوا أن يتحرّكوا عن مقامهم دون أن يصل المال إلى صاحبه ، وضعفوا بعد ذلك فاجترؤوا على مخالفة التكاليف. وقال صاحب الجواهر ما حاصله أنّ الملتقط ضامن بعد الالتقاط فلا يجوز له الرمي ، وأرى أنّ هذا حكاية حال الناس قبل الإسلام في بعض الا</w:t>
      </w:r>
      <w:r w:rsidR="00850CFE">
        <w:rPr>
          <w:rFonts w:hint="cs"/>
          <w:rtl/>
          <w:lang w:bidi="fa-IR"/>
        </w:rPr>
        <w:t>ُ</w:t>
      </w:r>
      <w:r w:rsidR="00744A1C">
        <w:rPr>
          <w:rtl/>
          <w:lang w:bidi="fa-IR"/>
        </w:rPr>
        <w:t>مم.</w:t>
      </w:r>
    </w:p>
    <w:p w:rsidR="00744A1C" w:rsidRDefault="00744A1C" w:rsidP="00D10E3C">
      <w:pPr>
        <w:pStyle w:val="libFootnote0"/>
        <w:rPr>
          <w:lang w:bidi="fa-IR"/>
        </w:rPr>
      </w:pPr>
      <w:r>
        <w:rPr>
          <w:rtl/>
          <w:lang w:bidi="fa-IR"/>
        </w:rPr>
        <w:t>ولا يبعد أن يلتزم بأنّ العادة إذا قضت في بعض البلاد وبعض الأزمنة بأن لا يؤخذ اللقطة أصلاً حتّى يجي‌ء صاحبها ويأخذها ، يجوز للملتقط رميها بعد الأخذ ؛ لأنّ الغرض من التعريف إيصالها إلى صاحبها ، وهذا أقوى في الإيصال. وأمّا في مثل هذه الأزمنة</w:t>
      </w:r>
      <w:r w:rsidR="00850CFE">
        <w:rPr>
          <w:rtl/>
          <w:lang w:bidi="fa-IR"/>
        </w:rPr>
        <w:t xml:space="preserve"> التي غلبت الخيانة ، فالأفضل لل</w:t>
      </w:r>
      <w:r>
        <w:rPr>
          <w:rtl/>
          <w:lang w:bidi="fa-IR"/>
        </w:rPr>
        <w:t>ا</w:t>
      </w:r>
      <w:r w:rsidR="00850CFE">
        <w:rPr>
          <w:rFonts w:hint="cs"/>
          <w:rtl/>
          <w:lang w:bidi="fa-IR"/>
        </w:rPr>
        <w:t>ُ</w:t>
      </w:r>
      <w:r>
        <w:rPr>
          <w:rtl/>
          <w:lang w:bidi="fa-IR"/>
        </w:rPr>
        <w:t xml:space="preserve">مناء التقاط اللقطات للحفظ والتعريف ، وهو إحسان إلى مالكها. وسيأتي حديث أخذ الباقر </w:t>
      </w:r>
      <w:r w:rsidR="0061079A" w:rsidRPr="0061079A">
        <w:rPr>
          <w:rStyle w:val="libFootnoteAlaemChar"/>
          <w:rtl/>
        </w:rPr>
        <w:t>عليه‌السلام</w:t>
      </w:r>
      <w:r w:rsidR="00D10E3C">
        <w:rPr>
          <w:rtl/>
          <w:lang w:bidi="fa-IR"/>
        </w:rPr>
        <w:t xml:space="preserve"> </w:t>
      </w:r>
      <w:r>
        <w:rPr>
          <w:rtl/>
          <w:lang w:bidi="fa-IR"/>
        </w:rPr>
        <w:t xml:space="preserve">خاتماً من السيل ، ولو كان أخذه مكروهاً لم يكن أخذه </w:t>
      </w:r>
      <w:r w:rsidR="0061079A" w:rsidRPr="0061079A">
        <w:rPr>
          <w:rStyle w:val="libFootnoteAlaemChar"/>
          <w:rtl/>
        </w:rPr>
        <w:t>عليه‌السلام</w:t>
      </w:r>
      <w:r w:rsidR="00D10E3C">
        <w:rPr>
          <w:rtl/>
          <w:lang w:bidi="fa-IR"/>
        </w:rPr>
        <w:t xml:space="preserve"> </w:t>
      </w:r>
      <w:r>
        <w:rPr>
          <w:rtl/>
          <w:lang w:bidi="fa-IR"/>
        </w:rPr>
        <w:t xml:space="preserve">». وراجع : </w:t>
      </w:r>
      <w:r w:rsidRPr="00850CFE">
        <w:rPr>
          <w:rStyle w:val="libFootnoteBoldChar"/>
          <w:rtl/>
        </w:rPr>
        <w:t>جواهر الكلام</w:t>
      </w:r>
      <w:r>
        <w:rPr>
          <w:rtl/>
          <w:lang w:bidi="fa-IR"/>
        </w:rPr>
        <w:t xml:space="preserve"> ، ج 38 ، ص 275.</w:t>
      </w:r>
    </w:p>
    <w:tbl>
      <w:tblPr>
        <w:tblStyle w:val="TableGrid"/>
        <w:bidiVisual/>
        <w:tblW w:w="0" w:type="auto"/>
        <w:tblLook w:val="04A0" w:firstRow="1" w:lastRow="0" w:firstColumn="1" w:lastColumn="0" w:noHBand="0" w:noVBand="1"/>
      </w:tblPr>
      <w:tblGrid>
        <w:gridCol w:w="4006"/>
        <w:gridCol w:w="4006"/>
      </w:tblGrid>
      <w:tr w:rsidR="00850CFE" w:rsidTr="00850CFE">
        <w:tc>
          <w:tcPr>
            <w:tcW w:w="4006" w:type="dxa"/>
          </w:tcPr>
          <w:p w:rsidR="00850CFE" w:rsidRDefault="00850CFE" w:rsidP="00E378DD">
            <w:pPr>
              <w:pStyle w:val="libFootnote0"/>
              <w:rPr>
                <w:rtl/>
                <w:lang w:bidi="fa-IR"/>
              </w:rPr>
            </w:pPr>
            <w:r>
              <w:rPr>
                <w:rtl/>
                <w:lang w:bidi="fa-IR"/>
              </w:rPr>
              <w:t>(4). في « بف » وحاشية « بح » : « صاحبه ».</w:t>
            </w:r>
          </w:p>
        </w:tc>
        <w:tc>
          <w:tcPr>
            <w:tcW w:w="4006" w:type="dxa"/>
          </w:tcPr>
          <w:p w:rsidR="00850CFE" w:rsidRDefault="00850CFE" w:rsidP="00E378DD">
            <w:pPr>
              <w:pStyle w:val="libFootnote0"/>
              <w:rPr>
                <w:rtl/>
                <w:lang w:bidi="fa-IR"/>
              </w:rPr>
            </w:pPr>
            <w:r>
              <w:rPr>
                <w:rtl/>
                <w:lang w:bidi="fa-IR"/>
              </w:rPr>
              <w:t xml:space="preserve">(5). في « بخ » </w:t>
            </w:r>
            <w:r w:rsidRPr="00850CFE">
              <w:rPr>
                <w:rtl/>
              </w:rPr>
              <w:t>والوافي :</w:t>
            </w:r>
            <w:r>
              <w:rPr>
                <w:rtl/>
                <w:lang w:bidi="fa-IR"/>
              </w:rPr>
              <w:t xml:space="preserve"> « أكبر ».</w:t>
            </w:r>
          </w:p>
        </w:tc>
      </w:tr>
    </w:tbl>
    <w:p w:rsidR="00744A1C" w:rsidRDefault="00E378DD" w:rsidP="00E378DD">
      <w:pPr>
        <w:pStyle w:val="libFootnote0"/>
        <w:rPr>
          <w:lang w:bidi="fa-IR"/>
        </w:rPr>
      </w:pPr>
      <w:r>
        <w:rPr>
          <w:rtl/>
          <w:lang w:bidi="fa-IR"/>
        </w:rPr>
        <w:t>(6).</w:t>
      </w:r>
      <w:r w:rsidR="00744A1C">
        <w:rPr>
          <w:rtl/>
          <w:lang w:bidi="fa-IR"/>
        </w:rPr>
        <w:t xml:space="preserve"> في « ط » : « فسيعود ». وفي </w:t>
      </w:r>
      <w:r w:rsidR="00744A1C" w:rsidRPr="00877682">
        <w:rPr>
          <w:rStyle w:val="libFootnoteBoldChar"/>
          <w:rtl/>
        </w:rPr>
        <w:t>مرآة العقول</w:t>
      </w:r>
      <w:r w:rsidR="00744A1C">
        <w:rPr>
          <w:rtl/>
          <w:lang w:bidi="fa-IR"/>
        </w:rPr>
        <w:t xml:space="preserve"> ، ج 19 ، ص 108 : « قوله </w:t>
      </w:r>
      <w:r w:rsidR="0061079A" w:rsidRPr="0061079A">
        <w:rPr>
          <w:rStyle w:val="libFootnoteAlaemChar"/>
          <w:rtl/>
        </w:rPr>
        <w:t>عليه‌السلام</w:t>
      </w:r>
      <w:r w:rsidR="00D10E3C">
        <w:rPr>
          <w:rtl/>
          <w:lang w:bidi="fa-IR"/>
        </w:rPr>
        <w:t xml:space="preserve"> </w:t>
      </w:r>
      <w:r w:rsidR="00744A1C">
        <w:rPr>
          <w:rtl/>
          <w:lang w:bidi="fa-IR"/>
        </w:rPr>
        <w:t>: أكثر من ذلك ، أي ل</w:t>
      </w:r>
      <w:r w:rsidR="00850CFE">
        <w:rPr>
          <w:rFonts w:hint="cs"/>
          <w:rtl/>
          <w:lang w:bidi="fa-IR"/>
        </w:rPr>
        <w:t>ـ</w:t>
      </w:r>
      <w:r w:rsidR="00744A1C">
        <w:rPr>
          <w:rtl/>
          <w:lang w:bidi="fa-IR"/>
        </w:rPr>
        <w:t>مّا أخّر الله معاقبتهم إلى الآخرة لشدّة الامتحان ، اجترؤوا على الا</w:t>
      </w:r>
      <w:r w:rsidR="00850CFE">
        <w:rPr>
          <w:rFonts w:hint="cs"/>
          <w:rtl/>
          <w:lang w:bidi="fa-IR"/>
        </w:rPr>
        <w:t>ُ</w:t>
      </w:r>
      <w:r w:rsidR="00744A1C">
        <w:rPr>
          <w:rtl/>
          <w:lang w:bidi="fa-IR"/>
        </w:rPr>
        <w:t xml:space="preserve">مور العظام ، وسيعود ، أي في زمن القائم </w:t>
      </w:r>
      <w:r w:rsidR="0061079A" w:rsidRPr="0061079A">
        <w:rPr>
          <w:rStyle w:val="libFootnoteAlaemChar"/>
          <w:rtl/>
        </w:rPr>
        <w:t>عليه‌السلام</w:t>
      </w:r>
      <w:r w:rsidR="00D10E3C">
        <w:rPr>
          <w:rtl/>
          <w:lang w:bidi="fa-IR"/>
        </w:rPr>
        <w:t xml:space="preserve"> </w:t>
      </w:r>
      <w:r w:rsidR="00744A1C">
        <w:rPr>
          <w:rtl/>
          <w:lang w:bidi="fa-IR"/>
        </w:rPr>
        <w:t>».</w:t>
      </w:r>
    </w:p>
    <w:p w:rsidR="006D42F6" w:rsidRDefault="006D42F6" w:rsidP="00D10E3C">
      <w:pPr>
        <w:pStyle w:val="libNormal"/>
        <w:rPr>
          <w:rtl/>
          <w:lang w:bidi="fa-IR"/>
        </w:rPr>
      </w:pPr>
      <w:r>
        <w:rPr>
          <w:rtl/>
          <w:lang w:bidi="fa-IR"/>
        </w:rPr>
        <w:br w:type="page"/>
      </w:r>
    </w:p>
    <w:p w:rsidR="00144FA6" w:rsidRDefault="00744A1C" w:rsidP="00850CFE">
      <w:pPr>
        <w:pStyle w:val="libNormal0"/>
        <w:rPr>
          <w:rtl/>
          <w:lang w:bidi="fa-IR"/>
        </w:rPr>
      </w:pPr>
      <w:r>
        <w:rPr>
          <w:rtl/>
          <w:lang w:bidi="fa-IR"/>
        </w:rPr>
        <w:t xml:space="preserve">كَمَا كَانَ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8632 / 2. عِدَّةٌ مِنْ أَصْحَابِنَا ، عَنْ سَهْلِ بْنِ زِيَادٍ ، عَنْ أَحْمَدَ بْنِ مُحَمَّدِ بْنِ أَبِي نَصْرٍ ، عَنْ دَاوُدَ بْنِ سِرْحَانَ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أَنَّهُ قَالَ فِي اللُّقَطَةِ : « يُعَرِّفُهَا سَنَةً </w:t>
      </w:r>
      <w:r w:rsidRPr="00D10E3C">
        <w:rPr>
          <w:rStyle w:val="libFootnotenumChar"/>
          <w:rtl/>
        </w:rPr>
        <w:t>(3)</w:t>
      </w:r>
      <w:r>
        <w:rPr>
          <w:rtl/>
          <w:lang w:bidi="fa-IR"/>
        </w:rPr>
        <w:t xml:space="preserve"> ، ثُمَّ هِيَ كَسَائِرِ مَالِهِ </w:t>
      </w:r>
      <w:r w:rsidRPr="00D10E3C">
        <w:rPr>
          <w:rStyle w:val="libFootnotenumChar"/>
          <w:rtl/>
        </w:rPr>
        <w:t>(4)</w:t>
      </w:r>
      <w:r>
        <w:rPr>
          <w:rtl/>
          <w:lang w:bidi="fa-IR"/>
        </w:rPr>
        <w:t xml:space="preserve"> ». </w:t>
      </w:r>
      <w:r w:rsidRPr="00D10E3C">
        <w:rPr>
          <w:rStyle w:val="libFootnotenumChar"/>
          <w:rtl/>
        </w:rPr>
        <w:t>(5)</w:t>
      </w:r>
    </w:p>
    <w:p w:rsidR="00144FA6" w:rsidRDefault="00744A1C" w:rsidP="00744A1C">
      <w:pPr>
        <w:pStyle w:val="libNormal"/>
        <w:rPr>
          <w:rtl/>
          <w:lang w:bidi="fa-IR"/>
        </w:rPr>
      </w:pPr>
      <w:r>
        <w:rPr>
          <w:rtl/>
          <w:lang w:bidi="fa-IR"/>
        </w:rPr>
        <w:t>8633 / 3. عِدَّةٌ مِنْ أَصْحَابِنَا ، عَنْ سَهْلِ بْنِ زِيَادٍ وَأَحْمَدَ بْنِ مُحَمَّدٍ جَمِيعاً ، عَنِ ابْنِ مَحْبُوبٍ ، عَنْ جَمِيلِ بْنِ صَالِحٍ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رَجُلٌ وَجَدَ فِي مَنْزِلِهِ </w:t>
      </w:r>
      <w:r w:rsidRPr="00D10E3C">
        <w:rPr>
          <w:rStyle w:val="libFootnotenumChar"/>
          <w:rtl/>
        </w:rPr>
        <w:t>(6)</w:t>
      </w:r>
      <w:r>
        <w:rPr>
          <w:rtl/>
          <w:lang w:bidi="fa-IR"/>
        </w:rPr>
        <w:t xml:space="preserve"> دِينَاراً.</w:t>
      </w:r>
    </w:p>
    <w:p w:rsidR="00744A1C" w:rsidRDefault="00744A1C" w:rsidP="00744A1C">
      <w:pPr>
        <w:pStyle w:val="libNormal"/>
        <w:rPr>
          <w:lang w:bidi="fa-IR"/>
        </w:rPr>
      </w:pPr>
      <w:r>
        <w:rPr>
          <w:rtl/>
          <w:lang w:bidi="fa-IR"/>
        </w:rPr>
        <w:t xml:space="preserve">قَالَ : « يَدْخُلُ مَنْزِلَهُ غَيْرُهُ؟ » قُلْتُ : نَعَمْ كَثِيرٌ ، قَالَ : « هذَا </w:t>
      </w:r>
      <w:r w:rsidRPr="00D10E3C">
        <w:rPr>
          <w:rStyle w:val="libFootnotenumChar"/>
          <w:rtl/>
        </w:rPr>
        <w:t>(7)</w:t>
      </w:r>
      <w:r>
        <w:rPr>
          <w:rtl/>
          <w:lang w:bidi="fa-IR"/>
        </w:rPr>
        <w:t xml:space="preserve"> لُقَطَةٌ ».</w:t>
      </w:r>
    </w:p>
    <w:p w:rsidR="00744A1C" w:rsidRDefault="00744A1C" w:rsidP="00744A1C">
      <w:pPr>
        <w:pStyle w:val="libNormal"/>
        <w:rPr>
          <w:lang w:bidi="fa-IR"/>
        </w:rPr>
      </w:pPr>
      <w:r>
        <w:rPr>
          <w:rtl/>
          <w:lang w:bidi="fa-IR"/>
        </w:rPr>
        <w:t>قُلْتُ : فَرَجُلٌ وَجَدَ فِي صُنْدُوقِهِ دِينَاراً.</w:t>
      </w:r>
    </w:p>
    <w:p w:rsidR="00144FA6" w:rsidRDefault="00744A1C" w:rsidP="00744A1C">
      <w:pPr>
        <w:pStyle w:val="libNormal"/>
        <w:rPr>
          <w:rtl/>
          <w:lang w:bidi="fa-IR"/>
        </w:rPr>
      </w:pPr>
      <w:r>
        <w:rPr>
          <w:rtl/>
          <w:lang w:bidi="fa-IR"/>
        </w:rPr>
        <w:t xml:space="preserve">قَالَ : « يُدْخِلُ أَحَدٌ يَدَهُ </w:t>
      </w:r>
      <w:r w:rsidRPr="00D10E3C">
        <w:rPr>
          <w:rStyle w:val="libFootnotenumChar"/>
          <w:rtl/>
        </w:rPr>
        <w:t>(8)</w:t>
      </w:r>
      <w:r>
        <w:rPr>
          <w:rtl/>
          <w:lang w:bidi="fa-IR"/>
        </w:rPr>
        <w:t xml:space="preserve"> فِي صُنْدُوقِهِ غَيْرُهُ ، أَوْ يَضَعُ </w:t>
      </w:r>
      <w:r w:rsidRPr="00D10E3C">
        <w:rPr>
          <w:rStyle w:val="libFootnotenumChar"/>
          <w:rtl/>
        </w:rPr>
        <w:t>(9)</w:t>
      </w:r>
      <w:r>
        <w:rPr>
          <w:rtl/>
          <w:lang w:bidi="fa-IR"/>
        </w:rPr>
        <w:t xml:space="preserve"> فِيهِ شَيْئاً؟ » قُلْتُ : لَا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ى » : + « في زمن القائم </w:t>
      </w:r>
      <w:r w:rsidR="0061079A" w:rsidRPr="0061079A">
        <w:rPr>
          <w:rStyle w:val="libFootnoteAlaemChar"/>
          <w:rtl/>
        </w:rPr>
        <w:t>عليه‌السلام</w:t>
      </w:r>
      <w:r>
        <w:rPr>
          <w:rtl/>
          <w:lang w:bidi="fa-IR"/>
        </w:rPr>
        <w:t xml:space="preserve"> </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17 ، ص 331 ، ح 17364 ؛ </w:t>
      </w:r>
      <w:r w:rsidR="00744A1C" w:rsidRPr="00C24F9C">
        <w:rPr>
          <w:rStyle w:val="libFootnoteBoldChar"/>
          <w:rtl/>
        </w:rPr>
        <w:t>الوسائل</w:t>
      </w:r>
      <w:r w:rsidR="00744A1C">
        <w:rPr>
          <w:rtl/>
          <w:lang w:bidi="fa-IR"/>
        </w:rPr>
        <w:t xml:space="preserve"> ، ج 25 ، ص 440 ، ح 32301.</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يعرّفها سنة ، حمل على ما إذا ينقص عن الدرهم ؛ فإنّه لا خلاف في عدم وجوب تعريف ما دون الدرهم ، ولا في وجوب تعريف ما زاد عنه ، وفي قدر الدرهم خلاف. وفي ما لا يجب تعريفه لو ظهر مالكه وعينه باقية وجب ردّه على الأشهر ، وفي وجوب عرضه مع تلفه قولان ».</w:t>
      </w:r>
    </w:p>
    <w:p w:rsidR="00744A1C" w:rsidRDefault="00E378DD" w:rsidP="00E378DD">
      <w:pPr>
        <w:pStyle w:val="libFootnote0"/>
        <w:rPr>
          <w:lang w:bidi="fa-IR"/>
        </w:rPr>
      </w:pPr>
      <w:r>
        <w:rPr>
          <w:rtl/>
          <w:lang w:bidi="fa-IR"/>
        </w:rPr>
        <w:t>(4).</w:t>
      </w:r>
      <w:r w:rsidR="00744A1C">
        <w:rPr>
          <w:rtl/>
          <w:lang w:bidi="fa-IR"/>
        </w:rPr>
        <w:t xml:space="preserve"> في </w:t>
      </w:r>
      <w:r w:rsidR="00744A1C" w:rsidRPr="00C24F9C">
        <w:rPr>
          <w:rStyle w:val="libFootnoteBoldChar"/>
          <w:rtl/>
        </w:rPr>
        <w:t>الوافي</w:t>
      </w:r>
      <w:r w:rsidR="00744A1C">
        <w:rPr>
          <w:rtl/>
          <w:lang w:bidi="fa-IR"/>
        </w:rPr>
        <w:t xml:space="preserve"> : « كسائر ماله ، أي في جواز التصرّف فيها وإن لزمه الغرامة لو طلبها صاحبها ، كما دلّ عليه الخبر المتقدّم - وهو الحادي عشر هاهنا - والأخبار الآتية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w:t>
      </w:r>
      <w:r w:rsidR="0061079A" w:rsidRPr="0061079A">
        <w:rPr>
          <w:rStyle w:val="libFootnoteAlaemChar"/>
          <w:rtl/>
        </w:rPr>
        <w:t>عليه‌السلام</w:t>
      </w:r>
      <w:r w:rsidR="00D10E3C">
        <w:rPr>
          <w:rtl/>
          <w:lang w:bidi="fa-IR"/>
        </w:rPr>
        <w:t xml:space="preserve"> </w:t>
      </w:r>
      <w:r>
        <w:rPr>
          <w:rtl/>
          <w:lang w:bidi="fa-IR"/>
        </w:rPr>
        <w:t>: هي كسائر ماله ، ظاهره حصول الملك بعد التعريف من غير اختياره ونيّته ، كما ا</w:t>
      </w:r>
      <w:r w:rsidR="00850CFE">
        <w:rPr>
          <w:rtl/>
          <w:lang w:bidi="fa-IR"/>
        </w:rPr>
        <w:t>ختاره جماعة. وقيل : لا يملك إل</w:t>
      </w:r>
      <w:r w:rsidR="00850CFE">
        <w:rPr>
          <w:rFonts w:hint="cs"/>
          <w:rtl/>
          <w:lang w:bidi="fa-IR"/>
        </w:rPr>
        <w:t>ّ</w:t>
      </w:r>
      <w:r w:rsidR="00850CFE">
        <w:rPr>
          <w:rtl/>
          <w:lang w:bidi="fa-IR"/>
        </w:rPr>
        <w:t>ا</w:t>
      </w:r>
      <w:r>
        <w:rPr>
          <w:rtl/>
          <w:lang w:bidi="fa-IR"/>
        </w:rPr>
        <w:t>بالنيّة. وقيل : لا بدّ من التلفّظ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389 ، ح 1161 ؛ </w:t>
      </w:r>
      <w:r w:rsidR="00744A1C" w:rsidRPr="00C24F9C">
        <w:rPr>
          <w:rStyle w:val="libFootnoteBoldChar"/>
          <w:rtl/>
        </w:rPr>
        <w:t>والاستبصار</w:t>
      </w:r>
      <w:r w:rsidR="00744A1C">
        <w:rPr>
          <w:rtl/>
          <w:lang w:bidi="fa-IR"/>
        </w:rPr>
        <w:t xml:space="preserve"> ، ج 3 ، ص 67 ، ح 225 ، معلّقاً عن الكليني. وفي </w:t>
      </w:r>
      <w:r w:rsidR="00744A1C" w:rsidRPr="00C24F9C">
        <w:rPr>
          <w:rStyle w:val="libFootnoteBoldChar"/>
          <w:rtl/>
        </w:rPr>
        <w:t>التهذيب</w:t>
      </w:r>
      <w:r w:rsidR="00744A1C">
        <w:rPr>
          <w:rtl/>
          <w:lang w:bidi="fa-IR"/>
        </w:rPr>
        <w:t xml:space="preserve"> ، ج 6 ، ص 389 ، ح 1163 ؛ </w:t>
      </w:r>
      <w:r w:rsidR="00744A1C" w:rsidRPr="00C24F9C">
        <w:rPr>
          <w:rStyle w:val="libFootnoteBoldChar"/>
          <w:rtl/>
        </w:rPr>
        <w:t>والاستبصار</w:t>
      </w:r>
      <w:r w:rsidR="00744A1C">
        <w:rPr>
          <w:rtl/>
          <w:lang w:bidi="fa-IR"/>
        </w:rPr>
        <w:t xml:space="preserve"> ، ص 68 ، ح 227 ، بسند آخر مع اختلاف يسير وزيادة في أوّله وآخره. </w:t>
      </w:r>
      <w:r w:rsidR="00744A1C" w:rsidRPr="00877682">
        <w:rPr>
          <w:rStyle w:val="libFootnoteBoldChar"/>
          <w:rtl/>
        </w:rPr>
        <w:t>قرب الإسناد</w:t>
      </w:r>
      <w:r w:rsidR="00744A1C">
        <w:rPr>
          <w:rtl/>
          <w:lang w:bidi="fa-IR"/>
        </w:rPr>
        <w:t xml:space="preserve"> ، ص 269 ، ح 1070 ، بسند آخر عن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وزيادة في آخره </w:t>
      </w:r>
      <w:r w:rsidR="0027452B">
        <w:rPr>
          <w:rFonts w:hint="cs"/>
          <w:rtl/>
          <w:lang w:bidi="fa-IR"/>
        </w:rPr>
        <w:t>.</w:t>
      </w:r>
      <w:r w:rsidR="00744A1C" w:rsidRPr="00C24F9C">
        <w:rPr>
          <w:rStyle w:val="libFootnoteBoldChar"/>
          <w:rtl/>
        </w:rPr>
        <w:t>الوافي</w:t>
      </w:r>
      <w:r w:rsidR="00744A1C">
        <w:rPr>
          <w:rtl/>
          <w:lang w:bidi="fa-IR"/>
        </w:rPr>
        <w:t xml:space="preserve"> ، ج 17 ، ص 334 ، ح 17366 ؛ </w:t>
      </w:r>
      <w:r w:rsidR="00744A1C" w:rsidRPr="00C24F9C">
        <w:rPr>
          <w:rStyle w:val="libFootnoteBoldChar"/>
          <w:rtl/>
        </w:rPr>
        <w:t>الوسائل</w:t>
      </w:r>
      <w:r w:rsidR="00744A1C">
        <w:rPr>
          <w:rtl/>
          <w:lang w:bidi="fa-IR"/>
        </w:rPr>
        <w:t xml:space="preserve"> ، ج 25 ، ص 444 ، ح 32316.</w:t>
      </w:r>
    </w:p>
    <w:p w:rsidR="00744A1C" w:rsidRDefault="00E378DD" w:rsidP="00E378DD">
      <w:pPr>
        <w:pStyle w:val="libFootnote0"/>
        <w:rPr>
          <w:lang w:bidi="fa-IR"/>
        </w:rPr>
      </w:pPr>
      <w:r>
        <w:rPr>
          <w:rtl/>
          <w:lang w:bidi="fa-IR"/>
        </w:rPr>
        <w:t>(6).</w:t>
      </w:r>
      <w:r w:rsidR="00744A1C">
        <w:rPr>
          <w:rtl/>
          <w:lang w:bidi="fa-IR"/>
        </w:rPr>
        <w:t xml:space="preserve"> في « ط ، بخ ، بف </w:t>
      </w:r>
      <w:r w:rsidR="00744A1C" w:rsidRPr="0027452B">
        <w:rPr>
          <w:rtl/>
        </w:rPr>
        <w:t>» والوافي والفقيه والتهذيب :</w:t>
      </w:r>
      <w:r w:rsidR="00744A1C">
        <w:rPr>
          <w:rtl/>
          <w:lang w:bidi="fa-IR"/>
        </w:rPr>
        <w:t xml:space="preserve"> « بيته ».</w:t>
      </w:r>
    </w:p>
    <w:tbl>
      <w:tblPr>
        <w:tblStyle w:val="TableGrid"/>
        <w:bidiVisual/>
        <w:tblW w:w="0" w:type="auto"/>
        <w:tblLook w:val="04A0" w:firstRow="1" w:lastRow="0" w:firstColumn="1" w:lastColumn="0" w:noHBand="0" w:noVBand="1"/>
      </w:tblPr>
      <w:tblGrid>
        <w:gridCol w:w="4006"/>
        <w:gridCol w:w="4006"/>
      </w:tblGrid>
      <w:tr w:rsidR="0027452B" w:rsidTr="0027452B">
        <w:tc>
          <w:tcPr>
            <w:tcW w:w="4006" w:type="dxa"/>
          </w:tcPr>
          <w:p w:rsidR="0027452B" w:rsidRDefault="0027452B" w:rsidP="00E378DD">
            <w:pPr>
              <w:pStyle w:val="libFootnote0"/>
              <w:rPr>
                <w:rtl/>
                <w:lang w:bidi="fa-IR"/>
              </w:rPr>
            </w:pPr>
            <w:r>
              <w:rPr>
                <w:rtl/>
                <w:lang w:bidi="fa-IR"/>
              </w:rPr>
              <w:t xml:space="preserve">(7). في « بخ ، بف » </w:t>
            </w:r>
            <w:r w:rsidRPr="0027452B">
              <w:rPr>
                <w:rtl/>
              </w:rPr>
              <w:t>والوافي :</w:t>
            </w:r>
            <w:r>
              <w:rPr>
                <w:rtl/>
                <w:lang w:bidi="fa-IR"/>
              </w:rPr>
              <w:t xml:space="preserve"> « هذه ».</w:t>
            </w:r>
          </w:p>
        </w:tc>
        <w:tc>
          <w:tcPr>
            <w:tcW w:w="4006" w:type="dxa"/>
          </w:tcPr>
          <w:p w:rsidR="0027452B" w:rsidRDefault="0027452B" w:rsidP="00E378DD">
            <w:pPr>
              <w:pStyle w:val="libFootnote0"/>
              <w:rPr>
                <w:rtl/>
                <w:lang w:bidi="fa-IR"/>
              </w:rPr>
            </w:pPr>
            <w:r>
              <w:rPr>
                <w:rtl/>
                <w:lang w:bidi="fa-IR"/>
              </w:rPr>
              <w:t>(8). في « ى ، جد » : « يديه ».</w:t>
            </w:r>
          </w:p>
        </w:tc>
      </w:tr>
    </w:tbl>
    <w:p w:rsidR="00144FA6" w:rsidRDefault="00E378DD" w:rsidP="00E378DD">
      <w:pPr>
        <w:pStyle w:val="libFootnote0"/>
        <w:rPr>
          <w:rtl/>
          <w:lang w:bidi="fa-IR"/>
        </w:rPr>
      </w:pPr>
      <w:r>
        <w:rPr>
          <w:rtl/>
          <w:lang w:bidi="fa-IR"/>
        </w:rPr>
        <w:t>(9).</w:t>
      </w:r>
      <w:r w:rsidR="00744A1C">
        <w:rPr>
          <w:rtl/>
          <w:lang w:bidi="fa-IR"/>
        </w:rPr>
        <w:t xml:space="preserve"> هكذا في جميع النسخ التي قوبلت </w:t>
      </w:r>
      <w:r w:rsidR="00744A1C" w:rsidRPr="0027452B">
        <w:rPr>
          <w:rtl/>
        </w:rPr>
        <w:t>والوافي والوسائل والفقيه. وفي المطبوع :</w:t>
      </w:r>
      <w:r w:rsidR="00744A1C">
        <w:rPr>
          <w:rtl/>
          <w:lang w:bidi="fa-IR"/>
        </w:rPr>
        <w:t xml:space="preserve"> + « غيره ». وفي</w:t>
      </w:r>
      <w:r w:rsidR="00BA53FC">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1912A6">
      <w:pPr>
        <w:pStyle w:val="libNormal0"/>
        <w:rPr>
          <w:rtl/>
          <w:lang w:bidi="fa-IR"/>
        </w:rPr>
      </w:pPr>
      <w:r>
        <w:rPr>
          <w:rtl/>
          <w:lang w:bidi="fa-IR"/>
        </w:rPr>
        <w:t xml:space="preserve">« فَهُوَ لَهُ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8634 / 4. عَلِيُّ بْنُ إِبْرَاهِيمَ ، عَنْ أَبِيهِ ، عَنِ ابْنِ أَبِي عُمَيْرٍ ، عَنْ مُحَمَّدِ بْنِ أَبِي حَمْزَةَ ، عَنْ بَعْضِ أَصْحَابِنَا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قَالَ : سَأَلْتُهُ عَنِ اللُّقَطَةِ؟</w:t>
      </w:r>
    </w:p>
    <w:p w:rsidR="00744A1C" w:rsidRDefault="00744A1C" w:rsidP="00744A1C">
      <w:pPr>
        <w:pStyle w:val="libNormal"/>
        <w:rPr>
          <w:lang w:bidi="fa-IR"/>
        </w:rPr>
      </w:pPr>
      <w:r>
        <w:rPr>
          <w:rtl/>
          <w:lang w:bidi="fa-IR"/>
        </w:rPr>
        <w:t xml:space="preserve">قَالَ : « تُعَرَّفُ </w:t>
      </w:r>
      <w:r w:rsidRPr="00D10E3C">
        <w:rPr>
          <w:rStyle w:val="libFootnotenumChar"/>
          <w:rtl/>
        </w:rPr>
        <w:t>(3)</w:t>
      </w:r>
      <w:r>
        <w:rPr>
          <w:rtl/>
          <w:lang w:bidi="fa-IR"/>
        </w:rPr>
        <w:t xml:space="preserve"> سَنَةً ، قَلِيلاً كَانَ أَوْ كَثِيراً ».</w:t>
      </w:r>
    </w:p>
    <w:p w:rsidR="00144FA6" w:rsidRDefault="00744A1C" w:rsidP="00744A1C">
      <w:pPr>
        <w:pStyle w:val="libNormal"/>
        <w:rPr>
          <w:rtl/>
          <w:lang w:bidi="fa-IR"/>
        </w:rPr>
      </w:pPr>
      <w:r>
        <w:rPr>
          <w:rtl/>
          <w:lang w:bidi="fa-IR"/>
        </w:rPr>
        <w:t xml:space="preserve">قَالَ : « وَمَا </w:t>
      </w:r>
      <w:r w:rsidRPr="00D10E3C">
        <w:rPr>
          <w:rStyle w:val="libFootnotenumChar"/>
          <w:rtl/>
        </w:rPr>
        <w:t>(4)</w:t>
      </w:r>
      <w:r>
        <w:rPr>
          <w:rtl/>
          <w:lang w:bidi="fa-IR"/>
        </w:rPr>
        <w:t xml:space="preserve"> كَانَ </w:t>
      </w:r>
      <w:r w:rsidRPr="00D10E3C">
        <w:rPr>
          <w:rStyle w:val="libFootnotenumChar"/>
          <w:rtl/>
        </w:rPr>
        <w:t>(5)</w:t>
      </w:r>
      <w:r>
        <w:rPr>
          <w:rtl/>
          <w:lang w:bidi="fa-IR"/>
        </w:rPr>
        <w:t xml:space="preserve"> دُونَ الدِّرْهَمِ ، فَلَا يُعَرَّفُ </w:t>
      </w:r>
      <w:r w:rsidRPr="00D10E3C">
        <w:rPr>
          <w:rStyle w:val="libFootnotenumChar"/>
          <w:rtl/>
        </w:rPr>
        <w:t>(6)</w:t>
      </w:r>
      <w:r>
        <w:rPr>
          <w:rtl/>
          <w:lang w:bidi="fa-IR"/>
        </w:rPr>
        <w:t xml:space="preserve"> ». </w:t>
      </w:r>
      <w:r w:rsidRPr="00D10E3C">
        <w:rPr>
          <w:rStyle w:val="libFootnotenumChar"/>
          <w:rtl/>
        </w:rPr>
        <w:t>(7)</w:t>
      </w:r>
    </w:p>
    <w:p w:rsidR="00144FA6" w:rsidRDefault="00744A1C" w:rsidP="00744A1C">
      <w:pPr>
        <w:pStyle w:val="libNormal"/>
        <w:rPr>
          <w:rtl/>
          <w:lang w:bidi="fa-IR"/>
        </w:rPr>
      </w:pPr>
      <w:r>
        <w:rPr>
          <w:rtl/>
          <w:lang w:bidi="fa-IR"/>
        </w:rPr>
        <w:t>8635 / 5. عَلِيٌّ ، عَنْ أَبِيهِ ، عَنِ ابْنِ مَحْبُوبٍ ، عَنِ الْعَلَاءِ بْنِ رَزِينٍ ، عَنْ مُحَمَّدِ بْنِ مُسْلِمٍ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سَأَلْتُهُ عَنِ الدَّارِ يُوجَدُ فِيهَا الْوَرِقُ </w:t>
      </w:r>
      <w:r w:rsidRPr="00D10E3C">
        <w:rPr>
          <w:rStyle w:val="libFootnotenumChar"/>
          <w:rtl/>
        </w:rPr>
        <w:t>(8)</w:t>
      </w:r>
      <w:r>
        <w:rPr>
          <w:rtl/>
          <w:lang w:bidi="fa-IR"/>
        </w:rPr>
        <w:t>؟</w:t>
      </w:r>
    </w:p>
    <w:p w:rsidR="00144FA6" w:rsidRDefault="00744A1C" w:rsidP="00744A1C">
      <w:pPr>
        <w:pStyle w:val="libNormal"/>
        <w:rPr>
          <w:rtl/>
          <w:lang w:bidi="fa-IR"/>
        </w:rPr>
      </w:pPr>
      <w:r>
        <w:rPr>
          <w:rtl/>
          <w:lang w:bidi="fa-IR"/>
        </w:rPr>
        <w:t xml:space="preserve">فَقَالَ : « إِنْ كَانَتْ مَعْمُورَةً ، فِيهَا أَهْلُهَا ، فَهُوَ لَهُمْ ؛ وَإِنْ كَانَتْ خَرِبَةً قَدْ جَلَا عَنْهَا أَهْلُهَا ، فَالَّذِي وَجَدَ الْمَالَ </w:t>
      </w:r>
      <w:r w:rsidRPr="00D10E3C">
        <w:rPr>
          <w:rStyle w:val="libFootnotenumChar"/>
          <w:rtl/>
        </w:rPr>
        <w:t>(9)</w:t>
      </w:r>
      <w:r w:rsidR="001912A6" w:rsidRPr="001912A6">
        <w:rPr>
          <w:rFonts w:hint="cs"/>
          <w:rtl/>
        </w:rPr>
        <w:t xml:space="preserve"> </w:t>
      </w:r>
      <w:r w:rsidR="001912A6">
        <w:rPr>
          <w:rFonts w:hint="cs"/>
          <w:rtl/>
        </w:rPr>
        <w:t>..............................................</w:t>
      </w:r>
      <w:r w:rsidR="001912A6">
        <w:rPr>
          <w:rFonts w:hint="cs"/>
          <w:rtl/>
        </w:rPr>
        <w:tab/>
      </w:r>
    </w:p>
    <w:p w:rsidR="00744A1C" w:rsidRDefault="00744A1C" w:rsidP="00D10E3C">
      <w:pPr>
        <w:pStyle w:val="libLine"/>
        <w:rPr>
          <w:lang w:bidi="fa-IR"/>
        </w:rPr>
      </w:pPr>
      <w:r>
        <w:rPr>
          <w:rtl/>
          <w:lang w:bidi="fa-IR"/>
        </w:rPr>
        <w:t>____________________</w:t>
      </w:r>
    </w:p>
    <w:p w:rsidR="00744A1C" w:rsidRDefault="00C33980" w:rsidP="00D10E3C">
      <w:pPr>
        <w:pStyle w:val="libFootnote0"/>
        <w:rPr>
          <w:lang w:bidi="fa-IR"/>
        </w:rPr>
      </w:pPr>
      <w:r w:rsidRPr="00436D5A">
        <w:rPr>
          <w:rFonts w:hint="cs"/>
          <w:rtl/>
        </w:rPr>
        <w:t xml:space="preserve">= </w:t>
      </w:r>
      <w:r w:rsidR="00744A1C" w:rsidRPr="00C24F9C">
        <w:rPr>
          <w:rStyle w:val="libFootnoteBoldChar"/>
          <w:rtl/>
        </w:rPr>
        <w:t>التهذيب</w:t>
      </w:r>
      <w:r w:rsidR="00744A1C">
        <w:rPr>
          <w:rtl/>
          <w:lang w:bidi="fa-IR"/>
        </w:rPr>
        <w:t xml:space="preserve"> : « يصنع ».</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xml:space="preserve">: فهو له ، عليه فتوى الأصحاب ، وقال الشهيد </w:t>
      </w:r>
      <w:r w:rsidR="00877682" w:rsidRPr="00877682">
        <w:rPr>
          <w:rStyle w:val="libFootnoteAlaemChar"/>
          <w:rtl/>
        </w:rPr>
        <w:t>رحمه‌الله</w:t>
      </w:r>
      <w:r w:rsidR="00744A1C">
        <w:rPr>
          <w:rtl/>
          <w:lang w:bidi="fa-IR"/>
        </w:rPr>
        <w:t xml:space="preserve">: هذا </w:t>
      </w:r>
      <w:r w:rsidR="00436D5A">
        <w:rPr>
          <w:rtl/>
          <w:lang w:bidi="fa-IR"/>
        </w:rPr>
        <w:t>إذا لم يقطع بانتفائه عنه ، وإل</w:t>
      </w:r>
      <w:r w:rsidR="00436D5A">
        <w:rPr>
          <w:rFonts w:hint="cs"/>
          <w:rtl/>
          <w:lang w:bidi="fa-IR"/>
        </w:rPr>
        <w:t>ّ</w:t>
      </w:r>
      <w:r w:rsidR="00436D5A">
        <w:rPr>
          <w:rtl/>
          <w:lang w:bidi="fa-IR"/>
        </w:rPr>
        <w:t>ا</w:t>
      </w:r>
      <w:r w:rsidR="00744A1C">
        <w:rPr>
          <w:rtl/>
          <w:lang w:bidi="fa-IR"/>
        </w:rPr>
        <w:t xml:space="preserve"> كان لقطة ». وراجع : </w:t>
      </w:r>
      <w:r w:rsidR="00744A1C" w:rsidRPr="00877682">
        <w:rPr>
          <w:rStyle w:val="libFootnoteBoldChar"/>
          <w:rtl/>
        </w:rPr>
        <w:t>مسالك الأفهام</w:t>
      </w:r>
      <w:r w:rsidR="00744A1C">
        <w:rPr>
          <w:rtl/>
          <w:lang w:bidi="fa-IR"/>
        </w:rPr>
        <w:t xml:space="preserve"> ، ج 12 ، ص 529.</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الفقيه</w:t>
      </w:r>
      <w:r w:rsidR="00744A1C">
        <w:rPr>
          <w:rtl/>
          <w:lang w:bidi="fa-IR"/>
        </w:rPr>
        <w:t xml:space="preserve"> ، ج 3 ، ص 293 ، ح 4050 ؛ </w:t>
      </w:r>
      <w:r w:rsidR="00744A1C" w:rsidRPr="0061079A">
        <w:rPr>
          <w:rStyle w:val="libFootnoteBoldChar"/>
          <w:rtl/>
        </w:rPr>
        <w:t>والتهذيب</w:t>
      </w:r>
      <w:r w:rsidR="00744A1C">
        <w:rPr>
          <w:rtl/>
          <w:lang w:bidi="fa-IR"/>
        </w:rPr>
        <w:t xml:space="preserve"> ، ج 6 ، ص 390 ، ح 1168 ، معلّقاً عن ابن محبوب </w:t>
      </w:r>
      <w:r w:rsidR="00744A1C" w:rsidRPr="00C24F9C">
        <w:rPr>
          <w:rStyle w:val="libFootnoteBoldChar"/>
          <w:rtl/>
        </w:rPr>
        <w:t>الوافي</w:t>
      </w:r>
      <w:r w:rsidR="00744A1C">
        <w:rPr>
          <w:rtl/>
          <w:lang w:bidi="fa-IR"/>
        </w:rPr>
        <w:t xml:space="preserve"> ، ج 17 ، ص 334 ، ح 17367 ؛ </w:t>
      </w:r>
      <w:r w:rsidR="00744A1C" w:rsidRPr="00C24F9C">
        <w:rPr>
          <w:rStyle w:val="libFootnoteBoldChar"/>
          <w:rtl/>
        </w:rPr>
        <w:t>الوسائل</w:t>
      </w:r>
      <w:r w:rsidR="00744A1C">
        <w:rPr>
          <w:rtl/>
          <w:lang w:bidi="fa-IR"/>
        </w:rPr>
        <w:t xml:space="preserve"> ، ج 25 ، ص 446 ، ح 32321.</w:t>
      </w:r>
    </w:p>
    <w:p w:rsidR="00744A1C" w:rsidRDefault="00E378DD" w:rsidP="00E378DD">
      <w:pPr>
        <w:pStyle w:val="libFootnote0"/>
        <w:rPr>
          <w:lang w:bidi="fa-IR"/>
        </w:rPr>
      </w:pPr>
      <w:r>
        <w:rPr>
          <w:rtl/>
          <w:lang w:bidi="fa-IR"/>
        </w:rPr>
        <w:t>(3).</w:t>
      </w:r>
      <w:r w:rsidR="00744A1C">
        <w:rPr>
          <w:rtl/>
          <w:lang w:bidi="fa-IR"/>
        </w:rPr>
        <w:t xml:space="preserve"> في « بخ » و</w:t>
      </w:r>
      <w:r w:rsidR="00744A1C" w:rsidRPr="00C24F9C">
        <w:rPr>
          <w:rStyle w:val="libFootnoteBoldChar"/>
          <w:rtl/>
        </w:rPr>
        <w:t>الوافي</w:t>
      </w:r>
      <w:r w:rsidR="00744A1C">
        <w:rPr>
          <w:rtl/>
          <w:lang w:bidi="fa-IR"/>
        </w:rPr>
        <w:t xml:space="preserve"> : « يعرّف ». وفي « بس ، بف » : « يعرف ».</w:t>
      </w:r>
    </w:p>
    <w:tbl>
      <w:tblPr>
        <w:tblStyle w:val="TableGrid"/>
        <w:bidiVisual/>
        <w:tblW w:w="0" w:type="auto"/>
        <w:tblLook w:val="04A0" w:firstRow="1" w:lastRow="0" w:firstColumn="1" w:lastColumn="0" w:noHBand="0" w:noVBand="1"/>
      </w:tblPr>
      <w:tblGrid>
        <w:gridCol w:w="4006"/>
        <w:gridCol w:w="4006"/>
      </w:tblGrid>
      <w:tr w:rsidR="00774041" w:rsidTr="00774041">
        <w:tc>
          <w:tcPr>
            <w:tcW w:w="4006" w:type="dxa"/>
          </w:tcPr>
          <w:p w:rsidR="00774041" w:rsidRDefault="00774041" w:rsidP="00E378DD">
            <w:pPr>
              <w:pStyle w:val="libFootnote0"/>
              <w:rPr>
                <w:rtl/>
                <w:lang w:bidi="fa-IR"/>
              </w:rPr>
            </w:pPr>
            <w:r>
              <w:rPr>
                <w:rtl/>
                <w:lang w:bidi="fa-IR"/>
              </w:rPr>
              <w:t xml:space="preserve">(4). في </w:t>
            </w:r>
            <w:r w:rsidRPr="00774041">
              <w:rPr>
                <w:rtl/>
              </w:rPr>
              <w:t>الوافي : «</w:t>
            </w:r>
            <w:r>
              <w:rPr>
                <w:rtl/>
                <w:lang w:bidi="fa-IR"/>
              </w:rPr>
              <w:t xml:space="preserve"> فما ».</w:t>
            </w:r>
          </w:p>
        </w:tc>
        <w:tc>
          <w:tcPr>
            <w:tcW w:w="4006" w:type="dxa"/>
          </w:tcPr>
          <w:p w:rsidR="00774041" w:rsidRDefault="00774041" w:rsidP="00E378DD">
            <w:pPr>
              <w:pStyle w:val="libFootnote0"/>
              <w:rPr>
                <w:rtl/>
                <w:lang w:bidi="fa-IR"/>
              </w:rPr>
            </w:pPr>
            <w:r>
              <w:rPr>
                <w:rtl/>
                <w:lang w:bidi="fa-IR"/>
              </w:rPr>
              <w:t>(5). في الاستبصار : + « من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يدلّ على وجوب تعريف قدر الدراهم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389 ، ح 1162 ؛ </w:t>
      </w:r>
      <w:r w:rsidR="00744A1C" w:rsidRPr="00C24F9C">
        <w:rPr>
          <w:rStyle w:val="libFootnoteBoldChar"/>
          <w:rtl/>
        </w:rPr>
        <w:t>والاستبصار</w:t>
      </w:r>
      <w:r w:rsidR="00744A1C">
        <w:rPr>
          <w:rtl/>
          <w:lang w:bidi="fa-IR"/>
        </w:rPr>
        <w:t xml:space="preserve"> ، ج 3 ، ص 68 ، ح 226 ، معلّقاً عن الكليني </w:t>
      </w:r>
      <w:r w:rsidR="00774041">
        <w:rPr>
          <w:rFonts w:hint="cs"/>
          <w:rtl/>
          <w:lang w:bidi="fa-IR"/>
        </w:rPr>
        <w:t>.</w:t>
      </w:r>
      <w:r w:rsidR="00744A1C" w:rsidRPr="00C24F9C">
        <w:rPr>
          <w:rStyle w:val="libFootnoteBoldChar"/>
          <w:rtl/>
        </w:rPr>
        <w:t>الوافي</w:t>
      </w:r>
      <w:r w:rsidR="00744A1C">
        <w:rPr>
          <w:rtl/>
          <w:lang w:bidi="fa-IR"/>
        </w:rPr>
        <w:t xml:space="preserve"> ، ج 17 ، ص 334 ، ح 17368 ؛ </w:t>
      </w:r>
      <w:r w:rsidR="00744A1C" w:rsidRPr="00C24F9C">
        <w:rPr>
          <w:rStyle w:val="libFootnoteBoldChar"/>
          <w:rtl/>
        </w:rPr>
        <w:t>الوسائل</w:t>
      </w:r>
      <w:r w:rsidR="00744A1C">
        <w:rPr>
          <w:rtl/>
          <w:lang w:bidi="fa-IR"/>
        </w:rPr>
        <w:t xml:space="preserve"> ، ج 25 ، ص 446 ، ح 32322.</w:t>
      </w:r>
    </w:p>
    <w:p w:rsidR="00744A1C" w:rsidRDefault="00E378DD" w:rsidP="00E378DD">
      <w:pPr>
        <w:pStyle w:val="libFootnote0"/>
        <w:rPr>
          <w:lang w:bidi="fa-IR"/>
        </w:rPr>
      </w:pPr>
      <w:r>
        <w:rPr>
          <w:rtl/>
          <w:lang w:bidi="fa-IR"/>
        </w:rPr>
        <w:t>(8).</w:t>
      </w:r>
      <w:r w:rsidR="00744A1C">
        <w:rPr>
          <w:rtl/>
          <w:lang w:bidi="fa-IR"/>
        </w:rPr>
        <w:t xml:space="preserve"> قال الجوهري : « الورق : الدراهم المضروبة ». وقال ابن الأثير : « الورق - بكسر الراء - : الفضّة ، وقد تسكّن ». </w:t>
      </w:r>
      <w:r w:rsidR="00744A1C" w:rsidRPr="00E978C3">
        <w:rPr>
          <w:rStyle w:val="libFootnoteBoldChar"/>
          <w:rtl/>
        </w:rPr>
        <w:t>الصحاح</w:t>
      </w:r>
      <w:r w:rsidR="00744A1C">
        <w:rPr>
          <w:rtl/>
          <w:lang w:bidi="fa-IR"/>
        </w:rPr>
        <w:t xml:space="preserve"> ، ج 4 ، ص 1564 ؛ </w:t>
      </w:r>
      <w:r w:rsidR="00744A1C" w:rsidRPr="00877682">
        <w:rPr>
          <w:rStyle w:val="libFootnoteBoldChar"/>
          <w:rtl/>
        </w:rPr>
        <w:t>النهاية</w:t>
      </w:r>
      <w:r w:rsidR="00744A1C">
        <w:rPr>
          <w:rtl/>
          <w:lang w:bidi="fa-IR"/>
        </w:rPr>
        <w:t xml:space="preserve"> ، ج 5 ، ص 175 ( ورق ).</w:t>
      </w:r>
    </w:p>
    <w:p w:rsidR="00744A1C" w:rsidRDefault="00E378DD" w:rsidP="00E378DD">
      <w:pPr>
        <w:pStyle w:val="libFootnote0"/>
        <w:rPr>
          <w:lang w:bidi="fa-IR"/>
        </w:rPr>
      </w:pPr>
      <w:r>
        <w:rPr>
          <w:rtl/>
          <w:lang w:bidi="fa-IR"/>
        </w:rPr>
        <w:t>(9).</w:t>
      </w:r>
      <w:r w:rsidR="00744A1C">
        <w:rPr>
          <w:rtl/>
          <w:lang w:bidi="fa-IR"/>
        </w:rPr>
        <w:t xml:space="preserve"> هكذا في « ط ، بح ، بخ ، بس ، بف ، جت ، جد ، جن » </w:t>
      </w:r>
      <w:r w:rsidR="00744A1C" w:rsidRPr="00774041">
        <w:rPr>
          <w:rtl/>
        </w:rPr>
        <w:t>والوافي والوسائل والتهذيب</w:t>
      </w:r>
      <w:r w:rsidR="00744A1C">
        <w:rPr>
          <w:rtl/>
          <w:lang w:bidi="fa-IR"/>
        </w:rPr>
        <w:t xml:space="preserve"> ، ح 1169. وفي « ى » والمطبوع : + « فهو ».</w:t>
      </w:r>
    </w:p>
    <w:p w:rsidR="006D42F6" w:rsidRDefault="006D42F6" w:rsidP="00D10E3C">
      <w:pPr>
        <w:pStyle w:val="libNormal"/>
        <w:rPr>
          <w:rtl/>
          <w:lang w:bidi="fa-IR"/>
        </w:rPr>
      </w:pPr>
      <w:r>
        <w:rPr>
          <w:rtl/>
          <w:lang w:bidi="fa-IR"/>
        </w:rPr>
        <w:br w:type="page"/>
      </w:r>
    </w:p>
    <w:p w:rsidR="00144FA6" w:rsidRDefault="00744A1C" w:rsidP="00774041">
      <w:pPr>
        <w:pStyle w:val="libNormal0"/>
        <w:rPr>
          <w:rtl/>
          <w:lang w:bidi="fa-IR"/>
        </w:rPr>
      </w:pPr>
      <w:r>
        <w:rPr>
          <w:rtl/>
          <w:lang w:bidi="fa-IR"/>
        </w:rPr>
        <w:t xml:space="preserve">أَحَقُّ بِهِ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 xml:space="preserve">8636 / 6. عِدَّةٌ مِنْ أَصْحَابِنَا ، عَنْ أَحْمَدَ بْنِ مُحَمَّدٍ ، عَنْ عَبْدِ اللهِ بْنِ مُحَمَّدٍ الْحَجَّالِ ، عَنْ ثَعْلَبَةَ بْنِ مَيْمُونٍ </w:t>
      </w:r>
      <w:r w:rsidRPr="00D10E3C">
        <w:rPr>
          <w:rStyle w:val="libFootnotenumChar"/>
          <w:rtl/>
        </w:rPr>
        <w:t>(3)</w:t>
      </w:r>
      <w:r>
        <w:rPr>
          <w:rtl/>
          <w:lang w:bidi="fa-IR"/>
        </w:rPr>
        <w:t xml:space="preserve"> ، عَنْ سَعِيدِ بْنِ عَمْرٍو الْجُعْفِيِّ </w:t>
      </w:r>
      <w:r w:rsidRPr="00D10E3C">
        <w:rPr>
          <w:rStyle w:val="libFootnotenumChar"/>
          <w:rtl/>
        </w:rPr>
        <w:t>(4)</w:t>
      </w:r>
      <w:r>
        <w:rPr>
          <w:rtl/>
          <w:lang w:bidi="fa-IR"/>
        </w:rPr>
        <w:t xml:space="preserve"> ، قَالَ :</w:t>
      </w:r>
    </w:p>
    <w:p w:rsidR="00744A1C" w:rsidRDefault="00744A1C" w:rsidP="00744A1C">
      <w:pPr>
        <w:pStyle w:val="libNormal"/>
        <w:rPr>
          <w:lang w:bidi="fa-IR"/>
        </w:rPr>
      </w:pPr>
      <w:r>
        <w:rPr>
          <w:rtl/>
          <w:lang w:bidi="fa-IR"/>
        </w:rPr>
        <w:t xml:space="preserve">خَرَجْتُ إِلى مَكَّةَ وَأَنَا مِنْ أَشَدِّ النَّاسِ حَالاً ، فَشَكَوْتُ إِلى أَبِي عَبْدِ اللهِ </w:t>
      </w:r>
      <w:r w:rsidR="0061079A" w:rsidRPr="0061079A">
        <w:rPr>
          <w:rStyle w:val="libAlaemChar"/>
          <w:rtl/>
        </w:rPr>
        <w:t>عليه‌السلام</w:t>
      </w:r>
      <w:r w:rsidR="00D10E3C">
        <w:rPr>
          <w:rtl/>
          <w:lang w:bidi="fa-IR"/>
        </w:rPr>
        <w:t xml:space="preserve"> </w:t>
      </w:r>
      <w:r>
        <w:rPr>
          <w:rtl/>
          <w:lang w:bidi="fa-IR"/>
        </w:rPr>
        <w:t>، فَلَمَّا خَرَجْتُ مِنْ عِنْدِهِ ، وَجَدْتُ عَلى بَابِهِ كِيساً فِيهِ سَبْعُمِائَةِ دِينَارٍ ، فَرَجَعْتُ إِلَيْهِ مِنْ فَوْرِي ذلِكَ ، فَأَخْبَرْتُهُ.</w:t>
      </w:r>
    </w:p>
    <w:p w:rsidR="00744A1C" w:rsidRDefault="00744A1C" w:rsidP="00744A1C">
      <w:pPr>
        <w:pStyle w:val="libNormal"/>
        <w:rPr>
          <w:lang w:bidi="fa-IR"/>
        </w:rPr>
      </w:pPr>
      <w:r>
        <w:rPr>
          <w:rtl/>
          <w:lang w:bidi="fa-IR"/>
        </w:rPr>
        <w:t>فَقَالَ : « يَا سَعِيدُ ، اتَّقِ اللهَ عَزَّ وَجَلَّ ، وَعَرِّفْهُ فِي الْمَشَاهِدِ ».</w:t>
      </w:r>
    </w:p>
    <w:p w:rsidR="00744A1C" w:rsidRDefault="00744A1C" w:rsidP="00744A1C">
      <w:pPr>
        <w:pStyle w:val="libNormal"/>
        <w:rPr>
          <w:lang w:bidi="fa-IR"/>
        </w:rPr>
      </w:pPr>
      <w:r>
        <w:rPr>
          <w:rtl/>
          <w:lang w:bidi="fa-IR"/>
        </w:rPr>
        <w:t xml:space="preserve">وَكُنْتُ رَجَوْتُ أَنْ يُرَخِّصَ لِي فِيهِ ، فَخَرَجْتُ وَأَنَا مُغْتَمٌّ ، فَأَتَيْتُ مِنًى ، فَتَنَحَّيْتُ </w:t>
      </w:r>
      <w:r w:rsidRPr="00D10E3C">
        <w:rPr>
          <w:rStyle w:val="libFootnotenumChar"/>
          <w:rtl/>
        </w:rPr>
        <w:t>(5)</w:t>
      </w:r>
      <w:r>
        <w:rPr>
          <w:rtl/>
          <w:lang w:bidi="fa-IR"/>
        </w:rPr>
        <w:t xml:space="preserve"> عَنِ النَّاسِ </w:t>
      </w:r>
      <w:r w:rsidRPr="00D10E3C">
        <w:rPr>
          <w:rStyle w:val="libFootnotenumChar"/>
          <w:rtl/>
        </w:rPr>
        <w:t>(6)</w:t>
      </w:r>
      <w:r>
        <w:rPr>
          <w:rtl/>
          <w:lang w:bidi="fa-IR"/>
        </w:rPr>
        <w:t xml:space="preserve"> وَتَقَصَّيْتُ </w:t>
      </w:r>
      <w:r w:rsidRPr="00D10E3C">
        <w:rPr>
          <w:rStyle w:val="libFootnotenumChar"/>
          <w:rtl/>
        </w:rPr>
        <w:t>(7)</w:t>
      </w:r>
      <w:r>
        <w:rPr>
          <w:rtl/>
          <w:lang w:bidi="fa-IR"/>
        </w:rPr>
        <w:t xml:space="preserve"> ، حَتّى أَتَيْتُ الْمَوْقُوفَةَ </w:t>
      </w:r>
      <w:r w:rsidRPr="00D10E3C">
        <w:rPr>
          <w:rStyle w:val="libFootnotenumChar"/>
          <w:rtl/>
        </w:rPr>
        <w:t>(8)</w:t>
      </w:r>
      <w:r>
        <w:rPr>
          <w:rtl/>
          <w:lang w:bidi="fa-IR"/>
        </w:rPr>
        <w:t xml:space="preserve"> ، فَنَزَلْتُ فِي‌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يدلّ على ما هو المشهور من أنّ ما يوجد في المفاوز أو في خربة قد باد أهلها فهو لواجده ، وكذا قالوا في ما يجده مدفوناً في أرض لا مالك لها. وإطلاق الخبر يشمل ما إذا كان عليه أثر الإسلام أو لم يكن ، وقيّده جماعة من المتأخّرين بما إذا</w:t>
      </w:r>
      <w:r w:rsidR="00774041">
        <w:rPr>
          <w:rtl/>
          <w:lang w:bidi="fa-IR"/>
        </w:rPr>
        <w:t xml:space="preserve"> لم يكن عليه أثر الإسلام ، وإل</w:t>
      </w:r>
      <w:r w:rsidR="00774041">
        <w:rPr>
          <w:rFonts w:hint="cs"/>
          <w:rtl/>
          <w:lang w:bidi="fa-IR"/>
        </w:rPr>
        <w:t>ّ</w:t>
      </w:r>
      <w:r w:rsidR="00774041">
        <w:rPr>
          <w:rtl/>
          <w:lang w:bidi="fa-IR"/>
        </w:rPr>
        <w:t>ا</w:t>
      </w:r>
      <w:r w:rsidR="00744A1C">
        <w:rPr>
          <w:rtl/>
          <w:lang w:bidi="fa-IR"/>
        </w:rPr>
        <w:t xml:space="preserve"> كان لقطة جمعاً بين الروايات ».</w:t>
      </w:r>
    </w:p>
    <w:p w:rsidR="00744A1C" w:rsidRDefault="00E378DD" w:rsidP="00774041">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390 ، ح 1169 ، معلّقاً عن الحسن بن محبوب. وفيه ، ذيل ح 1165 ، بسنده عن العلاء ، عن محمّد بن مسلم ، عن أحدهما </w:t>
      </w:r>
      <w:r w:rsidR="00F112A7" w:rsidRPr="00CE5A92">
        <w:rPr>
          <w:rStyle w:val="libFootnoteAlaemChar"/>
          <w:rtl/>
        </w:rPr>
        <w:t>عليهما‌السلام</w:t>
      </w:r>
      <w:r w:rsidR="00744A1C">
        <w:rPr>
          <w:rtl/>
          <w:lang w:bidi="fa-IR"/>
        </w:rPr>
        <w:t xml:space="preserve">، مع اختلاف يسير </w:t>
      </w:r>
      <w:r w:rsidR="00774041">
        <w:rPr>
          <w:rFonts w:hint="cs"/>
          <w:rtl/>
          <w:lang w:bidi="fa-IR"/>
        </w:rPr>
        <w:t>.</w:t>
      </w:r>
      <w:r w:rsidR="00744A1C" w:rsidRPr="00C24F9C">
        <w:rPr>
          <w:rStyle w:val="libFootnoteBoldChar"/>
          <w:rtl/>
        </w:rPr>
        <w:t>الوافي</w:t>
      </w:r>
      <w:r w:rsidR="00744A1C">
        <w:rPr>
          <w:rtl/>
          <w:lang w:bidi="fa-IR"/>
        </w:rPr>
        <w:t xml:space="preserve"> ، ج 17 ، ص 335 ، ح 17369 ؛ </w:t>
      </w:r>
      <w:r w:rsidR="00744A1C" w:rsidRPr="00C24F9C">
        <w:rPr>
          <w:rStyle w:val="libFootnoteBoldChar"/>
          <w:rtl/>
        </w:rPr>
        <w:t>الوسائل</w:t>
      </w:r>
      <w:r w:rsidR="00744A1C">
        <w:rPr>
          <w:rtl/>
          <w:lang w:bidi="fa-IR"/>
        </w:rPr>
        <w:t xml:space="preserve"> ، ج 25 ، ص 447 ، ح 32324.</w:t>
      </w:r>
      <w:r w:rsidR="00774041">
        <w:rPr>
          <w:rFonts w:hint="cs"/>
          <w:rtl/>
          <w:lang w:bidi="fa-IR"/>
        </w:rPr>
        <w:t xml:space="preserve">             </w:t>
      </w:r>
      <w:r>
        <w:rPr>
          <w:rtl/>
          <w:lang w:bidi="fa-IR"/>
        </w:rPr>
        <w:t>(3).</w:t>
      </w:r>
      <w:r w:rsidR="00744A1C">
        <w:rPr>
          <w:rtl/>
          <w:lang w:bidi="fa-IR"/>
        </w:rPr>
        <w:t xml:space="preserve"> في « ط » : - « بن ميمون ».</w:t>
      </w:r>
    </w:p>
    <w:p w:rsidR="00744A1C" w:rsidRDefault="00E378DD" w:rsidP="00E378DD">
      <w:pPr>
        <w:pStyle w:val="libFootnote0"/>
        <w:rPr>
          <w:lang w:bidi="fa-IR"/>
        </w:rPr>
      </w:pPr>
      <w:r>
        <w:rPr>
          <w:rtl/>
          <w:lang w:bidi="fa-IR"/>
        </w:rPr>
        <w:t>(4).</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6 ، ص 390 ، ح 1170 ، عن أحمد بن محمّد بنفس السند عن سعيد بن عمرو الخثعمي ، والمذكور في </w:t>
      </w:r>
      <w:r w:rsidR="00744A1C" w:rsidRPr="0061079A">
        <w:rPr>
          <w:rStyle w:val="libFootnoteBoldChar"/>
          <w:rtl/>
        </w:rPr>
        <w:t>رجال الطوسي</w:t>
      </w:r>
      <w:r w:rsidR="00744A1C">
        <w:rPr>
          <w:rtl/>
          <w:lang w:bidi="fa-IR"/>
        </w:rPr>
        <w:t xml:space="preserve"> ، ص 213 ، الرقم 2781 هو سعيد بن عمرو الجعفي الكوفي.</w:t>
      </w:r>
    </w:p>
    <w:p w:rsidR="00744A1C" w:rsidRDefault="00E378DD" w:rsidP="00E378DD">
      <w:pPr>
        <w:pStyle w:val="libFootnote0"/>
        <w:rPr>
          <w:lang w:bidi="fa-IR"/>
        </w:rPr>
      </w:pPr>
      <w:r>
        <w:rPr>
          <w:rtl/>
          <w:lang w:bidi="fa-IR"/>
        </w:rPr>
        <w:t>(5).</w:t>
      </w:r>
      <w:r w:rsidR="00744A1C">
        <w:rPr>
          <w:rtl/>
          <w:lang w:bidi="fa-IR"/>
        </w:rPr>
        <w:t xml:space="preserve"> هكذا في جميع النسخ التي قوبلت </w:t>
      </w:r>
      <w:r w:rsidR="00744A1C" w:rsidRPr="00EB0D2E">
        <w:rPr>
          <w:rtl/>
        </w:rPr>
        <w:t>والوافي والوسائل والبحار والتهذيب</w:t>
      </w:r>
      <w:r w:rsidR="00744A1C">
        <w:rPr>
          <w:rtl/>
          <w:lang w:bidi="fa-IR"/>
        </w:rPr>
        <w:t>. وفي المطبوع : « وتنحّيت ».</w:t>
      </w:r>
    </w:p>
    <w:p w:rsidR="00744A1C" w:rsidRDefault="00E378DD" w:rsidP="00E378DD">
      <w:pPr>
        <w:pStyle w:val="libFootnote0"/>
        <w:rPr>
          <w:lang w:bidi="fa-IR"/>
        </w:rPr>
      </w:pPr>
      <w:r>
        <w:rPr>
          <w:rtl/>
          <w:lang w:bidi="fa-IR"/>
        </w:rPr>
        <w:t>(6).</w:t>
      </w:r>
      <w:r w:rsidR="00744A1C">
        <w:rPr>
          <w:rtl/>
          <w:lang w:bidi="fa-IR"/>
        </w:rPr>
        <w:t xml:space="preserve"> « فتنحّيت عن الناس » أي تجنّبت عنهم وصرت في ناحية منهم ، أو ابتعدت عنهم. راجع : </w:t>
      </w:r>
      <w:r w:rsidR="00744A1C" w:rsidRPr="00877682">
        <w:rPr>
          <w:rStyle w:val="libFootnoteBoldChar"/>
          <w:rtl/>
        </w:rPr>
        <w:t>لسان العرب</w:t>
      </w:r>
      <w:r w:rsidR="00744A1C">
        <w:rPr>
          <w:rtl/>
          <w:lang w:bidi="fa-IR"/>
        </w:rPr>
        <w:t xml:space="preserve"> ، ج 15 ، ص 311 و 312 ( نحا ).</w:t>
      </w:r>
    </w:p>
    <w:p w:rsidR="00744A1C" w:rsidRDefault="00E378DD" w:rsidP="00E378DD">
      <w:pPr>
        <w:pStyle w:val="libFootnote0"/>
        <w:rPr>
          <w:lang w:bidi="fa-IR"/>
        </w:rPr>
      </w:pPr>
      <w:r>
        <w:rPr>
          <w:rtl/>
          <w:lang w:bidi="fa-IR"/>
        </w:rPr>
        <w:t>(7).</w:t>
      </w:r>
      <w:r w:rsidR="00744A1C">
        <w:rPr>
          <w:rtl/>
          <w:lang w:bidi="fa-IR"/>
        </w:rPr>
        <w:t xml:space="preserve"> في « ط ، بف » </w:t>
      </w:r>
      <w:r w:rsidR="00744A1C" w:rsidRPr="00EB0D2E">
        <w:rPr>
          <w:rtl/>
        </w:rPr>
        <w:t>والوافي : «</w:t>
      </w:r>
      <w:r w:rsidR="00744A1C">
        <w:rPr>
          <w:rtl/>
          <w:lang w:bidi="fa-IR"/>
        </w:rPr>
        <w:t xml:space="preserve"> ثمّ تقصّيت » و « تقصّيت » ، أي صرت في الأقصى عنهم ، يقال : تقصّيت الطريق ، أي صرت في أقصاها ، وهو غايتها ؛ من القَصْو ، وهو البعد. وفي </w:t>
      </w:r>
      <w:r w:rsidR="00744A1C" w:rsidRPr="00C24F9C">
        <w:rPr>
          <w:rStyle w:val="libFootnoteBoldChar"/>
          <w:rtl/>
        </w:rPr>
        <w:t>الوافي</w:t>
      </w:r>
      <w:r w:rsidR="00744A1C">
        <w:rPr>
          <w:rtl/>
          <w:lang w:bidi="fa-IR"/>
        </w:rPr>
        <w:t xml:space="preserve"> : « تنحّيت : بعدت ، ثمّ تقصّيت : ازددت في البعد ». وراجع : </w:t>
      </w:r>
      <w:r w:rsidR="00744A1C" w:rsidRPr="00877682">
        <w:rPr>
          <w:rStyle w:val="libFootnoteBoldChar"/>
          <w:rtl/>
        </w:rPr>
        <w:t>النهاية</w:t>
      </w:r>
      <w:r w:rsidR="00744A1C">
        <w:rPr>
          <w:rtl/>
          <w:lang w:bidi="fa-IR"/>
        </w:rPr>
        <w:t xml:space="preserve"> ، ج 4 ، ص 75 ( قصا ).</w:t>
      </w:r>
    </w:p>
    <w:p w:rsidR="00144FA6" w:rsidRDefault="00E378DD" w:rsidP="00E378DD">
      <w:pPr>
        <w:pStyle w:val="libFootnote0"/>
        <w:rPr>
          <w:rtl/>
          <w:lang w:bidi="fa-IR"/>
        </w:rPr>
      </w:pPr>
      <w:r>
        <w:rPr>
          <w:rtl/>
          <w:lang w:bidi="fa-IR"/>
        </w:rPr>
        <w:t>(8).</w:t>
      </w:r>
      <w:r w:rsidR="00744A1C">
        <w:rPr>
          <w:rtl/>
          <w:lang w:bidi="fa-IR"/>
        </w:rPr>
        <w:t xml:space="preserve"> في « ى ، بس ، جن » و</w:t>
      </w:r>
      <w:r w:rsidR="00744A1C" w:rsidRPr="00C24F9C">
        <w:rPr>
          <w:rStyle w:val="libFootnoteBoldChar"/>
          <w:rtl/>
        </w:rPr>
        <w:t>الوسائل</w:t>
      </w:r>
      <w:r w:rsidR="00744A1C">
        <w:rPr>
          <w:rtl/>
          <w:lang w:bidi="fa-IR"/>
        </w:rPr>
        <w:t xml:space="preserve"> و</w:t>
      </w:r>
      <w:r w:rsidR="00744A1C" w:rsidRPr="0061079A">
        <w:rPr>
          <w:rStyle w:val="libFootnoteBoldChar"/>
          <w:rtl/>
        </w:rPr>
        <w:t>البحار</w:t>
      </w:r>
      <w:r w:rsidR="00744A1C">
        <w:rPr>
          <w:rtl/>
          <w:lang w:bidi="fa-IR"/>
        </w:rPr>
        <w:t xml:space="preserve"> : « الماورقة ». وفي « ط ، بف » : « المافوقة ». وفي حاشية « جت ، جن » </w:t>
      </w:r>
      <w:r w:rsidR="00744A1C" w:rsidRPr="00EB0D2E">
        <w:rPr>
          <w:rtl/>
        </w:rPr>
        <w:t>والتهذيب :</w:t>
      </w:r>
      <w:r w:rsidR="00744A1C">
        <w:rPr>
          <w:rtl/>
          <w:lang w:bidi="fa-IR"/>
        </w:rPr>
        <w:t xml:space="preserve"> « الماقوفة ». وفي </w:t>
      </w:r>
      <w:r w:rsidR="00744A1C" w:rsidRPr="00EB0D2E">
        <w:rPr>
          <w:rtl/>
        </w:rPr>
        <w:t>الوافي :</w:t>
      </w:r>
      <w:r w:rsidR="00744A1C">
        <w:rPr>
          <w:rtl/>
          <w:lang w:bidi="fa-IR"/>
        </w:rPr>
        <w:t xml:space="preserve"> « الماء فوقه ». وفي </w:t>
      </w:r>
      <w:r w:rsidR="00744A1C" w:rsidRPr="00C24F9C">
        <w:rPr>
          <w:rStyle w:val="libFootnoteBoldChar"/>
          <w:rtl/>
        </w:rPr>
        <w:t>المرآة</w:t>
      </w:r>
      <w:r w:rsidR="00744A1C">
        <w:rPr>
          <w:rtl/>
          <w:lang w:bidi="fa-IR"/>
        </w:rPr>
        <w:t xml:space="preserve"> : « قوله : حتّى أتيت الموقوفة ، وفي بعض</w:t>
      </w:r>
      <w:r w:rsidR="00EB0D2E">
        <w:rPr>
          <w:rFonts w:hint="cs"/>
          <w:rtl/>
          <w:lang w:bidi="fa-IR"/>
        </w:rPr>
        <w:t xml:space="preserve"> =</w:t>
      </w:r>
    </w:p>
    <w:p w:rsidR="006D42F6" w:rsidRDefault="006D42F6"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بَيْتٍ </w:t>
      </w:r>
      <w:r w:rsidRPr="00D10E3C">
        <w:rPr>
          <w:rStyle w:val="libFootnotenumChar"/>
          <w:rtl/>
        </w:rPr>
        <w:t>(1)</w:t>
      </w:r>
      <w:r>
        <w:rPr>
          <w:rtl/>
          <w:lang w:bidi="fa-IR"/>
        </w:rPr>
        <w:t xml:space="preserve"> مُتَنَحِّياً عَنِ </w:t>
      </w:r>
      <w:r w:rsidRPr="00D10E3C">
        <w:rPr>
          <w:rStyle w:val="libFootnotenumChar"/>
          <w:rtl/>
        </w:rPr>
        <w:t>(2)</w:t>
      </w:r>
      <w:r>
        <w:rPr>
          <w:rtl/>
          <w:lang w:bidi="fa-IR"/>
        </w:rPr>
        <w:t xml:space="preserve"> النَّاسِ ، ثُمَّ قُلْتُ : مَنْ يَعْرِفُ الْكِيسَ؟ قَالَ </w:t>
      </w:r>
      <w:r w:rsidRPr="00D10E3C">
        <w:rPr>
          <w:rStyle w:val="libFootnotenumChar"/>
          <w:rtl/>
        </w:rPr>
        <w:t>(3)</w:t>
      </w:r>
      <w:r>
        <w:rPr>
          <w:rtl/>
          <w:lang w:bidi="fa-IR"/>
        </w:rPr>
        <w:t xml:space="preserve"> : فَأَوَّلُ صَوْتٍ صَوَّتُّهُ ، إِذَا </w:t>
      </w:r>
      <w:r w:rsidRPr="00D10E3C">
        <w:rPr>
          <w:rStyle w:val="libFootnotenumChar"/>
          <w:rtl/>
        </w:rPr>
        <w:t>(4)</w:t>
      </w:r>
      <w:r>
        <w:rPr>
          <w:rtl/>
          <w:lang w:bidi="fa-IR"/>
        </w:rPr>
        <w:t xml:space="preserve"> رَجُلٌ عَلى رَأْسِي يَقُولُ : أَنَا صَاحِبُ الْكِيسِ ، قَالَ </w:t>
      </w:r>
      <w:r w:rsidRPr="00D10E3C">
        <w:rPr>
          <w:rStyle w:val="libFootnotenumChar"/>
          <w:rtl/>
        </w:rPr>
        <w:t>(5)</w:t>
      </w:r>
      <w:r>
        <w:rPr>
          <w:rtl/>
          <w:lang w:bidi="fa-IR"/>
        </w:rPr>
        <w:t xml:space="preserve"> : فَقُلْتُ فِي نَفْسِي : أَنْتَ فَلَا كُنْتَ </w:t>
      </w:r>
      <w:r w:rsidRPr="00D10E3C">
        <w:rPr>
          <w:rStyle w:val="libFootnotenumChar"/>
          <w:rtl/>
        </w:rPr>
        <w:t>(6)</w:t>
      </w:r>
      <w:r>
        <w:rPr>
          <w:rtl/>
          <w:lang w:bidi="fa-IR"/>
        </w:rPr>
        <w:t xml:space="preserve"> ، قُلْتُ : مَا عَلَامَةُ الْكِيسِ؟ فَأَخْبَرَنِي بِعَلَامَتِهِ ، فَدَفَعْتُهُ إِلَيْهِ.</w:t>
      </w:r>
    </w:p>
    <w:p w:rsidR="00744A1C" w:rsidRDefault="00744A1C" w:rsidP="00744A1C">
      <w:pPr>
        <w:pStyle w:val="libNormal"/>
        <w:rPr>
          <w:lang w:bidi="fa-IR"/>
        </w:rPr>
      </w:pPr>
      <w:r>
        <w:rPr>
          <w:rtl/>
          <w:lang w:bidi="fa-IR"/>
        </w:rPr>
        <w:t xml:space="preserve">قَالَ </w:t>
      </w:r>
      <w:r w:rsidRPr="00D10E3C">
        <w:rPr>
          <w:rStyle w:val="libFootnotenumChar"/>
          <w:rtl/>
        </w:rPr>
        <w:t>(7)</w:t>
      </w:r>
      <w:r>
        <w:rPr>
          <w:rtl/>
          <w:lang w:bidi="fa-IR"/>
        </w:rPr>
        <w:t xml:space="preserve"> : فَتَنَحّى نَاحِيَةً ، فَعَدَّهَا ، فَإِذَا الدَّنَانِيرُ عَلى حَالِهَا ، ثُمَّ عَدَّ مِنْهَا سَبْعِينَ دِينَاراً ، فَقَالَ : خُذْهَا حَلَالاً </w:t>
      </w:r>
      <w:r w:rsidRPr="00D10E3C">
        <w:rPr>
          <w:rStyle w:val="libFootnotenumChar"/>
          <w:rtl/>
        </w:rPr>
        <w:t>(8)</w:t>
      </w:r>
      <w:r>
        <w:rPr>
          <w:rtl/>
          <w:lang w:bidi="fa-IR"/>
        </w:rPr>
        <w:t xml:space="preserve"> خَيْرٌ </w:t>
      </w:r>
      <w:r w:rsidRPr="00D10E3C">
        <w:rPr>
          <w:rStyle w:val="libFootnotenumChar"/>
          <w:rtl/>
        </w:rPr>
        <w:t>(9)</w:t>
      </w:r>
      <w:r>
        <w:rPr>
          <w:rtl/>
          <w:lang w:bidi="fa-IR"/>
        </w:rPr>
        <w:t xml:space="preserve"> مِنْ سَبْعِمِائَةٍ حَرَاماً </w:t>
      </w:r>
      <w:r w:rsidRPr="00D10E3C">
        <w:rPr>
          <w:rStyle w:val="libFootnotenumChar"/>
          <w:rtl/>
        </w:rPr>
        <w:t>(10)</w:t>
      </w:r>
      <w:r>
        <w:rPr>
          <w:rtl/>
          <w:lang w:bidi="fa-IR"/>
        </w:rPr>
        <w:t xml:space="preserve"> ، فَأَخَذْتُهَا.</w:t>
      </w:r>
    </w:p>
    <w:p w:rsidR="00144FA6" w:rsidRDefault="00744A1C" w:rsidP="00744A1C">
      <w:pPr>
        <w:pStyle w:val="libNormal"/>
        <w:rPr>
          <w:rtl/>
          <w:lang w:bidi="fa-IR"/>
        </w:rPr>
      </w:pPr>
      <w:r>
        <w:rPr>
          <w:rtl/>
          <w:lang w:bidi="fa-IR"/>
        </w:rPr>
        <w:t xml:space="preserve">ثُمَّ دَخَلْتُ عَلى أَبِي عَبْدِ اللهِ </w:t>
      </w:r>
      <w:r w:rsidR="0061079A" w:rsidRPr="0061079A">
        <w:rPr>
          <w:rStyle w:val="libAlaemChar"/>
          <w:rtl/>
        </w:rPr>
        <w:t>عليه‌السلام</w:t>
      </w:r>
      <w:r w:rsidR="00D10E3C">
        <w:rPr>
          <w:rtl/>
          <w:lang w:bidi="fa-IR"/>
        </w:rPr>
        <w:t xml:space="preserve"> </w:t>
      </w:r>
      <w:r>
        <w:rPr>
          <w:rtl/>
          <w:lang w:bidi="fa-IR"/>
        </w:rPr>
        <w:t xml:space="preserve">، فَأَخْبَرْتُهُ كَيْفَ تَنَحَّيْتُ ، وَكَيْفَ صَنَعْتُ ، فَقَالَ : « أَمَا إِنَّكَ حِينَ </w:t>
      </w:r>
      <w:r w:rsidRPr="00D10E3C">
        <w:rPr>
          <w:rStyle w:val="libFootnotenumChar"/>
          <w:rtl/>
        </w:rPr>
        <w:t>(11)</w:t>
      </w:r>
      <w:r>
        <w:rPr>
          <w:rtl/>
          <w:lang w:bidi="fa-IR"/>
        </w:rPr>
        <w:t xml:space="preserve"> شَكَوْتَ إِلَيَّ ، أَمَرْنَا لَكَ بِثَلَاثِينَ دِينَاراً ، يَا </w:t>
      </w:r>
      <w:r w:rsidRPr="00D10E3C">
        <w:rPr>
          <w:rStyle w:val="libFootnotenumChar"/>
          <w:rtl/>
        </w:rPr>
        <w:t>(12)</w:t>
      </w:r>
      <w:r>
        <w:rPr>
          <w:rtl/>
          <w:lang w:bidi="fa-IR"/>
        </w:rPr>
        <w:t xml:space="preserve"> جَارِيَةُ هَاتِيهَا » فَأَخَذْتُهَا وَأَنَا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830176" w:rsidP="00D10E3C">
      <w:pPr>
        <w:pStyle w:val="libFootnote0"/>
        <w:rPr>
          <w:lang w:bidi="fa-IR"/>
        </w:rPr>
      </w:pPr>
      <w:r>
        <w:rPr>
          <w:rFonts w:hint="cs"/>
          <w:rtl/>
          <w:lang w:bidi="fa-IR"/>
        </w:rPr>
        <w:t xml:space="preserve">= </w:t>
      </w:r>
      <w:r w:rsidR="00744A1C">
        <w:rPr>
          <w:rtl/>
          <w:lang w:bidi="fa-IR"/>
        </w:rPr>
        <w:t>النسخ : الماقوفة ، وعلى التقادير الظاهر أنّه اسم موضع غير معروف الآن ».</w:t>
      </w:r>
    </w:p>
    <w:p w:rsidR="00744A1C" w:rsidRDefault="00744A1C" w:rsidP="00D10E3C">
      <w:pPr>
        <w:pStyle w:val="libFootnote0"/>
        <w:rPr>
          <w:lang w:bidi="fa-IR"/>
        </w:rPr>
      </w:pPr>
      <w:r>
        <w:rPr>
          <w:rtl/>
          <w:lang w:bidi="fa-IR"/>
        </w:rPr>
        <w:t xml:space="preserve">وفي هامش </w:t>
      </w:r>
      <w:r w:rsidRPr="0061079A">
        <w:rPr>
          <w:rStyle w:val="libFootnoteBoldChar"/>
          <w:rtl/>
        </w:rPr>
        <w:t>الكافي</w:t>
      </w:r>
      <w:r>
        <w:rPr>
          <w:rtl/>
          <w:lang w:bidi="fa-IR"/>
        </w:rPr>
        <w:t xml:space="preserve"> المطبوع : « قد جاءت هذه اللفظة بصور مختلفة في كثير من النسخ ، وقد جاءت في بعضها بصورة المأفوقة ، وفي بعض آخر : الماروقة ، والماورقة ، والماقوقة ، وقد أفاد بعض الأفاضل في تصحيح هذه الكلمة في حاشيته على الكتاب ، حيث قال : وأظنّ أنّ الكلّ تصحيف ، والصواب : الماقوفة ، بتقديم القاف على الفاء اسم مفعول من الوقف على غير القياس ، والمراد المنازل الموقوفة بمنى لمن لا فسطاط له ، وذلك نحو قوله </w:t>
      </w:r>
      <w:r w:rsidR="0061079A" w:rsidRPr="0061079A">
        <w:rPr>
          <w:rStyle w:val="libFootnoteAlaemChar"/>
          <w:rtl/>
        </w:rPr>
        <w:t>عليه‌السلام</w:t>
      </w:r>
      <w:r w:rsidR="00D10E3C">
        <w:rPr>
          <w:rtl/>
          <w:lang w:bidi="fa-IR"/>
        </w:rPr>
        <w:t xml:space="preserve"> </w:t>
      </w:r>
      <w:r>
        <w:rPr>
          <w:rtl/>
          <w:lang w:bidi="fa-IR"/>
        </w:rPr>
        <w:t>: اذهبين مأجورات غير مأزورات ؛ حيث كان القياس : موزورات. انتهى. وأنا أقول : وفي نسخة صحيحة عندي : الموقوفة ، فلا حاجة إلى هذه التكلّفات. فضل الله الإلهيّ ».</w:t>
      </w:r>
    </w:p>
    <w:p w:rsidR="00744A1C" w:rsidRDefault="00744A1C" w:rsidP="00D10E3C">
      <w:pPr>
        <w:pStyle w:val="libFootnote0"/>
        <w:rPr>
          <w:lang w:bidi="fa-IR"/>
        </w:rPr>
      </w:pPr>
      <w:r>
        <w:rPr>
          <w:rtl/>
          <w:lang w:bidi="fa-IR"/>
        </w:rPr>
        <w:t xml:space="preserve">وفي هامش </w:t>
      </w:r>
      <w:r w:rsidRPr="00C24F9C">
        <w:rPr>
          <w:rStyle w:val="libFootnoteBoldChar"/>
          <w:rtl/>
        </w:rPr>
        <w:t>الوافي</w:t>
      </w:r>
      <w:r>
        <w:rPr>
          <w:rtl/>
          <w:lang w:bidi="fa-IR"/>
        </w:rPr>
        <w:t xml:space="preserve"> : عبارة « الماء فوقه » ، اختلفت في النسخ المخطوطة والمطبوعة ، ففي </w:t>
      </w:r>
      <w:r w:rsidRPr="0061079A">
        <w:rPr>
          <w:rStyle w:val="libFootnoteBoldChar"/>
          <w:rtl/>
        </w:rPr>
        <w:t>الكافي</w:t>
      </w:r>
      <w:r>
        <w:rPr>
          <w:rtl/>
          <w:lang w:bidi="fa-IR"/>
        </w:rPr>
        <w:t xml:space="preserve"> المطبوع : الموقوفة ، وفي </w:t>
      </w:r>
      <w:r w:rsidRPr="00C24F9C">
        <w:rPr>
          <w:rStyle w:val="libFootnoteBoldChar"/>
          <w:rtl/>
        </w:rPr>
        <w:t>التهذيب</w:t>
      </w:r>
      <w:r>
        <w:rPr>
          <w:rtl/>
          <w:lang w:bidi="fa-IR"/>
        </w:rPr>
        <w:t xml:space="preserve"> المطبوع : الماقوفة ، وفي </w:t>
      </w:r>
      <w:r w:rsidRPr="0061079A">
        <w:rPr>
          <w:rStyle w:val="libFootnoteBoldChar"/>
          <w:rtl/>
        </w:rPr>
        <w:t>الكافي</w:t>
      </w:r>
      <w:r>
        <w:rPr>
          <w:rtl/>
          <w:lang w:bidi="fa-IR"/>
        </w:rPr>
        <w:t xml:space="preserve"> المخطوط « فت » : المافوقة ، وفي المخطوط « مج » : الماورقة ، الماقوفة - خ ل ، وفي حاشيته كتب</w:t>
      </w:r>
      <w:r w:rsidR="00830176">
        <w:rPr>
          <w:rtl/>
          <w:lang w:bidi="fa-IR"/>
        </w:rPr>
        <w:t xml:space="preserve"> : الماء فوقه ، كذا صحّحه العل</w:t>
      </w:r>
      <w:r w:rsidR="00830176">
        <w:rPr>
          <w:rFonts w:hint="cs"/>
          <w:rtl/>
          <w:lang w:bidi="fa-IR"/>
        </w:rPr>
        <w:t>ّ</w:t>
      </w:r>
      <w:r w:rsidR="00830176">
        <w:rPr>
          <w:rtl/>
          <w:lang w:bidi="fa-IR"/>
        </w:rPr>
        <w:t>ا</w:t>
      </w:r>
      <w:r>
        <w:rPr>
          <w:rtl/>
          <w:lang w:bidi="fa-IR"/>
        </w:rPr>
        <w:t>مة المولى ميرزا ».</w:t>
      </w:r>
    </w:p>
    <w:tbl>
      <w:tblPr>
        <w:tblStyle w:val="TableGrid"/>
        <w:bidiVisual/>
        <w:tblW w:w="0" w:type="auto"/>
        <w:tblLook w:val="04A0" w:firstRow="1" w:lastRow="0" w:firstColumn="1" w:lastColumn="0" w:noHBand="0" w:noVBand="1"/>
      </w:tblPr>
      <w:tblGrid>
        <w:gridCol w:w="4006"/>
        <w:gridCol w:w="4006"/>
      </w:tblGrid>
      <w:tr w:rsidR="00830176" w:rsidTr="00830176">
        <w:tc>
          <w:tcPr>
            <w:tcW w:w="4006" w:type="dxa"/>
          </w:tcPr>
          <w:p w:rsidR="00830176" w:rsidRDefault="00830176" w:rsidP="00D10E3C">
            <w:pPr>
              <w:pStyle w:val="libFootnote0"/>
              <w:rPr>
                <w:rtl/>
                <w:lang w:bidi="fa-IR"/>
              </w:rPr>
            </w:pPr>
            <w:r>
              <w:rPr>
                <w:rtl/>
                <w:lang w:bidi="fa-IR"/>
              </w:rPr>
              <w:t xml:space="preserve">(1). في </w:t>
            </w:r>
            <w:r w:rsidRPr="00830176">
              <w:rPr>
                <w:rtl/>
              </w:rPr>
              <w:t>الوافي</w:t>
            </w:r>
            <w:r>
              <w:rPr>
                <w:rtl/>
                <w:lang w:bidi="fa-IR"/>
              </w:rPr>
              <w:t xml:space="preserve"> : - « في بيت ».</w:t>
            </w:r>
          </w:p>
        </w:tc>
        <w:tc>
          <w:tcPr>
            <w:tcW w:w="4006" w:type="dxa"/>
          </w:tcPr>
          <w:p w:rsidR="00830176" w:rsidRDefault="00830176" w:rsidP="00D10E3C">
            <w:pPr>
              <w:pStyle w:val="libFootnote0"/>
              <w:rPr>
                <w:rtl/>
                <w:lang w:bidi="fa-IR"/>
              </w:rPr>
            </w:pPr>
            <w:r>
              <w:rPr>
                <w:rtl/>
                <w:lang w:bidi="fa-IR"/>
              </w:rPr>
              <w:t xml:space="preserve">(2). في </w:t>
            </w:r>
            <w:r w:rsidRPr="00830176">
              <w:rPr>
                <w:rtl/>
              </w:rPr>
              <w:t>البحار</w:t>
            </w:r>
            <w:r>
              <w:rPr>
                <w:rtl/>
                <w:lang w:bidi="fa-IR"/>
              </w:rPr>
              <w:t xml:space="preserve"> : « من ».</w:t>
            </w:r>
          </w:p>
        </w:tc>
      </w:tr>
    </w:tbl>
    <w:p w:rsidR="00744A1C" w:rsidRDefault="00E378DD" w:rsidP="00E378DD">
      <w:pPr>
        <w:pStyle w:val="libFootnote0"/>
        <w:rPr>
          <w:lang w:bidi="fa-IR"/>
        </w:rPr>
      </w:pPr>
      <w:r>
        <w:rPr>
          <w:rtl/>
          <w:lang w:bidi="fa-IR"/>
        </w:rPr>
        <w:t>(3).</w:t>
      </w:r>
      <w:r w:rsidR="00744A1C">
        <w:rPr>
          <w:rtl/>
          <w:lang w:bidi="fa-IR"/>
        </w:rPr>
        <w:t xml:space="preserve"> في </w:t>
      </w:r>
      <w:r w:rsidR="00744A1C" w:rsidRPr="00830176">
        <w:rPr>
          <w:rtl/>
        </w:rPr>
        <w:t>الوسائل والتهذيب</w:t>
      </w:r>
      <w:r w:rsidR="00744A1C">
        <w:rPr>
          <w:rtl/>
          <w:lang w:bidi="fa-IR"/>
        </w:rPr>
        <w:t xml:space="preserve"> : - « قال ».</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w:t>
      </w:r>
      <w:r w:rsidR="00744A1C" w:rsidRPr="00830176">
        <w:rPr>
          <w:rtl/>
        </w:rPr>
        <w:t>والوافي والوسائل والبحار والتهذيب. وفي</w:t>
      </w:r>
      <w:r w:rsidR="00744A1C">
        <w:rPr>
          <w:rtl/>
          <w:lang w:bidi="fa-IR"/>
        </w:rPr>
        <w:t xml:space="preserve"> المطبوع : « فإذا ».</w:t>
      </w:r>
    </w:p>
    <w:p w:rsidR="00744A1C" w:rsidRDefault="00E378DD" w:rsidP="00E378DD">
      <w:pPr>
        <w:pStyle w:val="libFootnote0"/>
        <w:rPr>
          <w:lang w:bidi="fa-IR"/>
        </w:rPr>
      </w:pPr>
      <w:r>
        <w:rPr>
          <w:rtl/>
          <w:lang w:bidi="fa-IR"/>
        </w:rPr>
        <w:t>(5).</w:t>
      </w:r>
      <w:r w:rsidR="00744A1C">
        <w:rPr>
          <w:rtl/>
          <w:lang w:bidi="fa-IR"/>
        </w:rPr>
        <w:t xml:space="preserve"> في </w:t>
      </w:r>
      <w:r w:rsidR="00744A1C" w:rsidRPr="00830176">
        <w:rPr>
          <w:rtl/>
        </w:rPr>
        <w:t>الوسائل والتهذيب</w:t>
      </w:r>
      <w:r w:rsidR="00744A1C">
        <w:rPr>
          <w:rtl/>
          <w:lang w:bidi="fa-IR"/>
        </w:rPr>
        <w:t xml:space="preserve"> : - « قال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قوله : أنت فلا كنت ، على الاستفهام ، أي أنت صاحب الكيس؟ فلا كنت موجوداً ، دعاء عليه بأن تكون تامّة ، أو لا كنت صاحبه ، دعاء ، أو ما كنت حاضراً فكيف حضرت وسمعت؟ أو لعلّك لا تكون صاحبه ».</w:t>
      </w:r>
    </w:p>
    <w:tbl>
      <w:tblPr>
        <w:tblStyle w:val="TableGrid"/>
        <w:bidiVisual/>
        <w:tblW w:w="0" w:type="auto"/>
        <w:tblLook w:val="04A0" w:firstRow="1" w:lastRow="0" w:firstColumn="1" w:lastColumn="0" w:noHBand="0" w:noVBand="1"/>
      </w:tblPr>
      <w:tblGrid>
        <w:gridCol w:w="4006"/>
        <w:gridCol w:w="4006"/>
      </w:tblGrid>
      <w:tr w:rsidR="00830176" w:rsidTr="00830176">
        <w:tc>
          <w:tcPr>
            <w:tcW w:w="4006" w:type="dxa"/>
          </w:tcPr>
          <w:p w:rsidR="00830176" w:rsidRDefault="00830176" w:rsidP="00E378DD">
            <w:pPr>
              <w:pStyle w:val="libFootnote0"/>
              <w:rPr>
                <w:rtl/>
                <w:lang w:bidi="fa-IR"/>
              </w:rPr>
            </w:pPr>
            <w:r>
              <w:rPr>
                <w:rtl/>
                <w:lang w:bidi="fa-IR"/>
              </w:rPr>
              <w:t>(7). في « ط » : - « قال ».</w:t>
            </w:r>
          </w:p>
        </w:tc>
        <w:tc>
          <w:tcPr>
            <w:tcW w:w="4006" w:type="dxa"/>
          </w:tcPr>
          <w:p w:rsidR="00830176" w:rsidRDefault="00830176" w:rsidP="00E378DD">
            <w:pPr>
              <w:pStyle w:val="libFootnote0"/>
              <w:rPr>
                <w:rtl/>
                <w:lang w:bidi="fa-IR"/>
              </w:rPr>
            </w:pPr>
            <w:r>
              <w:rPr>
                <w:rtl/>
                <w:lang w:bidi="fa-IR"/>
              </w:rPr>
              <w:t>(8). في « جت » : + « لك ».</w:t>
            </w:r>
          </w:p>
        </w:tc>
      </w:tr>
    </w:tbl>
    <w:p w:rsidR="00744A1C" w:rsidRDefault="00E378DD" w:rsidP="00E378DD">
      <w:pPr>
        <w:pStyle w:val="libFootnote0"/>
        <w:rPr>
          <w:lang w:bidi="fa-IR"/>
        </w:rPr>
      </w:pPr>
      <w:r>
        <w:rPr>
          <w:rtl/>
          <w:lang w:bidi="fa-IR"/>
        </w:rPr>
        <w:t>(9).</w:t>
      </w:r>
      <w:r w:rsidR="00744A1C">
        <w:rPr>
          <w:rtl/>
          <w:lang w:bidi="fa-IR"/>
        </w:rPr>
        <w:t xml:space="preserve"> في « بح ، بخ ، بف ، جن » </w:t>
      </w:r>
      <w:r w:rsidR="00744A1C" w:rsidRPr="001B0398">
        <w:rPr>
          <w:rtl/>
        </w:rPr>
        <w:t>والوافي والتهذيب :</w:t>
      </w:r>
      <w:r w:rsidR="00744A1C">
        <w:rPr>
          <w:rtl/>
          <w:lang w:bidi="fa-IR"/>
        </w:rPr>
        <w:t xml:space="preserve"> + « لك ».</w:t>
      </w:r>
    </w:p>
    <w:tbl>
      <w:tblPr>
        <w:tblStyle w:val="TableGrid"/>
        <w:bidiVisual/>
        <w:tblW w:w="0" w:type="auto"/>
        <w:tblLook w:val="04A0" w:firstRow="1" w:lastRow="0" w:firstColumn="1" w:lastColumn="0" w:noHBand="0" w:noVBand="1"/>
      </w:tblPr>
      <w:tblGrid>
        <w:gridCol w:w="4006"/>
        <w:gridCol w:w="4006"/>
      </w:tblGrid>
      <w:tr w:rsidR="001B0398" w:rsidTr="001B0398">
        <w:tc>
          <w:tcPr>
            <w:tcW w:w="4006" w:type="dxa"/>
          </w:tcPr>
          <w:p w:rsidR="001B0398" w:rsidRDefault="001B0398" w:rsidP="00E378DD">
            <w:pPr>
              <w:pStyle w:val="libFootnote0"/>
              <w:rPr>
                <w:rtl/>
                <w:lang w:bidi="fa-IR"/>
              </w:rPr>
            </w:pPr>
            <w:r>
              <w:rPr>
                <w:rtl/>
                <w:lang w:bidi="fa-IR"/>
              </w:rPr>
              <w:t>(10). في « بخ » : + « قال ».</w:t>
            </w:r>
          </w:p>
        </w:tc>
        <w:tc>
          <w:tcPr>
            <w:tcW w:w="4006" w:type="dxa"/>
          </w:tcPr>
          <w:p w:rsidR="001B0398" w:rsidRDefault="001B0398" w:rsidP="00E378DD">
            <w:pPr>
              <w:pStyle w:val="libFootnote0"/>
              <w:rPr>
                <w:rtl/>
                <w:lang w:bidi="fa-IR"/>
              </w:rPr>
            </w:pPr>
            <w:r>
              <w:rPr>
                <w:rtl/>
                <w:lang w:bidi="fa-IR"/>
              </w:rPr>
              <w:t xml:space="preserve">(11). في « بخ » : «جئت». </w:t>
            </w:r>
            <w:r w:rsidRPr="001B0398">
              <w:rPr>
                <w:rtl/>
              </w:rPr>
              <w:t>وفي الوافي :</w:t>
            </w:r>
            <w:r>
              <w:rPr>
                <w:rtl/>
                <w:lang w:bidi="fa-IR"/>
              </w:rPr>
              <w:t xml:space="preserve"> « حيث ».</w:t>
            </w:r>
          </w:p>
        </w:tc>
      </w:tr>
      <w:tr w:rsidR="001B0398" w:rsidTr="001B0398">
        <w:tc>
          <w:tcPr>
            <w:tcW w:w="4006" w:type="dxa"/>
          </w:tcPr>
          <w:p w:rsidR="001B0398" w:rsidRDefault="00AF7EE3" w:rsidP="00E378DD">
            <w:pPr>
              <w:pStyle w:val="libFootnote0"/>
              <w:rPr>
                <w:rtl/>
                <w:lang w:bidi="fa-IR"/>
              </w:rPr>
            </w:pPr>
            <w:r>
              <w:rPr>
                <w:rtl/>
                <w:lang w:bidi="fa-IR"/>
              </w:rPr>
              <w:t xml:space="preserve">(12). في </w:t>
            </w:r>
            <w:r w:rsidRPr="00831151">
              <w:rPr>
                <w:rtl/>
              </w:rPr>
              <w:t>الوافي</w:t>
            </w:r>
            <w:r>
              <w:rPr>
                <w:rtl/>
                <w:lang w:bidi="fa-IR"/>
              </w:rPr>
              <w:t xml:space="preserve"> : « فيا ».</w:t>
            </w:r>
          </w:p>
        </w:tc>
        <w:tc>
          <w:tcPr>
            <w:tcW w:w="4006" w:type="dxa"/>
          </w:tcPr>
          <w:p w:rsidR="001B0398" w:rsidRDefault="00AF7EE3" w:rsidP="00E378DD">
            <w:pPr>
              <w:pStyle w:val="libFootnote0"/>
              <w:rPr>
                <w:rtl/>
                <w:lang w:bidi="fa-IR"/>
              </w:rPr>
            </w:pPr>
            <w:r>
              <w:rPr>
                <w:rtl/>
                <w:lang w:bidi="fa-IR"/>
              </w:rPr>
              <w:t>(13). في « جن » : « فأنا ».</w:t>
            </w:r>
          </w:p>
        </w:tc>
      </w:tr>
    </w:tbl>
    <w:p w:rsidR="006D42F6" w:rsidRDefault="006D42F6" w:rsidP="00D10E3C">
      <w:pPr>
        <w:pStyle w:val="libNormal"/>
        <w:rPr>
          <w:rtl/>
          <w:lang w:bidi="fa-IR"/>
        </w:rPr>
      </w:pPr>
      <w:r>
        <w:rPr>
          <w:rtl/>
          <w:lang w:bidi="fa-IR"/>
        </w:rPr>
        <w:br w:type="page"/>
      </w:r>
    </w:p>
    <w:p w:rsidR="00144FA6" w:rsidRDefault="00744A1C" w:rsidP="002933FE">
      <w:pPr>
        <w:pStyle w:val="libNormal0"/>
        <w:rPr>
          <w:rtl/>
          <w:lang w:bidi="fa-IR"/>
        </w:rPr>
      </w:pPr>
      <w:r>
        <w:rPr>
          <w:rtl/>
          <w:lang w:bidi="fa-IR"/>
        </w:rPr>
        <w:t xml:space="preserve">مِنْ أَحْسَنِ قَوْمِي </w:t>
      </w:r>
      <w:r w:rsidRPr="00D10E3C">
        <w:rPr>
          <w:rStyle w:val="libFootnotenumChar"/>
          <w:rtl/>
        </w:rPr>
        <w:t>(1)</w:t>
      </w:r>
      <w:r>
        <w:rPr>
          <w:rtl/>
          <w:lang w:bidi="fa-IR"/>
        </w:rPr>
        <w:t xml:space="preserve"> حَالاً. </w:t>
      </w:r>
      <w:r w:rsidRPr="00D10E3C">
        <w:rPr>
          <w:rStyle w:val="libFootnotenumChar"/>
          <w:rtl/>
        </w:rPr>
        <w:t>(2)</w:t>
      </w:r>
    </w:p>
    <w:p w:rsidR="00144FA6" w:rsidRDefault="00744A1C" w:rsidP="00744A1C">
      <w:pPr>
        <w:pStyle w:val="libNormal"/>
        <w:rPr>
          <w:rtl/>
          <w:lang w:bidi="fa-IR"/>
        </w:rPr>
      </w:pPr>
      <w:r>
        <w:rPr>
          <w:rtl/>
          <w:lang w:bidi="fa-IR"/>
        </w:rPr>
        <w:t xml:space="preserve">8637 / 7. مُحَمَّدُ بْنُ يَحْيى ، عَنْ مُحَمَّدِ بْنِ أَحْمَدَ </w:t>
      </w:r>
      <w:r w:rsidRPr="00D10E3C">
        <w:rPr>
          <w:rStyle w:val="libFootnotenumChar"/>
          <w:rtl/>
        </w:rPr>
        <w:t>(3)</w:t>
      </w:r>
      <w:r>
        <w:rPr>
          <w:rtl/>
          <w:lang w:bidi="fa-IR"/>
        </w:rPr>
        <w:t xml:space="preserve"> ، عَنْ مُوسَى بْنِ عُمَرَ ، عَنِ الْحَجَّالِ ، عَنْ دَاوُدَ بْنِ أَبِي يَزِيدَ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قَالَ </w:t>
      </w:r>
      <w:r w:rsidRPr="00D10E3C">
        <w:rPr>
          <w:rStyle w:val="libFootnotenumChar"/>
          <w:rtl/>
        </w:rPr>
        <w:t>(4)</w:t>
      </w:r>
      <w:r>
        <w:rPr>
          <w:rtl/>
          <w:lang w:bidi="fa-IR"/>
        </w:rPr>
        <w:t xml:space="preserve"> رَجُلٌ : إِنِّي قَدْ </w:t>
      </w:r>
      <w:r w:rsidRPr="00D10E3C">
        <w:rPr>
          <w:rStyle w:val="libFootnotenumChar"/>
          <w:rtl/>
        </w:rPr>
        <w:t>(5)</w:t>
      </w:r>
      <w:r>
        <w:rPr>
          <w:rtl/>
          <w:lang w:bidi="fa-IR"/>
        </w:rPr>
        <w:t xml:space="preserve"> أَصَبْتُ مَالاً ، وَإِنِّي قَدْ </w:t>
      </w:r>
      <w:r w:rsidRPr="00D10E3C">
        <w:rPr>
          <w:rStyle w:val="libFootnotenumChar"/>
          <w:rtl/>
        </w:rPr>
        <w:t>(6)</w:t>
      </w:r>
      <w:r>
        <w:rPr>
          <w:rtl/>
          <w:lang w:bidi="fa-IR"/>
        </w:rPr>
        <w:t xml:space="preserve"> خِفْتُ فِيهِ عَلى نَفْسِي ، فَلَوْ </w:t>
      </w:r>
      <w:r w:rsidRPr="00D10E3C">
        <w:rPr>
          <w:rStyle w:val="libFootnotenumChar"/>
          <w:rtl/>
        </w:rPr>
        <w:t>(7)</w:t>
      </w:r>
      <w:r>
        <w:rPr>
          <w:rtl/>
          <w:lang w:bidi="fa-IR"/>
        </w:rPr>
        <w:t xml:space="preserve"> أَصَبْتُ صَاحِبَهُ دَفَعْتُهُ إِلَيْهِ ، وَتَخَلَّصْتُ </w:t>
      </w:r>
      <w:r w:rsidRPr="00D10E3C">
        <w:rPr>
          <w:rStyle w:val="libFootnotenumChar"/>
          <w:rtl/>
        </w:rPr>
        <w:t>(8)</w:t>
      </w:r>
      <w:r>
        <w:rPr>
          <w:rtl/>
          <w:lang w:bidi="fa-IR"/>
        </w:rPr>
        <w:t xml:space="preserve"> مِنْهُ.</w:t>
      </w:r>
    </w:p>
    <w:p w:rsidR="00744A1C" w:rsidRDefault="00744A1C" w:rsidP="00744A1C">
      <w:pPr>
        <w:pStyle w:val="libNormal"/>
        <w:rPr>
          <w:lang w:bidi="fa-IR"/>
        </w:rPr>
      </w:pPr>
      <w:r>
        <w:rPr>
          <w:rtl/>
          <w:lang w:bidi="fa-IR"/>
        </w:rPr>
        <w:t xml:space="preserve">قَالَ : فَقَالَ لَهُ </w:t>
      </w:r>
      <w:r w:rsidRPr="00D10E3C">
        <w:rPr>
          <w:rStyle w:val="libFootnotenumChar"/>
          <w:rtl/>
        </w:rPr>
        <w:t>(9)</w:t>
      </w:r>
      <w:r>
        <w:rPr>
          <w:rtl/>
          <w:lang w:bidi="fa-IR"/>
        </w:rPr>
        <w:t xml:space="preserve"> أَبُو عَبْدِ اللهِ </w:t>
      </w:r>
      <w:r w:rsidR="0061079A" w:rsidRPr="0061079A">
        <w:rPr>
          <w:rStyle w:val="libAlaemChar"/>
          <w:rtl/>
        </w:rPr>
        <w:t>عليه‌السلام</w:t>
      </w:r>
      <w:r w:rsidR="00D10E3C">
        <w:rPr>
          <w:rtl/>
          <w:lang w:bidi="fa-IR"/>
        </w:rPr>
        <w:t xml:space="preserve"> </w:t>
      </w:r>
      <w:r>
        <w:rPr>
          <w:rtl/>
          <w:lang w:bidi="fa-IR"/>
        </w:rPr>
        <w:t xml:space="preserve">: « وَاللهِ إِنْ </w:t>
      </w:r>
      <w:r w:rsidRPr="00D10E3C">
        <w:rPr>
          <w:rStyle w:val="libFootnotenumChar"/>
          <w:rtl/>
        </w:rPr>
        <w:t>(10)</w:t>
      </w:r>
      <w:r>
        <w:rPr>
          <w:rtl/>
          <w:lang w:bidi="fa-IR"/>
        </w:rPr>
        <w:t xml:space="preserve"> لَوْ أَصَبْتَهُ </w:t>
      </w:r>
      <w:r w:rsidRPr="00D10E3C">
        <w:rPr>
          <w:rStyle w:val="libFootnotenumChar"/>
          <w:rtl/>
        </w:rPr>
        <w:t>(11)</w:t>
      </w:r>
      <w:r>
        <w:rPr>
          <w:rtl/>
          <w:lang w:bidi="fa-IR"/>
        </w:rPr>
        <w:t xml:space="preserve"> كُنْتَ تَدْفَعُهُ إِلَيْهِ؟ ».</w:t>
      </w:r>
    </w:p>
    <w:p w:rsidR="00744A1C" w:rsidRDefault="00744A1C" w:rsidP="00744A1C">
      <w:pPr>
        <w:pStyle w:val="libNormal"/>
        <w:rPr>
          <w:lang w:bidi="fa-IR"/>
        </w:rPr>
      </w:pPr>
      <w:r>
        <w:rPr>
          <w:rtl/>
          <w:lang w:bidi="fa-IR"/>
        </w:rPr>
        <w:t xml:space="preserve">قَالَ </w:t>
      </w:r>
      <w:r w:rsidRPr="00D10E3C">
        <w:rPr>
          <w:rStyle w:val="libFootnotenumChar"/>
          <w:rtl/>
        </w:rPr>
        <w:t>(12)</w:t>
      </w:r>
      <w:r>
        <w:rPr>
          <w:rtl/>
          <w:lang w:bidi="fa-IR"/>
        </w:rPr>
        <w:t xml:space="preserve"> : إِي وَاللهِ.</w:t>
      </w:r>
    </w:p>
    <w:p w:rsidR="00744A1C" w:rsidRDefault="00744A1C" w:rsidP="00744A1C">
      <w:pPr>
        <w:pStyle w:val="libNormal"/>
        <w:rPr>
          <w:lang w:bidi="fa-IR"/>
        </w:rPr>
      </w:pPr>
      <w:r>
        <w:rPr>
          <w:rtl/>
          <w:lang w:bidi="fa-IR"/>
        </w:rPr>
        <w:t xml:space="preserve">قَالَ : « فَأَنَا </w:t>
      </w:r>
      <w:r w:rsidRPr="00D10E3C">
        <w:rPr>
          <w:rStyle w:val="libFootnotenumChar"/>
          <w:rtl/>
        </w:rPr>
        <w:t>(13)</w:t>
      </w:r>
      <w:r>
        <w:rPr>
          <w:rtl/>
          <w:lang w:bidi="fa-IR"/>
        </w:rPr>
        <w:t xml:space="preserve"> وَاللهِ ، مَا لَهُ صَاحِبٌ غَيْرِي </w:t>
      </w:r>
      <w:r w:rsidRPr="00D10E3C">
        <w:rPr>
          <w:rStyle w:val="libFootnotenumChar"/>
          <w:rtl/>
        </w:rPr>
        <w:t>(14)</w:t>
      </w:r>
      <w:r>
        <w:rPr>
          <w:rtl/>
          <w:lang w:bidi="fa-IR"/>
        </w:rPr>
        <w:t xml:space="preserve"> ».</w:t>
      </w:r>
    </w:p>
    <w:p w:rsidR="00144FA6" w:rsidRDefault="00744A1C" w:rsidP="00744A1C">
      <w:pPr>
        <w:pStyle w:val="libNormal"/>
        <w:rPr>
          <w:rtl/>
          <w:lang w:bidi="fa-IR"/>
        </w:rPr>
      </w:pPr>
      <w:r>
        <w:rPr>
          <w:rtl/>
          <w:lang w:bidi="fa-IR"/>
        </w:rPr>
        <w:t xml:space="preserve">قَالَ </w:t>
      </w:r>
      <w:r w:rsidRPr="00D10E3C">
        <w:rPr>
          <w:rStyle w:val="libFootnotenumChar"/>
          <w:rtl/>
        </w:rPr>
        <w:t>(15)</w:t>
      </w:r>
      <w:r>
        <w:rPr>
          <w:rtl/>
          <w:lang w:bidi="fa-IR"/>
        </w:rPr>
        <w:t xml:space="preserve"> : فَاسْتَحْلَفَهُ </w:t>
      </w:r>
      <w:r w:rsidRPr="00D10E3C">
        <w:rPr>
          <w:rStyle w:val="libFootnotenumChar"/>
          <w:rtl/>
        </w:rPr>
        <w:t>(16)</w:t>
      </w:r>
      <w:r>
        <w:rPr>
          <w:rtl/>
          <w:lang w:bidi="fa-IR"/>
        </w:rPr>
        <w:t xml:space="preserve"> أَنْ يَدْفَعَهُ إِلى مَنْ يَأْمُرُهُ ، قَالَ : فَحَلَفَ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بخ ، بف » وحاشية « جت »</w:t>
      </w:r>
      <w:r w:rsidR="00744A1C" w:rsidRPr="00030BCF">
        <w:rPr>
          <w:rtl/>
        </w:rPr>
        <w:t xml:space="preserve"> والوافي</w:t>
      </w:r>
      <w:r w:rsidR="00744A1C">
        <w:rPr>
          <w:rtl/>
          <w:lang w:bidi="fa-IR"/>
        </w:rPr>
        <w:t xml:space="preserve"> : « الناس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390 ، ح 1170 ، معلّقاً عن أحمد بن محمّد ، مع اختلاف يسير </w:t>
      </w:r>
      <w:r w:rsidR="00030BCF">
        <w:rPr>
          <w:rFonts w:hint="cs"/>
          <w:rtl/>
          <w:lang w:bidi="fa-IR"/>
        </w:rPr>
        <w:t>.</w:t>
      </w:r>
      <w:r w:rsidR="00744A1C" w:rsidRPr="00C24F9C">
        <w:rPr>
          <w:rStyle w:val="libFootnoteBoldChar"/>
          <w:rtl/>
        </w:rPr>
        <w:t>الوافي</w:t>
      </w:r>
      <w:r w:rsidR="00744A1C">
        <w:rPr>
          <w:rtl/>
          <w:lang w:bidi="fa-IR"/>
        </w:rPr>
        <w:t xml:space="preserve"> ، ج 17 ، ص 336 ، ح 17370 ؛ </w:t>
      </w:r>
      <w:r w:rsidR="00744A1C" w:rsidRPr="00C24F9C">
        <w:rPr>
          <w:rStyle w:val="libFootnoteBoldChar"/>
          <w:rtl/>
        </w:rPr>
        <w:t>الوسائل</w:t>
      </w:r>
      <w:r w:rsidR="00744A1C">
        <w:rPr>
          <w:rtl/>
          <w:lang w:bidi="fa-IR"/>
        </w:rPr>
        <w:t xml:space="preserve"> ، ج 25 ، ص 449 ، ح 32330 ؛ </w:t>
      </w:r>
      <w:r w:rsidR="00744A1C" w:rsidRPr="0061079A">
        <w:rPr>
          <w:rStyle w:val="libFootnoteBoldChar"/>
          <w:rtl/>
        </w:rPr>
        <w:t>البحار</w:t>
      </w:r>
      <w:r w:rsidR="00744A1C">
        <w:rPr>
          <w:rtl/>
          <w:lang w:bidi="fa-IR"/>
        </w:rPr>
        <w:t xml:space="preserve"> ، ج 47 ، ص 385 ، ح 108.</w:t>
      </w:r>
    </w:p>
    <w:p w:rsidR="00744A1C" w:rsidRDefault="00E378DD" w:rsidP="00E378DD">
      <w:pPr>
        <w:pStyle w:val="libFootnote0"/>
        <w:rPr>
          <w:lang w:bidi="fa-IR"/>
        </w:rPr>
      </w:pPr>
      <w:r>
        <w:rPr>
          <w:rtl/>
          <w:lang w:bidi="fa-IR"/>
        </w:rPr>
        <w:t>(3).</w:t>
      </w:r>
      <w:r w:rsidR="00744A1C">
        <w:rPr>
          <w:rtl/>
          <w:lang w:bidi="fa-IR"/>
        </w:rPr>
        <w:t xml:space="preserve"> في </w:t>
      </w:r>
      <w:r w:rsidR="00744A1C" w:rsidRPr="00030BCF">
        <w:rPr>
          <w:rtl/>
        </w:rPr>
        <w:t>الوسائل</w:t>
      </w:r>
      <w:r w:rsidR="00744A1C">
        <w:rPr>
          <w:rtl/>
          <w:lang w:bidi="fa-IR"/>
        </w:rPr>
        <w:t xml:space="preserve"> : « أحمد بن محمّد » ، وهو سهو ، لاحظ ما قدّمناه في </w:t>
      </w:r>
      <w:r w:rsidR="00744A1C" w:rsidRPr="0061079A">
        <w:rPr>
          <w:rStyle w:val="libFootnoteBoldChar"/>
          <w:rtl/>
        </w:rPr>
        <w:t>الكافي</w:t>
      </w:r>
      <w:r w:rsidR="00744A1C">
        <w:rPr>
          <w:rtl/>
          <w:lang w:bidi="fa-IR"/>
        </w:rPr>
        <w:t xml:space="preserve"> ، ذيل ح 717.</w:t>
      </w:r>
    </w:p>
    <w:p w:rsidR="00744A1C" w:rsidRDefault="00E378DD" w:rsidP="00E378DD">
      <w:pPr>
        <w:pStyle w:val="libFootnote0"/>
        <w:rPr>
          <w:lang w:bidi="fa-IR"/>
        </w:rPr>
      </w:pPr>
      <w:r>
        <w:rPr>
          <w:rtl/>
          <w:lang w:bidi="fa-IR"/>
        </w:rPr>
        <w:t>(4).</w:t>
      </w:r>
      <w:r w:rsidR="00744A1C">
        <w:rPr>
          <w:rtl/>
          <w:lang w:bidi="fa-IR"/>
        </w:rPr>
        <w:t xml:space="preserve"> في حاشية « جن » : + « لي ». وفي حاشية « بح » و</w:t>
      </w:r>
      <w:r w:rsidR="00744A1C" w:rsidRPr="00C24F9C">
        <w:rPr>
          <w:rStyle w:val="libFootnoteBoldChar"/>
          <w:rtl/>
        </w:rPr>
        <w:t>الفقيه</w:t>
      </w:r>
      <w:r w:rsidR="00744A1C">
        <w:rPr>
          <w:rtl/>
          <w:lang w:bidi="fa-IR"/>
        </w:rPr>
        <w:t xml:space="preserve"> : + « له ».</w:t>
      </w:r>
    </w:p>
    <w:tbl>
      <w:tblPr>
        <w:tblStyle w:val="TableGrid"/>
        <w:bidiVisual/>
        <w:tblW w:w="0" w:type="auto"/>
        <w:tblLook w:val="04A0" w:firstRow="1" w:lastRow="0" w:firstColumn="1" w:lastColumn="0" w:noHBand="0" w:noVBand="1"/>
      </w:tblPr>
      <w:tblGrid>
        <w:gridCol w:w="4006"/>
        <w:gridCol w:w="4006"/>
      </w:tblGrid>
      <w:tr w:rsidR="00030BCF" w:rsidTr="00030BCF">
        <w:tc>
          <w:tcPr>
            <w:tcW w:w="4006" w:type="dxa"/>
          </w:tcPr>
          <w:p w:rsidR="00030BCF" w:rsidRDefault="00030BCF" w:rsidP="00E378DD">
            <w:pPr>
              <w:pStyle w:val="libFootnote0"/>
              <w:rPr>
                <w:rtl/>
                <w:lang w:bidi="fa-IR"/>
              </w:rPr>
            </w:pPr>
            <w:r>
              <w:rPr>
                <w:rtl/>
                <w:lang w:bidi="fa-IR"/>
              </w:rPr>
              <w:t>(5). في « ط » : - « قد ».</w:t>
            </w:r>
          </w:p>
        </w:tc>
        <w:tc>
          <w:tcPr>
            <w:tcW w:w="4006" w:type="dxa"/>
          </w:tcPr>
          <w:p w:rsidR="00030BCF" w:rsidRDefault="00030BCF" w:rsidP="00E378DD">
            <w:pPr>
              <w:pStyle w:val="libFootnote0"/>
              <w:rPr>
                <w:rtl/>
                <w:lang w:bidi="fa-IR"/>
              </w:rPr>
            </w:pPr>
            <w:r>
              <w:rPr>
                <w:rtl/>
                <w:lang w:bidi="fa-IR"/>
              </w:rPr>
              <w:t>(6). في « بخ » : - « قد ».</w:t>
            </w:r>
          </w:p>
        </w:tc>
      </w:tr>
    </w:tbl>
    <w:p w:rsidR="00744A1C" w:rsidRDefault="00E378DD" w:rsidP="00E378DD">
      <w:pPr>
        <w:pStyle w:val="libFootnote0"/>
        <w:rPr>
          <w:lang w:bidi="fa-IR"/>
        </w:rPr>
      </w:pPr>
      <w:r>
        <w:rPr>
          <w:rtl/>
          <w:lang w:bidi="fa-IR"/>
        </w:rPr>
        <w:t>(7).</w:t>
      </w:r>
      <w:r w:rsidR="00744A1C">
        <w:rPr>
          <w:rtl/>
          <w:lang w:bidi="fa-IR"/>
        </w:rPr>
        <w:t xml:space="preserve"> في « ى ، بح ، بس ، جت ، جد ، جن » و</w:t>
      </w:r>
      <w:r w:rsidR="00744A1C" w:rsidRPr="00C24F9C">
        <w:rPr>
          <w:rStyle w:val="libFootnoteBoldChar"/>
          <w:rtl/>
        </w:rPr>
        <w:t>الوسائل</w:t>
      </w:r>
      <w:r w:rsidR="00744A1C">
        <w:rPr>
          <w:rtl/>
          <w:lang w:bidi="fa-IR"/>
        </w:rPr>
        <w:t xml:space="preserve"> : « ولو ».</w:t>
      </w:r>
    </w:p>
    <w:p w:rsidR="00744A1C" w:rsidRDefault="00E378DD" w:rsidP="00E378DD">
      <w:pPr>
        <w:pStyle w:val="libFootnote0"/>
        <w:rPr>
          <w:lang w:bidi="fa-IR"/>
        </w:rPr>
      </w:pPr>
      <w:r>
        <w:rPr>
          <w:rtl/>
          <w:lang w:bidi="fa-IR"/>
        </w:rPr>
        <w:t>(8).</w:t>
      </w:r>
      <w:r w:rsidR="00744A1C">
        <w:rPr>
          <w:rtl/>
          <w:lang w:bidi="fa-IR"/>
        </w:rPr>
        <w:t xml:space="preserve"> في « ى » : « فتخلّصت ». وفي « جن » : « لخلّصت ».</w:t>
      </w:r>
    </w:p>
    <w:tbl>
      <w:tblPr>
        <w:tblStyle w:val="TableGrid"/>
        <w:bidiVisual/>
        <w:tblW w:w="0" w:type="auto"/>
        <w:tblLook w:val="04A0" w:firstRow="1" w:lastRow="0" w:firstColumn="1" w:lastColumn="0" w:noHBand="0" w:noVBand="1"/>
      </w:tblPr>
      <w:tblGrid>
        <w:gridCol w:w="4006"/>
        <w:gridCol w:w="4006"/>
      </w:tblGrid>
      <w:tr w:rsidR="00030BCF" w:rsidTr="00030BCF">
        <w:tc>
          <w:tcPr>
            <w:tcW w:w="4006" w:type="dxa"/>
          </w:tcPr>
          <w:p w:rsidR="00030BCF" w:rsidRDefault="00030BCF" w:rsidP="00E378DD">
            <w:pPr>
              <w:pStyle w:val="libFootnote0"/>
              <w:rPr>
                <w:rtl/>
                <w:lang w:bidi="fa-IR"/>
              </w:rPr>
            </w:pPr>
            <w:r>
              <w:rPr>
                <w:rtl/>
                <w:lang w:bidi="fa-IR"/>
              </w:rPr>
              <w:t xml:space="preserve">(9). في « بخ ، بف » </w:t>
            </w:r>
            <w:r w:rsidRPr="00030BCF">
              <w:rPr>
                <w:rtl/>
              </w:rPr>
              <w:t>والوافي</w:t>
            </w:r>
            <w:r>
              <w:rPr>
                <w:rtl/>
                <w:lang w:bidi="fa-IR"/>
              </w:rPr>
              <w:t xml:space="preserve"> : - « له ».</w:t>
            </w:r>
          </w:p>
        </w:tc>
        <w:tc>
          <w:tcPr>
            <w:tcW w:w="4006" w:type="dxa"/>
          </w:tcPr>
          <w:p w:rsidR="00030BCF" w:rsidRDefault="00030BCF" w:rsidP="00E378DD">
            <w:pPr>
              <w:pStyle w:val="libFootnote0"/>
              <w:rPr>
                <w:rtl/>
                <w:lang w:bidi="fa-IR"/>
              </w:rPr>
            </w:pPr>
            <w:r>
              <w:rPr>
                <w:rtl/>
                <w:lang w:bidi="fa-IR"/>
              </w:rPr>
              <w:t xml:space="preserve">(10). في « بخ ، بف </w:t>
            </w:r>
            <w:r w:rsidRPr="00030BCF">
              <w:rPr>
                <w:rtl/>
              </w:rPr>
              <w:t>» والوافي :</w:t>
            </w:r>
            <w:r>
              <w:rPr>
                <w:rtl/>
                <w:lang w:bidi="fa-IR"/>
              </w:rPr>
              <w:t xml:space="preserve"> - « والله إن ».</w:t>
            </w:r>
          </w:p>
        </w:tc>
      </w:tr>
      <w:tr w:rsidR="00030BCF" w:rsidTr="00030BCF">
        <w:tc>
          <w:tcPr>
            <w:tcW w:w="4006" w:type="dxa"/>
          </w:tcPr>
          <w:p w:rsidR="00030BCF" w:rsidRDefault="00030BCF" w:rsidP="00E378DD">
            <w:pPr>
              <w:pStyle w:val="libFootnote0"/>
              <w:rPr>
                <w:rtl/>
                <w:lang w:bidi="fa-IR"/>
              </w:rPr>
            </w:pPr>
            <w:r>
              <w:rPr>
                <w:rtl/>
                <w:lang w:bidi="fa-IR"/>
              </w:rPr>
              <w:t>(11). في « بخ » : « أصبت ».</w:t>
            </w:r>
          </w:p>
        </w:tc>
        <w:tc>
          <w:tcPr>
            <w:tcW w:w="4006" w:type="dxa"/>
          </w:tcPr>
          <w:p w:rsidR="00030BCF" w:rsidRDefault="00030BCF" w:rsidP="00E378DD">
            <w:pPr>
              <w:pStyle w:val="libFootnote0"/>
              <w:rPr>
                <w:rtl/>
                <w:lang w:bidi="fa-IR"/>
              </w:rPr>
            </w:pPr>
            <w:r>
              <w:rPr>
                <w:rtl/>
                <w:lang w:bidi="fa-IR"/>
              </w:rPr>
              <w:t xml:space="preserve">(12). في </w:t>
            </w:r>
            <w:r w:rsidRPr="00030BCF">
              <w:rPr>
                <w:rtl/>
              </w:rPr>
              <w:t>الوافي :</w:t>
            </w:r>
            <w:r>
              <w:rPr>
                <w:rtl/>
                <w:lang w:bidi="fa-IR"/>
              </w:rPr>
              <w:t xml:space="preserve"> « فقال ».</w:t>
            </w:r>
          </w:p>
        </w:tc>
      </w:tr>
    </w:tbl>
    <w:p w:rsidR="00744A1C" w:rsidRDefault="00E378DD" w:rsidP="00E378DD">
      <w:pPr>
        <w:pStyle w:val="libFootnote0"/>
        <w:rPr>
          <w:lang w:bidi="fa-IR"/>
        </w:rPr>
      </w:pPr>
      <w:r>
        <w:rPr>
          <w:rtl/>
          <w:lang w:bidi="fa-IR"/>
        </w:rPr>
        <w:t>(13).</w:t>
      </w:r>
      <w:r w:rsidR="00744A1C">
        <w:rPr>
          <w:rtl/>
          <w:lang w:bidi="fa-IR"/>
        </w:rPr>
        <w:t xml:space="preserve"> في « ط ، بف » </w:t>
      </w:r>
      <w:r w:rsidR="00744A1C" w:rsidRPr="00030BCF">
        <w:rPr>
          <w:rtl/>
        </w:rPr>
        <w:t>والوافي والفقيه</w:t>
      </w:r>
      <w:r w:rsidR="00744A1C">
        <w:rPr>
          <w:rtl/>
          <w:lang w:bidi="fa-IR"/>
        </w:rPr>
        <w:t xml:space="preserve"> : « فلا ».</w:t>
      </w:r>
    </w:p>
    <w:p w:rsidR="00744A1C" w:rsidRDefault="00E378DD" w:rsidP="00030BCF">
      <w:pPr>
        <w:pStyle w:val="libFootnote0"/>
        <w:rPr>
          <w:lang w:bidi="fa-IR"/>
        </w:rPr>
      </w:pPr>
      <w:r>
        <w:rPr>
          <w:rtl/>
          <w:lang w:bidi="fa-IR"/>
        </w:rPr>
        <w:t>(14).</w:t>
      </w:r>
      <w:r w:rsidR="00744A1C">
        <w:rPr>
          <w:rtl/>
          <w:lang w:bidi="fa-IR"/>
        </w:rPr>
        <w:t xml:space="preserve"> قال السلطان في هامش </w:t>
      </w:r>
      <w:r w:rsidR="00744A1C" w:rsidRPr="00C24F9C">
        <w:rPr>
          <w:rStyle w:val="libFootnoteBoldChar"/>
          <w:rtl/>
        </w:rPr>
        <w:t>الوافي</w:t>
      </w:r>
      <w:r w:rsidR="00744A1C">
        <w:rPr>
          <w:rtl/>
          <w:lang w:bidi="fa-IR"/>
        </w:rPr>
        <w:t xml:space="preserve"> : « قوله : ما له صاحب غيري ، كأنّ المصنّف - أي صاحب </w:t>
      </w:r>
      <w:r w:rsidR="00744A1C" w:rsidRPr="00C24F9C">
        <w:rPr>
          <w:rStyle w:val="libFootnoteBoldChar"/>
          <w:rtl/>
        </w:rPr>
        <w:t>الفقيه</w:t>
      </w:r>
      <w:r w:rsidR="00744A1C">
        <w:rPr>
          <w:rtl/>
          <w:lang w:bidi="fa-IR"/>
        </w:rPr>
        <w:t xml:space="preserve"> </w:t>
      </w:r>
      <w:r w:rsidR="00877682" w:rsidRPr="00877682">
        <w:rPr>
          <w:rStyle w:val="libFootnoteAlaemChar"/>
          <w:rtl/>
        </w:rPr>
        <w:t>رحمه‌الله</w:t>
      </w:r>
      <w:r w:rsidR="00744A1C">
        <w:rPr>
          <w:rtl/>
          <w:lang w:bidi="fa-IR"/>
        </w:rPr>
        <w:t xml:space="preserve">- حمل المال على اللقطة ، وحمل قوله </w:t>
      </w:r>
      <w:r w:rsidR="0061079A" w:rsidRPr="0061079A">
        <w:rPr>
          <w:rStyle w:val="libFootnoteAlaemChar"/>
          <w:rtl/>
        </w:rPr>
        <w:t>عليه‌السلام</w:t>
      </w:r>
      <w:r w:rsidR="00D10E3C">
        <w:rPr>
          <w:rtl/>
          <w:lang w:bidi="fa-IR"/>
        </w:rPr>
        <w:t xml:space="preserve"> </w:t>
      </w:r>
      <w:r w:rsidR="00744A1C">
        <w:rPr>
          <w:rtl/>
          <w:lang w:bidi="fa-IR"/>
        </w:rPr>
        <w:t xml:space="preserve">: ما له صاحب غيري ، على كونه أولى بالتصرّف في أموال الغائبين. ويحتمل أنّ المال له ضاع منه </w:t>
      </w:r>
      <w:r w:rsidR="0061079A" w:rsidRPr="0061079A">
        <w:rPr>
          <w:rStyle w:val="libFootnoteAlaemChar"/>
          <w:rtl/>
        </w:rPr>
        <w:t>عليه‌السلام</w:t>
      </w:r>
      <w:r w:rsidR="00D10E3C">
        <w:rPr>
          <w:rtl/>
          <w:lang w:bidi="fa-IR"/>
        </w:rPr>
        <w:t xml:space="preserve"> </w:t>
      </w:r>
      <w:r w:rsidR="00744A1C">
        <w:rPr>
          <w:rtl/>
          <w:lang w:bidi="fa-IR"/>
        </w:rPr>
        <w:t xml:space="preserve">فلا حاجة إلى اعتبار ما اعتبره المصنّف من تعريف السنة. هذا على تقدير كون المال لقطة ، ولا تصريح في الحديث ، فيحتمل أنّ المراد أنّه اكتسب مالاً حراماً لم يعرف صاحبه ، فأمره </w:t>
      </w:r>
      <w:r w:rsidR="000F3F68" w:rsidRPr="00030BCF">
        <w:rPr>
          <w:rStyle w:val="libFootnoteAlaemChar"/>
          <w:rtl/>
        </w:rPr>
        <w:t>عليه‌السلام</w:t>
      </w:r>
      <w:r w:rsidR="00744A1C">
        <w:rPr>
          <w:rtl/>
          <w:lang w:bidi="fa-IR"/>
        </w:rPr>
        <w:t xml:space="preserve"> بالتصدّق من حيث إنّه </w:t>
      </w:r>
      <w:r w:rsidR="0061079A" w:rsidRPr="0061079A">
        <w:rPr>
          <w:rStyle w:val="libFootnoteAlaemChar"/>
          <w:rtl/>
        </w:rPr>
        <w:t>عليه‌السلام</w:t>
      </w:r>
      <w:r w:rsidR="00D10E3C">
        <w:rPr>
          <w:rtl/>
          <w:lang w:bidi="fa-IR"/>
        </w:rPr>
        <w:t xml:space="preserve"> </w:t>
      </w:r>
      <w:r w:rsidR="00744A1C">
        <w:rPr>
          <w:rtl/>
          <w:lang w:bidi="fa-IR"/>
        </w:rPr>
        <w:t>وليّ الغيّب المجاهيل ».</w:t>
      </w:r>
      <w:r w:rsidR="00030BCF">
        <w:rPr>
          <w:rFonts w:hint="cs"/>
          <w:rtl/>
          <w:lang w:bidi="fa-IR"/>
        </w:rPr>
        <w:t xml:space="preserve">                     </w:t>
      </w:r>
      <w:r>
        <w:rPr>
          <w:rtl/>
          <w:lang w:bidi="fa-IR"/>
        </w:rPr>
        <w:t>(15).</w:t>
      </w:r>
      <w:r w:rsidR="00744A1C">
        <w:rPr>
          <w:rtl/>
          <w:lang w:bidi="fa-IR"/>
        </w:rPr>
        <w:t xml:space="preserve"> في « ى ، بح ، بس ، جد ، جن » : - « قال ».</w:t>
      </w:r>
    </w:p>
    <w:p w:rsidR="00744A1C" w:rsidRDefault="00744A1C" w:rsidP="00D10E3C">
      <w:pPr>
        <w:pStyle w:val="libFootnote0"/>
        <w:rPr>
          <w:lang w:bidi="fa-IR"/>
        </w:rPr>
      </w:pPr>
      <w:r>
        <w:rPr>
          <w:rtl/>
          <w:lang w:bidi="fa-IR"/>
        </w:rPr>
        <w:t>(16) في « بخ » : « فاستحلفته ». وفي « بف » : فاستخلفته ».</w:t>
      </w:r>
    </w:p>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قَالَ </w:t>
      </w:r>
      <w:r w:rsidRPr="00D10E3C">
        <w:rPr>
          <w:rStyle w:val="libFootnotenumChar"/>
          <w:rtl/>
        </w:rPr>
        <w:t>(1)</w:t>
      </w:r>
      <w:r>
        <w:rPr>
          <w:rtl/>
          <w:lang w:bidi="fa-IR"/>
        </w:rPr>
        <w:t xml:space="preserve"> : « فَاذْهَبْ فَاقْسِمْهُ فِي </w:t>
      </w:r>
      <w:r w:rsidRPr="00D10E3C">
        <w:rPr>
          <w:rStyle w:val="libFootnotenumChar"/>
          <w:rtl/>
        </w:rPr>
        <w:t>(2)</w:t>
      </w:r>
      <w:r>
        <w:rPr>
          <w:rtl/>
          <w:lang w:bidi="fa-IR"/>
        </w:rPr>
        <w:t xml:space="preserve"> إِخْوَانِكَ ، وَلَكَ الْأَمْنُ مِمَّا خِفْتَ مِنْهُ </w:t>
      </w:r>
      <w:r w:rsidRPr="00D10E3C">
        <w:rPr>
          <w:rStyle w:val="libFootnotenumChar"/>
          <w:rtl/>
        </w:rPr>
        <w:t>(3)</w:t>
      </w:r>
      <w:r>
        <w:rPr>
          <w:rtl/>
          <w:lang w:bidi="fa-IR"/>
        </w:rPr>
        <w:t xml:space="preserve"> ». قَالَ : فَقَسَمْتُهُ بَيْنَ إِخْوَانِي </w:t>
      </w:r>
      <w:r w:rsidRPr="00D10E3C">
        <w:rPr>
          <w:rStyle w:val="libFootnotenumChar"/>
          <w:rtl/>
        </w:rPr>
        <w:t>(4)</w:t>
      </w:r>
      <w:r w:rsidR="00030BCF">
        <w:rPr>
          <w:rFonts w:hint="cs"/>
          <w:rtl/>
          <w:lang w:bidi="fa-IR"/>
        </w:rPr>
        <w:t>.</w:t>
      </w:r>
      <w:r w:rsidRPr="00D10E3C">
        <w:rPr>
          <w:rStyle w:val="libFootnotenumChar"/>
          <w:rtl/>
        </w:rPr>
        <w:t>(5)</w:t>
      </w:r>
    </w:p>
    <w:p w:rsidR="00144FA6" w:rsidRDefault="00744A1C" w:rsidP="00744A1C">
      <w:pPr>
        <w:pStyle w:val="libNormal"/>
        <w:rPr>
          <w:rtl/>
          <w:lang w:bidi="fa-IR"/>
        </w:rPr>
      </w:pPr>
      <w:r>
        <w:rPr>
          <w:rtl/>
          <w:lang w:bidi="fa-IR"/>
        </w:rPr>
        <w:t>8638 / 8. عَلِيُّ بْنُ إِبْرَاهِيمَ ، عَنْ أَبِيهِ ، عَنْ بَعْضِ أَصْحَابِنَا ، عَنْ أَبِي الْعَلَاءِ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رَجُلٌ وَجَدَ مَالاً ، فَعَرَّفَهُ حَتّى إِذَا مَضَتِ السَّنَةُ ، اشْتَرى </w:t>
      </w:r>
      <w:r w:rsidRPr="00D10E3C">
        <w:rPr>
          <w:rStyle w:val="libFootnotenumChar"/>
          <w:rtl/>
        </w:rPr>
        <w:t>(6)</w:t>
      </w:r>
      <w:r>
        <w:rPr>
          <w:rtl/>
          <w:lang w:bidi="fa-IR"/>
        </w:rPr>
        <w:t xml:space="preserve"> بِهِ خَادِماً ، فَجَاءَ طَالِبُ الْمَالِ ، فَوَجَدَ الْجَارِيَةَ الَّتِي اشْتُرِيَتْ بِالدَّرَاهِمِ هِيَ ابْنَتَهُ.</w:t>
      </w:r>
    </w:p>
    <w:p w:rsidR="00144FA6" w:rsidRDefault="00744A1C" w:rsidP="00744A1C">
      <w:pPr>
        <w:pStyle w:val="libNormal"/>
        <w:rPr>
          <w:rtl/>
          <w:lang w:bidi="fa-IR"/>
        </w:rPr>
      </w:pPr>
      <w:r>
        <w:rPr>
          <w:rtl/>
          <w:lang w:bidi="fa-IR"/>
        </w:rPr>
        <w:t xml:space="preserve">قَالَ : « </w:t>
      </w:r>
      <w:r w:rsidR="0096219C">
        <w:rPr>
          <w:rtl/>
          <w:lang w:bidi="fa-IR"/>
        </w:rPr>
        <w:t>لَيْسَ لَهُ أَنْ يَأْخُذَ إِل</w:t>
      </w:r>
      <w:r w:rsidR="0096219C">
        <w:rPr>
          <w:rFonts w:hint="cs"/>
          <w:rtl/>
          <w:lang w:bidi="fa-IR"/>
        </w:rPr>
        <w:t>َّ</w:t>
      </w:r>
      <w:r w:rsidR="0096219C">
        <w:rPr>
          <w:rtl/>
          <w:lang w:bidi="fa-IR"/>
        </w:rPr>
        <w:t>ا</w:t>
      </w:r>
      <w:r>
        <w:rPr>
          <w:rtl/>
          <w:lang w:bidi="fa-IR"/>
        </w:rPr>
        <w:t xml:space="preserve"> دَرَاهِمَهُ ، وَلَيْسَتْ </w:t>
      </w:r>
      <w:r w:rsidRPr="00D10E3C">
        <w:rPr>
          <w:rStyle w:val="libFootnotenumChar"/>
          <w:rtl/>
        </w:rPr>
        <w:t>(7)</w:t>
      </w:r>
      <w:r>
        <w:rPr>
          <w:rtl/>
          <w:lang w:bidi="fa-IR"/>
        </w:rPr>
        <w:t xml:space="preserve"> لَهُ الابْنَةُ </w:t>
      </w:r>
      <w:r w:rsidRPr="00D10E3C">
        <w:rPr>
          <w:rStyle w:val="libFootnotenumChar"/>
          <w:rtl/>
        </w:rPr>
        <w:t>(8)</w:t>
      </w:r>
      <w:r>
        <w:rPr>
          <w:rtl/>
          <w:lang w:bidi="fa-IR"/>
        </w:rPr>
        <w:t xml:space="preserve"> ، إِنَّمَا لَهُ رَأْسُ مَالِهِ ، وَإِنَّمَا </w:t>
      </w:r>
      <w:r w:rsidRPr="00D10E3C">
        <w:rPr>
          <w:rStyle w:val="libFootnotenumChar"/>
          <w:rtl/>
        </w:rPr>
        <w:t>(9)</w:t>
      </w:r>
      <w:r>
        <w:rPr>
          <w:rtl/>
          <w:lang w:bidi="fa-IR"/>
        </w:rPr>
        <w:t xml:space="preserve"> كَانَتِ ابْنَتُهُ مَمْلُوكَةَ </w:t>
      </w:r>
      <w:r w:rsidRPr="00D10E3C">
        <w:rPr>
          <w:rStyle w:val="libFootnotenumChar"/>
          <w:rtl/>
        </w:rPr>
        <w:t>(10)</w:t>
      </w:r>
      <w:r>
        <w:rPr>
          <w:rtl/>
          <w:lang w:bidi="fa-IR"/>
        </w:rPr>
        <w:t xml:space="preserve"> قَوْمٍ </w:t>
      </w:r>
      <w:r w:rsidRPr="00D10E3C">
        <w:rPr>
          <w:rStyle w:val="libFootnotenumChar"/>
          <w:rtl/>
        </w:rPr>
        <w:t>(11)</w:t>
      </w:r>
      <w:r>
        <w:rPr>
          <w:rtl/>
          <w:lang w:bidi="fa-IR"/>
        </w:rPr>
        <w:t xml:space="preserve"> ». </w:t>
      </w:r>
      <w:r w:rsidRPr="00D10E3C">
        <w:rPr>
          <w:rStyle w:val="libFootnotenumChar"/>
          <w:rtl/>
        </w:rPr>
        <w:t>(12)</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323153" w:rsidTr="00323153">
        <w:tc>
          <w:tcPr>
            <w:tcW w:w="4006" w:type="dxa"/>
          </w:tcPr>
          <w:p w:rsidR="00323153" w:rsidRDefault="00323153" w:rsidP="00D10E3C">
            <w:pPr>
              <w:pStyle w:val="libFootnote0"/>
              <w:rPr>
                <w:rtl/>
                <w:lang w:bidi="fa-IR"/>
              </w:rPr>
            </w:pPr>
            <w:r>
              <w:rPr>
                <w:rtl/>
                <w:lang w:bidi="fa-IR"/>
              </w:rPr>
              <w:t xml:space="preserve">(1). في « ى ، جد ، جن » </w:t>
            </w:r>
            <w:r w:rsidRPr="00323153">
              <w:rPr>
                <w:rtl/>
              </w:rPr>
              <w:t xml:space="preserve">والوسائل </w:t>
            </w:r>
            <w:r>
              <w:rPr>
                <w:rtl/>
                <w:lang w:bidi="fa-IR"/>
              </w:rPr>
              <w:t>: « فقال ».</w:t>
            </w:r>
          </w:p>
        </w:tc>
        <w:tc>
          <w:tcPr>
            <w:tcW w:w="4006" w:type="dxa"/>
          </w:tcPr>
          <w:p w:rsidR="00323153" w:rsidRDefault="00323153" w:rsidP="00D10E3C">
            <w:pPr>
              <w:pStyle w:val="libFootnote0"/>
              <w:rPr>
                <w:rtl/>
                <w:lang w:bidi="fa-IR"/>
              </w:rPr>
            </w:pPr>
            <w:r>
              <w:rPr>
                <w:rtl/>
                <w:lang w:bidi="fa-IR"/>
              </w:rPr>
              <w:t>(2). في « بس » : « بين ».</w:t>
            </w:r>
          </w:p>
        </w:tc>
      </w:tr>
    </w:tbl>
    <w:p w:rsidR="00744A1C" w:rsidRDefault="00E378DD" w:rsidP="00E378DD">
      <w:pPr>
        <w:pStyle w:val="libFootnote0"/>
        <w:rPr>
          <w:lang w:bidi="fa-IR"/>
        </w:rPr>
      </w:pPr>
      <w:r>
        <w:rPr>
          <w:rtl/>
          <w:lang w:bidi="fa-IR"/>
        </w:rPr>
        <w:t>(3).</w:t>
      </w:r>
      <w:r w:rsidR="00744A1C">
        <w:rPr>
          <w:rtl/>
          <w:lang w:bidi="fa-IR"/>
        </w:rPr>
        <w:t xml:space="preserve"> في « ط ، ى ، بس » </w:t>
      </w:r>
      <w:r w:rsidR="00744A1C" w:rsidRPr="00323153">
        <w:rPr>
          <w:rtl/>
        </w:rPr>
        <w:t>والفقيه</w:t>
      </w:r>
      <w:r w:rsidR="00744A1C">
        <w:rPr>
          <w:rtl/>
          <w:lang w:bidi="fa-IR"/>
        </w:rPr>
        <w:t xml:space="preserve"> : - « منه ».</w:t>
      </w:r>
    </w:p>
    <w:p w:rsidR="00744A1C" w:rsidRDefault="00E378DD" w:rsidP="00E378DD">
      <w:pPr>
        <w:pStyle w:val="libFootnote0"/>
        <w:rPr>
          <w:lang w:bidi="fa-IR"/>
        </w:rPr>
      </w:pPr>
      <w:r>
        <w:rPr>
          <w:rtl/>
          <w:lang w:bidi="fa-IR"/>
        </w:rPr>
        <w:t>(4).</w:t>
      </w:r>
      <w:r w:rsidR="00744A1C">
        <w:rPr>
          <w:rtl/>
          <w:lang w:bidi="fa-IR"/>
        </w:rPr>
        <w:t xml:space="preserve"> في « ط ، بح ، بس ، جت ، جد » وحاشية « ى » و</w:t>
      </w:r>
      <w:r w:rsidR="00744A1C" w:rsidRPr="00C24F9C">
        <w:rPr>
          <w:rStyle w:val="libFootnoteBoldChar"/>
          <w:rtl/>
        </w:rPr>
        <w:t>الوافي</w:t>
      </w:r>
      <w:r w:rsidR="00744A1C">
        <w:rPr>
          <w:rtl/>
          <w:lang w:bidi="fa-IR"/>
        </w:rPr>
        <w:t xml:space="preserve"> و</w:t>
      </w:r>
      <w:r w:rsidR="00744A1C" w:rsidRPr="00C24F9C">
        <w:rPr>
          <w:rStyle w:val="libFootnoteBoldChar"/>
          <w:rtl/>
        </w:rPr>
        <w:t>الفقيه</w:t>
      </w:r>
      <w:r w:rsidR="00744A1C">
        <w:rPr>
          <w:rtl/>
          <w:lang w:bidi="fa-IR"/>
        </w:rPr>
        <w:t xml:space="preserve"> : « فقسمه بين إخوانه » بدل « فقسمته بين إخواني ». وفي حاشية « جن » : « فقسمته بين إخوانه ».</w:t>
      </w:r>
    </w:p>
    <w:p w:rsidR="00144FA6" w:rsidRDefault="00744A1C" w:rsidP="00D10E3C">
      <w:pPr>
        <w:pStyle w:val="libFootnote0"/>
        <w:rPr>
          <w:rtl/>
          <w:lang w:bidi="fa-IR"/>
        </w:rPr>
      </w:pPr>
      <w:r>
        <w:rPr>
          <w:rtl/>
          <w:lang w:bidi="fa-IR"/>
        </w:rPr>
        <w:t xml:space="preserve">وفي </w:t>
      </w:r>
      <w:r w:rsidRPr="00C24F9C">
        <w:rPr>
          <w:rStyle w:val="libFootnoteBoldChar"/>
          <w:rtl/>
        </w:rPr>
        <w:t>المرآة</w:t>
      </w:r>
      <w:r>
        <w:rPr>
          <w:rtl/>
          <w:lang w:bidi="fa-IR"/>
        </w:rPr>
        <w:t xml:space="preserve"> : « الخبر يحتمل وجوهاً :</w:t>
      </w:r>
    </w:p>
    <w:p w:rsidR="00744A1C" w:rsidRDefault="00744A1C" w:rsidP="00D10E3C">
      <w:pPr>
        <w:pStyle w:val="libFootnote0"/>
        <w:rPr>
          <w:lang w:bidi="fa-IR"/>
        </w:rPr>
      </w:pPr>
      <w:r>
        <w:rPr>
          <w:rtl/>
          <w:lang w:bidi="fa-IR"/>
        </w:rPr>
        <w:t xml:space="preserve">الأوّل : أن يكون ما أصابه لقطة وكان من ماله </w:t>
      </w:r>
      <w:r w:rsidR="0061079A" w:rsidRPr="0061079A">
        <w:rPr>
          <w:rStyle w:val="libFootnoteAlaemChar"/>
          <w:rtl/>
        </w:rPr>
        <w:t>عليه‌السلام</w:t>
      </w:r>
      <w:r w:rsidR="00D10E3C">
        <w:rPr>
          <w:rtl/>
          <w:lang w:bidi="fa-IR"/>
        </w:rPr>
        <w:t xml:space="preserve"> </w:t>
      </w:r>
      <w:r>
        <w:rPr>
          <w:rtl/>
          <w:lang w:bidi="fa-IR"/>
        </w:rPr>
        <w:t>، فأمره بالصدقة على الإخوان تطوّعاً.</w:t>
      </w:r>
    </w:p>
    <w:p w:rsidR="00744A1C" w:rsidRDefault="00744A1C" w:rsidP="00D10E3C">
      <w:pPr>
        <w:pStyle w:val="libFootnote0"/>
        <w:rPr>
          <w:lang w:bidi="fa-IR"/>
        </w:rPr>
      </w:pPr>
      <w:r>
        <w:rPr>
          <w:rtl/>
          <w:lang w:bidi="fa-IR"/>
        </w:rPr>
        <w:t xml:space="preserve">الثاني : أن يكون لقطة من غيره ، وقوله </w:t>
      </w:r>
      <w:r w:rsidR="0061079A" w:rsidRPr="0061079A">
        <w:rPr>
          <w:rStyle w:val="libFootnoteAlaemChar"/>
          <w:rtl/>
        </w:rPr>
        <w:t>عليه‌السلام</w:t>
      </w:r>
      <w:r w:rsidR="00D10E3C">
        <w:rPr>
          <w:rtl/>
          <w:lang w:bidi="fa-IR"/>
        </w:rPr>
        <w:t xml:space="preserve"> </w:t>
      </w:r>
      <w:r>
        <w:rPr>
          <w:rtl/>
          <w:lang w:bidi="fa-IR"/>
        </w:rPr>
        <w:t xml:space="preserve">: ماله صاحب غيري ، أي أنا أولى بالحكم والتصرّف فيه. وعلى هذا الوجه حمله الصدوق </w:t>
      </w:r>
      <w:r w:rsidR="00877682" w:rsidRPr="00877682">
        <w:rPr>
          <w:rStyle w:val="libFootnoteAlaemChar"/>
          <w:rtl/>
        </w:rPr>
        <w:t>رحمه‌الله</w:t>
      </w:r>
      <w:r>
        <w:rPr>
          <w:rtl/>
          <w:lang w:bidi="fa-IR"/>
        </w:rPr>
        <w:t xml:space="preserve">في </w:t>
      </w:r>
      <w:r w:rsidRPr="00C24F9C">
        <w:rPr>
          <w:rStyle w:val="libFootnoteBoldChar"/>
          <w:rtl/>
        </w:rPr>
        <w:t>الفقيه</w:t>
      </w:r>
      <w:r>
        <w:rPr>
          <w:rtl/>
          <w:lang w:bidi="fa-IR"/>
        </w:rPr>
        <w:t xml:space="preserve"> فقال بعد إيراد الخبر : كان ذلك بعد تعريفه سنة.</w:t>
      </w:r>
    </w:p>
    <w:p w:rsidR="00744A1C" w:rsidRDefault="00744A1C" w:rsidP="00D10E3C">
      <w:pPr>
        <w:pStyle w:val="libFootnote0"/>
        <w:rPr>
          <w:lang w:bidi="fa-IR"/>
        </w:rPr>
      </w:pPr>
      <w:r>
        <w:rPr>
          <w:rtl/>
          <w:lang w:bidi="fa-IR"/>
        </w:rPr>
        <w:t>الثالث : أن يكون ما أصابه من أعمال السلطان ، وكان ذلك ممّا يختصّ به ، أو من الأموال الذي له التصرّف فيه. ولعلّ هذا أظهر وإن كان خلاف ما فهمه الكليني ».</w:t>
      </w:r>
    </w:p>
    <w:p w:rsidR="00744A1C" w:rsidRDefault="00E378DD" w:rsidP="00323153">
      <w:pPr>
        <w:pStyle w:val="libFootnote0"/>
        <w:rPr>
          <w:lang w:bidi="fa-IR"/>
        </w:rPr>
      </w:pPr>
      <w:r>
        <w:rPr>
          <w:rtl/>
          <w:lang w:bidi="fa-IR"/>
        </w:rPr>
        <w:t>(5).</w:t>
      </w:r>
      <w:r w:rsidR="00744A1C">
        <w:rPr>
          <w:rtl/>
          <w:lang w:bidi="fa-IR"/>
        </w:rPr>
        <w:t xml:space="preserve"> </w:t>
      </w:r>
      <w:r w:rsidR="00744A1C" w:rsidRPr="00C24F9C">
        <w:rPr>
          <w:rStyle w:val="libFootnoteBoldChar"/>
          <w:rtl/>
        </w:rPr>
        <w:t>الفقيه</w:t>
      </w:r>
      <w:r w:rsidR="00744A1C">
        <w:rPr>
          <w:rtl/>
          <w:lang w:bidi="fa-IR"/>
        </w:rPr>
        <w:t xml:space="preserve"> ، ج 3 ، ص 296 ، ح 4063 ، معلّقاً عن الحجّال </w:t>
      </w:r>
      <w:r w:rsidR="00323153">
        <w:rPr>
          <w:rFonts w:hint="cs"/>
          <w:rtl/>
          <w:lang w:bidi="fa-IR"/>
        </w:rPr>
        <w:t>.</w:t>
      </w:r>
      <w:r w:rsidR="00744A1C" w:rsidRPr="00C24F9C">
        <w:rPr>
          <w:rStyle w:val="libFootnoteBoldChar"/>
          <w:rtl/>
        </w:rPr>
        <w:t>الوافي</w:t>
      </w:r>
      <w:r w:rsidR="00744A1C">
        <w:rPr>
          <w:rtl/>
          <w:lang w:bidi="fa-IR"/>
        </w:rPr>
        <w:t xml:space="preserve"> ، ج 17 ، ص 337 ، ح 17371 ؛ </w:t>
      </w:r>
      <w:r w:rsidR="00744A1C" w:rsidRPr="00C24F9C">
        <w:rPr>
          <w:rStyle w:val="libFootnoteBoldChar"/>
          <w:rtl/>
        </w:rPr>
        <w:t>الوسائل</w:t>
      </w:r>
      <w:r w:rsidR="00744A1C">
        <w:rPr>
          <w:rtl/>
          <w:lang w:bidi="fa-IR"/>
        </w:rPr>
        <w:t xml:space="preserve"> ، ج 25 ، ص 450 ، ح 32331.</w:t>
      </w:r>
      <w:r w:rsidR="00323153">
        <w:rPr>
          <w:rFonts w:hint="cs"/>
          <w:rtl/>
          <w:lang w:bidi="fa-IR"/>
        </w:rPr>
        <w:t xml:space="preserve">                     </w:t>
      </w:r>
      <w:r>
        <w:rPr>
          <w:rtl/>
          <w:lang w:bidi="fa-IR"/>
        </w:rPr>
        <w:t>(6).</w:t>
      </w:r>
      <w:r w:rsidR="00744A1C">
        <w:rPr>
          <w:rtl/>
          <w:lang w:bidi="fa-IR"/>
        </w:rPr>
        <w:t xml:space="preserve"> في « ط » : + « له ».</w:t>
      </w:r>
    </w:p>
    <w:p w:rsidR="00744A1C" w:rsidRDefault="00E378DD" w:rsidP="00B57428">
      <w:pPr>
        <w:pStyle w:val="libFootnote0"/>
        <w:rPr>
          <w:lang w:bidi="fa-IR"/>
        </w:rPr>
      </w:pPr>
      <w:r>
        <w:rPr>
          <w:rtl/>
          <w:lang w:bidi="fa-IR"/>
        </w:rPr>
        <w:t>(7).</w:t>
      </w:r>
      <w:r w:rsidR="00744A1C">
        <w:rPr>
          <w:rtl/>
          <w:lang w:bidi="fa-IR"/>
        </w:rPr>
        <w:t xml:space="preserve"> هكذا في « ى ، بح ، بخ ، بز ، بس ، بظ ، بي ، جت ، جد ، جز ، جش ، جن » و</w:t>
      </w:r>
      <w:r w:rsidR="00744A1C" w:rsidRPr="00C24F9C">
        <w:rPr>
          <w:rStyle w:val="libFootnoteBoldChar"/>
          <w:rtl/>
        </w:rPr>
        <w:t>الوسائل</w:t>
      </w:r>
      <w:r w:rsidR="00744A1C">
        <w:rPr>
          <w:rtl/>
          <w:lang w:bidi="fa-IR"/>
        </w:rPr>
        <w:t xml:space="preserve">. وفي « ط ، جي » </w:t>
      </w:r>
      <w:r w:rsidR="00744A1C" w:rsidRPr="00B57428">
        <w:rPr>
          <w:rtl/>
        </w:rPr>
        <w:t>والمطبوع‌والوافي والتهذيب والفقيه :</w:t>
      </w:r>
      <w:r w:rsidR="00744A1C">
        <w:rPr>
          <w:rtl/>
          <w:lang w:bidi="fa-IR"/>
        </w:rPr>
        <w:t xml:space="preserve"> « وليس ».</w:t>
      </w:r>
      <w:r w:rsidR="00B57428">
        <w:rPr>
          <w:rFonts w:hint="cs"/>
          <w:rtl/>
          <w:lang w:bidi="fa-IR"/>
        </w:rPr>
        <w:t xml:space="preserve">              </w:t>
      </w:r>
      <w:r>
        <w:rPr>
          <w:rtl/>
          <w:lang w:bidi="fa-IR"/>
        </w:rPr>
        <w:t>(8).</w:t>
      </w:r>
      <w:r w:rsidR="00744A1C">
        <w:rPr>
          <w:rtl/>
          <w:lang w:bidi="fa-IR"/>
        </w:rPr>
        <w:t xml:space="preserve"> في </w:t>
      </w:r>
      <w:r w:rsidR="00744A1C" w:rsidRPr="00C24F9C">
        <w:rPr>
          <w:rStyle w:val="libFootnoteBoldChar"/>
          <w:rtl/>
        </w:rPr>
        <w:t>التهذيب</w:t>
      </w:r>
      <w:r w:rsidR="00744A1C">
        <w:rPr>
          <w:rtl/>
          <w:lang w:bidi="fa-IR"/>
        </w:rPr>
        <w:t xml:space="preserve"> : « البنت ».</w:t>
      </w:r>
    </w:p>
    <w:p w:rsidR="00744A1C" w:rsidRDefault="00E378DD" w:rsidP="00E378DD">
      <w:pPr>
        <w:pStyle w:val="libFootnote0"/>
        <w:rPr>
          <w:lang w:bidi="fa-IR"/>
        </w:rPr>
      </w:pPr>
      <w:r>
        <w:rPr>
          <w:rtl/>
          <w:lang w:bidi="fa-IR"/>
        </w:rPr>
        <w:t>(9).</w:t>
      </w:r>
      <w:r w:rsidR="00744A1C">
        <w:rPr>
          <w:rtl/>
          <w:lang w:bidi="fa-IR"/>
        </w:rPr>
        <w:t xml:space="preserve"> في « بح ، بخ ، بف » </w:t>
      </w:r>
      <w:r w:rsidR="00744A1C" w:rsidRPr="00414807">
        <w:rPr>
          <w:rtl/>
        </w:rPr>
        <w:t>والفقيه والتهذيب :</w:t>
      </w:r>
      <w:r w:rsidR="00744A1C">
        <w:rPr>
          <w:rtl/>
          <w:lang w:bidi="fa-IR"/>
        </w:rPr>
        <w:t xml:space="preserve"> « إنّما » بدون الواو.</w:t>
      </w:r>
    </w:p>
    <w:p w:rsidR="00744A1C" w:rsidRDefault="00E378DD" w:rsidP="00E378DD">
      <w:pPr>
        <w:pStyle w:val="libFootnote0"/>
        <w:rPr>
          <w:lang w:bidi="fa-IR"/>
        </w:rPr>
      </w:pPr>
      <w:r>
        <w:rPr>
          <w:rtl/>
          <w:lang w:bidi="fa-IR"/>
        </w:rPr>
        <w:t>(10).</w:t>
      </w:r>
      <w:r w:rsidR="00744A1C">
        <w:rPr>
          <w:rtl/>
          <w:lang w:bidi="fa-IR"/>
        </w:rPr>
        <w:t xml:space="preserve"> في « جن » : « لا مملوكة ».</w:t>
      </w:r>
    </w:p>
    <w:p w:rsidR="00744A1C" w:rsidRDefault="00E378DD" w:rsidP="00E378DD">
      <w:pPr>
        <w:pStyle w:val="libFootnote0"/>
        <w:rPr>
          <w:lang w:bidi="fa-IR"/>
        </w:rPr>
      </w:pPr>
      <w:r>
        <w:rPr>
          <w:rtl/>
          <w:lang w:bidi="fa-IR"/>
        </w:rPr>
        <w:t>(11).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مملوكة قوم ، حاصله أنّه كما كانت قبل شراء الملتقط مملوكة قوم وكانت لا تنعتق عليه ، فكذا في هذا الوقت مملوكة للملتقط. أو المراد بالقوم الملتقط بعد التملّك ، أو على الشراء ، وعلى التقادير إمّا مبنيّ على أنّ اللقطة بعد الحول تصير ملكاً للملتقط ، أو محمول على الشراء في الذمّة ، أو مبنيّ على أنّه بدون تنفيذ الشراء لا تصير ملكاً له وإن اشتريت بعين مال ».</w:t>
      </w:r>
    </w:p>
    <w:p w:rsidR="00144FA6" w:rsidRDefault="00E378DD" w:rsidP="00E378DD">
      <w:pPr>
        <w:pStyle w:val="libFootnote0"/>
        <w:rPr>
          <w:rtl/>
          <w:lang w:bidi="fa-IR"/>
        </w:rPr>
      </w:pPr>
      <w:r>
        <w:rPr>
          <w:rtl/>
          <w:lang w:bidi="fa-IR"/>
        </w:rPr>
        <w:t>(12).</w:t>
      </w:r>
      <w:r w:rsidR="00744A1C">
        <w:rPr>
          <w:rtl/>
          <w:lang w:bidi="fa-IR"/>
        </w:rPr>
        <w:t xml:space="preserve"> </w:t>
      </w:r>
      <w:r w:rsidR="00744A1C" w:rsidRPr="00C24F9C">
        <w:rPr>
          <w:rStyle w:val="libFootnoteBoldChar"/>
          <w:rtl/>
        </w:rPr>
        <w:t>التهذيب</w:t>
      </w:r>
      <w:r w:rsidR="00744A1C">
        <w:rPr>
          <w:rtl/>
          <w:lang w:bidi="fa-IR"/>
        </w:rPr>
        <w:t xml:space="preserve"> ، ج 6 ، ص 391 ، ح 1173 ، معلّقاً عن الكليني. </w:t>
      </w:r>
      <w:r w:rsidR="00744A1C" w:rsidRPr="00C24F9C">
        <w:rPr>
          <w:rStyle w:val="libFootnoteBoldChar"/>
          <w:rtl/>
        </w:rPr>
        <w:t>الفقيه</w:t>
      </w:r>
      <w:r w:rsidR="00744A1C">
        <w:rPr>
          <w:rtl/>
          <w:lang w:bidi="fa-IR"/>
        </w:rPr>
        <w:t xml:space="preserve"> ، ج 3 ، ص 294 ، ح 4053 ، معلّقاً عن</w:t>
      </w:r>
      <w:r w:rsidR="00414807">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8639 / 9. مُحَمَّدُ بْنُ يَحْيى ، عَنْ عَبْدِ اللهِ بْنِ جَعْفَرٍ ، قَالَ :</w:t>
      </w:r>
    </w:p>
    <w:p w:rsidR="00744A1C" w:rsidRDefault="00744A1C" w:rsidP="00744A1C">
      <w:pPr>
        <w:pStyle w:val="libNormal"/>
        <w:rPr>
          <w:lang w:bidi="fa-IR"/>
        </w:rPr>
      </w:pPr>
      <w:r>
        <w:rPr>
          <w:rtl/>
          <w:lang w:bidi="fa-IR"/>
        </w:rPr>
        <w:t xml:space="preserve">كَتَبْتُ إِلَى الرَّجُلِ </w:t>
      </w:r>
      <w:r w:rsidRPr="00D10E3C">
        <w:rPr>
          <w:rStyle w:val="libFootnotenumChar"/>
          <w:rtl/>
        </w:rPr>
        <w:t>(1)</w:t>
      </w:r>
      <w:r>
        <w:rPr>
          <w:rtl/>
          <w:lang w:bidi="fa-IR"/>
        </w:rPr>
        <w:t xml:space="preserve"> أَسْأَ لُهُ عَنْ رَجُلٍ اشْتَرى جَزُوراً أَوْ بَقَرَةً </w:t>
      </w:r>
      <w:r w:rsidRPr="00D10E3C">
        <w:rPr>
          <w:rStyle w:val="libFootnotenumChar"/>
          <w:rtl/>
        </w:rPr>
        <w:t>(2)</w:t>
      </w:r>
      <w:r>
        <w:rPr>
          <w:rtl/>
          <w:lang w:bidi="fa-IR"/>
        </w:rPr>
        <w:t xml:space="preserve"> لِلْأَضَاحِيِّ </w:t>
      </w:r>
      <w:r w:rsidRPr="00D10E3C">
        <w:rPr>
          <w:rStyle w:val="libFootnotenumChar"/>
          <w:rtl/>
        </w:rPr>
        <w:t>(3)</w:t>
      </w:r>
      <w:r>
        <w:rPr>
          <w:rtl/>
          <w:lang w:bidi="fa-IR"/>
        </w:rPr>
        <w:t xml:space="preserve"> ، فَلَمَّا ذَبَحَهَا وَجَدَ فِي جَوْفِهَا صُرَّةً فِيهَا دَرَاهِمُ أَوْ دَنَانِيرُ </w:t>
      </w:r>
      <w:r w:rsidRPr="00D10E3C">
        <w:rPr>
          <w:rStyle w:val="libFootnotenumChar"/>
          <w:rtl/>
        </w:rPr>
        <w:t>(4)</w:t>
      </w:r>
      <w:r>
        <w:rPr>
          <w:rtl/>
          <w:lang w:bidi="fa-IR"/>
        </w:rPr>
        <w:t xml:space="preserve"> أَوْ جَوْهَرَةٌ </w:t>
      </w:r>
      <w:r w:rsidRPr="00D10E3C">
        <w:rPr>
          <w:rStyle w:val="libFootnotenumChar"/>
          <w:rtl/>
        </w:rPr>
        <w:t>(5)</w:t>
      </w:r>
      <w:r>
        <w:rPr>
          <w:rtl/>
          <w:lang w:bidi="fa-IR"/>
        </w:rPr>
        <w:t xml:space="preserve"> ، لِمَنْ يَكُونُ ذلِكَ؟</w:t>
      </w:r>
    </w:p>
    <w:p w:rsidR="00144FA6" w:rsidRDefault="00744A1C" w:rsidP="00744A1C">
      <w:pPr>
        <w:pStyle w:val="libNormal"/>
        <w:rPr>
          <w:rtl/>
          <w:lang w:bidi="fa-IR"/>
        </w:rPr>
      </w:pPr>
      <w:r>
        <w:rPr>
          <w:rtl/>
          <w:lang w:bidi="fa-IR"/>
        </w:rPr>
        <w:t xml:space="preserve">فَوَقَّعَ </w:t>
      </w:r>
      <w:r w:rsidR="0061079A" w:rsidRPr="0061079A">
        <w:rPr>
          <w:rStyle w:val="libAlaemChar"/>
          <w:rtl/>
        </w:rPr>
        <w:t>عليه‌السلام</w:t>
      </w:r>
      <w:r w:rsidR="00D10E3C">
        <w:rPr>
          <w:rtl/>
          <w:lang w:bidi="fa-IR"/>
        </w:rPr>
        <w:t xml:space="preserve"> </w:t>
      </w:r>
      <w:r>
        <w:rPr>
          <w:rtl/>
          <w:lang w:bidi="fa-IR"/>
        </w:rPr>
        <w:t xml:space="preserve">: « عَرِّفْهَا الْبَائِعَ ، فَإِنْ لَمْ يَكُنْ </w:t>
      </w:r>
      <w:r w:rsidRPr="00D10E3C">
        <w:rPr>
          <w:rStyle w:val="libFootnotenumChar"/>
          <w:rtl/>
        </w:rPr>
        <w:t>(6)</w:t>
      </w:r>
      <w:r>
        <w:rPr>
          <w:rtl/>
          <w:lang w:bidi="fa-IR"/>
        </w:rPr>
        <w:t xml:space="preserve"> يَعْرِفُهَا </w:t>
      </w:r>
      <w:r w:rsidRPr="00D10E3C">
        <w:rPr>
          <w:rStyle w:val="libFootnotenumChar"/>
          <w:rtl/>
        </w:rPr>
        <w:t>(7)</w:t>
      </w:r>
      <w:r>
        <w:rPr>
          <w:rtl/>
          <w:lang w:bidi="fa-IR"/>
        </w:rPr>
        <w:t xml:space="preserve"> فَالشَّيْ‌ءُ لَكَ </w:t>
      </w:r>
      <w:r w:rsidRPr="00D10E3C">
        <w:rPr>
          <w:rStyle w:val="libFootnotenumChar"/>
          <w:rtl/>
        </w:rPr>
        <w:t>(8)</w:t>
      </w:r>
      <w:r>
        <w:rPr>
          <w:rtl/>
          <w:lang w:bidi="fa-IR"/>
        </w:rPr>
        <w:t xml:space="preserve"> ؛ رَزَقَكَ اللهُ إِيَّاهُ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762F47" w:rsidP="00D10E3C">
      <w:pPr>
        <w:pStyle w:val="libFootnote0"/>
        <w:rPr>
          <w:lang w:bidi="fa-IR"/>
        </w:rPr>
      </w:pPr>
      <w:r>
        <w:rPr>
          <w:rFonts w:hint="cs"/>
          <w:rtl/>
          <w:lang w:bidi="fa-IR"/>
        </w:rPr>
        <w:t xml:space="preserve">= </w:t>
      </w:r>
      <w:r w:rsidR="00744A1C">
        <w:rPr>
          <w:rtl/>
          <w:lang w:bidi="fa-IR"/>
        </w:rPr>
        <w:t xml:space="preserve">أبي العلاء </w:t>
      </w:r>
      <w:r>
        <w:rPr>
          <w:rFonts w:hint="cs"/>
          <w:rtl/>
          <w:lang w:bidi="fa-IR"/>
        </w:rPr>
        <w:t>.</w:t>
      </w:r>
      <w:r w:rsidR="00744A1C" w:rsidRPr="00C24F9C">
        <w:rPr>
          <w:rStyle w:val="libFootnoteBoldChar"/>
          <w:rtl/>
        </w:rPr>
        <w:t>الوافي</w:t>
      </w:r>
      <w:r w:rsidR="00744A1C">
        <w:rPr>
          <w:rtl/>
          <w:lang w:bidi="fa-IR"/>
        </w:rPr>
        <w:t xml:space="preserve"> ، ج 17 ، ص 338 ، ح 17372 ؛ </w:t>
      </w:r>
      <w:r w:rsidR="00744A1C" w:rsidRPr="00C24F9C">
        <w:rPr>
          <w:rStyle w:val="libFootnoteBoldChar"/>
          <w:rtl/>
        </w:rPr>
        <w:t>الوسائل</w:t>
      </w:r>
      <w:r w:rsidR="00744A1C">
        <w:rPr>
          <w:rtl/>
          <w:lang w:bidi="fa-IR"/>
        </w:rPr>
        <w:t xml:space="preserve"> ، ج 25 ، ص 451 ، ح 32334.</w:t>
      </w:r>
    </w:p>
    <w:tbl>
      <w:tblPr>
        <w:tblStyle w:val="TableGrid"/>
        <w:bidiVisual/>
        <w:tblW w:w="0" w:type="auto"/>
        <w:tblLook w:val="04A0" w:firstRow="1" w:lastRow="0" w:firstColumn="1" w:lastColumn="0" w:noHBand="0" w:noVBand="1"/>
      </w:tblPr>
      <w:tblGrid>
        <w:gridCol w:w="4006"/>
        <w:gridCol w:w="4006"/>
      </w:tblGrid>
      <w:tr w:rsidR="003374E7" w:rsidTr="003374E7">
        <w:tc>
          <w:tcPr>
            <w:tcW w:w="4006" w:type="dxa"/>
          </w:tcPr>
          <w:p w:rsidR="003374E7" w:rsidRDefault="003374E7" w:rsidP="00E378DD">
            <w:pPr>
              <w:pStyle w:val="libFootnote0"/>
              <w:rPr>
                <w:rtl/>
                <w:lang w:bidi="fa-IR"/>
              </w:rPr>
            </w:pPr>
            <w:r>
              <w:rPr>
                <w:rtl/>
                <w:lang w:bidi="fa-IR"/>
              </w:rPr>
              <w:t>(1). في « ط ، بخ » : « رجل ».</w:t>
            </w:r>
          </w:p>
        </w:tc>
        <w:tc>
          <w:tcPr>
            <w:tcW w:w="4006" w:type="dxa"/>
          </w:tcPr>
          <w:p w:rsidR="003374E7" w:rsidRDefault="003374E7" w:rsidP="00E378DD">
            <w:pPr>
              <w:pStyle w:val="libFootnote0"/>
              <w:rPr>
                <w:rtl/>
                <w:lang w:bidi="fa-IR"/>
              </w:rPr>
            </w:pPr>
            <w:r>
              <w:rPr>
                <w:rtl/>
                <w:lang w:bidi="fa-IR"/>
              </w:rPr>
              <w:t xml:space="preserve">(2).في«جن»:«وبقرة».وفي </w:t>
            </w:r>
            <w:r w:rsidRPr="003374E7">
              <w:rPr>
                <w:rtl/>
              </w:rPr>
              <w:t>الفقيه:+«</w:t>
            </w:r>
            <w:r>
              <w:rPr>
                <w:rtl/>
                <w:lang w:bidi="fa-IR"/>
              </w:rPr>
              <w:t>أو شاة أو غيرها».</w:t>
            </w:r>
          </w:p>
        </w:tc>
      </w:tr>
      <w:tr w:rsidR="003374E7" w:rsidTr="003374E7">
        <w:tc>
          <w:tcPr>
            <w:tcW w:w="4006" w:type="dxa"/>
          </w:tcPr>
          <w:p w:rsidR="003374E7" w:rsidRDefault="0083680A" w:rsidP="00E378DD">
            <w:pPr>
              <w:pStyle w:val="libFootnote0"/>
              <w:rPr>
                <w:rtl/>
                <w:lang w:bidi="fa-IR"/>
              </w:rPr>
            </w:pPr>
            <w:r>
              <w:rPr>
                <w:rtl/>
                <w:lang w:bidi="fa-IR"/>
              </w:rPr>
              <w:t xml:space="preserve">(3). في </w:t>
            </w:r>
            <w:r w:rsidRPr="0083680A">
              <w:rPr>
                <w:rtl/>
              </w:rPr>
              <w:t>الفقيه</w:t>
            </w:r>
            <w:r>
              <w:rPr>
                <w:rtl/>
                <w:lang w:bidi="fa-IR"/>
              </w:rPr>
              <w:t xml:space="preserve"> : + « أو غيرها ».</w:t>
            </w:r>
          </w:p>
        </w:tc>
        <w:tc>
          <w:tcPr>
            <w:tcW w:w="4006" w:type="dxa"/>
          </w:tcPr>
          <w:p w:rsidR="003374E7" w:rsidRDefault="0083680A" w:rsidP="00E378DD">
            <w:pPr>
              <w:pStyle w:val="libFootnote0"/>
              <w:rPr>
                <w:rtl/>
                <w:lang w:bidi="fa-IR"/>
              </w:rPr>
            </w:pPr>
            <w:r>
              <w:rPr>
                <w:rtl/>
                <w:lang w:bidi="fa-IR"/>
              </w:rPr>
              <w:t>(4). في « جن » : « ودنانير ».</w:t>
            </w:r>
          </w:p>
        </w:tc>
      </w:tr>
    </w:tbl>
    <w:p w:rsidR="00744A1C" w:rsidRDefault="00E378DD" w:rsidP="00E378DD">
      <w:pPr>
        <w:pStyle w:val="libFootnote0"/>
        <w:rPr>
          <w:lang w:bidi="fa-IR"/>
        </w:rPr>
      </w:pPr>
      <w:r>
        <w:rPr>
          <w:rtl/>
          <w:lang w:bidi="fa-IR"/>
        </w:rPr>
        <w:t>(5).</w:t>
      </w:r>
      <w:r w:rsidR="00744A1C">
        <w:rPr>
          <w:rtl/>
          <w:lang w:bidi="fa-IR"/>
        </w:rPr>
        <w:t xml:space="preserve"> في « جن » : « وجوهرة ». وفي « بخ ، بف » </w:t>
      </w:r>
      <w:r w:rsidR="00744A1C" w:rsidRPr="0061079A">
        <w:rPr>
          <w:rStyle w:val="libFootnoteBoldChar"/>
          <w:rtl/>
        </w:rPr>
        <w:t>والتهذيب</w:t>
      </w:r>
      <w:r w:rsidR="00744A1C">
        <w:rPr>
          <w:rtl/>
          <w:lang w:bidi="fa-IR"/>
        </w:rPr>
        <w:t xml:space="preserve"> : « أو جوهر ». وفي </w:t>
      </w:r>
      <w:r w:rsidR="00744A1C" w:rsidRPr="00C24F9C">
        <w:rPr>
          <w:rStyle w:val="libFootnoteBoldChar"/>
          <w:rtl/>
        </w:rPr>
        <w:t>الفقيه</w:t>
      </w:r>
      <w:r w:rsidR="00744A1C">
        <w:rPr>
          <w:rtl/>
          <w:lang w:bidi="fa-IR"/>
        </w:rPr>
        <w:t xml:space="preserve"> : + « أو غير ذلك من المنافع ».</w:t>
      </w:r>
    </w:p>
    <w:p w:rsidR="00744A1C" w:rsidRDefault="00E378DD" w:rsidP="00E378DD">
      <w:pPr>
        <w:pStyle w:val="libFootnote0"/>
        <w:rPr>
          <w:lang w:bidi="fa-IR"/>
        </w:rPr>
      </w:pPr>
      <w:r>
        <w:rPr>
          <w:rtl/>
          <w:lang w:bidi="fa-IR"/>
        </w:rPr>
        <w:t>(6).</w:t>
      </w:r>
      <w:r w:rsidR="00744A1C">
        <w:rPr>
          <w:rtl/>
          <w:lang w:bidi="fa-IR"/>
        </w:rPr>
        <w:t xml:space="preserve"> في « ط ، بخ ، بف » </w:t>
      </w:r>
      <w:r w:rsidR="00744A1C" w:rsidRPr="00977DD3">
        <w:rPr>
          <w:rtl/>
        </w:rPr>
        <w:t>والوافي والفقيه</w:t>
      </w:r>
      <w:r w:rsidR="00744A1C">
        <w:rPr>
          <w:rtl/>
          <w:lang w:bidi="fa-IR"/>
        </w:rPr>
        <w:t xml:space="preserve"> : - « يكن ». وفي « بس » : « تكن ».</w:t>
      </w:r>
    </w:p>
    <w:p w:rsidR="00744A1C" w:rsidRDefault="00E378DD" w:rsidP="00E378DD">
      <w:pPr>
        <w:pStyle w:val="libFootnote0"/>
        <w:rPr>
          <w:lang w:bidi="fa-IR"/>
        </w:rPr>
      </w:pPr>
      <w:r>
        <w:rPr>
          <w:rtl/>
          <w:lang w:bidi="fa-IR"/>
        </w:rPr>
        <w:t>(7).</w:t>
      </w:r>
      <w:r w:rsidR="00744A1C">
        <w:rPr>
          <w:rtl/>
          <w:lang w:bidi="fa-IR"/>
        </w:rPr>
        <w:t xml:space="preserve"> في « ى ، بح ، جد ، جن » وحاشية « جت » : « يعرفه ».</w:t>
      </w:r>
    </w:p>
    <w:p w:rsidR="00144FA6" w:rsidRDefault="00E378DD" w:rsidP="00E378DD">
      <w:pPr>
        <w:pStyle w:val="libFootnote0"/>
        <w:rPr>
          <w:rtl/>
          <w:lang w:bidi="fa-IR"/>
        </w:rPr>
      </w:pPr>
      <w:r>
        <w:rPr>
          <w:rtl/>
          <w:lang w:bidi="fa-IR"/>
        </w:rPr>
        <w:t>(8).</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w:t>
      </w:r>
    </w:p>
    <w:p w:rsidR="00744A1C" w:rsidRDefault="00744A1C" w:rsidP="00D10E3C">
      <w:pPr>
        <w:pStyle w:val="libFootnote0"/>
        <w:rPr>
          <w:lang w:bidi="fa-IR"/>
        </w:rPr>
      </w:pPr>
      <w:r>
        <w:rPr>
          <w:rtl/>
          <w:lang w:bidi="fa-IR"/>
        </w:rPr>
        <w:t>« قوله فإن لم يعرفها فالشي‌ء لك المال الموجود في جوف الدابّة لا يجري عليه حكم اللقطة ، سواء وجد عليه أثر الإسلام أو لا ، وإنّما يعرّف البائع لاحتمال كونه ملكاً له ابتلعته الدابة عند العلفة ، فيد البائع جرت عليه ، وإذا إدّعاه قيل : منه ؛ لأنّ قول ذي اليد مقبول ، فإن لم يعرفه كان لقطة أو مالاً مجهول المالك. والفرق بينه وبين اللقطة في التعريف سنة وفي نيّة التملّك بعد التعريف ، فإن جوّزنا في كلّ مال معيّن مجهول المالك أن يمتلّك مع الضمان ، كما يجوز أن يتصدّق به فهو ، وإلاّ فهذا المال الموجود في جوف الدابّة وغيرها خارج عن حكم مجهول المالك بالنصّ ؛ إذ يجوز تملّكه.</w:t>
      </w:r>
    </w:p>
    <w:p w:rsidR="00744A1C" w:rsidRDefault="00744A1C" w:rsidP="00D10E3C">
      <w:pPr>
        <w:pStyle w:val="libFootnote0"/>
        <w:rPr>
          <w:lang w:bidi="fa-IR"/>
        </w:rPr>
      </w:pPr>
      <w:r>
        <w:rPr>
          <w:rtl/>
          <w:lang w:bidi="fa-IR"/>
        </w:rPr>
        <w:t>والظاهر أنّ حكم اللقطة ثابت لكلّ مال معيّن لايعلم مالكه أنّه عندك وفي يدك ولاتعلم أنت أيضاً مالكه عيناً وإن أخذته من لصّ وسارق أو غاصب وظالم ، ومقتضى ذلك أن يعرّف ما وجد في جوف الدابّة بعد إ</w:t>
      </w:r>
      <w:r w:rsidR="00977DD3">
        <w:rPr>
          <w:rtl/>
          <w:lang w:bidi="fa-IR"/>
        </w:rPr>
        <w:t>نكار البائع سنة. وصرّح به العل</w:t>
      </w:r>
      <w:r w:rsidR="00977DD3">
        <w:rPr>
          <w:rFonts w:hint="cs"/>
          <w:rtl/>
          <w:lang w:bidi="fa-IR"/>
        </w:rPr>
        <w:t>ّ</w:t>
      </w:r>
      <w:r w:rsidR="00977DD3">
        <w:rPr>
          <w:rtl/>
          <w:lang w:bidi="fa-IR"/>
        </w:rPr>
        <w:t>ا</w:t>
      </w:r>
      <w:r>
        <w:rPr>
          <w:rtl/>
          <w:lang w:bidi="fa-IR"/>
        </w:rPr>
        <w:t>مة في المختلف مع وجدان أثر الإسلام ، ولاينافي الخبر. والصحيح الفرق بين ما يوجد في جوف الدابّة والدرّة الموجودة في جوف السمكة ؛ فإنّ الصيّاد لايعلم بها ولا يقصد حيازتها وتملّكها ، فإن احتمل كونها ملكاً للصيّاد بأن يعلفها في حوض محصور كان ك</w:t>
      </w:r>
      <w:r w:rsidR="00977DD3">
        <w:rPr>
          <w:rtl/>
          <w:lang w:bidi="fa-IR"/>
        </w:rPr>
        <w:t>الذي يوجد في جوف الدابّة ، وإل</w:t>
      </w:r>
      <w:r w:rsidR="00977DD3">
        <w:rPr>
          <w:rFonts w:hint="cs"/>
          <w:rtl/>
          <w:lang w:bidi="fa-IR"/>
        </w:rPr>
        <w:t>ّ</w:t>
      </w:r>
      <w:r w:rsidR="00977DD3">
        <w:rPr>
          <w:rtl/>
          <w:lang w:bidi="fa-IR"/>
        </w:rPr>
        <w:t>ا</w:t>
      </w:r>
      <w:r>
        <w:rPr>
          <w:rtl/>
          <w:lang w:bidi="fa-IR"/>
        </w:rPr>
        <w:t xml:space="preserve"> فهو من المباحات التي يجوز لمن حازها تملّكها ».</w:t>
      </w:r>
    </w:p>
    <w:p w:rsidR="00744A1C" w:rsidRDefault="00E378DD" w:rsidP="00E378DD">
      <w:pPr>
        <w:pStyle w:val="libFootnote0"/>
        <w:rPr>
          <w:lang w:bidi="fa-IR"/>
        </w:rPr>
      </w:pPr>
      <w:r>
        <w:rPr>
          <w:rtl/>
          <w:lang w:bidi="fa-IR"/>
        </w:rPr>
        <w:t>(9).</w:t>
      </w:r>
      <w:r w:rsidR="00744A1C">
        <w:rPr>
          <w:rtl/>
          <w:lang w:bidi="fa-IR"/>
        </w:rPr>
        <w:t xml:space="preserve"> في « بح » : - « إيّاه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رزقك الله إيّاه ، قد فرّق الأصحاب بين السمكة وغيرها في الحكم ، وعلّلوا بأنّ الصائد للسمكة والمباحات إنّما يملك بالقصد والحيازة معاً ، واستثنوا من ذلك سمكة تكون في ماء محصور تعتلف بعلف صاحبها. وبعضهم أيضاً فرّقوا بين ما يكون عليه أثر سكّة الإسلام أم لا ، وألحقوا الأوّل باللقطة في التعريف ، ولكن عموم الخبر يدفعه ، نعم مورد النصّ الدوابّ المملوكة بالأصل لا بالحيازة ».</w:t>
      </w:r>
    </w:p>
    <w:p w:rsidR="00144FA6" w:rsidRDefault="00E378DD" w:rsidP="00E378DD">
      <w:pPr>
        <w:pStyle w:val="libFootnote0"/>
        <w:rPr>
          <w:rtl/>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392 ، ح 1174 ، معلّقاً عن الكليني. </w:t>
      </w:r>
      <w:r w:rsidR="00744A1C" w:rsidRPr="00C24F9C">
        <w:rPr>
          <w:rStyle w:val="libFootnoteBoldChar"/>
          <w:rtl/>
        </w:rPr>
        <w:t>الفقيه</w:t>
      </w:r>
      <w:r w:rsidR="00744A1C">
        <w:rPr>
          <w:rtl/>
          <w:lang w:bidi="fa-IR"/>
        </w:rPr>
        <w:t xml:space="preserve"> ، ج 3 ، ص 296 ، ح 4062 ، معلّقاً عن</w:t>
      </w:r>
      <w:r w:rsidR="00977DD3">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8640 / 10. عَلِيُّ بْنُ مُحَمَّدٍ ، عَنْ إِبْرَاهِيمَ بْنِ إِسْحَاقَ ، عَنْ عَبْدِ اللهِ بْنِ حَمَّادٍ ، عَنْ أَبِي بَصِيرٍ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مَنْ وَجَدَ شَيْئاً فَهُوَ لَهُ ، فَلْيَتَمَتَّعْ بِهِ </w:t>
      </w:r>
      <w:r w:rsidRPr="00D10E3C">
        <w:rPr>
          <w:rStyle w:val="libFootnotenumChar"/>
          <w:rtl/>
        </w:rPr>
        <w:t>(1)</w:t>
      </w:r>
      <w:r>
        <w:rPr>
          <w:rtl/>
          <w:lang w:bidi="fa-IR"/>
        </w:rPr>
        <w:t xml:space="preserve"> حَتّى يَأْتِيَهُ </w:t>
      </w:r>
      <w:r w:rsidRPr="00D10E3C">
        <w:rPr>
          <w:rStyle w:val="libFootnotenumChar"/>
          <w:rtl/>
        </w:rPr>
        <w:t>(2)</w:t>
      </w:r>
      <w:r>
        <w:rPr>
          <w:rtl/>
          <w:lang w:bidi="fa-IR"/>
        </w:rPr>
        <w:t xml:space="preserve"> طَالِبُهُ </w:t>
      </w:r>
      <w:r w:rsidRPr="00D10E3C">
        <w:rPr>
          <w:rStyle w:val="libFootnotenumChar"/>
          <w:rtl/>
        </w:rPr>
        <w:t>(3)</w:t>
      </w:r>
      <w:r>
        <w:rPr>
          <w:rtl/>
          <w:lang w:bidi="fa-IR"/>
        </w:rPr>
        <w:t xml:space="preserve"> ، فَإِذَا جَاءَ طَالِبُهُ رَدَّهُ </w:t>
      </w:r>
      <w:r w:rsidRPr="00D10E3C">
        <w:rPr>
          <w:rStyle w:val="libFootnotenumChar"/>
          <w:rtl/>
        </w:rPr>
        <w:t>(4)</w:t>
      </w:r>
      <w:r>
        <w:rPr>
          <w:rtl/>
          <w:lang w:bidi="fa-IR"/>
        </w:rPr>
        <w:t xml:space="preserve"> إِلَيْهِ ». </w:t>
      </w:r>
      <w:r w:rsidRPr="00D10E3C">
        <w:rPr>
          <w:rStyle w:val="libFootnotenumChar"/>
          <w:rtl/>
        </w:rPr>
        <w:t>(5)</w:t>
      </w:r>
    </w:p>
    <w:p w:rsidR="00144FA6" w:rsidRDefault="00744A1C" w:rsidP="00744A1C">
      <w:pPr>
        <w:pStyle w:val="libNormal"/>
        <w:rPr>
          <w:rtl/>
          <w:lang w:bidi="fa-IR"/>
        </w:rPr>
      </w:pPr>
      <w:r>
        <w:rPr>
          <w:rtl/>
          <w:lang w:bidi="fa-IR"/>
        </w:rPr>
        <w:t>8641 / 11. عَلِيُّ بْنُ إِبْرَاهِيمَ ، عَنْ أَبِيهِ ، عَنْ حَمَّادٍ ، عَنْ حَرِيزٍ ، عَنْ مُحَمَّدِ بْنِ مُسْلِمٍ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قَالَ : سَأَلْتُهُ عَنِ اللُّقَطَةِ؟</w:t>
      </w:r>
    </w:p>
    <w:p w:rsidR="00144FA6" w:rsidRDefault="00744A1C" w:rsidP="00744A1C">
      <w:pPr>
        <w:pStyle w:val="libNormal"/>
        <w:rPr>
          <w:rtl/>
          <w:lang w:bidi="fa-IR"/>
        </w:rPr>
      </w:pPr>
      <w:r>
        <w:rPr>
          <w:rtl/>
          <w:lang w:bidi="fa-IR"/>
        </w:rPr>
        <w:t xml:space="preserve">فَقَالَ </w:t>
      </w:r>
      <w:r w:rsidRPr="00D10E3C">
        <w:rPr>
          <w:rStyle w:val="libFootnotenumChar"/>
          <w:rtl/>
        </w:rPr>
        <w:t>(6)</w:t>
      </w:r>
      <w:r>
        <w:rPr>
          <w:rtl/>
          <w:lang w:bidi="fa-IR"/>
        </w:rPr>
        <w:t xml:space="preserve"> : « لَا تَرْفَعْهَا ، فَإِنِ </w:t>
      </w:r>
      <w:r w:rsidRPr="00D10E3C">
        <w:rPr>
          <w:rStyle w:val="libFootnotenumChar"/>
          <w:rtl/>
        </w:rPr>
        <w:t>(7)</w:t>
      </w:r>
      <w:r>
        <w:rPr>
          <w:rtl/>
          <w:lang w:bidi="fa-IR"/>
        </w:rPr>
        <w:t xml:space="preserve"> ابْتُلِيتَ بِهَا </w:t>
      </w:r>
      <w:r w:rsidRPr="00D10E3C">
        <w:rPr>
          <w:rStyle w:val="libFootnotenumChar"/>
          <w:rtl/>
        </w:rPr>
        <w:t>(8)</w:t>
      </w:r>
      <w:r>
        <w:rPr>
          <w:rtl/>
          <w:lang w:bidi="fa-IR"/>
        </w:rPr>
        <w:t xml:space="preserve"> فَعَرِّفْهَا سَنَةً </w:t>
      </w:r>
      <w:r w:rsidRPr="00D10E3C">
        <w:rPr>
          <w:rStyle w:val="libFootnotenumChar"/>
          <w:rtl/>
        </w:rPr>
        <w:t>(9)</w:t>
      </w:r>
      <w:r>
        <w:rPr>
          <w:rtl/>
          <w:lang w:bidi="fa-IR"/>
        </w:rPr>
        <w:t xml:space="preserve"> ،</w:t>
      </w:r>
      <w:r w:rsidR="00FE32CD">
        <w:rPr>
          <w:rFonts w:hint="cs"/>
          <w:rtl/>
          <w:lang w:bidi="fa-IR"/>
        </w:rPr>
        <w:t>.............</w:t>
      </w:r>
      <w:r w:rsidR="00FE32CD">
        <w:rPr>
          <w:rFonts w:hint="cs"/>
          <w:rtl/>
          <w:lang w:bidi="fa-IR"/>
        </w:rPr>
        <w:tab/>
      </w:r>
    </w:p>
    <w:p w:rsidR="00744A1C" w:rsidRDefault="00744A1C" w:rsidP="00D10E3C">
      <w:pPr>
        <w:pStyle w:val="libLine"/>
        <w:rPr>
          <w:lang w:bidi="fa-IR"/>
        </w:rPr>
      </w:pPr>
      <w:r>
        <w:rPr>
          <w:rtl/>
          <w:lang w:bidi="fa-IR"/>
        </w:rPr>
        <w:t>____________________</w:t>
      </w:r>
    </w:p>
    <w:p w:rsidR="00744A1C" w:rsidRDefault="004D02BD" w:rsidP="00D10E3C">
      <w:pPr>
        <w:pStyle w:val="libFootnote0"/>
        <w:rPr>
          <w:lang w:bidi="fa-IR"/>
        </w:rPr>
      </w:pPr>
      <w:r>
        <w:rPr>
          <w:rFonts w:hint="cs"/>
          <w:rtl/>
          <w:lang w:bidi="fa-IR"/>
        </w:rPr>
        <w:t xml:space="preserve">= </w:t>
      </w:r>
      <w:r w:rsidR="00744A1C">
        <w:rPr>
          <w:rtl/>
          <w:lang w:bidi="fa-IR"/>
        </w:rPr>
        <w:t xml:space="preserve">عبد الله بن جعفر الحميري ، من دون التصريح باسم المعصوم </w:t>
      </w:r>
      <w:r w:rsidR="0061079A" w:rsidRPr="0061079A">
        <w:rPr>
          <w:rStyle w:val="libFootnoteAlaemChar"/>
          <w:rtl/>
        </w:rPr>
        <w:t>عليه‌السلام</w:t>
      </w:r>
      <w:r w:rsidR="00D10E3C">
        <w:rPr>
          <w:rtl/>
          <w:lang w:bidi="fa-IR"/>
        </w:rPr>
        <w:t xml:space="preserve"> </w:t>
      </w:r>
      <w:r>
        <w:rPr>
          <w:rFonts w:hint="cs"/>
          <w:rtl/>
          <w:lang w:bidi="fa-IR"/>
        </w:rPr>
        <w:t>.</w:t>
      </w:r>
      <w:r w:rsidR="00744A1C" w:rsidRPr="00C24F9C">
        <w:rPr>
          <w:rStyle w:val="libFootnoteBoldChar"/>
          <w:rtl/>
        </w:rPr>
        <w:t>الوافي</w:t>
      </w:r>
      <w:r w:rsidR="00744A1C">
        <w:rPr>
          <w:rtl/>
          <w:lang w:bidi="fa-IR"/>
        </w:rPr>
        <w:t xml:space="preserve"> ، ج 17 ، ص 338 ، ح 17373 ؛ </w:t>
      </w:r>
      <w:r w:rsidR="00744A1C" w:rsidRPr="00C24F9C">
        <w:rPr>
          <w:rStyle w:val="libFootnoteBoldChar"/>
          <w:rtl/>
        </w:rPr>
        <w:t>الوسائل</w:t>
      </w:r>
      <w:r w:rsidR="00744A1C">
        <w:rPr>
          <w:rtl/>
          <w:lang w:bidi="fa-IR"/>
        </w:rPr>
        <w:t xml:space="preserve"> ، ج 25 ، ص 452 ، ح 32335.</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Pr>
          <w:rtl/>
          <w:lang w:bidi="fa-IR"/>
        </w:rPr>
        <w:t xml:space="preserve"> </w:t>
      </w:r>
      <w:r w:rsidR="00744A1C">
        <w:rPr>
          <w:rtl/>
          <w:lang w:bidi="fa-IR"/>
        </w:rPr>
        <w:t>: فليتمتّع به ، حمل على ما بعد التعريف ، فيدلّ على وجوب الردّ مع بقاء العين وإن نوى‌التملّك ، والأكثر على أنّه مخيّر بين ردّه ، أو ردّ مثله أو قيمته ».</w:t>
      </w:r>
    </w:p>
    <w:tbl>
      <w:tblPr>
        <w:tblStyle w:val="TableGrid"/>
        <w:bidiVisual/>
        <w:tblW w:w="0" w:type="auto"/>
        <w:tblLook w:val="04A0" w:firstRow="1" w:lastRow="0" w:firstColumn="1" w:lastColumn="0" w:noHBand="0" w:noVBand="1"/>
      </w:tblPr>
      <w:tblGrid>
        <w:gridCol w:w="4006"/>
        <w:gridCol w:w="4006"/>
      </w:tblGrid>
      <w:tr w:rsidR="004D02BD" w:rsidTr="004D02BD">
        <w:tc>
          <w:tcPr>
            <w:tcW w:w="4006" w:type="dxa"/>
          </w:tcPr>
          <w:p w:rsidR="004D02BD" w:rsidRDefault="004D02BD" w:rsidP="00E378DD">
            <w:pPr>
              <w:pStyle w:val="libFootnote0"/>
              <w:rPr>
                <w:rtl/>
                <w:lang w:bidi="fa-IR"/>
              </w:rPr>
            </w:pPr>
            <w:r>
              <w:rPr>
                <w:rtl/>
                <w:lang w:bidi="fa-IR"/>
              </w:rPr>
              <w:t>(2). في « بخ ، بف » : « حتّى يأتي ».</w:t>
            </w:r>
          </w:p>
        </w:tc>
        <w:tc>
          <w:tcPr>
            <w:tcW w:w="4006" w:type="dxa"/>
          </w:tcPr>
          <w:p w:rsidR="004D02BD" w:rsidRDefault="004D02BD" w:rsidP="00E378DD">
            <w:pPr>
              <w:pStyle w:val="libFootnote0"/>
              <w:rPr>
                <w:rtl/>
                <w:lang w:bidi="fa-IR"/>
              </w:rPr>
            </w:pPr>
            <w:r>
              <w:rPr>
                <w:rtl/>
                <w:lang w:bidi="fa-IR"/>
              </w:rPr>
              <w:t>(3). في « ى » : « صاحبه ».</w:t>
            </w:r>
          </w:p>
        </w:tc>
      </w:tr>
    </w:tbl>
    <w:p w:rsidR="00744A1C" w:rsidRDefault="00E378DD" w:rsidP="00E378DD">
      <w:pPr>
        <w:pStyle w:val="libFootnote0"/>
        <w:rPr>
          <w:lang w:bidi="fa-IR"/>
        </w:rPr>
      </w:pPr>
      <w:r>
        <w:rPr>
          <w:rtl/>
          <w:lang w:bidi="fa-IR"/>
        </w:rPr>
        <w:t>(4).</w:t>
      </w:r>
      <w:r w:rsidR="00744A1C">
        <w:rPr>
          <w:rtl/>
          <w:lang w:bidi="fa-IR"/>
        </w:rPr>
        <w:t xml:space="preserve"> في « بف » : « ردّ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6 ، ص 392 ، ح 1175 ، معلّقاً عن الكليني </w:t>
      </w:r>
      <w:r w:rsidR="004D02BD">
        <w:rPr>
          <w:rFonts w:hint="cs"/>
          <w:rtl/>
          <w:lang w:bidi="fa-IR"/>
        </w:rPr>
        <w:t>.</w:t>
      </w:r>
      <w:r w:rsidR="00744A1C" w:rsidRPr="00C24F9C">
        <w:rPr>
          <w:rStyle w:val="libFootnoteBoldChar"/>
          <w:rtl/>
        </w:rPr>
        <w:t>الوافي</w:t>
      </w:r>
      <w:r w:rsidR="00744A1C">
        <w:rPr>
          <w:rtl/>
          <w:lang w:bidi="fa-IR"/>
        </w:rPr>
        <w:t xml:space="preserve"> ، ج 17 ، ص 339 ، ح 17374 ؛ </w:t>
      </w:r>
      <w:r w:rsidR="00744A1C" w:rsidRPr="00C24F9C">
        <w:rPr>
          <w:rStyle w:val="libFootnoteBoldChar"/>
          <w:rtl/>
        </w:rPr>
        <w:t>الوسائل</w:t>
      </w:r>
      <w:r w:rsidR="00744A1C">
        <w:rPr>
          <w:rtl/>
          <w:lang w:bidi="fa-IR"/>
        </w:rPr>
        <w:t xml:space="preserve"> ، ج 25 ، ص 447 ، ح 32323.</w:t>
      </w:r>
    </w:p>
    <w:p w:rsidR="00744A1C" w:rsidRDefault="00E378DD" w:rsidP="00E378DD">
      <w:pPr>
        <w:pStyle w:val="libFootnote0"/>
        <w:rPr>
          <w:lang w:bidi="fa-IR"/>
        </w:rPr>
      </w:pPr>
      <w:r>
        <w:rPr>
          <w:rtl/>
          <w:lang w:bidi="fa-IR"/>
        </w:rPr>
        <w:t>(6).</w:t>
      </w:r>
      <w:r w:rsidR="00744A1C">
        <w:rPr>
          <w:rtl/>
          <w:lang w:bidi="fa-IR"/>
        </w:rPr>
        <w:t xml:space="preserve"> في « ط ، ى ، بح ، بس ، جد ، جن » </w:t>
      </w:r>
      <w:r w:rsidR="00744A1C" w:rsidRPr="004D02BD">
        <w:rPr>
          <w:rtl/>
        </w:rPr>
        <w:t>والتهذيب والاستبصار :</w:t>
      </w:r>
      <w:r w:rsidR="00744A1C">
        <w:rPr>
          <w:rtl/>
          <w:lang w:bidi="fa-IR"/>
        </w:rPr>
        <w:t xml:space="preserve"> « قال ».</w:t>
      </w:r>
    </w:p>
    <w:tbl>
      <w:tblPr>
        <w:tblStyle w:val="TableGrid"/>
        <w:bidiVisual/>
        <w:tblW w:w="0" w:type="auto"/>
        <w:tblLook w:val="04A0" w:firstRow="1" w:lastRow="0" w:firstColumn="1" w:lastColumn="0" w:noHBand="0" w:noVBand="1"/>
      </w:tblPr>
      <w:tblGrid>
        <w:gridCol w:w="4006"/>
        <w:gridCol w:w="4006"/>
      </w:tblGrid>
      <w:tr w:rsidR="004D02BD" w:rsidTr="004D02BD">
        <w:tc>
          <w:tcPr>
            <w:tcW w:w="4006" w:type="dxa"/>
          </w:tcPr>
          <w:p w:rsidR="004D02BD" w:rsidRDefault="004D02BD" w:rsidP="00E378DD">
            <w:pPr>
              <w:pStyle w:val="libFootnote0"/>
              <w:rPr>
                <w:rtl/>
                <w:lang w:bidi="fa-IR"/>
              </w:rPr>
            </w:pPr>
            <w:r>
              <w:rPr>
                <w:rtl/>
                <w:lang w:bidi="fa-IR"/>
              </w:rPr>
              <w:t xml:space="preserve">(7). في « بخ ، بف » </w:t>
            </w:r>
            <w:r w:rsidRPr="004D02BD">
              <w:rPr>
                <w:rtl/>
              </w:rPr>
              <w:t>والوافي</w:t>
            </w:r>
            <w:r>
              <w:rPr>
                <w:rtl/>
                <w:lang w:bidi="fa-IR"/>
              </w:rPr>
              <w:t xml:space="preserve"> : « فإذا ».</w:t>
            </w:r>
          </w:p>
        </w:tc>
        <w:tc>
          <w:tcPr>
            <w:tcW w:w="4006" w:type="dxa"/>
          </w:tcPr>
          <w:p w:rsidR="004D02BD" w:rsidRDefault="004D02BD" w:rsidP="00E378DD">
            <w:pPr>
              <w:pStyle w:val="libFootnote0"/>
              <w:rPr>
                <w:rtl/>
                <w:lang w:bidi="fa-IR"/>
              </w:rPr>
            </w:pPr>
            <w:r>
              <w:rPr>
                <w:rtl/>
                <w:lang w:bidi="fa-IR"/>
              </w:rPr>
              <w:t xml:space="preserve">(8). في « بف » </w:t>
            </w:r>
            <w:r w:rsidRPr="004D02BD">
              <w:rPr>
                <w:rtl/>
              </w:rPr>
              <w:t>والتهذيب والاستبصار</w:t>
            </w:r>
            <w:r>
              <w:rPr>
                <w:rtl/>
                <w:lang w:bidi="fa-IR"/>
              </w:rPr>
              <w:t xml:space="preserve"> : - « بها ».</w:t>
            </w:r>
          </w:p>
        </w:tc>
      </w:tr>
    </w:tbl>
    <w:p w:rsidR="00144FA6" w:rsidRDefault="00E378DD" w:rsidP="00E378DD">
      <w:pPr>
        <w:pStyle w:val="libFootnote0"/>
        <w:rPr>
          <w:rtl/>
          <w:lang w:bidi="fa-IR"/>
        </w:rPr>
      </w:pPr>
      <w:r>
        <w:rPr>
          <w:rtl/>
          <w:lang w:bidi="fa-IR"/>
        </w:rPr>
        <w:t>(9).</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فعرّفها سنة ، قال الشيخ </w:t>
      </w:r>
      <w:r w:rsidR="00877682" w:rsidRPr="00877682">
        <w:rPr>
          <w:rStyle w:val="libFootnoteAlaemChar"/>
          <w:rtl/>
        </w:rPr>
        <w:t>رحمه‌الله</w:t>
      </w:r>
      <w:r w:rsidR="00744A1C">
        <w:rPr>
          <w:rtl/>
          <w:lang w:bidi="fa-IR"/>
        </w:rPr>
        <w:t>في المبسوط : التعريف شرط للتملّك لا واجب ، فإن أراد حفظها لمالكها لا يلزمه أن يعرّف ، هذا حاصل كلامه. وظاهر المشهور أنّه واجب مطلقاً لإيصال المال إلى صاحبه ؛ إذ لا يعرف المالك حالها حتّى يطلبه ، ولذلك يعرّف لقطة الحرم مع عدم جواز تملّكها. ولكن وجوب التعريف وجوب مقدّمي لإيصال المال إلى صاحبه ، فإن لم يرج وجدان المالك ، أو لم يمكن حفظ المال سنة ، كالفواكه واللحوم ، أو كان وسيلة لإيصالها إليه أسهل من التعريف ، لم يجب قطعاً. وكذلك إن لم يمكن التعريف سنة ، مثل أن وجد المال في قافلة أو سفينة تفرّق أهلها في بلاد متفرّقة شاسعة ولم يجد المالك فيمن عرّفه ، فإنّه لا يجب عليه الذهاب إلى تلك البلاد البعيدة ، والتعريف الواجب في أمثال تلك الموارد الاجتهاد والسعي في وجدان المالك بقدر القدرة ، والصبر س</w:t>
      </w:r>
      <w:r w:rsidR="004D02BD">
        <w:rPr>
          <w:rtl/>
          <w:lang w:bidi="fa-IR"/>
        </w:rPr>
        <w:t>نة إن احتمل مجي‌ء صاحبها ، وإل</w:t>
      </w:r>
      <w:r w:rsidR="004D02BD">
        <w:rPr>
          <w:rFonts w:hint="cs"/>
          <w:rtl/>
          <w:lang w:bidi="fa-IR"/>
        </w:rPr>
        <w:t>ّ</w:t>
      </w:r>
      <w:r w:rsidR="004D02BD">
        <w:rPr>
          <w:rtl/>
          <w:lang w:bidi="fa-IR"/>
        </w:rPr>
        <w:t>ا</w:t>
      </w:r>
      <w:r w:rsidR="00744A1C">
        <w:rPr>
          <w:rtl/>
          <w:lang w:bidi="fa-IR"/>
        </w:rPr>
        <w:t xml:space="preserve"> فيجوز التملّك والصدقة والحفظ أمّا بناءً على عدم جواز ذلك في كلّ مالٍ مجهول مالكه مطلقاً فواضح ،</w:t>
      </w:r>
      <w:r w:rsidR="00C73DD4">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فَإِنْ جَاءَ </w:t>
      </w:r>
      <w:r w:rsidRPr="00D10E3C">
        <w:rPr>
          <w:rStyle w:val="libFootnotenumChar"/>
          <w:rtl/>
        </w:rPr>
        <w:t>(1)</w:t>
      </w:r>
      <w:r>
        <w:rPr>
          <w:rtl/>
          <w:lang w:bidi="fa-IR"/>
        </w:rPr>
        <w:t xml:space="preserve"> طَالِبُهَا </w:t>
      </w:r>
      <w:r w:rsidRPr="00D10E3C">
        <w:rPr>
          <w:rStyle w:val="libFootnotenumChar"/>
          <w:rtl/>
        </w:rPr>
        <w:t>(2)</w:t>
      </w:r>
      <w:r>
        <w:rPr>
          <w:rtl/>
          <w:lang w:bidi="fa-IR"/>
        </w:rPr>
        <w:t xml:space="preserve"> ، وَ</w:t>
      </w:r>
      <w:r w:rsidR="00CD523C">
        <w:rPr>
          <w:rFonts w:hint="cs"/>
          <w:rtl/>
          <w:lang w:bidi="fa-IR"/>
        </w:rPr>
        <w:t xml:space="preserve"> </w:t>
      </w:r>
      <w:r w:rsidR="00CD523C">
        <w:rPr>
          <w:rtl/>
          <w:lang w:bidi="fa-IR"/>
        </w:rPr>
        <w:t>إِل</w:t>
      </w:r>
      <w:r w:rsidR="00CD523C">
        <w:rPr>
          <w:rFonts w:hint="cs"/>
          <w:rtl/>
          <w:lang w:bidi="fa-IR"/>
        </w:rPr>
        <w:t>َّ</w:t>
      </w:r>
      <w:r w:rsidR="00CD523C">
        <w:rPr>
          <w:rtl/>
          <w:lang w:bidi="fa-IR"/>
        </w:rPr>
        <w:t>ا</w:t>
      </w:r>
      <w:r>
        <w:rPr>
          <w:rtl/>
          <w:lang w:bidi="fa-IR"/>
        </w:rPr>
        <w:t xml:space="preserve"> فَاجْعَلْهَا فِي عُرْضِ مَالِكَ </w:t>
      </w:r>
      <w:r w:rsidRPr="00D10E3C">
        <w:rPr>
          <w:rStyle w:val="libFootnotenumChar"/>
          <w:rtl/>
        </w:rPr>
        <w:t>(3)</w:t>
      </w:r>
      <w:r>
        <w:rPr>
          <w:rtl/>
          <w:lang w:bidi="fa-IR"/>
        </w:rPr>
        <w:t xml:space="preserve"> ،</w:t>
      </w:r>
      <w:r w:rsidR="00A24BCE">
        <w:rPr>
          <w:rFonts w:hint="cs"/>
          <w:rtl/>
          <w:lang w:bidi="fa-IR"/>
        </w:rPr>
        <w:t>..................</w:t>
      </w:r>
      <w:r w:rsidR="00A24BCE">
        <w:rPr>
          <w:rFonts w:hint="cs"/>
          <w:rtl/>
          <w:lang w:bidi="fa-IR"/>
        </w:rPr>
        <w:tab/>
      </w:r>
    </w:p>
    <w:p w:rsidR="00744A1C" w:rsidRDefault="00744A1C" w:rsidP="00D10E3C">
      <w:pPr>
        <w:pStyle w:val="libLine"/>
        <w:rPr>
          <w:lang w:bidi="fa-IR"/>
        </w:rPr>
      </w:pPr>
      <w:r>
        <w:rPr>
          <w:rtl/>
          <w:lang w:bidi="fa-IR"/>
        </w:rPr>
        <w:t>____________________</w:t>
      </w:r>
    </w:p>
    <w:p w:rsidR="00744A1C" w:rsidRDefault="008967E2" w:rsidP="00D10E3C">
      <w:pPr>
        <w:pStyle w:val="libFootnote0"/>
        <w:rPr>
          <w:lang w:bidi="fa-IR"/>
        </w:rPr>
      </w:pPr>
      <w:r>
        <w:rPr>
          <w:rFonts w:hint="cs"/>
          <w:rtl/>
          <w:lang w:bidi="fa-IR"/>
        </w:rPr>
        <w:t xml:space="preserve">= </w:t>
      </w:r>
      <w:r w:rsidR="00744A1C">
        <w:rPr>
          <w:rtl/>
          <w:lang w:bidi="fa-IR"/>
        </w:rPr>
        <w:t>و</w:t>
      </w:r>
      <w:r w:rsidR="00FC69B6">
        <w:rPr>
          <w:rFonts w:hint="cs"/>
          <w:rtl/>
          <w:lang w:bidi="fa-IR"/>
        </w:rPr>
        <w:t xml:space="preserve"> </w:t>
      </w:r>
      <w:r w:rsidR="00744A1C">
        <w:rPr>
          <w:rtl/>
          <w:lang w:bidi="fa-IR"/>
        </w:rPr>
        <w:t>أمّا بناءً على عدم جوازه فيه ، فهذا لقطة اختلّ العمل ببعض شرائطها لعدم القدرة. ثمّ اعلم أنّ كلّ مال عيني - لا دين - لا يعلم مالكه واشتبه بين الموجودين في جماعة غير محصورة هو لقطة أو في حكم اللقطة ، ومن ذلك ما يدعه اللصّ عندك وتعلم أنّه من السرقة - على ما صرّح به كثير من العلماء - فيجب عليك التعريف سنة ويجوز لك تملّكه. أمّا الدين فلا يصدق عليه اللقطة ، وكذلك ما علم مالكه عيناً أو اسماً ونسباً وفقد بحيث لا يعلم مكانه ، وعقد المصنّف له باب المال المفقود صاحبه يجي‌ء حكمه إن شاء الله.</w:t>
      </w:r>
    </w:p>
    <w:p w:rsidR="00744A1C" w:rsidRDefault="00744A1C" w:rsidP="00D10E3C">
      <w:pPr>
        <w:pStyle w:val="libFootnote0"/>
        <w:rPr>
          <w:lang w:bidi="fa-IR"/>
        </w:rPr>
      </w:pPr>
      <w:r>
        <w:rPr>
          <w:rtl/>
          <w:lang w:bidi="fa-IR"/>
        </w:rPr>
        <w:t xml:space="preserve">واعتبر كثيرٌ من علمائنا أنْ يكون ضائعه من مالكها ، ومعنى الضياع أنْ لا يكون يده عليه فعلاً ولا يعلم مكانه ، وأمّا كيفيّة خروجها من يده أكان بالسقوط منه ولم يلتفت إليه؟ أو نسبه عند أحدٍ؟ أو اشتبه عليه فأخذ بدلها وتركها؟ أو سرقت وبيعت؟ وغير ذلك ، فهذه غير معتبرة عند الفقهاء في مفهوم اللقطة ؛ فإنّها من اللقط ويصدق على كلّ منبوذ ومطروح ، بل جعلوها أعمّ منه أيضاً كالمأخوذ من اللصّ والكنز الذي عليه أثر الإسلام ، وكلّ ما يبدّل من النعل والثياب في المساجد والحمّامات ، وما تركه بظنّ أنّه لا يأخذه أحد ، وما اخذ منه جبراً وطرح في مكان لا يمكنه أخذه ، وأمثال ذلك كلّه لقطة ، وأخرج كثيراً من ذلك بعض المتأخّرين عنها ». وراجع : </w:t>
      </w:r>
      <w:r w:rsidRPr="00FC69B6">
        <w:rPr>
          <w:rStyle w:val="libFootnoteBoldChar"/>
          <w:rtl/>
        </w:rPr>
        <w:t>المبسوط</w:t>
      </w:r>
      <w:r>
        <w:rPr>
          <w:rtl/>
          <w:lang w:bidi="fa-IR"/>
        </w:rPr>
        <w:t xml:space="preserve"> ، ج 3 ، ص 322.</w:t>
      </w:r>
    </w:p>
    <w:tbl>
      <w:tblPr>
        <w:tblStyle w:val="TableGrid"/>
        <w:bidiVisual/>
        <w:tblW w:w="0" w:type="auto"/>
        <w:tblLook w:val="04A0" w:firstRow="1" w:lastRow="0" w:firstColumn="1" w:lastColumn="0" w:noHBand="0" w:noVBand="1"/>
      </w:tblPr>
      <w:tblGrid>
        <w:gridCol w:w="4006"/>
        <w:gridCol w:w="4006"/>
      </w:tblGrid>
      <w:tr w:rsidR="00FC69B6" w:rsidTr="00FC69B6">
        <w:tc>
          <w:tcPr>
            <w:tcW w:w="4006" w:type="dxa"/>
          </w:tcPr>
          <w:p w:rsidR="00FC69B6" w:rsidRDefault="00FC69B6" w:rsidP="00D10E3C">
            <w:pPr>
              <w:pStyle w:val="libFootnote0"/>
              <w:rPr>
                <w:rtl/>
                <w:lang w:bidi="fa-IR"/>
              </w:rPr>
            </w:pPr>
            <w:r>
              <w:rPr>
                <w:rtl/>
                <w:lang w:bidi="fa-IR"/>
              </w:rPr>
              <w:t>(1). في « ط » : + « لها ».</w:t>
            </w:r>
          </w:p>
        </w:tc>
        <w:tc>
          <w:tcPr>
            <w:tcW w:w="4006" w:type="dxa"/>
          </w:tcPr>
          <w:p w:rsidR="00FC69B6" w:rsidRDefault="00FC69B6" w:rsidP="00D10E3C">
            <w:pPr>
              <w:pStyle w:val="libFootnote0"/>
              <w:rPr>
                <w:rtl/>
                <w:lang w:bidi="fa-IR"/>
              </w:rPr>
            </w:pPr>
            <w:r>
              <w:rPr>
                <w:rtl/>
                <w:lang w:bidi="fa-IR"/>
              </w:rPr>
              <w:t>(2). في « ط » : « طالب ».</w:t>
            </w:r>
          </w:p>
        </w:tc>
      </w:tr>
    </w:tbl>
    <w:p w:rsidR="00744A1C" w:rsidRDefault="00E378DD" w:rsidP="00E378DD">
      <w:pPr>
        <w:pStyle w:val="libFootnote0"/>
        <w:rPr>
          <w:lang w:bidi="fa-IR"/>
        </w:rPr>
      </w:pPr>
      <w:r>
        <w:rPr>
          <w:rtl/>
          <w:lang w:bidi="fa-IR"/>
        </w:rPr>
        <w:t>(3).</w:t>
      </w:r>
      <w:r w:rsidR="00744A1C">
        <w:rPr>
          <w:rtl/>
          <w:lang w:bidi="fa-IR"/>
        </w:rPr>
        <w:t xml:space="preserve"> قال ابن الأثير : « العُرْض - بالضمّ - : الجانب والناحية في كلّ شي‌ء ... ومنه حديث ابن الحنفيّة : كل الجبن عُرْضاً ، أي اشتره ممّن وجدته ولا تسأل عمّن عمله من مسلم أو غيره ؛ مأخوذ من عُرْض الشي‌ء ، وهو ناحيته ». </w:t>
      </w:r>
      <w:r w:rsidR="00744A1C" w:rsidRPr="00877682">
        <w:rPr>
          <w:rStyle w:val="libFootnoteBoldChar"/>
          <w:rtl/>
        </w:rPr>
        <w:t>النهاية</w:t>
      </w:r>
      <w:r w:rsidR="00744A1C">
        <w:rPr>
          <w:rtl/>
          <w:lang w:bidi="fa-IR"/>
        </w:rPr>
        <w:t xml:space="preserve"> ، ج 3 ، ص 210 ( عرض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في عرض مالك ، أي في جملته وفي ما بينه من غير مبالاة بترك عزلها عنه ؛ فإنّ هذه اللفظة تستعمل في مثل هذا المعنى ، يقال : يضربون الناس في عرض ، أي لا يبالون من ضربوا. وفي حديث ابن الحنفيّة : كل الجبن عُرْضاً ، أي اعترضه واشتره ولا تسأل عمّن عمله ».</w:t>
      </w:r>
    </w:p>
    <w:p w:rsidR="00744A1C" w:rsidRDefault="00744A1C" w:rsidP="00D10E3C">
      <w:pPr>
        <w:pStyle w:val="libFootnote0"/>
        <w:rPr>
          <w:lang w:bidi="fa-IR"/>
        </w:rPr>
      </w:pPr>
      <w:r>
        <w:rPr>
          <w:rtl/>
          <w:lang w:bidi="fa-IR"/>
        </w:rPr>
        <w:t>وفي هامشه عن المحقّق الشعراني : « قوله : في عرض مالك ، لعلّ المراد أنّ اللقطة لا تصير ملكاً طلقاً ، ومعنى « فاجعلها في عرض مالك » أنّها نظيره وفي حكمه ؛ والملك مفهوم تصوّري ينزع من أحكام تكليفيّة يحصل من مجموعها معنى جعل لها في العرف واللغة لفظ الملك ، ليس حكماً تصديقيّاً وضعيّاً ، كما توهّمه بعضهم ، ولا من مقولة الجدة ، كما زعم من لا بصيرة له في اصطلاحات العلوم ، مثلاً جواز التصرّف في المال حكم يشترك بين الملك والإباحة والإجارة ، وجواز إتلافه مشترك بين الإباحة والولاية والملك ، وهكذا.</w:t>
      </w:r>
    </w:p>
    <w:p w:rsidR="00144FA6" w:rsidRDefault="00744A1C" w:rsidP="00D10E3C">
      <w:pPr>
        <w:pStyle w:val="libFootnote0"/>
        <w:rPr>
          <w:rtl/>
          <w:lang w:bidi="fa-IR"/>
        </w:rPr>
      </w:pPr>
      <w:r>
        <w:rPr>
          <w:rtl/>
          <w:lang w:bidi="fa-IR"/>
        </w:rPr>
        <w:t>وإذا اجتمع أحكام مختلفة من هذا النوع انتزع معنى الملك ، والملك له أنواع باختلاف هذه الأحكام ، مثلاً مالكيّة الإنسان للوقف الخاصّ نوع ، وللملك الطلق نوع. وملك الإمام للأنفال نوع ، وللخمس نوع ، ولسائر أمواله نوع ؛ إذ الأنفال لا تقسم بين جميع الورثة ، والخمس الذي ملكه يقسم بين جميعهم ، وما لم يتصرّف فيه ، بل بقي في ذمّة أصحابه يسلم إلى الأيّام بعده ، لا إلى جميع ورثة الإمام. ومالكيّة الشركاء في الدار نوع ،</w:t>
      </w:r>
      <w:r w:rsidR="00FC69B6">
        <w:rPr>
          <w:rFonts w:hint="cs"/>
          <w:rtl/>
          <w:lang w:bidi="fa-IR"/>
        </w:rPr>
        <w:t>=</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تُجْرِي </w:t>
      </w:r>
      <w:r w:rsidRPr="00D10E3C">
        <w:rPr>
          <w:rStyle w:val="libFootnotenumChar"/>
          <w:rtl/>
        </w:rPr>
        <w:t>(1)</w:t>
      </w:r>
      <w:r>
        <w:rPr>
          <w:rtl/>
          <w:lang w:bidi="fa-IR"/>
        </w:rPr>
        <w:t xml:space="preserve"> عَلَيْهَا </w:t>
      </w:r>
      <w:r w:rsidRPr="00D10E3C">
        <w:rPr>
          <w:rStyle w:val="libFootnotenumChar"/>
          <w:rtl/>
        </w:rPr>
        <w:t>(2)</w:t>
      </w:r>
      <w:r>
        <w:rPr>
          <w:rtl/>
          <w:lang w:bidi="fa-IR"/>
        </w:rPr>
        <w:t xml:space="preserve"> مَا تُجْرِي </w:t>
      </w:r>
      <w:r w:rsidRPr="00D10E3C">
        <w:rPr>
          <w:rStyle w:val="libFootnotenumChar"/>
          <w:rtl/>
        </w:rPr>
        <w:t>(3)</w:t>
      </w:r>
      <w:r>
        <w:rPr>
          <w:rtl/>
          <w:lang w:bidi="fa-IR"/>
        </w:rPr>
        <w:t xml:space="preserve"> عَلى مَالِكَ حَتّى يَجِي‌ءَ لَهَا طَالِبٌ ، فَإِنْ لَمْ يَجِئْ لَهَا </w:t>
      </w:r>
      <w:r w:rsidRPr="00D10E3C">
        <w:rPr>
          <w:rStyle w:val="libFootnotenumChar"/>
          <w:rtl/>
        </w:rPr>
        <w:t>(4)</w:t>
      </w:r>
      <w:r>
        <w:rPr>
          <w:rtl/>
          <w:lang w:bidi="fa-IR"/>
        </w:rPr>
        <w:t xml:space="preserve"> طَالِبٌ ، فَأَوْصِ بِهَا </w:t>
      </w:r>
      <w:r w:rsidRPr="00D10E3C">
        <w:rPr>
          <w:rStyle w:val="libFootnotenumChar"/>
          <w:rtl/>
        </w:rPr>
        <w:t>(5)</w:t>
      </w:r>
      <w:r>
        <w:rPr>
          <w:rtl/>
          <w:lang w:bidi="fa-IR"/>
        </w:rPr>
        <w:t xml:space="preserve"> فِي وَصِيَّتِكَ </w:t>
      </w:r>
      <w:r w:rsidRPr="00D10E3C">
        <w:rPr>
          <w:rStyle w:val="libFootnotenumChar"/>
          <w:rtl/>
        </w:rPr>
        <w:t>(6)</w:t>
      </w:r>
      <w:r>
        <w:rPr>
          <w:rtl/>
          <w:lang w:bidi="fa-IR"/>
        </w:rPr>
        <w:t xml:space="preserve"> ». </w:t>
      </w:r>
      <w:r w:rsidRPr="00D10E3C">
        <w:rPr>
          <w:rStyle w:val="libFootnotenumChar"/>
          <w:rtl/>
        </w:rPr>
        <w:t>(7)</w:t>
      </w:r>
    </w:p>
    <w:p w:rsidR="00144FA6" w:rsidRDefault="00744A1C" w:rsidP="00744A1C">
      <w:pPr>
        <w:pStyle w:val="libNormal"/>
        <w:rPr>
          <w:rtl/>
          <w:lang w:bidi="fa-IR"/>
        </w:rPr>
      </w:pPr>
      <w:r>
        <w:rPr>
          <w:rtl/>
          <w:lang w:bidi="fa-IR"/>
        </w:rPr>
        <w:t>8642 / 12. عَلِيُّ بْنُ إِبْرَاهِيمَ ، عَنْ أَبِيهِ ، عَنِ ابْنِ أَبِي عُمَيْرٍ ، عَنْ هِشَامِ بْنِ سَالِمٍ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جَاءَ رَجُلٌ إِلَى النَّبِيِّ </w:t>
      </w:r>
      <w:r w:rsidR="005E465D" w:rsidRPr="005E465D">
        <w:rPr>
          <w:rStyle w:val="libAlaemChar"/>
          <w:rtl/>
        </w:rPr>
        <w:t>صلى‌الله‌عليه‌وآله</w:t>
      </w:r>
      <w:r w:rsidR="00D10E3C">
        <w:rPr>
          <w:rtl/>
          <w:lang w:bidi="fa-IR"/>
        </w:rPr>
        <w:t xml:space="preserve"> </w:t>
      </w:r>
      <w:r>
        <w:rPr>
          <w:rtl/>
          <w:lang w:bidi="fa-IR"/>
        </w:rPr>
        <w:t xml:space="preserve">، فَقَالَ </w:t>
      </w:r>
      <w:r w:rsidRPr="00D10E3C">
        <w:rPr>
          <w:rStyle w:val="libFootnotenumChar"/>
          <w:rtl/>
        </w:rPr>
        <w:t>(8)</w:t>
      </w:r>
      <w:r>
        <w:rPr>
          <w:rtl/>
          <w:lang w:bidi="fa-IR"/>
        </w:rPr>
        <w:t xml:space="preserve"> : يَا رَسُولَ اللهِ ، إِنِّي وَجَدْتُ شَاةً ، فَقَالَ رَسُولُ اللهِ </w:t>
      </w:r>
      <w:r w:rsidR="007B299E" w:rsidRPr="007B299E">
        <w:rPr>
          <w:rStyle w:val="libAlaemChar"/>
          <w:rtl/>
        </w:rPr>
        <w:t>صلى‌الله‌عليه‌وآله</w:t>
      </w:r>
      <w:r w:rsidR="00D10E3C">
        <w:rPr>
          <w:rtl/>
          <w:lang w:bidi="fa-IR"/>
        </w:rPr>
        <w:t xml:space="preserve"> </w:t>
      </w:r>
      <w:r>
        <w:rPr>
          <w:rtl/>
          <w:lang w:bidi="fa-IR"/>
        </w:rPr>
        <w:t xml:space="preserve">: هِيَ لَكَ ، أَوْ لِأَخِيكَ </w:t>
      </w:r>
      <w:r w:rsidRPr="00D10E3C">
        <w:rPr>
          <w:rStyle w:val="libFootnotenumChar"/>
          <w:rtl/>
        </w:rPr>
        <w:t>(9)</w:t>
      </w:r>
      <w:r>
        <w:rPr>
          <w:rtl/>
          <w:lang w:bidi="fa-IR"/>
        </w:rPr>
        <w:t xml:space="preserve"> ، أَوْ لِلذِّئْبِ </w:t>
      </w:r>
      <w:r w:rsidRPr="00D10E3C">
        <w:rPr>
          <w:rStyle w:val="libFootnotenumChar"/>
          <w:rtl/>
        </w:rPr>
        <w:t>(10)</w:t>
      </w:r>
      <w:r>
        <w:rPr>
          <w:rtl/>
          <w:lang w:bidi="fa-IR"/>
        </w:rPr>
        <w:t xml:space="preserve"> فَقَالَ : يَا رَسُولَ‌</w:t>
      </w:r>
    </w:p>
    <w:p w:rsidR="00744A1C" w:rsidRDefault="00744A1C" w:rsidP="00D10E3C">
      <w:pPr>
        <w:pStyle w:val="libLine"/>
        <w:rPr>
          <w:lang w:bidi="fa-IR"/>
        </w:rPr>
      </w:pPr>
      <w:r>
        <w:rPr>
          <w:rtl/>
          <w:lang w:bidi="fa-IR"/>
        </w:rPr>
        <w:t>____________________</w:t>
      </w:r>
    </w:p>
    <w:p w:rsidR="00744A1C" w:rsidRDefault="00194771" w:rsidP="00D10E3C">
      <w:pPr>
        <w:pStyle w:val="libFootnote0"/>
        <w:rPr>
          <w:lang w:bidi="fa-IR"/>
        </w:rPr>
      </w:pPr>
      <w:r>
        <w:rPr>
          <w:rFonts w:hint="cs"/>
          <w:rtl/>
          <w:lang w:bidi="fa-IR"/>
        </w:rPr>
        <w:t xml:space="preserve">= </w:t>
      </w:r>
      <w:r w:rsidR="00744A1C">
        <w:rPr>
          <w:rtl/>
          <w:lang w:bidi="fa-IR"/>
        </w:rPr>
        <w:t>وللطريق المرفوع نوع ؛ إذ يمنع أحد الشركاء غيره من التصرّف في الدار ولا يمنع من التصرّف في الطرق المرفوعة. وملك المسلمين للأراضي المفتوحة عنوة نوع ، ومالكيّتهم للطرق والشوارع نوع ، وكلّ ذلك لاختلاف الأحكام التي ينتزع مفهوم الملك من مجموعها. وأمّا مالكيّة الإنسان للّقطة بعد التعريف فهو نظير مالكيّته لسائر أمواله من القدرة على الب</w:t>
      </w:r>
      <w:r w:rsidR="00EF5C32">
        <w:rPr>
          <w:rtl/>
          <w:lang w:bidi="fa-IR"/>
        </w:rPr>
        <w:t>يع والتصرّف والإتلاف والهبة إل</w:t>
      </w:r>
      <w:r w:rsidR="00EF5C32">
        <w:rPr>
          <w:rFonts w:hint="cs"/>
          <w:rtl/>
          <w:lang w:bidi="fa-IR"/>
        </w:rPr>
        <w:t>ّ</w:t>
      </w:r>
      <w:r w:rsidR="00EF5C32">
        <w:rPr>
          <w:rtl/>
          <w:lang w:bidi="fa-IR"/>
        </w:rPr>
        <w:t>ا</w:t>
      </w:r>
      <w:r w:rsidR="00744A1C">
        <w:rPr>
          <w:rtl/>
          <w:lang w:bidi="fa-IR"/>
        </w:rPr>
        <w:t xml:space="preserve">في شي‌ءٍ واحد ، وهو أنّ مالكه إذا جاء وادّعاها وكانت العين باقية يجب تسليمها إليه ، فهو ملك مطلق إلى عدم ظهور مالكه ، ونظيره بدل الحيلولة ؛ فإنّه ملك إلى أن يظهر أصل المال فيسلم إلى صاحبه ويرجع البدل مع بقائه. ويمكن أن يقال : إنّ اللقطة لواجدها ملك متزلزل ، نظير المبيع في زمان خيار البائع ؛ هذا على مذهب بعض علمائنا. وأمّا على مذهب من قال : ليس لمالك اللقطة حقٌّ في العين وإن كانت باقية ، وإنّما له مطالبة القيمة فقط ، فتكون اللقطة لواجدها ملكاً غير متزلزل انتقل إليه قهراً في مقابل القيمة. ولكنّ الأوّل أظهر من الأدلّة ؛ لأنّها ظاهرة في ردّ العين ، وهو الذي اختاره </w:t>
      </w:r>
      <w:r w:rsidR="00744A1C" w:rsidRPr="00676993">
        <w:rPr>
          <w:rStyle w:val="libFootnoteBoldChar"/>
          <w:rtl/>
        </w:rPr>
        <w:t>صاحب الجواهر</w:t>
      </w:r>
      <w:r w:rsidR="00744A1C">
        <w:rPr>
          <w:rtl/>
          <w:lang w:bidi="fa-IR"/>
        </w:rPr>
        <w:t xml:space="preserve"> ونسب القول الآخر إلى الأكثر ». وراجع : </w:t>
      </w:r>
      <w:r w:rsidR="00744A1C" w:rsidRPr="00676993">
        <w:rPr>
          <w:rStyle w:val="libFootnoteBoldChar"/>
          <w:rtl/>
        </w:rPr>
        <w:t>جواهر الكلام</w:t>
      </w:r>
      <w:r w:rsidR="00744A1C">
        <w:rPr>
          <w:rtl/>
          <w:lang w:bidi="fa-IR"/>
        </w:rPr>
        <w:t xml:space="preserve"> ، ج 38 ، ص 377.</w:t>
      </w:r>
    </w:p>
    <w:p w:rsidR="00744A1C" w:rsidRDefault="00D10E3C" w:rsidP="00D10E3C">
      <w:pPr>
        <w:pStyle w:val="libFootnote0"/>
        <w:rPr>
          <w:lang w:bidi="fa-IR"/>
        </w:rPr>
      </w:pPr>
      <w:r>
        <w:rPr>
          <w:rtl/>
          <w:lang w:bidi="fa-IR"/>
        </w:rPr>
        <w:t>(1).</w:t>
      </w:r>
      <w:r w:rsidR="00744A1C">
        <w:rPr>
          <w:rtl/>
          <w:lang w:bidi="fa-IR"/>
        </w:rPr>
        <w:t xml:space="preserve"> في « ى ، بح ، بس ، جت ، جن » </w:t>
      </w:r>
      <w:r w:rsidR="00744A1C" w:rsidRPr="00676993">
        <w:rPr>
          <w:rtl/>
        </w:rPr>
        <w:t>والوافي والوسائل والتهذيب :</w:t>
      </w:r>
      <w:r w:rsidR="00744A1C">
        <w:rPr>
          <w:rtl/>
          <w:lang w:bidi="fa-IR"/>
        </w:rPr>
        <w:t xml:space="preserve"> « يجري ».</w:t>
      </w:r>
    </w:p>
    <w:p w:rsidR="00744A1C" w:rsidRDefault="00E378DD" w:rsidP="00E378DD">
      <w:pPr>
        <w:pStyle w:val="libFootnote0"/>
        <w:rPr>
          <w:lang w:bidi="fa-IR"/>
        </w:rPr>
      </w:pPr>
      <w:r>
        <w:rPr>
          <w:rtl/>
          <w:lang w:bidi="fa-IR"/>
        </w:rPr>
        <w:t>(2).</w:t>
      </w:r>
      <w:r w:rsidR="00744A1C">
        <w:rPr>
          <w:rtl/>
          <w:lang w:bidi="fa-IR"/>
        </w:rPr>
        <w:t xml:space="preserve"> في « ط ، ى ، بح ، بس ، جد ، جن » : « عليه ».</w:t>
      </w:r>
    </w:p>
    <w:p w:rsidR="00744A1C" w:rsidRDefault="00E378DD" w:rsidP="00E378DD">
      <w:pPr>
        <w:pStyle w:val="libFootnote0"/>
        <w:rPr>
          <w:lang w:bidi="fa-IR"/>
        </w:rPr>
      </w:pPr>
      <w:r>
        <w:rPr>
          <w:rtl/>
          <w:lang w:bidi="fa-IR"/>
        </w:rPr>
        <w:t>(3).</w:t>
      </w:r>
      <w:r w:rsidR="00744A1C">
        <w:rPr>
          <w:rtl/>
          <w:lang w:bidi="fa-IR"/>
        </w:rPr>
        <w:t xml:space="preserve"> في « ى ، بح ، بس ، بف ، جت </w:t>
      </w:r>
      <w:r w:rsidR="00744A1C" w:rsidRPr="00676993">
        <w:rPr>
          <w:rtl/>
        </w:rPr>
        <w:t xml:space="preserve">» والوافي والوسائل والتهذيب </w:t>
      </w:r>
      <w:r w:rsidR="00744A1C" w:rsidRPr="00676993">
        <w:rPr>
          <w:rtl/>
          <w:lang w:bidi="fa-IR"/>
        </w:rPr>
        <w:t>والاستبصار</w:t>
      </w:r>
      <w:r w:rsidR="00744A1C" w:rsidRPr="00676993">
        <w:rPr>
          <w:rtl/>
        </w:rPr>
        <w:t xml:space="preserve"> : </w:t>
      </w:r>
      <w:r w:rsidR="00744A1C">
        <w:rPr>
          <w:rtl/>
          <w:lang w:bidi="fa-IR"/>
        </w:rPr>
        <w:t>« يجري ».</w:t>
      </w:r>
    </w:p>
    <w:tbl>
      <w:tblPr>
        <w:tblStyle w:val="TableGrid"/>
        <w:bidiVisual/>
        <w:tblW w:w="0" w:type="auto"/>
        <w:tblLook w:val="04A0" w:firstRow="1" w:lastRow="0" w:firstColumn="1" w:lastColumn="0" w:noHBand="0" w:noVBand="1"/>
      </w:tblPr>
      <w:tblGrid>
        <w:gridCol w:w="4006"/>
        <w:gridCol w:w="4006"/>
      </w:tblGrid>
      <w:tr w:rsidR="00676993" w:rsidTr="00676993">
        <w:tc>
          <w:tcPr>
            <w:tcW w:w="4006" w:type="dxa"/>
          </w:tcPr>
          <w:p w:rsidR="00676993" w:rsidRDefault="00676993" w:rsidP="00E378DD">
            <w:pPr>
              <w:pStyle w:val="libFootnote0"/>
              <w:rPr>
                <w:rtl/>
                <w:lang w:bidi="fa-IR"/>
              </w:rPr>
            </w:pPr>
            <w:r>
              <w:rPr>
                <w:rtl/>
                <w:lang w:bidi="fa-IR"/>
              </w:rPr>
              <w:t>(4). في « جن » : - « لها ».</w:t>
            </w:r>
          </w:p>
        </w:tc>
        <w:tc>
          <w:tcPr>
            <w:tcW w:w="4006" w:type="dxa"/>
          </w:tcPr>
          <w:p w:rsidR="00676993" w:rsidRDefault="00676993" w:rsidP="00E378DD">
            <w:pPr>
              <w:pStyle w:val="libFootnote0"/>
              <w:rPr>
                <w:rtl/>
                <w:lang w:bidi="fa-IR"/>
              </w:rPr>
            </w:pPr>
            <w:r>
              <w:rPr>
                <w:rtl/>
                <w:lang w:bidi="fa-IR"/>
              </w:rPr>
              <w:t>(5). في « بس » : - « بها ».</w:t>
            </w:r>
          </w:p>
        </w:tc>
      </w:tr>
    </w:tbl>
    <w:p w:rsidR="00744A1C" w:rsidRDefault="00E378DD" w:rsidP="00E378DD">
      <w:pPr>
        <w:pStyle w:val="libFootnote0"/>
        <w:rPr>
          <w:lang w:bidi="fa-IR"/>
        </w:rPr>
      </w:pPr>
      <w:r>
        <w:rPr>
          <w:rtl/>
          <w:lang w:bidi="fa-IR"/>
        </w:rPr>
        <w:t>(6).</w:t>
      </w:r>
      <w:r w:rsidR="00744A1C">
        <w:rPr>
          <w:rtl/>
          <w:lang w:bidi="fa-IR"/>
        </w:rPr>
        <w:t xml:space="preserve"> في </w:t>
      </w:r>
      <w:r w:rsidR="00744A1C" w:rsidRPr="00676993">
        <w:rPr>
          <w:rtl/>
        </w:rPr>
        <w:t>التهذيب والاستبصار</w:t>
      </w:r>
      <w:r w:rsidR="00744A1C">
        <w:rPr>
          <w:rtl/>
          <w:lang w:bidi="fa-IR"/>
        </w:rPr>
        <w:t xml:space="preserve"> : - « فإن لم يجئ لها طالب فأوص بها في وصيّتك ». وفي </w:t>
      </w:r>
      <w:r w:rsidR="00744A1C" w:rsidRPr="00C24F9C">
        <w:rPr>
          <w:rStyle w:val="libFootnoteBoldChar"/>
          <w:rtl/>
        </w:rPr>
        <w:t>المرآة</w:t>
      </w:r>
      <w:r w:rsidR="00744A1C">
        <w:rPr>
          <w:rtl/>
          <w:lang w:bidi="fa-IR"/>
        </w:rPr>
        <w:t xml:space="preserve"> : « ظاهره حفظه أمانة ، ويحتمل التملّك أيضاً ».</w:t>
      </w:r>
    </w:p>
    <w:p w:rsidR="00744A1C" w:rsidRDefault="00E378DD" w:rsidP="00E378DD">
      <w:pPr>
        <w:pStyle w:val="libFootnote0"/>
        <w:rPr>
          <w:lang w:bidi="fa-IR"/>
        </w:rPr>
      </w:pPr>
      <w:r>
        <w:rPr>
          <w:rtl/>
          <w:lang w:bidi="fa-IR"/>
        </w:rPr>
        <w:t>(7).</w:t>
      </w:r>
      <w:r w:rsidR="00744A1C">
        <w:rPr>
          <w:rtl/>
          <w:lang w:bidi="fa-IR"/>
        </w:rPr>
        <w:t xml:space="preserve"> </w:t>
      </w:r>
      <w:r w:rsidR="00744A1C" w:rsidRPr="00C24F9C">
        <w:rPr>
          <w:rStyle w:val="libFootnoteBoldChar"/>
          <w:rtl/>
        </w:rPr>
        <w:t>التهذيب</w:t>
      </w:r>
      <w:r w:rsidR="00744A1C">
        <w:rPr>
          <w:rtl/>
          <w:lang w:bidi="fa-IR"/>
        </w:rPr>
        <w:t xml:space="preserve"> ، ج 6 ، ص 390 ، صدر ح 1165 ؛ </w:t>
      </w:r>
      <w:r w:rsidR="00744A1C" w:rsidRPr="00C24F9C">
        <w:rPr>
          <w:rStyle w:val="libFootnoteBoldChar"/>
          <w:rtl/>
        </w:rPr>
        <w:t>والاستبصار</w:t>
      </w:r>
      <w:r w:rsidR="00744A1C">
        <w:rPr>
          <w:rtl/>
          <w:lang w:bidi="fa-IR"/>
        </w:rPr>
        <w:t xml:space="preserve"> ، ج 3 ، ص 68 ، ح 229 ، بسندهما عن محمّد بن مسلم ، عن أحدهما </w:t>
      </w:r>
      <w:r w:rsidR="00F112A7" w:rsidRPr="00CE5A92">
        <w:rPr>
          <w:rStyle w:val="libFootnoteAlaemChar"/>
          <w:rtl/>
        </w:rPr>
        <w:t>عليهما‌السلام</w:t>
      </w:r>
      <w:r w:rsidR="00676993" w:rsidRPr="00676993">
        <w:rPr>
          <w:rFonts w:hint="cs"/>
          <w:rtl/>
        </w:rPr>
        <w:t xml:space="preserve"> </w:t>
      </w:r>
      <w:r w:rsidR="00744A1C" w:rsidRPr="00C24F9C">
        <w:rPr>
          <w:rStyle w:val="libFootnoteBoldChar"/>
          <w:rtl/>
        </w:rPr>
        <w:t>الوافي</w:t>
      </w:r>
      <w:r w:rsidR="00744A1C">
        <w:rPr>
          <w:rtl/>
          <w:lang w:bidi="fa-IR"/>
        </w:rPr>
        <w:t xml:space="preserve"> ، ج 17 ، ص 332 ، ح 17365 ؛ </w:t>
      </w:r>
      <w:r w:rsidR="00744A1C" w:rsidRPr="00C24F9C">
        <w:rPr>
          <w:rStyle w:val="libFootnoteBoldChar"/>
          <w:rtl/>
        </w:rPr>
        <w:t>الوسائل</w:t>
      </w:r>
      <w:r w:rsidR="00744A1C">
        <w:rPr>
          <w:rtl/>
          <w:lang w:bidi="fa-IR"/>
        </w:rPr>
        <w:t xml:space="preserve"> ، ج 25 ، ص 444 ، ح 32315.</w:t>
      </w:r>
    </w:p>
    <w:p w:rsidR="00744A1C" w:rsidRDefault="00E378DD" w:rsidP="00E378DD">
      <w:pPr>
        <w:pStyle w:val="libFootnote0"/>
        <w:rPr>
          <w:lang w:bidi="fa-IR"/>
        </w:rPr>
      </w:pPr>
      <w:r>
        <w:rPr>
          <w:rtl/>
          <w:lang w:bidi="fa-IR"/>
        </w:rPr>
        <w:t>(8).</w:t>
      </w:r>
      <w:r w:rsidR="00744A1C">
        <w:rPr>
          <w:rtl/>
          <w:lang w:bidi="fa-IR"/>
        </w:rPr>
        <w:t xml:space="preserve"> هكذا في « ط ، ى ، بس ، بف ، جت ، جد ، جن » </w:t>
      </w:r>
      <w:r w:rsidR="00744A1C" w:rsidRPr="00676993">
        <w:rPr>
          <w:rtl/>
        </w:rPr>
        <w:t>والوافي والوسائل والتهذيب. وفي</w:t>
      </w:r>
      <w:r w:rsidR="00744A1C">
        <w:rPr>
          <w:rtl/>
          <w:lang w:bidi="fa-IR"/>
        </w:rPr>
        <w:t xml:space="preserve"> سائر النسخ والمطبوع : + « له ».</w:t>
      </w:r>
    </w:p>
    <w:p w:rsidR="00744A1C" w:rsidRDefault="00E378DD" w:rsidP="00E378DD">
      <w:pPr>
        <w:pStyle w:val="libFootnote0"/>
        <w:rPr>
          <w:lang w:bidi="fa-IR"/>
        </w:rPr>
      </w:pPr>
      <w:r>
        <w:rPr>
          <w:rtl/>
          <w:lang w:bidi="fa-IR"/>
        </w:rPr>
        <w:t>(9).</w:t>
      </w:r>
      <w:r w:rsidR="00744A1C">
        <w:rPr>
          <w:rtl/>
          <w:lang w:bidi="fa-IR"/>
        </w:rPr>
        <w:t xml:space="preserve"> في « جد » : « ولأخيك ».</w:t>
      </w:r>
    </w:p>
    <w:p w:rsidR="00144FA6" w:rsidRDefault="00E378DD" w:rsidP="00E378DD">
      <w:pPr>
        <w:pStyle w:val="libFootnote0"/>
        <w:rPr>
          <w:rtl/>
          <w:lang w:bidi="fa-IR"/>
        </w:rPr>
      </w:pPr>
      <w:r>
        <w:rPr>
          <w:rtl/>
          <w:lang w:bidi="fa-IR"/>
        </w:rPr>
        <w:t>(10).</w:t>
      </w:r>
      <w:r w:rsidR="00744A1C">
        <w:rPr>
          <w:rtl/>
          <w:lang w:bidi="fa-IR"/>
        </w:rPr>
        <w:t xml:space="preserve"> في « بخ » : - « فقال له : يا رسول الله - إلى - أو للذئب ». وفي </w:t>
      </w:r>
      <w:r w:rsidR="00744A1C" w:rsidRPr="00C24F9C">
        <w:rPr>
          <w:rStyle w:val="libFootnoteBoldChar"/>
          <w:rtl/>
        </w:rPr>
        <w:t>الوافي</w:t>
      </w:r>
      <w:r w:rsidR="00744A1C">
        <w:rPr>
          <w:rtl/>
          <w:lang w:bidi="fa-IR"/>
        </w:rPr>
        <w:t xml:space="preserve"> : « هي لك ، أي إن أخذتها ولم تجد صاحبها</w:t>
      </w:r>
      <w:r w:rsidR="00676993">
        <w:rPr>
          <w:rFonts w:hint="cs"/>
          <w:rtl/>
          <w:lang w:bidi="fa-IR"/>
        </w:rPr>
        <w:t xml:space="preserve"> =</w:t>
      </w:r>
    </w:p>
    <w:p w:rsidR="006D42F6" w:rsidRDefault="006D42F6"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اللهِ ، إِنِّي وَجَدْتُ </w:t>
      </w:r>
      <w:r w:rsidRPr="00D10E3C">
        <w:rPr>
          <w:rStyle w:val="libFootnotenumChar"/>
          <w:rtl/>
        </w:rPr>
        <w:t>(1)</w:t>
      </w:r>
      <w:r>
        <w:rPr>
          <w:rtl/>
          <w:lang w:bidi="fa-IR"/>
        </w:rPr>
        <w:t xml:space="preserve"> بَعِيراً ، فَقَالَ : مَعَهُ حِذَاؤُهُ وَسِقَاؤُهُ </w:t>
      </w:r>
      <w:r w:rsidRPr="00D10E3C">
        <w:rPr>
          <w:rStyle w:val="libFootnotenumChar"/>
          <w:rtl/>
        </w:rPr>
        <w:t>(2)</w:t>
      </w:r>
      <w:r>
        <w:rPr>
          <w:rtl/>
          <w:lang w:bidi="fa-IR"/>
        </w:rPr>
        <w:t xml:space="preserve"> ؛ حِذَاؤُهُ خُفُّهُ ، وَسِقَاؤُهُ كَرِشُهُ </w:t>
      </w:r>
      <w:r w:rsidRPr="00D10E3C">
        <w:rPr>
          <w:rStyle w:val="libFootnotenumChar"/>
          <w:rtl/>
        </w:rPr>
        <w:t>(3)</w:t>
      </w:r>
      <w:r>
        <w:rPr>
          <w:rtl/>
          <w:lang w:bidi="fa-IR"/>
        </w:rPr>
        <w:t xml:space="preserve"> ، فَلَا‌</w:t>
      </w:r>
    </w:p>
    <w:p w:rsidR="00744A1C" w:rsidRDefault="00744A1C" w:rsidP="00D10E3C">
      <w:pPr>
        <w:pStyle w:val="libLine"/>
        <w:rPr>
          <w:lang w:bidi="fa-IR"/>
        </w:rPr>
      </w:pPr>
      <w:r>
        <w:rPr>
          <w:rtl/>
          <w:lang w:bidi="fa-IR"/>
        </w:rPr>
        <w:t>____________________</w:t>
      </w:r>
    </w:p>
    <w:p w:rsidR="00744A1C" w:rsidRDefault="00020068" w:rsidP="00D10E3C">
      <w:pPr>
        <w:pStyle w:val="libFootnote0"/>
        <w:rPr>
          <w:lang w:bidi="fa-IR"/>
        </w:rPr>
      </w:pPr>
      <w:r>
        <w:rPr>
          <w:rFonts w:hint="cs"/>
          <w:rtl/>
          <w:lang w:bidi="fa-IR"/>
        </w:rPr>
        <w:t xml:space="preserve">= </w:t>
      </w:r>
      <w:r w:rsidR="00744A1C">
        <w:rPr>
          <w:rtl/>
          <w:lang w:bidi="fa-IR"/>
        </w:rPr>
        <w:t xml:space="preserve">بعد التعريف ، أو لأخيك إن وجدت صاحبها وسلّمتها إليه ، أو تركتها حتّى يأخذها صاحبها أو غيره ، أو للذئب إن تركتها حتّى يأكلها الذئب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هي لك ، أو لأخيك ، الغرض إمّا بيان التسوية والتخيير ، أو هو تحريص على الأخذ ، أي إن لم تأخذه تأكله الذئب ، وإن </w:t>
      </w:r>
      <w:r>
        <w:rPr>
          <w:rtl/>
          <w:lang w:bidi="fa-IR"/>
        </w:rPr>
        <w:t>أخذته ووجدت مالكه أعطيته ، وإل</w:t>
      </w:r>
      <w:r>
        <w:rPr>
          <w:rFonts w:hint="cs"/>
          <w:rtl/>
          <w:lang w:bidi="fa-IR"/>
        </w:rPr>
        <w:t>ّ</w:t>
      </w:r>
      <w:r>
        <w:rPr>
          <w:rtl/>
          <w:lang w:bidi="fa-IR"/>
        </w:rPr>
        <w:t>ا</w:t>
      </w:r>
      <w:r w:rsidR="00744A1C">
        <w:rPr>
          <w:rtl/>
          <w:lang w:bidi="fa-IR"/>
        </w:rPr>
        <w:t xml:space="preserve"> تملّكته ، فالأخذ أولى من الترك ».</w:t>
      </w:r>
    </w:p>
    <w:p w:rsidR="00744A1C" w:rsidRDefault="00744A1C" w:rsidP="00D10E3C">
      <w:pPr>
        <w:pStyle w:val="libFootnote0"/>
        <w:rPr>
          <w:lang w:bidi="fa-IR"/>
        </w:rPr>
      </w:pPr>
      <w:r>
        <w:rPr>
          <w:rtl/>
          <w:lang w:bidi="fa-IR"/>
        </w:rPr>
        <w:t xml:space="preserve">وفي هامش </w:t>
      </w:r>
      <w:r w:rsidRPr="00C24F9C">
        <w:rPr>
          <w:rStyle w:val="libFootnoteBoldChar"/>
          <w:rtl/>
        </w:rPr>
        <w:t>الوافي</w:t>
      </w:r>
      <w:r>
        <w:rPr>
          <w:rtl/>
          <w:lang w:bidi="fa-IR"/>
        </w:rPr>
        <w:t xml:space="preserve"> عن المحقّق الشعراني : « قوله : أو للذئب ، تجويز لتملّك الشاة وأمثالها من الحيوانات الصغار ، أمّا البعير وأمثالها من الكبار ، فلا يجوز التقاطها.</w:t>
      </w:r>
    </w:p>
    <w:p w:rsidR="00744A1C" w:rsidRDefault="00744A1C" w:rsidP="00D10E3C">
      <w:pPr>
        <w:pStyle w:val="libFootnote0"/>
        <w:rPr>
          <w:lang w:bidi="fa-IR"/>
        </w:rPr>
      </w:pPr>
      <w:r>
        <w:rPr>
          <w:rtl/>
          <w:lang w:bidi="fa-IR"/>
        </w:rPr>
        <w:t xml:space="preserve">قال في </w:t>
      </w:r>
      <w:r w:rsidRPr="000B0BE6">
        <w:rPr>
          <w:rStyle w:val="libFootnoteBoldChar"/>
          <w:rtl/>
        </w:rPr>
        <w:t>التذكرة</w:t>
      </w:r>
      <w:r>
        <w:rPr>
          <w:rtl/>
          <w:lang w:bidi="fa-IR"/>
        </w:rPr>
        <w:t xml:space="preserve"> : إنّ الأحجار الكبار كأحجار الطواحين والحباب الكبيرة وقدور النحاس العظيمة وشبهها ممّا ينحفظ بنفسه ، ملحقة بالإبل في تحريم أخذه ، بل هو أولى منه ؛ لأنّ الإبل في معرض التلف ، إمّا بالأسد أو بالجوع أو العطش أو غير ذلك ، وهذه بخلاف تلك ، ولأنّ هذه الأشياء لا تكاد تضيع عن صاحبها ولا تخرج من مكانها ، بخلاف الحيوان ، فإذا حُرّم أخذ الحيوان فهذه أولى ، وكذا السفن المربوطة في الشراع المعهودة لا يجوز أخذها والأخشاب الموضوعة على الأرض ، أمّا السفن المحلولة الرباط ال</w:t>
      </w:r>
      <w:r w:rsidR="000B0BE6">
        <w:rPr>
          <w:rtl/>
          <w:lang w:bidi="fa-IR"/>
        </w:rPr>
        <w:t>سائرة في الفرات وشبهها بغير مل</w:t>
      </w:r>
      <w:r w:rsidR="000B0BE6">
        <w:rPr>
          <w:rFonts w:hint="cs"/>
          <w:rtl/>
          <w:lang w:bidi="fa-IR"/>
        </w:rPr>
        <w:t>ّ</w:t>
      </w:r>
      <w:r w:rsidR="000B0BE6">
        <w:rPr>
          <w:rtl/>
          <w:lang w:bidi="fa-IR"/>
        </w:rPr>
        <w:t>ا</w:t>
      </w:r>
      <w:r>
        <w:rPr>
          <w:rtl/>
          <w:lang w:bidi="fa-IR"/>
        </w:rPr>
        <w:t>ح فإنّها لقطة إذا لم يعرف مالكها. انتهى.</w:t>
      </w:r>
    </w:p>
    <w:p w:rsidR="00744A1C" w:rsidRDefault="00744A1C" w:rsidP="00F8619F">
      <w:pPr>
        <w:pStyle w:val="libFootnote0"/>
        <w:rPr>
          <w:lang w:bidi="fa-IR"/>
        </w:rPr>
      </w:pPr>
      <w:r>
        <w:rPr>
          <w:rtl/>
          <w:lang w:bidi="fa-IR"/>
        </w:rPr>
        <w:t>وذلك لأنّ التصرّف في مال الغير غير جائز ، وا</w:t>
      </w:r>
      <w:r w:rsidR="000B0BE6">
        <w:rPr>
          <w:rFonts w:hint="cs"/>
          <w:rtl/>
          <w:lang w:bidi="fa-IR"/>
        </w:rPr>
        <w:t>ُ</w:t>
      </w:r>
      <w:r>
        <w:rPr>
          <w:rtl/>
          <w:lang w:bidi="fa-IR"/>
        </w:rPr>
        <w:t xml:space="preserve">جيز الالتقاط في ما يضيع ويفقد ، وبقي الباقي على عدم الجواز. والظاهر أنّ هذه الأموال الثقيلة متروكة عمداً من جهة مالكه ، واللقطة متروكة نسياناً أؤ قهراً بغير اختيار ، وعلم من ذلك أنّ مثل الحمار والبقرة ملحق بالبعير في عدم الجواز وإن لم يكن فيها نصّ. هذا كلّه في الالتقاط ، أي الأخذ بنيّة التعريف والتملّك ، وأمّا بنيّة الحفظ لمالكها فالظاهر الجواز في جميع هذه الأشياء ، ومنع صاحب </w:t>
      </w:r>
      <w:r w:rsidRPr="007A5077">
        <w:rPr>
          <w:rStyle w:val="libFootnoteBoldChar"/>
          <w:rtl/>
        </w:rPr>
        <w:t>الجواهر</w:t>
      </w:r>
      <w:r>
        <w:rPr>
          <w:rtl/>
          <w:lang w:bidi="fa-IR"/>
        </w:rPr>
        <w:t xml:space="preserve"> منه أيضاً ، وينبغي الحكم بجوازه إذا خيف الخطر حتّى على مثل البعير والبقر ». وراجع : تذكرة الفقهاء ، ج 2 ، ص 268. وفي هامش </w:t>
      </w:r>
      <w:r w:rsidRPr="0061079A">
        <w:rPr>
          <w:rStyle w:val="libFootnoteBoldChar"/>
          <w:rtl/>
        </w:rPr>
        <w:t>الكافي</w:t>
      </w:r>
      <w:r>
        <w:rPr>
          <w:rtl/>
          <w:lang w:bidi="fa-IR"/>
        </w:rPr>
        <w:t xml:space="preserve"> المطبوع : « أي ينبغي أن تأخذه وتعرّفه حتّى لا يأخذها أخوك ؛ يعني رجل آخر ، أو يأخذها الذئب ».</w:t>
      </w:r>
      <w:r w:rsidR="00F8619F">
        <w:rPr>
          <w:rFonts w:hint="cs"/>
          <w:rtl/>
          <w:lang w:bidi="fa-IR"/>
        </w:rPr>
        <w:t xml:space="preserve">                                                 </w:t>
      </w:r>
      <w:r w:rsidR="00D10E3C">
        <w:rPr>
          <w:rtl/>
          <w:lang w:bidi="fa-IR"/>
        </w:rPr>
        <w:t>(1).</w:t>
      </w:r>
      <w:r>
        <w:rPr>
          <w:rtl/>
          <w:lang w:bidi="fa-IR"/>
        </w:rPr>
        <w:t xml:space="preserve"> في « ط » : « قد وجدت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التهذيب</w:t>
      </w:r>
      <w:r w:rsidR="00744A1C">
        <w:rPr>
          <w:rtl/>
          <w:lang w:bidi="fa-IR"/>
        </w:rPr>
        <w:t xml:space="preserve"> ، ص 394 : - « معه حذاؤه وسقاؤه ». والسقاء : ظرف الماء من الجلد. </w:t>
      </w:r>
      <w:r w:rsidR="00744A1C" w:rsidRPr="00877682">
        <w:rPr>
          <w:rStyle w:val="libFootnoteBoldChar"/>
          <w:rtl/>
        </w:rPr>
        <w:t>النهاية</w:t>
      </w:r>
      <w:r w:rsidR="00744A1C">
        <w:rPr>
          <w:rtl/>
          <w:lang w:bidi="fa-IR"/>
        </w:rPr>
        <w:t xml:space="preserve"> ، ج 2 ، ص 381 ( سقا ).</w:t>
      </w:r>
    </w:p>
    <w:p w:rsidR="00744A1C" w:rsidRDefault="00E378DD" w:rsidP="00E378DD">
      <w:pPr>
        <w:pStyle w:val="libFootnote0"/>
        <w:rPr>
          <w:lang w:bidi="fa-IR"/>
        </w:rPr>
      </w:pPr>
      <w:r>
        <w:rPr>
          <w:rtl/>
          <w:lang w:bidi="fa-IR"/>
        </w:rPr>
        <w:t>(3).</w:t>
      </w:r>
      <w:r w:rsidR="00744A1C">
        <w:rPr>
          <w:rtl/>
          <w:lang w:bidi="fa-IR"/>
        </w:rPr>
        <w:t xml:space="preserve"> في « ى ، بح ، جد ، جن » </w:t>
      </w:r>
      <w:r w:rsidR="00744A1C" w:rsidRPr="0061079A">
        <w:rPr>
          <w:rStyle w:val="libFootnoteBoldChar"/>
          <w:rtl/>
        </w:rPr>
        <w:t>والتهذيب</w:t>
      </w:r>
      <w:r w:rsidR="00744A1C">
        <w:rPr>
          <w:rtl/>
          <w:lang w:bidi="fa-IR"/>
        </w:rPr>
        <w:t xml:space="preserve"> ، ص 392 : « وكرشه سقاؤه ». وفي « ط » : « وكرشه سقاه ». وفي </w:t>
      </w:r>
      <w:r w:rsidR="00744A1C" w:rsidRPr="00E978C3">
        <w:rPr>
          <w:rStyle w:val="libFootnoteBoldChar"/>
          <w:rtl/>
        </w:rPr>
        <w:t>الصحاح</w:t>
      </w:r>
      <w:r w:rsidR="00744A1C">
        <w:rPr>
          <w:rtl/>
          <w:lang w:bidi="fa-IR"/>
        </w:rPr>
        <w:t xml:space="preserve"> ، ج 3 ، ص 1017 ( كرش ) : « الكرش : لكلّ مجترّ بمنزلة المعدة للإنسان ، تؤنّثها العرب ، وفيها لغتان : كَرِش وكِرْش ، مثل كَبِد وكِبْد ». والمجترّ : الحيوان الذي أعاد المأكول من بطنه فمضغه ثانية ، من الجِرَّة ، وهو ما يخرجه البعير من بطنه ؛ ليمضغه ، ثمّ يبتلعه.</w:t>
      </w:r>
    </w:p>
    <w:p w:rsidR="00744A1C" w:rsidRDefault="00744A1C" w:rsidP="00D10E3C">
      <w:pPr>
        <w:pStyle w:val="libFootnote0"/>
        <w:rPr>
          <w:lang w:bidi="fa-IR"/>
        </w:rPr>
      </w:pPr>
      <w:r>
        <w:rPr>
          <w:rtl/>
          <w:lang w:bidi="fa-IR"/>
        </w:rPr>
        <w:t xml:space="preserve">وفي هامش </w:t>
      </w:r>
      <w:r w:rsidRPr="0061079A">
        <w:rPr>
          <w:rStyle w:val="libFootnoteBoldChar"/>
          <w:rtl/>
        </w:rPr>
        <w:t>الكافي</w:t>
      </w:r>
      <w:r>
        <w:rPr>
          <w:rtl/>
          <w:lang w:bidi="fa-IR"/>
        </w:rPr>
        <w:t xml:space="preserve"> المطبوع : « الكرش ، ككتف : لكلّ مجترّ بمنزلة المعدة للإنسان ، أي ليس له محلّ مخصوص للطعام وآخر للماء ، كما في الشاة ، بل محلّهما واحد ، وهي الكرش ، حتّى أنّا سمعنا من جمّال يقول : أروينا بعيراً فسرنا بعد منازل حتّى بلغنا بيداء قفر لم يوجد فيه شي‌ء أصلاً ، فنحرنا البعير ، فإذا في كرشه وأمعائه الماء قد امتلأ ، ومنه الحديث : البغل كرشه سقاؤه ».</w:t>
      </w:r>
    </w:p>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تَهِجْهُ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8643 / 13. عِدَّةٌ مِنْ أَصْحَابِنَا ، عَنْ أَحْمَدَ بْنِ مُحَمَّدٍ وَسَهْلِ بْنِ زِيَادٍ ، عَنِ ابْنِ مَحْبُوبٍ ، عَنْ عَبْدِ اللهِ بْنِ سِنَانٍ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مَنْ أَصَابَ مَالاً </w:t>
      </w:r>
      <w:r w:rsidRPr="00D10E3C">
        <w:rPr>
          <w:rStyle w:val="libFootnotenumChar"/>
          <w:rtl/>
        </w:rPr>
        <w:t>(3)</w:t>
      </w:r>
      <w:r>
        <w:rPr>
          <w:rtl/>
          <w:lang w:bidi="fa-IR"/>
        </w:rPr>
        <w:t xml:space="preserve"> أَوْ بَعِيراً فِي فَلَاةٍ </w:t>
      </w:r>
      <w:r w:rsidRPr="00D10E3C">
        <w:rPr>
          <w:rStyle w:val="libFootnotenumChar"/>
          <w:rtl/>
        </w:rPr>
        <w:t>(4)</w:t>
      </w:r>
      <w:r>
        <w:rPr>
          <w:rtl/>
          <w:lang w:bidi="fa-IR"/>
        </w:rPr>
        <w:t xml:space="preserve"> مِنَ الْأَرْضِ قَدْ كَلَّتْ </w:t>
      </w:r>
      <w:r w:rsidRPr="00D10E3C">
        <w:rPr>
          <w:rStyle w:val="libFootnotenumChar"/>
          <w:rtl/>
        </w:rPr>
        <w:t>(5)</w:t>
      </w:r>
      <w:r>
        <w:rPr>
          <w:rtl/>
          <w:lang w:bidi="fa-IR"/>
        </w:rPr>
        <w:t xml:space="preserve"> وَقَامَتْ </w:t>
      </w:r>
      <w:r w:rsidRPr="00D10E3C">
        <w:rPr>
          <w:rStyle w:val="libFootnotenumChar"/>
          <w:rtl/>
        </w:rPr>
        <w:t>(6)</w:t>
      </w:r>
      <w:r>
        <w:rPr>
          <w:rtl/>
          <w:lang w:bidi="fa-IR"/>
        </w:rPr>
        <w:t xml:space="preserve"> ، وَسَيَّبَهَا </w:t>
      </w:r>
      <w:r w:rsidRPr="00D10E3C">
        <w:rPr>
          <w:rStyle w:val="libFootnotenumChar"/>
          <w:rtl/>
        </w:rPr>
        <w:t>(7)</w:t>
      </w:r>
      <w:r>
        <w:rPr>
          <w:rtl/>
          <w:lang w:bidi="fa-IR"/>
        </w:rPr>
        <w:t xml:space="preserve"> صَاحِبُهَا مِمَّا </w:t>
      </w:r>
      <w:r w:rsidRPr="00D10E3C">
        <w:rPr>
          <w:rStyle w:val="libFootnotenumChar"/>
          <w:rtl/>
        </w:rPr>
        <w:t>(8)</w:t>
      </w:r>
      <w:r>
        <w:rPr>
          <w:rtl/>
          <w:lang w:bidi="fa-IR"/>
        </w:rPr>
        <w:t xml:space="preserve"> لَمْ يَتْبَعْهُ </w:t>
      </w:r>
      <w:r w:rsidRPr="00D10E3C">
        <w:rPr>
          <w:rStyle w:val="libFootnotenumChar"/>
          <w:rtl/>
        </w:rPr>
        <w:t>(9)</w:t>
      </w:r>
      <w:r>
        <w:rPr>
          <w:rtl/>
          <w:lang w:bidi="fa-IR"/>
        </w:rPr>
        <w:t xml:space="preserve"> ، فَأَخَذَهَا غَيْرُهُ ، فَأَقَامَ عَلَيْهَا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هامش </w:t>
      </w:r>
      <w:r w:rsidR="00744A1C" w:rsidRPr="0061079A">
        <w:rPr>
          <w:rStyle w:val="libFootnoteBoldChar"/>
          <w:rtl/>
        </w:rPr>
        <w:t>الكافي</w:t>
      </w:r>
      <w:r w:rsidR="00744A1C">
        <w:rPr>
          <w:rtl/>
          <w:lang w:bidi="fa-IR"/>
        </w:rPr>
        <w:t xml:space="preserve"> المطبوع : « قوله : فلا تهجه ، أي لا تحرّكه من موضعه ولا تتعرّض بحاله ، بل دعه حتّى يسير ويشرب ويأكل ؛ لأنّ معه حذاءه وسقاءه. وهذه كناية عن عدم احتياجه إلى شخص حتّى يوصله إلى مكانه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392 ، ح 1176 ، معلّقاً عن الكليني. وفيه ، ص 394 ، ح 1184 و 1185 ، بسند آخر ، مع اختلاف يسير. </w:t>
      </w:r>
      <w:r w:rsidR="00744A1C" w:rsidRPr="00C24F9C">
        <w:rPr>
          <w:rStyle w:val="libFootnoteBoldChar"/>
          <w:rtl/>
        </w:rPr>
        <w:t>الفقيه</w:t>
      </w:r>
      <w:r w:rsidR="00744A1C">
        <w:rPr>
          <w:rtl/>
          <w:lang w:bidi="fa-IR"/>
        </w:rPr>
        <w:t xml:space="preserve"> ، ج 3 ، ص 295 ، ح 4057 ، مرسلاً من دون التصريح باسم المعصوم </w:t>
      </w:r>
      <w:r w:rsidR="0061079A" w:rsidRPr="0061079A">
        <w:rPr>
          <w:rStyle w:val="libFootnoteAlaemChar"/>
          <w:rtl/>
        </w:rPr>
        <w:t>عليه‌السلام</w:t>
      </w:r>
      <w:r w:rsidR="00744A1C">
        <w:rPr>
          <w:rtl/>
          <w:lang w:bidi="fa-IR"/>
        </w:rPr>
        <w:t xml:space="preserve">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266 ، مع اختلاف يسير. وراجع : </w:t>
      </w:r>
      <w:r w:rsidR="00744A1C" w:rsidRPr="00877682">
        <w:rPr>
          <w:rStyle w:val="libFootnoteBoldChar"/>
          <w:rtl/>
        </w:rPr>
        <w:t>قرب الإسناد</w:t>
      </w:r>
      <w:r w:rsidR="00744A1C">
        <w:rPr>
          <w:rtl/>
          <w:lang w:bidi="fa-IR"/>
        </w:rPr>
        <w:t xml:space="preserve"> ، ص 273 ، ح 1086 </w:t>
      </w:r>
      <w:r w:rsidR="00F8619F">
        <w:rPr>
          <w:rFonts w:hint="cs"/>
          <w:rtl/>
          <w:lang w:bidi="fa-IR"/>
        </w:rPr>
        <w:t>.</w:t>
      </w:r>
      <w:r w:rsidR="00744A1C" w:rsidRPr="00C24F9C">
        <w:rPr>
          <w:rStyle w:val="libFootnoteBoldChar"/>
          <w:rtl/>
        </w:rPr>
        <w:t>الوافي</w:t>
      </w:r>
      <w:r w:rsidR="00744A1C">
        <w:rPr>
          <w:rtl/>
          <w:lang w:bidi="fa-IR"/>
        </w:rPr>
        <w:t xml:space="preserve"> ، ج 17 ، ص 352 ، ح 17404 ؛ </w:t>
      </w:r>
      <w:r w:rsidR="00744A1C" w:rsidRPr="00C24F9C">
        <w:rPr>
          <w:rStyle w:val="libFootnoteBoldChar"/>
          <w:rtl/>
        </w:rPr>
        <w:t>الوسائل</w:t>
      </w:r>
      <w:r w:rsidR="00744A1C">
        <w:rPr>
          <w:rtl/>
          <w:lang w:bidi="fa-IR"/>
        </w:rPr>
        <w:t xml:space="preserve"> ، ج 25 ، ص 457 ، ح 32347.</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مالاً ، الظاهر أنّ المراد به ما كان من الدوابّ التي تحمل ونحوها بقرينة قوله : كلّت ، إلى‌آخره ».</w:t>
      </w:r>
    </w:p>
    <w:p w:rsidR="00744A1C" w:rsidRDefault="00E378DD" w:rsidP="00E378DD">
      <w:pPr>
        <w:pStyle w:val="libFootnote0"/>
        <w:rPr>
          <w:lang w:bidi="fa-IR"/>
        </w:rPr>
      </w:pPr>
      <w:r>
        <w:rPr>
          <w:rtl/>
          <w:lang w:bidi="fa-IR"/>
        </w:rPr>
        <w:t>(4).</w:t>
      </w:r>
      <w:r w:rsidR="00744A1C">
        <w:rPr>
          <w:rtl/>
          <w:lang w:bidi="fa-IR"/>
        </w:rPr>
        <w:t xml:space="preserve"> الفلاة : القفر من الأرض ؛ لأنّها فُليت عن كلّ خير ، أي فُطمت وعُزلت ، أو هي التي لا ماء فيها ، أو هي الصحراء الواسعة ، أو هي التي لا ماء بها ولا أنيس ، وإن كانت مُكْلئة. راجع : </w:t>
      </w:r>
      <w:r w:rsidR="00744A1C" w:rsidRPr="00877682">
        <w:rPr>
          <w:rStyle w:val="libFootnoteBoldChar"/>
          <w:rtl/>
        </w:rPr>
        <w:t>لسان العرب</w:t>
      </w:r>
      <w:r w:rsidR="00744A1C">
        <w:rPr>
          <w:rtl/>
          <w:lang w:bidi="fa-IR"/>
        </w:rPr>
        <w:t xml:space="preserve"> ، ج 15 ، ص 164 ( فلا ).</w:t>
      </w:r>
    </w:p>
    <w:p w:rsidR="00744A1C" w:rsidRDefault="00E378DD" w:rsidP="00E378DD">
      <w:pPr>
        <w:pStyle w:val="libFootnote0"/>
        <w:rPr>
          <w:lang w:bidi="fa-IR"/>
        </w:rPr>
      </w:pPr>
      <w:r>
        <w:rPr>
          <w:rtl/>
          <w:lang w:bidi="fa-IR"/>
        </w:rPr>
        <w:t>(5).</w:t>
      </w:r>
      <w:r w:rsidR="00744A1C">
        <w:rPr>
          <w:rtl/>
          <w:lang w:bidi="fa-IR"/>
        </w:rPr>
        <w:t xml:space="preserve"> « كلّت » أي أعيت وعجزت ؛ من الكَلّ والكَلال بمعنى العجز والإعياء والثقل والتعب والوهن. راجع : </w:t>
      </w:r>
      <w:r w:rsidR="00744A1C" w:rsidRPr="00F8619F">
        <w:rPr>
          <w:rStyle w:val="libFootnoteBoldChar"/>
          <w:rtl/>
        </w:rPr>
        <w:t>لسان‌</w:t>
      </w:r>
      <w:r w:rsidR="00F8619F">
        <w:rPr>
          <w:rStyle w:val="libFootnoteBoldChar"/>
          <w:rFonts w:hint="cs"/>
          <w:rtl/>
        </w:rPr>
        <w:t xml:space="preserve"> </w:t>
      </w:r>
      <w:r w:rsidR="00744A1C" w:rsidRPr="00F8619F">
        <w:rPr>
          <w:rStyle w:val="libFootnoteBoldChar"/>
          <w:rtl/>
        </w:rPr>
        <w:t>العرب</w:t>
      </w:r>
      <w:r w:rsidR="00744A1C">
        <w:rPr>
          <w:rtl/>
          <w:lang w:bidi="fa-IR"/>
        </w:rPr>
        <w:t xml:space="preserve"> ، ج 11 ، ص 590 و 594 ( كلل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الوافي</w:t>
      </w:r>
      <w:r w:rsidR="00744A1C">
        <w:rPr>
          <w:rtl/>
          <w:lang w:bidi="fa-IR"/>
        </w:rPr>
        <w:t xml:space="preserve"> : « قامت ، أي وقفت ». يقال : قام به دابّته ، أي وقفت. راجع : </w:t>
      </w:r>
      <w:r w:rsidR="00744A1C" w:rsidRPr="00877682">
        <w:rPr>
          <w:rStyle w:val="libFootnoteBoldChar"/>
          <w:rtl/>
        </w:rPr>
        <w:t>النهاية</w:t>
      </w:r>
      <w:r w:rsidR="00744A1C">
        <w:rPr>
          <w:rtl/>
          <w:lang w:bidi="fa-IR"/>
        </w:rPr>
        <w:t xml:space="preserve"> ، ج 4 ، ص 125 ( قوم ).</w:t>
      </w:r>
    </w:p>
    <w:p w:rsidR="00744A1C" w:rsidRDefault="00E378DD" w:rsidP="00E378DD">
      <w:pPr>
        <w:pStyle w:val="libFootnote0"/>
        <w:rPr>
          <w:lang w:bidi="fa-IR"/>
        </w:rPr>
      </w:pPr>
      <w:r>
        <w:rPr>
          <w:rtl/>
          <w:lang w:bidi="fa-IR"/>
        </w:rPr>
        <w:t>(7).</w:t>
      </w:r>
      <w:r w:rsidR="00744A1C">
        <w:rPr>
          <w:rtl/>
          <w:lang w:bidi="fa-IR"/>
        </w:rPr>
        <w:t xml:space="preserve"> كان الرجل إذا نذر لقدوم من سفر ، أو بُرْء من مرض ، أو غير ذلك قال : ناقتي سائبة ، فلا تُمنع من ماء ولا مرعى ، ولا تُحلَب ، ولا تُركب ... وأصله من تسييب الدوابّ ، وهو إرسالها تذهب وتجي‌ء كيف شاءت. </w:t>
      </w:r>
      <w:r w:rsidR="00744A1C" w:rsidRPr="00877682">
        <w:rPr>
          <w:rStyle w:val="libFootnoteBoldChar"/>
          <w:rtl/>
        </w:rPr>
        <w:t>النهاية</w:t>
      </w:r>
      <w:r w:rsidR="00744A1C">
        <w:rPr>
          <w:rtl/>
          <w:lang w:bidi="fa-IR"/>
        </w:rPr>
        <w:t xml:space="preserve"> ، ج 2 ، ص 431 ( سيب ).</w:t>
      </w:r>
    </w:p>
    <w:p w:rsidR="00744A1C" w:rsidRDefault="00744A1C" w:rsidP="00D10E3C">
      <w:pPr>
        <w:pStyle w:val="libFootnote0"/>
        <w:rPr>
          <w:lang w:bidi="fa-IR"/>
        </w:rPr>
      </w:pPr>
      <w:r>
        <w:rPr>
          <w:rtl/>
          <w:lang w:bidi="fa-IR"/>
        </w:rPr>
        <w:t xml:space="preserve">وفي </w:t>
      </w:r>
      <w:r w:rsidRPr="00C24F9C">
        <w:rPr>
          <w:rStyle w:val="libFootnoteBoldChar"/>
          <w:rtl/>
        </w:rPr>
        <w:t>الوافي</w:t>
      </w:r>
      <w:r>
        <w:rPr>
          <w:rtl/>
          <w:lang w:bidi="fa-IR"/>
        </w:rPr>
        <w:t xml:space="preserve"> : « سيّبها : تركها لا تركب ، والسائبة : المهملة ، والناقة كانت تسيّب في الجاهليّة لنذور ونحوه ، أو كانت إذا ولدت عشرة أبطن كلّهنّ ا</w:t>
      </w:r>
      <w:r w:rsidR="00F8619F">
        <w:rPr>
          <w:rFonts w:hint="cs"/>
          <w:rtl/>
          <w:lang w:bidi="fa-IR"/>
        </w:rPr>
        <w:t>ُ</w:t>
      </w:r>
      <w:r>
        <w:rPr>
          <w:rtl/>
          <w:lang w:bidi="fa-IR"/>
        </w:rPr>
        <w:t>ناث سيّبت ».</w:t>
      </w:r>
    </w:p>
    <w:p w:rsidR="00744A1C" w:rsidRDefault="00E378DD" w:rsidP="00E378DD">
      <w:pPr>
        <w:pStyle w:val="libFootnote0"/>
        <w:rPr>
          <w:lang w:bidi="fa-IR"/>
        </w:rPr>
      </w:pPr>
      <w:r>
        <w:rPr>
          <w:rtl/>
          <w:lang w:bidi="fa-IR"/>
        </w:rPr>
        <w:t>(8).</w:t>
      </w:r>
      <w:r w:rsidR="00744A1C">
        <w:rPr>
          <w:rtl/>
          <w:lang w:bidi="fa-IR"/>
        </w:rPr>
        <w:t xml:space="preserve"> في « ى » : « عمّا ». وفي </w:t>
      </w:r>
      <w:r w:rsidR="00744A1C" w:rsidRPr="00F8619F">
        <w:rPr>
          <w:rtl/>
        </w:rPr>
        <w:t>التهذيب</w:t>
      </w:r>
      <w:r w:rsidR="00744A1C">
        <w:rPr>
          <w:rtl/>
          <w:lang w:bidi="fa-IR"/>
        </w:rPr>
        <w:t xml:space="preserve"> : « لما ».</w:t>
      </w:r>
    </w:p>
    <w:p w:rsidR="00744A1C" w:rsidRDefault="00E378DD" w:rsidP="00E378DD">
      <w:pPr>
        <w:pStyle w:val="libFootnote0"/>
        <w:rPr>
          <w:lang w:bidi="fa-IR"/>
        </w:rPr>
      </w:pPr>
      <w:r>
        <w:rPr>
          <w:rtl/>
          <w:lang w:bidi="fa-IR"/>
        </w:rPr>
        <w:t>(9).</w:t>
      </w:r>
      <w:r w:rsidR="00744A1C">
        <w:rPr>
          <w:rtl/>
          <w:lang w:bidi="fa-IR"/>
        </w:rPr>
        <w:t xml:space="preserve"> في « بس » </w:t>
      </w:r>
      <w:r w:rsidR="00744A1C" w:rsidRPr="00F8619F">
        <w:rPr>
          <w:rtl/>
        </w:rPr>
        <w:t>والتهذيب</w:t>
      </w:r>
      <w:r w:rsidR="00744A1C">
        <w:rPr>
          <w:rtl/>
          <w:lang w:bidi="fa-IR"/>
        </w:rPr>
        <w:t xml:space="preserve"> : « تتبعه ». وفي « جت » بالتاء والياء معاً.</w:t>
      </w:r>
    </w:p>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وَأَنْفَقَ نَفَقَةً حَتّى أَحْيَاهَا مِنَ الْكَلَالِ وَمِنَ الْمَوْتِ ، فَهِيَ لَهُ ، وَ </w:t>
      </w:r>
      <w:r w:rsidRPr="00D10E3C">
        <w:rPr>
          <w:rStyle w:val="libFootnotenumChar"/>
          <w:rtl/>
        </w:rPr>
        <w:t>(1)</w:t>
      </w:r>
      <w:r>
        <w:rPr>
          <w:rtl/>
          <w:lang w:bidi="fa-IR"/>
        </w:rPr>
        <w:t xml:space="preserve"> لَا سَبِيلَ لَهُ </w:t>
      </w:r>
      <w:r w:rsidRPr="00D10E3C">
        <w:rPr>
          <w:rStyle w:val="libFootnotenumChar"/>
          <w:rtl/>
        </w:rPr>
        <w:t>(2)</w:t>
      </w:r>
      <w:r>
        <w:rPr>
          <w:rtl/>
          <w:lang w:bidi="fa-IR"/>
        </w:rPr>
        <w:t xml:space="preserve"> عَلَيْهَا ، وَإِنَّمَا هِيَ مِثْلُ الشَّيْ‌ءِ الْمُبَاحِ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8644 / 14. مُحَمَّدُ بْنُ يَحْيى ، عَنْ عَبْدِ اللهِ بْنِ مُحَمَّدٍ ، عَنْ أَبِيهِ ، عَنْ عَبْدِ اللهِ بْنِ الْمُغِيرَةِ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 أَنَّ أَمِيرَ الْمُؤْمِنِينَ - صَلَوَاتُ اللهِ عَلَيْهِ - قَضى فِي رَجُلٍ تَرَكَ دَابَّتَهُ مِنْ جَهْدٍ ، قَالَ : إِنْ تَرَكَهَا فِي كَلَإٍ </w:t>
      </w:r>
      <w:r w:rsidRPr="00D10E3C">
        <w:rPr>
          <w:rStyle w:val="libFootnotenumChar"/>
          <w:rtl/>
        </w:rPr>
        <w:t>(5)</w:t>
      </w:r>
      <w:r>
        <w:rPr>
          <w:rtl/>
          <w:lang w:bidi="fa-IR"/>
        </w:rPr>
        <w:t xml:space="preserve"> وَمَاءٍ وَأَمْنٍ ، فَهِيَ لَهُ يَأْخُذُهَا حَيْثُ أَصَابَهَا ، وَإِنْ كَانَ </w:t>
      </w:r>
      <w:r w:rsidRPr="00D10E3C">
        <w:rPr>
          <w:rStyle w:val="libFootnotenumChar"/>
          <w:rtl/>
        </w:rPr>
        <w:t>(6)</w:t>
      </w:r>
      <w:r>
        <w:rPr>
          <w:rtl/>
          <w:lang w:bidi="fa-IR"/>
        </w:rPr>
        <w:t xml:space="preserve"> تَرَكَهَا فِي خَوْفٍ وَعَلى غَيْرِ مَاءٍ وَلَا </w:t>
      </w:r>
      <w:r w:rsidRPr="00D10E3C">
        <w:rPr>
          <w:rStyle w:val="libFootnotenumChar"/>
          <w:rtl/>
        </w:rPr>
        <w:t>(7)</w:t>
      </w:r>
      <w:r>
        <w:rPr>
          <w:rtl/>
          <w:lang w:bidi="fa-IR"/>
        </w:rPr>
        <w:t xml:space="preserve"> كَلَإٍ ، فَهِيَ لِمَنْ أَصَابَهَا ». </w:t>
      </w:r>
      <w:r w:rsidRPr="00D10E3C">
        <w:rPr>
          <w:rStyle w:val="libFootnotenumChar"/>
          <w:rtl/>
        </w:rPr>
        <w:t>(8)</w:t>
      </w:r>
    </w:p>
    <w:p w:rsidR="00144FA6" w:rsidRDefault="00744A1C" w:rsidP="00744A1C">
      <w:pPr>
        <w:pStyle w:val="libNormal"/>
        <w:rPr>
          <w:rtl/>
          <w:lang w:bidi="fa-IR"/>
        </w:rPr>
      </w:pPr>
      <w:r>
        <w:rPr>
          <w:rtl/>
          <w:lang w:bidi="fa-IR"/>
        </w:rPr>
        <w:t xml:space="preserve">8645 / 15. عَلِيُّ بْنُ إِبْرَاهِيمَ ، عَنْ أَبِيهِ </w:t>
      </w:r>
      <w:r w:rsidRPr="00D10E3C">
        <w:rPr>
          <w:rStyle w:val="libFootnotenumChar"/>
          <w:rtl/>
        </w:rPr>
        <w:t>(9)</w:t>
      </w:r>
      <w:r>
        <w:rPr>
          <w:rtl/>
          <w:lang w:bidi="fa-IR"/>
        </w:rPr>
        <w:t xml:space="preserve"> ، عَنْ حَمَّادٍ ، عَنْ حَرِيزٍ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لَا بَأْسَ بِلُقَطَةِ </w:t>
      </w:r>
      <w:r w:rsidRPr="00D10E3C">
        <w:rPr>
          <w:rStyle w:val="libFootnotenumChar"/>
          <w:rtl/>
        </w:rPr>
        <w:t>(10)</w:t>
      </w:r>
      <w:r>
        <w:rPr>
          <w:rtl/>
          <w:lang w:bidi="fa-IR"/>
        </w:rPr>
        <w:t xml:space="preserve"> الْعَصَا وَالشِّظَاظِ </w:t>
      </w:r>
      <w:r w:rsidRPr="00D10E3C">
        <w:rPr>
          <w:rStyle w:val="libFootnotenumChar"/>
          <w:rtl/>
        </w:rPr>
        <w:t>(11)</w:t>
      </w:r>
      <w:r>
        <w:rPr>
          <w:rtl/>
          <w:lang w:bidi="fa-IR"/>
        </w:rPr>
        <w:t xml:space="preserve"> وَالْوَتِدِ وَالْحَبْلِ‌</w:t>
      </w:r>
    </w:p>
    <w:p w:rsidR="00744A1C" w:rsidRDefault="00744A1C" w:rsidP="00D10E3C">
      <w:pPr>
        <w:pStyle w:val="libLine"/>
        <w:rPr>
          <w:lang w:bidi="fa-IR"/>
        </w:rPr>
      </w:pPr>
      <w:r>
        <w:rPr>
          <w:rtl/>
          <w:lang w:bidi="fa-IR"/>
        </w:rPr>
        <w:t>____________________</w:t>
      </w:r>
    </w:p>
    <w:tbl>
      <w:tblPr>
        <w:tblStyle w:val="TableGrid"/>
        <w:bidiVisual/>
        <w:tblW w:w="0" w:type="auto"/>
        <w:tblLook w:val="04A0" w:firstRow="1" w:lastRow="0" w:firstColumn="1" w:lastColumn="0" w:noHBand="0" w:noVBand="1"/>
      </w:tblPr>
      <w:tblGrid>
        <w:gridCol w:w="4006"/>
        <w:gridCol w:w="4006"/>
      </w:tblGrid>
      <w:tr w:rsidR="00F8619F" w:rsidTr="00F8619F">
        <w:tc>
          <w:tcPr>
            <w:tcW w:w="4006" w:type="dxa"/>
          </w:tcPr>
          <w:p w:rsidR="00F8619F" w:rsidRDefault="00F8619F" w:rsidP="00D10E3C">
            <w:pPr>
              <w:pStyle w:val="libFootnote0"/>
              <w:rPr>
                <w:rtl/>
                <w:lang w:bidi="fa-IR"/>
              </w:rPr>
            </w:pPr>
            <w:r>
              <w:rPr>
                <w:rtl/>
                <w:lang w:bidi="fa-IR"/>
              </w:rPr>
              <w:t>(1). في « بف » : - « له و».</w:t>
            </w:r>
          </w:p>
        </w:tc>
        <w:tc>
          <w:tcPr>
            <w:tcW w:w="4006" w:type="dxa"/>
          </w:tcPr>
          <w:p w:rsidR="00F8619F" w:rsidRDefault="00F8619F" w:rsidP="00D10E3C">
            <w:pPr>
              <w:pStyle w:val="libFootnote0"/>
              <w:rPr>
                <w:rtl/>
                <w:lang w:bidi="fa-IR"/>
              </w:rPr>
            </w:pPr>
            <w:r>
              <w:rPr>
                <w:rtl/>
                <w:lang w:bidi="fa-IR"/>
              </w:rPr>
              <w:t xml:space="preserve">(2). في </w:t>
            </w:r>
            <w:r w:rsidRPr="00C24F9C">
              <w:rPr>
                <w:rStyle w:val="libFootnoteBoldChar"/>
                <w:rtl/>
              </w:rPr>
              <w:t>الوافي</w:t>
            </w:r>
            <w:r>
              <w:rPr>
                <w:rtl/>
                <w:lang w:bidi="fa-IR"/>
              </w:rPr>
              <w:t xml:space="preserve"> : « ولا سبيل له ، أي لصاحبه ».</w:t>
            </w:r>
          </w:p>
        </w:tc>
      </w:tr>
    </w:tbl>
    <w:p w:rsidR="00744A1C" w:rsidRDefault="00E378DD" w:rsidP="00E378DD">
      <w:pPr>
        <w:pStyle w:val="libFootnote0"/>
        <w:rPr>
          <w:lang w:bidi="fa-IR"/>
        </w:rPr>
      </w:pPr>
      <w:r>
        <w:rPr>
          <w:rtl/>
          <w:lang w:bidi="fa-IR"/>
        </w:rPr>
        <w:t>(3).</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إنّما هي مثل الشي‌ء المباح ، حيث شهدت القرائن بإعراض صاحبها عن ملكها فيجوز تملّكها لكلّ أحد ، وإنّما لا يجوز التقاط البعير وأمثالها ؛ حيث لم يدلّ القرائن على الإعراض ، ولا ضمان حينئذٍ ، كاللقطات ، ولا لصاحبها إن جاء أن يطالبها ، بخلاف الحيوانات الصغيرة التي ا</w:t>
      </w:r>
      <w:r w:rsidR="00F8619F">
        <w:rPr>
          <w:rFonts w:hint="cs"/>
          <w:rtl/>
          <w:lang w:bidi="fa-IR"/>
        </w:rPr>
        <w:t>ُ</w:t>
      </w:r>
      <w:r w:rsidR="00744A1C">
        <w:rPr>
          <w:rtl/>
          <w:lang w:bidi="fa-IR"/>
        </w:rPr>
        <w:t>جيز التقاطها ؛ إذ لم يعلم إعراض أصحابها عنها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392 ، ح 1177 ، معلّقاً عن الحسن بن محبوب </w:t>
      </w:r>
      <w:r w:rsidR="00F8619F">
        <w:rPr>
          <w:rFonts w:hint="cs"/>
          <w:rtl/>
          <w:lang w:bidi="fa-IR"/>
        </w:rPr>
        <w:t>.</w:t>
      </w:r>
      <w:r w:rsidR="00744A1C" w:rsidRPr="00C24F9C">
        <w:rPr>
          <w:rStyle w:val="libFootnoteBoldChar"/>
          <w:rtl/>
        </w:rPr>
        <w:t>الوافي</w:t>
      </w:r>
      <w:r w:rsidR="00744A1C">
        <w:rPr>
          <w:rtl/>
          <w:lang w:bidi="fa-IR"/>
        </w:rPr>
        <w:t xml:space="preserve"> ، ج 17 ، ص 353 ، ح 17408 ؛ </w:t>
      </w:r>
      <w:r w:rsidR="00744A1C" w:rsidRPr="00C24F9C">
        <w:rPr>
          <w:rStyle w:val="libFootnoteBoldChar"/>
          <w:rtl/>
        </w:rPr>
        <w:t>الوسائل</w:t>
      </w:r>
      <w:r w:rsidR="00744A1C">
        <w:rPr>
          <w:rtl/>
          <w:lang w:bidi="fa-IR"/>
        </w:rPr>
        <w:t xml:space="preserve"> ، ج 25 ، ص 458 ، ح 32348.</w:t>
      </w:r>
    </w:p>
    <w:p w:rsidR="00744A1C" w:rsidRDefault="00E378DD" w:rsidP="00E378DD">
      <w:pPr>
        <w:pStyle w:val="libFootnote0"/>
        <w:rPr>
          <w:lang w:bidi="fa-IR"/>
        </w:rPr>
      </w:pPr>
      <w:r>
        <w:rPr>
          <w:rtl/>
          <w:lang w:bidi="fa-IR"/>
        </w:rPr>
        <w:t>(5).</w:t>
      </w:r>
      <w:r w:rsidR="00744A1C">
        <w:rPr>
          <w:rtl/>
          <w:lang w:bidi="fa-IR"/>
        </w:rPr>
        <w:t xml:space="preserve"> الكلأ : النبات والعشب ، وسواء رطبه ويابسه. </w:t>
      </w:r>
      <w:r w:rsidR="00744A1C" w:rsidRPr="00877682">
        <w:rPr>
          <w:rStyle w:val="libFootnoteBoldChar"/>
          <w:rtl/>
        </w:rPr>
        <w:t>النهاية</w:t>
      </w:r>
      <w:r w:rsidR="00744A1C">
        <w:rPr>
          <w:rtl/>
          <w:lang w:bidi="fa-IR"/>
        </w:rPr>
        <w:t xml:space="preserve"> ، ج 4 ، ص 194 ( كلأ ).</w:t>
      </w:r>
    </w:p>
    <w:p w:rsidR="00744A1C" w:rsidRDefault="00E378DD" w:rsidP="00E378DD">
      <w:pPr>
        <w:pStyle w:val="libFootnote0"/>
        <w:rPr>
          <w:lang w:bidi="fa-IR"/>
        </w:rPr>
      </w:pPr>
      <w:r>
        <w:rPr>
          <w:rtl/>
          <w:lang w:bidi="fa-IR"/>
        </w:rPr>
        <w:t>(6).</w:t>
      </w:r>
      <w:r w:rsidR="00744A1C">
        <w:rPr>
          <w:rtl/>
          <w:lang w:bidi="fa-IR"/>
        </w:rPr>
        <w:t xml:space="preserve"> في « ى ، بح ، بس ، جد ، جن » </w:t>
      </w:r>
      <w:r w:rsidR="00744A1C" w:rsidRPr="00F8619F">
        <w:rPr>
          <w:rtl/>
        </w:rPr>
        <w:t>والوسائل والفقيه :</w:t>
      </w:r>
      <w:r w:rsidR="00744A1C">
        <w:rPr>
          <w:rtl/>
          <w:lang w:bidi="fa-IR"/>
        </w:rPr>
        <w:t xml:space="preserve"> - « كان ».</w:t>
      </w:r>
    </w:p>
    <w:p w:rsidR="00744A1C" w:rsidRDefault="00E378DD" w:rsidP="00E378DD">
      <w:pPr>
        <w:pStyle w:val="libFootnote0"/>
        <w:rPr>
          <w:lang w:bidi="fa-IR"/>
        </w:rPr>
      </w:pPr>
      <w:r>
        <w:rPr>
          <w:rtl/>
          <w:lang w:bidi="fa-IR"/>
        </w:rPr>
        <w:t>(7).</w:t>
      </w:r>
      <w:r w:rsidR="00744A1C">
        <w:rPr>
          <w:rtl/>
          <w:lang w:bidi="fa-IR"/>
        </w:rPr>
        <w:t xml:space="preserve"> في « بخ ، بف » : - « لا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393 ، ح 1178 ، معلّقاً عن الكليني. </w:t>
      </w:r>
      <w:r w:rsidR="00744A1C" w:rsidRPr="00C24F9C">
        <w:rPr>
          <w:rStyle w:val="libFootnoteBoldChar"/>
          <w:rtl/>
        </w:rPr>
        <w:t>الفقيه</w:t>
      </w:r>
      <w:r w:rsidR="00744A1C">
        <w:rPr>
          <w:rtl/>
          <w:lang w:bidi="fa-IR"/>
        </w:rPr>
        <w:t xml:space="preserve"> ، ج 3 ، ص 296 ، ح 4059 ، معلّقاً عن السكوني ، عن جعفر بن محمّد ، عن أبيه ، عن أمير المؤمنين </w:t>
      </w:r>
      <w:r w:rsidR="00877682" w:rsidRPr="00877682">
        <w:rPr>
          <w:rStyle w:val="libFootnoteAlaemChar"/>
          <w:rtl/>
        </w:rPr>
        <w:t>عليهم‌السلام</w:t>
      </w:r>
      <w:r w:rsidR="00744A1C">
        <w:rPr>
          <w:rtl/>
          <w:lang w:bidi="fa-IR"/>
        </w:rPr>
        <w:t xml:space="preserve"> . </w:t>
      </w:r>
      <w:r w:rsidR="00744A1C" w:rsidRPr="00F8619F">
        <w:rPr>
          <w:rStyle w:val="libFootnoteBoldChar"/>
          <w:rtl/>
        </w:rPr>
        <w:t>المقنعة</w:t>
      </w:r>
      <w:r w:rsidR="00744A1C">
        <w:rPr>
          <w:rtl/>
          <w:lang w:bidi="fa-IR"/>
        </w:rPr>
        <w:t xml:space="preserve"> ، ص 646 ، من دون الإسناد إلى المعصوم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F8619F">
        <w:rPr>
          <w:rFonts w:hint="cs"/>
          <w:rtl/>
          <w:lang w:bidi="fa-IR"/>
        </w:rPr>
        <w:t>.</w:t>
      </w:r>
      <w:r w:rsidR="00744A1C" w:rsidRPr="00C24F9C">
        <w:rPr>
          <w:rStyle w:val="libFootnoteBoldChar"/>
          <w:rtl/>
        </w:rPr>
        <w:t>الوافي</w:t>
      </w:r>
      <w:r w:rsidR="00744A1C">
        <w:rPr>
          <w:rtl/>
          <w:lang w:bidi="fa-IR"/>
        </w:rPr>
        <w:t xml:space="preserve"> ، ج 17 ، ص 354 ، ح 17409 ؛ </w:t>
      </w:r>
      <w:r w:rsidR="00744A1C" w:rsidRPr="00C24F9C">
        <w:rPr>
          <w:rStyle w:val="libFootnoteBoldChar"/>
          <w:rtl/>
        </w:rPr>
        <w:t>الوسائل</w:t>
      </w:r>
      <w:r w:rsidR="00744A1C">
        <w:rPr>
          <w:rtl/>
          <w:lang w:bidi="fa-IR"/>
        </w:rPr>
        <w:t xml:space="preserve"> ، ج 25 ، ص 458 ، ح 32350.</w:t>
      </w:r>
    </w:p>
    <w:p w:rsidR="00744A1C" w:rsidRDefault="00E378DD" w:rsidP="00F8619F">
      <w:pPr>
        <w:pStyle w:val="libFootnote0"/>
        <w:rPr>
          <w:lang w:bidi="fa-IR"/>
        </w:rPr>
      </w:pPr>
      <w:r>
        <w:rPr>
          <w:rtl/>
          <w:lang w:bidi="fa-IR"/>
        </w:rPr>
        <w:t>(9).</w:t>
      </w:r>
      <w:r w:rsidR="00744A1C">
        <w:rPr>
          <w:rtl/>
          <w:lang w:bidi="fa-IR"/>
        </w:rPr>
        <w:t xml:space="preserve"> في </w:t>
      </w:r>
      <w:r w:rsidR="00744A1C" w:rsidRPr="00C24F9C">
        <w:rPr>
          <w:rStyle w:val="libFootnoteBoldChar"/>
          <w:rtl/>
        </w:rPr>
        <w:t>الوسائل</w:t>
      </w:r>
      <w:r w:rsidR="00744A1C">
        <w:rPr>
          <w:rtl/>
          <w:lang w:bidi="fa-IR"/>
        </w:rPr>
        <w:t xml:space="preserve"> : - « عن أبيه ». وهو سهو ؛ فإنّ المراد من حمّاد ، هو حمّاد بن عيسى ، ولم يثبت رواية عليّ بن إبراهيم عنه مباشرة ، وقد تكرّرت في كثيرٍ من الأسناد رواية عليّ بن إبراهيم عن أبيه عن حمّاد [ بن عيسى ]. راجع : </w:t>
      </w:r>
      <w:r w:rsidR="00744A1C" w:rsidRPr="0061079A">
        <w:rPr>
          <w:rStyle w:val="libFootnoteBoldChar"/>
          <w:rtl/>
        </w:rPr>
        <w:t>معجم رجال الحديث</w:t>
      </w:r>
      <w:r w:rsidR="00744A1C">
        <w:rPr>
          <w:rtl/>
          <w:lang w:bidi="fa-IR"/>
        </w:rPr>
        <w:t xml:space="preserve"> ، ج 1 ، ص 510 - 517.</w:t>
      </w:r>
      <w:r w:rsidR="00744A1C">
        <w:rPr>
          <w:lang w:bidi="fa-IR"/>
        </w:rPr>
        <w:cr/>
      </w:r>
      <w:r>
        <w:rPr>
          <w:rtl/>
          <w:lang w:bidi="fa-IR"/>
        </w:rPr>
        <w:t>(10).</w:t>
      </w:r>
      <w:r w:rsidR="00744A1C">
        <w:rPr>
          <w:rtl/>
          <w:lang w:bidi="fa-IR"/>
        </w:rPr>
        <w:t xml:space="preserve"> قد مضى معنى اللقطة أوّل الباب.</w:t>
      </w:r>
    </w:p>
    <w:p w:rsidR="00144FA6" w:rsidRDefault="00E378DD" w:rsidP="00E378DD">
      <w:pPr>
        <w:pStyle w:val="libFootnote0"/>
        <w:rPr>
          <w:rtl/>
          <w:lang w:bidi="fa-IR"/>
        </w:rPr>
      </w:pPr>
      <w:r>
        <w:rPr>
          <w:rtl/>
          <w:lang w:bidi="fa-IR"/>
        </w:rPr>
        <w:t>(11).</w:t>
      </w:r>
      <w:r w:rsidR="00744A1C">
        <w:rPr>
          <w:rtl/>
          <w:lang w:bidi="fa-IR"/>
        </w:rPr>
        <w:t xml:space="preserve"> « الشظاظ » : خشبة محدّدة الطرف تُدْخَل في عروتي الجواليق ؛ لتجمع بينهما عند حملهما على البعير ،</w:t>
      </w:r>
      <w:r w:rsidR="00F8619F">
        <w:rPr>
          <w:rFonts w:hint="cs"/>
          <w:rtl/>
          <w:lang w:bidi="fa-IR"/>
        </w:rPr>
        <w:t>=</w:t>
      </w:r>
    </w:p>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وَالْعِقَالِ </w:t>
      </w:r>
      <w:r w:rsidRPr="00D10E3C">
        <w:rPr>
          <w:rStyle w:val="libFootnotenumChar"/>
          <w:rtl/>
        </w:rPr>
        <w:t>(1)</w:t>
      </w:r>
      <w:r>
        <w:rPr>
          <w:rtl/>
          <w:lang w:bidi="fa-IR"/>
        </w:rPr>
        <w:t xml:space="preserve"> وَأَشْبَاهِهِ ». قَالَ </w:t>
      </w:r>
      <w:r w:rsidRPr="00D10E3C">
        <w:rPr>
          <w:rStyle w:val="libFootnotenumChar"/>
          <w:rtl/>
        </w:rPr>
        <w:t>(2)</w:t>
      </w:r>
      <w:r>
        <w:rPr>
          <w:rtl/>
          <w:lang w:bidi="fa-IR"/>
        </w:rPr>
        <w:t xml:space="preserve"> : « وَقَالَ أَبُو جَعْفَرٍ </w:t>
      </w:r>
      <w:r w:rsidR="0061079A" w:rsidRPr="0061079A">
        <w:rPr>
          <w:rStyle w:val="libAlaemChar"/>
          <w:rtl/>
        </w:rPr>
        <w:t>عليه‌السلام</w:t>
      </w:r>
      <w:r w:rsidR="00D10E3C">
        <w:rPr>
          <w:rtl/>
          <w:lang w:bidi="fa-IR"/>
        </w:rPr>
        <w:t xml:space="preserve"> </w:t>
      </w:r>
      <w:r>
        <w:rPr>
          <w:rtl/>
          <w:lang w:bidi="fa-IR"/>
        </w:rPr>
        <w:t xml:space="preserve">: لَيْسَ لِهذَا طَالِبٌ </w:t>
      </w:r>
      <w:r w:rsidRPr="00D10E3C">
        <w:rPr>
          <w:rStyle w:val="libFootnotenumChar"/>
          <w:rtl/>
        </w:rPr>
        <w:t>(3)</w:t>
      </w:r>
      <w:r>
        <w:rPr>
          <w:rtl/>
          <w:lang w:bidi="fa-IR"/>
        </w:rPr>
        <w:t xml:space="preserve"> ». </w:t>
      </w:r>
      <w:r w:rsidRPr="00D10E3C">
        <w:rPr>
          <w:rStyle w:val="libFootnotenumChar"/>
          <w:rtl/>
        </w:rPr>
        <w:t>(4)</w:t>
      </w:r>
    </w:p>
    <w:p w:rsidR="00144FA6" w:rsidRDefault="00744A1C" w:rsidP="00744A1C">
      <w:pPr>
        <w:pStyle w:val="libNormal"/>
        <w:rPr>
          <w:rtl/>
          <w:lang w:bidi="fa-IR"/>
        </w:rPr>
      </w:pPr>
      <w:r>
        <w:rPr>
          <w:rtl/>
          <w:lang w:bidi="fa-IR"/>
        </w:rPr>
        <w:t>8646 / 16. عِدَّةٌ مِنْ أَصْحَابِنَا ، عَنْ سَهْلِ بْنِ زِيَادٍ ، عَنْ مُحَمَّدِ بْنِ الْحَسَنِ بْنِ شَمُّونٍ ، عَنِ الْأَصَمِّ ، عَنْ مِسْمَعٍ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w:t>
      </w:r>
      <w:r w:rsidRPr="00D10E3C">
        <w:rPr>
          <w:rStyle w:val="libFootnotenumChar"/>
          <w:rtl/>
        </w:rPr>
        <w:t>(5)</w:t>
      </w:r>
      <w:r>
        <w:rPr>
          <w:rtl/>
          <w:lang w:bidi="fa-IR"/>
        </w:rPr>
        <w:t xml:space="preserve"> : « إِنَّ أَمِيرَ الْمُؤْمِنِينَ - صَلَوَاتُ اللهِ عَلَيْهِ - كَانَ يَقُولُ فِي الدَّابَّةِ : إِذَا سَرَّحَهَا </w:t>
      </w:r>
      <w:r w:rsidRPr="00D10E3C">
        <w:rPr>
          <w:rStyle w:val="libFootnotenumChar"/>
          <w:rtl/>
        </w:rPr>
        <w:t>(6)</w:t>
      </w:r>
      <w:r>
        <w:rPr>
          <w:rtl/>
          <w:lang w:bidi="fa-IR"/>
        </w:rPr>
        <w:t xml:space="preserve"> أَهْلُهَا ، أَوْ عَجَزُوا عَنْ عَلَفِهَا أَوْ نَفَقَتِهَا ، فَهِيَ لِلَّذِي أَحْيَاهَا ».</w:t>
      </w:r>
    </w:p>
    <w:p w:rsidR="00144FA6" w:rsidRDefault="00744A1C" w:rsidP="00744A1C">
      <w:pPr>
        <w:pStyle w:val="libNormal"/>
        <w:rPr>
          <w:rtl/>
          <w:lang w:bidi="fa-IR"/>
        </w:rPr>
      </w:pPr>
      <w:r>
        <w:rPr>
          <w:rtl/>
          <w:lang w:bidi="fa-IR"/>
        </w:rPr>
        <w:t xml:space="preserve">قَالَ : « وَقَضى أَمِيرُ الْمُؤْمِنِينَ </w:t>
      </w:r>
      <w:r w:rsidR="0061079A" w:rsidRPr="0061079A">
        <w:rPr>
          <w:rStyle w:val="libAlaemChar"/>
          <w:rtl/>
        </w:rPr>
        <w:t>عليه‌السلام</w:t>
      </w:r>
      <w:r w:rsidR="00D10E3C">
        <w:rPr>
          <w:rtl/>
          <w:lang w:bidi="fa-IR"/>
        </w:rPr>
        <w:t xml:space="preserve"> </w:t>
      </w:r>
      <w:r>
        <w:rPr>
          <w:rtl/>
          <w:lang w:bidi="fa-IR"/>
        </w:rPr>
        <w:t xml:space="preserve">فِي رَجُلٍ تَرَكَ دَابَّتَهُ </w:t>
      </w:r>
      <w:r w:rsidRPr="00D10E3C">
        <w:rPr>
          <w:rStyle w:val="libFootnotenumChar"/>
          <w:rtl/>
        </w:rPr>
        <w:t>(7)</w:t>
      </w:r>
      <w:r>
        <w:rPr>
          <w:rtl/>
          <w:lang w:bidi="fa-IR"/>
        </w:rPr>
        <w:t xml:space="preserve"> بِمَضِيعَةٍ </w:t>
      </w:r>
      <w:r w:rsidRPr="00D10E3C">
        <w:rPr>
          <w:rStyle w:val="libFootnotenumChar"/>
          <w:rtl/>
        </w:rPr>
        <w:t>(8)</w:t>
      </w:r>
      <w:r>
        <w:rPr>
          <w:rtl/>
          <w:lang w:bidi="fa-IR"/>
        </w:rPr>
        <w:t xml:space="preserve"> ، فَقَالَ : إِنْ كَانَ </w:t>
      </w:r>
      <w:r w:rsidRPr="00D10E3C">
        <w:rPr>
          <w:rStyle w:val="libFootnotenumChar"/>
          <w:rtl/>
        </w:rPr>
        <w:t>(9)</w:t>
      </w:r>
      <w:r>
        <w:rPr>
          <w:rtl/>
          <w:lang w:bidi="fa-IR"/>
        </w:rPr>
        <w:t xml:space="preserve"> تَرَكَهَا فِي كَلَإٍ وَمَاءٍ وَأَمْنٍ </w:t>
      </w:r>
      <w:r w:rsidRPr="00D10E3C">
        <w:rPr>
          <w:rStyle w:val="libFootnotenumChar"/>
          <w:rtl/>
        </w:rPr>
        <w:t>(10)</w:t>
      </w:r>
      <w:r>
        <w:rPr>
          <w:rtl/>
          <w:lang w:bidi="fa-IR"/>
        </w:rPr>
        <w:t xml:space="preserve"> ، فَهِيَ لَهُ يَأْخُذُهَا مَتى </w:t>
      </w:r>
      <w:r w:rsidRPr="00D10E3C">
        <w:rPr>
          <w:rStyle w:val="libFootnotenumChar"/>
          <w:rtl/>
        </w:rPr>
        <w:t>(11)</w:t>
      </w:r>
      <w:r>
        <w:rPr>
          <w:rtl/>
          <w:lang w:bidi="fa-IR"/>
        </w:rPr>
        <w:t xml:space="preserve"> شَاءَ ، وَإِنْ </w:t>
      </w:r>
      <w:r w:rsidRPr="00D10E3C">
        <w:rPr>
          <w:rStyle w:val="libFootnotenumChar"/>
          <w:rtl/>
        </w:rPr>
        <w:t>(12)</w:t>
      </w:r>
      <w:r>
        <w:rPr>
          <w:rtl/>
          <w:lang w:bidi="fa-IR"/>
        </w:rPr>
        <w:t xml:space="preserve"> تَرَكَهَا فِي غَيْرِ كَلَإٍ وَلَا مَاءٍ ، فَهِيَ لِمَنْ أَحْيَاهَا ».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8F3112" w:rsidP="00D10E3C">
      <w:pPr>
        <w:pStyle w:val="libFootnote0"/>
        <w:rPr>
          <w:lang w:bidi="fa-IR"/>
        </w:rPr>
      </w:pPr>
      <w:r>
        <w:rPr>
          <w:rFonts w:hint="cs"/>
          <w:rtl/>
          <w:lang w:bidi="fa-IR"/>
        </w:rPr>
        <w:t xml:space="preserve">= </w:t>
      </w:r>
      <w:r w:rsidR="00744A1C">
        <w:rPr>
          <w:rtl/>
          <w:lang w:bidi="fa-IR"/>
        </w:rPr>
        <w:t xml:space="preserve">والجمع : أشظّة. </w:t>
      </w:r>
      <w:r w:rsidR="00744A1C" w:rsidRPr="00877682">
        <w:rPr>
          <w:rStyle w:val="libFootnoteBoldChar"/>
          <w:rtl/>
        </w:rPr>
        <w:t>النهاية</w:t>
      </w:r>
      <w:r w:rsidR="00744A1C">
        <w:rPr>
          <w:rtl/>
          <w:lang w:bidi="fa-IR"/>
        </w:rPr>
        <w:t xml:space="preserve"> ، ج 2 ، ص 476 ( شظظ ).</w:t>
      </w:r>
    </w:p>
    <w:p w:rsidR="00744A1C" w:rsidRDefault="00D10E3C" w:rsidP="00DD19F7">
      <w:pPr>
        <w:pStyle w:val="libFootnote0"/>
        <w:rPr>
          <w:lang w:bidi="fa-IR"/>
        </w:rPr>
      </w:pPr>
      <w:r>
        <w:rPr>
          <w:rtl/>
          <w:lang w:bidi="fa-IR"/>
        </w:rPr>
        <w:t>(1).</w:t>
      </w:r>
      <w:r w:rsidR="00744A1C">
        <w:rPr>
          <w:rtl/>
          <w:lang w:bidi="fa-IR"/>
        </w:rPr>
        <w:t xml:space="preserve"> في « بف » : « والنعال ». والعقال : الحبل الذي يشدّ به ذراعي البعير. راجع : </w:t>
      </w:r>
      <w:r w:rsidR="00744A1C" w:rsidRPr="00877682">
        <w:rPr>
          <w:rStyle w:val="libFootnoteBoldChar"/>
          <w:rtl/>
        </w:rPr>
        <w:t>لسان العرب</w:t>
      </w:r>
      <w:r w:rsidR="00744A1C">
        <w:rPr>
          <w:rtl/>
          <w:lang w:bidi="fa-IR"/>
        </w:rPr>
        <w:t xml:space="preserve"> ، ج 11 ، ص 459 ( عقل ).</w:t>
      </w:r>
      <w:r w:rsidR="00DD19F7">
        <w:rPr>
          <w:rFonts w:hint="cs"/>
          <w:rtl/>
          <w:lang w:bidi="fa-IR"/>
        </w:rPr>
        <w:t xml:space="preserve">                               </w:t>
      </w:r>
      <w:r w:rsidR="00794BCA">
        <w:rPr>
          <w:rFonts w:hint="cs"/>
          <w:rtl/>
          <w:lang w:bidi="fa-IR"/>
        </w:rPr>
        <w:t xml:space="preserve">              </w:t>
      </w:r>
      <w:r w:rsidR="00DD19F7">
        <w:rPr>
          <w:rFonts w:hint="cs"/>
          <w:rtl/>
          <w:lang w:bidi="fa-IR"/>
        </w:rPr>
        <w:t xml:space="preserve">       </w:t>
      </w:r>
      <w:r w:rsidR="00E378DD">
        <w:rPr>
          <w:rtl/>
          <w:lang w:bidi="fa-IR"/>
        </w:rPr>
        <w:t>(2).</w:t>
      </w:r>
      <w:r w:rsidR="00744A1C">
        <w:rPr>
          <w:rtl/>
          <w:lang w:bidi="fa-IR"/>
        </w:rPr>
        <w:t xml:space="preserve"> في « جن » : - « قال ».</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المرآة</w:t>
      </w:r>
      <w:r w:rsidR="00744A1C">
        <w:rPr>
          <w:rtl/>
          <w:lang w:bidi="fa-IR"/>
        </w:rPr>
        <w:t xml:space="preserve"> : « المشهور بين الأصحاب كراهة التقاط هذه الأشياء وأشباهها ممّا ثقل قيمتها وتعظم منفعتها ؛ لورود النهي عنها في بعض الأخبار ، وإنّما حكموا بالكراهة جمعاً ، وقال أبو الصلاح وجماعة : يحرم التقاط النعلين والإداوة والسوط ؛ لرواية عبد الرحمن ، وربما يعلّل بكونها في حكم الميتة ؛ لكونها من الجلد ».</w:t>
      </w:r>
    </w:p>
    <w:p w:rsidR="00744A1C" w:rsidRDefault="00E378DD" w:rsidP="00F3474A">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6 ، ص 393 ، ح 1179 ، معلّقاً عن الكليني. </w:t>
      </w:r>
      <w:r w:rsidR="00744A1C" w:rsidRPr="00C24F9C">
        <w:rPr>
          <w:rStyle w:val="libFootnoteBoldChar"/>
          <w:rtl/>
        </w:rPr>
        <w:t>الفقيه</w:t>
      </w:r>
      <w:r w:rsidR="00744A1C">
        <w:rPr>
          <w:rtl/>
          <w:lang w:bidi="fa-IR"/>
        </w:rPr>
        <w:t xml:space="preserve"> ، ج 3 ، ص 295 ، ح 4065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إلى قوله : « العقال وأشباهه » </w:t>
      </w:r>
      <w:r w:rsidR="00F3474A">
        <w:rPr>
          <w:rFonts w:hint="cs"/>
          <w:rtl/>
          <w:lang w:bidi="fa-IR"/>
        </w:rPr>
        <w:t>.</w:t>
      </w:r>
      <w:r w:rsidR="00744A1C" w:rsidRPr="00C24F9C">
        <w:rPr>
          <w:rStyle w:val="libFootnoteBoldChar"/>
          <w:rtl/>
        </w:rPr>
        <w:t>الوافي</w:t>
      </w:r>
      <w:r w:rsidR="00744A1C">
        <w:rPr>
          <w:rtl/>
          <w:lang w:bidi="fa-IR"/>
        </w:rPr>
        <w:t xml:space="preserve"> ، ج 17 ، ص 340 ، ح 17376 ؛ </w:t>
      </w:r>
      <w:r w:rsidR="00744A1C" w:rsidRPr="00C24F9C">
        <w:rPr>
          <w:rStyle w:val="libFootnoteBoldChar"/>
          <w:rtl/>
        </w:rPr>
        <w:t>الوسائل</w:t>
      </w:r>
      <w:r w:rsidR="00744A1C">
        <w:rPr>
          <w:rtl/>
          <w:lang w:bidi="fa-IR"/>
        </w:rPr>
        <w:t xml:space="preserve"> ، ج 25 ، ص 456 ، ح 32344.</w:t>
      </w:r>
      <w:r w:rsidR="00794BCA">
        <w:rPr>
          <w:rFonts w:hint="cs"/>
          <w:rtl/>
          <w:lang w:bidi="fa-IR"/>
        </w:rPr>
        <w:t xml:space="preserve">    </w:t>
      </w:r>
      <w:r w:rsidR="00F3474A">
        <w:rPr>
          <w:rFonts w:hint="cs"/>
          <w:rtl/>
          <w:lang w:bidi="fa-IR"/>
        </w:rPr>
        <w:t xml:space="preserve">       </w:t>
      </w:r>
      <w:r>
        <w:rPr>
          <w:rtl/>
          <w:lang w:bidi="fa-IR"/>
        </w:rPr>
        <w:t>(5).</w:t>
      </w:r>
      <w:r w:rsidR="00744A1C">
        <w:rPr>
          <w:rtl/>
          <w:lang w:bidi="fa-IR"/>
        </w:rPr>
        <w:t xml:space="preserve"> في « ط » : - « قال ».</w:t>
      </w:r>
    </w:p>
    <w:p w:rsidR="00744A1C" w:rsidRDefault="00E378DD" w:rsidP="00E378DD">
      <w:pPr>
        <w:pStyle w:val="libFootnote0"/>
        <w:rPr>
          <w:lang w:bidi="fa-IR"/>
        </w:rPr>
      </w:pPr>
      <w:r>
        <w:rPr>
          <w:rtl/>
          <w:lang w:bidi="fa-IR"/>
        </w:rPr>
        <w:t>(6).</w:t>
      </w:r>
      <w:r w:rsidR="00744A1C">
        <w:rPr>
          <w:rtl/>
          <w:lang w:bidi="fa-IR"/>
        </w:rPr>
        <w:t xml:space="preserve"> التسريح : الإرسال والإطلاق. راجع : </w:t>
      </w:r>
      <w:r w:rsidR="00744A1C" w:rsidRPr="00877682">
        <w:rPr>
          <w:rStyle w:val="libFootnoteBoldChar"/>
          <w:rtl/>
        </w:rPr>
        <w:t>لسان العرب</w:t>
      </w:r>
      <w:r w:rsidR="00744A1C">
        <w:rPr>
          <w:rtl/>
          <w:lang w:bidi="fa-IR"/>
        </w:rPr>
        <w:t xml:space="preserve"> ، ج 2 ، ص 479 ( سرح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الوسائل</w:t>
      </w:r>
      <w:r w:rsidR="00744A1C">
        <w:rPr>
          <w:rtl/>
          <w:lang w:bidi="fa-IR"/>
        </w:rPr>
        <w:t xml:space="preserve"> : « دابّة ».</w:t>
      </w:r>
    </w:p>
    <w:p w:rsidR="00744A1C" w:rsidRDefault="00E378DD" w:rsidP="00E378DD">
      <w:pPr>
        <w:pStyle w:val="libFootnote0"/>
        <w:rPr>
          <w:lang w:bidi="fa-IR"/>
        </w:rPr>
      </w:pPr>
      <w:r>
        <w:rPr>
          <w:rtl/>
          <w:lang w:bidi="fa-IR"/>
        </w:rPr>
        <w:t>(8).</w:t>
      </w:r>
      <w:r w:rsidR="00744A1C">
        <w:rPr>
          <w:rtl/>
          <w:lang w:bidi="fa-IR"/>
        </w:rPr>
        <w:t xml:space="preserve"> هكذا في « ط ، ى ، بح ، بخ ، بس ، جد ، جن » و</w:t>
      </w:r>
      <w:r w:rsidR="00744A1C" w:rsidRPr="00C24F9C">
        <w:rPr>
          <w:rStyle w:val="libFootnoteBoldChar"/>
          <w:rtl/>
        </w:rPr>
        <w:t>الوافي</w:t>
      </w:r>
      <w:r w:rsidR="00744A1C">
        <w:rPr>
          <w:rtl/>
          <w:lang w:bidi="fa-IR"/>
        </w:rPr>
        <w:t xml:space="preserve"> و</w:t>
      </w:r>
      <w:r w:rsidR="00744A1C" w:rsidRPr="00C24F9C">
        <w:rPr>
          <w:rStyle w:val="libFootnoteBoldChar"/>
          <w:rtl/>
        </w:rPr>
        <w:t>الوسائل</w:t>
      </w:r>
      <w:r w:rsidR="00744A1C">
        <w:rPr>
          <w:rtl/>
          <w:lang w:bidi="fa-IR"/>
        </w:rPr>
        <w:t xml:space="preserve">. وفي سائر النسخ والمطبوع : « في مضيعة ». وقال في </w:t>
      </w:r>
      <w:r w:rsidR="00744A1C" w:rsidRPr="00C24F9C">
        <w:rPr>
          <w:rStyle w:val="libFootnoteBoldChar"/>
          <w:rtl/>
        </w:rPr>
        <w:t>الوافي</w:t>
      </w:r>
      <w:r w:rsidR="00744A1C">
        <w:rPr>
          <w:rtl/>
          <w:lang w:bidi="fa-IR"/>
        </w:rPr>
        <w:t xml:space="preserve"> : « بمضيعة : محلّ تلف وهلاك ». وفي </w:t>
      </w:r>
      <w:r w:rsidR="00744A1C" w:rsidRPr="00C24F9C">
        <w:rPr>
          <w:rStyle w:val="libFootnoteBoldChar"/>
          <w:rtl/>
        </w:rPr>
        <w:t>التهذيب</w:t>
      </w:r>
      <w:r w:rsidR="00744A1C">
        <w:rPr>
          <w:rtl/>
          <w:lang w:bidi="fa-IR"/>
        </w:rPr>
        <w:t xml:space="preserve"> : - « بمضيعة ».</w:t>
      </w:r>
    </w:p>
    <w:p w:rsidR="00744A1C" w:rsidRDefault="00E378DD" w:rsidP="00E378DD">
      <w:pPr>
        <w:pStyle w:val="libFootnote0"/>
        <w:rPr>
          <w:lang w:bidi="fa-IR"/>
        </w:rPr>
      </w:pPr>
      <w:r>
        <w:rPr>
          <w:rtl/>
          <w:lang w:bidi="fa-IR"/>
        </w:rPr>
        <w:t>(9).</w:t>
      </w:r>
      <w:r w:rsidR="00744A1C">
        <w:rPr>
          <w:rtl/>
          <w:lang w:bidi="fa-IR"/>
        </w:rPr>
        <w:t xml:space="preserve"> هكذا في جميع النسخ التي قوبلت </w:t>
      </w:r>
      <w:r w:rsidR="00744A1C" w:rsidRPr="00F3474A">
        <w:rPr>
          <w:rtl/>
        </w:rPr>
        <w:t>والوافي</w:t>
      </w:r>
      <w:r w:rsidR="00744A1C">
        <w:rPr>
          <w:rtl/>
          <w:lang w:bidi="fa-IR"/>
        </w:rPr>
        <w:t xml:space="preserve"> </w:t>
      </w:r>
      <w:r w:rsidR="00744A1C" w:rsidRPr="00F3474A">
        <w:rPr>
          <w:rtl/>
        </w:rPr>
        <w:t>والتهذيب</w:t>
      </w:r>
      <w:r w:rsidR="00744A1C">
        <w:rPr>
          <w:rtl/>
          <w:lang w:bidi="fa-IR"/>
        </w:rPr>
        <w:t>. وفي المطبوع : - « كان ».</w:t>
      </w:r>
    </w:p>
    <w:tbl>
      <w:tblPr>
        <w:tblStyle w:val="TableGrid"/>
        <w:bidiVisual/>
        <w:tblW w:w="0" w:type="auto"/>
        <w:tblLook w:val="04A0" w:firstRow="1" w:lastRow="0" w:firstColumn="1" w:lastColumn="0" w:noHBand="0" w:noVBand="1"/>
      </w:tblPr>
      <w:tblGrid>
        <w:gridCol w:w="4006"/>
        <w:gridCol w:w="4006"/>
      </w:tblGrid>
      <w:tr w:rsidR="00F3474A" w:rsidTr="00F3474A">
        <w:tc>
          <w:tcPr>
            <w:tcW w:w="4006" w:type="dxa"/>
          </w:tcPr>
          <w:p w:rsidR="00F3474A" w:rsidRDefault="00F3474A" w:rsidP="00E378DD">
            <w:pPr>
              <w:pStyle w:val="libFootnote0"/>
              <w:rPr>
                <w:rtl/>
                <w:lang w:bidi="fa-IR"/>
              </w:rPr>
            </w:pPr>
            <w:r>
              <w:rPr>
                <w:rtl/>
                <w:lang w:bidi="fa-IR"/>
              </w:rPr>
              <w:t>(10). في « جد » : « فأمن ».</w:t>
            </w:r>
          </w:p>
        </w:tc>
        <w:tc>
          <w:tcPr>
            <w:tcW w:w="4006" w:type="dxa"/>
          </w:tcPr>
          <w:p w:rsidR="00F3474A" w:rsidRDefault="00F3474A" w:rsidP="00E378DD">
            <w:pPr>
              <w:pStyle w:val="libFootnote0"/>
              <w:rPr>
                <w:rtl/>
                <w:lang w:bidi="fa-IR"/>
              </w:rPr>
            </w:pPr>
            <w:r>
              <w:rPr>
                <w:rtl/>
                <w:lang w:bidi="fa-IR"/>
              </w:rPr>
              <w:t>(11). في حاشية « جت » : « ما ».</w:t>
            </w:r>
          </w:p>
        </w:tc>
      </w:tr>
    </w:tbl>
    <w:p w:rsidR="00744A1C" w:rsidRDefault="00E378DD" w:rsidP="00E378DD">
      <w:pPr>
        <w:pStyle w:val="libFootnote0"/>
        <w:rPr>
          <w:lang w:bidi="fa-IR"/>
        </w:rPr>
      </w:pPr>
      <w:r>
        <w:rPr>
          <w:rtl/>
          <w:lang w:bidi="fa-IR"/>
        </w:rPr>
        <w:t>(12).</w:t>
      </w:r>
      <w:r w:rsidR="00744A1C">
        <w:rPr>
          <w:rtl/>
          <w:lang w:bidi="fa-IR"/>
        </w:rPr>
        <w:t xml:space="preserve"> في </w:t>
      </w:r>
      <w:r w:rsidR="00744A1C" w:rsidRPr="00220E7A">
        <w:rPr>
          <w:rtl/>
        </w:rPr>
        <w:t>الوسائل</w:t>
      </w:r>
      <w:r w:rsidR="00744A1C">
        <w:rPr>
          <w:rtl/>
          <w:lang w:bidi="fa-IR"/>
        </w:rPr>
        <w:t xml:space="preserve"> : + « كان ».</w:t>
      </w:r>
    </w:p>
    <w:p w:rsidR="00744A1C" w:rsidRDefault="00E378DD" w:rsidP="00E378DD">
      <w:pPr>
        <w:pStyle w:val="libFootnote0"/>
        <w:rPr>
          <w:lang w:bidi="fa-IR"/>
        </w:rPr>
      </w:pPr>
      <w:r>
        <w:rPr>
          <w:rtl/>
          <w:lang w:bidi="fa-IR"/>
        </w:rPr>
        <w:t>(13).</w:t>
      </w:r>
      <w:r w:rsidR="00744A1C">
        <w:rPr>
          <w:rtl/>
          <w:lang w:bidi="fa-IR"/>
        </w:rPr>
        <w:t xml:space="preserve"> </w:t>
      </w:r>
      <w:r w:rsidR="00744A1C" w:rsidRPr="00C24F9C">
        <w:rPr>
          <w:rStyle w:val="libFootnoteBoldChar"/>
          <w:rtl/>
        </w:rPr>
        <w:t>التهذيب</w:t>
      </w:r>
      <w:r w:rsidR="00744A1C">
        <w:rPr>
          <w:rtl/>
          <w:lang w:bidi="fa-IR"/>
        </w:rPr>
        <w:t xml:space="preserve"> ، ج 6 ، ص 393 ، ح 1181 ، معلّقاً عن سهل بن زياد </w:t>
      </w:r>
      <w:r w:rsidR="00220E7A">
        <w:rPr>
          <w:rFonts w:hint="cs"/>
          <w:rtl/>
          <w:lang w:bidi="fa-IR"/>
        </w:rPr>
        <w:t>.</w:t>
      </w:r>
      <w:r w:rsidR="00744A1C" w:rsidRPr="00C24F9C">
        <w:rPr>
          <w:rStyle w:val="libFootnoteBoldChar"/>
          <w:rtl/>
        </w:rPr>
        <w:t>الوافي</w:t>
      </w:r>
      <w:r w:rsidR="00744A1C">
        <w:rPr>
          <w:rtl/>
          <w:lang w:bidi="fa-IR"/>
        </w:rPr>
        <w:t xml:space="preserve"> ، ج 17 ، ص 355 ، ح 17409 ؛ </w:t>
      </w:r>
      <w:r w:rsidR="00744A1C" w:rsidRPr="00C24F9C">
        <w:rPr>
          <w:rStyle w:val="libFootnoteBoldChar"/>
          <w:rtl/>
        </w:rPr>
        <w:t>الوسائل</w:t>
      </w:r>
      <w:r w:rsidR="00744A1C">
        <w:rPr>
          <w:rtl/>
          <w:lang w:bidi="fa-IR"/>
        </w:rPr>
        <w:t xml:space="preserve"> ، ج 25 ، ص 458 ، ح 32349.</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8647 / 17. سَهْلُ بْنُ زِيَادٍ </w:t>
      </w:r>
      <w:r w:rsidRPr="00D10E3C">
        <w:rPr>
          <w:rStyle w:val="libFootnotenumChar"/>
          <w:rtl/>
        </w:rPr>
        <w:t>(1)</w:t>
      </w:r>
      <w:r>
        <w:rPr>
          <w:rtl/>
          <w:lang w:bidi="fa-IR"/>
        </w:rPr>
        <w:t xml:space="preserve"> ، عَنِ ابْنِ مَحْبُوبٍ ، عَنْ صَفْوَانَ الْجَمَّالِ </w:t>
      </w:r>
      <w:r w:rsidRPr="00D10E3C">
        <w:rPr>
          <w:rStyle w:val="libFootnotenumChar"/>
          <w:rtl/>
        </w:rPr>
        <w:t>(2)</w:t>
      </w:r>
      <w:r>
        <w:rPr>
          <w:rtl/>
          <w:lang w:bidi="fa-IR"/>
        </w:rPr>
        <w:t xml:space="preserve"> :</w:t>
      </w:r>
    </w:p>
    <w:p w:rsidR="00144FA6" w:rsidRDefault="00744A1C" w:rsidP="00744A1C">
      <w:pPr>
        <w:pStyle w:val="libNormal"/>
        <w:rPr>
          <w:rtl/>
          <w:lang w:bidi="fa-IR"/>
        </w:rPr>
      </w:pPr>
      <w:r>
        <w:rPr>
          <w:rtl/>
          <w:lang w:bidi="fa-IR"/>
        </w:rPr>
        <w:t xml:space="preserve">أَنَّهُ سَمِعَ أَبَا عَبْدِ اللهِ </w:t>
      </w:r>
      <w:r w:rsidR="0061079A" w:rsidRPr="0061079A">
        <w:rPr>
          <w:rStyle w:val="libAlaemChar"/>
          <w:rtl/>
        </w:rPr>
        <w:t>عليه‌السلام</w:t>
      </w:r>
      <w:r w:rsidR="00D10E3C">
        <w:rPr>
          <w:rtl/>
          <w:lang w:bidi="fa-IR"/>
        </w:rPr>
        <w:t xml:space="preserve"> </w:t>
      </w:r>
      <w:r>
        <w:rPr>
          <w:rtl/>
          <w:lang w:bidi="fa-IR"/>
        </w:rPr>
        <w:t xml:space="preserve">يَقُولُ : « مَنْ وَجَدَ ضَالَّةً فَلَمْ يُعَرِّفْهَا </w:t>
      </w:r>
      <w:r w:rsidRPr="00D10E3C">
        <w:rPr>
          <w:rStyle w:val="libFootnotenumChar"/>
          <w:rtl/>
        </w:rPr>
        <w:t>(3)</w:t>
      </w:r>
      <w:r>
        <w:rPr>
          <w:rtl/>
          <w:lang w:bidi="fa-IR"/>
        </w:rPr>
        <w:t xml:space="preserve"> ، ثُمَّ وُجِدَتْ عِنْدَهُ ، فَإِنَّهَا لِرَبِّهَا ، وَمِثْلَهَا </w:t>
      </w:r>
      <w:r w:rsidRPr="00D10E3C">
        <w:rPr>
          <w:rStyle w:val="libFootnotenumChar"/>
          <w:rtl/>
        </w:rPr>
        <w:t>(4)</w:t>
      </w:r>
      <w:r>
        <w:rPr>
          <w:rtl/>
          <w:lang w:bidi="fa-IR"/>
        </w:rPr>
        <w:t xml:space="preserve"> مِنْ مَالِ الَّذِي كَتَمَهَا </w:t>
      </w:r>
      <w:r w:rsidRPr="00D10E3C">
        <w:rPr>
          <w:rStyle w:val="libFootnotenumChar"/>
          <w:rtl/>
        </w:rPr>
        <w:t>(5)</w:t>
      </w:r>
      <w:r>
        <w:rPr>
          <w:rtl/>
          <w:lang w:bidi="fa-IR"/>
        </w:rPr>
        <w:t xml:space="preserve"> ». </w:t>
      </w:r>
      <w:r w:rsidRPr="00D10E3C">
        <w:rPr>
          <w:rStyle w:val="libFootnotenumChar"/>
          <w:rtl/>
        </w:rPr>
        <w:t>(6)</w:t>
      </w:r>
    </w:p>
    <w:p w:rsidR="00744A1C" w:rsidRDefault="00744A1C" w:rsidP="00220E7A">
      <w:pPr>
        <w:pStyle w:val="Heading2Center"/>
        <w:rPr>
          <w:lang w:bidi="fa-IR"/>
        </w:rPr>
      </w:pPr>
      <w:bookmarkStart w:id="173" w:name="_Toc49261471"/>
      <w:r>
        <w:rPr>
          <w:rtl/>
          <w:lang w:bidi="fa-IR"/>
        </w:rPr>
        <w:t>50 - بَابُ الْهَدِيَّةِ‌</w:t>
      </w:r>
      <w:bookmarkEnd w:id="173"/>
    </w:p>
    <w:p w:rsidR="00144FA6" w:rsidRDefault="00744A1C" w:rsidP="00744A1C">
      <w:pPr>
        <w:pStyle w:val="libNormal"/>
        <w:rPr>
          <w:rtl/>
          <w:lang w:bidi="fa-IR"/>
        </w:rPr>
      </w:pPr>
      <w:r>
        <w:rPr>
          <w:rtl/>
          <w:lang w:bidi="fa-IR"/>
        </w:rPr>
        <w:t>8648 / 1.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17097C" w:rsidRPr="0017097C">
        <w:rPr>
          <w:rStyle w:val="libAlaemChar"/>
          <w:rtl/>
        </w:rPr>
        <w:t>صلى‌الله‌عليه‌وآله</w:t>
      </w:r>
      <w:r w:rsidR="00D10E3C">
        <w:rPr>
          <w:rtl/>
          <w:lang w:bidi="fa-IR"/>
        </w:rPr>
        <w:t xml:space="preserve"> </w:t>
      </w:r>
      <w:r>
        <w:rPr>
          <w:rtl/>
          <w:lang w:bidi="fa-IR"/>
        </w:rPr>
        <w:t xml:space="preserve">: الْهَدِيَّةُ عَلى ثَلَاثَةِ وُجُوهٍ </w:t>
      </w:r>
      <w:r w:rsidRPr="00D10E3C">
        <w:rPr>
          <w:rStyle w:val="libFootnotenumChar"/>
          <w:rtl/>
        </w:rPr>
        <w:t>(7)</w:t>
      </w:r>
      <w:r>
        <w:rPr>
          <w:rtl/>
          <w:lang w:bidi="fa-IR"/>
        </w:rPr>
        <w:t xml:space="preserve"> : هَدِيَّةُ مُكَافَأَةٍ </w:t>
      </w:r>
      <w:r w:rsidRPr="00D10E3C">
        <w:rPr>
          <w:rStyle w:val="libFootnotenumChar"/>
          <w:rtl/>
        </w:rPr>
        <w:t>(8)</w:t>
      </w:r>
      <w:r>
        <w:rPr>
          <w:rtl/>
          <w:lang w:bidi="fa-IR"/>
        </w:rPr>
        <w:t xml:space="preserve"> ، وَهَدِيَّةُ مُصَانَعَةٍ </w:t>
      </w:r>
      <w:r w:rsidRPr="00D10E3C">
        <w:rPr>
          <w:rStyle w:val="libFootnotenumChar"/>
          <w:rtl/>
        </w:rPr>
        <w:t>(9)</w:t>
      </w:r>
      <w:r>
        <w:rPr>
          <w:rtl/>
          <w:lang w:bidi="fa-IR"/>
        </w:rPr>
        <w:t xml:space="preserve"> ، وَهَدِيَّةٌ لِلّهِ عَزَّ وَجَلَّ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السند معلّق على سابقه. ويروي عن سهل بن زياد ، عدّة من أصحابنا.</w:t>
      </w:r>
    </w:p>
    <w:p w:rsidR="00744A1C" w:rsidRDefault="00E378DD" w:rsidP="00E378DD">
      <w:pPr>
        <w:pStyle w:val="libFootnote0"/>
        <w:rPr>
          <w:lang w:bidi="fa-IR"/>
        </w:rPr>
      </w:pPr>
      <w:r>
        <w:rPr>
          <w:rtl/>
          <w:lang w:bidi="fa-IR"/>
        </w:rPr>
        <w:t>(2).</w:t>
      </w:r>
      <w:r w:rsidR="00744A1C">
        <w:rPr>
          <w:rtl/>
          <w:lang w:bidi="fa-IR"/>
        </w:rPr>
        <w:t xml:space="preserve"> ورد الخبر في </w:t>
      </w:r>
      <w:r w:rsidR="00744A1C" w:rsidRPr="00C24F9C">
        <w:rPr>
          <w:rStyle w:val="libFootnoteBoldChar"/>
          <w:rtl/>
        </w:rPr>
        <w:t>الفقيه</w:t>
      </w:r>
      <w:r w:rsidR="00744A1C">
        <w:rPr>
          <w:rtl/>
          <w:lang w:bidi="fa-IR"/>
        </w:rPr>
        <w:t xml:space="preserve"> ، ج 3 ، ص 293 ، ح 4052 ، عن الحسن بن محبوب عن صفوان بن يحيى الجمّال. وهو سهو واضح ؛ فإنّ صفوان الجمّال هو ابن مهران. وأمّا « بن يحيى » فهو إمّا أن يكون مصحّفاً من « بن مهران » ، أو يكون زيادة تفسيريةً ا</w:t>
      </w:r>
      <w:r w:rsidR="00220E7A">
        <w:rPr>
          <w:rFonts w:hint="cs"/>
          <w:rtl/>
          <w:lang w:bidi="fa-IR"/>
        </w:rPr>
        <w:t>ُ</w:t>
      </w:r>
      <w:r w:rsidR="00744A1C">
        <w:rPr>
          <w:rtl/>
          <w:lang w:bidi="fa-IR"/>
        </w:rPr>
        <w:t xml:space="preserve">درجت في المتن سهواً. راجع : </w:t>
      </w:r>
      <w:r w:rsidR="00744A1C" w:rsidRPr="003A7143">
        <w:rPr>
          <w:rStyle w:val="libFootnoteBoldChar"/>
          <w:rtl/>
        </w:rPr>
        <w:t>رجال النجاشي</w:t>
      </w:r>
      <w:r w:rsidR="00744A1C">
        <w:rPr>
          <w:rtl/>
          <w:lang w:bidi="fa-IR"/>
        </w:rPr>
        <w:t xml:space="preserve"> ، ص 198 ، الرقم 525.</w:t>
      </w:r>
    </w:p>
    <w:tbl>
      <w:tblPr>
        <w:tblStyle w:val="TableGrid"/>
        <w:bidiVisual/>
        <w:tblW w:w="0" w:type="auto"/>
        <w:tblLook w:val="04A0" w:firstRow="1" w:lastRow="0" w:firstColumn="1" w:lastColumn="0" w:noHBand="0" w:noVBand="1"/>
      </w:tblPr>
      <w:tblGrid>
        <w:gridCol w:w="4006"/>
        <w:gridCol w:w="4006"/>
      </w:tblGrid>
      <w:tr w:rsidR="00220E7A" w:rsidTr="00220E7A">
        <w:tc>
          <w:tcPr>
            <w:tcW w:w="4006" w:type="dxa"/>
          </w:tcPr>
          <w:p w:rsidR="00220E7A" w:rsidRDefault="00220E7A" w:rsidP="00E378DD">
            <w:pPr>
              <w:pStyle w:val="libFootnote0"/>
              <w:rPr>
                <w:rtl/>
                <w:lang w:bidi="fa-IR"/>
              </w:rPr>
            </w:pPr>
            <w:r>
              <w:rPr>
                <w:rtl/>
                <w:lang w:bidi="fa-IR"/>
              </w:rPr>
              <w:t xml:space="preserve">(3). في « بخ ، بف ، جت » </w:t>
            </w:r>
            <w:r w:rsidRPr="00220E7A">
              <w:rPr>
                <w:rtl/>
              </w:rPr>
              <w:t>والوافي</w:t>
            </w:r>
            <w:r>
              <w:rPr>
                <w:rtl/>
                <w:lang w:bidi="fa-IR"/>
              </w:rPr>
              <w:t xml:space="preserve"> : « ولم يعرّفها ».</w:t>
            </w:r>
          </w:p>
        </w:tc>
        <w:tc>
          <w:tcPr>
            <w:tcW w:w="4006" w:type="dxa"/>
          </w:tcPr>
          <w:p w:rsidR="00220E7A" w:rsidRDefault="00220E7A" w:rsidP="00E378DD">
            <w:pPr>
              <w:pStyle w:val="libFootnote0"/>
              <w:rPr>
                <w:rtl/>
                <w:lang w:bidi="fa-IR"/>
              </w:rPr>
            </w:pPr>
            <w:r>
              <w:rPr>
                <w:rtl/>
                <w:lang w:bidi="fa-IR"/>
              </w:rPr>
              <w:t xml:space="preserve">(4). في </w:t>
            </w:r>
            <w:r w:rsidRPr="00220E7A">
              <w:rPr>
                <w:rtl/>
              </w:rPr>
              <w:t>الوسائل</w:t>
            </w:r>
            <w:r>
              <w:rPr>
                <w:rtl/>
                <w:lang w:bidi="fa-IR"/>
              </w:rPr>
              <w:t xml:space="preserve"> : « أو مثلها ».</w:t>
            </w:r>
          </w:p>
        </w:tc>
      </w:tr>
    </w:tbl>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الوافي</w:t>
      </w:r>
      <w:r w:rsidR="00744A1C">
        <w:rPr>
          <w:rtl/>
          <w:lang w:bidi="fa-IR"/>
        </w:rPr>
        <w:t xml:space="preserve"> : « أو مثلها من مال الذي كتمها ؛ يعني تلفت عنده. وفي </w:t>
      </w:r>
      <w:r w:rsidR="00744A1C" w:rsidRPr="0061079A">
        <w:rPr>
          <w:rStyle w:val="libFootnoteBoldChar"/>
          <w:rtl/>
        </w:rPr>
        <w:t>الكافي</w:t>
      </w:r>
      <w:r w:rsidR="00744A1C">
        <w:rPr>
          <w:rtl/>
          <w:lang w:bidi="fa-IR"/>
        </w:rPr>
        <w:t xml:space="preserve"> : ومثلها ، وفيه بعد ». وفي </w:t>
      </w:r>
      <w:r w:rsidR="00744A1C" w:rsidRPr="00C24F9C">
        <w:rPr>
          <w:rStyle w:val="libFootnoteBoldChar"/>
          <w:rtl/>
        </w:rPr>
        <w:t>المرآة</w:t>
      </w:r>
      <w:r w:rsidR="00744A1C">
        <w:rPr>
          <w:rtl/>
          <w:lang w:bidi="fa-IR"/>
        </w:rPr>
        <w:t xml:space="preserve"> : « أو مثلها. وهو أظهر. وفي </w:t>
      </w:r>
      <w:r w:rsidR="00744A1C" w:rsidRPr="00C24F9C">
        <w:rPr>
          <w:rStyle w:val="libFootnoteBoldChar"/>
          <w:rtl/>
        </w:rPr>
        <w:t>الفقيه</w:t>
      </w:r>
      <w:r w:rsidR="00744A1C">
        <w:rPr>
          <w:rtl/>
          <w:lang w:bidi="fa-IR"/>
        </w:rPr>
        <w:t xml:space="preserve"> كما هنا فالواو بمعنى « أو » ، أو هو كفّارة استحبابيّة ، أو تعزير شرعي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393 ، ح 1180 ، معلّقاً عن الحسن بن محبوب. </w:t>
      </w:r>
      <w:r w:rsidR="00744A1C" w:rsidRPr="00C24F9C">
        <w:rPr>
          <w:rStyle w:val="libFootnoteBoldChar"/>
          <w:rtl/>
        </w:rPr>
        <w:t>الفقيه</w:t>
      </w:r>
      <w:r w:rsidR="00744A1C">
        <w:rPr>
          <w:rtl/>
          <w:lang w:bidi="fa-IR"/>
        </w:rPr>
        <w:t xml:space="preserve"> ، ج 3 ، ص 293 ، ح 4052 ، معلّقاً عن الحسن بن محبوب ، عن صفوان بن يحيى الجمّال ، عن أبي عبد الله </w:t>
      </w:r>
      <w:r w:rsidR="0061079A" w:rsidRPr="0061079A">
        <w:rPr>
          <w:rStyle w:val="libFootnoteAlaemChar"/>
          <w:rtl/>
        </w:rPr>
        <w:t>عليه‌السلام</w:t>
      </w:r>
      <w:r w:rsidR="00D10E3C">
        <w:rPr>
          <w:rtl/>
          <w:lang w:bidi="fa-IR"/>
        </w:rPr>
        <w:t xml:space="preserve"> </w:t>
      </w:r>
      <w:r w:rsidR="002D5CF5">
        <w:rPr>
          <w:rFonts w:hint="cs"/>
          <w:rtl/>
          <w:lang w:bidi="fa-IR"/>
        </w:rPr>
        <w:t>.</w:t>
      </w:r>
      <w:r w:rsidR="00744A1C" w:rsidRPr="00C24F9C">
        <w:rPr>
          <w:rStyle w:val="libFootnoteBoldChar"/>
          <w:rtl/>
        </w:rPr>
        <w:t>الوافي</w:t>
      </w:r>
      <w:r w:rsidR="00744A1C">
        <w:rPr>
          <w:rtl/>
          <w:lang w:bidi="fa-IR"/>
        </w:rPr>
        <w:t xml:space="preserve"> ، ج 17 ، ص 355 ، ح 17411 ؛ </w:t>
      </w:r>
      <w:r w:rsidR="00744A1C" w:rsidRPr="00C24F9C">
        <w:rPr>
          <w:rStyle w:val="libFootnoteBoldChar"/>
          <w:rtl/>
        </w:rPr>
        <w:t>الوسائل</w:t>
      </w:r>
      <w:r w:rsidR="00744A1C">
        <w:rPr>
          <w:rtl/>
          <w:lang w:bidi="fa-IR"/>
        </w:rPr>
        <w:t xml:space="preserve"> ، ج 25 ، ص 460 ، ح 32354.</w:t>
      </w:r>
    </w:p>
    <w:p w:rsidR="00744A1C" w:rsidRDefault="00E378DD" w:rsidP="00E378DD">
      <w:pPr>
        <w:pStyle w:val="libFootnote0"/>
        <w:rPr>
          <w:lang w:bidi="fa-IR"/>
        </w:rPr>
      </w:pPr>
      <w:r>
        <w:rPr>
          <w:rtl/>
          <w:lang w:bidi="fa-IR"/>
        </w:rPr>
        <w:t>(7).</w:t>
      </w:r>
      <w:r w:rsidR="00744A1C">
        <w:rPr>
          <w:rtl/>
          <w:lang w:bidi="fa-IR"/>
        </w:rPr>
        <w:t xml:space="preserve"> هكذا في « ط ، ى ، بح ، بس ، جت ، جد ، جن » و</w:t>
      </w:r>
      <w:r w:rsidR="00744A1C" w:rsidRPr="00C24F9C">
        <w:rPr>
          <w:rStyle w:val="libFootnoteBoldChar"/>
          <w:rtl/>
        </w:rPr>
        <w:t>الوسائل</w:t>
      </w:r>
      <w:r w:rsidR="00744A1C">
        <w:rPr>
          <w:rtl/>
          <w:lang w:bidi="fa-IR"/>
        </w:rPr>
        <w:t xml:space="preserve"> و</w:t>
      </w:r>
      <w:r w:rsidR="00744A1C" w:rsidRPr="00877682">
        <w:rPr>
          <w:rStyle w:val="libFootnoteBoldChar"/>
          <w:rtl/>
        </w:rPr>
        <w:t>الجعفريّات</w:t>
      </w:r>
      <w:r w:rsidR="00744A1C">
        <w:rPr>
          <w:rtl/>
          <w:lang w:bidi="fa-IR"/>
        </w:rPr>
        <w:t xml:space="preserve"> والخصال </w:t>
      </w:r>
      <w:r w:rsidR="00744A1C" w:rsidRPr="00610FB4">
        <w:rPr>
          <w:rStyle w:val="libFootnoteBoldChar"/>
          <w:rtl/>
        </w:rPr>
        <w:t>و</w:t>
      </w:r>
      <w:r w:rsidR="00744A1C" w:rsidRPr="007D61A8">
        <w:rPr>
          <w:rStyle w:val="libFootnoteBoldChar"/>
          <w:rtl/>
        </w:rPr>
        <w:t>تحف العقول</w:t>
      </w:r>
      <w:r w:rsidR="00744A1C">
        <w:rPr>
          <w:rtl/>
          <w:lang w:bidi="fa-IR"/>
        </w:rPr>
        <w:t>. وفي سائرالنسخ والمطبوع : « أوجه ».</w:t>
      </w:r>
    </w:p>
    <w:p w:rsidR="00744A1C" w:rsidRDefault="00E378DD" w:rsidP="00E378DD">
      <w:pPr>
        <w:pStyle w:val="libFootnote0"/>
        <w:rPr>
          <w:lang w:bidi="fa-IR"/>
        </w:rPr>
      </w:pPr>
      <w:r>
        <w:rPr>
          <w:rtl/>
          <w:lang w:bidi="fa-IR"/>
        </w:rPr>
        <w:t>(8).</w:t>
      </w:r>
      <w:r w:rsidR="00744A1C">
        <w:rPr>
          <w:rtl/>
          <w:lang w:bidi="fa-IR"/>
        </w:rPr>
        <w:t xml:space="preserve"> في </w:t>
      </w:r>
      <w:r w:rsidR="00744A1C" w:rsidRPr="00C24F9C">
        <w:rPr>
          <w:rStyle w:val="libFootnoteBoldChar"/>
          <w:rtl/>
        </w:rPr>
        <w:t>الوافي</w:t>
      </w:r>
      <w:r w:rsidR="00744A1C">
        <w:rPr>
          <w:rtl/>
          <w:lang w:bidi="fa-IR"/>
        </w:rPr>
        <w:t xml:space="preserve"> : « هديّة مكافأة : ما يكون في مقابلة إحسان سابق ».</w:t>
      </w:r>
    </w:p>
    <w:p w:rsidR="00744A1C" w:rsidRDefault="00744A1C" w:rsidP="00D10E3C">
      <w:pPr>
        <w:pStyle w:val="libFootnote0"/>
        <w:rPr>
          <w:lang w:bidi="fa-IR"/>
        </w:rPr>
      </w:pPr>
      <w:r>
        <w:rPr>
          <w:rtl/>
          <w:lang w:bidi="fa-IR"/>
        </w:rPr>
        <w:t xml:space="preserve">وفي </w:t>
      </w:r>
      <w:r w:rsidRPr="00877682">
        <w:rPr>
          <w:rStyle w:val="libFootnoteBoldChar"/>
          <w:rtl/>
        </w:rPr>
        <w:t>مرآة العقول</w:t>
      </w:r>
      <w:r>
        <w:rPr>
          <w:rtl/>
          <w:lang w:bidi="fa-IR"/>
        </w:rPr>
        <w:t xml:space="preserve"> ، ج 19 ، ص 116 : « قوله </w:t>
      </w:r>
      <w:r w:rsidR="0061079A" w:rsidRPr="0061079A">
        <w:rPr>
          <w:rStyle w:val="libFootnoteAlaemChar"/>
          <w:rtl/>
        </w:rPr>
        <w:t>عليه‌السلام</w:t>
      </w:r>
      <w:r w:rsidR="00D10E3C">
        <w:rPr>
          <w:rtl/>
          <w:lang w:bidi="fa-IR"/>
        </w:rPr>
        <w:t xml:space="preserve"> </w:t>
      </w:r>
      <w:r>
        <w:rPr>
          <w:rtl/>
          <w:lang w:bidi="fa-IR"/>
        </w:rPr>
        <w:t>: هديّة مكافأة ، قيل : أي مكافأة لما ا</w:t>
      </w:r>
      <w:r w:rsidR="002D5CF5">
        <w:rPr>
          <w:rFonts w:hint="cs"/>
          <w:rtl/>
          <w:lang w:bidi="fa-IR"/>
        </w:rPr>
        <w:t>ُ</w:t>
      </w:r>
      <w:r>
        <w:rPr>
          <w:rtl/>
          <w:lang w:bidi="fa-IR"/>
        </w:rPr>
        <w:t>هدي إليك ، والأظهر أنّ المراد ما تهديه إلى غيرك ؛ ليكافئك أزيد ممّا أهديت إليه ».</w:t>
      </w:r>
    </w:p>
    <w:p w:rsidR="00744A1C" w:rsidRDefault="00E378DD" w:rsidP="00E378DD">
      <w:pPr>
        <w:pStyle w:val="libFootnote0"/>
        <w:rPr>
          <w:lang w:bidi="fa-IR"/>
        </w:rPr>
      </w:pPr>
      <w:r>
        <w:rPr>
          <w:rtl/>
          <w:lang w:bidi="fa-IR"/>
        </w:rPr>
        <w:t>(9).</w:t>
      </w:r>
      <w:r w:rsidR="00744A1C">
        <w:rPr>
          <w:rtl/>
          <w:lang w:bidi="fa-IR"/>
        </w:rPr>
        <w:t xml:space="preserve"> في </w:t>
      </w:r>
      <w:r w:rsidR="00744A1C" w:rsidRPr="00C24F9C">
        <w:rPr>
          <w:rStyle w:val="libFootnoteBoldChar"/>
          <w:rtl/>
        </w:rPr>
        <w:t>الوافي</w:t>
      </w:r>
      <w:r w:rsidR="00744A1C">
        <w:rPr>
          <w:rtl/>
          <w:lang w:bidi="fa-IR"/>
        </w:rPr>
        <w:t xml:space="preserve"> : « هديّة المصانعة : ما يبتدئ به لتوقّع إحسان ؛ فإنّ المصانعة أن ت</w:t>
      </w:r>
      <w:r w:rsidR="00794BCA">
        <w:rPr>
          <w:rtl/>
          <w:lang w:bidi="fa-IR"/>
        </w:rPr>
        <w:t>صنع له شيئاً ليصنع لك شيئاً آخر</w:t>
      </w:r>
      <w:r w:rsidR="00744A1C">
        <w:rPr>
          <w:rtl/>
          <w:lang w:bidi="fa-IR"/>
        </w:rPr>
        <w:t xml:space="preserve">». وراجع : </w:t>
      </w:r>
      <w:r w:rsidR="00744A1C" w:rsidRPr="00877682">
        <w:rPr>
          <w:rStyle w:val="libFootnoteBoldChar"/>
          <w:rtl/>
        </w:rPr>
        <w:t>النهاية</w:t>
      </w:r>
      <w:r w:rsidR="00744A1C">
        <w:rPr>
          <w:rtl/>
          <w:lang w:bidi="fa-IR"/>
        </w:rPr>
        <w:t xml:space="preserve"> ، ج 3 ، ص 56 ( صنع ). وفي </w:t>
      </w:r>
      <w:r w:rsidR="00744A1C" w:rsidRPr="00C24F9C">
        <w:rPr>
          <w:rStyle w:val="libFootnoteBoldChar"/>
          <w:rtl/>
        </w:rPr>
        <w:t>المرآة</w:t>
      </w:r>
      <w:r w:rsidR="00744A1C">
        <w:rPr>
          <w:rtl/>
          <w:lang w:bidi="fa-IR"/>
        </w:rPr>
        <w:t xml:space="preserve"> : « المصانعة : الرشوة ».</w:t>
      </w:r>
    </w:p>
    <w:p w:rsidR="00144FA6" w:rsidRDefault="00E378DD" w:rsidP="00E378DD">
      <w:pPr>
        <w:pStyle w:val="libFootnote0"/>
        <w:rPr>
          <w:rtl/>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6 ، ص 378 ، ح 1107 ، معلّقاً عن الكليني. </w:t>
      </w:r>
      <w:r w:rsidR="00744A1C" w:rsidRPr="00877682">
        <w:rPr>
          <w:rStyle w:val="libFootnoteBoldChar"/>
          <w:rtl/>
        </w:rPr>
        <w:t>الجعفريّات</w:t>
      </w:r>
      <w:r w:rsidR="00744A1C">
        <w:rPr>
          <w:rtl/>
          <w:lang w:bidi="fa-IR"/>
        </w:rPr>
        <w:t xml:space="preserve"> ، ص 153 ، بسند آخر عن جعفر بن</w:t>
      </w:r>
      <w:r w:rsidR="002D5CF5">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8649 / 2. عِدَّةٌ مِنْ أَصْحَابِنَا ، عَنْ سَهْلِ بْنِ زِيَادٍ وَأَحْمَدَ بْنِ مُحَمَّدٍ جَمِيعاً ، عَنِ ابْنِ مَحْبُوبٍ ، عَنْ إِبْرَاهِيمَ الْكَرْخِيِّ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الرَّجُلِ تَكُونُ </w:t>
      </w:r>
      <w:r w:rsidRPr="00D10E3C">
        <w:rPr>
          <w:rStyle w:val="libFootnotenumChar"/>
          <w:rtl/>
        </w:rPr>
        <w:t>(1)</w:t>
      </w:r>
      <w:r>
        <w:rPr>
          <w:rtl/>
          <w:lang w:bidi="fa-IR"/>
        </w:rPr>
        <w:t xml:space="preserve"> لَهُ الضَّيْعَةُ </w:t>
      </w:r>
      <w:r w:rsidRPr="00D10E3C">
        <w:rPr>
          <w:rStyle w:val="libFootnotenumChar"/>
          <w:rtl/>
        </w:rPr>
        <w:t>(2)</w:t>
      </w:r>
      <w:r>
        <w:rPr>
          <w:rtl/>
          <w:lang w:bidi="fa-IR"/>
        </w:rPr>
        <w:t xml:space="preserve"> الْكَبِيرَةُ ، فَإِذَا كَانَ يَوْمُ الْمِهْرَجَانِ </w:t>
      </w:r>
      <w:r w:rsidRPr="00D10E3C">
        <w:rPr>
          <w:rStyle w:val="libFootnotenumChar"/>
          <w:rtl/>
        </w:rPr>
        <w:t>(3)</w:t>
      </w:r>
      <w:r>
        <w:rPr>
          <w:rtl/>
          <w:lang w:bidi="fa-IR"/>
        </w:rPr>
        <w:t xml:space="preserve"> أَوِ النَّيْرُوزِ </w:t>
      </w:r>
      <w:r w:rsidRPr="00D10E3C">
        <w:rPr>
          <w:rStyle w:val="libFootnotenumChar"/>
          <w:rtl/>
        </w:rPr>
        <w:t>(4)</w:t>
      </w:r>
      <w:r>
        <w:rPr>
          <w:rtl/>
          <w:lang w:bidi="fa-IR"/>
        </w:rPr>
        <w:t xml:space="preserve"> ، أَهْدَوْا إِلَيْهِ الشَّيْ‌ءَ لَيْسَ هُوَ عَلَيْهِمْ ، يَتَقَرَّبُونَ بِذلِكَ إِلَيْهِ؟</w:t>
      </w:r>
    </w:p>
    <w:p w:rsidR="00144FA6" w:rsidRDefault="00744A1C" w:rsidP="00744A1C">
      <w:pPr>
        <w:pStyle w:val="libNormal"/>
        <w:rPr>
          <w:rtl/>
          <w:lang w:bidi="fa-IR"/>
        </w:rPr>
      </w:pPr>
      <w:r>
        <w:rPr>
          <w:rtl/>
          <w:lang w:bidi="fa-IR"/>
        </w:rPr>
        <w:t xml:space="preserve">فَقَالَ </w:t>
      </w:r>
      <w:r w:rsidRPr="00D10E3C">
        <w:rPr>
          <w:rStyle w:val="libFootnotenumChar"/>
          <w:rtl/>
        </w:rPr>
        <w:t>(5)</w:t>
      </w:r>
      <w:r>
        <w:rPr>
          <w:rtl/>
          <w:lang w:bidi="fa-IR"/>
        </w:rPr>
        <w:t xml:space="preserve"> : « أَلَيْسَ </w:t>
      </w:r>
      <w:r w:rsidRPr="00D10E3C">
        <w:rPr>
          <w:rStyle w:val="libFootnotenumChar"/>
          <w:rtl/>
        </w:rPr>
        <w:t>(6)</w:t>
      </w:r>
      <w:r>
        <w:rPr>
          <w:rtl/>
          <w:lang w:bidi="fa-IR"/>
        </w:rPr>
        <w:t xml:space="preserve"> هُمْ مُصَلِّينَ؟ » قُلْتُ : بَلى ، قَالَ : « فَلْيَقْبَلْ هَدِيَّتَهُمْ وَلْيُكَافِهِمْ </w:t>
      </w:r>
      <w:r w:rsidRPr="00D10E3C">
        <w:rPr>
          <w:rStyle w:val="libFootnotenumChar"/>
          <w:rtl/>
        </w:rPr>
        <w:t>(7)</w:t>
      </w:r>
      <w:r>
        <w:rPr>
          <w:rtl/>
          <w:lang w:bidi="fa-IR"/>
        </w:rPr>
        <w:t xml:space="preserve"> ؛ فَإِنَّ رَسُولَ اللهِ </w:t>
      </w:r>
      <w:r w:rsidR="005E465D" w:rsidRPr="005E465D">
        <w:rPr>
          <w:rStyle w:val="libAlaemChar"/>
          <w:rtl/>
        </w:rPr>
        <w:t>صلى‌الله‌عليه‌وآله</w:t>
      </w:r>
      <w:r w:rsidR="00D10E3C">
        <w:rPr>
          <w:rtl/>
          <w:lang w:bidi="fa-IR"/>
        </w:rPr>
        <w:t xml:space="preserve"> </w:t>
      </w:r>
      <w:r>
        <w:rPr>
          <w:rtl/>
          <w:lang w:bidi="fa-IR"/>
        </w:rPr>
        <w:t xml:space="preserve">قَالَ : لَوْ أُهْدِيَ إِلَيَّ كُرَاعٌ </w:t>
      </w:r>
      <w:r w:rsidRPr="00D10E3C">
        <w:rPr>
          <w:rStyle w:val="libFootnotenumChar"/>
          <w:rtl/>
        </w:rPr>
        <w:t>(8)</w:t>
      </w:r>
      <w:r>
        <w:rPr>
          <w:rtl/>
          <w:lang w:bidi="fa-IR"/>
        </w:rPr>
        <w:t xml:space="preserve"> لَقَبِلْتُ ، وَكَانَ ذلِكَ مِنَ الدِّينِ ، وَلَوْ أَنَّ </w:t>
      </w:r>
      <w:r w:rsidRPr="00D10E3C">
        <w:rPr>
          <w:rStyle w:val="libFootnotenumChar"/>
          <w:rtl/>
        </w:rPr>
        <w:t>(9)</w:t>
      </w:r>
      <w:r>
        <w:rPr>
          <w:rtl/>
          <w:lang w:bidi="fa-IR"/>
        </w:rPr>
        <w:t xml:space="preserve"> كَافِراً أَوْ مُنَافِقاً أَهْدى إِلَيَّ وَسْقاً </w:t>
      </w:r>
      <w:r w:rsidRPr="00D10E3C">
        <w:rPr>
          <w:rStyle w:val="libFootnotenumChar"/>
          <w:rtl/>
        </w:rPr>
        <w:t>(10)</w:t>
      </w:r>
      <w:r>
        <w:rPr>
          <w:rtl/>
          <w:lang w:bidi="fa-IR"/>
        </w:rPr>
        <w:t xml:space="preserve"> مَا </w:t>
      </w:r>
      <w:r w:rsidRPr="00D10E3C">
        <w:rPr>
          <w:rStyle w:val="libFootnotenumChar"/>
          <w:rtl/>
        </w:rPr>
        <w:t>(11)</w:t>
      </w:r>
      <w:r>
        <w:rPr>
          <w:rtl/>
          <w:lang w:bidi="fa-IR"/>
        </w:rPr>
        <w:t xml:space="preserve"> قَبِلْتُ ، وَكَانَ ذلِكَ مِنَ الدِّينِ ؛ أَبَى اللهُ - عَزَّ وَجَلَّ - لِي زَبْدَ </w:t>
      </w:r>
      <w:r w:rsidRPr="00D10E3C">
        <w:rPr>
          <w:rStyle w:val="libFootnotenumChar"/>
          <w:rtl/>
        </w:rPr>
        <w:t>(12)</w:t>
      </w:r>
      <w:r>
        <w:rPr>
          <w:rtl/>
          <w:lang w:bidi="fa-IR"/>
        </w:rPr>
        <w:t xml:space="preserve"> الْمُشْرِكِينَ وَالْمُنَافِقِينَ وَطَعَامَهُمْ ». </w:t>
      </w:r>
      <w:r w:rsidRPr="00D10E3C">
        <w:rPr>
          <w:rStyle w:val="libFootnotenumChar"/>
          <w:rtl/>
        </w:rPr>
        <w:t>(13)</w:t>
      </w:r>
    </w:p>
    <w:p w:rsidR="00744A1C" w:rsidRDefault="00744A1C" w:rsidP="00D10E3C">
      <w:pPr>
        <w:pStyle w:val="libLine"/>
        <w:rPr>
          <w:lang w:bidi="fa-IR"/>
        </w:rPr>
      </w:pPr>
      <w:r>
        <w:rPr>
          <w:rtl/>
          <w:lang w:bidi="fa-IR"/>
        </w:rPr>
        <w:t>____________________</w:t>
      </w:r>
    </w:p>
    <w:p w:rsidR="00744A1C" w:rsidRDefault="00632A12" w:rsidP="00D10E3C">
      <w:pPr>
        <w:pStyle w:val="libFootnote0"/>
        <w:rPr>
          <w:lang w:bidi="fa-IR"/>
        </w:rPr>
      </w:pPr>
      <w:r>
        <w:rPr>
          <w:rFonts w:hint="cs"/>
          <w:rtl/>
          <w:lang w:bidi="fa-IR"/>
        </w:rPr>
        <w:t xml:space="preserve">= </w:t>
      </w:r>
      <w:r w:rsidR="00744A1C">
        <w:rPr>
          <w:rtl/>
          <w:lang w:bidi="fa-IR"/>
        </w:rPr>
        <w:t xml:space="preserve">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61079A" w:rsidRPr="0061079A">
        <w:rPr>
          <w:rStyle w:val="libFootnoteAlaemChar"/>
          <w:rtl/>
        </w:rPr>
        <w:t>صلى‌الله‌عليه‌وآله</w:t>
      </w:r>
      <w:r w:rsidR="00744A1C">
        <w:rPr>
          <w:rtl/>
          <w:lang w:bidi="fa-IR"/>
        </w:rPr>
        <w:t xml:space="preserve"> . الخصال ، ص 89 ، باب الثلاثة ، ح 26 ، بسند آخر عن أبي عبد الله </w:t>
      </w:r>
      <w:r w:rsidR="0061079A" w:rsidRPr="0061079A">
        <w:rPr>
          <w:rStyle w:val="libFootnoteAlaemChar"/>
          <w:rtl/>
        </w:rPr>
        <w:t>عليه‌السلام</w:t>
      </w:r>
      <w:r w:rsidR="00744A1C">
        <w:rPr>
          <w:rtl/>
          <w:lang w:bidi="fa-IR"/>
        </w:rPr>
        <w:t xml:space="preserve"> . </w:t>
      </w:r>
      <w:r w:rsidR="00744A1C" w:rsidRPr="00C24F9C">
        <w:rPr>
          <w:rStyle w:val="libFootnoteBoldChar"/>
          <w:rtl/>
        </w:rPr>
        <w:t>الفقيه</w:t>
      </w:r>
      <w:r w:rsidR="00744A1C">
        <w:rPr>
          <w:rtl/>
          <w:lang w:bidi="fa-IR"/>
        </w:rPr>
        <w:t xml:space="preserve"> ، ج 3 ، ص 300 ، ح 4077 ، مرسلاً عن الصادق </w:t>
      </w:r>
      <w:r w:rsidR="0061079A" w:rsidRPr="0061079A">
        <w:rPr>
          <w:rStyle w:val="libFootnoteAlaemChar"/>
          <w:rtl/>
        </w:rPr>
        <w:t>عليه‌السلام</w:t>
      </w:r>
      <w:r w:rsidR="00D10E3C">
        <w:rPr>
          <w:rtl/>
          <w:lang w:bidi="fa-IR"/>
        </w:rPr>
        <w:t xml:space="preserve"> </w:t>
      </w:r>
      <w:r w:rsidR="00744A1C">
        <w:rPr>
          <w:rtl/>
          <w:lang w:bidi="fa-IR"/>
        </w:rPr>
        <w:t xml:space="preserve">، وفي الأخيرين من دون الإسناد إلى النبيّ </w:t>
      </w:r>
      <w:r w:rsidR="0061079A" w:rsidRPr="0061079A">
        <w:rPr>
          <w:rStyle w:val="libFootnoteAlaemChar"/>
          <w:rtl/>
        </w:rPr>
        <w:t>صلى‌الله‌عليه‌وآله</w:t>
      </w:r>
      <w:r w:rsidR="00744A1C">
        <w:rPr>
          <w:rtl/>
          <w:lang w:bidi="fa-IR"/>
        </w:rPr>
        <w:t xml:space="preserve"> . </w:t>
      </w:r>
      <w:r w:rsidR="00744A1C" w:rsidRPr="007D61A8">
        <w:rPr>
          <w:rStyle w:val="libFootnoteBoldChar"/>
          <w:rtl/>
        </w:rPr>
        <w:t>تحف العقول</w:t>
      </w:r>
      <w:r w:rsidR="00744A1C">
        <w:rPr>
          <w:rtl/>
          <w:lang w:bidi="fa-IR"/>
        </w:rPr>
        <w:t xml:space="preserve"> ، ص 49 ، عن النبيّ </w:t>
      </w:r>
      <w:r w:rsidR="00024D6D" w:rsidRPr="00024D6D">
        <w:rPr>
          <w:rStyle w:val="libFootnoteAlaemChar"/>
          <w:rtl/>
        </w:rPr>
        <w:t>صلى‌الله‌عليه‌وآله</w:t>
      </w:r>
      <w:r w:rsidR="00D10E3C">
        <w:rPr>
          <w:rtl/>
          <w:lang w:bidi="fa-IR"/>
        </w:rPr>
        <w:t xml:space="preserve"> </w:t>
      </w:r>
      <w:r w:rsidR="009B1C80">
        <w:rPr>
          <w:rFonts w:hint="cs"/>
          <w:rtl/>
          <w:lang w:bidi="fa-IR"/>
        </w:rPr>
        <w:t>.</w:t>
      </w:r>
      <w:r w:rsidR="00744A1C" w:rsidRPr="00C24F9C">
        <w:rPr>
          <w:rStyle w:val="libFootnoteBoldChar"/>
          <w:rtl/>
        </w:rPr>
        <w:t>الوافي</w:t>
      </w:r>
      <w:r w:rsidR="00744A1C">
        <w:rPr>
          <w:rtl/>
          <w:lang w:bidi="fa-IR"/>
        </w:rPr>
        <w:t xml:space="preserve"> ، ج 17 ، ص 365 ، ح 17429 ؛ </w:t>
      </w:r>
      <w:r w:rsidR="00744A1C" w:rsidRPr="00C24F9C">
        <w:rPr>
          <w:rStyle w:val="libFootnoteBoldChar"/>
          <w:rtl/>
        </w:rPr>
        <w:t>الوسائل</w:t>
      </w:r>
      <w:r w:rsidR="00744A1C">
        <w:rPr>
          <w:rtl/>
          <w:lang w:bidi="fa-IR"/>
        </w:rPr>
        <w:t xml:space="preserve"> ، ج 17 ، ص 285 ، ح 22535.</w:t>
      </w:r>
    </w:p>
    <w:p w:rsidR="00744A1C" w:rsidRDefault="00D10E3C" w:rsidP="00D10E3C">
      <w:pPr>
        <w:pStyle w:val="libFootnote0"/>
        <w:rPr>
          <w:lang w:bidi="fa-IR"/>
        </w:rPr>
      </w:pPr>
      <w:r>
        <w:rPr>
          <w:rtl/>
          <w:lang w:bidi="fa-IR"/>
        </w:rPr>
        <w:t>(1).</w:t>
      </w:r>
      <w:r w:rsidR="00744A1C">
        <w:rPr>
          <w:rtl/>
          <w:lang w:bidi="fa-IR"/>
        </w:rPr>
        <w:t xml:space="preserve"> في « ى ، بخ ، بف ، جن » </w:t>
      </w:r>
      <w:r w:rsidR="00744A1C" w:rsidRPr="008758CD">
        <w:rPr>
          <w:rtl/>
        </w:rPr>
        <w:t>والفقيه والتهذيب :</w:t>
      </w:r>
      <w:r w:rsidR="00744A1C">
        <w:rPr>
          <w:rtl/>
          <w:lang w:bidi="fa-IR"/>
        </w:rPr>
        <w:t xml:space="preserve"> « يكون ». وفي « بس » بالتاء والياء معاً.</w:t>
      </w:r>
    </w:p>
    <w:p w:rsidR="00744A1C" w:rsidRDefault="00E378DD" w:rsidP="00E378DD">
      <w:pPr>
        <w:pStyle w:val="libFootnote0"/>
        <w:rPr>
          <w:lang w:bidi="fa-IR"/>
        </w:rPr>
      </w:pPr>
      <w:r>
        <w:rPr>
          <w:rtl/>
          <w:lang w:bidi="fa-IR"/>
        </w:rPr>
        <w:t>(2).</w:t>
      </w:r>
      <w:r w:rsidR="00744A1C">
        <w:rPr>
          <w:rtl/>
          <w:lang w:bidi="fa-IR"/>
        </w:rPr>
        <w:t xml:space="preserve"> « الضيعة » : الأرض المغلّة ، والعِقار ، وهو كلّ ملك ثابت له أصل ، كالدار والنخل والكَرْم والأرض. </w:t>
      </w:r>
      <w:r w:rsidR="00744A1C" w:rsidRPr="008A57EB">
        <w:rPr>
          <w:rStyle w:val="libFootnoteBoldChar"/>
          <w:rtl/>
        </w:rPr>
        <w:t>القاموس المحيط</w:t>
      </w:r>
      <w:r w:rsidR="00744A1C">
        <w:rPr>
          <w:rtl/>
          <w:lang w:bidi="fa-IR"/>
        </w:rPr>
        <w:t xml:space="preserve"> ، ج 2 ، ص 996 ( ضيع ).</w:t>
      </w:r>
    </w:p>
    <w:p w:rsidR="00744A1C" w:rsidRDefault="00E378DD" w:rsidP="00E378DD">
      <w:pPr>
        <w:pStyle w:val="libFootnote0"/>
        <w:rPr>
          <w:lang w:bidi="fa-IR"/>
        </w:rPr>
      </w:pPr>
      <w:r>
        <w:rPr>
          <w:rtl/>
          <w:lang w:bidi="fa-IR"/>
        </w:rPr>
        <w:t>(3).</w:t>
      </w:r>
      <w:r w:rsidR="00744A1C">
        <w:rPr>
          <w:rtl/>
          <w:lang w:bidi="fa-IR"/>
        </w:rPr>
        <w:t xml:space="preserve"> قال الطريحي « المهرجان » : عيد الفرس ، كلمتان مركّبتان من « مهر » وزان حمل ، و « جان » ، ومعناه : محبّة الروح ». وفي معاجم اللغة الفارسيّة أنّ مهرجان معرّب « مهرگان » ، وهو عيد مخصوص غير عيد النيروز ، وهو من يوم السادس عشر إلى الواحد والعشرين من شهر « مهر ». راجع : </w:t>
      </w:r>
      <w:r w:rsidR="00744A1C" w:rsidRPr="008A57EB">
        <w:rPr>
          <w:rStyle w:val="libFootnoteBoldChar"/>
          <w:rtl/>
        </w:rPr>
        <w:t>مجمع البحرين</w:t>
      </w:r>
      <w:r w:rsidR="00744A1C">
        <w:rPr>
          <w:rtl/>
          <w:lang w:bidi="fa-IR"/>
        </w:rPr>
        <w:t xml:space="preserve"> ، ج 3 ، ص 486 ( مهر ).</w:t>
      </w:r>
    </w:p>
    <w:p w:rsidR="00744A1C" w:rsidRDefault="00E378DD" w:rsidP="00E378DD">
      <w:pPr>
        <w:pStyle w:val="libFootnote0"/>
        <w:rPr>
          <w:lang w:bidi="fa-IR"/>
        </w:rPr>
      </w:pPr>
      <w:r>
        <w:rPr>
          <w:rtl/>
          <w:lang w:bidi="fa-IR"/>
        </w:rPr>
        <w:t>(4).</w:t>
      </w:r>
      <w:r w:rsidR="00744A1C">
        <w:rPr>
          <w:rtl/>
          <w:lang w:bidi="fa-IR"/>
        </w:rPr>
        <w:t xml:space="preserve"> في « ى ، بح ، بس ، جت ، جد ، جن » </w:t>
      </w:r>
      <w:r w:rsidR="00744A1C" w:rsidRPr="004046DB">
        <w:rPr>
          <w:rtl/>
        </w:rPr>
        <w:t>والوسائل والتهذيب</w:t>
      </w:r>
      <w:r w:rsidR="00744A1C">
        <w:rPr>
          <w:rtl/>
          <w:lang w:bidi="fa-IR"/>
        </w:rPr>
        <w:t xml:space="preserve"> : « النوروز ».</w:t>
      </w:r>
    </w:p>
    <w:tbl>
      <w:tblPr>
        <w:tblStyle w:val="TableGrid"/>
        <w:bidiVisual/>
        <w:tblW w:w="0" w:type="auto"/>
        <w:tblLook w:val="04A0" w:firstRow="1" w:lastRow="0" w:firstColumn="1" w:lastColumn="0" w:noHBand="0" w:noVBand="1"/>
      </w:tblPr>
      <w:tblGrid>
        <w:gridCol w:w="4006"/>
        <w:gridCol w:w="4006"/>
      </w:tblGrid>
      <w:tr w:rsidR="004046DB" w:rsidTr="004046DB">
        <w:tc>
          <w:tcPr>
            <w:tcW w:w="4006" w:type="dxa"/>
          </w:tcPr>
          <w:p w:rsidR="004046DB" w:rsidRDefault="004046DB" w:rsidP="00E378DD">
            <w:pPr>
              <w:pStyle w:val="libFootnote0"/>
              <w:rPr>
                <w:rtl/>
                <w:lang w:bidi="fa-IR"/>
              </w:rPr>
            </w:pPr>
            <w:r>
              <w:rPr>
                <w:rtl/>
                <w:lang w:bidi="fa-IR"/>
              </w:rPr>
              <w:t>(5). في « ط » : « قال ».</w:t>
            </w:r>
          </w:p>
        </w:tc>
        <w:tc>
          <w:tcPr>
            <w:tcW w:w="4006" w:type="dxa"/>
          </w:tcPr>
          <w:p w:rsidR="004046DB" w:rsidRDefault="004046DB" w:rsidP="00E378DD">
            <w:pPr>
              <w:pStyle w:val="libFootnote0"/>
              <w:rPr>
                <w:rtl/>
                <w:lang w:bidi="fa-IR"/>
              </w:rPr>
            </w:pPr>
            <w:r>
              <w:rPr>
                <w:rtl/>
                <w:lang w:bidi="fa-IR"/>
              </w:rPr>
              <w:t>(6). في «بح،جت،جن» :«ليس» بدون همزة الاستفهام.</w:t>
            </w:r>
          </w:p>
        </w:tc>
      </w:tr>
    </w:tbl>
    <w:p w:rsidR="00744A1C" w:rsidRDefault="00E378DD" w:rsidP="00E378DD">
      <w:pPr>
        <w:pStyle w:val="libFootnote0"/>
        <w:rPr>
          <w:lang w:bidi="fa-IR"/>
        </w:rPr>
      </w:pPr>
      <w:r>
        <w:rPr>
          <w:rtl/>
          <w:lang w:bidi="fa-IR"/>
        </w:rPr>
        <w:t>(7).</w:t>
      </w:r>
      <w:r w:rsidR="00744A1C">
        <w:rPr>
          <w:rtl/>
          <w:lang w:bidi="fa-IR"/>
        </w:rPr>
        <w:t xml:space="preserve"> في « بف » : « وليكافيهم ».</w:t>
      </w:r>
    </w:p>
    <w:p w:rsidR="00744A1C" w:rsidRDefault="00E378DD" w:rsidP="00E378DD">
      <w:pPr>
        <w:pStyle w:val="libFootnote0"/>
        <w:rPr>
          <w:lang w:bidi="fa-IR"/>
        </w:rPr>
      </w:pPr>
      <w:r>
        <w:rPr>
          <w:rtl/>
          <w:lang w:bidi="fa-IR"/>
        </w:rPr>
        <w:t>(8).</w:t>
      </w:r>
      <w:r w:rsidR="00744A1C">
        <w:rPr>
          <w:rtl/>
          <w:lang w:bidi="fa-IR"/>
        </w:rPr>
        <w:t xml:space="preserve"> الكراع من الإنسان : ما دون الركبة إلى الكعب ، ومن الدوابّ : ما دون الكعب. أو هو من البقر والغنم بمنزلةالوظيف من الخيل والإبل والحمر ، وهو مستدقّ الساق العاري من اللحم. </w:t>
      </w:r>
      <w:r w:rsidR="00744A1C" w:rsidRPr="00877682">
        <w:rPr>
          <w:rStyle w:val="libFootnoteBoldChar"/>
          <w:rtl/>
        </w:rPr>
        <w:t>لسان العرب</w:t>
      </w:r>
      <w:r w:rsidR="00744A1C">
        <w:rPr>
          <w:rtl/>
          <w:lang w:bidi="fa-IR"/>
        </w:rPr>
        <w:t xml:space="preserve"> ، ج 8 ، ص 306 ( كرع ).</w:t>
      </w:r>
    </w:p>
    <w:p w:rsidR="00744A1C" w:rsidRDefault="00E378DD" w:rsidP="00E378DD">
      <w:pPr>
        <w:pStyle w:val="libFootnote0"/>
        <w:rPr>
          <w:lang w:bidi="fa-IR"/>
        </w:rPr>
      </w:pPr>
      <w:r>
        <w:rPr>
          <w:rtl/>
          <w:lang w:bidi="fa-IR"/>
        </w:rPr>
        <w:t>(9).</w:t>
      </w:r>
      <w:r w:rsidR="00744A1C">
        <w:rPr>
          <w:rtl/>
          <w:lang w:bidi="fa-IR"/>
        </w:rPr>
        <w:t xml:space="preserve"> في « جن » : « أن كان ».</w:t>
      </w:r>
    </w:p>
    <w:p w:rsidR="00744A1C" w:rsidRDefault="00E378DD" w:rsidP="00E378DD">
      <w:pPr>
        <w:pStyle w:val="libFootnote0"/>
        <w:rPr>
          <w:lang w:bidi="fa-IR"/>
        </w:rPr>
      </w:pPr>
      <w:r>
        <w:rPr>
          <w:rtl/>
          <w:lang w:bidi="fa-IR"/>
        </w:rPr>
        <w:t>(10).</w:t>
      </w:r>
      <w:r w:rsidR="00744A1C">
        <w:rPr>
          <w:rtl/>
          <w:lang w:bidi="fa-IR"/>
        </w:rPr>
        <w:t xml:space="preserve"> في </w:t>
      </w:r>
      <w:r w:rsidR="00744A1C" w:rsidRPr="00C24F9C">
        <w:rPr>
          <w:rStyle w:val="libFootnoteBoldChar"/>
          <w:rtl/>
        </w:rPr>
        <w:t>الوافي</w:t>
      </w:r>
      <w:r w:rsidR="00744A1C">
        <w:rPr>
          <w:rtl/>
          <w:lang w:bidi="fa-IR"/>
        </w:rPr>
        <w:t xml:space="preserve"> : « الوسق : حمل بعير » أو ستّون صاعاً. راجع : </w:t>
      </w:r>
      <w:r w:rsidR="00744A1C" w:rsidRPr="008A57EB">
        <w:rPr>
          <w:rStyle w:val="libFootnoteBoldChar"/>
          <w:rtl/>
        </w:rPr>
        <w:t>القاموس المحيط</w:t>
      </w:r>
      <w:r w:rsidR="00794BCA">
        <w:rPr>
          <w:rtl/>
          <w:lang w:bidi="fa-IR"/>
        </w:rPr>
        <w:t xml:space="preserve"> ، ج 2 ، ص 1230 ( وسق</w:t>
      </w:r>
      <w:r w:rsidR="00744A1C">
        <w:rPr>
          <w:rtl/>
          <w:lang w:bidi="fa-IR"/>
        </w:rPr>
        <w:t>).</w:t>
      </w:r>
    </w:p>
    <w:p w:rsidR="00744A1C" w:rsidRDefault="00E378DD" w:rsidP="00E378DD">
      <w:pPr>
        <w:pStyle w:val="libFootnote0"/>
        <w:rPr>
          <w:lang w:bidi="fa-IR"/>
        </w:rPr>
      </w:pPr>
      <w:r>
        <w:rPr>
          <w:rtl/>
          <w:lang w:bidi="fa-IR"/>
        </w:rPr>
        <w:t>(11).</w:t>
      </w:r>
      <w:r w:rsidR="00744A1C">
        <w:rPr>
          <w:rtl/>
          <w:lang w:bidi="fa-IR"/>
        </w:rPr>
        <w:t xml:space="preserve"> في « بس » : « لما ».</w:t>
      </w:r>
    </w:p>
    <w:p w:rsidR="00744A1C" w:rsidRDefault="00E378DD" w:rsidP="00E378DD">
      <w:pPr>
        <w:pStyle w:val="libFootnote0"/>
        <w:rPr>
          <w:lang w:bidi="fa-IR"/>
        </w:rPr>
      </w:pPr>
      <w:r>
        <w:rPr>
          <w:rtl/>
          <w:lang w:bidi="fa-IR"/>
        </w:rPr>
        <w:t>(12).</w:t>
      </w:r>
      <w:r w:rsidR="00744A1C">
        <w:rPr>
          <w:rtl/>
          <w:lang w:bidi="fa-IR"/>
        </w:rPr>
        <w:t xml:space="preserve"> الزَّبْدُ : الرَّفْد والعطاء. راجع : </w:t>
      </w:r>
      <w:r w:rsidR="00744A1C" w:rsidRPr="00877682">
        <w:rPr>
          <w:rStyle w:val="libFootnoteBoldChar"/>
          <w:rtl/>
        </w:rPr>
        <w:t>النهاية</w:t>
      </w:r>
      <w:r w:rsidR="00744A1C">
        <w:rPr>
          <w:rtl/>
          <w:lang w:bidi="fa-IR"/>
        </w:rPr>
        <w:t xml:space="preserve"> ، ج 2 ، ص 293 ( زبد ).</w:t>
      </w:r>
    </w:p>
    <w:p w:rsidR="00144FA6" w:rsidRDefault="00E378DD" w:rsidP="00E378DD">
      <w:pPr>
        <w:pStyle w:val="libFootnote0"/>
        <w:rPr>
          <w:rtl/>
          <w:lang w:bidi="fa-IR"/>
        </w:rPr>
      </w:pPr>
      <w:r>
        <w:rPr>
          <w:rtl/>
          <w:lang w:bidi="fa-IR"/>
        </w:rPr>
        <w:t>(13).</w:t>
      </w:r>
      <w:r w:rsidR="00744A1C">
        <w:rPr>
          <w:rtl/>
          <w:lang w:bidi="fa-IR"/>
        </w:rPr>
        <w:t xml:space="preserve"> </w:t>
      </w:r>
      <w:r w:rsidR="00744A1C" w:rsidRPr="0061079A">
        <w:rPr>
          <w:rStyle w:val="libFootnoteBoldChar"/>
          <w:rtl/>
        </w:rPr>
        <w:t>الكافي</w:t>
      </w:r>
      <w:r w:rsidR="00744A1C">
        <w:rPr>
          <w:rtl/>
          <w:lang w:bidi="fa-IR"/>
        </w:rPr>
        <w:t xml:space="preserve"> ، كتاب الأطعمة ، باب إجابة دعوة المسلم ، ح 11582 ، بسنده عن أحمد بن محمّد ، عن</w:t>
      </w:r>
      <w:r w:rsidR="004046DB">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8650 / 3. ابْنُ مَحْبُوبٍ </w:t>
      </w:r>
      <w:r w:rsidRPr="00D10E3C">
        <w:rPr>
          <w:rStyle w:val="libFootnotenumChar"/>
          <w:rtl/>
        </w:rPr>
        <w:t>(1)</w:t>
      </w:r>
      <w:r>
        <w:rPr>
          <w:rtl/>
          <w:lang w:bidi="fa-IR"/>
        </w:rPr>
        <w:t xml:space="preserve"> ، عَنْ سَيْفِ بْنِ عَمِيرَةَ ، عَنْ أَبِي بَكْرٍ الْحَضْرَمِيِّ :</w:t>
      </w:r>
    </w:p>
    <w:p w:rsidR="00744A1C" w:rsidRDefault="00744A1C" w:rsidP="00476CD2">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كَانَتِ الْعَرَبُ فِي الْجَاهِلِيَّةِ عَلى فِرْقَتَيْنِ : الْحُلِّ </w:t>
      </w:r>
      <w:r w:rsidRPr="00D10E3C">
        <w:rPr>
          <w:rStyle w:val="libFootnotenumChar"/>
          <w:rtl/>
        </w:rPr>
        <w:t>(2)</w:t>
      </w:r>
      <w:r>
        <w:rPr>
          <w:rtl/>
          <w:lang w:bidi="fa-IR"/>
        </w:rPr>
        <w:t xml:space="preserve"> ، وَالْحُمْسِ </w:t>
      </w:r>
      <w:r w:rsidRPr="00D10E3C">
        <w:rPr>
          <w:rStyle w:val="libFootnotenumChar"/>
          <w:rtl/>
        </w:rPr>
        <w:t>(3)</w:t>
      </w:r>
      <w:r>
        <w:rPr>
          <w:rtl/>
          <w:lang w:bidi="fa-IR"/>
        </w:rPr>
        <w:t xml:space="preserve"> ؛ فَكَانَتِ </w:t>
      </w:r>
      <w:r w:rsidRPr="00D10E3C">
        <w:rPr>
          <w:rStyle w:val="libFootnotenumChar"/>
          <w:rtl/>
        </w:rPr>
        <w:t>(4)</w:t>
      </w:r>
      <w:r>
        <w:rPr>
          <w:rtl/>
          <w:lang w:bidi="fa-IR"/>
        </w:rPr>
        <w:t xml:space="preserve"> الْحُمْسُ قُرَيْشاً </w:t>
      </w:r>
      <w:r w:rsidRPr="00D10E3C">
        <w:rPr>
          <w:rStyle w:val="libFootnotenumChar"/>
          <w:rtl/>
        </w:rPr>
        <w:t>(5)</w:t>
      </w:r>
      <w:r>
        <w:rPr>
          <w:rtl/>
          <w:lang w:bidi="fa-IR"/>
        </w:rPr>
        <w:t xml:space="preserve"> ، وَكَانَتِ الْحُلُّ سَائِرَ الْعَرَبِ ، فَلَمْ يَ</w:t>
      </w:r>
      <w:r w:rsidR="00E85943">
        <w:rPr>
          <w:rtl/>
          <w:lang w:bidi="fa-IR"/>
        </w:rPr>
        <w:t>كُنْ أَحَدٌ مِنَ الْحُلِّ إِل</w:t>
      </w:r>
      <w:r w:rsidR="00E85943">
        <w:rPr>
          <w:rFonts w:hint="cs"/>
          <w:rtl/>
          <w:lang w:bidi="fa-IR"/>
        </w:rPr>
        <w:t>َّ</w:t>
      </w:r>
      <w:r w:rsidR="00E85943">
        <w:rPr>
          <w:rtl/>
          <w:lang w:bidi="fa-IR"/>
        </w:rPr>
        <w:t>ا</w:t>
      </w:r>
      <w:r>
        <w:rPr>
          <w:rtl/>
          <w:lang w:bidi="fa-IR"/>
        </w:rPr>
        <w:t xml:space="preserve"> وَلَهُ حِرْمِيٌّ </w:t>
      </w:r>
      <w:r w:rsidRPr="00D10E3C">
        <w:rPr>
          <w:rStyle w:val="libFootnotenumChar"/>
          <w:rtl/>
        </w:rPr>
        <w:t>(6)</w:t>
      </w:r>
      <w:r>
        <w:rPr>
          <w:rtl/>
          <w:lang w:bidi="fa-IR"/>
        </w:rPr>
        <w:t xml:space="preserve"> مِنَ الْحُمْسِ ، وَمَنْ لَمْ يَكُنْ لَهُ حِرْمِيٌّ مِنَ الْحُمْسِ </w:t>
      </w:r>
      <w:r w:rsidRPr="00D10E3C">
        <w:rPr>
          <w:rStyle w:val="libFootnotenumChar"/>
          <w:rtl/>
        </w:rPr>
        <w:t>(7)</w:t>
      </w:r>
      <w:r>
        <w:rPr>
          <w:rtl/>
          <w:lang w:bidi="fa-IR"/>
        </w:rPr>
        <w:t xml:space="preserve"> ، لَمْ يُتْرَكْ أَنْ </w:t>
      </w:r>
      <w:r w:rsidRPr="00D10E3C">
        <w:rPr>
          <w:rStyle w:val="libFootnotenumChar"/>
          <w:rtl/>
        </w:rPr>
        <w:t>(8)</w:t>
      </w:r>
      <w:r>
        <w:rPr>
          <w:rtl/>
          <w:lang w:bidi="fa-IR"/>
        </w:rPr>
        <w:t xml:space="preserve"> يَطُوفَ بِالْبَيْتِ </w:t>
      </w:r>
      <w:r w:rsidR="00476CD2">
        <w:rPr>
          <w:rtl/>
          <w:lang w:bidi="fa-IR"/>
        </w:rPr>
        <w:t>إِل</w:t>
      </w:r>
      <w:r w:rsidR="00476CD2">
        <w:rPr>
          <w:rFonts w:hint="cs"/>
          <w:rtl/>
          <w:lang w:bidi="fa-IR"/>
        </w:rPr>
        <w:t>َّ</w:t>
      </w:r>
      <w:r w:rsidR="00476CD2">
        <w:rPr>
          <w:rtl/>
          <w:lang w:bidi="fa-IR"/>
        </w:rPr>
        <w:t xml:space="preserve">ا </w:t>
      </w:r>
      <w:r>
        <w:rPr>
          <w:rtl/>
          <w:lang w:bidi="fa-IR"/>
        </w:rPr>
        <w:t xml:space="preserve">عُرْيَاناً </w:t>
      </w:r>
      <w:r w:rsidRPr="00D10E3C">
        <w:rPr>
          <w:rStyle w:val="libFootnotenumChar"/>
          <w:rtl/>
        </w:rPr>
        <w:t>(9)</w:t>
      </w:r>
      <w:r>
        <w:rPr>
          <w:rtl/>
          <w:lang w:bidi="fa-IR"/>
        </w:rPr>
        <w:t xml:space="preserve"> ، وَكَانَ رَسُولُ اللهِ </w:t>
      </w:r>
      <w:r w:rsidR="00E45E68" w:rsidRPr="00E45E68">
        <w:rPr>
          <w:rStyle w:val="libAlaemChar"/>
          <w:rtl/>
        </w:rPr>
        <w:t>صلى‌الله‌عليه‌وآله</w:t>
      </w:r>
      <w:r w:rsidR="00D10E3C">
        <w:rPr>
          <w:rtl/>
          <w:lang w:bidi="fa-IR"/>
        </w:rPr>
        <w:t xml:space="preserve"> </w:t>
      </w:r>
      <w:r>
        <w:rPr>
          <w:rtl/>
          <w:lang w:bidi="fa-IR"/>
        </w:rPr>
        <w:t>حِرْمِيّاً لِعِيَاضِ بْنِ‌</w:t>
      </w:r>
    </w:p>
    <w:p w:rsidR="00744A1C" w:rsidRDefault="00744A1C" w:rsidP="00D10E3C">
      <w:pPr>
        <w:pStyle w:val="libLine"/>
        <w:rPr>
          <w:lang w:bidi="fa-IR"/>
        </w:rPr>
      </w:pPr>
      <w:r>
        <w:rPr>
          <w:rtl/>
          <w:lang w:bidi="fa-IR"/>
        </w:rPr>
        <w:t>____________________</w:t>
      </w:r>
    </w:p>
    <w:p w:rsidR="00744A1C" w:rsidRDefault="00476CD2" w:rsidP="00D10E3C">
      <w:pPr>
        <w:pStyle w:val="libFootnote0"/>
        <w:rPr>
          <w:lang w:bidi="fa-IR"/>
        </w:rPr>
      </w:pPr>
      <w:r>
        <w:rPr>
          <w:rFonts w:hint="cs"/>
          <w:rtl/>
          <w:lang w:bidi="fa-IR"/>
        </w:rPr>
        <w:t xml:space="preserve">= </w:t>
      </w:r>
      <w:r w:rsidR="00744A1C">
        <w:rPr>
          <w:rtl/>
          <w:lang w:bidi="fa-IR"/>
        </w:rPr>
        <w:t xml:space="preserve">ابن محبوب. </w:t>
      </w:r>
      <w:r w:rsidR="00744A1C" w:rsidRPr="003A7143">
        <w:rPr>
          <w:rStyle w:val="libFootnoteBoldChar"/>
          <w:rtl/>
        </w:rPr>
        <w:t>المحاسن</w:t>
      </w:r>
      <w:r w:rsidR="00744A1C">
        <w:rPr>
          <w:rtl/>
          <w:lang w:bidi="fa-IR"/>
        </w:rPr>
        <w:t xml:space="preserve"> ، ص 411 ، كتاب المأكل ، ح 143 ، عن ابن محبوب ، وفيهما من قوله : « لو أهدى إلىّ كراع » مع اختلاف يسير. </w:t>
      </w:r>
      <w:r w:rsidR="00744A1C" w:rsidRPr="00C24F9C">
        <w:rPr>
          <w:rStyle w:val="libFootnoteBoldChar"/>
          <w:rtl/>
        </w:rPr>
        <w:t>الفقيه</w:t>
      </w:r>
      <w:r w:rsidR="00744A1C">
        <w:rPr>
          <w:rtl/>
          <w:lang w:bidi="fa-IR"/>
        </w:rPr>
        <w:t xml:space="preserve"> ، ج 3 ، ص 300 ، ح 4078 ، معلّقاً عن الحسن بن محبوب ، إلى قوله : « فليقبل هديّتهم وليكافهم » ؛ </w:t>
      </w:r>
      <w:r w:rsidR="00744A1C" w:rsidRPr="00C24F9C">
        <w:rPr>
          <w:rStyle w:val="libFootnoteBoldChar"/>
          <w:rtl/>
        </w:rPr>
        <w:t>التهذيب</w:t>
      </w:r>
      <w:r w:rsidR="00744A1C">
        <w:rPr>
          <w:rtl/>
          <w:lang w:bidi="fa-IR"/>
        </w:rPr>
        <w:t xml:space="preserve"> ، ج 6 ، ص 378 ، ح 1108 ، معلّقاً عن الحسن بن محبوب </w:t>
      </w:r>
      <w:r w:rsidR="00A478E6">
        <w:rPr>
          <w:rFonts w:hint="cs"/>
          <w:rtl/>
          <w:lang w:bidi="fa-IR"/>
        </w:rPr>
        <w:t>.</w:t>
      </w:r>
      <w:r w:rsidR="00744A1C" w:rsidRPr="00C24F9C">
        <w:rPr>
          <w:rStyle w:val="libFootnoteBoldChar"/>
          <w:rtl/>
        </w:rPr>
        <w:t>الوافي</w:t>
      </w:r>
      <w:r w:rsidR="00744A1C">
        <w:rPr>
          <w:rtl/>
          <w:lang w:bidi="fa-IR"/>
        </w:rPr>
        <w:t xml:space="preserve"> ، ج 17 ، ص 365 ، ح 17431 ؛ </w:t>
      </w:r>
      <w:r w:rsidR="00744A1C" w:rsidRPr="00C24F9C">
        <w:rPr>
          <w:rStyle w:val="libFootnoteBoldChar"/>
          <w:rtl/>
        </w:rPr>
        <w:t>الوسائل</w:t>
      </w:r>
      <w:r w:rsidR="00744A1C">
        <w:rPr>
          <w:rtl/>
          <w:lang w:bidi="fa-IR"/>
        </w:rPr>
        <w:t xml:space="preserve"> ، ج 17 ، ص 290 ، ح 22555 ؛ </w:t>
      </w:r>
      <w:r w:rsidR="00744A1C" w:rsidRPr="0061079A">
        <w:rPr>
          <w:rStyle w:val="libFootnoteBoldChar"/>
          <w:rtl/>
        </w:rPr>
        <w:t>البحار</w:t>
      </w:r>
      <w:r w:rsidR="00744A1C">
        <w:rPr>
          <w:rtl/>
          <w:lang w:bidi="fa-IR"/>
        </w:rPr>
        <w:t xml:space="preserve"> ، ج 16 ، ص 373 ، ح 83 ، من قوله : « لو أهدى إليّ كراع ».</w:t>
      </w:r>
    </w:p>
    <w:p w:rsidR="00744A1C" w:rsidRDefault="00D10E3C" w:rsidP="00D10E3C">
      <w:pPr>
        <w:pStyle w:val="libFootnote0"/>
        <w:rPr>
          <w:lang w:bidi="fa-IR"/>
        </w:rPr>
      </w:pPr>
      <w:r>
        <w:rPr>
          <w:rtl/>
          <w:lang w:bidi="fa-IR"/>
        </w:rPr>
        <w:t>(1).</w:t>
      </w:r>
      <w:r w:rsidR="00744A1C">
        <w:rPr>
          <w:rtl/>
          <w:lang w:bidi="fa-IR"/>
        </w:rPr>
        <w:t xml:space="preserve"> السند معلّق على سابقه. ويروي عن ابن محبوب ، عدّة من أصحابنا عن سهل بن زياد وأحمد بن محمّد.</w:t>
      </w:r>
    </w:p>
    <w:p w:rsidR="00744A1C" w:rsidRDefault="00E378DD" w:rsidP="00E378DD">
      <w:pPr>
        <w:pStyle w:val="libFootnote0"/>
        <w:rPr>
          <w:lang w:bidi="fa-IR"/>
        </w:rPr>
      </w:pPr>
      <w:r>
        <w:rPr>
          <w:rtl/>
          <w:lang w:bidi="fa-IR"/>
        </w:rPr>
        <w:t>(2).</w:t>
      </w:r>
      <w:r w:rsidR="00744A1C">
        <w:rPr>
          <w:rtl/>
          <w:lang w:bidi="fa-IR"/>
        </w:rPr>
        <w:t xml:space="preserve"> « الحُلُّ » بالضمّ : جمع الأحلّ من الخيل والإبل والذئاب ، والأحلّ : الذي في رجله استر</w:t>
      </w:r>
      <w:r w:rsidR="00EA5128">
        <w:rPr>
          <w:rtl/>
          <w:lang w:bidi="fa-IR"/>
        </w:rPr>
        <w:t>خاء ، وهو مذموم في‌كلّ شي‌ء إل</w:t>
      </w:r>
      <w:r w:rsidR="00EA5128">
        <w:rPr>
          <w:rFonts w:hint="cs"/>
          <w:rtl/>
          <w:lang w:bidi="fa-IR"/>
        </w:rPr>
        <w:t>ّ</w:t>
      </w:r>
      <w:r w:rsidR="00EA5128">
        <w:rPr>
          <w:rtl/>
          <w:lang w:bidi="fa-IR"/>
        </w:rPr>
        <w:t>ا</w:t>
      </w:r>
      <w:r w:rsidR="00072F16">
        <w:rPr>
          <w:rtl/>
          <w:lang w:bidi="fa-IR"/>
        </w:rPr>
        <w:t>في الذئب. وقد قرأه العل</w:t>
      </w:r>
      <w:r w:rsidR="00072F16">
        <w:rPr>
          <w:rFonts w:hint="cs"/>
          <w:rtl/>
          <w:lang w:bidi="fa-IR"/>
        </w:rPr>
        <w:t>ّ</w:t>
      </w:r>
      <w:r w:rsidR="00072F16">
        <w:rPr>
          <w:rtl/>
          <w:lang w:bidi="fa-IR"/>
        </w:rPr>
        <w:t>ا</w:t>
      </w:r>
      <w:r w:rsidR="00744A1C">
        <w:rPr>
          <w:rtl/>
          <w:lang w:bidi="fa-IR"/>
        </w:rPr>
        <w:t xml:space="preserve">مة الفيض بالكسر ، حيث قال في </w:t>
      </w:r>
      <w:r w:rsidR="00744A1C" w:rsidRPr="00C24F9C">
        <w:rPr>
          <w:rStyle w:val="libFootnoteBoldChar"/>
          <w:rtl/>
        </w:rPr>
        <w:t>الوافي</w:t>
      </w:r>
      <w:r w:rsidR="00744A1C">
        <w:rPr>
          <w:rtl/>
          <w:lang w:bidi="fa-IR"/>
        </w:rPr>
        <w:t xml:space="preserve"> : « الحلّ ، بالكسر : الحلال ». وراجع : </w:t>
      </w:r>
      <w:r w:rsidR="00744A1C" w:rsidRPr="00E978C3">
        <w:rPr>
          <w:rStyle w:val="libFootnoteBoldChar"/>
          <w:rtl/>
        </w:rPr>
        <w:t>الصحاح</w:t>
      </w:r>
      <w:r w:rsidR="00744A1C">
        <w:rPr>
          <w:rtl/>
          <w:lang w:bidi="fa-IR"/>
        </w:rPr>
        <w:t xml:space="preserve"> ، ج 4 ، ص 1676 ؛ </w:t>
      </w:r>
      <w:r w:rsidR="00744A1C" w:rsidRPr="005701AF">
        <w:rPr>
          <w:rStyle w:val="libFootnoteBoldChar"/>
          <w:rtl/>
        </w:rPr>
        <w:t>تاج العروس</w:t>
      </w:r>
      <w:r w:rsidR="00744A1C">
        <w:rPr>
          <w:rtl/>
          <w:lang w:bidi="fa-IR"/>
        </w:rPr>
        <w:t xml:space="preserve"> ، ج 14 ، ص 165 ( حلل ).</w:t>
      </w:r>
    </w:p>
    <w:p w:rsidR="00744A1C" w:rsidRDefault="00E378DD" w:rsidP="0078454F">
      <w:pPr>
        <w:pStyle w:val="libFootnote0"/>
        <w:rPr>
          <w:lang w:bidi="fa-IR"/>
        </w:rPr>
      </w:pPr>
      <w:r>
        <w:rPr>
          <w:rtl/>
          <w:lang w:bidi="fa-IR"/>
        </w:rPr>
        <w:t>(3).</w:t>
      </w:r>
      <w:r w:rsidR="00744A1C">
        <w:rPr>
          <w:rtl/>
          <w:lang w:bidi="fa-IR"/>
        </w:rPr>
        <w:t xml:space="preserve"> في « بخ ، بف » : « الخمس ». وكذا فيما بعد « الحُمْس » : جمع الأحمس ، وهم قريش ومن ولدت قريش وكِنانةوجَدِيلة قيس ، سمّوا حُمْساً لأنّهم تحمّسوا في دينهم ، أي تشدّدوا ، والحماسة : الشجاعة </w:t>
      </w:r>
      <w:r w:rsidR="001E3A63">
        <w:rPr>
          <w:rtl/>
          <w:lang w:bidi="fa-IR"/>
        </w:rPr>
        <w:t>، كان إذا حجّ أحدهم لا يأكل إل</w:t>
      </w:r>
      <w:r w:rsidR="001E3A63">
        <w:rPr>
          <w:rFonts w:hint="cs"/>
          <w:rtl/>
          <w:lang w:bidi="fa-IR"/>
        </w:rPr>
        <w:t>ّ</w:t>
      </w:r>
      <w:r w:rsidR="001E3A63">
        <w:rPr>
          <w:rtl/>
          <w:lang w:bidi="fa-IR"/>
        </w:rPr>
        <w:t>ا</w:t>
      </w:r>
      <w:r w:rsidR="001E3A63">
        <w:rPr>
          <w:rFonts w:hint="cs"/>
          <w:rtl/>
          <w:lang w:bidi="fa-IR"/>
        </w:rPr>
        <w:t xml:space="preserve"> </w:t>
      </w:r>
      <w:r w:rsidR="00744A1C">
        <w:rPr>
          <w:rtl/>
          <w:lang w:bidi="fa-IR"/>
        </w:rPr>
        <w:t xml:space="preserve">طعام رجل من الحرم ، ولم يطف </w:t>
      </w:r>
      <w:r w:rsidR="0078454F">
        <w:rPr>
          <w:rtl/>
          <w:lang w:bidi="fa-IR"/>
        </w:rPr>
        <w:t>إل</w:t>
      </w:r>
      <w:r w:rsidR="0078454F">
        <w:rPr>
          <w:rFonts w:hint="cs"/>
          <w:rtl/>
          <w:lang w:bidi="fa-IR"/>
        </w:rPr>
        <w:t>ّ</w:t>
      </w:r>
      <w:r w:rsidR="0078454F">
        <w:rPr>
          <w:rtl/>
          <w:lang w:bidi="fa-IR"/>
        </w:rPr>
        <w:t>ا</w:t>
      </w:r>
      <w:r w:rsidR="0078454F">
        <w:rPr>
          <w:rFonts w:hint="cs"/>
          <w:rtl/>
          <w:lang w:bidi="fa-IR"/>
        </w:rPr>
        <w:t xml:space="preserve"> </w:t>
      </w:r>
      <w:r w:rsidR="00744A1C">
        <w:rPr>
          <w:rtl/>
          <w:lang w:bidi="fa-IR"/>
        </w:rPr>
        <w:t xml:space="preserve">في ثيابه ، وكانوا يقفون بمزدلفة ولا يقفون بعرفة ، ويقولون : نحن أهل الله فلا نخرج من الحرم ، وكانوا لا يدخلون البيوت من أبوابها ، وهم محرمون. راجع : </w:t>
      </w:r>
      <w:r w:rsidR="00744A1C" w:rsidRPr="00877682">
        <w:rPr>
          <w:rStyle w:val="libFootnoteBoldChar"/>
          <w:rtl/>
        </w:rPr>
        <w:t>النهاية</w:t>
      </w:r>
      <w:r w:rsidR="00744A1C">
        <w:rPr>
          <w:rtl/>
          <w:lang w:bidi="fa-IR"/>
        </w:rPr>
        <w:t xml:space="preserve"> ، ج 1 ، ص 440 ( حمس ).</w:t>
      </w:r>
    </w:p>
    <w:p w:rsidR="00744A1C" w:rsidRDefault="00E378DD" w:rsidP="00E378DD">
      <w:pPr>
        <w:pStyle w:val="libFootnote0"/>
        <w:rPr>
          <w:lang w:bidi="fa-IR"/>
        </w:rPr>
      </w:pPr>
      <w:r>
        <w:rPr>
          <w:rtl/>
          <w:lang w:bidi="fa-IR"/>
        </w:rPr>
        <w:t>(4).</w:t>
      </w:r>
      <w:r w:rsidR="00744A1C">
        <w:rPr>
          <w:rtl/>
          <w:lang w:bidi="fa-IR"/>
        </w:rPr>
        <w:t xml:space="preserve"> في « بخ ، بف » : + « سائر العرب ».</w:t>
      </w:r>
    </w:p>
    <w:p w:rsidR="00744A1C" w:rsidRDefault="00E378DD" w:rsidP="00E378DD">
      <w:pPr>
        <w:pStyle w:val="libFootnote0"/>
        <w:rPr>
          <w:lang w:bidi="fa-IR"/>
        </w:rPr>
      </w:pPr>
      <w:r>
        <w:rPr>
          <w:rtl/>
          <w:lang w:bidi="fa-IR"/>
        </w:rPr>
        <w:t>(5).</w:t>
      </w:r>
      <w:r w:rsidR="00744A1C">
        <w:rPr>
          <w:rtl/>
          <w:lang w:bidi="fa-IR"/>
        </w:rPr>
        <w:t xml:space="preserve"> في « بخ ، بف » : « قريش ».</w:t>
      </w:r>
    </w:p>
    <w:p w:rsidR="00744A1C" w:rsidRDefault="00E378DD" w:rsidP="0078454F">
      <w:pPr>
        <w:pStyle w:val="libFootnote0"/>
        <w:rPr>
          <w:lang w:bidi="fa-IR"/>
        </w:rPr>
      </w:pPr>
      <w:r>
        <w:rPr>
          <w:rtl/>
          <w:lang w:bidi="fa-IR"/>
        </w:rPr>
        <w:t>(6).</w:t>
      </w:r>
      <w:r w:rsidR="00744A1C">
        <w:rPr>
          <w:rtl/>
          <w:lang w:bidi="fa-IR"/>
        </w:rPr>
        <w:t xml:space="preserve"> كان أشراف العرب الذين كانوا يتحمّسون في دينهم ، أي يتشدّدون ، إذا حجّ أحدهم لم يأكل </w:t>
      </w:r>
      <w:r w:rsidR="0078454F">
        <w:rPr>
          <w:rtl/>
          <w:lang w:bidi="fa-IR"/>
        </w:rPr>
        <w:t>إل</w:t>
      </w:r>
      <w:r w:rsidR="0078454F">
        <w:rPr>
          <w:rFonts w:hint="cs"/>
          <w:rtl/>
          <w:lang w:bidi="fa-IR"/>
        </w:rPr>
        <w:t>ّ</w:t>
      </w:r>
      <w:r w:rsidR="0078454F">
        <w:rPr>
          <w:rtl/>
          <w:lang w:bidi="fa-IR"/>
        </w:rPr>
        <w:t>ا</w:t>
      </w:r>
      <w:r w:rsidR="0078454F">
        <w:rPr>
          <w:rFonts w:hint="cs"/>
          <w:rtl/>
          <w:lang w:bidi="fa-IR"/>
        </w:rPr>
        <w:t xml:space="preserve"> </w:t>
      </w:r>
      <w:r w:rsidR="00744A1C">
        <w:rPr>
          <w:rtl/>
          <w:lang w:bidi="fa-IR"/>
        </w:rPr>
        <w:t xml:space="preserve">طعام رجل من‌الحرم ، ولم يطف </w:t>
      </w:r>
      <w:r w:rsidR="0078454F">
        <w:rPr>
          <w:rtl/>
          <w:lang w:bidi="fa-IR"/>
        </w:rPr>
        <w:t>إل</w:t>
      </w:r>
      <w:r w:rsidR="0078454F">
        <w:rPr>
          <w:rFonts w:hint="cs"/>
          <w:rtl/>
          <w:lang w:bidi="fa-IR"/>
        </w:rPr>
        <w:t>ّ</w:t>
      </w:r>
      <w:r w:rsidR="0078454F">
        <w:rPr>
          <w:rtl/>
          <w:lang w:bidi="fa-IR"/>
        </w:rPr>
        <w:t>ا</w:t>
      </w:r>
      <w:r w:rsidR="0078454F">
        <w:rPr>
          <w:rFonts w:hint="cs"/>
          <w:rtl/>
          <w:lang w:bidi="fa-IR"/>
        </w:rPr>
        <w:t xml:space="preserve"> </w:t>
      </w:r>
      <w:r w:rsidR="00744A1C">
        <w:rPr>
          <w:rtl/>
          <w:lang w:bidi="fa-IR"/>
        </w:rPr>
        <w:t xml:space="preserve">في ثيابه ، فكان لكلّ شريف من أشرافهم رجل من قريش ، فيكون كلّ واحد منهما حِرْميّ صاحبه ، كما يقال : كريٌّ للمُكري والمكتري. والنسب في الناس إلى الحرم : حرميّ ، بكسر الحاء وسكون الراء ، يقال : رجل حِرْميّ ، فإذا كان في غير الناس قالوا : ثوب حَرَميّ. كذا في </w:t>
      </w:r>
      <w:r w:rsidR="00744A1C" w:rsidRPr="00877682">
        <w:rPr>
          <w:rStyle w:val="libFootnoteBoldChar"/>
          <w:rtl/>
        </w:rPr>
        <w:t>النهاية</w:t>
      </w:r>
      <w:r w:rsidR="00744A1C">
        <w:rPr>
          <w:rtl/>
          <w:lang w:bidi="fa-IR"/>
        </w:rPr>
        <w:t xml:space="preserve"> ، ج 1 ، ص 374 ( حرم ). وفي </w:t>
      </w:r>
      <w:r w:rsidR="00744A1C" w:rsidRPr="00C24F9C">
        <w:rPr>
          <w:rStyle w:val="libFootnoteBoldChar"/>
          <w:rtl/>
        </w:rPr>
        <w:t>الوافي</w:t>
      </w:r>
      <w:r w:rsidR="00744A1C">
        <w:rPr>
          <w:rtl/>
          <w:lang w:bidi="fa-IR"/>
        </w:rPr>
        <w:t xml:space="preserve"> أيضاً : « الحرميّ ، بكسر الحاء وسكون الراء : المنسوب إلى الحرم ، كذلك يقال للنسبة في الناس ، وفي غير الناس بفتحتين ».</w:t>
      </w:r>
      <w:r w:rsidR="0078454F">
        <w:rPr>
          <w:rFonts w:hint="cs"/>
          <w:rtl/>
          <w:lang w:bidi="fa-IR"/>
        </w:rPr>
        <w:t xml:space="preserve">                                            </w:t>
      </w:r>
      <w:r>
        <w:rPr>
          <w:rtl/>
          <w:lang w:bidi="fa-IR"/>
        </w:rPr>
        <w:t>(7).</w:t>
      </w:r>
      <w:r w:rsidR="00744A1C">
        <w:rPr>
          <w:rtl/>
          <w:lang w:bidi="fa-IR"/>
        </w:rPr>
        <w:t xml:space="preserve"> في حاشية « ى » : + « فكانت ».</w:t>
      </w:r>
    </w:p>
    <w:p w:rsidR="00744A1C" w:rsidRDefault="00E378DD" w:rsidP="00E378DD">
      <w:pPr>
        <w:pStyle w:val="libFootnote0"/>
        <w:rPr>
          <w:lang w:bidi="fa-IR"/>
        </w:rPr>
      </w:pPr>
      <w:r>
        <w:rPr>
          <w:rtl/>
          <w:lang w:bidi="fa-IR"/>
        </w:rPr>
        <w:t>(8).</w:t>
      </w:r>
      <w:r w:rsidR="00744A1C">
        <w:rPr>
          <w:rtl/>
          <w:lang w:bidi="fa-IR"/>
        </w:rPr>
        <w:t xml:space="preserve"> في « جد » </w:t>
      </w:r>
      <w:r w:rsidR="00744A1C" w:rsidRPr="00F040D2">
        <w:rPr>
          <w:rtl/>
        </w:rPr>
        <w:t>والبحار</w:t>
      </w:r>
      <w:r w:rsidR="00744A1C">
        <w:rPr>
          <w:rtl/>
          <w:lang w:bidi="fa-IR"/>
        </w:rPr>
        <w:t xml:space="preserve"> : - « أن ».</w:t>
      </w:r>
    </w:p>
    <w:p w:rsidR="00144FA6" w:rsidRDefault="00E378DD" w:rsidP="00E378DD">
      <w:pPr>
        <w:pStyle w:val="libFootnote0"/>
        <w:rPr>
          <w:rtl/>
          <w:lang w:bidi="fa-IR"/>
        </w:rPr>
      </w:pPr>
      <w:r>
        <w:rPr>
          <w:rtl/>
          <w:lang w:bidi="fa-IR"/>
        </w:rPr>
        <w:t>(9).</w:t>
      </w:r>
      <w:r w:rsidR="00744A1C">
        <w:rPr>
          <w:rtl/>
          <w:lang w:bidi="fa-IR"/>
        </w:rPr>
        <w:t xml:space="preserve"> في هامش </w:t>
      </w:r>
      <w:r w:rsidR="00744A1C" w:rsidRPr="0061079A">
        <w:rPr>
          <w:rStyle w:val="libFootnoteBoldChar"/>
          <w:rtl/>
        </w:rPr>
        <w:t>الكافي</w:t>
      </w:r>
      <w:r w:rsidR="00744A1C">
        <w:rPr>
          <w:rtl/>
          <w:lang w:bidi="fa-IR"/>
        </w:rPr>
        <w:t xml:space="preserve"> المطبوع : « والحاصل أنّ كلّ من يريد أن يطوف بالبيت من خارج الكعبة كان اللازم عليه</w:t>
      </w:r>
      <w:r w:rsidR="00F040D2">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93797">
      <w:pPr>
        <w:pStyle w:val="libNormal0"/>
        <w:rPr>
          <w:rtl/>
          <w:lang w:bidi="fa-IR"/>
        </w:rPr>
      </w:pPr>
      <w:r>
        <w:rPr>
          <w:rtl/>
          <w:lang w:bidi="fa-IR"/>
        </w:rPr>
        <w:t xml:space="preserve">حِمَارٍ </w:t>
      </w:r>
      <w:r w:rsidRPr="00D10E3C">
        <w:rPr>
          <w:rStyle w:val="libFootnotenumChar"/>
          <w:rtl/>
        </w:rPr>
        <w:t>(1)</w:t>
      </w:r>
      <w:r>
        <w:rPr>
          <w:rtl/>
          <w:lang w:bidi="fa-IR"/>
        </w:rPr>
        <w:t xml:space="preserve"> الْمُجَاشِعِيِّ - وَكَانَ عِيَاضٌ رَجُلاً </w:t>
      </w:r>
      <w:r w:rsidRPr="00D10E3C">
        <w:rPr>
          <w:rStyle w:val="libFootnotenumChar"/>
          <w:rtl/>
        </w:rPr>
        <w:t>(2)</w:t>
      </w:r>
      <w:r>
        <w:rPr>
          <w:rtl/>
          <w:lang w:bidi="fa-IR"/>
        </w:rPr>
        <w:t xml:space="preserve"> عَظِيمَ الْخَطَرِ </w:t>
      </w:r>
      <w:r w:rsidRPr="00D10E3C">
        <w:rPr>
          <w:rStyle w:val="libFootnotenumChar"/>
          <w:rtl/>
        </w:rPr>
        <w:t>(3)</w:t>
      </w:r>
      <w:r>
        <w:rPr>
          <w:rtl/>
          <w:lang w:bidi="fa-IR"/>
        </w:rPr>
        <w:t xml:space="preserve"> ، وَكَانَ قَاضِياً لِأَهْلِ عُكَاظٍ فِي الْجَاهِلِيَّةِ - فَكَانَ </w:t>
      </w:r>
      <w:r w:rsidRPr="00D10E3C">
        <w:rPr>
          <w:rStyle w:val="libFootnotenumChar"/>
          <w:rtl/>
        </w:rPr>
        <w:t>(4)</w:t>
      </w:r>
      <w:r>
        <w:rPr>
          <w:rtl/>
          <w:lang w:bidi="fa-IR"/>
        </w:rPr>
        <w:t xml:space="preserve"> عِيَاضٌ إِذَا دَخَلَ مَكَّةَ ، أَلْقى عَنْهُ ثِيَابَ الذُّنُوبِ وَالرَّجَاسَةِ ، وَأَخَذَ ثِيَابَ رَسُولِ اللهِ </w:t>
      </w:r>
      <w:r w:rsidR="0017097C" w:rsidRPr="0017097C">
        <w:rPr>
          <w:rStyle w:val="libAlaemChar"/>
          <w:rtl/>
        </w:rPr>
        <w:t>صلى‌الله‌عليه‌وآله</w:t>
      </w:r>
      <w:r w:rsidR="00D10E3C">
        <w:rPr>
          <w:rtl/>
          <w:lang w:bidi="fa-IR"/>
        </w:rPr>
        <w:t xml:space="preserve"> </w:t>
      </w:r>
      <w:r>
        <w:rPr>
          <w:rtl/>
          <w:lang w:bidi="fa-IR"/>
        </w:rPr>
        <w:t xml:space="preserve">لِطُهْرِهَا ، فَلَبِسَهَا ، وَطَافَ </w:t>
      </w:r>
      <w:r w:rsidRPr="00D10E3C">
        <w:rPr>
          <w:rStyle w:val="libFootnotenumChar"/>
          <w:rtl/>
        </w:rPr>
        <w:t>(5)</w:t>
      </w:r>
      <w:r>
        <w:rPr>
          <w:rtl/>
          <w:lang w:bidi="fa-IR"/>
        </w:rPr>
        <w:t xml:space="preserve"> بِالْبَيْتِ ، ثُمَّ يَرُدُّهَا عَلَيْهِ إِذَا فَرَغَ مِنْ طَوَافِهِ ، فَلَمَّا أَنْ ظَهَرَ رَسُولُ اللهِ </w:t>
      </w:r>
      <w:r w:rsidR="0061079A" w:rsidRPr="0061079A">
        <w:rPr>
          <w:rStyle w:val="libAlaemChar"/>
          <w:rtl/>
        </w:rPr>
        <w:t>صلى‌الله‌عليه‌وآله</w:t>
      </w:r>
      <w:r w:rsidR="00D10E3C">
        <w:rPr>
          <w:rtl/>
          <w:lang w:bidi="fa-IR"/>
        </w:rPr>
        <w:t xml:space="preserve"> </w:t>
      </w:r>
      <w:r>
        <w:rPr>
          <w:rtl/>
          <w:lang w:bidi="fa-IR"/>
        </w:rPr>
        <w:t xml:space="preserve">أَتَاهُ </w:t>
      </w:r>
      <w:r w:rsidRPr="00D10E3C">
        <w:rPr>
          <w:rStyle w:val="libFootnotenumChar"/>
          <w:rtl/>
        </w:rPr>
        <w:t>(6)</w:t>
      </w:r>
      <w:r>
        <w:rPr>
          <w:rtl/>
          <w:lang w:bidi="fa-IR"/>
        </w:rPr>
        <w:t xml:space="preserve"> عِيَاضٌ بِهَدِيَّةٍ ، فَأَبى رَسُولُ اللهِ </w:t>
      </w:r>
      <w:r w:rsidR="0017097C" w:rsidRPr="0017097C">
        <w:rPr>
          <w:rStyle w:val="libAlaemChar"/>
          <w:rtl/>
        </w:rPr>
        <w:t>صلى‌الله‌عليه‌وآله</w:t>
      </w:r>
      <w:r w:rsidR="00D10E3C">
        <w:rPr>
          <w:rtl/>
          <w:lang w:bidi="fa-IR"/>
        </w:rPr>
        <w:t xml:space="preserve"> </w:t>
      </w:r>
      <w:r>
        <w:rPr>
          <w:rtl/>
          <w:lang w:bidi="fa-IR"/>
        </w:rPr>
        <w:t xml:space="preserve">أَنْ يَقْبَلَهَا ، وَقَالَ : يَا عِيَاضُ ، لَوْ أَسْلَمْتَ لَقَبِلْتُ هَدِيَّتَكَ ؛ إِنَّ اللهَ - عَزَّ وَجَلَّ - أَبى لِي زَبْدَ الْمُشْرِكِينَ ، ثُمَّ إِنَّ عِيَاضاً بَعْدَ ذلِكَ أَسْلَمَ ، وَحَسُنَ </w:t>
      </w:r>
      <w:r w:rsidRPr="00D10E3C">
        <w:rPr>
          <w:rStyle w:val="libFootnotenumChar"/>
          <w:rtl/>
        </w:rPr>
        <w:t>(7)</w:t>
      </w:r>
      <w:r>
        <w:rPr>
          <w:rtl/>
          <w:lang w:bidi="fa-IR"/>
        </w:rPr>
        <w:t xml:space="preserve"> إِسْلَامُهُ ، فَأَهْدى إِلى رَسُولِ اللهِ </w:t>
      </w:r>
      <w:r w:rsidR="004D054E" w:rsidRPr="004D054E">
        <w:rPr>
          <w:rStyle w:val="libFootnoteAlaemChar"/>
          <w:rtl/>
        </w:rPr>
        <w:t>صلى‌الله‌عليه‌وآله</w:t>
      </w:r>
      <w:r w:rsidR="00D10E3C">
        <w:rPr>
          <w:rtl/>
          <w:lang w:bidi="fa-IR"/>
        </w:rPr>
        <w:t xml:space="preserve"> </w:t>
      </w:r>
      <w:r>
        <w:rPr>
          <w:rtl/>
          <w:lang w:bidi="fa-IR"/>
        </w:rPr>
        <w:t xml:space="preserve">هَدِيَّةً ، فَقَبِلَهَا مِنْهُ ». </w:t>
      </w:r>
      <w:r w:rsidRPr="00D10E3C">
        <w:rPr>
          <w:rStyle w:val="libFootnotenumChar"/>
          <w:rtl/>
        </w:rPr>
        <w:t>(8)</w:t>
      </w:r>
    </w:p>
    <w:p w:rsidR="00144FA6" w:rsidRDefault="00744A1C" w:rsidP="00744A1C">
      <w:pPr>
        <w:pStyle w:val="libNormal"/>
        <w:rPr>
          <w:rtl/>
          <w:lang w:bidi="fa-IR"/>
        </w:rPr>
      </w:pPr>
      <w:r>
        <w:rPr>
          <w:rtl/>
          <w:lang w:bidi="fa-IR"/>
        </w:rPr>
        <w:t>8651 / 4. عِدَّةٌ مِنْ أَصْحَابِنَا ، عَنْ سَهْلِ بْنِ زِيَادٍ ، عَنْ إِسْمَاعِيلَ بْنِ مِهْرَانَ ، عَنْ أَبِي جَرِيرٍ الْقُمِّيِّ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فِي الرَّجُلِ يُهْدِي الهَدِيَّةَ </w:t>
      </w:r>
      <w:r w:rsidRPr="00D10E3C">
        <w:rPr>
          <w:rStyle w:val="libFootnotenumChar"/>
          <w:rtl/>
        </w:rPr>
        <w:t>(9)</w:t>
      </w:r>
      <w:r>
        <w:rPr>
          <w:rtl/>
          <w:lang w:bidi="fa-IR"/>
        </w:rPr>
        <w:t xml:space="preserve"> إِلى ذِي قَرَابَتِهِ يُرِيدُ الثَّوَابَ وَهُوَ سُلْطَانٌ ، فَقَالَ : « مَا كَانَ لِلّهِ - عَزَّ وَجَلَّ - وَلِصِلَةِ الرَّحِمِ فَهُوَ جَائِزٌ ، وَلَهُ أَنْ يَقْبِضَهَا </w:t>
      </w:r>
      <w:r w:rsidRPr="00D10E3C">
        <w:rPr>
          <w:rStyle w:val="libFootnotenumChar"/>
          <w:rtl/>
        </w:rPr>
        <w:t>(10)</w:t>
      </w:r>
      <w:r>
        <w:rPr>
          <w:rtl/>
          <w:lang w:bidi="fa-IR"/>
        </w:rPr>
        <w:t xml:space="preserve"> إِذَا‌</w:t>
      </w:r>
    </w:p>
    <w:p w:rsidR="00744A1C" w:rsidRDefault="00744A1C" w:rsidP="00D10E3C">
      <w:pPr>
        <w:pStyle w:val="libLine"/>
        <w:rPr>
          <w:lang w:bidi="fa-IR"/>
        </w:rPr>
      </w:pPr>
      <w:r>
        <w:rPr>
          <w:rtl/>
          <w:lang w:bidi="fa-IR"/>
        </w:rPr>
        <w:t>____________________</w:t>
      </w:r>
    </w:p>
    <w:p w:rsidR="00744A1C" w:rsidRDefault="00793797" w:rsidP="00D10E3C">
      <w:pPr>
        <w:pStyle w:val="libFootnote0"/>
        <w:rPr>
          <w:lang w:bidi="fa-IR"/>
        </w:rPr>
      </w:pPr>
      <w:r>
        <w:rPr>
          <w:rFonts w:hint="cs"/>
          <w:rtl/>
          <w:lang w:bidi="fa-IR"/>
        </w:rPr>
        <w:t xml:space="preserve">= </w:t>
      </w:r>
      <w:r w:rsidR="00744A1C">
        <w:rPr>
          <w:rtl/>
          <w:lang w:bidi="fa-IR"/>
        </w:rPr>
        <w:t>أن يكون واحد من أهل الحرم رفيقاً ومصاحباً له ؛ ليطوف ساتراً باللباس من غير عريان ، ومن لم يكن له ذلك</w:t>
      </w:r>
      <w:r>
        <w:rPr>
          <w:rtl/>
          <w:lang w:bidi="fa-IR"/>
        </w:rPr>
        <w:t xml:space="preserve"> الرفيق لم يترك بطواف البيت إل</w:t>
      </w:r>
      <w:r>
        <w:rPr>
          <w:rFonts w:hint="cs"/>
          <w:rtl/>
          <w:lang w:bidi="fa-IR"/>
        </w:rPr>
        <w:t>ّ</w:t>
      </w:r>
      <w:r>
        <w:rPr>
          <w:rtl/>
          <w:lang w:bidi="fa-IR"/>
        </w:rPr>
        <w:t>ا</w:t>
      </w:r>
      <w:r>
        <w:rPr>
          <w:rFonts w:hint="cs"/>
          <w:rtl/>
          <w:lang w:bidi="fa-IR"/>
        </w:rPr>
        <w:t xml:space="preserve"> </w:t>
      </w:r>
      <w:r w:rsidR="00744A1C">
        <w:rPr>
          <w:rtl/>
          <w:lang w:bidi="fa-IR"/>
        </w:rPr>
        <w:t>عرياناً ».</w:t>
      </w:r>
    </w:p>
    <w:p w:rsidR="00744A1C" w:rsidRDefault="00D10E3C" w:rsidP="00D10E3C">
      <w:pPr>
        <w:pStyle w:val="libFootnote0"/>
        <w:rPr>
          <w:lang w:bidi="fa-IR"/>
        </w:rPr>
      </w:pPr>
      <w:r>
        <w:rPr>
          <w:rtl/>
          <w:lang w:bidi="fa-IR"/>
        </w:rPr>
        <w:t>(1).</w:t>
      </w:r>
      <w:r w:rsidR="00744A1C">
        <w:rPr>
          <w:rtl/>
          <w:lang w:bidi="fa-IR"/>
        </w:rPr>
        <w:t xml:space="preserve"> في « ط ، بخ ، بف ، جد » </w:t>
      </w:r>
      <w:r w:rsidR="00744A1C" w:rsidRPr="001927E6">
        <w:rPr>
          <w:rtl/>
        </w:rPr>
        <w:t xml:space="preserve">والوافي </w:t>
      </w:r>
      <w:r w:rsidR="00744A1C">
        <w:rPr>
          <w:rtl/>
          <w:lang w:bidi="fa-IR"/>
        </w:rPr>
        <w:t>: « حماد ». وفي « ى ، بح ، جن » :</w:t>
      </w:r>
      <w:r w:rsidR="00794BCA">
        <w:rPr>
          <w:rtl/>
          <w:lang w:bidi="fa-IR"/>
        </w:rPr>
        <w:t xml:space="preserve"> « جمّاز ». وفي « بس » : « خماز</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 ى » : - « رجلاً ».</w:t>
      </w:r>
    </w:p>
    <w:p w:rsidR="00744A1C" w:rsidRDefault="00E378DD" w:rsidP="001927E6">
      <w:pPr>
        <w:pStyle w:val="libFootnote0"/>
        <w:rPr>
          <w:lang w:bidi="fa-IR"/>
        </w:rPr>
      </w:pPr>
      <w:r>
        <w:rPr>
          <w:rtl/>
          <w:lang w:bidi="fa-IR"/>
        </w:rPr>
        <w:t>(3).</w:t>
      </w:r>
      <w:r w:rsidR="00744A1C">
        <w:rPr>
          <w:rtl/>
          <w:lang w:bidi="fa-IR"/>
        </w:rPr>
        <w:t xml:space="preserve"> « الخَطَر » : الحظّ والنصيب ، والقدر والمنزلة ، ولا يقال </w:t>
      </w:r>
      <w:r w:rsidR="001927E6">
        <w:rPr>
          <w:rtl/>
          <w:lang w:bidi="fa-IR"/>
        </w:rPr>
        <w:t>إل</w:t>
      </w:r>
      <w:r w:rsidR="001927E6">
        <w:rPr>
          <w:rFonts w:hint="cs"/>
          <w:rtl/>
          <w:lang w:bidi="fa-IR"/>
        </w:rPr>
        <w:t>ّ</w:t>
      </w:r>
      <w:r w:rsidR="001927E6">
        <w:rPr>
          <w:rtl/>
          <w:lang w:bidi="fa-IR"/>
        </w:rPr>
        <w:t>ا</w:t>
      </w:r>
      <w:r w:rsidR="001927E6">
        <w:rPr>
          <w:rFonts w:hint="cs"/>
          <w:rtl/>
          <w:lang w:bidi="fa-IR"/>
        </w:rPr>
        <w:t xml:space="preserve"> </w:t>
      </w:r>
      <w:r w:rsidR="00744A1C">
        <w:rPr>
          <w:rtl/>
          <w:lang w:bidi="fa-IR"/>
        </w:rPr>
        <w:t xml:space="preserve">في الشي‌ء الذي له قدر ومزيّة. راجع : </w:t>
      </w:r>
      <w:r w:rsidR="00744A1C" w:rsidRPr="00877682">
        <w:rPr>
          <w:rStyle w:val="libFootnoteBoldChar"/>
          <w:rtl/>
        </w:rPr>
        <w:t>النهاية</w:t>
      </w:r>
      <w:r w:rsidR="00744A1C">
        <w:rPr>
          <w:rtl/>
          <w:lang w:bidi="fa-IR"/>
        </w:rPr>
        <w:t xml:space="preserve"> ، ج 2 ، ص 46 ( خطر ).</w:t>
      </w:r>
      <w:r w:rsidR="001927E6">
        <w:rPr>
          <w:rFonts w:hint="cs"/>
          <w:rtl/>
          <w:lang w:bidi="fa-IR"/>
        </w:rPr>
        <w:t xml:space="preserve">   </w:t>
      </w:r>
      <w:r w:rsidR="00794BCA">
        <w:rPr>
          <w:rFonts w:hint="cs"/>
          <w:rtl/>
          <w:lang w:bidi="fa-IR"/>
        </w:rPr>
        <w:t xml:space="preserve">                              </w:t>
      </w:r>
      <w:r w:rsidR="001927E6">
        <w:rPr>
          <w:rFonts w:hint="cs"/>
          <w:rtl/>
          <w:lang w:bidi="fa-IR"/>
        </w:rPr>
        <w:t xml:space="preserve">   </w:t>
      </w:r>
      <w:r>
        <w:rPr>
          <w:rtl/>
          <w:lang w:bidi="fa-IR"/>
        </w:rPr>
        <w:t>(4).</w:t>
      </w:r>
      <w:r w:rsidR="00744A1C">
        <w:rPr>
          <w:rtl/>
          <w:lang w:bidi="fa-IR"/>
        </w:rPr>
        <w:t xml:space="preserve"> في « بخ ، بس ، بف </w:t>
      </w:r>
      <w:r w:rsidR="00744A1C" w:rsidRPr="001927E6">
        <w:rPr>
          <w:rtl/>
        </w:rPr>
        <w:t>» والوافي : «</w:t>
      </w:r>
      <w:r w:rsidR="00744A1C">
        <w:rPr>
          <w:rtl/>
          <w:lang w:bidi="fa-IR"/>
        </w:rPr>
        <w:t xml:space="preserve"> وكان ».</w:t>
      </w:r>
    </w:p>
    <w:tbl>
      <w:tblPr>
        <w:tblStyle w:val="TableGrid"/>
        <w:bidiVisual/>
        <w:tblW w:w="0" w:type="auto"/>
        <w:tblLook w:val="04A0" w:firstRow="1" w:lastRow="0" w:firstColumn="1" w:lastColumn="0" w:noHBand="0" w:noVBand="1"/>
      </w:tblPr>
      <w:tblGrid>
        <w:gridCol w:w="4006"/>
        <w:gridCol w:w="4006"/>
      </w:tblGrid>
      <w:tr w:rsidR="001927E6" w:rsidTr="001927E6">
        <w:tc>
          <w:tcPr>
            <w:tcW w:w="4006" w:type="dxa"/>
          </w:tcPr>
          <w:p w:rsidR="001927E6" w:rsidRDefault="001927E6" w:rsidP="00E378DD">
            <w:pPr>
              <w:pStyle w:val="libFootnote0"/>
              <w:rPr>
                <w:rtl/>
                <w:lang w:bidi="fa-IR"/>
              </w:rPr>
            </w:pPr>
            <w:r>
              <w:rPr>
                <w:rtl/>
                <w:lang w:bidi="fa-IR"/>
              </w:rPr>
              <w:t>(5). في «ى ،بس ،جد ،جن» و</w:t>
            </w:r>
            <w:r w:rsidRPr="0061079A">
              <w:rPr>
                <w:rStyle w:val="libFootnoteBoldChar"/>
                <w:rtl/>
              </w:rPr>
              <w:t>البحار</w:t>
            </w:r>
            <w:r>
              <w:rPr>
                <w:rtl/>
                <w:lang w:bidi="fa-IR"/>
              </w:rPr>
              <w:t xml:space="preserve"> : « فطاف ».</w:t>
            </w:r>
          </w:p>
        </w:tc>
        <w:tc>
          <w:tcPr>
            <w:tcW w:w="4006" w:type="dxa"/>
          </w:tcPr>
          <w:p w:rsidR="001927E6" w:rsidRDefault="001927E6" w:rsidP="00E378DD">
            <w:pPr>
              <w:pStyle w:val="libFootnote0"/>
              <w:rPr>
                <w:rtl/>
                <w:lang w:bidi="fa-IR"/>
              </w:rPr>
            </w:pPr>
            <w:r>
              <w:rPr>
                <w:rtl/>
                <w:lang w:bidi="fa-IR"/>
              </w:rPr>
              <w:t>(6). في « بخ ، بف » : « وأتاه ».</w:t>
            </w:r>
          </w:p>
        </w:tc>
      </w:tr>
    </w:tbl>
    <w:p w:rsidR="00744A1C" w:rsidRDefault="00E378DD" w:rsidP="00E378DD">
      <w:pPr>
        <w:pStyle w:val="libFootnote0"/>
        <w:rPr>
          <w:lang w:bidi="fa-IR"/>
        </w:rPr>
      </w:pPr>
      <w:r>
        <w:rPr>
          <w:rtl/>
          <w:lang w:bidi="fa-IR"/>
        </w:rPr>
        <w:t>(7).</w:t>
      </w:r>
      <w:r w:rsidR="00744A1C">
        <w:rPr>
          <w:rtl/>
          <w:lang w:bidi="fa-IR"/>
        </w:rPr>
        <w:t xml:space="preserve"> في « ى ، بخ ، بف » : « وأحسن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الوافي</w:t>
      </w:r>
      <w:r w:rsidR="00744A1C">
        <w:rPr>
          <w:rtl/>
          <w:lang w:bidi="fa-IR"/>
        </w:rPr>
        <w:t xml:space="preserve"> ، ج 17 ، ص 366 ، ح 17432 ؛ </w:t>
      </w:r>
      <w:r w:rsidR="00744A1C" w:rsidRPr="00C24F9C">
        <w:rPr>
          <w:rStyle w:val="libFootnoteBoldChar"/>
          <w:rtl/>
        </w:rPr>
        <w:t>الوسائل</w:t>
      </w:r>
      <w:r w:rsidR="00744A1C">
        <w:rPr>
          <w:rtl/>
          <w:lang w:bidi="fa-IR"/>
        </w:rPr>
        <w:t xml:space="preserve"> ، ج 17 ، ص 290 ، ح 22556 ، من قوله : « فلمّا أن ظهر رسول الله </w:t>
      </w:r>
      <w:r w:rsidR="00F90866" w:rsidRPr="00F90866">
        <w:rPr>
          <w:rStyle w:val="libFootnoteAlaemChar"/>
          <w:rtl/>
        </w:rPr>
        <w:t>صلى‌الله‌عليه‌وآله</w:t>
      </w:r>
      <w:r w:rsidR="00744A1C">
        <w:rPr>
          <w:rtl/>
          <w:lang w:bidi="fa-IR"/>
        </w:rPr>
        <w:t xml:space="preserve">» ؛ </w:t>
      </w:r>
      <w:r w:rsidR="00744A1C" w:rsidRPr="0061079A">
        <w:rPr>
          <w:rStyle w:val="libFootnoteBoldChar"/>
          <w:rtl/>
        </w:rPr>
        <w:t>البحار</w:t>
      </w:r>
      <w:r w:rsidR="00744A1C">
        <w:rPr>
          <w:rtl/>
          <w:lang w:bidi="fa-IR"/>
        </w:rPr>
        <w:t xml:space="preserve"> ، ج 22 ، ص 294 ، ح 4.</w:t>
      </w:r>
    </w:p>
    <w:p w:rsidR="00744A1C" w:rsidRDefault="00E378DD" w:rsidP="00E378DD">
      <w:pPr>
        <w:pStyle w:val="libFootnote0"/>
        <w:rPr>
          <w:lang w:bidi="fa-IR"/>
        </w:rPr>
      </w:pPr>
      <w:r>
        <w:rPr>
          <w:rtl/>
          <w:lang w:bidi="fa-IR"/>
        </w:rPr>
        <w:t>(9).</w:t>
      </w:r>
      <w:r w:rsidR="00744A1C">
        <w:rPr>
          <w:rtl/>
          <w:lang w:bidi="fa-IR"/>
        </w:rPr>
        <w:t xml:space="preserve"> هكذا في جميع النسخ التي قوبلت. وفي المطبوع : « بالهديّة ».</w:t>
      </w:r>
    </w:p>
    <w:p w:rsidR="00144FA6" w:rsidRDefault="00E378DD" w:rsidP="00E378DD">
      <w:pPr>
        <w:pStyle w:val="libFootnote0"/>
        <w:rPr>
          <w:rtl/>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xml:space="preserve">: ما كان لله ، الظاهر أنّ السؤال كان عن الإهداء بقصد العوض فأذن </w:t>
      </w:r>
      <w:r w:rsidR="0061079A" w:rsidRPr="0061079A">
        <w:rPr>
          <w:rStyle w:val="libFootnoteAlaemChar"/>
          <w:rtl/>
        </w:rPr>
        <w:t>عليه‌السلام</w:t>
      </w:r>
      <w:r w:rsidR="00D10E3C">
        <w:rPr>
          <w:rtl/>
          <w:lang w:bidi="fa-IR"/>
        </w:rPr>
        <w:t xml:space="preserve"> </w:t>
      </w:r>
      <w:r w:rsidR="00744A1C">
        <w:rPr>
          <w:rtl/>
          <w:lang w:bidi="fa-IR"/>
        </w:rPr>
        <w:t>بكراهة ذلك ؛ حيث‌خصّ أوّلاً الجواز بما كان لله‌ولصلة الرحم ، ثمّ بيّن جوازه في ضمن بيان جواز أخذ المهدى إليه ؛ إذ لو لم يكن</w:t>
      </w:r>
      <w:r w:rsidR="00A54760">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6E6E26">
      <w:pPr>
        <w:pStyle w:val="libNormal0"/>
        <w:rPr>
          <w:rtl/>
          <w:lang w:bidi="fa-IR"/>
        </w:rPr>
      </w:pPr>
      <w:r>
        <w:rPr>
          <w:rtl/>
          <w:lang w:bidi="fa-IR"/>
        </w:rPr>
        <w:t xml:space="preserve">كَانَ </w:t>
      </w:r>
      <w:r w:rsidRPr="00D10E3C">
        <w:rPr>
          <w:rStyle w:val="libFootnotenumChar"/>
          <w:rtl/>
        </w:rPr>
        <w:t>(1)</w:t>
      </w:r>
      <w:r>
        <w:rPr>
          <w:rtl/>
          <w:lang w:bidi="fa-IR"/>
        </w:rPr>
        <w:t xml:space="preserve"> لِلثَّوَابِ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8652 / 5. سَهْلُ بْنُ زِيَادٍ </w:t>
      </w:r>
      <w:r w:rsidRPr="00D10E3C">
        <w:rPr>
          <w:rStyle w:val="libFootnotenumChar"/>
          <w:rtl/>
        </w:rPr>
        <w:t>(4)</w:t>
      </w:r>
      <w:r>
        <w:rPr>
          <w:rtl/>
          <w:lang w:bidi="fa-IR"/>
        </w:rPr>
        <w:t xml:space="preserve"> ، عَنْ أَحْمَدَ بْنِ مُحَمَّدٍ ، عَنْ عَبْدِ اللهِ بْنِ الْمُغِيرَةِ :</w:t>
      </w:r>
    </w:p>
    <w:p w:rsidR="00744A1C" w:rsidRDefault="00744A1C" w:rsidP="00744A1C">
      <w:pPr>
        <w:pStyle w:val="libNormal"/>
        <w:rPr>
          <w:lang w:bidi="fa-IR"/>
        </w:rPr>
      </w:pPr>
      <w:r>
        <w:rPr>
          <w:rtl/>
          <w:lang w:bidi="fa-IR"/>
        </w:rPr>
        <w:t xml:space="preserve">عَنْ أَبِي الْحَسَنِ </w:t>
      </w:r>
      <w:r w:rsidR="0061079A" w:rsidRPr="0061079A">
        <w:rPr>
          <w:rStyle w:val="libAlaemChar"/>
          <w:rtl/>
        </w:rPr>
        <w:t>عليه‌السلام</w:t>
      </w:r>
      <w:r w:rsidR="00D10E3C">
        <w:rPr>
          <w:rtl/>
          <w:lang w:bidi="fa-IR"/>
        </w:rPr>
        <w:t xml:space="preserve"> </w:t>
      </w:r>
      <w:r>
        <w:rPr>
          <w:rtl/>
          <w:lang w:bidi="fa-IR"/>
        </w:rPr>
        <w:t xml:space="preserve">، قَالَ : قَالَ لَهُ </w:t>
      </w:r>
      <w:r w:rsidRPr="00D10E3C">
        <w:rPr>
          <w:rStyle w:val="libFootnotenumChar"/>
          <w:rtl/>
        </w:rPr>
        <w:t>(5)</w:t>
      </w:r>
      <w:r>
        <w:rPr>
          <w:rtl/>
          <w:lang w:bidi="fa-IR"/>
        </w:rPr>
        <w:t xml:space="preserve"> مُحَمَّدُ بْنُ عَبْدِ اللهِ </w:t>
      </w:r>
      <w:r w:rsidRPr="00D10E3C">
        <w:rPr>
          <w:rStyle w:val="libFootnotenumChar"/>
          <w:rtl/>
        </w:rPr>
        <w:t>(6)</w:t>
      </w:r>
      <w:r>
        <w:rPr>
          <w:rtl/>
          <w:lang w:bidi="fa-IR"/>
        </w:rPr>
        <w:t xml:space="preserve"> الْقُمِّيُّ : إِنَّ لَنَا ضِيَاعاً فِيهَا بُيُوتُ النِّيرَانِ ، تُهْدِي </w:t>
      </w:r>
      <w:r w:rsidRPr="00D10E3C">
        <w:rPr>
          <w:rStyle w:val="libFootnotenumChar"/>
          <w:rtl/>
        </w:rPr>
        <w:t>(7)</w:t>
      </w:r>
      <w:r>
        <w:rPr>
          <w:rtl/>
          <w:lang w:bidi="fa-IR"/>
        </w:rPr>
        <w:t xml:space="preserve"> إِلَيْهَا الْمَجُوسُ </w:t>
      </w:r>
      <w:r w:rsidRPr="00D10E3C">
        <w:rPr>
          <w:rStyle w:val="libFootnotenumChar"/>
          <w:rtl/>
        </w:rPr>
        <w:t>(8)</w:t>
      </w:r>
      <w:r>
        <w:rPr>
          <w:rtl/>
          <w:lang w:bidi="fa-IR"/>
        </w:rPr>
        <w:t xml:space="preserve"> الْبَقَرَ وَالْغَنَمَ وَالدَّرَاهِمَ ، فَهَلْ </w:t>
      </w:r>
      <w:r w:rsidRPr="00D10E3C">
        <w:rPr>
          <w:rStyle w:val="libFootnotenumChar"/>
          <w:rtl/>
        </w:rPr>
        <w:t>(9)</w:t>
      </w:r>
      <w:r>
        <w:rPr>
          <w:rtl/>
          <w:lang w:bidi="fa-IR"/>
        </w:rPr>
        <w:t xml:space="preserve"> لِأَرْبَابِ الْقُرى </w:t>
      </w:r>
      <w:r w:rsidRPr="00D10E3C">
        <w:rPr>
          <w:rStyle w:val="libFootnotenumChar"/>
          <w:rtl/>
        </w:rPr>
        <w:t>(10)</w:t>
      </w:r>
      <w:r>
        <w:rPr>
          <w:rtl/>
          <w:lang w:bidi="fa-IR"/>
        </w:rPr>
        <w:t xml:space="preserve"> أَنْ يَأْخُذُوا </w:t>
      </w:r>
      <w:r w:rsidRPr="00D10E3C">
        <w:rPr>
          <w:rStyle w:val="libFootnotenumChar"/>
          <w:rtl/>
        </w:rPr>
        <w:t>(11)</w:t>
      </w:r>
      <w:r>
        <w:rPr>
          <w:rtl/>
          <w:lang w:bidi="fa-IR"/>
        </w:rPr>
        <w:t xml:space="preserve"> ذلِكَ ، وَلِبُيُوتِ نِيرَانِهِمْ قُوَّامٌ </w:t>
      </w:r>
      <w:r w:rsidRPr="00D10E3C">
        <w:rPr>
          <w:rStyle w:val="libFootnotenumChar"/>
          <w:rtl/>
        </w:rPr>
        <w:t>(12)</w:t>
      </w:r>
      <w:r>
        <w:rPr>
          <w:rtl/>
          <w:lang w:bidi="fa-IR"/>
        </w:rPr>
        <w:t xml:space="preserve"> يَقُومُونَ عَلَيْهَا؟</w:t>
      </w:r>
    </w:p>
    <w:p w:rsidR="00744A1C" w:rsidRDefault="00744A1C" w:rsidP="00D10E3C">
      <w:pPr>
        <w:pStyle w:val="libLine"/>
        <w:rPr>
          <w:lang w:bidi="fa-IR"/>
        </w:rPr>
      </w:pPr>
      <w:r>
        <w:rPr>
          <w:rtl/>
          <w:lang w:bidi="fa-IR"/>
        </w:rPr>
        <w:t>____________________</w:t>
      </w:r>
    </w:p>
    <w:p w:rsidR="00744A1C" w:rsidRDefault="001E0F97" w:rsidP="00D10E3C">
      <w:pPr>
        <w:pStyle w:val="libFootnote0"/>
        <w:rPr>
          <w:lang w:bidi="fa-IR"/>
        </w:rPr>
      </w:pPr>
      <w:r>
        <w:rPr>
          <w:rFonts w:hint="cs"/>
          <w:rtl/>
          <w:lang w:bidi="fa-IR"/>
        </w:rPr>
        <w:t xml:space="preserve">= </w:t>
      </w:r>
      <w:r w:rsidR="00744A1C">
        <w:rPr>
          <w:rtl/>
          <w:lang w:bidi="fa-IR"/>
        </w:rPr>
        <w:t>الإعطاء جائزاً لم يكن الأخذ أيضاً جائزاً. مع أنّه يمكن المناقشة فيه أيضاً ، ويمكن أن يكون الضمير في « له » راجعاً إلى المهدي ويقرأ « يقبضها » بصيغة الإفعال. ويحتمل على بعد أن يكون المراد بالثواب في الموضعين الثواب الا</w:t>
      </w:r>
      <w:r>
        <w:rPr>
          <w:rFonts w:hint="cs"/>
          <w:rtl/>
          <w:lang w:bidi="fa-IR"/>
        </w:rPr>
        <w:t>ُ</w:t>
      </w:r>
      <w:r w:rsidR="00744A1C">
        <w:rPr>
          <w:rtl/>
          <w:lang w:bidi="fa-IR"/>
        </w:rPr>
        <w:t>خروي ، فالتقييد بالثواب أخيراً للاحتراز عن الرشوة ».</w:t>
      </w:r>
    </w:p>
    <w:p w:rsidR="00744A1C" w:rsidRDefault="00D10E3C" w:rsidP="00D10E3C">
      <w:pPr>
        <w:pStyle w:val="libFootnote0"/>
        <w:rPr>
          <w:lang w:bidi="fa-IR"/>
        </w:rPr>
      </w:pPr>
      <w:r>
        <w:rPr>
          <w:rtl/>
          <w:lang w:bidi="fa-IR"/>
        </w:rPr>
        <w:t>(1).</w:t>
      </w:r>
      <w:r w:rsidR="00744A1C">
        <w:rPr>
          <w:rtl/>
          <w:lang w:bidi="fa-IR"/>
        </w:rPr>
        <w:t xml:space="preserve"> في « جن » وحاشية « جت » </w:t>
      </w:r>
      <w:r w:rsidR="00744A1C" w:rsidRPr="001E0F97">
        <w:rPr>
          <w:rtl/>
        </w:rPr>
        <w:t>والوافي والتهذيب :</w:t>
      </w:r>
      <w:r w:rsidR="00744A1C">
        <w:rPr>
          <w:rtl/>
          <w:lang w:bidi="fa-IR"/>
        </w:rPr>
        <w:t xml:space="preserve"> « كانت ».</w:t>
      </w:r>
    </w:p>
    <w:p w:rsidR="00744A1C" w:rsidRDefault="00E378DD" w:rsidP="00E378DD">
      <w:pPr>
        <w:pStyle w:val="libFootnote0"/>
        <w:rPr>
          <w:lang w:bidi="fa-IR"/>
        </w:rPr>
      </w:pPr>
      <w:r>
        <w:rPr>
          <w:rtl/>
          <w:lang w:bidi="fa-IR"/>
        </w:rPr>
        <w:t>(2).</w:t>
      </w:r>
      <w:r w:rsidR="00744A1C">
        <w:rPr>
          <w:rtl/>
          <w:lang w:bidi="fa-IR"/>
        </w:rPr>
        <w:t xml:space="preserve"> في « جت » : « الثواب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379 ، ح 1111 ، معلّقاً عن سهل بن زياد </w:t>
      </w:r>
      <w:r w:rsidR="001E0F97">
        <w:rPr>
          <w:rFonts w:hint="cs"/>
          <w:rtl/>
          <w:lang w:bidi="fa-IR"/>
        </w:rPr>
        <w:t>.</w:t>
      </w:r>
      <w:r w:rsidR="00744A1C" w:rsidRPr="00C24F9C">
        <w:rPr>
          <w:rStyle w:val="libFootnoteBoldChar"/>
          <w:rtl/>
        </w:rPr>
        <w:t>الوافي</w:t>
      </w:r>
      <w:r w:rsidR="00744A1C">
        <w:rPr>
          <w:rtl/>
          <w:lang w:bidi="fa-IR"/>
        </w:rPr>
        <w:t xml:space="preserve"> ، ج 17 ، ص 367 ، ح 17433 ؛ </w:t>
      </w:r>
      <w:r w:rsidR="00744A1C" w:rsidRPr="00C24F9C">
        <w:rPr>
          <w:rStyle w:val="libFootnoteBoldChar"/>
          <w:rtl/>
        </w:rPr>
        <w:t>الوسائل</w:t>
      </w:r>
      <w:r w:rsidR="00744A1C">
        <w:rPr>
          <w:rtl/>
          <w:lang w:bidi="fa-IR"/>
        </w:rPr>
        <w:t xml:space="preserve"> ، ج 17 ، ص 292 ، ح 22561.</w:t>
      </w:r>
    </w:p>
    <w:p w:rsidR="00744A1C" w:rsidRDefault="00E378DD" w:rsidP="00E378DD">
      <w:pPr>
        <w:pStyle w:val="libFootnote0"/>
        <w:rPr>
          <w:lang w:bidi="fa-IR"/>
        </w:rPr>
      </w:pPr>
      <w:r>
        <w:rPr>
          <w:rtl/>
          <w:lang w:bidi="fa-IR"/>
        </w:rPr>
        <w:t>(4).</w:t>
      </w:r>
      <w:r w:rsidR="00744A1C">
        <w:rPr>
          <w:rtl/>
          <w:lang w:bidi="fa-IR"/>
        </w:rPr>
        <w:t xml:space="preserve"> في « ط ، ى ، بح ، بس ، جد » : - « بن زياد ».</w:t>
      </w:r>
    </w:p>
    <w:p w:rsidR="00744A1C" w:rsidRDefault="00744A1C" w:rsidP="00D10E3C">
      <w:pPr>
        <w:pStyle w:val="libFootnote0"/>
        <w:rPr>
          <w:lang w:bidi="fa-IR"/>
        </w:rPr>
      </w:pPr>
      <w:r>
        <w:rPr>
          <w:rtl/>
          <w:lang w:bidi="fa-IR"/>
        </w:rPr>
        <w:t>ثمّ إنّ السند معلّق على سابقه. ويروي عن سهل بن زياد ، عدّة من أصحابنا.</w:t>
      </w:r>
    </w:p>
    <w:p w:rsidR="00744A1C" w:rsidRDefault="00E378DD" w:rsidP="00E378DD">
      <w:pPr>
        <w:pStyle w:val="libFootnote0"/>
        <w:rPr>
          <w:lang w:bidi="fa-IR"/>
        </w:rPr>
      </w:pPr>
      <w:r>
        <w:rPr>
          <w:rtl/>
          <w:lang w:bidi="fa-IR"/>
        </w:rPr>
        <w:t>(5).</w:t>
      </w:r>
      <w:r w:rsidR="00744A1C">
        <w:rPr>
          <w:rtl/>
          <w:lang w:bidi="fa-IR"/>
        </w:rPr>
        <w:t xml:space="preserve"> في « بف » : - « له ».</w:t>
      </w:r>
    </w:p>
    <w:p w:rsidR="00744A1C" w:rsidRDefault="00E378DD" w:rsidP="00E378DD">
      <w:pPr>
        <w:pStyle w:val="libFootnote0"/>
        <w:rPr>
          <w:lang w:bidi="fa-IR"/>
        </w:rPr>
      </w:pPr>
      <w:r>
        <w:rPr>
          <w:rtl/>
          <w:lang w:bidi="fa-IR"/>
        </w:rPr>
        <w:t>(6).</w:t>
      </w:r>
      <w:r w:rsidR="00744A1C">
        <w:rPr>
          <w:rtl/>
          <w:lang w:bidi="fa-IR"/>
        </w:rPr>
        <w:t xml:space="preserve"> في « ط ، ى ، بس ، جد » وحاشية « جت » : « عبيد الله ». وفي « ط » : « عبيد ».</w:t>
      </w:r>
    </w:p>
    <w:p w:rsidR="00744A1C" w:rsidRDefault="00E378DD" w:rsidP="00E378DD">
      <w:pPr>
        <w:pStyle w:val="libFootnote0"/>
        <w:rPr>
          <w:lang w:bidi="fa-IR"/>
        </w:rPr>
      </w:pPr>
      <w:r>
        <w:rPr>
          <w:rtl/>
          <w:lang w:bidi="fa-IR"/>
        </w:rPr>
        <w:t>(7).</w:t>
      </w:r>
      <w:r w:rsidR="00744A1C">
        <w:rPr>
          <w:rtl/>
          <w:lang w:bidi="fa-IR"/>
        </w:rPr>
        <w:t xml:space="preserve"> في « ط ، ى ، بح ، بخ ، جت ، جد » </w:t>
      </w:r>
      <w:r w:rsidR="00744A1C" w:rsidRPr="00C33E47">
        <w:rPr>
          <w:rtl/>
        </w:rPr>
        <w:t>والوافي والوسائل : «</w:t>
      </w:r>
      <w:r w:rsidR="00744A1C">
        <w:rPr>
          <w:rtl/>
          <w:lang w:bidi="fa-IR"/>
        </w:rPr>
        <w:t xml:space="preserve"> يهدي ».</w:t>
      </w:r>
    </w:p>
    <w:p w:rsidR="00744A1C" w:rsidRDefault="00E378DD" w:rsidP="00886AC1">
      <w:pPr>
        <w:pStyle w:val="libFootnote0"/>
        <w:rPr>
          <w:lang w:bidi="fa-IR"/>
        </w:rPr>
      </w:pPr>
      <w:r>
        <w:rPr>
          <w:rtl/>
          <w:lang w:bidi="fa-IR"/>
        </w:rPr>
        <w:t>(8).</w:t>
      </w:r>
      <w:r w:rsidR="00744A1C">
        <w:rPr>
          <w:rtl/>
          <w:lang w:bidi="fa-IR"/>
        </w:rPr>
        <w:t xml:space="preserve"> « المجوس » : هم القائلون بالأصلين ، يسمّون أحدهما النور وبالفارسيّة يزدان ، والآخر الظلمة وبالفارسيّة أهرمن ، يزعمون أنّ الخير والنفع والصلاح من النور ، والشرّ والضرّ والفساد من الظلمة. وعن ابن سيده : « هو معرّب ، أصله : مِنْج كُوش ، وكان رجلاً صغير الا</w:t>
      </w:r>
      <w:r w:rsidR="00886AC1">
        <w:rPr>
          <w:rFonts w:hint="cs"/>
          <w:rtl/>
          <w:lang w:bidi="fa-IR"/>
        </w:rPr>
        <w:t>ُ</w:t>
      </w:r>
      <w:r w:rsidR="00744A1C">
        <w:rPr>
          <w:rtl/>
          <w:lang w:bidi="fa-IR"/>
        </w:rPr>
        <w:t xml:space="preserve">ذنين ، كان أوّل من دان بدين المجوس ودعا الناس إليه ، فعرّبته العرب فقال : مجوس ، ونزل القرآن به ». راجع : </w:t>
      </w:r>
      <w:r w:rsidR="00744A1C" w:rsidRPr="00886AC1">
        <w:rPr>
          <w:rStyle w:val="libFootnoteBoldChar"/>
          <w:rtl/>
        </w:rPr>
        <w:t>الملل والنحل</w:t>
      </w:r>
      <w:r w:rsidR="00744A1C">
        <w:rPr>
          <w:rtl/>
          <w:lang w:bidi="fa-IR"/>
        </w:rPr>
        <w:t xml:space="preserve"> للشهرستاني ، ج 1 ، ص 232 وما بعدها ؛ </w:t>
      </w:r>
      <w:r w:rsidR="00744A1C" w:rsidRPr="00877682">
        <w:rPr>
          <w:rStyle w:val="libFootnoteBoldChar"/>
          <w:rtl/>
        </w:rPr>
        <w:t>لسان العرب</w:t>
      </w:r>
      <w:r w:rsidR="00744A1C">
        <w:rPr>
          <w:rtl/>
          <w:lang w:bidi="fa-IR"/>
        </w:rPr>
        <w:t xml:space="preserve"> ، ج 6 ، ص 215 ( مجس ).</w:t>
      </w:r>
      <w:r w:rsidR="00886AC1">
        <w:rPr>
          <w:rFonts w:hint="cs"/>
          <w:rtl/>
          <w:lang w:bidi="fa-IR"/>
        </w:rPr>
        <w:t xml:space="preserve">                                   </w:t>
      </w:r>
      <w:r>
        <w:rPr>
          <w:rtl/>
          <w:lang w:bidi="fa-IR"/>
        </w:rPr>
        <w:t>(9).</w:t>
      </w:r>
      <w:r w:rsidR="00744A1C">
        <w:rPr>
          <w:rtl/>
          <w:lang w:bidi="fa-IR"/>
        </w:rPr>
        <w:t xml:space="preserve"> في « بف » : « فهو ».</w:t>
      </w:r>
    </w:p>
    <w:p w:rsidR="00744A1C" w:rsidRDefault="00E378DD" w:rsidP="001D599B">
      <w:pPr>
        <w:pStyle w:val="libFootnote0"/>
        <w:rPr>
          <w:lang w:bidi="fa-IR"/>
        </w:rPr>
      </w:pPr>
      <w:r>
        <w:rPr>
          <w:rtl/>
          <w:lang w:bidi="fa-IR"/>
        </w:rPr>
        <w:t>(10).</w:t>
      </w:r>
      <w:r w:rsidR="00744A1C">
        <w:rPr>
          <w:rtl/>
          <w:lang w:bidi="fa-IR"/>
        </w:rPr>
        <w:t xml:space="preserve"> في </w:t>
      </w:r>
      <w:r w:rsidR="00744A1C" w:rsidRPr="00C24F9C">
        <w:rPr>
          <w:rStyle w:val="libFootnoteBoldChar"/>
          <w:rtl/>
        </w:rPr>
        <w:t>المرآة</w:t>
      </w:r>
      <w:r w:rsidR="00744A1C">
        <w:rPr>
          <w:rtl/>
          <w:lang w:bidi="fa-IR"/>
        </w:rPr>
        <w:t xml:space="preserve"> : « قوله : فهل لأرباب القرى ، السؤال إمّا عن جواز الأخذ منهم قهراً أو برضاهم ، فعلى الأوّل عدم اليأس ؛ لعدم عملهم يومئذٍ بشرائط الذمّة ، وعلى الثاني لعلّه مبنيّ على أنّه يجوز أخذ أموالهم على وجه يرضون به ، وإن كان ذلك الوجه فاسداً كما في الربا. والتقييد بقوله : ولبيوت نيرانهم ، على الأوّل مؤيّد لعدم الجواز ، وعلى الثاني للجواز. وربما يحمل الخبر على عدم العلم بكونه ممّا ا</w:t>
      </w:r>
      <w:r w:rsidR="001D599B">
        <w:rPr>
          <w:rFonts w:hint="cs"/>
          <w:rtl/>
          <w:lang w:bidi="fa-IR"/>
        </w:rPr>
        <w:t>ُ</w:t>
      </w:r>
      <w:r w:rsidR="00744A1C">
        <w:rPr>
          <w:rtl/>
          <w:lang w:bidi="fa-IR"/>
        </w:rPr>
        <w:t>هدي إلى تلك البيوت ، بل يظنّ ذلك ».</w:t>
      </w:r>
      <w:r w:rsidR="001D599B">
        <w:rPr>
          <w:rFonts w:hint="cs"/>
          <w:rtl/>
          <w:lang w:bidi="fa-IR"/>
        </w:rPr>
        <w:t xml:space="preserve">  </w:t>
      </w:r>
      <w:r>
        <w:rPr>
          <w:rtl/>
          <w:lang w:bidi="fa-IR"/>
        </w:rPr>
        <w:t>(11).</w:t>
      </w:r>
      <w:r w:rsidR="00744A1C">
        <w:rPr>
          <w:rtl/>
          <w:lang w:bidi="fa-IR"/>
        </w:rPr>
        <w:t xml:space="preserve"> في « ط » : « بأن يأخذوا ».</w:t>
      </w:r>
    </w:p>
    <w:p w:rsidR="00744A1C" w:rsidRDefault="00E378DD" w:rsidP="00E378DD">
      <w:pPr>
        <w:pStyle w:val="libFootnote0"/>
        <w:rPr>
          <w:lang w:bidi="fa-IR"/>
        </w:rPr>
      </w:pPr>
      <w:r>
        <w:rPr>
          <w:rtl/>
          <w:lang w:bidi="fa-IR"/>
        </w:rPr>
        <w:t>(12).</w:t>
      </w:r>
      <w:r w:rsidR="00744A1C">
        <w:rPr>
          <w:rtl/>
          <w:lang w:bidi="fa-IR"/>
        </w:rPr>
        <w:t xml:space="preserve"> في </w:t>
      </w:r>
      <w:r w:rsidR="00744A1C" w:rsidRPr="00633038">
        <w:rPr>
          <w:rtl/>
        </w:rPr>
        <w:t>التهذيب</w:t>
      </w:r>
      <w:r w:rsidR="00744A1C">
        <w:rPr>
          <w:rtl/>
          <w:lang w:bidi="fa-IR"/>
        </w:rPr>
        <w:t xml:space="preserve"> : « قوم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 « لِيَأْخُذْهُ </w:t>
      </w:r>
      <w:r w:rsidRPr="00D10E3C">
        <w:rPr>
          <w:rStyle w:val="libFootnotenumChar"/>
          <w:rtl/>
        </w:rPr>
        <w:t>(1)</w:t>
      </w:r>
      <w:r>
        <w:rPr>
          <w:rtl/>
          <w:lang w:bidi="fa-IR"/>
        </w:rPr>
        <w:t xml:space="preserve"> صَاحِبُ </w:t>
      </w:r>
      <w:r w:rsidRPr="00D10E3C">
        <w:rPr>
          <w:rStyle w:val="libFootnotenumChar"/>
          <w:rtl/>
        </w:rPr>
        <w:t>(2)</w:t>
      </w:r>
      <w:r>
        <w:rPr>
          <w:rtl/>
          <w:lang w:bidi="fa-IR"/>
        </w:rPr>
        <w:t xml:space="preserve"> الْقُرى ، لَيْسَ بِهِ بَأْسٌ ». </w:t>
      </w:r>
      <w:r w:rsidRPr="00D10E3C">
        <w:rPr>
          <w:rStyle w:val="libFootnotenumChar"/>
          <w:rtl/>
        </w:rPr>
        <w:t>(3)</w:t>
      </w:r>
    </w:p>
    <w:p w:rsidR="00144FA6" w:rsidRDefault="00744A1C" w:rsidP="00744A1C">
      <w:pPr>
        <w:pStyle w:val="libNormal"/>
        <w:rPr>
          <w:rtl/>
          <w:lang w:bidi="fa-IR"/>
        </w:rPr>
      </w:pPr>
      <w:r>
        <w:rPr>
          <w:rtl/>
          <w:lang w:bidi="fa-IR"/>
        </w:rPr>
        <w:t xml:space="preserve">8653 / 6. مُحَمَّدُ بْنُ يَحْيى ، عَمَّنْ حَدَّثَهُ ، عَنْ يَحْيَى </w:t>
      </w:r>
      <w:r w:rsidRPr="00D10E3C">
        <w:rPr>
          <w:rStyle w:val="libFootnotenumChar"/>
          <w:rtl/>
        </w:rPr>
        <w:t>(4)</w:t>
      </w:r>
      <w:r>
        <w:rPr>
          <w:rtl/>
          <w:lang w:bidi="fa-IR"/>
        </w:rPr>
        <w:t xml:space="preserve"> بْنِ الْمُبَارَكِ ، عَنْ عَبْدِ اللهِ بْنِ جَبَلَةَ ، عَنْ إِسْحَاقَ بْنِ عَمَّارٍ ، قَالَ :</w:t>
      </w:r>
    </w:p>
    <w:p w:rsidR="00744A1C" w:rsidRDefault="00744A1C" w:rsidP="00744A1C">
      <w:pPr>
        <w:pStyle w:val="libNormal"/>
        <w:rPr>
          <w:lang w:bidi="fa-IR"/>
        </w:rPr>
      </w:pPr>
      <w:r>
        <w:rPr>
          <w:rtl/>
          <w:lang w:bidi="fa-IR"/>
        </w:rPr>
        <w:t xml:space="preserve">قُلْتُ لَهُ : الرَّجُلُ الْفَقِيرُ يُهْدِي إِلَيَّ الْهَدِيَّةَ ، يَتَعَرَّضُ </w:t>
      </w:r>
      <w:r w:rsidRPr="00D10E3C">
        <w:rPr>
          <w:rStyle w:val="libFootnotenumChar"/>
          <w:rtl/>
        </w:rPr>
        <w:t>(5)</w:t>
      </w:r>
      <w:r>
        <w:rPr>
          <w:rtl/>
          <w:lang w:bidi="fa-IR"/>
        </w:rPr>
        <w:t xml:space="preserve"> لِمَا </w:t>
      </w:r>
      <w:r w:rsidRPr="00D10E3C">
        <w:rPr>
          <w:rStyle w:val="libFootnotenumChar"/>
          <w:rtl/>
        </w:rPr>
        <w:t>(6)</w:t>
      </w:r>
      <w:r>
        <w:rPr>
          <w:rtl/>
          <w:lang w:bidi="fa-IR"/>
        </w:rPr>
        <w:t xml:space="preserve"> عِنْدِي </w:t>
      </w:r>
      <w:r w:rsidRPr="00D10E3C">
        <w:rPr>
          <w:rStyle w:val="libFootnotenumChar"/>
          <w:rtl/>
        </w:rPr>
        <w:t>(7)</w:t>
      </w:r>
      <w:r>
        <w:rPr>
          <w:rtl/>
          <w:lang w:bidi="fa-IR"/>
        </w:rPr>
        <w:t xml:space="preserve"> ، فَآخُذُهَا وَلَا‌ أُعْطِيهِ شَيْئاً ، أَيَحِلُّ </w:t>
      </w:r>
      <w:r w:rsidRPr="00D10E3C">
        <w:rPr>
          <w:rStyle w:val="libFootnotenumChar"/>
          <w:rtl/>
        </w:rPr>
        <w:t>(8)</w:t>
      </w:r>
      <w:r>
        <w:rPr>
          <w:rtl/>
          <w:lang w:bidi="fa-IR"/>
        </w:rPr>
        <w:t xml:space="preserve"> لِي؟</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بح ، بس ، جد » </w:t>
      </w:r>
      <w:r w:rsidR="00744A1C" w:rsidRPr="00633038">
        <w:rPr>
          <w:rtl/>
        </w:rPr>
        <w:t>والتهذيب :</w:t>
      </w:r>
      <w:r w:rsidR="00744A1C">
        <w:rPr>
          <w:rtl/>
          <w:lang w:bidi="fa-IR"/>
        </w:rPr>
        <w:t xml:space="preserve"> « ليأخذ ». وفي « بخ ، جن » : « ليأخذوا ».</w:t>
      </w:r>
    </w:p>
    <w:p w:rsidR="00744A1C" w:rsidRDefault="00E378DD" w:rsidP="00E378DD">
      <w:pPr>
        <w:pStyle w:val="libFootnote0"/>
        <w:rPr>
          <w:lang w:bidi="fa-IR"/>
        </w:rPr>
      </w:pPr>
      <w:r>
        <w:rPr>
          <w:rtl/>
          <w:lang w:bidi="fa-IR"/>
        </w:rPr>
        <w:t>(2).</w:t>
      </w:r>
      <w:r w:rsidR="00744A1C">
        <w:rPr>
          <w:rtl/>
          <w:lang w:bidi="fa-IR"/>
        </w:rPr>
        <w:t xml:space="preserve"> في « ط » : « أصحاب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6 ، ص 378 ، ح 1109 ، معلّقاً عن الكليني ، عن عدّة من أصحابنا ، عن سهل بن زياد. </w:t>
      </w:r>
      <w:r w:rsidR="00744A1C" w:rsidRPr="00C24F9C">
        <w:rPr>
          <w:rStyle w:val="libFootnoteBoldChar"/>
          <w:rtl/>
        </w:rPr>
        <w:t>الفقيه</w:t>
      </w:r>
      <w:r w:rsidR="00744A1C">
        <w:rPr>
          <w:rtl/>
          <w:lang w:bidi="fa-IR"/>
        </w:rPr>
        <w:t xml:space="preserve"> ، ج 3 ، ص 301 ، ح 4082 ، وفيه : « وروى محمّد بن إسماعيل بن بزيع ، عن الرضا </w:t>
      </w:r>
      <w:r w:rsidR="0061079A" w:rsidRPr="0061079A">
        <w:rPr>
          <w:rStyle w:val="libFootnoteAlaemChar"/>
          <w:rtl/>
        </w:rPr>
        <w:t>عليه‌السلام</w:t>
      </w:r>
      <w:r w:rsidR="00D10E3C">
        <w:rPr>
          <w:rtl/>
          <w:lang w:bidi="fa-IR"/>
        </w:rPr>
        <w:t xml:space="preserve"> </w:t>
      </w:r>
      <w:r w:rsidR="00744A1C">
        <w:rPr>
          <w:rtl/>
          <w:lang w:bidi="fa-IR"/>
        </w:rPr>
        <w:t xml:space="preserve">، قال : سألته عن مسألة كتب بها إليّ محمّد بن عبد الله القمّي الأشعري فقال : لنا ضياع ... » مع اختلاف يسير </w:t>
      </w:r>
      <w:r w:rsidR="00633038">
        <w:rPr>
          <w:rFonts w:hint="cs"/>
          <w:rtl/>
          <w:lang w:bidi="fa-IR"/>
        </w:rPr>
        <w:t>.</w:t>
      </w:r>
      <w:r w:rsidR="00744A1C" w:rsidRPr="00C24F9C">
        <w:rPr>
          <w:rStyle w:val="libFootnoteBoldChar"/>
          <w:rtl/>
        </w:rPr>
        <w:t>الوافي</w:t>
      </w:r>
      <w:r w:rsidR="00744A1C">
        <w:rPr>
          <w:rtl/>
          <w:lang w:bidi="fa-IR"/>
        </w:rPr>
        <w:t xml:space="preserve"> ، ج 17 ، ص 367 ، ح 17434 ؛ </w:t>
      </w:r>
      <w:r w:rsidR="00744A1C" w:rsidRPr="00C24F9C">
        <w:rPr>
          <w:rStyle w:val="libFootnoteBoldChar"/>
          <w:rtl/>
        </w:rPr>
        <w:t>الوسائل</w:t>
      </w:r>
      <w:r w:rsidR="00744A1C">
        <w:rPr>
          <w:rtl/>
          <w:lang w:bidi="fa-IR"/>
        </w:rPr>
        <w:t xml:space="preserve"> ، ج 17 ، ص 291 ، ح 22557.</w:t>
      </w:r>
    </w:p>
    <w:p w:rsidR="00744A1C" w:rsidRDefault="00E378DD" w:rsidP="00E378DD">
      <w:pPr>
        <w:pStyle w:val="libFootnote0"/>
        <w:rPr>
          <w:lang w:bidi="fa-IR"/>
        </w:rPr>
      </w:pPr>
      <w:r>
        <w:rPr>
          <w:rtl/>
          <w:lang w:bidi="fa-IR"/>
        </w:rPr>
        <w:t>(4).</w:t>
      </w:r>
      <w:r w:rsidR="00744A1C">
        <w:rPr>
          <w:rtl/>
          <w:lang w:bidi="fa-IR"/>
        </w:rPr>
        <w:t xml:space="preserve"> في </w:t>
      </w:r>
      <w:r w:rsidR="00744A1C" w:rsidRPr="00633038">
        <w:rPr>
          <w:rtl/>
        </w:rPr>
        <w:t>التهذيب :</w:t>
      </w:r>
      <w:r w:rsidR="00744A1C">
        <w:rPr>
          <w:rtl/>
          <w:lang w:bidi="fa-IR"/>
        </w:rPr>
        <w:t xml:space="preserve"> - « يحيى ».</w:t>
      </w:r>
    </w:p>
    <w:p w:rsidR="00744A1C" w:rsidRDefault="00E378DD" w:rsidP="00E378DD">
      <w:pPr>
        <w:pStyle w:val="libFootnote0"/>
        <w:rPr>
          <w:lang w:bidi="fa-IR"/>
        </w:rPr>
      </w:pPr>
      <w:r>
        <w:rPr>
          <w:rtl/>
          <w:lang w:bidi="fa-IR"/>
        </w:rPr>
        <w:t>(5).</w:t>
      </w:r>
      <w:r w:rsidR="00744A1C">
        <w:rPr>
          <w:rtl/>
          <w:lang w:bidi="fa-IR"/>
        </w:rPr>
        <w:t xml:space="preserve"> في « ط » : « متعرّضاً ». و « يتعرّض » أي يتصدّى ويطلب. راجع : </w:t>
      </w:r>
      <w:r w:rsidR="00744A1C" w:rsidRPr="00E978C3">
        <w:rPr>
          <w:rStyle w:val="libFootnoteBoldChar"/>
          <w:rtl/>
        </w:rPr>
        <w:t>المصباح المنير</w:t>
      </w:r>
      <w:r w:rsidR="00794BCA">
        <w:rPr>
          <w:rtl/>
          <w:lang w:bidi="fa-IR"/>
        </w:rPr>
        <w:t xml:space="preserve"> ، ص 404 ( عرض</w:t>
      </w:r>
      <w:r w:rsidR="00744A1C">
        <w:rPr>
          <w:rtl/>
          <w:lang w:bidi="fa-IR"/>
        </w:rPr>
        <w:t>).</w:t>
      </w:r>
    </w:p>
    <w:p w:rsidR="00744A1C" w:rsidRDefault="00E378DD" w:rsidP="00E378DD">
      <w:pPr>
        <w:pStyle w:val="libFootnote0"/>
        <w:rPr>
          <w:lang w:bidi="fa-IR"/>
        </w:rPr>
      </w:pPr>
      <w:r>
        <w:rPr>
          <w:rtl/>
          <w:lang w:bidi="fa-IR"/>
        </w:rPr>
        <w:t>(6).</w:t>
      </w:r>
      <w:r w:rsidR="00744A1C">
        <w:rPr>
          <w:rtl/>
          <w:lang w:bidi="fa-IR"/>
        </w:rPr>
        <w:t xml:space="preserve"> ف</w:t>
      </w:r>
      <w:r w:rsidR="00744A1C" w:rsidRPr="00633038">
        <w:rPr>
          <w:rtl/>
        </w:rPr>
        <w:t xml:space="preserve">ي التهذيب </w:t>
      </w:r>
      <w:r w:rsidR="00744A1C">
        <w:rPr>
          <w:rtl/>
          <w:lang w:bidi="fa-IR"/>
        </w:rPr>
        <w:t>: « لها ».</w:t>
      </w:r>
    </w:p>
    <w:p w:rsidR="00744A1C" w:rsidRDefault="00E378DD" w:rsidP="00E378DD">
      <w:pPr>
        <w:pStyle w:val="libFootnote0"/>
        <w:rPr>
          <w:lang w:bidi="fa-IR"/>
        </w:rPr>
      </w:pPr>
      <w:r>
        <w:rPr>
          <w:rtl/>
          <w:lang w:bidi="fa-IR"/>
        </w:rPr>
        <w:t>(7).</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يتعرّض لما عندي ؛ قال الشيخ في </w:t>
      </w:r>
      <w:r w:rsidR="00744A1C" w:rsidRPr="00633038">
        <w:rPr>
          <w:rStyle w:val="libFootnoteBoldChar"/>
          <w:rtl/>
        </w:rPr>
        <w:t>الخلاف</w:t>
      </w:r>
      <w:r w:rsidR="00744A1C">
        <w:rPr>
          <w:rtl/>
          <w:lang w:bidi="fa-IR"/>
        </w:rPr>
        <w:t xml:space="preserve"> : الهبة على ثلاثة أقسام : هبة لمن فوقه ، وهبة لمن دونه ، وهبة لمن هو مثله ، وكلّها يقتضي الثواب عندنا. انتهى.</w:t>
      </w:r>
    </w:p>
    <w:p w:rsidR="00744A1C" w:rsidRDefault="00744A1C" w:rsidP="00D10E3C">
      <w:pPr>
        <w:pStyle w:val="libFootnote0"/>
        <w:rPr>
          <w:lang w:bidi="fa-IR"/>
        </w:rPr>
      </w:pPr>
      <w:r>
        <w:rPr>
          <w:rtl/>
          <w:lang w:bidi="fa-IR"/>
        </w:rPr>
        <w:t>ومراده بالاقتضاء دخول الثواب في مفهوم الهبة في الجملة ؛ لأنّ المعاملات قسمان : أحدها ما يقتضي العوض بمفهومه ، كالبيع والإجارة ، وثانيهما ما لا يقتضيه ، كالصدقة والوقف ، والهبة من القسم الأوّل ، لكن لا بحيث يلزم من ترك العوض نفي ماهيّتها أصلاً كالبيع ، بل عدم لزومها وتماميّتها ، فإذا وهب أو أهدى شيئاً لغير ذي رحم ، فيتوقّع عوضاً بحيث إذا لم يحصل ما يتوقّعه كأنّه لم يتمّ عرضه ، فله أن يفسخ ويرجع في هبة.</w:t>
      </w:r>
    </w:p>
    <w:p w:rsidR="00744A1C" w:rsidRDefault="00744A1C" w:rsidP="00D10E3C">
      <w:pPr>
        <w:pStyle w:val="libFootnote0"/>
        <w:rPr>
          <w:lang w:bidi="fa-IR"/>
        </w:rPr>
      </w:pPr>
      <w:r>
        <w:rPr>
          <w:rtl/>
          <w:lang w:bidi="fa-IR"/>
        </w:rPr>
        <w:t xml:space="preserve">وقال الشيخ أيضاً في </w:t>
      </w:r>
      <w:r w:rsidRPr="00633038">
        <w:rPr>
          <w:rStyle w:val="libFootnoteBoldChar"/>
          <w:rtl/>
        </w:rPr>
        <w:t>المبسوط</w:t>
      </w:r>
      <w:r>
        <w:rPr>
          <w:rtl/>
          <w:lang w:bidi="fa-IR"/>
        </w:rPr>
        <w:t xml:space="preserve"> : الهبة تقتضي الثواب على ما يقتضيه مذهبنا ، ثمّ قال : فمن قال : لا يقتضي الثواب قال : إذا وهب لم يحلّ ، إمّا أن يطلق ، أو يشترط الثواب ، فإن أطلق فإنّها يلتزم بالتسليم ، وإن أثابه الموهوب له كان ذلك ابتداء هبة ، ولا يكون بدلاً حقيقة ، ولا يتعلّق إحدى الهبتين بالا</w:t>
      </w:r>
      <w:r w:rsidR="005C6B0A">
        <w:rPr>
          <w:rFonts w:hint="cs"/>
          <w:rtl/>
          <w:lang w:bidi="fa-IR"/>
        </w:rPr>
        <w:t>ُ</w:t>
      </w:r>
      <w:r>
        <w:rPr>
          <w:rtl/>
          <w:lang w:bidi="fa-IR"/>
        </w:rPr>
        <w:t xml:space="preserve">خرى ، فإن أطلق فأيّ ثواب يقتضي؟ قيل : يثيبه حتّى يرضى الواهب ، وقيل : قدر قيمة الهبة أو مثلها ، وقيل : قدر ما يكون ثواباً لمثله في العادة ، قال : وهذا هو المعتمد عليه ، إلى آخر ما قال. وفي المختلف : شرط الثواب لا يقتضي إيجابه عيناً ، بل إمّا إيجابه ، أو ردّ العين ، ولو كانت العين تالفة كان لها ردّ قيمتها ». وراجع : </w:t>
      </w:r>
      <w:r w:rsidRPr="005C6B0A">
        <w:rPr>
          <w:rStyle w:val="libFootnoteBoldChar"/>
          <w:rtl/>
        </w:rPr>
        <w:t>الخلاف</w:t>
      </w:r>
      <w:r>
        <w:rPr>
          <w:rtl/>
          <w:lang w:bidi="fa-IR"/>
        </w:rPr>
        <w:t xml:space="preserve"> ، ج 3 ، ص 568 ، المسألة 13 ؛ </w:t>
      </w:r>
      <w:r w:rsidRPr="005C6B0A">
        <w:rPr>
          <w:rStyle w:val="libFootnoteBoldChar"/>
          <w:rtl/>
        </w:rPr>
        <w:t>المبسوط</w:t>
      </w:r>
      <w:r>
        <w:rPr>
          <w:rtl/>
          <w:lang w:bidi="fa-IR"/>
        </w:rPr>
        <w:t xml:space="preserve"> ، ج 3 ، ص 310 ؛ </w:t>
      </w:r>
      <w:r w:rsidRPr="00877682">
        <w:rPr>
          <w:rStyle w:val="libFootnoteBoldChar"/>
          <w:rtl/>
        </w:rPr>
        <w:t>مختلف الشيعة</w:t>
      </w:r>
      <w:r>
        <w:rPr>
          <w:rtl/>
          <w:lang w:bidi="fa-IR"/>
        </w:rPr>
        <w:t xml:space="preserve"> ، ج 6 ، ص 279.</w:t>
      </w:r>
    </w:p>
    <w:p w:rsidR="00744A1C" w:rsidRDefault="00E378DD" w:rsidP="00E378DD">
      <w:pPr>
        <w:pStyle w:val="libFootnote0"/>
        <w:rPr>
          <w:lang w:bidi="fa-IR"/>
        </w:rPr>
      </w:pPr>
      <w:r>
        <w:rPr>
          <w:rtl/>
          <w:lang w:bidi="fa-IR"/>
        </w:rPr>
        <w:t>(8).</w:t>
      </w:r>
      <w:r w:rsidR="00744A1C">
        <w:rPr>
          <w:rtl/>
          <w:lang w:bidi="fa-IR"/>
        </w:rPr>
        <w:t xml:space="preserve"> في « بس » : « أتحلّ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قَالَ : « نَعَمْ ، هِيَ لَكَ حَلَالٌ ، وَلكِنْ لَاتَدَعْ أَنْ تُعْطِيَهُ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8654 / 7. عِدَّة مِنْ أَصْحَابِنَا ، عَنْ أَحْمَدَ بْنِ مُحَمَّدِ بْنِ خَالِدٍ ، عَنْ إِسْمَاعِيلَ بْنِ مِهْرَانَ ، عَنْ سَيْفِ بْنِ عَمِيرَةَ ، عَنْ عَمْرِو بْنِ شِمْرٍ ، عَنْ جَابِرٍ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كَانَ رَسُولُ اللهِ </w:t>
      </w:r>
      <w:r w:rsidR="0017097C" w:rsidRPr="0017097C">
        <w:rPr>
          <w:rStyle w:val="libAlaemChar"/>
          <w:rtl/>
        </w:rPr>
        <w:t>صلى‌الله‌عليه‌وآله</w:t>
      </w:r>
      <w:r w:rsidR="00D10E3C">
        <w:rPr>
          <w:rtl/>
          <w:lang w:bidi="fa-IR"/>
        </w:rPr>
        <w:t xml:space="preserve"> </w:t>
      </w:r>
      <w:r>
        <w:rPr>
          <w:rtl/>
          <w:lang w:bidi="fa-IR"/>
        </w:rPr>
        <w:t xml:space="preserve">يَأْكُلُ الْهَدِيَّةَ ، وَلَا يَأْكُلُ </w:t>
      </w:r>
      <w:r w:rsidRPr="00D10E3C">
        <w:rPr>
          <w:rStyle w:val="libFootnotenumChar"/>
          <w:rtl/>
        </w:rPr>
        <w:t>(3)</w:t>
      </w:r>
      <w:r>
        <w:rPr>
          <w:rtl/>
          <w:lang w:bidi="fa-IR"/>
        </w:rPr>
        <w:t xml:space="preserve"> الصَّدَقَةَ ، وَيَقُولُ : تَهَادَوْا ، فَإِنَّ الْهَدِيَّةَ تَسُلُّ </w:t>
      </w:r>
      <w:r w:rsidRPr="00D10E3C">
        <w:rPr>
          <w:rStyle w:val="libFootnotenumChar"/>
          <w:rtl/>
        </w:rPr>
        <w:t>(4)</w:t>
      </w:r>
      <w:r>
        <w:rPr>
          <w:rtl/>
          <w:lang w:bidi="fa-IR"/>
        </w:rPr>
        <w:t xml:space="preserve"> السَّخَائِمَ </w:t>
      </w:r>
      <w:r w:rsidRPr="00D10E3C">
        <w:rPr>
          <w:rStyle w:val="libFootnotenumChar"/>
          <w:rtl/>
        </w:rPr>
        <w:t>(5)</w:t>
      </w:r>
      <w:r>
        <w:rPr>
          <w:rtl/>
          <w:lang w:bidi="fa-IR"/>
        </w:rPr>
        <w:t xml:space="preserve"> ، وَتُجْلِي ضَغَائِنَ </w:t>
      </w:r>
      <w:r w:rsidRPr="00D10E3C">
        <w:rPr>
          <w:rStyle w:val="libFootnotenumChar"/>
          <w:rtl/>
        </w:rPr>
        <w:t>(6)</w:t>
      </w:r>
      <w:r>
        <w:rPr>
          <w:rtl/>
          <w:lang w:bidi="fa-IR"/>
        </w:rPr>
        <w:t xml:space="preserve"> الْعَدَاوَةِ وَالْأَحْقَادِ </w:t>
      </w:r>
      <w:r w:rsidRPr="00D10E3C">
        <w:rPr>
          <w:rStyle w:val="libFootnotenumChar"/>
          <w:rtl/>
        </w:rPr>
        <w:t>(7)</w:t>
      </w:r>
      <w:r>
        <w:rPr>
          <w:rtl/>
          <w:lang w:bidi="fa-IR"/>
        </w:rPr>
        <w:t xml:space="preserve"> ». </w:t>
      </w:r>
      <w:r w:rsidRPr="00D10E3C">
        <w:rPr>
          <w:rStyle w:val="libFootnotenumChar"/>
          <w:rtl/>
        </w:rPr>
        <w:t>(8)</w:t>
      </w:r>
    </w:p>
    <w:p w:rsidR="00144FA6" w:rsidRDefault="00744A1C" w:rsidP="00744A1C">
      <w:pPr>
        <w:pStyle w:val="libNormal"/>
        <w:rPr>
          <w:rtl/>
          <w:lang w:bidi="fa-IR"/>
        </w:rPr>
      </w:pPr>
      <w:r>
        <w:rPr>
          <w:rtl/>
          <w:lang w:bidi="fa-IR"/>
        </w:rPr>
        <w:t>8655 / 8. عَلِيُّ بْنُ إِبْرَاهِيمَ ، عَنْ أَبِيهِ ، عَنِ النَّوْفَلِيِّ ، عَنِ السَّكُونِيِّ :</w:t>
      </w:r>
    </w:p>
    <w:p w:rsidR="00144FA6" w:rsidRDefault="00744A1C" w:rsidP="00794BCA">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794BCA" w:rsidRPr="0017097C">
        <w:rPr>
          <w:rStyle w:val="libAlaemChar"/>
          <w:rtl/>
        </w:rPr>
        <w:t>صلى‌الله‌عليه‌وآله</w:t>
      </w:r>
      <w:r>
        <w:rPr>
          <w:rtl/>
          <w:lang w:bidi="fa-IR"/>
        </w:rPr>
        <w:t xml:space="preserve">: مِنْ تَكْرِمَةِ الرَّجُلِ لِأَخِيهِ الْمُسْلِمِ </w:t>
      </w:r>
      <w:r w:rsidRPr="00D10E3C">
        <w:rPr>
          <w:rStyle w:val="libFootnotenumChar"/>
          <w:rtl/>
        </w:rPr>
        <w:t>(9)</w:t>
      </w:r>
      <w:r>
        <w:rPr>
          <w:rtl/>
          <w:lang w:bidi="fa-IR"/>
        </w:rPr>
        <w:t xml:space="preserve"> أَنْ يَقْبَلَ تُحْفَتَهُ </w:t>
      </w:r>
      <w:r w:rsidRPr="00D10E3C">
        <w:rPr>
          <w:rStyle w:val="libFootnotenumChar"/>
          <w:rtl/>
        </w:rPr>
        <w:t>(10)</w:t>
      </w:r>
      <w:r>
        <w:rPr>
          <w:rtl/>
          <w:lang w:bidi="fa-IR"/>
        </w:rPr>
        <w:t xml:space="preserve"> ، وَيُتْحِفَهُ بِمَا عِنْدَهُ ، وَلَا يَتَكَلَّفَ لَهُ شَيْئاً ». </w:t>
      </w:r>
      <w:r w:rsidRPr="00D10E3C">
        <w:rPr>
          <w:rStyle w:val="libFootnotenumChar"/>
          <w:rtl/>
        </w:rPr>
        <w:t>(11)</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E97388">
        <w:rPr>
          <w:rtl/>
        </w:rPr>
        <w:t>المرآة : «</w:t>
      </w:r>
      <w:r w:rsidR="00744A1C">
        <w:rPr>
          <w:rtl/>
          <w:lang w:bidi="fa-IR"/>
        </w:rPr>
        <w:t xml:space="preserve"> ظاهره عدم وجوب العوض ، ويمكن حمله على عدم العلم بإرادة العوض ، أو على أنّ المراد أنّ الهديّة حلال والعوض واجب ، فعدم إعطاء العوض لا يصير سبباً لحرمة الهديّة وإن كان بعيداً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379 ، ح 1112 ، معلّقاً عن الكليني. </w:t>
      </w:r>
      <w:r w:rsidR="00744A1C" w:rsidRPr="00C24F9C">
        <w:rPr>
          <w:rStyle w:val="libFootnoteBoldChar"/>
          <w:rtl/>
        </w:rPr>
        <w:t>الفقيه</w:t>
      </w:r>
      <w:r w:rsidR="00744A1C">
        <w:rPr>
          <w:rtl/>
          <w:lang w:bidi="fa-IR"/>
        </w:rPr>
        <w:t xml:space="preserve"> ، ج 3 ، ص 301 ، ح 4081 ، معلّقاً عن إسحاق بن عمّار </w:t>
      </w:r>
      <w:r w:rsidR="00E97388">
        <w:rPr>
          <w:rFonts w:hint="cs"/>
          <w:rtl/>
          <w:lang w:bidi="fa-IR"/>
        </w:rPr>
        <w:t>.</w:t>
      </w:r>
      <w:r w:rsidR="00744A1C" w:rsidRPr="00C24F9C">
        <w:rPr>
          <w:rStyle w:val="libFootnoteBoldChar"/>
          <w:rtl/>
        </w:rPr>
        <w:t>الوافي</w:t>
      </w:r>
      <w:r w:rsidR="00744A1C">
        <w:rPr>
          <w:rtl/>
          <w:lang w:bidi="fa-IR"/>
        </w:rPr>
        <w:t xml:space="preserve"> ، ج 17 ، ص 368 ، ح 17436 ؛ </w:t>
      </w:r>
      <w:r w:rsidR="00744A1C" w:rsidRPr="00C24F9C">
        <w:rPr>
          <w:rStyle w:val="libFootnoteBoldChar"/>
          <w:rtl/>
        </w:rPr>
        <w:t>الوسائل</w:t>
      </w:r>
      <w:r w:rsidR="00744A1C">
        <w:rPr>
          <w:rtl/>
          <w:lang w:bidi="fa-IR"/>
        </w:rPr>
        <w:t xml:space="preserve"> ، ج 17 ، ص 293 ، ح 22562.</w:t>
      </w:r>
    </w:p>
    <w:p w:rsidR="00744A1C" w:rsidRDefault="00E378DD" w:rsidP="00E378DD">
      <w:pPr>
        <w:pStyle w:val="libFootnote0"/>
        <w:rPr>
          <w:lang w:bidi="fa-IR"/>
        </w:rPr>
      </w:pPr>
      <w:r>
        <w:rPr>
          <w:rtl/>
          <w:lang w:bidi="fa-IR"/>
        </w:rPr>
        <w:t>(3).</w:t>
      </w:r>
      <w:r w:rsidR="00744A1C">
        <w:rPr>
          <w:rtl/>
          <w:lang w:bidi="fa-IR"/>
        </w:rPr>
        <w:t xml:space="preserve"> في « بح » : « ولا يقبل ».</w:t>
      </w:r>
    </w:p>
    <w:p w:rsidR="00744A1C" w:rsidRDefault="00E378DD" w:rsidP="00E378DD">
      <w:pPr>
        <w:pStyle w:val="libFootnote0"/>
        <w:rPr>
          <w:lang w:bidi="fa-IR"/>
        </w:rPr>
      </w:pPr>
      <w:r>
        <w:rPr>
          <w:rtl/>
          <w:lang w:bidi="fa-IR"/>
        </w:rPr>
        <w:t>(4).</w:t>
      </w:r>
      <w:r w:rsidR="00744A1C">
        <w:rPr>
          <w:rtl/>
          <w:lang w:bidi="fa-IR"/>
        </w:rPr>
        <w:t xml:space="preserve"> السَّلُّ : انتزاعك الشي‌ء وإخراجه في رفق. </w:t>
      </w:r>
      <w:r w:rsidR="00744A1C" w:rsidRPr="008A57EB">
        <w:rPr>
          <w:rStyle w:val="libFootnoteBoldChar"/>
          <w:rtl/>
        </w:rPr>
        <w:t>القاموس المحيط</w:t>
      </w:r>
      <w:r w:rsidR="00744A1C">
        <w:rPr>
          <w:rtl/>
          <w:lang w:bidi="fa-IR"/>
        </w:rPr>
        <w:t xml:space="preserve"> ، ج 2 ، ص 1342 ( سلل ).</w:t>
      </w:r>
    </w:p>
    <w:p w:rsidR="00744A1C" w:rsidRDefault="00E378DD" w:rsidP="00E378DD">
      <w:pPr>
        <w:pStyle w:val="libFootnote0"/>
        <w:rPr>
          <w:lang w:bidi="fa-IR"/>
        </w:rPr>
      </w:pPr>
      <w:r>
        <w:rPr>
          <w:rtl/>
          <w:lang w:bidi="fa-IR"/>
        </w:rPr>
        <w:t>(5).</w:t>
      </w:r>
      <w:r w:rsidR="00744A1C">
        <w:rPr>
          <w:rtl/>
          <w:lang w:bidi="fa-IR"/>
        </w:rPr>
        <w:t xml:space="preserve"> « السخائم » : جمع السخيمة بمعنى الحِقد والضغينة والمَوْجِدة في النفس. راجع : </w:t>
      </w:r>
      <w:r w:rsidR="00744A1C" w:rsidRPr="00877682">
        <w:rPr>
          <w:rStyle w:val="libFootnoteBoldChar"/>
          <w:rtl/>
        </w:rPr>
        <w:t>لسان العرب</w:t>
      </w:r>
      <w:r w:rsidR="00744A1C">
        <w:rPr>
          <w:rtl/>
          <w:lang w:bidi="fa-IR"/>
        </w:rPr>
        <w:t xml:space="preserve"> ، ج 12 ، ص 282 ( سخم ).</w:t>
      </w:r>
    </w:p>
    <w:p w:rsidR="00744A1C" w:rsidRDefault="00E378DD" w:rsidP="00E378DD">
      <w:pPr>
        <w:pStyle w:val="libFootnote0"/>
        <w:rPr>
          <w:lang w:bidi="fa-IR"/>
        </w:rPr>
      </w:pPr>
      <w:r>
        <w:rPr>
          <w:rtl/>
          <w:lang w:bidi="fa-IR"/>
        </w:rPr>
        <w:t>(6).</w:t>
      </w:r>
      <w:r w:rsidR="00744A1C">
        <w:rPr>
          <w:rtl/>
          <w:lang w:bidi="fa-IR"/>
        </w:rPr>
        <w:t xml:space="preserve"> الضغائن : جمع الضغينة ، وهو الحقد والعداوة والبغضاء. راجع : </w:t>
      </w:r>
      <w:r w:rsidR="00744A1C" w:rsidRPr="00877682">
        <w:rPr>
          <w:rStyle w:val="libFootnoteBoldChar"/>
          <w:rtl/>
        </w:rPr>
        <w:t>النهاية</w:t>
      </w:r>
      <w:r w:rsidR="00744A1C">
        <w:rPr>
          <w:rtl/>
          <w:lang w:bidi="fa-IR"/>
        </w:rPr>
        <w:t xml:space="preserve"> ، ج 3 ، ص 91 ( ضغن ).</w:t>
      </w:r>
    </w:p>
    <w:p w:rsidR="00744A1C" w:rsidRDefault="00E378DD" w:rsidP="00E378DD">
      <w:pPr>
        <w:pStyle w:val="libFootnote0"/>
        <w:rPr>
          <w:lang w:bidi="fa-IR"/>
        </w:rPr>
      </w:pPr>
      <w:r>
        <w:rPr>
          <w:rtl/>
          <w:lang w:bidi="fa-IR"/>
        </w:rPr>
        <w:t>(7).</w:t>
      </w:r>
      <w:r w:rsidR="00744A1C">
        <w:rPr>
          <w:rtl/>
          <w:lang w:bidi="fa-IR"/>
        </w:rPr>
        <w:t xml:space="preserve"> الحقد : إمساك العداوة في القلب والتربّص لفرصتها. والحقد : الضغن ، والجمع : أحقاد وحقود. </w:t>
      </w:r>
      <w:r w:rsidR="00744A1C" w:rsidRPr="00877682">
        <w:rPr>
          <w:rStyle w:val="libFootnoteBoldChar"/>
          <w:rtl/>
        </w:rPr>
        <w:t>لسان العرب</w:t>
      </w:r>
      <w:r w:rsidR="00744A1C">
        <w:rPr>
          <w:rtl/>
          <w:lang w:bidi="fa-IR"/>
        </w:rPr>
        <w:t xml:space="preserve"> ، ج 3 ، ص 154 ( حقد ).</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الفقيه</w:t>
      </w:r>
      <w:r w:rsidR="00744A1C">
        <w:rPr>
          <w:rtl/>
          <w:lang w:bidi="fa-IR"/>
        </w:rPr>
        <w:t xml:space="preserve"> ، ج 3 ، ص 299 ، ح 4068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هكذا : « الهديّة تسلّ السخائم ». وراجع : </w:t>
      </w:r>
      <w:r w:rsidR="00744A1C" w:rsidRPr="00E97388">
        <w:rPr>
          <w:rStyle w:val="libFootnoteBoldChar"/>
          <w:rtl/>
        </w:rPr>
        <w:t>كمال الدين</w:t>
      </w:r>
      <w:r w:rsidR="00744A1C">
        <w:rPr>
          <w:rtl/>
          <w:lang w:bidi="fa-IR"/>
        </w:rPr>
        <w:t xml:space="preserve"> ، ص 164 ، ح 21 </w:t>
      </w:r>
      <w:r w:rsidR="00E97388">
        <w:rPr>
          <w:rFonts w:hint="cs"/>
          <w:rtl/>
          <w:lang w:bidi="fa-IR"/>
        </w:rPr>
        <w:t>.</w:t>
      </w:r>
      <w:r w:rsidR="00744A1C" w:rsidRPr="00C24F9C">
        <w:rPr>
          <w:rStyle w:val="libFootnoteBoldChar"/>
          <w:rtl/>
        </w:rPr>
        <w:t>الوافي</w:t>
      </w:r>
      <w:r w:rsidR="00744A1C">
        <w:rPr>
          <w:rtl/>
          <w:lang w:bidi="fa-IR"/>
        </w:rPr>
        <w:t xml:space="preserve"> ، ج 17 ، ص 369 ، ح 17437 ؛ </w:t>
      </w:r>
      <w:r w:rsidR="00744A1C" w:rsidRPr="00C24F9C">
        <w:rPr>
          <w:rStyle w:val="libFootnoteBoldChar"/>
          <w:rtl/>
        </w:rPr>
        <w:t>الوسائل</w:t>
      </w:r>
      <w:r w:rsidR="00744A1C">
        <w:rPr>
          <w:rtl/>
          <w:lang w:bidi="fa-IR"/>
        </w:rPr>
        <w:t xml:space="preserve"> ، ج 17 ، ص 287 ، ح 22540.</w:t>
      </w:r>
    </w:p>
    <w:p w:rsidR="00744A1C" w:rsidRDefault="00E378DD" w:rsidP="00E378DD">
      <w:pPr>
        <w:pStyle w:val="libFootnote0"/>
        <w:rPr>
          <w:lang w:bidi="fa-IR"/>
        </w:rPr>
      </w:pPr>
      <w:r>
        <w:rPr>
          <w:rtl/>
          <w:lang w:bidi="fa-IR"/>
        </w:rPr>
        <w:t>(9).</w:t>
      </w:r>
      <w:r w:rsidR="00744A1C">
        <w:rPr>
          <w:rtl/>
          <w:lang w:bidi="fa-IR"/>
        </w:rPr>
        <w:t xml:space="preserve"> في </w:t>
      </w:r>
      <w:r w:rsidR="00744A1C" w:rsidRPr="00AB14B0">
        <w:rPr>
          <w:rtl/>
        </w:rPr>
        <w:t>الكافي</w:t>
      </w:r>
      <w:r w:rsidR="00744A1C">
        <w:rPr>
          <w:rtl/>
          <w:lang w:bidi="fa-IR"/>
        </w:rPr>
        <w:t xml:space="preserve"> ، ح 11590 </w:t>
      </w:r>
      <w:r w:rsidR="00744A1C" w:rsidRPr="00AB14B0">
        <w:rPr>
          <w:rtl/>
        </w:rPr>
        <w:t>والمحاسن والجعفريّات</w:t>
      </w:r>
      <w:r w:rsidR="00744A1C">
        <w:rPr>
          <w:rtl/>
          <w:lang w:bidi="fa-IR"/>
        </w:rPr>
        <w:t xml:space="preserve"> : - « المسلم ».</w:t>
      </w:r>
    </w:p>
    <w:p w:rsidR="00744A1C" w:rsidRDefault="00E378DD" w:rsidP="00E378DD">
      <w:pPr>
        <w:pStyle w:val="libFootnote0"/>
        <w:rPr>
          <w:lang w:bidi="fa-IR"/>
        </w:rPr>
      </w:pPr>
      <w:r>
        <w:rPr>
          <w:rtl/>
          <w:lang w:bidi="fa-IR"/>
        </w:rPr>
        <w:t>(10).</w:t>
      </w:r>
      <w:r w:rsidR="00744A1C">
        <w:rPr>
          <w:rtl/>
          <w:lang w:bidi="fa-IR"/>
        </w:rPr>
        <w:t xml:space="preserve"> في </w:t>
      </w:r>
      <w:r w:rsidR="00744A1C" w:rsidRPr="00877682">
        <w:rPr>
          <w:rStyle w:val="libFootnoteBoldChar"/>
          <w:rtl/>
        </w:rPr>
        <w:t>الجعفريّات</w:t>
      </w:r>
      <w:r w:rsidR="00744A1C">
        <w:rPr>
          <w:rtl/>
          <w:lang w:bidi="fa-IR"/>
        </w:rPr>
        <w:t xml:space="preserve"> : + « أو صحفته ».</w:t>
      </w:r>
    </w:p>
    <w:p w:rsidR="00144FA6" w:rsidRDefault="00E378DD" w:rsidP="00E378DD">
      <w:pPr>
        <w:pStyle w:val="libFootnote0"/>
        <w:rPr>
          <w:rtl/>
          <w:lang w:bidi="fa-IR"/>
        </w:rPr>
      </w:pPr>
      <w:r>
        <w:rPr>
          <w:rtl/>
          <w:lang w:bidi="fa-IR"/>
        </w:rPr>
        <w:t>(11).</w:t>
      </w:r>
      <w:r w:rsidR="00744A1C">
        <w:rPr>
          <w:rtl/>
          <w:lang w:bidi="fa-IR"/>
        </w:rPr>
        <w:t xml:space="preserve"> </w:t>
      </w:r>
      <w:r w:rsidR="00744A1C" w:rsidRPr="0061079A">
        <w:rPr>
          <w:rStyle w:val="libFootnoteBoldChar"/>
          <w:rtl/>
        </w:rPr>
        <w:t>الكافي</w:t>
      </w:r>
      <w:r w:rsidR="00744A1C">
        <w:rPr>
          <w:rtl/>
          <w:lang w:bidi="fa-IR"/>
        </w:rPr>
        <w:t xml:space="preserve"> ، كتاب الأطعمة ، باب ا</w:t>
      </w:r>
      <w:r w:rsidR="00DF39C9">
        <w:rPr>
          <w:rFonts w:hint="cs"/>
          <w:rtl/>
          <w:lang w:bidi="fa-IR"/>
        </w:rPr>
        <w:t>ُ</w:t>
      </w:r>
      <w:r w:rsidR="00744A1C">
        <w:rPr>
          <w:rtl/>
          <w:lang w:bidi="fa-IR"/>
        </w:rPr>
        <w:t xml:space="preserve">نس الرجل في منزل أخيه ، ح 11590. وفي </w:t>
      </w:r>
      <w:r w:rsidR="00744A1C" w:rsidRPr="003A7143">
        <w:rPr>
          <w:rStyle w:val="libFootnoteBoldChar"/>
          <w:rtl/>
        </w:rPr>
        <w:t>المحاسن</w:t>
      </w:r>
      <w:r w:rsidR="00744A1C">
        <w:rPr>
          <w:rtl/>
          <w:lang w:bidi="fa-IR"/>
        </w:rPr>
        <w:t xml:space="preserve"> ، ص 415 ، كتاب المآكل ،</w:t>
      </w:r>
      <w:r w:rsidR="00DF39C9">
        <w:rPr>
          <w:rFonts w:hint="cs"/>
          <w:rtl/>
          <w:lang w:bidi="fa-IR"/>
        </w:rPr>
        <w:t xml:space="preserve"> </w:t>
      </w:r>
      <w:r w:rsidR="00AB14B0">
        <w:rPr>
          <w:rFonts w:hint="cs"/>
          <w:rtl/>
          <w:lang w:bidi="fa-IR"/>
        </w:rPr>
        <w:t>=</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8656 / 9. وَبِإِسْنَادِهِ ، قَالَ </w:t>
      </w:r>
      <w:r w:rsidRPr="00D10E3C">
        <w:rPr>
          <w:rStyle w:val="libFootnotenumChar"/>
          <w:rtl/>
        </w:rPr>
        <w:t>(1)</w:t>
      </w:r>
      <w:r>
        <w:rPr>
          <w:rtl/>
          <w:lang w:bidi="fa-IR"/>
        </w:rPr>
        <w:t xml:space="preserve"> :</w:t>
      </w:r>
    </w:p>
    <w:p w:rsidR="00144FA6" w:rsidRDefault="00744A1C" w:rsidP="00744A1C">
      <w:pPr>
        <w:pStyle w:val="libNormal"/>
        <w:rPr>
          <w:rtl/>
          <w:lang w:bidi="fa-IR"/>
        </w:rPr>
      </w:pPr>
      <w:r>
        <w:rPr>
          <w:rtl/>
          <w:lang w:bidi="fa-IR"/>
        </w:rPr>
        <w:t xml:space="preserve">« قَالَ رَسُولُ اللهِ </w:t>
      </w:r>
      <w:r w:rsidR="00AE01C7" w:rsidRPr="00AE01C7">
        <w:rPr>
          <w:rStyle w:val="libFootnoteAlaemChar"/>
          <w:rtl/>
        </w:rPr>
        <w:t>صلى‌الله‌عليه‌وآله</w:t>
      </w:r>
      <w:r w:rsidR="00D10E3C">
        <w:rPr>
          <w:rtl/>
          <w:lang w:bidi="fa-IR"/>
        </w:rPr>
        <w:t xml:space="preserve"> </w:t>
      </w:r>
      <w:r>
        <w:rPr>
          <w:rtl/>
          <w:lang w:bidi="fa-IR"/>
        </w:rPr>
        <w:t xml:space="preserve">: لَوْ أُهْدِيَ </w:t>
      </w:r>
      <w:r w:rsidRPr="00D10E3C">
        <w:rPr>
          <w:rStyle w:val="libFootnotenumChar"/>
          <w:rtl/>
        </w:rPr>
        <w:t>(2)</w:t>
      </w:r>
      <w:r>
        <w:rPr>
          <w:rtl/>
          <w:lang w:bidi="fa-IR"/>
        </w:rPr>
        <w:t xml:space="preserve"> إِلَيَّ كُرَاعٌ </w:t>
      </w:r>
      <w:r w:rsidRPr="00D10E3C">
        <w:rPr>
          <w:rStyle w:val="libFootnotenumChar"/>
          <w:rtl/>
        </w:rPr>
        <w:t>(3)</w:t>
      </w:r>
      <w:r>
        <w:rPr>
          <w:rtl/>
          <w:lang w:bidi="fa-IR"/>
        </w:rPr>
        <w:t xml:space="preserve"> لَقَبِلْتُهُ ». </w:t>
      </w:r>
      <w:r w:rsidRPr="00D10E3C">
        <w:rPr>
          <w:rStyle w:val="libFootnotenumChar"/>
          <w:rtl/>
        </w:rPr>
        <w:t>(4)</w:t>
      </w:r>
    </w:p>
    <w:p w:rsidR="00144FA6" w:rsidRDefault="00744A1C" w:rsidP="00744A1C">
      <w:pPr>
        <w:pStyle w:val="libNormal"/>
        <w:rPr>
          <w:rtl/>
          <w:lang w:bidi="fa-IR"/>
        </w:rPr>
      </w:pPr>
      <w:r>
        <w:rPr>
          <w:rtl/>
          <w:lang w:bidi="fa-IR"/>
        </w:rPr>
        <w:t xml:space="preserve">8657 / 10. عَلِيُّ بْنُ مُحَمَّدٍ ، عَنْ أَحْمَدَ بْنِ مُحَمَّدٍ ، عَنْ بَعْضِ أَصْحَابِهِ ، عَنْ أَبَانٍ ، عَنْ إِبْرَاهِيمَ بْنِ عُمَرَ ، عَنْ مُحَمَّدِ بْنِ مُسْلِمٍ ، قَالَ </w:t>
      </w:r>
      <w:r w:rsidRPr="00D10E3C">
        <w:rPr>
          <w:rStyle w:val="libFootnotenumChar"/>
          <w:rtl/>
        </w:rPr>
        <w:t>(5)</w:t>
      </w:r>
      <w:r>
        <w:rPr>
          <w:rtl/>
          <w:lang w:bidi="fa-IR"/>
        </w:rPr>
        <w:t xml:space="preserve"> :</w:t>
      </w:r>
    </w:p>
    <w:p w:rsidR="00144FA6" w:rsidRDefault="00744A1C" w:rsidP="00DF39C9">
      <w:pPr>
        <w:pStyle w:val="libNormal"/>
        <w:rPr>
          <w:rtl/>
          <w:lang w:bidi="fa-IR"/>
        </w:rPr>
      </w:pPr>
      <w:r>
        <w:rPr>
          <w:rtl/>
          <w:lang w:bidi="fa-IR"/>
        </w:rPr>
        <w:t xml:space="preserve">جُلَسَاءُ الرَّجُلِ </w:t>
      </w:r>
      <w:r w:rsidRPr="00D10E3C">
        <w:rPr>
          <w:rStyle w:val="libFootnotenumChar"/>
          <w:rtl/>
        </w:rPr>
        <w:t>(6)</w:t>
      </w:r>
      <w:r>
        <w:rPr>
          <w:rtl/>
          <w:lang w:bidi="fa-IR"/>
        </w:rPr>
        <w:t xml:space="preserve"> شُرَكَاؤُهُ فِي الْهَدِيَّةِ </w:t>
      </w:r>
      <w:r w:rsidRPr="00D10E3C">
        <w:rPr>
          <w:rStyle w:val="libFootnotenumChar"/>
          <w:rtl/>
        </w:rPr>
        <w:t>(7)</w:t>
      </w:r>
      <w:r w:rsidR="00DF39C9">
        <w:rPr>
          <w:rFonts w:hint="cs"/>
          <w:rtl/>
          <w:lang w:bidi="fa-IR"/>
        </w:rPr>
        <w:t>.</w:t>
      </w:r>
      <w:r w:rsidRPr="00D10E3C">
        <w:rPr>
          <w:rStyle w:val="libFootnotenumChar"/>
          <w:rtl/>
        </w:rPr>
        <w:t>(8)</w:t>
      </w:r>
    </w:p>
    <w:p w:rsidR="00144FA6" w:rsidRDefault="00744A1C" w:rsidP="00744A1C">
      <w:pPr>
        <w:pStyle w:val="libNormal"/>
        <w:rPr>
          <w:rtl/>
          <w:lang w:bidi="fa-IR"/>
        </w:rPr>
      </w:pPr>
      <w:r>
        <w:rPr>
          <w:rtl/>
          <w:lang w:bidi="fa-IR"/>
        </w:rPr>
        <w:t xml:space="preserve">8658 / 11. أَحْمَدُ بْنُ مُحَمَّدٍ </w:t>
      </w:r>
      <w:r w:rsidRPr="00D10E3C">
        <w:rPr>
          <w:rStyle w:val="libFootnotenumChar"/>
          <w:rtl/>
        </w:rPr>
        <w:t>(9)</w:t>
      </w:r>
      <w:r>
        <w:rPr>
          <w:rtl/>
          <w:lang w:bidi="fa-IR"/>
        </w:rPr>
        <w:t xml:space="preserve"> ، عَنْ عُثْمَانَ بْنِ عِيسى رَفَعَهُ ، قَالَ :</w:t>
      </w:r>
    </w:p>
    <w:p w:rsidR="00744A1C" w:rsidRDefault="00744A1C" w:rsidP="00744A1C">
      <w:pPr>
        <w:pStyle w:val="libNormal"/>
        <w:rPr>
          <w:lang w:bidi="fa-IR"/>
        </w:rPr>
      </w:pPr>
      <w:r>
        <w:rPr>
          <w:rtl/>
          <w:lang w:bidi="fa-IR"/>
        </w:rPr>
        <w:t xml:space="preserve">إِذَا أُهْدِيَ إِلَى الرَّجُلِ </w:t>
      </w:r>
      <w:r w:rsidRPr="00D10E3C">
        <w:rPr>
          <w:rStyle w:val="libFootnotenumChar"/>
          <w:rtl/>
        </w:rPr>
        <w:t>(10)</w:t>
      </w:r>
      <w:r>
        <w:rPr>
          <w:rtl/>
          <w:lang w:bidi="fa-IR"/>
        </w:rPr>
        <w:t xml:space="preserve"> هَدِيَّةُ </w:t>
      </w:r>
      <w:r w:rsidRPr="00D10E3C">
        <w:rPr>
          <w:rStyle w:val="libFootnotenumChar"/>
          <w:rtl/>
        </w:rPr>
        <w:t>(11)</w:t>
      </w:r>
      <w:r>
        <w:rPr>
          <w:rtl/>
          <w:lang w:bidi="fa-IR"/>
        </w:rPr>
        <w:t xml:space="preserve"> طَعَامٍ وَعِنْدَهُ قَوْمٌ ، فَهُمْ شُرَكَاؤُهُ‌</w:t>
      </w:r>
    </w:p>
    <w:p w:rsidR="00744A1C" w:rsidRDefault="00744A1C" w:rsidP="00D10E3C">
      <w:pPr>
        <w:pStyle w:val="libLine"/>
        <w:rPr>
          <w:lang w:bidi="fa-IR"/>
        </w:rPr>
      </w:pPr>
      <w:r>
        <w:rPr>
          <w:rtl/>
          <w:lang w:bidi="fa-IR"/>
        </w:rPr>
        <w:t>____________________</w:t>
      </w:r>
    </w:p>
    <w:p w:rsidR="00744A1C" w:rsidRDefault="00DF39C9" w:rsidP="00D10E3C">
      <w:pPr>
        <w:pStyle w:val="libFootnote0"/>
        <w:rPr>
          <w:lang w:bidi="fa-IR"/>
        </w:rPr>
      </w:pPr>
      <w:r>
        <w:rPr>
          <w:rFonts w:hint="cs"/>
          <w:rtl/>
          <w:lang w:bidi="fa-IR"/>
        </w:rPr>
        <w:t xml:space="preserve">= </w:t>
      </w:r>
      <w:r w:rsidR="00744A1C">
        <w:rPr>
          <w:rtl/>
          <w:lang w:bidi="fa-IR"/>
        </w:rPr>
        <w:t xml:space="preserve">ح 168 ، عن النوفلي ، عن السكوني ، بإسناده عن رسول الله </w:t>
      </w:r>
      <w:r w:rsidR="004D054E" w:rsidRPr="00794BCA">
        <w:rPr>
          <w:rStyle w:val="libFootnoteAlaemChar"/>
          <w:rtl/>
        </w:rPr>
        <w:t>صلى‌الله‌عليه‌وآله</w:t>
      </w:r>
      <w:r w:rsidR="00D10E3C">
        <w:rPr>
          <w:rtl/>
          <w:lang w:bidi="fa-IR"/>
        </w:rPr>
        <w:t xml:space="preserve"> </w:t>
      </w:r>
      <w:r w:rsidR="00744A1C">
        <w:rPr>
          <w:rtl/>
          <w:lang w:bidi="fa-IR"/>
        </w:rPr>
        <w:t xml:space="preserve">، وفيهما مع زيادة في آخره. </w:t>
      </w:r>
      <w:r w:rsidR="00744A1C" w:rsidRPr="00877682">
        <w:rPr>
          <w:rStyle w:val="libFootnoteBoldChar"/>
          <w:rtl/>
        </w:rPr>
        <w:t>الجعفريّات</w:t>
      </w:r>
      <w:r w:rsidR="00744A1C">
        <w:rPr>
          <w:rtl/>
          <w:lang w:bidi="fa-IR"/>
        </w:rPr>
        <w:t xml:space="preserve"> ، ص 193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النبيّ </w:t>
      </w:r>
      <w:r w:rsidR="00F90866" w:rsidRPr="00F90866">
        <w:rPr>
          <w:rStyle w:val="libFootnoteAlaemChar"/>
          <w:rtl/>
        </w:rPr>
        <w:t>صلى‌الله‌عليه‌وآله</w:t>
      </w:r>
      <w:r w:rsidR="00744A1C">
        <w:rPr>
          <w:rtl/>
          <w:lang w:bidi="fa-IR"/>
        </w:rPr>
        <w:t xml:space="preserve"> </w:t>
      </w:r>
      <w:r w:rsidR="001E590C">
        <w:rPr>
          <w:rFonts w:hint="cs"/>
          <w:rtl/>
          <w:lang w:bidi="fa-IR"/>
        </w:rPr>
        <w:t>.</w:t>
      </w:r>
      <w:r w:rsidR="00744A1C" w:rsidRPr="00C24F9C">
        <w:rPr>
          <w:rStyle w:val="libFootnoteBoldChar"/>
          <w:rtl/>
        </w:rPr>
        <w:t>الوافي</w:t>
      </w:r>
      <w:r w:rsidR="00744A1C">
        <w:rPr>
          <w:rtl/>
          <w:lang w:bidi="fa-IR"/>
        </w:rPr>
        <w:t xml:space="preserve"> ، ج 17 ، ص 369 ، ح 17438 ؛ </w:t>
      </w:r>
      <w:r w:rsidR="00744A1C" w:rsidRPr="00C24F9C">
        <w:rPr>
          <w:rStyle w:val="libFootnoteBoldChar"/>
          <w:rtl/>
        </w:rPr>
        <w:t>الوسائل</w:t>
      </w:r>
      <w:r w:rsidR="00744A1C">
        <w:rPr>
          <w:rtl/>
          <w:lang w:bidi="fa-IR"/>
        </w:rPr>
        <w:t xml:space="preserve"> ، ج 17 ، ص 286 ، ح 22536.</w:t>
      </w:r>
    </w:p>
    <w:p w:rsidR="00744A1C" w:rsidRDefault="00D10E3C" w:rsidP="00D10E3C">
      <w:pPr>
        <w:pStyle w:val="libFootnote0"/>
        <w:rPr>
          <w:lang w:bidi="fa-IR"/>
        </w:rPr>
      </w:pPr>
      <w:r>
        <w:rPr>
          <w:rtl/>
          <w:lang w:bidi="fa-IR"/>
        </w:rPr>
        <w:t>(1).</w:t>
      </w:r>
      <w:r w:rsidR="00744A1C">
        <w:rPr>
          <w:rtl/>
          <w:lang w:bidi="fa-IR"/>
        </w:rPr>
        <w:t xml:space="preserve"> الضمير المستتر في « قال » راجع إلى أبي عبد الله </w:t>
      </w:r>
      <w:r w:rsidR="0061079A" w:rsidRPr="0061079A">
        <w:rPr>
          <w:rStyle w:val="libFootnoteAlaemChar"/>
          <w:rtl/>
        </w:rPr>
        <w:t>عليه‌السلام</w:t>
      </w:r>
      <w:r>
        <w:rPr>
          <w:rtl/>
          <w:lang w:bidi="fa-IR"/>
        </w:rPr>
        <w:t xml:space="preserve"> </w:t>
      </w:r>
      <w:r w:rsidR="00744A1C">
        <w:rPr>
          <w:rtl/>
          <w:lang w:bidi="fa-IR"/>
        </w:rPr>
        <w:t xml:space="preserve">، والمراد من « بإسناده » هو السند المتقدّم إليه </w:t>
      </w:r>
      <w:r w:rsidR="0061079A" w:rsidRPr="0061079A">
        <w:rPr>
          <w:rStyle w:val="libFootnoteAlaemChar"/>
          <w:rtl/>
        </w:rPr>
        <w:t>عليه‌السلام</w:t>
      </w:r>
      <w:r w:rsidR="00744A1C">
        <w:rPr>
          <w:rtl/>
          <w:lang w:bidi="fa-IR"/>
        </w:rPr>
        <w:t xml:space="preserve"> .</w:t>
      </w:r>
    </w:p>
    <w:p w:rsidR="00744A1C" w:rsidRDefault="00E378DD" w:rsidP="00E378DD">
      <w:pPr>
        <w:pStyle w:val="libFootnote0"/>
        <w:rPr>
          <w:lang w:bidi="fa-IR"/>
        </w:rPr>
      </w:pPr>
      <w:r>
        <w:rPr>
          <w:rtl/>
          <w:lang w:bidi="fa-IR"/>
        </w:rPr>
        <w:t>(2).</w:t>
      </w:r>
      <w:r w:rsidR="00744A1C">
        <w:rPr>
          <w:rtl/>
          <w:lang w:bidi="fa-IR"/>
        </w:rPr>
        <w:t xml:space="preserve"> في </w:t>
      </w:r>
      <w:r w:rsidR="00744A1C" w:rsidRPr="001E590C">
        <w:rPr>
          <w:rtl/>
        </w:rPr>
        <w:t>الجعفريّات ،</w:t>
      </w:r>
      <w:r w:rsidR="00744A1C">
        <w:rPr>
          <w:rtl/>
          <w:lang w:bidi="fa-IR"/>
        </w:rPr>
        <w:t xml:space="preserve"> ص 250 : « دعيت ».</w:t>
      </w:r>
    </w:p>
    <w:p w:rsidR="00744A1C" w:rsidRDefault="00E378DD" w:rsidP="00E378DD">
      <w:pPr>
        <w:pStyle w:val="libFootnote0"/>
        <w:rPr>
          <w:lang w:bidi="fa-IR"/>
        </w:rPr>
      </w:pPr>
      <w:r>
        <w:rPr>
          <w:rtl/>
          <w:lang w:bidi="fa-IR"/>
        </w:rPr>
        <w:t>(3).</w:t>
      </w:r>
      <w:r w:rsidR="00744A1C">
        <w:rPr>
          <w:rtl/>
          <w:lang w:bidi="fa-IR"/>
        </w:rPr>
        <w:t xml:space="preserve"> قد مضى معنى الكراع ذيل الحديث الثاني من هذا الباب.</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الفقيه</w:t>
      </w:r>
      <w:r w:rsidR="00744A1C">
        <w:rPr>
          <w:rtl/>
          <w:lang w:bidi="fa-IR"/>
        </w:rPr>
        <w:t xml:space="preserve"> ، ج 3 ، ص 362 ، ضمن الحديث الطويل 5762 ؛ و</w:t>
      </w:r>
      <w:r w:rsidR="00744A1C" w:rsidRPr="00877682">
        <w:rPr>
          <w:rStyle w:val="libFootnoteBoldChar"/>
          <w:rtl/>
        </w:rPr>
        <w:t>الجعفريّات</w:t>
      </w:r>
      <w:r w:rsidR="00744A1C">
        <w:rPr>
          <w:rtl/>
          <w:lang w:bidi="fa-IR"/>
        </w:rPr>
        <w:t xml:space="preserve"> ، ص 159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النبيّ </w:t>
      </w:r>
      <w:r w:rsidR="00E843EA" w:rsidRPr="00E843EA">
        <w:rPr>
          <w:rStyle w:val="libFootnoteAlaemChar"/>
          <w:rtl/>
        </w:rPr>
        <w:t>صلى‌الله‌عليه‌وآله</w:t>
      </w:r>
      <w:r w:rsidR="00D10E3C">
        <w:rPr>
          <w:rtl/>
          <w:lang w:bidi="fa-IR"/>
        </w:rPr>
        <w:t xml:space="preserve"> </w:t>
      </w:r>
      <w:r w:rsidR="00744A1C">
        <w:rPr>
          <w:rtl/>
          <w:lang w:bidi="fa-IR"/>
        </w:rPr>
        <w:t xml:space="preserve">، وفي الأخير مع زيادة في أوّله. وفيه ، ص 250 ، بسند آخر عن النبيّ </w:t>
      </w:r>
      <w:r w:rsidR="0061079A" w:rsidRPr="0061079A">
        <w:rPr>
          <w:rStyle w:val="libFootnoteAlaemChar"/>
          <w:rtl/>
        </w:rPr>
        <w:t>صلى‌الله‌عليه‌وآله</w:t>
      </w:r>
      <w:r w:rsidR="00744A1C">
        <w:rPr>
          <w:rtl/>
          <w:lang w:bidi="fa-IR"/>
        </w:rPr>
        <w:t xml:space="preserve"> . </w:t>
      </w:r>
      <w:r w:rsidR="00744A1C" w:rsidRPr="00211914">
        <w:rPr>
          <w:rStyle w:val="libFootnoteBoldChar"/>
          <w:rtl/>
        </w:rPr>
        <w:t>الاختصاص</w:t>
      </w:r>
      <w:r w:rsidR="00744A1C">
        <w:rPr>
          <w:rtl/>
          <w:lang w:bidi="fa-IR"/>
        </w:rPr>
        <w:t xml:space="preserve"> ، ص 54 ، ضمن الحديث الطويل ، بسند آخر عن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عن النبيّ </w:t>
      </w:r>
      <w:r w:rsidR="0061079A" w:rsidRPr="0061079A">
        <w:rPr>
          <w:rStyle w:val="libFootnoteAlaemChar"/>
          <w:rtl/>
        </w:rPr>
        <w:t>صلى‌الله‌عليه‌وآله</w:t>
      </w:r>
      <w:r w:rsidR="00744A1C">
        <w:rPr>
          <w:rtl/>
          <w:lang w:bidi="fa-IR"/>
        </w:rPr>
        <w:t xml:space="preserve"> . </w:t>
      </w:r>
      <w:r w:rsidR="00744A1C" w:rsidRPr="00C24F9C">
        <w:rPr>
          <w:rStyle w:val="libFootnoteBoldChar"/>
          <w:rtl/>
        </w:rPr>
        <w:t>الفقيه</w:t>
      </w:r>
      <w:r w:rsidR="00744A1C">
        <w:rPr>
          <w:rtl/>
          <w:lang w:bidi="fa-IR"/>
        </w:rPr>
        <w:t xml:space="preserve"> ، ج 3 ، ص 299 ، ح 4070 ، مرسلاً عن رسول الله </w:t>
      </w:r>
      <w:r w:rsidR="00024D6D" w:rsidRPr="00024D6D">
        <w:rPr>
          <w:rStyle w:val="libFootnoteAlaemChar"/>
          <w:rtl/>
        </w:rPr>
        <w:t>صلى‌الله‌عليه‌وآله</w:t>
      </w:r>
      <w:r w:rsidR="00D10E3C">
        <w:rPr>
          <w:rtl/>
          <w:lang w:bidi="fa-IR"/>
        </w:rPr>
        <w:t xml:space="preserve"> </w:t>
      </w:r>
      <w:r w:rsidR="00744A1C">
        <w:rPr>
          <w:rtl/>
          <w:lang w:bidi="fa-IR"/>
        </w:rPr>
        <w:t xml:space="preserve">، مع زيادة في أوّله </w:t>
      </w:r>
      <w:r w:rsidR="001E590C">
        <w:rPr>
          <w:rFonts w:hint="cs"/>
          <w:rtl/>
          <w:lang w:bidi="fa-IR"/>
        </w:rPr>
        <w:t>.</w:t>
      </w:r>
      <w:r w:rsidR="00744A1C" w:rsidRPr="00C24F9C">
        <w:rPr>
          <w:rStyle w:val="libFootnoteBoldChar"/>
          <w:rtl/>
        </w:rPr>
        <w:t>الوافي</w:t>
      </w:r>
      <w:r w:rsidR="00744A1C">
        <w:rPr>
          <w:rtl/>
          <w:lang w:bidi="fa-IR"/>
        </w:rPr>
        <w:t xml:space="preserve"> ، ج 17 ، ص 369 ، ح 17439 ؛ </w:t>
      </w:r>
      <w:r w:rsidR="00744A1C" w:rsidRPr="00C24F9C">
        <w:rPr>
          <w:rStyle w:val="libFootnoteBoldChar"/>
          <w:rtl/>
        </w:rPr>
        <w:t>الوسائل</w:t>
      </w:r>
      <w:r w:rsidR="00744A1C">
        <w:rPr>
          <w:rtl/>
          <w:lang w:bidi="fa-IR"/>
        </w:rPr>
        <w:t xml:space="preserve"> ، ج 17 ، ص 287 ، ح 22537 ؛ </w:t>
      </w:r>
      <w:r w:rsidR="00744A1C" w:rsidRPr="0061079A">
        <w:rPr>
          <w:rStyle w:val="libFootnoteBoldChar"/>
          <w:rtl/>
        </w:rPr>
        <w:t>البحار</w:t>
      </w:r>
      <w:r w:rsidR="00744A1C">
        <w:rPr>
          <w:rtl/>
          <w:lang w:bidi="fa-IR"/>
        </w:rPr>
        <w:t xml:space="preserve"> ، ج 16 ، ص 275 ، ح 113.</w:t>
      </w:r>
    </w:p>
    <w:tbl>
      <w:tblPr>
        <w:tblStyle w:val="TableGrid"/>
        <w:bidiVisual/>
        <w:tblW w:w="0" w:type="auto"/>
        <w:tblLook w:val="04A0" w:firstRow="1" w:lastRow="0" w:firstColumn="1" w:lastColumn="0" w:noHBand="0" w:noVBand="1"/>
      </w:tblPr>
      <w:tblGrid>
        <w:gridCol w:w="4006"/>
        <w:gridCol w:w="4006"/>
      </w:tblGrid>
      <w:tr w:rsidR="001E590C" w:rsidTr="001E590C">
        <w:tc>
          <w:tcPr>
            <w:tcW w:w="4006" w:type="dxa"/>
          </w:tcPr>
          <w:p w:rsidR="001E590C" w:rsidRPr="001E590C" w:rsidRDefault="001E590C" w:rsidP="001E590C">
            <w:pPr>
              <w:pStyle w:val="libFootnote0"/>
              <w:rPr>
                <w:rtl/>
                <w:lang w:bidi="fa-IR"/>
              </w:rPr>
            </w:pPr>
            <w:r>
              <w:rPr>
                <w:rtl/>
                <w:lang w:bidi="fa-IR"/>
              </w:rPr>
              <w:t xml:space="preserve">(5). في « ط ، بخ ، جت » </w:t>
            </w:r>
            <w:r w:rsidRPr="001E590C">
              <w:rPr>
                <w:rtl/>
              </w:rPr>
              <w:t>والوسائل :</w:t>
            </w:r>
            <w:r>
              <w:rPr>
                <w:rtl/>
                <w:lang w:bidi="fa-IR"/>
              </w:rPr>
              <w:t xml:space="preserve"> + « قال ».</w:t>
            </w:r>
          </w:p>
        </w:tc>
        <w:tc>
          <w:tcPr>
            <w:tcW w:w="4006" w:type="dxa"/>
          </w:tcPr>
          <w:p w:rsidR="001E590C" w:rsidRDefault="001E590C" w:rsidP="00E378DD">
            <w:pPr>
              <w:pStyle w:val="libFootnote0"/>
              <w:rPr>
                <w:rtl/>
                <w:lang w:bidi="fa-IR"/>
              </w:rPr>
            </w:pPr>
            <w:r>
              <w:rPr>
                <w:rtl/>
                <w:lang w:bidi="fa-IR"/>
              </w:rPr>
              <w:t>(6). في « ط » : « المرء ».</w:t>
            </w:r>
          </w:p>
        </w:tc>
      </w:tr>
    </w:tbl>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1E590C">
        <w:rPr>
          <w:rtl/>
          <w:lang w:bidi="fa-IR"/>
        </w:rPr>
        <w:t xml:space="preserve"> : « قال الوالد العل</w:t>
      </w:r>
      <w:r w:rsidR="001E590C">
        <w:rPr>
          <w:rFonts w:hint="cs"/>
          <w:rtl/>
          <w:lang w:bidi="fa-IR"/>
        </w:rPr>
        <w:t>ّ</w:t>
      </w:r>
      <w:r w:rsidR="001E590C">
        <w:rPr>
          <w:rtl/>
          <w:lang w:bidi="fa-IR"/>
        </w:rPr>
        <w:t>ا</w:t>
      </w:r>
      <w:r w:rsidR="00744A1C">
        <w:rPr>
          <w:rtl/>
          <w:lang w:bidi="fa-IR"/>
        </w:rPr>
        <w:t xml:space="preserve">مة قدّس الله روحه : أي يستحبّ له أن يعرض عليهم ليأكلوا ، ولو كان قليلاً لا يكفيهم فالظاهر تخصيص البعض بها. ويظهر من الخبر الثاني اختصاص ذلك بالمطعوم والمأكول. وقال في </w:t>
      </w:r>
      <w:r w:rsidR="00744A1C" w:rsidRPr="00877682">
        <w:rPr>
          <w:rStyle w:val="libFootnoteBoldChar"/>
          <w:rtl/>
        </w:rPr>
        <w:t>الدروس</w:t>
      </w:r>
      <w:r w:rsidR="00744A1C">
        <w:rPr>
          <w:rtl/>
          <w:lang w:bidi="fa-IR"/>
        </w:rPr>
        <w:t xml:space="preserve"> : يستحبّ المكافأة على الهديّة ومشاركة الجلساء فيها إذا كانت طعاماً ، فاكهة أو غيرها ». 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185 ، الدرس 237.</w:t>
      </w:r>
    </w:p>
    <w:p w:rsidR="00744A1C" w:rsidRDefault="00E378DD" w:rsidP="00E378DD">
      <w:pPr>
        <w:pStyle w:val="libFootnote0"/>
        <w:rPr>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6 ، ص 379 ، ح 1113 ، معلّقاً عن أحمد بن محمّد </w:t>
      </w:r>
      <w:r w:rsidR="00096E64">
        <w:rPr>
          <w:rFonts w:hint="cs"/>
          <w:rtl/>
          <w:lang w:bidi="fa-IR"/>
        </w:rPr>
        <w:t>.</w:t>
      </w:r>
      <w:r w:rsidR="00744A1C" w:rsidRPr="00C24F9C">
        <w:rPr>
          <w:rStyle w:val="libFootnoteBoldChar"/>
          <w:rtl/>
        </w:rPr>
        <w:t>الوافي</w:t>
      </w:r>
      <w:r w:rsidR="00744A1C">
        <w:rPr>
          <w:rtl/>
          <w:lang w:bidi="fa-IR"/>
        </w:rPr>
        <w:t xml:space="preserve"> ، ج 17 ، ص 369 ، ح 17440 ؛ </w:t>
      </w:r>
      <w:r w:rsidR="00744A1C" w:rsidRPr="00C24F9C">
        <w:rPr>
          <w:rStyle w:val="libFootnoteBoldChar"/>
          <w:rtl/>
        </w:rPr>
        <w:t>الوسائل</w:t>
      </w:r>
      <w:r w:rsidR="00744A1C">
        <w:rPr>
          <w:rtl/>
          <w:lang w:bidi="fa-IR"/>
        </w:rPr>
        <w:t xml:space="preserve"> ، ج 17 ، ص 293 ، ح 22564.</w:t>
      </w:r>
    </w:p>
    <w:p w:rsidR="00744A1C" w:rsidRDefault="00E378DD" w:rsidP="00E378DD">
      <w:pPr>
        <w:pStyle w:val="libFootnote0"/>
        <w:rPr>
          <w:lang w:bidi="fa-IR"/>
        </w:rPr>
      </w:pPr>
      <w:r>
        <w:rPr>
          <w:rtl/>
          <w:lang w:bidi="fa-IR"/>
        </w:rPr>
        <w:t>(9).</w:t>
      </w:r>
      <w:r w:rsidR="00744A1C">
        <w:rPr>
          <w:rtl/>
          <w:lang w:bidi="fa-IR"/>
        </w:rPr>
        <w:t xml:space="preserve"> السند معلّق على سابقه. ويروي عن أحمد بن محمّد ، عليّ بن محمّد.</w:t>
      </w:r>
    </w:p>
    <w:tbl>
      <w:tblPr>
        <w:tblStyle w:val="TableGrid"/>
        <w:bidiVisual/>
        <w:tblW w:w="0" w:type="auto"/>
        <w:tblLook w:val="04A0" w:firstRow="1" w:lastRow="0" w:firstColumn="1" w:lastColumn="0" w:noHBand="0" w:noVBand="1"/>
      </w:tblPr>
      <w:tblGrid>
        <w:gridCol w:w="4006"/>
        <w:gridCol w:w="4006"/>
      </w:tblGrid>
      <w:tr w:rsidR="00096E64" w:rsidTr="00096E64">
        <w:tc>
          <w:tcPr>
            <w:tcW w:w="4006" w:type="dxa"/>
          </w:tcPr>
          <w:p w:rsidR="00096E64" w:rsidRDefault="00096E64" w:rsidP="00E378DD">
            <w:pPr>
              <w:pStyle w:val="libFootnote0"/>
              <w:rPr>
                <w:rtl/>
                <w:lang w:bidi="fa-IR"/>
              </w:rPr>
            </w:pPr>
            <w:r>
              <w:rPr>
                <w:rtl/>
                <w:lang w:bidi="fa-IR"/>
              </w:rPr>
              <w:t>(10). في « ط » : « رجل ».</w:t>
            </w:r>
          </w:p>
        </w:tc>
        <w:tc>
          <w:tcPr>
            <w:tcW w:w="4006" w:type="dxa"/>
          </w:tcPr>
          <w:p w:rsidR="00096E64" w:rsidRDefault="00096E64" w:rsidP="00E378DD">
            <w:pPr>
              <w:pStyle w:val="libFootnote0"/>
              <w:rPr>
                <w:rtl/>
                <w:lang w:bidi="fa-IR"/>
              </w:rPr>
            </w:pPr>
            <w:r>
              <w:rPr>
                <w:rtl/>
                <w:lang w:bidi="fa-IR"/>
              </w:rPr>
              <w:t>(11).</w:t>
            </w:r>
            <w:r w:rsidR="00480A4B">
              <w:rPr>
                <w:rtl/>
                <w:lang w:bidi="fa-IR"/>
              </w:rPr>
              <w:t xml:space="preserve"> في«ى،بس</w:t>
            </w:r>
            <w:r>
              <w:rPr>
                <w:rtl/>
                <w:lang w:bidi="fa-IR"/>
              </w:rPr>
              <w:t>» وحاشية « جت » : + « من ».</w:t>
            </w:r>
          </w:p>
        </w:tc>
      </w:tr>
    </w:tbl>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فِيهَا </w:t>
      </w:r>
      <w:r w:rsidRPr="00D10E3C">
        <w:rPr>
          <w:rStyle w:val="libFootnotenumChar"/>
          <w:rtl/>
        </w:rPr>
        <w:t>(1)</w:t>
      </w:r>
      <w:r>
        <w:rPr>
          <w:rtl/>
          <w:lang w:bidi="fa-IR"/>
        </w:rPr>
        <w:t xml:space="preserve"> : الْفَاكِهَةُ وَغَيْرُهَا. </w:t>
      </w:r>
      <w:r w:rsidRPr="00D10E3C">
        <w:rPr>
          <w:rStyle w:val="libFootnotenumChar"/>
          <w:rtl/>
        </w:rPr>
        <w:t>(2)</w:t>
      </w:r>
    </w:p>
    <w:p w:rsidR="00144FA6" w:rsidRDefault="00744A1C" w:rsidP="00744A1C">
      <w:pPr>
        <w:pStyle w:val="libNormal"/>
        <w:rPr>
          <w:rtl/>
          <w:lang w:bidi="fa-IR"/>
        </w:rPr>
      </w:pPr>
      <w:r>
        <w:rPr>
          <w:rtl/>
          <w:lang w:bidi="fa-IR"/>
        </w:rPr>
        <w:t>8659 / 12. عَلِيُّ بْنُ إِبْرَاهِيمَ ، عَنْ أَبِيهِ ، عَنِ النَّوْفَلِيِّ ، عَنِ السَّكُونِيِّ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w:t>
      </w:r>
      <w:r w:rsidR="0061079A" w:rsidRPr="0061079A">
        <w:rPr>
          <w:rStyle w:val="libAlaemChar"/>
          <w:rtl/>
        </w:rPr>
        <w:t>عليه‌السلام</w:t>
      </w:r>
      <w:r w:rsidR="00D10E3C">
        <w:rPr>
          <w:rtl/>
          <w:lang w:bidi="fa-IR"/>
        </w:rPr>
        <w:t xml:space="preserve"> </w:t>
      </w:r>
      <w:r>
        <w:rPr>
          <w:rtl/>
          <w:lang w:bidi="fa-IR"/>
        </w:rPr>
        <w:t xml:space="preserve">: لَأَنْ أُهْدِيَ لِأَخِي </w:t>
      </w:r>
      <w:r w:rsidRPr="00D10E3C">
        <w:rPr>
          <w:rStyle w:val="libFootnotenumChar"/>
          <w:rtl/>
        </w:rPr>
        <w:t>(3)</w:t>
      </w:r>
      <w:r>
        <w:rPr>
          <w:rtl/>
          <w:lang w:bidi="fa-IR"/>
        </w:rPr>
        <w:t xml:space="preserve"> الْمُسْلِمِ هَدِيَّةً تَنْفَعُهُ أَحَبُّ إِلَيَّ مِنْ </w:t>
      </w:r>
      <w:r w:rsidRPr="00D10E3C">
        <w:rPr>
          <w:rStyle w:val="libFootnotenumChar"/>
          <w:rtl/>
        </w:rPr>
        <w:t>(4)</w:t>
      </w:r>
      <w:r>
        <w:rPr>
          <w:rtl/>
          <w:lang w:bidi="fa-IR"/>
        </w:rPr>
        <w:t xml:space="preserve"> أَنْ أَتَصَدَّقَ </w:t>
      </w:r>
      <w:r w:rsidRPr="00D10E3C">
        <w:rPr>
          <w:rStyle w:val="libFootnotenumChar"/>
          <w:rtl/>
        </w:rPr>
        <w:t>(5)</w:t>
      </w:r>
      <w:r>
        <w:rPr>
          <w:rtl/>
          <w:lang w:bidi="fa-IR"/>
        </w:rPr>
        <w:t xml:space="preserve"> بِمِثْلِهَا ». </w:t>
      </w:r>
      <w:r w:rsidRPr="00D10E3C">
        <w:rPr>
          <w:rStyle w:val="libFootnotenumChar"/>
          <w:rtl/>
        </w:rPr>
        <w:t>(6)</w:t>
      </w:r>
    </w:p>
    <w:p w:rsidR="00144FA6" w:rsidRDefault="00744A1C" w:rsidP="00744A1C">
      <w:pPr>
        <w:pStyle w:val="libNormal"/>
        <w:rPr>
          <w:rtl/>
          <w:lang w:bidi="fa-IR"/>
        </w:rPr>
      </w:pPr>
      <w:r>
        <w:rPr>
          <w:rtl/>
          <w:lang w:bidi="fa-IR"/>
        </w:rPr>
        <w:t xml:space="preserve">8660 / 13. الْحُسَيْنُ </w:t>
      </w:r>
      <w:r w:rsidRPr="00D10E3C">
        <w:rPr>
          <w:rStyle w:val="libFootnotenumChar"/>
          <w:rtl/>
        </w:rPr>
        <w:t>(7)</w:t>
      </w:r>
      <w:r>
        <w:rPr>
          <w:rtl/>
          <w:lang w:bidi="fa-IR"/>
        </w:rPr>
        <w:t xml:space="preserve"> بْنُ مُحَمَّدٍ ، عَنْ جَعْفَرِ بْنِ مُحَمَّدٍ ، عَنْ عَبْدِ الرَّحْمنِ بْنِ مُحَمَّدٍ ، عَنْ مُحَمَّدِ بْنِ إِبْرَاهِيمَ الْكُوفِيِّ </w:t>
      </w:r>
      <w:r w:rsidRPr="00D10E3C">
        <w:rPr>
          <w:rStyle w:val="libFootnotenumChar"/>
          <w:rtl/>
        </w:rPr>
        <w:t>(8)</w:t>
      </w:r>
      <w:r>
        <w:rPr>
          <w:rtl/>
          <w:lang w:bidi="fa-IR"/>
        </w:rPr>
        <w:t xml:space="preserve"> ، عَنِ الْحُسَيْنِ </w:t>
      </w:r>
      <w:r w:rsidRPr="00D10E3C">
        <w:rPr>
          <w:rStyle w:val="libFootnotenumChar"/>
          <w:rtl/>
        </w:rPr>
        <w:t>(9)</w:t>
      </w:r>
      <w:r>
        <w:rPr>
          <w:rtl/>
          <w:lang w:bidi="fa-IR"/>
        </w:rPr>
        <w:t xml:space="preserve"> بْنِ زَيْدٍ </w:t>
      </w:r>
      <w:r w:rsidRPr="00D10E3C">
        <w:rPr>
          <w:rStyle w:val="libFootnotenumChar"/>
          <w:rtl/>
        </w:rPr>
        <w:t>(10)</w:t>
      </w:r>
      <w:r>
        <w:rPr>
          <w:rtl/>
          <w:lang w:bidi="fa-IR"/>
        </w:rPr>
        <w:t xml:space="preserve">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4D054E" w:rsidRPr="004D054E">
        <w:rPr>
          <w:rStyle w:val="libAlaemChar"/>
          <w:rtl/>
        </w:rPr>
        <w:t>صلى‌الله‌عليه‌وآله</w:t>
      </w:r>
      <w:r w:rsidR="00D10E3C">
        <w:rPr>
          <w:rtl/>
          <w:lang w:bidi="fa-IR"/>
        </w:rPr>
        <w:t xml:space="preserve"> </w:t>
      </w:r>
      <w:r>
        <w:rPr>
          <w:rtl/>
          <w:lang w:bidi="fa-IR"/>
        </w:rPr>
        <w:t xml:space="preserve">: تَهَادَوْا بِالنَّبِقِ </w:t>
      </w:r>
      <w:r w:rsidRPr="00D10E3C">
        <w:rPr>
          <w:rStyle w:val="libFootnotenumChar"/>
          <w:rtl/>
        </w:rPr>
        <w:t>(11)</w:t>
      </w:r>
      <w:r>
        <w:rPr>
          <w:rtl/>
          <w:lang w:bidi="fa-IR"/>
        </w:rPr>
        <w:t xml:space="preserve"> ، تَحْيَا الْمَوَدَّةُ وَالْمُوَالَاةُ ». </w:t>
      </w:r>
      <w:r w:rsidRPr="00D10E3C">
        <w:rPr>
          <w:rStyle w:val="libFootnotenumChar"/>
          <w:rtl/>
        </w:rPr>
        <w:t>(12)</w:t>
      </w:r>
    </w:p>
    <w:p w:rsidR="00144FA6" w:rsidRDefault="00744A1C" w:rsidP="00744A1C">
      <w:pPr>
        <w:pStyle w:val="libNormal"/>
        <w:rPr>
          <w:rtl/>
          <w:lang w:bidi="fa-IR"/>
        </w:rPr>
      </w:pPr>
      <w:r>
        <w:rPr>
          <w:rtl/>
          <w:lang w:bidi="fa-IR"/>
        </w:rPr>
        <w:t>8661 / 14. عَلِيُّ بْنُ إِبْرَاهِيمَ ، عَنْ أَبِيهِ ، عَنِ النَّوْفَلِيِّ ، عَنِ السَّكُونِيِّ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رَسُولُ اللهِ </w:t>
      </w:r>
      <w:r w:rsidR="004D054E" w:rsidRPr="004D054E">
        <w:rPr>
          <w:rStyle w:val="libAlaemChar"/>
          <w:rtl/>
        </w:rPr>
        <w:t>صلى‌الله‌عليه‌وآله</w:t>
      </w:r>
      <w:r w:rsidR="00D10E3C">
        <w:rPr>
          <w:rtl/>
          <w:lang w:bidi="fa-IR"/>
        </w:rPr>
        <w:t xml:space="preserve"> </w:t>
      </w:r>
      <w:r>
        <w:rPr>
          <w:rtl/>
          <w:lang w:bidi="fa-IR"/>
        </w:rPr>
        <w:t>: تَهَادَوْا ، تَحَابُّوا ، تَهَادَوْا ؛ فَإِنَّهَا‌</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جت » : « في الهديّة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6 ، ص 379 ، ح 1114 ، معلّقاً عن أحمد بن محمّد. </w:t>
      </w:r>
      <w:r w:rsidR="00744A1C" w:rsidRPr="00C24F9C">
        <w:rPr>
          <w:rStyle w:val="libFootnoteBoldChar"/>
          <w:rtl/>
        </w:rPr>
        <w:t>الفقيه</w:t>
      </w:r>
      <w:r w:rsidR="00744A1C">
        <w:rPr>
          <w:rtl/>
          <w:lang w:bidi="fa-IR"/>
        </w:rPr>
        <w:t xml:space="preserve"> ، ج 3 ، ص 301 ، ح 4079 ، مرسلاً من دون التصريح باسم المعصوم </w:t>
      </w:r>
      <w:r w:rsidR="0061079A" w:rsidRPr="0061079A">
        <w:rPr>
          <w:rStyle w:val="libFootnoteAlaemChar"/>
          <w:rtl/>
        </w:rPr>
        <w:t>عليه‌السلام</w:t>
      </w:r>
      <w:r w:rsidR="00D10E3C">
        <w:rPr>
          <w:rtl/>
          <w:lang w:bidi="fa-IR"/>
        </w:rPr>
        <w:t xml:space="preserve"> </w:t>
      </w:r>
      <w:r w:rsidR="00E924CC">
        <w:rPr>
          <w:rFonts w:hint="cs"/>
          <w:rtl/>
          <w:lang w:bidi="fa-IR"/>
        </w:rPr>
        <w:t>.</w:t>
      </w:r>
      <w:r w:rsidR="00744A1C">
        <w:rPr>
          <w:rtl/>
          <w:lang w:bidi="fa-IR"/>
        </w:rPr>
        <w:t xml:space="preserve">الوافى ، ج 17 ، ص 370 ، ح 17441 ؛ </w:t>
      </w:r>
      <w:r w:rsidR="00744A1C" w:rsidRPr="00C24F9C">
        <w:rPr>
          <w:rStyle w:val="libFootnoteBoldChar"/>
          <w:rtl/>
        </w:rPr>
        <w:t>الوسائل</w:t>
      </w:r>
      <w:r w:rsidR="00744A1C">
        <w:rPr>
          <w:rtl/>
          <w:lang w:bidi="fa-IR"/>
        </w:rPr>
        <w:t xml:space="preserve"> ، ج 17 ، ص 294 ، ح 22565.</w:t>
      </w:r>
    </w:p>
    <w:tbl>
      <w:tblPr>
        <w:tblStyle w:val="TableGrid"/>
        <w:bidiVisual/>
        <w:tblW w:w="0" w:type="auto"/>
        <w:tblLook w:val="04A0" w:firstRow="1" w:lastRow="0" w:firstColumn="1" w:lastColumn="0" w:noHBand="0" w:noVBand="1"/>
      </w:tblPr>
      <w:tblGrid>
        <w:gridCol w:w="4006"/>
        <w:gridCol w:w="4006"/>
      </w:tblGrid>
      <w:tr w:rsidR="00E924CC" w:rsidTr="00E924CC">
        <w:tc>
          <w:tcPr>
            <w:tcW w:w="4006" w:type="dxa"/>
          </w:tcPr>
          <w:p w:rsidR="00E924CC" w:rsidRDefault="00E924CC" w:rsidP="00E378DD">
            <w:pPr>
              <w:pStyle w:val="libFootnote0"/>
              <w:rPr>
                <w:rtl/>
                <w:lang w:bidi="fa-IR"/>
              </w:rPr>
            </w:pPr>
            <w:r>
              <w:rPr>
                <w:rtl/>
                <w:lang w:bidi="fa-IR"/>
              </w:rPr>
              <w:t>(3). في « ط ، جن » : « إلى أخي ».</w:t>
            </w:r>
          </w:p>
        </w:tc>
        <w:tc>
          <w:tcPr>
            <w:tcW w:w="4006" w:type="dxa"/>
          </w:tcPr>
          <w:p w:rsidR="00E924CC" w:rsidRDefault="00E924CC" w:rsidP="00E378DD">
            <w:pPr>
              <w:pStyle w:val="libFootnote0"/>
              <w:rPr>
                <w:rtl/>
                <w:lang w:bidi="fa-IR"/>
              </w:rPr>
            </w:pPr>
            <w:r>
              <w:rPr>
                <w:rtl/>
                <w:lang w:bidi="fa-IR"/>
              </w:rPr>
              <w:t>(4). في « ط » : - « من ».</w:t>
            </w:r>
          </w:p>
        </w:tc>
      </w:tr>
    </w:tbl>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من أن أتصدّق ، الظاهر أنّه يشترط في كونه صدقة فقر الآخذ ، وأن يكون العطاء لوجه الله تعالى. ولعلّ المراد هنا انتفاء الأوّل ، ويحتمل الأعمّ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6 ، ص 380 ، ح 1115 ، معلّقاً عن عليّ بن إبراهيم </w:t>
      </w:r>
      <w:r w:rsidR="0063179B">
        <w:rPr>
          <w:rFonts w:hint="cs"/>
          <w:rtl/>
          <w:lang w:bidi="fa-IR"/>
        </w:rPr>
        <w:t>.</w:t>
      </w:r>
      <w:r w:rsidR="00744A1C" w:rsidRPr="00C24F9C">
        <w:rPr>
          <w:rStyle w:val="libFootnoteBoldChar"/>
          <w:rtl/>
        </w:rPr>
        <w:t>الوافي</w:t>
      </w:r>
      <w:r w:rsidR="00744A1C">
        <w:rPr>
          <w:rtl/>
          <w:lang w:bidi="fa-IR"/>
        </w:rPr>
        <w:t xml:space="preserve"> ، ج 17 ، ص 370 ، ح 17443 ؛ </w:t>
      </w:r>
      <w:r w:rsidR="00744A1C" w:rsidRPr="00C24F9C">
        <w:rPr>
          <w:rStyle w:val="libFootnoteBoldChar"/>
          <w:rtl/>
        </w:rPr>
        <w:t>الوسائل</w:t>
      </w:r>
      <w:r w:rsidR="00744A1C">
        <w:rPr>
          <w:rtl/>
          <w:lang w:bidi="fa-IR"/>
        </w:rPr>
        <w:t xml:space="preserve"> ، ج 17 ، ص 286 ، ح 22538.</w:t>
      </w:r>
    </w:p>
    <w:p w:rsidR="00744A1C" w:rsidRDefault="00E378DD" w:rsidP="00E378DD">
      <w:pPr>
        <w:pStyle w:val="libFootnote0"/>
        <w:rPr>
          <w:lang w:bidi="fa-IR"/>
        </w:rPr>
      </w:pPr>
      <w:r>
        <w:rPr>
          <w:rtl/>
          <w:lang w:bidi="fa-IR"/>
        </w:rPr>
        <w:t>(7).</w:t>
      </w:r>
      <w:r w:rsidR="00744A1C">
        <w:rPr>
          <w:rtl/>
          <w:lang w:bidi="fa-IR"/>
        </w:rPr>
        <w:t xml:space="preserve"> في « ط ، ى ، بح ، جد » : « الحسن ». وهو سهو ، كما تقدّم ذيل ح 891.</w:t>
      </w:r>
    </w:p>
    <w:tbl>
      <w:tblPr>
        <w:tblStyle w:val="TableGrid"/>
        <w:bidiVisual/>
        <w:tblW w:w="0" w:type="auto"/>
        <w:tblLook w:val="04A0" w:firstRow="1" w:lastRow="0" w:firstColumn="1" w:lastColumn="0" w:noHBand="0" w:noVBand="1"/>
      </w:tblPr>
      <w:tblGrid>
        <w:gridCol w:w="4006"/>
        <w:gridCol w:w="4006"/>
      </w:tblGrid>
      <w:tr w:rsidR="002458E5" w:rsidTr="002458E5">
        <w:tc>
          <w:tcPr>
            <w:tcW w:w="4006" w:type="dxa"/>
          </w:tcPr>
          <w:p w:rsidR="002458E5" w:rsidRDefault="002458E5" w:rsidP="00E378DD">
            <w:pPr>
              <w:pStyle w:val="libFootnote0"/>
              <w:rPr>
                <w:rtl/>
                <w:lang w:bidi="fa-IR"/>
              </w:rPr>
            </w:pPr>
            <w:r>
              <w:rPr>
                <w:rtl/>
                <w:lang w:bidi="fa-IR"/>
              </w:rPr>
              <w:t>(8). في « بخ ، بف » وحاشية«جن » : « الكرخي ».</w:t>
            </w:r>
          </w:p>
        </w:tc>
        <w:tc>
          <w:tcPr>
            <w:tcW w:w="4006" w:type="dxa"/>
          </w:tcPr>
          <w:p w:rsidR="002458E5" w:rsidRDefault="002458E5" w:rsidP="00E378DD">
            <w:pPr>
              <w:pStyle w:val="libFootnote0"/>
              <w:rPr>
                <w:rtl/>
                <w:lang w:bidi="fa-IR"/>
              </w:rPr>
            </w:pPr>
            <w:r>
              <w:rPr>
                <w:rtl/>
                <w:lang w:bidi="fa-IR"/>
              </w:rPr>
              <w:t>(9). في « ط ، بح ، بس ، جن » : « حسين ».</w:t>
            </w:r>
          </w:p>
        </w:tc>
      </w:tr>
    </w:tbl>
    <w:p w:rsidR="00744A1C" w:rsidRDefault="00E378DD" w:rsidP="00E378DD">
      <w:pPr>
        <w:pStyle w:val="libFootnote0"/>
        <w:rPr>
          <w:lang w:bidi="fa-IR"/>
        </w:rPr>
      </w:pPr>
      <w:r>
        <w:rPr>
          <w:rtl/>
          <w:lang w:bidi="fa-IR"/>
        </w:rPr>
        <w:t>(10).</w:t>
      </w:r>
      <w:r w:rsidR="00744A1C">
        <w:rPr>
          <w:rtl/>
          <w:lang w:bidi="fa-IR"/>
        </w:rPr>
        <w:t xml:space="preserve"> في « بح » وحاشية « جت » </w:t>
      </w:r>
      <w:r w:rsidR="00744A1C" w:rsidRPr="0054560A">
        <w:rPr>
          <w:rtl/>
        </w:rPr>
        <w:t>والوافي :</w:t>
      </w:r>
      <w:r w:rsidR="00744A1C">
        <w:rPr>
          <w:rtl/>
          <w:lang w:bidi="fa-IR"/>
        </w:rPr>
        <w:t xml:space="preserve"> « يزيد ». والظاهر أنّ الحسين هذا ، هو الحسين بن زيد بن عليّ ذو الدمعة. راجع : </w:t>
      </w:r>
      <w:r w:rsidR="00744A1C" w:rsidRPr="003A7143">
        <w:rPr>
          <w:rStyle w:val="libFootnoteBoldChar"/>
          <w:rtl/>
        </w:rPr>
        <w:t>رجال النجاشي</w:t>
      </w:r>
      <w:r w:rsidR="00744A1C">
        <w:rPr>
          <w:rtl/>
          <w:lang w:bidi="fa-IR"/>
        </w:rPr>
        <w:t xml:space="preserve"> ، ص 52 ، الرقم 115.</w:t>
      </w:r>
    </w:p>
    <w:p w:rsidR="00744A1C" w:rsidRDefault="00E378DD" w:rsidP="00E378DD">
      <w:pPr>
        <w:pStyle w:val="libFootnote0"/>
        <w:rPr>
          <w:lang w:bidi="fa-IR"/>
        </w:rPr>
      </w:pPr>
      <w:r>
        <w:rPr>
          <w:rtl/>
          <w:lang w:bidi="fa-IR"/>
        </w:rPr>
        <w:t>(11).</w:t>
      </w:r>
      <w:r w:rsidR="00744A1C">
        <w:rPr>
          <w:rtl/>
          <w:lang w:bidi="fa-IR"/>
        </w:rPr>
        <w:t xml:space="preserve"> « النبق » - بفتح النون وكسر الباء وقد تسكّن - : حَمْل السدر وثمره. راجع : </w:t>
      </w:r>
      <w:r w:rsidR="00744A1C" w:rsidRPr="00877682">
        <w:rPr>
          <w:rStyle w:val="libFootnoteBoldChar"/>
          <w:rtl/>
        </w:rPr>
        <w:t>لسان العرب</w:t>
      </w:r>
      <w:r w:rsidR="00744A1C">
        <w:rPr>
          <w:rtl/>
          <w:lang w:bidi="fa-IR"/>
        </w:rPr>
        <w:t xml:space="preserve"> ، ج 10 ، ص 350 ( نبق ). وفي </w:t>
      </w:r>
      <w:r w:rsidR="00744A1C" w:rsidRPr="00C24F9C">
        <w:rPr>
          <w:rStyle w:val="libFootnoteBoldChar"/>
          <w:rtl/>
        </w:rPr>
        <w:t>المرآة</w:t>
      </w:r>
      <w:r w:rsidR="00744A1C">
        <w:rPr>
          <w:rtl/>
          <w:lang w:bidi="fa-IR"/>
        </w:rPr>
        <w:t xml:space="preserve"> : « قوله </w:t>
      </w:r>
      <w:r w:rsidR="000B1C3F" w:rsidRPr="000B1C3F">
        <w:rPr>
          <w:rStyle w:val="libFootnoteAlaemChar"/>
          <w:rtl/>
        </w:rPr>
        <w:t>صلى‌الله‌عليه‌وآله</w:t>
      </w:r>
      <w:r w:rsidR="00D10E3C">
        <w:rPr>
          <w:rtl/>
          <w:lang w:bidi="fa-IR"/>
        </w:rPr>
        <w:t xml:space="preserve"> </w:t>
      </w:r>
      <w:r w:rsidR="00744A1C">
        <w:rPr>
          <w:rtl/>
          <w:lang w:bidi="fa-IR"/>
        </w:rPr>
        <w:t>: بالنبق : أي ولو كان بالنبق ؛ فإنّه أخسّ الثمار ».</w:t>
      </w:r>
    </w:p>
    <w:p w:rsidR="00744A1C" w:rsidRDefault="00E378DD" w:rsidP="00E378DD">
      <w:pPr>
        <w:pStyle w:val="libFootnote0"/>
        <w:rPr>
          <w:lang w:bidi="fa-IR"/>
        </w:rPr>
      </w:pPr>
      <w:r>
        <w:rPr>
          <w:rtl/>
          <w:lang w:bidi="fa-IR"/>
        </w:rPr>
        <w:t>(12).</w:t>
      </w:r>
      <w:r w:rsidR="00744A1C">
        <w:rPr>
          <w:rtl/>
          <w:lang w:bidi="fa-IR"/>
        </w:rPr>
        <w:t xml:space="preserve"> </w:t>
      </w:r>
      <w:r w:rsidR="00744A1C" w:rsidRPr="00C24F9C">
        <w:rPr>
          <w:rStyle w:val="libFootnoteBoldChar"/>
          <w:rtl/>
        </w:rPr>
        <w:t>الوافي</w:t>
      </w:r>
      <w:r w:rsidR="00744A1C">
        <w:rPr>
          <w:rtl/>
          <w:lang w:bidi="fa-IR"/>
        </w:rPr>
        <w:t xml:space="preserve"> ، ج 17 ، ص 370 ، ح 17444 ؛ </w:t>
      </w:r>
      <w:r w:rsidR="00744A1C" w:rsidRPr="00C24F9C">
        <w:rPr>
          <w:rStyle w:val="libFootnoteBoldChar"/>
          <w:rtl/>
        </w:rPr>
        <w:t>الوسائل</w:t>
      </w:r>
      <w:r w:rsidR="00744A1C">
        <w:rPr>
          <w:rtl/>
          <w:lang w:bidi="fa-IR"/>
        </w:rPr>
        <w:t xml:space="preserve"> ، ج 17 ، ص 287 ، ح 22541.</w:t>
      </w:r>
    </w:p>
    <w:p w:rsidR="006D42F6" w:rsidRDefault="006D42F6" w:rsidP="00D10E3C">
      <w:pPr>
        <w:pStyle w:val="libNormal"/>
        <w:rPr>
          <w:rtl/>
          <w:lang w:bidi="fa-IR"/>
        </w:rPr>
      </w:pPr>
      <w:r>
        <w:rPr>
          <w:rtl/>
          <w:lang w:bidi="fa-IR"/>
        </w:rPr>
        <w:br w:type="page"/>
      </w:r>
    </w:p>
    <w:p w:rsidR="00144FA6" w:rsidRDefault="00744A1C" w:rsidP="0054560A">
      <w:pPr>
        <w:pStyle w:val="libNormal0"/>
        <w:rPr>
          <w:rtl/>
          <w:lang w:bidi="fa-IR"/>
        </w:rPr>
      </w:pPr>
      <w:r>
        <w:rPr>
          <w:rtl/>
          <w:lang w:bidi="fa-IR"/>
        </w:rPr>
        <w:t xml:space="preserve">تَذْهَبُ بِالضَّغَائِنِ </w:t>
      </w:r>
      <w:r w:rsidRPr="00D10E3C">
        <w:rPr>
          <w:rStyle w:val="libFootnotenumChar"/>
          <w:rtl/>
        </w:rPr>
        <w:t>(1)</w:t>
      </w:r>
      <w:r>
        <w:rPr>
          <w:rtl/>
          <w:lang w:bidi="fa-IR"/>
        </w:rPr>
        <w:t xml:space="preserve"> ». </w:t>
      </w:r>
      <w:r w:rsidRPr="00D10E3C">
        <w:rPr>
          <w:rStyle w:val="libFootnotenumChar"/>
          <w:rtl/>
        </w:rPr>
        <w:t>(2)</w:t>
      </w:r>
    </w:p>
    <w:p w:rsidR="00144FA6" w:rsidRDefault="00744A1C" w:rsidP="0054560A">
      <w:pPr>
        <w:pStyle w:val="Heading2Center"/>
        <w:rPr>
          <w:rtl/>
          <w:lang w:bidi="fa-IR"/>
        </w:rPr>
      </w:pPr>
      <w:bookmarkStart w:id="174" w:name="_Toc49261472"/>
      <w:r>
        <w:rPr>
          <w:rtl/>
          <w:lang w:bidi="fa-IR"/>
        </w:rPr>
        <w:t xml:space="preserve">51 - بَابُ الرِّبَا </w:t>
      </w:r>
      <w:r w:rsidRPr="00D10E3C">
        <w:rPr>
          <w:rStyle w:val="libFootnotenumChar"/>
          <w:rtl/>
        </w:rPr>
        <w:t>(3)</w:t>
      </w:r>
      <w:bookmarkEnd w:id="174"/>
    </w:p>
    <w:p w:rsidR="00144FA6" w:rsidRDefault="00744A1C" w:rsidP="00744A1C">
      <w:pPr>
        <w:pStyle w:val="libNormal"/>
        <w:rPr>
          <w:rtl/>
          <w:lang w:bidi="fa-IR"/>
        </w:rPr>
      </w:pPr>
      <w:r>
        <w:rPr>
          <w:rtl/>
          <w:lang w:bidi="fa-IR"/>
        </w:rPr>
        <w:t>8662 / 1. عِدَّةٌ مِنْ أَصْحَابِنَا ، عَنْ أَحْمَدَ بْنِ مُحَمَّدِ بْنِ عِيسى ، عَنِ ابْنِ أَبِي عُمَيْرٍ ، عَنْ هِشَامِ بْنِ سَالِمٍ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دِرْهَمٌ رِبًا أَشَدُّ </w:t>
      </w:r>
      <w:r w:rsidRPr="00D10E3C">
        <w:rPr>
          <w:rStyle w:val="libFootnotenumChar"/>
          <w:rtl/>
        </w:rPr>
        <w:t>(4)</w:t>
      </w:r>
      <w:r>
        <w:rPr>
          <w:rtl/>
          <w:lang w:bidi="fa-IR"/>
        </w:rPr>
        <w:t xml:space="preserve"> مِنْ سَبْعِينَ </w:t>
      </w:r>
      <w:r w:rsidRPr="00D10E3C">
        <w:rPr>
          <w:rStyle w:val="libFootnotenumChar"/>
          <w:rtl/>
        </w:rPr>
        <w:t>(5)</w:t>
      </w:r>
      <w:r>
        <w:rPr>
          <w:rtl/>
          <w:lang w:bidi="fa-IR"/>
        </w:rPr>
        <w:t xml:space="preserve"> زَنْيَةً </w:t>
      </w:r>
      <w:r w:rsidRPr="00D10E3C">
        <w:rPr>
          <w:rStyle w:val="libFootnotenumChar"/>
          <w:rtl/>
        </w:rPr>
        <w:t>(6)</w:t>
      </w:r>
      <w:r>
        <w:rPr>
          <w:rtl/>
          <w:lang w:bidi="fa-IR"/>
        </w:rPr>
        <w:t xml:space="preserve"> كُلُّهَا بِذَاتِ مَحْرَمٍ</w:t>
      </w:r>
      <w:r w:rsidRPr="00D10E3C">
        <w:rPr>
          <w:rStyle w:val="libFootnotenumChar"/>
          <w:rtl/>
        </w:rPr>
        <w:t>(7)</w:t>
      </w:r>
      <w:r>
        <w:rPr>
          <w:rtl/>
          <w:lang w:bidi="fa-IR"/>
        </w:rPr>
        <w:t>».</w:t>
      </w:r>
      <w:r w:rsidRPr="00D10E3C">
        <w:rPr>
          <w:rStyle w:val="libFootnotenumChar"/>
          <w:rtl/>
        </w:rPr>
        <w:t>(8)</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بخ ، بف » : « الضغائن ».</w:t>
      </w:r>
    </w:p>
    <w:p w:rsidR="00744A1C" w:rsidRDefault="00E378DD" w:rsidP="00794BCA">
      <w:pPr>
        <w:pStyle w:val="libFootnote0"/>
        <w:rPr>
          <w:lang w:bidi="fa-IR"/>
        </w:rPr>
      </w:pPr>
      <w:r>
        <w:rPr>
          <w:rtl/>
          <w:lang w:bidi="fa-IR"/>
        </w:rPr>
        <w:t>(2).</w:t>
      </w:r>
      <w:r w:rsidR="00744A1C">
        <w:rPr>
          <w:rtl/>
          <w:lang w:bidi="fa-IR"/>
        </w:rPr>
        <w:t xml:space="preserve"> </w:t>
      </w:r>
      <w:r w:rsidR="00744A1C" w:rsidRPr="00CC3171">
        <w:rPr>
          <w:rStyle w:val="libFootnoteBoldChar"/>
          <w:rtl/>
        </w:rPr>
        <w:t>الخصال</w:t>
      </w:r>
      <w:r w:rsidR="00744A1C">
        <w:rPr>
          <w:rtl/>
          <w:lang w:bidi="fa-IR"/>
        </w:rPr>
        <w:t xml:space="preserve"> ، ص 27 ، باب الواحد ، ح 97 ، بسنده عن السكوني ،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 من دون الإسناد إلى النبيّ </w:t>
      </w:r>
      <w:r w:rsidR="00794BCA" w:rsidRPr="00794BCA">
        <w:rPr>
          <w:rStyle w:val="libFootnoteAlaemChar"/>
          <w:rtl/>
        </w:rPr>
        <w:t>صلى‌الله‌عليه‌وآله</w:t>
      </w:r>
      <w:r w:rsidR="00794BCA">
        <w:rPr>
          <w:rtl/>
          <w:lang w:bidi="fa-IR"/>
        </w:rPr>
        <w:t xml:space="preserve"> </w:t>
      </w:r>
      <w:r w:rsidR="00744A1C">
        <w:rPr>
          <w:rtl/>
          <w:lang w:bidi="fa-IR"/>
        </w:rPr>
        <w:t xml:space="preserve">، مع اختلاف يسير وزيادة في أوّله. </w:t>
      </w:r>
      <w:r w:rsidR="00744A1C" w:rsidRPr="00C24F9C">
        <w:rPr>
          <w:rStyle w:val="libFootnoteBoldChar"/>
          <w:rtl/>
        </w:rPr>
        <w:t>الفقيه</w:t>
      </w:r>
      <w:r w:rsidR="00744A1C">
        <w:rPr>
          <w:rtl/>
          <w:lang w:bidi="fa-IR"/>
        </w:rPr>
        <w:t xml:space="preserve"> ، ج 3 ، ص 299 ، ح 4067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فيه : « تهادوا تحابّوا » </w:t>
      </w:r>
      <w:r w:rsidR="00E43584">
        <w:rPr>
          <w:rFonts w:hint="cs"/>
          <w:rtl/>
          <w:lang w:bidi="fa-IR"/>
        </w:rPr>
        <w:t>.</w:t>
      </w:r>
      <w:r w:rsidR="00744A1C" w:rsidRPr="00C24F9C">
        <w:rPr>
          <w:rStyle w:val="libFootnoteBoldChar"/>
          <w:rtl/>
        </w:rPr>
        <w:t>الوافي</w:t>
      </w:r>
      <w:r w:rsidR="00744A1C">
        <w:rPr>
          <w:rtl/>
          <w:lang w:bidi="fa-IR"/>
        </w:rPr>
        <w:t xml:space="preserve"> ، ج 17 ، ص 370 ، ح 17445 ؛ </w:t>
      </w:r>
      <w:r w:rsidR="00744A1C" w:rsidRPr="00C24F9C">
        <w:rPr>
          <w:rStyle w:val="libFootnoteBoldChar"/>
          <w:rtl/>
        </w:rPr>
        <w:t>الوسائل</w:t>
      </w:r>
      <w:r w:rsidR="00744A1C">
        <w:rPr>
          <w:rtl/>
          <w:lang w:bidi="fa-IR"/>
        </w:rPr>
        <w:t xml:space="preserve"> ، ج 17 ، ص 286 ، ح 22539.</w:t>
      </w:r>
    </w:p>
    <w:p w:rsidR="00744A1C" w:rsidRDefault="00E378DD" w:rsidP="00E378DD">
      <w:pPr>
        <w:pStyle w:val="libFootnote0"/>
        <w:rPr>
          <w:lang w:bidi="fa-IR"/>
        </w:rPr>
      </w:pPr>
      <w:r>
        <w:rPr>
          <w:rtl/>
          <w:lang w:bidi="fa-IR"/>
        </w:rPr>
        <w:t>(3).</w:t>
      </w:r>
      <w:r w:rsidR="00744A1C">
        <w:rPr>
          <w:rtl/>
          <w:lang w:bidi="fa-IR"/>
        </w:rPr>
        <w:t xml:space="preserve"> في </w:t>
      </w:r>
      <w:r w:rsidR="00744A1C" w:rsidRPr="00C24F9C">
        <w:rPr>
          <w:rStyle w:val="libFootnoteBoldChar"/>
          <w:rtl/>
        </w:rPr>
        <w:t>الوافي</w:t>
      </w:r>
      <w:r w:rsidR="00744A1C">
        <w:rPr>
          <w:rtl/>
          <w:lang w:bidi="fa-IR"/>
        </w:rPr>
        <w:t xml:space="preserve"> : « الربا : معاوضة متجانسين مكيلين أو موزونين بزيادة ، في أحدهما وإن كانت حكميّة ، كحالّ بمؤجّل ، أو مع إبهام قدره وإن كان باختلافهما رطباً ويابساً ، وأكثر إطلاقه على تلك الزيادة. وقد مضى أنّه من السحت ، ويأتي شرائطه وأحكامه في أبواب التجارة إن شاء الله تعالى ».</w:t>
      </w:r>
    </w:p>
    <w:p w:rsidR="00744A1C" w:rsidRDefault="00E378DD" w:rsidP="00E378DD">
      <w:pPr>
        <w:pStyle w:val="libFootnote0"/>
        <w:rPr>
          <w:lang w:bidi="fa-IR"/>
        </w:rPr>
      </w:pPr>
      <w:r>
        <w:rPr>
          <w:rtl/>
          <w:lang w:bidi="fa-IR"/>
        </w:rPr>
        <w:t>(4).</w:t>
      </w:r>
      <w:r w:rsidR="00744A1C">
        <w:rPr>
          <w:rtl/>
          <w:lang w:bidi="fa-IR"/>
        </w:rPr>
        <w:t xml:space="preserve"> في </w:t>
      </w:r>
      <w:r w:rsidR="00744A1C" w:rsidRPr="00E43584">
        <w:rPr>
          <w:rtl/>
        </w:rPr>
        <w:t>الفقيه</w:t>
      </w:r>
      <w:r w:rsidR="00744A1C">
        <w:rPr>
          <w:rtl/>
          <w:lang w:bidi="fa-IR"/>
        </w:rPr>
        <w:t xml:space="preserve"> ، ح 3991 : + « عند الله عزّ وجلّ ». وفي </w:t>
      </w:r>
      <w:r w:rsidR="00744A1C" w:rsidRPr="00E43584">
        <w:rPr>
          <w:rtl/>
        </w:rPr>
        <w:t>الفقيه ، ح 5762 والتهذيب</w:t>
      </w:r>
      <w:r w:rsidR="00744A1C">
        <w:rPr>
          <w:rtl/>
          <w:lang w:bidi="fa-IR"/>
        </w:rPr>
        <w:t xml:space="preserve"> ، ح 63 و</w:t>
      </w:r>
      <w:r w:rsidR="00744A1C" w:rsidRPr="00610FB4">
        <w:rPr>
          <w:rStyle w:val="libFootnoteBoldChar"/>
          <w:rtl/>
        </w:rPr>
        <w:t>تفسير القمّي</w:t>
      </w:r>
      <w:r w:rsidR="00744A1C">
        <w:rPr>
          <w:rtl/>
          <w:lang w:bidi="fa-IR"/>
        </w:rPr>
        <w:t xml:space="preserve"> والأمالي‌للصدوق : « أعظم عند الله عزّ وجلّ » بدل « أشدّ ». وفي الخصال : « أعظم » بدله.</w:t>
      </w:r>
    </w:p>
    <w:p w:rsidR="00744A1C" w:rsidRDefault="00E378DD" w:rsidP="00E378DD">
      <w:pPr>
        <w:pStyle w:val="libFootnote0"/>
        <w:rPr>
          <w:lang w:bidi="fa-IR"/>
        </w:rPr>
      </w:pPr>
      <w:r>
        <w:rPr>
          <w:rtl/>
          <w:lang w:bidi="fa-IR"/>
        </w:rPr>
        <w:t>(5).</w:t>
      </w:r>
      <w:r w:rsidR="00744A1C">
        <w:rPr>
          <w:rtl/>
          <w:lang w:bidi="fa-IR"/>
        </w:rPr>
        <w:t xml:space="preserve"> في </w:t>
      </w:r>
      <w:r w:rsidR="00744A1C" w:rsidRPr="00E43584">
        <w:rPr>
          <w:rtl/>
        </w:rPr>
        <w:t>الفقيه</w:t>
      </w:r>
      <w:r w:rsidR="00744A1C">
        <w:rPr>
          <w:rtl/>
          <w:lang w:bidi="fa-IR"/>
        </w:rPr>
        <w:t xml:space="preserve"> ، ح 3991 </w:t>
      </w:r>
      <w:r w:rsidR="00744A1C" w:rsidRPr="0061079A">
        <w:rPr>
          <w:rStyle w:val="libFootnoteBoldChar"/>
          <w:rtl/>
        </w:rPr>
        <w:t>والتهذيب</w:t>
      </w:r>
      <w:r w:rsidR="00744A1C">
        <w:rPr>
          <w:rtl/>
          <w:lang w:bidi="fa-IR"/>
        </w:rPr>
        <w:t xml:space="preserve"> ، ح 62 ، والأمالي للصدوق : « ثلاثين ». وفي </w:t>
      </w:r>
      <w:r w:rsidR="00744A1C" w:rsidRPr="00C24F9C">
        <w:rPr>
          <w:rStyle w:val="libFootnoteBoldChar"/>
          <w:rtl/>
        </w:rPr>
        <w:t>التهذيب</w:t>
      </w:r>
      <w:r w:rsidR="00744A1C">
        <w:rPr>
          <w:rtl/>
          <w:lang w:bidi="fa-IR"/>
        </w:rPr>
        <w:t xml:space="preserve"> ، ح 63 : « عشرين ».</w:t>
      </w:r>
    </w:p>
    <w:p w:rsidR="00744A1C" w:rsidRDefault="00E378DD" w:rsidP="00E378DD">
      <w:pPr>
        <w:pStyle w:val="libFootnote0"/>
        <w:rPr>
          <w:lang w:bidi="fa-IR"/>
        </w:rPr>
      </w:pPr>
      <w:r>
        <w:rPr>
          <w:rtl/>
          <w:lang w:bidi="fa-IR"/>
        </w:rPr>
        <w:t>(6).</w:t>
      </w:r>
      <w:r w:rsidR="00744A1C">
        <w:rPr>
          <w:rtl/>
          <w:lang w:bidi="fa-IR"/>
        </w:rPr>
        <w:t xml:space="preserve"> الزينة - بكسر الزاي وفتحها والفتح أفصح - : الزنا ، وهو نقيض الرَّشْدة. راجع : </w:t>
      </w:r>
      <w:r w:rsidR="00744A1C" w:rsidRPr="00877682">
        <w:rPr>
          <w:rStyle w:val="libFootnoteBoldChar"/>
          <w:rtl/>
        </w:rPr>
        <w:t>النهاية</w:t>
      </w:r>
      <w:r w:rsidR="00744A1C">
        <w:rPr>
          <w:rtl/>
          <w:lang w:bidi="fa-IR"/>
        </w:rPr>
        <w:t xml:space="preserve"> ، ج 2 ، ص 317 ( زنا ).</w:t>
      </w:r>
    </w:p>
    <w:p w:rsidR="00744A1C" w:rsidRDefault="00E378DD" w:rsidP="00E378DD">
      <w:pPr>
        <w:pStyle w:val="libFootnote0"/>
        <w:rPr>
          <w:lang w:bidi="fa-IR"/>
        </w:rPr>
      </w:pPr>
      <w:r>
        <w:rPr>
          <w:rtl/>
          <w:lang w:bidi="fa-IR"/>
        </w:rPr>
        <w:t>(7).</w:t>
      </w:r>
      <w:r w:rsidR="00744A1C">
        <w:rPr>
          <w:rtl/>
          <w:lang w:bidi="fa-IR"/>
        </w:rPr>
        <w:t xml:space="preserve"> في </w:t>
      </w:r>
      <w:r w:rsidR="00744A1C" w:rsidRPr="000E682B">
        <w:rPr>
          <w:rtl/>
        </w:rPr>
        <w:t>الفقيه</w:t>
      </w:r>
      <w:r w:rsidR="00744A1C">
        <w:rPr>
          <w:rtl/>
          <w:lang w:bidi="fa-IR"/>
        </w:rPr>
        <w:t xml:space="preserve"> ، ح 5762 </w:t>
      </w:r>
      <w:r w:rsidR="00744A1C" w:rsidRPr="00E43584">
        <w:rPr>
          <w:rtl/>
        </w:rPr>
        <w:t>وتفسير القمّي</w:t>
      </w:r>
      <w:r w:rsidR="00744A1C">
        <w:rPr>
          <w:rtl/>
          <w:lang w:bidi="fa-IR"/>
        </w:rPr>
        <w:t xml:space="preserve"> والخصال : + « في بيت الله الحرام ». وفي </w:t>
      </w:r>
      <w:r w:rsidR="00744A1C" w:rsidRPr="00C24F9C">
        <w:rPr>
          <w:rStyle w:val="libFootnoteBoldChar"/>
          <w:rtl/>
        </w:rPr>
        <w:t>الفقيه</w:t>
      </w:r>
      <w:r w:rsidR="00744A1C">
        <w:rPr>
          <w:rtl/>
          <w:lang w:bidi="fa-IR"/>
        </w:rPr>
        <w:t xml:space="preserve"> ، ح 3991 </w:t>
      </w:r>
      <w:r w:rsidR="00744A1C" w:rsidRPr="000E682B">
        <w:rPr>
          <w:rtl/>
        </w:rPr>
        <w:t>والتهذيب</w:t>
      </w:r>
      <w:r w:rsidR="00744A1C">
        <w:rPr>
          <w:rtl/>
          <w:lang w:bidi="fa-IR"/>
        </w:rPr>
        <w:t xml:space="preserve"> ، ح 62 والأمالي للصدوق : + « مثل خاله وعمّه ».</w:t>
      </w:r>
    </w:p>
    <w:p w:rsidR="00144FA6" w:rsidRDefault="00E378DD" w:rsidP="00E378DD">
      <w:pPr>
        <w:pStyle w:val="libFootnote0"/>
        <w:rPr>
          <w:rtl/>
          <w:lang w:bidi="fa-IR"/>
        </w:rPr>
      </w:pPr>
      <w:r>
        <w:rPr>
          <w:rtl/>
          <w:lang w:bidi="fa-IR"/>
        </w:rPr>
        <w:t>(8).</w:t>
      </w:r>
      <w:r w:rsidR="00744A1C">
        <w:rPr>
          <w:rtl/>
          <w:lang w:bidi="fa-IR"/>
        </w:rPr>
        <w:t xml:space="preserve"> </w:t>
      </w:r>
      <w:r w:rsidR="00744A1C" w:rsidRPr="00C24F9C">
        <w:rPr>
          <w:rStyle w:val="libFootnoteBoldChar"/>
          <w:rtl/>
        </w:rPr>
        <w:t>التهذيب</w:t>
      </w:r>
      <w:r w:rsidR="00744A1C">
        <w:rPr>
          <w:rtl/>
          <w:lang w:bidi="fa-IR"/>
        </w:rPr>
        <w:t xml:space="preserve"> ، ج 7 ، ص 14 ، ح 61 ، بسنده عن ابن أبي عمير. </w:t>
      </w:r>
      <w:r w:rsidR="00744A1C" w:rsidRPr="00C24F9C">
        <w:rPr>
          <w:rStyle w:val="libFootnoteBoldChar"/>
          <w:rtl/>
        </w:rPr>
        <w:t>الفقيه</w:t>
      </w:r>
      <w:r w:rsidR="00744A1C">
        <w:rPr>
          <w:rtl/>
          <w:lang w:bidi="fa-IR"/>
        </w:rPr>
        <w:t xml:space="preserve"> ، ج 3 ، ص 274 ، ح 3992 ، معلّقاً عن هشام بن سالم. وفي </w:t>
      </w:r>
      <w:r w:rsidR="00744A1C" w:rsidRPr="00C24F9C">
        <w:rPr>
          <w:rStyle w:val="libFootnoteBoldChar"/>
          <w:rtl/>
        </w:rPr>
        <w:t>الفقيه</w:t>
      </w:r>
      <w:r w:rsidR="00744A1C">
        <w:rPr>
          <w:rtl/>
          <w:lang w:bidi="fa-IR"/>
        </w:rPr>
        <w:t xml:space="preserve"> ، ج 3 ، ص 274 ، ح 3991 ؛ </w:t>
      </w:r>
      <w:r w:rsidR="00744A1C" w:rsidRPr="0061079A">
        <w:rPr>
          <w:rStyle w:val="libFootnoteBoldChar"/>
          <w:rtl/>
        </w:rPr>
        <w:t>والتهذيب</w:t>
      </w:r>
      <w:r w:rsidR="00744A1C">
        <w:rPr>
          <w:rtl/>
          <w:lang w:bidi="fa-IR"/>
        </w:rPr>
        <w:t xml:space="preserve"> ، ج 7 ، ص 14 و 15 ، ح 62 و 63 ؛ </w:t>
      </w:r>
      <w:r w:rsidR="00744A1C" w:rsidRPr="000E682B">
        <w:rPr>
          <w:rtl/>
        </w:rPr>
        <w:t>و</w:t>
      </w:r>
      <w:r w:rsidR="000E682B">
        <w:rPr>
          <w:rFonts w:hint="cs"/>
          <w:rtl/>
        </w:rPr>
        <w:t xml:space="preserve"> </w:t>
      </w:r>
      <w:r w:rsidR="00744A1C" w:rsidRPr="000E682B">
        <w:rPr>
          <w:rStyle w:val="libFootnoteBoldChar"/>
          <w:rtl/>
        </w:rPr>
        <w:t>الأمالي للصدوق</w:t>
      </w:r>
      <w:r w:rsidR="00744A1C">
        <w:rPr>
          <w:rtl/>
          <w:lang w:bidi="fa-IR"/>
        </w:rPr>
        <w:t xml:space="preserve"> ، ص 181 ، </w:t>
      </w:r>
      <w:r w:rsidR="00744A1C" w:rsidRPr="000E682B">
        <w:rPr>
          <w:rStyle w:val="libFootnoteBoldChar"/>
          <w:rtl/>
        </w:rPr>
        <w:t>المجلس</w:t>
      </w:r>
      <w:r w:rsidR="00744A1C">
        <w:rPr>
          <w:rtl/>
          <w:lang w:bidi="fa-IR"/>
        </w:rPr>
        <w:t xml:space="preserve"> 34 ، ح 7 ، بسند آخر. </w:t>
      </w:r>
      <w:r w:rsidR="00744A1C" w:rsidRPr="00610FB4">
        <w:rPr>
          <w:rStyle w:val="libFootnoteBoldChar"/>
          <w:rtl/>
        </w:rPr>
        <w:t>تفسير القمّي</w:t>
      </w:r>
      <w:r w:rsidR="00744A1C">
        <w:rPr>
          <w:rtl/>
          <w:lang w:bidi="fa-IR"/>
        </w:rPr>
        <w:t xml:space="preserve"> ، ج 1 ، ص 93 ، بسند آخر ، مع زيادة في آخره. وفي </w:t>
      </w:r>
      <w:r w:rsidR="00744A1C" w:rsidRPr="00C24F9C">
        <w:rPr>
          <w:rStyle w:val="libFootnoteBoldChar"/>
          <w:rtl/>
        </w:rPr>
        <w:t>الفقيه</w:t>
      </w:r>
      <w:r w:rsidR="00744A1C">
        <w:rPr>
          <w:rtl/>
          <w:lang w:bidi="fa-IR"/>
        </w:rPr>
        <w:t xml:space="preserve"> ، ج 4 ، ص 365 ، ضمن الحديث الطويل 5762 ؛ والخصال ، ص 583 ، أبواب السبعين وما فوقه ، ذيل ح 8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744A1C">
        <w:rPr>
          <w:rtl/>
          <w:lang w:bidi="fa-IR"/>
        </w:rPr>
        <w:t xml:space="preserve"> . </w:t>
      </w:r>
      <w:r w:rsidR="00744A1C" w:rsidRPr="000E682B">
        <w:rPr>
          <w:rStyle w:val="libFootnoteBoldChar"/>
          <w:rtl/>
        </w:rPr>
        <w:t>النوادر للأشعري</w:t>
      </w:r>
      <w:r w:rsidR="00744A1C">
        <w:rPr>
          <w:rtl/>
          <w:lang w:bidi="fa-IR"/>
        </w:rPr>
        <w:t xml:space="preserve"> ، ص 162 ، ح 417 ،</w:t>
      </w:r>
      <w:r w:rsidR="000E682B">
        <w:rPr>
          <w:rFonts w:hint="cs"/>
          <w:rtl/>
          <w:lang w:bidi="fa-IR"/>
        </w:rPr>
        <w:t xml:space="preserve"> =</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8663 / 2. عَلِيُّ بْنُ إِبْرَاهِيمَ ، عَنْ أَبِيهِ ، عَنِ ابْنِ أَبِي نَجْرَانَ ، عَنْ عَاصِمِ بْنِ حُمَيْدٍ ، عَنْ مُحَمَّدِ بْنِ قَيْسٍ :</w:t>
      </w:r>
    </w:p>
    <w:p w:rsidR="00144FA6" w:rsidRDefault="00744A1C" w:rsidP="00744A1C">
      <w:pPr>
        <w:pStyle w:val="libNormal"/>
        <w:rPr>
          <w:rtl/>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w:t>
      </w:r>
      <w:r w:rsidR="0061079A" w:rsidRPr="0061079A">
        <w:rPr>
          <w:rStyle w:val="libAlaemChar"/>
          <w:rtl/>
        </w:rPr>
        <w:t>عليه‌السلام</w:t>
      </w:r>
      <w:r w:rsidR="00D10E3C">
        <w:rPr>
          <w:rtl/>
          <w:lang w:bidi="fa-IR"/>
        </w:rPr>
        <w:t xml:space="preserve"> </w:t>
      </w:r>
      <w:r>
        <w:rPr>
          <w:rtl/>
          <w:lang w:bidi="fa-IR"/>
        </w:rPr>
        <w:t xml:space="preserve">: آكِلُ الرِّبَا وَمُؤْكِلُهُ </w:t>
      </w:r>
      <w:r w:rsidRPr="00D10E3C">
        <w:rPr>
          <w:rStyle w:val="libFootnotenumChar"/>
          <w:rtl/>
        </w:rPr>
        <w:t>(1)</w:t>
      </w:r>
      <w:r>
        <w:rPr>
          <w:rtl/>
          <w:lang w:bidi="fa-IR"/>
        </w:rPr>
        <w:t xml:space="preserve"> وَكَاتِبُهُ وَشَاهِدُهُ </w:t>
      </w:r>
      <w:r w:rsidRPr="00D10E3C">
        <w:rPr>
          <w:rStyle w:val="libFootnotenumChar"/>
          <w:rtl/>
        </w:rPr>
        <w:t>(2)</w:t>
      </w:r>
      <w:r>
        <w:rPr>
          <w:rtl/>
          <w:lang w:bidi="fa-IR"/>
        </w:rPr>
        <w:t xml:space="preserve"> فِيهِ </w:t>
      </w:r>
      <w:r w:rsidRPr="00D10E3C">
        <w:rPr>
          <w:rStyle w:val="libFootnotenumChar"/>
          <w:rtl/>
        </w:rPr>
        <w:t>(3)</w:t>
      </w:r>
      <w:r>
        <w:rPr>
          <w:rtl/>
          <w:lang w:bidi="fa-IR"/>
        </w:rPr>
        <w:t xml:space="preserve"> سَوَاءٌ ». </w:t>
      </w:r>
      <w:r w:rsidRPr="00D10E3C">
        <w:rPr>
          <w:rStyle w:val="libFootnotenumChar"/>
          <w:rtl/>
        </w:rPr>
        <w:t>(4)</w:t>
      </w:r>
    </w:p>
    <w:p w:rsidR="00144FA6" w:rsidRDefault="00744A1C" w:rsidP="00744A1C">
      <w:pPr>
        <w:pStyle w:val="libNormal"/>
        <w:rPr>
          <w:rtl/>
          <w:lang w:bidi="fa-IR"/>
        </w:rPr>
      </w:pPr>
      <w:r>
        <w:rPr>
          <w:rtl/>
          <w:lang w:bidi="fa-IR"/>
        </w:rPr>
        <w:t xml:space="preserve">8664 / 3. مُحَمَّدُ بْنُ يَحْيى ، عَنْ أَحْمَدَ بْنِ مُحَمَّدٍ ، عَنْ مُحَمَّدِ بْنِ عِيسى ، عَنْ مَنْصُورٍ ، عَنْ هِشَامِ بْنِ سَالِمٍ </w:t>
      </w:r>
      <w:r w:rsidRPr="00D10E3C">
        <w:rPr>
          <w:rStyle w:val="libFootnotenumChar"/>
          <w:rtl/>
        </w:rPr>
        <w:t>(5)</w:t>
      </w:r>
      <w:r>
        <w:rPr>
          <w:rtl/>
          <w:lang w:bidi="fa-IR"/>
        </w:rPr>
        <w:t xml:space="preserve">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سَأَلْتُهُ عَنِ الرَّجُلِ يَأْكُلُ الرِّبَا وَهُوَ يَرى أَنَّهُ لَهُ </w:t>
      </w:r>
      <w:r w:rsidRPr="00D10E3C">
        <w:rPr>
          <w:rStyle w:val="libFootnotenumChar"/>
          <w:rtl/>
        </w:rPr>
        <w:t>(6)</w:t>
      </w:r>
      <w:r>
        <w:rPr>
          <w:rtl/>
          <w:lang w:bidi="fa-IR"/>
        </w:rPr>
        <w:t xml:space="preserve"> حَلَالٌ </w:t>
      </w:r>
      <w:r w:rsidRPr="00D10E3C">
        <w:rPr>
          <w:rStyle w:val="libFootnotenumChar"/>
          <w:rtl/>
        </w:rPr>
        <w:t>(7)</w:t>
      </w:r>
      <w:r>
        <w:rPr>
          <w:rtl/>
          <w:lang w:bidi="fa-IR"/>
        </w:rPr>
        <w:t>؟</w:t>
      </w:r>
    </w:p>
    <w:p w:rsidR="00144FA6" w:rsidRDefault="00744A1C" w:rsidP="00744A1C">
      <w:pPr>
        <w:pStyle w:val="libNormal"/>
        <w:rPr>
          <w:rtl/>
          <w:lang w:bidi="fa-IR"/>
        </w:rPr>
      </w:pPr>
      <w:r>
        <w:rPr>
          <w:rtl/>
          <w:lang w:bidi="fa-IR"/>
        </w:rPr>
        <w:t xml:space="preserve">قَالَ : « لَا يَضُرُّهُ حَتّى يُصِيبَهُ مُتَعَمِّداً ، فَإِذَا </w:t>
      </w:r>
      <w:r w:rsidRPr="00D10E3C">
        <w:rPr>
          <w:rStyle w:val="libFootnotenumChar"/>
          <w:rtl/>
        </w:rPr>
        <w:t>(8)</w:t>
      </w:r>
      <w:r>
        <w:rPr>
          <w:rtl/>
          <w:lang w:bidi="fa-IR"/>
        </w:rPr>
        <w:t xml:space="preserve"> أَصَابَهُ مُتَعَمِّداً ، فَهُوَ بِالْمَنْزِلَةِ </w:t>
      </w:r>
      <w:r w:rsidRPr="00D10E3C">
        <w:rPr>
          <w:rStyle w:val="libFootnotenumChar"/>
          <w:rtl/>
        </w:rPr>
        <w:t>(9)</w:t>
      </w:r>
    </w:p>
    <w:p w:rsidR="00744A1C" w:rsidRDefault="00744A1C" w:rsidP="00D10E3C">
      <w:pPr>
        <w:pStyle w:val="libLine"/>
        <w:rPr>
          <w:lang w:bidi="fa-IR"/>
        </w:rPr>
      </w:pPr>
      <w:r>
        <w:rPr>
          <w:rtl/>
          <w:lang w:bidi="fa-IR"/>
        </w:rPr>
        <w:t>____________________</w:t>
      </w:r>
    </w:p>
    <w:p w:rsidR="00744A1C" w:rsidRDefault="0096233C" w:rsidP="00D10E3C">
      <w:pPr>
        <w:pStyle w:val="libFootnote0"/>
        <w:rPr>
          <w:lang w:bidi="fa-IR"/>
        </w:rPr>
      </w:pPr>
      <w:r>
        <w:rPr>
          <w:rFonts w:hint="cs"/>
          <w:rtl/>
          <w:lang w:bidi="fa-IR"/>
        </w:rPr>
        <w:t xml:space="preserve">= </w:t>
      </w:r>
      <w:r w:rsidR="00744A1C">
        <w:rPr>
          <w:rtl/>
          <w:lang w:bidi="fa-IR"/>
        </w:rPr>
        <w:t xml:space="preserve">مرسلاً ، وتمام الرواية فيه : « درهم ربا أعظم من عشرين زنية بذات محرم » ؛ وفيه ، ح 416 ، مرسلاً عن أبي جعفر </w:t>
      </w:r>
      <w:r w:rsidR="0061079A" w:rsidRPr="0061079A">
        <w:rPr>
          <w:rStyle w:val="libFootnoteAlaemChar"/>
          <w:rtl/>
        </w:rPr>
        <w:t>عليه‌السلام</w:t>
      </w:r>
      <w:r w:rsidR="00D10E3C">
        <w:rPr>
          <w:rtl/>
          <w:lang w:bidi="fa-IR"/>
        </w:rPr>
        <w:t xml:space="preserve"> </w:t>
      </w:r>
      <w:r w:rsidR="00744A1C">
        <w:rPr>
          <w:rtl/>
          <w:lang w:bidi="fa-IR"/>
        </w:rPr>
        <w:t xml:space="preserve">، وتمام الرواية : « درهم ربا أعظم عند الله من أربعين زنية » </w:t>
      </w:r>
      <w:r w:rsidR="006660E7">
        <w:rPr>
          <w:rFonts w:hint="cs"/>
          <w:rtl/>
          <w:lang w:bidi="fa-IR"/>
        </w:rPr>
        <w:t>.</w:t>
      </w:r>
      <w:r w:rsidR="00744A1C" w:rsidRPr="00C24F9C">
        <w:rPr>
          <w:rStyle w:val="libFootnoteBoldChar"/>
          <w:rtl/>
        </w:rPr>
        <w:t>الوافي</w:t>
      </w:r>
      <w:r w:rsidR="00744A1C">
        <w:rPr>
          <w:rtl/>
          <w:lang w:bidi="fa-IR"/>
        </w:rPr>
        <w:t xml:space="preserve"> ، ج 17 ، ص 375 ، ح 17458 ؛ </w:t>
      </w:r>
      <w:r w:rsidR="00744A1C" w:rsidRPr="00C24F9C">
        <w:rPr>
          <w:rStyle w:val="libFootnoteBoldChar"/>
          <w:rtl/>
        </w:rPr>
        <w:t>الوسائل</w:t>
      </w:r>
      <w:r w:rsidR="00744A1C">
        <w:rPr>
          <w:rtl/>
          <w:lang w:bidi="fa-IR"/>
        </w:rPr>
        <w:t xml:space="preserve"> ، ج 18 ، ص 117 ، ح 23270.</w:t>
      </w:r>
    </w:p>
    <w:p w:rsidR="00744A1C" w:rsidRDefault="00D10E3C" w:rsidP="00D10E3C">
      <w:pPr>
        <w:pStyle w:val="libFootnote0"/>
        <w:rPr>
          <w:lang w:bidi="fa-IR"/>
        </w:rPr>
      </w:pPr>
      <w:r>
        <w:rPr>
          <w:rtl/>
          <w:lang w:bidi="fa-IR"/>
        </w:rPr>
        <w:t>(1).</w:t>
      </w:r>
      <w:r w:rsidR="00744A1C">
        <w:rPr>
          <w:rtl/>
          <w:lang w:bidi="fa-IR"/>
        </w:rPr>
        <w:t xml:space="preserve"> في « جن » : + « وآكله ». وفي </w:t>
      </w:r>
      <w:r w:rsidR="00744A1C" w:rsidRPr="00C24F9C">
        <w:rPr>
          <w:rStyle w:val="libFootnoteBoldChar"/>
          <w:rtl/>
        </w:rPr>
        <w:t>الوافي</w:t>
      </w:r>
      <w:r w:rsidR="00744A1C">
        <w:rPr>
          <w:rtl/>
          <w:lang w:bidi="fa-IR"/>
        </w:rPr>
        <w:t xml:space="preserve"> : « مؤكله : مطعمه من الإيكال ، أو التأكيل بمعنى الإطعام ».</w:t>
      </w:r>
    </w:p>
    <w:p w:rsidR="00744A1C" w:rsidRDefault="00E378DD" w:rsidP="00E378DD">
      <w:pPr>
        <w:pStyle w:val="libFootnote0"/>
        <w:rPr>
          <w:lang w:bidi="fa-IR"/>
        </w:rPr>
      </w:pPr>
      <w:r>
        <w:rPr>
          <w:rtl/>
          <w:lang w:bidi="fa-IR"/>
        </w:rPr>
        <w:t>(2).</w:t>
      </w:r>
      <w:r w:rsidR="00744A1C">
        <w:rPr>
          <w:rtl/>
          <w:lang w:bidi="fa-IR"/>
        </w:rPr>
        <w:t xml:space="preserve"> في « ط ، ى ، بح ، بخ ، بف ، جد ، جن » وحاشية « جت » </w:t>
      </w:r>
      <w:r w:rsidR="00744A1C" w:rsidRPr="00DE6020">
        <w:rPr>
          <w:rtl/>
        </w:rPr>
        <w:t>والوافي والوسائل والفقيه : «</w:t>
      </w:r>
      <w:r w:rsidR="00744A1C">
        <w:rPr>
          <w:rtl/>
          <w:lang w:bidi="fa-IR"/>
        </w:rPr>
        <w:t xml:space="preserve"> وشاهداه ».</w:t>
      </w:r>
    </w:p>
    <w:p w:rsidR="00744A1C" w:rsidRDefault="00E378DD" w:rsidP="00E378DD">
      <w:pPr>
        <w:pStyle w:val="libFootnote0"/>
        <w:rPr>
          <w:lang w:bidi="fa-IR"/>
        </w:rPr>
      </w:pPr>
      <w:r>
        <w:rPr>
          <w:rtl/>
          <w:lang w:bidi="fa-IR"/>
        </w:rPr>
        <w:t>(3).</w:t>
      </w:r>
      <w:r w:rsidR="00744A1C">
        <w:rPr>
          <w:rtl/>
          <w:lang w:bidi="fa-IR"/>
        </w:rPr>
        <w:t xml:space="preserve"> في </w:t>
      </w:r>
      <w:r w:rsidR="00744A1C" w:rsidRPr="00DE6020">
        <w:rPr>
          <w:rtl/>
        </w:rPr>
        <w:t>الفقيه :</w:t>
      </w:r>
      <w:r w:rsidR="00744A1C">
        <w:rPr>
          <w:rtl/>
          <w:lang w:bidi="fa-IR"/>
        </w:rPr>
        <w:t xml:space="preserve"> « في الوزر ».</w:t>
      </w:r>
    </w:p>
    <w:p w:rsidR="00744A1C" w:rsidRDefault="00E378DD" w:rsidP="00DE6020">
      <w:pPr>
        <w:pStyle w:val="libFootnote0"/>
        <w:rPr>
          <w:lang w:bidi="fa-IR"/>
        </w:rPr>
      </w:pPr>
      <w:r>
        <w:rPr>
          <w:rtl/>
          <w:lang w:bidi="fa-IR"/>
        </w:rPr>
        <w:t>(4).</w:t>
      </w:r>
      <w:r w:rsidR="00744A1C">
        <w:rPr>
          <w:rtl/>
          <w:lang w:bidi="fa-IR"/>
        </w:rPr>
        <w:t xml:space="preserve"> </w:t>
      </w:r>
      <w:r w:rsidR="00744A1C" w:rsidRPr="00C24F9C">
        <w:rPr>
          <w:rStyle w:val="libFootnoteBoldChar"/>
          <w:rtl/>
        </w:rPr>
        <w:t>الفقيه</w:t>
      </w:r>
      <w:r w:rsidR="00744A1C">
        <w:rPr>
          <w:rtl/>
          <w:lang w:bidi="fa-IR"/>
        </w:rPr>
        <w:t xml:space="preserve"> ، ج 3 ، ص 274 ، ح 3993 ، مرسلاً عن رسول الله </w:t>
      </w:r>
      <w:r w:rsidR="00F90866" w:rsidRPr="00F90866">
        <w:rPr>
          <w:rStyle w:val="libFootnoteAlaemChar"/>
          <w:rtl/>
        </w:rPr>
        <w:t>صلى‌الله‌عليه‌وآله</w:t>
      </w:r>
      <w:r w:rsidR="00744A1C">
        <w:rPr>
          <w:rtl/>
          <w:lang w:bidi="fa-IR"/>
        </w:rPr>
        <w:t xml:space="preserve">. راجع : </w:t>
      </w:r>
      <w:r w:rsidR="00744A1C" w:rsidRPr="00C24F9C">
        <w:rPr>
          <w:rStyle w:val="libFootnoteBoldChar"/>
          <w:rtl/>
        </w:rPr>
        <w:t>الفقيه</w:t>
      </w:r>
      <w:r w:rsidR="00744A1C">
        <w:rPr>
          <w:rtl/>
          <w:lang w:bidi="fa-IR"/>
        </w:rPr>
        <w:t xml:space="preserve"> ، ج 3 ، ص 274 ، ح 3994 ؛ وج 4 ، ص 8 ، ح 4968 ؛ و</w:t>
      </w:r>
      <w:r w:rsidR="00DE6020">
        <w:rPr>
          <w:rFonts w:hint="cs"/>
          <w:rtl/>
          <w:lang w:bidi="fa-IR"/>
        </w:rPr>
        <w:t xml:space="preserve"> </w:t>
      </w:r>
      <w:r w:rsidR="00744A1C" w:rsidRPr="00DE6020">
        <w:rPr>
          <w:rStyle w:val="libFootnoteBoldChar"/>
          <w:rtl/>
        </w:rPr>
        <w:t>الأمالي للصدوق</w:t>
      </w:r>
      <w:r w:rsidR="00744A1C">
        <w:rPr>
          <w:rtl/>
          <w:lang w:bidi="fa-IR"/>
        </w:rPr>
        <w:t xml:space="preserve"> ، ص 424 ، المجلس 66 ، ح 1 </w:t>
      </w:r>
      <w:r w:rsidR="00DE6020">
        <w:rPr>
          <w:rFonts w:hint="cs"/>
          <w:rtl/>
          <w:lang w:bidi="fa-IR"/>
        </w:rPr>
        <w:t>.</w:t>
      </w:r>
      <w:r w:rsidR="00744A1C" w:rsidRPr="00C24F9C">
        <w:rPr>
          <w:rStyle w:val="libFootnoteBoldChar"/>
          <w:rtl/>
        </w:rPr>
        <w:t>الوافي</w:t>
      </w:r>
      <w:r w:rsidR="00744A1C">
        <w:rPr>
          <w:rtl/>
          <w:lang w:bidi="fa-IR"/>
        </w:rPr>
        <w:t xml:space="preserve"> ، ج 17 ، ص 376 ، ح 17459 ؛ </w:t>
      </w:r>
      <w:r w:rsidR="00744A1C" w:rsidRPr="00C24F9C">
        <w:rPr>
          <w:rStyle w:val="libFootnoteBoldChar"/>
          <w:rtl/>
        </w:rPr>
        <w:t>الوسائل</w:t>
      </w:r>
      <w:r w:rsidR="00744A1C">
        <w:rPr>
          <w:rtl/>
          <w:lang w:bidi="fa-IR"/>
        </w:rPr>
        <w:t xml:space="preserve"> ، ج 18 ، ص 126 ، ح 23297.</w:t>
      </w:r>
      <w:r w:rsidR="00DE6020">
        <w:rPr>
          <w:rFonts w:hint="cs"/>
          <w:rtl/>
          <w:lang w:bidi="fa-IR"/>
        </w:rPr>
        <w:t xml:space="preserve">    </w:t>
      </w:r>
      <w:r>
        <w:rPr>
          <w:rtl/>
          <w:lang w:bidi="fa-IR"/>
        </w:rPr>
        <w:t>(5).</w:t>
      </w:r>
      <w:r w:rsidR="00744A1C">
        <w:rPr>
          <w:rtl/>
          <w:lang w:bidi="fa-IR"/>
        </w:rPr>
        <w:t xml:space="preserve"> في « بف » : - « بن سالم ».</w:t>
      </w:r>
    </w:p>
    <w:p w:rsidR="00744A1C" w:rsidRDefault="00E378DD" w:rsidP="00E378DD">
      <w:pPr>
        <w:pStyle w:val="libFootnote0"/>
        <w:rPr>
          <w:lang w:bidi="fa-IR"/>
        </w:rPr>
      </w:pPr>
      <w:r>
        <w:rPr>
          <w:rtl/>
          <w:lang w:bidi="fa-IR"/>
        </w:rPr>
        <w:t>(6).</w:t>
      </w:r>
      <w:r w:rsidR="00744A1C">
        <w:rPr>
          <w:rtl/>
          <w:lang w:bidi="fa-IR"/>
        </w:rPr>
        <w:t xml:space="preserve"> في « بح » : « له أنّه ». وفي « بف » : - « له ».</w:t>
      </w:r>
    </w:p>
    <w:p w:rsidR="00744A1C" w:rsidRDefault="00E378DD" w:rsidP="00E378DD">
      <w:pPr>
        <w:pStyle w:val="libFootnote0"/>
        <w:rPr>
          <w:lang w:bidi="fa-IR"/>
        </w:rPr>
      </w:pPr>
      <w:r>
        <w:rPr>
          <w:rtl/>
          <w:lang w:bidi="fa-IR"/>
        </w:rPr>
        <w:t>(7).</w:t>
      </w:r>
      <w:r w:rsidR="00744A1C">
        <w:rPr>
          <w:rtl/>
          <w:lang w:bidi="fa-IR"/>
        </w:rPr>
        <w:t xml:space="preserve"> قال المحقّق الشعراني في هامش </w:t>
      </w:r>
      <w:r w:rsidR="00744A1C" w:rsidRPr="00C24F9C">
        <w:rPr>
          <w:rStyle w:val="libFootnoteBoldChar"/>
          <w:rtl/>
        </w:rPr>
        <w:t>الوافي</w:t>
      </w:r>
      <w:r w:rsidR="00744A1C">
        <w:rPr>
          <w:rtl/>
          <w:lang w:bidi="fa-IR"/>
        </w:rPr>
        <w:t xml:space="preserve"> : « قوله : يأكل الربا ، وهو يرى أنّه حلال ، كأنّه يشير إلى أفراد من الربا اختلف فيها الأنظار والاجتهادات ، حكى في </w:t>
      </w:r>
      <w:r w:rsidR="00744A1C" w:rsidRPr="002871A6">
        <w:rPr>
          <w:rStyle w:val="libFootnoteBoldChar"/>
          <w:rtl/>
        </w:rPr>
        <w:t>المختلف</w:t>
      </w:r>
      <w:r w:rsidR="00744A1C">
        <w:rPr>
          <w:rtl/>
          <w:lang w:bidi="fa-IR"/>
        </w:rPr>
        <w:t xml:space="preserve"> عن ابن الجنيد : من اشتبه عليه ا</w:t>
      </w:r>
      <w:r w:rsidR="002871A6">
        <w:rPr>
          <w:rtl/>
          <w:lang w:bidi="fa-IR"/>
        </w:rPr>
        <w:t>لربا لم يكن له أن يقدم عليه إل</w:t>
      </w:r>
      <w:r w:rsidR="002871A6">
        <w:rPr>
          <w:rFonts w:hint="cs"/>
          <w:rtl/>
          <w:lang w:bidi="fa-IR"/>
        </w:rPr>
        <w:t>ّ</w:t>
      </w:r>
      <w:r w:rsidR="002871A6">
        <w:rPr>
          <w:rtl/>
          <w:lang w:bidi="fa-IR"/>
        </w:rPr>
        <w:t>ا</w:t>
      </w:r>
      <w:r w:rsidR="00744A1C">
        <w:rPr>
          <w:rtl/>
          <w:lang w:bidi="fa-IR"/>
        </w:rPr>
        <w:t>بعد اليقين بأنّ ما يدخل فيه حلال ، فإن قلّد غيره ، أو استدلّ فأخطأ ، ثمّ تبيّن له أنّ ذلك ربا لايحلّ ، فإن كان معروفاً ردّه على صاحبه وتاب إلى الله تعالى ؛ وإن اختلط بماله حتّى لا يعرفه ، أو ورث مالاً كان يعلم أنّ صاحبه يربي ، ولا يعلم الربا بعينه فيعزله ، جاز له أكله والتصرّف فيه إذا لم يعلم فيه الربا. انتهى.</w:t>
      </w:r>
    </w:p>
    <w:p w:rsidR="00744A1C" w:rsidRDefault="00744A1C" w:rsidP="00D10E3C">
      <w:pPr>
        <w:pStyle w:val="libFootnote0"/>
        <w:rPr>
          <w:lang w:bidi="fa-IR"/>
        </w:rPr>
      </w:pPr>
      <w:r>
        <w:rPr>
          <w:rtl/>
          <w:lang w:bidi="fa-IR"/>
        </w:rPr>
        <w:t xml:space="preserve">والخبر يدلّ على معذوريّة الجاهل ، لا على عدم الضمان بعد العلم ». وراجع : </w:t>
      </w:r>
      <w:r w:rsidRPr="00877682">
        <w:rPr>
          <w:rStyle w:val="libFootnoteBoldChar"/>
          <w:rtl/>
        </w:rPr>
        <w:t>مختلف الشيعة</w:t>
      </w:r>
      <w:r>
        <w:rPr>
          <w:rtl/>
          <w:lang w:bidi="fa-IR"/>
        </w:rPr>
        <w:t xml:space="preserve"> ، ج 5 ، ص 78.</w:t>
      </w:r>
    </w:p>
    <w:p w:rsidR="00744A1C" w:rsidRDefault="00E378DD" w:rsidP="00E378DD">
      <w:pPr>
        <w:pStyle w:val="libFootnote0"/>
        <w:rPr>
          <w:lang w:bidi="fa-IR"/>
        </w:rPr>
      </w:pPr>
      <w:r>
        <w:rPr>
          <w:rtl/>
          <w:lang w:bidi="fa-IR"/>
        </w:rPr>
        <w:t>(8).</w:t>
      </w:r>
      <w:r w:rsidR="00744A1C">
        <w:rPr>
          <w:rtl/>
          <w:lang w:bidi="fa-IR"/>
        </w:rPr>
        <w:t xml:space="preserve"> في « جت » : « فإن ».</w:t>
      </w:r>
    </w:p>
    <w:p w:rsidR="00744A1C" w:rsidRDefault="00E378DD" w:rsidP="00E378DD">
      <w:pPr>
        <w:pStyle w:val="libFootnote0"/>
        <w:rPr>
          <w:lang w:bidi="fa-IR"/>
        </w:rPr>
      </w:pPr>
      <w:r>
        <w:rPr>
          <w:rtl/>
          <w:lang w:bidi="fa-IR"/>
        </w:rPr>
        <w:t>(9).</w:t>
      </w:r>
      <w:r w:rsidR="00744A1C">
        <w:rPr>
          <w:rtl/>
          <w:lang w:bidi="fa-IR"/>
        </w:rPr>
        <w:t xml:space="preserve"> في « بح ، بس ، جن » </w:t>
      </w:r>
      <w:r w:rsidR="00744A1C" w:rsidRPr="00577405">
        <w:rPr>
          <w:rtl/>
        </w:rPr>
        <w:t>والوسائل</w:t>
      </w:r>
      <w:r w:rsidR="00744A1C">
        <w:rPr>
          <w:rtl/>
          <w:lang w:bidi="fa-IR"/>
        </w:rPr>
        <w:t xml:space="preserve"> : « بالمنزل ». وفي « ى » : « المنزلة ». وفي </w:t>
      </w:r>
      <w:r w:rsidR="00744A1C" w:rsidRPr="00577405">
        <w:rPr>
          <w:rtl/>
        </w:rPr>
        <w:t>التهذيب</w:t>
      </w:r>
      <w:r w:rsidR="00744A1C">
        <w:rPr>
          <w:rtl/>
          <w:lang w:bidi="fa-IR"/>
        </w:rPr>
        <w:t xml:space="preserve"> : « بمنزلة ».</w:t>
      </w:r>
    </w:p>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الَّتِي </w:t>
      </w:r>
      <w:r w:rsidRPr="00D10E3C">
        <w:rPr>
          <w:rStyle w:val="libFootnotenumChar"/>
          <w:rtl/>
        </w:rPr>
        <w:t>(1)</w:t>
      </w:r>
      <w:r>
        <w:rPr>
          <w:rtl/>
          <w:lang w:bidi="fa-IR"/>
        </w:rPr>
        <w:t xml:space="preserve"> قَالَ اللهُ عَزَّ وَجَلَّ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 xml:space="preserve">8665 / 4. أَحْمَدُ بْنُ مُحَمَّدٍ </w:t>
      </w:r>
      <w:r w:rsidRPr="00D10E3C">
        <w:rPr>
          <w:rStyle w:val="libFootnotenumChar"/>
          <w:rtl/>
        </w:rPr>
        <w:t>(4)</w:t>
      </w:r>
      <w:r>
        <w:rPr>
          <w:rtl/>
          <w:lang w:bidi="fa-IR"/>
        </w:rPr>
        <w:t xml:space="preserve"> ، عَنِ الْوَشَّاءِ ، عَنْ أَبِي الْمَغْرَاءِ ، عَنِ الْحَلَبِيِّ </w:t>
      </w:r>
      <w:r w:rsidRPr="00D10E3C">
        <w:rPr>
          <w:rStyle w:val="libFootnotenumChar"/>
          <w:rtl/>
        </w:rPr>
        <w:t>(5)</w:t>
      </w:r>
      <w:r>
        <w:rPr>
          <w:rtl/>
          <w:lang w:bidi="fa-IR"/>
        </w:rPr>
        <w:t xml:space="preserve"> ، قَالَ :</w:t>
      </w:r>
    </w:p>
    <w:p w:rsidR="00744A1C" w:rsidRDefault="00744A1C" w:rsidP="00744A1C">
      <w:pPr>
        <w:pStyle w:val="libNormal"/>
        <w:rPr>
          <w:lang w:bidi="fa-IR"/>
        </w:rPr>
      </w:pPr>
      <w:r>
        <w:rPr>
          <w:rtl/>
          <w:lang w:bidi="fa-IR"/>
        </w:rPr>
        <w:t xml:space="preserve">قَالَ أَبُو عَبْدِ اللهِ </w:t>
      </w:r>
      <w:r w:rsidR="0061079A" w:rsidRPr="0061079A">
        <w:rPr>
          <w:rStyle w:val="libAlaemChar"/>
          <w:rtl/>
        </w:rPr>
        <w:t>عليه‌السلام</w:t>
      </w:r>
      <w:r w:rsidR="00D10E3C">
        <w:rPr>
          <w:rtl/>
          <w:lang w:bidi="fa-IR"/>
        </w:rPr>
        <w:t xml:space="preserve"> </w:t>
      </w:r>
      <w:r>
        <w:rPr>
          <w:rtl/>
          <w:lang w:bidi="fa-IR"/>
        </w:rPr>
        <w:t xml:space="preserve">: « كُلُّ رِبًا أَكَلَهُ النَّاسُ بِجَهَالَةٍ ثُمَّ تَابُوا ، فَإِنَّهُ يُقْبَلُ </w:t>
      </w:r>
      <w:r w:rsidRPr="00D10E3C">
        <w:rPr>
          <w:rStyle w:val="libFootnotenumChar"/>
          <w:rtl/>
        </w:rPr>
        <w:t>(6)</w:t>
      </w:r>
      <w:r>
        <w:rPr>
          <w:rtl/>
          <w:lang w:bidi="fa-IR"/>
        </w:rPr>
        <w:t xml:space="preserve"> مِنْهُمْ إِذَا عُرِفَ مِنْهُمُ التَّوْبَةُ ».</w:t>
      </w:r>
    </w:p>
    <w:p w:rsidR="00744A1C" w:rsidRDefault="00744A1C" w:rsidP="00744A1C">
      <w:pPr>
        <w:pStyle w:val="libNormal"/>
        <w:rPr>
          <w:lang w:bidi="fa-IR"/>
        </w:rPr>
      </w:pPr>
      <w:r>
        <w:rPr>
          <w:rtl/>
          <w:lang w:bidi="fa-IR"/>
        </w:rPr>
        <w:t>وَ</w:t>
      </w:r>
      <w:r w:rsidR="00CE5B8A">
        <w:rPr>
          <w:rFonts w:hint="cs"/>
          <w:rtl/>
          <w:lang w:bidi="fa-IR"/>
        </w:rPr>
        <w:t xml:space="preserve"> </w:t>
      </w:r>
      <w:r>
        <w:rPr>
          <w:rtl/>
          <w:lang w:bidi="fa-IR"/>
        </w:rPr>
        <w:t xml:space="preserve">قَالَ : « لَوْ أَنَّ رَجُلاً وَرِثَ مِنْ أَبِيهِ مَالاً وَقَدْ عَرَفَ </w:t>
      </w:r>
      <w:r w:rsidRPr="00D10E3C">
        <w:rPr>
          <w:rStyle w:val="libFootnotenumChar"/>
          <w:rtl/>
        </w:rPr>
        <w:t>(7)</w:t>
      </w:r>
      <w:r>
        <w:rPr>
          <w:rtl/>
          <w:lang w:bidi="fa-IR"/>
        </w:rPr>
        <w:t xml:space="preserve"> أَنَّ فِي ذلِكَ الْمَالِ رِبًا وَلكِنْ قَدِ اخْتَلَطَ فِي التِّجَارَةِ بِغَيْرِهِ حَلَالٍ </w:t>
      </w:r>
      <w:r w:rsidRPr="00D10E3C">
        <w:rPr>
          <w:rStyle w:val="libFootnotenumChar"/>
          <w:rtl/>
        </w:rPr>
        <w:t>(8)</w:t>
      </w:r>
      <w:r>
        <w:rPr>
          <w:rtl/>
          <w:lang w:bidi="fa-IR"/>
        </w:rPr>
        <w:t xml:space="preserve"> ، كَانَ حَلَالاً طَيِّباً ، فَلْيَأْكُلْهُ ، وَإِنْ عَرَفَ مِنْهُ شَيْئاً </w:t>
      </w:r>
      <w:r w:rsidRPr="00D10E3C">
        <w:rPr>
          <w:rStyle w:val="libFootnotenumChar"/>
          <w:rtl/>
        </w:rPr>
        <w:t>(9)</w:t>
      </w:r>
      <w:r>
        <w:rPr>
          <w:rtl/>
          <w:lang w:bidi="fa-IR"/>
        </w:rPr>
        <w:t xml:space="preserve"> أَنَّهُ‌ رِبًا ، فَلْيَأْخُذْ رَأْسَ مَالِهِ ، وَلْيَرُدَّ الرِّبَا </w:t>
      </w:r>
      <w:r w:rsidRPr="00D10E3C">
        <w:rPr>
          <w:rStyle w:val="libFootnotenumChar"/>
          <w:rtl/>
        </w:rPr>
        <w:t>(10)</w:t>
      </w:r>
      <w:r>
        <w:rPr>
          <w:rtl/>
          <w:lang w:bidi="fa-IR"/>
        </w:rPr>
        <w:t xml:space="preserve"> ؛ وَأَيُّمَا رَجُلٍ أَفَادَ </w:t>
      </w:r>
      <w:r w:rsidRPr="00D10E3C">
        <w:rPr>
          <w:rStyle w:val="libFootnotenumChar"/>
          <w:rtl/>
        </w:rPr>
        <w:t>(11)</w:t>
      </w:r>
      <w:r>
        <w:rPr>
          <w:rtl/>
          <w:lang w:bidi="fa-IR"/>
        </w:rPr>
        <w:t xml:space="preserve"> مَالاً كَثِيراً قَدْ أَكْثَرَ فِيهِ مِنَ‌</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بح ، بس ، جن » وحاشية « جت » </w:t>
      </w:r>
      <w:r w:rsidR="00744A1C" w:rsidRPr="00CE5B8A">
        <w:rPr>
          <w:rtl/>
        </w:rPr>
        <w:t>والوسائل والتهذيب</w:t>
      </w:r>
      <w:r w:rsidR="00744A1C">
        <w:rPr>
          <w:rtl/>
          <w:lang w:bidi="fa-IR"/>
        </w:rPr>
        <w:t xml:space="preserve"> : « الذي ».</w:t>
      </w:r>
    </w:p>
    <w:p w:rsidR="00744A1C" w:rsidRDefault="00E378DD" w:rsidP="00E378DD">
      <w:pPr>
        <w:pStyle w:val="libFootnote0"/>
        <w:rPr>
          <w:lang w:bidi="fa-IR"/>
        </w:rPr>
      </w:pPr>
      <w:r>
        <w:rPr>
          <w:rtl/>
          <w:lang w:bidi="fa-IR"/>
        </w:rPr>
        <w:t>(2).</w:t>
      </w:r>
      <w:r w:rsidR="00744A1C">
        <w:rPr>
          <w:rtl/>
          <w:lang w:bidi="fa-IR"/>
        </w:rPr>
        <w:t xml:space="preserve"> في </w:t>
      </w:r>
      <w:r w:rsidR="00744A1C" w:rsidRPr="00877682">
        <w:rPr>
          <w:rStyle w:val="libFootnoteBoldChar"/>
          <w:rtl/>
        </w:rPr>
        <w:t>مرآة العقول</w:t>
      </w:r>
      <w:r w:rsidR="00744A1C">
        <w:rPr>
          <w:rtl/>
          <w:lang w:bidi="fa-IR"/>
        </w:rPr>
        <w:t xml:space="preserve"> ، ج 19 ، ص 122 : « يدلّ على أنّ الجاهل في الربا</w:t>
      </w:r>
      <w:r w:rsidR="00CE5B8A">
        <w:rPr>
          <w:rtl/>
          <w:lang w:bidi="fa-IR"/>
        </w:rPr>
        <w:t xml:space="preserve"> معذور ، قال العل</w:t>
      </w:r>
      <w:r w:rsidR="00CE5B8A">
        <w:rPr>
          <w:rFonts w:hint="cs"/>
          <w:rtl/>
          <w:lang w:bidi="fa-IR"/>
        </w:rPr>
        <w:t>ّ</w:t>
      </w:r>
      <w:r w:rsidR="00CE5B8A">
        <w:rPr>
          <w:rtl/>
          <w:lang w:bidi="fa-IR"/>
        </w:rPr>
        <w:t>ا</w:t>
      </w:r>
      <w:r w:rsidR="00744A1C">
        <w:rPr>
          <w:rtl/>
          <w:lang w:bidi="fa-IR"/>
        </w:rPr>
        <w:t xml:space="preserve">مة في </w:t>
      </w:r>
      <w:r w:rsidR="00744A1C" w:rsidRPr="008E5875">
        <w:rPr>
          <w:rStyle w:val="libFootnoteBoldChar"/>
          <w:rtl/>
        </w:rPr>
        <w:t>التذكرة</w:t>
      </w:r>
      <w:r w:rsidR="00744A1C">
        <w:rPr>
          <w:rtl/>
          <w:lang w:bidi="fa-IR"/>
        </w:rPr>
        <w:t xml:space="preserve"> : يجب على آخذ الربا المحرّم ردّه على مالكه إن عرفه ، ولو لم يعرف المالك تصدّق عنه ؛ لأنّه مجهول المالك ، ولو وجد المالك قد مات سلّم إلى الورثة ، فإن جهلهم تصدّق به إن لم يتمكّن من استعلامهم ، ولو يعرف المقدار وعرف المالك صالحه ، ولو لم يعرف المقدار ولا المالك أخرج خمسه وحلّ له الباقي. هذا إذا فعل الربا متعمّداً ، أمّا إذا فعله جاهلاً بتحريمه فالأقوى أنّه أيضاً كذلك ، وقيل : لا يجب عليه ردّه ؛ لقوله تعالى : </w:t>
      </w:r>
      <w:r w:rsidR="00744A1C" w:rsidRPr="008E5875">
        <w:rPr>
          <w:rStyle w:val="libFootnoteAlaemChar"/>
          <w:rtl/>
        </w:rPr>
        <w:t>(</w:t>
      </w:r>
      <w:r w:rsidR="00744A1C" w:rsidRPr="008E5875">
        <w:rPr>
          <w:rStyle w:val="libFootnoteAieChar"/>
          <w:rtl/>
        </w:rPr>
        <w:t xml:space="preserve"> فَمَنْ ج</w:t>
      </w:r>
      <w:r w:rsidR="008E5875">
        <w:rPr>
          <w:rStyle w:val="libFootnoteAieChar"/>
          <w:rFonts w:hint="cs"/>
          <w:rtl/>
        </w:rPr>
        <w:t>َ</w:t>
      </w:r>
      <w:r w:rsidR="00744A1C" w:rsidRPr="008E5875">
        <w:rPr>
          <w:rStyle w:val="libFootnoteAieChar"/>
          <w:rtl/>
        </w:rPr>
        <w:t>اءَهُ مَوْعِظَةٌ مِنْ رَبِّهِ فَانْتَه</w:t>
      </w:r>
      <w:r w:rsidR="008E5875">
        <w:rPr>
          <w:rStyle w:val="libFootnoteAieChar"/>
          <w:rFonts w:hint="cs"/>
          <w:rtl/>
        </w:rPr>
        <w:t>َ</w:t>
      </w:r>
      <w:r w:rsidR="00744A1C" w:rsidRPr="008E5875">
        <w:rPr>
          <w:rStyle w:val="libFootnoteAieChar"/>
          <w:rtl/>
        </w:rPr>
        <w:t>ى فَلَهُ م</w:t>
      </w:r>
      <w:r w:rsidR="008E5875">
        <w:rPr>
          <w:rStyle w:val="libFootnoteAieChar"/>
          <w:rFonts w:hint="cs"/>
          <w:rtl/>
        </w:rPr>
        <w:t>َ</w:t>
      </w:r>
      <w:r w:rsidR="00744A1C" w:rsidRPr="008E5875">
        <w:rPr>
          <w:rStyle w:val="libFootnoteAieChar"/>
          <w:rtl/>
        </w:rPr>
        <w:t xml:space="preserve">ا سَلَفَ </w:t>
      </w:r>
      <w:r w:rsidR="00744A1C" w:rsidRPr="008E5875">
        <w:rPr>
          <w:rStyle w:val="libFootnoteAlaemChar"/>
          <w:rtl/>
        </w:rPr>
        <w:t>)</w:t>
      </w:r>
      <w:r w:rsidR="00744A1C">
        <w:rPr>
          <w:rtl/>
          <w:lang w:bidi="fa-IR"/>
        </w:rPr>
        <w:t xml:space="preserve"> [ البقرة </w:t>
      </w:r>
      <w:r w:rsidR="008E5875">
        <w:rPr>
          <w:rtl/>
          <w:lang w:bidi="fa-IR"/>
        </w:rPr>
        <w:t>(2)</w:t>
      </w:r>
      <w:r w:rsidR="00744A1C">
        <w:rPr>
          <w:rtl/>
          <w:lang w:bidi="fa-IR"/>
        </w:rPr>
        <w:t xml:space="preserve"> : 275 ] وهو يتناول ما أخذه على وجه الربا ، أو لما روي عن الصادق </w:t>
      </w:r>
      <w:r w:rsidR="0061079A" w:rsidRPr="0061079A">
        <w:rPr>
          <w:rStyle w:val="libFootnoteAlaemChar"/>
          <w:rtl/>
        </w:rPr>
        <w:t>عليه‌السلام</w:t>
      </w:r>
      <w:r w:rsidR="00744A1C">
        <w:rPr>
          <w:rtl/>
          <w:lang w:bidi="fa-IR"/>
        </w:rPr>
        <w:t xml:space="preserve"> . انتهى. أقول : ومن قال بوجوب ردّها حمل الآية على حطّ الذنب بعد التوبة ، أو اختصاصه بزمن الجاهليّة ». وراجع : </w:t>
      </w:r>
      <w:r w:rsidR="00744A1C" w:rsidRPr="008E5875">
        <w:rPr>
          <w:rStyle w:val="libFootnoteBoldChar"/>
          <w:rtl/>
        </w:rPr>
        <w:t>تذكرة الفقهاء</w:t>
      </w:r>
      <w:r w:rsidR="00744A1C">
        <w:rPr>
          <w:rtl/>
          <w:lang w:bidi="fa-IR"/>
        </w:rPr>
        <w:t xml:space="preserve"> ، ج 10 ، ص 209 ، المسألة 106.</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7 ، ص 15 ، ح 66 ، بسند آخر. </w:t>
      </w:r>
      <w:r w:rsidR="00744A1C" w:rsidRPr="00F93194">
        <w:rPr>
          <w:rStyle w:val="libFootnoteBoldChar"/>
          <w:rtl/>
        </w:rPr>
        <w:t>مسائل عليّ بن جعفر</w:t>
      </w:r>
      <w:r w:rsidR="00744A1C">
        <w:rPr>
          <w:rtl/>
          <w:lang w:bidi="fa-IR"/>
        </w:rPr>
        <w:t xml:space="preserve"> ، ص 147 ، بسند آخر عن موسى بن جعفر </w:t>
      </w:r>
      <w:r w:rsidR="0061079A" w:rsidRPr="0061079A">
        <w:rPr>
          <w:rStyle w:val="libFootnoteAlaemChar"/>
          <w:rtl/>
        </w:rPr>
        <w:t>عليه‌السلام</w:t>
      </w:r>
      <w:r w:rsidR="00D10E3C">
        <w:rPr>
          <w:rtl/>
          <w:lang w:bidi="fa-IR"/>
        </w:rPr>
        <w:t xml:space="preserve"> </w:t>
      </w:r>
      <w:r w:rsidR="00744A1C">
        <w:rPr>
          <w:rtl/>
          <w:lang w:bidi="fa-IR"/>
        </w:rPr>
        <w:t xml:space="preserve">، مع اختلاف يسير </w:t>
      </w:r>
      <w:r w:rsidR="00F93194">
        <w:rPr>
          <w:rFonts w:hint="cs"/>
          <w:rtl/>
          <w:lang w:bidi="fa-IR"/>
        </w:rPr>
        <w:t>.</w:t>
      </w:r>
      <w:r w:rsidR="00744A1C" w:rsidRPr="00C24F9C">
        <w:rPr>
          <w:rStyle w:val="libFootnoteBoldChar"/>
          <w:rtl/>
        </w:rPr>
        <w:t>الوافي</w:t>
      </w:r>
      <w:r w:rsidR="00744A1C">
        <w:rPr>
          <w:rtl/>
          <w:lang w:bidi="fa-IR"/>
        </w:rPr>
        <w:t xml:space="preserve"> ، ج 17 ، ص 376 ، ح 17461 ؛ </w:t>
      </w:r>
      <w:r w:rsidR="00744A1C" w:rsidRPr="00C24F9C">
        <w:rPr>
          <w:rStyle w:val="libFootnoteBoldChar"/>
          <w:rtl/>
        </w:rPr>
        <w:t>الوسائل</w:t>
      </w:r>
      <w:r w:rsidR="00744A1C">
        <w:rPr>
          <w:rtl/>
          <w:lang w:bidi="fa-IR"/>
        </w:rPr>
        <w:t xml:space="preserve"> ، ج 18 ، ص 128 ، ح 23301.</w:t>
      </w:r>
    </w:p>
    <w:p w:rsidR="00744A1C" w:rsidRDefault="00E378DD" w:rsidP="00E378DD">
      <w:pPr>
        <w:pStyle w:val="libFootnote0"/>
        <w:rPr>
          <w:lang w:bidi="fa-IR"/>
        </w:rPr>
      </w:pPr>
      <w:r>
        <w:rPr>
          <w:rtl/>
          <w:lang w:bidi="fa-IR"/>
        </w:rPr>
        <w:t>(4).</w:t>
      </w:r>
      <w:r w:rsidR="00744A1C">
        <w:rPr>
          <w:rtl/>
          <w:lang w:bidi="fa-IR"/>
        </w:rPr>
        <w:t xml:space="preserve"> السند معلّق على سابقه. ويروي عن أحمد بن محمّد ، محمّد بن يحيى.</w:t>
      </w:r>
    </w:p>
    <w:p w:rsidR="00744A1C" w:rsidRDefault="00E378DD" w:rsidP="00E378DD">
      <w:pPr>
        <w:pStyle w:val="libFootnote0"/>
        <w:rPr>
          <w:lang w:bidi="fa-IR"/>
        </w:rPr>
      </w:pPr>
      <w:r>
        <w:rPr>
          <w:rtl/>
          <w:lang w:bidi="fa-IR"/>
        </w:rPr>
        <w:t>(5).</w:t>
      </w:r>
      <w:r w:rsidR="00744A1C">
        <w:rPr>
          <w:rtl/>
          <w:lang w:bidi="fa-IR"/>
        </w:rPr>
        <w:t xml:space="preserve"> في </w:t>
      </w:r>
      <w:r w:rsidR="00744A1C" w:rsidRPr="00F93194">
        <w:rPr>
          <w:rtl/>
        </w:rPr>
        <w:t>الوسائل</w:t>
      </w:r>
      <w:r w:rsidR="00744A1C">
        <w:rPr>
          <w:rtl/>
          <w:lang w:bidi="fa-IR"/>
        </w:rPr>
        <w:t xml:space="preserve"> : - « عن الحلبي » ، وهو سهو ظاهراً ؛ لِما ورد في أسنادٍ عديدة من رواية أبي المغراء عن الحلبي ، ولثبوتِ « عن الحلبي » في جميع النسخ. راجع : </w:t>
      </w:r>
      <w:r w:rsidR="00744A1C" w:rsidRPr="0061079A">
        <w:rPr>
          <w:rStyle w:val="libFootnoteBoldChar"/>
          <w:rtl/>
        </w:rPr>
        <w:t>معجم رجال الحديث</w:t>
      </w:r>
      <w:r w:rsidR="00744A1C">
        <w:rPr>
          <w:rtl/>
          <w:lang w:bidi="fa-IR"/>
        </w:rPr>
        <w:t xml:space="preserve"> ، ج 22 ، ص 220 - 221.</w:t>
      </w:r>
    </w:p>
    <w:p w:rsidR="00744A1C" w:rsidRDefault="00E378DD" w:rsidP="00E378DD">
      <w:pPr>
        <w:pStyle w:val="libFootnote0"/>
        <w:rPr>
          <w:lang w:bidi="fa-IR"/>
        </w:rPr>
      </w:pPr>
      <w:r>
        <w:rPr>
          <w:rtl/>
          <w:lang w:bidi="fa-IR"/>
        </w:rPr>
        <w:t>(6).</w:t>
      </w:r>
      <w:r w:rsidR="00744A1C">
        <w:rPr>
          <w:rtl/>
          <w:lang w:bidi="fa-IR"/>
        </w:rPr>
        <w:t xml:space="preserve"> في حاشية « جت » : + « الله ».</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الفقيه</w:t>
      </w:r>
      <w:r w:rsidR="00744A1C">
        <w:rPr>
          <w:rtl/>
          <w:lang w:bidi="fa-IR"/>
        </w:rPr>
        <w:t xml:space="preserve"> ، ح 3997 : « علم ».</w:t>
      </w:r>
    </w:p>
    <w:p w:rsidR="00744A1C" w:rsidRDefault="00E378DD" w:rsidP="00E378DD">
      <w:pPr>
        <w:pStyle w:val="libFootnote0"/>
        <w:rPr>
          <w:lang w:bidi="fa-IR"/>
        </w:rPr>
      </w:pPr>
      <w:r>
        <w:rPr>
          <w:rtl/>
          <w:lang w:bidi="fa-IR"/>
        </w:rPr>
        <w:t>(8).</w:t>
      </w:r>
      <w:r w:rsidR="00744A1C">
        <w:rPr>
          <w:rtl/>
          <w:lang w:bidi="fa-IR"/>
        </w:rPr>
        <w:t xml:space="preserve"> في « بخ ، بف ، جن » وحاشية « بح » </w:t>
      </w:r>
      <w:r w:rsidR="00744A1C" w:rsidRPr="00206EF9">
        <w:rPr>
          <w:rtl/>
        </w:rPr>
        <w:t>والوافي :</w:t>
      </w:r>
      <w:r w:rsidR="00744A1C">
        <w:rPr>
          <w:rtl/>
          <w:lang w:bidi="fa-IR"/>
        </w:rPr>
        <w:t xml:space="preserve"> « حلالاً ». وفي </w:t>
      </w:r>
      <w:r w:rsidR="00744A1C" w:rsidRPr="00206EF9">
        <w:rPr>
          <w:rtl/>
        </w:rPr>
        <w:t>الفقيه</w:t>
      </w:r>
      <w:r w:rsidR="00744A1C">
        <w:rPr>
          <w:rtl/>
          <w:lang w:bidi="fa-IR"/>
        </w:rPr>
        <w:t xml:space="preserve"> ، ح 3997 </w:t>
      </w:r>
      <w:r w:rsidR="00744A1C" w:rsidRPr="00206EF9">
        <w:rPr>
          <w:rtl/>
        </w:rPr>
        <w:t>و</w:t>
      </w:r>
      <w:r w:rsidR="00206EF9">
        <w:rPr>
          <w:rFonts w:hint="cs"/>
          <w:rtl/>
        </w:rPr>
        <w:t xml:space="preserve"> </w:t>
      </w:r>
      <w:r w:rsidR="00744A1C" w:rsidRPr="00206EF9">
        <w:rPr>
          <w:rtl/>
        </w:rPr>
        <w:t>التهذيب</w:t>
      </w:r>
      <w:r w:rsidR="00744A1C">
        <w:rPr>
          <w:rtl/>
          <w:lang w:bidi="fa-IR"/>
        </w:rPr>
        <w:t xml:space="preserve"> : - « حلال ».</w:t>
      </w:r>
    </w:p>
    <w:p w:rsidR="00744A1C" w:rsidRDefault="00E378DD" w:rsidP="00E378DD">
      <w:pPr>
        <w:pStyle w:val="libFootnote0"/>
        <w:rPr>
          <w:lang w:bidi="fa-IR"/>
        </w:rPr>
      </w:pPr>
      <w:r>
        <w:rPr>
          <w:rtl/>
          <w:lang w:bidi="fa-IR"/>
        </w:rPr>
        <w:t>(9).</w:t>
      </w:r>
      <w:r w:rsidR="00744A1C">
        <w:rPr>
          <w:rtl/>
          <w:lang w:bidi="fa-IR"/>
        </w:rPr>
        <w:t xml:space="preserve"> في </w:t>
      </w:r>
      <w:r w:rsidR="00744A1C" w:rsidRPr="00206EF9">
        <w:rPr>
          <w:rtl/>
        </w:rPr>
        <w:t>الفقيه</w:t>
      </w:r>
      <w:r w:rsidR="00744A1C">
        <w:rPr>
          <w:rtl/>
          <w:lang w:bidi="fa-IR"/>
        </w:rPr>
        <w:t xml:space="preserve"> ، ح 3997 </w:t>
      </w:r>
      <w:r w:rsidR="00744A1C" w:rsidRPr="00206EF9">
        <w:rPr>
          <w:rtl/>
        </w:rPr>
        <w:t>والتهذيب</w:t>
      </w:r>
      <w:r w:rsidR="00744A1C">
        <w:rPr>
          <w:rtl/>
          <w:lang w:bidi="fa-IR"/>
        </w:rPr>
        <w:t xml:space="preserve"> : + « معزولاً ».</w:t>
      </w:r>
    </w:p>
    <w:p w:rsidR="00744A1C" w:rsidRDefault="00E378DD" w:rsidP="00E378DD">
      <w:pPr>
        <w:pStyle w:val="libFootnote0"/>
        <w:rPr>
          <w:lang w:bidi="fa-IR"/>
        </w:rPr>
      </w:pPr>
      <w:r>
        <w:rPr>
          <w:rtl/>
          <w:lang w:bidi="fa-IR"/>
        </w:rPr>
        <w:t>(10).</w:t>
      </w:r>
      <w:r w:rsidR="00744A1C">
        <w:rPr>
          <w:rtl/>
          <w:lang w:bidi="fa-IR"/>
        </w:rPr>
        <w:t xml:space="preserve"> في </w:t>
      </w:r>
      <w:r w:rsidR="00744A1C" w:rsidRPr="00206EF9">
        <w:rPr>
          <w:rtl/>
        </w:rPr>
        <w:t>التهذيب</w:t>
      </w:r>
      <w:r w:rsidR="00744A1C">
        <w:rPr>
          <w:rtl/>
          <w:lang w:bidi="fa-IR"/>
        </w:rPr>
        <w:t xml:space="preserve"> : « الزيادة ».</w:t>
      </w:r>
    </w:p>
    <w:p w:rsidR="00744A1C" w:rsidRDefault="00E378DD" w:rsidP="00E378DD">
      <w:pPr>
        <w:pStyle w:val="libFootnote0"/>
        <w:rPr>
          <w:lang w:bidi="fa-IR"/>
        </w:rPr>
      </w:pPr>
      <w:r>
        <w:rPr>
          <w:rtl/>
          <w:lang w:bidi="fa-IR"/>
        </w:rPr>
        <w:t>(11).</w:t>
      </w:r>
      <w:r w:rsidR="00744A1C">
        <w:rPr>
          <w:rtl/>
          <w:lang w:bidi="fa-IR"/>
        </w:rPr>
        <w:t xml:space="preserve"> في </w:t>
      </w:r>
      <w:r w:rsidR="00744A1C" w:rsidRPr="00206EF9">
        <w:rPr>
          <w:rtl/>
        </w:rPr>
        <w:t>الفقيه</w:t>
      </w:r>
      <w:r w:rsidR="00744A1C">
        <w:rPr>
          <w:rtl/>
          <w:lang w:bidi="fa-IR"/>
        </w:rPr>
        <w:t xml:space="preserve"> ، ح 3998 : « أدار ». وفي </w:t>
      </w:r>
      <w:r w:rsidR="00744A1C" w:rsidRPr="00C24F9C">
        <w:rPr>
          <w:rStyle w:val="libFootnoteBoldChar"/>
          <w:rtl/>
        </w:rPr>
        <w:t>الوافي</w:t>
      </w:r>
      <w:r w:rsidR="00744A1C">
        <w:rPr>
          <w:rtl/>
          <w:lang w:bidi="fa-IR"/>
        </w:rPr>
        <w:t xml:space="preserve"> : « أفاد بمعنى استفاد ». وراجع : </w:t>
      </w:r>
      <w:r w:rsidR="00744A1C" w:rsidRPr="00E978C3">
        <w:rPr>
          <w:rStyle w:val="libFootnoteBoldChar"/>
          <w:rtl/>
        </w:rPr>
        <w:t>الصحاح</w:t>
      </w:r>
      <w:r w:rsidR="00744A1C">
        <w:rPr>
          <w:rtl/>
          <w:lang w:bidi="fa-IR"/>
        </w:rPr>
        <w:t xml:space="preserve"> ، ج 2 ، ص 521 ( فيد ).</w:t>
      </w:r>
    </w:p>
    <w:p w:rsidR="006D42F6" w:rsidRDefault="006D42F6" w:rsidP="00D10E3C">
      <w:pPr>
        <w:pStyle w:val="libNormal"/>
        <w:rPr>
          <w:rtl/>
          <w:lang w:bidi="fa-IR"/>
        </w:rPr>
      </w:pPr>
      <w:r>
        <w:rPr>
          <w:rtl/>
          <w:lang w:bidi="fa-IR"/>
        </w:rPr>
        <w:br w:type="page"/>
      </w:r>
    </w:p>
    <w:p w:rsidR="00144FA6" w:rsidRDefault="00744A1C" w:rsidP="002176B8">
      <w:pPr>
        <w:pStyle w:val="libNormal0"/>
        <w:rPr>
          <w:rtl/>
          <w:lang w:bidi="fa-IR"/>
        </w:rPr>
      </w:pPr>
      <w:r>
        <w:rPr>
          <w:rtl/>
          <w:lang w:bidi="fa-IR"/>
        </w:rPr>
        <w:t xml:space="preserve">الرِّبَا ، فَجَهِلَ ذلِكَ ، ثُمَّ عَرَفَهُ بَعْدُ ، فَأَرَادَ أَنْ يَنْزِعَهُ فِيمَا </w:t>
      </w:r>
      <w:r w:rsidRPr="00D10E3C">
        <w:rPr>
          <w:rStyle w:val="libFootnotenumChar"/>
          <w:rtl/>
        </w:rPr>
        <w:t>(1)</w:t>
      </w:r>
      <w:r>
        <w:rPr>
          <w:rtl/>
          <w:lang w:bidi="fa-IR"/>
        </w:rPr>
        <w:t xml:space="preserve"> مَضى ، فَلَهُ ، وَيَدَعُهُ فِيمَا يَسْتَأْنِفُ </w:t>
      </w:r>
      <w:r w:rsidRPr="00D10E3C">
        <w:rPr>
          <w:rStyle w:val="libFootnotenumChar"/>
          <w:rtl/>
        </w:rPr>
        <w:t>(2)</w:t>
      </w:r>
      <w:r>
        <w:rPr>
          <w:rtl/>
          <w:lang w:bidi="fa-IR"/>
        </w:rPr>
        <w:t xml:space="preserve"> ». </w:t>
      </w:r>
      <w:r w:rsidRPr="00D10E3C">
        <w:rPr>
          <w:rStyle w:val="libFootnotenumChar"/>
          <w:rtl/>
        </w:rPr>
        <w:t>(3)</w:t>
      </w:r>
    </w:p>
    <w:p w:rsidR="00144FA6" w:rsidRDefault="00744A1C" w:rsidP="00744A1C">
      <w:pPr>
        <w:pStyle w:val="libNormal"/>
        <w:rPr>
          <w:rtl/>
          <w:lang w:bidi="fa-IR"/>
        </w:rPr>
      </w:pPr>
      <w:r>
        <w:rPr>
          <w:rtl/>
          <w:lang w:bidi="fa-IR"/>
        </w:rPr>
        <w:t>8666 / 5. عَلِيُّ بْنُ إِبْرَاهِيمَ ، عَنْ أَبِيهِ ، عَنِ ابْنِ أَبِي عُمَيْرٍ ، عَنْ حَمَّادٍ ، عَنِ الْحَلَبِيِّ :</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أَتى رَجُلٌ أَبِي ، فَقَالَ : إِنِّي وَرِثْتُ مَالاً وَقَدْ عَلِمْتُ أَنَّ صَاحِبَهُ الَّذِي وَرِثْتُهُ مِنْهُ قَدْ كَانَ يُرْبِي </w:t>
      </w:r>
      <w:r w:rsidRPr="00D10E3C">
        <w:rPr>
          <w:rStyle w:val="libFootnotenumChar"/>
          <w:rtl/>
        </w:rPr>
        <w:t>(4)</w:t>
      </w:r>
      <w:r>
        <w:rPr>
          <w:rtl/>
          <w:lang w:bidi="fa-IR"/>
        </w:rPr>
        <w:t xml:space="preserve"> ، وَقَدْ أَعْرِفُ </w:t>
      </w:r>
      <w:r w:rsidRPr="00D10E3C">
        <w:rPr>
          <w:rStyle w:val="libFootnotenumChar"/>
          <w:rtl/>
        </w:rPr>
        <w:t>(5)</w:t>
      </w:r>
      <w:r>
        <w:rPr>
          <w:rtl/>
          <w:lang w:bidi="fa-IR"/>
        </w:rPr>
        <w:t xml:space="preserve"> أَنَّ فِيهِ رِبًا وَأَسْتَيْقِنُ ذلِكَ </w:t>
      </w:r>
      <w:r w:rsidRPr="00D10E3C">
        <w:rPr>
          <w:rStyle w:val="libFootnotenumChar"/>
          <w:rtl/>
        </w:rPr>
        <w:t>(6)</w:t>
      </w:r>
      <w:r>
        <w:rPr>
          <w:rtl/>
          <w:lang w:bidi="fa-IR"/>
        </w:rPr>
        <w:t xml:space="preserve"> ، وَلَيْسَ يَطِيبُ </w:t>
      </w:r>
      <w:r w:rsidRPr="00D10E3C">
        <w:rPr>
          <w:rStyle w:val="libFootnotenumChar"/>
          <w:rtl/>
        </w:rPr>
        <w:t>(7)</w:t>
      </w:r>
      <w:r>
        <w:rPr>
          <w:rtl/>
          <w:lang w:bidi="fa-IR"/>
        </w:rPr>
        <w:t xml:space="preserve"> لِي حَلَالُهُ لِحَالِ عِلْمِي فِيهِ ، وَقَدْ </w:t>
      </w:r>
      <w:r w:rsidRPr="00D10E3C">
        <w:rPr>
          <w:rStyle w:val="libFootnotenumChar"/>
          <w:rtl/>
        </w:rPr>
        <w:t>(8)</w:t>
      </w:r>
      <w:r>
        <w:rPr>
          <w:rtl/>
          <w:lang w:bidi="fa-IR"/>
        </w:rPr>
        <w:t xml:space="preserve"> سَأَلْتُ فُقَهَاءَ </w:t>
      </w:r>
      <w:r w:rsidRPr="00D10E3C">
        <w:rPr>
          <w:rStyle w:val="libFootnotenumChar"/>
          <w:rtl/>
        </w:rPr>
        <w:t>(9)</w:t>
      </w:r>
      <w:r>
        <w:rPr>
          <w:rtl/>
          <w:lang w:bidi="fa-IR"/>
        </w:rPr>
        <w:t xml:space="preserve"> أَهْلِ الْعِرَاقِ وَأَهْلِ الْحِجَازِ ، فَقَالُوا : لَايَحِلُّ أَكْلُهُ </w:t>
      </w:r>
      <w:r w:rsidRPr="00D10E3C">
        <w:rPr>
          <w:rStyle w:val="libFootnotenumChar"/>
          <w:rtl/>
        </w:rPr>
        <w:t>(10)</w:t>
      </w:r>
      <w:r w:rsidR="002719AC" w:rsidRPr="002719AC">
        <w:rPr>
          <w:rFonts w:hint="cs"/>
          <w:rtl/>
        </w:rPr>
        <w:t>.</w:t>
      </w:r>
    </w:p>
    <w:p w:rsidR="00144FA6" w:rsidRDefault="00744A1C" w:rsidP="00744A1C">
      <w:pPr>
        <w:pStyle w:val="libNormal"/>
        <w:rPr>
          <w:rtl/>
          <w:lang w:bidi="fa-IR"/>
        </w:rPr>
      </w:pPr>
      <w:r>
        <w:rPr>
          <w:rtl/>
          <w:lang w:bidi="fa-IR"/>
        </w:rPr>
        <w:t xml:space="preserve">فَقَالَ أَبُو جَعْفَرٍ </w:t>
      </w:r>
      <w:r w:rsidR="0061079A" w:rsidRPr="0061079A">
        <w:rPr>
          <w:rStyle w:val="libAlaemChar"/>
          <w:rtl/>
        </w:rPr>
        <w:t>عليه‌السلام</w:t>
      </w:r>
      <w:r w:rsidR="00D10E3C">
        <w:rPr>
          <w:rtl/>
          <w:lang w:bidi="fa-IR"/>
        </w:rPr>
        <w:t xml:space="preserve"> </w:t>
      </w:r>
      <w:r>
        <w:rPr>
          <w:rtl/>
          <w:lang w:bidi="fa-IR"/>
        </w:rPr>
        <w:t xml:space="preserve">: إِنْ كُنْتَ تَعْلَمُ بِأَنَّ </w:t>
      </w:r>
      <w:r w:rsidRPr="00D10E3C">
        <w:rPr>
          <w:rStyle w:val="libFootnotenumChar"/>
          <w:rtl/>
        </w:rPr>
        <w:t>(11)</w:t>
      </w:r>
      <w:r>
        <w:rPr>
          <w:rtl/>
          <w:lang w:bidi="fa-IR"/>
        </w:rPr>
        <w:t xml:space="preserve"> فِيهِ مَالاً مَعْرُوفاً رِبًا ، وَتَعْرِفُ أَهْلَهُ ، فَخُذْ رَأْسَ مَالِكَ ، وَرُدَّ مَا سِوى ذلِكَ ؛ وَإِنْ كَانَ مُخْتَلِطاً ، فَكُلْهُ </w:t>
      </w:r>
      <w:r w:rsidRPr="00D10E3C">
        <w:rPr>
          <w:rStyle w:val="libFootnotenumChar"/>
          <w:rtl/>
        </w:rPr>
        <w:t>(12)</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ى ، بح ، بس ، جد ، جن » </w:t>
      </w:r>
      <w:r w:rsidR="00744A1C" w:rsidRPr="007E46CA">
        <w:rPr>
          <w:rtl/>
        </w:rPr>
        <w:t>والوسائل والتهذيب :</w:t>
      </w:r>
      <w:r w:rsidR="00744A1C">
        <w:rPr>
          <w:rtl/>
          <w:lang w:bidi="fa-IR"/>
        </w:rPr>
        <w:t xml:space="preserve"> « فما ».</w:t>
      </w:r>
    </w:p>
    <w:p w:rsidR="00744A1C" w:rsidRDefault="00E378DD" w:rsidP="00E378DD">
      <w:pPr>
        <w:pStyle w:val="libFootnote0"/>
        <w:rPr>
          <w:lang w:bidi="fa-IR"/>
        </w:rPr>
      </w:pPr>
      <w:r>
        <w:rPr>
          <w:rtl/>
          <w:lang w:bidi="fa-IR"/>
        </w:rPr>
        <w:t>(2).</w:t>
      </w:r>
      <w:r w:rsidR="00744A1C">
        <w:rPr>
          <w:rtl/>
          <w:lang w:bidi="fa-IR"/>
        </w:rPr>
        <w:t xml:space="preserve"> في </w:t>
      </w:r>
      <w:r w:rsidR="00744A1C" w:rsidRPr="00C24F9C">
        <w:rPr>
          <w:rStyle w:val="libFootnoteBoldChar"/>
          <w:rtl/>
        </w:rPr>
        <w:t>المرآة</w:t>
      </w:r>
      <w:r w:rsidR="00744A1C">
        <w:rPr>
          <w:rtl/>
          <w:lang w:bidi="fa-IR"/>
        </w:rPr>
        <w:t xml:space="preserve"> : « ثمّ اعلم أنّه عمل بظاهر الخبر ابن الجنيد من بين الأصحاب وقال : إذا ورث مالاً كان يعلم أنّ صاحبه يربي ولا يعلم الربا بعينه فيعزله ، جاز له أكله والتصرّف فيه إذا لم يعلم فيه الربا. وحمله بعض الأصحاب على ما إذا كان المورّث جاهلاً ، فيكون الردّ في آخر الخبر محمولاً على الاستحباب. وبعضهم حمل العلم على الظنّ الضعيف الذي لا يعتبر شرعاً بأنّه كان يعلم أنّه يربي ولا يعلم أنّ الآن ذمّته مشغولة بها. ولا يخفى أنّه يمكن حمل كلام ابن الجنيد </w:t>
      </w:r>
      <w:r w:rsidR="00877682" w:rsidRPr="00877682">
        <w:rPr>
          <w:rStyle w:val="libFootnoteAlaemChar"/>
          <w:rtl/>
        </w:rPr>
        <w:t>رحمه‌الله</w:t>
      </w:r>
      <w:r w:rsidR="007E46CA" w:rsidRPr="007E46CA">
        <w:rPr>
          <w:rFonts w:hint="cs"/>
          <w:rtl/>
        </w:rPr>
        <w:t xml:space="preserve"> </w:t>
      </w:r>
      <w:r w:rsidR="00744A1C">
        <w:rPr>
          <w:rtl/>
          <w:lang w:bidi="fa-IR"/>
        </w:rPr>
        <w:t>أيضاً عليه ، بل هو أظهر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7 ، ص 16 ، ح 69 ، بسنده عن الحلبي. </w:t>
      </w:r>
      <w:r w:rsidR="00744A1C" w:rsidRPr="00C24F9C">
        <w:rPr>
          <w:rStyle w:val="libFootnoteBoldChar"/>
          <w:rtl/>
        </w:rPr>
        <w:t>الفقيه</w:t>
      </w:r>
      <w:r w:rsidR="00744A1C">
        <w:rPr>
          <w:rtl/>
          <w:lang w:bidi="fa-IR"/>
        </w:rPr>
        <w:t xml:space="preserve"> ، ج 3 ، ص 275 ، ح 3997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وفيهما إلى قوله : « فليأخذ رأس ماله وليردّ الربا ». وفيه ، ص 276 ، ح 3998 ، مرسلاً من دون التصريح باسم المعصوم </w:t>
      </w:r>
      <w:r w:rsidR="0061079A" w:rsidRPr="0061079A">
        <w:rPr>
          <w:rStyle w:val="libFootnoteAlaemChar"/>
          <w:rtl/>
        </w:rPr>
        <w:t>عليه‌السلام</w:t>
      </w:r>
      <w:r w:rsidR="00D10E3C">
        <w:rPr>
          <w:rtl/>
          <w:lang w:bidi="fa-IR"/>
        </w:rPr>
        <w:t xml:space="preserve"> </w:t>
      </w:r>
      <w:r w:rsidR="00744A1C">
        <w:rPr>
          <w:rtl/>
          <w:lang w:bidi="fa-IR"/>
        </w:rPr>
        <w:t xml:space="preserve">، من قوله : « أيّما رجل أفاد مالاً كثيراً » </w:t>
      </w:r>
      <w:r w:rsidR="007E46CA">
        <w:rPr>
          <w:rFonts w:hint="cs"/>
          <w:rtl/>
          <w:lang w:bidi="fa-IR"/>
        </w:rPr>
        <w:t>.</w:t>
      </w:r>
      <w:r w:rsidR="00744A1C" w:rsidRPr="00C24F9C">
        <w:rPr>
          <w:rStyle w:val="libFootnoteBoldChar"/>
          <w:rtl/>
        </w:rPr>
        <w:t>الوافي</w:t>
      </w:r>
      <w:r w:rsidR="00744A1C">
        <w:rPr>
          <w:rtl/>
          <w:lang w:bidi="fa-IR"/>
        </w:rPr>
        <w:t xml:space="preserve"> ، ج 17 ، ص 377 ، ح 17463 ؛ </w:t>
      </w:r>
      <w:r w:rsidR="00744A1C" w:rsidRPr="00C24F9C">
        <w:rPr>
          <w:rStyle w:val="libFootnoteBoldChar"/>
          <w:rtl/>
        </w:rPr>
        <w:t>الوسائل</w:t>
      </w:r>
      <w:r w:rsidR="00744A1C">
        <w:rPr>
          <w:rtl/>
          <w:lang w:bidi="fa-IR"/>
        </w:rPr>
        <w:t xml:space="preserve"> ، ج 18 ، ص 128 ، ح 23302.</w:t>
      </w:r>
    </w:p>
    <w:p w:rsidR="00744A1C" w:rsidRDefault="00E378DD" w:rsidP="00E378DD">
      <w:pPr>
        <w:pStyle w:val="libFootnote0"/>
        <w:rPr>
          <w:lang w:bidi="fa-IR"/>
        </w:rPr>
      </w:pPr>
      <w:r>
        <w:rPr>
          <w:rtl/>
          <w:lang w:bidi="fa-IR"/>
        </w:rPr>
        <w:t>(4).</w:t>
      </w:r>
      <w:r w:rsidR="00744A1C">
        <w:rPr>
          <w:rtl/>
          <w:lang w:bidi="fa-IR"/>
        </w:rPr>
        <w:t xml:space="preserve"> هكذا في جميع النسخ التي قوبلت </w:t>
      </w:r>
      <w:r w:rsidR="00744A1C" w:rsidRPr="007E46CA">
        <w:rPr>
          <w:rtl/>
        </w:rPr>
        <w:t>والوسائل والفقيه والتهذيب.</w:t>
      </w:r>
      <w:r w:rsidR="00744A1C">
        <w:rPr>
          <w:rtl/>
          <w:lang w:bidi="fa-IR"/>
        </w:rPr>
        <w:t xml:space="preserve"> وفي المطبوع : « يربو ».</w:t>
      </w:r>
    </w:p>
    <w:p w:rsidR="00744A1C" w:rsidRDefault="00E378DD" w:rsidP="00E378DD">
      <w:pPr>
        <w:pStyle w:val="libFootnote0"/>
        <w:rPr>
          <w:lang w:bidi="fa-IR"/>
        </w:rPr>
      </w:pPr>
      <w:r>
        <w:rPr>
          <w:rtl/>
          <w:lang w:bidi="fa-IR"/>
        </w:rPr>
        <w:t>(5).</w:t>
      </w:r>
      <w:r w:rsidR="00744A1C">
        <w:rPr>
          <w:rtl/>
          <w:lang w:bidi="fa-IR"/>
        </w:rPr>
        <w:t xml:space="preserve"> في « بخ ، بف » : « اعترف ». وفي </w:t>
      </w:r>
      <w:r w:rsidR="00744A1C" w:rsidRPr="007E46CA">
        <w:rPr>
          <w:rtl/>
        </w:rPr>
        <w:t>التهذيب :</w:t>
      </w:r>
      <w:r w:rsidR="00744A1C">
        <w:rPr>
          <w:rtl/>
          <w:lang w:bidi="fa-IR"/>
        </w:rPr>
        <w:t xml:space="preserve"> « عرفت ».</w:t>
      </w:r>
    </w:p>
    <w:tbl>
      <w:tblPr>
        <w:tblStyle w:val="TableGrid"/>
        <w:bidiVisual/>
        <w:tblW w:w="0" w:type="auto"/>
        <w:tblLook w:val="04A0" w:firstRow="1" w:lastRow="0" w:firstColumn="1" w:lastColumn="0" w:noHBand="0" w:noVBand="1"/>
      </w:tblPr>
      <w:tblGrid>
        <w:gridCol w:w="4006"/>
        <w:gridCol w:w="4006"/>
      </w:tblGrid>
      <w:tr w:rsidR="007E46CA" w:rsidTr="007E46CA">
        <w:tc>
          <w:tcPr>
            <w:tcW w:w="4006" w:type="dxa"/>
          </w:tcPr>
          <w:p w:rsidR="007E46CA" w:rsidRDefault="007E46CA" w:rsidP="00E378DD">
            <w:pPr>
              <w:pStyle w:val="libFootnote0"/>
              <w:rPr>
                <w:rtl/>
                <w:lang w:bidi="fa-IR"/>
              </w:rPr>
            </w:pPr>
            <w:r>
              <w:rPr>
                <w:rtl/>
                <w:lang w:bidi="fa-IR"/>
              </w:rPr>
              <w:t>(6). في « جت » : - « ذلك ».</w:t>
            </w:r>
          </w:p>
        </w:tc>
        <w:tc>
          <w:tcPr>
            <w:tcW w:w="4006" w:type="dxa"/>
          </w:tcPr>
          <w:p w:rsidR="007E46CA" w:rsidRDefault="007E46CA" w:rsidP="00E378DD">
            <w:pPr>
              <w:pStyle w:val="libFootnote0"/>
              <w:rPr>
                <w:rtl/>
                <w:lang w:bidi="fa-IR"/>
              </w:rPr>
            </w:pPr>
            <w:r>
              <w:rPr>
                <w:rtl/>
                <w:lang w:bidi="fa-IR"/>
              </w:rPr>
              <w:t>(7). في « بخ » : « بطيّب ».</w:t>
            </w:r>
          </w:p>
        </w:tc>
      </w:tr>
      <w:tr w:rsidR="007E46CA" w:rsidTr="007E46CA">
        <w:tc>
          <w:tcPr>
            <w:tcW w:w="4006" w:type="dxa"/>
          </w:tcPr>
          <w:p w:rsidR="007E46CA" w:rsidRDefault="007E46CA" w:rsidP="00E378DD">
            <w:pPr>
              <w:pStyle w:val="libFootnote0"/>
              <w:rPr>
                <w:rtl/>
                <w:lang w:bidi="fa-IR"/>
              </w:rPr>
            </w:pPr>
            <w:r>
              <w:rPr>
                <w:rtl/>
                <w:lang w:bidi="fa-IR"/>
              </w:rPr>
              <w:t>(8). في « جد » : « فقد ».</w:t>
            </w:r>
          </w:p>
        </w:tc>
        <w:tc>
          <w:tcPr>
            <w:tcW w:w="4006" w:type="dxa"/>
          </w:tcPr>
          <w:p w:rsidR="007E46CA" w:rsidRDefault="007E46CA" w:rsidP="00E378DD">
            <w:pPr>
              <w:pStyle w:val="libFootnote0"/>
              <w:rPr>
                <w:rtl/>
                <w:lang w:bidi="fa-IR"/>
              </w:rPr>
            </w:pPr>
            <w:r>
              <w:rPr>
                <w:rtl/>
                <w:lang w:bidi="fa-IR"/>
              </w:rPr>
              <w:t>(9). في « بخ ، بف ، جت » : « الفقهاء ».</w:t>
            </w:r>
          </w:p>
        </w:tc>
      </w:tr>
    </w:tbl>
    <w:p w:rsidR="00744A1C" w:rsidRDefault="00E378DD" w:rsidP="00E378DD">
      <w:pPr>
        <w:pStyle w:val="libFootnote0"/>
        <w:rPr>
          <w:lang w:bidi="fa-IR"/>
        </w:rPr>
      </w:pPr>
      <w:r>
        <w:rPr>
          <w:rtl/>
          <w:lang w:bidi="fa-IR"/>
        </w:rPr>
        <w:t>(10).</w:t>
      </w:r>
      <w:r w:rsidR="00744A1C">
        <w:rPr>
          <w:rtl/>
          <w:lang w:bidi="fa-IR"/>
        </w:rPr>
        <w:t xml:space="preserve"> في </w:t>
      </w:r>
      <w:r w:rsidR="00744A1C" w:rsidRPr="007E46CA">
        <w:rPr>
          <w:rtl/>
        </w:rPr>
        <w:t>الفقيه والتهذيب : +</w:t>
      </w:r>
      <w:r w:rsidR="00744A1C">
        <w:rPr>
          <w:rtl/>
          <w:lang w:bidi="fa-IR"/>
        </w:rPr>
        <w:t xml:space="preserve"> « من أجل ما فيه ».</w:t>
      </w:r>
    </w:p>
    <w:p w:rsidR="00744A1C" w:rsidRDefault="00E378DD" w:rsidP="00E378DD">
      <w:pPr>
        <w:pStyle w:val="libFootnote0"/>
        <w:rPr>
          <w:lang w:bidi="fa-IR"/>
        </w:rPr>
      </w:pPr>
      <w:r>
        <w:rPr>
          <w:rtl/>
          <w:lang w:bidi="fa-IR"/>
        </w:rPr>
        <w:t>(11).</w:t>
      </w:r>
      <w:r w:rsidR="00744A1C">
        <w:rPr>
          <w:rtl/>
          <w:lang w:bidi="fa-IR"/>
        </w:rPr>
        <w:t xml:space="preserve"> في « ط ، بس ، جد ، جن » : - « بأنّ ». وفي </w:t>
      </w:r>
      <w:r w:rsidR="00744A1C" w:rsidRPr="007E46CA">
        <w:rPr>
          <w:rtl/>
        </w:rPr>
        <w:t>الفقيه والتهذيب</w:t>
      </w:r>
      <w:r w:rsidR="00744A1C">
        <w:rPr>
          <w:rtl/>
          <w:lang w:bidi="fa-IR"/>
        </w:rPr>
        <w:t xml:space="preserve"> : « أنّ ».</w:t>
      </w:r>
    </w:p>
    <w:p w:rsidR="00744A1C" w:rsidRDefault="00E378DD" w:rsidP="00E378DD">
      <w:pPr>
        <w:pStyle w:val="libFootnote0"/>
        <w:rPr>
          <w:lang w:bidi="fa-IR"/>
        </w:rPr>
      </w:pPr>
      <w:r>
        <w:rPr>
          <w:rtl/>
          <w:lang w:bidi="fa-IR"/>
        </w:rPr>
        <w:t>(12).</w:t>
      </w:r>
      <w:r w:rsidR="00744A1C">
        <w:rPr>
          <w:rtl/>
          <w:lang w:bidi="fa-IR"/>
        </w:rPr>
        <w:t xml:space="preserve"> في « بخ ، بف » : « فكل ».</w:t>
      </w:r>
    </w:p>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هَنِيئاً‌ </w:t>
      </w:r>
      <w:r w:rsidRPr="00D10E3C">
        <w:rPr>
          <w:rStyle w:val="libFootnotenumChar"/>
          <w:rtl/>
        </w:rPr>
        <w:t>(1)</w:t>
      </w:r>
      <w:r>
        <w:rPr>
          <w:rtl/>
          <w:lang w:bidi="fa-IR"/>
        </w:rPr>
        <w:t xml:space="preserve"> مَرِيئاً </w:t>
      </w:r>
      <w:r w:rsidRPr="00D10E3C">
        <w:rPr>
          <w:rStyle w:val="libFootnotenumChar"/>
          <w:rtl/>
        </w:rPr>
        <w:t>(2)</w:t>
      </w:r>
      <w:r>
        <w:rPr>
          <w:rtl/>
          <w:lang w:bidi="fa-IR"/>
        </w:rPr>
        <w:t xml:space="preserve"> ؛ فَإِنَّ الْمَالَ مَالُكَ ، وَاجْتَنِبْ مَا كَانَ يَصْنَعُ صَاحِبُهُ ، فَإِنَّ رَسُولَ اللهِ </w:t>
      </w:r>
      <w:r w:rsidR="0017097C" w:rsidRPr="0017097C">
        <w:rPr>
          <w:rStyle w:val="libAlaemChar"/>
          <w:rtl/>
        </w:rPr>
        <w:t>صلى‌الله‌عليه‌وآله</w:t>
      </w:r>
      <w:r>
        <w:rPr>
          <w:rtl/>
          <w:lang w:bidi="fa-IR"/>
        </w:rPr>
        <w:t xml:space="preserve"> قَدْ وَضَعَ مَا مَضى مِنَ الرِّبَا ، وَحَرَّمَ عَلَيْهِمْ مَا بَقِيَ ، فَمَنْ جَهِلَهُ وَسِعَ لَهُ جَهْلُهُ حَتّى يَعْرِفَهُ ، فَإِذَا عَرَفَ تَحْرِيمَهُ حَرُمَ عَلَيْهِ ، وَ</w:t>
      </w:r>
      <w:r w:rsidR="00675F59">
        <w:rPr>
          <w:rFonts w:hint="cs"/>
          <w:rtl/>
          <w:lang w:bidi="fa-IR"/>
        </w:rPr>
        <w:t xml:space="preserve"> </w:t>
      </w:r>
      <w:r>
        <w:rPr>
          <w:rtl/>
          <w:lang w:bidi="fa-IR"/>
        </w:rPr>
        <w:t xml:space="preserve">وَجَبَتْ </w:t>
      </w:r>
      <w:r w:rsidRPr="00D10E3C">
        <w:rPr>
          <w:rStyle w:val="libFootnotenumChar"/>
          <w:rtl/>
        </w:rPr>
        <w:t>(3)</w:t>
      </w:r>
      <w:r>
        <w:rPr>
          <w:rtl/>
          <w:lang w:bidi="fa-IR"/>
        </w:rPr>
        <w:t xml:space="preserve"> عَلَيْهِ فِيهِ الْعُقُوبَةُ إِذَا رَكِبَهُ </w:t>
      </w:r>
      <w:r w:rsidRPr="00D10E3C">
        <w:rPr>
          <w:rStyle w:val="libFootnotenumChar"/>
          <w:rtl/>
        </w:rPr>
        <w:t>(4)</w:t>
      </w:r>
      <w:r>
        <w:rPr>
          <w:rtl/>
          <w:lang w:bidi="fa-IR"/>
        </w:rPr>
        <w:t xml:space="preserve"> ، كَمَا يَجِبُ </w:t>
      </w:r>
      <w:r w:rsidRPr="00D10E3C">
        <w:rPr>
          <w:rStyle w:val="libFootnotenumChar"/>
          <w:rtl/>
        </w:rPr>
        <w:t>(5)</w:t>
      </w:r>
      <w:r>
        <w:rPr>
          <w:rtl/>
          <w:lang w:bidi="fa-IR"/>
        </w:rPr>
        <w:t xml:space="preserve"> عَلى مَنْ يَأْكُلُ الرِّبَا ». </w:t>
      </w:r>
      <w:r w:rsidRPr="00D10E3C">
        <w:rPr>
          <w:rStyle w:val="libFootnotenumChar"/>
          <w:rtl/>
        </w:rPr>
        <w:t>(6)</w:t>
      </w:r>
    </w:p>
    <w:p w:rsidR="00144FA6" w:rsidRDefault="00744A1C" w:rsidP="00744A1C">
      <w:pPr>
        <w:pStyle w:val="libNormal"/>
        <w:rPr>
          <w:rtl/>
          <w:lang w:bidi="fa-IR"/>
        </w:rPr>
      </w:pPr>
      <w:r>
        <w:rPr>
          <w:rtl/>
          <w:lang w:bidi="fa-IR"/>
        </w:rPr>
        <w:t>8667 / 6. عَلِيُّ بْنُ إِبْرَاهِيمَ ، عَنْ أَبِيهِ ، عَنْ حَمَّادِ بْنِ عِيسى ، عَنْ إِبْرَا</w:t>
      </w:r>
      <w:r w:rsidR="00675F59">
        <w:rPr>
          <w:rtl/>
          <w:lang w:bidi="fa-IR"/>
        </w:rPr>
        <w:t>هِيمَ بْنِ عُمَرَ الْيَمَانِيِّ</w:t>
      </w:r>
      <w:r>
        <w:rPr>
          <w:rtl/>
          <w:lang w:bidi="fa-IR"/>
        </w:rPr>
        <w:t>:</w:t>
      </w:r>
    </w:p>
    <w:p w:rsidR="00744A1C" w:rsidRDefault="00744A1C" w:rsidP="00744A1C">
      <w:pPr>
        <w:pStyle w:val="libNormal"/>
        <w:rPr>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الرِّبَا رِبَاءَانِ : رِبًا يُؤْكَلُ ، وَرِبًا لَايُؤْكَلُ ؛ فَأَمَّا </w:t>
      </w:r>
      <w:r w:rsidRPr="00D10E3C">
        <w:rPr>
          <w:rStyle w:val="libFootnotenumChar"/>
          <w:rtl/>
        </w:rPr>
        <w:t>(7)</w:t>
      </w:r>
      <w:r>
        <w:rPr>
          <w:rtl/>
          <w:lang w:bidi="fa-IR"/>
        </w:rPr>
        <w:t xml:space="preserve"> الَّذِي يُؤْكَلُ ، فَهَدِيَّتُكَ إِلَى الرَّجُلِ تَطْلُبُ مِنْهُ الثَّوَابَ أَفْضَلَ مِنْهَا ، فَذلِكَ الرِّبَا الَّذِي‌ يُؤْكَلُ ، وَهُوَ </w:t>
      </w:r>
      <w:r w:rsidRPr="00D10E3C">
        <w:rPr>
          <w:rStyle w:val="libFootnotenumChar"/>
          <w:rtl/>
        </w:rPr>
        <w:t>(8)</w:t>
      </w:r>
      <w:r>
        <w:rPr>
          <w:rtl/>
          <w:lang w:bidi="fa-IR"/>
        </w:rPr>
        <w:t xml:space="preserve"> قَوْلُ‌ اللهِ </w:t>
      </w:r>
      <w:r w:rsidRPr="00D10E3C">
        <w:rPr>
          <w:rStyle w:val="libFootnotenumChar"/>
          <w:rtl/>
        </w:rPr>
        <w:t>(9)</w:t>
      </w:r>
      <w:r>
        <w:rPr>
          <w:rtl/>
          <w:lang w:bidi="fa-IR"/>
        </w:rPr>
        <w:t xml:space="preserve"> عَزَّ وَجَلَّ : </w:t>
      </w:r>
      <w:r w:rsidRPr="00675F59">
        <w:rPr>
          <w:rStyle w:val="libAlaemChar"/>
          <w:rtl/>
        </w:rPr>
        <w:t>(</w:t>
      </w:r>
      <w:r w:rsidRPr="00675F59">
        <w:rPr>
          <w:rStyle w:val="libAieChar"/>
          <w:rtl/>
        </w:rPr>
        <w:t xml:space="preserve"> وَ</w:t>
      </w:r>
      <w:r w:rsidR="00675F59" w:rsidRPr="00675F59">
        <w:rPr>
          <w:rStyle w:val="libAieChar"/>
          <w:rFonts w:hint="cs"/>
          <w:rtl/>
        </w:rPr>
        <w:t xml:space="preserve"> </w:t>
      </w:r>
      <w:r w:rsidRPr="00675F59">
        <w:rPr>
          <w:rStyle w:val="libAieChar"/>
          <w:rtl/>
        </w:rPr>
        <w:t>ما آتَيْتُمْ مِنْ رِباً لِيَرْبُوَا فِي أَمْوالِ النّاسِ فَل</w:t>
      </w:r>
      <w:r w:rsidR="00675F59" w:rsidRPr="00675F59">
        <w:rPr>
          <w:rStyle w:val="libAieChar"/>
          <w:rFonts w:hint="cs"/>
          <w:rtl/>
        </w:rPr>
        <w:t>َ</w:t>
      </w:r>
      <w:r w:rsidRPr="00675F59">
        <w:rPr>
          <w:rStyle w:val="libAieChar"/>
          <w:rtl/>
        </w:rPr>
        <w:t>ا يَرْبُوا عِنْدَ</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كلّ أمر يأتيك من غير تعب فهو هني‌ء. </w:t>
      </w:r>
      <w:r w:rsidR="00744A1C" w:rsidRPr="00877682">
        <w:rPr>
          <w:rStyle w:val="libFootnoteBoldChar"/>
          <w:rtl/>
        </w:rPr>
        <w:t>النهاية</w:t>
      </w:r>
      <w:r w:rsidR="00744A1C">
        <w:rPr>
          <w:rtl/>
          <w:lang w:bidi="fa-IR"/>
        </w:rPr>
        <w:t xml:space="preserve"> ، ج 5 ، ص 277 ( هنأ ).</w:t>
      </w:r>
    </w:p>
    <w:p w:rsidR="00744A1C" w:rsidRDefault="00744A1C" w:rsidP="008526E0">
      <w:pPr>
        <w:pStyle w:val="libFootnote0"/>
        <w:rPr>
          <w:lang w:bidi="fa-IR"/>
        </w:rPr>
      </w:pPr>
      <w:r>
        <w:rPr>
          <w:rtl/>
          <w:lang w:bidi="fa-IR"/>
        </w:rPr>
        <w:t xml:space="preserve">وفي هامش </w:t>
      </w:r>
      <w:r w:rsidRPr="00C24F9C">
        <w:rPr>
          <w:rStyle w:val="libFootnoteBoldChar"/>
          <w:rtl/>
        </w:rPr>
        <w:t>الوافي</w:t>
      </w:r>
      <w:r>
        <w:rPr>
          <w:rtl/>
          <w:lang w:bidi="fa-IR"/>
        </w:rPr>
        <w:t xml:space="preserve"> عن المحقّق الشعراني : « قوله : وإن كان مختلطاً فكله هنيئاً ، هذا الخبر مع تكرّر مضمونه لم يعمل به الأكثر ، وعمل به ابن الجنيد ، كما مرّ والصدوق والشيخ في </w:t>
      </w:r>
      <w:r w:rsidRPr="00877682">
        <w:rPr>
          <w:rStyle w:val="libFootnoteBoldChar"/>
          <w:rtl/>
        </w:rPr>
        <w:t>النهاية</w:t>
      </w:r>
      <w:r>
        <w:rPr>
          <w:rtl/>
          <w:lang w:bidi="fa-IR"/>
        </w:rPr>
        <w:t xml:space="preserve"> </w:t>
      </w:r>
      <w:r w:rsidR="008526E0" w:rsidRPr="00346ECE">
        <w:rPr>
          <w:rtl/>
        </w:rPr>
        <w:t>رحمهم</w:t>
      </w:r>
      <w:r w:rsidR="008526E0" w:rsidRPr="00346ECE">
        <w:rPr>
          <w:rFonts w:hint="cs"/>
          <w:rtl/>
        </w:rPr>
        <w:t xml:space="preserve"> </w:t>
      </w:r>
      <w:r w:rsidR="008526E0" w:rsidRPr="00346ECE">
        <w:rPr>
          <w:rtl/>
        </w:rPr>
        <w:t>‌الله</w:t>
      </w:r>
      <w:r>
        <w:rPr>
          <w:rtl/>
          <w:lang w:bidi="fa-IR"/>
        </w:rPr>
        <w:t>. ومقتضى القواعد أن يردّ الربا إلى أصحابها بعد العلم ، فإن اختلط فالواجب الخمس. وممّا يضعّف الخبر الاستدلال بالآية ، وهي لا تدلّ عليه ، فيحتمل أن يكون الراوي وهم فيه ، ولولا أنّ القول المشهور أوفق للاحتياط لكان العمل بهذا الخبر متّجهاً ، ولكنّ احتجاجه بالآية الشريفة ومخالفته للاحتياط وندرة القول به أوجبت الترديد ».</w:t>
      </w:r>
    </w:p>
    <w:p w:rsidR="00744A1C" w:rsidRDefault="00E378DD" w:rsidP="00E378DD">
      <w:pPr>
        <w:pStyle w:val="libFootnote0"/>
        <w:rPr>
          <w:lang w:bidi="fa-IR"/>
        </w:rPr>
      </w:pPr>
      <w:r>
        <w:rPr>
          <w:rtl/>
          <w:lang w:bidi="fa-IR"/>
        </w:rPr>
        <w:t>(2).</w:t>
      </w:r>
      <w:r w:rsidR="00744A1C">
        <w:rPr>
          <w:rtl/>
          <w:lang w:bidi="fa-IR"/>
        </w:rPr>
        <w:t xml:space="preserve"> في « ط ، بس ، بف ، جد » </w:t>
      </w:r>
      <w:r w:rsidR="00744A1C" w:rsidRPr="00346ECE">
        <w:rPr>
          <w:rtl/>
        </w:rPr>
        <w:t>والوافي والوسائل والتهذيب</w:t>
      </w:r>
      <w:r w:rsidR="00744A1C">
        <w:rPr>
          <w:rtl/>
          <w:lang w:bidi="fa-IR"/>
        </w:rPr>
        <w:t xml:space="preserve"> : - « مريئاً ». والمري‌ء : الهني‌ء ؛ من قولهم : مرأني الطعام وأمرأني ، إذا لم يثقل على المعدة وانحدر عنها طيّباً. راجع : </w:t>
      </w:r>
      <w:r w:rsidR="00744A1C" w:rsidRPr="00877682">
        <w:rPr>
          <w:rStyle w:val="libFootnoteBoldChar"/>
          <w:rtl/>
        </w:rPr>
        <w:t>النهاية</w:t>
      </w:r>
      <w:r w:rsidR="00744A1C">
        <w:rPr>
          <w:rtl/>
          <w:lang w:bidi="fa-IR"/>
        </w:rPr>
        <w:t xml:space="preserve"> ، ج 4 ، ص 313 ( هنأ ).</w:t>
      </w:r>
    </w:p>
    <w:tbl>
      <w:tblPr>
        <w:tblStyle w:val="TableGrid"/>
        <w:bidiVisual/>
        <w:tblW w:w="0" w:type="auto"/>
        <w:tblLook w:val="04A0" w:firstRow="1" w:lastRow="0" w:firstColumn="1" w:lastColumn="0" w:noHBand="0" w:noVBand="1"/>
      </w:tblPr>
      <w:tblGrid>
        <w:gridCol w:w="4006"/>
        <w:gridCol w:w="4006"/>
      </w:tblGrid>
      <w:tr w:rsidR="00A15D13" w:rsidTr="00A15D13">
        <w:tc>
          <w:tcPr>
            <w:tcW w:w="4006" w:type="dxa"/>
          </w:tcPr>
          <w:p w:rsidR="00A15D13" w:rsidRDefault="00A15D13" w:rsidP="00E378DD">
            <w:pPr>
              <w:pStyle w:val="libFootnote0"/>
              <w:rPr>
                <w:rtl/>
                <w:lang w:bidi="fa-IR"/>
              </w:rPr>
            </w:pPr>
            <w:r>
              <w:rPr>
                <w:rtl/>
                <w:lang w:bidi="fa-IR"/>
              </w:rPr>
              <w:t xml:space="preserve">(3). في « بخ ، بف » </w:t>
            </w:r>
            <w:r w:rsidRPr="00A15D13">
              <w:rPr>
                <w:rtl/>
              </w:rPr>
              <w:t>والتهذيب :</w:t>
            </w:r>
            <w:r>
              <w:rPr>
                <w:rtl/>
                <w:lang w:bidi="fa-IR"/>
              </w:rPr>
              <w:t xml:space="preserve"> « و</w:t>
            </w:r>
            <w:r>
              <w:rPr>
                <w:rFonts w:hint="cs"/>
                <w:rtl/>
                <w:lang w:bidi="fa-IR"/>
              </w:rPr>
              <w:t xml:space="preserve"> </w:t>
            </w:r>
            <w:r>
              <w:rPr>
                <w:rtl/>
                <w:lang w:bidi="fa-IR"/>
              </w:rPr>
              <w:t>وجب ».</w:t>
            </w:r>
          </w:p>
        </w:tc>
        <w:tc>
          <w:tcPr>
            <w:tcW w:w="4006" w:type="dxa"/>
          </w:tcPr>
          <w:p w:rsidR="00A15D13" w:rsidRDefault="00A15D13" w:rsidP="00E378DD">
            <w:pPr>
              <w:pStyle w:val="libFootnote0"/>
              <w:rPr>
                <w:rtl/>
                <w:lang w:bidi="fa-IR"/>
              </w:rPr>
            </w:pPr>
            <w:r>
              <w:rPr>
                <w:rtl/>
                <w:lang w:bidi="fa-IR"/>
              </w:rPr>
              <w:t>(4). في « بخ ، بف »</w:t>
            </w:r>
            <w:r w:rsidRPr="00F23DA0">
              <w:rPr>
                <w:rtl/>
              </w:rPr>
              <w:t xml:space="preserve"> و</w:t>
            </w:r>
            <w:r w:rsidR="00F23DA0">
              <w:rPr>
                <w:rFonts w:hint="cs"/>
                <w:rtl/>
              </w:rPr>
              <w:t xml:space="preserve"> </w:t>
            </w:r>
            <w:r w:rsidRPr="00F23DA0">
              <w:rPr>
                <w:rtl/>
              </w:rPr>
              <w:t>الوافي :</w:t>
            </w:r>
            <w:r>
              <w:rPr>
                <w:rtl/>
                <w:lang w:bidi="fa-IR"/>
              </w:rPr>
              <w:t xml:space="preserve"> « ارتكبه ».</w:t>
            </w:r>
          </w:p>
        </w:tc>
      </w:tr>
    </w:tbl>
    <w:p w:rsidR="00744A1C" w:rsidRDefault="00E378DD" w:rsidP="00E378DD">
      <w:pPr>
        <w:pStyle w:val="libFootnote0"/>
        <w:rPr>
          <w:lang w:bidi="fa-IR"/>
        </w:rPr>
      </w:pPr>
      <w:r>
        <w:rPr>
          <w:rtl/>
          <w:lang w:bidi="fa-IR"/>
        </w:rPr>
        <w:t>(5).</w:t>
      </w:r>
      <w:r w:rsidR="00744A1C">
        <w:rPr>
          <w:rtl/>
          <w:lang w:bidi="fa-IR"/>
        </w:rPr>
        <w:t xml:space="preserve"> في « جت » : « تجب ». وفي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كما يجب ، قيل : أي على قدر يجب على آكل الربا. هذا بيان لقدر العقوبة ، لا تشبيه للوجوب بالوجوب. والأظهر أنّه من باب تشبيه حكم بحكم تفهيماً للسائل ، كما هو الشائع في الأخبار ، أي كما أنّ الجهل بالحكم يحلّل ، كذلك الجهل بالعين أيضاً ، وما فهمه بعض من أنّ هذا مؤيّد للحمل على جهل المورّث ، فلا يخفى وهنه ».</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التهذيب</w:t>
      </w:r>
      <w:r w:rsidR="00744A1C">
        <w:rPr>
          <w:rtl/>
          <w:lang w:bidi="fa-IR"/>
        </w:rPr>
        <w:t xml:space="preserve"> ، ج 7 ، ص 16 ، ح 70 ، بسنده عن ابن أبي عمير. </w:t>
      </w:r>
      <w:r w:rsidR="00744A1C" w:rsidRPr="00C24F9C">
        <w:rPr>
          <w:rStyle w:val="libFootnoteBoldChar"/>
          <w:rtl/>
        </w:rPr>
        <w:t>الفقيه</w:t>
      </w:r>
      <w:r w:rsidR="00744A1C">
        <w:rPr>
          <w:rtl/>
          <w:lang w:bidi="fa-IR"/>
        </w:rPr>
        <w:t xml:space="preserve"> ، ج 3 ، ص 276 ، ح 3999 ، مرسلاً من دون التصريح باسم المعصوم </w:t>
      </w:r>
      <w:r w:rsidR="0061079A" w:rsidRPr="0061079A">
        <w:rPr>
          <w:rStyle w:val="libFootnoteAlaemChar"/>
          <w:rtl/>
        </w:rPr>
        <w:t>عليه‌السلام</w:t>
      </w:r>
      <w:r w:rsidR="00D10E3C">
        <w:rPr>
          <w:rtl/>
          <w:lang w:bidi="fa-IR"/>
        </w:rPr>
        <w:t xml:space="preserve"> </w:t>
      </w:r>
      <w:r w:rsidR="001E2A19">
        <w:rPr>
          <w:rFonts w:hint="cs"/>
          <w:rtl/>
          <w:lang w:bidi="fa-IR"/>
        </w:rPr>
        <w:t>.</w:t>
      </w:r>
      <w:r w:rsidR="00744A1C" w:rsidRPr="00C24F9C">
        <w:rPr>
          <w:rStyle w:val="libFootnoteBoldChar"/>
          <w:rtl/>
        </w:rPr>
        <w:t>الوافي</w:t>
      </w:r>
      <w:r w:rsidR="00744A1C">
        <w:rPr>
          <w:rtl/>
          <w:lang w:bidi="fa-IR"/>
        </w:rPr>
        <w:t xml:space="preserve"> ، ج 17 ، ص 378 ، ح 17464 ؛ </w:t>
      </w:r>
      <w:r w:rsidR="00744A1C" w:rsidRPr="00C24F9C">
        <w:rPr>
          <w:rStyle w:val="libFootnoteBoldChar"/>
          <w:rtl/>
        </w:rPr>
        <w:t>الوسائل</w:t>
      </w:r>
      <w:r w:rsidR="00744A1C">
        <w:rPr>
          <w:rtl/>
          <w:lang w:bidi="fa-IR"/>
        </w:rPr>
        <w:t xml:space="preserve"> ، ج 18 ، ص 129 ، ح 23303.</w:t>
      </w:r>
    </w:p>
    <w:tbl>
      <w:tblPr>
        <w:tblStyle w:val="TableGrid"/>
        <w:bidiVisual/>
        <w:tblW w:w="0" w:type="auto"/>
        <w:tblLook w:val="04A0" w:firstRow="1" w:lastRow="0" w:firstColumn="1" w:lastColumn="0" w:noHBand="0" w:noVBand="1"/>
      </w:tblPr>
      <w:tblGrid>
        <w:gridCol w:w="4006"/>
        <w:gridCol w:w="4006"/>
      </w:tblGrid>
      <w:tr w:rsidR="001E2A19" w:rsidTr="001E2A19">
        <w:tc>
          <w:tcPr>
            <w:tcW w:w="4006" w:type="dxa"/>
          </w:tcPr>
          <w:p w:rsidR="001E2A19" w:rsidRDefault="001E2A19" w:rsidP="00E378DD">
            <w:pPr>
              <w:pStyle w:val="libFootnote0"/>
              <w:rPr>
                <w:rtl/>
                <w:lang w:bidi="fa-IR"/>
              </w:rPr>
            </w:pPr>
            <w:r>
              <w:rPr>
                <w:rtl/>
                <w:lang w:bidi="fa-IR"/>
              </w:rPr>
              <w:t xml:space="preserve">(7). في «بخ» : + « الربوا ». وفي </w:t>
            </w:r>
            <w:r w:rsidRPr="001E2A19">
              <w:rPr>
                <w:rtl/>
              </w:rPr>
              <w:t>الوافي :</w:t>
            </w:r>
            <w:r>
              <w:rPr>
                <w:rtl/>
                <w:lang w:bidi="fa-IR"/>
              </w:rPr>
              <w:t xml:space="preserve"> + « الربا ».</w:t>
            </w:r>
          </w:p>
        </w:tc>
        <w:tc>
          <w:tcPr>
            <w:tcW w:w="4006" w:type="dxa"/>
          </w:tcPr>
          <w:p w:rsidR="001E2A19" w:rsidRDefault="001E2A19" w:rsidP="00E378DD">
            <w:pPr>
              <w:pStyle w:val="libFootnote0"/>
              <w:rPr>
                <w:rtl/>
                <w:lang w:bidi="fa-IR"/>
              </w:rPr>
            </w:pPr>
            <w:r>
              <w:rPr>
                <w:rtl/>
                <w:lang w:bidi="fa-IR"/>
              </w:rPr>
              <w:t>(8). في حاشية«</w:t>
            </w:r>
            <w:r>
              <w:rPr>
                <w:rtl/>
              </w:rPr>
              <w:t>جت»</w:t>
            </w:r>
            <w:r w:rsidRPr="001E2A19">
              <w:rPr>
                <w:rtl/>
              </w:rPr>
              <w:t>والفقيه،</w:t>
            </w:r>
            <w:r>
              <w:rPr>
                <w:rtl/>
                <w:lang w:bidi="fa-IR"/>
              </w:rPr>
              <w:t>ح 4031 : « وذلك ».</w:t>
            </w:r>
          </w:p>
        </w:tc>
      </w:tr>
    </w:tbl>
    <w:p w:rsidR="00744A1C" w:rsidRDefault="00E378DD" w:rsidP="00E378DD">
      <w:pPr>
        <w:pStyle w:val="libFootnote0"/>
        <w:rPr>
          <w:lang w:bidi="fa-IR"/>
        </w:rPr>
      </w:pPr>
      <w:r>
        <w:rPr>
          <w:rtl/>
          <w:lang w:bidi="fa-IR"/>
        </w:rPr>
        <w:t>(9).</w:t>
      </w:r>
      <w:r w:rsidR="00744A1C">
        <w:rPr>
          <w:rtl/>
          <w:lang w:bidi="fa-IR"/>
        </w:rPr>
        <w:t xml:space="preserve"> هكذا في جميع النسخ التي قوبلت </w:t>
      </w:r>
      <w:r w:rsidR="00744A1C" w:rsidRPr="001C7F91">
        <w:rPr>
          <w:rtl/>
        </w:rPr>
        <w:t>والوافي والوسائل. وفي</w:t>
      </w:r>
      <w:r w:rsidR="00744A1C">
        <w:rPr>
          <w:rtl/>
          <w:lang w:bidi="fa-IR"/>
        </w:rPr>
        <w:t xml:space="preserve"> المطبوع : « قوله ».</w:t>
      </w:r>
    </w:p>
    <w:p w:rsidR="006D42F6" w:rsidRDefault="006D42F6" w:rsidP="00D10E3C">
      <w:pPr>
        <w:pStyle w:val="libNormal"/>
        <w:rPr>
          <w:rtl/>
          <w:lang w:bidi="fa-IR"/>
        </w:rPr>
      </w:pPr>
      <w:r>
        <w:rPr>
          <w:rtl/>
          <w:lang w:bidi="fa-IR"/>
        </w:rPr>
        <w:br w:type="page"/>
      </w:r>
    </w:p>
    <w:p w:rsidR="00144FA6" w:rsidRDefault="00744A1C" w:rsidP="001C7F91">
      <w:pPr>
        <w:pStyle w:val="libNormal0"/>
        <w:rPr>
          <w:rtl/>
          <w:lang w:bidi="fa-IR"/>
        </w:rPr>
      </w:pPr>
      <w:r w:rsidRPr="001C7F91">
        <w:rPr>
          <w:rStyle w:val="libAieChar"/>
          <w:rtl/>
        </w:rPr>
        <w:t xml:space="preserve">اللهِ </w:t>
      </w:r>
      <w:r w:rsidRPr="001C7F91">
        <w:rPr>
          <w:rStyle w:val="libAlaemChar"/>
          <w:rtl/>
        </w:rPr>
        <w:t>)</w:t>
      </w:r>
      <w:r>
        <w:rPr>
          <w:rtl/>
          <w:lang w:bidi="fa-IR"/>
        </w:rPr>
        <w:t xml:space="preserve"> </w:t>
      </w:r>
      <w:r w:rsidRPr="00D10E3C">
        <w:rPr>
          <w:rStyle w:val="libFootnotenumChar"/>
          <w:rtl/>
        </w:rPr>
        <w:t>(1)</w:t>
      </w:r>
      <w:r>
        <w:rPr>
          <w:rtl/>
          <w:lang w:bidi="fa-IR"/>
        </w:rPr>
        <w:t xml:space="preserve"> ؛ وَأَمَّا </w:t>
      </w:r>
      <w:r w:rsidRPr="00D10E3C">
        <w:rPr>
          <w:rStyle w:val="libFootnotenumChar"/>
          <w:rtl/>
        </w:rPr>
        <w:t>(2)</w:t>
      </w:r>
      <w:r>
        <w:rPr>
          <w:rtl/>
          <w:lang w:bidi="fa-IR"/>
        </w:rPr>
        <w:t xml:space="preserve"> الَّذِي لَايُؤْكَلُ ، فَهُوَ </w:t>
      </w:r>
      <w:r w:rsidRPr="00D10E3C">
        <w:rPr>
          <w:rStyle w:val="libFootnotenumChar"/>
          <w:rtl/>
        </w:rPr>
        <w:t>(3)</w:t>
      </w:r>
      <w:r>
        <w:rPr>
          <w:rtl/>
          <w:lang w:bidi="fa-IR"/>
        </w:rPr>
        <w:t xml:space="preserve"> الَّذِي نَهَى اللهُ - عَزَّ وَجَلَّ - عَنْهُ </w:t>
      </w:r>
      <w:r w:rsidRPr="00D10E3C">
        <w:rPr>
          <w:rStyle w:val="libFootnotenumChar"/>
          <w:rtl/>
        </w:rPr>
        <w:t>(4)</w:t>
      </w:r>
      <w:r>
        <w:rPr>
          <w:rtl/>
          <w:lang w:bidi="fa-IR"/>
        </w:rPr>
        <w:t xml:space="preserve"> ، وَ</w:t>
      </w:r>
      <w:r w:rsidR="00901B6E">
        <w:rPr>
          <w:rFonts w:hint="cs"/>
          <w:rtl/>
          <w:lang w:bidi="fa-IR"/>
        </w:rPr>
        <w:t xml:space="preserve"> </w:t>
      </w:r>
      <w:r>
        <w:rPr>
          <w:rtl/>
          <w:lang w:bidi="fa-IR"/>
        </w:rPr>
        <w:t xml:space="preserve">أَوْعَدَ عَلَيْهِ النَّارَ ». </w:t>
      </w:r>
      <w:r w:rsidRPr="00D10E3C">
        <w:rPr>
          <w:rStyle w:val="libFootnotenumChar"/>
          <w:rtl/>
        </w:rPr>
        <w:t>(5)</w:t>
      </w:r>
    </w:p>
    <w:p w:rsidR="00144FA6" w:rsidRDefault="00744A1C" w:rsidP="00744A1C">
      <w:pPr>
        <w:pStyle w:val="libNormal"/>
        <w:rPr>
          <w:rtl/>
          <w:lang w:bidi="fa-IR"/>
        </w:rPr>
      </w:pPr>
      <w:r>
        <w:rPr>
          <w:rtl/>
          <w:lang w:bidi="fa-IR"/>
        </w:rPr>
        <w:t>8668 / 7. عِدَّةٌ مِنْ أَصْحَابِنَا ، عَنْ أَحْمَدَ بْنِ أَبِي عَبْدِ اللهِ ، عَنْ عُثْمَانَ بْنِ عِيسى ، عَنْ سَمَاعَةَ ، قَالَ :</w:t>
      </w:r>
    </w:p>
    <w:p w:rsidR="00744A1C" w:rsidRDefault="00744A1C" w:rsidP="00744A1C">
      <w:pPr>
        <w:pStyle w:val="libNormal"/>
        <w:rPr>
          <w:lang w:bidi="fa-IR"/>
        </w:rPr>
      </w:pPr>
      <w:r>
        <w:rPr>
          <w:rtl/>
          <w:lang w:bidi="fa-IR"/>
        </w:rPr>
        <w:t xml:space="preserve">قُلْتُ لِأَبِي عَبْدِ اللهِ </w:t>
      </w:r>
      <w:r w:rsidR="0061079A" w:rsidRPr="0061079A">
        <w:rPr>
          <w:rStyle w:val="libAlaemChar"/>
          <w:rtl/>
        </w:rPr>
        <w:t>عليه‌السلام</w:t>
      </w:r>
      <w:r w:rsidR="00D10E3C">
        <w:rPr>
          <w:rtl/>
          <w:lang w:bidi="fa-IR"/>
        </w:rPr>
        <w:t xml:space="preserve"> </w:t>
      </w:r>
      <w:r>
        <w:rPr>
          <w:rtl/>
          <w:lang w:bidi="fa-IR"/>
        </w:rPr>
        <w:t xml:space="preserve">: إِنِّي رَأَيْتُ اللهَ تَعَالى قَدْ ذَكَرَ الرِّبَا فِي غَيْرِ آيَةٍ وَكَرَّرَهُ </w:t>
      </w:r>
      <w:r w:rsidRPr="00D10E3C">
        <w:rPr>
          <w:rStyle w:val="libFootnotenumChar"/>
          <w:rtl/>
        </w:rPr>
        <w:t>(6)</w:t>
      </w:r>
      <w:r w:rsidR="00901B6E" w:rsidRPr="00901B6E">
        <w:rPr>
          <w:rFonts w:hint="cs"/>
          <w:rtl/>
        </w:rPr>
        <w:t>.</w:t>
      </w:r>
    </w:p>
    <w:p w:rsidR="00744A1C" w:rsidRDefault="00744A1C" w:rsidP="00744A1C">
      <w:pPr>
        <w:pStyle w:val="libNormal"/>
        <w:rPr>
          <w:lang w:bidi="fa-IR"/>
        </w:rPr>
      </w:pPr>
      <w:r>
        <w:rPr>
          <w:rtl/>
          <w:lang w:bidi="fa-IR"/>
        </w:rPr>
        <w:t xml:space="preserve">فَقَالَ </w:t>
      </w:r>
      <w:r w:rsidRPr="00D10E3C">
        <w:rPr>
          <w:rStyle w:val="libFootnotenumChar"/>
          <w:rtl/>
        </w:rPr>
        <w:t>(7)</w:t>
      </w:r>
      <w:r>
        <w:rPr>
          <w:rtl/>
          <w:lang w:bidi="fa-IR"/>
        </w:rPr>
        <w:t xml:space="preserve"> : « أَوَتَدْرِي </w:t>
      </w:r>
      <w:r w:rsidRPr="00D10E3C">
        <w:rPr>
          <w:rStyle w:val="libFootnotenumChar"/>
          <w:rtl/>
        </w:rPr>
        <w:t>(8)</w:t>
      </w:r>
      <w:r>
        <w:rPr>
          <w:rtl/>
          <w:lang w:bidi="fa-IR"/>
        </w:rPr>
        <w:t xml:space="preserve"> لِمَ ذَاكَ </w:t>
      </w:r>
      <w:r w:rsidRPr="00D10E3C">
        <w:rPr>
          <w:rStyle w:val="libFootnotenumChar"/>
          <w:rtl/>
        </w:rPr>
        <w:t>(9)</w:t>
      </w:r>
      <w:r>
        <w:rPr>
          <w:rtl/>
          <w:lang w:bidi="fa-IR"/>
        </w:rPr>
        <w:t>؟ » ق</w:t>
      </w:r>
      <w:r w:rsidR="00901B6E">
        <w:rPr>
          <w:rtl/>
          <w:lang w:bidi="fa-IR"/>
        </w:rPr>
        <w:t>ُلْتُ : لَا ، قَالَ : « لِئَل</w:t>
      </w:r>
      <w:r w:rsidR="00901B6E">
        <w:rPr>
          <w:rFonts w:hint="cs"/>
          <w:rtl/>
          <w:lang w:bidi="fa-IR"/>
        </w:rPr>
        <w:t>َّ</w:t>
      </w:r>
      <w:r w:rsidR="00901B6E">
        <w:rPr>
          <w:rtl/>
          <w:lang w:bidi="fa-IR"/>
        </w:rPr>
        <w:t>ا</w:t>
      </w:r>
      <w:r>
        <w:rPr>
          <w:rtl/>
          <w:lang w:bidi="fa-IR"/>
        </w:rPr>
        <w:t xml:space="preserve"> </w:t>
      </w:r>
      <w:r w:rsidRPr="00D10E3C">
        <w:rPr>
          <w:rStyle w:val="libFootnotenumChar"/>
          <w:rtl/>
        </w:rPr>
        <w:t>(10)</w:t>
      </w:r>
      <w:r>
        <w:rPr>
          <w:rtl/>
          <w:lang w:bidi="fa-IR"/>
        </w:rPr>
        <w:t xml:space="preserve"> يَمْتَنِعَ النَّاسُ مِنِ اصْطِنَاعِ‌</w:t>
      </w:r>
    </w:p>
    <w:p w:rsidR="00744A1C" w:rsidRDefault="00744A1C" w:rsidP="00D10E3C">
      <w:pPr>
        <w:pStyle w:val="libLine"/>
        <w:rPr>
          <w:lang w:bidi="fa-IR"/>
        </w:rPr>
      </w:pPr>
      <w:r>
        <w:rPr>
          <w:rtl/>
          <w:lang w:bidi="fa-IR"/>
        </w:rPr>
        <w:t>____________________</w:t>
      </w:r>
    </w:p>
    <w:p w:rsidR="00744A1C" w:rsidRDefault="00D10E3C" w:rsidP="005C3E0C">
      <w:pPr>
        <w:pStyle w:val="libFootnote0"/>
        <w:rPr>
          <w:lang w:bidi="fa-IR"/>
        </w:rPr>
      </w:pPr>
      <w:r>
        <w:rPr>
          <w:rtl/>
          <w:lang w:bidi="fa-IR"/>
        </w:rPr>
        <w:t>(1).</w:t>
      </w:r>
      <w:r w:rsidR="00744A1C">
        <w:rPr>
          <w:rtl/>
          <w:lang w:bidi="fa-IR"/>
        </w:rPr>
        <w:t xml:space="preserve"> الروم (30) : 39. وفي </w:t>
      </w:r>
      <w:r w:rsidR="00744A1C" w:rsidRPr="00C24F9C">
        <w:rPr>
          <w:rStyle w:val="libFootnoteBoldChar"/>
          <w:rtl/>
        </w:rPr>
        <w:t>الوافي</w:t>
      </w:r>
      <w:r w:rsidR="00744A1C">
        <w:rPr>
          <w:rtl/>
          <w:lang w:bidi="fa-IR"/>
        </w:rPr>
        <w:t xml:space="preserve"> : « المستفاد من هذا الحديث أنّ معنى قوله تعالى : </w:t>
      </w:r>
      <w:r w:rsidR="00744A1C" w:rsidRPr="005C3E0C">
        <w:rPr>
          <w:rStyle w:val="libFootnoteAlaemChar"/>
          <w:rtl/>
        </w:rPr>
        <w:t>(</w:t>
      </w:r>
      <w:r w:rsidR="00744A1C" w:rsidRPr="005C3E0C">
        <w:rPr>
          <w:rStyle w:val="libFootnoteAieChar"/>
          <w:rtl/>
        </w:rPr>
        <w:t xml:space="preserve"> وَ</w:t>
      </w:r>
      <w:r w:rsidR="005C3E0C" w:rsidRPr="005C3E0C">
        <w:rPr>
          <w:rStyle w:val="libFootnoteAieChar"/>
          <w:rFonts w:hint="cs"/>
          <w:rtl/>
        </w:rPr>
        <w:t xml:space="preserve"> </w:t>
      </w:r>
      <w:r w:rsidR="00744A1C" w:rsidRPr="005C3E0C">
        <w:rPr>
          <w:rStyle w:val="libFootnoteAieChar"/>
          <w:rtl/>
        </w:rPr>
        <w:t>م</w:t>
      </w:r>
      <w:r w:rsidR="005C3E0C" w:rsidRPr="005C3E0C">
        <w:rPr>
          <w:rStyle w:val="libFootnoteAieChar"/>
          <w:rFonts w:hint="cs"/>
          <w:rtl/>
        </w:rPr>
        <w:t>َ</w:t>
      </w:r>
      <w:r w:rsidR="00744A1C" w:rsidRPr="005C3E0C">
        <w:rPr>
          <w:rStyle w:val="libFootnoteAieChar"/>
          <w:rtl/>
        </w:rPr>
        <w:t xml:space="preserve">ا </w:t>
      </w:r>
      <w:r w:rsidR="005C3E0C">
        <w:rPr>
          <w:rStyle w:val="libFootnoteAieChar"/>
          <w:rFonts w:hint="cs"/>
          <w:rtl/>
        </w:rPr>
        <w:t>ءَا</w:t>
      </w:r>
      <w:r w:rsidR="00744A1C" w:rsidRPr="005C3E0C">
        <w:rPr>
          <w:rStyle w:val="libFootnoteAieChar"/>
          <w:rtl/>
        </w:rPr>
        <w:t xml:space="preserve">تَيْتُمْ مِنْ رِباً </w:t>
      </w:r>
      <w:r w:rsidR="00744A1C" w:rsidRPr="005C3E0C">
        <w:rPr>
          <w:rStyle w:val="libFootnoteAlaemChar"/>
          <w:rtl/>
        </w:rPr>
        <w:t>)</w:t>
      </w:r>
      <w:r w:rsidR="00744A1C">
        <w:rPr>
          <w:rtl/>
          <w:lang w:bidi="fa-IR"/>
        </w:rPr>
        <w:t xml:space="preserve"> أنّ من أهدى هديّة يتوقّع بها مزيد مكافأة</w:t>
      </w:r>
      <w:r w:rsidR="005C3E0C">
        <w:rPr>
          <w:rFonts w:hint="cs"/>
          <w:rtl/>
          <w:lang w:bidi="fa-IR"/>
        </w:rPr>
        <w:t xml:space="preserve"> </w:t>
      </w:r>
      <w:r w:rsidR="00744A1C" w:rsidRPr="005C3E0C">
        <w:rPr>
          <w:rStyle w:val="libFootnoteAlaemChar"/>
          <w:rtl/>
        </w:rPr>
        <w:t>(</w:t>
      </w:r>
      <w:r w:rsidR="00744A1C" w:rsidRPr="005C3E0C">
        <w:rPr>
          <w:rStyle w:val="libFootnoteAieChar"/>
          <w:rtl/>
        </w:rPr>
        <w:t xml:space="preserve"> لِيَرْبُوَا فِي أَمْوالِ النّ</w:t>
      </w:r>
      <w:r w:rsidR="005C3E0C">
        <w:rPr>
          <w:rStyle w:val="libFootnoteAieChar"/>
          <w:rFonts w:hint="cs"/>
          <w:rtl/>
        </w:rPr>
        <w:t>َ</w:t>
      </w:r>
      <w:r w:rsidR="00744A1C" w:rsidRPr="005C3E0C">
        <w:rPr>
          <w:rStyle w:val="libFootnoteAieChar"/>
          <w:rtl/>
        </w:rPr>
        <w:t xml:space="preserve">اسِ </w:t>
      </w:r>
      <w:r w:rsidR="00744A1C" w:rsidRPr="005C3E0C">
        <w:rPr>
          <w:rStyle w:val="libFootnoteAlaemChar"/>
          <w:rtl/>
        </w:rPr>
        <w:t>)</w:t>
      </w:r>
      <w:r w:rsidR="00744A1C">
        <w:rPr>
          <w:rtl/>
          <w:lang w:bidi="fa-IR"/>
        </w:rPr>
        <w:t xml:space="preserve"> ؛ أي ليزيد ويزكو في أموالهم ؛ يعني ينمو فيها ، ثمّ يرجع إليه</w:t>
      </w:r>
      <w:r w:rsidR="005C3E0C">
        <w:rPr>
          <w:rFonts w:hint="cs"/>
          <w:rtl/>
          <w:lang w:bidi="fa-IR"/>
        </w:rPr>
        <w:t xml:space="preserve"> </w:t>
      </w:r>
      <w:r w:rsidR="00744A1C" w:rsidRPr="005C3E0C">
        <w:rPr>
          <w:rStyle w:val="libFootnoteAlaemChar"/>
          <w:rtl/>
        </w:rPr>
        <w:t>(</w:t>
      </w:r>
      <w:r w:rsidR="00744A1C" w:rsidRPr="005C3E0C">
        <w:rPr>
          <w:rStyle w:val="libFootnoteAieChar"/>
          <w:rtl/>
        </w:rPr>
        <w:t xml:space="preserve"> فَل</w:t>
      </w:r>
      <w:r w:rsidR="005C3E0C" w:rsidRPr="005C3E0C">
        <w:rPr>
          <w:rStyle w:val="libFootnoteAieChar"/>
          <w:rFonts w:hint="cs"/>
          <w:rtl/>
        </w:rPr>
        <w:t>َ</w:t>
      </w:r>
      <w:r w:rsidR="00744A1C" w:rsidRPr="005C3E0C">
        <w:rPr>
          <w:rStyle w:val="libFootnoteAieChar"/>
          <w:rtl/>
        </w:rPr>
        <w:t xml:space="preserve">ا يَرْبُوا عِنْدَ اللهِ </w:t>
      </w:r>
      <w:r w:rsidR="00744A1C" w:rsidRPr="005C3E0C">
        <w:rPr>
          <w:rStyle w:val="libFootnoteAlaemChar"/>
          <w:rtl/>
        </w:rPr>
        <w:t>)</w:t>
      </w:r>
      <w:r w:rsidR="00744A1C">
        <w:rPr>
          <w:rtl/>
          <w:lang w:bidi="fa-IR"/>
        </w:rPr>
        <w:t xml:space="preserve"> ؛ يعني فلا يزكو عنده ؛ يعني لا يثاب عليه من عند الله ».</w:t>
      </w:r>
    </w:p>
    <w:p w:rsidR="00744A1C" w:rsidRDefault="00744A1C" w:rsidP="00D10E3C">
      <w:pPr>
        <w:pStyle w:val="libFootnote0"/>
        <w:rPr>
          <w:lang w:bidi="fa-IR"/>
        </w:rPr>
      </w:pPr>
      <w:r>
        <w:rPr>
          <w:rtl/>
          <w:lang w:bidi="fa-IR"/>
        </w:rPr>
        <w:t xml:space="preserve">وفي </w:t>
      </w:r>
      <w:r w:rsidRPr="00C24F9C">
        <w:rPr>
          <w:rStyle w:val="libFootnoteBoldChar"/>
          <w:rtl/>
        </w:rPr>
        <w:t>المرآة</w:t>
      </w:r>
      <w:r>
        <w:rPr>
          <w:rtl/>
          <w:lang w:bidi="fa-IR"/>
        </w:rPr>
        <w:t xml:space="preserve"> : « قوله تعالى : </w:t>
      </w:r>
      <w:r w:rsidRPr="005C3E0C">
        <w:rPr>
          <w:rStyle w:val="libFootnoteAlaemChar"/>
          <w:rtl/>
        </w:rPr>
        <w:t>(</w:t>
      </w:r>
      <w:r w:rsidRPr="005C3E0C">
        <w:rPr>
          <w:rStyle w:val="libFootnoteAieChar"/>
          <w:rtl/>
        </w:rPr>
        <w:t xml:space="preserve"> وَم</w:t>
      </w:r>
      <w:r w:rsidR="005C3E0C">
        <w:rPr>
          <w:rStyle w:val="libFootnoteAieChar"/>
          <w:rFonts w:hint="cs"/>
          <w:rtl/>
        </w:rPr>
        <w:t>َ</w:t>
      </w:r>
      <w:r w:rsidR="005C3E0C">
        <w:rPr>
          <w:rStyle w:val="libFootnoteAieChar"/>
          <w:rtl/>
        </w:rPr>
        <w:t xml:space="preserve">ا </w:t>
      </w:r>
      <w:r w:rsidR="005C3E0C">
        <w:rPr>
          <w:rStyle w:val="libFootnoteAieChar"/>
          <w:rFonts w:hint="cs"/>
          <w:rtl/>
        </w:rPr>
        <w:t>ءَا</w:t>
      </w:r>
      <w:r w:rsidRPr="005C3E0C">
        <w:rPr>
          <w:rStyle w:val="libFootnoteAieChar"/>
          <w:rtl/>
        </w:rPr>
        <w:t>تَيْتُمْ مِنْ رِب</w:t>
      </w:r>
      <w:r w:rsidR="005C3E0C">
        <w:rPr>
          <w:rStyle w:val="libFootnoteAieChar"/>
          <w:rFonts w:hint="cs"/>
          <w:rtl/>
        </w:rPr>
        <w:t>ّ</w:t>
      </w:r>
      <w:r w:rsidRPr="005C3E0C">
        <w:rPr>
          <w:rStyle w:val="libFootnoteAieChar"/>
          <w:rtl/>
        </w:rPr>
        <w:t xml:space="preserve">اً </w:t>
      </w:r>
      <w:r w:rsidRPr="005C3E0C">
        <w:rPr>
          <w:rStyle w:val="libFootnoteAlaemChar"/>
          <w:rtl/>
        </w:rPr>
        <w:t>)</w:t>
      </w:r>
      <w:r>
        <w:rPr>
          <w:rtl/>
          <w:lang w:bidi="fa-IR"/>
        </w:rPr>
        <w:t xml:space="preserve"> ، قال الزمخشري : ما أعطيتم آكلة الربا من رباً </w:t>
      </w:r>
      <w:r w:rsidRPr="005C3E0C">
        <w:rPr>
          <w:rStyle w:val="libFootnoteAlaemChar"/>
          <w:rtl/>
        </w:rPr>
        <w:t>(</w:t>
      </w:r>
      <w:r w:rsidRPr="005C3E0C">
        <w:rPr>
          <w:rStyle w:val="libFootnoteAieChar"/>
          <w:rtl/>
        </w:rPr>
        <w:t xml:space="preserve"> لِيَرْبُوَا فِي أَمْو</w:t>
      </w:r>
      <w:r w:rsidR="005C3E0C">
        <w:rPr>
          <w:rStyle w:val="libFootnoteAieChar"/>
          <w:rFonts w:hint="cs"/>
          <w:rtl/>
        </w:rPr>
        <w:t>َ</w:t>
      </w:r>
      <w:r w:rsidRPr="005C3E0C">
        <w:rPr>
          <w:rStyle w:val="libFootnoteAieChar"/>
          <w:rtl/>
        </w:rPr>
        <w:t>الِ النّ</w:t>
      </w:r>
      <w:r w:rsidR="005C3E0C" w:rsidRPr="005C3E0C">
        <w:rPr>
          <w:rStyle w:val="libFootnoteAieChar"/>
          <w:rFonts w:hint="cs"/>
          <w:rtl/>
        </w:rPr>
        <w:t>َ</w:t>
      </w:r>
      <w:r w:rsidRPr="005C3E0C">
        <w:rPr>
          <w:rStyle w:val="libFootnoteAieChar"/>
          <w:rtl/>
        </w:rPr>
        <w:t xml:space="preserve">اسِ </w:t>
      </w:r>
      <w:r w:rsidRPr="005C3E0C">
        <w:rPr>
          <w:rStyle w:val="libFootnoteAlaemChar"/>
          <w:rtl/>
        </w:rPr>
        <w:t>)</w:t>
      </w:r>
      <w:r>
        <w:rPr>
          <w:rtl/>
          <w:lang w:bidi="fa-IR"/>
        </w:rPr>
        <w:t xml:space="preserve"> ليزيدوا ويزكوا في أموالهم فلا يزكوا عند الله. وقيل : المراد أن يهب الرجل للرجل ويهدي إليه ؛ ليعوّضه أكثر ممّا وهب له ، أو أهدى إليه فليست تلك الزيادة بحرام ، ولكنّ المعوّض لا يثاب على تلك الزيادة. انتهى.</w:t>
      </w:r>
    </w:p>
    <w:p w:rsidR="00744A1C" w:rsidRDefault="00744A1C" w:rsidP="00D10E3C">
      <w:pPr>
        <w:pStyle w:val="libFootnote0"/>
        <w:rPr>
          <w:lang w:bidi="fa-IR"/>
        </w:rPr>
      </w:pPr>
      <w:r>
        <w:rPr>
          <w:rtl/>
          <w:lang w:bidi="fa-IR"/>
        </w:rPr>
        <w:t xml:space="preserve">أقول : بل الظاهر على هذا أنّ المراد به أنّه لا ثواب لمن أهدى للعوض في الآخرة ، كما هو ظاهر الآية والخبر ». وراجع : </w:t>
      </w:r>
      <w:r w:rsidRPr="005C3E0C">
        <w:rPr>
          <w:rStyle w:val="libFootnoteBoldChar"/>
          <w:rtl/>
        </w:rPr>
        <w:t>الكشّاف</w:t>
      </w:r>
      <w:r>
        <w:rPr>
          <w:rtl/>
          <w:lang w:bidi="fa-IR"/>
        </w:rPr>
        <w:t xml:space="preserve"> ، ج 3 ، ص 223 ، ذيل الآية المذكورة.</w:t>
      </w:r>
    </w:p>
    <w:p w:rsidR="00744A1C" w:rsidRDefault="00E378DD" w:rsidP="00E378DD">
      <w:pPr>
        <w:pStyle w:val="libFootnote0"/>
        <w:rPr>
          <w:lang w:bidi="fa-IR"/>
        </w:rPr>
      </w:pPr>
      <w:r>
        <w:rPr>
          <w:rtl/>
          <w:lang w:bidi="fa-IR"/>
        </w:rPr>
        <w:t>(2).</w:t>
      </w:r>
      <w:r w:rsidR="00744A1C">
        <w:rPr>
          <w:rtl/>
          <w:lang w:bidi="fa-IR"/>
        </w:rPr>
        <w:t xml:space="preserve"> في « بخ ، بف » : + « الربوا ». وفي </w:t>
      </w:r>
      <w:r w:rsidR="00744A1C" w:rsidRPr="005C3E0C">
        <w:rPr>
          <w:rtl/>
        </w:rPr>
        <w:t>الوافي :</w:t>
      </w:r>
      <w:r w:rsidR="00744A1C">
        <w:rPr>
          <w:rtl/>
          <w:lang w:bidi="fa-IR"/>
        </w:rPr>
        <w:t xml:space="preserve"> + « الربا ».</w:t>
      </w:r>
    </w:p>
    <w:p w:rsidR="00744A1C" w:rsidRDefault="00E378DD" w:rsidP="00E378DD">
      <w:pPr>
        <w:pStyle w:val="libFootnote0"/>
        <w:rPr>
          <w:lang w:bidi="fa-IR"/>
        </w:rPr>
      </w:pPr>
      <w:r>
        <w:rPr>
          <w:rtl/>
          <w:lang w:bidi="fa-IR"/>
        </w:rPr>
        <w:t>(3).</w:t>
      </w:r>
      <w:r w:rsidR="00744A1C">
        <w:rPr>
          <w:rtl/>
          <w:lang w:bidi="fa-IR"/>
        </w:rPr>
        <w:t xml:space="preserve"> هكذا في معظم النسخ التي قوبلت </w:t>
      </w:r>
      <w:r w:rsidR="00744A1C" w:rsidRPr="005C3E0C">
        <w:rPr>
          <w:rtl/>
        </w:rPr>
        <w:t>والوافي والوسائل. وفي</w:t>
      </w:r>
      <w:r w:rsidR="00744A1C">
        <w:rPr>
          <w:rtl/>
          <w:lang w:bidi="fa-IR"/>
        </w:rPr>
        <w:t xml:space="preserve"> المطبوع : + « الربا ». وفي </w:t>
      </w:r>
      <w:r w:rsidR="00744A1C" w:rsidRPr="005C3E0C">
        <w:rPr>
          <w:rtl/>
        </w:rPr>
        <w:t>الفقيه ، ح</w:t>
      </w:r>
      <w:r w:rsidR="00744A1C">
        <w:rPr>
          <w:rtl/>
          <w:lang w:bidi="fa-IR"/>
        </w:rPr>
        <w:t xml:space="preserve"> 4031 : + « أن يدفع الرجل إلى الرجل عشرة دراهم على أن يردّ عليه أكثر منها ، فهذا الربا ».</w:t>
      </w:r>
    </w:p>
    <w:p w:rsidR="00744A1C" w:rsidRDefault="00E378DD" w:rsidP="00E378DD">
      <w:pPr>
        <w:pStyle w:val="libFootnote0"/>
        <w:rPr>
          <w:lang w:bidi="fa-IR"/>
        </w:rPr>
      </w:pPr>
      <w:r>
        <w:rPr>
          <w:rtl/>
          <w:lang w:bidi="fa-IR"/>
        </w:rPr>
        <w:t>(4).</w:t>
      </w:r>
      <w:r w:rsidR="00744A1C">
        <w:rPr>
          <w:rtl/>
          <w:lang w:bidi="fa-IR"/>
        </w:rPr>
        <w:t xml:space="preserve"> في « بف » : - « عنه ».</w:t>
      </w:r>
    </w:p>
    <w:p w:rsidR="00744A1C" w:rsidRDefault="00E378DD" w:rsidP="00E378DD">
      <w:pPr>
        <w:pStyle w:val="libFootnote0"/>
        <w:rPr>
          <w:lang w:bidi="fa-IR"/>
        </w:rPr>
      </w:pPr>
      <w:r>
        <w:rPr>
          <w:rtl/>
          <w:lang w:bidi="fa-IR"/>
        </w:rPr>
        <w:t>(5).</w:t>
      </w:r>
      <w:r w:rsidR="00744A1C">
        <w:rPr>
          <w:rtl/>
          <w:lang w:bidi="fa-IR"/>
        </w:rPr>
        <w:t xml:space="preserve"> </w:t>
      </w:r>
      <w:r w:rsidR="00744A1C" w:rsidRPr="00C24F9C">
        <w:rPr>
          <w:rStyle w:val="libFootnoteBoldChar"/>
          <w:rtl/>
        </w:rPr>
        <w:t>التهذيب</w:t>
      </w:r>
      <w:r w:rsidR="00744A1C">
        <w:rPr>
          <w:rtl/>
          <w:lang w:bidi="fa-IR"/>
        </w:rPr>
        <w:t xml:space="preserve"> ، ج 7 ، ص 17 ، ح 73 ، معلّقاً عن عليّ بن إبراهيم. وفيه ، ص 15 ، ح 67 ، بسنده عن حمّاد بن عيسى. </w:t>
      </w:r>
      <w:r w:rsidR="00744A1C" w:rsidRPr="00C24F9C">
        <w:rPr>
          <w:rStyle w:val="libFootnoteBoldChar"/>
          <w:rtl/>
        </w:rPr>
        <w:t>الفقيه</w:t>
      </w:r>
      <w:r w:rsidR="00744A1C">
        <w:rPr>
          <w:rtl/>
          <w:lang w:bidi="fa-IR"/>
        </w:rPr>
        <w:t xml:space="preserve"> ، ج 3 ، ص 275 ، ح 3995 ، معلّقاً عن إبراهيم بن عمر ، وفيهما إلى قوله : « فذلك الربا الذي يؤكل ». </w:t>
      </w:r>
      <w:r w:rsidR="00744A1C" w:rsidRPr="00610FB4">
        <w:rPr>
          <w:rStyle w:val="libFootnoteBoldChar"/>
          <w:rtl/>
        </w:rPr>
        <w:t>تفسير القمّي</w:t>
      </w:r>
      <w:r w:rsidR="00744A1C">
        <w:rPr>
          <w:rtl/>
          <w:lang w:bidi="fa-IR"/>
        </w:rPr>
        <w:t xml:space="preserve"> ، ج 2 ، ص 159 ، بسند آخر ، وفي الثلاثة الأخيرة مع اختلاف يسير. </w:t>
      </w:r>
      <w:r w:rsidR="00744A1C" w:rsidRPr="00877682">
        <w:rPr>
          <w:rStyle w:val="libFootnoteBoldChar"/>
          <w:rtl/>
        </w:rPr>
        <w:t>الجعفريّات</w:t>
      </w:r>
      <w:r w:rsidR="00744A1C">
        <w:rPr>
          <w:rtl/>
          <w:lang w:bidi="fa-IR"/>
        </w:rPr>
        <w:t xml:space="preserve"> ، ص 180 ، بسند آخر ، عن جعفر بن محمّد ، عن آبائه ، عن أمير المؤمنين </w:t>
      </w:r>
      <w:r w:rsidR="00877682" w:rsidRPr="00877682">
        <w:rPr>
          <w:rStyle w:val="libFootnoteAlaemChar"/>
          <w:rtl/>
        </w:rPr>
        <w:t>عليهم‌السلام</w:t>
      </w:r>
      <w:r w:rsidR="00D10E3C">
        <w:rPr>
          <w:rtl/>
          <w:lang w:bidi="fa-IR"/>
        </w:rPr>
        <w:t xml:space="preserve"> </w:t>
      </w:r>
      <w:r w:rsidR="00744A1C">
        <w:rPr>
          <w:rtl/>
          <w:lang w:bidi="fa-IR"/>
        </w:rPr>
        <w:t xml:space="preserve">، مع اختلاف. </w:t>
      </w:r>
      <w:r w:rsidR="00744A1C" w:rsidRPr="00C24F9C">
        <w:rPr>
          <w:rStyle w:val="libFootnoteBoldChar"/>
          <w:rtl/>
        </w:rPr>
        <w:t>الفقيه</w:t>
      </w:r>
      <w:r w:rsidR="00744A1C">
        <w:rPr>
          <w:rtl/>
          <w:lang w:bidi="fa-IR"/>
        </w:rPr>
        <w:t xml:space="preserve"> ، ج 3 ، ص 286 ، ضمن ح 4031 ، بسند آخر عن أمير المؤمنين </w:t>
      </w:r>
      <w:r w:rsidR="0061079A" w:rsidRPr="0061079A">
        <w:rPr>
          <w:rStyle w:val="libFootnoteAlaemChar"/>
          <w:rtl/>
        </w:rPr>
        <w:t>عليه‌السلام</w:t>
      </w:r>
      <w:r w:rsidR="00744A1C">
        <w:rPr>
          <w:rtl/>
          <w:lang w:bidi="fa-IR"/>
        </w:rPr>
        <w:t xml:space="preserve">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257 ، مع اختلاف يسير </w:t>
      </w:r>
      <w:r w:rsidR="005C3E0C">
        <w:rPr>
          <w:rFonts w:hint="cs"/>
          <w:rtl/>
          <w:lang w:bidi="fa-IR"/>
        </w:rPr>
        <w:t>.</w:t>
      </w:r>
      <w:r w:rsidR="00744A1C" w:rsidRPr="00C24F9C">
        <w:rPr>
          <w:rStyle w:val="libFootnoteBoldChar"/>
          <w:rtl/>
        </w:rPr>
        <w:t>الوافي</w:t>
      </w:r>
      <w:r w:rsidR="00744A1C">
        <w:rPr>
          <w:rtl/>
          <w:lang w:bidi="fa-IR"/>
        </w:rPr>
        <w:t xml:space="preserve"> ، ج 17 ، ص 378 ، ح 17465 ؛ </w:t>
      </w:r>
      <w:r w:rsidR="00744A1C" w:rsidRPr="00C24F9C">
        <w:rPr>
          <w:rStyle w:val="libFootnoteBoldChar"/>
          <w:rtl/>
        </w:rPr>
        <w:t>الوسائل</w:t>
      </w:r>
      <w:r w:rsidR="00744A1C">
        <w:rPr>
          <w:rtl/>
          <w:lang w:bidi="fa-IR"/>
        </w:rPr>
        <w:t xml:space="preserve"> ، ج 18 ، ص 125 ، ح 23295.</w:t>
      </w:r>
    </w:p>
    <w:p w:rsidR="00744A1C" w:rsidRDefault="00E378DD" w:rsidP="00E378DD">
      <w:pPr>
        <w:pStyle w:val="libFootnote0"/>
        <w:rPr>
          <w:lang w:bidi="fa-IR"/>
        </w:rPr>
      </w:pPr>
      <w:r>
        <w:rPr>
          <w:rtl/>
          <w:lang w:bidi="fa-IR"/>
        </w:rPr>
        <w:t>(6).</w:t>
      </w:r>
      <w:r w:rsidR="00744A1C">
        <w:rPr>
          <w:rtl/>
          <w:lang w:bidi="fa-IR"/>
        </w:rPr>
        <w:t xml:space="preserve"> في </w:t>
      </w:r>
      <w:r w:rsidR="00744A1C" w:rsidRPr="005C3E0C">
        <w:rPr>
          <w:rtl/>
        </w:rPr>
        <w:t>التهذيب</w:t>
      </w:r>
      <w:r w:rsidR="00744A1C">
        <w:rPr>
          <w:rtl/>
          <w:lang w:bidi="fa-IR"/>
        </w:rPr>
        <w:t xml:space="preserve"> : « وكبّره ».</w:t>
      </w:r>
    </w:p>
    <w:p w:rsidR="00744A1C" w:rsidRDefault="00E378DD" w:rsidP="00E378DD">
      <w:pPr>
        <w:pStyle w:val="libFootnote0"/>
        <w:rPr>
          <w:lang w:bidi="fa-IR"/>
        </w:rPr>
      </w:pPr>
      <w:r>
        <w:rPr>
          <w:rtl/>
          <w:lang w:bidi="fa-IR"/>
        </w:rPr>
        <w:t>(7).</w:t>
      </w:r>
      <w:r w:rsidR="00744A1C">
        <w:rPr>
          <w:rtl/>
          <w:lang w:bidi="fa-IR"/>
        </w:rPr>
        <w:t xml:space="preserve"> في « جن » </w:t>
      </w:r>
      <w:r w:rsidR="00744A1C" w:rsidRPr="005C3E0C">
        <w:rPr>
          <w:rtl/>
        </w:rPr>
        <w:t>والوسائل</w:t>
      </w:r>
      <w:r w:rsidR="00744A1C">
        <w:rPr>
          <w:rtl/>
          <w:lang w:bidi="fa-IR"/>
        </w:rPr>
        <w:t xml:space="preserve"> : « قال ».</w:t>
      </w:r>
    </w:p>
    <w:tbl>
      <w:tblPr>
        <w:tblStyle w:val="TableGrid"/>
        <w:bidiVisual/>
        <w:tblW w:w="0" w:type="auto"/>
        <w:tblLook w:val="04A0" w:firstRow="1" w:lastRow="0" w:firstColumn="1" w:lastColumn="0" w:noHBand="0" w:noVBand="1"/>
      </w:tblPr>
      <w:tblGrid>
        <w:gridCol w:w="4006"/>
        <w:gridCol w:w="4006"/>
      </w:tblGrid>
      <w:tr w:rsidR="005C3E0C" w:rsidTr="005C3E0C">
        <w:tc>
          <w:tcPr>
            <w:tcW w:w="4006" w:type="dxa"/>
          </w:tcPr>
          <w:p w:rsidR="005C3E0C" w:rsidRDefault="005C3E0C" w:rsidP="00E378DD">
            <w:pPr>
              <w:pStyle w:val="libFootnote0"/>
              <w:rPr>
                <w:rtl/>
                <w:lang w:bidi="fa-IR"/>
              </w:rPr>
            </w:pPr>
            <w:r>
              <w:rPr>
                <w:rtl/>
                <w:lang w:bidi="fa-IR"/>
              </w:rPr>
              <w:t>(8). في « بح » : « أتدري ».</w:t>
            </w:r>
          </w:p>
        </w:tc>
        <w:tc>
          <w:tcPr>
            <w:tcW w:w="4006" w:type="dxa"/>
          </w:tcPr>
          <w:p w:rsidR="005C3E0C" w:rsidRDefault="0075429B" w:rsidP="00E378DD">
            <w:pPr>
              <w:pStyle w:val="libFootnote0"/>
              <w:rPr>
                <w:rtl/>
                <w:lang w:bidi="fa-IR"/>
              </w:rPr>
            </w:pPr>
            <w:r>
              <w:rPr>
                <w:rtl/>
                <w:lang w:bidi="fa-IR"/>
              </w:rPr>
              <w:t xml:space="preserve">(9). في « ط ، بخ ، </w:t>
            </w:r>
            <w:r w:rsidRPr="0005408A">
              <w:rPr>
                <w:rtl/>
              </w:rPr>
              <w:t>بف » والتهذيب</w:t>
            </w:r>
            <w:r>
              <w:rPr>
                <w:rtl/>
                <w:lang w:bidi="fa-IR"/>
              </w:rPr>
              <w:t xml:space="preserve"> : « ذلك ».</w:t>
            </w:r>
          </w:p>
        </w:tc>
      </w:tr>
    </w:tbl>
    <w:p w:rsidR="00744A1C" w:rsidRDefault="00E378DD" w:rsidP="00E378DD">
      <w:pPr>
        <w:pStyle w:val="libFootnote0"/>
        <w:rPr>
          <w:lang w:bidi="fa-IR"/>
        </w:rPr>
      </w:pPr>
      <w:r>
        <w:rPr>
          <w:rtl/>
          <w:lang w:bidi="fa-IR"/>
        </w:rPr>
        <w:t>(10).</w:t>
      </w:r>
      <w:r w:rsidR="00744A1C">
        <w:rPr>
          <w:rtl/>
          <w:lang w:bidi="fa-IR"/>
        </w:rPr>
        <w:t xml:space="preserve"> في « بخ ، بف » وحاشية « بح » </w:t>
      </w:r>
      <w:r w:rsidR="00744A1C" w:rsidRPr="00D167F6">
        <w:rPr>
          <w:rtl/>
        </w:rPr>
        <w:t>والوافي :</w:t>
      </w:r>
      <w:r w:rsidR="00744A1C">
        <w:rPr>
          <w:rtl/>
          <w:lang w:bidi="fa-IR"/>
        </w:rPr>
        <w:t xml:space="preserve"> « كيلا ».</w:t>
      </w:r>
    </w:p>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الْمَعْرُوفِ </w:t>
      </w:r>
      <w:r w:rsidRPr="00D10E3C">
        <w:rPr>
          <w:rStyle w:val="libFootnotenumChar"/>
          <w:rtl/>
        </w:rPr>
        <w:t>(1)</w:t>
      </w:r>
      <w:r>
        <w:rPr>
          <w:rtl/>
          <w:lang w:bidi="fa-IR"/>
        </w:rPr>
        <w:t xml:space="preserve"> ». </w:t>
      </w:r>
      <w:r w:rsidRPr="00D10E3C">
        <w:rPr>
          <w:rStyle w:val="libFootnotenumChar"/>
          <w:rtl/>
        </w:rPr>
        <w:t>(2)</w:t>
      </w:r>
    </w:p>
    <w:p w:rsidR="00144FA6" w:rsidRDefault="00744A1C" w:rsidP="00744A1C">
      <w:pPr>
        <w:pStyle w:val="libNormal"/>
        <w:rPr>
          <w:rtl/>
          <w:lang w:bidi="fa-IR"/>
        </w:rPr>
      </w:pPr>
      <w:r>
        <w:rPr>
          <w:rtl/>
          <w:lang w:bidi="fa-IR"/>
        </w:rPr>
        <w:t>8669 / 8. عَلِيُّ بْنُ إِبْرَاهِيمَ ، عَنْ أَبِيهِ ، عَنِ ابْنِ أَبِي عُمَيْرٍ ، عَنْ هِشَامِ بْنِ سَالِمٍ :</w:t>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إِنَّمَا حَرَّمَ اللهُ - عَزَّ وَجَلَّ - الرِّبَا لِكَيْلَا </w:t>
      </w:r>
      <w:r w:rsidRPr="00D10E3C">
        <w:rPr>
          <w:rStyle w:val="libFootnotenumChar"/>
          <w:rtl/>
        </w:rPr>
        <w:t>(3)</w:t>
      </w:r>
      <w:r>
        <w:rPr>
          <w:rtl/>
          <w:lang w:bidi="fa-IR"/>
        </w:rPr>
        <w:t xml:space="preserve"> يَمْتَنِعَ النَّاسُ مِنِ اصْطِنَاعِ الْمَعْرُوفِ ». </w:t>
      </w:r>
      <w:r w:rsidRPr="00D10E3C">
        <w:rPr>
          <w:rStyle w:val="libFootnotenumChar"/>
          <w:rtl/>
        </w:rPr>
        <w:t>(4)</w:t>
      </w:r>
    </w:p>
    <w:p w:rsidR="00144FA6" w:rsidRDefault="00744A1C" w:rsidP="00744A1C">
      <w:pPr>
        <w:pStyle w:val="libNormal"/>
        <w:rPr>
          <w:rtl/>
          <w:lang w:bidi="fa-IR"/>
        </w:rPr>
      </w:pPr>
      <w:r>
        <w:rPr>
          <w:rtl/>
          <w:lang w:bidi="fa-IR"/>
        </w:rPr>
        <w:t>8670 / 9. عِدَّةٌ مِنْ أَصْحَابِنَا ، عَنْ سَهْلِ بْنِ زِيَادٍ وَأَحْمَدَ بْنِ مُحَمَّدٍ جَمِيعاً ، عَنِ ابْنِ مَحْبُوبٍ ، عَنْ خَالِدِ بْنِ جَرِيرٍ ، عَنْ أَبِي الرَّبِيعِ الشَّامِيِّ ، قَالَ :</w:t>
      </w:r>
    </w:p>
    <w:p w:rsidR="00744A1C" w:rsidRDefault="00744A1C" w:rsidP="00744A1C">
      <w:pPr>
        <w:pStyle w:val="libNormal"/>
        <w:rPr>
          <w:lang w:bidi="fa-IR"/>
        </w:rPr>
      </w:pPr>
      <w:r>
        <w:rPr>
          <w:rtl/>
          <w:lang w:bidi="fa-IR"/>
        </w:rPr>
        <w:t xml:space="preserve">سَأَلْتُ أَبَا عَبْدِ اللهِ </w:t>
      </w:r>
      <w:r w:rsidR="0061079A" w:rsidRPr="0061079A">
        <w:rPr>
          <w:rStyle w:val="libAlaemChar"/>
          <w:rtl/>
        </w:rPr>
        <w:t>عليه‌السلام</w:t>
      </w:r>
      <w:r w:rsidR="00D10E3C">
        <w:rPr>
          <w:rtl/>
          <w:lang w:bidi="fa-IR"/>
        </w:rPr>
        <w:t xml:space="preserve"> </w:t>
      </w:r>
      <w:r>
        <w:rPr>
          <w:rtl/>
          <w:lang w:bidi="fa-IR"/>
        </w:rPr>
        <w:t xml:space="preserve">عَنْ رَجُلٍ أَرْبى </w:t>
      </w:r>
      <w:r w:rsidRPr="00D10E3C">
        <w:rPr>
          <w:rStyle w:val="libFootnotenumChar"/>
          <w:rtl/>
        </w:rPr>
        <w:t>(5)</w:t>
      </w:r>
      <w:r>
        <w:rPr>
          <w:rtl/>
          <w:lang w:bidi="fa-IR"/>
        </w:rPr>
        <w:t xml:space="preserve"> بِجَهَالَةٍ </w:t>
      </w:r>
      <w:r w:rsidRPr="00D10E3C">
        <w:rPr>
          <w:rStyle w:val="libFootnotenumChar"/>
          <w:rtl/>
        </w:rPr>
        <w:t>(6)</w:t>
      </w:r>
      <w:r>
        <w:rPr>
          <w:rtl/>
          <w:lang w:bidi="fa-IR"/>
        </w:rPr>
        <w:t xml:space="preserve"> ، ثُمَّ أَرَادَ أَنْ يَتْرُكَهُ؟</w:t>
      </w:r>
    </w:p>
    <w:p w:rsidR="00744A1C" w:rsidRDefault="00744A1C" w:rsidP="00744A1C">
      <w:pPr>
        <w:pStyle w:val="libNormal"/>
        <w:rPr>
          <w:lang w:bidi="fa-IR"/>
        </w:rPr>
      </w:pPr>
      <w:r>
        <w:rPr>
          <w:rtl/>
          <w:lang w:bidi="fa-IR"/>
        </w:rPr>
        <w:t xml:space="preserve">فَقَالَ </w:t>
      </w:r>
      <w:r w:rsidRPr="00D10E3C">
        <w:rPr>
          <w:rStyle w:val="libFootnotenumChar"/>
          <w:rtl/>
        </w:rPr>
        <w:t>(7)</w:t>
      </w:r>
      <w:r>
        <w:rPr>
          <w:rtl/>
          <w:lang w:bidi="fa-IR"/>
        </w:rPr>
        <w:t xml:space="preserve"> : « أَمَّا مَا مَضى فَلَهُ ، وَلْيَتْرُكْهُ فِيمَا يَسْتَقْبِلُ </w:t>
      </w:r>
      <w:r w:rsidRPr="00D10E3C">
        <w:rPr>
          <w:rStyle w:val="libFootnotenumChar"/>
          <w:rtl/>
        </w:rPr>
        <w:t>(8)</w:t>
      </w:r>
      <w:r>
        <w:rPr>
          <w:rtl/>
          <w:lang w:bidi="fa-IR"/>
        </w:rPr>
        <w:t xml:space="preserve"> ».</w:t>
      </w:r>
    </w:p>
    <w:p w:rsidR="00744A1C" w:rsidRDefault="00744A1C" w:rsidP="00744A1C">
      <w:pPr>
        <w:pStyle w:val="libNormal"/>
        <w:rPr>
          <w:lang w:bidi="fa-IR"/>
        </w:rPr>
      </w:pPr>
      <w:r>
        <w:rPr>
          <w:rtl/>
          <w:lang w:bidi="fa-IR"/>
        </w:rPr>
        <w:t xml:space="preserve">ثُمَّ قَالَ : « إِنَّ رَجُلاً أَتى أَبَا جَعْفَرٍ </w:t>
      </w:r>
      <w:r w:rsidR="0061079A" w:rsidRPr="0061079A">
        <w:rPr>
          <w:rStyle w:val="libAlaemChar"/>
          <w:rtl/>
        </w:rPr>
        <w:t>عليه‌السلام</w:t>
      </w:r>
      <w:r w:rsidR="00D10E3C">
        <w:rPr>
          <w:rtl/>
          <w:lang w:bidi="fa-IR"/>
        </w:rPr>
        <w:t xml:space="preserve"> </w:t>
      </w:r>
      <w:r>
        <w:rPr>
          <w:rtl/>
          <w:lang w:bidi="fa-IR"/>
        </w:rPr>
        <w:t xml:space="preserve">، فَقَالَ : إِنِّي قَدْ وَرِثْتُ مَالاً وَقَدْ عَلِمْتُ أَنَّ‌ صَاحِبَهُ كَانَ يُرْبِي </w:t>
      </w:r>
      <w:r w:rsidRPr="00D10E3C">
        <w:rPr>
          <w:rStyle w:val="libFootnotenumChar"/>
          <w:rtl/>
        </w:rPr>
        <w:t>(9)</w:t>
      </w:r>
      <w:r>
        <w:rPr>
          <w:rtl/>
          <w:lang w:bidi="fa-IR"/>
        </w:rPr>
        <w:t xml:space="preserve"> ، وَقَدْ سَأَلْتُ فُقَهَاءَ أَهْلِ الْعِرَاقِ وَفُقَهَاءَ أَهْلِ الْحِجَازِ ، فَذَكَرُوا أَنَّهُ‌</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w:t>
      </w:r>
      <w:r w:rsidR="00744A1C" w:rsidRPr="00C24F9C">
        <w:rPr>
          <w:rStyle w:val="libFootnoteBoldChar"/>
          <w:rtl/>
        </w:rPr>
        <w:t>الوافي</w:t>
      </w:r>
      <w:r w:rsidR="00744A1C">
        <w:rPr>
          <w:rtl/>
          <w:lang w:bidi="fa-IR"/>
        </w:rPr>
        <w:t xml:space="preserve"> : « كأنّه ا</w:t>
      </w:r>
      <w:r w:rsidR="00D167F6">
        <w:rPr>
          <w:rFonts w:hint="cs"/>
          <w:rtl/>
          <w:lang w:bidi="fa-IR"/>
        </w:rPr>
        <w:t>ُ</w:t>
      </w:r>
      <w:r w:rsidR="00744A1C">
        <w:rPr>
          <w:rtl/>
          <w:lang w:bidi="fa-IR"/>
        </w:rPr>
        <w:t>ريد باصطناع المعروف القرض الحسن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التهذيب</w:t>
      </w:r>
      <w:r w:rsidR="00744A1C">
        <w:rPr>
          <w:rtl/>
          <w:lang w:bidi="fa-IR"/>
        </w:rPr>
        <w:t xml:space="preserve"> ، ج 7 ، ص 17 ، ح 71 ، معلّقاً عن أحمد بن أبي عبد الله </w:t>
      </w:r>
      <w:r w:rsidR="00D167F6">
        <w:rPr>
          <w:rFonts w:hint="cs"/>
          <w:rtl/>
          <w:lang w:bidi="fa-IR"/>
        </w:rPr>
        <w:t>.</w:t>
      </w:r>
      <w:r w:rsidR="00744A1C" w:rsidRPr="00C24F9C">
        <w:rPr>
          <w:rStyle w:val="libFootnoteBoldChar"/>
          <w:rtl/>
        </w:rPr>
        <w:t>الوافي</w:t>
      </w:r>
      <w:r w:rsidR="00744A1C">
        <w:rPr>
          <w:rtl/>
          <w:lang w:bidi="fa-IR"/>
        </w:rPr>
        <w:t xml:space="preserve"> ، ج 17 ، ص 379 ، ح 17467 ؛ </w:t>
      </w:r>
      <w:r w:rsidR="00744A1C" w:rsidRPr="00C24F9C">
        <w:rPr>
          <w:rStyle w:val="libFootnoteBoldChar"/>
          <w:rtl/>
        </w:rPr>
        <w:t>الوسائل</w:t>
      </w:r>
      <w:r w:rsidR="00744A1C">
        <w:rPr>
          <w:rtl/>
          <w:lang w:bidi="fa-IR"/>
        </w:rPr>
        <w:t xml:space="preserve"> ، ج 18 ، ص 118 ، ح 23272.</w:t>
      </w:r>
    </w:p>
    <w:p w:rsidR="00744A1C" w:rsidRDefault="00E378DD" w:rsidP="00E378DD">
      <w:pPr>
        <w:pStyle w:val="libFootnote0"/>
        <w:rPr>
          <w:lang w:bidi="fa-IR"/>
        </w:rPr>
      </w:pPr>
      <w:r>
        <w:rPr>
          <w:rtl/>
          <w:lang w:bidi="fa-IR"/>
        </w:rPr>
        <w:t>(3).</w:t>
      </w:r>
      <w:r w:rsidR="00744A1C">
        <w:rPr>
          <w:rtl/>
          <w:lang w:bidi="fa-IR"/>
        </w:rPr>
        <w:t xml:space="preserve"> في « بخ ، بف » و</w:t>
      </w:r>
      <w:r w:rsidR="00744A1C" w:rsidRPr="00C24F9C">
        <w:rPr>
          <w:rStyle w:val="libFootnoteBoldChar"/>
          <w:rtl/>
        </w:rPr>
        <w:t>الوافي</w:t>
      </w:r>
      <w:r w:rsidR="00744A1C">
        <w:rPr>
          <w:rtl/>
          <w:lang w:bidi="fa-IR"/>
        </w:rPr>
        <w:t xml:space="preserve"> : « كيلا ». وفي « ط » </w:t>
      </w:r>
      <w:r w:rsidR="00744A1C" w:rsidRPr="00D167F6">
        <w:rPr>
          <w:rtl/>
        </w:rPr>
        <w:t>والتهذيب</w:t>
      </w:r>
      <w:r w:rsidR="00744A1C">
        <w:rPr>
          <w:rtl/>
          <w:lang w:bidi="fa-IR"/>
        </w:rPr>
        <w:t xml:space="preserve"> </w:t>
      </w:r>
      <w:r w:rsidR="00D167F6">
        <w:rPr>
          <w:rtl/>
          <w:lang w:bidi="fa-IR"/>
        </w:rPr>
        <w:t>والعلل : « لئل</w:t>
      </w:r>
      <w:r w:rsidR="00D167F6">
        <w:rPr>
          <w:rFonts w:hint="cs"/>
          <w:rtl/>
          <w:lang w:bidi="fa-IR"/>
        </w:rPr>
        <w:t>ّ</w:t>
      </w:r>
      <w:r w:rsidR="00D167F6">
        <w:rPr>
          <w:rtl/>
          <w:lang w:bidi="fa-IR"/>
        </w:rPr>
        <w:t>ا</w:t>
      </w:r>
      <w:r w:rsidR="00744A1C">
        <w:rPr>
          <w:rtl/>
          <w:lang w:bidi="fa-IR"/>
        </w:rPr>
        <w:t xml:space="preserve"> ».</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التهذيب</w:t>
      </w:r>
      <w:r w:rsidR="00744A1C">
        <w:rPr>
          <w:rtl/>
          <w:lang w:bidi="fa-IR"/>
        </w:rPr>
        <w:t xml:space="preserve"> ، ج 7 ، ص 17 ، ح 72 ، معلّقاً عن عليّ بن إبراهيم. </w:t>
      </w:r>
      <w:r w:rsidR="00744A1C" w:rsidRPr="003A7143">
        <w:rPr>
          <w:rStyle w:val="libFootnoteBoldChar"/>
          <w:rtl/>
        </w:rPr>
        <w:t>علل الشرائع</w:t>
      </w:r>
      <w:r w:rsidR="00744A1C">
        <w:rPr>
          <w:rtl/>
          <w:lang w:bidi="fa-IR"/>
        </w:rPr>
        <w:t xml:space="preserve"> ، ص 482 ، ح 2 ، بسنده عن ابن أبي عمير </w:t>
      </w:r>
      <w:r w:rsidR="00D167F6">
        <w:rPr>
          <w:rFonts w:hint="cs"/>
          <w:rtl/>
          <w:lang w:bidi="fa-IR"/>
        </w:rPr>
        <w:t>.</w:t>
      </w:r>
      <w:r w:rsidR="00744A1C" w:rsidRPr="00C24F9C">
        <w:rPr>
          <w:rStyle w:val="libFootnoteBoldChar"/>
          <w:rtl/>
        </w:rPr>
        <w:t>الوافي</w:t>
      </w:r>
      <w:r w:rsidR="00744A1C">
        <w:rPr>
          <w:rtl/>
          <w:lang w:bidi="fa-IR"/>
        </w:rPr>
        <w:t xml:space="preserve"> ، ج 17 ، ص 380 ، ح 17468 ؛ </w:t>
      </w:r>
      <w:r w:rsidR="00744A1C" w:rsidRPr="00C24F9C">
        <w:rPr>
          <w:rStyle w:val="libFootnoteBoldChar"/>
          <w:rtl/>
        </w:rPr>
        <w:t>الوسائل</w:t>
      </w:r>
      <w:r w:rsidR="00744A1C">
        <w:rPr>
          <w:rtl/>
          <w:lang w:bidi="fa-IR"/>
        </w:rPr>
        <w:t xml:space="preserve"> ، ج 18 ، ص 118 ، ح 23273.</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قوله : أربى ، أي أخذ الربا ، قال الجوهري : قال الفرّاء في قوله تعالى : </w:t>
      </w:r>
      <w:r w:rsidR="00744A1C" w:rsidRPr="00D167F6">
        <w:rPr>
          <w:rStyle w:val="libFootnoteAlaemChar"/>
          <w:rtl/>
        </w:rPr>
        <w:t>(</w:t>
      </w:r>
      <w:r w:rsidR="00744A1C" w:rsidRPr="00D167F6">
        <w:rPr>
          <w:rStyle w:val="libFootnoteAieChar"/>
          <w:rtl/>
        </w:rPr>
        <w:t xml:space="preserve"> فَأَخَذَهُمْ أَخْذَةً رابِيَةً </w:t>
      </w:r>
      <w:r w:rsidR="00744A1C" w:rsidRPr="00D167F6">
        <w:rPr>
          <w:rStyle w:val="libFootnoteAlaemChar"/>
          <w:rtl/>
        </w:rPr>
        <w:t>)</w:t>
      </w:r>
      <w:r w:rsidR="00744A1C">
        <w:rPr>
          <w:rtl/>
          <w:lang w:bidi="fa-IR"/>
        </w:rPr>
        <w:t xml:space="preserve"> [ الحاقّة (69) : 10 ] : أي زائدة ، كقولك : أربيت ، إذا أخذت أكثر ممّا أعطيت ، ويدلّ على معذوريّة الجاهل ، كما مرّ. قال في النافع : ولو جهل التحريم كفاه الانتهاء. وقال في المهذّب : هذا قول الشيخ والصدوق. وقال ابن إدريس وأبو عليّ والعلاّمة : بل يجب عليه ردّ المال. وأجمع الكلّ على وجوب الاستغفار والتوبة منه مع ارتكابه مع العلم والجهالة ؛ لأنّه من الكبائر ». وراجع : </w:t>
      </w:r>
      <w:r w:rsidR="00744A1C" w:rsidRPr="00E978C3">
        <w:rPr>
          <w:rStyle w:val="libFootnoteBoldChar"/>
          <w:rtl/>
        </w:rPr>
        <w:t>الصحاح</w:t>
      </w:r>
      <w:r w:rsidR="00744A1C">
        <w:rPr>
          <w:rtl/>
          <w:lang w:bidi="fa-IR"/>
        </w:rPr>
        <w:t xml:space="preserve"> ، ج 6 ، ص 2350 ( ربا ) ؛ </w:t>
      </w:r>
      <w:r w:rsidR="00744A1C" w:rsidRPr="00D167F6">
        <w:rPr>
          <w:rStyle w:val="libFootnoteBoldChar"/>
          <w:rtl/>
        </w:rPr>
        <w:t>المختصر النافع</w:t>
      </w:r>
      <w:r w:rsidR="00744A1C">
        <w:rPr>
          <w:rtl/>
          <w:lang w:bidi="fa-IR"/>
        </w:rPr>
        <w:t xml:space="preserve"> ، ص 127 ؛ </w:t>
      </w:r>
      <w:r w:rsidR="00744A1C" w:rsidRPr="00D167F6">
        <w:rPr>
          <w:rStyle w:val="libFootnoteBoldChar"/>
          <w:rtl/>
        </w:rPr>
        <w:t>المهذّب البارع</w:t>
      </w:r>
      <w:r w:rsidR="00744A1C">
        <w:rPr>
          <w:rtl/>
          <w:lang w:bidi="fa-IR"/>
        </w:rPr>
        <w:t xml:space="preserve"> ، ج 2 ، ص 420.</w:t>
      </w:r>
    </w:p>
    <w:p w:rsidR="00744A1C" w:rsidRDefault="00E378DD" w:rsidP="00E378DD">
      <w:pPr>
        <w:pStyle w:val="libFootnote0"/>
        <w:rPr>
          <w:lang w:bidi="fa-IR"/>
        </w:rPr>
      </w:pPr>
      <w:r>
        <w:rPr>
          <w:rtl/>
          <w:lang w:bidi="fa-IR"/>
        </w:rPr>
        <w:t>(6).</w:t>
      </w:r>
      <w:r w:rsidR="00744A1C">
        <w:rPr>
          <w:rtl/>
          <w:lang w:bidi="fa-IR"/>
        </w:rPr>
        <w:t xml:space="preserve"> في « ط » : « عن ماله » بدل « بجهالة ».</w:t>
      </w:r>
    </w:p>
    <w:tbl>
      <w:tblPr>
        <w:tblStyle w:val="TableGrid"/>
        <w:bidiVisual/>
        <w:tblW w:w="0" w:type="auto"/>
        <w:tblLook w:val="04A0" w:firstRow="1" w:lastRow="0" w:firstColumn="1" w:lastColumn="0" w:noHBand="0" w:noVBand="1"/>
      </w:tblPr>
      <w:tblGrid>
        <w:gridCol w:w="4006"/>
        <w:gridCol w:w="4006"/>
      </w:tblGrid>
      <w:tr w:rsidR="00D167F6" w:rsidTr="00D167F6">
        <w:tc>
          <w:tcPr>
            <w:tcW w:w="4006" w:type="dxa"/>
          </w:tcPr>
          <w:p w:rsidR="00D167F6" w:rsidRDefault="00D167F6" w:rsidP="00E378DD">
            <w:pPr>
              <w:pStyle w:val="libFootnote0"/>
              <w:rPr>
                <w:rtl/>
                <w:lang w:bidi="fa-IR"/>
              </w:rPr>
            </w:pPr>
            <w:r>
              <w:rPr>
                <w:rtl/>
                <w:lang w:bidi="fa-IR"/>
              </w:rPr>
              <w:t>(7). في « ى ، بح ، بس ، جد ، جن » : « قال ».</w:t>
            </w:r>
          </w:p>
        </w:tc>
        <w:tc>
          <w:tcPr>
            <w:tcW w:w="4006" w:type="dxa"/>
          </w:tcPr>
          <w:p w:rsidR="00D167F6" w:rsidRDefault="00D167F6" w:rsidP="00E378DD">
            <w:pPr>
              <w:pStyle w:val="libFootnote0"/>
              <w:rPr>
                <w:rtl/>
                <w:lang w:bidi="fa-IR"/>
              </w:rPr>
            </w:pPr>
            <w:r>
              <w:rPr>
                <w:rtl/>
                <w:lang w:bidi="fa-IR"/>
              </w:rPr>
              <w:t>(8). في « جن » : « يستقبله ».</w:t>
            </w:r>
          </w:p>
        </w:tc>
      </w:tr>
    </w:tbl>
    <w:p w:rsidR="00744A1C" w:rsidRDefault="00E378DD" w:rsidP="00E378DD">
      <w:pPr>
        <w:pStyle w:val="libFootnote0"/>
        <w:rPr>
          <w:lang w:bidi="fa-IR"/>
        </w:rPr>
      </w:pPr>
      <w:r>
        <w:rPr>
          <w:rtl/>
          <w:lang w:bidi="fa-IR"/>
        </w:rPr>
        <w:t>(9).</w:t>
      </w:r>
      <w:r w:rsidR="00744A1C">
        <w:rPr>
          <w:rtl/>
          <w:lang w:bidi="fa-IR"/>
        </w:rPr>
        <w:t xml:space="preserve"> هكذا في النسخ التي قوبلت </w:t>
      </w:r>
      <w:r w:rsidR="00744A1C" w:rsidRPr="00D167F6">
        <w:rPr>
          <w:rtl/>
        </w:rPr>
        <w:t>والوافي. وفي المطبوع</w:t>
      </w:r>
      <w:r w:rsidR="00744A1C">
        <w:rPr>
          <w:rtl/>
          <w:lang w:bidi="fa-IR"/>
        </w:rPr>
        <w:t xml:space="preserve"> : « يَربو ».</w:t>
      </w:r>
    </w:p>
    <w:p w:rsidR="006D42F6" w:rsidRDefault="006D42F6" w:rsidP="00D10E3C">
      <w:pPr>
        <w:pStyle w:val="libNormal"/>
        <w:rPr>
          <w:rtl/>
          <w:lang w:bidi="fa-IR"/>
        </w:rPr>
      </w:pPr>
      <w:r>
        <w:rPr>
          <w:rtl/>
          <w:lang w:bidi="fa-IR"/>
        </w:rPr>
        <w:br w:type="page"/>
      </w:r>
    </w:p>
    <w:p w:rsidR="00144FA6" w:rsidRDefault="00744A1C" w:rsidP="00D167F6">
      <w:pPr>
        <w:pStyle w:val="libNormal0"/>
        <w:rPr>
          <w:rtl/>
          <w:lang w:bidi="fa-IR"/>
        </w:rPr>
      </w:pPr>
      <w:r>
        <w:rPr>
          <w:rtl/>
          <w:lang w:bidi="fa-IR"/>
        </w:rPr>
        <w:t xml:space="preserve">لَا يَحِلُّ أَكْلُهُ. فَقَالَ أَبُو جَعْفَرٍ </w:t>
      </w:r>
      <w:r w:rsidR="0061079A" w:rsidRPr="0061079A">
        <w:rPr>
          <w:rStyle w:val="libAlaemChar"/>
          <w:rtl/>
        </w:rPr>
        <w:t>عليه‌السلام</w:t>
      </w:r>
      <w:r w:rsidR="00D10E3C">
        <w:rPr>
          <w:rtl/>
          <w:lang w:bidi="fa-IR"/>
        </w:rPr>
        <w:t xml:space="preserve"> </w:t>
      </w:r>
      <w:r>
        <w:rPr>
          <w:rtl/>
          <w:lang w:bidi="fa-IR"/>
        </w:rPr>
        <w:t xml:space="preserve">: إِنْ كُنْتَ تَعْرِفُ مِنْهُ شَيْئاً مَعْزُولاً </w:t>
      </w:r>
      <w:r w:rsidRPr="00D10E3C">
        <w:rPr>
          <w:rStyle w:val="libFootnotenumChar"/>
          <w:rtl/>
        </w:rPr>
        <w:t>(1)</w:t>
      </w:r>
      <w:r>
        <w:rPr>
          <w:rtl/>
          <w:lang w:bidi="fa-IR"/>
        </w:rPr>
        <w:t xml:space="preserve"> تَعْرِفُ </w:t>
      </w:r>
      <w:r w:rsidRPr="00D10E3C">
        <w:rPr>
          <w:rStyle w:val="libFootnotenumChar"/>
          <w:rtl/>
        </w:rPr>
        <w:t>(2)</w:t>
      </w:r>
      <w:r>
        <w:rPr>
          <w:rtl/>
          <w:lang w:bidi="fa-IR"/>
        </w:rPr>
        <w:t xml:space="preserve"> أَهْلَهُ وَتَعْرِفُ أَنَّهُ رِبًا ، فَخُذْ رَأْسَ مَالِكَ ، وَدَعْ مَا سِوَاهُ ، وَإِنْ كَانَ الْمَالُ مُخْتَلِطاً ، فَكُلْهُ هَنِيئاً مَرِيئاً </w:t>
      </w:r>
      <w:r w:rsidRPr="00D10E3C">
        <w:rPr>
          <w:rStyle w:val="libFootnotenumChar"/>
          <w:rtl/>
        </w:rPr>
        <w:t>(3)</w:t>
      </w:r>
      <w:r>
        <w:rPr>
          <w:rtl/>
          <w:lang w:bidi="fa-IR"/>
        </w:rPr>
        <w:t xml:space="preserve"> ؛ فَإِنَّ الْمَالَ مَالُكَ ، وَاجْتَنِبْ مَا كَانَ يَصْنَعُ صَاحِبُكَ ؛ فَإِنَّ رَسُولَ اللهِ </w:t>
      </w:r>
      <w:r w:rsidR="004863C4" w:rsidRPr="004863C4">
        <w:rPr>
          <w:rStyle w:val="libAlaemChar"/>
          <w:rtl/>
        </w:rPr>
        <w:t>صلى‌الله‌عليه‌وآله</w:t>
      </w:r>
      <w:r w:rsidR="00D10E3C">
        <w:rPr>
          <w:rtl/>
          <w:lang w:bidi="fa-IR"/>
        </w:rPr>
        <w:t xml:space="preserve"> </w:t>
      </w:r>
      <w:r>
        <w:rPr>
          <w:rtl/>
          <w:lang w:bidi="fa-IR"/>
        </w:rPr>
        <w:t xml:space="preserve">قَدْ وَضَعَ مَا مَضى مِنَ الرِّبَا ، فَمَنْ جَهِلَهُ وَسِعَهُ أَكْلُهُ ، فَإِذَا عَرَفَهُ حَرُمَ عَلَيْهِ أَكْلُهُ ، فَإِنْ أَكَلَهُ بَعْدَ الْمَعْرِفَةِ وَجَبَ عَلَيْهِ مَا وَجَبَ عَلى آكِلِ الرِّبَا ». </w:t>
      </w:r>
      <w:r w:rsidRPr="00D10E3C">
        <w:rPr>
          <w:rStyle w:val="libFootnotenumChar"/>
          <w:rtl/>
        </w:rPr>
        <w:t>(4)</w:t>
      </w:r>
    </w:p>
    <w:p w:rsidR="00144FA6" w:rsidRDefault="00744A1C" w:rsidP="00744A1C">
      <w:pPr>
        <w:pStyle w:val="libNormal"/>
        <w:rPr>
          <w:rtl/>
          <w:lang w:bidi="fa-IR"/>
        </w:rPr>
      </w:pPr>
      <w:r>
        <w:rPr>
          <w:rtl/>
          <w:lang w:bidi="fa-IR"/>
        </w:rPr>
        <w:t>8671 / 10. عِدَّةٌ مِنْ أَصْحَابِنَا ، عَنْ أَحْمَدَ بْنِ مُحَمَّدٍ ، عَنِ ابْنِ فَضَّالٍ ، عَنِ ابْنِ بُكَيْرٍ ، عَنْ عُبَيْدِ بْنِ زُرَارَةَ ، قَالَ :</w:t>
      </w:r>
    </w:p>
    <w:p w:rsidR="00144FA6" w:rsidRDefault="00744A1C" w:rsidP="00744A1C">
      <w:pPr>
        <w:pStyle w:val="libNormal"/>
        <w:rPr>
          <w:rtl/>
          <w:lang w:bidi="fa-IR"/>
        </w:rPr>
      </w:pPr>
      <w:r>
        <w:rPr>
          <w:rtl/>
          <w:lang w:bidi="fa-IR"/>
        </w:rPr>
        <w:t xml:space="preserve">سَمِعْتُ أَبَا عَبْدِ اللهِ </w:t>
      </w:r>
      <w:r w:rsidR="0061079A" w:rsidRPr="0061079A">
        <w:rPr>
          <w:rStyle w:val="libAlaemChar"/>
          <w:rtl/>
        </w:rPr>
        <w:t>عليه‌السلام</w:t>
      </w:r>
      <w:r w:rsidR="00D10E3C">
        <w:rPr>
          <w:rtl/>
          <w:lang w:bidi="fa-IR"/>
        </w:rPr>
        <w:t xml:space="preserve"> </w:t>
      </w:r>
      <w:r>
        <w:rPr>
          <w:rtl/>
          <w:lang w:bidi="fa-IR"/>
        </w:rPr>
        <w:t>يَقُولُ</w:t>
      </w:r>
      <w:r w:rsidR="00DE6A37">
        <w:rPr>
          <w:rtl/>
          <w:lang w:bidi="fa-IR"/>
        </w:rPr>
        <w:t xml:space="preserve"> : « لَا يَكُونُ الرِّبَا إِل</w:t>
      </w:r>
      <w:r w:rsidR="00DE6A37">
        <w:rPr>
          <w:rFonts w:hint="cs"/>
          <w:rtl/>
          <w:lang w:bidi="fa-IR"/>
        </w:rPr>
        <w:t>َّ</w:t>
      </w:r>
      <w:r w:rsidR="00DE6A37">
        <w:rPr>
          <w:rtl/>
          <w:lang w:bidi="fa-IR"/>
        </w:rPr>
        <w:t>ا</w:t>
      </w:r>
      <w:r>
        <w:rPr>
          <w:rtl/>
          <w:lang w:bidi="fa-IR"/>
        </w:rPr>
        <w:t xml:space="preserve"> فِيمَا يُكَالُ أَوْ يُوزَنُ </w:t>
      </w:r>
      <w:r w:rsidRPr="00D10E3C">
        <w:rPr>
          <w:rStyle w:val="libFootnotenumChar"/>
          <w:rtl/>
        </w:rPr>
        <w:t>(5)</w:t>
      </w:r>
      <w:r>
        <w:rPr>
          <w:rtl/>
          <w:lang w:bidi="fa-IR"/>
        </w:rPr>
        <w:t xml:space="preserve"> ». </w:t>
      </w:r>
      <w:r w:rsidRPr="00D10E3C">
        <w:rPr>
          <w:rStyle w:val="libFootnotenumChar"/>
          <w:rtl/>
        </w:rPr>
        <w:t>(6)</w:t>
      </w:r>
    </w:p>
    <w:p w:rsidR="00144FA6" w:rsidRDefault="00744A1C" w:rsidP="00744A1C">
      <w:pPr>
        <w:pStyle w:val="libNormal"/>
        <w:rPr>
          <w:rtl/>
          <w:lang w:bidi="fa-IR"/>
        </w:rPr>
      </w:pPr>
      <w:r>
        <w:rPr>
          <w:rtl/>
          <w:lang w:bidi="fa-IR"/>
        </w:rPr>
        <w:t xml:space="preserve">8672 / 11. أَحْمَدُ بْنُ مُحَمَّدٍ </w:t>
      </w:r>
      <w:r w:rsidRPr="00D10E3C">
        <w:rPr>
          <w:rStyle w:val="libFootnotenumChar"/>
          <w:rtl/>
        </w:rPr>
        <w:t>(7)</w:t>
      </w:r>
      <w:r>
        <w:rPr>
          <w:rtl/>
          <w:lang w:bidi="fa-IR"/>
        </w:rPr>
        <w:t xml:space="preserve"> ، عَنِ ابْنِ فَضَّالٍ ، عَنِ ابْنِ بُكَيْرٍ </w:t>
      </w:r>
      <w:r w:rsidRPr="00D10E3C">
        <w:rPr>
          <w:rStyle w:val="libFootnotenumChar"/>
          <w:rtl/>
        </w:rPr>
        <w:t>(8)</w:t>
      </w:r>
      <w:r>
        <w:rPr>
          <w:rtl/>
          <w:lang w:bidi="fa-IR"/>
        </w:rPr>
        <w:t xml:space="preserve"> ، قَالَ :</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في « ط » : - « معزولاً ».</w:t>
      </w:r>
    </w:p>
    <w:p w:rsidR="00744A1C" w:rsidRDefault="00E378DD" w:rsidP="00E378DD">
      <w:pPr>
        <w:pStyle w:val="libFootnote0"/>
        <w:rPr>
          <w:lang w:bidi="fa-IR"/>
        </w:rPr>
      </w:pPr>
      <w:r>
        <w:rPr>
          <w:rtl/>
          <w:lang w:bidi="fa-IR"/>
        </w:rPr>
        <w:t>(2).</w:t>
      </w:r>
      <w:r w:rsidR="00744A1C">
        <w:rPr>
          <w:rtl/>
          <w:lang w:bidi="fa-IR"/>
        </w:rPr>
        <w:t xml:space="preserve"> في « ط ، بخ ، بس ، بف » </w:t>
      </w:r>
      <w:r w:rsidR="00744A1C" w:rsidRPr="00EE0D6C">
        <w:rPr>
          <w:rtl/>
        </w:rPr>
        <w:t>والوافي</w:t>
      </w:r>
      <w:r w:rsidR="00744A1C">
        <w:rPr>
          <w:rtl/>
          <w:lang w:bidi="fa-IR"/>
        </w:rPr>
        <w:t xml:space="preserve"> : « وتعرف ». وفي « جن » بالتاء والياء معاً.</w:t>
      </w:r>
    </w:p>
    <w:p w:rsidR="00744A1C" w:rsidRDefault="00E378DD" w:rsidP="00E378DD">
      <w:pPr>
        <w:pStyle w:val="libFootnote0"/>
        <w:rPr>
          <w:lang w:bidi="fa-IR"/>
        </w:rPr>
      </w:pPr>
      <w:r>
        <w:rPr>
          <w:rtl/>
          <w:lang w:bidi="fa-IR"/>
        </w:rPr>
        <w:t>(3).</w:t>
      </w:r>
      <w:r w:rsidR="00744A1C">
        <w:rPr>
          <w:rtl/>
          <w:lang w:bidi="fa-IR"/>
        </w:rPr>
        <w:t xml:space="preserve"> تقدّم معنى الهني‌ء والمري ذيل الحديث الخامس من هذا الباب.</w:t>
      </w:r>
    </w:p>
    <w:p w:rsidR="00744A1C" w:rsidRDefault="00E378DD" w:rsidP="00E378DD">
      <w:pPr>
        <w:pStyle w:val="libFootnote0"/>
        <w:rPr>
          <w:lang w:bidi="fa-IR"/>
        </w:rPr>
      </w:pPr>
      <w:r>
        <w:rPr>
          <w:rtl/>
          <w:lang w:bidi="fa-IR"/>
        </w:rPr>
        <w:t>(4).</w:t>
      </w:r>
      <w:r w:rsidR="00744A1C">
        <w:rPr>
          <w:rtl/>
          <w:lang w:bidi="fa-IR"/>
        </w:rPr>
        <w:t xml:space="preserve"> </w:t>
      </w:r>
      <w:r w:rsidR="00744A1C" w:rsidRPr="00C24F9C">
        <w:rPr>
          <w:rStyle w:val="libFootnoteBoldChar"/>
          <w:rtl/>
        </w:rPr>
        <w:t>الوافي</w:t>
      </w:r>
      <w:r w:rsidR="00744A1C">
        <w:rPr>
          <w:rtl/>
          <w:lang w:bidi="fa-IR"/>
        </w:rPr>
        <w:t xml:space="preserve"> ، ج 17 ، ص 380 ، ح 17469 ؛ </w:t>
      </w:r>
      <w:r w:rsidR="00744A1C" w:rsidRPr="00C24F9C">
        <w:rPr>
          <w:rStyle w:val="libFootnoteBoldChar"/>
          <w:rtl/>
        </w:rPr>
        <w:t>الوسائل</w:t>
      </w:r>
      <w:r w:rsidR="00744A1C">
        <w:rPr>
          <w:rtl/>
          <w:lang w:bidi="fa-IR"/>
        </w:rPr>
        <w:t xml:space="preserve"> ، ج 18 ، ص 130 ، ح 23304 ، إلى قوله : « فقال : إنّي ورثت مالاً ».</w:t>
      </w:r>
    </w:p>
    <w:p w:rsidR="00744A1C" w:rsidRDefault="00E378DD" w:rsidP="00E378DD">
      <w:pPr>
        <w:pStyle w:val="libFootnote0"/>
        <w:rPr>
          <w:lang w:bidi="fa-IR"/>
        </w:rPr>
      </w:pPr>
      <w:r>
        <w:rPr>
          <w:rtl/>
          <w:lang w:bidi="fa-IR"/>
        </w:rPr>
        <w:t>(5).</w:t>
      </w:r>
      <w:r w:rsidR="00744A1C">
        <w:rPr>
          <w:rtl/>
          <w:lang w:bidi="fa-IR"/>
        </w:rPr>
        <w:t xml:space="preserve"> في </w:t>
      </w:r>
      <w:r w:rsidR="00744A1C" w:rsidRPr="00C24F9C">
        <w:rPr>
          <w:rStyle w:val="libFootnoteBoldChar"/>
          <w:rtl/>
        </w:rPr>
        <w:t>المرآة</w:t>
      </w:r>
      <w:r w:rsidR="00744A1C">
        <w:rPr>
          <w:rtl/>
          <w:lang w:bidi="fa-IR"/>
        </w:rPr>
        <w:t xml:space="preserve"> : « يدلّ على أنّه لا ربا في المعدود ، وقال في </w:t>
      </w:r>
      <w:r w:rsidR="00744A1C" w:rsidRPr="00877682">
        <w:rPr>
          <w:rStyle w:val="libFootnoteBoldChar"/>
          <w:rtl/>
        </w:rPr>
        <w:t>الدروس</w:t>
      </w:r>
      <w:r w:rsidR="00744A1C">
        <w:rPr>
          <w:rtl/>
          <w:lang w:bidi="fa-IR"/>
        </w:rPr>
        <w:t xml:space="preserve"> : وفي ثبوت الربا في المعدود قولان ، أشهرهما الكراهية ؛ لصحيحة محمّد بن مسلم وزر</w:t>
      </w:r>
      <w:r w:rsidR="00091D76">
        <w:rPr>
          <w:rtl/>
          <w:lang w:bidi="fa-IR"/>
        </w:rPr>
        <w:t>ارة ، والتحريم خيرة المفيد وسل</w:t>
      </w:r>
      <w:r w:rsidR="00091D76">
        <w:rPr>
          <w:rFonts w:hint="cs"/>
          <w:rtl/>
          <w:lang w:bidi="fa-IR"/>
        </w:rPr>
        <w:t>ّ</w:t>
      </w:r>
      <w:r w:rsidR="00091D76">
        <w:rPr>
          <w:rtl/>
          <w:lang w:bidi="fa-IR"/>
        </w:rPr>
        <w:t>ا</w:t>
      </w:r>
      <w:r w:rsidR="00744A1C">
        <w:rPr>
          <w:rtl/>
          <w:lang w:bidi="fa-IR"/>
        </w:rPr>
        <w:t xml:space="preserve">ر وابن الجنيد ، ولم نقف لهم على قاطع. ولو تفاضل المعدودان نسية ففيه الخلاف ، والأقرب الكراهية ، وبالغ في الخلاف ، حيث منع من بيع الثياب بالثياب والحيوان بالحيوان نسية متماثلاً ومتفاضلاً ». 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294 ، ذيل الدرس 260.</w:t>
      </w:r>
    </w:p>
    <w:p w:rsidR="00744A1C" w:rsidRDefault="00E378DD" w:rsidP="00E378DD">
      <w:pPr>
        <w:pStyle w:val="libFootnote0"/>
        <w:rPr>
          <w:lang w:bidi="fa-IR"/>
        </w:rPr>
      </w:pPr>
      <w:r>
        <w:rPr>
          <w:rtl/>
          <w:lang w:bidi="fa-IR"/>
        </w:rPr>
        <w:t>(6).</w:t>
      </w:r>
      <w:r w:rsidR="00744A1C">
        <w:rPr>
          <w:rtl/>
          <w:lang w:bidi="fa-IR"/>
        </w:rPr>
        <w:t xml:space="preserve"> </w:t>
      </w:r>
      <w:r w:rsidR="00744A1C" w:rsidRPr="00C24F9C">
        <w:rPr>
          <w:rStyle w:val="libFootnoteBoldChar"/>
          <w:rtl/>
        </w:rPr>
        <w:t>الفقيه</w:t>
      </w:r>
      <w:r w:rsidR="00744A1C">
        <w:rPr>
          <w:rtl/>
          <w:lang w:bidi="fa-IR"/>
        </w:rPr>
        <w:t xml:space="preserve"> ، ج 3 ، ص 275 ، ح 3996 ؛ </w:t>
      </w:r>
      <w:r w:rsidR="00744A1C" w:rsidRPr="0061079A">
        <w:rPr>
          <w:rStyle w:val="libFootnoteBoldChar"/>
          <w:rtl/>
        </w:rPr>
        <w:t>والتهذيب</w:t>
      </w:r>
      <w:r w:rsidR="00744A1C">
        <w:rPr>
          <w:rtl/>
          <w:lang w:bidi="fa-IR"/>
        </w:rPr>
        <w:t xml:space="preserve"> ، ج 7 ، ص 17 ، ح 74 ، معلّقاً عن أحمد بن محمّد. وفيه ، ص 94 ، ح 397 ؛ وص 118 ، ح 515 ؛ </w:t>
      </w:r>
      <w:r w:rsidR="00744A1C" w:rsidRPr="00C24F9C">
        <w:rPr>
          <w:rStyle w:val="libFootnoteBoldChar"/>
          <w:rtl/>
        </w:rPr>
        <w:t>والاستبصار</w:t>
      </w:r>
      <w:r w:rsidR="00744A1C">
        <w:rPr>
          <w:rtl/>
          <w:lang w:bidi="fa-IR"/>
        </w:rPr>
        <w:t xml:space="preserve"> ، ج 3 ، ص 101 ، ح 350 ، بسند آخر عن ابن بكير. وفي </w:t>
      </w:r>
      <w:r w:rsidR="00744A1C" w:rsidRPr="00C24F9C">
        <w:rPr>
          <w:rStyle w:val="libFootnoteBoldChar"/>
          <w:rtl/>
        </w:rPr>
        <w:t>التهذيب</w:t>
      </w:r>
      <w:r w:rsidR="00744A1C">
        <w:rPr>
          <w:rtl/>
          <w:lang w:bidi="fa-IR"/>
        </w:rPr>
        <w:t xml:space="preserve"> ، ج 7 ، ص 19 ، ح 81 ؛ </w:t>
      </w:r>
      <w:r w:rsidR="00744A1C" w:rsidRPr="00091D76">
        <w:rPr>
          <w:rStyle w:val="libFootnoteBoldChar"/>
          <w:rtl/>
        </w:rPr>
        <w:t>والنوادر للأشعري</w:t>
      </w:r>
      <w:r w:rsidR="00744A1C">
        <w:rPr>
          <w:rtl/>
          <w:lang w:bidi="fa-IR"/>
        </w:rPr>
        <w:t xml:space="preserve"> ، ص 162 ، ح 414 ، بسند آخر. </w:t>
      </w:r>
      <w:r w:rsidR="00744A1C" w:rsidRPr="00A914B5">
        <w:rPr>
          <w:rStyle w:val="libFootnoteBoldChar"/>
          <w:rtl/>
        </w:rPr>
        <w:t>تفسير العيّاشي</w:t>
      </w:r>
      <w:r w:rsidR="00744A1C">
        <w:rPr>
          <w:rtl/>
          <w:lang w:bidi="fa-IR"/>
        </w:rPr>
        <w:t xml:space="preserve"> ، ج 1 ، ص 152 ، ح 504 ، عن زرارة ، عن أبي عبد الله </w:t>
      </w:r>
      <w:r w:rsidR="0061079A" w:rsidRPr="0061079A">
        <w:rPr>
          <w:rStyle w:val="libFootnoteAlaemChar"/>
          <w:rtl/>
        </w:rPr>
        <w:t>عليه‌السلام</w:t>
      </w:r>
      <w:r w:rsidR="00D10E3C">
        <w:rPr>
          <w:rtl/>
          <w:lang w:bidi="fa-IR"/>
        </w:rPr>
        <w:t xml:space="preserve"> </w:t>
      </w:r>
      <w:r w:rsidR="00091D76">
        <w:rPr>
          <w:rFonts w:hint="cs"/>
          <w:rtl/>
          <w:lang w:bidi="fa-IR"/>
        </w:rPr>
        <w:t>.</w:t>
      </w:r>
      <w:r w:rsidR="00744A1C" w:rsidRPr="00C24F9C">
        <w:rPr>
          <w:rStyle w:val="libFootnoteBoldChar"/>
          <w:rtl/>
        </w:rPr>
        <w:t>الوافي</w:t>
      </w:r>
      <w:r w:rsidR="00744A1C">
        <w:rPr>
          <w:rtl/>
          <w:lang w:bidi="fa-IR"/>
        </w:rPr>
        <w:t xml:space="preserve"> ، ج 18 ، ص 589 ، ح 17912 ؛ </w:t>
      </w:r>
      <w:r w:rsidR="00744A1C" w:rsidRPr="00C24F9C">
        <w:rPr>
          <w:rStyle w:val="libFootnoteBoldChar"/>
          <w:rtl/>
        </w:rPr>
        <w:t>الوسائل</w:t>
      </w:r>
      <w:r w:rsidR="00744A1C">
        <w:rPr>
          <w:rtl/>
          <w:lang w:bidi="fa-IR"/>
        </w:rPr>
        <w:t xml:space="preserve"> ، ج 18 ، ص 133 ، ح 23315.</w:t>
      </w:r>
    </w:p>
    <w:p w:rsidR="00744A1C" w:rsidRDefault="00E378DD" w:rsidP="00E378DD">
      <w:pPr>
        <w:pStyle w:val="libFootnote0"/>
        <w:rPr>
          <w:lang w:bidi="fa-IR"/>
        </w:rPr>
      </w:pPr>
      <w:r>
        <w:rPr>
          <w:rtl/>
          <w:lang w:bidi="fa-IR"/>
        </w:rPr>
        <w:t>(7).</w:t>
      </w:r>
      <w:r w:rsidR="00744A1C">
        <w:rPr>
          <w:rtl/>
          <w:lang w:bidi="fa-IR"/>
        </w:rPr>
        <w:t xml:space="preserve"> السند معلّق على سابقه. ويروي عن أحمد بن محمّد ، عدّة من أصحابنا.</w:t>
      </w:r>
    </w:p>
    <w:p w:rsidR="00144FA6" w:rsidRDefault="00E378DD" w:rsidP="00E378DD">
      <w:pPr>
        <w:pStyle w:val="libFootnote0"/>
        <w:rPr>
          <w:rtl/>
          <w:lang w:bidi="fa-IR"/>
        </w:rPr>
      </w:pPr>
      <w:r>
        <w:rPr>
          <w:rtl/>
          <w:lang w:bidi="fa-IR"/>
        </w:rPr>
        <w:t>(8).</w:t>
      </w:r>
      <w:r w:rsidR="00744A1C">
        <w:rPr>
          <w:rtl/>
          <w:lang w:bidi="fa-IR"/>
        </w:rPr>
        <w:t xml:space="preserve"> هكذا في « ط ، </w:t>
      </w:r>
      <w:r w:rsidR="00091D76">
        <w:rPr>
          <w:rtl/>
          <w:lang w:bidi="fa-IR"/>
        </w:rPr>
        <w:t>ى ، بح ، بخ ، بس ، بف ، جت ، جد،جن</w:t>
      </w:r>
      <w:r w:rsidR="00744A1C">
        <w:rPr>
          <w:rtl/>
          <w:lang w:bidi="fa-IR"/>
        </w:rPr>
        <w:t xml:space="preserve">» </w:t>
      </w:r>
      <w:r w:rsidR="00744A1C" w:rsidRPr="00091D76">
        <w:rPr>
          <w:rtl/>
        </w:rPr>
        <w:t>والوسائل</w:t>
      </w:r>
      <w:r w:rsidR="00744A1C">
        <w:rPr>
          <w:rtl/>
          <w:lang w:bidi="fa-IR"/>
        </w:rPr>
        <w:t xml:space="preserve">. وفي المطبوع </w:t>
      </w:r>
      <w:r w:rsidR="00744A1C" w:rsidRPr="00091D76">
        <w:rPr>
          <w:rtl/>
        </w:rPr>
        <w:t>والوافي</w:t>
      </w:r>
      <w:r w:rsidR="00744A1C">
        <w:rPr>
          <w:rtl/>
          <w:lang w:bidi="fa-IR"/>
        </w:rPr>
        <w:t xml:space="preserve"> : + « عن</w:t>
      </w:r>
      <w:r w:rsidR="00091D76">
        <w:rPr>
          <w:rFonts w:hint="cs"/>
          <w:rtl/>
          <w:lang w:bidi="fa-IR"/>
        </w:rPr>
        <w:t xml:space="preserve"> =</w:t>
      </w:r>
    </w:p>
    <w:p w:rsidR="006D42F6" w:rsidRDefault="006D42F6" w:rsidP="00D10E3C">
      <w:pPr>
        <w:pStyle w:val="libNormal"/>
        <w:rPr>
          <w:rtl/>
          <w:lang w:bidi="fa-IR"/>
        </w:rPr>
      </w:pPr>
      <w:r>
        <w:rPr>
          <w:rtl/>
          <w:lang w:bidi="fa-IR"/>
        </w:rPr>
        <w:br w:type="page"/>
      </w:r>
    </w:p>
    <w:p w:rsidR="00744A1C" w:rsidRDefault="00744A1C" w:rsidP="00744A1C">
      <w:pPr>
        <w:pStyle w:val="libNormal"/>
        <w:rPr>
          <w:lang w:bidi="fa-IR"/>
        </w:rPr>
      </w:pPr>
      <w:r>
        <w:rPr>
          <w:rtl/>
          <w:lang w:bidi="fa-IR"/>
        </w:rPr>
        <w:t xml:space="preserve">بَلَغَ أَبَا عَبْدِ اللهِ </w:t>
      </w:r>
      <w:r w:rsidR="0061079A" w:rsidRPr="0061079A">
        <w:rPr>
          <w:rStyle w:val="libAlaemChar"/>
          <w:rtl/>
        </w:rPr>
        <w:t>عليه‌السلام</w:t>
      </w:r>
      <w:r w:rsidR="00D10E3C">
        <w:rPr>
          <w:rtl/>
          <w:lang w:bidi="fa-IR"/>
        </w:rPr>
        <w:t xml:space="preserve"> </w:t>
      </w:r>
      <w:r>
        <w:rPr>
          <w:rtl/>
          <w:lang w:bidi="fa-IR"/>
        </w:rPr>
        <w:t xml:space="preserve">عَنْ رَجُلٍ أَنَّهُ كَانَ يَأْكُلُ الرِّبَا ، وَيُسَمِّيهِ اللِّبَأَ </w:t>
      </w:r>
      <w:r w:rsidRPr="00D10E3C">
        <w:rPr>
          <w:rStyle w:val="libFootnotenumChar"/>
          <w:rtl/>
        </w:rPr>
        <w:t>(1)</w:t>
      </w:r>
      <w:r w:rsidR="008B241E" w:rsidRPr="008B241E">
        <w:rPr>
          <w:rFonts w:hint="cs"/>
          <w:rtl/>
        </w:rPr>
        <w:t>.</w:t>
      </w:r>
    </w:p>
    <w:p w:rsidR="00144FA6" w:rsidRDefault="00744A1C" w:rsidP="00744A1C">
      <w:pPr>
        <w:pStyle w:val="libNormal"/>
        <w:rPr>
          <w:rtl/>
          <w:lang w:bidi="fa-IR"/>
        </w:rPr>
      </w:pPr>
      <w:r>
        <w:rPr>
          <w:rtl/>
          <w:lang w:bidi="fa-IR"/>
        </w:rPr>
        <w:t xml:space="preserve">فَقَالَ : « لَئِنْ أَمْكَنَنِي اللهُ - عَزَّ وَجَلَّ - مِنْهُ لَأَضْرِبَنَّ عُنُقَهُ ». </w:t>
      </w:r>
      <w:r w:rsidRPr="00D10E3C">
        <w:rPr>
          <w:rStyle w:val="libFootnotenumChar"/>
          <w:rtl/>
        </w:rPr>
        <w:t>(2)</w:t>
      </w:r>
    </w:p>
    <w:p w:rsidR="00144FA6" w:rsidRDefault="00744A1C" w:rsidP="00744A1C">
      <w:pPr>
        <w:pStyle w:val="libNormal"/>
        <w:rPr>
          <w:rtl/>
          <w:lang w:bidi="fa-IR"/>
        </w:rPr>
      </w:pPr>
      <w:r>
        <w:rPr>
          <w:rtl/>
          <w:lang w:bidi="fa-IR"/>
        </w:rPr>
        <w:t xml:space="preserve">8673 / 12. أَحْمَدُ بْنُ مُحَمَّدٍ </w:t>
      </w:r>
      <w:r w:rsidRPr="00D10E3C">
        <w:rPr>
          <w:rStyle w:val="libFootnotenumChar"/>
          <w:rtl/>
        </w:rPr>
        <w:t>(3)</w:t>
      </w:r>
      <w:r>
        <w:rPr>
          <w:rtl/>
          <w:lang w:bidi="fa-IR"/>
        </w:rPr>
        <w:t xml:space="preserve"> ، عَنِ ابْنِ فَضَّالٍ ، عَنْ أَبِي جَمِيلَةَ ، عَنْ سَعْدِ بْنِ طَرِيفٍ :</w:t>
      </w:r>
    </w:p>
    <w:p w:rsidR="00144FA6" w:rsidRDefault="00744A1C" w:rsidP="00744A1C">
      <w:pPr>
        <w:pStyle w:val="libNormal"/>
        <w:rPr>
          <w:rtl/>
          <w:lang w:bidi="fa-IR"/>
        </w:rPr>
      </w:pPr>
      <w:r>
        <w:rPr>
          <w:rtl/>
          <w:lang w:bidi="fa-IR"/>
        </w:rPr>
        <w:t xml:space="preserve">عَنْ أَبِي جَعْفَرٍ </w:t>
      </w:r>
      <w:r w:rsidR="002F339C" w:rsidRPr="002F339C">
        <w:rPr>
          <w:rStyle w:val="libFootnoteAlaemChar"/>
          <w:rtl/>
        </w:rPr>
        <w:t>عليه‌السلام</w:t>
      </w:r>
      <w:r>
        <w:rPr>
          <w:rtl/>
          <w:lang w:bidi="fa-IR"/>
        </w:rPr>
        <w:t xml:space="preserve"> ، قَالَ : « أَخْبَثُ </w:t>
      </w:r>
      <w:r w:rsidRPr="00D10E3C">
        <w:rPr>
          <w:rStyle w:val="libFootnotenumChar"/>
          <w:rtl/>
        </w:rPr>
        <w:t>(4)</w:t>
      </w:r>
      <w:r>
        <w:rPr>
          <w:rtl/>
          <w:lang w:bidi="fa-IR"/>
        </w:rPr>
        <w:t xml:space="preserve"> الْمَكَاسِبِ كَسْبُ الرِّبَا ». </w:t>
      </w:r>
      <w:r w:rsidRPr="00D10E3C">
        <w:rPr>
          <w:rStyle w:val="libFootnotenumChar"/>
          <w:rtl/>
        </w:rPr>
        <w:t>(5)</w:t>
      </w:r>
    </w:p>
    <w:p w:rsidR="00744A1C" w:rsidRDefault="00744A1C" w:rsidP="008B241E">
      <w:pPr>
        <w:pStyle w:val="Heading2Center"/>
        <w:rPr>
          <w:lang w:bidi="fa-IR"/>
        </w:rPr>
      </w:pPr>
      <w:bookmarkStart w:id="175" w:name="_Toc49261473"/>
      <w:r>
        <w:rPr>
          <w:rtl/>
          <w:lang w:bidi="fa-IR"/>
        </w:rPr>
        <w:t xml:space="preserve">52 - بَابُ أَنَّهُ لَيْسَ بَيْنَ الرَّجُلِ وَبَيْنَ </w:t>
      </w:r>
      <w:r w:rsidRPr="00D10E3C">
        <w:rPr>
          <w:rStyle w:val="libFootnotenumChar"/>
          <w:rtl/>
        </w:rPr>
        <w:t>(6)</w:t>
      </w:r>
      <w:r>
        <w:rPr>
          <w:rtl/>
          <w:lang w:bidi="fa-IR"/>
        </w:rPr>
        <w:t xml:space="preserve"> وَلَدِهِ وَمَا يَمْلِكُهُ رِبًا‌</w:t>
      </w:r>
      <w:bookmarkEnd w:id="175"/>
    </w:p>
    <w:p w:rsidR="00144FA6" w:rsidRDefault="00744A1C" w:rsidP="00744A1C">
      <w:pPr>
        <w:pStyle w:val="libNormal"/>
        <w:rPr>
          <w:rtl/>
          <w:lang w:bidi="fa-IR"/>
        </w:rPr>
      </w:pPr>
      <w:r>
        <w:rPr>
          <w:rtl/>
          <w:lang w:bidi="fa-IR"/>
        </w:rPr>
        <w:t xml:space="preserve">8674 / 1. حُمَيْدُ بْنِ زِيَادٍ ، عَنِ الْخَشَّابِ ، عَنِ ابْنِ بَقَّاحٍ </w:t>
      </w:r>
      <w:r w:rsidRPr="00D10E3C">
        <w:rPr>
          <w:rStyle w:val="libFootnotenumChar"/>
          <w:rtl/>
        </w:rPr>
        <w:t>(7)</w:t>
      </w:r>
      <w:r>
        <w:rPr>
          <w:rtl/>
          <w:lang w:bidi="fa-IR"/>
        </w:rPr>
        <w:t xml:space="preserve"> ، عَنْ مُعَاذِ بْنِ ثَابِتٍ ، عَنْ عَمْرِو بْنِ جُمَيْعٍ :</w:t>
      </w:r>
    </w:p>
    <w:p w:rsidR="00744A1C" w:rsidRDefault="00744A1C" w:rsidP="00D10E3C">
      <w:pPr>
        <w:pStyle w:val="libLine"/>
        <w:rPr>
          <w:lang w:bidi="fa-IR"/>
        </w:rPr>
      </w:pPr>
      <w:r>
        <w:rPr>
          <w:rtl/>
          <w:lang w:bidi="fa-IR"/>
        </w:rPr>
        <w:t>____________________</w:t>
      </w:r>
    </w:p>
    <w:p w:rsidR="00744A1C" w:rsidRDefault="008B241E" w:rsidP="00D10E3C">
      <w:pPr>
        <w:pStyle w:val="libFootnote0"/>
        <w:rPr>
          <w:lang w:bidi="fa-IR"/>
        </w:rPr>
      </w:pPr>
      <w:r>
        <w:rPr>
          <w:rFonts w:hint="cs"/>
          <w:rtl/>
          <w:lang w:bidi="fa-IR"/>
        </w:rPr>
        <w:t xml:space="preserve">= </w:t>
      </w:r>
      <w:r w:rsidR="00744A1C">
        <w:rPr>
          <w:rtl/>
          <w:lang w:bidi="fa-IR"/>
        </w:rPr>
        <w:t>عبيد بن زرارة ».</w:t>
      </w:r>
    </w:p>
    <w:p w:rsidR="00744A1C" w:rsidRDefault="00744A1C" w:rsidP="00D10E3C">
      <w:pPr>
        <w:pStyle w:val="libFootnote0"/>
        <w:rPr>
          <w:lang w:bidi="fa-IR"/>
        </w:rPr>
      </w:pPr>
      <w:r>
        <w:rPr>
          <w:rtl/>
          <w:lang w:bidi="fa-IR"/>
        </w:rPr>
        <w:t>ومنشأ زيادة « عن عبيد بن زرارة » في السند إمّا جواز النظر إلى « ابن بكير » في السند السابق حين الاستنساخ ، أو توهّم سقوطها من السند بقرينة السند السابق.</w:t>
      </w:r>
    </w:p>
    <w:p w:rsidR="00744A1C" w:rsidRDefault="00D10E3C" w:rsidP="008B241E">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 اللبأ - بكسر اللام وفتح الباء والهمزة بعدها - : أوّل لبن الا</w:t>
      </w:r>
      <w:r w:rsidR="008B241E">
        <w:rPr>
          <w:rFonts w:hint="cs"/>
          <w:rtl/>
          <w:lang w:bidi="fa-IR"/>
        </w:rPr>
        <w:t>ُ</w:t>
      </w:r>
      <w:r w:rsidR="00744A1C">
        <w:rPr>
          <w:rtl/>
          <w:lang w:bidi="fa-IR"/>
        </w:rPr>
        <w:t xml:space="preserve">مّ ، وكان لعنه الله يبالغ في حلّيّته بالتشبيه بأوّل لبن </w:t>
      </w:r>
      <w:r w:rsidR="008B241E">
        <w:rPr>
          <w:rtl/>
          <w:lang w:bidi="fa-IR"/>
        </w:rPr>
        <w:t>الا</w:t>
      </w:r>
      <w:r w:rsidR="008B241E">
        <w:rPr>
          <w:rFonts w:hint="cs"/>
          <w:rtl/>
          <w:lang w:bidi="fa-IR"/>
        </w:rPr>
        <w:t>ُ</w:t>
      </w:r>
      <w:r w:rsidR="008B241E">
        <w:rPr>
          <w:rtl/>
          <w:lang w:bidi="fa-IR"/>
        </w:rPr>
        <w:t xml:space="preserve">مّ </w:t>
      </w:r>
      <w:r w:rsidR="00744A1C">
        <w:rPr>
          <w:rtl/>
          <w:lang w:bidi="fa-IR"/>
        </w:rPr>
        <w:t xml:space="preserve">، كما هو الشائع بين العرب والعجم. ويدلّ على أنّ تحريم الربا من ضروريّات الدين وأنّ منكر الضروريّ يجب قتله ». وراجع : </w:t>
      </w:r>
      <w:r w:rsidR="00744A1C" w:rsidRPr="00877682">
        <w:rPr>
          <w:rStyle w:val="libFootnoteBoldChar"/>
          <w:rtl/>
        </w:rPr>
        <w:t>النهاية</w:t>
      </w:r>
      <w:r w:rsidR="00744A1C">
        <w:rPr>
          <w:rtl/>
          <w:lang w:bidi="fa-IR"/>
        </w:rPr>
        <w:t xml:space="preserve"> ، ج 4 ، ص 221 ( لبأ ).</w:t>
      </w:r>
    </w:p>
    <w:p w:rsidR="00744A1C" w:rsidRDefault="00E378DD" w:rsidP="00E378DD">
      <w:pPr>
        <w:pStyle w:val="libFootnote0"/>
        <w:rPr>
          <w:lang w:bidi="fa-IR"/>
        </w:rPr>
      </w:pPr>
      <w:r>
        <w:rPr>
          <w:rtl/>
          <w:lang w:bidi="fa-IR"/>
        </w:rPr>
        <w:t>(2).</w:t>
      </w:r>
      <w:r w:rsidR="00744A1C">
        <w:rPr>
          <w:rtl/>
          <w:lang w:bidi="fa-IR"/>
        </w:rPr>
        <w:t xml:space="preserve"> </w:t>
      </w:r>
      <w:r w:rsidR="00744A1C" w:rsidRPr="00C24F9C">
        <w:rPr>
          <w:rStyle w:val="libFootnoteBoldChar"/>
          <w:rtl/>
        </w:rPr>
        <w:t>الوافي</w:t>
      </w:r>
      <w:r w:rsidR="00744A1C">
        <w:rPr>
          <w:rtl/>
          <w:lang w:bidi="fa-IR"/>
        </w:rPr>
        <w:t xml:space="preserve"> ، ج 17 ، ص 381 ، ح 17470 ؛ </w:t>
      </w:r>
      <w:r w:rsidR="00744A1C" w:rsidRPr="00C24F9C">
        <w:rPr>
          <w:rStyle w:val="libFootnoteBoldChar"/>
          <w:rtl/>
        </w:rPr>
        <w:t>الوسائل</w:t>
      </w:r>
      <w:r w:rsidR="00744A1C">
        <w:rPr>
          <w:rtl/>
          <w:lang w:bidi="fa-IR"/>
        </w:rPr>
        <w:t xml:space="preserve"> ، ج 18 ، ص 125 ، ح 23294.</w:t>
      </w:r>
    </w:p>
    <w:p w:rsidR="00744A1C" w:rsidRDefault="00E378DD" w:rsidP="00E378DD">
      <w:pPr>
        <w:pStyle w:val="libFootnote0"/>
        <w:rPr>
          <w:lang w:bidi="fa-IR"/>
        </w:rPr>
      </w:pPr>
      <w:r>
        <w:rPr>
          <w:rtl/>
          <w:lang w:bidi="fa-IR"/>
        </w:rPr>
        <w:t>(3).</w:t>
      </w:r>
      <w:r w:rsidR="00744A1C">
        <w:rPr>
          <w:rtl/>
          <w:lang w:bidi="fa-IR"/>
        </w:rPr>
        <w:t xml:space="preserve"> في « ط » : - « بن محمّد ». والسند معلّق ، كسابقه.</w:t>
      </w:r>
    </w:p>
    <w:p w:rsidR="00744A1C" w:rsidRDefault="00E378DD" w:rsidP="00E378DD">
      <w:pPr>
        <w:pStyle w:val="libFootnote0"/>
        <w:rPr>
          <w:lang w:bidi="fa-IR"/>
        </w:rPr>
      </w:pPr>
      <w:r>
        <w:rPr>
          <w:rtl/>
          <w:lang w:bidi="fa-IR"/>
        </w:rPr>
        <w:t>(4).</w:t>
      </w:r>
      <w:r w:rsidR="00744A1C">
        <w:rPr>
          <w:rtl/>
          <w:lang w:bidi="fa-IR"/>
        </w:rPr>
        <w:t xml:space="preserve"> في حاشية « بح » : « أخيب ».</w:t>
      </w:r>
    </w:p>
    <w:p w:rsidR="00744A1C" w:rsidRDefault="00E378DD" w:rsidP="008B241E">
      <w:pPr>
        <w:pStyle w:val="libFootnote0"/>
        <w:rPr>
          <w:lang w:bidi="fa-IR"/>
        </w:rPr>
      </w:pPr>
      <w:r>
        <w:rPr>
          <w:rtl/>
          <w:lang w:bidi="fa-IR"/>
        </w:rPr>
        <w:t>(5).</w:t>
      </w:r>
      <w:r w:rsidR="00744A1C">
        <w:rPr>
          <w:rtl/>
          <w:lang w:bidi="fa-IR"/>
        </w:rPr>
        <w:t xml:space="preserve"> </w:t>
      </w:r>
      <w:r w:rsidR="00744A1C" w:rsidRPr="0061079A">
        <w:rPr>
          <w:rStyle w:val="libFootnoteBoldChar"/>
          <w:rtl/>
        </w:rPr>
        <w:t>الكافي</w:t>
      </w:r>
      <w:r w:rsidR="00744A1C">
        <w:rPr>
          <w:rtl/>
          <w:lang w:bidi="fa-IR"/>
        </w:rPr>
        <w:t xml:space="preserve"> ، كتاب الروضة ، ضمن ح 14854 ، بسند آخر عن أبي عبد الله </w:t>
      </w:r>
      <w:r w:rsidR="0061079A" w:rsidRPr="0061079A">
        <w:rPr>
          <w:rStyle w:val="libFootnoteAlaemChar"/>
          <w:rtl/>
        </w:rPr>
        <w:t>عليه‌السلام</w:t>
      </w:r>
      <w:r w:rsidR="00D10E3C">
        <w:rPr>
          <w:rtl/>
          <w:lang w:bidi="fa-IR"/>
        </w:rPr>
        <w:t xml:space="preserve"> </w:t>
      </w:r>
      <w:r w:rsidR="00744A1C">
        <w:rPr>
          <w:rtl/>
          <w:lang w:bidi="fa-IR"/>
        </w:rPr>
        <w:t xml:space="preserve">عن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 وفي </w:t>
      </w:r>
      <w:r w:rsidR="00744A1C" w:rsidRPr="00C24F9C">
        <w:rPr>
          <w:rStyle w:val="libFootnoteBoldChar"/>
          <w:rtl/>
        </w:rPr>
        <w:t>الفقيه</w:t>
      </w:r>
      <w:r w:rsidR="00744A1C">
        <w:rPr>
          <w:rtl/>
          <w:lang w:bidi="fa-IR"/>
        </w:rPr>
        <w:t xml:space="preserve"> ، ج 4 ، ص 402 ، ضمن ح 5868 ؛ </w:t>
      </w:r>
      <w:r w:rsidR="00744A1C" w:rsidRPr="008B241E">
        <w:rPr>
          <w:rStyle w:val="libFootnoteBoldChar"/>
          <w:rtl/>
        </w:rPr>
        <w:t>والأمالي</w:t>
      </w:r>
      <w:r w:rsidR="00744A1C">
        <w:rPr>
          <w:rtl/>
          <w:lang w:bidi="fa-IR"/>
        </w:rPr>
        <w:t xml:space="preserve"> للصدوق ، ص 487 ، المجلس 74 ، ضمن ح 1 ، بسند آخر عن أبي عبد الله </w:t>
      </w:r>
      <w:r w:rsidR="008B241E" w:rsidRPr="0061079A">
        <w:rPr>
          <w:rStyle w:val="libFootnoteAlaemChar"/>
          <w:rtl/>
        </w:rPr>
        <w:t>عليه‌السلام</w:t>
      </w:r>
      <w:r w:rsidR="008B241E">
        <w:rPr>
          <w:rtl/>
          <w:lang w:bidi="fa-IR"/>
        </w:rPr>
        <w:t xml:space="preserve"> </w:t>
      </w:r>
      <w:r w:rsidR="00744A1C">
        <w:rPr>
          <w:rtl/>
          <w:lang w:bidi="fa-IR"/>
        </w:rPr>
        <w:t xml:space="preserve">؛ </w:t>
      </w:r>
      <w:r w:rsidR="00744A1C" w:rsidRPr="008B241E">
        <w:rPr>
          <w:rStyle w:val="libFootnoteBoldChar"/>
          <w:rtl/>
        </w:rPr>
        <w:t>الزهد</w:t>
      </w:r>
      <w:r w:rsidR="00744A1C">
        <w:rPr>
          <w:rtl/>
          <w:lang w:bidi="fa-IR"/>
        </w:rPr>
        <w:t xml:space="preserve"> ، ص 74 ، ضمن ح 28 ، بسند آخر عن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 وفي كلّها : « شرّ الكسب كسب الربا ». وفي </w:t>
      </w:r>
      <w:r w:rsidR="00744A1C" w:rsidRPr="00C24F9C">
        <w:rPr>
          <w:rStyle w:val="libFootnoteBoldChar"/>
          <w:rtl/>
        </w:rPr>
        <w:t>الفقيه</w:t>
      </w:r>
      <w:r w:rsidR="00744A1C">
        <w:rPr>
          <w:rtl/>
          <w:lang w:bidi="fa-IR"/>
        </w:rPr>
        <w:t xml:space="preserve"> ، ج 4 ، ص 377 ، ح 5775 ؛ و</w:t>
      </w:r>
      <w:r w:rsidR="00744A1C" w:rsidRPr="00610FB4">
        <w:rPr>
          <w:rStyle w:val="libFootnoteBoldChar"/>
          <w:rtl/>
        </w:rPr>
        <w:t>تفسير القمّي</w:t>
      </w:r>
      <w:r w:rsidR="00744A1C">
        <w:rPr>
          <w:rtl/>
          <w:lang w:bidi="fa-IR"/>
        </w:rPr>
        <w:t xml:space="preserve"> ، ج 1 ، ص 291 ، ضمن الحديث ؛ و</w:t>
      </w:r>
      <w:r w:rsidR="00744A1C" w:rsidRPr="00211914">
        <w:rPr>
          <w:rStyle w:val="libFootnoteBoldChar"/>
          <w:rtl/>
        </w:rPr>
        <w:t>الاختصاص</w:t>
      </w:r>
      <w:r w:rsidR="00744A1C">
        <w:rPr>
          <w:rtl/>
          <w:lang w:bidi="fa-IR"/>
        </w:rPr>
        <w:t xml:space="preserve"> ، ص 342 ، مرسلاً عن النبيّ </w:t>
      </w:r>
      <w:r w:rsidR="00024D6D" w:rsidRPr="00024D6D">
        <w:rPr>
          <w:rStyle w:val="libFootnoteAlaemChar"/>
          <w:rtl/>
        </w:rPr>
        <w:t>صلى‌الله‌عليه‌وآله</w:t>
      </w:r>
      <w:r w:rsidR="00D10E3C">
        <w:rPr>
          <w:rtl/>
          <w:lang w:bidi="fa-IR"/>
        </w:rPr>
        <w:t xml:space="preserve"> </w:t>
      </w:r>
      <w:r w:rsidR="00744A1C">
        <w:rPr>
          <w:rtl/>
          <w:lang w:bidi="fa-IR"/>
        </w:rPr>
        <w:t xml:space="preserve">، هكذا : « شرّ المكاسب كسب الربا » </w:t>
      </w:r>
      <w:r w:rsidR="008B241E">
        <w:rPr>
          <w:rFonts w:hint="cs"/>
          <w:rtl/>
          <w:lang w:bidi="fa-IR"/>
        </w:rPr>
        <w:t>.</w:t>
      </w:r>
      <w:r w:rsidR="00744A1C" w:rsidRPr="00C24F9C">
        <w:rPr>
          <w:rStyle w:val="libFootnoteBoldChar"/>
          <w:rtl/>
        </w:rPr>
        <w:t>الوافي</w:t>
      </w:r>
      <w:r w:rsidR="00744A1C">
        <w:rPr>
          <w:rtl/>
          <w:lang w:bidi="fa-IR"/>
        </w:rPr>
        <w:t xml:space="preserve"> ، ج 17 ، ص 381 ، ح 17471 ؛ </w:t>
      </w:r>
      <w:r w:rsidR="00744A1C" w:rsidRPr="00C24F9C">
        <w:rPr>
          <w:rStyle w:val="libFootnoteBoldChar"/>
          <w:rtl/>
        </w:rPr>
        <w:t>الوسائل</w:t>
      </w:r>
      <w:r w:rsidR="00744A1C">
        <w:rPr>
          <w:rtl/>
          <w:lang w:bidi="fa-IR"/>
        </w:rPr>
        <w:t xml:space="preserve"> ، ج 18 ، ص 118 ، ح 23271.</w:t>
      </w:r>
      <w:r w:rsidR="008B241E">
        <w:rPr>
          <w:rFonts w:hint="cs"/>
          <w:rtl/>
          <w:lang w:bidi="fa-IR"/>
        </w:rPr>
        <w:t xml:space="preserve">               </w:t>
      </w:r>
      <w:r>
        <w:rPr>
          <w:rtl/>
          <w:lang w:bidi="fa-IR"/>
        </w:rPr>
        <w:t>(6).</w:t>
      </w:r>
      <w:r w:rsidR="00744A1C">
        <w:rPr>
          <w:rtl/>
          <w:lang w:bidi="fa-IR"/>
        </w:rPr>
        <w:t xml:space="preserve"> في « ط » : - « بين ».</w:t>
      </w:r>
    </w:p>
    <w:p w:rsidR="00744A1C" w:rsidRDefault="00E378DD" w:rsidP="00E378DD">
      <w:pPr>
        <w:pStyle w:val="libFootnote0"/>
        <w:rPr>
          <w:lang w:bidi="fa-IR"/>
        </w:rPr>
      </w:pPr>
      <w:r>
        <w:rPr>
          <w:rtl/>
          <w:lang w:bidi="fa-IR"/>
        </w:rPr>
        <w:t>(7).</w:t>
      </w:r>
      <w:r w:rsidR="00744A1C">
        <w:rPr>
          <w:rtl/>
          <w:lang w:bidi="fa-IR"/>
        </w:rPr>
        <w:t xml:space="preserve"> في </w:t>
      </w:r>
      <w:r w:rsidR="00744A1C" w:rsidRPr="008B241E">
        <w:rPr>
          <w:rtl/>
        </w:rPr>
        <w:t>التهذيب</w:t>
      </w:r>
      <w:r w:rsidR="00744A1C">
        <w:rPr>
          <w:rtl/>
          <w:lang w:bidi="fa-IR"/>
        </w:rPr>
        <w:t xml:space="preserve"> : « ابن رباح ». والمذكور في بعض نسخه هو ابن بقّاح ، وهو الصواب ؛ فقد روى الحسن بن عليّ‌بن يوسف المعروف بابن بقّاح كتاب معاذ بن ثابت ، ووردت رواية ابن بقّاح عن معاذ [ بن ثابت الجوهري ] في بعض الأسناد. راجع : </w:t>
      </w:r>
      <w:r w:rsidR="00744A1C" w:rsidRPr="003A7143">
        <w:rPr>
          <w:rStyle w:val="libFootnoteBoldChar"/>
          <w:rtl/>
        </w:rPr>
        <w:t>الفهرست للطوسي</w:t>
      </w:r>
      <w:r w:rsidR="00744A1C">
        <w:rPr>
          <w:rtl/>
          <w:lang w:bidi="fa-IR"/>
        </w:rPr>
        <w:t xml:space="preserve"> ، ص 472 ، الرقم 757 ؛ </w:t>
      </w:r>
      <w:r w:rsidR="00744A1C" w:rsidRPr="0061079A">
        <w:rPr>
          <w:rStyle w:val="libFootnoteBoldChar"/>
          <w:rtl/>
        </w:rPr>
        <w:t>معجم رجال الحديث</w:t>
      </w:r>
      <w:r w:rsidR="00744A1C">
        <w:rPr>
          <w:rtl/>
          <w:lang w:bidi="fa-IR"/>
        </w:rPr>
        <w:t xml:space="preserve"> ، ج 22 ، ص 363.</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عَنْ أَبِي عَبْدِ اللهِ </w:t>
      </w:r>
      <w:r w:rsidR="0061079A" w:rsidRPr="0061079A">
        <w:rPr>
          <w:rStyle w:val="libAlaemChar"/>
          <w:rtl/>
        </w:rPr>
        <w:t>عليه‌السلام</w:t>
      </w:r>
      <w:r w:rsidR="00D10E3C">
        <w:rPr>
          <w:rtl/>
          <w:lang w:bidi="fa-IR"/>
        </w:rPr>
        <w:t xml:space="preserve"> </w:t>
      </w:r>
      <w:r>
        <w:rPr>
          <w:rtl/>
          <w:lang w:bidi="fa-IR"/>
        </w:rPr>
        <w:t xml:space="preserve">، قَالَ : « قَالَ أَمِيرُ الْمُؤْمِنِينَ </w:t>
      </w:r>
      <w:r w:rsidR="0061079A" w:rsidRPr="0061079A">
        <w:rPr>
          <w:rStyle w:val="libAlaemChar"/>
          <w:rtl/>
        </w:rPr>
        <w:t>عليه‌السلام</w:t>
      </w:r>
      <w:r w:rsidR="00D10E3C">
        <w:rPr>
          <w:rtl/>
          <w:lang w:bidi="fa-IR"/>
        </w:rPr>
        <w:t xml:space="preserve"> </w:t>
      </w:r>
      <w:r>
        <w:rPr>
          <w:rtl/>
          <w:lang w:bidi="fa-IR"/>
        </w:rPr>
        <w:t>: لَيْسَ بَيْنَ الرَّجُلِ وَ</w:t>
      </w:r>
      <w:r w:rsidR="008B241E">
        <w:rPr>
          <w:rFonts w:hint="cs"/>
          <w:rtl/>
          <w:lang w:bidi="fa-IR"/>
        </w:rPr>
        <w:t xml:space="preserve"> </w:t>
      </w:r>
      <w:r>
        <w:rPr>
          <w:rtl/>
          <w:lang w:bidi="fa-IR"/>
        </w:rPr>
        <w:t xml:space="preserve">وَلَدِهِ رِباً </w:t>
      </w:r>
      <w:r w:rsidRPr="00D10E3C">
        <w:rPr>
          <w:rStyle w:val="libFootnotenumChar"/>
          <w:rtl/>
        </w:rPr>
        <w:t>(1)</w:t>
      </w:r>
      <w:r>
        <w:rPr>
          <w:rtl/>
          <w:lang w:bidi="fa-IR"/>
        </w:rPr>
        <w:t xml:space="preserve"> ، وَلَيْسَ بَيْنَ السَّيِّدِ وَعَبْدِهِ </w:t>
      </w:r>
      <w:r w:rsidRPr="00D10E3C">
        <w:rPr>
          <w:rStyle w:val="libFootnotenumChar"/>
          <w:rtl/>
        </w:rPr>
        <w:t>(2)</w:t>
      </w:r>
      <w:r>
        <w:rPr>
          <w:rtl/>
          <w:lang w:bidi="fa-IR"/>
        </w:rPr>
        <w:t xml:space="preserve"> رِبًا ». </w:t>
      </w:r>
      <w:r w:rsidRPr="00D10E3C">
        <w:rPr>
          <w:rStyle w:val="libFootnotenumChar"/>
          <w:rtl/>
        </w:rPr>
        <w:t>(3)</w:t>
      </w:r>
    </w:p>
    <w:p w:rsidR="00144FA6" w:rsidRDefault="00744A1C" w:rsidP="00744A1C">
      <w:pPr>
        <w:pStyle w:val="libNormal"/>
        <w:rPr>
          <w:rtl/>
          <w:lang w:bidi="fa-IR"/>
        </w:rPr>
      </w:pPr>
      <w:r>
        <w:rPr>
          <w:rtl/>
          <w:lang w:bidi="fa-IR"/>
        </w:rPr>
        <w:t xml:space="preserve">8675 / 2. وَبِهذَا الْإِسْنَادِ ، قَالَ </w:t>
      </w:r>
      <w:r w:rsidRPr="00D10E3C">
        <w:rPr>
          <w:rStyle w:val="libFootnotenumChar"/>
          <w:rtl/>
        </w:rPr>
        <w:t>(4)</w:t>
      </w:r>
      <w:r>
        <w:rPr>
          <w:rtl/>
          <w:lang w:bidi="fa-IR"/>
        </w:rPr>
        <w:t xml:space="preserve"> :</w:t>
      </w:r>
    </w:p>
    <w:p w:rsidR="00144FA6" w:rsidRDefault="00744A1C" w:rsidP="00744A1C">
      <w:pPr>
        <w:pStyle w:val="libNormal"/>
        <w:rPr>
          <w:rtl/>
          <w:lang w:bidi="fa-IR"/>
        </w:rPr>
      </w:pPr>
      <w:r>
        <w:rPr>
          <w:rtl/>
          <w:lang w:bidi="fa-IR"/>
        </w:rPr>
        <w:t xml:space="preserve">« قَالَ رَسُولُ اللهِ </w:t>
      </w:r>
      <w:r w:rsidR="0017097C" w:rsidRPr="0017097C">
        <w:rPr>
          <w:rStyle w:val="libAlaemChar"/>
          <w:rtl/>
        </w:rPr>
        <w:t>صلى‌الله‌عليه‌وآله</w:t>
      </w:r>
      <w:r w:rsidR="00D10E3C">
        <w:rPr>
          <w:rtl/>
          <w:lang w:bidi="fa-IR"/>
        </w:rPr>
        <w:t xml:space="preserve"> </w:t>
      </w:r>
      <w:r>
        <w:rPr>
          <w:rtl/>
          <w:lang w:bidi="fa-IR"/>
        </w:rPr>
        <w:t xml:space="preserve">: لَيْسَ بَيْنَنَا وَبَيْنَ أَهْلِ حَرْبِنَا </w:t>
      </w:r>
      <w:r w:rsidRPr="00D10E3C">
        <w:rPr>
          <w:rStyle w:val="libFootnotenumChar"/>
          <w:rtl/>
        </w:rPr>
        <w:t>(5)</w:t>
      </w:r>
      <w:r>
        <w:rPr>
          <w:rtl/>
          <w:lang w:bidi="fa-IR"/>
        </w:rPr>
        <w:t xml:space="preserve"> رِبًا </w:t>
      </w:r>
      <w:r w:rsidRPr="00D10E3C">
        <w:rPr>
          <w:rStyle w:val="libFootnotenumChar"/>
          <w:rtl/>
        </w:rPr>
        <w:t>(6)</w:t>
      </w:r>
      <w:r>
        <w:rPr>
          <w:rtl/>
          <w:lang w:bidi="fa-IR"/>
        </w:rPr>
        <w:t xml:space="preserve"> ، نَأْخُذُ </w:t>
      </w:r>
      <w:r w:rsidRPr="00D10E3C">
        <w:rPr>
          <w:rStyle w:val="libFootnotenumChar"/>
          <w:rtl/>
        </w:rPr>
        <w:t>(7)</w:t>
      </w:r>
      <w:r>
        <w:rPr>
          <w:rtl/>
          <w:lang w:bidi="fa-IR"/>
        </w:rPr>
        <w:t xml:space="preserve"> مِنْهُمْ أَلْفَ دِرْهَمٍ بِدِرْهَمٍ ، وَنَأْخُذُ مِنْهُمْ </w:t>
      </w:r>
      <w:r w:rsidRPr="00D10E3C">
        <w:rPr>
          <w:rStyle w:val="libFootnotenumChar"/>
          <w:rtl/>
        </w:rPr>
        <w:t>(8)</w:t>
      </w:r>
      <w:r>
        <w:rPr>
          <w:rtl/>
          <w:lang w:bidi="fa-IR"/>
        </w:rPr>
        <w:t xml:space="preserve"> وَلَا نُعْطِيهِمْ </w:t>
      </w:r>
      <w:r w:rsidRPr="00D10E3C">
        <w:rPr>
          <w:rStyle w:val="libFootnotenumChar"/>
          <w:rtl/>
        </w:rPr>
        <w:t>(9)</w:t>
      </w:r>
      <w:r>
        <w:rPr>
          <w:rtl/>
          <w:lang w:bidi="fa-IR"/>
        </w:rPr>
        <w:t xml:space="preserve"> ». </w:t>
      </w:r>
      <w:r w:rsidRPr="00D10E3C">
        <w:rPr>
          <w:rStyle w:val="libFootnotenumChar"/>
          <w:rtl/>
        </w:rPr>
        <w:t>(10)</w:t>
      </w:r>
    </w:p>
    <w:p w:rsidR="00744A1C" w:rsidRDefault="00744A1C" w:rsidP="00D10E3C">
      <w:pPr>
        <w:pStyle w:val="libLine"/>
        <w:rPr>
          <w:lang w:bidi="fa-IR"/>
        </w:rPr>
      </w:pPr>
      <w:r>
        <w:rPr>
          <w:rtl/>
          <w:lang w:bidi="fa-IR"/>
        </w:rPr>
        <w:t>____________________</w:t>
      </w:r>
    </w:p>
    <w:p w:rsidR="00744A1C" w:rsidRDefault="00D10E3C" w:rsidP="00E378DD">
      <w:pPr>
        <w:pStyle w:val="libFootnote0"/>
        <w:rPr>
          <w:lang w:bidi="fa-IR"/>
        </w:rPr>
      </w:pPr>
      <w:r>
        <w:rPr>
          <w:rtl/>
          <w:lang w:bidi="fa-IR"/>
        </w:rPr>
        <w:t>(1).</w:t>
      </w:r>
      <w:r w:rsidR="00744A1C">
        <w:rPr>
          <w:rtl/>
          <w:lang w:bidi="fa-IR"/>
        </w:rPr>
        <w:t xml:space="preserve"> في </w:t>
      </w:r>
      <w:r w:rsidR="00744A1C" w:rsidRPr="00C24F9C">
        <w:rPr>
          <w:rStyle w:val="libFootnoteBoldChar"/>
          <w:rtl/>
        </w:rPr>
        <w:t>المرآة</w:t>
      </w:r>
      <w:r w:rsidR="00744A1C">
        <w:rPr>
          <w:rtl/>
          <w:lang w:bidi="fa-IR"/>
        </w:rPr>
        <w:t xml:space="preserve"> ، ج 19 ، ص 127 : « يدلّ على أنّه ليس بين الرجل و</w:t>
      </w:r>
      <w:r w:rsidR="008B241E">
        <w:rPr>
          <w:rFonts w:hint="cs"/>
          <w:rtl/>
          <w:lang w:bidi="fa-IR"/>
        </w:rPr>
        <w:t xml:space="preserve"> </w:t>
      </w:r>
      <w:r w:rsidR="00744A1C">
        <w:rPr>
          <w:rtl/>
          <w:lang w:bidi="fa-IR"/>
        </w:rPr>
        <w:t xml:space="preserve">ولده رباً مطلقاً ، كما هو المشهور بين‌الأصحاب ... وحكم السيّد المرتضى </w:t>
      </w:r>
      <w:r w:rsidR="00877682" w:rsidRPr="00877682">
        <w:rPr>
          <w:rStyle w:val="libFootnoteAlaemChar"/>
          <w:rtl/>
        </w:rPr>
        <w:t>رحمه‌الله</w:t>
      </w:r>
      <w:r w:rsidR="00744A1C">
        <w:rPr>
          <w:rtl/>
          <w:lang w:bidi="fa-IR"/>
        </w:rPr>
        <w:t xml:space="preserve">في بعض كتبه بثبوت الربا بين الوالد والولد ، والمولى ومملوكه ، وبين الزوجين ، وحمل الخبر على النفي ، كقوله تعالى : </w:t>
      </w:r>
      <w:r w:rsidR="00744A1C" w:rsidRPr="008B241E">
        <w:rPr>
          <w:rStyle w:val="libFootnoteAlaemChar"/>
          <w:rtl/>
        </w:rPr>
        <w:t>(</w:t>
      </w:r>
      <w:r w:rsidR="00744A1C" w:rsidRPr="008B241E">
        <w:rPr>
          <w:rStyle w:val="libFootnoteAieChar"/>
          <w:rtl/>
        </w:rPr>
        <w:t xml:space="preserve"> فَل</w:t>
      </w:r>
      <w:r w:rsidR="008B241E" w:rsidRPr="008B241E">
        <w:rPr>
          <w:rStyle w:val="libFootnoteAieChar"/>
          <w:rFonts w:hint="cs"/>
          <w:rtl/>
        </w:rPr>
        <w:t>َ</w:t>
      </w:r>
      <w:r w:rsidR="00744A1C" w:rsidRPr="008B241E">
        <w:rPr>
          <w:rStyle w:val="libFootnoteAieChar"/>
          <w:rtl/>
        </w:rPr>
        <w:t>ا رَفَثَ وَل</w:t>
      </w:r>
      <w:r w:rsidR="008B241E" w:rsidRPr="008B241E">
        <w:rPr>
          <w:rStyle w:val="libFootnoteAieChar"/>
          <w:rFonts w:hint="cs"/>
          <w:rtl/>
        </w:rPr>
        <w:t>َ</w:t>
      </w:r>
      <w:r w:rsidR="00744A1C" w:rsidRPr="008B241E">
        <w:rPr>
          <w:rStyle w:val="libFootnoteAieChar"/>
          <w:rtl/>
        </w:rPr>
        <w:t xml:space="preserve">ا فُسُوقَ </w:t>
      </w:r>
      <w:r w:rsidR="00744A1C" w:rsidRPr="008B241E">
        <w:rPr>
          <w:rStyle w:val="libFootnoteAlaemChar"/>
          <w:rtl/>
        </w:rPr>
        <w:t>)</w:t>
      </w:r>
      <w:r w:rsidR="00744A1C">
        <w:rPr>
          <w:rtl/>
          <w:lang w:bidi="fa-IR"/>
        </w:rPr>
        <w:t xml:space="preserve"> [ البقرة </w:t>
      </w:r>
      <w:r w:rsidR="008B241E">
        <w:rPr>
          <w:rtl/>
          <w:lang w:bidi="fa-IR"/>
        </w:rPr>
        <w:t>(2)</w:t>
      </w:r>
      <w:r w:rsidR="00744A1C">
        <w:rPr>
          <w:rtl/>
          <w:lang w:bidi="fa-IR"/>
        </w:rPr>
        <w:t xml:space="preserve"> : 197 ] ، ثمّ رجع ووافق المشهور وادّعى الإجماع عليه ». ونحوه عن المحقّق الشعراني في هامش </w:t>
      </w:r>
      <w:r w:rsidR="00744A1C" w:rsidRPr="00C24F9C">
        <w:rPr>
          <w:rStyle w:val="libFootnoteBoldChar"/>
          <w:rtl/>
        </w:rPr>
        <w:t>الوافي</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 ط ، بخ ، بف » : « وبين عبده ».</w:t>
      </w:r>
    </w:p>
    <w:p w:rsidR="00744A1C" w:rsidRDefault="00E378DD" w:rsidP="00E378DD">
      <w:pPr>
        <w:pStyle w:val="libFootnote0"/>
        <w:rPr>
          <w:lang w:bidi="fa-IR"/>
        </w:rPr>
      </w:pPr>
      <w:r>
        <w:rPr>
          <w:rtl/>
          <w:lang w:bidi="fa-IR"/>
        </w:rPr>
        <w:t>(3).</w:t>
      </w:r>
      <w:r w:rsidR="00744A1C">
        <w:rPr>
          <w:rtl/>
          <w:lang w:bidi="fa-IR"/>
        </w:rPr>
        <w:t xml:space="preserve"> </w:t>
      </w:r>
      <w:r w:rsidR="00744A1C" w:rsidRPr="00C24F9C">
        <w:rPr>
          <w:rStyle w:val="libFootnoteBoldChar"/>
          <w:rtl/>
        </w:rPr>
        <w:t>التهذيب</w:t>
      </w:r>
      <w:r w:rsidR="00744A1C">
        <w:rPr>
          <w:rtl/>
          <w:lang w:bidi="fa-IR"/>
        </w:rPr>
        <w:t xml:space="preserve"> ، ج 7 ، ص 18 ، ح 76 ، معلّقاً عن الكليني. </w:t>
      </w:r>
      <w:r w:rsidR="00744A1C" w:rsidRPr="00C24F9C">
        <w:rPr>
          <w:rStyle w:val="libFootnoteBoldChar"/>
          <w:rtl/>
        </w:rPr>
        <w:t>الفقيه</w:t>
      </w:r>
      <w:r w:rsidR="00744A1C">
        <w:rPr>
          <w:rtl/>
          <w:lang w:bidi="fa-IR"/>
        </w:rPr>
        <w:t xml:space="preserve"> ، ج 3 ، ص 277 ، ح 4001 ، مرسلاً من دون </w:t>
      </w:r>
      <w:r w:rsidR="00744A1C" w:rsidRPr="00725ED2">
        <w:rPr>
          <w:rStyle w:val="libFootnoteBoldChar"/>
          <w:rtl/>
        </w:rPr>
        <w:t>التصريح</w:t>
      </w:r>
      <w:r w:rsidR="00744A1C">
        <w:rPr>
          <w:rtl/>
          <w:lang w:bidi="fa-IR"/>
        </w:rPr>
        <w:t xml:space="preserve"> باسم المعصوم </w:t>
      </w:r>
      <w:r w:rsidR="0061079A" w:rsidRPr="0061079A">
        <w:rPr>
          <w:rStyle w:val="libFootnoteAlaemChar"/>
          <w:rtl/>
        </w:rPr>
        <w:t>عليه‌السلام</w:t>
      </w:r>
      <w:r w:rsidR="00744A1C">
        <w:rPr>
          <w:rtl/>
          <w:lang w:bidi="fa-IR"/>
        </w:rPr>
        <w:t xml:space="preserve"> . </w:t>
      </w:r>
      <w:r w:rsidR="00744A1C" w:rsidRPr="003A7143">
        <w:rPr>
          <w:rStyle w:val="libFootnoteBoldChar"/>
          <w:rtl/>
        </w:rPr>
        <w:t>فقه الرضا</w:t>
      </w:r>
      <w:r w:rsidR="00744A1C">
        <w:rPr>
          <w:rtl/>
          <w:lang w:bidi="fa-IR"/>
        </w:rPr>
        <w:t xml:space="preserve"> </w:t>
      </w:r>
      <w:r w:rsidR="0061079A" w:rsidRPr="0061079A">
        <w:rPr>
          <w:rStyle w:val="libFootnoteAlaemChar"/>
          <w:rtl/>
        </w:rPr>
        <w:t>عليه‌السلام</w:t>
      </w:r>
      <w:r w:rsidR="00D10E3C">
        <w:rPr>
          <w:rtl/>
          <w:lang w:bidi="fa-IR"/>
        </w:rPr>
        <w:t xml:space="preserve"> </w:t>
      </w:r>
      <w:r w:rsidR="00744A1C">
        <w:rPr>
          <w:rtl/>
          <w:lang w:bidi="fa-IR"/>
        </w:rPr>
        <w:t xml:space="preserve">، ص 275 ، مع اختلاف يسير </w:t>
      </w:r>
      <w:r w:rsidR="00725ED2">
        <w:rPr>
          <w:rFonts w:hint="cs"/>
          <w:rtl/>
          <w:lang w:bidi="fa-IR"/>
        </w:rPr>
        <w:t>.</w:t>
      </w:r>
      <w:r w:rsidR="00744A1C" w:rsidRPr="00C24F9C">
        <w:rPr>
          <w:rStyle w:val="libFootnoteBoldChar"/>
          <w:rtl/>
        </w:rPr>
        <w:t>الوافي</w:t>
      </w:r>
      <w:r w:rsidR="00744A1C">
        <w:rPr>
          <w:rtl/>
          <w:lang w:bidi="fa-IR"/>
        </w:rPr>
        <w:t xml:space="preserve"> ، ج 17 ، ص 385 ، ح 17482 ؛ </w:t>
      </w:r>
      <w:r w:rsidR="00744A1C" w:rsidRPr="00C24F9C">
        <w:rPr>
          <w:rStyle w:val="libFootnoteBoldChar"/>
          <w:rtl/>
        </w:rPr>
        <w:t>الوسائل</w:t>
      </w:r>
      <w:r w:rsidR="00744A1C">
        <w:rPr>
          <w:rtl/>
          <w:lang w:bidi="fa-IR"/>
        </w:rPr>
        <w:t xml:space="preserve"> ، ج 18 ، ص 135 ، ح 23319.</w:t>
      </w:r>
    </w:p>
    <w:p w:rsidR="00744A1C" w:rsidRDefault="00E378DD" w:rsidP="00E378DD">
      <w:pPr>
        <w:pStyle w:val="libFootnote0"/>
        <w:rPr>
          <w:lang w:bidi="fa-IR"/>
        </w:rPr>
      </w:pPr>
      <w:r>
        <w:rPr>
          <w:rtl/>
          <w:lang w:bidi="fa-IR"/>
        </w:rPr>
        <w:t>(4).</w:t>
      </w:r>
      <w:r w:rsidR="00744A1C">
        <w:rPr>
          <w:rtl/>
          <w:lang w:bidi="fa-IR"/>
        </w:rPr>
        <w:t xml:space="preserve"> الظاهر رجوع الضمير المستتر في « قال » إلى أمير المؤمنين </w:t>
      </w:r>
      <w:r w:rsidR="0061079A" w:rsidRPr="0061079A">
        <w:rPr>
          <w:rStyle w:val="libFootnoteAlaemChar"/>
          <w:rtl/>
        </w:rPr>
        <w:t>عليه‌السلام</w:t>
      </w:r>
      <w:r w:rsidR="00D10E3C">
        <w:rPr>
          <w:rtl/>
          <w:lang w:bidi="fa-IR"/>
        </w:rPr>
        <w:t xml:space="preserve"> </w:t>
      </w:r>
      <w:r w:rsidR="00744A1C">
        <w:rPr>
          <w:rtl/>
          <w:lang w:bidi="fa-IR"/>
        </w:rPr>
        <w:t xml:space="preserve">، والمراد من « بهذا الإسناد » ، هو السند المتقدّم إليه </w:t>
      </w:r>
      <w:r w:rsidR="0061079A" w:rsidRPr="0061079A">
        <w:rPr>
          <w:rStyle w:val="libFootnoteAlaemChar"/>
          <w:rtl/>
        </w:rPr>
        <w:t>عليه‌السلام</w:t>
      </w:r>
      <w:r w:rsidR="00744A1C">
        <w:rPr>
          <w:rtl/>
          <w:lang w:bidi="fa-IR"/>
        </w:rPr>
        <w:t xml:space="preserve"> .</w:t>
      </w:r>
    </w:p>
    <w:p w:rsidR="00744A1C" w:rsidRDefault="00E378DD" w:rsidP="00E378DD">
      <w:pPr>
        <w:pStyle w:val="libFootnote0"/>
        <w:rPr>
          <w:lang w:bidi="fa-IR"/>
        </w:rPr>
      </w:pPr>
      <w:r>
        <w:rPr>
          <w:rtl/>
          <w:lang w:bidi="fa-IR"/>
        </w:rPr>
        <w:t>(5).</w:t>
      </w:r>
      <w:r w:rsidR="00744A1C">
        <w:rPr>
          <w:rtl/>
          <w:lang w:bidi="fa-IR"/>
        </w:rPr>
        <w:t xml:space="preserve"> في </w:t>
      </w:r>
      <w:r w:rsidR="00744A1C" w:rsidRPr="00725ED2">
        <w:rPr>
          <w:rtl/>
        </w:rPr>
        <w:t>الجعفريّات</w:t>
      </w:r>
      <w:r w:rsidR="00744A1C">
        <w:rPr>
          <w:rtl/>
          <w:lang w:bidi="fa-IR"/>
        </w:rPr>
        <w:t xml:space="preserve"> : « خدمنا » بدل « أهل حربنا ».</w:t>
      </w:r>
    </w:p>
    <w:p w:rsidR="00744A1C" w:rsidRDefault="00E378DD" w:rsidP="00E378DD">
      <w:pPr>
        <w:pStyle w:val="libFootnote0"/>
        <w:rPr>
          <w:lang w:bidi="fa-IR"/>
        </w:rPr>
      </w:pPr>
      <w:r>
        <w:rPr>
          <w:rtl/>
          <w:lang w:bidi="fa-IR"/>
        </w:rPr>
        <w:t>(6).</w:t>
      </w:r>
      <w:r w:rsidR="00744A1C">
        <w:rPr>
          <w:rtl/>
          <w:lang w:bidi="fa-IR"/>
        </w:rPr>
        <w:t xml:space="preserve"> في </w:t>
      </w:r>
      <w:r w:rsidR="00744A1C" w:rsidRPr="00725ED2">
        <w:rPr>
          <w:rtl/>
        </w:rPr>
        <w:t>التهذيب والاستبصار</w:t>
      </w:r>
      <w:r w:rsidR="00744A1C">
        <w:rPr>
          <w:rtl/>
          <w:lang w:bidi="fa-IR"/>
        </w:rPr>
        <w:t xml:space="preserve"> : + « فإنّا ». وفي </w:t>
      </w:r>
      <w:r w:rsidR="00744A1C" w:rsidRPr="00C24F9C">
        <w:rPr>
          <w:rStyle w:val="libFootnoteBoldChar"/>
          <w:rtl/>
        </w:rPr>
        <w:t>المرآة</w:t>
      </w:r>
      <w:r w:rsidR="00744A1C">
        <w:rPr>
          <w:rtl/>
          <w:lang w:bidi="fa-IR"/>
        </w:rPr>
        <w:t xml:space="preserve"> : « يدلّ على جواز أخذ الربا من الحربيّ وعدم جواز إعطائه ، كما هو المشهور بين الأصحاب ، وقال في </w:t>
      </w:r>
      <w:r w:rsidR="00744A1C" w:rsidRPr="00725ED2">
        <w:rPr>
          <w:rStyle w:val="libFootnoteBoldChar"/>
          <w:rtl/>
        </w:rPr>
        <w:t>المسالك</w:t>
      </w:r>
      <w:r w:rsidR="00744A1C">
        <w:rPr>
          <w:rtl/>
          <w:lang w:bidi="fa-IR"/>
        </w:rPr>
        <w:t xml:space="preserve"> : لا فرق في الحربيّ بين المعاهد وغيره ، ولا بين كونه في دار الحرب ودار الإسلام. وأطلق جماعة نفي الربا هنا من غير فرق بين أخذ المسلم الزيادة والحربيّ ، والتفصيل أقوى. وقال في </w:t>
      </w:r>
      <w:r w:rsidR="00744A1C" w:rsidRPr="00877682">
        <w:rPr>
          <w:rStyle w:val="libFootnoteBoldChar"/>
          <w:rtl/>
        </w:rPr>
        <w:t>الدروس</w:t>
      </w:r>
      <w:r w:rsidR="00744A1C">
        <w:rPr>
          <w:rtl/>
          <w:lang w:bidi="fa-IR"/>
        </w:rPr>
        <w:t xml:space="preserve"> : في جواز أخذ الفضل من الذمّي خلاف ، أقربه المنع ، ولا يجوز إعطاؤه الفضل قطعاً ». وراجع : </w:t>
      </w:r>
      <w:r w:rsidR="00744A1C" w:rsidRPr="00877682">
        <w:rPr>
          <w:rStyle w:val="libFootnoteBoldChar"/>
          <w:rtl/>
        </w:rPr>
        <w:t>الدروس</w:t>
      </w:r>
      <w:r w:rsidR="00744A1C" w:rsidRPr="00E978C3">
        <w:rPr>
          <w:rStyle w:val="libFootnoteBoldChar"/>
          <w:rtl/>
        </w:rPr>
        <w:t xml:space="preserve"> الشرعيّة</w:t>
      </w:r>
      <w:r w:rsidR="00744A1C">
        <w:rPr>
          <w:rtl/>
          <w:lang w:bidi="fa-IR"/>
        </w:rPr>
        <w:t xml:space="preserve"> ، ج 3 ، ص 299 ، ذيل الدرس 261 ؛ </w:t>
      </w:r>
      <w:r w:rsidR="00744A1C" w:rsidRPr="00877682">
        <w:rPr>
          <w:rStyle w:val="libFootnoteBoldChar"/>
          <w:rtl/>
        </w:rPr>
        <w:t>مسالك الأفهام</w:t>
      </w:r>
      <w:r w:rsidR="00744A1C">
        <w:rPr>
          <w:rtl/>
          <w:lang w:bidi="fa-IR"/>
        </w:rPr>
        <w:t xml:space="preserve"> ، ج 3 ، ص 328.</w:t>
      </w:r>
    </w:p>
    <w:p w:rsidR="00744A1C" w:rsidRDefault="00E378DD" w:rsidP="00E378DD">
      <w:pPr>
        <w:pStyle w:val="libFootnote0"/>
        <w:rPr>
          <w:lang w:bidi="fa-IR"/>
        </w:rPr>
      </w:pPr>
      <w:r>
        <w:rPr>
          <w:rtl/>
          <w:lang w:bidi="fa-IR"/>
        </w:rPr>
        <w:t>(7).</w:t>
      </w:r>
      <w:r w:rsidR="00744A1C">
        <w:rPr>
          <w:rtl/>
          <w:lang w:bidi="fa-IR"/>
        </w:rPr>
        <w:t xml:space="preserve"> في « بخ ، بف » : « فأخذ ».</w:t>
      </w:r>
    </w:p>
    <w:p w:rsidR="00744A1C" w:rsidRDefault="00E378DD" w:rsidP="00E378DD">
      <w:pPr>
        <w:pStyle w:val="libFootnote0"/>
        <w:rPr>
          <w:lang w:bidi="fa-IR"/>
        </w:rPr>
      </w:pPr>
      <w:r>
        <w:rPr>
          <w:rtl/>
          <w:lang w:bidi="fa-IR"/>
        </w:rPr>
        <w:t>(8).</w:t>
      </w:r>
      <w:r w:rsidR="00744A1C">
        <w:rPr>
          <w:rtl/>
          <w:lang w:bidi="fa-IR"/>
        </w:rPr>
        <w:t xml:space="preserve"> في </w:t>
      </w:r>
      <w:r w:rsidR="00744A1C" w:rsidRPr="00725ED2">
        <w:rPr>
          <w:rtl/>
        </w:rPr>
        <w:t>الفقيه</w:t>
      </w:r>
      <w:r w:rsidR="00744A1C">
        <w:rPr>
          <w:rtl/>
          <w:lang w:bidi="fa-IR"/>
        </w:rPr>
        <w:t xml:space="preserve"> : - « ألف درهم بدرهم ونأخذ منهم ». وفي </w:t>
      </w:r>
      <w:r w:rsidR="00744A1C" w:rsidRPr="00725ED2">
        <w:rPr>
          <w:rtl/>
        </w:rPr>
        <w:t>الجعفريّات</w:t>
      </w:r>
      <w:r w:rsidR="00744A1C">
        <w:rPr>
          <w:rtl/>
          <w:lang w:bidi="fa-IR"/>
        </w:rPr>
        <w:t xml:space="preserve"> : - « بدرهم ونأخذ منهم ».</w:t>
      </w:r>
    </w:p>
    <w:p w:rsidR="00744A1C" w:rsidRDefault="00E378DD" w:rsidP="00E378DD">
      <w:pPr>
        <w:pStyle w:val="libFootnote0"/>
        <w:rPr>
          <w:lang w:bidi="fa-IR"/>
        </w:rPr>
      </w:pPr>
      <w:r>
        <w:rPr>
          <w:rtl/>
          <w:lang w:bidi="fa-IR"/>
        </w:rPr>
        <w:t>(9).</w:t>
      </w:r>
      <w:r w:rsidR="00744A1C">
        <w:rPr>
          <w:rtl/>
          <w:lang w:bidi="fa-IR"/>
        </w:rPr>
        <w:t xml:space="preserve"> في « بخ » : « ولا يعطيهم ».</w:t>
      </w:r>
    </w:p>
    <w:p w:rsidR="00744A1C" w:rsidRDefault="00E378DD" w:rsidP="00725ED2">
      <w:pPr>
        <w:pStyle w:val="libFootnote0"/>
        <w:rPr>
          <w:lang w:bidi="fa-IR"/>
        </w:rPr>
      </w:pPr>
      <w:r>
        <w:rPr>
          <w:rtl/>
          <w:lang w:bidi="fa-IR"/>
        </w:rPr>
        <w:t>(10).</w:t>
      </w:r>
      <w:r w:rsidR="00744A1C">
        <w:rPr>
          <w:rtl/>
          <w:lang w:bidi="fa-IR"/>
        </w:rPr>
        <w:t xml:space="preserve"> </w:t>
      </w:r>
      <w:r w:rsidR="00744A1C" w:rsidRPr="00C24F9C">
        <w:rPr>
          <w:rStyle w:val="libFootnoteBoldChar"/>
          <w:rtl/>
        </w:rPr>
        <w:t>التهذيب</w:t>
      </w:r>
      <w:r w:rsidR="00744A1C">
        <w:rPr>
          <w:rtl/>
          <w:lang w:bidi="fa-IR"/>
        </w:rPr>
        <w:t xml:space="preserve"> ، ج 7 ، ص 18 ، ح 77 ؛ </w:t>
      </w:r>
      <w:r w:rsidR="00744A1C" w:rsidRPr="00C24F9C">
        <w:rPr>
          <w:rStyle w:val="libFootnoteBoldChar"/>
          <w:rtl/>
        </w:rPr>
        <w:t>والاستبصار</w:t>
      </w:r>
      <w:r w:rsidR="00744A1C">
        <w:rPr>
          <w:rtl/>
          <w:lang w:bidi="fa-IR"/>
        </w:rPr>
        <w:t xml:space="preserve"> ، ج 3 ، ص 70 ، ح 235 ، معلّقاً عن الكليني. </w:t>
      </w:r>
      <w:r w:rsidR="00744A1C" w:rsidRPr="00877682">
        <w:rPr>
          <w:rStyle w:val="libFootnoteBoldChar"/>
          <w:rtl/>
        </w:rPr>
        <w:t>الجعفريّات</w:t>
      </w:r>
      <w:r w:rsidR="00744A1C">
        <w:rPr>
          <w:rtl/>
          <w:lang w:bidi="fa-IR"/>
        </w:rPr>
        <w:t xml:space="preserve"> ، ص 81 ، بسند آخر عن جعفر بن محمّد ، عن آبائه </w:t>
      </w:r>
      <w:r w:rsidR="00877682" w:rsidRPr="00877682">
        <w:rPr>
          <w:rStyle w:val="libFootnoteAlaemChar"/>
          <w:rtl/>
        </w:rPr>
        <w:t>عليهم‌السلام</w:t>
      </w:r>
      <w:r w:rsidR="00D10E3C">
        <w:rPr>
          <w:rtl/>
          <w:lang w:bidi="fa-IR"/>
        </w:rPr>
        <w:t xml:space="preserve"> </w:t>
      </w:r>
      <w:r w:rsidR="00744A1C">
        <w:rPr>
          <w:rtl/>
          <w:lang w:bidi="fa-IR"/>
        </w:rPr>
        <w:t xml:space="preserve">عن رسول الله </w:t>
      </w:r>
      <w:r w:rsidR="00024D6D" w:rsidRPr="00024D6D">
        <w:rPr>
          <w:rStyle w:val="libFootnoteAlaemChar"/>
          <w:rtl/>
        </w:rPr>
        <w:t>صلى‌الله‌عليه‌وآله</w:t>
      </w:r>
      <w:r w:rsidR="00744A1C">
        <w:rPr>
          <w:rtl/>
          <w:lang w:bidi="fa-IR"/>
        </w:rPr>
        <w:t xml:space="preserve"> . </w:t>
      </w:r>
      <w:r w:rsidR="00744A1C" w:rsidRPr="00C24F9C">
        <w:rPr>
          <w:rStyle w:val="libFootnoteBoldChar"/>
          <w:rtl/>
        </w:rPr>
        <w:t>الفقيه</w:t>
      </w:r>
      <w:r w:rsidR="00744A1C">
        <w:rPr>
          <w:rtl/>
          <w:lang w:bidi="fa-IR"/>
        </w:rPr>
        <w:t xml:space="preserve"> ، ج 3 ، ص 277 ، ح 4000 ، مرسلاً عن رسول الله </w:t>
      </w:r>
      <w:r w:rsidR="00725ED2" w:rsidRPr="00024D6D">
        <w:rPr>
          <w:rStyle w:val="libFootnoteAlaemChar"/>
          <w:rtl/>
        </w:rPr>
        <w:t>صلى‌الله‌عليه‌وآله</w:t>
      </w:r>
      <w:r w:rsidR="00725ED2">
        <w:rPr>
          <w:rtl/>
          <w:lang w:bidi="fa-IR"/>
        </w:rPr>
        <w:t xml:space="preserve"> </w:t>
      </w:r>
      <w:r w:rsidR="00725ED2">
        <w:rPr>
          <w:rFonts w:hint="cs"/>
          <w:rtl/>
          <w:lang w:bidi="fa-IR"/>
        </w:rPr>
        <w:t>.</w:t>
      </w:r>
      <w:r w:rsidR="00744A1C" w:rsidRPr="00C24F9C">
        <w:rPr>
          <w:rStyle w:val="libFootnoteBoldChar"/>
          <w:rtl/>
        </w:rPr>
        <w:t>الوافي</w:t>
      </w:r>
      <w:r w:rsidR="00744A1C">
        <w:rPr>
          <w:rtl/>
          <w:lang w:bidi="fa-IR"/>
        </w:rPr>
        <w:t xml:space="preserve"> ، ج 17 ، ص 385 ، ح 17484 ؛ </w:t>
      </w:r>
      <w:r w:rsidR="00744A1C" w:rsidRPr="00C24F9C">
        <w:rPr>
          <w:rStyle w:val="libFootnoteBoldChar"/>
          <w:rtl/>
        </w:rPr>
        <w:t>الوسائل</w:t>
      </w:r>
      <w:r w:rsidR="00744A1C">
        <w:rPr>
          <w:rtl/>
          <w:lang w:bidi="fa-IR"/>
        </w:rPr>
        <w:t xml:space="preserve"> ، ج 18 ، ص 135 ، ح 23320.</w:t>
      </w:r>
    </w:p>
    <w:p w:rsidR="006D42F6" w:rsidRDefault="006D42F6" w:rsidP="00D10E3C">
      <w:pPr>
        <w:pStyle w:val="libNormal"/>
        <w:rPr>
          <w:rtl/>
          <w:lang w:bidi="fa-IR"/>
        </w:rPr>
      </w:pPr>
      <w:r>
        <w:rPr>
          <w:rtl/>
          <w:lang w:bidi="fa-IR"/>
        </w:rPr>
        <w:br w:type="page"/>
      </w:r>
    </w:p>
    <w:p w:rsidR="00144FA6" w:rsidRDefault="00744A1C" w:rsidP="00744A1C">
      <w:pPr>
        <w:pStyle w:val="libNormal"/>
        <w:rPr>
          <w:rtl/>
          <w:lang w:bidi="fa-IR"/>
        </w:rPr>
      </w:pPr>
      <w:r>
        <w:rPr>
          <w:rtl/>
          <w:lang w:bidi="fa-IR"/>
        </w:rPr>
        <w:t xml:space="preserve">8676 / 3. مُحَمَّدُ بْنُ يَحْيى ، عَنْ مُحَمَّدِ بْنِ أَحْمَدَ ، عَنْ مُحَمَّدِ بْنِ عِيسى </w:t>
      </w:r>
      <w:r w:rsidRPr="00D10E3C">
        <w:rPr>
          <w:rStyle w:val="libFootnotenumChar"/>
          <w:rtl/>
        </w:rPr>
        <w:t>(1)</w:t>
      </w:r>
      <w:r>
        <w:rPr>
          <w:rtl/>
          <w:lang w:bidi="fa-IR"/>
        </w:rPr>
        <w:t xml:space="preserve"> ، عَنْ يَاسِينَ الضَّرِيرِ ، عَنْ حَرِيزٍ ، عَنْ زُرَارَةَ </w:t>
      </w:r>
      <w:r w:rsidRPr="00D10E3C">
        <w:rPr>
          <w:rStyle w:val="libFootnotenumChar"/>
          <w:rtl/>
        </w:rPr>
        <w:t>(2)</w:t>
      </w:r>
      <w:r>
        <w:rPr>
          <w:rtl/>
          <w:lang w:bidi="fa-IR"/>
        </w:rPr>
        <w:t xml:space="preserve"> :</w:t>
      </w:r>
    </w:p>
    <w:p w:rsidR="00744A1C" w:rsidRDefault="00744A1C" w:rsidP="00744A1C">
      <w:pPr>
        <w:pStyle w:val="libNormal"/>
        <w:rPr>
          <w:lang w:bidi="fa-IR"/>
        </w:rPr>
      </w:pPr>
      <w:r>
        <w:rPr>
          <w:rtl/>
          <w:lang w:bidi="fa-IR"/>
        </w:rPr>
        <w:t xml:space="preserve">عَنْ أَبِي جَعْفَرٍ </w:t>
      </w:r>
      <w:r w:rsidR="0061079A" w:rsidRPr="0061079A">
        <w:rPr>
          <w:rStyle w:val="libAlaemChar"/>
          <w:rtl/>
        </w:rPr>
        <w:t>عليه‌السلام</w:t>
      </w:r>
      <w:r w:rsidR="00D10E3C">
        <w:rPr>
          <w:rtl/>
          <w:lang w:bidi="fa-IR"/>
        </w:rPr>
        <w:t xml:space="preserve"> </w:t>
      </w:r>
      <w:r>
        <w:rPr>
          <w:rtl/>
          <w:lang w:bidi="fa-IR"/>
        </w:rPr>
        <w:t>، قَالَ : « لَيْسَ بَيْنَ الرَّجُلِ وَ</w:t>
      </w:r>
      <w:r w:rsidR="00D2713F">
        <w:rPr>
          <w:rFonts w:hint="cs"/>
          <w:rtl/>
          <w:lang w:bidi="fa-IR"/>
        </w:rPr>
        <w:t xml:space="preserve"> </w:t>
      </w:r>
      <w:r>
        <w:rPr>
          <w:rtl/>
          <w:lang w:bidi="fa-IR"/>
        </w:rPr>
        <w:t xml:space="preserve">وَلَدِهِ </w:t>
      </w:r>
      <w:r w:rsidRPr="00D10E3C">
        <w:rPr>
          <w:rStyle w:val="libFootnotenumChar"/>
          <w:rtl/>
        </w:rPr>
        <w:t>(3)</w:t>
      </w:r>
      <w:r>
        <w:rPr>
          <w:rtl/>
          <w:lang w:bidi="fa-IR"/>
        </w:rPr>
        <w:t xml:space="preserve"> ، وَبَيْنَهُ وَبَيْنَ عَبْدِهِ </w:t>
      </w:r>
      <w:r w:rsidRPr="00D10E3C">
        <w:rPr>
          <w:rStyle w:val="libFootnotenumChar"/>
          <w:rtl/>
        </w:rPr>
        <w:t>(4)</w:t>
      </w:r>
      <w:r>
        <w:rPr>
          <w:rtl/>
          <w:lang w:bidi="fa-IR"/>
        </w:rPr>
        <w:t xml:space="preserve"> ، وَلَا بَيْنَهُ </w:t>
      </w:r>
      <w:r w:rsidRPr="00D10E3C">
        <w:rPr>
          <w:rStyle w:val="libFootnotenumChar"/>
          <w:rtl/>
        </w:rPr>
        <w:t>(5)</w:t>
      </w:r>
      <w:r>
        <w:rPr>
          <w:rtl/>
          <w:lang w:bidi="fa-IR"/>
        </w:rPr>
        <w:t xml:space="preserve"> وَبَيْنَ أَهْلِهِ رِبًا </w:t>
      </w:r>
      <w:r w:rsidRPr="00D10E3C">
        <w:rPr>
          <w:rStyle w:val="libFootnotenumChar"/>
          <w:rtl/>
        </w:rPr>
        <w:t>(6)</w:t>
      </w:r>
      <w:r>
        <w:rPr>
          <w:rtl/>
          <w:lang w:bidi="fa-IR"/>
        </w:rPr>
        <w:t xml:space="preserve"> ؛ إِنَّمَا الرِّبَا فِيمَا بَيْنَكَ وَبَيْنَ مَا لَاتَمْلِكُ </w:t>
      </w:r>
      <w:r w:rsidRPr="00D10E3C">
        <w:rPr>
          <w:rStyle w:val="libFootnotenumChar"/>
          <w:rtl/>
        </w:rPr>
        <w:t>(7)</w:t>
      </w:r>
      <w:r>
        <w:rPr>
          <w:rtl/>
          <w:lang w:bidi="fa-IR"/>
        </w:rPr>
        <w:t xml:space="preserve"> ».</w:t>
      </w:r>
    </w:p>
    <w:p w:rsidR="00744A1C" w:rsidRDefault="00744A1C" w:rsidP="00744A1C">
      <w:pPr>
        <w:pStyle w:val="libNormal"/>
        <w:rPr>
          <w:lang w:bidi="fa-IR"/>
        </w:rPr>
      </w:pPr>
      <w:r>
        <w:rPr>
          <w:rtl/>
          <w:lang w:bidi="fa-IR"/>
        </w:rPr>
        <w:t xml:space="preserve">قُلْتُ : فَالْمُشْرِكُونَ </w:t>
      </w:r>
      <w:r w:rsidRPr="00D10E3C">
        <w:rPr>
          <w:rStyle w:val="libFootnotenumChar"/>
          <w:rtl/>
        </w:rPr>
        <w:t>(8)</w:t>
      </w:r>
      <w:r>
        <w:rPr>
          <w:rtl/>
          <w:lang w:bidi="fa-IR"/>
        </w:rPr>
        <w:t xml:space="preserve"> بَيْنِي وَبَيْنَهُمْ رِبًا؟</w:t>
      </w:r>
    </w:p>
    <w:p w:rsidR="00744A1C" w:rsidRDefault="00744A1C" w:rsidP="00744A1C">
      <w:pPr>
        <w:pStyle w:val="libNormal"/>
        <w:rPr>
          <w:lang w:bidi="fa-IR"/>
        </w:rPr>
      </w:pPr>
      <w:r>
        <w:rPr>
          <w:rtl/>
          <w:lang w:bidi="fa-IR"/>
        </w:rPr>
        <w:t xml:space="preserve">قَالَ : « نَعَمْ » </w:t>
      </w:r>
      <w:r w:rsidRPr="00D10E3C">
        <w:rPr>
          <w:rStyle w:val="libFootnotenumChar"/>
          <w:rtl/>
        </w:rPr>
        <w:t>(9)</w:t>
      </w:r>
    </w:p>
    <w:p w:rsidR="00744A1C" w:rsidRDefault="00744A1C" w:rsidP="00744A1C">
      <w:pPr>
        <w:pStyle w:val="libNormal"/>
        <w:rPr>
          <w:lang w:bidi="fa-IR"/>
        </w:rPr>
      </w:pPr>
      <w:r>
        <w:rPr>
          <w:rtl/>
          <w:lang w:bidi="fa-IR"/>
        </w:rPr>
        <w:t xml:space="preserve">قُلْتُ </w:t>
      </w:r>
      <w:r w:rsidRPr="00D10E3C">
        <w:rPr>
          <w:rStyle w:val="libFootnotenumChar"/>
          <w:rtl/>
        </w:rPr>
        <w:t>(10)</w:t>
      </w:r>
      <w:r>
        <w:rPr>
          <w:rtl/>
          <w:lang w:bidi="fa-IR"/>
        </w:rPr>
        <w:t xml:space="preserve"> : فَإِنَّهُمْ مَمَالِيكُ.</w:t>
      </w:r>
    </w:p>
    <w:p w:rsidR="00744A1C" w:rsidRDefault="00744A1C" w:rsidP="00744A1C">
      <w:pPr>
        <w:pStyle w:val="libNormal"/>
        <w:rPr>
          <w:lang w:bidi="fa-IR"/>
        </w:rPr>
      </w:pPr>
      <w:r>
        <w:rPr>
          <w:rtl/>
          <w:lang w:bidi="fa-IR"/>
        </w:rPr>
        <w:t xml:space="preserve">فَقَالَ : « إِنَّكَ لَسْتَ تَمْلِكُهُمْ ، إِنَّمَا تَمْلِكُهُمْ مَعَ غَيْرِكَ </w:t>
      </w:r>
      <w:r w:rsidRPr="00D10E3C">
        <w:rPr>
          <w:rStyle w:val="libFootnotenumChar"/>
          <w:rtl/>
        </w:rPr>
        <w:t>(11)</w:t>
      </w:r>
      <w:r>
        <w:rPr>
          <w:rtl/>
          <w:lang w:bidi="fa-IR"/>
        </w:rPr>
        <w:t xml:space="preserve"> ، أَنْتَ </w:t>
      </w:r>
      <w:r w:rsidRPr="00D10E3C">
        <w:rPr>
          <w:rStyle w:val="libFootnotenumChar"/>
          <w:rtl/>
        </w:rPr>
        <w:t>(12)</w:t>
      </w:r>
      <w:r>
        <w:rPr>
          <w:rtl/>
          <w:lang w:bidi="fa-IR"/>
        </w:rPr>
        <w:t xml:space="preserve"> وَغَيْرُكَ فِيهِمْ‌</w:t>
      </w:r>
    </w:p>
    <w:p w:rsidR="00744A1C" w:rsidRDefault="00744A1C" w:rsidP="00D10E3C">
      <w:pPr>
        <w:pStyle w:val="libLine"/>
        <w:rPr>
          <w:lang w:bidi="fa-IR"/>
        </w:rPr>
      </w:pPr>
      <w:r>
        <w:rPr>
          <w:rtl/>
          <w:lang w:bidi="fa-IR"/>
        </w:rPr>
        <w:t>____________________</w:t>
      </w:r>
    </w:p>
    <w:p w:rsidR="00744A1C" w:rsidRDefault="00D10E3C" w:rsidP="00D10E3C">
      <w:pPr>
        <w:pStyle w:val="libFootnote0"/>
        <w:rPr>
          <w:lang w:bidi="fa-IR"/>
        </w:rPr>
      </w:pPr>
      <w:r>
        <w:rPr>
          <w:rtl/>
          <w:lang w:bidi="fa-IR"/>
        </w:rPr>
        <w:t>(1).</w:t>
      </w:r>
      <w:r w:rsidR="00744A1C">
        <w:rPr>
          <w:rtl/>
          <w:lang w:bidi="fa-IR"/>
        </w:rPr>
        <w:t xml:space="preserve"> ورد الخبر في </w:t>
      </w:r>
      <w:r w:rsidR="00744A1C" w:rsidRPr="00C24F9C">
        <w:rPr>
          <w:rStyle w:val="libFootnoteBoldChar"/>
          <w:rtl/>
        </w:rPr>
        <w:t>التهذيب</w:t>
      </w:r>
      <w:r w:rsidR="00744A1C">
        <w:rPr>
          <w:rtl/>
          <w:lang w:bidi="fa-IR"/>
        </w:rPr>
        <w:t xml:space="preserve"> ، ج 7 ، ص 17 ، ح 75 ؛ </w:t>
      </w:r>
      <w:r w:rsidR="00744A1C" w:rsidRPr="00C24F9C">
        <w:rPr>
          <w:rStyle w:val="libFootnoteBoldChar"/>
          <w:rtl/>
        </w:rPr>
        <w:t>والاستبصار</w:t>
      </w:r>
      <w:r w:rsidR="00744A1C">
        <w:rPr>
          <w:rtl/>
          <w:lang w:bidi="fa-IR"/>
        </w:rPr>
        <w:t xml:space="preserve"> ، ج 3 ، ص 71 ، ح 236 ، عن أحمد بن محمّد بن‌عيسى ، عن ياسين الضرير. لكن تقدّم ذيل ح 7436 ، عدم ثبوت رواية أحمد بن محمّد بن عيسى عن ياسين الضرير. فعليه الظاهر وقوع التحريف في عنوان</w:t>
      </w:r>
      <w:r w:rsidR="00744A1C" w:rsidRPr="00D2713F">
        <w:rPr>
          <w:rtl/>
        </w:rPr>
        <w:t xml:space="preserve"> التهذيبين</w:t>
      </w:r>
      <w:r w:rsidR="00744A1C">
        <w:rPr>
          <w:rtl/>
          <w:lang w:bidi="fa-IR"/>
        </w:rPr>
        <w:t>.</w:t>
      </w:r>
    </w:p>
    <w:p w:rsidR="00744A1C" w:rsidRDefault="00E378DD" w:rsidP="00E378DD">
      <w:pPr>
        <w:pStyle w:val="libFootnote0"/>
        <w:rPr>
          <w:lang w:bidi="fa-IR"/>
        </w:rPr>
      </w:pPr>
      <w:r>
        <w:rPr>
          <w:rtl/>
          <w:lang w:bidi="fa-IR"/>
        </w:rPr>
        <w:t>(2).</w:t>
      </w:r>
      <w:r w:rsidR="00744A1C">
        <w:rPr>
          <w:rtl/>
          <w:lang w:bidi="fa-IR"/>
        </w:rPr>
        <w:t xml:space="preserve"> في « بخ ، بف » وحاشية « جت » : + « عن محمّد بن مسلم ». لكن في </w:t>
      </w:r>
      <w:r w:rsidR="00744A1C" w:rsidRPr="00C24F9C">
        <w:rPr>
          <w:rStyle w:val="libFootnoteBoldChar"/>
          <w:rtl/>
        </w:rPr>
        <w:t>التهذيب</w:t>
      </w:r>
      <w:r w:rsidR="00744A1C">
        <w:rPr>
          <w:rtl/>
          <w:lang w:bidi="fa-IR"/>
        </w:rPr>
        <w:t xml:space="preserve"> : + « ومحمّد بن مسلم ». وفي</w:t>
      </w:r>
      <w:r w:rsidR="00744A1C" w:rsidRPr="00D2713F">
        <w:rPr>
          <w:rtl/>
        </w:rPr>
        <w:t xml:space="preserve"> الوافي</w:t>
      </w:r>
      <w:r w:rsidR="00744A1C">
        <w:rPr>
          <w:rtl/>
          <w:lang w:bidi="fa-IR"/>
        </w:rPr>
        <w:t xml:space="preserve"> : + « عن محمّد ». وأمّا الاستبصار وإن ورد في مطبوعه « عن محمّد بن مسلم » بعد « زرارة » ، لكنّ المذكور في بعض نسخه « ومحمّد بن مسلم ».</w:t>
      </w:r>
    </w:p>
    <w:p w:rsidR="00744A1C" w:rsidRDefault="00E378DD" w:rsidP="00E378DD">
      <w:pPr>
        <w:pStyle w:val="libFootnote0"/>
        <w:rPr>
          <w:lang w:bidi="fa-IR"/>
        </w:rPr>
      </w:pPr>
      <w:r>
        <w:rPr>
          <w:rtl/>
          <w:lang w:bidi="fa-IR"/>
        </w:rPr>
        <w:t>(3).</w:t>
      </w:r>
      <w:r w:rsidR="00744A1C">
        <w:rPr>
          <w:rtl/>
          <w:lang w:bidi="fa-IR"/>
        </w:rPr>
        <w:t xml:space="preserve"> في « بخ ، بف ، جت » : « وبين ولده ».</w:t>
      </w:r>
    </w:p>
    <w:p w:rsidR="00744A1C" w:rsidRDefault="00E378DD" w:rsidP="00E378DD">
      <w:pPr>
        <w:pStyle w:val="libFootnote0"/>
        <w:rPr>
          <w:lang w:bidi="fa-IR"/>
        </w:rPr>
      </w:pPr>
      <w:r>
        <w:rPr>
          <w:rtl/>
          <w:lang w:bidi="fa-IR"/>
        </w:rPr>
        <w:t>(4).</w:t>
      </w:r>
      <w:r w:rsidR="00744A1C">
        <w:rPr>
          <w:rtl/>
          <w:lang w:bidi="fa-IR"/>
        </w:rPr>
        <w:t xml:space="preserve"> في « بخ ، بف » </w:t>
      </w:r>
      <w:r w:rsidR="00744A1C" w:rsidRPr="00D2713F">
        <w:rPr>
          <w:rtl/>
        </w:rPr>
        <w:t>والوافي</w:t>
      </w:r>
      <w:r w:rsidR="00744A1C">
        <w:rPr>
          <w:rtl/>
          <w:lang w:bidi="fa-IR"/>
        </w:rPr>
        <w:t xml:space="preserve"> : « مملوكه ».</w:t>
      </w:r>
    </w:p>
    <w:p w:rsidR="00744A1C" w:rsidRDefault="00E378DD" w:rsidP="00E378DD">
      <w:pPr>
        <w:pStyle w:val="libFootnote0"/>
        <w:rPr>
          <w:lang w:bidi="fa-IR"/>
        </w:rPr>
      </w:pPr>
      <w:r>
        <w:rPr>
          <w:rtl/>
          <w:lang w:bidi="fa-IR"/>
        </w:rPr>
        <w:t>(5).</w:t>
      </w:r>
      <w:r w:rsidR="00744A1C">
        <w:rPr>
          <w:rtl/>
          <w:lang w:bidi="fa-IR"/>
        </w:rPr>
        <w:t xml:space="preserve"> في « ط ، بس ، جد » </w:t>
      </w:r>
      <w:r w:rsidR="00744A1C" w:rsidRPr="00D2713F">
        <w:rPr>
          <w:rtl/>
        </w:rPr>
        <w:t>والوسائل والتهذيب والاستبصار</w:t>
      </w:r>
      <w:r w:rsidR="00744A1C">
        <w:rPr>
          <w:rtl/>
          <w:lang w:bidi="fa-IR"/>
        </w:rPr>
        <w:t xml:space="preserve"> : - « وبينه ».</w:t>
      </w:r>
    </w:p>
    <w:p w:rsidR="00744A1C" w:rsidRDefault="00E378DD" w:rsidP="00E378DD">
      <w:pPr>
        <w:pStyle w:val="libFootnote0"/>
        <w:rPr>
          <w:lang w:bidi="fa-IR"/>
        </w:rPr>
      </w:pPr>
      <w:r>
        <w:rPr>
          <w:rtl/>
          <w:lang w:bidi="fa-IR"/>
        </w:rPr>
        <w:t>(6).</w:t>
      </w:r>
      <w:r w:rsidR="00744A1C">
        <w:rPr>
          <w:rtl/>
          <w:lang w:bidi="fa-IR"/>
        </w:rPr>
        <w:t xml:space="preserve"> في </w:t>
      </w:r>
      <w:r w:rsidR="00744A1C" w:rsidRPr="00C24F9C">
        <w:rPr>
          <w:rStyle w:val="libFootnoteBoldChar"/>
          <w:rtl/>
        </w:rPr>
        <w:t>المرآة</w:t>
      </w:r>
      <w:r w:rsidR="00744A1C">
        <w:rPr>
          <w:rtl/>
          <w:lang w:bidi="fa-IR"/>
        </w:rPr>
        <w:t xml:space="preserve"> : « يدلّ على عدم ثبوت الربا بين الزوجين ، كما هو المشهور ، وفي </w:t>
      </w:r>
      <w:r w:rsidR="00744A1C" w:rsidRPr="00D2713F">
        <w:rPr>
          <w:rStyle w:val="libFootnoteBoldChar"/>
          <w:rtl/>
        </w:rPr>
        <w:t>التذكرة</w:t>
      </w:r>
      <w:r w:rsidR="00744A1C">
        <w:rPr>
          <w:rtl/>
          <w:lang w:bidi="fa-IR"/>
        </w:rPr>
        <w:t xml:space="preserve"> خصّ الزوجة بالدائم ، والأشهر عدم الفرق بينها وبين المتعة ». وراجع : </w:t>
      </w:r>
      <w:r w:rsidR="00744A1C" w:rsidRPr="00D2713F">
        <w:rPr>
          <w:rStyle w:val="libFootnoteBoldChar"/>
          <w:rtl/>
        </w:rPr>
        <w:t>تذكرة الفقهاء</w:t>
      </w:r>
      <w:r w:rsidR="00744A1C">
        <w:rPr>
          <w:rtl/>
          <w:lang w:bidi="fa-IR"/>
        </w:rPr>
        <w:t xml:space="preserve"> ، ج 10 ، ص 209 ، ذيل المسألة 105.</w:t>
      </w:r>
    </w:p>
    <w:p w:rsidR="00744A1C" w:rsidRDefault="00E378DD" w:rsidP="00E378DD">
      <w:pPr>
        <w:pStyle w:val="libFootnote0"/>
        <w:rPr>
          <w:lang w:bidi="fa-IR"/>
        </w:rPr>
      </w:pPr>
      <w:r>
        <w:rPr>
          <w:rtl/>
          <w:lang w:bidi="fa-IR"/>
        </w:rPr>
        <w:t>(7).</w:t>
      </w:r>
      <w:r w:rsidR="00744A1C">
        <w:rPr>
          <w:rtl/>
          <w:lang w:bidi="fa-IR"/>
        </w:rPr>
        <w:t xml:space="preserve"> في </w:t>
      </w:r>
      <w:r w:rsidR="00744A1C" w:rsidRPr="00C24F9C">
        <w:rPr>
          <w:rStyle w:val="libFootnoteBoldChar"/>
          <w:rtl/>
        </w:rPr>
        <w:t>المرآة</w:t>
      </w:r>
      <w:r w:rsidR="00744A1C">
        <w:rPr>
          <w:rtl/>
          <w:lang w:bidi="fa-IR"/>
        </w:rPr>
        <w:t xml:space="preserve"> : « قوله </w:t>
      </w:r>
      <w:r w:rsidR="0061079A" w:rsidRPr="0061079A">
        <w:rPr>
          <w:rStyle w:val="libFootnoteAlaemChar"/>
          <w:rtl/>
        </w:rPr>
        <w:t>عليه‌السلام</w:t>
      </w:r>
      <w:r w:rsidR="00D10E3C">
        <w:rPr>
          <w:rtl/>
          <w:lang w:bidi="fa-IR"/>
        </w:rPr>
        <w:t xml:space="preserve"> </w:t>
      </w:r>
      <w:r w:rsidR="00744A1C">
        <w:rPr>
          <w:rtl/>
          <w:lang w:bidi="fa-IR"/>
        </w:rPr>
        <w:t>: وبين ما لا تملك ، أي أمره واختياره ومن لا حكم لك عليه. ولعلّ فيه إشعاراً بعدم جواز أخذ الولد الفضل من الوالد ».</w:t>
      </w:r>
    </w:p>
    <w:p w:rsidR="00744A1C" w:rsidRDefault="00E378DD" w:rsidP="00E378DD">
      <w:pPr>
        <w:pStyle w:val="libFootnote0"/>
        <w:rPr>
          <w:lang w:bidi="fa-IR"/>
        </w:rPr>
      </w:pPr>
      <w:r>
        <w:rPr>
          <w:rtl/>
          <w:lang w:bidi="fa-IR"/>
        </w:rPr>
        <w:t>(8).</w:t>
      </w:r>
      <w:r w:rsidR="00744A1C">
        <w:rPr>
          <w:rtl/>
          <w:lang w:bidi="fa-IR"/>
        </w:rPr>
        <w:t xml:space="preserve"> في « جن » : « فالمشركين ».</w:t>
      </w:r>
    </w:p>
    <w:p w:rsidR="00744A1C" w:rsidRDefault="00E378DD" w:rsidP="00E378DD">
      <w:pPr>
        <w:pStyle w:val="libFootnote0"/>
        <w:rPr>
          <w:lang w:bidi="fa-IR"/>
        </w:rPr>
      </w:pPr>
      <w:r>
        <w:rPr>
          <w:rtl/>
          <w:lang w:bidi="fa-IR"/>
        </w:rPr>
        <w:t>(9).</w:t>
      </w:r>
      <w:r w:rsidR="00744A1C">
        <w:rPr>
          <w:rtl/>
          <w:lang w:bidi="fa-IR"/>
        </w:rPr>
        <w:t xml:space="preserve"> في « ط ، بح ، بخ ، بس ، جت ، جد ، جن » </w:t>
      </w:r>
      <w:r w:rsidR="00744A1C" w:rsidRPr="00D2713F">
        <w:rPr>
          <w:rtl/>
        </w:rPr>
        <w:t>والوسائل والاستبصار : +</w:t>
      </w:r>
      <w:r w:rsidR="00744A1C">
        <w:rPr>
          <w:rtl/>
          <w:lang w:bidi="fa-IR"/>
        </w:rPr>
        <w:t xml:space="preserve"> « قال ».</w:t>
      </w:r>
    </w:p>
    <w:p w:rsidR="00744A1C" w:rsidRDefault="00E378DD" w:rsidP="00E378DD">
      <w:pPr>
        <w:pStyle w:val="libFootnote0"/>
        <w:rPr>
          <w:lang w:bidi="fa-IR"/>
        </w:rPr>
      </w:pPr>
      <w:r>
        <w:rPr>
          <w:rtl/>
          <w:lang w:bidi="fa-IR"/>
        </w:rPr>
        <w:t>(10).</w:t>
      </w:r>
      <w:r w:rsidR="00744A1C">
        <w:rPr>
          <w:rtl/>
          <w:lang w:bidi="fa-IR"/>
        </w:rPr>
        <w:t xml:space="preserve"> في « جت » : « فقلت ».</w:t>
      </w:r>
    </w:p>
    <w:p w:rsidR="00744A1C" w:rsidRDefault="00E378DD" w:rsidP="00D2713F">
      <w:pPr>
        <w:pStyle w:val="libFootnote0"/>
        <w:rPr>
          <w:lang w:bidi="fa-IR"/>
        </w:rPr>
      </w:pPr>
      <w:r>
        <w:rPr>
          <w:rtl/>
          <w:lang w:bidi="fa-IR"/>
        </w:rPr>
        <w:t>(11).</w:t>
      </w:r>
      <w:r w:rsidR="00744A1C">
        <w:rPr>
          <w:rtl/>
          <w:lang w:bidi="fa-IR"/>
        </w:rPr>
        <w:t xml:space="preserve"> في </w:t>
      </w:r>
      <w:r w:rsidR="00744A1C" w:rsidRPr="00C24F9C">
        <w:rPr>
          <w:rStyle w:val="libFootnoteBoldChar"/>
          <w:rtl/>
        </w:rPr>
        <w:t>الوافي</w:t>
      </w:r>
      <w:r w:rsidR="00744A1C">
        <w:rPr>
          <w:rtl/>
          <w:lang w:bidi="fa-IR"/>
        </w:rPr>
        <w:t xml:space="preserve"> : « إنّما يملكهم مع غيره ؛ لأنّه ما لم يسترقّهم شاركه فيهم سائر المسلمين. وهذا الحديث غيرمعمول به. وفي </w:t>
      </w:r>
      <w:r w:rsidR="00744A1C" w:rsidRPr="00D2713F">
        <w:rPr>
          <w:rStyle w:val="libFootnoteBoldChar"/>
          <w:rtl/>
        </w:rPr>
        <w:t>الاستبصار</w:t>
      </w:r>
      <w:r w:rsidR="00744A1C">
        <w:rPr>
          <w:rtl/>
          <w:lang w:bidi="fa-IR"/>
        </w:rPr>
        <w:t xml:space="preserve"> حمل المشركين فيه على أهل الذمّة تارة ، وا</w:t>
      </w:r>
      <w:r w:rsidR="00D2713F">
        <w:rPr>
          <w:rFonts w:hint="cs"/>
          <w:rtl/>
          <w:lang w:bidi="fa-IR"/>
        </w:rPr>
        <w:t>ُ</w:t>
      </w:r>
      <w:r w:rsidR="00744A1C">
        <w:rPr>
          <w:rtl/>
          <w:lang w:bidi="fa-IR"/>
        </w:rPr>
        <w:t>خرى خصّ المنع بالإعطاء دون الأخذ ، ولا يخفى ما فيه ».</w:t>
      </w:r>
      <w:r w:rsidR="00D2713F">
        <w:rPr>
          <w:rFonts w:hint="cs"/>
          <w:rtl/>
          <w:lang w:bidi="fa-IR"/>
        </w:rPr>
        <w:t xml:space="preserve">                                                                  </w:t>
      </w:r>
      <w:r>
        <w:rPr>
          <w:rtl/>
          <w:lang w:bidi="fa-IR"/>
        </w:rPr>
        <w:t>(12).</w:t>
      </w:r>
      <w:r w:rsidR="00744A1C">
        <w:rPr>
          <w:rtl/>
          <w:lang w:bidi="fa-IR"/>
        </w:rPr>
        <w:t xml:space="preserve"> في « ى » : « وأنت ».</w:t>
      </w:r>
    </w:p>
    <w:p w:rsidR="006D42F6" w:rsidRDefault="006D42F6" w:rsidP="00D10E3C">
      <w:pPr>
        <w:pStyle w:val="libNormal"/>
        <w:rPr>
          <w:rtl/>
          <w:lang w:bidi="fa-IR"/>
        </w:rPr>
      </w:pPr>
      <w:r>
        <w:rPr>
          <w:rtl/>
          <w:lang w:bidi="fa-IR"/>
        </w:rPr>
        <w:br w:type="page"/>
      </w:r>
    </w:p>
    <w:p w:rsidR="00144FA6" w:rsidRDefault="00744A1C" w:rsidP="00794BCA">
      <w:pPr>
        <w:pStyle w:val="libNormal0"/>
        <w:rPr>
          <w:rtl/>
          <w:lang w:bidi="fa-IR"/>
        </w:rPr>
      </w:pPr>
      <w:r>
        <w:rPr>
          <w:rtl/>
          <w:lang w:bidi="fa-IR"/>
        </w:rPr>
        <w:t xml:space="preserve">سَوَاءٌ ، فَالَّذِي </w:t>
      </w:r>
      <w:r w:rsidRPr="00D10E3C">
        <w:rPr>
          <w:rStyle w:val="libFootnotenumChar"/>
          <w:rtl/>
        </w:rPr>
        <w:t>(1)</w:t>
      </w:r>
      <w:r>
        <w:rPr>
          <w:rtl/>
          <w:lang w:bidi="fa-IR"/>
        </w:rPr>
        <w:t xml:space="preserve"> بَيْنَكَ وَبَيْنَهُمْ لَيْسَ مِنْ ذلِكَ </w:t>
      </w:r>
      <w:r w:rsidRPr="00D10E3C">
        <w:rPr>
          <w:rStyle w:val="libFootnotenumChar"/>
          <w:rtl/>
        </w:rPr>
        <w:t>(2)</w:t>
      </w:r>
      <w:r>
        <w:rPr>
          <w:rtl/>
          <w:lang w:bidi="fa-IR"/>
        </w:rPr>
        <w:t xml:space="preserve"> ؛ لِأَنَّ عَبْدَكَ </w:t>
      </w:r>
      <w:r w:rsidRPr="00D10E3C">
        <w:rPr>
          <w:rStyle w:val="libFootnotenumChar"/>
          <w:rtl/>
        </w:rPr>
        <w:t>(3)</w:t>
      </w:r>
      <w:r>
        <w:rPr>
          <w:rtl/>
          <w:lang w:bidi="fa-IR"/>
        </w:rPr>
        <w:t xml:space="preserve"> لَيْسَ مِثْلَ عَبْدِكَ وَ </w:t>
      </w:r>
      <w:r w:rsidRPr="00D10E3C">
        <w:rPr>
          <w:rStyle w:val="libFootnotenumChar"/>
          <w:rtl/>
        </w:rPr>
        <w:t>(4)</w:t>
      </w:r>
      <w:r>
        <w:rPr>
          <w:rtl/>
          <w:lang w:bidi="fa-IR"/>
        </w:rPr>
        <w:t xml:space="preserve"> عَبْدِ غَيْرِكَ ». </w:t>
      </w:r>
      <w:r w:rsidRPr="00D10E3C">
        <w:rPr>
          <w:rStyle w:val="libFootnotenumChar"/>
          <w:rtl/>
        </w:rPr>
        <w:t>(5)</w:t>
      </w:r>
    </w:p>
    <w:p w:rsidR="00744A1C" w:rsidRDefault="00744A1C" w:rsidP="00BD6FFA">
      <w:pPr>
        <w:pStyle w:val="libCenter"/>
        <w:rPr>
          <w:lang w:bidi="fa-IR"/>
        </w:rPr>
      </w:pPr>
      <w:r>
        <w:rPr>
          <w:rtl/>
          <w:lang w:bidi="fa-IR"/>
        </w:rPr>
        <w:t>[ تَمَّ الْمُجَلَّدُ التَّاسِعُ مِنْ هذِهِ الطَّبْعَةِ ، وَيَلِيهِ الْمُجَلَّدُ الْعَاشِر ]</w:t>
      </w:r>
    </w:p>
    <w:p w:rsidR="00744A1C" w:rsidRDefault="00744A1C" w:rsidP="00BD6FFA">
      <w:pPr>
        <w:pStyle w:val="libCenter"/>
        <w:rPr>
          <w:lang w:bidi="fa-IR"/>
        </w:rPr>
      </w:pPr>
      <w:r>
        <w:rPr>
          <w:rtl/>
          <w:lang w:bidi="fa-IR"/>
        </w:rPr>
        <w:t>[ وَفِيهِ تَتِمَّةُ كِتَابِ الْمَعِيشَةِ وَكِتَابُ النِّكَاحِ ]</w:t>
      </w:r>
    </w:p>
    <w:p w:rsidR="00744A1C" w:rsidRDefault="00744A1C" w:rsidP="00D10E3C">
      <w:pPr>
        <w:pStyle w:val="libLine"/>
        <w:rPr>
          <w:lang w:bidi="fa-IR"/>
        </w:rPr>
      </w:pPr>
      <w:r>
        <w:rPr>
          <w:rtl/>
          <w:lang w:bidi="fa-IR"/>
        </w:rPr>
        <w:t>____________________</w:t>
      </w:r>
    </w:p>
    <w:p w:rsidR="00744A1C" w:rsidRDefault="00744A1C" w:rsidP="00BD6FFA">
      <w:pPr>
        <w:pStyle w:val="libFootnote0"/>
        <w:rPr>
          <w:lang w:bidi="fa-IR"/>
        </w:rPr>
      </w:pPr>
      <w:r w:rsidRPr="00BD6FFA">
        <w:rPr>
          <w:rtl/>
        </w:rPr>
        <w:t>(1)</w:t>
      </w:r>
      <w:r>
        <w:rPr>
          <w:rtl/>
          <w:lang w:bidi="fa-IR"/>
        </w:rPr>
        <w:t xml:space="preserve"> في « بخ ، بف ، جت » والوافي والتهذيب والاستبصار : « والذي ».</w:t>
      </w:r>
    </w:p>
    <w:p w:rsidR="00744A1C" w:rsidRDefault="00744A1C" w:rsidP="00BD6FFA">
      <w:pPr>
        <w:pStyle w:val="libFootnote0"/>
        <w:rPr>
          <w:lang w:bidi="fa-IR"/>
        </w:rPr>
      </w:pPr>
      <w:r w:rsidRPr="00BD6FFA">
        <w:rPr>
          <w:rtl/>
        </w:rPr>
        <w:t>(2)</w:t>
      </w:r>
      <w:r>
        <w:rPr>
          <w:rtl/>
          <w:lang w:bidi="fa-IR"/>
        </w:rPr>
        <w:t xml:space="preserve"> في « بح ، بس ، جت ، جن » : « ذاك ».</w:t>
      </w:r>
    </w:p>
    <w:p w:rsidR="00744A1C" w:rsidRDefault="00744A1C" w:rsidP="00BD6FFA">
      <w:pPr>
        <w:pStyle w:val="libFootnote0"/>
        <w:rPr>
          <w:lang w:bidi="fa-IR"/>
        </w:rPr>
      </w:pPr>
      <w:r w:rsidRPr="00BD6FFA">
        <w:rPr>
          <w:rtl/>
        </w:rPr>
        <w:t>(3)</w:t>
      </w:r>
      <w:r>
        <w:rPr>
          <w:rtl/>
          <w:lang w:bidi="fa-IR"/>
        </w:rPr>
        <w:t xml:space="preserve"> في المرآة : « قوله </w:t>
      </w:r>
      <w:r w:rsidR="0061079A" w:rsidRPr="00BD6FFA">
        <w:rPr>
          <w:rStyle w:val="libFootnoteAlaemChar"/>
          <w:rtl/>
        </w:rPr>
        <w:t>عليه‌السلام</w:t>
      </w:r>
      <w:r w:rsidR="00D10E3C">
        <w:rPr>
          <w:rtl/>
          <w:lang w:bidi="fa-IR"/>
        </w:rPr>
        <w:t xml:space="preserve"> </w:t>
      </w:r>
      <w:r>
        <w:rPr>
          <w:rtl/>
          <w:lang w:bidi="fa-IR"/>
        </w:rPr>
        <w:t>: لأنّ عبدك ، يدلّ على ثبوت الربا بين المولى والعبد المشترك ، وعلى ثبوته بين المسلم والمشرك ، وحمل على الذمّي ، أو على ما إذا كان الآخذ مشركاً ».</w:t>
      </w:r>
    </w:p>
    <w:p w:rsidR="00744A1C" w:rsidRDefault="00744A1C" w:rsidP="00BD6FFA">
      <w:pPr>
        <w:pStyle w:val="libFootnote0"/>
        <w:rPr>
          <w:lang w:bidi="fa-IR"/>
        </w:rPr>
      </w:pPr>
      <w:r w:rsidRPr="00BD6FFA">
        <w:rPr>
          <w:rtl/>
        </w:rPr>
        <w:t>(4)</w:t>
      </w:r>
      <w:r>
        <w:rPr>
          <w:rtl/>
          <w:lang w:bidi="fa-IR"/>
        </w:rPr>
        <w:t xml:space="preserve"> في « بخ ، بف » والاستبصار : - « عبدك و».</w:t>
      </w:r>
    </w:p>
    <w:p w:rsidR="00744A1C" w:rsidRDefault="00744A1C" w:rsidP="00BD6FFA">
      <w:pPr>
        <w:pStyle w:val="libFootnote0"/>
        <w:rPr>
          <w:rtl/>
          <w:lang w:bidi="fa-IR"/>
        </w:rPr>
      </w:pPr>
      <w:r w:rsidRPr="00BD6FFA">
        <w:rPr>
          <w:rtl/>
        </w:rPr>
        <w:t>(5)</w:t>
      </w:r>
      <w:r>
        <w:rPr>
          <w:rtl/>
          <w:lang w:bidi="fa-IR"/>
        </w:rPr>
        <w:t xml:space="preserve"> </w:t>
      </w:r>
      <w:r w:rsidRPr="00BD6FFA">
        <w:rPr>
          <w:rStyle w:val="libFootnoteBoldChar"/>
          <w:rtl/>
        </w:rPr>
        <w:t>التهذيب</w:t>
      </w:r>
      <w:r>
        <w:rPr>
          <w:rtl/>
          <w:lang w:bidi="fa-IR"/>
        </w:rPr>
        <w:t xml:space="preserve"> ، ج 7 ، ص 17 ، ح 75 ؛ و</w:t>
      </w:r>
      <w:r w:rsidR="00BD6FFA">
        <w:rPr>
          <w:rFonts w:hint="cs"/>
          <w:rtl/>
          <w:lang w:bidi="fa-IR"/>
        </w:rPr>
        <w:t xml:space="preserve"> </w:t>
      </w:r>
      <w:r w:rsidRPr="00BD6FFA">
        <w:rPr>
          <w:rStyle w:val="libFootnoteBoldChar"/>
          <w:rtl/>
        </w:rPr>
        <w:t>الاستبصار</w:t>
      </w:r>
      <w:r>
        <w:rPr>
          <w:rtl/>
          <w:lang w:bidi="fa-IR"/>
        </w:rPr>
        <w:t xml:space="preserve"> ، ج 3 ، ص 71 ، ح 136 ، معلّقاً عن أحمد بن محمّد بن عيسى ، عن ياسين الضرير ، عن حريز ، عن زرارة ومحمّد بن مسلم ، عن أبي جعفر </w:t>
      </w:r>
      <w:r w:rsidR="0061079A" w:rsidRPr="00BD6FFA">
        <w:rPr>
          <w:rStyle w:val="libFootnoteAlaemChar"/>
          <w:rtl/>
        </w:rPr>
        <w:t>عليه‌السلام</w:t>
      </w:r>
      <w:r w:rsidR="00D10E3C">
        <w:rPr>
          <w:rtl/>
          <w:lang w:bidi="fa-IR"/>
        </w:rPr>
        <w:t xml:space="preserve"> </w:t>
      </w:r>
      <w:r w:rsidR="00BD6FFA">
        <w:rPr>
          <w:rFonts w:hint="cs"/>
          <w:rtl/>
          <w:lang w:bidi="fa-IR"/>
        </w:rPr>
        <w:t>.</w:t>
      </w:r>
      <w:r>
        <w:rPr>
          <w:rtl/>
          <w:lang w:bidi="fa-IR"/>
        </w:rPr>
        <w:t xml:space="preserve">الوافي ، ج 17 ، ص 386 ، ح 17485 ؛ </w:t>
      </w:r>
      <w:r w:rsidRPr="001E53C7">
        <w:rPr>
          <w:rStyle w:val="libFootnoteBoldChar"/>
          <w:rtl/>
        </w:rPr>
        <w:t>الوسائل</w:t>
      </w:r>
      <w:r>
        <w:rPr>
          <w:rtl/>
          <w:lang w:bidi="fa-IR"/>
        </w:rPr>
        <w:t xml:space="preserve"> ، ج 18 ، ص 135 ، ح 23321.</w:t>
      </w:r>
    </w:p>
    <w:p w:rsidR="00BD6FFA" w:rsidRDefault="00BD6FFA" w:rsidP="00BD6FFA">
      <w:pPr>
        <w:pStyle w:val="libNormal"/>
        <w:rPr>
          <w:rtl/>
          <w:lang w:bidi="fa-IR"/>
        </w:rPr>
      </w:pPr>
      <w:r>
        <w:rPr>
          <w:rtl/>
          <w:lang w:bidi="fa-IR"/>
        </w:rPr>
        <w:br w:type="page"/>
      </w:r>
    </w:p>
    <w:p w:rsidR="00BD6FFA" w:rsidRDefault="00794BCA" w:rsidP="00794BCA">
      <w:pPr>
        <w:pStyle w:val="Heading2Center"/>
        <w:rPr>
          <w:rtl/>
          <w:lang w:bidi="fa-IR"/>
        </w:rPr>
      </w:pPr>
      <w:bookmarkStart w:id="176" w:name="_Toc49261474"/>
      <w:r>
        <w:rPr>
          <w:rFonts w:hint="cs"/>
          <w:rtl/>
          <w:lang w:bidi="fa-IR"/>
        </w:rPr>
        <w:t>الفهرس</w:t>
      </w:r>
      <w:bookmarkEnd w:id="176"/>
    </w:p>
    <w:sdt>
      <w:sdtPr>
        <w:rPr>
          <w:rFonts w:ascii="Times New Roman" w:eastAsia="Times New Roman" w:hAnsi="Times New Roman" w:cs="Traditional Arabic"/>
          <w:b w:val="0"/>
          <w:bCs w:val="0"/>
          <w:color w:val="000000"/>
          <w:sz w:val="24"/>
          <w:szCs w:val="32"/>
        </w:rPr>
        <w:id w:val="10644557"/>
        <w:docPartObj>
          <w:docPartGallery w:val="Table of Contents"/>
          <w:docPartUnique/>
        </w:docPartObj>
      </w:sdtPr>
      <w:sdtEndPr>
        <w:rPr>
          <w:rtl/>
        </w:rPr>
      </w:sdtEndPr>
      <w:sdtContent>
        <w:p w:rsidR="00794BCA" w:rsidRDefault="00794BCA" w:rsidP="00794BCA">
          <w:pPr>
            <w:pStyle w:val="TOCHeading"/>
          </w:pPr>
        </w:p>
        <w:p w:rsidR="00794BCA" w:rsidRDefault="00794BCA" w:rsidP="00794BCA">
          <w:pPr>
            <w:pStyle w:val="TOC1"/>
            <w:rPr>
              <w:rFonts w:asciiTheme="minorHAnsi" w:eastAsiaTheme="minorEastAsia" w:hAnsiTheme="minorHAnsi" w:cstheme="minorBidi"/>
              <w:noProof/>
              <w:color w:val="auto"/>
              <w:sz w:val="22"/>
              <w:szCs w:val="22"/>
              <w:rtl/>
            </w:rPr>
          </w:pPr>
          <w:r>
            <w:fldChar w:fldCharType="begin"/>
          </w:r>
          <w:r>
            <w:instrText xml:space="preserve"> TOC \o "1-3" \h \z \u </w:instrText>
          </w:r>
          <w:r>
            <w:fldChar w:fldCharType="separate"/>
          </w:r>
          <w:hyperlink w:anchor="_Toc49261299" w:history="1">
            <w:r w:rsidRPr="00241F4B">
              <w:rPr>
                <w:rStyle w:val="Hyperlink"/>
                <w:noProof/>
                <w:rtl/>
                <w:lang w:bidi="fa-IR"/>
              </w:rPr>
              <w:t xml:space="preserve">[ </w:t>
            </w:r>
            <w:r w:rsidRPr="00241F4B">
              <w:rPr>
                <w:rStyle w:val="Hyperlink"/>
                <w:rFonts w:hint="eastAsia"/>
                <w:noProof/>
                <w:rtl/>
                <w:lang w:bidi="fa-IR"/>
              </w:rPr>
              <w:t>تَتِمَّةُ</w:t>
            </w:r>
            <w:r w:rsidRPr="00241F4B">
              <w:rPr>
                <w:rStyle w:val="Hyperlink"/>
                <w:noProof/>
                <w:rtl/>
                <w:lang w:bidi="fa-IR"/>
              </w:rPr>
              <w:t xml:space="preserve"> </w:t>
            </w:r>
            <w:r w:rsidRPr="00241F4B">
              <w:rPr>
                <w:rStyle w:val="Hyperlink"/>
                <w:rFonts w:hint="eastAsia"/>
                <w:noProof/>
                <w:rtl/>
                <w:lang w:bidi="fa-IR"/>
              </w:rPr>
              <w:t>كِتَابِ</w:t>
            </w:r>
            <w:r w:rsidRPr="00241F4B">
              <w:rPr>
                <w:rStyle w:val="Hyperlink"/>
                <w:noProof/>
                <w:rtl/>
                <w:lang w:bidi="fa-IR"/>
              </w:rPr>
              <w:t xml:space="preserve"> </w:t>
            </w:r>
            <w:r w:rsidRPr="00241F4B">
              <w:rPr>
                <w:rStyle w:val="Hyperlink"/>
                <w:rFonts w:hint="eastAsia"/>
                <w:noProof/>
                <w:rtl/>
                <w:lang w:bidi="fa-IR"/>
              </w:rPr>
              <w:t>الْحَجِّ</w:t>
            </w:r>
            <w:r w:rsidRPr="00241F4B">
              <w:rPr>
                <w:rStyle w:val="Hyperlink"/>
                <w:noProof/>
                <w:rtl/>
                <w:lang w:bidi="fa-IR"/>
              </w:rPr>
              <w:t xml:space="preserve"> ]</w:t>
            </w:r>
            <w:r>
              <w:rPr>
                <w:noProof/>
                <w:webHidden/>
                <w:rtl/>
              </w:rPr>
              <w:t xml:space="preserve"> </w:t>
            </w:r>
          </w:hyperlink>
          <w:r>
            <w:rPr>
              <w:rStyle w:val="Hyperlink"/>
              <w:rFonts w:hint="cs"/>
              <w:noProof/>
              <w:rtl/>
            </w:rPr>
            <w:t xml:space="preserve"> </w:t>
          </w:r>
          <w:hyperlink w:anchor="_Toc49261300" w:history="1">
            <w:r w:rsidRPr="00241F4B">
              <w:rPr>
                <w:rStyle w:val="Hyperlink"/>
                <w:noProof/>
                <w:rtl/>
                <w:lang w:bidi="fa-IR"/>
              </w:rPr>
              <w:t xml:space="preserve">157 - </w:t>
            </w:r>
            <w:r w:rsidRPr="00241F4B">
              <w:rPr>
                <w:rStyle w:val="Hyperlink"/>
                <w:rFonts w:hint="eastAsia"/>
                <w:noProof/>
                <w:rtl/>
                <w:lang w:bidi="fa-IR"/>
              </w:rPr>
              <w:t>بَابُ</w:t>
            </w:r>
            <w:r w:rsidRPr="00241F4B">
              <w:rPr>
                <w:rStyle w:val="Hyperlink"/>
                <w:noProof/>
                <w:rtl/>
                <w:lang w:bidi="fa-IR"/>
              </w:rPr>
              <w:t xml:space="preserve"> </w:t>
            </w:r>
            <w:r w:rsidRPr="00241F4B">
              <w:rPr>
                <w:rStyle w:val="Hyperlink"/>
                <w:rFonts w:hint="eastAsia"/>
                <w:noProof/>
                <w:rtl/>
                <w:lang w:bidi="fa-IR"/>
              </w:rPr>
              <w:t>الْإِحْرَامِ</w:t>
            </w:r>
            <w:r w:rsidRPr="00241F4B">
              <w:rPr>
                <w:rStyle w:val="Hyperlink"/>
                <w:noProof/>
                <w:rtl/>
                <w:lang w:bidi="fa-IR"/>
              </w:rPr>
              <w:t xml:space="preserve"> </w:t>
            </w:r>
            <w:r w:rsidRPr="00241F4B">
              <w:rPr>
                <w:rStyle w:val="Hyperlink"/>
                <w:rFonts w:hint="eastAsia"/>
                <w:noProof/>
                <w:rtl/>
                <w:lang w:bidi="fa-IR"/>
              </w:rPr>
              <w:t>يَوْمَ</w:t>
            </w:r>
            <w:r w:rsidRPr="00241F4B">
              <w:rPr>
                <w:rStyle w:val="Hyperlink"/>
                <w:noProof/>
                <w:rtl/>
                <w:lang w:bidi="fa-IR"/>
              </w:rPr>
              <w:t xml:space="preserve"> </w:t>
            </w:r>
            <w:r w:rsidRPr="00241F4B">
              <w:rPr>
                <w:rStyle w:val="Hyperlink"/>
                <w:rFonts w:hint="eastAsia"/>
                <w:noProof/>
                <w:rtl/>
                <w:lang w:bidi="fa-IR"/>
              </w:rPr>
              <w:t>التَّرْوِيَةِ</w:t>
            </w:r>
            <w:r w:rsidRPr="00241F4B">
              <w:rPr>
                <w:rStyle w:val="Hyperlink"/>
                <w:noProof/>
                <w:rtl/>
                <w:lang w:bidi="fa-IR"/>
              </w:rPr>
              <w:t xml:space="preserve"> </w:t>
            </w:r>
            <w:r w:rsidRPr="00241F4B">
              <w:rPr>
                <w:rStyle w:val="Hyperlink"/>
                <w:noProof/>
                <w:vertAlign w:val="superscript"/>
                <w:rtl/>
                <w:lang w:bidi="fa-IR"/>
              </w:rPr>
              <w:t>(1)</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w:instrText>
            </w:r>
            <w:r>
              <w:rPr>
                <w:noProof/>
                <w:webHidden/>
                <w:rtl/>
              </w:rPr>
              <w:instrText xml:space="preserve">49261300 </w:instrText>
            </w:r>
            <w:r>
              <w:rPr>
                <w:noProof/>
                <w:webHidden/>
              </w:rPr>
              <w:instrText>\h</w:instrText>
            </w:r>
            <w:r>
              <w:rPr>
                <w:noProof/>
                <w:webHidden/>
                <w:rtl/>
              </w:rPr>
              <w:instrText xml:space="preserve"> </w:instrText>
            </w:r>
            <w:r>
              <w:rPr>
                <w:noProof/>
                <w:webHidden/>
                <w:rtl/>
              </w:rPr>
            </w:r>
            <w:r>
              <w:rPr>
                <w:noProof/>
                <w:webHidden/>
                <w:rtl/>
              </w:rPr>
              <w:fldChar w:fldCharType="separate"/>
            </w:r>
            <w:r>
              <w:rPr>
                <w:noProof/>
                <w:webHidden/>
                <w:rtl/>
              </w:rPr>
              <w:t>7</w:t>
            </w:r>
            <w:r>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01" w:history="1">
            <w:r w:rsidR="00794BCA" w:rsidRPr="00241F4B">
              <w:rPr>
                <w:rStyle w:val="Hyperlink"/>
                <w:noProof/>
                <w:rtl/>
                <w:lang w:bidi="fa-IR"/>
              </w:rPr>
              <w:t xml:space="preserve">158 -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الْحَجِّ</w:t>
            </w:r>
            <w:r w:rsidR="00794BCA" w:rsidRPr="00241F4B">
              <w:rPr>
                <w:rStyle w:val="Hyperlink"/>
                <w:noProof/>
                <w:rtl/>
                <w:lang w:bidi="fa-IR"/>
              </w:rPr>
              <w:t xml:space="preserve"> </w:t>
            </w:r>
            <w:r w:rsidR="00794BCA" w:rsidRPr="00241F4B">
              <w:rPr>
                <w:rStyle w:val="Hyperlink"/>
                <w:rFonts w:hint="eastAsia"/>
                <w:noProof/>
                <w:rtl/>
                <w:lang w:bidi="fa-IR"/>
              </w:rPr>
              <w:t>مَاشِياً</w:t>
            </w:r>
            <w:r w:rsidR="00794BCA" w:rsidRPr="00241F4B">
              <w:rPr>
                <w:rStyle w:val="Hyperlink"/>
                <w:noProof/>
                <w:rtl/>
                <w:lang w:bidi="fa-IR"/>
              </w:rPr>
              <w:t xml:space="preserve"> </w:t>
            </w:r>
            <w:r w:rsidR="00794BCA" w:rsidRPr="00241F4B">
              <w:rPr>
                <w:rStyle w:val="Hyperlink"/>
                <w:rFonts w:hint="eastAsia"/>
                <w:noProof/>
                <w:rtl/>
                <w:lang w:bidi="fa-IR"/>
              </w:rPr>
              <w:t>وَانْقِطَاعِ</w:t>
            </w:r>
            <w:r w:rsidR="00794BCA" w:rsidRPr="00241F4B">
              <w:rPr>
                <w:rStyle w:val="Hyperlink"/>
                <w:noProof/>
                <w:rtl/>
                <w:lang w:bidi="fa-IR"/>
              </w:rPr>
              <w:t xml:space="preserve"> </w:t>
            </w:r>
            <w:r w:rsidR="00794BCA" w:rsidRPr="00241F4B">
              <w:rPr>
                <w:rStyle w:val="Hyperlink"/>
                <w:rFonts w:hint="eastAsia"/>
                <w:noProof/>
                <w:rtl/>
                <w:lang w:bidi="fa-IR"/>
              </w:rPr>
              <w:t>مَشْيِ</w:t>
            </w:r>
            <w:r w:rsidR="00794BCA" w:rsidRPr="00241F4B">
              <w:rPr>
                <w:rStyle w:val="Hyperlink"/>
                <w:noProof/>
                <w:rtl/>
                <w:lang w:bidi="fa-IR"/>
              </w:rPr>
              <w:t xml:space="preserve"> </w:t>
            </w:r>
            <w:r w:rsidR="00794BCA" w:rsidRPr="00241F4B">
              <w:rPr>
                <w:rStyle w:val="Hyperlink"/>
                <w:rFonts w:hint="eastAsia"/>
                <w:noProof/>
                <w:rtl/>
                <w:lang w:bidi="fa-IR"/>
              </w:rPr>
              <w:t>الْمَاشِي‌</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49261301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02" w:history="1">
            <w:r w:rsidR="00794BCA" w:rsidRPr="00241F4B">
              <w:rPr>
                <w:rStyle w:val="Hyperlink"/>
                <w:noProof/>
                <w:rtl/>
                <w:lang w:bidi="fa-IR"/>
              </w:rPr>
              <w:t xml:space="preserve">159 -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تَقْدِيمِ</w:t>
            </w:r>
            <w:r w:rsidR="00794BCA" w:rsidRPr="00241F4B">
              <w:rPr>
                <w:rStyle w:val="Hyperlink"/>
                <w:noProof/>
                <w:rtl/>
                <w:lang w:bidi="fa-IR"/>
              </w:rPr>
              <w:t xml:space="preserve"> </w:t>
            </w:r>
            <w:r w:rsidR="00794BCA" w:rsidRPr="00241F4B">
              <w:rPr>
                <w:rStyle w:val="Hyperlink"/>
                <w:rFonts w:hint="eastAsia"/>
                <w:noProof/>
                <w:rtl/>
                <w:lang w:bidi="fa-IR"/>
              </w:rPr>
              <w:t>طَوَافِ</w:t>
            </w:r>
            <w:r w:rsidR="00794BCA" w:rsidRPr="00241F4B">
              <w:rPr>
                <w:rStyle w:val="Hyperlink"/>
                <w:noProof/>
                <w:rtl/>
                <w:lang w:bidi="fa-IR"/>
              </w:rPr>
              <w:t xml:space="preserve"> </w:t>
            </w:r>
            <w:r w:rsidR="00794BCA" w:rsidRPr="00241F4B">
              <w:rPr>
                <w:rStyle w:val="Hyperlink"/>
                <w:rFonts w:hint="eastAsia"/>
                <w:noProof/>
                <w:rtl/>
                <w:lang w:bidi="fa-IR"/>
              </w:rPr>
              <w:t>الْحَجِّ</w:t>
            </w:r>
            <w:r w:rsidR="00794BCA" w:rsidRPr="00241F4B">
              <w:rPr>
                <w:rStyle w:val="Hyperlink"/>
                <w:noProof/>
                <w:rtl/>
                <w:lang w:bidi="fa-IR"/>
              </w:rPr>
              <w:t xml:space="preserve"> </w:t>
            </w:r>
            <w:r w:rsidR="00794BCA" w:rsidRPr="00241F4B">
              <w:rPr>
                <w:rStyle w:val="Hyperlink"/>
                <w:rFonts w:hint="eastAsia"/>
                <w:noProof/>
                <w:rtl/>
                <w:lang w:bidi="fa-IR"/>
              </w:rPr>
              <w:t>لِلْمُتَمَتِّعِ</w:t>
            </w:r>
            <w:r w:rsidR="00794BCA" w:rsidRPr="00241F4B">
              <w:rPr>
                <w:rStyle w:val="Hyperlink"/>
                <w:noProof/>
                <w:rtl/>
                <w:lang w:bidi="fa-IR"/>
              </w:rPr>
              <w:t xml:space="preserve"> </w:t>
            </w:r>
            <w:r w:rsidR="00794BCA" w:rsidRPr="00241F4B">
              <w:rPr>
                <w:rStyle w:val="Hyperlink"/>
                <w:rFonts w:hint="eastAsia"/>
                <w:noProof/>
                <w:rtl/>
                <w:lang w:bidi="fa-IR"/>
              </w:rPr>
              <w:t>قَبْلَ</w:t>
            </w:r>
            <w:r w:rsidR="00794BCA" w:rsidRPr="00241F4B">
              <w:rPr>
                <w:rStyle w:val="Hyperlink"/>
                <w:noProof/>
                <w:rtl/>
                <w:lang w:bidi="fa-IR"/>
              </w:rPr>
              <w:t xml:space="preserve"> </w:t>
            </w:r>
            <w:r w:rsidR="00794BCA" w:rsidRPr="00241F4B">
              <w:rPr>
                <w:rStyle w:val="Hyperlink"/>
                <w:rFonts w:hint="eastAsia"/>
                <w:noProof/>
                <w:rtl/>
                <w:lang w:bidi="fa-IR"/>
              </w:rPr>
              <w:t>الْخُرُوجِ</w:t>
            </w:r>
            <w:r w:rsidR="00794BCA" w:rsidRPr="00241F4B">
              <w:rPr>
                <w:rStyle w:val="Hyperlink"/>
                <w:noProof/>
                <w:rtl/>
                <w:lang w:bidi="fa-IR"/>
              </w:rPr>
              <w:t xml:space="preserve"> </w:t>
            </w:r>
            <w:r w:rsidR="00794BCA" w:rsidRPr="00241F4B">
              <w:rPr>
                <w:rStyle w:val="Hyperlink"/>
                <w:rFonts w:hint="eastAsia"/>
                <w:noProof/>
                <w:rtl/>
                <w:lang w:bidi="fa-IR"/>
              </w:rPr>
              <w:t>إِلى</w:t>
            </w:r>
            <w:r w:rsidR="00794BCA" w:rsidRPr="00241F4B">
              <w:rPr>
                <w:rStyle w:val="Hyperlink"/>
                <w:noProof/>
                <w:rtl/>
                <w:lang w:bidi="fa-IR"/>
              </w:rPr>
              <w:t xml:space="preserve"> </w:t>
            </w:r>
            <w:r w:rsidR="00794BCA" w:rsidRPr="00241F4B">
              <w:rPr>
                <w:rStyle w:val="Hyperlink"/>
                <w:rFonts w:hint="eastAsia"/>
                <w:noProof/>
                <w:rtl/>
                <w:lang w:bidi="fa-IR"/>
              </w:rPr>
              <w:t>مِنًى‌</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49261302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03" w:history="1">
            <w:r w:rsidR="00794BCA" w:rsidRPr="00241F4B">
              <w:rPr>
                <w:rStyle w:val="Hyperlink"/>
                <w:noProof/>
                <w:rtl/>
                <w:lang w:bidi="fa-IR"/>
              </w:rPr>
              <w:t xml:space="preserve">160 -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تَقْدِيمِ</w:t>
            </w:r>
            <w:r w:rsidR="00794BCA" w:rsidRPr="00241F4B">
              <w:rPr>
                <w:rStyle w:val="Hyperlink"/>
                <w:noProof/>
                <w:rtl/>
                <w:lang w:bidi="fa-IR"/>
              </w:rPr>
              <w:t xml:space="preserve"> </w:t>
            </w:r>
            <w:r w:rsidR="00794BCA" w:rsidRPr="00241F4B">
              <w:rPr>
                <w:rStyle w:val="Hyperlink"/>
                <w:rFonts w:hint="eastAsia"/>
                <w:noProof/>
                <w:rtl/>
                <w:lang w:bidi="fa-IR"/>
              </w:rPr>
              <w:t>الطَّوَافِ</w:t>
            </w:r>
            <w:r w:rsidR="00794BCA" w:rsidRPr="00241F4B">
              <w:rPr>
                <w:rStyle w:val="Hyperlink"/>
                <w:noProof/>
                <w:rtl/>
                <w:lang w:bidi="fa-IR"/>
              </w:rPr>
              <w:t xml:space="preserve"> </w:t>
            </w:r>
            <w:r w:rsidR="00794BCA" w:rsidRPr="00241F4B">
              <w:rPr>
                <w:rStyle w:val="Hyperlink"/>
                <w:rFonts w:hint="eastAsia"/>
                <w:noProof/>
                <w:rtl/>
                <w:lang w:bidi="fa-IR"/>
              </w:rPr>
              <w:t>لِلْمُفْرِدِ‌</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49261303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04" w:history="1">
            <w:r w:rsidR="00794BCA" w:rsidRPr="00241F4B">
              <w:rPr>
                <w:rStyle w:val="Hyperlink"/>
                <w:noProof/>
                <w:rtl/>
                <w:lang w:bidi="fa-IR"/>
              </w:rPr>
              <w:t xml:space="preserve">161 -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الْخُرُوجِ</w:t>
            </w:r>
            <w:r w:rsidR="00794BCA" w:rsidRPr="00241F4B">
              <w:rPr>
                <w:rStyle w:val="Hyperlink"/>
                <w:noProof/>
                <w:rtl/>
                <w:lang w:bidi="fa-IR"/>
              </w:rPr>
              <w:t xml:space="preserve"> </w:t>
            </w:r>
            <w:r w:rsidR="00794BCA" w:rsidRPr="00241F4B">
              <w:rPr>
                <w:rStyle w:val="Hyperlink"/>
                <w:rFonts w:hint="eastAsia"/>
                <w:noProof/>
                <w:rtl/>
                <w:lang w:bidi="fa-IR"/>
              </w:rPr>
              <w:t>إِلى</w:t>
            </w:r>
            <w:r w:rsidR="00794BCA" w:rsidRPr="00241F4B">
              <w:rPr>
                <w:rStyle w:val="Hyperlink"/>
                <w:noProof/>
                <w:rtl/>
                <w:lang w:bidi="fa-IR"/>
              </w:rPr>
              <w:t xml:space="preserve"> </w:t>
            </w:r>
            <w:r w:rsidR="00794BCA" w:rsidRPr="00241F4B">
              <w:rPr>
                <w:rStyle w:val="Hyperlink"/>
                <w:rFonts w:hint="eastAsia"/>
                <w:noProof/>
                <w:rtl/>
                <w:lang w:bidi="fa-IR"/>
              </w:rPr>
              <w:t>مِنًى‌</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49261304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05" w:history="1">
            <w:r w:rsidR="00794BCA" w:rsidRPr="00241F4B">
              <w:rPr>
                <w:rStyle w:val="Hyperlink"/>
                <w:noProof/>
                <w:rtl/>
                <w:lang w:bidi="fa-IR"/>
              </w:rPr>
              <w:t xml:space="preserve">162 -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نُزُولِ</w:t>
            </w:r>
            <w:r w:rsidR="00794BCA" w:rsidRPr="00241F4B">
              <w:rPr>
                <w:rStyle w:val="Hyperlink"/>
                <w:noProof/>
                <w:rtl/>
                <w:lang w:bidi="fa-IR"/>
              </w:rPr>
              <w:t xml:space="preserve"> </w:t>
            </w:r>
            <w:r w:rsidR="00794BCA" w:rsidRPr="00241F4B">
              <w:rPr>
                <w:rStyle w:val="Hyperlink"/>
                <w:rFonts w:hint="eastAsia"/>
                <w:noProof/>
                <w:rtl/>
                <w:lang w:bidi="fa-IR"/>
              </w:rPr>
              <w:t>مِنًى</w:t>
            </w:r>
            <w:r w:rsidR="00794BCA" w:rsidRPr="00241F4B">
              <w:rPr>
                <w:rStyle w:val="Hyperlink"/>
                <w:noProof/>
                <w:rtl/>
                <w:lang w:bidi="fa-IR"/>
              </w:rPr>
              <w:t xml:space="preserve"> </w:t>
            </w:r>
            <w:r w:rsidR="00794BCA" w:rsidRPr="00241F4B">
              <w:rPr>
                <w:rStyle w:val="Hyperlink"/>
                <w:rFonts w:hint="eastAsia"/>
                <w:noProof/>
                <w:rtl/>
                <w:lang w:bidi="fa-IR"/>
              </w:rPr>
              <w:t>وَحُدُودِهَا‌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49261305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23</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06" w:history="1">
            <w:r w:rsidR="00794BCA" w:rsidRPr="00241F4B">
              <w:rPr>
                <w:rStyle w:val="Hyperlink"/>
                <w:noProof/>
                <w:rtl/>
                <w:lang w:bidi="fa-IR"/>
              </w:rPr>
              <w:t xml:space="preserve">163 -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الْغُدُوِّ</w:t>
            </w:r>
            <w:r w:rsidR="00794BCA" w:rsidRPr="00241F4B">
              <w:rPr>
                <w:rStyle w:val="Hyperlink"/>
                <w:noProof/>
                <w:rtl/>
                <w:lang w:bidi="fa-IR"/>
              </w:rPr>
              <w:t xml:space="preserve"> </w:t>
            </w:r>
            <w:r w:rsidR="00794BCA" w:rsidRPr="00241F4B">
              <w:rPr>
                <w:rStyle w:val="Hyperlink"/>
                <w:noProof/>
                <w:vertAlign w:val="superscript"/>
                <w:rtl/>
              </w:rPr>
              <w:t>(4)</w:t>
            </w:r>
            <w:r w:rsidR="00794BCA" w:rsidRPr="00241F4B">
              <w:rPr>
                <w:rStyle w:val="Hyperlink"/>
                <w:noProof/>
                <w:rtl/>
                <w:lang w:bidi="fa-IR"/>
              </w:rPr>
              <w:t xml:space="preserve"> </w:t>
            </w:r>
            <w:r w:rsidR="00794BCA" w:rsidRPr="00241F4B">
              <w:rPr>
                <w:rStyle w:val="Hyperlink"/>
                <w:rFonts w:hint="eastAsia"/>
                <w:noProof/>
                <w:rtl/>
                <w:lang w:bidi="fa-IR"/>
              </w:rPr>
              <w:t>إِلى</w:t>
            </w:r>
            <w:r w:rsidR="00794BCA" w:rsidRPr="00241F4B">
              <w:rPr>
                <w:rStyle w:val="Hyperlink"/>
                <w:noProof/>
                <w:rtl/>
                <w:lang w:bidi="fa-IR"/>
              </w:rPr>
              <w:t xml:space="preserve"> </w:t>
            </w:r>
            <w:r w:rsidR="00794BCA" w:rsidRPr="00241F4B">
              <w:rPr>
                <w:rStyle w:val="Hyperlink"/>
                <w:rFonts w:hint="eastAsia"/>
                <w:noProof/>
                <w:rtl/>
                <w:lang w:bidi="fa-IR"/>
              </w:rPr>
              <w:t>عَرَفَاتٍ</w:t>
            </w:r>
            <w:r w:rsidR="00794BCA" w:rsidRPr="00241F4B">
              <w:rPr>
                <w:rStyle w:val="Hyperlink"/>
                <w:noProof/>
                <w:rtl/>
                <w:lang w:bidi="fa-IR"/>
              </w:rPr>
              <w:t xml:space="preserve"> </w:t>
            </w:r>
            <w:r w:rsidR="00794BCA" w:rsidRPr="00241F4B">
              <w:rPr>
                <w:rStyle w:val="Hyperlink"/>
                <w:rFonts w:hint="eastAsia"/>
                <w:noProof/>
                <w:rtl/>
                <w:lang w:bidi="fa-IR"/>
              </w:rPr>
              <w:t>وَحُدُودِهَا‌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49261306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24</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07" w:history="1">
            <w:r w:rsidR="00794BCA" w:rsidRPr="00241F4B">
              <w:rPr>
                <w:rStyle w:val="Hyperlink"/>
                <w:noProof/>
                <w:rtl/>
                <w:lang w:bidi="fa-IR"/>
              </w:rPr>
              <w:t xml:space="preserve">164 -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قَطْعِ</w:t>
            </w:r>
            <w:r w:rsidR="00794BCA" w:rsidRPr="00241F4B">
              <w:rPr>
                <w:rStyle w:val="Hyperlink"/>
                <w:noProof/>
                <w:rtl/>
                <w:lang w:bidi="fa-IR"/>
              </w:rPr>
              <w:t xml:space="preserve"> </w:t>
            </w:r>
            <w:r w:rsidR="00794BCA" w:rsidRPr="00241F4B">
              <w:rPr>
                <w:rStyle w:val="Hyperlink"/>
                <w:rFonts w:hint="eastAsia"/>
                <w:noProof/>
                <w:rtl/>
                <w:lang w:bidi="fa-IR"/>
              </w:rPr>
              <w:t>تَلْبِيَةِ</w:t>
            </w:r>
            <w:r w:rsidR="00794BCA" w:rsidRPr="00241F4B">
              <w:rPr>
                <w:rStyle w:val="Hyperlink"/>
                <w:noProof/>
                <w:rtl/>
                <w:lang w:bidi="fa-IR"/>
              </w:rPr>
              <w:t xml:space="preserve"> </w:t>
            </w:r>
            <w:r w:rsidR="00794BCA" w:rsidRPr="00241F4B">
              <w:rPr>
                <w:rStyle w:val="Hyperlink"/>
                <w:rFonts w:hint="eastAsia"/>
                <w:noProof/>
                <w:rtl/>
                <w:lang w:bidi="fa-IR"/>
              </w:rPr>
              <w:t>الْحَاجِّ‌</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49261307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08" w:history="1">
            <w:r w:rsidR="00794BCA" w:rsidRPr="00241F4B">
              <w:rPr>
                <w:rStyle w:val="Hyperlink"/>
                <w:noProof/>
                <w:rtl/>
                <w:lang w:bidi="fa-IR"/>
              </w:rPr>
              <w:t xml:space="preserve">165 -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الْوُقُوفِ</w:t>
            </w:r>
            <w:r w:rsidR="00794BCA" w:rsidRPr="00241F4B">
              <w:rPr>
                <w:rStyle w:val="Hyperlink"/>
                <w:noProof/>
                <w:rtl/>
                <w:lang w:bidi="fa-IR"/>
              </w:rPr>
              <w:t xml:space="preserve"> </w:t>
            </w:r>
            <w:r w:rsidR="00794BCA" w:rsidRPr="00241F4B">
              <w:rPr>
                <w:rStyle w:val="Hyperlink"/>
                <w:rFonts w:hint="eastAsia"/>
                <w:noProof/>
                <w:rtl/>
                <w:lang w:bidi="fa-IR"/>
              </w:rPr>
              <w:t>بِعَرَفَةَ</w:t>
            </w:r>
            <w:r w:rsidR="00794BCA" w:rsidRPr="00241F4B">
              <w:rPr>
                <w:rStyle w:val="Hyperlink"/>
                <w:noProof/>
                <w:rtl/>
                <w:lang w:bidi="fa-IR"/>
              </w:rPr>
              <w:t xml:space="preserve"> </w:t>
            </w:r>
            <w:r w:rsidR="00794BCA" w:rsidRPr="00241F4B">
              <w:rPr>
                <w:rStyle w:val="Hyperlink"/>
                <w:rFonts w:hint="eastAsia"/>
                <w:noProof/>
                <w:rtl/>
                <w:lang w:bidi="fa-IR"/>
              </w:rPr>
              <w:t>وَحَدِّ</w:t>
            </w:r>
            <w:r w:rsidR="00794BCA" w:rsidRPr="00241F4B">
              <w:rPr>
                <w:rStyle w:val="Hyperlink"/>
                <w:noProof/>
                <w:rtl/>
                <w:lang w:bidi="fa-IR"/>
              </w:rPr>
              <w:t xml:space="preserve"> </w:t>
            </w:r>
            <w:r w:rsidR="00794BCA" w:rsidRPr="00241F4B">
              <w:rPr>
                <w:rStyle w:val="Hyperlink"/>
                <w:rFonts w:hint="eastAsia"/>
                <w:noProof/>
                <w:rtl/>
                <w:lang w:bidi="fa-IR"/>
              </w:rPr>
              <w:t>الْمَوْقِفِ‌</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49261308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09" w:history="1">
            <w:r w:rsidR="00794BCA" w:rsidRPr="00241F4B">
              <w:rPr>
                <w:rStyle w:val="Hyperlink"/>
                <w:noProof/>
                <w:rtl/>
                <w:lang w:bidi="fa-IR"/>
              </w:rPr>
              <w:t xml:space="preserve">166 -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الْإِفَاضَةِ</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عَرَفَاتٍ‌</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49261309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0" w:history="1">
            <w:r w:rsidR="00794BCA" w:rsidRPr="00241F4B">
              <w:rPr>
                <w:rStyle w:val="Hyperlink"/>
                <w:noProof/>
                <w:rtl/>
                <w:lang w:bidi="fa-IR"/>
              </w:rPr>
              <w:t xml:space="preserve">167 -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لَيْلَةِ</w:t>
            </w:r>
            <w:r w:rsidR="00794BCA" w:rsidRPr="00241F4B">
              <w:rPr>
                <w:rStyle w:val="Hyperlink"/>
                <w:noProof/>
                <w:rtl/>
                <w:lang w:bidi="fa-IR"/>
              </w:rPr>
              <w:t xml:space="preserve"> </w:t>
            </w:r>
            <w:r w:rsidR="00794BCA" w:rsidRPr="00241F4B">
              <w:rPr>
                <w:rStyle w:val="Hyperlink"/>
                <w:rFonts w:hint="eastAsia"/>
                <w:noProof/>
                <w:rtl/>
                <w:lang w:bidi="fa-IR"/>
              </w:rPr>
              <w:t>الْمُزْدَلِفَةِ</w:t>
            </w:r>
            <w:r w:rsidR="00794BCA" w:rsidRPr="00241F4B">
              <w:rPr>
                <w:rStyle w:val="Hyperlink"/>
                <w:noProof/>
                <w:rtl/>
                <w:lang w:bidi="fa-IR"/>
              </w:rPr>
              <w:t xml:space="preserve"> </w:t>
            </w:r>
            <w:r w:rsidR="00794BCA" w:rsidRPr="00241F4B">
              <w:rPr>
                <w:rStyle w:val="Hyperlink"/>
                <w:rFonts w:hint="eastAsia"/>
                <w:noProof/>
                <w:rtl/>
                <w:lang w:bidi="fa-IR"/>
              </w:rPr>
              <w:t>وَالْوُقُوفِ</w:t>
            </w:r>
            <w:r w:rsidR="00794BCA" w:rsidRPr="00241F4B">
              <w:rPr>
                <w:rStyle w:val="Hyperlink"/>
                <w:noProof/>
                <w:rtl/>
                <w:lang w:bidi="fa-IR"/>
              </w:rPr>
              <w:t xml:space="preserve"> </w:t>
            </w:r>
            <w:r w:rsidR="00794BCA" w:rsidRPr="00241F4B">
              <w:rPr>
                <w:rStyle w:val="Hyperlink"/>
                <w:rFonts w:hint="eastAsia"/>
                <w:noProof/>
                <w:rtl/>
                <w:lang w:bidi="fa-IR"/>
              </w:rPr>
              <w:t>بِالْمَشْعَرِ</w:t>
            </w:r>
            <w:r w:rsidR="00794BCA" w:rsidRPr="00241F4B">
              <w:rPr>
                <w:rStyle w:val="Hyperlink"/>
                <w:noProof/>
                <w:rtl/>
                <w:lang w:bidi="fa-IR"/>
              </w:rPr>
              <w:t xml:space="preserve"> </w:t>
            </w:r>
            <w:r w:rsidR="00794BCA" w:rsidRPr="00241F4B">
              <w:rPr>
                <w:rStyle w:val="Hyperlink"/>
                <w:rFonts w:hint="eastAsia"/>
                <w:noProof/>
                <w:rtl/>
                <w:lang w:bidi="fa-IR"/>
              </w:rPr>
              <w:t>وَالْإِفَاضَةِ</w:t>
            </w:r>
            <w:r w:rsidR="00794BCA" w:rsidRPr="00241F4B">
              <w:rPr>
                <w:rStyle w:val="Hyperlink"/>
                <w:noProof/>
                <w:rtl/>
                <w:lang w:bidi="fa-IR"/>
              </w:rPr>
              <w:t xml:space="preserve"> </w:t>
            </w:r>
            <w:r w:rsidR="00794BCA" w:rsidRPr="00241F4B">
              <w:rPr>
                <w:rStyle w:val="Hyperlink"/>
                <w:rFonts w:hint="eastAsia"/>
                <w:noProof/>
                <w:rtl/>
                <w:lang w:bidi="fa-IR"/>
              </w:rPr>
              <w:t>مِنْهُ</w:t>
            </w:r>
            <w:r w:rsidR="00794BCA" w:rsidRPr="00241F4B">
              <w:rPr>
                <w:rStyle w:val="Hyperlink"/>
                <w:noProof/>
                <w:rtl/>
                <w:lang w:bidi="fa-IR"/>
              </w:rPr>
              <w:t xml:space="preserve"> </w:t>
            </w:r>
            <w:r w:rsidR="00794BCA" w:rsidRPr="00241F4B">
              <w:rPr>
                <w:rStyle w:val="Hyperlink"/>
                <w:rFonts w:hint="eastAsia"/>
                <w:noProof/>
                <w:rtl/>
                <w:lang w:bidi="fa-IR"/>
              </w:rPr>
              <w:t>وَحُدُودِهِ‌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43</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1" w:history="1">
            <w:r w:rsidR="00794BCA" w:rsidRPr="00241F4B">
              <w:rPr>
                <w:rStyle w:val="Hyperlink"/>
                <w:noProof/>
                <w:rtl/>
                <w:lang w:bidi="fa-IR"/>
              </w:rPr>
              <w:t xml:space="preserve">168 -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السَّعْيِ</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وَادِي</w:t>
            </w:r>
            <w:r w:rsidR="00794BCA" w:rsidRPr="00241F4B">
              <w:rPr>
                <w:rStyle w:val="Hyperlink"/>
                <w:noProof/>
                <w:rtl/>
                <w:lang w:bidi="fa-IR"/>
              </w:rPr>
              <w:t xml:space="preserve"> </w:t>
            </w:r>
            <w:r w:rsidR="00794BCA" w:rsidRPr="00241F4B">
              <w:rPr>
                <w:rStyle w:val="Hyperlink"/>
                <w:rFonts w:hint="eastAsia"/>
                <w:noProof/>
                <w:rtl/>
                <w:lang w:bidi="fa-IR"/>
              </w:rPr>
              <w:t>مُحَسِّرٍ‌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2" w:history="1">
            <w:r w:rsidR="00794BCA" w:rsidRPr="00241F4B">
              <w:rPr>
                <w:rStyle w:val="Hyperlink"/>
                <w:noProof/>
                <w:rtl/>
                <w:lang w:bidi="fa-IR"/>
              </w:rPr>
              <w:t xml:space="preserve">169 -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جَهِلَ</w:t>
            </w:r>
            <w:r w:rsidR="00794BCA" w:rsidRPr="00241F4B">
              <w:rPr>
                <w:rStyle w:val="Hyperlink"/>
                <w:noProof/>
                <w:rtl/>
                <w:lang w:bidi="fa-IR"/>
              </w:rPr>
              <w:t xml:space="preserve"> </w:t>
            </w:r>
            <w:r w:rsidR="00794BCA" w:rsidRPr="00241F4B">
              <w:rPr>
                <w:rStyle w:val="Hyperlink"/>
                <w:rFonts w:hint="eastAsia"/>
                <w:noProof/>
                <w:rtl/>
                <w:lang w:bidi="fa-IR"/>
              </w:rPr>
              <w:t>أَنْ</w:t>
            </w:r>
            <w:r w:rsidR="00794BCA" w:rsidRPr="00241F4B">
              <w:rPr>
                <w:rStyle w:val="Hyperlink"/>
                <w:noProof/>
                <w:rtl/>
                <w:lang w:bidi="fa-IR"/>
              </w:rPr>
              <w:t xml:space="preserve"> </w:t>
            </w:r>
            <w:r w:rsidR="00794BCA" w:rsidRPr="00241F4B">
              <w:rPr>
                <w:rStyle w:val="Hyperlink"/>
                <w:rFonts w:hint="eastAsia"/>
                <w:noProof/>
                <w:rtl/>
                <w:lang w:bidi="fa-IR"/>
              </w:rPr>
              <w:t>يَقِفَ</w:t>
            </w:r>
            <w:r w:rsidR="00794BCA" w:rsidRPr="00241F4B">
              <w:rPr>
                <w:rStyle w:val="Hyperlink"/>
                <w:noProof/>
                <w:rtl/>
                <w:lang w:bidi="fa-IR"/>
              </w:rPr>
              <w:t xml:space="preserve"> </w:t>
            </w:r>
            <w:r w:rsidR="00794BCA" w:rsidRPr="00241F4B">
              <w:rPr>
                <w:rStyle w:val="Hyperlink"/>
                <w:rFonts w:hint="eastAsia"/>
                <w:noProof/>
                <w:rtl/>
                <w:lang w:bidi="fa-IR"/>
              </w:rPr>
              <w:t>بِالْمَشْعَرِ‌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3" w:history="1">
            <w:r w:rsidR="00794BCA" w:rsidRPr="00241F4B">
              <w:rPr>
                <w:rStyle w:val="Hyperlink"/>
                <w:noProof/>
                <w:rtl/>
                <w:lang w:bidi="fa-IR"/>
              </w:rPr>
              <w:t xml:space="preserve">170 -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تَعَجَّلَ</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الْمُزْدَلِفَةِ</w:t>
            </w:r>
            <w:r w:rsidR="00794BCA" w:rsidRPr="00241F4B">
              <w:rPr>
                <w:rStyle w:val="Hyperlink"/>
                <w:noProof/>
                <w:rtl/>
                <w:lang w:bidi="fa-IR"/>
              </w:rPr>
              <w:t xml:space="preserve"> </w:t>
            </w:r>
            <w:r w:rsidR="00794BCA" w:rsidRPr="00241F4B">
              <w:rPr>
                <w:rStyle w:val="Hyperlink"/>
                <w:rFonts w:hint="eastAsia"/>
                <w:noProof/>
                <w:rtl/>
                <w:lang w:bidi="fa-IR"/>
              </w:rPr>
              <w:t>قَبْلَ</w:t>
            </w:r>
            <w:r w:rsidR="00794BCA" w:rsidRPr="00241F4B">
              <w:rPr>
                <w:rStyle w:val="Hyperlink"/>
                <w:noProof/>
                <w:rtl/>
                <w:lang w:bidi="fa-IR"/>
              </w:rPr>
              <w:t xml:space="preserve"> </w:t>
            </w:r>
            <w:r w:rsidR="00794BCA" w:rsidRPr="00241F4B">
              <w:rPr>
                <w:rStyle w:val="Hyperlink"/>
                <w:rFonts w:hint="eastAsia"/>
                <w:noProof/>
                <w:rtl/>
                <w:lang w:bidi="fa-IR"/>
              </w:rPr>
              <w:t>الْفَجْرِ‌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4" w:history="1">
            <w:r w:rsidR="00794BCA" w:rsidRPr="00241F4B">
              <w:rPr>
                <w:rStyle w:val="Hyperlink"/>
                <w:noProof/>
                <w:rtl/>
                <w:lang w:bidi="fa-IR"/>
              </w:rPr>
              <w:t xml:space="preserve">171 -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فَاتَهُ</w:t>
            </w:r>
            <w:r w:rsidR="00794BCA" w:rsidRPr="00241F4B">
              <w:rPr>
                <w:rStyle w:val="Hyperlink"/>
                <w:noProof/>
                <w:rtl/>
                <w:lang w:bidi="fa-IR"/>
              </w:rPr>
              <w:t xml:space="preserve"> </w:t>
            </w:r>
            <w:r w:rsidR="00794BCA" w:rsidRPr="00241F4B">
              <w:rPr>
                <w:rStyle w:val="Hyperlink"/>
                <w:rFonts w:hint="eastAsia"/>
                <w:noProof/>
                <w:rtl/>
                <w:lang w:bidi="fa-IR"/>
              </w:rPr>
              <w:t>الْحَجُّ‌</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5" w:history="1">
            <w:r w:rsidR="00794BCA" w:rsidRPr="00241F4B">
              <w:rPr>
                <w:rStyle w:val="Hyperlink"/>
                <w:noProof/>
                <w:rtl/>
                <w:lang w:bidi="fa-IR"/>
              </w:rPr>
              <w:t xml:space="preserve">172 -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حَصَى</w:t>
            </w:r>
            <w:r w:rsidR="00794BCA" w:rsidRPr="00241F4B">
              <w:rPr>
                <w:rStyle w:val="Hyperlink"/>
                <w:noProof/>
                <w:rtl/>
                <w:lang w:bidi="fa-IR"/>
              </w:rPr>
              <w:t xml:space="preserve"> </w:t>
            </w:r>
            <w:r w:rsidR="00794BCA" w:rsidRPr="00241F4B">
              <w:rPr>
                <w:rStyle w:val="Hyperlink"/>
                <w:noProof/>
                <w:vertAlign w:val="superscript"/>
                <w:rtl/>
              </w:rPr>
              <w:t>(7)</w:t>
            </w:r>
            <w:r w:rsidR="00794BCA" w:rsidRPr="00241F4B">
              <w:rPr>
                <w:rStyle w:val="Hyperlink"/>
                <w:noProof/>
                <w:rtl/>
                <w:lang w:bidi="fa-IR"/>
              </w:rPr>
              <w:t xml:space="preserve"> </w:t>
            </w:r>
            <w:r w:rsidR="00794BCA" w:rsidRPr="00241F4B">
              <w:rPr>
                <w:rStyle w:val="Hyperlink"/>
                <w:rFonts w:hint="eastAsia"/>
                <w:noProof/>
                <w:rtl/>
                <w:lang w:bidi="fa-IR"/>
              </w:rPr>
              <w:t>الْجِمَارِ</w:t>
            </w:r>
            <w:r w:rsidR="00794BCA" w:rsidRPr="00241F4B">
              <w:rPr>
                <w:rStyle w:val="Hyperlink"/>
                <w:noProof/>
                <w:rtl/>
                <w:lang w:bidi="fa-IR"/>
              </w:rPr>
              <w:t xml:space="preserve"> </w:t>
            </w:r>
            <w:r w:rsidR="00794BCA" w:rsidRPr="00241F4B">
              <w:rPr>
                <w:rStyle w:val="Hyperlink"/>
                <w:noProof/>
                <w:vertAlign w:val="superscript"/>
                <w:rtl/>
              </w:rPr>
              <w:t>(8)</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أَيْنَ</w:t>
            </w:r>
            <w:r w:rsidR="00794BCA" w:rsidRPr="00241F4B">
              <w:rPr>
                <w:rStyle w:val="Hyperlink"/>
                <w:noProof/>
                <w:rtl/>
                <w:lang w:bidi="fa-IR"/>
              </w:rPr>
              <w:t xml:space="preserve"> </w:t>
            </w:r>
            <w:r w:rsidR="00794BCA" w:rsidRPr="00241F4B">
              <w:rPr>
                <w:rStyle w:val="Hyperlink"/>
                <w:rFonts w:hint="eastAsia"/>
                <w:noProof/>
                <w:rtl/>
                <w:lang w:bidi="fa-IR"/>
              </w:rPr>
              <w:t>تُؤْخَذُ</w:t>
            </w:r>
            <w:r w:rsidR="00794BCA" w:rsidRPr="00241F4B">
              <w:rPr>
                <w:rStyle w:val="Hyperlink"/>
                <w:noProof/>
                <w:rtl/>
                <w:lang w:bidi="fa-IR"/>
              </w:rPr>
              <w:t xml:space="preserve"> </w:t>
            </w:r>
            <w:r w:rsidR="00794BCA" w:rsidRPr="00241F4B">
              <w:rPr>
                <w:rStyle w:val="Hyperlink"/>
                <w:rFonts w:hint="eastAsia"/>
                <w:noProof/>
                <w:rtl/>
                <w:lang w:bidi="fa-IR"/>
              </w:rPr>
              <w:t>وَمِقْدَارِهَا‌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6" w:history="1">
            <w:r w:rsidR="00794BCA" w:rsidRPr="00241F4B">
              <w:rPr>
                <w:rStyle w:val="Hyperlink"/>
                <w:noProof/>
                <w:rtl/>
                <w:lang w:bidi="fa-IR"/>
              </w:rPr>
              <w:t xml:space="preserve">173 -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يَوْمِ</w:t>
            </w:r>
            <w:r w:rsidR="00794BCA" w:rsidRPr="00241F4B">
              <w:rPr>
                <w:rStyle w:val="Hyperlink"/>
                <w:noProof/>
                <w:rtl/>
                <w:lang w:bidi="fa-IR"/>
              </w:rPr>
              <w:t xml:space="preserve"> </w:t>
            </w:r>
            <w:r w:rsidR="00794BCA" w:rsidRPr="00241F4B">
              <w:rPr>
                <w:rStyle w:val="Hyperlink"/>
                <w:rFonts w:hint="eastAsia"/>
                <w:noProof/>
                <w:rtl/>
                <w:lang w:bidi="fa-IR"/>
              </w:rPr>
              <w:t>النَّحْرِ</w:t>
            </w:r>
            <w:r w:rsidR="00794BCA" w:rsidRPr="00241F4B">
              <w:rPr>
                <w:rStyle w:val="Hyperlink"/>
                <w:noProof/>
                <w:rtl/>
                <w:lang w:bidi="fa-IR"/>
              </w:rPr>
              <w:t xml:space="preserve"> </w:t>
            </w:r>
            <w:r w:rsidR="00794BCA" w:rsidRPr="00241F4B">
              <w:rPr>
                <w:rStyle w:val="Hyperlink"/>
                <w:rFonts w:hint="eastAsia"/>
                <w:noProof/>
                <w:rtl/>
                <w:lang w:bidi="fa-IR"/>
              </w:rPr>
              <w:t>وَمُبْتَدَإِ</w:t>
            </w:r>
            <w:r w:rsidR="00794BCA" w:rsidRPr="00241F4B">
              <w:rPr>
                <w:rStyle w:val="Hyperlink"/>
                <w:noProof/>
                <w:rtl/>
                <w:lang w:bidi="fa-IR"/>
              </w:rPr>
              <w:t xml:space="preserve"> </w:t>
            </w:r>
            <w:r w:rsidR="00794BCA" w:rsidRPr="00241F4B">
              <w:rPr>
                <w:rStyle w:val="Hyperlink"/>
                <w:rFonts w:hint="eastAsia"/>
                <w:noProof/>
                <w:rtl/>
                <w:lang w:bidi="fa-IR"/>
              </w:rPr>
              <w:t>الرَّمْيِ</w:t>
            </w:r>
            <w:r w:rsidR="00794BCA" w:rsidRPr="00241F4B">
              <w:rPr>
                <w:rStyle w:val="Hyperlink"/>
                <w:noProof/>
                <w:rtl/>
                <w:lang w:bidi="fa-IR"/>
              </w:rPr>
              <w:t xml:space="preserve"> </w:t>
            </w:r>
            <w:r w:rsidR="00794BCA" w:rsidRPr="00241F4B">
              <w:rPr>
                <w:rStyle w:val="Hyperlink"/>
                <w:rFonts w:hint="eastAsia"/>
                <w:noProof/>
                <w:rtl/>
                <w:lang w:bidi="fa-IR"/>
              </w:rPr>
              <w:t>وَفَضْلِهِ‌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7" w:history="1">
            <w:r w:rsidR="00794BCA" w:rsidRPr="00241F4B">
              <w:rPr>
                <w:rStyle w:val="Hyperlink"/>
                <w:noProof/>
                <w:rtl/>
                <w:lang w:bidi="fa-IR"/>
              </w:rPr>
              <w:t xml:space="preserve">174 -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رَمْيِ</w:t>
            </w:r>
            <w:r w:rsidR="00794BCA" w:rsidRPr="00241F4B">
              <w:rPr>
                <w:rStyle w:val="Hyperlink"/>
                <w:noProof/>
                <w:rtl/>
                <w:lang w:bidi="fa-IR"/>
              </w:rPr>
              <w:t xml:space="preserve"> </w:t>
            </w:r>
            <w:r w:rsidR="00794BCA" w:rsidRPr="00241F4B">
              <w:rPr>
                <w:rStyle w:val="Hyperlink"/>
                <w:rFonts w:hint="eastAsia"/>
                <w:noProof/>
                <w:rtl/>
                <w:lang w:bidi="fa-IR"/>
              </w:rPr>
              <w:t>الْجِمَارِ</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أَيَّامِ</w:t>
            </w:r>
            <w:r w:rsidR="00794BCA" w:rsidRPr="00241F4B">
              <w:rPr>
                <w:rStyle w:val="Hyperlink"/>
                <w:noProof/>
                <w:rtl/>
                <w:lang w:bidi="fa-IR"/>
              </w:rPr>
              <w:t xml:space="preserve"> </w:t>
            </w:r>
            <w:r w:rsidR="00794BCA" w:rsidRPr="00241F4B">
              <w:rPr>
                <w:rStyle w:val="Hyperlink"/>
                <w:rFonts w:hint="eastAsia"/>
                <w:noProof/>
                <w:rtl/>
                <w:lang w:bidi="fa-IR"/>
              </w:rPr>
              <w:t>التَّشْرِيقِ</w:t>
            </w:r>
            <w:r w:rsidR="00794BCA" w:rsidRPr="00241F4B">
              <w:rPr>
                <w:rStyle w:val="Hyperlink"/>
                <w:noProof/>
                <w:rtl/>
                <w:lang w:bidi="fa-IR"/>
              </w:rPr>
              <w:t xml:space="preserve"> </w:t>
            </w:r>
            <w:r w:rsidR="00794BCA" w:rsidRPr="00241F4B">
              <w:rPr>
                <w:rStyle w:val="Hyperlink"/>
                <w:noProof/>
                <w:vertAlign w:val="superscript"/>
                <w:rtl/>
              </w:rPr>
              <w:t>(1)</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8" w:history="1">
            <w:r w:rsidR="00794BCA" w:rsidRPr="00241F4B">
              <w:rPr>
                <w:rStyle w:val="Hyperlink"/>
                <w:noProof/>
                <w:rtl/>
                <w:lang w:bidi="fa-IR"/>
              </w:rPr>
              <w:t xml:space="preserve">175 -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خَالَفَ</w:t>
            </w:r>
            <w:r w:rsidR="00794BCA" w:rsidRPr="00241F4B">
              <w:rPr>
                <w:rStyle w:val="Hyperlink"/>
                <w:noProof/>
                <w:rtl/>
                <w:lang w:bidi="fa-IR"/>
              </w:rPr>
              <w:t xml:space="preserve"> </w:t>
            </w:r>
            <w:r w:rsidR="00794BCA" w:rsidRPr="00241F4B">
              <w:rPr>
                <w:rStyle w:val="Hyperlink"/>
                <w:rFonts w:hint="eastAsia"/>
                <w:noProof/>
                <w:rtl/>
                <w:lang w:bidi="fa-IR"/>
              </w:rPr>
              <w:t>الرَّمْيَ</w:t>
            </w:r>
            <w:r w:rsidR="00794BCA" w:rsidRPr="00241F4B">
              <w:rPr>
                <w:rStyle w:val="Hyperlink"/>
                <w:noProof/>
                <w:rtl/>
                <w:lang w:bidi="fa-IR"/>
              </w:rPr>
              <w:t xml:space="preserve"> </w:t>
            </w:r>
            <w:r w:rsidR="00794BCA" w:rsidRPr="00241F4B">
              <w:rPr>
                <w:rStyle w:val="Hyperlink"/>
                <w:rFonts w:hint="eastAsia"/>
                <w:noProof/>
                <w:rtl/>
                <w:lang w:bidi="fa-IR"/>
              </w:rPr>
              <w:t>أَوْ</w:t>
            </w:r>
            <w:r w:rsidR="00794BCA" w:rsidRPr="00241F4B">
              <w:rPr>
                <w:rStyle w:val="Hyperlink"/>
                <w:noProof/>
                <w:rtl/>
                <w:lang w:bidi="fa-IR"/>
              </w:rPr>
              <w:t xml:space="preserve"> </w:t>
            </w:r>
            <w:r w:rsidR="00794BCA" w:rsidRPr="00241F4B">
              <w:rPr>
                <w:rStyle w:val="Hyperlink"/>
                <w:rFonts w:hint="eastAsia"/>
                <w:noProof/>
                <w:rtl/>
                <w:lang w:bidi="fa-IR"/>
              </w:rPr>
              <w:t>زَادَ</w:t>
            </w:r>
            <w:r w:rsidR="00794BCA" w:rsidRPr="00241F4B">
              <w:rPr>
                <w:rStyle w:val="Hyperlink"/>
                <w:noProof/>
                <w:rtl/>
                <w:lang w:bidi="fa-IR"/>
              </w:rPr>
              <w:t xml:space="preserve"> </w:t>
            </w:r>
            <w:r w:rsidR="00794BCA" w:rsidRPr="00241F4B">
              <w:rPr>
                <w:rStyle w:val="Hyperlink"/>
                <w:rFonts w:hint="eastAsia"/>
                <w:noProof/>
                <w:rtl/>
                <w:lang w:bidi="fa-IR"/>
              </w:rPr>
              <w:t>أَوْ</w:t>
            </w:r>
            <w:r w:rsidR="00794BCA" w:rsidRPr="00241F4B">
              <w:rPr>
                <w:rStyle w:val="Hyperlink"/>
                <w:noProof/>
                <w:rtl/>
                <w:lang w:bidi="fa-IR"/>
              </w:rPr>
              <w:t xml:space="preserve"> </w:t>
            </w:r>
            <w:r w:rsidR="00794BCA" w:rsidRPr="00241F4B">
              <w:rPr>
                <w:rStyle w:val="Hyperlink"/>
                <w:rFonts w:hint="eastAsia"/>
                <w:noProof/>
                <w:rtl/>
                <w:lang w:bidi="fa-IR"/>
              </w:rPr>
              <w:t>نَقَصَ‌</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80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19" w:history="1">
            <w:r w:rsidR="00794BCA" w:rsidRPr="00241F4B">
              <w:rPr>
                <w:rStyle w:val="Hyperlink"/>
                <w:noProof/>
                <w:rtl/>
                <w:lang w:bidi="fa-IR"/>
              </w:rPr>
              <w:t xml:space="preserve">176 -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نَسِيَ</w:t>
            </w:r>
            <w:r w:rsidR="00794BCA" w:rsidRPr="00241F4B">
              <w:rPr>
                <w:rStyle w:val="Hyperlink"/>
                <w:noProof/>
                <w:rtl/>
                <w:lang w:bidi="fa-IR"/>
              </w:rPr>
              <w:t xml:space="preserve"> </w:t>
            </w:r>
            <w:r w:rsidR="00794BCA" w:rsidRPr="00241F4B">
              <w:rPr>
                <w:rStyle w:val="Hyperlink"/>
                <w:rFonts w:hint="eastAsia"/>
                <w:noProof/>
                <w:rtl/>
                <w:lang w:bidi="fa-IR"/>
              </w:rPr>
              <w:t>رَمْيَ</w:t>
            </w:r>
            <w:r w:rsidR="00794BCA" w:rsidRPr="00241F4B">
              <w:rPr>
                <w:rStyle w:val="Hyperlink"/>
                <w:noProof/>
                <w:rtl/>
                <w:lang w:bidi="fa-IR"/>
              </w:rPr>
              <w:t xml:space="preserve"> </w:t>
            </w:r>
            <w:r w:rsidR="00794BCA" w:rsidRPr="00241F4B">
              <w:rPr>
                <w:rStyle w:val="Hyperlink"/>
                <w:rFonts w:hint="eastAsia"/>
                <w:noProof/>
                <w:rtl/>
                <w:lang w:bidi="fa-IR"/>
              </w:rPr>
              <w:t>الْجِمَارِ</w:t>
            </w:r>
            <w:r w:rsidR="00794BCA" w:rsidRPr="00241F4B">
              <w:rPr>
                <w:rStyle w:val="Hyperlink"/>
                <w:noProof/>
                <w:rtl/>
                <w:lang w:bidi="fa-IR"/>
              </w:rPr>
              <w:t xml:space="preserve"> </w:t>
            </w:r>
            <w:r w:rsidR="00794BCA" w:rsidRPr="00241F4B">
              <w:rPr>
                <w:rStyle w:val="Hyperlink"/>
                <w:rFonts w:hint="eastAsia"/>
                <w:noProof/>
                <w:rtl/>
                <w:lang w:bidi="fa-IR"/>
              </w:rPr>
              <w:t>أَوْ</w:t>
            </w:r>
            <w:r w:rsidR="00794BCA" w:rsidRPr="00241F4B">
              <w:rPr>
                <w:rStyle w:val="Hyperlink"/>
                <w:noProof/>
                <w:rtl/>
                <w:lang w:bidi="fa-IR"/>
              </w:rPr>
              <w:t xml:space="preserve"> </w:t>
            </w:r>
            <w:r w:rsidR="00794BCA" w:rsidRPr="00241F4B">
              <w:rPr>
                <w:rStyle w:val="Hyperlink"/>
                <w:rFonts w:hint="eastAsia"/>
                <w:noProof/>
                <w:rtl/>
                <w:lang w:bidi="fa-IR"/>
              </w:rPr>
              <w:t>جَهِلَ‌</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49261319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84</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0" w:history="1">
            <w:r w:rsidR="00794BCA" w:rsidRPr="00241F4B">
              <w:rPr>
                <w:rStyle w:val="Hyperlink"/>
                <w:noProof/>
                <w:rtl/>
                <w:lang w:bidi="fa-IR"/>
              </w:rPr>
              <w:t xml:space="preserve">177 -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الرَّمْيِ</w:t>
            </w:r>
            <w:r w:rsidR="00794BCA" w:rsidRPr="00241F4B">
              <w:rPr>
                <w:rStyle w:val="Hyperlink"/>
                <w:noProof/>
                <w:rtl/>
                <w:lang w:bidi="fa-IR"/>
              </w:rPr>
              <w:t xml:space="preserve"> </w:t>
            </w:r>
            <w:r w:rsidR="00794BCA" w:rsidRPr="00241F4B">
              <w:rPr>
                <w:rStyle w:val="Hyperlink"/>
                <w:rFonts w:hint="eastAsia"/>
                <w:noProof/>
                <w:rtl/>
                <w:lang w:bidi="fa-IR"/>
              </w:rPr>
              <w:t>عَنِ</w:t>
            </w:r>
            <w:r w:rsidR="00794BCA" w:rsidRPr="00241F4B">
              <w:rPr>
                <w:rStyle w:val="Hyperlink"/>
                <w:noProof/>
                <w:rtl/>
                <w:lang w:bidi="fa-IR"/>
              </w:rPr>
              <w:t xml:space="preserve"> </w:t>
            </w:r>
            <w:r w:rsidR="00794BCA" w:rsidRPr="00241F4B">
              <w:rPr>
                <w:rStyle w:val="Hyperlink"/>
                <w:rFonts w:hint="eastAsia"/>
                <w:noProof/>
                <w:rtl/>
                <w:lang w:bidi="fa-IR"/>
              </w:rPr>
              <w:t>الْعَلِيلِ</w:t>
            </w:r>
            <w:r w:rsidR="00794BCA" w:rsidRPr="00241F4B">
              <w:rPr>
                <w:rStyle w:val="Hyperlink"/>
                <w:noProof/>
                <w:rtl/>
                <w:lang w:bidi="fa-IR"/>
              </w:rPr>
              <w:t xml:space="preserve"> </w:t>
            </w:r>
            <w:r w:rsidR="00794BCA" w:rsidRPr="00241F4B">
              <w:rPr>
                <w:rStyle w:val="Hyperlink"/>
                <w:rFonts w:hint="eastAsia"/>
                <w:noProof/>
                <w:rtl/>
                <w:lang w:bidi="fa-IR"/>
              </w:rPr>
              <w:t>وَالصِّبْيَانِ</w:t>
            </w:r>
            <w:r w:rsidR="00794BCA" w:rsidRPr="00241F4B">
              <w:rPr>
                <w:rStyle w:val="Hyperlink"/>
                <w:noProof/>
                <w:rtl/>
                <w:lang w:bidi="fa-IR"/>
              </w:rPr>
              <w:t xml:space="preserve"> </w:t>
            </w:r>
            <w:r w:rsidR="00794BCA" w:rsidRPr="00241F4B">
              <w:rPr>
                <w:rStyle w:val="Hyperlink"/>
                <w:rFonts w:hint="eastAsia"/>
                <w:noProof/>
                <w:rtl/>
                <w:lang w:bidi="fa-IR"/>
              </w:rPr>
              <w:t>وَالرَّمْيِ</w:t>
            </w:r>
            <w:r w:rsidR="00794BCA" w:rsidRPr="00241F4B">
              <w:rPr>
                <w:rStyle w:val="Hyperlink"/>
                <w:noProof/>
                <w:rtl/>
                <w:lang w:bidi="fa-IR"/>
              </w:rPr>
              <w:t xml:space="preserve"> </w:t>
            </w:r>
            <w:r w:rsidR="00794BCA" w:rsidRPr="00241F4B">
              <w:rPr>
                <w:rStyle w:val="Hyperlink"/>
                <w:rFonts w:hint="eastAsia"/>
                <w:noProof/>
                <w:rtl/>
                <w:lang w:bidi="fa-IR"/>
              </w:rPr>
              <w:t>رَاكِباً‌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87</w:t>
            </w:r>
            <w:r w:rsidR="00794BCA">
              <w:rPr>
                <w:noProof/>
                <w:webHidden/>
                <w:rtl/>
              </w:rPr>
              <w:fldChar w:fldCharType="end"/>
            </w:r>
          </w:hyperlink>
        </w:p>
        <w:p w:rsidR="00794BCA" w:rsidRDefault="00794BCA" w:rsidP="00467060">
          <w:pPr>
            <w:pStyle w:val="libNormal"/>
            <w:rPr>
              <w:rStyle w:val="Hyperlink"/>
              <w:noProof/>
            </w:rPr>
          </w:pPr>
          <w:r>
            <w:rPr>
              <w:rStyle w:val="Hyperlink"/>
              <w:noProof/>
            </w:rPr>
            <w:br w:type="page"/>
          </w:r>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1" w:history="1">
            <w:r w:rsidR="00794BCA" w:rsidRPr="00241F4B">
              <w:rPr>
                <w:rStyle w:val="Hyperlink"/>
                <w:noProof/>
                <w:rtl/>
                <w:lang w:bidi="fa-IR"/>
              </w:rPr>
              <w:t xml:space="preserve">178 -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أَيَّامِ</w:t>
            </w:r>
            <w:r w:rsidR="00794BCA" w:rsidRPr="00241F4B">
              <w:rPr>
                <w:rStyle w:val="Hyperlink"/>
                <w:noProof/>
                <w:rtl/>
                <w:lang w:bidi="fa-IR"/>
              </w:rPr>
              <w:t xml:space="preserve"> </w:t>
            </w:r>
            <w:r w:rsidR="00794BCA" w:rsidRPr="00241F4B">
              <w:rPr>
                <w:rStyle w:val="Hyperlink"/>
                <w:rFonts w:hint="eastAsia"/>
                <w:noProof/>
                <w:rtl/>
                <w:lang w:bidi="fa-IR"/>
              </w:rPr>
              <w:t>النَّحْرِ‌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90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2" w:history="1">
            <w:r w:rsidR="00794BCA" w:rsidRPr="00241F4B">
              <w:rPr>
                <w:rStyle w:val="Hyperlink"/>
                <w:noProof/>
                <w:rtl/>
                <w:lang w:bidi="fa-IR"/>
              </w:rPr>
              <w:t xml:space="preserve">179 -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أَدْنى</w:t>
            </w:r>
            <w:r w:rsidR="00794BCA" w:rsidRPr="00241F4B">
              <w:rPr>
                <w:rStyle w:val="Hyperlink"/>
                <w:noProof/>
                <w:rtl/>
                <w:lang w:bidi="fa-IR"/>
              </w:rPr>
              <w:t xml:space="preserve"> </w:t>
            </w:r>
            <w:r w:rsidR="00794BCA" w:rsidRPr="00241F4B">
              <w:rPr>
                <w:rStyle w:val="Hyperlink"/>
                <w:rFonts w:hint="eastAsia"/>
                <w:noProof/>
                <w:rtl/>
                <w:lang w:bidi="fa-IR"/>
              </w:rPr>
              <w:t>مَا</w:t>
            </w:r>
            <w:r w:rsidR="00794BCA" w:rsidRPr="00241F4B">
              <w:rPr>
                <w:rStyle w:val="Hyperlink"/>
                <w:noProof/>
                <w:rtl/>
                <w:lang w:bidi="fa-IR"/>
              </w:rPr>
              <w:t xml:space="preserve"> </w:t>
            </w:r>
            <w:r w:rsidR="00794BCA" w:rsidRPr="00241F4B">
              <w:rPr>
                <w:rStyle w:val="Hyperlink"/>
                <w:rFonts w:hint="eastAsia"/>
                <w:noProof/>
                <w:rtl/>
                <w:lang w:bidi="fa-IR"/>
              </w:rPr>
              <w:t>يُجْزِئُ</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الْهَدْيِ‌</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91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3" w:history="1">
            <w:r w:rsidR="00794BCA" w:rsidRPr="00241F4B">
              <w:rPr>
                <w:rStyle w:val="Hyperlink"/>
                <w:noProof/>
                <w:rtl/>
                <w:lang w:bidi="fa-IR"/>
              </w:rPr>
              <w:t xml:space="preserve">180 -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يَجِبُ</w:t>
            </w:r>
            <w:r w:rsidR="00794BCA" w:rsidRPr="00241F4B">
              <w:rPr>
                <w:rStyle w:val="Hyperlink"/>
                <w:noProof/>
                <w:rtl/>
                <w:lang w:bidi="fa-IR"/>
              </w:rPr>
              <w:t xml:space="preserve"> </w:t>
            </w:r>
            <w:r w:rsidR="00794BCA" w:rsidRPr="00241F4B">
              <w:rPr>
                <w:rStyle w:val="Hyperlink"/>
                <w:rFonts w:hint="eastAsia"/>
                <w:noProof/>
                <w:rtl/>
                <w:lang w:bidi="fa-IR"/>
              </w:rPr>
              <w:t>عَلَيْهِ</w:t>
            </w:r>
            <w:r w:rsidR="00794BCA" w:rsidRPr="00241F4B">
              <w:rPr>
                <w:rStyle w:val="Hyperlink"/>
                <w:noProof/>
                <w:rtl/>
                <w:lang w:bidi="fa-IR"/>
              </w:rPr>
              <w:t xml:space="preserve"> </w:t>
            </w:r>
            <w:r w:rsidR="00794BCA" w:rsidRPr="00241F4B">
              <w:rPr>
                <w:rStyle w:val="Hyperlink"/>
                <w:rFonts w:hint="eastAsia"/>
                <w:noProof/>
                <w:rtl/>
                <w:lang w:bidi="fa-IR"/>
              </w:rPr>
              <w:t>الْهَدْيُ</w:t>
            </w:r>
            <w:r w:rsidR="00794BCA" w:rsidRPr="00241F4B">
              <w:rPr>
                <w:rStyle w:val="Hyperlink"/>
                <w:noProof/>
                <w:rtl/>
                <w:lang w:bidi="fa-IR"/>
              </w:rPr>
              <w:t xml:space="preserve"> </w:t>
            </w:r>
            <w:r w:rsidR="00794BCA" w:rsidRPr="00241F4B">
              <w:rPr>
                <w:rStyle w:val="Hyperlink"/>
                <w:rFonts w:hint="eastAsia"/>
                <w:noProof/>
                <w:rtl/>
                <w:lang w:bidi="fa-IR"/>
              </w:rPr>
              <w:t>وَأَيْنَ</w:t>
            </w:r>
            <w:r w:rsidR="00794BCA" w:rsidRPr="00241F4B">
              <w:rPr>
                <w:rStyle w:val="Hyperlink"/>
                <w:noProof/>
                <w:rtl/>
                <w:lang w:bidi="fa-IR"/>
              </w:rPr>
              <w:t xml:space="preserve"> </w:t>
            </w:r>
            <w:r w:rsidR="00794BCA" w:rsidRPr="00241F4B">
              <w:rPr>
                <w:rStyle w:val="Hyperlink"/>
                <w:rFonts w:hint="eastAsia"/>
                <w:noProof/>
                <w:rtl/>
                <w:lang w:bidi="fa-IR"/>
              </w:rPr>
              <w:t>يَذْبَحُهُ‌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92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4" w:history="1">
            <w:r w:rsidR="00794BCA" w:rsidRPr="00241F4B">
              <w:rPr>
                <w:rStyle w:val="Hyperlink"/>
                <w:noProof/>
                <w:rtl/>
                <w:lang w:bidi="fa-IR"/>
              </w:rPr>
              <w:t xml:space="preserve">181 -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مَا</w:t>
            </w:r>
            <w:r w:rsidR="00794BCA" w:rsidRPr="00241F4B">
              <w:rPr>
                <w:rStyle w:val="Hyperlink"/>
                <w:noProof/>
                <w:rtl/>
                <w:lang w:bidi="fa-IR"/>
              </w:rPr>
              <w:t xml:space="preserve"> </w:t>
            </w:r>
            <w:r w:rsidR="00794BCA" w:rsidRPr="00241F4B">
              <w:rPr>
                <w:rStyle w:val="Hyperlink"/>
                <w:rFonts w:hint="eastAsia"/>
                <w:noProof/>
                <w:rtl/>
                <w:lang w:bidi="fa-IR"/>
              </w:rPr>
              <w:t>يُسْتَحَبُّ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الْهَدْيِ</w:t>
            </w:r>
            <w:r w:rsidR="00794BCA" w:rsidRPr="00241F4B">
              <w:rPr>
                <w:rStyle w:val="Hyperlink"/>
                <w:noProof/>
                <w:rtl/>
                <w:lang w:bidi="fa-IR"/>
              </w:rPr>
              <w:t xml:space="preserve"> </w:t>
            </w:r>
            <w:r w:rsidR="00794BCA" w:rsidRPr="00241F4B">
              <w:rPr>
                <w:rStyle w:val="Hyperlink"/>
                <w:rFonts w:hint="eastAsia"/>
                <w:noProof/>
                <w:rtl/>
                <w:lang w:bidi="fa-IR"/>
              </w:rPr>
              <w:t>وَمَا</w:t>
            </w:r>
            <w:r w:rsidR="00794BCA" w:rsidRPr="00241F4B">
              <w:rPr>
                <w:rStyle w:val="Hyperlink"/>
                <w:noProof/>
                <w:rtl/>
                <w:lang w:bidi="fa-IR"/>
              </w:rPr>
              <w:t xml:space="preserve"> </w:t>
            </w:r>
            <w:r w:rsidR="00794BCA" w:rsidRPr="00241F4B">
              <w:rPr>
                <w:rStyle w:val="Hyperlink"/>
                <w:rFonts w:hint="eastAsia"/>
                <w:noProof/>
                <w:rtl/>
                <w:lang w:bidi="fa-IR"/>
              </w:rPr>
              <w:t>يَجُوزُ</w:t>
            </w:r>
            <w:r w:rsidR="00794BCA" w:rsidRPr="00241F4B">
              <w:rPr>
                <w:rStyle w:val="Hyperlink"/>
                <w:noProof/>
                <w:rtl/>
                <w:lang w:bidi="fa-IR"/>
              </w:rPr>
              <w:t xml:space="preserve"> </w:t>
            </w:r>
            <w:r w:rsidR="00794BCA" w:rsidRPr="00241F4B">
              <w:rPr>
                <w:rStyle w:val="Hyperlink"/>
                <w:rFonts w:hint="eastAsia"/>
                <w:noProof/>
                <w:rtl/>
                <w:lang w:bidi="fa-IR"/>
              </w:rPr>
              <w:t>مِنْهُ</w:t>
            </w:r>
            <w:r w:rsidR="00794BCA" w:rsidRPr="00241F4B">
              <w:rPr>
                <w:rStyle w:val="Hyperlink"/>
                <w:noProof/>
                <w:rtl/>
                <w:lang w:bidi="fa-IR"/>
              </w:rPr>
              <w:t xml:space="preserve"> </w:t>
            </w:r>
            <w:r w:rsidR="00794BCA" w:rsidRPr="00241F4B">
              <w:rPr>
                <w:rStyle w:val="Hyperlink"/>
                <w:rFonts w:hint="eastAsia"/>
                <w:noProof/>
                <w:rtl/>
                <w:lang w:bidi="fa-IR"/>
              </w:rPr>
              <w:t>وَمَا</w:t>
            </w:r>
            <w:r w:rsidR="00794BCA" w:rsidRPr="00241F4B">
              <w:rPr>
                <w:rStyle w:val="Hyperlink"/>
                <w:noProof/>
                <w:rtl/>
                <w:lang w:bidi="fa-IR"/>
              </w:rPr>
              <w:t xml:space="preserve"> </w:t>
            </w:r>
            <w:r w:rsidR="00794BCA" w:rsidRPr="00241F4B">
              <w:rPr>
                <w:rStyle w:val="Hyperlink"/>
                <w:rFonts w:hint="eastAsia"/>
                <w:noProof/>
                <w:rtl/>
                <w:lang w:bidi="fa-IR"/>
              </w:rPr>
              <w:t>لَايَجُوزُ‌</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95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5" w:history="1">
            <w:r w:rsidR="00794BCA" w:rsidRPr="00241F4B">
              <w:rPr>
                <w:rStyle w:val="Hyperlink"/>
                <w:noProof/>
                <w:rtl/>
                <w:lang w:bidi="fa-IR"/>
              </w:rPr>
              <w:t xml:space="preserve">182 -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الْهَدْيِ</w:t>
            </w:r>
            <w:r w:rsidR="00794BCA" w:rsidRPr="00241F4B">
              <w:rPr>
                <w:rStyle w:val="Hyperlink"/>
                <w:noProof/>
                <w:rtl/>
                <w:lang w:bidi="fa-IR"/>
              </w:rPr>
              <w:t xml:space="preserve"> </w:t>
            </w:r>
            <w:r w:rsidR="00794BCA" w:rsidRPr="00241F4B">
              <w:rPr>
                <w:rStyle w:val="Hyperlink"/>
                <w:rFonts w:hint="eastAsia"/>
                <w:noProof/>
                <w:rtl/>
                <w:lang w:bidi="fa-IR"/>
              </w:rPr>
              <w:t>يُنْتَجُ</w:t>
            </w:r>
            <w:r w:rsidR="00794BCA" w:rsidRPr="00241F4B">
              <w:rPr>
                <w:rStyle w:val="Hyperlink"/>
                <w:noProof/>
                <w:rtl/>
                <w:lang w:bidi="fa-IR"/>
              </w:rPr>
              <w:t xml:space="preserve"> </w:t>
            </w:r>
            <w:r w:rsidR="00794BCA" w:rsidRPr="00241F4B">
              <w:rPr>
                <w:rStyle w:val="Hyperlink"/>
                <w:rFonts w:hint="eastAsia"/>
                <w:noProof/>
                <w:rtl/>
                <w:lang w:bidi="fa-IR"/>
              </w:rPr>
              <w:t>أَوْ</w:t>
            </w:r>
            <w:r w:rsidR="00794BCA" w:rsidRPr="00241F4B">
              <w:rPr>
                <w:rStyle w:val="Hyperlink"/>
                <w:noProof/>
                <w:rtl/>
                <w:lang w:bidi="fa-IR"/>
              </w:rPr>
              <w:t xml:space="preserve"> </w:t>
            </w:r>
            <w:r w:rsidR="00794BCA" w:rsidRPr="00241F4B">
              <w:rPr>
                <w:rStyle w:val="Hyperlink"/>
                <w:rFonts w:hint="eastAsia"/>
                <w:noProof/>
                <w:rtl/>
                <w:lang w:bidi="fa-IR"/>
              </w:rPr>
              <w:t>يُحْلَبُ</w:t>
            </w:r>
            <w:r w:rsidR="00794BCA" w:rsidRPr="00241F4B">
              <w:rPr>
                <w:rStyle w:val="Hyperlink"/>
                <w:noProof/>
                <w:rtl/>
                <w:lang w:bidi="fa-IR"/>
              </w:rPr>
              <w:t xml:space="preserve"> </w:t>
            </w:r>
            <w:r w:rsidR="00794BCA" w:rsidRPr="00241F4B">
              <w:rPr>
                <w:rStyle w:val="Hyperlink"/>
                <w:rFonts w:hint="eastAsia"/>
                <w:noProof/>
                <w:rtl/>
                <w:lang w:bidi="fa-IR"/>
              </w:rPr>
              <w:t>أَوْ</w:t>
            </w:r>
            <w:r w:rsidR="00794BCA" w:rsidRPr="00241F4B">
              <w:rPr>
                <w:rStyle w:val="Hyperlink"/>
                <w:noProof/>
                <w:rtl/>
                <w:lang w:bidi="fa-IR"/>
              </w:rPr>
              <w:t xml:space="preserve"> </w:t>
            </w:r>
            <w:r w:rsidR="00794BCA" w:rsidRPr="00241F4B">
              <w:rPr>
                <w:rStyle w:val="Hyperlink"/>
                <w:rFonts w:hint="eastAsia"/>
                <w:noProof/>
                <w:rtl/>
                <w:lang w:bidi="fa-IR"/>
              </w:rPr>
              <w:t>يُرْكَبُ‌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108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6" w:history="1">
            <w:r w:rsidR="00794BCA" w:rsidRPr="00241F4B">
              <w:rPr>
                <w:rStyle w:val="Hyperlink"/>
                <w:noProof/>
                <w:rtl/>
                <w:lang w:bidi="fa-IR"/>
              </w:rPr>
              <w:t xml:space="preserve">183 -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الْهَدْيِ</w:t>
            </w:r>
            <w:r w:rsidR="00794BCA" w:rsidRPr="00241F4B">
              <w:rPr>
                <w:rStyle w:val="Hyperlink"/>
                <w:noProof/>
                <w:rtl/>
                <w:lang w:bidi="fa-IR"/>
              </w:rPr>
              <w:t xml:space="preserve"> </w:t>
            </w:r>
            <w:r w:rsidR="00794BCA" w:rsidRPr="00241F4B">
              <w:rPr>
                <w:rStyle w:val="Hyperlink"/>
                <w:rFonts w:hint="eastAsia"/>
                <w:noProof/>
                <w:rtl/>
                <w:lang w:bidi="fa-IR"/>
              </w:rPr>
              <w:t>يَعْطَبُ</w:t>
            </w:r>
            <w:r w:rsidR="00794BCA" w:rsidRPr="00241F4B">
              <w:rPr>
                <w:rStyle w:val="Hyperlink"/>
                <w:noProof/>
                <w:rtl/>
                <w:lang w:bidi="fa-IR"/>
              </w:rPr>
              <w:t xml:space="preserve"> </w:t>
            </w:r>
            <w:r w:rsidR="00794BCA" w:rsidRPr="00241F4B">
              <w:rPr>
                <w:rStyle w:val="Hyperlink"/>
                <w:noProof/>
                <w:vertAlign w:val="superscript"/>
                <w:rtl/>
              </w:rPr>
              <w:t>(5)</w:t>
            </w:r>
            <w:r w:rsidR="00794BCA" w:rsidRPr="00241F4B">
              <w:rPr>
                <w:rStyle w:val="Hyperlink"/>
                <w:noProof/>
                <w:rtl/>
                <w:lang w:bidi="fa-IR"/>
              </w:rPr>
              <w:t xml:space="preserve"> </w:t>
            </w:r>
            <w:r w:rsidR="00794BCA" w:rsidRPr="00241F4B">
              <w:rPr>
                <w:rStyle w:val="Hyperlink"/>
                <w:rFonts w:hint="eastAsia"/>
                <w:noProof/>
                <w:rtl/>
                <w:lang w:bidi="fa-IR"/>
              </w:rPr>
              <w:t>أَوْ</w:t>
            </w:r>
            <w:r w:rsidR="00794BCA" w:rsidRPr="00241F4B">
              <w:rPr>
                <w:rStyle w:val="Hyperlink"/>
                <w:noProof/>
                <w:rtl/>
                <w:lang w:bidi="fa-IR"/>
              </w:rPr>
              <w:t xml:space="preserve"> </w:t>
            </w:r>
            <w:r w:rsidR="00794BCA" w:rsidRPr="00241F4B">
              <w:rPr>
                <w:rStyle w:val="Hyperlink"/>
                <w:rFonts w:hint="eastAsia"/>
                <w:noProof/>
                <w:rtl/>
                <w:lang w:bidi="fa-IR"/>
              </w:rPr>
              <w:t>يَهْلِكُ</w:t>
            </w:r>
            <w:r w:rsidR="00794BCA" w:rsidRPr="00241F4B">
              <w:rPr>
                <w:rStyle w:val="Hyperlink"/>
                <w:noProof/>
                <w:rtl/>
                <w:lang w:bidi="fa-IR"/>
              </w:rPr>
              <w:t xml:space="preserve"> </w:t>
            </w:r>
            <w:r w:rsidR="00794BCA" w:rsidRPr="00241F4B">
              <w:rPr>
                <w:rStyle w:val="Hyperlink"/>
                <w:rFonts w:hint="eastAsia"/>
                <w:noProof/>
                <w:rtl/>
                <w:lang w:bidi="fa-IR"/>
              </w:rPr>
              <w:t>قَبْلَ</w:t>
            </w:r>
            <w:r w:rsidR="00794BCA" w:rsidRPr="00241F4B">
              <w:rPr>
                <w:rStyle w:val="Hyperlink"/>
                <w:noProof/>
                <w:rtl/>
                <w:lang w:bidi="fa-IR"/>
              </w:rPr>
              <w:t xml:space="preserve"> </w:t>
            </w:r>
            <w:r w:rsidR="00794BCA" w:rsidRPr="00241F4B">
              <w:rPr>
                <w:rStyle w:val="Hyperlink"/>
                <w:rFonts w:hint="eastAsia"/>
                <w:noProof/>
                <w:rtl/>
                <w:lang w:bidi="fa-IR"/>
              </w:rPr>
              <w:t>أَنْ</w:t>
            </w:r>
            <w:r w:rsidR="00794BCA" w:rsidRPr="00241F4B">
              <w:rPr>
                <w:rStyle w:val="Hyperlink"/>
                <w:noProof/>
                <w:rtl/>
                <w:lang w:bidi="fa-IR"/>
              </w:rPr>
              <w:t xml:space="preserve"> </w:t>
            </w:r>
            <w:r w:rsidR="00794BCA" w:rsidRPr="00241F4B">
              <w:rPr>
                <w:rStyle w:val="Hyperlink"/>
                <w:rFonts w:hint="eastAsia"/>
                <w:noProof/>
                <w:rtl/>
                <w:lang w:bidi="fa-IR"/>
              </w:rPr>
              <w:t>يَبْلُغَ</w:t>
            </w:r>
            <w:r w:rsidR="00794BCA" w:rsidRPr="00241F4B">
              <w:rPr>
                <w:rStyle w:val="Hyperlink"/>
                <w:noProof/>
                <w:rtl/>
                <w:lang w:bidi="fa-IR"/>
              </w:rPr>
              <w:t xml:space="preserve"> </w:t>
            </w:r>
            <w:r w:rsidR="00794BCA" w:rsidRPr="00241F4B">
              <w:rPr>
                <w:rStyle w:val="Hyperlink"/>
                <w:rFonts w:hint="eastAsia"/>
                <w:noProof/>
                <w:rtl/>
                <w:lang w:bidi="fa-IR"/>
              </w:rPr>
              <w:t>مَحِلَّهُ</w:t>
            </w:r>
            <w:r w:rsidR="00794BCA" w:rsidRPr="00241F4B">
              <w:rPr>
                <w:rStyle w:val="Hyperlink"/>
                <w:noProof/>
                <w:rtl/>
                <w:lang w:bidi="fa-IR"/>
              </w:rPr>
              <w:t xml:space="preserve"> </w:t>
            </w:r>
            <w:r w:rsidR="00794BCA" w:rsidRPr="00241F4B">
              <w:rPr>
                <w:rStyle w:val="Hyperlink"/>
                <w:rFonts w:hint="eastAsia"/>
                <w:noProof/>
                <w:rtl/>
                <w:lang w:bidi="fa-IR"/>
              </w:rPr>
              <w:t>وَالْأَكْلِ</w:t>
            </w:r>
            <w:r w:rsidR="00794BCA" w:rsidRPr="00241F4B">
              <w:rPr>
                <w:rStyle w:val="Hyperlink"/>
                <w:noProof/>
                <w:rtl/>
                <w:lang w:bidi="fa-IR"/>
              </w:rPr>
              <w:t xml:space="preserve"> </w:t>
            </w:r>
            <w:r w:rsidR="00794BCA" w:rsidRPr="00241F4B">
              <w:rPr>
                <w:rStyle w:val="Hyperlink"/>
                <w:rFonts w:hint="eastAsia"/>
                <w:noProof/>
                <w:rtl/>
                <w:lang w:bidi="fa-IR"/>
              </w:rPr>
              <w:t>مِنْهُ‌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110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7" w:history="1">
            <w:r w:rsidR="00794BCA" w:rsidRPr="00241F4B">
              <w:rPr>
                <w:rStyle w:val="Hyperlink"/>
                <w:noProof/>
                <w:rtl/>
                <w:lang w:bidi="fa-IR"/>
              </w:rPr>
              <w:t xml:space="preserve">184 -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الْبَدَنَةِ</w:t>
            </w:r>
            <w:r w:rsidR="00794BCA" w:rsidRPr="00241F4B">
              <w:rPr>
                <w:rStyle w:val="Hyperlink"/>
                <w:noProof/>
                <w:rtl/>
                <w:lang w:bidi="fa-IR"/>
              </w:rPr>
              <w:t xml:space="preserve"> </w:t>
            </w:r>
            <w:r w:rsidR="00794BCA" w:rsidRPr="00241F4B">
              <w:rPr>
                <w:rStyle w:val="Hyperlink"/>
                <w:noProof/>
                <w:vertAlign w:val="superscript"/>
                <w:rtl/>
              </w:rPr>
              <w:t>(7)</w:t>
            </w:r>
            <w:r w:rsidR="00794BCA" w:rsidRPr="00241F4B">
              <w:rPr>
                <w:rStyle w:val="Hyperlink"/>
                <w:noProof/>
                <w:rtl/>
                <w:lang w:bidi="fa-IR"/>
              </w:rPr>
              <w:t xml:space="preserve"> </w:t>
            </w:r>
            <w:r w:rsidR="00794BCA" w:rsidRPr="00241F4B">
              <w:rPr>
                <w:rStyle w:val="Hyperlink"/>
                <w:rFonts w:hint="eastAsia"/>
                <w:noProof/>
                <w:rtl/>
                <w:lang w:bidi="fa-IR"/>
              </w:rPr>
              <w:t>وَالْبَقَرَةِ</w:t>
            </w:r>
            <w:r w:rsidR="00794BCA" w:rsidRPr="00241F4B">
              <w:rPr>
                <w:rStyle w:val="Hyperlink"/>
                <w:noProof/>
                <w:rtl/>
                <w:lang w:bidi="fa-IR"/>
              </w:rPr>
              <w:t xml:space="preserve"> </w:t>
            </w:r>
            <w:r w:rsidR="00794BCA" w:rsidRPr="00241F4B">
              <w:rPr>
                <w:rStyle w:val="Hyperlink"/>
                <w:rFonts w:hint="eastAsia"/>
                <w:noProof/>
                <w:rtl/>
                <w:lang w:bidi="fa-IR"/>
              </w:rPr>
              <w:t>عَنْ</w:t>
            </w:r>
            <w:r w:rsidR="00794BCA" w:rsidRPr="00241F4B">
              <w:rPr>
                <w:rStyle w:val="Hyperlink"/>
                <w:noProof/>
                <w:rtl/>
                <w:lang w:bidi="fa-IR"/>
              </w:rPr>
              <w:t xml:space="preserve"> </w:t>
            </w:r>
            <w:r w:rsidR="00794BCA" w:rsidRPr="00241F4B">
              <w:rPr>
                <w:rStyle w:val="Hyperlink"/>
                <w:rFonts w:hint="eastAsia"/>
                <w:noProof/>
                <w:rtl/>
                <w:lang w:bidi="fa-IR"/>
              </w:rPr>
              <w:t>كَمْ</w:t>
            </w:r>
            <w:r w:rsidR="00794BCA" w:rsidRPr="00241F4B">
              <w:rPr>
                <w:rStyle w:val="Hyperlink"/>
                <w:noProof/>
                <w:rtl/>
                <w:lang w:bidi="fa-IR"/>
              </w:rPr>
              <w:t xml:space="preserve"> </w:t>
            </w:r>
            <w:r w:rsidR="00794BCA" w:rsidRPr="00241F4B">
              <w:rPr>
                <w:rStyle w:val="Hyperlink"/>
                <w:rFonts w:hint="eastAsia"/>
                <w:noProof/>
                <w:rtl/>
                <w:lang w:bidi="fa-IR"/>
              </w:rPr>
              <w:t>تُجْزِئُ‌</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115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8" w:history="1">
            <w:r w:rsidR="00794BCA" w:rsidRPr="00241F4B">
              <w:rPr>
                <w:rStyle w:val="Hyperlink"/>
                <w:noProof/>
                <w:rtl/>
                <w:lang w:bidi="fa-IR"/>
              </w:rPr>
              <w:t xml:space="preserve">185 -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الذَّبْحِ</w:t>
            </w:r>
            <w:r w:rsidR="00794BCA" w:rsidRPr="00241F4B">
              <w:rPr>
                <w:rStyle w:val="Hyperlink"/>
                <w:noProof/>
                <w:rtl/>
                <w:lang w:bidi="fa-IR"/>
              </w:rPr>
              <w:t xml:space="preserve"> </w:t>
            </w:r>
            <w:r w:rsidR="00794BCA" w:rsidRPr="00241F4B">
              <w:rPr>
                <w:rStyle w:val="Hyperlink"/>
                <w:noProof/>
                <w:vertAlign w:val="superscript"/>
                <w:rtl/>
              </w:rPr>
              <w:t>(11)</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119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29" w:history="1">
            <w:r w:rsidR="00794BCA" w:rsidRPr="00241F4B">
              <w:rPr>
                <w:rStyle w:val="Hyperlink"/>
                <w:noProof/>
                <w:rtl/>
                <w:lang w:bidi="fa-IR"/>
              </w:rPr>
              <w:t xml:space="preserve">186 -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الْأَكْلِ</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الْهَدْيِ</w:t>
            </w:r>
            <w:r w:rsidR="00794BCA" w:rsidRPr="00241F4B">
              <w:rPr>
                <w:rStyle w:val="Hyperlink"/>
                <w:noProof/>
                <w:rtl/>
                <w:lang w:bidi="fa-IR"/>
              </w:rPr>
              <w:t xml:space="preserve"> </w:t>
            </w:r>
            <w:r w:rsidR="00794BCA" w:rsidRPr="00241F4B">
              <w:rPr>
                <w:rStyle w:val="Hyperlink"/>
                <w:rFonts w:hint="eastAsia"/>
                <w:noProof/>
                <w:rtl/>
                <w:lang w:bidi="fa-IR"/>
              </w:rPr>
              <w:t>الْوَاجِبِ</w:t>
            </w:r>
            <w:r w:rsidR="00794BCA" w:rsidRPr="00241F4B">
              <w:rPr>
                <w:rStyle w:val="Hyperlink"/>
                <w:noProof/>
                <w:rtl/>
                <w:lang w:bidi="fa-IR"/>
              </w:rPr>
              <w:t xml:space="preserve"> </w:t>
            </w:r>
            <w:r w:rsidR="00794BCA" w:rsidRPr="00241F4B">
              <w:rPr>
                <w:rStyle w:val="Hyperlink"/>
                <w:rFonts w:hint="eastAsia"/>
                <w:noProof/>
                <w:rtl/>
                <w:lang w:bidi="fa-IR"/>
              </w:rPr>
              <w:t>وَالصَّدَقَةِ</w:t>
            </w:r>
            <w:r w:rsidR="00794BCA" w:rsidRPr="00241F4B">
              <w:rPr>
                <w:rStyle w:val="Hyperlink"/>
                <w:noProof/>
                <w:rtl/>
                <w:lang w:bidi="fa-IR"/>
              </w:rPr>
              <w:t xml:space="preserve"> </w:t>
            </w:r>
            <w:r w:rsidR="00794BCA" w:rsidRPr="00241F4B">
              <w:rPr>
                <w:rStyle w:val="Hyperlink"/>
                <w:rFonts w:hint="eastAsia"/>
                <w:noProof/>
                <w:rtl/>
                <w:lang w:bidi="fa-IR"/>
              </w:rPr>
              <w:t>مِنْهَا</w:t>
            </w:r>
            <w:r w:rsidR="00794BCA" w:rsidRPr="00241F4B">
              <w:rPr>
                <w:rStyle w:val="Hyperlink"/>
                <w:noProof/>
                <w:rtl/>
                <w:lang w:bidi="fa-IR"/>
              </w:rPr>
              <w:t xml:space="preserve"> </w:t>
            </w:r>
            <w:r w:rsidR="00794BCA" w:rsidRPr="00241F4B">
              <w:rPr>
                <w:rStyle w:val="Hyperlink"/>
                <w:noProof/>
                <w:vertAlign w:val="superscript"/>
                <w:rtl/>
              </w:rPr>
              <w:t>(9)</w:t>
            </w:r>
            <w:r w:rsidR="00794BCA" w:rsidRPr="00241F4B">
              <w:rPr>
                <w:rStyle w:val="Hyperlink"/>
                <w:noProof/>
                <w:rtl/>
                <w:lang w:bidi="fa-IR"/>
              </w:rPr>
              <w:t xml:space="preserve"> </w:t>
            </w:r>
            <w:r w:rsidR="00794BCA" w:rsidRPr="00241F4B">
              <w:rPr>
                <w:rStyle w:val="Hyperlink"/>
                <w:rFonts w:hint="eastAsia"/>
                <w:noProof/>
                <w:rtl/>
                <w:lang w:bidi="fa-IR"/>
              </w:rPr>
              <w:t>وَإِخْرَاجِهِ</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مِنًى‌</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49261329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124</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0" w:history="1">
            <w:r w:rsidR="00794BCA" w:rsidRPr="00241F4B">
              <w:rPr>
                <w:rStyle w:val="Hyperlink"/>
                <w:noProof/>
                <w:rtl/>
                <w:lang w:bidi="fa-IR"/>
              </w:rPr>
              <w:t xml:space="preserve">187 -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جُلُودِ</w:t>
            </w:r>
            <w:r w:rsidR="00794BCA" w:rsidRPr="00241F4B">
              <w:rPr>
                <w:rStyle w:val="Hyperlink"/>
                <w:noProof/>
                <w:rtl/>
                <w:lang w:bidi="fa-IR"/>
              </w:rPr>
              <w:t xml:space="preserve"> </w:t>
            </w:r>
            <w:r w:rsidR="00794BCA" w:rsidRPr="00241F4B">
              <w:rPr>
                <w:rStyle w:val="Hyperlink"/>
                <w:rFonts w:hint="eastAsia"/>
                <w:noProof/>
                <w:rtl/>
                <w:lang w:bidi="fa-IR"/>
              </w:rPr>
              <w:t>الْهَدْيِ‌</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132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1" w:history="1">
            <w:r w:rsidR="00794BCA" w:rsidRPr="00241F4B">
              <w:rPr>
                <w:rStyle w:val="Hyperlink"/>
                <w:noProof/>
                <w:rtl/>
                <w:lang w:bidi="fa-IR"/>
              </w:rPr>
              <w:t xml:space="preserve">188 -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الْحَلْقِ</w:t>
            </w:r>
            <w:r w:rsidR="00794BCA" w:rsidRPr="00241F4B">
              <w:rPr>
                <w:rStyle w:val="Hyperlink"/>
                <w:noProof/>
                <w:rtl/>
                <w:lang w:bidi="fa-IR"/>
              </w:rPr>
              <w:t xml:space="preserve"> </w:t>
            </w:r>
            <w:r w:rsidR="00794BCA" w:rsidRPr="00241F4B">
              <w:rPr>
                <w:rStyle w:val="Hyperlink"/>
                <w:rFonts w:hint="eastAsia"/>
                <w:noProof/>
                <w:rtl/>
                <w:lang w:bidi="fa-IR"/>
              </w:rPr>
              <w:t>وَالتَّقْصِيرِ‌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133</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2" w:history="1">
            <w:r w:rsidR="00794BCA" w:rsidRPr="00241F4B">
              <w:rPr>
                <w:rStyle w:val="Hyperlink"/>
                <w:noProof/>
                <w:rtl/>
                <w:lang w:bidi="fa-IR"/>
              </w:rPr>
              <w:t xml:space="preserve">189 -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قَدَّمَ</w:t>
            </w:r>
            <w:r w:rsidR="00794BCA" w:rsidRPr="00241F4B">
              <w:rPr>
                <w:rStyle w:val="Hyperlink"/>
                <w:noProof/>
                <w:rtl/>
                <w:lang w:bidi="fa-IR"/>
              </w:rPr>
              <w:t xml:space="preserve"> </w:t>
            </w:r>
            <w:r w:rsidR="00794BCA" w:rsidRPr="00241F4B">
              <w:rPr>
                <w:rStyle w:val="Hyperlink"/>
                <w:rFonts w:hint="eastAsia"/>
                <w:noProof/>
                <w:rtl/>
                <w:lang w:bidi="fa-IR"/>
              </w:rPr>
              <w:t>شَيْئاً</w:t>
            </w:r>
            <w:r w:rsidR="00794BCA" w:rsidRPr="00241F4B">
              <w:rPr>
                <w:rStyle w:val="Hyperlink"/>
                <w:noProof/>
                <w:rtl/>
                <w:lang w:bidi="fa-IR"/>
              </w:rPr>
              <w:t xml:space="preserve"> </w:t>
            </w:r>
            <w:r w:rsidR="00794BCA" w:rsidRPr="00241F4B">
              <w:rPr>
                <w:rStyle w:val="Hyperlink"/>
                <w:rFonts w:hint="eastAsia"/>
                <w:noProof/>
                <w:rtl/>
                <w:lang w:bidi="fa-IR"/>
              </w:rPr>
              <w:t>أَوْ</w:t>
            </w:r>
            <w:r w:rsidR="00794BCA" w:rsidRPr="00241F4B">
              <w:rPr>
                <w:rStyle w:val="Hyperlink"/>
                <w:noProof/>
                <w:rtl/>
                <w:lang w:bidi="fa-IR"/>
              </w:rPr>
              <w:t xml:space="preserve"> </w:t>
            </w:r>
            <w:r w:rsidR="00794BCA" w:rsidRPr="00241F4B">
              <w:rPr>
                <w:rStyle w:val="Hyperlink"/>
                <w:rFonts w:hint="eastAsia"/>
                <w:noProof/>
                <w:rtl/>
                <w:lang w:bidi="fa-IR"/>
              </w:rPr>
              <w:t>أَخَّرَهُ</w:t>
            </w:r>
            <w:r w:rsidR="00794BCA" w:rsidRPr="00241F4B">
              <w:rPr>
                <w:rStyle w:val="Hyperlink"/>
                <w:noProof/>
                <w:rtl/>
                <w:lang w:bidi="fa-IR"/>
              </w:rPr>
              <w:t xml:space="preserve"> </w:t>
            </w:r>
            <w:r w:rsidR="00794BCA" w:rsidRPr="00241F4B">
              <w:rPr>
                <w:rStyle w:val="Hyperlink"/>
                <w:noProof/>
                <w:vertAlign w:val="superscript"/>
                <w:rtl/>
              </w:rPr>
              <w:t>(1)</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مَنَاسِكِهِ‌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140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3" w:history="1">
            <w:r w:rsidR="00794BCA" w:rsidRPr="00241F4B">
              <w:rPr>
                <w:rStyle w:val="Hyperlink"/>
                <w:noProof/>
                <w:rtl/>
                <w:lang w:bidi="fa-IR"/>
              </w:rPr>
              <w:t xml:space="preserve">190 -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مَا</w:t>
            </w:r>
            <w:r w:rsidR="00794BCA" w:rsidRPr="00241F4B">
              <w:rPr>
                <w:rStyle w:val="Hyperlink"/>
                <w:noProof/>
                <w:rtl/>
                <w:lang w:bidi="fa-IR"/>
              </w:rPr>
              <w:t xml:space="preserve"> </w:t>
            </w:r>
            <w:r w:rsidR="00794BCA" w:rsidRPr="00241F4B">
              <w:rPr>
                <w:rStyle w:val="Hyperlink"/>
                <w:rFonts w:hint="eastAsia"/>
                <w:noProof/>
                <w:rtl/>
                <w:lang w:bidi="fa-IR"/>
              </w:rPr>
              <w:t>يَحِلُّ</w:t>
            </w:r>
            <w:r w:rsidR="00794BCA" w:rsidRPr="00241F4B">
              <w:rPr>
                <w:rStyle w:val="Hyperlink"/>
                <w:noProof/>
                <w:rtl/>
                <w:lang w:bidi="fa-IR"/>
              </w:rPr>
              <w:t xml:space="preserve"> </w:t>
            </w:r>
            <w:r w:rsidR="00794BCA" w:rsidRPr="00241F4B">
              <w:rPr>
                <w:rStyle w:val="Hyperlink"/>
                <w:rFonts w:hint="eastAsia"/>
                <w:noProof/>
                <w:rtl/>
                <w:lang w:bidi="fa-IR"/>
              </w:rPr>
              <w:t>لِلرَّجُلِ</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اللِّبَاسِ</w:t>
            </w:r>
            <w:r w:rsidR="00794BCA" w:rsidRPr="00241F4B">
              <w:rPr>
                <w:rStyle w:val="Hyperlink"/>
                <w:noProof/>
                <w:rtl/>
                <w:lang w:bidi="fa-IR"/>
              </w:rPr>
              <w:t xml:space="preserve"> </w:t>
            </w:r>
            <w:r w:rsidR="00794BCA" w:rsidRPr="00241F4B">
              <w:rPr>
                <w:rStyle w:val="Hyperlink"/>
                <w:rFonts w:hint="eastAsia"/>
                <w:noProof/>
                <w:rtl/>
                <w:lang w:bidi="fa-IR"/>
              </w:rPr>
              <w:t>وَالطِّيبِ</w:t>
            </w:r>
            <w:r w:rsidR="00794BCA" w:rsidRPr="00241F4B">
              <w:rPr>
                <w:rStyle w:val="Hyperlink"/>
                <w:noProof/>
                <w:rtl/>
                <w:lang w:bidi="fa-IR"/>
              </w:rPr>
              <w:t xml:space="preserve"> </w:t>
            </w:r>
            <w:r w:rsidR="00794BCA" w:rsidRPr="00241F4B">
              <w:rPr>
                <w:rStyle w:val="Hyperlink"/>
                <w:rFonts w:hint="eastAsia"/>
                <w:noProof/>
                <w:rtl/>
                <w:lang w:bidi="fa-IR"/>
              </w:rPr>
              <w:t>إِذَا</w:t>
            </w:r>
            <w:r w:rsidR="00794BCA" w:rsidRPr="00241F4B">
              <w:rPr>
                <w:rStyle w:val="Hyperlink"/>
                <w:noProof/>
                <w:rtl/>
                <w:lang w:bidi="fa-IR"/>
              </w:rPr>
              <w:t xml:space="preserve"> </w:t>
            </w:r>
            <w:r w:rsidR="00794BCA" w:rsidRPr="00241F4B">
              <w:rPr>
                <w:rStyle w:val="Hyperlink"/>
                <w:rFonts w:hint="eastAsia"/>
                <w:noProof/>
                <w:rtl/>
                <w:lang w:bidi="fa-IR"/>
              </w:rPr>
              <w:t>حَلَقَ</w:t>
            </w:r>
            <w:r w:rsidR="00794BCA" w:rsidRPr="00241F4B">
              <w:rPr>
                <w:rStyle w:val="Hyperlink"/>
                <w:noProof/>
                <w:rtl/>
                <w:lang w:bidi="fa-IR"/>
              </w:rPr>
              <w:t xml:space="preserve"> </w:t>
            </w:r>
            <w:r w:rsidR="00794BCA" w:rsidRPr="00241F4B">
              <w:rPr>
                <w:rStyle w:val="Hyperlink"/>
                <w:rFonts w:hint="eastAsia"/>
                <w:noProof/>
                <w:rtl/>
                <w:lang w:bidi="fa-IR"/>
              </w:rPr>
              <w:t>قَبْلَ</w:t>
            </w:r>
            <w:r w:rsidR="00794BCA" w:rsidRPr="00241F4B">
              <w:rPr>
                <w:rStyle w:val="Hyperlink"/>
                <w:noProof/>
                <w:rtl/>
                <w:lang w:bidi="fa-IR"/>
              </w:rPr>
              <w:t xml:space="preserve"> </w:t>
            </w:r>
            <w:r w:rsidR="00794BCA" w:rsidRPr="00241F4B">
              <w:rPr>
                <w:rStyle w:val="Hyperlink"/>
                <w:rFonts w:hint="eastAsia"/>
                <w:noProof/>
                <w:rtl/>
                <w:lang w:bidi="fa-IR"/>
              </w:rPr>
              <w:t>أَنْ</w:t>
            </w:r>
            <w:r w:rsidR="00794BCA" w:rsidRPr="00241F4B">
              <w:rPr>
                <w:rStyle w:val="Hyperlink"/>
                <w:noProof/>
                <w:rtl/>
                <w:lang w:bidi="fa-IR"/>
              </w:rPr>
              <w:t xml:space="preserve"> </w:t>
            </w:r>
            <w:r w:rsidR="00794BCA" w:rsidRPr="00241F4B">
              <w:rPr>
                <w:rStyle w:val="Hyperlink"/>
                <w:rFonts w:hint="eastAsia"/>
                <w:noProof/>
                <w:rtl/>
                <w:lang w:bidi="fa-IR"/>
              </w:rPr>
              <w:t>يَزُورَ‌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142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4" w:history="1">
            <w:r w:rsidR="00794BCA" w:rsidRPr="00241F4B">
              <w:rPr>
                <w:rStyle w:val="Hyperlink"/>
                <w:noProof/>
                <w:rtl/>
                <w:lang w:bidi="fa-IR"/>
              </w:rPr>
              <w:t xml:space="preserve">191 -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صَوْمِ</w:t>
            </w:r>
            <w:r w:rsidR="00794BCA" w:rsidRPr="00241F4B">
              <w:rPr>
                <w:rStyle w:val="Hyperlink"/>
                <w:noProof/>
                <w:rtl/>
                <w:lang w:bidi="fa-IR"/>
              </w:rPr>
              <w:t xml:space="preserve"> </w:t>
            </w:r>
            <w:r w:rsidR="00794BCA" w:rsidRPr="00241F4B">
              <w:rPr>
                <w:rStyle w:val="Hyperlink"/>
                <w:rFonts w:hint="eastAsia"/>
                <w:noProof/>
                <w:rtl/>
                <w:lang w:bidi="fa-IR"/>
              </w:rPr>
              <w:t>الْمُتَمَتِّعِ</w:t>
            </w:r>
            <w:r w:rsidR="00794BCA" w:rsidRPr="00241F4B">
              <w:rPr>
                <w:rStyle w:val="Hyperlink"/>
                <w:noProof/>
                <w:rtl/>
                <w:lang w:bidi="fa-IR"/>
              </w:rPr>
              <w:t xml:space="preserve"> </w:t>
            </w:r>
            <w:r w:rsidR="00794BCA" w:rsidRPr="00241F4B">
              <w:rPr>
                <w:rStyle w:val="Hyperlink"/>
                <w:rFonts w:hint="eastAsia"/>
                <w:noProof/>
                <w:rtl/>
                <w:lang w:bidi="fa-IR"/>
              </w:rPr>
              <w:t>إِذَا</w:t>
            </w:r>
            <w:r w:rsidR="00794BCA" w:rsidRPr="00241F4B">
              <w:rPr>
                <w:rStyle w:val="Hyperlink"/>
                <w:noProof/>
                <w:rtl/>
                <w:lang w:bidi="fa-IR"/>
              </w:rPr>
              <w:t xml:space="preserve"> </w:t>
            </w:r>
            <w:r w:rsidR="00794BCA" w:rsidRPr="00241F4B">
              <w:rPr>
                <w:rStyle w:val="Hyperlink"/>
                <w:rFonts w:hint="eastAsia"/>
                <w:noProof/>
                <w:rtl/>
                <w:lang w:bidi="fa-IR"/>
              </w:rPr>
              <w:t>لَمْ</w:t>
            </w:r>
            <w:r w:rsidR="00794BCA" w:rsidRPr="00241F4B">
              <w:rPr>
                <w:rStyle w:val="Hyperlink"/>
                <w:noProof/>
                <w:rtl/>
                <w:lang w:bidi="fa-IR"/>
              </w:rPr>
              <w:t xml:space="preserve"> </w:t>
            </w:r>
            <w:r w:rsidR="00794BCA" w:rsidRPr="00241F4B">
              <w:rPr>
                <w:rStyle w:val="Hyperlink"/>
                <w:rFonts w:hint="eastAsia"/>
                <w:noProof/>
                <w:rtl/>
                <w:lang w:bidi="fa-IR"/>
              </w:rPr>
              <w:t>يَجِدِ</w:t>
            </w:r>
            <w:r w:rsidR="00794BCA" w:rsidRPr="00241F4B">
              <w:rPr>
                <w:rStyle w:val="Hyperlink"/>
                <w:noProof/>
                <w:rtl/>
                <w:lang w:bidi="fa-IR"/>
              </w:rPr>
              <w:t xml:space="preserve"> </w:t>
            </w:r>
            <w:r w:rsidR="00794BCA" w:rsidRPr="00241F4B">
              <w:rPr>
                <w:rStyle w:val="Hyperlink"/>
                <w:rFonts w:hint="eastAsia"/>
                <w:noProof/>
                <w:rtl/>
                <w:lang w:bidi="fa-IR"/>
              </w:rPr>
              <w:t>الْهَدْيَ‌</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146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5" w:history="1">
            <w:r w:rsidR="00794BCA" w:rsidRPr="00241F4B">
              <w:rPr>
                <w:rStyle w:val="Hyperlink"/>
                <w:noProof/>
                <w:rtl/>
                <w:lang w:bidi="fa-IR"/>
              </w:rPr>
              <w:t xml:space="preserve">192 -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الزِّيَارَةِ</w:t>
            </w:r>
            <w:r w:rsidR="00794BCA" w:rsidRPr="00241F4B">
              <w:rPr>
                <w:rStyle w:val="Hyperlink"/>
                <w:noProof/>
                <w:rtl/>
                <w:lang w:bidi="fa-IR"/>
              </w:rPr>
              <w:t xml:space="preserve"> </w:t>
            </w:r>
            <w:r w:rsidR="00794BCA" w:rsidRPr="00241F4B">
              <w:rPr>
                <w:rStyle w:val="Hyperlink"/>
                <w:rFonts w:hint="eastAsia"/>
                <w:noProof/>
                <w:rtl/>
                <w:lang w:bidi="fa-IR"/>
              </w:rPr>
              <w:t>وَالْغُسْلِ</w:t>
            </w:r>
            <w:r w:rsidR="00794BCA" w:rsidRPr="00241F4B">
              <w:rPr>
                <w:rStyle w:val="Hyperlink"/>
                <w:noProof/>
                <w:rtl/>
                <w:lang w:bidi="fa-IR"/>
              </w:rPr>
              <w:t xml:space="preserve"> </w:t>
            </w:r>
            <w:r w:rsidR="00794BCA" w:rsidRPr="00241F4B">
              <w:rPr>
                <w:rStyle w:val="Hyperlink"/>
                <w:rFonts w:hint="eastAsia"/>
                <w:noProof/>
                <w:rtl/>
                <w:lang w:bidi="fa-IR"/>
              </w:rPr>
              <w:t>فِيهَا‌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155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6" w:history="1">
            <w:r w:rsidR="00794BCA" w:rsidRPr="00241F4B">
              <w:rPr>
                <w:rStyle w:val="Hyperlink"/>
                <w:noProof/>
                <w:rtl/>
                <w:lang w:bidi="fa-IR"/>
              </w:rPr>
              <w:t xml:space="preserve">193 -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طَوَافِ</w:t>
            </w:r>
            <w:r w:rsidR="00794BCA" w:rsidRPr="00241F4B">
              <w:rPr>
                <w:rStyle w:val="Hyperlink"/>
                <w:noProof/>
                <w:rtl/>
                <w:lang w:bidi="fa-IR"/>
              </w:rPr>
              <w:t xml:space="preserve"> </w:t>
            </w:r>
            <w:r w:rsidR="00794BCA" w:rsidRPr="00241F4B">
              <w:rPr>
                <w:rStyle w:val="Hyperlink"/>
                <w:rFonts w:hint="eastAsia"/>
                <w:noProof/>
                <w:rtl/>
                <w:lang w:bidi="fa-IR"/>
              </w:rPr>
              <w:t>النِّسَاءِ‌</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159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7" w:history="1">
            <w:r w:rsidR="00794BCA" w:rsidRPr="00241F4B">
              <w:rPr>
                <w:rStyle w:val="Hyperlink"/>
                <w:noProof/>
                <w:rtl/>
                <w:lang w:bidi="fa-IR"/>
              </w:rPr>
              <w:t xml:space="preserve">194 -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بَاتَ</w:t>
            </w:r>
            <w:r w:rsidR="00794BCA" w:rsidRPr="00241F4B">
              <w:rPr>
                <w:rStyle w:val="Hyperlink"/>
                <w:noProof/>
                <w:rtl/>
                <w:lang w:bidi="fa-IR"/>
              </w:rPr>
              <w:t xml:space="preserve"> </w:t>
            </w:r>
            <w:r w:rsidR="00794BCA" w:rsidRPr="00241F4B">
              <w:rPr>
                <w:rStyle w:val="Hyperlink"/>
                <w:rFonts w:hint="eastAsia"/>
                <w:noProof/>
                <w:rtl/>
                <w:lang w:bidi="fa-IR"/>
              </w:rPr>
              <w:t>عَنْ</w:t>
            </w:r>
            <w:r w:rsidR="00794BCA" w:rsidRPr="00241F4B">
              <w:rPr>
                <w:rStyle w:val="Hyperlink"/>
                <w:noProof/>
                <w:rtl/>
                <w:lang w:bidi="fa-IR"/>
              </w:rPr>
              <w:t xml:space="preserve"> </w:t>
            </w:r>
            <w:r w:rsidR="00794BCA" w:rsidRPr="00241F4B">
              <w:rPr>
                <w:rStyle w:val="Hyperlink"/>
                <w:rFonts w:hint="eastAsia"/>
                <w:noProof/>
                <w:rtl/>
                <w:lang w:bidi="fa-IR"/>
              </w:rPr>
              <w:t>مِنًى</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لَيَالِيهَا‌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162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8" w:history="1">
            <w:r w:rsidR="00794BCA" w:rsidRPr="00241F4B">
              <w:rPr>
                <w:rStyle w:val="Hyperlink"/>
                <w:noProof/>
                <w:rtl/>
                <w:lang w:bidi="fa-IR"/>
              </w:rPr>
              <w:t xml:space="preserve">195 -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إِتْيَانِ</w:t>
            </w:r>
            <w:r w:rsidR="00794BCA" w:rsidRPr="00241F4B">
              <w:rPr>
                <w:rStyle w:val="Hyperlink"/>
                <w:noProof/>
                <w:rtl/>
                <w:lang w:bidi="fa-IR"/>
              </w:rPr>
              <w:t xml:space="preserve"> </w:t>
            </w:r>
            <w:r w:rsidR="00794BCA" w:rsidRPr="00241F4B">
              <w:rPr>
                <w:rStyle w:val="Hyperlink"/>
                <w:rFonts w:hint="eastAsia"/>
                <w:noProof/>
                <w:rtl/>
                <w:lang w:bidi="fa-IR"/>
              </w:rPr>
              <w:t>مَكَّةَ</w:t>
            </w:r>
            <w:r w:rsidR="00794BCA" w:rsidRPr="00241F4B">
              <w:rPr>
                <w:rStyle w:val="Hyperlink"/>
                <w:noProof/>
                <w:rtl/>
                <w:lang w:bidi="fa-IR"/>
              </w:rPr>
              <w:t xml:space="preserve"> </w:t>
            </w:r>
            <w:r w:rsidR="00794BCA" w:rsidRPr="00241F4B">
              <w:rPr>
                <w:rStyle w:val="Hyperlink"/>
                <w:noProof/>
                <w:vertAlign w:val="superscript"/>
                <w:rtl/>
              </w:rPr>
              <w:t>(5)</w:t>
            </w:r>
            <w:r w:rsidR="00794BCA" w:rsidRPr="00241F4B">
              <w:rPr>
                <w:rStyle w:val="Hyperlink"/>
                <w:noProof/>
                <w:rtl/>
                <w:lang w:bidi="fa-IR"/>
              </w:rPr>
              <w:t xml:space="preserve"> </w:t>
            </w:r>
            <w:r w:rsidR="00794BCA" w:rsidRPr="00241F4B">
              <w:rPr>
                <w:rStyle w:val="Hyperlink"/>
                <w:rFonts w:hint="eastAsia"/>
                <w:noProof/>
                <w:rtl/>
                <w:lang w:bidi="fa-IR"/>
              </w:rPr>
              <w:t>بَعْدَ</w:t>
            </w:r>
            <w:r w:rsidR="00794BCA" w:rsidRPr="00241F4B">
              <w:rPr>
                <w:rStyle w:val="Hyperlink"/>
                <w:noProof/>
                <w:rtl/>
                <w:lang w:bidi="fa-IR"/>
              </w:rPr>
              <w:t xml:space="preserve"> </w:t>
            </w:r>
            <w:r w:rsidR="00794BCA" w:rsidRPr="00241F4B">
              <w:rPr>
                <w:rStyle w:val="Hyperlink"/>
                <w:rFonts w:hint="eastAsia"/>
                <w:noProof/>
                <w:rtl/>
                <w:lang w:bidi="fa-IR"/>
              </w:rPr>
              <w:t>الزِّيَارَةِ</w:t>
            </w:r>
            <w:r w:rsidR="00794BCA" w:rsidRPr="00241F4B">
              <w:rPr>
                <w:rStyle w:val="Hyperlink"/>
                <w:noProof/>
                <w:rtl/>
                <w:lang w:bidi="fa-IR"/>
              </w:rPr>
              <w:t xml:space="preserve"> </w:t>
            </w:r>
            <w:r w:rsidR="00794BCA" w:rsidRPr="00241F4B">
              <w:rPr>
                <w:rStyle w:val="Hyperlink"/>
                <w:rFonts w:hint="eastAsia"/>
                <w:noProof/>
                <w:rtl/>
                <w:lang w:bidi="fa-IR"/>
              </w:rPr>
              <w:t>لِلطَّوَافِ</w:t>
            </w:r>
            <w:r w:rsidR="00794BCA" w:rsidRPr="00241F4B">
              <w:rPr>
                <w:rStyle w:val="Hyperlink"/>
                <w:noProof/>
                <w:rtl/>
                <w:lang w:bidi="fa-IR"/>
              </w:rPr>
              <w:t xml:space="preserve"> </w:t>
            </w:r>
            <w:r w:rsidR="00794BCA" w:rsidRPr="00241F4B">
              <w:rPr>
                <w:rStyle w:val="Hyperlink"/>
                <w:noProof/>
                <w:vertAlign w:val="superscript"/>
                <w:rtl/>
              </w:rPr>
              <w:t>(6)</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165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39" w:history="1">
            <w:r w:rsidR="00794BCA" w:rsidRPr="00241F4B">
              <w:rPr>
                <w:rStyle w:val="Hyperlink"/>
                <w:noProof/>
                <w:rtl/>
                <w:lang w:bidi="fa-IR"/>
              </w:rPr>
              <w:t xml:space="preserve">196 -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التَّكْبِيرِ</w:t>
            </w:r>
            <w:r w:rsidR="00794BCA" w:rsidRPr="00241F4B">
              <w:rPr>
                <w:rStyle w:val="Hyperlink"/>
                <w:noProof/>
                <w:rtl/>
                <w:lang w:bidi="fa-IR"/>
              </w:rPr>
              <w:t xml:space="preserve"> </w:t>
            </w:r>
            <w:r w:rsidR="00794BCA" w:rsidRPr="00241F4B">
              <w:rPr>
                <w:rStyle w:val="Hyperlink"/>
                <w:noProof/>
                <w:vertAlign w:val="superscript"/>
                <w:rtl/>
              </w:rPr>
              <w:t>(4)</w:t>
            </w:r>
            <w:r w:rsidR="00794BCA" w:rsidRPr="00241F4B">
              <w:rPr>
                <w:rStyle w:val="Hyperlink"/>
                <w:noProof/>
                <w:rtl/>
                <w:lang w:bidi="fa-IR"/>
              </w:rPr>
              <w:t xml:space="preserve"> </w:t>
            </w:r>
            <w:r w:rsidR="00794BCA" w:rsidRPr="00241F4B">
              <w:rPr>
                <w:rStyle w:val="Hyperlink"/>
                <w:rFonts w:hint="eastAsia"/>
                <w:noProof/>
                <w:rtl/>
                <w:lang w:bidi="fa-IR"/>
              </w:rPr>
              <w:t>أَيَّامَ</w:t>
            </w:r>
            <w:r w:rsidR="00794BCA" w:rsidRPr="00241F4B">
              <w:rPr>
                <w:rStyle w:val="Hyperlink"/>
                <w:noProof/>
                <w:rtl/>
                <w:lang w:bidi="fa-IR"/>
              </w:rPr>
              <w:t xml:space="preserve"> </w:t>
            </w:r>
            <w:r w:rsidR="00794BCA" w:rsidRPr="00241F4B">
              <w:rPr>
                <w:rStyle w:val="Hyperlink"/>
                <w:rFonts w:hint="eastAsia"/>
                <w:noProof/>
                <w:rtl/>
                <w:lang w:bidi="fa-IR"/>
              </w:rPr>
              <w:t>التَّشْرِيقِ‌</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49261339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166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0" w:history="1">
            <w:r w:rsidR="00794BCA" w:rsidRPr="00241F4B">
              <w:rPr>
                <w:rStyle w:val="Hyperlink"/>
                <w:noProof/>
                <w:rtl/>
                <w:lang w:bidi="fa-IR"/>
              </w:rPr>
              <w:t xml:space="preserve">197 -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الصَّلَاةِ</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مَسْجِدِ</w:t>
            </w:r>
            <w:r w:rsidR="00794BCA" w:rsidRPr="00241F4B">
              <w:rPr>
                <w:rStyle w:val="Hyperlink"/>
                <w:noProof/>
                <w:rtl/>
                <w:lang w:bidi="fa-IR"/>
              </w:rPr>
              <w:t xml:space="preserve"> </w:t>
            </w:r>
            <w:r w:rsidR="00794BCA" w:rsidRPr="00241F4B">
              <w:rPr>
                <w:rStyle w:val="Hyperlink"/>
                <w:rFonts w:hint="eastAsia"/>
                <w:noProof/>
                <w:rtl/>
                <w:lang w:bidi="fa-IR"/>
              </w:rPr>
              <w:t>مِنًى</w:t>
            </w:r>
            <w:r w:rsidR="00794BCA" w:rsidRPr="00241F4B">
              <w:rPr>
                <w:rStyle w:val="Hyperlink"/>
                <w:noProof/>
                <w:rtl/>
                <w:lang w:bidi="fa-IR"/>
              </w:rPr>
              <w:t xml:space="preserve"> </w:t>
            </w:r>
            <w:r w:rsidR="00794BCA" w:rsidRPr="00241F4B">
              <w:rPr>
                <w:rStyle w:val="Hyperlink"/>
                <w:rFonts w:hint="eastAsia"/>
                <w:noProof/>
                <w:rtl/>
                <w:lang w:bidi="fa-IR"/>
              </w:rPr>
              <w:t>وَمَنْ</w:t>
            </w:r>
            <w:r w:rsidR="00794BCA" w:rsidRPr="00241F4B">
              <w:rPr>
                <w:rStyle w:val="Hyperlink"/>
                <w:noProof/>
                <w:rtl/>
                <w:lang w:bidi="fa-IR"/>
              </w:rPr>
              <w:t xml:space="preserve"> </w:t>
            </w:r>
            <w:r w:rsidR="00794BCA" w:rsidRPr="00241F4B">
              <w:rPr>
                <w:rStyle w:val="Hyperlink"/>
                <w:rFonts w:hint="eastAsia"/>
                <w:noProof/>
                <w:rtl/>
                <w:lang w:bidi="fa-IR"/>
              </w:rPr>
              <w:t>يَجِبُ</w:t>
            </w:r>
            <w:r w:rsidR="00794BCA" w:rsidRPr="00241F4B">
              <w:rPr>
                <w:rStyle w:val="Hyperlink"/>
                <w:noProof/>
                <w:rtl/>
                <w:lang w:bidi="fa-IR"/>
              </w:rPr>
              <w:t xml:space="preserve"> </w:t>
            </w:r>
            <w:r w:rsidR="00794BCA" w:rsidRPr="00241F4B">
              <w:rPr>
                <w:rStyle w:val="Hyperlink"/>
                <w:rFonts w:hint="eastAsia"/>
                <w:noProof/>
                <w:rtl/>
                <w:lang w:bidi="fa-IR"/>
              </w:rPr>
              <w:t>عَلَيْهِ</w:t>
            </w:r>
            <w:r w:rsidR="00794BCA" w:rsidRPr="00241F4B">
              <w:rPr>
                <w:rStyle w:val="Hyperlink"/>
                <w:noProof/>
                <w:rtl/>
                <w:lang w:bidi="fa-IR"/>
              </w:rPr>
              <w:t xml:space="preserve"> </w:t>
            </w:r>
            <w:r w:rsidR="00794BCA" w:rsidRPr="00241F4B">
              <w:rPr>
                <w:rStyle w:val="Hyperlink"/>
                <w:rFonts w:hint="eastAsia"/>
                <w:noProof/>
                <w:rtl/>
                <w:lang w:bidi="fa-IR"/>
              </w:rPr>
              <w:t>التَّقْصِيرُ</w:t>
            </w:r>
            <w:r w:rsidR="00794BCA" w:rsidRPr="00241F4B">
              <w:rPr>
                <w:rStyle w:val="Hyperlink"/>
                <w:noProof/>
                <w:rtl/>
                <w:lang w:bidi="fa-IR"/>
              </w:rPr>
              <w:t xml:space="preserve"> </w:t>
            </w:r>
            <w:r w:rsidR="00794BCA" w:rsidRPr="00241F4B">
              <w:rPr>
                <w:rStyle w:val="Hyperlink"/>
                <w:rFonts w:hint="eastAsia"/>
                <w:noProof/>
                <w:rtl/>
                <w:lang w:bidi="fa-IR"/>
              </w:rPr>
              <w:t>وَالتَّمَامُ</w:t>
            </w:r>
            <w:r w:rsidR="00794BCA" w:rsidRPr="00241F4B">
              <w:rPr>
                <w:rStyle w:val="Hyperlink"/>
                <w:noProof/>
                <w:rtl/>
                <w:lang w:bidi="fa-IR"/>
              </w:rPr>
              <w:t xml:space="preserve"> </w:t>
            </w:r>
            <w:r w:rsidR="00794BCA" w:rsidRPr="00241F4B">
              <w:rPr>
                <w:rStyle w:val="Hyperlink"/>
                <w:rFonts w:hint="eastAsia"/>
                <w:noProof/>
                <w:rtl/>
                <w:lang w:bidi="fa-IR"/>
              </w:rPr>
              <w:t>بِمِنًى‌</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170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1" w:history="1">
            <w:r w:rsidR="00794BCA" w:rsidRPr="00241F4B">
              <w:rPr>
                <w:rStyle w:val="Hyperlink"/>
                <w:noProof/>
                <w:rtl/>
                <w:lang w:bidi="fa-IR"/>
              </w:rPr>
              <w:t xml:space="preserve">198 -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النَّفْرِ</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مِنًى</w:t>
            </w:r>
            <w:r w:rsidR="00794BCA" w:rsidRPr="00241F4B">
              <w:rPr>
                <w:rStyle w:val="Hyperlink"/>
                <w:noProof/>
                <w:rtl/>
                <w:lang w:bidi="fa-IR"/>
              </w:rPr>
              <w:t xml:space="preserve"> </w:t>
            </w:r>
            <w:r w:rsidR="00794BCA" w:rsidRPr="00241F4B">
              <w:rPr>
                <w:rStyle w:val="Hyperlink"/>
                <w:rFonts w:hint="eastAsia"/>
                <w:noProof/>
                <w:rtl/>
                <w:lang w:bidi="fa-IR"/>
              </w:rPr>
              <w:t>الْأَوَّلِ</w:t>
            </w:r>
            <w:r w:rsidR="00794BCA" w:rsidRPr="00241F4B">
              <w:rPr>
                <w:rStyle w:val="Hyperlink"/>
                <w:noProof/>
                <w:rtl/>
                <w:lang w:bidi="fa-IR"/>
              </w:rPr>
              <w:t xml:space="preserve"> </w:t>
            </w:r>
            <w:r w:rsidR="00794BCA" w:rsidRPr="00241F4B">
              <w:rPr>
                <w:rStyle w:val="Hyperlink"/>
                <w:rFonts w:hint="eastAsia"/>
                <w:noProof/>
                <w:rtl/>
                <w:lang w:bidi="fa-IR"/>
              </w:rPr>
              <w:t>وَالْآخِرِ‌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174</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2" w:history="1">
            <w:r w:rsidR="00794BCA" w:rsidRPr="00241F4B">
              <w:rPr>
                <w:rStyle w:val="Hyperlink"/>
                <w:noProof/>
                <w:rtl/>
                <w:lang w:bidi="fa-IR"/>
              </w:rPr>
              <w:t xml:space="preserve">199 -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نُزُولِ</w:t>
            </w:r>
            <w:r w:rsidR="00794BCA" w:rsidRPr="00241F4B">
              <w:rPr>
                <w:rStyle w:val="Hyperlink"/>
                <w:noProof/>
                <w:rtl/>
                <w:lang w:bidi="fa-IR"/>
              </w:rPr>
              <w:t xml:space="preserve"> </w:t>
            </w:r>
            <w:r w:rsidR="00794BCA" w:rsidRPr="00241F4B">
              <w:rPr>
                <w:rStyle w:val="Hyperlink"/>
                <w:rFonts w:hint="eastAsia"/>
                <w:noProof/>
                <w:rtl/>
                <w:lang w:bidi="fa-IR"/>
              </w:rPr>
              <w:t>الْحَصْبَةِ</w:t>
            </w:r>
            <w:r w:rsidR="00794BCA" w:rsidRPr="00241F4B">
              <w:rPr>
                <w:rStyle w:val="Hyperlink"/>
                <w:noProof/>
                <w:rtl/>
                <w:lang w:bidi="fa-IR"/>
              </w:rPr>
              <w:t xml:space="preserve"> </w:t>
            </w:r>
            <w:r w:rsidR="00794BCA" w:rsidRPr="00241F4B">
              <w:rPr>
                <w:rStyle w:val="Hyperlink"/>
                <w:noProof/>
                <w:vertAlign w:val="superscript"/>
                <w:rtl/>
              </w:rPr>
              <w:t>(6)</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183</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3" w:history="1">
            <w:r w:rsidR="00794BCA" w:rsidRPr="00241F4B">
              <w:rPr>
                <w:rStyle w:val="Hyperlink"/>
                <w:noProof/>
                <w:rtl/>
                <w:lang w:bidi="fa-IR"/>
              </w:rPr>
              <w:t xml:space="preserve">200 -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إِتْمَامِ</w:t>
            </w:r>
            <w:r w:rsidR="00794BCA" w:rsidRPr="00241F4B">
              <w:rPr>
                <w:rStyle w:val="Hyperlink"/>
                <w:noProof/>
                <w:rtl/>
                <w:lang w:bidi="fa-IR"/>
              </w:rPr>
              <w:t xml:space="preserve"> </w:t>
            </w:r>
            <w:r w:rsidR="00794BCA" w:rsidRPr="00241F4B">
              <w:rPr>
                <w:rStyle w:val="Hyperlink"/>
                <w:rFonts w:hint="eastAsia"/>
                <w:noProof/>
                <w:rtl/>
                <w:lang w:bidi="fa-IR"/>
              </w:rPr>
              <w:t>الصَّلَاةِ</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الْحَرَمَيْنِ‌</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184</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4" w:history="1">
            <w:r w:rsidR="00794BCA" w:rsidRPr="00241F4B">
              <w:rPr>
                <w:rStyle w:val="Hyperlink"/>
                <w:noProof/>
                <w:rtl/>
                <w:lang w:bidi="fa-IR"/>
              </w:rPr>
              <w:t xml:space="preserve">201 -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الصَّلَاةِ</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الْمَسْجِدِ</w:t>
            </w:r>
            <w:r w:rsidR="00794BCA" w:rsidRPr="00241F4B">
              <w:rPr>
                <w:rStyle w:val="Hyperlink"/>
                <w:noProof/>
                <w:rtl/>
                <w:lang w:bidi="fa-IR"/>
              </w:rPr>
              <w:t xml:space="preserve"> </w:t>
            </w:r>
            <w:r w:rsidR="00794BCA" w:rsidRPr="00241F4B">
              <w:rPr>
                <w:rStyle w:val="Hyperlink"/>
                <w:rFonts w:hint="eastAsia"/>
                <w:noProof/>
                <w:rtl/>
                <w:lang w:bidi="fa-IR"/>
              </w:rPr>
              <w:t>الْحَرَامِ</w:t>
            </w:r>
            <w:r w:rsidR="00794BCA" w:rsidRPr="00241F4B">
              <w:rPr>
                <w:rStyle w:val="Hyperlink"/>
                <w:noProof/>
                <w:rtl/>
                <w:lang w:bidi="fa-IR"/>
              </w:rPr>
              <w:t xml:space="preserve"> </w:t>
            </w:r>
            <w:r w:rsidR="00794BCA" w:rsidRPr="00241F4B">
              <w:rPr>
                <w:rStyle w:val="Hyperlink"/>
                <w:rFonts w:hint="eastAsia"/>
                <w:noProof/>
                <w:rtl/>
                <w:lang w:bidi="fa-IR"/>
              </w:rPr>
              <w:t>وَأَفْضَلِ</w:t>
            </w:r>
            <w:r w:rsidR="00794BCA" w:rsidRPr="00241F4B">
              <w:rPr>
                <w:rStyle w:val="Hyperlink"/>
                <w:noProof/>
                <w:rtl/>
                <w:lang w:bidi="fa-IR"/>
              </w:rPr>
              <w:t xml:space="preserve"> </w:t>
            </w:r>
            <w:r w:rsidR="00794BCA" w:rsidRPr="00241F4B">
              <w:rPr>
                <w:rStyle w:val="Hyperlink"/>
                <w:rFonts w:hint="eastAsia"/>
                <w:noProof/>
                <w:rtl/>
                <w:lang w:bidi="fa-IR"/>
              </w:rPr>
              <w:t>بُقْعَةٍ</w:t>
            </w:r>
            <w:r w:rsidR="00794BCA" w:rsidRPr="00241F4B">
              <w:rPr>
                <w:rStyle w:val="Hyperlink"/>
                <w:noProof/>
                <w:rtl/>
                <w:lang w:bidi="fa-IR"/>
              </w:rPr>
              <w:t xml:space="preserve"> </w:t>
            </w:r>
            <w:r w:rsidR="00794BCA" w:rsidRPr="00241F4B">
              <w:rPr>
                <w:rStyle w:val="Hyperlink"/>
                <w:noProof/>
                <w:vertAlign w:val="superscript"/>
                <w:rtl/>
              </w:rPr>
              <w:t>(10)</w:t>
            </w:r>
            <w:r w:rsidR="00794BCA" w:rsidRPr="00241F4B">
              <w:rPr>
                <w:rStyle w:val="Hyperlink"/>
                <w:noProof/>
                <w:rtl/>
                <w:lang w:bidi="fa-IR"/>
              </w:rPr>
              <w:t xml:space="preserve"> </w:t>
            </w:r>
            <w:r w:rsidR="00794BCA" w:rsidRPr="00241F4B">
              <w:rPr>
                <w:rStyle w:val="Hyperlink"/>
                <w:rFonts w:hint="eastAsia"/>
                <w:noProof/>
                <w:rtl/>
                <w:lang w:bidi="fa-IR"/>
              </w:rPr>
              <w:t>فِيهِ‌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187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5" w:history="1">
            <w:r w:rsidR="00794BCA" w:rsidRPr="00241F4B">
              <w:rPr>
                <w:rStyle w:val="Hyperlink"/>
                <w:noProof/>
                <w:rtl/>
                <w:lang w:bidi="fa-IR"/>
              </w:rPr>
              <w:t xml:space="preserve">202 -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دُخُولِ</w:t>
            </w:r>
            <w:r w:rsidR="00794BCA" w:rsidRPr="00241F4B">
              <w:rPr>
                <w:rStyle w:val="Hyperlink"/>
                <w:noProof/>
                <w:rtl/>
                <w:lang w:bidi="fa-IR"/>
              </w:rPr>
              <w:t xml:space="preserve"> </w:t>
            </w:r>
            <w:r w:rsidR="00794BCA" w:rsidRPr="00241F4B">
              <w:rPr>
                <w:rStyle w:val="Hyperlink"/>
                <w:rFonts w:hint="eastAsia"/>
                <w:noProof/>
                <w:rtl/>
                <w:lang w:bidi="fa-IR"/>
              </w:rPr>
              <w:t>الْكَعْبَةِ‌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193</w:t>
            </w:r>
            <w:r w:rsidR="00794BCA">
              <w:rPr>
                <w:noProof/>
                <w:webHidden/>
                <w:rtl/>
              </w:rPr>
              <w:fldChar w:fldCharType="end"/>
            </w:r>
          </w:hyperlink>
        </w:p>
        <w:p w:rsidR="00794BCA" w:rsidRDefault="00794BCA" w:rsidP="00467060">
          <w:pPr>
            <w:pStyle w:val="libNormal"/>
            <w:rPr>
              <w:rStyle w:val="Hyperlink"/>
              <w:noProof/>
            </w:rPr>
          </w:pPr>
          <w:r>
            <w:rPr>
              <w:rStyle w:val="Hyperlink"/>
              <w:noProof/>
            </w:rPr>
            <w:br w:type="page"/>
          </w:r>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6" w:history="1">
            <w:r w:rsidR="00794BCA" w:rsidRPr="00241F4B">
              <w:rPr>
                <w:rStyle w:val="Hyperlink"/>
                <w:noProof/>
                <w:rtl/>
                <w:lang w:bidi="fa-IR"/>
              </w:rPr>
              <w:t xml:space="preserve">203 -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وَدَاعِ</w:t>
            </w:r>
            <w:r w:rsidR="00794BCA" w:rsidRPr="00241F4B">
              <w:rPr>
                <w:rStyle w:val="Hyperlink"/>
                <w:noProof/>
                <w:rtl/>
                <w:lang w:bidi="fa-IR"/>
              </w:rPr>
              <w:t xml:space="preserve"> </w:t>
            </w:r>
            <w:r w:rsidR="00794BCA" w:rsidRPr="00241F4B">
              <w:rPr>
                <w:rStyle w:val="Hyperlink"/>
                <w:rFonts w:hint="eastAsia"/>
                <w:noProof/>
                <w:rtl/>
                <w:lang w:bidi="fa-IR"/>
              </w:rPr>
              <w:t>الْبَيْتِ‌</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200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7" w:history="1">
            <w:r w:rsidR="00794BCA" w:rsidRPr="00241F4B">
              <w:rPr>
                <w:rStyle w:val="Hyperlink"/>
                <w:noProof/>
                <w:rtl/>
                <w:lang w:bidi="fa-IR"/>
              </w:rPr>
              <w:t xml:space="preserve">204 -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مَا</w:t>
            </w:r>
            <w:r w:rsidR="00794BCA" w:rsidRPr="00241F4B">
              <w:rPr>
                <w:rStyle w:val="Hyperlink"/>
                <w:noProof/>
                <w:rtl/>
                <w:lang w:bidi="fa-IR"/>
              </w:rPr>
              <w:t xml:space="preserve"> </w:t>
            </w:r>
            <w:r w:rsidR="00794BCA" w:rsidRPr="00241F4B">
              <w:rPr>
                <w:rStyle w:val="Hyperlink"/>
                <w:rFonts w:hint="eastAsia"/>
                <w:noProof/>
                <w:rtl/>
                <w:lang w:bidi="fa-IR"/>
              </w:rPr>
              <w:t>يُسْتَحَبُّ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الصَّدَقَةِ</w:t>
            </w:r>
            <w:r w:rsidR="00794BCA" w:rsidRPr="00241F4B">
              <w:rPr>
                <w:rStyle w:val="Hyperlink"/>
                <w:noProof/>
                <w:rtl/>
                <w:lang w:bidi="fa-IR"/>
              </w:rPr>
              <w:t xml:space="preserve"> </w:t>
            </w:r>
            <w:r w:rsidR="00794BCA" w:rsidRPr="00241F4B">
              <w:rPr>
                <w:rStyle w:val="Hyperlink"/>
                <w:rFonts w:hint="eastAsia"/>
                <w:noProof/>
                <w:rtl/>
                <w:lang w:bidi="fa-IR"/>
              </w:rPr>
              <w:t>عِنْدَ</w:t>
            </w:r>
            <w:r w:rsidR="00794BCA" w:rsidRPr="00241F4B">
              <w:rPr>
                <w:rStyle w:val="Hyperlink"/>
                <w:noProof/>
                <w:rtl/>
                <w:lang w:bidi="fa-IR"/>
              </w:rPr>
              <w:t xml:space="preserve"> </w:t>
            </w:r>
            <w:r w:rsidR="00794BCA" w:rsidRPr="00241F4B">
              <w:rPr>
                <w:rStyle w:val="Hyperlink"/>
                <w:rFonts w:hint="eastAsia"/>
                <w:noProof/>
                <w:rtl/>
                <w:lang w:bidi="fa-IR"/>
              </w:rPr>
              <w:t>الْخُرُوجِ</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مَكَّةَ‌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205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8" w:history="1">
            <w:r w:rsidR="00794BCA" w:rsidRPr="00241F4B">
              <w:rPr>
                <w:rStyle w:val="Hyperlink"/>
                <w:noProof/>
                <w:rtl/>
                <w:lang w:bidi="fa-IR"/>
              </w:rPr>
              <w:t xml:space="preserve">205 -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مَا</w:t>
            </w:r>
            <w:r w:rsidR="00794BCA" w:rsidRPr="00241F4B">
              <w:rPr>
                <w:rStyle w:val="Hyperlink"/>
                <w:noProof/>
                <w:rtl/>
                <w:lang w:bidi="fa-IR"/>
              </w:rPr>
              <w:t xml:space="preserve"> </w:t>
            </w:r>
            <w:r w:rsidR="00794BCA" w:rsidRPr="00241F4B">
              <w:rPr>
                <w:rStyle w:val="Hyperlink"/>
                <w:rFonts w:hint="eastAsia"/>
                <w:noProof/>
                <w:rtl/>
                <w:lang w:bidi="fa-IR"/>
              </w:rPr>
              <w:t>يُجْزِئُ</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الْعُمْرَةِ</w:t>
            </w:r>
            <w:r w:rsidR="00794BCA" w:rsidRPr="00241F4B">
              <w:rPr>
                <w:rStyle w:val="Hyperlink"/>
                <w:noProof/>
                <w:rtl/>
                <w:lang w:bidi="fa-IR"/>
              </w:rPr>
              <w:t xml:space="preserve"> </w:t>
            </w:r>
            <w:r w:rsidR="00794BCA" w:rsidRPr="00241F4B">
              <w:rPr>
                <w:rStyle w:val="Hyperlink"/>
                <w:rFonts w:hint="eastAsia"/>
                <w:noProof/>
                <w:rtl/>
                <w:lang w:bidi="fa-IR"/>
              </w:rPr>
              <w:t>الْمَفْرُوضَةِ‌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206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49" w:history="1">
            <w:r w:rsidR="00794BCA" w:rsidRPr="00241F4B">
              <w:rPr>
                <w:rStyle w:val="Hyperlink"/>
                <w:noProof/>
                <w:rtl/>
                <w:lang w:bidi="fa-IR"/>
              </w:rPr>
              <w:t xml:space="preserve">206 -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الْعُمْرَةِ</w:t>
            </w:r>
            <w:r w:rsidR="00794BCA" w:rsidRPr="00241F4B">
              <w:rPr>
                <w:rStyle w:val="Hyperlink"/>
                <w:noProof/>
                <w:rtl/>
                <w:lang w:bidi="fa-IR"/>
              </w:rPr>
              <w:t xml:space="preserve"> </w:t>
            </w:r>
            <w:r w:rsidR="00794BCA" w:rsidRPr="00241F4B">
              <w:rPr>
                <w:rStyle w:val="Hyperlink"/>
                <w:rFonts w:hint="eastAsia"/>
                <w:noProof/>
                <w:rtl/>
                <w:lang w:bidi="fa-IR"/>
              </w:rPr>
              <w:t>الْمَبْتُولَةِ</w:t>
            </w:r>
            <w:r w:rsidR="00794BCA" w:rsidRPr="00241F4B">
              <w:rPr>
                <w:rStyle w:val="Hyperlink"/>
                <w:noProof/>
                <w:rtl/>
                <w:lang w:bidi="fa-IR"/>
              </w:rPr>
              <w:t xml:space="preserve"> </w:t>
            </w:r>
            <w:r w:rsidR="00794BCA" w:rsidRPr="00241F4B">
              <w:rPr>
                <w:rStyle w:val="Hyperlink"/>
                <w:noProof/>
                <w:vertAlign w:val="superscript"/>
                <w:rtl/>
              </w:rPr>
              <w:t>(4)</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49261349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207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50" w:history="1">
            <w:r w:rsidR="00794BCA" w:rsidRPr="00241F4B">
              <w:rPr>
                <w:rStyle w:val="Hyperlink"/>
                <w:noProof/>
                <w:rtl/>
                <w:lang w:bidi="fa-IR"/>
              </w:rPr>
              <w:t xml:space="preserve">207 -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الْعُمْرَةِ</w:t>
            </w:r>
            <w:r w:rsidR="00794BCA" w:rsidRPr="00241F4B">
              <w:rPr>
                <w:rStyle w:val="Hyperlink"/>
                <w:noProof/>
                <w:rtl/>
                <w:lang w:bidi="fa-IR"/>
              </w:rPr>
              <w:t xml:space="preserve"> </w:t>
            </w:r>
            <w:r w:rsidR="00794BCA" w:rsidRPr="00241F4B">
              <w:rPr>
                <w:rStyle w:val="Hyperlink"/>
                <w:rFonts w:hint="eastAsia"/>
                <w:noProof/>
                <w:rtl/>
                <w:lang w:bidi="fa-IR"/>
              </w:rPr>
              <w:t>الْمَبْتُولَةِ</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أَشْهُرِ</w:t>
            </w:r>
            <w:r w:rsidR="00794BCA" w:rsidRPr="00241F4B">
              <w:rPr>
                <w:rStyle w:val="Hyperlink"/>
                <w:noProof/>
                <w:rtl/>
                <w:lang w:bidi="fa-IR"/>
              </w:rPr>
              <w:t xml:space="preserve"> </w:t>
            </w:r>
            <w:r w:rsidR="00794BCA" w:rsidRPr="00241F4B">
              <w:rPr>
                <w:rStyle w:val="Hyperlink"/>
                <w:rFonts w:hint="eastAsia"/>
                <w:noProof/>
                <w:rtl/>
                <w:lang w:bidi="fa-IR"/>
              </w:rPr>
              <w:t>الْحَجِّ‌</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49261350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209</w:t>
            </w:r>
            <w:r w:rsidR="00794BCA">
              <w:rPr>
                <w:noProof/>
                <w:webHidden/>
                <w:rtl/>
              </w:rPr>
              <w:fldChar w:fldCharType="end"/>
            </w:r>
          </w:hyperlink>
        </w:p>
        <w:p w:rsidR="00794BCA" w:rsidRDefault="008D191A" w:rsidP="00794BCA">
          <w:pPr>
            <w:pStyle w:val="TOC2"/>
            <w:tabs>
              <w:tab w:val="right" w:leader="dot" w:pos="7786"/>
            </w:tabs>
            <w:rPr>
              <w:rFonts w:asciiTheme="minorHAnsi" w:eastAsiaTheme="minorEastAsia" w:hAnsiTheme="minorHAnsi" w:cstheme="minorBidi"/>
              <w:noProof/>
              <w:color w:val="auto"/>
              <w:sz w:val="22"/>
              <w:szCs w:val="22"/>
              <w:rtl/>
            </w:rPr>
          </w:pPr>
          <w:hyperlink w:anchor="_Toc49261351" w:history="1">
            <w:r w:rsidR="00794BCA" w:rsidRPr="00241F4B">
              <w:rPr>
                <w:rStyle w:val="Hyperlink"/>
                <w:noProof/>
                <w:rtl/>
                <w:lang w:bidi="fa-IR"/>
              </w:rPr>
              <w:t xml:space="preserve">208 -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الشُّهُورِ</w:t>
            </w:r>
            <w:r w:rsidR="00794BCA" w:rsidRPr="00241F4B">
              <w:rPr>
                <w:rStyle w:val="Hyperlink"/>
                <w:noProof/>
                <w:rtl/>
                <w:lang w:bidi="fa-IR"/>
              </w:rPr>
              <w:t xml:space="preserve"> </w:t>
            </w:r>
            <w:r w:rsidR="00794BCA" w:rsidRPr="00241F4B">
              <w:rPr>
                <w:rStyle w:val="Hyperlink"/>
                <w:rFonts w:hint="eastAsia"/>
                <w:noProof/>
                <w:rtl/>
                <w:lang w:bidi="fa-IR"/>
              </w:rPr>
              <w:t>الَّتِي</w:t>
            </w:r>
            <w:r w:rsidR="00794BCA" w:rsidRPr="00241F4B">
              <w:rPr>
                <w:rStyle w:val="Hyperlink"/>
                <w:noProof/>
                <w:rtl/>
                <w:lang w:bidi="fa-IR"/>
              </w:rPr>
              <w:t xml:space="preserve"> </w:t>
            </w:r>
            <w:r w:rsidR="00794BCA" w:rsidRPr="00241F4B">
              <w:rPr>
                <w:rStyle w:val="Hyperlink"/>
                <w:rFonts w:hint="eastAsia"/>
                <w:noProof/>
                <w:rtl/>
                <w:lang w:bidi="fa-IR"/>
              </w:rPr>
              <w:t>تُسْتَحَبُّ</w:t>
            </w:r>
            <w:r w:rsidR="00794BCA" w:rsidRPr="00241F4B">
              <w:rPr>
                <w:rStyle w:val="Hyperlink"/>
                <w:noProof/>
                <w:rtl/>
                <w:lang w:bidi="fa-IR"/>
              </w:rPr>
              <w:t xml:space="preserve"> </w:t>
            </w:r>
            <w:r w:rsidR="00794BCA" w:rsidRPr="00241F4B">
              <w:rPr>
                <w:rStyle w:val="Hyperlink"/>
                <w:noProof/>
                <w:vertAlign w:val="superscript"/>
                <w:rtl/>
              </w:rPr>
              <w:t>(5)</w:t>
            </w:r>
            <w:r w:rsidR="00794BCA" w:rsidRPr="00241F4B">
              <w:rPr>
                <w:rStyle w:val="Hyperlink"/>
                <w:noProof/>
                <w:rtl/>
                <w:lang w:bidi="fa-IR"/>
              </w:rPr>
              <w:t xml:space="preserve"> </w:t>
            </w:r>
            <w:r w:rsidR="00794BCA" w:rsidRPr="00241F4B">
              <w:rPr>
                <w:rStyle w:val="Hyperlink"/>
                <w:rFonts w:hint="eastAsia"/>
                <w:noProof/>
                <w:rtl/>
                <w:lang w:bidi="fa-IR"/>
              </w:rPr>
              <w:t>فِيهَا</w:t>
            </w:r>
            <w:r w:rsidR="00794BCA" w:rsidRPr="00241F4B">
              <w:rPr>
                <w:rStyle w:val="Hyperlink"/>
                <w:noProof/>
                <w:rtl/>
                <w:lang w:bidi="fa-IR"/>
              </w:rPr>
              <w:t xml:space="preserve"> </w:t>
            </w:r>
            <w:r w:rsidR="00794BCA" w:rsidRPr="00241F4B">
              <w:rPr>
                <w:rStyle w:val="Hyperlink"/>
                <w:rFonts w:hint="eastAsia"/>
                <w:noProof/>
                <w:rtl/>
                <w:lang w:bidi="fa-IR"/>
              </w:rPr>
              <w:t>الْعُمْرَةُ</w:t>
            </w:r>
            <w:r w:rsidR="00794BCA" w:rsidRPr="00241F4B">
              <w:rPr>
                <w:rStyle w:val="Hyperlink"/>
                <w:noProof/>
                <w:rtl/>
                <w:lang w:bidi="fa-IR"/>
              </w:rPr>
              <w:t xml:space="preserve"> </w:t>
            </w:r>
            <w:r w:rsidR="00794BCA" w:rsidRPr="00241F4B">
              <w:rPr>
                <w:rStyle w:val="Hyperlink"/>
                <w:rFonts w:hint="eastAsia"/>
                <w:noProof/>
                <w:rtl/>
                <w:lang w:bidi="fa-IR"/>
              </w:rPr>
              <w:t>،</w:t>
            </w:r>
          </w:hyperlink>
          <w:r w:rsidR="00794BCA">
            <w:rPr>
              <w:rStyle w:val="Hyperlink"/>
              <w:rFonts w:hint="cs"/>
              <w:noProof/>
              <w:rtl/>
            </w:rPr>
            <w:t xml:space="preserve"> </w:t>
          </w:r>
          <w:hyperlink w:anchor="_Toc49261352" w:history="1">
            <w:r w:rsidR="00794BCA" w:rsidRPr="00241F4B">
              <w:rPr>
                <w:rStyle w:val="Hyperlink"/>
                <w:rFonts w:hint="eastAsia"/>
                <w:noProof/>
                <w:rtl/>
                <w:lang w:bidi="fa-IR"/>
              </w:rPr>
              <w:t>وَمَنْ</w:t>
            </w:r>
            <w:r w:rsidR="00794BCA" w:rsidRPr="00241F4B">
              <w:rPr>
                <w:rStyle w:val="Hyperlink"/>
                <w:noProof/>
                <w:rtl/>
                <w:lang w:bidi="fa-IR"/>
              </w:rPr>
              <w:t xml:space="preserve"> </w:t>
            </w:r>
            <w:r w:rsidR="00794BCA" w:rsidRPr="00241F4B">
              <w:rPr>
                <w:rStyle w:val="Hyperlink"/>
                <w:rFonts w:hint="eastAsia"/>
                <w:noProof/>
                <w:rtl/>
                <w:lang w:bidi="fa-IR"/>
              </w:rPr>
              <w:t>أَحْرَمَ</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شَهْرٍ</w:t>
            </w:r>
            <w:r w:rsidR="00794BCA" w:rsidRPr="00241F4B">
              <w:rPr>
                <w:rStyle w:val="Hyperlink"/>
                <w:noProof/>
                <w:rtl/>
                <w:lang w:bidi="fa-IR"/>
              </w:rPr>
              <w:t xml:space="preserve"> </w:t>
            </w:r>
            <w:r w:rsidR="00794BCA" w:rsidRPr="00241F4B">
              <w:rPr>
                <w:rStyle w:val="Hyperlink"/>
                <w:rFonts w:hint="eastAsia"/>
                <w:noProof/>
                <w:rtl/>
                <w:lang w:bidi="fa-IR"/>
              </w:rPr>
              <w:t>وَأَحَلَّ</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آخَرَ‌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49261352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211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53" w:history="1">
            <w:r w:rsidR="00794BCA" w:rsidRPr="00241F4B">
              <w:rPr>
                <w:rStyle w:val="Hyperlink"/>
                <w:noProof/>
                <w:rtl/>
                <w:lang w:bidi="fa-IR"/>
              </w:rPr>
              <w:t xml:space="preserve">209 -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قَطْعِ</w:t>
            </w:r>
            <w:r w:rsidR="00794BCA" w:rsidRPr="00241F4B">
              <w:rPr>
                <w:rStyle w:val="Hyperlink"/>
                <w:noProof/>
                <w:rtl/>
                <w:lang w:bidi="fa-IR"/>
              </w:rPr>
              <w:t xml:space="preserve"> </w:t>
            </w:r>
            <w:r w:rsidR="00794BCA" w:rsidRPr="00241F4B">
              <w:rPr>
                <w:rStyle w:val="Hyperlink"/>
                <w:rFonts w:hint="eastAsia"/>
                <w:noProof/>
                <w:rtl/>
                <w:lang w:bidi="fa-IR"/>
              </w:rPr>
              <w:t>تَلْبِيَةِ</w:t>
            </w:r>
            <w:r w:rsidR="00794BCA" w:rsidRPr="00241F4B">
              <w:rPr>
                <w:rStyle w:val="Hyperlink"/>
                <w:noProof/>
                <w:rtl/>
                <w:lang w:bidi="fa-IR"/>
              </w:rPr>
              <w:t xml:space="preserve"> </w:t>
            </w:r>
            <w:r w:rsidR="00794BCA" w:rsidRPr="00241F4B">
              <w:rPr>
                <w:rStyle w:val="Hyperlink"/>
                <w:rFonts w:hint="eastAsia"/>
                <w:noProof/>
                <w:rtl/>
                <w:lang w:bidi="fa-IR"/>
              </w:rPr>
              <w:t>الْمُحْرِمِ</w:t>
            </w:r>
            <w:r w:rsidR="00794BCA" w:rsidRPr="00241F4B">
              <w:rPr>
                <w:rStyle w:val="Hyperlink"/>
                <w:noProof/>
                <w:rtl/>
                <w:lang w:bidi="fa-IR"/>
              </w:rPr>
              <w:t xml:space="preserve"> </w:t>
            </w:r>
            <w:r w:rsidR="00794BCA" w:rsidRPr="00241F4B">
              <w:rPr>
                <w:rStyle w:val="Hyperlink"/>
                <w:noProof/>
                <w:vertAlign w:val="superscript"/>
                <w:rtl/>
              </w:rPr>
              <w:t>(1)</w:t>
            </w:r>
            <w:r w:rsidR="00794BCA" w:rsidRPr="00241F4B">
              <w:rPr>
                <w:rStyle w:val="Hyperlink"/>
                <w:noProof/>
                <w:rtl/>
                <w:lang w:bidi="fa-IR"/>
              </w:rPr>
              <w:t xml:space="preserve"> </w:t>
            </w:r>
            <w:r w:rsidR="00794BCA" w:rsidRPr="00241F4B">
              <w:rPr>
                <w:rStyle w:val="Hyperlink"/>
                <w:rFonts w:hint="eastAsia"/>
                <w:noProof/>
                <w:rtl/>
                <w:lang w:bidi="fa-IR"/>
              </w:rPr>
              <w:t>وَمَا</w:t>
            </w:r>
            <w:r w:rsidR="00794BCA" w:rsidRPr="00241F4B">
              <w:rPr>
                <w:rStyle w:val="Hyperlink"/>
                <w:noProof/>
                <w:rtl/>
                <w:lang w:bidi="fa-IR"/>
              </w:rPr>
              <w:t xml:space="preserve"> </w:t>
            </w:r>
            <w:r w:rsidR="00794BCA" w:rsidRPr="00241F4B">
              <w:rPr>
                <w:rStyle w:val="Hyperlink"/>
                <w:rFonts w:hint="eastAsia"/>
                <w:noProof/>
                <w:rtl/>
                <w:lang w:bidi="fa-IR"/>
              </w:rPr>
              <w:t>عَلَيْهِ</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الْعَمَلِ‌</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49261353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215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54" w:history="1">
            <w:r w:rsidR="00794BCA" w:rsidRPr="00241F4B">
              <w:rPr>
                <w:rStyle w:val="Hyperlink"/>
                <w:noProof/>
                <w:rtl/>
                <w:lang w:bidi="fa-IR"/>
              </w:rPr>
              <w:t xml:space="preserve">210 -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الْمُعْتَمِرِ</w:t>
            </w:r>
            <w:r w:rsidR="00794BCA" w:rsidRPr="00241F4B">
              <w:rPr>
                <w:rStyle w:val="Hyperlink"/>
                <w:noProof/>
                <w:rtl/>
                <w:lang w:bidi="fa-IR"/>
              </w:rPr>
              <w:t xml:space="preserve"> </w:t>
            </w:r>
            <w:r w:rsidR="00794BCA" w:rsidRPr="00241F4B">
              <w:rPr>
                <w:rStyle w:val="Hyperlink"/>
                <w:rFonts w:hint="eastAsia"/>
                <w:noProof/>
                <w:rtl/>
                <w:lang w:bidi="fa-IR"/>
              </w:rPr>
              <w:t>يَطَأُ</w:t>
            </w:r>
            <w:r w:rsidR="00794BCA" w:rsidRPr="00241F4B">
              <w:rPr>
                <w:rStyle w:val="Hyperlink"/>
                <w:noProof/>
                <w:rtl/>
                <w:lang w:bidi="fa-IR"/>
              </w:rPr>
              <w:t xml:space="preserve"> </w:t>
            </w:r>
            <w:r w:rsidR="00794BCA" w:rsidRPr="00241F4B">
              <w:rPr>
                <w:rStyle w:val="Hyperlink"/>
                <w:rFonts w:hint="eastAsia"/>
                <w:noProof/>
                <w:rtl/>
                <w:lang w:bidi="fa-IR"/>
              </w:rPr>
              <w:t>أَهْلَهُ</w:t>
            </w:r>
            <w:r w:rsidR="00794BCA" w:rsidRPr="00241F4B">
              <w:rPr>
                <w:rStyle w:val="Hyperlink"/>
                <w:noProof/>
                <w:rtl/>
                <w:lang w:bidi="fa-IR"/>
              </w:rPr>
              <w:t xml:space="preserve"> </w:t>
            </w:r>
            <w:r w:rsidR="00794BCA" w:rsidRPr="00241F4B">
              <w:rPr>
                <w:rStyle w:val="Hyperlink"/>
                <w:rFonts w:hint="eastAsia"/>
                <w:noProof/>
                <w:rtl/>
                <w:lang w:bidi="fa-IR"/>
              </w:rPr>
              <w:t>وَهُوَ</w:t>
            </w:r>
            <w:r w:rsidR="00794BCA" w:rsidRPr="00241F4B">
              <w:rPr>
                <w:rStyle w:val="Hyperlink"/>
                <w:noProof/>
                <w:rtl/>
                <w:lang w:bidi="fa-IR"/>
              </w:rPr>
              <w:t xml:space="preserve"> </w:t>
            </w:r>
            <w:r w:rsidR="00794BCA" w:rsidRPr="00241F4B">
              <w:rPr>
                <w:rStyle w:val="Hyperlink"/>
                <w:rFonts w:hint="eastAsia"/>
                <w:noProof/>
                <w:rtl/>
                <w:lang w:bidi="fa-IR"/>
              </w:rPr>
              <w:t>مُحْرِمٌ</w:t>
            </w:r>
            <w:r w:rsidR="00794BCA" w:rsidRPr="00241F4B">
              <w:rPr>
                <w:rStyle w:val="Hyperlink"/>
                <w:noProof/>
                <w:rtl/>
                <w:lang w:bidi="fa-IR"/>
              </w:rPr>
              <w:t xml:space="preserve"> </w:t>
            </w:r>
            <w:r w:rsidR="00794BCA" w:rsidRPr="00241F4B">
              <w:rPr>
                <w:rStyle w:val="Hyperlink"/>
                <w:rFonts w:hint="eastAsia"/>
                <w:noProof/>
                <w:rtl/>
                <w:lang w:bidi="fa-IR"/>
              </w:rPr>
              <w:t>وَالْكَفَّارَةِ</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ذلِكَ‌</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49261354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218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55" w:history="1">
            <w:r w:rsidR="00794BCA" w:rsidRPr="00241F4B">
              <w:rPr>
                <w:rStyle w:val="Hyperlink"/>
                <w:noProof/>
                <w:rtl/>
                <w:lang w:bidi="fa-IR"/>
              </w:rPr>
              <w:t xml:space="preserve">211 -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يَبْعَثُ</w:t>
            </w:r>
            <w:r w:rsidR="00794BCA" w:rsidRPr="00241F4B">
              <w:rPr>
                <w:rStyle w:val="Hyperlink"/>
                <w:noProof/>
                <w:rtl/>
                <w:lang w:bidi="fa-IR"/>
              </w:rPr>
              <w:t xml:space="preserve"> </w:t>
            </w:r>
            <w:r w:rsidR="00794BCA" w:rsidRPr="00241F4B">
              <w:rPr>
                <w:rStyle w:val="Hyperlink"/>
                <w:rFonts w:hint="eastAsia"/>
                <w:noProof/>
                <w:rtl/>
                <w:lang w:bidi="fa-IR"/>
              </w:rPr>
              <w:t>بِالْهَدْيِ</w:t>
            </w:r>
            <w:r w:rsidR="00794BCA" w:rsidRPr="00241F4B">
              <w:rPr>
                <w:rStyle w:val="Hyperlink"/>
                <w:noProof/>
                <w:rtl/>
                <w:lang w:bidi="fa-IR"/>
              </w:rPr>
              <w:t xml:space="preserve"> </w:t>
            </w:r>
            <w:r w:rsidR="00794BCA" w:rsidRPr="00241F4B">
              <w:rPr>
                <w:rStyle w:val="Hyperlink"/>
                <w:rFonts w:hint="eastAsia"/>
                <w:noProof/>
                <w:rtl/>
                <w:lang w:bidi="fa-IR"/>
              </w:rPr>
              <w:t>تَطَوُّعاً</w:t>
            </w:r>
            <w:r w:rsidR="00794BCA" w:rsidRPr="00241F4B">
              <w:rPr>
                <w:rStyle w:val="Hyperlink"/>
                <w:noProof/>
                <w:rtl/>
                <w:lang w:bidi="fa-IR"/>
              </w:rPr>
              <w:t xml:space="preserve"> </w:t>
            </w:r>
            <w:r w:rsidR="00794BCA" w:rsidRPr="00241F4B">
              <w:rPr>
                <w:rStyle w:val="Hyperlink"/>
                <w:rFonts w:hint="eastAsia"/>
                <w:noProof/>
                <w:rtl/>
                <w:lang w:bidi="fa-IR"/>
              </w:rPr>
              <w:t>وَيُقِيمُ</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أَهْلِهِ‌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49261355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220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56" w:history="1">
            <w:r w:rsidR="00794BCA" w:rsidRPr="00241F4B">
              <w:rPr>
                <w:rStyle w:val="Hyperlink"/>
                <w:noProof/>
                <w:rtl/>
                <w:lang w:bidi="fa-IR"/>
              </w:rPr>
              <w:t xml:space="preserve">212 -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النَّوَادِرِ‌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49261356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222</w:t>
            </w:r>
            <w:r w:rsidR="00794BCA">
              <w:rPr>
                <w:noProof/>
                <w:webHidden/>
                <w:rtl/>
              </w:rPr>
              <w:fldChar w:fldCharType="end"/>
            </w:r>
          </w:hyperlink>
        </w:p>
        <w:p w:rsidR="00794BCA" w:rsidRDefault="008D191A" w:rsidP="00794BCA">
          <w:pPr>
            <w:pStyle w:val="TOC1"/>
            <w:rPr>
              <w:rFonts w:asciiTheme="minorHAnsi" w:eastAsiaTheme="minorEastAsia" w:hAnsiTheme="minorHAnsi" w:cstheme="minorBidi"/>
              <w:noProof/>
              <w:color w:val="auto"/>
              <w:sz w:val="22"/>
              <w:szCs w:val="22"/>
              <w:rtl/>
            </w:rPr>
          </w:pPr>
          <w:hyperlink w:anchor="_Toc49261357" w:history="1">
            <w:r w:rsidR="00794BCA" w:rsidRPr="00241F4B">
              <w:rPr>
                <w:rStyle w:val="Hyperlink"/>
                <w:rFonts w:hint="eastAsia"/>
                <w:noProof/>
                <w:rtl/>
                <w:lang w:bidi="fa-IR"/>
              </w:rPr>
              <w:t>أَبْوَابُ</w:t>
            </w:r>
            <w:r w:rsidR="00794BCA" w:rsidRPr="00241F4B">
              <w:rPr>
                <w:rStyle w:val="Hyperlink"/>
                <w:noProof/>
                <w:rtl/>
                <w:lang w:bidi="fa-IR"/>
              </w:rPr>
              <w:t xml:space="preserve"> </w:t>
            </w:r>
            <w:r w:rsidR="00794BCA" w:rsidRPr="00241F4B">
              <w:rPr>
                <w:rStyle w:val="Hyperlink"/>
                <w:rFonts w:hint="eastAsia"/>
                <w:noProof/>
                <w:rtl/>
                <w:lang w:bidi="fa-IR"/>
              </w:rPr>
              <w:t>الزِّيَارَاتِ</w:t>
            </w:r>
            <w:r w:rsidR="00794BCA" w:rsidRPr="00241F4B">
              <w:rPr>
                <w:rStyle w:val="Hyperlink"/>
                <w:noProof/>
                <w:rtl/>
                <w:lang w:bidi="fa-IR"/>
              </w:rPr>
              <w:t xml:space="preserve"> </w:t>
            </w:r>
            <w:r w:rsidR="00794BCA" w:rsidRPr="00241F4B">
              <w:rPr>
                <w:rStyle w:val="Hyperlink"/>
                <w:noProof/>
                <w:vertAlign w:val="superscript"/>
                <w:rtl/>
              </w:rPr>
              <w:t>(1)</w:t>
            </w:r>
            <w:r w:rsidR="00794BCA">
              <w:rPr>
                <w:noProof/>
                <w:webHidden/>
                <w:rtl/>
              </w:rPr>
              <w:t xml:space="preserve"> </w:t>
            </w:r>
          </w:hyperlink>
          <w:r w:rsidR="00794BCA">
            <w:rPr>
              <w:rStyle w:val="Hyperlink"/>
              <w:rFonts w:hint="cs"/>
              <w:noProof/>
              <w:rtl/>
            </w:rPr>
            <w:t xml:space="preserve"> </w:t>
          </w:r>
          <w:hyperlink w:anchor="_Toc49261358" w:history="1">
            <w:r w:rsidR="00794BCA" w:rsidRPr="00241F4B">
              <w:rPr>
                <w:rStyle w:val="Hyperlink"/>
                <w:noProof/>
                <w:rtl/>
                <w:lang w:bidi="fa-IR"/>
              </w:rPr>
              <w:t xml:space="preserve">213 -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زِيَارَةِ</w:t>
            </w:r>
            <w:r w:rsidR="00794BCA" w:rsidRPr="00241F4B">
              <w:rPr>
                <w:rStyle w:val="Hyperlink"/>
                <w:noProof/>
                <w:rtl/>
                <w:lang w:bidi="fa-IR"/>
              </w:rPr>
              <w:t xml:space="preserve"> </w:t>
            </w:r>
            <w:r w:rsidR="00794BCA" w:rsidRPr="00241F4B">
              <w:rPr>
                <w:rStyle w:val="Hyperlink"/>
                <w:rFonts w:hint="eastAsia"/>
                <w:noProof/>
                <w:rtl/>
                <w:lang w:bidi="fa-IR"/>
              </w:rPr>
              <w:t>النَّبِيِّ</w:t>
            </w:r>
            <w:r w:rsidR="00794BCA" w:rsidRPr="00241F4B">
              <w:rPr>
                <w:rStyle w:val="Hyperlink"/>
                <w:noProof/>
                <w:rtl/>
                <w:lang w:bidi="fa-IR"/>
              </w:rPr>
              <w:t xml:space="preserve"> </w:t>
            </w:r>
            <w:r w:rsidR="00794BCA" w:rsidRPr="00241F4B">
              <w:rPr>
                <w:rStyle w:val="Hyperlink"/>
                <w:rFonts w:cs="Rafed Alaem" w:hint="eastAsia"/>
                <w:noProof/>
                <w:rtl/>
              </w:rPr>
              <w:t>صلى‌الله‌عليه‌وآله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49261358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243</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59" w:history="1">
            <w:r w:rsidR="00794BCA" w:rsidRPr="00241F4B">
              <w:rPr>
                <w:rStyle w:val="Hyperlink"/>
                <w:noProof/>
                <w:rtl/>
                <w:lang w:bidi="fa-IR"/>
              </w:rPr>
              <w:t xml:space="preserve">214 -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إِتْبَاعِ</w:t>
            </w:r>
            <w:r w:rsidR="00794BCA" w:rsidRPr="00241F4B">
              <w:rPr>
                <w:rStyle w:val="Hyperlink"/>
                <w:noProof/>
                <w:rtl/>
                <w:lang w:bidi="fa-IR"/>
              </w:rPr>
              <w:t xml:space="preserve"> </w:t>
            </w:r>
            <w:r w:rsidR="00794BCA" w:rsidRPr="00241F4B">
              <w:rPr>
                <w:rStyle w:val="Hyperlink"/>
                <w:rFonts w:hint="eastAsia"/>
                <w:noProof/>
                <w:rtl/>
                <w:lang w:bidi="fa-IR"/>
              </w:rPr>
              <w:t>الْحَجِّ</w:t>
            </w:r>
            <w:r w:rsidR="00794BCA" w:rsidRPr="00241F4B">
              <w:rPr>
                <w:rStyle w:val="Hyperlink"/>
                <w:noProof/>
                <w:rtl/>
                <w:lang w:bidi="fa-IR"/>
              </w:rPr>
              <w:t xml:space="preserve"> </w:t>
            </w:r>
            <w:r w:rsidR="00794BCA" w:rsidRPr="00241F4B">
              <w:rPr>
                <w:rStyle w:val="Hyperlink"/>
                <w:rFonts w:hint="eastAsia"/>
                <w:noProof/>
                <w:rtl/>
                <w:lang w:bidi="fa-IR"/>
              </w:rPr>
              <w:t>بِالزِّيَارَةِ</w:t>
            </w:r>
            <w:r w:rsidR="00794BCA" w:rsidRPr="00241F4B">
              <w:rPr>
                <w:rStyle w:val="Hyperlink"/>
                <w:noProof/>
                <w:rtl/>
                <w:lang w:bidi="fa-IR"/>
              </w:rPr>
              <w:t xml:space="preserve"> </w:t>
            </w:r>
            <w:r w:rsidR="00794BCA" w:rsidRPr="00241F4B">
              <w:rPr>
                <w:rStyle w:val="Hyperlink"/>
                <w:noProof/>
                <w:vertAlign w:val="superscript"/>
                <w:rtl/>
              </w:rPr>
              <w:t>(5)</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49261359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246</w:t>
            </w:r>
            <w:r w:rsidR="00794BCA">
              <w:rPr>
                <w:noProof/>
                <w:webHidden/>
                <w:rtl/>
              </w:rPr>
              <w:fldChar w:fldCharType="end"/>
            </w:r>
          </w:hyperlink>
        </w:p>
        <w:p w:rsidR="00794BCA" w:rsidRDefault="008D191A" w:rsidP="00794BCA">
          <w:pPr>
            <w:pStyle w:val="TOC2"/>
            <w:tabs>
              <w:tab w:val="right" w:leader="dot" w:pos="7786"/>
            </w:tabs>
            <w:rPr>
              <w:rFonts w:asciiTheme="minorHAnsi" w:eastAsiaTheme="minorEastAsia" w:hAnsiTheme="minorHAnsi" w:cstheme="minorBidi"/>
              <w:noProof/>
              <w:color w:val="auto"/>
              <w:sz w:val="22"/>
              <w:szCs w:val="22"/>
              <w:rtl/>
            </w:rPr>
          </w:pPr>
          <w:hyperlink w:anchor="_Toc49261360" w:history="1">
            <w:r w:rsidR="00794BCA" w:rsidRPr="00241F4B">
              <w:rPr>
                <w:rStyle w:val="Hyperlink"/>
                <w:noProof/>
                <w:rtl/>
                <w:lang w:bidi="fa-IR"/>
              </w:rPr>
              <w:t xml:space="preserve">215 -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الرُّجُوعِ</w:t>
            </w:r>
            <w:r w:rsidR="00794BCA" w:rsidRPr="00241F4B">
              <w:rPr>
                <w:rStyle w:val="Hyperlink"/>
                <w:noProof/>
                <w:rtl/>
                <w:lang w:bidi="fa-IR"/>
              </w:rPr>
              <w:t xml:space="preserve"> </w:t>
            </w:r>
            <w:r w:rsidR="00794BCA" w:rsidRPr="00241F4B">
              <w:rPr>
                <w:rStyle w:val="Hyperlink"/>
                <w:rFonts w:hint="eastAsia"/>
                <w:noProof/>
                <w:rtl/>
                <w:lang w:bidi="fa-IR"/>
              </w:rPr>
              <w:t>إِلَى</w:t>
            </w:r>
            <w:r w:rsidR="00794BCA" w:rsidRPr="00241F4B">
              <w:rPr>
                <w:rStyle w:val="Hyperlink"/>
                <w:noProof/>
                <w:rtl/>
                <w:lang w:bidi="fa-IR"/>
              </w:rPr>
              <w:t xml:space="preserve"> </w:t>
            </w:r>
            <w:r w:rsidR="00794BCA" w:rsidRPr="00241F4B">
              <w:rPr>
                <w:rStyle w:val="Hyperlink"/>
                <w:rFonts w:hint="eastAsia"/>
                <w:noProof/>
                <w:rtl/>
                <w:lang w:bidi="fa-IR"/>
              </w:rPr>
              <w:t>الْمَدِينَةِ‌</w:t>
            </w:r>
          </w:hyperlink>
          <w:r w:rsidR="00794BCA">
            <w:rPr>
              <w:rStyle w:val="Hyperlink"/>
              <w:rFonts w:hint="cs"/>
              <w:noProof/>
              <w:rtl/>
            </w:rPr>
            <w:t xml:space="preserve"> </w:t>
          </w:r>
          <w:hyperlink w:anchor="_Toc49261361" w:history="1">
            <w:r w:rsidR="00794BCA" w:rsidRPr="00241F4B">
              <w:rPr>
                <w:rStyle w:val="Hyperlink"/>
                <w:noProof/>
                <w:rtl/>
                <w:lang w:bidi="fa-IR"/>
              </w:rPr>
              <w:t xml:space="preserve">216 -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دُخُولِ</w:t>
            </w:r>
            <w:r w:rsidR="00794BCA" w:rsidRPr="00241F4B">
              <w:rPr>
                <w:rStyle w:val="Hyperlink"/>
                <w:noProof/>
                <w:rtl/>
                <w:lang w:bidi="fa-IR"/>
              </w:rPr>
              <w:t xml:space="preserve"> </w:t>
            </w:r>
            <w:r w:rsidR="00794BCA" w:rsidRPr="00241F4B">
              <w:rPr>
                <w:rStyle w:val="Hyperlink"/>
                <w:rFonts w:hint="eastAsia"/>
                <w:noProof/>
                <w:rtl/>
                <w:lang w:bidi="fa-IR"/>
              </w:rPr>
              <w:t>الْمَدِينَةِ</w:t>
            </w:r>
            <w:r w:rsidR="00794BCA" w:rsidRPr="00241F4B">
              <w:rPr>
                <w:rStyle w:val="Hyperlink"/>
                <w:noProof/>
                <w:rtl/>
                <w:lang w:bidi="fa-IR"/>
              </w:rPr>
              <w:t xml:space="preserve"> </w:t>
            </w:r>
            <w:r w:rsidR="00794BCA" w:rsidRPr="00241F4B">
              <w:rPr>
                <w:rStyle w:val="Hyperlink"/>
                <w:rFonts w:hint="eastAsia"/>
                <w:noProof/>
                <w:rtl/>
                <w:lang w:bidi="fa-IR"/>
              </w:rPr>
              <w:t>وَ</w:t>
            </w:r>
            <w:r w:rsidR="00794BCA" w:rsidRPr="00241F4B">
              <w:rPr>
                <w:rStyle w:val="Hyperlink"/>
                <w:noProof/>
                <w:rtl/>
                <w:lang w:bidi="fa-IR"/>
              </w:rPr>
              <w:t xml:space="preserve"> </w:t>
            </w:r>
            <w:r w:rsidR="00794BCA" w:rsidRPr="00241F4B">
              <w:rPr>
                <w:rStyle w:val="Hyperlink"/>
                <w:rFonts w:hint="eastAsia"/>
                <w:noProof/>
                <w:rtl/>
                <w:lang w:bidi="fa-IR"/>
              </w:rPr>
              <w:t>زِيَارَةِ</w:t>
            </w:r>
            <w:r w:rsidR="00794BCA" w:rsidRPr="00241F4B">
              <w:rPr>
                <w:rStyle w:val="Hyperlink"/>
                <w:noProof/>
                <w:rtl/>
                <w:lang w:bidi="fa-IR"/>
              </w:rPr>
              <w:t xml:space="preserve"> </w:t>
            </w:r>
            <w:r w:rsidR="00794BCA" w:rsidRPr="00241F4B">
              <w:rPr>
                <w:rStyle w:val="Hyperlink"/>
                <w:noProof/>
                <w:vertAlign w:val="superscript"/>
                <w:rtl/>
              </w:rPr>
              <w:t>(6)</w:t>
            </w:r>
            <w:r w:rsidR="00794BCA" w:rsidRPr="00241F4B">
              <w:rPr>
                <w:rStyle w:val="Hyperlink"/>
                <w:noProof/>
                <w:rtl/>
                <w:lang w:bidi="fa-IR"/>
              </w:rPr>
              <w:t xml:space="preserve"> </w:t>
            </w:r>
            <w:r w:rsidR="00794BCA" w:rsidRPr="00241F4B">
              <w:rPr>
                <w:rStyle w:val="Hyperlink"/>
                <w:rFonts w:hint="eastAsia"/>
                <w:noProof/>
                <w:rtl/>
                <w:lang w:bidi="fa-IR"/>
              </w:rPr>
              <w:t>النَّبِيِّ</w:t>
            </w:r>
            <w:r w:rsidR="00794BCA" w:rsidRPr="00241F4B">
              <w:rPr>
                <w:rStyle w:val="Hyperlink"/>
                <w:noProof/>
                <w:rtl/>
                <w:lang w:bidi="fa-IR"/>
              </w:rPr>
              <w:t xml:space="preserve"> </w:t>
            </w:r>
            <w:r w:rsidR="00794BCA" w:rsidRPr="00241F4B">
              <w:rPr>
                <w:rStyle w:val="Hyperlink"/>
                <w:rFonts w:cs="Rafed Alaem" w:hint="eastAsia"/>
                <w:noProof/>
                <w:rtl/>
              </w:rPr>
              <w:t>صلى‌الله‌عليه‌وآله</w:t>
            </w:r>
            <w:r w:rsidR="00794BCA" w:rsidRPr="00241F4B">
              <w:rPr>
                <w:rStyle w:val="Hyperlink"/>
                <w:noProof/>
                <w:rtl/>
                <w:lang w:bidi="fa-IR"/>
              </w:rPr>
              <w:t xml:space="preserve"> </w:t>
            </w:r>
            <w:r w:rsidR="00794BCA" w:rsidRPr="00241F4B">
              <w:rPr>
                <w:rStyle w:val="Hyperlink"/>
                <w:rFonts w:hint="eastAsia"/>
                <w:noProof/>
                <w:rtl/>
                <w:lang w:bidi="fa-IR"/>
              </w:rPr>
              <w:t>وَ</w:t>
            </w:r>
            <w:r w:rsidR="00794BCA" w:rsidRPr="00241F4B">
              <w:rPr>
                <w:rStyle w:val="Hyperlink"/>
                <w:noProof/>
                <w:rtl/>
                <w:lang w:bidi="fa-IR"/>
              </w:rPr>
              <w:t xml:space="preserve"> </w:t>
            </w:r>
            <w:r w:rsidR="00794BCA" w:rsidRPr="00241F4B">
              <w:rPr>
                <w:rStyle w:val="Hyperlink"/>
                <w:rFonts w:hint="eastAsia"/>
                <w:noProof/>
                <w:rtl/>
                <w:lang w:bidi="fa-IR"/>
              </w:rPr>
              <w:t>الدُّعَاءِ</w:t>
            </w:r>
            <w:r w:rsidR="00794BCA" w:rsidRPr="00241F4B">
              <w:rPr>
                <w:rStyle w:val="Hyperlink"/>
                <w:noProof/>
                <w:rtl/>
                <w:lang w:bidi="fa-IR"/>
              </w:rPr>
              <w:t xml:space="preserve"> </w:t>
            </w:r>
            <w:r w:rsidR="00794BCA" w:rsidRPr="00241F4B">
              <w:rPr>
                <w:rStyle w:val="Hyperlink"/>
                <w:rFonts w:hint="eastAsia"/>
                <w:noProof/>
                <w:rtl/>
                <w:lang w:bidi="fa-IR"/>
              </w:rPr>
              <w:t>عِنْدَ</w:t>
            </w:r>
            <w:r w:rsidR="00794BCA" w:rsidRPr="00241F4B">
              <w:rPr>
                <w:rStyle w:val="Hyperlink"/>
                <w:noProof/>
                <w:rtl/>
                <w:lang w:bidi="fa-IR"/>
              </w:rPr>
              <w:t xml:space="preserve"> </w:t>
            </w:r>
            <w:r w:rsidR="00794BCA" w:rsidRPr="00241F4B">
              <w:rPr>
                <w:rStyle w:val="Hyperlink"/>
                <w:rFonts w:hint="eastAsia"/>
                <w:noProof/>
                <w:rtl/>
                <w:lang w:bidi="fa-IR"/>
              </w:rPr>
              <w:t>قَبْرِهِ‌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49261361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249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62" w:history="1">
            <w:r w:rsidR="00794BCA" w:rsidRPr="00241F4B">
              <w:rPr>
                <w:rStyle w:val="Hyperlink"/>
                <w:noProof/>
                <w:rtl/>
                <w:lang w:bidi="fa-IR"/>
              </w:rPr>
              <w:t xml:space="preserve">217 -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الْمِنْبَرِ</w:t>
            </w:r>
            <w:r w:rsidR="00794BCA" w:rsidRPr="00241F4B">
              <w:rPr>
                <w:rStyle w:val="Hyperlink"/>
                <w:noProof/>
                <w:rtl/>
                <w:lang w:bidi="fa-IR"/>
              </w:rPr>
              <w:t xml:space="preserve"> </w:t>
            </w:r>
            <w:r w:rsidR="00794BCA" w:rsidRPr="00241F4B">
              <w:rPr>
                <w:rStyle w:val="Hyperlink"/>
                <w:rFonts w:hint="eastAsia"/>
                <w:noProof/>
                <w:rtl/>
                <w:lang w:bidi="fa-IR"/>
              </w:rPr>
              <w:t>وَالرَّوْضَةِ</w:t>
            </w:r>
            <w:r w:rsidR="00794BCA" w:rsidRPr="00241F4B">
              <w:rPr>
                <w:rStyle w:val="Hyperlink"/>
                <w:noProof/>
                <w:rtl/>
                <w:lang w:bidi="fa-IR"/>
              </w:rPr>
              <w:t xml:space="preserve"> </w:t>
            </w:r>
            <w:r w:rsidR="00794BCA" w:rsidRPr="00241F4B">
              <w:rPr>
                <w:rStyle w:val="Hyperlink"/>
                <w:rFonts w:hint="eastAsia"/>
                <w:noProof/>
                <w:rtl/>
                <w:lang w:bidi="fa-IR"/>
              </w:rPr>
              <w:t>وَمَقَامِ</w:t>
            </w:r>
            <w:r w:rsidR="00794BCA" w:rsidRPr="00241F4B">
              <w:rPr>
                <w:rStyle w:val="Hyperlink"/>
                <w:noProof/>
                <w:rtl/>
                <w:lang w:bidi="fa-IR"/>
              </w:rPr>
              <w:t xml:space="preserve"> </w:t>
            </w:r>
            <w:r w:rsidR="00794BCA" w:rsidRPr="00241F4B">
              <w:rPr>
                <w:rStyle w:val="Hyperlink"/>
                <w:rFonts w:hint="eastAsia"/>
                <w:noProof/>
                <w:rtl/>
                <w:lang w:bidi="fa-IR"/>
              </w:rPr>
              <w:t>النَّبِيِّ</w:t>
            </w:r>
            <w:r w:rsidR="00794BCA" w:rsidRPr="00241F4B">
              <w:rPr>
                <w:rStyle w:val="Hyperlink"/>
                <w:noProof/>
                <w:rtl/>
                <w:lang w:bidi="fa-IR"/>
              </w:rPr>
              <w:t xml:space="preserve"> </w:t>
            </w:r>
            <w:r w:rsidR="00794BCA" w:rsidRPr="00241F4B">
              <w:rPr>
                <w:rStyle w:val="Hyperlink"/>
                <w:rFonts w:cs="Rafed Alaem" w:hint="eastAsia"/>
                <w:noProof/>
                <w:rtl/>
              </w:rPr>
              <w:t>صلى‌الله‌عليه‌وآله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49261362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257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63" w:history="1">
            <w:r w:rsidR="00794BCA" w:rsidRPr="00241F4B">
              <w:rPr>
                <w:rStyle w:val="Hyperlink"/>
                <w:noProof/>
                <w:rtl/>
                <w:lang w:bidi="fa-IR"/>
              </w:rPr>
              <w:t xml:space="preserve">218 -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مَقَامِ</w:t>
            </w:r>
            <w:r w:rsidR="00794BCA" w:rsidRPr="00241F4B">
              <w:rPr>
                <w:rStyle w:val="Hyperlink"/>
                <w:noProof/>
                <w:rtl/>
                <w:lang w:bidi="fa-IR"/>
              </w:rPr>
              <w:t xml:space="preserve"> </w:t>
            </w:r>
            <w:r w:rsidR="00794BCA" w:rsidRPr="00241F4B">
              <w:rPr>
                <w:rStyle w:val="Hyperlink"/>
                <w:rFonts w:hint="eastAsia"/>
                <w:noProof/>
                <w:rtl/>
                <w:lang w:bidi="fa-IR"/>
              </w:rPr>
              <w:t>جَبْرَئِيلَ</w:t>
            </w:r>
            <w:r w:rsidR="00794BCA" w:rsidRPr="00241F4B">
              <w:rPr>
                <w:rStyle w:val="Hyperlink"/>
                <w:noProof/>
                <w:rtl/>
                <w:lang w:bidi="fa-IR"/>
              </w:rPr>
              <w:t xml:space="preserve"> </w:t>
            </w:r>
            <w:r w:rsidR="00794BCA" w:rsidRPr="00241F4B">
              <w:rPr>
                <w:rStyle w:val="Hyperlink"/>
                <w:rFonts w:cs="Rafed Alaem" w:hint="eastAsia"/>
                <w:noProof/>
                <w:rtl/>
              </w:rPr>
              <w:t>عليه‌السلام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49261363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265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64" w:history="1">
            <w:r w:rsidR="00794BCA" w:rsidRPr="00241F4B">
              <w:rPr>
                <w:rStyle w:val="Hyperlink"/>
                <w:noProof/>
                <w:rtl/>
                <w:lang w:bidi="fa-IR"/>
              </w:rPr>
              <w:t xml:space="preserve">219 -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الْمُقَامِ</w:t>
            </w:r>
            <w:r w:rsidR="00794BCA" w:rsidRPr="00241F4B">
              <w:rPr>
                <w:rStyle w:val="Hyperlink"/>
                <w:noProof/>
                <w:rtl/>
                <w:lang w:bidi="fa-IR"/>
              </w:rPr>
              <w:t xml:space="preserve"> </w:t>
            </w:r>
            <w:r w:rsidR="00794BCA" w:rsidRPr="00241F4B">
              <w:rPr>
                <w:rStyle w:val="Hyperlink"/>
                <w:rFonts w:hint="eastAsia"/>
                <w:noProof/>
                <w:rtl/>
                <w:lang w:bidi="fa-IR"/>
              </w:rPr>
              <w:t>بِالْمَدِينَةِ</w:t>
            </w:r>
            <w:r w:rsidR="00794BCA" w:rsidRPr="00241F4B">
              <w:rPr>
                <w:rStyle w:val="Hyperlink"/>
                <w:noProof/>
                <w:rtl/>
                <w:lang w:bidi="fa-IR"/>
              </w:rPr>
              <w:t xml:space="preserve"> </w:t>
            </w:r>
            <w:r w:rsidR="00794BCA" w:rsidRPr="00241F4B">
              <w:rPr>
                <w:rStyle w:val="Hyperlink"/>
                <w:rFonts w:hint="eastAsia"/>
                <w:noProof/>
                <w:rtl/>
                <w:lang w:bidi="fa-IR"/>
              </w:rPr>
              <w:t>وَالصَّوْمِ</w:t>
            </w:r>
            <w:r w:rsidR="00794BCA" w:rsidRPr="00241F4B">
              <w:rPr>
                <w:rStyle w:val="Hyperlink"/>
                <w:noProof/>
                <w:rtl/>
                <w:lang w:bidi="fa-IR"/>
              </w:rPr>
              <w:t xml:space="preserve"> </w:t>
            </w:r>
            <w:r w:rsidR="00794BCA" w:rsidRPr="00241F4B">
              <w:rPr>
                <w:rStyle w:val="Hyperlink"/>
                <w:rFonts w:hint="eastAsia"/>
                <w:noProof/>
                <w:rtl/>
                <w:lang w:bidi="fa-IR"/>
              </w:rPr>
              <w:t>وَالاعْتِكَافِ</w:t>
            </w:r>
            <w:r w:rsidR="00794BCA" w:rsidRPr="00241F4B">
              <w:rPr>
                <w:rStyle w:val="Hyperlink"/>
                <w:noProof/>
                <w:rtl/>
                <w:lang w:bidi="fa-IR"/>
              </w:rPr>
              <w:t xml:space="preserve"> </w:t>
            </w:r>
            <w:r w:rsidR="00794BCA" w:rsidRPr="00241F4B">
              <w:rPr>
                <w:rStyle w:val="Hyperlink"/>
                <w:rFonts w:hint="eastAsia"/>
                <w:noProof/>
                <w:rtl/>
                <w:lang w:bidi="fa-IR"/>
              </w:rPr>
              <w:t>عِنْدَ</w:t>
            </w:r>
            <w:r w:rsidR="00794BCA" w:rsidRPr="00241F4B">
              <w:rPr>
                <w:rStyle w:val="Hyperlink"/>
                <w:noProof/>
                <w:rtl/>
                <w:lang w:bidi="fa-IR"/>
              </w:rPr>
              <w:t xml:space="preserve"> </w:t>
            </w:r>
            <w:r w:rsidR="00794BCA" w:rsidRPr="00241F4B">
              <w:rPr>
                <w:rStyle w:val="Hyperlink"/>
                <w:rFonts w:hint="eastAsia"/>
                <w:noProof/>
                <w:rtl/>
                <w:lang w:bidi="fa-IR"/>
              </w:rPr>
              <w:t>الْأَسَاطِينِ‌</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49261364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266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65" w:history="1">
            <w:r w:rsidR="00794BCA" w:rsidRPr="00241F4B">
              <w:rPr>
                <w:rStyle w:val="Hyperlink"/>
                <w:noProof/>
                <w:rtl/>
                <w:lang w:bidi="fa-IR"/>
              </w:rPr>
              <w:t xml:space="preserve">220 -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زِيَارَةِ</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بِالْبَقِيعِ</w:t>
            </w:r>
            <w:r w:rsidR="00794BCA" w:rsidRPr="00241F4B">
              <w:rPr>
                <w:rStyle w:val="Hyperlink"/>
                <w:noProof/>
                <w:rtl/>
                <w:lang w:bidi="fa-IR"/>
              </w:rPr>
              <w:t xml:space="preserve"> </w:t>
            </w:r>
            <w:r w:rsidR="00794BCA" w:rsidRPr="00241F4B">
              <w:rPr>
                <w:rStyle w:val="Hyperlink"/>
                <w:noProof/>
                <w:vertAlign w:val="superscript"/>
                <w:rtl/>
              </w:rPr>
              <w:t>(1)</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49261365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270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66" w:history="1">
            <w:r w:rsidR="00794BCA" w:rsidRPr="00241F4B">
              <w:rPr>
                <w:rStyle w:val="Hyperlink"/>
                <w:noProof/>
                <w:rtl/>
                <w:lang w:bidi="fa-IR"/>
              </w:rPr>
              <w:t xml:space="preserve">221 -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إِتْيَانِ</w:t>
            </w:r>
            <w:r w:rsidR="00794BCA" w:rsidRPr="00241F4B">
              <w:rPr>
                <w:rStyle w:val="Hyperlink"/>
                <w:noProof/>
                <w:rtl/>
                <w:lang w:bidi="fa-IR"/>
              </w:rPr>
              <w:t xml:space="preserve"> </w:t>
            </w:r>
            <w:r w:rsidR="00794BCA" w:rsidRPr="00241F4B">
              <w:rPr>
                <w:rStyle w:val="Hyperlink"/>
                <w:rFonts w:hint="eastAsia"/>
                <w:noProof/>
                <w:rtl/>
                <w:lang w:bidi="fa-IR"/>
              </w:rPr>
              <w:t>الْمَشَاهِدِ</w:t>
            </w:r>
            <w:r w:rsidR="00794BCA" w:rsidRPr="00241F4B">
              <w:rPr>
                <w:rStyle w:val="Hyperlink"/>
                <w:noProof/>
                <w:rtl/>
                <w:lang w:bidi="fa-IR"/>
              </w:rPr>
              <w:t xml:space="preserve"> </w:t>
            </w:r>
            <w:r w:rsidR="00794BCA" w:rsidRPr="00241F4B">
              <w:rPr>
                <w:rStyle w:val="Hyperlink"/>
                <w:rFonts w:hint="eastAsia"/>
                <w:noProof/>
                <w:rtl/>
                <w:lang w:bidi="fa-IR"/>
              </w:rPr>
              <w:t>وَقُبُورِ</w:t>
            </w:r>
            <w:r w:rsidR="00794BCA" w:rsidRPr="00241F4B">
              <w:rPr>
                <w:rStyle w:val="Hyperlink"/>
                <w:noProof/>
                <w:rtl/>
                <w:lang w:bidi="fa-IR"/>
              </w:rPr>
              <w:t xml:space="preserve"> </w:t>
            </w:r>
            <w:r w:rsidR="00794BCA" w:rsidRPr="00241F4B">
              <w:rPr>
                <w:rStyle w:val="Hyperlink"/>
                <w:rFonts w:hint="eastAsia"/>
                <w:noProof/>
                <w:rtl/>
                <w:lang w:bidi="fa-IR"/>
              </w:rPr>
              <w:t>الشُّهَدَاءِ‌</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49261366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272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67" w:history="1">
            <w:r w:rsidR="00794BCA" w:rsidRPr="00241F4B">
              <w:rPr>
                <w:rStyle w:val="Hyperlink"/>
                <w:noProof/>
                <w:rtl/>
                <w:lang w:bidi="fa-IR"/>
              </w:rPr>
              <w:t xml:space="preserve">222 -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وَدَاعِ</w:t>
            </w:r>
            <w:r w:rsidR="00794BCA" w:rsidRPr="00241F4B">
              <w:rPr>
                <w:rStyle w:val="Hyperlink"/>
                <w:noProof/>
                <w:rtl/>
                <w:lang w:bidi="fa-IR"/>
              </w:rPr>
              <w:t xml:space="preserve"> </w:t>
            </w:r>
            <w:r w:rsidR="00794BCA" w:rsidRPr="00241F4B">
              <w:rPr>
                <w:rStyle w:val="Hyperlink"/>
                <w:rFonts w:hint="eastAsia"/>
                <w:noProof/>
                <w:rtl/>
                <w:lang w:bidi="fa-IR"/>
              </w:rPr>
              <w:t>قَبْرِ</w:t>
            </w:r>
            <w:r w:rsidR="00794BCA" w:rsidRPr="00241F4B">
              <w:rPr>
                <w:rStyle w:val="Hyperlink"/>
                <w:noProof/>
                <w:rtl/>
                <w:lang w:bidi="fa-IR"/>
              </w:rPr>
              <w:t xml:space="preserve"> </w:t>
            </w:r>
            <w:r w:rsidR="00794BCA" w:rsidRPr="00241F4B">
              <w:rPr>
                <w:rStyle w:val="Hyperlink"/>
                <w:rFonts w:hint="eastAsia"/>
                <w:noProof/>
                <w:rtl/>
                <w:lang w:bidi="fa-IR"/>
              </w:rPr>
              <w:t>النَّبِيِّ</w:t>
            </w:r>
            <w:r w:rsidR="00794BCA" w:rsidRPr="00241F4B">
              <w:rPr>
                <w:rStyle w:val="Hyperlink"/>
                <w:noProof/>
                <w:rtl/>
                <w:lang w:bidi="fa-IR"/>
              </w:rPr>
              <w:t xml:space="preserve"> </w:t>
            </w:r>
            <w:r w:rsidR="00794BCA" w:rsidRPr="00241F4B">
              <w:rPr>
                <w:rStyle w:val="Hyperlink"/>
                <w:rFonts w:eastAsiaTheme="minorHAnsi" w:cs="Rafed Alaem" w:hint="eastAsia"/>
                <w:noProof/>
                <w:rtl/>
              </w:rPr>
              <w:t>صلى‌الله‌عليه‌وآله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49261367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280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68" w:history="1">
            <w:r w:rsidR="00794BCA" w:rsidRPr="00241F4B">
              <w:rPr>
                <w:rStyle w:val="Hyperlink"/>
                <w:noProof/>
                <w:rtl/>
                <w:lang w:bidi="fa-IR"/>
              </w:rPr>
              <w:t xml:space="preserve">223 -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تَحْرِيمِ</w:t>
            </w:r>
            <w:r w:rsidR="00794BCA" w:rsidRPr="00241F4B">
              <w:rPr>
                <w:rStyle w:val="Hyperlink"/>
                <w:noProof/>
                <w:rtl/>
                <w:lang w:bidi="fa-IR"/>
              </w:rPr>
              <w:t xml:space="preserve"> </w:t>
            </w:r>
            <w:r w:rsidR="00794BCA" w:rsidRPr="00241F4B">
              <w:rPr>
                <w:rStyle w:val="Hyperlink"/>
                <w:rFonts w:hint="eastAsia"/>
                <w:noProof/>
                <w:rtl/>
                <w:lang w:bidi="fa-IR"/>
              </w:rPr>
              <w:t>الْمَدِينَةِ‌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49261368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281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69" w:history="1">
            <w:r w:rsidR="00794BCA" w:rsidRPr="00241F4B">
              <w:rPr>
                <w:rStyle w:val="Hyperlink"/>
                <w:noProof/>
                <w:rtl/>
                <w:lang w:bidi="fa-IR"/>
              </w:rPr>
              <w:t xml:space="preserve">224 -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مُعَرَّسِ</w:t>
            </w:r>
            <w:r w:rsidR="00794BCA" w:rsidRPr="00241F4B">
              <w:rPr>
                <w:rStyle w:val="Hyperlink"/>
                <w:noProof/>
                <w:rtl/>
                <w:lang w:bidi="fa-IR"/>
              </w:rPr>
              <w:t xml:space="preserve"> </w:t>
            </w:r>
            <w:r w:rsidR="00794BCA" w:rsidRPr="00241F4B">
              <w:rPr>
                <w:rStyle w:val="Hyperlink"/>
                <w:noProof/>
                <w:vertAlign w:val="superscript"/>
                <w:rtl/>
              </w:rPr>
              <w:t>(1)</w:t>
            </w:r>
            <w:r w:rsidR="00794BCA" w:rsidRPr="00241F4B">
              <w:rPr>
                <w:rStyle w:val="Hyperlink"/>
                <w:noProof/>
                <w:rtl/>
                <w:lang w:bidi="fa-IR"/>
              </w:rPr>
              <w:t xml:space="preserve"> </w:t>
            </w:r>
            <w:r w:rsidR="00794BCA" w:rsidRPr="00241F4B">
              <w:rPr>
                <w:rStyle w:val="Hyperlink"/>
                <w:rFonts w:hint="eastAsia"/>
                <w:noProof/>
                <w:rtl/>
                <w:lang w:bidi="fa-IR"/>
              </w:rPr>
              <w:t>النَّبِيِّ</w:t>
            </w:r>
            <w:r w:rsidR="00794BCA" w:rsidRPr="00241F4B">
              <w:rPr>
                <w:rStyle w:val="Hyperlink"/>
                <w:noProof/>
                <w:rtl/>
                <w:lang w:bidi="fa-IR"/>
              </w:rPr>
              <w:t xml:space="preserve"> </w:t>
            </w:r>
            <w:r w:rsidR="00794BCA" w:rsidRPr="00241F4B">
              <w:rPr>
                <w:rStyle w:val="Hyperlink"/>
                <w:rFonts w:cs="Rafed Alaem" w:hint="eastAsia"/>
                <w:noProof/>
                <w:rtl/>
              </w:rPr>
              <w:t>صلى‌الله‌عليه‌وآله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49261369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286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70" w:history="1">
            <w:r w:rsidR="00794BCA" w:rsidRPr="00241F4B">
              <w:rPr>
                <w:rStyle w:val="Hyperlink"/>
                <w:noProof/>
                <w:rtl/>
                <w:lang w:bidi="fa-IR"/>
              </w:rPr>
              <w:t xml:space="preserve">225 -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مَسْجِدِ</w:t>
            </w:r>
            <w:r w:rsidR="00794BCA" w:rsidRPr="00241F4B">
              <w:rPr>
                <w:rStyle w:val="Hyperlink"/>
                <w:noProof/>
                <w:rtl/>
                <w:lang w:bidi="fa-IR"/>
              </w:rPr>
              <w:t xml:space="preserve"> </w:t>
            </w:r>
            <w:r w:rsidR="00794BCA" w:rsidRPr="00241F4B">
              <w:rPr>
                <w:rStyle w:val="Hyperlink"/>
                <w:rFonts w:hint="eastAsia"/>
                <w:noProof/>
                <w:rtl/>
                <w:lang w:bidi="fa-IR"/>
              </w:rPr>
              <w:t>غَدِيرِ</w:t>
            </w:r>
            <w:r w:rsidR="00794BCA" w:rsidRPr="00241F4B">
              <w:rPr>
                <w:rStyle w:val="Hyperlink"/>
                <w:noProof/>
                <w:rtl/>
                <w:lang w:bidi="fa-IR"/>
              </w:rPr>
              <w:t xml:space="preserve"> </w:t>
            </w:r>
            <w:r w:rsidR="00794BCA" w:rsidRPr="00241F4B">
              <w:rPr>
                <w:rStyle w:val="Hyperlink"/>
                <w:rFonts w:hint="eastAsia"/>
                <w:noProof/>
                <w:rtl/>
                <w:lang w:bidi="fa-IR"/>
              </w:rPr>
              <w:t>خُمٍّ‌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49261370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289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71" w:history="1">
            <w:r w:rsidR="00794BCA" w:rsidRPr="00241F4B">
              <w:rPr>
                <w:rStyle w:val="Hyperlink"/>
                <w:noProof/>
                <w:rtl/>
                <w:lang w:bidi="fa-IR"/>
              </w:rPr>
              <w:t xml:space="preserve">226 -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noProof/>
                <w:vertAlign w:val="superscript"/>
                <w:rtl/>
              </w:rPr>
              <w:t>(1)</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49261371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291</w:t>
            </w:r>
            <w:r w:rsidR="00794BCA">
              <w:rPr>
                <w:noProof/>
                <w:webHidden/>
                <w:rtl/>
              </w:rPr>
              <w:fldChar w:fldCharType="end"/>
            </w:r>
          </w:hyperlink>
        </w:p>
        <w:p w:rsidR="00794BCA" w:rsidRDefault="00794BCA" w:rsidP="00467060">
          <w:pPr>
            <w:pStyle w:val="libNormal"/>
            <w:rPr>
              <w:rStyle w:val="Hyperlink"/>
              <w:noProof/>
            </w:rPr>
          </w:pPr>
          <w:r>
            <w:rPr>
              <w:rStyle w:val="Hyperlink"/>
              <w:noProof/>
            </w:rPr>
            <w:br w:type="page"/>
          </w:r>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72" w:history="1">
            <w:r w:rsidR="00794BCA" w:rsidRPr="00241F4B">
              <w:rPr>
                <w:rStyle w:val="Hyperlink"/>
                <w:noProof/>
                <w:rtl/>
                <w:lang w:bidi="fa-IR"/>
              </w:rPr>
              <w:t xml:space="preserve">227 -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مَا</w:t>
            </w:r>
            <w:r w:rsidR="00794BCA" w:rsidRPr="00241F4B">
              <w:rPr>
                <w:rStyle w:val="Hyperlink"/>
                <w:noProof/>
                <w:rtl/>
                <w:lang w:bidi="fa-IR"/>
              </w:rPr>
              <w:t xml:space="preserve"> </w:t>
            </w:r>
            <w:r w:rsidR="00794BCA" w:rsidRPr="00241F4B">
              <w:rPr>
                <w:rStyle w:val="Hyperlink"/>
                <w:rFonts w:hint="eastAsia"/>
                <w:noProof/>
                <w:rtl/>
                <w:lang w:bidi="fa-IR"/>
              </w:rPr>
              <w:t>يُقَالُ</w:t>
            </w:r>
            <w:r w:rsidR="00794BCA" w:rsidRPr="00241F4B">
              <w:rPr>
                <w:rStyle w:val="Hyperlink"/>
                <w:noProof/>
                <w:rtl/>
                <w:lang w:bidi="fa-IR"/>
              </w:rPr>
              <w:t xml:space="preserve"> </w:t>
            </w:r>
            <w:r w:rsidR="00794BCA" w:rsidRPr="00241F4B">
              <w:rPr>
                <w:rStyle w:val="Hyperlink"/>
                <w:rFonts w:hint="eastAsia"/>
                <w:noProof/>
                <w:rtl/>
                <w:lang w:bidi="fa-IR"/>
              </w:rPr>
              <w:t>عِنْدَ</w:t>
            </w:r>
            <w:r w:rsidR="00794BCA" w:rsidRPr="00241F4B">
              <w:rPr>
                <w:rStyle w:val="Hyperlink"/>
                <w:noProof/>
                <w:rtl/>
                <w:lang w:bidi="fa-IR"/>
              </w:rPr>
              <w:t xml:space="preserve"> </w:t>
            </w:r>
            <w:r w:rsidR="00794BCA" w:rsidRPr="00241F4B">
              <w:rPr>
                <w:rStyle w:val="Hyperlink"/>
                <w:rFonts w:hint="eastAsia"/>
                <w:noProof/>
                <w:rtl/>
                <w:lang w:bidi="fa-IR"/>
              </w:rPr>
              <w:t>قَبْرِ</w:t>
            </w:r>
            <w:r w:rsidR="00794BCA" w:rsidRPr="00241F4B">
              <w:rPr>
                <w:rStyle w:val="Hyperlink"/>
                <w:noProof/>
                <w:rtl/>
                <w:lang w:bidi="fa-IR"/>
              </w:rPr>
              <w:t xml:space="preserve"> </w:t>
            </w:r>
            <w:r w:rsidR="00794BCA" w:rsidRPr="00241F4B">
              <w:rPr>
                <w:rStyle w:val="Hyperlink"/>
                <w:rFonts w:hint="eastAsia"/>
                <w:noProof/>
                <w:rtl/>
                <w:lang w:bidi="fa-IR"/>
              </w:rPr>
              <w:t>أَمِيرِ</w:t>
            </w:r>
            <w:r w:rsidR="00794BCA" w:rsidRPr="00241F4B">
              <w:rPr>
                <w:rStyle w:val="Hyperlink"/>
                <w:noProof/>
                <w:rtl/>
                <w:lang w:bidi="fa-IR"/>
              </w:rPr>
              <w:t xml:space="preserve"> </w:t>
            </w:r>
            <w:r w:rsidR="00794BCA" w:rsidRPr="00241F4B">
              <w:rPr>
                <w:rStyle w:val="Hyperlink"/>
                <w:rFonts w:hint="eastAsia"/>
                <w:noProof/>
                <w:rtl/>
                <w:lang w:bidi="fa-IR"/>
              </w:rPr>
              <w:t>الْمُؤْمِنِينَ</w:t>
            </w:r>
            <w:r w:rsidR="00794BCA" w:rsidRPr="00241F4B">
              <w:rPr>
                <w:rStyle w:val="Hyperlink"/>
                <w:noProof/>
                <w:rtl/>
                <w:lang w:bidi="fa-IR"/>
              </w:rPr>
              <w:t xml:space="preserve"> </w:t>
            </w:r>
            <w:r w:rsidR="00794BCA" w:rsidRPr="00241F4B">
              <w:rPr>
                <w:rStyle w:val="Hyperlink"/>
                <w:rFonts w:cs="Rafed Alaem" w:hint="eastAsia"/>
                <w:noProof/>
                <w:rtl/>
              </w:rPr>
              <w:t>عليه‌السلام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49261372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295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73" w:history="1">
            <w:r w:rsidR="00794BCA" w:rsidRPr="00241F4B">
              <w:rPr>
                <w:rStyle w:val="Hyperlink"/>
                <w:noProof/>
                <w:rtl/>
                <w:lang w:bidi="fa-IR"/>
              </w:rPr>
              <w:t xml:space="preserve">228 -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مَوْضِعِ</w:t>
            </w:r>
            <w:r w:rsidR="00794BCA" w:rsidRPr="00241F4B">
              <w:rPr>
                <w:rStyle w:val="Hyperlink"/>
                <w:noProof/>
                <w:rtl/>
                <w:lang w:bidi="fa-IR"/>
              </w:rPr>
              <w:t xml:space="preserve"> </w:t>
            </w:r>
            <w:r w:rsidR="00794BCA" w:rsidRPr="00241F4B">
              <w:rPr>
                <w:rStyle w:val="Hyperlink"/>
                <w:rFonts w:hint="eastAsia"/>
                <w:noProof/>
                <w:rtl/>
                <w:lang w:bidi="fa-IR"/>
              </w:rPr>
              <w:t>رَأْسِ</w:t>
            </w:r>
            <w:r w:rsidR="00794BCA" w:rsidRPr="00241F4B">
              <w:rPr>
                <w:rStyle w:val="Hyperlink"/>
                <w:noProof/>
                <w:rtl/>
                <w:lang w:bidi="fa-IR"/>
              </w:rPr>
              <w:t xml:space="preserve"> </w:t>
            </w:r>
            <w:r w:rsidR="00794BCA" w:rsidRPr="00241F4B">
              <w:rPr>
                <w:rStyle w:val="Hyperlink"/>
                <w:rFonts w:hint="eastAsia"/>
                <w:noProof/>
                <w:rtl/>
                <w:lang w:bidi="fa-IR"/>
              </w:rPr>
              <w:t>الْحُسَيْنِ</w:t>
            </w:r>
            <w:r w:rsidR="00794BCA" w:rsidRPr="00241F4B">
              <w:rPr>
                <w:rStyle w:val="Hyperlink"/>
                <w:noProof/>
                <w:rtl/>
                <w:lang w:bidi="fa-IR"/>
              </w:rPr>
              <w:t xml:space="preserve"> </w:t>
            </w:r>
            <w:r w:rsidR="00794BCA" w:rsidRPr="00241F4B">
              <w:rPr>
                <w:rStyle w:val="Hyperlink"/>
                <w:rFonts w:cs="Rafed Alaem" w:hint="eastAsia"/>
                <w:noProof/>
                <w:rtl/>
              </w:rPr>
              <w:t>عليه‌السلام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49261373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298</w:t>
            </w:r>
            <w:r w:rsidR="00794BCA">
              <w:rPr>
                <w:noProof/>
                <w:webHidden/>
                <w:rtl/>
              </w:rPr>
              <w:fldChar w:fldCharType="end"/>
            </w:r>
          </w:hyperlink>
        </w:p>
        <w:p w:rsidR="00794BCA" w:rsidRDefault="008D191A" w:rsidP="00794BCA">
          <w:pPr>
            <w:pStyle w:val="TOC2"/>
            <w:tabs>
              <w:tab w:val="right" w:leader="dot" w:pos="7786"/>
            </w:tabs>
            <w:rPr>
              <w:rFonts w:asciiTheme="minorHAnsi" w:eastAsiaTheme="minorEastAsia" w:hAnsiTheme="minorHAnsi" w:cstheme="minorBidi"/>
              <w:noProof/>
              <w:color w:val="auto"/>
              <w:sz w:val="22"/>
              <w:szCs w:val="22"/>
              <w:rtl/>
            </w:rPr>
          </w:pPr>
          <w:hyperlink w:anchor="_Toc49261374" w:history="1">
            <w:r w:rsidR="00794BCA" w:rsidRPr="00241F4B">
              <w:rPr>
                <w:rStyle w:val="Hyperlink"/>
                <w:noProof/>
                <w:rtl/>
                <w:lang w:bidi="fa-IR"/>
              </w:rPr>
              <w:t xml:space="preserve">229 -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زِيَارَةِ</w:t>
            </w:r>
            <w:r w:rsidR="00794BCA" w:rsidRPr="00241F4B">
              <w:rPr>
                <w:rStyle w:val="Hyperlink"/>
                <w:noProof/>
                <w:rtl/>
                <w:lang w:bidi="fa-IR"/>
              </w:rPr>
              <w:t xml:space="preserve"> </w:t>
            </w:r>
            <w:r w:rsidR="00794BCA" w:rsidRPr="00241F4B">
              <w:rPr>
                <w:rStyle w:val="Hyperlink"/>
                <w:rFonts w:hint="eastAsia"/>
                <w:noProof/>
                <w:rtl/>
                <w:lang w:bidi="fa-IR"/>
              </w:rPr>
              <w:t>قَبْرِ</w:t>
            </w:r>
            <w:r w:rsidR="00794BCA" w:rsidRPr="00241F4B">
              <w:rPr>
                <w:rStyle w:val="Hyperlink"/>
                <w:noProof/>
                <w:rtl/>
                <w:lang w:bidi="fa-IR"/>
              </w:rPr>
              <w:t xml:space="preserve"> </w:t>
            </w:r>
            <w:r w:rsidR="00794BCA" w:rsidRPr="00241F4B">
              <w:rPr>
                <w:rStyle w:val="Hyperlink"/>
                <w:rFonts w:hint="eastAsia"/>
                <w:noProof/>
                <w:rtl/>
                <w:lang w:bidi="fa-IR"/>
              </w:rPr>
              <w:t>أَبِي</w:t>
            </w:r>
            <w:r w:rsidR="00794BCA" w:rsidRPr="00241F4B">
              <w:rPr>
                <w:rStyle w:val="Hyperlink"/>
                <w:noProof/>
                <w:rtl/>
                <w:lang w:bidi="fa-IR"/>
              </w:rPr>
              <w:t xml:space="preserve"> </w:t>
            </w:r>
            <w:r w:rsidR="00794BCA" w:rsidRPr="00241F4B">
              <w:rPr>
                <w:rStyle w:val="Hyperlink"/>
                <w:rFonts w:hint="eastAsia"/>
                <w:noProof/>
                <w:rtl/>
                <w:lang w:bidi="fa-IR"/>
              </w:rPr>
              <w:t>عَبْدِ</w:t>
            </w:r>
            <w:r w:rsidR="00794BCA" w:rsidRPr="00241F4B">
              <w:rPr>
                <w:rStyle w:val="Hyperlink"/>
                <w:noProof/>
                <w:rtl/>
                <w:lang w:bidi="fa-IR"/>
              </w:rPr>
              <w:t xml:space="preserve"> </w:t>
            </w:r>
            <w:r w:rsidR="00794BCA" w:rsidRPr="00241F4B">
              <w:rPr>
                <w:rStyle w:val="Hyperlink"/>
                <w:rFonts w:hint="eastAsia"/>
                <w:noProof/>
                <w:rtl/>
                <w:lang w:bidi="fa-IR"/>
              </w:rPr>
              <w:t>اللهِ</w:t>
            </w:r>
            <w:r w:rsidR="00794BCA" w:rsidRPr="00241F4B">
              <w:rPr>
                <w:rStyle w:val="Hyperlink"/>
                <w:noProof/>
                <w:rtl/>
                <w:lang w:bidi="fa-IR"/>
              </w:rPr>
              <w:t xml:space="preserve"> </w:t>
            </w:r>
            <w:r w:rsidR="00794BCA" w:rsidRPr="00241F4B">
              <w:rPr>
                <w:rStyle w:val="Hyperlink"/>
                <w:rFonts w:hint="eastAsia"/>
                <w:noProof/>
                <w:rtl/>
                <w:lang w:bidi="fa-IR"/>
              </w:rPr>
              <w:t>الْحُسَيْنِ</w:t>
            </w:r>
            <w:r w:rsidR="00794BCA" w:rsidRPr="00241F4B">
              <w:rPr>
                <w:rStyle w:val="Hyperlink"/>
                <w:noProof/>
                <w:rtl/>
                <w:lang w:bidi="fa-IR"/>
              </w:rPr>
              <w:t xml:space="preserve"> </w:t>
            </w:r>
            <w:r w:rsidR="00794BCA" w:rsidRPr="00241F4B">
              <w:rPr>
                <w:rStyle w:val="Hyperlink"/>
                <w:rFonts w:hint="eastAsia"/>
                <w:noProof/>
                <w:rtl/>
                <w:lang w:bidi="fa-IR"/>
              </w:rPr>
              <w:t>بْنِ</w:t>
            </w:r>
            <w:r w:rsidR="00794BCA" w:rsidRPr="00241F4B">
              <w:rPr>
                <w:rStyle w:val="Hyperlink"/>
                <w:noProof/>
                <w:rtl/>
                <w:lang w:bidi="fa-IR"/>
              </w:rPr>
              <w:t xml:space="preserve"> </w:t>
            </w:r>
            <w:r w:rsidR="00794BCA" w:rsidRPr="00241F4B">
              <w:rPr>
                <w:rStyle w:val="Hyperlink"/>
                <w:rFonts w:hint="eastAsia"/>
                <w:noProof/>
                <w:rtl/>
                <w:lang w:bidi="fa-IR"/>
              </w:rPr>
              <w:t>عَلِيٍّ</w:t>
            </w:r>
            <w:r w:rsidR="00794BCA" w:rsidRPr="00241F4B">
              <w:rPr>
                <w:rStyle w:val="Hyperlink"/>
                <w:noProof/>
                <w:rtl/>
                <w:lang w:bidi="fa-IR"/>
              </w:rPr>
              <w:t xml:space="preserve"> </w:t>
            </w:r>
            <w:r w:rsidR="00794BCA" w:rsidRPr="00241F4B">
              <w:rPr>
                <w:rStyle w:val="Hyperlink"/>
                <w:rFonts w:cs="Rafed Alaem" w:hint="eastAsia"/>
                <w:noProof/>
                <w:rtl/>
              </w:rPr>
              <w:t>عليهما‌السلام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49261374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300</w:t>
            </w:r>
            <w:r w:rsidR="00794BCA">
              <w:rPr>
                <w:noProof/>
                <w:webHidden/>
                <w:rtl/>
              </w:rPr>
              <w:fldChar w:fldCharType="end"/>
            </w:r>
          </w:hyperlink>
        </w:p>
        <w:p w:rsidR="00794BCA" w:rsidRDefault="008D191A" w:rsidP="00794BCA">
          <w:pPr>
            <w:pStyle w:val="TOC2"/>
            <w:tabs>
              <w:tab w:val="right" w:leader="dot" w:pos="7786"/>
            </w:tabs>
            <w:rPr>
              <w:rFonts w:asciiTheme="minorHAnsi" w:eastAsiaTheme="minorEastAsia" w:hAnsiTheme="minorHAnsi" w:cstheme="minorBidi"/>
              <w:noProof/>
              <w:color w:val="auto"/>
              <w:sz w:val="22"/>
              <w:szCs w:val="22"/>
              <w:rtl/>
            </w:rPr>
          </w:pPr>
          <w:hyperlink w:anchor="_Toc49261375" w:history="1">
            <w:r w:rsidR="00794BCA" w:rsidRPr="00241F4B">
              <w:rPr>
                <w:rStyle w:val="Hyperlink"/>
                <w:noProof/>
                <w:rtl/>
                <w:lang w:bidi="fa-IR"/>
              </w:rPr>
              <w:t xml:space="preserve">230 -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الْقَوْلِ</w:t>
            </w:r>
            <w:r w:rsidR="00794BCA" w:rsidRPr="00241F4B">
              <w:rPr>
                <w:rStyle w:val="Hyperlink"/>
                <w:noProof/>
                <w:rtl/>
                <w:lang w:bidi="fa-IR"/>
              </w:rPr>
              <w:t xml:space="preserve"> </w:t>
            </w:r>
            <w:r w:rsidR="00794BCA" w:rsidRPr="00241F4B">
              <w:rPr>
                <w:rStyle w:val="Hyperlink"/>
                <w:rFonts w:hint="eastAsia"/>
                <w:noProof/>
                <w:rtl/>
                <w:lang w:bidi="fa-IR"/>
              </w:rPr>
              <w:t>عِنْدَ</w:t>
            </w:r>
            <w:r w:rsidR="00794BCA" w:rsidRPr="00241F4B">
              <w:rPr>
                <w:rStyle w:val="Hyperlink"/>
                <w:noProof/>
                <w:rtl/>
                <w:lang w:bidi="fa-IR"/>
              </w:rPr>
              <w:t xml:space="preserve"> </w:t>
            </w:r>
            <w:r w:rsidR="00794BCA" w:rsidRPr="00241F4B">
              <w:rPr>
                <w:rStyle w:val="Hyperlink"/>
                <w:rFonts w:hint="eastAsia"/>
                <w:noProof/>
                <w:rtl/>
                <w:lang w:bidi="fa-IR"/>
              </w:rPr>
              <w:t>قَبْرِ</w:t>
            </w:r>
            <w:r w:rsidR="00794BCA" w:rsidRPr="00241F4B">
              <w:rPr>
                <w:rStyle w:val="Hyperlink"/>
                <w:noProof/>
                <w:rtl/>
                <w:lang w:bidi="fa-IR"/>
              </w:rPr>
              <w:t xml:space="preserve"> </w:t>
            </w:r>
            <w:r w:rsidR="00794BCA" w:rsidRPr="00241F4B">
              <w:rPr>
                <w:rStyle w:val="Hyperlink"/>
                <w:rFonts w:hint="eastAsia"/>
                <w:noProof/>
                <w:rtl/>
                <w:lang w:bidi="fa-IR"/>
              </w:rPr>
              <w:t>أَبِي</w:t>
            </w:r>
            <w:r w:rsidR="00794BCA" w:rsidRPr="00241F4B">
              <w:rPr>
                <w:rStyle w:val="Hyperlink"/>
                <w:noProof/>
                <w:rtl/>
                <w:lang w:bidi="fa-IR"/>
              </w:rPr>
              <w:t xml:space="preserve"> </w:t>
            </w:r>
            <w:r w:rsidR="00794BCA" w:rsidRPr="00241F4B">
              <w:rPr>
                <w:rStyle w:val="Hyperlink"/>
                <w:rFonts w:hint="eastAsia"/>
                <w:noProof/>
                <w:rtl/>
                <w:lang w:bidi="fa-IR"/>
              </w:rPr>
              <w:t>الْحَسَنِ</w:t>
            </w:r>
            <w:r w:rsidR="00794BCA" w:rsidRPr="00241F4B">
              <w:rPr>
                <w:rStyle w:val="Hyperlink"/>
                <w:noProof/>
                <w:rtl/>
                <w:lang w:bidi="fa-IR"/>
              </w:rPr>
              <w:t xml:space="preserve"> </w:t>
            </w:r>
            <w:r w:rsidR="00794BCA" w:rsidRPr="00241F4B">
              <w:rPr>
                <w:rStyle w:val="Hyperlink"/>
                <w:noProof/>
                <w:vertAlign w:val="superscript"/>
                <w:rtl/>
              </w:rPr>
              <w:t>(1)</w:t>
            </w:r>
            <w:r w:rsidR="00794BCA" w:rsidRPr="00241F4B">
              <w:rPr>
                <w:rStyle w:val="Hyperlink"/>
                <w:noProof/>
                <w:rtl/>
                <w:lang w:bidi="fa-IR"/>
              </w:rPr>
              <w:t xml:space="preserve"> </w:t>
            </w:r>
            <w:r w:rsidR="00794BCA" w:rsidRPr="00241F4B">
              <w:rPr>
                <w:rStyle w:val="Hyperlink"/>
                <w:rFonts w:hint="eastAsia"/>
                <w:noProof/>
                <w:rtl/>
                <w:lang w:bidi="fa-IR"/>
              </w:rPr>
              <w:t>وَأَبِي</w:t>
            </w:r>
            <w:r w:rsidR="00794BCA" w:rsidRPr="00241F4B">
              <w:rPr>
                <w:rStyle w:val="Hyperlink"/>
                <w:noProof/>
                <w:rtl/>
                <w:lang w:bidi="fa-IR"/>
              </w:rPr>
              <w:t xml:space="preserve"> </w:t>
            </w:r>
            <w:r w:rsidR="00794BCA" w:rsidRPr="00241F4B">
              <w:rPr>
                <w:rStyle w:val="Hyperlink"/>
                <w:rFonts w:hint="eastAsia"/>
                <w:noProof/>
                <w:rtl/>
                <w:lang w:bidi="fa-IR"/>
              </w:rPr>
              <w:t>جَعْفَرٍ</w:t>
            </w:r>
            <w:r w:rsidR="00794BCA" w:rsidRPr="00241F4B">
              <w:rPr>
                <w:rStyle w:val="Hyperlink"/>
                <w:noProof/>
                <w:rtl/>
                <w:lang w:bidi="fa-IR"/>
              </w:rPr>
              <w:t xml:space="preserve"> </w:t>
            </w:r>
            <w:r w:rsidR="00794BCA" w:rsidRPr="00241F4B">
              <w:rPr>
                <w:rStyle w:val="Hyperlink"/>
                <w:rFonts w:hint="eastAsia"/>
                <w:noProof/>
                <w:rtl/>
                <w:lang w:bidi="fa-IR"/>
              </w:rPr>
              <w:t>الثَّانِي</w:t>
            </w:r>
          </w:hyperlink>
          <w:r w:rsidR="00794BCA">
            <w:rPr>
              <w:rStyle w:val="Hyperlink"/>
              <w:rFonts w:hint="cs"/>
              <w:noProof/>
              <w:rtl/>
            </w:rPr>
            <w:t xml:space="preserve"> </w:t>
          </w:r>
          <w:hyperlink w:anchor="_Toc49261376" w:history="1">
            <w:r w:rsidR="00794BCA" w:rsidRPr="00241F4B">
              <w:rPr>
                <w:rStyle w:val="Hyperlink"/>
                <w:rFonts w:hint="eastAsia"/>
                <w:noProof/>
                <w:rtl/>
                <w:lang w:bidi="fa-IR"/>
              </w:rPr>
              <w:t>وَمَا</w:t>
            </w:r>
            <w:r w:rsidR="00794BCA" w:rsidRPr="00241F4B">
              <w:rPr>
                <w:rStyle w:val="Hyperlink"/>
                <w:noProof/>
                <w:rtl/>
                <w:lang w:bidi="fa-IR"/>
              </w:rPr>
              <w:t xml:space="preserve"> </w:t>
            </w:r>
            <w:r w:rsidR="00794BCA" w:rsidRPr="00241F4B">
              <w:rPr>
                <w:rStyle w:val="Hyperlink"/>
                <w:rFonts w:hint="eastAsia"/>
                <w:noProof/>
                <w:rtl/>
                <w:lang w:bidi="fa-IR"/>
              </w:rPr>
              <w:t>يُجْزِئُ</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الْقَوْلِ</w:t>
            </w:r>
            <w:r w:rsidR="00794BCA" w:rsidRPr="00241F4B">
              <w:rPr>
                <w:rStyle w:val="Hyperlink"/>
                <w:noProof/>
                <w:rtl/>
                <w:lang w:bidi="fa-IR"/>
              </w:rPr>
              <w:t xml:space="preserve"> </w:t>
            </w:r>
            <w:r w:rsidR="00794BCA" w:rsidRPr="00241F4B">
              <w:rPr>
                <w:rStyle w:val="Hyperlink"/>
                <w:rFonts w:hint="eastAsia"/>
                <w:noProof/>
                <w:rtl/>
                <w:lang w:bidi="fa-IR"/>
              </w:rPr>
              <w:t>عِنْدَ</w:t>
            </w:r>
            <w:r w:rsidR="00794BCA" w:rsidRPr="00241F4B">
              <w:rPr>
                <w:rStyle w:val="Hyperlink"/>
                <w:noProof/>
                <w:rtl/>
                <w:lang w:bidi="fa-IR"/>
              </w:rPr>
              <w:t xml:space="preserve"> </w:t>
            </w:r>
            <w:r w:rsidR="00794BCA" w:rsidRPr="00241F4B">
              <w:rPr>
                <w:rStyle w:val="Hyperlink"/>
                <w:rFonts w:hint="eastAsia"/>
                <w:noProof/>
                <w:rtl/>
                <w:lang w:bidi="fa-IR"/>
              </w:rPr>
              <w:t>كُلِّهِمْ</w:t>
            </w:r>
            <w:r w:rsidR="00794BCA" w:rsidRPr="00241F4B">
              <w:rPr>
                <w:rStyle w:val="Hyperlink"/>
                <w:noProof/>
                <w:rtl/>
                <w:lang w:bidi="fa-IR"/>
              </w:rPr>
              <w:t xml:space="preserve"> </w:t>
            </w:r>
            <w:r w:rsidR="00794BCA" w:rsidRPr="00241F4B">
              <w:rPr>
                <w:rStyle w:val="Hyperlink"/>
                <w:rFonts w:eastAsiaTheme="minorHAnsi" w:cs="Rafed Alaem" w:hint="eastAsia"/>
                <w:noProof/>
                <w:rtl/>
              </w:rPr>
              <w:t>عليهم‌السلام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49261376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317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77" w:history="1">
            <w:r w:rsidR="00794BCA" w:rsidRPr="00241F4B">
              <w:rPr>
                <w:rStyle w:val="Hyperlink"/>
                <w:noProof/>
                <w:rtl/>
                <w:lang w:bidi="fa-IR"/>
              </w:rPr>
              <w:t xml:space="preserve">231 -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الزِّيَارَاتِ</w:t>
            </w:r>
            <w:r w:rsidR="00794BCA" w:rsidRPr="00241F4B">
              <w:rPr>
                <w:rStyle w:val="Hyperlink"/>
                <w:noProof/>
                <w:rtl/>
                <w:lang w:bidi="fa-IR"/>
              </w:rPr>
              <w:t xml:space="preserve"> </w:t>
            </w:r>
            <w:r w:rsidR="00794BCA" w:rsidRPr="00241F4B">
              <w:rPr>
                <w:rStyle w:val="Hyperlink"/>
                <w:rFonts w:hint="eastAsia"/>
                <w:noProof/>
                <w:rtl/>
                <w:lang w:bidi="fa-IR"/>
              </w:rPr>
              <w:t>وَثَوَابِهَا‌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49261377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320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78" w:history="1">
            <w:r w:rsidR="00794BCA" w:rsidRPr="00241F4B">
              <w:rPr>
                <w:rStyle w:val="Hyperlink"/>
                <w:noProof/>
                <w:rtl/>
                <w:lang w:bidi="fa-IR"/>
              </w:rPr>
              <w:t xml:space="preserve">232 -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زِيَارَةِ</w:t>
            </w:r>
            <w:r w:rsidR="00794BCA" w:rsidRPr="00241F4B">
              <w:rPr>
                <w:rStyle w:val="Hyperlink"/>
                <w:noProof/>
                <w:rtl/>
                <w:lang w:bidi="fa-IR"/>
              </w:rPr>
              <w:t xml:space="preserve"> </w:t>
            </w:r>
            <w:r w:rsidR="00794BCA" w:rsidRPr="00241F4B">
              <w:rPr>
                <w:rStyle w:val="Hyperlink"/>
                <w:rFonts w:hint="eastAsia"/>
                <w:noProof/>
                <w:rtl/>
                <w:lang w:bidi="fa-IR"/>
              </w:rPr>
              <w:t>أَبِي</w:t>
            </w:r>
            <w:r w:rsidR="00794BCA" w:rsidRPr="00241F4B">
              <w:rPr>
                <w:rStyle w:val="Hyperlink"/>
                <w:noProof/>
                <w:rtl/>
                <w:lang w:bidi="fa-IR"/>
              </w:rPr>
              <w:t xml:space="preserve"> </w:t>
            </w:r>
            <w:r w:rsidR="00794BCA" w:rsidRPr="00241F4B">
              <w:rPr>
                <w:rStyle w:val="Hyperlink"/>
                <w:rFonts w:hint="eastAsia"/>
                <w:noProof/>
                <w:rtl/>
                <w:lang w:bidi="fa-IR"/>
              </w:rPr>
              <w:t>عَبْدِ</w:t>
            </w:r>
            <w:r w:rsidR="00794BCA" w:rsidRPr="00241F4B">
              <w:rPr>
                <w:rStyle w:val="Hyperlink"/>
                <w:noProof/>
                <w:rtl/>
                <w:lang w:bidi="fa-IR"/>
              </w:rPr>
              <w:t xml:space="preserve"> </w:t>
            </w:r>
            <w:r w:rsidR="00794BCA" w:rsidRPr="00241F4B">
              <w:rPr>
                <w:rStyle w:val="Hyperlink"/>
                <w:rFonts w:hint="eastAsia"/>
                <w:noProof/>
                <w:rtl/>
                <w:lang w:bidi="fa-IR"/>
              </w:rPr>
              <w:t>اللهِ</w:t>
            </w:r>
            <w:r w:rsidR="00794BCA" w:rsidRPr="00241F4B">
              <w:rPr>
                <w:rStyle w:val="Hyperlink"/>
                <w:noProof/>
                <w:rtl/>
                <w:lang w:bidi="fa-IR"/>
              </w:rPr>
              <w:t xml:space="preserve"> </w:t>
            </w:r>
            <w:r w:rsidR="00794BCA" w:rsidRPr="00241F4B">
              <w:rPr>
                <w:rStyle w:val="Hyperlink"/>
                <w:rFonts w:hint="eastAsia"/>
                <w:noProof/>
                <w:rtl/>
                <w:lang w:bidi="fa-IR"/>
              </w:rPr>
              <w:t>الْحُسَيْنِ</w:t>
            </w:r>
            <w:r w:rsidR="00794BCA" w:rsidRPr="00241F4B">
              <w:rPr>
                <w:rStyle w:val="Hyperlink"/>
                <w:noProof/>
                <w:rtl/>
                <w:lang w:bidi="fa-IR"/>
              </w:rPr>
              <w:t xml:space="preserve"> </w:t>
            </w:r>
            <w:r w:rsidR="00794BCA" w:rsidRPr="00241F4B">
              <w:rPr>
                <w:rStyle w:val="Hyperlink"/>
                <w:rFonts w:cs="Rafed Alaem" w:hint="eastAsia"/>
                <w:noProof/>
                <w:rtl/>
              </w:rPr>
              <w:t>عليه‌السلام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49261378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323</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79" w:history="1">
            <w:r w:rsidR="00794BCA" w:rsidRPr="00241F4B">
              <w:rPr>
                <w:rStyle w:val="Hyperlink"/>
                <w:noProof/>
                <w:rtl/>
                <w:lang w:bidi="fa-IR"/>
              </w:rPr>
              <w:t xml:space="preserve">233 -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زِيَارَةِ</w:t>
            </w:r>
            <w:r w:rsidR="00794BCA" w:rsidRPr="00241F4B">
              <w:rPr>
                <w:rStyle w:val="Hyperlink"/>
                <w:noProof/>
                <w:rtl/>
                <w:lang w:bidi="fa-IR"/>
              </w:rPr>
              <w:t xml:space="preserve"> </w:t>
            </w:r>
            <w:r w:rsidR="00794BCA" w:rsidRPr="00241F4B">
              <w:rPr>
                <w:rStyle w:val="Hyperlink"/>
                <w:rFonts w:hint="eastAsia"/>
                <w:noProof/>
                <w:rtl/>
                <w:lang w:bidi="fa-IR"/>
              </w:rPr>
              <w:t>أَبِي</w:t>
            </w:r>
            <w:r w:rsidR="00794BCA" w:rsidRPr="00241F4B">
              <w:rPr>
                <w:rStyle w:val="Hyperlink"/>
                <w:noProof/>
                <w:rtl/>
                <w:lang w:bidi="fa-IR"/>
              </w:rPr>
              <w:t xml:space="preserve"> </w:t>
            </w:r>
            <w:r w:rsidR="00794BCA" w:rsidRPr="00241F4B">
              <w:rPr>
                <w:rStyle w:val="Hyperlink"/>
                <w:rFonts w:hint="eastAsia"/>
                <w:noProof/>
                <w:rtl/>
                <w:lang w:bidi="fa-IR"/>
              </w:rPr>
              <w:t>الْحَسَنِ</w:t>
            </w:r>
            <w:r w:rsidR="00794BCA" w:rsidRPr="00241F4B">
              <w:rPr>
                <w:rStyle w:val="Hyperlink"/>
                <w:noProof/>
                <w:rtl/>
                <w:lang w:bidi="fa-IR"/>
              </w:rPr>
              <w:t xml:space="preserve"> </w:t>
            </w:r>
            <w:r w:rsidR="00794BCA" w:rsidRPr="00241F4B">
              <w:rPr>
                <w:rStyle w:val="Hyperlink"/>
                <w:rFonts w:hint="eastAsia"/>
                <w:noProof/>
                <w:rtl/>
                <w:lang w:bidi="fa-IR"/>
              </w:rPr>
              <w:t>مُوسى</w:t>
            </w:r>
            <w:r w:rsidR="00794BCA" w:rsidRPr="00241F4B">
              <w:rPr>
                <w:rStyle w:val="Hyperlink"/>
                <w:noProof/>
                <w:rtl/>
                <w:lang w:bidi="fa-IR"/>
              </w:rPr>
              <w:t xml:space="preserve"> </w:t>
            </w:r>
            <w:r w:rsidR="00794BCA" w:rsidRPr="00241F4B">
              <w:rPr>
                <w:rStyle w:val="Hyperlink"/>
                <w:rFonts w:cs="Rafed Alaem" w:hint="eastAsia"/>
                <w:noProof/>
                <w:rtl/>
              </w:rPr>
              <w:t>عليه‌السلام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49261379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332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80" w:history="1">
            <w:r w:rsidR="00794BCA" w:rsidRPr="00241F4B">
              <w:rPr>
                <w:rStyle w:val="Hyperlink"/>
                <w:noProof/>
                <w:rtl/>
                <w:lang w:bidi="fa-IR"/>
              </w:rPr>
              <w:t xml:space="preserve">234 -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noProof/>
                <w:vertAlign w:val="superscript"/>
                <w:rtl/>
              </w:rPr>
              <w:t>(9)</w:t>
            </w:r>
            <w:r w:rsidR="00794BCA" w:rsidRPr="00241F4B">
              <w:rPr>
                <w:rStyle w:val="Hyperlink"/>
                <w:noProof/>
                <w:rtl/>
                <w:lang w:bidi="fa-IR"/>
              </w:rPr>
              <w:t xml:space="preserve"> </w:t>
            </w:r>
            <w:r w:rsidR="00794BCA" w:rsidRPr="00241F4B">
              <w:rPr>
                <w:rStyle w:val="Hyperlink"/>
                <w:rFonts w:hint="eastAsia"/>
                <w:noProof/>
                <w:rtl/>
                <w:lang w:bidi="fa-IR"/>
              </w:rPr>
              <w:t>زِيَارَةِ</w:t>
            </w:r>
            <w:r w:rsidR="00794BCA" w:rsidRPr="00241F4B">
              <w:rPr>
                <w:rStyle w:val="Hyperlink"/>
                <w:noProof/>
                <w:rtl/>
                <w:lang w:bidi="fa-IR"/>
              </w:rPr>
              <w:t xml:space="preserve"> </w:t>
            </w:r>
            <w:r w:rsidR="00794BCA" w:rsidRPr="00241F4B">
              <w:rPr>
                <w:rStyle w:val="Hyperlink"/>
                <w:rFonts w:hint="eastAsia"/>
                <w:noProof/>
                <w:rtl/>
                <w:lang w:bidi="fa-IR"/>
              </w:rPr>
              <w:t>أَبِي</w:t>
            </w:r>
            <w:r w:rsidR="00794BCA" w:rsidRPr="00241F4B">
              <w:rPr>
                <w:rStyle w:val="Hyperlink"/>
                <w:noProof/>
                <w:rtl/>
                <w:lang w:bidi="fa-IR"/>
              </w:rPr>
              <w:t xml:space="preserve"> </w:t>
            </w:r>
            <w:r w:rsidR="00794BCA" w:rsidRPr="00241F4B">
              <w:rPr>
                <w:rStyle w:val="Hyperlink"/>
                <w:rFonts w:hint="eastAsia"/>
                <w:noProof/>
                <w:rtl/>
                <w:lang w:bidi="fa-IR"/>
              </w:rPr>
              <w:t>الْحَسَنِ</w:t>
            </w:r>
            <w:r w:rsidR="00794BCA" w:rsidRPr="00241F4B">
              <w:rPr>
                <w:rStyle w:val="Hyperlink"/>
                <w:noProof/>
                <w:rtl/>
                <w:lang w:bidi="fa-IR"/>
              </w:rPr>
              <w:t xml:space="preserve"> </w:t>
            </w:r>
            <w:r w:rsidR="00794BCA" w:rsidRPr="00241F4B">
              <w:rPr>
                <w:rStyle w:val="Hyperlink"/>
                <w:rFonts w:hint="eastAsia"/>
                <w:noProof/>
                <w:rtl/>
                <w:lang w:bidi="fa-IR"/>
              </w:rPr>
              <w:t>الرِّضَا</w:t>
            </w:r>
            <w:r w:rsidR="00794BCA" w:rsidRPr="00241F4B">
              <w:rPr>
                <w:rStyle w:val="Hyperlink"/>
                <w:noProof/>
                <w:rtl/>
                <w:lang w:bidi="fa-IR"/>
              </w:rPr>
              <w:t xml:space="preserve"> </w:t>
            </w:r>
            <w:r w:rsidR="00794BCA" w:rsidRPr="00241F4B">
              <w:rPr>
                <w:rStyle w:val="Hyperlink"/>
                <w:noProof/>
                <w:vertAlign w:val="superscript"/>
                <w:rtl/>
              </w:rPr>
              <w:t>(10)</w:t>
            </w:r>
            <w:r w:rsidR="00794BCA" w:rsidRPr="00241F4B">
              <w:rPr>
                <w:rStyle w:val="Hyperlink"/>
                <w:noProof/>
                <w:rtl/>
                <w:lang w:bidi="fa-IR"/>
              </w:rPr>
              <w:t xml:space="preserve"> </w:t>
            </w:r>
            <w:r w:rsidR="00794BCA" w:rsidRPr="00241F4B">
              <w:rPr>
                <w:rStyle w:val="Hyperlink"/>
                <w:rFonts w:cs="Rafed Alaem" w:hint="eastAsia"/>
                <w:noProof/>
                <w:rtl/>
              </w:rPr>
              <w:t>عليه‌السلام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49261380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334</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81" w:history="1">
            <w:r w:rsidR="00794BCA" w:rsidRPr="00241F4B">
              <w:rPr>
                <w:rStyle w:val="Hyperlink"/>
                <w:noProof/>
                <w:rtl/>
                <w:lang w:bidi="fa-IR"/>
              </w:rPr>
              <w:t xml:space="preserve">235 -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الصَّلَاةِ</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الْحَرَمَيْنِ</w:t>
            </w:r>
            <w:r w:rsidR="00794BCA" w:rsidRPr="00241F4B">
              <w:rPr>
                <w:rStyle w:val="Hyperlink"/>
                <w:noProof/>
                <w:rtl/>
                <w:lang w:bidi="fa-IR"/>
              </w:rPr>
              <w:t xml:space="preserve"> </w:t>
            </w:r>
            <w:r w:rsidR="00794BCA" w:rsidRPr="00241F4B">
              <w:rPr>
                <w:rStyle w:val="Hyperlink"/>
                <w:rFonts w:hint="eastAsia"/>
                <w:noProof/>
                <w:rtl/>
                <w:lang w:bidi="fa-IR"/>
              </w:rPr>
              <w:t>وَإِتْمَامِ</w:t>
            </w:r>
            <w:r w:rsidR="00794BCA" w:rsidRPr="00241F4B">
              <w:rPr>
                <w:rStyle w:val="Hyperlink"/>
                <w:noProof/>
                <w:rtl/>
                <w:lang w:bidi="fa-IR"/>
              </w:rPr>
              <w:t xml:space="preserve"> </w:t>
            </w:r>
            <w:r w:rsidR="00794BCA" w:rsidRPr="00241F4B">
              <w:rPr>
                <w:rStyle w:val="Hyperlink"/>
                <w:rFonts w:hint="eastAsia"/>
                <w:noProof/>
                <w:rtl/>
                <w:lang w:bidi="fa-IR"/>
              </w:rPr>
              <w:t>الصَّلَاةِ</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الْمَواطِنِ</w:t>
            </w:r>
            <w:r w:rsidR="00794BCA" w:rsidRPr="00241F4B">
              <w:rPr>
                <w:rStyle w:val="Hyperlink"/>
                <w:noProof/>
                <w:rtl/>
                <w:lang w:bidi="fa-IR"/>
              </w:rPr>
              <w:t xml:space="preserve"> </w:t>
            </w:r>
            <w:r w:rsidR="00794BCA" w:rsidRPr="00241F4B">
              <w:rPr>
                <w:rStyle w:val="Hyperlink"/>
                <w:rFonts w:hint="eastAsia"/>
                <w:noProof/>
                <w:rtl/>
                <w:lang w:bidi="fa-IR"/>
              </w:rPr>
              <w:t>الْأَرْبَعَةِ</w:t>
            </w:r>
            <w:r w:rsidR="00794BCA" w:rsidRPr="00241F4B">
              <w:rPr>
                <w:rStyle w:val="Hyperlink"/>
                <w:noProof/>
                <w:rtl/>
                <w:lang w:bidi="fa-IR"/>
              </w:rPr>
              <w:t xml:space="preserve"> </w:t>
            </w:r>
            <w:r w:rsidR="00794BCA" w:rsidRPr="00241F4B">
              <w:rPr>
                <w:rStyle w:val="Hyperlink"/>
                <w:noProof/>
                <w:vertAlign w:val="superscript"/>
                <w:rtl/>
              </w:rPr>
              <w:t>(4)</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49261381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340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82" w:history="1">
            <w:r w:rsidR="00794BCA" w:rsidRPr="00241F4B">
              <w:rPr>
                <w:rStyle w:val="Hyperlink"/>
                <w:noProof/>
                <w:rtl/>
                <w:lang w:bidi="fa-IR"/>
              </w:rPr>
              <w:t xml:space="preserve">236 -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النَّوَادِرِ</w:t>
            </w:r>
            <w:r w:rsidR="00794BCA" w:rsidRPr="00241F4B">
              <w:rPr>
                <w:rStyle w:val="Hyperlink"/>
                <w:noProof/>
                <w:rtl/>
                <w:lang w:bidi="fa-IR"/>
              </w:rPr>
              <w:t xml:space="preserve"> </w:t>
            </w:r>
            <w:r w:rsidR="00794BCA" w:rsidRPr="00241F4B">
              <w:rPr>
                <w:rStyle w:val="Hyperlink"/>
                <w:noProof/>
                <w:vertAlign w:val="superscript"/>
                <w:rtl/>
              </w:rPr>
              <w:t>(3)</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49261382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344</w:t>
            </w:r>
            <w:r w:rsidR="00794BCA">
              <w:rPr>
                <w:noProof/>
                <w:webHidden/>
                <w:rtl/>
              </w:rPr>
              <w:fldChar w:fldCharType="end"/>
            </w:r>
          </w:hyperlink>
        </w:p>
        <w:p w:rsidR="00794BCA" w:rsidRDefault="008D191A" w:rsidP="00794BCA">
          <w:pPr>
            <w:pStyle w:val="TOC1"/>
            <w:rPr>
              <w:rFonts w:asciiTheme="minorHAnsi" w:eastAsiaTheme="minorEastAsia" w:hAnsiTheme="minorHAnsi" w:cstheme="minorBidi"/>
              <w:bCs w:val="0"/>
              <w:noProof/>
              <w:color w:val="auto"/>
              <w:sz w:val="22"/>
              <w:szCs w:val="22"/>
              <w:rtl/>
            </w:rPr>
          </w:pPr>
          <w:hyperlink w:anchor="_Toc49261383" w:history="1">
            <w:r w:rsidR="00794BCA" w:rsidRPr="00241F4B">
              <w:rPr>
                <w:rStyle w:val="Hyperlink"/>
                <w:noProof/>
                <w:rtl/>
              </w:rPr>
              <w:t>(16)</w:t>
            </w:r>
            <w:r w:rsidR="00794BCA">
              <w:rPr>
                <w:noProof/>
                <w:webHidden/>
                <w:rtl/>
              </w:rPr>
              <w:t xml:space="preserve"> </w:t>
            </w:r>
          </w:hyperlink>
          <w:r w:rsidR="00794BCA">
            <w:rPr>
              <w:rStyle w:val="Hyperlink"/>
              <w:rFonts w:hint="cs"/>
              <w:noProof/>
              <w:rtl/>
            </w:rPr>
            <w:t xml:space="preserve"> </w:t>
          </w:r>
          <w:hyperlink w:anchor="_Toc49261384" w:history="1">
            <w:r w:rsidR="00794BCA" w:rsidRPr="00241F4B">
              <w:rPr>
                <w:rStyle w:val="Hyperlink"/>
                <w:rFonts w:hint="eastAsia"/>
                <w:noProof/>
                <w:rtl/>
                <w:lang w:bidi="fa-IR"/>
              </w:rPr>
              <w:t>كتاب</w:t>
            </w:r>
            <w:r w:rsidR="00794BCA" w:rsidRPr="00241F4B">
              <w:rPr>
                <w:rStyle w:val="Hyperlink"/>
                <w:noProof/>
                <w:rtl/>
                <w:lang w:bidi="fa-IR"/>
              </w:rPr>
              <w:t xml:space="preserve"> </w:t>
            </w:r>
            <w:r w:rsidR="00794BCA" w:rsidRPr="00241F4B">
              <w:rPr>
                <w:rStyle w:val="Hyperlink"/>
                <w:rFonts w:hint="eastAsia"/>
                <w:noProof/>
                <w:rtl/>
                <w:lang w:bidi="fa-IR"/>
              </w:rPr>
              <w:t>الجهاد‌</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49261384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353</w:t>
            </w:r>
            <w:r w:rsidR="00794BCA">
              <w:rPr>
                <w:noProof/>
                <w:webHidden/>
                <w:rtl/>
              </w:rPr>
              <w:fldChar w:fldCharType="end"/>
            </w:r>
          </w:hyperlink>
        </w:p>
        <w:p w:rsidR="00794BCA" w:rsidRDefault="008D191A" w:rsidP="00794BCA">
          <w:pPr>
            <w:pStyle w:val="TOC2"/>
            <w:tabs>
              <w:tab w:val="right" w:leader="dot" w:pos="7786"/>
            </w:tabs>
            <w:rPr>
              <w:rFonts w:asciiTheme="minorHAnsi" w:eastAsiaTheme="minorEastAsia" w:hAnsiTheme="minorHAnsi" w:cstheme="minorBidi"/>
              <w:noProof/>
              <w:color w:val="auto"/>
              <w:sz w:val="22"/>
              <w:szCs w:val="22"/>
              <w:rtl/>
            </w:rPr>
          </w:pPr>
          <w:hyperlink w:anchor="_Toc49261385" w:history="1">
            <w:r w:rsidR="00794BCA" w:rsidRPr="00241F4B">
              <w:rPr>
                <w:rStyle w:val="Hyperlink"/>
                <w:noProof/>
                <w:rtl/>
                <w:lang w:bidi="fa-IR"/>
              </w:rPr>
              <w:t>[16]</w:t>
            </w:r>
            <w:r w:rsidR="00794BCA">
              <w:rPr>
                <w:noProof/>
                <w:webHidden/>
                <w:rtl/>
              </w:rPr>
              <w:t xml:space="preserve"> </w:t>
            </w:r>
          </w:hyperlink>
          <w:r w:rsidR="00794BCA">
            <w:rPr>
              <w:rStyle w:val="Hyperlink"/>
              <w:rFonts w:hint="cs"/>
              <w:noProof/>
              <w:rtl/>
            </w:rPr>
            <w:t xml:space="preserve"> </w:t>
          </w:r>
          <w:hyperlink w:anchor="_Toc49261386" w:history="1">
            <w:r w:rsidR="00794BCA" w:rsidRPr="00241F4B">
              <w:rPr>
                <w:rStyle w:val="Hyperlink"/>
                <w:rFonts w:hint="eastAsia"/>
                <w:noProof/>
                <w:rtl/>
                <w:lang w:bidi="fa-IR"/>
              </w:rPr>
              <w:t>كِتَابُ</w:t>
            </w:r>
            <w:r w:rsidR="00794BCA" w:rsidRPr="00241F4B">
              <w:rPr>
                <w:rStyle w:val="Hyperlink"/>
                <w:noProof/>
                <w:rtl/>
                <w:lang w:bidi="fa-IR"/>
              </w:rPr>
              <w:t xml:space="preserve"> </w:t>
            </w:r>
            <w:r w:rsidR="00794BCA" w:rsidRPr="00241F4B">
              <w:rPr>
                <w:rStyle w:val="Hyperlink"/>
                <w:rFonts w:hint="eastAsia"/>
                <w:noProof/>
                <w:rtl/>
                <w:lang w:bidi="fa-IR"/>
              </w:rPr>
              <w:t>الْجِهَادِ‌</w:t>
            </w:r>
          </w:hyperlink>
          <w:r w:rsidR="00794BCA">
            <w:rPr>
              <w:rStyle w:val="Hyperlink"/>
              <w:rFonts w:hint="cs"/>
              <w:noProof/>
              <w:rtl/>
            </w:rPr>
            <w:t xml:space="preserve"> </w:t>
          </w:r>
          <w:hyperlink w:anchor="_Toc49261387" w:history="1">
            <w:r w:rsidR="00794BCA" w:rsidRPr="00241F4B">
              <w:rPr>
                <w:rStyle w:val="Hyperlink"/>
                <w:noProof/>
                <w:rtl/>
                <w:lang w:bidi="fa-IR"/>
              </w:rPr>
              <w:t xml:space="preserve">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الْجِهَادِ‌</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49261387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355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88" w:history="1">
            <w:r w:rsidR="00794BCA" w:rsidRPr="00241F4B">
              <w:rPr>
                <w:rStyle w:val="Hyperlink"/>
                <w:noProof/>
                <w:rtl/>
                <w:lang w:bidi="fa-IR"/>
              </w:rPr>
              <w:t xml:space="preserve">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جِهَادِ</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وَالْمَرْأَةِ‌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49261388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370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89" w:history="1">
            <w:r w:rsidR="00794BCA" w:rsidRPr="00241F4B">
              <w:rPr>
                <w:rStyle w:val="Hyperlink"/>
                <w:noProof/>
                <w:rtl/>
                <w:lang w:bidi="fa-IR"/>
              </w:rPr>
              <w:t xml:space="preserve">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وُجُوهِ</w:t>
            </w:r>
            <w:r w:rsidR="00794BCA" w:rsidRPr="00241F4B">
              <w:rPr>
                <w:rStyle w:val="Hyperlink"/>
                <w:noProof/>
                <w:rtl/>
                <w:lang w:bidi="fa-IR"/>
              </w:rPr>
              <w:t xml:space="preserve"> </w:t>
            </w:r>
            <w:r w:rsidR="00794BCA" w:rsidRPr="00241F4B">
              <w:rPr>
                <w:rStyle w:val="Hyperlink"/>
                <w:rFonts w:hint="eastAsia"/>
                <w:noProof/>
                <w:rtl/>
                <w:lang w:bidi="fa-IR"/>
              </w:rPr>
              <w:t>الْجِهَادِ‌</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49261389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371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0" w:history="1">
            <w:r w:rsidR="00794BCA" w:rsidRPr="00241F4B">
              <w:rPr>
                <w:rStyle w:val="Hyperlink"/>
                <w:noProof/>
                <w:rtl/>
                <w:lang w:bidi="fa-IR"/>
              </w:rPr>
              <w:t xml:space="preserve">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يَجِبُ</w:t>
            </w:r>
            <w:r w:rsidR="00794BCA" w:rsidRPr="00241F4B">
              <w:rPr>
                <w:rStyle w:val="Hyperlink"/>
                <w:noProof/>
                <w:rtl/>
                <w:lang w:bidi="fa-IR"/>
              </w:rPr>
              <w:t xml:space="preserve"> </w:t>
            </w:r>
            <w:r w:rsidR="00794BCA" w:rsidRPr="00241F4B">
              <w:rPr>
                <w:rStyle w:val="Hyperlink"/>
                <w:rFonts w:hint="eastAsia"/>
                <w:noProof/>
                <w:rtl/>
                <w:lang w:bidi="fa-IR"/>
              </w:rPr>
              <w:t>عَلَيْهِ</w:t>
            </w:r>
            <w:r w:rsidR="00794BCA" w:rsidRPr="00241F4B">
              <w:rPr>
                <w:rStyle w:val="Hyperlink"/>
                <w:noProof/>
                <w:rtl/>
                <w:lang w:bidi="fa-IR"/>
              </w:rPr>
              <w:t xml:space="preserve"> </w:t>
            </w:r>
            <w:r w:rsidR="00794BCA" w:rsidRPr="00241F4B">
              <w:rPr>
                <w:rStyle w:val="Hyperlink"/>
                <w:rFonts w:hint="eastAsia"/>
                <w:noProof/>
                <w:rtl/>
                <w:lang w:bidi="fa-IR"/>
              </w:rPr>
              <w:t>الْجِهَادُ</w:t>
            </w:r>
            <w:r w:rsidR="00794BCA" w:rsidRPr="00241F4B">
              <w:rPr>
                <w:rStyle w:val="Hyperlink"/>
                <w:noProof/>
                <w:rtl/>
                <w:lang w:bidi="fa-IR"/>
              </w:rPr>
              <w:t xml:space="preserve"> </w:t>
            </w:r>
            <w:r w:rsidR="00794BCA" w:rsidRPr="00241F4B">
              <w:rPr>
                <w:rStyle w:val="Hyperlink"/>
                <w:rFonts w:hint="eastAsia"/>
                <w:noProof/>
                <w:rtl/>
                <w:lang w:bidi="fa-IR"/>
              </w:rPr>
              <w:t>وَمَنْ</w:t>
            </w:r>
            <w:r w:rsidR="00794BCA" w:rsidRPr="00241F4B">
              <w:rPr>
                <w:rStyle w:val="Hyperlink"/>
                <w:noProof/>
                <w:rtl/>
                <w:lang w:bidi="fa-IR"/>
              </w:rPr>
              <w:t xml:space="preserve"> </w:t>
            </w:r>
            <w:r w:rsidR="00794BCA" w:rsidRPr="00241F4B">
              <w:rPr>
                <w:rStyle w:val="Hyperlink"/>
                <w:rFonts w:hint="eastAsia"/>
                <w:noProof/>
                <w:rtl/>
                <w:lang w:bidi="fa-IR"/>
              </w:rPr>
              <w:t>لَا</w:t>
            </w:r>
            <w:r w:rsidR="00794BCA" w:rsidRPr="00241F4B">
              <w:rPr>
                <w:rStyle w:val="Hyperlink"/>
                <w:noProof/>
                <w:rtl/>
                <w:lang w:bidi="fa-IR"/>
              </w:rPr>
              <w:t xml:space="preserve"> </w:t>
            </w:r>
            <w:r w:rsidR="00794BCA" w:rsidRPr="00241F4B">
              <w:rPr>
                <w:rStyle w:val="Hyperlink"/>
                <w:rFonts w:hint="eastAsia"/>
                <w:noProof/>
                <w:rtl/>
                <w:lang w:bidi="fa-IR"/>
              </w:rPr>
              <w:t>يَجِبُ‌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378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1" w:history="1">
            <w:r w:rsidR="00794BCA" w:rsidRPr="00241F4B">
              <w:rPr>
                <w:rStyle w:val="Hyperlink"/>
                <w:noProof/>
                <w:rtl/>
                <w:lang w:bidi="fa-IR"/>
              </w:rPr>
              <w:t xml:space="preserve">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الْغَزْوِ</w:t>
            </w:r>
            <w:r w:rsidR="00794BCA" w:rsidRPr="00241F4B">
              <w:rPr>
                <w:rStyle w:val="Hyperlink"/>
                <w:noProof/>
                <w:rtl/>
                <w:lang w:bidi="fa-IR"/>
              </w:rPr>
              <w:t xml:space="preserve"> </w:t>
            </w:r>
            <w:r w:rsidR="00794BCA" w:rsidRPr="00241F4B">
              <w:rPr>
                <w:rStyle w:val="Hyperlink"/>
                <w:rFonts w:hint="eastAsia"/>
                <w:noProof/>
                <w:rtl/>
                <w:lang w:bidi="fa-IR"/>
              </w:rPr>
              <w:t>مَعَ</w:t>
            </w:r>
            <w:r w:rsidR="00794BCA" w:rsidRPr="00241F4B">
              <w:rPr>
                <w:rStyle w:val="Hyperlink"/>
                <w:noProof/>
                <w:rtl/>
                <w:lang w:bidi="fa-IR"/>
              </w:rPr>
              <w:t xml:space="preserve"> </w:t>
            </w:r>
            <w:r w:rsidR="00794BCA" w:rsidRPr="00241F4B">
              <w:rPr>
                <w:rStyle w:val="Hyperlink"/>
                <w:rFonts w:hint="eastAsia"/>
                <w:noProof/>
                <w:rtl/>
                <w:lang w:bidi="fa-IR"/>
              </w:rPr>
              <w:t>النَّاسِ</w:t>
            </w:r>
            <w:r w:rsidR="00794BCA" w:rsidRPr="00241F4B">
              <w:rPr>
                <w:rStyle w:val="Hyperlink"/>
                <w:noProof/>
                <w:rtl/>
                <w:lang w:bidi="fa-IR"/>
              </w:rPr>
              <w:t xml:space="preserve"> </w:t>
            </w:r>
            <w:r w:rsidR="00794BCA" w:rsidRPr="00241F4B">
              <w:rPr>
                <w:rStyle w:val="Hyperlink"/>
                <w:rFonts w:hint="eastAsia"/>
                <w:noProof/>
                <w:rtl/>
                <w:lang w:bidi="fa-IR"/>
              </w:rPr>
              <w:t>إِذَا</w:t>
            </w:r>
            <w:r w:rsidR="00794BCA" w:rsidRPr="00241F4B">
              <w:rPr>
                <w:rStyle w:val="Hyperlink"/>
                <w:noProof/>
                <w:rtl/>
                <w:lang w:bidi="fa-IR"/>
              </w:rPr>
              <w:t xml:space="preserve"> </w:t>
            </w:r>
            <w:r w:rsidR="00794BCA" w:rsidRPr="00241F4B">
              <w:rPr>
                <w:rStyle w:val="Hyperlink"/>
                <w:rFonts w:hint="eastAsia"/>
                <w:noProof/>
                <w:rtl/>
                <w:lang w:bidi="fa-IR"/>
              </w:rPr>
              <w:t>خِيفَ</w:t>
            </w:r>
            <w:r w:rsidR="00794BCA" w:rsidRPr="00241F4B">
              <w:rPr>
                <w:rStyle w:val="Hyperlink"/>
                <w:noProof/>
                <w:rtl/>
                <w:lang w:bidi="fa-IR"/>
              </w:rPr>
              <w:t xml:space="preserve"> </w:t>
            </w:r>
            <w:r w:rsidR="00794BCA" w:rsidRPr="00241F4B">
              <w:rPr>
                <w:rStyle w:val="Hyperlink"/>
                <w:rFonts w:hint="eastAsia"/>
                <w:noProof/>
                <w:rtl/>
                <w:lang w:bidi="fa-IR"/>
              </w:rPr>
              <w:t>عَلَى</w:t>
            </w:r>
            <w:r w:rsidR="00794BCA" w:rsidRPr="00241F4B">
              <w:rPr>
                <w:rStyle w:val="Hyperlink"/>
                <w:noProof/>
                <w:rtl/>
                <w:lang w:bidi="fa-IR"/>
              </w:rPr>
              <w:t xml:space="preserve"> </w:t>
            </w:r>
            <w:r w:rsidR="00794BCA" w:rsidRPr="00241F4B">
              <w:rPr>
                <w:rStyle w:val="Hyperlink"/>
                <w:rFonts w:hint="eastAsia"/>
                <w:noProof/>
                <w:rtl/>
                <w:lang w:bidi="fa-IR"/>
              </w:rPr>
              <w:t>الْإِسْلَامِ‌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392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2" w:history="1">
            <w:r w:rsidR="00794BCA" w:rsidRPr="00241F4B">
              <w:rPr>
                <w:rStyle w:val="Hyperlink"/>
                <w:noProof/>
                <w:rtl/>
                <w:lang w:bidi="fa-IR"/>
              </w:rPr>
              <w:t xml:space="preserve">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الْجِهَادِ</w:t>
            </w:r>
            <w:r w:rsidR="00794BCA" w:rsidRPr="00241F4B">
              <w:rPr>
                <w:rStyle w:val="Hyperlink"/>
                <w:noProof/>
                <w:rtl/>
                <w:lang w:bidi="fa-IR"/>
              </w:rPr>
              <w:t xml:space="preserve"> </w:t>
            </w:r>
            <w:r w:rsidR="00794BCA" w:rsidRPr="00241F4B">
              <w:rPr>
                <w:rStyle w:val="Hyperlink"/>
                <w:rFonts w:hint="eastAsia"/>
                <w:noProof/>
                <w:rtl/>
                <w:lang w:bidi="fa-IR"/>
              </w:rPr>
              <w:t>الْوَاجِبِ</w:t>
            </w:r>
            <w:r w:rsidR="00794BCA" w:rsidRPr="00241F4B">
              <w:rPr>
                <w:rStyle w:val="Hyperlink"/>
                <w:noProof/>
                <w:rtl/>
                <w:lang w:bidi="fa-IR"/>
              </w:rPr>
              <w:t xml:space="preserve"> </w:t>
            </w:r>
            <w:r w:rsidR="00794BCA" w:rsidRPr="00241F4B">
              <w:rPr>
                <w:rStyle w:val="Hyperlink"/>
                <w:noProof/>
                <w:vertAlign w:val="superscript"/>
                <w:rtl/>
              </w:rPr>
              <w:t>(13)</w:t>
            </w:r>
            <w:r w:rsidR="00794BCA" w:rsidRPr="00241F4B">
              <w:rPr>
                <w:rStyle w:val="Hyperlink"/>
                <w:noProof/>
                <w:rtl/>
                <w:lang w:bidi="fa-IR"/>
              </w:rPr>
              <w:t xml:space="preserve"> </w:t>
            </w:r>
            <w:r w:rsidR="00794BCA" w:rsidRPr="00241F4B">
              <w:rPr>
                <w:rStyle w:val="Hyperlink"/>
                <w:rFonts w:hint="eastAsia"/>
                <w:noProof/>
                <w:rtl/>
                <w:lang w:bidi="fa-IR"/>
              </w:rPr>
              <w:t>مَعَ</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يَكُونُ‌</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395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3" w:history="1">
            <w:r w:rsidR="00794BCA" w:rsidRPr="00241F4B">
              <w:rPr>
                <w:rStyle w:val="Hyperlink"/>
                <w:noProof/>
                <w:rtl/>
                <w:lang w:bidi="fa-IR"/>
              </w:rPr>
              <w:t xml:space="preserve">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دُخُولِ</w:t>
            </w:r>
            <w:r w:rsidR="00794BCA" w:rsidRPr="00241F4B">
              <w:rPr>
                <w:rStyle w:val="Hyperlink"/>
                <w:noProof/>
                <w:rtl/>
                <w:lang w:bidi="fa-IR"/>
              </w:rPr>
              <w:t xml:space="preserve"> </w:t>
            </w:r>
            <w:r w:rsidR="00794BCA" w:rsidRPr="00241F4B">
              <w:rPr>
                <w:rStyle w:val="Hyperlink"/>
                <w:rFonts w:hint="eastAsia"/>
                <w:noProof/>
                <w:rtl/>
                <w:lang w:bidi="fa-IR"/>
              </w:rPr>
              <w:t>عَمْرِو</w:t>
            </w:r>
            <w:r w:rsidR="00794BCA" w:rsidRPr="00241F4B">
              <w:rPr>
                <w:rStyle w:val="Hyperlink"/>
                <w:noProof/>
                <w:rtl/>
                <w:lang w:bidi="fa-IR"/>
              </w:rPr>
              <w:t xml:space="preserve"> </w:t>
            </w:r>
            <w:r w:rsidR="00794BCA" w:rsidRPr="00241F4B">
              <w:rPr>
                <w:rStyle w:val="Hyperlink"/>
                <w:rFonts w:hint="eastAsia"/>
                <w:noProof/>
                <w:rtl/>
                <w:lang w:bidi="fa-IR"/>
              </w:rPr>
              <w:t>بْنِ</w:t>
            </w:r>
            <w:r w:rsidR="00794BCA" w:rsidRPr="00241F4B">
              <w:rPr>
                <w:rStyle w:val="Hyperlink"/>
                <w:noProof/>
                <w:rtl/>
                <w:lang w:bidi="fa-IR"/>
              </w:rPr>
              <w:t xml:space="preserve"> </w:t>
            </w:r>
            <w:r w:rsidR="00794BCA" w:rsidRPr="00241F4B">
              <w:rPr>
                <w:rStyle w:val="Hyperlink"/>
                <w:rFonts w:hint="eastAsia"/>
                <w:noProof/>
                <w:rtl/>
                <w:lang w:bidi="fa-IR"/>
              </w:rPr>
              <w:t>عُبَيْدٍ</w:t>
            </w:r>
            <w:r w:rsidR="00794BCA" w:rsidRPr="00241F4B">
              <w:rPr>
                <w:rStyle w:val="Hyperlink"/>
                <w:noProof/>
                <w:rtl/>
                <w:lang w:bidi="fa-IR"/>
              </w:rPr>
              <w:t xml:space="preserve"> </w:t>
            </w:r>
            <w:r w:rsidR="00794BCA" w:rsidRPr="00241F4B">
              <w:rPr>
                <w:rStyle w:val="Hyperlink"/>
                <w:noProof/>
                <w:vertAlign w:val="superscript"/>
                <w:rtl/>
              </w:rPr>
              <w:t>(1)</w:t>
            </w:r>
            <w:r w:rsidR="00794BCA" w:rsidRPr="00241F4B">
              <w:rPr>
                <w:rStyle w:val="Hyperlink"/>
                <w:noProof/>
                <w:rtl/>
                <w:lang w:bidi="fa-IR"/>
              </w:rPr>
              <w:t xml:space="preserve"> </w:t>
            </w:r>
            <w:r w:rsidR="00794BCA" w:rsidRPr="00241F4B">
              <w:rPr>
                <w:rStyle w:val="Hyperlink"/>
                <w:rFonts w:hint="eastAsia"/>
                <w:noProof/>
                <w:rtl/>
                <w:lang w:bidi="fa-IR"/>
              </w:rPr>
              <w:t>وَالْمُعْتَزِلَةِ</w:t>
            </w:r>
            <w:r w:rsidR="00794BCA" w:rsidRPr="00241F4B">
              <w:rPr>
                <w:rStyle w:val="Hyperlink"/>
                <w:noProof/>
                <w:rtl/>
                <w:lang w:bidi="fa-IR"/>
              </w:rPr>
              <w:t xml:space="preserve"> </w:t>
            </w:r>
            <w:r w:rsidR="00794BCA" w:rsidRPr="00241F4B">
              <w:rPr>
                <w:rStyle w:val="Hyperlink"/>
                <w:rFonts w:hint="eastAsia"/>
                <w:noProof/>
                <w:rtl/>
                <w:lang w:bidi="fa-IR"/>
              </w:rPr>
              <w:t>عَلى</w:t>
            </w:r>
            <w:r w:rsidR="00794BCA" w:rsidRPr="00241F4B">
              <w:rPr>
                <w:rStyle w:val="Hyperlink"/>
                <w:noProof/>
                <w:rtl/>
                <w:lang w:bidi="fa-IR"/>
              </w:rPr>
              <w:t xml:space="preserve"> </w:t>
            </w:r>
            <w:r w:rsidR="00794BCA" w:rsidRPr="00241F4B">
              <w:rPr>
                <w:rStyle w:val="Hyperlink"/>
                <w:rFonts w:hint="eastAsia"/>
                <w:noProof/>
                <w:rtl/>
                <w:lang w:bidi="fa-IR"/>
              </w:rPr>
              <w:t>أَبِي</w:t>
            </w:r>
            <w:r w:rsidR="00794BCA" w:rsidRPr="00241F4B">
              <w:rPr>
                <w:rStyle w:val="Hyperlink"/>
                <w:noProof/>
                <w:rtl/>
                <w:lang w:bidi="fa-IR"/>
              </w:rPr>
              <w:t xml:space="preserve"> </w:t>
            </w:r>
            <w:r w:rsidR="00794BCA" w:rsidRPr="00241F4B">
              <w:rPr>
                <w:rStyle w:val="Hyperlink"/>
                <w:rFonts w:hint="eastAsia"/>
                <w:noProof/>
                <w:rtl/>
                <w:lang w:bidi="fa-IR"/>
              </w:rPr>
              <w:t>عَبْدِ</w:t>
            </w:r>
            <w:r w:rsidR="00794BCA" w:rsidRPr="00241F4B">
              <w:rPr>
                <w:rStyle w:val="Hyperlink"/>
                <w:noProof/>
                <w:rtl/>
                <w:lang w:bidi="fa-IR"/>
              </w:rPr>
              <w:t xml:space="preserve"> </w:t>
            </w:r>
            <w:r w:rsidR="00794BCA" w:rsidRPr="00241F4B">
              <w:rPr>
                <w:rStyle w:val="Hyperlink"/>
                <w:rFonts w:hint="eastAsia"/>
                <w:noProof/>
                <w:rtl/>
                <w:lang w:bidi="fa-IR"/>
              </w:rPr>
              <w:t>اللهِ</w:t>
            </w:r>
            <w:r w:rsidR="00794BCA" w:rsidRPr="00241F4B">
              <w:rPr>
                <w:rStyle w:val="Hyperlink"/>
                <w:noProof/>
                <w:rtl/>
                <w:lang w:bidi="fa-IR"/>
              </w:rPr>
              <w:t xml:space="preserve"> </w:t>
            </w:r>
            <w:r w:rsidR="00794BCA" w:rsidRPr="00241F4B">
              <w:rPr>
                <w:rStyle w:val="Hyperlink"/>
                <w:rFonts w:cs="Rafed Alaem" w:hint="eastAsia"/>
                <w:noProof/>
                <w:rtl/>
              </w:rPr>
              <w:t>عليه‌السلام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399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4" w:history="1">
            <w:r w:rsidR="00794BCA" w:rsidRPr="00241F4B">
              <w:rPr>
                <w:rStyle w:val="Hyperlink"/>
                <w:noProof/>
                <w:rtl/>
                <w:lang w:bidi="fa-IR"/>
              </w:rPr>
              <w:t xml:space="preserve">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وَصِيَّةِ</w:t>
            </w:r>
            <w:r w:rsidR="00794BCA" w:rsidRPr="00241F4B">
              <w:rPr>
                <w:rStyle w:val="Hyperlink"/>
                <w:noProof/>
                <w:rtl/>
                <w:lang w:bidi="fa-IR"/>
              </w:rPr>
              <w:t xml:space="preserve"> </w:t>
            </w:r>
            <w:r w:rsidR="00794BCA" w:rsidRPr="00241F4B">
              <w:rPr>
                <w:rStyle w:val="Hyperlink"/>
                <w:rFonts w:hint="eastAsia"/>
                <w:noProof/>
                <w:rtl/>
                <w:lang w:bidi="fa-IR"/>
              </w:rPr>
              <w:t>رَسُولِ</w:t>
            </w:r>
            <w:r w:rsidR="00794BCA" w:rsidRPr="00241F4B">
              <w:rPr>
                <w:rStyle w:val="Hyperlink"/>
                <w:noProof/>
                <w:rtl/>
                <w:lang w:bidi="fa-IR"/>
              </w:rPr>
              <w:t xml:space="preserve"> </w:t>
            </w:r>
            <w:r w:rsidR="00794BCA" w:rsidRPr="00241F4B">
              <w:rPr>
                <w:rStyle w:val="Hyperlink"/>
                <w:rFonts w:hint="eastAsia"/>
                <w:noProof/>
                <w:rtl/>
                <w:lang w:bidi="fa-IR"/>
              </w:rPr>
              <w:t>اللهِ</w:t>
            </w:r>
            <w:r w:rsidR="00794BCA" w:rsidRPr="00241F4B">
              <w:rPr>
                <w:rStyle w:val="Hyperlink"/>
                <w:noProof/>
                <w:rtl/>
                <w:lang w:bidi="fa-IR"/>
              </w:rPr>
              <w:t xml:space="preserve"> </w:t>
            </w:r>
            <w:r w:rsidR="00794BCA" w:rsidRPr="00241F4B">
              <w:rPr>
                <w:rStyle w:val="Hyperlink"/>
                <w:rFonts w:cs="Rafed Alaem" w:hint="eastAsia"/>
                <w:noProof/>
                <w:rtl/>
              </w:rPr>
              <w:t>صلى‌الله‌عليه‌وآله</w:t>
            </w:r>
            <w:r w:rsidR="00794BCA" w:rsidRPr="00241F4B">
              <w:rPr>
                <w:rStyle w:val="Hyperlink"/>
                <w:noProof/>
                <w:rtl/>
                <w:lang w:bidi="fa-IR"/>
              </w:rPr>
              <w:t xml:space="preserve"> </w:t>
            </w:r>
            <w:r w:rsidR="00794BCA" w:rsidRPr="00241F4B">
              <w:rPr>
                <w:rStyle w:val="Hyperlink"/>
                <w:rFonts w:hint="eastAsia"/>
                <w:noProof/>
                <w:rtl/>
                <w:lang w:bidi="fa-IR"/>
              </w:rPr>
              <w:t>وَأَمِيرِ</w:t>
            </w:r>
            <w:r w:rsidR="00794BCA" w:rsidRPr="00241F4B">
              <w:rPr>
                <w:rStyle w:val="Hyperlink"/>
                <w:noProof/>
                <w:rtl/>
                <w:lang w:bidi="fa-IR"/>
              </w:rPr>
              <w:t xml:space="preserve"> </w:t>
            </w:r>
            <w:r w:rsidR="00794BCA" w:rsidRPr="00241F4B">
              <w:rPr>
                <w:rStyle w:val="Hyperlink"/>
                <w:rFonts w:hint="eastAsia"/>
                <w:noProof/>
                <w:rtl/>
                <w:lang w:bidi="fa-IR"/>
              </w:rPr>
              <w:t>الْمُؤْمِنِينَ</w:t>
            </w:r>
            <w:r w:rsidR="00794BCA" w:rsidRPr="00241F4B">
              <w:rPr>
                <w:rStyle w:val="Hyperlink"/>
                <w:noProof/>
                <w:rtl/>
                <w:lang w:bidi="fa-IR"/>
              </w:rPr>
              <w:t xml:space="preserve"> </w:t>
            </w:r>
            <w:r w:rsidR="00794BCA" w:rsidRPr="00241F4B">
              <w:rPr>
                <w:rStyle w:val="Hyperlink"/>
                <w:rFonts w:cs="Rafed Alaem" w:hint="eastAsia"/>
                <w:noProof/>
                <w:rtl/>
              </w:rPr>
              <w:t>عليه‌السلام</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السَّرَايَا‌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408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5" w:history="1">
            <w:r w:rsidR="00794BCA" w:rsidRPr="00241F4B">
              <w:rPr>
                <w:rStyle w:val="Hyperlink"/>
                <w:noProof/>
                <w:rtl/>
                <w:lang w:bidi="fa-IR"/>
              </w:rPr>
              <w:t xml:space="preserve">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إِعْطَاءِ</w:t>
            </w:r>
            <w:r w:rsidR="00794BCA" w:rsidRPr="00241F4B">
              <w:rPr>
                <w:rStyle w:val="Hyperlink"/>
                <w:noProof/>
                <w:rtl/>
                <w:lang w:bidi="fa-IR"/>
              </w:rPr>
              <w:t xml:space="preserve"> </w:t>
            </w:r>
            <w:r w:rsidR="00794BCA" w:rsidRPr="00241F4B">
              <w:rPr>
                <w:rStyle w:val="Hyperlink"/>
                <w:rFonts w:hint="eastAsia"/>
                <w:noProof/>
                <w:rtl/>
                <w:lang w:bidi="fa-IR"/>
              </w:rPr>
              <w:t>الْأَمَانِ‌</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416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6" w:history="1">
            <w:r w:rsidR="00794BCA" w:rsidRPr="00241F4B">
              <w:rPr>
                <w:rStyle w:val="Hyperlink"/>
                <w:noProof/>
                <w:rtl/>
                <w:lang w:bidi="fa-IR"/>
              </w:rPr>
              <w:t xml:space="preserve">10 - </w:t>
            </w:r>
            <w:r w:rsidR="00794BCA" w:rsidRPr="00241F4B">
              <w:rPr>
                <w:rStyle w:val="Hyperlink"/>
                <w:rFonts w:hint="eastAsia"/>
                <w:noProof/>
                <w:rtl/>
                <w:lang w:bidi="fa-IR"/>
              </w:rPr>
              <w:t>بَابٌ‌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420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7" w:history="1">
            <w:r w:rsidR="00794BCA" w:rsidRPr="00241F4B">
              <w:rPr>
                <w:rStyle w:val="Hyperlink"/>
                <w:noProof/>
                <w:rtl/>
                <w:lang w:bidi="fa-IR"/>
              </w:rPr>
              <w:t xml:space="preserve">11 - </w:t>
            </w:r>
            <w:r w:rsidR="00794BCA" w:rsidRPr="00241F4B">
              <w:rPr>
                <w:rStyle w:val="Hyperlink"/>
                <w:rFonts w:hint="eastAsia"/>
                <w:noProof/>
                <w:rtl/>
                <w:lang w:bidi="fa-IR"/>
              </w:rPr>
              <w:t>بَابٌ‌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425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8" w:history="1">
            <w:r w:rsidR="00794BCA" w:rsidRPr="00241F4B">
              <w:rPr>
                <w:rStyle w:val="Hyperlink"/>
                <w:noProof/>
                <w:rtl/>
                <w:lang w:bidi="fa-IR"/>
              </w:rPr>
              <w:t xml:space="preserve">12 -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طَلَبِ</w:t>
            </w:r>
            <w:r w:rsidR="00794BCA" w:rsidRPr="00241F4B">
              <w:rPr>
                <w:rStyle w:val="Hyperlink"/>
                <w:noProof/>
                <w:rtl/>
                <w:lang w:bidi="fa-IR"/>
              </w:rPr>
              <w:t xml:space="preserve"> </w:t>
            </w:r>
            <w:r w:rsidR="00794BCA" w:rsidRPr="00241F4B">
              <w:rPr>
                <w:rStyle w:val="Hyperlink"/>
                <w:rFonts w:hint="eastAsia"/>
                <w:noProof/>
                <w:rtl/>
                <w:lang w:bidi="fa-IR"/>
              </w:rPr>
              <w:t>الْمُبَارَزَةِ‌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427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399" w:history="1">
            <w:r w:rsidR="00794BCA" w:rsidRPr="00241F4B">
              <w:rPr>
                <w:rStyle w:val="Hyperlink"/>
                <w:noProof/>
                <w:rtl/>
                <w:lang w:bidi="fa-IR"/>
              </w:rPr>
              <w:t xml:space="preserve">13 -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الرِّفْقِ</w:t>
            </w:r>
            <w:r w:rsidR="00794BCA" w:rsidRPr="00241F4B">
              <w:rPr>
                <w:rStyle w:val="Hyperlink"/>
                <w:noProof/>
                <w:rtl/>
                <w:lang w:bidi="fa-IR"/>
              </w:rPr>
              <w:t xml:space="preserve"> </w:t>
            </w:r>
            <w:r w:rsidR="00794BCA" w:rsidRPr="00241F4B">
              <w:rPr>
                <w:rStyle w:val="Hyperlink"/>
                <w:rFonts w:hint="eastAsia"/>
                <w:noProof/>
                <w:rtl/>
                <w:lang w:bidi="fa-IR"/>
              </w:rPr>
              <w:t>بِالْأَسِيرِ</w:t>
            </w:r>
            <w:r w:rsidR="00794BCA" w:rsidRPr="00241F4B">
              <w:rPr>
                <w:rStyle w:val="Hyperlink"/>
                <w:noProof/>
                <w:rtl/>
                <w:lang w:bidi="fa-IR"/>
              </w:rPr>
              <w:t xml:space="preserve"> </w:t>
            </w:r>
            <w:r w:rsidR="00794BCA" w:rsidRPr="00241F4B">
              <w:rPr>
                <w:rStyle w:val="Hyperlink"/>
                <w:rFonts w:hint="eastAsia"/>
                <w:noProof/>
                <w:rtl/>
                <w:lang w:bidi="fa-IR"/>
              </w:rPr>
              <w:t>وَإِطْعَامِهِ‌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49261399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428</w:t>
            </w:r>
            <w:r w:rsidR="00794BCA">
              <w:rPr>
                <w:noProof/>
                <w:webHidden/>
                <w:rtl/>
              </w:rPr>
              <w:fldChar w:fldCharType="end"/>
            </w:r>
          </w:hyperlink>
        </w:p>
        <w:p w:rsidR="00794BCA" w:rsidRDefault="00794BCA" w:rsidP="00467060">
          <w:pPr>
            <w:pStyle w:val="libNormal"/>
            <w:rPr>
              <w:rStyle w:val="Hyperlink"/>
              <w:noProof/>
            </w:rPr>
          </w:pPr>
          <w:r>
            <w:rPr>
              <w:rStyle w:val="Hyperlink"/>
              <w:noProof/>
            </w:rPr>
            <w:br w:type="page"/>
          </w:r>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00" w:history="1">
            <w:r w:rsidR="00794BCA" w:rsidRPr="00241F4B">
              <w:rPr>
                <w:rStyle w:val="Hyperlink"/>
                <w:noProof/>
                <w:rtl/>
                <w:lang w:bidi="fa-IR"/>
              </w:rPr>
              <w:t xml:space="preserve">14 -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الدُّعَاءِ</w:t>
            </w:r>
            <w:r w:rsidR="00794BCA" w:rsidRPr="00241F4B">
              <w:rPr>
                <w:rStyle w:val="Hyperlink"/>
                <w:noProof/>
                <w:rtl/>
                <w:lang w:bidi="fa-IR"/>
              </w:rPr>
              <w:t xml:space="preserve"> </w:t>
            </w:r>
            <w:r w:rsidR="00794BCA" w:rsidRPr="00241F4B">
              <w:rPr>
                <w:rStyle w:val="Hyperlink"/>
                <w:rFonts w:hint="eastAsia"/>
                <w:noProof/>
                <w:rtl/>
                <w:lang w:bidi="fa-IR"/>
              </w:rPr>
              <w:t>إِلَى</w:t>
            </w:r>
            <w:r w:rsidR="00794BCA" w:rsidRPr="00241F4B">
              <w:rPr>
                <w:rStyle w:val="Hyperlink"/>
                <w:noProof/>
                <w:rtl/>
                <w:lang w:bidi="fa-IR"/>
              </w:rPr>
              <w:t xml:space="preserve"> </w:t>
            </w:r>
            <w:r w:rsidR="00794BCA" w:rsidRPr="00241F4B">
              <w:rPr>
                <w:rStyle w:val="Hyperlink"/>
                <w:rFonts w:hint="eastAsia"/>
                <w:noProof/>
                <w:rtl/>
                <w:lang w:bidi="fa-IR"/>
              </w:rPr>
              <w:t>الْإِسْلَامِ</w:t>
            </w:r>
            <w:r w:rsidR="00794BCA" w:rsidRPr="00241F4B">
              <w:rPr>
                <w:rStyle w:val="Hyperlink"/>
                <w:noProof/>
                <w:rtl/>
                <w:lang w:bidi="fa-IR"/>
              </w:rPr>
              <w:t xml:space="preserve"> </w:t>
            </w:r>
            <w:r w:rsidR="00794BCA" w:rsidRPr="00241F4B">
              <w:rPr>
                <w:rStyle w:val="Hyperlink"/>
                <w:rFonts w:hint="eastAsia"/>
                <w:noProof/>
                <w:rtl/>
                <w:lang w:bidi="fa-IR"/>
              </w:rPr>
              <w:t>قَبْلَ</w:t>
            </w:r>
            <w:r w:rsidR="00794BCA" w:rsidRPr="00241F4B">
              <w:rPr>
                <w:rStyle w:val="Hyperlink"/>
                <w:noProof/>
                <w:rtl/>
                <w:lang w:bidi="fa-IR"/>
              </w:rPr>
              <w:t xml:space="preserve"> </w:t>
            </w:r>
            <w:r w:rsidR="00794BCA" w:rsidRPr="00241F4B">
              <w:rPr>
                <w:rStyle w:val="Hyperlink"/>
                <w:rFonts w:hint="eastAsia"/>
                <w:noProof/>
                <w:rtl/>
                <w:lang w:bidi="fa-IR"/>
              </w:rPr>
              <w:t>الْقِتَالِ‌</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49261400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429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01" w:history="1">
            <w:r w:rsidR="00794BCA" w:rsidRPr="00241F4B">
              <w:rPr>
                <w:rStyle w:val="Hyperlink"/>
                <w:noProof/>
                <w:rtl/>
                <w:lang w:bidi="fa-IR"/>
              </w:rPr>
              <w:t xml:space="preserve">15 -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مَا</w:t>
            </w:r>
            <w:r w:rsidR="00794BCA" w:rsidRPr="00241F4B">
              <w:rPr>
                <w:rStyle w:val="Hyperlink"/>
                <w:noProof/>
                <w:rtl/>
                <w:lang w:bidi="fa-IR"/>
              </w:rPr>
              <w:t xml:space="preserve"> </w:t>
            </w:r>
            <w:r w:rsidR="00794BCA" w:rsidRPr="00241F4B">
              <w:rPr>
                <w:rStyle w:val="Hyperlink"/>
                <w:rFonts w:hint="eastAsia"/>
                <w:noProof/>
                <w:rtl/>
                <w:lang w:bidi="fa-IR"/>
              </w:rPr>
              <w:t>كَانَ</w:t>
            </w:r>
            <w:r w:rsidR="00794BCA" w:rsidRPr="00241F4B">
              <w:rPr>
                <w:rStyle w:val="Hyperlink"/>
                <w:noProof/>
                <w:rtl/>
                <w:lang w:bidi="fa-IR"/>
              </w:rPr>
              <w:t xml:space="preserve"> </w:t>
            </w:r>
            <w:r w:rsidR="00794BCA" w:rsidRPr="00241F4B">
              <w:rPr>
                <w:rStyle w:val="Hyperlink"/>
                <w:rFonts w:hint="eastAsia"/>
                <w:noProof/>
                <w:rtl/>
                <w:lang w:bidi="fa-IR"/>
              </w:rPr>
              <w:t>يُوصِي</w:t>
            </w:r>
            <w:r w:rsidR="00794BCA" w:rsidRPr="00241F4B">
              <w:rPr>
                <w:rStyle w:val="Hyperlink"/>
                <w:noProof/>
                <w:rtl/>
                <w:lang w:bidi="fa-IR"/>
              </w:rPr>
              <w:t xml:space="preserve"> </w:t>
            </w:r>
            <w:r w:rsidR="00794BCA" w:rsidRPr="00241F4B">
              <w:rPr>
                <w:rStyle w:val="Hyperlink"/>
                <w:noProof/>
                <w:vertAlign w:val="superscript"/>
                <w:rtl/>
              </w:rPr>
              <w:t>(3)</w:t>
            </w:r>
            <w:r w:rsidR="00794BCA" w:rsidRPr="00241F4B">
              <w:rPr>
                <w:rStyle w:val="Hyperlink"/>
                <w:noProof/>
                <w:rtl/>
                <w:lang w:bidi="fa-IR"/>
              </w:rPr>
              <w:t xml:space="preserve"> </w:t>
            </w:r>
            <w:r w:rsidR="00794BCA" w:rsidRPr="00241F4B">
              <w:rPr>
                <w:rStyle w:val="Hyperlink"/>
                <w:rFonts w:hint="eastAsia"/>
                <w:noProof/>
                <w:rtl/>
                <w:lang w:bidi="fa-IR"/>
              </w:rPr>
              <w:t>أَمِيرُ</w:t>
            </w:r>
            <w:r w:rsidR="00794BCA" w:rsidRPr="00241F4B">
              <w:rPr>
                <w:rStyle w:val="Hyperlink"/>
                <w:noProof/>
                <w:rtl/>
                <w:lang w:bidi="fa-IR"/>
              </w:rPr>
              <w:t xml:space="preserve"> </w:t>
            </w:r>
            <w:r w:rsidR="00794BCA" w:rsidRPr="00241F4B">
              <w:rPr>
                <w:rStyle w:val="Hyperlink"/>
                <w:rFonts w:hint="eastAsia"/>
                <w:noProof/>
                <w:rtl/>
                <w:lang w:bidi="fa-IR"/>
              </w:rPr>
              <w:t>الْمُؤْمِنِينَ</w:t>
            </w:r>
            <w:r w:rsidR="00794BCA" w:rsidRPr="00241F4B">
              <w:rPr>
                <w:rStyle w:val="Hyperlink"/>
                <w:noProof/>
                <w:rtl/>
                <w:lang w:bidi="fa-IR"/>
              </w:rPr>
              <w:t xml:space="preserve"> </w:t>
            </w:r>
            <w:r w:rsidR="00794BCA" w:rsidRPr="00241F4B">
              <w:rPr>
                <w:rStyle w:val="Hyperlink"/>
                <w:rFonts w:cs="Rafed Alaem" w:hint="eastAsia"/>
                <w:noProof/>
                <w:rtl/>
              </w:rPr>
              <w:t>عليه‌السلام</w:t>
            </w:r>
            <w:r w:rsidR="00794BCA" w:rsidRPr="00241F4B">
              <w:rPr>
                <w:rStyle w:val="Hyperlink"/>
                <w:noProof/>
                <w:rtl/>
                <w:lang w:bidi="fa-IR"/>
              </w:rPr>
              <w:t xml:space="preserve"> </w:t>
            </w:r>
            <w:r w:rsidR="00794BCA" w:rsidRPr="00241F4B">
              <w:rPr>
                <w:rStyle w:val="Hyperlink"/>
                <w:rFonts w:hint="eastAsia"/>
                <w:noProof/>
                <w:rtl/>
                <w:lang w:bidi="fa-IR"/>
              </w:rPr>
              <w:t>بِهِ</w:t>
            </w:r>
            <w:r w:rsidR="00794BCA" w:rsidRPr="00241F4B">
              <w:rPr>
                <w:rStyle w:val="Hyperlink"/>
                <w:noProof/>
                <w:rtl/>
                <w:lang w:bidi="fa-IR"/>
              </w:rPr>
              <w:t xml:space="preserve"> </w:t>
            </w:r>
            <w:r w:rsidR="00794BCA" w:rsidRPr="00241F4B">
              <w:rPr>
                <w:rStyle w:val="Hyperlink"/>
                <w:noProof/>
                <w:vertAlign w:val="superscript"/>
                <w:rtl/>
              </w:rPr>
              <w:t>(4)</w:t>
            </w:r>
            <w:r w:rsidR="00794BCA" w:rsidRPr="00241F4B">
              <w:rPr>
                <w:rStyle w:val="Hyperlink"/>
                <w:noProof/>
                <w:rtl/>
                <w:lang w:bidi="fa-IR"/>
              </w:rPr>
              <w:t xml:space="preserve"> </w:t>
            </w:r>
            <w:r w:rsidR="00794BCA" w:rsidRPr="00241F4B">
              <w:rPr>
                <w:rStyle w:val="Hyperlink"/>
                <w:rFonts w:hint="eastAsia"/>
                <w:noProof/>
                <w:rtl/>
                <w:lang w:bidi="fa-IR"/>
              </w:rPr>
              <w:t>عِنْدَ</w:t>
            </w:r>
            <w:r w:rsidR="00794BCA" w:rsidRPr="00241F4B">
              <w:rPr>
                <w:rStyle w:val="Hyperlink"/>
                <w:noProof/>
                <w:rtl/>
                <w:lang w:bidi="fa-IR"/>
              </w:rPr>
              <w:t xml:space="preserve"> </w:t>
            </w:r>
            <w:r w:rsidR="00794BCA" w:rsidRPr="00241F4B">
              <w:rPr>
                <w:rStyle w:val="Hyperlink"/>
                <w:rFonts w:hint="eastAsia"/>
                <w:noProof/>
                <w:rtl/>
                <w:lang w:bidi="fa-IR"/>
              </w:rPr>
              <w:t>الْقِتَالِ‌</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49261401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431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02" w:history="1">
            <w:r w:rsidR="00794BCA" w:rsidRPr="00241F4B">
              <w:rPr>
                <w:rStyle w:val="Hyperlink"/>
                <w:noProof/>
                <w:rtl/>
                <w:lang w:bidi="fa-IR"/>
              </w:rPr>
              <w:t xml:space="preserve">16 - </w:t>
            </w:r>
            <w:r w:rsidR="00794BCA" w:rsidRPr="00241F4B">
              <w:rPr>
                <w:rStyle w:val="Hyperlink"/>
                <w:rFonts w:hint="eastAsia"/>
                <w:noProof/>
                <w:rtl/>
                <w:lang w:bidi="fa-IR"/>
              </w:rPr>
              <w:t>بَابٌ‌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49261402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446</w:t>
            </w:r>
            <w:r w:rsidR="00794BCA">
              <w:rPr>
                <w:noProof/>
                <w:webHidden/>
                <w:rtl/>
              </w:rPr>
              <w:fldChar w:fldCharType="end"/>
            </w:r>
          </w:hyperlink>
        </w:p>
        <w:p w:rsidR="00794BCA" w:rsidRDefault="008D191A" w:rsidP="00794BCA">
          <w:pPr>
            <w:pStyle w:val="TOC2"/>
            <w:tabs>
              <w:tab w:val="right" w:leader="dot" w:pos="7786"/>
            </w:tabs>
            <w:rPr>
              <w:rFonts w:asciiTheme="minorHAnsi" w:eastAsiaTheme="minorEastAsia" w:hAnsiTheme="minorHAnsi" w:cstheme="minorBidi"/>
              <w:noProof/>
              <w:color w:val="auto"/>
              <w:sz w:val="22"/>
              <w:szCs w:val="22"/>
              <w:rtl/>
            </w:rPr>
          </w:pPr>
          <w:hyperlink w:anchor="_Toc49261403" w:history="1">
            <w:r w:rsidR="00794BCA" w:rsidRPr="00241F4B">
              <w:rPr>
                <w:rStyle w:val="Hyperlink"/>
                <w:noProof/>
                <w:rtl/>
                <w:lang w:bidi="fa-IR"/>
              </w:rPr>
              <w:t xml:space="preserve">17 -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أَنَّهُ</w:t>
            </w:r>
            <w:r w:rsidR="00794BCA" w:rsidRPr="00241F4B">
              <w:rPr>
                <w:rStyle w:val="Hyperlink"/>
                <w:noProof/>
                <w:rtl/>
                <w:lang w:bidi="fa-IR"/>
              </w:rPr>
              <w:t xml:space="preserve"> </w:t>
            </w:r>
            <w:r w:rsidR="00794BCA" w:rsidRPr="00241F4B">
              <w:rPr>
                <w:rStyle w:val="Hyperlink"/>
                <w:rFonts w:hint="eastAsia"/>
                <w:noProof/>
                <w:rtl/>
                <w:lang w:bidi="fa-IR"/>
              </w:rPr>
              <w:t>لَايَحِلُّ</w:t>
            </w:r>
            <w:r w:rsidR="00794BCA" w:rsidRPr="00241F4B">
              <w:rPr>
                <w:rStyle w:val="Hyperlink"/>
                <w:noProof/>
                <w:rtl/>
                <w:lang w:bidi="fa-IR"/>
              </w:rPr>
              <w:t xml:space="preserve"> </w:t>
            </w:r>
            <w:r w:rsidR="00794BCA" w:rsidRPr="00241F4B">
              <w:rPr>
                <w:rStyle w:val="Hyperlink"/>
                <w:rFonts w:hint="eastAsia"/>
                <w:noProof/>
                <w:rtl/>
                <w:lang w:bidi="fa-IR"/>
              </w:rPr>
              <w:t>لِلْمُسْلِمِ</w:t>
            </w:r>
            <w:r w:rsidR="00794BCA" w:rsidRPr="00241F4B">
              <w:rPr>
                <w:rStyle w:val="Hyperlink"/>
                <w:noProof/>
                <w:rtl/>
                <w:lang w:bidi="fa-IR"/>
              </w:rPr>
              <w:t xml:space="preserve"> </w:t>
            </w:r>
            <w:r w:rsidR="00794BCA" w:rsidRPr="00241F4B">
              <w:rPr>
                <w:rStyle w:val="Hyperlink"/>
                <w:rFonts w:hint="eastAsia"/>
                <w:noProof/>
                <w:rtl/>
                <w:lang w:bidi="fa-IR"/>
              </w:rPr>
              <w:t>أَنْ</w:t>
            </w:r>
            <w:r w:rsidR="00794BCA" w:rsidRPr="00241F4B">
              <w:rPr>
                <w:rStyle w:val="Hyperlink"/>
                <w:noProof/>
                <w:rtl/>
                <w:lang w:bidi="fa-IR"/>
              </w:rPr>
              <w:t xml:space="preserve"> </w:t>
            </w:r>
            <w:r w:rsidR="00794BCA" w:rsidRPr="00241F4B">
              <w:rPr>
                <w:rStyle w:val="Hyperlink"/>
                <w:rFonts w:hint="eastAsia"/>
                <w:noProof/>
                <w:rtl/>
                <w:lang w:bidi="fa-IR"/>
              </w:rPr>
              <w:t>يَنْزِلَ</w:t>
            </w:r>
            <w:r w:rsidR="00794BCA" w:rsidRPr="00241F4B">
              <w:rPr>
                <w:rStyle w:val="Hyperlink"/>
                <w:noProof/>
                <w:rtl/>
                <w:lang w:bidi="fa-IR"/>
              </w:rPr>
              <w:t xml:space="preserve"> </w:t>
            </w:r>
            <w:r w:rsidR="00794BCA" w:rsidRPr="00241F4B">
              <w:rPr>
                <w:rStyle w:val="Hyperlink"/>
                <w:rFonts w:hint="eastAsia"/>
                <w:noProof/>
                <w:rtl/>
                <w:lang w:bidi="fa-IR"/>
              </w:rPr>
              <w:t>دَارَ</w:t>
            </w:r>
            <w:r w:rsidR="00794BCA" w:rsidRPr="00241F4B">
              <w:rPr>
                <w:rStyle w:val="Hyperlink"/>
                <w:noProof/>
                <w:rtl/>
                <w:lang w:bidi="fa-IR"/>
              </w:rPr>
              <w:t xml:space="preserve"> </w:t>
            </w:r>
            <w:r w:rsidR="00794BCA" w:rsidRPr="00241F4B">
              <w:rPr>
                <w:rStyle w:val="Hyperlink"/>
                <w:rFonts w:hint="eastAsia"/>
                <w:noProof/>
                <w:rtl/>
                <w:lang w:bidi="fa-IR"/>
              </w:rPr>
              <w:t>الْحَرْبِ</w:t>
            </w:r>
          </w:hyperlink>
          <w:r w:rsidR="00794BCA">
            <w:rPr>
              <w:rStyle w:val="Hyperlink"/>
              <w:rFonts w:hint="cs"/>
              <w:noProof/>
              <w:rtl/>
            </w:rPr>
            <w:t xml:space="preserve"> </w:t>
          </w:r>
          <w:hyperlink w:anchor="_Toc49261404" w:history="1">
            <w:r w:rsidR="00794BCA" w:rsidRPr="00241F4B">
              <w:rPr>
                <w:rStyle w:val="Hyperlink"/>
                <w:noProof/>
                <w:rtl/>
                <w:lang w:bidi="fa-IR"/>
              </w:rPr>
              <w:t xml:space="preserve">18 -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قِسْمَةِ</w:t>
            </w:r>
            <w:r w:rsidR="00794BCA" w:rsidRPr="00241F4B">
              <w:rPr>
                <w:rStyle w:val="Hyperlink"/>
                <w:noProof/>
                <w:rtl/>
                <w:lang w:bidi="fa-IR"/>
              </w:rPr>
              <w:t xml:space="preserve"> </w:t>
            </w:r>
            <w:r w:rsidR="00794BCA" w:rsidRPr="00241F4B">
              <w:rPr>
                <w:rStyle w:val="Hyperlink"/>
                <w:rFonts w:hint="eastAsia"/>
                <w:noProof/>
                <w:rtl/>
                <w:lang w:bidi="fa-IR"/>
              </w:rPr>
              <w:t>الْغَنِيمَةِ‌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49261404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448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05" w:history="1">
            <w:r w:rsidR="00794BCA" w:rsidRPr="00241F4B">
              <w:rPr>
                <w:rStyle w:val="Hyperlink"/>
                <w:noProof/>
                <w:rtl/>
                <w:lang w:bidi="fa-IR"/>
              </w:rPr>
              <w:t xml:space="preserve">19 - </w:t>
            </w:r>
            <w:r w:rsidR="00794BCA" w:rsidRPr="00241F4B">
              <w:rPr>
                <w:rStyle w:val="Hyperlink"/>
                <w:rFonts w:hint="eastAsia"/>
                <w:noProof/>
                <w:rtl/>
                <w:lang w:bidi="fa-IR"/>
              </w:rPr>
              <w:t>بَابٌ‌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49261405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455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06" w:history="1">
            <w:r w:rsidR="00794BCA" w:rsidRPr="00241F4B">
              <w:rPr>
                <w:rStyle w:val="Hyperlink"/>
                <w:noProof/>
                <w:rtl/>
                <w:lang w:bidi="fa-IR"/>
              </w:rPr>
              <w:t xml:space="preserve">20 -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noProof/>
                <w:vertAlign w:val="superscript"/>
                <w:rtl/>
              </w:rPr>
              <w:t>(1)</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49261406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457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07" w:history="1">
            <w:r w:rsidR="00794BCA" w:rsidRPr="00241F4B">
              <w:rPr>
                <w:rStyle w:val="Hyperlink"/>
                <w:noProof/>
                <w:rtl/>
                <w:lang w:bidi="fa-IR"/>
              </w:rPr>
              <w:t xml:space="preserve">21 -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الشِّعَارِ</w:t>
            </w:r>
            <w:r w:rsidR="00794BCA" w:rsidRPr="00241F4B">
              <w:rPr>
                <w:rStyle w:val="Hyperlink"/>
                <w:noProof/>
                <w:rtl/>
                <w:lang w:bidi="fa-IR"/>
              </w:rPr>
              <w:t xml:space="preserve"> </w:t>
            </w:r>
            <w:r w:rsidR="00794BCA" w:rsidRPr="00241F4B">
              <w:rPr>
                <w:rStyle w:val="Hyperlink"/>
                <w:noProof/>
                <w:vertAlign w:val="superscript"/>
                <w:rtl/>
              </w:rPr>
              <w:t>(1)</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49261407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459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08" w:history="1">
            <w:r w:rsidR="00794BCA" w:rsidRPr="00241F4B">
              <w:rPr>
                <w:rStyle w:val="Hyperlink"/>
                <w:noProof/>
                <w:rtl/>
                <w:lang w:bidi="fa-IR"/>
              </w:rPr>
              <w:t xml:space="preserve">22 -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ارْتِبَاطِ</w:t>
            </w:r>
            <w:r w:rsidR="00794BCA" w:rsidRPr="00241F4B">
              <w:rPr>
                <w:rStyle w:val="Hyperlink"/>
                <w:noProof/>
                <w:rtl/>
                <w:lang w:bidi="fa-IR"/>
              </w:rPr>
              <w:t xml:space="preserve"> </w:t>
            </w:r>
            <w:r w:rsidR="00794BCA" w:rsidRPr="00241F4B">
              <w:rPr>
                <w:rStyle w:val="Hyperlink"/>
                <w:rFonts w:hint="eastAsia"/>
                <w:noProof/>
                <w:rtl/>
                <w:lang w:bidi="fa-IR"/>
              </w:rPr>
              <w:t>الْخَيْلِ</w:t>
            </w:r>
            <w:r w:rsidR="00794BCA" w:rsidRPr="00241F4B">
              <w:rPr>
                <w:rStyle w:val="Hyperlink"/>
                <w:noProof/>
                <w:rtl/>
                <w:lang w:bidi="fa-IR"/>
              </w:rPr>
              <w:t xml:space="preserve"> </w:t>
            </w:r>
            <w:r w:rsidR="00794BCA" w:rsidRPr="00241F4B">
              <w:rPr>
                <w:rStyle w:val="Hyperlink"/>
                <w:rFonts w:hint="eastAsia"/>
                <w:noProof/>
                <w:rtl/>
                <w:lang w:bidi="fa-IR"/>
              </w:rPr>
              <w:t>وَإِجْرَائِهَا</w:t>
            </w:r>
            <w:r w:rsidR="00794BCA" w:rsidRPr="00241F4B">
              <w:rPr>
                <w:rStyle w:val="Hyperlink"/>
                <w:noProof/>
                <w:rtl/>
                <w:lang w:bidi="fa-IR"/>
              </w:rPr>
              <w:t xml:space="preserve"> </w:t>
            </w:r>
            <w:r w:rsidR="00794BCA" w:rsidRPr="00241F4B">
              <w:rPr>
                <w:rStyle w:val="Hyperlink"/>
                <w:rFonts w:hint="eastAsia"/>
                <w:noProof/>
                <w:rtl/>
                <w:lang w:bidi="fa-IR"/>
              </w:rPr>
              <w:t>وَالرَّمْيِ‌</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49261408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460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09" w:history="1">
            <w:r w:rsidR="00794BCA" w:rsidRPr="00241F4B">
              <w:rPr>
                <w:rStyle w:val="Hyperlink"/>
                <w:noProof/>
                <w:rtl/>
                <w:lang w:bidi="fa-IR"/>
              </w:rPr>
              <w:t xml:space="preserve">23 -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يَدْفَعُ</w:t>
            </w:r>
            <w:r w:rsidR="00794BCA" w:rsidRPr="00241F4B">
              <w:rPr>
                <w:rStyle w:val="Hyperlink"/>
                <w:noProof/>
                <w:rtl/>
                <w:lang w:bidi="fa-IR"/>
              </w:rPr>
              <w:t xml:space="preserve"> </w:t>
            </w:r>
            <w:r w:rsidR="00794BCA" w:rsidRPr="00241F4B">
              <w:rPr>
                <w:rStyle w:val="Hyperlink"/>
                <w:rFonts w:hint="eastAsia"/>
                <w:noProof/>
                <w:rtl/>
                <w:lang w:bidi="fa-IR"/>
              </w:rPr>
              <w:t>عَنْ</w:t>
            </w:r>
            <w:r w:rsidR="00794BCA" w:rsidRPr="00241F4B">
              <w:rPr>
                <w:rStyle w:val="Hyperlink"/>
                <w:noProof/>
                <w:rtl/>
                <w:lang w:bidi="fa-IR"/>
              </w:rPr>
              <w:t xml:space="preserve"> </w:t>
            </w:r>
            <w:r w:rsidR="00794BCA" w:rsidRPr="00241F4B">
              <w:rPr>
                <w:rStyle w:val="Hyperlink"/>
                <w:rFonts w:hint="eastAsia"/>
                <w:noProof/>
                <w:rtl/>
                <w:lang w:bidi="fa-IR"/>
              </w:rPr>
              <w:t>نَفْسِهِ</w:t>
            </w:r>
            <w:r w:rsidR="00794BCA" w:rsidRPr="00241F4B">
              <w:rPr>
                <w:rStyle w:val="Hyperlink"/>
                <w:noProof/>
                <w:rtl/>
                <w:lang w:bidi="fa-IR"/>
              </w:rPr>
              <w:t xml:space="preserve"> </w:t>
            </w:r>
            <w:r w:rsidR="00794BCA" w:rsidRPr="00241F4B">
              <w:rPr>
                <w:rStyle w:val="Hyperlink"/>
                <w:rFonts w:hint="eastAsia"/>
                <w:noProof/>
                <w:rtl/>
                <w:lang w:bidi="fa-IR"/>
              </w:rPr>
              <w:t>اللِّصَّ‌</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49261409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471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10" w:history="1">
            <w:r w:rsidR="00794BCA" w:rsidRPr="00241F4B">
              <w:rPr>
                <w:rStyle w:val="Hyperlink"/>
                <w:noProof/>
                <w:rtl/>
                <w:lang w:bidi="fa-IR"/>
              </w:rPr>
              <w:t xml:space="preserve">24 -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قُتِلَ</w:t>
            </w:r>
            <w:r w:rsidR="00794BCA" w:rsidRPr="00241F4B">
              <w:rPr>
                <w:rStyle w:val="Hyperlink"/>
                <w:noProof/>
                <w:rtl/>
                <w:lang w:bidi="fa-IR"/>
              </w:rPr>
              <w:t xml:space="preserve"> </w:t>
            </w:r>
            <w:r w:rsidR="00794BCA" w:rsidRPr="00241F4B">
              <w:rPr>
                <w:rStyle w:val="Hyperlink"/>
                <w:rFonts w:hint="eastAsia"/>
                <w:noProof/>
                <w:rtl/>
                <w:lang w:bidi="fa-IR"/>
              </w:rPr>
              <w:t>دُونَ</w:t>
            </w:r>
            <w:r w:rsidR="00794BCA" w:rsidRPr="00241F4B">
              <w:rPr>
                <w:rStyle w:val="Hyperlink"/>
                <w:noProof/>
                <w:rtl/>
                <w:lang w:bidi="fa-IR"/>
              </w:rPr>
              <w:t xml:space="preserve"> </w:t>
            </w:r>
            <w:r w:rsidR="00794BCA" w:rsidRPr="00241F4B">
              <w:rPr>
                <w:rStyle w:val="Hyperlink"/>
                <w:rFonts w:hint="eastAsia"/>
                <w:noProof/>
                <w:rtl/>
                <w:lang w:bidi="fa-IR"/>
              </w:rPr>
              <w:t>مَظْلِمَتِهِ</w:t>
            </w:r>
            <w:r w:rsidR="00794BCA" w:rsidRPr="00241F4B">
              <w:rPr>
                <w:rStyle w:val="Hyperlink"/>
                <w:noProof/>
                <w:rtl/>
                <w:lang w:bidi="fa-IR"/>
              </w:rPr>
              <w:t xml:space="preserve"> </w:t>
            </w:r>
            <w:r w:rsidR="00794BCA" w:rsidRPr="00241F4B">
              <w:rPr>
                <w:rStyle w:val="Hyperlink"/>
                <w:noProof/>
                <w:vertAlign w:val="superscript"/>
                <w:rtl/>
              </w:rPr>
              <w:t>(4)</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49261410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473</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11" w:history="1">
            <w:r w:rsidR="00794BCA" w:rsidRPr="00241F4B">
              <w:rPr>
                <w:rStyle w:val="Hyperlink"/>
                <w:noProof/>
                <w:rtl/>
                <w:lang w:bidi="fa-IR"/>
              </w:rPr>
              <w:t xml:space="preserve">25 -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فَضْلِ</w:t>
            </w:r>
            <w:r w:rsidR="00794BCA" w:rsidRPr="00241F4B">
              <w:rPr>
                <w:rStyle w:val="Hyperlink"/>
                <w:noProof/>
                <w:rtl/>
                <w:lang w:bidi="fa-IR"/>
              </w:rPr>
              <w:t xml:space="preserve"> </w:t>
            </w:r>
            <w:r w:rsidR="00794BCA" w:rsidRPr="00241F4B">
              <w:rPr>
                <w:rStyle w:val="Hyperlink"/>
                <w:rFonts w:hint="eastAsia"/>
                <w:noProof/>
                <w:rtl/>
                <w:lang w:bidi="fa-IR"/>
              </w:rPr>
              <w:t>الشَّهَادَةِ‌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49261411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476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12" w:history="1">
            <w:r w:rsidR="00794BCA" w:rsidRPr="00241F4B">
              <w:rPr>
                <w:rStyle w:val="Hyperlink"/>
                <w:noProof/>
                <w:rtl/>
                <w:lang w:bidi="fa-IR"/>
              </w:rPr>
              <w:t xml:space="preserve">26 - </w:t>
            </w:r>
            <w:r w:rsidR="00794BCA" w:rsidRPr="00241F4B">
              <w:rPr>
                <w:rStyle w:val="Hyperlink"/>
                <w:rFonts w:hint="eastAsia"/>
                <w:noProof/>
                <w:rtl/>
                <w:lang w:bidi="fa-IR"/>
              </w:rPr>
              <w:t>بَابٌ‌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49261412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480</w:t>
            </w:r>
            <w:r w:rsidR="00794BCA">
              <w:rPr>
                <w:noProof/>
                <w:webHidden/>
                <w:rtl/>
              </w:rPr>
              <w:fldChar w:fldCharType="end"/>
            </w:r>
          </w:hyperlink>
        </w:p>
        <w:p w:rsidR="00794BCA" w:rsidRDefault="008D191A" w:rsidP="00794BCA">
          <w:pPr>
            <w:pStyle w:val="TOC2"/>
            <w:tabs>
              <w:tab w:val="right" w:leader="dot" w:pos="7786"/>
            </w:tabs>
            <w:rPr>
              <w:rFonts w:asciiTheme="minorHAnsi" w:eastAsiaTheme="minorEastAsia" w:hAnsiTheme="minorHAnsi" w:cstheme="minorBidi"/>
              <w:noProof/>
              <w:color w:val="auto"/>
              <w:sz w:val="22"/>
              <w:szCs w:val="22"/>
              <w:rtl/>
            </w:rPr>
          </w:pPr>
          <w:hyperlink w:anchor="_Toc49261413" w:history="1">
            <w:r w:rsidR="00794BCA" w:rsidRPr="00241F4B">
              <w:rPr>
                <w:rStyle w:val="Hyperlink"/>
                <w:noProof/>
                <w:rtl/>
                <w:lang w:bidi="fa-IR"/>
              </w:rPr>
              <w:t xml:space="preserve">27 - </w:t>
            </w:r>
            <w:r w:rsidR="00794BCA" w:rsidRPr="00241F4B">
              <w:rPr>
                <w:rStyle w:val="Hyperlink"/>
                <w:rFonts w:hint="eastAsia"/>
                <w:noProof/>
                <w:rtl/>
                <w:lang w:bidi="fa-IR"/>
              </w:rPr>
              <w:t>بَابٌ‌</w:t>
            </w:r>
          </w:hyperlink>
          <w:r w:rsidR="00794BCA">
            <w:rPr>
              <w:rStyle w:val="Hyperlink"/>
              <w:rFonts w:hint="cs"/>
              <w:noProof/>
              <w:rtl/>
            </w:rPr>
            <w:t xml:space="preserve"> </w:t>
          </w:r>
          <w:hyperlink w:anchor="_Toc49261414" w:history="1">
            <w:r w:rsidR="00794BCA" w:rsidRPr="00241F4B">
              <w:rPr>
                <w:rStyle w:val="Hyperlink"/>
                <w:noProof/>
                <w:rtl/>
                <w:lang w:bidi="fa-IR"/>
              </w:rPr>
              <w:t xml:space="preserve">28 -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الْأَمْرِ</w:t>
            </w:r>
            <w:r w:rsidR="00794BCA" w:rsidRPr="00241F4B">
              <w:rPr>
                <w:rStyle w:val="Hyperlink"/>
                <w:noProof/>
                <w:rtl/>
                <w:lang w:bidi="fa-IR"/>
              </w:rPr>
              <w:t xml:space="preserve"> </w:t>
            </w:r>
            <w:r w:rsidR="00794BCA" w:rsidRPr="00241F4B">
              <w:rPr>
                <w:rStyle w:val="Hyperlink"/>
                <w:rFonts w:hint="eastAsia"/>
                <w:noProof/>
                <w:rtl/>
                <w:lang w:bidi="fa-IR"/>
              </w:rPr>
              <w:t>بِالْمَعْرُوفِ</w:t>
            </w:r>
            <w:r w:rsidR="00794BCA" w:rsidRPr="00241F4B">
              <w:rPr>
                <w:rStyle w:val="Hyperlink"/>
                <w:noProof/>
                <w:rtl/>
                <w:lang w:bidi="fa-IR"/>
              </w:rPr>
              <w:t xml:space="preserve"> </w:t>
            </w:r>
            <w:r w:rsidR="00794BCA" w:rsidRPr="00241F4B">
              <w:rPr>
                <w:rStyle w:val="Hyperlink"/>
                <w:rFonts w:hint="eastAsia"/>
                <w:noProof/>
                <w:rtl/>
                <w:lang w:bidi="fa-IR"/>
              </w:rPr>
              <w:t>وَالنَّهْيِ</w:t>
            </w:r>
            <w:r w:rsidR="00794BCA" w:rsidRPr="00241F4B">
              <w:rPr>
                <w:rStyle w:val="Hyperlink"/>
                <w:noProof/>
                <w:rtl/>
                <w:lang w:bidi="fa-IR"/>
              </w:rPr>
              <w:t xml:space="preserve"> </w:t>
            </w:r>
            <w:r w:rsidR="00794BCA" w:rsidRPr="00241F4B">
              <w:rPr>
                <w:rStyle w:val="Hyperlink"/>
                <w:rFonts w:hint="eastAsia"/>
                <w:noProof/>
                <w:rtl/>
                <w:lang w:bidi="fa-IR"/>
              </w:rPr>
              <w:t>عَنِ</w:t>
            </w:r>
            <w:r w:rsidR="00794BCA" w:rsidRPr="00241F4B">
              <w:rPr>
                <w:rStyle w:val="Hyperlink"/>
                <w:noProof/>
                <w:rtl/>
                <w:lang w:bidi="fa-IR"/>
              </w:rPr>
              <w:t xml:space="preserve"> </w:t>
            </w:r>
            <w:r w:rsidR="00794BCA" w:rsidRPr="00241F4B">
              <w:rPr>
                <w:rStyle w:val="Hyperlink"/>
                <w:rFonts w:hint="eastAsia"/>
                <w:noProof/>
                <w:rtl/>
                <w:lang w:bidi="fa-IR"/>
              </w:rPr>
              <w:t>الْمُنْكَرِ‌</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49261414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481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15" w:history="1">
            <w:r w:rsidR="00794BCA" w:rsidRPr="00241F4B">
              <w:rPr>
                <w:rStyle w:val="Hyperlink"/>
                <w:noProof/>
                <w:rtl/>
                <w:lang w:bidi="fa-IR"/>
              </w:rPr>
              <w:t xml:space="preserve">29 -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إِنْكَارِ</w:t>
            </w:r>
            <w:r w:rsidR="00794BCA" w:rsidRPr="00241F4B">
              <w:rPr>
                <w:rStyle w:val="Hyperlink"/>
                <w:noProof/>
                <w:rtl/>
                <w:lang w:bidi="fa-IR"/>
              </w:rPr>
              <w:t xml:space="preserve"> </w:t>
            </w:r>
            <w:r w:rsidR="00794BCA" w:rsidRPr="00241F4B">
              <w:rPr>
                <w:rStyle w:val="Hyperlink"/>
                <w:rFonts w:hint="eastAsia"/>
                <w:noProof/>
                <w:rtl/>
                <w:lang w:bidi="fa-IR"/>
              </w:rPr>
              <w:t>الْمُنْكَرِ</w:t>
            </w:r>
            <w:r w:rsidR="00794BCA" w:rsidRPr="00241F4B">
              <w:rPr>
                <w:rStyle w:val="Hyperlink"/>
                <w:noProof/>
                <w:rtl/>
                <w:lang w:bidi="fa-IR"/>
              </w:rPr>
              <w:t xml:space="preserve"> </w:t>
            </w:r>
            <w:r w:rsidR="00794BCA" w:rsidRPr="00241F4B">
              <w:rPr>
                <w:rStyle w:val="Hyperlink"/>
                <w:rFonts w:hint="eastAsia"/>
                <w:noProof/>
                <w:rtl/>
                <w:lang w:bidi="fa-IR"/>
              </w:rPr>
              <w:t>بِالْقَلْبِ‌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49261415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496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16" w:history="1">
            <w:r w:rsidR="00794BCA" w:rsidRPr="00241F4B">
              <w:rPr>
                <w:rStyle w:val="Hyperlink"/>
                <w:noProof/>
                <w:rtl/>
                <w:lang w:bidi="fa-IR"/>
              </w:rPr>
              <w:t xml:space="preserve">30 -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noProof/>
                <w:vertAlign w:val="superscript"/>
                <w:rtl/>
              </w:rPr>
              <w:t>(6)</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49261416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499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17" w:history="1">
            <w:r w:rsidR="00794BCA" w:rsidRPr="00241F4B">
              <w:rPr>
                <w:rStyle w:val="Hyperlink"/>
                <w:noProof/>
                <w:rtl/>
                <w:lang w:bidi="fa-IR"/>
              </w:rPr>
              <w:t xml:space="preserve">31 -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أَسْخَطَ</w:t>
            </w:r>
            <w:r w:rsidR="00794BCA" w:rsidRPr="00241F4B">
              <w:rPr>
                <w:rStyle w:val="Hyperlink"/>
                <w:noProof/>
                <w:rtl/>
                <w:lang w:bidi="fa-IR"/>
              </w:rPr>
              <w:t xml:space="preserve"> </w:t>
            </w:r>
            <w:r w:rsidR="00794BCA" w:rsidRPr="00241F4B">
              <w:rPr>
                <w:rStyle w:val="Hyperlink"/>
                <w:rFonts w:hint="eastAsia"/>
                <w:noProof/>
                <w:rtl/>
                <w:lang w:bidi="fa-IR"/>
              </w:rPr>
              <w:t>الْخَالِقَ</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مَرْضَاةِ</w:t>
            </w:r>
            <w:r w:rsidR="00794BCA" w:rsidRPr="00241F4B">
              <w:rPr>
                <w:rStyle w:val="Hyperlink"/>
                <w:noProof/>
                <w:rtl/>
                <w:lang w:bidi="fa-IR"/>
              </w:rPr>
              <w:t xml:space="preserve"> </w:t>
            </w:r>
            <w:r w:rsidR="00794BCA" w:rsidRPr="00241F4B">
              <w:rPr>
                <w:rStyle w:val="Hyperlink"/>
                <w:rFonts w:hint="eastAsia"/>
                <w:noProof/>
                <w:rtl/>
                <w:lang w:bidi="fa-IR"/>
              </w:rPr>
              <w:t>الْمَخْلُوقِ</w:t>
            </w:r>
            <w:r w:rsidR="00794BCA" w:rsidRPr="00241F4B">
              <w:rPr>
                <w:rStyle w:val="Hyperlink"/>
                <w:noProof/>
                <w:rtl/>
                <w:lang w:bidi="fa-IR"/>
              </w:rPr>
              <w:t xml:space="preserve"> </w:t>
            </w:r>
            <w:r w:rsidR="00794BCA" w:rsidRPr="00241F4B">
              <w:rPr>
                <w:rStyle w:val="Hyperlink"/>
                <w:noProof/>
                <w:vertAlign w:val="superscript"/>
                <w:rtl/>
              </w:rPr>
              <w:t>(1)</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49261417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501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18" w:history="1">
            <w:r w:rsidR="00794BCA" w:rsidRPr="00241F4B">
              <w:rPr>
                <w:rStyle w:val="Hyperlink"/>
                <w:noProof/>
                <w:rtl/>
                <w:lang w:bidi="fa-IR"/>
              </w:rPr>
              <w:t xml:space="preserve">32 -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كَرَاهَةِ</w:t>
            </w:r>
            <w:r w:rsidR="00794BCA" w:rsidRPr="00241F4B">
              <w:rPr>
                <w:rStyle w:val="Hyperlink"/>
                <w:noProof/>
                <w:rtl/>
                <w:lang w:bidi="fa-IR"/>
              </w:rPr>
              <w:t xml:space="preserve"> </w:t>
            </w:r>
            <w:r w:rsidR="00794BCA" w:rsidRPr="00241F4B">
              <w:rPr>
                <w:rStyle w:val="Hyperlink"/>
                <w:noProof/>
                <w:vertAlign w:val="superscript"/>
                <w:rtl/>
              </w:rPr>
              <w:t>(5)</w:t>
            </w:r>
            <w:r w:rsidR="00794BCA" w:rsidRPr="00241F4B">
              <w:rPr>
                <w:rStyle w:val="Hyperlink"/>
                <w:noProof/>
                <w:rtl/>
                <w:lang w:bidi="fa-IR"/>
              </w:rPr>
              <w:t xml:space="preserve"> </w:t>
            </w:r>
            <w:r w:rsidR="00794BCA" w:rsidRPr="00241F4B">
              <w:rPr>
                <w:rStyle w:val="Hyperlink"/>
                <w:rFonts w:hint="eastAsia"/>
                <w:noProof/>
                <w:rtl/>
                <w:lang w:bidi="fa-IR"/>
              </w:rPr>
              <w:t>التَّعَرُّضِ</w:t>
            </w:r>
            <w:r w:rsidR="00794BCA" w:rsidRPr="00241F4B">
              <w:rPr>
                <w:rStyle w:val="Hyperlink"/>
                <w:noProof/>
                <w:rtl/>
                <w:lang w:bidi="fa-IR"/>
              </w:rPr>
              <w:t xml:space="preserve"> </w:t>
            </w:r>
            <w:r w:rsidR="00794BCA" w:rsidRPr="00241F4B">
              <w:rPr>
                <w:rStyle w:val="Hyperlink"/>
                <w:rFonts w:hint="eastAsia"/>
                <w:noProof/>
                <w:rtl/>
                <w:lang w:bidi="fa-IR"/>
              </w:rPr>
              <w:t>لِمَا</w:t>
            </w:r>
            <w:r w:rsidR="00794BCA" w:rsidRPr="00241F4B">
              <w:rPr>
                <w:rStyle w:val="Hyperlink"/>
                <w:noProof/>
                <w:rtl/>
                <w:lang w:bidi="fa-IR"/>
              </w:rPr>
              <w:t xml:space="preserve"> </w:t>
            </w:r>
            <w:r w:rsidR="00794BCA" w:rsidRPr="00241F4B">
              <w:rPr>
                <w:rStyle w:val="Hyperlink"/>
                <w:rFonts w:hint="eastAsia"/>
                <w:noProof/>
                <w:rtl/>
                <w:lang w:bidi="fa-IR"/>
              </w:rPr>
              <w:t>لَايُطِيقُ‌</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49261418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502</w:t>
            </w:r>
            <w:r w:rsidR="00794BCA">
              <w:rPr>
                <w:noProof/>
                <w:webHidden/>
                <w:rtl/>
              </w:rPr>
              <w:fldChar w:fldCharType="end"/>
            </w:r>
          </w:hyperlink>
        </w:p>
        <w:p w:rsidR="00794BCA" w:rsidRDefault="008D191A" w:rsidP="00794BCA">
          <w:pPr>
            <w:pStyle w:val="TOC1"/>
            <w:rPr>
              <w:rFonts w:asciiTheme="minorHAnsi" w:eastAsiaTheme="minorEastAsia" w:hAnsiTheme="minorHAnsi" w:cstheme="minorBidi"/>
              <w:bCs w:val="0"/>
              <w:noProof/>
              <w:color w:val="auto"/>
              <w:sz w:val="22"/>
              <w:szCs w:val="22"/>
              <w:rtl/>
            </w:rPr>
          </w:pPr>
          <w:hyperlink w:anchor="_Toc49261419" w:history="1">
            <w:r w:rsidR="00794BCA" w:rsidRPr="00241F4B">
              <w:rPr>
                <w:rStyle w:val="Hyperlink"/>
                <w:noProof/>
                <w:rtl/>
              </w:rPr>
              <w:t>(17)</w:t>
            </w:r>
            <w:r w:rsidR="00794BCA">
              <w:rPr>
                <w:noProof/>
                <w:webHidden/>
                <w:rtl/>
              </w:rPr>
              <w:t xml:space="preserve"> </w:t>
            </w:r>
          </w:hyperlink>
          <w:r w:rsidR="00794BCA">
            <w:rPr>
              <w:rStyle w:val="Hyperlink"/>
              <w:rFonts w:hint="cs"/>
              <w:noProof/>
              <w:rtl/>
            </w:rPr>
            <w:t xml:space="preserve"> </w:t>
          </w:r>
          <w:hyperlink w:anchor="_Toc49261420" w:history="1">
            <w:r w:rsidR="00794BCA" w:rsidRPr="00241F4B">
              <w:rPr>
                <w:rStyle w:val="Hyperlink"/>
                <w:rFonts w:hint="eastAsia"/>
                <w:noProof/>
                <w:rtl/>
                <w:lang w:bidi="fa-IR"/>
              </w:rPr>
              <w:t>كِتَابُ</w:t>
            </w:r>
            <w:r w:rsidR="00794BCA" w:rsidRPr="00241F4B">
              <w:rPr>
                <w:rStyle w:val="Hyperlink"/>
                <w:noProof/>
                <w:rtl/>
                <w:lang w:bidi="fa-IR"/>
              </w:rPr>
              <w:t xml:space="preserve"> </w:t>
            </w:r>
            <w:r w:rsidR="00794BCA" w:rsidRPr="00241F4B">
              <w:rPr>
                <w:rStyle w:val="Hyperlink"/>
                <w:rFonts w:hint="eastAsia"/>
                <w:noProof/>
                <w:rtl/>
                <w:lang w:bidi="fa-IR"/>
              </w:rPr>
              <w:t>الْمَعِيشَةِ‌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49261420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507</w:t>
            </w:r>
            <w:r w:rsidR="00794BCA">
              <w:rPr>
                <w:noProof/>
                <w:webHidden/>
                <w:rtl/>
              </w:rPr>
              <w:fldChar w:fldCharType="end"/>
            </w:r>
          </w:hyperlink>
        </w:p>
        <w:p w:rsidR="00794BCA" w:rsidRDefault="008D191A" w:rsidP="00794BCA">
          <w:pPr>
            <w:pStyle w:val="TOC2"/>
            <w:tabs>
              <w:tab w:val="right" w:leader="dot" w:pos="7786"/>
            </w:tabs>
            <w:rPr>
              <w:rFonts w:asciiTheme="minorHAnsi" w:eastAsiaTheme="minorEastAsia" w:hAnsiTheme="minorHAnsi" w:cstheme="minorBidi"/>
              <w:noProof/>
              <w:color w:val="auto"/>
              <w:sz w:val="22"/>
              <w:szCs w:val="22"/>
              <w:rtl/>
            </w:rPr>
          </w:pPr>
          <w:hyperlink w:anchor="_Toc49261421" w:history="1">
            <w:r w:rsidR="00794BCA" w:rsidRPr="00241F4B">
              <w:rPr>
                <w:rStyle w:val="Hyperlink"/>
                <w:noProof/>
                <w:rtl/>
                <w:lang w:bidi="fa-IR"/>
              </w:rPr>
              <w:t>[17]</w:t>
            </w:r>
            <w:r w:rsidR="00794BCA">
              <w:rPr>
                <w:noProof/>
                <w:webHidden/>
                <w:rtl/>
              </w:rPr>
              <w:t xml:space="preserve"> </w:t>
            </w:r>
          </w:hyperlink>
          <w:r w:rsidR="00794BCA">
            <w:rPr>
              <w:rStyle w:val="Hyperlink"/>
              <w:rFonts w:hint="cs"/>
              <w:noProof/>
              <w:rtl/>
            </w:rPr>
            <w:t xml:space="preserve"> </w:t>
          </w:r>
          <w:hyperlink w:anchor="_Toc49261422" w:history="1">
            <w:r w:rsidR="00794BCA" w:rsidRPr="00241F4B">
              <w:rPr>
                <w:rStyle w:val="Hyperlink"/>
                <w:rFonts w:hint="eastAsia"/>
                <w:noProof/>
                <w:rtl/>
                <w:lang w:bidi="fa-IR"/>
              </w:rPr>
              <w:t>كِتَابُ</w:t>
            </w:r>
            <w:r w:rsidR="00794BCA" w:rsidRPr="00241F4B">
              <w:rPr>
                <w:rStyle w:val="Hyperlink"/>
                <w:noProof/>
                <w:rtl/>
                <w:lang w:bidi="fa-IR"/>
              </w:rPr>
              <w:t xml:space="preserve"> </w:t>
            </w:r>
            <w:r w:rsidR="00794BCA" w:rsidRPr="00241F4B">
              <w:rPr>
                <w:rStyle w:val="Hyperlink"/>
                <w:rFonts w:hint="eastAsia"/>
                <w:noProof/>
                <w:rtl/>
                <w:lang w:bidi="fa-IR"/>
              </w:rPr>
              <w:t>الْمَعِيشَةِ‌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49261422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509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23" w:history="1">
            <w:r w:rsidR="00794BCA" w:rsidRPr="00241F4B">
              <w:rPr>
                <w:rStyle w:val="Hyperlink"/>
                <w:noProof/>
                <w:rtl/>
                <w:lang w:bidi="fa-IR"/>
              </w:rPr>
              <w:t xml:space="preserve">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مَعْنَى</w:t>
            </w:r>
            <w:r w:rsidR="00794BCA" w:rsidRPr="00241F4B">
              <w:rPr>
                <w:rStyle w:val="Hyperlink"/>
                <w:noProof/>
                <w:rtl/>
                <w:lang w:bidi="fa-IR"/>
              </w:rPr>
              <w:t xml:space="preserve"> </w:t>
            </w:r>
            <w:r w:rsidR="00794BCA" w:rsidRPr="00241F4B">
              <w:rPr>
                <w:rStyle w:val="Hyperlink"/>
                <w:rFonts w:hint="eastAsia"/>
                <w:noProof/>
                <w:rtl/>
                <w:lang w:bidi="fa-IR"/>
              </w:rPr>
              <w:t>الزُّهْدِ‌</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49261423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521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24" w:history="1">
            <w:r w:rsidR="00794BCA" w:rsidRPr="00241F4B">
              <w:rPr>
                <w:rStyle w:val="Hyperlink"/>
                <w:noProof/>
                <w:rtl/>
                <w:lang w:bidi="fa-IR"/>
              </w:rPr>
              <w:t xml:space="preserve">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الِاسْتِعَانَةِ</w:t>
            </w:r>
            <w:r w:rsidR="00794BCA" w:rsidRPr="00241F4B">
              <w:rPr>
                <w:rStyle w:val="Hyperlink"/>
                <w:noProof/>
                <w:rtl/>
                <w:lang w:bidi="fa-IR"/>
              </w:rPr>
              <w:t xml:space="preserve"> </w:t>
            </w:r>
            <w:r w:rsidR="00794BCA" w:rsidRPr="00241F4B">
              <w:rPr>
                <w:rStyle w:val="Hyperlink"/>
                <w:rFonts w:hint="eastAsia"/>
                <w:noProof/>
                <w:rtl/>
                <w:lang w:bidi="fa-IR"/>
              </w:rPr>
              <w:t>بِالدُّنْيَا</w:t>
            </w:r>
            <w:r w:rsidR="00794BCA" w:rsidRPr="00241F4B">
              <w:rPr>
                <w:rStyle w:val="Hyperlink"/>
                <w:noProof/>
                <w:rtl/>
                <w:lang w:bidi="fa-IR"/>
              </w:rPr>
              <w:t xml:space="preserve"> </w:t>
            </w:r>
            <w:r w:rsidR="00794BCA" w:rsidRPr="00241F4B">
              <w:rPr>
                <w:rStyle w:val="Hyperlink"/>
                <w:rFonts w:hint="eastAsia"/>
                <w:noProof/>
                <w:rtl/>
                <w:lang w:bidi="fa-IR"/>
              </w:rPr>
              <w:t>عَلَى</w:t>
            </w:r>
            <w:r w:rsidR="00794BCA" w:rsidRPr="00241F4B">
              <w:rPr>
                <w:rStyle w:val="Hyperlink"/>
                <w:noProof/>
                <w:rtl/>
                <w:lang w:bidi="fa-IR"/>
              </w:rPr>
              <w:t xml:space="preserve"> </w:t>
            </w:r>
            <w:r w:rsidR="00794BCA" w:rsidRPr="00241F4B">
              <w:rPr>
                <w:rStyle w:val="Hyperlink"/>
                <w:rFonts w:hint="eastAsia"/>
                <w:noProof/>
                <w:rtl/>
                <w:lang w:bidi="fa-IR"/>
              </w:rPr>
              <w:t>الْآخِرَةِ‌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49261424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522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25" w:history="1">
            <w:r w:rsidR="00794BCA" w:rsidRPr="00241F4B">
              <w:rPr>
                <w:rStyle w:val="Hyperlink"/>
                <w:noProof/>
                <w:rtl/>
                <w:lang w:bidi="fa-IR"/>
              </w:rPr>
              <w:t xml:space="preserve">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مَا</w:t>
            </w:r>
            <w:r w:rsidR="00794BCA" w:rsidRPr="00241F4B">
              <w:rPr>
                <w:rStyle w:val="Hyperlink"/>
                <w:noProof/>
                <w:rtl/>
                <w:lang w:bidi="fa-IR"/>
              </w:rPr>
              <w:t xml:space="preserve"> </w:t>
            </w:r>
            <w:r w:rsidR="00794BCA" w:rsidRPr="00241F4B">
              <w:rPr>
                <w:rStyle w:val="Hyperlink"/>
                <w:rFonts w:hint="eastAsia"/>
                <w:noProof/>
                <w:rtl/>
                <w:lang w:bidi="fa-IR"/>
              </w:rPr>
              <w:t>يَجِبُ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الِاقْتِدَاءِ</w:t>
            </w:r>
            <w:r w:rsidR="00794BCA" w:rsidRPr="00241F4B">
              <w:rPr>
                <w:rStyle w:val="Hyperlink"/>
                <w:noProof/>
                <w:rtl/>
                <w:lang w:bidi="fa-IR"/>
              </w:rPr>
              <w:t xml:space="preserve"> </w:t>
            </w:r>
            <w:r w:rsidR="00794BCA" w:rsidRPr="00241F4B">
              <w:rPr>
                <w:rStyle w:val="Hyperlink"/>
                <w:rFonts w:hint="eastAsia"/>
                <w:noProof/>
                <w:rtl/>
                <w:lang w:bidi="fa-IR"/>
              </w:rPr>
              <w:t>بِالْأَئِمَّةِ</w:t>
            </w:r>
            <w:r w:rsidR="00794BCA" w:rsidRPr="00241F4B">
              <w:rPr>
                <w:rStyle w:val="Hyperlink"/>
                <w:noProof/>
                <w:rtl/>
                <w:lang w:bidi="fa-IR"/>
              </w:rPr>
              <w:t xml:space="preserve"> </w:t>
            </w:r>
            <w:r w:rsidR="00794BCA" w:rsidRPr="00241F4B">
              <w:rPr>
                <w:rStyle w:val="Hyperlink"/>
                <w:rFonts w:hint="eastAsia"/>
                <w:noProof/>
                <w:rtl/>
                <w:lang w:bidi="fa-IR"/>
              </w:rPr>
              <w:t>عَلَيْهِمُ</w:t>
            </w:r>
            <w:r w:rsidR="00794BCA" w:rsidRPr="00241F4B">
              <w:rPr>
                <w:rStyle w:val="Hyperlink"/>
                <w:noProof/>
                <w:rtl/>
                <w:lang w:bidi="fa-IR"/>
              </w:rPr>
              <w:t xml:space="preserve"> </w:t>
            </w:r>
            <w:r w:rsidR="00794BCA" w:rsidRPr="00241F4B">
              <w:rPr>
                <w:rStyle w:val="Hyperlink"/>
                <w:rFonts w:hint="eastAsia"/>
                <w:noProof/>
                <w:rtl/>
                <w:lang w:bidi="fa-IR"/>
              </w:rPr>
              <w:t>السَّلَامُ</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التَّعَرُّضِ</w:t>
            </w:r>
            <w:r w:rsidR="00794BCA" w:rsidRPr="00241F4B">
              <w:rPr>
                <w:rStyle w:val="Hyperlink"/>
                <w:noProof/>
                <w:rtl/>
                <w:lang w:bidi="fa-IR"/>
              </w:rPr>
              <w:t xml:space="preserve"> </w:t>
            </w:r>
            <w:r w:rsidR="00794BCA" w:rsidRPr="00241F4B">
              <w:rPr>
                <w:rStyle w:val="Hyperlink"/>
                <w:rFonts w:hint="eastAsia"/>
                <w:noProof/>
                <w:rtl/>
                <w:lang w:bidi="fa-IR"/>
              </w:rPr>
              <w:t>لِلرِّزْقِ‌</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49261425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528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26" w:history="1">
            <w:r w:rsidR="00794BCA" w:rsidRPr="00241F4B">
              <w:rPr>
                <w:rStyle w:val="Hyperlink"/>
                <w:noProof/>
                <w:rtl/>
                <w:lang w:bidi="fa-IR"/>
              </w:rPr>
              <w:t xml:space="preserve">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الْحَثِّ</w:t>
            </w:r>
            <w:r w:rsidR="00794BCA" w:rsidRPr="00241F4B">
              <w:rPr>
                <w:rStyle w:val="Hyperlink"/>
                <w:noProof/>
                <w:rtl/>
                <w:lang w:bidi="fa-IR"/>
              </w:rPr>
              <w:t xml:space="preserve"> </w:t>
            </w:r>
            <w:r w:rsidR="00794BCA" w:rsidRPr="00241F4B">
              <w:rPr>
                <w:rStyle w:val="Hyperlink"/>
                <w:rFonts w:hint="eastAsia"/>
                <w:noProof/>
                <w:rtl/>
                <w:lang w:bidi="fa-IR"/>
              </w:rPr>
              <w:t>عَلَى</w:t>
            </w:r>
            <w:r w:rsidR="00794BCA" w:rsidRPr="00241F4B">
              <w:rPr>
                <w:rStyle w:val="Hyperlink"/>
                <w:noProof/>
                <w:rtl/>
                <w:lang w:bidi="fa-IR"/>
              </w:rPr>
              <w:t xml:space="preserve"> </w:t>
            </w:r>
            <w:r w:rsidR="00794BCA" w:rsidRPr="00241F4B">
              <w:rPr>
                <w:rStyle w:val="Hyperlink"/>
                <w:rFonts w:hint="eastAsia"/>
                <w:noProof/>
                <w:rtl/>
                <w:lang w:bidi="fa-IR"/>
              </w:rPr>
              <w:t>الطَّلَبِ</w:t>
            </w:r>
            <w:r w:rsidR="00794BCA" w:rsidRPr="00241F4B">
              <w:rPr>
                <w:rStyle w:val="Hyperlink"/>
                <w:noProof/>
                <w:rtl/>
                <w:lang w:bidi="fa-IR"/>
              </w:rPr>
              <w:t xml:space="preserve"> </w:t>
            </w:r>
            <w:r w:rsidR="00794BCA" w:rsidRPr="00241F4B">
              <w:rPr>
                <w:rStyle w:val="Hyperlink"/>
                <w:rFonts w:hint="eastAsia"/>
                <w:noProof/>
                <w:rtl/>
                <w:lang w:bidi="fa-IR"/>
              </w:rPr>
              <w:t>وَالتَّعَرُّضِ</w:t>
            </w:r>
            <w:r w:rsidR="00794BCA" w:rsidRPr="00241F4B">
              <w:rPr>
                <w:rStyle w:val="Hyperlink"/>
                <w:noProof/>
                <w:rtl/>
                <w:lang w:bidi="fa-IR"/>
              </w:rPr>
              <w:t xml:space="preserve"> </w:t>
            </w:r>
            <w:r w:rsidR="00794BCA" w:rsidRPr="00241F4B">
              <w:rPr>
                <w:rStyle w:val="Hyperlink"/>
                <w:rFonts w:hint="eastAsia"/>
                <w:noProof/>
                <w:rtl/>
                <w:lang w:bidi="fa-IR"/>
              </w:rPr>
              <w:t>لِلرِّزْقِ‌</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49261426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539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27" w:history="1">
            <w:r w:rsidR="00794BCA" w:rsidRPr="00241F4B">
              <w:rPr>
                <w:rStyle w:val="Hyperlink"/>
                <w:noProof/>
                <w:rtl/>
                <w:lang w:bidi="fa-IR"/>
              </w:rPr>
              <w:t xml:space="preserve">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الْإِبْلَاءِ</w:t>
            </w:r>
            <w:r w:rsidR="00794BCA" w:rsidRPr="00241F4B">
              <w:rPr>
                <w:rStyle w:val="Hyperlink"/>
                <w:noProof/>
                <w:rtl/>
                <w:lang w:bidi="fa-IR"/>
              </w:rPr>
              <w:t xml:space="preserve"> </w:t>
            </w:r>
            <w:r w:rsidR="00794BCA" w:rsidRPr="00241F4B">
              <w:rPr>
                <w:rStyle w:val="Hyperlink"/>
                <w:noProof/>
                <w:vertAlign w:val="superscript"/>
                <w:rtl/>
              </w:rPr>
              <w:t>(5)</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طَلَبِ</w:t>
            </w:r>
            <w:r w:rsidR="00794BCA" w:rsidRPr="00241F4B">
              <w:rPr>
                <w:rStyle w:val="Hyperlink"/>
                <w:noProof/>
                <w:rtl/>
                <w:lang w:bidi="fa-IR"/>
              </w:rPr>
              <w:t xml:space="preserve"> </w:t>
            </w:r>
            <w:r w:rsidR="00794BCA" w:rsidRPr="00241F4B">
              <w:rPr>
                <w:rStyle w:val="Hyperlink"/>
                <w:rFonts w:hint="eastAsia"/>
                <w:noProof/>
                <w:rtl/>
                <w:lang w:bidi="fa-IR"/>
              </w:rPr>
              <w:t>الرِّزْقِ‌</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49261427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545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28" w:history="1">
            <w:r w:rsidR="00794BCA" w:rsidRPr="00241F4B">
              <w:rPr>
                <w:rStyle w:val="Hyperlink"/>
                <w:noProof/>
                <w:rtl/>
                <w:lang w:bidi="fa-IR"/>
              </w:rPr>
              <w:t xml:space="preserve">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الْإِجْمَالِ</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الطَّلَبِ‌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49261428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546</w:t>
            </w:r>
            <w:r w:rsidR="00794BCA">
              <w:rPr>
                <w:noProof/>
                <w:webHidden/>
                <w:rtl/>
              </w:rPr>
              <w:fldChar w:fldCharType="end"/>
            </w:r>
          </w:hyperlink>
        </w:p>
        <w:p w:rsidR="00794BCA" w:rsidRDefault="00794BCA" w:rsidP="00467060">
          <w:pPr>
            <w:pStyle w:val="libNormal"/>
            <w:rPr>
              <w:rStyle w:val="Hyperlink"/>
              <w:noProof/>
            </w:rPr>
          </w:pPr>
          <w:r>
            <w:rPr>
              <w:rStyle w:val="Hyperlink"/>
              <w:noProof/>
            </w:rPr>
            <w:br w:type="page"/>
          </w:r>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29" w:history="1">
            <w:r w:rsidR="00794BCA" w:rsidRPr="00241F4B">
              <w:rPr>
                <w:rStyle w:val="Hyperlink"/>
                <w:noProof/>
                <w:rtl/>
                <w:lang w:bidi="fa-IR"/>
              </w:rPr>
              <w:t xml:space="preserve">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الرِّزْقِ</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حَيْثُ</w:t>
            </w:r>
            <w:r w:rsidR="00794BCA" w:rsidRPr="00241F4B">
              <w:rPr>
                <w:rStyle w:val="Hyperlink"/>
                <w:noProof/>
                <w:rtl/>
                <w:lang w:bidi="fa-IR"/>
              </w:rPr>
              <w:t xml:space="preserve"> </w:t>
            </w:r>
            <w:r w:rsidR="00794BCA" w:rsidRPr="00241F4B">
              <w:rPr>
                <w:rStyle w:val="Hyperlink"/>
                <w:rFonts w:hint="eastAsia"/>
                <w:noProof/>
                <w:rtl/>
                <w:lang w:bidi="fa-IR"/>
              </w:rPr>
              <w:t>لَايُحْتَسَبُ‌</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49261429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555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0" w:history="1">
            <w:r w:rsidR="00794BCA" w:rsidRPr="00241F4B">
              <w:rPr>
                <w:rStyle w:val="Hyperlink"/>
                <w:noProof/>
                <w:rtl/>
                <w:lang w:bidi="fa-IR"/>
              </w:rPr>
              <w:t xml:space="preserve">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كَرَاهِيَةِ</w:t>
            </w:r>
            <w:r w:rsidR="00794BCA" w:rsidRPr="00241F4B">
              <w:rPr>
                <w:rStyle w:val="Hyperlink"/>
                <w:noProof/>
                <w:rtl/>
                <w:lang w:bidi="fa-IR"/>
              </w:rPr>
              <w:t xml:space="preserve"> </w:t>
            </w:r>
            <w:r w:rsidR="00794BCA" w:rsidRPr="00241F4B">
              <w:rPr>
                <w:rStyle w:val="Hyperlink"/>
                <w:noProof/>
                <w:vertAlign w:val="superscript"/>
                <w:rtl/>
              </w:rPr>
              <w:t>(2)</w:t>
            </w:r>
            <w:r w:rsidR="00794BCA" w:rsidRPr="00241F4B">
              <w:rPr>
                <w:rStyle w:val="Hyperlink"/>
                <w:noProof/>
                <w:rtl/>
                <w:lang w:bidi="fa-IR"/>
              </w:rPr>
              <w:t xml:space="preserve"> </w:t>
            </w:r>
            <w:r w:rsidR="00794BCA" w:rsidRPr="00241F4B">
              <w:rPr>
                <w:rStyle w:val="Hyperlink"/>
                <w:rFonts w:hint="eastAsia"/>
                <w:noProof/>
                <w:rtl/>
                <w:lang w:bidi="fa-IR"/>
              </w:rPr>
              <w:t>النَّوْمِ</w:t>
            </w:r>
            <w:r w:rsidR="00794BCA" w:rsidRPr="00241F4B">
              <w:rPr>
                <w:rStyle w:val="Hyperlink"/>
                <w:noProof/>
                <w:rtl/>
                <w:lang w:bidi="fa-IR"/>
              </w:rPr>
              <w:t xml:space="preserve"> </w:t>
            </w:r>
            <w:r w:rsidR="00794BCA" w:rsidRPr="00241F4B">
              <w:rPr>
                <w:rStyle w:val="Hyperlink"/>
                <w:rFonts w:hint="eastAsia"/>
                <w:noProof/>
                <w:rtl/>
                <w:lang w:bidi="fa-IR"/>
              </w:rPr>
              <w:t>وَالْفَرَاغِ</w:t>
            </w:r>
            <w:r w:rsidR="00794BCA" w:rsidRPr="00241F4B">
              <w:rPr>
                <w:rStyle w:val="Hyperlink"/>
                <w:noProof/>
                <w:rtl/>
                <w:lang w:bidi="fa-IR"/>
              </w:rPr>
              <w:t xml:space="preserve"> </w:t>
            </w:r>
            <w:r w:rsidR="00794BCA" w:rsidRPr="00241F4B">
              <w:rPr>
                <w:rStyle w:val="Hyperlink"/>
                <w:noProof/>
                <w:vertAlign w:val="superscript"/>
                <w:rtl/>
              </w:rPr>
              <w:t>(3)</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558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1" w:history="1">
            <w:r w:rsidR="00794BCA" w:rsidRPr="00241F4B">
              <w:rPr>
                <w:rStyle w:val="Hyperlink"/>
                <w:noProof/>
                <w:rtl/>
                <w:lang w:bidi="fa-IR"/>
              </w:rPr>
              <w:t xml:space="preserve">10 -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كَرَاهِيَةِ</w:t>
            </w:r>
            <w:r w:rsidR="00794BCA" w:rsidRPr="00241F4B">
              <w:rPr>
                <w:rStyle w:val="Hyperlink"/>
                <w:noProof/>
                <w:rtl/>
                <w:lang w:bidi="fa-IR"/>
              </w:rPr>
              <w:t xml:space="preserve"> </w:t>
            </w:r>
            <w:r w:rsidR="00794BCA" w:rsidRPr="00241F4B">
              <w:rPr>
                <w:rStyle w:val="Hyperlink"/>
                <w:noProof/>
                <w:vertAlign w:val="superscript"/>
                <w:rtl/>
              </w:rPr>
              <w:t>(2)</w:t>
            </w:r>
            <w:r w:rsidR="00794BCA" w:rsidRPr="00241F4B">
              <w:rPr>
                <w:rStyle w:val="Hyperlink"/>
                <w:noProof/>
                <w:rtl/>
                <w:lang w:bidi="fa-IR"/>
              </w:rPr>
              <w:t xml:space="preserve"> </w:t>
            </w:r>
            <w:r w:rsidR="00794BCA" w:rsidRPr="00241F4B">
              <w:rPr>
                <w:rStyle w:val="Hyperlink"/>
                <w:rFonts w:hint="eastAsia"/>
                <w:noProof/>
                <w:rtl/>
                <w:lang w:bidi="fa-IR"/>
              </w:rPr>
              <w:t>الْكَسَلِ‌</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559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2" w:history="1">
            <w:r w:rsidR="00794BCA" w:rsidRPr="00241F4B">
              <w:rPr>
                <w:rStyle w:val="Hyperlink"/>
                <w:noProof/>
                <w:rtl/>
                <w:lang w:bidi="fa-IR"/>
              </w:rPr>
              <w:t xml:space="preserve">11 -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عَمَلِ</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بَيْتِهِ‌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562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3" w:history="1">
            <w:r w:rsidR="00794BCA" w:rsidRPr="00241F4B">
              <w:rPr>
                <w:rStyle w:val="Hyperlink"/>
                <w:noProof/>
                <w:rtl/>
                <w:lang w:bidi="fa-IR"/>
              </w:rPr>
              <w:t xml:space="preserve">12 -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إِصْلَاحِ</w:t>
            </w:r>
            <w:r w:rsidR="00794BCA" w:rsidRPr="00241F4B">
              <w:rPr>
                <w:rStyle w:val="Hyperlink"/>
                <w:noProof/>
                <w:rtl/>
                <w:lang w:bidi="fa-IR"/>
              </w:rPr>
              <w:t xml:space="preserve"> </w:t>
            </w:r>
            <w:r w:rsidR="00794BCA" w:rsidRPr="00241F4B">
              <w:rPr>
                <w:rStyle w:val="Hyperlink"/>
                <w:rFonts w:hint="eastAsia"/>
                <w:noProof/>
                <w:rtl/>
                <w:lang w:bidi="fa-IR"/>
              </w:rPr>
              <w:t>الْمَالِ</w:t>
            </w:r>
            <w:r w:rsidR="00794BCA" w:rsidRPr="00241F4B">
              <w:rPr>
                <w:rStyle w:val="Hyperlink"/>
                <w:noProof/>
                <w:rtl/>
                <w:lang w:bidi="fa-IR"/>
              </w:rPr>
              <w:t xml:space="preserve"> </w:t>
            </w:r>
            <w:r w:rsidR="00794BCA" w:rsidRPr="00241F4B">
              <w:rPr>
                <w:rStyle w:val="Hyperlink"/>
                <w:rFonts w:hint="eastAsia"/>
                <w:noProof/>
                <w:rtl/>
                <w:lang w:bidi="fa-IR"/>
              </w:rPr>
              <w:t>وَتَقْدِيرِ</w:t>
            </w:r>
            <w:r w:rsidR="00794BCA" w:rsidRPr="00241F4B">
              <w:rPr>
                <w:rStyle w:val="Hyperlink"/>
                <w:noProof/>
                <w:rtl/>
                <w:lang w:bidi="fa-IR"/>
              </w:rPr>
              <w:t xml:space="preserve"> </w:t>
            </w:r>
            <w:r w:rsidR="00794BCA" w:rsidRPr="00241F4B">
              <w:rPr>
                <w:rStyle w:val="Hyperlink"/>
                <w:rFonts w:hint="eastAsia"/>
                <w:noProof/>
                <w:rtl/>
                <w:lang w:bidi="fa-IR"/>
              </w:rPr>
              <w:t>الْمَعِيشَةِ‌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563</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4" w:history="1">
            <w:r w:rsidR="00794BCA" w:rsidRPr="00241F4B">
              <w:rPr>
                <w:rStyle w:val="Hyperlink"/>
                <w:noProof/>
                <w:rtl/>
                <w:lang w:bidi="fa-IR"/>
              </w:rPr>
              <w:t xml:space="preserve">13 -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كَدَّ</w:t>
            </w:r>
            <w:r w:rsidR="00794BCA" w:rsidRPr="00241F4B">
              <w:rPr>
                <w:rStyle w:val="Hyperlink"/>
                <w:noProof/>
                <w:rtl/>
                <w:lang w:bidi="fa-IR"/>
              </w:rPr>
              <w:t xml:space="preserve"> </w:t>
            </w:r>
            <w:r w:rsidR="00794BCA" w:rsidRPr="00241F4B">
              <w:rPr>
                <w:rStyle w:val="Hyperlink"/>
                <w:noProof/>
                <w:vertAlign w:val="superscript"/>
                <w:rtl/>
              </w:rPr>
              <w:t>(8)</w:t>
            </w:r>
            <w:r w:rsidR="00794BCA" w:rsidRPr="00241F4B">
              <w:rPr>
                <w:rStyle w:val="Hyperlink"/>
                <w:noProof/>
                <w:rtl/>
                <w:lang w:bidi="fa-IR"/>
              </w:rPr>
              <w:t xml:space="preserve"> </w:t>
            </w:r>
            <w:r w:rsidR="00794BCA" w:rsidRPr="00241F4B">
              <w:rPr>
                <w:rStyle w:val="Hyperlink"/>
                <w:rFonts w:hint="eastAsia"/>
                <w:noProof/>
                <w:rtl/>
                <w:lang w:bidi="fa-IR"/>
              </w:rPr>
              <w:t>عَلى</w:t>
            </w:r>
            <w:r w:rsidR="00794BCA" w:rsidRPr="00241F4B">
              <w:rPr>
                <w:rStyle w:val="Hyperlink"/>
                <w:noProof/>
                <w:rtl/>
                <w:lang w:bidi="fa-IR"/>
              </w:rPr>
              <w:t xml:space="preserve"> </w:t>
            </w:r>
            <w:r w:rsidR="00794BCA" w:rsidRPr="00241F4B">
              <w:rPr>
                <w:rStyle w:val="Hyperlink"/>
                <w:rFonts w:hint="eastAsia"/>
                <w:noProof/>
                <w:rtl/>
                <w:lang w:bidi="fa-IR"/>
              </w:rPr>
              <w:t>عِيَالِهِ‌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566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5" w:history="1">
            <w:r w:rsidR="00794BCA" w:rsidRPr="00241F4B">
              <w:rPr>
                <w:rStyle w:val="Hyperlink"/>
                <w:noProof/>
                <w:rtl/>
                <w:lang w:bidi="fa-IR"/>
              </w:rPr>
              <w:t xml:space="preserve">14 -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الْكَسْبِ</w:t>
            </w:r>
            <w:r w:rsidR="00794BCA" w:rsidRPr="00241F4B">
              <w:rPr>
                <w:rStyle w:val="Hyperlink"/>
                <w:noProof/>
                <w:rtl/>
                <w:lang w:bidi="fa-IR"/>
              </w:rPr>
              <w:t xml:space="preserve"> </w:t>
            </w:r>
            <w:r w:rsidR="00794BCA" w:rsidRPr="00241F4B">
              <w:rPr>
                <w:rStyle w:val="Hyperlink"/>
                <w:rFonts w:hint="eastAsia"/>
                <w:noProof/>
                <w:rtl/>
                <w:lang w:bidi="fa-IR"/>
              </w:rPr>
              <w:t>الْحَلَالِ‌</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567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6" w:history="1">
            <w:r w:rsidR="00794BCA" w:rsidRPr="00241F4B">
              <w:rPr>
                <w:rStyle w:val="Hyperlink"/>
                <w:noProof/>
                <w:rtl/>
                <w:lang w:bidi="fa-IR"/>
              </w:rPr>
              <w:t xml:space="preserve">15 -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إِحْرَازِ</w:t>
            </w:r>
            <w:r w:rsidR="00794BCA" w:rsidRPr="00241F4B">
              <w:rPr>
                <w:rStyle w:val="Hyperlink"/>
                <w:noProof/>
                <w:rtl/>
                <w:lang w:bidi="fa-IR"/>
              </w:rPr>
              <w:t xml:space="preserve"> </w:t>
            </w:r>
            <w:r w:rsidR="00794BCA" w:rsidRPr="00241F4B">
              <w:rPr>
                <w:rStyle w:val="Hyperlink"/>
                <w:rFonts w:hint="eastAsia"/>
                <w:noProof/>
                <w:rtl/>
                <w:lang w:bidi="fa-IR"/>
              </w:rPr>
              <w:t>الْقُوتِ‌</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569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7" w:history="1">
            <w:r w:rsidR="00794BCA" w:rsidRPr="00241F4B">
              <w:rPr>
                <w:rStyle w:val="Hyperlink"/>
                <w:noProof/>
                <w:rtl/>
                <w:lang w:bidi="fa-IR"/>
              </w:rPr>
              <w:t xml:space="preserve">16 -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كَرَاهِيَةِ</w:t>
            </w:r>
            <w:r w:rsidR="00794BCA" w:rsidRPr="00241F4B">
              <w:rPr>
                <w:rStyle w:val="Hyperlink"/>
                <w:noProof/>
                <w:rtl/>
                <w:lang w:bidi="fa-IR"/>
              </w:rPr>
              <w:t xml:space="preserve"> </w:t>
            </w:r>
            <w:r w:rsidR="00794BCA" w:rsidRPr="00241F4B">
              <w:rPr>
                <w:rStyle w:val="Hyperlink"/>
                <w:noProof/>
                <w:vertAlign w:val="superscript"/>
                <w:rtl/>
              </w:rPr>
              <w:t>(6)</w:t>
            </w:r>
            <w:r w:rsidR="00794BCA" w:rsidRPr="00241F4B">
              <w:rPr>
                <w:rStyle w:val="Hyperlink"/>
                <w:noProof/>
                <w:rtl/>
                <w:lang w:bidi="fa-IR"/>
              </w:rPr>
              <w:t xml:space="preserve"> </w:t>
            </w:r>
            <w:r w:rsidR="00794BCA" w:rsidRPr="00241F4B">
              <w:rPr>
                <w:rStyle w:val="Hyperlink"/>
                <w:rFonts w:hint="eastAsia"/>
                <w:noProof/>
                <w:rtl/>
                <w:lang w:bidi="fa-IR"/>
              </w:rPr>
              <w:t>إِجَارَةِ</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نَفْسَهُ‌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570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8" w:history="1">
            <w:r w:rsidR="00794BCA" w:rsidRPr="00241F4B">
              <w:rPr>
                <w:rStyle w:val="Hyperlink"/>
                <w:noProof/>
                <w:rtl/>
                <w:lang w:bidi="fa-IR"/>
              </w:rPr>
              <w:t xml:space="preserve">17 -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مُبَاشَرَةِ</w:t>
            </w:r>
            <w:r w:rsidR="00794BCA" w:rsidRPr="00241F4B">
              <w:rPr>
                <w:rStyle w:val="Hyperlink"/>
                <w:noProof/>
                <w:rtl/>
                <w:lang w:bidi="fa-IR"/>
              </w:rPr>
              <w:t xml:space="preserve"> </w:t>
            </w:r>
            <w:r w:rsidR="00794BCA" w:rsidRPr="00241F4B">
              <w:rPr>
                <w:rStyle w:val="Hyperlink"/>
                <w:rFonts w:hint="eastAsia"/>
                <w:noProof/>
                <w:rtl/>
                <w:lang w:bidi="fa-IR"/>
              </w:rPr>
              <w:t>الْأَشْيَاءِ</w:t>
            </w:r>
            <w:r w:rsidR="00794BCA" w:rsidRPr="00241F4B">
              <w:rPr>
                <w:rStyle w:val="Hyperlink"/>
                <w:noProof/>
                <w:rtl/>
                <w:lang w:bidi="fa-IR"/>
              </w:rPr>
              <w:t xml:space="preserve"> </w:t>
            </w:r>
            <w:r w:rsidR="00794BCA" w:rsidRPr="00241F4B">
              <w:rPr>
                <w:rStyle w:val="Hyperlink"/>
                <w:rFonts w:hint="eastAsia"/>
                <w:noProof/>
                <w:rtl/>
                <w:lang w:bidi="fa-IR"/>
              </w:rPr>
              <w:t>بِنَفْسِهِ</w:t>
            </w:r>
            <w:r w:rsidR="00794BCA" w:rsidRPr="00241F4B">
              <w:rPr>
                <w:rStyle w:val="Hyperlink"/>
                <w:noProof/>
                <w:rtl/>
                <w:lang w:bidi="fa-IR"/>
              </w:rPr>
              <w:t xml:space="preserve"> </w:t>
            </w:r>
            <w:r w:rsidR="00794BCA" w:rsidRPr="00241F4B">
              <w:rPr>
                <w:rStyle w:val="Hyperlink"/>
                <w:noProof/>
                <w:vertAlign w:val="superscript"/>
                <w:rtl/>
              </w:rPr>
              <w:t>(4)</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572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39" w:history="1">
            <w:r w:rsidR="00794BCA" w:rsidRPr="00241F4B">
              <w:rPr>
                <w:rStyle w:val="Hyperlink"/>
                <w:noProof/>
                <w:rtl/>
                <w:lang w:bidi="fa-IR"/>
              </w:rPr>
              <w:t xml:space="preserve">18 -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شِرَاءِ</w:t>
            </w:r>
            <w:r w:rsidR="00794BCA" w:rsidRPr="00241F4B">
              <w:rPr>
                <w:rStyle w:val="Hyperlink"/>
                <w:noProof/>
                <w:rtl/>
                <w:lang w:bidi="fa-IR"/>
              </w:rPr>
              <w:t xml:space="preserve"> </w:t>
            </w:r>
            <w:r w:rsidR="00794BCA" w:rsidRPr="00241F4B">
              <w:rPr>
                <w:rStyle w:val="Hyperlink"/>
                <w:rFonts w:hint="eastAsia"/>
                <w:noProof/>
                <w:rtl/>
                <w:lang w:bidi="fa-IR"/>
              </w:rPr>
              <w:t>الْعَقَارَاتِ</w:t>
            </w:r>
            <w:r w:rsidR="00794BCA" w:rsidRPr="00241F4B">
              <w:rPr>
                <w:rStyle w:val="Hyperlink"/>
                <w:noProof/>
                <w:rtl/>
                <w:lang w:bidi="fa-IR"/>
              </w:rPr>
              <w:t xml:space="preserve"> </w:t>
            </w:r>
            <w:r w:rsidR="00794BCA" w:rsidRPr="00241F4B">
              <w:rPr>
                <w:rStyle w:val="Hyperlink"/>
                <w:rFonts w:hint="eastAsia"/>
                <w:noProof/>
                <w:rtl/>
                <w:lang w:bidi="fa-IR"/>
              </w:rPr>
              <w:t>وَبَيْعِهَا‌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49261439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573</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0" w:history="1">
            <w:r w:rsidR="00794BCA" w:rsidRPr="00241F4B">
              <w:rPr>
                <w:rStyle w:val="Hyperlink"/>
                <w:noProof/>
                <w:rtl/>
                <w:lang w:bidi="fa-IR"/>
              </w:rPr>
              <w:t xml:space="preserve">19 -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الدَّيْنِ‌</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578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1" w:history="1">
            <w:r w:rsidR="00794BCA" w:rsidRPr="00241F4B">
              <w:rPr>
                <w:rStyle w:val="Hyperlink"/>
                <w:noProof/>
                <w:rtl/>
                <w:lang w:bidi="fa-IR"/>
              </w:rPr>
              <w:t xml:space="preserve">20 -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قَضَاءِ</w:t>
            </w:r>
            <w:r w:rsidR="00794BCA" w:rsidRPr="00241F4B">
              <w:rPr>
                <w:rStyle w:val="Hyperlink"/>
                <w:noProof/>
                <w:rtl/>
                <w:lang w:bidi="fa-IR"/>
              </w:rPr>
              <w:t xml:space="preserve"> </w:t>
            </w:r>
            <w:r w:rsidR="00794BCA" w:rsidRPr="00241F4B">
              <w:rPr>
                <w:rStyle w:val="Hyperlink"/>
                <w:rFonts w:hint="eastAsia"/>
                <w:noProof/>
                <w:rtl/>
                <w:lang w:bidi="fa-IR"/>
              </w:rPr>
              <w:t>الدَّيْنِ‌</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586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2" w:history="1">
            <w:r w:rsidR="00794BCA" w:rsidRPr="00241F4B">
              <w:rPr>
                <w:rStyle w:val="Hyperlink"/>
                <w:noProof/>
                <w:rtl/>
                <w:lang w:bidi="fa-IR"/>
              </w:rPr>
              <w:t xml:space="preserve">21 -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قِصَاصِ</w:t>
            </w:r>
            <w:r w:rsidR="00794BCA" w:rsidRPr="00241F4B">
              <w:rPr>
                <w:rStyle w:val="Hyperlink"/>
                <w:noProof/>
                <w:rtl/>
                <w:lang w:bidi="fa-IR"/>
              </w:rPr>
              <w:t xml:space="preserve"> </w:t>
            </w:r>
            <w:r w:rsidR="00794BCA" w:rsidRPr="00241F4B">
              <w:rPr>
                <w:rStyle w:val="Hyperlink"/>
                <w:rFonts w:hint="eastAsia"/>
                <w:noProof/>
                <w:rtl/>
                <w:lang w:bidi="fa-IR"/>
              </w:rPr>
              <w:t>الدَّيْنِ‌</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595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3" w:history="1">
            <w:r w:rsidR="00794BCA" w:rsidRPr="00241F4B">
              <w:rPr>
                <w:rStyle w:val="Hyperlink"/>
                <w:noProof/>
                <w:rtl/>
                <w:lang w:bidi="fa-IR"/>
              </w:rPr>
              <w:t xml:space="preserve">22 -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أَنَّهُ</w:t>
            </w:r>
            <w:r w:rsidR="00794BCA" w:rsidRPr="00241F4B">
              <w:rPr>
                <w:rStyle w:val="Hyperlink"/>
                <w:noProof/>
                <w:rtl/>
                <w:lang w:bidi="fa-IR"/>
              </w:rPr>
              <w:t xml:space="preserve"> </w:t>
            </w:r>
            <w:r w:rsidR="00794BCA" w:rsidRPr="00241F4B">
              <w:rPr>
                <w:rStyle w:val="Hyperlink"/>
                <w:rFonts w:hint="eastAsia"/>
                <w:noProof/>
                <w:rtl/>
                <w:lang w:bidi="fa-IR"/>
              </w:rPr>
              <w:t>إِذَا</w:t>
            </w:r>
            <w:r w:rsidR="00794BCA" w:rsidRPr="00241F4B">
              <w:rPr>
                <w:rStyle w:val="Hyperlink"/>
                <w:noProof/>
                <w:rtl/>
                <w:lang w:bidi="fa-IR"/>
              </w:rPr>
              <w:t xml:space="preserve"> </w:t>
            </w:r>
            <w:r w:rsidR="00794BCA" w:rsidRPr="00241F4B">
              <w:rPr>
                <w:rStyle w:val="Hyperlink"/>
                <w:rFonts w:hint="eastAsia"/>
                <w:noProof/>
                <w:rtl/>
                <w:lang w:bidi="fa-IR"/>
              </w:rPr>
              <w:t>مَاتَ</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حَلَّ</w:t>
            </w:r>
            <w:r w:rsidR="00794BCA" w:rsidRPr="00241F4B">
              <w:rPr>
                <w:rStyle w:val="Hyperlink"/>
                <w:noProof/>
                <w:rtl/>
                <w:lang w:bidi="fa-IR"/>
              </w:rPr>
              <w:t xml:space="preserve"> </w:t>
            </w:r>
            <w:r w:rsidR="00794BCA" w:rsidRPr="00241F4B">
              <w:rPr>
                <w:rStyle w:val="Hyperlink"/>
                <w:rFonts w:hint="eastAsia"/>
                <w:noProof/>
                <w:rtl/>
                <w:lang w:bidi="fa-IR"/>
              </w:rPr>
              <w:t>دَيْنُهُ‌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597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4" w:history="1">
            <w:r w:rsidR="00794BCA" w:rsidRPr="00241F4B">
              <w:rPr>
                <w:rStyle w:val="Hyperlink"/>
                <w:noProof/>
                <w:rtl/>
                <w:lang w:bidi="fa-IR"/>
              </w:rPr>
              <w:t xml:space="preserve">23 -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يَأْخُذُ</w:t>
            </w:r>
            <w:r w:rsidR="00794BCA" w:rsidRPr="00241F4B">
              <w:rPr>
                <w:rStyle w:val="Hyperlink"/>
                <w:noProof/>
                <w:rtl/>
                <w:lang w:bidi="fa-IR"/>
              </w:rPr>
              <w:t xml:space="preserve"> </w:t>
            </w:r>
            <w:r w:rsidR="00794BCA" w:rsidRPr="00241F4B">
              <w:rPr>
                <w:rStyle w:val="Hyperlink"/>
                <w:rFonts w:hint="eastAsia"/>
                <w:noProof/>
                <w:rtl/>
                <w:lang w:bidi="fa-IR"/>
              </w:rPr>
              <w:t>الدَّيْنَ</w:t>
            </w:r>
            <w:r w:rsidR="00794BCA" w:rsidRPr="00241F4B">
              <w:rPr>
                <w:rStyle w:val="Hyperlink"/>
                <w:noProof/>
                <w:rtl/>
                <w:lang w:bidi="fa-IR"/>
              </w:rPr>
              <w:t xml:space="preserve"> </w:t>
            </w:r>
            <w:r w:rsidR="00794BCA" w:rsidRPr="00241F4B">
              <w:rPr>
                <w:rStyle w:val="Hyperlink"/>
                <w:rFonts w:hint="eastAsia"/>
                <w:noProof/>
                <w:rtl/>
                <w:lang w:bidi="fa-IR"/>
              </w:rPr>
              <w:t>وَهُوَ</w:t>
            </w:r>
            <w:r w:rsidR="00794BCA" w:rsidRPr="00241F4B">
              <w:rPr>
                <w:rStyle w:val="Hyperlink"/>
                <w:noProof/>
                <w:rtl/>
                <w:lang w:bidi="fa-IR"/>
              </w:rPr>
              <w:t xml:space="preserve"> </w:t>
            </w:r>
            <w:r w:rsidR="00794BCA" w:rsidRPr="00241F4B">
              <w:rPr>
                <w:rStyle w:val="Hyperlink"/>
                <w:noProof/>
                <w:vertAlign w:val="superscript"/>
                <w:rtl/>
              </w:rPr>
              <w:t>(3)</w:t>
            </w:r>
            <w:r w:rsidR="00794BCA" w:rsidRPr="00241F4B">
              <w:rPr>
                <w:rStyle w:val="Hyperlink"/>
                <w:noProof/>
                <w:rtl/>
                <w:lang w:bidi="fa-IR"/>
              </w:rPr>
              <w:t xml:space="preserve"> </w:t>
            </w:r>
            <w:r w:rsidR="00794BCA" w:rsidRPr="00241F4B">
              <w:rPr>
                <w:rStyle w:val="Hyperlink"/>
                <w:rFonts w:hint="eastAsia"/>
                <w:noProof/>
                <w:rtl/>
                <w:lang w:bidi="fa-IR"/>
              </w:rPr>
              <w:t>لَايَنْوِي</w:t>
            </w:r>
            <w:r w:rsidR="00794BCA" w:rsidRPr="00241F4B">
              <w:rPr>
                <w:rStyle w:val="Hyperlink"/>
                <w:noProof/>
                <w:rtl/>
                <w:lang w:bidi="fa-IR"/>
              </w:rPr>
              <w:t xml:space="preserve"> </w:t>
            </w:r>
            <w:r w:rsidR="00794BCA" w:rsidRPr="00241F4B">
              <w:rPr>
                <w:rStyle w:val="Hyperlink"/>
                <w:rFonts w:hint="eastAsia"/>
                <w:noProof/>
                <w:rtl/>
                <w:lang w:bidi="fa-IR"/>
              </w:rPr>
              <w:t>قَضَاءَهُ‌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598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5" w:history="1">
            <w:r w:rsidR="00794BCA" w:rsidRPr="00241F4B">
              <w:rPr>
                <w:rStyle w:val="Hyperlink"/>
                <w:noProof/>
                <w:rtl/>
                <w:lang w:bidi="fa-IR"/>
              </w:rPr>
              <w:t xml:space="preserve">24 -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بَيْعِ</w:t>
            </w:r>
            <w:r w:rsidR="00794BCA" w:rsidRPr="00241F4B">
              <w:rPr>
                <w:rStyle w:val="Hyperlink"/>
                <w:noProof/>
                <w:rtl/>
                <w:lang w:bidi="fa-IR"/>
              </w:rPr>
              <w:t xml:space="preserve"> </w:t>
            </w:r>
            <w:r w:rsidR="00794BCA" w:rsidRPr="00241F4B">
              <w:rPr>
                <w:rStyle w:val="Hyperlink"/>
                <w:noProof/>
                <w:vertAlign w:val="superscript"/>
                <w:rtl/>
              </w:rPr>
              <w:t>(13)</w:t>
            </w:r>
            <w:r w:rsidR="00794BCA" w:rsidRPr="00241F4B">
              <w:rPr>
                <w:rStyle w:val="Hyperlink"/>
                <w:noProof/>
                <w:rtl/>
                <w:lang w:bidi="fa-IR"/>
              </w:rPr>
              <w:t xml:space="preserve"> </w:t>
            </w:r>
            <w:r w:rsidR="00794BCA" w:rsidRPr="00241F4B">
              <w:rPr>
                <w:rStyle w:val="Hyperlink"/>
                <w:rFonts w:hint="eastAsia"/>
                <w:noProof/>
                <w:rtl/>
                <w:lang w:bidi="fa-IR"/>
              </w:rPr>
              <w:t>الدَّيْنِ</w:t>
            </w:r>
            <w:r w:rsidR="00794BCA" w:rsidRPr="00241F4B">
              <w:rPr>
                <w:rStyle w:val="Hyperlink"/>
                <w:noProof/>
                <w:rtl/>
                <w:lang w:bidi="fa-IR"/>
              </w:rPr>
              <w:t xml:space="preserve"> </w:t>
            </w:r>
            <w:r w:rsidR="00794BCA" w:rsidRPr="00241F4B">
              <w:rPr>
                <w:rStyle w:val="Hyperlink"/>
                <w:rFonts w:hint="eastAsia"/>
                <w:noProof/>
                <w:rtl/>
                <w:lang w:bidi="fa-IR"/>
              </w:rPr>
              <w:t>بِالدَّيْنِ‌</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599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6" w:history="1">
            <w:r w:rsidR="00794BCA" w:rsidRPr="00241F4B">
              <w:rPr>
                <w:rStyle w:val="Hyperlink"/>
                <w:noProof/>
                <w:rtl/>
                <w:lang w:bidi="fa-IR"/>
              </w:rPr>
              <w:t xml:space="preserve">25 -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آدَابِ</w:t>
            </w:r>
            <w:r w:rsidR="00794BCA" w:rsidRPr="00241F4B">
              <w:rPr>
                <w:rStyle w:val="Hyperlink"/>
                <w:noProof/>
                <w:rtl/>
                <w:lang w:bidi="fa-IR"/>
              </w:rPr>
              <w:t xml:space="preserve"> </w:t>
            </w:r>
            <w:r w:rsidR="00794BCA" w:rsidRPr="00241F4B">
              <w:rPr>
                <w:rStyle w:val="Hyperlink"/>
                <w:rFonts w:hint="eastAsia"/>
                <w:noProof/>
                <w:rtl/>
                <w:lang w:bidi="fa-IR"/>
              </w:rPr>
              <w:t>اقْتِضَاءِ</w:t>
            </w:r>
            <w:r w:rsidR="00794BCA" w:rsidRPr="00241F4B">
              <w:rPr>
                <w:rStyle w:val="Hyperlink"/>
                <w:noProof/>
                <w:rtl/>
                <w:lang w:bidi="fa-IR"/>
              </w:rPr>
              <w:t xml:space="preserve"> </w:t>
            </w:r>
            <w:r w:rsidR="00794BCA" w:rsidRPr="00241F4B">
              <w:rPr>
                <w:rStyle w:val="Hyperlink"/>
                <w:rFonts w:hint="eastAsia"/>
                <w:noProof/>
                <w:rtl/>
                <w:lang w:bidi="fa-IR"/>
              </w:rPr>
              <w:t>الدَّيْنِ</w:t>
            </w:r>
            <w:r w:rsidR="00794BCA" w:rsidRPr="00241F4B">
              <w:rPr>
                <w:rStyle w:val="Hyperlink"/>
                <w:noProof/>
                <w:rtl/>
                <w:lang w:bidi="fa-IR"/>
              </w:rPr>
              <w:t xml:space="preserve"> </w:t>
            </w:r>
            <w:r w:rsidR="00794BCA" w:rsidRPr="00241F4B">
              <w:rPr>
                <w:rStyle w:val="Hyperlink"/>
                <w:noProof/>
                <w:vertAlign w:val="superscript"/>
                <w:rtl/>
              </w:rPr>
              <w:t>(6)</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602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7" w:history="1">
            <w:r w:rsidR="00794BCA" w:rsidRPr="00241F4B">
              <w:rPr>
                <w:rStyle w:val="Hyperlink"/>
                <w:noProof/>
                <w:rtl/>
                <w:lang w:bidi="fa-IR"/>
              </w:rPr>
              <w:t xml:space="preserve">26 -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إِذَا</w:t>
            </w:r>
            <w:r w:rsidR="00794BCA" w:rsidRPr="00241F4B">
              <w:rPr>
                <w:rStyle w:val="Hyperlink"/>
                <w:noProof/>
                <w:rtl/>
                <w:lang w:bidi="fa-IR"/>
              </w:rPr>
              <w:t xml:space="preserve"> </w:t>
            </w:r>
            <w:r w:rsidR="00794BCA" w:rsidRPr="00241F4B">
              <w:rPr>
                <w:rStyle w:val="Hyperlink"/>
                <w:rFonts w:hint="eastAsia"/>
                <w:noProof/>
                <w:rtl/>
                <w:lang w:bidi="fa-IR"/>
              </w:rPr>
              <w:t>الْتَوَى</w:t>
            </w:r>
            <w:r w:rsidR="00794BCA" w:rsidRPr="00241F4B">
              <w:rPr>
                <w:rStyle w:val="Hyperlink"/>
                <w:noProof/>
                <w:rtl/>
                <w:lang w:bidi="fa-IR"/>
              </w:rPr>
              <w:t xml:space="preserve"> </w:t>
            </w:r>
            <w:r w:rsidR="00794BCA" w:rsidRPr="00241F4B">
              <w:rPr>
                <w:rStyle w:val="Hyperlink"/>
                <w:noProof/>
                <w:vertAlign w:val="superscript"/>
                <w:rtl/>
              </w:rPr>
              <w:t>(6)</w:t>
            </w:r>
            <w:r w:rsidR="00794BCA" w:rsidRPr="00241F4B">
              <w:rPr>
                <w:rStyle w:val="Hyperlink"/>
                <w:noProof/>
                <w:rtl/>
                <w:lang w:bidi="fa-IR"/>
              </w:rPr>
              <w:t xml:space="preserve"> </w:t>
            </w:r>
            <w:r w:rsidR="00794BCA" w:rsidRPr="00241F4B">
              <w:rPr>
                <w:rStyle w:val="Hyperlink"/>
                <w:rFonts w:hint="eastAsia"/>
                <w:noProof/>
                <w:rtl/>
                <w:lang w:bidi="fa-IR"/>
              </w:rPr>
              <w:t>الَّذِي</w:t>
            </w:r>
            <w:r w:rsidR="00794BCA" w:rsidRPr="00241F4B">
              <w:rPr>
                <w:rStyle w:val="Hyperlink"/>
                <w:noProof/>
                <w:rtl/>
                <w:lang w:bidi="fa-IR"/>
              </w:rPr>
              <w:t xml:space="preserve"> </w:t>
            </w:r>
            <w:r w:rsidR="00794BCA" w:rsidRPr="00241F4B">
              <w:rPr>
                <w:rStyle w:val="Hyperlink"/>
                <w:rFonts w:hint="eastAsia"/>
                <w:noProof/>
                <w:rtl/>
                <w:lang w:bidi="fa-IR"/>
              </w:rPr>
              <w:t>عَلَيْهِ</w:t>
            </w:r>
            <w:r w:rsidR="00794BCA" w:rsidRPr="00241F4B">
              <w:rPr>
                <w:rStyle w:val="Hyperlink"/>
                <w:noProof/>
                <w:rtl/>
                <w:lang w:bidi="fa-IR"/>
              </w:rPr>
              <w:t xml:space="preserve"> </w:t>
            </w:r>
            <w:r w:rsidR="00794BCA" w:rsidRPr="00241F4B">
              <w:rPr>
                <w:rStyle w:val="Hyperlink"/>
                <w:rFonts w:hint="eastAsia"/>
                <w:noProof/>
                <w:rtl/>
                <w:lang w:bidi="fa-IR"/>
              </w:rPr>
              <w:t>الدَّيْنُ</w:t>
            </w:r>
            <w:r w:rsidR="00794BCA" w:rsidRPr="00241F4B">
              <w:rPr>
                <w:rStyle w:val="Hyperlink"/>
                <w:noProof/>
                <w:rtl/>
                <w:lang w:bidi="fa-IR"/>
              </w:rPr>
              <w:t xml:space="preserve"> </w:t>
            </w:r>
            <w:r w:rsidR="00794BCA" w:rsidRPr="00241F4B">
              <w:rPr>
                <w:rStyle w:val="Hyperlink"/>
                <w:rFonts w:hint="eastAsia"/>
                <w:noProof/>
                <w:rtl/>
                <w:lang w:bidi="fa-IR"/>
              </w:rPr>
              <w:t>عَلَى</w:t>
            </w:r>
            <w:r w:rsidR="00794BCA" w:rsidRPr="00241F4B">
              <w:rPr>
                <w:rStyle w:val="Hyperlink"/>
                <w:noProof/>
                <w:rtl/>
                <w:lang w:bidi="fa-IR"/>
              </w:rPr>
              <w:t xml:space="preserve"> </w:t>
            </w:r>
            <w:r w:rsidR="00794BCA" w:rsidRPr="00241F4B">
              <w:rPr>
                <w:rStyle w:val="Hyperlink"/>
                <w:rFonts w:hint="eastAsia"/>
                <w:noProof/>
                <w:rtl/>
                <w:lang w:bidi="fa-IR"/>
              </w:rPr>
              <w:t>الْغُرَمَاءِ‌</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606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8" w:history="1">
            <w:r w:rsidR="00794BCA" w:rsidRPr="00241F4B">
              <w:rPr>
                <w:rStyle w:val="Hyperlink"/>
                <w:noProof/>
                <w:rtl/>
                <w:lang w:bidi="fa-IR"/>
              </w:rPr>
              <w:t xml:space="preserve">27 -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النُّزُولِ</w:t>
            </w:r>
            <w:r w:rsidR="00794BCA" w:rsidRPr="00241F4B">
              <w:rPr>
                <w:rStyle w:val="Hyperlink"/>
                <w:noProof/>
                <w:rtl/>
                <w:lang w:bidi="fa-IR"/>
              </w:rPr>
              <w:t xml:space="preserve"> </w:t>
            </w:r>
            <w:r w:rsidR="00794BCA" w:rsidRPr="00241F4B">
              <w:rPr>
                <w:rStyle w:val="Hyperlink"/>
                <w:rFonts w:hint="eastAsia"/>
                <w:noProof/>
                <w:rtl/>
                <w:lang w:bidi="fa-IR"/>
              </w:rPr>
              <w:t>عَلَى</w:t>
            </w:r>
            <w:r w:rsidR="00794BCA" w:rsidRPr="00241F4B">
              <w:rPr>
                <w:rStyle w:val="Hyperlink"/>
                <w:noProof/>
                <w:rtl/>
                <w:lang w:bidi="fa-IR"/>
              </w:rPr>
              <w:t xml:space="preserve"> </w:t>
            </w:r>
            <w:r w:rsidR="00794BCA" w:rsidRPr="00241F4B">
              <w:rPr>
                <w:rStyle w:val="Hyperlink"/>
                <w:rFonts w:hint="eastAsia"/>
                <w:noProof/>
                <w:rtl/>
                <w:lang w:bidi="fa-IR"/>
              </w:rPr>
              <w:t>الْغَرِيمِ‌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608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49" w:history="1">
            <w:r w:rsidR="00794BCA" w:rsidRPr="00241F4B">
              <w:rPr>
                <w:rStyle w:val="Hyperlink"/>
                <w:noProof/>
                <w:rtl/>
                <w:lang w:bidi="fa-IR"/>
              </w:rPr>
              <w:t xml:space="preserve">28 -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هَدِيَّةِ</w:t>
            </w:r>
            <w:r w:rsidR="00794BCA" w:rsidRPr="00241F4B">
              <w:rPr>
                <w:rStyle w:val="Hyperlink"/>
                <w:noProof/>
                <w:rtl/>
                <w:lang w:bidi="fa-IR"/>
              </w:rPr>
              <w:t xml:space="preserve"> </w:t>
            </w:r>
            <w:r w:rsidR="00794BCA" w:rsidRPr="00241F4B">
              <w:rPr>
                <w:rStyle w:val="Hyperlink"/>
                <w:noProof/>
                <w:vertAlign w:val="superscript"/>
                <w:rtl/>
              </w:rPr>
              <w:t>(1)</w:t>
            </w:r>
            <w:r w:rsidR="00794BCA" w:rsidRPr="00241F4B">
              <w:rPr>
                <w:rStyle w:val="Hyperlink"/>
                <w:noProof/>
                <w:rtl/>
                <w:lang w:bidi="fa-IR"/>
              </w:rPr>
              <w:t xml:space="preserve"> </w:t>
            </w:r>
            <w:r w:rsidR="00794BCA" w:rsidRPr="00241F4B">
              <w:rPr>
                <w:rStyle w:val="Hyperlink"/>
                <w:rFonts w:hint="eastAsia"/>
                <w:noProof/>
                <w:rtl/>
                <w:lang w:bidi="fa-IR"/>
              </w:rPr>
              <w:t>الْغَرِيمِ‌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49261449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609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0" w:history="1">
            <w:r w:rsidR="00794BCA" w:rsidRPr="00241F4B">
              <w:rPr>
                <w:rStyle w:val="Hyperlink"/>
                <w:noProof/>
                <w:rtl/>
                <w:lang w:bidi="fa-IR"/>
              </w:rPr>
              <w:t xml:space="preserve">29 -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الْكَفَالَةِ</w:t>
            </w:r>
            <w:r w:rsidR="00794BCA" w:rsidRPr="00241F4B">
              <w:rPr>
                <w:rStyle w:val="Hyperlink"/>
                <w:noProof/>
                <w:rtl/>
                <w:lang w:bidi="fa-IR"/>
              </w:rPr>
              <w:t xml:space="preserve"> </w:t>
            </w:r>
            <w:r w:rsidR="00794BCA" w:rsidRPr="00241F4B">
              <w:rPr>
                <w:rStyle w:val="Hyperlink"/>
                <w:noProof/>
                <w:vertAlign w:val="superscript"/>
                <w:rtl/>
              </w:rPr>
              <w:t>(1)</w:t>
            </w:r>
            <w:r w:rsidR="00794BCA" w:rsidRPr="00241F4B">
              <w:rPr>
                <w:rStyle w:val="Hyperlink"/>
                <w:noProof/>
                <w:rtl/>
                <w:lang w:bidi="fa-IR"/>
              </w:rPr>
              <w:t xml:space="preserve"> </w:t>
            </w:r>
            <w:r w:rsidR="00794BCA" w:rsidRPr="00241F4B">
              <w:rPr>
                <w:rStyle w:val="Hyperlink"/>
                <w:rFonts w:hint="eastAsia"/>
                <w:noProof/>
                <w:rtl/>
                <w:lang w:bidi="fa-IR"/>
              </w:rPr>
              <w:t>وَالْحَوَالَةِ</w:t>
            </w:r>
            <w:r w:rsidR="00794BCA" w:rsidRPr="00241F4B">
              <w:rPr>
                <w:rStyle w:val="Hyperlink"/>
                <w:noProof/>
                <w:rtl/>
                <w:lang w:bidi="fa-IR"/>
              </w:rPr>
              <w:t xml:space="preserve"> </w:t>
            </w:r>
            <w:r w:rsidR="00794BCA" w:rsidRPr="00241F4B">
              <w:rPr>
                <w:rStyle w:val="Hyperlink"/>
                <w:noProof/>
                <w:vertAlign w:val="superscript"/>
                <w:rtl/>
              </w:rPr>
              <w:t>(2)</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611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1" w:history="1">
            <w:r w:rsidR="00794BCA" w:rsidRPr="00241F4B">
              <w:rPr>
                <w:rStyle w:val="Hyperlink"/>
                <w:noProof/>
                <w:rtl/>
                <w:lang w:bidi="fa-IR"/>
              </w:rPr>
              <w:t xml:space="preserve">30 -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عَمَلِ</w:t>
            </w:r>
            <w:r w:rsidR="00794BCA" w:rsidRPr="00241F4B">
              <w:rPr>
                <w:rStyle w:val="Hyperlink"/>
                <w:noProof/>
                <w:rtl/>
                <w:lang w:bidi="fa-IR"/>
              </w:rPr>
              <w:t xml:space="preserve"> </w:t>
            </w:r>
            <w:r w:rsidR="00794BCA" w:rsidRPr="00241F4B">
              <w:rPr>
                <w:rStyle w:val="Hyperlink"/>
                <w:rFonts w:hint="eastAsia"/>
                <w:noProof/>
                <w:rtl/>
                <w:lang w:bidi="fa-IR"/>
              </w:rPr>
              <w:t>السُّلْطَانِ</w:t>
            </w:r>
            <w:r w:rsidR="00794BCA" w:rsidRPr="00241F4B">
              <w:rPr>
                <w:rStyle w:val="Hyperlink"/>
                <w:noProof/>
                <w:rtl/>
                <w:lang w:bidi="fa-IR"/>
              </w:rPr>
              <w:t xml:space="preserve"> </w:t>
            </w:r>
            <w:r w:rsidR="00794BCA" w:rsidRPr="00241F4B">
              <w:rPr>
                <w:rStyle w:val="Hyperlink"/>
                <w:rFonts w:hint="eastAsia"/>
                <w:noProof/>
                <w:rtl/>
                <w:lang w:bidi="fa-IR"/>
              </w:rPr>
              <w:t>وَجَوَائِزِهِمْ</w:t>
            </w:r>
            <w:r w:rsidR="00794BCA" w:rsidRPr="00241F4B">
              <w:rPr>
                <w:rStyle w:val="Hyperlink"/>
                <w:noProof/>
                <w:rtl/>
                <w:lang w:bidi="fa-IR"/>
              </w:rPr>
              <w:t xml:space="preserve"> </w:t>
            </w:r>
            <w:r w:rsidR="00794BCA" w:rsidRPr="00241F4B">
              <w:rPr>
                <w:rStyle w:val="Hyperlink"/>
                <w:noProof/>
                <w:vertAlign w:val="superscript"/>
                <w:rtl/>
              </w:rPr>
              <w:t>(8)</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616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2" w:history="1">
            <w:r w:rsidR="00794BCA" w:rsidRPr="00241F4B">
              <w:rPr>
                <w:rStyle w:val="Hyperlink"/>
                <w:noProof/>
                <w:rtl/>
                <w:lang w:bidi="fa-IR"/>
              </w:rPr>
              <w:t xml:space="preserve">31 -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شَرْطِ</w:t>
            </w:r>
            <w:r w:rsidR="00794BCA" w:rsidRPr="00241F4B">
              <w:rPr>
                <w:rStyle w:val="Hyperlink"/>
                <w:noProof/>
                <w:rtl/>
                <w:lang w:bidi="fa-IR"/>
              </w:rPr>
              <w:t xml:space="preserve"> </w:t>
            </w:r>
            <w:r w:rsidR="00794BCA" w:rsidRPr="00241F4B">
              <w:rPr>
                <w:rStyle w:val="Hyperlink"/>
                <w:noProof/>
                <w:vertAlign w:val="superscript"/>
                <w:rtl/>
              </w:rPr>
              <w:t>(8)</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أُذِنَ</w:t>
            </w:r>
            <w:r w:rsidR="00794BCA" w:rsidRPr="00241F4B">
              <w:rPr>
                <w:rStyle w:val="Hyperlink"/>
                <w:noProof/>
                <w:rtl/>
                <w:lang w:bidi="fa-IR"/>
              </w:rPr>
              <w:t xml:space="preserve"> </w:t>
            </w:r>
            <w:r w:rsidR="00794BCA" w:rsidRPr="00241F4B">
              <w:rPr>
                <w:rStyle w:val="Hyperlink"/>
                <w:rFonts w:hint="eastAsia"/>
                <w:noProof/>
                <w:rtl/>
                <w:lang w:bidi="fa-IR"/>
              </w:rPr>
              <w:t>لَهُ</w:t>
            </w:r>
            <w:r w:rsidR="00794BCA" w:rsidRPr="00241F4B">
              <w:rPr>
                <w:rStyle w:val="Hyperlink"/>
                <w:noProof/>
                <w:rtl/>
                <w:lang w:bidi="fa-IR"/>
              </w:rPr>
              <w:t xml:space="preserve"> </w:t>
            </w:r>
            <w:r w:rsidR="00794BCA" w:rsidRPr="00241F4B">
              <w:rPr>
                <w:rStyle w:val="Hyperlink"/>
                <w:noProof/>
                <w:vertAlign w:val="superscript"/>
                <w:rtl/>
              </w:rPr>
              <w:t>(9)</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أَعْمَالِهِمْ‌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631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3" w:history="1">
            <w:r w:rsidR="00794BCA" w:rsidRPr="00241F4B">
              <w:rPr>
                <w:rStyle w:val="Hyperlink"/>
                <w:noProof/>
                <w:rtl/>
                <w:lang w:bidi="fa-IR"/>
              </w:rPr>
              <w:t xml:space="preserve">32 -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بَيْعِ</w:t>
            </w:r>
            <w:r w:rsidR="00794BCA" w:rsidRPr="00241F4B">
              <w:rPr>
                <w:rStyle w:val="Hyperlink"/>
                <w:noProof/>
                <w:rtl/>
                <w:lang w:bidi="fa-IR"/>
              </w:rPr>
              <w:t xml:space="preserve"> </w:t>
            </w:r>
            <w:r w:rsidR="00794BCA" w:rsidRPr="00241F4B">
              <w:rPr>
                <w:rStyle w:val="Hyperlink"/>
                <w:rFonts w:hint="eastAsia"/>
                <w:noProof/>
                <w:rtl/>
                <w:lang w:bidi="fa-IR"/>
              </w:rPr>
              <w:t>السِّلَاحِ</w:t>
            </w:r>
            <w:r w:rsidR="00794BCA" w:rsidRPr="00241F4B">
              <w:rPr>
                <w:rStyle w:val="Hyperlink"/>
                <w:noProof/>
                <w:rtl/>
                <w:lang w:bidi="fa-IR"/>
              </w:rPr>
              <w:t xml:space="preserve"> </w:t>
            </w:r>
            <w:r w:rsidR="00794BCA" w:rsidRPr="00241F4B">
              <w:rPr>
                <w:rStyle w:val="Hyperlink"/>
                <w:rFonts w:hint="eastAsia"/>
                <w:noProof/>
                <w:rtl/>
                <w:lang w:bidi="fa-IR"/>
              </w:rPr>
              <w:t>مِنْهُمْ‌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638</w:t>
            </w:r>
            <w:r w:rsidR="00794BCA">
              <w:rPr>
                <w:noProof/>
                <w:webHidden/>
                <w:rtl/>
              </w:rPr>
              <w:fldChar w:fldCharType="end"/>
            </w:r>
          </w:hyperlink>
        </w:p>
        <w:p w:rsidR="00794BCA" w:rsidRDefault="00794BCA" w:rsidP="00467060">
          <w:pPr>
            <w:pStyle w:val="libNormal"/>
            <w:rPr>
              <w:rStyle w:val="Hyperlink"/>
              <w:noProof/>
            </w:rPr>
          </w:pPr>
          <w:r>
            <w:rPr>
              <w:rStyle w:val="Hyperlink"/>
              <w:noProof/>
            </w:rPr>
            <w:br w:type="page"/>
          </w:r>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4" w:history="1">
            <w:r w:rsidR="00794BCA" w:rsidRPr="00241F4B">
              <w:rPr>
                <w:rStyle w:val="Hyperlink"/>
                <w:noProof/>
                <w:rtl/>
                <w:lang w:bidi="fa-IR"/>
              </w:rPr>
              <w:t xml:space="preserve">33 -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الصِّنَاعَاتِ‌</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642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5" w:history="1">
            <w:r w:rsidR="00794BCA" w:rsidRPr="00241F4B">
              <w:rPr>
                <w:rStyle w:val="Hyperlink"/>
                <w:noProof/>
                <w:rtl/>
                <w:lang w:bidi="fa-IR"/>
              </w:rPr>
              <w:t xml:space="preserve">34 -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كَسْبِ</w:t>
            </w:r>
            <w:r w:rsidR="00794BCA" w:rsidRPr="00241F4B">
              <w:rPr>
                <w:rStyle w:val="Hyperlink"/>
                <w:noProof/>
                <w:rtl/>
                <w:lang w:bidi="fa-IR"/>
              </w:rPr>
              <w:t xml:space="preserve"> </w:t>
            </w:r>
            <w:r w:rsidR="00794BCA" w:rsidRPr="00241F4B">
              <w:rPr>
                <w:rStyle w:val="Hyperlink"/>
                <w:rFonts w:hint="eastAsia"/>
                <w:noProof/>
                <w:rtl/>
                <w:lang w:bidi="fa-IR"/>
              </w:rPr>
              <w:t>الْحَجَّامِ‌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649</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6" w:history="1">
            <w:r w:rsidR="00794BCA" w:rsidRPr="00241F4B">
              <w:rPr>
                <w:rStyle w:val="Hyperlink"/>
                <w:noProof/>
                <w:rtl/>
                <w:lang w:bidi="fa-IR"/>
              </w:rPr>
              <w:t xml:space="preserve">35 -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كَسْبِ</w:t>
            </w:r>
            <w:r w:rsidR="00794BCA" w:rsidRPr="00241F4B">
              <w:rPr>
                <w:rStyle w:val="Hyperlink"/>
                <w:noProof/>
                <w:rtl/>
                <w:lang w:bidi="fa-IR"/>
              </w:rPr>
              <w:t xml:space="preserve"> </w:t>
            </w:r>
            <w:r w:rsidR="00794BCA" w:rsidRPr="00241F4B">
              <w:rPr>
                <w:rStyle w:val="Hyperlink"/>
                <w:rFonts w:hint="eastAsia"/>
                <w:noProof/>
                <w:rtl/>
                <w:lang w:bidi="fa-IR"/>
              </w:rPr>
              <w:t>النَّائِحَةِ‌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652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7" w:history="1">
            <w:r w:rsidR="00794BCA" w:rsidRPr="00241F4B">
              <w:rPr>
                <w:rStyle w:val="Hyperlink"/>
                <w:noProof/>
                <w:rtl/>
                <w:lang w:bidi="fa-IR"/>
              </w:rPr>
              <w:t xml:space="preserve">36 -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كَسْبِ</w:t>
            </w:r>
            <w:r w:rsidR="00794BCA" w:rsidRPr="00241F4B">
              <w:rPr>
                <w:rStyle w:val="Hyperlink"/>
                <w:noProof/>
                <w:rtl/>
                <w:lang w:bidi="fa-IR"/>
              </w:rPr>
              <w:t xml:space="preserve"> </w:t>
            </w:r>
            <w:r w:rsidR="00794BCA" w:rsidRPr="00241F4B">
              <w:rPr>
                <w:rStyle w:val="Hyperlink"/>
                <w:rFonts w:hint="eastAsia"/>
                <w:noProof/>
                <w:rtl/>
                <w:lang w:bidi="fa-IR"/>
              </w:rPr>
              <w:t>الْمَاشِطَةِ</w:t>
            </w:r>
            <w:r w:rsidR="00794BCA" w:rsidRPr="00241F4B">
              <w:rPr>
                <w:rStyle w:val="Hyperlink"/>
                <w:noProof/>
                <w:rtl/>
                <w:lang w:bidi="fa-IR"/>
              </w:rPr>
              <w:t xml:space="preserve"> </w:t>
            </w:r>
            <w:r w:rsidR="00794BCA" w:rsidRPr="00241F4B">
              <w:rPr>
                <w:rStyle w:val="Hyperlink"/>
                <w:rFonts w:hint="eastAsia"/>
                <w:noProof/>
                <w:rtl/>
                <w:lang w:bidi="fa-IR"/>
              </w:rPr>
              <w:t>وَالْخَافِضَةِ‌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656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8" w:history="1">
            <w:r w:rsidR="00794BCA" w:rsidRPr="00241F4B">
              <w:rPr>
                <w:rStyle w:val="Hyperlink"/>
                <w:noProof/>
                <w:rtl/>
                <w:lang w:bidi="fa-IR"/>
              </w:rPr>
              <w:t xml:space="preserve">37 -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كَسْبِ</w:t>
            </w:r>
            <w:r w:rsidR="00794BCA" w:rsidRPr="00241F4B">
              <w:rPr>
                <w:rStyle w:val="Hyperlink"/>
                <w:noProof/>
                <w:rtl/>
                <w:lang w:bidi="fa-IR"/>
              </w:rPr>
              <w:t xml:space="preserve"> </w:t>
            </w:r>
            <w:r w:rsidR="00794BCA" w:rsidRPr="00241F4B">
              <w:rPr>
                <w:rStyle w:val="Hyperlink"/>
                <w:rFonts w:hint="eastAsia"/>
                <w:noProof/>
                <w:rtl/>
                <w:lang w:bidi="fa-IR"/>
              </w:rPr>
              <w:t>الْمُغَنِّيَةِ</w:t>
            </w:r>
            <w:r w:rsidR="00794BCA" w:rsidRPr="00241F4B">
              <w:rPr>
                <w:rStyle w:val="Hyperlink"/>
                <w:noProof/>
                <w:rtl/>
                <w:lang w:bidi="fa-IR"/>
              </w:rPr>
              <w:t xml:space="preserve"> </w:t>
            </w:r>
            <w:r w:rsidR="00794BCA" w:rsidRPr="00241F4B">
              <w:rPr>
                <w:rStyle w:val="Hyperlink"/>
                <w:rFonts w:hint="eastAsia"/>
                <w:noProof/>
                <w:rtl/>
                <w:lang w:bidi="fa-IR"/>
              </w:rPr>
              <w:t>وَشِرَائِهَا‌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660</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59" w:history="1">
            <w:r w:rsidR="00794BCA" w:rsidRPr="00241F4B">
              <w:rPr>
                <w:rStyle w:val="Hyperlink"/>
                <w:noProof/>
                <w:rtl/>
                <w:lang w:bidi="fa-IR"/>
              </w:rPr>
              <w:t xml:space="preserve">38 -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كَسْبِ</w:t>
            </w:r>
            <w:r w:rsidR="00794BCA" w:rsidRPr="00241F4B">
              <w:rPr>
                <w:rStyle w:val="Hyperlink"/>
                <w:noProof/>
                <w:rtl/>
                <w:lang w:bidi="fa-IR"/>
              </w:rPr>
              <w:t xml:space="preserve"> </w:t>
            </w:r>
            <w:r w:rsidR="00794BCA" w:rsidRPr="00241F4B">
              <w:rPr>
                <w:rStyle w:val="Hyperlink"/>
                <w:rFonts w:hint="eastAsia"/>
                <w:noProof/>
                <w:rtl/>
                <w:lang w:bidi="fa-IR"/>
              </w:rPr>
              <w:t>الْمُعَلِّمِ‌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49261459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666</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0" w:history="1">
            <w:r w:rsidR="00794BCA" w:rsidRPr="00241F4B">
              <w:rPr>
                <w:rStyle w:val="Hyperlink"/>
                <w:noProof/>
                <w:rtl/>
                <w:lang w:bidi="fa-IR"/>
              </w:rPr>
              <w:t xml:space="preserve">39 -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بَيْعِ</w:t>
            </w:r>
            <w:r w:rsidR="00794BCA" w:rsidRPr="00241F4B">
              <w:rPr>
                <w:rStyle w:val="Hyperlink"/>
                <w:noProof/>
                <w:rtl/>
                <w:lang w:bidi="fa-IR"/>
              </w:rPr>
              <w:t xml:space="preserve"> </w:t>
            </w:r>
            <w:r w:rsidR="00794BCA" w:rsidRPr="00241F4B">
              <w:rPr>
                <w:rStyle w:val="Hyperlink"/>
                <w:rFonts w:hint="eastAsia"/>
                <w:noProof/>
                <w:rtl/>
                <w:lang w:bidi="fa-IR"/>
              </w:rPr>
              <w:t>الْمَصَاحِفِ‌</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667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1" w:history="1">
            <w:r w:rsidR="00794BCA" w:rsidRPr="00241F4B">
              <w:rPr>
                <w:rStyle w:val="Hyperlink"/>
                <w:noProof/>
                <w:rtl/>
                <w:lang w:bidi="fa-IR"/>
              </w:rPr>
              <w:t xml:space="preserve">40 -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الْقِمَارِ</w:t>
            </w:r>
            <w:r w:rsidR="00794BCA" w:rsidRPr="00241F4B">
              <w:rPr>
                <w:rStyle w:val="Hyperlink"/>
                <w:noProof/>
                <w:rtl/>
                <w:lang w:bidi="fa-IR"/>
              </w:rPr>
              <w:t xml:space="preserve"> </w:t>
            </w:r>
            <w:r w:rsidR="00794BCA" w:rsidRPr="00241F4B">
              <w:rPr>
                <w:rStyle w:val="Hyperlink"/>
                <w:rFonts w:hint="eastAsia"/>
                <w:noProof/>
                <w:rtl/>
                <w:lang w:bidi="fa-IR"/>
              </w:rPr>
              <w:t>وَالنُّهْبَةِ</w:t>
            </w:r>
            <w:r w:rsidR="00794BCA" w:rsidRPr="00241F4B">
              <w:rPr>
                <w:rStyle w:val="Hyperlink"/>
                <w:noProof/>
                <w:rtl/>
                <w:lang w:bidi="fa-IR"/>
              </w:rPr>
              <w:t xml:space="preserve"> </w:t>
            </w:r>
            <w:r w:rsidR="00794BCA" w:rsidRPr="00241F4B">
              <w:rPr>
                <w:rStyle w:val="Hyperlink"/>
                <w:noProof/>
                <w:vertAlign w:val="superscript"/>
                <w:rtl/>
              </w:rPr>
              <w:t>(6)</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672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2" w:history="1">
            <w:r w:rsidR="00794BCA" w:rsidRPr="00241F4B">
              <w:rPr>
                <w:rStyle w:val="Hyperlink"/>
                <w:noProof/>
                <w:rtl/>
                <w:lang w:bidi="fa-IR"/>
              </w:rPr>
              <w:t xml:space="preserve">41 -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الْمَكَاسِبِ</w:t>
            </w:r>
            <w:r w:rsidR="00794BCA" w:rsidRPr="00241F4B">
              <w:rPr>
                <w:rStyle w:val="Hyperlink"/>
                <w:noProof/>
                <w:rtl/>
                <w:lang w:bidi="fa-IR"/>
              </w:rPr>
              <w:t xml:space="preserve"> </w:t>
            </w:r>
            <w:r w:rsidR="00794BCA" w:rsidRPr="00241F4B">
              <w:rPr>
                <w:rStyle w:val="Hyperlink"/>
                <w:rFonts w:hint="eastAsia"/>
                <w:noProof/>
                <w:rtl/>
                <w:lang w:bidi="fa-IR"/>
              </w:rPr>
              <w:t>الْحَرَامِ‌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678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3" w:history="1">
            <w:r w:rsidR="00794BCA" w:rsidRPr="00241F4B">
              <w:rPr>
                <w:rStyle w:val="Hyperlink"/>
                <w:noProof/>
                <w:rtl/>
                <w:lang w:bidi="fa-IR"/>
              </w:rPr>
              <w:t xml:space="preserve">42 -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السُّحْتِ‌</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685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4" w:history="1">
            <w:r w:rsidR="00794BCA" w:rsidRPr="00241F4B">
              <w:rPr>
                <w:rStyle w:val="Hyperlink"/>
                <w:noProof/>
                <w:rtl/>
                <w:lang w:bidi="fa-IR"/>
              </w:rPr>
              <w:t xml:space="preserve">43 -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أَكْلِ</w:t>
            </w:r>
            <w:r w:rsidR="00794BCA" w:rsidRPr="00241F4B">
              <w:rPr>
                <w:rStyle w:val="Hyperlink"/>
                <w:noProof/>
                <w:rtl/>
                <w:lang w:bidi="fa-IR"/>
              </w:rPr>
              <w:t xml:space="preserve"> </w:t>
            </w:r>
            <w:r w:rsidR="00794BCA" w:rsidRPr="00241F4B">
              <w:rPr>
                <w:rStyle w:val="Hyperlink"/>
                <w:rFonts w:hint="eastAsia"/>
                <w:noProof/>
                <w:rtl/>
                <w:lang w:bidi="fa-IR"/>
              </w:rPr>
              <w:t>مَالِ</w:t>
            </w:r>
            <w:r w:rsidR="00794BCA" w:rsidRPr="00241F4B">
              <w:rPr>
                <w:rStyle w:val="Hyperlink"/>
                <w:noProof/>
                <w:rtl/>
                <w:lang w:bidi="fa-IR"/>
              </w:rPr>
              <w:t xml:space="preserve"> </w:t>
            </w:r>
            <w:r w:rsidR="00794BCA" w:rsidRPr="00241F4B">
              <w:rPr>
                <w:rStyle w:val="Hyperlink"/>
                <w:rFonts w:hint="eastAsia"/>
                <w:noProof/>
                <w:rtl/>
                <w:lang w:bidi="fa-IR"/>
              </w:rPr>
              <w:t>الْيَتِيمِ‌</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692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5" w:history="1">
            <w:r w:rsidR="00794BCA" w:rsidRPr="00241F4B">
              <w:rPr>
                <w:rStyle w:val="Hyperlink"/>
                <w:noProof/>
                <w:rtl/>
                <w:lang w:bidi="fa-IR"/>
              </w:rPr>
              <w:t xml:space="preserve">44 -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مَا</w:t>
            </w:r>
            <w:r w:rsidR="00794BCA" w:rsidRPr="00241F4B">
              <w:rPr>
                <w:rStyle w:val="Hyperlink"/>
                <w:noProof/>
                <w:rtl/>
                <w:lang w:bidi="fa-IR"/>
              </w:rPr>
              <w:t xml:space="preserve"> </w:t>
            </w:r>
            <w:r w:rsidR="00794BCA" w:rsidRPr="00241F4B">
              <w:rPr>
                <w:rStyle w:val="Hyperlink"/>
                <w:rFonts w:hint="eastAsia"/>
                <w:noProof/>
                <w:rtl/>
                <w:lang w:bidi="fa-IR"/>
              </w:rPr>
              <w:t>يَحِلُّ</w:t>
            </w:r>
            <w:r w:rsidR="00794BCA" w:rsidRPr="00241F4B">
              <w:rPr>
                <w:rStyle w:val="Hyperlink"/>
                <w:noProof/>
                <w:rtl/>
                <w:lang w:bidi="fa-IR"/>
              </w:rPr>
              <w:t xml:space="preserve"> </w:t>
            </w:r>
            <w:r w:rsidR="00794BCA" w:rsidRPr="00241F4B">
              <w:rPr>
                <w:rStyle w:val="Hyperlink"/>
                <w:rFonts w:hint="eastAsia"/>
                <w:noProof/>
                <w:rtl/>
                <w:lang w:bidi="fa-IR"/>
              </w:rPr>
              <w:t>لِقَيِّمِ</w:t>
            </w:r>
            <w:r w:rsidR="00794BCA" w:rsidRPr="00241F4B">
              <w:rPr>
                <w:rStyle w:val="Hyperlink"/>
                <w:noProof/>
                <w:rtl/>
                <w:lang w:bidi="fa-IR"/>
              </w:rPr>
              <w:t xml:space="preserve"> </w:t>
            </w:r>
            <w:r w:rsidR="00794BCA" w:rsidRPr="00241F4B">
              <w:rPr>
                <w:rStyle w:val="Hyperlink"/>
                <w:rFonts w:hint="eastAsia"/>
                <w:noProof/>
                <w:rtl/>
                <w:lang w:bidi="fa-IR"/>
              </w:rPr>
              <w:t>مَالِ</w:t>
            </w:r>
            <w:r w:rsidR="00794BCA" w:rsidRPr="00241F4B">
              <w:rPr>
                <w:rStyle w:val="Hyperlink"/>
                <w:noProof/>
                <w:rtl/>
                <w:lang w:bidi="fa-IR"/>
              </w:rPr>
              <w:t xml:space="preserve"> </w:t>
            </w:r>
            <w:r w:rsidR="00794BCA" w:rsidRPr="00241F4B">
              <w:rPr>
                <w:rStyle w:val="Hyperlink"/>
                <w:rFonts w:hint="eastAsia"/>
                <w:noProof/>
                <w:rtl/>
                <w:lang w:bidi="fa-IR"/>
              </w:rPr>
              <w:t>الْيَتِيمِ</w:t>
            </w:r>
            <w:r w:rsidR="00794BCA" w:rsidRPr="00241F4B">
              <w:rPr>
                <w:rStyle w:val="Hyperlink"/>
                <w:noProof/>
                <w:rtl/>
                <w:lang w:bidi="fa-IR"/>
              </w:rPr>
              <w:t xml:space="preserve"> </w:t>
            </w:r>
            <w:r w:rsidR="00794BCA" w:rsidRPr="00241F4B">
              <w:rPr>
                <w:rStyle w:val="Hyperlink"/>
                <w:noProof/>
                <w:vertAlign w:val="superscript"/>
                <w:rtl/>
              </w:rPr>
              <w:t>(6)</w:t>
            </w:r>
            <w:r w:rsidR="00794BCA" w:rsidRPr="00241F4B">
              <w:rPr>
                <w:rStyle w:val="Hyperlink"/>
                <w:noProof/>
                <w:rtl/>
                <w:lang w:bidi="fa-IR"/>
              </w:rPr>
              <w:t xml:space="preserve"> </w:t>
            </w:r>
            <w:r w:rsidR="00794BCA" w:rsidRPr="00241F4B">
              <w:rPr>
                <w:rStyle w:val="Hyperlink"/>
                <w:rFonts w:hint="eastAsia"/>
                <w:noProof/>
                <w:rtl/>
                <w:lang w:bidi="fa-IR"/>
              </w:rPr>
              <w:t>مِنْهُ‌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49261465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697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6" w:history="1">
            <w:r w:rsidR="00794BCA" w:rsidRPr="00241F4B">
              <w:rPr>
                <w:rStyle w:val="Hyperlink"/>
                <w:noProof/>
                <w:rtl/>
                <w:lang w:bidi="fa-IR"/>
              </w:rPr>
              <w:t xml:space="preserve">45 -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التِّجَارَةِ</w:t>
            </w:r>
            <w:r w:rsidR="00794BCA" w:rsidRPr="00241F4B">
              <w:rPr>
                <w:rStyle w:val="Hyperlink"/>
                <w:noProof/>
                <w:rtl/>
                <w:lang w:bidi="fa-IR"/>
              </w:rPr>
              <w:t xml:space="preserve"> </w:t>
            </w:r>
            <w:r w:rsidR="00794BCA" w:rsidRPr="00241F4B">
              <w:rPr>
                <w:rStyle w:val="Hyperlink"/>
                <w:rFonts w:hint="eastAsia"/>
                <w:noProof/>
                <w:rtl/>
                <w:lang w:bidi="fa-IR"/>
              </w:rPr>
              <w:t>فِي</w:t>
            </w:r>
            <w:r w:rsidR="00794BCA" w:rsidRPr="00241F4B">
              <w:rPr>
                <w:rStyle w:val="Hyperlink"/>
                <w:noProof/>
                <w:rtl/>
                <w:lang w:bidi="fa-IR"/>
              </w:rPr>
              <w:t xml:space="preserve"> </w:t>
            </w:r>
            <w:r w:rsidR="00794BCA" w:rsidRPr="00241F4B">
              <w:rPr>
                <w:rStyle w:val="Hyperlink"/>
                <w:rFonts w:hint="eastAsia"/>
                <w:noProof/>
                <w:rtl/>
                <w:lang w:bidi="fa-IR"/>
              </w:rPr>
              <w:t>مَالِ</w:t>
            </w:r>
            <w:r w:rsidR="00794BCA" w:rsidRPr="00241F4B">
              <w:rPr>
                <w:rStyle w:val="Hyperlink"/>
                <w:noProof/>
                <w:rtl/>
                <w:lang w:bidi="fa-IR"/>
              </w:rPr>
              <w:t xml:space="preserve"> </w:t>
            </w:r>
            <w:r w:rsidR="00794BCA" w:rsidRPr="00241F4B">
              <w:rPr>
                <w:rStyle w:val="Hyperlink"/>
                <w:rFonts w:hint="eastAsia"/>
                <w:noProof/>
                <w:rtl/>
                <w:lang w:bidi="fa-IR"/>
              </w:rPr>
              <w:t>الْيَتِيمِ</w:t>
            </w:r>
            <w:r w:rsidR="00794BCA" w:rsidRPr="00241F4B">
              <w:rPr>
                <w:rStyle w:val="Hyperlink"/>
                <w:noProof/>
                <w:rtl/>
                <w:lang w:bidi="fa-IR"/>
              </w:rPr>
              <w:t xml:space="preserve"> </w:t>
            </w:r>
            <w:r w:rsidR="00794BCA" w:rsidRPr="00241F4B">
              <w:rPr>
                <w:rStyle w:val="Hyperlink"/>
                <w:rFonts w:hint="eastAsia"/>
                <w:noProof/>
                <w:rtl/>
                <w:lang w:bidi="fa-IR"/>
              </w:rPr>
              <w:t>وَالْقَرْضِ</w:t>
            </w:r>
            <w:r w:rsidR="00794BCA" w:rsidRPr="00241F4B">
              <w:rPr>
                <w:rStyle w:val="Hyperlink"/>
                <w:noProof/>
                <w:rtl/>
                <w:lang w:bidi="fa-IR"/>
              </w:rPr>
              <w:t xml:space="preserve"> </w:t>
            </w:r>
            <w:r w:rsidR="00794BCA" w:rsidRPr="00241F4B">
              <w:rPr>
                <w:rStyle w:val="Hyperlink"/>
                <w:rFonts w:hint="eastAsia"/>
                <w:noProof/>
                <w:rtl/>
                <w:lang w:bidi="fa-IR"/>
              </w:rPr>
              <w:t>مِنْهُ‌</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49261466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702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7" w:history="1">
            <w:r w:rsidR="00794BCA" w:rsidRPr="00241F4B">
              <w:rPr>
                <w:rStyle w:val="Hyperlink"/>
                <w:noProof/>
                <w:rtl/>
                <w:lang w:bidi="fa-IR"/>
              </w:rPr>
              <w:t xml:space="preserve">46 -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أَدَاءِ</w:t>
            </w:r>
            <w:r w:rsidR="00794BCA" w:rsidRPr="00241F4B">
              <w:rPr>
                <w:rStyle w:val="Hyperlink"/>
                <w:noProof/>
                <w:rtl/>
                <w:lang w:bidi="fa-IR"/>
              </w:rPr>
              <w:t xml:space="preserve"> </w:t>
            </w:r>
            <w:r w:rsidR="00794BCA" w:rsidRPr="00241F4B">
              <w:rPr>
                <w:rStyle w:val="Hyperlink"/>
                <w:rFonts w:hint="eastAsia"/>
                <w:noProof/>
                <w:rtl/>
                <w:lang w:bidi="fa-IR"/>
              </w:rPr>
              <w:t>الْأَمَانَةِ‌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49261467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708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8" w:history="1">
            <w:r w:rsidR="00794BCA" w:rsidRPr="00241F4B">
              <w:rPr>
                <w:rStyle w:val="Hyperlink"/>
                <w:noProof/>
                <w:rtl/>
                <w:lang w:bidi="fa-IR"/>
              </w:rPr>
              <w:t xml:space="preserve">47 -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يَأْخُذُ</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مَالِ</w:t>
            </w:r>
            <w:r w:rsidR="00794BCA" w:rsidRPr="00241F4B">
              <w:rPr>
                <w:rStyle w:val="Hyperlink"/>
                <w:noProof/>
                <w:rtl/>
                <w:lang w:bidi="fa-IR"/>
              </w:rPr>
              <w:t xml:space="preserve"> </w:t>
            </w:r>
            <w:r w:rsidR="00794BCA" w:rsidRPr="00241F4B">
              <w:rPr>
                <w:rStyle w:val="Hyperlink"/>
                <w:rFonts w:hint="eastAsia"/>
                <w:noProof/>
                <w:rtl/>
                <w:lang w:bidi="fa-IR"/>
              </w:rPr>
              <w:t>وَلَدِهِ</w:t>
            </w:r>
            <w:r w:rsidR="00794BCA" w:rsidRPr="00241F4B">
              <w:rPr>
                <w:rStyle w:val="Hyperlink"/>
                <w:noProof/>
                <w:rtl/>
                <w:lang w:bidi="fa-IR"/>
              </w:rPr>
              <w:t xml:space="preserve"> </w:t>
            </w:r>
            <w:r w:rsidR="00794BCA" w:rsidRPr="00241F4B">
              <w:rPr>
                <w:rStyle w:val="Hyperlink"/>
                <w:rFonts w:hint="eastAsia"/>
                <w:noProof/>
                <w:rtl/>
                <w:lang w:bidi="fa-IR"/>
              </w:rPr>
              <w:t>وَالْوَلَدِ</w:t>
            </w:r>
            <w:r w:rsidR="00794BCA" w:rsidRPr="00241F4B">
              <w:rPr>
                <w:rStyle w:val="Hyperlink"/>
                <w:noProof/>
                <w:rtl/>
                <w:lang w:bidi="fa-IR"/>
              </w:rPr>
              <w:t xml:space="preserve"> </w:t>
            </w:r>
            <w:r w:rsidR="00794BCA" w:rsidRPr="00241F4B">
              <w:rPr>
                <w:rStyle w:val="Hyperlink"/>
                <w:rFonts w:hint="eastAsia"/>
                <w:noProof/>
                <w:rtl/>
                <w:lang w:bidi="fa-IR"/>
              </w:rPr>
              <w:t>يَأْخُذُ</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مَالِ</w:t>
            </w:r>
            <w:r w:rsidR="00794BCA" w:rsidRPr="00241F4B">
              <w:rPr>
                <w:rStyle w:val="Hyperlink"/>
                <w:noProof/>
                <w:rtl/>
                <w:lang w:bidi="fa-IR"/>
              </w:rPr>
              <w:t xml:space="preserve"> </w:t>
            </w:r>
            <w:r w:rsidR="00794BCA" w:rsidRPr="00241F4B">
              <w:rPr>
                <w:rStyle w:val="Hyperlink"/>
                <w:rFonts w:hint="eastAsia"/>
                <w:noProof/>
                <w:rtl/>
                <w:lang w:bidi="fa-IR"/>
              </w:rPr>
              <w:t>أَبِيهِ</w:t>
            </w:r>
            <w:r w:rsidR="00794BCA" w:rsidRPr="00241F4B">
              <w:rPr>
                <w:rStyle w:val="Hyperlink"/>
                <w:noProof/>
                <w:rtl/>
                <w:lang w:bidi="fa-IR"/>
              </w:rPr>
              <w:t xml:space="preserve"> </w:t>
            </w:r>
            <w:r w:rsidR="00794BCA" w:rsidRPr="00241F4B">
              <w:rPr>
                <w:rStyle w:val="Hyperlink"/>
                <w:noProof/>
                <w:vertAlign w:val="superscript"/>
                <w:rtl/>
              </w:rPr>
              <w:t>(5)</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49261468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717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69" w:history="1">
            <w:r w:rsidR="00794BCA" w:rsidRPr="00241F4B">
              <w:rPr>
                <w:rStyle w:val="Hyperlink"/>
                <w:noProof/>
                <w:rtl/>
                <w:lang w:bidi="fa-IR"/>
              </w:rPr>
              <w:t xml:space="preserve">48 -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يَأْخُذُ</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مَالِ</w:t>
            </w:r>
            <w:r w:rsidR="00794BCA" w:rsidRPr="00241F4B">
              <w:rPr>
                <w:rStyle w:val="Hyperlink"/>
                <w:noProof/>
                <w:rtl/>
                <w:lang w:bidi="fa-IR"/>
              </w:rPr>
              <w:t xml:space="preserve"> </w:t>
            </w:r>
            <w:r w:rsidR="00794BCA" w:rsidRPr="00241F4B">
              <w:rPr>
                <w:rStyle w:val="Hyperlink"/>
                <w:rFonts w:hint="eastAsia"/>
                <w:noProof/>
                <w:rtl/>
                <w:lang w:bidi="fa-IR"/>
              </w:rPr>
              <w:t>امْرَأَتِهِ</w:t>
            </w:r>
            <w:r w:rsidR="00794BCA" w:rsidRPr="00241F4B">
              <w:rPr>
                <w:rStyle w:val="Hyperlink"/>
                <w:noProof/>
                <w:rtl/>
                <w:lang w:bidi="fa-IR"/>
              </w:rPr>
              <w:t xml:space="preserve"> </w:t>
            </w:r>
            <w:r w:rsidR="00794BCA" w:rsidRPr="00241F4B">
              <w:rPr>
                <w:rStyle w:val="Hyperlink"/>
                <w:noProof/>
                <w:vertAlign w:val="superscript"/>
                <w:rtl/>
              </w:rPr>
              <w:t>(1)</w:t>
            </w:r>
            <w:r w:rsidR="00794BCA" w:rsidRPr="00241F4B">
              <w:rPr>
                <w:rStyle w:val="Hyperlink"/>
                <w:noProof/>
                <w:rtl/>
                <w:lang w:bidi="fa-IR"/>
              </w:rPr>
              <w:t xml:space="preserve"> </w:t>
            </w:r>
            <w:r w:rsidR="00794BCA" w:rsidRPr="00241F4B">
              <w:rPr>
                <w:rStyle w:val="Hyperlink"/>
                <w:rFonts w:hint="eastAsia"/>
                <w:noProof/>
                <w:rtl/>
                <w:lang w:bidi="fa-IR"/>
              </w:rPr>
              <w:t>وَالْمَرْأَةِ</w:t>
            </w:r>
            <w:r w:rsidR="00794BCA" w:rsidRPr="00241F4B">
              <w:rPr>
                <w:rStyle w:val="Hyperlink"/>
                <w:noProof/>
                <w:rtl/>
                <w:lang w:bidi="fa-IR"/>
              </w:rPr>
              <w:t xml:space="preserve"> </w:t>
            </w:r>
            <w:r w:rsidR="00794BCA" w:rsidRPr="00241F4B">
              <w:rPr>
                <w:rStyle w:val="Hyperlink"/>
                <w:rFonts w:hint="eastAsia"/>
                <w:noProof/>
                <w:rtl/>
                <w:lang w:bidi="fa-IR"/>
              </w:rPr>
              <w:t>تَأْخُذُ</w:t>
            </w:r>
            <w:r w:rsidR="00794BCA" w:rsidRPr="00241F4B">
              <w:rPr>
                <w:rStyle w:val="Hyperlink"/>
                <w:noProof/>
                <w:rtl/>
                <w:lang w:bidi="fa-IR"/>
              </w:rPr>
              <w:t xml:space="preserve"> </w:t>
            </w:r>
            <w:r w:rsidR="00794BCA" w:rsidRPr="00241F4B">
              <w:rPr>
                <w:rStyle w:val="Hyperlink"/>
                <w:rFonts w:hint="eastAsia"/>
                <w:noProof/>
                <w:rtl/>
                <w:lang w:bidi="fa-IR"/>
              </w:rPr>
              <w:t>مِنْ</w:t>
            </w:r>
            <w:r w:rsidR="00794BCA" w:rsidRPr="00241F4B">
              <w:rPr>
                <w:rStyle w:val="Hyperlink"/>
                <w:noProof/>
                <w:rtl/>
                <w:lang w:bidi="fa-IR"/>
              </w:rPr>
              <w:t xml:space="preserve"> </w:t>
            </w:r>
            <w:r w:rsidR="00794BCA" w:rsidRPr="00241F4B">
              <w:rPr>
                <w:rStyle w:val="Hyperlink"/>
                <w:rFonts w:hint="eastAsia"/>
                <w:noProof/>
                <w:rtl/>
                <w:lang w:bidi="fa-IR"/>
              </w:rPr>
              <w:t>مَالِ</w:t>
            </w:r>
            <w:r w:rsidR="00794BCA" w:rsidRPr="00241F4B">
              <w:rPr>
                <w:rStyle w:val="Hyperlink"/>
                <w:noProof/>
                <w:rtl/>
                <w:lang w:bidi="fa-IR"/>
              </w:rPr>
              <w:t xml:space="preserve"> </w:t>
            </w:r>
            <w:r w:rsidR="00794BCA" w:rsidRPr="00241F4B">
              <w:rPr>
                <w:rStyle w:val="Hyperlink"/>
                <w:rFonts w:hint="eastAsia"/>
                <w:noProof/>
                <w:rtl/>
                <w:lang w:bidi="fa-IR"/>
              </w:rPr>
              <w:t>زَوْجِهَا‌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49261469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721</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70" w:history="1">
            <w:r w:rsidR="00794BCA" w:rsidRPr="00241F4B">
              <w:rPr>
                <w:rStyle w:val="Hyperlink"/>
                <w:noProof/>
                <w:rtl/>
                <w:lang w:bidi="fa-IR"/>
              </w:rPr>
              <w:t xml:space="preserve">49 -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اللُّقَطَةِ</w:t>
            </w:r>
            <w:r w:rsidR="00794BCA" w:rsidRPr="00241F4B">
              <w:rPr>
                <w:rStyle w:val="Hyperlink"/>
                <w:noProof/>
                <w:rtl/>
                <w:lang w:bidi="fa-IR"/>
              </w:rPr>
              <w:t xml:space="preserve"> </w:t>
            </w:r>
            <w:r w:rsidR="00794BCA" w:rsidRPr="00241F4B">
              <w:rPr>
                <w:rStyle w:val="Hyperlink"/>
                <w:noProof/>
                <w:vertAlign w:val="superscript"/>
                <w:rtl/>
              </w:rPr>
              <w:t>(13)</w:t>
            </w:r>
            <w:r w:rsidR="00794BCA" w:rsidRPr="00241F4B">
              <w:rPr>
                <w:rStyle w:val="Hyperlink"/>
                <w:noProof/>
                <w:rtl/>
                <w:lang w:bidi="fa-IR"/>
              </w:rPr>
              <w:t xml:space="preserve"> </w:t>
            </w:r>
            <w:r w:rsidR="00794BCA" w:rsidRPr="00241F4B">
              <w:rPr>
                <w:rStyle w:val="Hyperlink"/>
                <w:rFonts w:hint="eastAsia"/>
                <w:noProof/>
                <w:rtl/>
                <w:lang w:bidi="fa-IR"/>
              </w:rPr>
              <w:t>وَالضَّالَّةِ‌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49261470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722</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71" w:history="1">
            <w:r w:rsidR="00794BCA" w:rsidRPr="00241F4B">
              <w:rPr>
                <w:rStyle w:val="Hyperlink"/>
                <w:noProof/>
                <w:rtl/>
                <w:lang w:bidi="fa-IR"/>
              </w:rPr>
              <w:t xml:space="preserve">50 -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الْهَدِيَّةِ‌</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49261471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738</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72" w:history="1">
            <w:r w:rsidR="00794BCA" w:rsidRPr="00241F4B">
              <w:rPr>
                <w:rStyle w:val="Hyperlink"/>
                <w:noProof/>
                <w:rtl/>
                <w:lang w:bidi="fa-IR"/>
              </w:rPr>
              <w:t xml:space="preserve">51 -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الرِّبَا</w:t>
            </w:r>
            <w:r w:rsidR="00794BCA" w:rsidRPr="00241F4B">
              <w:rPr>
                <w:rStyle w:val="Hyperlink"/>
                <w:noProof/>
                <w:rtl/>
                <w:lang w:bidi="fa-IR"/>
              </w:rPr>
              <w:t xml:space="preserve"> </w:t>
            </w:r>
            <w:r w:rsidR="00794BCA" w:rsidRPr="00241F4B">
              <w:rPr>
                <w:rStyle w:val="Hyperlink"/>
                <w:noProof/>
                <w:vertAlign w:val="superscript"/>
                <w:rtl/>
              </w:rPr>
              <w:t>(3)</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49261472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747</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73" w:history="1">
            <w:r w:rsidR="00794BCA" w:rsidRPr="00241F4B">
              <w:rPr>
                <w:rStyle w:val="Hyperlink"/>
                <w:noProof/>
                <w:rtl/>
                <w:lang w:bidi="fa-IR"/>
              </w:rPr>
              <w:t xml:space="preserve">52 - </w:t>
            </w:r>
            <w:r w:rsidR="00794BCA" w:rsidRPr="00241F4B">
              <w:rPr>
                <w:rStyle w:val="Hyperlink"/>
                <w:rFonts w:hint="eastAsia"/>
                <w:noProof/>
                <w:rtl/>
                <w:lang w:bidi="fa-IR"/>
              </w:rPr>
              <w:t>بَابُ</w:t>
            </w:r>
            <w:r w:rsidR="00794BCA" w:rsidRPr="00241F4B">
              <w:rPr>
                <w:rStyle w:val="Hyperlink"/>
                <w:noProof/>
                <w:rtl/>
                <w:lang w:bidi="fa-IR"/>
              </w:rPr>
              <w:t xml:space="preserve"> </w:t>
            </w:r>
            <w:r w:rsidR="00794BCA" w:rsidRPr="00241F4B">
              <w:rPr>
                <w:rStyle w:val="Hyperlink"/>
                <w:rFonts w:hint="eastAsia"/>
                <w:noProof/>
                <w:rtl/>
                <w:lang w:bidi="fa-IR"/>
              </w:rPr>
              <w:t>أَنَّهُ</w:t>
            </w:r>
            <w:r w:rsidR="00794BCA" w:rsidRPr="00241F4B">
              <w:rPr>
                <w:rStyle w:val="Hyperlink"/>
                <w:noProof/>
                <w:rtl/>
                <w:lang w:bidi="fa-IR"/>
              </w:rPr>
              <w:t xml:space="preserve"> </w:t>
            </w:r>
            <w:r w:rsidR="00794BCA" w:rsidRPr="00241F4B">
              <w:rPr>
                <w:rStyle w:val="Hyperlink"/>
                <w:rFonts w:hint="eastAsia"/>
                <w:noProof/>
                <w:rtl/>
                <w:lang w:bidi="fa-IR"/>
              </w:rPr>
              <w:t>لَيْسَ</w:t>
            </w:r>
            <w:r w:rsidR="00794BCA" w:rsidRPr="00241F4B">
              <w:rPr>
                <w:rStyle w:val="Hyperlink"/>
                <w:noProof/>
                <w:rtl/>
                <w:lang w:bidi="fa-IR"/>
              </w:rPr>
              <w:t xml:space="preserve"> </w:t>
            </w:r>
            <w:r w:rsidR="00794BCA" w:rsidRPr="00241F4B">
              <w:rPr>
                <w:rStyle w:val="Hyperlink"/>
                <w:rFonts w:hint="eastAsia"/>
                <w:noProof/>
                <w:rtl/>
                <w:lang w:bidi="fa-IR"/>
              </w:rPr>
              <w:t>بَيْنَ</w:t>
            </w:r>
            <w:r w:rsidR="00794BCA" w:rsidRPr="00241F4B">
              <w:rPr>
                <w:rStyle w:val="Hyperlink"/>
                <w:noProof/>
                <w:rtl/>
                <w:lang w:bidi="fa-IR"/>
              </w:rPr>
              <w:t xml:space="preserve"> </w:t>
            </w:r>
            <w:r w:rsidR="00794BCA" w:rsidRPr="00241F4B">
              <w:rPr>
                <w:rStyle w:val="Hyperlink"/>
                <w:rFonts w:hint="eastAsia"/>
                <w:noProof/>
                <w:rtl/>
                <w:lang w:bidi="fa-IR"/>
              </w:rPr>
              <w:t>الرَّجُلِ</w:t>
            </w:r>
            <w:r w:rsidR="00794BCA" w:rsidRPr="00241F4B">
              <w:rPr>
                <w:rStyle w:val="Hyperlink"/>
                <w:noProof/>
                <w:rtl/>
                <w:lang w:bidi="fa-IR"/>
              </w:rPr>
              <w:t xml:space="preserve"> </w:t>
            </w:r>
            <w:r w:rsidR="00794BCA" w:rsidRPr="00241F4B">
              <w:rPr>
                <w:rStyle w:val="Hyperlink"/>
                <w:rFonts w:hint="eastAsia"/>
                <w:noProof/>
                <w:rtl/>
                <w:lang w:bidi="fa-IR"/>
              </w:rPr>
              <w:t>وَبَيْنَ</w:t>
            </w:r>
            <w:r w:rsidR="00794BCA" w:rsidRPr="00241F4B">
              <w:rPr>
                <w:rStyle w:val="Hyperlink"/>
                <w:noProof/>
                <w:rtl/>
                <w:lang w:bidi="fa-IR"/>
              </w:rPr>
              <w:t xml:space="preserve"> </w:t>
            </w:r>
            <w:r w:rsidR="00794BCA" w:rsidRPr="00241F4B">
              <w:rPr>
                <w:rStyle w:val="Hyperlink"/>
                <w:noProof/>
                <w:vertAlign w:val="superscript"/>
                <w:rtl/>
              </w:rPr>
              <w:t>(6)</w:t>
            </w:r>
            <w:r w:rsidR="00794BCA" w:rsidRPr="00241F4B">
              <w:rPr>
                <w:rStyle w:val="Hyperlink"/>
                <w:noProof/>
                <w:rtl/>
                <w:lang w:bidi="fa-IR"/>
              </w:rPr>
              <w:t xml:space="preserve"> </w:t>
            </w:r>
            <w:r w:rsidR="00794BCA" w:rsidRPr="00241F4B">
              <w:rPr>
                <w:rStyle w:val="Hyperlink"/>
                <w:rFonts w:hint="eastAsia"/>
                <w:noProof/>
                <w:rtl/>
                <w:lang w:bidi="fa-IR"/>
              </w:rPr>
              <w:t>وَلَدِهِ</w:t>
            </w:r>
            <w:r w:rsidR="00794BCA" w:rsidRPr="00241F4B">
              <w:rPr>
                <w:rStyle w:val="Hyperlink"/>
                <w:noProof/>
                <w:rtl/>
                <w:lang w:bidi="fa-IR"/>
              </w:rPr>
              <w:t xml:space="preserve"> </w:t>
            </w:r>
            <w:r w:rsidR="00794BCA" w:rsidRPr="00241F4B">
              <w:rPr>
                <w:rStyle w:val="Hyperlink"/>
                <w:rFonts w:hint="eastAsia"/>
                <w:noProof/>
                <w:rtl/>
                <w:lang w:bidi="fa-IR"/>
              </w:rPr>
              <w:t>وَمَا</w:t>
            </w:r>
            <w:r w:rsidR="00794BCA" w:rsidRPr="00241F4B">
              <w:rPr>
                <w:rStyle w:val="Hyperlink"/>
                <w:noProof/>
                <w:rtl/>
                <w:lang w:bidi="fa-IR"/>
              </w:rPr>
              <w:t xml:space="preserve"> </w:t>
            </w:r>
            <w:r w:rsidR="00794BCA" w:rsidRPr="00241F4B">
              <w:rPr>
                <w:rStyle w:val="Hyperlink"/>
                <w:rFonts w:hint="eastAsia"/>
                <w:noProof/>
                <w:rtl/>
                <w:lang w:bidi="fa-IR"/>
              </w:rPr>
              <w:t>يَمْلِكُهُ</w:t>
            </w:r>
            <w:r w:rsidR="00794BCA" w:rsidRPr="00241F4B">
              <w:rPr>
                <w:rStyle w:val="Hyperlink"/>
                <w:noProof/>
                <w:rtl/>
                <w:lang w:bidi="fa-IR"/>
              </w:rPr>
              <w:t xml:space="preserve"> </w:t>
            </w:r>
            <w:r w:rsidR="00794BCA" w:rsidRPr="00241F4B">
              <w:rPr>
                <w:rStyle w:val="Hyperlink"/>
                <w:rFonts w:hint="eastAsia"/>
                <w:noProof/>
                <w:rtl/>
                <w:lang w:bidi="fa-IR"/>
              </w:rPr>
              <w:t>رِبًا‌</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49261473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755</w:t>
            </w:r>
            <w:r w:rsidR="00794BCA">
              <w:rPr>
                <w:noProof/>
                <w:webHidden/>
                <w:rtl/>
              </w:rPr>
              <w:fldChar w:fldCharType="end"/>
            </w:r>
          </w:hyperlink>
        </w:p>
        <w:p w:rsidR="00794BCA" w:rsidRDefault="008D191A">
          <w:pPr>
            <w:pStyle w:val="TOC2"/>
            <w:tabs>
              <w:tab w:val="right" w:leader="dot" w:pos="7786"/>
            </w:tabs>
            <w:rPr>
              <w:rFonts w:asciiTheme="minorHAnsi" w:eastAsiaTheme="minorEastAsia" w:hAnsiTheme="minorHAnsi" w:cstheme="minorBidi"/>
              <w:noProof/>
              <w:color w:val="auto"/>
              <w:sz w:val="22"/>
              <w:szCs w:val="22"/>
              <w:rtl/>
            </w:rPr>
          </w:pPr>
          <w:hyperlink w:anchor="_Toc49261474" w:history="1">
            <w:r w:rsidR="00794BCA" w:rsidRPr="00241F4B">
              <w:rPr>
                <w:rStyle w:val="Hyperlink"/>
                <w:rFonts w:hint="eastAsia"/>
                <w:noProof/>
                <w:rtl/>
                <w:lang w:bidi="fa-IR"/>
              </w:rPr>
              <w:t>الفهرس</w:t>
            </w:r>
            <w:r w:rsidR="00794BCA">
              <w:rPr>
                <w:noProof/>
                <w:webHidden/>
                <w:rtl/>
              </w:rPr>
              <w:tab/>
            </w:r>
            <w:r w:rsidR="00794BCA">
              <w:rPr>
                <w:noProof/>
                <w:webHidden/>
                <w:rtl/>
              </w:rPr>
              <w:fldChar w:fldCharType="begin"/>
            </w:r>
            <w:r w:rsidR="00794BCA">
              <w:rPr>
                <w:noProof/>
                <w:webHidden/>
                <w:rtl/>
              </w:rPr>
              <w:instrText xml:space="preserve"> </w:instrText>
            </w:r>
            <w:r w:rsidR="00794BCA">
              <w:rPr>
                <w:noProof/>
                <w:webHidden/>
              </w:rPr>
              <w:instrText>PAGEREF</w:instrText>
            </w:r>
            <w:r w:rsidR="00794BCA">
              <w:rPr>
                <w:noProof/>
                <w:webHidden/>
                <w:rtl/>
              </w:rPr>
              <w:instrText xml:space="preserve"> _</w:instrText>
            </w:r>
            <w:r w:rsidR="00794BCA">
              <w:rPr>
                <w:noProof/>
                <w:webHidden/>
              </w:rPr>
              <w:instrText>Toc</w:instrText>
            </w:r>
            <w:r w:rsidR="00794BCA">
              <w:rPr>
                <w:noProof/>
                <w:webHidden/>
                <w:rtl/>
              </w:rPr>
              <w:instrText xml:space="preserve">49261474 </w:instrText>
            </w:r>
            <w:r w:rsidR="00794BCA">
              <w:rPr>
                <w:noProof/>
                <w:webHidden/>
              </w:rPr>
              <w:instrText>\h</w:instrText>
            </w:r>
            <w:r w:rsidR="00794BCA">
              <w:rPr>
                <w:noProof/>
                <w:webHidden/>
                <w:rtl/>
              </w:rPr>
              <w:instrText xml:space="preserve"> </w:instrText>
            </w:r>
            <w:r w:rsidR="00794BCA">
              <w:rPr>
                <w:noProof/>
                <w:webHidden/>
                <w:rtl/>
              </w:rPr>
            </w:r>
            <w:r w:rsidR="00794BCA">
              <w:rPr>
                <w:noProof/>
                <w:webHidden/>
                <w:rtl/>
              </w:rPr>
              <w:fldChar w:fldCharType="separate"/>
            </w:r>
            <w:r w:rsidR="00794BCA">
              <w:rPr>
                <w:noProof/>
                <w:webHidden/>
                <w:rtl/>
              </w:rPr>
              <w:t>759</w:t>
            </w:r>
            <w:r w:rsidR="00794BCA">
              <w:rPr>
                <w:noProof/>
                <w:webHidden/>
                <w:rtl/>
              </w:rPr>
              <w:fldChar w:fldCharType="end"/>
            </w:r>
          </w:hyperlink>
        </w:p>
        <w:p w:rsidR="00794BCA" w:rsidRDefault="00794BCA" w:rsidP="00794BCA">
          <w:pPr>
            <w:pStyle w:val="libNormal"/>
          </w:pPr>
          <w:r>
            <w:fldChar w:fldCharType="end"/>
          </w:r>
        </w:p>
      </w:sdtContent>
    </w:sdt>
    <w:sectPr w:rsidR="00794BCA" w:rsidSect="007148AF">
      <w:footerReference w:type="even" r:id="rId10"/>
      <w:footerReference w:type="default" r:id="rId11"/>
      <w:footerReference w:type="first" r:id="rId12"/>
      <w:type w:val="continuous"/>
      <w:pgSz w:w="11907" w:h="16840" w:code="9"/>
      <w:pgMar w:top="1701" w:right="1984" w:bottom="1701" w:left="2127" w:header="720"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F49" w:rsidRDefault="00F25F49">
      <w:r>
        <w:separator/>
      </w:r>
    </w:p>
  </w:endnote>
  <w:endnote w:type="continuationSeparator" w:id="0">
    <w:p w:rsidR="00F25F49" w:rsidRDefault="00F2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FGQPC Uthman Taha Naskh">
    <w:altName w:val="Times New Roman"/>
    <w:charset w:val="B2"/>
    <w:family w:val="auto"/>
    <w:pitch w:val="variable"/>
    <w:sig w:usb0="00002000" w:usb1="90000000" w:usb2="00000008" w:usb3="00000000" w:csb0="00000040"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0F1" w:rsidRPr="00460435" w:rsidRDefault="00EE40F1"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D191A">
      <w:rPr>
        <w:rFonts w:ascii="Traditional Arabic" w:hAnsi="Traditional Arabic"/>
        <w:noProof/>
        <w:sz w:val="28"/>
        <w:szCs w:val="28"/>
        <w:rtl/>
      </w:rPr>
      <w:t>158</w:t>
    </w:r>
    <w:r w:rsidRPr="00460435">
      <w:rPr>
        <w:rFonts w:ascii="Traditional Arabic" w:hAnsi="Traditional Arabic"/>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0F1" w:rsidRPr="00460435" w:rsidRDefault="00EE40F1"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D191A">
      <w:rPr>
        <w:rFonts w:ascii="Traditional Arabic" w:hAnsi="Traditional Arabic"/>
        <w:noProof/>
        <w:sz w:val="28"/>
        <w:szCs w:val="28"/>
        <w:rtl/>
      </w:rPr>
      <w:t>159</w:t>
    </w:r>
    <w:r w:rsidRPr="00460435">
      <w:rPr>
        <w:rFonts w:ascii="Traditional Arabic" w:hAnsi="Traditional Arabic"/>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0F1" w:rsidRPr="00460435" w:rsidRDefault="00EE40F1" w:rsidP="00163A74">
    <w:pPr>
      <w:bidi/>
      <w:jc w:val="center"/>
      <w:rPr>
        <w:rFonts w:ascii="Traditional Arabic" w:hAnsi="Traditional Arabic"/>
        <w:sz w:val="28"/>
        <w:szCs w:val="28"/>
      </w:rPr>
    </w:pPr>
    <w:r w:rsidRPr="00460435">
      <w:rPr>
        <w:rFonts w:ascii="Traditional Arabic" w:hAnsi="Traditional Arabic"/>
        <w:sz w:val="28"/>
        <w:szCs w:val="28"/>
      </w:rPr>
      <w:fldChar w:fldCharType="begin"/>
    </w:r>
    <w:r w:rsidRPr="00460435">
      <w:rPr>
        <w:rFonts w:ascii="Traditional Arabic" w:hAnsi="Traditional Arabic"/>
        <w:sz w:val="28"/>
        <w:szCs w:val="28"/>
      </w:rPr>
      <w:instrText xml:space="preserve"> PAGE   \* MERGEFORMAT </w:instrText>
    </w:r>
    <w:r w:rsidRPr="00460435">
      <w:rPr>
        <w:rFonts w:ascii="Traditional Arabic" w:hAnsi="Traditional Arabic"/>
        <w:sz w:val="28"/>
        <w:szCs w:val="28"/>
      </w:rPr>
      <w:fldChar w:fldCharType="separate"/>
    </w:r>
    <w:r w:rsidR="008D191A">
      <w:rPr>
        <w:rFonts w:ascii="Traditional Arabic" w:hAnsi="Traditional Arabic"/>
        <w:noProof/>
        <w:sz w:val="28"/>
        <w:szCs w:val="28"/>
        <w:rtl/>
      </w:rPr>
      <w:t>1</w:t>
    </w:r>
    <w:r w:rsidRPr="00460435">
      <w:rPr>
        <w:rFonts w:ascii="Traditional Arabic" w:hAnsi="Traditional Arabic"/>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F49" w:rsidRDefault="00F25F49">
      <w:r>
        <w:separator/>
      </w:r>
    </w:p>
  </w:footnote>
  <w:footnote w:type="continuationSeparator" w:id="0">
    <w:p w:rsidR="00F25F49" w:rsidRDefault="00F25F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FFFFFF7D"/>
    <w:multiLevelType w:val="singleLevel"/>
    <w:tmpl w:val="C01C6EDE"/>
    <w:lvl w:ilvl="0">
      <w:start w:val="1"/>
      <w:numFmt w:val="decimal"/>
      <w:lvlText w:val="%1."/>
      <w:lvlJc w:val="left"/>
      <w:pPr>
        <w:tabs>
          <w:tab w:val="num" w:pos="1440"/>
        </w:tabs>
        <w:ind w:left="1440" w:hanging="360"/>
      </w:pPr>
    </w:lvl>
  </w:abstractNum>
  <w:abstractNum w:abstractNumId="2">
    <w:nsid w:val="FFFFFF7E"/>
    <w:multiLevelType w:val="singleLevel"/>
    <w:tmpl w:val="D32CC316"/>
    <w:lvl w:ilvl="0">
      <w:start w:val="1"/>
      <w:numFmt w:val="decimal"/>
      <w:lvlText w:val="%1."/>
      <w:lvlJc w:val="left"/>
      <w:pPr>
        <w:tabs>
          <w:tab w:val="num" w:pos="1080"/>
        </w:tabs>
        <w:ind w:left="1080" w:hanging="360"/>
      </w:pPr>
    </w:lvl>
  </w:abstractNum>
  <w:abstractNum w:abstractNumId="3">
    <w:nsid w:val="FFFFFF7F"/>
    <w:multiLevelType w:val="singleLevel"/>
    <w:tmpl w:val="391EAAF8"/>
    <w:lvl w:ilvl="0">
      <w:start w:val="1"/>
      <w:numFmt w:val="decimal"/>
      <w:lvlText w:val="%1."/>
      <w:lvlJc w:val="left"/>
      <w:pPr>
        <w:tabs>
          <w:tab w:val="num" w:pos="720"/>
        </w:tabs>
        <w:ind w:left="720" w:hanging="360"/>
      </w:pPr>
    </w:lvl>
  </w:abstractNum>
  <w:abstractNum w:abstractNumId="4">
    <w:nsid w:val="FFFFFF80"/>
    <w:multiLevelType w:val="singleLevel"/>
    <w:tmpl w:val="182212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01C195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93AE9E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682C76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64B02C66"/>
    <w:lvl w:ilvl="0">
      <w:start w:val="1"/>
      <w:numFmt w:val="decimal"/>
      <w:lvlText w:val="%1."/>
      <w:lvlJc w:val="left"/>
      <w:pPr>
        <w:tabs>
          <w:tab w:val="num" w:pos="360"/>
        </w:tabs>
        <w:ind w:left="360" w:hanging="360"/>
      </w:pPr>
    </w:lvl>
  </w:abstractNum>
  <w:abstractNum w:abstractNumId="9">
    <w:nsid w:val="FFFFFF89"/>
    <w:multiLevelType w:val="singleLevel"/>
    <w:tmpl w:val="7096B7AE"/>
    <w:lvl w:ilvl="0">
      <w:start w:val="1"/>
      <w:numFmt w:val="bullet"/>
      <w:lvlText w:val=""/>
      <w:lvlJc w:val="left"/>
      <w:pPr>
        <w:tabs>
          <w:tab w:val="num" w:pos="360"/>
        </w:tabs>
        <w:ind w:left="360" w:hanging="360"/>
      </w:pPr>
      <w:rPr>
        <w:rFonts w:ascii="Symbol" w:hAnsi="Symbol" w:hint="default"/>
      </w:rPr>
    </w:lvl>
  </w:abstractNum>
  <w:abstractNum w:abstractNumId="10">
    <w:nsid w:val="0469638D"/>
    <w:multiLevelType w:val="hybridMultilevel"/>
    <w:tmpl w:val="F4DEA852"/>
    <w:lvl w:ilvl="0" w:tplc="04D845A4">
      <w:start w:val="219"/>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213D5B55"/>
    <w:multiLevelType w:val="hybridMultilevel"/>
    <w:tmpl w:val="F82AE450"/>
    <w:lvl w:ilvl="0" w:tplc="AF40A84C">
      <w:start w:val="16"/>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444F55C5"/>
    <w:multiLevelType w:val="hybridMultilevel"/>
    <w:tmpl w:val="4AB46016"/>
    <w:lvl w:ilvl="0" w:tplc="64F473CE">
      <w:start w:val="454"/>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3">
    <w:nsid w:val="51FB5FD1"/>
    <w:multiLevelType w:val="hybridMultilevel"/>
    <w:tmpl w:val="62D61C10"/>
    <w:lvl w:ilvl="0" w:tplc="92369E40">
      <w:numFmt w:val="bullet"/>
      <w:lvlText w:val=""/>
      <w:lvlJc w:val="left"/>
      <w:pPr>
        <w:ind w:left="927" w:hanging="360"/>
      </w:pPr>
      <w:rPr>
        <w:rFonts w:ascii="Symbol" w:eastAsia="Times New Roman" w:hAnsi="Symbol" w:cs="Traditional Arabic"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nsid w:val="77832EA8"/>
    <w:multiLevelType w:val="hybridMultilevel"/>
    <w:tmpl w:val="15A0F6B4"/>
    <w:lvl w:ilvl="0" w:tplc="1FC8BDA0">
      <w:start w:val="452"/>
      <w:numFmt w:val="bullet"/>
      <w:lvlText w:val=""/>
      <w:lvlJc w:val="left"/>
      <w:pPr>
        <w:ind w:left="927" w:hanging="360"/>
      </w:pPr>
      <w:rPr>
        <w:rFonts w:ascii="Symbol" w:eastAsia="Times New Roman" w:hAnsi="Symbol" w:cs="Traditional Arabic" w:hint="default"/>
        <w:sz w:val="32"/>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11"/>
  </w:num>
  <w:num w:numId="12">
    <w:abstractNumId w:val="12"/>
  </w:num>
  <w:num w:numId="13">
    <w:abstractNumId w:val="10"/>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2"/>
  </w:compat>
  <w:rsids>
    <w:rsidRoot w:val="00A55A65"/>
    <w:rsid w:val="00000BDF"/>
    <w:rsid w:val="0000378D"/>
    <w:rsid w:val="00004035"/>
    <w:rsid w:val="000049D4"/>
    <w:rsid w:val="00004EBC"/>
    <w:rsid w:val="00005875"/>
    <w:rsid w:val="00005A19"/>
    <w:rsid w:val="00012577"/>
    <w:rsid w:val="00014662"/>
    <w:rsid w:val="0001470D"/>
    <w:rsid w:val="000147F6"/>
    <w:rsid w:val="00014823"/>
    <w:rsid w:val="000150ED"/>
    <w:rsid w:val="00015125"/>
    <w:rsid w:val="00016B59"/>
    <w:rsid w:val="00016C12"/>
    <w:rsid w:val="00017A82"/>
    <w:rsid w:val="00020068"/>
    <w:rsid w:val="0002276C"/>
    <w:rsid w:val="00022A32"/>
    <w:rsid w:val="00024D6D"/>
    <w:rsid w:val="00024DBC"/>
    <w:rsid w:val="00024FC3"/>
    <w:rsid w:val="000267A0"/>
    <w:rsid w:val="000267FE"/>
    <w:rsid w:val="000272E6"/>
    <w:rsid w:val="00027A36"/>
    <w:rsid w:val="00030BCF"/>
    <w:rsid w:val="00034DB7"/>
    <w:rsid w:val="00034EEE"/>
    <w:rsid w:val="0003551A"/>
    <w:rsid w:val="000365AC"/>
    <w:rsid w:val="000368BD"/>
    <w:rsid w:val="00037C2B"/>
    <w:rsid w:val="00037F23"/>
    <w:rsid w:val="00040798"/>
    <w:rsid w:val="00042DE2"/>
    <w:rsid w:val="00042F45"/>
    <w:rsid w:val="00043023"/>
    <w:rsid w:val="00043026"/>
    <w:rsid w:val="0004357A"/>
    <w:rsid w:val="00043589"/>
    <w:rsid w:val="00043E9A"/>
    <w:rsid w:val="00045B82"/>
    <w:rsid w:val="000475FD"/>
    <w:rsid w:val="00047F43"/>
    <w:rsid w:val="000506F0"/>
    <w:rsid w:val="00050C11"/>
    <w:rsid w:val="000522F1"/>
    <w:rsid w:val="00052F40"/>
    <w:rsid w:val="00052F52"/>
    <w:rsid w:val="000537B2"/>
    <w:rsid w:val="00054002"/>
    <w:rsid w:val="0005408A"/>
    <w:rsid w:val="00054406"/>
    <w:rsid w:val="00054EEF"/>
    <w:rsid w:val="000558D3"/>
    <w:rsid w:val="00057333"/>
    <w:rsid w:val="000578A3"/>
    <w:rsid w:val="000578D5"/>
    <w:rsid w:val="00057BA6"/>
    <w:rsid w:val="0006216A"/>
    <w:rsid w:val="0006272D"/>
    <w:rsid w:val="00062956"/>
    <w:rsid w:val="000633E4"/>
    <w:rsid w:val="0006379C"/>
    <w:rsid w:val="000651E1"/>
    <w:rsid w:val="00066218"/>
    <w:rsid w:val="00066C43"/>
    <w:rsid w:val="00066F8C"/>
    <w:rsid w:val="00067F84"/>
    <w:rsid w:val="0007157B"/>
    <w:rsid w:val="00071C97"/>
    <w:rsid w:val="00072F16"/>
    <w:rsid w:val="00073915"/>
    <w:rsid w:val="000742CA"/>
    <w:rsid w:val="00075807"/>
    <w:rsid w:val="0007613C"/>
    <w:rsid w:val="000761F7"/>
    <w:rsid w:val="00076A3A"/>
    <w:rsid w:val="00077163"/>
    <w:rsid w:val="00077CCA"/>
    <w:rsid w:val="00080897"/>
    <w:rsid w:val="00082843"/>
    <w:rsid w:val="00082D69"/>
    <w:rsid w:val="00082DFC"/>
    <w:rsid w:val="0008318E"/>
    <w:rsid w:val="000838BB"/>
    <w:rsid w:val="00083953"/>
    <w:rsid w:val="00084614"/>
    <w:rsid w:val="000859A1"/>
    <w:rsid w:val="0008609C"/>
    <w:rsid w:val="0009090A"/>
    <w:rsid w:val="00090987"/>
    <w:rsid w:val="000911BB"/>
    <w:rsid w:val="00091D76"/>
    <w:rsid w:val="000920E1"/>
    <w:rsid w:val="000926C3"/>
    <w:rsid w:val="00092805"/>
    <w:rsid w:val="00092A0C"/>
    <w:rsid w:val="0009364A"/>
    <w:rsid w:val="00094DE6"/>
    <w:rsid w:val="00095BA6"/>
    <w:rsid w:val="00095BF2"/>
    <w:rsid w:val="00096E64"/>
    <w:rsid w:val="00097CCA"/>
    <w:rsid w:val="00097FD0"/>
    <w:rsid w:val="000A04FC"/>
    <w:rsid w:val="000A0866"/>
    <w:rsid w:val="000A191C"/>
    <w:rsid w:val="000A3BCF"/>
    <w:rsid w:val="000A4E67"/>
    <w:rsid w:val="000A61F4"/>
    <w:rsid w:val="000A6273"/>
    <w:rsid w:val="000A7750"/>
    <w:rsid w:val="000A7EF5"/>
    <w:rsid w:val="000A7FBC"/>
    <w:rsid w:val="000B0BE6"/>
    <w:rsid w:val="000B1C3F"/>
    <w:rsid w:val="000B1D34"/>
    <w:rsid w:val="000B1F82"/>
    <w:rsid w:val="000B2E78"/>
    <w:rsid w:val="000B3A56"/>
    <w:rsid w:val="000B4F0E"/>
    <w:rsid w:val="000B570E"/>
    <w:rsid w:val="000B624D"/>
    <w:rsid w:val="000C0819"/>
    <w:rsid w:val="000C0A89"/>
    <w:rsid w:val="000C0DF7"/>
    <w:rsid w:val="000C14A5"/>
    <w:rsid w:val="000C180B"/>
    <w:rsid w:val="000C41B6"/>
    <w:rsid w:val="000C7722"/>
    <w:rsid w:val="000C7996"/>
    <w:rsid w:val="000D0932"/>
    <w:rsid w:val="000D0A7A"/>
    <w:rsid w:val="000D0FE3"/>
    <w:rsid w:val="000D1BDF"/>
    <w:rsid w:val="000D3A3C"/>
    <w:rsid w:val="000D4704"/>
    <w:rsid w:val="000D4AED"/>
    <w:rsid w:val="000D71B7"/>
    <w:rsid w:val="000E0153"/>
    <w:rsid w:val="000E07C4"/>
    <w:rsid w:val="000E1D61"/>
    <w:rsid w:val="000E3F3D"/>
    <w:rsid w:val="000E46E9"/>
    <w:rsid w:val="000E63CB"/>
    <w:rsid w:val="000E6824"/>
    <w:rsid w:val="000E682B"/>
    <w:rsid w:val="000E77FC"/>
    <w:rsid w:val="000F0198"/>
    <w:rsid w:val="000F1F51"/>
    <w:rsid w:val="000F2140"/>
    <w:rsid w:val="000F28D7"/>
    <w:rsid w:val="000F2D97"/>
    <w:rsid w:val="000F34CF"/>
    <w:rsid w:val="000F35CE"/>
    <w:rsid w:val="000F3C69"/>
    <w:rsid w:val="000F3F68"/>
    <w:rsid w:val="000F43CB"/>
    <w:rsid w:val="000F4D62"/>
    <w:rsid w:val="000F6800"/>
    <w:rsid w:val="000F7CEC"/>
    <w:rsid w:val="00100073"/>
    <w:rsid w:val="0010049D"/>
    <w:rsid w:val="00103118"/>
    <w:rsid w:val="0010315B"/>
    <w:rsid w:val="001033B6"/>
    <w:rsid w:val="00103495"/>
    <w:rsid w:val="001034BD"/>
    <w:rsid w:val="001034D3"/>
    <w:rsid w:val="00103C79"/>
    <w:rsid w:val="00104041"/>
    <w:rsid w:val="0010520C"/>
    <w:rsid w:val="001055A6"/>
    <w:rsid w:val="00107175"/>
    <w:rsid w:val="00107A04"/>
    <w:rsid w:val="00107A6B"/>
    <w:rsid w:val="001106A5"/>
    <w:rsid w:val="001116AA"/>
    <w:rsid w:val="00111AE3"/>
    <w:rsid w:val="0011352E"/>
    <w:rsid w:val="00113B0B"/>
    <w:rsid w:val="00113B39"/>
    <w:rsid w:val="00113CCC"/>
    <w:rsid w:val="0011503E"/>
    <w:rsid w:val="00115473"/>
    <w:rsid w:val="00115A71"/>
    <w:rsid w:val="00115C68"/>
    <w:rsid w:val="001162C9"/>
    <w:rsid w:val="00116C72"/>
    <w:rsid w:val="001174C6"/>
    <w:rsid w:val="001177B8"/>
    <w:rsid w:val="0012064D"/>
    <w:rsid w:val="00121459"/>
    <w:rsid w:val="00122468"/>
    <w:rsid w:val="00122492"/>
    <w:rsid w:val="0012259C"/>
    <w:rsid w:val="0012268F"/>
    <w:rsid w:val="00122ACD"/>
    <w:rsid w:val="0012315E"/>
    <w:rsid w:val="001243ED"/>
    <w:rsid w:val="00126471"/>
    <w:rsid w:val="00126783"/>
    <w:rsid w:val="00131955"/>
    <w:rsid w:val="00132ED1"/>
    <w:rsid w:val="00133F1C"/>
    <w:rsid w:val="00133F25"/>
    <w:rsid w:val="001342EC"/>
    <w:rsid w:val="0013596A"/>
    <w:rsid w:val="00135E90"/>
    <w:rsid w:val="00136268"/>
    <w:rsid w:val="0013645F"/>
    <w:rsid w:val="00136E25"/>
    <w:rsid w:val="00136E6F"/>
    <w:rsid w:val="00136FE7"/>
    <w:rsid w:val="0013752C"/>
    <w:rsid w:val="001376DB"/>
    <w:rsid w:val="00137FA0"/>
    <w:rsid w:val="00140899"/>
    <w:rsid w:val="00141884"/>
    <w:rsid w:val="00142ED2"/>
    <w:rsid w:val="0014341C"/>
    <w:rsid w:val="001435E0"/>
    <w:rsid w:val="00143B4F"/>
    <w:rsid w:val="00143DF9"/>
    <w:rsid w:val="00143EEA"/>
    <w:rsid w:val="001443F4"/>
    <w:rsid w:val="00144C9D"/>
    <w:rsid w:val="00144FA6"/>
    <w:rsid w:val="00145A3E"/>
    <w:rsid w:val="00146E0D"/>
    <w:rsid w:val="00147ED8"/>
    <w:rsid w:val="00150943"/>
    <w:rsid w:val="0015125F"/>
    <w:rsid w:val="00151C03"/>
    <w:rsid w:val="001528C8"/>
    <w:rsid w:val="00152ED4"/>
    <w:rsid w:val="001531AC"/>
    <w:rsid w:val="00153917"/>
    <w:rsid w:val="0015412B"/>
    <w:rsid w:val="00155822"/>
    <w:rsid w:val="00155C36"/>
    <w:rsid w:val="00156A30"/>
    <w:rsid w:val="00157306"/>
    <w:rsid w:val="001573FE"/>
    <w:rsid w:val="0015743E"/>
    <w:rsid w:val="00160F76"/>
    <w:rsid w:val="00161012"/>
    <w:rsid w:val="00163187"/>
    <w:rsid w:val="00163437"/>
    <w:rsid w:val="00163A74"/>
    <w:rsid w:val="00163D83"/>
    <w:rsid w:val="00164767"/>
    <w:rsid w:val="00164810"/>
    <w:rsid w:val="00164A81"/>
    <w:rsid w:val="00164B90"/>
    <w:rsid w:val="0016561F"/>
    <w:rsid w:val="00166DF6"/>
    <w:rsid w:val="00166EF7"/>
    <w:rsid w:val="0016725A"/>
    <w:rsid w:val="00167895"/>
    <w:rsid w:val="001679C1"/>
    <w:rsid w:val="0017094E"/>
    <w:rsid w:val="0017097C"/>
    <w:rsid w:val="001712E1"/>
    <w:rsid w:val="00171CF7"/>
    <w:rsid w:val="0017280D"/>
    <w:rsid w:val="001756FD"/>
    <w:rsid w:val="0017595C"/>
    <w:rsid w:val="001767EE"/>
    <w:rsid w:val="00176E5E"/>
    <w:rsid w:val="00176EC0"/>
    <w:rsid w:val="001773B3"/>
    <w:rsid w:val="00177513"/>
    <w:rsid w:val="0017751E"/>
    <w:rsid w:val="00177D89"/>
    <w:rsid w:val="001807D1"/>
    <w:rsid w:val="00181544"/>
    <w:rsid w:val="001819F9"/>
    <w:rsid w:val="00182258"/>
    <w:rsid w:val="00182CD3"/>
    <w:rsid w:val="00182DAC"/>
    <w:rsid w:val="0018371C"/>
    <w:rsid w:val="00183778"/>
    <w:rsid w:val="00184075"/>
    <w:rsid w:val="0018603A"/>
    <w:rsid w:val="0018664D"/>
    <w:rsid w:val="00186B8F"/>
    <w:rsid w:val="00187017"/>
    <w:rsid w:val="00187246"/>
    <w:rsid w:val="00190C4A"/>
    <w:rsid w:val="001912A6"/>
    <w:rsid w:val="001927E6"/>
    <w:rsid w:val="001937F7"/>
    <w:rsid w:val="00194771"/>
    <w:rsid w:val="00194E5A"/>
    <w:rsid w:val="00195052"/>
    <w:rsid w:val="001950CA"/>
    <w:rsid w:val="001959EB"/>
    <w:rsid w:val="0019610D"/>
    <w:rsid w:val="001964CD"/>
    <w:rsid w:val="001A0DAA"/>
    <w:rsid w:val="001A0F3E"/>
    <w:rsid w:val="001A1408"/>
    <w:rsid w:val="001A27C4"/>
    <w:rsid w:val="001A3110"/>
    <w:rsid w:val="001A454E"/>
    <w:rsid w:val="001A4C37"/>
    <w:rsid w:val="001A4D9B"/>
    <w:rsid w:val="001A4E18"/>
    <w:rsid w:val="001A6057"/>
    <w:rsid w:val="001A65C0"/>
    <w:rsid w:val="001A6EC0"/>
    <w:rsid w:val="001B0398"/>
    <w:rsid w:val="001B0794"/>
    <w:rsid w:val="001B07B7"/>
    <w:rsid w:val="001B0FEF"/>
    <w:rsid w:val="001B12B8"/>
    <w:rsid w:val="001B16FD"/>
    <w:rsid w:val="001B2985"/>
    <w:rsid w:val="001B2DF2"/>
    <w:rsid w:val="001B3BC6"/>
    <w:rsid w:val="001B502E"/>
    <w:rsid w:val="001B5182"/>
    <w:rsid w:val="001B55D2"/>
    <w:rsid w:val="001B570C"/>
    <w:rsid w:val="001B577F"/>
    <w:rsid w:val="001B6B73"/>
    <w:rsid w:val="001B702D"/>
    <w:rsid w:val="001B7407"/>
    <w:rsid w:val="001B78AE"/>
    <w:rsid w:val="001B7F34"/>
    <w:rsid w:val="001C0652"/>
    <w:rsid w:val="001C1B37"/>
    <w:rsid w:val="001C3D8D"/>
    <w:rsid w:val="001C42B6"/>
    <w:rsid w:val="001C4D5F"/>
    <w:rsid w:val="001C4E75"/>
    <w:rsid w:val="001C5EDB"/>
    <w:rsid w:val="001C6107"/>
    <w:rsid w:val="001C70C1"/>
    <w:rsid w:val="001C79E4"/>
    <w:rsid w:val="001C7D8E"/>
    <w:rsid w:val="001C7F91"/>
    <w:rsid w:val="001D072F"/>
    <w:rsid w:val="001D12D7"/>
    <w:rsid w:val="001D136F"/>
    <w:rsid w:val="001D158E"/>
    <w:rsid w:val="001D16C9"/>
    <w:rsid w:val="001D320D"/>
    <w:rsid w:val="001D3568"/>
    <w:rsid w:val="001D3D8E"/>
    <w:rsid w:val="001D41A1"/>
    <w:rsid w:val="001D5007"/>
    <w:rsid w:val="001D599B"/>
    <w:rsid w:val="001E016E"/>
    <w:rsid w:val="001E01E4"/>
    <w:rsid w:val="001E0F97"/>
    <w:rsid w:val="001E1F8B"/>
    <w:rsid w:val="001E25DC"/>
    <w:rsid w:val="001E2A19"/>
    <w:rsid w:val="001E3A63"/>
    <w:rsid w:val="001E41F8"/>
    <w:rsid w:val="001E5090"/>
    <w:rsid w:val="001E53C7"/>
    <w:rsid w:val="001E5539"/>
    <w:rsid w:val="001E58DF"/>
    <w:rsid w:val="001E590C"/>
    <w:rsid w:val="001E6D69"/>
    <w:rsid w:val="001E7013"/>
    <w:rsid w:val="001E70BC"/>
    <w:rsid w:val="001E789F"/>
    <w:rsid w:val="001E7C0C"/>
    <w:rsid w:val="001F0461"/>
    <w:rsid w:val="001F0713"/>
    <w:rsid w:val="001F2116"/>
    <w:rsid w:val="001F2145"/>
    <w:rsid w:val="001F26ED"/>
    <w:rsid w:val="001F3DB4"/>
    <w:rsid w:val="001F3E14"/>
    <w:rsid w:val="001F4A7F"/>
    <w:rsid w:val="001F7B07"/>
    <w:rsid w:val="001F7BFE"/>
    <w:rsid w:val="00200542"/>
    <w:rsid w:val="00200E9A"/>
    <w:rsid w:val="00201AC5"/>
    <w:rsid w:val="00202690"/>
    <w:rsid w:val="002029ED"/>
    <w:rsid w:val="00202C7B"/>
    <w:rsid w:val="00203FB2"/>
    <w:rsid w:val="002045CF"/>
    <w:rsid w:val="002054C5"/>
    <w:rsid w:val="00205D11"/>
    <w:rsid w:val="0020601E"/>
    <w:rsid w:val="00206EF9"/>
    <w:rsid w:val="00207C28"/>
    <w:rsid w:val="00207C51"/>
    <w:rsid w:val="0021017E"/>
    <w:rsid w:val="002102F7"/>
    <w:rsid w:val="0021161C"/>
    <w:rsid w:val="00211914"/>
    <w:rsid w:val="002139CB"/>
    <w:rsid w:val="00214077"/>
    <w:rsid w:val="0021424B"/>
    <w:rsid w:val="00214801"/>
    <w:rsid w:val="002154AE"/>
    <w:rsid w:val="002176B8"/>
    <w:rsid w:val="0022015F"/>
    <w:rsid w:val="00220E7A"/>
    <w:rsid w:val="00221254"/>
    <w:rsid w:val="00221675"/>
    <w:rsid w:val="00222F00"/>
    <w:rsid w:val="00224964"/>
    <w:rsid w:val="00226098"/>
    <w:rsid w:val="002267C7"/>
    <w:rsid w:val="0022730F"/>
    <w:rsid w:val="00227DC6"/>
    <w:rsid w:val="00227FEE"/>
    <w:rsid w:val="0023411E"/>
    <w:rsid w:val="00234717"/>
    <w:rsid w:val="002347CA"/>
    <w:rsid w:val="00234D63"/>
    <w:rsid w:val="00236B5F"/>
    <w:rsid w:val="00237B8B"/>
    <w:rsid w:val="00237C0B"/>
    <w:rsid w:val="00241F59"/>
    <w:rsid w:val="0024265C"/>
    <w:rsid w:val="00242FF3"/>
    <w:rsid w:val="00243748"/>
    <w:rsid w:val="00243B17"/>
    <w:rsid w:val="00243D20"/>
    <w:rsid w:val="0024420E"/>
    <w:rsid w:val="0024437C"/>
    <w:rsid w:val="0024456E"/>
    <w:rsid w:val="00244C2E"/>
    <w:rsid w:val="002458D9"/>
    <w:rsid w:val="002458E5"/>
    <w:rsid w:val="00246039"/>
    <w:rsid w:val="00246583"/>
    <w:rsid w:val="00246B3B"/>
    <w:rsid w:val="00246CFE"/>
    <w:rsid w:val="00247726"/>
    <w:rsid w:val="00247816"/>
    <w:rsid w:val="00250274"/>
    <w:rsid w:val="00250A0A"/>
    <w:rsid w:val="00250E0A"/>
    <w:rsid w:val="00251E02"/>
    <w:rsid w:val="00252AC2"/>
    <w:rsid w:val="00253238"/>
    <w:rsid w:val="00256304"/>
    <w:rsid w:val="002568DF"/>
    <w:rsid w:val="00257308"/>
    <w:rsid w:val="00257657"/>
    <w:rsid w:val="00257F0C"/>
    <w:rsid w:val="00257F76"/>
    <w:rsid w:val="002601C5"/>
    <w:rsid w:val="00261A1F"/>
    <w:rsid w:val="00261F33"/>
    <w:rsid w:val="00263F56"/>
    <w:rsid w:val="002650D4"/>
    <w:rsid w:val="00265E76"/>
    <w:rsid w:val="00270472"/>
    <w:rsid w:val="00270542"/>
    <w:rsid w:val="00270FB4"/>
    <w:rsid w:val="0027199A"/>
    <w:rsid w:val="002719AC"/>
    <w:rsid w:val="00272450"/>
    <w:rsid w:val="0027369F"/>
    <w:rsid w:val="00273718"/>
    <w:rsid w:val="00273CFE"/>
    <w:rsid w:val="0027452B"/>
    <w:rsid w:val="00274B3C"/>
    <w:rsid w:val="0027501A"/>
    <w:rsid w:val="002754E9"/>
    <w:rsid w:val="00275529"/>
    <w:rsid w:val="00276893"/>
    <w:rsid w:val="00276F64"/>
    <w:rsid w:val="00277C78"/>
    <w:rsid w:val="00280916"/>
    <w:rsid w:val="002812BC"/>
    <w:rsid w:val="002812DC"/>
    <w:rsid w:val="002818EF"/>
    <w:rsid w:val="00281A4E"/>
    <w:rsid w:val="0028208C"/>
    <w:rsid w:val="002821D3"/>
    <w:rsid w:val="00282543"/>
    <w:rsid w:val="0028271F"/>
    <w:rsid w:val="0028272B"/>
    <w:rsid w:val="002828F0"/>
    <w:rsid w:val="00283D3D"/>
    <w:rsid w:val="002842CC"/>
    <w:rsid w:val="00285EC1"/>
    <w:rsid w:val="0028680D"/>
    <w:rsid w:val="002871A6"/>
    <w:rsid w:val="0028771C"/>
    <w:rsid w:val="00292ECD"/>
    <w:rsid w:val="002933FE"/>
    <w:rsid w:val="00295F4C"/>
    <w:rsid w:val="00296E4F"/>
    <w:rsid w:val="00296F12"/>
    <w:rsid w:val="00297310"/>
    <w:rsid w:val="002A0284"/>
    <w:rsid w:val="002A1851"/>
    <w:rsid w:val="002A2068"/>
    <w:rsid w:val="002A2F34"/>
    <w:rsid w:val="002A338C"/>
    <w:rsid w:val="002A40A8"/>
    <w:rsid w:val="002A5096"/>
    <w:rsid w:val="002A69AC"/>
    <w:rsid w:val="002A717D"/>
    <w:rsid w:val="002A73D7"/>
    <w:rsid w:val="002A7D56"/>
    <w:rsid w:val="002B0565"/>
    <w:rsid w:val="002B1502"/>
    <w:rsid w:val="002B20E1"/>
    <w:rsid w:val="002B2B15"/>
    <w:rsid w:val="002B3348"/>
    <w:rsid w:val="002B3CB4"/>
    <w:rsid w:val="002B42E6"/>
    <w:rsid w:val="002B4A31"/>
    <w:rsid w:val="002B4DD9"/>
    <w:rsid w:val="002B5911"/>
    <w:rsid w:val="002B60AC"/>
    <w:rsid w:val="002B6336"/>
    <w:rsid w:val="002B64D1"/>
    <w:rsid w:val="002B71A8"/>
    <w:rsid w:val="002B7794"/>
    <w:rsid w:val="002B7989"/>
    <w:rsid w:val="002C1962"/>
    <w:rsid w:val="002C34EA"/>
    <w:rsid w:val="002C3E3A"/>
    <w:rsid w:val="002C5C66"/>
    <w:rsid w:val="002C6427"/>
    <w:rsid w:val="002C7396"/>
    <w:rsid w:val="002C7F70"/>
    <w:rsid w:val="002D1854"/>
    <w:rsid w:val="002D19A9"/>
    <w:rsid w:val="002D2485"/>
    <w:rsid w:val="002D2E90"/>
    <w:rsid w:val="002D3068"/>
    <w:rsid w:val="002D3EDB"/>
    <w:rsid w:val="002D418D"/>
    <w:rsid w:val="002D4D95"/>
    <w:rsid w:val="002D57AD"/>
    <w:rsid w:val="002D580E"/>
    <w:rsid w:val="002D5C1E"/>
    <w:rsid w:val="002D5CF5"/>
    <w:rsid w:val="002E033B"/>
    <w:rsid w:val="002E0927"/>
    <w:rsid w:val="002E0FDA"/>
    <w:rsid w:val="002E19EE"/>
    <w:rsid w:val="002E3491"/>
    <w:rsid w:val="002E4976"/>
    <w:rsid w:val="002E4C2F"/>
    <w:rsid w:val="002E4D3D"/>
    <w:rsid w:val="002E5CA1"/>
    <w:rsid w:val="002E6022"/>
    <w:rsid w:val="002E6482"/>
    <w:rsid w:val="002F078E"/>
    <w:rsid w:val="002F339C"/>
    <w:rsid w:val="002F3447"/>
    <w:rsid w:val="002F3626"/>
    <w:rsid w:val="002F38E2"/>
    <w:rsid w:val="002F3FF5"/>
    <w:rsid w:val="002F42E5"/>
    <w:rsid w:val="002F4DD4"/>
    <w:rsid w:val="002F5168"/>
    <w:rsid w:val="002F65B9"/>
    <w:rsid w:val="002F6CB4"/>
    <w:rsid w:val="002F7AF0"/>
    <w:rsid w:val="002F7B64"/>
    <w:rsid w:val="0030059D"/>
    <w:rsid w:val="003016DA"/>
    <w:rsid w:val="00301B11"/>
    <w:rsid w:val="00301EBF"/>
    <w:rsid w:val="00304258"/>
    <w:rsid w:val="00306F26"/>
    <w:rsid w:val="00307C3A"/>
    <w:rsid w:val="00310324"/>
    <w:rsid w:val="003105E0"/>
    <w:rsid w:val="00310762"/>
    <w:rsid w:val="003108FD"/>
    <w:rsid w:val="00310A38"/>
    <w:rsid w:val="00310A61"/>
    <w:rsid w:val="00310D1D"/>
    <w:rsid w:val="003129CD"/>
    <w:rsid w:val="003130C0"/>
    <w:rsid w:val="0031563D"/>
    <w:rsid w:val="00315F1A"/>
    <w:rsid w:val="0031641C"/>
    <w:rsid w:val="00316480"/>
    <w:rsid w:val="003171E6"/>
    <w:rsid w:val="00317C02"/>
    <w:rsid w:val="00317E22"/>
    <w:rsid w:val="00320644"/>
    <w:rsid w:val="00320F99"/>
    <w:rsid w:val="00321D0D"/>
    <w:rsid w:val="00322466"/>
    <w:rsid w:val="00323153"/>
    <w:rsid w:val="00324B78"/>
    <w:rsid w:val="003256E1"/>
    <w:rsid w:val="00325A62"/>
    <w:rsid w:val="00325B59"/>
    <w:rsid w:val="00326131"/>
    <w:rsid w:val="00326502"/>
    <w:rsid w:val="00326EED"/>
    <w:rsid w:val="003271BF"/>
    <w:rsid w:val="00327DD9"/>
    <w:rsid w:val="003302A5"/>
    <w:rsid w:val="00330596"/>
    <w:rsid w:val="00330D70"/>
    <w:rsid w:val="0033223A"/>
    <w:rsid w:val="0033317B"/>
    <w:rsid w:val="00333880"/>
    <w:rsid w:val="003339D0"/>
    <w:rsid w:val="00334768"/>
    <w:rsid w:val="00335249"/>
    <w:rsid w:val="003353BB"/>
    <w:rsid w:val="00335AFE"/>
    <w:rsid w:val="0033620A"/>
    <w:rsid w:val="00336FDB"/>
    <w:rsid w:val="003374E7"/>
    <w:rsid w:val="00337B29"/>
    <w:rsid w:val="0034178F"/>
    <w:rsid w:val="00341C58"/>
    <w:rsid w:val="0034239A"/>
    <w:rsid w:val="003436DA"/>
    <w:rsid w:val="00344D59"/>
    <w:rsid w:val="00344F1D"/>
    <w:rsid w:val="0034547C"/>
    <w:rsid w:val="003459C2"/>
    <w:rsid w:val="00345B0A"/>
    <w:rsid w:val="00345E30"/>
    <w:rsid w:val="003466D1"/>
    <w:rsid w:val="00346ECE"/>
    <w:rsid w:val="0034756C"/>
    <w:rsid w:val="00347912"/>
    <w:rsid w:val="00347B21"/>
    <w:rsid w:val="003520D6"/>
    <w:rsid w:val="00352F4B"/>
    <w:rsid w:val="0035352A"/>
    <w:rsid w:val="0035368E"/>
    <w:rsid w:val="003539DE"/>
    <w:rsid w:val="00354493"/>
    <w:rsid w:val="00355C40"/>
    <w:rsid w:val="003563F5"/>
    <w:rsid w:val="00360A5F"/>
    <w:rsid w:val="003618AA"/>
    <w:rsid w:val="0036263D"/>
    <w:rsid w:val="00362A4E"/>
    <w:rsid w:val="00362BA1"/>
    <w:rsid w:val="00362F97"/>
    <w:rsid w:val="0036371E"/>
    <w:rsid w:val="0036381C"/>
    <w:rsid w:val="00363C94"/>
    <w:rsid w:val="0036400D"/>
    <w:rsid w:val="00364867"/>
    <w:rsid w:val="0036497E"/>
    <w:rsid w:val="00367F22"/>
    <w:rsid w:val="00370223"/>
    <w:rsid w:val="00370B7F"/>
    <w:rsid w:val="00371177"/>
    <w:rsid w:val="00371A40"/>
    <w:rsid w:val="0037229F"/>
    <w:rsid w:val="003727AD"/>
    <w:rsid w:val="00373085"/>
    <w:rsid w:val="00373A1C"/>
    <w:rsid w:val="00373B7F"/>
    <w:rsid w:val="00374876"/>
    <w:rsid w:val="00376FDA"/>
    <w:rsid w:val="003771B6"/>
    <w:rsid w:val="00377B94"/>
    <w:rsid w:val="00380674"/>
    <w:rsid w:val="00380B22"/>
    <w:rsid w:val="00381299"/>
    <w:rsid w:val="003812FF"/>
    <w:rsid w:val="00381879"/>
    <w:rsid w:val="003821EE"/>
    <w:rsid w:val="003822A0"/>
    <w:rsid w:val="00382DD5"/>
    <w:rsid w:val="00384010"/>
    <w:rsid w:val="00384046"/>
    <w:rsid w:val="00384735"/>
    <w:rsid w:val="003851A9"/>
    <w:rsid w:val="003852BD"/>
    <w:rsid w:val="0038683D"/>
    <w:rsid w:val="00387F48"/>
    <w:rsid w:val="00393DA8"/>
    <w:rsid w:val="003963F3"/>
    <w:rsid w:val="003967C2"/>
    <w:rsid w:val="00396B6F"/>
    <w:rsid w:val="00396EF9"/>
    <w:rsid w:val="0039787F"/>
    <w:rsid w:val="003A0232"/>
    <w:rsid w:val="003A07EA"/>
    <w:rsid w:val="003A1475"/>
    <w:rsid w:val="003A236B"/>
    <w:rsid w:val="003A3298"/>
    <w:rsid w:val="003A4587"/>
    <w:rsid w:val="003A4A7B"/>
    <w:rsid w:val="003A4C3D"/>
    <w:rsid w:val="003A533A"/>
    <w:rsid w:val="003A657A"/>
    <w:rsid w:val="003A661E"/>
    <w:rsid w:val="003A7143"/>
    <w:rsid w:val="003A7680"/>
    <w:rsid w:val="003B0913"/>
    <w:rsid w:val="003B1646"/>
    <w:rsid w:val="003B20C5"/>
    <w:rsid w:val="003B3D4D"/>
    <w:rsid w:val="003B4D6B"/>
    <w:rsid w:val="003B4DFC"/>
    <w:rsid w:val="003B4FE7"/>
    <w:rsid w:val="003B5031"/>
    <w:rsid w:val="003B514E"/>
    <w:rsid w:val="003B55A7"/>
    <w:rsid w:val="003B63EE"/>
    <w:rsid w:val="003B6720"/>
    <w:rsid w:val="003B775B"/>
    <w:rsid w:val="003B7B65"/>
    <w:rsid w:val="003B7B8B"/>
    <w:rsid w:val="003B7FA9"/>
    <w:rsid w:val="003C0823"/>
    <w:rsid w:val="003C1019"/>
    <w:rsid w:val="003C17BC"/>
    <w:rsid w:val="003C1A57"/>
    <w:rsid w:val="003C3382"/>
    <w:rsid w:val="003C3E79"/>
    <w:rsid w:val="003C62D2"/>
    <w:rsid w:val="003C6AD1"/>
    <w:rsid w:val="003C6EB9"/>
    <w:rsid w:val="003C7456"/>
    <w:rsid w:val="003C7C08"/>
    <w:rsid w:val="003C7C4A"/>
    <w:rsid w:val="003D0693"/>
    <w:rsid w:val="003D0E9A"/>
    <w:rsid w:val="003D2459"/>
    <w:rsid w:val="003D28ED"/>
    <w:rsid w:val="003D30E1"/>
    <w:rsid w:val="003D3107"/>
    <w:rsid w:val="003D5DD1"/>
    <w:rsid w:val="003D7AB6"/>
    <w:rsid w:val="003E148D"/>
    <w:rsid w:val="003E173A"/>
    <w:rsid w:val="003E1CD7"/>
    <w:rsid w:val="003E248B"/>
    <w:rsid w:val="003E2ACB"/>
    <w:rsid w:val="003E3600"/>
    <w:rsid w:val="003E6441"/>
    <w:rsid w:val="003F0ACC"/>
    <w:rsid w:val="003F0B0D"/>
    <w:rsid w:val="003F133B"/>
    <w:rsid w:val="003F1A66"/>
    <w:rsid w:val="003F33DE"/>
    <w:rsid w:val="003F40B4"/>
    <w:rsid w:val="003F71CA"/>
    <w:rsid w:val="003F7B9E"/>
    <w:rsid w:val="003F7D61"/>
    <w:rsid w:val="004001D0"/>
    <w:rsid w:val="0040093D"/>
    <w:rsid w:val="004012D6"/>
    <w:rsid w:val="0040172A"/>
    <w:rsid w:val="00401A02"/>
    <w:rsid w:val="00401BA2"/>
    <w:rsid w:val="004023EB"/>
    <w:rsid w:val="0040243A"/>
    <w:rsid w:val="00402829"/>
    <w:rsid w:val="00402A3D"/>
    <w:rsid w:val="00402C65"/>
    <w:rsid w:val="004042D5"/>
    <w:rsid w:val="004046DB"/>
    <w:rsid w:val="00404EB7"/>
    <w:rsid w:val="004050B8"/>
    <w:rsid w:val="00406242"/>
    <w:rsid w:val="004065B2"/>
    <w:rsid w:val="004071B8"/>
    <w:rsid w:val="004075CA"/>
    <w:rsid w:val="00407D56"/>
    <w:rsid w:val="00410569"/>
    <w:rsid w:val="00411C99"/>
    <w:rsid w:val="0041234E"/>
    <w:rsid w:val="004124CE"/>
    <w:rsid w:val="00412563"/>
    <w:rsid w:val="004142DF"/>
    <w:rsid w:val="00414697"/>
    <w:rsid w:val="004146B4"/>
    <w:rsid w:val="004146C4"/>
    <w:rsid w:val="00414807"/>
    <w:rsid w:val="004150A9"/>
    <w:rsid w:val="00415F2E"/>
    <w:rsid w:val="00416E2B"/>
    <w:rsid w:val="004170C4"/>
    <w:rsid w:val="00417D97"/>
    <w:rsid w:val="004209BA"/>
    <w:rsid w:val="00420C44"/>
    <w:rsid w:val="0042175C"/>
    <w:rsid w:val="0042358A"/>
    <w:rsid w:val="0042502E"/>
    <w:rsid w:val="00425207"/>
    <w:rsid w:val="00425404"/>
    <w:rsid w:val="00426135"/>
    <w:rsid w:val="00426338"/>
    <w:rsid w:val="004271BF"/>
    <w:rsid w:val="004275D1"/>
    <w:rsid w:val="00430581"/>
    <w:rsid w:val="00431426"/>
    <w:rsid w:val="0043463A"/>
    <w:rsid w:val="00434A97"/>
    <w:rsid w:val="00435169"/>
    <w:rsid w:val="0043554D"/>
    <w:rsid w:val="004369CC"/>
    <w:rsid w:val="00436D5A"/>
    <w:rsid w:val="00437035"/>
    <w:rsid w:val="00440C62"/>
    <w:rsid w:val="004413E2"/>
    <w:rsid w:val="004414A2"/>
    <w:rsid w:val="00441A2E"/>
    <w:rsid w:val="00441FA1"/>
    <w:rsid w:val="0044217E"/>
    <w:rsid w:val="00442620"/>
    <w:rsid w:val="004437A4"/>
    <w:rsid w:val="00443989"/>
    <w:rsid w:val="00444CDB"/>
    <w:rsid w:val="004459B9"/>
    <w:rsid w:val="00445D3A"/>
    <w:rsid w:val="00445DD7"/>
    <w:rsid w:val="00446473"/>
    <w:rsid w:val="004465D8"/>
    <w:rsid w:val="00446BBA"/>
    <w:rsid w:val="004501DA"/>
    <w:rsid w:val="0045026C"/>
    <w:rsid w:val="00450542"/>
    <w:rsid w:val="0045104A"/>
    <w:rsid w:val="004514E1"/>
    <w:rsid w:val="00451919"/>
    <w:rsid w:val="004537CB"/>
    <w:rsid w:val="004538D5"/>
    <w:rsid w:val="00453C50"/>
    <w:rsid w:val="00453C98"/>
    <w:rsid w:val="00454B6A"/>
    <w:rsid w:val="0045550C"/>
    <w:rsid w:val="00455A59"/>
    <w:rsid w:val="004571EE"/>
    <w:rsid w:val="00460435"/>
    <w:rsid w:val="0046061A"/>
    <w:rsid w:val="00460626"/>
    <w:rsid w:val="00461906"/>
    <w:rsid w:val="00461BFC"/>
    <w:rsid w:val="004644C7"/>
    <w:rsid w:val="004645D0"/>
    <w:rsid w:val="00464B21"/>
    <w:rsid w:val="004657F8"/>
    <w:rsid w:val="00465DFA"/>
    <w:rsid w:val="0046634E"/>
    <w:rsid w:val="0046663A"/>
    <w:rsid w:val="00467060"/>
    <w:rsid w:val="00467C1E"/>
    <w:rsid w:val="00467E54"/>
    <w:rsid w:val="0047032E"/>
    <w:rsid w:val="00470378"/>
    <w:rsid w:val="00470C9C"/>
    <w:rsid w:val="00471085"/>
    <w:rsid w:val="00471518"/>
    <w:rsid w:val="00471DAD"/>
    <w:rsid w:val="00471F93"/>
    <w:rsid w:val="004722CE"/>
    <w:rsid w:val="004722F9"/>
    <w:rsid w:val="00473C8C"/>
    <w:rsid w:val="00474B95"/>
    <w:rsid w:val="00475E99"/>
    <w:rsid w:val="00476CD2"/>
    <w:rsid w:val="00480A4B"/>
    <w:rsid w:val="00480DA2"/>
    <w:rsid w:val="00481045"/>
    <w:rsid w:val="00481D03"/>
    <w:rsid w:val="00481FD0"/>
    <w:rsid w:val="0048221F"/>
    <w:rsid w:val="00482ED8"/>
    <w:rsid w:val="00483370"/>
    <w:rsid w:val="0048377F"/>
    <w:rsid w:val="00484B73"/>
    <w:rsid w:val="0048590E"/>
    <w:rsid w:val="004863C4"/>
    <w:rsid w:val="004866A7"/>
    <w:rsid w:val="00487079"/>
    <w:rsid w:val="004872EA"/>
    <w:rsid w:val="0048733E"/>
    <w:rsid w:val="004906EF"/>
    <w:rsid w:val="0049103A"/>
    <w:rsid w:val="004919C3"/>
    <w:rsid w:val="004920F8"/>
    <w:rsid w:val="0049380A"/>
    <w:rsid w:val="0049469F"/>
    <w:rsid w:val="004951C4"/>
    <w:rsid w:val="004953C3"/>
    <w:rsid w:val="00495EF5"/>
    <w:rsid w:val="00496196"/>
    <w:rsid w:val="004962C6"/>
    <w:rsid w:val="00497042"/>
    <w:rsid w:val="004A0367"/>
    <w:rsid w:val="004A04E6"/>
    <w:rsid w:val="004A0866"/>
    <w:rsid w:val="004A0AF4"/>
    <w:rsid w:val="004A0B9D"/>
    <w:rsid w:val="004A0FB3"/>
    <w:rsid w:val="004A2786"/>
    <w:rsid w:val="004A3F91"/>
    <w:rsid w:val="004A4ACB"/>
    <w:rsid w:val="004A6FE9"/>
    <w:rsid w:val="004A7A63"/>
    <w:rsid w:val="004A7F61"/>
    <w:rsid w:val="004B06B3"/>
    <w:rsid w:val="004B17F4"/>
    <w:rsid w:val="004B1BB2"/>
    <w:rsid w:val="004B2C2D"/>
    <w:rsid w:val="004B3F28"/>
    <w:rsid w:val="004B5246"/>
    <w:rsid w:val="004B653D"/>
    <w:rsid w:val="004B7557"/>
    <w:rsid w:val="004B75AF"/>
    <w:rsid w:val="004C0461"/>
    <w:rsid w:val="004C12C2"/>
    <w:rsid w:val="004C1811"/>
    <w:rsid w:val="004C1C76"/>
    <w:rsid w:val="004C1CEE"/>
    <w:rsid w:val="004C2BAB"/>
    <w:rsid w:val="004C2F1F"/>
    <w:rsid w:val="004C2FDD"/>
    <w:rsid w:val="004C328A"/>
    <w:rsid w:val="004C3DD4"/>
    <w:rsid w:val="004C3E90"/>
    <w:rsid w:val="004C4163"/>
    <w:rsid w:val="004C4336"/>
    <w:rsid w:val="004C4818"/>
    <w:rsid w:val="004C5AAA"/>
    <w:rsid w:val="004C6549"/>
    <w:rsid w:val="004C6FB9"/>
    <w:rsid w:val="004C75F9"/>
    <w:rsid w:val="004C77B5"/>
    <w:rsid w:val="004C77BF"/>
    <w:rsid w:val="004C7F81"/>
    <w:rsid w:val="004D015D"/>
    <w:rsid w:val="004D02BD"/>
    <w:rsid w:val="004D054E"/>
    <w:rsid w:val="004D1F09"/>
    <w:rsid w:val="004D3613"/>
    <w:rsid w:val="004D3C36"/>
    <w:rsid w:val="004D3C4D"/>
    <w:rsid w:val="004D3E91"/>
    <w:rsid w:val="004D546C"/>
    <w:rsid w:val="004D5558"/>
    <w:rsid w:val="004D5752"/>
    <w:rsid w:val="004D5E1C"/>
    <w:rsid w:val="004D67F7"/>
    <w:rsid w:val="004D7678"/>
    <w:rsid w:val="004D7964"/>
    <w:rsid w:val="004D7A78"/>
    <w:rsid w:val="004D7CD7"/>
    <w:rsid w:val="004D7F1A"/>
    <w:rsid w:val="004E019F"/>
    <w:rsid w:val="004E51EA"/>
    <w:rsid w:val="004E5627"/>
    <w:rsid w:val="004E5D5D"/>
    <w:rsid w:val="004E649D"/>
    <w:rsid w:val="004E6E95"/>
    <w:rsid w:val="004E6F06"/>
    <w:rsid w:val="004E7006"/>
    <w:rsid w:val="004E7BA2"/>
    <w:rsid w:val="004F0ED9"/>
    <w:rsid w:val="004F26EE"/>
    <w:rsid w:val="004F299D"/>
    <w:rsid w:val="004F3E67"/>
    <w:rsid w:val="004F458F"/>
    <w:rsid w:val="004F58BA"/>
    <w:rsid w:val="004F6137"/>
    <w:rsid w:val="005022E5"/>
    <w:rsid w:val="00503B85"/>
    <w:rsid w:val="005058A1"/>
    <w:rsid w:val="00505A04"/>
    <w:rsid w:val="00505CC6"/>
    <w:rsid w:val="005067D8"/>
    <w:rsid w:val="00506895"/>
    <w:rsid w:val="00506B63"/>
    <w:rsid w:val="00510222"/>
    <w:rsid w:val="005108B0"/>
    <w:rsid w:val="00511737"/>
    <w:rsid w:val="0051190B"/>
    <w:rsid w:val="00511982"/>
    <w:rsid w:val="00511B0E"/>
    <w:rsid w:val="0051262D"/>
    <w:rsid w:val="00512F80"/>
    <w:rsid w:val="00513469"/>
    <w:rsid w:val="00514000"/>
    <w:rsid w:val="00514181"/>
    <w:rsid w:val="005151FE"/>
    <w:rsid w:val="00516901"/>
    <w:rsid w:val="00516A72"/>
    <w:rsid w:val="00517FEF"/>
    <w:rsid w:val="00520A5D"/>
    <w:rsid w:val="00521ACE"/>
    <w:rsid w:val="00521BB9"/>
    <w:rsid w:val="005230E9"/>
    <w:rsid w:val="00523CA1"/>
    <w:rsid w:val="0052496D"/>
    <w:rsid w:val="00524F76"/>
    <w:rsid w:val="005254BC"/>
    <w:rsid w:val="00525724"/>
    <w:rsid w:val="00526724"/>
    <w:rsid w:val="00527065"/>
    <w:rsid w:val="00527186"/>
    <w:rsid w:val="005310EA"/>
    <w:rsid w:val="00531AA0"/>
    <w:rsid w:val="0053245E"/>
    <w:rsid w:val="00533D49"/>
    <w:rsid w:val="0053492A"/>
    <w:rsid w:val="005352D5"/>
    <w:rsid w:val="00536C63"/>
    <w:rsid w:val="00537FCD"/>
    <w:rsid w:val="00540F36"/>
    <w:rsid w:val="00541189"/>
    <w:rsid w:val="0054157A"/>
    <w:rsid w:val="00541F0E"/>
    <w:rsid w:val="00542EEF"/>
    <w:rsid w:val="00543213"/>
    <w:rsid w:val="0054336B"/>
    <w:rsid w:val="005439FB"/>
    <w:rsid w:val="0054560A"/>
    <w:rsid w:val="00546AC9"/>
    <w:rsid w:val="0055015C"/>
    <w:rsid w:val="005506CE"/>
    <w:rsid w:val="00550B2F"/>
    <w:rsid w:val="00551712"/>
    <w:rsid w:val="00551E02"/>
    <w:rsid w:val="005520F0"/>
    <w:rsid w:val="005529FE"/>
    <w:rsid w:val="00552C63"/>
    <w:rsid w:val="00553366"/>
    <w:rsid w:val="00553E73"/>
    <w:rsid w:val="00553E8E"/>
    <w:rsid w:val="005540AB"/>
    <w:rsid w:val="005549DE"/>
    <w:rsid w:val="00554A1F"/>
    <w:rsid w:val="00556769"/>
    <w:rsid w:val="00556779"/>
    <w:rsid w:val="00556866"/>
    <w:rsid w:val="00556AC0"/>
    <w:rsid w:val="00556F34"/>
    <w:rsid w:val="005573CD"/>
    <w:rsid w:val="00557500"/>
    <w:rsid w:val="00557FB6"/>
    <w:rsid w:val="00561654"/>
    <w:rsid w:val="00561C58"/>
    <w:rsid w:val="0056257C"/>
    <w:rsid w:val="00562976"/>
    <w:rsid w:val="00562DFF"/>
    <w:rsid w:val="00562EED"/>
    <w:rsid w:val="005639EF"/>
    <w:rsid w:val="00564530"/>
    <w:rsid w:val="00565ADE"/>
    <w:rsid w:val="005673A9"/>
    <w:rsid w:val="0057006C"/>
    <w:rsid w:val="005701AF"/>
    <w:rsid w:val="00571262"/>
    <w:rsid w:val="00571BF1"/>
    <w:rsid w:val="00572BEB"/>
    <w:rsid w:val="00574C66"/>
    <w:rsid w:val="005756D1"/>
    <w:rsid w:val="00575C34"/>
    <w:rsid w:val="0057612B"/>
    <w:rsid w:val="005769B9"/>
    <w:rsid w:val="00576B0E"/>
    <w:rsid w:val="005772C4"/>
    <w:rsid w:val="005773D7"/>
    <w:rsid w:val="00577405"/>
    <w:rsid w:val="00577577"/>
    <w:rsid w:val="00580665"/>
    <w:rsid w:val="00580A59"/>
    <w:rsid w:val="005832AA"/>
    <w:rsid w:val="00583F23"/>
    <w:rsid w:val="00584801"/>
    <w:rsid w:val="00584909"/>
    <w:rsid w:val="00584ABA"/>
    <w:rsid w:val="00585895"/>
    <w:rsid w:val="00585A1D"/>
    <w:rsid w:val="00585B8F"/>
    <w:rsid w:val="00585F11"/>
    <w:rsid w:val="005868D2"/>
    <w:rsid w:val="00586C16"/>
    <w:rsid w:val="005878D9"/>
    <w:rsid w:val="00590129"/>
    <w:rsid w:val="005908F5"/>
    <w:rsid w:val="00590D04"/>
    <w:rsid w:val="00590D10"/>
    <w:rsid w:val="005916F9"/>
    <w:rsid w:val="005923FF"/>
    <w:rsid w:val="00592477"/>
    <w:rsid w:val="005924A2"/>
    <w:rsid w:val="00593266"/>
    <w:rsid w:val="00593D11"/>
    <w:rsid w:val="00594672"/>
    <w:rsid w:val="0059487F"/>
    <w:rsid w:val="00594983"/>
    <w:rsid w:val="005960AA"/>
    <w:rsid w:val="00596830"/>
    <w:rsid w:val="0059776C"/>
    <w:rsid w:val="00597B34"/>
    <w:rsid w:val="005A00BB"/>
    <w:rsid w:val="005A105E"/>
    <w:rsid w:val="005A1C39"/>
    <w:rsid w:val="005A2061"/>
    <w:rsid w:val="005A43ED"/>
    <w:rsid w:val="005A4A76"/>
    <w:rsid w:val="005A53B9"/>
    <w:rsid w:val="005A55BF"/>
    <w:rsid w:val="005A5A89"/>
    <w:rsid w:val="005A5AB4"/>
    <w:rsid w:val="005A6383"/>
    <w:rsid w:val="005A6C74"/>
    <w:rsid w:val="005A6D35"/>
    <w:rsid w:val="005B069B"/>
    <w:rsid w:val="005B17A3"/>
    <w:rsid w:val="005B1A7E"/>
    <w:rsid w:val="005B1ED1"/>
    <w:rsid w:val="005B23A4"/>
    <w:rsid w:val="005B250E"/>
    <w:rsid w:val="005B2DE4"/>
    <w:rsid w:val="005B311C"/>
    <w:rsid w:val="005B383B"/>
    <w:rsid w:val="005B3CBA"/>
    <w:rsid w:val="005B56BE"/>
    <w:rsid w:val="005B68D5"/>
    <w:rsid w:val="005C042F"/>
    <w:rsid w:val="005C07D9"/>
    <w:rsid w:val="005C0882"/>
    <w:rsid w:val="005C0E2F"/>
    <w:rsid w:val="005C1171"/>
    <w:rsid w:val="005C1D53"/>
    <w:rsid w:val="005C34A6"/>
    <w:rsid w:val="005C3E0C"/>
    <w:rsid w:val="005C45D5"/>
    <w:rsid w:val="005C4E10"/>
    <w:rsid w:val="005C53BF"/>
    <w:rsid w:val="005C641B"/>
    <w:rsid w:val="005C6B0A"/>
    <w:rsid w:val="005C7719"/>
    <w:rsid w:val="005D054E"/>
    <w:rsid w:val="005D07EC"/>
    <w:rsid w:val="005D10CD"/>
    <w:rsid w:val="005D1D00"/>
    <w:rsid w:val="005D1D4B"/>
    <w:rsid w:val="005D2B3B"/>
    <w:rsid w:val="005D2C72"/>
    <w:rsid w:val="005D2D7F"/>
    <w:rsid w:val="005D3985"/>
    <w:rsid w:val="005D3A01"/>
    <w:rsid w:val="005D4CB1"/>
    <w:rsid w:val="005D577F"/>
    <w:rsid w:val="005D5C19"/>
    <w:rsid w:val="005D6887"/>
    <w:rsid w:val="005D7F7D"/>
    <w:rsid w:val="005E2913"/>
    <w:rsid w:val="005E399F"/>
    <w:rsid w:val="005E44DF"/>
    <w:rsid w:val="005E465D"/>
    <w:rsid w:val="005E4686"/>
    <w:rsid w:val="005E5308"/>
    <w:rsid w:val="005E553F"/>
    <w:rsid w:val="005E5D2F"/>
    <w:rsid w:val="005E6836"/>
    <w:rsid w:val="005E6A3C"/>
    <w:rsid w:val="005E6E3A"/>
    <w:rsid w:val="005E6EBE"/>
    <w:rsid w:val="005E742C"/>
    <w:rsid w:val="005F0045"/>
    <w:rsid w:val="005F15C3"/>
    <w:rsid w:val="005F1BD6"/>
    <w:rsid w:val="005F2E2D"/>
    <w:rsid w:val="005F2F00"/>
    <w:rsid w:val="005F4CD9"/>
    <w:rsid w:val="005F58A4"/>
    <w:rsid w:val="005F663B"/>
    <w:rsid w:val="005F7492"/>
    <w:rsid w:val="00600E66"/>
    <w:rsid w:val="006013DF"/>
    <w:rsid w:val="00601C6C"/>
    <w:rsid w:val="00601F8B"/>
    <w:rsid w:val="0060295E"/>
    <w:rsid w:val="0060317E"/>
    <w:rsid w:val="00603583"/>
    <w:rsid w:val="00603605"/>
    <w:rsid w:val="006041A3"/>
    <w:rsid w:val="00605D69"/>
    <w:rsid w:val="00610327"/>
    <w:rsid w:val="0061079A"/>
    <w:rsid w:val="00610FB4"/>
    <w:rsid w:val="006111F7"/>
    <w:rsid w:val="00611986"/>
    <w:rsid w:val="00612E2A"/>
    <w:rsid w:val="00614301"/>
    <w:rsid w:val="006151DD"/>
    <w:rsid w:val="006169B9"/>
    <w:rsid w:val="00617992"/>
    <w:rsid w:val="006206E5"/>
    <w:rsid w:val="00620867"/>
    <w:rsid w:val="00620B12"/>
    <w:rsid w:val="006210F4"/>
    <w:rsid w:val="00621DEA"/>
    <w:rsid w:val="0062285C"/>
    <w:rsid w:val="00622C1D"/>
    <w:rsid w:val="00624A17"/>
    <w:rsid w:val="00624B9F"/>
    <w:rsid w:val="006253A0"/>
    <w:rsid w:val="00625C71"/>
    <w:rsid w:val="00626383"/>
    <w:rsid w:val="00626BD6"/>
    <w:rsid w:val="00627316"/>
    <w:rsid w:val="00627A7B"/>
    <w:rsid w:val="00631325"/>
    <w:rsid w:val="006314DF"/>
    <w:rsid w:val="0063179B"/>
    <w:rsid w:val="00632A12"/>
    <w:rsid w:val="00633038"/>
    <w:rsid w:val="006334E0"/>
    <w:rsid w:val="00633CE1"/>
    <w:rsid w:val="00633E4E"/>
    <w:rsid w:val="00633FB4"/>
    <w:rsid w:val="00634543"/>
    <w:rsid w:val="006357C1"/>
    <w:rsid w:val="00635979"/>
    <w:rsid w:val="00635BA7"/>
    <w:rsid w:val="00635ED9"/>
    <w:rsid w:val="00635F8C"/>
    <w:rsid w:val="006365EA"/>
    <w:rsid w:val="006368D2"/>
    <w:rsid w:val="0063712C"/>
    <w:rsid w:val="00637374"/>
    <w:rsid w:val="00637778"/>
    <w:rsid w:val="00640BB2"/>
    <w:rsid w:val="00641A2D"/>
    <w:rsid w:val="0064290A"/>
    <w:rsid w:val="00642E03"/>
    <w:rsid w:val="00642EC4"/>
    <w:rsid w:val="00643F5E"/>
    <w:rsid w:val="00644581"/>
    <w:rsid w:val="00644756"/>
    <w:rsid w:val="006449AF"/>
    <w:rsid w:val="00646D08"/>
    <w:rsid w:val="00651167"/>
    <w:rsid w:val="006513CD"/>
    <w:rsid w:val="00651640"/>
    <w:rsid w:val="00651ADF"/>
    <w:rsid w:val="00651CFE"/>
    <w:rsid w:val="006538CB"/>
    <w:rsid w:val="00653989"/>
    <w:rsid w:val="006548D1"/>
    <w:rsid w:val="006574EA"/>
    <w:rsid w:val="00663284"/>
    <w:rsid w:val="0066392A"/>
    <w:rsid w:val="0066396C"/>
    <w:rsid w:val="00663A1B"/>
    <w:rsid w:val="00664B88"/>
    <w:rsid w:val="0066504E"/>
    <w:rsid w:val="00665B79"/>
    <w:rsid w:val="00665FC0"/>
    <w:rsid w:val="006660E7"/>
    <w:rsid w:val="0066653D"/>
    <w:rsid w:val="0067171B"/>
    <w:rsid w:val="006726F6"/>
    <w:rsid w:val="00672E5A"/>
    <w:rsid w:val="00673576"/>
    <w:rsid w:val="006752A3"/>
    <w:rsid w:val="00675E83"/>
    <w:rsid w:val="00675F59"/>
    <w:rsid w:val="00676993"/>
    <w:rsid w:val="00676B9C"/>
    <w:rsid w:val="006808B4"/>
    <w:rsid w:val="0068115C"/>
    <w:rsid w:val="0068173C"/>
    <w:rsid w:val="00682902"/>
    <w:rsid w:val="00683F3A"/>
    <w:rsid w:val="00684527"/>
    <w:rsid w:val="00684B76"/>
    <w:rsid w:val="0068515F"/>
    <w:rsid w:val="0068652E"/>
    <w:rsid w:val="00687928"/>
    <w:rsid w:val="00687AD8"/>
    <w:rsid w:val="006911DF"/>
    <w:rsid w:val="0069163F"/>
    <w:rsid w:val="00691DBB"/>
    <w:rsid w:val="00692AB1"/>
    <w:rsid w:val="006938B6"/>
    <w:rsid w:val="00694696"/>
    <w:rsid w:val="00695127"/>
    <w:rsid w:val="006A09A5"/>
    <w:rsid w:val="006A0F6F"/>
    <w:rsid w:val="006A2405"/>
    <w:rsid w:val="006A5060"/>
    <w:rsid w:val="006A79E7"/>
    <w:rsid w:val="006A7D4D"/>
    <w:rsid w:val="006B0E41"/>
    <w:rsid w:val="006B1CB8"/>
    <w:rsid w:val="006B1D9F"/>
    <w:rsid w:val="006B3031"/>
    <w:rsid w:val="006B3133"/>
    <w:rsid w:val="006B52E7"/>
    <w:rsid w:val="006B5C71"/>
    <w:rsid w:val="006B6348"/>
    <w:rsid w:val="006B722B"/>
    <w:rsid w:val="006B7AE5"/>
    <w:rsid w:val="006B7F0E"/>
    <w:rsid w:val="006C0AED"/>
    <w:rsid w:val="006C0BF2"/>
    <w:rsid w:val="006C0E2A"/>
    <w:rsid w:val="006C24E4"/>
    <w:rsid w:val="006C346D"/>
    <w:rsid w:val="006C3D8B"/>
    <w:rsid w:val="006C46C5"/>
    <w:rsid w:val="006C4B43"/>
    <w:rsid w:val="006C6209"/>
    <w:rsid w:val="006D0AFA"/>
    <w:rsid w:val="006D0D07"/>
    <w:rsid w:val="006D13A7"/>
    <w:rsid w:val="006D2087"/>
    <w:rsid w:val="006D30E6"/>
    <w:rsid w:val="006D36EC"/>
    <w:rsid w:val="006D3C3E"/>
    <w:rsid w:val="006D42F6"/>
    <w:rsid w:val="006D4BC7"/>
    <w:rsid w:val="006D6DC1"/>
    <w:rsid w:val="006D6F9A"/>
    <w:rsid w:val="006D770B"/>
    <w:rsid w:val="006E0254"/>
    <w:rsid w:val="006E07CE"/>
    <w:rsid w:val="006E0A83"/>
    <w:rsid w:val="006E0F1D"/>
    <w:rsid w:val="006E1998"/>
    <w:rsid w:val="006E1F20"/>
    <w:rsid w:val="006E2C8E"/>
    <w:rsid w:val="006E3A67"/>
    <w:rsid w:val="006E4069"/>
    <w:rsid w:val="006E446F"/>
    <w:rsid w:val="006E51D9"/>
    <w:rsid w:val="006E59BC"/>
    <w:rsid w:val="006E6291"/>
    <w:rsid w:val="006E6A28"/>
    <w:rsid w:val="006E6B64"/>
    <w:rsid w:val="006E6E26"/>
    <w:rsid w:val="006F05E9"/>
    <w:rsid w:val="006F0D2A"/>
    <w:rsid w:val="006F18B8"/>
    <w:rsid w:val="006F32F8"/>
    <w:rsid w:val="006F436A"/>
    <w:rsid w:val="006F5544"/>
    <w:rsid w:val="006F64C9"/>
    <w:rsid w:val="006F7CE8"/>
    <w:rsid w:val="006F7D34"/>
    <w:rsid w:val="0070028F"/>
    <w:rsid w:val="00701353"/>
    <w:rsid w:val="007013CD"/>
    <w:rsid w:val="007038B2"/>
    <w:rsid w:val="0070403F"/>
    <w:rsid w:val="00705056"/>
    <w:rsid w:val="0070524C"/>
    <w:rsid w:val="00707CE0"/>
    <w:rsid w:val="00707E37"/>
    <w:rsid w:val="00710619"/>
    <w:rsid w:val="00710F1E"/>
    <w:rsid w:val="007121DC"/>
    <w:rsid w:val="00712C99"/>
    <w:rsid w:val="007148AF"/>
    <w:rsid w:val="00714C86"/>
    <w:rsid w:val="00715F3D"/>
    <w:rsid w:val="00717AB1"/>
    <w:rsid w:val="00717C64"/>
    <w:rsid w:val="00720A90"/>
    <w:rsid w:val="00720DAE"/>
    <w:rsid w:val="007216F4"/>
    <w:rsid w:val="00721FA0"/>
    <w:rsid w:val="00723983"/>
    <w:rsid w:val="00723D07"/>
    <w:rsid w:val="00724D17"/>
    <w:rsid w:val="00724F55"/>
    <w:rsid w:val="007251A8"/>
    <w:rsid w:val="00725377"/>
    <w:rsid w:val="0072581E"/>
    <w:rsid w:val="00725A13"/>
    <w:rsid w:val="00725D86"/>
    <w:rsid w:val="00725ED2"/>
    <w:rsid w:val="00726971"/>
    <w:rsid w:val="00726AF5"/>
    <w:rsid w:val="00726EA9"/>
    <w:rsid w:val="00726FAE"/>
    <w:rsid w:val="007275FF"/>
    <w:rsid w:val="0073042E"/>
    <w:rsid w:val="007309B6"/>
    <w:rsid w:val="00730E45"/>
    <w:rsid w:val="007310C8"/>
    <w:rsid w:val="007317A2"/>
    <w:rsid w:val="00731AD7"/>
    <w:rsid w:val="0073350F"/>
    <w:rsid w:val="00733E4C"/>
    <w:rsid w:val="007345C8"/>
    <w:rsid w:val="00734763"/>
    <w:rsid w:val="00734CF7"/>
    <w:rsid w:val="00735308"/>
    <w:rsid w:val="007375EF"/>
    <w:rsid w:val="007376E7"/>
    <w:rsid w:val="00740A56"/>
    <w:rsid w:val="00740CF1"/>
    <w:rsid w:val="00740E80"/>
    <w:rsid w:val="00741375"/>
    <w:rsid w:val="007414D8"/>
    <w:rsid w:val="00741684"/>
    <w:rsid w:val="00741D6E"/>
    <w:rsid w:val="00744296"/>
    <w:rsid w:val="00744A1C"/>
    <w:rsid w:val="00744AB5"/>
    <w:rsid w:val="0074517B"/>
    <w:rsid w:val="00745E33"/>
    <w:rsid w:val="00745F1D"/>
    <w:rsid w:val="007473D5"/>
    <w:rsid w:val="0075210F"/>
    <w:rsid w:val="00753965"/>
    <w:rsid w:val="0075429B"/>
    <w:rsid w:val="00755637"/>
    <w:rsid w:val="007556F9"/>
    <w:rsid w:val="007559CF"/>
    <w:rsid w:val="00755BE5"/>
    <w:rsid w:val="0075605E"/>
    <w:rsid w:val="007565A3"/>
    <w:rsid w:val="00756F9A"/>
    <w:rsid w:val="007571E2"/>
    <w:rsid w:val="00757A95"/>
    <w:rsid w:val="00760354"/>
    <w:rsid w:val="007603B6"/>
    <w:rsid w:val="00760E91"/>
    <w:rsid w:val="00762F47"/>
    <w:rsid w:val="00763830"/>
    <w:rsid w:val="00764BC9"/>
    <w:rsid w:val="00765BEF"/>
    <w:rsid w:val="007660B7"/>
    <w:rsid w:val="007676DE"/>
    <w:rsid w:val="00770174"/>
    <w:rsid w:val="0077087C"/>
    <w:rsid w:val="00773080"/>
    <w:rsid w:val="007735AB"/>
    <w:rsid w:val="00773927"/>
    <w:rsid w:val="00773E4E"/>
    <w:rsid w:val="00774041"/>
    <w:rsid w:val="00775ECB"/>
    <w:rsid w:val="00775FFA"/>
    <w:rsid w:val="0077627B"/>
    <w:rsid w:val="007771C5"/>
    <w:rsid w:val="007773FC"/>
    <w:rsid w:val="00777AC5"/>
    <w:rsid w:val="00777B6E"/>
    <w:rsid w:val="00780021"/>
    <w:rsid w:val="00780824"/>
    <w:rsid w:val="00780989"/>
    <w:rsid w:val="0078259F"/>
    <w:rsid w:val="00782872"/>
    <w:rsid w:val="007830A1"/>
    <w:rsid w:val="00783F6E"/>
    <w:rsid w:val="00784287"/>
    <w:rsid w:val="0078454F"/>
    <w:rsid w:val="00786777"/>
    <w:rsid w:val="007867F3"/>
    <w:rsid w:val="0078708C"/>
    <w:rsid w:val="007879AF"/>
    <w:rsid w:val="00790393"/>
    <w:rsid w:val="007913ED"/>
    <w:rsid w:val="00791A39"/>
    <w:rsid w:val="00792322"/>
    <w:rsid w:val="007929A7"/>
    <w:rsid w:val="00792E91"/>
    <w:rsid w:val="00793030"/>
    <w:rsid w:val="00793797"/>
    <w:rsid w:val="00794771"/>
    <w:rsid w:val="00794BCA"/>
    <w:rsid w:val="0079502C"/>
    <w:rsid w:val="007953B4"/>
    <w:rsid w:val="007957CA"/>
    <w:rsid w:val="00795992"/>
    <w:rsid w:val="00796046"/>
    <w:rsid w:val="007964EE"/>
    <w:rsid w:val="0079662E"/>
    <w:rsid w:val="00796941"/>
    <w:rsid w:val="00796AAA"/>
    <w:rsid w:val="007971A1"/>
    <w:rsid w:val="00797535"/>
    <w:rsid w:val="007A0703"/>
    <w:rsid w:val="007A0888"/>
    <w:rsid w:val="007A0C3B"/>
    <w:rsid w:val="007A2501"/>
    <w:rsid w:val="007A262F"/>
    <w:rsid w:val="007A3720"/>
    <w:rsid w:val="007A497B"/>
    <w:rsid w:val="007A5077"/>
    <w:rsid w:val="007A52DD"/>
    <w:rsid w:val="007A5456"/>
    <w:rsid w:val="007A6185"/>
    <w:rsid w:val="007A75F6"/>
    <w:rsid w:val="007A7EB7"/>
    <w:rsid w:val="007B0630"/>
    <w:rsid w:val="007B0D64"/>
    <w:rsid w:val="007B10B3"/>
    <w:rsid w:val="007B17D4"/>
    <w:rsid w:val="007B1D12"/>
    <w:rsid w:val="007B1EC3"/>
    <w:rsid w:val="007B2361"/>
    <w:rsid w:val="007B299E"/>
    <w:rsid w:val="007B2F17"/>
    <w:rsid w:val="007B3879"/>
    <w:rsid w:val="007B42EB"/>
    <w:rsid w:val="007B44F7"/>
    <w:rsid w:val="007B46B3"/>
    <w:rsid w:val="007B48B9"/>
    <w:rsid w:val="007B5324"/>
    <w:rsid w:val="007B54DF"/>
    <w:rsid w:val="007B5977"/>
    <w:rsid w:val="007B5CD8"/>
    <w:rsid w:val="007B5D87"/>
    <w:rsid w:val="007B602B"/>
    <w:rsid w:val="007B6038"/>
    <w:rsid w:val="007B641F"/>
    <w:rsid w:val="007B6D51"/>
    <w:rsid w:val="007B6F79"/>
    <w:rsid w:val="007B783A"/>
    <w:rsid w:val="007C2295"/>
    <w:rsid w:val="007C32A9"/>
    <w:rsid w:val="007C3DC9"/>
    <w:rsid w:val="007C3F88"/>
    <w:rsid w:val="007C4947"/>
    <w:rsid w:val="007C4F71"/>
    <w:rsid w:val="007C5065"/>
    <w:rsid w:val="007C6806"/>
    <w:rsid w:val="007C6A0B"/>
    <w:rsid w:val="007D1D2B"/>
    <w:rsid w:val="007D3E1B"/>
    <w:rsid w:val="007D4929"/>
    <w:rsid w:val="007D4ACF"/>
    <w:rsid w:val="007D4AF6"/>
    <w:rsid w:val="007D4FEB"/>
    <w:rsid w:val="007D53DF"/>
    <w:rsid w:val="007D5FD1"/>
    <w:rsid w:val="007D61A8"/>
    <w:rsid w:val="007D6470"/>
    <w:rsid w:val="007D65AE"/>
    <w:rsid w:val="007E01CF"/>
    <w:rsid w:val="007E1E4D"/>
    <w:rsid w:val="007E2EBF"/>
    <w:rsid w:val="007E332E"/>
    <w:rsid w:val="007E3924"/>
    <w:rsid w:val="007E4023"/>
    <w:rsid w:val="007E46CA"/>
    <w:rsid w:val="007E47E8"/>
    <w:rsid w:val="007E498A"/>
    <w:rsid w:val="007E6103"/>
    <w:rsid w:val="007E686F"/>
    <w:rsid w:val="007E6AE3"/>
    <w:rsid w:val="007E6DD9"/>
    <w:rsid w:val="007F0208"/>
    <w:rsid w:val="007F05C0"/>
    <w:rsid w:val="007F091A"/>
    <w:rsid w:val="007F094B"/>
    <w:rsid w:val="007F229D"/>
    <w:rsid w:val="007F22AD"/>
    <w:rsid w:val="007F3405"/>
    <w:rsid w:val="007F4190"/>
    <w:rsid w:val="007F4CD0"/>
    <w:rsid w:val="007F4E53"/>
    <w:rsid w:val="007F5ABC"/>
    <w:rsid w:val="007F7038"/>
    <w:rsid w:val="00800121"/>
    <w:rsid w:val="00801184"/>
    <w:rsid w:val="0080128F"/>
    <w:rsid w:val="008018D9"/>
    <w:rsid w:val="0080196D"/>
    <w:rsid w:val="00804394"/>
    <w:rsid w:val="008049FC"/>
    <w:rsid w:val="008060A5"/>
    <w:rsid w:val="00806335"/>
    <w:rsid w:val="008105E2"/>
    <w:rsid w:val="008110DA"/>
    <w:rsid w:val="008125B2"/>
    <w:rsid w:val="008128CA"/>
    <w:rsid w:val="00813440"/>
    <w:rsid w:val="00813788"/>
    <w:rsid w:val="00814FBB"/>
    <w:rsid w:val="00817D8F"/>
    <w:rsid w:val="00820165"/>
    <w:rsid w:val="00821493"/>
    <w:rsid w:val="008218B4"/>
    <w:rsid w:val="00822542"/>
    <w:rsid w:val="0082261C"/>
    <w:rsid w:val="00822733"/>
    <w:rsid w:val="00823380"/>
    <w:rsid w:val="00823B45"/>
    <w:rsid w:val="008245CD"/>
    <w:rsid w:val="008247A0"/>
    <w:rsid w:val="00826080"/>
    <w:rsid w:val="00826B87"/>
    <w:rsid w:val="008275B9"/>
    <w:rsid w:val="00827EFD"/>
    <w:rsid w:val="0083003C"/>
    <w:rsid w:val="0083005C"/>
    <w:rsid w:val="00830176"/>
    <w:rsid w:val="00830559"/>
    <w:rsid w:val="008306C6"/>
    <w:rsid w:val="00830BB7"/>
    <w:rsid w:val="00830ED5"/>
    <w:rsid w:val="00830FD9"/>
    <w:rsid w:val="00831151"/>
    <w:rsid w:val="0083160C"/>
    <w:rsid w:val="00831B8F"/>
    <w:rsid w:val="008330DE"/>
    <w:rsid w:val="0083439B"/>
    <w:rsid w:val="008354E0"/>
    <w:rsid w:val="00835764"/>
    <w:rsid w:val="00835FD7"/>
    <w:rsid w:val="008360F0"/>
    <w:rsid w:val="0083626C"/>
    <w:rsid w:val="00836495"/>
    <w:rsid w:val="0083680A"/>
    <w:rsid w:val="00836BEB"/>
    <w:rsid w:val="00837124"/>
    <w:rsid w:val="00837259"/>
    <w:rsid w:val="00837436"/>
    <w:rsid w:val="00837B97"/>
    <w:rsid w:val="0084238B"/>
    <w:rsid w:val="008430A5"/>
    <w:rsid w:val="0084318E"/>
    <w:rsid w:val="0084496F"/>
    <w:rsid w:val="00845982"/>
    <w:rsid w:val="00845BB2"/>
    <w:rsid w:val="00847740"/>
    <w:rsid w:val="00850983"/>
    <w:rsid w:val="00850C5C"/>
    <w:rsid w:val="00850CFE"/>
    <w:rsid w:val="008510D4"/>
    <w:rsid w:val="008526E0"/>
    <w:rsid w:val="00852998"/>
    <w:rsid w:val="008555E8"/>
    <w:rsid w:val="00856941"/>
    <w:rsid w:val="00856FEA"/>
    <w:rsid w:val="00857A7C"/>
    <w:rsid w:val="008603C2"/>
    <w:rsid w:val="00860CD0"/>
    <w:rsid w:val="00861E90"/>
    <w:rsid w:val="00862994"/>
    <w:rsid w:val="00863544"/>
    <w:rsid w:val="00864864"/>
    <w:rsid w:val="00864B6D"/>
    <w:rsid w:val="0086546A"/>
    <w:rsid w:val="00866C84"/>
    <w:rsid w:val="00867BF8"/>
    <w:rsid w:val="008703F4"/>
    <w:rsid w:val="00870418"/>
    <w:rsid w:val="00870D4D"/>
    <w:rsid w:val="0087251F"/>
    <w:rsid w:val="008728A7"/>
    <w:rsid w:val="00873D57"/>
    <w:rsid w:val="00874112"/>
    <w:rsid w:val="008758CD"/>
    <w:rsid w:val="00875D97"/>
    <w:rsid w:val="00875E10"/>
    <w:rsid w:val="00876D05"/>
    <w:rsid w:val="00877445"/>
    <w:rsid w:val="008775FD"/>
    <w:rsid w:val="00877682"/>
    <w:rsid w:val="008777DC"/>
    <w:rsid w:val="008778B5"/>
    <w:rsid w:val="00880BCE"/>
    <w:rsid w:val="008810AF"/>
    <w:rsid w:val="008819E4"/>
    <w:rsid w:val="00882188"/>
    <w:rsid w:val="008830EF"/>
    <w:rsid w:val="00884773"/>
    <w:rsid w:val="00885077"/>
    <w:rsid w:val="00885353"/>
    <w:rsid w:val="008859AA"/>
    <w:rsid w:val="00885AA0"/>
    <w:rsid w:val="00885B3D"/>
    <w:rsid w:val="008860D1"/>
    <w:rsid w:val="00886AC1"/>
    <w:rsid w:val="00887AF8"/>
    <w:rsid w:val="00890FED"/>
    <w:rsid w:val="0089149B"/>
    <w:rsid w:val="008933CF"/>
    <w:rsid w:val="00894C25"/>
    <w:rsid w:val="00894C36"/>
    <w:rsid w:val="00894DAC"/>
    <w:rsid w:val="00894E12"/>
    <w:rsid w:val="00894E56"/>
    <w:rsid w:val="00895362"/>
    <w:rsid w:val="0089668C"/>
    <w:rsid w:val="008967E2"/>
    <w:rsid w:val="00896DB7"/>
    <w:rsid w:val="008A0783"/>
    <w:rsid w:val="008A1356"/>
    <w:rsid w:val="008A1674"/>
    <w:rsid w:val="008A225D"/>
    <w:rsid w:val="008A3EFC"/>
    <w:rsid w:val="008A4630"/>
    <w:rsid w:val="008A54A0"/>
    <w:rsid w:val="008A57EB"/>
    <w:rsid w:val="008A60E2"/>
    <w:rsid w:val="008A6F00"/>
    <w:rsid w:val="008A7913"/>
    <w:rsid w:val="008B0B3D"/>
    <w:rsid w:val="008B0C35"/>
    <w:rsid w:val="008B126D"/>
    <w:rsid w:val="008B14DD"/>
    <w:rsid w:val="008B241E"/>
    <w:rsid w:val="008B55E3"/>
    <w:rsid w:val="008B5AE2"/>
    <w:rsid w:val="008B5B7E"/>
    <w:rsid w:val="008B67CE"/>
    <w:rsid w:val="008C05BB"/>
    <w:rsid w:val="008C0DB1"/>
    <w:rsid w:val="008C1466"/>
    <w:rsid w:val="008C2810"/>
    <w:rsid w:val="008C3327"/>
    <w:rsid w:val="008C3667"/>
    <w:rsid w:val="008C372B"/>
    <w:rsid w:val="008C37D4"/>
    <w:rsid w:val="008C48D1"/>
    <w:rsid w:val="008C510F"/>
    <w:rsid w:val="008C58FD"/>
    <w:rsid w:val="008C6290"/>
    <w:rsid w:val="008C6CA6"/>
    <w:rsid w:val="008C7074"/>
    <w:rsid w:val="008D070D"/>
    <w:rsid w:val="008D0F0B"/>
    <w:rsid w:val="008D10E7"/>
    <w:rsid w:val="008D1374"/>
    <w:rsid w:val="008D191A"/>
    <w:rsid w:val="008D37DA"/>
    <w:rsid w:val="008D4975"/>
    <w:rsid w:val="008D5874"/>
    <w:rsid w:val="008D59C7"/>
    <w:rsid w:val="008D5FE6"/>
    <w:rsid w:val="008D602F"/>
    <w:rsid w:val="008D6657"/>
    <w:rsid w:val="008E1FA7"/>
    <w:rsid w:val="008E2911"/>
    <w:rsid w:val="008E2EAC"/>
    <w:rsid w:val="008E37BD"/>
    <w:rsid w:val="008E3ADA"/>
    <w:rsid w:val="008E3BB3"/>
    <w:rsid w:val="008E4B59"/>
    <w:rsid w:val="008E4D2E"/>
    <w:rsid w:val="008E52ED"/>
    <w:rsid w:val="008E5875"/>
    <w:rsid w:val="008E59AA"/>
    <w:rsid w:val="008E5EA9"/>
    <w:rsid w:val="008E62BD"/>
    <w:rsid w:val="008E66F6"/>
    <w:rsid w:val="008E6B89"/>
    <w:rsid w:val="008E6CFC"/>
    <w:rsid w:val="008E7F3E"/>
    <w:rsid w:val="008F0813"/>
    <w:rsid w:val="008F0CA7"/>
    <w:rsid w:val="008F1A16"/>
    <w:rsid w:val="008F1A98"/>
    <w:rsid w:val="008F258C"/>
    <w:rsid w:val="008F3112"/>
    <w:rsid w:val="008F3BB8"/>
    <w:rsid w:val="008F4513"/>
    <w:rsid w:val="008F4BEC"/>
    <w:rsid w:val="008F5A50"/>
    <w:rsid w:val="008F5B45"/>
    <w:rsid w:val="008F72BE"/>
    <w:rsid w:val="008F7CCA"/>
    <w:rsid w:val="009001B2"/>
    <w:rsid w:val="009006DA"/>
    <w:rsid w:val="009007D9"/>
    <w:rsid w:val="009008F7"/>
    <w:rsid w:val="00900D4D"/>
    <w:rsid w:val="00901417"/>
    <w:rsid w:val="009016EF"/>
    <w:rsid w:val="00901B6E"/>
    <w:rsid w:val="00901D24"/>
    <w:rsid w:val="009044E3"/>
    <w:rsid w:val="009046DF"/>
    <w:rsid w:val="00904A7F"/>
    <w:rsid w:val="009059CB"/>
    <w:rsid w:val="009062DE"/>
    <w:rsid w:val="00906FEB"/>
    <w:rsid w:val="009076D1"/>
    <w:rsid w:val="00907AFA"/>
    <w:rsid w:val="00907B39"/>
    <w:rsid w:val="00910232"/>
    <w:rsid w:val="00910CC0"/>
    <w:rsid w:val="0091183A"/>
    <w:rsid w:val="00911C81"/>
    <w:rsid w:val="00911D87"/>
    <w:rsid w:val="009130D0"/>
    <w:rsid w:val="00913814"/>
    <w:rsid w:val="00913ABD"/>
    <w:rsid w:val="00913F4B"/>
    <w:rsid w:val="00914562"/>
    <w:rsid w:val="00916248"/>
    <w:rsid w:val="0091682D"/>
    <w:rsid w:val="0091777D"/>
    <w:rsid w:val="00921143"/>
    <w:rsid w:val="0092147B"/>
    <w:rsid w:val="00922370"/>
    <w:rsid w:val="009228B2"/>
    <w:rsid w:val="009236D8"/>
    <w:rsid w:val="0092388A"/>
    <w:rsid w:val="00924768"/>
    <w:rsid w:val="00924CF9"/>
    <w:rsid w:val="00925353"/>
    <w:rsid w:val="009253DB"/>
    <w:rsid w:val="00925A94"/>
    <w:rsid w:val="00925BE7"/>
    <w:rsid w:val="00927D62"/>
    <w:rsid w:val="009315BC"/>
    <w:rsid w:val="00932192"/>
    <w:rsid w:val="00932788"/>
    <w:rsid w:val="0093310D"/>
    <w:rsid w:val="00933E19"/>
    <w:rsid w:val="009350F4"/>
    <w:rsid w:val="00936CDB"/>
    <w:rsid w:val="009375A5"/>
    <w:rsid w:val="00940B52"/>
    <w:rsid w:val="00940B6B"/>
    <w:rsid w:val="00942946"/>
    <w:rsid w:val="00942D6F"/>
    <w:rsid w:val="00943412"/>
    <w:rsid w:val="00943B2E"/>
    <w:rsid w:val="00944E66"/>
    <w:rsid w:val="00944F23"/>
    <w:rsid w:val="0094536C"/>
    <w:rsid w:val="009455E4"/>
    <w:rsid w:val="00945D11"/>
    <w:rsid w:val="00945DDD"/>
    <w:rsid w:val="009461AC"/>
    <w:rsid w:val="00946A46"/>
    <w:rsid w:val="009472D2"/>
    <w:rsid w:val="00947697"/>
    <w:rsid w:val="0094789A"/>
    <w:rsid w:val="009503E2"/>
    <w:rsid w:val="00951570"/>
    <w:rsid w:val="0095168D"/>
    <w:rsid w:val="00952AE1"/>
    <w:rsid w:val="00955510"/>
    <w:rsid w:val="009557F9"/>
    <w:rsid w:val="009576A8"/>
    <w:rsid w:val="00960F67"/>
    <w:rsid w:val="00961CD2"/>
    <w:rsid w:val="0096219C"/>
    <w:rsid w:val="0096233C"/>
    <w:rsid w:val="00962B76"/>
    <w:rsid w:val="009639A8"/>
    <w:rsid w:val="00963DDE"/>
    <w:rsid w:val="009645E2"/>
    <w:rsid w:val="009656AA"/>
    <w:rsid w:val="00965A86"/>
    <w:rsid w:val="009663FB"/>
    <w:rsid w:val="00966590"/>
    <w:rsid w:val="009668BF"/>
    <w:rsid w:val="00967D51"/>
    <w:rsid w:val="0097061F"/>
    <w:rsid w:val="009708B0"/>
    <w:rsid w:val="00970C5C"/>
    <w:rsid w:val="00971DE1"/>
    <w:rsid w:val="00972143"/>
    <w:rsid w:val="00972B38"/>
    <w:rsid w:val="00972C70"/>
    <w:rsid w:val="00973C5B"/>
    <w:rsid w:val="00973F92"/>
    <w:rsid w:val="00974224"/>
    <w:rsid w:val="00974AF6"/>
    <w:rsid w:val="00974F8D"/>
    <w:rsid w:val="00974FF1"/>
    <w:rsid w:val="00975D34"/>
    <w:rsid w:val="009767D3"/>
    <w:rsid w:val="00977406"/>
    <w:rsid w:val="00977DD3"/>
    <w:rsid w:val="009819FB"/>
    <w:rsid w:val="00981C00"/>
    <w:rsid w:val="00982BF2"/>
    <w:rsid w:val="0098463E"/>
    <w:rsid w:val="0098508F"/>
    <w:rsid w:val="00985599"/>
    <w:rsid w:val="00985EC4"/>
    <w:rsid w:val="00986F27"/>
    <w:rsid w:val="00987330"/>
    <w:rsid w:val="009876E1"/>
    <w:rsid w:val="00987873"/>
    <w:rsid w:val="00990B53"/>
    <w:rsid w:val="00991BC3"/>
    <w:rsid w:val="00991CB2"/>
    <w:rsid w:val="00992E31"/>
    <w:rsid w:val="00993B21"/>
    <w:rsid w:val="009964BF"/>
    <w:rsid w:val="0099667B"/>
    <w:rsid w:val="00997D67"/>
    <w:rsid w:val="009A01B3"/>
    <w:rsid w:val="009A14C3"/>
    <w:rsid w:val="009A4241"/>
    <w:rsid w:val="009A53CC"/>
    <w:rsid w:val="009A6434"/>
    <w:rsid w:val="009A6EC2"/>
    <w:rsid w:val="009A7001"/>
    <w:rsid w:val="009A774A"/>
    <w:rsid w:val="009A79AC"/>
    <w:rsid w:val="009A7AF8"/>
    <w:rsid w:val="009A7DA5"/>
    <w:rsid w:val="009B01D4"/>
    <w:rsid w:val="009B0C22"/>
    <w:rsid w:val="009B0FA3"/>
    <w:rsid w:val="009B1C80"/>
    <w:rsid w:val="009B28D7"/>
    <w:rsid w:val="009B2B08"/>
    <w:rsid w:val="009B2BB1"/>
    <w:rsid w:val="009B36E8"/>
    <w:rsid w:val="009B3E63"/>
    <w:rsid w:val="009B64CF"/>
    <w:rsid w:val="009B7253"/>
    <w:rsid w:val="009C047B"/>
    <w:rsid w:val="009C04BD"/>
    <w:rsid w:val="009C0AA6"/>
    <w:rsid w:val="009C128F"/>
    <w:rsid w:val="009C2E28"/>
    <w:rsid w:val="009C3598"/>
    <w:rsid w:val="009C39AA"/>
    <w:rsid w:val="009C5F2E"/>
    <w:rsid w:val="009C5FC6"/>
    <w:rsid w:val="009C61D1"/>
    <w:rsid w:val="009D3969"/>
    <w:rsid w:val="009D3F47"/>
    <w:rsid w:val="009D4F53"/>
    <w:rsid w:val="009D5782"/>
    <w:rsid w:val="009D59B0"/>
    <w:rsid w:val="009D6CB0"/>
    <w:rsid w:val="009D6CC9"/>
    <w:rsid w:val="009E03BE"/>
    <w:rsid w:val="009E07BB"/>
    <w:rsid w:val="009E0878"/>
    <w:rsid w:val="009E1D3E"/>
    <w:rsid w:val="009E2720"/>
    <w:rsid w:val="009E2759"/>
    <w:rsid w:val="009E30A4"/>
    <w:rsid w:val="009E4824"/>
    <w:rsid w:val="009E5594"/>
    <w:rsid w:val="009E67C9"/>
    <w:rsid w:val="009E6C63"/>
    <w:rsid w:val="009E6DE8"/>
    <w:rsid w:val="009E7AB9"/>
    <w:rsid w:val="009F1BE2"/>
    <w:rsid w:val="009F240C"/>
    <w:rsid w:val="009F2C77"/>
    <w:rsid w:val="009F3653"/>
    <w:rsid w:val="009F4224"/>
    <w:rsid w:val="009F4A0C"/>
    <w:rsid w:val="009F4A72"/>
    <w:rsid w:val="009F5327"/>
    <w:rsid w:val="009F5E16"/>
    <w:rsid w:val="009F5E58"/>
    <w:rsid w:val="009F6DDF"/>
    <w:rsid w:val="00A00A9C"/>
    <w:rsid w:val="00A0193B"/>
    <w:rsid w:val="00A0290C"/>
    <w:rsid w:val="00A0400A"/>
    <w:rsid w:val="00A0542F"/>
    <w:rsid w:val="00A058BD"/>
    <w:rsid w:val="00A05A22"/>
    <w:rsid w:val="00A05F81"/>
    <w:rsid w:val="00A068A7"/>
    <w:rsid w:val="00A07A65"/>
    <w:rsid w:val="00A1230F"/>
    <w:rsid w:val="00A12D37"/>
    <w:rsid w:val="00A13668"/>
    <w:rsid w:val="00A143B4"/>
    <w:rsid w:val="00A15D13"/>
    <w:rsid w:val="00A15E99"/>
    <w:rsid w:val="00A161DD"/>
    <w:rsid w:val="00A16415"/>
    <w:rsid w:val="00A2056F"/>
    <w:rsid w:val="00A20850"/>
    <w:rsid w:val="00A209AB"/>
    <w:rsid w:val="00A21090"/>
    <w:rsid w:val="00A21778"/>
    <w:rsid w:val="00A22363"/>
    <w:rsid w:val="00A2310F"/>
    <w:rsid w:val="00A234C9"/>
    <w:rsid w:val="00A24090"/>
    <w:rsid w:val="00A2459B"/>
    <w:rsid w:val="00A24BCE"/>
    <w:rsid w:val="00A25AE0"/>
    <w:rsid w:val="00A25E11"/>
    <w:rsid w:val="00A25E74"/>
    <w:rsid w:val="00A26159"/>
    <w:rsid w:val="00A2642A"/>
    <w:rsid w:val="00A26AD5"/>
    <w:rsid w:val="00A276C9"/>
    <w:rsid w:val="00A27B1B"/>
    <w:rsid w:val="00A30C8C"/>
    <w:rsid w:val="00A30E1D"/>
    <w:rsid w:val="00A30F05"/>
    <w:rsid w:val="00A329D1"/>
    <w:rsid w:val="00A32C9F"/>
    <w:rsid w:val="00A33A08"/>
    <w:rsid w:val="00A33F92"/>
    <w:rsid w:val="00A34ED2"/>
    <w:rsid w:val="00A35EDE"/>
    <w:rsid w:val="00A36CA9"/>
    <w:rsid w:val="00A37B1B"/>
    <w:rsid w:val="00A37D34"/>
    <w:rsid w:val="00A40653"/>
    <w:rsid w:val="00A40AE4"/>
    <w:rsid w:val="00A41404"/>
    <w:rsid w:val="00A4241F"/>
    <w:rsid w:val="00A42FC1"/>
    <w:rsid w:val="00A438C1"/>
    <w:rsid w:val="00A43A6C"/>
    <w:rsid w:val="00A44704"/>
    <w:rsid w:val="00A46424"/>
    <w:rsid w:val="00A478DC"/>
    <w:rsid w:val="00A478E6"/>
    <w:rsid w:val="00A50FBD"/>
    <w:rsid w:val="00A51900"/>
    <w:rsid w:val="00A519F8"/>
    <w:rsid w:val="00A51FCA"/>
    <w:rsid w:val="00A54760"/>
    <w:rsid w:val="00A54D62"/>
    <w:rsid w:val="00A552FE"/>
    <w:rsid w:val="00A556DF"/>
    <w:rsid w:val="00A5579D"/>
    <w:rsid w:val="00A55A65"/>
    <w:rsid w:val="00A6076B"/>
    <w:rsid w:val="00A60975"/>
    <w:rsid w:val="00A60B19"/>
    <w:rsid w:val="00A61810"/>
    <w:rsid w:val="00A628A8"/>
    <w:rsid w:val="00A6356D"/>
    <w:rsid w:val="00A639AD"/>
    <w:rsid w:val="00A6401B"/>
    <w:rsid w:val="00A6423E"/>
    <w:rsid w:val="00A6459E"/>
    <w:rsid w:val="00A6486D"/>
    <w:rsid w:val="00A648C5"/>
    <w:rsid w:val="00A653E8"/>
    <w:rsid w:val="00A655AD"/>
    <w:rsid w:val="00A657DB"/>
    <w:rsid w:val="00A6581D"/>
    <w:rsid w:val="00A66125"/>
    <w:rsid w:val="00A667E6"/>
    <w:rsid w:val="00A668D6"/>
    <w:rsid w:val="00A66A9F"/>
    <w:rsid w:val="00A67332"/>
    <w:rsid w:val="00A70000"/>
    <w:rsid w:val="00A7111B"/>
    <w:rsid w:val="00A716DD"/>
    <w:rsid w:val="00A71E8E"/>
    <w:rsid w:val="00A72BD1"/>
    <w:rsid w:val="00A72F8E"/>
    <w:rsid w:val="00A732FE"/>
    <w:rsid w:val="00A745EB"/>
    <w:rsid w:val="00A7478F"/>
    <w:rsid w:val="00A749A9"/>
    <w:rsid w:val="00A751DD"/>
    <w:rsid w:val="00A77239"/>
    <w:rsid w:val="00A77942"/>
    <w:rsid w:val="00A80A89"/>
    <w:rsid w:val="00A80E75"/>
    <w:rsid w:val="00A81A58"/>
    <w:rsid w:val="00A83E42"/>
    <w:rsid w:val="00A83F0E"/>
    <w:rsid w:val="00A8452F"/>
    <w:rsid w:val="00A86979"/>
    <w:rsid w:val="00A87799"/>
    <w:rsid w:val="00A914B5"/>
    <w:rsid w:val="00A91F7E"/>
    <w:rsid w:val="00A93200"/>
    <w:rsid w:val="00A9330B"/>
    <w:rsid w:val="00A940EB"/>
    <w:rsid w:val="00A948BA"/>
    <w:rsid w:val="00A95311"/>
    <w:rsid w:val="00A9559E"/>
    <w:rsid w:val="00A97016"/>
    <w:rsid w:val="00A971B5"/>
    <w:rsid w:val="00A97BB1"/>
    <w:rsid w:val="00A97F2F"/>
    <w:rsid w:val="00AA000A"/>
    <w:rsid w:val="00AA1076"/>
    <w:rsid w:val="00AA124E"/>
    <w:rsid w:val="00AA18B0"/>
    <w:rsid w:val="00AA21A6"/>
    <w:rsid w:val="00AA2DD8"/>
    <w:rsid w:val="00AA378D"/>
    <w:rsid w:val="00AA3935"/>
    <w:rsid w:val="00AA4D66"/>
    <w:rsid w:val="00AA532F"/>
    <w:rsid w:val="00AA5C25"/>
    <w:rsid w:val="00AB14B0"/>
    <w:rsid w:val="00AB1601"/>
    <w:rsid w:val="00AB1F96"/>
    <w:rsid w:val="00AB307D"/>
    <w:rsid w:val="00AB41B1"/>
    <w:rsid w:val="00AB49D2"/>
    <w:rsid w:val="00AB49D8"/>
    <w:rsid w:val="00AB5AFC"/>
    <w:rsid w:val="00AB5B22"/>
    <w:rsid w:val="00AB685F"/>
    <w:rsid w:val="00AC0904"/>
    <w:rsid w:val="00AC0B83"/>
    <w:rsid w:val="00AC1AE6"/>
    <w:rsid w:val="00AC1D1F"/>
    <w:rsid w:val="00AC271A"/>
    <w:rsid w:val="00AC28CD"/>
    <w:rsid w:val="00AC2C70"/>
    <w:rsid w:val="00AC2FC8"/>
    <w:rsid w:val="00AC3A2F"/>
    <w:rsid w:val="00AC41E0"/>
    <w:rsid w:val="00AC5626"/>
    <w:rsid w:val="00AC6146"/>
    <w:rsid w:val="00AC64A5"/>
    <w:rsid w:val="00AD1001"/>
    <w:rsid w:val="00AD18DF"/>
    <w:rsid w:val="00AD26AE"/>
    <w:rsid w:val="00AD2964"/>
    <w:rsid w:val="00AD31BF"/>
    <w:rsid w:val="00AD365B"/>
    <w:rsid w:val="00AD4202"/>
    <w:rsid w:val="00AD4277"/>
    <w:rsid w:val="00AD45E0"/>
    <w:rsid w:val="00AD47BC"/>
    <w:rsid w:val="00AD59AA"/>
    <w:rsid w:val="00AD59C1"/>
    <w:rsid w:val="00AD5C3C"/>
    <w:rsid w:val="00AD5F3C"/>
    <w:rsid w:val="00AD607D"/>
    <w:rsid w:val="00AD718D"/>
    <w:rsid w:val="00AD79A3"/>
    <w:rsid w:val="00AE01C7"/>
    <w:rsid w:val="00AE0778"/>
    <w:rsid w:val="00AE0E08"/>
    <w:rsid w:val="00AE16AF"/>
    <w:rsid w:val="00AE1E35"/>
    <w:rsid w:val="00AE20F0"/>
    <w:rsid w:val="00AE2389"/>
    <w:rsid w:val="00AE270B"/>
    <w:rsid w:val="00AE288A"/>
    <w:rsid w:val="00AE3412"/>
    <w:rsid w:val="00AE4D35"/>
    <w:rsid w:val="00AE5118"/>
    <w:rsid w:val="00AE5471"/>
    <w:rsid w:val="00AE5D28"/>
    <w:rsid w:val="00AE5DAC"/>
    <w:rsid w:val="00AE5F06"/>
    <w:rsid w:val="00AE6117"/>
    <w:rsid w:val="00AE64FD"/>
    <w:rsid w:val="00AE6F06"/>
    <w:rsid w:val="00AF00DF"/>
    <w:rsid w:val="00AF04CD"/>
    <w:rsid w:val="00AF0979"/>
    <w:rsid w:val="00AF0A2F"/>
    <w:rsid w:val="00AF0B36"/>
    <w:rsid w:val="00AF217C"/>
    <w:rsid w:val="00AF21B7"/>
    <w:rsid w:val="00AF2766"/>
    <w:rsid w:val="00AF2C4C"/>
    <w:rsid w:val="00AF2D8E"/>
    <w:rsid w:val="00AF3302"/>
    <w:rsid w:val="00AF33DF"/>
    <w:rsid w:val="00AF42D3"/>
    <w:rsid w:val="00AF4A9B"/>
    <w:rsid w:val="00AF51B4"/>
    <w:rsid w:val="00AF563C"/>
    <w:rsid w:val="00AF700C"/>
    <w:rsid w:val="00AF7396"/>
    <w:rsid w:val="00AF7EE3"/>
    <w:rsid w:val="00B00CFC"/>
    <w:rsid w:val="00B00FF2"/>
    <w:rsid w:val="00B01257"/>
    <w:rsid w:val="00B01FB6"/>
    <w:rsid w:val="00B027F4"/>
    <w:rsid w:val="00B03098"/>
    <w:rsid w:val="00B03FEA"/>
    <w:rsid w:val="00B05B01"/>
    <w:rsid w:val="00B06F3F"/>
    <w:rsid w:val="00B07757"/>
    <w:rsid w:val="00B0793F"/>
    <w:rsid w:val="00B07FDC"/>
    <w:rsid w:val="00B1002E"/>
    <w:rsid w:val="00B11271"/>
    <w:rsid w:val="00B11AF5"/>
    <w:rsid w:val="00B12AFF"/>
    <w:rsid w:val="00B12ED2"/>
    <w:rsid w:val="00B13812"/>
    <w:rsid w:val="00B14330"/>
    <w:rsid w:val="00B14CC0"/>
    <w:rsid w:val="00B16590"/>
    <w:rsid w:val="00B17010"/>
    <w:rsid w:val="00B171D4"/>
    <w:rsid w:val="00B201ED"/>
    <w:rsid w:val="00B2067B"/>
    <w:rsid w:val="00B20CFE"/>
    <w:rsid w:val="00B226F6"/>
    <w:rsid w:val="00B2333D"/>
    <w:rsid w:val="00B2373B"/>
    <w:rsid w:val="00B240CB"/>
    <w:rsid w:val="00B241CE"/>
    <w:rsid w:val="00B24ABA"/>
    <w:rsid w:val="00B25C68"/>
    <w:rsid w:val="00B263DF"/>
    <w:rsid w:val="00B30AF5"/>
    <w:rsid w:val="00B3254A"/>
    <w:rsid w:val="00B325FE"/>
    <w:rsid w:val="00B329DF"/>
    <w:rsid w:val="00B3579B"/>
    <w:rsid w:val="00B367FC"/>
    <w:rsid w:val="00B369B9"/>
    <w:rsid w:val="00B376D8"/>
    <w:rsid w:val="00B37998"/>
    <w:rsid w:val="00B37FEA"/>
    <w:rsid w:val="00B4064C"/>
    <w:rsid w:val="00B41B2B"/>
    <w:rsid w:val="00B426ED"/>
    <w:rsid w:val="00B42E0C"/>
    <w:rsid w:val="00B46BC1"/>
    <w:rsid w:val="00B47827"/>
    <w:rsid w:val="00B4793E"/>
    <w:rsid w:val="00B47FE1"/>
    <w:rsid w:val="00B506FA"/>
    <w:rsid w:val="00B509BC"/>
    <w:rsid w:val="00B52AA5"/>
    <w:rsid w:val="00B537AD"/>
    <w:rsid w:val="00B54A4C"/>
    <w:rsid w:val="00B55856"/>
    <w:rsid w:val="00B55B3A"/>
    <w:rsid w:val="00B56166"/>
    <w:rsid w:val="00B56365"/>
    <w:rsid w:val="00B57428"/>
    <w:rsid w:val="00B60990"/>
    <w:rsid w:val="00B60B1F"/>
    <w:rsid w:val="00B618DF"/>
    <w:rsid w:val="00B629FE"/>
    <w:rsid w:val="00B635BD"/>
    <w:rsid w:val="00B637B2"/>
    <w:rsid w:val="00B63C2B"/>
    <w:rsid w:val="00B64C84"/>
    <w:rsid w:val="00B65134"/>
    <w:rsid w:val="00B659B6"/>
    <w:rsid w:val="00B65D3B"/>
    <w:rsid w:val="00B66C66"/>
    <w:rsid w:val="00B67291"/>
    <w:rsid w:val="00B67B6D"/>
    <w:rsid w:val="00B70187"/>
    <w:rsid w:val="00B70AEE"/>
    <w:rsid w:val="00B71271"/>
    <w:rsid w:val="00B71450"/>
    <w:rsid w:val="00B71566"/>
    <w:rsid w:val="00B7160F"/>
    <w:rsid w:val="00B7199B"/>
    <w:rsid w:val="00B71ADF"/>
    <w:rsid w:val="00B71E5C"/>
    <w:rsid w:val="00B73110"/>
    <w:rsid w:val="00B731F9"/>
    <w:rsid w:val="00B73560"/>
    <w:rsid w:val="00B7470D"/>
    <w:rsid w:val="00B7501C"/>
    <w:rsid w:val="00B757CE"/>
    <w:rsid w:val="00B76530"/>
    <w:rsid w:val="00B76B70"/>
    <w:rsid w:val="00B77A65"/>
    <w:rsid w:val="00B77EF4"/>
    <w:rsid w:val="00B804FF"/>
    <w:rsid w:val="00B80D30"/>
    <w:rsid w:val="00B81476"/>
    <w:rsid w:val="00B81F23"/>
    <w:rsid w:val="00B82A3A"/>
    <w:rsid w:val="00B8339E"/>
    <w:rsid w:val="00B83622"/>
    <w:rsid w:val="00B85AA9"/>
    <w:rsid w:val="00B85EE2"/>
    <w:rsid w:val="00B87355"/>
    <w:rsid w:val="00B8736D"/>
    <w:rsid w:val="00B90A19"/>
    <w:rsid w:val="00B9319A"/>
    <w:rsid w:val="00B931B4"/>
    <w:rsid w:val="00B936D7"/>
    <w:rsid w:val="00B94E2B"/>
    <w:rsid w:val="00B955A3"/>
    <w:rsid w:val="00B957AD"/>
    <w:rsid w:val="00B96149"/>
    <w:rsid w:val="00BA0743"/>
    <w:rsid w:val="00BA1D16"/>
    <w:rsid w:val="00BA20DE"/>
    <w:rsid w:val="00BA43F5"/>
    <w:rsid w:val="00BA53FC"/>
    <w:rsid w:val="00BA657A"/>
    <w:rsid w:val="00BA69CB"/>
    <w:rsid w:val="00BA6C34"/>
    <w:rsid w:val="00BA6C54"/>
    <w:rsid w:val="00BA7270"/>
    <w:rsid w:val="00BB099C"/>
    <w:rsid w:val="00BB0D33"/>
    <w:rsid w:val="00BB0DF4"/>
    <w:rsid w:val="00BB0F51"/>
    <w:rsid w:val="00BB0F87"/>
    <w:rsid w:val="00BB1F8B"/>
    <w:rsid w:val="00BB3CFF"/>
    <w:rsid w:val="00BB4057"/>
    <w:rsid w:val="00BB4CCD"/>
    <w:rsid w:val="00BB4E58"/>
    <w:rsid w:val="00BB5676"/>
    <w:rsid w:val="00BB5951"/>
    <w:rsid w:val="00BB5C83"/>
    <w:rsid w:val="00BB643C"/>
    <w:rsid w:val="00BB6498"/>
    <w:rsid w:val="00BB76FE"/>
    <w:rsid w:val="00BB7A31"/>
    <w:rsid w:val="00BC0599"/>
    <w:rsid w:val="00BC09E8"/>
    <w:rsid w:val="00BC1256"/>
    <w:rsid w:val="00BC18CD"/>
    <w:rsid w:val="00BC2709"/>
    <w:rsid w:val="00BC2A1F"/>
    <w:rsid w:val="00BC3D7E"/>
    <w:rsid w:val="00BC3EB7"/>
    <w:rsid w:val="00BC499A"/>
    <w:rsid w:val="00BC4F06"/>
    <w:rsid w:val="00BC717E"/>
    <w:rsid w:val="00BD1804"/>
    <w:rsid w:val="00BD18CA"/>
    <w:rsid w:val="00BD1CB7"/>
    <w:rsid w:val="00BD3136"/>
    <w:rsid w:val="00BD31AF"/>
    <w:rsid w:val="00BD3FEB"/>
    <w:rsid w:val="00BD4DFE"/>
    <w:rsid w:val="00BD593F"/>
    <w:rsid w:val="00BD6706"/>
    <w:rsid w:val="00BD6D92"/>
    <w:rsid w:val="00BD6FFA"/>
    <w:rsid w:val="00BE0D08"/>
    <w:rsid w:val="00BE3703"/>
    <w:rsid w:val="00BE4E1C"/>
    <w:rsid w:val="00BE5F6E"/>
    <w:rsid w:val="00BE630D"/>
    <w:rsid w:val="00BE7575"/>
    <w:rsid w:val="00BE7ED8"/>
    <w:rsid w:val="00BF0DF0"/>
    <w:rsid w:val="00BF12DA"/>
    <w:rsid w:val="00BF36F6"/>
    <w:rsid w:val="00BF3A5C"/>
    <w:rsid w:val="00BF40AF"/>
    <w:rsid w:val="00BF597E"/>
    <w:rsid w:val="00BF6F84"/>
    <w:rsid w:val="00C001F5"/>
    <w:rsid w:val="00C00971"/>
    <w:rsid w:val="00C00DDA"/>
    <w:rsid w:val="00C01B80"/>
    <w:rsid w:val="00C02B19"/>
    <w:rsid w:val="00C02B34"/>
    <w:rsid w:val="00C03857"/>
    <w:rsid w:val="00C04B0B"/>
    <w:rsid w:val="00C05491"/>
    <w:rsid w:val="00C05A32"/>
    <w:rsid w:val="00C0608E"/>
    <w:rsid w:val="00C07FDB"/>
    <w:rsid w:val="00C11600"/>
    <w:rsid w:val="00C11F6F"/>
    <w:rsid w:val="00C13127"/>
    <w:rsid w:val="00C1353D"/>
    <w:rsid w:val="00C14640"/>
    <w:rsid w:val="00C1570C"/>
    <w:rsid w:val="00C17EFF"/>
    <w:rsid w:val="00C20D85"/>
    <w:rsid w:val="00C2172A"/>
    <w:rsid w:val="00C2177F"/>
    <w:rsid w:val="00C22361"/>
    <w:rsid w:val="00C22B6A"/>
    <w:rsid w:val="00C23581"/>
    <w:rsid w:val="00C23F85"/>
    <w:rsid w:val="00C2419C"/>
    <w:rsid w:val="00C24F9C"/>
    <w:rsid w:val="00C2538D"/>
    <w:rsid w:val="00C253AD"/>
    <w:rsid w:val="00C25EA6"/>
    <w:rsid w:val="00C25EAC"/>
    <w:rsid w:val="00C26D89"/>
    <w:rsid w:val="00C26EAC"/>
    <w:rsid w:val="00C27248"/>
    <w:rsid w:val="00C272A1"/>
    <w:rsid w:val="00C30144"/>
    <w:rsid w:val="00C31833"/>
    <w:rsid w:val="00C31B5D"/>
    <w:rsid w:val="00C3278E"/>
    <w:rsid w:val="00C33018"/>
    <w:rsid w:val="00C33980"/>
    <w:rsid w:val="00C33B4D"/>
    <w:rsid w:val="00C33E47"/>
    <w:rsid w:val="00C33FF8"/>
    <w:rsid w:val="00C340B4"/>
    <w:rsid w:val="00C34229"/>
    <w:rsid w:val="00C343E8"/>
    <w:rsid w:val="00C34890"/>
    <w:rsid w:val="00C35A49"/>
    <w:rsid w:val="00C36AF1"/>
    <w:rsid w:val="00C37458"/>
    <w:rsid w:val="00C37AF7"/>
    <w:rsid w:val="00C4481D"/>
    <w:rsid w:val="00C45E29"/>
    <w:rsid w:val="00C478FD"/>
    <w:rsid w:val="00C50041"/>
    <w:rsid w:val="00C50B9D"/>
    <w:rsid w:val="00C510B7"/>
    <w:rsid w:val="00C52C3B"/>
    <w:rsid w:val="00C52FB9"/>
    <w:rsid w:val="00C55CFB"/>
    <w:rsid w:val="00C56A7D"/>
    <w:rsid w:val="00C57655"/>
    <w:rsid w:val="00C6050F"/>
    <w:rsid w:val="00C61392"/>
    <w:rsid w:val="00C617E5"/>
    <w:rsid w:val="00C619CE"/>
    <w:rsid w:val="00C62B77"/>
    <w:rsid w:val="00C62DC7"/>
    <w:rsid w:val="00C63212"/>
    <w:rsid w:val="00C65C04"/>
    <w:rsid w:val="00C667E4"/>
    <w:rsid w:val="00C677E0"/>
    <w:rsid w:val="00C702D7"/>
    <w:rsid w:val="00C70523"/>
    <w:rsid w:val="00C70D9D"/>
    <w:rsid w:val="00C72508"/>
    <w:rsid w:val="00C735CB"/>
    <w:rsid w:val="00C73AD9"/>
    <w:rsid w:val="00C73B5B"/>
    <w:rsid w:val="00C73DD4"/>
    <w:rsid w:val="00C75994"/>
    <w:rsid w:val="00C75D5F"/>
    <w:rsid w:val="00C76A9C"/>
    <w:rsid w:val="00C77054"/>
    <w:rsid w:val="00C80238"/>
    <w:rsid w:val="00C80492"/>
    <w:rsid w:val="00C81C96"/>
    <w:rsid w:val="00C81DF6"/>
    <w:rsid w:val="00C83756"/>
    <w:rsid w:val="00C849B1"/>
    <w:rsid w:val="00C86959"/>
    <w:rsid w:val="00C86CA2"/>
    <w:rsid w:val="00C86EE3"/>
    <w:rsid w:val="00C8734B"/>
    <w:rsid w:val="00C9021F"/>
    <w:rsid w:val="00C9028D"/>
    <w:rsid w:val="00C9029D"/>
    <w:rsid w:val="00C906FE"/>
    <w:rsid w:val="00C91D3A"/>
    <w:rsid w:val="00C921F7"/>
    <w:rsid w:val="00C927FE"/>
    <w:rsid w:val="00C92ABC"/>
    <w:rsid w:val="00C94930"/>
    <w:rsid w:val="00C9565A"/>
    <w:rsid w:val="00C956B1"/>
    <w:rsid w:val="00C95F6C"/>
    <w:rsid w:val="00C96419"/>
    <w:rsid w:val="00C97C9D"/>
    <w:rsid w:val="00CA02D1"/>
    <w:rsid w:val="00CA10B6"/>
    <w:rsid w:val="00CA1567"/>
    <w:rsid w:val="00CA2801"/>
    <w:rsid w:val="00CA41BF"/>
    <w:rsid w:val="00CA472F"/>
    <w:rsid w:val="00CA539C"/>
    <w:rsid w:val="00CA58C1"/>
    <w:rsid w:val="00CB0F7B"/>
    <w:rsid w:val="00CB1768"/>
    <w:rsid w:val="00CB19B7"/>
    <w:rsid w:val="00CB22FF"/>
    <w:rsid w:val="00CB2904"/>
    <w:rsid w:val="00CB37A7"/>
    <w:rsid w:val="00CB3856"/>
    <w:rsid w:val="00CB4647"/>
    <w:rsid w:val="00CB4BC4"/>
    <w:rsid w:val="00CB686E"/>
    <w:rsid w:val="00CC0833"/>
    <w:rsid w:val="00CC0D6C"/>
    <w:rsid w:val="00CC0EFC"/>
    <w:rsid w:val="00CC156E"/>
    <w:rsid w:val="00CC18A6"/>
    <w:rsid w:val="00CC3171"/>
    <w:rsid w:val="00CC3231"/>
    <w:rsid w:val="00CC46D5"/>
    <w:rsid w:val="00CC4BEE"/>
    <w:rsid w:val="00CC546F"/>
    <w:rsid w:val="00CC5815"/>
    <w:rsid w:val="00CC58A3"/>
    <w:rsid w:val="00CC7571"/>
    <w:rsid w:val="00CC7DAD"/>
    <w:rsid w:val="00CC7DBC"/>
    <w:rsid w:val="00CD028F"/>
    <w:rsid w:val="00CD17C6"/>
    <w:rsid w:val="00CD3B4B"/>
    <w:rsid w:val="00CD44D7"/>
    <w:rsid w:val="00CD4D2E"/>
    <w:rsid w:val="00CD523C"/>
    <w:rsid w:val="00CD58C3"/>
    <w:rsid w:val="00CD685D"/>
    <w:rsid w:val="00CD6A10"/>
    <w:rsid w:val="00CD72D4"/>
    <w:rsid w:val="00CD74E3"/>
    <w:rsid w:val="00CD7BA2"/>
    <w:rsid w:val="00CE0EA7"/>
    <w:rsid w:val="00CE19DB"/>
    <w:rsid w:val="00CE21C5"/>
    <w:rsid w:val="00CE30CD"/>
    <w:rsid w:val="00CE3A24"/>
    <w:rsid w:val="00CE4D9B"/>
    <w:rsid w:val="00CE5790"/>
    <w:rsid w:val="00CE5A92"/>
    <w:rsid w:val="00CE5B8A"/>
    <w:rsid w:val="00CE61AC"/>
    <w:rsid w:val="00CE653C"/>
    <w:rsid w:val="00CE6B22"/>
    <w:rsid w:val="00CE7431"/>
    <w:rsid w:val="00CE7AD7"/>
    <w:rsid w:val="00CF0360"/>
    <w:rsid w:val="00CF06A5"/>
    <w:rsid w:val="00CF0ED2"/>
    <w:rsid w:val="00CF137D"/>
    <w:rsid w:val="00CF21EC"/>
    <w:rsid w:val="00CF3483"/>
    <w:rsid w:val="00CF456E"/>
    <w:rsid w:val="00CF4693"/>
    <w:rsid w:val="00CF4DEF"/>
    <w:rsid w:val="00CF5498"/>
    <w:rsid w:val="00CF628C"/>
    <w:rsid w:val="00CF79A9"/>
    <w:rsid w:val="00D00008"/>
    <w:rsid w:val="00D0183B"/>
    <w:rsid w:val="00D032B6"/>
    <w:rsid w:val="00D03D03"/>
    <w:rsid w:val="00D04990"/>
    <w:rsid w:val="00D10971"/>
    <w:rsid w:val="00D10E3C"/>
    <w:rsid w:val="00D11686"/>
    <w:rsid w:val="00D11AFF"/>
    <w:rsid w:val="00D11E9A"/>
    <w:rsid w:val="00D1225E"/>
    <w:rsid w:val="00D1345D"/>
    <w:rsid w:val="00D167F6"/>
    <w:rsid w:val="00D170CF"/>
    <w:rsid w:val="00D172F1"/>
    <w:rsid w:val="00D17CC7"/>
    <w:rsid w:val="00D17D34"/>
    <w:rsid w:val="00D20234"/>
    <w:rsid w:val="00D208D0"/>
    <w:rsid w:val="00D20EAE"/>
    <w:rsid w:val="00D211C1"/>
    <w:rsid w:val="00D212D5"/>
    <w:rsid w:val="00D230D8"/>
    <w:rsid w:val="00D2320E"/>
    <w:rsid w:val="00D2353C"/>
    <w:rsid w:val="00D24B24"/>
    <w:rsid w:val="00D24EB0"/>
    <w:rsid w:val="00D25987"/>
    <w:rsid w:val="00D2688A"/>
    <w:rsid w:val="00D26D1F"/>
    <w:rsid w:val="00D2713F"/>
    <w:rsid w:val="00D31090"/>
    <w:rsid w:val="00D33A32"/>
    <w:rsid w:val="00D350E6"/>
    <w:rsid w:val="00D3781F"/>
    <w:rsid w:val="00D37D14"/>
    <w:rsid w:val="00D40219"/>
    <w:rsid w:val="00D44233"/>
    <w:rsid w:val="00D44C45"/>
    <w:rsid w:val="00D4601F"/>
    <w:rsid w:val="00D46C32"/>
    <w:rsid w:val="00D471AE"/>
    <w:rsid w:val="00D50D1B"/>
    <w:rsid w:val="00D52EC6"/>
    <w:rsid w:val="00D53C02"/>
    <w:rsid w:val="00D53C2A"/>
    <w:rsid w:val="00D54728"/>
    <w:rsid w:val="00D55751"/>
    <w:rsid w:val="00D55E6C"/>
    <w:rsid w:val="00D56CD0"/>
    <w:rsid w:val="00D56DF2"/>
    <w:rsid w:val="00D615FF"/>
    <w:rsid w:val="00D6188A"/>
    <w:rsid w:val="00D64C8D"/>
    <w:rsid w:val="00D653A3"/>
    <w:rsid w:val="00D656CD"/>
    <w:rsid w:val="00D656FA"/>
    <w:rsid w:val="00D66916"/>
    <w:rsid w:val="00D66EE9"/>
    <w:rsid w:val="00D67101"/>
    <w:rsid w:val="00D671FA"/>
    <w:rsid w:val="00D70D34"/>
    <w:rsid w:val="00D70D85"/>
    <w:rsid w:val="00D718B1"/>
    <w:rsid w:val="00D71A45"/>
    <w:rsid w:val="00D71BAC"/>
    <w:rsid w:val="00D722C0"/>
    <w:rsid w:val="00D722CF"/>
    <w:rsid w:val="00D72433"/>
    <w:rsid w:val="00D7331A"/>
    <w:rsid w:val="00D733AF"/>
    <w:rsid w:val="00D73C5E"/>
    <w:rsid w:val="00D7499D"/>
    <w:rsid w:val="00D74B3B"/>
    <w:rsid w:val="00D7530E"/>
    <w:rsid w:val="00D75448"/>
    <w:rsid w:val="00D76964"/>
    <w:rsid w:val="00D775AF"/>
    <w:rsid w:val="00D805E9"/>
    <w:rsid w:val="00D81911"/>
    <w:rsid w:val="00D83CFB"/>
    <w:rsid w:val="00D8479F"/>
    <w:rsid w:val="00D84ECA"/>
    <w:rsid w:val="00D854D7"/>
    <w:rsid w:val="00D85B0C"/>
    <w:rsid w:val="00D8633B"/>
    <w:rsid w:val="00D875AB"/>
    <w:rsid w:val="00D87914"/>
    <w:rsid w:val="00D879B8"/>
    <w:rsid w:val="00D91A3F"/>
    <w:rsid w:val="00D91B67"/>
    <w:rsid w:val="00D91FC7"/>
    <w:rsid w:val="00D920BE"/>
    <w:rsid w:val="00D92CDF"/>
    <w:rsid w:val="00D939FE"/>
    <w:rsid w:val="00D950F9"/>
    <w:rsid w:val="00D956B7"/>
    <w:rsid w:val="00D9759A"/>
    <w:rsid w:val="00D976C2"/>
    <w:rsid w:val="00DA01FE"/>
    <w:rsid w:val="00DA0468"/>
    <w:rsid w:val="00DA0814"/>
    <w:rsid w:val="00DA12D7"/>
    <w:rsid w:val="00DA1719"/>
    <w:rsid w:val="00DA2181"/>
    <w:rsid w:val="00DA27EC"/>
    <w:rsid w:val="00DA32DF"/>
    <w:rsid w:val="00DA58F8"/>
    <w:rsid w:val="00DA5931"/>
    <w:rsid w:val="00DA60AE"/>
    <w:rsid w:val="00DA655B"/>
    <w:rsid w:val="00DA6F74"/>
    <w:rsid w:val="00DA722B"/>
    <w:rsid w:val="00DA76C9"/>
    <w:rsid w:val="00DA7F2B"/>
    <w:rsid w:val="00DB0A76"/>
    <w:rsid w:val="00DB0B9B"/>
    <w:rsid w:val="00DB2424"/>
    <w:rsid w:val="00DB2BE6"/>
    <w:rsid w:val="00DB3B41"/>
    <w:rsid w:val="00DB3E84"/>
    <w:rsid w:val="00DB5763"/>
    <w:rsid w:val="00DC02A0"/>
    <w:rsid w:val="00DC0B08"/>
    <w:rsid w:val="00DC0E27"/>
    <w:rsid w:val="00DC1000"/>
    <w:rsid w:val="00DC198B"/>
    <w:rsid w:val="00DC2567"/>
    <w:rsid w:val="00DC3D3E"/>
    <w:rsid w:val="00DC44BF"/>
    <w:rsid w:val="00DC44DB"/>
    <w:rsid w:val="00DC54E0"/>
    <w:rsid w:val="00DC610B"/>
    <w:rsid w:val="00DC6228"/>
    <w:rsid w:val="00DC6872"/>
    <w:rsid w:val="00DC6ECA"/>
    <w:rsid w:val="00DD0065"/>
    <w:rsid w:val="00DD09BD"/>
    <w:rsid w:val="00DD09F0"/>
    <w:rsid w:val="00DD0D06"/>
    <w:rsid w:val="00DD0D1B"/>
    <w:rsid w:val="00DD0FCE"/>
    <w:rsid w:val="00DD19F7"/>
    <w:rsid w:val="00DD1B51"/>
    <w:rsid w:val="00DD1BB4"/>
    <w:rsid w:val="00DD3B0B"/>
    <w:rsid w:val="00DD3C6E"/>
    <w:rsid w:val="00DD5380"/>
    <w:rsid w:val="00DD5A41"/>
    <w:rsid w:val="00DD64EB"/>
    <w:rsid w:val="00DD6547"/>
    <w:rsid w:val="00DD675A"/>
    <w:rsid w:val="00DD7207"/>
    <w:rsid w:val="00DD78A5"/>
    <w:rsid w:val="00DE02C5"/>
    <w:rsid w:val="00DE1821"/>
    <w:rsid w:val="00DE3971"/>
    <w:rsid w:val="00DE3BEC"/>
    <w:rsid w:val="00DE4448"/>
    <w:rsid w:val="00DE456A"/>
    <w:rsid w:val="00DE49C9"/>
    <w:rsid w:val="00DE5696"/>
    <w:rsid w:val="00DE6020"/>
    <w:rsid w:val="00DE6957"/>
    <w:rsid w:val="00DE6A37"/>
    <w:rsid w:val="00DF02DB"/>
    <w:rsid w:val="00DF09E3"/>
    <w:rsid w:val="00DF132F"/>
    <w:rsid w:val="00DF1B3F"/>
    <w:rsid w:val="00DF27A5"/>
    <w:rsid w:val="00DF39C9"/>
    <w:rsid w:val="00DF3EFD"/>
    <w:rsid w:val="00DF4597"/>
    <w:rsid w:val="00DF5570"/>
    <w:rsid w:val="00DF5E1E"/>
    <w:rsid w:val="00DF6404"/>
    <w:rsid w:val="00DF6442"/>
    <w:rsid w:val="00DF67A3"/>
    <w:rsid w:val="00DF7A42"/>
    <w:rsid w:val="00E00EB8"/>
    <w:rsid w:val="00E012C8"/>
    <w:rsid w:val="00E022DC"/>
    <w:rsid w:val="00E024D3"/>
    <w:rsid w:val="00E03D75"/>
    <w:rsid w:val="00E0487B"/>
    <w:rsid w:val="00E063EF"/>
    <w:rsid w:val="00E07021"/>
    <w:rsid w:val="00E0798D"/>
    <w:rsid w:val="00E07A7B"/>
    <w:rsid w:val="00E112B7"/>
    <w:rsid w:val="00E121BA"/>
    <w:rsid w:val="00E13079"/>
    <w:rsid w:val="00E138BD"/>
    <w:rsid w:val="00E14435"/>
    <w:rsid w:val="00E14A6E"/>
    <w:rsid w:val="00E15C16"/>
    <w:rsid w:val="00E174AD"/>
    <w:rsid w:val="00E17F60"/>
    <w:rsid w:val="00E2003B"/>
    <w:rsid w:val="00E2024E"/>
    <w:rsid w:val="00E206F5"/>
    <w:rsid w:val="00E21598"/>
    <w:rsid w:val="00E21C07"/>
    <w:rsid w:val="00E22CD3"/>
    <w:rsid w:val="00E2312A"/>
    <w:rsid w:val="00E258E8"/>
    <w:rsid w:val="00E259BC"/>
    <w:rsid w:val="00E25A50"/>
    <w:rsid w:val="00E264A4"/>
    <w:rsid w:val="00E26A14"/>
    <w:rsid w:val="00E27322"/>
    <w:rsid w:val="00E27B70"/>
    <w:rsid w:val="00E30215"/>
    <w:rsid w:val="00E30A38"/>
    <w:rsid w:val="00E31213"/>
    <w:rsid w:val="00E32E9A"/>
    <w:rsid w:val="00E34AE3"/>
    <w:rsid w:val="00E35C2B"/>
    <w:rsid w:val="00E36593"/>
    <w:rsid w:val="00E36EBF"/>
    <w:rsid w:val="00E372D4"/>
    <w:rsid w:val="00E378DD"/>
    <w:rsid w:val="00E40FCC"/>
    <w:rsid w:val="00E4142F"/>
    <w:rsid w:val="00E42DC8"/>
    <w:rsid w:val="00E43122"/>
    <w:rsid w:val="00E43584"/>
    <w:rsid w:val="00E44003"/>
    <w:rsid w:val="00E456A5"/>
    <w:rsid w:val="00E4586D"/>
    <w:rsid w:val="00E45E68"/>
    <w:rsid w:val="00E46529"/>
    <w:rsid w:val="00E46ACB"/>
    <w:rsid w:val="00E470B1"/>
    <w:rsid w:val="00E4773B"/>
    <w:rsid w:val="00E50890"/>
    <w:rsid w:val="00E50921"/>
    <w:rsid w:val="00E5110E"/>
    <w:rsid w:val="00E51F94"/>
    <w:rsid w:val="00E52546"/>
    <w:rsid w:val="00E53CB1"/>
    <w:rsid w:val="00E5512D"/>
    <w:rsid w:val="00E55452"/>
    <w:rsid w:val="00E56519"/>
    <w:rsid w:val="00E574E5"/>
    <w:rsid w:val="00E57623"/>
    <w:rsid w:val="00E57F33"/>
    <w:rsid w:val="00E60BCE"/>
    <w:rsid w:val="00E60DD2"/>
    <w:rsid w:val="00E6127D"/>
    <w:rsid w:val="00E61AAB"/>
    <w:rsid w:val="00E63622"/>
    <w:rsid w:val="00E63C51"/>
    <w:rsid w:val="00E6671A"/>
    <w:rsid w:val="00E70BDA"/>
    <w:rsid w:val="00E71139"/>
    <w:rsid w:val="00E717DF"/>
    <w:rsid w:val="00E7267D"/>
    <w:rsid w:val="00E72E13"/>
    <w:rsid w:val="00E73EB7"/>
    <w:rsid w:val="00E74F63"/>
    <w:rsid w:val="00E750C3"/>
    <w:rsid w:val="00E75241"/>
    <w:rsid w:val="00E7602E"/>
    <w:rsid w:val="00E7712C"/>
    <w:rsid w:val="00E773BB"/>
    <w:rsid w:val="00E7773E"/>
    <w:rsid w:val="00E77F65"/>
    <w:rsid w:val="00E80001"/>
    <w:rsid w:val="00E80064"/>
    <w:rsid w:val="00E819B0"/>
    <w:rsid w:val="00E81CEC"/>
    <w:rsid w:val="00E8219F"/>
    <w:rsid w:val="00E82539"/>
    <w:rsid w:val="00E82601"/>
    <w:rsid w:val="00E82E08"/>
    <w:rsid w:val="00E834A2"/>
    <w:rsid w:val="00E843EA"/>
    <w:rsid w:val="00E84405"/>
    <w:rsid w:val="00E8448D"/>
    <w:rsid w:val="00E85821"/>
    <w:rsid w:val="00E85943"/>
    <w:rsid w:val="00E90664"/>
    <w:rsid w:val="00E90FD1"/>
    <w:rsid w:val="00E92065"/>
    <w:rsid w:val="00E924CC"/>
    <w:rsid w:val="00E95202"/>
    <w:rsid w:val="00E963F2"/>
    <w:rsid w:val="00E96F05"/>
    <w:rsid w:val="00E97388"/>
    <w:rsid w:val="00E978C3"/>
    <w:rsid w:val="00EA02CA"/>
    <w:rsid w:val="00EA0E38"/>
    <w:rsid w:val="00EA32FF"/>
    <w:rsid w:val="00EA340E"/>
    <w:rsid w:val="00EA37B2"/>
    <w:rsid w:val="00EA3B1F"/>
    <w:rsid w:val="00EA4414"/>
    <w:rsid w:val="00EA471E"/>
    <w:rsid w:val="00EA49C7"/>
    <w:rsid w:val="00EA5128"/>
    <w:rsid w:val="00EA66D6"/>
    <w:rsid w:val="00EA6F77"/>
    <w:rsid w:val="00EA76F6"/>
    <w:rsid w:val="00EB0D2E"/>
    <w:rsid w:val="00EB100C"/>
    <w:rsid w:val="00EB1940"/>
    <w:rsid w:val="00EB2193"/>
    <w:rsid w:val="00EB2506"/>
    <w:rsid w:val="00EB2EEE"/>
    <w:rsid w:val="00EB3123"/>
    <w:rsid w:val="00EB4873"/>
    <w:rsid w:val="00EB4EC9"/>
    <w:rsid w:val="00EB4FDF"/>
    <w:rsid w:val="00EB52B6"/>
    <w:rsid w:val="00EB55D0"/>
    <w:rsid w:val="00EB5646"/>
    <w:rsid w:val="00EB58D5"/>
    <w:rsid w:val="00EB5ADB"/>
    <w:rsid w:val="00EB7B04"/>
    <w:rsid w:val="00EC0F78"/>
    <w:rsid w:val="00EC1A32"/>
    <w:rsid w:val="00EC1A39"/>
    <w:rsid w:val="00EC2829"/>
    <w:rsid w:val="00EC381B"/>
    <w:rsid w:val="00EC3D3F"/>
    <w:rsid w:val="00EC4592"/>
    <w:rsid w:val="00EC495C"/>
    <w:rsid w:val="00EC4B76"/>
    <w:rsid w:val="00EC4C66"/>
    <w:rsid w:val="00EC5C01"/>
    <w:rsid w:val="00EC682C"/>
    <w:rsid w:val="00EC766D"/>
    <w:rsid w:val="00EC7CFE"/>
    <w:rsid w:val="00EC7E34"/>
    <w:rsid w:val="00ED025D"/>
    <w:rsid w:val="00ED0808"/>
    <w:rsid w:val="00ED0988"/>
    <w:rsid w:val="00ED17BC"/>
    <w:rsid w:val="00ED2902"/>
    <w:rsid w:val="00ED3DFD"/>
    <w:rsid w:val="00ED3F21"/>
    <w:rsid w:val="00ED510E"/>
    <w:rsid w:val="00ED53B2"/>
    <w:rsid w:val="00ED5D66"/>
    <w:rsid w:val="00ED7650"/>
    <w:rsid w:val="00ED7711"/>
    <w:rsid w:val="00EE0D6C"/>
    <w:rsid w:val="00EE1B3E"/>
    <w:rsid w:val="00EE1FB6"/>
    <w:rsid w:val="00EE260F"/>
    <w:rsid w:val="00EE3C45"/>
    <w:rsid w:val="00EE3E06"/>
    <w:rsid w:val="00EE40F1"/>
    <w:rsid w:val="00EE56E1"/>
    <w:rsid w:val="00EE5E45"/>
    <w:rsid w:val="00EE604B"/>
    <w:rsid w:val="00EE6309"/>
    <w:rsid w:val="00EE64EE"/>
    <w:rsid w:val="00EE6B33"/>
    <w:rsid w:val="00EE6DCF"/>
    <w:rsid w:val="00EE6ECC"/>
    <w:rsid w:val="00EE74B2"/>
    <w:rsid w:val="00EE7E5B"/>
    <w:rsid w:val="00EF0462"/>
    <w:rsid w:val="00EF3A04"/>
    <w:rsid w:val="00EF3DD6"/>
    <w:rsid w:val="00EF3F9B"/>
    <w:rsid w:val="00EF5C32"/>
    <w:rsid w:val="00EF6505"/>
    <w:rsid w:val="00EF6C93"/>
    <w:rsid w:val="00EF6E38"/>
    <w:rsid w:val="00EF7194"/>
    <w:rsid w:val="00EF7330"/>
    <w:rsid w:val="00EF7A6F"/>
    <w:rsid w:val="00EF7DD8"/>
    <w:rsid w:val="00F00A59"/>
    <w:rsid w:val="00F0183C"/>
    <w:rsid w:val="00F02C57"/>
    <w:rsid w:val="00F02EA6"/>
    <w:rsid w:val="00F03FA9"/>
    <w:rsid w:val="00F040D2"/>
    <w:rsid w:val="00F04BBA"/>
    <w:rsid w:val="00F04C18"/>
    <w:rsid w:val="00F059F4"/>
    <w:rsid w:val="00F064B1"/>
    <w:rsid w:val="00F070E5"/>
    <w:rsid w:val="00F07F30"/>
    <w:rsid w:val="00F112A7"/>
    <w:rsid w:val="00F134E0"/>
    <w:rsid w:val="00F14E0F"/>
    <w:rsid w:val="00F1517E"/>
    <w:rsid w:val="00F15C7D"/>
    <w:rsid w:val="00F15C95"/>
    <w:rsid w:val="00F15CAC"/>
    <w:rsid w:val="00F16678"/>
    <w:rsid w:val="00F16CFE"/>
    <w:rsid w:val="00F17A1B"/>
    <w:rsid w:val="00F17F93"/>
    <w:rsid w:val="00F2074E"/>
    <w:rsid w:val="00F20780"/>
    <w:rsid w:val="00F21DA1"/>
    <w:rsid w:val="00F221D6"/>
    <w:rsid w:val="00F22AC4"/>
    <w:rsid w:val="00F23174"/>
    <w:rsid w:val="00F23DA0"/>
    <w:rsid w:val="00F25F49"/>
    <w:rsid w:val="00F260C6"/>
    <w:rsid w:val="00F26388"/>
    <w:rsid w:val="00F26840"/>
    <w:rsid w:val="00F270CE"/>
    <w:rsid w:val="00F272E7"/>
    <w:rsid w:val="00F31A84"/>
    <w:rsid w:val="00F31BE3"/>
    <w:rsid w:val="00F321B8"/>
    <w:rsid w:val="00F32EF3"/>
    <w:rsid w:val="00F334FE"/>
    <w:rsid w:val="00F3474A"/>
    <w:rsid w:val="00F348FF"/>
    <w:rsid w:val="00F34B21"/>
    <w:rsid w:val="00F34CA5"/>
    <w:rsid w:val="00F34E1F"/>
    <w:rsid w:val="00F354D3"/>
    <w:rsid w:val="00F36176"/>
    <w:rsid w:val="00F3798B"/>
    <w:rsid w:val="00F37DB6"/>
    <w:rsid w:val="00F37EA6"/>
    <w:rsid w:val="00F414A7"/>
    <w:rsid w:val="00F41AB3"/>
    <w:rsid w:val="00F41E90"/>
    <w:rsid w:val="00F41F1B"/>
    <w:rsid w:val="00F436BF"/>
    <w:rsid w:val="00F4458B"/>
    <w:rsid w:val="00F44C2A"/>
    <w:rsid w:val="00F45526"/>
    <w:rsid w:val="00F45C71"/>
    <w:rsid w:val="00F46945"/>
    <w:rsid w:val="00F50481"/>
    <w:rsid w:val="00F50D96"/>
    <w:rsid w:val="00F520C9"/>
    <w:rsid w:val="00F5313C"/>
    <w:rsid w:val="00F53ACC"/>
    <w:rsid w:val="00F53B56"/>
    <w:rsid w:val="00F54AD8"/>
    <w:rsid w:val="00F54D4D"/>
    <w:rsid w:val="00F5549C"/>
    <w:rsid w:val="00F55BC3"/>
    <w:rsid w:val="00F5648C"/>
    <w:rsid w:val="00F565D3"/>
    <w:rsid w:val="00F571FE"/>
    <w:rsid w:val="00F57E45"/>
    <w:rsid w:val="00F60078"/>
    <w:rsid w:val="00F6023C"/>
    <w:rsid w:val="00F603CE"/>
    <w:rsid w:val="00F60400"/>
    <w:rsid w:val="00F60C5D"/>
    <w:rsid w:val="00F6107A"/>
    <w:rsid w:val="00F61482"/>
    <w:rsid w:val="00F622C8"/>
    <w:rsid w:val="00F62649"/>
    <w:rsid w:val="00F629A8"/>
    <w:rsid w:val="00F62C96"/>
    <w:rsid w:val="00F636AE"/>
    <w:rsid w:val="00F638A5"/>
    <w:rsid w:val="00F64E82"/>
    <w:rsid w:val="00F6708C"/>
    <w:rsid w:val="00F673C2"/>
    <w:rsid w:val="00F70D2F"/>
    <w:rsid w:val="00F715FC"/>
    <w:rsid w:val="00F71859"/>
    <w:rsid w:val="00F71F8A"/>
    <w:rsid w:val="00F73B1A"/>
    <w:rsid w:val="00F73B39"/>
    <w:rsid w:val="00F74FDC"/>
    <w:rsid w:val="00F7566A"/>
    <w:rsid w:val="00F80602"/>
    <w:rsid w:val="00F8153C"/>
    <w:rsid w:val="00F82A57"/>
    <w:rsid w:val="00F82EF5"/>
    <w:rsid w:val="00F832ED"/>
    <w:rsid w:val="00F83A2C"/>
    <w:rsid w:val="00F83DFD"/>
    <w:rsid w:val="00F83E9D"/>
    <w:rsid w:val="00F840E4"/>
    <w:rsid w:val="00F84DD5"/>
    <w:rsid w:val="00F8602A"/>
    <w:rsid w:val="00F8619F"/>
    <w:rsid w:val="00F865B3"/>
    <w:rsid w:val="00F86C5B"/>
    <w:rsid w:val="00F87A6A"/>
    <w:rsid w:val="00F9081E"/>
    <w:rsid w:val="00F90866"/>
    <w:rsid w:val="00F9096C"/>
    <w:rsid w:val="00F920BC"/>
    <w:rsid w:val="00F922B8"/>
    <w:rsid w:val="00F93194"/>
    <w:rsid w:val="00F9398E"/>
    <w:rsid w:val="00F939C7"/>
    <w:rsid w:val="00F953A4"/>
    <w:rsid w:val="00F961A0"/>
    <w:rsid w:val="00F9629E"/>
    <w:rsid w:val="00F965B5"/>
    <w:rsid w:val="00F96EB1"/>
    <w:rsid w:val="00F97A32"/>
    <w:rsid w:val="00F97D65"/>
    <w:rsid w:val="00FA0150"/>
    <w:rsid w:val="00FA058B"/>
    <w:rsid w:val="00FA0CA9"/>
    <w:rsid w:val="00FA1230"/>
    <w:rsid w:val="00FA13E8"/>
    <w:rsid w:val="00FA2182"/>
    <w:rsid w:val="00FA2DF2"/>
    <w:rsid w:val="00FA2EDE"/>
    <w:rsid w:val="00FA388F"/>
    <w:rsid w:val="00FA3B58"/>
    <w:rsid w:val="00FA3FCA"/>
    <w:rsid w:val="00FA490B"/>
    <w:rsid w:val="00FA4E86"/>
    <w:rsid w:val="00FA5153"/>
    <w:rsid w:val="00FA5484"/>
    <w:rsid w:val="00FA6127"/>
    <w:rsid w:val="00FA6580"/>
    <w:rsid w:val="00FA68B7"/>
    <w:rsid w:val="00FA7715"/>
    <w:rsid w:val="00FA7C4D"/>
    <w:rsid w:val="00FA7F65"/>
    <w:rsid w:val="00FB01ED"/>
    <w:rsid w:val="00FB1CFE"/>
    <w:rsid w:val="00FB329A"/>
    <w:rsid w:val="00FB3B19"/>
    <w:rsid w:val="00FB3EBB"/>
    <w:rsid w:val="00FB4466"/>
    <w:rsid w:val="00FB4EC5"/>
    <w:rsid w:val="00FB6BA2"/>
    <w:rsid w:val="00FB6C90"/>
    <w:rsid w:val="00FB7CFB"/>
    <w:rsid w:val="00FC002F"/>
    <w:rsid w:val="00FC0E2A"/>
    <w:rsid w:val="00FC1799"/>
    <w:rsid w:val="00FC22BF"/>
    <w:rsid w:val="00FC2D09"/>
    <w:rsid w:val="00FC3C84"/>
    <w:rsid w:val="00FC4D58"/>
    <w:rsid w:val="00FC55F6"/>
    <w:rsid w:val="00FC6819"/>
    <w:rsid w:val="00FC69B6"/>
    <w:rsid w:val="00FC6BC2"/>
    <w:rsid w:val="00FC717C"/>
    <w:rsid w:val="00FC787C"/>
    <w:rsid w:val="00FC7E5B"/>
    <w:rsid w:val="00FD04E0"/>
    <w:rsid w:val="00FD1ADB"/>
    <w:rsid w:val="00FD2241"/>
    <w:rsid w:val="00FD2A71"/>
    <w:rsid w:val="00FD4502"/>
    <w:rsid w:val="00FD50E9"/>
    <w:rsid w:val="00FD6071"/>
    <w:rsid w:val="00FD655B"/>
    <w:rsid w:val="00FD66CB"/>
    <w:rsid w:val="00FD6A35"/>
    <w:rsid w:val="00FD752B"/>
    <w:rsid w:val="00FE0BFA"/>
    <w:rsid w:val="00FE0D85"/>
    <w:rsid w:val="00FE0DC9"/>
    <w:rsid w:val="00FE2723"/>
    <w:rsid w:val="00FE2A56"/>
    <w:rsid w:val="00FE2EA4"/>
    <w:rsid w:val="00FE32CD"/>
    <w:rsid w:val="00FE4E2A"/>
    <w:rsid w:val="00FE57BE"/>
    <w:rsid w:val="00FE580A"/>
    <w:rsid w:val="00FE5FEC"/>
    <w:rsid w:val="00FE671A"/>
    <w:rsid w:val="00FF04A4"/>
    <w:rsid w:val="00FF08F6"/>
    <w:rsid w:val="00FF095B"/>
    <w:rsid w:val="00FF0A8C"/>
    <w:rsid w:val="00FF0F4E"/>
    <w:rsid w:val="00FF1931"/>
    <w:rsid w:val="00FF21EB"/>
    <w:rsid w:val="00FF26C7"/>
    <w:rsid w:val="00FF3A80"/>
    <w:rsid w:val="00FF49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8EA2E11-7F95-4D18-8F7A-06D111FA2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fa-IR"/>
      </w:rPr>
    </w:rPrDefault>
    <w:pPrDefault>
      <w:pPr>
        <w:ind w:firstLine="289"/>
        <w:jc w:val="lowKashida"/>
      </w:pPr>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63A74"/>
    <w:pPr>
      <w:jc w:val="left"/>
    </w:pPr>
    <w:rPr>
      <w:rFonts w:eastAsiaTheme="minorEastAsia"/>
      <w:sz w:val="24"/>
      <w:szCs w:val="24"/>
      <w:lang w:bidi="ar-SA"/>
    </w:rPr>
  </w:style>
  <w:style w:type="paragraph" w:styleId="Heading1">
    <w:name w:val="heading 1"/>
    <w:basedOn w:val="libNormal"/>
    <w:next w:val="libNormal"/>
    <w:link w:val="Heading1Char"/>
    <w:qFormat/>
    <w:rsid w:val="00F64E82"/>
    <w:pPr>
      <w:keepNext/>
      <w:spacing w:before="120" w:after="240"/>
      <w:outlineLvl w:val="0"/>
    </w:pPr>
    <w:rPr>
      <w:rFonts w:ascii="Arial" w:hAnsi="Arial"/>
      <w:b/>
      <w:bCs/>
      <w:color w:val="1F497D"/>
      <w:kern w:val="32"/>
      <w:sz w:val="36"/>
      <w:szCs w:val="36"/>
    </w:rPr>
  </w:style>
  <w:style w:type="paragraph" w:styleId="Heading2">
    <w:name w:val="heading 2"/>
    <w:basedOn w:val="libNormal"/>
    <w:next w:val="libNormal"/>
    <w:link w:val="Heading2Char"/>
    <w:qFormat/>
    <w:rsid w:val="00F64E82"/>
    <w:pPr>
      <w:keepNext/>
      <w:spacing w:before="240" w:after="120"/>
      <w:outlineLvl w:val="1"/>
    </w:pPr>
    <w:rPr>
      <w:rFonts w:ascii="Arial" w:hAnsi="Arial"/>
      <w:b/>
      <w:bCs/>
      <w:color w:val="1F497D"/>
    </w:rPr>
  </w:style>
  <w:style w:type="paragraph" w:styleId="Heading3">
    <w:name w:val="heading 3"/>
    <w:basedOn w:val="libNormal"/>
    <w:next w:val="libNormal"/>
    <w:link w:val="Heading3Char"/>
    <w:qFormat/>
    <w:rsid w:val="00F64E82"/>
    <w:pPr>
      <w:keepNext/>
      <w:spacing w:before="120"/>
      <w:outlineLvl w:val="2"/>
    </w:pPr>
    <w:rPr>
      <w:rFonts w:ascii="Arial" w:hAnsi="Arial"/>
      <w:color w:val="1F497D"/>
    </w:rPr>
  </w:style>
  <w:style w:type="paragraph" w:styleId="Heading4">
    <w:name w:val="heading 4"/>
    <w:basedOn w:val="libNormal"/>
    <w:next w:val="libNormal"/>
    <w:link w:val="Heading4Char"/>
    <w:qFormat/>
    <w:rsid w:val="00806335"/>
    <w:pPr>
      <w:keepNext/>
      <w:spacing w:before="240" w:after="60"/>
      <w:outlineLvl w:val="3"/>
    </w:pPr>
    <w:rPr>
      <w:b/>
      <w:bCs/>
      <w:sz w:val="28"/>
    </w:rPr>
  </w:style>
  <w:style w:type="paragraph" w:styleId="Heading5">
    <w:name w:val="heading 5"/>
    <w:basedOn w:val="libNormal"/>
    <w:next w:val="libNormal"/>
    <w:link w:val="Heading5Char"/>
    <w:qFormat/>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D91A3F"/>
    <w:pPr>
      <w:bidi/>
    </w:pPr>
    <w:rPr>
      <w:rFonts w:cs="Traditional Arabic"/>
      <w:color w:val="000000"/>
      <w:sz w:val="24"/>
      <w:szCs w:val="32"/>
      <w:lang w:bidi="ar-SA"/>
    </w:rPr>
  </w:style>
  <w:style w:type="character" w:customStyle="1" w:styleId="libNormalChar">
    <w:name w:val="libNormal Char"/>
    <w:basedOn w:val="DefaultParagraphFont"/>
    <w:link w:val="libNormal"/>
    <w:rsid w:val="00D91A3F"/>
    <w:rPr>
      <w:rFonts w:cs="Traditional Arabic"/>
      <w:color w:val="000000"/>
      <w:sz w:val="24"/>
      <w:szCs w:val="32"/>
      <w:lang w:bidi="ar-SA"/>
    </w:rPr>
  </w:style>
  <w:style w:type="character" w:customStyle="1" w:styleId="Heading1Char">
    <w:name w:val="Heading 1 Char"/>
    <w:basedOn w:val="libNormalChar"/>
    <w:link w:val="Heading1"/>
    <w:rsid w:val="00F64E82"/>
    <w:rPr>
      <w:rFonts w:ascii="Arial" w:hAnsi="Arial" w:cs="Traditional Arabic"/>
      <w:b/>
      <w:bCs/>
      <w:color w:val="1F497D"/>
      <w:kern w:val="32"/>
      <w:sz w:val="36"/>
      <w:szCs w:val="36"/>
      <w:lang w:bidi="ar-SA"/>
    </w:rPr>
  </w:style>
  <w:style w:type="character" w:customStyle="1" w:styleId="Heading2Char">
    <w:name w:val="Heading 2 Char"/>
    <w:basedOn w:val="DefaultParagraphFont"/>
    <w:link w:val="Heading2"/>
    <w:rsid w:val="00F64E82"/>
    <w:rPr>
      <w:rFonts w:ascii="Arial" w:hAnsi="Arial" w:cs="Traditional Arabic"/>
      <w:b/>
      <w:bCs/>
      <w:color w:val="1F497D"/>
      <w:sz w:val="24"/>
      <w:szCs w:val="32"/>
      <w:lang w:bidi="ar-SA"/>
    </w:rPr>
  </w:style>
  <w:style w:type="character" w:customStyle="1" w:styleId="Heading3Char">
    <w:name w:val="Heading 3 Char"/>
    <w:basedOn w:val="libNormalChar"/>
    <w:link w:val="Heading3"/>
    <w:rsid w:val="00F64E82"/>
    <w:rPr>
      <w:rFonts w:ascii="Arial" w:hAnsi="Arial" w:cs="Traditional Arabic"/>
      <w:color w:val="1F497D"/>
      <w:sz w:val="24"/>
      <w:szCs w:val="32"/>
      <w:lang w:bidi="ar-SA"/>
    </w:rPr>
  </w:style>
  <w:style w:type="character" w:customStyle="1" w:styleId="Heading4Char">
    <w:name w:val="Heading 4 Char"/>
    <w:basedOn w:val="libNormalChar"/>
    <w:link w:val="Heading4"/>
    <w:uiPriority w:val="9"/>
    <w:rsid w:val="006E0F1D"/>
    <w:rPr>
      <w:rFonts w:cs="Traditional Arabic"/>
      <w:b/>
      <w:bCs/>
      <w:color w:val="000000"/>
      <w:sz w:val="28"/>
      <w:szCs w:val="32"/>
      <w:lang w:bidi="ar-SA"/>
    </w:rPr>
  </w:style>
  <w:style w:type="character" w:customStyle="1" w:styleId="Heading5Char">
    <w:name w:val="Heading 5 Char"/>
    <w:basedOn w:val="libNormalChar"/>
    <w:link w:val="Heading5"/>
    <w:rsid w:val="006E0F1D"/>
    <w:rPr>
      <w:rFonts w:cs="Traditional Arabic"/>
      <w:bCs/>
      <w:color w:val="000000"/>
      <w:sz w:val="30"/>
      <w:szCs w:val="32"/>
      <w:lang w:bidi="ar-SA"/>
    </w:rPr>
  </w:style>
  <w:style w:type="table" w:styleId="TableGrid">
    <w:name w:val="Table Grid"/>
    <w:basedOn w:val="TableNormal"/>
    <w:rsid w:val="00D92CDF"/>
    <w:pPr>
      <w:bidi/>
    </w:pPr>
    <w:tblPr>
      <w:tblInd w:w="0" w:type="dxa"/>
      <w:tblCellMar>
        <w:top w:w="0" w:type="dxa"/>
        <w:left w:w="108" w:type="dxa"/>
        <w:bottom w:w="0" w:type="dxa"/>
        <w:right w:w="108" w:type="dxa"/>
      </w:tblCellMar>
    </w:tblPr>
  </w:style>
  <w:style w:type="paragraph" w:customStyle="1" w:styleId="libFootnotenum">
    <w:name w:val="libFootnote_num"/>
    <w:basedOn w:val="libFootnote"/>
    <w:next w:val="libFootnote"/>
    <w:link w:val="libFootnotenumChar"/>
    <w:qFormat/>
    <w:rsid w:val="004B3F28"/>
    <w:rPr>
      <w:color w:val="C00000"/>
      <w:sz w:val="22"/>
      <w:szCs w:val="24"/>
      <w:vertAlign w:val="superscript"/>
    </w:rPr>
  </w:style>
  <w:style w:type="paragraph" w:customStyle="1" w:styleId="libFootnote">
    <w:name w:val="libFootnote"/>
    <w:basedOn w:val="libNormal"/>
    <w:next w:val="libNormal"/>
    <w:link w:val="libFootnoteChar"/>
    <w:qFormat/>
    <w:rsid w:val="00D91A3F"/>
    <w:rPr>
      <w:sz w:val="20"/>
      <w:szCs w:val="26"/>
    </w:rPr>
  </w:style>
  <w:style w:type="character" w:customStyle="1" w:styleId="libFootnoteChar">
    <w:name w:val="libFootnote Char"/>
    <w:basedOn w:val="libNormalChar"/>
    <w:link w:val="libFootnote"/>
    <w:rsid w:val="00D91A3F"/>
    <w:rPr>
      <w:rFonts w:cs="Traditional Arabic"/>
      <w:color w:val="000000"/>
      <w:sz w:val="24"/>
      <w:szCs w:val="26"/>
      <w:lang w:bidi="ar-SA"/>
    </w:rPr>
  </w:style>
  <w:style w:type="character" w:customStyle="1" w:styleId="libFootnotenumChar">
    <w:name w:val="libFootnote_num Char"/>
    <w:basedOn w:val="libFootnoteChar"/>
    <w:link w:val="libFootnotenum"/>
    <w:rsid w:val="004B3F28"/>
    <w:rPr>
      <w:rFonts w:cs="Traditional Arabic"/>
      <w:color w:val="C00000"/>
      <w:sz w:val="22"/>
      <w:szCs w:val="24"/>
      <w:vertAlign w:val="superscript"/>
      <w:lang w:bidi="ar-SA"/>
    </w:rPr>
  </w:style>
  <w:style w:type="character" w:customStyle="1" w:styleId="libEnFootnoteChar">
    <w:name w:val="libEnFootnote Char"/>
    <w:basedOn w:val="libNormalChar"/>
    <w:link w:val="libEnFootnote"/>
    <w:rsid w:val="002045CF"/>
    <w:rPr>
      <w:rFonts w:cs="Traditional Arabic"/>
      <w:color w:val="000000"/>
      <w:sz w:val="24"/>
      <w:szCs w:val="26"/>
      <w:lang w:bidi="ar-SA"/>
    </w:rPr>
  </w:style>
  <w:style w:type="paragraph" w:customStyle="1" w:styleId="libEnFootnote">
    <w:name w:val="libEnFootnote"/>
    <w:basedOn w:val="libEn"/>
    <w:link w:val="libEnFootnoteChar"/>
    <w:rsid w:val="002045CF"/>
    <w:rPr>
      <w:sz w:val="20"/>
      <w:szCs w:val="26"/>
    </w:rPr>
  </w:style>
  <w:style w:type="paragraph" w:customStyle="1" w:styleId="libEn">
    <w:name w:val="libEn"/>
    <w:link w:val="libEnChar"/>
    <w:rsid w:val="002045CF"/>
    <w:pPr>
      <w:jc w:val="left"/>
    </w:pPr>
    <w:rPr>
      <w:rFonts w:cs="Traditional Arabic"/>
      <w:color w:val="000000"/>
      <w:sz w:val="24"/>
      <w:szCs w:val="32"/>
      <w:lang w:bidi="ar-SA"/>
    </w:rPr>
  </w:style>
  <w:style w:type="character" w:customStyle="1" w:styleId="libEnChar">
    <w:name w:val="libEn Char"/>
    <w:basedOn w:val="DefaultParagraphFont"/>
    <w:link w:val="libEn"/>
    <w:rsid w:val="002045CF"/>
    <w:rPr>
      <w:rFonts w:cs="Traditional Arabic"/>
      <w:color w:val="000000"/>
      <w:sz w:val="24"/>
      <w:szCs w:val="32"/>
      <w:lang w:bidi="ar-SA"/>
    </w:rPr>
  </w:style>
  <w:style w:type="paragraph" w:customStyle="1" w:styleId="libCenterBold1">
    <w:name w:val="libCenterBold1"/>
    <w:basedOn w:val="libNormal"/>
    <w:rsid w:val="001C5EDB"/>
    <w:pPr>
      <w:spacing w:before="240" w:after="60"/>
      <w:ind w:firstLine="0"/>
      <w:jc w:val="center"/>
    </w:pPr>
    <w:rPr>
      <w:b/>
      <w:bCs/>
    </w:rPr>
  </w:style>
  <w:style w:type="paragraph" w:customStyle="1" w:styleId="libCenterBold2">
    <w:name w:val="libCenterBold2"/>
    <w:basedOn w:val="libNormal"/>
    <w:rsid w:val="00A716DD"/>
    <w:pPr>
      <w:ind w:firstLine="0"/>
      <w:jc w:val="center"/>
    </w:pPr>
    <w:rPr>
      <w:b/>
      <w:bCs/>
      <w:sz w:val="22"/>
      <w:szCs w:val="30"/>
    </w:rPr>
  </w:style>
  <w:style w:type="character" w:customStyle="1" w:styleId="libAieChar">
    <w:name w:val="libAie Char"/>
    <w:basedOn w:val="libNormalChar"/>
    <w:link w:val="libAie"/>
    <w:rsid w:val="00AF04CD"/>
    <w:rPr>
      <w:rFonts w:ascii="Arial" w:hAnsi="Arial" w:cs="KFGQPC Uthman Taha Naskh"/>
      <w:color w:val="008000"/>
      <w:sz w:val="24"/>
      <w:szCs w:val="28"/>
      <w:lang w:bidi="ar-SA"/>
    </w:rPr>
  </w:style>
  <w:style w:type="paragraph" w:customStyle="1" w:styleId="libAie">
    <w:name w:val="libAie"/>
    <w:basedOn w:val="libNormal"/>
    <w:next w:val="libNormal"/>
    <w:link w:val="libAieChar"/>
    <w:qFormat/>
    <w:rsid w:val="00AF04CD"/>
    <w:rPr>
      <w:rFonts w:ascii="Arial" w:hAnsi="Arial" w:cs="KFGQPC Uthman Taha Naskh"/>
      <w:color w:val="008000"/>
      <w:szCs w:val="28"/>
    </w:rPr>
  </w:style>
  <w:style w:type="paragraph" w:customStyle="1" w:styleId="libLeftBold">
    <w:name w:val="libLeftBold"/>
    <w:basedOn w:val="libNormal"/>
    <w:next w:val="libNormal"/>
    <w:link w:val="libLeftBoldChar"/>
    <w:rsid w:val="00A716DD"/>
    <w:pPr>
      <w:ind w:firstLine="0"/>
      <w:jc w:val="right"/>
    </w:pPr>
    <w:rPr>
      <w:b/>
      <w:bCs/>
      <w:szCs w:val="30"/>
    </w:rPr>
  </w:style>
  <w:style w:type="character" w:customStyle="1" w:styleId="libLeftBoldChar">
    <w:name w:val="libLeftBold Char"/>
    <w:basedOn w:val="libNormalChar"/>
    <w:link w:val="libLeftBold"/>
    <w:rsid w:val="00A716DD"/>
    <w:rPr>
      <w:rFonts w:cs="Traditional Arabic"/>
      <w:b/>
      <w:bCs/>
      <w:color w:val="000000"/>
      <w:sz w:val="24"/>
      <w:szCs w:val="30"/>
      <w:lang w:bidi="ar-SA"/>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rFonts w:cs="Traditional Arabic"/>
      <w:b/>
      <w:bCs/>
      <w:color w:val="000000"/>
      <w:sz w:val="24"/>
      <w:szCs w:val="32"/>
      <w:lang w:bidi="ar-SA"/>
    </w:rPr>
  </w:style>
  <w:style w:type="paragraph" w:customStyle="1" w:styleId="libFootnoteAie">
    <w:name w:val="libFootnoteAie"/>
    <w:basedOn w:val="libFootnote"/>
    <w:next w:val="libFootnote"/>
    <w:link w:val="libFootnoteAieChar"/>
    <w:qFormat/>
    <w:rsid w:val="0022730F"/>
    <w:rPr>
      <w:rFonts w:cs="KFGQPC Uthman Taha Naskh"/>
      <w:color w:val="008000"/>
      <w:szCs w:val="22"/>
    </w:rPr>
  </w:style>
  <w:style w:type="character" w:customStyle="1" w:styleId="libFootnoteAieChar">
    <w:name w:val="libFootnoteAie Char"/>
    <w:basedOn w:val="libFootnoteChar"/>
    <w:link w:val="libFootnoteAie"/>
    <w:rsid w:val="0022730F"/>
    <w:rPr>
      <w:rFonts w:cs="KFGQPC Uthman Taha Naskh"/>
      <w:color w:val="008000"/>
      <w:sz w:val="24"/>
      <w:szCs w:val="22"/>
      <w:lang w:bidi="ar-SA"/>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link w:val="libPoemChar"/>
    <w:rsid w:val="00651ADF"/>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PoemChar">
    <w:name w:val="libPoem Char"/>
    <w:basedOn w:val="DefaultParagraphFont"/>
    <w:link w:val="libPoem"/>
    <w:rsid w:val="005E5D2F"/>
    <w:rPr>
      <w:rFonts w:cs="Traditional Arabic"/>
      <w:color w:val="000000"/>
      <w:sz w:val="32"/>
      <w:szCs w:val="32"/>
    </w:rPr>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styleId="TOC2">
    <w:name w:val="toc 2"/>
    <w:basedOn w:val="libNormal"/>
    <w:next w:val="libNormal"/>
    <w:link w:val="TOC2Char"/>
    <w:autoRedefine/>
    <w:uiPriority w:val="39"/>
    <w:rsid w:val="00AD2964"/>
    <w:pPr>
      <w:ind w:left="238"/>
    </w:pPr>
  </w:style>
  <w:style w:type="character" w:customStyle="1" w:styleId="TOC2Char">
    <w:name w:val="TOC 2 Char"/>
    <w:basedOn w:val="DefaultParagraphFont"/>
    <w:link w:val="TOC2"/>
    <w:uiPriority w:val="39"/>
    <w:rsid w:val="00195052"/>
    <w:rPr>
      <w:rFonts w:cs="Traditional Arabic"/>
      <w:color w:val="000000"/>
      <w:sz w:val="24"/>
      <w:szCs w:val="32"/>
      <w:lang w:bidi="ar-SA"/>
    </w:rPr>
  </w:style>
  <w:style w:type="paragraph" w:styleId="TOC1">
    <w:name w:val="toc 1"/>
    <w:basedOn w:val="libNormal"/>
    <w:next w:val="libNormal"/>
    <w:autoRedefine/>
    <w:uiPriority w:val="39"/>
    <w:rsid w:val="00B60990"/>
    <w:pPr>
      <w:tabs>
        <w:tab w:val="right" w:leader="dot" w:pos="7361"/>
      </w:tabs>
      <w:jc w:val="center"/>
    </w:pPr>
    <w:rPr>
      <w:bCs/>
    </w:rPr>
  </w:style>
  <w:style w:type="paragraph" w:styleId="TOC3">
    <w:name w:val="toc 3"/>
    <w:basedOn w:val="libNormal"/>
    <w:next w:val="libNormal"/>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link w:val="libFootnote0Char"/>
    <w:qFormat/>
    <w:rsid w:val="00D91A3F"/>
    <w:pPr>
      <w:ind w:firstLine="0"/>
    </w:pPr>
  </w:style>
  <w:style w:type="character" w:customStyle="1" w:styleId="libFootnote0Char">
    <w:name w:val="libFootnote0 Char"/>
    <w:basedOn w:val="libFootnoteChar"/>
    <w:link w:val="libFootnote0"/>
    <w:rsid w:val="00D91A3F"/>
    <w:rPr>
      <w:rFonts w:cs="Traditional Arabic"/>
      <w:color w:val="000000"/>
      <w:sz w:val="24"/>
      <w:szCs w:val="26"/>
      <w:lang w:bidi="ar-SA"/>
    </w:rPr>
  </w:style>
  <w:style w:type="paragraph" w:customStyle="1" w:styleId="Heading1Center">
    <w:name w:val="Heading 1 Center"/>
    <w:basedOn w:val="libNormal"/>
    <w:rsid w:val="00F64E82"/>
    <w:pPr>
      <w:spacing w:before="120" w:after="240"/>
      <w:ind w:firstLine="0"/>
      <w:jc w:val="center"/>
      <w:outlineLvl w:val="0"/>
    </w:pPr>
    <w:rPr>
      <w:bCs/>
      <w:color w:val="1F497D"/>
      <w:sz w:val="36"/>
      <w:szCs w:val="36"/>
    </w:rPr>
  </w:style>
  <w:style w:type="paragraph" w:customStyle="1" w:styleId="Heading2Center">
    <w:name w:val="Heading 2 Center"/>
    <w:basedOn w:val="libNormal"/>
    <w:next w:val="Heading2"/>
    <w:rsid w:val="00F64E82"/>
    <w:pPr>
      <w:spacing w:before="240" w:after="120"/>
      <w:ind w:firstLine="0"/>
      <w:jc w:val="center"/>
      <w:outlineLvl w:val="1"/>
    </w:pPr>
    <w:rPr>
      <w:b/>
      <w:bCs/>
      <w:color w:val="1F497D"/>
    </w:rPr>
  </w:style>
  <w:style w:type="paragraph" w:customStyle="1" w:styleId="Heading3Center">
    <w:name w:val="Heading 3 Center"/>
    <w:basedOn w:val="libNormal"/>
    <w:next w:val="libNormal"/>
    <w:rsid w:val="006E0F1D"/>
    <w:pPr>
      <w:spacing w:before="120"/>
      <w:ind w:firstLine="0"/>
      <w:jc w:val="center"/>
      <w:outlineLvl w:val="2"/>
    </w:pPr>
    <w:rPr>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rFonts w:cs="Traditional Arabic"/>
      <w:b/>
      <w:bCs/>
      <w:color w:val="000000"/>
      <w:sz w:val="24"/>
      <w:szCs w:val="26"/>
      <w:lang w:bidi="ar-SA"/>
    </w:rPr>
  </w:style>
  <w:style w:type="character" w:customStyle="1" w:styleId="libFootnoteCenterChar">
    <w:name w:val="libFootnoteCenter Char"/>
    <w:basedOn w:val="libFootnoteChar"/>
    <w:link w:val="libFootnoteCenter"/>
    <w:rsid w:val="004B3F28"/>
    <w:rPr>
      <w:rFonts w:cs="Traditional Arabic"/>
      <w:color w:val="000000"/>
      <w:sz w:val="24"/>
      <w:szCs w:val="26"/>
      <w:lang w:bidi="ar-SA"/>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Normal"/>
    <w:next w:val="libNormal0"/>
    <w:rsid w:val="00DB2424"/>
    <w:pPr>
      <w:ind w:firstLine="0"/>
    </w:pPr>
    <w:rPr>
      <w:szCs w:val="28"/>
    </w:rPr>
  </w:style>
  <w:style w:type="paragraph" w:customStyle="1" w:styleId="libFootnoteCenterBold">
    <w:name w:val="libFootnoteCenterBold"/>
    <w:basedOn w:val="libFootnote"/>
    <w:next w:val="libFootnoteCenter"/>
    <w:qFormat/>
    <w:rsid w:val="00D6188A"/>
    <w:pPr>
      <w:jc w:val="center"/>
    </w:pPr>
    <w:rPr>
      <w:b/>
      <w:bCs/>
    </w:rPr>
  </w:style>
  <w:style w:type="paragraph" w:customStyle="1" w:styleId="libFootnoteLeft">
    <w:name w:val="libFootnoteLeft"/>
    <w:basedOn w:val="libFootnote"/>
    <w:next w:val="libFootnote"/>
    <w:rsid w:val="00651ADF"/>
    <w:pPr>
      <w:ind w:firstLine="0"/>
      <w:jc w:val="right"/>
    </w:pPr>
  </w:style>
  <w:style w:type="paragraph" w:customStyle="1" w:styleId="libVarCenter">
    <w:name w:val="libVarCenter"/>
    <w:basedOn w:val="libNormal"/>
    <w:next w:val="libNormal"/>
    <w:rsid w:val="00F74FDC"/>
    <w:pPr>
      <w:ind w:firstLine="0"/>
      <w:jc w:val="center"/>
    </w:pPr>
    <w:rPr>
      <w:szCs w:val="28"/>
    </w:r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Hyperlink">
    <w:name w:val="Hyperlink"/>
    <w:basedOn w:val="DefaultParagraphFont"/>
    <w:uiPriority w:val="99"/>
    <w:unhideWhenUsed/>
    <w:rsid w:val="00C86EE3"/>
    <w:rPr>
      <w:color w:val="0000FF" w:themeColor="hyperlink"/>
      <w:u w:val="single"/>
    </w:rPr>
  </w:style>
  <w:style w:type="paragraph" w:customStyle="1" w:styleId="libBold2">
    <w:name w:val="libBold2"/>
    <w:basedOn w:val="libNormal"/>
    <w:next w:val="libNormal"/>
    <w:link w:val="libBold2Char"/>
    <w:qFormat/>
    <w:rsid w:val="00A716DD"/>
    <w:rPr>
      <w:b/>
      <w:bCs/>
      <w:sz w:val="20"/>
      <w:szCs w:val="28"/>
    </w:rPr>
  </w:style>
  <w:style w:type="character" w:customStyle="1" w:styleId="libBold2Char">
    <w:name w:val="libBold2 Char"/>
    <w:basedOn w:val="libNormalChar"/>
    <w:link w:val="libBold2"/>
    <w:rsid w:val="00A716DD"/>
    <w:rPr>
      <w:rFonts w:cs="Traditional Arabic"/>
      <w:b/>
      <w:bCs/>
      <w:color w:val="000000"/>
      <w:sz w:val="24"/>
      <w:szCs w:val="28"/>
      <w:lang w:bidi="ar-SA"/>
    </w:rPr>
  </w:style>
  <w:style w:type="paragraph" w:customStyle="1" w:styleId="libAlaem">
    <w:name w:val="libAlaem"/>
    <w:basedOn w:val="libNormal"/>
    <w:next w:val="libNormal"/>
    <w:link w:val="libAlaemChar"/>
    <w:qFormat/>
    <w:rsid w:val="00E0487B"/>
    <w:rPr>
      <w:rFonts w:cs="Rafed Alaem"/>
    </w:rPr>
  </w:style>
  <w:style w:type="character" w:customStyle="1" w:styleId="libAlaemChar">
    <w:name w:val="libAlaem Char"/>
    <w:basedOn w:val="libNormalChar"/>
    <w:link w:val="libAlaem"/>
    <w:rsid w:val="00FF21EB"/>
    <w:rPr>
      <w:rFonts w:cs="Rafed Alaem"/>
      <w:color w:val="000000"/>
      <w:sz w:val="24"/>
      <w:szCs w:val="32"/>
      <w:lang w:bidi="ar-SA"/>
    </w:rPr>
  </w:style>
  <w:style w:type="paragraph" w:customStyle="1" w:styleId="libFootnoteAlaem">
    <w:name w:val="libFootnoteAlaem"/>
    <w:basedOn w:val="libFootnote"/>
    <w:next w:val="libFootnote"/>
    <w:link w:val="libFootnoteAlaemChar"/>
    <w:qFormat/>
    <w:rsid w:val="00A648C5"/>
    <w:rPr>
      <w:rFonts w:cs="Rafed Alaem"/>
    </w:rPr>
  </w:style>
  <w:style w:type="character" w:customStyle="1" w:styleId="libFootnoteAlaemChar">
    <w:name w:val="libFootnoteAlaem Char"/>
    <w:basedOn w:val="libFootnoteChar"/>
    <w:link w:val="libFootnoteAlaem"/>
    <w:rsid w:val="00A648C5"/>
    <w:rPr>
      <w:rFonts w:cs="Rafed Alaem"/>
      <w:color w:val="000000"/>
      <w:sz w:val="24"/>
      <w:szCs w:val="26"/>
      <w:lang w:bidi="ar-SA"/>
    </w:rPr>
  </w:style>
  <w:style w:type="paragraph" w:customStyle="1" w:styleId="libAlaemHeading2">
    <w:name w:val="libAlaemHeading2"/>
    <w:basedOn w:val="libAlaem"/>
    <w:next w:val="Heading2Center"/>
    <w:link w:val="libAlaemHeading2Char"/>
    <w:rsid w:val="00E138BD"/>
    <w:rPr>
      <w:b/>
      <w:bCs/>
      <w:color w:val="1F497D"/>
    </w:rPr>
  </w:style>
  <w:style w:type="character" w:customStyle="1" w:styleId="libAlaemHeading2Char">
    <w:name w:val="libAlaemHeading2 Char"/>
    <w:basedOn w:val="libAlaemChar"/>
    <w:link w:val="libAlaemHeading2"/>
    <w:rsid w:val="00E138BD"/>
    <w:rPr>
      <w:rFonts w:cs="Rafed Alaem"/>
      <w:b/>
      <w:bCs/>
      <w:color w:val="1F497D"/>
      <w:sz w:val="24"/>
      <w:szCs w:val="32"/>
      <w:lang w:bidi="ar-SA"/>
    </w:rPr>
  </w:style>
  <w:style w:type="paragraph" w:styleId="TOCHeading">
    <w:name w:val="TOC Heading"/>
    <w:basedOn w:val="Heading1"/>
    <w:next w:val="Normal"/>
    <w:uiPriority w:val="39"/>
    <w:semiHidden/>
    <w:unhideWhenUsed/>
    <w:qFormat/>
    <w:rsid w:val="006E0F1D"/>
    <w:pPr>
      <w:keepLines/>
      <w:bidi w:val="0"/>
      <w:spacing w:before="480"/>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PageNumber">
    <w:name w:val="page number"/>
    <w:basedOn w:val="DefaultParagraphFont"/>
    <w:rsid w:val="00326131"/>
  </w:style>
  <w:style w:type="paragraph" w:styleId="TOC6">
    <w:name w:val="toc 6"/>
    <w:basedOn w:val="Normal"/>
    <w:next w:val="Normal"/>
    <w:autoRedefine/>
    <w:uiPriority w:val="39"/>
    <w:unhideWhenUsed/>
    <w:rsid w:val="00326131"/>
    <w:pPr>
      <w:spacing w:after="100" w:line="276" w:lineRule="auto"/>
      <w:ind w:left="1100"/>
    </w:pPr>
    <w:rPr>
      <w:rFonts w:ascii="Calibri" w:hAnsi="Calibri" w:cs="Arial"/>
      <w:sz w:val="22"/>
      <w:szCs w:val="22"/>
    </w:rPr>
  </w:style>
  <w:style w:type="paragraph" w:styleId="TOC7">
    <w:name w:val="toc 7"/>
    <w:basedOn w:val="Normal"/>
    <w:next w:val="Normal"/>
    <w:autoRedefine/>
    <w:uiPriority w:val="39"/>
    <w:unhideWhenUsed/>
    <w:rsid w:val="00326131"/>
    <w:pPr>
      <w:spacing w:after="100" w:line="276" w:lineRule="auto"/>
      <w:ind w:left="1320"/>
    </w:pPr>
    <w:rPr>
      <w:rFonts w:ascii="Calibri" w:hAnsi="Calibri" w:cs="Arial"/>
      <w:sz w:val="22"/>
      <w:szCs w:val="22"/>
    </w:rPr>
  </w:style>
  <w:style w:type="paragraph" w:styleId="TOC8">
    <w:name w:val="toc 8"/>
    <w:basedOn w:val="Normal"/>
    <w:next w:val="Normal"/>
    <w:autoRedefine/>
    <w:uiPriority w:val="39"/>
    <w:unhideWhenUsed/>
    <w:rsid w:val="00326131"/>
    <w:pPr>
      <w:spacing w:after="100" w:line="276" w:lineRule="auto"/>
      <w:ind w:left="1540"/>
    </w:pPr>
    <w:rPr>
      <w:rFonts w:ascii="Calibri" w:hAnsi="Calibri" w:cs="Arial"/>
      <w:sz w:val="22"/>
      <w:szCs w:val="22"/>
    </w:rPr>
  </w:style>
  <w:style w:type="paragraph" w:styleId="TOC9">
    <w:name w:val="toc 9"/>
    <w:basedOn w:val="Normal"/>
    <w:next w:val="Normal"/>
    <w:autoRedefine/>
    <w:uiPriority w:val="39"/>
    <w:unhideWhenUsed/>
    <w:rsid w:val="00326131"/>
    <w:pPr>
      <w:spacing w:after="100" w:line="276" w:lineRule="auto"/>
      <w:ind w:left="1760"/>
    </w:pPr>
    <w:rPr>
      <w:rFonts w:ascii="Calibri" w:hAnsi="Calibri" w:cs="Arial"/>
      <w:sz w:val="22"/>
      <w:szCs w:val="22"/>
    </w:rPr>
  </w:style>
  <w:style w:type="paragraph" w:customStyle="1" w:styleId="libNum">
    <w:name w:val="libNum"/>
    <w:basedOn w:val="libNormal0"/>
    <w:link w:val="libNumChar"/>
    <w:rsid w:val="00ED025D"/>
    <w:rPr>
      <w:color w:val="993300"/>
      <w:sz w:val="20"/>
      <w:szCs w:val="24"/>
    </w:rPr>
  </w:style>
  <w:style w:type="character" w:customStyle="1" w:styleId="libNumChar">
    <w:name w:val="libNum Char"/>
    <w:basedOn w:val="libNormal0Char"/>
    <w:link w:val="libNum"/>
    <w:rsid w:val="00ED025D"/>
    <w:rPr>
      <w:rFonts w:ascii="Traditional Arabic" w:hAnsi="Traditional Arabic" w:cs="Traditional Arabic"/>
      <w:color w:val="993300"/>
      <w:sz w:val="32"/>
      <w:szCs w:val="24"/>
      <w:lang w:bidi="ar-SA"/>
    </w:rPr>
  </w:style>
  <w:style w:type="paragraph" w:customStyle="1" w:styleId="libColor">
    <w:name w:val="libColor"/>
    <w:basedOn w:val="libNormal"/>
    <w:link w:val="libColorChar"/>
    <w:rsid w:val="00163A74"/>
    <w:rPr>
      <w:color w:val="FF0000"/>
    </w:rPr>
  </w:style>
  <w:style w:type="character" w:customStyle="1" w:styleId="libColorChar">
    <w:name w:val="libColor Char"/>
    <w:basedOn w:val="libNormalChar"/>
    <w:link w:val="libColor"/>
    <w:rsid w:val="00163A74"/>
    <w:rPr>
      <w:rFonts w:cs="Traditional Arabic"/>
      <w:color w:val="FF0000"/>
      <w:sz w:val="24"/>
      <w:szCs w:val="32"/>
      <w:lang w:bidi="ar-SA"/>
    </w:rPr>
  </w:style>
  <w:style w:type="paragraph" w:customStyle="1" w:styleId="libDoaBold">
    <w:name w:val="libDoaBold"/>
    <w:basedOn w:val="libDoa"/>
    <w:link w:val="libDoaBoldChar"/>
    <w:rsid w:val="00E27322"/>
    <w:pPr>
      <w:jc w:val="both"/>
    </w:pPr>
    <w:rPr>
      <w:bCs/>
    </w:rPr>
  </w:style>
  <w:style w:type="paragraph" w:customStyle="1" w:styleId="libDoa">
    <w:name w:val="libDoa"/>
    <w:link w:val="libDoaChar"/>
    <w:rsid w:val="00E27322"/>
    <w:rPr>
      <w:rFonts w:cs="KFGQPC Uthman Taha Naskh"/>
      <w:color w:val="000000"/>
      <w:sz w:val="24"/>
      <w:szCs w:val="24"/>
      <w:lang w:bidi="ar-SA"/>
    </w:rPr>
  </w:style>
  <w:style w:type="character" w:customStyle="1" w:styleId="libDoaChar">
    <w:name w:val="libDoa Char"/>
    <w:basedOn w:val="DefaultParagraphFont"/>
    <w:link w:val="libDoa"/>
    <w:rsid w:val="00E27322"/>
    <w:rPr>
      <w:rFonts w:cs="KFGQPC Uthman Taha Naskh"/>
      <w:color w:val="000000"/>
      <w:sz w:val="24"/>
      <w:szCs w:val="24"/>
      <w:lang w:bidi="ar-SA"/>
    </w:rPr>
  </w:style>
  <w:style w:type="character" w:customStyle="1" w:styleId="libDoaBoldChar">
    <w:name w:val="libDoaBold Char"/>
    <w:basedOn w:val="libBold2Char"/>
    <w:link w:val="libDoaBold"/>
    <w:rsid w:val="00E27322"/>
    <w:rPr>
      <w:rFonts w:cs="KFGQPC Uthman Taha Naskh"/>
      <w:b/>
      <w:bCs/>
      <w:color w:val="000000"/>
      <w:sz w:val="24"/>
      <w:szCs w:val="24"/>
      <w:lang w:bidi="ar-SA"/>
    </w:rPr>
  </w:style>
  <w:style w:type="paragraph" w:customStyle="1" w:styleId="libDoaColor">
    <w:name w:val="libDoaColor"/>
    <w:basedOn w:val="libDoa"/>
    <w:link w:val="libDoaColorChar"/>
    <w:rsid w:val="004C77BF"/>
    <w:rPr>
      <w:bCs/>
      <w:color w:val="FF0000"/>
    </w:rPr>
  </w:style>
  <w:style w:type="character" w:customStyle="1" w:styleId="libDoaColorChar">
    <w:name w:val="libDoaColor Char"/>
    <w:basedOn w:val="libDoaBoldChar"/>
    <w:link w:val="libDoaColor"/>
    <w:rsid w:val="004C77BF"/>
    <w:rPr>
      <w:rFonts w:cs="KFGQPC Uthman Taha Naskh"/>
      <w:b/>
      <w:bCs/>
      <w:color w:val="FF0000"/>
      <w:sz w:val="24"/>
      <w:szCs w:val="24"/>
      <w:lang w:bidi="ar-SA"/>
    </w:rPr>
  </w:style>
  <w:style w:type="paragraph" w:customStyle="1" w:styleId="libTitr1">
    <w:name w:val="libTitr1"/>
    <w:basedOn w:val="libCenter"/>
    <w:rsid w:val="006E51D9"/>
    <w:pPr>
      <w:spacing w:line="360" w:lineRule="auto"/>
    </w:pPr>
    <w:rPr>
      <w:b/>
      <w:bCs/>
      <w:sz w:val="56"/>
      <w:szCs w:val="72"/>
    </w:rPr>
  </w:style>
  <w:style w:type="paragraph" w:customStyle="1" w:styleId="libTitr2">
    <w:name w:val="libTitr2"/>
    <w:basedOn w:val="libTitr1"/>
    <w:rsid w:val="006E51D9"/>
    <w:rPr>
      <w:sz w:val="36"/>
      <w:szCs w:val="48"/>
    </w:rPr>
  </w:style>
  <w:style w:type="paragraph" w:customStyle="1" w:styleId="libNotice">
    <w:name w:val="libNotice"/>
    <w:basedOn w:val="libNormal"/>
    <w:link w:val="libNoticeChar"/>
    <w:qFormat/>
    <w:rsid w:val="0042502E"/>
    <w:pPr>
      <w:jc w:val="center"/>
    </w:pPr>
    <w:rPr>
      <w:color w:val="FF0000"/>
    </w:rPr>
  </w:style>
  <w:style w:type="character" w:customStyle="1" w:styleId="libNoticeChar">
    <w:name w:val="libNotice Char"/>
    <w:basedOn w:val="libNormalChar"/>
    <w:link w:val="libNotice"/>
    <w:rsid w:val="0042502E"/>
    <w:rPr>
      <w:rFonts w:cs="Traditional Arabic"/>
      <w:color w:val="FF0000"/>
      <w:sz w:val="24"/>
      <w:szCs w:val="32"/>
      <w:lang w:bidi="ar-SA"/>
    </w:rPr>
  </w:style>
  <w:style w:type="paragraph" w:styleId="BalloonText">
    <w:name w:val="Balloon Text"/>
    <w:basedOn w:val="Normal"/>
    <w:link w:val="BalloonTextChar"/>
    <w:uiPriority w:val="99"/>
    <w:rsid w:val="00744A1C"/>
    <w:rPr>
      <w:rFonts w:ascii="Tahoma" w:hAnsi="Tahoma" w:cs="Tahoma"/>
      <w:sz w:val="16"/>
      <w:szCs w:val="16"/>
    </w:rPr>
  </w:style>
  <w:style w:type="character" w:customStyle="1" w:styleId="BalloonTextChar">
    <w:name w:val="Balloon Text Char"/>
    <w:basedOn w:val="DefaultParagraphFont"/>
    <w:link w:val="BalloonText"/>
    <w:uiPriority w:val="99"/>
    <w:rsid w:val="00744A1C"/>
    <w:rPr>
      <w:rFonts w:ascii="Tahoma" w:eastAsiaTheme="minorEastAsia" w:hAnsi="Tahoma" w:cs="Tahoma"/>
      <w:sz w:val="16"/>
      <w:szCs w:val="16"/>
      <w:lang w:bidi="ar-SA"/>
    </w:rPr>
  </w:style>
  <w:style w:type="paragraph" w:customStyle="1" w:styleId="libcenterbold20">
    <w:name w:val="libcenterbold2"/>
    <w:basedOn w:val="Normal"/>
    <w:rsid w:val="008D191A"/>
    <w:pPr>
      <w:spacing w:before="100" w:beforeAutospacing="1" w:after="100" w:afterAutospacing="1"/>
      <w:ind w:firstLine="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424293">
      <w:bodyDiv w:val="1"/>
      <w:marLeft w:val="0"/>
      <w:marRight w:val="0"/>
      <w:marTop w:val="0"/>
      <w:marBottom w:val="0"/>
      <w:divBdr>
        <w:top w:val="none" w:sz="0" w:space="0" w:color="auto"/>
        <w:left w:val="none" w:sz="0" w:space="0" w:color="auto"/>
        <w:bottom w:val="none" w:sz="0" w:space="0" w:color="auto"/>
        <w:right w:val="none" w:sz="0" w:space="0" w:color="auto"/>
      </w:divBdr>
    </w:div>
    <w:div w:id="140658180">
      <w:bodyDiv w:val="1"/>
      <w:marLeft w:val="0"/>
      <w:marRight w:val="0"/>
      <w:marTop w:val="0"/>
      <w:marBottom w:val="0"/>
      <w:divBdr>
        <w:top w:val="none" w:sz="0" w:space="0" w:color="auto"/>
        <w:left w:val="none" w:sz="0" w:space="0" w:color="auto"/>
        <w:bottom w:val="none" w:sz="0" w:space="0" w:color="auto"/>
        <w:right w:val="none" w:sz="0" w:space="0" w:color="auto"/>
      </w:divBdr>
    </w:div>
    <w:div w:id="271401237">
      <w:bodyDiv w:val="1"/>
      <w:marLeft w:val="0"/>
      <w:marRight w:val="0"/>
      <w:marTop w:val="0"/>
      <w:marBottom w:val="0"/>
      <w:divBdr>
        <w:top w:val="none" w:sz="0" w:space="0" w:color="auto"/>
        <w:left w:val="none" w:sz="0" w:space="0" w:color="auto"/>
        <w:bottom w:val="none" w:sz="0" w:space="0" w:color="auto"/>
        <w:right w:val="none" w:sz="0" w:space="0" w:color="auto"/>
      </w:divBdr>
    </w:div>
    <w:div w:id="434327267">
      <w:bodyDiv w:val="1"/>
      <w:marLeft w:val="0"/>
      <w:marRight w:val="0"/>
      <w:marTop w:val="0"/>
      <w:marBottom w:val="0"/>
      <w:divBdr>
        <w:top w:val="none" w:sz="0" w:space="0" w:color="auto"/>
        <w:left w:val="none" w:sz="0" w:space="0" w:color="auto"/>
        <w:bottom w:val="none" w:sz="0" w:space="0" w:color="auto"/>
        <w:right w:val="none" w:sz="0" w:space="0" w:color="auto"/>
      </w:divBdr>
    </w:div>
    <w:div w:id="470487615">
      <w:bodyDiv w:val="1"/>
      <w:marLeft w:val="0"/>
      <w:marRight w:val="0"/>
      <w:marTop w:val="0"/>
      <w:marBottom w:val="0"/>
      <w:divBdr>
        <w:top w:val="none" w:sz="0" w:space="0" w:color="auto"/>
        <w:left w:val="none" w:sz="0" w:space="0" w:color="auto"/>
        <w:bottom w:val="none" w:sz="0" w:space="0" w:color="auto"/>
        <w:right w:val="none" w:sz="0" w:space="0" w:color="auto"/>
      </w:divBdr>
    </w:div>
    <w:div w:id="606930061">
      <w:bodyDiv w:val="1"/>
      <w:marLeft w:val="0"/>
      <w:marRight w:val="0"/>
      <w:marTop w:val="0"/>
      <w:marBottom w:val="0"/>
      <w:divBdr>
        <w:top w:val="none" w:sz="0" w:space="0" w:color="auto"/>
        <w:left w:val="none" w:sz="0" w:space="0" w:color="auto"/>
        <w:bottom w:val="none" w:sz="0" w:space="0" w:color="auto"/>
        <w:right w:val="none" w:sz="0" w:space="0" w:color="auto"/>
      </w:divBdr>
    </w:div>
    <w:div w:id="624820539">
      <w:bodyDiv w:val="1"/>
      <w:marLeft w:val="0"/>
      <w:marRight w:val="0"/>
      <w:marTop w:val="0"/>
      <w:marBottom w:val="0"/>
      <w:divBdr>
        <w:top w:val="none" w:sz="0" w:space="0" w:color="auto"/>
        <w:left w:val="none" w:sz="0" w:space="0" w:color="auto"/>
        <w:bottom w:val="none" w:sz="0" w:space="0" w:color="auto"/>
        <w:right w:val="none" w:sz="0" w:space="0" w:color="auto"/>
      </w:divBdr>
    </w:div>
    <w:div w:id="774328965">
      <w:bodyDiv w:val="1"/>
      <w:marLeft w:val="0"/>
      <w:marRight w:val="0"/>
      <w:marTop w:val="0"/>
      <w:marBottom w:val="0"/>
      <w:divBdr>
        <w:top w:val="none" w:sz="0" w:space="0" w:color="auto"/>
        <w:left w:val="none" w:sz="0" w:space="0" w:color="auto"/>
        <w:bottom w:val="none" w:sz="0" w:space="0" w:color="auto"/>
        <w:right w:val="none" w:sz="0" w:space="0" w:color="auto"/>
      </w:divBdr>
    </w:div>
    <w:div w:id="813107102">
      <w:bodyDiv w:val="1"/>
      <w:marLeft w:val="0"/>
      <w:marRight w:val="0"/>
      <w:marTop w:val="0"/>
      <w:marBottom w:val="0"/>
      <w:divBdr>
        <w:top w:val="none" w:sz="0" w:space="0" w:color="auto"/>
        <w:left w:val="none" w:sz="0" w:space="0" w:color="auto"/>
        <w:bottom w:val="none" w:sz="0" w:space="0" w:color="auto"/>
        <w:right w:val="none" w:sz="0" w:space="0" w:color="auto"/>
      </w:divBdr>
    </w:div>
    <w:div w:id="842277077">
      <w:bodyDiv w:val="1"/>
      <w:marLeft w:val="0"/>
      <w:marRight w:val="0"/>
      <w:marTop w:val="0"/>
      <w:marBottom w:val="0"/>
      <w:divBdr>
        <w:top w:val="none" w:sz="0" w:space="0" w:color="auto"/>
        <w:left w:val="none" w:sz="0" w:space="0" w:color="auto"/>
        <w:bottom w:val="none" w:sz="0" w:space="0" w:color="auto"/>
        <w:right w:val="none" w:sz="0" w:space="0" w:color="auto"/>
      </w:divBdr>
    </w:div>
    <w:div w:id="903443201">
      <w:bodyDiv w:val="1"/>
      <w:marLeft w:val="0"/>
      <w:marRight w:val="0"/>
      <w:marTop w:val="0"/>
      <w:marBottom w:val="0"/>
      <w:divBdr>
        <w:top w:val="none" w:sz="0" w:space="0" w:color="auto"/>
        <w:left w:val="none" w:sz="0" w:space="0" w:color="auto"/>
        <w:bottom w:val="none" w:sz="0" w:space="0" w:color="auto"/>
        <w:right w:val="none" w:sz="0" w:space="0" w:color="auto"/>
      </w:divBdr>
    </w:div>
    <w:div w:id="1007437613">
      <w:bodyDiv w:val="1"/>
      <w:marLeft w:val="0"/>
      <w:marRight w:val="0"/>
      <w:marTop w:val="0"/>
      <w:marBottom w:val="0"/>
      <w:divBdr>
        <w:top w:val="none" w:sz="0" w:space="0" w:color="auto"/>
        <w:left w:val="none" w:sz="0" w:space="0" w:color="auto"/>
        <w:bottom w:val="none" w:sz="0" w:space="0" w:color="auto"/>
        <w:right w:val="none" w:sz="0" w:space="0" w:color="auto"/>
      </w:divBdr>
    </w:div>
    <w:div w:id="1034041446">
      <w:bodyDiv w:val="1"/>
      <w:marLeft w:val="0"/>
      <w:marRight w:val="0"/>
      <w:marTop w:val="0"/>
      <w:marBottom w:val="0"/>
      <w:divBdr>
        <w:top w:val="none" w:sz="0" w:space="0" w:color="auto"/>
        <w:left w:val="none" w:sz="0" w:space="0" w:color="auto"/>
        <w:bottom w:val="none" w:sz="0" w:space="0" w:color="auto"/>
        <w:right w:val="none" w:sz="0" w:space="0" w:color="auto"/>
      </w:divBdr>
    </w:div>
    <w:div w:id="1144468489">
      <w:bodyDiv w:val="1"/>
      <w:marLeft w:val="0"/>
      <w:marRight w:val="0"/>
      <w:marTop w:val="0"/>
      <w:marBottom w:val="0"/>
      <w:divBdr>
        <w:top w:val="none" w:sz="0" w:space="0" w:color="auto"/>
        <w:left w:val="none" w:sz="0" w:space="0" w:color="auto"/>
        <w:bottom w:val="none" w:sz="0" w:space="0" w:color="auto"/>
        <w:right w:val="none" w:sz="0" w:space="0" w:color="auto"/>
      </w:divBdr>
    </w:div>
    <w:div w:id="1198664488">
      <w:bodyDiv w:val="1"/>
      <w:marLeft w:val="0"/>
      <w:marRight w:val="0"/>
      <w:marTop w:val="0"/>
      <w:marBottom w:val="0"/>
      <w:divBdr>
        <w:top w:val="none" w:sz="0" w:space="0" w:color="auto"/>
        <w:left w:val="none" w:sz="0" w:space="0" w:color="auto"/>
        <w:bottom w:val="none" w:sz="0" w:space="0" w:color="auto"/>
        <w:right w:val="none" w:sz="0" w:space="0" w:color="auto"/>
      </w:divBdr>
    </w:div>
    <w:div w:id="1302423060">
      <w:bodyDiv w:val="1"/>
      <w:marLeft w:val="0"/>
      <w:marRight w:val="0"/>
      <w:marTop w:val="0"/>
      <w:marBottom w:val="0"/>
      <w:divBdr>
        <w:top w:val="none" w:sz="0" w:space="0" w:color="auto"/>
        <w:left w:val="none" w:sz="0" w:space="0" w:color="auto"/>
        <w:bottom w:val="none" w:sz="0" w:space="0" w:color="auto"/>
        <w:right w:val="none" w:sz="0" w:space="0" w:color="auto"/>
      </w:divBdr>
    </w:div>
    <w:div w:id="1334918751">
      <w:bodyDiv w:val="1"/>
      <w:marLeft w:val="0"/>
      <w:marRight w:val="0"/>
      <w:marTop w:val="0"/>
      <w:marBottom w:val="0"/>
      <w:divBdr>
        <w:top w:val="none" w:sz="0" w:space="0" w:color="auto"/>
        <w:left w:val="none" w:sz="0" w:space="0" w:color="auto"/>
        <w:bottom w:val="none" w:sz="0" w:space="0" w:color="auto"/>
        <w:right w:val="none" w:sz="0" w:space="0" w:color="auto"/>
      </w:divBdr>
    </w:div>
    <w:div w:id="1475682038">
      <w:bodyDiv w:val="1"/>
      <w:marLeft w:val="0"/>
      <w:marRight w:val="0"/>
      <w:marTop w:val="0"/>
      <w:marBottom w:val="0"/>
      <w:divBdr>
        <w:top w:val="none" w:sz="0" w:space="0" w:color="auto"/>
        <w:left w:val="none" w:sz="0" w:space="0" w:color="auto"/>
        <w:bottom w:val="none" w:sz="0" w:space="0" w:color="auto"/>
        <w:right w:val="none" w:sz="0" w:space="0" w:color="auto"/>
      </w:divBdr>
    </w:div>
    <w:div w:id="1512062175">
      <w:bodyDiv w:val="1"/>
      <w:marLeft w:val="0"/>
      <w:marRight w:val="0"/>
      <w:marTop w:val="0"/>
      <w:marBottom w:val="0"/>
      <w:divBdr>
        <w:top w:val="none" w:sz="0" w:space="0" w:color="auto"/>
        <w:left w:val="none" w:sz="0" w:space="0" w:color="auto"/>
        <w:bottom w:val="none" w:sz="0" w:space="0" w:color="auto"/>
        <w:right w:val="none" w:sz="0" w:space="0" w:color="auto"/>
      </w:divBdr>
    </w:div>
    <w:div w:id="1597328499">
      <w:bodyDiv w:val="1"/>
      <w:marLeft w:val="0"/>
      <w:marRight w:val="0"/>
      <w:marTop w:val="0"/>
      <w:marBottom w:val="0"/>
      <w:divBdr>
        <w:top w:val="none" w:sz="0" w:space="0" w:color="auto"/>
        <w:left w:val="none" w:sz="0" w:space="0" w:color="auto"/>
        <w:bottom w:val="none" w:sz="0" w:space="0" w:color="auto"/>
        <w:right w:val="none" w:sz="0" w:space="0" w:color="auto"/>
      </w:divBdr>
    </w:div>
    <w:div w:id="1709334261">
      <w:bodyDiv w:val="1"/>
      <w:marLeft w:val="0"/>
      <w:marRight w:val="0"/>
      <w:marTop w:val="0"/>
      <w:marBottom w:val="0"/>
      <w:divBdr>
        <w:top w:val="none" w:sz="0" w:space="0" w:color="auto"/>
        <w:left w:val="none" w:sz="0" w:space="0" w:color="auto"/>
        <w:bottom w:val="none" w:sz="0" w:space="0" w:color="auto"/>
        <w:right w:val="none" w:sz="0" w:space="0" w:color="auto"/>
      </w:divBdr>
    </w:div>
    <w:div w:id="1760328807">
      <w:bodyDiv w:val="1"/>
      <w:marLeft w:val="0"/>
      <w:marRight w:val="0"/>
      <w:marTop w:val="0"/>
      <w:marBottom w:val="0"/>
      <w:divBdr>
        <w:top w:val="none" w:sz="0" w:space="0" w:color="auto"/>
        <w:left w:val="none" w:sz="0" w:space="0" w:color="auto"/>
        <w:bottom w:val="none" w:sz="0" w:space="0" w:color="auto"/>
        <w:right w:val="none" w:sz="0" w:space="0" w:color="auto"/>
      </w:divBdr>
    </w:div>
    <w:div w:id="1776902270">
      <w:bodyDiv w:val="1"/>
      <w:marLeft w:val="0"/>
      <w:marRight w:val="0"/>
      <w:marTop w:val="0"/>
      <w:marBottom w:val="0"/>
      <w:divBdr>
        <w:top w:val="none" w:sz="0" w:space="0" w:color="auto"/>
        <w:left w:val="none" w:sz="0" w:space="0" w:color="auto"/>
        <w:bottom w:val="none" w:sz="0" w:space="0" w:color="auto"/>
        <w:right w:val="none" w:sz="0" w:space="0" w:color="auto"/>
      </w:divBdr>
    </w:div>
    <w:div w:id="1797336128">
      <w:bodyDiv w:val="1"/>
      <w:marLeft w:val="0"/>
      <w:marRight w:val="0"/>
      <w:marTop w:val="0"/>
      <w:marBottom w:val="0"/>
      <w:divBdr>
        <w:top w:val="none" w:sz="0" w:space="0" w:color="auto"/>
        <w:left w:val="none" w:sz="0" w:space="0" w:color="auto"/>
        <w:bottom w:val="none" w:sz="0" w:space="0" w:color="auto"/>
        <w:right w:val="none" w:sz="0" w:space="0" w:color="auto"/>
      </w:divBdr>
    </w:div>
    <w:div w:id="1889756391">
      <w:bodyDiv w:val="1"/>
      <w:marLeft w:val="0"/>
      <w:marRight w:val="0"/>
      <w:marTop w:val="0"/>
      <w:marBottom w:val="0"/>
      <w:divBdr>
        <w:top w:val="none" w:sz="0" w:space="0" w:color="auto"/>
        <w:left w:val="none" w:sz="0" w:space="0" w:color="auto"/>
        <w:bottom w:val="none" w:sz="0" w:space="0" w:color="auto"/>
        <w:right w:val="none" w:sz="0" w:space="0" w:color="auto"/>
      </w:divBdr>
    </w:div>
    <w:div w:id="1975871579">
      <w:bodyDiv w:val="1"/>
      <w:marLeft w:val="0"/>
      <w:marRight w:val="0"/>
      <w:marTop w:val="0"/>
      <w:marBottom w:val="0"/>
      <w:divBdr>
        <w:top w:val="none" w:sz="0" w:space="0" w:color="auto"/>
        <w:left w:val="none" w:sz="0" w:space="0" w:color="auto"/>
        <w:bottom w:val="none" w:sz="0" w:space="0" w:color="auto"/>
        <w:right w:val="none" w:sz="0" w:space="0" w:color="auto"/>
      </w:divBdr>
    </w:div>
    <w:div w:id="201617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Template%20Arab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00B25-C1E2-41BC-A334-969036DA2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Arabic.dotx</Template>
  <TotalTime>7398</TotalTime>
  <Pages>383</Pages>
  <Words>247714</Words>
  <Characters>1411972</Characters>
  <Application>Microsoft Office Word</Application>
  <DocSecurity>0</DocSecurity>
  <Lines>11766</Lines>
  <Paragraphs>3312</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1656374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mohsn</dc:creator>
  <cp:keywords/>
  <dc:description/>
  <cp:lastModifiedBy>hasan</cp:lastModifiedBy>
  <cp:revision>515</cp:revision>
  <cp:lastPrinted>2014-01-25T18:18:00Z</cp:lastPrinted>
  <dcterms:created xsi:type="dcterms:W3CDTF">2020-07-31T09:29:00Z</dcterms:created>
  <dcterms:modified xsi:type="dcterms:W3CDTF">2020-10-10T12:11:00Z</dcterms:modified>
</cp:coreProperties>
</file>